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75B1165" w14:textId="77777777" w:rsidR="00DF6978" w:rsidRPr="007224C3" w:rsidRDefault="00DF6978" w:rsidP="007224C3">
      <w:pPr>
        <w:pStyle w:val="Iauiue"/>
        <w:jc w:val="both"/>
        <w:rPr>
          <w:b/>
          <w:color w:val="000000" w:themeColor="text1"/>
          <w:sz w:val="16"/>
          <w:szCs w:val="16"/>
        </w:rPr>
      </w:pPr>
      <w:r w:rsidRPr="007224C3">
        <w:rPr>
          <w:b/>
          <w:color w:val="000000" w:themeColor="text1"/>
          <w:sz w:val="16"/>
          <w:szCs w:val="16"/>
        </w:rPr>
        <w:t>1944</w:t>
      </w:r>
    </w:p>
    <w:p w14:paraId="7BB74819" w14:textId="77777777" w:rsidR="004163F9" w:rsidRPr="007224C3" w:rsidRDefault="004163F9" w:rsidP="007224C3">
      <w:pPr>
        <w:pStyle w:val="Iauiue"/>
        <w:jc w:val="both"/>
        <w:rPr>
          <w:i/>
          <w:color w:val="000000" w:themeColor="text1"/>
          <w:sz w:val="16"/>
          <w:szCs w:val="16"/>
        </w:rPr>
      </w:pPr>
    </w:p>
    <w:p w14:paraId="4155E363" w14:textId="77777777" w:rsidR="00DF6978" w:rsidRPr="007224C3" w:rsidRDefault="00694509" w:rsidP="007224C3">
      <w:pPr>
        <w:pStyle w:val="Iauiue"/>
        <w:jc w:val="both"/>
        <w:rPr>
          <w:color w:val="000000" w:themeColor="text1"/>
          <w:sz w:val="16"/>
          <w:szCs w:val="16"/>
        </w:rPr>
      </w:pPr>
      <w:r w:rsidRPr="007224C3">
        <w:rPr>
          <w:i/>
          <w:color w:val="000000" w:themeColor="text1"/>
          <w:sz w:val="16"/>
          <w:szCs w:val="16"/>
        </w:rPr>
        <w:t>Авиапромышленность:</w:t>
      </w:r>
    </w:p>
    <w:p w14:paraId="170133FE" w14:textId="77777777" w:rsidR="00DF6978" w:rsidRPr="007224C3" w:rsidRDefault="00DF6978" w:rsidP="007224C3">
      <w:pPr>
        <w:pStyle w:val="Iauiue"/>
        <w:jc w:val="both"/>
        <w:rPr>
          <w:color w:val="000000" w:themeColor="text1"/>
          <w:sz w:val="16"/>
          <w:szCs w:val="16"/>
        </w:rPr>
      </w:pPr>
    </w:p>
    <w:p w14:paraId="243467C0" w14:textId="77777777" w:rsidR="00282955" w:rsidRPr="007224C3" w:rsidRDefault="00282955" w:rsidP="007224C3">
      <w:pPr>
        <w:pStyle w:val="Iauiue"/>
        <w:jc w:val="both"/>
        <w:rPr>
          <w:color w:val="000000" w:themeColor="text1"/>
          <w:sz w:val="16"/>
          <w:szCs w:val="16"/>
        </w:rPr>
      </w:pPr>
      <w:r w:rsidRPr="007224C3">
        <w:rPr>
          <w:color w:val="000000" w:themeColor="text1"/>
          <w:sz w:val="16"/>
          <w:szCs w:val="16"/>
        </w:rPr>
        <w:t>К 1944 г., обобщив и проанализировав опыт боевого применения ПТАБ-2,5-1,5, специалисты НИИ ВВС выдали задание ЦКБ-22 разработать противотанковую авиабомбу в габаритах 10-кг авиационного боеприпаса, но массой 2,5 кг (ПТАБ-10-2,5), способную пробивать броню толщиной до 160 мм. В этом же году такая авиабомба была полностью отработана и на первых же полигонных испытаниях показала положительные результаты по эффективности поражающего действия.</w:t>
      </w:r>
    </w:p>
    <w:p w14:paraId="097CE760" w14:textId="77777777" w:rsidR="00282955" w:rsidRPr="007224C3" w:rsidRDefault="00282955" w:rsidP="007224C3">
      <w:pPr>
        <w:pStyle w:val="Iauiue"/>
        <w:jc w:val="both"/>
        <w:rPr>
          <w:color w:val="000000" w:themeColor="text1"/>
          <w:sz w:val="16"/>
          <w:szCs w:val="16"/>
        </w:rPr>
      </w:pPr>
      <w:r w:rsidRPr="007224C3">
        <w:rPr>
          <w:color w:val="000000" w:themeColor="text1"/>
          <w:sz w:val="16"/>
          <w:szCs w:val="16"/>
        </w:rPr>
        <w:t>По принципу действия и назначению основных узлов и элементов ПТАБ-10-2,5 была аналогична штатной ПТАБ-2,5-1,5 и отличалась от нее только формой и габаритами. К примеру, корпус авиабомбы из листовой стали толщиной 0,5 мм был выполнен коническим для того, чтобы не превысить заданных заказчиком ограничений по массе окончательно снаряженного боеприпаса. Однако, чтобы ПТАБ обладала требуемой броне-бойностью, диаметр кумулятивной воронки необходим был не менее 85 мм. Головная часть корпуса, отштампованная из листовой стали толщиной 1 мм, имела сферическую форму, радиус которой определяла величина фокуса кумулятивной воронки. Для усиления кумулятивного эффекта и возможности поражать живую силу на корпус авиабомбы была надета и приварена в одной точке осколочная рубашка из стали толщиной 2 мм. Перисто-цилиндрический сварной стабилизатор состоял из четырех одинаковых секторов, отштампованных с зигой на цилиндрической части и к корпусу бомбы крепился также посредством взрывателя (7453).</w:t>
      </w:r>
    </w:p>
    <w:p w14:paraId="17C51150" w14:textId="77777777" w:rsidR="00282955" w:rsidRPr="007224C3" w:rsidRDefault="00282955" w:rsidP="007224C3">
      <w:pPr>
        <w:pStyle w:val="Iauiue"/>
        <w:jc w:val="both"/>
        <w:rPr>
          <w:color w:val="000000" w:themeColor="text1"/>
          <w:sz w:val="16"/>
          <w:szCs w:val="16"/>
        </w:rPr>
      </w:pPr>
    </w:p>
    <w:p w14:paraId="7E35EFD1" w14:textId="77777777" w:rsidR="0059774D" w:rsidRPr="007224C3" w:rsidRDefault="0059774D" w:rsidP="007224C3">
      <w:pPr>
        <w:pStyle w:val="ae"/>
        <w:shd w:val="clear" w:color="auto" w:fill="FFFFFF"/>
        <w:spacing w:before="0" w:after="0"/>
        <w:jc w:val="both"/>
        <w:rPr>
          <w:color w:val="000000" w:themeColor="text1"/>
          <w:sz w:val="16"/>
          <w:szCs w:val="16"/>
        </w:rPr>
      </w:pPr>
      <w:r w:rsidRPr="007224C3">
        <w:rPr>
          <w:color w:val="000000" w:themeColor="text1"/>
          <w:sz w:val="16"/>
          <w:szCs w:val="16"/>
        </w:rPr>
        <w:t>К 1944 г. на заводе № 293 были изготовлены еще пять самолетов БИ (№5...№9). Они были использованы для установки опытных двигателей РД-1 конструкции A.M. Исаева.</w:t>
      </w:r>
    </w:p>
    <w:p w14:paraId="763E293F" w14:textId="77777777" w:rsidR="0059774D" w:rsidRPr="007224C3" w:rsidRDefault="0059774D" w:rsidP="007224C3">
      <w:pPr>
        <w:pStyle w:val="ae"/>
        <w:shd w:val="clear" w:color="auto" w:fill="FFFFFF"/>
        <w:spacing w:before="0" w:after="0"/>
        <w:jc w:val="both"/>
        <w:rPr>
          <w:color w:val="000000" w:themeColor="text1"/>
          <w:sz w:val="16"/>
          <w:szCs w:val="16"/>
        </w:rPr>
      </w:pPr>
      <w:r w:rsidRPr="007224C3">
        <w:rPr>
          <w:color w:val="000000" w:themeColor="text1"/>
          <w:sz w:val="16"/>
          <w:szCs w:val="16"/>
        </w:rPr>
        <w:t>На самолете БИ № 6 в виде эксперимента на концах кры ла были установлены два прямоточных воздушно-реактивных двигателя. При этом на БИ № 6 не был установлен основной ЖРД, поскольку от Д-1А-1100 отказались, а РД-1 еще не был доведен. Во время экспериментальных полетов на самолете БИ № 6 с ПВРД летчик Б.Н. Кудрин не смог добиться одно временного запуска этих двигателей после отцепления от бук сировщика Пе-2, и эксперименты были прекращены, а само лет был направлен для продувок в аэродинамической трубе в ЦАГИ (19586).</w:t>
      </w:r>
    </w:p>
    <w:p w14:paraId="49C14DB2" w14:textId="77777777" w:rsidR="0059774D" w:rsidRPr="007224C3" w:rsidRDefault="0059774D" w:rsidP="007224C3">
      <w:pPr>
        <w:pStyle w:val="ae"/>
        <w:shd w:val="clear" w:color="auto" w:fill="FFFFFF"/>
        <w:spacing w:before="0" w:after="0"/>
        <w:jc w:val="both"/>
        <w:rPr>
          <w:color w:val="000000" w:themeColor="text1"/>
          <w:sz w:val="16"/>
          <w:szCs w:val="16"/>
        </w:rPr>
      </w:pPr>
    </w:p>
    <w:p w14:paraId="17CE9097" w14:textId="77777777" w:rsidR="00282955"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6A8DAC0C" w14:textId="77777777" w:rsidR="00282955" w:rsidRPr="007224C3" w:rsidRDefault="00282955"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80E353B" w14:textId="77777777" w:rsidR="00282955" w:rsidRPr="007224C3" w:rsidRDefault="00282955"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1944 году многие немецкие фирмы стали разрабатывать самолеты в инициативном порядке. К тому же обычной практикой было объявление Техническим управлением люфтваффе открытых конкурсов на разработку конкретных машин. На конкурс принимались только детально проработанные проекты, которые, в случае успеха, почти немедленно могли быть реализованы в опытные образцы или прототипы. В результате получалось, что конкурс выигрывал всего один проект, но на соискание подавалось несколько десятков вариантов. Например, на конкурс по созданию так называемого «Народного истребителя» («Volksjager») были одновременно выставлены проекты шести ведущих немецких конструкторских бюро: «Хейнкель», «Юнкерс», «Арадо», «Фокке-Вульф», «Блохм и Восс» и «Хортен». Нередко фирмы демонстрировали не просто проект, а одновременно несколько независимых его вариантов.</w:t>
      </w:r>
    </w:p>
    <w:p w14:paraId="341CEF5A" w14:textId="77777777" w:rsidR="00282955" w:rsidRPr="007224C3" w:rsidRDefault="00282955"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Постоянное участие авиастроительных фирм и КБ Третьего Рейха в многочисленных конкурсах привело к появлению большого количества достаточно проработанных конструкций реактивных и ракетных самолетов. И по сей день в немецких архивах времен Второй мировой войны можно отыскать описания совершенно фантастических летательных аппаратов, которые при ином развитии истории вполне могли бы стать основой для космической программы Германии.</w:t>
      </w:r>
    </w:p>
    <w:p w14:paraId="55171E25" w14:textId="77777777" w:rsidR="00282955" w:rsidRPr="007224C3" w:rsidRDefault="00282955"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Например, авиационная фирма «Арадо» представила вниманию руководителей Третьего рейха проект «Ar E-381». Это был одноместный истребитель, оснащенный ракетным двигателем «Walter HWK109-509А-2». Ракетоплан должен был подвешиваться под бомбардировочную версию самолета «Аr-234», с целью обеспечения истребительного прикрытия во время выполнения бомбардировочных задач. «E-381» был рассчитан на то, чтобы в случае столкновения с самолетами противника отсоединиться от носителя, набрать дополнительную высоту и выполнить атакующий маневр. Собственного ресурса топлива должно было хватить на повторный заход. Предполагалось, что далее пилот сможет развернуться и планировать в сторону ближайшего аэродрома, где совершит посадку на подфюзеляжную лыжу. Внутри ракетоплана пилот располагался в положении лежа и был защищен пятимиллиметровым стальным корпусом, а также плексигласовым фонарем толщиной 140 миллиметров. Вооружение состояло из пушки «МК-108». Для обеспечения комфорта летчика во время продолжительного полета на большой высоте предусматривалась возможность подачи теплого воздуха из самолета-носителя.</w:t>
      </w:r>
    </w:p>
    <w:p w14:paraId="72EC5219" w14:textId="77777777" w:rsidR="00282955" w:rsidRPr="007224C3" w:rsidRDefault="00282955"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Весьма обширную реактивную программу проводила и авиационная фирма «Фокке-Вульф». Она принимала участие практически во всех крупных конкурсах Третьего рейха, а также спроектировала несколько машин в инициативном порядке.</w:t>
      </w:r>
    </w:p>
    <w:p w14:paraId="6F166F0F" w14:textId="77777777" w:rsidR="00282955" w:rsidRPr="007224C3" w:rsidRDefault="00282955"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конкурс «Volksjager» («Народный истребитель») «Фокке-Вульф» представила самолет, напоминавший уменьшенную копию серийного истребителя «Та-183», но оснащенный жидкостным ракетным двигателем «Walter HWK 109-509». В корне крыла располагались две пушки «МК-108». Взлет планировалось осуществлять со стартовой тележки. Согласно расчетам, этот ракетоплан должен был набирать высоту 16,5 км за 100 секунд, а через 9 секунд после старта развивать скорость 650 км/ч (11688).</w:t>
      </w:r>
    </w:p>
    <w:p w14:paraId="4AAF7488" w14:textId="77777777" w:rsidR="00282955" w:rsidRPr="007224C3" w:rsidRDefault="00282955" w:rsidP="007224C3">
      <w:pPr>
        <w:autoSpaceDE w:val="0"/>
        <w:autoSpaceDN w:val="0"/>
        <w:adjustRightInd w:val="0"/>
        <w:spacing w:after="0" w:line="240" w:lineRule="auto"/>
        <w:jc w:val="both"/>
        <w:rPr>
          <w:rFonts w:ascii="Times New Roman" w:hAnsi="Times New Roman"/>
          <w:color w:val="000000" w:themeColor="text1"/>
          <w:sz w:val="16"/>
          <w:szCs w:val="16"/>
        </w:rPr>
      </w:pPr>
    </w:p>
    <w:p w14:paraId="48165667" w14:textId="77777777" w:rsidR="00282955" w:rsidRPr="007224C3" w:rsidRDefault="00694509" w:rsidP="007224C3">
      <w:pPr>
        <w:pStyle w:val="Iauiue"/>
        <w:jc w:val="both"/>
        <w:rPr>
          <w:color w:val="000000" w:themeColor="text1"/>
          <w:sz w:val="16"/>
          <w:szCs w:val="16"/>
        </w:rPr>
      </w:pPr>
      <w:r w:rsidRPr="007224C3">
        <w:rPr>
          <w:i/>
          <w:color w:val="000000" w:themeColor="text1"/>
          <w:sz w:val="16"/>
          <w:szCs w:val="16"/>
        </w:rPr>
        <w:t>Авиапромышленность:</w:t>
      </w:r>
    </w:p>
    <w:p w14:paraId="1BFD94D2" w14:textId="77777777" w:rsidR="00282955" w:rsidRPr="007224C3" w:rsidRDefault="00282955" w:rsidP="007224C3">
      <w:pPr>
        <w:pStyle w:val="Iauiue"/>
        <w:jc w:val="both"/>
        <w:rPr>
          <w:color w:val="000000" w:themeColor="text1"/>
          <w:sz w:val="16"/>
          <w:szCs w:val="16"/>
        </w:rPr>
      </w:pPr>
    </w:p>
    <w:p w14:paraId="6A43093D" w14:textId="77777777" w:rsidR="00DF6978" w:rsidRPr="007224C3" w:rsidRDefault="00DF6978" w:rsidP="007224C3">
      <w:pPr>
        <w:shd w:val="clear" w:color="auto" w:fill="FFFFFF"/>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началу 1944 г. многие недостатки Ил-4 уже были в значительной мере ус</w:t>
      </w:r>
      <w:r w:rsidRPr="007224C3">
        <w:rPr>
          <w:rFonts w:ascii="Times New Roman" w:hAnsi="Times New Roman"/>
          <w:color w:val="000000" w:themeColor="text1"/>
          <w:sz w:val="16"/>
          <w:szCs w:val="16"/>
        </w:rPr>
        <w:softHyphen/>
        <w:t>транены. Жаль, что сам он к этому вре</w:t>
      </w:r>
      <w:r w:rsidRPr="007224C3">
        <w:rPr>
          <w:rFonts w:ascii="Times New Roman" w:hAnsi="Times New Roman"/>
          <w:color w:val="000000" w:themeColor="text1"/>
          <w:sz w:val="16"/>
          <w:szCs w:val="16"/>
        </w:rPr>
        <w:softHyphen/>
        <w:t>мени устарел. Но замены ему пока не было. В АДД эти машины по численно</w:t>
      </w:r>
      <w:r w:rsidRPr="007224C3">
        <w:rPr>
          <w:rFonts w:ascii="Times New Roman" w:hAnsi="Times New Roman"/>
          <w:color w:val="000000" w:themeColor="text1"/>
          <w:sz w:val="16"/>
          <w:szCs w:val="16"/>
        </w:rPr>
        <w:softHyphen/>
        <w:t>сти значительно- превосходили В-25 и Ли-2 (переоборудованный в бомбарди</w:t>
      </w:r>
      <w:r w:rsidRPr="007224C3">
        <w:rPr>
          <w:rFonts w:ascii="Times New Roman" w:hAnsi="Times New Roman"/>
          <w:color w:val="000000" w:themeColor="text1"/>
          <w:sz w:val="16"/>
          <w:szCs w:val="16"/>
        </w:rPr>
        <w:softHyphen/>
        <w:t>ровщик транспортный ПС-84). Конструкторы сосредоточились на одном из до сих пор не устраненных де</w:t>
      </w:r>
      <w:r w:rsidRPr="007224C3">
        <w:rPr>
          <w:rFonts w:ascii="Times New Roman" w:hAnsi="Times New Roman"/>
          <w:color w:val="000000" w:themeColor="text1"/>
          <w:sz w:val="16"/>
          <w:szCs w:val="16"/>
        </w:rPr>
        <w:softHyphen/>
        <w:t>фектов — уменьшении нагрузок на штурвал при полете на одном моторе (10734,80).</w:t>
      </w:r>
    </w:p>
    <w:p w14:paraId="28C657E8" w14:textId="77777777" w:rsidR="00DF6978" w:rsidRPr="007224C3" w:rsidRDefault="00DF6978" w:rsidP="007224C3">
      <w:pPr>
        <w:shd w:val="clear" w:color="auto" w:fill="FFFFFF"/>
        <w:spacing w:after="0" w:line="240" w:lineRule="auto"/>
        <w:jc w:val="both"/>
        <w:rPr>
          <w:rFonts w:ascii="Times New Roman" w:hAnsi="Times New Roman"/>
          <w:color w:val="000000" w:themeColor="text1"/>
          <w:sz w:val="16"/>
          <w:szCs w:val="16"/>
        </w:rPr>
      </w:pPr>
    </w:p>
    <w:p w14:paraId="5C272497" w14:textId="77777777" w:rsidR="00DF6978" w:rsidRPr="007224C3" w:rsidRDefault="00DF6978" w:rsidP="007224C3">
      <w:pPr>
        <w:pStyle w:val="Iauiue"/>
        <w:jc w:val="both"/>
        <w:rPr>
          <w:color w:val="000000" w:themeColor="text1"/>
          <w:sz w:val="16"/>
          <w:szCs w:val="16"/>
        </w:rPr>
      </w:pPr>
      <w:r w:rsidRPr="007224C3">
        <w:rPr>
          <w:color w:val="000000" w:themeColor="text1"/>
          <w:sz w:val="16"/>
          <w:szCs w:val="16"/>
        </w:rPr>
        <w:t>К началу 1944 в планирующих полетах за СБ испытывался первый перехватчик 302 Бисновата и Костикова, 2-1 был покрашен, 3-й - находился на сборке, а 4-й - еще не запустили. Было ясно, что ТТТ не достигнет (2393,23).</w:t>
      </w:r>
    </w:p>
    <w:p w14:paraId="64B38F5E" w14:textId="77777777" w:rsidR="00DF6978" w:rsidRPr="007224C3" w:rsidRDefault="00DF6978" w:rsidP="007224C3">
      <w:pPr>
        <w:pStyle w:val="Iauiue"/>
        <w:jc w:val="both"/>
        <w:rPr>
          <w:color w:val="000000" w:themeColor="text1"/>
          <w:sz w:val="16"/>
          <w:szCs w:val="16"/>
        </w:rPr>
      </w:pPr>
    </w:p>
    <w:p w14:paraId="578FF32C" w14:textId="77777777" w:rsidR="00DF6978" w:rsidRPr="007224C3" w:rsidRDefault="00DF6978" w:rsidP="007224C3">
      <w:pPr>
        <w:pStyle w:val="ae"/>
        <w:shd w:val="clear" w:color="auto" w:fill="FFFFFF"/>
        <w:spacing w:before="0" w:after="0"/>
        <w:jc w:val="both"/>
        <w:rPr>
          <w:color w:val="000000" w:themeColor="text1"/>
          <w:sz w:val="16"/>
          <w:szCs w:val="16"/>
        </w:rPr>
      </w:pPr>
      <w:r w:rsidRPr="007224C3">
        <w:rPr>
          <w:color w:val="000000" w:themeColor="text1"/>
          <w:sz w:val="16"/>
          <w:szCs w:val="16"/>
        </w:rPr>
        <w:t>К началу 1944 года ОКБ незваля были выполнены первые проработки по теме модификации Пе-8.</w:t>
      </w:r>
    </w:p>
    <w:p w14:paraId="4870B9A6" w14:textId="77777777" w:rsidR="00DF6978" w:rsidRPr="007224C3" w:rsidRDefault="00DF6978" w:rsidP="007224C3">
      <w:pPr>
        <w:pStyle w:val="ae"/>
        <w:shd w:val="clear" w:color="auto" w:fill="FFFFFF"/>
        <w:spacing w:before="0" w:after="0"/>
        <w:jc w:val="both"/>
        <w:rPr>
          <w:color w:val="000000" w:themeColor="text1"/>
          <w:sz w:val="16"/>
          <w:szCs w:val="16"/>
        </w:rPr>
      </w:pPr>
      <w:r w:rsidRPr="007224C3">
        <w:rPr>
          <w:color w:val="000000" w:themeColor="text1"/>
          <w:sz w:val="16"/>
          <w:szCs w:val="16"/>
        </w:rPr>
        <w:t>По самолету был подготовлен эскизный проект. По сравнению с серийным Пе-8 проект предусматривал следующие изменения:</w:t>
      </w:r>
    </w:p>
    <w:p w14:paraId="278EE6E7" w14:textId="77777777" w:rsidR="00DF6978" w:rsidRPr="007224C3" w:rsidRDefault="00DF6978" w:rsidP="007224C3">
      <w:pPr>
        <w:pStyle w:val="ae"/>
        <w:shd w:val="clear" w:color="auto" w:fill="FFFFFF"/>
        <w:spacing w:before="0" w:after="0"/>
        <w:jc w:val="both"/>
        <w:rPr>
          <w:color w:val="000000" w:themeColor="text1"/>
          <w:sz w:val="16"/>
          <w:szCs w:val="16"/>
        </w:rPr>
      </w:pPr>
      <w:r w:rsidRPr="007224C3">
        <w:rPr>
          <w:color w:val="000000" w:themeColor="text1"/>
          <w:sz w:val="16"/>
          <w:szCs w:val="16"/>
        </w:rPr>
        <w:t>1.Новую компоновку передней части фюзеляжа с целью расположения обоих летчиков рядом, с одновременным выносом их кабины вперед для улучшения обзора в стороны. Этим создавались лучшие условия для совместной работы летчиков, значительно упрощались монтаж управления самолетом и моторами, сокращалось количество приборов и некоторого оборудования. В связи с выносом летчиков вперед, изменялась также кабина штурманов. Сокращалась ее длина, штурманы были приближены к носу самолета, что значительно улучшило обзор. В носу фюзеляжа был установлен крупнокалиберный пулемет 12,7 мм на шаровой опоре, с конусом обстрела в 60 градусов, обслуживаемый помощником штурмана.</w:t>
      </w:r>
    </w:p>
    <w:p w14:paraId="303CFE57" w14:textId="77777777" w:rsidR="00DF6978" w:rsidRPr="007224C3" w:rsidRDefault="00DF6978" w:rsidP="007224C3">
      <w:pPr>
        <w:pStyle w:val="ae"/>
        <w:shd w:val="clear" w:color="auto" w:fill="FFFFFF"/>
        <w:spacing w:before="0" w:after="0"/>
        <w:jc w:val="both"/>
        <w:rPr>
          <w:color w:val="000000" w:themeColor="text1"/>
          <w:sz w:val="16"/>
          <w:szCs w:val="16"/>
        </w:rPr>
      </w:pPr>
      <w:r w:rsidRPr="007224C3">
        <w:rPr>
          <w:color w:val="000000" w:themeColor="text1"/>
          <w:sz w:val="16"/>
          <w:szCs w:val="16"/>
        </w:rPr>
        <w:t>2.Увеличение длины бомбового отсека до размеров, обеспечивающих размещение: 1 бомбы ФАБ-5000, 2 бомб ФАБ-2000, 6 бомб ФАБ-1000, 9 бомб ФАБ-500, 16 бомб ФАБ-250, 32 бомб ФАБ-100.</w:t>
      </w:r>
    </w:p>
    <w:p w14:paraId="2EF621F4" w14:textId="77777777" w:rsidR="00DF6978" w:rsidRPr="007224C3" w:rsidRDefault="00DF6978" w:rsidP="007224C3">
      <w:pPr>
        <w:pStyle w:val="ae"/>
        <w:shd w:val="clear" w:color="auto" w:fill="FFFFFF"/>
        <w:spacing w:before="0" w:after="0"/>
        <w:jc w:val="both"/>
        <w:rPr>
          <w:color w:val="000000" w:themeColor="text1"/>
          <w:sz w:val="16"/>
          <w:szCs w:val="16"/>
        </w:rPr>
      </w:pPr>
      <w:r w:rsidRPr="007224C3">
        <w:rPr>
          <w:color w:val="000000" w:themeColor="text1"/>
          <w:sz w:val="16"/>
          <w:szCs w:val="16"/>
        </w:rPr>
        <w:t>Увеличение емкости бомбового отсека достигалось за счет удлинения его вперед и в сторону хвостовой части фюзеляжа, с добавлением соответствующего количества балок с бомбодержателями.</w:t>
      </w:r>
    </w:p>
    <w:p w14:paraId="33815905" w14:textId="77777777" w:rsidR="00DF6978" w:rsidRPr="007224C3" w:rsidRDefault="00DF6978" w:rsidP="007224C3">
      <w:pPr>
        <w:pStyle w:val="ae"/>
        <w:shd w:val="clear" w:color="auto" w:fill="FFFFFF"/>
        <w:spacing w:before="0" w:after="0"/>
        <w:jc w:val="both"/>
        <w:rPr>
          <w:color w:val="000000" w:themeColor="text1"/>
          <w:sz w:val="16"/>
          <w:szCs w:val="16"/>
        </w:rPr>
      </w:pPr>
      <w:r w:rsidRPr="007224C3">
        <w:rPr>
          <w:color w:val="000000" w:themeColor="text1"/>
          <w:sz w:val="16"/>
          <w:szCs w:val="16"/>
        </w:rPr>
        <w:t>В связи с этим изменялось место радиста, его разместили позади первого пилота, рядом с бортмехаником.</w:t>
      </w:r>
    </w:p>
    <w:p w14:paraId="0440E452" w14:textId="77777777" w:rsidR="00DF6978" w:rsidRPr="007224C3" w:rsidRDefault="00DF6978" w:rsidP="007224C3">
      <w:pPr>
        <w:pStyle w:val="ae"/>
        <w:shd w:val="clear" w:color="auto" w:fill="FFFFFF"/>
        <w:spacing w:before="0" w:after="0"/>
        <w:jc w:val="both"/>
        <w:rPr>
          <w:color w:val="000000" w:themeColor="text1"/>
          <w:sz w:val="16"/>
          <w:szCs w:val="16"/>
        </w:rPr>
      </w:pPr>
      <w:r w:rsidRPr="007224C3">
        <w:rPr>
          <w:color w:val="000000" w:themeColor="text1"/>
          <w:sz w:val="16"/>
          <w:szCs w:val="16"/>
        </w:rPr>
        <w:t>3.Улучшение аэродинамики самолета за счет:</w:t>
      </w:r>
    </w:p>
    <w:p w14:paraId="4883C68D" w14:textId="77777777" w:rsidR="00DF6978" w:rsidRPr="007224C3" w:rsidRDefault="00DF6978" w:rsidP="007224C3">
      <w:pPr>
        <w:pStyle w:val="ae"/>
        <w:shd w:val="clear" w:color="auto" w:fill="FFFFFF"/>
        <w:spacing w:before="0" w:after="0"/>
        <w:jc w:val="both"/>
        <w:rPr>
          <w:color w:val="000000" w:themeColor="text1"/>
          <w:sz w:val="16"/>
          <w:szCs w:val="16"/>
        </w:rPr>
      </w:pPr>
      <w:r w:rsidRPr="007224C3">
        <w:rPr>
          <w:color w:val="000000" w:themeColor="text1"/>
          <w:sz w:val="16"/>
          <w:szCs w:val="16"/>
        </w:rPr>
        <w:t>а) уменьшения миделя фюзеляжа;</w:t>
      </w:r>
    </w:p>
    <w:p w14:paraId="0264E1DF" w14:textId="77777777" w:rsidR="00DF6978" w:rsidRPr="007224C3" w:rsidRDefault="00DF6978" w:rsidP="007224C3">
      <w:pPr>
        <w:pStyle w:val="ae"/>
        <w:shd w:val="clear" w:color="auto" w:fill="FFFFFF"/>
        <w:spacing w:before="0" w:after="0"/>
        <w:jc w:val="both"/>
        <w:rPr>
          <w:color w:val="000000" w:themeColor="text1"/>
          <w:sz w:val="16"/>
          <w:szCs w:val="16"/>
        </w:rPr>
      </w:pPr>
      <w:r w:rsidRPr="007224C3">
        <w:rPr>
          <w:color w:val="000000" w:themeColor="text1"/>
          <w:sz w:val="16"/>
          <w:szCs w:val="16"/>
        </w:rPr>
        <w:t>б) уменьшения миделя туннелей водорадиаторов и обтекателей шасси;</w:t>
      </w:r>
    </w:p>
    <w:p w14:paraId="7339E8E6" w14:textId="77777777" w:rsidR="00DF6978" w:rsidRPr="007224C3" w:rsidRDefault="00DF6978" w:rsidP="007224C3">
      <w:pPr>
        <w:pStyle w:val="ae"/>
        <w:shd w:val="clear" w:color="auto" w:fill="FFFFFF"/>
        <w:spacing w:before="0" w:after="0"/>
        <w:jc w:val="both"/>
        <w:rPr>
          <w:color w:val="000000" w:themeColor="text1"/>
          <w:sz w:val="16"/>
          <w:szCs w:val="16"/>
        </w:rPr>
      </w:pPr>
      <w:r w:rsidRPr="007224C3">
        <w:rPr>
          <w:color w:val="000000" w:themeColor="text1"/>
          <w:sz w:val="16"/>
          <w:szCs w:val="16"/>
        </w:rPr>
        <w:t>в)  полного убирания шасси и хвостового колеса;</w:t>
      </w:r>
    </w:p>
    <w:p w14:paraId="0FA8A4F0" w14:textId="77777777" w:rsidR="00DF6978" w:rsidRPr="007224C3" w:rsidRDefault="00DF6978" w:rsidP="007224C3">
      <w:pPr>
        <w:pStyle w:val="ae"/>
        <w:shd w:val="clear" w:color="auto" w:fill="FFFFFF"/>
        <w:spacing w:before="0" w:after="0"/>
        <w:jc w:val="both"/>
        <w:rPr>
          <w:color w:val="000000" w:themeColor="text1"/>
          <w:sz w:val="16"/>
          <w:szCs w:val="16"/>
        </w:rPr>
      </w:pPr>
      <w:r w:rsidRPr="007224C3">
        <w:rPr>
          <w:color w:val="000000" w:themeColor="text1"/>
          <w:sz w:val="16"/>
          <w:szCs w:val="16"/>
        </w:rPr>
        <w:t>г)  понижения уровня спинной турели;</w:t>
      </w:r>
    </w:p>
    <w:p w14:paraId="53CC4C73" w14:textId="77777777" w:rsidR="00DF6978" w:rsidRPr="007224C3" w:rsidRDefault="00DF6978" w:rsidP="007224C3">
      <w:pPr>
        <w:pStyle w:val="ae"/>
        <w:shd w:val="clear" w:color="auto" w:fill="FFFFFF"/>
        <w:spacing w:before="0" w:after="0"/>
        <w:jc w:val="both"/>
        <w:rPr>
          <w:color w:val="000000" w:themeColor="text1"/>
          <w:sz w:val="16"/>
          <w:szCs w:val="16"/>
        </w:rPr>
      </w:pPr>
      <w:r w:rsidRPr="007224C3">
        <w:rPr>
          <w:color w:val="000000" w:themeColor="text1"/>
          <w:sz w:val="16"/>
          <w:szCs w:val="16"/>
        </w:rPr>
        <w:t>д) потайной клепки по всему планеру самолета;</w:t>
      </w:r>
    </w:p>
    <w:p w14:paraId="5F9DB9A2" w14:textId="77777777" w:rsidR="00DF6978" w:rsidRPr="007224C3" w:rsidRDefault="00DF6978" w:rsidP="007224C3">
      <w:pPr>
        <w:pStyle w:val="ae"/>
        <w:shd w:val="clear" w:color="auto" w:fill="FFFFFF"/>
        <w:spacing w:before="0" w:after="0"/>
        <w:jc w:val="both"/>
        <w:rPr>
          <w:color w:val="000000" w:themeColor="text1"/>
          <w:sz w:val="16"/>
          <w:szCs w:val="16"/>
        </w:rPr>
      </w:pPr>
      <w:r w:rsidRPr="007224C3">
        <w:rPr>
          <w:color w:val="000000" w:themeColor="text1"/>
          <w:sz w:val="16"/>
          <w:szCs w:val="16"/>
        </w:rPr>
        <w:t>е) герметизации планера (не путать с герметическим фюзеляжем).</w:t>
      </w:r>
    </w:p>
    <w:p w14:paraId="40E75E3C" w14:textId="77777777" w:rsidR="00DF6978" w:rsidRPr="007224C3" w:rsidRDefault="00DF6978" w:rsidP="007224C3">
      <w:pPr>
        <w:pStyle w:val="ae"/>
        <w:shd w:val="clear" w:color="auto" w:fill="FFFFFF"/>
        <w:spacing w:before="0" w:after="0"/>
        <w:jc w:val="both"/>
        <w:rPr>
          <w:color w:val="000000" w:themeColor="text1"/>
          <w:sz w:val="16"/>
          <w:szCs w:val="16"/>
        </w:rPr>
      </w:pPr>
      <w:r w:rsidRPr="007224C3">
        <w:rPr>
          <w:color w:val="000000" w:themeColor="text1"/>
          <w:sz w:val="16"/>
          <w:szCs w:val="16"/>
        </w:rPr>
        <w:t>4.Увеличение прочности лонжеронов центроплана, консолей крыла, фюзеляжа и шасси из расчета полетной массы 37500 кг, что позволяло перевозить вдвое большое количество бомб по сравнению с Пе-8 (4000 кг на 5000 км).</w:t>
      </w:r>
    </w:p>
    <w:p w14:paraId="0716EA3C" w14:textId="77777777" w:rsidR="00DF6978" w:rsidRPr="007224C3" w:rsidRDefault="00DF6978" w:rsidP="007224C3">
      <w:pPr>
        <w:pStyle w:val="ae"/>
        <w:shd w:val="clear" w:color="auto" w:fill="FFFFFF"/>
        <w:spacing w:before="0" w:after="0"/>
        <w:jc w:val="both"/>
        <w:rPr>
          <w:color w:val="000000" w:themeColor="text1"/>
          <w:sz w:val="16"/>
          <w:szCs w:val="16"/>
        </w:rPr>
      </w:pPr>
      <w:r w:rsidRPr="007224C3">
        <w:rPr>
          <w:color w:val="000000" w:themeColor="text1"/>
          <w:sz w:val="16"/>
          <w:szCs w:val="16"/>
        </w:rPr>
        <w:t>При проектировании ОКБ закладывалось на использование двух типов двигателей: бензиновых с непосредственным впрыском типа АШ-82ФН с турбокомпрессором ТК-3 или дизельных двигателей М-31 (проект дальнейшего развития М-30). С этими двигателями модифицированный Пе-8 должен был обладать следующими летно-тактическими данными при полетной массе 30000 кг:</w:t>
      </w:r>
    </w:p>
    <w:p w14:paraId="1524A963" w14:textId="77777777" w:rsidR="00DF6978" w:rsidRPr="007224C3" w:rsidRDefault="00DF6978" w:rsidP="007224C3">
      <w:pPr>
        <w:pStyle w:val="ae"/>
        <w:shd w:val="clear" w:color="auto" w:fill="FFFFFF"/>
        <w:spacing w:before="0" w:after="0"/>
        <w:jc w:val="both"/>
        <w:rPr>
          <w:color w:val="000000" w:themeColor="text1"/>
          <w:sz w:val="16"/>
          <w:szCs w:val="16"/>
        </w:rPr>
      </w:pPr>
      <w:r w:rsidRPr="007224C3">
        <w:rPr>
          <w:color w:val="000000" w:themeColor="text1"/>
          <w:sz w:val="16"/>
          <w:szCs w:val="16"/>
        </w:rPr>
        <w:t>С двигателями М-31 при полетной массе 37500 кг с 1000 кг бомб, при запасе топлива 11800 кг дальность самолета равнялась 7500 км; с 8000 кг бомб и запасом топлива 4800 кг - 2700 км. С двигателями АШ-82ФН с ТК-3 дальность при тех же бомбовых нагрузках и запасами топлива 11000 кг при полетной массе 33500 кг и 8000 кг при полетной массе 37500 кг равнялась соответственно 5300 км и 3150 км.</w:t>
      </w:r>
    </w:p>
    <w:p w14:paraId="3A82E72C" w14:textId="77777777" w:rsidR="00DF6978" w:rsidRPr="007224C3" w:rsidRDefault="00DF6978" w:rsidP="007224C3">
      <w:pPr>
        <w:pStyle w:val="ae"/>
        <w:shd w:val="clear" w:color="auto" w:fill="FFFFFF"/>
        <w:spacing w:before="0" w:after="0"/>
        <w:jc w:val="both"/>
        <w:rPr>
          <w:color w:val="000000" w:themeColor="text1"/>
          <w:sz w:val="16"/>
          <w:szCs w:val="16"/>
        </w:rPr>
      </w:pPr>
      <w:r w:rsidRPr="007224C3">
        <w:rPr>
          <w:color w:val="000000" w:themeColor="text1"/>
          <w:sz w:val="16"/>
          <w:szCs w:val="16"/>
        </w:rPr>
        <w:t>По составу и размещению оборонительное пулеметно-пушечное вооружение самолета соответствовало Пе-8 4М-82.</w:t>
      </w:r>
    </w:p>
    <w:p w14:paraId="4AEB6344" w14:textId="77777777" w:rsidR="00DF6978" w:rsidRPr="007224C3" w:rsidRDefault="00DF6978" w:rsidP="007224C3">
      <w:pPr>
        <w:pStyle w:val="ae"/>
        <w:shd w:val="clear" w:color="auto" w:fill="FFFFFF"/>
        <w:spacing w:before="0" w:after="0"/>
        <w:jc w:val="both"/>
        <w:rPr>
          <w:color w:val="000000" w:themeColor="text1"/>
          <w:sz w:val="16"/>
          <w:szCs w:val="16"/>
        </w:rPr>
      </w:pPr>
      <w:r w:rsidRPr="007224C3">
        <w:rPr>
          <w:color w:val="000000" w:themeColor="text1"/>
          <w:sz w:val="16"/>
          <w:szCs w:val="16"/>
        </w:rPr>
        <w:lastRenderedPageBreak/>
        <w:t>Проведенная модернизация, по сравнению с серийным Пе-8 4М-82 выпуска 1943 года, давала следующие преимущества:</w:t>
      </w:r>
    </w:p>
    <w:p w14:paraId="434C1134" w14:textId="77777777" w:rsidR="00DF6978" w:rsidRPr="007224C3" w:rsidRDefault="00DF6978" w:rsidP="007224C3">
      <w:pPr>
        <w:pStyle w:val="ae"/>
        <w:shd w:val="clear" w:color="auto" w:fill="FFFFFF"/>
        <w:spacing w:before="0" w:after="0"/>
        <w:jc w:val="both"/>
        <w:rPr>
          <w:color w:val="000000" w:themeColor="text1"/>
          <w:sz w:val="16"/>
          <w:szCs w:val="16"/>
        </w:rPr>
      </w:pPr>
      <w:r w:rsidRPr="007224C3">
        <w:rPr>
          <w:color w:val="000000" w:themeColor="text1"/>
          <w:sz w:val="16"/>
          <w:szCs w:val="16"/>
        </w:rPr>
        <w:t>1.  При равной бомбовой нагрузке один модифицированный Пе-8 мог заменять два серийных.</w:t>
      </w:r>
    </w:p>
    <w:p w14:paraId="583CC823" w14:textId="77777777" w:rsidR="00DF6978" w:rsidRPr="007224C3" w:rsidRDefault="00DF6978" w:rsidP="007224C3">
      <w:pPr>
        <w:pStyle w:val="ae"/>
        <w:shd w:val="clear" w:color="auto" w:fill="FFFFFF"/>
        <w:spacing w:before="0" w:after="0"/>
        <w:jc w:val="both"/>
        <w:rPr>
          <w:color w:val="000000" w:themeColor="text1"/>
          <w:sz w:val="16"/>
          <w:szCs w:val="16"/>
        </w:rPr>
      </w:pPr>
      <w:r w:rsidRPr="007224C3">
        <w:rPr>
          <w:color w:val="000000" w:themeColor="text1"/>
          <w:sz w:val="16"/>
          <w:szCs w:val="16"/>
        </w:rPr>
        <w:t>2.  Размещение основной части бомб внутри фюзеляжа, а также другие улучшения аэродинамики снизили километровые расходы топлива на 10%.</w:t>
      </w:r>
    </w:p>
    <w:p w14:paraId="2ED6D529" w14:textId="77777777" w:rsidR="00DF6978" w:rsidRPr="007224C3" w:rsidRDefault="00DF6978" w:rsidP="007224C3">
      <w:pPr>
        <w:pStyle w:val="ae"/>
        <w:shd w:val="clear" w:color="auto" w:fill="FFFFFF"/>
        <w:spacing w:before="0" w:after="0"/>
        <w:jc w:val="both"/>
        <w:rPr>
          <w:color w:val="000000" w:themeColor="text1"/>
          <w:sz w:val="16"/>
          <w:szCs w:val="16"/>
        </w:rPr>
      </w:pPr>
      <w:r w:rsidRPr="007224C3">
        <w:rPr>
          <w:color w:val="000000" w:themeColor="text1"/>
          <w:sz w:val="16"/>
          <w:szCs w:val="16"/>
        </w:rPr>
        <w:t>3. Увеличение максимальной скорости на 13% дает возможность самолету решать ряд новых тактических задач.</w:t>
      </w:r>
    </w:p>
    <w:p w14:paraId="02BC55B2" w14:textId="77777777" w:rsidR="00DF6978" w:rsidRPr="007224C3" w:rsidRDefault="00DF6978" w:rsidP="007224C3">
      <w:pPr>
        <w:pStyle w:val="ae"/>
        <w:shd w:val="clear" w:color="auto" w:fill="FFFFFF"/>
        <w:spacing w:before="0" w:after="0"/>
        <w:jc w:val="both"/>
        <w:rPr>
          <w:color w:val="000000" w:themeColor="text1"/>
          <w:sz w:val="16"/>
          <w:szCs w:val="16"/>
        </w:rPr>
      </w:pPr>
      <w:r w:rsidRPr="007224C3">
        <w:rPr>
          <w:color w:val="000000" w:themeColor="text1"/>
          <w:sz w:val="16"/>
          <w:szCs w:val="16"/>
        </w:rPr>
        <w:t>4.  Расположение основного экипажа впереди двигателей, помимо улучшения обзора, намного улучшало условия его работы в полете (12187).</w:t>
      </w:r>
    </w:p>
    <w:p w14:paraId="0E30524D" w14:textId="77777777" w:rsidR="00DF6978" w:rsidRPr="007224C3" w:rsidRDefault="00DF6978" w:rsidP="007224C3">
      <w:pPr>
        <w:pStyle w:val="ae"/>
        <w:shd w:val="clear" w:color="auto" w:fill="FFFFFF"/>
        <w:spacing w:before="0" w:after="0"/>
        <w:jc w:val="both"/>
        <w:rPr>
          <w:color w:val="000000" w:themeColor="text1"/>
          <w:sz w:val="16"/>
          <w:szCs w:val="16"/>
        </w:rPr>
      </w:pPr>
    </w:p>
    <w:p w14:paraId="6ED21622" w14:textId="77777777" w:rsidR="00DF6978" w:rsidRPr="007224C3" w:rsidRDefault="00DF6978" w:rsidP="007224C3">
      <w:pPr>
        <w:pStyle w:val="Iauiue"/>
        <w:jc w:val="both"/>
        <w:rPr>
          <w:color w:val="000000" w:themeColor="text1"/>
          <w:sz w:val="16"/>
          <w:szCs w:val="16"/>
        </w:rPr>
      </w:pPr>
      <w:r w:rsidRPr="007224C3">
        <w:rPr>
          <w:color w:val="000000" w:themeColor="text1"/>
          <w:sz w:val="16"/>
          <w:szCs w:val="16"/>
        </w:rPr>
        <w:t>К началу 1944 на 477 заводе Г.М.Б. был разработан макет ЛЛ-143 (2555,345).</w:t>
      </w:r>
    </w:p>
    <w:p w14:paraId="0CA8161C" w14:textId="77777777" w:rsidR="00DF6978" w:rsidRPr="007224C3" w:rsidRDefault="00DF6978" w:rsidP="007224C3">
      <w:pPr>
        <w:pStyle w:val="Iauiue"/>
        <w:jc w:val="both"/>
        <w:rPr>
          <w:color w:val="000000" w:themeColor="text1"/>
          <w:sz w:val="16"/>
          <w:szCs w:val="16"/>
        </w:rPr>
      </w:pPr>
    </w:p>
    <w:p w14:paraId="2764D81C" w14:textId="77777777" w:rsidR="00051986" w:rsidRPr="007224C3" w:rsidRDefault="0005198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началу 1944 г. специалисты БНТ ЦАГИ проанализировали работу механизмов управления фонарем кабины пилота разных типов истребителей и пришли к выводу, что одним из лучших решений стала конструкция фонаря истребителя FW 190. Механизм аварийного сброса фонаря приводился в действие пиропатроном (19727).</w:t>
      </w:r>
    </w:p>
    <w:p w14:paraId="62C37CE4" w14:textId="77777777" w:rsidR="00051986" w:rsidRPr="007224C3" w:rsidRDefault="00051986" w:rsidP="007224C3">
      <w:pPr>
        <w:spacing w:after="0" w:line="240" w:lineRule="auto"/>
        <w:jc w:val="both"/>
        <w:rPr>
          <w:rFonts w:ascii="Times New Roman" w:hAnsi="Times New Roman"/>
          <w:color w:val="000000" w:themeColor="text1"/>
          <w:sz w:val="16"/>
          <w:szCs w:val="16"/>
        </w:rPr>
      </w:pPr>
    </w:p>
    <w:p w14:paraId="009B250D" w14:textId="77777777" w:rsidR="009812BB" w:rsidRPr="007224C3" w:rsidRDefault="009812B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5AE91E9D" w14:textId="77777777" w:rsidR="009812BB" w:rsidRPr="007224C3" w:rsidRDefault="009812B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C486466" w14:textId="77777777" w:rsidR="009812BB" w:rsidRPr="007224C3" w:rsidRDefault="009812BB"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 xml:space="preserve">К началу 1944 года на фоне обострившейся конкуренции между опытным заводом №100 и ЧКЗ (Челябинским Кировским заводом) наметилась тенденция к разделению работ. Ещё летом 1943 года СКБ-2 ЧКЗ начало инициативную разработку тяжёлого танка, который во многом соответствовал ТТТ от конца ноября 1943 года. В отличие от проекта модернизации </w:t>
      </w:r>
      <w:hyperlink r:id="rId8" w:history="1">
        <w:r w:rsidRPr="007224C3">
          <w:rPr>
            <w:rFonts w:ascii="Times New Roman" w:eastAsia="Times New Roman" w:hAnsi="Times New Roman"/>
            <w:color w:val="000000" w:themeColor="text1"/>
            <w:sz w:val="16"/>
            <w:szCs w:val="16"/>
            <w:lang w:eastAsia="ru-RU"/>
          </w:rPr>
          <w:t>КВ-85</w:t>
        </w:r>
      </w:hyperlink>
      <w:r w:rsidRPr="007224C3">
        <w:rPr>
          <w:rFonts w:ascii="Times New Roman" w:eastAsia="Times New Roman" w:hAnsi="Times New Roman"/>
          <w:color w:val="000000" w:themeColor="text1"/>
          <w:sz w:val="16"/>
          <w:szCs w:val="16"/>
          <w:lang w:eastAsia="ru-RU"/>
        </w:rPr>
        <w:t>, за который Зальцман и Махонин получили нагоняй от наркома танковой промышленности Малышева, эта разработка последним была одобрена. 56-тонный танк «К» вскоре превратился в Объект 701. Так наметились два направления работ: модернизация ИС-2 и создание потенциальной замены для него.</w:t>
      </w:r>
    </w:p>
    <w:p w14:paraId="4040698F" w14:textId="77777777" w:rsidR="009812BB" w:rsidRPr="007224C3" w:rsidRDefault="009812BB"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Это разветвление стало одним из нескольких странных событий, происходивших в 1944 году на территории Челябинска (17756).</w:t>
      </w:r>
    </w:p>
    <w:p w14:paraId="021E57E3" w14:textId="77777777" w:rsidR="009812BB" w:rsidRPr="007224C3" w:rsidRDefault="009812BB" w:rsidP="007224C3">
      <w:pPr>
        <w:pStyle w:val="123"/>
        <w:shd w:val="clear" w:color="auto" w:fill="auto"/>
        <w:spacing w:after="0" w:line="240" w:lineRule="auto"/>
        <w:jc w:val="both"/>
        <w:rPr>
          <w:color w:val="000000" w:themeColor="text1"/>
          <w:sz w:val="16"/>
          <w:szCs w:val="16"/>
        </w:rPr>
      </w:pPr>
    </w:p>
    <w:p w14:paraId="58E47FAD" w14:textId="77777777" w:rsidR="005106D0" w:rsidRPr="007224C3" w:rsidRDefault="005106D0" w:rsidP="007224C3">
      <w:pPr>
        <w:pStyle w:val="article-renderblock"/>
        <w:shd w:val="clear" w:color="auto" w:fill="FFFFFF"/>
        <w:spacing w:before="0" w:beforeAutospacing="0" w:after="0" w:afterAutospacing="0"/>
        <w:jc w:val="both"/>
        <w:rPr>
          <w:color w:val="0070C0"/>
          <w:sz w:val="16"/>
          <w:szCs w:val="16"/>
        </w:rPr>
      </w:pPr>
      <w:r w:rsidRPr="007224C3">
        <w:rPr>
          <w:color w:val="0070C0"/>
          <w:sz w:val="16"/>
          <w:szCs w:val="16"/>
        </w:rPr>
        <w:t>К началу 1944 года на территории БТРЗ №66 (Тбилиси) находилось 10 танков Т-50, плюс 1 они отремонтировали. В дальнейшем часть танков также была введена в строй, правда, уже не воевала. Во-вторых, один из танков 488-го ОТБ ныне является единственным Т-50, сохранившимся в России. Это та самая машина с серийным номером К-11232, которая успела повоевать в составе 150-й танковой бригады. Ныне машина находится в экспозиции парка "Патриот", недавно ее поставили на ход (21068).</w:t>
      </w:r>
    </w:p>
    <w:p w14:paraId="51030808" w14:textId="77777777" w:rsidR="005106D0" w:rsidRPr="007224C3" w:rsidRDefault="005106D0" w:rsidP="007224C3">
      <w:pPr>
        <w:pStyle w:val="article-renderblock"/>
        <w:shd w:val="clear" w:color="auto" w:fill="FFFFFF"/>
        <w:spacing w:before="0" w:beforeAutospacing="0" w:after="0" w:afterAutospacing="0"/>
        <w:jc w:val="both"/>
        <w:rPr>
          <w:color w:val="0070C0"/>
          <w:sz w:val="16"/>
          <w:szCs w:val="16"/>
        </w:rPr>
      </w:pPr>
    </w:p>
    <w:p w14:paraId="611E5723" w14:textId="77777777" w:rsidR="0059774D" w:rsidRPr="007224C3" w:rsidRDefault="0059774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Даже к началу 1944 года Т-60 оставался довольно массовым явлением на поле боя. Из 1638 танков, числившихся на 1 января 1944 года, 684 всё ещё служили во фронтовых частях. Последним массовым случаем их боевого применения стали сражения на Ленинградском фронте летом-осенью 1944 года — не так уж и плохо для эрзац-танка, созданного за десять дней (19802).</w:t>
      </w:r>
    </w:p>
    <w:p w14:paraId="6401B1FB" w14:textId="77777777" w:rsidR="0059774D" w:rsidRPr="007224C3" w:rsidRDefault="0059774D" w:rsidP="007224C3">
      <w:pPr>
        <w:spacing w:after="0" w:line="240" w:lineRule="auto"/>
        <w:jc w:val="both"/>
        <w:rPr>
          <w:rFonts w:ascii="Times New Roman" w:hAnsi="Times New Roman"/>
          <w:color w:val="000000" w:themeColor="text1"/>
          <w:sz w:val="16"/>
          <w:szCs w:val="16"/>
        </w:rPr>
      </w:pPr>
    </w:p>
    <w:p w14:paraId="3015D9FA" w14:textId="77777777" w:rsidR="00DF6978" w:rsidRPr="007224C3" w:rsidRDefault="00694509" w:rsidP="007224C3">
      <w:pPr>
        <w:pStyle w:val="Iauiue"/>
        <w:jc w:val="both"/>
        <w:rPr>
          <w:color w:val="000000" w:themeColor="text1"/>
          <w:sz w:val="16"/>
          <w:szCs w:val="16"/>
        </w:rPr>
      </w:pPr>
      <w:r w:rsidRPr="007224C3">
        <w:rPr>
          <w:i/>
          <w:color w:val="000000" w:themeColor="text1"/>
          <w:sz w:val="16"/>
          <w:szCs w:val="16"/>
        </w:rPr>
        <w:t>Армия:</w:t>
      </w:r>
    </w:p>
    <w:p w14:paraId="515825F5" w14:textId="77777777" w:rsidR="00DF6978" w:rsidRPr="007224C3" w:rsidRDefault="00DF6978" w:rsidP="007224C3">
      <w:pPr>
        <w:pStyle w:val="Iauiue"/>
        <w:jc w:val="both"/>
        <w:rPr>
          <w:color w:val="000000" w:themeColor="text1"/>
          <w:sz w:val="16"/>
          <w:szCs w:val="16"/>
        </w:rPr>
      </w:pPr>
    </w:p>
    <w:p w14:paraId="3DB5158D" w14:textId="77777777" w:rsidR="00DF6978" w:rsidRPr="007224C3" w:rsidRDefault="00DF6978" w:rsidP="007224C3">
      <w:pPr>
        <w:pStyle w:val="Iauiue"/>
        <w:jc w:val="both"/>
        <w:rPr>
          <w:color w:val="000000" w:themeColor="text1"/>
          <w:sz w:val="16"/>
          <w:szCs w:val="16"/>
        </w:rPr>
      </w:pPr>
      <w:r w:rsidRPr="007224C3">
        <w:rPr>
          <w:color w:val="000000" w:themeColor="text1"/>
          <w:sz w:val="16"/>
          <w:szCs w:val="16"/>
        </w:rPr>
        <w:t>К началу 1944 доля штурмовиков составляла около 30% общего числа боевых самолетов, имевшихся в действующих воздушных армиях (337,76).</w:t>
      </w:r>
    </w:p>
    <w:p w14:paraId="67088B20" w14:textId="77777777" w:rsidR="00DF6978" w:rsidRPr="007224C3" w:rsidRDefault="00DF6978" w:rsidP="007224C3">
      <w:pPr>
        <w:pStyle w:val="Iauiue"/>
        <w:jc w:val="both"/>
        <w:rPr>
          <w:color w:val="000000" w:themeColor="text1"/>
          <w:sz w:val="16"/>
          <w:szCs w:val="16"/>
        </w:rPr>
      </w:pPr>
    </w:p>
    <w:p w14:paraId="4DCE40B6" w14:textId="77777777" w:rsidR="00DF6978" w:rsidRPr="007224C3" w:rsidRDefault="00DF6978" w:rsidP="007224C3">
      <w:pPr>
        <w:pStyle w:val="Iauiue"/>
        <w:jc w:val="both"/>
        <w:rPr>
          <w:color w:val="000000" w:themeColor="text1"/>
          <w:sz w:val="16"/>
          <w:szCs w:val="16"/>
        </w:rPr>
      </w:pPr>
      <w:r w:rsidRPr="007224C3">
        <w:rPr>
          <w:color w:val="000000" w:themeColor="text1"/>
          <w:sz w:val="16"/>
          <w:szCs w:val="16"/>
        </w:rPr>
        <w:t>Силы МПВО, задействованные в прифронтовой полосе к началу 1944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92"/>
        <w:gridCol w:w="2032"/>
        <w:gridCol w:w="2032"/>
        <w:gridCol w:w="2032"/>
      </w:tblGrid>
      <w:tr w:rsidR="006331D6" w:rsidRPr="007224C3" w14:paraId="430276AF" w14:textId="77777777" w:rsidTr="00DF6978">
        <w:tc>
          <w:tcPr>
            <w:tcW w:w="392" w:type="dxa"/>
          </w:tcPr>
          <w:p w14:paraId="7C956A25" w14:textId="77777777" w:rsidR="00DF6978" w:rsidRPr="007224C3" w:rsidRDefault="00DF6978" w:rsidP="007224C3">
            <w:pPr>
              <w:pStyle w:val="Iauiue"/>
              <w:jc w:val="both"/>
              <w:rPr>
                <w:color w:val="000000" w:themeColor="text1"/>
                <w:sz w:val="16"/>
                <w:szCs w:val="16"/>
              </w:rPr>
            </w:pPr>
            <w:r w:rsidRPr="007224C3">
              <w:rPr>
                <w:color w:val="000000" w:themeColor="text1"/>
                <w:sz w:val="16"/>
                <w:szCs w:val="16"/>
              </w:rPr>
              <w:t>№ п/п</w:t>
            </w:r>
          </w:p>
        </w:tc>
        <w:tc>
          <w:tcPr>
            <w:tcW w:w="2032" w:type="dxa"/>
          </w:tcPr>
          <w:p w14:paraId="0B15FA17" w14:textId="77777777" w:rsidR="00DF6978" w:rsidRPr="007224C3" w:rsidRDefault="00DF6978" w:rsidP="007224C3">
            <w:pPr>
              <w:pStyle w:val="Iauiue"/>
              <w:jc w:val="both"/>
              <w:rPr>
                <w:color w:val="000000" w:themeColor="text1"/>
                <w:sz w:val="16"/>
                <w:szCs w:val="16"/>
              </w:rPr>
            </w:pPr>
            <w:r w:rsidRPr="007224C3">
              <w:rPr>
                <w:color w:val="000000" w:themeColor="text1"/>
                <w:sz w:val="16"/>
                <w:szCs w:val="16"/>
              </w:rPr>
              <w:t xml:space="preserve">Наименование </w:t>
            </w:r>
          </w:p>
        </w:tc>
        <w:tc>
          <w:tcPr>
            <w:tcW w:w="2032" w:type="dxa"/>
          </w:tcPr>
          <w:p w14:paraId="65280684" w14:textId="77777777" w:rsidR="00DF6978" w:rsidRPr="007224C3" w:rsidRDefault="00DF6978" w:rsidP="007224C3">
            <w:pPr>
              <w:pStyle w:val="Iauiue"/>
              <w:jc w:val="both"/>
              <w:rPr>
                <w:color w:val="000000" w:themeColor="text1"/>
                <w:sz w:val="16"/>
                <w:szCs w:val="16"/>
              </w:rPr>
            </w:pPr>
            <w:r w:rsidRPr="007224C3">
              <w:rPr>
                <w:color w:val="000000" w:themeColor="text1"/>
                <w:sz w:val="16"/>
                <w:szCs w:val="16"/>
              </w:rPr>
              <w:t xml:space="preserve">Кол-во </w:t>
            </w:r>
          </w:p>
        </w:tc>
        <w:tc>
          <w:tcPr>
            <w:tcW w:w="2032" w:type="dxa"/>
          </w:tcPr>
          <w:p w14:paraId="4B8EDEB4" w14:textId="77777777" w:rsidR="00DF6978" w:rsidRPr="007224C3" w:rsidRDefault="00DF6978" w:rsidP="007224C3">
            <w:pPr>
              <w:pStyle w:val="Iauiue"/>
              <w:jc w:val="both"/>
              <w:rPr>
                <w:color w:val="000000" w:themeColor="text1"/>
                <w:sz w:val="16"/>
                <w:szCs w:val="16"/>
              </w:rPr>
            </w:pPr>
            <w:r w:rsidRPr="007224C3">
              <w:rPr>
                <w:color w:val="000000" w:themeColor="text1"/>
                <w:sz w:val="16"/>
                <w:szCs w:val="16"/>
              </w:rPr>
              <w:t xml:space="preserve">Численность </w:t>
            </w:r>
          </w:p>
        </w:tc>
      </w:tr>
      <w:tr w:rsidR="006331D6" w:rsidRPr="007224C3" w14:paraId="7B32A1CE" w14:textId="77777777" w:rsidTr="00DF6978">
        <w:tc>
          <w:tcPr>
            <w:tcW w:w="392" w:type="dxa"/>
          </w:tcPr>
          <w:p w14:paraId="508FE280" w14:textId="77777777" w:rsidR="00DF6978" w:rsidRPr="007224C3" w:rsidRDefault="00DF6978" w:rsidP="007224C3">
            <w:pPr>
              <w:pStyle w:val="Iauiue"/>
              <w:jc w:val="both"/>
              <w:rPr>
                <w:color w:val="000000" w:themeColor="text1"/>
                <w:sz w:val="16"/>
                <w:szCs w:val="16"/>
              </w:rPr>
            </w:pPr>
            <w:r w:rsidRPr="007224C3">
              <w:rPr>
                <w:color w:val="000000" w:themeColor="text1"/>
                <w:sz w:val="16"/>
                <w:szCs w:val="16"/>
              </w:rPr>
              <w:t xml:space="preserve">1 </w:t>
            </w:r>
          </w:p>
        </w:tc>
        <w:tc>
          <w:tcPr>
            <w:tcW w:w="2032" w:type="dxa"/>
          </w:tcPr>
          <w:p w14:paraId="3AF13AEB" w14:textId="77777777" w:rsidR="00DF6978" w:rsidRPr="007224C3" w:rsidRDefault="00DF6978" w:rsidP="007224C3">
            <w:pPr>
              <w:pStyle w:val="Iauiue"/>
              <w:jc w:val="both"/>
              <w:rPr>
                <w:color w:val="000000" w:themeColor="text1"/>
                <w:sz w:val="16"/>
                <w:szCs w:val="16"/>
              </w:rPr>
            </w:pPr>
            <w:r w:rsidRPr="007224C3">
              <w:rPr>
                <w:color w:val="000000" w:themeColor="text1"/>
                <w:sz w:val="16"/>
                <w:szCs w:val="16"/>
              </w:rPr>
              <w:t>Инженерно-противохимические полки</w:t>
            </w:r>
          </w:p>
        </w:tc>
        <w:tc>
          <w:tcPr>
            <w:tcW w:w="2032" w:type="dxa"/>
          </w:tcPr>
          <w:p w14:paraId="536E0ADC" w14:textId="77777777" w:rsidR="00DF6978" w:rsidRPr="007224C3" w:rsidRDefault="00DF6978" w:rsidP="007224C3">
            <w:pPr>
              <w:pStyle w:val="Iauiue"/>
              <w:jc w:val="both"/>
              <w:rPr>
                <w:color w:val="000000" w:themeColor="text1"/>
                <w:sz w:val="16"/>
                <w:szCs w:val="16"/>
              </w:rPr>
            </w:pPr>
            <w:r w:rsidRPr="007224C3">
              <w:rPr>
                <w:color w:val="000000" w:themeColor="text1"/>
                <w:sz w:val="16"/>
                <w:szCs w:val="16"/>
              </w:rPr>
              <w:t xml:space="preserve">7 </w:t>
            </w:r>
          </w:p>
        </w:tc>
        <w:tc>
          <w:tcPr>
            <w:tcW w:w="2032" w:type="dxa"/>
          </w:tcPr>
          <w:p w14:paraId="3FA36A52" w14:textId="77777777" w:rsidR="00DF6978" w:rsidRPr="007224C3" w:rsidRDefault="00DF6978" w:rsidP="007224C3">
            <w:pPr>
              <w:pStyle w:val="Iauiue"/>
              <w:jc w:val="both"/>
              <w:rPr>
                <w:color w:val="000000" w:themeColor="text1"/>
                <w:sz w:val="16"/>
                <w:szCs w:val="16"/>
              </w:rPr>
            </w:pPr>
            <w:r w:rsidRPr="007224C3">
              <w:rPr>
                <w:color w:val="000000" w:themeColor="text1"/>
                <w:sz w:val="16"/>
                <w:szCs w:val="16"/>
              </w:rPr>
              <w:t xml:space="preserve">8372 </w:t>
            </w:r>
          </w:p>
        </w:tc>
      </w:tr>
      <w:tr w:rsidR="006331D6" w:rsidRPr="007224C3" w14:paraId="283C8308" w14:textId="77777777" w:rsidTr="00DF6978">
        <w:tc>
          <w:tcPr>
            <w:tcW w:w="392" w:type="dxa"/>
          </w:tcPr>
          <w:p w14:paraId="607649C1" w14:textId="77777777" w:rsidR="00DF6978" w:rsidRPr="007224C3" w:rsidRDefault="00DF6978" w:rsidP="007224C3">
            <w:pPr>
              <w:pStyle w:val="Iauiue"/>
              <w:jc w:val="both"/>
              <w:rPr>
                <w:color w:val="000000" w:themeColor="text1"/>
                <w:sz w:val="16"/>
                <w:szCs w:val="16"/>
              </w:rPr>
            </w:pPr>
            <w:r w:rsidRPr="007224C3">
              <w:rPr>
                <w:color w:val="000000" w:themeColor="text1"/>
                <w:sz w:val="16"/>
                <w:szCs w:val="16"/>
              </w:rPr>
              <w:t xml:space="preserve">2 </w:t>
            </w:r>
          </w:p>
        </w:tc>
        <w:tc>
          <w:tcPr>
            <w:tcW w:w="2032" w:type="dxa"/>
          </w:tcPr>
          <w:p w14:paraId="34F85CF0" w14:textId="77777777" w:rsidR="00DF6978" w:rsidRPr="007224C3" w:rsidRDefault="00DF6978" w:rsidP="007224C3">
            <w:pPr>
              <w:pStyle w:val="Iauiue"/>
              <w:jc w:val="both"/>
              <w:rPr>
                <w:color w:val="000000" w:themeColor="text1"/>
                <w:sz w:val="16"/>
                <w:szCs w:val="16"/>
              </w:rPr>
            </w:pPr>
            <w:r w:rsidRPr="007224C3">
              <w:rPr>
                <w:color w:val="000000" w:themeColor="text1"/>
                <w:sz w:val="16"/>
                <w:szCs w:val="16"/>
              </w:rPr>
              <w:t xml:space="preserve">Отд. инженерно-противохимические батальоны </w:t>
            </w:r>
          </w:p>
        </w:tc>
        <w:tc>
          <w:tcPr>
            <w:tcW w:w="2032" w:type="dxa"/>
          </w:tcPr>
          <w:p w14:paraId="37122546" w14:textId="77777777" w:rsidR="00DF6978" w:rsidRPr="007224C3" w:rsidRDefault="00DF6978" w:rsidP="007224C3">
            <w:pPr>
              <w:pStyle w:val="Iauiue"/>
              <w:jc w:val="both"/>
              <w:rPr>
                <w:color w:val="000000" w:themeColor="text1"/>
                <w:sz w:val="16"/>
                <w:szCs w:val="16"/>
              </w:rPr>
            </w:pPr>
            <w:r w:rsidRPr="007224C3">
              <w:rPr>
                <w:color w:val="000000" w:themeColor="text1"/>
                <w:sz w:val="16"/>
                <w:szCs w:val="16"/>
              </w:rPr>
              <w:t xml:space="preserve">9 </w:t>
            </w:r>
          </w:p>
        </w:tc>
        <w:tc>
          <w:tcPr>
            <w:tcW w:w="2032" w:type="dxa"/>
          </w:tcPr>
          <w:p w14:paraId="4E2CD036" w14:textId="77777777" w:rsidR="00DF6978" w:rsidRPr="007224C3" w:rsidRDefault="00DF6978" w:rsidP="007224C3">
            <w:pPr>
              <w:pStyle w:val="Iauiue"/>
              <w:jc w:val="both"/>
              <w:rPr>
                <w:color w:val="000000" w:themeColor="text1"/>
                <w:sz w:val="16"/>
                <w:szCs w:val="16"/>
              </w:rPr>
            </w:pPr>
            <w:r w:rsidRPr="007224C3">
              <w:rPr>
                <w:color w:val="000000" w:themeColor="text1"/>
                <w:sz w:val="16"/>
                <w:szCs w:val="16"/>
              </w:rPr>
              <w:t xml:space="preserve">3248 </w:t>
            </w:r>
          </w:p>
        </w:tc>
      </w:tr>
      <w:tr w:rsidR="006331D6" w:rsidRPr="007224C3" w14:paraId="2F5B375C" w14:textId="77777777" w:rsidTr="00DF6978">
        <w:tc>
          <w:tcPr>
            <w:tcW w:w="392" w:type="dxa"/>
          </w:tcPr>
          <w:p w14:paraId="347B9476" w14:textId="77777777" w:rsidR="00DF6978" w:rsidRPr="007224C3" w:rsidRDefault="00DF6978" w:rsidP="007224C3">
            <w:pPr>
              <w:pStyle w:val="Iauiue"/>
              <w:jc w:val="both"/>
              <w:rPr>
                <w:color w:val="000000" w:themeColor="text1"/>
                <w:sz w:val="16"/>
                <w:szCs w:val="16"/>
              </w:rPr>
            </w:pPr>
            <w:r w:rsidRPr="007224C3">
              <w:rPr>
                <w:color w:val="000000" w:themeColor="text1"/>
                <w:sz w:val="16"/>
                <w:szCs w:val="16"/>
              </w:rPr>
              <w:t xml:space="preserve">3 </w:t>
            </w:r>
          </w:p>
        </w:tc>
        <w:tc>
          <w:tcPr>
            <w:tcW w:w="2032" w:type="dxa"/>
          </w:tcPr>
          <w:p w14:paraId="03FB4272" w14:textId="77777777" w:rsidR="00DF6978" w:rsidRPr="007224C3" w:rsidRDefault="00DF6978" w:rsidP="007224C3">
            <w:pPr>
              <w:pStyle w:val="Iauiue"/>
              <w:jc w:val="both"/>
              <w:rPr>
                <w:color w:val="000000" w:themeColor="text1"/>
                <w:sz w:val="16"/>
                <w:szCs w:val="16"/>
              </w:rPr>
            </w:pPr>
            <w:r w:rsidRPr="007224C3">
              <w:rPr>
                <w:color w:val="000000" w:themeColor="text1"/>
                <w:sz w:val="16"/>
                <w:szCs w:val="16"/>
              </w:rPr>
              <w:t xml:space="preserve">Городские батальоны войск МПВО </w:t>
            </w:r>
          </w:p>
        </w:tc>
        <w:tc>
          <w:tcPr>
            <w:tcW w:w="2032" w:type="dxa"/>
          </w:tcPr>
          <w:p w14:paraId="5930BF24" w14:textId="77777777" w:rsidR="00DF6978" w:rsidRPr="007224C3" w:rsidRDefault="00DF6978" w:rsidP="007224C3">
            <w:pPr>
              <w:pStyle w:val="Iauiue"/>
              <w:jc w:val="both"/>
              <w:rPr>
                <w:color w:val="000000" w:themeColor="text1"/>
                <w:sz w:val="16"/>
                <w:szCs w:val="16"/>
              </w:rPr>
            </w:pPr>
            <w:r w:rsidRPr="007224C3">
              <w:rPr>
                <w:color w:val="000000" w:themeColor="text1"/>
                <w:sz w:val="16"/>
                <w:szCs w:val="16"/>
              </w:rPr>
              <w:t xml:space="preserve">121 </w:t>
            </w:r>
          </w:p>
        </w:tc>
        <w:tc>
          <w:tcPr>
            <w:tcW w:w="2032" w:type="dxa"/>
          </w:tcPr>
          <w:p w14:paraId="3E21BCF7" w14:textId="77777777" w:rsidR="00DF6978" w:rsidRPr="007224C3" w:rsidRDefault="00DF6978" w:rsidP="007224C3">
            <w:pPr>
              <w:pStyle w:val="Iauiue"/>
              <w:jc w:val="both"/>
              <w:rPr>
                <w:color w:val="000000" w:themeColor="text1"/>
                <w:sz w:val="16"/>
                <w:szCs w:val="16"/>
              </w:rPr>
            </w:pPr>
            <w:r w:rsidRPr="007224C3">
              <w:rPr>
                <w:color w:val="000000" w:themeColor="text1"/>
                <w:sz w:val="16"/>
                <w:szCs w:val="16"/>
              </w:rPr>
              <w:t xml:space="preserve">42030 </w:t>
            </w:r>
          </w:p>
        </w:tc>
      </w:tr>
      <w:tr w:rsidR="006331D6" w:rsidRPr="007224C3" w14:paraId="0404C008" w14:textId="77777777" w:rsidTr="00DF6978">
        <w:tc>
          <w:tcPr>
            <w:tcW w:w="392" w:type="dxa"/>
          </w:tcPr>
          <w:p w14:paraId="59677FEA" w14:textId="77777777" w:rsidR="00DF6978" w:rsidRPr="007224C3" w:rsidRDefault="00DF6978" w:rsidP="007224C3">
            <w:pPr>
              <w:pStyle w:val="Iauiue"/>
              <w:jc w:val="both"/>
              <w:rPr>
                <w:color w:val="000000" w:themeColor="text1"/>
                <w:sz w:val="16"/>
                <w:szCs w:val="16"/>
              </w:rPr>
            </w:pPr>
            <w:r w:rsidRPr="007224C3">
              <w:rPr>
                <w:color w:val="000000" w:themeColor="text1"/>
                <w:sz w:val="16"/>
                <w:szCs w:val="16"/>
              </w:rPr>
              <w:t xml:space="preserve">4 </w:t>
            </w:r>
          </w:p>
        </w:tc>
        <w:tc>
          <w:tcPr>
            <w:tcW w:w="2032" w:type="dxa"/>
          </w:tcPr>
          <w:p w14:paraId="72A31663" w14:textId="77777777" w:rsidR="00DF6978" w:rsidRPr="007224C3" w:rsidRDefault="00DF6978" w:rsidP="007224C3">
            <w:pPr>
              <w:pStyle w:val="Iauiue"/>
              <w:jc w:val="both"/>
              <w:rPr>
                <w:color w:val="000000" w:themeColor="text1"/>
                <w:sz w:val="16"/>
                <w:szCs w:val="16"/>
              </w:rPr>
            </w:pPr>
            <w:r w:rsidRPr="007224C3">
              <w:rPr>
                <w:color w:val="000000" w:themeColor="text1"/>
                <w:sz w:val="16"/>
                <w:szCs w:val="16"/>
              </w:rPr>
              <w:t xml:space="preserve">Отд. Городские роты </w:t>
            </w:r>
          </w:p>
        </w:tc>
        <w:tc>
          <w:tcPr>
            <w:tcW w:w="2032" w:type="dxa"/>
          </w:tcPr>
          <w:p w14:paraId="759EC0C2" w14:textId="77777777" w:rsidR="00DF6978" w:rsidRPr="007224C3" w:rsidRDefault="00DF6978" w:rsidP="007224C3">
            <w:pPr>
              <w:pStyle w:val="Iauiue"/>
              <w:jc w:val="both"/>
              <w:rPr>
                <w:color w:val="000000" w:themeColor="text1"/>
                <w:sz w:val="16"/>
                <w:szCs w:val="16"/>
              </w:rPr>
            </w:pPr>
            <w:r w:rsidRPr="007224C3">
              <w:rPr>
                <w:color w:val="000000" w:themeColor="text1"/>
                <w:sz w:val="16"/>
                <w:szCs w:val="16"/>
              </w:rPr>
              <w:t xml:space="preserve">19 </w:t>
            </w:r>
          </w:p>
        </w:tc>
        <w:tc>
          <w:tcPr>
            <w:tcW w:w="2032" w:type="dxa"/>
          </w:tcPr>
          <w:p w14:paraId="6655C8C9" w14:textId="77777777" w:rsidR="00DF6978" w:rsidRPr="007224C3" w:rsidRDefault="00DF6978" w:rsidP="007224C3">
            <w:pPr>
              <w:pStyle w:val="Iauiue"/>
              <w:jc w:val="both"/>
              <w:rPr>
                <w:color w:val="000000" w:themeColor="text1"/>
                <w:sz w:val="16"/>
                <w:szCs w:val="16"/>
              </w:rPr>
            </w:pPr>
            <w:r w:rsidRPr="007224C3">
              <w:rPr>
                <w:color w:val="000000" w:themeColor="text1"/>
                <w:sz w:val="16"/>
                <w:szCs w:val="16"/>
              </w:rPr>
              <w:t xml:space="preserve">2708 </w:t>
            </w:r>
          </w:p>
        </w:tc>
      </w:tr>
      <w:tr w:rsidR="006331D6" w:rsidRPr="007224C3" w14:paraId="537B29C1" w14:textId="77777777" w:rsidTr="00DF6978">
        <w:tc>
          <w:tcPr>
            <w:tcW w:w="392" w:type="dxa"/>
          </w:tcPr>
          <w:p w14:paraId="4547B3CB" w14:textId="77777777" w:rsidR="00DF6978" w:rsidRPr="007224C3" w:rsidRDefault="00DF6978" w:rsidP="007224C3">
            <w:pPr>
              <w:pStyle w:val="Iauiue"/>
              <w:jc w:val="both"/>
              <w:rPr>
                <w:color w:val="000000" w:themeColor="text1"/>
                <w:sz w:val="16"/>
                <w:szCs w:val="16"/>
              </w:rPr>
            </w:pPr>
            <w:r w:rsidRPr="007224C3">
              <w:rPr>
                <w:color w:val="000000" w:themeColor="text1"/>
                <w:sz w:val="16"/>
                <w:szCs w:val="16"/>
              </w:rPr>
              <w:t xml:space="preserve">5 </w:t>
            </w:r>
          </w:p>
        </w:tc>
        <w:tc>
          <w:tcPr>
            <w:tcW w:w="2032" w:type="dxa"/>
          </w:tcPr>
          <w:p w14:paraId="6AC9581F" w14:textId="77777777" w:rsidR="00DF6978" w:rsidRPr="007224C3" w:rsidRDefault="00DF6978" w:rsidP="007224C3">
            <w:pPr>
              <w:pStyle w:val="Iauiue"/>
              <w:jc w:val="both"/>
              <w:rPr>
                <w:color w:val="000000" w:themeColor="text1"/>
                <w:sz w:val="16"/>
                <w:szCs w:val="16"/>
              </w:rPr>
            </w:pPr>
            <w:r w:rsidRPr="007224C3">
              <w:rPr>
                <w:color w:val="000000" w:themeColor="text1"/>
                <w:sz w:val="16"/>
                <w:szCs w:val="16"/>
              </w:rPr>
              <w:t xml:space="preserve">Участковые формирования из приписного состава </w:t>
            </w:r>
          </w:p>
        </w:tc>
        <w:tc>
          <w:tcPr>
            <w:tcW w:w="2032" w:type="dxa"/>
          </w:tcPr>
          <w:p w14:paraId="4946943F" w14:textId="77777777" w:rsidR="00DF6978" w:rsidRPr="007224C3" w:rsidRDefault="00DF6978" w:rsidP="007224C3">
            <w:pPr>
              <w:pStyle w:val="Iauiue"/>
              <w:jc w:val="both"/>
              <w:rPr>
                <w:color w:val="000000" w:themeColor="text1"/>
                <w:sz w:val="16"/>
                <w:szCs w:val="16"/>
              </w:rPr>
            </w:pPr>
            <w:r w:rsidRPr="007224C3">
              <w:rPr>
                <w:color w:val="000000" w:themeColor="text1"/>
                <w:sz w:val="16"/>
                <w:szCs w:val="16"/>
              </w:rPr>
              <w:t xml:space="preserve">228 </w:t>
            </w:r>
          </w:p>
        </w:tc>
        <w:tc>
          <w:tcPr>
            <w:tcW w:w="2032" w:type="dxa"/>
          </w:tcPr>
          <w:p w14:paraId="33B21FCF" w14:textId="77777777" w:rsidR="00DF6978" w:rsidRPr="007224C3" w:rsidRDefault="00DF6978" w:rsidP="007224C3">
            <w:pPr>
              <w:pStyle w:val="Iauiue"/>
              <w:jc w:val="both"/>
              <w:rPr>
                <w:color w:val="000000" w:themeColor="text1"/>
                <w:sz w:val="16"/>
                <w:szCs w:val="16"/>
              </w:rPr>
            </w:pPr>
            <w:r w:rsidRPr="007224C3">
              <w:rPr>
                <w:color w:val="000000" w:themeColor="text1"/>
                <w:sz w:val="16"/>
                <w:szCs w:val="16"/>
              </w:rPr>
              <w:t xml:space="preserve">48146 </w:t>
            </w:r>
          </w:p>
        </w:tc>
      </w:tr>
      <w:tr w:rsidR="006331D6" w:rsidRPr="007224C3" w14:paraId="614ABBA0" w14:textId="77777777" w:rsidTr="00DF6978">
        <w:tc>
          <w:tcPr>
            <w:tcW w:w="392" w:type="dxa"/>
          </w:tcPr>
          <w:p w14:paraId="36FDBDFC" w14:textId="77777777" w:rsidR="00DF6978" w:rsidRPr="007224C3" w:rsidRDefault="00DF6978" w:rsidP="007224C3">
            <w:pPr>
              <w:pStyle w:val="Iauiue"/>
              <w:jc w:val="both"/>
              <w:rPr>
                <w:color w:val="000000" w:themeColor="text1"/>
                <w:sz w:val="16"/>
                <w:szCs w:val="16"/>
              </w:rPr>
            </w:pPr>
            <w:r w:rsidRPr="007224C3">
              <w:rPr>
                <w:color w:val="000000" w:themeColor="text1"/>
                <w:sz w:val="16"/>
                <w:szCs w:val="16"/>
              </w:rPr>
              <w:t xml:space="preserve">6 </w:t>
            </w:r>
          </w:p>
        </w:tc>
        <w:tc>
          <w:tcPr>
            <w:tcW w:w="2032" w:type="dxa"/>
          </w:tcPr>
          <w:p w14:paraId="3F6E4377" w14:textId="77777777" w:rsidR="00DF6978" w:rsidRPr="007224C3" w:rsidRDefault="00DF6978" w:rsidP="007224C3">
            <w:pPr>
              <w:pStyle w:val="Iauiue"/>
              <w:jc w:val="both"/>
              <w:rPr>
                <w:color w:val="000000" w:themeColor="text1"/>
                <w:sz w:val="16"/>
                <w:szCs w:val="16"/>
              </w:rPr>
            </w:pPr>
            <w:r w:rsidRPr="007224C3">
              <w:rPr>
                <w:color w:val="000000" w:themeColor="text1"/>
                <w:sz w:val="16"/>
                <w:szCs w:val="16"/>
              </w:rPr>
              <w:t xml:space="preserve">Объектовые формирования </w:t>
            </w:r>
          </w:p>
        </w:tc>
        <w:tc>
          <w:tcPr>
            <w:tcW w:w="2032" w:type="dxa"/>
          </w:tcPr>
          <w:p w14:paraId="041EFAAF" w14:textId="77777777" w:rsidR="00DF6978" w:rsidRPr="007224C3" w:rsidRDefault="00DF6978" w:rsidP="007224C3">
            <w:pPr>
              <w:pStyle w:val="Iauiue"/>
              <w:jc w:val="both"/>
              <w:rPr>
                <w:color w:val="000000" w:themeColor="text1"/>
                <w:sz w:val="16"/>
                <w:szCs w:val="16"/>
              </w:rPr>
            </w:pPr>
            <w:r w:rsidRPr="007224C3">
              <w:rPr>
                <w:color w:val="000000" w:themeColor="text1"/>
                <w:sz w:val="16"/>
                <w:szCs w:val="16"/>
              </w:rPr>
              <w:t xml:space="preserve">3742 </w:t>
            </w:r>
          </w:p>
        </w:tc>
        <w:tc>
          <w:tcPr>
            <w:tcW w:w="2032" w:type="dxa"/>
          </w:tcPr>
          <w:p w14:paraId="3383C5DF" w14:textId="77777777" w:rsidR="00DF6978" w:rsidRPr="007224C3" w:rsidRDefault="00DF6978" w:rsidP="007224C3">
            <w:pPr>
              <w:pStyle w:val="Iauiue"/>
              <w:jc w:val="both"/>
              <w:rPr>
                <w:color w:val="000000" w:themeColor="text1"/>
                <w:sz w:val="16"/>
                <w:szCs w:val="16"/>
              </w:rPr>
            </w:pPr>
            <w:r w:rsidRPr="007224C3">
              <w:rPr>
                <w:color w:val="000000" w:themeColor="text1"/>
                <w:sz w:val="16"/>
                <w:szCs w:val="16"/>
              </w:rPr>
              <w:t xml:space="preserve">492124 </w:t>
            </w:r>
          </w:p>
        </w:tc>
      </w:tr>
      <w:tr w:rsidR="006331D6" w:rsidRPr="007224C3" w14:paraId="1D0C8E93" w14:textId="77777777" w:rsidTr="00DF6978">
        <w:tc>
          <w:tcPr>
            <w:tcW w:w="392" w:type="dxa"/>
          </w:tcPr>
          <w:p w14:paraId="0B0CCB22" w14:textId="77777777" w:rsidR="00DF6978" w:rsidRPr="007224C3" w:rsidRDefault="00DF6978" w:rsidP="007224C3">
            <w:pPr>
              <w:pStyle w:val="Iauiue"/>
              <w:jc w:val="both"/>
              <w:rPr>
                <w:color w:val="000000" w:themeColor="text1"/>
                <w:sz w:val="16"/>
                <w:szCs w:val="16"/>
              </w:rPr>
            </w:pPr>
            <w:r w:rsidRPr="007224C3">
              <w:rPr>
                <w:color w:val="000000" w:themeColor="text1"/>
                <w:sz w:val="16"/>
                <w:szCs w:val="16"/>
              </w:rPr>
              <w:t xml:space="preserve">7 </w:t>
            </w:r>
          </w:p>
        </w:tc>
        <w:tc>
          <w:tcPr>
            <w:tcW w:w="2032" w:type="dxa"/>
          </w:tcPr>
          <w:p w14:paraId="04D9A14F" w14:textId="77777777" w:rsidR="00DF6978" w:rsidRPr="007224C3" w:rsidRDefault="00DF6978" w:rsidP="007224C3">
            <w:pPr>
              <w:pStyle w:val="Iauiue"/>
              <w:jc w:val="both"/>
              <w:rPr>
                <w:color w:val="000000" w:themeColor="text1"/>
                <w:sz w:val="16"/>
                <w:szCs w:val="16"/>
              </w:rPr>
            </w:pPr>
            <w:r w:rsidRPr="007224C3">
              <w:rPr>
                <w:color w:val="000000" w:themeColor="text1"/>
                <w:sz w:val="16"/>
                <w:szCs w:val="16"/>
              </w:rPr>
              <w:t xml:space="preserve">Унитарные команды </w:t>
            </w:r>
          </w:p>
        </w:tc>
        <w:tc>
          <w:tcPr>
            <w:tcW w:w="2032" w:type="dxa"/>
          </w:tcPr>
          <w:p w14:paraId="2C0E11E4" w14:textId="77777777" w:rsidR="00DF6978" w:rsidRPr="007224C3" w:rsidRDefault="00DF6978" w:rsidP="007224C3">
            <w:pPr>
              <w:pStyle w:val="Iauiue"/>
              <w:jc w:val="both"/>
              <w:rPr>
                <w:color w:val="000000" w:themeColor="text1"/>
                <w:sz w:val="16"/>
                <w:szCs w:val="16"/>
              </w:rPr>
            </w:pPr>
            <w:r w:rsidRPr="007224C3">
              <w:rPr>
                <w:color w:val="000000" w:themeColor="text1"/>
                <w:sz w:val="16"/>
                <w:szCs w:val="16"/>
              </w:rPr>
              <w:t xml:space="preserve">908 </w:t>
            </w:r>
          </w:p>
        </w:tc>
        <w:tc>
          <w:tcPr>
            <w:tcW w:w="2032" w:type="dxa"/>
          </w:tcPr>
          <w:p w14:paraId="32D12887" w14:textId="77777777" w:rsidR="00DF6978" w:rsidRPr="007224C3" w:rsidRDefault="00DF6978" w:rsidP="007224C3">
            <w:pPr>
              <w:pStyle w:val="Iauiue"/>
              <w:jc w:val="both"/>
              <w:rPr>
                <w:color w:val="000000" w:themeColor="text1"/>
                <w:sz w:val="16"/>
                <w:szCs w:val="16"/>
              </w:rPr>
            </w:pPr>
            <w:r w:rsidRPr="007224C3">
              <w:rPr>
                <w:color w:val="000000" w:themeColor="text1"/>
                <w:sz w:val="16"/>
                <w:szCs w:val="16"/>
              </w:rPr>
              <w:t xml:space="preserve">35412 </w:t>
            </w:r>
          </w:p>
        </w:tc>
      </w:tr>
      <w:tr w:rsidR="006331D6" w:rsidRPr="007224C3" w14:paraId="048F3F1B" w14:textId="77777777" w:rsidTr="00DF6978">
        <w:tc>
          <w:tcPr>
            <w:tcW w:w="392" w:type="dxa"/>
          </w:tcPr>
          <w:p w14:paraId="05C6547B" w14:textId="77777777" w:rsidR="00DF6978" w:rsidRPr="007224C3" w:rsidRDefault="00DF6978" w:rsidP="007224C3">
            <w:pPr>
              <w:pStyle w:val="Iauiue"/>
              <w:jc w:val="both"/>
              <w:rPr>
                <w:color w:val="000000" w:themeColor="text1"/>
                <w:sz w:val="16"/>
                <w:szCs w:val="16"/>
              </w:rPr>
            </w:pPr>
            <w:r w:rsidRPr="007224C3">
              <w:rPr>
                <w:color w:val="000000" w:themeColor="text1"/>
                <w:sz w:val="16"/>
                <w:szCs w:val="16"/>
              </w:rPr>
              <w:t xml:space="preserve">8 </w:t>
            </w:r>
          </w:p>
        </w:tc>
        <w:tc>
          <w:tcPr>
            <w:tcW w:w="2032" w:type="dxa"/>
          </w:tcPr>
          <w:p w14:paraId="24A39334" w14:textId="77777777" w:rsidR="00DF6978" w:rsidRPr="007224C3" w:rsidRDefault="00DF6978" w:rsidP="007224C3">
            <w:pPr>
              <w:pStyle w:val="Iauiue"/>
              <w:jc w:val="both"/>
              <w:rPr>
                <w:color w:val="000000" w:themeColor="text1"/>
                <w:sz w:val="16"/>
                <w:szCs w:val="16"/>
              </w:rPr>
            </w:pPr>
            <w:r w:rsidRPr="007224C3">
              <w:rPr>
                <w:color w:val="000000" w:themeColor="text1"/>
                <w:sz w:val="16"/>
                <w:szCs w:val="16"/>
              </w:rPr>
              <w:t xml:space="preserve">Группы самозащиты </w:t>
            </w:r>
          </w:p>
        </w:tc>
        <w:tc>
          <w:tcPr>
            <w:tcW w:w="2032" w:type="dxa"/>
          </w:tcPr>
          <w:p w14:paraId="32530549" w14:textId="77777777" w:rsidR="00DF6978" w:rsidRPr="007224C3" w:rsidRDefault="00DF6978" w:rsidP="007224C3">
            <w:pPr>
              <w:pStyle w:val="Iauiue"/>
              <w:jc w:val="both"/>
              <w:rPr>
                <w:color w:val="000000" w:themeColor="text1"/>
                <w:sz w:val="16"/>
                <w:szCs w:val="16"/>
              </w:rPr>
            </w:pPr>
            <w:r w:rsidRPr="007224C3">
              <w:rPr>
                <w:color w:val="000000" w:themeColor="text1"/>
                <w:sz w:val="16"/>
                <w:szCs w:val="16"/>
              </w:rPr>
              <w:t xml:space="preserve">81132 </w:t>
            </w:r>
          </w:p>
        </w:tc>
        <w:tc>
          <w:tcPr>
            <w:tcW w:w="2032" w:type="dxa"/>
          </w:tcPr>
          <w:p w14:paraId="35FEA1BA" w14:textId="77777777" w:rsidR="00DF6978" w:rsidRPr="007224C3" w:rsidRDefault="00DF6978" w:rsidP="007224C3">
            <w:pPr>
              <w:pStyle w:val="Iauiue"/>
              <w:jc w:val="both"/>
              <w:rPr>
                <w:color w:val="000000" w:themeColor="text1"/>
                <w:sz w:val="16"/>
                <w:szCs w:val="16"/>
              </w:rPr>
            </w:pPr>
            <w:r w:rsidRPr="007224C3">
              <w:rPr>
                <w:color w:val="000000" w:themeColor="text1"/>
                <w:sz w:val="16"/>
                <w:szCs w:val="16"/>
              </w:rPr>
              <w:t xml:space="preserve">4867920 </w:t>
            </w:r>
          </w:p>
        </w:tc>
      </w:tr>
      <w:tr w:rsidR="006331D6" w:rsidRPr="007224C3" w14:paraId="349AC15C" w14:textId="77777777" w:rsidTr="00DF6978">
        <w:tc>
          <w:tcPr>
            <w:tcW w:w="392" w:type="dxa"/>
          </w:tcPr>
          <w:p w14:paraId="06749CD2" w14:textId="77777777" w:rsidR="00DF6978" w:rsidRPr="007224C3" w:rsidRDefault="00DF6978" w:rsidP="007224C3">
            <w:pPr>
              <w:pStyle w:val="Iauiue"/>
              <w:jc w:val="both"/>
              <w:rPr>
                <w:color w:val="000000" w:themeColor="text1"/>
                <w:sz w:val="16"/>
                <w:szCs w:val="16"/>
              </w:rPr>
            </w:pPr>
            <w:r w:rsidRPr="007224C3">
              <w:rPr>
                <w:color w:val="000000" w:themeColor="text1"/>
                <w:sz w:val="16"/>
                <w:szCs w:val="16"/>
              </w:rPr>
              <w:t xml:space="preserve">9 </w:t>
            </w:r>
          </w:p>
        </w:tc>
        <w:tc>
          <w:tcPr>
            <w:tcW w:w="2032" w:type="dxa"/>
          </w:tcPr>
          <w:p w14:paraId="42B0C5A2" w14:textId="77777777" w:rsidR="00DF6978" w:rsidRPr="007224C3" w:rsidRDefault="00DF6978" w:rsidP="007224C3">
            <w:pPr>
              <w:pStyle w:val="Iauiue"/>
              <w:jc w:val="both"/>
              <w:rPr>
                <w:color w:val="000000" w:themeColor="text1"/>
                <w:sz w:val="16"/>
                <w:szCs w:val="16"/>
              </w:rPr>
            </w:pPr>
            <w:r w:rsidRPr="007224C3">
              <w:rPr>
                <w:color w:val="000000" w:themeColor="text1"/>
                <w:sz w:val="16"/>
                <w:szCs w:val="16"/>
              </w:rPr>
              <w:t xml:space="preserve">Отряды первой медицинской помощи </w:t>
            </w:r>
          </w:p>
        </w:tc>
        <w:tc>
          <w:tcPr>
            <w:tcW w:w="2032" w:type="dxa"/>
          </w:tcPr>
          <w:p w14:paraId="129AAB2D" w14:textId="77777777" w:rsidR="00DF6978" w:rsidRPr="007224C3" w:rsidRDefault="00DF6978" w:rsidP="007224C3">
            <w:pPr>
              <w:pStyle w:val="Iauiue"/>
              <w:jc w:val="both"/>
              <w:rPr>
                <w:color w:val="000000" w:themeColor="text1"/>
                <w:sz w:val="16"/>
                <w:szCs w:val="16"/>
              </w:rPr>
            </w:pPr>
            <w:r w:rsidRPr="007224C3">
              <w:rPr>
                <w:color w:val="000000" w:themeColor="text1"/>
                <w:sz w:val="16"/>
                <w:szCs w:val="16"/>
              </w:rPr>
              <w:t xml:space="preserve">2469 </w:t>
            </w:r>
          </w:p>
        </w:tc>
        <w:tc>
          <w:tcPr>
            <w:tcW w:w="2032" w:type="dxa"/>
          </w:tcPr>
          <w:p w14:paraId="52A59039" w14:textId="77777777" w:rsidR="00DF6978" w:rsidRPr="007224C3" w:rsidRDefault="00DF6978" w:rsidP="007224C3">
            <w:pPr>
              <w:pStyle w:val="Iauiue"/>
              <w:jc w:val="both"/>
              <w:rPr>
                <w:color w:val="000000" w:themeColor="text1"/>
                <w:sz w:val="16"/>
                <w:szCs w:val="16"/>
              </w:rPr>
            </w:pPr>
            <w:r w:rsidRPr="007224C3">
              <w:rPr>
                <w:color w:val="000000" w:themeColor="text1"/>
                <w:sz w:val="16"/>
                <w:szCs w:val="16"/>
              </w:rPr>
              <w:t xml:space="preserve">12335 </w:t>
            </w:r>
          </w:p>
        </w:tc>
      </w:tr>
      <w:tr w:rsidR="006331D6" w:rsidRPr="007224C3" w14:paraId="4CA57B7C" w14:textId="77777777" w:rsidTr="00DF6978">
        <w:tc>
          <w:tcPr>
            <w:tcW w:w="392" w:type="dxa"/>
          </w:tcPr>
          <w:p w14:paraId="2FF8BA6B" w14:textId="77777777" w:rsidR="00DF6978" w:rsidRPr="007224C3" w:rsidRDefault="00DF6978" w:rsidP="007224C3">
            <w:pPr>
              <w:pStyle w:val="Iauiue"/>
              <w:jc w:val="both"/>
              <w:rPr>
                <w:color w:val="000000" w:themeColor="text1"/>
                <w:sz w:val="16"/>
                <w:szCs w:val="16"/>
              </w:rPr>
            </w:pPr>
            <w:r w:rsidRPr="007224C3">
              <w:rPr>
                <w:color w:val="000000" w:themeColor="text1"/>
                <w:sz w:val="16"/>
                <w:szCs w:val="16"/>
              </w:rPr>
              <w:t xml:space="preserve">10 </w:t>
            </w:r>
          </w:p>
        </w:tc>
        <w:tc>
          <w:tcPr>
            <w:tcW w:w="2032" w:type="dxa"/>
          </w:tcPr>
          <w:p w14:paraId="74146619" w14:textId="77777777" w:rsidR="00DF6978" w:rsidRPr="007224C3" w:rsidRDefault="00DF6978" w:rsidP="007224C3">
            <w:pPr>
              <w:pStyle w:val="Iauiue"/>
              <w:jc w:val="both"/>
              <w:rPr>
                <w:color w:val="000000" w:themeColor="text1"/>
                <w:sz w:val="16"/>
                <w:szCs w:val="16"/>
              </w:rPr>
            </w:pPr>
            <w:r w:rsidRPr="007224C3">
              <w:rPr>
                <w:color w:val="000000" w:themeColor="text1"/>
                <w:sz w:val="16"/>
                <w:szCs w:val="16"/>
              </w:rPr>
              <w:t xml:space="preserve">Сандружины </w:t>
            </w:r>
          </w:p>
        </w:tc>
        <w:tc>
          <w:tcPr>
            <w:tcW w:w="2032" w:type="dxa"/>
          </w:tcPr>
          <w:p w14:paraId="4D9DB502" w14:textId="77777777" w:rsidR="00DF6978" w:rsidRPr="007224C3" w:rsidRDefault="00DF6978" w:rsidP="007224C3">
            <w:pPr>
              <w:pStyle w:val="Iauiue"/>
              <w:jc w:val="both"/>
              <w:rPr>
                <w:color w:val="000000" w:themeColor="text1"/>
                <w:sz w:val="16"/>
                <w:szCs w:val="16"/>
              </w:rPr>
            </w:pPr>
            <w:r w:rsidRPr="007224C3">
              <w:rPr>
                <w:color w:val="000000" w:themeColor="text1"/>
                <w:sz w:val="16"/>
                <w:szCs w:val="16"/>
              </w:rPr>
              <w:t xml:space="preserve">1896 </w:t>
            </w:r>
          </w:p>
        </w:tc>
        <w:tc>
          <w:tcPr>
            <w:tcW w:w="2032" w:type="dxa"/>
          </w:tcPr>
          <w:p w14:paraId="3635E52B" w14:textId="77777777" w:rsidR="00DF6978" w:rsidRPr="007224C3" w:rsidRDefault="00DF6978" w:rsidP="007224C3">
            <w:pPr>
              <w:pStyle w:val="Iauiue"/>
              <w:jc w:val="both"/>
              <w:rPr>
                <w:color w:val="000000" w:themeColor="text1"/>
                <w:sz w:val="16"/>
                <w:szCs w:val="16"/>
              </w:rPr>
            </w:pPr>
            <w:r w:rsidRPr="007224C3">
              <w:rPr>
                <w:color w:val="000000" w:themeColor="text1"/>
                <w:sz w:val="16"/>
                <w:szCs w:val="16"/>
              </w:rPr>
              <w:t xml:space="preserve">28440 </w:t>
            </w:r>
          </w:p>
        </w:tc>
      </w:tr>
      <w:tr w:rsidR="006331D6" w:rsidRPr="007224C3" w14:paraId="3AF97077" w14:textId="77777777" w:rsidTr="00DF6978">
        <w:tc>
          <w:tcPr>
            <w:tcW w:w="392" w:type="dxa"/>
          </w:tcPr>
          <w:p w14:paraId="037F2E39" w14:textId="77777777" w:rsidR="00DF6978" w:rsidRPr="007224C3" w:rsidRDefault="00DF6978" w:rsidP="007224C3">
            <w:pPr>
              <w:pStyle w:val="Iauiue"/>
              <w:jc w:val="both"/>
              <w:rPr>
                <w:color w:val="000000" w:themeColor="text1"/>
                <w:sz w:val="16"/>
                <w:szCs w:val="16"/>
              </w:rPr>
            </w:pPr>
            <w:r w:rsidRPr="007224C3">
              <w:rPr>
                <w:color w:val="000000" w:themeColor="text1"/>
                <w:sz w:val="16"/>
                <w:szCs w:val="16"/>
              </w:rPr>
              <w:t xml:space="preserve">11 </w:t>
            </w:r>
          </w:p>
        </w:tc>
        <w:tc>
          <w:tcPr>
            <w:tcW w:w="2032" w:type="dxa"/>
          </w:tcPr>
          <w:p w14:paraId="411D02F2" w14:textId="77777777" w:rsidR="00DF6978" w:rsidRPr="007224C3" w:rsidRDefault="00DF6978" w:rsidP="007224C3">
            <w:pPr>
              <w:pStyle w:val="Iauiue"/>
              <w:jc w:val="both"/>
              <w:rPr>
                <w:color w:val="000000" w:themeColor="text1"/>
                <w:sz w:val="16"/>
                <w:szCs w:val="16"/>
              </w:rPr>
            </w:pPr>
            <w:r w:rsidRPr="007224C3">
              <w:rPr>
                <w:color w:val="000000" w:themeColor="text1"/>
                <w:sz w:val="16"/>
                <w:szCs w:val="16"/>
              </w:rPr>
              <w:t xml:space="preserve">Комсомольско-молодежные противопож. Подразделения </w:t>
            </w:r>
          </w:p>
        </w:tc>
        <w:tc>
          <w:tcPr>
            <w:tcW w:w="2032" w:type="dxa"/>
          </w:tcPr>
          <w:p w14:paraId="1106C746" w14:textId="77777777" w:rsidR="00DF6978" w:rsidRPr="007224C3" w:rsidRDefault="00DF6978" w:rsidP="007224C3">
            <w:pPr>
              <w:pStyle w:val="Iauiue"/>
              <w:jc w:val="both"/>
              <w:rPr>
                <w:color w:val="000000" w:themeColor="text1"/>
                <w:sz w:val="16"/>
                <w:szCs w:val="16"/>
              </w:rPr>
            </w:pPr>
            <w:r w:rsidRPr="007224C3">
              <w:rPr>
                <w:color w:val="000000" w:themeColor="text1"/>
                <w:sz w:val="16"/>
                <w:szCs w:val="16"/>
              </w:rPr>
              <w:t xml:space="preserve">327 </w:t>
            </w:r>
          </w:p>
        </w:tc>
        <w:tc>
          <w:tcPr>
            <w:tcW w:w="2032" w:type="dxa"/>
          </w:tcPr>
          <w:p w14:paraId="4C17753D" w14:textId="77777777" w:rsidR="00DF6978" w:rsidRPr="007224C3" w:rsidRDefault="00DF6978" w:rsidP="007224C3">
            <w:pPr>
              <w:pStyle w:val="Iauiue"/>
              <w:jc w:val="both"/>
              <w:rPr>
                <w:color w:val="000000" w:themeColor="text1"/>
                <w:sz w:val="16"/>
                <w:szCs w:val="16"/>
              </w:rPr>
            </w:pPr>
            <w:r w:rsidRPr="007224C3">
              <w:rPr>
                <w:color w:val="000000" w:themeColor="text1"/>
                <w:sz w:val="16"/>
                <w:szCs w:val="16"/>
              </w:rPr>
              <w:t xml:space="preserve">1600 </w:t>
            </w:r>
          </w:p>
        </w:tc>
      </w:tr>
      <w:tr w:rsidR="006331D6" w:rsidRPr="007224C3" w14:paraId="241BD428" w14:textId="77777777" w:rsidTr="00DF6978">
        <w:tc>
          <w:tcPr>
            <w:tcW w:w="392" w:type="dxa"/>
          </w:tcPr>
          <w:p w14:paraId="0E5C4DC4" w14:textId="77777777" w:rsidR="00DF6978" w:rsidRPr="007224C3" w:rsidRDefault="00DF6978" w:rsidP="007224C3">
            <w:pPr>
              <w:pStyle w:val="Iauiue"/>
              <w:jc w:val="both"/>
              <w:rPr>
                <w:color w:val="000000" w:themeColor="text1"/>
                <w:sz w:val="16"/>
                <w:szCs w:val="16"/>
              </w:rPr>
            </w:pPr>
            <w:r w:rsidRPr="007224C3">
              <w:rPr>
                <w:color w:val="000000" w:themeColor="text1"/>
                <w:sz w:val="16"/>
                <w:szCs w:val="16"/>
              </w:rPr>
              <w:t xml:space="preserve">12 </w:t>
            </w:r>
          </w:p>
        </w:tc>
        <w:tc>
          <w:tcPr>
            <w:tcW w:w="2032" w:type="dxa"/>
          </w:tcPr>
          <w:p w14:paraId="06200517" w14:textId="77777777" w:rsidR="00DF6978" w:rsidRPr="007224C3" w:rsidRDefault="00DF6978" w:rsidP="007224C3">
            <w:pPr>
              <w:pStyle w:val="Iauiue"/>
              <w:jc w:val="both"/>
              <w:rPr>
                <w:color w:val="000000" w:themeColor="text1"/>
                <w:sz w:val="16"/>
                <w:szCs w:val="16"/>
              </w:rPr>
            </w:pPr>
            <w:r w:rsidRPr="007224C3">
              <w:rPr>
                <w:color w:val="000000" w:themeColor="text1"/>
                <w:sz w:val="16"/>
                <w:szCs w:val="16"/>
              </w:rPr>
              <w:t xml:space="preserve">Городские аварийно-восстановит. бригады </w:t>
            </w:r>
          </w:p>
        </w:tc>
        <w:tc>
          <w:tcPr>
            <w:tcW w:w="2032" w:type="dxa"/>
          </w:tcPr>
          <w:p w14:paraId="156FEF44" w14:textId="77777777" w:rsidR="00DF6978" w:rsidRPr="007224C3" w:rsidRDefault="00DF6978" w:rsidP="007224C3">
            <w:pPr>
              <w:pStyle w:val="Iauiue"/>
              <w:jc w:val="both"/>
              <w:rPr>
                <w:color w:val="000000" w:themeColor="text1"/>
                <w:sz w:val="16"/>
                <w:szCs w:val="16"/>
              </w:rPr>
            </w:pPr>
            <w:r w:rsidRPr="007224C3">
              <w:rPr>
                <w:color w:val="000000" w:themeColor="text1"/>
                <w:sz w:val="16"/>
                <w:szCs w:val="16"/>
              </w:rPr>
              <w:t xml:space="preserve">755 </w:t>
            </w:r>
          </w:p>
        </w:tc>
        <w:tc>
          <w:tcPr>
            <w:tcW w:w="2032" w:type="dxa"/>
          </w:tcPr>
          <w:p w14:paraId="023AC81E" w14:textId="77777777" w:rsidR="00DF6978" w:rsidRPr="007224C3" w:rsidRDefault="00DF6978" w:rsidP="007224C3">
            <w:pPr>
              <w:pStyle w:val="Iauiue"/>
              <w:jc w:val="both"/>
              <w:rPr>
                <w:color w:val="000000" w:themeColor="text1"/>
                <w:sz w:val="16"/>
                <w:szCs w:val="16"/>
              </w:rPr>
            </w:pPr>
            <w:r w:rsidRPr="007224C3">
              <w:rPr>
                <w:color w:val="000000" w:themeColor="text1"/>
                <w:sz w:val="16"/>
                <w:szCs w:val="16"/>
              </w:rPr>
              <w:t xml:space="preserve">20698 </w:t>
            </w:r>
          </w:p>
        </w:tc>
      </w:tr>
      <w:tr w:rsidR="006331D6" w:rsidRPr="007224C3" w14:paraId="08201CE6" w14:textId="77777777" w:rsidTr="00DF6978">
        <w:tc>
          <w:tcPr>
            <w:tcW w:w="392" w:type="dxa"/>
          </w:tcPr>
          <w:p w14:paraId="5AA6D148" w14:textId="77777777" w:rsidR="00DF6978" w:rsidRPr="007224C3" w:rsidRDefault="00DF6978" w:rsidP="007224C3">
            <w:pPr>
              <w:pStyle w:val="Iauiue"/>
              <w:jc w:val="both"/>
              <w:rPr>
                <w:color w:val="000000" w:themeColor="text1"/>
                <w:sz w:val="16"/>
                <w:szCs w:val="16"/>
              </w:rPr>
            </w:pPr>
            <w:r w:rsidRPr="007224C3">
              <w:rPr>
                <w:color w:val="000000" w:themeColor="text1"/>
                <w:sz w:val="16"/>
                <w:szCs w:val="16"/>
              </w:rPr>
              <w:t xml:space="preserve">13 </w:t>
            </w:r>
          </w:p>
        </w:tc>
        <w:tc>
          <w:tcPr>
            <w:tcW w:w="2032" w:type="dxa"/>
          </w:tcPr>
          <w:p w14:paraId="4CB7A454" w14:textId="77777777" w:rsidR="00DF6978" w:rsidRPr="007224C3" w:rsidRDefault="00DF6978" w:rsidP="007224C3">
            <w:pPr>
              <w:pStyle w:val="Iauiue"/>
              <w:jc w:val="both"/>
              <w:rPr>
                <w:color w:val="000000" w:themeColor="text1"/>
                <w:sz w:val="16"/>
                <w:szCs w:val="16"/>
              </w:rPr>
            </w:pPr>
            <w:r w:rsidRPr="007224C3">
              <w:rPr>
                <w:color w:val="000000" w:themeColor="text1"/>
                <w:sz w:val="16"/>
                <w:szCs w:val="16"/>
              </w:rPr>
              <w:t xml:space="preserve">Аварийно-восстановит. Отряды </w:t>
            </w:r>
          </w:p>
        </w:tc>
        <w:tc>
          <w:tcPr>
            <w:tcW w:w="2032" w:type="dxa"/>
          </w:tcPr>
          <w:p w14:paraId="3C27F6F1" w14:textId="77777777" w:rsidR="00DF6978" w:rsidRPr="007224C3" w:rsidRDefault="00DF6978" w:rsidP="007224C3">
            <w:pPr>
              <w:pStyle w:val="Iauiue"/>
              <w:jc w:val="both"/>
              <w:rPr>
                <w:color w:val="000000" w:themeColor="text1"/>
                <w:sz w:val="16"/>
                <w:szCs w:val="16"/>
              </w:rPr>
            </w:pPr>
            <w:r w:rsidRPr="007224C3">
              <w:rPr>
                <w:color w:val="000000" w:themeColor="text1"/>
                <w:sz w:val="16"/>
                <w:szCs w:val="16"/>
              </w:rPr>
              <w:t xml:space="preserve">17 </w:t>
            </w:r>
          </w:p>
        </w:tc>
        <w:tc>
          <w:tcPr>
            <w:tcW w:w="2032" w:type="dxa"/>
          </w:tcPr>
          <w:p w14:paraId="64395FE1" w14:textId="77777777" w:rsidR="00DF6978" w:rsidRPr="007224C3" w:rsidRDefault="00DF6978" w:rsidP="007224C3">
            <w:pPr>
              <w:pStyle w:val="Iauiue"/>
              <w:jc w:val="both"/>
              <w:rPr>
                <w:color w:val="000000" w:themeColor="text1"/>
                <w:sz w:val="16"/>
                <w:szCs w:val="16"/>
              </w:rPr>
            </w:pPr>
            <w:r w:rsidRPr="007224C3">
              <w:rPr>
                <w:color w:val="000000" w:themeColor="text1"/>
                <w:sz w:val="16"/>
                <w:szCs w:val="16"/>
              </w:rPr>
              <w:t xml:space="preserve">17600 </w:t>
            </w:r>
          </w:p>
        </w:tc>
      </w:tr>
      <w:tr w:rsidR="006331D6" w:rsidRPr="007224C3" w14:paraId="671D9481" w14:textId="77777777" w:rsidTr="00DF6978">
        <w:tc>
          <w:tcPr>
            <w:tcW w:w="392" w:type="dxa"/>
          </w:tcPr>
          <w:p w14:paraId="53015515" w14:textId="77777777" w:rsidR="00DF6978" w:rsidRPr="007224C3" w:rsidRDefault="00DF6978" w:rsidP="007224C3">
            <w:pPr>
              <w:pStyle w:val="Iauiue"/>
              <w:jc w:val="both"/>
              <w:rPr>
                <w:color w:val="000000" w:themeColor="text1"/>
                <w:sz w:val="16"/>
                <w:szCs w:val="16"/>
              </w:rPr>
            </w:pPr>
            <w:r w:rsidRPr="007224C3">
              <w:rPr>
                <w:color w:val="000000" w:themeColor="text1"/>
                <w:sz w:val="16"/>
                <w:szCs w:val="16"/>
              </w:rPr>
              <w:t xml:space="preserve">14 </w:t>
            </w:r>
          </w:p>
        </w:tc>
        <w:tc>
          <w:tcPr>
            <w:tcW w:w="2032" w:type="dxa"/>
          </w:tcPr>
          <w:p w14:paraId="7529E2F0" w14:textId="77777777" w:rsidR="00DF6978" w:rsidRPr="007224C3" w:rsidRDefault="00DF6978" w:rsidP="007224C3">
            <w:pPr>
              <w:pStyle w:val="Iauiue"/>
              <w:jc w:val="both"/>
              <w:rPr>
                <w:color w:val="000000" w:themeColor="text1"/>
                <w:sz w:val="16"/>
                <w:szCs w:val="16"/>
              </w:rPr>
            </w:pPr>
            <w:r w:rsidRPr="007224C3">
              <w:rPr>
                <w:color w:val="000000" w:themeColor="text1"/>
                <w:sz w:val="16"/>
                <w:szCs w:val="16"/>
              </w:rPr>
              <w:t xml:space="preserve">Аварийно-восстановит. батальоны </w:t>
            </w:r>
          </w:p>
        </w:tc>
        <w:tc>
          <w:tcPr>
            <w:tcW w:w="2032" w:type="dxa"/>
          </w:tcPr>
          <w:p w14:paraId="62F408FF" w14:textId="77777777" w:rsidR="00DF6978" w:rsidRPr="007224C3" w:rsidRDefault="00DF6978" w:rsidP="007224C3">
            <w:pPr>
              <w:pStyle w:val="Iauiue"/>
              <w:jc w:val="both"/>
              <w:rPr>
                <w:color w:val="000000" w:themeColor="text1"/>
                <w:sz w:val="16"/>
                <w:szCs w:val="16"/>
              </w:rPr>
            </w:pPr>
            <w:r w:rsidRPr="007224C3">
              <w:rPr>
                <w:color w:val="000000" w:themeColor="text1"/>
                <w:sz w:val="16"/>
                <w:szCs w:val="16"/>
              </w:rPr>
              <w:t xml:space="preserve">565 </w:t>
            </w:r>
          </w:p>
        </w:tc>
        <w:tc>
          <w:tcPr>
            <w:tcW w:w="2032" w:type="dxa"/>
          </w:tcPr>
          <w:p w14:paraId="470A098F" w14:textId="77777777" w:rsidR="00DF6978" w:rsidRPr="007224C3" w:rsidRDefault="00DF6978" w:rsidP="007224C3">
            <w:pPr>
              <w:pStyle w:val="Iauiue"/>
              <w:jc w:val="both"/>
              <w:rPr>
                <w:color w:val="000000" w:themeColor="text1"/>
                <w:sz w:val="16"/>
                <w:szCs w:val="16"/>
              </w:rPr>
            </w:pPr>
            <w:r w:rsidRPr="007224C3">
              <w:rPr>
                <w:color w:val="000000" w:themeColor="text1"/>
                <w:sz w:val="16"/>
                <w:szCs w:val="16"/>
              </w:rPr>
              <w:t xml:space="preserve">282166 </w:t>
            </w:r>
          </w:p>
        </w:tc>
      </w:tr>
      <w:tr w:rsidR="006331D6" w:rsidRPr="007224C3" w14:paraId="238F6F40" w14:textId="77777777" w:rsidTr="00DF6978">
        <w:tc>
          <w:tcPr>
            <w:tcW w:w="392" w:type="dxa"/>
          </w:tcPr>
          <w:p w14:paraId="74D705BB" w14:textId="77777777" w:rsidR="00DF6978" w:rsidRPr="007224C3" w:rsidRDefault="00DF6978" w:rsidP="007224C3">
            <w:pPr>
              <w:pStyle w:val="Iauiue"/>
              <w:jc w:val="both"/>
              <w:rPr>
                <w:color w:val="000000" w:themeColor="text1"/>
                <w:sz w:val="16"/>
                <w:szCs w:val="16"/>
              </w:rPr>
            </w:pPr>
            <w:r w:rsidRPr="007224C3">
              <w:rPr>
                <w:color w:val="000000" w:themeColor="text1"/>
                <w:sz w:val="16"/>
                <w:szCs w:val="16"/>
              </w:rPr>
              <w:t xml:space="preserve">15 </w:t>
            </w:r>
          </w:p>
        </w:tc>
        <w:tc>
          <w:tcPr>
            <w:tcW w:w="2032" w:type="dxa"/>
          </w:tcPr>
          <w:p w14:paraId="7803D436" w14:textId="77777777" w:rsidR="00DF6978" w:rsidRPr="007224C3" w:rsidRDefault="00DF6978" w:rsidP="007224C3">
            <w:pPr>
              <w:pStyle w:val="Iauiue"/>
              <w:jc w:val="both"/>
              <w:rPr>
                <w:color w:val="000000" w:themeColor="text1"/>
                <w:sz w:val="16"/>
                <w:szCs w:val="16"/>
              </w:rPr>
            </w:pPr>
            <w:r w:rsidRPr="007224C3">
              <w:rPr>
                <w:color w:val="000000" w:themeColor="text1"/>
                <w:sz w:val="16"/>
                <w:szCs w:val="16"/>
              </w:rPr>
              <w:t xml:space="preserve">Объектовые аварийно-восстановит. отряды </w:t>
            </w:r>
          </w:p>
        </w:tc>
        <w:tc>
          <w:tcPr>
            <w:tcW w:w="2032" w:type="dxa"/>
          </w:tcPr>
          <w:p w14:paraId="45F1106E" w14:textId="77777777" w:rsidR="00DF6978" w:rsidRPr="007224C3" w:rsidRDefault="00DF6978" w:rsidP="007224C3">
            <w:pPr>
              <w:pStyle w:val="Iauiue"/>
              <w:jc w:val="both"/>
              <w:rPr>
                <w:color w:val="000000" w:themeColor="text1"/>
                <w:sz w:val="16"/>
                <w:szCs w:val="16"/>
              </w:rPr>
            </w:pPr>
            <w:r w:rsidRPr="007224C3">
              <w:rPr>
                <w:color w:val="000000" w:themeColor="text1"/>
                <w:sz w:val="16"/>
                <w:szCs w:val="16"/>
              </w:rPr>
              <w:t xml:space="preserve">980 </w:t>
            </w:r>
          </w:p>
        </w:tc>
        <w:tc>
          <w:tcPr>
            <w:tcW w:w="2032" w:type="dxa"/>
          </w:tcPr>
          <w:p w14:paraId="4C102CB1" w14:textId="77777777" w:rsidR="00DF6978" w:rsidRPr="007224C3" w:rsidRDefault="00DF6978" w:rsidP="007224C3">
            <w:pPr>
              <w:pStyle w:val="Iauiue"/>
              <w:jc w:val="both"/>
              <w:rPr>
                <w:color w:val="000000" w:themeColor="text1"/>
                <w:sz w:val="16"/>
                <w:szCs w:val="16"/>
              </w:rPr>
            </w:pPr>
            <w:r w:rsidRPr="007224C3">
              <w:rPr>
                <w:color w:val="000000" w:themeColor="text1"/>
                <w:sz w:val="16"/>
                <w:szCs w:val="16"/>
              </w:rPr>
              <w:t xml:space="preserve">138050 </w:t>
            </w:r>
          </w:p>
        </w:tc>
      </w:tr>
      <w:tr w:rsidR="006331D6" w:rsidRPr="007224C3" w14:paraId="7313579F" w14:textId="77777777" w:rsidTr="00DF6978">
        <w:tc>
          <w:tcPr>
            <w:tcW w:w="392" w:type="dxa"/>
          </w:tcPr>
          <w:p w14:paraId="50ABA1C5" w14:textId="77777777" w:rsidR="00DF6978" w:rsidRPr="007224C3" w:rsidRDefault="00DF6978" w:rsidP="007224C3">
            <w:pPr>
              <w:pStyle w:val="Iauiue"/>
              <w:jc w:val="both"/>
              <w:rPr>
                <w:color w:val="000000" w:themeColor="text1"/>
                <w:sz w:val="16"/>
                <w:szCs w:val="16"/>
              </w:rPr>
            </w:pPr>
            <w:r w:rsidRPr="007224C3">
              <w:rPr>
                <w:color w:val="000000" w:themeColor="text1"/>
                <w:sz w:val="16"/>
                <w:szCs w:val="16"/>
              </w:rPr>
              <w:t xml:space="preserve">16 </w:t>
            </w:r>
          </w:p>
        </w:tc>
        <w:tc>
          <w:tcPr>
            <w:tcW w:w="2032" w:type="dxa"/>
          </w:tcPr>
          <w:p w14:paraId="6369F342" w14:textId="77777777" w:rsidR="00DF6978" w:rsidRPr="007224C3" w:rsidRDefault="00DF6978" w:rsidP="007224C3">
            <w:pPr>
              <w:pStyle w:val="Iauiue"/>
              <w:jc w:val="both"/>
              <w:rPr>
                <w:color w:val="000000" w:themeColor="text1"/>
                <w:sz w:val="16"/>
                <w:szCs w:val="16"/>
              </w:rPr>
            </w:pPr>
            <w:r w:rsidRPr="007224C3">
              <w:rPr>
                <w:color w:val="000000" w:themeColor="text1"/>
                <w:sz w:val="16"/>
                <w:szCs w:val="16"/>
              </w:rPr>
              <w:t xml:space="preserve">Группы ветеринарной помощи </w:t>
            </w:r>
          </w:p>
        </w:tc>
        <w:tc>
          <w:tcPr>
            <w:tcW w:w="2032" w:type="dxa"/>
          </w:tcPr>
          <w:p w14:paraId="72A60C02" w14:textId="77777777" w:rsidR="00DF6978" w:rsidRPr="007224C3" w:rsidRDefault="00DF6978" w:rsidP="007224C3">
            <w:pPr>
              <w:pStyle w:val="Iauiue"/>
              <w:jc w:val="both"/>
              <w:rPr>
                <w:color w:val="000000" w:themeColor="text1"/>
                <w:sz w:val="16"/>
                <w:szCs w:val="16"/>
              </w:rPr>
            </w:pPr>
            <w:r w:rsidRPr="007224C3">
              <w:rPr>
                <w:color w:val="000000" w:themeColor="text1"/>
                <w:sz w:val="16"/>
                <w:szCs w:val="16"/>
              </w:rPr>
              <w:t xml:space="preserve">869 </w:t>
            </w:r>
          </w:p>
        </w:tc>
        <w:tc>
          <w:tcPr>
            <w:tcW w:w="2032" w:type="dxa"/>
          </w:tcPr>
          <w:p w14:paraId="67278B2E" w14:textId="77777777" w:rsidR="00DF6978" w:rsidRPr="007224C3" w:rsidRDefault="00DF6978" w:rsidP="007224C3">
            <w:pPr>
              <w:pStyle w:val="Iauiue"/>
              <w:jc w:val="both"/>
              <w:rPr>
                <w:color w:val="000000" w:themeColor="text1"/>
                <w:sz w:val="16"/>
                <w:szCs w:val="16"/>
              </w:rPr>
            </w:pPr>
            <w:r w:rsidRPr="007224C3">
              <w:rPr>
                <w:color w:val="000000" w:themeColor="text1"/>
                <w:sz w:val="16"/>
                <w:szCs w:val="16"/>
              </w:rPr>
              <w:t xml:space="preserve">2755 </w:t>
            </w:r>
          </w:p>
        </w:tc>
      </w:tr>
      <w:tr w:rsidR="005106D0" w:rsidRPr="007224C3" w14:paraId="1BD6D035" w14:textId="77777777" w:rsidTr="00DF6978">
        <w:tc>
          <w:tcPr>
            <w:tcW w:w="392" w:type="dxa"/>
          </w:tcPr>
          <w:p w14:paraId="48156EE4" w14:textId="77777777" w:rsidR="00DF6978" w:rsidRPr="007224C3" w:rsidRDefault="00DF6978" w:rsidP="007224C3">
            <w:pPr>
              <w:pStyle w:val="Iauiue"/>
              <w:jc w:val="both"/>
              <w:rPr>
                <w:color w:val="000000" w:themeColor="text1"/>
                <w:sz w:val="16"/>
                <w:szCs w:val="16"/>
              </w:rPr>
            </w:pPr>
          </w:p>
        </w:tc>
        <w:tc>
          <w:tcPr>
            <w:tcW w:w="2032" w:type="dxa"/>
          </w:tcPr>
          <w:p w14:paraId="794BEBAE" w14:textId="77777777" w:rsidR="00DF6978" w:rsidRPr="007224C3" w:rsidRDefault="00DF6978" w:rsidP="007224C3">
            <w:pPr>
              <w:pStyle w:val="Iauiue"/>
              <w:jc w:val="both"/>
              <w:rPr>
                <w:color w:val="000000" w:themeColor="text1"/>
                <w:sz w:val="16"/>
                <w:szCs w:val="16"/>
              </w:rPr>
            </w:pPr>
            <w:r w:rsidRPr="007224C3">
              <w:rPr>
                <w:color w:val="000000" w:themeColor="text1"/>
                <w:sz w:val="16"/>
                <w:szCs w:val="16"/>
              </w:rPr>
              <w:t>ИТОГО</w:t>
            </w:r>
          </w:p>
        </w:tc>
        <w:tc>
          <w:tcPr>
            <w:tcW w:w="2032" w:type="dxa"/>
          </w:tcPr>
          <w:p w14:paraId="709D5DA8" w14:textId="77777777" w:rsidR="00DF6978" w:rsidRPr="007224C3" w:rsidRDefault="00DF6978" w:rsidP="007224C3">
            <w:pPr>
              <w:pStyle w:val="Iauiue"/>
              <w:jc w:val="both"/>
              <w:rPr>
                <w:color w:val="000000" w:themeColor="text1"/>
                <w:sz w:val="16"/>
                <w:szCs w:val="16"/>
              </w:rPr>
            </w:pPr>
            <w:r w:rsidRPr="007224C3">
              <w:rPr>
                <w:color w:val="000000" w:themeColor="text1"/>
                <w:sz w:val="16"/>
                <w:szCs w:val="16"/>
              </w:rPr>
              <w:t>95044</w:t>
            </w:r>
          </w:p>
        </w:tc>
        <w:tc>
          <w:tcPr>
            <w:tcW w:w="2032" w:type="dxa"/>
          </w:tcPr>
          <w:p w14:paraId="601EE227" w14:textId="77777777" w:rsidR="00DF6978" w:rsidRPr="007224C3" w:rsidRDefault="00DF6978" w:rsidP="007224C3">
            <w:pPr>
              <w:pStyle w:val="Iauiue"/>
              <w:jc w:val="both"/>
              <w:rPr>
                <w:color w:val="000000" w:themeColor="text1"/>
                <w:sz w:val="16"/>
                <w:szCs w:val="16"/>
              </w:rPr>
            </w:pPr>
            <w:r w:rsidRPr="007224C3">
              <w:rPr>
                <w:color w:val="000000" w:themeColor="text1"/>
                <w:sz w:val="16"/>
                <w:szCs w:val="16"/>
              </w:rPr>
              <w:t>(9453)</w:t>
            </w:r>
          </w:p>
        </w:tc>
      </w:tr>
    </w:tbl>
    <w:p w14:paraId="1AFE3329" w14:textId="77777777" w:rsidR="00DF6978" w:rsidRPr="007224C3" w:rsidRDefault="00DF6978" w:rsidP="007224C3">
      <w:pPr>
        <w:pStyle w:val="Iauiue"/>
        <w:jc w:val="both"/>
        <w:rPr>
          <w:color w:val="000000" w:themeColor="text1"/>
          <w:sz w:val="16"/>
          <w:szCs w:val="16"/>
        </w:rPr>
      </w:pPr>
    </w:p>
    <w:p w14:paraId="5FF29061" w14:textId="2867687F" w:rsidR="005106D0" w:rsidRPr="007224C3" w:rsidRDefault="005106D0" w:rsidP="007224C3">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7224C3">
        <w:rPr>
          <w:rFonts w:ascii="Times New Roman" w:hAnsi="Times New Roman"/>
          <w:i/>
          <w:iCs/>
          <w:color w:val="000000" w:themeColor="text1"/>
          <w:sz w:val="16"/>
          <w:szCs w:val="16"/>
        </w:rPr>
        <w:t>За рубежом:</w:t>
      </w:r>
    </w:p>
    <w:p w14:paraId="5F5AEDB8" w14:textId="77777777" w:rsidR="005106D0" w:rsidRPr="007224C3" w:rsidRDefault="005106D0" w:rsidP="007224C3">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2220A2EF" w14:textId="77777777" w:rsidR="005106D0" w:rsidRPr="007224C3" w:rsidRDefault="005106D0" w:rsidP="007224C3">
      <w:pPr>
        <w:pStyle w:val="article-renderblock"/>
        <w:shd w:val="clear" w:color="auto" w:fill="FFFFFF"/>
        <w:spacing w:before="0" w:beforeAutospacing="0" w:after="0" w:afterAutospacing="0"/>
        <w:jc w:val="both"/>
        <w:rPr>
          <w:color w:val="0070C0"/>
          <w:sz w:val="16"/>
          <w:szCs w:val="16"/>
        </w:rPr>
      </w:pPr>
      <w:r w:rsidRPr="007224C3">
        <w:rPr>
          <w:color w:val="0070C0"/>
          <w:sz w:val="16"/>
          <w:szCs w:val="16"/>
        </w:rPr>
        <w:t>К началу 1944 г. Опытные Ме 262 налетали 120 часов, осуществив 335 полетов. Однако оставалась проблема сложности взлета. Строевые летчики предложили изменить схему шасси. На Me 262V-5 установили неубирающуюся переднюю стойку, после чего улучшилась управляемость на взлете, но длина разбега не изменилась. Проблема была решена применением стартовых ускорителей, сокращавших разбег до 400 м. Испытания провел Карл Баур, после чего 2 июня 1943 г. было принято решение о начале серийного производства Me 262 в новой компоновке (22776).</w:t>
      </w:r>
    </w:p>
    <w:p w14:paraId="591779A6" w14:textId="77777777" w:rsidR="005106D0" w:rsidRPr="007224C3" w:rsidRDefault="005106D0" w:rsidP="007224C3">
      <w:pPr>
        <w:pStyle w:val="article-renderblock"/>
        <w:shd w:val="clear" w:color="auto" w:fill="FFFFFF"/>
        <w:spacing w:before="0" w:beforeAutospacing="0" w:after="0" w:afterAutospacing="0"/>
        <w:jc w:val="both"/>
        <w:rPr>
          <w:color w:val="0070C0"/>
          <w:sz w:val="16"/>
          <w:szCs w:val="16"/>
        </w:rPr>
      </w:pPr>
    </w:p>
    <w:p w14:paraId="24FD5E53" w14:textId="7799B8FE" w:rsidR="00282955"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271852FF" w14:textId="77777777" w:rsidR="00282955" w:rsidRPr="007224C3" w:rsidRDefault="00282955"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B34C6FE" w14:textId="77777777" w:rsidR="00282955" w:rsidRPr="007224C3" w:rsidRDefault="00282955" w:rsidP="007224C3">
      <w:pPr>
        <w:pStyle w:val="27"/>
        <w:shd w:val="clear" w:color="auto" w:fill="auto"/>
        <w:spacing w:after="0" w:line="240" w:lineRule="auto"/>
        <w:ind w:firstLine="0"/>
        <w:rPr>
          <w:rFonts w:ascii="Times New Roman" w:cs="Times New Roman"/>
          <w:color w:val="000000" w:themeColor="text1"/>
          <w:spacing w:val="0"/>
        </w:rPr>
      </w:pPr>
      <w:r w:rsidRPr="007224C3">
        <w:rPr>
          <w:rFonts w:ascii="Times New Roman" w:cs="Times New Roman"/>
          <w:color w:val="000000" w:themeColor="text1"/>
          <w:spacing w:val="0"/>
        </w:rPr>
        <w:t>К январю 1944 г. представители УЗСиМ ГУЗ ВВС КА Фридман и Немчинский провели большую исследовательскую работу по изуче</w:t>
      </w:r>
      <w:r w:rsidRPr="007224C3">
        <w:rPr>
          <w:rFonts w:ascii="Times New Roman" w:cs="Times New Roman"/>
          <w:color w:val="000000" w:themeColor="text1"/>
          <w:spacing w:val="0"/>
        </w:rPr>
        <w:softHyphen/>
        <w:t>нию</w:t>
      </w:r>
      <w:r w:rsidRPr="007224C3">
        <w:rPr>
          <w:rStyle w:val="aff7"/>
          <w:rFonts w:ascii="Times New Roman" w:hAnsi="Times New Roman" w:cs="Times New Roman"/>
          <w:i w:val="0"/>
          <w:color w:val="000000" w:themeColor="text1"/>
          <w:spacing w:val="0"/>
        </w:rPr>
        <w:t xml:space="preserve"> «боевой службы бронезащиты самолета Ил-2»</w:t>
      </w:r>
      <w:r w:rsidRPr="007224C3">
        <w:rPr>
          <w:rFonts w:ascii="Times New Roman" w:cs="Times New Roman"/>
          <w:color w:val="000000" w:themeColor="text1"/>
          <w:spacing w:val="0"/>
        </w:rPr>
        <w:t xml:space="preserve"> в 237-м, 672-м, 951-м, 955-м и 995-м шап, 815-й и 845-й ПАРМ-3 17ВА. Были ис</w:t>
      </w:r>
      <w:r w:rsidRPr="007224C3">
        <w:rPr>
          <w:rFonts w:ascii="Times New Roman" w:cs="Times New Roman"/>
          <w:color w:val="000000" w:themeColor="text1"/>
          <w:spacing w:val="0"/>
        </w:rPr>
        <w:softHyphen/>
        <w:t>следованы все случаи поражения брони 120 штурмовиков Ил-2 и проведены совещания с летным и техническим составом (всего 100 человек) во всех пяти штурмовых авиаполках и двух ПАРМах воздушной армии.</w:t>
      </w:r>
    </w:p>
    <w:p w14:paraId="62C2ED9D" w14:textId="77777777" w:rsidR="00282955" w:rsidRPr="007224C3" w:rsidRDefault="00282955" w:rsidP="007224C3">
      <w:pPr>
        <w:pStyle w:val="27"/>
        <w:shd w:val="clear" w:color="auto" w:fill="auto"/>
        <w:spacing w:after="0" w:line="240" w:lineRule="auto"/>
        <w:ind w:firstLine="0"/>
        <w:rPr>
          <w:rFonts w:ascii="Times New Roman" w:cs="Times New Roman"/>
          <w:color w:val="000000" w:themeColor="text1"/>
          <w:spacing w:val="0"/>
        </w:rPr>
      </w:pPr>
      <w:r w:rsidRPr="007224C3">
        <w:rPr>
          <w:rFonts w:ascii="Times New Roman" w:cs="Times New Roman"/>
          <w:color w:val="000000" w:themeColor="text1"/>
          <w:spacing w:val="0"/>
        </w:rPr>
        <w:lastRenderedPageBreak/>
        <w:t>Основные выводы сводились к следую</w:t>
      </w:r>
      <w:r w:rsidRPr="007224C3">
        <w:rPr>
          <w:rFonts w:ascii="Times New Roman" w:cs="Times New Roman"/>
          <w:color w:val="000000" w:themeColor="text1"/>
          <w:spacing w:val="0"/>
        </w:rPr>
        <w:softHyphen/>
        <w:t>щему. Броня самолета Ил-2 вполне надежно защищала от простых и бронебойных пуль ка</w:t>
      </w:r>
      <w:r w:rsidRPr="007224C3">
        <w:rPr>
          <w:rFonts w:ascii="Times New Roman" w:cs="Times New Roman"/>
          <w:color w:val="000000" w:themeColor="text1"/>
          <w:spacing w:val="0"/>
        </w:rPr>
        <w:softHyphen/>
        <w:t>либра 7,92 мм, а цементованные детали тол</w:t>
      </w:r>
      <w:r w:rsidRPr="007224C3">
        <w:rPr>
          <w:rFonts w:ascii="Times New Roman" w:cs="Times New Roman"/>
          <w:color w:val="000000" w:themeColor="text1"/>
          <w:spacing w:val="0"/>
        </w:rPr>
        <w:softHyphen/>
        <w:t>щиной 12 мм «держали» и пули крупного кали</w:t>
      </w:r>
      <w:r w:rsidRPr="007224C3">
        <w:rPr>
          <w:rFonts w:ascii="Times New Roman" w:cs="Times New Roman"/>
          <w:color w:val="000000" w:themeColor="text1"/>
          <w:spacing w:val="0"/>
        </w:rPr>
        <w:softHyphen/>
        <w:t>бра</w:t>
      </w:r>
      <w:r w:rsidRPr="007224C3">
        <w:rPr>
          <w:rStyle w:val="aff7"/>
          <w:rFonts w:ascii="Times New Roman" w:hAnsi="Times New Roman" w:cs="Times New Roman"/>
          <w:i w:val="0"/>
          <w:color w:val="000000" w:themeColor="text1"/>
          <w:spacing w:val="0"/>
        </w:rPr>
        <w:t xml:space="preserve"> «при попадании под углами и с дистанции в пределах действующих технических условий на авиаброню».</w:t>
      </w:r>
      <w:r w:rsidRPr="007224C3">
        <w:rPr>
          <w:rFonts w:ascii="Times New Roman" w:cs="Times New Roman"/>
          <w:color w:val="000000" w:themeColor="text1"/>
          <w:spacing w:val="0"/>
        </w:rPr>
        <w:t xml:space="preserve"> Живучесть брони в отношении хрупких разрушений в виде расколов и трещин признавалась достаточной. В то же время бронекорпус неудовлетворительно защищал от широко применяемых противником пуль и сна</w:t>
      </w:r>
      <w:r w:rsidRPr="007224C3">
        <w:rPr>
          <w:rFonts w:ascii="Times New Roman" w:cs="Times New Roman"/>
          <w:color w:val="000000" w:themeColor="text1"/>
          <w:spacing w:val="0"/>
        </w:rPr>
        <w:softHyphen/>
        <w:t>рядов калибра 15-20 мм.</w:t>
      </w:r>
    </w:p>
    <w:p w14:paraId="6B229D3D" w14:textId="77777777" w:rsidR="00282955" w:rsidRPr="007224C3" w:rsidRDefault="00282955" w:rsidP="007224C3">
      <w:pPr>
        <w:pStyle w:val="27"/>
        <w:shd w:val="clear" w:color="auto" w:fill="auto"/>
        <w:spacing w:after="0" w:line="240" w:lineRule="auto"/>
        <w:ind w:firstLine="0"/>
        <w:rPr>
          <w:rFonts w:ascii="Times New Roman" w:cs="Times New Roman"/>
          <w:color w:val="000000" w:themeColor="text1"/>
          <w:spacing w:val="0"/>
        </w:rPr>
      </w:pPr>
      <w:r w:rsidRPr="007224C3">
        <w:rPr>
          <w:rFonts w:ascii="Times New Roman" w:cs="Times New Roman"/>
          <w:color w:val="000000" w:themeColor="text1"/>
          <w:spacing w:val="0"/>
        </w:rPr>
        <w:t>Наибольшему воздействию зенитного огня подвергалась броня капота мотора и лобовые детали бронекорзины водомаслорадиаторов, особенно при подходе к цели и пикировании на нее. Весьма многочисленными были слу</w:t>
      </w:r>
      <w:r w:rsidRPr="007224C3">
        <w:rPr>
          <w:rFonts w:ascii="Times New Roman" w:cs="Times New Roman"/>
          <w:color w:val="000000" w:themeColor="text1"/>
          <w:spacing w:val="0"/>
        </w:rPr>
        <w:softHyphen/>
        <w:t>чаи вывода из строя стрелков, особенно от огня истребителей,</w:t>
      </w:r>
      <w:r w:rsidRPr="007224C3">
        <w:rPr>
          <w:rStyle w:val="aff7"/>
          <w:rFonts w:ascii="Times New Roman" w:hAnsi="Times New Roman" w:cs="Times New Roman"/>
          <w:i w:val="0"/>
          <w:color w:val="000000" w:themeColor="text1"/>
          <w:spacing w:val="0"/>
        </w:rPr>
        <w:t xml:space="preserve"> «при попадании в пол и по бортам кабины стрелка, совершенно не защи</w:t>
      </w:r>
      <w:r w:rsidRPr="007224C3">
        <w:rPr>
          <w:rStyle w:val="aff7"/>
          <w:rFonts w:ascii="Times New Roman" w:hAnsi="Times New Roman" w:cs="Times New Roman"/>
          <w:i w:val="0"/>
          <w:color w:val="000000" w:themeColor="text1"/>
          <w:spacing w:val="0"/>
        </w:rPr>
        <w:softHyphen/>
        <w:t>щенные броней».</w:t>
      </w:r>
      <w:r w:rsidRPr="007224C3">
        <w:rPr>
          <w:rFonts w:ascii="Times New Roman" w:cs="Times New Roman"/>
          <w:color w:val="000000" w:themeColor="text1"/>
          <w:spacing w:val="0"/>
        </w:rPr>
        <w:t xml:space="preserve"> Истребители противника при атаке штурмовика главным образом поража</w:t>
      </w:r>
      <w:r w:rsidRPr="007224C3">
        <w:rPr>
          <w:rFonts w:ascii="Times New Roman" w:cs="Times New Roman"/>
          <w:color w:val="000000" w:themeColor="text1"/>
          <w:spacing w:val="0"/>
        </w:rPr>
        <w:softHyphen/>
        <w:t>ли задние детали бронекорзины радиатора и задний бензобак в его верхней части справа и слева.</w:t>
      </w:r>
    </w:p>
    <w:p w14:paraId="29F71B02" w14:textId="77777777" w:rsidR="00282955" w:rsidRPr="007224C3" w:rsidRDefault="00282955" w:rsidP="007224C3">
      <w:pPr>
        <w:pStyle w:val="27"/>
        <w:shd w:val="clear" w:color="auto" w:fill="auto"/>
        <w:spacing w:after="0" w:line="240" w:lineRule="auto"/>
        <w:ind w:firstLine="0"/>
        <w:rPr>
          <w:rFonts w:ascii="Times New Roman" w:cs="Times New Roman"/>
          <w:color w:val="000000" w:themeColor="text1"/>
          <w:spacing w:val="0"/>
        </w:rPr>
      </w:pPr>
      <w:r w:rsidRPr="007224C3">
        <w:rPr>
          <w:rFonts w:ascii="Times New Roman" w:cs="Times New Roman"/>
          <w:color w:val="000000" w:themeColor="text1"/>
          <w:spacing w:val="0"/>
        </w:rPr>
        <w:t>Весьма частыми были случаи ранения лет</w:t>
      </w:r>
      <w:r w:rsidRPr="007224C3">
        <w:rPr>
          <w:rFonts w:ascii="Times New Roman" w:cs="Times New Roman"/>
          <w:color w:val="000000" w:themeColor="text1"/>
          <w:spacing w:val="0"/>
        </w:rPr>
        <w:softHyphen/>
        <w:t>чиков (головы и верхних конечностей) от попа</w:t>
      </w:r>
      <w:r w:rsidRPr="007224C3">
        <w:rPr>
          <w:rFonts w:ascii="Times New Roman" w:cs="Times New Roman"/>
          <w:color w:val="000000" w:themeColor="text1"/>
          <w:spacing w:val="0"/>
        </w:rPr>
        <w:softHyphen/>
        <w:t>дания осколков снарядов и пуль огня истре</w:t>
      </w:r>
      <w:r w:rsidRPr="007224C3">
        <w:rPr>
          <w:rFonts w:ascii="Times New Roman" w:cs="Times New Roman"/>
          <w:color w:val="000000" w:themeColor="text1"/>
          <w:spacing w:val="0"/>
        </w:rPr>
        <w:softHyphen/>
        <w:t>бителей через конструктивные зазоры между подвижной частью фонаря кабины и верхней броней над бензобаком.</w:t>
      </w:r>
    </w:p>
    <w:p w14:paraId="07D3DA4C" w14:textId="77777777" w:rsidR="00282955" w:rsidRPr="007224C3" w:rsidRDefault="00282955" w:rsidP="007224C3">
      <w:pPr>
        <w:pStyle w:val="27"/>
        <w:shd w:val="clear" w:color="auto" w:fill="auto"/>
        <w:spacing w:after="0" w:line="240" w:lineRule="auto"/>
        <w:ind w:firstLine="0"/>
        <w:rPr>
          <w:rFonts w:ascii="Times New Roman" w:cs="Times New Roman"/>
          <w:color w:val="000000" w:themeColor="text1"/>
          <w:spacing w:val="0"/>
        </w:rPr>
      </w:pPr>
      <w:r w:rsidRPr="007224C3">
        <w:rPr>
          <w:rFonts w:ascii="Times New Roman" w:cs="Times New Roman"/>
          <w:color w:val="000000" w:themeColor="text1"/>
          <w:spacing w:val="0"/>
        </w:rPr>
        <w:t>Наряду с этим, в бронекорпусе Ил-2 име</w:t>
      </w:r>
      <w:r w:rsidRPr="007224C3">
        <w:rPr>
          <w:rFonts w:ascii="Times New Roman" w:cs="Times New Roman"/>
          <w:color w:val="000000" w:themeColor="text1"/>
          <w:spacing w:val="0"/>
        </w:rPr>
        <w:softHyphen/>
        <w:t>лись детали, попадания в которые были крайне редки или не наблюдались вовсе. К числу таких деталей, в первую очередь, относились: верх</w:t>
      </w:r>
      <w:r w:rsidRPr="007224C3">
        <w:rPr>
          <w:rFonts w:ascii="Times New Roman" w:cs="Times New Roman"/>
          <w:color w:val="000000" w:themeColor="text1"/>
          <w:spacing w:val="0"/>
        </w:rPr>
        <w:softHyphen/>
        <w:t>няя броня капота мотора и кабины, лобовая броня переднего бензобака, нижние продоль- ные детали кабины, закрытые плоскостями, и боковые детали бронекорзины.</w:t>
      </w:r>
    </w:p>
    <w:p w14:paraId="656A3C6C" w14:textId="77777777" w:rsidR="00282955" w:rsidRPr="007224C3" w:rsidRDefault="00282955" w:rsidP="007224C3">
      <w:pPr>
        <w:pStyle w:val="27"/>
        <w:shd w:val="clear" w:color="auto" w:fill="auto"/>
        <w:spacing w:after="0" w:line="240" w:lineRule="auto"/>
        <w:ind w:firstLine="0"/>
        <w:rPr>
          <w:rFonts w:ascii="Times New Roman" w:cs="Times New Roman"/>
          <w:color w:val="000000" w:themeColor="text1"/>
          <w:spacing w:val="0"/>
        </w:rPr>
      </w:pPr>
      <w:r w:rsidRPr="007224C3">
        <w:rPr>
          <w:rFonts w:ascii="Times New Roman" w:cs="Times New Roman"/>
          <w:color w:val="000000" w:themeColor="text1"/>
          <w:spacing w:val="0"/>
        </w:rPr>
        <w:t>Поэтому</w:t>
      </w:r>
      <w:r w:rsidRPr="007224C3">
        <w:rPr>
          <w:rStyle w:val="aff7"/>
          <w:rFonts w:ascii="Times New Roman" w:hAnsi="Times New Roman" w:cs="Times New Roman"/>
          <w:i w:val="0"/>
          <w:color w:val="000000" w:themeColor="text1"/>
          <w:spacing w:val="0"/>
        </w:rPr>
        <w:t xml:space="preserve"> «для обеспечения защиты стрел</w:t>
      </w:r>
      <w:r w:rsidRPr="007224C3">
        <w:rPr>
          <w:rStyle w:val="aff7"/>
          <w:rFonts w:ascii="Times New Roman" w:hAnsi="Times New Roman" w:cs="Times New Roman"/>
          <w:i w:val="0"/>
          <w:color w:val="000000" w:themeColor="text1"/>
          <w:spacing w:val="0"/>
        </w:rPr>
        <w:softHyphen/>
        <w:t>ка и увеличения стойкости брони капота и во- домаслорадиатора, без увеличения общего веса бронезащиты Ил-2»</w:t>
      </w:r>
      <w:r w:rsidRPr="007224C3">
        <w:rPr>
          <w:rFonts w:ascii="Times New Roman" w:cs="Times New Roman"/>
          <w:color w:val="000000" w:themeColor="text1"/>
          <w:spacing w:val="0"/>
        </w:rPr>
        <w:t xml:space="preserve"> считалось целесо</w:t>
      </w:r>
      <w:r w:rsidRPr="007224C3">
        <w:rPr>
          <w:rFonts w:ascii="Times New Roman" w:cs="Times New Roman"/>
          <w:color w:val="000000" w:themeColor="text1"/>
          <w:spacing w:val="0"/>
        </w:rPr>
        <w:softHyphen/>
        <w:t>образным перераспределить толщину брони бронекорпуса самолета за счет уменьшения толщины или снятия бронедеталей в мало по</w:t>
      </w:r>
      <w:r w:rsidRPr="007224C3">
        <w:rPr>
          <w:rFonts w:ascii="Times New Roman" w:cs="Times New Roman"/>
          <w:color w:val="000000" w:themeColor="text1"/>
          <w:spacing w:val="0"/>
        </w:rPr>
        <w:softHyphen/>
        <w:t>ражаемых местах. На этом экономилось</w:t>
      </w:r>
      <w:r w:rsidRPr="007224C3">
        <w:rPr>
          <w:rStyle w:val="affa"/>
          <w:rFonts w:ascii="Times New Roman" w:cs="Times New Roman"/>
          <w:b w:val="0"/>
          <w:color w:val="000000" w:themeColor="text1"/>
          <w:spacing w:val="0"/>
          <w:sz w:val="16"/>
          <w:szCs w:val="16"/>
        </w:rPr>
        <w:t xml:space="preserve"> около </w:t>
      </w:r>
      <w:r w:rsidRPr="007224C3">
        <w:rPr>
          <w:rFonts w:ascii="Times New Roman" w:cs="Times New Roman"/>
          <w:color w:val="000000" w:themeColor="text1"/>
          <w:spacing w:val="0"/>
        </w:rPr>
        <w:t>130 кг веса брони, что можно было</w:t>
      </w:r>
      <w:r w:rsidRPr="007224C3">
        <w:rPr>
          <w:rStyle w:val="affa"/>
          <w:rFonts w:ascii="Times New Roman" w:cs="Times New Roman"/>
          <w:b w:val="0"/>
          <w:color w:val="000000" w:themeColor="text1"/>
          <w:spacing w:val="0"/>
          <w:sz w:val="16"/>
          <w:szCs w:val="16"/>
        </w:rPr>
        <w:t xml:space="preserve"> использо</w:t>
      </w:r>
      <w:r w:rsidRPr="007224C3">
        <w:rPr>
          <w:rStyle w:val="affa"/>
          <w:rFonts w:ascii="Times New Roman" w:cs="Times New Roman"/>
          <w:b w:val="0"/>
          <w:color w:val="000000" w:themeColor="text1"/>
          <w:spacing w:val="0"/>
          <w:sz w:val="16"/>
          <w:szCs w:val="16"/>
        </w:rPr>
        <w:softHyphen/>
      </w:r>
      <w:r w:rsidRPr="007224C3">
        <w:rPr>
          <w:rFonts w:ascii="Times New Roman" w:cs="Times New Roman"/>
          <w:color w:val="000000" w:themeColor="text1"/>
          <w:spacing w:val="0"/>
        </w:rPr>
        <w:t>вать</w:t>
      </w:r>
      <w:r w:rsidRPr="007224C3">
        <w:rPr>
          <w:rStyle w:val="aff7"/>
          <w:rFonts w:ascii="Times New Roman" w:hAnsi="Times New Roman" w:cs="Times New Roman"/>
          <w:i w:val="0"/>
          <w:color w:val="000000" w:themeColor="text1"/>
          <w:spacing w:val="0"/>
        </w:rPr>
        <w:t xml:space="preserve"> «для увеличения защиты стрелка и увели</w:t>
      </w:r>
      <w:r w:rsidRPr="007224C3">
        <w:rPr>
          <w:rStyle w:val="aff7"/>
          <w:rFonts w:ascii="Times New Roman" w:hAnsi="Times New Roman" w:cs="Times New Roman"/>
          <w:i w:val="0"/>
          <w:color w:val="000000" w:themeColor="text1"/>
          <w:spacing w:val="0"/>
        </w:rPr>
        <w:softHyphen/>
        <w:t>чения толщины брони капота мотора, а также лобовой и задней брони водомаслорадито- ров».</w:t>
      </w:r>
      <w:r w:rsidRPr="007224C3">
        <w:rPr>
          <w:rFonts w:ascii="Times New Roman" w:cs="Times New Roman"/>
          <w:color w:val="000000" w:themeColor="text1"/>
          <w:spacing w:val="0"/>
        </w:rPr>
        <w:t xml:space="preserve"> Это могло существенно улучшить броне- защиту Ил-2 от пуль и снарядов калибра 15- 20 мм. По результатам обследования 25 янва</w:t>
      </w:r>
      <w:r w:rsidRPr="007224C3">
        <w:rPr>
          <w:rFonts w:ascii="Times New Roman" w:cs="Times New Roman"/>
          <w:color w:val="000000" w:themeColor="text1"/>
          <w:spacing w:val="0"/>
        </w:rPr>
        <w:softHyphen/>
        <w:t>ря 1944 г. был составлен соответствующий акт.</w:t>
      </w:r>
    </w:p>
    <w:p w14:paraId="379CD885" w14:textId="77777777" w:rsidR="00282955" w:rsidRPr="007224C3" w:rsidRDefault="00282955" w:rsidP="007224C3">
      <w:pPr>
        <w:pStyle w:val="45"/>
        <w:shd w:val="clear" w:color="auto" w:fill="auto"/>
        <w:spacing w:before="0" w:line="240" w:lineRule="auto"/>
        <w:jc w:val="both"/>
        <w:rPr>
          <w:rFonts w:ascii="Times New Roman" w:cs="Times New Roman"/>
          <w:color w:val="000000" w:themeColor="text1"/>
          <w:sz w:val="16"/>
          <w:szCs w:val="16"/>
        </w:rPr>
      </w:pPr>
      <w:r w:rsidRPr="007224C3">
        <w:rPr>
          <w:rStyle w:val="4c"/>
          <w:rFonts w:ascii="Times New Roman" w:hAnsi="Times New Roman" w:cs="Times New Roman"/>
          <w:i w:val="0"/>
          <w:color w:val="000000" w:themeColor="text1"/>
          <w:sz w:val="16"/>
          <w:szCs w:val="16"/>
        </w:rPr>
        <w:t>В сопроводительном письме генерал-пол- ковнику Репину и начальнику ГУЗ ВВС генерал- лейтенанту Селезневу заместитель командую</w:t>
      </w:r>
      <w:r w:rsidRPr="007224C3">
        <w:rPr>
          <w:rStyle w:val="4c"/>
          <w:rFonts w:ascii="Times New Roman" w:hAnsi="Times New Roman" w:cs="Times New Roman"/>
          <w:i w:val="0"/>
          <w:color w:val="000000" w:themeColor="text1"/>
          <w:sz w:val="16"/>
          <w:szCs w:val="16"/>
        </w:rPr>
        <w:softHyphen/>
        <w:t xml:space="preserve">щего по инженерно-авиационной службе 17-й ВА инженер-полковник Шепелев указывал: </w:t>
      </w:r>
      <w:r w:rsidRPr="007224C3">
        <w:rPr>
          <w:rFonts w:ascii="Times New Roman" w:cs="Times New Roman"/>
          <w:color w:val="000000" w:themeColor="text1"/>
          <w:sz w:val="16"/>
          <w:szCs w:val="16"/>
        </w:rPr>
        <w:t>«Представленные представителями УЗСиМ материалы обследования, поддержанные ко</w:t>
      </w:r>
      <w:r w:rsidRPr="007224C3">
        <w:rPr>
          <w:rFonts w:ascii="Times New Roman" w:cs="Times New Roman"/>
          <w:color w:val="000000" w:themeColor="text1"/>
          <w:sz w:val="16"/>
          <w:szCs w:val="16"/>
        </w:rPr>
        <w:softHyphen/>
        <w:t>мандирами и инженерами частей, позволяют согласиться с выводами, вытекающими из прилагаемого Акта о необходимости перера</w:t>
      </w:r>
      <w:r w:rsidRPr="007224C3">
        <w:rPr>
          <w:rFonts w:ascii="Times New Roman" w:cs="Times New Roman"/>
          <w:color w:val="000000" w:themeColor="text1"/>
          <w:sz w:val="16"/>
          <w:szCs w:val="16"/>
        </w:rPr>
        <w:softHyphen/>
        <w:t>спределения веса брони в целях более полной защиты стрелка и повышения стойкости брони капота мотора и водо-маслорадиатора» (17478).</w:t>
      </w:r>
    </w:p>
    <w:p w14:paraId="172B45A1" w14:textId="77777777" w:rsidR="00282955" w:rsidRPr="007224C3" w:rsidRDefault="00282955" w:rsidP="007224C3">
      <w:pPr>
        <w:pStyle w:val="45"/>
        <w:shd w:val="clear" w:color="auto" w:fill="auto"/>
        <w:spacing w:before="0" w:line="240" w:lineRule="auto"/>
        <w:jc w:val="both"/>
        <w:rPr>
          <w:rFonts w:ascii="Times New Roman" w:cs="Times New Roman"/>
          <w:color w:val="000000" w:themeColor="text1"/>
          <w:sz w:val="16"/>
          <w:szCs w:val="16"/>
        </w:rPr>
      </w:pPr>
    </w:p>
    <w:p w14:paraId="721AE6C2"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0D13A64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5DF9B5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январю 1944 года по данных Центрального штаба партизанского движения на временно оккупированной территории СССР партизанской разведкой было выявлено 22 склада с химическим имуществом, из них 3 в Ленинградской области и Прибалтике, 5 на Укранине, 14 в Белоруссии. ГУ МПВО НКВД СССР развернуло 32663 метеохимических поста. В 15 точках СССР были сформированы токсикологические бригады. Всего за годы ВОВ было изготовлено 15695800 гражданских и 22930 конских противогазов, оборудовано газоубежищ на 6421 тыс. человек. Для дегазации местности сформировано 314 рот и 19 взводов. МПВО в ходе ВОВ обеспечила укрытиями 25,5 млн. человек, в т.ч. 6,4 млн. в газоубежищах. Медико-санитарная служба МПВО оказала помощь 135224 пострадавшим. Помощь оказывалась в среднем через 16 мин. с момента поражения. На завершающем этапе войны ряд частей МПВО привлекался к операциям по ликвидации бандитизма в западных районах страны. Было проведено более 400 самостоятельных и в составе сводных отрядов операций по разгрому бандформирований на территории Литвы и Западной Украины, в результате которых уничтожено и захвачено в плен 2800 бандитов и их пособников, задержано 2300 дезертиров и подозрительных лиц, уничтожено 600 убежищ и 26 складов, захвачено 29 пулеметов, 40 тыс. патронов, 4 рации (9453).</w:t>
      </w:r>
    </w:p>
    <w:p w14:paraId="2E56F10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69A1FC"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677837D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A02C6D1" w14:textId="77777777" w:rsidR="0059774D" w:rsidRPr="007224C3" w:rsidRDefault="0059774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1 января 1944 г. численности работающих в авиастроительной отрасли составида 640213 человек (вырасла на 17% по сравнению с 1941 г.), на 24,5% возросла средняя продолжительность рабочей смены — с 7,7 ч в 1940 г. до 9,5 ч в 1943 г. (РГАЭ. Ф. 8044. Оп.1. Д. 1314. А. 192-196: Д. 6; Л. 52, 58, 63.) (18305).</w:t>
      </w:r>
    </w:p>
    <w:p w14:paraId="2791EAA3" w14:textId="77777777" w:rsidR="0059774D" w:rsidRPr="007224C3" w:rsidRDefault="0059774D" w:rsidP="007224C3">
      <w:pPr>
        <w:spacing w:after="0" w:line="240" w:lineRule="auto"/>
        <w:jc w:val="both"/>
        <w:rPr>
          <w:rFonts w:ascii="Times New Roman" w:hAnsi="Times New Roman"/>
          <w:color w:val="000000" w:themeColor="text1"/>
          <w:sz w:val="16"/>
          <w:szCs w:val="16"/>
        </w:rPr>
      </w:pPr>
    </w:p>
    <w:p w14:paraId="23E3373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1 января 1944 штатная потребность ВВС и учебных заведений ВВС была обеспечена более, чем на 100%.</w:t>
      </w:r>
    </w:p>
    <w:p w14:paraId="5ECA4E8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1943 изготовили 35 тыс. боевых самолетов.</w:t>
      </w:r>
    </w:p>
    <w:p w14:paraId="1233CCE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Новые самолеты - 86.7% в иа, 100% в ша, 74.3% в ба</w:t>
      </w:r>
    </w:p>
    <w:p w14:paraId="6848089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действующей армии было 6165 чел., 88900 орудий и минометов, 2167 катюш, 4900 танков и САУ, 8500 самолетов</w:t>
      </w:r>
    </w:p>
    <w:p w14:paraId="2E7F5B4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 немцев - 4906, 54000, 5400 и 3000</w:t>
      </w:r>
    </w:p>
    <w:p w14:paraId="66DEAB3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Мы ставили задачи: главный удар - на ЮЗ и освобождение правобережной У и Крыма. На СЗ - снятие блокады и выход на Прибалтику. На З - освобождение части Белоруссии</w:t>
      </w:r>
    </w:p>
    <w:p w14:paraId="075BE5D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Немцы ставили задачи: концентрация войск на направлениях наших ударов и остановка наступления за счет маневра резервами. На Западе - отражение десанта и захват инициативы (340,157).</w:t>
      </w:r>
    </w:p>
    <w:p w14:paraId="6B8DB9D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1FE25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1 января 1944 г в строю числились 29 Ю-52 (в том числе 21 исправный). Потеряли же всего один (6393).</w:t>
      </w:r>
    </w:p>
    <w:p w14:paraId="5D3B377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CAABFD" w14:textId="77777777" w:rsidR="0059774D" w:rsidRPr="007224C3" w:rsidRDefault="0059774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shd w:val="clear" w:color="auto" w:fill="FFFFFF"/>
        </w:rPr>
        <w:t>На 1 января 1944 года в строю числились двадцать девять Ю-52 (в том числе 21 исправный). Потеряли же всего один. 24 октября 1943 года самолёт Л-37 (пилот П.М. Никитин), совершая рейс Уфа – Челябинск, упал и сгорел у станции Аша. Экипаж погиб (19686).</w:t>
      </w:r>
    </w:p>
    <w:p w14:paraId="5134DCC1" w14:textId="77777777" w:rsidR="0059774D" w:rsidRPr="007224C3" w:rsidRDefault="0059774D" w:rsidP="007224C3">
      <w:pPr>
        <w:spacing w:after="0" w:line="240" w:lineRule="auto"/>
        <w:jc w:val="both"/>
        <w:rPr>
          <w:rFonts w:ascii="Times New Roman" w:hAnsi="Times New Roman"/>
          <w:color w:val="000000" w:themeColor="text1"/>
          <w:sz w:val="16"/>
          <w:szCs w:val="16"/>
        </w:rPr>
      </w:pPr>
    </w:p>
    <w:p w14:paraId="7405BBC4" w14:textId="77777777" w:rsidR="0059774D" w:rsidRPr="007224C3" w:rsidRDefault="0059774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1 января 1944 года от всех причин было потеряно и списано сорок восемь бомбарди</w:t>
      </w:r>
      <w:r w:rsidRPr="007224C3">
        <w:rPr>
          <w:rFonts w:ascii="Times New Roman" w:hAnsi="Times New Roman"/>
          <w:color w:val="000000" w:themeColor="text1"/>
          <w:sz w:val="16"/>
          <w:szCs w:val="16"/>
        </w:rPr>
        <w:softHyphen/>
        <w:t>ровщиков Пе-8. До войны разбились в авариях и были списаны корабли с заводскими номерами: 4211,4213, 4220. После начала войны, в 1941 году, были потеряны ТБ-7 с заводскими номерами: 4216,4217, 4219,4222,4223, 4224, 4226, 42025, 42045, 42016, 42026, 42036, 42046,42056.</w:t>
      </w:r>
    </w:p>
    <w:p w14:paraId="1B013E60" w14:textId="77777777" w:rsidR="0059774D" w:rsidRPr="007224C3" w:rsidRDefault="0059774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1942-м году были потеряны корабли с заводскими номе</w:t>
      </w:r>
      <w:r w:rsidRPr="007224C3">
        <w:rPr>
          <w:rFonts w:ascii="Times New Roman" w:hAnsi="Times New Roman"/>
          <w:color w:val="000000" w:themeColor="text1"/>
          <w:sz w:val="16"/>
          <w:szCs w:val="16"/>
        </w:rPr>
        <w:softHyphen/>
        <w:t>рами 4227,42015,42035,42055,42066,42086,42096,42106,42017, 42027,42047,42018,42068, а в 1943-м году - с заводскими номе</w:t>
      </w:r>
      <w:r w:rsidRPr="007224C3">
        <w:rPr>
          <w:rFonts w:ascii="Times New Roman" w:hAnsi="Times New Roman"/>
          <w:color w:val="000000" w:themeColor="text1"/>
          <w:sz w:val="16"/>
          <w:szCs w:val="16"/>
        </w:rPr>
        <w:softHyphen/>
        <w:t>рами 4201,4212,4215, 42037,42077, 42087,42097,42107,42048, 42058, 42108,42019,42049,42069,42079,42109,42110,42510.</w:t>
      </w:r>
    </w:p>
    <w:p w14:paraId="19C29935" w14:textId="77777777" w:rsidR="0059774D" w:rsidRPr="007224C3" w:rsidRDefault="0059774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1944 году были выпущены последние пять бомбарди</w:t>
      </w:r>
      <w:r w:rsidRPr="007224C3">
        <w:rPr>
          <w:rFonts w:ascii="Times New Roman" w:hAnsi="Times New Roman"/>
          <w:color w:val="000000" w:themeColor="text1"/>
          <w:sz w:val="16"/>
          <w:szCs w:val="16"/>
        </w:rPr>
        <w:softHyphen/>
        <w:t>ровщиков Пе-8, из них два в пассажирском варианте. Всего (вместе с двумя прототипами) было произведено 93 воздушных корабля. На первое января 1944 года в обоих полках, воо</w:t>
      </w:r>
      <w:r w:rsidRPr="007224C3">
        <w:rPr>
          <w:rFonts w:ascii="Times New Roman" w:hAnsi="Times New Roman"/>
          <w:color w:val="000000" w:themeColor="text1"/>
          <w:sz w:val="16"/>
          <w:szCs w:val="16"/>
        </w:rPr>
        <w:softHyphen/>
        <w:t>руженных ПЕ-8, имелось двадцать бомбардировщиков Пе-8.</w:t>
      </w:r>
    </w:p>
    <w:p w14:paraId="597C3FCC" w14:textId="77777777" w:rsidR="0059774D" w:rsidRPr="007224C3" w:rsidRDefault="0059774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Некоторое количество Пе-8 находилось в ремонте на заводе. А некоторые кора</w:t>
      </w:r>
      <w:r w:rsidRPr="007224C3">
        <w:rPr>
          <w:rFonts w:ascii="Times New Roman" w:hAnsi="Times New Roman"/>
          <w:color w:val="000000" w:themeColor="text1"/>
          <w:sz w:val="16"/>
          <w:szCs w:val="16"/>
        </w:rPr>
        <w:softHyphen/>
        <w:t>бли хоть уже и были выпущены и сданы заводом, но все еще не были приняты представителями ВВС из-за дефектов и не поступили в авиаполки (порой между выпуском Пе-8 заводом и поступления его в авиаполк проходило несколько ме</w:t>
      </w:r>
      <w:r w:rsidRPr="007224C3">
        <w:rPr>
          <w:rFonts w:ascii="Times New Roman" w:hAnsi="Times New Roman"/>
          <w:color w:val="000000" w:themeColor="text1"/>
          <w:sz w:val="16"/>
          <w:szCs w:val="16"/>
        </w:rPr>
        <w:softHyphen/>
        <w:t>сяцев. Так, Пе-8 с заводскими номерами 42811 и 42911, которые были выпущены в конце 1943 года, прибыли в 25-й гв, АПДД только 16-го февраля 1944 года. Пе-8 с заводскими номерами 42212 и 42312, которые также были выпущены в конце 1943 года, были переданы в 25-й гв. АПДД только 22-го мая 1944-го года.</w:t>
      </w:r>
    </w:p>
    <w:p w14:paraId="0EA86222" w14:textId="77777777" w:rsidR="0059774D" w:rsidRPr="007224C3" w:rsidRDefault="0059774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Кстати, эти два Пе-8 были построены на деньги колхозников Татарской Авто</w:t>
      </w:r>
      <w:r w:rsidRPr="007224C3">
        <w:rPr>
          <w:rFonts w:ascii="Times New Roman" w:hAnsi="Times New Roman"/>
          <w:color w:val="000000" w:themeColor="text1"/>
          <w:sz w:val="16"/>
          <w:szCs w:val="16"/>
        </w:rPr>
        <w:softHyphen/>
        <w:t>номной Советской Социалистической Республики и несли на фюзеляжах надписи: на одном было написано «Кайбинский колхозник», а на другом - «Бугульминский колхозник». 22-го мая на аэродроме оба этих корабля были пере</w:t>
      </w:r>
      <w:r w:rsidRPr="007224C3">
        <w:rPr>
          <w:rFonts w:ascii="Times New Roman" w:hAnsi="Times New Roman"/>
          <w:color w:val="000000" w:themeColor="text1"/>
          <w:sz w:val="16"/>
          <w:szCs w:val="16"/>
        </w:rPr>
        <w:softHyphen/>
        <w:t>даны делегацией колхозников личному составу полка).</w:t>
      </w:r>
    </w:p>
    <w:p w14:paraId="6CC970D7" w14:textId="77777777" w:rsidR="0059774D" w:rsidRPr="007224C3" w:rsidRDefault="0059774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Некоторые машины терпели аварии при перелете с завода изготовителя в полк или при заводских испытаниях. Так, 8 января 1944 года при перелете с завода на аэродром базирования полка потерпел аварию Пе-8 № 42511. К сча</w:t>
      </w:r>
      <w:r w:rsidRPr="007224C3">
        <w:rPr>
          <w:rFonts w:ascii="Times New Roman" w:hAnsi="Times New Roman"/>
          <w:color w:val="000000" w:themeColor="text1"/>
          <w:sz w:val="16"/>
          <w:szCs w:val="16"/>
        </w:rPr>
        <w:softHyphen/>
        <w:t>стью, обошлось без жертв (19559).</w:t>
      </w:r>
    </w:p>
    <w:p w14:paraId="06FAD4AE" w14:textId="77777777" w:rsidR="0059774D" w:rsidRPr="007224C3" w:rsidRDefault="0059774D" w:rsidP="007224C3">
      <w:pPr>
        <w:spacing w:after="0" w:line="240" w:lineRule="auto"/>
        <w:jc w:val="both"/>
        <w:rPr>
          <w:rFonts w:ascii="Times New Roman" w:hAnsi="Times New Roman"/>
          <w:color w:val="000000" w:themeColor="text1"/>
          <w:sz w:val="16"/>
          <w:szCs w:val="16"/>
        </w:rPr>
      </w:pPr>
    </w:p>
    <w:p w14:paraId="5FBDD25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1 января 1944 г. объем работ по сборке самолета дублера ДВБ-102 , который первоначально рассчитывался под двигатель МБ-100 и проектировался и строился параллельно с доводками первой опытной? был выполнен на 54%, однако замена передней кабины на первой машине, изменение конструкции крыла дублера с деревянной на металлическую и последующее перебазирование в Москву затормозило его постройку. Уже в Москве дублер пытались приспособить под двигатели АМ-46ТК, но в окончательном виде выпустили с учетом возможной установки звездообразного АШ-72. ДВБ-102 с двигателями М-71Ф, вследствие выхода из строя одного из них и отсутствия новых в промышленности, и его дублер законсервировали вместе с другими самолетами КБ Мясищева (3337).</w:t>
      </w:r>
    </w:p>
    <w:p w14:paraId="103AC66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DAD1E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1 января 1944 года объем работ по сбор</w:t>
      </w:r>
      <w:r w:rsidRPr="007224C3">
        <w:rPr>
          <w:rFonts w:ascii="Times New Roman" w:hAnsi="Times New Roman"/>
          <w:color w:val="000000" w:themeColor="text1"/>
          <w:sz w:val="16"/>
          <w:szCs w:val="16"/>
        </w:rPr>
        <w:softHyphen/>
        <w:t>ке самолета-дуб</w:t>
      </w:r>
      <w:r w:rsidRPr="007224C3">
        <w:rPr>
          <w:rFonts w:ascii="Times New Roman" w:hAnsi="Times New Roman"/>
          <w:color w:val="000000" w:themeColor="text1"/>
          <w:sz w:val="16"/>
          <w:szCs w:val="16"/>
        </w:rPr>
        <w:softHyphen/>
        <w:t>лера ДВБ-102, первоначально рассчитывавшегося под двига</w:t>
      </w:r>
      <w:r w:rsidRPr="007224C3">
        <w:rPr>
          <w:rFonts w:ascii="Times New Roman" w:hAnsi="Times New Roman"/>
          <w:color w:val="000000" w:themeColor="text1"/>
          <w:sz w:val="16"/>
          <w:szCs w:val="16"/>
        </w:rPr>
        <w:softHyphen/>
        <w:t>тель МБ-100, выполнили на 54 процента, однако заме</w:t>
      </w:r>
      <w:r w:rsidRPr="007224C3">
        <w:rPr>
          <w:rFonts w:ascii="Times New Roman" w:hAnsi="Times New Roman"/>
          <w:color w:val="000000" w:themeColor="text1"/>
          <w:sz w:val="16"/>
          <w:szCs w:val="16"/>
        </w:rPr>
        <w:softHyphen/>
        <w:t>на передней кабины на первой машине, изменение конструкции крыла дублера с деревянной на металли</w:t>
      </w:r>
      <w:r w:rsidRPr="007224C3">
        <w:rPr>
          <w:rFonts w:ascii="Times New Roman" w:hAnsi="Times New Roman"/>
          <w:color w:val="000000" w:themeColor="text1"/>
          <w:sz w:val="16"/>
          <w:szCs w:val="16"/>
        </w:rPr>
        <w:softHyphen/>
        <w:t>ческую и последующее перебазирование в Москву за</w:t>
      </w:r>
      <w:r w:rsidRPr="007224C3">
        <w:rPr>
          <w:rFonts w:ascii="Times New Roman" w:hAnsi="Times New Roman"/>
          <w:color w:val="000000" w:themeColor="text1"/>
          <w:sz w:val="16"/>
          <w:szCs w:val="16"/>
        </w:rPr>
        <w:softHyphen/>
        <w:t>тормозили его постройку. Еще до войны рассматри</w:t>
      </w:r>
      <w:r w:rsidRPr="007224C3">
        <w:rPr>
          <w:rFonts w:ascii="Times New Roman" w:hAnsi="Times New Roman"/>
          <w:color w:val="000000" w:themeColor="text1"/>
          <w:sz w:val="16"/>
          <w:szCs w:val="16"/>
        </w:rPr>
        <w:softHyphen/>
        <w:t>вался поплавковый вариант гидросамолета ДВБ-102. Уже в Москве дублер пытались приспособить под двигатели АМ-46ТК, но в окончательном виде выпус</w:t>
      </w:r>
      <w:r w:rsidRPr="007224C3">
        <w:rPr>
          <w:rFonts w:ascii="Times New Roman" w:hAnsi="Times New Roman"/>
          <w:color w:val="000000" w:themeColor="text1"/>
          <w:sz w:val="16"/>
          <w:szCs w:val="16"/>
        </w:rPr>
        <w:softHyphen/>
        <w:t>тили с учетом возможной установки на бомбардиров</w:t>
      </w:r>
      <w:r w:rsidRPr="007224C3">
        <w:rPr>
          <w:rFonts w:ascii="Times New Roman" w:hAnsi="Times New Roman"/>
          <w:color w:val="000000" w:themeColor="text1"/>
          <w:sz w:val="16"/>
          <w:szCs w:val="16"/>
        </w:rPr>
        <w:softHyphen/>
        <w:t>щике звездообразных АШ-72. ДВБ-102 с двигателями М-71Ф, вследствие выхо</w:t>
      </w:r>
      <w:r w:rsidRPr="007224C3">
        <w:rPr>
          <w:rFonts w:ascii="Times New Roman" w:hAnsi="Times New Roman"/>
          <w:color w:val="000000" w:themeColor="text1"/>
          <w:sz w:val="16"/>
          <w:szCs w:val="16"/>
        </w:rPr>
        <w:softHyphen/>
        <w:t>да из строя одного из них и отсутствия новых моторов, законсервировали вместе с другими машинами КБ Мясищева. Простояв долгое время около ангара заво</w:t>
      </w:r>
      <w:r w:rsidRPr="007224C3">
        <w:rPr>
          <w:rFonts w:ascii="Times New Roman" w:hAnsi="Times New Roman"/>
          <w:color w:val="000000" w:themeColor="text1"/>
          <w:sz w:val="16"/>
          <w:szCs w:val="16"/>
        </w:rPr>
        <w:softHyphen/>
        <w:t>да № 240 на Центральном аэродроме имени Фрунзе, эти самолеты списали, пустив на металлолом. Но идеи, заложенные в ДВБ-102, не погибли. Достаточно отме</w:t>
      </w:r>
      <w:r w:rsidRPr="007224C3">
        <w:rPr>
          <w:rFonts w:ascii="Times New Roman" w:hAnsi="Times New Roman"/>
          <w:color w:val="000000" w:themeColor="text1"/>
          <w:sz w:val="16"/>
          <w:szCs w:val="16"/>
        </w:rPr>
        <w:softHyphen/>
        <w:t>тить, что еще осенью 1942 года приказом НКАП дирек</w:t>
      </w:r>
      <w:r w:rsidRPr="007224C3">
        <w:rPr>
          <w:rFonts w:ascii="Times New Roman" w:hAnsi="Times New Roman"/>
          <w:color w:val="000000" w:themeColor="text1"/>
          <w:sz w:val="16"/>
          <w:szCs w:val="16"/>
        </w:rPr>
        <w:softHyphen/>
        <w:t>тору завода № 282 предписывалось передать в ОКБ С.В. Ильюшина полный комплект рабочей документа</w:t>
      </w:r>
      <w:r w:rsidRPr="007224C3">
        <w:rPr>
          <w:rFonts w:ascii="Times New Roman" w:hAnsi="Times New Roman"/>
          <w:color w:val="000000" w:themeColor="text1"/>
          <w:sz w:val="16"/>
          <w:szCs w:val="16"/>
        </w:rPr>
        <w:softHyphen/>
      </w:r>
      <w:r w:rsidRPr="007224C3">
        <w:rPr>
          <w:rFonts w:ascii="Times New Roman" w:hAnsi="Times New Roman"/>
          <w:color w:val="000000" w:themeColor="text1"/>
          <w:sz w:val="16"/>
          <w:szCs w:val="16"/>
        </w:rPr>
        <w:lastRenderedPageBreak/>
        <w:t>ции на герметические кабины ДВБ-102 и их оборудо</w:t>
      </w:r>
      <w:r w:rsidRPr="007224C3">
        <w:rPr>
          <w:rFonts w:ascii="Times New Roman" w:hAnsi="Times New Roman"/>
          <w:color w:val="000000" w:themeColor="text1"/>
          <w:sz w:val="16"/>
          <w:szCs w:val="16"/>
        </w:rPr>
        <w:softHyphen/>
        <w:t>вание для создания высотных бомбардировщика и ис</w:t>
      </w:r>
      <w:r w:rsidRPr="007224C3">
        <w:rPr>
          <w:rFonts w:ascii="Times New Roman" w:hAnsi="Times New Roman"/>
          <w:color w:val="000000" w:themeColor="text1"/>
          <w:sz w:val="16"/>
          <w:szCs w:val="16"/>
        </w:rPr>
        <w:softHyphen/>
        <w:t>требителя на базе серийных самолетов. Впоследствии конструктивная особенность крыла ДВБ-102 вместе с коллективом конструкторов ОКБ-482 перекочевала в ОКБ-240. Крыло с технологическим разъемом по ли</w:t>
      </w:r>
      <w:r w:rsidRPr="007224C3">
        <w:rPr>
          <w:rFonts w:ascii="Times New Roman" w:hAnsi="Times New Roman"/>
          <w:color w:val="000000" w:themeColor="text1"/>
          <w:sz w:val="16"/>
          <w:szCs w:val="16"/>
        </w:rPr>
        <w:softHyphen/>
        <w:t>нии хорд вдоль его размаха использовалось на бом</w:t>
      </w:r>
      <w:r w:rsidRPr="007224C3">
        <w:rPr>
          <w:rFonts w:ascii="Times New Roman" w:hAnsi="Times New Roman"/>
          <w:color w:val="000000" w:themeColor="text1"/>
          <w:sz w:val="16"/>
          <w:szCs w:val="16"/>
        </w:rPr>
        <w:softHyphen/>
        <w:t>бардировщиках Ил-22 и Ил-28 (11446).</w:t>
      </w:r>
    </w:p>
    <w:p w14:paraId="1AB3A5B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8E9680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 января 1944 КБ С.В.И. приступило к проектированию самолета Ил-12 АЧ-30Б. В середине октября 1944 проектирование было в основном закончено и опытное производство приступило к оснастке и постройке самолета. Техническая готовность самолета на 1 января 1945 по постройке равна 30% (2217).</w:t>
      </w:r>
    </w:p>
    <w:p w14:paraId="2D48826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BF633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января 1944 г. по приказу НКАП 19с ОКБ-3 гл. конструктора И.П. Братухина переведено на территорию филиала завода № 381 НКАП (Тушино, транспортно-эксплуатационная база при 11ГУ). Здесь организовано ОКБ- 3 при 7ГУ с собственной производственной базой. Работы по доводке и испытаниям геликоптера «Омега-2». Производство планировалось организовать на заводе № 82 НКАП.</w:t>
      </w:r>
    </w:p>
    <w:p w14:paraId="364D040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приказу НКАП № 4с от 10.01.1946 г. для расширения опытной базы и опытных работ по геликоптеростроению и ввиду неприспособленности завода № 381 ОКБ-3 перебазировано на площадку филиала № 1 завода № 381 НКАП ( г. Москва ул. 2-я Рыбинская, 17). Филиал передан как опытная база со всем имуществом и личным составом в подчинение ОКБ-3 из 1ГУ в 7ГУ.</w:t>
      </w:r>
    </w:p>
    <w:p w14:paraId="439F4C7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1948 г. ОКБ-3 МАИ Братухина переведено в МАП и образовано ОКБ-3 МАП под его руководством. На базе ОКБ-3 в соответствии с пост. СМ СССР № 3658-1485 от 29.09.1948 г. и приказом № 772 от 4.10.1948 г. вновь образован завод № 3 МАП.</w:t>
      </w:r>
    </w:p>
    <w:p w14:paraId="5146451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Приказом МАП от 05.1948 г. задавалась разработка реактивного вертолета с ПВРД или ПуВРД. Для этого распоряжением МАП от 12.1948 г. из состава ОКБ-3 выделена группа конструкторов СБИЖ (Ю.Л. Старинин- военпред ОКБ, Ю.С. Брагинский, Б</w:t>
      </w:r>
      <w:r w:rsidRPr="007224C3">
        <w:rPr>
          <w:rFonts w:ascii="Times New Roman" w:hAnsi="Times New Roman"/>
          <w:iCs/>
          <w:color w:val="000000" w:themeColor="text1"/>
          <w:sz w:val="16"/>
          <w:szCs w:val="16"/>
        </w:rPr>
        <w:t xml:space="preserve"> .Я.</w:t>
      </w:r>
      <w:r w:rsidRPr="007224C3">
        <w:rPr>
          <w:rFonts w:ascii="Times New Roman" w:hAnsi="Times New Roman"/>
          <w:color w:val="000000" w:themeColor="text1"/>
          <w:sz w:val="16"/>
          <w:szCs w:val="16"/>
        </w:rPr>
        <w:t xml:space="preserve"> Жеребцов), работавшая при ГСОЗ № 3 МАП.</w:t>
      </w:r>
    </w:p>
    <w:p w14:paraId="0FD5F3A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10.1951 г. после совещания авиастроителей в Кремле, где была поставлена задача создания тяжелого вертолета, ОКБ-3 Братухина закрыто, завод передан Милю. После закрытия ОКБ Братухин назначен начальником вертолетного отдела БНТИ ЦАГИ, затем- на преподавательской работе.</w:t>
      </w:r>
    </w:p>
    <w:p w14:paraId="1DF1152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конструктор (1944-51 г.)- И.П. Братухин.</w:t>
      </w:r>
    </w:p>
    <w:p w14:paraId="44C5379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Ведущие инженеры по испытаниям: (-1946-47 г.-)- Д.Т. Мацицкий, (1947 г.)-  Г.В. Ремезов.</w:t>
      </w:r>
    </w:p>
    <w:p w14:paraId="5CF234B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iCs/>
          <w:color w:val="000000" w:themeColor="text1"/>
          <w:sz w:val="16"/>
          <w:szCs w:val="16"/>
        </w:rPr>
        <w:t>Создано:</w:t>
      </w:r>
      <w:r w:rsidRPr="007224C3">
        <w:rPr>
          <w:rFonts w:ascii="Times New Roman" w:hAnsi="Times New Roman"/>
          <w:color w:val="000000" w:themeColor="text1"/>
          <w:sz w:val="16"/>
          <w:szCs w:val="16"/>
        </w:rPr>
        <w:t xml:space="preserve"> опытные вертолеты: «Омега» (08.1941 г.), «Омега II», Г-3, Г-4, Б-5, Б-9, Б-10, Б-11 (11982).</w:t>
      </w:r>
    </w:p>
    <w:p w14:paraId="52DDCF76" w14:textId="77777777" w:rsidR="00820285" w:rsidRPr="007224C3" w:rsidRDefault="00820285" w:rsidP="007224C3">
      <w:pPr>
        <w:autoSpaceDE w:val="0"/>
        <w:autoSpaceDN w:val="0"/>
        <w:adjustRightInd w:val="0"/>
        <w:spacing w:after="0" w:line="240" w:lineRule="auto"/>
        <w:jc w:val="both"/>
        <w:rPr>
          <w:rFonts w:ascii="Times New Roman" w:hAnsi="Times New Roman"/>
          <w:color w:val="000000" w:themeColor="text1"/>
          <w:sz w:val="16"/>
          <w:szCs w:val="16"/>
        </w:rPr>
      </w:pPr>
    </w:p>
    <w:p w14:paraId="226CC06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января 1944 г. по приказу № 19с на территорию завода № 381 (Завод № 381 НКАП, МАП /г. Ленинград ст. Ижора;  г. Нижний Тагил Свердловской обл.;  г. Москва Ленинградское ш., 31/33/) переведено ОКБ-3 НКАП гл. конструктора И.П. Братухина. По приказу № 4с от 10.01.1946 г. ОКБ-3 НКАП перебазировано на площадь Филиала № 1 завода № 381 НКАП, который в 1948 г. преобразован в завод № 3 МАП.</w:t>
      </w:r>
    </w:p>
    <w:p w14:paraId="411EF84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После перебазирования в 12.1945 г. завода № 81 в Химки на завод № 301 основная часть его помещений возвращена заводу № 381. В 08.1946 г. часть территории и помещений завода № 381 выделены вновь образованному заводу № 81 МАП.</w:t>
      </w:r>
    </w:p>
    <w:p w14:paraId="5C279E1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После войны на заводе планировалось развернуть серийный выпуск истребителя Ме-262 (в 01.1946 г. был хггов проект постановления СНК о производстве 120 машин).</w:t>
      </w:r>
    </w:p>
    <w:p w14:paraId="76E90AE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1.12.1946 г. завод передан из 1ГУ в ЮГУ, затем с 1.11.1948 г. обратно, из ЮГУ в 1ГУ.</w:t>
      </w:r>
    </w:p>
    <w:p w14:paraId="655460B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соответствии с пост. СМ № 5223-1994сс от 14.11.1949 г. и приказом № 913с от 17.11.1949 г. завод № 381 был миг с 1.10.1949 г. в состав расположенного рядом завода № 30 МАП для увеличения выпуска Ил-28.</w:t>
      </w:r>
    </w:p>
    <w:p w14:paraId="710F1ED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(07.1940-05.1941 г.-)- Т.Х(М). Филимончук, (1941-03.1943 г.; 1944-05.1946 г.)- В.И. Журавлев (снят за срыв сроков выпуска И-250), (12.1943 г.)- Ю.Н. Карпов; И.О. директора (05.1946 г.-)- П.Д. Грушин; (1947 г.)- Л.П. Соколов.</w:t>
      </w:r>
    </w:p>
    <w:p w14:paraId="6C1E766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инженер (05.1943-10.1946 г.)- П.Д. Грушин, (1947 г.)- В.И. Засульский.</w:t>
      </w:r>
    </w:p>
    <w:p w14:paraId="67B0D05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Начальники цехов: (1945 г.)- А.К. Кулагин.</w:t>
      </w:r>
    </w:p>
    <w:p w14:paraId="053576B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iCs/>
          <w:color w:val="000000" w:themeColor="text1"/>
          <w:sz w:val="16"/>
          <w:szCs w:val="16"/>
        </w:rPr>
        <w:t>Производство; самолеты:</w:t>
      </w:r>
      <w:r w:rsidRPr="007224C3">
        <w:rPr>
          <w:rFonts w:ascii="Times New Roman" w:hAnsi="Times New Roman"/>
          <w:color w:val="000000" w:themeColor="text1"/>
          <w:sz w:val="16"/>
          <w:szCs w:val="16"/>
        </w:rPr>
        <w:t xml:space="preserve"> Ил-2 (1941-42)- 270, Ла-5ФН (1943-44)- 461, Ла-7 (1944-45)- 1298, И-150 (1946)- 5, И-250 (1946)- 8, УТБ-2 (1947-49), МиГ-15 (1949)- 75; детали снарядов М-13 (1941-42), хвостовое оперение для «10Х» (1-я половина 1945), детали двигателей ТР-2 и ТР-3 (1948).</w:t>
      </w:r>
    </w:p>
    <w:p w14:paraId="6F192865" w14:textId="77777777" w:rsidR="003712D9" w:rsidRPr="007224C3" w:rsidRDefault="003712D9" w:rsidP="007224C3">
      <w:pPr>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Cs/>
          <w:color w:val="000000" w:themeColor="text1"/>
          <w:sz w:val="16"/>
          <w:szCs w:val="16"/>
        </w:rPr>
        <w:t>Заводской номер: Ил-2 М 381355 (11982).</w:t>
      </w:r>
    </w:p>
    <w:p w14:paraId="332F8E9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427D55D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января 1944 г. в районе п. Старобовылье на шоссе Витебск-Орша был захвачен в плен немецкий ефрейтор Франц Варнбрунн - водитель штабной автомашины. Оказалось, что после окончания инженерной школы с декабря 1941 г. по апрель 1942 г. он работал в группе доктора Охайна на фирме "Хейнкель", проектировавшей ВРД с центробежным компрессором. Пленный сообщил, что двигатель тягой 600 кг прошел испытания в воздухе. В ходе допроса он нарисовал схему двигателя, а также изобразил истребитель He 280 с двумя ТКВРД. Варнбрунн сообщил нашим контрразведчикам, что работа по созданию аналогичного истребителя велась и фирмой "Мессершмитт". Материалы допроса были направлены для ознакомления в НИИ-1 (9018).</w:t>
      </w:r>
    </w:p>
    <w:p w14:paraId="5D5250E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F5775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 1 января 1944 года завод № 293 МАП работал по тематике утвержденной 7 гл. управлением НКАП с 1 мая 1944 года, находился в системе 8 гл. управления НКАП и занимался проектированием и строительством реактивных самолетов и двигателей разных типов под руководством гл. конструктора и директора завода Болховитинова В.Ф. и гл. инженера Волкова Н.В. (9360).</w:t>
      </w:r>
    </w:p>
    <w:p w14:paraId="18EF456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4563B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1 января 1944 г. непосредственно в авиастроении работало 640 213 чел., в том числе — 435 385 рабочих. Таким образом, за 1941—1943 гг. численность персонала отрасли возросла на 17 %. За этот же период средняя продолжительность рабочей смены возрос</w:t>
      </w:r>
      <w:r w:rsidRPr="007224C3">
        <w:rPr>
          <w:rFonts w:ascii="Times New Roman" w:hAnsi="Times New Roman"/>
          <w:color w:val="000000" w:themeColor="text1"/>
          <w:sz w:val="16"/>
          <w:szCs w:val="16"/>
        </w:rPr>
        <w:softHyphen/>
        <w:t>ла с 7,66 ч. до 9,54 ч., то есть на 24,5 % (Самолётостроение в СССР. 1917—1945. Кн. 2. М., 1994. С. 226). Если в 1940 г. на 1 тыс. сотрудников НКАП приходилось 35,6 самолёта годового авиавыпуска, то в 1943-м — уже 78,8 самолёта. Несмотря на существенный рост численности персонала авиастроително- го комплекса, удельный вес персонала промышленных пред</w:t>
      </w:r>
      <w:r w:rsidRPr="007224C3">
        <w:rPr>
          <w:rFonts w:ascii="Times New Roman" w:hAnsi="Times New Roman"/>
          <w:color w:val="000000" w:themeColor="text1"/>
          <w:sz w:val="16"/>
          <w:szCs w:val="16"/>
        </w:rPr>
        <w:softHyphen/>
        <w:t>приятий даже несколько вырос.</w:t>
      </w:r>
    </w:p>
    <w:p w14:paraId="3710512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Распределение по областям занятости (РГАЭ. Ф. 8044. On. 1. Д. 2878. Л. 56)</w:t>
      </w:r>
    </w:p>
    <w:tbl>
      <w:tblPr>
        <w:tblW w:w="0" w:type="auto"/>
        <w:tblInd w:w="8" w:type="dxa"/>
        <w:tblLayout w:type="fixed"/>
        <w:tblCellMar>
          <w:left w:w="0" w:type="dxa"/>
          <w:right w:w="0" w:type="dxa"/>
        </w:tblCellMar>
        <w:tblLook w:val="0000" w:firstRow="0" w:lastRow="0" w:firstColumn="0" w:lastColumn="0" w:noHBand="0" w:noVBand="0"/>
      </w:tblPr>
      <w:tblGrid>
        <w:gridCol w:w="1858"/>
        <w:gridCol w:w="696"/>
        <w:gridCol w:w="878"/>
        <w:gridCol w:w="600"/>
        <w:gridCol w:w="883"/>
        <w:gridCol w:w="1032"/>
      </w:tblGrid>
      <w:tr w:rsidR="006331D6" w:rsidRPr="007224C3" w14:paraId="076A21EC" w14:textId="77777777">
        <w:trPr>
          <w:trHeight w:val="326"/>
        </w:trPr>
        <w:tc>
          <w:tcPr>
            <w:tcW w:w="1858" w:type="dxa"/>
            <w:tcBorders>
              <w:top w:val="single" w:sz="6" w:space="0" w:color="auto"/>
              <w:left w:val="single" w:sz="6" w:space="0" w:color="auto"/>
              <w:bottom w:val="nil"/>
              <w:right w:val="single" w:sz="6" w:space="0" w:color="auto"/>
            </w:tcBorders>
            <w:shd w:val="clear" w:color="auto" w:fill="FFFFFF"/>
          </w:tcPr>
          <w:p w14:paraId="0805486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Сфера заштосги</w:t>
            </w:r>
          </w:p>
        </w:tc>
        <w:tc>
          <w:tcPr>
            <w:tcW w:w="1574" w:type="dxa"/>
            <w:gridSpan w:val="2"/>
            <w:tcBorders>
              <w:top w:val="single" w:sz="6" w:space="0" w:color="auto"/>
              <w:left w:val="single" w:sz="6" w:space="0" w:color="auto"/>
              <w:bottom w:val="single" w:sz="6" w:space="0" w:color="auto"/>
              <w:right w:val="single" w:sz="6" w:space="0" w:color="auto"/>
            </w:tcBorders>
            <w:shd w:val="clear" w:color="auto" w:fill="FFFFFF"/>
          </w:tcPr>
          <w:p w14:paraId="4DB7D3C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Июнь 1941 г.</w:t>
            </w:r>
          </w:p>
        </w:tc>
        <w:tc>
          <w:tcPr>
            <w:tcW w:w="2515" w:type="dxa"/>
            <w:gridSpan w:val="3"/>
            <w:tcBorders>
              <w:top w:val="single" w:sz="6" w:space="0" w:color="auto"/>
              <w:left w:val="single" w:sz="6" w:space="0" w:color="auto"/>
              <w:bottom w:val="single" w:sz="6" w:space="0" w:color="auto"/>
              <w:right w:val="single" w:sz="6" w:space="0" w:color="auto"/>
            </w:tcBorders>
            <w:shd w:val="clear" w:color="auto" w:fill="FFFFFF"/>
          </w:tcPr>
          <w:p w14:paraId="2044B89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Январь 1944 г.</w:t>
            </w:r>
          </w:p>
        </w:tc>
      </w:tr>
      <w:tr w:rsidR="006331D6" w:rsidRPr="007224C3" w14:paraId="3F5406F0" w14:textId="77777777">
        <w:trPr>
          <w:trHeight w:val="523"/>
        </w:trPr>
        <w:tc>
          <w:tcPr>
            <w:tcW w:w="1858" w:type="dxa"/>
            <w:tcBorders>
              <w:top w:val="nil"/>
              <w:left w:val="single" w:sz="6" w:space="0" w:color="auto"/>
              <w:bottom w:val="single" w:sz="6" w:space="0" w:color="auto"/>
              <w:right w:val="single" w:sz="6" w:space="0" w:color="auto"/>
            </w:tcBorders>
            <w:shd w:val="clear" w:color="auto" w:fill="FFFFFF"/>
          </w:tcPr>
          <w:p w14:paraId="0DA3FC8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696" w:type="dxa"/>
            <w:tcBorders>
              <w:top w:val="single" w:sz="6" w:space="0" w:color="auto"/>
              <w:left w:val="single" w:sz="6" w:space="0" w:color="auto"/>
              <w:bottom w:val="single" w:sz="6" w:space="0" w:color="auto"/>
              <w:right w:val="single" w:sz="6" w:space="0" w:color="auto"/>
            </w:tcBorders>
            <w:shd w:val="clear" w:color="auto" w:fill="FFFFFF"/>
          </w:tcPr>
          <w:p w14:paraId="671B9DC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Человек</w:t>
            </w: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2981F51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Удельный вес, %</w:t>
            </w:r>
          </w:p>
        </w:tc>
        <w:tc>
          <w:tcPr>
            <w:tcW w:w="600" w:type="dxa"/>
            <w:tcBorders>
              <w:top w:val="single" w:sz="6" w:space="0" w:color="auto"/>
              <w:left w:val="single" w:sz="6" w:space="0" w:color="auto"/>
              <w:bottom w:val="single" w:sz="6" w:space="0" w:color="auto"/>
              <w:right w:val="single" w:sz="6" w:space="0" w:color="auto"/>
            </w:tcBorders>
            <w:shd w:val="clear" w:color="auto" w:fill="FFFFFF"/>
          </w:tcPr>
          <w:p w14:paraId="79A3C2C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Человек</w:t>
            </w:r>
          </w:p>
        </w:tc>
        <w:tc>
          <w:tcPr>
            <w:tcW w:w="883" w:type="dxa"/>
            <w:tcBorders>
              <w:top w:val="single" w:sz="6" w:space="0" w:color="auto"/>
              <w:left w:val="single" w:sz="6" w:space="0" w:color="auto"/>
              <w:bottom w:val="single" w:sz="6" w:space="0" w:color="auto"/>
              <w:right w:val="single" w:sz="6" w:space="0" w:color="auto"/>
            </w:tcBorders>
            <w:shd w:val="clear" w:color="auto" w:fill="FFFFFF"/>
          </w:tcPr>
          <w:p w14:paraId="1A7517B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Удельный вее, %</w:t>
            </w:r>
          </w:p>
        </w:tc>
        <w:tc>
          <w:tcPr>
            <w:tcW w:w="1032" w:type="dxa"/>
            <w:tcBorders>
              <w:top w:val="single" w:sz="6" w:space="0" w:color="auto"/>
              <w:left w:val="single" w:sz="6" w:space="0" w:color="auto"/>
              <w:bottom w:val="single" w:sz="6" w:space="0" w:color="auto"/>
              <w:right w:val="single" w:sz="6" w:space="0" w:color="auto"/>
            </w:tcBorders>
            <w:shd w:val="clear" w:color="auto" w:fill="FFFFFF"/>
          </w:tcPr>
          <w:p w14:paraId="191B172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Отношенке к нюню 1941 г, %</w:t>
            </w:r>
          </w:p>
        </w:tc>
      </w:tr>
      <w:tr w:rsidR="006331D6" w:rsidRPr="007224C3" w14:paraId="15A1EE4D" w14:textId="77777777">
        <w:trPr>
          <w:trHeight w:val="480"/>
        </w:trPr>
        <w:tc>
          <w:tcPr>
            <w:tcW w:w="1858" w:type="dxa"/>
            <w:tcBorders>
              <w:top w:val="single" w:sz="6" w:space="0" w:color="auto"/>
              <w:left w:val="single" w:sz="6" w:space="0" w:color="auto"/>
              <w:bottom w:val="single" w:sz="6" w:space="0" w:color="auto"/>
              <w:right w:val="single" w:sz="6" w:space="0" w:color="auto"/>
            </w:tcBorders>
            <w:shd w:val="clear" w:color="auto" w:fill="FFFFFF"/>
          </w:tcPr>
          <w:p w14:paraId="159B01E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Весь персонал В т.ч.:</w:t>
            </w:r>
          </w:p>
        </w:tc>
        <w:tc>
          <w:tcPr>
            <w:tcW w:w="696" w:type="dxa"/>
            <w:tcBorders>
              <w:top w:val="single" w:sz="6" w:space="0" w:color="auto"/>
              <w:left w:val="single" w:sz="6" w:space="0" w:color="auto"/>
              <w:bottom w:val="single" w:sz="6" w:space="0" w:color="auto"/>
              <w:right w:val="single" w:sz="6" w:space="0" w:color="auto"/>
            </w:tcBorders>
            <w:shd w:val="clear" w:color="auto" w:fill="FFFFFF"/>
          </w:tcPr>
          <w:p w14:paraId="76A3BC4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590310</w:t>
            </w: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027BAC3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w:t>
            </w:r>
          </w:p>
        </w:tc>
        <w:tc>
          <w:tcPr>
            <w:tcW w:w="600" w:type="dxa"/>
            <w:tcBorders>
              <w:top w:val="single" w:sz="6" w:space="0" w:color="auto"/>
              <w:left w:val="single" w:sz="6" w:space="0" w:color="auto"/>
              <w:bottom w:val="single" w:sz="6" w:space="0" w:color="auto"/>
              <w:right w:val="single" w:sz="6" w:space="0" w:color="auto"/>
            </w:tcBorders>
            <w:shd w:val="clear" w:color="auto" w:fill="FFFFFF"/>
          </w:tcPr>
          <w:p w14:paraId="5D8A968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685851</w:t>
            </w:r>
          </w:p>
        </w:tc>
        <w:tc>
          <w:tcPr>
            <w:tcW w:w="883" w:type="dxa"/>
            <w:tcBorders>
              <w:top w:val="single" w:sz="6" w:space="0" w:color="auto"/>
              <w:left w:val="single" w:sz="6" w:space="0" w:color="auto"/>
              <w:bottom w:val="single" w:sz="6" w:space="0" w:color="auto"/>
              <w:right w:val="single" w:sz="6" w:space="0" w:color="auto"/>
            </w:tcBorders>
            <w:shd w:val="clear" w:color="auto" w:fill="FFFFFF"/>
          </w:tcPr>
          <w:p w14:paraId="28BD2C4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w:t>
            </w:r>
          </w:p>
        </w:tc>
        <w:tc>
          <w:tcPr>
            <w:tcW w:w="1032" w:type="dxa"/>
            <w:tcBorders>
              <w:top w:val="single" w:sz="6" w:space="0" w:color="auto"/>
              <w:left w:val="single" w:sz="6" w:space="0" w:color="auto"/>
              <w:bottom w:val="single" w:sz="6" w:space="0" w:color="auto"/>
              <w:right w:val="single" w:sz="6" w:space="0" w:color="auto"/>
            </w:tcBorders>
            <w:shd w:val="clear" w:color="auto" w:fill="FFFFFF"/>
          </w:tcPr>
          <w:p w14:paraId="7C59A1D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116,2</w:t>
            </w:r>
          </w:p>
        </w:tc>
      </w:tr>
      <w:tr w:rsidR="006331D6" w:rsidRPr="007224C3" w14:paraId="566B4135" w14:textId="77777777">
        <w:trPr>
          <w:trHeight w:val="322"/>
        </w:trPr>
        <w:tc>
          <w:tcPr>
            <w:tcW w:w="1858" w:type="dxa"/>
            <w:tcBorders>
              <w:top w:val="single" w:sz="6" w:space="0" w:color="auto"/>
              <w:left w:val="single" w:sz="6" w:space="0" w:color="auto"/>
              <w:bottom w:val="single" w:sz="6" w:space="0" w:color="auto"/>
              <w:right w:val="single" w:sz="6" w:space="0" w:color="auto"/>
            </w:tcBorders>
            <w:shd w:val="clear" w:color="auto" w:fill="FFFFFF"/>
          </w:tcPr>
          <w:p w14:paraId="003FC0F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Промышленные предприятия</w:t>
            </w:r>
          </w:p>
        </w:tc>
        <w:tc>
          <w:tcPr>
            <w:tcW w:w="696" w:type="dxa"/>
            <w:tcBorders>
              <w:top w:val="single" w:sz="6" w:space="0" w:color="auto"/>
              <w:left w:val="single" w:sz="6" w:space="0" w:color="auto"/>
              <w:bottom w:val="single" w:sz="6" w:space="0" w:color="auto"/>
              <w:right w:val="single" w:sz="6" w:space="0" w:color="auto"/>
            </w:tcBorders>
            <w:shd w:val="clear" w:color="auto" w:fill="FFFFFF"/>
          </w:tcPr>
          <w:p w14:paraId="28D97D2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547418</w:t>
            </w: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3AA3CD7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92,7</w:t>
            </w:r>
          </w:p>
        </w:tc>
        <w:tc>
          <w:tcPr>
            <w:tcW w:w="600" w:type="dxa"/>
            <w:tcBorders>
              <w:top w:val="single" w:sz="6" w:space="0" w:color="auto"/>
              <w:left w:val="single" w:sz="6" w:space="0" w:color="auto"/>
              <w:bottom w:val="single" w:sz="6" w:space="0" w:color="auto"/>
              <w:right w:val="single" w:sz="6" w:space="0" w:color="auto"/>
            </w:tcBorders>
            <w:shd w:val="clear" w:color="auto" w:fill="FFFFFF"/>
          </w:tcPr>
          <w:p w14:paraId="390F07B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640213</w:t>
            </w:r>
          </w:p>
        </w:tc>
        <w:tc>
          <w:tcPr>
            <w:tcW w:w="883" w:type="dxa"/>
            <w:tcBorders>
              <w:top w:val="single" w:sz="6" w:space="0" w:color="auto"/>
              <w:left w:val="single" w:sz="6" w:space="0" w:color="auto"/>
              <w:bottom w:val="single" w:sz="6" w:space="0" w:color="auto"/>
              <w:right w:val="single" w:sz="6" w:space="0" w:color="auto"/>
            </w:tcBorders>
            <w:shd w:val="clear" w:color="auto" w:fill="FFFFFF"/>
          </w:tcPr>
          <w:p w14:paraId="10A86A2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93,3</w:t>
            </w:r>
          </w:p>
        </w:tc>
        <w:tc>
          <w:tcPr>
            <w:tcW w:w="1032" w:type="dxa"/>
            <w:tcBorders>
              <w:top w:val="single" w:sz="6" w:space="0" w:color="auto"/>
              <w:left w:val="single" w:sz="6" w:space="0" w:color="auto"/>
              <w:bottom w:val="single" w:sz="6" w:space="0" w:color="auto"/>
              <w:right w:val="single" w:sz="6" w:space="0" w:color="auto"/>
            </w:tcBorders>
            <w:shd w:val="clear" w:color="auto" w:fill="FFFFFF"/>
          </w:tcPr>
          <w:p w14:paraId="27FE00A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117,0</w:t>
            </w:r>
          </w:p>
        </w:tc>
      </w:tr>
      <w:tr w:rsidR="006331D6" w:rsidRPr="007224C3" w14:paraId="78847AEB" w14:textId="77777777">
        <w:trPr>
          <w:trHeight w:val="475"/>
        </w:trPr>
        <w:tc>
          <w:tcPr>
            <w:tcW w:w="1858" w:type="dxa"/>
            <w:tcBorders>
              <w:top w:val="single" w:sz="6" w:space="0" w:color="auto"/>
              <w:left w:val="single" w:sz="6" w:space="0" w:color="auto"/>
              <w:bottom w:val="single" w:sz="6" w:space="0" w:color="auto"/>
              <w:right w:val="single" w:sz="6" w:space="0" w:color="auto"/>
            </w:tcBorders>
            <w:shd w:val="clear" w:color="auto" w:fill="FFFFFF"/>
          </w:tcPr>
          <w:p w14:paraId="6BB17FD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Научно-исследовательские органязацщ</w:t>
            </w:r>
          </w:p>
        </w:tc>
        <w:tc>
          <w:tcPr>
            <w:tcW w:w="696" w:type="dxa"/>
            <w:tcBorders>
              <w:top w:val="single" w:sz="6" w:space="0" w:color="auto"/>
              <w:left w:val="single" w:sz="6" w:space="0" w:color="auto"/>
              <w:bottom w:val="single" w:sz="6" w:space="0" w:color="auto"/>
              <w:right w:val="single" w:sz="6" w:space="0" w:color="auto"/>
            </w:tcBorders>
            <w:shd w:val="clear" w:color="auto" w:fill="FFFFFF"/>
          </w:tcPr>
          <w:p w14:paraId="1382696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28473</w:t>
            </w: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0D121F2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4,9</w:t>
            </w:r>
          </w:p>
        </w:tc>
        <w:tc>
          <w:tcPr>
            <w:tcW w:w="600" w:type="dxa"/>
            <w:tcBorders>
              <w:top w:val="single" w:sz="6" w:space="0" w:color="auto"/>
              <w:left w:val="single" w:sz="6" w:space="0" w:color="auto"/>
              <w:bottom w:val="single" w:sz="6" w:space="0" w:color="auto"/>
              <w:right w:val="single" w:sz="6" w:space="0" w:color="auto"/>
            </w:tcBorders>
            <w:shd w:val="clear" w:color="auto" w:fill="FFFFFF"/>
          </w:tcPr>
          <w:p w14:paraId="0B41343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31059</w:t>
            </w:r>
          </w:p>
        </w:tc>
        <w:tc>
          <w:tcPr>
            <w:tcW w:w="883" w:type="dxa"/>
            <w:tcBorders>
              <w:top w:val="single" w:sz="6" w:space="0" w:color="auto"/>
              <w:left w:val="single" w:sz="6" w:space="0" w:color="auto"/>
              <w:bottom w:val="single" w:sz="6" w:space="0" w:color="auto"/>
              <w:right w:val="single" w:sz="6" w:space="0" w:color="auto"/>
            </w:tcBorders>
            <w:shd w:val="clear" w:color="auto" w:fill="FFFFFF"/>
          </w:tcPr>
          <w:p w14:paraId="5F7D0C2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w:t>
            </w:r>
          </w:p>
        </w:tc>
        <w:tc>
          <w:tcPr>
            <w:tcW w:w="1032" w:type="dxa"/>
            <w:tcBorders>
              <w:top w:val="single" w:sz="6" w:space="0" w:color="auto"/>
              <w:left w:val="single" w:sz="6" w:space="0" w:color="auto"/>
              <w:bottom w:val="single" w:sz="6" w:space="0" w:color="auto"/>
              <w:right w:val="single" w:sz="6" w:space="0" w:color="auto"/>
            </w:tcBorders>
            <w:shd w:val="clear" w:color="auto" w:fill="FFFFFF"/>
          </w:tcPr>
          <w:p w14:paraId="5B481CC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109,1</w:t>
            </w:r>
          </w:p>
        </w:tc>
      </w:tr>
      <w:tr w:rsidR="006331D6" w:rsidRPr="007224C3" w14:paraId="0F289FAC" w14:textId="77777777">
        <w:trPr>
          <w:trHeight w:val="288"/>
        </w:trPr>
        <w:tc>
          <w:tcPr>
            <w:tcW w:w="1858" w:type="dxa"/>
            <w:tcBorders>
              <w:top w:val="single" w:sz="6" w:space="0" w:color="auto"/>
              <w:left w:val="single" w:sz="6" w:space="0" w:color="auto"/>
              <w:bottom w:val="single" w:sz="6" w:space="0" w:color="auto"/>
              <w:right w:val="single" w:sz="6" w:space="0" w:color="auto"/>
            </w:tcBorders>
            <w:shd w:val="clear" w:color="auto" w:fill="FFFFFF"/>
          </w:tcPr>
          <w:p w14:paraId="0D6C82E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Учебные заведения</w:t>
            </w:r>
          </w:p>
        </w:tc>
        <w:tc>
          <w:tcPr>
            <w:tcW w:w="696" w:type="dxa"/>
            <w:tcBorders>
              <w:top w:val="single" w:sz="6" w:space="0" w:color="auto"/>
              <w:left w:val="single" w:sz="6" w:space="0" w:color="auto"/>
              <w:bottom w:val="single" w:sz="6" w:space="0" w:color="auto"/>
              <w:right w:val="single" w:sz="6" w:space="0" w:color="auto"/>
            </w:tcBorders>
            <w:shd w:val="clear" w:color="auto" w:fill="FFFFFF"/>
          </w:tcPr>
          <w:p w14:paraId="16E6C9B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5833</w:t>
            </w: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2ED607C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U</w:t>
            </w:r>
          </w:p>
        </w:tc>
        <w:tc>
          <w:tcPr>
            <w:tcW w:w="600" w:type="dxa"/>
            <w:tcBorders>
              <w:top w:val="single" w:sz="6" w:space="0" w:color="auto"/>
              <w:left w:val="single" w:sz="6" w:space="0" w:color="auto"/>
              <w:bottom w:val="single" w:sz="6" w:space="0" w:color="auto"/>
              <w:right w:val="single" w:sz="6" w:space="0" w:color="auto"/>
            </w:tcBorders>
            <w:shd w:val="clear" w:color="auto" w:fill="FFFFFF"/>
          </w:tcPr>
          <w:p w14:paraId="63F4B53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4239</w:t>
            </w:r>
          </w:p>
        </w:tc>
        <w:tc>
          <w:tcPr>
            <w:tcW w:w="883" w:type="dxa"/>
            <w:tcBorders>
              <w:top w:val="single" w:sz="6" w:space="0" w:color="auto"/>
              <w:left w:val="single" w:sz="6" w:space="0" w:color="auto"/>
              <w:bottom w:val="single" w:sz="6" w:space="0" w:color="auto"/>
              <w:right w:val="single" w:sz="6" w:space="0" w:color="auto"/>
            </w:tcBorders>
            <w:shd w:val="clear" w:color="auto" w:fill="FFFFFF"/>
          </w:tcPr>
          <w:p w14:paraId="3DD8854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0,6</w:t>
            </w:r>
          </w:p>
        </w:tc>
        <w:tc>
          <w:tcPr>
            <w:tcW w:w="1032" w:type="dxa"/>
            <w:tcBorders>
              <w:top w:val="single" w:sz="6" w:space="0" w:color="auto"/>
              <w:left w:val="single" w:sz="6" w:space="0" w:color="auto"/>
              <w:bottom w:val="single" w:sz="6" w:space="0" w:color="auto"/>
              <w:right w:val="single" w:sz="6" w:space="0" w:color="auto"/>
            </w:tcBorders>
            <w:shd w:val="clear" w:color="auto" w:fill="FFFFFF"/>
          </w:tcPr>
          <w:p w14:paraId="367DB22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72,7</w:t>
            </w:r>
          </w:p>
        </w:tc>
      </w:tr>
      <w:tr w:rsidR="006331D6" w:rsidRPr="007224C3" w14:paraId="23EF4D22" w14:textId="77777777">
        <w:trPr>
          <w:trHeight w:val="470"/>
        </w:trPr>
        <w:tc>
          <w:tcPr>
            <w:tcW w:w="1858" w:type="dxa"/>
            <w:tcBorders>
              <w:top w:val="single" w:sz="6" w:space="0" w:color="auto"/>
              <w:left w:val="single" w:sz="6" w:space="0" w:color="auto"/>
              <w:bottom w:val="single" w:sz="6" w:space="0" w:color="auto"/>
              <w:right w:val="single" w:sz="6" w:space="0" w:color="auto"/>
            </w:tcBorders>
            <w:shd w:val="clear" w:color="auto" w:fill="FFFFFF"/>
          </w:tcPr>
          <w:p w14:paraId="2482359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Снабжение, екдадооое и транс</w:t>
            </w:r>
            <w:r w:rsidRPr="007224C3">
              <w:rPr>
                <w:rFonts w:ascii="Times New Roman" w:hAnsi="Times New Roman"/>
                <w:color w:val="000000" w:themeColor="text1"/>
                <w:sz w:val="16"/>
                <w:szCs w:val="16"/>
              </w:rPr>
              <w:softHyphen/>
              <w:t>портное хозяйство</w:t>
            </w:r>
          </w:p>
        </w:tc>
        <w:tc>
          <w:tcPr>
            <w:tcW w:w="696" w:type="dxa"/>
            <w:tcBorders>
              <w:top w:val="single" w:sz="6" w:space="0" w:color="auto"/>
              <w:left w:val="single" w:sz="6" w:space="0" w:color="auto"/>
              <w:bottom w:val="single" w:sz="6" w:space="0" w:color="auto"/>
              <w:right w:val="single" w:sz="6" w:space="0" w:color="auto"/>
            </w:tcBorders>
            <w:shd w:val="clear" w:color="auto" w:fill="FFFFFF"/>
          </w:tcPr>
          <w:p w14:paraId="324FC7B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4860</w:t>
            </w: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39AD7EB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0,8</w:t>
            </w:r>
          </w:p>
        </w:tc>
        <w:tc>
          <w:tcPr>
            <w:tcW w:w="600" w:type="dxa"/>
            <w:tcBorders>
              <w:top w:val="single" w:sz="6" w:space="0" w:color="auto"/>
              <w:left w:val="single" w:sz="6" w:space="0" w:color="auto"/>
              <w:bottom w:val="single" w:sz="6" w:space="0" w:color="auto"/>
              <w:right w:val="single" w:sz="6" w:space="0" w:color="auto"/>
            </w:tcBorders>
            <w:shd w:val="clear" w:color="auto" w:fill="FFFFFF"/>
          </w:tcPr>
          <w:p w14:paraId="4FE3E88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5646</w:t>
            </w:r>
          </w:p>
        </w:tc>
        <w:tc>
          <w:tcPr>
            <w:tcW w:w="883" w:type="dxa"/>
            <w:tcBorders>
              <w:top w:val="single" w:sz="6" w:space="0" w:color="auto"/>
              <w:left w:val="single" w:sz="6" w:space="0" w:color="auto"/>
              <w:bottom w:val="single" w:sz="6" w:space="0" w:color="auto"/>
              <w:right w:val="single" w:sz="6" w:space="0" w:color="auto"/>
            </w:tcBorders>
            <w:shd w:val="clear" w:color="auto" w:fill="FFFFFF"/>
          </w:tcPr>
          <w:p w14:paraId="755C9B5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0,8</w:t>
            </w:r>
          </w:p>
        </w:tc>
        <w:tc>
          <w:tcPr>
            <w:tcW w:w="1032" w:type="dxa"/>
            <w:tcBorders>
              <w:top w:val="single" w:sz="6" w:space="0" w:color="auto"/>
              <w:left w:val="single" w:sz="6" w:space="0" w:color="auto"/>
              <w:bottom w:val="single" w:sz="6" w:space="0" w:color="auto"/>
              <w:right w:val="single" w:sz="6" w:space="0" w:color="auto"/>
            </w:tcBorders>
            <w:shd w:val="clear" w:color="auto" w:fill="FFFFFF"/>
          </w:tcPr>
          <w:p w14:paraId="7CC16FE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116,2</w:t>
            </w:r>
          </w:p>
        </w:tc>
      </w:tr>
      <w:tr w:rsidR="006331D6" w:rsidRPr="007224C3" w14:paraId="1D0513E1" w14:textId="77777777">
        <w:trPr>
          <w:trHeight w:val="278"/>
        </w:trPr>
        <w:tc>
          <w:tcPr>
            <w:tcW w:w="1858" w:type="dxa"/>
            <w:tcBorders>
              <w:top w:val="single" w:sz="6" w:space="0" w:color="auto"/>
              <w:left w:val="single" w:sz="6" w:space="0" w:color="auto"/>
              <w:bottom w:val="single" w:sz="6" w:space="0" w:color="auto"/>
              <w:right w:val="single" w:sz="6" w:space="0" w:color="auto"/>
            </w:tcBorders>
            <w:shd w:val="clear" w:color="auto" w:fill="FFFFFF"/>
          </w:tcPr>
          <w:p w14:paraId="2E6EE53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Центральный аппарат</w:t>
            </w:r>
          </w:p>
        </w:tc>
        <w:tc>
          <w:tcPr>
            <w:tcW w:w="696" w:type="dxa"/>
            <w:tcBorders>
              <w:top w:val="single" w:sz="6" w:space="0" w:color="auto"/>
              <w:left w:val="single" w:sz="6" w:space="0" w:color="auto"/>
              <w:bottom w:val="single" w:sz="6" w:space="0" w:color="auto"/>
              <w:right w:val="single" w:sz="6" w:space="0" w:color="auto"/>
            </w:tcBorders>
            <w:shd w:val="clear" w:color="auto" w:fill="FFFFFF"/>
          </w:tcPr>
          <w:p w14:paraId="6F5B92D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1433</w:t>
            </w: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271C4C1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ОД</w:t>
            </w:r>
          </w:p>
        </w:tc>
        <w:tc>
          <w:tcPr>
            <w:tcW w:w="600" w:type="dxa"/>
            <w:tcBorders>
              <w:top w:val="single" w:sz="6" w:space="0" w:color="auto"/>
              <w:left w:val="single" w:sz="6" w:space="0" w:color="auto"/>
              <w:bottom w:val="single" w:sz="6" w:space="0" w:color="auto"/>
              <w:right w:val="single" w:sz="6" w:space="0" w:color="auto"/>
            </w:tcBorders>
            <w:shd w:val="clear" w:color="auto" w:fill="FFFFFF"/>
          </w:tcPr>
          <w:p w14:paraId="03A00B6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1308</w:t>
            </w:r>
          </w:p>
        </w:tc>
        <w:tc>
          <w:tcPr>
            <w:tcW w:w="883" w:type="dxa"/>
            <w:tcBorders>
              <w:top w:val="single" w:sz="6" w:space="0" w:color="auto"/>
              <w:left w:val="single" w:sz="6" w:space="0" w:color="auto"/>
              <w:bottom w:val="single" w:sz="6" w:space="0" w:color="auto"/>
              <w:right w:val="single" w:sz="6" w:space="0" w:color="auto"/>
            </w:tcBorders>
            <w:shd w:val="clear" w:color="auto" w:fill="FFFFFF"/>
          </w:tcPr>
          <w:p w14:paraId="2DE29B0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w:t>
            </w:r>
          </w:p>
        </w:tc>
        <w:tc>
          <w:tcPr>
            <w:tcW w:w="1032" w:type="dxa"/>
            <w:tcBorders>
              <w:top w:val="single" w:sz="6" w:space="0" w:color="auto"/>
              <w:left w:val="single" w:sz="6" w:space="0" w:color="auto"/>
              <w:bottom w:val="single" w:sz="6" w:space="0" w:color="auto"/>
              <w:right w:val="single" w:sz="6" w:space="0" w:color="auto"/>
            </w:tcBorders>
            <w:shd w:val="clear" w:color="auto" w:fill="FFFFFF"/>
          </w:tcPr>
          <w:p w14:paraId="69632EB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9U</w:t>
            </w:r>
          </w:p>
        </w:tc>
      </w:tr>
      <w:tr w:rsidR="006331D6" w:rsidRPr="007224C3" w14:paraId="3696663B" w14:textId="77777777">
        <w:trPr>
          <w:trHeight w:val="341"/>
        </w:trPr>
        <w:tc>
          <w:tcPr>
            <w:tcW w:w="1858" w:type="dxa"/>
            <w:tcBorders>
              <w:top w:val="single" w:sz="6" w:space="0" w:color="auto"/>
              <w:left w:val="single" w:sz="6" w:space="0" w:color="auto"/>
              <w:bottom w:val="single" w:sz="6" w:space="0" w:color="auto"/>
              <w:right w:val="single" w:sz="6" w:space="0" w:color="auto"/>
            </w:tcBorders>
            <w:shd w:val="clear" w:color="auto" w:fill="FFFFFF"/>
          </w:tcPr>
          <w:p w14:paraId="66D864F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Детские учреждения</w:t>
            </w:r>
          </w:p>
        </w:tc>
        <w:tc>
          <w:tcPr>
            <w:tcW w:w="696" w:type="dxa"/>
            <w:tcBorders>
              <w:top w:val="single" w:sz="6" w:space="0" w:color="auto"/>
              <w:left w:val="single" w:sz="6" w:space="0" w:color="auto"/>
              <w:bottom w:val="single" w:sz="6" w:space="0" w:color="auto"/>
              <w:right w:val="single" w:sz="6" w:space="0" w:color="auto"/>
            </w:tcBorders>
            <w:shd w:val="clear" w:color="auto" w:fill="FFFFFF"/>
          </w:tcPr>
          <w:p w14:paraId="16A5795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2014</w:t>
            </w: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652C1DB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0,3</w:t>
            </w:r>
          </w:p>
        </w:tc>
        <w:tc>
          <w:tcPr>
            <w:tcW w:w="600" w:type="dxa"/>
            <w:tcBorders>
              <w:top w:val="single" w:sz="6" w:space="0" w:color="auto"/>
              <w:left w:val="single" w:sz="6" w:space="0" w:color="auto"/>
              <w:bottom w:val="single" w:sz="6" w:space="0" w:color="auto"/>
              <w:right w:val="single" w:sz="6" w:space="0" w:color="auto"/>
            </w:tcBorders>
            <w:shd w:val="clear" w:color="auto" w:fill="FFFFFF"/>
          </w:tcPr>
          <w:p w14:paraId="687D215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3386</w:t>
            </w:r>
          </w:p>
        </w:tc>
        <w:tc>
          <w:tcPr>
            <w:tcW w:w="883" w:type="dxa"/>
            <w:tcBorders>
              <w:top w:val="single" w:sz="6" w:space="0" w:color="auto"/>
              <w:left w:val="single" w:sz="6" w:space="0" w:color="auto"/>
              <w:bottom w:val="single" w:sz="6" w:space="0" w:color="auto"/>
              <w:right w:val="single" w:sz="6" w:space="0" w:color="auto"/>
            </w:tcBorders>
            <w:shd w:val="clear" w:color="auto" w:fill="FFFFFF"/>
          </w:tcPr>
          <w:p w14:paraId="2375E0D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0,6</w:t>
            </w:r>
          </w:p>
        </w:tc>
        <w:tc>
          <w:tcPr>
            <w:tcW w:w="1032" w:type="dxa"/>
            <w:tcBorders>
              <w:top w:val="single" w:sz="6" w:space="0" w:color="auto"/>
              <w:left w:val="single" w:sz="6" w:space="0" w:color="auto"/>
              <w:bottom w:val="single" w:sz="6" w:space="0" w:color="auto"/>
              <w:right w:val="single" w:sz="6" w:space="0" w:color="auto"/>
            </w:tcBorders>
            <w:shd w:val="clear" w:color="auto" w:fill="FFFFFF"/>
          </w:tcPr>
          <w:p w14:paraId="7C3FCC8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168,1</w:t>
            </w:r>
          </w:p>
        </w:tc>
      </w:tr>
    </w:tbl>
    <w:p w14:paraId="42DCC3C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Использование трудовых ресурсов (РГАЭ. Ф. 8044. On. 1. Д. 2878. Л. 60,62,64,66,68)</w:t>
      </w:r>
    </w:p>
    <w:tbl>
      <w:tblPr>
        <w:tblW w:w="0" w:type="auto"/>
        <w:tblInd w:w="8" w:type="dxa"/>
        <w:tblLayout w:type="fixed"/>
        <w:tblCellMar>
          <w:left w:w="0" w:type="dxa"/>
          <w:right w:w="0" w:type="dxa"/>
        </w:tblCellMar>
        <w:tblLook w:val="0000" w:firstRow="0" w:lastRow="0" w:firstColumn="0" w:lastColumn="0" w:noHBand="0" w:noVBand="0"/>
      </w:tblPr>
      <w:tblGrid>
        <w:gridCol w:w="3638"/>
        <w:gridCol w:w="571"/>
        <w:gridCol w:w="566"/>
        <w:gridCol w:w="571"/>
        <w:gridCol w:w="595"/>
      </w:tblGrid>
      <w:tr w:rsidR="006331D6" w:rsidRPr="007224C3" w14:paraId="0F059F5A" w14:textId="77777777">
        <w:trPr>
          <w:trHeight w:val="245"/>
        </w:trPr>
        <w:tc>
          <w:tcPr>
            <w:tcW w:w="3638" w:type="dxa"/>
            <w:tcBorders>
              <w:top w:val="single" w:sz="6" w:space="0" w:color="auto"/>
              <w:left w:val="single" w:sz="6" w:space="0" w:color="auto"/>
              <w:bottom w:val="single" w:sz="6" w:space="0" w:color="auto"/>
              <w:right w:val="single" w:sz="6" w:space="0" w:color="auto"/>
            </w:tcBorders>
            <w:shd w:val="clear" w:color="auto" w:fill="FFFFFF"/>
          </w:tcPr>
          <w:p w14:paraId="2A4F2A5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3A183A4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1940</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4E80742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1941</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30F41AF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1942</w:t>
            </w:r>
          </w:p>
        </w:tc>
        <w:tc>
          <w:tcPr>
            <w:tcW w:w="595" w:type="dxa"/>
            <w:tcBorders>
              <w:top w:val="single" w:sz="6" w:space="0" w:color="auto"/>
              <w:left w:val="single" w:sz="6" w:space="0" w:color="auto"/>
              <w:bottom w:val="single" w:sz="6" w:space="0" w:color="auto"/>
              <w:right w:val="single" w:sz="6" w:space="0" w:color="auto"/>
            </w:tcBorders>
            <w:shd w:val="clear" w:color="auto" w:fill="FFFFFF"/>
          </w:tcPr>
          <w:p w14:paraId="1FBC1F3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1943</w:t>
            </w:r>
          </w:p>
        </w:tc>
      </w:tr>
      <w:tr w:rsidR="006331D6" w:rsidRPr="007224C3" w14:paraId="44155815" w14:textId="77777777">
        <w:trPr>
          <w:trHeight w:val="221"/>
        </w:trPr>
        <w:tc>
          <w:tcPr>
            <w:tcW w:w="3638" w:type="dxa"/>
            <w:tcBorders>
              <w:top w:val="single" w:sz="6" w:space="0" w:color="auto"/>
              <w:left w:val="single" w:sz="6" w:space="0" w:color="auto"/>
              <w:bottom w:val="single" w:sz="6" w:space="0" w:color="auto"/>
              <w:right w:val="single" w:sz="6" w:space="0" w:color="auto"/>
            </w:tcBorders>
            <w:shd w:val="clear" w:color="auto" w:fill="FFFFFF"/>
          </w:tcPr>
          <w:p w14:paraId="65BEFF8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Отработано на 1 рабочего в кесяц рабочих дней</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6B5DFB5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22,0</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0F7F366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23,4</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1E560D1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24,2</w:t>
            </w:r>
          </w:p>
        </w:tc>
        <w:tc>
          <w:tcPr>
            <w:tcW w:w="595" w:type="dxa"/>
            <w:tcBorders>
              <w:top w:val="single" w:sz="6" w:space="0" w:color="auto"/>
              <w:left w:val="single" w:sz="6" w:space="0" w:color="auto"/>
              <w:bottom w:val="single" w:sz="6" w:space="0" w:color="auto"/>
              <w:right w:val="single" w:sz="6" w:space="0" w:color="auto"/>
            </w:tcBorders>
            <w:shd w:val="clear" w:color="auto" w:fill="FFFFFF"/>
          </w:tcPr>
          <w:p w14:paraId="6640193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24,0</w:t>
            </w:r>
          </w:p>
        </w:tc>
      </w:tr>
      <w:tr w:rsidR="006331D6" w:rsidRPr="007224C3" w14:paraId="577EEE2A" w14:textId="77777777">
        <w:trPr>
          <w:trHeight w:val="221"/>
        </w:trPr>
        <w:tc>
          <w:tcPr>
            <w:tcW w:w="3638" w:type="dxa"/>
            <w:tcBorders>
              <w:top w:val="single" w:sz="6" w:space="0" w:color="auto"/>
              <w:left w:val="single" w:sz="6" w:space="0" w:color="auto"/>
              <w:bottom w:val="single" w:sz="6" w:space="0" w:color="auto"/>
              <w:right w:val="single" w:sz="6" w:space="0" w:color="auto"/>
            </w:tcBorders>
            <w:shd w:val="clear" w:color="auto" w:fill="FFFFFF"/>
          </w:tcPr>
          <w:p w14:paraId="01E1017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Отработано часов в месяц</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3000D71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170,0</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2B47758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204,2</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6F7592E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228,1</w:t>
            </w:r>
          </w:p>
        </w:tc>
        <w:tc>
          <w:tcPr>
            <w:tcW w:w="595" w:type="dxa"/>
            <w:tcBorders>
              <w:top w:val="single" w:sz="6" w:space="0" w:color="auto"/>
              <w:left w:val="single" w:sz="6" w:space="0" w:color="auto"/>
              <w:bottom w:val="single" w:sz="6" w:space="0" w:color="auto"/>
              <w:right w:val="single" w:sz="6" w:space="0" w:color="auto"/>
            </w:tcBorders>
            <w:shd w:val="clear" w:color="auto" w:fill="FFFFFF"/>
          </w:tcPr>
          <w:p w14:paraId="0C91FC0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228,0</w:t>
            </w:r>
          </w:p>
        </w:tc>
      </w:tr>
      <w:tr w:rsidR="006331D6" w:rsidRPr="007224C3" w14:paraId="3AF0B2DA" w14:textId="77777777">
        <w:trPr>
          <w:trHeight w:val="221"/>
        </w:trPr>
        <w:tc>
          <w:tcPr>
            <w:tcW w:w="3638" w:type="dxa"/>
            <w:tcBorders>
              <w:top w:val="single" w:sz="6" w:space="0" w:color="auto"/>
              <w:left w:val="single" w:sz="6" w:space="0" w:color="auto"/>
              <w:bottom w:val="single" w:sz="6" w:space="0" w:color="auto"/>
              <w:right w:val="single" w:sz="6" w:space="0" w:color="auto"/>
            </w:tcBorders>
            <w:shd w:val="clear" w:color="auto" w:fill="FFFFFF"/>
          </w:tcPr>
          <w:p w14:paraId="3B8395A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Продолжительность рабочего дня, часов</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4210093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7,66</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7C3D967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8,75</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61C2EC4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9,49</w:t>
            </w:r>
          </w:p>
        </w:tc>
        <w:tc>
          <w:tcPr>
            <w:tcW w:w="595" w:type="dxa"/>
            <w:tcBorders>
              <w:top w:val="single" w:sz="6" w:space="0" w:color="auto"/>
              <w:left w:val="single" w:sz="6" w:space="0" w:color="auto"/>
              <w:bottom w:val="single" w:sz="6" w:space="0" w:color="auto"/>
              <w:right w:val="single" w:sz="6" w:space="0" w:color="auto"/>
            </w:tcBorders>
            <w:shd w:val="clear" w:color="auto" w:fill="FFFFFF"/>
          </w:tcPr>
          <w:p w14:paraId="0DEF934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9,54</w:t>
            </w:r>
          </w:p>
        </w:tc>
      </w:tr>
      <w:tr w:rsidR="006331D6" w:rsidRPr="007224C3" w14:paraId="450A1DF8" w14:textId="77777777">
        <w:trPr>
          <w:trHeight w:val="221"/>
        </w:trPr>
        <w:tc>
          <w:tcPr>
            <w:tcW w:w="3638" w:type="dxa"/>
            <w:tcBorders>
              <w:top w:val="single" w:sz="6" w:space="0" w:color="auto"/>
              <w:left w:val="single" w:sz="6" w:space="0" w:color="auto"/>
              <w:bottom w:val="single" w:sz="6" w:space="0" w:color="auto"/>
              <w:right w:val="single" w:sz="6" w:space="0" w:color="auto"/>
            </w:tcBorders>
            <w:shd w:val="clear" w:color="auto" w:fill="FFFFFF"/>
          </w:tcPr>
          <w:p w14:paraId="3F0A1C4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Часовая выработка на 1 рабочего, валовая продукция (руб.)</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01EC9E4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11,46</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6D80B74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9,82</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7E03DC1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11,39</w:t>
            </w:r>
          </w:p>
        </w:tc>
        <w:tc>
          <w:tcPr>
            <w:tcW w:w="595" w:type="dxa"/>
            <w:tcBorders>
              <w:top w:val="single" w:sz="6" w:space="0" w:color="auto"/>
              <w:left w:val="single" w:sz="6" w:space="0" w:color="auto"/>
              <w:bottom w:val="single" w:sz="6" w:space="0" w:color="auto"/>
              <w:right w:val="single" w:sz="6" w:space="0" w:color="auto"/>
            </w:tcBorders>
            <w:shd w:val="clear" w:color="auto" w:fill="FFFFFF"/>
          </w:tcPr>
          <w:p w14:paraId="751F18D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13,22</w:t>
            </w:r>
          </w:p>
        </w:tc>
      </w:tr>
      <w:tr w:rsidR="006331D6" w:rsidRPr="007224C3" w14:paraId="66B9E0C9" w14:textId="77777777">
        <w:trPr>
          <w:trHeight w:val="245"/>
        </w:trPr>
        <w:tc>
          <w:tcPr>
            <w:tcW w:w="3638" w:type="dxa"/>
            <w:tcBorders>
              <w:top w:val="single" w:sz="6" w:space="0" w:color="auto"/>
              <w:left w:val="single" w:sz="6" w:space="0" w:color="auto"/>
              <w:bottom w:val="single" w:sz="6" w:space="0" w:color="auto"/>
              <w:right w:val="single" w:sz="6" w:space="0" w:color="auto"/>
            </w:tcBorders>
            <w:shd w:val="clear" w:color="auto" w:fill="FFFFFF"/>
          </w:tcPr>
          <w:p w14:paraId="302C8FC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Средняя часовая зарплата (руб.)</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3894B99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2,72</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3CA05F5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2,49</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6F779BF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w:t>
            </w:r>
          </w:p>
        </w:tc>
        <w:tc>
          <w:tcPr>
            <w:tcW w:w="595" w:type="dxa"/>
            <w:tcBorders>
              <w:top w:val="single" w:sz="6" w:space="0" w:color="auto"/>
              <w:left w:val="single" w:sz="6" w:space="0" w:color="auto"/>
              <w:bottom w:val="single" w:sz="6" w:space="0" w:color="auto"/>
              <w:right w:val="single" w:sz="6" w:space="0" w:color="auto"/>
            </w:tcBorders>
            <w:shd w:val="clear" w:color="auto" w:fill="FFFFFF"/>
          </w:tcPr>
          <w:p w14:paraId="5AA77ED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2,70</w:t>
            </w:r>
          </w:p>
        </w:tc>
      </w:tr>
    </w:tbl>
    <w:p w14:paraId="03F1615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Среднегодовая зарплата рабочих на авиазаводе № 153 ()</w:t>
      </w:r>
    </w:p>
    <w:tbl>
      <w:tblPr>
        <w:tblW w:w="0" w:type="auto"/>
        <w:tblInd w:w="8" w:type="dxa"/>
        <w:tblLayout w:type="fixed"/>
        <w:tblCellMar>
          <w:left w:w="0" w:type="dxa"/>
          <w:right w:w="0" w:type="dxa"/>
        </w:tblCellMar>
        <w:tblLook w:val="0000" w:firstRow="0" w:lastRow="0" w:firstColumn="0" w:lastColumn="0" w:noHBand="0" w:noVBand="0"/>
      </w:tblPr>
      <w:tblGrid>
        <w:gridCol w:w="1195"/>
        <w:gridCol w:w="1190"/>
        <w:gridCol w:w="1186"/>
        <w:gridCol w:w="1186"/>
        <w:gridCol w:w="1195"/>
      </w:tblGrid>
      <w:tr w:rsidR="006331D6" w:rsidRPr="007224C3" w14:paraId="750C472E" w14:textId="77777777">
        <w:trPr>
          <w:trHeight w:val="235"/>
        </w:trPr>
        <w:tc>
          <w:tcPr>
            <w:tcW w:w="1195" w:type="dxa"/>
            <w:tcBorders>
              <w:top w:val="single" w:sz="6" w:space="0" w:color="auto"/>
              <w:left w:val="single" w:sz="6" w:space="0" w:color="auto"/>
              <w:bottom w:val="single" w:sz="6" w:space="0" w:color="auto"/>
              <w:right w:val="single" w:sz="6" w:space="0" w:color="auto"/>
            </w:tcBorders>
            <w:shd w:val="clear" w:color="auto" w:fill="FFFFFF"/>
          </w:tcPr>
          <w:p w14:paraId="5E2F92F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1941</w:t>
            </w:r>
          </w:p>
        </w:tc>
        <w:tc>
          <w:tcPr>
            <w:tcW w:w="1190" w:type="dxa"/>
            <w:tcBorders>
              <w:top w:val="single" w:sz="6" w:space="0" w:color="auto"/>
              <w:left w:val="single" w:sz="6" w:space="0" w:color="auto"/>
              <w:bottom w:val="single" w:sz="6" w:space="0" w:color="auto"/>
              <w:right w:val="single" w:sz="6" w:space="0" w:color="auto"/>
            </w:tcBorders>
            <w:shd w:val="clear" w:color="auto" w:fill="FFFFFF"/>
          </w:tcPr>
          <w:p w14:paraId="62267B4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1942</w:t>
            </w:r>
          </w:p>
        </w:tc>
        <w:tc>
          <w:tcPr>
            <w:tcW w:w="1186" w:type="dxa"/>
            <w:tcBorders>
              <w:top w:val="single" w:sz="6" w:space="0" w:color="auto"/>
              <w:left w:val="single" w:sz="6" w:space="0" w:color="auto"/>
              <w:bottom w:val="single" w:sz="6" w:space="0" w:color="auto"/>
              <w:right w:val="single" w:sz="6" w:space="0" w:color="auto"/>
            </w:tcBorders>
            <w:shd w:val="clear" w:color="auto" w:fill="FFFFFF"/>
          </w:tcPr>
          <w:p w14:paraId="79533EC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1943</w:t>
            </w:r>
          </w:p>
        </w:tc>
        <w:tc>
          <w:tcPr>
            <w:tcW w:w="1186" w:type="dxa"/>
            <w:tcBorders>
              <w:top w:val="single" w:sz="6" w:space="0" w:color="auto"/>
              <w:left w:val="single" w:sz="6" w:space="0" w:color="auto"/>
              <w:bottom w:val="single" w:sz="6" w:space="0" w:color="auto"/>
              <w:right w:val="single" w:sz="6" w:space="0" w:color="auto"/>
            </w:tcBorders>
            <w:shd w:val="clear" w:color="auto" w:fill="FFFFFF"/>
          </w:tcPr>
          <w:p w14:paraId="099D6F0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1944</w:t>
            </w:r>
          </w:p>
        </w:tc>
        <w:tc>
          <w:tcPr>
            <w:tcW w:w="1195" w:type="dxa"/>
            <w:tcBorders>
              <w:top w:val="single" w:sz="6" w:space="0" w:color="auto"/>
              <w:left w:val="single" w:sz="6" w:space="0" w:color="auto"/>
              <w:bottom w:val="single" w:sz="6" w:space="0" w:color="auto"/>
              <w:right w:val="single" w:sz="6" w:space="0" w:color="auto"/>
            </w:tcBorders>
            <w:shd w:val="clear" w:color="auto" w:fill="FFFFFF"/>
          </w:tcPr>
          <w:p w14:paraId="77B8511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1945</w:t>
            </w:r>
          </w:p>
        </w:tc>
      </w:tr>
      <w:tr w:rsidR="006331D6" w:rsidRPr="007224C3" w14:paraId="60BED035" w14:textId="77777777">
        <w:trPr>
          <w:trHeight w:val="240"/>
        </w:trPr>
        <w:tc>
          <w:tcPr>
            <w:tcW w:w="1195" w:type="dxa"/>
            <w:tcBorders>
              <w:top w:val="single" w:sz="6" w:space="0" w:color="auto"/>
              <w:left w:val="single" w:sz="6" w:space="0" w:color="auto"/>
              <w:bottom w:val="single" w:sz="6" w:space="0" w:color="auto"/>
              <w:right w:val="single" w:sz="6" w:space="0" w:color="auto"/>
            </w:tcBorders>
            <w:shd w:val="clear" w:color="auto" w:fill="FFFFFF"/>
          </w:tcPr>
          <w:p w14:paraId="7313AFE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6923</w:t>
            </w:r>
          </w:p>
        </w:tc>
        <w:tc>
          <w:tcPr>
            <w:tcW w:w="1190" w:type="dxa"/>
            <w:tcBorders>
              <w:top w:val="single" w:sz="6" w:space="0" w:color="auto"/>
              <w:left w:val="single" w:sz="6" w:space="0" w:color="auto"/>
              <w:bottom w:val="single" w:sz="6" w:space="0" w:color="auto"/>
              <w:right w:val="single" w:sz="6" w:space="0" w:color="auto"/>
            </w:tcBorders>
            <w:shd w:val="clear" w:color="auto" w:fill="FFFFFF"/>
          </w:tcPr>
          <w:p w14:paraId="555075C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7985(15,3)</w:t>
            </w:r>
          </w:p>
        </w:tc>
        <w:tc>
          <w:tcPr>
            <w:tcW w:w="1186" w:type="dxa"/>
            <w:tcBorders>
              <w:top w:val="single" w:sz="6" w:space="0" w:color="auto"/>
              <w:left w:val="single" w:sz="6" w:space="0" w:color="auto"/>
              <w:bottom w:val="single" w:sz="6" w:space="0" w:color="auto"/>
              <w:right w:val="single" w:sz="6" w:space="0" w:color="auto"/>
            </w:tcBorders>
            <w:shd w:val="clear" w:color="auto" w:fill="FFFFFF"/>
          </w:tcPr>
          <w:p w14:paraId="0AC24D8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8230(3,1)</w:t>
            </w:r>
          </w:p>
        </w:tc>
        <w:tc>
          <w:tcPr>
            <w:tcW w:w="1186" w:type="dxa"/>
            <w:tcBorders>
              <w:top w:val="single" w:sz="6" w:space="0" w:color="auto"/>
              <w:left w:val="single" w:sz="6" w:space="0" w:color="auto"/>
              <w:bottom w:val="single" w:sz="6" w:space="0" w:color="auto"/>
              <w:right w:val="single" w:sz="6" w:space="0" w:color="auto"/>
            </w:tcBorders>
            <w:shd w:val="clear" w:color="auto" w:fill="FFFFFF"/>
          </w:tcPr>
          <w:p w14:paraId="5B25C4E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9460(14,9)</w:t>
            </w:r>
          </w:p>
        </w:tc>
        <w:tc>
          <w:tcPr>
            <w:tcW w:w="1195" w:type="dxa"/>
            <w:tcBorders>
              <w:top w:val="single" w:sz="6" w:space="0" w:color="auto"/>
              <w:left w:val="single" w:sz="6" w:space="0" w:color="auto"/>
              <w:bottom w:val="single" w:sz="6" w:space="0" w:color="auto"/>
              <w:right w:val="single" w:sz="6" w:space="0" w:color="auto"/>
            </w:tcBorders>
            <w:shd w:val="clear" w:color="auto" w:fill="FFFFFF"/>
          </w:tcPr>
          <w:p w14:paraId="5300CCD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8251 (-12,8)</w:t>
            </w:r>
          </w:p>
        </w:tc>
      </w:tr>
    </w:tbl>
    <w:p w14:paraId="1346706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Для наглядности в скобках приводится рост (в %) по отношению к предыдущему году.</w:t>
      </w:r>
    </w:p>
    <w:p w14:paraId="1051D4A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Сравнение динамики среднегодовой зарплаты на авиаза</w:t>
      </w:r>
      <w:r w:rsidRPr="007224C3">
        <w:rPr>
          <w:rFonts w:ascii="Times New Roman" w:hAnsi="Times New Roman"/>
          <w:color w:val="000000" w:themeColor="text1"/>
          <w:sz w:val="16"/>
          <w:szCs w:val="16"/>
        </w:rPr>
        <w:softHyphen/>
        <w:t>воде № 153 с динамикой среднемесячной зарплаты по НКАП в целом за 1941—1944 гг., позволяет предположить, что уро</w:t>
      </w:r>
      <w:r w:rsidRPr="007224C3">
        <w:rPr>
          <w:rFonts w:ascii="Times New Roman" w:hAnsi="Times New Roman"/>
          <w:color w:val="000000" w:themeColor="text1"/>
          <w:sz w:val="16"/>
          <w:szCs w:val="16"/>
        </w:rPr>
        <w:softHyphen/>
        <w:t>вень среднемесячной зарплаты рабочих (и, вероятно, всего персонала в целом) резко снизился в 1945 г.</w:t>
      </w:r>
    </w:p>
    <w:p w14:paraId="2E5843A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фоне постоянного роста как численности авиавыпуска, так и численности персонала авиаиндустрии характерной тенденцией было постоянное снижение средней зарплаты, приходящейся на 1 самолёт.</w:t>
      </w:r>
    </w:p>
    <w:p w14:paraId="0B28BCA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Динамика средней зарплаты на изготовление 1 самолёта, производительности труда и среднемесячной зарплаты, (руб.) (РГАЭ. Ф. 8044. On. 1. Д. 2976. Л. 33,36)</w:t>
      </w:r>
    </w:p>
    <w:tbl>
      <w:tblPr>
        <w:tblW w:w="0" w:type="auto"/>
        <w:tblInd w:w="8" w:type="dxa"/>
        <w:tblLayout w:type="fixed"/>
        <w:tblCellMar>
          <w:left w:w="0" w:type="dxa"/>
          <w:right w:w="0" w:type="dxa"/>
        </w:tblCellMar>
        <w:tblLook w:val="0000" w:firstRow="0" w:lastRow="0" w:firstColumn="0" w:lastColumn="0" w:noHBand="0" w:noVBand="0"/>
      </w:tblPr>
      <w:tblGrid>
        <w:gridCol w:w="2515"/>
        <w:gridCol w:w="571"/>
        <w:gridCol w:w="571"/>
        <w:gridCol w:w="566"/>
        <w:gridCol w:w="566"/>
        <w:gridCol w:w="571"/>
        <w:gridCol w:w="586"/>
      </w:tblGrid>
      <w:tr w:rsidR="006331D6" w:rsidRPr="007224C3" w14:paraId="08347BED" w14:textId="77777777">
        <w:trPr>
          <w:trHeight w:val="326"/>
        </w:trPr>
        <w:tc>
          <w:tcPr>
            <w:tcW w:w="2515" w:type="dxa"/>
            <w:tcBorders>
              <w:top w:val="single" w:sz="6" w:space="0" w:color="auto"/>
              <w:left w:val="single" w:sz="6" w:space="0" w:color="auto"/>
              <w:bottom w:val="single" w:sz="6" w:space="0" w:color="auto"/>
              <w:right w:val="single" w:sz="6" w:space="0" w:color="auto"/>
            </w:tcBorders>
            <w:shd w:val="clear" w:color="auto" w:fill="FFFFFF"/>
          </w:tcPr>
          <w:p w14:paraId="34DA421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342623A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1939</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3632997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1940</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4E35E48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1941</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048D3D1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1942</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396DE66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1943</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482D2D6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1944</w:t>
            </w:r>
          </w:p>
        </w:tc>
      </w:tr>
      <w:tr w:rsidR="006331D6" w:rsidRPr="007224C3" w14:paraId="048EEA72" w14:textId="77777777">
        <w:trPr>
          <w:trHeight w:val="302"/>
        </w:trPr>
        <w:tc>
          <w:tcPr>
            <w:tcW w:w="2515" w:type="dxa"/>
            <w:tcBorders>
              <w:top w:val="single" w:sz="6" w:space="0" w:color="auto"/>
              <w:left w:val="single" w:sz="6" w:space="0" w:color="auto"/>
              <w:bottom w:val="single" w:sz="6" w:space="0" w:color="auto"/>
              <w:right w:val="single" w:sz="6" w:space="0" w:color="auto"/>
            </w:tcBorders>
            <w:shd w:val="clear" w:color="auto" w:fill="FFFFFF"/>
          </w:tcPr>
          <w:p w14:paraId="6082F7F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Зарплата всего персонала / самолёт</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1B6F491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217</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175313E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247</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6930438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212</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7B9ADF5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168</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7F76016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135</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6D20209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127</w:t>
            </w:r>
          </w:p>
        </w:tc>
      </w:tr>
      <w:tr w:rsidR="006331D6" w:rsidRPr="007224C3" w14:paraId="729CDB4D" w14:textId="77777777">
        <w:trPr>
          <w:trHeight w:val="293"/>
        </w:trPr>
        <w:tc>
          <w:tcPr>
            <w:tcW w:w="2515" w:type="dxa"/>
            <w:tcBorders>
              <w:top w:val="single" w:sz="6" w:space="0" w:color="auto"/>
              <w:left w:val="single" w:sz="6" w:space="0" w:color="auto"/>
              <w:bottom w:val="single" w:sz="6" w:space="0" w:color="auto"/>
              <w:right w:val="single" w:sz="6" w:space="0" w:color="auto"/>
            </w:tcBorders>
            <w:shd w:val="clear" w:color="auto" w:fill="FFFFFF"/>
          </w:tcPr>
          <w:p w14:paraId="79C4C3B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Зарплата рабочих / самолёт</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0C946AE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133</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34D6788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155</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22DAFE5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140</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465BBF3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110</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48C2C37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90</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72D1B86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85</w:t>
            </w:r>
          </w:p>
        </w:tc>
      </w:tr>
      <w:tr w:rsidR="006331D6" w:rsidRPr="007224C3" w14:paraId="2A7A5518" w14:textId="77777777">
        <w:trPr>
          <w:trHeight w:val="293"/>
        </w:trPr>
        <w:tc>
          <w:tcPr>
            <w:tcW w:w="2515" w:type="dxa"/>
            <w:tcBorders>
              <w:top w:val="single" w:sz="6" w:space="0" w:color="auto"/>
              <w:left w:val="single" w:sz="6" w:space="0" w:color="auto"/>
              <w:bottom w:val="single" w:sz="6" w:space="0" w:color="auto"/>
              <w:right w:val="single" w:sz="6" w:space="0" w:color="auto"/>
            </w:tcBorders>
            <w:shd w:val="clear" w:color="auto" w:fill="FFFFFF"/>
          </w:tcPr>
          <w:p w14:paraId="069611B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Среднемесгшая выработка на 1 рабочего</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4631320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1899</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68590D0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1948</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3B54F71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2009</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459826B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2611</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7913046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3027</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699C411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3315</w:t>
            </w:r>
          </w:p>
        </w:tc>
      </w:tr>
      <w:tr w:rsidR="006331D6" w:rsidRPr="007224C3" w14:paraId="6AD8362D" w14:textId="77777777">
        <w:trPr>
          <w:trHeight w:val="331"/>
        </w:trPr>
        <w:tc>
          <w:tcPr>
            <w:tcW w:w="2515" w:type="dxa"/>
            <w:tcBorders>
              <w:top w:val="single" w:sz="6" w:space="0" w:color="auto"/>
              <w:left w:val="single" w:sz="6" w:space="0" w:color="auto"/>
              <w:bottom w:val="single" w:sz="6" w:space="0" w:color="auto"/>
              <w:right w:val="single" w:sz="6" w:space="0" w:color="auto"/>
            </w:tcBorders>
            <w:shd w:val="clear" w:color="auto" w:fill="FFFFFF"/>
          </w:tcPr>
          <w:p w14:paraId="321F3A9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Среднемесячная зарплата ИГР</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731831A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866</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0236FD9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892</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12AA41E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977</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28ADE99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1123</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32E6638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1185</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4B85E61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1286</w:t>
            </w:r>
          </w:p>
        </w:tc>
      </w:tr>
      <w:tr w:rsidR="006331D6" w:rsidRPr="007224C3" w14:paraId="0733AE3C" w14:textId="77777777">
        <w:trPr>
          <w:trHeight w:val="245"/>
        </w:trPr>
        <w:tc>
          <w:tcPr>
            <w:tcW w:w="2515" w:type="dxa"/>
            <w:tcBorders>
              <w:top w:val="single" w:sz="6" w:space="0" w:color="auto"/>
              <w:left w:val="single" w:sz="6" w:space="0" w:color="auto"/>
              <w:bottom w:val="single" w:sz="6" w:space="0" w:color="auto"/>
              <w:right w:val="single" w:sz="6" w:space="0" w:color="auto"/>
            </w:tcBorders>
            <w:shd w:val="clear" w:color="auto" w:fill="FFFFFF"/>
          </w:tcPr>
          <w:p w14:paraId="03A33CE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Среднемесячная зарплата рабочего</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2865558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464</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528FA29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473</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6B5D66A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508</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7938E34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593</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1674BC8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618</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1771E38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686</w:t>
            </w:r>
          </w:p>
        </w:tc>
      </w:tr>
    </w:tbl>
    <w:p w14:paraId="64AFD9A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Очевидно, что, пройдя период освоения новой техники в 1940 г. — что отразилось в росте средних зарплат на 1 са</w:t>
      </w:r>
      <w:r w:rsidRPr="007224C3">
        <w:rPr>
          <w:rFonts w:ascii="Times New Roman" w:hAnsi="Times New Roman"/>
          <w:color w:val="000000" w:themeColor="text1"/>
          <w:sz w:val="16"/>
          <w:szCs w:val="16"/>
        </w:rPr>
        <w:softHyphen/>
        <w:t>молёт, в дальнейшем этот параметр постоянно снижался. На фоне постоянного роста среднемесячных зарплат и выработ</w:t>
      </w:r>
      <w:r w:rsidRPr="007224C3">
        <w:rPr>
          <w:rFonts w:ascii="Times New Roman" w:hAnsi="Times New Roman"/>
          <w:color w:val="000000" w:themeColor="text1"/>
          <w:sz w:val="16"/>
          <w:szCs w:val="16"/>
        </w:rPr>
        <w:softHyphen/>
        <w:t>ки это могло объясняться только постоянным снижением се</w:t>
      </w:r>
      <w:r w:rsidRPr="007224C3">
        <w:rPr>
          <w:rFonts w:ascii="Times New Roman" w:hAnsi="Times New Roman"/>
          <w:color w:val="000000" w:themeColor="text1"/>
          <w:sz w:val="16"/>
          <w:szCs w:val="16"/>
        </w:rPr>
        <w:softHyphen/>
        <w:t>бестоимости продукции.</w:t>
      </w:r>
    </w:p>
    <w:p w14:paraId="493D11A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сравнения можно указать, что на 1944 г. среднемесяч- . ная зарплата рабочего в промышленности союзного подчи</w:t>
      </w:r>
      <w:r w:rsidRPr="007224C3">
        <w:rPr>
          <w:rFonts w:ascii="Times New Roman" w:hAnsi="Times New Roman"/>
          <w:color w:val="000000" w:themeColor="text1"/>
          <w:sz w:val="16"/>
          <w:szCs w:val="16"/>
        </w:rPr>
        <w:softHyphen/>
        <w:t>нения составила в среднем 573 рубля (в угольной промыш</w:t>
      </w:r>
      <w:r w:rsidRPr="007224C3">
        <w:rPr>
          <w:rFonts w:ascii="Times New Roman" w:hAnsi="Times New Roman"/>
          <w:color w:val="000000" w:themeColor="text1"/>
          <w:sz w:val="16"/>
          <w:szCs w:val="16"/>
        </w:rPr>
        <w:softHyphen/>
        <w:t>ленности — 729 руб., а в чёрной металлургии — 697 руб.), ИТР —1209 руб. (соответственно в угольной промышленно</w:t>
      </w:r>
      <w:r w:rsidRPr="007224C3">
        <w:rPr>
          <w:rFonts w:ascii="Times New Roman" w:hAnsi="Times New Roman"/>
          <w:color w:val="000000" w:themeColor="text1"/>
          <w:sz w:val="16"/>
          <w:szCs w:val="16"/>
        </w:rPr>
        <w:softHyphen/>
        <w:t>сти и чёрной металлургии — 1502 и 1725 руб.) (</w:t>
      </w:r>
      <w:r w:rsidRPr="007224C3">
        <w:rPr>
          <w:rFonts w:ascii="Times New Roman" w:hAnsi="Times New Roman"/>
          <w:iCs/>
          <w:color w:val="000000" w:themeColor="text1"/>
          <w:sz w:val="16"/>
          <w:szCs w:val="16"/>
        </w:rPr>
        <w:t>Вознесенский Н.А.</w:t>
      </w:r>
      <w:r w:rsidRPr="007224C3">
        <w:rPr>
          <w:rFonts w:ascii="Times New Roman" w:hAnsi="Times New Roman"/>
          <w:color w:val="000000" w:themeColor="text1"/>
          <w:sz w:val="16"/>
          <w:szCs w:val="16"/>
        </w:rPr>
        <w:t xml:space="preserve"> Указ. соч. С. 117—118). Таким обра</w:t>
      </w:r>
      <w:r w:rsidRPr="007224C3">
        <w:rPr>
          <w:rFonts w:ascii="Times New Roman" w:hAnsi="Times New Roman"/>
          <w:color w:val="000000" w:themeColor="text1"/>
          <w:sz w:val="16"/>
          <w:szCs w:val="16"/>
        </w:rPr>
        <w:softHyphen/>
        <w:t>зом, оклады инженеров и рабочих авиапромышленности хотя и были выше, чем в среднем по СССР, однако не составляли ничего исключительного (12011).</w:t>
      </w:r>
    </w:p>
    <w:p w14:paraId="46DA88B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48BC6B1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1 января 1944 г. при списке работающих на заводе № 22 в 26030 человек (из них 19379 рабочих и 3779 ИТР), уволено за год в ряды РККА - 716, по семейным обстоятельствам - 554, по болезни и инвалидности - 415, ввиду смерти - 308, переведено на другие предприятия - 539 и на учебу - 133, самовольно оставило производство - 2365 (394 дезертира возвращено), уволено в связи с арестом 368 человек. Итого 5421 работнику, четверти заводского штата, надо было срочно искать замену.</w:t>
      </w:r>
    </w:p>
    <w:p w14:paraId="7F642BA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Фактические затраты на постройку одного Пе-2 составляли 10 тысяч часов, на Пе-8 145 тысяч. Количество рабочих дней - 27 в месяц, по 10 часов в день. В среднем на одного работника приходилось 4 кв. метра жилья (12049).</w:t>
      </w:r>
    </w:p>
    <w:p w14:paraId="40ECE7D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5B86E1F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января 1944 года была закончена первая очередь строительства и монтажа и с пуском ее завод № 268 приказом НКАП от 4 января 1944 года № 5с был выделен в самостоятельную хозяйственную единицу, вступив в строй действующих предприятий НКАП.</w:t>
      </w:r>
    </w:p>
    <w:p w14:paraId="6097D02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1944 году выпускались лопасти, профили и прутки.</w:t>
      </w:r>
    </w:p>
    <w:p w14:paraId="3B18E83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июня 1945 года Комиссией НКАП 268 завод был принят, а 11 июля 1945 года приказом НКАП введен в эксплуатацию. С начала 1945 года завод начинает выпуск продукции проката.</w:t>
      </w:r>
    </w:p>
    <w:p w14:paraId="4592735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1946 году определился на ближайшее время производственный профиль завода, для комплексного металлургического предприятия, организованного в сочетании трех основных производств: прокатного, прессового, кузнечно-прессового (9599).</w:t>
      </w:r>
    </w:p>
    <w:p w14:paraId="1E5F516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C3C2BA" w14:textId="77777777" w:rsidR="00820285" w:rsidRPr="007224C3" w:rsidRDefault="0082028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 января 1944 года по март 1945 года были захвачены или уничтожены дополнительные 141 установка ("Катюша"). Согласно иностранным данным за время войны в Советским Союзе было изготовлено следующее количество установок ("Катюш"): 1941 года - 980 шт, 1942 год - 3227 штук, 1943 год - приблизительно 3340, 1944 года - приблизительно 2870, 1945 год - приблизительно 770 штук (15981). </w:t>
      </w:r>
    </w:p>
    <w:p w14:paraId="76122445" w14:textId="77777777" w:rsidR="00820285" w:rsidRPr="007224C3" w:rsidRDefault="00820285" w:rsidP="007224C3">
      <w:pPr>
        <w:spacing w:after="0" w:line="240" w:lineRule="auto"/>
        <w:jc w:val="both"/>
        <w:rPr>
          <w:rFonts w:ascii="Times New Roman" w:hAnsi="Times New Roman"/>
          <w:color w:val="000000" w:themeColor="text1"/>
          <w:sz w:val="16"/>
          <w:szCs w:val="16"/>
        </w:rPr>
      </w:pPr>
    </w:p>
    <w:p w14:paraId="31066EF1"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5EDAE16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E05FBB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января 1944 вышло Постановление ГКО № 4873 О вооружении танков Т-34 85 мм пушкой взамен 76 мм Ф-34. РГАНИР, Фонд ГКО, д. 184, лл. 282-283 (11012).</w:t>
      </w:r>
    </w:p>
    <w:p w14:paraId="169595E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03A3DE1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января 1944 г. орудие С-53 было принято на вооружение танка Т-34 как с нор</w:t>
      </w:r>
      <w:r w:rsidRPr="007224C3">
        <w:rPr>
          <w:rFonts w:ascii="Times New Roman" w:hAnsi="Times New Roman"/>
          <w:color w:val="000000" w:themeColor="text1"/>
          <w:sz w:val="16"/>
          <w:szCs w:val="16"/>
        </w:rPr>
        <w:softHyphen/>
        <w:t>мальным, так и расширенным погоном. Но серийное про</w:t>
      </w:r>
      <w:r w:rsidRPr="007224C3">
        <w:rPr>
          <w:rFonts w:ascii="Times New Roman" w:hAnsi="Times New Roman"/>
          <w:color w:val="000000" w:themeColor="text1"/>
          <w:sz w:val="16"/>
          <w:szCs w:val="16"/>
        </w:rPr>
        <w:softHyphen/>
        <w:t>изводство Т-34-85 должно было начаться только с 1 марта 1944 г., а до того времени выпуск танков указанного типа ограничивался производившимися на заводе № 112 ма</w:t>
      </w:r>
      <w:r w:rsidRPr="007224C3">
        <w:rPr>
          <w:rFonts w:ascii="Times New Roman" w:hAnsi="Times New Roman"/>
          <w:color w:val="000000" w:themeColor="text1"/>
          <w:sz w:val="16"/>
          <w:szCs w:val="16"/>
        </w:rPr>
        <w:softHyphen/>
        <w:t>шинами с 85-мм орудием Д-5Т. После войны некоторые издания живописали, что пер</w:t>
      </w:r>
      <w:r w:rsidRPr="007224C3">
        <w:rPr>
          <w:rFonts w:ascii="Times New Roman" w:hAnsi="Times New Roman"/>
          <w:color w:val="000000" w:themeColor="text1"/>
          <w:sz w:val="16"/>
          <w:szCs w:val="16"/>
        </w:rPr>
        <w:softHyphen/>
        <w:t>вые Т-34-85 были изготовлены и поступили на фронт уже осенью 1943 г. Это неверно, так как в указанный срок в СССР для них не было ни башен, ни орудий (11135).</w:t>
      </w:r>
    </w:p>
    <w:p w14:paraId="408CBE4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6D598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января 1944 г. пушка С-53 бы</w:t>
      </w:r>
      <w:r w:rsidRPr="007224C3">
        <w:rPr>
          <w:rFonts w:ascii="Times New Roman" w:hAnsi="Times New Roman"/>
          <w:color w:val="000000" w:themeColor="text1"/>
          <w:sz w:val="16"/>
          <w:szCs w:val="16"/>
        </w:rPr>
        <w:softHyphen/>
        <w:t>ла принята на вооружение. При постановке на производство эта пушка заводом № 92 была переработана и поэтому получила наименование ЗИС-С-53. Эта пушка постановлением ГКО от 23 января 1944 г. была принята на вооружение танка Т-34-85 обр. 1944 г., а затем и среднего танка Т-44 (10703).</w:t>
      </w:r>
    </w:p>
    <w:p w14:paraId="68115E4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5B6EF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января 1944 г. постановлением ГКО 85-мм танковая пушка С-53 (с учетом уст</w:t>
      </w:r>
      <w:r w:rsidRPr="007224C3">
        <w:rPr>
          <w:rFonts w:ascii="Times New Roman" w:hAnsi="Times New Roman"/>
          <w:color w:val="000000" w:themeColor="text1"/>
          <w:sz w:val="16"/>
          <w:szCs w:val="16"/>
        </w:rPr>
        <w:softHyphen/>
        <w:t>ранения недостатков, выявленных во время испытаний) была принята вооружение танков Т-34, диаметр опоры башни которых был как, так и 1600 мм (10703).</w:t>
      </w:r>
    </w:p>
    <w:p w14:paraId="37BDB08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2A3C5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января 1944 года Постановлением ГКО 85-мм танковая пушка С-53 была принята на вооружение (3861).</w:t>
      </w:r>
    </w:p>
    <w:p w14:paraId="0659441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95536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января 1944 г. завершилась эпопея и с 85-мм пушкой С-53 выходом постановления ГКО № 4873сс о принятии ее на вооружение. Пушка продемонстрировала свои преиму</w:t>
      </w:r>
      <w:r w:rsidRPr="007224C3">
        <w:rPr>
          <w:rFonts w:ascii="Times New Roman" w:hAnsi="Times New Roman"/>
          <w:color w:val="000000" w:themeColor="text1"/>
          <w:sz w:val="16"/>
          <w:szCs w:val="16"/>
        </w:rPr>
        <w:softHyphen/>
        <w:t>щества перед всеми конкурентами и 23 января на вооруже</w:t>
      </w:r>
      <w:r w:rsidRPr="007224C3">
        <w:rPr>
          <w:rFonts w:ascii="Times New Roman" w:hAnsi="Times New Roman"/>
          <w:color w:val="000000" w:themeColor="text1"/>
          <w:sz w:val="16"/>
          <w:szCs w:val="16"/>
        </w:rPr>
        <w:softHyphen/>
        <w:t>ние мотомехвойск РККА был принят танк Т-34-85, воору</w:t>
      </w:r>
      <w:r w:rsidRPr="007224C3">
        <w:rPr>
          <w:rFonts w:ascii="Times New Roman" w:hAnsi="Times New Roman"/>
          <w:color w:val="000000" w:themeColor="text1"/>
          <w:sz w:val="16"/>
          <w:szCs w:val="16"/>
        </w:rPr>
        <w:softHyphen/>
        <w:t>женный именно этим орудием. 15 января началось серийное производство орудий С-53 и тут случилось ЧП. В ходе испы</w:t>
      </w:r>
      <w:r w:rsidRPr="007224C3">
        <w:rPr>
          <w:rFonts w:ascii="Times New Roman" w:hAnsi="Times New Roman"/>
          <w:color w:val="000000" w:themeColor="text1"/>
          <w:sz w:val="16"/>
          <w:szCs w:val="16"/>
        </w:rPr>
        <w:softHyphen/>
        <w:t>таний на отказ на 470-м выстреле у орудия заклинило тормоз отката. ЦАКБ «умыло руки», так как серийное орудие в ме</w:t>
      </w:r>
      <w:r w:rsidRPr="007224C3">
        <w:rPr>
          <w:rFonts w:ascii="Times New Roman" w:hAnsi="Times New Roman"/>
          <w:color w:val="000000" w:themeColor="text1"/>
          <w:sz w:val="16"/>
          <w:szCs w:val="16"/>
        </w:rPr>
        <w:softHyphen/>
        <w:t>лочах сильно отличалось от разработанного здесь. Поэтому исправлять указанный дефект пришлось заводскому КБ.</w:t>
      </w:r>
    </w:p>
    <w:p w14:paraId="60ADD10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Именения, внесенные ОКБ-92 в противооткатный меха</w:t>
      </w:r>
      <w:r w:rsidRPr="007224C3">
        <w:rPr>
          <w:rFonts w:ascii="Times New Roman" w:hAnsi="Times New Roman"/>
          <w:color w:val="000000" w:themeColor="text1"/>
          <w:sz w:val="16"/>
          <w:szCs w:val="16"/>
        </w:rPr>
        <w:softHyphen/>
        <w:t>низм С-53, оказались действенными и 30 января указанная пушка прошла отстрел как в штатной, так и в увеличенной башне Т-34, после чего ее производству была дана «зеленая улица». Новые орудия были очень дешевы и просты в массо</w:t>
      </w:r>
      <w:r w:rsidRPr="007224C3">
        <w:rPr>
          <w:rFonts w:ascii="Times New Roman" w:hAnsi="Times New Roman"/>
          <w:color w:val="000000" w:themeColor="text1"/>
          <w:sz w:val="16"/>
          <w:szCs w:val="16"/>
        </w:rPr>
        <w:softHyphen/>
        <w:t>вом производстве, тем более что серийное орудие имело цельнолитую люльку и муфтовое соединение ствола с казен</w:t>
      </w:r>
      <w:r w:rsidRPr="007224C3">
        <w:rPr>
          <w:rFonts w:ascii="Times New Roman" w:hAnsi="Times New Roman"/>
          <w:color w:val="000000" w:themeColor="text1"/>
          <w:sz w:val="16"/>
          <w:szCs w:val="16"/>
        </w:rPr>
        <w:softHyphen/>
        <w:t>ником. Вполне понятно, что вскоре масштабы их производ</w:t>
      </w:r>
      <w:r w:rsidRPr="007224C3">
        <w:rPr>
          <w:rFonts w:ascii="Times New Roman" w:hAnsi="Times New Roman"/>
          <w:color w:val="000000" w:themeColor="text1"/>
          <w:sz w:val="16"/>
          <w:szCs w:val="16"/>
        </w:rPr>
        <w:softHyphen/>
        <w:t>ства превысили Д-5, которые целиком съедала программа из</w:t>
      </w:r>
      <w:r w:rsidRPr="007224C3">
        <w:rPr>
          <w:rFonts w:ascii="Times New Roman" w:hAnsi="Times New Roman"/>
          <w:color w:val="000000" w:themeColor="text1"/>
          <w:sz w:val="16"/>
          <w:szCs w:val="16"/>
        </w:rPr>
        <w:softHyphen/>
        <w:t>готовления самоходно-артиллерийских установок СУ-85 (11135).</w:t>
      </w:r>
    </w:p>
    <w:p w14:paraId="0739E29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2B6643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января 1944 постановлением ГКО 85-мм танковая пушка была принята на вооружение КА (4390).</w:t>
      </w:r>
    </w:p>
    <w:p w14:paraId="3A2F760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CF175F" w14:textId="77777777" w:rsidR="00DF6978" w:rsidRPr="007224C3" w:rsidRDefault="00DF697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января 1944 года постановлением ГКО № 4873сс танковую пушку С-53 (ведущие конструкторы ЦАКБ НКВ Т. Сергеев и Г. Шабаров) приняли на вооружение для танков Т-34 со штатным и расширенным погонами (12217).</w:t>
      </w:r>
    </w:p>
    <w:p w14:paraId="28C07FE3" w14:textId="77777777" w:rsidR="00DF6978" w:rsidRPr="007224C3" w:rsidRDefault="00DF6978" w:rsidP="007224C3">
      <w:pPr>
        <w:spacing w:after="0" w:line="240" w:lineRule="auto"/>
        <w:jc w:val="both"/>
        <w:rPr>
          <w:rFonts w:ascii="Times New Roman" w:hAnsi="Times New Roman"/>
          <w:color w:val="000000" w:themeColor="text1"/>
          <w:sz w:val="16"/>
          <w:szCs w:val="16"/>
        </w:rPr>
      </w:pPr>
    </w:p>
    <w:p w14:paraId="7BF70246" w14:textId="77777777" w:rsidR="00DF6978" w:rsidRPr="007224C3" w:rsidRDefault="00DF6978" w:rsidP="007224C3">
      <w:pPr>
        <w:pStyle w:val="a3"/>
        <w:rPr>
          <w:color w:val="000000" w:themeColor="text1"/>
          <w:lang w:val="ru-RU"/>
        </w:rPr>
      </w:pPr>
      <w:r w:rsidRPr="007224C3">
        <w:rPr>
          <w:color w:val="000000" w:themeColor="text1"/>
          <w:lang w:val="ru-RU"/>
        </w:rPr>
        <w:t xml:space="preserve">1 января 1944 танк с пушкой С-53 был принят на вооружение. Его производство должно было начаться с 1 марта. У С-53 испытания тоже выявили ряд недостатков, но их удалось устранить на её новой модификации. Новая пушка была в срочном порядке установлена в танк на заводе № 112, затем испытана с 30 января по 2 февраля 1944 года на Гороховецком артиллерийском полигоне и принята на вооружение. Кроме того, испытания выявили допустимость установки 85-мм пушки в танк с обычным погоном только как временной меры. Ещё одни сравнительные испытания танков с расширенной и обычной башнями, вооруженных 85-мм пушкой, были проведены в начале февраля и показали, что танк со старой башней значительно уступает по скорострельности орудия. Переход к производству танков с увеличенной </w:t>
      </w:r>
      <w:r w:rsidRPr="007224C3">
        <w:rPr>
          <w:color w:val="000000" w:themeColor="text1"/>
          <w:lang w:val="ru-RU"/>
        </w:rPr>
        <w:lastRenderedPageBreak/>
        <w:t>башней был необходим и неизбежен (12290).</w:t>
      </w:r>
    </w:p>
    <w:p w14:paraId="4E1F3D53" w14:textId="77777777" w:rsidR="00DF6978" w:rsidRPr="007224C3" w:rsidRDefault="00DF6978" w:rsidP="007224C3">
      <w:pPr>
        <w:spacing w:after="0" w:line="240" w:lineRule="auto"/>
        <w:jc w:val="both"/>
        <w:rPr>
          <w:rFonts w:ascii="Times New Roman" w:hAnsi="Times New Roman"/>
          <w:color w:val="000000" w:themeColor="text1"/>
          <w:sz w:val="16"/>
          <w:szCs w:val="16"/>
        </w:rPr>
      </w:pPr>
    </w:p>
    <w:p w14:paraId="7F536696" w14:textId="77777777" w:rsidR="007A65F2" w:rsidRPr="007224C3" w:rsidRDefault="007A65F2" w:rsidP="007224C3">
      <w:pPr>
        <w:shd w:val="clear" w:color="auto" w:fill="FFFFFF"/>
        <w:spacing w:after="0" w:line="240" w:lineRule="auto"/>
        <w:jc w:val="both"/>
        <w:rPr>
          <w:rFonts w:ascii="Times New Roman" w:eastAsia="Times New Roman" w:hAnsi="Times New Roman"/>
          <w:color w:val="0070C0"/>
          <w:sz w:val="16"/>
          <w:szCs w:val="16"/>
          <w:lang w:eastAsia="ru-RU"/>
        </w:rPr>
      </w:pPr>
      <w:r w:rsidRPr="007224C3">
        <w:rPr>
          <w:rFonts w:ascii="Times New Roman" w:eastAsia="Times New Roman" w:hAnsi="Times New Roman"/>
          <w:color w:val="0070C0"/>
          <w:sz w:val="16"/>
          <w:szCs w:val="16"/>
          <w:lang w:eastAsia="ru-RU"/>
        </w:rPr>
        <w:t>1 января 1944 года 85-мм систему С-53 приняли на вооружение Красной Армии. Разработали ее, под общим руководством В.Г. Грабина, начальник 17-го отдела ЦАКБ П.Ф. Муравьев и начальник 3-го отдела ЦАКБ Е.В. Синильщиков. Это те же люди, которые создали С-31. Во главу угла поставили уже не взаимозаменяемость с 76-мм орудием ЗИС-5, а компактность системы и обеспечение максимального внутреннего объема внутри боевого отделения. То самое, чего так не хватало С-31. Поначалу испытания С-53, изначально установленной в башню Т-34 с диаметром погона 1420 мм, шли не очень хорошо. Но далее выяснилось, что С-53 имеет перспективы, а завод №9, производитель 85-мм систем Д-5Т, стал готовиться к массовому выпуску 122-мм орудий Д-25Т. И если 85-мм самоходные орудия Д-5С-85 сохранялись в гамме завода №9 (да и то, вскоре их выпуск освоили на заводе №8), то для вооружения Т-34-85 пушка ЦАКБ, организацию выпуска которой брал на себя завод №92, орудие С-53 оказывалось оптимальным (21485).</w:t>
      </w:r>
    </w:p>
    <w:p w14:paraId="3D937690" w14:textId="77777777" w:rsidR="007A65F2" w:rsidRPr="007224C3" w:rsidRDefault="007A65F2" w:rsidP="007224C3">
      <w:pPr>
        <w:shd w:val="clear" w:color="auto" w:fill="FFFFFF"/>
        <w:spacing w:after="0" w:line="240" w:lineRule="auto"/>
        <w:jc w:val="both"/>
        <w:rPr>
          <w:rFonts w:ascii="Times New Roman" w:eastAsia="Times New Roman" w:hAnsi="Times New Roman"/>
          <w:color w:val="0070C0"/>
          <w:sz w:val="16"/>
          <w:szCs w:val="16"/>
          <w:lang w:eastAsia="ru-RU"/>
        </w:rPr>
      </w:pPr>
      <w:r w:rsidRPr="007224C3">
        <w:rPr>
          <w:rFonts w:ascii="Times New Roman" w:eastAsia="Times New Roman" w:hAnsi="Times New Roman"/>
          <w:color w:val="0070C0"/>
          <w:sz w:val="16"/>
          <w:szCs w:val="16"/>
          <w:lang w:eastAsia="ru-RU"/>
        </w:rPr>
        <w:t>В конце января 1944 года появились идеи о перевооружении на С-53 ремонтных КВ-1. Идея исходила от ЦАКБ, и выглядела она вполне разумно. Более компактная система, в отличие от С-31, вполне вписывалась в штатные башни, требовалось только поменять орудийную установку, которая всё равно крепилась на болтах. Но в феврале 1944 года было не до того, да и у С-53 обнаружились дефекты.</w:t>
      </w:r>
    </w:p>
    <w:p w14:paraId="5D3845B5" w14:textId="77777777" w:rsidR="007A65F2" w:rsidRPr="007224C3" w:rsidRDefault="007A65F2" w:rsidP="007224C3">
      <w:pPr>
        <w:shd w:val="clear" w:color="auto" w:fill="FFFFFF"/>
        <w:spacing w:after="0" w:line="240" w:lineRule="auto"/>
        <w:jc w:val="both"/>
        <w:rPr>
          <w:rFonts w:ascii="Times New Roman" w:eastAsia="Times New Roman" w:hAnsi="Times New Roman"/>
          <w:color w:val="0070C0"/>
          <w:sz w:val="16"/>
          <w:szCs w:val="16"/>
          <w:lang w:eastAsia="ru-RU"/>
        </w:rPr>
      </w:pPr>
      <w:r w:rsidRPr="007224C3">
        <w:rPr>
          <w:rFonts w:ascii="Times New Roman" w:eastAsia="Times New Roman" w:hAnsi="Times New Roman"/>
          <w:color w:val="0070C0"/>
          <w:sz w:val="16"/>
          <w:szCs w:val="16"/>
          <w:lang w:eastAsia="ru-RU"/>
        </w:rPr>
        <w:t>В практическую фазу идея с перевооружением КВ-1с на орудие С-53 перешла только летом 1944 года. Главным тормозящим фактором были работы по модернизации орудия. Только в июне 1944 года, когда запустили в серию ЗИС-С-53, дали отмашку на изготовление С-28. Представляла она собой уже не С-53, а улучшенную версию орудия, то есть ЗИС-С-53. При изготовлении орудийной установки С-28 во главу угла поставили адаптацию ЗИС-С-53, с минимальными изменениями. В этом было существенное отличие от С-31, которую постарались вписать в штатную бронировку ЗИС-5. Почти весь съемный узел, который крепился на болтах к башни КВ-1с, оказался новым. С другой стороны, он спокойно ставился в штатную амбразуру башни танка. С точки зрения Главного Управления Ремонта Танков КА, это выглядело более важным. Боевая масса машины составила 43 тонны, то есть лишь чуть больше обычного КВ-1с. (21485).</w:t>
      </w:r>
    </w:p>
    <w:p w14:paraId="52D710F6" w14:textId="77777777" w:rsidR="007A65F2" w:rsidRPr="007224C3" w:rsidRDefault="007A65F2" w:rsidP="007224C3">
      <w:pPr>
        <w:shd w:val="clear" w:color="auto" w:fill="FFFFFF"/>
        <w:spacing w:after="0" w:line="240" w:lineRule="auto"/>
        <w:jc w:val="both"/>
        <w:rPr>
          <w:rFonts w:ascii="Times New Roman" w:eastAsia="Times New Roman" w:hAnsi="Times New Roman"/>
          <w:color w:val="0070C0"/>
          <w:sz w:val="16"/>
          <w:szCs w:val="16"/>
          <w:lang w:eastAsia="ru-RU"/>
        </w:rPr>
      </w:pPr>
    </w:p>
    <w:p w14:paraId="1F8089C6" w14:textId="77777777" w:rsidR="009812BB" w:rsidRPr="007224C3" w:rsidRDefault="009812BB" w:rsidP="007224C3">
      <w:pPr>
        <w:pStyle w:val="ae"/>
        <w:shd w:val="clear" w:color="auto" w:fill="FFFFFF"/>
        <w:spacing w:before="0" w:after="0"/>
        <w:jc w:val="both"/>
        <w:rPr>
          <w:color w:val="000000" w:themeColor="text1"/>
          <w:sz w:val="16"/>
          <w:szCs w:val="16"/>
        </w:rPr>
      </w:pPr>
      <w:r w:rsidRPr="007224C3">
        <w:rPr>
          <w:color w:val="000000" w:themeColor="text1"/>
          <w:sz w:val="16"/>
          <w:szCs w:val="16"/>
        </w:rPr>
        <w:t>К 1 января 1944 года были изготовлены первые два ствола Д-25 с клиновым затвором. 4 января они отправились на заводские испытания. Результаты испытаний оказались неоднозначными. У первого орудия вышел из строя дульный тормоз: судя по всему, именно это и стало причиной появления 7-го варианта этого устройства. На второй системе после 401 выстрела была обнаружена трещина в казённике.</w:t>
      </w:r>
    </w:p>
    <w:p w14:paraId="213224A2" w14:textId="77777777" w:rsidR="009812BB" w:rsidRPr="007224C3" w:rsidRDefault="009812BB" w:rsidP="007224C3">
      <w:pPr>
        <w:pStyle w:val="ae"/>
        <w:shd w:val="clear" w:color="auto" w:fill="FFFFFF"/>
        <w:spacing w:before="0" w:after="0"/>
        <w:jc w:val="both"/>
        <w:rPr>
          <w:color w:val="000000" w:themeColor="text1"/>
          <w:sz w:val="16"/>
          <w:szCs w:val="16"/>
        </w:rPr>
      </w:pPr>
      <w:r w:rsidRPr="007224C3">
        <w:rPr>
          <w:color w:val="000000" w:themeColor="text1"/>
          <w:sz w:val="16"/>
          <w:szCs w:val="16"/>
        </w:rPr>
        <w:t>Система с новым дульным тормозом, испытанная 115 выстрелами с усиленным зарядом, 24 января отправилась на завод №100. Заводские испытания продолжились, система их выдержала, а новый тип дульного тормоза был признан более удачным. Уже в начале февраля завод №9 начал производство Д-25 с дульным тормозом нового типа и клиновым затвором.</w:t>
      </w:r>
    </w:p>
    <w:p w14:paraId="1BB41B11" w14:textId="77777777" w:rsidR="009812BB" w:rsidRPr="007224C3" w:rsidRDefault="009812BB" w:rsidP="007224C3">
      <w:pPr>
        <w:pStyle w:val="ae"/>
        <w:shd w:val="clear" w:color="auto" w:fill="FFFFFF"/>
        <w:spacing w:before="0" w:after="0"/>
        <w:jc w:val="both"/>
        <w:rPr>
          <w:color w:val="000000" w:themeColor="text1"/>
          <w:sz w:val="16"/>
          <w:szCs w:val="16"/>
        </w:rPr>
      </w:pPr>
      <w:r w:rsidRPr="007224C3">
        <w:rPr>
          <w:color w:val="000000" w:themeColor="text1"/>
          <w:sz w:val="16"/>
          <w:szCs w:val="16"/>
        </w:rPr>
        <w:t>По вине завода №9 произошла задержка с отправкой опытной системы, и её установка в ИС-2 затянулась. При монтаже системы с клиновым затвором на заводе №100 была увеличена высота амбразуры башни с 590 до 610 мм. Это позволило установить пушку без съёма ограждения. Для уравновешенности системы пришлось установить дополнительный груз массой 80 кг (17721).</w:t>
      </w:r>
    </w:p>
    <w:p w14:paraId="677F2833" w14:textId="77777777" w:rsidR="009812BB" w:rsidRPr="007224C3" w:rsidRDefault="009812BB" w:rsidP="007224C3">
      <w:pPr>
        <w:pStyle w:val="123"/>
        <w:shd w:val="clear" w:color="auto" w:fill="auto"/>
        <w:spacing w:after="0" w:line="240" w:lineRule="auto"/>
        <w:jc w:val="both"/>
        <w:rPr>
          <w:color w:val="000000" w:themeColor="text1"/>
          <w:sz w:val="16"/>
          <w:szCs w:val="16"/>
        </w:rPr>
      </w:pPr>
    </w:p>
    <w:p w14:paraId="4F7C9AC5" w14:textId="77777777" w:rsidR="007A65F2" w:rsidRPr="007224C3" w:rsidRDefault="007A65F2" w:rsidP="007224C3">
      <w:pPr>
        <w:shd w:val="clear" w:color="auto" w:fill="FFFFFF"/>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К 1 января 1944 года были изготовлены первые два ствола Д-25 с клиновым затвором. Также разработали новый дульный тормоз, похожий на тот, что еще осенью 1942 года Петров предполагал ставить на будущую Д-2 (всего же за всё время было создано 8 типов дульного тормоза для Д-25). С февраля 1944 года орудие с клиновым затвором и новым дульным тормозом стали ставить на </w:t>
      </w:r>
      <w:hyperlink r:id="rId9" w:tgtFrame="_self" w:history="1">
        <w:r w:rsidRPr="007224C3">
          <w:rPr>
            <w:rStyle w:val="a5"/>
            <w:rFonts w:ascii="Times New Roman" w:hAnsi="Times New Roman"/>
            <w:color w:val="0070C0"/>
            <w:sz w:val="16"/>
            <w:szCs w:val="16"/>
          </w:rPr>
          <w:t>ИС-2</w:t>
        </w:r>
      </w:hyperlink>
      <w:r w:rsidRPr="007224C3">
        <w:rPr>
          <w:rFonts w:ascii="Times New Roman" w:hAnsi="Times New Roman"/>
          <w:color w:val="0070C0"/>
          <w:sz w:val="16"/>
          <w:szCs w:val="16"/>
        </w:rPr>
        <w:t>. Что же касается орудий с поршневым затвором, то их выпустили всего 106 штук, это можно легко посчитать по числу полученных с завода №172 казенных частей. Их на заводе №9 не выпускали. А вот орудие с клиновым затвором уже полностью производилось в Свердловске (19840).</w:t>
      </w:r>
    </w:p>
    <w:p w14:paraId="7A4A5E37" w14:textId="77777777" w:rsidR="007A65F2" w:rsidRPr="007224C3" w:rsidRDefault="007A65F2" w:rsidP="007224C3">
      <w:pPr>
        <w:spacing w:after="0" w:line="240" w:lineRule="auto"/>
        <w:jc w:val="both"/>
        <w:rPr>
          <w:rFonts w:ascii="Times New Roman" w:eastAsia="Times New Roman" w:hAnsi="Times New Roman"/>
          <w:color w:val="0070C0"/>
          <w:sz w:val="16"/>
          <w:szCs w:val="16"/>
          <w:shd w:val="clear" w:color="auto" w:fill="DCDCDC"/>
          <w:lang w:eastAsia="ru-RU"/>
        </w:rPr>
      </w:pPr>
    </w:p>
    <w:p w14:paraId="1436223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пе</w:t>
      </w:r>
      <w:r w:rsidRPr="007224C3">
        <w:rPr>
          <w:rFonts w:ascii="Times New Roman" w:hAnsi="Times New Roman"/>
          <w:color w:val="000000" w:themeColor="text1"/>
          <w:sz w:val="16"/>
          <w:szCs w:val="16"/>
        </w:rPr>
        <w:softHyphen/>
        <w:t>риод с 1 января 1944 г. по 1 января 1945 г. были введены: двигатель В-2 со всережимным регулятором числа оборотов; воздухоочиститель типа "Мультициклон"; установка двух вентиляторов в банше; крепление пя</w:t>
      </w:r>
      <w:r w:rsidRPr="007224C3">
        <w:rPr>
          <w:rFonts w:ascii="Times New Roman" w:hAnsi="Times New Roman"/>
          <w:color w:val="000000" w:themeColor="text1"/>
          <w:sz w:val="16"/>
          <w:szCs w:val="16"/>
        </w:rPr>
        <w:softHyphen/>
        <w:t>ти запасных траков на переднем лобовом листе корпуса; прицел ТШ-15; электрорспуск пушки и пулемета; щитки отверстий прицелов ТШ-15 и пулемета ДТ и радиостанция 9РС. Кроме того, была улучшена конст</w:t>
      </w:r>
      <w:r w:rsidRPr="007224C3">
        <w:rPr>
          <w:rFonts w:ascii="Times New Roman" w:hAnsi="Times New Roman"/>
          <w:color w:val="000000" w:themeColor="text1"/>
          <w:sz w:val="16"/>
          <w:szCs w:val="16"/>
        </w:rPr>
        <w:softHyphen/>
        <w:t>рукция механизма поворота башни и введена установка дымовых ша</w:t>
      </w:r>
      <w:r w:rsidRPr="007224C3">
        <w:rPr>
          <w:rFonts w:ascii="Times New Roman" w:hAnsi="Times New Roman"/>
          <w:color w:val="000000" w:themeColor="text1"/>
          <w:sz w:val="16"/>
          <w:szCs w:val="16"/>
        </w:rPr>
        <w:softHyphen/>
        <w:t>шек (МДШ) на корме машины. В январе 1945 г. двухстворчатая крыш</w:t>
      </w:r>
      <w:r w:rsidRPr="007224C3">
        <w:rPr>
          <w:rFonts w:ascii="Times New Roman" w:hAnsi="Times New Roman"/>
          <w:color w:val="000000" w:themeColor="text1"/>
          <w:sz w:val="16"/>
          <w:szCs w:val="16"/>
        </w:rPr>
        <w:softHyphen/>
        <w:t>ка люка командирской башенки была заменена на одностворчатую (10703).</w:t>
      </w:r>
    </w:p>
    <w:p w14:paraId="7BCC65B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66D201" w14:textId="77777777" w:rsidR="009812BB" w:rsidRPr="007224C3" w:rsidRDefault="009812BB"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К 1 января 1944 года, согласно отчёту помощника командующего БТ и МВ Дальневосточного Фронта инженер-полковника Рогачёва,  было перевооружено 97 Т-37 и Т-38. За январь 1944 года удалось перевооружить ещё 2 Т-37 и 11 Т-38, за февраль было отгружено 10 Т-38 с новым вооружением. На этом отчёты БТРЗ №105 снова пропадают из переписки. Опираясь на эти цифры, можно говорить как минимум о 120 танках, хотя итоговое их количество может быть гораздо большим.</w:t>
      </w:r>
    </w:p>
    <w:p w14:paraId="629356F0" w14:textId="77777777" w:rsidR="009812BB" w:rsidRPr="007224C3" w:rsidRDefault="009812BB"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 xml:space="preserve">Опасения насчёт того, что при перевооружении Т-37 и Т-38 на ТНШ придётся переделывать систему питания пушки боеприпасами, оказались напрасными. Судя по танку, который сохранился в экспозиции ЦМВС, проблем с этим не возникло. Не было и особых проблем и с установкой вооружения, поскольку по ширине лобовой детали башни Т-38 и Т-37 практически совпадали с башней </w:t>
      </w:r>
      <w:hyperlink r:id="rId10" w:history="1">
        <w:r w:rsidRPr="007224C3">
          <w:rPr>
            <w:rFonts w:ascii="Times New Roman" w:eastAsia="Times New Roman" w:hAnsi="Times New Roman"/>
            <w:color w:val="000000" w:themeColor="text1"/>
            <w:sz w:val="16"/>
            <w:szCs w:val="16"/>
            <w:lang w:eastAsia="ru-RU"/>
          </w:rPr>
          <w:t>танка Т-60</w:t>
        </w:r>
      </w:hyperlink>
      <w:r w:rsidRPr="007224C3">
        <w:rPr>
          <w:rFonts w:ascii="Times New Roman" w:eastAsia="Times New Roman" w:hAnsi="Times New Roman"/>
          <w:color w:val="000000" w:themeColor="text1"/>
          <w:sz w:val="16"/>
          <w:szCs w:val="16"/>
          <w:lang w:eastAsia="ru-RU"/>
        </w:rPr>
        <w:t>. Орудийная маска во многом напоминала ту, что ставилась на Т-60. Это же было справедливо и в отношении расположения самой пушки ТНШ, пулемёта ДТ, а также прицела ТМФП-1. Что же касается бронировки маски, то она напоминала ту, которая использовалась на Т-30.</w:t>
      </w:r>
    </w:p>
    <w:p w14:paraId="497B28A7" w14:textId="77777777" w:rsidR="009812BB" w:rsidRPr="007224C3" w:rsidRDefault="009812BB"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Меньшие, чем у Т-60, размеры башни частично компенсировались тем, что на плавающих танках отсутствовали громоздкие механизмы наведения. Наведение по вертикали осуществлялось при помощи плечевого упора. Удалось обойтись и без механизма горизонтальной наводки: как и на обычном Т-38, башня перевооружённого танка вращалась командиром (он же наводчик и заряжающий) вручную безо всяких маховиков. Боезапас к пулемёту ДТ был сокращён до 1260 патронов (20 дисков). Для ТНШ боезапас оказался равен 4 коробкам (240 снарядов), размещались они в ящике позади башни (17660).</w:t>
      </w:r>
    </w:p>
    <w:p w14:paraId="14D364FD" w14:textId="77777777" w:rsidR="009812BB" w:rsidRPr="007224C3" w:rsidRDefault="009812BB" w:rsidP="007224C3">
      <w:pPr>
        <w:spacing w:after="0" w:line="240" w:lineRule="auto"/>
        <w:jc w:val="both"/>
        <w:rPr>
          <w:rFonts w:ascii="Times New Roman" w:eastAsia="Times New Roman" w:hAnsi="Times New Roman"/>
          <w:color w:val="000000" w:themeColor="text1"/>
          <w:sz w:val="16"/>
          <w:szCs w:val="16"/>
          <w:lang w:eastAsia="ru-RU"/>
        </w:rPr>
      </w:pPr>
    </w:p>
    <w:p w14:paraId="0CD5FAF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ПОСТУПЛЕНИЕ ИМПОРТНЫХ ТАНКОВ ЗА ПЕРИОД С 1 ИЮЛЯ 1941 г. ПО 1 ЯНВАРЯ 1944 г.</w:t>
      </w:r>
    </w:p>
    <w:tbl>
      <w:tblPr>
        <w:tblW w:w="0" w:type="auto"/>
        <w:tblInd w:w="40" w:type="dxa"/>
        <w:tblLayout w:type="fixed"/>
        <w:tblCellMar>
          <w:left w:w="40" w:type="dxa"/>
          <w:right w:w="40" w:type="dxa"/>
        </w:tblCellMar>
        <w:tblLook w:val="0000" w:firstRow="0" w:lastRow="0" w:firstColumn="0" w:lastColumn="0" w:noHBand="0" w:noVBand="0"/>
      </w:tblPr>
      <w:tblGrid>
        <w:gridCol w:w="1718"/>
        <w:gridCol w:w="1709"/>
        <w:gridCol w:w="1709"/>
        <w:gridCol w:w="1709"/>
        <w:gridCol w:w="1738"/>
      </w:tblGrid>
      <w:tr w:rsidR="006331D6" w:rsidRPr="007224C3" w14:paraId="0EEE486D" w14:textId="77777777">
        <w:trPr>
          <w:trHeight w:val="278"/>
        </w:trPr>
        <w:tc>
          <w:tcPr>
            <w:tcW w:w="1718" w:type="dxa"/>
            <w:tcBorders>
              <w:top w:val="single" w:sz="6" w:space="0" w:color="auto"/>
              <w:left w:val="single" w:sz="6" w:space="0" w:color="auto"/>
              <w:bottom w:val="single" w:sz="6" w:space="0" w:color="auto"/>
              <w:right w:val="single" w:sz="6" w:space="0" w:color="auto"/>
            </w:tcBorders>
          </w:tcPr>
          <w:p w14:paraId="080A241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Наименование</w:t>
            </w:r>
          </w:p>
          <w:p w14:paraId="08171C9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79B1647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1.7.41 г. по 1.1.42 г.</w:t>
            </w:r>
          </w:p>
          <w:p w14:paraId="2568E4C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441C95C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1942 г.</w:t>
            </w:r>
          </w:p>
          <w:p w14:paraId="17A9FE8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6F97679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1943 г.</w:t>
            </w:r>
          </w:p>
          <w:p w14:paraId="1E6D520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62F00E3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w:t>
            </w:r>
          </w:p>
          <w:p w14:paraId="2E5F092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4611FFC3" w14:textId="77777777">
        <w:trPr>
          <w:trHeight w:val="278"/>
        </w:trPr>
        <w:tc>
          <w:tcPr>
            <w:tcW w:w="1718" w:type="dxa"/>
            <w:tcBorders>
              <w:top w:val="single" w:sz="6" w:space="0" w:color="auto"/>
              <w:left w:val="single" w:sz="6" w:space="0" w:color="auto"/>
              <w:bottom w:val="single" w:sz="6" w:space="0" w:color="auto"/>
              <w:right w:val="single" w:sz="6" w:space="0" w:color="auto"/>
            </w:tcBorders>
          </w:tcPr>
          <w:p w14:paraId="665D46B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Тяжелых танков</w:t>
            </w:r>
          </w:p>
          <w:p w14:paraId="236F323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7BE5A63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3425939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209B25E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84</w:t>
            </w:r>
          </w:p>
          <w:p w14:paraId="7B0ABF6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665E99A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169</w:t>
            </w:r>
          </w:p>
          <w:p w14:paraId="5638980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542CCC2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253</w:t>
            </w:r>
          </w:p>
          <w:p w14:paraId="55A2152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51BB9F02" w14:textId="77777777">
        <w:trPr>
          <w:trHeight w:val="269"/>
        </w:trPr>
        <w:tc>
          <w:tcPr>
            <w:tcW w:w="1718" w:type="dxa"/>
            <w:tcBorders>
              <w:top w:val="single" w:sz="6" w:space="0" w:color="auto"/>
              <w:left w:val="single" w:sz="6" w:space="0" w:color="auto"/>
              <w:bottom w:val="single" w:sz="6" w:space="0" w:color="auto"/>
              <w:right w:val="single" w:sz="6" w:space="0" w:color="auto"/>
            </w:tcBorders>
          </w:tcPr>
          <w:p w14:paraId="3B8DB51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Средних танков</w:t>
            </w:r>
          </w:p>
          <w:p w14:paraId="4668A6E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37D8595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145</w:t>
            </w:r>
          </w:p>
          <w:p w14:paraId="01E9366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6AD7E8C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1474</w:t>
            </w:r>
          </w:p>
          <w:p w14:paraId="780AD7D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53073C1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749</w:t>
            </w:r>
          </w:p>
          <w:p w14:paraId="5798B78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18C5EEA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2368</w:t>
            </w:r>
          </w:p>
          <w:p w14:paraId="7C61DF2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65962538" w14:textId="77777777">
        <w:trPr>
          <w:trHeight w:val="278"/>
        </w:trPr>
        <w:tc>
          <w:tcPr>
            <w:tcW w:w="1718" w:type="dxa"/>
            <w:tcBorders>
              <w:top w:val="single" w:sz="6" w:space="0" w:color="auto"/>
              <w:left w:val="single" w:sz="6" w:space="0" w:color="auto"/>
              <w:bottom w:val="single" w:sz="6" w:space="0" w:color="auto"/>
              <w:right w:val="single" w:sz="6" w:space="0" w:color="auto"/>
            </w:tcBorders>
          </w:tcPr>
          <w:p w14:paraId="25CFEBA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Легких танков</w:t>
            </w:r>
          </w:p>
          <w:p w14:paraId="3490ADB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2D6591A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216</w:t>
            </w:r>
          </w:p>
          <w:p w14:paraId="2C91D91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7242E36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1956</w:t>
            </w:r>
          </w:p>
          <w:p w14:paraId="0B1AFDA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2580ABE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2036</w:t>
            </w:r>
          </w:p>
          <w:p w14:paraId="544EBEE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6BFDF6B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4208</w:t>
            </w:r>
          </w:p>
          <w:p w14:paraId="08EF763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21A57D6E" w14:textId="77777777">
        <w:trPr>
          <w:trHeight w:val="298"/>
        </w:trPr>
        <w:tc>
          <w:tcPr>
            <w:tcW w:w="1718" w:type="dxa"/>
            <w:tcBorders>
              <w:top w:val="single" w:sz="6" w:space="0" w:color="auto"/>
              <w:left w:val="single" w:sz="6" w:space="0" w:color="auto"/>
              <w:bottom w:val="single" w:sz="6" w:space="0" w:color="auto"/>
              <w:right w:val="single" w:sz="6" w:space="0" w:color="auto"/>
            </w:tcBorders>
          </w:tcPr>
          <w:p w14:paraId="4C1EB30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Итого:</w:t>
            </w:r>
          </w:p>
          <w:p w14:paraId="50C6092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5859E43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361</w:t>
            </w:r>
          </w:p>
          <w:p w14:paraId="0B9459D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554824E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3514</w:t>
            </w:r>
          </w:p>
          <w:p w14:paraId="4BBBFBB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05B59BB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2954</w:t>
            </w:r>
          </w:p>
          <w:p w14:paraId="2323805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23FF60A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6829</w:t>
            </w:r>
          </w:p>
          <w:p w14:paraId="172C82E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64C9A55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5-го отдела танкового управления ГБТУ КА инженер-майор Билеткин</w:t>
      </w:r>
    </w:p>
    <w:p w14:paraId="26D83C1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38. Оп. 11355. Д. 656. Л. 2. Подлинник (11403).</w:t>
      </w:r>
    </w:p>
    <w:p w14:paraId="5087120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CA98A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ПОСТУПЛЕНИЕ ИМПОРТНОГО ВООРУЖЕНИЯ ЗА ПЕРИОД С 1 ИЮЛЯ 1941 г. ПО 1 ЯНВАРЯ 1944 г.</w:t>
      </w:r>
    </w:p>
    <w:tbl>
      <w:tblPr>
        <w:tblW w:w="0" w:type="auto"/>
        <w:tblInd w:w="40" w:type="dxa"/>
        <w:tblLayout w:type="fixed"/>
        <w:tblCellMar>
          <w:left w:w="40" w:type="dxa"/>
          <w:right w:w="40" w:type="dxa"/>
        </w:tblCellMar>
        <w:tblLook w:val="0000" w:firstRow="0" w:lastRow="0" w:firstColumn="0" w:lastColumn="0" w:noHBand="0" w:noVBand="0"/>
      </w:tblPr>
      <w:tblGrid>
        <w:gridCol w:w="2928"/>
        <w:gridCol w:w="1440"/>
        <w:gridCol w:w="1709"/>
        <w:gridCol w:w="1546"/>
        <w:gridCol w:w="1536"/>
      </w:tblGrid>
      <w:tr w:rsidR="006331D6" w:rsidRPr="007224C3" w14:paraId="7807CDB3" w14:textId="77777777">
        <w:trPr>
          <w:trHeight w:val="278"/>
        </w:trPr>
        <w:tc>
          <w:tcPr>
            <w:tcW w:w="2928" w:type="dxa"/>
            <w:tcBorders>
              <w:top w:val="single" w:sz="6" w:space="0" w:color="auto"/>
              <w:left w:val="single" w:sz="6" w:space="0" w:color="auto"/>
              <w:bottom w:val="nil"/>
              <w:right w:val="single" w:sz="6" w:space="0" w:color="auto"/>
            </w:tcBorders>
          </w:tcPr>
          <w:p w14:paraId="3F4F859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Наименование</w:t>
            </w:r>
          </w:p>
          <w:p w14:paraId="68C5489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nil"/>
              <w:right w:val="single" w:sz="6" w:space="0" w:color="auto"/>
            </w:tcBorders>
          </w:tcPr>
          <w:p w14:paraId="737F05B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 поступило</w:t>
            </w:r>
          </w:p>
          <w:p w14:paraId="6B0C6D5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791" w:type="dxa"/>
            <w:gridSpan w:val="3"/>
            <w:tcBorders>
              <w:top w:val="single" w:sz="6" w:space="0" w:color="auto"/>
              <w:left w:val="single" w:sz="6" w:space="0" w:color="auto"/>
              <w:bottom w:val="single" w:sz="6" w:space="0" w:color="auto"/>
              <w:right w:val="single" w:sz="6" w:space="0" w:color="auto"/>
            </w:tcBorders>
          </w:tcPr>
          <w:p w14:paraId="56CC881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 них:</w:t>
            </w:r>
          </w:p>
          <w:p w14:paraId="7F8DA53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7A242EDD" w14:textId="77777777">
        <w:trPr>
          <w:trHeight w:val="259"/>
        </w:trPr>
        <w:tc>
          <w:tcPr>
            <w:tcW w:w="2928" w:type="dxa"/>
            <w:tcBorders>
              <w:top w:val="nil"/>
              <w:left w:val="single" w:sz="6" w:space="0" w:color="auto"/>
              <w:bottom w:val="single" w:sz="6" w:space="0" w:color="auto"/>
              <w:right w:val="single" w:sz="6" w:space="0" w:color="auto"/>
            </w:tcBorders>
          </w:tcPr>
          <w:p w14:paraId="5E6B382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5255E7D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single" w:sz="6" w:space="0" w:color="auto"/>
              <w:right w:val="single" w:sz="6" w:space="0" w:color="auto"/>
            </w:tcBorders>
          </w:tcPr>
          <w:p w14:paraId="44ABFB5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14D7444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2164212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1.7.41 г. по 1.1.42 г.</w:t>
            </w:r>
          </w:p>
          <w:p w14:paraId="1959A81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1F91838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1942 г.</w:t>
            </w:r>
          </w:p>
          <w:p w14:paraId="2C6F5C0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36" w:type="dxa"/>
            <w:tcBorders>
              <w:top w:val="single" w:sz="6" w:space="0" w:color="auto"/>
              <w:left w:val="single" w:sz="6" w:space="0" w:color="auto"/>
              <w:bottom w:val="single" w:sz="6" w:space="0" w:color="auto"/>
              <w:right w:val="single" w:sz="6" w:space="0" w:color="auto"/>
            </w:tcBorders>
          </w:tcPr>
          <w:p w14:paraId="472998A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1943 г.</w:t>
            </w:r>
          </w:p>
          <w:p w14:paraId="21D16BE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230A3017" w14:textId="77777777">
        <w:trPr>
          <w:trHeight w:val="269"/>
        </w:trPr>
        <w:tc>
          <w:tcPr>
            <w:tcW w:w="2928" w:type="dxa"/>
            <w:tcBorders>
              <w:top w:val="single" w:sz="6" w:space="0" w:color="auto"/>
              <w:left w:val="single" w:sz="6" w:space="0" w:color="auto"/>
              <w:bottom w:val="single" w:sz="6" w:space="0" w:color="auto"/>
              <w:right w:val="single" w:sz="6" w:space="0" w:color="auto"/>
            </w:tcBorders>
          </w:tcPr>
          <w:p w14:paraId="5926C0D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Самоходная установка «СУ-57»</w:t>
            </w:r>
          </w:p>
          <w:p w14:paraId="3EC1730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1E672C8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241</w:t>
            </w:r>
          </w:p>
          <w:p w14:paraId="77245EC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4955F94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0248D6C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3F63B2A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6EC8C8B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36" w:type="dxa"/>
            <w:tcBorders>
              <w:top w:val="single" w:sz="6" w:space="0" w:color="auto"/>
              <w:left w:val="single" w:sz="6" w:space="0" w:color="auto"/>
              <w:bottom w:val="single" w:sz="6" w:space="0" w:color="auto"/>
              <w:right w:val="single" w:sz="6" w:space="0" w:color="auto"/>
            </w:tcBorders>
          </w:tcPr>
          <w:p w14:paraId="27CA145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241</w:t>
            </w:r>
          </w:p>
          <w:p w14:paraId="0E7B161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1F0778D6" w14:textId="77777777">
        <w:trPr>
          <w:trHeight w:val="278"/>
        </w:trPr>
        <w:tc>
          <w:tcPr>
            <w:tcW w:w="2928" w:type="dxa"/>
            <w:tcBorders>
              <w:top w:val="single" w:sz="6" w:space="0" w:color="auto"/>
              <w:left w:val="single" w:sz="6" w:space="0" w:color="auto"/>
              <w:bottom w:val="single" w:sz="6" w:space="0" w:color="auto"/>
              <w:right w:val="single" w:sz="6" w:space="0" w:color="auto"/>
            </w:tcBorders>
          </w:tcPr>
          <w:p w14:paraId="58E3B8B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Бронетранспортер «Брен»</w:t>
            </w:r>
          </w:p>
          <w:p w14:paraId="333361C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553B332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1636</w:t>
            </w:r>
          </w:p>
          <w:p w14:paraId="5B268F4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71525E8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330</w:t>
            </w:r>
          </w:p>
          <w:p w14:paraId="0001E19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6338820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903</w:t>
            </w:r>
          </w:p>
          <w:p w14:paraId="09E0F90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36" w:type="dxa"/>
            <w:tcBorders>
              <w:top w:val="single" w:sz="6" w:space="0" w:color="auto"/>
              <w:left w:val="single" w:sz="6" w:space="0" w:color="auto"/>
              <w:bottom w:val="single" w:sz="6" w:space="0" w:color="auto"/>
              <w:right w:val="single" w:sz="6" w:space="0" w:color="auto"/>
            </w:tcBorders>
          </w:tcPr>
          <w:p w14:paraId="16BF130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403</w:t>
            </w:r>
          </w:p>
          <w:p w14:paraId="3B49F34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4F33F42C" w14:textId="77777777">
        <w:trPr>
          <w:trHeight w:val="278"/>
        </w:trPr>
        <w:tc>
          <w:tcPr>
            <w:tcW w:w="2928" w:type="dxa"/>
            <w:tcBorders>
              <w:top w:val="single" w:sz="6" w:space="0" w:color="auto"/>
              <w:left w:val="single" w:sz="6" w:space="0" w:color="auto"/>
              <w:bottom w:val="single" w:sz="6" w:space="0" w:color="auto"/>
              <w:right w:val="single" w:sz="6" w:space="0" w:color="auto"/>
            </w:tcBorders>
          </w:tcPr>
          <w:p w14:paraId="7CB3757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Бронетранспортер « МЗА1 »</w:t>
            </w:r>
          </w:p>
          <w:p w14:paraId="0BAF551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60611A9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869</w:t>
            </w:r>
          </w:p>
          <w:p w14:paraId="08450F2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5C6258C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43F3AFF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76B1837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261</w:t>
            </w:r>
          </w:p>
          <w:p w14:paraId="130E7BE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36" w:type="dxa"/>
            <w:tcBorders>
              <w:top w:val="single" w:sz="6" w:space="0" w:color="auto"/>
              <w:left w:val="single" w:sz="6" w:space="0" w:color="auto"/>
              <w:bottom w:val="single" w:sz="6" w:space="0" w:color="auto"/>
              <w:right w:val="single" w:sz="6" w:space="0" w:color="auto"/>
            </w:tcBorders>
          </w:tcPr>
          <w:p w14:paraId="2DB3FB9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608</w:t>
            </w:r>
          </w:p>
          <w:p w14:paraId="6CC7FCA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2A032A47" w14:textId="77777777">
        <w:trPr>
          <w:trHeight w:val="278"/>
        </w:trPr>
        <w:tc>
          <w:tcPr>
            <w:tcW w:w="2928" w:type="dxa"/>
            <w:tcBorders>
              <w:top w:val="single" w:sz="6" w:space="0" w:color="auto"/>
              <w:left w:val="single" w:sz="6" w:space="0" w:color="auto"/>
              <w:bottom w:val="single" w:sz="6" w:space="0" w:color="auto"/>
              <w:right w:val="single" w:sz="6" w:space="0" w:color="auto"/>
            </w:tcBorders>
          </w:tcPr>
          <w:p w14:paraId="172B18A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Бронетранспортер «М-2»</w:t>
            </w:r>
          </w:p>
          <w:p w14:paraId="6B5E4C6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1BA62E6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113</w:t>
            </w:r>
          </w:p>
          <w:p w14:paraId="514E688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480BDCD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0A2475A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33C36FE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83</w:t>
            </w:r>
          </w:p>
          <w:p w14:paraId="6BA9972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36" w:type="dxa"/>
            <w:tcBorders>
              <w:top w:val="single" w:sz="6" w:space="0" w:color="auto"/>
              <w:left w:val="single" w:sz="6" w:space="0" w:color="auto"/>
              <w:bottom w:val="single" w:sz="6" w:space="0" w:color="auto"/>
              <w:right w:val="single" w:sz="6" w:space="0" w:color="auto"/>
            </w:tcBorders>
          </w:tcPr>
          <w:p w14:paraId="6418E55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w:t>
            </w:r>
          </w:p>
          <w:p w14:paraId="2A235F1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2D42F845" w14:textId="77777777">
        <w:trPr>
          <w:trHeight w:val="269"/>
        </w:trPr>
        <w:tc>
          <w:tcPr>
            <w:tcW w:w="2928" w:type="dxa"/>
            <w:tcBorders>
              <w:top w:val="single" w:sz="6" w:space="0" w:color="auto"/>
              <w:left w:val="single" w:sz="6" w:space="0" w:color="auto"/>
              <w:bottom w:val="single" w:sz="6" w:space="0" w:color="auto"/>
              <w:right w:val="single" w:sz="6" w:space="0" w:color="auto"/>
            </w:tcBorders>
          </w:tcPr>
          <w:p w14:paraId="5679BF7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Ремонтные мастерские</w:t>
            </w:r>
          </w:p>
          <w:p w14:paraId="17B3BBC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6537C94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311</w:t>
            </w:r>
          </w:p>
          <w:p w14:paraId="2831E95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1DD2413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261CD02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3A6ADEC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30F089D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36" w:type="dxa"/>
            <w:tcBorders>
              <w:top w:val="single" w:sz="6" w:space="0" w:color="auto"/>
              <w:left w:val="single" w:sz="6" w:space="0" w:color="auto"/>
              <w:bottom w:val="single" w:sz="6" w:space="0" w:color="auto"/>
              <w:right w:val="single" w:sz="6" w:space="0" w:color="auto"/>
            </w:tcBorders>
          </w:tcPr>
          <w:p w14:paraId="16E52DB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311</w:t>
            </w:r>
          </w:p>
          <w:p w14:paraId="71177DD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6BF810BF" w14:textId="77777777">
        <w:trPr>
          <w:trHeight w:val="278"/>
        </w:trPr>
        <w:tc>
          <w:tcPr>
            <w:tcW w:w="2928" w:type="dxa"/>
            <w:tcBorders>
              <w:top w:val="single" w:sz="6" w:space="0" w:color="auto"/>
              <w:left w:val="single" w:sz="6" w:space="0" w:color="auto"/>
              <w:bottom w:val="single" w:sz="6" w:space="0" w:color="auto"/>
              <w:right w:val="single" w:sz="6" w:space="0" w:color="auto"/>
            </w:tcBorders>
          </w:tcPr>
          <w:p w14:paraId="7D3B493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Трайлеры 40 тонн</w:t>
            </w:r>
          </w:p>
          <w:p w14:paraId="66743D6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1465BAB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37</w:t>
            </w:r>
          </w:p>
          <w:p w14:paraId="1DB9E8B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00205D5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74AA7FD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4BF6564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4458086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36" w:type="dxa"/>
            <w:tcBorders>
              <w:top w:val="single" w:sz="6" w:space="0" w:color="auto"/>
              <w:left w:val="single" w:sz="6" w:space="0" w:color="auto"/>
              <w:bottom w:val="single" w:sz="6" w:space="0" w:color="auto"/>
              <w:right w:val="single" w:sz="6" w:space="0" w:color="auto"/>
            </w:tcBorders>
          </w:tcPr>
          <w:p w14:paraId="00473CE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37</w:t>
            </w:r>
          </w:p>
          <w:p w14:paraId="47F70E9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22FAAD29" w14:textId="77777777">
        <w:trPr>
          <w:trHeight w:val="298"/>
        </w:trPr>
        <w:tc>
          <w:tcPr>
            <w:tcW w:w="2928" w:type="dxa"/>
            <w:tcBorders>
              <w:top w:val="single" w:sz="6" w:space="0" w:color="auto"/>
              <w:left w:val="single" w:sz="6" w:space="0" w:color="auto"/>
              <w:bottom w:val="single" w:sz="6" w:space="0" w:color="auto"/>
              <w:right w:val="single" w:sz="6" w:space="0" w:color="auto"/>
            </w:tcBorders>
          </w:tcPr>
          <w:p w14:paraId="26A75FB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Трайлеры 20 тонн</w:t>
            </w:r>
          </w:p>
          <w:p w14:paraId="7E0F610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2F09D47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w:t>
            </w:r>
          </w:p>
          <w:p w14:paraId="2729609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796BDFB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3A716AC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2C1A60A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0AFA08D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36" w:type="dxa"/>
            <w:tcBorders>
              <w:top w:val="single" w:sz="6" w:space="0" w:color="auto"/>
              <w:left w:val="single" w:sz="6" w:space="0" w:color="auto"/>
              <w:bottom w:val="single" w:sz="6" w:space="0" w:color="auto"/>
              <w:right w:val="single" w:sz="6" w:space="0" w:color="auto"/>
            </w:tcBorders>
          </w:tcPr>
          <w:p w14:paraId="3532A9E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w:t>
            </w:r>
          </w:p>
          <w:p w14:paraId="73ABDAE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05D1C98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5-го отдела танкового управления ГБТУ КА</w:t>
      </w:r>
    </w:p>
    <w:p w14:paraId="5C2BF18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инженер-майор Билеткин</w:t>
      </w:r>
    </w:p>
    <w:p w14:paraId="1CDE244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38. Оп. 11355. Д. 656. Л. 4. Подлинник (11403).</w:t>
      </w:r>
    </w:p>
    <w:p w14:paraId="1121CBC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58923B12" w14:textId="77777777" w:rsidR="009812BB" w:rsidRPr="007224C3" w:rsidRDefault="009812BB"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На 1 января 1944 года в частях числилось 424 танка Light Tank M3, то есть треть от поставленных танков этого семейства. К 1 июня был потерян 141 танк, а уцелевшие машины продолжали использоваться. В некоторых частях они провоевали до самого конца войны. Несложно представить, какую оценку танк разработки 1941 года получит в 1944-м (17653).</w:t>
      </w:r>
    </w:p>
    <w:p w14:paraId="7CF115D3" w14:textId="77777777" w:rsidR="009812BB" w:rsidRPr="007224C3" w:rsidRDefault="009812BB" w:rsidP="007224C3">
      <w:pPr>
        <w:spacing w:after="0" w:line="240" w:lineRule="auto"/>
        <w:jc w:val="both"/>
        <w:rPr>
          <w:rFonts w:ascii="Times New Roman" w:eastAsia="Times New Roman" w:hAnsi="Times New Roman"/>
          <w:color w:val="000000" w:themeColor="text1"/>
          <w:sz w:val="16"/>
          <w:szCs w:val="16"/>
          <w:lang w:eastAsia="ru-RU"/>
        </w:rPr>
      </w:pPr>
    </w:p>
    <w:p w14:paraId="47DF3C42" w14:textId="77777777" w:rsidR="009812BB" w:rsidRPr="007224C3" w:rsidRDefault="009812BB" w:rsidP="007224C3">
      <w:pPr>
        <w:pStyle w:val="ae"/>
        <w:shd w:val="clear" w:color="auto" w:fill="FFFFFF"/>
        <w:spacing w:before="0" w:after="0"/>
        <w:jc w:val="both"/>
        <w:rPr>
          <w:color w:val="000000" w:themeColor="text1"/>
          <w:sz w:val="16"/>
          <w:szCs w:val="16"/>
        </w:rPr>
      </w:pPr>
      <w:r w:rsidRPr="007224C3">
        <w:rPr>
          <w:color w:val="000000" w:themeColor="text1"/>
          <w:sz w:val="16"/>
          <w:szCs w:val="16"/>
        </w:rPr>
        <w:t>На 1 января 1944 года было потеряно 676 из 957 прибывших в СССР танков М3. В строю осталась 281 машина. На первый взгляд, не много, но если просмотреть аналогичную статистику по другим танкам, то выходит, что соотношение безвозвратно потерянных машин к оставшимся в строю у иностранных машин в Красной армии примерно одинаковое. Исключением будут только «Валентайны» и М4А2, но лишь потому, что их поставки к этому времени продолжались. Для тех же танков, поставки которых прекратились весной 1943 года, соотношение выходит очень похожим. При этом про ту же «Матильду» как про гроб на гусеницах мало кто пишет, хотя её боевая эффективность к началу 1943 года была куда ниже.</w:t>
      </w:r>
    </w:p>
    <w:p w14:paraId="5A178C83" w14:textId="77777777" w:rsidR="009812BB" w:rsidRPr="007224C3" w:rsidRDefault="009812BB" w:rsidP="007224C3">
      <w:pPr>
        <w:pStyle w:val="ae"/>
        <w:shd w:val="clear" w:color="auto" w:fill="FFFFFF"/>
        <w:spacing w:before="0" w:after="0"/>
        <w:jc w:val="both"/>
        <w:rPr>
          <w:color w:val="000000" w:themeColor="text1"/>
          <w:sz w:val="16"/>
          <w:szCs w:val="16"/>
        </w:rPr>
      </w:pPr>
      <w:r w:rsidRPr="007224C3">
        <w:rPr>
          <w:color w:val="000000" w:themeColor="text1"/>
          <w:sz w:val="16"/>
          <w:szCs w:val="16"/>
        </w:rPr>
        <w:t xml:space="preserve">Ещё более интересным соотношение иностранных танков выглядит по состоянию на 1 июня 1944 года. «Матильд» в действующей армии оставалось 48 штук, «Черчиллей» — 31 штука, М3л — 191 штука, а М3Ср — 143 штуки (включая 12 танков, поднятых с затонувшего транспорта в 1943 году). При этом, появление «Матильд» на фронте было эпизодическим, а «Черчилли» </w:t>
      </w:r>
      <w:hyperlink r:id="rId11" w:history="1">
        <w:r w:rsidRPr="007224C3">
          <w:rPr>
            <w:rStyle w:val="a5"/>
            <w:rFonts w:eastAsiaTheme="majorEastAsia"/>
            <w:color w:val="000000" w:themeColor="text1"/>
            <w:sz w:val="16"/>
            <w:szCs w:val="16"/>
            <w:u w:val="none"/>
          </w:rPr>
          <w:t>воевали севернее Ленинграда</w:t>
        </w:r>
      </w:hyperlink>
      <w:r w:rsidRPr="007224C3">
        <w:rPr>
          <w:color w:val="000000" w:themeColor="text1"/>
          <w:sz w:val="16"/>
          <w:szCs w:val="16"/>
        </w:rPr>
        <w:t>. «Неудачные» американские средние танки к этому времени всё ещё встречались в танковых бригадах (17705).</w:t>
      </w:r>
    </w:p>
    <w:p w14:paraId="547663F1" w14:textId="77777777" w:rsidR="009812BB" w:rsidRPr="007224C3" w:rsidRDefault="009812BB" w:rsidP="007224C3">
      <w:pPr>
        <w:spacing w:after="0" w:line="240" w:lineRule="auto"/>
        <w:jc w:val="both"/>
        <w:rPr>
          <w:rFonts w:ascii="Times New Roman" w:eastAsia="Times New Roman" w:hAnsi="Times New Roman"/>
          <w:color w:val="000000" w:themeColor="text1"/>
          <w:sz w:val="16"/>
          <w:szCs w:val="16"/>
          <w:lang w:eastAsia="ru-RU"/>
        </w:rPr>
      </w:pPr>
    </w:p>
    <w:p w14:paraId="5CE4F309" w14:textId="77777777" w:rsidR="009812BB" w:rsidRPr="007224C3" w:rsidRDefault="009812BB"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К 1 января 1944 года безвозвратные потери составили 160 танков Черчиль, к 1 июня было потеряно еще 27 машин. Из 66 оставшихся танков в частях находилась 31 штука. Сосредоточены они были, в основном, на Ленинградском фронте, где самым активным образом использовались в операциях. Например, 16 июня 1944 года 260-й гвардейский тяжелый танковый полк получил 6 «Черчиллей», которые использовал в ходе боев за Выборг. В сентябре 1944 года 82-й танковый полк, имевший в своем составе 10 «Черчиллей» и 11 КВ-1с, участвовал в освобождении Таллина. К 1 января 1945 года в войсках еще имелось 63 танка данного типа, из которых 9 было потеряно в течение оставшихся месяцев войны. К 1 июня в Красной армии оставалось 54 «Черчилля», но в действующих частях их было всего 3 штуки (17691).</w:t>
      </w:r>
    </w:p>
    <w:p w14:paraId="564C7BFB" w14:textId="77777777" w:rsidR="009812BB" w:rsidRPr="007224C3" w:rsidRDefault="009812BB" w:rsidP="007224C3">
      <w:pPr>
        <w:spacing w:after="0" w:line="240" w:lineRule="auto"/>
        <w:jc w:val="both"/>
        <w:rPr>
          <w:rFonts w:ascii="Times New Roman" w:eastAsia="Times New Roman" w:hAnsi="Times New Roman"/>
          <w:color w:val="000000" w:themeColor="text1"/>
          <w:sz w:val="16"/>
          <w:szCs w:val="16"/>
          <w:lang w:eastAsia="ru-RU"/>
        </w:rPr>
      </w:pPr>
    </w:p>
    <w:p w14:paraId="4F3D329C"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января 1944 вышло Распоряжение ГКО № 4865 [О продлении до 1 мая 1944 г. срока работы 150 пеших рабочих и 25 возчиков с лошадьми на реконструкции плотины Белохолуницкого завода НКТМ.] (7166, 174).</w:t>
      </w:r>
    </w:p>
    <w:p w14:paraId="79CB701F"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C995338"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января 1944 вышло Постановление ГКО № 4866 Об увеличении выработки оконного стекла в 1944 году. (7166, 175-179,180-221).</w:t>
      </w:r>
    </w:p>
    <w:p w14:paraId="711A4BDB"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8DCF97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января 1944 вышло Распоряжение ГКО № 4867 О поставках предприятиям НКРП и НКЛП СССР газовой сажи в I кв. 1944 г. РГАНИР, Фонд ГКО, д. 184, лл. 222-223 (11012).</w:t>
      </w:r>
    </w:p>
    <w:p w14:paraId="705AE2B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69B908F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января 1944 вышло Распоряжение ГКО № 4868. О плане производства разборных деревянных хранилищ и разборных брусчатых домов на предприятиях ГАУ КА в 1944 г. РГАНИР, Фонд ГКО, д. 184, лл. 224,225 (11012).</w:t>
      </w:r>
    </w:p>
    <w:p w14:paraId="7A9A787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130D8EE2"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января 1944 вышло Распоряжение ГКО № 4869 [О передаче Мариупольскому заводу им. Ильича турбоагрегата мощностью 4 тыс. Квт.] (7166, 226).</w:t>
      </w:r>
    </w:p>
    <w:p w14:paraId="0A2F3990"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0C00B6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января 1944 вышло Распоряжение ГКО № 4870. О переносе мобилизации 3 тыс. чел. для работы на торфопредприятиях НКЭС из Татарской АССР в другие области и республики. РГАНИР, Фонд ГКО, д. 184, лл. 227 (11012).</w:t>
      </w:r>
    </w:p>
    <w:p w14:paraId="728229D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068BD229"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января 1944 вышло Постановление ГКО № 4871 О производстве и поставке в I квартале 1944 г. медико-санитарного имущества для Красной Армии, НКВоенморфлота и войск НКВД СССР. (7166, 228-229,230-260).</w:t>
      </w:r>
    </w:p>
    <w:p w14:paraId="3D0A1316"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68B029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января 1944 вышло Постановление ГКО № 4872 О подготовке квалифицированных рабочих для шахт и заводов Наркомугля. РГАНИР, Фонд ГКО, д. 184, лл. 261-266,267-281 (11012).</w:t>
      </w:r>
    </w:p>
    <w:p w14:paraId="5DEE4AC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19B7361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января 1944 вышло Постановление ГКО № 4874 О завозе зерна, муки, крупы и бобовых в г. Москву и Московскую область в январе 1944 года. РГАНИР, Фонд ГКО, д. 184, лл. 284-286,287-290 (11012).</w:t>
      </w:r>
    </w:p>
    <w:p w14:paraId="24A2F7F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1B103A0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1 января 1944 Производственно-технические паспорта заводов НКМВ:</w:t>
      </w:r>
    </w:p>
    <w:p w14:paraId="588F740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Главное управление</w:t>
      </w:r>
    </w:p>
    <w:p w14:paraId="126283E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Завод № 702 им. К.Е Ворошилова </w:t>
      </w:r>
      <w:r w:rsidRPr="007224C3">
        <w:rPr>
          <w:rFonts w:ascii="Times New Roman" w:hAnsi="Times New Roman"/>
          <w:iCs/>
          <w:color w:val="000000" w:themeColor="text1"/>
          <w:sz w:val="16"/>
          <w:szCs w:val="16"/>
        </w:rPr>
        <w:t>п/я 237</w:t>
      </w:r>
    </w:p>
    <w:p w14:paraId="686A6B6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Ташкент, ул. Сельмаша, д. 2 (6495).</w:t>
      </w:r>
    </w:p>
    <w:p w14:paraId="55A7941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 704 (Главсельмаш).</w:t>
      </w:r>
    </w:p>
    <w:p w14:paraId="18E8A38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 Белинская Пензенской области, п/я № 200</w:t>
      </w:r>
    </w:p>
    <w:p w14:paraId="2FD71B5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 708 им. Сталина</w:t>
      </w:r>
    </w:p>
    <w:p w14:paraId="6A4168A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Ташкент 13, Текстильная, 7, п/я 243</w:t>
      </w:r>
    </w:p>
    <w:p w14:paraId="6A59569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Курганский машиностроительный завод № 709 (во 2 Гл. управлении).</w:t>
      </w:r>
    </w:p>
    <w:p w14:paraId="005AC87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базе площадей Музыкальной фабрики Облместпрома и литейной артели “Металлист”</w:t>
      </w:r>
    </w:p>
    <w:p w14:paraId="35C9B4F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Курган Челябинской области</w:t>
      </w:r>
    </w:p>
    <w:p w14:paraId="162FDD2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 725</w:t>
      </w:r>
    </w:p>
    <w:p w14:paraId="45448B6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базе площадей Химаппаратуры</w:t>
      </w:r>
    </w:p>
    <w:p w14:paraId="71A4742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Щелково Московской области, п/я 50</w:t>
      </w:r>
    </w:p>
    <w:p w14:paraId="4D0A2EC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 743 (3 Гл. управление).</w:t>
      </w:r>
    </w:p>
    <w:p w14:paraId="1AB0695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Иваново, Загородная, 28</w:t>
      </w:r>
    </w:p>
    <w:p w14:paraId="7CC7316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 750</w:t>
      </w:r>
    </w:p>
    <w:p w14:paraId="00BE6E9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базе площадей прежнего Климовского завода</w:t>
      </w:r>
    </w:p>
    <w:p w14:paraId="24A4952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color w:val="000000" w:themeColor="text1"/>
          <w:sz w:val="16"/>
          <w:szCs w:val="16"/>
        </w:rPr>
        <w:t xml:space="preserve">Климовск Московской области, п/я № 45 </w:t>
      </w:r>
      <w:r w:rsidRPr="007224C3">
        <w:rPr>
          <w:rFonts w:ascii="Times New Roman" w:hAnsi="Times New Roman"/>
          <w:iCs/>
          <w:color w:val="000000" w:themeColor="text1"/>
          <w:sz w:val="16"/>
          <w:szCs w:val="16"/>
        </w:rPr>
        <w:t>ст. Гривно</w:t>
      </w:r>
    </w:p>
    <w:p w14:paraId="58FAE94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 755</w:t>
      </w:r>
    </w:p>
    <w:p w14:paraId="2CD38A7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color w:val="000000" w:themeColor="text1"/>
          <w:sz w:val="16"/>
          <w:szCs w:val="16"/>
        </w:rPr>
        <w:t xml:space="preserve">Москва 22, 2-я Звенигородская ул., д. 7 </w:t>
      </w:r>
      <w:r w:rsidRPr="007224C3">
        <w:rPr>
          <w:rFonts w:ascii="Times New Roman" w:hAnsi="Times New Roman"/>
          <w:iCs/>
          <w:color w:val="000000" w:themeColor="text1"/>
          <w:sz w:val="16"/>
          <w:szCs w:val="16"/>
        </w:rPr>
        <w:t>п/я 3800</w:t>
      </w:r>
    </w:p>
    <w:p w14:paraId="4A74C92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 849 (нет).</w:t>
      </w:r>
    </w:p>
    <w:p w14:paraId="7D55E50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Орехово-Зуево Московской области, Ликинское шоссе</w:t>
      </w:r>
    </w:p>
    <w:p w14:paraId="633F89F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Главное управление</w:t>
      </w:r>
    </w:p>
    <w:p w14:paraId="179DB05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 67 им. Тимошенко</w:t>
      </w:r>
    </w:p>
    <w:p w14:paraId="1781BB2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Москва 58, п/я 2350З</w:t>
      </w:r>
    </w:p>
    <w:p w14:paraId="66F511E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 716</w:t>
      </w:r>
    </w:p>
    <w:p w14:paraId="62BC526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Организован в 1942 году на базе площадей Дмитровского механического завода НКОМ</w:t>
      </w:r>
    </w:p>
    <w:p w14:paraId="6DB2664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Дмитров, п/я 10</w:t>
      </w:r>
    </w:p>
    <w:p w14:paraId="700A8D5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 723 им. Коминтерна</w:t>
      </w:r>
    </w:p>
    <w:p w14:paraId="5FDDB4B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Организован в 1943 году на базе площадей завода им. Коминтерна, построенного в 1916 году</w:t>
      </w:r>
    </w:p>
    <w:p w14:paraId="576A0C5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Воронеж</w:t>
      </w:r>
    </w:p>
    <w:p w14:paraId="1A696E1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 727 им. Ленина ( не функционирует).</w:t>
      </w:r>
    </w:p>
    <w:p w14:paraId="59B0DFB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Воронеж, ул. К. Маркса, 87</w:t>
      </w:r>
    </w:p>
    <w:p w14:paraId="718433C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Горьковский машиностроительный завод № 729 (нет).</w:t>
      </w:r>
    </w:p>
    <w:p w14:paraId="77C2EBC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базе площадей строящегося вагоноремонтного завода</w:t>
      </w:r>
    </w:p>
    <w:p w14:paraId="0BDCEC3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Горький, Чебоксарская ул, 9</w:t>
      </w:r>
    </w:p>
    <w:p w14:paraId="355EE49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 731</w:t>
      </w:r>
    </w:p>
    <w:p w14:paraId="1474D3F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Организован в 1943 году на базе площадей Госзавода дезоборудования Нкздрава СССР</w:t>
      </w:r>
    </w:p>
    <w:p w14:paraId="60F58E4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Пенза, Механический порядок, 26</w:t>
      </w:r>
    </w:p>
    <w:p w14:paraId="475F9C1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 764</w:t>
      </w:r>
    </w:p>
    <w:p w14:paraId="39F52DC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Организован в 1919 году</w:t>
      </w:r>
    </w:p>
    <w:p w14:paraId="0DEAD17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Ставрополь, п/я 6</w:t>
      </w:r>
    </w:p>
    <w:p w14:paraId="04727A5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 766</w:t>
      </w:r>
    </w:p>
    <w:p w14:paraId="36CCAA6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базе площадей новостроящегося завода “Механик”</w:t>
      </w:r>
    </w:p>
    <w:p w14:paraId="64B23E3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Cs/>
          <w:color w:val="000000" w:themeColor="text1"/>
          <w:sz w:val="16"/>
          <w:szCs w:val="16"/>
        </w:rPr>
        <w:t>(Организован в 1941 году на базе площадей бывшего завода “Новый механик).</w:t>
      </w:r>
    </w:p>
    <w:p w14:paraId="25095CB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color w:val="000000" w:themeColor="text1"/>
          <w:sz w:val="16"/>
          <w:szCs w:val="16"/>
        </w:rPr>
        <w:t xml:space="preserve">Тюмень, </w:t>
      </w:r>
      <w:r w:rsidRPr="007224C3">
        <w:rPr>
          <w:rFonts w:ascii="Times New Roman" w:hAnsi="Times New Roman"/>
          <w:iCs/>
          <w:color w:val="000000" w:themeColor="text1"/>
          <w:sz w:val="16"/>
          <w:szCs w:val="16"/>
        </w:rPr>
        <w:t>п/я 50</w:t>
      </w:r>
    </w:p>
    <w:p w14:paraId="7336635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Тюменский экскаваторный завод № 769</w:t>
      </w:r>
    </w:p>
    <w:p w14:paraId="088E0DC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базе площадей Тюменских государственных конюшен</w:t>
      </w:r>
    </w:p>
    <w:p w14:paraId="4CB3207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color w:val="000000" w:themeColor="text1"/>
          <w:sz w:val="16"/>
          <w:szCs w:val="16"/>
        </w:rPr>
        <w:t xml:space="preserve">Тюмень Омской области, ул. Семакова, 22, </w:t>
      </w:r>
      <w:r w:rsidRPr="007224C3">
        <w:rPr>
          <w:rFonts w:ascii="Times New Roman" w:hAnsi="Times New Roman"/>
          <w:iCs/>
          <w:color w:val="000000" w:themeColor="text1"/>
          <w:sz w:val="16"/>
          <w:szCs w:val="16"/>
        </w:rPr>
        <w:t>п/я 15а</w:t>
      </w:r>
    </w:p>
    <w:p w14:paraId="0EF2917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 788 им. Маленкова (Главармалит).</w:t>
      </w:r>
    </w:p>
    <w:p w14:paraId="0AC42AB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Москва 113, М. Красносельская, 2/8</w:t>
      </w:r>
    </w:p>
    <w:p w14:paraId="22A7CB8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 802 (Главармалит).</w:t>
      </w:r>
    </w:p>
    <w:p w14:paraId="1A37EF7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Гусь-Хрустальный Ивановской области</w:t>
      </w:r>
    </w:p>
    <w:p w14:paraId="6EEA272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 822 (4 Гл. управление).</w:t>
      </w:r>
    </w:p>
    <w:p w14:paraId="27EDFB1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Поселок Сысерть Свердловской области, п/я 102</w:t>
      </w:r>
    </w:p>
    <w:p w14:paraId="6FC639B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Главное управление</w:t>
      </w:r>
    </w:p>
    <w:p w14:paraId="22A0AFD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Московский завод трикотажных машин № 738 (нет).</w:t>
      </w:r>
    </w:p>
    <w:p w14:paraId="0987ACB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Москва, Калужский переулок, д. 4</w:t>
      </w:r>
    </w:p>
    <w:p w14:paraId="34F8E25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color w:val="000000" w:themeColor="text1"/>
          <w:sz w:val="16"/>
          <w:szCs w:val="16"/>
        </w:rPr>
        <w:t xml:space="preserve">Завод № 760 </w:t>
      </w:r>
      <w:r w:rsidRPr="007224C3">
        <w:rPr>
          <w:rFonts w:ascii="Times New Roman" w:hAnsi="Times New Roman"/>
          <w:iCs/>
          <w:color w:val="000000" w:themeColor="text1"/>
          <w:sz w:val="16"/>
          <w:szCs w:val="16"/>
        </w:rPr>
        <w:t>и филиал</w:t>
      </w:r>
    </w:p>
    <w:p w14:paraId="4B10B80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базе площадей учебного корпуса Уральского индустриального института им. Кирова (в 1942 году на базе площадей Дормашзавода ГУШОСДОРа НКВД).</w:t>
      </w:r>
    </w:p>
    <w:p w14:paraId="5B704E1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Свердловск, Втузгородок (Свердловск).</w:t>
      </w:r>
    </w:p>
    <w:p w14:paraId="7E6FA92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 763</w:t>
      </w:r>
    </w:p>
    <w:p w14:paraId="1CB857B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Киров, ул. Коммуны, 52, п/я 240</w:t>
      </w:r>
    </w:p>
    <w:p w14:paraId="6709E3B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color w:val="000000" w:themeColor="text1"/>
          <w:sz w:val="16"/>
          <w:szCs w:val="16"/>
        </w:rPr>
        <w:t xml:space="preserve">Завод № 819 </w:t>
      </w:r>
      <w:r w:rsidRPr="007224C3">
        <w:rPr>
          <w:rFonts w:ascii="Times New Roman" w:hAnsi="Times New Roman"/>
          <w:iCs/>
          <w:color w:val="000000" w:themeColor="text1"/>
          <w:sz w:val="16"/>
          <w:szCs w:val="16"/>
        </w:rPr>
        <w:t>им. Фридриха Энгельса</w:t>
      </w:r>
    </w:p>
    <w:p w14:paraId="0171D45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color w:val="000000" w:themeColor="text1"/>
          <w:sz w:val="16"/>
          <w:szCs w:val="16"/>
        </w:rPr>
        <w:t xml:space="preserve">На базе площадей бывшего граммофонного завода </w:t>
      </w:r>
      <w:r w:rsidRPr="007224C3">
        <w:rPr>
          <w:rFonts w:ascii="Times New Roman" w:hAnsi="Times New Roman"/>
          <w:iCs/>
          <w:color w:val="000000" w:themeColor="text1"/>
          <w:sz w:val="16"/>
          <w:szCs w:val="16"/>
        </w:rPr>
        <w:t>(с 1942 года).</w:t>
      </w:r>
    </w:p>
    <w:p w14:paraId="06EB3CC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color w:val="000000" w:themeColor="text1"/>
          <w:sz w:val="16"/>
          <w:szCs w:val="16"/>
        </w:rPr>
        <w:t>Коломна Московской области</w:t>
      </w:r>
      <w:r w:rsidRPr="007224C3">
        <w:rPr>
          <w:rFonts w:ascii="Times New Roman" w:hAnsi="Times New Roman"/>
          <w:iCs/>
          <w:color w:val="000000" w:themeColor="text1"/>
          <w:sz w:val="16"/>
          <w:szCs w:val="16"/>
        </w:rPr>
        <w:t>, п/я 135</w:t>
      </w:r>
    </w:p>
    <w:p w14:paraId="0986B8B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Пензенский литейно-механический завод № 821</w:t>
      </w:r>
    </w:p>
    <w:p w14:paraId="106837F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базе площадей Чугунно-литейного завода Наркомпищепрома РСФСР ( с 1941 года).</w:t>
      </w:r>
    </w:p>
    <w:p w14:paraId="09375F1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color w:val="000000" w:themeColor="text1"/>
          <w:sz w:val="16"/>
          <w:szCs w:val="16"/>
        </w:rPr>
        <w:t xml:space="preserve">Пенза, Каракозовская ул., д. 26, </w:t>
      </w:r>
      <w:r w:rsidRPr="007224C3">
        <w:rPr>
          <w:rFonts w:ascii="Times New Roman" w:hAnsi="Times New Roman"/>
          <w:iCs/>
          <w:color w:val="000000" w:themeColor="text1"/>
          <w:sz w:val="16"/>
          <w:szCs w:val="16"/>
        </w:rPr>
        <w:t>п/я 61</w:t>
      </w:r>
    </w:p>
    <w:p w14:paraId="2C472C6A" w14:textId="77777777" w:rsidR="00820285"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 828</w:t>
      </w:r>
    </w:p>
    <w:p w14:paraId="417FABC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Cs/>
          <w:color w:val="000000" w:themeColor="text1"/>
          <w:sz w:val="16"/>
          <w:szCs w:val="16"/>
        </w:rPr>
        <w:t>Организован в 1942 году на базе площадей завода № 161 НКАП</w:t>
      </w:r>
    </w:p>
    <w:p w14:paraId="59EE85A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Москва, п/я 1543</w:t>
      </w:r>
    </w:p>
    <w:p w14:paraId="2E8AB71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 829 (нет).</w:t>
      </w:r>
    </w:p>
    <w:p w14:paraId="1A9F535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Москва 5, Ольховская ул., 27</w:t>
      </w:r>
    </w:p>
    <w:p w14:paraId="6D4BE8F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 830 (нет).</w:t>
      </w:r>
    </w:p>
    <w:p w14:paraId="14365CA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Москва 71, 4-ый Михайловский проезд, д. 8а</w:t>
      </w:r>
    </w:p>
    <w:p w14:paraId="048E0AD4" w14:textId="77777777" w:rsidR="00820285"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 847</w:t>
      </w:r>
    </w:p>
    <w:p w14:paraId="5842206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Cs/>
          <w:color w:val="000000" w:themeColor="text1"/>
          <w:sz w:val="16"/>
          <w:szCs w:val="16"/>
        </w:rPr>
        <w:t>Организован в 1941 году</w:t>
      </w:r>
    </w:p>
    <w:p w14:paraId="7BE23B3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color w:val="000000" w:themeColor="text1"/>
          <w:sz w:val="16"/>
          <w:szCs w:val="16"/>
        </w:rPr>
        <w:t xml:space="preserve">Москва 23, Б. Семеновская ул., д. 11, </w:t>
      </w:r>
      <w:r w:rsidRPr="007224C3">
        <w:rPr>
          <w:rFonts w:ascii="Times New Roman" w:hAnsi="Times New Roman"/>
          <w:iCs/>
          <w:color w:val="000000" w:themeColor="text1"/>
          <w:sz w:val="16"/>
          <w:szCs w:val="16"/>
        </w:rPr>
        <w:t>п/я 291</w:t>
      </w:r>
    </w:p>
    <w:p w14:paraId="31070D2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“Молот”</w:t>
      </w:r>
    </w:p>
    <w:p w14:paraId="7690F01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Организован в 1922 году на базе площадей Ейского Промкомбината</w:t>
      </w:r>
    </w:p>
    <w:p w14:paraId="315717B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Ейск Краснодарского края, Карла Либкнехта, 11</w:t>
      </w:r>
    </w:p>
    <w:p w14:paraId="7535A96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Главное управление</w:t>
      </w:r>
    </w:p>
    <w:p w14:paraId="26B10A7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 726</w:t>
      </w:r>
    </w:p>
    <w:p w14:paraId="70EC6C9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базе строительства Уралтяжхиммаша (с 1941 года).</w:t>
      </w:r>
    </w:p>
    <w:p w14:paraId="390F07D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color w:val="000000" w:themeColor="text1"/>
          <w:sz w:val="16"/>
          <w:szCs w:val="16"/>
        </w:rPr>
        <w:t xml:space="preserve">Свердловск, Н. Исетск </w:t>
      </w:r>
      <w:r w:rsidRPr="007224C3">
        <w:rPr>
          <w:rFonts w:ascii="Times New Roman" w:hAnsi="Times New Roman"/>
          <w:iCs/>
          <w:color w:val="000000" w:themeColor="text1"/>
          <w:sz w:val="16"/>
          <w:szCs w:val="16"/>
        </w:rPr>
        <w:t>Свердловск, п/я 1077137).</w:t>
      </w:r>
    </w:p>
    <w:p w14:paraId="10ACB06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 733</w:t>
      </w:r>
    </w:p>
    <w:p w14:paraId="4BF91FF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базе бывшего завода “Компрессор”</w:t>
      </w:r>
    </w:p>
    <w:p w14:paraId="2F4BFC7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color w:val="000000" w:themeColor="text1"/>
          <w:sz w:val="16"/>
          <w:szCs w:val="16"/>
        </w:rPr>
        <w:t xml:space="preserve">Москва 24, п/я 3093 (Донгауэровская слобода, д. 20) </w:t>
      </w:r>
      <w:r w:rsidRPr="007224C3">
        <w:rPr>
          <w:rFonts w:ascii="Times New Roman" w:hAnsi="Times New Roman"/>
          <w:iCs/>
          <w:color w:val="000000" w:themeColor="text1"/>
          <w:sz w:val="16"/>
          <w:szCs w:val="16"/>
        </w:rPr>
        <w:t>(п/я 2428).</w:t>
      </w:r>
    </w:p>
    <w:p w14:paraId="1120D10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 822</w:t>
      </w:r>
    </w:p>
    <w:p w14:paraId="33008A3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Поселок Сысерть Свердловской области, п/я 102</w:t>
      </w:r>
    </w:p>
    <w:p w14:paraId="36C2ECB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Главное управление</w:t>
      </w:r>
    </w:p>
    <w:p w14:paraId="6F00240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 728</w:t>
      </w:r>
    </w:p>
    <w:p w14:paraId="73735B4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Организован в 1942 году</w:t>
      </w:r>
    </w:p>
    <w:p w14:paraId="2B810C0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Орск, ул. Энгельса, 22, п/я 37</w:t>
      </w:r>
    </w:p>
    <w:p w14:paraId="10B8528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 753 им. Калинина</w:t>
      </w:r>
    </w:p>
    <w:p w14:paraId="0A42A59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color w:val="000000" w:themeColor="text1"/>
          <w:sz w:val="16"/>
          <w:szCs w:val="16"/>
        </w:rPr>
        <w:t xml:space="preserve">Москва 83, 2-я Хуторская, 38а, </w:t>
      </w:r>
      <w:r w:rsidRPr="007224C3">
        <w:rPr>
          <w:rFonts w:ascii="Times New Roman" w:hAnsi="Times New Roman"/>
          <w:iCs/>
          <w:color w:val="000000" w:themeColor="text1"/>
          <w:sz w:val="16"/>
          <w:szCs w:val="16"/>
        </w:rPr>
        <w:t>п/я 470</w:t>
      </w:r>
    </w:p>
    <w:p w14:paraId="39D658B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 836 (6 Гл. управление).</w:t>
      </w:r>
    </w:p>
    <w:p w14:paraId="6F15F7F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базе площадей эвакуированного завода “Манометр”</w:t>
      </w:r>
    </w:p>
    <w:p w14:paraId="38D67AE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Москва 120, п/я 1532</w:t>
      </w:r>
    </w:p>
    <w:p w14:paraId="17359E0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 838 (6 Гл. управление).</w:t>
      </w:r>
    </w:p>
    <w:p w14:paraId="7EFB34A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базе площадей Ликероводочного завода (с 1941 года).</w:t>
      </w:r>
    </w:p>
    <w:p w14:paraId="0620A00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Томск, пр. Тимирязева, 68</w:t>
      </w:r>
    </w:p>
    <w:p w14:paraId="2CA8C60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 840 (6 Гл. управление).</w:t>
      </w:r>
    </w:p>
    <w:p w14:paraId="61C2A47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Москва, п/я 2304, Кудринский пер., д. 10</w:t>
      </w:r>
    </w:p>
    <w:p w14:paraId="032BFE2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 843 “Готовальня” (6 Гл. управление).</w:t>
      </w:r>
    </w:p>
    <w:p w14:paraId="49C1523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базе площадей бывшего ОКБ-3 (с 1935 года).</w:t>
      </w:r>
    </w:p>
    <w:p w14:paraId="187AF49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Москва 23, Электрозаводская ул., д. 52</w:t>
      </w:r>
    </w:p>
    <w:p w14:paraId="4006776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 845 1-й Московский государственный часовой завод (с 1942 года).</w:t>
      </w:r>
    </w:p>
    <w:p w14:paraId="531FCB3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color w:val="000000" w:themeColor="text1"/>
          <w:sz w:val="16"/>
          <w:szCs w:val="16"/>
        </w:rPr>
        <w:t xml:space="preserve">Москва 4, Воронцовская ул., д. 35б </w:t>
      </w:r>
      <w:r w:rsidRPr="007224C3">
        <w:rPr>
          <w:rFonts w:ascii="Times New Roman" w:hAnsi="Times New Roman"/>
          <w:iCs/>
          <w:color w:val="000000" w:themeColor="text1"/>
          <w:sz w:val="16"/>
          <w:szCs w:val="16"/>
        </w:rPr>
        <w:t>п/я 1159</w:t>
      </w:r>
    </w:p>
    <w:p w14:paraId="05C3CF2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 846 (заводы, подчиненные НКМВ).</w:t>
      </w:r>
    </w:p>
    <w:p w14:paraId="43EFD52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Москва 15, Панская ул., д. 14</w:t>
      </w:r>
    </w:p>
    <w:p w14:paraId="62D110E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 856</w:t>
      </w:r>
    </w:p>
    <w:p w14:paraId="0982890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базе площадей Старой текстильной фабрики (с 1932 года).</w:t>
      </w:r>
    </w:p>
    <w:p w14:paraId="6FCF5E8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color w:val="000000" w:themeColor="text1"/>
          <w:sz w:val="16"/>
          <w:szCs w:val="16"/>
        </w:rPr>
        <w:t xml:space="preserve">Орехово-Зуево Московской области, улица Техники безопасности, д. 15, </w:t>
      </w:r>
      <w:r w:rsidRPr="007224C3">
        <w:rPr>
          <w:rFonts w:ascii="Times New Roman" w:hAnsi="Times New Roman"/>
          <w:iCs/>
          <w:color w:val="000000" w:themeColor="text1"/>
          <w:sz w:val="16"/>
          <w:szCs w:val="16"/>
        </w:rPr>
        <w:t>п/я 23</w:t>
      </w:r>
    </w:p>
    <w:p w14:paraId="016964F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 857 (нет).</w:t>
      </w:r>
    </w:p>
    <w:p w14:paraId="4353130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Москва, 4-й Рощинский пер., д. 21</w:t>
      </w:r>
    </w:p>
    <w:p w14:paraId="650CB47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Дом звукозаписи</w:t>
      </w:r>
    </w:p>
    <w:p w14:paraId="33748A9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Москва, Малая Никитская ул., д. 24</w:t>
      </w:r>
    </w:p>
    <w:p w14:paraId="18F53CF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Апрелевский завод грампластинок</w:t>
      </w:r>
    </w:p>
    <w:p w14:paraId="132F8F9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 Апрелевка Московской области</w:t>
      </w:r>
    </w:p>
    <w:p w14:paraId="22A55E5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Государственной союзной конторы “Электрочасофикация”</w:t>
      </w:r>
    </w:p>
    <w:p w14:paraId="3D21F7F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Организован в 1936 году</w:t>
      </w:r>
    </w:p>
    <w:p w14:paraId="5B31B07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Москва, ул. Кирова, Бобров пер., 2</w:t>
      </w:r>
    </w:p>
    <w:p w14:paraId="1C4ABB5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НИИ № 5</w:t>
      </w:r>
    </w:p>
    <w:p w14:paraId="7A02B03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Москва 69, п/я 4004</w:t>
      </w:r>
    </w:p>
    <w:p w14:paraId="542FB24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Главное управление</w:t>
      </w:r>
    </w:p>
    <w:p w14:paraId="44D74EE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 774</w:t>
      </w:r>
    </w:p>
    <w:p w14:paraId="12FA7FC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Организован в 1888 году</w:t>
      </w:r>
    </w:p>
    <w:p w14:paraId="2F0403C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Армавир, ул. К. Маркса, 72</w:t>
      </w:r>
    </w:p>
    <w:p w14:paraId="4811BC0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 776 (бывший “Краснолит”).</w:t>
      </w:r>
    </w:p>
    <w:p w14:paraId="6B66AD4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Организован в 1943 году на базе площадей завода “Краснолит”</w:t>
      </w:r>
    </w:p>
    <w:p w14:paraId="5D1390F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Краснодар</w:t>
      </w:r>
    </w:p>
    <w:p w14:paraId="52ACD82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 849</w:t>
      </w:r>
    </w:p>
    <w:p w14:paraId="4BED1F2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Орехово-Зуево, п/я 25</w:t>
      </w:r>
    </w:p>
    <w:p w14:paraId="62D0932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Главсельмаш</w:t>
      </w:r>
    </w:p>
    <w:p w14:paraId="76AA084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“Красный Аксай” им. Фрунзе</w:t>
      </w:r>
    </w:p>
    <w:p w14:paraId="740D303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Организован в 1896 году</w:t>
      </w:r>
    </w:p>
    <w:p w14:paraId="39006BE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Ростов-на-Дону, 35 линия, 91</w:t>
      </w:r>
    </w:p>
    <w:p w14:paraId="60384B5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“Ростсельмаш” им. Сталина</w:t>
      </w:r>
    </w:p>
    <w:p w14:paraId="6AB035C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Организован в 1930-1943 году</w:t>
      </w:r>
    </w:p>
    <w:p w14:paraId="050D05D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Ростов-на-Дону</w:t>
      </w:r>
    </w:p>
    <w:p w14:paraId="5FA4DE9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“Алтайсельмаш”</w:t>
      </w:r>
    </w:p>
    <w:p w14:paraId="52FB50F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Организован в 1941 году на базе строительства сахарного завода</w:t>
      </w:r>
    </w:p>
    <w:p w14:paraId="0E5F04D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Рубцовск Алтайского края</w:t>
      </w:r>
    </w:p>
    <w:p w14:paraId="6E4909B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им. Октябрьской Революции (нет).</w:t>
      </w:r>
    </w:p>
    <w:p w14:paraId="03067D0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базе бывшего строящегося Сахарного завода законсервированного в 1932 году</w:t>
      </w:r>
    </w:p>
    <w:p w14:paraId="2AF6932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Рубцовск Алтайского края п/я 50</w:t>
      </w:r>
    </w:p>
    <w:p w14:paraId="5078792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“Казахсельмаш”</w:t>
      </w:r>
    </w:p>
    <w:p w14:paraId="38CC447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Акмолинск, Октябрьская, 96</w:t>
      </w:r>
    </w:p>
    <w:p w14:paraId="0F6BD37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“Чирчиксельмаш”</w:t>
      </w:r>
    </w:p>
    <w:p w14:paraId="369C393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базе площадей гаража Чирчиктранса</w:t>
      </w:r>
    </w:p>
    <w:p w14:paraId="224C140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УзССР, Чирчик</w:t>
      </w:r>
    </w:p>
    <w:p w14:paraId="5BA82B1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Ташкентский завод запчастей с/хмаш. “Ташзапсельмаш”</w:t>
      </w:r>
    </w:p>
    <w:p w14:paraId="5D8A5BE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организован в 1942 году на базе площадей авторемонтного завода НКАТ УзССР и 3-го филиала завода № 708</w:t>
      </w:r>
    </w:p>
    <w:p w14:paraId="1FF3EC5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Ташкент, ул. Жуковская, 52</w:t>
      </w:r>
    </w:p>
    <w:p w14:paraId="6BBE3CB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 735</w:t>
      </w:r>
    </w:p>
    <w:p w14:paraId="7C2B148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Организован в 1941 году на базе площадей Кондитерского комбината</w:t>
      </w:r>
    </w:p>
    <w:p w14:paraId="1BBFBB7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Ташкент, 17, п/я 247</w:t>
      </w:r>
    </w:p>
    <w:p w14:paraId="25887DA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“Рязсельмаш”</w:t>
      </w:r>
    </w:p>
    <w:p w14:paraId="0049684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Организован в 1904 году</w:t>
      </w:r>
    </w:p>
    <w:p w14:paraId="1B333CB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Рязань, п/я 5</w:t>
      </w:r>
    </w:p>
    <w:p w14:paraId="17AE3F0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Институт с/х машиностроения</w:t>
      </w:r>
    </w:p>
    <w:p w14:paraId="12B40CD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Москва 108, Листвиничная аллея, д. 6А</w:t>
      </w:r>
    </w:p>
    <w:p w14:paraId="205E4BA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Производственный филиал ВИСХОМа (1941 год) (нет).</w:t>
      </w:r>
    </w:p>
    <w:p w14:paraId="5C894FE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Москва 107, Лихаческое шоссе, д. 6</w:t>
      </w:r>
    </w:p>
    <w:p w14:paraId="1ACB7C5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Главхиммаш</w:t>
      </w:r>
    </w:p>
    <w:p w14:paraId="0B6E795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“Комсомолец”</w:t>
      </w:r>
    </w:p>
    <w:p w14:paraId="2830CC2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организован в 1932 году на базе Аппаратно-строительных мастерских завода № 204</w:t>
      </w:r>
    </w:p>
    <w:p w14:paraId="7313CE3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Тамбов, Лермонтовская, 4</w:t>
      </w:r>
    </w:p>
    <w:p w14:paraId="59DA6DE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Машиностроительный завод им. Калинина</w:t>
      </w:r>
    </w:p>
    <w:p w14:paraId="2BB79FB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базе площадей металлозавода № 12</w:t>
      </w:r>
    </w:p>
    <w:p w14:paraId="3E773D6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Кинешма Ивановской области, </w:t>
      </w:r>
      <w:r w:rsidRPr="007224C3">
        <w:rPr>
          <w:rFonts w:ascii="Times New Roman" w:hAnsi="Times New Roman"/>
          <w:iCs/>
          <w:color w:val="000000" w:themeColor="text1"/>
          <w:sz w:val="16"/>
          <w:szCs w:val="16"/>
        </w:rPr>
        <w:t>1-ая</w:t>
      </w:r>
      <w:r w:rsidRPr="007224C3">
        <w:rPr>
          <w:rFonts w:ascii="Times New Roman" w:hAnsi="Times New Roman"/>
          <w:color w:val="000000" w:themeColor="text1"/>
          <w:sz w:val="16"/>
          <w:szCs w:val="16"/>
        </w:rPr>
        <w:t xml:space="preserve"> Железнодорожная ул., 38</w:t>
      </w:r>
    </w:p>
    <w:p w14:paraId="7F7B2693" w14:textId="77777777" w:rsidR="00820285"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Насосокомпрессорный завод</w:t>
      </w:r>
    </w:p>
    <w:p w14:paraId="3283E24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Cs/>
          <w:color w:val="000000" w:themeColor="text1"/>
          <w:sz w:val="16"/>
          <w:szCs w:val="16"/>
        </w:rPr>
        <w:t>Организован в 1941 году</w:t>
      </w:r>
    </w:p>
    <w:p w14:paraId="088C372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color w:val="000000" w:themeColor="text1"/>
          <w:sz w:val="16"/>
          <w:szCs w:val="16"/>
        </w:rPr>
        <w:t xml:space="preserve">Ст. Катайск Челябинской области </w:t>
      </w:r>
      <w:r w:rsidRPr="007224C3">
        <w:rPr>
          <w:rFonts w:ascii="Times New Roman" w:hAnsi="Times New Roman"/>
          <w:iCs/>
          <w:color w:val="000000" w:themeColor="text1"/>
          <w:sz w:val="16"/>
          <w:szCs w:val="16"/>
        </w:rPr>
        <w:t>(Курганская область).</w:t>
      </w:r>
    </w:p>
    <w:p w14:paraId="062B9A1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Производственные мастерские Н.И. Гидромашиностроит. (4 Гл. управление).</w:t>
      </w:r>
    </w:p>
    <w:p w14:paraId="51C371E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базе площадей ЦАГИ</w:t>
      </w:r>
    </w:p>
    <w:p w14:paraId="51F53C9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Москва, Н. Кирочный, д. 6</w:t>
      </w:r>
    </w:p>
    <w:p w14:paraId="4822B4B0" w14:textId="77777777" w:rsidR="00820285"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“Смычка” (4 Гл. управление).</w:t>
      </w:r>
    </w:p>
    <w:p w14:paraId="767AAE7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Cs/>
          <w:color w:val="000000" w:themeColor="text1"/>
          <w:sz w:val="16"/>
          <w:szCs w:val="16"/>
        </w:rPr>
        <w:t>Организован в 1943 году на базе площадей бывшей артели “Смычка” Металлопромсоюза</w:t>
      </w:r>
    </w:p>
    <w:p w14:paraId="5B84B02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color w:val="000000" w:themeColor="text1"/>
          <w:sz w:val="16"/>
          <w:szCs w:val="16"/>
        </w:rPr>
        <w:t xml:space="preserve">Свердловск, Н. Исетск, </w:t>
      </w:r>
      <w:r w:rsidRPr="007224C3">
        <w:rPr>
          <w:rFonts w:ascii="Times New Roman" w:hAnsi="Times New Roman"/>
          <w:iCs/>
          <w:color w:val="000000" w:themeColor="text1"/>
          <w:sz w:val="16"/>
          <w:szCs w:val="16"/>
        </w:rPr>
        <w:t>Красноармейская, 15</w:t>
      </w:r>
    </w:p>
    <w:p w14:paraId="0C6596D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Центральная научно-исследовательская лаборатория ВТК</w:t>
      </w:r>
    </w:p>
    <w:p w14:paraId="3057859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Москва, Верхние Котлы, Речной поселок, д. 17</w:t>
      </w:r>
    </w:p>
    <w:p w14:paraId="28AC345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Главармалит</w:t>
      </w:r>
    </w:p>
    <w:p w14:paraId="7160C29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Арматурный завод им. Ленина</w:t>
      </w:r>
    </w:p>
    <w:p w14:paraId="28155A7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Георгиевск Ставропольского края, Ленинградская, 117</w:t>
      </w:r>
    </w:p>
    <w:p w14:paraId="563D6C9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Усманский механический завод</w:t>
      </w:r>
    </w:p>
    <w:p w14:paraId="0D7AB38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Усмань, Воронежской области, ул. Шмидта, 3</w:t>
      </w:r>
    </w:p>
    <w:p w14:paraId="3745BBA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Ливенский машиностроительный завод (не функционирует).</w:t>
      </w:r>
    </w:p>
    <w:p w14:paraId="093DA4D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Ливны Орловской области, Гражданская, 23</w:t>
      </w:r>
    </w:p>
    <w:p w14:paraId="1CE92FB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Орский механический завод по производству бурового оборудования (нет).</w:t>
      </w:r>
    </w:p>
    <w:p w14:paraId="38D812A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базе площадей склада “Союзсельхозмашснаба” и гаража линейного узла связи ( с 1942 года).</w:t>
      </w:r>
    </w:p>
    <w:p w14:paraId="5450CA6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Орск Чкаловской области, ул. Петрашевцев, 40</w:t>
      </w:r>
    </w:p>
    <w:p w14:paraId="3A72295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Филиал Уральского завода литейного и лабораторного оборудования (нет).</w:t>
      </w:r>
    </w:p>
    <w:p w14:paraId="48A99AF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базе площадей Уральского механического завода им. Ленина НКЭП</w:t>
      </w:r>
    </w:p>
    <w:p w14:paraId="2DABE3A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Уральск Казахской ССР, ул. Советская, 217</w:t>
      </w:r>
    </w:p>
    <w:p w14:paraId="364A692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Толкинский завод противопожарного оборудования</w:t>
      </w:r>
    </w:p>
    <w:p w14:paraId="5FB08F9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базе площадей ремонтной мастерской совхоза № 170</w:t>
      </w:r>
    </w:p>
    <w:p w14:paraId="1381D4A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Cs/>
          <w:color w:val="000000" w:themeColor="text1"/>
          <w:sz w:val="16"/>
          <w:szCs w:val="16"/>
        </w:rPr>
        <w:t>Толки</w:t>
      </w:r>
      <w:r w:rsidRPr="007224C3">
        <w:rPr>
          <w:rFonts w:ascii="Times New Roman" w:hAnsi="Times New Roman"/>
          <w:color w:val="000000" w:themeColor="text1"/>
          <w:sz w:val="16"/>
          <w:szCs w:val="16"/>
        </w:rPr>
        <w:t xml:space="preserve"> Новосибирской области </w:t>
      </w:r>
      <w:r w:rsidRPr="007224C3">
        <w:rPr>
          <w:rFonts w:ascii="Times New Roman" w:hAnsi="Times New Roman"/>
          <w:iCs/>
          <w:color w:val="000000" w:themeColor="text1"/>
          <w:sz w:val="16"/>
          <w:szCs w:val="16"/>
        </w:rPr>
        <w:t>(Кемеровской области).</w:t>
      </w:r>
    </w:p>
    <w:p w14:paraId="76C7A5A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Щучанский ППО (нет).</w:t>
      </w:r>
    </w:p>
    <w:p w14:paraId="642A6D6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 Чумляк Челябинской области</w:t>
      </w:r>
    </w:p>
    <w:p w14:paraId="4AB3E6C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Чумлянский завод</w:t>
      </w:r>
    </w:p>
    <w:p w14:paraId="72A847E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Ст. Чумляк Курганской области</w:t>
      </w:r>
    </w:p>
    <w:p w14:paraId="3CDABE2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Шумихинский завод противопожарного оборудования</w:t>
      </w:r>
    </w:p>
    <w:p w14:paraId="2EBD032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color w:val="000000" w:themeColor="text1"/>
          <w:sz w:val="16"/>
          <w:szCs w:val="16"/>
        </w:rPr>
        <w:t xml:space="preserve">Поселок Шумиха Челябинской области (с 1941 года) </w:t>
      </w:r>
      <w:r w:rsidRPr="007224C3">
        <w:rPr>
          <w:rFonts w:ascii="Times New Roman" w:hAnsi="Times New Roman"/>
          <w:iCs/>
          <w:color w:val="000000" w:themeColor="text1"/>
          <w:sz w:val="16"/>
          <w:szCs w:val="16"/>
        </w:rPr>
        <w:t>(Курганской области).</w:t>
      </w:r>
    </w:p>
    <w:p w14:paraId="242DEE9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Беловский граммпластинок завод № 842 (нет).</w:t>
      </w:r>
    </w:p>
    <w:p w14:paraId="1126FC6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Белово Новосибирской области, п/я 17</w:t>
      </w:r>
    </w:p>
    <w:p w14:paraId="1FAD1A2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Главэнергопром</w:t>
      </w:r>
    </w:p>
    <w:p w14:paraId="4ED1799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Электромеханический завод</w:t>
      </w:r>
    </w:p>
    <w:p w14:paraId="5531DEB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Москва, Бакунинская ул., 14</w:t>
      </w:r>
    </w:p>
    <w:p w14:paraId="7539AB9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 738</w:t>
      </w:r>
    </w:p>
    <w:p w14:paraId="4078473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Москва, п/я 3090</w:t>
      </w:r>
    </w:p>
    <w:p w14:paraId="615041D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 829</w:t>
      </w:r>
    </w:p>
    <w:p w14:paraId="5EFBF9C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Москва 5, п/я 1545</w:t>
      </w:r>
    </w:p>
    <w:p w14:paraId="03A9309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Заводы, подчиненные НКМВ</w:t>
      </w:r>
    </w:p>
    <w:p w14:paraId="0CBAC62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НИИ № 1 (бывший завод “Стекломашина”).</w:t>
      </w:r>
    </w:p>
    <w:p w14:paraId="7450E58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Организован в 1942 году</w:t>
      </w:r>
    </w:p>
    <w:p w14:paraId="5E82C66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Москва 152, п/я 1129, Загородное шоссе, 5</w:t>
      </w:r>
    </w:p>
    <w:p w14:paraId="5A01832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ГСКБ-47</w:t>
      </w:r>
    </w:p>
    <w:p w14:paraId="0710678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Организовано в 1942 году</w:t>
      </w:r>
    </w:p>
    <w:p w14:paraId="1B61488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Москва 58, п/я 4095</w:t>
      </w:r>
    </w:p>
    <w:p w14:paraId="7E28B86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КБ-35</w:t>
      </w:r>
    </w:p>
    <w:p w14:paraId="7B38868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Организовано в 1943 году</w:t>
      </w:r>
    </w:p>
    <w:p w14:paraId="428D4A1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Москва, Верхняя Масловка, 98 (6495).</w:t>
      </w:r>
    </w:p>
    <w:p w14:paraId="41607A5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41827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1 января 1944 Завод № 549 НКБ согласно отчету за 1943 год</w:t>
      </w:r>
    </w:p>
    <w:p w14:paraId="4535FD0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Адрес: Челябинск, п/я 171 (10060).</w:t>
      </w:r>
    </w:p>
    <w:p w14:paraId="4339809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06E26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1 января 1944 Завод № 737 НКБ согласно отчету за 1943 год</w:t>
      </w:r>
    </w:p>
    <w:p w14:paraId="7328FA3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 Курицын, Демченко (10062).</w:t>
      </w:r>
    </w:p>
    <w:p w14:paraId="0614C81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4BAF7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1 января 1944 Завод № 549 НКБ согласно отчету за 1943 год</w:t>
      </w:r>
    </w:p>
    <w:p w14:paraId="0096E45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 Ильин</w:t>
      </w:r>
    </w:p>
    <w:p w14:paraId="37C2800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Адрес: Челябинск (10061).</w:t>
      </w:r>
    </w:p>
    <w:p w14:paraId="3BB541C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A9B3C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1 января 1944 Завод № 311 НКБ согласно отчету за 1943 год</w:t>
      </w:r>
    </w:p>
    <w:p w14:paraId="1061D6F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 Паськов</w:t>
      </w:r>
    </w:p>
    <w:p w14:paraId="1481ACF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Адрес: Саратов, п/я 95 (10063).</w:t>
      </w:r>
    </w:p>
    <w:p w14:paraId="4DD609C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42D78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1 января 1944 Завод № 317 им. ОГПУ согласно отчету НКБ за 1943 год</w:t>
      </w:r>
    </w:p>
    <w:p w14:paraId="4A53895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Адрес: Акмолинск</w:t>
      </w:r>
    </w:p>
    <w:p w14:paraId="01C8E85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 Муравьев (10064).</w:t>
      </w:r>
    </w:p>
    <w:p w14:paraId="1386E0C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69CD1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января 1944 был подготовлен Отчет завода № 515 НКБ за 1943 год</w:t>
      </w:r>
    </w:p>
    <w:p w14:paraId="4DEEE9C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 Ф. Валеев</w:t>
      </w:r>
    </w:p>
    <w:p w14:paraId="618BC7D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основании Постановления СНК № 146-48сс от 10 февраля 1943 года и решения Военсовета ДВ фронта и НКБ в декабре 1942 года приступили к проектированию снаряжательного завода.</w:t>
      </w:r>
    </w:p>
    <w:p w14:paraId="4A7D8A2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Постановлению Правительства завод должен был быть пущен в эксплуатацию к 1 июля 1943 года.</w:t>
      </w:r>
    </w:p>
    <w:p w14:paraId="4D2A8D6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Сроки ввода были не выполнены (10218).</w:t>
      </w:r>
    </w:p>
    <w:p w14:paraId="747EA27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392AD1F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января 1944 был подготовлен Отчет завода № 515 НКБ за 1943 год</w:t>
      </w:r>
    </w:p>
    <w:p w14:paraId="3AC5055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 202 НКСП (10218).</w:t>
      </w:r>
    </w:p>
    <w:p w14:paraId="336B691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3AABB34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января 1944 был подготовлен Отчет завода № 121 НКБ за 1943 год</w:t>
      </w:r>
    </w:p>
    <w:p w14:paraId="6809AAC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 В. Мейпариани</w:t>
      </w:r>
    </w:p>
    <w:p w14:paraId="55E92AB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приступил к восстановительным работам по пуску завода с 1 октября 1943 года.</w:t>
      </w:r>
    </w:p>
    <w:p w14:paraId="6D17D46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Адрес: Сельцо Брянское (10219).</w:t>
      </w:r>
    </w:p>
    <w:p w14:paraId="463CD9F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2782FBD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января 1944 был подготовлен Отчет завода № 107 НКБ за 1943 год</w:t>
      </w:r>
    </w:p>
    <w:p w14:paraId="67049E3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 Демин</w:t>
      </w:r>
    </w:p>
    <w:p w14:paraId="3737149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Адрес: Сталино, п/я 25 (10220).</w:t>
      </w:r>
    </w:p>
    <w:p w14:paraId="571D2EC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15979CC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января 1944 был подготовлен Отчет завода № 105 НКБ за 1943 год</w:t>
      </w:r>
    </w:p>
    <w:p w14:paraId="746618A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Адрес: Горький 37, п/я 827</w:t>
      </w:r>
    </w:p>
    <w:p w14:paraId="0BCD2F9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 Шейнин</w:t>
      </w:r>
    </w:p>
    <w:p w14:paraId="59A6804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начал свою деятельность в 1943 году.</w:t>
      </w:r>
    </w:p>
    <w:p w14:paraId="6393086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январе 1943 года состоялось решение Правительства о вынесении с территории завода № 80 производства снаряжения порохами реактивных снарядов.</w:t>
      </w:r>
    </w:p>
    <w:p w14:paraId="1AB5C8C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решению ГКО для этого производства было предоставлено ранее принадлежавшая заводу № 112 промплощадка и складской корпус в Горьком – Сормово.</w:t>
      </w:r>
    </w:p>
    <w:p w14:paraId="4AE576E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структурном отношении производство до 1 сентября входило в состав завода № 80 как филиал, а с 1 сентября по решению Правительства выделено в самостоятельный завод № 105 (10221).</w:t>
      </w:r>
    </w:p>
    <w:p w14:paraId="6010581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6E11073B"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1E4F533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437B39A" w14:textId="77777777" w:rsidR="00820285" w:rsidRPr="007224C3" w:rsidRDefault="00820285"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 января</w:t>
      </w:r>
      <w:r w:rsidRPr="007224C3">
        <w:rPr>
          <w:rFonts w:ascii="Times New Roman" w:hAnsi="Times New Roman"/>
          <w:color w:val="000000" w:themeColor="text1"/>
          <w:sz w:val="16"/>
          <w:szCs w:val="16"/>
        </w:rPr>
        <w:t xml:space="preserve"> в 1944 году оперативная сводка Совинформбюро:</w:t>
      </w:r>
    </w:p>
    <w:p w14:paraId="47F20040" w14:textId="77777777" w:rsidR="00820285" w:rsidRPr="007224C3" w:rsidRDefault="0082028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 января западнее и северо-западнее Невеля наши войска с боями продвинулись вперёд и заняли 28 населённых пунктов, в том числе Осиповка, Замошье, Нивье, Заворуи, Устьдолыссы.</w:t>
      </w:r>
    </w:p>
    <w:p w14:paraId="2A0060E8" w14:textId="77777777" w:rsidR="00820285" w:rsidRPr="007224C3" w:rsidRDefault="0082028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1-го Украинского фронта, продолжая развивать наступление, с боями овладели районным центром Житомирской области Бараши, районным центром Винницкойобласти Самгородок, районными центрами Киевской области Володарка, Гребенки, узловыми железнодорожными станциями Белокоровичи, Погребище, а также заняли более 300 других населённых пунктов, среди которых крупные населённые пункты Белокоровичи, Мяколовичи, Осовка, Горбово, Аполоновка, Бобрица, Киянка, Янушевка, Соколов, Курное, Старый Майдан, Стрибеж, Новый Завод, Перловка, Великий Шумск, Великая Татариновка, Старый Солотвин, Гальчинец, Иванновцы, Глуховцы, Кумановка, Кордышевка, Юзефовка, Ширмовка, Станиловка, Белашки, Павловка, Дзюньков, Капустинцы, Воробьёвка, Антонов, Березно, Яблоновка и железнодорожные станции Кремно, Яблонец, Богунский, Дубовецкий, Курное, Глуховцы.</w:t>
      </w:r>
    </w:p>
    <w:p w14:paraId="6B926CF6" w14:textId="77777777" w:rsidR="00820285" w:rsidRPr="007224C3" w:rsidRDefault="0082028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 разведка и артиллерийско-миномётная перестрелка.</w:t>
      </w:r>
    </w:p>
    <w:p w14:paraId="6B6AFA8C" w14:textId="77777777" w:rsidR="00820285" w:rsidRPr="007224C3" w:rsidRDefault="0082028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31 декабря наши войска на всех фронтах подбили и уничтожили 78 немецких танков. В воздушных боях и огнём зенитной артиллерии сбито 8 самолётов противника.</w:t>
      </w:r>
    </w:p>
    <w:p w14:paraId="021ABD55" w14:textId="77777777" w:rsidR="00820285" w:rsidRPr="007224C3" w:rsidRDefault="0082028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Западнее и северо-западнее Невеля наши войска продолжали вести наступательные бои. Части Н-ского соединения решительной атакой выбили противника из сильно укреплённых опорных пунктов и значительно улучшили свои позиции. Уничтожено до батальона гитлеровцев. На другом участке советские части, преодолевая упорное сопротивление немцев, овладели рядом населённых пунктов. На поле боя осталось более 800 вражеских трупов. Захвачены трофеи и пленные.</w:t>
      </w:r>
    </w:p>
    <w:p w14:paraId="56DE0BB7" w14:textId="77777777" w:rsidR="00820285" w:rsidRPr="007224C3" w:rsidRDefault="0082028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1-го Украинского фронта продолжали успешное наступление. Стремительно продвигаясь вперёд, танкисты Н-ской части наносили тяжёлые удары отступающим колоннам противника. Наши бойцы истребили до полка немецкой пехоты и разгромили штаб немецкой дивизии. Захвачены трофеи, в том числе 4 исправных танка, несколько артиллерийских батарей, более 100 автомашин, 350 повозок и 600 лошадей. В результате совместных действий танкистов и пехотинцев занят районный центр Житомирской области Бараши. Преодолевая сопротивление противника, части Н-ского соединения овладели рядом населённых пунктов, в том числе районным центром Винницкой области Самгородок. В бою за Самгородок уничтожено до 1.000 гитлеровцев и захвачено 22 орудия, 89 пулемётов, 15 миномётов, 65 автомашин и 6 радиостанций. Взято большое количество пленных. Части другого нашего соединения, успешно продвигаясь вперёд, выбили немцев из районных центров Киевской области —Гребенки и Володарка. В происходящих боях противник несёт огромные потери. Разбитые немецкие части и соединения, поспешно отступая под ударами наших войск,бросают артиллерию, автомашины, боеприпасы и различные военные материалы. Захвачено несколько крупных складов с продовольствием, вооружением и военным имуществом.</w:t>
      </w:r>
    </w:p>
    <w:p w14:paraId="1F746146" w14:textId="77777777" w:rsidR="00820285" w:rsidRPr="007224C3" w:rsidRDefault="0082028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Три партизана-подрывника из отряда, действующего в Каменец-Подольской области, организовали крушение немецких воинских поездов на важном участке железной дороги. На рассвете восьмого декабря советские патриоты взорвали эшелон противника с артиллерией и прожекторными установками. Десятого декабря партизаны пустили под откос железнодорожный состав с автомашинами. Одиннадцатого декабря на минах, поставленных партизанами, подорвался немецкий эшелон с танками. Всего за неделю три народных мстителя пустили под откос семь вражеских эшелонов, следовавших к линии фронта. В результате крушений разбито 6 паровозов и 55 вагонов и платформ. Железнодорожное сообщение на этом участке дороги было прекращено на несколько дней.</w:t>
      </w:r>
    </w:p>
    <w:p w14:paraId="4EC4733A" w14:textId="77777777" w:rsidR="00820285" w:rsidRPr="007224C3" w:rsidRDefault="0082028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Перешедший на сторону Красной Армии лейтенант 7 немецкой танковой дивизии Генрих В. рассказал: «После того, как немецкие войска заняли Житомир, мы несколько воспрянули духом. Появились проблески надежды, что нам удастся опять зацепиться за Днепр и удержать за собой хотя бы часть Украины. В связи сзанятием Житомира Гитлер издал приказ, в котором требовал развивать наступление и во что бы то ни стало занять Киев. Эта задача была возложена на сильную войсковую группировку в составе танковых и пехотных дивизий. Мы продвигались вперёд с огромным трудом и несли исключительно тяжёлые потери. К концу ноября наша дивизия потеряла не менее 70 процентов личного состава и почти весь танковый парк. Ожесточённая битва поглощала все силы. Пополнения не покрывали наших потерь. Обескровленные и измотанные части выдохлись и не в состоянии были продолжать атаки. Зимний поход на Киев был нашей последней надеждой. Он закончился позорным поражением. Стремительное контрнаступление русских войск спутало все планы немецкого командования. Не только солдаты, но даже и офицеры считают, что немецкая армия уже никогда не оправится от ударов, нанесённых ей в 1943 году на Восточном фронте».</w:t>
      </w:r>
    </w:p>
    <w:p w14:paraId="618545C5" w14:textId="77777777" w:rsidR="00820285" w:rsidRPr="007224C3" w:rsidRDefault="0082028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Жители села Пшеничники, Киевской области, Петриченко Т.П. и Петриченко А.Т.рассказали о зверствах немецко-фашистских мерзавцев: «Свыше двух лет немецкие злодеи издевались и глумились над населением нашего села. За время оккупации фашистские палачи расстреляли 195 мирных граждан села Пшеничники. Особенно зверствовали немцы перед отступлением. Они выгнали из домов всех жителей, невзирая на их возраст, и под конвоем погнали в тыл. Больных и стариков, которые не могли передвигаться, гитлеровцы расстреливали. Они убили восьмидесятилетнего колхозника Гаврилу Нестеренко, семидесятипятилетнюю колхозницу Анфису Шевченко и других. В одном селе колонна остановилась. Несколько дней мы находились под открытым небом. Здесь немцы обобрали нас до нитки, а потом загнали в сортировочный лагерь. Немецкие изверги насильно разлучили родителей с детьми. Трудоспособное взрослое население немцы отправили на каторгу в Германию, а детей оставили в лагере. Что с ними стало — неизвестно. По дороге нам удалось бежать и пробраться в наше село, теперь освобождённое от немецких захватчиков» (14996).</w:t>
      </w:r>
    </w:p>
    <w:p w14:paraId="50D27E44" w14:textId="77777777" w:rsidR="00820285" w:rsidRPr="007224C3" w:rsidRDefault="00820285" w:rsidP="007224C3">
      <w:pPr>
        <w:spacing w:after="0" w:line="240" w:lineRule="auto"/>
        <w:jc w:val="both"/>
        <w:rPr>
          <w:rFonts w:ascii="Times New Roman" w:hAnsi="Times New Roman"/>
          <w:color w:val="000000" w:themeColor="text1"/>
          <w:sz w:val="16"/>
          <w:szCs w:val="16"/>
        </w:rPr>
      </w:pPr>
    </w:p>
    <w:p w14:paraId="3642DF8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1 января 1944 г. в строю на западных флотах находились 58 ДБ-3/Ил-4 и 55А-20. На Балтике еще летали три старые машины. В 1943-45 годах Ил-4 вносил немалый вклад в войну на море. Интенсивность торпедных атак и мин</w:t>
      </w:r>
      <w:r w:rsidRPr="007224C3">
        <w:rPr>
          <w:rFonts w:ascii="Times New Roman" w:hAnsi="Times New Roman"/>
          <w:color w:val="000000" w:themeColor="text1"/>
          <w:sz w:val="16"/>
          <w:szCs w:val="16"/>
        </w:rPr>
        <w:softHyphen/>
        <w:t>ных постановок постоянно возрастала. Проводились крупные комбинирован</w:t>
      </w:r>
      <w:r w:rsidRPr="007224C3">
        <w:rPr>
          <w:rFonts w:ascii="Times New Roman" w:hAnsi="Times New Roman"/>
          <w:color w:val="000000" w:themeColor="text1"/>
          <w:sz w:val="16"/>
          <w:szCs w:val="16"/>
        </w:rPr>
        <w:softHyphen/>
        <w:t>ные операции с участием различных ро</w:t>
      </w:r>
      <w:r w:rsidRPr="007224C3">
        <w:rPr>
          <w:rFonts w:ascii="Times New Roman" w:hAnsi="Times New Roman"/>
          <w:color w:val="000000" w:themeColor="text1"/>
          <w:sz w:val="16"/>
          <w:szCs w:val="16"/>
        </w:rPr>
        <w:softHyphen/>
        <w:t>дов авиации. Пример таковой можно считать налет на Констанцу 20 августа 1944 г., когда совместно действовали истребители, бомбардировщики, торпедоносцы и штурмовики. Из состава 5-го мтап были привлечены 14 Ил-4. Про</w:t>
      </w:r>
      <w:r w:rsidRPr="007224C3">
        <w:rPr>
          <w:rFonts w:ascii="Times New Roman" w:hAnsi="Times New Roman"/>
          <w:color w:val="000000" w:themeColor="text1"/>
          <w:sz w:val="16"/>
          <w:szCs w:val="16"/>
        </w:rPr>
        <w:softHyphen/>
        <w:t>тивник понес большие потери. Таким образом действовали и по ко</w:t>
      </w:r>
      <w:r w:rsidRPr="007224C3">
        <w:rPr>
          <w:rFonts w:ascii="Times New Roman" w:hAnsi="Times New Roman"/>
          <w:color w:val="000000" w:themeColor="text1"/>
          <w:sz w:val="16"/>
          <w:szCs w:val="16"/>
        </w:rPr>
        <w:softHyphen/>
        <w:t>раблям в море (10734,85).</w:t>
      </w:r>
    </w:p>
    <w:p w14:paraId="3E861C4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F8A325" w14:textId="77777777" w:rsidR="0059774D" w:rsidRPr="007224C3" w:rsidRDefault="0059774D" w:rsidP="007224C3">
      <w:pPr>
        <w:pStyle w:val="ae"/>
        <w:spacing w:before="0" w:after="0"/>
        <w:jc w:val="both"/>
        <w:textAlignment w:val="baseline"/>
        <w:rPr>
          <w:color w:val="000000" w:themeColor="text1"/>
          <w:sz w:val="16"/>
          <w:szCs w:val="16"/>
        </w:rPr>
      </w:pPr>
      <w:r w:rsidRPr="007224C3">
        <w:rPr>
          <w:color w:val="000000" w:themeColor="text1"/>
          <w:sz w:val="16"/>
          <w:szCs w:val="16"/>
        </w:rPr>
        <w:t>К 1 января 1944 г., несмотря на непрерывное пополнение, численность штурмовиков на фронте уменьшилась до 2413 штук. Это неудивительно, так как согласно советским данным в течение 1943 г. было потеряно в общей сложности 3515 Ил-2 (19522).</w:t>
      </w:r>
    </w:p>
    <w:p w14:paraId="12978EDF" w14:textId="77777777" w:rsidR="0059774D" w:rsidRPr="007224C3" w:rsidRDefault="0059774D" w:rsidP="007224C3">
      <w:pPr>
        <w:pStyle w:val="ae"/>
        <w:spacing w:before="0" w:after="0"/>
        <w:jc w:val="both"/>
        <w:textAlignment w:val="baseline"/>
        <w:rPr>
          <w:color w:val="000000" w:themeColor="text1"/>
          <w:sz w:val="16"/>
          <w:szCs w:val="16"/>
        </w:rPr>
      </w:pPr>
    </w:p>
    <w:p w14:paraId="5B50BEF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1 января 1944 г. в строю на западных флотах находились 58 ДБ-З/Ил-4 и 55А- 20. На Балтике еше летали три старых машины (12021).</w:t>
      </w:r>
    </w:p>
    <w:p w14:paraId="43BB5EF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3774B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1 января 1944 было 13 ДБ-3Ф и Ил-4 + 3 ДБ-3 торпедоносцев на БФ (и 12 А-20), 15 Ил-4 на СФ (и 23 А-20), 27 Ил-4 на ЧФ (и 18 А-20) (561,22).</w:t>
      </w:r>
    </w:p>
    <w:p w14:paraId="1885466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EBBB6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1 января 1944 года в 1 гап оставались один А-20С и один Ил-4. Лейтенант Карабанов однажды привез на аэродром застрявший в крыле кусок мачты с клотиком! (3457,109).</w:t>
      </w:r>
    </w:p>
    <w:p w14:paraId="2D816FA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A44E1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1 января 1944 года в строю на всех флотах числилось 73 "Бостона", большую часть из них составляли торпедоносцы, а уже в июне только одна 8-я минно-торпедная дивизия на Балтике имела около 70 таких машин. При переделке A-20G в торпедоносец, так же как и в разведчик, в бомбоотсеке устанавливался дополнительный бензобак, что позволяло примерно уравнять дальность "Бостона" и Ил-4. В носовой части иногда делали штурманскую кабину. Второй распространенный вариант имел место штурмана за задней стрелковой точкой. Для штурмана прорезались боковые окна, а сверху над ними находился небольшой прозрачный куполок. Надо сказать, что такое размещение места штурмана было не очень удобно из-за сильно ограниченного обзора, зато при этом стандартная носовая часть A-20G сохранялась. В атаке такие машины обычно пускали первыми для подавления зенитного огня кораблей. Торпед они не несли. На Северном флоте в группу, наносящую удар, входило примерно поровну "Бостонов” - торнедоносцев и штурмовиков, на Черном море - три-четыре машины с мощным носовым вооружением на шесть-десять торпедоносцев. Черноморцы дополняли пушечно-пулеметный огонь еще и сбросом большого количества мелких осколочных бомб АО-2,5. "Бостоны" обычно действовали в качестве так называемых низких торпедоносцев. Они сбрасывали торпеду на дистанции 600-800 м от цели с высоты 25-30 м. Скорость самолета при этом равнялась примерно 300 км/ч (3457,107).</w:t>
      </w:r>
    </w:p>
    <w:p w14:paraId="0F541FE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586AB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1 января 1944 г. в составе ВВС СФ числилось только 40 торпедоносцев. Однако в июле с Черного моря был переброшен вооруженный "Бостонами", имевший богатый боевой опыт 36-й МТАП, который включили в состав 5-й МТАД. Подкрепление позволило минно-торпедной авиации флота совершить в 1944 г. рекордные на этом ТВД 1110 самолето-вылетов и выполнить 215 атак, при этом потери составили всего 38 самолетов. В общей сложности за годы войны торпедоносцы СФ выполнили 1559 боевых вылетов, в которых израсходовали 400 торпед и потеряли 71 самолет (2867,31).</w:t>
      </w:r>
    </w:p>
    <w:p w14:paraId="4003804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5CA5F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1 января 1944 на флотах:</w:t>
      </w:r>
    </w:p>
    <w:p w14:paraId="3A57D8D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Данные о числе И-16: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01"/>
        <w:gridCol w:w="1401"/>
        <w:gridCol w:w="1401"/>
        <w:gridCol w:w="1401"/>
        <w:gridCol w:w="1401"/>
        <w:gridCol w:w="1401"/>
        <w:gridCol w:w="1401"/>
        <w:gridCol w:w="1401"/>
      </w:tblGrid>
      <w:tr w:rsidR="006331D6" w:rsidRPr="007224C3" w14:paraId="205EB994" w14:textId="77777777">
        <w:tc>
          <w:tcPr>
            <w:tcW w:w="1401" w:type="dxa"/>
            <w:tcBorders>
              <w:top w:val="single" w:sz="12" w:space="0" w:color="auto"/>
            </w:tcBorders>
          </w:tcPr>
          <w:p w14:paraId="572656F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Borders>
              <w:top w:val="single" w:sz="12" w:space="0" w:color="auto"/>
            </w:tcBorders>
          </w:tcPr>
          <w:p w14:paraId="74E4328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1.05.42</w:t>
            </w:r>
          </w:p>
        </w:tc>
        <w:tc>
          <w:tcPr>
            <w:tcW w:w="1401" w:type="dxa"/>
            <w:tcBorders>
              <w:top w:val="single" w:sz="12" w:space="0" w:color="auto"/>
            </w:tcBorders>
          </w:tcPr>
          <w:p w14:paraId="7173403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1.07.42</w:t>
            </w:r>
          </w:p>
        </w:tc>
        <w:tc>
          <w:tcPr>
            <w:tcW w:w="1401" w:type="dxa"/>
            <w:tcBorders>
              <w:top w:val="single" w:sz="12" w:space="0" w:color="auto"/>
            </w:tcBorders>
          </w:tcPr>
          <w:p w14:paraId="6D73F38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18.11.42</w:t>
            </w:r>
          </w:p>
        </w:tc>
        <w:tc>
          <w:tcPr>
            <w:tcW w:w="1401" w:type="dxa"/>
            <w:tcBorders>
              <w:top w:val="single" w:sz="12" w:space="0" w:color="auto"/>
            </w:tcBorders>
          </w:tcPr>
          <w:p w14:paraId="1452184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1.07.43</w:t>
            </w:r>
          </w:p>
        </w:tc>
        <w:tc>
          <w:tcPr>
            <w:tcW w:w="1401" w:type="dxa"/>
            <w:tcBorders>
              <w:top w:val="single" w:sz="12" w:space="0" w:color="auto"/>
            </w:tcBorders>
          </w:tcPr>
          <w:p w14:paraId="2C7AF38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1.01.44</w:t>
            </w:r>
          </w:p>
        </w:tc>
        <w:tc>
          <w:tcPr>
            <w:tcW w:w="1401" w:type="dxa"/>
            <w:tcBorders>
              <w:top w:val="single" w:sz="12" w:space="0" w:color="auto"/>
            </w:tcBorders>
          </w:tcPr>
          <w:p w14:paraId="03DC51D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1.06.44</w:t>
            </w:r>
          </w:p>
        </w:tc>
        <w:tc>
          <w:tcPr>
            <w:tcW w:w="1401" w:type="dxa"/>
            <w:tcBorders>
              <w:top w:val="single" w:sz="12" w:space="0" w:color="auto"/>
            </w:tcBorders>
          </w:tcPr>
          <w:p w14:paraId="363B6A0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1.01.45</w:t>
            </w:r>
          </w:p>
        </w:tc>
      </w:tr>
      <w:tr w:rsidR="006331D6" w:rsidRPr="007224C3" w14:paraId="61E0D0F3" w14:textId="77777777">
        <w:tc>
          <w:tcPr>
            <w:tcW w:w="1401" w:type="dxa"/>
          </w:tcPr>
          <w:p w14:paraId="6D0216F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ВВС СФ</w:t>
            </w:r>
          </w:p>
        </w:tc>
        <w:tc>
          <w:tcPr>
            <w:tcW w:w="1401" w:type="dxa"/>
          </w:tcPr>
          <w:p w14:paraId="0438D8E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12/3</w:t>
            </w:r>
          </w:p>
        </w:tc>
        <w:tc>
          <w:tcPr>
            <w:tcW w:w="1401" w:type="dxa"/>
          </w:tcPr>
          <w:p w14:paraId="13E5EC7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8/3</w:t>
            </w:r>
          </w:p>
        </w:tc>
        <w:tc>
          <w:tcPr>
            <w:tcW w:w="1401" w:type="dxa"/>
          </w:tcPr>
          <w:p w14:paraId="76AD3CD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10/6</w:t>
            </w:r>
          </w:p>
        </w:tc>
        <w:tc>
          <w:tcPr>
            <w:tcW w:w="1401" w:type="dxa"/>
          </w:tcPr>
          <w:p w14:paraId="6F03D30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w:t>
            </w:r>
          </w:p>
        </w:tc>
        <w:tc>
          <w:tcPr>
            <w:tcW w:w="1401" w:type="dxa"/>
          </w:tcPr>
          <w:p w14:paraId="00C2B18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w:t>
            </w:r>
          </w:p>
        </w:tc>
        <w:tc>
          <w:tcPr>
            <w:tcW w:w="1401" w:type="dxa"/>
          </w:tcPr>
          <w:p w14:paraId="4821F5C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w:t>
            </w:r>
          </w:p>
        </w:tc>
        <w:tc>
          <w:tcPr>
            <w:tcW w:w="1401" w:type="dxa"/>
          </w:tcPr>
          <w:p w14:paraId="59DF2D7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w:t>
            </w:r>
          </w:p>
        </w:tc>
      </w:tr>
      <w:tr w:rsidR="006331D6" w:rsidRPr="007224C3" w14:paraId="6E735C0A" w14:textId="77777777">
        <w:tc>
          <w:tcPr>
            <w:tcW w:w="1401" w:type="dxa"/>
          </w:tcPr>
          <w:p w14:paraId="08BCF17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ВВС КБФ</w:t>
            </w:r>
          </w:p>
        </w:tc>
        <w:tc>
          <w:tcPr>
            <w:tcW w:w="1401" w:type="dxa"/>
          </w:tcPr>
          <w:p w14:paraId="538921E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52/17</w:t>
            </w:r>
          </w:p>
        </w:tc>
        <w:tc>
          <w:tcPr>
            <w:tcW w:w="1401" w:type="dxa"/>
          </w:tcPr>
          <w:p w14:paraId="4EE5639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23/7</w:t>
            </w:r>
          </w:p>
        </w:tc>
        <w:tc>
          <w:tcPr>
            <w:tcW w:w="1401" w:type="dxa"/>
          </w:tcPr>
          <w:p w14:paraId="51299FA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28/11</w:t>
            </w:r>
          </w:p>
        </w:tc>
        <w:tc>
          <w:tcPr>
            <w:tcW w:w="1401" w:type="dxa"/>
          </w:tcPr>
          <w:p w14:paraId="44DF55D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21/3</w:t>
            </w:r>
          </w:p>
        </w:tc>
        <w:tc>
          <w:tcPr>
            <w:tcW w:w="1401" w:type="dxa"/>
          </w:tcPr>
          <w:p w14:paraId="46ECD01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8/1</w:t>
            </w:r>
          </w:p>
        </w:tc>
        <w:tc>
          <w:tcPr>
            <w:tcW w:w="1401" w:type="dxa"/>
          </w:tcPr>
          <w:p w14:paraId="05F85BB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401" w:type="dxa"/>
          </w:tcPr>
          <w:p w14:paraId="23E39FB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6331D6" w:rsidRPr="007224C3" w14:paraId="4BEAA0B1" w14:textId="77777777">
        <w:tc>
          <w:tcPr>
            <w:tcW w:w="1401" w:type="dxa"/>
          </w:tcPr>
          <w:p w14:paraId="5A9ED1A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ВВС ЧФ</w:t>
            </w:r>
          </w:p>
        </w:tc>
        <w:tc>
          <w:tcPr>
            <w:tcW w:w="1401" w:type="dxa"/>
          </w:tcPr>
          <w:p w14:paraId="19DF0FB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27/0</w:t>
            </w:r>
          </w:p>
        </w:tc>
        <w:tc>
          <w:tcPr>
            <w:tcW w:w="1401" w:type="dxa"/>
          </w:tcPr>
          <w:p w14:paraId="1D6A19C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14/8</w:t>
            </w:r>
          </w:p>
        </w:tc>
        <w:tc>
          <w:tcPr>
            <w:tcW w:w="1401" w:type="dxa"/>
          </w:tcPr>
          <w:p w14:paraId="0A6C83C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8/2</w:t>
            </w:r>
          </w:p>
        </w:tc>
        <w:tc>
          <w:tcPr>
            <w:tcW w:w="1401" w:type="dxa"/>
          </w:tcPr>
          <w:p w14:paraId="0008F70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w:t>
            </w:r>
          </w:p>
        </w:tc>
        <w:tc>
          <w:tcPr>
            <w:tcW w:w="1401" w:type="dxa"/>
          </w:tcPr>
          <w:p w14:paraId="72F9EA8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7/3</w:t>
            </w:r>
          </w:p>
        </w:tc>
        <w:tc>
          <w:tcPr>
            <w:tcW w:w="1401" w:type="dxa"/>
          </w:tcPr>
          <w:p w14:paraId="78A6800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w:t>
            </w:r>
          </w:p>
        </w:tc>
        <w:tc>
          <w:tcPr>
            <w:tcW w:w="1401" w:type="dxa"/>
          </w:tcPr>
          <w:p w14:paraId="268B5FE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6331D6" w:rsidRPr="007224C3" w14:paraId="2AE402CA" w14:textId="77777777">
        <w:tc>
          <w:tcPr>
            <w:tcW w:w="1401" w:type="dxa"/>
            <w:tcBorders>
              <w:bottom w:val="single" w:sz="12" w:space="0" w:color="auto"/>
            </w:tcBorders>
          </w:tcPr>
          <w:p w14:paraId="0323919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w:t>
            </w:r>
          </w:p>
        </w:tc>
        <w:tc>
          <w:tcPr>
            <w:tcW w:w="1401" w:type="dxa"/>
            <w:tcBorders>
              <w:bottom w:val="single" w:sz="12" w:space="0" w:color="auto"/>
            </w:tcBorders>
          </w:tcPr>
          <w:p w14:paraId="0695789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91/27</w:t>
            </w:r>
          </w:p>
        </w:tc>
        <w:tc>
          <w:tcPr>
            <w:tcW w:w="1401" w:type="dxa"/>
            <w:tcBorders>
              <w:bottom w:val="single" w:sz="12" w:space="0" w:color="auto"/>
            </w:tcBorders>
          </w:tcPr>
          <w:p w14:paraId="2F411DA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45/18</w:t>
            </w:r>
          </w:p>
        </w:tc>
        <w:tc>
          <w:tcPr>
            <w:tcW w:w="1401" w:type="dxa"/>
            <w:tcBorders>
              <w:bottom w:val="single" w:sz="12" w:space="0" w:color="auto"/>
            </w:tcBorders>
          </w:tcPr>
          <w:p w14:paraId="701BF28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46/19</w:t>
            </w:r>
          </w:p>
        </w:tc>
        <w:tc>
          <w:tcPr>
            <w:tcW w:w="1401" w:type="dxa"/>
            <w:tcBorders>
              <w:bottom w:val="single" w:sz="12" w:space="0" w:color="auto"/>
            </w:tcBorders>
          </w:tcPr>
          <w:p w14:paraId="7B34896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29/4 1</w:t>
            </w:r>
          </w:p>
        </w:tc>
        <w:tc>
          <w:tcPr>
            <w:tcW w:w="1401" w:type="dxa"/>
            <w:tcBorders>
              <w:bottom w:val="single" w:sz="12" w:space="0" w:color="auto"/>
            </w:tcBorders>
          </w:tcPr>
          <w:p w14:paraId="298776C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9/4</w:t>
            </w:r>
          </w:p>
        </w:tc>
        <w:tc>
          <w:tcPr>
            <w:tcW w:w="1401" w:type="dxa"/>
            <w:tcBorders>
              <w:bottom w:val="single" w:sz="12" w:space="0" w:color="auto"/>
            </w:tcBorders>
          </w:tcPr>
          <w:p w14:paraId="4CE3913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15/1</w:t>
            </w:r>
          </w:p>
        </w:tc>
        <w:tc>
          <w:tcPr>
            <w:tcW w:w="1401" w:type="dxa"/>
            <w:tcBorders>
              <w:bottom w:val="single" w:sz="12" w:space="0" w:color="auto"/>
            </w:tcBorders>
          </w:tcPr>
          <w:p w14:paraId="5146F9A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w:t>
            </w:r>
          </w:p>
        </w:tc>
      </w:tr>
    </w:tbl>
    <w:p w14:paraId="084BBCA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числителе - всего машин; в знаменателе - в том числе неисправных на данный момент (12015).</w:t>
      </w:r>
    </w:p>
    <w:p w14:paraId="5C9202A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687C9748" w14:textId="77777777" w:rsidR="00DF6978" w:rsidRPr="007224C3" w:rsidRDefault="00DF697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1 января 1944 г. на передовой находилось 13 ПС-7. Несмотря на малочисленность, эти машины вносили свой посильный вклад в обеспечение нужд фронта. Самолёты, принадлежавшие 87-му гв. отрап, за войну перевезли 12 688 человек и 1057,7 т грузов, налетали 2607 ч днём и ночью. За это время полк потерял пять ПС-7, в том числе два, уничтоженных противником. Летали и в немецкий тыл к партизанам, нагруженные взрывчаткой, патронами, оружием. Возвращались, вывозя раненых партизан или экипажи сбитых за линией фронта самолётов (12264).</w:t>
      </w:r>
    </w:p>
    <w:p w14:paraId="0EC4A476" w14:textId="77777777" w:rsidR="00DF6978" w:rsidRPr="007224C3" w:rsidRDefault="00DF6978" w:rsidP="007224C3">
      <w:pPr>
        <w:spacing w:after="0" w:line="240" w:lineRule="auto"/>
        <w:jc w:val="both"/>
        <w:rPr>
          <w:rFonts w:ascii="Times New Roman" w:hAnsi="Times New Roman"/>
          <w:color w:val="000000" w:themeColor="text1"/>
          <w:sz w:val="16"/>
          <w:szCs w:val="16"/>
        </w:rPr>
      </w:pPr>
    </w:p>
    <w:p w14:paraId="28E60DA6" w14:textId="77777777" w:rsidR="00DF6978" w:rsidRPr="007224C3" w:rsidRDefault="00DF697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1 января 1944 г. в тылу эксплуатировалось 19 машин типа Р-6 и КР-6, из них к концу года пустили на слом по износу 13 и из-за аварии - один. Пять самолётов передали в ведомственную авиацию. С января 1945 г. ПС-7 даже не фигурируют в отчётности ГВФ отдельной графой, а данные о них приводятся вместе с Г-1 - такими же «могиканами» первой пятилетки.</w:t>
      </w:r>
    </w:p>
    <w:p w14:paraId="1CA6576C" w14:textId="77777777" w:rsidR="00DF6978" w:rsidRPr="007224C3" w:rsidRDefault="00DF697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полярной авиации ПС-7 летали всю войну. Они эксплуатировались в Московской и Чукотской авиагруппах до конца 1944 г.</w:t>
      </w:r>
    </w:p>
    <w:p w14:paraId="347493F7" w14:textId="77777777" w:rsidR="00DF6978" w:rsidRPr="007224C3" w:rsidRDefault="00DF697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На Тихоокеанском флоте в годы войны КР-ба использовали как транспортные самолёты, по-видимому, на колёсах. Последний из них списали весной 1944 г. (12264).</w:t>
      </w:r>
    </w:p>
    <w:p w14:paraId="775D3A60" w14:textId="77777777" w:rsidR="00DF6978" w:rsidRPr="007224C3" w:rsidRDefault="00DF6978" w:rsidP="007224C3">
      <w:pPr>
        <w:spacing w:after="0" w:line="240" w:lineRule="auto"/>
        <w:jc w:val="both"/>
        <w:rPr>
          <w:rFonts w:ascii="Times New Roman" w:hAnsi="Times New Roman"/>
          <w:color w:val="000000" w:themeColor="text1"/>
          <w:sz w:val="16"/>
          <w:szCs w:val="16"/>
        </w:rPr>
      </w:pPr>
    </w:p>
    <w:p w14:paraId="4E95784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w:t>
      </w:r>
      <w:r w:rsidR="00DF6978" w:rsidRPr="007224C3">
        <w:rPr>
          <w:rFonts w:ascii="Times New Roman" w:hAnsi="Times New Roman"/>
          <w:color w:val="000000" w:themeColor="text1"/>
          <w:sz w:val="16"/>
          <w:szCs w:val="16"/>
        </w:rPr>
        <w:t xml:space="preserve"> января </w:t>
      </w:r>
      <w:r w:rsidRPr="007224C3">
        <w:rPr>
          <w:rFonts w:ascii="Times New Roman" w:hAnsi="Times New Roman"/>
          <w:color w:val="000000" w:themeColor="text1"/>
          <w:sz w:val="16"/>
          <w:szCs w:val="16"/>
        </w:rPr>
        <w:t>1941 г. ПО 1</w:t>
      </w:r>
      <w:r w:rsidR="00DF6978" w:rsidRPr="007224C3">
        <w:rPr>
          <w:rFonts w:ascii="Times New Roman" w:hAnsi="Times New Roman"/>
          <w:color w:val="000000" w:themeColor="text1"/>
          <w:sz w:val="16"/>
          <w:szCs w:val="16"/>
        </w:rPr>
        <w:t xml:space="preserve"> января 1</w:t>
      </w:r>
      <w:r w:rsidRPr="007224C3">
        <w:rPr>
          <w:rFonts w:ascii="Times New Roman" w:hAnsi="Times New Roman"/>
          <w:color w:val="000000" w:themeColor="text1"/>
          <w:sz w:val="16"/>
          <w:szCs w:val="16"/>
        </w:rPr>
        <w:t>944 г. НАЛИЧИЕ ТАНКОВ В КРАСНОЙ АРМИИ</w:t>
      </w:r>
    </w:p>
    <w:tbl>
      <w:tblPr>
        <w:tblW w:w="0" w:type="auto"/>
        <w:tblInd w:w="40" w:type="dxa"/>
        <w:tblLayout w:type="fixed"/>
        <w:tblCellMar>
          <w:left w:w="40" w:type="dxa"/>
          <w:right w:w="40" w:type="dxa"/>
        </w:tblCellMar>
        <w:tblLook w:val="0000" w:firstRow="0" w:lastRow="0" w:firstColumn="0" w:lastColumn="0" w:noHBand="0" w:noVBand="0"/>
      </w:tblPr>
      <w:tblGrid>
        <w:gridCol w:w="413"/>
        <w:gridCol w:w="826"/>
        <w:gridCol w:w="1085"/>
        <w:gridCol w:w="1085"/>
        <w:gridCol w:w="902"/>
        <w:gridCol w:w="902"/>
        <w:gridCol w:w="902"/>
        <w:gridCol w:w="797"/>
        <w:gridCol w:w="893"/>
        <w:gridCol w:w="912"/>
        <w:gridCol w:w="922"/>
      </w:tblGrid>
      <w:tr w:rsidR="006331D6" w:rsidRPr="007224C3" w14:paraId="7F4C650C" w14:textId="77777777">
        <w:trPr>
          <w:trHeight w:val="835"/>
        </w:trPr>
        <w:tc>
          <w:tcPr>
            <w:tcW w:w="413" w:type="dxa"/>
            <w:tcBorders>
              <w:top w:val="single" w:sz="6" w:space="0" w:color="auto"/>
              <w:left w:val="single" w:sz="6" w:space="0" w:color="auto"/>
              <w:bottom w:val="single" w:sz="6" w:space="0" w:color="auto"/>
              <w:right w:val="single" w:sz="6" w:space="0" w:color="auto"/>
            </w:tcBorders>
          </w:tcPr>
          <w:p w14:paraId="5734EC8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п/п</w:t>
            </w:r>
          </w:p>
          <w:p w14:paraId="2462C69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7C6A717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Тип танков</w:t>
            </w:r>
          </w:p>
          <w:p w14:paraId="1A90BD4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DBAF43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Наличие по переучетным данным по состоянию на 1.01.1941 г.</w:t>
            </w:r>
          </w:p>
          <w:p w14:paraId="483883A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B1F800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Выпущено заводами про-мышлен. за 1-е полугодие 1941 г.</w:t>
            </w:r>
          </w:p>
          <w:p w14:paraId="4280392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C1D837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 танков на 1.07.1941 г.</w:t>
            </w:r>
          </w:p>
          <w:p w14:paraId="2349D84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2FA15E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Выпущено за 2-е полугодие 1941 г.</w:t>
            </w:r>
          </w:p>
          <w:p w14:paraId="2F26DBB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0C6E58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 танков на 1.01.1942 г.</w:t>
            </w:r>
          </w:p>
          <w:p w14:paraId="69611A4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4D3AF22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Выпущено за 1942 г.</w:t>
            </w:r>
          </w:p>
          <w:p w14:paraId="6967F8D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4C1241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 танков на 1.01.1943 г.</w:t>
            </w:r>
          </w:p>
          <w:p w14:paraId="10919E9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3D7D7E0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Выпущено за 1943 г.</w:t>
            </w:r>
          </w:p>
          <w:p w14:paraId="125828A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B1CA0A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 танков на 1.01.1944 г.</w:t>
            </w:r>
          </w:p>
          <w:p w14:paraId="744B140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478C1C16"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30CD7E2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p w14:paraId="566DCE0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4D85A1E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w:t>
            </w:r>
          </w:p>
          <w:p w14:paraId="1AA21AE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57EFCC6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2581E1F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2C58F7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701D11C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63F174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5D6D84A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D87679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5E9DF30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C81585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3925F02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7F7B8C3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41C0129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095422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7918C21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45D9DA7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67</w:t>
            </w:r>
          </w:p>
          <w:p w14:paraId="519F204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0A7540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67</w:t>
            </w:r>
          </w:p>
          <w:p w14:paraId="0E50A9B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39D53E0D" w14:textId="77777777">
        <w:trPr>
          <w:trHeight w:val="202"/>
        </w:trPr>
        <w:tc>
          <w:tcPr>
            <w:tcW w:w="413" w:type="dxa"/>
            <w:tcBorders>
              <w:top w:val="single" w:sz="6" w:space="0" w:color="auto"/>
              <w:left w:val="single" w:sz="6" w:space="0" w:color="auto"/>
              <w:bottom w:val="single" w:sz="6" w:space="0" w:color="auto"/>
              <w:right w:val="single" w:sz="6" w:space="0" w:color="auto"/>
            </w:tcBorders>
          </w:tcPr>
          <w:p w14:paraId="651E57D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p w14:paraId="581C1FB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49F9255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ИС-2</w:t>
            </w:r>
          </w:p>
          <w:p w14:paraId="761B4CF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0651E1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12410BC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46E024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6B5A129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989136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1ABA7F1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FAA1DA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3C412F8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BC9BC3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75475AB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4D6FB6D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51C5E49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2FDE6AB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02AFBDE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2B140F5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35</w:t>
            </w:r>
          </w:p>
          <w:p w14:paraId="3B9D7C1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3AD3B2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35</w:t>
            </w:r>
          </w:p>
          <w:p w14:paraId="47C3B3C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05662442"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44BA414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p w14:paraId="38662DD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42FA233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КВ-1</w:t>
            </w:r>
          </w:p>
          <w:p w14:paraId="1124F99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5287500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141</w:t>
            </w:r>
          </w:p>
          <w:p w14:paraId="2C15C4E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5A30B4A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282</w:t>
            </w:r>
          </w:p>
          <w:p w14:paraId="198E59F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51ED5B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423</w:t>
            </w:r>
          </w:p>
          <w:p w14:paraId="0AF8A32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F98877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933</w:t>
            </w:r>
          </w:p>
          <w:p w14:paraId="199251E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1D5BD04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1356</w:t>
            </w:r>
          </w:p>
          <w:p w14:paraId="6651D55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6C7312A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1802</w:t>
            </w:r>
          </w:p>
          <w:p w14:paraId="159F372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814C7A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3158</w:t>
            </w:r>
          </w:p>
          <w:p w14:paraId="703B8F9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3800190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76CCE98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E288F0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3158</w:t>
            </w:r>
          </w:p>
          <w:p w14:paraId="6504D4D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580F5200" w14:textId="77777777">
        <w:trPr>
          <w:trHeight w:val="202"/>
        </w:trPr>
        <w:tc>
          <w:tcPr>
            <w:tcW w:w="413" w:type="dxa"/>
            <w:tcBorders>
              <w:top w:val="single" w:sz="6" w:space="0" w:color="auto"/>
              <w:left w:val="single" w:sz="6" w:space="0" w:color="auto"/>
              <w:bottom w:val="single" w:sz="6" w:space="0" w:color="auto"/>
              <w:right w:val="single" w:sz="6" w:space="0" w:color="auto"/>
            </w:tcBorders>
          </w:tcPr>
          <w:p w14:paraId="3A89BDE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w:t>
            </w:r>
          </w:p>
          <w:p w14:paraId="514672F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16B6900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КВ-2</w:t>
            </w:r>
          </w:p>
          <w:p w14:paraId="74C146B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5C3E92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102</w:t>
            </w:r>
          </w:p>
          <w:p w14:paraId="37D52A7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7CA8C7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111</w:t>
            </w:r>
          </w:p>
          <w:p w14:paraId="007A9EE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B2E9AD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213</w:t>
            </w:r>
          </w:p>
          <w:p w14:paraId="45F740A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9778F7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3AC6E74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BA3409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213</w:t>
            </w:r>
          </w:p>
          <w:p w14:paraId="40F2E59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415E6C7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5E738A7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194A9E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213</w:t>
            </w:r>
          </w:p>
          <w:p w14:paraId="0F473AF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3AAD0D9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1BEF0BC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3CA2EA4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213</w:t>
            </w:r>
          </w:p>
          <w:p w14:paraId="510215E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244DCC59"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5EC9B95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p w14:paraId="7BD83BA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3175A24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КВ-1 с</w:t>
            </w:r>
          </w:p>
          <w:p w14:paraId="08E050F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090052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5021893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199249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5B1CD3F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BFCD69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2DC2391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F155BD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4171D05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652E6D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756E66E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276F5B0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624</w:t>
            </w:r>
          </w:p>
          <w:p w14:paraId="7603052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CE9E0E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624</w:t>
            </w:r>
          </w:p>
          <w:p w14:paraId="6365735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46072C8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463</w:t>
            </w:r>
          </w:p>
          <w:p w14:paraId="1C43C89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F729C9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1087</w:t>
            </w:r>
          </w:p>
          <w:p w14:paraId="1AED7FD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73D77465"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57A52E2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w:t>
            </w:r>
          </w:p>
          <w:p w14:paraId="76E7598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2461F94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КВ-8</w:t>
            </w:r>
          </w:p>
          <w:p w14:paraId="5DA4772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97BD7A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6F0CFC4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0363A9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1B7322D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B0CD72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26A75B8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D6EE16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21CAB97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93AAE5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5B407B0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53BCB9F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102</w:t>
            </w:r>
          </w:p>
          <w:p w14:paraId="0A36632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3870B7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102</w:t>
            </w:r>
          </w:p>
          <w:p w14:paraId="4ECF997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0D3F3DC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4E31C31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6158A3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102</w:t>
            </w:r>
          </w:p>
          <w:p w14:paraId="63634EE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63797D2E" w14:textId="77777777">
        <w:trPr>
          <w:trHeight w:val="202"/>
        </w:trPr>
        <w:tc>
          <w:tcPr>
            <w:tcW w:w="413" w:type="dxa"/>
            <w:tcBorders>
              <w:top w:val="single" w:sz="6" w:space="0" w:color="auto"/>
              <w:left w:val="single" w:sz="6" w:space="0" w:color="auto"/>
              <w:bottom w:val="single" w:sz="6" w:space="0" w:color="auto"/>
              <w:right w:val="single" w:sz="6" w:space="0" w:color="auto"/>
            </w:tcBorders>
          </w:tcPr>
          <w:p w14:paraId="2B993D8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w:t>
            </w:r>
          </w:p>
          <w:p w14:paraId="30DA412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4003531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КВ-8с</w:t>
            </w:r>
          </w:p>
          <w:p w14:paraId="5A97308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752CC9E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524BC67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008B73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296899F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CE8217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60582ED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20AB85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604DC1B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20D252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6D563DC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208DC10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w:t>
            </w:r>
          </w:p>
          <w:p w14:paraId="793233F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600FE4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w:t>
            </w:r>
          </w:p>
          <w:p w14:paraId="3F269D9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47796AF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w:t>
            </w:r>
          </w:p>
          <w:p w14:paraId="180AA61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B93421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35</w:t>
            </w:r>
          </w:p>
          <w:p w14:paraId="0B5C000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44AAF4A5"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46C444D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w:t>
            </w:r>
          </w:p>
          <w:p w14:paraId="72920B5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67C96ED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КВ-85</w:t>
            </w:r>
          </w:p>
          <w:p w14:paraId="35ADA8A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22B451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31064EF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5A0FF16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30AD0BE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9AE970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39E5AA6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AC74C2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0AC104A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9DC530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0469537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57B49B2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46B02E1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FE4C77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36C46F3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28EBE60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148</w:t>
            </w:r>
          </w:p>
          <w:p w14:paraId="7CE3775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3D667A0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148</w:t>
            </w:r>
          </w:p>
          <w:p w14:paraId="1F636F2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719A5010" w14:textId="77777777">
        <w:trPr>
          <w:trHeight w:val="202"/>
        </w:trPr>
        <w:tc>
          <w:tcPr>
            <w:tcW w:w="413" w:type="dxa"/>
            <w:tcBorders>
              <w:top w:val="single" w:sz="6" w:space="0" w:color="auto"/>
              <w:left w:val="single" w:sz="6" w:space="0" w:color="auto"/>
              <w:bottom w:val="single" w:sz="6" w:space="0" w:color="auto"/>
              <w:right w:val="single" w:sz="6" w:space="0" w:color="auto"/>
            </w:tcBorders>
          </w:tcPr>
          <w:p w14:paraId="6D78257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w:t>
            </w:r>
          </w:p>
          <w:p w14:paraId="354364E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758213B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Т-35</w:t>
            </w:r>
          </w:p>
          <w:p w14:paraId="1A3BE0C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62ADEE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61</w:t>
            </w:r>
          </w:p>
          <w:p w14:paraId="35B5142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7ED2579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6677CDC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1D1EC19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61</w:t>
            </w:r>
          </w:p>
          <w:p w14:paraId="3FF54CF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0977A4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0E3AACA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BFDE7E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61</w:t>
            </w:r>
          </w:p>
          <w:p w14:paraId="56B7022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45D98B3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45BEDE6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665EC7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61</w:t>
            </w:r>
          </w:p>
          <w:p w14:paraId="4F2D075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0D7F6F5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6CDF5B8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FC7651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61</w:t>
            </w:r>
          </w:p>
          <w:p w14:paraId="2F7D365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4B8FC418"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47FE795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w:t>
            </w:r>
          </w:p>
          <w:p w14:paraId="0880C38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4ED93D1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Т-28</w:t>
            </w:r>
          </w:p>
          <w:p w14:paraId="7F08DC7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1FF986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502</w:t>
            </w:r>
          </w:p>
          <w:p w14:paraId="15867DF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39B185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5001908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71188F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502</w:t>
            </w:r>
          </w:p>
          <w:p w14:paraId="26C05F5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D16973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26B440E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C2A6D3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502</w:t>
            </w:r>
          </w:p>
          <w:p w14:paraId="32AC3FD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15197D1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0DDF888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384B7D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502</w:t>
            </w:r>
          </w:p>
          <w:p w14:paraId="258CCFE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261097E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659F46B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A699CC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502</w:t>
            </w:r>
          </w:p>
          <w:p w14:paraId="30AF2E4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46177F09"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6562A62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w:t>
            </w:r>
          </w:p>
          <w:p w14:paraId="148E2E4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2D91D4B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Т-29</w:t>
            </w:r>
          </w:p>
          <w:p w14:paraId="4E99A36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771D9D9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p w14:paraId="4633DCD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EACBB8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53A2776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1ACB194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p w14:paraId="7C94E25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6BB72D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1030FF6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2C35B9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p w14:paraId="5B9DF17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5545703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63EEF63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167E4E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p w14:paraId="69C5851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598F203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62D3B08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E28F18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p w14:paraId="33C5CB5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0D55F3F9"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0E71445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w:t>
            </w:r>
          </w:p>
          <w:p w14:paraId="2A58007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0D17CCC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Т-34</w:t>
            </w:r>
          </w:p>
          <w:p w14:paraId="65178A1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53197D1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115</w:t>
            </w:r>
          </w:p>
          <w:p w14:paraId="13E14C1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5314C6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1110</w:t>
            </w:r>
          </w:p>
          <w:p w14:paraId="0F4BCAE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9B4CDF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1225</w:t>
            </w:r>
          </w:p>
          <w:p w14:paraId="584DB3A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7F2C9D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1886</w:t>
            </w:r>
          </w:p>
          <w:p w14:paraId="7837113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39BE3A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3111</w:t>
            </w:r>
          </w:p>
          <w:p w14:paraId="3E78C5D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3A4AE36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12211</w:t>
            </w:r>
          </w:p>
          <w:p w14:paraId="6602005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5D4E0D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15322</w:t>
            </w:r>
          </w:p>
          <w:p w14:paraId="02C2E8B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0A66359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15218</w:t>
            </w:r>
          </w:p>
          <w:p w14:paraId="0E234A9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AF12DB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30540</w:t>
            </w:r>
          </w:p>
          <w:p w14:paraId="11733F7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35EE2FAF" w14:textId="77777777">
        <w:trPr>
          <w:trHeight w:val="202"/>
        </w:trPr>
        <w:tc>
          <w:tcPr>
            <w:tcW w:w="413" w:type="dxa"/>
            <w:tcBorders>
              <w:top w:val="single" w:sz="6" w:space="0" w:color="auto"/>
              <w:left w:val="single" w:sz="6" w:space="0" w:color="auto"/>
              <w:bottom w:val="single" w:sz="6" w:space="0" w:color="auto"/>
              <w:right w:val="single" w:sz="6" w:space="0" w:color="auto"/>
            </w:tcBorders>
          </w:tcPr>
          <w:p w14:paraId="357D5F1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w:t>
            </w:r>
          </w:p>
          <w:p w14:paraId="25B5C1B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48D51A1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Т-О34</w:t>
            </w:r>
          </w:p>
          <w:p w14:paraId="3257B0D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926F31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1648261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8EA732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054FC85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0C5045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0144AF4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3046A8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1B77273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52939E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59A0597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7794392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309</w:t>
            </w:r>
          </w:p>
          <w:p w14:paraId="0C61D66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206BE93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309</w:t>
            </w:r>
          </w:p>
          <w:p w14:paraId="66DFBA9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30067FE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478</w:t>
            </w:r>
          </w:p>
          <w:p w14:paraId="0466D37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7CA1A7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787</w:t>
            </w:r>
          </w:p>
          <w:p w14:paraId="1F6662E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39485CCC"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0DA823A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w:t>
            </w:r>
          </w:p>
          <w:p w14:paraId="066C26F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7E1FAA2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БТ-7</w:t>
            </w:r>
          </w:p>
          <w:p w14:paraId="1FCF342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B1130A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4675</w:t>
            </w:r>
          </w:p>
          <w:p w14:paraId="0D84917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1CD8CE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35A41BE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3CED1B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4675</w:t>
            </w:r>
          </w:p>
          <w:p w14:paraId="60505C2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5EC3BF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52C5D0A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9E30AB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4675</w:t>
            </w:r>
          </w:p>
          <w:p w14:paraId="661EB2B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42BC1FE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4621BF6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7B9D43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4675</w:t>
            </w:r>
          </w:p>
          <w:p w14:paraId="4F0F72D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1EB462D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093FA9D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A62921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4675</w:t>
            </w:r>
          </w:p>
          <w:p w14:paraId="628C3E8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35AD2E0B" w14:textId="77777777">
        <w:trPr>
          <w:trHeight w:val="202"/>
        </w:trPr>
        <w:tc>
          <w:tcPr>
            <w:tcW w:w="413" w:type="dxa"/>
            <w:tcBorders>
              <w:top w:val="single" w:sz="6" w:space="0" w:color="auto"/>
              <w:left w:val="single" w:sz="6" w:space="0" w:color="auto"/>
              <w:bottom w:val="single" w:sz="6" w:space="0" w:color="auto"/>
              <w:right w:val="single" w:sz="6" w:space="0" w:color="auto"/>
            </w:tcBorders>
          </w:tcPr>
          <w:p w14:paraId="281CD31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w:t>
            </w:r>
          </w:p>
          <w:p w14:paraId="74DA7F5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7D549EC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БТ-7М</w:t>
            </w:r>
          </w:p>
          <w:p w14:paraId="325BEE2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BCCB22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708</w:t>
            </w:r>
          </w:p>
          <w:p w14:paraId="46DC37E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95A2ED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63C3498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55E91AC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708</w:t>
            </w:r>
          </w:p>
          <w:p w14:paraId="6AB4665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5C6AD4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51F1A9C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F0AE0E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708</w:t>
            </w:r>
          </w:p>
          <w:p w14:paraId="1F61EA5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0A66B8F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21D35EA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4E42FD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708</w:t>
            </w:r>
          </w:p>
          <w:p w14:paraId="010B79B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3049F11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1FB310B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3395308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708</w:t>
            </w:r>
          </w:p>
          <w:p w14:paraId="7D72BC4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256560FA"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4FCC3A2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w:t>
            </w:r>
          </w:p>
          <w:p w14:paraId="68E0DCE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1587CD8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БТ-2-5</w:t>
            </w:r>
          </w:p>
          <w:p w14:paraId="15E5A48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5E627D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2434</w:t>
            </w:r>
          </w:p>
          <w:p w14:paraId="09921CB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563B31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1CDACF8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1157404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2434</w:t>
            </w:r>
          </w:p>
          <w:p w14:paraId="5B4A01B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131ABF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299F09A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5543481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2434</w:t>
            </w:r>
          </w:p>
          <w:p w14:paraId="1131086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211B0DF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25F2797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22ABCC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2434</w:t>
            </w:r>
          </w:p>
          <w:p w14:paraId="1C99AD8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4EA328E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6465E2D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33BD1F2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2434</w:t>
            </w:r>
          </w:p>
          <w:p w14:paraId="796150C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4975032C" w14:textId="77777777">
        <w:trPr>
          <w:trHeight w:val="202"/>
        </w:trPr>
        <w:tc>
          <w:tcPr>
            <w:tcW w:w="413" w:type="dxa"/>
            <w:tcBorders>
              <w:top w:val="single" w:sz="6" w:space="0" w:color="auto"/>
              <w:left w:val="single" w:sz="6" w:space="0" w:color="auto"/>
              <w:bottom w:val="single" w:sz="6" w:space="0" w:color="auto"/>
              <w:right w:val="single" w:sz="6" w:space="0" w:color="auto"/>
            </w:tcBorders>
          </w:tcPr>
          <w:p w14:paraId="3D46199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w:t>
            </w:r>
          </w:p>
          <w:p w14:paraId="45503CE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323D203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Т-50</w:t>
            </w:r>
          </w:p>
          <w:p w14:paraId="6E0AB87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C52EA0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03E89E5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E0FC90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0EA0AFD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586CD2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5F7A442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094D82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w:t>
            </w:r>
          </w:p>
          <w:p w14:paraId="1935C13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E421B7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w:t>
            </w:r>
          </w:p>
          <w:p w14:paraId="092599A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028540B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w:t>
            </w:r>
          </w:p>
          <w:p w14:paraId="4D106F2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A85916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65</w:t>
            </w:r>
          </w:p>
          <w:p w14:paraId="4128D40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565B94D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1269FD0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71DF31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65</w:t>
            </w:r>
          </w:p>
          <w:p w14:paraId="23031CC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783AD34C"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29077DE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w:t>
            </w:r>
          </w:p>
          <w:p w14:paraId="1F752B3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6D075D8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Т-26</w:t>
            </w:r>
          </w:p>
          <w:p w14:paraId="4E9B021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BAD143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11090</w:t>
            </w:r>
          </w:p>
          <w:p w14:paraId="29EE2BB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111121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116</w:t>
            </w:r>
          </w:p>
          <w:p w14:paraId="76EF855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5DDB796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11206</w:t>
            </w:r>
          </w:p>
          <w:p w14:paraId="47CC542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4C64FA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46EAF64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EF6497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11206</w:t>
            </w:r>
          </w:p>
          <w:p w14:paraId="096C83D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230A986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6884DA2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BB2730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11206</w:t>
            </w:r>
          </w:p>
          <w:p w14:paraId="17F45B8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1467ADB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688052B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1DF245B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11206</w:t>
            </w:r>
          </w:p>
          <w:p w14:paraId="726A6F4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040E0014"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03C8FDE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w:t>
            </w:r>
          </w:p>
          <w:p w14:paraId="50C2358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458D54D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Т-80</w:t>
            </w:r>
          </w:p>
          <w:p w14:paraId="59FD78A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C0B6F3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0DB79B0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57C33EF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7853B1B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DD5C2D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4C9FF08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EDBE0C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444C36A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AD942C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3BE419F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38C5301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7FD2928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C4C63B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299B3F1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43CF879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75</w:t>
            </w:r>
          </w:p>
          <w:p w14:paraId="0B91242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A2437B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75</w:t>
            </w:r>
          </w:p>
          <w:p w14:paraId="3A7A61F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1B004D99" w14:textId="77777777">
        <w:trPr>
          <w:trHeight w:val="202"/>
        </w:trPr>
        <w:tc>
          <w:tcPr>
            <w:tcW w:w="413" w:type="dxa"/>
            <w:tcBorders>
              <w:top w:val="single" w:sz="6" w:space="0" w:color="auto"/>
              <w:left w:val="single" w:sz="6" w:space="0" w:color="auto"/>
              <w:bottom w:val="single" w:sz="6" w:space="0" w:color="auto"/>
              <w:right w:val="single" w:sz="6" w:space="0" w:color="auto"/>
            </w:tcBorders>
          </w:tcPr>
          <w:p w14:paraId="2825B89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w:t>
            </w:r>
          </w:p>
          <w:p w14:paraId="4A272A9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5B9A6D8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Т-70</w:t>
            </w:r>
          </w:p>
          <w:p w14:paraId="4E68992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DC74C9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01D2599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7DC468D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72F728F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EEC993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25BF10C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DF3597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6BBB11E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2AA9A3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65EA2A8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636E905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4883</w:t>
            </w:r>
          </w:p>
          <w:p w14:paraId="23A4C19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2A358C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4883</w:t>
            </w:r>
          </w:p>
          <w:p w14:paraId="4F90C5F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00079D7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3343</w:t>
            </w:r>
          </w:p>
          <w:p w14:paraId="3F312EC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CDB8F5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8226</w:t>
            </w:r>
          </w:p>
          <w:p w14:paraId="6E179D7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213CD2D8"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75ADB42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w:t>
            </w:r>
          </w:p>
          <w:p w14:paraId="23E4561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09C887C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Т-40-60</w:t>
            </w:r>
          </w:p>
          <w:p w14:paraId="6D0CBC3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C9CB62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41</w:t>
            </w:r>
          </w:p>
          <w:p w14:paraId="43042CD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238081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181</w:t>
            </w:r>
          </w:p>
          <w:p w14:paraId="0A9A729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22A820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222</w:t>
            </w:r>
          </w:p>
          <w:p w14:paraId="13CA9CA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5EE8C4A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1873</w:t>
            </w:r>
          </w:p>
          <w:p w14:paraId="22CC280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D28A90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2095</w:t>
            </w:r>
          </w:p>
          <w:p w14:paraId="6BEA320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128D723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4474</w:t>
            </w:r>
          </w:p>
          <w:p w14:paraId="5763424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5F294A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6569</w:t>
            </w:r>
          </w:p>
          <w:p w14:paraId="163CC17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33D728C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55</w:t>
            </w:r>
          </w:p>
          <w:p w14:paraId="6043603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13CFBBC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6624</w:t>
            </w:r>
          </w:p>
          <w:p w14:paraId="2362D2C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7DD71E82" w14:textId="77777777">
        <w:trPr>
          <w:trHeight w:val="202"/>
        </w:trPr>
        <w:tc>
          <w:tcPr>
            <w:tcW w:w="413" w:type="dxa"/>
            <w:tcBorders>
              <w:top w:val="single" w:sz="6" w:space="0" w:color="auto"/>
              <w:left w:val="single" w:sz="6" w:space="0" w:color="auto"/>
              <w:bottom w:val="single" w:sz="6" w:space="0" w:color="auto"/>
              <w:right w:val="single" w:sz="6" w:space="0" w:color="auto"/>
            </w:tcBorders>
          </w:tcPr>
          <w:p w14:paraId="357164F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w:t>
            </w:r>
          </w:p>
          <w:p w14:paraId="5A3A151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01470AC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Т-38</w:t>
            </w:r>
          </w:p>
          <w:p w14:paraId="1D74AFA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083B18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1142</w:t>
            </w:r>
          </w:p>
          <w:p w14:paraId="773F345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EC6F19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412DF35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1ADDE64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1142</w:t>
            </w:r>
          </w:p>
          <w:p w14:paraId="4DD884D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66E064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45F38C2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B54EDD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1142</w:t>
            </w:r>
          </w:p>
          <w:p w14:paraId="74352EF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3758909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5BB044F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4530D4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1142</w:t>
            </w:r>
          </w:p>
          <w:p w14:paraId="51312A3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662C8BF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5603623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ADBDB1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1142</w:t>
            </w:r>
          </w:p>
          <w:p w14:paraId="3F716FB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7A4F1863"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40BA646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w:t>
            </w:r>
          </w:p>
          <w:p w14:paraId="49AB858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542EADB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Т-37</w:t>
            </w:r>
          </w:p>
          <w:p w14:paraId="1DCC04C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6DF127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2418</w:t>
            </w:r>
          </w:p>
          <w:p w14:paraId="26D43B7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6FA351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37D2E28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0486F7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2418</w:t>
            </w:r>
          </w:p>
          <w:p w14:paraId="65E8103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12C25FA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45DD3FF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53EB076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2418</w:t>
            </w:r>
          </w:p>
          <w:p w14:paraId="7A88924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646071A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62F5E99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F0E32D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2418</w:t>
            </w:r>
          </w:p>
          <w:p w14:paraId="2EC17A2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4F77593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30A7992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8AA7FA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2418</w:t>
            </w:r>
          </w:p>
          <w:p w14:paraId="2FEEE18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29C7DCC0"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4767831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w:t>
            </w:r>
          </w:p>
          <w:p w14:paraId="691C6C8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027B93B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Т-27</w:t>
            </w:r>
          </w:p>
          <w:p w14:paraId="59DDA65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7427A6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2581</w:t>
            </w:r>
          </w:p>
          <w:p w14:paraId="3C5E670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CA37EC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7743DFE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1F1769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2581</w:t>
            </w:r>
          </w:p>
          <w:p w14:paraId="275E3D7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568DF3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034726E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5BAD40E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2581</w:t>
            </w:r>
          </w:p>
          <w:p w14:paraId="20A043A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3F5024B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009CC85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9BF496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2581</w:t>
            </w:r>
          </w:p>
          <w:p w14:paraId="5A6F3E3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78B3CFB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253472F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82ABB9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2581</w:t>
            </w:r>
          </w:p>
          <w:p w14:paraId="4A6BEF4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5526AE0B" w14:textId="77777777">
        <w:trPr>
          <w:trHeight w:val="221"/>
        </w:trPr>
        <w:tc>
          <w:tcPr>
            <w:tcW w:w="1239" w:type="dxa"/>
            <w:gridSpan w:val="2"/>
            <w:tcBorders>
              <w:top w:val="single" w:sz="6" w:space="0" w:color="auto"/>
              <w:left w:val="single" w:sz="6" w:space="0" w:color="auto"/>
              <w:bottom w:val="single" w:sz="6" w:space="0" w:color="auto"/>
              <w:right w:val="single" w:sz="6" w:space="0" w:color="auto"/>
            </w:tcBorders>
          </w:tcPr>
          <w:p w14:paraId="736C76A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 танков</w:t>
            </w:r>
          </w:p>
          <w:p w14:paraId="2311F59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3083A0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26013</w:t>
            </w:r>
          </w:p>
          <w:p w14:paraId="6DA664D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377B7E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1800</w:t>
            </w:r>
          </w:p>
          <w:p w14:paraId="42D7901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2C03E9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27813</w:t>
            </w:r>
          </w:p>
          <w:p w14:paraId="042D039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DEF733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4742</w:t>
            </w:r>
          </w:p>
          <w:p w14:paraId="76233FF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15A022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32555</w:t>
            </w:r>
          </w:p>
          <w:p w14:paraId="3510A1B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5A18379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24445</w:t>
            </w:r>
          </w:p>
          <w:p w14:paraId="6E1903A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0AE042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57000</w:t>
            </w:r>
          </w:p>
          <w:p w14:paraId="3EE2D20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1EA0C37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19892</w:t>
            </w:r>
          </w:p>
          <w:p w14:paraId="1877936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3E5EDB3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76892</w:t>
            </w:r>
          </w:p>
          <w:p w14:paraId="580BBB8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47EFC11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танкового управления ГБТУ КА генерал-майор инженерно-танковой службы Афонин</w:t>
      </w:r>
    </w:p>
    <w:p w14:paraId="53CED10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38. Оп. 11355. Д. 663. Л. 9. Подлинник (11403).</w:t>
      </w:r>
    </w:p>
    <w:p w14:paraId="40355B7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5A03F73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СПРАВКА ГАВТУ КА О НАЛИЧИИ В КРАСНОЙ АРМИИ ИМПОРТНЫХ АВТОМАШИН И ИХ ТЕХНИЧЕСКОМ СОСТОЯНИИ НА 1.01.1944 г. №1200344</w:t>
      </w:r>
    </w:p>
    <w:tbl>
      <w:tblPr>
        <w:tblW w:w="0" w:type="auto"/>
        <w:tblInd w:w="40" w:type="dxa"/>
        <w:tblLayout w:type="fixed"/>
        <w:tblCellMar>
          <w:left w:w="40" w:type="dxa"/>
          <w:right w:w="40" w:type="dxa"/>
        </w:tblCellMar>
        <w:tblLook w:val="0000" w:firstRow="0" w:lastRow="0" w:firstColumn="0" w:lastColumn="0" w:noHBand="0" w:noVBand="0"/>
      </w:tblPr>
      <w:tblGrid>
        <w:gridCol w:w="480"/>
        <w:gridCol w:w="1978"/>
        <w:gridCol w:w="854"/>
        <w:gridCol w:w="1565"/>
        <w:gridCol w:w="1555"/>
        <w:gridCol w:w="1690"/>
      </w:tblGrid>
      <w:tr w:rsidR="006331D6" w:rsidRPr="007224C3" w14:paraId="59A39A13" w14:textId="77777777">
        <w:trPr>
          <w:trHeight w:val="230"/>
        </w:trPr>
        <w:tc>
          <w:tcPr>
            <w:tcW w:w="480" w:type="dxa"/>
            <w:tcBorders>
              <w:top w:val="single" w:sz="6" w:space="0" w:color="auto"/>
              <w:left w:val="single" w:sz="6" w:space="0" w:color="auto"/>
              <w:bottom w:val="nil"/>
              <w:right w:val="single" w:sz="6" w:space="0" w:color="auto"/>
            </w:tcBorders>
          </w:tcPr>
          <w:p w14:paraId="652F0DC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п/п</w:t>
            </w:r>
          </w:p>
          <w:p w14:paraId="592FA81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Borders>
              <w:top w:val="single" w:sz="6" w:space="0" w:color="auto"/>
              <w:left w:val="single" w:sz="6" w:space="0" w:color="auto"/>
              <w:bottom w:val="nil"/>
              <w:right w:val="single" w:sz="6" w:space="0" w:color="auto"/>
            </w:tcBorders>
          </w:tcPr>
          <w:p w14:paraId="1450415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Марка машины</w:t>
            </w:r>
          </w:p>
          <w:p w14:paraId="65E6746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nil"/>
              <w:right w:val="single" w:sz="6" w:space="0" w:color="auto"/>
            </w:tcBorders>
          </w:tcPr>
          <w:p w14:paraId="550D55A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Наличие</w:t>
            </w:r>
          </w:p>
          <w:p w14:paraId="7B9CFD7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810" w:type="dxa"/>
            <w:gridSpan w:val="3"/>
            <w:tcBorders>
              <w:top w:val="single" w:sz="6" w:space="0" w:color="auto"/>
              <w:left w:val="single" w:sz="6" w:space="0" w:color="auto"/>
              <w:bottom w:val="single" w:sz="6" w:space="0" w:color="auto"/>
              <w:right w:val="single" w:sz="6" w:space="0" w:color="auto"/>
            </w:tcBorders>
          </w:tcPr>
          <w:p w14:paraId="50B5288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 них:</w:t>
            </w:r>
          </w:p>
          <w:p w14:paraId="50E0C2F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0ACF539F" w14:textId="77777777">
        <w:trPr>
          <w:trHeight w:val="211"/>
        </w:trPr>
        <w:tc>
          <w:tcPr>
            <w:tcW w:w="480" w:type="dxa"/>
            <w:tcBorders>
              <w:top w:val="nil"/>
              <w:left w:val="single" w:sz="6" w:space="0" w:color="auto"/>
              <w:bottom w:val="single" w:sz="6" w:space="0" w:color="auto"/>
              <w:right w:val="single" w:sz="6" w:space="0" w:color="auto"/>
            </w:tcBorders>
          </w:tcPr>
          <w:p w14:paraId="745AB4C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56D6030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Borders>
              <w:top w:val="nil"/>
              <w:left w:val="single" w:sz="6" w:space="0" w:color="auto"/>
              <w:bottom w:val="single" w:sz="6" w:space="0" w:color="auto"/>
              <w:right w:val="single" w:sz="6" w:space="0" w:color="auto"/>
            </w:tcBorders>
          </w:tcPr>
          <w:p w14:paraId="6B3EB0A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5F0BEEB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nil"/>
              <w:left w:val="single" w:sz="6" w:space="0" w:color="auto"/>
              <w:bottom w:val="single" w:sz="6" w:space="0" w:color="auto"/>
              <w:right w:val="single" w:sz="6" w:space="0" w:color="auto"/>
            </w:tcBorders>
          </w:tcPr>
          <w:p w14:paraId="67D148E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62E7AE9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6D22F3A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исправных</w:t>
            </w:r>
          </w:p>
          <w:p w14:paraId="70E980F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Borders>
              <w:top w:val="single" w:sz="6" w:space="0" w:color="auto"/>
              <w:left w:val="single" w:sz="6" w:space="0" w:color="auto"/>
              <w:bottom w:val="single" w:sz="6" w:space="0" w:color="auto"/>
              <w:right w:val="single" w:sz="6" w:space="0" w:color="auto"/>
            </w:tcBorders>
          </w:tcPr>
          <w:p w14:paraId="4904776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среднего ремонта</w:t>
            </w:r>
          </w:p>
          <w:p w14:paraId="4B65091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tcBorders>
              <w:top w:val="single" w:sz="6" w:space="0" w:color="auto"/>
              <w:left w:val="single" w:sz="6" w:space="0" w:color="auto"/>
              <w:bottom w:val="single" w:sz="6" w:space="0" w:color="auto"/>
              <w:right w:val="single" w:sz="6" w:space="0" w:color="auto"/>
            </w:tcBorders>
          </w:tcPr>
          <w:p w14:paraId="7E19FE4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капитального ремонта</w:t>
            </w:r>
          </w:p>
          <w:p w14:paraId="463C1A7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2B4D99A3"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4EC7A3D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p w14:paraId="5BE49DC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6C86E4F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Бантам</w:t>
            </w:r>
          </w:p>
          <w:p w14:paraId="0E0ABE9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4D3F294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201</w:t>
            </w:r>
          </w:p>
          <w:p w14:paraId="0B1F9B5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5697B09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96</w:t>
            </w:r>
          </w:p>
          <w:p w14:paraId="145FB74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Borders>
              <w:top w:val="single" w:sz="6" w:space="0" w:color="auto"/>
              <w:left w:val="single" w:sz="6" w:space="0" w:color="auto"/>
              <w:bottom w:val="single" w:sz="6" w:space="0" w:color="auto"/>
              <w:right w:val="single" w:sz="6" w:space="0" w:color="auto"/>
            </w:tcBorders>
          </w:tcPr>
          <w:p w14:paraId="3707E24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81</w:t>
            </w:r>
          </w:p>
          <w:p w14:paraId="447FDD4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tcBorders>
              <w:top w:val="single" w:sz="6" w:space="0" w:color="auto"/>
              <w:left w:val="single" w:sz="6" w:space="0" w:color="auto"/>
              <w:bottom w:val="single" w:sz="6" w:space="0" w:color="auto"/>
              <w:right w:val="single" w:sz="6" w:space="0" w:color="auto"/>
            </w:tcBorders>
          </w:tcPr>
          <w:p w14:paraId="7859152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w:t>
            </w:r>
          </w:p>
          <w:p w14:paraId="0C8D7EF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150B18C5"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5B0BC10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p w14:paraId="6CF8257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06C1575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Виллис</w:t>
            </w:r>
          </w:p>
          <w:p w14:paraId="42405EA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3A7CE3E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9215</w:t>
            </w:r>
          </w:p>
          <w:p w14:paraId="64409CB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1DC9EDD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6181</w:t>
            </w:r>
          </w:p>
          <w:p w14:paraId="66B6B35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Borders>
              <w:top w:val="single" w:sz="6" w:space="0" w:color="auto"/>
              <w:left w:val="single" w:sz="6" w:space="0" w:color="auto"/>
              <w:bottom w:val="single" w:sz="6" w:space="0" w:color="auto"/>
              <w:right w:val="single" w:sz="6" w:space="0" w:color="auto"/>
            </w:tcBorders>
          </w:tcPr>
          <w:p w14:paraId="0A09EC3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2010</w:t>
            </w:r>
          </w:p>
          <w:p w14:paraId="39B7BFE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tcBorders>
              <w:top w:val="single" w:sz="6" w:space="0" w:color="auto"/>
              <w:left w:val="single" w:sz="6" w:space="0" w:color="auto"/>
              <w:bottom w:val="single" w:sz="6" w:space="0" w:color="auto"/>
              <w:right w:val="single" w:sz="6" w:space="0" w:color="auto"/>
            </w:tcBorders>
          </w:tcPr>
          <w:p w14:paraId="5949535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824</w:t>
            </w:r>
          </w:p>
          <w:p w14:paraId="6D0FDFD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596109B1"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65C1F32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p w14:paraId="5C99810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07F8827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Бедфорд</w:t>
            </w:r>
          </w:p>
          <w:p w14:paraId="63B14E7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241D140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638</w:t>
            </w:r>
          </w:p>
          <w:p w14:paraId="0A95819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249886A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425</w:t>
            </w:r>
          </w:p>
          <w:p w14:paraId="0A72422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Borders>
              <w:top w:val="single" w:sz="6" w:space="0" w:color="auto"/>
              <w:left w:val="single" w:sz="6" w:space="0" w:color="auto"/>
              <w:bottom w:val="single" w:sz="6" w:space="0" w:color="auto"/>
              <w:right w:val="single" w:sz="6" w:space="0" w:color="auto"/>
            </w:tcBorders>
          </w:tcPr>
          <w:p w14:paraId="5C60C6A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159</w:t>
            </w:r>
          </w:p>
          <w:p w14:paraId="07B2EC5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tcBorders>
              <w:top w:val="single" w:sz="6" w:space="0" w:color="auto"/>
              <w:left w:val="single" w:sz="6" w:space="0" w:color="auto"/>
              <w:bottom w:val="single" w:sz="6" w:space="0" w:color="auto"/>
              <w:right w:val="single" w:sz="6" w:space="0" w:color="auto"/>
            </w:tcBorders>
          </w:tcPr>
          <w:p w14:paraId="7622558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54</w:t>
            </w:r>
          </w:p>
          <w:p w14:paraId="1E37AFD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25CB863D"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7ABDB58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w:t>
            </w:r>
          </w:p>
          <w:p w14:paraId="5AEAAB6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77BF604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Додж</w:t>
            </w:r>
          </w:p>
          <w:p w14:paraId="03DD119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52F844C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6288</w:t>
            </w:r>
          </w:p>
          <w:p w14:paraId="1973D40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0B9AA1F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4628</w:t>
            </w:r>
          </w:p>
          <w:p w14:paraId="4644066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Borders>
              <w:top w:val="single" w:sz="6" w:space="0" w:color="auto"/>
              <w:left w:val="single" w:sz="6" w:space="0" w:color="auto"/>
              <w:bottom w:val="single" w:sz="6" w:space="0" w:color="auto"/>
              <w:right w:val="single" w:sz="6" w:space="0" w:color="auto"/>
            </w:tcBorders>
          </w:tcPr>
          <w:p w14:paraId="3AB755F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1185</w:t>
            </w:r>
          </w:p>
          <w:p w14:paraId="2668F04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tcBorders>
              <w:top w:val="single" w:sz="6" w:space="0" w:color="auto"/>
              <w:left w:val="single" w:sz="6" w:space="0" w:color="auto"/>
              <w:bottom w:val="single" w:sz="6" w:space="0" w:color="auto"/>
              <w:right w:val="single" w:sz="6" w:space="0" w:color="auto"/>
            </w:tcBorders>
          </w:tcPr>
          <w:p w14:paraId="22D73CB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475</w:t>
            </w:r>
          </w:p>
          <w:p w14:paraId="36423A8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710E76D1"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0BE9930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p w14:paraId="1ABB18B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16B0DB4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Остин</w:t>
            </w:r>
          </w:p>
          <w:p w14:paraId="19D9441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3F1594D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181</w:t>
            </w:r>
          </w:p>
          <w:p w14:paraId="39FB292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7366E0C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135</w:t>
            </w:r>
          </w:p>
          <w:p w14:paraId="4CCB5A0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Borders>
              <w:top w:val="single" w:sz="6" w:space="0" w:color="auto"/>
              <w:left w:val="single" w:sz="6" w:space="0" w:color="auto"/>
              <w:bottom w:val="single" w:sz="6" w:space="0" w:color="auto"/>
              <w:right w:val="single" w:sz="6" w:space="0" w:color="auto"/>
            </w:tcBorders>
          </w:tcPr>
          <w:p w14:paraId="304905D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38</w:t>
            </w:r>
          </w:p>
          <w:p w14:paraId="7C71363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tcBorders>
              <w:top w:val="single" w:sz="6" w:space="0" w:color="auto"/>
              <w:left w:val="single" w:sz="6" w:space="0" w:color="auto"/>
              <w:bottom w:val="single" w:sz="6" w:space="0" w:color="auto"/>
              <w:right w:val="single" w:sz="6" w:space="0" w:color="auto"/>
            </w:tcBorders>
          </w:tcPr>
          <w:p w14:paraId="1E3A79A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w:t>
            </w:r>
          </w:p>
          <w:p w14:paraId="445AF8F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5B496215"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52F1349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w:t>
            </w:r>
          </w:p>
          <w:p w14:paraId="0A7CABF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6BDE651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Форд</w:t>
            </w:r>
          </w:p>
          <w:p w14:paraId="4DD92A4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1F38AB0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13731</w:t>
            </w:r>
          </w:p>
          <w:p w14:paraId="5C07252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192A418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9561</w:t>
            </w:r>
          </w:p>
          <w:p w14:paraId="0520E6D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Borders>
              <w:top w:val="single" w:sz="6" w:space="0" w:color="auto"/>
              <w:left w:val="single" w:sz="6" w:space="0" w:color="auto"/>
              <w:bottom w:val="single" w:sz="6" w:space="0" w:color="auto"/>
              <w:right w:val="single" w:sz="6" w:space="0" w:color="auto"/>
            </w:tcBorders>
          </w:tcPr>
          <w:p w14:paraId="5A45415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2907</w:t>
            </w:r>
          </w:p>
          <w:p w14:paraId="2DE8820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tcBorders>
              <w:top w:val="single" w:sz="6" w:space="0" w:color="auto"/>
              <w:left w:val="single" w:sz="6" w:space="0" w:color="auto"/>
              <w:bottom w:val="single" w:sz="6" w:space="0" w:color="auto"/>
              <w:right w:val="single" w:sz="6" w:space="0" w:color="auto"/>
            </w:tcBorders>
          </w:tcPr>
          <w:p w14:paraId="4BD0C45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1263</w:t>
            </w:r>
          </w:p>
          <w:p w14:paraId="230A401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0C49D503"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2944B48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w:t>
            </w:r>
          </w:p>
          <w:p w14:paraId="4BCE139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3BD1F69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Мармон</w:t>
            </w:r>
          </w:p>
          <w:p w14:paraId="00EF142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6EE495D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111</w:t>
            </w:r>
          </w:p>
          <w:p w14:paraId="5256825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5BD2885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69</w:t>
            </w:r>
          </w:p>
          <w:p w14:paraId="36C5317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Borders>
              <w:top w:val="single" w:sz="6" w:space="0" w:color="auto"/>
              <w:left w:val="single" w:sz="6" w:space="0" w:color="auto"/>
              <w:bottom w:val="single" w:sz="6" w:space="0" w:color="auto"/>
              <w:right w:val="single" w:sz="6" w:space="0" w:color="auto"/>
            </w:tcBorders>
          </w:tcPr>
          <w:p w14:paraId="4606B2F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33</w:t>
            </w:r>
          </w:p>
          <w:p w14:paraId="0A0C6B5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tcBorders>
              <w:top w:val="single" w:sz="6" w:space="0" w:color="auto"/>
              <w:left w:val="single" w:sz="6" w:space="0" w:color="auto"/>
              <w:bottom w:val="single" w:sz="6" w:space="0" w:color="auto"/>
              <w:right w:val="single" w:sz="6" w:space="0" w:color="auto"/>
            </w:tcBorders>
          </w:tcPr>
          <w:p w14:paraId="197E0E7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w:t>
            </w:r>
          </w:p>
          <w:p w14:paraId="13FDD7B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2CA0F1E6"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077D90C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w:t>
            </w:r>
          </w:p>
          <w:p w14:paraId="7728277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5A7DEB4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Шевроле</w:t>
            </w:r>
          </w:p>
          <w:p w14:paraId="2BB7B26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4142CD7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7689</w:t>
            </w:r>
          </w:p>
          <w:p w14:paraId="3AD117B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0288686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5339</w:t>
            </w:r>
          </w:p>
          <w:p w14:paraId="461A20D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Borders>
              <w:top w:val="single" w:sz="6" w:space="0" w:color="auto"/>
              <w:left w:val="single" w:sz="6" w:space="0" w:color="auto"/>
              <w:bottom w:val="single" w:sz="6" w:space="0" w:color="auto"/>
              <w:right w:val="single" w:sz="6" w:space="0" w:color="auto"/>
            </w:tcBorders>
          </w:tcPr>
          <w:p w14:paraId="736AC7C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1727</w:t>
            </w:r>
          </w:p>
          <w:p w14:paraId="627DF3F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tcBorders>
              <w:top w:val="single" w:sz="6" w:space="0" w:color="auto"/>
              <w:left w:val="single" w:sz="6" w:space="0" w:color="auto"/>
              <w:bottom w:val="single" w:sz="6" w:space="0" w:color="auto"/>
              <w:right w:val="single" w:sz="6" w:space="0" w:color="auto"/>
            </w:tcBorders>
          </w:tcPr>
          <w:p w14:paraId="1504C45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623</w:t>
            </w:r>
          </w:p>
          <w:p w14:paraId="72EDECC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60B0667F"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356CBE2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9.</w:t>
            </w:r>
          </w:p>
          <w:p w14:paraId="27C891F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5494DE3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Интернационал</w:t>
            </w:r>
          </w:p>
          <w:p w14:paraId="6E1CC46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60A6C17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2343</w:t>
            </w:r>
          </w:p>
          <w:p w14:paraId="7859A2D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21C7ED9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1815</w:t>
            </w:r>
          </w:p>
          <w:p w14:paraId="0DF18BA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Borders>
              <w:top w:val="single" w:sz="6" w:space="0" w:color="auto"/>
              <w:left w:val="single" w:sz="6" w:space="0" w:color="auto"/>
              <w:bottom w:val="single" w:sz="6" w:space="0" w:color="auto"/>
              <w:right w:val="single" w:sz="6" w:space="0" w:color="auto"/>
            </w:tcBorders>
          </w:tcPr>
          <w:p w14:paraId="06872D1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480</w:t>
            </w:r>
          </w:p>
          <w:p w14:paraId="0AD946F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tcBorders>
              <w:top w:val="single" w:sz="6" w:space="0" w:color="auto"/>
              <w:left w:val="single" w:sz="6" w:space="0" w:color="auto"/>
              <w:bottom w:val="single" w:sz="6" w:space="0" w:color="auto"/>
              <w:right w:val="single" w:sz="6" w:space="0" w:color="auto"/>
            </w:tcBorders>
          </w:tcPr>
          <w:p w14:paraId="4C83238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48</w:t>
            </w:r>
          </w:p>
          <w:p w14:paraId="5DF6D0A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43D00672" w14:textId="77777777">
        <w:trPr>
          <w:trHeight w:val="221"/>
        </w:trPr>
        <w:tc>
          <w:tcPr>
            <w:tcW w:w="480" w:type="dxa"/>
            <w:tcBorders>
              <w:top w:val="single" w:sz="6" w:space="0" w:color="auto"/>
              <w:left w:val="single" w:sz="6" w:space="0" w:color="auto"/>
              <w:bottom w:val="single" w:sz="6" w:space="0" w:color="auto"/>
              <w:right w:val="single" w:sz="6" w:space="0" w:color="auto"/>
            </w:tcBorders>
          </w:tcPr>
          <w:p w14:paraId="6A58F45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w:t>
            </w:r>
          </w:p>
          <w:p w14:paraId="71A1D3F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684E87D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Студебеккер</w:t>
            </w:r>
          </w:p>
          <w:p w14:paraId="27BD675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28317B1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25811</w:t>
            </w:r>
          </w:p>
          <w:p w14:paraId="0D4B49E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1C5F70D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23412</w:t>
            </w:r>
          </w:p>
          <w:p w14:paraId="147807D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Borders>
              <w:top w:val="single" w:sz="6" w:space="0" w:color="auto"/>
              <w:left w:val="single" w:sz="6" w:space="0" w:color="auto"/>
              <w:bottom w:val="single" w:sz="6" w:space="0" w:color="auto"/>
              <w:right w:val="single" w:sz="6" w:space="0" w:color="auto"/>
            </w:tcBorders>
          </w:tcPr>
          <w:p w14:paraId="5BD0F3D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2026</w:t>
            </w:r>
          </w:p>
          <w:p w14:paraId="7A27057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tcBorders>
              <w:top w:val="single" w:sz="6" w:space="0" w:color="auto"/>
              <w:left w:val="single" w:sz="6" w:space="0" w:color="auto"/>
              <w:bottom w:val="single" w:sz="6" w:space="0" w:color="auto"/>
              <w:right w:val="single" w:sz="6" w:space="0" w:color="auto"/>
            </w:tcBorders>
          </w:tcPr>
          <w:p w14:paraId="4609DDA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373</w:t>
            </w:r>
          </w:p>
          <w:p w14:paraId="038942B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7A394054"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1E94193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w:t>
            </w:r>
          </w:p>
          <w:p w14:paraId="3297DF4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075D2BD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Джиемси</w:t>
            </w:r>
          </w:p>
          <w:p w14:paraId="1C66AAE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29B7E9D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3637</w:t>
            </w:r>
          </w:p>
          <w:p w14:paraId="0F92A93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08732B4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2273</w:t>
            </w:r>
          </w:p>
          <w:p w14:paraId="454F28E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Borders>
              <w:top w:val="single" w:sz="6" w:space="0" w:color="auto"/>
              <w:left w:val="single" w:sz="6" w:space="0" w:color="auto"/>
              <w:bottom w:val="single" w:sz="6" w:space="0" w:color="auto"/>
              <w:right w:val="single" w:sz="6" w:space="0" w:color="auto"/>
            </w:tcBorders>
          </w:tcPr>
          <w:p w14:paraId="08E0893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931</w:t>
            </w:r>
          </w:p>
          <w:p w14:paraId="28FD13B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tcBorders>
              <w:top w:val="single" w:sz="6" w:space="0" w:color="auto"/>
              <w:left w:val="single" w:sz="6" w:space="0" w:color="auto"/>
              <w:bottom w:val="single" w:sz="6" w:space="0" w:color="auto"/>
              <w:right w:val="single" w:sz="6" w:space="0" w:color="auto"/>
            </w:tcBorders>
          </w:tcPr>
          <w:p w14:paraId="0FEB372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433</w:t>
            </w:r>
          </w:p>
          <w:p w14:paraId="4DB0299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1F3BDDF5"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0165BD9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w:t>
            </w:r>
          </w:p>
          <w:p w14:paraId="37282DD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1B7369F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Додж ѕ</w:t>
            </w:r>
          </w:p>
          <w:p w14:paraId="35B544B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061A9A8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250</w:t>
            </w:r>
          </w:p>
          <w:p w14:paraId="45A698F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2346FB7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239</w:t>
            </w:r>
          </w:p>
          <w:p w14:paraId="752B00B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Borders>
              <w:top w:val="single" w:sz="6" w:space="0" w:color="auto"/>
              <w:left w:val="single" w:sz="6" w:space="0" w:color="auto"/>
              <w:bottom w:val="single" w:sz="6" w:space="0" w:color="auto"/>
              <w:right w:val="single" w:sz="6" w:space="0" w:color="auto"/>
            </w:tcBorders>
          </w:tcPr>
          <w:p w14:paraId="0DC7548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w:t>
            </w:r>
          </w:p>
          <w:p w14:paraId="3303B0F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tcBorders>
              <w:top w:val="single" w:sz="6" w:space="0" w:color="auto"/>
              <w:left w:val="single" w:sz="6" w:space="0" w:color="auto"/>
              <w:bottom w:val="single" w:sz="6" w:space="0" w:color="auto"/>
              <w:right w:val="single" w:sz="6" w:space="0" w:color="auto"/>
            </w:tcBorders>
          </w:tcPr>
          <w:p w14:paraId="2FA8C45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p w14:paraId="78819B9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02B65ABE"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56BEC6A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w:t>
            </w:r>
          </w:p>
          <w:p w14:paraId="6FD8263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52402B7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Прочие иномарки</w:t>
            </w:r>
          </w:p>
          <w:p w14:paraId="02D008F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01F5917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2089</w:t>
            </w:r>
          </w:p>
          <w:p w14:paraId="44D9C3D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713A0DF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10096</w:t>
            </w:r>
          </w:p>
          <w:p w14:paraId="5B37E97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Borders>
              <w:top w:val="single" w:sz="6" w:space="0" w:color="auto"/>
              <w:left w:val="single" w:sz="6" w:space="0" w:color="auto"/>
              <w:bottom w:val="single" w:sz="6" w:space="0" w:color="auto"/>
              <w:right w:val="single" w:sz="6" w:space="0" w:color="auto"/>
            </w:tcBorders>
          </w:tcPr>
          <w:p w14:paraId="0B0487E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1431</w:t>
            </w:r>
          </w:p>
          <w:p w14:paraId="47DF2EB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tcBorders>
              <w:top w:val="single" w:sz="6" w:space="0" w:color="auto"/>
              <w:left w:val="single" w:sz="6" w:space="0" w:color="auto"/>
              <w:bottom w:val="single" w:sz="6" w:space="0" w:color="auto"/>
              <w:right w:val="single" w:sz="6" w:space="0" w:color="auto"/>
            </w:tcBorders>
          </w:tcPr>
          <w:p w14:paraId="5810155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561</w:t>
            </w:r>
          </w:p>
          <w:p w14:paraId="7C0FBC4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332835F8" w14:textId="77777777">
        <w:trPr>
          <w:trHeight w:val="250"/>
        </w:trPr>
        <w:tc>
          <w:tcPr>
            <w:tcW w:w="480" w:type="dxa"/>
            <w:tcBorders>
              <w:top w:val="single" w:sz="6" w:space="0" w:color="auto"/>
              <w:left w:val="single" w:sz="6" w:space="0" w:color="auto"/>
              <w:bottom w:val="single" w:sz="6" w:space="0" w:color="auto"/>
              <w:right w:val="single" w:sz="6" w:space="0" w:color="auto"/>
            </w:tcBorders>
          </w:tcPr>
          <w:p w14:paraId="28C3DD0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0228C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56E2909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Итого:</w:t>
            </w:r>
          </w:p>
          <w:p w14:paraId="4CD0C85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00A29E4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82184</w:t>
            </w:r>
          </w:p>
          <w:p w14:paraId="799DE59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397F05F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64469</w:t>
            </w:r>
          </w:p>
          <w:p w14:paraId="5913B34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Borders>
              <w:top w:val="single" w:sz="6" w:space="0" w:color="auto"/>
              <w:left w:val="single" w:sz="6" w:space="0" w:color="auto"/>
              <w:bottom w:val="single" w:sz="6" w:space="0" w:color="auto"/>
              <w:right w:val="single" w:sz="6" w:space="0" w:color="auto"/>
            </w:tcBorders>
          </w:tcPr>
          <w:p w14:paraId="63D0DA7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13019</w:t>
            </w:r>
          </w:p>
          <w:p w14:paraId="5E5A123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tcBorders>
              <w:top w:val="single" w:sz="6" w:space="0" w:color="auto"/>
              <w:left w:val="single" w:sz="6" w:space="0" w:color="auto"/>
              <w:bottom w:val="single" w:sz="6" w:space="0" w:color="auto"/>
              <w:right w:val="single" w:sz="6" w:space="0" w:color="auto"/>
            </w:tcBorders>
          </w:tcPr>
          <w:p w14:paraId="4079EC6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4696</w:t>
            </w:r>
          </w:p>
          <w:p w14:paraId="206DE64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8AB2E7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начальника ГАВТУ КА генерал-майор технических войск Мизонов</w:t>
      </w:r>
    </w:p>
    <w:p w14:paraId="4A21FD4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41. Оп. 11584. Д. 175. Л. 13. Копия (11403).</w:t>
      </w:r>
    </w:p>
    <w:p w14:paraId="14FF085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16EF4F7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СПРАВКА О НАЛИЧИИ АВТОМОБИЛЕЙ ИНОМАРОК В ВОЙСКАХ КРАСНОЙ АРМИИ ПО СОСТОЯНИЮ НА 1 ЯНВАРЯ 1944 г.</w:t>
      </w:r>
    </w:p>
    <w:tbl>
      <w:tblPr>
        <w:tblW w:w="0" w:type="auto"/>
        <w:tblInd w:w="40" w:type="dxa"/>
        <w:tblLayout w:type="fixed"/>
        <w:tblCellMar>
          <w:left w:w="40" w:type="dxa"/>
          <w:right w:w="40" w:type="dxa"/>
        </w:tblCellMar>
        <w:tblLook w:val="0000" w:firstRow="0" w:lastRow="0" w:firstColumn="0" w:lastColumn="0" w:noHBand="0" w:noVBand="0"/>
      </w:tblPr>
      <w:tblGrid>
        <w:gridCol w:w="2362"/>
        <w:gridCol w:w="1450"/>
        <w:gridCol w:w="970"/>
        <w:gridCol w:w="970"/>
        <w:gridCol w:w="950"/>
        <w:gridCol w:w="998"/>
        <w:gridCol w:w="979"/>
        <w:gridCol w:w="931"/>
      </w:tblGrid>
      <w:tr w:rsidR="006331D6" w:rsidRPr="007224C3" w14:paraId="049B1EF7" w14:textId="77777777">
        <w:trPr>
          <w:trHeight w:val="230"/>
        </w:trPr>
        <w:tc>
          <w:tcPr>
            <w:tcW w:w="2362" w:type="dxa"/>
            <w:tcBorders>
              <w:top w:val="single" w:sz="6" w:space="0" w:color="auto"/>
              <w:left w:val="single" w:sz="6" w:space="0" w:color="auto"/>
              <w:bottom w:val="nil"/>
              <w:right w:val="single" w:sz="6" w:space="0" w:color="auto"/>
            </w:tcBorders>
          </w:tcPr>
          <w:p w14:paraId="75C75C1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Наименование фронта</w:t>
            </w:r>
          </w:p>
          <w:p w14:paraId="7C25E25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nil"/>
              <w:right w:val="single" w:sz="6" w:space="0" w:color="auto"/>
            </w:tcBorders>
          </w:tcPr>
          <w:p w14:paraId="5468C56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 иномарок на 1.01.1944 г.</w:t>
            </w:r>
          </w:p>
          <w:p w14:paraId="5269B0E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98" w:type="dxa"/>
            <w:gridSpan w:val="6"/>
            <w:tcBorders>
              <w:top w:val="single" w:sz="6" w:space="0" w:color="auto"/>
              <w:left w:val="single" w:sz="6" w:space="0" w:color="auto"/>
              <w:bottom w:val="single" w:sz="6" w:space="0" w:color="auto"/>
              <w:right w:val="single" w:sz="6" w:space="0" w:color="auto"/>
            </w:tcBorders>
          </w:tcPr>
          <w:p w14:paraId="3BB42F0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том числе по маркам</w:t>
            </w:r>
          </w:p>
          <w:p w14:paraId="0A7D510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0AD6C8D8" w14:textId="77777777">
        <w:trPr>
          <w:trHeight w:val="211"/>
        </w:trPr>
        <w:tc>
          <w:tcPr>
            <w:tcW w:w="2362" w:type="dxa"/>
            <w:tcBorders>
              <w:top w:val="nil"/>
              <w:left w:val="single" w:sz="6" w:space="0" w:color="auto"/>
              <w:bottom w:val="single" w:sz="6" w:space="0" w:color="auto"/>
              <w:right w:val="single" w:sz="6" w:space="0" w:color="auto"/>
            </w:tcBorders>
          </w:tcPr>
          <w:p w14:paraId="4DFFA8E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63FF37C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nil"/>
              <w:left w:val="single" w:sz="6" w:space="0" w:color="auto"/>
              <w:bottom w:val="single" w:sz="6" w:space="0" w:color="auto"/>
              <w:right w:val="single" w:sz="6" w:space="0" w:color="auto"/>
            </w:tcBorders>
          </w:tcPr>
          <w:p w14:paraId="510AA36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202C954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967378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Виллис</w:t>
            </w:r>
          </w:p>
          <w:p w14:paraId="37CA307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2B28A8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Форд-6</w:t>
            </w:r>
          </w:p>
          <w:p w14:paraId="7678CDC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137A633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Додж</w:t>
            </w:r>
          </w:p>
          <w:p w14:paraId="593D29C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1A79316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Студебекер</w:t>
            </w:r>
          </w:p>
          <w:p w14:paraId="3669226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7A595EB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Шевроле</w:t>
            </w:r>
          </w:p>
          <w:p w14:paraId="5192C2F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064EFBD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Прочие</w:t>
            </w:r>
          </w:p>
          <w:p w14:paraId="1F1F323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7863BFB0" w14:textId="77777777">
        <w:trPr>
          <w:trHeight w:val="230"/>
        </w:trPr>
        <w:tc>
          <w:tcPr>
            <w:tcW w:w="2362" w:type="dxa"/>
            <w:tcBorders>
              <w:top w:val="single" w:sz="6" w:space="0" w:color="auto"/>
              <w:left w:val="single" w:sz="6" w:space="0" w:color="auto"/>
              <w:bottom w:val="single" w:sz="6" w:space="0" w:color="auto"/>
              <w:right w:val="single" w:sz="6" w:space="0" w:color="auto"/>
            </w:tcBorders>
          </w:tcPr>
          <w:p w14:paraId="6CE3BDE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Карельский</w:t>
            </w:r>
          </w:p>
          <w:p w14:paraId="77F9A3B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3F0B222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195</w:t>
            </w:r>
          </w:p>
          <w:p w14:paraId="292A680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AE55B9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w:t>
            </w:r>
          </w:p>
          <w:p w14:paraId="2BF7662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D17C0A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w:t>
            </w:r>
          </w:p>
          <w:p w14:paraId="2346037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FFF7BF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p w14:paraId="1743921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1649452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13EE516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38B6397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p w14:paraId="41C7113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0CEBA74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125</w:t>
            </w:r>
          </w:p>
          <w:p w14:paraId="477BEDE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743F9513" w14:textId="77777777">
        <w:trPr>
          <w:trHeight w:val="230"/>
        </w:trPr>
        <w:tc>
          <w:tcPr>
            <w:tcW w:w="2362" w:type="dxa"/>
            <w:tcBorders>
              <w:top w:val="single" w:sz="6" w:space="0" w:color="auto"/>
              <w:left w:val="single" w:sz="6" w:space="0" w:color="auto"/>
              <w:bottom w:val="single" w:sz="6" w:space="0" w:color="auto"/>
              <w:right w:val="single" w:sz="6" w:space="0" w:color="auto"/>
            </w:tcBorders>
          </w:tcPr>
          <w:p w14:paraId="25BDC94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Ленинградский</w:t>
            </w:r>
          </w:p>
          <w:p w14:paraId="7CDFC33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2F51230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1213</w:t>
            </w:r>
          </w:p>
          <w:p w14:paraId="56BA45D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315678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252</w:t>
            </w:r>
          </w:p>
          <w:p w14:paraId="2732530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0A8265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73</w:t>
            </w:r>
          </w:p>
          <w:p w14:paraId="5DD36F3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135E266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w:t>
            </w:r>
          </w:p>
          <w:p w14:paraId="1DF4620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4361CF9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403</w:t>
            </w:r>
          </w:p>
          <w:p w14:paraId="1A65589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3D03EA4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w:t>
            </w:r>
          </w:p>
          <w:p w14:paraId="5A3E73D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28EEC9B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458</w:t>
            </w:r>
          </w:p>
          <w:p w14:paraId="6BBE07D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408D6166" w14:textId="77777777">
        <w:trPr>
          <w:trHeight w:val="230"/>
        </w:trPr>
        <w:tc>
          <w:tcPr>
            <w:tcW w:w="2362" w:type="dxa"/>
            <w:tcBorders>
              <w:top w:val="single" w:sz="6" w:space="0" w:color="auto"/>
              <w:left w:val="single" w:sz="6" w:space="0" w:color="auto"/>
              <w:bottom w:val="single" w:sz="6" w:space="0" w:color="auto"/>
              <w:right w:val="single" w:sz="6" w:space="0" w:color="auto"/>
            </w:tcBorders>
          </w:tcPr>
          <w:p w14:paraId="4646EF5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Волховский</w:t>
            </w:r>
          </w:p>
          <w:p w14:paraId="2A57C22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03C12AB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675</w:t>
            </w:r>
          </w:p>
          <w:p w14:paraId="248F82D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09A86C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237</w:t>
            </w:r>
          </w:p>
          <w:p w14:paraId="333288D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4B8918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103</w:t>
            </w:r>
          </w:p>
          <w:p w14:paraId="27B481D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2E6417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97</w:t>
            </w:r>
          </w:p>
          <w:p w14:paraId="66695D3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73293C8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73</w:t>
            </w:r>
          </w:p>
          <w:p w14:paraId="1002E59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5A2E019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74</w:t>
            </w:r>
          </w:p>
          <w:p w14:paraId="320082E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58AAD1D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91</w:t>
            </w:r>
          </w:p>
          <w:p w14:paraId="2C4079C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773CFDFE" w14:textId="77777777">
        <w:trPr>
          <w:trHeight w:val="221"/>
        </w:trPr>
        <w:tc>
          <w:tcPr>
            <w:tcW w:w="2362" w:type="dxa"/>
            <w:tcBorders>
              <w:top w:val="single" w:sz="6" w:space="0" w:color="auto"/>
              <w:left w:val="single" w:sz="6" w:space="0" w:color="auto"/>
              <w:bottom w:val="single" w:sz="6" w:space="0" w:color="auto"/>
              <w:right w:val="single" w:sz="6" w:space="0" w:color="auto"/>
            </w:tcBorders>
          </w:tcPr>
          <w:p w14:paraId="0ADE5B2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1-й Прибалтийский</w:t>
            </w:r>
          </w:p>
          <w:p w14:paraId="0F5C8E0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6CC0D98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6250</w:t>
            </w:r>
          </w:p>
          <w:p w14:paraId="3D67464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E00BB7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599</w:t>
            </w:r>
          </w:p>
          <w:p w14:paraId="3D2550C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B9895C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1467</w:t>
            </w:r>
          </w:p>
          <w:p w14:paraId="07B6783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7E2F958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718</w:t>
            </w:r>
          </w:p>
          <w:p w14:paraId="0289107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5F48D78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2038</w:t>
            </w:r>
          </w:p>
          <w:p w14:paraId="0881486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62C2CF7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506</w:t>
            </w:r>
          </w:p>
          <w:p w14:paraId="669EB9D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724D29C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922</w:t>
            </w:r>
          </w:p>
          <w:p w14:paraId="15479C1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47236949" w14:textId="77777777">
        <w:trPr>
          <w:trHeight w:val="240"/>
        </w:trPr>
        <w:tc>
          <w:tcPr>
            <w:tcW w:w="2362" w:type="dxa"/>
            <w:tcBorders>
              <w:top w:val="single" w:sz="6" w:space="0" w:color="auto"/>
              <w:left w:val="single" w:sz="6" w:space="0" w:color="auto"/>
              <w:bottom w:val="single" w:sz="6" w:space="0" w:color="auto"/>
              <w:right w:val="single" w:sz="6" w:space="0" w:color="auto"/>
            </w:tcBorders>
          </w:tcPr>
          <w:p w14:paraId="79E8E3F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2-й Прибалтийский</w:t>
            </w:r>
          </w:p>
          <w:p w14:paraId="767E941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7104C91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4171</w:t>
            </w:r>
          </w:p>
          <w:p w14:paraId="5FA460B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01FE83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657</w:t>
            </w:r>
          </w:p>
          <w:p w14:paraId="231D1AC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E98AA4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479</w:t>
            </w:r>
          </w:p>
          <w:p w14:paraId="31C9D7F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276ED49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313</w:t>
            </w:r>
          </w:p>
          <w:p w14:paraId="61DF08C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4460F5F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1897</w:t>
            </w:r>
          </w:p>
          <w:p w14:paraId="56C9C51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159C2AC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348</w:t>
            </w:r>
          </w:p>
          <w:p w14:paraId="2321D91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6491A45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477</w:t>
            </w:r>
          </w:p>
          <w:p w14:paraId="425B644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2FCCD826" w14:textId="77777777">
        <w:trPr>
          <w:trHeight w:val="230"/>
        </w:trPr>
        <w:tc>
          <w:tcPr>
            <w:tcW w:w="2362" w:type="dxa"/>
            <w:tcBorders>
              <w:top w:val="single" w:sz="6" w:space="0" w:color="auto"/>
              <w:left w:val="single" w:sz="6" w:space="0" w:color="auto"/>
              <w:bottom w:val="single" w:sz="6" w:space="0" w:color="auto"/>
              <w:right w:val="single" w:sz="6" w:space="0" w:color="auto"/>
            </w:tcBorders>
          </w:tcPr>
          <w:p w14:paraId="348AFFC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Западный</w:t>
            </w:r>
          </w:p>
          <w:p w14:paraId="5382F1C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6181FE2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5001</w:t>
            </w:r>
          </w:p>
          <w:p w14:paraId="530064C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127FA9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760</w:t>
            </w:r>
          </w:p>
          <w:p w14:paraId="05C659B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56B8A0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859</w:t>
            </w:r>
          </w:p>
          <w:p w14:paraId="299C221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65D5830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403</w:t>
            </w:r>
          </w:p>
          <w:p w14:paraId="4B0FC0B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3660EFE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1515</w:t>
            </w:r>
          </w:p>
          <w:p w14:paraId="3FE0D02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2E9D5FF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558</w:t>
            </w:r>
          </w:p>
          <w:p w14:paraId="6676BE9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7479EA5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906</w:t>
            </w:r>
          </w:p>
          <w:p w14:paraId="041EE1E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22915052" w14:textId="77777777">
        <w:trPr>
          <w:trHeight w:val="230"/>
        </w:trPr>
        <w:tc>
          <w:tcPr>
            <w:tcW w:w="2362" w:type="dxa"/>
            <w:tcBorders>
              <w:top w:val="single" w:sz="6" w:space="0" w:color="auto"/>
              <w:left w:val="single" w:sz="6" w:space="0" w:color="auto"/>
              <w:bottom w:val="single" w:sz="6" w:space="0" w:color="auto"/>
              <w:right w:val="single" w:sz="6" w:space="0" w:color="auto"/>
            </w:tcBorders>
          </w:tcPr>
          <w:p w14:paraId="608CE7F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Белорусский</w:t>
            </w:r>
          </w:p>
          <w:p w14:paraId="18ACF25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3DD998C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7800</w:t>
            </w:r>
          </w:p>
          <w:p w14:paraId="5FC69B0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1353C3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1263</w:t>
            </w:r>
          </w:p>
          <w:p w14:paraId="5255104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45E7A5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1289</w:t>
            </w:r>
          </w:p>
          <w:p w14:paraId="5789245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3430BC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781</w:t>
            </w:r>
          </w:p>
          <w:p w14:paraId="7E2858D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6CE41D3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2432</w:t>
            </w:r>
          </w:p>
          <w:p w14:paraId="0642D32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4CAA595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1239</w:t>
            </w:r>
          </w:p>
          <w:p w14:paraId="3E32ACA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3916968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796</w:t>
            </w:r>
          </w:p>
          <w:p w14:paraId="329894C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061CB4BA" w14:textId="77777777">
        <w:trPr>
          <w:trHeight w:val="221"/>
        </w:trPr>
        <w:tc>
          <w:tcPr>
            <w:tcW w:w="2362" w:type="dxa"/>
            <w:tcBorders>
              <w:top w:val="single" w:sz="6" w:space="0" w:color="auto"/>
              <w:left w:val="single" w:sz="6" w:space="0" w:color="auto"/>
              <w:bottom w:val="single" w:sz="6" w:space="0" w:color="auto"/>
              <w:right w:val="single" w:sz="6" w:space="0" w:color="auto"/>
            </w:tcBorders>
          </w:tcPr>
          <w:p w14:paraId="3BC3171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1-й Украинский</w:t>
            </w:r>
          </w:p>
          <w:p w14:paraId="46594A6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6A895AF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9540</w:t>
            </w:r>
          </w:p>
          <w:p w14:paraId="3272A87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3B6B48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1228</w:t>
            </w:r>
          </w:p>
          <w:p w14:paraId="433969B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C98E83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2222</w:t>
            </w:r>
          </w:p>
          <w:p w14:paraId="61109CC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55B7D9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670</w:t>
            </w:r>
          </w:p>
          <w:p w14:paraId="31EE215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1782AAE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3116</w:t>
            </w:r>
          </w:p>
          <w:p w14:paraId="0AE329A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47C194F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1050</w:t>
            </w:r>
          </w:p>
          <w:p w14:paraId="687C31B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7F8B90C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1254</w:t>
            </w:r>
          </w:p>
          <w:p w14:paraId="283EA3C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78E3E161" w14:textId="77777777">
        <w:trPr>
          <w:trHeight w:val="240"/>
        </w:trPr>
        <w:tc>
          <w:tcPr>
            <w:tcW w:w="2362" w:type="dxa"/>
            <w:tcBorders>
              <w:top w:val="single" w:sz="6" w:space="0" w:color="auto"/>
              <w:left w:val="single" w:sz="6" w:space="0" w:color="auto"/>
              <w:bottom w:val="single" w:sz="6" w:space="0" w:color="auto"/>
              <w:right w:val="single" w:sz="6" w:space="0" w:color="auto"/>
            </w:tcBorders>
          </w:tcPr>
          <w:p w14:paraId="164DEAF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2-й Украинский</w:t>
            </w:r>
          </w:p>
          <w:p w14:paraId="463C8DD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1C1AC8E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7868</w:t>
            </w:r>
          </w:p>
          <w:p w14:paraId="4A99FE3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0B9611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1144</w:t>
            </w:r>
          </w:p>
          <w:p w14:paraId="32CE672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3590F8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1339</w:t>
            </w:r>
          </w:p>
          <w:p w14:paraId="7AB664C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244BD8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405</w:t>
            </w:r>
          </w:p>
          <w:p w14:paraId="62277D2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1FF8C88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2664</w:t>
            </w:r>
          </w:p>
          <w:p w14:paraId="26311BC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4503D1D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881</w:t>
            </w:r>
          </w:p>
          <w:p w14:paraId="3E95636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0412E81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1435</w:t>
            </w:r>
          </w:p>
          <w:p w14:paraId="645DADD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5C2603B1" w14:textId="77777777">
        <w:trPr>
          <w:trHeight w:val="221"/>
        </w:trPr>
        <w:tc>
          <w:tcPr>
            <w:tcW w:w="2362" w:type="dxa"/>
            <w:tcBorders>
              <w:top w:val="single" w:sz="6" w:space="0" w:color="auto"/>
              <w:left w:val="single" w:sz="6" w:space="0" w:color="auto"/>
              <w:bottom w:val="single" w:sz="6" w:space="0" w:color="auto"/>
              <w:right w:val="single" w:sz="6" w:space="0" w:color="auto"/>
            </w:tcBorders>
          </w:tcPr>
          <w:p w14:paraId="594A4E3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3-й Украинский</w:t>
            </w:r>
          </w:p>
          <w:p w14:paraId="12A8215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57142D1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3627</w:t>
            </w:r>
          </w:p>
          <w:p w14:paraId="3C12E2C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B93168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656</w:t>
            </w:r>
          </w:p>
          <w:p w14:paraId="14D42D4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AD90C4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665</w:t>
            </w:r>
          </w:p>
          <w:p w14:paraId="63B7D3D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1E46716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347</w:t>
            </w:r>
          </w:p>
          <w:p w14:paraId="0F78C91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27C7674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1072</w:t>
            </w:r>
          </w:p>
          <w:p w14:paraId="27D2B6B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59B73CE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601</w:t>
            </w:r>
          </w:p>
          <w:p w14:paraId="65A74D6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5E50E45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286</w:t>
            </w:r>
          </w:p>
          <w:p w14:paraId="6055F1B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574DD838" w14:textId="77777777">
        <w:trPr>
          <w:trHeight w:val="230"/>
        </w:trPr>
        <w:tc>
          <w:tcPr>
            <w:tcW w:w="2362" w:type="dxa"/>
            <w:tcBorders>
              <w:top w:val="single" w:sz="6" w:space="0" w:color="auto"/>
              <w:left w:val="single" w:sz="6" w:space="0" w:color="auto"/>
              <w:bottom w:val="single" w:sz="6" w:space="0" w:color="auto"/>
              <w:right w:val="single" w:sz="6" w:space="0" w:color="auto"/>
            </w:tcBorders>
          </w:tcPr>
          <w:p w14:paraId="396888D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4-й Украинский</w:t>
            </w:r>
          </w:p>
          <w:p w14:paraId="7A55D33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49954A5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6445</w:t>
            </w:r>
          </w:p>
          <w:p w14:paraId="7F519F3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9567A0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753</w:t>
            </w:r>
          </w:p>
          <w:p w14:paraId="0594C92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7F55F7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1559</w:t>
            </w:r>
          </w:p>
          <w:p w14:paraId="5B5D307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2118972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608</w:t>
            </w:r>
          </w:p>
          <w:p w14:paraId="476B71C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7FF9E65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2188</w:t>
            </w:r>
          </w:p>
          <w:p w14:paraId="3106972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64E0D32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624</w:t>
            </w:r>
          </w:p>
          <w:p w14:paraId="2012982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0462EC9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713</w:t>
            </w:r>
          </w:p>
          <w:p w14:paraId="621B95C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61D8AC6C" w14:textId="77777777">
        <w:trPr>
          <w:trHeight w:val="230"/>
        </w:trPr>
        <w:tc>
          <w:tcPr>
            <w:tcW w:w="2362" w:type="dxa"/>
            <w:tcBorders>
              <w:top w:val="single" w:sz="6" w:space="0" w:color="auto"/>
              <w:left w:val="single" w:sz="6" w:space="0" w:color="auto"/>
              <w:bottom w:val="single" w:sz="6" w:space="0" w:color="auto"/>
              <w:right w:val="single" w:sz="6" w:space="0" w:color="auto"/>
            </w:tcBorders>
          </w:tcPr>
          <w:p w14:paraId="606CCFE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Закавказский</w:t>
            </w:r>
          </w:p>
          <w:p w14:paraId="496FEE6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66192B4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3637</w:t>
            </w:r>
          </w:p>
          <w:p w14:paraId="6E9DF81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D4283A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96</w:t>
            </w:r>
          </w:p>
          <w:p w14:paraId="3BC0C79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DB5378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526</w:t>
            </w:r>
          </w:p>
          <w:p w14:paraId="5C2124A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7E88851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338</w:t>
            </w:r>
          </w:p>
          <w:p w14:paraId="5667B74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63EFD1E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1814</w:t>
            </w:r>
          </w:p>
          <w:p w14:paraId="0255397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1A8AE8F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84</w:t>
            </w:r>
          </w:p>
          <w:p w14:paraId="5E1932C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07BE4A0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779</w:t>
            </w:r>
          </w:p>
          <w:p w14:paraId="2A2B7FF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4C55F702" w14:textId="77777777">
        <w:trPr>
          <w:trHeight w:val="230"/>
        </w:trPr>
        <w:tc>
          <w:tcPr>
            <w:tcW w:w="2362" w:type="dxa"/>
            <w:tcBorders>
              <w:top w:val="single" w:sz="6" w:space="0" w:color="auto"/>
              <w:left w:val="single" w:sz="6" w:space="0" w:color="auto"/>
              <w:bottom w:val="single" w:sz="6" w:space="0" w:color="auto"/>
              <w:right w:val="single" w:sz="6" w:space="0" w:color="auto"/>
            </w:tcBorders>
          </w:tcPr>
          <w:p w14:paraId="505BA3F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Резервные армии</w:t>
            </w:r>
          </w:p>
          <w:p w14:paraId="66AD464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206E7AB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10555</w:t>
            </w:r>
          </w:p>
          <w:p w14:paraId="4967C08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C51343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521</w:t>
            </w:r>
          </w:p>
          <w:p w14:paraId="424DC90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D26B6B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1012</w:t>
            </w:r>
          </w:p>
          <w:p w14:paraId="113D414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75FE521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669</w:t>
            </w:r>
          </w:p>
          <w:p w14:paraId="389FAAD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6069274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554</w:t>
            </w:r>
          </w:p>
          <w:p w14:paraId="3D15E68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0C3A9BC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350</w:t>
            </w:r>
          </w:p>
          <w:p w14:paraId="3F779C2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6AAE631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7449</w:t>
            </w:r>
          </w:p>
          <w:p w14:paraId="3F1CBB9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682DF13E" w14:textId="77777777">
        <w:trPr>
          <w:trHeight w:val="432"/>
        </w:trPr>
        <w:tc>
          <w:tcPr>
            <w:tcW w:w="2362" w:type="dxa"/>
            <w:tcBorders>
              <w:top w:val="single" w:sz="6" w:space="0" w:color="auto"/>
              <w:left w:val="single" w:sz="6" w:space="0" w:color="auto"/>
              <w:bottom w:val="single" w:sz="6" w:space="0" w:color="auto"/>
              <w:right w:val="single" w:sz="6" w:space="0" w:color="auto"/>
            </w:tcBorders>
          </w:tcPr>
          <w:p w14:paraId="18F1EF6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Итого по фронтам Итого по округам</w:t>
            </w:r>
          </w:p>
          <w:p w14:paraId="147B116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50583A7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66977 9879</w:t>
            </w:r>
          </w:p>
          <w:p w14:paraId="63C8E0F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C6A705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8191 1087</w:t>
            </w:r>
          </w:p>
          <w:p w14:paraId="0A649DF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10BBBF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11633 2435</w:t>
            </w:r>
          </w:p>
          <w:p w14:paraId="4A37641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A07093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5364 1355</w:t>
            </w:r>
          </w:p>
          <w:p w14:paraId="0AF9546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1A28C47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19766 2278</w:t>
            </w:r>
          </w:p>
          <w:p w14:paraId="2905240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454304F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6332 601</w:t>
            </w:r>
          </w:p>
          <w:p w14:paraId="37235AD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625FD5E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15691 2123</w:t>
            </w:r>
          </w:p>
          <w:p w14:paraId="119DA77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097C80C7" w14:textId="77777777">
        <w:trPr>
          <w:trHeight w:val="250"/>
        </w:trPr>
        <w:tc>
          <w:tcPr>
            <w:tcW w:w="2362" w:type="dxa"/>
            <w:tcBorders>
              <w:top w:val="single" w:sz="6" w:space="0" w:color="auto"/>
              <w:left w:val="single" w:sz="6" w:space="0" w:color="auto"/>
              <w:bottom w:val="single" w:sz="6" w:space="0" w:color="auto"/>
              <w:right w:val="single" w:sz="6" w:space="0" w:color="auto"/>
            </w:tcBorders>
          </w:tcPr>
          <w:p w14:paraId="458CCB2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Итого по Красной Армии</w:t>
            </w:r>
          </w:p>
          <w:p w14:paraId="4559E1F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243EC24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76856</w:t>
            </w:r>
          </w:p>
          <w:p w14:paraId="16B0202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DCEED8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9278</w:t>
            </w:r>
          </w:p>
          <w:p w14:paraId="067C5BE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BDF1F9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14068</w:t>
            </w:r>
          </w:p>
          <w:p w14:paraId="69CC8A5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66E3664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6719</w:t>
            </w:r>
          </w:p>
          <w:p w14:paraId="3CD84AC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50B96D9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22044</w:t>
            </w:r>
          </w:p>
          <w:p w14:paraId="74AEF82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7772BB0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6933</w:t>
            </w:r>
          </w:p>
          <w:p w14:paraId="077D9A5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7896C84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17814</w:t>
            </w:r>
          </w:p>
          <w:p w14:paraId="4B8D5ED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086512E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2 отдела РУ ГАВТУ КА инженер-полковник Васильев</w:t>
      </w:r>
    </w:p>
    <w:p w14:paraId="2892319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41. Оп. 11580. Д. 148. Л. 38. Подлинник (11403).</w:t>
      </w:r>
    </w:p>
    <w:p w14:paraId="0B85E86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2B3213EF" w14:textId="77777777" w:rsidR="00820285" w:rsidRPr="007224C3" w:rsidRDefault="00820285" w:rsidP="007224C3">
      <w:pPr>
        <w:pStyle w:val="27"/>
        <w:shd w:val="clear" w:color="auto" w:fill="auto"/>
        <w:spacing w:after="0" w:line="240" w:lineRule="auto"/>
        <w:ind w:firstLine="0"/>
        <w:rPr>
          <w:rFonts w:ascii="Times New Roman" w:cs="Times New Roman"/>
          <w:color w:val="000000" w:themeColor="text1"/>
          <w:spacing w:val="0"/>
        </w:rPr>
      </w:pPr>
      <w:r w:rsidRPr="007224C3">
        <w:rPr>
          <w:rFonts w:ascii="Times New Roman" w:cs="Times New Roman"/>
          <w:color w:val="000000" w:themeColor="text1"/>
          <w:spacing w:val="0"/>
        </w:rPr>
        <w:t>На 1 января 1944 года 10 фронтов распола</w:t>
      </w:r>
      <w:r w:rsidRPr="007224C3">
        <w:rPr>
          <w:rFonts w:ascii="Times New Roman" w:cs="Times New Roman"/>
          <w:color w:val="000000" w:themeColor="text1"/>
          <w:spacing w:val="0"/>
        </w:rPr>
        <w:softHyphen/>
        <w:t>гали 25 полками прорыва, из них по 4 было на Волховском и 3-м Украинском (здесь сле</w:t>
      </w:r>
      <w:r w:rsidRPr="007224C3">
        <w:rPr>
          <w:rFonts w:ascii="Times New Roman" w:cs="Times New Roman"/>
          <w:color w:val="000000" w:themeColor="text1"/>
          <w:spacing w:val="0"/>
        </w:rPr>
        <w:softHyphen/>
        <w:t>дует учитывать, что речь идет обо всех гвар</w:t>
      </w:r>
      <w:r w:rsidRPr="007224C3">
        <w:rPr>
          <w:rFonts w:ascii="Times New Roman" w:cs="Times New Roman"/>
          <w:color w:val="000000" w:themeColor="text1"/>
          <w:spacing w:val="0"/>
        </w:rPr>
        <w:softHyphen/>
        <w:t>дейских танковых полках прорыва, а не толь</w:t>
      </w:r>
      <w:r w:rsidRPr="007224C3">
        <w:rPr>
          <w:rFonts w:ascii="Times New Roman" w:cs="Times New Roman"/>
          <w:color w:val="000000" w:themeColor="text1"/>
          <w:spacing w:val="0"/>
        </w:rPr>
        <w:softHyphen/>
        <w:t>ко о тех, которые имени на вооружении КВ-1С/КВ-85). С принятием на вооружение Красной Ар</w:t>
      </w:r>
      <w:r w:rsidRPr="007224C3">
        <w:rPr>
          <w:rFonts w:ascii="Times New Roman" w:cs="Times New Roman"/>
          <w:color w:val="000000" w:themeColor="text1"/>
          <w:spacing w:val="0"/>
        </w:rPr>
        <w:softHyphen/>
        <w:t>мии тяжелых самоходных установок СУ-152, а затем танков ИС и САУ ИСУ-122/152, гвар</w:t>
      </w:r>
      <w:r w:rsidRPr="007224C3">
        <w:rPr>
          <w:rFonts w:ascii="Times New Roman" w:cs="Times New Roman"/>
          <w:color w:val="000000" w:themeColor="text1"/>
          <w:spacing w:val="0"/>
        </w:rPr>
        <w:softHyphen/>
        <w:t>дейские танковые полки прорыва стали пе</w:t>
      </w:r>
      <w:r w:rsidRPr="007224C3">
        <w:rPr>
          <w:rFonts w:ascii="Times New Roman" w:cs="Times New Roman"/>
          <w:color w:val="000000" w:themeColor="text1"/>
          <w:spacing w:val="0"/>
        </w:rPr>
        <w:softHyphen/>
        <w:t>реформировываться в гвардейские тяжелые танковые или гвардейские тяжелые самоходно-артиллерийские полки.</w:t>
      </w:r>
    </w:p>
    <w:p w14:paraId="3B33811B" w14:textId="77777777" w:rsidR="00820285" w:rsidRPr="007224C3" w:rsidRDefault="00820285" w:rsidP="007224C3">
      <w:pPr>
        <w:pStyle w:val="27"/>
        <w:shd w:val="clear" w:color="auto" w:fill="auto"/>
        <w:spacing w:after="0" w:line="240" w:lineRule="auto"/>
        <w:ind w:firstLine="0"/>
        <w:rPr>
          <w:rFonts w:ascii="Times New Roman" w:cs="Times New Roman"/>
          <w:color w:val="000000" w:themeColor="text1"/>
          <w:spacing w:val="0"/>
        </w:rPr>
      </w:pPr>
      <w:r w:rsidRPr="007224C3">
        <w:rPr>
          <w:rFonts w:ascii="Times New Roman" w:cs="Times New Roman"/>
          <w:color w:val="000000" w:themeColor="text1"/>
          <w:spacing w:val="0"/>
        </w:rPr>
        <w:t>Оставшиеся в строю КВ-1С передавались в состав обычных танковых полков и бри</w:t>
      </w:r>
      <w:r w:rsidRPr="007224C3">
        <w:rPr>
          <w:rFonts w:ascii="Times New Roman" w:cs="Times New Roman"/>
          <w:color w:val="000000" w:themeColor="text1"/>
          <w:spacing w:val="0"/>
        </w:rPr>
        <w:softHyphen/>
        <w:t>гад - в сентябре 1944 года в составе 8-й ар</w:t>
      </w:r>
      <w:r w:rsidRPr="007224C3">
        <w:rPr>
          <w:rFonts w:ascii="Times New Roman" w:cs="Times New Roman"/>
          <w:color w:val="000000" w:themeColor="text1"/>
          <w:spacing w:val="0"/>
        </w:rPr>
        <w:softHyphen/>
        <w:t>мии Ленинградского фронта имелся 82-й танковый полк, в составе которого числилось 10 КВ-1С и 11 «черчиллей». Полк участвовал в боях за Эстонию, освобождал Таллин. От</w:t>
      </w:r>
      <w:r w:rsidRPr="007224C3">
        <w:rPr>
          <w:rFonts w:ascii="Times New Roman" w:cs="Times New Roman"/>
          <w:color w:val="000000" w:themeColor="text1"/>
          <w:spacing w:val="0"/>
        </w:rPr>
        <w:softHyphen/>
        <w:t>дельные машины дошли до конца войны - например, в 68-я танковой бригаде, участво</w:t>
      </w:r>
      <w:r w:rsidRPr="007224C3">
        <w:rPr>
          <w:rFonts w:ascii="Times New Roman" w:cs="Times New Roman"/>
          <w:color w:val="000000" w:themeColor="text1"/>
          <w:spacing w:val="0"/>
        </w:rPr>
        <w:softHyphen/>
        <w:t xml:space="preserve">вавшей в боях на Кюстринском плацдарме в феврале 1945 года, имелось два </w:t>
      </w:r>
      <w:r w:rsidRPr="007224C3">
        <w:rPr>
          <w:rFonts w:ascii="Times New Roman" w:cs="Times New Roman"/>
          <w:color w:val="000000" w:themeColor="text1"/>
          <w:spacing w:val="0"/>
          <w:lang w:val="en-US"/>
        </w:rPr>
        <w:t>KB</w:t>
      </w:r>
      <w:r w:rsidRPr="007224C3">
        <w:rPr>
          <w:rFonts w:ascii="Times New Roman" w:cs="Times New Roman"/>
          <w:color w:val="000000" w:themeColor="text1"/>
          <w:spacing w:val="0"/>
        </w:rPr>
        <w:t>-1С.</w:t>
      </w:r>
    </w:p>
    <w:p w14:paraId="41ECB503" w14:textId="77777777" w:rsidR="00820285" w:rsidRPr="007224C3" w:rsidRDefault="00820285" w:rsidP="007224C3">
      <w:pPr>
        <w:pStyle w:val="27"/>
        <w:shd w:val="clear" w:color="auto" w:fill="auto"/>
        <w:spacing w:after="0" w:line="240" w:lineRule="auto"/>
        <w:ind w:firstLine="0"/>
        <w:rPr>
          <w:rFonts w:ascii="Times New Roman" w:cs="Times New Roman"/>
          <w:color w:val="000000" w:themeColor="text1"/>
          <w:spacing w:val="0"/>
        </w:rPr>
      </w:pPr>
      <w:r w:rsidRPr="007224C3">
        <w:rPr>
          <w:rFonts w:ascii="Times New Roman" w:cs="Times New Roman"/>
          <w:color w:val="000000" w:themeColor="text1"/>
          <w:spacing w:val="0"/>
        </w:rPr>
        <w:t xml:space="preserve">Кроме танковых, </w:t>
      </w:r>
      <w:r w:rsidRPr="007224C3">
        <w:rPr>
          <w:rFonts w:ascii="Times New Roman" w:cs="Times New Roman"/>
          <w:color w:val="000000" w:themeColor="text1"/>
          <w:spacing w:val="0"/>
          <w:lang w:val="en-US"/>
        </w:rPr>
        <w:t>KB</w:t>
      </w:r>
      <w:r w:rsidRPr="007224C3">
        <w:rPr>
          <w:rFonts w:ascii="Times New Roman" w:cs="Times New Roman"/>
          <w:color w:val="000000" w:themeColor="text1"/>
          <w:spacing w:val="0"/>
        </w:rPr>
        <w:t>-1С использовались в качестве командирских машин в тяжелых самоходно-артиллерийских полках СУ-152 (по штату - 12 СУ-152 и 1 КВ-1С) (15226).</w:t>
      </w:r>
    </w:p>
    <w:p w14:paraId="30E90384" w14:textId="77777777" w:rsidR="00820285" w:rsidRPr="007224C3" w:rsidRDefault="00820285" w:rsidP="007224C3">
      <w:pPr>
        <w:pStyle w:val="27"/>
        <w:shd w:val="clear" w:color="auto" w:fill="auto"/>
        <w:spacing w:after="0" w:line="240" w:lineRule="auto"/>
        <w:ind w:firstLine="0"/>
        <w:rPr>
          <w:rFonts w:ascii="Times New Roman" w:cs="Times New Roman"/>
          <w:color w:val="000000" w:themeColor="text1"/>
          <w:spacing w:val="0"/>
        </w:rPr>
      </w:pPr>
    </w:p>
    <w:p w14:paraId="7638A71B"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Жизнь и внутренняя политика:</w:t>
      </w:r>
    </w:p>
    <w:p w14:paraId="766FB3F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656E537" w14:textId="77777777" w:rsidR="0059774D" w:rsidRPr="007224C3" w:rsidRDefault="0059774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1 января 1944 на складах наркомата заготовок было примерно 4 миллиона тонн зерна неприкосновенного госзапаса. В 1941-45 гг. от голода в СССР погибло 1,5 миллиона человек. Из них 70% - жители села и эвакуированные беженцы (18406).</w:t>
      </w:r>
    </w:p>
    <w:p w14:paraId="3EA43F87" w14:textId="77777777" w:rsidR="0059774D" w:rsidRPr="007224C3" w:rsidRDefault="0059774D" w:rsidP="007224C3">
      <w:pPr>
        <w:spacing w:after="0" w:line="240" w:lineRule="auto"/>
        <w:jc w:val="both"/>
        <w:rPr>
          <w:rFonts w:ascii="Times New Roman" w:hAnsi="Times New Roman"/>
          <w:color w:val="000000" w:themeColor="text1"/>
          <w:sz w:val="16"/>
          <w:szCs w:val="16"/>
        </w:rPr>
      </w:pPr>
    </w:p>
    <w:p w14:paraId="3E2601FF" w14:textId="77777777" w:rsidR="0059774D" w:rsidRPr="007224C3" w:rsidRDefault="0059774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января 1944. В полночь по радио впервые прозвучал новый Государственный гимн СССР. Исполнил его оркестр Большого театра под управлением А. Мелик-Пашаева. С начала года в московских школах, домах пионеров, домах художественного воспитания детей начали разучивать новый гимн.</w:t>
      </w:r>
    </w:p>
    <w:p w14:paraId="53277950" w14:textId="77777777" w:rsidR="0059774D" w:rsidRPr="007224C3" w:rsidRDefault="0059774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Писатель Корней Чуковский записывает: "Был вчера у Михалкова, он всю ночь провел у Иос Вис. - вернулся домой в несказанном восторге. Он читал Ст[алин]у много стихов, прочел даже шуточные, откровенно сказал вождю: "Я, И. В. ч[елове]к необразованный и часто пишу очень плохие стихи. Про гимн М[ихалков] говорит: "Ну что ж, все гимны такие. Здесь критерии искусства неприменимы! Но зато другие стихи я буду писать - во!" И действительно, его стихи превосходны -особенно о старике, продававшем корову" (18692).</w:t>
      </w:r>
    </w:p>
    <w:p w14:paraId="2C65DE8F" w14:textId="77777777" w:rsidR="0059774D" w:rsidRPr="007224C3" w:rsidRDefault="0059774D" w:rsidP="007224C3">
      <w:pPr>
        <w:spacing w:after="0" w:line="240" w:lineRule="auto"/>
        <w:jc w:val="both"/>
        <w:rPr>
          <w:rFonts w:ascii="Times New Roman" w:hAnsi="Times New Roman"/>
          <w:color w:val="000000" w:themeColor="text1"/>
          <w:sz w:val="16"/>
          <w:szCs w:val="16"/>
        </w:rPr>
      </w:pPr>
    </w:p>
    <w:p w14:paraId="5B17EE6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ОТЧЕТ НКВД НАЧАЛЬНИКУ ТЫЛА КАА.В. ХРУЛЕВУ О НАЛИЧИИ, ТЕХНИЧЕСКОМ СОСТОЯНИИ И ИСПОЛЬЗОВАНИИ АВТОМОБИЛЬНОГО ПАРКА НАРОДНОГО ХОЗЯЙСТВА СССР НА 1 ЯНВАРЯ 1944 Г. № 1/6467</w:t>
      </w:r>
    </w:p>
    <w:p w14:paraId="40212F0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I. Наличие и техническое состояние автомотопарка</w:t>
      </w:r>
    </w:p>
    <w:p w14:paraId="5415B19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Численность автомотопарка</w:t>
      </w:r>
    </w:p>
    <w:p w14:paraId="5F4B322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Автомотопарк народного хозяйства Союза ССР на 1 января 1944 г. составляет 220142 машины, в том числе:</w:t>
      </w:r>
    </w:p>
    <w:p w14:paraId="62D0719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автомобилей - 206420 мотоциклов - 12455 тягачей и тракторов на резиновом ходу - 1267</w:t>
      </w:r>
    </w:p>
    <w:p w14:paraId="71A1884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состав автомобильного парка входят:</w:t>
      </w:r>
    </w:p>
    <w:p w14:paraId="5CF5623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грузовые бензиновые автомобили - 113807</w:t>
      </w:r>
    </w:p>
    <w:p w14:paraId="4CC56C6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грузовые газогенераторные автомобили - 33619</w:t>
      </w:r>
    </w:p>
    <w:p w14:paraId="4CDDCEB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грузовые газобаллонные автомобили - 629</w:t>
      </w:r>
    </w:p>
    <w:p w14:paraId="74502E0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легковые автомобили - 36836</w:t>
      </w:r>
    </w:p>
    <w:p w14:paraId="4301A8F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специальные автомобили - 16780</w:t>
      </w:r>
    </w:p>
    <w:p w14:paraId="31BAF19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автобусы - 4749</w:t>
      </w:r>
    </w:p>
    <w:p w14:paraId="6BD388C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Кроме того, в народном хозяйстве имеется 15928 автомобильных прицепов.</w:t>
      </w:r>
    </w:p>
    <w:p w14:paraId="2D33CA8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время с 1 августа 1943 года по 1 января 1944 года численность автопарка увеличилась на 1056 единиц или на 0,5% к общему наличию автопарка.</w:t>
      </w:r>
    </w:p>
    <w:p w14:paraId="36ECB35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Изменения в количественном составе автомотопарка по типам машин характеризуется следую</w:t>
      </w:r>
      <w:r w:rsidRPr="007224C3">
        <w:rPr>
          <w:rFonts w:ascii="Times New Roman" w:hAnsi="Times New Roman"/>
          <w:color w:val="000000" w:themeColor="text1"/>
          <w:sz w:val="16"/>
          <w:szCs w:val="16"/>
        </w:rPr>
        <w:softHyphen/>
        <w:t>щими данными:</w:t>
      </w:r>
    </w:p>
    <w:tbl>
      <w:tblPr>
        <w:tblW w:w="0" w:type="auto"/>
        <w:tblInd w:w="40" w:type="dxa"/>
        <w:tblLayout w:type="fixed"/>
        <w:tblCellMar>
          <w:left w:w="40" w:type="dxa"/>
          <w:right w:w="40" w:type="dxa"/>
        </w:tblCellMar>
        <w:tblLook w:val="0000" w:firstRow="0" w:lastRow="0" w:firstColumn="0" w:lastColumn="0" w:noHBand="0" w:noVBand="0"/>
      </w:tblPr>
      <w:tblGrid>
        <w:gridCol w:w="3466"/>
        <w:gridCol w:w="1008"/>
        <w:gridCol w:w="998"/>
        <w:gridCol w:w="1008"/>
        <w:gridCol w:w="1008"/>
        <w:gridCol w:w="998"/>
        <w:gridCol w:w="1027"/>
      </w:tblGrid>
      <w:tr w:rsidR="006331D6" w:rsidRPr="007224C3" w14:paraId="7EF89FF2" w14:textId="77777777">
        <w:trPr>
          <w:trHeight w:val="221"/>
        </w:trPr>
        <w:tc>
          <w:tcPr>
            <w:tcW w:w="3466" w:type="dxa"/>
            <w:tcBorders>
              <w:top w:val="single" w:sz="6" w:space="0" w:color="auto"/>
              <w:left w:val="single" w:sz="6" w:space="0" w:color="auto"/>
              <w:bottom w:val="nil"/>
              <w:right w:val="single" w:sz="6" w:space="0" w:color="auto"/>
            </w:tcBorders>
          </w:tcPr>
          <w:p w14:paraId="31A81F5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Типы машин</w:t>
            </w:r>
          </w:p>
          <w:p w14:paraId="19C627B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06" w:type="dxa"/>
            <w:gridSpan w:val="2"/>
            <w:tcBorders>
              <w:top w:val="single" w:sz="6" w:space="0" w:color="auto"/>
              <w:left w:val="single" w:sz="6" w:space="0" w:color="auto"/>
              <w:bottom w:val="single" w:sz="6" w:space="0" w:color="auto"/>
              <w:right w:val="single" w:sz="6" w:space="0" w:color="auto"/>
            </w:tcBorders>
          </w:tcPr>
          <w:p w14:paraId="61ED6CC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Наличие машин</w:t>
            </w:r>
          </w:p>
          <w:p w14:paraId="6C738A2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16" w:type="dxa"/>
            <w:gridSpan w:val="2"/>
            <w:tcBorders>
              <w:top w:val="single" w:sz="6" w:space="0" w:color="auto"/>
              <w:left w:val="single" w:sz="6" w:space="0" w:color="auto"/>
              <w:bottom w:val="single" w:sz="6" w:space="0" w:color="auto"/>
              <w:right w:val="single" w:sz="6" w:space="0" w:color="auto"/>
            </w:tcBorders>
          </w:tcPr>
          <w:p w14:paraId="2786DA6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Увеличение</w:t>
            </w:r>
          </w:p>
          <w:p w14:paraId="7B76312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25" w:type="dxa"/>
            <w:gridSpan w:val="2"/>
            <w:tcBorders>
              <w:top w:val="single" w:sz="6" w:space="0" w:color="auto"/>
              <w:left w:val="single" w:sz="6" w:space="0" w:color="auto"/>
              <w:bottom w:val="single" w:sz="6" w:space="0" w:color="auto"/>
              <w:right w:val="single" w:sz="6" w:space="0" w:color="auto"/>
            </w:tcBorders>
          </w:tcPr>
          <w:p w14:paraId="0049AAA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Уменьшение</w:t>
            </w:r>
          </w:p>
          <w:p w14:paraId="25245C6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5675C280" w14:textId="77777777">
        <w:trPr>
          <w:trHeight w:val="374"/>
        </w:trPr>
        <w:tc>
          <w:tcPr>
            <w:tcW w:w="3466" w:type="dxa"/>
            <w:tcBorders>
              <w:top w:val="nil"/>
              <w:left w:val="single" w:sz="6" w:space="0" w:color="auto"/>
              <w:bottom w:val="single" w:sz="6" w:space="0" w:color="auto"/>
              <w:right w:val="single" w:sz="6" w:space="0" w:color="auto"/>
            </w:tcBorders>
          </w:tcPr>
          <w:p w14:paraId="231D03A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2B22A19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6A9E225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1.08.1943 г.</w:t>
            </w:r>
          </w:p>
          <w:p w14:paraId="4F97CFC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0E09CD6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1.01.1944 г.</w:t>
            </w:r>
          </w:p>
          <w:p w14:paraId="291A657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74B2D5F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Абсолютное количество</w:t>
            </w:r>
          </w:p>
          <w:p w14:paraId="0BC7B29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0719F09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w:t>
            </w:r>
          </w:p>
          <w:p w14:paraId="092FA62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0404E83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Абсолютное количество</w:t>
            </w:r>
          </w:p>
          <w:p w14:paraId="4B4DC14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00FD84B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w:t>
            </w:r>
          </w:p>
          <w:p w14:paraId="18D8F68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6F15EC6E" w14:textId="77777777">
        <w:trPr>
          <w:trHeight w:val="230"/>
        </w:trPr>
        <w:tc>
          <w:tcPr>
            <w:tcW w:w="3466" w:type="dxa"/>
            <w:tcBorders>
              <w:top w:val="single" w:sz="6" w:space="0" w:color="auto"/>
              <w:left w:val="single" w:sz="6" w:space="0" w:color="auto"/>
              <w:bottom w:val="single" w:sz="6" w:space="0" w:color="auto"/>
              <w:right w:val="single" w:sz="6" w:space="0" w:color="auto"/>
            </w:tcBorders>
          </w:tcPr>
          <w:p w14:paraId="7EB395B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Грузовые бензиновые автомобили</w:t>
            </w:r>
          </w:p>
          <w:p w14:paraId="4A8323C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24019B2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111679</w:t>
            </w:r>
          </w:p>
          <w:p w14:paraId="6CA9468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3502DD4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113807</w:t>
            </w:r>
          </w:p>
          <w:p w14:paraId="49F047A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21F9E7D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2128</w:t>
            </w:r>
          </w:p>
          <w:p w14:paraId="0B3F63C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19E429E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w:t>
            </w:r>
          </w:p>
          <w:p w14:paraId="6129585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0A2FDDE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695F980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1358A44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4AA3202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0E39FD53" w14:textId="77777777">
        <w:trPr>
          <w:trHeight w:val="230"/>
        </w:trPr>
        <w:tc>
          <w:tcPr>
            <w:tcW w:w="3466" w:type="dxa"/>
            <w:tcBorders>
              <w:top w:val="single" w:sz="6" w:space="0" w:color="auto"/>
              <w:left w:val="single" w:sz="6" w:space="0" w:color="auto"/>
              <w:bottom w:val="single" w:sz="6" w:space="0" w:color="auto"/>
              <w:right w:val="single" w:sz="6" w:space="0" w:color="auto"/>
            </w:tcBorders>
          </w:tcPr>
          <w:p w14:paraId="371C3DD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Грузовые газогенераторные автомобили</w:t>
            </w:r>
          </w:p>
          <w:p w14:paraId="517DEB2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66B3F76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33231</w:t>
            </w:r>
          </w:p>
          <w:p w14:paraId="21275DB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7E434F3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33619</w:t>
            </w:r>
          </w:p>
          <w:p w14:paraId="7743802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7397F31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388</w:t>
            </w:r>
          </w:p>
          <w:p w14:paraId="2754B51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77B4B63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w:t>
            </w:r>
          </w:p>
          <w:p w14:paraId="6ABFE51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5EC3FC9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1FBF16C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00D8F6C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1E7F21A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1AC329E0" w14:textId="77777777">
        <w:trPr>
          <w:trHeight w:val="230"/>
        </w:trPr>
        <w:tc>
          <w:tcPr>
            <w:tcW w:w="3466" w:type="dxa"/>
            <w:tcBorders>
              <w:top w:val="single" w:sz="6" w:space="0" w:color="auto"/>
              <w:left w:val="single" w:sz="6" w:space="0" w:color="auto"/>
              <w:bottom w:val="single" w:sz="6" w:space="0" w:color="auto"/>
              <w:right w:val="single" w:sz="6" w:space="0" w:color="auto"/>
            </w:tcBorders>
          </w:tcPr>
          <w:p w14:paraId="61B8245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Грузовые газобаллонные автомобили</w:t>
            </w:r>
          </w:p>
          <w:p w14:paraId="7057153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57D63EB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443</w:t>
            </w:r>
          </w:p>
          <w:p w14:paraId="5130DB0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5A4E9E1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629</w:t>
            </w:r>
          </w:p>
          <w:p w14:paraId="151495D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51C4B0F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186</w:t>
            </w:r>
          </w:p>
          <w:p w14:paraId="01C4FFF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7D9C8E9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42,0</w:t>
            </w:r>
          </w:p>
          <w:p w14:paraId="7A16BA8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54FEBA1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4B34DCB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4605323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5063ABD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57E62716" w14:textId="77777777">
        <w:trPr>
          <w:trHeight w:val="230"/>
        </w:trPr>
        <w:tc>
          <w:tcPr>
            <w:tcW w:w="3466" w:type="dxa"/>
            <w:tcBorders>
              <w:top w:val="single" w:sz="6" w:space="0" w:color="auto"/>
              <w:left w:val="single" w:sz="6" w:space="0" w:color="auto"/>
              <w:bottom w:val="single" w:sz="6" w:space="0" w:color="auto"/>
              <w:right w:val="single" w:sz="6" w:space="0" w:color="auto"/>
            </w:tcBorders>
          </w:tcPr>
          <w:p w14:paraId="4C2A2BA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Легковые автомобили</w:t>
            </w:r>
          </w:p>
          <w:p w14:paraId="08D95EC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1615486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37037</w:t>
            </w:r>
          </w:p>
          <w:p w14:paraId="4987E1B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7CEB608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36836</w:t>
            </w:r>
          </w:p>
          <w:p w14:paraId="6CE3119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5E26426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7CCDD84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7FEE455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72E669F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0C7C7A2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201</w:t>
            </w:r>
          </w:p>
          <w:p w14:paraId="1E671E6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750564D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0,5</w:t>
            </w:r>
          </w:p>
          <w:p w14:paraId="6AFBC5F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2A66867B" w14:textId="77777777">
        <w:trPr>
          <w:trHeight w:val="230"/>
        </w:trPr>
        <w:tc>
          <w:tcPr>
            <w:tcW w:w="3466" w:type="dxa"/>
            <w:tcBorders>
              <w:top w:val="single" w:sz="6" w:space="0" w:color="auto"/>
              <w:left w:val="single" w:sz="6" w:space="0" w:color="auto"/>
              <w:bottom w:val="single" w:sz="6" w:space="0" w:color="auto"/>
              <w:right w:val="single" w:sz="6" w:space="0" w:color="auto"/>
            </w:tcBorders>
          </w:tcPr>
          <w:p w14:paraId="3376642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Специальные автомобили</w:t>
            </w:r>
          </w:p>
          <w:p w14:paraId="5FED6BA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3248FCE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17877</w:t>
            </w:r>
          </w:p>
          <w:p w14:paraId="351B0C1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69AB0CC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16780</w:t>
            </w:r>
          </w:p>
          <w:p w14:paraId="6216A40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19A0A4E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42E2D00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1253EA3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384D575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0A1C54C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1097</w:t>
            </w:r>
          </w:p>
          <w:p w14:paraId="7BED74F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5FAE032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6,1</w:t>
            </w:r>
          </w:p>
          <w:p w14:paraId="31BC932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6EFBAAA9" w14:textId="77777777">
        <w:trPr>
          <w:trHeight w:val="230"/>
        </w:trPr>
        <w:tc>
          <w:tcPr>
            <w:tcW w:w="3466" w:type="dxa"/>
            <w:tcBorders>
              <w:top w:val="single" w:sz="6" w:space="0" w:color="auto"/>
              <w:left w:val="single" w:sz="6" w:space="0" w:color="auto"/>
              <w:bottom w:val="single" w:sz="6" w:space="0" w:color="auto"/>
              <w:right w:val="single" w:sz="6" w:space="0" w:color="auto"/>
            </w:tcBorders>
          </w:tcPr>
          <w:p w14:paraId="3A41D67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Автобусы</w:t>
            </w:r>
          </w:p>
          <w:p w14:paraId="0ACCFBB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74E100E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5097</w:t>
            </w:r>
          </w:p>
          <w:p w14:paraId="76EBA56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49366A2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4749</w:t>
            </w:r>
          </w:p>
          <w:p w14:paraId="4793BB2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0980991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257E0F3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7019FD6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301C400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46D00E2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348</w:t>
            </w:r>
          </w:p>
          <w:p w14:paraId="36BBB2F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59CD0AB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6,8</w:t>
            </w:r>
          </w:p>
          <w:p w14:paraId="2A21D52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3AC489B8" w14:textId="77777777">
        <w:trPr>
          <w:trHeight w:val="230"/>
        </w:trPr>
        <w:tc>
          <w:tcPr>
            <w:tcW w:w="3466" w:type="dxa"/>
            <w:tcBorders>
              <w:top w:val="single" w:sz="6" w:space="0" w:color="auto"/>
              <w:left w:val="single" w:sz="6" w:space="0" w:color="auto"/>
              <w:bottom w:val="single" w:sz="6" w:space="0" w:color="auto"/>
              <w:right w:val="single" w:sz="6" w:space="0" w:color="auto"/>
            </w:tcBorders>
          </w:tcPr>
          <w:p w14:paraId="47CEFFA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Итого автомобилей:</w:t>
            </w:r>
          </w:p>
          <w:p w14:paraId="6B32264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7DF404C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205364</w:t>
            </w:r>
          </w:p>
          <w:p w14:paraId="1568381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5A3D60B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206420</w:t>
            </w:r>
          </w:p>
          <w:p w14:paraId="7FB41E7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3C01170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1056</w:t>
            </w:r>
          </w:p>
          <w:p w14:paraId="10DDBED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25EE05C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0,5</w:t>
            </w:r>
          </w:p>
          <w:p w14:paraId="3760A9C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125E85F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4F456D6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3582F61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7C288D6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1FA5BA2A" w14:textId="77777777">
        <w:trPr>
          <w:trHeight w:val="230"/>
        </w:trPr>
        <w:tc>
          <w:tcPr>
            <w:tcW w:w="3466" w:type="dxa"/>
            <w:tcBorders>
              <w:top w:val="single" w:sz="6" w:space="0" w:color="auto"/>
              <w:left w:val="single" w:sz="6" w:space="0" w:color="auto"/>
              <w:bottom w:val="single" w:sz="6" w:space="0" w:color="auto"/>
              <w:right w:val="single" w:sz="6" w:space="0" w:color="auto"/>
            </w:tcBorders>
          </w:tcPr>
          <w:p w14:paraId="20E43CC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Мотоциклы</w:t>
            </w:r>
          </w:p>
          <w:p w14:paraId="6EFC451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5EF3FA1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11938</w:t>
            </w:r>
          </w:p>
          <w:p w14:paraId="50CE4A1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14FDAA0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12455</w:t>
            </w:r>
          </w:p>
          <w:p w14:paraId="6271900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39B0796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517</w:t>
            </w:r>
          </w:p>
          <w:p w14:paraId="422E11C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7C6BC87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4,3</w:t>
            </w:r>
          </w:p>
          <w:p w14:paraId="4DF675A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030BEA8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7B30D74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1BBF3B9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125D482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07178F88" w14:textId="77777777">
        <w:trPr>
          <w:trHeight w:val="230"/>
        </w:trPr>
        <w:tc>
          <w:tcPr>
            <w:tcW w:w="3466" w:type="dxa"/>
            <w:tcBorders>
              <w:top w:val="single" w:sz="6" w:space="0" w:color="auto"/>
              <w:left w:val="single" w:sz="6" w:space="0" w:color="auto"/>
              <w:bottom w:val="single" w:sz="6" w:space="0" w:color="auto"/>
              <w:right w:val="single" w:sz="6" w:space="0" w:color="auto"/>
            </w:tcBorders>
          </w:tcPr>
          <w:p w14:paraId="33E3A75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Тягачи и тракторы на резиновом ходу</w:t>
            </w:r>
          </w:p>
          <w:p w14:paraId="3F9866E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54B0E77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1378</w:t>
            </w:r>
          </w:p>
          <w:p w14:paraId="21AC8C8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73972D9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1267</w:t>
            </w:r>
          </w:p>
          <w:p w14:paraId="09BDF0C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56CB994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5BC30F9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653A819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108AD80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398F1BC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106</w:t>
            </w:r>
          </w:p>
          <w:p w14:paraId="422A605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6EBEAD6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7,7</w:t>
            </w:r>
          </w:p>
          <w:p w14:paraId="240FA41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3CFF6149" w14:textId="77777777">
        <w:trPr>
          <w:trHeight w:val="250"/>
        </w:trPr>
        <w:tc>
          <w:tcPr>
            <w:tcW w:w="3466" w:type="dxa"/>
            <w:tcBorders>
              <w:top w:val="single" w:sz="6" w:space="0" w:color="auto"/>
              <w:left w:val="single" w:sz="6" w:space="0" w:color="auto"/>
              <w:bottom w:val="single" w:sz="6" w:space="0" w:color="auto"/>
              <w:right w:val="single" w:sz="6" w:space="0" w:color="auto"/>
            </w:tcBorders>
          </w:tcPr>
          <w:p w14:paraId="2DEA013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 машин:</w:t>
            </w:r>
          </w:p>
          <w:p w14:paraId="053D664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1F89C70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218675</w:t>
            </w:r>
          </w:p>
          <w:p w14:paraId="03A610F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14E5CC5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220142</w:t>
            </w:r>
          </w:p>
          <w:p w14:paraId="4EDDF68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34489F9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1467</w:t>
            </w:r>
          </w:p>
          <w:p w14:paraId="611E72C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6826858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0,7</w:t>
            </w:r>
          </w:p>
          <w:p w14:paraId="28DE47B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72721AF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1E8217C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7FD70C3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77FCEC3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C43FCD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Общее увеличение автомотопарка произошло за счет поступления в народное хозяйство новых, в основном импортных, грузовых автомобилей и, частично, за счет восстановления автомобилей и мотоциклов в областях, освобожденных от немецких захватчиков.</w:t>
      </w:r>
    </w:p>
    <w:p w14:paraId="4748B83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это же время было выбраковано 7218 автомобилей, как нерентабельных к восстановлению, вследствие своей изношенности.</w:t>
      </w:r>
    </w:p>
    <w:p w14:paraId="4BCF576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Отчет по материалам технического осмотра, произведенного органами Госавтоинспекции, приводится с сокращениями.</w:t>
      </w:r>
    </w:p>
    <w:p w14:paraId="6C59640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Уменьшение количества легковых, специальных автомобилей и автобусов объясняется мобилизаци</w:t>
      </w:r>
      <w:r w:rsidRPr="007224C3">
        <w:rPr>
          <w:rFonts w:ascii="Times New Roman" w:hAnsi="Times New Roman"/>
          <w:color w:val="000000" w:themeColor="text1"/>
          <w:sz w:val="16"/>
          <w:szCs w:val="16"/>
        </w:rPr>
        <w:softHyphen/>
        <w:t>ей некоторой части их в Красную Армию и выбраковкой непригодных к дальнейшему использованию. Увеличение числа мотоциклов произошло за счет восстановления трофейных машин.</w:t>
      </w:r>
    </w:p>
    <w:p w14:paraId="3C5E8D2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Категорийность автомотопарка</w:t>
      </w:r>
    </w:p>
    <w:p w14:paraId="1259BE5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Сравнительные данные категорийности автопарка по результатам двух последних технических осмотров указаны в следующей таблице:</w:t>
      </w:r>
    </w:p>
    <w:tbl>
      <w:tblPr>
        <w:tblW w:w="0" w:type="auto"/>
        <w:tblInd w:w="40" w:type="dxa"/>
        <w:tblLayout w:type="fixed"/>
        <w:tblCellMar>
          <w:left w:w="40" w:type="dxa"/>
          <w:right w:w="40" w:type="dxa"/>
        </w:tblCellMar>
        <w:tblLook w:val="0000" w:firstRow="0" w:lastRow="0" w:firstColumn="0" w:lastColumn="0" w:noHBand="0" w:noVBand="0"/>
      </w:tblPr>
      <w:tblGrid>
        <w:gridCol w:w="1776"/>
        <w:gridCol w:w="1171"/>
        <w:gridCol w:w="835"/>
        <w:gridCol w:w="826"/>
        <w:gridCol w:w="835"/>
        <w:gridCol w:w="835"/>
        <w:gridCol w:w="835"/>
        <w:gridCol w:w="826"/>
        <w:gridCol w:w="835"/>
        <w:gridCol w:w="835"/>
      </w:tblGrid>
      <w:tr w:rsidR="006331D6" w:rsidRPr="007224C3" w14:paraId="1278399F" w14:textId="77777777">
        <w:trPr>
          <w:trHeight w:val="230"/>
        </w:trPr>
        <w:tc>
          <w:tcPr>
            <w:tcW w:w="2947" w:type="dxa"/>
            <w:gridSpan w:val="2"/>
            <w:tcBorders>
              <w:top w:val="single" w:sz="6" w:space="0" w:color="auto"/>
              <w:left w:val="single" w:sz="6" w:space="0" w:color="auto"/>
              <w:bottom w:val="nil"/>
              <w:right w:val="single" w:sz="6" w:space="0" w:color="auto"/>
            </w:tcBorders>
          </w:tcPr>
          <w:p w14:paraId="17E84A7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Тип машины</w:t>
            </w:r>
          </w:p>
          <w:p w14:paraId="457E049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62" w:type="dxa"/>
            <w:gridSpan w:val="8"/>
            <w:tcBorders>
              <w:top w:val="single" w:sz="6" w:space="0" w:color="auto"/>
              <w:left w:val="single" w:sz="6" w:space="0" w:color="auto"/>
              <w:bottom w:val="single" w:sz="6" w:space="0" w:color="auto"/>
              <w:right w:val="single" w:sz="6" w:space="0" w:color="auto"/>
            </w:tcBorders>
          </w:tcPr>
          <w:p w14:paraId="0E83A9C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Количество автомобилей по категориям</w:t>
            </w:r>
          </w:p>
          <w:p w14:paraId="6C15916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23FB8127" w14:textId="77777777">
        <w:trPr>
          <w:trHeight w:val="211"/>
        </w:trPr>
        <w:tc>
          <w:tcPr>
            <w:tcW w:w="2947" w:type="dxa"/>
            <w:gridSpan w:val="2"/>
            <w:tcBorders>
              <w:top w:val="nil"/>
              <w:left w:val="single" w:sz="6" w:space="0" w:color="auto"/>
              <w:bottom w:val="nil"/>
              <w:right w:val="single" w:sz="6" w:space="0" w:color="auto"/>
            </w:tcBorders>
          </w:tcPr>
          <w:p w14:paraId="29473F8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2D5D3C2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3331" w:type="dxa"/>
            <w:gridSpan w:val="4"/>
            <w:tcBorders>
              <w:top w:val="single" w:sz="6" w:space="0" w:color="auto"/>
              <w:left w:val="single" w:sz="6" w:space="0" w:color="auto"/>
              <w:bottom w:val="single" w:sz="6" w:space="0" w:color="auto"/>
              <w:right w:val="single" w:sz="6" w:space="0" w:color="auto"/>
            </w:tcBorders>
          </w:tcPr>
          <w:p w14:paraId="6CD914F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1 августа 1943 г.</w:t>
            </w:r>
          </w:p>
          <w:p w14:paraId="5F05D9B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31" w:type="dxa"/>
            <w:gridSpan w:val="4"/>
            <w:tcBorders>
              <w:top w:val="single" w:sz="6" w:space="0" w:color="auto"/>
              <w:left w:val="single" w:sz="6" w:space="0" w:color="auto"/>
              <w:bottom w:val="single" w:sz="6" w:space="0" w:color="auto"/>
              <w:right w:val="single" w:sz="6" w:space="0" w:color="auto"/>
            </w:tcBorders>
          </w:tcPr>
          <w:p w14:paraId="7E7E0BB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1 января 1944 г.</w:t>
            </w:r>
          </w:p>
          <w:p w14:paraId="4495055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31135CBA" w14:textId="77777777">
        <w:trPr>
          <w:trHeight w:val="221"/>
        </w:trPr>
        <w:tc>
          <w:tcPr>
            <w:tcW w:w="2947" w:type="dxa"/>
            <w:gridSpan w:val="2"/>
            <w:tcBorders>
              <w:top w:val="nil"/>
              <w:left w:val="single" w:sz="6" w:space="0" w:color="auto"/>
              <w:bottom w:val="single" w:sz="6" w:space="0" w:color="auto"/>
              <w:right w:val="single" w:sz="6" w:space="0" w:color="auto"/>
            </w:tcBorders>
          </w:tcPr>
          <w:p w14:paraId="029669C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5F6471A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B69BBC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I.</w:t>
            </w:r>
          </w:p>
          <w:p w14:paraId="1255F8D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0739373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II.</w:t>
            </w:r>
          </w:p>
          <w:p w14:paraId="3908E9C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5FDC0E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III.</w:t>
            </w:r>
          </w:p>
          <w:p w14:paraId="12DF161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35E7F7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w:t>
            </w:r>
          </w:p>
          <w:p w14:paraId="2B4BCFC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66F6C0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I.</w:t>
            </w:r>
          </w:p>
          <w:p w14:paraId="4B8EF9E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47157B0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II.</w:t>
            </w:r>
          </w:p>
          <w:p w14:paraId="1E1D247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5F0CC52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III.</w:t>
            </w:r>
          </w:p>
          <w:p w14:paraId="07F4D79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56FF94F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w:t>
            </w:r>
          </w:p>
          <w:p w14:paraId="2601E0A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18C8A22E" w14:textId="77777777">
        <w:trPr>
          <w:trHeight w:val="221"/>
        </w:trPr>
        <w:tc>
          <w:tcPr>
            <w:tcW w:w="1776" w:type="dxa"/>
            <w:tcBorders>
              <w:top w:val="single" w:sz="6" w:space="0" w:color="auto"/>
              <w:left w:val="single" w:sz="6" w:space="0" w:color="auto"/>
              <w:bottom w:val="nil"/>
              <w:right w:val="single" w:sz="6" w:space="0" w:color="auto"/>
            </w:tcBorders>
          </w:tcPr>
          <w:p w14:paraId="4ED9160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Грузовые бензин.</w:t>
            </w:r>
          </w:p>
          <w:p w14:paraId="792FB95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36E5A5B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количество</w:t>
            </w:r>
          </w:p>
          <w:p w14:paraId="2313C51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487CA1C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8189</w:t>
            </w:r>
          </w:p>
          <w:p w14:paraId="70571F6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595C1FD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15746</w:t>
            </w:r>
          </w:p>
          <w:p w14:paraId="3E3E2CC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7248DEE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87730</w:t>
            </w:r>
          </w:p>
          <w:p w14:paraId="709C337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37007B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111665</w:t>
            </w:r>
          </w:p>
          <w:p w14:paraId="6BE4F86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4A1B84F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11224</w:t>
            </w:r>
          </w:p>
          <w:p w14:paraId="1CC85B2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4D5EEC0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14580</w:t>
            </w:r>
          </w:p>
          <w:p w14:paraId="4D92574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022A631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88003</w:t>
            </w:r>
          </w:p>
          <w:p w14:paraId="2F27E9E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94440F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113807</w:t>
            </w:r>
          </w:p>
          <w:p w14:paraId="3A7E427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3EFC5D18" w14:textId="77777777">
        <w:trPr>
          <w:trHeight w:val="230"/>
        </w:trPr>
        <w:tc>
          <w:tcPr>
            <w:tcW w:w="1776" w:type="dxa"/>
            <w:tcBorders>
              <w:top w:val="nil"/>
              <w:left w:val="single" w:sz="6" w:space="0" w:color="auto"/>
              <w:bottom w:val="single" w:sz="6" w:space="0" w:color="auto"/>
              <w:right w:val="single" w:sz="6" w:space="0" w:color="auto"/>
            </w:tcBorders>
          </w:tcPr>
          <w:p w14:paraId="6402751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4D53881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1897C64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w:t>
            </w:r>
          </w:p>
          <w:p w14:paraId="119F2E7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2C5A74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7,3</w:t>
            </w:r>
          </w:p>
          <w:p w14:paraId="13AF1CC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3FF074F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14,1</w:t>
            </w:r>
          </w:p>
          <w:p w14:paraId="06C3B35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CC416B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78,6</w:t>
            </w:r>
          </w:p>
          <w:p w14:paraId="29A8BCA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495A3FC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100,0</w:t>
            </w:r>
          </w:p>
          <w:p w14:paraId="264D07A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742BC6D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9,9</w:t>
            </w:r>
          </w:p>
          <w:p w14:paraId="4E782E4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739328B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12,8</w:t>
            </w:r>
          </w:p>
          <w:p w14:paraId="6F8EAC2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4F70528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77,3</w:t>
            </w:r>
          </w:p>
          <w:p w14:paraId="231ADB9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5866DB7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100,0</w:t>
            </w:r>
          </w:p>
          <w:p w14:paraId="7CFE332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2958C4BD" w14:textId="77777777">
        <w:trPr>
          <w:trHeight w:val="230"/>
        </w:trPr>
        <w:tc>
          <w:tcPr>
            <w:tcW w:w="1776" w:type="dxa"/>
            <w:tcBorders>
              <w:top w:val="single" w:sz="6" w:space="0" w:color="auto"/>
              <w:left w:val="single" w:sz="6" w:space="0" w:color="auto"/>
              <w:bottom w:val="nil"/>
              <w:right w:val="single" w:sz="6" w:space="0" w:color="auto"/>
            </w:tcBorders>
          </w:tcPr>
          <w:p w14:paraId="728C2EF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Грузовые газоген.</w:t>
            </w:r>
          </w:p>
          <w:p w14:paraId="06F2C45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2A6365A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количество</w:t>
            </w:r>
          </w:p>
          <w:p w14:paraId="42403B1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526F53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2988</w:t>
            </w:r>
          </w:p>
          <w:p w14:paraId="329AD48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78D79DF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10765</w:t>
            </w:r>
          </w:p>
          <w:p w14:paraId="02D53BD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496693C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19478</w:t>
            </w:r>
          </w:p>
          <w:p w14:paraId="7F403B3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5E2CC2D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33231</w:t>
            </w:r>
          </w:p>
          <w:p w14:paraId="763B705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6152C42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1689</w:t>
            </w:r>
          </w:p>
          <w:p w14:paraId="3F3CE04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1D747C7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9256</w:t>
            </w:r>
          </w:p>
          <w:p w14:paraId="18D7294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156AEE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22674</w:t>
            </w:r>
          </w:p>
          <w:p w14:paraId="457FC8C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5246485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33619</w:t>
            </w:r>
          </w:p>
          <w:p w14:paraId="6D53225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576B97D8" w14:textId="77777777">
        <w:trPr>
          <w:trHeight w:val="230"/>
        </w:trPr>
        <w:tc>
          <w:tcPr>
            <w:tcW w:w="1776" w:type="dxa"/>
            <w:tcBorders>
              <w:top w:val="nil"/>
              <w:left w:val="single" w:sz="6" w:space="0" w:color="auto"/>
              <w:bottom w:val="single" w:sz="6" w:space="0" w:color="auto"/>
              <w:right w:val="single" w:sz="6" w:space="0" w:color="auto"/>
            </w:tcBorders>
          </w:tcPr>
          <w:p w14:paraId="4D80406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4C34978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18A5C82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w:t>
            </w:r>
          </w:p>
          <w:p w14:paraId="2AFD075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480E854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9,0</w:t>
            </w:r>
          </w:p>
          <w:p w14:paraId="701B6F8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679332A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32,4</w:t>
            </w:r>
          </w:p>
          <w:p w14:paraId="150A7CE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4E66235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58,6</w:t>
            </w:r>
          </w:p>
          <w:p w14:paraId="3F66019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4757E0E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100,0</w:t>
            </w:r>
          </w:p>
          <w:p w14:paraId="115C296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7AE323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w:t>
            </w:r>
          </w:p>
          <w:p w14:paraId="10C80B0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655B7F6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27,5</w:t>
            </w:r>
          </w:p>
          <w:p w14:paraId="0233824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0D1A0BA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67,5</w:t>
            </w:r>
          </w:p>
          <w:p w14:paraId="3B3CE28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9CC1B7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100,0</w:t>
            </w:r>
          </w:p>
          <w:p w14:paraId="1647B15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615D663C" w14:textId="77777777">
        <w:trPr>
          <w:trHeight w:val="230"/>
        </w:trPr>
        <w:tc>
          <w:tcPr>
            <w:tcW w:w="1776" w:type="dxa"/>
            <w:tcBorders>
              <w:top w:val="single" w:sz="6" w:space="0" w:color="auto"/>
              <w:left w:val="single" w:sz="6" w:space="0" w:color="auto"/>
              <w:bottom w:val="nil"/>
              <w:right w:val="single" w:sz="6" w:space="0" w:color="auto"/>
            </w:tcBorders>
          </w:tcPr>
          <w:p w14:paraId="55AD249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Грузовые газобал.</w:t>
            </w:r>
          </w:p>
          <w:p w14:paraId="6E62917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567495A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количество</w:t>
            </w:r>
          </w:p>
          <w:p w14:paraId="519DB2F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9E8316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w:t>
            </w:r>
          </w:p>
          <w:p w14:paraId="4BBD388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352E7EA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149</w:t>
            </w:r>
          </w:p>
          <w:p w14:paraId="53BD2D1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B78EC6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273</w:t>
            </w:r>
          </w:p>
          <w:p w14:paraId="09122C1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93183A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443</w:t>
            </w:r>
          </w:p>
          <w:p w14:paraId="1B94AB0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1732EE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55</w:t>
            </w:r>
          </w:p>
          <w:p w14:paraId="2ADBF0B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52AEACA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143</w:t>
            </w:r>
          </w:p>
          <w:p w14:paraId="1221FBB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CC1DFF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431</w:t>
            </w:r>
          </w:p>
          <w:p w14:paraId="74BABE3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B1FD42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629</w:t>
            </w:r>
          </w:p>
          <w:p w14:paraId="4F1B321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656EB245" w14:textId="77777777">
        <w:trPr>
          <w:trHeight w:val="230"/>
        </w:trPr>
        <w:tc>
          <w:tcPr>
            <w:tcW w:w="1776" w:type="dxa"/>
            <w:tcBorders>
              <w:top w:val="nil"/>
              <w:left w:val="single" w:sz="6" w:space="0" w:color="auto"/>
              <w:bottom w:val="single" w:sz="6" w:space="0" w:color="auto"/>
              <w:right w:val="single" w:sz="6" w:space="0" w:color="auto"/>
            </w:tcBorders>
          </w:tcPr>
          <w:p w14:paraId="5727E96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3131296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460EDF6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w:t>
            </w:r>
          </w:p>
          <w:p w14:paraId="439CB9E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6E956E3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w:t>
            </w:r>
          </w:p>
          <w:p w14:paraId="75B2523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55096CE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33,6</w:t>
            </w:r>
          </w:p>
          <w:p w14:paraId="65A3170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CB679B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61,4</w:t>
            </w:r>
          </w:p>
          <w:p w14:paraId="3F6796E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0415E63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100,0</w:t>
            </w:r>
          </w:p>
          <w:p w14:paraId="572D262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7A1D175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8,7</w:t>
            </w:r>
          </w:p>
          <w:p w14:paraId="4914F31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43BDAF4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22,7</w:t>
            </w:r>
          </w:p>
          <w:p w14:paraId="5EF9803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4B9C1B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68,6</w:t>
            </w:r>
          </w:p>
          <w:p w14:paraId="054A22C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0824680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100,0</w:t>
            </w:r>
          </w:p>
          <w:p w14:paraId="77B7E8E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514CA9A5" w14:textId="77777777">
        <w:trPr>
          <w:trHeight w:val="230"/>
        </w:trPr>
        <w:tc>
          <w:tcPr>
            <w:tcW w:w="1776" w:type="dxa"/>
            <w:tcBorders>
              <w:top w:val="single" w:sz="6" w:space="0" w:color="auto"/>
              <w:left w:val="single" w:sz="6" w:space="0" w:color="auto"/>
              <w:bottom w:val="nil"/>
              <w:right w:val="single" w:sz="6" w:space="0" w:color="auto"/>
            </w:tcBorders>
          </w:tcPr>
          <w:p w14:paraId="62B9DE8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Легковые</w:t>
            </w:r>
          </w:p>
          <w:p w14:paraId="0F99C1C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18AA8FC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количество</w:t>
            </w:r>
          </w:p>
          <w:p w14:paraId="625ACBD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504BBFD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2325</w:t>
            </w:r>
          </w:p>
          <w:p w14:paraId="050A894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0041F05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7379</w:t>
            </w:r>
          </w:p>
          <w:p w14:paraId="7CAD26B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9B446A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27290</w:t>
            </w:r>
          </w:p>
          <w:p w14:paraId="34065D3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7333C35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36994</w:t>
            </w:r>
          </w:p>
          <w:p w14:paraId="23D9430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60EC874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2190</w:t>
            </w:r>
          </w:p>
          <w:p w14:paraId="6D0FA48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0C27F68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7012</w:t>
            </w:r>
          </w:p>
          <w:p w14:paraId="7428B1D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583C66E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27634</w:t>
            </w:r>
          </w:p>
          <w:p w14:paraId="2045141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521BF6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36836</w:t>
            </w:r>
          </w:p>
          <w:p w14:paraId="4AB9B47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31091F69" w14:textId="77777777">
        <w:trPr>
          <w:trHeight w:val="230"/>
        </w:trPr>
        <w:tc>
          <w:tcPr>
            <w:tcW w:w="1776" w:type="dxa"/>
            <w:tcBorders>
              <w:top w:val="nil"/>
              <w:left w:val="single" w:sz="6" w:space="0" w:color="auto"/>
              <w:bottom w:val="single" w:sz="6" w:space="0" w:color="auto"/>
              <w:right w:val="single" w:sz="6" w:space="0" w:color="auto"/>
            </w:tcBorders>
          </w:tcPr>
          <w:p w14:paraId="0515012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11DAD3D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12FDDDA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w:t>
            </w:r>
          </w:p>
          <w:p w14:paraId="302D6E3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59EA1B4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6,3</w:t>
            </w:r>
          </w:p>
          <w:p w14:paraId="05266BB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2DFDE51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19,9</w:t>
            </w:r>
          </w:p>
          <w:p w14:paraId="0049F53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050839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73,8</w:t>
            </w:r>
          </w:p>
          <w:p w14:paraId="1BD4039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F9A2BF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100,0</w:t>
            </w:r>
          </w:p>
          <w:p w14:paraId="48949AF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0809A41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5,9</w:t>
            </w:r>
          </w:p>
          <w:p w14:paraId="74E9B0B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442D67E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19,0</w:t>
            </w:r>
          </w:p>
          <w:p w14:paraId="1CF8A3E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09B570C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75,1</w:t>
            </w:r>
          </w:p>
          <w:p w14:paraId="10B32B5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4491E41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100,0</w:t>
            </w:r>
          </w:p>
          <w:p w14:paraId="2BE9525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55AAFE60" w14:textId="77777777">
        <w:trPr>
          <w:trHeight w:val="230"/>
        </w:trPr>
        <w:tc>
          <w:tcPr>
            <w:tcW w:w="1776" w:type="dxa"/>
            <w:tcBorders>
              <w:top w:val="single" w:sz="6" w:space="0" w:color="auto"/>
              <w:left w:val="single" w:sz="6" w:space="0" w:color="auto"/>
              <w:bottom w:val="nil"/>
              <w:right w:val="single" w:sz="6" w:space="0" w:color="auto"/>
            </w:tcBorders>
          </w:tcPr>
          <w:p w14:paraId="4606DB6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Специальные</w:t>
            </w:r>
          </w:p>
          <w:p w14:paraId="101B091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7838333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количество</w:t>
            </w:r>
          </w:p>
          <w:p w14:paraId="1F125F0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ED3C43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5969</w:t>
            </w:r>
          </w:p>
          <w:p w14:paraId="3D1C434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004EFDC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4626</w:t>
            </w:r>
          </w:p>
          <w:p w14:paraId="716B5B9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EA6947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7281</w:t>
            </w:r>
          </w:p>
          <w:p w14:paraId="1799856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779F656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17876</w:t>
            </w:r>
          </w:p>
          <w:p w14:paraId="390322D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485BC7D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5483</w:t>
            </w:r>
          </w:p>
          <w:p w14:paraId="040ECFD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47471B5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4277</w:t>
            </w:r>
          </w:p>
          <w:p w14:paraId="0DF04B4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5684632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7020</w:t>
            </w:r>
          </w:p>
          <w:p w14:paraId="2FDD3EF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55C4609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16780</w:t>
            </w:r>
          </w:p>
          <w:p w14:paraId="69BB68A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711CEEF0" w14:textId="77777777">
        <w:trPr>
          <w:trHeight w:val="230"/>
        </w:trPr>
        <w:tc>
          <w:tcPr>
            <w:tcW w:w="1776" w:type="dxa"/>
            <w:tcBorders>
              <w:top w:val="nil"/>
              <w:left w:val="single" w:sz="6" w:space="0" w:color="auto"/>
              <w:bottom w:val="single" w:sz="6" w:space="0" w:color="auto"/>
              <w:right w:val="single" w:sz="6" w:space="0" w:color="auto"/>
            </w:tcBorders>
          </w:tcPr>
          <w:p w14:paraId="1BED80B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016EDBA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14ED1E8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w:t>
            </w:r>
          </w:p>
          <w:p w14:paraId="67B84BB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43CFBA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33,4</w:t>
            </w:r>
          </w:p>
          <w:p w14:paraId="528E8A0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4153463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25,9</w:t>
            </w:r>
          </w:p>
          <w:p w14:paraId="32BA04A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552200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40,7</w:t>
            </w:r>
          </w:p>
          <w:p w14:paraId="5AA2F1A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81D4FF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100,0</w:t>
            </w:r>
          </w:p>
          <w:p w14:paraId="579258D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467890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32,7</w:t>
            </w:r>
          </w:p>
          <w:p w14:paraId="33007F4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351E8C7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25,5</w:t>
            </w:r>
          </w:p>
          <w:p w14:paraId="6FFED53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E469D1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41,8</w:t>
            </w:r>
          </w:p>
          <w:p w14:paraId="1605237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5E2D86B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100,0</w:t>
            </w:r>
          </w:p>
          <w:p w14:paraId="1395B3B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3C2DA598" w14:textId="77777777">
        <w:trPr>
          <w:trHeight w:val="230"/>
        </w:trPr>
        <w:tc>
          <w:tcPr>
            <w:tcW w:w="1776" w:type="dxa"/>
            <w:tcBorders>
              <w:top w:val="single" w:sz="6" w:space="0" w:color="auto"/>
              <w:left w:val="single" w:sz="6" w:space="0" w:color="auto"/>
              <w:bottom w:val="nil"/>
              <w:right w:val="single" w:sz="6" w:space="0" w:color="auto"/>
            </w:tcBorders>
          </w:tcPr>
          <w:p w14:paraId="7E075D8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Автобусы</w:t>
            </w:r>
          </w:p>
          <w:p w14:paraId="7B9B027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04BB738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количество</w:t>
            </w:r>
          </w:p>
          <w:p w14:paraId="264B5D6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44B191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534</w:t>
            </w:r>
          </w:p>
          <w:p w14:paraId="400DD3E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6D8640B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1213</w:t>
            </w:r>
          </w:p>
          <w:p w14:paraId="526EA95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7A63533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3350</w:t>
            </w:r>
          </w:p>
          <w:p w14:paraId="4F7CFC7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08EE28C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5097</w:t>
            </w:r>
          </w:p>
          <w:p w14:paraId="339F92C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0BCE4AB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419</w:t>
            </w:r>
          </w:p>
          <w:p w14:paraId="0414017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0E89805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1107</w:t>
            </w:r>
          </w:p>
          <w:p w14:paraId="4C0E177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53A8475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3223</w:t>
            </w:r>
          </w:p>
          <w:p w14:paraId="79C4C2A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0C6C141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4749</w:t>
            </w:r>
          </w:p>
          <w:p w14:paraId="294AF88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2C3A3761" w14:textId="77777777">
        <w:trPr>
          <w:trHeight w:val="230"/>
        </w:trPr>
        <w:tc>
          <w:tcPr>
            <w:tcW w:w="1776" w:type="dxa"/>
            <w:tcBorders>
              <w:top w:val="nil"/>
              <w:left w:val="single" w:sz="6" w:space="0" w:color="auto"/>
              <w:bottom w:val="single" w:sz="6" w:space="0" w:color="auto"/>
              <w:right w:val="single" w:sz="6" w:space="0" w:color="auto"/>
            </w:tcBorders>
          </w:tcPr>
          <w:p w14:paraId="3E367B6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4B2A022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25A262A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w:t>
            </w:r>
          </w:p>
          <w:p w14:paraId="61B030A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F47848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10,5</w:t>
            </w:r>
          </w:p>
          <w:p w14:paraId="35B3432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3923CD1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23,8</w:t>
            </w:r>
          </w:p>
          <w:p w14:paraId="2D7ECAD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743930E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65,7</w:t>
            </w:r>
          </w:p>
          <w:p w14:paraId="5116566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60FE702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100,0</w:t>
            </w:r>
          </w:p>
          <w:p w14:paraId="1C20AEB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CDB0DE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8,8</w:t>
            </w:r>
          </w:p>
          <w:p w14:paraId="6AB0261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02B2006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23,3</w:t>
            </w:r>
          </w:p>
          <w:p w14:paraId="01C6EE5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47B1BDB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67,9</w:t>
            </w:r>
          </w:p>
          <w:p w14:paraId="08C91FD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6D6B2E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100,0</w:t>
            </w:r>
          </w:p>
          <w:p w14:paraId="1599115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46F5D753" w14:textId="77777777">
        <w:trPr>
          <w:trHeight w:val="230"/>
        </w:trPr>
        <w:tc>
          <w:tcPr>
            <w:tcW w:w="1776" w:type="dxa"/>
            <w:tcBorders>
              <w:top w:val="single" w:sz="6" w:space="0" w:color="auto"/>
              <w:left w:val="single" w:sz="6" w:space="0" w:color="auto"/>
              <w:bottom w:val="nil"/>
              <w:right w:val="single" w:sz="6" w:space="0" w:color="auto"/>
            </w:tcBorders>
          </w:tcPr>
          <w:p w14:paraId="506B4DB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Итого автомобилей</w:t>
            </w:r>
          </w:p>
          <w:p w14:paraId="3F92532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6B8C026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количество</w:t>
            </w:r>
          </w:p>
          <w:p w14:paraId="754565C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025EC2B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20027</w:t>
            </w:r>
          </w:p>
          <w:p w14:paraId="086183B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20078A2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39878</w:t>
            </w:r>
          </w:p>
          <w:p w14:paraId="5C4CF11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0ECA3A5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145401</w:t>
            </w:r>
          </w:p>
          <w:p w14:paraId="7F2CED2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7991D67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205306</w:t>
            </w:r>
          </w:p>
          <w:p w14:paraId="6ADC839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8B1304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21060</w:t>
            </w:r>
          </w:p>
          <w:p w14:paraId="309576A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70F57EE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36375</w:t>
            </w:r>
          </w:p>
          <w:p w14:paraId="1511E0B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69E5EDD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148985</w:t>
            </w:r>
          </w:p>
          <w:p w14:paraId="34E267D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6CB74E7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206420</w:t>
            </w:r>
          </w:p>
          <w:p w14:paraId="4F4937F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53A228B5" w14:textId="77777777">
        <w:trPr>
          <w:trHeight w:val="230"/>
        </w:trPr>
        <w:tc>
          <w:tcPr>
            <w:tcW w:w="1776" w:type="dxa"/>
            <w:tcBorders>
              <w:top w:val="nil"/>
              <w:left w:val="single" w:sz="6" w:space="0" w:color="auto"/>
              <w:bottom w:val="single" w:sz="6" w:space="0" w:color="auto"/>
              <w:right w:val="single" w:sz="6" w:space="0" w:color="auto"/>
            </w:tcBorders>
          </w:tcPr>
          <w:p w14:paraId="6052730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5612BDC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2806B7D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w:t>
            </w:r>
          </w:p>
          <w:p w14:paraId="24C83A7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078461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9,8</w:t>
            </w:r>
          </w:p>
          <w:p w14:paraId="1124DBA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4E0BA1E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w:t>
            </w:r>
          </w:p>
          <w:p w14:paraId="2F5028D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13C745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70,8</w:t>
            </w:r>
          </w:p>
          <w:p w14:paraId="7748D19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F9DD52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100,0</w:t>
            </w:r>
          </w:p>
          <w:p w14:paraId="25078C6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DA1B3E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10,2</w:t>
            </w:r>
          </w:p>
          <w:p w14:paraId="2F7F0A5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37BBB31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17,6</w:t>
            </w:r>
          </w:p>
          <w:p w14:paraId="36D3831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6B596A4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72,2</w:t>
            </w:r>
          </w:p>
          <w:p w14:paraId="604F7DA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6494A21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100,0</w:t>
            </w:r>
          </w:p>
          <w:p w14:paraId="351A790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6FE9A8F1" w14:textId="77777777">
        <w:trPr>
          <w:trHeight w:val="230"/>
        </w:trPr>
        <w:tc>
          <w:tcPr>
            <w:tcW w:w="1776" w:type="dxa"/>
            <w:tcBorders>
              <w:top w:val="single" w:sz="6" w:space="0" w:color="auto"/>
              <w:left w:val="single" w:sz="6" w:space="0" w:color="auto"/>
              <w:bottom w:val="nil"/>
              <w:right w:val="single" w:sz="6" w:space="0" w:color="auto"/>
            </w:tcBorders>
          </w:tcPr>
          <w:p w14:paraId="0F008AD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Мотоциклы</w:t>
            </w:r>
          </w:p>
          <w:p w14:paraId="22DA05F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212465C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количество</w:t>
            </w:r>
          </w:p>
          <w:p w14:paraId="0C610C8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0229BE2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1049</w:t>
            </w:r>
          </w:p>
          <w:p w14:paraId="1671B43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231B831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2524</w:t>
            </w:r>
          </w:p>
          <w:p w14:paraId="7180E36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78A1667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8362</w:t>
            </w:r>
          </w:p>
          <w:p w14:paraId="62E416E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634E8C2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11935</w:t>
            </w:r>
          </w:p>
          <w:p w14:paraId="5762B86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0148851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880</w:t>
            </w:r>
          </w:p>
          <w:p w14:paraId="5627402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3AD55F8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2494</w:t>
            </w:r>
          </w:p>
          <w:p w14:paraId="26BF96C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F0892C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9081</w:t>
            </w:r>
          </w:p>
          <w:p w14:paraId="26F4D75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9F694D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12455</w:t>
            </w:r>
          </w:p>
          <w:p w14:paraId="23B8498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33A55813" w14:textId="77777777">
        <w:trPr>
          <w:trHeight w:val="230"/>
        </w:trPr>
        <w:tc>
          <w:tcPr>
            <w:tcW w:w="1776" w:type="dxa"/>
            <w:tcBorders>
              <w:top w:val="nil"/>
              <w:left w:val="single" w:sz="6" w:space="0" w:color="auto"/>
              <w:bottom w:val="single" w:sz="6" w:space="0" w:color="auto"/>
              <w:right w:val="single" w:sz="6" w:space="0" w:color="auto"/>
            </w:tcBorders>
          </w:tcPr>
          <w:p w14:paraId="72030AC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79C15D6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0A29A5B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в%</w:t>
            </w:r>
          </w:p>
          <w:p w14:paraId="7AC7413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491D856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8,8</w:t>
            </w:r>
          </w:p>
          <w:p w14:paraId="0C931FF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033E7AB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21,1</w:t>
            </w:r>
          </w:p>
          <w:p w14:paraId="0EF6572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B7983F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70,1</w:t>
            </w:r>
          </w:p>
          <w:p w14:paraId="1FC8E96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79AE2D1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100,0</w:t>
            </w:r>
          </w:p>
          <w:p w14:paraId="2A04B90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23BFE9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7,1</w:t>
            </w:r>
          </w:p>
          <w:p w14:paraId="22A1C82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33888B5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20,0</w:t>
            </w:r>
          </w:p>
          <w:p w14:paraId="18553B4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8D0DE8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72,9</w:t>
            </w:r>
          </w:p>
          <w:p w14:paraId="1FF4B31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0986292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100,0</w:t>
            </w:r>
          </w:p>
          <w:p w14:paraId="7AE4B94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32B4E42C" w14:textId="77777777">
        <w:trPr>
          <w:trHeight w:val="230"/>
        </w:trPr>
        <w:tc>
          <w:tcPr>
            <w:tcW w:w="1776" w:type="dxa"/>
            <w:tcBorders>
              <w:top w:val="single" w:sz="6" w:space="0" w:color="auto"/>
              <w:left w:val="single" w:sz="6" w:space="0" w:color="auto"/>
              <w:bottom w:val="nil"/>
              <w:right w:val="single" w:sz="6" w:space="0" w:color="auto"/>
            </w:tcBorders>
          </w:tcPr>
          <w:p w14:paraId="6930A50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Тягачи и трактора на резиновом ходу</w:t>
            </w:r>
          </w:p>
          <w:p w14:paraId="0A38968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37F3725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количество</w:t>
            </w:r>
          </w:p>
          <w:p w14:paraId="117731E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4C235C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44</w:t>
            </w:r>
          </w:p>
          <w:p w14:paraId="4995B20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0EDB091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152</w:t>
            </w:r>
          </w:p>
          <w:p w14:paraId="03F77AD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48303D4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1177</w:t>
            </w:r>
          </w:p>
          <w:p w14:paraId="7DABCF5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433D404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1373</w:t>
            </w:r>
          </w:p>
          <w:p w14:paraId="1FD896C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531D0AB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w:t>
            </w:r>
          </w:p>
          <w:p w14:paraId="1C31C23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3BF46B6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180</w:t>
            </w:r>
          </w:p>
          <w:p w14:paraId="2AC8594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6316E2D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1066</w:t>
            </w:r>
          </w:p>
          <w:p w14:paraId="00096CB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049B44D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1267</w:t>
            </w:r>
          </w:p>
          <w:p w14:paraId="53AD196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1CDD6C80" w14:textId="77777777">
        <w:trPr>
          <w:trHeight w:val="230"/>
        </w:trPr>
        <w:tc>
          <w:tcPr>
            <w:tcW w:w="1776" w:type="dxa"/>
            <w:tcBorders>
              <w:top w:val="nil"/>
              <w:left w:val="single" w:sz="6" w:space="0" w:color="auto"/>
              <w:bottom w:val="single" w:sz="6" w:space="0" w:color="auto"/>
              <w:right w:val="single" w:sz="6" w:space="0" w:color="auto"/>
            </w:tcBorders>
          </w:tcPr>
          <w:p w14:paraId="60A24C7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4D5D55D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10B1F6D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w:t>
            </w:r>
          </w:p>
          <w:p w14:paraId="165652C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08B214C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3,2</w:t>
            </w:r>
          </w:p>
          <w:p w14:paraId="32D4D00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293D179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11,1</w:t>
            </w:r>
          </w:p>
          <w:p w14:paraId="27BF22D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6AA99A2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85,7</w:t>
            </w:r>
          </w:p>
          <w:p w14:paraId="078ACB0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729B28E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100,0</w:t>
            </w:r>
          </w:p>
          <w:p w14:paraId="457DE91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0A63B48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w:t>
            </w:r>
          </w:p>
          <w:p w14:paraId="2E10859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4AE1CBB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14,2</w:t>
            </w:r>
          </w:p>
          <w:p w14:paraId="53503D5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484DE5A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84,1</w:t>
            </w:r>
          </w:p>
          <w:p w14:paraId="6F6F461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AE0390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100,0</w:t>
            </w:r>
          </w:p>
          <w:p w14:paraId="26F840D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1072B64C" w14:textId="77777777">
        <w:trPr>
          <w:trHeight w:val="221"/>
        </w:trPr>
        <w:tc>
          <w:tcPr>
            <w:tcW w:w="1776" w:type="dxa"/>
            <w:tcBorders>
              <w:top w:val="single" w:sz="6" w:space="0" w:color="auto"/>
              <w:left w:val="single" w:sz="6" w:space="0" w:color="auto"/>
              <w:bottom w:val="nil"/>
              <w:right w:val="single" w:sz="6" w:space="0" w:color="auto"/>
            </w:tcBorders>
          </w:tcPr>
          <w:p w14:paraId="75983AE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w:t>
            </w:r>
          </w:p>
          <w:p w14:paraId="6C185F9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7E1751F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количество</w:t>
            </w:r>
          </w:p>
          <w:p w14:paraId="5FB00FD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005BFA2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21120</w:t>
            </w:r>
          </w:p>
          <w:p w14:paraId="6399791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11C78B6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42554</w:t>
            </w:r>
          </w:p>
          <w:p w14:paraId="2F3ABB3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7B2C0E0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154940</w:t>
            </w:r>
          </w:p>
          <w:p w14:paraId="6424255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59B8ACE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218614</w:t>
            </w:r>
          </w:p>
          <w:p w14:paraId="1CCE0C4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7B920D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21961</w:t>
            </w:r>
          </w:p>
          <w:p w14:paraId="042E6C7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040300B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39049</w:t>
            </w:r>
          </w:p>
          <w:p w14:paraId="023E77B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1848E0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159132</w:t>
            </w:r>
          </w:p>
          <w:p w14:paraId="4548E8B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914032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220142</w:t>
            </w:r>
          </w:p>
          <w:p w14:paraId="2FCAC19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27C42947" w14:textId="77777777">
        <w:trPr>
          <w:trHeight w:val="250"/>
        </w:trPr>
        <w:tc>
          <w:tcPr>
            <w:tcW w:w="1776" w:type="dxa"/>
            <w:tcBorders>
              <w:top w:val="nil"/>
              <w:left w:val="single" w:sz="6" w:space="0" w:color="auto"/>
              <w:bottom w:val="single" w:sz="6" w:space="0" w:color="auto"/>
              <w:right w:val="single" w:sz="6" w:space="0" w:color="auto"/>
            </w:tcBorders>
          </w:tcPr>
          <w:p w14:paraId="1BC84AA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6DE5396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0DD899A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w:t>
            </w:r>
          </w:p>
          <w:p w14:paraId="498BAF8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0ED8A9C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9,7</w:t>
            </w:r>
          </w:p>
          <w:p w14:paraId="28F6F15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2494941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19,5</w:t>
            </w:r>
          </w:p>
          <w:p w14:paraId="7301B36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34D7FF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70,8</w:t>
            </w:r>
          </w:p>
          <w:p w14:paraId="6F32197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7008C18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100,0</w:t>
            </w:r>
          </w:p>
          <w:p w14:paraId="1AF622D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6FA3DCE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w:t>
            </w:r>
          </w:p>
          <w:p w14:paraId="7C5FB18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7E2BBB2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17,7</w:t>
            </w:r>
          </w:p>
          <w:p w14:paraId="6EB798E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472297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72,3</w:t>
            </w:r>
          </w:p>
          <w:p w14:paraId="7AACA53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4C4A648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100,0</w:t>
            </w:r>
          </w:p>
          <w:p w14:paraId="5CFE6DB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B703ED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Увеличение числа машин первой категории среди грузовых бензиновых автомобилей объясня</w:t>
      </w:r>
      <w:r w:rsidRPr="007224C3">
        <w:rPr>
          <w:rFonts w:ascii="Times New Roman" w:hAnsi="Times New Roman"/>
          <w:color w:val="000000" w:themeColor="text1"/>
          <w:sz w:val="16"/>
          <w:szCs w:val="16"/>
        </w:rPr>
        <w:softHyphen/>
        <w:t>ется, как это отмечалось ранее, пополнением парка новыми импортными автомашинами.</w:t>
      </w:r>
    </w:p>
    <w:p w14:paraId="0C26B05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ухудшение категорийности газогенераторных машин повлияла неудовлетворительная обе</w:t>
      </w:r>
      <w:r w:rsidRPr="007224C3">
        <w:rPr>
          <w:rFonts w:ascii="Times New Roman" w:hAnsi="Times New Roman"/>
          <w:color w:val="000000" w:themeColor="text1"/>
          <w:sz w:val="16"/>
          <w:szCs w:val="16"/>
        </w:rPr>
        <w:softHyphen/>
        <w:t>спеченность машин этого типа запасными частями, в результате чего автомобили своевременно не ремонтировались.</w:t>
      </w:r>
    </w:p>
    <w:p w14:paraId="4347E05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Техническое состояние автопарка</w:t>
      </w:r>
    </w:p>
    <w:p w14:paraId="3775F7D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 общего количества, находящихся в народном хозяйстве Союза ССР, на 1 января 1944 года, 206420 автомобилей, органами Госавтоинспекции осмотрено 195926 автомашин или 97,9% всего автопарка. Из общего количества осмотренных автомашин оказалось:</w:t>
      </w:r>
    </w:p>
    <w:p w14:paraId="43B1E09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на ходу (в эксплуатации) 120492 автомобиля или 61,5%;</w:t>
      </w:r>
    </w:p>
    <w:p w14:paraId="1A014FB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не на ходу (простаивает по различным причинам) 75434 автомобилей или 38,5%. Техническое состояние ходовых автомобилей следующее:</w:t>
      </w:r>
    </w:p>
    <w:tbl>
      <w:tblPr>
        <w:tblW w:w="0" w:type="auto"/>
        <w:tblInd w:w="40" w:type="dxa"/>
        <w:tblLayout w:type="fixed"/>
        <w:tblCellMar>
          <w:left w:w="40" w:type="dxa"/>
          <w:right w:w="40" w:type="dxa"/>
        </w:tblCellMar>
        <w:tblLook w:val="0000" w:firstRow="0" w:lastRow="0" w:firstColumn="0" w:lastColumn="0" w:noHBand="0" w:noVBand="0"/>
      </w:tblPr>
      <w:tblGrid>
        <w:gridCol w:w="3254"/>
        <w:gridCol w:w="1699"/>
        <w:gridCol w:w="1805"/>
        <w:gridCol w:w="1824"/>
      </w:tblGrid>
      <w:tr w:rsidR="006331D6" w:rsidRPr="007224C3" w14:paraId="0300E787" w14:textId="77777777">
        <w:trPr>
          <w:trHeight w:val="269"/>
        </w:trPr>
        <w:tc>
          <w:tcPr>
            <w:tcW w:w="3254" w:type="dxa"/>
            <w:tcBorders>
              <w:top w:val="single" w:sz="6" w:space="0" w:color="auto"/>
              <w:left w:val="single" w:sz="6" w:space="0" w:color="auto"/>
              <w:bottom w:val="nil"/>
              <w:right w:val="single" w:sz="6" w:space="0" w:color="auto"/>
            </w:tcBorders>
          </w:tcPr>
          <w:p w14:paraId="3F5B803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Состояние автомобилей</w:t>
            </w:r>
          </w:p>
          <w:p w14:paraId="3453617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nil"/>
              <w:right w:val="single" w:sz="6" w:space="0" w:color="auto"/>
            </w:tcBorders>
          </w:tcPr>
          <w:p w14:paraId="7DCE68F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Количество автомобилей</w:t>
            </w:r>
          </w:p>
          <w:p w14:paraId="729CE28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29" w:type="dxa"/>
            <w:gridSpan w:val="2"/>
            <w:tcBorders>
              <w:top w:val="single" w:sz="6" w:space="0" w:color="auto"/>
              <w:left w:val="single" w:sz="6" w:space="0" w:color="auto"/>
              <w:bottom w:val="single" w:sz="6" w:space="0" w:color="auto"/>
              <w:right w:val="single" w:sz="6" w:space="0" w:color="auto"/>
            </w:tcBorders>
          </w:tcPr>
          <w:p w14:paraId="07AB545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w:t>
            </w:r>
          </w:p>
          <w:p w14:paraId="52CFA52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63BEDB12" w14:textId="77777777">
        <w:trPr>
          <w:trHeight w:val="269"/>
        </w:trPr>
        <w:tc>
          <w:tcPr>
            <w:tcW w:w="3254" w:type="dxa"/>
            <w:tcBorders>
              <w:top w:val="nil"/>
              <w:left w:val="single" w:sz="6" w:space="0" w:color="auto"/>
              <w:bottom w:val="single" w:sz="6" w:space="0" w:color="auto"/>
              <w:right w:val="single" w:sz="6" w:space="0" w:color="auto"/>
            </w:tcBorders>
          </w:tcPr>
          <w:p w14:paraId="54BEC54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35A377E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nil"/>
              <w:left w:val="single" w:sz="6" w:space="0" w:color="auto"/>
              <w:bottom w:val="single" w:sz="6" w:space="0" w:color="auto"/>
              <w:right w:val="single" w:sz="6" w:space="0" w:color="auto"/>
            </w:tcBorders>
          </w:tcPr>
          <w:p w14:paraId="5B3BEFD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256C44C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05" w:type="dxa"/>
            <w:tcBorders>
              <w:top w:val="single" w:sz="6" w:space="0" w:color="auto"/>
              <w:left w:val="single" w:sz="6" w:space="0" w:color="auto"/>
              <w:bottom w:val="single" w:sz="6" w:space="0" w:color="auto"/>
              <w:right w:val="single" w:sz="6" w:space="0" w:color="auto"/>
            </w:tcBorders>
          </w:tcPr>
          <w:p w14:paraId="45963E1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ходовому парку</w:t>
            </w:r>
          </w:p>
          <w:p w14:paraId="2FD89EA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24" w:type="dxa"/>
            <w:tcBorders>
              <w:top w:val="single" w:sz="6" w:space="0" w:color="auto"/>
              <w:left w:val="single" w:sz="6" w:space="0" w:color="auto"/>
              <w:bottom w:val="single" w:sz="6" w:space="0" w:color="auto"/>
              <w:right w:val="single" w:sz="6" w:space="0" w:color="auto"/>
            </w:tcBorders>
          </w:tcPr>
          <w:p w14:paraId="244AF2D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осмотренному парку</w:t>
            </w:r>
          </w:p>
          <w:p w14:paraId="6A51EB5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3FD07AC0" w14:textId="77777777">
        <w:trPr>
          <w:trHeight w:val="278"/>
        </w:trPr>
        <w:tc>
          <w:tcPr>
            <w:tcW w:w="3254" w:type="dxa"/>
            <w:tcBorders>
              <w:top w:val="single" w:sz="6" w:space="0" w:color="auto"/>
              <w:left w:val="single" w:sz="6" w:space="0" w:color="auto"/>
              <w:bottom w:val="single" w:sz="6" w:space="0" w:color="auto"/>
              <w:right w:val="single" w:sz="6" w:space="0" w:color="auto"/>
            </w:tcBorders>
          </w:tcPr>
          <w:p w14:paraId="2BE739A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 ходовых автомашин</w:t>
            </w:r>
          </w:p>
          <w:p w14:paraId="609B75A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46FDC4D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120492</w:t>
            </w:r>
          </w:p>
          <w:p w14:paraId="10761E6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05" w:type="dxa"/>
            <w:tcBorders>
              <w:top w:val="single" w:sz="6" w:space="0" w:color="auto"/>
              <w:left w:val="single" w:sz="6" w:space="0" w:color="auto"/>
              <w:bottom w:val="single" w:sz="6" w:space="0" w:color="auto"/>
              <w:right w:val="single" w:sz="6" w:space="0" w:color="auto"/>
            </w:tcBorders>
          </w:tcPr>
          <w:p w14:paraId="1E7990F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100,0</w:t>
            </w:r>
          </w:p>
          <w:p w14:paraId="38BB200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24" w:type="dxa"/>
            <w:tcBorders>
              <w:top w:val="single" w:sz="6" w:space="0" w:color="auto"/>
              <w:left w:val="single" w:sz="6" w:space="0" w:color="auto"/>
              <w:bottom w:val="single" w:sz="6" w:space="0" w:color="auto"/>
              <w:right w:val="single" w:sz="6" w:space="0" w:color="auto"/>
            </w:tcBorders>
          </w:tcPr>
          <w:p w14:paraId="7DC7C31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61,5</w:t>
            </w:r>
          </w:p>
          <w:p w14:paraId="7395404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440D0283" w14:textId="77777777">
        <w:trPr>
          <w:trHeight w:val="269"/>
        </w:trPr>
        <w:tc>
          <w:tcPr>
            <w:tcW w:w="3254" w:type="dxa"/>
            <w:tcBorders>
              <w:top w:val="single" w:sz="6" w:space="0" w:color="auto"/>
              <w:left w:val="single" w:sz="6" w:space="0" w:color="auto"/>
              <w:bottom w:val="single" w:sz="6" w:space="0" w:color="auto"/>
              <w:right w:val="single" w:sz="6" w:space="0" w:color="auto"/>
            </w:tcBorders>
          </w:tcPr>
          <w:p w14:paraId="3C01FB2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 них:</w:t>
            </w:r>
          </w:p>
          <w:p w14:paraId="330DEEF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3895A97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92058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05" w:type="dxa"/>
            <w:tcBorders>
              <w:top w:val="single" w:sz="6" w:space="0" w:color="auto"/>
              <w:left w:val="single" w:sz="6" w:space="0" w:color="auto"/>
              <w:bottom w:val="single" w:sz="6" w:space="0" w:color="auto"/>
              <w:right w:val="single" w:sz="6" w:space="0" w:color="auto"/>
            </w:tcBorders>
          </w:tcPr>
          <w:p w14:paraId="5CE9FB3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56F5D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24" w:type="dxa"/>
            <w:tcBorders>
              <w:top w:val="single" w:sz="6" w:space="0" w:color="auto"/>
              <w:left w:val="single" w:sz="6" w:space="0" w:color="auto"/>
              <w:bottom w:val="single" w:sz="6" w:space="0" w:color="auto"/>
              <w:right w:val="single" w:sz="6" w:space="0" w:color="auto"/>
            </w:tcBorders>
          </w:tcPr>
          <w:p w14:paraId="7E2163C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FD0DF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07A1A873" w14:textId="77777777">
        <w:trPr>
          <w:trHeight w:val="278"/>
        </w:trPr>
        <w:tc>
          <w:tcPr>
            <w:tcW w:w="3254" w:type="dxa"/>
            <w:tcBorders>
              <w:top w:val="single" w:sz="6" w:space="0" w:color="auto"/>
              <w:left w:val="single" w:sz="6" w:space="0" w:color="auto"/>
              <w:bottom w:val="single" w:sz="6" w:space="0" w:color="auto"/>
              <w:right w:val="single" w:sz="6" w:space="0" w:color="auto"/>
            </w:tcBorders>
          </w:tcPr>
          <w:p w14:paraId="4226304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Технически исправных</w:t>
            </w:r>
          </w:p>
          <w:p w14:paraId="4E16378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455E2BC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83402</w:t>
            </w:r>
          </w:p>
          <w:p w14:paraId="48C298C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05" w:type="dxa"/>
            <w:tcBorders>
              <w:top w:val="single" w:sz="6" w:space="0" w:color="auto"/>
              <w:left w:val="single" w:sz="6" w:space="0" w:color="auto"/>
              <w:bottom w:val="single" w:sz="6" w:space="0" w:color="auto"/>
              <w:right w:val="single" w:sz="6" w:space="0" w:color="auto"/>
            </w:tcBorders>
          </w:tcPr>
          <w:p w14:paraId="6C6B230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69,2</w:t>
            </w:r>
          </w:p>
          <w:p w14:paraId="652C2B4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24" w:type="dxa"/>
            <w:tcBorders>
              <w:top w:val="single" w:sz="6" w:space="0" w:color="auto"/>
              <w:left w:val="single" w:sz="6" w:space="0" w:color="auto"/>
              <w:bottom w:val="single" w:sz="6" w:space="0" w:color="auto"/>
              <w:right w:val="single" w:sz="6" w:space="0" w:color="auto"/>
            </w:tcBorders>
          </w:tcPr>
          <w:p w14:paraId="6A85D56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42,6</w:t>
            </w:r>
          </w:p>
          <w:p w14:paraId="2B58C59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54CF6FC" w14:textId="77777777">
        <w:trPr>
          <w:trHeight w:val="298"/>
        </w:trPr>
        <w:tc>
          <w:tcPr>
            <w:tcW w:w="3254" w:type="dxa"/>
            <w:tcBorders>
              <w:top w:val="single" w:sz="6" w:space="0" w:color="auto"/>
              <w:left w:val="single" w:sz="6" w:space="0" w:color="auto"/>
              <w:bottom w:val="single" w:sz="6" w:space="0" w:color="auto"/>
              <w:right w:val="single" w:sz="6" w:space="0" w:color="auto"/>
            </w:tcBorders>
          </w:tcPr>
          <w:p w14:paraId="5FC7EEC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Требующих текущего ремонта</w:t>
            </w:r>
          </w:p>
          <w:p w14:paraId="142078E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3CCAEE4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19862</w:t>
            </w:r>
          </w:p>
          <w:p w14:paraId="502370F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05" w:type="dxa"/>
            <w:tcBorders>
              <w:top w:val="single" w:sz="6" w:space="0" w:color="auto"/>
              <w:left w:val="single" w:sz="6" w:space="0" w:color="auto"/>
              <w:bottom w:val="single" w:sz="6" w:space="0" w:color="auto"/>
              <w:right w:val="single" w:sz="6" w:space="0" w:color="auto"/>
            </w:tcBorders>
          </w:tcPr>
          <w:p w14:paraId="7AB1411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16,5</w:t>
            </w:r>
          </w:p>
          <w:p w14:paraId="7D1A0FC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24" w:type="dxa"/>
            <w:tcBorders>
              <w:top w:val="single" w:sz="6" w:space="0" w:color="auto"/>
              <w:left w:val="single" w:sz="6" w:space="0" w:color="auto"/>
              <w:bottom w:val="single" w:sz="6" w:space="0" w:color="auto"/>
              <w:right w:val="single" w:sz="6" w:space="0" w:color="auto"/>
            </w:tcBorders>
          </w:tcPr>
          <w:p w14:paraId="6BDB2C3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10,1</w:t>
            </w:r>
          </w:p>
          <w:p w14:paraId="523C105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4ABFFA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bl>
      <w:tblPr>
        <w:tblW w:w="0" w:type="auto"/>
        <w:tblInd w:w="40" w:type="dxa"/>
        <w:tblLayout w:type="fixed"/>
        <w:tblCellMar>
          <w:left w:w="40" w:type="dxa"/>
          <w:right w:w="40" w:type="dxa"/>
        </w:tblCellMar>
        <w:tblLook w:val="0000" w:firstRow="0" w:lastRow="0" w:firstColumn="0" w:lastColumn="0" w:noHBand="0" w:noVBand="0"/>
      </w:tblPr>
      <w:tblGrid>
        <w:gridCol w:w="3235"/>
        <w:gridCol w:w="1699"/>
        <w:gridCol w:w="1805"/>
        <w:gridCol w:w="1824"/>
      </w:tblGrid>
      <w:tr w:rsidR="006331D6" w:rsidRPr="007224C3" w14:paraId="219CDA25" w14:textId="77777777">
        <w:trPr>
          <w:trHeight w:val="269"/>
        </w:trPr>
        <w:tc>
          <w:tcPr>
            <w:tcW w:w="3235" w:type="dxa"/>
            <w:tcBorders>
              <w:top w:val="single" w:sz="6" w:space="0" w:color="auto"/>
              <w:left w:val="single" w:sz="6" w:space="0" w:color="auto"/>
              <w:bottom w:val="nil"/>
              <w:right w:val="single" w:sz="6" w:space="0" w:color="auto"/>
            </w:tcBorders>
          </w:tcPr>
          <w:p w14:paraId="657BAF4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Состояние автомобилей</w:t>
            </w:r>
          </w:p>
          <w:p w14:paraId="54FF985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nil"/>
              <w:right w:val="single" w:sz="6" w:space="0" w:color="auto"/>
            </w:tcBorders>
          </w:tcPr>
          <w:p w14:paraId="6C85581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Количество автомобилей</w:t>
            </w:r>
          </w:p>
          <w:p w14:paraId="5291538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29" w:type="dxa"/>
            <w:gridSpan w:val="2"/>
            <w:tcBorders>
              <w:top w:val="single" w:sz="6" w:space="0" w:color="auto"/>
              <w:left w:val="single" w:sz="6" w:space="0" w:color="auto"/>
              <w:bottom w:val="single" w:sz="6" w:space="0" w:color="auto"/>
              <w:right w:val="single" w:sz="6" w:space="0" w:color="auto"/>
            </w:tcBorders>
          </w:tcPr>
          <w:p w14:paraId="2C3F495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w:t>
            </w:r>
          </w:p>
          <w:p w14:paraId="12ECCDB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3988A832" w14:textId="77777777">
        <w:trPr>
          <w:trHeight w:val="259"/>
        </w:trPr>
        <w:tc>
          <w:tcPr>
            <w:tcW w:w="3235" w:type="dxa"/>
            <w:tcBorders>
              <w:top w:val="nil"/>
              <w:left w:val="single" w:sz="6" w:space="0" w:color="auto"/>
              <w:bottom w:val="single" w:sz="6" w:space="0" w:color="auto"/>
              <w:right w:val="single" w:sz="6" w:space="0" w:color="auto"/>
            </w:tcBorders>
          </w:tcPr>
          <w:p w14:paraId="1969902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01CC631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nil"/>
              <w:left w:val="single" w:sz="6" w:space="0" w:color="auto"/>
              <w:bottom w:val="single" w:sz="6" w:space="0" w:color="auto"/>
              <w:right w:val="single" w:sz="6" w:space="0" w:color="auto"/>
            </w:tcBorders>
          </w:tcPr>
          <w:p w14:paraId="190330C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2A73ACB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05" w:type="dxa"/>
            <w:tcBorders>
              <w:top w:val="single" w:sz="6" w:space="0" w:color="auto"/>
              <w:left w:val="single" w:sz="6" w:space="0" w:color="auto"/>
              <w:bottom w:val="single" w:sz="6" w:space="0" w:color="auto"/>
              <w:right w:val="single" w:sz="6" w:space="0" w:color="auto"/>
            </w:tcBorders>
          </w:tcPr>
          <w:p w14:paraId="32B6F36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ходовому парку</w:t>
            </w:r>
          </w:p>
          <w:p w14:paraId="2FA586D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24" w:type="dxa"/>
            <w:tcBorders>
              <w:top w:val="single" w:sz="6" w:space="0" w:color="auto"/>
              <w:left w:val="single" w:sz="6" w:space="0" w:color="auto"/>
              <w:bottom w:val="single" w:sz="6" w:space="0" w:color="auto"/>
              <w:right w:val="single" w:sz="6" w:space="0" w:color="auto"/>
            </w:tcBorders>
          </w:tcPr>
          <w:p w14:paraId="7C32FC0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осмотренному парку</w:t>
            </w:r>
          </w:p>
          <w:p w14:paraId="4AFBD0D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5B75A7C6" w14:textId="77777777">
        <w:trPr>
          <w:trHeight w:val="278"/>
        </w:trPr>
        <w:tc>
          <w:tcPr>
            <w:tcW w:w="3235" w:type="dxa"/>
            <w:tcBorders>
              <w:top w:val="single" w:sz="6" w:space="0" w:color="auto"/>
              <w:left w:val="single" w:sz="6" w:space="0" w:color="auto"/>
              <w:bottom w:val="single" w:sz="6" w:space="0" w:color="auto"/>
              <w:right w:val="single" w:sz="6" w:space="0" w:color="auto"/>
            </w:tcBorders>
          </w:tcPr>
          <w:p w14:paraId="4AA94DF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Требующих среднего ремонта</w:t>
            </w:r>
          </w:p>
          <w:p w14:paraId="5C20173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5626FB0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13271</w:t>
            </w:r>
          </w:p>
          <w:p w14:paraId="307862C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05" w:type="dxa"/>
            <w:tcBorders>
              <w:top w:val="single" w:sz="6" w:space="0" w:color="auto"/>
              <w:left w:val="single" w:sz="6" w:space="0" w:color="auto"/>
              <w:bottom w:val="single" w:sz="6" w:space="0" w:color="auto"/>
              <w:right w:val="single" w:sz="6" w:space="0" w:color="auto"/>
            </w:tcBorders>
          </w:tcPr>
          <w:p w14:paraId="1571569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11,0</w:t>
            </w:r>
          </w:p>
          <w:p w14:paraId="3813957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24" w:type="dxa"/>
            <w:tcBorders>
              <w:top w:val="single" w:sz="6" w:space="0" w:color="auto"/>
              <w:left w:val="single" w:sz="6" w:space="0" w:color="auto"/>
              <w:bottom w:val="single" w:sz="6" w:space="0" w:color="auto"/>
              <w:right w:val="single" w:sz="6" w:space="0" w:color="auto"/>
            </w:tcBorders>
          </w:tcPr>
          <w:p w14:paraId="625A531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6,8</w:t>
            </w:r>
          </w:p>
          <w:p w14:paraId="3E33920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06269936" w14:textId="77777777">
        <w:trPr>
          <w:trHeight w:val="298"/>
        </w:trPr>
        <w:tc>
          <w:tcPr>
            <w:tcW w:w="3235" w:type="dxa"/>
            <w:tcBorders>
              <w:top w:val="single" w:sz="6" w:space="0" w:color="auto"/>
              <w:left w:val="single" w:sz="6" w:space="0" w:color="auto"/>
              <w:bottom w:val="single" w:sz="6" w:space="0" w:color="auto"/>
              <w:right w:val="single" w:sz="6" w:space="0" w:color="auto"/>
            </w:tcBorders>
          </w:tcPr>
          <w:p w14:paraId="4BB24E9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Требующих капитального ремонта</w:t>
            </w:r>
          </w:p>
          <w:p w14:paraId="127DD3C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0031E90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3957</w:t>
            </w:r>
          </w:p>
          <w:p w14:paraId="15C5C82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05" w:type="dxa"/>
            <w:tcBorders>
              <w:top w:val="single" w:sz="6" w:space="0" w:color="auto"/>
              <w:left w:val="single" w:sz="6" w:space="0" w:color="auto"/>
              <w:bottom w:val="single" w:sz="6" w:space="0" w:color="auto"/>
              <w:right w:val="single" w:sz="6" w:space="0" w:color="auto"/>
            </w:tcBorders>
          </w:tcPr>
          <w:p w14:paraId="5F9C376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3,3</w:t>
            </w:r>
          </w:p>
          <w:p w14:paraId="0705DA8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24" w:type="dxa"/>
            <w:tcBorders>
              <w:top w:val="single" w:sz="6" w:space="0" w:color="auto"/>
              <w:left w:val="single" w:sz="6" w:space="0" w:color="auto"/>
              <w:bottom w:val="single" w:sz="6" w:space="0" w:color="auto"/>
              <w:right w:val="single" w:sz="6" w:space="0" w:color="auto"/>
            </w:tcBorders>
          </w:tcPr>
          <w:p w14:paraId="069CC82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w:t>
            </w:r>
          </w:p>
          <w:p w14:paraId="47B8587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11D0672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 приведенного видно, что исправных автомашин имеется лишь 83402 единицы или 69,2% от общего числа ходовых машин; остальные 37090 автомашин (30,8%) эксплуатировались в неисправ</w:t>
      </w:r>
      <w:r w:rsidRPr="007224C3">
        <w:rPr>
          <w:rFonts w:ascii="Times New Roman" w:hAnsi="Times New Roman"/>
          <w:color w:val="000000" w:themeColor="text1"/>
          <w:sz w:val="16"/>
          <w:szCs w:val="16"/>
        </w:rPr>
        <w:softHyphen/>
        <w:t>ном состоянии.</w:t>
      </w:r>
    </w:p>
    <w:p w14:paraId="03117E3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Техническое состояние простаивающих (неходовых) автомобилей приводится ниже:</w:t>
      </w:r>
    </w:p>
    <w:tbl>
      <w:tblPr>
        <w:tblW w:w="0" w:type="auto"/>
        <w:tblInd w:w="40" w:type="dxa"/>
        <w:tblLayout w:type="fixed"/>
        <w:tblCellMar>
          <w:left w:w="40" w:type="dxa"/>
          <w:right w:w="40" w:type="dxa"/>
        </w:tblCellMar>
        <w:tblLook w:val="0000" w:firstRow="0" w:lastRow="0" w:firstColumn="0" w:lastColumn="0" w:noHBand="0" w:noVBand="0"/>
      </w:tblPr>
      <w:tblGrid>
        <w:gridCol w:w="4330"/>
        <w:gridCol w:w="1498"/>
        <w:gridCol w:w="1622"/>
        <w:gridCol w:w="1651"/>
      </w:tblGrid>
      <w:tr w:rsidR="006331D6" w:rsidRPr="007224C3" w14:paraId="28821ACC" w14:textId="77777777">
        <w:trPr>
          <w:trHeight w:val="192"/>
        </w:trPr>
        <w:tc>
          <w:tcPr>
            <w:tcW w:w="4330" w:type="dxa"/>
            <w:tcBorders>
              <w:top w:val="single" w:sz="6" w:space="0" w:color="auto"/>
              <w:left w:val="single" w:sz="6" w:space="0" w:color="auto"/>
              <w:bottom w:val="nil"/>
              <w:right w:val="single" w:sz="6" w:space="0" w:color="auto"/>
            </w:tcBorders>
          </w:tcPr>
          <w:p w14:paraId="5124997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Состояние автомобилей</w:t>
            </w:r>
          </w:p>
          <w:p w14:paraId="041F4F2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nil"/>
              <w:right w:val="single" w:sz="6" w:space="0" w:color="auto"/>
            </w:tcBorders>
          </w:tcPr>
          <w:p w14:paraId="402B95F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Количество автомобилей</w:t>
            </w:r>
          </w:p>
          <w:p w14:paraId="632594B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273" w:type="dxa"/>
            <w:gridSpan w:val="2"/>
            <w:tcBorders>
              <w:top w:val="single" w:sz="6" w:space="0" w:color="auto"/>
              <w:left w:val="single" w:sz="6" w:space="0" w:color="auto"/>
              <w:bottom w:val="single" w:sz="6" w:space="0" w:color="auto"/>
              <w:right w:val="single" w:sz="6" w:space="0" w:color="auto"/>
            </w:tcBorders>
          </w:tcPr>
          <w:p w14:paraId="33C7758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w:t>
            </w:r>
          </w:p>
          <w:p w14:paraId="05F5246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47087664" w14:textId="77777777">
        <w:trPr>
          <w:trHeight w:val="182"/>
        </w:trPr>
        <w:tc>
          <w:tcPr>
            <w:tcW w:w="4330" w:type="dxa"/>
            <w:tcBorders>
              <w:top w:val="nil"/>
              <w:left w:val="single" w:sz="6" w:space="0" w:color="auto"/>
              <w:bottom w:val="single" w:sz="6" w:space="0" w:color="auto"/>
              <w:right w:val="single" w:sz="6" w:space="0" w:color="auto"/>
            </w:tcBorders>
          </w:tcPr>
          <w:p w14:paraId="224AD15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2B4E9AA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nil"/>
              <w:left w:val="single" w:sz="6" w:space="0" w:color="auto"/>
              <w:bottom w:val="single" w:sz="6" w:space="0" w:color="auto"/>
              <w:right w:val="single" w:sz="6" w:space="0" w:color="auto"/>
            </w:tcBorders>
          </w:tcPr>
          <w:p w14:paraId="0190BA0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283DC74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6512F11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неходовому парку</w:t>
            </w:r>
          </w:p>
          <w:p w14:paraId="22B8063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08D2472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осмотренному парку</w:t>
            </w:r>
          </w:p>
          <w:p w14:paraId="05FFF28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7607D340" w14:textId="77777777">
        <w:trPr>
          <w:trHeight w:val="192"/>
        </w:trPr>
        <w:tc>
          <w:tcPr>
            <w:tcW w:w="4330" w:type="dxa"/>
            <w:tcBorders>
              <w:top w:val="single" w:sz="6" w:space="0" w:color="auto"/>
              <w:left w:val="single" w:sz="6" w:space="0" w:color="auto"/>
              <w:bottom w:val="single" w:sz="6" w:space="0" w:color="auto"/>
              <w:right w:val="single" w:sz="6" w:space="0" w:color="auto"/>
            </w:tcBorders>
          </w:tcPr>
          <w:p w14:paraId="2AB2C78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 неходовых автомобилей</w:t>
            </w:r>
          </w:p>
          <w:p w14:paraId="279C45E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3133796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75434</w:t>
            </w:r>
          </w:p>
          <w:p w14:paraId="1EC62CC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33AFC00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100,0</w:t>
            </w:r>
          </w:p>
          <w:p w14:paraId="7865C2A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72EA384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38,5</w:t>
            </w:r>
          </w:p>
          <w:p w14:paraId="1E7E802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34B72895" w14:textId="77777777">
        <w:trPr>
          <w:trHeight w:val="202"/>
        </w:trPr>
        <w:tc>
          <w:tcPr>
            <w:tcW w:w="4330" w:type="dxa"/>
            <w:tcBorders>
              <w:top w:val="single" w:sz="6" w:space="0" w:color="auto"/>
              <w:left w:val="single" w:sz="6" w:space="0" w:color="auto"/>
              <w:bottom w:val="single" w:sz="6" w:space="0" w:color="auto"/>
              <w:right w:val="single" w:sz="6" w:space="0" w:color="auto"/>
            </w:tcBorders>
          </w:tcPr>
          <w:p w14:paraId="2540321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 них:</w:t>
            </w:r>
          </w:p>
          <w:p w14:paraId="2ACE6F4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4C90B9B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32363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0C55C7E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1E3859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20880DE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E8A24E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754201BE" w14:textId="77777777">
        <w:trPr>
          <w:trHeight w:val="192"/>
        </w:trPr>
        <w:tc>
          <w:tcPr>
            <w:tcW w:w="4330" w:type="dxa"/>
            <w:tcBorders>
              <w:top w:val="single" w:sz="6" w:space="0" w:color="auto"/>
              <w:left w:val="single" w:sz="6" w:space="0" w:color="auto"/>
              <w:bottom w:val="single" w:sz="6" w:space="0" w:color="auto"/>
              <w:right w:val="single" w:sz="6" w:space="0" w:color="auto"/>
            </w:tcBorders>
          </w:tcPr>
          <w:p w14:paraId="719CB47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Технически исправных, простаивающих без резины</w:t>
            </w:r>
          </w:p>
          <w:p w14:paraId="23C43F5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3ABF3EE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1825</w:t>
            </w:r>
          </w:p>
          <w:p w14:paraId="55DE052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4177A69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w:t>
            </w:r>
          </w:p>
          <w:p w14:paraId="263DF1E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3174F91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0,9</w:t>
            </w:r>
          </w:p>
          <w:p w14:paraId="6F85A61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7D5152C0" w14:textId="77777777">
        <w:trPr>
          <w:trHeight w:val="192"/>
        </w:trPr>
        <w:tc>
          <w:tcPr>
            <w:tcW w:w="4330" w:type="dxa"/>
            <w:tcBorders>
              <w:top w:val="single" w:sz="6" w:space="0" w:color="auto"/>
              <w:left w:val="single" w:sz="6" w:space="0" w:color="auto"/>
              <w:bottom w:val="single" w:sz="6" w:space="0" w:color="auto"/>
              <w:right w:val="single" w:sz="6" w:space="0" w:color="auto"/>
            </w:tcBorders>
          </w:tcPr>
          <w:p w14:paraId="0049CF3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текущем ремонте</w:t>
            </w:r>
          </w:p>
          <w:p w14:paraId="2A9E0CF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0C64909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5676</w:t>
            </w:r>
          </w:p>
          <w:p w14:paraId="090ABFF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7C72ACB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7,5</w:t>
            </w:r>
          </w:p>
          <w:p w14:paraId="565991D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453DEF4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w:t>
            </w:r>
          </w:p>
          <w:p w14:paraId="74124E4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435BCA0B" w14:textId="77777777">
        <w:trPr>
          <w:trHeight w:val="202"/>
        </w:trPr>
        <w:tc>
          <w:tcPr>
            <w:tcW w:w="4330" w:type="dxa"/>
            <w:tcBorders>
              <w:top w:val="single" w:sz="6" w:space="0" w:color="auto"/>
              <w:left w:val="single" w:sz="6" w:space="0" w:color="auto"/>
              <w:bottom w:val="single" w:sz="6" w:space="0" w:color="auto"/>
              <w:right w:val="single" w:sz="6" w:space="0" w:color="auto"/>
            </w:tcBorders>
          </w:tcPr>
          <w:p w14:paraId="33E09E0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среднем ремонте</w:t>
            </w:r>
          </w:p>
          <w:p w14:paraId="4B1BBD1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02315AC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11165</w:t>
            </w:r>
          </w:p>
          <w:p w14:paraId="3A73FB6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0E7F7A7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14,8</w:t>
            </w:r>
          </w:p>
          <w:p w14:paraId="4B8A7AA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1A912F5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5,7</w:t>
            </w:r>
          </w:p>
          <w:p w14:paraId="4ED1028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68178302" w14:textId="77777777">
        <w:trPr>
          <w:trHeight w:val="192"/>
        </w:trPr>
        <w:tc>
          <w:tcPr>
            <w:tcW w:w="4330" w:type="dxa"/>
            <w:tcBorders>
              <w:top w:val="single" w:sz="6" w:space="0" w:color="auto"/>
              <w:left w:val="single" w:sz="6" w:space="0" w:color="auto"/>
              <w:bottom w:val="single" w:sz="6" w:space="0" w:color="auto"/>
              <w:right w:val="single" w:sz="6" w:space="0" w:color="auto"/>
            </w:tcBorders>
          </w:tcPr>
          <w:p w14:paraId="3362D44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капитальном ремонте</w:t>
            </w:r>
          </w:p>
          <w:p w14:paraId="717657D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6413FDA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11109</w:t>
            </w:r>
          </w:p>
          <w:p w14:paraId="6DF8201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62F3829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14,9</w:t>
            </w:r>
          </w:p>
          <w:p w14:paraId="32E6E23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5E80D9E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5,7</w:t>
            </w:r>
          </w:p>
          <w:p w14:paraId="10354EA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7888837D" w14:textId="77777777">
        <w:trPr>
          <w:trHeight w:val="192"/>
        </w:trPr>
        <w:tc>
          <w:tcPr>
            <w:tcW w:w="4330" w:type="dxa"/>
            <w:tcBorders>
              <w:top w:val="single" w:sz="6" w:space="0" w:color="auto"/>
              <w:left w:val="single" w:sz="6" w:space="0" w:color="auto"/>
              <w:bottom w:val="single" w:sz="6" w:space="0" w:color="auto"/>
              <w:right w:val="single" w:sz="6" w:space="0" w:color="auto"/>
            </w:tcBorders>
          </w:tcPr>
          <w:p w14:paraId="6909C6D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ожидании текущего ремонта</w:t>
            </w:r>
          </w:p>
          <w:p w14:paraId="371EA55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2DB8BB2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4898</w:t>
            </w:r>
          </w:p>
          <w:p w14:paraId="22F1109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1515BAD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6,5</w:t>
            </w:r>
          </w:p>
          <w:p w14:paraId="7DAD58A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7E2E6E8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w:t>
            </w:r>
          </w:p>
          <w:p w14:paraId="56543BD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7A6C2300" w14:textId="77777777">
        <w:trPr>
          <w:trHeight w:val="202"/>
        </w:trPr>
        <w:tc>
          <w:tcPr>
            <w:tcW w:w="4330" w:type="dxa"/>
            <w:tcBorders>
              <w:top w:val="single" w:sz="6" w:space="0" w:color="auto"/>
              <w:left w:val="single" w:sz="6" w:space="0" w:color="auto"/>
              <w:bottom w:val="single" w:sz="6" w:space="0" w:color="auto"/>
              <w:right w:val="single" w:sz="6" w:space="0" w:color="auto"/>
            </w:tcBorders>
          </w:tcPr>
          <w:p w14:paraId="2829513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ожидании среднего ремонта</w:t>
            </w:r>
          </w:p>
          <w:p w14:paraId="541C852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652D773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10859</w:t>
            </w:r>
          </w:p>
          <w:p w14:paraId="1C438CD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667DEFD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14,3</w:t>
            </w:r>
          </w:p>
          <w:p w14:paraId="0867C52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100266A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5,5</w:t>
            </w:r>
          </w:p>
          <w:p w14:paraId="472891B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3B8E494A" w14:textId="77777777">
        <w:trPr>
          <w:trHeight w:val="192"/>
        </w:trPr>
        <w:tc>
          <w:tcPr>
            <w:tcW w:w="4330" w:type="dxa"/>
            <w:tcBorders>
              <w:top w:val="single" w:sz="6" w:space="0" w:color="auto"/>
              <w:left w:val="single" w:sz="6" w:space="0" w:color="auto"/>
              <w:bottom w:val="single" w:sz="6" w:space="0" w:color="auto"/>
              <w:right w:val="single" w:sz="6" w:space="0" w:color="auto"/>
            </w:tcBorders>
          </w:tcPr>
          <w:p w14:paraId="2187B64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ожидании капитального ремонта</w:t>
            </w:r>
          </w:p>
          <w:p w14:paraId="6E69993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6426B1E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26952</w:t>
            </w:r>
          </w:p>
          <w:p w14:paraId="3B83173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2F1EC3A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35,7</w:t>
            </w:r>
          </w:p>
          <w:p w14:paraId="4A45486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5EF80DC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13,8</w:t>
            </w:r>
          </w:p>
          <w:p w14:paraId="6D35947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28369343" w14:textId="77777777">
        <w:trPr>
          <w:trHeight w:val="221"/>
        </w:trPr>
        <w:tc>
          <w:tcPr>
            <w:tcW w:w="4330" w:type="dxa"/>
            <w:tcBorders>
              <w:top w:val="single" w:sz="6" w:space="0" w:color="auto"/>
              <w:left w:val="single" w:sz="6" w:space="0" w:color="auto"/>
              <w:bottom w:val="single" w:sz="6" w:space="0" w:color="auto"/>
              <w:right w:val="single" w:sz="6" w:space="0" w:color="auto"/>
            </w:tcBorders>
          </w:tcPr>
          <w:p w14:paraId="5C9E799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Нерентабельных к восстановлению</w:t>
            </w:r>
          </w:p>
          <w:p w14:paraId="46AC852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637D127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2950</w:t>
            </w:r>
          </w:p>
          <w:p w14:paraId="50395AC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435B98E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3,9</w:t>
            </w:r>
          </w:p>
          <w:p w14:paraId="2C06646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0C46DF5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w:t>
            </w:r>
          </w:p>
          <w:p w14:paraId="15F30C9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0BC30B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 75434 простаивающих автомобилей 70859 машин находились в ремонте или в ожидании ремонта.</w:t>
      </w:r>
    </w:p>
    <w:p w14:paraId="5EA6430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сравнении технического состояния автопарка на 1 января 1944 года с результатами пред</w:t>
      </w:r>
      <w:r w:rsidRPr="007224C3">
        <w:rPr>
          <w:rFonts w:ascii="Times New Roman" w:hAnsi="Times New Roman"/>
          <w:color w:val="000000" w:themeColor="text1"/>
          <w:sz w:val="16"/>
          <w:szCs w:val="16"/>
        </w:rPr>
        <w:softHyphen/>
        <w:t>ыдущих технических осмотров видно некоторое улучшение его, так, например:</w:t>
      </w:r>
    </w:p>
    <w:tbl>
      <w:tblPr>
        <w:tblW w:w="0" w:type="auto"/>
        <w:tblInd w:w="40" w:type="dxa"/>
        <w:tblLayout w:type="fixed"/>
        <w:tblCellMar>
          <w:left w:w="40" w:type="dxa"/>
          <w:right w:w="40" w:type="dxa"/>
        </w:tblCellMar>
        <w:tblLook w:val="0000" w:firstRow="0" w:lastRow="0" w:firstColumn="0" w:lastColumn="0" w:noHBand="0" w:noVBand="0"/>
      </w:tblPr>
      <w:tblGrid>
        <w:gridCol w:w="3312"/>
        <w:gridCol w:w="1037"/>
        <w:gridCol w:w="1046"/>
        <w:gridCol w:w="1046"/>
        <w:gridCol w:w="1046"/>
        <w:gridCol w:w="1037"/>
        <w:gridCol w:w="1066"/>
      </w:tblGrid>
      <w:tr w:rsidR="006331D6" w:rsidRPr="007224C3" w14:paraId="335DE6E8" w14:textId="77777777">
        <w:trPr>
          <w:trHeight w:val="192"/>
        </w:trPr>
        <w:tc>
          <w:tcPr>
            <w:tcW w:w="3312" w:type="dxa"/>
            <w:tcBorders>
              <w:top w:val="single" w:sz="6" w:space="0" w:color="auto"/>
              <w:left w:val="single" w:sz="6" w:space="0" w:color="auto"/>
              <w:bottom w:val="nil"/>
              <w:right w:val="single" w:sz="6" w:space="0" w:color="auto"/>
            </w:tcBorders>
          </w:tcPr>
          <w:p w14:paraId="2B66869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Состояние автомобилей</w:t>
            </w:r>
          </w:p>
          <w:p w14:paraId="17460BE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83" w:type="dxa"/>
            <w:gridSpan w:val="2"/>
            <w:tcBorders>
              <w:top w:val="single" w:sz="6" w:space="0" w:color="auto"/>
              <w:left w:val="single" w:sz="6" w:space="0" w:color="auto"/>
              <w:bottom w:val="single" w:sz="6" w:space="0" w:color="auto"/>
              <w:right w:val="single" w:sz="6" w:space="0" w:color="auto"/>
            </w:tcBorders>
          </w:tcPr>
          <w:p w14:paraId="754437F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1.01.1943 г.</w:t>
            </w:r>
          </w:p>
          <w:p w14:paraId="5525149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92" w:type="dxa"/>
            <w:gridSpan w:val="2"/>
            <w:tcBorders>
              <w:top w:val="single" w:sz="6" w:space="0" w:color="auto"/>
              <w:left w:val="single" w:sz="6" w:space="0" w:color="auto"/>
              <w:bottom w:val="single" w:sz="6" w:space="0" w:color="auto"/>
              <w:right w:val="single" w:sz="6" w:space="0" w:color="auto"/>
            </w:tcBorders>
          </w:tcPr>
          <w:p w14:paraId="0A94C94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1.08.1943 г.</w:t>
            </w:r>
          </w:p>
          <w:p w14:paraId="08FAF83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03" w:type="dxa"/>
            <w:gridSpan w:val="2"/>
            <w:tcBorders>
              <w:top w:val="single" w:sz="6" w:space="0" w:color="auto"/>
              <w:left w:val="single" w:sz="6" w:space="0" w:color="auto"/>
              <w:bottom w:val="single" w:sz="6" w:space="0" w:color="auto"/>
              <w:right w:val="single" w:sz="6" w:space="0" w:color="auto"/>
            </w:tcBorders>
          </w:tcPr>
          <w:p w14:paraId="1F10679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1.01.1944 г.</w:t>
            </w:r>
          </w:p>
          <w:p w14:paraId="5363B68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4707B09B" w14:textId="77777777">
        <w:trPr>
          <w:trHeight w:val="336"/>
        </w:trPr>
        <w:tc>
          <w:tcPr>
            <w:tcW w:w="3312" w:type="dxa"/>
            <w:tcBorders>
              <w:top w:val="nil"/>
              <w:left w:val="single" w:sz="6" w:space="0" w:color="auto"/>
              <w:bottom w:val="single" w:sz="6" w:space="0" w:color="auto"/>
              <w:right w:val="single" w:sz="6" w:space="0" w:color="auto"/>
            </w:tcBorders>
          </w:tcPr>
          <w:p w14:paraId="34701CE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4C11ED3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66C51C6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Количество автомобилей</w:t>
            </w:r>
          </w:p>
          <w:p w14:paraId="32DFB70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B7E051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 к осмо</w:t>
            </w:r>
            <w:r w:rsidRPr="007224C3">
              <w:rPr>
                <w:rFonts w:ascii="Times New Roman" w:hAnsi="Times New Roman"/>
                <w:color w:val="000000" w:themeColor="text1"/>
                <w:sz w:val="16"/>
                <w:szCs w:val="16"/>
              </w:rPr>
              <w:softHyphen/>
              <w:t>тренному парку</w:t>
            </w:r>
          </w:p>
          <w:p w14:paraId="3C9683B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54727E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Количество автомобилей</w:t>
            </w:r>
          </w:p>
          <w:p w14:paraId="45D33D8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3ED730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 к осмо</w:t>
            </w:r>
            <w:r w:rsidRPr="007224C3">
              <w:rPr>
                <w:rFonts w:ascii="Times New Roman" w:hAnsi="Times New Roman"/>
                <w:color w:val="000000" w:themeColor="text1"/>
                <w:sz w:val="16"/>
                <w:szCs w:val="16"/>
              </w:rPr>
              <w:softHyphen/>
              <w:t>тренному парку</w:t>
            </w:r>
          </w:p>
          <w:p w14:paraId="5763032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0C7DA63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Количество автомобилей</w:t>
            </w:r>
          </w:p>
          <w:p w14:paraId="4B5DA5A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62A7E6A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 к осмо</w:t>
            </w:r>
            <w:r w:rsidRPr="007224C3">
              <w:rPr>
                <w:rFonts w:ascii="Times New Roman" w:hAnsi="Times New Roman"/>
                <w:color w:val="000000" w:themeColor="text1"/>
                <w:sz w:val="16"/>
                <w:szCs w:val="16"/>
              </w:rPr>
              <w:softHyphen/>
              <w:t>тренному парку</w:t>
            </w:r>
          </w:p>
          <w:p w14:paraId="5E498F3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349E6511" w14:textId="77777777">
        <w:trPr>
          <w:trHeight w:val="202"/>
        </w:trPr>
        <w:tc>
          <w:tcPr>
            <w:tcW w:w="3312" w:type="dxa"/>
            <w:tcBorders>
              <w:top w:val="single" w:sz="6" w:space="0" w:color="auto"/>
              <w:left w:val="single" w:sz="6" w:space="0" w:color="auto"/>
              <w:bottom w:val="single" w:sz="6" w:space="0" w:color="auto"/>
              <w:right w:val="single" w:sz="6" w:space="0" w:color="auto"/>
            </w:tcBorders>
          </w:tcPr>
          <w:p w14:paraId="0D0F07A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Технически исправных на ходу</w:t>
            </w:r>
          </w:p>
          <w:p w14:paraId="14A6116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41F64D9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65323</w:t>
            </w:r>
          </w:p>
          <w:p w14:paraId="210AB9E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389861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31,8</w:t>
            </w:r>
          </w:p>
          <w:p w14:paraId="3DE8FCC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E36973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74300</w:t>
            </w:r>
          </w:p>
          <w:p w14:paraId="7F53FDE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440A0D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38,0</w:t>
            </w:r>
          </w:p>
          <w:p w14:paraId="4E6675B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4BBF277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83402</w:t>
            </w:r>
          </w:p>
          <w:p w14:paraId="7F59608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22D947F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42,6</w:t>
            </w:r>
          </w:p>
          <w:p w14:paraId="04AB245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39BFC303" w14:textId="77777777">
        <w:trPr>
          <w:trHeight w:val="394"/>
        </w:trPr>
        <w:tc>
          <w:tcPr>
            <w:tcW w:w="3312" w:type="dxa"/>
            <w:tcBorders>
              <w:top w:val="single" w:sz="6" w:space="0" w:color="auto"/>
              <w:left w:val="single" w:sz="6" w:space="0" w:color="auto"/>
              <w:bottom w:val="single" w:sz="6" w:space="0" w:color="auto"/>
              <w:right w:val="single" w:sz="6" w:space="0" w:color="auto"/>
            </w:tcBorders>
          </w:tcPr>
          <w:p w14:paraId="3B9804E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Технически исправных простаивающих без резины</w:t>
            </w:r>
          </w:p>
          <w:p w14:paraId="5200256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6AA8797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7098</w:t>
            </w:r>
          </w:p>
          <w:p w14:paraId="5C48FD9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7361DA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3,4</w:t>
            </w:r>
          </w:p>
          <w:p w14:paraId="721CF45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BD6E24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2778</w:t>
            </w:r>
          </w:p>
          <w:p w14:paraId="5DB2D56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0B242B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w:t>
            </w:r>
          </w:p>
          <w:p w14:paraId="41B7107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26FFB43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1825</w:t>
            </w:r>
          </w:p>
          <w:p w14:paraId="3AB0AB8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26B0E07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0,9</w:t>
            </w:r>
          </w:p>
          <w:p w14:paraId="6AA0E6B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75110560" w14:textId="77777777">
        <w:trPr>
          <w:trHeight w:val="192"/>
        </w:trPr>
        <w:tc>
          <w:tcPr>
            <w:tcW w:w="3312" w:type="dxa"/>
            <w:tcBorders>
              <w:top w:val="single" w:sz="6" w:space="0" w:color="auto"/>
              <w:left w:val="single" w:sz="6" w:space="0" w:color="auto"/>
              <w:bottom w:val="single" w:sz="6" w:space="0" w:color="auto"/>
              <w:right w:val="single" w:sz="6" w:space="0" w:color="auto"/>
            </w:tcBorders>
          </w:tcPr>
          <w:p w14:paraId="0CA91D5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Ходовых машин, требующих ремонта</w:t>
            </w:r>
          </w:p>
          <w:p w14:paraId="4ED73E8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3286125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39674</w:t>
            </w:r>
          </w:p>
          <w:p w14:paraId="5C7B4D6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1555D8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w:t>
            </w:r>
          </w:p>
          <w:p w14:paraId="42F2009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90CDCE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39439</w:t>
            </w:r>
          </w:p>
          <w:p w14:paraId="5D832C2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C41FB1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20,2</w:t>
            </w:r>
          </w:p>
          <w:p w14:paraId="5A4B2F5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116347F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37090</w:t>
            </w:r>
          </w:p>
          <w:p w14:paraId="28CB924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24B7DB0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18,9</w:t>
            </w:r>
          </w:p>
          <w:p w14:paraId="3C5A739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76340B1F" w14:textId="77777777">
        <w:trPr>
          <w:trHeight w:val="202"/>
        </w:trPr>
        <w:tc>
          <w:tcPr>
            <w:tcW w:w="3312" w:type="dxa"/>
            <w:tcBorders>
              <w:top w:val="single" w:sz="6" w:space="0" w:color="auto"/>
              <w:left w:val="single" w:sz="6" w:space="0" w:color="auto"/>
              <w:bottom w:val="single" w:sz="6" w:space="0" w:color="auto"/>
              <w:right w:val="single" w:sz="6" w:space="0" w:color="auto"/>
            </w:tcBorders>
          </w:tcPr>
          <w:p w14:paraId="2908237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Автомашин, находящихся в ремонте</w:t>
            </w:r>
          </w:p>
          <w:p w14:paraId="384491B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399740B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29455</w:t>
            </w:r>
          </w:p>
          <w:p w14:paraId="7A9ABCD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D4C6B5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14,3</w:t>
            </w:r>
          </w:p>
          <w:p w14:paraId="17BDADD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2C1BE8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28473</w:t>
            </w:r>
          </w:p>
          <w:p w14:paraId="3DB83E0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0316B3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14,6</w:t>
            </w:r>
          </w:p>
          <w:p w14:paraId="62EAE56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6870C5F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27950</w:t>
            </w:r>
          </w:p>
          <w:p w14:paraId="49676B1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1F856EA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14,3</w:t>
            </w:r>
          </w:p>
          <w:p w14:paraId="5CF3208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4D0C400C" w14:textId="77777777">
        <w:trPr>
          <w:trHeight w:val="192"/>
        </w:trPr>
        <w:tc>
          <w:tcPr>
            <w:tcW w:w="3312" w:type="dxa"/>
            <w:tcBorders>
              <w:top w:val="single" w:sz="6" w:space="0" w:color="auto"/>
              <w:left w:val="single" w:sz="6" w:space="0" w:color="auto"/>
              <w:bottom w:val="single" w:sz="6" w:space="0" w:color="auto"/>
              <w:right w:val="single" w:sz="6" w:space="0" w:color="auto"/>
            </w:tcBorders>
          </w:tcPr>
          <w:p w14:paraId="459B9EE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Автомашин в ожидании ремонта</w:t>
            </w:r>
          </w:p>
          <w:p w14:paraId="7E2C848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0CE5CD4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55782</w:t>
            </w:r>
          </w:p>
          <w:p w14:paraId="6700A4C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EBF83C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27,2</w:t>
            </w:r>
          </w:p>
          <w:p w14:paraId="342E1B7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7E07F5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44316</w:t>
            </w:r>
          </w:p>
          <w:p w14:paraId="2A82280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E45DB2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22,8</w:t>
            </w:r>
          </w:p>
          <w:p w14:paraId="38F5156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2D42C6A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42709</w:t>
            </w:r>
          </w:p>
          <w:p w14:paraId="75CC551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3AE8BAA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21,8</w:t>
            </w:r>
          </w:p>
          <w:p w14:paraId="0D4C8EB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6FBDA913" w14:textId="77777777">
        <w:trPr>
          <w:trHeight w:val="413"/>
        </w:trPr>
        <w:tc>
          <w:tcPr>
            <w:tcW w:w="3312" w:type="dxa"/>
            <w:tcBorders>
              <w:top w:val="single" w:sz="6" w:space="0" w:color="auto"/>
              <w:left w:val="single" w:sz="6" w:space="0" w:color="auto"/>
              <w:bottom w:val="single" w:sz="6" w:space="0" w:color="auto"/>
              <w:right w:val="single" w:sz="6" w:space="0" w:color="auto"/>
            </w:tcBorders>
          </w:tcPr>
          <w:p w14:paraId="6A01FB5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Автомашин нерентабельных к восстанов</w:t>
            </w:r>
            <w:r w:rsidRPr="007224C3">
              <w:rPr>
                <w:rFonts w:ascii="Times New Roman" w:hAnsi="Times New Roman"/>
                <w:color w:val="000000" w:themeColor="text1"/>
                <w:sz w:val="16"/>
                <w:szCs w:val="16"/>
              </w:rPr>
              <w:softHyphen/>
              <w:t>лению</w:t>
            </w:r>
          </w:p>
          <w:p w14:paraId="69139FB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30E3971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8034</w:t>
            </w:r>
          </w:p>
          <w:p w14:paraId="2627EBC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48D016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3,9</w:t>
            </w:r>
          </w:p>
          <w:p w14:paraId="107B39D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2669EC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5971</w:t>
            </w:r>
          </w:p>
          <w:p w14:paraId="15E648E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E87B57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w:t>
            </w:r>
          </w:p>
          <w:p w14:paraId="774A41A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76C52A7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2950</w:t>
            </w:r>
          </w:p>
          <w:p w14:paraId="04FBC54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49CBA30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w:t>
            </w:r>
          </w:p>
          <w:p w14:paraId="243A683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A0C319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Сопоставленные в таблице данные свидетельствуют об увеличении числа ходовых, технически исправных автомобилей. Так, на 1 января 1943 года, они составляли 31,8% наличия автопарка, на 1 января 1944 года 42,6%, по данным же на 1 мая 1942 года их было лишь 24,9%.</w:t>
      </w:r>
    </w:p>
    <w:p w14:paraId="20D7591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Растущая потребность в автотранспорте заставила руководителей многих предприятий серьез</w:t>
      </w:r>
      <w:r w:rsidRPr="007224C3">
        <w:rPr>
          <w:rFonts w:ascii="Times New Roman" w:hAnsi="Times New Roman"/>
          <w:color w:val="000000" w:themeColor="text1"/>
          <w:sz w:val="16"/>
          <w:szCs w:val="16"/>
        </w:rPr>
        <w:softHyphen/>
        <w:t>нее заняться ремонтом автомобилей, ранее длительное время простаивающих в ожидании ремонта, вследствие чего число таких машин на 1 января 1944 года снизилось.</w:t>
      </w:r>
    </w:p>
    <w:p w14:paraId="00812B5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Количество технически исправных автомобилей, простаивающих из-за отсутствия резины, сокращается. Так, на 1 мая 1942 года простаивало без резины 4,4% автомашин, на 1 января 1943 года — 3,4%, на 1 января 1944 года их осталось 0,9%.</w:t>
      </w:r>
    </w:p>
    <w:p w14:paraId="7668384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Наряду с общим улучшением технического состояния автопарка, в ряде Наркоматов подведом</w:t>
      </w:r>
      <w:r w:rsidRPr="007224C3">
        <w:rPr>
          <w:rFonts w:ascii="Times New Roman" w:hAnsi="Times New Roman"/>
          <w:color w:val="000000" w:themeColor="text1"/>
          <w:sz w:val="16"/>
          <w:szCs w:val="16"/>
        </w:rPr>
        <w:softHyphen/>
        <w:t>ственный им автотранспорт продолжает оставаться на крайне низком уровне. Например:</w:t>
      </w:r>
    </w:p>
    <w:tbl>
      <w:tblPr>
        <w:tblW w:w="0" w:type="auto"/>
        <w:tblInd w:w="40" w:type="dxa"/>
        <w:tblLayout w:type="fixed"/>
        <w:tblCellMar>
          <w:left w:w="40" w:type="dxa"/>
          <w:right w:w="40" w:type="dxa"/>
        </w:tblCellMar>
        <w:tblLook w:val="0000" w:firstRow="0" w:lastRow="0" w:firstColumn="0" w:lastColumn="0" w:noHBand="0" w:noVBand="0"/>
      </w:tblPr>
      <w:tblGrid>
        <w:gridCol w:w="3917"/>
        <w:gridCol w:w="9"/>
        <w:gridCol w:w="1085"/>
        <w:gridCol w:w="1008"/>
        <w:gridCol w:w="10"/>
        <w:gridCol w:w="758"/>
        <w:gridCol w:w="10"/>
        <w:gridCol w:w="1017"/>
        <w:gridCol w:w="20"/>
        <w:gridCol w:w="1113"/>
        <w:gridCol w:w="39"/>
      </w:tblGrid>
      <w:tr w:rsidR="006331D6" w:rsidRPr="007224C3" w14:paraId="5A6CFDD7" w14:textId="77777777">
        <w:trPr>
          <w:trHeight w:val="346"/>
        </w:trPr>
        <w:tc>
          <w:tcPr>
            <w:tcW w:w="3926" w:type="dxa"/>
            <w:gridSpan w:val="2"/>
            <w:tcBorders>
              <w:top w:val="single" w:sz="6" w:space="0" w:color="auto"/>
              <w:left w:val="single" w:sz="6" w:space="0" w:color="auto"/>
              <w:bottom w:val="nil"/>
              <w:right w:val="single" w:sz="6" w:space="0" w:color="auto"/>
            </w:tcBorders>
          </w:tcPr>
          <w:p w14:paraId="1743611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Наименование Наркоматов и ведомств</w:t>
            </w:r>
          </w:p>
          <w:p w14:paraId="0EF1AE2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nil"/>
              <w:right w:val="single" w:sz="6" w:space="0" w:color="auto"/>
            </w:tcBorders>
          </w:tcPr>
          <w:p w14:paraId="68B35B2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Количество проверенных автомобилей</w:t>
            </w:r>
          </w:p>
          <w:p w14:paraId="43BD7FA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86" w:type="dxa"/>
            <w:gridSpan w:val="4"/>
            <w:tcBorders>
              <w:top w:val="single" w:sz="6" w:space="0" w:color="auto"/>
              <w:left w:val="single" w:sz="6" w:space="0" w:color="auto"/>
              <w:bottom w:val="single" w:sz="6" w:space="0" w:color="auto"/>
              <w:right w:val="single" w:sz="6" w:space="0" w:color="auto"/>
            </w:tcBorders>
          </w:tcPr>
          <w:p w14:paraId="57D5F26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 них на ходу</w:t>
            </w:r>
          </w:p>
          <w:p w14:paraId="45C0DB4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gridSpan w:val="4"/>
            <w:tcBorders>
              <w:top w:val="single" w:sz="6" w:space="0" w:color="auto"/>
              <w:left w:val="single" w:sz="6" w:space="0" w:color="auto"/>
              <w:bottom w:val="single" w:sz="6" w:space="0" w:color="auto"/>
              <w:right w:val="single" w:sz="6" w:space="0" w:color="auto"/>
            </w:tcBorders>
          </w:tcPr>
          <w:p w14:paraId="12A9947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 числа ходовых исправных автомобилей</w:t>
            </w:r>
          </w:p>
          <w:p w14:paraId="0EB1EA0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3660456D" w14:textId="77777777">
        <w:trPr>
          <w:trHeight w:val="509"/>
        </w:trPr>
        <w:tc>
          <w:tcPr>
            <w:tcW w:w="3926" w:type="dxa"/>
            <w:gridSpan w:val="2"/>
            <w:tcBorders>
              <w:top w:val="nil"/>
              <w:left w:val="single" w:sz="6" w:space="0" w:color="auto"/>
              <w:bottom w:val="single" w:sz="6" w:space="0" w:color="auto"/>
              <w:right w:val="single" w:sz="6" w:space="0" w:color="auto"/>
            </w:tcBorders>
          </w:tcPr>
          <w:p w14:paraId="22530A6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66C20CF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nil"/>
              <w:left w:val="single" w:sz="6" w:space="0" w:color="auto"/>
              <w:bottom w:val="single" w:sz="6" w:space="0" w:color="auto"/>
              <w:right w:val="single" w:sz="6" w:space="0" w:color="auto"/>
            </w:tcBorders>
          </w:tcPr>
          <w:p w14:paraId="3D77745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2AB7BC1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018" w:type="dxa"/>
            <w:gridSpan w:val="2"/>
            <w:tcBorders>
              <w:top w:val="single" w:sz="6" w:space="0" w:color="auto"/>
              <w:left w:val="single" w:sz="6" w:space="0" w:color="auto"/>
              <w:bottom w:val="single" w:sz="6" w:space="0" w:color="auto"/>
              <w:right w:val="single" w:sz="6" w:space="0" w:color="auto"/>
            </w:tcBorders>
          </w:tcPr>
          <w:p w14:paraId="65B7DA4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абсолютное количество</w:t>
            </w:r>
          </w:p>
          <w:p w14:paraId="593DD5C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top w:val="single" w:sz="6" w:space="0" w:color="auto"/>
              <w:left w:val="single" w:sz="6" w:space="0" w:color="auto"/>
              <w:bottom w:val="single" w:sz="6" w:space="0" w:color="auto"/>
              <w:right w:val="single" w:sz="6" w:space="0" w:color="auto"/>
            </w:tcBorders>
          </w:tcPr>
          <w:p w14:paraId="343EC9B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w:t>
            </w:r>
          </w:p>
          <w:p w14:paraId="67CC976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gridSpan w:val="2"/>
            <w:tcBorders>
              <w:top w:val="single" w:sz="6" w:space="0" w:color="auto"/>
              <w:left w:val="single" w:sz="6" w:space="0" w:color="auto"/>
              <w:bottom w:val="single" w:sz="6" w:space="0" w:color="auto"/>
              <w:right w:val="single" w:sz="6" w:space="0" w:color="auto"/>
            </w:tcBorders>
          </w:tcPr>
          <w:p w14:paraId="2ED9B0F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абсолютное количество</w:t>
            </w:r>
          </w:p>
          <w:p w14:paraId="706716C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gridSpan w:val="2"/>
            <w:tcBorders>
              <w:top w:val="single" w:sz="6" w:space="0" w:color="auto"/>
              <w:left w:val="single" w:sz="6" w:space="0" w:color="auto"/>
              <w:bottom w:val="single" w:sz="6" w:space="0" w:color="auto"/>
              <w:right w:val="single" w:sz="6" w:space="0" w:color="auto"/>
            </w:tcBorders>
          </w:tcPr>
          <w:p w14:paraId="3DE18D5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 ко всему осмотренному парку</w:t>
            </w:r>
          </w:p>
          <w:p w14:paraId="10F8DDC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7BD1ACF3" w14:textId="77777777">
        <w:trPr>
          <w:trHeight w:val="192"/>
        </w:trPr>
        <w:tc>
          <w:tcPr>
            <w:tcW w:w="3926" w:type="dxa"/>
            <w:gridSpan w:val="2"/>
            <w:tcBorders>
              <w:top w:val="single" w:sz="6" w:space="0" w:color="auto"/>
              <w:left w:val="single" w:sz="6" w:space="0" w:color="auto"/>
              <w:bottom w:val="single" w:sz="6" w:space="0" w:color="auto"/>
              <w:right w:val="single" w:sz="6" w:space="0" w:color="auto"/>
            </w:tcBorders>
          </w:tcPr>
          <w:p w14:paraId="26543A4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Наркомавтотранспорта Таджикской ССР</w:t>
            </w:r>
          </w:p>
          <w:p w14:paraId="084D24F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28FE9C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503</w:t>
            </w:r>
          </w:p>
          <w:p w14:paraId="36084D2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gridSpan w:val="2"/>
            <w:tcBorders>
              <w:top w:val="single" w:sz="6" w:space="0" w:color="auto"/>
              <w:left w:val="single" w:sz="6" w:space="0" w:color="auto"/>
              <w:bottom w:val="single" w:sz="6" w:space="0" w:color="auto"/>
              <w:right w:val="single" w:sz="6" w:space="0" w:color="auto"/>
            </w:tcBorders>
          </w:tcPr>
          <w:p w14:paraId="7784FDE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94</w:t>
            </w:r>
          </w:p>
          <w:p w14:paraId="440C6E5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top w:val="single" w:sz="6" w:space="0" w:color="auto"/>
              <w:left w:val="single" w:sz="6" w:space="0" w:color="auto"/>
              <w:bottom w:val="single" w:sz="6" w:space="0" w:color="auto"/>
              <w:right w:val="single" w:sz="6" w:space="0" w:color="auto"/>
            </w:tcBorders>
          </w:tcPr>
          <w:p w14:paraId="2BF2C68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18,6</w:t>
            </w:r>
          </w:p>
          <w:p w14:paraId="1BB6A2E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gridSpan w:val="2"/>
            <w:tcBorders>
              <w:top w:val="single" w:sz="6" w:space="0" w:color="auto"/>
              <w:left w:val="single" w:sz="6" w:space="0" w:color="auto"/>
              <w:bottom w:val="single" w:sz="6" w:space="0" w:color="auto"/>
              <w:right w:val="single" w:sz="6" w:space="0" w:color="auto"/>
            </w:tcBorders>
          </w:tcPr>
          <w:p w14:paraId="48942F7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79</w:t>
            </w:r>
          </w:p>
          <w:p w14:paraId="77ECCC6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gridSpan w:val="2"/>
            <w:tcBorders>
              <w:top w:val="single" w:sz="6" w:space="0" w:color="auto"/>
              <w:left w:val="single" w:sz="6" w:space="0" w:color="auto"/>
              <w:bottom w:val="single" w:sz="6" w:space="0" w:color="auto"/>
              <w:right w:val="single" w:sz="6" w:space="0" w:color="auto"/>
            </w:tcBorders>
          </w:tcPr>
          <w:p w14:paraId="5269864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15,7</w:t>
            </w:r>
          </w:p>
          <w:p w14:paraId="3550E79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4D27106D" w14:textId="77777777">
        <w:trPr>
          <w:trHeight w:val="192"/>
        </w:trPr>
        <w:tc>
          <w:tcPr>
            <w:tcW w:w="3926" w:type="dxa"/>
            <w:gridSpan w:val="2"/>
            <w:tcBorders>
              <w:top w:val="single" w:sz="6" w:space="0" w:color="auto"/>
              <w:left w:val="single" w:sz="6" w:space="0" w:color="auto"/>
              <w:bottom w:val="single" w:sz="6" w:space="0" w:color="auto"/>
              <w:right w:val="single" w:sz="6" w:space="0" w:color="auto"/>
            </w:tcBorders>
          </w:tcPr>
          <w:p w14:paraId="35E4D45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Наркомхоз Узбекской ССР</w:t>
            </w:r>
          </w:p>
          <w:p w14:paraId="26B32DB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2EE18C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99</w:t>
            </w:r>
          </w:p>
          <w:p w14:paraId="43396CD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gridSpan w:val="2"/>
            <w:tcBorders>
              <w:top w:val="single" w:sz="6" w:space="0" w:color="auto"/>
              <w:left w:val="single" w:sz="6" w:space="0" w:color="auto"/>
              <w:bottom w:val="single" w:sz="6" w:space="0" w:color="auto"/>
              <w:right w:val="single" w:sz="6" w:space="0" w:color="auto"/>
            </w:tcBorders>
          </w:tcPr>
          <w:p w14:paraId="0D10AF0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w:t>
            </w:r>
          </w:p>
          <w:p w14:paraId="541740E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top w:val="single" w:sz="6" w:space="0" w:color="auto"/>
              <w:left w:val="single" w:sz="6" w:space="0" w:color="auto"/>
              <w:bottom w:val="single" w:sz="6" w:space="0" w:color="auto"/>
              <w:right w:val="single" w:sz="6" w:space="0" w:color="auto"/>
            </w:tcBorders>
          </w:tcPr>
          <w:p w14:paraId="1B2117C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28,2</w:t>
            </w:r>
          </w:p>
          <w:p w14:paraId="5F9A534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gridSpan w:val="2"/>
            <w:tcBorders>
              <w:top w:val="single" w:sz="6" w:space="0" w:color="auto"/>
              <w:left w:val="single" w:sz="6" w:space="0" w:color="auto"/>
              <w:bottom w:val="single" w:sz="6" w:space="0" w:color="auto"/>
              <w:right w:val="single" w:sz="6" w:space="0" w:color="auto"/>
            </w:tcBorders>
          </w:tcPr>
          <w:p w14:paraId="3E78F1A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w:t>
            </w:r>
          </w:p>
          <w:p w14:paraId="40DA817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gridSpan w:val="2"/>
            <w:tcBorders>
              <w:top w:val="single" w:sz="6" w:space="0" w:color="auto"/>
              <w:left w:val="single" w:sz="6" w:space="0" w:color="auto"/>
              <w:bottom w:val="single" w:sz="6" w:space="0" w:color="auto"/>
              <w:right w:val="single" w:sz="6" w:space="0" w:color="auto"/>
            </w:tcBorders>
          </w:tcPr>
          <w:p w14:paraId="19A63D4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18,1</w:t>
            </w:r>
          </w:p>
          <w:p w14:paraId="19898E5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12CDC6A9" w14:textId="77777777">
        <w:trPr>
          <w:trHeight w:val="202"/>
        </w:trPr>
        <w:tc>
          <w:tcPr>
            <w:tcW w:w="3926" w:type="dxa"/>
            <w:gridSpan w:val="2"/>
            <w:tcBorders>
              <w:top w:val="single" w:sz="6" w:space="0" w:color="auto"/>
              <w:left w:val="single" w:sz="6" w:space="0" w:color="auto"/>
              <w:bottom w:val="single" w:sz="6" w:space="0" w:color="auto"/>
              <w:right w:val="single" w:sz="6" w:space="0" w:color="auto"/>
            </w:tcBorders>
          </w:tcPr>
          <w:p w14:paraId="6EADF77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Колхозы</w:t>
            </w:r>
          </w:p>
          <w:p w14:paraId="22FC8B1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D6FF36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6837</w:t>
            </w:r>
          </w:p>
          <w:p w14:paraId="5AD9834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gridSpan w:val="2"/>
            <w:tcBorders>
              <w:top w:val="single" w:sz="6" w:space="0" w:color="auto"/>
              <w:left w:val="single" w:sz="6" w:space="0" w:color="auto"/>
              <w:bottom w:val="single" w:sz="6" w:space="0" w:color="auto"/>
              <w:right w:val="single" w:sz="6" w:space="0" w:color="auto"/>
            </w:tcBorders>
          </w:tcPr>
          <w:p w14:paraId="658EBC0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2300</w:t>
            </w:r>
          </w:p>
          <w:p w14:paraId="2FCFFB9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top w:val="single" w:sz="6" w:space="0" w:color="auto"/>
              <w:left w:val="single" w:sz="6" w:space="0" w:color="auto"/>
              <w:bottom w:val="single" w:sz="6" w:space="0" w:color="auto"/>
              <w:right w:val="single" w:sz="6" w:space="0" w:color="auto"/>
            </w:tcBorders>
          </w:tcPr>
          <w:p w14:paraId="58F469C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33,6</w:t>
            </w:r>
          </w:p>
          <w:p w14:paraId="338C17B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gridSpan w:val="2"/>
            <w:tcBorders>
              <w:top w:val="single" w:sz="6" w:space="0" w:color="auto"/>
              <w:left w:val="single" w:sz="6" w:space="0" w:color="auto"/>
              <w:bottom w:val="single" w:sz="6" w:space="0" w:color="auto"/>
              <w:right w:val="single" w:sz="6" w:space="0" w:color="auto"/>
            </w:tcBorders>
          </w:tcPr>
          <w:p w14:paraId="2077C34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1083</w:t>
            </w:r>
          </w:p>
          <w:p w14:paraId="2D8BE3F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gridSpan w:val="2"/>
            <w:tcBorders>
              <w:top w:val="single" w:sz="6" w:space="0" w:color="auto"/>
              <w:left w:val="single" w:sz="6" w:space="0" w:color="auto"/>
              <w:bottom w:val="single" w:sz="6" w:space="0" w:color="auto"/>
              <w:right w:val="single" w:sz="6" w:space="0" w:color="auto"/>
            </w:tcBorders>
          </w:tcPr>
          <w:p w14:paraId="6AB5851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15,8</w:t>
            </w:r>
          </w:p>
          <w:p w14:paraId="50C0E2E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33B5860A" w14:textId="77777777">
        <w:trPr>
          <w:trHeight w:val="211"/>
        </w:trPr>
        <w:tc>
          <w:tcPr>
            <w:tcW w:w="3926" w:type="dxa"/>
            <w:gridSpan w:val="2"/>
            <w:tcBorders>
              <w:top w:val="single" w:sz="6" w:space="0" w:color="auto"/>
              <w:left w:val="single" w:sz="6" w:space="0" w:color="auto"/>
              <w:bottom w:val="single" w:sz="6" w:space="0" w:color="auto"/>
              <w:right w:val="single" w:sz="6" w:space="0" w:color="auto"/>
            </w:tcBorders>
          </w:tcPr>
          <w:p w14:paraId="7B4AF5D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Наркомавтотранспорта Казахской ССР</w:t>
            </w:r>
          </w:p>
          <w:p w14:paraId="05C63F0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16BD39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899</w:t>
            </w:r>
          </w:p>
          <w:p w14:paraId="40A22E7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gridSpan w:val="2"/>
            <w:tcBorders>
              <w:top w:val="single" w:sz="6" w:space="0" w:color="auto"/>
              <w:left w:val="single" w:sz="6" w:space="0" w:color="auto"/>
              <w:bottom w:val="single" w:sz="6" w:space="0" w:color="auto"/>
              <w:right w:val="single" w:sz="6" w:space="0" w:color="auto"/>
            </w:tcBorders>
          </w:tcPr>
          <w:p w14:paraId="28DD4B7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352</w:t>
            </w:r>
          </w:p>
          <w:p w14:paraId="4CA4217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top w:val="single" w:sz="6" w:space="0" w:color="auto"/>
              <w:left w:val="single" w:sz="6" w:space="0" w:color="auto"/>
              <w:bottom w:val="single" w:sz="6" w:space="0" w:color="auto"/>
              <w:right w:val="single" w:sz="6" w:space="0" w:color="auto"/>
            </w:tcBorders>
          </w:tcPr>
          <w:p w14:paraId="4FA3BB6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39,1</w:t>
            </w:r>
          </w:p>
          <w:p w14:paraId="57591F9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gridSpan w:val="2"/>
            <w:tcBorders>
              <w:top w:val="single" w:sz="6" w:space="0" w:color="auto"/>
              <w:left w:val="single" w:sz="6" w:space="0" w:color="auto"/>
              <w:bottom w:val="single" w:sz="6" w:space="0" w:color="auto"/>
              <w:right w:val="single" w:sz="6" w:space="0" w:color="auto"/>
            </w:tcBorders>
          </w:tcPr>
          <w:p w14:paraId="111E583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200</w:t>
            </w:r>
          </w:p>
          <w:p w14:paraId="542A5CA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gridSpan w:val="2"/>
            <w:tcBorders>
              <w:top w:val="single" w:sz="6" w:space="0" w:color="auto"/>
              <w:left w:val="single" w:sz="6" w:space="0" w:color="auto"/>
              <w:bottom w:val="single" w:sz="6" w:space="0" w:color="auto"/>
              <w:right w:val="single" w:sz="6" w:space="0" w:color="auto"/>
            </w:tcBorders>
          </w:tcPr>
          <w:p w14:paraId="7831D22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22,2</w:t>
            </w:r>
          </w:p>
          <w:p w14:paraId="2A59022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0D174EB2" w14:textId="77777777">
        <w:trPr>
          <w:gridAfter w:val="1"/>
          <w:wAfter w:w="39" w:type="dxa"/>
          <w:trHeight w:val="182"/>
        </w:trPr>
        <w:tc>
          <w:tcPr>
            <w:tcW w:w="3917" w:type="dxa"/>
            <w:tcBorders>
              <w:top w:val="single" w:sz="6" w:space="0" w:color="auto"/>
              <w:left w:val="single" w:sz="6" w:space="0" w:color="auto"/>
              <w:bottom w:val="single" w:sz="6" w:space="0" w:color="auto"/>
              <w:right w:val="single" w:sz="6" w:space="0" w:color="auto"/>
            </w:tcBorders>
          </w:tcPr>
          <w:p w14:paraId="55E3F39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Центросоюз</w:t>
            </w:r>
          </w:p>
          <w:p w14:paraId="2505C0E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gridSpan w:val="2"/>
            <w:tcBorders>
              <w:top w:val="single" w:sz="6" w:space="0" w:color="auto"/>
              <w:left w:val="single" w:sz="6" w:space="0" w:color="auto"/>
              <w:bottom w:val="single" w:sz="6" w:space="0" w:color="auto"/>
              <w:right w:val="single" w:sz="6" w:space="0" w:color="auto"/>
            </w:tcBorders>
          </w:tcPr>
          <w:p w14:paraId="68C622D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2298</w:t>
            </w:r>
          </w:p>
          <w:p w14:paraId="1433E33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25A126B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916</w:t>
            </w:r>
          </w:p>
          <w:p w14:paraId="325679D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top w:val="single" w:sz="6" w:space="0" w:color="auto"/>
              <w:left w:val="single" w:sz="6" w:space="0" w:color="auto"/>
              <w:bottom w:val="single" w:sz="6" w:space="0" w:color="auto"/>
              <w:right w:val="single" w:sz="6" w:space="0" w:color="auto"/>
            </w:tcBorders>
          </w:tcPr>
          <w:p w14:paraId="3A8C2A2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39,8</w:t>
            </w:r>
          </w:p>
          <w:p w14:paraId="2E3920B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gridSpan w:val="2"/>
            <w:tcBorders>
              <w:top w:val="single" w:sz="6" w:space="0" w:color="auto"/>
              <w:left w:val="single" w:sz="6" w:space="0" w:color="auto"/>
              <w:bottom w:val="single" w:sz="6" w:space="0" w:color="auto"/>
              <w:right w:val="single" w:sz="6" w:space="0" w:color="auto"/>
            </w:tcBorders>
          </w:tcPr>
          <w:p w14:paraId="60A8AF1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492</w:t>
            </w:r>
          </w:p>
          <w:p w14:paraId="425228C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gridSpan w:val="2"/>
            <w:tcBorders>
              <w:top w:val="single" w:sz="6" w:space="0" w:color="auto"/>
              <w:left w:val="single" w:sz="6" w:space="0" w:color="auto"/>
              <w:bottom w:val="single" w:sz="6" w:space="0" w:color="auto"/>
              <w:right w:val="single" w:sz="6" w:space="0" w:color="auto"/>
            </w:tcBorders>
          </w:tcPr>
          <w:p w14:paraId="64F313D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21,4</w:t>
            </w:r>
          </w:p>
          <w:p w14:paraId="5C4CE5C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301B5BCB" w14:textId="77777777">
        <w:trPr>
          <w:gridAfter w:val="1"/>
          <w:wAfter w:w="39" w:type="dxa"/>
          <w:trHeight w:val="202"/>
        </w:trPr>
        <w:tc>
          <w:tcPr>
            <w:tcW w:w="3917" w:type="dxa"/>
            <w:tcBorders>
              <w:top w:val="single" w:sz="6" w:space="0" w:color="auto"/>
              <w:left w:val="single" w:sz="6" w:space="0" w:color="auto"/>
              <w:bottom w:val="single" w:sz="6" w:space="0" w:color="auto"/>
              <w:right w:val="single" w:sz="6" w:space="0" w:color="auto"/>
            </w:tcBorders>
          </w:tcPr>
          <w:p w14:paraId="5232C8D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Управление промкооперации при СНК РСФСР</w:t>
            </w:r>
          </w:p>
          <w:p w14:paraId="0150F46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gridSpan w:val="2"/>
            <w:tcBorders>
              <w:top w:val="single" w:sz="6" w:space="0" w:color="auto"/>
              <w:left w:val="single" w:sz="6" w:space="0" w:color="auto"/>
              <w:bottom w:val="single" w:sz="6" w:space="0" w:color="auto"/>
              <w:right w:val="single" w:sz="6" w:space="0" w:color="auto"/>
            </w:tcBorders>
          </w:tcPr>
          <w:p w14:paraId="19BD8BC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828</w:t>
            </w:r>
          </w:p>
          <w:p w14:paraId="17A93D0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5295DBD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369</w:t>
            </w:r>
          </w:p>
          <w:p w14:paraId="5A1F971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top w:val="single" w:sz="6" w:space="0" w:color="auto"/>
              <w:left w:val="single" w:sz="6" w:space="0" w:color="auto"/>
              <w:bottom w:val="single" w:sz="6" w:space="0" w:color="auto"/>
              <w:right w:val="single" w:sz="6" w:space="0" w:color="auto"/>
            </w:tcBorders>
          </w:tcPr>
          <w:p w14:paraId="08F4368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44,5</w:t>
            </w:r>
          </w:p>
          <w:p w14:paraId="1BDDC05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gridSpan w:val="2"/>
            <w:tcBorders>
              <w:top w:val="single" w:sz="6" w:space="0" w:color="auto"/>
              <w:left w:val="single" w:sz="6" w:space="0" w:color="auto"/>
              <w:bottom w:val="single" w:sz="6" w:space="0" w:color="auto"/>
              <w:right w:val="single" w:sz="6" w:space="0" w:color="auto"/>
            </w:tcBorders>
          </w:tcPr>
          <w:p w14:paraId="252808B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230</w:t>
            </w:r>
          </w:p>
          <w:p w14:paraId="0BE3492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gridSpan w:val="2"/>
            <w:tcBorders>
              <w:top w:val="single" w:sz="6" w:space="0" w:color="auto"/>
              <w:left w:val="single" w:sz="6" w:space="0" w:color="auto"/>
              <w:bottom w:val="single" w:sz="6" w:space="0" w:color="auto"/>
              <w:right w:val="single" w:sz="6" w:space="0" w:color="auto"/>
            </w:tcBorders>
          </w:tcPr>
          <w:p w14:paraId="2979E32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27,7</w:t>
            </w:r>
          </w:p>
          <w:p w14:paraId="440C8A1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093E4F99" w14:textId="77777777">
        <w:trPr>
          <w:gridAfter w:val="1"/>
          <w:wAfter w:w="39" w:type="dxa"/>
          <w:trHeight w:val="192"/>
        </w:trPr>
        <w:tc>
          <w:tcPr>
            <w:tcW w:w="3917" w:type="dxa"/>
            <w:tcBorders>
              <w:top w:val="single" w:sz="6" w:space="0" w:color="auto"/>
              <w:left w:val="single" w:sz="6" w:space="0" w:color="auto"/>
              <w:bottom w:val="single" w:sz="6" w:space="0" w:color="auto"/>
              <w:right w:val="single" w:sz="6" w:space="0" w:color="auto"/>
            </w:tcBorders>
          </w:tcPr>
          <w:p w14:paraId="249D4BB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Наркомлес СССР</w:t>
            </w:r>
          </w:p>
          <w:p w14:paraId="416F9F6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gridSpan w:val="2"/>
            <w:tcBorders>
              <w:top w:val="single" w:sz="6" w:space="0" w:color="auto"/>
              <w:left w:val="single" w:sz="6" w:space="0" w:color="auto"/>
              <w:bottom w:val="single" w:sz="6" w:space="0" w:color="auto"/>
              <w:right w:val="single" w:sz="6" w:space="0" w:color="auto"/>
            </w:tcBorders>
          </w:tcPr>
          <w:p w14:paraId="7243E58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3013</w:t>
            </w:r>
          </w:p>
          <w:p w14:paraId="31CA1A9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316B71C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1522</w:t>
            </w:r>
          </w:p>
          <w:p w14:paraId="01F854A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top w:val="single" w:sz="6" w:space="0" w:color="auto"/>
              <w:left w:val="single" w:sz="6" w:space="0" w:color="auto"/>
              <w:bottom w:val="single" w:sz="6" w:space="0" w:color="auto"/>
              <w:right w:val="single" w:sz="6" w:space="0" w:color="auto"/>
            </w:tcBorders>
          </w:tcPr>
          <w:p w14:paraId="2ED46C7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50,5</w:t>
            </w:r>
          </w:p>
          <w:p w14:paraId="2651533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gridSpan w:val="2"/>
            <w:tcBorders>
              <w:top w:val="single" w:sz="6" w:space="0" w:color="auto"/>
              <w:left w:val="single" w:sz="6" w:space="0" w:color="auto"/>
              <w:bottom w:val="single" w:sz="6" w:space="0" w:color="auto"/>
              <w:right w:val="single" w:sz="6" w:space="0" w:color="auto"/>
            </w:tcBorders>
          </w:tcPr>
          <w:p w14:paraId="18F1605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952</w:t>
            </w:r>
          </w:p>
          <w:p w14:paraId="7F0A6FE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gridSpan w:val="2"/>
            <w:tcBorders>
              <w:top w:val="single" w:sz="6" w:space="0" w:color="auto"/>
              <w:left w:val="single" w:sz="6" w:space="0" w:color="auto"/>
              <w:bottom w:val="single" w:sz="6" w:space="0" w:color="auto"/>
              <w:right w:val="single" w:sz="6" w:space="0" w:color="auto"/>
            </w:tcBorders>
          </w:tcPr>
          <w:p w14:paraId="4E74D46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31,5</w:t>
            </w:r>
          </w:p>
          <w:p w14:paraId="73045BA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35435CB2" w14:textId="77777777">
        <w:trPr>
          <w:gridAfter w:val="1"/>
          <w:wAfter w:w="39" w:type="dxa"/>
          <w:trHeight w:val="211"/>
        </w:trPr>
        <w:tc>
          <w:tcPr>
            <w:tcW w:w="3917" w:type="dxa"/>
            <w:tcBorders>
              <w:top w:val="single" w:sz="6" w:space="0" w:color="auto"/>
              <w:left w:val="single" w:sz="6" w:space="0" w:color="auto"/>
              <w:bottom w:val="single" w:sz="6" w:space="0" w:color="auto"/>
              <w:right w:val="single" w:sz="6" w:space="0" w:color="auto"/>
            </w:tcBorders>
          </w:tcPr>
          <w:p w14:paraId="3680605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Наркомзем СССР</w:t>
            </w:r>
          </w:p>
          <w:p w14:paraId="75FCFFE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gridSpan w:val="2"/>
            <w:tcBorders>
              <w:top w:val="single" w:sz="6" w:space="0" w:color="auto"/>
              <w:left w:val="single" w:sz="6" w:space="0" w:color="auto"/>
              <w:bottom w:val="single" w:sz="6" w:space="0" w:color="auto"/>
              <w:right w:val="single" w:sz="6" w:space="0" w:color="auto"/>
            </w:tcBorders>
          </w:tcPr>
          <w:p w14:paraId="05F275B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14276</w:t>
            </w:r>
          </w:p>
          <w:p w14:paraId="419AF93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7157D05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7876</w:t>
            </w:r>
          </w:p>
          <w:p w14:paraId="50E0117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top w:val="single" w:sz="6" w:space="0" w:color="auto"/>
              <w:left w:val="single" w:sz="6" w:space="0" w:color="auto"/>
              <w:bottom w:val="single" w:sz="6" w:space="0" w:color="auto"/>
              <w:right w:val="single" w:sz="6" w:space="0" w:color="auto"/>
            </w:tcBorders>
          </w:tcPr>
          <w:p w14:paraId="3F09D75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55,1</w:t>
            </w:r>
          </w:p>
          <w:p w14:paraId="7796324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gridSpan w:val="2"/>
            <w:tcBorders>
              <w:top w:val="single" w:sz="6" w:space="0" w:color="auto"/>
              <w:left w:val="single" w:sz="6" w:space="0" w:color="auto"/>
              <w:bottom w:val="single" w:sz="6" w:space="0" w:color="auto"/>
              <w:right w:val="single" w:sz="6" w:space="0" w:color="auto"/>
            </w:tcBorders>
          </w:tcPr>
          <w:p w14:paraId="58132D7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3605</w:t>
            </w:r>
          </w:p>
          <w:p w14:paraId="72C5566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gridSpan w:val="2"/>
            <w:tcBorders>
              <w:top w:val="single" w:sz="6" w:space="0" w:color="auto"/>
              <w:left w:val="single" w:sz="6" w:space="0" w:color="auto"/>
              <w:bottom w:val="single" w:sz="6" w:space="0" w:color="auto"/>
              <w:right w:val="single" w:sz="6" w:space="0" w:color="auto"/>
            </w:tcBorders>
          </w:tcPr>
          <w:p w14:paraId="17906B2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25,2</w:t>
            </w:r>
          </w:p>
          <w:p w14:paraId="1A6BD12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7447F3D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Врио начальника Главного управления милиции НКВД СССР комиссар милиции 3 ранга Лобуренко</w:t>
      </w:r>
    </w:p>
    <w:p w14:paraId="0762CE3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Госавтоинспекции комиссар милиции 3 ранга Соколов</w:t>
      </w:r>
    </w:p>
    <w:p w14:paraId="748DA33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41. Оп, 11584. Д. 127. Л. 1-9. Подлинник (11403).</w:t>
      </w:r>
    </w:p>
    <w:p w14:paraId="78BA63C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9255CF"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января 1944 впервые официально исполнен Государственный Гимн СССР (4962).</w:t>
      </w:r>
    </w:p>
    <w:p w14:paraId="05F2A691"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8ECBD4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января 1944 сменился официальный гимн СССР. На смену интернационалу пришел Союз нерушимый... (2070,173). Повсеместно начали исполнять с 15 марта 1944 (3398,9).</w:t>
      </w:r>
    </w:p>
    <w:p w14:paraId="3D2613E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D646DA" w14:textId="77777777" w:rsidR="00820285" w:rsidRPr="007224C3" w:rsidRDefault="00820285"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 января</w:t>
      </w:r>
      <w:r w:rsidRPr="007224C3">
        <w:rPr>
          <w:rFonts w:ascii="Times New Roman" w:hAnsi="Times New Roman"/>
          <w:color w:val="000000" w:themeColor="text1"/>
          <w:sz w:val="16"/>
          <w:szCs w:val="16"/>
        </w:rPr>
        <w:t xml:space="preserve"> в 1944 году впервые прозвучал по радио новый Государственный гимн «Союз нерушимых республик свободных» (музыка А.В.Александрова, текст С.В.Михалкова и Г.А.Эль-Регистана). Ранее Государственным гимном СССР был «Интернационал». В Российской Федерации музыкальной основой гимна государства является «Патриотическая песня» М.И.Глинки. Положение о гимне государства утверждено Указом президента 11 декабря 1993 г. В настоящее время восстановлена музыка А.В.Александрова в качестве гимна России с другими словами. Официально используется с 15 марта 1944 (14996).</w:t>
      </w:r>
    </w:p>
    <w:p w14:paraId="4F691367" w14:textId="77777777" w:rsidR="00820285" w:rsidRPr="007224C3" w:rsidRDefault="00820285" w:rsidP="007224C3">
      <w:pPr>
        <w:spacing w:after="0" w:line="240" w:lineRule="auto"/>
        <w:jc w:val="both"/>
        <w:rPr>
          <w:rFonts w:ascii="Times New Roman" w:hAnsi="Times New Roman"/>
          <w:color w:val="000000" w:themeColor="text1"/>
          <w:sz w:val="16"/>
          <w:szCs w:val="16"/>
        </w:rPr>
      </w:pPr>
    </w:p>
    <w:p w14:paraId="0D1A3A27" w14:textId="77777777" w:rsidR="00820285" w:rsidRPr="007224C3" w:rsidRDefault="00820285"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 января</w:t>
      </w:r>
      <w:r w:rsidRPr="007224C3">
        <w:rPr>
          <w:rFonts w:ascii="Times New Roman" w:hAnsi="Times New Roman"/>
          <w:color w:val="000000" w:themeColor="text1"/>
          <w:sz w:val="16"/>
          <w:szCs w:val="16"/>
        </w:rPr>
        <w:t xml:space="preserve"> в 1944 году численность ВКП (б) составила 4919 тысяч членов и кандидатов (14996).</w:t>
      </w:r>
    </w:p>
    <w:p w14:paraId="42359494" w14:textId="77777777" w:rsidR="00820285" w:rsidRPr="007224C3" w:rsidRDefault="00820285" w:rsidP="007224C3">
      <w:pPr>
        <w:spacing w:after="0" w:line="240" w:lineRule="auto"/>
        <w:jc w:val="both"/>
        <w:rPr>
          <w:rFonts w:ascii="Times New Roman" w:hAnsi="Times New Roman"/>
          <w:color w:val="000000" w:themeColor="text1"/>
          <w:sz w:val="16"/>
          <w:szCs w:val="16"/>
        </w:rPr>
      </w:pPr>
    </w:p>
    <w:p w14:paraId="1C91C44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1 января 1944 года в ИТЛ содержалось 663 594 заключенных (7560).</w:t>
      </w:r>
    </w:p>
    <w:p w14:paraId="1F2317A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Поквартальная численность заключенных ИТК в 1943 году составляла: на 1 января - 500 208 человек, на 1 апреля - 537 284, на 1 июля - 534 845, на 1 октября - 550 379 человек; поквартальная численность заключенных тюрем: на 1 января - 237 534 человека, на 1 апреля - 244 409, на 1 июля - 212 928, на 1 октября - 163 246 человек (7560).</w:t>
      </w:r>
    </w:p>
    <w:p w14:paraId="204F4F4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1944 ГОДА поток осужденных рос: в первом полугодии в лагеря и колонии ГУЛАГа поступило 468 693 человека, во втором - 691 738. Смертность в ИТЛ и ИТК удалось сбить с 22,4 процента (1943) до 9,2 процента (правда, изменилась методика подсчета, на чем мы специально остановимся ниже) (7560).</w:t>
      </w:r>
    </w:p>
    <w:p w14:paraId="1DA199C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94731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состоянию на 1 января 1944 года лагерная система имела следующий вид:</w:t>
      </w:r>
    </w:p>
    <w:p w14:paraId="690FAAA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Актюбинский ИТЛ - 11 831 заключенный, умерло в течение 1944 года - 361 человек;</w:t>
      </w:r>
    </w:p>
    <w:p w14:paraId="19134B4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Алтайский ИТЛ (станция Кулунда Омской железной дороги, строительство ветки Кулунда - Михайловское) - 6473, умерло - 271;</w:t>
      </w:r>
    </w:p>
    <w:p w14:paraId="143A83A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Архбумлаг (местечко Мечка-Полой, строительство Архангельского целлюлозно-бумажного комбината) - 1649, умерло - 71;</w:t>
      </w:r>
    </w:p>
    <w:p w14:paraId="23D9A0B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Астраханский ИТЛ (Астрахань, рыбная ловля) - 4695, умерло - 1044;</w:t>
      </w:r>
    </w:p>
    <w:p w14:paraId="6EF780C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Безымянский ИТЛ (станция Кряж Куйбышевской железной дороги, строительство нефтекомбината) - 5990, умерло - 116;</w:t>
      </w:r>
    </w:p>
    <w:p w14:paraId="2813DBD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Богословский ИТЛ (станция Туринские рудники Свердловской железной дороги) - 12 891, умерло - 1500;</w:t>
      </w:r>
    </w:p>
    <w:p w14:paraId="1CE470B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Воркуто-Печорский ИТЛ - 25 827, умерло - 3144;</w:t>
      </w:r>
    </w:p>
    <w:p w14:paraId="02C5C2A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Восточный ИТЛ (строительство № 500 - железная дорога Комсомольск - Советская Гавань) - 13 100, умерло - 578;</w:t>
      </w:r>
    </w:p>
    <w:p w14:paraId="77C938C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Восточно-Уральский ИТЛ (город Тавда, лесозаготовки) - 9036, умерло - 1060;</w:t>
      </w:r>
    </w:p>
    <w:p w14:paraId="7D94791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Вятский ИТЛ (Волосница Кайского района Кировской области, лесозаготовки) - 11 979, умерло - 1549;</w:t>
      </w:r>
    </w:p>
    <w:p w14:paraId="43F68B3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Джидинский ИТЛ (поселок Джидастрой Закаменского района Бурят-Монгольской АССР, добыча молибдена и вольфрама) - 8196, умерло - 617;</w:t>
      </w:r>
    </w:p>
    <w:p w14:paraId="6447ED2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Ивдельский ИТЛ (Свердловская область, лесозаготовки) - 14 166, умерло - 2268;</w:t>
      </w:r>
    </w:p>
    <w:p w14:paraId="366132F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Интинский ИТЛ (Коми АССР, добыча угля) - 7536, умерло - 911;</w:t>
      </w:r>
    </w:p>
    <w:p w14:paraId="49ED83C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Каменский ИТЛ (село Гримм Красноармейского района Саратовской области, сельхозработы) - 6840, умерло - 477;</w:t>
      </w:r>
    </w:p>
    <w:p w14:paraId="37E6274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Карагандинский ИТЛ (сельхозработы) - 50 425, умерло - 5520;</w:t>
      </w:r>
    </w:p>
    <w:p w14:paraId="137E173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Каргопольский ИТЛ (лесозаготовки) - 15 758, умерло - 1243;</w:t>
      </w:r>
    </w:p>
    <w:p w14:paraId="674DE1A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17. Красноярский ИТЛ (город Канск, лесозаготовки) - 14 190, умерло - 1099;</w:t>
      </w:r>
    </w:p>
    <w:p w14:paraId="31D614B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Котласский ИТЛ (сельхозработы) - 8629, умерло - 1624;</w:t>
      </w:r>
    </w:p>
    <w:p w14:paraId="7CE4820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Нижне-Амурский ИТЛ (железнодорожное строительство) - 33 746, умерло - 830;</w:t>
      </w:r>
    </w:p>
    <w:p w14:paraId="655DE59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Норильский ИТЛ - 34 572, умерло - 1535;</w:t>
      </w:r>
    </w:p>
    <w:p w14:paraId="5E3DCCF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 Приволжский ИТЛ (Саратов, строительство железной дороги Свияжск - Ульяновск) - 8783, умерло - 492;</w:t>
      </w:r>
    </w:p>
    <w:p w14:paraId="03ECE3E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Волжский ИТЛ (достройка Угличского и Рыбинского гидроузлов) - 519, умерло - 1;</w:t>
      </w:r>
    </w:p>
    <w:p w14:paraId="31F06D1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Свободненский ИТЛ (город Свободный Амурской области, лесозаготовки) - 9875, умерло - 580;</w:t>
      </w:r>
    </w:p>
    <w:p w14:paraId="6F95C01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Сибирский ИТЛ (город Мариинск, сельхозработы, лесозаготовки) - 29 627, умерло - 2907;</w:t>
      </w:r>
    </w:p>
    <w:p w14:paraId="5EF7A0D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Северо-Двинский ИТЛ (город Вельск, железнодорожное строительство) - 9549, умерло - 712;</w:t>
      </w:r>
    </w:p>
    <w:p w14:paraId="5CE2AB5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Северный железнодорожный ИТЛ (поселок Княж-Погост Коми АССР) - 14 757, умерло - 1294;</w:t>
      </w:r>
    </w:p>
    <w:p w14:paraId="7ED3911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Северо-Печорский ИТЛ - 23 019, умерло - 821;</w:t>
      </w:r>
    </w:p>
    <w:p w14:paraId="157184C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Северо-Уральский ИТЛ (Ирбит, лесозаготовки) - 6133, умерло - 455;</w:t>
      </w:r>
    </w:p>
    <w:p w14:paraId="3EFECDE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Соликамский ИТЛ (село Усть-Боровое, строительство целлюлозно-бумажного комбината) - 2343, умерло - 111;</w:t>
      </w:r>
    </w:p>
    <w:p w14:paraId="502D34E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Средне-Бельский ИТЛ (станция Средне-Белая Хабаровской железной дороги, сельхозработы) - 4283, умерло - 255;</w:t>
      </w:r>
    </w:p>
    <w:p w14:paraId="7153B85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 Северо-Восточный ИТЛ (Дальстрой) - 81 491, умерло - 7322;</w:t>
      </w:r>
    </w:p>
    <w:p w14:paraId="33D4D34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32. Тавдинский ИТЛ (Свердловская область) - 2349, умерло - 336;</w:t>
      </w:r>
    </w:p>
    <w:p w14:paraId="06BB133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33. Тагилстрой (Нижний Тагил, строительство металлургического завода) - 25 712, умерло - 869;</w:t>
      </w:r>
    </w:p>
    <w:p w14:paraId="51DC90C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34. Темниковский ИТЛ (поселок Явас Мордовской АССР, лесозаготовки) - 11 688, умерло - 1675;</w:t>
      </w:r>
    </w:p>
    <w:p w14:paraId="15A9EDF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35. Тырны-Аузский ИТЛ (Кабардино-Балкария, производство вольфрамового концентрата) - 1582, умерло - 455;</w:t>
      </w:r>
    </w:p>
    <w:p w14:paraId="331A086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36. Унженский ИТЛ (Сухобезводное Горьковской области, лесозаготовки) - 17 488, умерло - 2855;</w:t>
      </w:r>
    </w:p>
    <w:p w14:paraId="08C00BD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37. Усольский ИТЛ (Соликамск, лесозаготовки) - 20 601, умерло - 4017;</w:t>
      </w:r>
    </w:p>
    <w:p w14:paraId="4A92FD1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38. Усть-Вымский ИТЛ (поселок Вожаель Коми АССР, лесозаготовки) - 13 615, умерло - 1343;</w:t>
      </w:r>
    </w:p>
    <w:p w14:paraId="040427D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39. Ухто-Ижемский ИТЛ (Ухта Коми АССР, добыча нефти) - 15 304, умерло - 743;</w:t>
      </w:r>
    </w:p>
    <w:p w14:paraId="2E79E7D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 Челябметаллургстрой (строительство металлургического завода) - 11 482, умерло - 488;</w:t>
      </w:r>
    </w:p>
    <w:p w14:paraId="15C09A9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41. Ягринский ИТЛ (Молотовск (ныне Северодвинск), строительство № 203 - город и верфи) - 4844, умерло - 668;</w:t>
      </w:r>
    </w:p>
    <w:p w14:paraId="18F7917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42. ИТЛ и строительство Красноярского аффинажного завода - 1349, умерло - 53;</w:t>
      </w:r>
    </w:p>
    <w:p w14:paraId="6C951AD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43. Лобвинский ИТЛ (Свердловская область, строительство гидролизного завода) - 1735, умерло - 66;</w:t>
      </w:r>
    </w:p>
    <w:p w14:paraId="2F3366F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44. Опокский ИТЛ (деревня Пороги Вологодской области, строительство гидроузла на Сухоне) - 831, умерло - 534;</w:t>
      </w:r>
    </w:p>
    <w:p w14:paraId="62013EA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 Понышский ИТЛ (город Чусовой, строительство ГЭС) - 3866, умер - 91;</w:t>
      </w:r>
    </w:p>
    <w:p w14:paraId="64CCBC3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46. Знаменитстрой (деревня Шера Вологодской области, реконструкция шлюза № 7 Северодвинской системы) - 423, умерло - 3;</w:t>
      </w:r>
    </w:p>
    <w:p w14:paraId="1D5CA0D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47. Широковский ИТЛ (город Кизел, строительство ГЭС на реках Косьва и Усьва) - 2241, умерло - 233;</w:t>
      </w:r>
    </w:p>
    <w:p w14:paraId="0593D17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48. Строительство № 1 ГУШОСДОР (Беднодемьяновск Пензенской области, шоссе Рязань-Шацк и Нижний Ломов-Пенза) - 6738, умерло - 585;</w:t>
      </w:r>
    </w:p>
    <w:p w14:paraId="12D7AF4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49. Строительство № 2 ГУШОСДОР (Голицыно Московской области, восстановление шоссе Москва-Минск) - 4225, умерло - 355;</w:t>
      </w:r>
    </w:p>
    <w:p w14:paraId="776B0F1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 Строительство № 3 ГУШОСДОР (Орел, шоссе Щекино-Орел) - 2769 (на 1 апреля), умерло - 385;</w:t>
      </w:r>
    </w:p>
    <w:p w14:paraId="612F450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51. Каспийский ИТЛ (Баку, строительство нефтепроводов) - 3818, умерло - 274;</w:t>
      </w:r>
    </w:p>
    <w:p w14:paraId="6D778BE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52. Строительство № 4 ГУШОСДОР (Чебоксары, шоссе Горький-Казань) - 2887, умер - 131;</w:t>
      </w:r>
    </w:p>
    <w:p w14:paraId="1E4035B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53. Химкинский лагерный участок (Москва, село Никольское) - 1176, умерло - 136 (7560).</w:t>
      </w:r>
    </w:p>
    <w:p w14:paraId="2059FB9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 в ИТЛ содержалось 663 594 заключенных, в течение года из них умерло 60 948 человек (7560).</w:t>
      </w:r>
    </w:p>
    <w:p w14:paraId="37165DB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174C9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1 января насчитывался 981 каторжанин, из них в Воркутинском ИТЛ - 494, в Карлаге - 345. В течение года в лагеря поступило 13 869 каторжан, убыло - 2431 (освобожден 21 человек, умерло - 2136, бежало - 25). Смертность среди каторжан в силу особо жесткого режима заметно превышала общую смертность в ИТЛ (к 1 января 1945-го в пяти ИТЛ будет содержаться 12 254 каторжанина) (7560).</w:t>
      </w:r>
    </w:p>
    <w:p w14:paraId="48E12AE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Колыме (Дальстрой) на 1 января 1944 года числился 81 491 заключенный, прибыло за год - 56 160, убыло - 46 435 (освобождено - 12 947, умерло - 7322, бежало - 470), к началу 1945-го в лагерях Дальстроя числилось 91 216 заключенных (7560).</w:t>
      </w:r>
    </w:p>
    <w:p w14:paraId="0137735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5012B7"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65EACEF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C12F940" w14:textId="77777777" w:rsidR="00820285" w:rsidRPr="007224C3" w:rsidRDefault="00820285"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 января</w:t>
      </w:r>
      <w:r w:rsidRPr="007224C3">
        <w:rPr>
          <w:rFonts w:ascii="Times New Roman" w:hAnsi="Times New Roman"/>
          <w:color w:val="000000" w:themeColor="text1"/>
          <w:sz w:val="16"/>
          <w:szCs w:val="16"/>
        </w:rPr>
        <w:t xml:space="preserve"> в 1944 году первый полёт опытного скоростного бомбардировщика «Mosquito» «В.Mk.XVI» (компания «De Havilland», Великобритания). Самолет получил новые моторы «Merlin 76/77» и гермокабину. Мог развивать скорость до 655 км/ч (14996).</w:t>
      </w:r>
    </w:p>
    <w:p w14:paraId="7EF1016F" w14:textId="77777777" w:rsidR="00820285" w:rsidRPr="007224C3" w:rsidRDefault="00820285" w:rsidP="007224C3">
      <w:pPr>
        <w:spacing w:after="0" w:line="240" w:lineRule="auto"/>
        <w:jc w:val="both"/>
        <w:rPr>
          <w:rFonts w:ascii="Times New Roman" w:hAnsi="Times New Roman"/>
          <w:color w:val="000000" w:themeColor="text1"/>
          <w:sz w:val="16"/>
          <w:szCs w:val="16"/>
        </w:rPr>
      </w:pPr>
    </w:p>
    <w:p w14:paraId="702FCB81" w14:textId="77777777" w:rsidR="008A3F77" w:rsidRPr="007224C3" w:rsidRDefault="008A3F77"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 января 1944 года был облетан опытный самолет - модификация G4M3 модель 34, но из-за значительного изменения конструкции и задержки поставок моторов MK4T серия пошла только в октябре 1944 года.</w:t>
      </w:r>
    </w:p>
    <w:p w14:paraId="749EF7AA" w14:textId="77777777" w:rsidR="008A3F77" w:rsidRPr="007224C3" w:rsidRDefault="008A3F77"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Планер облегчили, сделав новое однолонжеронное крыло с дополнительными силовыми стенками. Хвостовую часть фюзеляжа укоротили — и центр масс занял нормальное положение. Выявленное в эксплуатации «затенение» стабилизатора крылом на взлете и посадке было устранено установкой консолей с небольшим углом поперечного V. Кессоны заменили полностью протектированными мягкими вкладными баками, внешний протектор сняли, и скорость повысилась до 480 км/ч. Бортовые гнезда пушек Тип 99 модель 2 были переделаны по образцу В-17Е и наконец-то стали удобны в обращении.</w:t>
      </w:r>
    </w:p>
    <w:p w14:paraId="119032DE" w14:textId="77777777" w:rsidR="008A3F77" w:rsidRPr="007224C3" w:rsidRDefault="008A3F77"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Завод в пригороде Нагоя Кагамигахара построил около 90 самолетов, еще с полдесятка сдал завод в Мисушиме (точные данные утеряны, выпуск после землетрясения практически остановился). Часть из них поставлялись в вариантах G4M3а Тип 1 модель 34-Otsu и -Hei, аналогичных G4M2a (22842).</w:t>
      </w:r>
    </w:p>
    <w:p w14:paraId="63FC16BC" w14:textId="77777777" w:rsidR="008A3F77" w:rsidRPr="007224C3" w:rsidRDefault="008A3F77" w:rsidP="007224C3">
      <w:pPr>
        <w:spacing w:after="0" w:line="240" w:lineRule="auto"/>
        <w:jc w:val="both"/>
        <w:rPr>
          <w:rFonts w:ascii="Times New Roman" w:hAnsi="Times New Roman"/>
          <w:color w:val="0070C0"/>
          <w:sz w:val="16"/>
          <w:szCs w:val="16"/>
        </w:rPr>
      </w:pPr>
    </w:p>
    <w:p w14:paraId="59010AF4" w14:textId="77777777" w:rsidR="008A3F77" w:rsidRPr="007224C3" w:rsidRDefault="008A3F77"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1–2 января (ночь) 1944 421 британский бомбардировщик Avro Lancaster атакует Берлин, Германия. Немецкие ночные истребители перехватывают их, и 28 «Ланкастеров» (6,7% сил) не возвращаются (20373).</w:t>
      </w:r>
    </w:p>
    <w:p w14:paraId="180E189F" w14:textId="77777777" w:rsidR="008A3F77" w:rsidRPr="007224C3" w:rsidRDefault="008A3F77" w:rsidP="007224C3">
      <w:pPr>
        <w:spacing w:after="0" w:line="240" w:lineRule="auto"/>
        <w:jc w:val="both"/>
        <w:rPr>
          <w:rFonts w:ascii="Times New Roman" w:hAnsi="Times New Roman"/>
          <w:color w:val="0070C0"/>
          <w:sz w:val="16"/>
          <w:szCs w:val="16"/>
        </w:rPr>
      </w:pPr>
    </w:p>
    <w:p w14:paraId="691E97C2" w14:textId="77777777" w:rsidR="008A3F77" w:rsidRPr="007224C3" w:rsidRDefault="008A3F77"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 января1944 Военно-воздушные силы армии США (USAAF) создают Стратегические военно-воздушные силы США в Европе (USSAFE) (20373).</w:t>
      </w:r>
    </w:p>
    <w:p w14:paraId="55B0D94C" w14:textId="77777777" w:rsidR="008A3F77" w:rsidRPr="007224C3" w:rsidRDefault="008A3F77" w:rsidP="007224C3">
      <w:pPr>
        <w:spacing w:after="0" w:line="240" w:lineRule="auto"/>
        <w:jc w:val="both"/>
        <w:rPr>
          <w:rFonts w:ascii="Times New Roman" w:hAnsi="Times New Roman"/>
          <w:color w:val="0070C0"/>
          <w:sz w:val="16"/>
          <w:szCs w:val="16"/>
        </w:rPr>
      </w:pPr>
    </w:p>
    <w:p w14:paraId="7ED102D2" w14:textId="77777777" w:rsidR="00820285" w:rsidRPr="007224C3" w:rsidRDefault="00820285"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 января</w:t>
      </w:r>
      <w:r w:rsidRPr="007224C3">
        <w:rPr>
          <w:rFonts w:ascii="Times New Roman" w:hAnsi="Times New Roman"/>
          <w:color w:val="000000" w:themeColor="text1"/>
          <w:sz w:val="16"/>
          <w:szCs w:val="16"/>
        </w:rPr>
        <w:t xml:space="preserve"> в 1944 году очередная немецкая ракета "A-4"/SS-1/Scunner/ (Фау-2) пущенная по Антверпену угодила в Borgerhout в Wynegemstraat-Florastraat. В результате было убито 45 и ранено 33 человека, полностью разрушено 21 дом (14996).</w:t>
      </w:r>
    </w:p>
    <w:p w14:paraId="33662A1A" w14:textId="77777777" w:rsidR="00820285" w:rsidRPr="007224C3" w:rsidRDefault="00820285" w:rsidP="007224C3">
      <w:pPr>
        <w:spacing w:after="0" w:line="240" w:lineRule="auto"/>
        <w:jc w:val="both"/>
        <w:rPr>
          <w:rFonts w:ascii="Times New Roman" w:hAnsi="Times New Roman"/>
          <w:color w:val="000000" w:themeColor="text1"/>
          <w:sz w:val="16"/>
          <w:szCs w:val="16"/>
        </w:rPr>
      </w:pPr>
    </w:p>
    <w:p w14:paraId="7169EC01" w14:textId="77777777" w:rsidR="00D4630C" w:rsidRPr="007224C3" w:rsidRDefault="00D4630C" w:rsidP="007224C3">
      <w:pPr>
        <w:pStyle w:val="ae"/>
        <w:shd w:val="clear" w:color="auto" w:fill="FFFFFF"/>
        <w:spacing w:before="0" w:after="0"/>
        <w:jc w:val="both"/>
        <w:rPr>
          <w:color w:val="000000" w:themeColor="text1"/>
          <w:sz w:val="16"/>
          <w:szCs w:val="16"/>
        </w:rPr>
      </w:pPr>
      <w:r w:rsidRPr="007224C3">
        <w:rPr>
          <w:rStyle w:val="a7"/>
          <w:b w:val="0"/>
          <w:color w:val="000000" w:themeColor="text1"/>
          <w:sz w:val="16"/>
          <w:szCs w:val="16"/>
        </w:rPr>
        <w:t xml:space="preserve">1-2, 2-3, 20-21, 27-28, 28-29, 30-31 января </w:t>
      </w:r>
      <w:r w:rsidRPr="007224C3">
        <w:rPr>
          <w:color w:val="000000" w:themeColor="text1"/>
          <w:sz w:val="16"/>
          <w:szCs w:val="16"/>
        </w:rPr>
        <w:t>1944 год год начался ночными рейдами на Берлин. Несмотря на большое количество задействованных бомбардировщиков (3314 самолетов), из-за плотной облачности и нулевой видимости январские налеты не принесли особых результатов. На земле были повреждены здания Рейхканцелярии и Министерства пропаганды, убиты 1603 человека, потери бомбардировщиков составили 156 машин – большая часть из которых была утеряна по небоевым причинам.</w:t>
      </w:r>
    </w:p>
    <w:p w14:paraId="078FC3EC" w14:textId="77777777" w:rsidR="00D4630C" w:rsidRPr="007224C3" w:rsidRDefault="00D4630C" w:rsidP="007224C3">
      <w:pPr>
        <w:pStyle w:val="ae"/>
        <w:shd w:val="clear" w:color="auto" w:fill="FFFFFF"/>
        <w:spacing w:before="0" w:after="0"/>
        <w:jc w:val="both"/>
        <w:rPr>
          <w:color w:val="000000" w:themeColor="text1"/>
          <w:sz w:val="16"/>
          <w:szCs w:val="16"/>
        </w:rPr>
      </w:pPr>
      <w:r w:rsidRPr="007224C3">
        <w:rPr>
          <w:color w:val="000000" w:themeColor="text1"/>
          <w:sz w:val="16"/>
          <w:szCs w:val="16"/>
        </w:rPr>
        <w:t xml:space="preserve">Рейды возобновились не скоро, за два последующих месяца их было также 2: </w:t>
      </w:r>
      <w:r w:rsidRPr="007224C3">
        <w:rPr>
          <w:rStyle w:val="a7"/>
          <w:b w:val="0"/>
          <w:color w:val="000000" w:themeColor="text1"/>
          <w:sz w:val="16"/>
          <w:szCs w:val="16"/>
        </w:rPr>
        <w:t>15-16 февраля</w:t>
      </w:r>
      <w:r w:rsidRPr="007224C3">
        <w:rPr>
          <w:color w:val="000000" w:themeColor="text1"/>
          <w:sz w:val="16"/>
          <w:szCs w:val="16"/>
        </w:rPr>
        <w:t xml:space="preserve"> (891 самолет), </w:t>
      </w:r>
      <w:r w:rsidRPr="007224C3">
        <w:rPr>
          <w:rStyle w:val="a7"/>
          <w:b w:val="0"/>
          <w:color w:val="000000" w:themeColor="text1"/>
          <w:sz w:val="16"/>
          <w:szCs w:val="16"/>
        </w:rPr>
        <w:t>24-25 марта</w:t>
      </w:r>
      <w:r w:rsidRPr="007224C3">
        <w:rPr>
          <w:color w:val="000000" w:themeColor="text1"/>
          <w:sz w:val="16"/>
          <w:szCs w:val="16"/>
        </w:rPr>
        <w:t xml:space="preserve"> (811 самолетов). Оба рейда практически не принесли эффекта (потери на земле – 529 убитых и незначительные разрушения построек), зато стоили в общей сложности 115 сбитых бомбардировщика.</w:t>
      </w:r>
    </w:p>
    <w:p w14:paraId="315BFB65" w14:textId="77777777" w:rsidR="00D4630C" w:rsidRPr="007224C3" w:rsidRDefault="00D4630C" w:rsidP="007224C3">
      <w:pPr>
        <w:pStyle w:val="ae"/>
        <w:shd w:val="clear" w:color="auto" w:fill="FFFFFF"/>
        <w:spacing w:before="0" w:after="0"/>
        <w:jc w:val="both"/>
        <w:rPr>
          <w:color w:val="000000" w:themeColor="text1"/>
          <w:sz w:val="16"/>
          <w:szCs w:val="16"/>
        </w:rPr>
      </w:pPr>
      <w:r w:rsidRPr="007224C3">
        <w:rPr>
          <w:color w:val="000000" w:themeColor="text1"/>
          <w:sz w:val="16"/>
          <w:szCs w:val="16"/>
        </w:rPr>
        <w:t>Хотя Берлин был серьезно поврежден, на него (за 41 только крупный вылет) было сброшено 45000 тонн бомб, что повлекло гибель тысяч гражданских лиц и разрушения 326 заводов, до победы было совсем не близко.</w:t>
      </w:r>
    </w:p>
    <w:p w14:paraId="30C8102F" w14:textId="77777777" w:rsidR="00D4630C" w:rsidRPr="007224C3" w:rsidRDefault="00D4630C" w:rsidP="007224C3">
      <w:pPr>
        <w:pStyle w:val="ae"/>
        <w:shd w:val="clear" w:color="auto" w:fill="FFFFFF"/>
        <w:spacing w:before="0" w:after="0"/>
        <w:jc w:val="both"/>
        <w:rPr>
          <w:color w:val="000000" w:themeColor="text1"/>
          <w:sz w:val="16"/>
          <w:szCs w:val="16"/>
        </w:rPr>
      </w:pPr>
      <w:r w:rsidRPr="007224C3">
        <w:rPr>
          <w:color w:val="000000" w:themeColor="text1"/>
          <w:sz w:val="16"/>
          <w:szCs w:val="16"/>
        </w:rPr>
        <w:t xml:space="preserve">Общие потери у английской авиации к этому моменту составили </w:t>
      </w:r>
      <w:r w:rsidRPr="007224C3">
        <w:rPr>
          <w:rStyle w:val="a7"/>
          <w:b w:val="0"/>
          <w:color w:val="000000" w:themeColor="text1"/>
          <w:sz w:val="16"/>
          <w:szCs w:val="16"/>
        </w:rPr>
        <w:t>495 самолетов и 2938 членов экипажей</w:t>
      </w:r>
      <w:r w:rsidRPr="007224C3">
        <w:rPr>
          <w:color w:val="000000" w:themeColor="text1"/>
          <w:sz w:val="16"/>
          <w:szCs w:val="16"/>
        </w:rPr>
        <w:t xml:space="preserve"> – намного больше, чем могла себе позволить Англия.</w:t>
      </w:r>
    </w:p>
    <w:p w14:paraId="0621A149" w14:textId="77777777" w:rsidR="00D4630C" w:rsidRPr="007224C3" w:rsidRDefault="00D4630C" w:rsidP="007224C3">
      <w:pPr>
        <w:pStyle w:val="ae"/>
        <w:shd w:val="clear" w:color="auto" w:fill="FFFFFF"/>
        <w:spacing w:before="0" w:after="0"/>
        <w:jc w:val="both"/>
        <w:rPr>
          <w:color w:val="000000" w:themeColor="text1"/>
          <w:sz w:val="16"/>
          <w:szCs w:val="16"/>
        </w:rPr>
      </w:pPr>
      <w:r w:rsidRPr="007224C3">
        <w:rPr>
          <w:color w:val="000000" w:themeColor="text1"/>
          <w:sz w:val="16"/>
          <w:szCs w:val="16"/>
        </w:rPr>
        <w:t>Бомбардировки теперь осуществлялись с большой высоты – ночью действовали тяжелые английские бомбардировщики «Либерейтор» В-24, днем подключались американские «Ле</w:t>
      </w:r>
      <w:r w:rsidRPr="007224C3">
        <w:rPr>
          <w:color w:val="000000" w:themeColor="text1"/>
          <w:sz w:val="16"/>
          <w:szCs w:val="16"/>
        </w:rPr>
        <w:softHyphen/>
        <w:t>тающие крепости» В-17.</w:t>
      </w:r>
    </w:p>
    <w:p w14:paraId="53352890" w14:textId="77777777" w:rsidR="00D4630C" w:rsidRPr="007224C3" w:rsidRDefault="00D4630C" w:rsidP="007224C3">
      <w:pPr>
        <w:pStyle w:val="ae"/>
        <w:shd w:val="clear" w:color="auto" w:fill="FFFFFF"/>
        <w:spacing w:before="0" w:after="0"/>
        <w:jc w:val="both"/>
        <w:rPr>
          <w:color w:val="000000" w:themeColor="text1"/>
          <w:sz w:val="16"/>
          <w:szCs w:val="16"/>
        </w:rPr>
      </w:pPr>
      <w:r w:rsidRPr="007224C3">
        <w:rPr>
          <w:rStyle w:val="a7"/>
          <w:b w:val="0"/>
          <w:color w:val="000000" w:themeColor="text1"/>
          <w:sz w:val="16"/>
          <w:szCs w:val="16"/>
        </w:rPr>
        <w:t>22 марта 1944 года</w:t>
      </w:r>
      <w:r w:rsidRPr="007224C3">
        <w:rPr>
          <w:color w:val="000000" w:themeColor="text1"/>
          <w:sz w:val="16"/>
          <w:szCs w:val="16"/>
        </w:rPr>
        <w:t xml:space="preserve"> Берлин атаковали уже американцы: 460 В-17 и 197 </w:t>
      </w:r>
      <w:hyperlink r:id="rId12" w:history="1">
        <w:r w:rsidRPr="007224C3">
          <w:rPr>
            <w:rStyle w:val="a5"/>
            <w:rFonts w:eastAsia="Times New Roman"/>
            <w:color w:val="000000" w:themeColor="text1"/>
            <w:sz w:val="16"/>
            <w:szCs w:val="16"/>
            <w:u w:val="none"/>
          </w:rPr>
          <w:t xml:space="preserve">B-24 </w:t>
        </w:r>
      </w:hyperlink>
      <w:r w:rsidRPr="007224C3">
        <w:rPr>
          <w:color w:val="000000" w:themeColor="text1"/>
          <w:sz w:val="16"/>
          <w:szCs w:val="16"/>
        </w:rPr>
        <w:t>нанесли удар по авиационным заводам Ораниенбурга и Бадсдорфа. Почти 1,5 миллиона жителей города остались без крова, однако это было только начало. Американцы пока только пробовали силы. До начала мая они потеряли 38</w:t>
      </w:r>
      <w:hyperlink r:id="rId13" w:history="1">
        <w:r w:rsidRPr="007224C3">
          <w:rPr>
            <w:rStyle w:val="a5"/>
            <w:rFonts w:eastAsia="Times New Roman"/>
            <w:color w:val="000000" w:themeColor="text1"/>
            <w:sz w:val="16"/>
            <w:szCs w:val="16"/>
            <w:u w:val="none"/>
          </w:rPr>
          <w:t xml:space="preserve"> «Летающих крепостей» B-17</w:t>
        </w:r>
      </w:hyperlink>
      <w:r w:rsidRPr="007224C3">
        <w:rPr>
          <w:color w:val="000000" w:themeColor="text1"/>
          <w:sz w:val="16"/>
          <w:szCs w:val="16"/>
        </w:rPr>
        <w:t xml:space="preserve"> и 25 </w:t>
      </w:r>
      <w:hyperlink r:id="rId14" w:history="1">
        <w:r w:rsidRPr="007224C3">
          <w:rPr>
            <w:rStyle w:val="a5"/>
            <w:rFonts w:eastAsia="Times New Roman"/>
            <w:color w:val="000000" w:themeColor="text1"/>
            <w:sz w:val="16"/>
            <w:szCs w:val="16"/>
            <w:u w:val="none"/>
          </w:rPr>
          <w:t>B-24</w:t>
        </w:r>
      </w:hyperlink>
      <w:r w:rsidRPr="007224C3">
        <w:rPr>
          <w:color w:val="000000" w:themeColor="text1"/>
          <w:sz w:val="16"/>
          <w:szCs w:val="16"/>
        </w:rPr>
        <w:t>.</w:t>
      </w:r>
    </w:p>
    <w:p w14:paraId="3961FB3F" w14:textId="77777777" w:rsidR="00D4630C" w:rsidRPr="007224C3" w:rsidRDefault="00D4630C" w:rsidP="007224C3">
      <w:pPr>
        <w:pStyle w:val="ae"/>
        <w:shd w:val="clear" w:color="auto" w:fill="FFFFFF"/>
        <w:spacing w:before="0" w:after="0"/>
        <w:jc w:val="both"/>
        <w:rPr>
          <w:color w:val="000000" w:themeColor="text1"/>
          <w:sz w:val="16"/>
          <w:szCs w:val="16"/>
        </w:rPr>
      </w:pPr>
      <w:r w:rsidRPr="007224C3">
        <w:rPr>
          <w:rStyle w:val="a7"/>
          <w:b w:val="0"/>
          <w:color w:val="000000" w:themeColor="text1"/>
          <w:sz w:val="16"/>
          <w:szCs w:val="16"/>
        </w:rPr>
        <w:t>7 мая 1944 года</w:t>
      </w:r>
      <w:r w:rsidRPr="007224C3">
        <w:rPr>
          <w:color w:val="000000" w:themeColor="text1"/>
          <w:sz w:val="16"/>
          <w:szCs w:val="16"/>
        </w:rPr>
        <w:t xml:space="preserve"> 600 самоле</w:t>
      </w:r>
      <w:r w:rsidRPr="007224C3">
        <w:rPr>
          <w:color w:val="000000" w:themeColor="text1"/>
          <w:sz w:val="16"/>
          <w:szCs w:val="16"/>
        </w:rPr>
        <w:softHyphen/>
        <w:t xml:space="preserve">тов сбросили 1246 тонн бомб на центр Берлина, потеряв 6 машин. </w:t>
      </w:r>
      <w:r w:rsidRPr="007224C3">
        <w:rPr>
          <w:rStyle w:val="a7"/>
          <w:b w:val="0"/>
          <w:color w:val="000000" w:themeColor="text1"/>
          <w:sz w:val="16"/>
          <w:szCs w:val="16"/>
        </w:rPr>
        <w:t>8 мая</w:t>
      </w:r>
      <w:r w:rsidRPr="007224C3">
        <w:rPr>
          <w:color w:val="000000" w:themeColor="text1"/>
          <w:sz w:val="16"/>
          <w:szCs w:val="16"/>
        </w:rPr>
        <w:t xml:space="preserve"> 386 самолетов (25 сбито), а </w:t>
      </w:r>
      <w:r w:rsidRPr="007224C3">
        <w:rPr>
          <w:rStyle w:val="a7"/>
          <w:b w:val="0"/>
          <w:color w:val="000000" w:themeColor="text1"/>
          <w:sz w:val="16"/>
          <w:szCs w:val="16"/>
        </w:rPr>
        <w:t>19 мая</w:t>
      </w:r>
      <w:r w:rsidRPr="007224C3">
        <w:rPr>
          <w:color w:val="000000" w:themeColor="text1"/>
          <w:sz w:val="16"/>
          <w:szCs w:val="16"/>
        </w:rPr>
        <w:t xml:space="preserve"> 465 самолетов продолжили бомбардировку жилых районов. Всего до </w:t>
      </w:r>
      <w:r w:rsidRPr="007224C3">
        <w:rPr>
          <w:rStyle w:val="a7"/>
          <w:b w:val="0"/>
          <w:color w:val="000000" w:themeColor="text1"/>
          <w:sz w:val="16"/>
          <w:szCs w:val="16"/>
        </w:rPr>
        <w:t>21 июня 1944 года</w:t>
      </w:r>
      <w:r w:rsidRPr="007224C3">
        <w:rPr>
          <w:color w:val="000000" w:themeColor="text1"/>
          <w:sz w:val="16"/>
          <w:szCs w:val="16"/>
        </w:rPr>
        <w:t xml:space="preserve"> они потеряли 113 бомбардировщиков, из них 44 машины были уничтожены на земле, на дозаправке.</w:t>
      </w:r>
    </w:p>
    <w:p w14:paraId="7EF07F0B" w14:textId="77777777" w:rsidR="00D4630C" w:rsidRPr="007224C3" w:rsidRDefault="00D4630C" w:rsidP="007224C3">
      <w:pPr>
        <w:pStyle w:val="ae"/>
        <w:shd w:val="clear" w:color="auto" w:fill="FFFFFF"/>
        <w:spacing w:before="0" w:after="0"/>
        <w:jc w:val="both"/>
        <w:rPr>
          <w:color w:val="000000" w:themeColor="text1"/>
          <w:sz w:val="16"/>
          <w:szCs w:val="16"/>
        </w:rPr>
      </w:pPr>
      <w:r w:rsidRPr="007224C3">
        <w:rPr>
          <w:color w:val="000000" w:themeColor="text1"/>
          <w:sz w:val="16"/>
          <w:szCs w:val="16"/>
        </w:rPr>
        <w:t>До самой осени продолжалось относительное затишье, вызванное высадкой союзных войск в Нормандии, куда была отвлечена значительная часть бомбардировочной авиации. Немецкая столица все же была атакована:</w:t>
      </w:r>
    </w:p>
    <w:p w14:paraId="6B46BD0F" w14:textId="77777777" w:rsidR="00D4630C" w:rsidRPr="007224C3" w:rsidRDefault="00D4630C" w:rsidP="007224C3">
      <w:pPr>
        <w:pStyle w:val="ae"/>
        <w:shd w:val="clear" w:color="auto" w:fill="FFFFFF"/>
        <w:spacing w:before="0" w:after="0"/>
        <w:jc w:val="both"/>
        <w:rPr>
          <w:color w:val="000000" w:themeColor="text1"/>
          <w:sz w:val="16"/>
          <w:szCs w:val="16"/>
        </w:rPr>
      </w:pPr>
      <w:r w:rsidRPr="007224C3">
        <w:rPr>
          <w:rStyle w:val="a7"/>
          <w:b w:val="0"/>
          <w:color w:val="000000" w:themeColor="text1"/>
          <w:sz w:val="16"/>
          <w:szCs w:val="16"/>
        </w:rPr>
        <w:lastRenderedPageBreak/>
        <w:t>6 августа 1944 г.</w:t>
      </w:r>
      <w:r w:rsidRPr="007224C3">
        <w:rPr>
          <w:color w:val="000000" w:themeColor="text1"/>
          <w:sz w:val="16"/>
          <w:szCs w:val="16"/>
        </w:rPr>
        <w:t xml:space="preserve">, 128 B-17, а затем </w:t>
      </w:r>
      <w:r w:rsidRPr="007224C3">
        <w:rPr>
          <w:rStyle w:val="a7"/>
          <w:b w:val="0"/>
          <w:color w:val="000000" w:themeColor="text1"/>
          <w:sz w:val="16"/>
          <w:szCs w:val="16"/>
        </w:rPr>
        <w:t>6 октября</w:t>
      </w:r>
      <w:r w:rsidRPr="007224C3">
        <w:rPr>
          <w:color w:val="000000" w:themeColor="text1"/>
          <w:sz w:val="16"/>
          <w:szCs w:val="16"/>
        </w:rPr>
        <w:t xml:space="preserve"> 382 B-17 бомбили Берлин и танковые заводы в Тегеле и Шпандау. За это время было потеряно 17 машин. Ещё раз эти цели и другие заводы подверглись атаке с воздуха </w:t>
      </w:r>
      <w:r w:rsidRPr="007224C3">
        <w:rPr>
          <w:rStyle w:val="a7"/>
          <w:b w:val="0"/>
          <w:color w:val="000000" w:themeColor="text1"/>
          <w:sz w:val="16"/>
          <w:szCs w:val="16"/>
        </w:rPr>
        <w:t>5 декабря</w:t>
      </w:r>
      <w:r w:rsidRPr="007224C3">
        <w:rPr>
          <w:color w:val="000000" w:themeColor="text1"/>
          <w:sz w:val="16"/>
          <w:szCs w:val="16"/>
        </w:rPr>
        <w:t xml:space="preserve"> того же года, силами 404 В-17 (17416).</w:t>
      </w:r>
    </w:p>
    <w:p w14:paraId="13CFD03A" w14:textId="77777777" w:rsidR="00D4630C" w:rsidRPr="007224C3" w:rsidRDefault="00D4630C" w:rsidP="007224C3">
      <w:pPr>
        <w:pStyle w:val="ae"/>
        <w:shd w:val="clear" w:color="auto" w:fill="FFFFFF"/>
        <w:spacing w:before="0" w:after="0"/>
        <w:jc w:val="both"/>
        <w:rPr>
          <w:color w:val="000000" w:themeColor="text1"/>
          <w:sz w:val="16"/>
          <w:szCs w:val="16"/>
        </w:rPr>
      </w:pPr>
    </w:p>
    <w:p w14:paraId="26740A94" w14:textId="77777777" w:rsidR="00820285" w:rsidRPr="007224C3" w:rsidRDefault="00820285"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января 1944 Образование Крайовой Рады Народовой - высшего представительного подпольного органа демократических сил Польши (7451).</w:t>
      </w:r>
    </w:p>
    <w:p w14:paraId="4CC68A82" w14:textId="77777777" w:rsidR="00820285" w:rsidRPr="007224C3" w:rsidRDefault="00820285"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BC86A6" w14:textId="77777777" w:rsidR="00820285" w:rsidRPr="007224C3" w:rsidRDefault="00820285"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 января</w:t>
      </w:r>
      <w:r w:rsidRPr="007224C3">
        <w:rPr>
          <w:rFonts w:ascii="Times New Roman" w:hAnsi="Times New Roman"/>
          <w:color w:val="000000" w:themeColor="text1"/>
          <w:sz w:val="16"/>
          <w:szCs w:val="16"/>
        </w:rPr>
        <w:t xml:space="preserve"> в 1944 году образование Крайовой Рады Народовой — высшего представительного подпольного органа левых патриотических сил Польши во главе с Б.Берутом. Декрет Крайовой Рады Народовой о создании Армии Людовой (14996).</w:t>
      </w:r>
    </w:p>
    <w:p w14:paraId="16867DF3" w14:textId="77777777" w:rsidR="00820285" w:rsidRPr="007224C3" w:rsidRDefault="00820285" w:rsidP="007224C3">
      <w:pPr>
        <w:spacing w:after="0" w:line="240" w:lineRule="auto"/>
        <w:jc w:val="both"/>
        <w:rPr>
          <w:rFonts w:ascii="Times New Roman" w:hAnsi="Times New Roman"/>
          <w:color w:val="000000" w:themeColor="text1"/>
          <w:sz w:val="16"/>
          <w:szCs w:val="16"/>
        </w:rPr>
      </w:pPr>
    </w:p>
    <w:p w14:paraId="409A9FA1" w14:textId="77777777" w:rsidR="00820285" w:rsidRPr="007224C3" w:rsidRDefault="00820285"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января 1944 Декрет Крайовой Рады Народовой о создании Армии Людовой (7451).</w:t>
      </w:r>
    </w:p>
    <w:p w14:paraId="06EAC0DA" w14:textId="77777777" w:rsidR="00820285" w:rsidRPr="007224C3" w:rsidRDefault="00820285"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F52B1B" w14:textId="77777777" w:rsidR="00820285" w:rsidRPr="007224C3" w:rsidRDefault="00820285"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 января</w:t>
      </w:r>
      <w:r w:rsidRPr="007224C3">
        <w:rPr>
          <w:rFonts w:ascii="Times New Roman" w:hAnsi="Times New Roman"/>
          <w:color w:val="000000" w:themeColor="text1"/>
          <w:sz w:val="16"/>
          <w:szCs w:val="16"/>
        </w:rPr>
        <w:t xml:space="preserve"> в 1944 году основывается Армия Людова (польское название - Armia Ludowa — Народная армия) в результате реорганизации Гвардии Людовой (Gwardia Ludowa). Она будет действовать под руководством Крайовой Рады Народовой в оккупированной фашистской Германией Польше. В июле 1944 объединится с 1-й Польской армией в Войско Польское (14996).</w:t>
      </w:r>
    </w:p>
    <w:p w14:paraId="3683A8B0" w14:textId="77777777" w:rsidR="00820285" w:rsidRPr="007224C3" w:rsidRDefault="00820285" w:rsidP="007224C3">
      <w:pPr>
        <w:spacing w:after="0" w:line="240" w:lineRule="auto"/>
        <w:jc w:val="both"/>
        <w:rPr>
          <w:rFonts w:ascii="Times New Roman" w:hAnsi="Times New Roman"/>
          <w:color w:val="000000" w:themeColor="text1"/>
          <w:sz w:val="16"/>
          <w:szCs w:val="16"/>
        </w:rPr>
      </w:pPr>
    </w:p>
    <w:p w14:paraId="73EB47C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January 1, 1944: Field Marshal Rommel is appointed C-in-C of Heeresgruppe B, the German forces in France north of the Loire river (3819).</w:t>
      </w:r>
    </w:p>
    <w:p w14:paraId="242D369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595348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января 1944 фм Роммель был назначен ГК Группы В во Франции на Луаре (3819).</w:t>
      </w:r>
    </w:p>
    <w:p w14:paraId="780CCC7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0C349E" w14:textId="77777777" w:rsidR="00820285" w:rsidRPr="007224C3" w:rsidRDefault="00820285"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 января</w:t>
      </w:r>
      <w:r w:rsidRPr="007224C3">
        <w:rPr>
          <w:rFonts w:ascii="Times New Roman" w:hAnsi="Times New Roman"/>
          <w:color w:val="000000" w:themeColor="text1"/>
          <w:sz w:val="16"/>
          <w:szCs w:val="16"/>
        </w:rPr>
        <w:t xml:space="preserve"> в 1944 году американское командование располагает на Тихоокеанском театре военных действий 16 дивизиями, а также имеет 13 линкоров, 28 авианосцев, 32 крейсера, 123 подводные лодки, 188 эсминцев и 57 миноносцев. Эти военно-морские силы располагают 6676 самолетами (14996).</w:t>
      </w:r>
    </w:p>
    <w:p w14:paraId="554B46F9" w14:textId="77777777" w:rsidR="00820285" w:rsidRPr="007224C3" w:rsidRDefault="00820285" w:rsidP="007224C3">
      <w:pPr>
        <w:spacing w:after="0" w:line="240" w:lineRule="auto"/>
        <w:jc w:val="both"/>
        <w:rPr>
          <w:rFonts w:ascii="Times New Roman" w:hAnsi="Times New Roman"/>
          <w:color w:val="000000" w:themeColor="text1"/>
          <w:sz w:val="16"/>
          <w:szCs w:val="16"/>
        </w:rPr>
      </w:pPr>
    </w:p>
    <w:p w14:paraId="43EE936D" w14:textId="77777777" w:rsidR="00820285" w:rsidRPr="007224C3" w:rsidRDefault="00820285"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 января</w:t>
      </w:r>
      <w:r w:rsidRPr="007224C3">
        <w:rPr>
          <w:rFonts w:ascii="Times New Roman" w:hAnsi="Times New Roman"/>
          <w:color w:val="000000" w:themeColor="text1"/>
          <w:sz w:val="16"/>
          <w:szCs w:val="16"/>
        </w:rPr>
        <w:t xml:space="preserve"> в 1944 году военно-морские силы Японии, действующие против американской армии, располагают 9 линкорами, 13 авианосцами, 31 крейсером, 78 миноносцами, 72 подводными лодками и более 3 тысячами самолетов (14996).</w:t>
      </w:r>
    </w:p>
    <w:p w14:paraId="329A95B0" w14:textId="77777777" w:rsidR="00820285" w:rsidRPr="007224C3" w:rsidRDefault="00820285" w:rsidP="007224C3">
      <w:pPr>
        <w:spacing w:after="0" w:line="240" w:lineRule="auto"/>
        <w:jc w:val="both"/>
        <w:rPr>
          <w:rFonts w:ascii="Times New Roman" w:hAnsi="Times New Roman"/>
          <w:color w:val="000000" w:themeColor="text1"/>
          <w:sz w:val="16"/>
          <w:szCs w:val="16"/>
        </w:rPr>
      </w:pPr>
    </w:p>
    <w:p w14:paraId="6F6D59A6"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511537E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60E89D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2 по 25 января 1944 проводились гос. испытания на земле, а с 17 января по 11 марта В.И.Хомяков облетал Як-9У с ВК-105ПФ2 с ВЯ как эталон на 1944 (65,146).</w:t>
      </w:r>
    </w:p>
    <w:p w14:paraId="66CAA65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5B4786" w14:textId="77777777" w:rsidR="00916E94" w:rsidRPr="007224C3" w:rsidRDefault="00916E94"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 января</w:t>
      </w:r>
      <w:r w:rsidRPr="007224C3">
        <w:rPr>
          <w:rFonts w:ascii="Times New Roman" w:hAnsi="Times New Roman"/>
          <w:color w:val="000000" w:themeColor="text1"/>
          <w:sz w:val="16"/>
          <w:szCs w:val="16"/>
        </w:rPr>
        <w:t xml:space="preserve"> в 1944 году начались Госиспытания истребителя «Як-9УВК-105ПФ2» с винтом «ВИШ-105В-01» - это последняя и наиболее совершенная во всех отношениях, кроме вооружения, модификация «Як-9» с двигателем «М-105» (14997).</w:t>
      </w:r>
    </w:p>
    <w:p w14:paraId="53D387D7" w14:textId="77777777" w:rsidR="00916E94" w:rsidRPr="007224C3" w:rsidRDefault="00916E94" w:rsidP="007224C3">
      <w:pPr>
        <w:spacing w:after="0" w:line="240" w:lineRule="auto"/>
        <w:jc w:val="both"/>
        <w:rPr>
          <w:rFonts w:ascii="Times New Roman" w:hAnsi="Times New Roman"/>
          <w:color w:val="000000" w:themeColor="text1"/>
          <w:sz w:val="16"/>
          <w:szCs w:val="16"/>
        </w:rPr>
      </w:pPr>
    </w:p>
    <w:p w14:paraId="750F2AB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января 1944 в НИИ ВВС на гос. испытания поступил Як-9У, сделанный в ноябре 1943 в ОКБ А.С.Я. в одном экземпляре с Вя-23 вместо Н-37 и до 25 января 1944 проводили доводку вооружения (65,146).</w:t>
      </w:r>
    </w:p>
    <w:p w14:paraId="61E729C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3B0CE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января 1944-го Як-9У с мотором М-105ПФ и винтом ВИШ-105-СВ-01, ставший эталоном, поступил в НИИ ВВС. Ведущими на этапе государственных испытаний были инженер М.А. Пронин и летчик В.И. Хомяков. Облетали Як-9У Ю.А. Анти- пов, А.Г. Прошаков, Г.И. Седов и Гриднев. Летные испытания из-за доводки вооружения начались лишь 17 мая и затянулись почти на два месяца.</w:t>
      </w:r>
    </w:p>
    <w:p w14:paraId="006B416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мнению летчиков-испытателей, Як-9У по технике пилотирования ничем не отличался от серийного Як-9 и по летным данным превосходил последний. В то же время, бронезашита нового истребителя по сравнению с серийным Як-9, хотя и была улучшена, но требованиям заказчика не удовлетворяла. Дальность, полученная при полете на наивыгоднейшем режиме, не превышала 850 км и не соответствовала октябрьскому 1943 года постановлению ГКО (1400 км для всех серийных вариантов Як-9) (12046).</w:t>
      </w:r>
    </w:p>
    <w:p w14:paraId="2DB7EE1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0435EFF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января 1944 г. в НИИ ВВС закончились госиспытания И-220 №01 после ремонта, которые проходили с 22 октября 1943 г. Ответственными за их проведение назначили ведущего инженера А.С.Розанова и летчика-испытателя П.М.Стефановского. Максимальная скорость самолета с мотором АМ-38Ф на номинальном режиме составила 572 км/ч у земли и 622 км/ч на высоте 2600 м, а на боевом режиме 608 км/ч и 652 км/ч соответственно. По отзывам ведущего летчика и летчиков облета, самолет И-220 был прост в пилотировании, обладал высокими летными характеристиками и мощным вооружением. В акте по испытаниям было отмечено, что даже с двигателем АМ-38Ф летные данные И-220 до высоты 3500 м выше летных данных всех опытных самолетов, прошедших госиспытания в НИИ ВВС. Установка мотора АМ-39 еще больше расширяла возможности самолета. В связи с этим военные просили ускорить доводку этих моторов и предъявить И-220 с АМ-39 на государственные испытания. К основным недостаткам самолета в НИИ ВВС отнесли выявленные на испытаниях незначительный бафтинг хвостового оперения и явление сваливания на крыло при полетах на больших углах атаки (5669).</w:t>
      </w:r>
    </w:p>
    <w:p w14:paraId="2444265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7EE77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января 1944 г. в НИИ ВВС закончились госиспытания И—220 зав. № 01 после ремонта, которые проходили с 22 октября 1943 г. Ведущим инженером стал А.С.Розановым, а летчиком-испытателем П.М.Стефановским. Последнему удалось получить следующие максимальные скорости самолета с мото</w:t>
      </w:r>
      <w:r w:rsidRPr="007224C3">
        <w:rPr>
          <w:rFonts w:ascii="Times New Roman" w:hAnsi="Times New Roman"/>
          <w:color w:val="000000" w:themeColor="text1"/>
          <w:sz w:val="16"/>
          <w:szCs w:val="16"/>
        </w:rPr>
        <w:softHyphen/>
        <w:t>ром АМ—38Ф на номинальном режиме: 572 км/ч у земли, 622 км/ч на высоте 2600 м, а на боевом режи</w:t>
      </w:r>
      <w:r w:rsidRPr="007224C3">
        <w:rPr>
          <w:rFonts w:ascii="Times New Roman" w:hAnsi="Times New Roman"/>
          <w:color w:val="000000" w:themeColor="text1"/>
          <w:sz w:val="16"/>
          <w:szCs w:val="16"/>
        </w:rPr>
        <w:softHyphen/>
        <w:t>ме — 608 км/ч и 652 км/ч, соответственно. По отзывам пилотов, самолет И—220 был прост в пилотировании, обладал высокими летными харак</w:t>
      </w:r>
      <w:r w:rsidRPr="007224C3">
        <w:rPr>
          <w:rFonts w:ascii="Times New Roman" w:hAnsi="Times New Roman"/>
          <w:color w:val="000000" w:themeColor="text1"/>
          <w:sz w:val="16"/>
          <w:szCs w:val="16"/>
        </w:rPr>
        <w:softHyphen/>
        <w:t>теристиками и мощным вооружением. В акте по ис</w:t>
      </w:r>
      <w:r w:rsidRPr="007224C3">
        <w:rPr>
          <w:rFonts w:ascii="Times New Roman" w:hAnsi="Times New Roman"/>
          <w:color w:val="000000" w:themeColor="text1"/>
          <w:sz w:val="16"/>
          <w:szCs w:val="16"/>
        </w:rPr>
        <w:softHyphen/>
        <w:t>пытаниям отмечалось, что даже с двигателем АМ—38Ф летные данные И—220 до высоты 3500 м выше, чем у всех опытных самолетов, прошедших к тому времени госиспытания в НИИ ВВС. Установка мотора АМ—39 должна была способствовать еще большему расширению возможностей самолета. Специалисты НИИ ВВС рекомендовали ускорить доводку мотора и предъявить И—220 с АМ—39 на го</w:t>
      </w:r>
      <w:r w:rsidRPr="007224C3">
        <w:rPr>
          <w:rFonts w:ascii="Times New Roman" w:hAnsi="Times New Roman"/>
          <w:color w:val="000000" w:themeColor="text1"/>
          <w:sz w:val="16"/>
          <w:szCs w:val="16"/>
        </w:rPr>
        <w:softHyphen/>
        <w:t>сударственные испытания. К основным недостаткам самолета в НИИ ВВС отнесли выявленные на испытаниях небольшой баф-тинг хвостового оперения и тенденцию к сваливанию на крыло при полетах на больших углах атаки. Было установлено, что бафтинг возникал при пара</w:t>
      </w:r>
      <w:r w:rsidRPr="007224C3">
        <w:rPr>
          <w:rFonts w:ascii="Times New Roman" w:hAnsi="Times New Roman"/>
          <w:color w:val="000000" w:themeColor="text1"/>
          <w:sz w:val="16"/>
          <w:szCs w:val="16"/>
        </w:rPr>
        <w:softHyphen/>
        <w:t>шютировании самолета с приборной скоростью 175—180 км/ч. Кроме того, бафтинг появлялся и в го</w:t>
      </w:r>
      <w:r w:rsidRPr="007224C3">
        <w:rPr>
          <w:rFonts w:ascii="Times New Roman" w:hAnsi="Times New Roman"/>
          <w:color w:val="000000" w:themeColor="text1"/>
          <w:sz w:val="16"/>
          <w:szCs w:val="16"/>
        </w:rPr>
        <w:softHyphen/>
        <w:t>ризонтальном полете с приборной скоростью 250—260 км/ч и ниже при полностью открытых за</w:t>
      </w:r>
      <w:r w:rsidRPr="007224C3">
        <w:rPr>
          <w:rFonts w:ascii="Times New Roman" w:hAnsi="Times New Roman"/>
          <w:color w:val="000000" w:themeColor="text1"/>
          <w:sz w:val="16"/>
          <w:szCs w:val="16"/>
        </w:rPr>
        <w:softHyphen/>
        <w:t>слонках водорадиатора. После переделки зализов центроплана бафтинг был устранен (9984).</w:t>
      </w:r>
    </w:p>
    <w:p w14:paraId="508300A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BE152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января 1944 закончились гос. испытания И-220 МиГ с АМ-38Ф, которые начались с 23 октября 1943 (766,10).</w:t>
      </w:r>
    </w:p>
    <w:p w14:paraId="333DB83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января 1944 А.E.Репин утвердил Акт по результатам гос. испытаний И-220 с АМ-38Ф и винтом АВ-5-Л126 (с-т конструкции М и Г производства з-да 155. Вариант И200 с высотным АМ-39. Летал П.М.Стефановский</w:t>
      </w:r>
    </w:p>
    <w:p w14:paraId="61D0909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Отв. исполнитель: Пом нач. 3 отд. НИИ ВВС КА и-к А.С.Розанов</w:t>
      </w:r>
    </w:p>
    <w:p w14:paraId="1947A15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Л-к-исп. 3 отд. П П.М.Стефановский</w:t>
      </w:r>
    </w:p>
    <w:p w14:paraId="6C0527B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Цель испытаний: определить ЛТД с-та И-220 с АМ-38Ф, как промежуточного вар-та с-та И-220 с мотором АМ-39, проверить работу вооружения и спецоборудования. Дать оценку конструктивного и производственного выполнения с-та</w:t>
      </w:r>
    </w:p>
    <w:p w14:paraId="1CD1C8F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Объект испытаний: опытный с-т И-220 проектировался с высотным мотором АМ-39 как истребитель ведения активного воздушного боя на всех высотах.С-т построен заводом в конце 1942. По приказу НКАП А.И.Ш. на с-т установлен невысотный мотор АМ-38Ф для проведения первого этапа испытаний и получения предварительных рез-тов с последующей заменой мотора АМ-38Ф на мотор АМ-39. С-т представляет собой низкоплан смешанной конструкции с убирающимся в полете шасси и хвостовым колесом. Головная часть - металлическая, хвостовая - деревянная. Центроплан металлический, консоли - деревянные с металлическим лонжероном. Шасси - оригинальной конструкции: обжатие аммортизаторов увеличивается прогрессивно углу стоянки. С-т снабжен щитками Шренк и автоматическими предкрылками по всему размаху. Хвостовое оперение однокилевое со свободнонесущим стабилизатором.Ручное управление - жесткое, ножное - троссовое. Рули высоты, поворота, элероны снабжены аэродинамической и весовой компенсацией и имеют триммеры для балансировки по всем осям. Управление посадочными щитками, уборкой и выпуском шасси и тормозами - пневматическое.На с-те предусмотрен сброс подвижной части фонаря кабины л.</w:t>
      </w:r>
    </w:p>
    <w:p w14:paraId="3718513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ВМГ. На с-те установлен серийный мотор АМ-38Ф с винтом АВ-5Л-126 диаметром 3.2 м.</w:t>
      </w:r>
    </w:p>
    <w:p w14:paraId="3AF0E43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Взлетная мощность мотора (разрешено применять 3:20 за 100 часов ресурса) составляет 1700 л/с при 2350 оборотах и Рк 1360 мм. Номинальная мощность у земли 1500 л/с при 2050 и Рк 1200 мм. В целях проверки лтд на режимах мотора АМ-39 на низких высотах мотору АМ-38Ф, при снятии летных характеристик, давались обороты 2150 при Рк 1180-1200 в соответствии с письмом-разрешением Зам. ГК з-да № 300 от 15 октября 1943.</w:t>
      </w:r>
    </w:p>
    <w:p w14:paraId="466F795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Полная заправка горючего 464 л (346 кг) в одном баке мягкой конструкции типа ВИАМ-А3. Бак расположен в фюзеляже позади кабины л. Бак заполняется выхлопными газами от мотора. Кроме того, на с-те предусмотрена установка двух крыльевых баков общей емкостью 173 л (128 кг).</w:t>
      </w:r>
    </w:p>
    <w:p w14:paraId="3D8E6E9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Два трубчать-пластинчатых водяных радиаторов типа ОП-429 (фронт 18,2 дм2, поверхность 32,8) расположены в носке цп в правой и левой его частях. Управление заслонками - электрическое (от УР-2) или автоматическое от автомата МТ-41.</w:t>
      </w:r>
    </w:p>
    <w:p w14:paraId="1C34B5D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Сотовый м/р типа 553 (фронт 10,4, пов. 10,8) расположен в правом переднем зализе цп. Заслонка управляется вручную агрегатом УР-2.</w:t>
      </w:r>
    </w:p>
    <w:p w14:paraId="2D3030E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Пушечное вооружение: На с-те в нормальном варианте вооружения установлено 2 синхронных пушки ШВАК 20мм, располагаемые под мотором с запасом патронов 150 на каждую. Перегрукзочный вариант предусматривает установку еще 2-х синхронных ШВАК над мотором с таким же б/з. Управление огнем - электропневматическое с пом. ПЭС-1 от э/кнопок на ручке управления. Стрельбу возможно вести только залпом (верхними или нижними пушками). Перезарядка пушек - пневматическая. На земле имеется механическая перезарядка. Гильзы и звенья выбрасываются наружу.</w:t>
      </w:r>
    </w:p>
    <w:p w14:paraId="2CCFD75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Бомбовое вооружение - с-т оборудован 2-мя балками для подвески по одной 100 кг бомбе. Управление троссовое или механическое АСИ-140 от кнопки на ручке. Прицел ПБП-1А (для стрельбы и бомбометания с пикирования).</w:t>
      </w:r>
    </w:p>
    <w:p w14:paraId="3C84256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Чпецоборудование с-т тмеет обычное для истребителя пилотажно-навигационное оборудование и оборудования контроля ВМГ. Особенностью является наличие автоматического электрорегулирования температуры воды (АРТ-41).</w:t>
      </w:r>
    </w:p>
    <w:p w14:paraId="349AC3B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Электрооборудование выполнено по однопроводной схеме с частичной электроизоляцией (зажигание мотора и проводка от генератора к щитку).</w:t>
      </w:r>
    </w:p>
    <w:p w14:paraId="3054312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Источник тока - генератор ГС-350 и аккумуляторная батарея А2А-10. Система защиты централизована (на электрощитке в кабине пилота) и осуществляется плавкими вставками.</w:t>
      </w:r>
    </w:p>
    <w:p w14:paraId="28EDA86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ночных полетов установлены фары ФС-150 и ВНО. Освещение приборов в кабине двумя кабинными лампами и двумя лампами УФО</w:t>
      </w:r>
    </w:p>
    <w:p w14:paraId="4062B3C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Имеется электрообогрев трубки Пито и часов.</w:t>
      </w:r>
    </w:p>
    <w:p w14:paraId="2598189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Средства радиосвязи состоят из приемо-передатчика РСИ-4, установленной в хвостовой части фюзеляжа. Управление р/п дистанционное при помощи гибкого валика конструкции НИСО НКАП. Включение р/п в полете осуществляется кнопкой на сектиоре газа.</w:t>
      </w:r>
    </w:p>
    <w:p w14:paraId="56F401E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Антенна наружная однолучевая. (без мачты), протянутая от киля к штырю, расположенному за кабиной.</w:t>
      </w:r>
    </w:p>
    <w:p w14:paraId="69FA5C8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Кислородное оборудование состоит из прибора КПА-3бис и 4-х литрового баллона, а также штуцера бортовой заправки.</w:t>
      </w:r>
    </w:p>
    <w:p w14:paraId="44BC7DC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Вспомогательное оборудование - сигнальный пистолет КП-3 на 6 шпангоуте и малая аптечка</w:t>
      </w:r>
    </w:p>
    <w:p w14:paraId="0E33551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Бронирование: бронеспинка 8 мм и бронезаголовник 13 мм</w:t>
      </w:r>
    </w:p>
    <w:p w14:paraId="6253A2C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Сккорострельность пушки ШВАК 757 выст/м Продолжительность непрерывной стрельбы 11,4 с. Вес секундного залпа 2-х пушек - 2,518 кг. Вес снаряда - 96 г.</w:t>
      </w:r>
    </w:p>
    <w:p w14:paraId="3D9977B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Испытания начаты 23 октября 1943 и закончены 2 января 1944. Выполнен 31 полет с налетом 31:11</w:t>
      </w:r>
    </w:p>
    <w:p w14:paraId="4391F71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Результаты испытаний:</w:t>
      </w:r>
    </w:p>
    <w:p w14:paraId="51C0871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 пустого 2936, центровка при выпущенных шасси 14,6, капотажный угол 23:35</w:t>
      </w:r>
    </w:p>
    <w:p w14:paraId="620A77F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Нормальный полетный - 3574 - 23,6 - 29:25</w:t>
      </w:r>
    </w:p>
    <w:p w14:paraId="46A9CC1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Перегрузочный - 3720 - 23,2 28:3</w:t>
      </w:r>
    </w:p>
    <w:p w14:paraId="7B07B4D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Нормальная нагрузка:</w:t>
      </w:r>
    </w:p>
    <w:p w14:paraId="71B1B38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Экипаж - 90</w:t>
      </w:r>
    </w:p>
    <w:p w14:paraId="49416C5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Горючее (уд. Вес 0,745) 346</w:t>
      </w:r>
    </w:p>
    <w:p w14:paraId="6DE6B3F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Масло - 40</w:t>
      </w:r>
    </w:p>
    <w:p w14:paraId="469269C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Вооружение - 78</w:t>
      </w:r>
    </w:p>
    <w:p w14:paraId="79F03AA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б/з - 68</w:t>
      </w:r>
    </w:p>
    <w:p w14:paraId="1007DAB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Оборудование - 16 (рация, кислородный баллон)</w:t>
      </w:r>
    </w:p>
    <w:p w14:paraId="185E464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 638</w:t>
      </w:r>
    </w:p>
    <w:p w14:paraId="73BA89D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Доп. Нагрузка - 2хШВАК - 78, б/з - 68, всего 146 кг</w:t>
      </w:r>
    </w:p>
    <w:p w14:paraId="5647404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 скорость у земли 572 (при 2150 Рк 1180 или 608 при форсаже (2350 Рк 1350</w:t>
      </w:r>
    </w:p>
    <w:p w14:paraId="067A5DD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Максю. Скорость на гр. высотности 2600 - 622 и 652</w:t>
      </w:r>
    </w:p>
    <w:p w14:paraId="1F6E6D0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Скороподъемность не определялась ввиду того, что для уборки шасси требовалось уменьшить скорость набора высоты до 220 км/час по приборами создавать отрицательную перегрузку - делать клевок.</w:t>
      </w:r>
    </w:p>
    <w:p w14:paraId="6A59654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Разбег - 295, скорость отрыва 160, взлетная дистанция 920</w:t>
      </w:r>
    </w:p>
    <w:p w14:paraId="0290514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Пробег 445, скорость посадочная 130, дистанция 960 по бетону</w:t>
      </w:r>
    </w:p>
    <w:p w14:paraId="758AF8D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Маневр 1000 м вращение одинарное - левый на 350-340 - 19</w:t>
      </w:r>
    </w:p>
    <w:p w14:paraId="6F7A41F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правый на 350-340 - 20</w:t>
      </w:r>
    </w:p>
    <w:p w14:paraId="40410E6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Набор высоты за боевой разворот - 1000 м с 500</w:t>
      </w:r>
    </w:p>
    <w:p w14:paraId="1AD13F8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Дальность двухсторонней радиосвязи с р/с 11-К на 1000 м - до 25 км, на 2000 - до 20 км</w:t>
      </w:r>
    </w:p>
    <w:p w14:paraId="687F294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Летчики облета - Стефановский, Кочетков, Хоияков, Кубышкин - дали положительную оценку. Хорошие лтд, мощное ворружение, прост в пилотировании.</w:t>
      </w:r>
    </w:p>
    <w:p w14:paraId="715EB58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форсеже имеет преимущества перед Ме-109 -G2 до 5000 м. С-т желательно иметь на вооружении ВВС КА</w:t>
      </w:r>
    </w:p>
    <w:p w14:paraId="59679D4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Эксплуатационная оценка - ст т-исп. 3 отд. НИИ ВВС КА безбаш от 5 января - в целом эксплуатация не сложнее эксплуатации истребителей, состоящих на вооружении ВВС</w:t>
      </w:r>
    </w:p>
    <w:p w14:paraId="770918A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Выводы:</w:t>
      </w:r>
    </w:p>
    <w:p w14:paraId="3303046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Основные дефекты:</w:t>
      </w:r>
    </w:p>
    <w:p w14:paraId="15CBA4B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наличие несильного бафтинга хвостового оперения при парашютировании</w:t>
      </w:r>
    </w:p>
    <w:p w14:paraId="407B42D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 потеря эффективности РВ на посадке, усложняет исправление грубой посадки </w:t>
      </w:r>
    </w:p>
    <w:p w14:paraId="53C0390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неудовлетворительный обзор задней и средней п/с и искажения козырька прри обзоре вперед</w:t>
      </w:r>
    </w:p>
    <w:p w14:paraId="105986B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малый радиус действия</w:t>
      </w:r>
    </w:p>
    <w:p w14:paraId="55929A0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большая нагрузка на колеса для размера 650х200</w:t>
      </w:r>
    </w:p>
    <w:p w14:paraId="742D216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недорустимо большая девиация магнитного компаса, что усложняет ориентирование.</w:t>
      </w:r>
    </w:p>
    <w:p w14:paraId="0266E16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Подписали 5 января Кочетков и Хомяков.</w:t>
      </w:r>
    </w:p>
    <w:p w14:paraId="3FE211C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Заключение:</w:t>
      </w:r>
    </w:p>
    <w:p w14:paraId="5ED18FB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установке на с-т мотора АМ-39 и АМ-39ТК с-т И-220 может быть успешно использован в качестве высотного истребителя, т.к. по данным заводских испытаний имеет преимущества в максимальной скорости по сравнению с Ла-5ФН и ЯК-3ПФ с высот 5000-6000 м и по сравнению с Як-3 107А с высот 7000-75000 м</w:t>
      </w:r>
    </w:p>
    <w:p w14:paraId="2883FAD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Такой с-т как специальный тип крайне необходим ВВС</w:t>
      </w:r>
    </w:p>
    <w:p w14:paraId="6A3BA26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Просить НКАП т. А.И.Ш. дать указания об ускорении доводки АМ-39 по предъявлению с-та И-220 с этим мотором на ГИ. От 1 января 1944 (766,5).</w:t>
      </w:r>
    </w:p>
    <w:p w14:paraId="0CD283D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18A5F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января 1944 Дир. и ГК завода 155 А.И.М. писал НКАП А.И.Ш. записку:</w:t>
      </w:r>
    </w:p>
    <w:p w14:paraId="63A322C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"Доношу, что Правительственное задание N 2946сс от 26 февраля 1943 о постройке 6 самолетов МиГ-3 (улучшенный), вверенным мне заводом выполнено и самолеты переданы в войсковую часть в июне, где они находятся в эксплуатации." (2562,37).</w:t>
      </w:r>
    </w:p>
    <w:p w14:paraId="0479514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2F2738"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55006BC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C349D3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января 1944 г. была подготовлена ДОКЛАДНАЯ ЗАПИСКА КОМАНДУЮЩЕГО БТ и МВ КА НАРОДНОМУ КОМИССАРУ ОБОРОНЫ МАРШАЛУ СОВЕТСКОГО СОЮЗА И.В. СТАЛИНУ О ВЫПУСКЕ ТАНКОВ И БРОНЕАВТОМОБИЛЕЙ № 520007</w:t>
      </w:r>
    </w:p>
    <w:p w14:paraId="59804FF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Докладываю о сдаче танков и бронеавтомобилей заводами Наркомата танковой промышленно</w:t>
      </w:r>
      <w:r w:rsidRPr="007224C3">
        <w:rPr>
          <w:rFonts w:ascii="Times New Roman" w:hAnsi="Times New Roman"/>
          <w:color w:val="000000" w:themeColor="text1"/>
          <w:sz w:val="16"/>
          <w:szCs w:val="16"/>
        </w:rPr>
        <w:softHyphen/>
        <w:t>сти и Наркомата среднего машиностроения за декабрь месяц 1943 года:</w:t>
      </w:r>
    </w:p>
    <w:tbl>
      <w:tblPr>
        <w:tblW w:w="0" w:type="auto"/>
        <w:tblInd w:w="40" w:type="dxa"/>
        <w:tblLayout w:type="fixed"/>
        <w:tblCellMar>
          <w:left w:w="40" w:type="dxa"/>
          <w:right w:w="40" w:type="dxa"/>
        </w:tblCellMar>
        <w:tblLook w:val="0000" w:firstRow="0" w:lastRow="0" w:firstColumn="0" w:lastColumn="0" w:noHBand="0" w:noVBand="0"/>
      </w:tblPr>
      <w:tblGrid>
        <w:gridCol w:w="432"/>
        <w:gridCol w:w="2554"/>
        <w:gridCol w:w="1133"/>
        <w:gridCol w:w="1133"/>
        <w:gridCol w:w="1565"/>
        <w:gridCol w:w="1594"/>
      </w:tblGrid>
      <w:tr w:rsidR="006331D6" w:rsidRPr="007224C3" w14:paraId="19CC1444" w14:textId="77777777">
        <w:trPr>
          <w:trHeight w:val="442"/>
        </w:trPr>
        <w:tc>
          <w:tcPr>
            <w:tcW w:w="432" w:type="dxa"/>
            <w:tcBorders>
              <w:top w:val="single" w:sz="6" w:space="0" w:color="auto"/>
              <w:left w:val="single" w:sz="6" w:space="0" w:color="auto"/>
              <w:bottom w:val="nil"/>
              <w:right w:val="single" w:sz="6" w:space="0" w:color="auto"/>
            </w:tcBorders>
          </w:tcPr>
          <w:p w14:paraId="2A87F89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п/п</w:t>
            </w:r>
          </w:p>
          <w:p w14:paraId="3D5988F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4" w:type="dxa"/>
            <w:tcBorders>
              <w:top w:val="single" w:sz="6" w:space="0" w:color="auto"/>
              <w:left w:val="single" w:sz="6" w:space="0" w:color="auto"/>
              <w:bottom w:val="nil"/>
              <w:right w:val="single" w:sz="6" w:space="0" w:color="auto"/>
            </w:tcBorders>
          </w:tcPr>
          <w:p w14:paraId="2EE8FF3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 изготовитель</w:t>
            </w:r>
          </w:p>
          <w:p w14:paraId="3B94C33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nil"/>
              <w:right w:val="single" w:sz="6" w:space="0" w:color="auto"/>
            </w:tcBorders>
          </w:tcPr>
          <w:p w14:paraId="5512F39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Тип танка</w:t>
            </w:r>
          </w:p>
          <w:p w14:paraId="5316FDE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nil"/>
              <w:right w:val="single" w:sz="6" w:space="0" w:color="auto"/>
            </w:tcBorders>
          </w:tcPr>
          <w:p w14:paraId="34178D4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План на декабрь месяц</w:t>
            </w:r>
          </w:p>
          <w:p w14:paraId="0693375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159" w:type="dxa"/>
            <w:gridSpan w:val="2"/>
            <w:tcBorders>
              <w:top w:val="single" w:sz="6" w:space="0" w:color="auto"/>
              <w:left w:val="single" w:sz="6" w:space="0" w:color="auto"/>
              <w:bottom w:val="single" w:sz="6" w:space="0" w:color="auto"/>
              <w:right w:val="single" w:sz="6" w:space="0" w:color="auto"/>
            </w:tcBorders>
          </w:tcPr>
          <w:p w14:paraId="58BE723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Принято танков военпредами ГБТУ КА за декабрь 1943 г.</w:t>
            </w:r>
          </w:p>
          <w:p w14:paraId="1D31C7D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2016D2AC" w14:textId="77777777">
        <w:trPr>
          <w:trHeight w:val="422"/>
        </w:trPr>
        <w:tc>
          <w:tcPr>
            <w:tcW w:w="432" w:type="dxa"/>
            <w:tcBorders>
              <w:top w:val="nil"/>
              <w:left w:val="single" w:sz="6" w:space="0" w:color="auto"/>
              <w:bottom w:val="single" w:sz="6" w:space="0" w:color="auto"/>
              <w:right w:val="single" w:sz="6" w:space="0" w:color="auto"/>
            </w:tcBorders>
          </w:tcPr>
          <w:p w14:paraId="45323F0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33A8F6F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2554" w:type="dxa"/>
            <w:tcBorders>
              <w:top w:val="nil"/>
              <w:left w:val="single" w:sz="6" w:space="0" w:color="auto"/>
              <w:bottom w:val="single" w:sz="6" w:space="0" w:color="auto"/>
              <w:right w:val="single" w:sz="6" w:space="0" w:color="auto"/>
            </w:tcBorders>
          </w:tcPr>
          <w:p w14:paraId="741637A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1361825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nil"/>
              <w:left w:val="single" w:sz="6" w:space="0" w:color="auto"/>
              <w:bottom w:val="single" w:sz="6" w:space="0" w:color="auto"/>
              <w:right w:val="single" w:sz="6" w:space="0" w:color="auto"/>
            </w:tcBorders>
          </w:tcPr>
          <w:p w14:paraId="1ED235E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016985E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nil"/>
              <w:left w:val="single" w:sz="6" w:space="0" w:color="auto"/>
              <w:bottom w:val="single" w:sz="6" w:space="0" w:color="auto"/>
              <w:right w:val="single" w:sz="6" w:space="0" w:color="auto"/>
            </w:tcBorders>
          </w:tcPr>
          <w:p w14:paraId="4843ADB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676D00E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5BC9848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количество</w:t>
            </w:r>
          </w:p>
          <w:p w14:paraId="5CEDEF4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single" w:sz="6" w:space="0" w:color="auto"/>
              <w:left w:val="single" w:sz="6" w:space="0" w:color="auto"/>
              <w:bottom w:val="single" w:sz="6" w:space="0" w:color="auto"/>
              <w:right w:val="single" w:sz="6" w:space="0" w:color="auto"/>
            </w:tcBorders>
          </w:tcPr>
          <w:p w14:paraId="2F00840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к месячному плану</w:t>
            </w:r>
          </w:p>
          <w:p w14:paraId="41D4E9B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0F82C886" w14:textId="77777777">
        <w:trPr>
          <w:trHeight w:val="278"/>
        </w:trPr>
        <w:tc>
          <w:tcPr>
            <w:tcW w:w="432" w:type="dxa"/>
            <w:tcBorders>
              <w:top w:val="single" w:sz="6" w:space="0" w:color="auto"/>
              <w:left w:val="single" w:sz="6" w:space="0" w:color="auto"/>
              <w:bottom w:val="single" w:sz="6" w:space="0" w:color="auto"/>
              <w:right w:val="single" w:sz="6" w:space="0" w:color="auto"/>
            </w:tcBorders>
          </w:tcPr>
          <w:p w14:paraId="269CC50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3EC43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4" w:type="dxa"/>
            <w:tcBorders>
              <w:top w:val="single" w:sz="6" w:space="0" w:color="auto"/>
              <w:left w:val="single" w:sz="6" w:space="0" w:color="auto"/>
              <w:bottom w:val="single" w:sz="6" w:space="0" w:color="auto"/>
              <w:right w:val="single" w:sz="6" w:space="0" w:color="auto"/>
            </w:tcBorders>
          </w:tcPr>
          <w:p w14:paraId="6DFAD17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Танки</w:t>
            </w:r>
          </w:p>
          <w:p w14:paraId="4A43A23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1FB40BD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937702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3ED7613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B93FE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48D5D20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E7C84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single" w:sz="6" w:space="0" w:color="auto"/>
              <w:left w:val="single" w:sz="6" w:space="0" w:color="auto"/>
              <w:bottom w:val="single" w:sz="6" w:space="0" w:color="auto"/>
              <w:right w:val="single" w:sz="6" w:space="0" w:color="auto"/>
            </w:tcBorders>
          </w:tcPr>
          <w:p w14:paraId="4FFA8B2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9B8543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67DFD602" w14:textId="77777777">
        <w:trPr>
          <w:trHeight w:val="269"/>
        </w:trPr>
        <w:tc>
          <w:tcPr>
            <w:tcW w:w="432" w:type="dxa"/>
            <w:tcBorders>
              <w:top w:val="single" w:sz="6" w:space="0" w:color="auto"/>
              <w:left w:val="single" w:sz="6" w:space="0" w:color="auto"/>
              <w:bottom w:val="single" w:sz="6" w:space="0" w:color="auto"/>
              <w:right w:val="single" w:sz="6" w:space="0" w:color="auto"/>
            </w:tcBorders>
          </w:tcPr>
          <w:p w14:paraId="275385A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p w14:paraId="4A3B7B1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4" w:type="dxa"/>
            <w:tcBorders>
              <w:top w:val="single" w:sz="6" w:space="0" w:color="auto"/>
              <w:left w:val="single" w:sz="6" w:space="0" w:color="auto"/>
              <w:bottom w:val="single" w:sz="6" w:space="0" w:color="auto"/>
              <w:right w:val="single" w:sz="6" w:space="0" w:color="auto"/>
            </w:tcBorders>
          </w:tcPr>
          <w:p w14:paraId="66EDDAE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Кировский завод</w:t>
            </w:r>
          </w:p>
          <w:p w14:paraId="4DF3969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14E46A4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w:t>
            </w:r>
          </w:p>
          <w:p w14:paraId="19CD2C3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6F24E87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w:t>
            </w:r>
          </w:p>
          <w:p w14:paraId="75F7959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3633ADA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w:t>
            </w:r>
          </w:p>
          <w:p w14:paraId="7798F49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single" w:sz="6" w:space="0" w:color="auto"/>
              <w:left w:val="single" w:sz="6" w:space="0" w:color="auto"/>
              <w:bottom w:val="single" w:sz="6" w:space="0" w:color="auto"/>
              <w:right w:val="single" w:sz="6" w:space="0" w:color="auto"/>
            </w:tcBorders>
          </w:tcPr>
          <w:p w14:paraId="41EC55C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100,0</w:t>
            </w:r>
          </w:p>
          <w:p w14:paraId="22A3256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43D2F892" w14:textId="77777777">
        <w:trPr>
          <w:trHeight w:val="278"/>
        </w:trPr>
        <w:tc>
          <w:tcPr>
            <w:tcW w:w="432" w:type="dxa"/>
            <w:tcBorders>
              <w:top w:val="single" w:sz="6" w:space="0" w:color="auto"/>
              <w:left w:val="single" w:sz="6" w:space="0" w:color="auto"/>
              <w:bottom w:val="single" w:sz="6" w:space="0" w:color="auto"/>
              <w:right w:val="single" w:sz="6" w:space="0" w:color="auto"/>
            </w:tcBorders>
          </w:tcPr>
          <w:p w14:paraId="1121FDE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p w14:paraId="6015F4A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4" w:type="dxa"/>
            <w:tcBorders>
              <w:top w:val="single" w:sz="6" w:space="0" w:color="auto"/>
              <w:left w:val="single" w:sz="6" w:space="0" w:color="auto"/>
              <w:bottom w:val="single" w:sz="6" w:space="0" w:color="auto"/>
              <w:right w:val="single" w:sz="6" w:space="0" w:color="auto"/>
            </w:tcBorders>
          </w:tcPr>
          <w:p w14:paraId="4556DEC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Кировский завод</w:t>
            </w:r>
          </w:p>
          <w:p w14:paraId="30ACDEF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72F29AC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ИС-2</w:t>
            </w:r>
          </w:p>
          <w:p w14:paraId="6029619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2E92DE9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35</w:t>
            </w:r>
          </w:p>
          <w:p w14:paraId="5372FC4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7D46434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35</w:t>
            </w:r>
          </w:p>
          <w:p w14:paraId="0B90002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single" w:sz="6" w:space="0" w:color="auto"/>
              <w:left w:val="single" w:sz="6" w:space="0" w:color="auto"/>
              <w:bottom w:val="single" w:sz="6" w:space="0" w:color="auto"/>
              <w:right w:val="single" w:sz="6" w:space="0" w:color="auto"/>
            </w:tcBorders>
          </w:tcPr>
          <w:p w14:paraId="2E63316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100,0</w:t>
            </w:r>
          </w:p>
          <w:p w14:paraId="2E6A6C8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3DDC092C" w14:textId="77777777">
        <w:trPr>
          <w:trHeight w:val="278"/>
        </w:trPr>
        <w:tc>
          <w:tcPr>
            <w:tcW w:w="432" w:type="dxa"/>
            <w:tcBorders>
              <w:top w:val="single" w:sz="6" w:space="0" w:color="auto"/>
              <w:left w:val="single" w:sz="6" w:space="0" w:color="auto"/>
              <w:bottom w:val="single" w:sz="6" w:space="0" w:color="auto"/>
              <w:right w:val="single" w:sz="6" w:space="0" w:color="auto"/>
            </w:tcBorders>
          </w:tcPr>
          <w:p w14:paraId="0F96DE5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DC9FA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4" w:type="dxa"/>
            <w:tcBorders>
              <w:top w:val="single" w:sz="6" w:space="0" w:color="auto"/>
              <w:left w:val="single" w:sz="6" w:space="0" w:color="auto"/>
              <w:bottom w:val="single" w:sz="6" w:space="0" w:color="auto"/>
              <w:right w:val="single" w:sz="6" w:space="0" w:color="auto"/>
            </w:tcBorders>
          </w:tcPr>
          <w:p w14:paraId="0FE485C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Итого танков</w:t>
            </w:r>
          </w:p>
          <w:p w14:paraId="4CEE110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640FB6D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w:t>
            </w:r>
          </w:p>
          <w:p w14:paraId="49E667F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273047D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75</w:t>
            </w:r>
          </w:p>
          <w:p w14:paraId="0241421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1C91930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75</w:t>
            </w:r>
          </w:p>
          <w:p w14:paraId="17C1194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single" w:sz="6" w:space="0" w:color="auto"/>
              <w:left w:val="single" w:sz="6" w:space="0" w:color="auto"/>
              <w:bottom w:val="single" w:sz="6" w:space="0" w:color="auto"/>
              <w:right w:val="single" w:sz="6" w:space="0" w:color="auto"/>
            </w:tcBorders>
          </w:tcPr>
          <w:p w14:paraId="65F3A51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100,0</w:t>
            </w:r>
          </w:p>
          <w:p w14:paraId="4F1042B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45BC9982" w14:textId="77777777">
        <w:trPr>
          <w:trHeight w:val="278"/>
        </w:trPr>
        <w:tc>
          <w:tcPr>
            <w:tcW w:w="432" w:type="dxa"/>
            <w:tcBorders>
              <w:top w:val="single" w:sz="6" w:space="0" w:color="auto"/>
              <w:left w:val="single" w:sz="6" w:space="0" w:color="auto"/>
              <w:bottom w:val="single" w:sz="6" w:space="0" w:color="auto"/>
              <w:right w:val="single" w:sz="6" w:space="0" w:color="auto"/>
            </w:tcBorders>
          </w:tcPr>
          <w:p w14:paraId="3D58BAA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p w14:paraId="0FFD27B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4" w:type="dxa"/>
            <w:tcBorders>
              <w:top w:val="single" w:sz="6" w:space="0" w:color="auto"/>
              <w:left w:val="single" w:sz="6" w:space="0" w:color="auto"/>
              <w:bottom w:val="single" w:sz="6" w:space="0" w:color="auto"/>
              <w:right w:val="single" w:sz="6" w:space="0" w:color="auto"/>
            </w:tcBorders>
          </w:tcPr>
          <w:p w14:paraId="7DE9F7F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Кировский завод</w:t>
            </w:r>
          </w:p>
          <w:p w14:paraId="13DAA01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453B5DD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Т-34</w:t>
            </w:r>
          </w:p>
          <w:p w14:paraId="118C5E7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5110049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355</w:t>
            </w:r>
          </w:p>
          <w:p w14:paraId="6E8E0CF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5A95662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360</w:t>
            </w:r>
          </w:p>
          <w:p w14:paraId="307DE0E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single" w:sz="6" w:space="0" w:color="auto"/>
              <w:left w:val="single" w:sz="6" w:space="0" w:color="auto"/>
              <w:bottom w:val="single" w:sz="6" w:space="0" w:color="auto"/>
              <w:right w:val="single" w:sz="6" w:space="0" w:color="auto"/>
            </w:tcBorders>
          </w:tcPr>
          <w:p w14:paraId="682AEBB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101,4</w:t>
            </w:r>
          </w:p>
          <w:p w14:paraId="51A1C2D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3CFAFD81" w14:textId="77777777">
        <w:trPr>
          <w:trHeight w:val="269"/>
        </w:trPr>
        <w:tc>
          <w:tcPr>
            <w:tcW w:w="432" w:type="dxa"/>
            <w:tcBorders>
              <w:top w:val="single" w:sz="6" w:space="0" w:color="auto"/>
              <w:left w:val="single" w:sz="6" w:space="0" w:color="auto"/>
              <w:bottom w:val="single" w:sz="6" w:space="0" w:color="auto"/>
              <w:right w:val="single" w:sz="6" w:space="0" w:color="auto"/>
            </w:tcBorders>
          </w:tcPr>
          <w:p w14:paraId="6F59DD2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w:t>
            </w:r>
          </w:p>
          <w:p w14:paraId="6586F61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4" w:type="dxa"/>
            <w:tcBorders>
              <w:top w:val="single" w:sz="6" w:space="0" w:color="auto"/>
              <w:left w:val="single" w:sz="6" w:space="0" w:color="auto"/>
              <w:bottom w:val="single" w:sz="6" w:space="0" w:color="auto"/>
              <w:right w:val="single" w:sz="6" w:space="0" w:color="auto"/>
            </w:tcBorders>
          </w:tcPr>
          <w:p w14:paraId="059BBC2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№183</w:t>
            </w:r>
          </w:p>
          <w:p w14:paraId="428EF2C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01055DE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Т-34</w:t>
            </w:r>
          </w:p>
          <w:p w14:paraId="45EFCF3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1BEE481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675</w:t>
            </w:r>
          </w:p>
          <w:p w14:paraId="1F50024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5B75386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677</w:t>
            </w:r>
          </w:p>
          <w:p w14:paraId="3B01F85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single" w:sz="6" w:space="0" w:color="auto"/>
              <w:left w:val="single" w:sz="6" w:space="0" w:color="auto"/>
              <w:bottom w:val="single" w:sz="6" w:space="0" w:color="auto"/>
              <w:right w:val="single" w:sz="6" w:space="0" w:color="auto"/>
            </w:tcBorders>
          </w:tcPr>
          <w:p w14:paraId="55A05C5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100,3</w:t>
            </w:r>
          </w:p>
          <w:p w14:paraId="040488A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128A122C" w14:textId="77777777">
        <w:trPr>
          <w:trHeight w:val="278"/>
        </w:trPr>
        <w:tc>
          <w:tcPr>
            <w:tcW w:w="432" w:type="dxa"/>
            <w:tcBorders>
              <w:top w:val="single" w:sz="6" w:space="0" w:color="auto"/>
              <w:left w:val="single" w:sz="6" w:space="0" w:color="auto"/>
              <w:bottom w:val="single" w:sz="6" w:space="0" w:color="auto"/>
              <w:right w:val="single" w:sz="6" w:space="0" w:color="auto"/>
            </w:tcBorders>
          </w:tcPr>
          <w:p w14:paraId="03DC165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p w14:paraId="2D52686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4" w:type="dxa"/>
            <w:tcBorders>
              <w:top w:val="single" w:sz="6" w:space="0" w:color="auto"/>
              <w:left w:val="single" w:sz="6" w:space="0" w:color="auto"/>
              <w:bottom w:val="single" w:sz="6" w:space="0" w:color="auto"/>
              <w:right w:val="single" w:sz="6" w:space="0" w:color="auto"/>
            </w:tcBorders>
          </w:tcPr>
          <w:p w14:paraId="4D7B9B2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№112</w:t>
            </w:r>
          </w:p>
          <w:p w14:paraId="19FCAE7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0DBDF00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Т-34</w:t>
            </w:r>
          </w:p>
          <w:p w14:paraId="4AAD625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78A2160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275</w:t>
            </w:r>
          </w:p>
          <w:p w14:paraId="7D34828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6281646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276</w:t>
            </w:r>
          </w:p>
          <w:p w14:paraId="18F626D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single" w:sz="6" w:space="0" w:color="auto"/>
              <w:left w:val="single" w:sz="6" w:space="0" w:color="auto"/>
              <w:bottom w:val="single" w:sz="6" w:space="0" w:color="auto"/>
              <w:right w:val="single" w:sz="6" w:space="0" w:color="auto"/>
            </w:tcBorders>
          </w:tcPr>
          <w:p w14:paraId="363C513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100,4</w:t>
            </w:r>
          </w:p>
          <w:p w14:paraId="43042EF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551984C7" w14:textId="77777777">
        <w:trPr>
          <w:trHeight w:val="278"/>
        </w:trPr>
        <w:tc>
          <w:tcPr>
            <w:tcW w:w="432" w:type="dxa"/>
            <w:tcBorders>
              <w:top w:val="single" w:sz="6" w:space="0" w:color="auto"/>
              <w:left w:val="single" w:sz="6" w:space="0" w:color="auto"/>
              <w:bottom w:val="single" w:sz="6" w:space="0" w:color="auto"/>
              <w:right w:val="single" w:sz="6" w:space="0" w:color="auto"/>
            </w:tcBorders>
          </w:tcPr>
          <w:p w14:paraId="55E7D90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w:t>
            </w:r>
          </w:p>
          <w:p w14:paraId="3A7EDB5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4" w:type="dxa"/>
            <w:tcBorders>
              <w:top w:val="single" w:sz="6" w:space="0" w:color="auto"/>
              <w:left w:val="single" w:sz="6" w:space="0" w:color="auto"/>
              <w:bottom w:val="single" w:sz="6" w:space="0" w:color="auto"/>
              <w:right w:val="single" w:sz="6" w:space="0" w:color="auto"/>
            </w:tcBorders>
          </w:tcPr>
          <w:p w14:paraId="2FB11F4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№174</w:t>
            </w:r>
          </w:p>
          <w:p w14:paraId="3909A0A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41646FB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Т-34</w:t>
            </w:r>
          </w:p>
          <w:p w14:paraId="451FC6C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6F18C82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155</w:t>
            </w:r>
          </w:p>
          <w:p w14:paraId="24C4866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2264A9E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155</w:t>
            </w:r>
          </w:p>
          <w:p w14:paraId="0AD7F61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single" w:sz="6" w:space="0" w:color="auto"/>
              <w:left w:val="single" w:sz="6" w:space="0" w:color="auto"/>
              <w:bottom w:val="single" w:sz="6" w:space="0" w:color="auto"/>
              <w:right w:val="single" w:sz="6" w:space="0" w:color="auto"/>
            </w:tcBorders>
          </w:tcPr>
          <w:p w14:paraId="1A098A8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100,0</w:t>
            </w:r>
          </w:p>
          <w:p w14:paraId="7B144EA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618835D3" w14:textId="77777777">
        <w:trPr>
          <w:trHeight w:val="278"/>
        </w:trPr>
        <w:tc>
          <w:tcPr>
            <w:tcW w:w="432" w:type="dxa"/>
            <w:tcBorders>
              <w:top w:val="single" w:sz="6" w:space="0" w:color="auto"/>
              <w:left w:val="single" w:sz="6" w:space="0" w:color="auto"/>
              <w:bottom w:val="single" w:sz="6" w:space="0" w:color="auto"/>
              <w:right w:val="single" w:sz="6" w:space="0" w:color="auto"/>
            </w:tcBorders>
          </w:tcPr>
          <w:p w14:paraId="4F079DB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3B0E2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4" w:type="dxa"/>
            <w:tcBorders>
              <w:top w:val="single" w:sz="6" w:space="0" w:color="auto"/>
              <w:left w:val="single" w:sz="6" w:space="0" w:color="auto"/>
              <w:bottom w:val="single" w:sz="6" w:space="0" w:color="auto"/>
              <w:right w:val="single" w:sz="6" w:space="0" w:color="auto"/>
            </w:tcBorders>
          </w:tcPr>
          <w:p w14:paraId="5E9B251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Итого танков</w:t>
            </w:r>
          </w:p>
          <w:p w14:paraId="00E9E5D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2823AC8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Т-34</w:t>
            </w:r>
          </w:p>
          <w:p w14:paraId="7B9E395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000BA25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1460</w:t>
            </w:r>
          </w:p>
          <w:p w14:paraId="595F443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36C8A15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1468</w:t>
            </w:r>
          </w:p>
          <w:p w14:paraId="49E23FE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single" w:sz="6" w:space="0" w:color="auto"/>
              <w:left w:val="single" w:sz="6" w:space="0" w:color="auto"/>
              <w:bottom w:val="single" w:sz="6" w:space="0" w:color="auto"/>
              <w:right w:val="single" w:sz="6" w:space="0" w:color="auto"/>
            </w:tcBorders>
          </w:tcPr>
          <w:p w14:paraId="07BB3F3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100,5</w:t>
            </w:r>
          </w:p>
          <w:p w14:paraId="3574EBD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734F0690" w14:textId="77777777">
        <w:trPr>
          <w:trHeight w:val="278"/>
        </w:trPr>
        <w:tc>
          <w:tcPr>
            <w:tcW w:w="432" w:type="dxa"/>
            <w:tcBorders>
              <w:top w:val="single" w:sz="6" w:space="0" w:color="auto"/>
              <w:left w:val="single" w:sz="6" w:space="0" w:color="auto"/>
              <w:bottom w:val="single" w:sz="6" w:space="0" w:color="auto"/>
              <w:right w:val="single" w:sz="6" w:space="0" w:color="auto"/>
            </w:tcBorders>
          </w:tcPr>
          <w:p w14:paraId="4185CBA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E1892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4" w:type="dxa"/>
            <w:tcBorders>
              <w:top w:val="single" w:sz="6" w:space="0" w:color="auto"/>
              <w:left w:val="single" w:sz="6" w:space="0" w:color="auto"/>
              <w:bottom w:val="single" w:sz="6" w:space="0" w:color="auto"/>
              <w:right w:val="single" w:sz="6" w:space="0" w:color="auto"/>
            </w:tcBorders>
          </w:tcPr>
          <w:p w14:paraId="1B57505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 танков</w:t>
            </w:r>
          </w:p>
          <w:p w14:paraId="7FB21C2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6EEE07D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B0761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58AF0AE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1535</w:t>
            </w:r>
          </w:p>
          <w:p w14:paraId="4E4107E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2FD8B1D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1543</w:t>
            </w:r>
          </w:p>
          <w:p w14:paraId="272B29D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single" w:sz="6" w:space="0" w:color="auto"/>
              <w:left w:val="single" w:sz="6" w:space="0" w:color="auto"/>
              <w:bottom w:val="single" w:sz="6" w:space="0" w:color="auto"/>
              <w:right w:val="single" w:sz="6" w:space="0" w:color="auto"/>
            </w:tcBorders>
          </w:tcPr>
          <w:p w14:paraId="3DF0374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100,5</w:t>
            </w:r>
          </w:p>
          <w:p w14:paraId="43857E6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16F162D4" w14:textId="77777777">
        <w:trPr>
          <w:trHeight w:val="278"/>
        </w:trPr>
        <w:tc>
          <w:tcPr>
            <w:tcW w:w="432" w:type="dxa"/>
            <w:tcBorders>
              <w:top w:val="single" w:sz="6" w:space="0" w:color="auto"/>
              <w:left w:val="single" w:sz="6" w:space="0" w:color="auto"/>
              <w:bottom w:val="single" w:sz="6" w:space="0" w:color="auto"/>
              <w:right w:val="single" w:sz="6" w:space="0" w:color="auto"/>
            </w:tcBorders>
          </w:tcPr>
          <w:p w14:paraId="39BBB7A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81468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4" w:type="dxa"/>
            <w:tcBorders>
              <w:top w:val="single" w:sz="6" w:space="0" w:color="auto"/>
              <w:left w:val="single" w:sz="6" w:space="0" w:color="auto"/>
              <w:bottom w:val="single" w:sz="6" w:space="0" w:color="auto"/>
              <w:right w:val="single" w:sz="6" w:space="0" w:color="auto"/>
            </w:tcBorders>
          </w:tcPr>
          <w:p w14:paraId="077B801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II. Бронеавтомобили</w:t>
            </w:r>
          </w:p>
          <w:p w14:paraId="27EE8EB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05E59C1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A2964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7C6C96F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CE81B6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1F71307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5E0A0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single" w:sz="6" w:space="0" w:color="auto"/>
              <w:left w:val="single" w:sz="6" w:space="0" w:color="auto"/>
              <w:bottom w:val="single" w:sz="6" w:space="0" w:color="auto"/>
              <w:right w:val="single" w:sz="6" w:space="0" w:color="auto"/>
            </w:tcBorders>
          </w:tcPr>
          <w:p w14:paraId="36B431A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E1652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6FB367BA" w14:textId="77777777">
        <w:trPr>
          <w:trHeight w:val="288"/>
        </w:trPr>
        <w:tc>
          <w:tcPr>
            <w:tcW w:w="432" w:type="dxa"/>
            <w:tcBorders>
              <w:top w:val="single" w:sz="6" w:space="0" w:color="auto"/>
              <w:left w:val="single" w:sz="6" w:space="0" w:color="auto"/>
              <w:bottom w:val="single" w:sz="6" w:space="0" w:color="auto"/>
              <w:right w:val="single" w:sz="6" w:space="0" w:color="auto"/>
            </w:tcBorders>
          </w:tcPr>
          <w:p w14:paraId="45692F9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p w14:paraId="6F528B4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4" w:type="dxa"/>
            <w:tcBorders>
              <w:top w:val="single" w:sz="6" w:space="0" w:color="auto"/>
              <w:left w:val="single" w:sz="6" w:space="0" w:color="auto"/>
              <w:bottom w:val="single" w:sz="6" w:space="0" w:color="auto"/>
              <w:right w:val="single" w:sz="6" w:space="0" w:color="auto"/>
            </w:tcBorders>
          </w:tcPr>
          <w:p w14:paraId="4CB5956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ГАЗ им. Молотова</w:t>
            </w:r>
          </w:p>
          <w:p w14:paraId="6D3096C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7C16649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БА-64</w:t>
            </w:r>
          </w:p>
          <w:p w14:paraId="021E6D3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6451C2C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300</w:t>
            </w:r>
          </w:p>
          <w:p w14:paraId="2FA9612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1000C30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150</w:t>
            </w:r>
          </w:p>
          <w:p w14:paraId="08469D5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single" w:sz="6" w:space="0" w:color="auto"/>
              <w:left w:val="single" w:sz="6" w:space="0" w:color="auto"/>
              <w:bottom w:val="single" w:sz="6" w:space="0" w:color="auto"/>
              <w:right w:val="single" w:sz="6" w:space="0" w:color="auto"/>
            </w:tcBorders>
          </w:tcPr>
          <w:p w14:paraId="180DE1A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50,0</w:t>
            </w:r>
          </w:p>
          <w:p w14:paraId="67958F9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09F47C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Командующий БТ и МВ КА генерал-полковник танковых войск Федоренко</w:t>
      </w:r>
    </w:p>
    <w:p w14:paraId="099164D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Член военного совета генерал-лейтенант танковых войск Бирюков</w:t>
      </w:r>
    </w:p>
    <w:p w14:paraId="29D6C49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38. Оп. 11355. Д. 2503. Л. 1. Копия (11403).</w:t>
      </w:r>
    </w:p>
    <w:p w14:paraId="2F40434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4F60ADC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января 1944 г. была подготовлена ДОКЛАДНАЯ ЗАПИСКА КОМАНДУЮЩЕГО БТ и МВ КА НАРОДНОМУ КОМИССАРУ ОБОРОНЫ СССР МАРШАЛУ СОВЕТСКОГО СОЮЗА И. В. СТАЛИНУ О ВЫПУСКЕ САМОХОДНЫХ АРТИЛЛЕРИЙСКИХ УСТАНОВОК</w:t>
      </w:r>
    </w:p>
    <w:p w14:paraId="4AF7F96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Докладываю о сдаче самоходных артиллерийских установок заводами Наркомата танковой про</w:t>
      </w:r>
      <w:r w:rsidRPr="007224C3">
        <w:rPr>
          <w:rFonts w:ascii="Times New Roman" w:hAnsi="Times New Roman"/>
          <w:color w:val="000000" w:themeColor="text1"/>
          <w:sz w:val="16"/>
          <w:szCs w:val="16"/>
        </w:rPr>
        <w:softHyphen/>
        <w:t>мышленности и Наркомата среднего машиностроения за декабрь месяц 1943 года.</w:t>
      </w:r>
    </w:p>
    <w:tbl>
      <w:tblPr>
        <w:tblW w:w="0" w:type="auto"/>
        <w:tblInd w:w="40" w:type="dxa"/>
        <w:tblLayout w:type="fixed"/>
        <w:tblCellMar>
          <w:left w:w="40" w:type="dxa"/>
          <w:right w:w="40" w:type="dxa"/>
        </w:tblCellMar>
        <w:tblLook w:val="0000" w:firstRow="0" w:lastRow="0" w:firstColumn="0" w:lastColumn="0" w:noHBand="0" w:noVBand="0"/>
      </w:tblPr>
      <w:tblGrid>
        <w:gridCol w:w="480"/>
        <w:gridCol w:w="2285"/>
        <w:gridCol w:w="960"/>
        <w:gridCol w:w="1325"/>
        <w:gridCol w:w="1622"/>
        <w:gridCol w:w="1632"/>
        <w:gridCol w:w="1286"/>
      </w:tblGrid>
      <w:tr w:rsidR="006331D6" w:rsidRPr="007224C3" w14:paraId="76ED2FCC" w14:textId="77777777">
        <w:trPr>
          <w:trHeight w:val="384"/>
        </w:trPr>
        <w:tc>
          <w:tcPr>
            <w:tcW w:w="480" w:type="dxa"/>
            <w:tcBorders>
              <w:top w:val="single" w:sz="6" w:space="0" w:color="auto"/>
              <w:left w:val="single" w:sz="6" w:space="0" w:color="auto"/>
              <w:bottom w:val="nil"/>
              <w:right w:val="single" w:sz="6" w:space="0" w:color="auto"/>
            </w:tcBorders>
          </w:tcPr>
          <w:p w14:paraId="2628725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п/п</w:t>
            </w:r>
          </w:p>
          <w:p w14:paraId="78B624E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85" w:type="dxa"/>
            <w:tcBorders>
              <w:top w:val="single" w:sz="6" w:space="0" w:color="auto"/>
              <w:left w:val="single" w:sz="6" w:space="0" w:color="auto"/>
              <w:bottom w:val="nil"/>
              <w:right w:val="single" w:sz="6" w:space="0" w:color="auto"/>
            </w:tcBorders>
          </w:tcPr>
          <w:p w14:paraId="7EB19FF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изготовитель</w:t>
            </w:r>
          </w:p>
          <w:p w14:paraId="7F525A2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nil"/>
              <w:right w:val="single" w:sz="6" w:space="0" w:color="auto"/>
            </w:tcBorders>
          </w:tcPr>
          <w:p w14:paraId="1558CC5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Тип СУ</w:t>
            </w:r>
          </w:p>
          <w:p w14:paraId="0AA4783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nil"/>
              <w:right w:val="single" w:sz="6" w:space="0" w:color="auto"/>
            </w:tcBorders>
          </w:tcPr>
          <w:p w14:paraId="62A5399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План на декабрь месяц</w:t>
            </w:r>
          </w:p>
          <w:p w14:paraId="77A00F2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254" w:type="dxa"/>
            <w:gridSpan w:val="2"/>
            <w:tcBorders>
              <w:top w:val="single" w:sz="6" w:space="0" w:color="auto"/>
              <w:left w:val="single" w:sz="6" w:space="0" w:color="auto"/>
              <w:bottom w:val="single" w:sz="6" w:space="0" w:color="auto"/>
              <w:right w:val="single" w:sz="6" w:space="0" w:color="auto"/>
            </w:tcBorders>
          </w:tcPr>
          <w:p w14:paraId="52714FA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Принято СУ военпредами ГБТУ КА за декабрь месяц 1943 г.</w:t>
            </w:r>
          </w:p>
          <w:p w14:paraId="600ADF9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nil"/>
              <w:right w:val="single" w:sz="6" w:space="0" w:color="auto"/>
            </w:tcBorders>
          </w:tcPr>
          <w:p w14:paraId="1C3076B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Примечание</w:t>
            </w:r>
          </w:p>
          <w:p w14:paraId="0A47935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474B5F1E" w14:textId="77777777">
        <w:trPr>
          <w:trHeight w:val="221"/>
        </w:trPr>
        <w:tc>
          <w:tcPr>
            <w:tcW w:w="480" w:type="dxa"/>
            <w:tcBorders>
              <w:top w:val="nil"/>
              <w:left w:val="single" w:sz="6" w:space="0" w:color="auto"/>
              <w:bottom w:val="single" w:sz="6" w:space="0" w:color="auto"/>
              <w:right w:val="single" w:sz="6" w:space="0" w:color="auto"/>
            </w:tcBorders>
          </w:tcPr>
          <w:p w14:paraId="044F9D3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7D4F4DC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2285" w:type="dxa"/>
            <w:tcBorders>
              <w:top w:val="nil"/>
              <w:left w:val="single" w:sz="6" w:space="0" w:color="auto"/>
              <w:bottom w:val="single" w:sz="6" w:space="0" w:color="auto"/>
              <w:right w:val="single" w:sz="6" w:space="0" w:color="auto"/>
            </w:tcBorders>
          </w:tcPr>
          <w:p w14:paraId="66679C5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2FE68A4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nil"/>
              <w:left w:val="single" w:sz="6" w:space="0" w:color="auto"/>
              <w:bottom w:val="single" w:sz="6" w:space="0" w:color="auto"/>
              <w:right w:val="single" w:sz="6" w:space="0" w:color="auto"/>
            </w:tcBorders>
          </w:tcPr>
          <w:p w14:paraId="3A54A91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5CE8315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nil"/>
              <w:left w:val="single" w:sz="6" w:space="0" w:color="auto"/>
              <w:bottom w:val="single" w:sz="6" w:space="0" w:color="auto"/>
              <w:right w:val="single" w:sz="6" w:space="0" w:color="auto"/>
            </w:tcBorders>
          </w:tcPr>
          <w:p w14:paraId="52B8FFB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1E35E82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15187C4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Количество</w:t>
            </w:r>
          </w:p>
          <w:p w14:paraId="6765AF8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32" w:type="dxa"/>
            <w:tcBorders>
              <w:top w:val="single" w:sz="6" w:space="0" w:color="auto"/>
              <w:left w:val="single" w:sz="6" w:space="0" w:color="auto"/>
              <w:bottom w:val="single" w:sz="6" w:space="0" w:color="auto"/>
              <w:right w:val="single" w:sz="6" w:space="0" w:color="auto"/>
            </w:tcBorders>
          </w:tcPr>
          <w:p w14:paraId="430AA24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к месячному плану</w:t>
            </w:r>
          </w:p>
          <w:p w14:paraId="0A017E4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nil"/>
              <w:left w:val="single" w:sz="6" w:space="0" w:color="auto"/>
              <w:bottom w:val="single" w:sz="6" w:space="0" w:color="auto"/>
              <w:right w:val="single" w:sz="6" w:space="0" w:color="auto"/>
            </w:tcBorders>
          </w:tcPr>
          <w:p w14:paraId="7655370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E2C5F2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6DF3D1FF"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318CD6B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p w14:paraId="03161C0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85" w:type="dxa"/>
            <w:tcBorders>
              <w:top w:val="single" w:sz="6" w:space="0" w:color="auto"/>
              <w:left w:val="single" w:sz="6" w:space="0" w:color="auto"/>
              <w:bottom w:val="single" w:sz="6" w:space="0" w:color="auto"/>
              <w:right w:val="single" w:sz="6" w:space="0" w:color="auto"/>
            </w:tcBorders>
          </w:tcPr>
          <w:p w14:paraId="023CE69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Кировский завод НКТП</w:t>
            </w:r>
          </w:p>
          <w:p w14:paraId="756730B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2C4784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ИС-152</w:t>
            </w:r>
          </w:p>
          <w:p w14:paraId="1646F69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3B6FAF1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w:t>
            </w:r>
          </w:p>
          <w:p w14:paraId="469BE45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659383D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w:t>
            </w:r>
          </w:p>
          <w:p w14:paraId="6734DB3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32" w:type="dxa"/>
            <w:tcBorders>
              <w:top w:val="single" w:sz="6" w:space="0" w:color="auto"/>
              <w:left w:val="single" w:sz="6" w:space="0" w:color="auto"/>
              <w:bottom w:val="single" w:sz="6" w:space="0" w:color="auto"/>
              <w:right w:val="single" w:sz="6" w:space="0" w:color="auto"/>
            </w:tcBorders>
          </w:tcPr>
          <w:p w14:paraId="71C9C0B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w:t>
            </w:r>
          </w:p>
          <w:p w14:paraId="63F3051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nil"/>
              <w:right w:val="single" w:sz="6" w:space="0" w:color="auto"/>
            </w:tcBorders>
          </w:tcPr>
          <w:p w14:paraId="7D184B9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Кроме того, Кировским заводом сдано 4 СУ-1 52</w:t>
            </w:r>
          </w:p>
          <w:p w14:paraId="28194EE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4E8E237B"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3DCC0FA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p w14:paraId="588283B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85" w:type="dxa"/>
            <w:tcBorders>
              <w:top w:val="single" w:sz="6" w:space="0" w:color="auto"/>
              <w:left w:val="single" w:sz="6" w:space="0" w:color="auto"/>
              <w:bottom w:val="single" w:sz="6" w:space="0" w:color="auto"/>
              <w:right w:val="single" w:sz="6" w:space="0" w:color="auto"/>
            </w:tcBorders>
          </w:tcPr>
          <w:p w14:paraId="2203E6D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Уралмашзавод НКТП</w:t>
            </w:r>
          </w:p>
          <w:p w14:paraId="0ABB740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545F645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СУ-85</w:t>
            </w:r>
          </w:p>
          <w:p w14:paraId="6A9A67F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4092D48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175</w:t>
            </w:r>
          </w:p>
          <w:p w14:paraId="5BEF430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04EB98E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176</w:t>
            </w:r>
          </w:p>
          <w:p w14:paraId="5D546C5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32" w:type="dxa"/>
            <w:tcBorders>
              <w:top w:val="single" w:sz="6" w:space="0" w:color="auto"/>
              <w:left w:val="single" w:sz="6" w:space="0" w:color="auto"/>
              <w:bottom w:val="single" w:sz="6" w:space="0" w:color="auto"/>
              <w:right w:val="single" w:sz="6" w:space="0" w:color="auto"/>
            </w:tcBorders>
          </w:tcPr>
          <w:p w14:paraId="0ACE255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100,5</w:t>
            </w:r>
          </w:p>
          <w:p w14:paraId="217A861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nil"/>
              <w:left w:val="single" w:sz="6" w:space="0" w:color="auto"/>
              <w:bottom w:val="nil"/>
              <w:right w:val="single" w:sz="6" w:space="0" w:color="auto"/>
            </w:tcBorders>
          </w:tcPr>
          <w:p w14:paraId="74770F3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690DD8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652A0B52"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3DF4176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p w14:paraId="5833801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85" w:type="dxa"/>
            <w:tcBorders>
              <w:top w:val="single" w:sz="6" w:space="0" w:color="auto"/>
              <w:left w:val="single" w:sz="6" w:space="0" w:color="auto"/>
              <w:bottom w:val="single" w:sz="6" w:space="0" w:color="auto"/>
              <w:right w:val="single" w:sz="6" w:space="0" w:color="auto"/>
            </w:tcBorders>
          </w:tcPr>
          <w:p w14:paraId="4AC60E3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№38 НКТП</w:t>
            </w:r>
          </w:p>
          <w:p w14:paraId="2B1BD9E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68333C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СУ-76</w:t>
            </w:r>
          </w:p>
          <w:p w14:paraId="52674B3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5FBD4D9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135</w:t>
            </w:r>
          </w:p>
          <w:p w14:paraId="7C56F7D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2F6FE13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136</w:t>
            </w:r>
          </w:p>
          <w:p w14:paraId="721F74E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32" w:type="dxa"/>
            <w:tcBorders>
              <w:top w:val="single" w:sz="6" w:space="0" w:color="auto"/>
              <w:left w:val="single" w:sz="6" w:space="0" w:color="auto"/>
              <w:bottom w:val="single" w:sz="6" w:space="0" w:color="auto"/>
              <w:right w:val="single" w:sz="6" w:space="0" w:color="auto"/>
            </w:tcBorders>
          </w:tcPr>
          <w:p w14:paraId="3BD4F38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100,7</w:t>
            </w:r>
          </w:p>
          <w:p w14:paraId="738E3BD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nil"/>
              <w:left w:val="single" w:sz="6" w:space="0" w:color="auto"/>
              <w:bottom w:val="nil"/>
              <w:right w:val="single" w:sz="6" w:space="0" w:color="auto"/>
            </w:tcBorders>
          </w:tcPr>
          <w:p w14:paraId="329B2FE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68987C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15BCBD9C"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19012D9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w:t>
            </w:r>
          </w:p>
          <w:p w14:paraId="5D3DF94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85" w:type="dxa"/>
            <w:tcBorders>
              <w:top w:val="single" w:sz="6" w:space="0" w:color="auto"/>
              <w:left w:val="single" w:sz="6" w:space="0" w:color="auto"/>
              <w:bottom w:val="single" w:sz="6" w:space="0" w:color="auto"/>
              <w:right w:val="single" w:sz="6" w:space="0" w:color="auto"/>
            </w:tcBorders>
          </w:tcPr>
          <w:p w14:paraId="2D90FE5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№40 НКСМ</w:t>
            </w:r>
          </w:p>
          <w:p w14:paraId="2E796E5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038B2F0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97686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048CD08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w:t>
            </w:r>
          </w:p>
          <w:p w14:paraId="2928526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0AED722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70</w:t>
            </w:r>
          </w:p>
          <w:p w14:paraId="524172B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32" w:type="dxa"/>
            <w:tcBorders>
              <w:top w:val="single" w:sz="6" w:space="0" w:color="auto"/>
              <w:left w:val="single" w:sz="6" w:space="0" w:color="auto"/>
              <w:bottom w:val="single" w:sz="6" w:space="0" w:color="auto"/>
              <w:right w:val="single" w:sz="6" w:space="0" w:color="auto"/>
            </w:tcBorders>
          </w:tcPr>
          <w:p w14:paraId="33DA14C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70</w:t>
            </w:r>
          </w:p>
          <w:p w14:paraId="505B97F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nil"/>
              <w:left w:val="single" w:sz="6" w:space="0" w:color="auto"/>
              <w:bottom w:val="nil"/>
              <w:right w:val="single" w:sz="6" w:space="0" w:color="auto"/>
            </w:tcBorders>
          </w:tcPr>
          <w:p w14:paraId="64E0D23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EE584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02CBAFCF"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04C2D72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p w14:paraId="41C49F9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85" w:type="dxa"/>
            <w:tcBorders>
              <w:top w:val="single" w:sz="6" w:space="0" w:color="auto"/>
              <w:left w:val="single" w:sz="6" w:space="0" w:color="auto"/>
              <w:bottom w:val="single" w:sz="6" w:space="0" w:color="auto"/>
              <w:right w:val="single" w:sz="6" w:space="0" w:color="auto"/>
            </w:tcBorders>
          </w:tcPr>
          <w:p w14:paraId="2F2BA5C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ГАЗ им. Молотова НКСМ</w:t>
            </w:r>
          </w:p>
          <w:p w14:paraId="388353B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212EF1C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СУ-76</w:t>
            </w:r>
          </w:p>
          <w:p w14:paraId="20FDA9B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3E64D68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330</w:t>
            </w:r>
          </w:p>
          <w:p w14:paraId="3D87CFD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1E3D452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360</w:t>
            </w:r>
          </w:p>
          <w:p w14:paraId="2F93693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32" w:type="dxa"/>
            <w:tcBorders>
              <w:top w:val="single" w:sz="6" w:space="0" w:color="auto"/>
              <w:left w:val="single" w:sz="6" w:space="0" w:color="auto"/>
              <w:bottom w:val="single" w:sz="6" w:space="0" w:color="auto"/>
              <w:right w:val="single" w:sz="6" w:space="0" w:color="auto"/>
            </w:tcBorders>
          </w:tcPr>
          <w:p w14:paraId="4537968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109,1</w:t>
            </w:r>
          </w:p>
          <w:p w14:paraId="009794F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nil"/>
              <w:left w:val="single" w:sz="6" w:space="0" w:color="auto"/>
              <w:bottom w:val="nil"/>
              <w:right w:val="single" w:sz="6" w:space="0" w:color="auto"/>
            </w:tcBorders>
          </w:tcPr>
          <w:p w14:paraId="52397C6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6549C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17E69B00" w14:textId="77777777">
        <w:trPr>
          <w:trHeight w:val="250"/>
        </w:trPr>
        <w:tc>
          <w:tcPr>
            <w:tcW w:w="480" w:type="dxa"/>
            <w:tcBorders>
              <w:top w:val="single" w:sz="6" w:space="0" w:color="auto"/>
              <w:left w:val="single" w:sz="6" w:space="0" w:color="auto"/>
              <w:bottom w:val="single" w:sz="6" w:space="0" w:color="auto"/>
              <w:right w:val="single" w:sz="6" w:space="0" w:color="auto"/>
            </w:tcBorders>
          </w:tcPr>
          <w:p w14:paraId="5B24563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C0D624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245" w:type="dxa"/>
            <w:gridSpan w:val="2"/>
            <w:tcBorders>
              <w:top w:val="single" w:sz="6" w:space="0" w:color="auto"/>
              <w:left w:val="single" w:sz="6" w:space="0" w:color="auto"/>
              <w:bottom w:val="single" w:sz="6" w:space="0" w:color="auto"/>
              <w:right w:val="single" w:sz="6" w:space="0" w:color="auto"/>
            </w:tcBorders>
          </w:tcPr>
          <w:p w14:paraId="48804D9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 СУ</w:t>
            </w:r>
          </w:p>
          <w:p w14:paraId="7D2D166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45C1865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770</w:t>
            </w:r>
          </w:p>
          <w:p w14:paraId="2C4BD3D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740A618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772</w:t>
            </w:r>
          </w:p>
          <w:p w14:paraId="4D4B648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32" w:type="dxa"/>
            <w:tcBorders>
              <w:top w:val="single" w:sz="6" w:space="0" w:color="auto"/>
              <w:left w:val="single" w:sz="6" w:space="0" w:color="auto"/>
              <w:bottom w:val="single" w:sz="6" w:space="0" w:color="auto"/>
              <w:right w:val="single" w:sz="6" w:space="0" w:color="auto"/>
            </w:tcBorders>
          </w:tcPr>
          <w:p w14:paraId="605BB68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100,2</w:t>
            </w:r>
          </w:p>
          <w:p w14:paraId="39772B9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nil"/>
              <w:left w:val="single" w:sz="6" w:space="0" w:color="auto"/>
              <w:bottom w:val="single" w:sz="6" w:space="0" w:color="auto"/>
              <w:right w:val="single" w:sz="6" w:space="0" w:color="auto"/>
            </w:tcBorders>
          </w:tcPr>
          <w:p w14:paraId="2BCF4C8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B8356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04D500E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Основными причинами невыполнения плана по выпуску СУ заводом №40 НКСМ являются:</w:t>
      </w:r>
    </w:p>
    <w:p w14:paraId="7A9076B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большой процент брака при изготовлении бортовых и главных передач, осей балансиров, осей катков балансиров, торсионов, поддерживающих опорных катков и др. агрегатов и деталей вслед</w:t>
      </w:r>
      <w:r w:rsidRPr="007224C3">
        <w:rPr>
          <w:rFonts w:ascii="Times New Roman" w:hAnsi="Times New Roman"/>
          <w:color w:val="000000" w:themeColor="text1"/>
          <w:sz w:val="16"/>
          <w:szCs w:val="16"/>
        </w:rPr>
        <w:softHyphen/>
        <w:t>ствие низкой технологической дисциплины заготовительных цехов и особенно термического цеха;</w:t>
      </w:r>
    </w:p>
    <w:p w14:paraId="1326E0F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несвоевременная поставка моторов заводом ГАЗ им. Молотова.</w:t>
      </w:r>
    </w:p>
    <w:p w14:paraId="559103B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Командующий БТ и МВ КА генерал-полковник танковых войск Федоренко</w:t>
      </w:r>
    </w:p>
    <w:p w14:paraId="3748BF8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Член военного совета генерал-лейтенант танковых войск Бирюков</w:t>
      </w:r>
    </w:p>
    <w:p w14:paraId="7CE95AE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38. Оп. 11369. Д. 403. Л. 1-2. Копия (11403).</w:t>
      </w:r>
    </w:p>
    <w:p w14:paraId="1F51A2E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6C452CA" w14:textId="77777777" w:rsidR="00A955A3" w:rsidRPr="007224C3" w:rsidRDefault="00A955A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 января 1944 начались испытания опытного об</w:t>
      </w:r>
      <w:r w:rsidRPr="007224C3">
        <w:rPr>
          <w:rFonts w:ascii="Times New Roman" w:hAnsi="Times New Roman"/>
          <w:color w:val="0070C0"/>
          <w:sz w:val="16"/>
          <w:szCs w:val="16"/>
        </w:rPr>
        <w:softHyphen/>
        <w:t>разца компактной 76-мм самоходной артиллерий</w:t>
      </w:r>
      <w:r w:rsidRPr="007224C3">
        <w:rPr>
          <w:rFonts w:ascii="Times New Roman" w:hAnsi="Times New Roman"/>
          <w:color w:val="0070C0"/>
          <w:sz w:val="16"/>
          <w:szCs w:val="16"/>
        </w:rPr>
        <w:softHyphen/>
        <w:t>ской установки СУ-76БМ с двумя двигателями мощ</w:t>
      </w:r>
      <w:r w:rsidRPr="007224C3">
        <w:rPr>
          <w:rFonts w:ascii="Times New Roman" w:hAnsi="Times New Roman"/>
          <w:color w:val="0070C0"/>
          <w:sz w:val="16"/>
          <w:szCs w:val="16"/>
        </w:rPr>
        <w:softHyphen/>
        <w:t>ностью 100 л.с. и пушкой С-54.</w:t>
      </w:r>
    </w:p>
    <w:p w14:paraId="34A8D691" w14:textId="77777777" w:rsidR="00A955A3" w:rsidRPr="007224C3" w:rsidRDefault="00A955A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Полигонные испытания проводились по програм</w:t>
      </w:r>
      <w:r w:rsidRPr="007224C3">
        <w:rPr>
          <w:rFonts w:ascii="Times New Roman" w:hAnsi="Times New Roman"/>
          <w:color w:val="0070C0"/>
          <w:sz w:val="16"/>
          <w:szCs w:val="16"/>
        </w:rPr>
        <w:softHyphen/>
        <w:t>ме Главного бронетанкового управления и Главного артиллерийского управления Красной армии. Ходо</w:t>
      </w:r>
      <w:r w:rsidRPr="007224C3">
        <w:rPr>
          <w:rFonts w:ascii="Times New Roman" w:hAnsi="Times New Roman"/>
          <w:color w:val="0070C0"/>
          <w:sz w:val="16"/>
          <w:szCs w:val="16"/>
        </w:rPr>
        <w:softHyphen/>
        <w:t>вые- на Кубинском НИБТ полигоне ГБТУ КА, стрель</w:t>
      </w:r>
      <w:r w:rsidRPr="007224C3">
        <w:rPr>
          <w:rFonts w:ascii="Times New Roman" w:hAnsi="Times New Roman"/>
          <w:color w:val="0070C0"/>
          <w:sz w:val="16"/>
          <w:szCs w:val="16"/>
        </w:rPr>
        <w:softHyphen/>
        <w:t>ба - на Гороховецком АНИОПе. Испытания проводились до 15 января. Представите</w:t>
      </w:r>
      <w:r w:rsidRPr="007224C3">
        <w:rPr>
          <w:rFonts w:ascii="Times New Roman" w:hAnsi="Times New Roman"/>
          <w:color w:val="0070C0"/>
          <w:sz w:val="16"/>
          <w:szCs w:val="16"/>
        </w:rPr>
        <w:softHyphen/>
        <w:t>лем института на испытаниях был старший инженер Сазонов. Пред</w:t>
      </w:r>
      <w:r w:rsidRPr="007224C3">
        <w:rPr>
          <w:rFonts w:ascii="Times New Roman" w:hAnsi="Times New Roman"/>
          <w:color w:val="0070C0"/>
          <w:sz w:val="16"/>
          <w:szCs w:val="16"/>
        </w:rPr>
        <w:softHyphen/>
        <w:t>седатель комиссии должен был ежедневно представлять началь</w:t>
      </w:r>
      <w:r w:rsidRPr="007224C3">
        <w:rPr>
          <w:rFonts w:ascii="Times New Roman" w:hAnsi="Times New Roman"/>
          <w:color w:val="0070C0"/>
          <w:sz w:val="16"/>
          <w:szCs w:val="16"/>
        </w:rPr>
        <w:softHyphen/>
        <w:t>нику управления самоходной ар</w:t>
      </w:r>
      <w:r w:rsidRPr="007224C3">
        <w:rPr>
          <w:rFonts w:ascii="Times New Roman" w:hAnsi="Times New Roman"/>
          <w:color w:val="0070C0"/>
          <w:sz w:val="16"/>
          <w:szCs w:val="16"/>
        </w:rPr>
        <w:softHyphen/>
        <w:t>тиллерией ГБТУ КА сводку о ходе испытаний.</w:t>
      </w:r>
    </w:p>
    <w:p w14:paraId="4C3C4195" w14:textId="77777777" w:rsidR="00A955A3" w:rsidRPr="007224C3" w:rsidRDefault="00A955A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Самоходная пушка прошла ис</w:t>
      </w:r>
      <w:r w:rsidRPr="007224C3">
        <w:rPr>
          <w:rFonts w:ascii="Times New Roman" w:hAnsi="Times New Roman"/>
          <w:color w:val="0070C0"/>
          <w:sz w:val="16"/>
          <w:szCs w:val="16"/>
        </w:rPr>
        <w:softHyphen/>
        <w:t>пытания пробегом в 200 км. Затем самоходка была передана для под</w:t>
      </w:r>
      <w:r w:rsidRPr="007224C3">
        <w:rPr>
          <w:rFonts w:ascii="Times New Roman" w:hAnsi="Times New Roman"/>
          <w:color w:val="0070C0"/>
          <w:sz w:val="16"/>
          <w:szCs w:val="16"/>
        </w:rPr>
        <w:softHyphen/>
        <w:t>готовки производства в г. Котлас.</w:t>
      </w:r>
    </w:p>
    <w:p w14:paraId="3EACC0DA" w14:textId="77777777" w:rsidR="00A955A3" w:rsidRPr="007224C3" w:rsidRDefault="00A955A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Однако заводские испытания опытных образцов выявили корен</w:t>
      </w:r>
      <w:r w:rsidRPr="007224C3">
        <w:rPr>
          <w:rFonts w:ascii="Times New Roman" w:hAnsi="Times New Roman"/>
          <w:color w:val="0070C0"/>
          <w:sz w:val="16"/>
          <w:szCs w:val="16"/>
        </w:rPr>
        <w:softHyphen/>
        <w:t>ной дефект: систематическое раз</w:t>
      </w:r>
      <w:r w:rsidRPr="007224C3">
        <w:rPr>
          <w:rFonts w:ascii="Times New Roman" w:hAnsi="Times New Roman"/>
          <w:color w:val="0070C0"/>
          <w:sz w:val="16"/>
          <w:szCs w:val="16"/>
        </w:rPr>
        <w:softHyphen/>
        <w:t>рушение коробок передач после 100-200 км пробега. Подготовка производства самоходной уста</w:t>
      </w:r>
      <w:r w:rsidRPr="007224C3">
        <w:rPr>
          <w:rFonts w:ascii="Times New Roman" w:hAnsi="Times New Roman"/>
          <w:color w:val="0070C0"/>
          <w:sz w:val="16"/>
          <w:szCs w:val="16"/>
        </w:rPr>
        <w:softHyphen/>
        <w:t>новки была прекращена (22518).</w:t>
      </w:r>
    </w:p>
    <w:p w14:paraId="046F4F3B" w14:textId="77777777" w:rsidR="00A955A3" w:rsidRPr="007224C3" w:rsidRDefault="00A955A3" w:rsidP="007224C3">
      <w:pPr>
        <w:spacing w:after="0" w:line="240" w:lineRule="auto"/>
        <w:jc w:val="both"/>
        <w:rPr>
          <w:rFonts w:ascii="Times New Roman" w:hAnsi="Times New Roman"/>
          <w:color w:val="0070C0"/>
          <w:sz w:val="16"/>
          <w:szCs w:val="16"/>
        </w:rPr>
      </w:pPr>
    </w:p>
    <w:p w14:paraId="19E3D808" w14:textId="77777777" w:rsidR="0059774D" w:rsidRPr="007224C3" w:rsidRDefault="0059774D" w:rsidP="007224C3">
      <w:pPr>
        <w:pStyle w:val="ae"/>
        <w:shd w:val="clear" w:color="auto" w:fill="FFFFFF"/>
        <w:spacing w:before="0" w:after="0"/>
        <w:jc w:val="both"/>
        <w:textAlignment w:val="baseline"/>
        <w:rPr>
          <w:color w:val="000000" w:themeColor="text1"/>
          <w:sz w:val="16"/>
          <w:szCs w:val="16"/>
        </w:rPr>
      </w:pPr>
      <w:r w:rsidRPr="007224C3">
        <w:rPr>
          <w:color w:val="000000" w:themeColor="text1"/>
          <w:sz w:val="16"/>
          <w:szCs w:val="16"/>
        </w:rPr>
        <w:t>2 января 1944 года в завпромотделом Краснодарского крайкома ВКП(б) пришла пояснительная записка. Писал бригадир ремонтных работ Бойко Михаил Васильевич, г. Сочи, эвакуационный госпиталь №2434. Для понимания всей эпичности этой работы приводим текст без купюр:</w:t>
      </w:r>
    </w:p>
    <w:p w14:paraId="54E36965" w14:textId="77777777" w:rsidR="0059774D" w:rsidRPr="007224C3" w:rsidRDefault="0059774D" w:rsidP="007224C3">
      <w:pPr>
        <w:pStyle w:val="ae"/>
        <w:shd w:val="clear" w:color="auto" w:fill="FFFFFF"/>
        <w:spacing w:before="0" w:after="0"/>
        <w:jc w:val="both"/>
        <w:textAlignment w:val="baseline"/>
        <w:rPr>
          <w:iCs/>
          <w:color w:val="000000" w:themeColor="text1"/>
          <w:sz w:val="16"/>
          <w:szCs w:val="16"/>
        </w:rPr>
      </w:pPr>
      <w:r w:rsidRPr="007224C3">
        <w:rPr>
          <w:iCs/>
          <w:color w:val="000000" w:themeColor="text1"/>
          <w:sz w:val="16"/>
          <w:szCs w:val="16"/>
          <w:bdr w:val="none" w:sz="0" w:space="0" w:color="auto" w:frame="1"/>
        </w:rPr>
        <w:t>«Довожу до Вашего сведения о том, что я в течение с 1939 года по настоящее время работаю над изобретением новых конструкций Военного значения.</w:t>
      </w:r>
    </w:p>
    <w:p w14:paraId="334F3443" w14:textId="77777777" w:rsidR="0059774D" w:rsidRPr="007224C3" w:rsidRDefault="0059774D" w:rsidP="007224C3">
      <w:pPr>
        <w:pStyle w:val="ae"/>
        <w:shd w:val="clear" w:color="auto" w:fill="FFFFFF"/>
        <w:spacing w:before="0" w:after="0"/>
        <w:jc w:val="both"/>
        <w:textAlignment w:val="baseline"/>
        <w:rPr>
          <w:iCs/>
          <w:color w:val="000000" w:themeColor="text1"/>
          <w:sz w:val="16"/>
          <w:szCs w:val="16"/>
        </w:rPr>
      </w:pPr>
      <w:r w:rsidRPr="007224C3">
        <w:rPr>
          <w:iCs/>
          <w:color w:val="000000" w:themeColor="text1"/>
          <w:sz w:val="16"/>
          <w:szCs w:val="16"/>
          <w:bdr w:val="none" w:sz="0" w:space="0" w:color="auto" w:frame="1"/>
        </w:rPr>
        <w:t>а) (тип танка) Наземный Бронеогненосец «АН» (броненепроницаемая облицовка, броневая чешуя, системы компрессорных магазиных поршнево-пружиных устройств), при броневой чешуи подвижной, при наличии изоляционного материала, при специальной изоляционной камерной облицовки «АН» отбрасывает от себя снаряды с разрывом до 860 кгр. и является огнебронециемыми. «АН» устроен на 3-х гусеничной тяге, причем все стороны гусеницы — разбирают отдельно при надобности повернуть и от рельефно условно местности.</w:t>
      </w:r>
    </w:p>
    <w:p w14:paraId="0094CFC0" w14:textId="77777777" w:rsidR="0059774D" w:rsidRPr="007224C3" w:rsidRDefault="0059774D" w:rsidP="007224C3">
      <w:pPr>
        <w:pStyle w:val="ae"/>
        <w:shd w:val="clear" w:color="auto" w:fill="FFFFFF"/>
        <w:spacing w:before="0" w:after="0"/>
        <w:jc w:val="both"/>
        <w:textAlignment w:val="baseline"/>
        <w:rPr>
          <w:iCs/>
          <w:color w:val="000000" w:themeColor="text1"/>
          <w:sz w:val="16"/>
          <w:szCs w:val="16"/>
        </w:rPr>
      </w:pPr>
      <w:r w:rsidRPr="007224C3">
        <w:rPr>
          <w:iCs/>
          <w:color w:val="000000" w:themeColor="text1"/>
          <w:sz w:val="16"/>
          <w:szCs w:val="16"/>
          <w:bdr w:val="none" w:sz="0" w:space="0" w:color="auto" w:frame="1"/>
        </w:rPr>
        <w:t>«АН» улавливает снаряды миноуловительной компрессорно-пневматической электро-сеткой. Взрывающееся минное поле (не принося себе ущерб) благодаря атмосферному пневматическому сопротивлению своей конструкции броненепроницаемой сетки и броневой чешуи:</w:t>
      </w:r>
    </w:p>
    <w:p w14:paraId="67F2B152" w14:textId="77777777" w:rsidR="0059774D" w:rsidRPr="007224C3" w:rsidRDefault="0059774D" w:rsidP="007224C3">
      <w:pPr>
        <w:pStyle w:val="ae"/>
        <w:shd w:val="clear" w:color="auto" w:fill="FFFFFF"/>
        <w:spacing w:before="0" w:after="0"/>
        <w:jc w:val="both"/>
        <w:textAlignment w:val="baseline"/>
        <w:rPr>
          <w:iCs/>
          <w:color w:val="000000" w:themeColor="text1"/>
          <w:sz w:val="16"/>
          <w:szCs w:val="16"/>
        </w:rPr>
      </w:pPr>
      <w:r w:rsidRPr="007224C3">
        <w:rPr>
          <w:iCs/>
          <w:color w:val="000000" w:themeColor="text1"/>
          <w:sz w:val="16"/>
          <w:szCs w:val="16"/>
          <w:bdr w:val="none" w:sz="0" w:space="0" w:color="auto" w:frame="1"/>
        </w:rPr>
        <w:t>«АН» снарядом 3-мя носорогами системы М.В.Б. благодаря компессорной пневматической пружиной — цилиндровых поршней каждый носорог расчетом на сопротивление может до тоннах всего 24 тонны — сопротивления.</w:t>
      </w:r>
    </w:p>
    <w:p w14:paraId="648975F2" w14:textId="77777777" w:rsidR="0059774D" w:rsidRPr="007224C3" w:rsidRDefault="0059774D" w:rsidP="007224C3">
      <w:pPr>
        <w:pStyle w:val="ae"/>
        <w:shd w:val="clear" w:color="auto" w:fill="FFFFFF"/>
        <w:spacing w:before="0" w:after="0"/>
        <w:jc w:val="both"/>
        <w:textAlignment w:val="baseline"/>
        <w:rPr>
          <w:iCs/>
          <w:color w:val="000000" w:themeColor="text1"/>
          <w:sz w:val="16"/>
          <w:szCs w:val="16"/>
        </w:rPr>
      </w:pPr>
      <w:r w:rsidRPr="007224C3">
        <w:rPr>
          <w:iCs/>
          <w:color w:val="000000" w:themeColor="text1"/>
          <w:sz w:val="16"/>
          <w:szCs w:val="16"/>
          <w:bdr w:val="none" w:sz="0" w:space="0" w:color="auto" w:frame="1"/>
        </w:rPr>
        <w:t>«АН» вооружен — 24 распределительными бронебойными огнеметами фугасного жидкого огня, 2-мя дальнобойными стволами — бронебоевыми огнеметами фугасного жидкого огня. 10 бронебойных огнеметов в боковых нишах «АН» снарядам с 4-мя башнями, в которых помещается до 2-х башен 4-6 тн ствольных торпедометров, 2-х башен 4-6 тн ствольных минометов, 2 гнезда зенитных пулеметов, 8 пулеметных гнезд, 2 гнезда противотанкового огня. Всего 96 огневых точек.</w:t>
      </w:r>
    </w:p>
    <w:p w14:paraId="087EC472" w14:textId="77777777" w:rsidR="0059774D" w:rsidRPr="007224C3" w:rsidRDefault="0059774D" w:rsidP="007224C3">
      <w:pPr>
        <w:pStyle w:val="ae"/>
        <w:shd w:val="clear" w:color="auto" w:fill="FFFFFF"/>
        <w:spacing w:before="0" w:after="0"/>
        <w:jc w:val="both"/>
        <w:textAlignment w:val="baseline"/>
        <w:rPr>
          <w:iCs/>
          <w:color w:val="000000" w:themeColor="text1"/>
          <w:sz w:val="16"/>
          <w:szCs w:val="16"/>
        </w:rPr>
      </w:pPr>
      <w:r w:rsidRPr="007224C3">
        <w:rPr>
          <w:iCs/>
          <w:color w:val="000000" w:themeColor="text1"/>
          <w:sz w:val="16"/>
          <w:szCs w:val="16"/>
          <w:bdr w:val="none" w:sz="0" w:space="0" w:color="auto" w:frame="1"/>
        </w:rPr>
        <w:t>«АН» имеет специальные камеры огнеприпасов, «АН» не боится зенитных снарядов, бутылок с горючей жидкостью.</w:t>
      </w:r>
    </w:p>
    <w:p w14:paraId="024302BD" w14:textId="77777777" w:rsidR="0059774D" w:rsidRPr="007224C3" w:rsidRDefault="0059774D" w:rsidP="007224C3">
      <w:pPr>
        <w:pStyle w:val="ae"/>
        <w:shd w:val="clear" w:color="auto" w:fill="FFFFFF"/>
        <w:spacing w:before="0" w:after="0"/>
        <w:jc w:val="both"/>
        <w:textAlignment w:val="baseline"/>
        <w:rPr>
          <w:iCs/>
          <w:color w:val="000000" w:themeColor="text1"/>
          <w:sz w:val="16"/>
          <w:szCs w:val="16"/>
        </w:rPr>
      </w:pPr>
      <w:r w:rsidRPr="007224C3">
        <w:rPr>
          <w:iCs/>
          <w:color w:val="000000" w:themeColor="text1"/>
          <w:sz w:val="16"/>
          <w:szCs w:val="16"/>
          <w:bdr w:val="none" w:sz="0" w:space="0" w:color="auto" w:frame="1"/>
        </w:rPr>
        <w:t>«АН» снаряжен специальными зеркальными увеличительным иллюминаторами с объективами «Цейс», они являются, благодаря системы «БКР», броненепроницаемыми.</w:t>
      </w:r>
    </w:p>
    <w:p w14:paraId="5FCCBE69" w14:textId="77777777" w:rsidR="0059774D" w:rsidRPr="007224C3" w:rsidRDefault="0059774D" w:rsidP="007224C3">
      <w:pPr>
        <w:pStyle w:val="ae"/>
        <w:shd w:val="clear" w:color="auto" w:fill="FFFFFF"/>
        <w:spacing w:before="0" w:after="0"/>
        <w:jc w:val="both"/>
        <w:textAlignment w:val="baseline"/>
        <w:rPr>
          <w:iCs/>
          <w:color w:val="000000" w:themeColor="text1"/>
          <w:sz w:val="16"/>
          <w:szCs w:val="16"/>
        </w:rPr>
      </w:pPr>
      <w:r w:rsidRPr="007224C3">
        <w:rPr>
          <w:iCs/>
          <w:color w:val="000000" w:themeColor="text1"/>
          <w:sz w:val="16"/>
          <w:szCs w:val="16"/>
          <w:bdr w:val="none" w:sz="0" w:space="0" w:color="auto" w:frame="1"/>
        </w:rPr>
        <w:t>«АН» при своем движении действует, помимо своего огня — облицовки, психическое значение: морально парализует неприятеля, как живую силу, так и вооружение, ибо «АН» не боится огноевых препятствий и при своем движении является огневым «смерчем».</w:t>
      </w:r>
    </w:p>
    <w:p w14:paraId="4CB1B35D" w14:textId="77777777" w:rsidR="0059774D" w:rsidRPr="007224C3" w:rsidRDefault="0059774D" w:rsidP="007224C3">
      <w:pPr>
        <w:pStyle w:val="ae"/>
        <w:shd w:val="clear" w:color="auto" w:fill="FFFFFF"/>
        <w:spacing w:before="0" w:after="0"/>
        <w:jc w:val="both"/>
        <w:textAlignment w:val="baseline"/>
        <w:rPr>
          <w:iCs/>
          <w:color w:val="000000" w:themeColor="text1"/>
          <w:sz w:val="16"/>
          <w:szCs w:val="16"/>
        </w:rPr>
      </w:pPr>
      <w:r w:rsidRPr="007224C3">
        <w:rPr>
          <w:iCs/>
          <w:color w:val="000000" w:themeColor="text1"/>
          <w:sz w:val="16"/>
          <w:szCs w:val="16"/>
          <w:bdr w:val="none" w:sz="0" w:space="0" w:color="auto" w:frame="1"/>
        </w:rPr>
        <w:lastRenderedPageBreak/>
        <w:t>«АН» не боится преград, мин и других препятствий. «АН» сжигает живое и мертвое своим фугасным огнем с бронебоевой жидкостью «S.F.L. «АН» всегда также готов на случай химической войны».</w:t>
      </w:r>
    </w:p>
    <w:p w14:paraId="583AD2DF" w14:textId="77777777" w:rsidR="0059774D" w:rsidRPr="007224C3" w:rsidRDefault="0059774D" w:rsidP="007224C3">
      <w:pPr>
        <w:pStyle w:val="ae"/>
        <w:shd w:val="clear" w:color="auto" w:fill="FFFFFF"/>
        <w:spacing w:before="0" w:after="0"/>
        <w:jc w:val="both"/>
        <w:textAlignment w:val="baseline"/>
        <w:rPr>
          <w:color w:val="000000" w:themeColor="text1"/>
          <w:sz w:val="16"/>
          <w:szCs w:val="16"/>
        </w:rPr>
      </w:pPr>
      <w:r w:rsidRPr="007224C3">
        <w:rPr>
          <w:color w:val="000000" w:themeColor="text1"/>
          <w:sz w:val="16"/>
          <w:szCs w:val="16"/>
        </w:rPr>
        <w:t>Никаких размерных характеристик автор не приводил, но само упоминание о том, что «Бронеогненосец АН» предназначен для </w:t>
      </w:r>
      <w:r w:rsidRPr="007224C3">
        <w:rPr>
          <w:iCs/>
          <w:color w:val="000000" w:themeColor="text1"/>
          <w:sz w:val="16"/>
          <w:szCs w:val="16"/>
          <w:bdr w:val="none" w:sz="0" w:space="0" w:color="auto" w:frame="1"/>
        </w:rPr>
        <w:t>«психотравматической атаки и контратаки»</w:t>
      </w:r>
      <w:r w:rsidRPr="007224C3">
        <w:rPr>
          <w:color w:val="000000" w:themeColor="text1"/>
          <w:sz w:val="16"/>
          <w:szCs w:val="16"/>
        </w:rPr>
        <w:t>, а также 96 огневых точек заставляет задуматься о том, что Бойко предложил что-то неординарное. В марте 1944 года от Бойко пришло второе письмо, с более подробным описанием «Бронеогненосца АН». Полностью приводить его не будем, один отрывок говорит обо всём:</w:t>
      </w:r>
    </w:p>
    <w:p w14:paraId="63B897EA" w14:textId="77777777" w:rsidR="0059774D" w:rsidRPr="007224C3" w:rsidRDefault="0059774D" w:rsidP="007224C3">
      <w:pPr>
        <w:pStyle w:val="ae"/>
        <w:shd w:val="clear" w:color="auto" w:fill="FFFFFF"/>
        <w:spacing w:before="0" w:after="0"/>
        <w:jc w:val="both"/>
        <w:textAlignment w:val="baseline"/>
        <w:rPr>
          <w:iCs/>
          <w:color w:val="000000" w:themeColor="text1"/>
          <w:sz w:val="16"/>
          <w:szCs w:val="16"/>
        </w:rPr>
      </w:pPr>
      <w:r w:rsidRPr="007224C3">
        <w:rPr>
          <w:iCs/>
          <w:color w:val="000000" w:themeColor="text1"/>
          <w:sz w:val="16"/>
          <w:szCs w:val="16"/>
          <w:bdr w:val="none" w:sz="0" w:space="0" w:color="auto" w:frame="1"/>
        </w:rPr>
        <w:t>«Первое основное мною конструированы новый мощный мирового значения модернизированный Наземный бронеогненосец «АН» (подвижная неуязвимая крепость). В виде огневого Смерча бронеогненосец «АН» все на своем пути сжигает, воспламеняет, сносит, сбивает — разрушает, взрывает, умертвляет, действует морально, вносит травматично и действует на психику, деморализует неприятеля, его живую силу, технику и укрепления и далеко вносит вглубь его резервов сражения с Психической деморализацией. «АН» все на своем пути действий уничтожает: живое и мертвое.</w:t>
      </w:r>
    </w:p>
    <w:p w14:paraId="3BA8E338" w14:textId="77777777" w:rsidR="0059774D" w:rsidRPr="007224C3" w:rsidRDefault="0059774D" w:rsidP="007224C3">
      <w:pPr>
        <w:pStyle w:val="ae"/>
        <w:shd w:val="clear" w:color="auto" w:fill="FFFFFF"/>
        <w:spacing w:before="0" w:after="0"/>
        <w:jc w:val="both"/>
        <w:textAlignment w:val="baseline"/>
        <w:rPr>
          <w:iCs/>
          <w:color w:val="000000" w:themeColor="text1"/>
          <w:sz w:val="16"/>
          <w:szCs w:val="16"/>
        </w:rPr>
      </w:pPr>
      <w:r w:rsidRPr="007224C3">
        <w:rPr>
          <w:iCs/>
          <w:color w:val="000000" w:themeColor="text1"/>
          <w:sz w:val="16"/>
          <w:szCs w:val="16"/>
          <w:bdr w:val="none" w:sz="0" w:space="0" w:color="auto" w:frame="1"/>
        </w:rPr>
        <w:t>&lt;…&gt;</w:t>
      </w:r>
    </w:p>
    <w:p w14:paraId="5921B4CF" w14:textId="77777777" w:rsidR="0059774D" w:rsidRPr="007224C3" w:rsidRDefault="0059774D" w:rsidP="007224C3">
      <w:pPr>
        <w:pStyle w:val="ae"/>
        <w:shd w:val="clear" w:color="auto" w:fill="FFFFFF"/>
        <w:spacing w:before="0" w:after="0"/>
        <w:jc w:val="both"/>
        <w:textAlignment w:val="baseline"/>
        <w:rPr>
          <w:iCs/>
          <w:color w:val="000000" w:themeColor="text1"/>
          <w:sz w:val="16"/>
          <w:szCs w:val="16"/>
        </w:rPr>
      </w:pPr>
      <w:r w:rsidRPr="007224C3">
        <w:rPr>
          <w:iCs/>
          <w:color w:val="000000" w:themeColor="text1"/>
          <w:sz w:val="16"/>
          <w:szCs w:val="16"/>
          <w:bdr w:val="none" w:sz="0" w:space="0" w:color="auto" w:frame="1"/>
        </w:rPr>
        <w:t>АН» системой изоляции В.Л.Р. изолирован от воды, огня, шума, газа. «АН» имеет облицовку броненепроницаемость в 490 м./м. Конструкция КТК(б) и Т.3.4. — толщина от скелета всей облицовки 55 м./м. включая броневую облицовку броневой чешуи в 40 м./м. при нападении снарядов с разрывной силой — броневая и остальная броненепроницаемость, облицовка системы КТК(б) Т.3.4. отбрасывает от себя снаряды до 360 кг в сторону до 5метров. Чем сильнее удар им, быстрее удар — тем сильнее и быстрей его снаряда отбрасывает в сторону, что не причиняет никакого вреда «АН». Как сверху и кругом, — устройство верхней части чешуи сделано наклонно. Снаряд попадает в сторону сколза. «АН» своими гусеницами и тяжестью под собой сдавливает до 60 000 атмосфер. «АН» имеет круговертящуюся башню верхнего с 2-мя стволами — брандспойтов, выпускающих жидкого фугасного огня до 500 метров, боковые стволы до 300 метров. Зонты распыляются до 150 метров вокруг себя огня фугасного «АН» на своем пути следования все сжигают, воспламеняет приводит все в уголь. (т.к. фугас насыщен достаточным количеством окиси углерода, углекислого калия, формалина, перигидроля, формальдегида, серной кислоты, и белого фосфора с наличием бертолетового раствора).</w:t>
      </w:r>
    </w:p>
    <w:p w14:paraId="7D223E64" w14:textId="77777777" w:rsidR="0059774D" w:rsidRPr="007224C3" w:rsidRDefault="0059774D" w:rsidP="007224C3">
      <w:pPr>
        <w:pStyle w:val="ae"/>
        <w:shd w:val="clear" w:color="auto" w:fill="FFFFFF"/>
        <w:spacing w:before="0" w:after="0"/>
        <w:jc w:val="both"/>
        <w:textAlignment w:val="baseline"/>
        <w:rPr>
          <w:iCs/>
          <w:color w:val="000000" w:themeColor="text1"/>
          <w:sz w:val="16"/>
          <w:szCs w:val="16"/>
        </w:rPr>
      </w:pPr>
      <w:r w:rsidRPr="007224C3">
        <w:rPr>
          <w:iCs/>
          <w:color w:val="000000" w:themeColor="text1"/>
          <w:sz w:val="16"/>
          <w:szCs w:val="16"/>
          <w:bdr w:val="none" w:sz="0" w:space="0" w:color="auto" w:frame="1"/>
        </w:rPr>
        <w:t>«АН» имеет предельную скорость до 120 км в час. «АН» имеет 8-ми осевую систему и по бокам 3-х гусеничную систему тяги, делящих на основную, головную по длине всего бронеогненосца, 2-3 гусенницы рядом с половиной головной, Г. и 3-я хвостовая ряда со 2-ой четвертой части головной Г. вес гусеницы и бронеогненосца облицован броненепроницаемой системой Т.3.4. «АН» снаряжен 4-мя Гул — сиренами, и свистками. «АН» является оружием не только огневого — разрывного, но действует своей массивностью и своими разнородными снаряжениями, является психическим оружием, действующим на травматику и психику, деморализовывает неприятеля (никакие танки вроде немецких тигров) ничего не представляет для «АН». Тигры останутся для «АН» в вида самого незначительно мелочи и ничего незначущие — «АН» неуязвим, не знает никаких преград — ни волчьих ям, минного поля, ни пуль, ни снарядов, ни огня, ни воды, ни блиндажей, рвов, дзотов, траншей. «АН» все умертвляет, все сжигает, воспламеняет, все взрывает, сбивает, сносит, опрокидывает, все приводит в уголь, тления, живое и мертвое на своем пути, и вносит к тому же психическую панику. «АН» действует впереди всех войск, авангардом имея в помощь себе и прикрытия Воздушных Сил как вспомогатель — в борьбе воздухе.</w:t>
      </w:r>
    </w:p>
    <w:p w14:paraId="25C07053" w14:textId="77777777" w:rsidR="0059774D" w:rsidRPr="007224C3" w:rsidRDefault="0059774D" w:rsidP="007224C3">
      <w:pPr>
        <w:pStyle w:val="ae"/>
        <w:shd w:val="clear" w:color="auto" w:fill="FFFFFF"/>
        <w:spacing w:before="0" w:after="0"/>
        <w:jc w:val="both"/>
        <w:textAlignment w:val="baseline"/>
        <w:rPr>
          <w:iCs/>
          <w:color w:val="000000" w:themeColor="text1"/>
          <w:sz w:val="16"/>
          <w:szCs w:val="16"/>
        </w:rPr>
      </w:pPr>
      <w:r w:rsidRPr="007224C3">
        <w:rPr>
          <w:iCs/>
          <w:color w:val="000000" w:themeColor="text1"/>
          <w:sz w:val="16"/>
          <w:szCs w:val="16"/>
          <w:bdr w:val="none" w:sz="0" w:space="0" w:color="auto" w:frame="1"/>
        </w:rPr>
        <w:t>«АН» двигается в виде огневого кольцевого смерча! И является оружием для прорывов, как в лобовую часть, так и флангового обхода «АН» действительно вооружение достойно звания оружия Мирового Значения. «АН» своим фугасным огнем сжигает в ширину фронта 512 метров и в длину 12 000 метров, при своей предельной скорости, торпеды, мины, пулеметы, и другого родов Вооружения, взрывают и уничтожают на своем пути, очищают территории в радиусе ширину фронта — 14 000 метров, а в глубь фронта 120 000 метров, в течение одного часа при предельной скорости 120 км/час (представить, если иметь звено — в 10 единиц бронеогненосцев, даже предельную скорость сократив словами до одной четвертой части = т.е. с 120 до 30 км территория освобождается в ширину фронта при сомкнутом строе 10-ти бронеогненосцев), включая ширину «АН» — 6 300 метров — а в глубину 30 000 метров, что составляет очищенная территория от неприятеля в 189 000 метров, если учесть то, что это звено действует совместно со всеми силами родов войск на участке боя. Можно считать, что пребывание врага на нашей территории не только будет уничтожен и изгнан — враг будет полностью деморализован, смят и в политическом, психическом, построении откатиться (не хуже в дни эпохи Александра Невского к Чудскому озеру.), но теперь и не докатится и до своей земли».</w:t>
      </w:r>
    </w:p>
    <w:p w14:paraId="62A1EC81" w14:textId="77777777" w:rsidR="0059774D" w:rsidRPr="007224C3" w:rsidRDefault="0059774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shd w:val="clear" w:color="auto" w:fill="FFFFFF"/>
        </w:rPr>
        <w:t>Из текста описания, а также схем, прилагавшихся к проекту «Бронеогненосца АН», можно сделать кое-какие выводы насчёт его характеристик. Итак, </w:t>
      </w:r>
      <w:r w:rsidRPr="007224C3">
        <w:rPr>
          <w:rFonts w:ascii="Times New Roman" w:hAnsi="Times New Roman"/>
          <w:iCs/>
          <w:color w:val="000000" w:themeColor="text1"/>
          <w:sz w:val="16"/>
          <w:szCs w:val="16"/>
          <w:bdr w:val="none" w:sz="0" w:space="0" w:color="auto" w:frame="1"/>
          <w:shd w:val="clear" w:color="auto" w:fill="FFFFFF"/>
        </w:rPr>
        <w:t>«вносить травматично»</w:t>
      </w:r>
      <w:r w:rsidRPr="007224C3">
        <w:rPr>
          <w:rFonts w:ascii="Times New Roman" w:hAnsi="Times New Roman"/>
          <w:color w:val="000000" w:themeColor="text1"/>
          <w:sz w:val="16"/>
          <w:szCs w:val="16"/>
          <w:shd w:val="clear" w:color="auto" w:fill="FFFFFF"/>
        </w:rPr>
        <w:t> эта машина могла на скорости до 120 км/ч. Относительно массы в 60 т автор явно где-то описа́лся, поскольку из его же текста следует, что одна только толщина бронирования достигала порядка 500 мм, а «Тигры», по его же словам, были сущей мелочью. Длина каркаса корпуса «Бронеогненосца АН» должна была достигать 285 м, так что на этом фоне любой немецкий танк действительно выглядел бы назойливым тараканом. Приводимая автором схема </w:t>
      </w:r>
      <w:r w:rsidRPr="007224C3">
        <w:rPr>
          <w:rFonts w:ascii="Times New Roman" w:hAnsi="Times New Roman"/>
          <w:iCs/>
          <w:color w:val="000000" w:themeColor="text1"/>
          <w:sz w:val="16"/>
          <w:szCs w:val="16"/>
          <w:bdr w:val="none" w:sz="0" w:space="0" w:color="auto" w:frame="1"/>
          <w:shd w:val="clear" w:color="auto" w:fill="FFFFFF"/>
        </w:rPr>
        <w:t>«теневого барельефа»</w:t>
      </w:r>
      <w:r w:rsidRPr="007224C3">
        <w:rPr>
          <w:rFonts w:ascii="Times New Roman" w:hAnsi="Times New Roman"/>
          <w:color w:val="000000" w:themeColor="text1"/>
          <w:sz w:val="16"/>
          <w:szCs w:val="16"/>
          <w:shd w:val="clear" w:color="auto" w:fill="FFFFFF"/>
        </w:rPr>
        <w:t xml:space="preserve"> чудо-машины конструкции Бойко наглядно показывает, что только своим видом она могла устроить панику. Огромная бесформенная масса с таранами, изрыгающая пламя во все стороны и двигающаяся на огромной скорости — такого более не предлагал никто. Поспорить с этим монстром может разве что «Обой» Семчишина, предложенный ещё в 1915 году </w:t>
      </w:r>
      <w:r w:rsidRPr="007224C3">
        <w:rPr>
          <w:rFonts w:ascii="Times New Roman" w:hAnsi="Times New Roman"/>
          <w:color w:val="000000" w:themeColor="text1"/>
          <w:sz w:val="16"/>
          <w:szCs w:val="16"/>
        </w:rPr>
        <w:t>(19738).</w:t>
      </w:r>
    </w:p>
    <w:p w14:paraId="78FAEE39" w14:textId="77777777" w:rsidR="0059774D" w:rsidRPr="007224C3" w:rsidRDefault="0059774D" w:rsidP="007224C3">
      <w:pPr>
        <w:spacing w:after="0" w:line="240" w:lineRule="auto"/>
        <w:jc w:val="both"/>
        <w:rPr>
          <w:rFonts w:ascii="Times New Roman" w:hAnsi="Times New Roman"/>
          <w:color w:val="000000" w:themeColor="text1"/>
          <w:sz w:val="16"/>
          <w:szCs w:val="16"/>
        </w:rPr>
      </w:pPr>
    </w:p>
    <w:p w14:paraId="4D91E6F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января 1944 вышло Постановление ГКО № 4876 О немедленном начале восстановления плотины и здания Днепрогэса. РГАНИР, Фонд ГКО, д. 185 Л.2 (11012).</w:t>
      </w:r>
    </w:p>
    <w:p w14:paraId="7157292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37D20A8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января 1944 вышло Постановление ГКО № 4878 О неотложной помощи Всесоюзному научно-исследовательскому институту радиолокации - НИИ-108 Наркомэлектропрома. РГАНИР, Фонд ГКО, д. 185, лл. 6-8 (11012).</w:t>
      </w:r>
    </w:p>
    <w:p w14:paraId="0FEA4BE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2A6E0674" w14:textId="77777777" w:rsidR="00916E94" w:rsidRPr="007224C3" w:rsidRDefault="00916E9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января 1944 г. вышло Постановление № 4878 «О неотложной помощи Всесоюзному научно-исследовательскому институту радиолокации – НИИ-108 Наркомэлектропрома» (15736).</w:t>
      </w:r>
    </w:p>
    <w:p w14:paraId="59FA5273" w14:textId="77777777" w:rsidR="00916E94" w:rsidRPr="007224C3" w:rsidRDefault="00916E94" w:rsidP="007224C3">
      <w:pPr>
        <w:spacing w:after="0" w:line="240" w:lineRule="auto"/>
        <w:jc w:val="both"/>
        <w:rPr>
          <w:rFonts w:ascii="Times New Roman" w:hAnsi="Times New Roman"/>
          <w:color w:val="000000" w:themeColor="text1"/>
          <w:sz w:val="16"/>
          <w:szCs w:val="16"/>
        </w:rPr>
      </w:pPr>
    </w:p>
    <w:p w14:paraId="7339FC76" w14:textId="77777777" w:rsidR="00916E94"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12973048" w14:textId="77777777" w:rsidR="00916E94" w:rsidRPr="007224C3" w:rsidRDefault="00916E94"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D2405E9" w14:textId="77777777" w:rsidR="00916E94" w:rsidRPr="007224C3" w:rsidRDefault="00916E94"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 января</w:t>
      </w:r>
      <w:r w:rsidRPr="007224C3">
        <w:rPr>
          <w:rFonts w:ascii="Times New Roman" w:hAnsi="Times New Roman"/>
          <w:color w:val="000000" w:themeColor="text1"/>
          <w:sz w:val="16"/>
          <w:szCs w:val="16"/>
        </w:rPr>
        <w:t xml:space="preserve"> в 1944 году оперативная сводка Совинформбюро:</w:t>
      </w:r>
    </w:p>
    <w:p w14:paraId="7A03879E" w14:textId="77777777" w:rsidR="00916E94" w:rsidRPr="007224C3" w:rsidRDefault="00916E9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2 января севернее и северо-западнее Невеля наши войска вели наступательные бои, в ходе которых заняли более 40 населённых пунктов и среди них Верхитно, Лахны, Барканы, Бугаевка, Кубок, Рожново, Жуково.</w:t>
      </w:r>
    </w:p>
    <w:p w14:paraId="7476BFA4" w14:textId="77777777" w:rsidR="00916E94" w:rsidRPr="007224C3" w:rsidRDefault="00916E9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1-го Украинского фронта, продолжая развивать наступление, с боями овладели районными центрами Житомирской области Мархлевск, Троянов, а такжезаняли более 150 других населённых пунктов, в том числе крупные населённые пункты Радовель, Мокляки, Кулиши, Слободка, Андреевичи, Немелянка, Ужачин, Романовецкая Слободка, Романовка, Броники, Черница, Дзигунка, Каменный Брод, Дерманка, Прутовка, Жёлтый Брод, Денеши, Железняки, Гваздава, Рея, Семаки, Хажин, Жежелево, Флориановка, Губин, Овсяники, Степанки, Черемошное, Малинки, Борщаговка, Мармулиевка, Рубченки, Рогозно, Городище, Черепин, Лобачёв, Фастовка, Щербаки, Фесюры и железнодорожные станции Дровяной Пост, Радовельская, Пояски, Веровка, Рыхальская, Вершница, Кордышевка.</w:t>
      </w:r>
    </w:p>
    <w:p w14:paraId="0AA2F18A" w14:textId="77777777" w:rsidR="00916E94" w:rsidRPr="007224C3" w:rsidRDefault="00916E9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 разведка и артиллерийско-миномётная перестрелка.</w:t>
      </w:r>
    </w:p>
    <w:p w14:paraId="2818F175" w14:textId="77777777" w:rsidR="00916E94" w:rsidRPr="007224C3" w:rsidRDefault="00916E9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 января наши войска на всех фронтах подбили и уничтожили 85 немецких танков. В воздушных боях и огнём зенитной артиллерии сбито 11 самолётов противника.</w:t>
      </w:r>
    </w:p>
    <w:p w14:paraId="5FF3E36D" w14:textId="77777777" w:rsidR="00916E94" w:rsidRPr="007224C3" w:rsidRDefault="00916E9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и северо-западнее Невеля наши войска вели наступательные бои. Н-ская гвардейская часть рано утром нанесла противнику внезапный удар и в результате ожесточённого боя заняла несколько его опорных пунктов. В другом районе части Н-ского соединения, с боями продвигаясь вперёд, заняли более 40 населённых пунктов. За три дня боёв на этом участке уничтожено до полка пехоты противника. Захвачено у немцев 34 орудия, много миномётов, пулемётов и боеприпасов.</w:t>
      </w:r>
    </w:p>
    <w:p w14:paraId="2A68C934" w14:textId="77777777" w:rsidR="00916E94" w:rsidRPr="007224C3" w:rsidRDefault="00916E9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1-го Украинского фронта продолжали успешное наступление. Части Н-ского соединения овладели районным центром Житомирской области Мархлевск. На другом участке советские бойцы, сломив сопротивление противника, заняли районный центр Житомирской области Троянов. Немцы спешно подтянули резервы и на ряде участков неоднократно предпринимали контратаки. Наши войска отбили все вражеские контратаки и, быстро продвигаясь вперёд, освободили от немецко-фашистских захватчиков более 150 населённых пунктов и несколько железнодорожных станций. Противник несёт тяжёлые потери в людях и технике. За день боёв истреблено свыше 4.000 немецких солдат и офицеров, уничтожено 68 танков, 29 полевых и самоходных орудий и 9 бронетранспортёров. Наши бойцы захватили трофеи, в том числе 14 полностью исправных танков, 12 бронетранспортёров, 60 орудий, более 200 пулемётов, 580 автомашин, до 400 железнодорожных вагонов, 4 железнодорожных состава и 7 складов с военными материалами, боеприпасами и снаряжением. Взято значительное количество пленных.</w:t>
      </w:r>
    </w:p>
    <w:p w14:paraId="10FBAC5B" w14:textId="77777777" w:rsidR="00916E94" w:rsidRPr="007224C3" w:rsidRDefault="00916E9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Береговые батареи Северного флота потопили самоходную баржу и сторожевой катер противника.</w:t>
      </w:r>
    </w:p>
    <w:p w14:paraId="220FD815" w14:textId="77777777" w:rsidR="00916E94" w:rsidRPr="007224C3" w:rsidRDefault="00916E9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Партизанский отряд, действующий в одном из районов Ровенской области, 13 декабря заминировал участок шоссейной дороги. На поставленных партизанами минах взорвались 8 немецких танков и одна танкетка. Группа партизан 14 декабря уничтожила 8 грузовых автомашин с боеприпасами. Кроме того, советские патриоты пустили под откос немецкий эшелон с горючим, следовавший к линии фронта.</w:t>
      </w:r>
    </w:p>
    <w:p w14:paraId="54E159DF" w14:textId="77777777" w:rsidR="00916E94" w:rsidRPr="007224C3" w:rsidRDefault="00916E9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Захваченный в плен на 1-м Прибалтийском фронте командир 2 дивизиона 47 немецкого артиллерийского полка резерва главного командования капитан Гейнц Норден рассказал: «Непрерывное отступление немецкой армии, сопровождавшееся огромными потерями, подорвало боевой дух войск. Особенно тяжёлое впечатление на офицеров произвело успешное форсирование русскими Днепра. А прорыв немецкой обороны в районе Невеля, где у нас было очень много артиллерии, породил панические настроения. После Сталинграда солдаты очень боятся обхода с флангов и окружения. В офицерской среде считают, что через непродолжительное время война будет перенесена на немецкую территорию. Линия фронта не сокращается, а, напротив, удлиняется и передвигается всё дальше и дальше на запад. Военные </w:t>
      </w:r>
      <w:r w:rsidRPr="007224C3">
        <w:rPr>
          <w:rFonts w:ascii="Times New Roman" w:hAnsi="Times New Roman"/>
          <w:color w:val="000000" w:themeColor="text1"/>
          <w:sz w:val="16"/>
          <w:szCs w:val="16"/>
        </w:rPr>
        <w:lastRenderedPageBreak/>
        <w:t>события 1943 года меня окончательно убедили в том, что для Германии война проиграна. Никакие силы в мире уже не могут предотвратить разгром немецкой армии. Чем дольше война затянется, тем страшнее будет катастрофа, которая постигнет Германию».</w:t>
      </w:r>
    </w:p>
    <w:p w14:paraId="64419B59" w14:textId="77777777" w:rsidR="00916E94" w:rsidRPr="007224C3" w:rsidRDefault="00916E9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Ниже публикуется акт о чудовищных зверствах немецко-фашистских мерзавцев в хуторах Ленинский, Дьяки и Вдовин Хутор, Кировоградской области: «Девятнадцатого октября 1943 года немцы сожгли дотла населённые пункты Вдовин Хутор, Дьяки и Ленинский и истребили почти всех мирных жителей. Огнём уничтожено 276 домов со всеми надворными постройками и имуществом колхозников. Гитлеровцы расстреляли, сожгли и удушили 1.070 женщин, стариков и детей. Анну Семениченко и её шестилетнего сына Андрея немцы бросили живьём в колодец. На глазах Ульяны Чепола гитлеровские изверги убили её годовалого ребёнка, а потом расстреляли и мать. Мы выражаем твёрдую уверенность в том, что фашистские убийцы предстанут перед судоми получат сполна за свои чудовищные преступления».</w:t>
      </w:r>
    </w:p>
    <w:p w14:paraId="43F18F48" w14:textId="77777777" w:rsidR="00916E94" w:rsidRPr="007224C3" w:rsidRDefault="00916E9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Акт подписали: майор Гридюшко, майор Поляков, капитан медицинской службы Ващенко, старший лейтенант Барахта, жители хуторов — Лука Ворона, Давыд Семениченко, Василий Ворона, Николай Семениченко, Тимофей Семениченко.» (14997).</w:t>
      </w:r>
    </w:p>
    <w:p w14:paraId="251290DA" w14:textId="77777777" w:rsidR="00916E94" w:rsidRPr="007224C3" w:rsidRDefault="00916E94" w:rsidP="007224C3">
      <w:pPr>
        <w:spacing w:after="0" w:line="240" w:lineRule="auto"/>
        <w:jc w:val="both"/>
        <w:rPr>
          <w:rFonts w:ascii="Times New Roman" w:hAnsi="Times New Roman"/>
          <w:color w:val="000000" w:themeColor="text1"/>
          <w:sz w:val="16"/>
          <w:szCs w:val="16"/>
        </w:rPr>
      </w:pPr>
    </w:p>
    <w:p w14:paraId="544BD0EA"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Жизнь и внутренняя политика:</w:t>
      </w:r>
    </w:p>
    <w:p w14:paraId="7B9A730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F3CB5F4"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января 1944 вышло Распоряжение ГКО № 4875 [О мерах по укреплению кадрами милиции Москвы.] (7167, 1).</w:t>
      </w:r>
    </w:p>
    <w:p w14:paraId="071D31C7"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60B5492"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января 1944 вышло Постановление ГКО № 4877 О мероприятиях по предупреждению и ликвидации сыпного тифа в освобожденных районах БССР. (7167, 3-5).</w:t>
      </w:r>
    </w:p>
    <w:p w14:paraId="7BB81E22"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168E7EC"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1096466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0173541"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января 1944 англичане впервые использовали в военных целях вертолеты (4962).</w:t>
      </w:r>
    </w:p>
    <w:p w14:paraId="4562F107"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B6D446A" w14:textId="77777777" w:rsidR="00A955A3" w:rsidRPr="007224C3" w:rsidRDefault="00A955A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 января 1944 - Первое в мире боевое применение вертолетов — три вертолета И.И.Сикорского сопровождали британский атлантический конвой (22682).</w:t>
      </w:r>
    </w:p>
    <w:p w14:paraId="79E63E4B" w14:textId="77777777" w:rsidR="00A955A3" w:rsidRPr="007224C3" w:rsidRDefault="00A955A3" w:rsidP="007224C3">
      <w:pPr>
        <w:spacing w:after="0" w:line="240" w:lineRule="auto"/>
        <w:jc w:val="both"/>
        <w:rPr>
          <w:rFonts w:ascii="Times New Roman" w:hAnsi="Times New Roman"/>
          <w:color w:val="0070C0"/>
          <w:sz w:val="16"/>
          <w:szCs w:val="16"/>
        </w:rPr>
      </w:pPr>
    </w:p>
    <w:p w14:paraId="7FC58177" w14:textId="77777777" w:rsidR="00916E94" w:rsidRPr="007224C3" w:rsidRDefault="00916E94"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 января</w:t>
      </w:r>
      <w:r w:rsidRPr="007224C3">
        <w:rPr>
          <w:rFonts w:ascii="Times New Roman" w:hAnsi="Times New Roman"/>
          <w:color w:val="000000" w:themeColor="text1"/>
          <w:sz w:val="16"/>
          <w:szCs w:val="16"/>
        </w:rPr>
        <w:t xml:space="preserve"> в 1944 году первое в мире боевое применение вертолетов - три вертолета И.И.Сикорского сопровождали британский атлантический конвой. Вертолеты Сикорского первыми стали применять англичане. Когда в январе 1944 г. в Европу отправлялся очередной конвой, на палубе транспорта «Дагестан» на специально оборудованной площадке нашлось место для нескольких вертолетов из числа заказанных королевскими вооруженными силами опытных «YR-4B». В океане летчики впервые применили их для наблюдения за подводными лодками противника. В дальнейшем англичане еще не раз совмещали таким образом перевозку вертолетов с противолодочными операциями. По прибытии вертолетов в Великобританию «YR-4B» поступили сначала в различные исследовательские и учебные центры, а затем в знаменитый 529-й эскадрон, где они заменили автожиры «С-30», применявшиеся для калибровки радаров, а также для связи и наблюдения (14997).</w:t>
      </w:r>
    </w:p>
    <w:p w14:paraId="5704AFF6" w14:textId="77777777" w:rsidR="00916E94" w:rsidRPr="007224C3" w:rsidRDefault="00916E94" w:rsidP="007224C3">
      <w:pPr>
        <w:spacing w:after="0" w:line="240" w:lineRule="auto"/>
        <w:jc w:val="both"/>
        <w:rPr>
          <w:rFonts w:ascii="Times New Roman" w:hAnsi="Times New Roman"/>
          <w:color w:val="000000" w:themeColor="text1"/>
          <w:sz w:val="16"/>
          <w:szCs w:val="16"/>
        </w:rPr>
      </w:pPr>
    </w:p>
    <w:p w14:paraId="5BB72C28" w14:textId="77777777" w:rsidR="00A955A3" w:rsidRPr="007224C3" w:rsidRDefault="00A955A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2–3 января (ночь) 1944 383 британских бомбардировщика совершают налет на Берлин. Немецкие ночные истребители в основном перехватывают их над целью, и 27 британских бомбардировщиков, все Ланкастеры, потеряны (20373).</w:t>
      </w:r>
    </w:p>
    <w:p w14:paraId="1D25DD84" w14:textId="77777777" w:rsidR="00A955A3" w:rsidRPr="007224C3" w:rsidRDefault="00A955A3" w:rsidP="007224C3">
      <w:pPr>
        <w:spacing w:after="0" w:line="240" w:lineRule="auto"/>
        <w:jc w:val="both"/>
        <w:rPr>
          <w:rFonts w:ascii="Times New Roman" w:hAnsi="Times New Roman"/>
          <w:color w:val="0070C0"/>
          <w:sz w:val="16"/>
          <w:szCs w:val="16"/>
        </w:rPr>
      </w:pPr>
    </w:p>
    <w:p w14:paraId="50AFC268" w14:textId="77777777" w:rsidR="00A955A3" w:rsidRPr="007224C3" w:rsidRDefault="00A955A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 января 1944 японские зенитные орудия сбили три B-24 «Освободителя» ВВС США над Малоэлапом во время дневного налета, вынуждая B-24 переключиться на ночные налеты, в которых их бомбардировка гораздо менее точна (20373).</w:t>
      </w:r>
    </w:p>
    <w:p w14:paraId="01C1E521" w14:textId="77777777" w:rsidR="00A955A3" w:rsidRPr="007224C3" w:rsidRDefault="00A955A3" w:rsidP="007224C3">
      <w:pPr>
        <w:spacing w:after="0" w:line="240" w:lineRule="auto"/>
        <w:jc w:val="both"/>
        <w:rPr>
          <w:rFonts w:ascii="Times New Roman" w:hAnsi="Times New Roman"/>
          <w:color w:val="0070C0"/>
          <w:sz w:val="16"/>
          <w:szCs w:val="16"/>
        </w:rPr>
      </w:pPr>
    </w:p>
    <w:p w14:paraId="067FD232" w14:textId="77777777" w:rsidR="00A955A3" w:rsidRPr="007224C3" w:rsidRDefault="00A955A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2–13 января 1944 авиация союзников систематически атакует железнодорожные пути в центральной Италии в безуспешной попытке помешать Германии снабжать и подкреплять свои силы, сражающиеся на юге Италии (20373).</w:t>
      </w:r>
    </w:p>
    <w:p w14:paraId="70AF8C46" w14:textId="77777777" w:rsidR="00A955A3" w:rsidRPr="007224C3" w:rsidRDefault="00A955A3" w:rsidP="007224C3">
      <w:pPr>
        <w:spacing w:after="0" w:line="240" w:lineRule="auto"/>
        <w:jc w:val="both"/>
        <w:rPr>
          <w:rFonts w:ascii="Times New Roman" w:hAnsi="Times New Roman"/>
          <w:color w:val="0070C0"/>
          <w:sz w:val="16"/>
          <w:szCs w:val="16"/>
        </w:rPr>
      </w:pPr>
    </w:p>
    <w:p w14:paraId="69DF4269"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3503B26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9DEECD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января 1944 года начальник ЛИИ проф. Чесалов А.В. писал письмо N 2с Шахурину.</w:t>
      </w:r>
    </w:p>
    <w:p w14:paraId="2831818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Довожу для Вашего сведения результаты контрольных испытаний серийных самолетов, проведенных в декабре 1943 года в соответствии с приказом N 915с.</w:t>
      </w:r>
    </w:p>
    <w:p w14:paraId="0E43B89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Як-7Б N 54110 производства завода N 153</w:t>
      </w:r>
    </w:p>
    <w:p w14:paraId="570D65C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выпуска ноября 1943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6331D6" w:rsidRPr="007224C3" w14:paraId="3BC4CCC8" w14:textId="77777777">
        <w:tc>
          <w:tcPr>
            <w:tcW w:w="5636" w:type="dxa"/>
          </w:tcPr>
          <w:p w14:paraId="3807475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Полетный вес</w:t>
            </w:r>
          </w:p>
        </w:tc>
        <w:tc>
          <w:tcPr>
            <w:tcW w:w="5636" w:type="dxa"/>
          </w:tcPr>
          <w:p w14:paraId="0A495EC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2998 кг</w:t>
            </w:r>
          </w:p>
        </w:tc>
      </w:tr>
      <w:tr w:rsidR="006331D6" w:rsidRPr="007224C3" w14:paraId="67762303" w14:textId="77777777">
        <w:tc>
          <w:tcPr>
            <w:tcW w:w="5636" w:type="dxa"/>
          </w:tcPr>
          <w:p w14:paraId="07F0F71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 скорость у земли</w:t>
            </w:r>
          </w:p>
        </w:tc>
        <w:tc>
          <w:tcPr>
            <w:tcW w:w="5636" w:type="dxa"/>
          </w:tcPr>
          <w:p w14:paraId="4244E0F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543 км/час</w:t>
            </w:r>
          </w:p>
        </w:tc>
      </w:tr>
      <w:tr w:rsidR="006331D6" w:rsidRPr="007224C3" w14:paraId="05D012D3" w14:textId="77777777">
        <w:tc>
          <w:tcPr>
            <w:tcW w:w="5636" w:type="dxa"/>
          </w:tcPr>
          <w:p w14:paraId="3A2A236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 скорость на 2-й</w:t>
            </w:r>
          </w:p>
        </w:tc>
        <w:tc>
          <w:tcPr>
            <w:tcW w:w="5636" w:type="dxa"/>
          </w:tcPr>
          <w:p w14:paraId="7D9CDCD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60F48EEF" w14:textId="77777777">
        <w:tc>
          <w:tcPr>
            <w:tcW w:w="5636" w:type="dxa"/>
          </w:tcPr>
          <w:p w14:paraId="1A6ED47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границе высотности (Н=4000 м)</w:t>
            </w:r>
          </w:p>
        </w:tc>
        <w:tc>
          <w:tcPr>
            <w:tcW w:w="5636" w:type="dxa"/>
          </w:tcPr>
          <w:p w14:paraId="28DA7CD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601 км/час</w:t>
            </w:r>
          </w:p>
        </w:tc>
      </w:tr>
      <w:tr w:rsidR="006331D6" w:rsidRPr="007224C3" w14:paraId="66555319" w14:textId="77777777">
        <w:tc>
          <w:tcPr>
            <w:tcW w:w="5636" w:type="dxa"/>
          </w:tcPr>
          <w:p w14:paraId="211C5B9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Время набора высоты 50000 м</w:t>
            </w:r>
          </w:p>
        </w:tc>
        <w:tc>
          <w:tcPr>
            <w:tcW w:w="5636" w:type="dxa"/>
          </w:tcPr>
          <w:p w14:paraId="57F17D0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5,6 мин.</w:t>
            </w:r>
          </w:p>
        </w:tc>
      </w:tr>
      <w:tr w:rsidR="006331D6" w:rsidRPr="007224C3" w14:paraId="68F47DF3" w14:textId="77777777">
        <w:tc>
          <w:tcPr>
            <w:tcW w:w="5636" w:type="dxa"/>
          </w:tcPr>
          <w:p w14:paraId="7261C7B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Самолет Як-9Т N 0901 производства завода N 153 </w:t>
            </w:r>
          </w:p>
        </w:tc>
        <w:tc>
          <w:tcPr>
            <w:tcW w:w="5636" w:type="dxa"/>
          </w:tcPr>
          <w:p w14:paraId="2C3784F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5957C12A" w14:textId="77777777">
        <w:tc>
          <w:tcPr>
            <w:tcW w:w="5636" w:type="dxa"/>
          </w:tcPr>
          <w:p w14:paraId="0690B00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выпуска декабря 1943 года</w:t>
            </w:r>
          </w:p>
        </w:tc>
        <w:tc>
          <w:tcPr>
            <w:tcW w:w="5636" w:type="dxa"/>
          </w:tcPr>
          <w:p w14:paraId="77BE448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00667322" w14:textId="77777777">
        <w:tc>
          <w:tcPr>
            <w:tcW w:w="5636" w:type="dxa"/>
          </w:tcPr>
          <w:p w14:paraId="169A451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Полетный вес</w:t>
            </w:r>
          </w:p>
        </w:tc>
        <w:tc>
          <w:tcPr>
            <w:tcW w:w="5636" w:type="dxa"/>
          </w:tcPr>
          <w:p w14:paraId="3759859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3015 кг</w:t>
            </w:r>
          </w:p>
        </w:tc>
      </w:tr>
      <w:tr w:rsidR="006331D6" w:rsidRPr="007224C3" w14:paraId="28AE04DF" w14:textId="77777777">
        <w:tc>
          <w:tcPr>
            <w:tcW w:w="5636" w:type="dxa"/>
          </w:tcPr>
          <w:p w14:paraId="755B963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 скорость у земли</w:t>
            </w:r>
          </w:p>
        </w:tc>
        <w:tc>
          <w:tcPr>
            <w:tcW w:w="5636" w:type="dxa"/>
          </w:tcPr>
          <w:p w14:paraId="559DFAD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532 км/час</w:t>
            </w:r>
          </w:p>
        </w:tc>
      </w:tr>
      <w:tr w:rsidR="006331D6" w:rsidRPr="007224C3" w14:paraId="1990CD32" w14:textId="77777777">
        <w:tc>
          <w:tcPr>
            <w:tcW w:w="5636" w:type="dxa"/>
          </w:tcPr>
          <w:p w14:paraId="36FD99E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 скорость на 2-й</w:t>
            </w:r>
          </w:p>
        </w:tc>
        <w:tc>
          <w:tcPr>
            <w:tcW w:w="5636" w:type="dxa"/>
          </w:tcPr>
          <w:p w14:paraId="3A062A4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4B323E77" w14:textId="77777777">
        <w:tc>
          <w:tcPr>
            <w:tcW w:w="5636" w:type="dxa"/>
          </w:tcPr>
          <w:p w14:paraId="631CC41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границе высотности (Н=3850 м)</w:t>
            </w:r>
          </w:p>
        </w:tc>
        <w:tc>
          <w:tcPr>
            <w:tcW w:w="5636" w:type="dxa"/>
          </w:tcPr>
          <w:p w14:paraId="619C7B4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591 км/час</w:t>
            </w:r>
          </w:p>
        </w:tc>
      </w:tr>
      <w:tr w:rsidR="006331D6" w:rsidRPr="007224C3" w14:paraId="737F3B05" w14:textId="77777777">
        <w:tc>
          <w:tcPr>
            <w:tcW w:w="5636" w:type="dxa"/>
          </w:tcPr>
          <w:p w14:paraId="619335B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Время набора высоты 50000 м</w:t>
            </w:r>
          </w:p>
        </w:tc>
        <w:tc>
          <w:tcPr>
            <w:tcW w:w="5636" w:type="dxa"/>
          </w:tcPr>
          <w:p w14:paraId="6781A40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5,5 мин.</w:t>
            </w:r>
          </w:p>
        </w:tc>
      </w:tr>
      <w:tr w:rsidR="006331D6" w:rsidRPr="007224C3" w14:paraId="7D7488C5" w14:textId="77777777">
        <w:tc>
          <w:tcPr>
            <w:tcW w:w="5636" w:type="dxa"/>
          </w:tcPr>
          <w:p w14:paraId="730826C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Як-9 N 13036 производства завода N 153</w:t>
            </w:r>
          </w:p>
        </w:tc>
        <w:tc>
          <w:tcPr>
            <w:tcW w:w="5636" w:type="dxa"/>
          </w:tcPr>
          <w:p w14:paraId="1AC472C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06D99093" w14:textId="77777777">
        <w:tc>
          <w:tcPr>
            <w:tcW w:w="5636" w:type="dxa"/>
          </w:tcPr>
          <w:p w14:paraId="7AAFE22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выпуска декабря 1943 года</w:t>
            </w:r>
          </w:p>
        </w:tc>
        <w:tc>
          <w:tcPr>
            <w:tcW w:w="5636" w:type="dxa"/>
          </w:tcPr>
          <w:p w14:paraId="4883E44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731F8E16" w14:textId="77777777">
        <w:tc>
          <w:tcPr>
            <w:tcW w:w="5636" w:type="dxa"/>
          </w:tcPr>
          <w:p w14:paraId="638C18E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Полетный вес</w:t>
            </w:r>
          </w:p>
        </w:tc>
        <w:tc>
          <w:tcPr>
            <w:tcW w:w="5636" w:type="dxa"/>
          </w:tcPr>
          <w:p w14:paraId="10A3B33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3018 кг</w:t>
            </w:r>
          </w:p>
        </w:tc>
      </w:tr>
      <w:tr w:rsidR="006331D6" w:rsidRPr="007224C3" w14:paraId="46A302AE" w14:textId="77777777">
        <w:tc>
          <w:tcPr>
            <w:tcW w:w="5636" w:type="dxa"/>
          </w:tcPr>
          <w:p w14:paraId="1C9ACFE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 скорость у земли</w:t>
            </w:r>
          </w:p>
        </w:tc>
        <w:tc>
          <w:tcPr>
            <w:tcW w:w="5636" w:type="dxa"/>
          </w:tcPr>
          <w:p w14:paraId="7A27097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544 км/час</w:t>
            </w:r>
          </w:p>
        </w:tc>
      </w:tr>
      <w:tr w:rsidR="006331D6" w:rsidRPr="007224C3" w14:paraId="688DFB6C" w14:textId="77777777">
        <w:tc>
          <w:tcPr>
            <w:tcW w:w="5636" w:type="dxa"/>
          </w:tcPr>
          <w:p w14:paraId="76AAAF2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 скорость на 2-й</w:t>
            </w:r>
          </w:p>
        </w:tc>
        <w:tc>
          <w:tcPr>
            <w:tcW w:w="5636" w:type="dxa"/>
          </w:tcPr>
          <w:p w14:paraId="0D0DE16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75990257" w14:textId="77777777">
        <w:tc>
          <w:tcPr>
            <w:tcW w:w="5636" w:type="dxa"/>
          </w:tcPr>
          <w:p w14:paraId="29F33C7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границе высотности (Н=3650 м)</w:t>
            </w:r>
          </w:p>
        </w:tc>
        <w:tc>
          <w:tcPr>
            <w:tcW w:w="5636" w:type="dxa"/>
          </w:tcPr>
          <w:p w14:paraId="73649AF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603 км/час</w:t>
            </w:r>
          </w:p>
        </w:tc>
      </w:tr>
      <w:tr w:rsidR="006331D6" w:rsidRPr="007224C3" w14:paraId="70331DF1" w14:textId="77777777">
        <w:tc>
          <w:tcPr>
            <w:tcW w:w="5636" w:type="dxa"/>
          </w:tcPr>
          <w:p w14:paraId="09FBA7F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Время набора высоты 50000 м</w:t>
            </w:r>
          </w:p>
        </w:tc>
        <w:tc>
          <w:tcPr>
            <w:tcW w:w="5636" w:type="dxa"/>
          </w:tcPr>
          <w:p w14:paraId="16665E0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6,1 мин.</w:t>
            </w:r>
          </w:p>
        </w:tc>
      </w:tr>
    </w:tbl>
    <w:p w14:paraId="7410A51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Охлаждение воды и масла недостаточно.</w:t>
      </w:r>
    </w:p>
    <w:p w14:paraId="3D9ACEB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Примечание: Обработка результатов испытаний самолета Як-9 проведена по средней тарировочной кривой ряда самолетов, поэтому величины максимальной скорости приведены с точностью до 6 км/час.</w:t>
      </w:r>
    </w:p>
    <w:p w14:paraId="76F8BDC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Як-7Б производства завода N 82</w:t>
      </w:r>
    </w:p>
    <w:p w14:paraId="3F94AAA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выпуска ноября 1943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6331D6" w:rsidRPr="007224C3" w14:paraId="3273B7F9" w14:textId="77777777">
        <w:tc>
          <w:tcPr>
            <w:tcW w:w="5636" w:type="dxa"/>
          </w:tcPr>
          <w:p w14:paraId="4564513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Полетный вес</w:t>
            </w:r>
          </w:p>
        </w:tc>
        <w:tc>
          <w:tcPr>
            <w:tcW w:w="5636" w:type="dxa"/>
          </w:tcPr>
          <w:p w14:paraId="348D795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3026 кг</w:t>
            </w:r>
          </w:p>
        </w:tc>
      </w:tr>
      <w:tr w:rsidR="006331D6" w:rsidRPr="007224C3" w14:paraId="3FD6592D" w14:textId="77777777">
        <w:tc>
          <w:tcPr>
            <w:tcW w:w="5636" w:type="dxa"/>
          </w:tcPr>
          <w:p w14:paraId="1C6590F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 скорость у земли</w:t>
            </w:r>
          </w:p>
        </w:tc>
        <w:tc>
          <w:tcPr>
            <w:tcW w:w="5636" w:type="dxa"/>
          </w:tcPr>
          <w:p w14:paraId="7F78295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525 км/час</w:t>
            </w:r>
          </w:p>
        </w:tc>
      </w:tr>
      <w:tr w:rsidR="006331D6" w:rsidRPr="007224C3" w14:paraId="2ACDCC80" w14:textId="77777777">
        <w:tc>
          <w:tcPr>
            <w:tcW w:w="5636" w:type="dxa"/>
          </w:tcPr>
          <w:p w14:paraId="1D27EF4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 скорость на 2-й</w:t>
            </w:r>
          </w:p>
        </w:tc>
        <w:tc>
          <w:tcPr>
            <w:tcW w:w="5636" w:type="dxa"/>
          </w:tcPr>
          <w:p w14:paraId="2013987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7F511BD2" w14:textId="77777777">
        <w:tc>
          <w:tcPr>
            <w:tcW w:w="5636" w:type="dxa"/>
          </w:tcPr>
          <w:p w14:paraId="342B233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границе высотности (Н=3600 м)</w:t>
            </w:r>
          </w:p>
        </w:tc>
        <w:tc>
          <w:tcPr>
            <w:tcW w:w="5636" w:type="dxa"/>
          </w:tcPr>
          <w:p w14:paraId="75F2D13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580 км/час</w:t>
            </w:r>
          </w:p>
        </w:tc>
      </w:tr>
      <w:tr w:rsidR="006331D6" w:rsidRPr="007224C3" w14:paraId="40B0459A" w14:textId="77777777">
        <w:tc>
          <w:tcPr>
            <w:tcW w:w="5636" w:type="dxa"/>
          </w:tcPr>
          <w:p w14:paraId="65A5366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Самолет Як-1 N 12163 производства завода N 292 </w:t>
            </w:r>
          </w:p>
        </w:tc>
        <w:tc>
          <w:tcPr>
            <w:tcW w:w="5636" w:type="dxa"/>
          </w:tcPr>
          <w:p w14:paraId="0E251C0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7910ED5A" w14:textId="77777777">
        <w:tc>
          <w:tcPr>
            <w:tcW w:w="5636" w:type="dxa"/>
          </w:tcPr>
          <w:p w14:paraId="456B0CB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выпуска ноября 1943 года.</w:t>
            </w:r>
          </w:p>
        </w:tc>
        <w:tc>
          <w:tcPr>
            <w:tcW w:w="5636" w:type="dxa"/>
          </w:tcPr>
          <w:p w14:paraId="36D3DEA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0475CD6E" w14:textId="77777777">
        <w:tc>
          <w:tcPr>
            <w:tcW w:w="5636" w:type="dxa"/>
          </w:tcPr>
          <w:p w14:paraId="196E833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Полетный вес не определялся из-за неисправности весов на заводе.</w:t>
            </w:r>
          </w:p>
        </w:tc>
        <w:tc>
          <w:tcPr>
            <w:tcW w:w="5636" w:type="dxa"/>
          </w:tcPr>
          <w:p w14:paraId="3FADAA9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08F03DF9" w14:textId="77777777">
        <w:tc>
          <w:tcPr>
            <w:tcW w:w="5636" w:type="dxa"/>
          </w:tcPr>
          <w:p w14:paraId="3656AA6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Полетный вес</w:t>
            </w:r>
          </w:p>
        </w:tc>
        <w:tc>
          <w:tcPr>
            <w:tcW w:w="5636" w:type="dxa"/>
          </w:tcPr>
          <w:p w14:paraId="35D35EF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2998 кг</w:t>
            </w:r>
          </w:p>
        </w:tc>
      </w:tr>
      <w:tr w:rsidR="006331D6" w:rsidRPr="007224C3" w14:paraId="15CAF043" w14:textId="77777777">
        <w:tc>
          <w:tcPr>
            <w:tcW w:w="5636" w:type="dxa"/>
          </w:tcPr>
          <w:p w14:paraId="03862B1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 скорость у земли</w:t>
            </w:r>
          </w:p>
        </w:tc>
        <w:tc>
          <w:tcPr>
            <w:tcW w:w="5636" w:type="dxa"/>
          </w:tcPr>
          <w:p w14:paraId="4D2EC1B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5108899B" w14:textId="77777777">
        <w:tc>
          <w:tcPr>
            <w:tcW w:w="5636" w:type="dxa"/>
          </w:tcPr>
          <w:p w14:paraId="256FFF3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оборотах мотора 2700 об/мин.</w:t>
            </w:r>
          </w:p>
        </w:tc>
        <w:tc>
          <w:tcPr>
            <w:tcW w:w="5636" w:type="dxa"/>
          </w:tcPr>
          <w:p w14:paraId="549E1E9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522 км/час</w:t>
            </w:r>
          </w:p>
        </w:tc>
      </w:tr>
      <w:tr w:rsidR="006331D6" w:rsidRPr="007224C3" w14:paraId="0A5B3DCA" w14:textId="77777777">
        <w:tc>
          <w:tcPr>
            <w:tcW w:w="5636" w:type="dxa"/>
          </w:tcPr>
          <w:p w14:paraId="4F93D7B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-"- 2550 об/мин.</w:t>
            </w:r>
          </w:p>
        </w:tc>
        <w:tc>
          <w:tcPr>
            <w:tcW w:w="5636" w:type="dxa"/>
          </w:tcPr>
          <w:p w14:paraId="75C7BAE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527 км/час</w:t>
            </w:r>
          </w:p>
        </w:tc>
      </w:tr>
      <w:tr w:rsidR="006331D6" w:rsidRPr="007224C3" w14:paraId="577DC1BE" w14:textId="77777777">
        <w:tc>
          <w:tcPr>
            <w:tcW w:w="5636" w:type="dxa"/>
          </w:tcPr>
          <w:p w14:paraId="695E35A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 скорость на 2-й</w:t>
            </w:r>
          </w:p>
        </w:tc>
        <w:tc>
          <w:tcPr>
            <w:tcW w:w="5636" w:type="dxa"/>
          </w:tcPr>
          <w:p w14:paraId="5E3CA47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135BDCFB" w14:textId="77777777">
        <w:tc>
          <w:tcPr>
            <w:tcW w:w="5636" w:type="dxa"/>
          </w:tcPr>
          <w:p w14:paraId="0E7E7A6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границе высотности (Н=4050 м)</w:t>
            </w:r>
          </w:p>
        </w:tc>
        <w:tc>
          <w:tcPr>
            <w:tcW w:w="5636" w:type="dxa"/>
          </w:tcPr>
          <w:p w14:paraId="252B90B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589 км/час</w:t>
            </w:r>
          </w:p>
        </w:tc>
      </w:tr>
      <w:tr w:rsidR="006331D6" w:rsidRPr="007224C3" w14:paraId="2818AA6A" w14:textId="77777777">
        <w:tc>
          <w:tcPr>
            <w:tcW w:w="5636" w:type="dxa"/>
          </w:tcPr>
          <w:p w14:paraId="46393F8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Время набора высоты 50000 м</w:t>
            </w:r>
          </w:p>
        </w:tc>
        <w:tc>
          <w:tcPr>
            <w:tcW w:w="5636" w:type="dxa"/>
          </w:tcPr>
          <w:p w14:paraId="1D462C2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5,8 мин.</w:t>
            </w:r>
          </w:p>
        </w:tc>
      </w:tr>
    </w:tbl>
    <w:p w14:paraId="554E5A9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Предъявленные заводом N 292 самолеты N 17162 и 20162 испытания не выдержали из-за плохой работы ВМГ (течь воды через прокладку рубашки цилиндров в картер, недодача оборотов мотора).</w:t>
      </w:r>
    </w:p>
    <w:p w14:paraId="39F6CBB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Испытания самолетов заводов N 21 и N 381 не окончены из-за отсутствия летной погоды (1821,1).</w:t>
      </w:r>
    </w:p>
    <w:p w14:paraId="4BF127E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94CA9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января 1944 вышел приказ НКАП № 4с:</w:t>
      </w:r>
    </w:p>
    <w:p w14:paraId="502DF95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организации пр-ва бомбоампульных связок БАС-1 и ремонта установок вооружения, радиаторов, баков:</w:t>
      </w:r>
    </w:p>
    <w:p w14:paraId="0EC39F2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базе киевских з-в бывшего 454 и 455 организовать ремонтные мастерские № 1 и № 2, подчинив их 2 ГУ (1674, 39).</w:t>
      </w:r>
    </w:p>
    <w:p w14:paraId="01BE650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35A12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января 1944 вышло Постановление ГКО № 4879 Об организации авиаремонтного завода № 473 Наркомавиапрома в г. Киеве. РГАНИР, Фонд ГКО, д. 185, лл. 9,10-11 (11012).</w:t>
      </w:r>
    </w:p>
    <w:p w14:paraId="2474C53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2EBFA51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января 1944 года вышло решение ГКО за № 4979сс и 4 января 1944 года вышел приказ НКАП от № 6, которым б. Заводу № 43, восстановленному в конце 1942, был присвоен номер 473. Директором завода был назначен Пиняк В.М.</w:t>
      </w:r>
    </w:p>
    <w:p w14:paraId="092D87E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1945 по 1946 гг. – директор Дудник Е.П.</w:t>
      </w:r>
    </w:p>
    <w:p w14:paraId="32C357E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1946 по 1950 гг. – директор Миронов М.Р.</w:t>
      </w:r>
    </w:p>
    <w:p w14:paraId="0B0FE82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1950 по 1954 гг. – директор Шелест П.Е.</w:t>
      </w:r>
    </w:p>
    <w:p w14:paraId="7C48D7B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1954 по 1958 гг. – директор Степанченко В.А.</w:t>
      </w:r>
    </w:p>
    <w:p w14:paraId="1189256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1958 года – директор Ивченко А.Г.</w:t>
      </w:r>
    </w:p>
    <w:p w14:paraId="556CE60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 1945 года завод № 473 занимал следующие промплощадки:</w:t>
      </w:r>
    </w:p>
    <w:p w14:paraId="4DC0FC1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Промплощадку № 1 – бывш. строительство фабрики клавишных музыкальных инструментов</w:t>
      </w:r>
    </w:p>
    <w:p w14:paraId="7F9514D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Промплощадку № 2 – территорию бывш. завода № 43 и 6-го ж/д полка</w:t>
      </w:r>
    </w:p>
    <w:p w14:paraId="154D654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Промплощадку № 3 – бывш. опытный завод гл. конструктора Таирова В.К.</w:t>
      </w:r>
    </w:p>
    <w:p w14:paraId="55343C1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Промплощадку № 4 – аэродром КВО</w:t>
      </w:r>
    </w:p>
    <w:p w14:paraId="4FF17D7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Согласно распоряжению СНК от 23 октября 1945 года № 15327-Р промплощадки №№ 2 и 3 переданы НК гражданстрою.</w:t>
      </w:r>
    </w:p>
    <w:p w14:paraId="7E6732E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находится в 9 км от центра Киева и граничит:</w:t>
      </w:r>
    </w:p>
    <w:p w14:paraId="58184DE9" w14:textId="77777777" w:rsidR="003712D9" w:rsidRPr="007224C3" w:rsidRDefault="003712D9" w:rsidP="007224C3">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севера – с аэродромом завода № 473</w:t>
      </w:r>
    </w:p>
    <w:p w14:paraId="3771D1DD" w14:textId="77777777" w:rsidR="003712D9" w:rsidRPr="007224C3" w:rsidRDefault="003712D9" w:rsidP="007224C3">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востока – с Гостомельским шоссе</w:t>
      </w:r>
    </w:p>
    <w:p w14:paraId="248CEC8B" w14:textId="77777777" w:rsidR="003712D9" w:rsidRPr="007224C3" w:rsidRDefault="003712D9" w:rsidP="007224C3">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юга – с Брест-Литовским шоссе</w:t>
      </w:r>
    </w:p>
    <w:p w14:paraId="4D5B617E" w14:textId="77777777" w:rsidR="003712D9" w:rsidRPr="007224C3" w:rsidRDefault="003712D9" w:rsidP="007224C3">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запада – с ж/д линией Гомель-Коростень</w:t>
      </w:r>
    </w:p>
    <w:p w14:paraId="45B8062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переиод с 1920 по 1941 гг. производственная деятельность завода заключалась в ремонте самолетов и моторов, гл. образом иностранных марок. Наряду с ремонтом, начиная с 1926 года, завод приступил к созданию отечественной авиатехники, как опытных образцов, так и малых серий. Этапными вехами являются:</w:t>
      </w:r>
    </w:p>
    <w:p w14:paraId="3FD1B94D" w14:textId="77777777" w:rsidR="003712D9" w:rsidRPr="007224C3" w:rsidRDefault="003712D9" w:rsidP="007224C3">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“К-1” – 1925-1926 гг.</w:t>
      </w:r>
    </w:p>
    <w:p w14:paraId="6BBE875A" w14:textId="77777777" w:rsidR="003712D9" w:rsidRPr="007224C3" w:rsidRDefault="003712D9" w:rsidP="007224C3">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Серия автожиров “ЭА4” – 1932-1933 гг.</w:t>
      </w:r>
    </w:p>
    <w:p w14:paraId="075B735F" w14:textId="77777777" w:rsidR="003712D9" w:rsidRPr="007224C3" w:rsidRDefault="003712D9" w:rsidP="007224C3">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Серия первых советских скоростных пассажирских самолетов “ХАИ-1” – 1934-1936 гг.</w:t>
      </w:r>
    </w:p>
    <w:p w14:paraId="5A65B7BC" w14:textId="77777777" w:rsidR="003712D9" w:rsidRPr="007224C3" w:rsidRDefault="003712D9" w:rsidP="007224C3">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 Строительство опытных самолетов “ОКО-1” и “ОКО-6” конструкции Таирова В.К. – 1937-1941 гг.</w:t>
      </w:r>
    </w:p>
    <w:p w14:paraId="0B46984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июня 1941 года завод был разрушен с воздуха.</w:t>
      </w:r>
    </w:p>
    <w:p w14:paraId="2E4D256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был эвакуирован в гг. Новосибирск и Куйбышев.</w:t>
      </w:r>
    </w:p>
    <w:p w14:paraId="60A1989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После ВОВ завод стал крупносерийным.</w:t>
      </w:r>
    </w:p>
    <w:p w14:paraId="3266E7F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Адрес: Киев, Брест-Литовское шоссе, 146</w:t>
      </w:r>
    </w:p>
    <w:p w14:paraId="30DCC64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выпускал:</w:t>
      </w:r>
    </w:p>
    <w:p w14:paraId="20AFF880" w14:textId="77777777" w:rsidR="003712D9" w:rsidRPr="007224C3" w:rsidRDefault="003712D9" w:rsidP="007224C3">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Малые серии геликоптеров конструкции Братухина И.П.</w:t>
      </w:r>
    </w:p>
    <w:p w14:paraId="19DD0465" w14:textId="77777777" w:rsidR="003712D9" w:rsidRPr="007224C3" w:rsidRDefault="003712D9" w:rsidP="007224C3">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Опытный образец вертолета конструкции М.А. Миля.</w:t>
      </w:r>
    </w:p>
    <w:p w14:paraId="4EFE4B84" w14:textId="77777777" w:rsidR="003712D9" w:rsidRPr="007224C3" w:rsidRDefault="003712D9" w:rsidP="007224C3">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1949 года перешел на производство самолетов АН-2 конструкции О.К. Антонова (9609).</w:t>
      </w:r>
    </w:p>
    <w:p w14:paraId="0CA3E2F8" w14:textId="77777777" w:rsidR="003712D9" w:rsidRPr="007224C3" w:rsidRDefault="003712D9" w:rsidP="007224C3">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2286A023" w14:textId="65C3F1E8" w:rsidR="005163E5" w:rsidRPr="007224C3" w:rsidRDefault="005163E5"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lang w:eastAsia="ru-RU" w:bidi="ru-RU"/>
        </w:rPr>
        <w:t>3 января 1944 г. было принято решение о восстановлении авиазавода в Киеве. Предприятие, которому присвоили № 473, должно было занять тер</w:t>
      </w:r>
      <w:r w:rsidRPr="007224C3">
        <w:rPr>
          <w:rFonts w:ascii="Times New Roman" w:hAnsi="Times New Roman"/>
          <w:color w:val="0070C0"/>
          <w:sz w:val="16"/>
          <w:szCs w:val="16"/>
          <w:lang w:eastAsia="ru-RU" w:bidi="ru-RU"/>
        </w:rPr>
        <w:softHyphen/>
        <w:t>риторию довоенного авиазавода № 43, но поскольку его производственные помещения были полностью разрушены, завод временно расположился в нескольких ангарах на Жулянском аэродроме. Как и в Харькове, на заво</w:t>
      </w:r>
      <w:r w:rsidRPr="007224C3">
        <w:rPr>
          <w:rFonts w:ascii="Times New Roman" w:hAnsi="Times New Roman"/>
          <w:color w:val="0070C0"/>
          <w:sz w:val="16"/>
          <w:szCs w:val="16"/>
          <w:lang w:eastAsia="ru-RU" w:bidi="ru-RU"/>
        </w:rPr>
        <w:softHyphen/>
        <w:t>де № 473 наладили ремонт самолетов, а затем сборку истребителей Як-1, Як-7 и Як-9 (910 экземпляров в течение 1944 г.). Но уже в начале 1945 г. объемы производства резко упали, а к лету сборка истребителей практиче</w:t>
      </w:r>
      <w:r w:rsidRPr="007224C3">
        <w:rPr>
          <w:rFonts w:ascii="Times New Roman" w:hAnsi="Times New Roman"/>
          <w:color w:val="0070C0"/>
          <w:sz w:val="16"/>
          <w:szCs w:val="16"/>
          <w:lang w:eastAsia="ru-RU" w:bidi="ru-RU"/>
        </w:rPr>
        <w:softHyphen/>
        <w:t>ски прекратилась (23180).</w:t>
      </w:r>
    </w:p>
    <w:p w14:paraId="21BA3050" w14:textId="77777777" w:rsidR="005163E5" w:rsidRPr="007224C3" w:rsidRDefault="005163E5" w:rsidP="007224C3">
      <w:pPr>
        <w:spacing w:after="0" w:line="240" w:lineRule="auto"/>
        <w:jc w:val="both"/>
        <w:rPr>
          <w:rFonts w:ascii="Times New Roman" w:hAnsi="Times New Roman"/>
          <w:color w:val="0070C0"/>
          <w:sz w:val="16"/>
          <w:szCs w:val="16"/>
        </w:rPr>
      </w:pPr>
    </w:p>
    <w:p w14:paraId="0646F9A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января 1944 г. на площадке эвакуированного завода № 454 в Киеве по приказу № 4с организованы Ремонтные мастерские № 1 при 2ГУ НКАП для ремонта установок вооружения и производства ампульных связок ВАС-1. Затем на базе мастерских образован Завод № 483 при 2ГУ НКАП (Завод № 483 НКАП, МАЦ, МОП /Украина  г. Киев/). Производство агрегатов хим. вооружения.</w:t>
      </w:r>
    </w:p>
    <w:p w14:paraId="6BE4EA1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приказу № 34с от 30.01.1945 г. завод № 483 с 1.01.1945 г. передан из 2ГУ в 17ГУ для организации выпуска РЛ опознавательных приборов. В соответствии с пост. СМ СССР № 713-342 от 26.06.1957 г. передан в ведение СНХ УССР.</w:t>
      </w:r>
    </w:p>
    <w:p w14:paraId="47F54D7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1946 г. заводу поставлено 34 трофейных металлорежущих станка.</w:t>
      </w:r>
    </w:p>
    <w:p w14:paraId="28A8E73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Возможно, затем завод передан в МОП и далее это- завод № 784 (завод «Арсенал»).</w:t>
      </w:r>
    </w:p>
    <w:p w14:paraId="72BA991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(03.1946 г.)- И.И. Копошилко, (1951 г.)- Данилич.</w:t>
      </w:r>
    </w:p>
    <w:p w14:paraId="7B901A7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iCs/>
          <w:color w:val="000000" w:themeColor="text1"/>
          <w:sz w:val="16"/>
          <w:szCs w:val="16"/>
        </w:rPr>
        <w:t>Производство:</w:t>
      </w:r>
      <w:r w:rsidRPr="007224C3">
        <w:rPr>
          <w:rFonts w:ascii="Times New Roman" w:hAnsi="Times New Roman"/>
          <w:color w:val="000000" w:themeColor="text1"/>
          <w:sz w:val="16"/>
          <w:szCs w:val="16"/>
        </w:rPr>
        <w:t xml:space="preserve"> ответчик СОД-57М; РВ-2; «Натрий», ПСБН-М; РЛГС: ПАРГ-13ВВ для К-13Р, ТГС-59 для К- 55; прицельно-вычислительное устройство «Ландыш» для Ми-14; станция РЛ разведки и постановки помех IIP-1 (1954).</w:t>
      </w:r>
    </w:p>
    <w:p w14:paraId="62532A1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Киевский завод «Коммунист», ПО «Коммунист», Государственное ПО (ГПО) «Радар»,</w:t>
      </w:r>
    </w:p>
    <w:p w14:paraId="2B832B8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ОАО «Киевский завод «Радар» /Украина  г. Киев а/я 601/ /Украина 01650 (03680)  г. Киев ул. Предславинская, 35 тел. 269-93-03/</w:t>
      </w:r>
    </w:p>
    <w:p w14:paraId="622A564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«Коммунист» основан в 1930 г. Далее - завод № 454, после восстановления -- завод № 483 НКАП.</w:t>
      </w:r>
    </w:p>
    <w:p w14:paraId="0D3BBE8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Производство (2003 г.): метео РЛ-комплексы ЛА; УКВ-системы управления посадкой; аппаратура опознавания; высокочастотные антенны; ГСН.</w:t>
      </w:r>
    </w:p>
    <w:p w14:paraId="4808FC6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(2002 г.)- Т.П. Майоров.</w:t>
      </w:r>
    </w:p>
    <w:p w14:paraId="1BC7366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директора по экономике и ВЭС (2002 г.)- B.C. Майстренко.</w:t>
      </w:r>
      <w:r w:rsidRPr="007224C3">
        <w:rPr>
          <w:rFonts w:ascii="Times New Roman" w:hAnsi="Times New Roman"/>
          <w:color w:val="000000" w:themeColor="text1"/>
          <w:sz w:val="16"/>
          <w:szCs w:val="16"/>
          <w:vertAlign w:val="superscript"/>
        </w:rPr>
        <w:t>69</w:t>
      </w:r>
    </w:p>
    <w:p w14:paraId="447F28D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iCs/>
          <w:color w:val="000000" w:themeColor="text1"/>
          <w:sz w:val="16"/>
          <w:szCs w:val="16"/>
        </w:rPr>
        <w:t>Производство:</w:t>
      </w:r>
      <w:r w:rsidRPr="007224C3">
        <w:rPr>
          <w:rFonts w:ascii="Times New Roman" w:hAnsi="Times New Roman"/>
          <w:color w:val="000000" w:themeColor="text1"/>
          <w:sz w:val="16"/>
          <w:szCs w:val="16"/>
        </w:rPr>
        <w:t xml:space="preserve"> прицельно-навигационные системы ПНС-24 «Пума» для Су-24, ПНС-24М для Су-24М, ПНС- 24ПМ для Су-24МП (1970-е), IIHC-24MP для Су-24МР (1970-е); бытовой дозиметр СИМ-05 «Юпитер»; </w:t>
      </w:r>
      <w:r w:rsidRPr="007224C3">
        <w:rPr>
          <w:rFonts w:ascii="Times New Roman" w:hAnsi="Times New Roman"/>
          <w:iCs/>
          <w:color w:val="000000" w:themeColor="text1"/>
          <w:sz w:val="16"/>
          <w:szCs w:val="16"/>
        </w:rPr>
        <w:t>магнитофоны:</w:t>
      </w:r>
      <w:r w:rsidRPr="007224C3">
        <w:rPr>
          <w:rFonts w:ascii="Times New Roman" w:hAnsi="Times New Roman"/>
          <w:color w:val="000000" w:themeColor="text1"/>
          <w:sz w:val="16"/>
          <w:szCs w:val="16"/>
        </w:rPr>
        <w:t xml:space="preserve"> «Мр1я», «Юпитер-201С, -202С, -203С, МК-203С, -204С, -101С, МК-106С, -001С, -002С, 003С, - 004-квадро».</w:t>
      </w:r>
    </w:p>
    <w:p w14:paraId="5D4DCF7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ОКБ-483 МАП /Украина  г. Киев/</w:t>
      </w:r>
    </w:p>
    <w:p w14:paraId="0D1DC80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Разработка прицелов и систем управления УРВП. Велась отработка РЛ-прицелов ПСБН-М (1950 г.), ПСБН- МА (1954 г.-), созданных в ЦНИИ-108. В 08.1957 г.- в ведении 4ГУ ГКАТ.</w:t>
      </w:r>
    </w:p>
    <w:p w14:paraId="4A8F714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Возможно, затем ОКБ передано в МОП и далее это- ЦКБ «Арсенал».</w:t>
      </w:r>
    </w:p>
    <w:p w14:paraId="7BFAC97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конструктор (-1950-57 г.-) - В.П. Островский.</w:t>
      </w:r>
    </w:p>
    <w:p w14:paraId="5F0F343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(-1950-57 г.-) - В.П. Островский.</w:t>
      </w:r>
    </w:p>
    <w:p w14:paraId="655404E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iCs/>
          <w:color w:val="000000" w:themeColor="text1"/>
          <w:sz w:val="16"/>
          <w:szCs w:val="16"/>
        </w:rPr>
        <w:t>Создано:</w:t>
      </w:r>
      <w:r w:rsidRPr="007224C3">
        <w:rPr>
          <w:rFonts w:ascii="Times New Roman" w:hAnsi="Times New Roman"/>
          <w:color w:val="000000" w:themeColor="text1"/>
          <w:sz w:val="16"/>
          <w:szCs w:val="16"/>
        </w:rPr>
        <w:t xml:space="preserve"> РЛ прицелы: РБП-3, «Инициатива», «Инициатива-2» для Ту-98 и Ил-54 (1955-), «Инициатива-4» для Як-28И (середина 1950-х)</w:t>
      </w:r>
      <w:r w:rsidRPr="007224C3">
        <w:rPr>
          <w:rFonts w:ascii="Times New Roman" w:hAnsi="Times New Roman"/>
          <w:color w:val="000000" w:themeColor="text1"/>
          <w:sz w:val="16"/>
          <w:szCs w:val="16"/>
          <w:vertAlign w:val="superscript"/>
        </w:rPr>
        <w:t>74</w:t>
      </w:r>
      <w:r w:rsidRPr="007224C3">
        <w:rPr>
          <w:rFonts w:ascii="Times New Roman" w:hAnsi="Times New Roman"/>
          <w:color w:val="000000" w:themeColor="text1"/>
          <w:sz w:val="16"/>
          <w:szCs w:val="16"/>
        </w:rPr>
        <w:t>, «Самшит» для Ил-28 и Ил-54 (1955-); РЛ-ответчик «Штырь» (1955) (11982).</w:t>
      </w:r>
    </w:p>
    <w:p w14:paraId="634D6F67" w14:textId="77777777" w:rsidR="00414BE3" w:rsidRPr="007224C3" w:rsidRDefault="00414BE3" w:rsidP="007224C3">
      <w:pPr>
        <w:autoSpaceDE w:val="0"/>
        <w:autoSpaceDN w:val="0"/>
        <w:adjustRightInd w:val="0"/>
        <w:spacing w:after="0" w:line="240" w:lineRule="auto"/>
        <w:jc w:val="both"/>
        <w:rPr>
          <w:rFonts w:ascii="Times New Roman" w:hAnsi="Times New Roman"/>
          <w:color w:val="000000" w:themeColor="text1"/>
          <w:sz w:val="16"/>
          <w:szCs w:val="16"/>
        </w:rPr>
      </w:pPr>
    </w:p>
    <w:p w14:paraId="2CB7BFE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января 1944 г. на площадке эвакуированного завода № 455 им. Артема в Киеве по приказу № 4с от были сформированы Ремонтные мастерские № 1 при 2ГУ НКАП для производства ампульных связок ВАС-1 и ремонта установок вооружения. В том же году мастерские преобразованы в новый Завод № 485 им. Артема при 2ГУ НКАП.</w:t>
      </w:r>
    </w:p>
    <w:p w14:paraId="204AA41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1958 г. началось производство УРВВ.</w:t>
      </w:r>
    </w:p>
    <w:p w14:paraId="6A85DAA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12.1971 г. образован филиал № 3 КПО (далее- самостоятельный ЩЭМЗ).</w:t>
      </w:r>
    </w:p>
    <w:p w14:paraId="2C21F96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состав ПО входили (1990-е г.): ГосККБ «Луч», ЖМЗ, Красиловский агрегатный завод, ЩЭМЗ, завод «Красное знамя».</w:t>
      </w:r>
    </w:p>
    <w:p w14:paraId="2E69E23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Производство (2003 г.): электрооборудование ЛА (электродвигатели, электромеханизмы дистанционного управления, электромагнитные контакторы); авиационные ПУ, балочные и кассетные держатели, рейки; ТНП.</w:t>
      </w:r>
    </w:p>
    <w:p w14:paraId="2F187D9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Работали: Дунаев.</w:t>
      </w:r>
    </w:p>
    <w:p w14:paraId="5996343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(-12.1945-54 г.-)- Власов.</w:t>
      </w:r>
    </w:p>
    <w:p w14:paraId="725DE43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Производство: УРВВ: РС-2-У (К-5М, 1958-59), РС-2-УС (К-51, 1959-61-), К-8М (1960-), Р-98, К-13 (1960-), К-13Р (Р-3Р), "46" (К-40), Р-23Т, Р-23Р, Р-24Т, Р-24Р, Р-27; балочные держатели БД3-58-21; ПУ для ракет КАРС-160 (АПУ-14), АРС-212М (ПУ-12-40)., Власов (1954г). </w:t>
      </w:r>
    </w:p>
    <w:p w14:paraId="170901B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 485 им. Артема НКАП, МАП, Киевский завод им. Артема, ГП «Киевское ПО (КПО) им. Артема», Государственная акционерная холдинговая компания (ГАХК) «Артем»</w:t>
      </w:r>
    </w:p>
    <w:p w14:paraId="4F93034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Украина 252050 г. Киев ул. Мельникова, 2/10 тел. 213-21-24</w:t>
      </w:r>
    </w:p>
    <w:p w14:paraId="55F166B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Государственное Киевское КБ (ГосККБ) «Луч» </w:t>
      </w:r>
    </w:p>
    <w:p w14:paraId="28FDCBC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Украина 252050 г. Киев ул. Мельникова, 2 тел. 213-07-45</w:t>
      </w:r>
    </w:p>
    <w:p w14:paraId="2B804B1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ГосККБ «Луч» создано в 1965 г.</w:t>
      </w:r>
    </w:p>
    <w:p w14:paraId="73CDA67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Направления работ (1990-е г.): разработка и изготовление опытных партий: систем автоматизированного контроля и диагностики (АСКД) РЭО ЛА, судов; следящих электроприводных агрегатов для авиационных и зенитных ракет, торпед.</w:t>
      </w:r>
    </w:p>
    <w:p w14:paraId="33781FC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(1996 г.)- Л.А. Семенов.</w:t>
      </w:r>
    </w:p>
    <w:p w14:paraId="2267517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конструктор (1996 г.)- Л.А. Семенов.</w:t>
      </w:r>
    </w:p>
    <w:p w14:paraId="70ADCD1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Создано: АСКД: «Ингул», «Трубок», «Гурт», АК-ИПС; блок электронных рулевых приводов БЭРП-170.</w:t>
      </w:r>
    </w:p>
    <w:p w14:paraId="56A31E9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ГП «Жулянский машиностроительный завод (ЖМЗ) «Визар»</w:t>
      </w:r>
    </w:p>
    <w:p w14:paraId="4ADA4CB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Украина 08132 г. Вишневый Киевской обл. ул. Ломоносова, 1 тел. 52-933</w:t>
      </w:r>
    </w:p>
    <w:p w14:paraId="33BE06F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Создан в 1968 г. на базе филиала завода им. Артема. </w:t>
      </w:r>
    </w:p>
    <w:p w14:paraId="1C1DD63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Производство изделий для комплекса С-300. </w:t>
      </w:r>
    </w:p>
    <w:p w14:paraId="3FB00DC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Производство (2002 г.): бытовые счетчики газа, стабилизаторы давления газа, медицинские инструменты, автопринадлежности, сельхозтехника, деревообрабатывающий инструмент.</w:t>
      </w:r>
    </w:p>
    <w:p w14:paraId="600DEA5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Численность персонала (2002 г.): 1223 чел.</w:t>
      </w:r>
    </w:p>
    <w:p w14:paraId="10E4751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(2002 г.)- А.А. Коваль.</w:t>
      </w:r>
    </w:p>
    <w:p w14:paraId="276C802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Директора (2002 г.)- В.А. Бутенко, (2002 г.)- М.М. Таланов.</w:t>
      </w:r>
    </w:p>
    <w:p w14:paraId="087DCDC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инженер (2002 г.)- Ю.Г. Лабай.</w:t>
      </w:r>
    </w:p>
    <w:p w14:paraId="5D4C5B8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Щорский электромеханический завод (ЩЭМЗ)</w:t>
      </w:r>
    </w:p>
    <w:p w14:paraId="55603D2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Украина 251530 г. Щорс Черниговской обл. ул. 30 лет Победы, 39</w:t>
      </w:r>
    </w:p>
    <w:p w14:paraId="68161B3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образован в 12.1971 г. как филиал № 3 КПО им. Артема. 19.05.1993 г. филиал преобразован в ЩЭМЗ при Министерстве машиностроения, ВПК и конверсии.</w:t>
      </w:r>
    </w:p>
    <w:p w14:paraId="331DF87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Производство авиационного оборудования (контейнерная и кабельная продукция), ТНП.</w:t>
      </w:r>
    </w:p>
    <w:p w14:paraId="1FD2135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(1996 г.)- С.Н. Макаров.</w:t>
      </w:r>
    </w:p>
    <w:p w14:paraId="593D0B8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инженер (1996 г.)- И.И. Пискунов.</w:t>
      </w:r>
    </w:p>
    <w:p w14:paraId="15F138B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ГП «Красиловский агрегатный завод» </w:t>
      </w:r>
    </w:p>
    <w:p w14:paraId="62191D5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Украина 281500 г. Красилов Хмельницкой обл. тел. 21-453</w:t>
      </w:r>
    </w:p>
    <w:p w14:paraId="7888800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1990-е г. завод входил в КПО им. Артема.</w:t>
      </w:r>
    </w:p>
    <w:p w14:paraId="27A4876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Производство: механизмы держателей, авиационные ПУ (2002 г.).69 </w:t>
      </w:r>
    </w:p>
    <w:p w14:paraId="6DEC363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ОАО «Завод «Красное знамя» </w:t>
      </w:r>
    </w:p>
    <w:p w14:paraId="19E9B39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 Рязань</w:t>
      </w:r>
    </w:p>
    <w:p w14:paraId="359BF51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решению правительства № 22-р от 9.01.2004 г. вошло в перечень стратегических предприятий.</w:t>
      </w:r>
    </w:p>
    <w:p w14:paraId="3B16142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Гендиректор (2005 г.)- А. Мороз (10776).</w:t>
      </w:r>
    </w:p>
    <w:p w14:paraId="5910CB4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74524C5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января 1944 года приказом НКАП за № 12сс в целях создания производственно-экспериментальной базы в области опытного винтостроения на базе объединения ОКБ заводов за №№ 28, 35 и 132 был создан на производственных площадях винтового производства бывш. комбината № 150 в Ступино Московской области опытный завод № 25, который просуществовал до конца первого квартала 1945 года. Директором опытного завода № 25 был назначен Бандолетов М.С., гл. конструктором Жданов К.И.</w:t>
      </w:r>
    </w:p>
    <w:p w14:paraId="1447634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Приказом НКАП за № 151 от 20 апреля 1945 года опытный завод № 25 был реорганизован в ОКБ завода № 150.</w:t>
      </w:r>
    </w:p>
    <w:p w14:paraId="11B83AC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целях создания производственно-технической базы приказом МАП за № 155с от 25 марта 1946 года ОКБ завода № 150 было вторично реорганизовано в опытный завод по винтам и регуляторам под № 120. Директором и гл. конструктором опытного завода № 120 был назначен Жданов К.И. Завод выпускал малые серии воздушных винтов и регуляторов, необходимых для окончательной их обработки перед запуском в серийное производство.</w:t>
      </w:r>
    </w:p>
    <w:p w14:paraId="63B4205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Приказом МАП за № 417 от 17 июня 1948 года опытный завод № 120 был реорганизован в серийный завод по производству воздушных винтов за № 120. Директором завода № 120 был назначен Терентьев Н.В., гл. конструктором Жданов К.И. (9679).</w:t>
      </w:r>
    </w:p>
    <w:p w14:paraId="104A667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4A363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января 1944 г. на площадке эвакуированного завода № 455 в Киеве (ГС Завод № 455 ИМ. Артема НКАП, АО «Днепровский машиностроительный завод в Киеве», Днепровский машиностроительный завод «Венглинский, Ольшанский и К°», Завод «Млошевский и К</w:t>
      </w:r>
      <w:r w:rsidRPr="007224C3">
        <w:rPr>
          <w:rFonts w:ascii="Times New Roman" w:hAnsi="Times New Roman"/>
          <w:color w:val="000000" w:themeColor="text1"/>
          <w:sz w:val="16"/>
          <w:szCs w:val="16"/>
          <w:vertAlign w:val="superscript"/>
        </w:rPr>
        <w:t>0</w:t>
      </w:r>
      <w:r w:rsidRPr="007224C3">
        <w:rPr>
          <w:rFonts w:ascii="Times New Roman" w:hAnsi="Times New Roman"/>
          <w:color w:val="000000" w:themeColor="text1"/>
          <w:sz w:val="16"/>
          <w:szCs w:val="16"/>
        </w:rPr>
        <w:t>», Машиностроительный завод им. Артема, Завод им. Артема НКОМ /г. Киев/) по приказу № 4с были сформированы Ремонтные мастерские, которые в том же году преобразованы в новый Завод № 485 им. Артема НКАП.</w:t>
      </w:r>
    </w:p>
    <w:p w14:paraId="670F3C1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(10.1940 г.-)- Е.А. Рогов (11982).</w:t>
      </w:r>
    </w:p>
    <w:p w14:paraId="4E81233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4B3094D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января 1944 г. по приказу № 4с на площадке эвакуированного завода № 455 им. Артема в Киеве были сформированы Ремонтные мастерские № 1 при 2ГУ НКАП для производства ампульных связок ВАС-1 и ремонта установок вооружения. В том же году мастерские преобразованы в новый Завод № 485 им. Артема при 2ГУ НКАП (Завод № 485 ИМ. Артема НКАП, МАП, Киевский завод им. Артема, ГП «Киевское ордена Трудового Красного Знамени ПО (КПО) им. Артема», Государственная акционерная холдинговая компания (ГАХК) «Артем» /Украина 04050  г. Киев ул. Мельникова, 2/10 тел. 213-21-24/). Изготавливал приборы и вооружение для самолетов, в т.ч. ПУ для РС-82 и PC-132 для Ил-2 и Ил-10.</w:t>
      </w:r>
    </w:p>
    <w:p w14:paraId="21CA441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1946 г. заводу поставлено 169 трофейных металлорежущих станков.</w:t>
      </w:r>
    </w:p>
    <w:p w14:paraId="67A1D26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соответствии с пост. СМ СССР № 713-342 от 26.06.1957 г. передан в ведение СНХ УССР.</w:t>
      </w:r>
    </w:p>
    <w:p w14:paraId="4610D8C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1958 г. начато освоение производства УРВВ.</w:t>
      </w:r>
    </w:p>
    <w:p w14:paraId="0F587E8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1965 г. начато строительство филиала № 1 в  г. Вишневом Киевской обл. (с 1968 г.- ЖМЗ); в 1969 г.- филиала № 2 в  г. Красилове Хмельницкой обл. (затем- Красиловский агрегатный завод); в 12.1971 г. образован филиал № 3 (далее- самостоятельный ЩЭМЗ).</w:t>
      </w:r>
    </w:p>
    <w:p w14:paraId="50FB5BD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1975 г. на базе головного завода им. Артема создано КПО им. Артема, в состав которого вошли все три филиала и ККБ «Луч».</w:t>
      </w:r>
    </w:p>
    <w:p w14:paraId="55FEE33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1991 г. КПО - в ведении Министерства промышленной политики Украины. Ведущее предприятие СССР и Украины по производству УРВВ. В 1996 г. КПО преобразовано в ГАХК «Артем», в состав которой вошли 16 ОАО.</w:t>
      </w:r>
    </w:p>
    <w:p w14:paraId="2E5F202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состав ПО входили (1990-е  г.): ГосККБ «Луч», ЖМЗ, Красиловский агрегатный завод, ЩЭМЗ, завод «Красное знамя»; (2002 г.)- научно-технический испытательный центр «Спектр-Т», экспериментальное производство, 12 дочерних предприятий.</w:t>
      </w:r>
    </w:p>
    <w:p w14:paraId="12613EF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Производство (2003 г.): УРВВ; электрооборудование ЛА (электродвигатели, электромеханизмы дистанционного управления, электромагнитные контакторы); авиационные ПУ, балочные и кассетные держатели, рейки; автоматы пассивных помех; элетрооборудование для техники и транспорта; сложные штампы и пресс- формы; ТИП.</w:t>
      </w:r>
    </w:p>
    <w:p w14:paraId="37B9C93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Численность персонала (2002 г.)- 4650 чел.</w:t>
      </w:r>
    </w:p>
    <w:p w14:paraId="6D6A5A3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(1944-74 г.)- В.И. Власов, (1975-87 г.)- А.И. Кочетков.</w:t>
      </w:r>
    </w:p>
    <w:p w14:paraId="2413D22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по вопросам производства, МТО и транспорта (2002 г.)- С.Н. Смаль. Директор по маркетингу и техническому развитию (2002 г.)- В.И. Сейгов.</w:t>
      </w:r>
    </w:p>
    <w:p w14:paraId="277160C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iCs/>
          <w:color w:val="000000" w:themeColor="text1"/>
          <w:sz w:val="16"/>
          <w:szCs w:val="16"/>
        </w:rPr>
        <w:t>Производство: УРВВ:</w:t>
      </w:r>
      <w:r w:rsidRPr="007224C3">
        <w:rPr>
          <w:rFonts w:ascii="Times New Roman" w:hAnsi="Times New Roman"/>
          <w:color w:val="000000" w:themeColor="text1"/>
          <w:sz w:val="16"/>
          <w:szCs w:val="16"/>
        </w:rPr>
        <w:t xml:space="preserve"> РС-2-У (К-5М, 1958-59), РС-2-УС (К-51, 1959-61-), К-8М (I960-), Р-98, К-13 (I960-), К- 13Р (Р-ЗР), «46» (К-40), Р-23Т, Р-23Р, Р-24Т, Р-24Р, Р-27; балочные держатели БДЗ-58-21; ПУ для ракет КАРС- 160 (АПУ-14), АРС-212М (ПУ-12-40); автоматизированный комплекс «Гурт» для подготовки, контроля и техобслуживания УРВВ и бомб (2002); инвалидные коляски.</w:t>
      </w:r>
      <w:r w:rsidRPr="007224C3">
        <w:rPr>
          <w:rFonts w:ascii="Times New Roman" w:hAnsi="Times New Roman"/>
          <w:color w:val="000000" w:themeColor="text1"/>
          <w:sz w:val="16"/>
          <w:szCs w:val="16"/>
          <w:vertAlign w:val="superscript"/>
        </w:rPr>
        <w:t>69</w:t>
      </w:r>
    </w:p>
    <w:p w14:paraId="4399B65D" w14:textId="77777777" w:rsidR="003712D9" w:rsidRPr="007224C3" w:rsidRDefault="003712D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Государственное Киевское КБ (ГосККБ) «Луч» /Украина 04050  г. Киев ул. Мельникова, 2 тел. 213-07-45</w:t>
      </w:r>
      <w:r w:rsidR="000D5A0D" w:rsidRPr="007224C3">
        <w:rPr>
          <w:rFonts w:ascii="Times New Roman" w:hAnsi="Times New Roman"/>
          <w:color w:val="000000" w:themeColor="text1"/>
          <w:sz w:val="16"/>
          <w:szCs w:val="16"/>
        </w:rPr>
        <w:t>.</w:t>
      </w:r>
    </w:p>
    <w:p w14:paraId="7AF5D6F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ГосККБ «Луч» создано в 1965 г. Имело в своем составе приборостроительный завод (с 1995 г.- ОАО «Проминь»).</w:t>
      </w:r>
    </w:p>
    <w:p w14:paraId="4445938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1979 г. разрабатывает блоки следящих электрических приводов СУ авиационных, зенитных ракет и торпед. Создано более 10 типов рулевых отсеков.</w:t>
      </w:r>
    </w:p>
    <w:p w14:paraId="3C38B5C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Направления работ (1990-е  г.): разработка и изготовление опытных партий: систем автоматизированного контроля и диагностики (АСКД) РЭО ЛА, судов; следящих электроприводных агрегатов для авиационных и зенитных ракет, торпед; НИОКР по созданию перспективных образцов высокоточного оружия; системы контроля и управления технологическими процессами в промышленности.</w:t>
      </w:r>
    </w:p>
    <w:p w14:paraId="66A234B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1990-е  г. ГосККБ - головное предприятие по продлению ресурсов авиационных, зенитных ракет, минно- торпедного оружия.</w:t>
      </w:r>
    </w:p>
    <w:p w14:paraId="77CD046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(1996 г.)- Л.А. Семенов. Директор (2002 г.)- Л.А. Семенов.</w:t>
      </w:r>
    </w:p>
    <w:p w14:paraId="0F2EDEE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конструктор (-1996-2002 г.-)- Л.А. Семенов.</w:t>
      </w:r>
    </w:p>
    <w:p w14:paraId="142A049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1-й зам. директора (2002 г.)- О.П. Коростелев. Зам. директора по маркетингу и ВЭС (2002 г.)-  Г.С. Петров.</w:t>
      </w:r>
    </w:p>
    <w:p w14:paraId="2AFE989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1-й зам. гл. конструктора (2002 г.)- О.П. Коростелев.</w:t>
      </w:r>
    </w:p>
    <w:p w14:paraId="043128E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iCs/>
          <w:color w:val="000000" w:themeColor="text1"/>
          <w:sz w:val="16"/>
          <w:szCs w:val="16"/>
        </w:rPr>
        <w:t>Создано:</w:t>
      </w:r>
      <w:r w:rsidRPr="007224C3">
        <w:rPr>
          <w:rFonts w:ascii="Times New Roman" w:hAnsi="Times New Roman"/>
          <w:color w:val="000000" w:themeColor="text1"/>
          <w:sz w:val="16"/>
          <w:szCs w:val="16"/>
        </w:rPr>
        <w:t xml:space="preserve"> подвижная позиция предварительной подготовки ППП-ЗСМ для УРВБ на шасси УАЗ (1965); система автоматизированного контроля САК-46 для авиационных ракет, автоматическая контрольно- испытательная подвижная станция АКИПС-80 для противолодочных ракет (1965-69), АКИПС-125, АКИПС-4У для подводных ракет (ракето-торпеды «Шквал») (1977), АКИПС-1, АКИПС-3.2 для авиационных противолодочных ракет (1989); АСКД для авиационных ракет: «Ингул» на шасси ГАЗ-66 (1968-72), «Трубеж» (1977), «Ингул-А», «Трубеж-А» (1977-80), «Гурт» (1983), АК-ШТС; самолетный регистратор текущей информации РИУ (1975-77); блок электронных рулевых приводов БЭРП-170,</w:t>
      </w:r>
      <w:r w:rsidRPr="007224C3">
        <w:rPr>
          <w:rFonts w:ascii="Times New Roman" w:hAnsi="Times New Roman"/>
          <w:color w:val="000000" w:themeColor="text1"/>
          <w:sz w:val="16"/>
          <w:szCs w:val="16"/>
          <w:vertAlign w:val="superscript"/>
        </w:rPr>
        <w:t>69</w:t>
      </w:r>
      <w:r w:rsidRPr="007224C3">
        <w:rPr>
          <w:rFonts w:ascii="Times New Roman" w:hAnsi="Times New Roman"/>
          <w:color w:val="000000" w:themeColor="text1"/>
          <w:sz w:val="16"/>
          <w:szCs w:val="16"/>
        </w:rPr>
        <w:t xml:space="preserve"> блок для УРВБ Р-77 (1986); артиллерийский ракетно-космический комплекс суборбитального мониторинга «Сокол» (2000-е).</w:t>
      </w:r>
    </w:p>
    <w:p w14:paraId="6CFC1C4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ОАО «Проминь» /Украина пгт. Иванково ул. Фрунзе, 53 тел. 53-505/</w:t>
      </w:r>
    </w:p>
    <w:p w14:paraId="1ED4FC1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ОАО создано в 1995 г. на базе приборостроительного завода КБ «Луч».</w:t>
      </w:r>
    </w:p>
    <w:p w14:paraId="6BD8291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iCs/>
          <w:color w:val="000000" w:themeColor="text1"/>
          <w:sz w:val="16"/>
          <w:szCs w:val="16"/>
        </w:rPr>
        <w:t>Производство</w:t>
      </w:r>
      <w:r w:rsidRPr="007224C3">
        <w:rPr>
          <w:rFonts w:ascii="Times New Roman" w:hAnsi="Times New Roman"/>
          <w:color w:val="000000" w:themeColor="text1"/>
          <w:sz w:val="16"/>
          <w:szCs w:val="16"/>
        </w:rPr>
        <w:t xml:space="preserve"> (2002 г.): бортовая аппаратура встроенного контроля и предупреждения экипажа JIA «Экран»; блоки предельных команд БПК-88.</w:t>
      </w:r>
      <w:r w:rsidRPr="007224C3">
        <w:rPr>
          <w:rFonts w:ascii="Times New Roman" w:hAnsi="Times New Roman"/>
          <w:color w:val="000000" w:themeColor="text1"/>
          <w:sz w:val="16"/>
          <w:szCs w:val="16"/>
          <w:vertAlign w:val="superscript"/>
        </w:rPr>
        <w:t>69</w:t>
      </w:r>
    </w:p>
    <w:p w14:paraId="5EAE3C2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Филиал № 1 Завода им. Артема, ГП «Жулянский машиностроительный завод (ЖМЗ) «Визар» /Украина 08132  г. Вишневый Киевской обл. ул. Ломоносова, 1 тел. 52-933/</w:t>
      </w:r>
    </w:p>
    <w:p w14:paraId="5D46F03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Филиал № 1 завода им. Артема создан в 1965 г., с 1968 г. - самостоятельный ЖМЗ. В 1975 г. вошел в состав КПО им. Артема (и в 1990-е).</w:t>
      </w:r>
    </w:p>
    <w:p w14:paraId="05799F4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Производство (2002 г.): бытовые счетчики газа, стабилизаторы давления газа, медицинские инструменты, автопринадлежности, сельхозтехника, деревообрабатывающий инструмент.</w:t>
      </w:r>
    </w:p>
    <w:p w14:paraId="25E157D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Численность персонала (2002 г.): 1223 чел.</w:t>
      </w:r>
    </w:p>
    <w:p w14:paraId="50F2B6A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(2002 г.)- А.А. Коваль.</w:t>
      </w:r>
    </w:p>
    <w:p w14:paraId="0A561AA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Директора (2002 г.)- В.А. Бутенко, (2002 г.)- М.М. Таланов.</w:t>
      </w:r>
    </w:p>
    <w:p w14:paraId="244A624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инженер (2002 г.)- Ю Г. Лабай.</w:t>
      </w:r>
      <w:r w:rsidRPr="007224C3">
        <w:rPr>
          <w:rFonts w:ascii="Times New Roman" w:hAnsi="Times New Roman"/>
          <w:color w:val="000000" w:themeColor="text1"/>
          <w:sz w:val="16"/>
          <w:szCs w:val="16"/>
          <w:vertAlign w:val="superscript"/>
        </w:rPr>
        <w:t>69</w:t>
      </w:r>
    </w:p>
    <w:p w14:paraId="54A8E1D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iCs/>
          <w:color w:val="000000" w:themeColor="text1"/>
          <w:sz w:val="16"/>
          <w:szCs w:val="16"/>
        </w:rPr>
        <w:t>Производство:</w:t>
      </w:r>
      <w:r w:rsidRPr="007224C3">
        <w:rPr>
          <w:rFonts w:ascii="Times New Roman" w:hAnsi="Times New Roman"/>
          <w:color w:val="000000" w:themeColor="text1"/>
          <w:sz w:val="16"/>
          <w:szCs w:val="16"/>
        </w:rPr>
        <w:t xml:space="preserve"> изделия для комплекса С-300; противоракета А-350 системы А-35 -10, имитаторы противоракеты; авиационные ПУ УРВБ, УРВП для Су-30.</w:t>
      </w:r>
    </w:p>
    <w:p w14:paraId="6DEC906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Филиал № 2 Завода им. Артема, ГП «Красиловский агрегатный завод» /Украина 281500  г. Красилов Хмельницкой обл. тел. 21-453/</w:t>
      </w:r>
    </w:p>
    <w:p w14:paraId="276BB793" w14:textId="77777777" w:rsidR="003712D9" w:rsidRPr="007224C3" w:rsidRDefault="003712D9" w:rsidP="007224C3">
      <w:pPr>
        <w:tabs>
          <w:tab w:val="left" w:pos="6322"/>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Филиал № 2 Завода им. Артема создан в 1969 г. С 1975 г. (и в 1990-е  г.) Красиловский агрегатный завод входил в КПО им. Артема.</w:t>
      </w:r>
    </w:p>
    <w:p w14:paraId="6A6E504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iCs/>
          <w:color w:val="000000" w:themeColor="text1"/>
          <w:sz w:val="16"/>
          <w:szCs w:val="16"/>
        </w:rPr>
        <w:t>Производство:</w:t>
      </w:r>
      <w:r w:rsidRPr="007224C3">
        <w:rPr>
          <w:rFonts w:ascii="Times New Roman" w:hAnsi="Times New Roman"/>
          <w:color w:val="000000" w:themeColor="text1"/>
          <w:sz w:val="16"/>
          <w:szCs w:val="16"/>
        </w:rPr>
        <w:t xml:space="preserve"> механизмы держателей, авиационные ПУ (2002 г.).</w:t>
      </w:r>
      <w:r w:rsidRPr="007224C3">
        <w:rPr>
          <w:rFonts w:ascii="Times New Roman" w:hAnsi="Times New Roman"/>
          <w:color w:val="000000" w:themeColor="text1"/>
          <w:sz w:val="16"/>
          <w:szCs w:val="16"/>
          <w:vertAlign w:val="superscript"/>
        </w:rPr>
        <w:t>69</w:t>
      </w:r>
    </w:p>
    <w:p w14:paraId="25099CE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Филиал № 3 КПО им. Артема, Щорский электромеханический завод (ЩЭМЗ), ОАО «ЩЭМЗ» /Украина 251530  г. Щорс Черниговской обл. ул. 30 лет Победы, 39 тел. 22-803/</w:t>
      </w:r>
    </w:p>
    <w:p w14:paraId="7CD4910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образован в 12.1971 г. как филиал № 3 КПО им. Артема. В 1975 г. вошел в состав КПО им. Артема (и в 1990-е). 19.05.1993 г. филиал преобразован в ЩЭМЗ при Министерстве машиностроения, ВПК и конверсии.</w:t>
      </w:r>
    </w:p>
    <w:p w14:paraId="01CD585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Специализировался на холодной обработке металла, полуавтоматической сварке, штамповке, переработке пластмасс на термопластавтоматах. Производство авиационного оборудования (контейнерная и кабельная продукция), ТНП; (2002 г.): спецтехника к пусковым установкам; комбинированные отопительные котлы.</w:t>
      </w:r>
    </w:p>
    <w:p w14:paraId="3DC3F44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Численность персонала (2002 г.)- 486 чел.</w:t>
      </w:r>
    </w:p>
    <w:p w14:paraId="217F116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(1996 г.)- С.Н. Макаров.</w:t>
      </w:r>
    </w:p>
    <w:p w14:paraId="22CA689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инженер (1996 г.)- И.И. Пискунов.</w:t>
      </w:r>
    </w:p>
    <w:p w14:paraId="4A1B451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Производство (2002 г.): сварочные полуавтоматы: промышленный А-547УМ; бытовой «Сновь» (11982).</w:t>
      </w:r>
    </w:p>
    <w:p w14:paraId="13367433" w14:textId="77777777" w:rsidR="000D5A0D" w:rsidRPr="007224C3" w:rsidRDefault="000D5A0D" w:rsidP="007224C3">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2B149122"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4F109F9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BC64BD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января 1944 г. была подготовлена СПРАВКА О ВЫПОЛНЕНИИ ПОСТАНОВЛЕНИЙ ПРАВИТЕЛЬСТВА ПО ТУ ГБТУ КА НА 1.01.1944 г.</w:t>
      </w:r>
    </w:p>
    <w:p w14:paraId="1157C8C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Краткое содержание постановлений, их № и дата</w:t>
      </w:r>
    </w:p>
    <w:p w14:paraId="6FBF309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Что сделано по постановлению</w:t>
      </w:r>
    </w:p>
    <w:p w14:paraId="14B7318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Постановление ГОКО №3374 от 20.07.1943 г.</w:t>
      </w:r>
    </w:p>
    <w:p w14:paraId="52F49FE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обязать НКО (т. Федоренко) провести до 25.10.1943 г. поли</w:t>
      </w:r>
      <w:r w:rsidRPr="007224C3">
        <w:rPr>
          <w:rFonts w:ascii="Times New Roman" w:hAnsi="Times New Roman"/>
          <w:color w:val="000000" w:themeColor="text1"/>
          <w:sz w:val="16"/>
          <w:szCs w:val="16"/>
        </w:rPr>
        <w:softHyphen/>
        <w:t>гонные испытания танка КВ с электрической тягой и результаты испытаний к 1.11.1943 г. доложить ГОКО</w:t>
      </w:r>
    </w:p>
    <w:p w14:paraId="0DA724C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Постановление в срок не выполнено. О невыполнении постановления доложено т. Берии письмом №1142255 от 2.12.1943 года. При заводских испытаниях электродвига</w:t>
      </w:r>
      <w:r w:rsidRPr="007224C3">
        <w:rPr>
          <w:rFonts w:ascii="Times New Roman" w:hAnsi="Times New Roman"/>
          <w:color w:val="000000" w:themeColor="text1"/>
          <w:sz w:val="16"/>
          <w:szCs w:val="16"/>
        </w:rPr>
        <w:softHyphen/>
        <w:t>телей 27 декабря 1943 года поломались зубья солнечной шестерни бортовой передачи танка, вследствие чего испы</w:t>
      </w:r>
      <w:r w:rsidRPr="007224C3">
        <w:rPr>
          <w:rFonts w:ascii="Times New Roman" w:hAnsi="Times New Roman"/>
          <w:color w:val="000000" w:themeColor="text1"/>
          <w:sz w:val="16"/>
          <w:szCs w:val="16"/>
        </w:rPr>
        <w:softHyphen/>
        <w:t>тания электромоторов задерживаются</w:t>
      </w:r>
    </w:p>
    <w:p w14:paraId="603BBC0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Распоряжение ГОКО №4251 от 5.10.1943 г.</w:t>
      </w:r>
    </w:p>
    <w:p w14:paraId="6EA9B73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обязать ГБТУ КА т. Вершинина совместно с НКАП прове</w:t>
      </w:r>
      <w:r w:rsidRPr="007224C3">
        <w:rPr>
          <w:rFonts w:ascii="Times New Roman" w:hAnsi="Times New Roman"/>
          <w:color w:val="000000" w:themeColor="text1"/>
          <w:sz w:val="16"/>
          <w:szCs w:val="16"/>
        </w:rPr>
        <w:softHyphen/>
        <w:t>сти полигонные испытания опытных образцов дистанционных тахометров и к 1.02.1944 г. представить свои соображения о постановке их на серийное производство</w:t>
      </w:r>
    </w:p>
    <w:p w14:paraId="7FE725F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Тахометры изготовлены, испытания будут проводиться в январе</w:t>
      </w:r>
    </w:p>
    <w:p w14:paraId="61A8D60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Распоряжение ГОКО №4442 от 28.10.1943 г.</w:t>
      </w:r>
    </w:p>
    <w:p w14:paraId="25281EF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Изготовить 7 танковых моторов В-2 с коленчатыми валами, главными и прицепными шатунами и крышками к главным шатунам из стали ЭИ-500 и к 1.01.1944 г. НКТП совместно с ГБТУ КА провести дополнительные стендовые испытания 2 моторов и ходовые испытания 5 моторов.</w:t>
      </w:r>
    </w:p>
    <w:p w14:paraId="0F38C1B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Результаты испытаний представить 15.01.1944 г. в Госплан</w:t>
      </w:r>
    </w:p>
    <w:p w14:paraId="0F6BACF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Моторы не собраны к сроку. Вместо 25.11.1943 г. сборка начата 14.12.1943 г. В связи с этим сроки изготовления образцов и испытаний их соответственно затягиваются. Написано письмо т. Микояну</w:t>
      </w:r>
    </w:p>
    <w:p w14:paraId="30D68D3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Распоряжение СНК №22664 от 28.11.1943 г.</w:t>
      </w:r>
    </w:p>
    <w:p w14:paraId="31F5486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Обязать НКТП (т. Котина) изготовить на заводе №100 по чер</w:t>
      </w:r>
      <w:r w:rsidRPr="007224C3">
        <w:rPr>
          <w:rFonts w:ascii="Times New Roman" w:hAnsi="Times New Roman"/>
          <w:color w:val="000000" w:themeColor="text1"/>
          <w:sz w:val="16"/>
          <w:szCs w:val="16"/>
        </w:rPr>
        <w:softHyphen/>
        <w:t>тежам ГБТУ КА и ЦНИПО НКВД СССР опытную партию автома</w:t>
      </w:r>
      <w:r w:rsidRPr="007224C3">
        <w:rPr>
          <w:rFonts w:ascii="Times New Roman" w:hAnsi="Times New Roman"/>
          <w:color w:val="000000" w:themeColor="text1"/>
          <w:sz w:val="16"/>
          <w:szCs w:val="16"/>
        </w:rPr>
        <w:softHyphen/>
        <w:t>тических углекислотных огнегасительных установок и оборудо</w:t>
      </w:r>
      <w:r w:rsidRPr="007224C3">
        <w:rPr>
          <w:rFonts w:ascii="Times New Roman" w:hAnsi="Times New Roman"/>
          <w:color w:val="000000" w:themeColor="text1"/>
          <w:sz w:val="16"/>
          <w:szCs w:val="16"/>
        </w:rPr>
        <w:softHyphen/>
        <w:t>вать ими в декабре 1943 г. - январе 1944 г. 100 танков Т-34</w:t>
      </w:r>
    </w:p>
    <w:p w14:paraId="29E6AEA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Распоряжение выполняется</w:t>
      </w:r>
    </w:p>
    <w:p w14:paraId="11C7B28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Постановление ГОКО №4851 от 27.12.1943 г.</w:t>
      </w:r>
    </w:p>
    <w:p w14:paraId="3517FDA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Проведение полигонных испытаний 85-мм пушек С-53 и С-50 в танке Т-34 закончить до 30 декабря, результаты доло</w:t>
      </w:r>
      <w:r w:rsidRPr="007224C3">
        <w:rPr>
          <w:rFonts w:ascii="Times New Roman" w:hAnsi="Times New Roman"/>
          <w:color w:val="000000" w:themeColor="text1"/>
          <w:sz w:val="16"/>
          <w:szCs w:val="16"/>
        </w:rPr>
        <w:softHyphen/>
        <w:t>жить ГОКО 2.01.1944 г.</w:t>
      </w:r>
    </w:p>
    <w:p w14:paraId="746A634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К 1 января 1944 г. представить на испытания 100-мм пушки С-34 конструкции Грабина. Полигонные испытания про</w:t>
      </w:r>
      <w:r w:rsidRPr="007224C3">
        <w:rPr>
          <w:rFonts w:ascii="Times New Roman" w:hAnsi="Times New Roman"/>
          <w:color w:val="000000" w:themeColor="text1"/>
          <w:sz w:val="16"/>
          <w:szCs w:val="16"/>
        </w:rPr>
        <w:softHyphen/>
        <w:t>вести до 5.01.1944 г. доложить в ГОКО к 7.01.1944 г.</w:t>
      </w:r>
    </w:p>
    <w:p w14:paraId="3070824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Испытания закончены, результаты испытаний будут представлены в срок.</w:t>
      </w:r>
    </w:p>
    <w:p w14:paraId="67438B3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Система смонтирована в танк. Танк подготовлен к отправке</w:t>
      </w:r>
    </w:p>
    <w:p w14:paraId="2541264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танкового управления ГБТУ КА генерал-майор инженерно-танковой службы Афонин</w:t>
      </w:r>
    </w:p>
    <w:p w14:paraId="4F67704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6 отдела ТУ ГБТУ КА инженер-подполковник Солонин</w:t>
      </w:r>
    </w:p>
    <w:p w14:paraId="4E4C1E6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38. Оп. 11389. Д. 24. Л. 2-3. Подлинник (11403).</w:t>
      </w:r>
    </w:p>
    <w:p w14:paraId="5936320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0F28FDC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января 1944 г. вышло РАСПОРЯЖЕНИЕ ЗАМЕСТИТЕЛЯ НАЧАЛЬНИКА ГБТУ КА НАЧАЛЬНИКУ НИБТ ПОЛИГОНА ГБТУ КА ОБ ИСПЫТАНИЯХ УСТРОЙСТВ ДЛЯ ОБЛЕГЧЕНИЯ ЗАПУСКА ДВИГАТЕЛЯ ТАНКА В ЗИМНЕЕ ВРЕМЯ</w:t>
      </w:r>
    </w:p>
    <w:p w14:paraId="329C4B4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Устанавливаемые в танках Т-34 маслоперепускное устройство и калорифер для облегчения запуска двигателя в зимнее время недостаточно проверены при эксплуатации в войсках.</w:t>
      </w:r>
    </w:p>
    <w:p w14:paraId="30FFCA8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установления эффективности маслоперепускного устройства и калорифера и правил поль</w:t>
      </w:r>
      <w:r w:rsidRPr="007224C3">
        <w:rPr>
          <w:rFonts w:ascii="Times New Roman" w:hAnsi="Times New Roman"/>
          <w:color w:val="000000" w:themeColor="text1"/>
          <w:sz w:val="16"/>
          <w:szCs w:val="16"/>
        </w:rPr>
        <w:softHyphen/>
        <w:t>зования ими при заводке холодного двигателя проведите испытания на гарантийных танках Т-34 выпуска декабря месяца 1943 года заводов №183, Кировского, №112 и №174 по прилагаемой про</w:t>
      </w:r>
      <w:r w:rsidRPr="007224C3">
        <w:rPr>
          <w:rFonts w:ascii="Times New Roman" w:hAnsi="Times New Roman"/>
          <w:color w:val="000000" w:themeColor="text1"/>
          <w:sz w:val="16"/>
          <w:szCs w:val="16"/>
        </w:rPr>
        <w:softHyphen/>
        <w:t>грамме испытаний.</w:t>
      </w:r>
    </w:p>
    <w:p w14:paraId="6009E66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основе проведенных испытаний составить для войск инструкцию по запуску холодного дви</w:t>
      </w:r>
      <w:r w:rsidRPr="007224C3">
        <w:rPr>
          <w:rFonts w:ascii="Times New Roman" w:hAnsi="Times New Roman"/>
          <w:color w:val="000000" w:themeColor="text1"/>
          <w:sz w:val="16"/>
          <w:szCs w:val="16"/>
        </w:rPr>
        <w:softHyphen/>
        <w:t>гателя В-2-34 танков Т-34 и представить ее на утверждение.</w:t>
      </w:r>
    </w:p>
    <w:p w14:paraId="76D7CD5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Отчет по испытаниям и инструкцию по запуску двигателя представить к 25 января 1944 года. Приложение: «Программа испытания маслоперепускного устройства и калорифера, установ</w:t>
      </w:r>
      <w:r w:rsidRPr="007224C3">
        <w:rPr>
          <w:rFonts w:ascii="Times New Roman" w:hAnsi="Times New Roman"/>
          <w:color w:val="000000" w:themeColor="text1"/>
          <w:sz w:val="16"/>
          <w:szCs w:val="16"/>
        </w:rPr>
        <w:softHyphen/>
        <w:t>ленных в танках Т-34».</w:t>
      </w:r>
    </w:p>
    <w:p w14:paraId="4FED3BA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начальника ГБТУ Красной Армии генерал-лейтенант инженерно-танковой службы Лебедев</w:t>
      </w:r>
    </w:p>
    <w:p w14:paraId="5B154BC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Начальник танкового управления ГБТУ Красной Армии генерал-майор инженерно-танковой службы Афонин</w:t>
      </w:r>
    </w:p>
    <w:p w14:paraId="5B0A002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38. Оп. 11355. Д. 2507. Л. 39. Копия (11403).</w:t>
      </w:r>
    </w:p>
    <w:p w14:paraId="29B44AE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4AA7A5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января 1944 г. была подготовлена СВОДКА ТУ ГБТУ КА О НАЛИЧИИ ТАНКОВ В КРАСНОЙ АРМИИ ЗА ПЕРИОД С 1.01.1941 г. ПО 1.01.1944 г.</w:t>
      </w:r>
    </w:p>
    <w:tbl>
      <w:tblPr>
        <w:tblW w:w="0" w:type="auto"/>
        <w:tblInd w:w="40" w:type="dxa"/>
        <w:tblLayout w:type="fixed"/>
        <w:tblCellMar>
          <w:left w:w="40" w:type="dxa"/>
          <w:right w:w="40" w:type="dxa"/>
        </w:tblCellMar>
        <w:tblLook w:val="0000" w:firstRow="0" w:lastRow="0" w:firstColumn="0" w:lastColumn="0" w:noHBand="0" w:noVBand="0"/>
      </w:tblPr>
      <w:tblGrid>
        <w:gridCol w:w="413"/>
        <w:gridCol w:w="826"/>
        <w:gridCol w:w="1085"/>
        <w:gridCol w:w="1085"/>
        <w:gridCol w:w="902"/>
        <w:gridCol w:w="902"/>
        <w:gridCol w:w="902"/>
        <w:gridCol w:w="797"/>
        <w:gridCol w:w="893"/>
        <w:gridCol w:w="912"/>
        <w:gridCol w:w="922"/>
      </w:tblGrid>
      <w:tr w:rsidR="006331D6" w:rsidRPr="007224C3" w14:paraId="3FC7D0CD" w14:textId="77777777">
        <w:trPr>
          <w:trHeight w:val="835"/>
        </w:trPr>
        <w:tc>
          <w:tcPr>
            <w:tcW w:w="413" w:type="dxa"/>
            <w:tcBorders>
              <w:top w:val="single" w:sz="6" w:space="0" w:color="auto"/>
              <w:left w:val="single" w:sz="6" w:space="0" w:color="auto"/>
              <w:bottom w:val="single" w:sz="6" w:space="0" w:color="auto"/>
              <w:right w:val="single" w:sz="6" w:space="0" w:color="auto"/>
            </w:tcBorders>
          </w:tcPr>
          <w:p w14:paraId="1B24A0E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п/п</w:t>
            </w:r>
          </w:p>
          <w:p w14:paraId="673D2EA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3132D49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Тип танков</w:t>
            </w:r>
          </w:p>
          <w:p w14:paraId="0612999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29B35E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Наличие по переучетным данным по состоянию на 1.01.1941 г.</w:t>
            </w:r>
          </w:p>
          <w:p w14:paraId="676FEF6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C3F3DD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Выпущено заводами про-мышлен. за 1-е полугодие 1941 г.</w:t>
            </w:r>
          </w:p>
          <w:p w14:paraId="3135617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7E9CB3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 танков на 1.07.1941 г.</w:t>
            </w:r>
          </w:p>
          <w:p w14:paraId="0F257F1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C88FF6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Выпущено за 2-е полугодие 1941 г.</w:t>
            </w:r>
          </w:p>
          <w:p w14:paraId="1EBAE3C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2C1A04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 танков на 1.01.1942 г.</w:t>
            </w:r>
          </w:p>
          <w:p w14:paraId="592E090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561E01F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Выпущено за 1942 г.</w:t>
            </w:r>
          </w:p>
          <w:p w14:paraId="583EC4E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B1415F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 танков на 1.01.1943 г.</w:t>
            </w:r>
          </w:p>
          <w:p w14:paraId="4C9BE5A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13C6C6D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Выпущено за 1943 г.</w:t>
            </w:r>
          </w:p>
          <w:p w14:paraId="4BC6C0E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2E4455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 танков на 1.01.1944 г.</w:t>
            </w:r>
          </w:p>
          <w:p w14:paraId="2A454DD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5AD4894E"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6FA21BF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p w14:paraId="3916D3B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3BC5650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w:t>
            </w:r>
          </w:p>
          <w:p w14:paraId="1EC2A5C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C5F698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6360923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AD66C4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5F05866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2024C1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5D2D5E4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085A61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1241052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36FE31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5666CF9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41372B4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7C83FE9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ECA986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6D44C3F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021F996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67</w:t>
            </w:r>
          </w:p>
          <w:p w14:paraId="114CCBD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A343B7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67</w:t>
            </w:r>
          </w:p>
          <w:p w14:paraId="50DA1E9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4C527CFD" w14:textId="77777777">
        <w:trPr>
          <w:trHeight w:val="202"/>
        </w:trPr>
        <w:tc>
          <w:tcPr>
            <w:tcW w:w="413" w:type="dxa"/>
            <w:tcBorders>
              <w:top w:val="single" w:sz="6" w:space="0" w:color="auto"/>
              <w:left w:val="single" w:sz="6" w:space="0" w:color="auto"/>
              <w:bottom w:val="single" w:sz="6" w:space="0" w:color="auto"/>
              <w:right w:val="single" w:sz="6" w:space="0" w:color="auto"/>
            </w:tcBorders>
          </w:tcPr>
          <w:p w14:paraId="26A4583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p w14:paraId="09DA136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0E25FCF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ИС-2</w:t>
            </w:r>
          </w:p>
          <w:p w14:paraId="6266D80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E79D91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4389ED5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D63265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7FC24AC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5BBC254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5BEE5B2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22C8D0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622B7B3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923E5B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3130A8C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32C7811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2AB0C61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AAC660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22D2F62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123B222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35</w:t>
            </w:r>
          </w:p>
          <w:p w14:paraId="019AB53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726166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35</w:t>
            </w:r>
          </w:p>
          <w:p w14:paraId="7B35718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73CEEFA7"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1391C5B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p w14:paraId="5A5A9BC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6115FD4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КВ-1</w:t>
            </w:r>
          </w:p>
          <w:p w14:paraId="23A24F2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4C46F0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141</w:t>
            </w:r>
          </w:p>
          <w:p w14:paraId="1EE3444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FBFBD4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282</w:t>
            </w:r>
          </w:p>
          <w:p w14:paraId="49CDF47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D28234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423</w:t>
            </w:r>
          </w:p>
          <w:p w14:paraId="07DDBDB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0C429C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933</w:t>
            </w:r>
          </w:p>
          <w:p w14:paraId="6083099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1E13A0F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1356</w:t>
            </w:r>
          </w:p>
          <w:p w14:paraId="7213565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6AE4E27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1802</w:t>
            </w:r>
          </w:p>
          <w:p w14:paraId="69D0970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23E5FA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3158</w:t>
            </w:r>
          </w:p>
          <w:p w14:paraId="2DE946E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69525B6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1789211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2C80CD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3158</w:t>
            </w:r>
          </w:p>
          <w:p w14:paraId="4FA1232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2E721A77" w14:textId="77777777">
        <w:trPr>
          <w:trHeight w:val="202"/>
        </w:trPr>
        <w:tc>
          <w:tcPr>
            <w:tcW w:w="413" w:type="dxa"/>
            <w:tcBorders>
              <w:top w:val="single" w:sz="6" w:space="0" w:color="auto"/>
              <w:left w:val="single" w:sz="6" w:space="0" w:color="auto"/>
              <w:bottom w:val="single" w:sz="6" w:space="0" w:color="auto"/>
              <w:right w:val="single" w:sz="6" w:space="0" w:color="auto"/>
            </w:tcBorders>
          </w:tcPr>
          <w:p w14:paraId="64CCD20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w:t>
            </w:r>
          </w:p>
          <w:p w14:paraId="20A13F6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650A912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КВ-2</w:t>
            </w:r>
          </w:p>
          <w:p w14:paraId="6170A37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93B316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102</w:t>
            </w:r>
          </w:p>
          <w:p w14:paraId="2EE3AA0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EFE349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111</w:t>
            </w:r>
          </w:p>
          <w:p w14:paraId="2935711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2400AD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213</w:t>
            </w:r>
          </w:p>
          <w:p w14:paraId="6DEBEC1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ECDD58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09846C7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842BAD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213</w:t>
            </w:r>
          </w:p>
          <w:p w14:paraId="7306DC9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69496AD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4093A56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B3C185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213</w:t>
            </w:r>
          </w:p>
          <w:p w14:paraId="4B7F5C0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6FF9A9C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57F3AE4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3A70E7D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213</w:t>
            </w:r>
          </w:p>
          <w:p w14:paraId="187A7F4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2781D400"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6A6E263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p w14:paraId="1EBDD84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741F587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КВ-1 с</w:t>
            </w:r>
          </w:p>
          <w:p w14:paraId="71918EF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782598E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5568B32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CADF78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28FCA78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FB4424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415EB1B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8D5C93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6C956B9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B4C8E0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02F1F2E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170100A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624</w:t>
            </w:r>
          </w:p>
          <w:p w14:paraId="1C83EED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C6EF14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624</w:t>
            </w:r>
          </w:p>
          <w:p w14:paraId="172BAAC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0142862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463</w:t>
            </w:r>
          </w:p>
          <w:p w14:paraId="7021706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DE2821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1087</w:t>
            </w:r>
          </w:p>
          <w:p w14:paraId="05A50A1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049D1E32"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3AAED93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w:t>
            </w:r>
          </w:p>
          <w:p w14:paraId="60CF1AC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0443D07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КВ-8</w:t>
            </w:r>
          </w:p>
          <w:p w14:paraId="38A11C3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7C4C35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728704D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0D1D8A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4D71D7E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373E90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30C0331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58741ED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79D00E1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DBAAA4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3D2453A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35AA9F1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102</w:t>
            </w:r>
          </w:p>
          <w:p w14:paraId="6DA5F24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24C34C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102</w:t>
            </w:r>
          </w:p>
          <w:p w14:paraId="1090BB5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1B6FA95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25BF181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F0BDC6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102</w:t>
            </w:r>
          </w:p>
          <w:p w14:paraId="7513688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6AFC8FA2" w14:textId="77777777">
        <w:trPr>
          <w:trHeight w:val="202"/>
        </w:trPr>
        <w:tc>
          <w:tcPr>
            <w:tcW w:w="413" w:type="dxa"/>
            <w:tcBorders>
              <w:top w:val="single" w:sz="6" w:space="0" w:color="auto"/>
              <w:left w:val="single" w:sz="6" w:space="0" w:color="auto"/>
              <w:bottom w:val="single" w:sz="6" w:space="0" w:color="auto"/>
              <w:right w:val="single" w:sz="6" w:space="0" w:color="auto"/>
            </w:tcBorders>
          </w:tcPr>
          <w:p w14:paraId="1A9C050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w:t>
            </w:r>
          </w:p>
          <w:p w14:paraId="6E7AE05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7AFC9BC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КВ-8с</w:t>
            </w:r>
          </w:p>
          <w:p w14:paraId="47F01F9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1F8D40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21EAC0C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5F32B0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1CC75C8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7347EF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23F82CE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2DFDCA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6120F61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88DC12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0136C14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2CA122F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w:t>
            </w:r>
          </w:p>
          <w:p w14:paraId="3CC7790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B7C082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w:t>
            </w:r>
          </w:p>
          <w:p w14:paraId="7052B90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309240F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w:t>
            </w:r>
          </w:p>
          <w:p w14:paraId="75D295A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AC3E64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35</w:t>
            </w:r>
          </w:p>
          <w:p w14:paraId="386738D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0072D7F6"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761F198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w:t>
            </w:r>
          </w:p>
          <w:p w14:paraId="222374F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454AD34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КВ-85</w:t>
            </w:r>
          </w:p>
          <w:p w14:paraId="62979FA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DD3F21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76FAB62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B2A6B0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7557DCC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6BEA3B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1A9AF45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59CF0D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30D15C2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AC80B8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176FBE1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34DD710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2E45AAC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1B5659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67072EC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1999F80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148</w:t>
            </w:r>
          </w:p>
          <w:p w14:paraId="42CD3B2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662FE6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148</w:t>
            </w:r>
          </w:p>
          <w:p w14:paraId="2EC6172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01491C60" w14:textId="77777777">
        <w:trPr>
          <w:trHeight w:val="202"/>
        </w:trPr>
        <w:tc>
          <w:tcPr>
            <w:tcW w:w="413" w:type="dxa"/>
            <w:tcBorders>
              <w:top w:val="single" w:sz="6" w:space="0" w:color="auto"/>
              <w:left w:val="single" w:sz="6" w:space="0" w:color="auto"/>
              <w:bottom w:val="single" w:sz="6" w:space="0" w:color="auto"/>
              <w:right w:val="single" w:sz="6" w:space="0" w:color="auto"/>
            </w:tcBorders>
          </w:tcPr>
          <w:p w14:paraId="50D3B2F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w:t>
            </w:r>
          </w:p>
          <w:p w14:paraId="648562D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6C2E488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Т-35</w:t>
            </w:r>
          </w:p>
          <w:p w14:paraId="46A1E64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C0CB75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61</w:t>
            </w:r>
          </w:p>
          <w:p w14:paraId="1EE36F1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62A567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7144168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5C2035B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61</w:t>
            </w:r>
          </w:p>
          <w:p w14:paraId="5AB8B79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B690CF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0822BD5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7C67E3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61</w:t>
            </w:r>
          </w:p>
          <w:p w14:paraId="54E49BA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6134652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3219834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7CEFDA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61</w:t>
            </w:r>
          </w:p>
          <w:p w14:paraId="7AE60A5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6626C20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77EE897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151B9A6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61</w:t>
            </w:r>
          </w:p>
          <w:p w14:paraId="5EFF400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35058B69"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6CD246B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w:t>
            </w:r>
          </w:p>
          <w:p w14:paraId="59EF00D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410120B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Т-28</w:t>
            </w:r>
          </w:p>
          <w:p w14:paraId="6351AF3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FBB2EB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502</w:t>
            </w:r>
          </w:p>
          <w:p w14:paraId="5AFCE22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27BBAD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4FBAD1E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D14171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502</w:t>
            </w:r>
          </w:p>
          <w:p w14:paraId="16C6845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58D056F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4BA565F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345E14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502</w:t>
            </w:r>
          </w:p>
          <w:p w14:paraId="4AE0B9E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2A49EEC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715AF44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95B394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502</w:t>
            </w:r>
          </w:p>
          <w:p w14:paraId="4BB0B2F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54CE1EE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0284126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1FC1EF4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502</w:t>
            </w:r>
          </w:p>
          <w:p w14:paraId="6E04463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5894F253"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30C20B3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w:t>
            </w:r>
          </w:p>
          <w:p w14:paraId="1F362A0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7BF74CF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Т-29</w:t>
            </w:r>
          </w:p>
          <w:p w14:paraId="594FCA2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50B769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p w14:paraId="03D2383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2C3148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00F87A7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577F93E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p w14:paraId="545AE3B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DDF732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40522A9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B38A0E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p w14:paraId="36815A5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1B72A93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18D1BFD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1B9DC1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p w14:paraId="123E678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7F159C5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7B1AFB8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530997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p w14:paraId="447BB32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5A472CED"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6521507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w:t>
            </w:r>
          </w:p>
          <w:p w14:paraId="4A18B7C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315013C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Т-34</w:t>
            </w:r>
          </w:p>
          <w:p w14:paraId="6812BC9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1DAA34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115</w:t>
            </w:r>
          </w:p>
          <w:p w14:paraId="2BB6EF9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412B6B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1110</w:t>
            </w:r>
          </w:p>
          <w:p w14:paraId="7CF9820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AFDE25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1225</w:t>
            </w:r>
          </w:p>
          <w:p w14:paraId="48E10C6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CA6B63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1886</w:t>
            </w:r>
          </w:p>
          <w:p w14:paraId="22A96F8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5927E77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3111</w:t>
            </w:r>
          </w:p>
          <w:p w14:paraId="6AE7387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436CFEB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12211</w:t>
            </w:r>
          </w:p>
          <w:p w14:paraId="4774D78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87DF59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15322</w:t>
            </w:r>
          </w:p>
          <w:p w14:paraId="43448D7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37F494C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15218</w:t>
            </w:r>
          </w:p>
          <w:p w14:paraId="3CFC821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3E187AF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30540</w:t>
            </w:r>
          </w:p>
          <w:p w14:paraId="4C32F75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6E616D04" w14:textId="77777777">
        <w:trPr>
          <w:trHeight w:val="202"/>
        </w:trPr>
        <w:tc>
          <w:tcPr>
            <w:tcW w:w="413" w:type="dxa"/>
            <w:tcBorders>
              <w:top w:val="single" w:sz="6" w:space="0" w:color="auto"/>
              <w:left w:val="single" w:sz="6" w:space="0" w:color="auto"/>
              <w:bottom w:val="single" w:sz="6" w:space="0" w:color="auto"/>
              <w:right w:val="single" w:sz="6" w:space="0" w:color="auto"/>
            </w:tcBorders>
          </w:tcPr>
          <w:p w14:paraId="7793710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w:t>
            </w:r>
          </w:p>
          <w:p w14:paraId="6E63760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78B3C0C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Т-О34</w:t>
            </w:r>
          </w:p>
          <w:p w14:paraId="22F7BB8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4E31D0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67DCE18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FC5691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735D57C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5EFDE8A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4DD41E4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5D9A2CB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7EB20E5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FDC2F3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0D0C192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242D2A7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309</w:t>
            </w:r>
          </w:p>
          <w:p w14:paraId="73C3978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319A31D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309</w:t>
            </w:r>
          </w:p>
          <w:p w14:paraId="0377371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0F88238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478</w:t>
            </w:r>
          </w:p>
          <w:p w14:paraId="74C6B24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5B314C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787</w:t>
            </w:r>
          </w:p>
          <w:p w14:paraId="42310A3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07B4A2B7"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2AA0238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w:t>
            </w:r>
          </w:p>
          <w:p w14:paraId="5C7F82E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22CDACB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БТ-7</w:t>
            </w:r>
          </w:p>
          <w:p w14:paraId="476899D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2E1A18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4675</w:t>
            </w:r>
          </w:p>
          <w:p w14:paraId="74FE46C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59EF1E5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456C7AE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DB2B9D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4675</w:t>
            </w:r>
          </w:p>
          <w:p w14:paraId="7C905E7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9851B0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126BAC8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7C557C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4675</w:t>
            </w:r>
          </w:p>
          <w:p w14:paraId="78C47C3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24DE933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09C360C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276589E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4675</w:t>
            </w:r>
          </w:p>
          <w:p w14:paraId="7D68AFF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3434A93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634DA70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350DD33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4675</w:t>
            </w:r>
          </w:p>
          <w:p w14:paraId="6E6DDC9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42359423" w14:textId="77777777">
        <w:trPr>
          <w:trHeight w:val="202"/>
        </w:trPr>
        <w:tc>
          <w:tcPr>
            <w:tcW w:w="413" w:type="dxa"/>
            <w:tcBorders>
              <w:top w:val="single" w:sz="6" w:space="0" w:color="auto"/>
              <w:left w:val="single" w:sz="6" w:space="0" w:color="auto"/>
              <w:bottom w:val="single" w:sz="6" w:space="0" w:color="auto"/>
              <w:right w:val="single" w:sz="6" w:space="0" w:color="auto"/>
            </w:tcBorders>
          </w:tcPr>
          <w:p w14:paraId="37D304B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w:t>
            </w:r>
          </w:p>
          <w:p w14:paraId="3569EB0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3B6B3F7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БТ-7М</w:t>
            </w:r>
          </w:p>
          <w:p w14:paraId="1C6FA29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1BD17D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708</w:t>
            </w:r>
          </w:p>
          <w:p w14:paraId="4E48EB5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5E79976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79B2A56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55816AB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708</w:t>
            </w:r>
          </w:p>
          <w:p w14:paraId="60E6DA5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13535E3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0051AA8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5807313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708</w:t>
            </w:r>
          </w:p>
          <w:p w14:paraId="26F7EBB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101AA07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688A34D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91B015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708</w:t>
            </w:r>
          </w:p>
          <w:p w14:paraId="3C10290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530295A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25343D0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015033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708</w:t>
            </w:r>
          </w:p>
          <w:p w14:paraId="2129232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3BABD623"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1C80D2D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w:t>
            </w:r>
          </w:p>
          <w:p w14:paraId="1524561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2E06C89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БТ-2-5</w:t>
            </w:r>
          </w:p>
          <w:p w14:paraId="5549C00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95822A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2434</w:t>
            </w:r>
          </w:p>
          <w:p w14:paraId="153672A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4D85E0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5B9C470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155E980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2434</w:t>
            </w:r>
          </w:p>
          <w:p w14:paraId="68FA803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D15584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66E892A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34E07A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2434</w:t>
            </w:r>
          </w:p>
          <w:p w14:paraId="6387567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5A0E2A0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6C6ED12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25B1FC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2434</w:t>
            </w:r>
          </w:p>
          <w:p w14:paraId="2CE0233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2DB4A95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06D026D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A6F22E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2434</w:t>
            </w:r>
          </w:p>
          <w:p w14:paraId="149BE4F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27BD8A03" w14:textId="77777777">
        <w:trPr>
          <w:trHeight w:val="202"/>
        </w:trPr>
        <w:tc>
          <w:tcPr>
            <w:tcW w:w="413" w:type="dxa"/>
            <w:tcBorders>
              <w:top w:val="single" w:sz="6" w:space="0" w:color="auto"/>
              <w:left w:val="single" w:sz="6" w:space="0" w:color="auto"/>
              <w:bottom w:val="single" w:sz="6" w:space="0" w:color="auto"/>
              <w:right w:val="single" w:sz="6" w:space="0" w:color="auto"/>
            </w:tcBorders>
          </w:tcPr>
          <w:p w14:paraId="4A42C09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w:t>
            </w:r>
          </w:p>
          <w:p w14:paraId="7DE39D2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2010A66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Т-50</w:t>
            </w:r>
          </w:p>
          <w:p w14:paraId="39CC90F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77E21B8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38464AE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7BB36EE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2DB38E7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5C6CEAD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597AB0E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52E20DA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w:t>
            </w:r>
          </w:p>
          <w:p w14:paraId="453270D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B1F081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w:t>
            </w:r>
          </w:p>
          <w:p w14:paraId="3087735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575FAD0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w:t>
            </w:r>
          </w:p>
          <w:p w14:paraId="0C7E1E7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D63A02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65</w:t>
            </w:r>
          </w:p>
          <w:p w14:paraId="5204121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013619D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138992F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1FD7C30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65</w:t>
            </w:r>
          </w:p>
          <w:p w14:paraId="3360E85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25E07076"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2D646CB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w:t>
            </w:r>
          </w:p>
          <w:p w14:paraId="00ABA5F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540A27F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Т-26</w:t>
            </w:r>
          </w:p>
          <w:p w14:paraId="24AC184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792BDB1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11090</w:t>
            </w:r>
          </w:p>
          <w:p w14:paraId="2281F5C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EBD974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116</w:t>
            </w:r>
          </w:p>
          <w:p w14:paraId="7A62228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1D4D42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11206</w:t>
            </w:r>
          </w:p>
          <w:p w14:paraId="7CDB3D3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1C88CE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05D126D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3CC128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11206</w:t>
            </w:r>
          </w:p>
          <w:p w14:paraId="06EF784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2BE65C5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3F723F7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CF89BD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11206</w:t>
            </w:r>
          </w:p>
          <w:p w14:paraId="087FF72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303A524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4873ABA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188D56E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11206</w:t>
            </w:r>
          </w:p>
          <w:p w14:paraId="014A991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7A022C9E"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2E47159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w:t>
            </w:r>
          </w:p>
          <w:p w14:paraId="7813319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1361F16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Т-80</w:t>
            </w:r>
          </w:p>
          <w:p w14:paraId="2F774E4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F03647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1032258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ED6DFB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445185B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683784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7CAAEC0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42CA78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00238C5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ECB6BB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0CF17A8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26F70DF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6EDFDD6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D3C968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3866724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4D3A2BF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75</w:t>
            </w:r>
          </w:p>
          <w:p w14:paraId="4BB4677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2F2DCF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75</w:t>
            </w:r>
          </w:p>
          <w:p w14:paraId="1A1385D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7D43FF97" w14:textId="77777777">
        <w:trPr>
          <w:trHeight w:val="202"/>
        </w:trPr>
        <w:tc>
          <w:tcPr>
            <w:tcW w:w="413" w:type="dxa"/>
            <w:tcBorders>
              <w:top w:val="single" w:sz="6" w:space="0" w:color="auto"/>
              <w:left w:val="single" w:sz="6" w:space="0" w:color="auto"/>
              <w:bottom w:val="single" w:sz="6" w:space="0" w:color="auto"/>
              <w:right w:val="single" w:sz="6" w:space="0" w:color="auto"/>
            </w:tcBorders>
          </w:tcPr>
          <w:p w14:paraId="4076AD5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w:t>
            </w:r>
          </w:p>
          <w:p w14:paraId="23E5043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23DFF73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Т-70</w:t>
            </w:r>
          </w:p>
          <w:p w14:paraId="621AEFA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E681C1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3B09F94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8AC82E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5D27235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183ED1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7D2B6A7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59F37C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482BDF7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562933C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05B3EE5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62CBA7B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4883</w:t>
            </w:r>
          </w:p>
          <w:p w14:paraId="39EF14F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2403312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4883</w:t>
            </w:r>
          </w:p>
          <w:p w14:paraId="29806EB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3F24575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3343</w:t>
            </w:r>
          </w:p>
          <w:p w14:paraId="703898C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649C5C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8226</w:t>
            </w:r>
          </w:p>
          <w:p w14:paraId="1735928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220CBCED"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34B131E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w:t>
            </w:r>
          </w:p>
          <w:p w14:paraId="0CD5247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67E5D5F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Т-40-60</w:t>
            </w:r>
          </w:p>
          <w:p w14:paraId="774EE0B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80FA0D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41</w:t>
            </w:r>
          </w:p>
          <w:p w14:paraId="7A9A930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7083AF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181</w:t>
            </w:r>
          </w:p>
          <w:p w14:paraId="31CB805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7070BD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222</w:t>
            </w:r>
          </w:p>
          <w:p w14:paraId="145E954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B91413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1873</w:t>
            </w:r>
          </w:p>
          <w:p w14:paraId="5E7EFFC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927E66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2095</w:t>
            </w:r>
          </w:p>
          <w:p w14:paraId="1ABF37E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34D0E9D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4474</w:t>
            </w:r>
          </w:p>
          <w:p w14:paraId="4DA6E0A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605257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6569</w:t>
            </w:r>
          </w:p>
          <w:p w14:paraId="5E7ADB9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2A46DA6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55</w:t>
            </w:r>
          </w:p>
          <w:p w14:paraId="7B35F4F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002929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6624</w:t>
            </w:r>
          </w:p>
          <w:p w14:paraId="5DBFCC4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59924851" w14:textId="77777777">
        <w:trPr>
          <w:trHeight w:val="202"/>
        </w:trPr>
        <w:tc>
          <w:tcPr>
            <w:tcW w:w="413" w:type="dxa"/>
            <w:tcBorders>
              <w:top w:val="single" w:sz="6" w:space="0" w:color="auto"/>
              <w:left w:val="single" w:sz="6" w:space="0" w:color="auto"/>
              <w:bottom w:val="single" w:sz="6" w:space="0" w:color="auto"/>
              <w:right w:val="single" w:sz="6" w:space="0" w:color="auto"/>
            </w:tcBorders>
          </w:tcPr>
          <w:p w14:paraId="5DB8909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w:t>
            </w:r>
          </w:p>
          <w:p w14:paraId="0C90999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22605B4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Т-38</w:t>
            </w:r>
          </w:p>
          <w:p w14:paraId="659A28C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61A40E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1142</w:t>
            </w:r>
          </w:p>
          <w:p w14:paraId="183931D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538EC7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53D4DE1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858BCB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1142</w:t>
            </w:r>
          </w:p>
          <w:p w14:paraId="6F4BD62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B644A3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617F55E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D0E59E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1142</w:t>
            </w:r>
          </w:p>
          <w:p w14:paraId="5A9CB3F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48B1B12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63E4E5A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F4B070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1142</w:t>
            </w:r>
          </w:p>
          <w:p w14:paraId="5C590C0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5F2E5D4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10BC46C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1F3202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1142</w:t>
            </w:r>
          </w:p>
          <w:p w14:paraId="07260B7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2454C779"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5BED29D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w:t>
            </w:r>
          </w:p>
          <w:p w14:paraId="346ACB7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000D3E9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Т-37</w:t>
            </w:r>
          </w:p>
          <w:p w14:paraId="1727324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55C168B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2418</w:t>
            </w:r>
          </w:p>
          <w:p w14:paraId="77DB63E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69495B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7D4096F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1ECB43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2418</w:t>
            </w:r>
          </w:p>
          <w:p w14:paraId="60CA48D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B5A50E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62DE891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E3EACD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2418</w:t>
            </w:r>
          </w:p>
          <w:p w14:paraId="1578D03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56D9160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612F56B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01ECFE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2418</w:t>
            </w:r>
          </w:p>
          <w:p w14:paraId="691B6CF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5C30570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4586DDA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1F298D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2418</w:t>
            </w:r>
          </w:p>
          <w:p w14:paraId="32DEB1B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7D59F059"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6375287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w:t>
            </w:r>
          </w:p>
          <w:p w14:paraId="209DA62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5AFC395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Т-27</w:t>
            </w:r>
          </w:p>
          <w:p w14:paraId="19301B7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59A76C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2581</w:t>
            </w:r>
          </w:p>
          <w:p w14:paraId="71CC76C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BF4B39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059B5E4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47CDE9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2581</w:t>
            </w:r>
          </w:p>
          <w:p w14:paraId="357489B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52D5290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56938D5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5A22B5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2581</w:t>
            </w:r>
          </w:p>
          <w:p w14:paraId="6966195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0CE75CB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22DC120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FAD3A1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2581</w:t>
            </w:r>
          </w:p>
          <w:p w14:paraId="639A552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32C0A5A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239F1F1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A790DD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2581</w:t>
            </w:r>
          </w:p>
          <w:p w14:paraId="0114284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064DF1B4" w14:textId="77777777">
        <w:trPr>
          <w:trHeight w:val="221"/>
        </w:trPr>
        <w:tc>
          <w:tcPr>
            <w:tcW w:w="1239" w:type="dxa"/>
            <w:gridSpan w:val="2"/>
            <w:tcBorders>
              <w:top w:val="single" w:sz="6" w:space="0" w:color="auto"/>
              <w:left w:val="single" w:sz="6" w:space="0" w:color="auto"/>
              <w:bottom w:val="single" w:sz="6" w:space="0" w:color="auto"/>
              <w:right w:val="single" w:sz="6" w:space="0" w:color="auto"/>
            </w:tcBorders>
          </w:tcPr>
          <w:p w14:paraId="7E668E4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 танков</w:t>
            </w:r>
          </w:p>
          <w:p w14:paraId="3F6C25A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2ED9A5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26013</w:t>
            </w:r>
          </w:p>
          <w:p w14:paraId="6046BC3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4AE93A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1800</w:t>
            </w:r>
          </w:p>
          <w:p w14:paraId="0863E83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BD0E27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27813</w:t>
            </w:r>
          </w:p>
          <w:p w14:paraId="178DEB6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A8D343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4742</w:t>
            </w:r>
          </w:p>
          <w:p w14:paraId="56194C1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3880E7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32555</w:t>
            </w:r>
          </w:p>
          <w:p w14:paraId="359F4FA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3BBFBFD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24445</w:t>
            </w:r>
          </w:p>
          <w:p w14:paraId="4630675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9F9373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57000</w:t>
            </w:r>
          </w:p>
          <w:p w14:paraId="78C8252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3147144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19892</w:t>
            </w:r>
          </w:p>
          <w:p w14:paraId="0EE1B50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3EB4B4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76892</w:t>
            </w:r>
          </w:p>
          <w:p w14:paraId="74B2B16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773E3BF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танкового управления ГБТУ КА генерал-майор инженерно-танковой службы Афонин</w:t>
      </w:r>
    </w:p>
    <w:p w14:paraId="298F47B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38. Оп. 11355. Д. 663. Л. 9. Подлинник (11403).</w:t>
      </w:r>
    </w:p>
    <w:p w14:paraId="78BE774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3DF2525B" w14:textId="77777777" w:rsidR="0059774D" w:rsidRPr="007224C3" w:rsidRDefault="0059774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3 января по 8 марта 1944 года прошли испытания СУ-85 ГАЗ, имевшая также заводской индекс ГАЗ-75 - развитие САУ ГАЗ-74, которая отличаясь от неё не только более мощным орудием, но и усиленной броневой защитой. При боевой массе машины 14,5 тонн толщина её верхнего лобового листа составляла 82 мм. Испытания в целом закончились успешно, но дорабатывать машину не стали.</w:t>
      </w:r>
    </w:p>
    <w:p w14:paraId="144E4135" w14:textId="77777777" w:rsidR="0059774D" w:rsidRPr="007224C3" w:rsidRDefault="0059774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Причиной тому стало «торпедирование» А.А. Липгартом детища Астрова. Главный конструктор с конца 1943 года начал тихую (а местами и совсем не тихую) войну с военным производством на ГАЗ. Нет, Андрей Александрович не был диверсантом: им двигала необходимость переориентирования завода на производство «мирной» продукции. Кроме того, поскольку САУ ГАЗ-75 была во многом новой машиной, для её производства требовалась серьёзная перестройка мощностей завода. Поскольку объём выпуска САУ требовалось наращивать, внедрение ГАЗ-75 в серию оказалось невозможным (18098).</w:t>
      </w:r>
    </w:p>
    <w:p w14:paraId="1928410F" w14:textId="77777777" w:rsidR="0059774D" w:rsidRPr="007224C3" w:rsidRDefault="0059774D" w:rsidP="007224C3">
      <w:pPr>
        <w:spacing w:after="0" w:line="240" w:lineRule="auto"/>
        <w:jc w:val="both"/>
        <w:rPr>
          <w:rFonts w:ascii="Times New Roman" w:hAnsi="Times New Roman"/>
          <w:color w:val="000000" w:themeColor="text1"/>
          <w:sz w:val="16"/>
          <w:szCs w:val="16"/>
        </w:rPr>
      </w:pPr>
    </w:p>
    <w:p w14:paraId="385495C5"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января 1944 вышло Постановление ГКО № 4880 О частичном восстановлении энергетического хозяйства гор. Киева. (7167, 12-13,14-30).</w:t>
      </w:r>
    </w:p>
    <w:p w14:paraId="20027EAF"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AC2CA6E"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января 1944 вышло Постановление ГКО № 4881 О расширении производства синтетического ацетона и строительства заводов по выработке синтетического ацетона и вторичного бутилового спирта на базе использования отходящих газов нефтепереработки. (7167, 31-38,39-46).</w:t>
      </w:r>
    </w:p>
    <w:p w14:paraId="3DDCA30C"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467C8F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января 1944 вышло Постановление ГКО № 4882 О неотложных мерах по восстановлению заводов Наркомата боеприпасов и Наркомата минометного вооружения в районах Украинской ССР и Ростовской области под производство снарядов, мин, авиабомб, порохов и взрывчатых веществ. РГАНИР, Фонд ГКО, д. 185, лл. 47-60 (11012).</w:t>
      </w:r>
    </w:p>
    <w:p w14:paraId="2C95A21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03793271"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5B90CED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D5C44B4" w14:textId="77777777" w:rsidR="00414BE3" w:rsidRPr="007224C3" w:rsidRDefault="00414BE3"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3 января</w:t>
      </w:r>
      <w:r w:rsidRPr="007224C3">
        <w:rPr>
          <w:rFonts w:ascii="Times New Roman" w:hAnsi="Times New Roman"/>
          <w:color w:val="000000" w:themeColor="text1"/>
          <w:sz w:val="16"/>
          <w:szCs w:val="16"/>
        </w:rPr>
        <w:t xml:space="preserve"> в 1944 году оперативная сводка Совинформбюро:</w:t>
      </w:r>
    </w:p>
    <w:p w14:paraId="37C4A07B" w14:textId="77777777" w:rsidR="00414BE3" w:rsidRPr="007224C3" w:rsidRDefault="00414BE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«В течение 3 января в районе к северу от Невеля наши войска с боями продвигались вперёд и заняли 70 населённых пунктов, в том числе населённые пункты Акулино, Корзино, Сидорово, Трушкова, Леонцево, Лобачёво, Мече-Новка, Макулино, Печурино, Кожемячкино, Пунище, Мамонькино, Передельники, Богданово, Краснобаиха, Смольно, Апонасенки и железнодорожные станции Горушки, Каратай.</w:t>
      </w:r>
    </w:p>
    <w:p w14:paraId="0D4D6887" w14:textId="77777777" w:rsidR="00414BE3" w:rsidRPr="007224C3" w:rsidRDefault="00414BE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1-го Украинского фронта продолжали успешно развивать наступление и врезультате штурма овладели городом и железнодорожным узлом Новоград-Волынский, а также с боями заняли более 170 других населённых пунктов, в том числе районные центры Житомирской области Олевск, Эмильчино, Барановка, Дзержинск, районный центр Киевской области Тетиев, крупные населённые пункты Кишин, Подлубы, Середы, Катериновка, Гульск, Кануны, Киянка, Рогачёв, Клименталь, Людвиновка, Высокаяпечь, Крутая, Рудня Городище, Михайлин, Сопин, Спичинцы, Должек, Наказное,Тележинцы, Кашперовка, Скибинцы, Пятигоры, Сухой Яр, Торчица, Войнаровка,Кривец, Янышевка, Острая Могила, Пархомовка, Езерно, Корживка, Сорокотяги, Ольшанка, Соколовка, Юзефовка и железнодорожные станции Гарты, Эмильчино, Роскопано, Кашперовка, Друцкая.</w:t>
      </w:r>
    </w:p>
    <w:p w14:paraId="6DAFAE59" w14:textId="77777777" w:rsidR="00414BE3" w:rsidRPr="007224C3" w:rsidRDefault="00414BE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 разведка и артиллерийско-миномётная перестрелка.</w:t>
      </w:r>
    </w:p>
    <w:p w14:paraId="07C08C17" w14:textId="77777777" w:rsidR="00414BE3" w:rsidRPr="007224C3" w:rsidRDefault="00414BE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2 января наши войска на всех фронтах подбили и уничтожили 31 немецкий танк. В воздушных боях сбито 9 самолетов противника.</w:t>
      </w:r>
    </w:p>
    <w:p w14:paraId="00CAF64C" w14:textId="77777777" w:rsidR="00414BE3" w:rsidRPr="007224C3" w:rsidRDefault="00414BE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северу от Невеля наши войска продолжали вести наступательные бои. Части Н-ского соединения сломили сопротивление немцев и, продвигаясь вперёд, заняли 70 населённых пунктов. В боях за эти пункты уничтожено до 800 гитлеровцев. Наши бойцы захватили 2 танка, 22 орудия, 12 миномётов, 32 пулемёта, 400 автоматов ивинтовок, много снарядов и патронов. На другом участке бойцы Н-ской гвардейской части форсировали озеро и внезапно ворвались в расположение противника. Немцы были застигнуты врасплох и в беспорядке отступили. Наши гвардейцы заняли несколько сильно укреплённых пунктов, уничтожив при этом до батальона вражеской пехоты. Захвачены трофеи и пленные.</w:t>
      </w:r>
    </w:p>
    <w:p w14:paraId="05576DF9" w14:textId="77777777" w:rsidR="00414BE3" w:rsidRPr="007224C3" w:rsidRDefault="00414BE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1-го Украинского фронта продолжали успешное наступление. Стремительно продвигаясь вперёд, наши танковые части форсировали реку Случь, разгромили группу войск противника и прорвались к городу Новоград-Волынский. Советские танкисты окружили немецкий гарнизон и завязали уличные бои. Сегодня, 3 января, наши танкисты и пехотинцы решительным штурмом разгромили вражеский гарнизон и овладели городом Новоград-Волынский — крупным железнодорожным узлом и важным опорным пунктом обороны немцев. На подступах к городу и в уличных боях противник понёс тяжёлые потери. Остатки разбитого немецкого гарнизона взяты в плен. Наши бойцы захватили много орудий и стрелкового оружия, большое число автомашин и несколько крупных складов с военным имуществом. Части Н-ского соединения, преодолевая сопротивление противника, овладели районным центром Житомирской области и железнодорожной станцией Олевск. В боях за Олевск уничтожен батальон гитлеровцев. На других участках наши войска, продолжая развивать наступление, заняли районные центры Житомирской области Дзержинск, Барановку, Эмильчино, районный центр Киевской области Тетиев и свыше 170 других населённых пунктов. За день боёв уничтожено свыше 5 тысяч немецких солдат и офицеров. Захвачены 25 немецких танков, 6 бронемашин, 10 самоходных орудий, 640 автомашин и другие трофеи. В районе Эмильчино на сторону Красной Армии перешли в полном составе две роты немецкой пехоты.</w:t>
      </w:r>
    </w:p>
    <w:p w14:paraId="06228AF4" w14:textId="77777777" w:rsidR="00414BE3" w:rsidRPr="007224C3" w:rsidRDefault="00414BE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Партизанский отряд, действующий в Минской области, в декабре пустил под откос 6 железнодорожных эшелонов противника. Разбито 5 паровозов, 17 платформ с орудиями и автомашинами, 2 платформы с танками, 13 вагонов с боеприпасами и 18 вагонов с солдатами и офицерами. Под обломками вагонов погибло много гитлеровцев. Движение поездов на этом участке железной дороги было прервано на семь суток.</w:t>
      </w:r>
    </w:p>
    <w:p w14:paraId="76397907" w14:textId="77777777" w:rsidR="00414BE3" w:rsidRPr="007224C3" w:rsidRDefault="00414BE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Пленные ефрейторы Ганс Шмидт, Пауль Краузе и унтер-офицер Виллибальд Рихтер 5 роты 239 полка 106 немецкой пехотной дивизии рассказали: «Непрерывные бои обескровили нашу дивизию. В конце октября был расформирован 240 полк. В 239 полку формально числится два батальона, но эти батальоны по своей численности уступают обычной роте. От писарей штаба дивизии, переведённых на передовую, солдаты узнали содержание донесения командира дивизии генерал-лейтенанта Форста командованию 11 армейского корпуса. В этом донесении Форст сообщил, что за время с 29 сентября по 25 октября дивизия потеряла убитыми и тяжело ранеными 4.328 человек. Генерал далее указывал, что без крупных пополнений дивизия не всостоянии будет оборонять занимаемые ею позиции».</w:t>
      </w:r>
    </w:p>
    <w:p w14:paraId="15E4FFED" w14:textId="77777777" w:rsidR="00414BE3" w:rsidRPr="007224C3" w:rsidRDefault="00414BE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Ниже публикуется акт о зверствах немецко-фашистских мерзавцев в станице Голубицкая, Краснодарского края. В акте говорится: «Озверелые немецкие оккупанты грабили и убивали мирное население. Они открыли в станице три тюрьмы и два концлагеря. В этих застенках гестаповцы мучили и пытали арестованных советских граждан. Массовые расстрелы мирных жителей происходили на голубицком кладбище и в других местах. От рук гитлеровских палачей погибли колхозники Григорий Штеба, Николай Штеба, Едена Хамчук, Матрёна Пимахина, Тамара Леурда и многие другие. Отступая под ударами Красной Армии, немецкие захватчики насильно угнали большую часть населения. Специальные команды солдат из 646 немецкого инженерно-строительного батальона под командованием майора Штройта врывались в дома и прикладами выгоняли колхозников на большак. Здесь немцы объявили всем жителям, что они арестованы, и под усиленным конвоем угнали их к Керченскому проливу. Гитлеровцы разрушили все школы станицы, здание станичного совета, разобрали церковь, сожгли и разрушили 168 домов колхозников. В рыболовецком колхозе «Труженик моря» немцы вывели из строя весь парусно-гребной флот, 7 моторных катеров и уничтожили 3 тысячи сетей. Фашистские дикари вырубили в садах 4 тысячи фруктовых деревьев и уничтожили виноградники. Виновниками всех этих преступлений мы считаем майора Штройта, коменданта станицы Гауптмана и солда т646 немецкого инженерно-строительного батальона».</w:t>
      </w:r>
    </w:p>
    <w:p w14:paraId="0D3AEB36" w14:textId="77777777" w:rsidR="00414BE3" w:rsidRPr="007224C3" w:rsidRDefault="00414BE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Акт подписали жители станицы: Яков Капуста, Лука Пащенко, Захар Гриценко,Мария Костенко, Иван Миггель.» (14998).</w:t>
      </w:r>
    </w:p>
    <w:p w14:paraId="285E2E5E" w14:textId="77777777" w:rsidR="00414BE3" w:rsidRPr="007224C3" w:rsidRDefault="00414BE3" w:rsidP="007224C3">
      <w:pPr>
        <w:spacing w:after="0" w:line="240" w:lineRule="auto"/>
        <w:jc w:val="both"/>
        <w:rPr>
          <w:rFonts w:ascii="Times New Roman" w:hAnsi="Times New Roman"/>
          <w:color w:val="000000" w:themeColor="text1"/>
          <w:sz w:val="16"/>
          <w:szCs w:val="16"/>
        </w:rPr>
      </w:pPr>
    </w:p>
    <w:p w14:paraId="40258505" w14:textId="77777777" w:rsidR="00414BE3" w:rsidRPr="007224C3" w:rsidRDefault="00414BE3"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3 января</w:t>
      </w:r>
      <w:r w:rsidRPr="007224C3">
        <w:rPr>
          <w:rFonts w:ascii="Times New Roman" w:hAnsi="Times New Roman"/>
          <w:color w:val="000000" w:themeColor="text1"/>
          <w:sz w:val="16"/>
          <w:szCs w:val="16"/>
        </w:rPr>
        <w:t xml:space="preserve"> в 1944 году в СССР сформирована 2-я чехословацкая пехотная бригада (14998).</w:t>
      </w:r>
    </w:p>
    <w:p w14:paraId="7A6CE57B" w14:textId="77777777" w:rsidR="00414BE3" w:rsidRPr="007224C3" w:rsidRDefault="00414BE3" w:rsidP="007224C3">
      <w:pPr>
        <w:spacing w:after="0" w:line="240" w:lineRule="auto"/>
        <w:jc w:val="both"/>
        <w:rPr>
          <w:rFonts w:ascii="Times New Roman" w:hAnsi="Times New Roman"/>
          <w:color w:val="000000" w:themeColor="text1"/>
          <w:sz w:val="16"/>
          <w:szCs w:val="16"/>
        </w:rPr>
      </w:pPr>
    </w:p>
    <w:p w14:paraId="3EACA9A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rPr>
        <w:t>3 января 1944 согласно сообщению Совинформбюро группа и под командой ст.л. С.И.Маковского произвела налет на аэродром, где сбила в воздушном бою 4 и сожгла на земле 3. Был подбит с Кузнецова и Маковский, приземлившись рядом, принял и вывез его. СталГСС</w:t>
      </w:r>
      <w:r w:rsidRPr="007224C3">
        <w:rPr>
          <w:rFonts w:ascii="Times New Roman" w:hAnsi="Times New Roman"/>
          <w:color w:val="000000" w:themeColor="text1"/>
          <w:sz w:val="16"/>
          <w:szCs w:val="16"/>
          <w:lang w:val="en-US"/>
        </w:rPr>
        <w:t xml:space="preserve"> (438,892).</w:t>
      </w:r>
    </w:p>
    <w:p w14:paraId="00F4486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68A52C3"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7224C3">
        <w:rPr>
          <w:rFonts w:ascii="Times New Roman" w:hAnsi="Times New Roman"/>
          <w:i/>
          <w:iCs/>
          <w:color w:val="000000" w:themeColor="text1"/>
          <w:sz w:val="16"/>
          <w:szCs w:val="16"/>
        </w:rPr>
        <w:t>Зарубежом</w:t>
      </w:r>
      <w:r w:rsidRPr="007224C3">
        <w:rPr>
          <w:rFonts w:ascii="Times New Roman" w:hAnsi="Times New Roman"/>
          <w:i/>
          <w:iCs/>
          <w:color w:val="000000" w:themeColor="text1"/>
          <w:sz w:val="16"/>
          <w:szCs w:val="16"/>
          <w:lang w:val="en-US"/>
        </w:rPr>
        <w:t>:</w:t>
      </w:r>
    </w:p>
    <w:p w14:paraId="7395D74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5670E5A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January 3, 1944: The US Fifth Army (Clark) begins an offensive against the German forces in Italy (Kesselring) entrenched in the Gustav Line along the Rapido river, with its center at Cassino (3819).</w:t>
      </w:r>
    </w:p>
    <w:p w14:paraId="44274BA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28E158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января 1944 5А США (Кларк) начала наступление против немцев, закрепившихся на линии Густава с центром в Монте Кассино (3819).</w:t>
      </w:r>
    </w:p>
    <w:p w14:paraId="0FDD411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F7E14D" w14:textId="77777777" w:rsidR="00EB290F" w:rsidRPr="007224C3" w:rsidRDefault="00EB290F"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 xml:space="preserve">3 января 1944 стрелок из его шаровой башни </w:t>
      </w:r>
      <w:r w:rsidRPr="007224C3">
        <w:rPr>
          <w:rFonts w:ascii="Times New Roman" w:hAnsi="Times New Roman"/>
          <w:color w:val="0070C0"/>
          <w:sz w:val="16"/>
          <w:szCs w:val="16"/>
          <w:lang w:val="en-US"/>
        </w:rPr>
        <w:t>B</w:t>
      </w:r>
      <w:r w:rsidRPr="007224C3">
        <w:rPr>
          <w:rFonts w:ascii="Times New Roman" w:hAnsi="Times New Roman"/>
          <w:color w:val="0070C0"/>
          <w:sz w:val="16"/>
          <w:szCs w:val="16"/>
        </w:rPr>
        <w:t>-17</w:t>
      </w:r>
      <w:r w:rsidRPr="007224C3">
        <w:rPr>
          <w:rFonts w:ascii="Times New Roman" w:hAnsi="Times New Roman"/>
          <w:color w:val="0070C0"/>
          <w:sz w:val="16"/>
          <w:szCs w:val="16"/>
          <w:lang w:val="en-US"/>
        </w:rPr>
        <w:t>F</w:t>
      </w:r>
      <w:r w:rsidRPr="007224C3">
        <w:rPr>
          <w:rFonts w:ascii="Times New Roman" w:hAnsi="Times New Roman"/>
          <w:color w:val="0070C0"/>
          <w:sz w:val="16"/>
          <w:szCs w:val="16"/>
        </w:rPr>
        <w:t xml:space="preserve"> </w:t>
      </w:r>
      <w:r w:rsidRPr="007224C3">
        <w:rPr>
          <w:rFonts w:ascii="Times New Roman" w:hAnsi="Times New Roman"/>
          <w:color w:val="0070C0"/>
          <w:sz w:val="16"/>
          <w:szCs w:val="16"/>
          <w:lang w:val="en-US"/>
        </w:rPr>
        <w:t>Flying</w:t>
      </w:r>
      <w:r w:rsidRPr="007224C3">
        <w:rPr>
          <w:rFonts w:ascii="Times New Roman" w:hAnsi="Times New Roman"/>
          <w:color w:val="0070C0"/>
          <w:sz w:val="16"/>
          <w:szCs w:val="16"/>
        </w:rPr>
        <w:t xml:space="preserve"> </w:t>
      </w:r>
      <w:r w:rsidRPr="007224C3">
        <w:rPr>
          <w:rFonts w:ascii="Times New Roman" w:hAnsi="Times New Roman"/>
          <w:color w:val="0070C0"/>
          <w:sz w:val="16"/>
          <w:szCs w:val="16"/>
          <w:lang w:val="en-US"/>
        </w:rPr>
        <w:t>Fortress</w:t>
      </w:r>
      <w:r w:rsidRPr="007224C3">
        <w:rPr>
          <w:rFonts w:ascii="Times New Roman" w:hAnsi="Times New Roman"/>
          <w:color w:val="0070C0"/>
          <w:sz w:val="16"/>
          <w:szCs w:val="16"/>
        </w:rPr>
        <w:t xml:space="preserve"> </w:t>
      </w:r>
      <w:r w:rsidRPr="007224C3">
        <w:rPr>
          <w:rFonts w:ascii="Times New Roman" w:hAnsi="Times New Roman"/>
          <w:color w:val="0070C0"/>
          <w:sz w:val="16"/>
          <w:szCs w:val="16"/>
          <w:lang w:val="en-US"/>
        </w:rPr>
        <w:t>Snap</w:t>
      </w:r>
      <w:r w:rsidRPr="007224C3">
        <w:rPr>
          <w:rFonts w:ascii="Times New Roman" w:hAnsi="Times New Roman"/>
          <w:color w:val="0070C0"/>
          <w:sz w:val="16"/>
          <w:szCs w:val="16"/>
        </w:rPr>
        <w:t>! Треск! Поп!, сбитого Фокке-Вульф Fw 190 над Сен-Назером, Франция, старший сержант Алан Маги прыгает или сбрасывается с самолета без парашюта и падает четыре мили (6,4 км), проникая сквозь стеклянный потолок вокзала Сен-Назер. Он чудом выжил и провел остаток Второй мировой войны в качестве военнопленного (29373).</w:t>
      </w:r>
    </w:p>
    <w:p w14:paraId="238B26A8" w14:textId="77777777" w:rsidR="00EB290F" w:rsidRPr="007224C3" w:rsidRDefault="00EB290F" w:rsidP="007224C3">
      <w:pPr>
        <w:spacing w:after="0" w:line="240" w:lineRule="auto"/>
        <w:jc w:val="both"/>
        <w:rPr>
          <w:rFonts w:ascii="Times New Roman" w:hAnsi="Times New Roman"/>
          <w:color w:val="0070C0"/>
          <w:sz w:val="16"/>
          <w:szCs w:val="16"/>
        </w:rPr>
      </w:pPr>
    </w:p>
    <w:p w14:paraId="3617407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3 января 1944 года было прямое попадание в здание имперской канцелярии. Через два дня из убежища, находящегося на глубине 20 метров, был извлечен персонал канцелярии, ввиду прочности убежища оставшийся невредимым. Работающему и связанному с противовоздушной обороной населению выезд из Берлина запрещен. С 17 ноября 1943 господствует усталое и летаргическое настроение. В ноябре попаданием многих фугасных бомб разрушена станция метро "Виттенбергплац". Дома вблизи (например, мининдела) сгорели. Главный почтамт на Дессауэрштрассе сгорел. Почти все телефоны не работают. Прием телеграмм ограничен. Материалы министерств своевременно укрыты. Книги и дела больших банков почти полностью уничтожены бомбежками. С конца ноября нормальная работа банков невозможна. Погибла большая часть материалов муниципальных органов и учетные материалы военнообязанных. </w:t>
      </w:r>
    </w:p>
    <w:p w14:paraId="3511BE2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После десятого налета число оставшихся без крова исчисляется в два миллиона человек, причем они спасли только то, что имели при себе. Несмотря на драконовские меры и казни, угрожающие плакаты на разных языках, происходят грабежи и кражи, в которых участвуют иностранные рабочие. Отпускников специальными плакатами призывают владеть своими нервами и поспешить в свои части, где их ждут товарищи, иначе они будут подвергнуты строгому наказанию. Улицы Берлина кишат военными патрулями и полицейскими отрядами. Учащаются случаи невозвращения отпускников на фронт. </w:t>
      </w:r>
    </w:p>
    <w:p w14:paraId="04B971C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 ответ на обращение Геббельса слышны открытые насмешки или ругательства. Прессе дано указание критиковать второстепенные власти. За критику Гитлера люди исчезают. </w:t>
      </w:r>
    </w:p>
    <w:p w14:paraId="594DD5C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Сотни тысяч иностранных рабочих висят дамокловым мечом над Берлином. Они все расхищают. По ночам на затемненных улицах открывают канализационные люки, чтобы проваливались люди. Приводят в негодность телефонные автоматы. Перед ними не меньший страх, чем перед гестапо... </w:t>
      </w:r>
    </w:p>
    <w:p w14:paraId="1A0FE76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Все ждут и надеются на уничтожение промышленных районов Берлина и удивляются, что бомбы вместо этого попадают туда, где это вообще на военную машину влияния не оказывает. Вероятно, вследствие ошибочных наблюдений или неправильного представления больше всего пострадала та часть города, существование которой на ход войны едва ли оказывает существенное влияние. Промышленные сооружения востока, севера, Эркнер, Шпандау, Сименсштадт до сих пор почти не пострадали. Фюрстенвальд, самый большой центр военной промышленности берлинского района, вряд ли видел хотя бы один английский самолет... Налеты большей частью производились на юго-западную часть Берлина. Хотя они и причинили очень тяжелый ущерб, но для ведения войны они почти не имели значения. Юго-западные кварталы уничтожены, как и район Гедехтновкирхе, но шестиэтажное бетонное сооружение в непосредственной близости от зоологического сада, откуда управляется вся противовоздушная оборона Берлина, осталось невредимым... Тем, что бомбардировке подвергаются западные кварталы Берлина Грюнвальд, южное и западное предместья, положение правителей Берлина только облегчается, так как для гражданского населения меньше требуется электричества, воды, угля, продуктов. </w:t>
      </w:r>
    </w:p>
    <w:p w14:paraId="6F2D0A4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Из сообщения британского разведчика в Берлине, переданного советской агентурой в Москву, 1944 г. (11652).</w:t>
      </w:r>
    </w:p>
    <w:p w14:paraId="2DF0E21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4C1C15A4" w14:textId="77777777" w:rsidR="00EB290F" w:rsidRPr="007224C3" w:rsidRDefault="00EB290F"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3 января 1944 в условиях снежных шквалов и сильных порывов ветра, которые оставляют на земле все другие самолеты в этом районе, пилот береговой охраны США коммандер Фрэнк А. Эриксон, который пилотирует вертолет Сикорский HNS-1 совершает полет от Floyd Bennett Field в Бруклине, Нью - Йорк, в Бэттери - парк в Манхэттене, где он принимает лва контейнера, содержащие более 40 единиц плазмы крови , которые привязанные к поплавкам вертолету. Затем он летит для доставки плазмы в Sandy Hook, Нью - Джерси, где она используется для лечения пострадавших эсминца ВМС США USS Turner (DD-648), перевернувшегося и затонувшего в Атлантическом океане около гавани Нью – Йорк в то утро после серии сильных внутренних взрывов. Это и первый в истории полет вертолета в таких неблагоприятных погодных условиях, и первый в истории случай «спасательной операции» на вертолете (20373).</w:t>
      </w:r>
    </w:p>
    <w:p w14:paraId="6C772558" w14:textId="77777777" w:rsidR="00EB290F" w:rsidRPr="007224C3" w:rsidRDefault="00EB290F" w:rsidP="007224C3">
      <w:pPr>
        <w:spacing w:after="0" w:line="240" w:lineRule="auto"/>
        <w:jc w:val="both"/>
        <w:rPr>
          <w:rFonts w:ascii="Times New Roman" w:hAnsi="Times New Roman"/>
          <w:color w:val="0070C0"/>
          <w:sz w:val="16"/>
          <w:szCs w:val="16"/>
        </w:rPr>
      </w:pPr>
    </w:p>
    <w:p w14:paraId="31E088F8" w14:textId="77777777" w:rsidR="00EB290F" w:rsidRPr="007224C3" w:rsidRDefault="00EB290F"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 xml:space="preserve">3 января 1944 на эсминце «Тэрнер», находившемся на траверзе Нью-Йорка, произошел взрыв. После ликвидации возникшего пожара на борту, кроме погибших, оказалось много раненых, в том числе обожженных. Срочно требовалась плазма крови, доставить которую из госпиталя ВМС мешал шторм. На помощь пришел командир отряда вертолетов береговой охраны коммандер Ф. Эриксон. Пилот вылетел с авиастанции в районе Бруклина, совершил посадку на вертолете Сикорского </w:t>
      </w:r>
      <w:r w:rsidRPr="007224C3">
        <w:rPr>
          <w:rFonts w:ascii="Times New Roman" w:hAnsi="Times New Roman"/>
          <w:color w:val="0070C0"/>
          <w:sz w:val="16"/>
          <w:szCs w:val="16"/>
          <w:lang w:val="en-US"/>
        </w:rPr>
        <w:t>S</w:t>
      </w:r>
      <w:r w:rsidRPr="007224C3">
        <w:rPr>
          <w:rFonts w:ascii="Times New Roman" w:hAnsi="Times New Roman"/>
          <w:color w:val="0070C0"/>
          <w:sz w:val="16"/>
          <w:szCs w:val="16"/>
        </w:rPr>
        <w:t>-47 во дворе госпиталя, забрал приготовленную плазму и через 14 минут доставил ее по назначению, что позволило спасти пострадавших моряков (22830).</w:t>
      </w:r>
    </w:p>
    <w:p w14:paraId="0DF3706F" w14:textId="77777777" w:rsidR="00EB290F" w:rsidRPr="007224C3" w:rsidRDefault="00EB290F" w:rsidP="007224C3">
      <w:pPr>
        <w:spacing w:after="0" w:line="240" w:lineRule="auto"/>
        <w:jc w:val="both"/>
        <w:rPr>
          <w:rFonts w:ascii="Times New Roman" w:hAnsi="Times New Roman"/>
          <w:color w:val="0070C0"/>
          <w:sz w:val="16"/>
          <w:szCs w:val="16"/>
        </w:rPr>
      </w:pPr>
    </w:p>
    <w:p w14:paraId="6676E70F" w14:textId="77777777" w:rsidR="00EB290F" w:rsidRPr="007224C3" w:rsidRDefault="00EB290F"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3 января 1944 ас Грегори «Паппи» Boyington сбит над Rapopo Аэродром, Новой Британии на F4U Corsair Корпуса морской пехоты США с 24 победамиу. Считается, что он погиб, и 15 марта он получит «посмертную» Почетную медаль; на самом деле он выживает и проведет 20 месяцев в качестве военнопленного в Рабауле и Японии (20373).</w:t>
      </w:r>
    </w:p>
    <w:p w14:paraId="7A8B2268" w14:textId="77777777" w:rsidR="00EB290F" w:rsidRPr="007224C3" w:rsidRDefault="00EB290F" w:rsidP="007224C3">
      <w:pPr>
        <w:spacing w:after="0" w:line="240" w:lineRule="auto"/>
        <w:jc w:val="both"/>
        <w:rPr>
          <w:rFonts w:ascii="Times New Roman" w:hAnsi="Times New Roman"/>
          <w:color w:val="0070C0"/>
          <w:sz w:val="16"/>
          <w:szCs w:val="16"/>
        </w:rPr>
      </w:pPr>
    </w:p>
    <w:p w14:paraId="0D1DAC13"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465F1F1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A383BB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января 1944 г. С.В.И. утвердил проект четырехдвигательного Ил-12. В первом варианте проекта Ил-12 форма носовой части фюзеляжа была оптимизирована для восприятия нагрузок от избыточного давления в герметичной кабине и представляла собой полусферу с вписанным в нее остеклением. Такие обводы затем применялись на ранней версии Ил-18 (с поршневыми двигателями) и опытном реактивном бомбардировщике Ил-22. Проектируя Ил-12, ильюшинцы впервые в своей практике решили применить носовое колесо, как улучшающее безопасность взлета и посадки, т.к. радикально решало проблему капотирования самолета. Каждая опора оснащалась одним колесом большого диаметра. Убирались “ноги” назад: передняя - в негерметичный отсек под полом пассажирской кабины, основные - в гондолы внутренних двигателей. Под хвостовой частью фюзеляжа размещалось небольшое, полуутопленное в фюзеляж колесо (5156).</w:t>
      </w:r>
    </w:p>
    <w:p w14:paraId="6A5812E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DA1AE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января 1944 г. С.В.Ильюшин утвердил проект высотного варианта Ил-12 с четырьмя моторами М-88В. Как вспоминал А.С.Яковлев, в то время заместитель наркома авиапромышленности по опытному строительству, в один из январских вечеров об этом проекте доложили И.В.Сталину. Тот поддержал инициативу Ильюшина и одобрил создание Ил-12 (9528).</w:t>
      </w:r>
    </w:p>
    <w:p w14:paraId="7D4815B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75237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января 1944 С.В.И. утвердил вариант Ил-12 с 4хМ-88В (3846,19).</w:t>
      </w:r>
    </w:p>
    <w:p w14:paraId="15DE189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6257F0" w14:textId="77777777" w:rsidR="00414BE3" w:rsidRPr="007224C3" w:rsidRDefault="00414BE3" w:rsidP="007224C3">
      <w:pPr>
        <w:pStyle w:val="a3"/>
        <w:rPr>
          <w:rStyle w:val="152"/>
          <w:rFonts w:ascii="Times New Roman" w:hAnsi="Times New Roman" w:cs="Times New Roman"/>
          <w:i w:val="0"/>
          <w:color w:val="000000" w:themeColor="text1"/>
          <w:sz w:val="16"/>
          <w:szCs w:val="16"/>
          <w:lang w:val="ru-RU"/>
        </w:rPr>
      </w:pPr>
      <w:r w:rsidRPr="007224C3">
        <w:rPr>
          <w:rStyle w:val="221"/>
          <w:rFonts w:ascii="Times New Roman" w:hAnsi="Times New Roman" w:cs="Times New Roman"/>
          <w:b w:val="0"/>
          <w:color w:val="000000" w:themeColor="text1"/>
          <w:sz w:val="16"/>
          <w:szCs w:val="16"/>
          <w:lang w:val="ru-RU"/>
        </w:rPr>
        <w:t>4 января</w:t>
      </w:r>
      <w:r w:rsidRPr="007224C3">
        <w:rPr>
          <w:color w:val="000000" w:themeColor="text1"/>
          <w:lang w:val="ru-RU"/>
        </w:rPr>
        <w:t xml:space="preserve"> 1944 г. двухмоторный транспортный самолет Ил-АЧ-31 был утвержден главным конструктором, и в этом же месяце по</w:t>
      </w:r>
      <w:r w:rsidRPr="007224C3">
        <w:rPr>
          <w:color w:val="000000" w:themeColor="text1"/>
          <w:lang w:val="ru-RU"/>
        </w:rPr>
        <w:softHyphen/>
      </w:r>
      <w:r w:rsidRPr="007224C3">
        <w:rPr>
          <w:rStyle w:val="221"/>
          <w:rFonts w:ascii="Times New Roman" w:hAnsi="Times New Roman" w:cs="Times New Roman"/>
          <w:b w:val="0"/>
          <w:color w:val="000000" w:themeColor="text1"/>
          <w:sz w:val="16"/>
          <w:szCs w:val="16"/>
          <w:lang w:val="ru-RU"/>
        </w:rPr>
        <w:t>лучил</w:t>
      </w:r>
      <w:r w:rsidRPr="007224C3">
        <w:rPr>
          <w:color w:val="000000" w:themeColor="text1"/>
          <w:lang w:val="ru-RU"/>
        </w:rPr>
        <w:t xml:space="preserve"> положительную оценку И.В. Ста</w:t>
      </w:r>
      <w:r w:rsidRPr="007224C3">
        <w:rPr>
          <w:color w:val="000000" w:themeColor="text1"/>
          <w:lang w:val="ru-RU"/>
        </w:rPr>
        <w:softHyphen/>
        <w:t>лина, о чем в своей книге «Цель жизни» упоминает А.С. Яковлев. Немало хлопот конструкторскому коллективу доста</w:t>
      </w:r>
      <w:r w:rsidRPr="007224C3">
        <w:rPr>
          <w:color w:val="000000" w:themeColor="text1"/>
          <w:lang w:val="ru-RU"/>
        </w:rPr>
        <w:softHyphen/>
        <w:t>вила работа над эскизным проектом самолета. Позднее С.В. Ильюшин, вспо</w:t>
      </w:r>
      <w:r w:rsidRPr="007224C3">
        <w:rPr>
          <w:color w:val="000000" w:themeColor="text1"/>
          <w:lang w:val="ru-RU"/>
        </w:rPr>
        <w:softHyphen/>
      </w:r>
      <w:r w:rsidRPr="007224C3">
        <w:rPr>
          <w:rStyle w:val="221"/>
          <w:rFonts w:ascii="Times New Roman" w:hAnsi="Times New Roman" w:cs="Times New Roman"/>
          <w:b w:val="0"/>
          <w:color w:val="000000" w:themeColor="text1"/>
          <w:sz w:val="16"/>
          <w:szCs w:val="16"/>
          <w:lang w:val="ru-RU"/>
        </w:rPr>
        <w:t>миная</w:t>
      </w:r>
      <w:r w:rsidRPr="007224C3">
        <w:rPr>
          <w:color w:val="000000" w:themeColor="text1"/>
          <w:lang w:val="ru-RU"/>
        </w:rPr>
        <w:t xml:space="preserve"> о том периоде, говорил:</w:t>
      </w:r>
      <w:r w:rsidRPr="007224C3">
        <w:rPr>
          <w:rStyle w:val="152"/>
          <w:rFonts w:ascii="Times New Roman" w:hAnsi="Times New Roman" w:cs="Times New Roman"/>
          <w:i w:val="0"/>
          <w:color w:val="000000" w:themeColor="text1"/>
          <w:sz w:val="16"/>
          <w:szCs w:val="16"/>
          <w:lang w:val="ru-RU"/>
        </w:rPr>
        <w:t xml:space="preserve"> «Тща</w:t>
      </w:r>
      <w:r w:rsidRPr="007224C3">
        <w:rPr>
          <w:rStyle w:val="152"/>
          <w:rFonts w:ascii="Times New Roman" w:hAnsi="Times New Roman" w:cs="Times New Roman"/>
          <w:i w:val="0"/>
          <w:color w:val="000000" w:themeColor="text1"/>
          <w:sz w:val="16"/>
          <w:szCs w:val="16"/>
          <w:lang w:val="ru-RU"/>
        </w:rPr>
        <w:softHyphen/>
        <w:t>тельно разработанных требований к транспортному самолету тогда не было и</w:t>
      </w:r>
      <w:r w:rsidRPr="007224C3">
        <w:rPr>
          <w:rStyle w:val="230"/>
          <w:rFonts w:ascii="Times New Roman" w:hAnsi="Times New Roman" w:cs="Times New Roman"/>
          <w:b w:val="0"/>
          <w:i w:val="0"/>
          <w:color w:val="000000" w:themeColor="text1"/>
          <w:sz w:val="16"/>
          <w:szCs w:val="16"/>
          <w:lang w:val="ru-RU"/>
        </w:rPr>
        <w:t xml:space="preserve"> в</w:t>
      </w:r>
      <w:r w:rsidRPr="007224C3">
        <w:rPr>
          <w:rStyle w:val="152"/>
          <w:rFonts w:ascii="Times New Roman" w:hAnsi="Times New Roman" w:cs="Times New Roman"/>
          <w:i w:val="0"/>
          <w:color w:val="000000" w:themeColor="text1"/>
          <w:sz w:val="16"/>
          <w:szCs w:val="16"/>
          <w:lang w:val="ru-RU"/>
        </w:rPr>
        <w:t xml:space="preserve"> помине. Конструкторам приходилось проектировать самолет на свой страх и риск. Когда мы начали работать над проектом, многого из того, что требу</w:t>
      </w:r>
      <w:r w:rsidRPr="007224C3">
        <w:rPr>
          <w:rStyle w:val="152"/>
          <w:rFonts w:ascii="Times New Roman" w:hAnsi="Times New Roman" w:cs="Times New Roman"/>
          <w:i w:val="0"/>
          <w:color w:val="000000" w:themeColor="text1"/>
          <w:sz w:val="16"/>
          <w:szCs w:val="16"/>
          <w:lang w:val="ru-RU"/>
        </w:rPr>
        <w:softHyphen/>
        <w:t>ется для оснащения современного воз</w:t>
      </w:r>
      <w:r w:rsidRPr="007224C3">
        <w:rPr>
          <w:rStyle w:val="152"/>
          <w:rFonts w:ascii="Times New Roman" w:hAnsi="Times New Roman" w:cs="Times New Roman"/>
          <w:i w:val="0"/>
          <w:color w:val="000000" w:themeColor="text1"/>
          <w:sz w:val="16"/>
          <w:szCs w:val="16"/>
          <w:lang w:val="ru-RU"/>
        </w:rPr>
        <w:softHyphen/>
        <w:t>душного корабля не было. Однако это нас не обескуражило. Мы знали, что как только кончится война, у нас будут все возможности для оснащения граждан</w:t>
      </w:r>
      <w:r w:rsidRPr="007224C3">
        <w:rPr>
          <w:rStyle w:val="152"/>
          <w:rFonts w:ascii="Times New Roman" w:hAnsi="Times New Roman" w:cs="Times New Roman"/>
          <w:i w:val="0"/>
          <w:color w:val="000000" w:themeColor="text1"/>
          <w:sz w:val="16"/>
          <w:szCs w:val="16"/>
          <w:lang w:val="ru-RU"/>
        </w:rPr>
        <w:softHyphen/>
        <w:t>ских самолетов самым довременным оборудованием» (15749).</w:t>
      </w:r>
    </w:p>
    <w:p w14:paraId="4BD44810" w14:textId="77777777" w:rsidR="00414BE3" w:rsidRPr="007224C3" w:rsidRDefault="00414BE3" w:rsidP="007224C3">
      <w:pPr>
        <w:pStyle w:val="a3"/>
        <w:rPr>
          <w:color w:val="000000" w:themeColor="text1"/>
          <w:lang w:val="ru-RU"/>
        </w:rPr>
      </w:pPr>
    </w:p>
    <w:p w14:paraId="29DD584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января 1944 года гл. конструктор Мясищев писал письмо N 1сс Сталину.</w:t>
      </w:r>
    </w:p>
    <w:p w14:paraId="2B90FDD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результате анализа конструкции самолета Пе-2, выпускаемого в серии на заводе N 22, получено, что на базе этого самолета, путем некоторых изменений и установки моторов М-107А, можно создать тип самолета "Дневной скоростной бомбардировщик" с максимальной скоростью 640 км/час и дальностью 2400 км и поместить внутри фюзеляжа бомбы всех калибров до 1000 кг включительно.</w:t>
      </w:r>
    </w:p>
    <w:p w14:paraId="74676E6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Высокие летные и тактические данные этого самолета ставят его выше лучших современных бомбардировщиков этого класса.</w:t>
      </w:r>
    </w:p>
    <w:p w14:paraId="3F03804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Скорость его незначительно уступает скоростям новейших одномоторных истребителей, что позволит производить вторжение в оперативный и глубокий тылы противника без сопровождения истребителями для бомбардирования с горизонтального и пикирующего полетов.</w:t>
      </w:r>
    </w:p>
    <w:p w14:paraId="045DA87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Предлагаемый самолет, обладая высокими летными данными, может быть также использован в варианте дальнего истребителя или истребителя патрулирования; для этого в самолете предусматривается сильное пушечное вооружение, вплоть до пушек калибра 45 мм.</w:t>
      </w:r>
    </w:p>
    <w:p w14:paraId="1814DAA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Переход от бомбардировщика и истребителю может производиться силами строевых частей в полевых условиях.</w:t>
      </w:r>
    </w:p>
    <w:p w14:paraId="731561C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форсировании проектирования и постройки опытного самолета этого типа выпуск серийных самолетов может начаться во второй половине этого года.</w:t>
      </w:r>
    </w:p>
    <w:p w14:paraId="16550E1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прилагаемом альбоме представлен материал, отражающий основные летно-тактические данные этого самолета и его конструктивные и технологические особенности (2562,8).</w:t>
      </w:r>
    </w:p>
    <w:p w14:paraId="5809AF4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959EA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января 1944 года В.М. Мясищев в письме И.В. Сталину сообщал:</w:t>
      </w:r>
    </w:p>
    <w:p w14:paraId="34F4CD3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результате анализа конструкции самолета Пе-2, выпускаемого в серии на заводе № 22, получено, что на базе этого самолета, путем некоторых изменений и уста</w:t>
      </w:r>
      <w:r w:rsidRPr="007224C3">
        <w:rPr>
          <w:rFonts w:ascii="Times New Roman" w:hAnsi="Times New Roman"/>
          <w:color w:val="000000" w:themeColor="text1"/>
          <w:sz w:val="16"/>
          <w:szCs w:val="16"/>
        </w:rPr>
        <w:softHyphen/>
        <w:t>новки моторов ВК-107А, можно создать тип самолета «Дневной скоростной бомбардировщик» с максимальной скоростью 640 км/ч и дальностью 2400 км и поместить внутри фюзеляжа бомбы всех калибров до 1000 кг вклю</w:t>
      </w:r>
      <w:r w:rsidRPr="007224C3">
        <w:rPr>
          <w:rFonts w:ascii="Times New Roman" w:hAnsi="Times New Roman"/>
          <w:color w:val="000000" w:themeColor="text1"/>
          <w:sz w:val="16"/>
          <w:szCs w:val="16"/>
        </w:rPr>
        <w:softHyphen/>
        <w:t>чительно. ..</w:t>
      </w:r>
    </w:p>
    <w:p w14:paraId="2E72125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Скорость его незначительно уступает скорости новей</w:t>
      </w:r>
      <w:r w:rsidRPr="007224C3">
        <w:rPr>
          <w:rFonts w:ascii="Times New Roman" w:hAnsi="Times New Roman"/>
          <w:color w:val="000000" w:themeColor="text1"/>
          <w:sz w:val="16"/>
          <w:szCs w:val="16"/>
        </w:rPr>
        <w:softHyphen/>
        <w:t>ших одномоторных истребителей, что позволит произво</w:t>
      </w:r>
      <w:r w:rsidRPr="007224C3">
        <w:rPr>
          <w:rFonts w:ascii="Times New Roman" w:hAnsi="Times New Roman"/>
          <w:color w:val="000000" w:themeColor="text1"/>
          <w:sz w:val="16"/>
          <w:szCs w:val="16"/>
        </w:rPr>
        <w:softHyphen/>
        <w:t>дить вторжение в оперативный и глубокий тылы противни</w:t>
      </w:r>
      <w:r w:rsidRPr="007224C3">
        <w:rPr>
          <w:rFonts w:ascii="Times New Roman" w:hAnsi="Times New Roman"/>
          <w:color w:val="000000" w:themeColor="text1"/>
          <w:sz w:val="16"/>
          <w:szCs w:val="16"/>
        </w:rPr>
        <w:softHyphen/>
        <w:t>ка без сопровождения истребителями для бомбардирова-ния с горизонтального и пикирующего полетов.</w:t>
      </w:r>
    </w:p>
    <w:p w14:paraId="69379A5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Предлагаемый самолет, обладая высокими летными данными, может быть также использован в варианте даль</w:t>
      </w:r>
      <w:r w:rsidRPr="007224C3">
        <w:rPr>
          <w:rFonts w:ascii="Times New Roman" w:hAnsi="Times New Roman"/>
          <w:color w:val="000000" w:themeColor="text1"/>
          <w:sz w:val="16"/>
          <w:szCs w:val="16"/>
        </w:rPr>
        <w:softHyphen/>
        <w:t>него истребителя или истребителя патрулирования; для этого в самолете предусматривается сильное пушечное вооружение, вплоть до пушек калибра 45 мм.</w:t>
      </w:r>
    </w:p>
    <w:p w14:paraId="152978B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Переход от бомбардировщика к истребителю может производиться силами строевых частей в полевых усло</w:t>
      </w:r>
      <w:r w:rsidRPr="007224C3">
        <w:rPr>
          <w:rFonts w:ascii="Times New Roman" w:hAnsi="Times New Roman"/>
          <w:color w:val="000000" w:themeColor="text1"/>
          <w:sz w:val="16"/>
          <w:szCs w:val="16"/>
        </w:rPr>
        <w:softHyphen/>
        <w:t>виях...».</w:t>
      </w:r>
    </w:p>
    <w:p w14:paraId="7308CE4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Вот откуда в названии новой машины появилась буква «И»</w:t>
      </w:r>
    </w:p>
    <w:p w14:paraId="33DE9D2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Особенностью проекта стала дистанционно управ</w:t>
      </w:r>
      <w:r w:rsidRPr="007224C3">
        <w:rPr>
          <w:rFonts w:ascii="Times New Roman" w:hAnsi="Times New Roman"/>
          <w:color w:val="000000" w:themeColor="text1"/>
          <w:sz w:val="16"/>
          <w:szCs w:val="16"/>
        </w:rPr>
        <w:softHyphen/>
        <w:t>ляемая стрелковая установка ДЭУ, разработанная под руководством инженера-конструктора А. Журавленко. По сравнению с установкой ДУС-1 для бомбардиров</w:t>
      </w:r>
      <w:r w:rsidRPr="007224C3">
        <w:rPr>
          <w:rFonts w:ascii="Times New Roman" w:hAnsi="Times New Roman"/>
          <w:color w:val="000000" w:themeColor="text1"/>
          <w:sz w:val="16"/>
          <w:szCs w:val="16"/>
        </w:rPr>
        <w:softHyphen/>
        <w:t>щика ДВБ-102 она имела значительно больший парал</w:t>
      </w:r>
      <w:r w:rsidRPr="007224C3">
        <w:rPr>
          <w:rFonts w:ascii="Times New Roman" w:hAnsi="Times New Roman"/>
          <w:color w:val="000000" w:themeColor="text1"/>
          <w:sz w:val="16"/>
          <w:szCs w:val="16"/>
        </w:rPr>
        <w:softHyphen/>
        <w:t>лакс между линией прицеливания и оружием, что впо</w:t>
      </w:r>
      <w:r w:rsidRPr="007224C3">
        <w:rPr>
          <w:rFonts w:ascii="Times New Roman" w:hAnsi="Times New Roman"/>
          <w:color w:val="000000" w:themeColor="text1"/>
          <w:sz w:val="16"/>
          <w:szCs w:val="16"/>
        </w:rPr>
        <w:softHyphen/>
        <w:t>следствии в некоторой степени повлияло на судьбу машины (11446).</w:t>
      </w:r>
    </w:p>
    <w:p w14:paraId="7E3F20A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6D497C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января 1944 вышел приказ НКАП N 8с:</w:t>
      </w:r>
    </w:p>
    <w:p w14:paraId="34D0C4D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соответствии с решением 1 конференции по поточным методам производства и приказом НКАП N 727 от 3 декабря 1943:</w:t>
      </w:r>
    </w:p>
    <w:p w14:paraId="481BD0A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Принять предложение директора и ГК завода 51 Н.Н.П. о переводе на поток производства У2 на заводе 464 (1674,91).</w:t>
      </w:r>
    </w:p>
    <w:p w14:paraId="6E2190F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C3CAF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января 1944 вышел приказ НКАП № 6с:</w:t>
      </w:r>
    </w:p>
    <w:p w14:paraId="2A4F5C0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исполнение постановления ГКО № 4879сс от 3 января 1944:</w:t>
      </w:r>
    </w:p>
    <w:p w14:paraId="41892AC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 6 ГУ Комарову организовать на базе бывего самолетостроительного з-да 43 в Киеве з-д по ремонту с-в Ил-2 и Як-1 и 7 с программой выпуска в 1 кв. 150 в т.ч. в январе - 10, феврале - 50, марте -90,</w:t>
      </w:r>
    </w:p>
    <w:p w14:paraId="463B697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Вновь организованному з-ду присвоить № 473 и подчинить его 6 ГУ.</w:t>
      </w:r>
    </w:p>
    <w:p w14:paraId="7049CB2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Шахурин (1674, 51).</w:t>
      </w:r>
    </w:p>
    <w:p w14:paraId="5A03779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10201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января 1944 по приказу НКАП № 6с на площадке бывшего завода № 43 началось формирование нового завода № 473 (образован от 4.01.1944 г.).</w:t>
      </w:r>
    </w:p>
    <w:p w14:paraId="4FAC07B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Количество оборудования: (11.1940 г.)-105 металлорежущих станков.</w:t>
      </w:r>
    </w:p>
    <w:p w14:paraId="15AFFC6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(-06.1937-07.1940 г.)- В.В. Смирнов, (07-10.1940 г.-)- В.М. Пенек.</w:t>
      </w:r>
    </w:p>
    <w:p w14:paraId="1B71B80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директора по техчасти (-5.04.1937 г.)- В.А. Таиров, (5.04.1937 г.-)- М. Г. Жужунава. Помощник директора по найму и увольнению (28.09.1938 г.-)-  Г.П. Царев.</w:t>
      </w:r>
    </w:p>
    <w:p w14:paraId="74ACE2F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Технический директор (08.1937 г.)- М. Г. Жужунава.</w:t>
      </w:r>
    </w:p>
    <w:p w14:paraId="278D01F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инженер (1937-40 г.)- М. Г. Жужунава.</w:t>
      </w:r>
    </w:p>
    <w:p w14:paraId="6790421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Гл. конструктор (03.1923-25 г.)- К.А. Калинин, (-04.1937-1940 г.-)- В.К. Таиров.</w:t>
      </w:r>
    </w:p>
    <w:p w14:paraId="2444F18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Производство: самолеты: К-1 (1925)- 1, Р-10 (1934-37)- 38, ХАИ-1 (-1934-37-), ОКО-1; автожир ЦАГИ А-4 (1932-)- 12; крылья и оперение для МиГ-1 (1940-41) (11982).</w:t>
      </w:r>
    </w:p>
    <w:p w14:paraId="03F3B61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379C901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января 1944 г. приказом № 6с в соответствии с пост. ГКО № 4879сс от 3.01.1944 г. завод, созданный в ноябре 1943 на площадке эвакуированного завода № 43, стал Авиаремонтным завод № 473 НКАП (Завод № 473 НКАП, МАП, Киевского СНХ, Завод «Труд», Киевский авиационный завод (КиАЗ), Киевское авиационное ПО (КиАПО), Киевский Государственный авиазавод (КиГАЗ), КиГАЗ «Авиант», ГП «Киевский авиационный завод «Авиант» /Украина 03062  г. Киев, пр. Победы, 100/1 тел. 441-51-64, 454-52-01/) в системе 6ГУ НКАП для ремонта самолетов Ил-2, Як-1, Як-7. Формировался из местных кадров и оборудования заводов № 292, № 39, № 153, № 22, № 1.</w:t>
      </w:r>
    </w:p>
    <w:p w14:paraId="0C502A4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1.03.1946 г. завод №473 передан из 6ГУ в ИГУ, с 1.03.1951 г. передан из 11ГУ в 1ГУ.</w:t>
      </w:r>
    </w:p>
    <w:p w14:paraId="7A73C06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1944-45 г. осуществлялась сборка Як-9 и Як-3 из готовых узлов, в 1945 г. строились опытные вертолеты Братухина. Затем было подготовлено производство Ми-1, но не выпускался. Занимался ремонтом самолетов, производством запчастей для тракторов, трамваев.</w:t>
      </w:r>
    </w:p>
    <w:p w14:paraId="45A9605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соответствии с Пост. СМ СССР № 3187 от 23.08.1948 г. началась подготовка к производству Ан-2. На 1949 г. был выдан план выпустить 50 Ан-2. Завод в это время был маломощным предприятием, требовавшим реконструкции. В 1948-49 г. созданы новые цеха- плазово-шаблонный, кузнечный, агрегатно-сборочные, малярный, литейная мастерская.</w:t>
      </w:r>
    </w:p>
    <w:p w14:paraId="0DE1247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приказу № 563 от 19.05.1952 г. на заводе было организовано представительство ОКБ-153 под руководством Е.К. Сенчука. По приказу № 1369 от 2.12.1952 г. ОКБ-153 полностью перебазировано в Киев.</w:t>
      </w:r>
    </w:p>
    <w:p w14:paraId="1140108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конце 12.1952 г. вышло постановление правительства о прекращении производства Ан-2 и подготовке производства фюзеляжей Ил-28. В 1953 г. выпуск Ан-2 возобновлен. В 1959 г. производство Ан-2 было передано в Польшу, для этого был передан эталонный Ан-2 № 111519, получивший бортовой № SP-ANA.</w:t>
      </w:r>
    </w:p>
    <w:p w14:paraId="61C66F6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05.1957 г. построен цех по изготовлению крупногабаритных и длинномерных деталей для Ан-8. Были расширены производственные помещения сборочных цехов на территории «Б».</w:t>
      </w:r>
    </w:p>
    <w:p w14:paraId="14AC4E8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соответствии с пост. СМ СССР № 713-342 от 26.06.1957 г. передан в ведение Киевского СНХ УССР.</w:t>
      </w:r>
    </w:p>
    <w:p w14:paraId="314E87C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соответствии с ПСМ № 756-323 от 19.08.1961 г. начата организация производства Ан-24.</w:t>
      </w:r>
    </w:p>
    <w:p w14:paraId="2CBB061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 1974 г.- Киевский авиационный завод, с 1974 г.- КиАПО.</w:t>
      </w:r>
    </w:p>
    <w:p w14:paraId="1DE4F69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Подготовка к производству Ан-26 началась в 1968 г. По приказу МАП № 301 в 1970 г. развернуто полномасштабное производство Ан-26.</w:t>
      </w:r>
    </w:p>
    <w:p w14:paraId="73D604E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1973 г. началась постройка сборочного цеха № 10 для Ан-124 с пролетом 100 м. С 1979 г. началась подготовка производства Ан-124, планировалось выпустить 36 машин. В 1981 г. введена должность представителя Ген. конструктора, назначен В.И. Чебанюк.</w:t>
      </w:r>
    </w:p>
    <w:p w14:paraId="7488102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1978 г. началась подготовка к производству Ан-72. По приказу МАП № 63с от 03.1979 г. производство Ан-72 было передано с КиАПО на ХАПО. По приказу МАП № 15с от 13.01.1982 г. техдокументация, оснастка и незавершенное производство по Ан-72 переданы на ХАПО.</w:t>
      </w:r>
    </w:p>
    <w:p w14:paraId="22DF8A9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годы выпуска Ан-32 (с 1980-х) на заводе была организована индийская лаборатория по радионавигационному оборудованию для устранения неисправностей своего оборудования.</w:t>
      </w:r>
    </w:p>
    <w:p w14:paraId="74D4C38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Подготовлено производство для выпуска самолетов Ту-334 (затем документация передана в РСК «МиГ») и Ан-70.</w:t>
      </w:r>
    </w:p>
    <w:p w14:paraId="215D275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2005 г. в производстве находилось 14 планеров Ан-32. В 2006 г. велась постройка первых пяти серийных Ан- 7Q ю.04.06 g 2007 г. подписан контракт на выпуск 15 Ан-148 для Казахстана.</w:t>
      </w:r>
    </w:p>
    <w:p w14:paraId="0DBB420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11.01.2005 г. КиГАЗ переименован в ГП «Киевский авиационный завод «Авиант». В 06.2005 г. «Авиант» вместе с АНТК, ХГАПП и Заводом № 410 ГА вошел в созданное ННПО «Антонов». Пост. Правительства № 998 от 3.10.2005 г. утвержден Устав Государственной самолетостроительной корпорации (ГСК) «Национальное объединение «Антонов». В 02.2007 г. завод вошел также в концерн «Авиация Украины».</w:t>
      </w:r>
    </w:p>
    <w:p w14:paraId="63DFA41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(01-03.1944 г.-)- В.М. Пенек, (03.1945 г.)- Дудник, (-06.1946-49 г.-)- М. Г. Миронов, (1950-54 г.)- П.Е. Шелест, (-1955-68 г.-; 1975 г.)- В.А. Степанченко, (1974 г.)- Лисицын. Гендиректор (1979-84 г.-)- В. Г. Олешко, (1994-10.1999 Г.)- А.И. Харлов , (-2001-07.2003 г.)- В.К. Пелых, (07.2003-07 г.-)- О.С. Шевченко.</w:t>
      </w:r>
    </w:p>
    <w:p w14:paraId="15A7A32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Гендиректора (2002 г.)- Б.Н. Сорока, (2002 г.)- Н.В. Жданов, (2002 г.)- О.Р. Басенко.</w:t>
      </w:r>
    </w:p>
    <w:p w14:paraId="5B2B1F5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инженер (1949 г.)- Я.К. Руденко, (1975 г.)- В. Г. Олешко.</w:t>
      </w:r>
    </w:p>
    <w:p w14:paraId="205DC5A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технолог (1949 г.)- А. Г. Ивченко.</w:t>
      </w:r>
    </w:p>
    <w:p w14:paraId="4873DC2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конструктор (2002 г.)- B.C. Подольский.</w:t>
      </w:r>
    </w:p>
    <w:p w14:paraId="1FD27BA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конструктор СКБ (1949 г.)- А.Н. Попов.</w:t>
      </w:r>
    </w:p>
    <w:p w14:paraId="68DE45D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департамента маркетинга и продаж (2005 г.)- B.C. Кузенков.</w:t>
      </w:r>
    </w:p>
    <w:p w14:paraId="322A9F0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Летчики-испытатели: (1970-е)- Б.З. Попков, (1970-е)- С.И. Савченков.</w:t>
      </w:r>
    </w:p>
    <w:p w14:paraId="2823996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Ведущие конструкторы: (1980-е)- В.В. Литвинов.</w:t>
      </w:r>
    </w:p>
    <w:p w14:paraId="78C1A1D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iCs/>
          <w:color w:val="000000" w:themeColor="text1"/>
          <w:sz w:val="16"/>
          <w:szCs w:val="16"/>
        </w:rPr>
        <w:t>Производство: самолеты:</w:t>
      </w:r>
      <w:r w:rsidRPr="007224C3">
        <w:rPr>
          <w:rFonts w:ascii="Times New Roman" w:hAnsi="Times New Roman"/>
          <w:color w:val="000000" w:themeColor="text1"/>
          <w:sz w:val="16"/>
          <w:szCs w:val="16"/>
        </w:rPr>
        <w:t xml:space="preserve"> Як-9 (1944-45), Як-3 (1944-45), Г-3 (1946)- 7, Г-4 (1947)- 4, ГМ-1 (1948-49)- 3, Ан-2 (1949-62)- 3167 (3164), Ан-8 (1956-59), Ан-24 (1959-79)- 1028, Ан-26 (1969- 86)- 1398(1402), Ан-30 (1971-80)- 123, Ан-32 (1982-2005-)- 357 (до 2000), Ан-72 (1976-80), Ан-124 (1982-85; 1991-2005-)- 19 (по 2004), Ан-225 -1, Ту-334 (2002-05-)- 1, Ан-70 (-2005-06-), Ан-148 (2005); доработка Ан-2 в Ан-3 (2005), модернизация Ан-124 (2005);</w:t>
      </w:r>
    </w:p>
    <w:p w14:paraId="3769CA1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(2004): троллейбус К-12 «Киевский», барокамеры, стиральная машина «Лебедь».</w:t>
      </w:r>
    </w:p>
    <w:p w14:paraId="707B5F5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iCs/>
          <w:color w:val="000000" w:themeColor="text1"/>
          <w:sz w:val="16"/>
          <w:szCs w:val="16"/>
        </w:rPr>
        <w:t>Заводские номера: Ан-24 № 57302003:</w:t>
      </w:r>
      <w:r w:rsidRPr="007224C3">
        <w:rPr>
          <w:rFonts w:ascii="Times New Roman" w:hAnsi="Times New Roman"/>
          <w:color w:val="000000" w:themeColor="text1"/>
          <w:sz w:val="16"/>
          <w:szCs w:val="16"/>
        </w:rPr>
        <w:t xml:space="preserve"> 5- год выпуска, 73- шифр завода, 020- серия, 03- № самолета в серии. </w:t>
      </w:r>
      <w:r w:rsidRPr="007224C3">
        <w:rPr>
          <w:rFonts w:ascii="Times New Roman" w:hAnsi="Times New Roman"/>
          <w:iCs/>
          <w:color w:val="000000" w:themeColor="text1"/>
          <w:sz w:val="16"/>
          <w:szCs w:val="16"/>
        </w:rPr>
        <w:t>Ан-2 № 11047303:</w:t>
      </w:r>
      <w:r w:rsidRPr="007224C3">
        <w:rPr>
          <w:rFonts w:ascii="Times New Roman" w:hAnsi="Times New Roman"/>
          <w:color w:val="000000" w:themeColor="text1"/>
          <w:sz w:val="16"/>
          <w:szCs w:val="16"/>
        </w:rPr>
        <w:t xml:space="preserve"> 1- просто цифра (или заводское обозначение типа самолета), 10- серия, 473- № завода, 03- № самолета в серии. В номерах экспортных машин был опущен № завода.</w:t>
      </w:r>
      <w:r w:rsidRPr="007224C3">
        <w:rPr>
          <w:rFonts w:ascii="Times New Roman" w:hAnsi="Times New Roman"/>
          <w:iCs/>
          <w:color w:val="000000" w:themeColor="text1"/>
          <w:sz w:val="16"/>
          <w:szCs w:val="16"/>
        </w:rPr>
        <w:t xml:space="preserve"> Ан-2 (экспортный) № 12801:</w:t>
      </w:r>
      <w:r w:rsidRPr="007224C3">
        <w:rPr>
          <w:rFonts w:ascii="Times New Roman" w:hAnsi="Times New Roman"/>
          <w:color w:val="000000" w:themeColor="text1"/>
          <w:sz w:val="16"/>
          <w:szCs w:val="16"/>
        </w:rPr>
        <w:t xml:space="preserve"> 1- просто цифра, 28- серия, 01- № самолета в серии.</w:t>
      </w:r>
    </w:p>
    <w:p w14:paraId="4804D41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ГС ОКБ-473 МАП, ГС Опытный завод № 473 МАП, Киевский механический завод (КМЗ), КМЗ им. O.K. Антонова, Киевский АНТК им. O.K. Антонова, ГП «АНТК им. O.K. Антонова», ННПО «Антонов» /Украина, 252062; 03062  г. Киев, ул. Туполева, 1 тел. 442-73-04,449-99-96/ /Московское представительство: 101000 ул. Мясницкая, 7 к. 3 тел. 928-00-97/</w:t>
      </w:r>
    </w:p>
    <w:p w14:paraId="7C4A11C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19.05.1952 г. вышел приказ МАП № 563 о создании на заводе № 473 филиала ОКБ-153 во главе с Е.К. Сенчуком. Затем по приказу МАП № 1369 от 2.12.1952 г. ОКБ O.K. Антонова полностью перебазировалось с завода № 153 в Киев на завод № 473. 11.12.1953 г. получило название ГС ОКБ-473. В 08.1957 г.- в ведении 1ГУ МАП. С 8.01.1965 г.- ГС 03 № 473, с 30.04.1966 г.- Киевский механический завод (КМЗ). С 19.11.1984 г.- КМЗ им. O.K. Антонова, с 3.03.1991 г.- АНТК им. O.K. Антонова.</w:t>
      </w:r>
    </w:p>
    <w:p w14:paraId="409A11A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~1962 г. из состава ОКБ выделено самостоятельное КБ контрольных приборов (далее - НПО «Электронприбор»).</w:t>
      </w:r>
    </w:p>
    <w:p w14:paraId="71A443C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Продолжены работы по модификациям Ан-2. В соответствии с Г1СМ от 4.06.1958 г. создан Ан-2 А для уничтожения высотных аэростатов. 21.10.1964 г. вышло распоряжение СМ СССР № 2226-рс о сохранении производства Ан-2 для экспорта их из Польши в СССР.</w:t>
      </w:r>
    </w:p>
    <w:p w14:paraId="45C8284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конце 1952 г. велись работы по повышению потолка Ли-2.</w:t>
      </w:r>
    </w:p>
    <w:p w14:paraId="2ABD9AF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соответствии с ПСМ № 2922-125(0) от 11.12.1953 г. и приказом МАП № 278 от 23.12.1953 г. ОКБ получило задание на проектирование первого в СССР специализированного военно-транспортного и десантного самолета Ан-8. Пост. № 373-184 от 4.04.1957 г. было предписано устранить недостатки, установить двигатели АИ-20Д и запустить самолет в серию на заводе № 84. В соответствии с ПСМ от 20.06.1958 г. разработан проект противолодочного Ан-8ПЛО, не реализован. В соответствии с ПСМ от 31.07.1958 г. и приказом ГКАТ от 8.08.1958 г. создан проект поисково-спасательного Ан-8ПС. В соответствии с Г1СМ от 18.03.1959 г. разработан проект учебно-штурманского Ан-8Ш, не реализован.</w:t>
      </w:r>
    </w:p>
    <w:p w14:paraId="46EDA1A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1954 г., в связи с началом работ по Ан-8, были созданы конструкторские бригады: гидравлики, воздушных систем, электрооборудования, радиооборудования, десантно-транспортного оборудования, наземного оборудования. Были организованы новые подразделения: основное производство, технологический отдел, ОТК, отдел капстроительства.</w:t>
      </w:r>
      <w:r w:rsidRPr="007224C3">
        <w:rPr>
          <w:rFonts w:ascii="Times New Roman" w:hAnsi="Times New Roman"/>
          <w:color w:val="000000" w:themeColor="text1"/>
          <w:sz w:val="16"/>
          <w:szCs w:val="16"/>
          <w:vertAlign w:val="superscript"/>
        </w:rPr>
        <w:t>85</w:t>
      </w:r>
      <w:r w:rsidRPr="007224C3">
        <w:rPr>
          <w:rFonts w:ascii="Times New Roman" w:hAnsi="Times New Roman"/>
          <w:color w:val="000000" w:themeColor="text1"/>
          <w:sz w:val="16"/>
          <w:szCs w:val="16"/>
        </w:rPr>
        <w:t xml:space="preserve"> Один из цехов завода № 473 в 1954 г. был передан в ОКБ в качестве опытного производства.</w:t>
      </w:r>
    </w:p>
    <w:p w14:paraId="25608EC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соответствии с пост. СМ СССР от 30.11.1955 г. о создании 4-моторного пассажирского самолета началась разработка Ан-10 и его транспортного варианта Ан-12. Задание также было выдано Ильюшину и Туполеву. Работы по Ан-10 возглавил Н.С. Трунченков, по Ан-12- В.Н. Гельприн. В 1957 г. Ан-10 запущен в серию на заводе № 64. 11.04.1958 г. вышло распоряжение правительства № 1144-рс о доработке Ан-10 под десантное и санитарное оборудование; 6.10.1958 г. вышло распоряжение правительства № 3263-рс о выпуске Ан-ЮТС. В соответствии с ПСМ № 274-130 от 24.03.1962 г. Ан-12 пнв. В 1973 г. после ряда катастроф из-за конструктивных недостатков Ан-10 снят с эксплуатации. В соответствии с ПСМ от 23.05.1964 г. разработан проект Ан-12Д, не реализован.</w:t>
      </w:r>
    </w:p>
    <w:p w14:paraId="0451C70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1956 г. численность работников ОКБ составляла 1500 чел., в т.ч. 250 конструкторов. Создана бригада пассажирского оборудования.</w:t>
      </w:r>
    </w:p>
    <w:p w14:paraId="504D188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 время выпуска Ан-12 (1957-62 г.) на заводе № 39 организовано представительство ОКБ-473, которое возглавляли А.И. Швирин, A.M. Леонтьев, В.З. Брагилевский,  Г.А. Луговой. Во время выпуска Ан-10 и Ан-12 на заводе № 64 (1957-65 г.) было организовано представительство ОКБ-473. По приказу ГКАТ от 29.07.1959 г. образован филиал ОКБ-473 на заводе № 84 (численность- 150 чел.), в 1973 г. он преобразован в КО завода. Начальник филиала: (1959 г.-)- В.Ф. Ерошин, (1961-65 г.)- П.В. Балабуев, Х. Г. Сарымсаков, Н.А. Погорелов, Я.Н. Приходько. В 1980-х  г. организовано представительство ОКБ на заводе № 84, руководитель- И. Г. Ермохин.</w:t>
      </w:r>
    </w:p>
    <w:p w14:paraId="38B1F93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соответствии с ПСМ от 24.05.1956 г. начата разработка Ан-14. Пост, правительства в 05.1964 г. самолет запущен в серию на заводе № 116. В соответствии с ПСМ от 6.08.1964 г. и приказом МАП от 16.06.1966 г. был построен опытный Ан-14М. В 1970 г. построен экспериментальный Ан-714.</w:t>
      </w:r>
    </w:p>
    <w:p w14:paraId="1EB2591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соответствии с приказом МАП от 20.08.1975 г. группой из 8 чел. под руководством Б.М. Коломийца велись работы по Ан-14Ш- экспериментальному самолету с ШВП.</w:t>
      </w:r>
    </w:p>
    <w:p w14:paraId="3B11BF3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В соответствии с ПСМ № 1417-656 от 18.12.1957 г. начата разработка Ан-24. Пост. № 756-323 от 19.08.1961 г. он запущен в серию. По решению ВПК от 12.12.1964 г. создан ледовый разведчик Ан-24ЛР «Торос». По приказу МАП от 13.02.1965 г. создан военно-транспортный Ан-24Т, приказом № 181 от 29.07.1965 г. он запущен в серию на заводе № 39.</w:t>
      </w:r>
    </w:p>
    <w:p w14:paraId="32E0BF3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1959 г. началось строительство Летно-испытательной и доводочной базы ОКБ в Гостомеле.</w:t>
      </w:r>
    </w:p>
    <w:p w14:paraId="7313DFC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период выпуска Ан-2 в Мелеце (Польша) существовало представительство ОКБ, которое возглавляли: А.А. Батумов, А.Д. Плотников, В.А. Бессонов, В.Т. Чмиль, И.Д. Радченко.</w:t>
      </w:r>
    </w:p>
    <w:p w14:paraId="5C7D478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соответствии с ПСМ № 1117-465 от 13.10.1960 г. и приказом от 9.11.1960 г. начата разработка Ан-22 («100»), пост. № 4-2 от 3.01.1974 г. он пнв. В соответствии с ПСМ от 26.10.1965 г. разрабатывался проект Ан-22ПЛО с ЯСУ, не реализован.</w:t>
      </w:r>
    </w:p>
    <w:p w14:paraId="4D2E360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соответствии с ПСМ № 95-29 от 23.01.1964 г. начата разработка Ан-2М.</w:t>
      </w:r>
    </w:p>
    <w:p w14:paraId="00DC5E0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соответствии с ПСМ от 6.07.1964 г. начата разработка Ан-24ФК (Ан-30).</w:t>
      </w:r>
    </w:p>
    <w:p w14:paraId="2110DD9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соответствии с ПСМ от 6.08.1964 г. совместно с ОКБ-49 разработан проект самолета МВЛ Ан-Бе-20 (в 1967 г., возможно, на базе этого проекта, построен Як-40).</w:t>
      </w:r>
    </w:p>
    <w:p w14:paraId="1F11743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соответствии с ПСМ от 28.11.1967 г. начата разработка ВТС УВП «200», в 1972 г. на его базе начато создание Ан-72. В 1978 г. начата подготовка к серийному выпуску на КиАПО.</w:t>
      </w:r>
    </w:p>
    <w:p w14:paraId="7BA38A0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решению МАП и ВВС от 12.03.1968 г. начата разработка Ан-26. По приказу МАП № 301 в 1970 г. начато его серийное производство на заводе № 473. По решению СМ СССР № 76 от 29.03.1972 г. создан опытный Ан- 26РЭП.</w:t>
      </w:r>
    </w:p>
    <w:p w14:paraId="4BF3FBC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соответствии с решением ВПК № 206 от 24.08.1966 г. и приказами МАП № 352 от 5.08.1966 г. и № 413 от 13.09.1966 г. началась разработка тяжелых транспортных самолетов «122», «124», «126». В соответствии с Пост. СМ СССР № 79-23 от 01.1977 г. началась разработка проекта «400»- прототипа Ан-124. При создании Ан-124 было построено 44 натурных стенда для отработки систем. 1.12.1998 г. вышло распоряжение правительства РФ № 1702-р о переоборудовании 4 Ан-124-100 в носители РН «Полет» Ан-124ВС («Воздушный старт»).</w:t>
      </w:r>
    </w:p>
    <w:p w14:paraId="6A0F353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1983 г., после принятия решения о выпуске Ан-124 на УАПК, на заводе организовано представительство ОКБ (руководитель- В.И. Новиков).</w:t>
      </w:r>
    </w:p>
    <w:p w14:paraId="64789D9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приказу МАП от 16.06.1975 г. началась разработка Ан-32 для Индии. 30.12.1980 г. вышло соответствующее распоряжение СМ СССР № 2743-рс. По решению ВПК № 216 от 11.05.1987 г. создан Ан-32Б для МО СССР.</w:t>
      </w:r>
    </w:p>
    <w:p w14:paraId="0241E52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1970-е  г. на базе Ан-2 построен опытный Ан-3 с ТВ Д. С 1993 г. начата подготовка к его серийному выпуску на заводе «Полет».</w:t>
      </w:r>
    </w:p>
    <w:p w14:paraId="3500A6F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9.01.1984 г. вышло Постановление СМ СССР о создании самолета ДРЛО Ан-71.</w:t>
      </w:r>
    </w:p>
    <w:p w14:paraId="75131CF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20.05.1987 г. вышло Постановление СМ СССР № 587-132 о создании Ан-225.</w:t>
      </w:r>
    </w:p>
    <w:p w14:paraId="794C080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ОКБ принимало участие в программе создания ОК «Буран».</w:t>
      </w:r>
    </w:p>
    <w:p w14:paraId="74DCC09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1990-х  г. создана бригада по продлению ресурса Ан-12.</w:t>
      </w:r>
    </w:p>
    <w:p w14:paraId="53D56F2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Работы (1990-е  г.): по проектам пассажирских Ан-218, Ан-180, Ан-140; (2002 г.): по транспортному Ан-70, модернизация Ан-124-100, Ан-38, доработки Ан-3, модификация Ан-74.</w:t>
      </w:r>
    </w:p>
    <w:p w14:paraId="3E15B5E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2004 г. всего было разработано более 100 типов и модификаций самолетов, построено более 22.000 самолетов марки «Ан».</w:t>
      </w:r>
    </w:p>
    <w:p w14:paraId="61EF77F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АНТК включает в свой состав ОКБ с экспериментально-лабораторным корпусом, опытный завод, ЛИиДБ в Гостомеле, авиакомпанию «Авиалинии Антонова» (создана в 1989 г.). АНТК имело отделение Сверхлегкой авиации, на базе которого позднее образовано ОКБ АОН.</w:t>
      </w:r>
    </w:p>
    <w:p w14:paraId="3ADA28E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06.2005 г. на базе АНТК создано Национальное НПО (ННПО) «Антонов», в которое вошли также «Авиант», ХГАПП и завод № 410 ГА. По приказу Минпромполитики № 63-Д от 25.05.2005 г. и.о. ген. конструктора назначен Д.С. Кива. В 02.2007 г. АНТК вошел также в концерн «Авиация Украины».</w:t>
      </w:r>
    </w:p>
    <w:p w14:paraId="5E600E8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опытном заводе изготовлялись мотогондолы, элементы интерьера самолета Ан-140 для «Авиакора» (2004 г.).</w:t>
      </w:r>
    </w:p>
    <w:p w14:paraId="2619CDA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Кроме авиационной техники, создан (2000-е) единственный в СНГ низкопольный трамвай, семейство троллейбусов, спортивные велосипеды для сборной Украины. В 11.2005 г. подписано лицензионное соглашение о производстве Ан-148 на ВАСО.</w:t>
      </w:r>
    </w:p>
    <w:p w14:paraId="46F412A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Численность персонала (1953 г.)~ 100 чел., (1956 г.)~ 1500 чел., (2002 г.) ~ 7300 чел.</w:t>
      </w:r>
      <w:r w:rsidRPr="007224C3">
        <w:rPr>
          <w:rFonts w:ascii="Times New Roman" w:hAnsi="Times New Roman"/>
          <w:color w:val="000000" w:themeColor="text1"/>
          <w:sz w:val="16"/>
          <w:szCs w:val="16"/>
          <w:vertAlign w:val="superscript"/>
        </w:rPr>
        <w:t>69</w:t>
      </w:r>
    </w:p>
    <w:p w14:paraId="1C7C825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конструктор (1952-67 г.)- O.K. Антонов. Ген. Конструктор (1967-84 г.)- O.K. Антонов {7.02.1906-4.04.1984}, (1984-31.05.2005 г.)- П.В. Балабуев (уволен из-за несогласия с политикой правительства) {23.05.1931-17.05.2007}; и.о. (25.05.2005-20.01.2006 г.)- Д.С. Кива; (20.01.2006 г.-)- Д.С. Кива.</w:t>
      </w:r>
    </w:p>
    <w:p w14:paraId="6FA0E5C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1-й зам. Ген. конструктора (-1973-79 г.-)- П.В. Балабуев, (-2000-05 г.-)- Д.С. Кива. Зам. гл., ген. конструктора (1956 г.)- Н.С. Трунченков, (1956 г.)- В.Н. Гельприн; по системам (-1957-1970-е  г.)- Н.П. Смирнов; по летным испытаниям (1955 г.)- А.Я. Белолипецкий, (1964 г.)- А.Н. Грацианский; (1970-е  г.)- В.Ф. Ерошин, В.Н. Шаталов, (- 1976-84 г.-)- Л.Д. Голобородько, (-1956-66 г.-)- А.Я. Белолипецкий, В.П. Теплов, A.M. Кондратьев, П.В. Балабуев, В.П. Островский, В.П. Рычик, (-1968-84 г.-&gt; В.А. Гарвардт, (2001 г.)- А. Г. Вовнянко, (2002 г.)- В.Н. Король, (2004 г.)- А. Г. Буланенко, (2004 г.)- А.Д. Кива; по эксплуатации (2004 г.)- А.Е. Климов; (2006 г.)- О. Богданов. Директор (1965 г.-)- П.В. Балабуев, (1975 г.)- А.Д. Донец. Гендиректор (-2002-07 г.-&gt; В.Н. Король. Зам. гендиректора (1997 г.)- В. Кулаков; по кадрам (2004 г.)- В.Е. Маевский. Коммерческий директор (2002 г.)- О. Г. Уськов.</w:t>
      </w:r>
    </w:p>
    <w:p w14:paraId="0A9BB02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инженер (2002 г.)- С.А. Бычков. Начальник производства (1954 г.-)- М.С. Рожков, (1980 г.)- О. Котляр. Начальники отделов (бригад): проектов (1948 г.)- Н.С. Трунченков; перспективного проектирования (1967 г.)- В.Ф. Ерошин, О .Я. Шматко, (1983 г.)- О.К. Богданов; общих видов (1956 г.)- Н.А. Нечаев, В.Ф. Ерошин, (1983 г.)- О.Я. Шматко; фюзеляжа (1956 г.)- С.Д. Ельмесев; крыла (1956 г.)- А.А. Батумов; силовых установок (1975 г.)- В. Г. Анисенко; планерного- В.З. Брагилевский; шасси (1956 г.)- Н.П. Смирнов; гидравлики (1954-56 г.-)- А.Н(М). Кондратьев; воздушных систем (1954 г.-)- В.Ф. Садовый; систем- Н.П. Смирнов; электрооборудования (1954-56 г.- )- И.А. Пашинин(Пашкин), М.С. Гальперин; радиооборудования (1954 г.-)- В.И. Баклайкин, (1956 г.)- В.А. Данильченко; десантно-транспортного оборудования (1954 г.-)- В.Н. Гельприн; пассажирского оборудования (1956 г.-)- Н.А. Погорелов; наземного оборудования (1954 г.-)- A.M. Леонтьев; аэродинамики (-1966-68 г.-)- Ю.Ф. Красонтович, Ковальский, (1982 г.)- А.П. Леоненко; оборудования- Богайчук; прочности- Е.А. Шахатуни; технологии (1954 г.-)- Щучинский, Павлов; техобслуживания- В.П. Рычик; эксплуатации (1964 г.)- А.Г1. Эскин; эксплуатационно-технической документации (ЭТД) (1973 г.)- В.А. Сумцов; ЛИиДБ (1980 г.)- В. Шаталов, (2004 г.)- А. Г. Буланенко; ОТК (1954 г.-)- Н.И. Назаров; маркетинга и продаж (2004 г.)- А.Д. Кива; (1968 г.)- А.П. Сошин. Гл. конструкторы: (1979 г.)- А.Д. Киселев, (1987-2004 г.)- Д.С. Кива (Ан-28, Ан-38, Ан-72, Ан-74), (1990-е)- В.И. Толмачев (Ан-124, -225).</w:t>
      </w:r>
    </w:p>
    <w:p w14:paraId="11C280B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гл. конструкторов: (1979-87 г.)- Д.С. Кива (Ан-2, Ан-3, Ан-14, Ан-28).</w:t>
      </w:r>
    </w:p>
    <w:p w14:paraId="6DCFF80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Ведущие конструкторы: (-1952-53 г.-)- Н.А. Нечаев, (1953 г.)- АЛ. Белолипецкий (Ан-8), (1958 г.)- А.И. Шиврин (Ан-24), (1961 г.)- В.А. Сумцов (Ан-24Т), (-05.1969 г.)- В.Е. Линкевич (Ан-14М, умер), (-1968-70 г.-&gt; В.А. Гарвардт (Ан-26, Ан-30), (1969-72 г.-&gt; Я. Г. Орлов (Ан-26, Ан-72); (1974 г.)- В. Г. Анисенко, В.Н. Шаталов, В.И. Кабаев, В.П. Рычик (Ан-22); (-1975-90-е)- Ю.П. Сердечный (Ан-32), (1979 г.)- Н.В. Руденко, (10.1982 г.-)- А.И. Науменко (Ан-71), (-1987 г.)- Д.С. Кива (Ан-28, Ан-124), (1980-е)- С.П. Федин (РЭО Ан-71), (1990-е)- В.И. Назимов, Ю.И. Хоролец (постройка Ан-71), С.А. Филь (испытания Ан-71), Э.А. Шоломицкий (СКВ Ан-71), В.И. Толмачев (Ан-124), Ю.М. Киржнер (экспериментальные работы по Ан-124), А. Г. Вовнянко, Р.В. Сакач. Начальники цехов: П.В. Балабуев. Зам. начальника ЛИиДБ (1984 г.)- И. Д. Бабенко.</w:t>
      </w:r>
    </w:p>
    <w:p w14:paraId="5E6B8D7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Руководители представительств на заводах: № 64- Н.П. Соболь, Леонтьев, A.M. Кондратьев, В.П. Теплов, Я.Д. Голобородько.</w:t>
      </w:r>
    </w:p>
    <w:p w14:paraId="5F20105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Ведущие инженеры: (1956 г.)- Ю.М. Киржнер (Ан-14), В.И. Линкевич (Ан-14); (1956 г.)- Евдокимов (Ан-8); (1959 г.)- Сорокин (Ан-10), (1964 г.)- В.Н. Шаталов (Ан-22), (1969 г.)- А.К. Середа (Ан-26), (1977 г.)- А. Романюк (Ан-72), Д. С. Кива (Ан-28); (1980-е)- И.И. Радауцан, А.Ю. Доленко, (1976 г.)- A.M. Загуменный (Ан-32), (1976 г.)-A.Г.Буланенко (Ан-32), М.Н. Березюк (испытания Ан-71); (-1983-88 г.-)- М. Г. Харченко (Ан-124, Ан-225), (1983 г.)- B.C. Михайлов (Ан-124), (-6.07.1994 г.)- А.В. Ларионов (погиб в катастрофе Ан-32П), (2006 г.)- Н.И. Онопченко (Ан-148).</w:t>
      </w:r>
    </w:p>
    <w:p w14:paraId="6C1F8CD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Летчики-испытатели: (-1969-71 г.-)- В.А. Богданов, Я.И. Верников, (1975-91 г.)- А.В. Галуненко, (2006 г.)- Е.А. Галуненко, (-1957-64 г.-)- И.Е. Давыдов, (1983 г.)- В.В. Добровольский, (-1969-71 г.-)- В.А. Залубовский, (1957 г.)-B.А.Калинин, (-1966-69 г.-&gt; Ю.Н. Кетов, (1985 г.)- П.К. Киричук, (1959 г.)- Кузнецов, (-1959-85 г.-&gt; Ю.В. Курлин, (1959 г.)-  Г.И. Лысенко, (1993 г.)- А.В. Слободянюк, (1974 г.)- Б. Степанов, (1993 г.)- В.И. Терский, (1976 г.)- В.А. Ткаченко, (1985 г.)- А.В. Ткаченко, (1959 г.)- Федоров, (1962 г.)- A.M. Цыганков.</w:t>
      </w:r>
    </w:p>
    <w:p w14:paraId="116B90B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Штурманы-испытатели: (1959 г.)- Васильев, (1959 г.)- Житник, (1959 г.)- Зацепа.</w:t>
      </w:r>
    </w:p>
    <w:p w14:paraId="669A95C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iCs/>
          <w:color w:val="000000" w:themeColor="text1"/>
          <w:sz w:val="16"/>
          <w:szCs w:val="16"/>
        </w:rPr>
        <w:t>Создано: самолеты:</w:t>
      </w:r>
      <w:r w:rsidRPr="007224C3">
        <w:rPr>
          <w:rFonts w:ascii="Times New Roman" w:hAnsi="Times New Roman"/>
          <w:color w:val="000000" w:themeColor="text1"/>
          <w:sz w:val="16"/>
          <w:szCs w:val="16"/>
        </w:rPr>
        <w:t xml:space="preserve"> многоцелевые Ан-2М (20.05.1964 г.), Ан-3 (13.05.1980 г.); транспортные Ан-8 (11.02.1956 г.), Ан-12 (16.12.1957 г., пнв 24.03.1962 г.), Ан-12ПС (пнв 17.04.1985 г.), Ан-14 (14.03.1958 г.), Ан-14М (30.04.1969 г.), Ан-22 «Антей» (27.02.1965г„ пнв 3.01.1974 г.), Ан-26 (21.05.1969 г.), Ан-32 (9.07.1976 г.), Ан-32П (16.02.1993 г.), Ан-70 (16.12.1994 г.), Ан-72 (31.08.1977 г.), Ан-74 (29.09.1983 г.), Ан-74ГЕС-300 (20.04.2001 г.), Ан- 124 «Руслан» (24.12.1982 г., пнв 28.03.1991 г.), Ан-225 «Мрия» (21.12.1988 г.); пассажирские Ан-10 (7.03.1957 г.), Ан-24 (20.12.1959 г.), Ан-28 (29.01.1973 г.), Ан-38 (23.06.1994 г.), Ан-38-200 (11.12.2001 г.), Ан-138, Ан-140 (17.09.1997 г.), региональные Ан-148 (17.12.2004 г.), Ан-158 (2010); аэрофотосъемочный Ан-30 (21.08.1967 г.); самолет ДРЛО Ан-71 (12.07.1985 г.); планер А-11 (2.07.1957 г.).</w:t>
      </w:r>
    </w:p>
    <w:p w14:paraId="5370544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КБ контрольных приборов (КБКП), п/я 21, НПО «Электронпрнбор», Научно-технический комплекс (НТК) «Электронпрнбор», ОАО «НТК «Электронпрнбор» («Электронпрнлад») /Украина 04116  г. Киев ул. Ванды Василевской, 27/29 тел. 236-90-22/</w:t>
      </w:r>
    </w:p>
    <w:p w14:paraId="175DD3A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~1962 г. КБ выделено из состава ОКБ-473 для разработки бортовых средств регистрации полетной информации самолетов фронтовой авиации и средств дешифровки. С 1964 г. имело наименование «предприятие- п/я 21», с 1967 г. - КБКП. В 1975 г. преобразовано в НПО «Электронпрнбор». В состав объединения входили также заводы «Луч» ( г. Иванков Киевской обл.), «Точприбор» ( г. Мукачево) и «Электроавтоматика» ( г. Буштын Закарпатской обл.).</w:t>
      </w:r>
    </w:p>
    <w:p w14:paraId="058C84E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1968 г. организована летно-испытательная станция на аэродроме ОКБ O.K. Антонова.</w:t>
      </w:r>
    </w:p>
    <w:p w14:paraId="7AD4763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В 1993 г. НПО преобразовано в НТК «Электронпрнбор». В 1999 г. акционировано и преобразовано в ОАО.</w:t>
      </w:r>
    </w:p>
    <w:p w14:paraId="43C7774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Разработка и изготовление бортовых систем регистрации параметров полета, наземных систем обработки полетной информации, аварийных радиомаркеров; диагностических систем контроля тракторов, приборов контроля состояния горных выработок. В конце 1980-х  г. совместно с ЦНИИЧермет и Институтом металлофизики разработан термостойкий носитель информации на основе кобальта, обеспечивавший сохранность информации после длительного воздействия (не менее 10 часов) температуры до 700°С. После 1992 г. работы прекращены.</w:t>
      </w:r>
    </w:p>
    <w:p w14:paraId="5637458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Работы (2003 г.): разработка, производство, обслуживание и ремонт устройств регистрации полетной информации, бортовых систем встроенного контроля, систем управления двигателями, топливно-измерительных систем, авиационных кабинных индикаторов, химических источников тока спецназначения.</w:t>
      </w:r>
    </w:p>
    <w:p w14:paraId="2173B72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Руководитель (1962 г.-)- И.А. Ястребов. Гендиректор (-1988 г.)- И.А. Ястребов, (2002 г.)- Е. Г. Исак.</w:t>
      </w:r>
    </w:p>
    <w:p w14:paraId="6F46C60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гендиректора: по науке (2002 г.)- Л.Д. Яцко; по производству (2002 г.)- В.В. Иванов.</w:t>
      </w:r>
    </w:p>
    <w:p w14:paraId="09272F5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конструктор (1962-88 г.)- И.А. Ястребов, (2002 г.)- В.Г1. Дробинов.</w:t>
      </w:r>
    </w:p>
    <w:p w14:paraId="3F4F022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Начальники отделов: Л.Н. Бахов, В. Г. Братко, В.А. Смилянец.</w:t>
      </w:r>
    </w:p>
    <w:p w14:paraId="55136AB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КБ- В.З. Кедров, (1980-е)- Е. Г. Исак.</w:t>
      </w:r>
    </w:p>
    <w:p w14:paraId="64F0C2D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Начальники бригад: конструкторской- А.Н. Абрамов.</w:t>
      </w:r>
    </w:p>
    <w:p w14:paraId="036EC6D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Ведущие конструкторы: В.В. Бендеровский («Тестер»), В.А. Берлинских, В. Г. Братко («Тестер»), В.И. Гриневский («Луч-71К»), В.П. Дробинов, (1968 г.)- В.М. Корнейчук («Тестер»), А.Е. Мостовский, В.К. Олейник («Тестер»), В.М. Сахошко, (1980-е)- В.В. Хомяк («Полярник»), В. Г. Чиренко («Луч-71 К»), Л.Д. Яцко («Тестер»).</w:t>
      </w:r>
    </w:p>
    <w:p w14:paraId="4BCDC8D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iCs/>
          <w:color w:val="000000" w:themeColor="text1"/>
          <w:sz w:val="16"/>
          <w:szCs w:val="16"/>
        </w:rPr>
        <w:t>Создано:</w:t>
      </w:r>
      <w:r w:rsidRPr="007224C3">
        <w:rPr>
          <w:rFonts w:ascii="Times New Roman" w:hAnsi="Times New Roman"/>
          <w:color w:val="000000" w:themeColor="text1"/>
          <w:sz w:val="16"/>
          <w:szCs w:val="16"/>
        </w:rPr>
        <w:t xml:space="preserve"> бортовые системы регистрации полетной информации: «Тестер-УЗ» серии Л, 2, ЗК для Як-38, Ка-27, Су-27К и МиГ-29К, «Опушка ВМ» для Як-38М; блоки («черные ящики»): СБН-ВМ для Як-38М, 6МБ-01 для МиГ-29К, Су-25УТГ и Су-27К, для МиГ-23, -25, -27, Су-24, -25, Ка-27; системы дешифровки: корабельные «Луч- 71К» для ТАКР пр. 1143 и 11433 (1971), «Полярник» для ТАКР пр. 11435 (1985); бортовые обобщающие системы встроенного контроля: «Экран-100», «Экран-14М-2, «Экран-УБ-06ЭК», БАСК.</w:t>
      </w:r>
      <w:r w:rsidRPr="007224C3">
        <w:rPr>
          <w:rFonts w:ascii="Times New Roman" w:hAnsi="Times New Roman"/>
          <w:color w:val="000000" w:themeColor="text1"/>
          <w:sz w:val="16"/>
          <w:szCs w:val="16"/>
          <w:vertAlign w:val="superscript"/>
        </w:rPr>
        <w:t>142</w:t>
      </w:r>
    </w:p>
    <w:p w14:paraId="309ED18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iCs/>
          <w:color w:val="000000" w:themeColor="text1"/>
          <w:sz w:val="16"/>
          <w:szCs w:val="16"/>
        </w:rPr>
        <w:t>Производство-,</w:t>
      </w:r>
      <w:r w:rsidRPr="007224C3">
        <w:rPr>
          <w:rFonts w:ascii="Times New Roman" w:hAnsi="Times New Roman"/>
          <w:color w:val="000000" w:themeColor="text1"/>
          <w:sz w:val="16"/>
          <w:szCs w:val="16"/>
        </w:rPr>
        <w:t xml:space="preserve"> бортовые устройства регистрации полетной информации: БУР-92, БУР-4, «Тестер-УЗ», ЗБН- 24МТ (2002); бортовые обобщающие системы встроенного контроля «Экран-100», «Экран-14М-2, «Экран-УБ- 06ЭК» (2002); бортовые системы контроля и управления СУ: БСКД-27, БПК-88, БУК-140М, БУК-9М, БУК-20-38, БСКД-436 (2002); топливоизмерительная система ТИС-140; авиационные кабинные индикаторы ИПМ-140, ИКМРТ-140, ИЧЖ-1, ИЧЖ-2В, ИТЖ-1, АВЭ-1В, ИТЦ-9, ИРЦ-9, БИП-38, ИПСУ-4, СВЗ-1 (2002).</w:t>
      </w:r>
      <w:r w:rsidRPr="007224C3">
        <w:rPr>
          <w:rFonts w:ascii="Times New Roman" w:hAnsi="Times New Roman"/>
          <w:color w:val="000000" w:themeColor="text1"/>
          <w:sz w:val="16"/>
          <w:szCs w:val="16"/>
          <w:vertAlign w:val="superscript"/>
        </w:rPr>
        <w:t>69</w:t>
      </w:r>
    </w:p>
    <w:p w14:paraId="57D9C1D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ГП «Авиация общего назначения» (АОН) ОКБ» /Украина 08130 с. Петропавловская Борщаговка Киевской обл., ул. Академика Антонова, 10 тел. 443-34-37/</w:t>
      </w:r>
    </w:p>
    <w:p w14:paraId="57EE817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Образовано на базе отделения Сверхлегкой авиации АНТК им. Антонова.</w:t>
      </w:r>
    </w:p>
    <w:p w14:paraId="73E89D3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конструктор (2002 г.)- А.Н. Дашивец.</w:t>
      </w:r>
    </w:p>
    <w:p w14:paraId="3DE37C8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инженер (2002 г.)- А.Е. Закревский.</w:t>
      </w:r>
    </w:p>
    <w:p w14:paraId="5B2C25B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Гл. конструктора (2002 г.)- В.В. Сухов.</w:t>
      </w:r>
    </w:p>
    <w:p w14:paraId="47B0014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iCs/>
          <w:color w:val="000000" w:themeColor="text1"/>
          <w:sz w:val="16"/>
          <w:szCs w:val="16"/>
        </w:rPr>
        <w:t>Создано:</w:t>
      </w:r>
      <w:r w:rsidRPr="007224C3">
        <w:rPr>
          <w:rFonts w:ascii="Times New Roman" w:hAnsi="Times New Roman"/>
          <w:color w:val="000000" w:themeColor="text1"/>
          <w:sz w:val="16"/>
          <w:szCs w:val="16"/>
        </w:rPr>
        <w:t xml:space="preserve"> мотодельтаплан Т-22М, сверхлегкий вертолет ВТ-28, многоцелевые самолеты Т-12, Т-16.</w:t>
      </w:r>
      <w:r w:rsidRPr="007224C3">
        <w:rPr>
          <w:rFonts w:ascii="Times New Roman" w:hAnsi="Times New Roman"/>
          <w:color w:val="000000" w:themeColor="text1"/>
          <w:sz w:val="16"/>
          <w:szCs w:val="16"/>
          <w:vertAlign w:val="superscript"/>
        </w:rPr>
        <w:t>69</w:t>
      </w:r>
    </w:p>
    <w:p w14:paraId="462DB6D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Государственная самолетостроительная корпорация (ГСК) «Национальное научно- производственное .объединение (ННПО) «Антонов»</w:t>
      </w:r>
    </w:p>
    <w:p w14:paraId="62CB485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Создана в 06.2005 г. В нее вошли завод «Авиант», АНТК им. O.K. Антонова, ХГАПП и Завод № 410 ГА. В 2007 г. входил также Украинский НИИ авиационной технологии. Пост. Правительства № 998 от 3.10.2005 г. утвержден Устав Государственной самолетостроительной корпорации (ГСК) «ННПО «Антонов». В 2007 г. корпорация ликвидирована, вместо нее создан ГАК «Авиация Украины».</w:t>
      </w:r>
    </w:p>
    <w:p w14:paraId="2BA3185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Гендиректор (11.2005-06 г.-)- А. Мялица. Президент (2010 г.)- Д. Кива.</w:t>
      </w:r>
    </w:p>
    <w:p w14:paraId="2AE94FD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Государственный авиастроительный концерн «Авиация Украины»</w:t>
      </w:r>
    </w:p>
    <w:p w14:paraId="53A8D89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Создан 14.02.2007 г., утвержден пост, правительства Украины в 03.2007 г. В него вошло 10 предприятий: «Авиант», АНТК им. Антонова, ХГАПП, АРЗ-410, НИИ «Буран», ГП «Новатор», ЗМКБ «Прогресс», Харьковский завод ФЭД, Харьковское агрегатное КБ, «Радиоизмеритель».</w:t>
      </w:r>
    </w:p>
    <w:p w14:paraId="0F8967B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Гендиректор /председатель правления (02.2007 г.-)- О.С. Шевченко (11982).</w:t>
      </w:r>
    </w:p>
    <w:p w14:paraId="255C383D" w14:textId="77777777" w:rsidR="00414BE3" w:rsidRPr="007224C3" w:rsidRDefault="00414BE3"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E6397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января 1944 года вышел приказ № 5 НКАП</w:t>
      </w:r>
    </w:p>
    <w:p w14:paraId="6436E0F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соответствии с приказом НКАП № 642 от 27 декабря 1943 года организовать на площадях бывш. завода № 165 завод по изготовлению нестандартного оборудования и именовать его “Завод № 12 треста № 41 НКАП” (8937).</w:t>
      </w:r>
    </w:p>
    <w:p w14:paraId="28607A8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498C5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января 1944 года завод № 268 приказом НКАП № 5с был выделен в самостоятельную хозяйственную единицу, вступив в строй действующих предприятий НКАП.</w:t>
      </w:r>
    </w:p>
    <w:p w14:paraId="5899FD1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1944 году выпускались лопасти, профили и прутки.</w:t>
      </w:r>
    </w:p>
    <w:p w14:paraId="268FFFA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июня 1945 года Комиссией НКАП 268 завод был принят, а 11 июля 1945 года приказом НКАП введен в эксплуатацию. С начала 1945 года завод начинает выпуск продукции проката.</w:t>
      </w:r>
    </w:p>
    <w:p w14:paraId="7D4F736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1946 году определился на ближайшее время производственный профиль завода, для комплексного металлургического предприятия, организованного в сочетании трех основных производств: прокатного, прессового, кузнечно-прессового (9599).</w:t>
      </w:r>
    </w:p>
    <w:p w14:paraId="6C0ADFB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34D986"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1E89E17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A9C635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января 1944 года И.К. Кикоин и А.И. Алиханов направили М.Г. Первухину записку "Состояние проблемы разделения изотопов урана" по итогам работы за 1943 год. В записке отмечается, что по представленным разведматериалам и данным собственных исследований эта задача принципиально и технически вполне осуществима. Наиболее приемлемым с технической точки зрения был признан газодиффузионный метод разделения изотопов урана с использованием в этих целях UF</w:t>
      </w:r>
      <w:r w:rsidRPr="007224C3">
        <w:rPr>
          <w:rFonts w:ascii="Times New Roman" w:hAnsi="Times New Roman"/>
          <w:color w:val="000000" w:themeColor="text1"/>
          <w:sz w:val="16"/>
          <w:szCs w:val="16"/>
          <w:vertAlign w:val="subscript"/>
        </w:rPr>
        <w:t>6</w:t>
      </w:r>
      <w:r w:rsidRPr="007224C3">
        <w:rPr>
          <w:rFonts w:ascii="Times New Roman" w:hAnsi="Times New Roman"/>
          <w:color w:val="000000" w:themeColor="text1"/>
          <w:sz w:val="16"/>
          <w:szCs w:val="16"/>
        </w:rPr>
        <w:t xml:space="preserve">. В качестве основных задач, рассмотрение которых определяет возможность осуществления проекта, отмечались: </w:t>
      </w:r>
    </w:p>
    <w:p w14:paraId="4C9B956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проектирование газодиффузионной установки; </w:t>
      </w:r>
    </w:p>
    <w:p w14:paraId="07C0B03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проблема технологии промышленного изготовления сеток; </w:t>
      </w:r>
    </w:p>
    <w:p w14:paraId="0634451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получение гексафторида урана и стойких в его среде вспомогательных материалов (10549).</w:t>
      </w:r>
    </w:p>
    <w:p w14:paraId="1E4B051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3F0EB0EC"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31A633B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01AAF1F" w14:textId="77777777" w:rsidR="00414BE3" w:rsidRPr="007224C3" w:rsidRDefault="00414BE3"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4 января</w:t>
      </w:r>
      <w:r w:rsidRPr="007224C3">
        <w:rPr>
          <w:rFonts w:ascii="Times New Roman" w:hAnsi="Times New Roman"/>
          <w:color w:val="000000" w:themeColor="text1"/>
          <w:sz w:val="16"/>
          <w:szCs w:val="16"/>
        </w:rPr>
        <w:t xml:space="preserve"> в 1944 году оперативная сводка Совинформбюро:</w:t>
      </w:r>
    </w:p>
    <w:p w14:paraId="2ABD2895" w14:textId="77777777" w:rsidR="00414BE3" w:rsidRPr="007224C3" w:rsidRDefault="00414BE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4 января к северу от Невеля наши войска продолжали вести наступательные бои, в ходе которых заняли более 100 населённых пунктов и среди них Плосково, Алексеевское, Гришанки, Чернухи, Татырино, Горы, Тре-Халево, Тыково, Фенево и железнодорожную станцию Изоча. Нашими войсками полностью очищена от противника железная дорога Великие Луки-Невель.</w:t>
      </w:r>
    </w:p>
    <w:p w14:paraId="35CA9A52" w14:textId="77777777" w:rsidR="00414BE3" w:rsidRPr="007224C3" w:rsidRDefault="00414BE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1-го Украинского фронта после ожесточённых четырёхдневных боёв сегодня, 4 января, штурмом овладели городом и крупной железнодорожной станцией Белая Церковь. В течение 4 января войска фронта, продолжая наступление, овладели районным центром Винницкой области Плисков, районным центром Киевской области Ставище, а также заняли более 40 других населённых пунктов и среди них Стриева, Смолдырев, Полянки, Садки, Сиряки, Пилипы, Сосновка, Слободище, Ротмистровка, Чернявка, Скоморошки, Скала, Бугаевка, Росишки, Дубровка, Антоновка, Ясиновка, Плоское, Ружки, Севери-Новка, Потеевка, Скребеши, Олейникова Слобода, Красное.</w:t>
      </w:r>
    </w:p>
    <w:p w14:paraId="388F0C7D" w14:textId="77777777" w:rsidR="00414BE3" w:rsidRPr="007224C3" w:rsidRDefault="00414BE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 разведка и артиллерийско-миномётная перестрелка.</w:t>
      </w:r>
    </w:p>
    <w:p w14:paraId="62DEE2F0" w14:textId="77777777" w:rsidR="00414BE3" w:rsidRPr="007224C3" w:rsidRDefault="00414BE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3 января наши войска на всех фронтах подбили и уничтожили 81 немецкий танк. В воздушных боях и огнём зенитной артиллерии сбито 36 самолетов противника.</w:t>
      </w:r>
    </w:p>
    <w:p w14:paraId="1BB4EEA0" w14:textId="77777777" w:rsidR="00414BE3" w:rsidRPr="007224C3" w:rsidRDefault="00414BE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северу от Невеля наши войска продолжали с боями продвигаться вперёд и заняли более 100 населённых пунктов. В результате успешных действий советских войск железная дорога Великие Луки —Невель полностью очищена от немецко-фашистских захватчиков. Части Н-ского соединения, овладев несколькими сильно укреплёнными опорными пунктами обороны противника, уничтожили 400 немецких солдат и офицеров, 3 артиллерийские и 2 миномётные батареи. В другом районе наши бойцы сломили упорное сопротивление противника и, продвигаясь вперёд, уничтожили до батальона гитлеровцев. Захвачены трофеи, в числе которых 13 немецких танков, 10 орудий, несколько тягачей и автомашин. Взяты пленные.</w:t>
      </w:r>
    </w:p>
    <w:p w14:paraId="07333703" w14:textId="77777777" w:rsidR="00414BE3" w:rsidRPr="007224C3" w:rsidRDefault="00414BE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Войска 1-го Украинского фронта продолжали успешное наступление. Особенно ожесточённые бои в течение последних дней происходили в районе города Белая Церковь. Противник сосредоточил здесь крупные силы и пытался любой ценой удержать этот важный пункт своей обороны. После четырёхдневных упорных боёв наши войска сегодня штурмом овладели городом и крупной железнодорожной станцией Белая Церковь. Очищены от немцев районный центр Винницкой области Плисков, районный центр Киевской области Ставище и более 40 других населённых пунктов. В районе Новоград-Волынский гитлеровцы предприняли контратаку. Двум батальонам немецкой пехоты удалось прорваться в расположение советских войск. Наши части окружили прорвавшегося противника и уничтожили </w:t>
      </w:r>
      <w:r w:rsidRPr="007224C3">
        <w:rPr>
          <w:rFonts w:ascii="Times New Roman" w:hAnsi="Times New Roman"/>
          <w:color w:val="000000" w:themeColor="text1"/>
          <w:sz w:val="16"/>
          <w:szCs w:val="16"/>
        </w:rPr>
        <w:lastRenderedPageBreak/>
        <w:t>гитлеровцев. Взято свыше 400 пленных.Всего за день боёв советские войска истребили более 4 тысяч немецких солдат и офицеров, подбили и сожгли 65 танков, уничтожили 22 полевых и самоходных орудияи 180 автомашин противника. Захвачено у немцев 7 танков, 36 полевых и 11 самоходных орудий, 42 миномёта, более 150 пулемётов, 2 мощные радиостанции и другие трофеи.</w:t>
      </w:r>
    </w:p>
    <w:p w14:paraId="52D21B1F" w14:textId="77777777" w:rsidR="00414BE3" w:rsidRPr="007224C3" w:rsidRDefault="00414BE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Группа наших лётчиков под командованием старшего лейтенанта Маковского произвела вчера налёт на один из аэродромов противника. Не доходя до цели, советские самолёты были встречены истребителями противника. В завязавшемся воздушном бою сбито 4 немецких самолёта. Кроме того, сожжено 3 самолёта противника из числа находившихся на аэродроме. Во время штурмовки вражеского аэродрома огнём зенитной артиллерии был подбит самолёт летчика Кузнецова, и он произвёл вынужденную посадку на территории противника. Советские лётчики не оставили своего товарища. Командир группы приземлился рядом с подбитым самолётом, помог сжечь повреждённую машину и на своём самолёте вывез Кузнецова на свой аэродром.</w:t>
      </w:r>
    </w:p>
    <w:p w14:paraId="61675478" w14:textId="77777777" w:rsidR="00414BE3" w:rsidRPr="007224C3" w:rsidRDefault="00414BE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Партизанский отряд, действующий в Пинской области, в декабре совершил несколько нападений на колонны войск противника. При первом налёте на колонну гитлеровцев партизаны истребили до роты вражеских солдат и взорвали 8 автомашин.Через несколько дней советские патриоты рассеяли двигавшееся по шоссе подразделение противника и уничтожили 40 немцев. Десять гитлеровцев взяты вплен. В конце декабря пинские партизаны пустили под откос 5 немецких воинских эшелонов, следовавших к линии фронта.</w:t>
      </w:r>
    </w:p>
    <w:p w14:paraId="54206220" w14:textId="77777777" w:rsidR="00414BE3" w:rsidRPr="007224C3" w:rsidRDefault="00414BE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Солдат 5 роты 2 батальона испанского легиона Хесус Перес Санчес, взятый в плен на Волховском фронте в конце декабря 1943 года, рассказал: «В сентябре 1943 года меня в составе маршевого батальона направили в Россию на пополнение 250 испанской дивизии. Через непродолжительное время прибыли один за другим ещё два маршевых батальона численностью по 1.000 человек каждый. Вскоре 250 дивизия была отведена в резерв. К 15 ноября из полков дивизии был сформирован испанский легион. Легионом командует полковник дон Гарсия Наварро. 15 декабря второй батальон легиона подучил зимнее обмундирование и был переброшен на волховский участок фронта».</w:t>
      </w:r>
    </w:p>
    <w:p w14:paraId="796139FE" w14:textId="77777777" w:rsidR="00414BE3" w:rsidRPr="007224C3" w:rsidRDefault="00414BE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Показания пленного испанского солдата Хесуса Переса Санчеса представляют определённый интерес. В Испании в последнее время было объявлено, что все испанские войска, находившиеся на советско-германском фронте, отозваны на родину. На самом же деле произведена лишь смена вывесок: раньше была «Голубая дивизия», затем 250 дивизия, а теперь появился испанский легион.</w:t>
      </w:r>
    </w:p>
    <w:p w14:paraId="21FAB358" w14:textId="77777777" w:rsidR="00414BE3" w:rsidRPr="007224C3" w:rsidRDefault="00414BE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Испанские пособники Гитлера в начале войны всячески хвастались тем, что они сражаются в России на стороне немцев. Однако с тех пор утекло много воды. Немецко-фашистские мерзавцы, как и их подручные, испытали на себе силу ударов Красной Армии. Теперь, когда дело приближается к полному разгрому немецкойармии, испанские холуи Гитлера решили перестроиться. Они сейчас на весь мирт рубят о том, что Испания якобы соблюдает нейтралитет, а испанские войска, сражавшиеся на стороне немцев, отозваны с советско-германского фронта. Некоторая часть деморализованных и разложившихся испанских солдат, по-видимому, возвращенана родину. Но, отозвав потерявших боеспособность солдат, испанская правящая клика в то же время втихомолку сформировала так называемый испанский легион, укомплектованный из маршевых батальонов, прибывших на советско-германский фронтв сентябре и октябре 1943 года. Испанский легион находится теперь на одном из участков Волховского фронта, и наши войска за последние дни уже взяли в плен нескольких солдат из состава этого легиона. Таким образом, с полной несомненностью установлено, что испанские мошенники и лакеи Гитлера продолжают явно и тайно поддерживать немецко-фашистских захватчиков.» (14999).</w:t>
      </w:r>
    </w:p>
    <w:p w14:paraId="29BF0A5E" w14:textId="77777777" w:rsidR="00414BE3" w:rsidRPr="007224C3" w:rsidRDefault="00414BE3" w:rsidP="007224C3">
      <w:pPr>
        <w:spacing w:after="0" w:line="240" w:lineRule="auto"/>
        <w:jc w:val="both"/>
        <w:rPr>
          <w:rFonts w:ascii="Times New Roman" w:hAnsi="Times New Roman"/>
          <w:color w:val="000000" w:themeColor="text1"/>
          <w:sz w:val="16"/>
          <w:szCs w:val="16"/>
        </w:rPr>
      </w:pPr>
    </w:p>
    <w:p w14:paraId="20FD71FF" w14:textId="77777777" w:rsidR="00414BE3" w:rsidRPr="007224C3" w:rsidRDefault="00414BE3"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4 января</w:t>
      </w:r>
      <w:r w:rsidRPr="007224C3">
        <w:rPr>
          <w:rFonts w:ascii="Times New Roman" w:hAnsi="Times New Roman"/>
          <w:color w:val="000000" w:themeColor="text1"/>
          <w:sz w:val="16"/>
          <w:szCs w:val="16"/>
        </w:rPr>
        <w:t xml:space="preserve"> в 1944 году советские войска вступают в Польшу (14999).</w:t>
      </w:r>
    </w:p>
    <w:p w14:paraId="360AFFCE" w14:textId="77777777" w:rsidR="00414BE3" w:rsidRPr="007224C3" w:rsidRDefault="00414BE3" w:rsidP="007224C3">
      <w:pPr>
        <w:spacing w:after="0" w:line="240" w:lineRule="auto"/>
        <w:jc w:val="both"/>
        <w:rPr>
          <w:rFonts w:ascii="Times New Roman" w:hAnsi="Times New Roman"/>
          <w:color w:val="000000" w:themeColor="text1"/>
          <w:sz w:val="16"/>
          <w:szCs w:val="16"/>
        </w:rPr>
      </w:pPr>
    </w:p>
    <w:p w14:paraId="5F04563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января 1944 КА вышла к польской границе (1348,224).</w:t>
      </w:r>
    </w:p>
    <w:p w14:paraId="446BF6F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EE0EAF"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января 1944 советские войска вступили в Польшу (4962).</w:t>
      </w:r>
    </w:p>
    <w:p w14:paraId="53B64F2D"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408581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January 4, 1944: On the southern front in the Ukraine, Soviet forces cross the old Polish-Russian border in Volhynia (3819).</w:t>
      </w:r>
    </w:p>
    <w:p w14:paraId="1F27ABD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FF92AC1"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января 1944 Гитлер отверг план фельдмаршала фон Манштейна вывести немецкие войска с Украины для борьбы на северном фронте (4962).</w:t>
      </w:r>
    </w:p>
    <w:p w14:paraId="24EA166A"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36AB45A"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6F95C45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B18DCFA" w14:textId="77777777" w:rsidR="00EB290F" w:rsidRPr="007224C3" w:rsidRDefault="00EB290F"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4 января 1944 539 бомбардировщиков 8 - й воздушной армии США совершили налет на Киль и Мюнсте , Германия, в сопровождении 155 истребителей. Погибли девятнадцать бомбардировщиков и два истребителя. Бомбардировщики и истребители заявляют, что 12 немецких самолетов сбиты, 13, вероятно, сбиты, а 10 повреждены (20373).</w:t>
      </w:r>
    </w:p>
    <w:p w14:paraId="43E2291A" w14:textId="77777777" w:rsidR="00EB290F" w:rsidRPr="007224C3" w:rsidRDefault="00EB290F" w:rsidP="007224C3">
      <w:pPr>
        <w:spacing w:after="0" w:line="240" w:lineRule="auto"/>
        <w:jc w:val="both"/>
        <w:rPr>
          <w:rFonts w:ascii="Times New Roman" w:hAnsi="Times New Roman"/>
          <w:color w:val="0070C0"/>
          <w:sz w:val="16"/>
          <w:szCs w:val="16"/>
        </w:rPr>
      </w:pPr>
    </w:p>
    <w:p w14:paraId="564FB2D2" w14:textId="77777777" w:rsidR="00EB290F" w:rsidRPr="007224C3" w:rsidRDefault="00EB290F"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4–5 января (ночь) 1944 80 британских бомбардировщиков без потерь совершили налет на две немецкие пусковые площадки летающих бомб Фау-1 в Па-де-Кале и Бристильери (20373).</w:t>
      </w:r>
    </w:p>
    <w:p w14:paraId="4A8BFD1A" w14:textId="77777777" w:rsidR="00EB290F" w:rsidRPr="007224C3" w:rsidRDefault="00EB290F" w:rsidP="007224C3">
      <w:pPr>
        <w:spacing w:after="0" w:line="240" w:lineRule="auto"/>
        <w:jc w:val="both"/>
        <w:rPr>
          <w:rFonts w:ascii="Times New Roman" w:hAnsi="Times New Roman"/>
          <w:color w:val="0070C0"/>
          <w:sz w:val="16"/>
          <w:szCs w:val="16"/>
        </w:rPr>
      </w:pPr>
    </w:p>
    <w:p w14:paraId="5F9A7A80" w14:textId="77777777" w:rsidR="0059774D" w:rsidRPr="007224C3" w:rsidRDefault="0059774D" w:rsidP="007224C3">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4 января 1944 108 «летающих крепостей» В-17 вылетели бомбить Софию, но из-за сильного тумана бомбили город Дупница в 49 км от болгарской столицы. В Дупнице было разрушено 40 зда</w:t>
      </w:r>
      <w:r w:rsidRPr="007224C3">
        <w:rPr>
          <w:rFonts w:ascii="Times New Roman" w:hAnsi="Times New Roman" w:cs="Times New Roman"/>
          <w:color w:val="000000" w:themeColor="text1"/>
          <w:sz w:val="16"/>
          <w:szCs w:val="16"/>
        </w:rPr>
        <w:softHyphen/>
        <w:t>ний, убито 59 и ранено 33 жителя. К счастью для местного населе</w:t>
      </w:r>
      <w:r w:rsidRPr="007224C3">
        <w:rPr>
          <w:rFonts w:ascii="Times New Roman" w:hAnsi="Times New Roman" w:cs="Times New Roman"/>
          <w:color w:val="000000" w:themeColor="text1"/>
          <w:sz w:val="16"/>
          <w:szCs w:val="16"/>
        </w:rPr>
        <w:softHyphen/>
        <w:t>ния, значительная часть бомб упала вне города (19104).</w:t>
      </w:r>
    </w:p>
    <w:p w14:paraId="445A5731" w14:textId="77777777" w:rsidR="0059774D" w:rsidRPr="007224C3" w:rsidRDefault="0059774D" w:rsidP="007224C3">
      <w:pPr>
        <w:pStyle w:val="172"/>
        <w:shd w:val="clear" w:color="auto" w:fill="auto"/>
        <w:spacing w:before="0" w:line="240" w:lineRule="auto"/>
        <w:ind w:firstLine="0"/>
        <w:jc w:val="both"/>
        <w:rPr>
          <w:rFonts w:ascii="Times New Roman" w:hAnsi="Times New Roman" w:cs="Times New Roman"/>
          <w:color w:val="000000" w:themeColor="text1"/>
          <w:sz w:val="16"/>
          <w:szCs w:val="16"/>
        </w:rPr>
      </w:pPr>
    </w:p>
    <w:p w14:paraId="58CFD2B5"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января 1944 войска союзников начали секретную операцию по снабжению оружием и боеприпасами антифашистов-подпольщиков в Голландии, Бельгии, Франции и Италии (4962).</w:t>
      </w:r>
    </w:p>
    <w:p w14:paraId="37D356C7"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1B4CEC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января 1944 британская 5 армия начала атаки Монте Кассино (2100).</w:t>
      </w:r>
    </w:p>
    <w:p w14:paraId="506DBB3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B4817B" w14:textId="77777777" w:rsidR="00414BE3" w:rsidRPr="007224C3" w:rsidRDefault="00414BE3"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4 января</w:t>
      </w:r>
      <w:r w:rsidRPr="007224C3">
        <w:rPr>
          <w:rFonts w:ascii="Times New Roman" w:hAnsi="Times New Roman"/>
          <w:color w:val="000000" w:themeColor="text1"/>
          <w:sz w:val="16"/>
          <w:szCs w:val="16"/>
        </w:rPr>
        <w:t xml:space="preserve"> в 1944 году британской Пятой Армией в Италии предпринимается попытка атаки на Monte Cassino (14999).</w:t>
      </w:r>
    </w:p>
    <w:p w14:paraId="53D80441" w14:textId="77777777" w:rsidR="00414BE3" w:rsidRPr="007224C3" w:rsidRDefault="00414BE3" w:rsidP="007224C3">
      <w:pPr>
        <w:spacing w:after="0" w:line="240" w:lineRule="auto"/>
        <w:jc w:val="both"/>
        <w:rPr>
          <w:rFonts w:ascii="Times New Roman" w:hAnsi="Times New Roman"/>
          <w:color w:val="000000" w:themeColor="text1"/>
          <w:sz w:val="16"/>
          <w:szCs w:val="16"/>
        </w:rPr>
      </w:pPr>
    </w:p>
    <w:p w14:paraId="212810C6" w14:textId="77777777" w:rsidR="00414BE3" w:rsidRPr="007224C3" w:rsidRDefault="00414BE3"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4 января</w:t>
      </w:r>
      <w:r w:rsidRPr="007224C3">
        <w:rPr>
          <w:rFonts w:ascii="Times New Roman" w:hAnsi="Times New Roman"/>
          <w:color w:val="000000" w:themeColor="text1"/>
          <w:sz w:val="16"/>
          <w:szCs w:val="16"/>
        </w:rPr>
        <w:t xml:space="preserve"> в 1944 году Адольф Гитлер отвергает план фельдмаршала фон Манштейна вывести немецкие войска с Украины для борьбы на северном фронте (14999).</w:t>
      </w:r>
    </w:p>
    <w:p w14:paraId="191849A2" w14:textId="77777777" w:rsidR="00414BE3" w:rsidRPr="007224C3" w:rsidRDefault="00414BE3" w:rsidP="007224C3">
      <w:pPr>
        <w:spacing w:after="0" w:line="240" w:lineRule="auto"/>
        <w:jc w:val="both"/>
        <w:rPr>
          <w:rFonts w:ascii="Times New Roman" w:hAnsi="Times New Roman"/>
          <w:color w:val="000000" w:themeColor="text1"/>
          <w:sz w:val="16"/>
          <w:szCs w:val="16"/>
        </w:rPr>
      </w:pPr>
    </w:p>
    <w:p w14:paraId="7748D51E" w14:textId="77777777" w:rsidR="00EB290F" w:rsidRPr="007224C3" w:rsidRDefault="00EB290F"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 xml:space="preserve">4 января 1944 американские самолеты устанавливают мины на базе на атолле Тарава в канале на Jaluit, заставляя японцкв прекратить использование лагуны атолла лагуны и вывестиа большинства японских гидросамолетов оттуда (20373). </w:t>
      </w:r>
    </w:p>
    <w:p w14:paraId="4024D9E2" w14:textId="77777777" w:rsidR="00EB290F" w:rsidRPr="007224C3" w:rsidRDefault="00EB290F" w:rsidP="007224C3">
      <w:pPr>
        <w:spacing w:after="0" w:line="240" w:lineRule="auto"/>
        <w:jc w:val="both"/>
        <w:rPr>
          <w:rFonts w:ascii="Times New Roman" w:hAnsi="Times New Roman"/>
          <w:color w:val="0070C0"/>
          <w:sz w:val="16"/>
          <w:szCs w:val="16"/>
        </w:rPr>
      </w:pPr>
    </w:p>
    <w:p w14:paraId="53CD8D30"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0FAE534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DBD0F9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января 1944 А.И.Ш., Дементьев, С.В.И., Никитин, Репин, Шиманов писали И.В.С. письмо N 138:</w:t>
      </w:r>
    </w:p>
    <w:p w14:paraId="490C4DC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самолетах Ил-2, оборудованных 2 местом для заднего стрелка центр тяжести передвинулся назад и составляет 31.5-32%.</w:t>
      </w:r>
    </w:p>
    <w:p w14:paraId="780FB18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Самолеты Ил-2 в 2-х местном варианте при стрельбе по земным целям на крутом пикировании быстрее набирает скорость и при выводе из пикирования, в связи с задней центровкой, получаются большие перегрузки.</w:t>
      </w:r>
    </w:p>
    <w:p w14:paraId="0D1ADF7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ГК С.В.И. в целях приведения устойчивости самолета в прежнее состояние, предложил концы крыльев самолета отнести назад, создал стрельчатую конструкцию крыльев, т.е. центр тяжести самолета передвинулся вперед и равен 28%. Такой самолет изготовлен, прошел в НИИ ВВС гос. испытания и получил хорошую оценку.</w:t>
      </w:r>
    </w:p>
    <w:p w14:paraId="5AFB941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Одновременно с просьбой о запуске в производство на заводах 1, 18 и 30 самолетов Ил-2 со стрельчатым крылом, С.В.И. поставил вопрос о прекращении производства деревянных крыльев и о выпуске самолетов Ил-2 на заводах 1 и 30 с металлическими крыльями, такие как выпускаются сейчас на заводе 18.</w:t>
      </w:r>
    </w:p>
    <w:p w14:paraId="006D61F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Необходимость такой замены С.В.И. мотивирует следующими соображениями:</w:t>
      </w:r>
    </w:p>
    <w:p w14:paraId="7F5332B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В условиях боевой работы деревянные крылья на самолетах Ил-2 менее надежны, чем металлические. С боевых операций самолеты с металлическими крыльями возвращаются с большим количеством прострелов, в т.ч. и от крупнокалиберных снарядов, чем самолеты Ил-2 с деревянными крыльями.</w:t>
      </w:r>
    </w:p>
    <w:p w14:paraId="35CE74D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Самолеты с металлическими крыльями в полевых условиях при любой обстановке легко подвергаются ремонту и в наикратчайший срок вводятся вновь в боевую работу. Самолеты же с деревянными крыльями в полевых условиях трудно ремонтировать, ввиду необходимости создания спец. условий для склейки и просушки древесины и тем более, что ремонт дерева в полевых условиях не дает необходимой надежной прочности.</w:t>
      </w:r>
    </w:p>
    <w:p w14:paraId="4C65755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переходе на производство самолетов Ил-2 с металлическими крыльями увеличение расхода дюраля на один самолет выразится в 370 кг.</w:t>
      </w:r>
    </w:p>
    <w:p w14:paraId="6B53292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связи с тем, что увеличение расхода дюраля небольшое, а надежность увеличивается значительно, считаем предложение С.В.И. правильным и своевременным - просим разрешить на заводах 1 и 30 перейти к производству крыльев стрельчатой конструкции для всех самолетов Ил-2.</w:t>
      </w:r>
    </w:p>
    <w:p w14:paraId="705F816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Переход на металлические стрельчатые крылья может быть осуществлен в течение 5 месяцев без снижения выпуска самолетов (1757,18).</w:t>
      </w:r>
    </w:p>
    <w:p w14:paraId="1AF364F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Приложено: Заключение по результатам гос. испытаний на устойчивость и управляемость самолета Ил-2 с увеличенной стрельчатостью крыла и улучшенной аэродинамикой, с АМ-38Ф и винтом АВ-5Л-158В (самолет Ил-2 N 6767 производства завода 18):</w:t>
      </w:r>
    </w:p>
    <w:p w14:paraId="0674516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1. Самолет Ил-2 с увеличенной стрельчатостью крыла и улучшенной аэродинамикой, как имеющий лучшую продольную устойчивость и управляемость, рекомендовать для внедрения в серийное производство вместо серийных самолетов Ил-2.</w:t>
      </w:r>
    </w:p>
    <w:p w14:paraId="376302A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Увеличение стрельчатости крыла на 6 гр. улучшило продольную устойчивость и управляемость самолета. Самолет стал проще и приятнее в пилотировании.</w:t>
      </w:r>
    </w:p>
    <w:p w14:paraId="6C69A9A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Мероприятия, проведенные ГК самолета по улучшению продольной устойчивости, хотя и значительно улучшили устойчивость и управляемость самолета, но являются еще недостаточными.</w:t>
      </w:r>
    </w:p>
    <w:p w14:paraId="2C9DE4C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Целесообразно для получения положительных запасов продольной устойчивости сдвинуть центровку вперед еще на 2-3% САХ.</w:t>
      </w:r>
    </w:p>
    <w:p w14:paraId="405E64D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Установку контрбалансира и амортизатора с систему управления РВ не самолет с увеличенной стрельчатостью крыла считать целесообразной. Врид. нач. НИИ ВВС П.Федоров N 186 от 7 января 1944 (1757,22).</w:t>
      </w:r>
    </w:p>
    <w:p w14:paraId="0050191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DFB15F" w14:textId="77777777" w:rsidR="0059774D" w:rsidRPr="007224C3" w:rsidRDefault="0059774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shd w:val="clear" w:color="auto" w:fill="FFFFFF"/>
        </w:rPr>
        <w:t>5 января 1944 было письмо №138 И.В.Сталину от от А.И.Шахурина, П.В.Дементьева, С.В.Ильюшина и др.</w:t>
      </w:r>
    </w:p>
    <w:p w14:paraId="6FA44275" w14:textId="77777777" w:rsidR="0059774D" w:rsidRPr="007224C3" w:rsidRDefault="0059774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shd w:val="clear" w:color="auto" w:fill="FFFFFF"/>
        </w:rPr>
        <w:t>На самолетах Ил-2, оборудованных 2 местом для заднего стрелка центр тяжести передвинулся назад и составляет 31.5-32%.</w:t>
      </w:r>
    </w:p>
    <w:p w14:paraId="0B966C88" w14:textId="77777777" w:rsidR="0059774D" w:rsidRPr="007224C3" w:rsidRDefault="0059774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shd w:val="clear" w:color="auto" w:fill="FFFFFF"/>
        </w:rPr>
        <w:t>Самолеты Ил-2 в 2-х местном варианте при стрельбе по земным целям на крутом пикировании быстрее набирает скорость и при выводе из пикирования, в связи с задней центровкой, получаются большие перегрузки.</w:t>
      </w:r>
    </w:p>
    <w:p w14:paraId="24CE51C8" w14:textId="77777777" w:rsidR="0059774D" w:rsidRPr="007224C3" w:rsidRDefault="0059774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shd w:val="clear" w:color="auto" w:fill="FFFFFF"/>
        </w:rPr>
        <w:t>Главный конструктор С.В.Ильюшин в целях приведения устойчивости самолета в прежнее состояние, предложил концы крыльев самолета отнести назад, создал стрельчатую конструкцию крыльев, т.е. центр тяжести самолета передвинулся вперед и равен 28%. Такой самолет изготовлен, прошел в НИИ ВВС гос. испытания и получил хорошую оценку.</w:t>
      </w:r>
    </w:p>
    <w:p w14:paraId="1A243E39" w14:textId="77777777" w:rsidR="0059774D" w:rsidRPr="007224C3" w:rsidRDefault="0059774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shd w:val="clear" w:color="auto" w:fill="FFFFFF"/>
        </w:rPr>
        <w:t>Одновременно с просьбой о запуске в производство на заводах 1, 18 и 30 самолетов Ил-2 со стрельчатым крылом, С.В.Ильюшин поставил вопрос о прекращении производства деревянных крыльев и о выпуске самолетов Ил-2 на заводах 1 и 30 с металлическими крыльями, такие как выпускаются сейчас на заводе 18.</w:t>
      </w:r>
    </w:p>
    <w:p w14:paraId="7B73DF01" w14:textId="77777777" w:rsidR="0059774D" w:rsidRPr="007224C3" w:rsidRDefault="0059774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shd w:val="clear" w:color="auto" w:fill="FFFFFF"/>
        </w:rPr>
        <w:t>Необходимость такой замены С.В.Ильюшин мотивирует следующими соображениями:</w:t>
      </w:r>
    </w:p>
    <w:p w14:paraId="273F2273" w14:textId="77777777" w:rsidR="0059774D" w:rsidRPr="007224C3" w:rsidRDefault="0059774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shd w:val="clear" w:color="auto" w:fill="FFFFFF"/>
        </w:rPr>
        <w:t>1. В условиях боевой работы деревянные крылья на самолетах Ил-2 менее надежны, чем металлические. С боевых операций самолеты с металлическими крыльями возвращаются с большим количеством прострелов, в т.ч. и от крупнокалиберных снарядов, чем самолеты Ил-2 с деревянными крыльями.</w:t>
      </w:r>
    </w:p>
    <w:p w14:paraId="3C195DA2" w14:textId="77777777" w:rsidR="0059774D" w:rsidRPr="007224C3" w:rsidRDefault="0059774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shd w:val="clear" w:color="auto" w:fill="FFFFFF"/>
        </w:rPr>
        <w:t>2. Самолеты с металлическими крыльями в полевых условиях при любой обстановке легко подвергаются ремонту и в наикратчайший срок вводятся вновь в боевую работу. Самолеты же с деревянными крыльями в полевых условиях трудно ремонтировать, ввиду необходимости создания спец. условий для склейки и просушки древесины и тем более, что ремонт дерева в полевых условиях не дает необходимой надежной прочности.</w:t>
      </w:r>
    </w:p>
    <w:p w14:paraId="3429F11C" w14:textId="77777777" w:rsidR="0059774D" w:rsidRPr="007224C3" w:rsidRDefault="0059774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shd w:val="clear" w:color="auto" w:fill="FFFFFF"/>
        </w:rPr>
        <w:t>При переходе на производство самолетов Ил-2 с металлическими крыльями увеличение расхода дюраля на один самолет выразится в 370 кг.</w:t>
      </w:r>
    </w:p>
    <w:p w14:paraId="4813902B" w14:textId="77777777" w:rsidR="0059774D" w:rsidRPr="007224C3" w:rsidRDefault="0059774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shd w:val="clear" w:color="auto" w:fill="FFFFFF"/>
        </w:rPr>
        <w:t>В связи с тем, что увеличение расхода дюраля небольшое, а надежность увеличивается значительно, считаем предложение С.В.Ильюшина правильным и своевременным - просим разрешить на заводах 1 и 30 перейти к производству крыльев стрельчатой конструкции для всех самолетов Ил-2.</w:t>
      </w:r>
    </w:p>
    <w:p w14:paraId="318EA906" w14:textId="77777777" w:rsidR="0059774D" w:rsidRPr="007224C3" w:rsidRDefault="0059774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shd w:val="clear" w:color="auto" w:fill="FFFFFF"/>
        </w:rPr>
        <w:t>Переход на металлические стрельчатые крылья может быть осуществлен в течение 5 месяцев без снижения выпуска самолетов.</w:t>
      </w:r>
    </w:p>
    <w:p w14:paraId="48F71821" w14:textId="77777777" w:rsidR="0059774D" w:rsidRPr="007224C3" w:rsidRDefault="0059774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shd w:val="clear" w:color="auto" w:fill="FFFFFF"/>
        </w:rPr>
        <w:t>Приложено: Заключение по результатам гос. испытаний на устойчивость и управляемость самолета Ил-2 с увеличенной стрельчатостью крыла и улучшенной аэродинамикой, с АМ-38Ф и винтом АВ-5Л-158В (самолет Ил-2 N 6767 производства завода 18) (19206)/</w:t>
      </w:r>
    </w:p>
    <w:p w14:paraId="4A6598BB" w14:textId="77777777" w:rsidR="0059774D" w:rsidRPr="007224C3" w:rsidRDefault="0059774D" w:rsidP="007224C3">
      <w:pPr>
        <w:spacing w:after="0" w:line="240" w:lineRule="auto"/>
        <w:jc w:val="both"/>
        <w:rPr>
          <w:rFonts w:ascii="Times New Roman" w:hAnsi="Times New Roman"/>
          <w:color w:val="000000" w:themeColor="text1"/>
          <w:sz w:val="16"/>
          <w:szCs w:val="16"/>
        </w:rPr>
      </w:pPr>
    </w:p>
    <w:p w14:paraId="36A1299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5 января 1944 года по 12 января 1944 года на Як-9У с ВЯ был начат отстрел вооружения на земле, принявший затяжной характер в связи с поломками пушек ВЯ (за это время было сменено 2 пушки) и наличием значительного количества недоработок. Все это вынудило прекратить временно дальнейшие испытания вооружения (1821,34).</w:t>
      </w:r>
    </w:p>
    <w:p w14:paraId="5FC5F9D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0DD75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января 1944 был подписан отчет по результатам гос. испытаний И-220 с АМ-38Ф и винтом АВ-5-Л126 (с-т конструкции М и Г производства з-да 155. Вариант И200 с высотным АМ-39.</w:t>
      </w:r>
    </w:p>
    <w:p w14:paraId="3309F2B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января 1944 А.E.Репин утвердил Акт по результатам гос. испытаний И-220 с АМ-38Ф и винтом АВ-5-Л126 (с-т конструкции М и Г производства з-да 155. Вариант И200 с высотным АМ-39. Летал П.М.Стефановский</w:t>
      </w:r>
    </w:p>
    <w:p w14:paraId="1FB19B2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Отв. исполнитель: Пом нач. 3 отд. НИИ ВВС КА и-к А.С.Розанов</w:t>
      </w:r>
    </w:p>
    <w:p w14:paraId="7B9A930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Л-к-исп. 3 отд. П П.М.Стефановский</w:t>
      </w:r>
    </w:p>
    <w:p w14:paraId="7407DF5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Цель испытаний: определить ЛТД с-та И-220 с АМ-38Ф, как промежуточного вар-та с-та И-220 с мотором АМ-39, проверить работу вооружения и спецоборудования. Дать оценку конструктивного и производственного выполнения с-та</w:t>
      </w:r>
    </w:p>
    <w:p w14:paraId="6D0FFE6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Объект испытаний: опытный с-т И-220 проектировался с высотным мотором АМ-39 как истребитель ведения активного воздушного боя на всех высотах.С-т построен заводом в конце 1942. По приказу НКАП А.И.Ш. на с-т установлен невысотный мотор АМ-38Ф для проведения первого этапа испытаний и получения предварительных рез-тов с последующей заменой мотора АМ-38Ф на мотор АМ-39. С-т представляет собой низкоплан смешанной конструкции с убирающимся в полете шасси и хвостовым колесом. Головная часть - металлическая, хвостовая - деревянная. Центроплан металлический, консоли - деревянные с металлическим лонжероном. Шасси - оригинальной конструкции: обжатие аммортизаторов увеличивается прогрессивно углу стоянки. С-т снабжен щитками Шренк и автоматическими предкрылками по всему размаху. Хвостовое оперение однокилевое со свободнонесущим стабилизатором.Ручное управление - жесткое, ножное - троссовое. Рули высоты, поворота, элероны снабжены аэродинамической и весовой компенсацией и имеют триммеры для балансировки по всем осям. Управление посадочными щитками, уборкой и выпуском шасси и тормозами - пневматическое.На с-те предусмотрен сброс подвижной части фонаря кабины л.</w:t>
      </w:r>
    </w:p>
    <w:p w14:paraId="19A04BC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ВМГ. На с-те установлен серийный мотор АМ-38Ф с винтом АВ-5Л-126 диаметром 3.2 м.</w:t>
      </w:r>
    </w:p>
    <w:p w14:paraId="3587E35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Взлетная мощность мотора (разрешено применять 3:20 за 100 часов ресурса) составляет 1700 л/с при 2350 оборотах и Рк 1360 мм. Номинальная мощность у земли 1500 л/с при 2050 и Рк 1200 мм. В целях проверки лтд на режимах мотора АМ-39 на низких высотах мотору АМ-38Ф, при снятии летных характеристик, давались обороты 2150 при Рк 1180-1200 в соответствии с письмом-разрешением Зам. ГК з-да № 300 от 15 октября 1943.</w:t>
      </w:r>
    </w:p>
    <w:p w14:paraId="3929567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Полная заправка горючего 464 л (346 кг) в одном баке мягкой конструкции типа ВИАМ-А3. Бак расположен в фюзеляже позади кабины л. Бак заполняется выхлопными газами от мотора. Кроме того, на с-те предусмотрена установка двух крыльевых баков общей емкостью 173 л (128 кг).</w:t>
      </w:r>
    </w:p>
    <w:p w14:paraId="01E73FF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Два трубчать-пластинчатых водяных радиаторов типа ОП-429 (фронт 18,2 дм2, поверхность 32,8) расположены в носке цп в правой и левой его частях. Управление заслонками - электрическое (от УР-2) или автоматическое от автомата МТ-41.</w:t>
      </w:r>
    </w:p>
    <w:p w14:paraId="1F8CCE2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Сотовый м/р типа 553 (фронт 10,4, пов. 10,8) расположен в правом переднем зализе цп. Заслонка управляется вручную агрегатом УР-2.</w:t>
      </w:r>
    </w:p>
    <w:p w14:paraId="77CE751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Пушечное вооружение: На с-те в нормальном варианте вооружения установлено 2 синхронных пушки ШВАК 20мм, располагаемые под мотором с запасом патронов 150 на каждую. Перегрукзочный вариант предусматривает установку еще 2-х синхронных ШВАК над мотором с таким же б/з. Управление огнем - электропневматическое с пом. ПЭС-1 от э/кнопок на ручке управления. Стрельбу возможно вести только залпом (верхними или нижними пушками). Перезарядка пушек - пневматическая. На земле имеется механическая перезарядка. Гильзы и звенья выбрасываются наружу.</w:t>
      </w:r>
    </w:p>
    <w:p w14:paraId="466E843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Бомбовое вооружение - с-т оборудован 2-мя балками для подвески по одной 100 кг бомбе. Управление троссовое или механическое АСИ-140 от кнопки на ручке. Прицел ПБП-1А (для стрельбы и бомбометания с пикирования).</w:t>
      </w:r>
    </w:p>
    <w:p w14:paraId="18D306E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Чпецоборудование с-т тмеет обычное для истребителя пилотажно-навигационное оборудование и оборудования контроля ВМГ. Особенностью является наличие автоматического электрорегулирования температуры воды (АРТ-41).</w:t>
      </w:r>
    </w:p>
    <w:p w14:paraId="72BB917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Электрооборудование выполнено по однопроводной схеме с частичной электроизоляцией (зажигание мотора и проводка от генератора к щитку).</w:t>
      </w:r>
    </w:p>
    <w:p w14:paraId="20C991F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Источник тока - генератор ГС-350 и аккумуляторная батарея А2А-10. Система защиты централизована (на электрощитке в кабине пилота) и осуществляется плавкими вставками.</w:t>
      </w:r>
    </w:p>
    <w:p w14:paraId="6FF1D96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ночных полетов установлены фары ФС-150 и ВНО. Освещение приборов в кабине двумя кабинными лампами и двумя лампами УФО</w:t>
      </w:r>
    </w:p>
    <w:p w14:paraId="2C2DCCA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Имеется электрообогрев трубки Пито и часов.</w:t>
      </w:r>
    </w:p>
    <w:p w14:paraId="741148A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Средства радиосвязи состоят из приемо-передатчика РСИ-4, установленной в хвостовой части фюзеляжа. Управление р/п дистанционное при помощи гибкого валика конструкции НИСО НКАП. Включение р/п в полете осуществляется кнопкой на сектиоре газа.</w:t>
      </w:r>
    </w:p>
    <w:p w14:paraId="561C558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Антенна наружная однолучевая. (без мачты), протянутая от киля к штырю, расположенному за кабиной.</w:t>
      </w:r>
    </w:p>
    <w:p w14:paraId="18090A0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Кислородное оборудование состоит из прибора КПА-3бис и 4-х литрового баллона, а также штуцера бортовой заправки.</w:t>
      </w:r>
    </w:p>
    <w:p w14:paraId="2DD1C7E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Вспомогательное оборудование - сигнальный пистолет КП-3 на 6 шпангоуте и малая аптечка</w:t>
      </w:r>
    </w:p>
    <w:p w14:paraId="63EE558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Бронирование: бронеспинка 8 мм и бронезаголовник 13 мм</w:t>
      </w:r>
    </w:p>
    <w:p w14:paraId="49535AB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Сккорострельность пушки ШВАК 757 выст/м Продолжительность непрерывной стрельбы 11,4 с. Вес секундного залпа 2-х пушек - 2,518 кг. Вес снаряда - 96 г.</w:t>
      </w:r>
    </w:p>
    <w:p w14:paraId="1DCB9C9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Испытания начаты 23 октября 1943 и закончены 2 января 1944. Выполнен 31 полет с налетом 31:11</w:t>
      </w:r>
    </w:p>
    <w:p w14:paraId="2743D1C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Результаты испытаний:</w:t>
      </w:r>
    </w:p>
    <w:p w14:paraId="6FD2C51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 пустого 2936, центровка при выпущенных шасси 14,6, капотажный угол 23:35</w:t>
      </w:r>
    </w:p>
    <w:p w14:paraId="03DFAD0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Нормальный полетный - 3574 - 23,6 - 29:25</w:t>
      </w:r>
    </w:p>
    <w:p w14:paraId="36FD4BF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Перегрузочный - 3720 - 23,2 28:3</w:t>
      </w:r>
    </w:p>
    <w:p w14:paraId="2E592B7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Нормальная нагрузка:</w:t>
      </w:r>
    </w:p>
    <w:p w14:paraId="2DE42B3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Экипаж - 90</w:t>
      </w:r>
    </w:p>
    <w:p w14:paraId="255A104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Горючее (уд. Вес 0,745) 346</w:t>
      </w:r>
    </w:p>
    <w:p w14:paraId="0B2E677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Масло - 40</w:t>
      </w:r>
    </w:p>
    <w:p w14:paraId="0E439ED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Вооружение - 78</w:t>
      </w:r>
    </w:p>
    <w:p w14:paraId="53306AF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б/з - 68</w:t>
      </w:r>
    </w:p>
    <w:p w14:paraId="0383E0D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Оборудование - 16 (рация, кислородный баллон)</w:t>
      </w:r>
    </w:p>
    <w:p w14:paraId="7556706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 638</w:t>
      </w:r>
    </w:p>
    <w:p w14:paraId="1022EB6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Доп. Нагрузка - 2хШВАК - 78, б/з - 68, всего 146 кг</w:t>
      </w:r>
    </w:p>
    <w:p w14:paraId="26AD62B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 скорость у земли 572 (при 2150 Рк 1180 или 608 при форсаже (2350 Рк 1350</w:t>
      </w:r>
    </w:p>
    <w:p w14:paraId="64B135A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Максю. Скорость на гр. высотности 2600 - 622 и 652</w:t>
      </w:r>
    </w:p>
    <w:p w14:paraId="7D64882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Скороподъемность не определялась ввиду того, что для уборки шасси требовалось уменьшить скорость набора высоты до 220 км/час по приборами создавать отрицательную перегрузку - делать клевок.</w:t>
      </w:r>
    </w:p>
    <w:p w14:paraId="14C858B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Разбег - 295, скорость отрыва 160, взлетная дистанция 920</w:t>
      </w:r>
    </w:p>
    <w:p w14:paraId="6500842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Пробег 445, скорость посадочная 130, дистанция 960 по бетону</w:t>
      </w:r>
    </w:p>
    <w:p w14:paraId="5FDAA8E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Маневр 1000 м вращение одинарное - левый на 350-340 - 19</w:t>
      </w:r>
    </w:p>
    <w:p w14:paraId="628F875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правый на 350-340 - 20</w:t>
      </w:r>
    </w:p>
    <w:p w14:paraId="3748802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Набор высоты за боевой разворот - 1000 м с 500</w:t>
      </w:r>
    </w:p>
    <w:p w14:paraId="736A418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Дальность двухсторонней радиосвязи с р/с 11-К на 1000 м - до 25 км, на 2000 - до 20 км</w:t>
      </w:r>
    </w:p>
    <w:p w14:paraId="4E6173B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Летчики облета - Стефановский, Кочетков, Хоияков, Кубышкин - дали положительную оценку. Хорошие лтд, мощное ворружение, прост в пилотировании.</w:t>
      </w:r>
    </w:p>
    <w:p w14:paraId="0BA14E5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форсеже имеет преимущества перед Ме-109 -G2 до 5000 м. С-т желательно иметь на вооружении ВВС КА</w:t>
      </w:r>
    </w:p>
    <w:p w14:paraId="4647E43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Эксплуатационная оценка - ст т-исп. 3 отд. НИИ ВВС КА безбаш от 5 января - в целом эксплуатация не сложнее эксплуатации истребителей, состоящих на вооружении ВВС</w:t>
      </w:r>
    </w:p>
    <w:p w14:paraId="4F0A955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Выводы:</w:t>
      </w:r>
    </w:p>
    <w:p w14:paraId="64107E3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Основные дефекты:</w:t>
      </w:r>
    </w:p>
    <w:p w14:paraId="67C668E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наличие несильного бафтинга хвостового оперения при парашютировании</w:t>
      </w:r>
    </w:p>
    <w:p w14:paraId="41B45CB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 потеря эффективности РВ на посадке, усложняет исправление грубой посадки </w:t>
      </w:r>
    </w:p>
    <w:p w14:paraId="3F557B5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неудовлетворительный обзор задней и средней п/с и искажения козырька прри обзоре вперед</w:t>
      </w:r>
    </w:p>
    <w:p w14:paraId="4D68E46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малый радиус действия</w:t>
      </w:r>
    </w:p>
    <w:p w14:paraId="4C0E7D8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большая нагрузка на колеса для размера 650х200</w:t>
      </w:r>
    </w:p>
    <w:p w14:paraId="62F1D25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недорустимо большая девиация магнитного компаса, что усложняет ориентирование.</w:t>
      </w:r>
    </w:p>
    <w:p w14:paraId="722060C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Подписали 5 января Кочетков и Хомяков.</w:t>
      </w:r>
    </w:p>
    <w:p w14:paraId="5F2E6D9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Заключение:</w:t>
      </w:r>
    </w:p>
    <w:p w14:paraId="132F20E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установке на с-т мотора АМ-39 и АМ-39ТК с-т И-220 может быть успешно использован в качестве высотного истребителя, т.к. по данным заводских испытаний имеет преимущества в максимальной скорости по сравнению с Ла-5ФН и ЯК-3ПФ с высот 5000-6000 м и по сравнению с Як-3 107А с высот 7000-75000 м</w:t>
      </w:r>
    </w:p>
    <w:p w14:paraId="120D4E9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Такой с-т как специальный тип крайне необходим ВВС</w:t>
      </w:r>
    </w:p>
    <w:p w14:paraId="238C3A6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Просить НКАП т. А.И.Ш. дать указания об ускорении доводки АМ-39 по предъявлению с-та И-220 с этим мотором на ГИ. От 1 января 1944 (766,5).</w:t>
      </w:r>
    </w:p>
    <w:p w14:paraId="55A8D1C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8411F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января 1944 года зам. начальника 7-го гл. управления Алексеев писал письмо зам. начальника 8 гл. управления Воликову.</w:t>
      </w:r>
    </w:p>
    <w:p w14:paraId="0DB1E85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Сообщаю потребность в моторах АМ-39 на 5-ое января с.г.</w:t>
      </w:r>
    </w:p>
    <w:p w14:paraId="7D2AAFC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Заводу N 51 (Поликарпову)</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219"/>
        <w:gridCol w:w="2118"/>
        <w:gridCol w:w="2118"/>
      </w:tblGrid>
      <w:tr w:rsidR="006331D6" w:rsidRPr="007224C3" w14:paraId="4DA185ED" w14:textId="77777777">
        <w:tc>
          <w:tcPr>
            <w:tcW w:w="4219" w:type="dxa"/>
          </w:tcPr>
          <w:p w14:paraId="69A79B7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АМ-39 с ред 0,59</w:t>
            </w:r>
          </w:p>
        </w:tc>
        <w:tc>
          <w:tcPr>
            <w:tcW w:w="2118" w:type="dxa"/>
          </w:tcPr>
          <w:p w14:paraId="5E0453C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мотора</w:t>
            </w:r>
          </w:p>
        </w:tc>
        <w:tc>
          <w:tcPr>
            <w:tcW w:w="2118" w:type="dxa"/>
          </w:tcPr>
          <w:p w14:paraId="670F364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срочно</w:t>
            </w:r>
          </w:p>
        </w:tc>
      </w:tr>
      <w:tr w:rsidR="006331D6" w:rsidRPr="007224C3" w14:paraId="74BA28B3" w14:textId="77777777">
        <w:tc>
          <w:tcPr>
            <w:tcW w:w="4219" w:type="dxa"/>
          </w:tcPr>
          <w:p w14:paraId="489BA9E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АМ-39А -"- 0,59</w:t>
            </w:r>
          </w:p>
        </w:tc>
        <w:tc>
          <w:tcPr>
            <w:tcW w:w="2118" w:type="dxa"/>
          </w:tcPr>
          <w:p w14:paraId="16D2678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мотора</w:t>
            </w:r>
          </w:p>
        </w:tc>
        <w:tc>
          <w:tcPr>
            <w:tcW w:w="2118" w:type="dxa"/>
          </w:tcPr>
          <w:p w14:paraId="20DA60A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 1 марта 1944 года</w:t>
            </w:r>
          </w:p>
        </w:tc>
      </w:tr>
      <w:tr w:rsidR="006331D6" w:rsidRPr="007224C3" w14:paraId="1C97553F" w14:textId="77777777">
        <w:tc>
          <w:tcPr>
            <w:tcW w:w="4219" w:type="dxa"/>
          </w:tcPr>
          <w:p w14:paraId="24B852E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Заводу N 156 (Туполеву)</w:t>
            </w:r>
          </w:p>
        </w:tc>
        <w:tc>
          <w:tcPr>
            <w:tcW w:w="2118" w:type="dxa"/>
          </w:tcPr>
          <w:p w14:paraId="4E51A67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118" w:type="dxa"/>
          </w:tcPr>
          <w:p w14:paraId="2D6BD35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45EDC3A7" w14:textId="77777777">
        <w:tc>
          <w:tcPr>
            <w:tcW w:w="4219" w:type="dxa"/>
          </w:tcPr>
          <w:p w14:paraId="74AE24E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АМ-39 с ред 0,59</w:t>
            </w:r>
          </w:p>
        </w:tc>
        <w:tc>
          <w:tcPr>
            <w:tcW w:w="2118" w:type="dxa"/>
          </w:tcPr>
          <w:p w14:paraId="57CABC0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мотора</w:t>
            </w:r>
          </w:p>
        </w:tc>
        <w:tc>
          <w:tcPr>
            <w:tcW w:w="2118" w:type="dxa"/>
          </w:tcPr>
          <w:p w14:paraId="179B8FF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срочно</w:t>
            </w:r>
          </w:p>
        </w:tc>
      </w:tr>
      <w:tr w:rsidR="006331D6" w:rsidRPr="007224C3" w14:paraId="6C8BF491" w14:textId="77777777">
        <w:tc>
          <w:tcPr>
            <w:tcW w:w="4219" w:type="dxa"/>
          </w:tcPr>
          <w:p w14:paraId="4D77B2D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АМ-39 с ред 0,59</w:t>
            </w:r>
          </w:p>
        </w:tc>
        <w:tc>
          <w:tcPr>
            <w:tcW w:w="2118" w:type="dxa"/>
          </w:tcPr>
          <w:p w14:paraId="04158FE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мотор</w:t>
            </w:r>
          </w:p>
        </w:tc>
        <w:tc>
          <w:tcPr>
            <w:tcW w:w="2118" w:type="dxa"/>
          </w:tcPr>
          <w:p w14:paraId="4A3EF6B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февраля 1944 года</w:t>
            </w:r>
          </w:p>
        </w:tc>
      </w:tr>
      <w:tr w:rsidR="006331D6" w:rsidRPr="007224C3" w14:paraId="79DDE1BA" w14:textId="77777777">
        <w:tc>
          <w:tcPr>
            <w:tcW w:w="4219" w:type="dxa"/>
          </w:tcPr>
          <w:p w14:paraId="503244F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Заводу N 155 (Микояну)</w:t>
            </w:r>
          </w:p>
        </w:tc>
        <w:tc>
          <w:tcPr>
            <w:tcW w:w="2118" w:type="dxa"/>
          </w:tcPr>
          <w:p w14:paraId="338C1C3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118" w:type="dxa"/>
          </w:tcPr>
          <w:p w14:paraId="2123EA3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574B4167" w14:textId="77777777">
        <w:tc>
          <w:tcPr>
            <w:tcW w:w="4219" w:type="dxa"/>
          </w:tcPr>
          <w:p w14:paraId="502985E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Ам-39 с воздухо-воздушными радиаторами</w:t>
            </w:r>
          </w:p>
        </w:tc>
        <w:tc>
          <w:tcPr>
            <w:tcW w:w="2118" w:type="dxa"/>
          </w:tcPr>
          <w:p w14:paraId="6403713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118" w:type="dxa"/>
          </w:tcPr>
          <w:p w14:paraId="731A696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6983EE9C" w14:textId="77777777">
        <w:tc>
          <w:tcPr>
            <w:tcW w:w="4219" w:type="dxa"/>
          </w:tcPr>
          <w:p w14:paraId="7D18FF4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ред 0,59</w:t>
            </w:r>
          </w:p>
        </w:tc>
        <w:tc>
          <w:tcPr>
            <w:tcW w:w="2118" w:type="dxa"/>
          </w:tcPr>
          <w:p w14:paraId="4306587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мотора</w:t>
            </w:r>
          </w:p>
        </w:tc>
        <w:tc>
          <w:tcPr>
            <w:tcW w:w="2118" w:type="dxa"/>
          </w:tcPr>
          <w:p w14:paraId="657C382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 1 февраля 1944 года</w:t>
            </w:r>
          </w:p>
        </w:tc>
      </w:tr>
      <w:tr w:rsidR="006331D6" w:rsidRPr="007224C3" w14:paraId="6D7D0B22" w14:textId="77777777">
        <w:tc>
          <w:tcPr>
            <w:tcW w:w="4219" w:type="dxa"/>
          </w:tcPr>
          <w:p w14:paraId="0565D5D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АМ-39 с ред 0,59</w:t>
            </w:r>
          </w:p>
        </w:tc>
        <w:tc>
          <w:tcPr>
            <w:tcW w:w="2118" w:type="dxa"/>
          </w:tcPr>
          <w:p w14:paraId="2EC8E2D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мотора</w:t>
            </w:r>
          </w:p>
        </w:tc>
        <w:tc>
          <w:tcPr>
            <w:tcW w:w="2118" w:type="dxa"/>
          </w:tcPr>
          <w:p w14:paraId="6BB3D84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требуются</w:t>
            </w:r>
          </w:p>
        </w:tc>
      </w:tr>
      <w:tr w:rsidR="005106D0" w:rsidRPr="007224C3" w14:paraId="62A06306" w14:textId="77777777">
        <w:tc>
          <w:tcPr>
            <w:tcW w:w="4219" w:type="dxa"/>
          </w:tcPr>
          <w:p w14:paraId="7121148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АМ-39 с ред 0,732</w:t>
            </w:r>
          </w:p>
        </w:tc>
        <w:tc>
          <w:tcPr>
            <w:tcW w:w="2118" w:type="dxa"/>
          </w:tcPr>
          <w:p w14:paraId="1D1E798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мотор</w:t>
            </w:r>
          </w:p>
        </w:tc>
        <w:tc>
          <w:tcPr>
            <w:tcW w:w="2118" w:type="dxa"/>
          </w:tcPr>
          <w:p w14:paraId="352835B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срочно (1825,7)</w:t>
            </w:r>
          </w:p>
        </w:tc>
      </w:tr>
    </w:tbl>
    <w:p w14:paraId="3E03BEF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C1BEC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января 1944 г. по приказу № 13с ОКБ -250 введено в состав завода № 36.</w:t>
      </w:r>
    </w:p>
    <w:p w14:paraId="13C0C93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25.06.1946 г. получило название ОКБ-36-1 при заводе № 36. С 1947 г. получило название Щербаковское предприятие п/я 106 - ОКБ-36 МАП, с 1957 г.- Рыбинское предприятие п/я 106 - ОКБ-36 МАП. В 08.1957 г.- в ведении ЗГУ МАП.</w:t>
      </w:r>
    </w:p>
    <w:p w14:paraId="65F3EC3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Пост, правительства от 1.04.1952 г. ОКБ выдано задание на разработку ВД-5. Пост, от 6.07.1952 г. выдано задание на разработку ВД-7. Пост. СМ СССР от 30.07.1954 г. задавалось создание на базе ВД-5 двигателей ВД-5М и ВД-5Ф, пост, от 07.1955 г. их разработка прекращена в пользу ВД-7.</w:t>
      </w:r>
    </w:p>
    <w:p w14:paraId="59B8E9E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1.10.1966 г.- РКБМ (по приказу от 30.04.1966 г.), А-7970 (А-7470) (1967-69 г.), в 1984-89г,- Андроповское КБМ (АКБМ). С 1.12.1992 г.- АООТ «РКБМ», с 1996 г.- ОАО. 28.02.1997 г. влилось в ОАО «Рыбинские моторы». Численность работников (весна 1952 г.)- 1500 чел.</w:t>
      </w:r>
    </w:p>
    <w:p w14:paraId="25F1C4B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конструктор (11.1941-56 г.)- В.А. Добрынин {28.05.1895-78 г.}, (1960-84 г.)- П.А. Колесов {1915-}, (1984- 88 г.)- В.И. Галигузов, (1988-97 г.)- А.С. Новиков, М.Л. Кузменко. Ген. конструктор (12.1956-60 г.)- В.А. Добрынин {28.05.1895-78 г.}, (1966 г.-)- С.А. Гаврилов {1914-83 г.}.</w:t>
      </w:r>
    </w:p>
    <w:p w14:paraId="4714881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Ответственный руководитель (1943-60 г.)- В.А. Добрынин, (1960-84 г.)- П.А. Колесов, (1984-88 г.)- В.И. Галигузов. Гендиректор (1994-98 г.)- А.С. Новиков.</w:t>
      </w:r>
    </w:p>
    <w:p w14:paraId="79B655A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1-й зам. гл. конструктора (1986 г.-)- А.С. Новиков. Зам. гл. конструктора (1944-46 г.)-  Г.С. Скубачевский, (1950- е)- Е.М. Бермант; по расчетно-исследовательским работам (1984 г.-)- А.С. Новиков. Гл. конструкторы: (1962-66 г.)- С.А. Гаврилов, (1979 г.)- А.Л. Дынкин (РД-38). Начальник КО (1950-е  г.)- В.Н. Кувыркин.</w:t>
      </w:r>
    </w:p>
    <w:p w14:paraId="63013D2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Создано: авиационные двигатели ВД-ЗТК (М-251ТК, 1948), ВД-4К (М-253К, 1952), ВД-5 (1954), ВД-7 (1957), ВД-7М (1960), ВД-19 (1963), РД-7М2 (1963), РД36-35 (1964), РД36-41 (1968), РД36-51 (1969), РД-38 для Як-38 (1980), РД-41 (1982), РД-43, РД-51, РД-600В (1988), ТВД-1500 (1991), PM3-320; ТРДЦ для БПЛА 36, 36МТ (2001); судовой дизель Д65А-С, дизели для экскаваторов Д65П, Д75П; маломощный авиационный дизель ДН-200 (1991) (11982).</w:t>
      </w:r>
    </w:p>
    <w:p w14:paraId="4193549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4C20D56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5 января 1944 г. Казанская шарашка на заводе № 16 прекратила свое существование. На основании приказа по МАП № 00446/262 от 18.06.44 г. начальник ОКБ 4-го Спецотдела НКВД СССР на заводе № 16 Бекетов В. А. передал директору завода № 16 Лукину М. М.: </w:t>
      </w:r>
    </w:p>
    <w:p w14:paraId="22A7EB9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1. Группу работников реактивных двигателей в количестве 85 человек, завершивших впервые в СССР плановое задание по созданию опытных образцов нового типа авиационных двигателей - реактивного двигателя РД-1 с тягой 300 кг. </w:t>
      </w:r>
    </w:p>
    <w:p w14:paraId="1F0606E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2. Группу работников в количестве 150 человек по созданию опытных образцов, 24-цилиндровый бензиновый двигателей мощностью 2200 л. с. МБ-100 и МБ-102. Двигатели требовали дальнейшей доводки. </w:t>
      </w:r>
    </w:p>
    <w:p w14:paraId="4542A55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3. Группа работников по созданию дизельных двигателей изъята из структуры завода № 16 и направлена на Тушинский авиамоторный завод № 82. </w:t>
      </w:r>
    </w:p>
    <w:p w14:paraId="28CE4FB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Директором завода № 16 М. М. Лукиным были продолжены работы, начатые под руководством ОКБ 4-го Спецотдела НКВД СССР. </w:t>
      </w:r>
    </w:p>
    <w:p w14:paraId="0DD4765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 декабре 1944 г. на заводе № 16 была проведена реорганизация. На базе группы реактивных двигателей было создано ОКБ специальных двигателей - ОКБ СД. В секретных документах его называли ОКБ реактивных двигателей - ОКБ РД. Главным конструктором назначили Глушко, а Королев стал его заместителем. </w:t>
      </w:r>
    </w:p>
    <w:p w14:paraId="2ACCF28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Первоначально Королев работал по отработке и испытанию двигателей РД-1ХЗ. Его группа состояла из четырех бригад, включавших 16 человек. Пять человек были специалисты 4-го Спецотдела НКВД Тушинского ОТБ-82, а остальные одиннадцать - вольнонаемные. </w:t>
      </w:r>
    </w:p>
    <w:p w14:paraId="1380CF6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достигнутые успехи Глушко включил Королева в сталинский приказ об освобождении и награждении орденом "Знак Почета" (12107).</w:t>
      </w:r>
    </w:p>
    <w:p w14:paraId="4FA087C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5C8547A3" w14:textId="77777777" w:rsidR="0059774D" w:rsidRPr="007224C3" w:rsidRDefault="0059774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января 1944 г. Казанская шарашка на заводе № 16 прекратила свое существование. На основании приказа по МАП № 00446/262 от 18.06.44 г. начальник ОКБ 4-го Спецотдела НКВД СССР на заводе № 16 Бекетов В. А. передал директору завода № 16 Лукину М. М.:</w:t>
      </w:r>
    </w:p>
    <w:p w14:paraId="001A2577" w14:textId="77777777" w:rsidR="0059774D" w:rsidRPr="007224C3" w:rsidRDefault="0059774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 xml:space="preserve">1. Группу работников реактивных двигателей в количестве 85 человек, завершивших впервые в СССР плановое задание по созданию опытных образцов нового типа авиационных двигателей — реактивного двигателя РД-1 с тягой 300 кг. </w:t>
      </w:r>
    </w:p>
    <w:p w14:paraId="061BF344" w14:textId="77777777" w:rsidR="0059774D" w:rsidRPr="007224C3" w:rsidRDefault="0059774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2. Группу работников в количестве 150 человек по созданию опытных образцов, 24-цилиндровый бензиновый двигателей мощностью 2200 л. с. МБ-100 и МБ-102. Двигатели требовали дальнейшей доводки. </w:t>
      </w:r>
    </w:p>
    <w:p w14:paraId="7950318C" w14:textId="77777777" w:rsidR="0059774D" w:rsidRPr="007224C3" w:rsidRDefault="0059774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Группа работников по созданию дизельных двигателей изъята из структуры завода № 16 и направлена на Тушинский авиамоторный завод № 82.</w:t>
      </w:r>
    </w:p>
    <w:p w14:paraId="1489B8C4" w14:textId="77777777" w:rsidR="0059774D" w:rsidRPr="007224C3" w:rsidRDefault="0059774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Директором завода № 16 М. М. Лукиным были продолжены работы, начатые под руководством ОКБ 4-го Спецотдела НКВД СССР (18668).</w:t>
      </w:r>
    </w:p>
    <w:p w14:paraId="0281EFEE" w14:textId="77777777" w:rsidR="0059774D" w:rsidRPr="007224C3" w:rsidRDefault="0059774D" w:rsidP="007224C3">
      <w:pPr>
        <w:spacing w:after="0" w:line="240" w:lineRule="auto"/>
        <w:jc w:val="both"/>
        <w:rPr>
          <w:rFonts w:ascii="Times New Roman" w:hAnsi="Times New Roman"/>
          <w:color w:val="000000" w:themeColor="text1"/>
          <w:sz w:val="16"/>
          <w:szCs w:val="16"/>
        </w:rPr>
      </w:pPr>
    </w:p>
    <w:p w14:paraId="4DDE1DD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января 1944 вышел приказ НКАП N 12сс об организации на площадях винтового производства 150 завода в Ступино опытного завода 25 с директором М.С.Бондалетовым (1665,9).</w:t>
      </w:r>
    </w:p>
    <w:p w14:paraId="5D2B39D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8 ГУ на площадях з-да 150, ранее занимаемой винтомоторным пр-вом, организовать на основе объединения ОКБ з-в 28, 35 и 132 опытный з-д по пр-ву новых винтов и регуляторов ВИШ, присвоив данному з-ду № 25 (Ступино).</w:t>
      </w:r>
    </w:p>
    <w:p w14:paraId="5E56C63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Назначить директором з-да № 25 М.С.Бондалетова (1665, 9-10).</w:t>
      </w:r>
    </w:p>
    <w:p w14:paraId="41FE44E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A547F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января 1944 г. в соответствии с приказом № 12с в  г. Ступино на площадке бывшего завода № 150 НКАП из переведенных сюда ОКБ завода № 35, ОКБ завода № 28 и ОКБ завода № 132 НКАП в 8ГУ НКАП.</w:t>
      </w:r>
    </w:p>
    <w:p w14:paraId="29C70C4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05.1944 г. продолжена работа по автоматам совместного управления винтом и газом («ВГ») конструкции ЦИАМ.</w:t>
      </w:r>
    </w:p>
    <w:p w14:paraId="542FAE9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приказу НКАП № 161с от 20.04.1945 г. завод № 25 объединен с заводом № 150 НКАП 9ГУ. Основной состав коллектива влился в ОКБ завода № 150 НКАП.</w:t>
      </w:r>
    </w:p>
    <w:p w14:paraId="44493DF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(1944 г.-)- М.С. Бондалетов.</w:t>
      </w:r>
    </w:p>
    <w:p w14:paraId="48DB945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инженер (1944 г.-)- Д.М. Дубровский.</w:t>
      </w:r>
    </w:p>
    <w:p w14:paraId="2AD66C0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конструктор (1944 г.-)- К.И. Жданов.</w:t>
      </w:r>
    </w:p>
    <w:p w14:paraId="7EFB18A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гл. конструктора: по НИР (1944 г.-)-  Г.И. Кузьмин; по винтам (1944 г.-)- Н.Н. Петров; по регуляторам (1944 г.-)- А.Н. Петелин (11982).</w:t>
      </w:r>
    </w:p>
    <w:p w14:paraId="01ED2C17" w14:textId="77777777" w:rsidR="00414BE3" w:rsidRPr="007224C3" w:rsidRDefault="00414BE3" w:rsidP="007224C3">
      <w:pPr>
        <w:autoSpaceDE w:val="0"/>
        <w:autoSpaceDN w:val="0"/>
        <w:adjustRightInd w:val="0"/>
        <w:spacing w:after="0" w:line="240" w:lineRule="auto"/>
        <w:jc w:val="both"/>
        <w:rPr>
          <w:rFonts w:ascii="Times New Roman" w:hAnsi="Times New Roman"/>
          <w:color w:val="000000" w:themeColor="text1"/>
          <w:sz w:val="16"/>
          <w:szCs w:val="16"/>
        </w:rPr>
      </w:pPr>
    </w:p>
    <w:p w14:paraId="02C1200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января 1944 г. по приказу НКАП № 12с коллектив ОКБ завода № 35 переведен в  г. Ступино и влит в состав вновь образованного Завода № 25 НКАП.</w:t>
      </w:r>
    </w:p>
    <w:p w14:paraId="45F6BD2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конструктор (-01.1944 г.)- К.И. Жданов. Зам. гл. конструктора (-01.1944 г.)- Д.М. Дубровский (11982).</w:t>
      </w:r>
    </w:p>
    <w:p w14:paraId="25C387B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593B122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января 1944 г. ОКБ гл. конструктора  Г.И. Кузмина завода № 28 было влито в состав вновь образованного опытного завода № 25 НКАГ1 в Ступино.</w:t>
      </w:r>
    </w:p>
    <w:p w14:paraId="4A357B9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конструктор (04.1941-01.1944 г.)-  Г.И. Кузмин.</w:t>
      </w:r>
    </w:p>
    <w:p w14:paraId="00D2A2D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гл. конструктора (04.1941-01.1944 г.)- Н.Н. Петров.</w:t>
      </w:r>
    </w:p>
    <w:p w14:paraId="2BBD4C20" w14:textId="77777777" w:rsidR="00414BE3" w:rsidRPr="007224C3" w:rsidRDefault="00414BE3"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81E2871" w14:textId="77777777" w:rsidR="00DF6978" w:rsidRPr="007224C3" w:rsidRDefault="00DF6978"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января 1944 вышло Постановление ГКО № 4891 О выпуске опытной серии радиолокационной аппаратуры для ночных истребителей. (7167, 170-171, 172-178).</w:t>
      </w:r>
    </w:p>
    <w:p w14:paraId="58023A99" w14:textId="77777777" w:rsidR="00DF6978" w:rsidRPr="007224C3" w:rsidRDefault="00DF6978"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88EE2F9" w14:textId="77777777" w:rsidR="00DF6978" w:rsidRPr="007224C3" w:rsidRDefault="00DF6978" w:rsidP="007224C3">
      <w:pPr>
        <w:spacing w:after="0" w:line="240" w:lineRule="auto"/>
        <w:jc w:val="both"/>
        <w:rPr>
          <w:rFonts w:ascii="Times New Roman" w:eastAsia="Arial Unicode MS" w:hAnsi="Times New Roman"/>
          <w:color w:val="000000" w:themeColor="text1"/>
          <w:sz w:val="16"/>
          <w:szCs w:val="16"/>
        </w:rPr>
      </w:pPr>
      <w:r w:rsidRPr="007224C3">
        <w:rPr>
          <w:rFonts w:ascii="Times New Roman" w:eastAsia="Arial Unicode MS" w:hAnsi="Times New Roman"/>
          <w:color w:val="000000" w:themeColor="text1"/>
          <w:sz w:val="16"/>
          <w:szCs w:val="16"/>
        </w:rPr>
        <w:t>5 января 1944 г.  ГОСУДАРСТВЕННЫЙ КОМИТЕТ ОБОРОНЫ ПОСТАНОВЛЕНИЕ № ГКО-4891сс</w:t>
      </w:r>
    </w:p>
    <w:p w14:paraId="4CA65574" w14:textId="77777777" w:rsidR="00DF6978" w:rsidRPr="007224C3" w:rsidRDefault="00DF6978" w:rsidP="007224C3">
      <w:pPr>
        <w:spacing w:after="0" w:line="240" w:lineRule="auto"/>
        <w:jc w:val="both"/>
        <w:rPr>
          <w:rFonts w:ascii="Times New Roman" w:eastAsia="Arial Unicode MS" w:hAnsi="Times New Roman"/>
          <w:color w:val="000000" w:themeColor="text1"/>
          <w:sz w:val="16"/>
          <w:szCs w:val="16"/>
        </w:rPr>
      </w:pPr>
      <w:r w:rsidRPr="007224C3">
        <w:rPr>
          <w:rFonts w:ascii="Times New Roman" w:eastAsia="Arial Unicode MS" w:hAnsi="Times New Roman"/>
          <w:color w:val="000000" w:themeColor="text1"/>
          <w:sz w:val="16"/>
          <w:szCs w:val="16"/>
        </w:rPr>
        <w:t xml:space="preserve">г. Москва, Кремль </w:t>
      </w:r>
    </w:p>
    <w:p w14:paraId="24292BAB" w14:textId="77777777" w:rsidR="00DF6978" w:rsidRPr="007224C3" w:rsidRDefault="00DF6978" w:rsidP="007224C3">
      <w:pPr>
        <w:spacing w:after="0" w:line="240" w:lineRule="auto"/>
        <w:jc w:val="both"/>
        <w:rPr>
          <w:rFonts w:ascii="Times New Roman" w:eastAsia="Arial Unicode MS" w:hAnsi="Times New Roman"/>
          <w:color w:val="000000" w:themeColor="text1"/>
          <w:sz w:val="16"/>
          <w:szCs w:val="16"/>
        </w:rPr>
      </w:pPr>
      <w:r w:rsidRPr="007224C3">
        <w:rPr>
          <w:rFonts w:ascii="Times New Roman" w:eastAsia="Arial Unicode MS" w:hAnsi="Times New Roman"/>
          <w:color w:val="000000" w:themeColor="text1"/>
          <w:sz w:val="16"/>
          <w:szCs w:val="16"/>
        </w:rPr>
        <w:t>О выпуске опытной серии радиолокационной аппаратуры для ночных истребителей</w:t>
      </w:r>
    </w:p>
    <w:p w14:paraId="5A7D0182" w14:textId="77777777" w:rsidR="00DF6978" w:rsidRPr="007224C3" w:rsidRDefault="00DF6978" w:rsidP="007224C3">
      <w:pPr>
        <w:spacing w:after="0" w:line="240" w:lineRule="auto"/>
        <w:jc w:val="both"/>
        <w:rPr>
          <w:rFonts w:ascii="Times New Roman" w:eastAsia="Arial Unicode MS" w:hAnsi="Times New Roman"/>
          <w:color w:val="000000" w:themeColor="text1"/>
          <w:sz w:val="16"/>
          <w:szCs w:val="16"/>
        </w:rPr>
      </w:pPr>
      <w:r w:rsidRPr="007224C3">
        <w:rPr>
          <w:rFonts w:ascii="Times New Roman" w:eastAsia="Arial Unicode MS" w:hAnsi="Times New Roman"/>
          <w:color w:val="000000" w:themeColor="text1"/>
          <w:sz w:val="16"/>
          <w:szCs w:val="16"/>
        </w:rPr>
        <w:t>Государственный Комитет Обороны постановляет:</w:t>
      </w:r>
    </w:p>
    <w:p w14:paraId="08AFAF86" w14:textId="77777777" w:rsidR="00DF6978" w:rsidRPr="007224C3" w:rsidRDefault="00DF6978" w:rsidP="007224C3">
      <w:pPr>
        <w:spacing w:after="0" w:line="240" w:lineRule="auto"/>
        <w:jc w:val="both"/>
        <w:rPr>
          <w:rFonts w:ascii="Times New Roman" w:eastAsia="Arial Unicode MS" w:hAnsi="Times New Roman"/>
          <w:color w:val="000000" w:themeColor="text1"/>
          <w:sz w:val="16"/>
          <w:szCs w:val="16"/>
        </w:rPr>
      </w:pPr>
      <w:r w:rsidRPr="007224C3">
        <w:rPr>
          <w:rFonts w:ascii="Times New Roman" w:eastAsia="Arial Unicode MS" w:hAnsi="Times New Roman"/>
          <w:color w:val="000000" w:themeColor="text1"/>
          <w:sz w:val="16"/>
          <w:szCs w:val="16"/>
        </w:rPr>
        <w:t xml:space="preserve">1. Обязать Наркомат внутренних дел Союза ССР (т. Берия): </w:t>
      </w:r>
    </w:p>
    <w:p w14:paraId="56ED4C3E" w14:textId="77777777" w:rsidR="00DF6978" w:rsidRPr="007224C3" w:rsidRDefault="00DF6978" w:rsidP="007224C3">
      <w:pPr>
        <w:spacing w:after="0" w:line="240" w:lineRule="auto"/>
        <w:jc w:val="both"/>
        <w:rPr>
          <w:rFonts w:ascii="Times New Roman" w:eastAsia="Arial Unicode MS" w:hAnsi="Times New Roman"/>
          <w:color w:val="000000" w:themeColor="text1"/>
          <w:sz w:val="16"/>
          <w:szCs w:val="16"/>
        </w:rPr>
      </w:pPr>
      <w:r w:rsidRPr="007224C3">
        <w:rPr>
          <w:rFonts w:ascii="Times New Roman" w:eastAsia="Arial Unicode MS" w:hAnsi="Times New Roman"/>
          <w:color w:val="000000" w:themeColor="text1"/>
          <w:sz w:val="16"/>
          <w:szCs w:val="16"/>
        </w:rPr>
        <w:t xml:space="preserve">а) изготовить по тактико-техническим условиям Авиации Дальнего Действия 10 комплектов радиолокационной аппаратуры типа "ПНБ", разработанной 4-м Спецотделом НКВД, в следующие сроки: 5 комплектов аппаратов к 30 апреля 1944 г. и 5 комплектов аппаратов к 30 мая 1944 г.; </w:t>
      </w:r>
    </w:p>
    <w:p w14:paraId="6892D8F0" w14:textId="77777777" w:rsidR="00DF6978" w:rsidRPr="007224C3" w:rsidRDefault="00DF6978" w:rsidP="007224C3">
      <w:pPr>
        <w:spacing w:after="0" w:line="240" w:lineRule="auto"/>
        <w:jc w:val="both"/>
        <w:rPr>
          <w:rFonts w:ascii="Times New Roman" w:eastAsia="Arial Unicode MS" w:hAnsi="Times New Roman"/>
          <w:color w:val="000000" w:themeColor="text1"/>
          <w:sz w:val="16"/>
          <w:szCs w:val="16"/>
        </w:rPr>
      </w:pPr>
      <w:r w:rsidRPr="007224C3">
        <w:rPr>
          <w:rFonts w:ascii="Times New Roman" w:eastAsia="Arial Unicode MS" w:hAnsi="Times New Roman"/>
          <w:color w:val="000000" w:themeColor="text1"/>
          <w:sz w:val="16"/>
          <w:szCs w:val="16"/>
        </w:rPr>
        <w:t xml:space="preserve">б) разработать и изготовить до июля 1944 года два новых образца радиолокационных аппаратов с использованием дециметрового диапазона волн (50 см.) </w:t>
      </w:r>
    </w:p>
    <w:p w14:paraId="64995709" w14:textId="77777777" w:rsidR="00DF6978" w:rsidRPr="007224C3" w:rsidRDefault="00DF6978" w:rsidP="007224C3">
      <w:pPr>
        <w:spacing w:after="0" w:line="240" w:lineRule="auto"/>
        <w:jc w:val="both"/>
        <w:rPr>
          <w:rFonts w:ascii="Times New Roman" w:eastAsia="Arial Unicode MS" w:hAnsi="Times New Roman"/>
          <w:color w:val="000000" w:themeColor="text1"/>
          <w:sz w:val="16"/>
          <w:szCs w:val="16"/>
        </w:rPr>
      </w:pPr>
      <w:r w:rsidRPr="007224C3">
        <w:rPr>
          <w:rFonts w:ascii="Times New Roman" w:eastAsia="Arial Unicode MS" w:hAnsi="Times New Roman"/>
          <w:color w:val="000000" w:themeColor="text1"/>
          <w:sz w:val="16"/>
          <w:szCs w:val="16"/>
        </w:rPr>
        <w:t>2. Обязать Наркомэлектропром (т. Кабанова) поставить Наркомату внутренних дел детали, полуфабрикаты и узлы в количествах и в сроки, согласно приложению № 1 </w:t>
      </w:r>
      <w:hyperlink r:id="rId15" w:anchor="1" w:history="1">
        <w:r w:rsidRPr="007224C3">
          <w:rPr>
            <w:rStyle w:val="a5"/>
            <w:rFonts w:ascii="Times New Roman" w:eastAsia="Arial Unicode MS" w:hAnsi="Times New Roman"/>
            <w:color w:val="000000" w:themeColor="text1"/>
            <w:sz w:val="16"/>
            <w:szCs w:val="16"/>
            <w:u w:val="none"/>
          </w:rPr>
          <w:t>*</w:t>
        </w:r>
      </w:hyperlink>
      <w:r w:rsidRPr="007224C3">
        <w:rPr>
          <w:rFonts w:ascii="Times New Roman" w:eastAsia="Arial Unicode MS" w:hAnsi="Times New Roman"/>
          <w:color w:val="000000" w:themeColor="text1"/>
          <w:sz w:val="16"/>
          <w:szCs w:val="16"/>
        </w:rPr>
        <w:t xml:space="preserve">. </w:t>
      </w:r>
    </w:p>
    <w:p w14:paraId="69ACEB07" w14:textId="77777777" w:rsidR="00DF6978" w:rsidRPr="007224C3" w:rsidRDefault="00DF6978" w:rsidP="007224C3">
      <w:pPr>
        <w:spacing w:after="0" w:line="240" w:lineRule="auto"/>
        <w:jc w:val="both"/>
        <w:rPr>
          <w:rFonts w:ascii="Times New Roman" w:eastAsia="Arial Unicode MS" w:hAnsi="Times New Roman"/>
          <w:color w:val="000000" w:themeColor="text1"/>
          <w:sz w:val="16"/>
          <w:szCs w:val="16"/>
        </w:rPr>
      </w:pPr>
      <w:r w:rsidRPr="007224C3">
        <w:rPr>
          <w:rFonts w:ascii="Times New Roman" w:eastAsia="Arial Unicode MS" w:hAnsi="Times New Roman"/>
          <w:color w:val="000000" w:themeColor="text1"/>
          <w:sz w:val="16"/>
          <w:szCs w:val="16"/>
        </w:rPr>
        <w:t xml:space="preserve">3. Обязать Наркомавиапром (т. Шахурина) поставить Наркомату внутренних дел радиомашины и электроизмерительные приборы в количествах и в сроки, согласно приложению № 2. </w:t>
      </w:r>
    </w:p>
    <w:p w14:paraId="29C167ED" w14:textId="77777777" w:rsidR="00DF6978" w:rsidRPr="007224C3" w:rsidRDefault="00DF6978" w:rsidP="007224C3">
      <w:pPr>
        <w:spacing w:after="0" w:line="240" w:lineRule="auto"/>
        <w:jc w:val="both"/>
        <w:rPr>
          <w:rFonts w:ascii="Times New Roman" w:eastAsia="Arial Unicode MS" w:hAnsi="Times New Roman"/>
          <w:color w:val="000000" w:themeColor="text1"/>
          <w:sz w:val="16"/>
          <w:szCs w:val="16"/>
        </w:rPr>
      </w:pPr>
      <w:r w:rsidRPr="007224C3">
        <w:rPr>
          <w:rFonts w:ascii="Times New Roman" w:eastAsia="Arial Unicode MS" w:hAnsi="Times New Roman"/>
          <w:color w:val="000000" w:themeColor="text1"/>
          <w:sz w:val="16"/>
          <w:szCs w:val="16"/>
        </w:rPr>
        <w:t xml:space="preserve">4. Обязать Наркомат внешней торговли (т. Микояна) из первых импортных поступлений выделить и поставить Наркомату внутренних дел станки, согласно приложению № 3, а также выявлить инструмент на сумму 6000 долларов. </w:t>
      </w:r>
    </w:p>
    <w:p w14:paraId="7BBCB6A7" w14:textId="77777777" w:rsidR="00DF6978" w:rsidRPr="007224C3" w:rsidRDefault="00DF6978" w:rsidP="007224C3">
      <w:pPr>
        <w:spacing w:after="0" w:line="240" w:lineRule="auto"/>
        <w:jc w:val="both"/>
        <w:rPr>
          <w:rFonts w:ascii="Times New Roman" w:eastAsia="Arial Unicode MS" w:hAnsi="Times New Roman"/>
          <w:color w:val="000000" w:themeColor="text1"/>
          <w:sz w:val="16"/>
          <w:szCs w:val="16"/>
        </w:rPr>
      </w:pPr>
      <w:r w:rsidRPr="007224C3">
        <w:rPr>
          <w:rFonts w:ascii="Times New Roman" w:eastAsia="Arial Unicode MS" w:hAnsi="Times New Roman"/>
          <w:color w:val="000000" w:themeColor="text1"/>
          <w:sz w:val="16"/>
          <w:szCs w:val="16"/>
        </w:rPr>
        <w:t xml:space="preserve">5. Обязать Наркомат по станкостроению (т. Ефремова) поставить Наркомату внутренних дел в 1 квартале 1944 г. целевым назначением станки, согласно приложению № 4. </w:t>
      </w:r>
    </w:p>
    <w:p w14:paraId="11B8106B" w14:textId="77777777" w:rsidR="00DF6978" w:rsidRPr="007224C3" w:rsidRDefault="00DF6978" w:rsidP="007224C3">
      <w:pPr>
        <w:spacing w:after="0" w:line="240" w:lineRule="auto"/>
        <w:jc w:val="both"/>
        <w:rPr>
          <w:rFonts w:ascii="Times New Roman" w:eastAsia="Arial Unicode MS" w:hAnsi="Times New Roman"/>
          <w:color w:val="000000" w:themeColor="text1"/>
          <w:sz w:val="16"/>
          <w:szCs w:val="16"/>
        </w:rPr>
      </w:pPr>
      <w:r w:rsidRPr="007224C3">
        <w:rPr>
          <w:rFonts w:ascii="Times New Roman" w:eastAsia="Arial Unicode MS" w:hAnsi="Times New Roman"/>
          <w:color w:val="000000" w:themeColor="text1"/>
          <w:sz w:val="16"/>
          <w:szCs w:val="16"/>
        </w:rPr>
        <w:t xml:space="preserve">6. Обязать Командующего Авиацией Дальнего Действия ВВС КА Маршала Авиации т. Голованова: </w:t>
      </w:r>
    </w:p>
    <w:p w14:paraId="5D5A9423" w14:textId="77777777" w:rsidR="00DF6978" w:rsidRPr="007224C3" w:rsidRDefault="00DF6978" w:rsidP="007224C3">
      <w:pPr>
        <w:spacing w:after="0" w:line="240" w:lineRule="auto"/>
        <w:jc w:val="both"/>
        <w:rPr>
          <w:rFonts w:ascii="Times New Roman" w:eastAsia="Arial Unicode MS" w:hAnsi="Times New Roman"/>
          <w:color w:val="000000" w:themeColor="text1"/>
          <w:sz w:val="16"/>
          <w:szCs w:val="16"/>
        </w:rPr>
      </w:pPr>
      <w:r w:rsidRPr="007224C3">
        <w:rPr>
          <w:rFonts w:ascii="Times New Roman" w:eastAsia="Arial Unicode MS" w:hAnsi="Times New Roman"/>
          <w:color w:val="000000" w:themeColor="text1"/>
          <w:sz w:val="16"/>
          <w:szCs w:val="16"/>
        </w:rPr>
        <w:t xml:space="preserve">а) выделить в январе 1944 г. в распоряжение 4 Спецотдела НКВД один самолет с экипажем для летных испытаний аппаратуры во всех стадиях ее разработки; </w:t>
      </w:r>
    </w:p>
    <w:p w14:paraId="76F1F68D" w14:textId="77777777" w:rsidR="00DF6978" w:rsidRPr="007224C3" w:rsidRDefault="00DF6978" w:rsidP="007224C3">
      <w:pPr>
        <w:spacing w:after="0" w:line="240" w:lineRule="auto"/>
        <w:jc w:val="both"/>
        <w:rPr>
          <w:rFonts w:ascii="Times New Roman" w:eastAsia="Arial Unicode MS" w:hAnsi="Times New Roman"/>
          <w:color w:val="000000" w:themeColor="text1"/>
          <w:sz w:val="16"/>
          <w:szCs w:val="16"/>
        </w:rPr>
      </w:pPr>
      <w:r w:rsidRPr="007224C3">
        <w:rPr>
          <w:rFonts w:ascii="Times New Roman" w:eastAsia="Arial Unicode MS" w:hAnsi="Times New Roman"/>
          <w:color w:val="000000" w:themeColor="text1"/>
          <w:sz w:val="16"/>
          <w:szCs w:val="16"/>
        </w:rPr>
        <w:t xml:space="preserve">б) обеспечить на одном из подмосковных аэродромов возможность проведения наземных и летных испытаний радиолокационной аппаратуры, разработанной и изготовленной НКВД; </w:t>
      </w:r>
    </w:p>
    <w:p w14:paraId="3B8C7862" w14:textId="77777777" w:rsidR="00DF6978" w:rsidRPr="007224C3" w:rsidRDefault="00DF697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прикомандировать к Наркомату внутренних дел в январе 1944 г. 8 человек квалифицированных специалистов для изучения радиолокационной аппаратуры и для ее освоения, начиная с лабораторной разработки.</w:t>
      </w:r>
    </w:p>
    <w:p w14:paraId="16F31681" w14:textId="77777777" w:rsidR="00DF6978" w:rsidRPr="007224C3" w:rsidRDefault="00DF697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ПРЕДСЕДАТЕЛЯ ГОСУДАРСТВЕННОГО КОМИТЕТА ОБОРОНЫ В. МОЛОТОВ (12637).</w:t>
      </w:r>
    </w:p>
    <w:p w14:paraId="06B3109C" w14:textId="77777777" w:rsidR="00DF6978" w:rsidRPr="007224C3" w:rsidRDefault="00DF6978" w:rsidP="007224C3">
      <w:pPr>
        <w:spacing w:after="0" w:line="240" w:lineRule="auto"/>
        <w:jc w:val="both"/>
        <w:rPr>
          <w:rFonts w:ascii="Times New Roman" w:hAnsi="Times New Roman"/>
          <w:color w:val="000000" w:themeColor="text1"/>
          <w:sz w:val="16"/>
          <w:szCs w:val="16"/>
        </w:rPr>
      </w:pPr>
    </w:p>
    <w:p w14:paraId="1E90D790"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35AA6D3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62C3F1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января 1944 вышло Постановление ГКО № 4883 О завершении строительства цеха по производству тетрила на заводе № 319 Наркомбоеприпасов. РГАНИР, Фонд ГКО, д. 185, лл. 109-111,112-115 (11012).</w:t>
      </w:r>
    </w:p>
    <w:p w14:paraId="4A7CBE4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2E9C85B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января 1944 вышло Распоряжение ГКО № 4884. О продлении до 1 апреля 1944 г. срока заготовки и вывозки деловой древесины трестом "Магнитострой" НКЧМ в Ильменском заповеднике Челябинской обл. РГАНИР, Фонд ГКО, д. 185, лл. 116 (11012).</w:t>
      </w:r>
    </w:p>
    <w:p w14:paraId="45C32BE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6B78160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января 1944 вышло Распоряжение ГКО № 4885. О мерах по обеспечению производства 25 мм зенитных патронов на вновь организуемом заводе № 248 НКБ (Подольск Московской обл.). РГАНИР, Фонд ГКО, д. 185, лл. 117 (11012).</w:t>
      </w:r>
    </w:p>
    <w:p w14:paraId="78F1237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55E9824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января 1944 вышло Распоряжение ГКО № 4886. О поставке водорода для аэростатных частей Красной Армии. РГАНИР, Фонд ГКО, д. 185, лл. 118,119-120 (11012).</w:t>
      </w:r>
    </w:p>
    <w:p w14:paraId="7A381B6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5581674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января 1944 вышло Распоряжение ГКО № 4887. Об отпуске НКсвязи в I полугодии 1944 г. для восстановительных работ ежемесячно 70 т автобензина. РГАНИР, Фонд ГКО, д. 185, лл. 121 (11012).</w:t>
      </w:r>
    </w:p>
    <w:p w14:paraId="60634B9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5C576F9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января 1944 вышло Постановление ГКО № 4889 О восстановлении производства отопительных приборов. РГАНИР, Фонд ГКО, д. 185, лл. 151-157,158-166 (11012).</w:t>
      </w:r>
    </w:p>
    <w:p w14:paraId="2160D33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1A94ADC5"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января 1944 вышло Постановление ГКО № 4889 О восстановлении производства отопительных приборов. (7167, 151-157,158-166).</w:t>
      </w:r>
    </w:p>
    <w:p w14:paraId="54DB138A"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3897F1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января 1944 вышло Постановление ГКО № 4890 Об акустических взрывателях снарядов зенитной артиллерии и искателях повреждений в коротких электрических линиях, разработанных Всесоюзном научно-исследовательским институтом метрологии. РГАНИР, Фонд ГКО, д. 185, лл. 167-169 (11012).</w:t>
      </w:r>
    </w:p>
    <w:p w14:paraId="7CDD1C5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499471F2"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января 1944 вышло Постановление ГКО № 4892 О ремонте бронепоездов в I полугодии 1944 г. (7167, 179-180,181).</w:t>
      </w:r>
    </w:p>
    <w:p w14:paraId="5EE42A01"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22C4113"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января 1944 вышло Постановление ГКО № 4893 О производстве радиолокационных установок для артиллерии главного калибра и радиолокационных станций обнаружения для кораблей Военно-Морского Флота (линкоров, крейсеров, эсминцев) на заводе № 703 НКСП. (7167, 182-184,185-196).</w:t>
      </w:r>
    </w:p>
    <w:p w14:paraId="26C97881"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A20B76B" w14:textId="77777777" w:rsidR="00414BE3" w:rsidRPr="007224C3" w:rsidRDefault="00414BE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января 1944 г. вышло Постановление ГКО за № 4893 «О производстве радиолокационных установок для артиллерии главного калибра и радиолокационных станций обнаружения для кораблей Военно-Морского Флота (линкоров, крейсеров, эсминцев) на заводе № 703 НКСП» (15736).</w:t>
      </w:r>
    </w:p>
    <w:p w14:paraId="74295371" w14:textId="77777777" w:rsidR="00414BE3" w:rsidRPr="007224C3" w:rsidRDefault="00414BE3" w:rsidP="007224C3">
      <w:pPr>
        <w:spacing w:after="0" w:line="240" w:lineRule="auto"/>
        <w:jc w:val="both"/>
        <w:rPr>
          <w:rFonts w:ascii="Times New Roman" w:hAnsi="Times New Roman"/>
          <w:color w:val="000000" w:themeColor="text1"/>
          <w:sz w:val="16"/>
          <w:szCs w:val="16"/>
        </w:rPr>
      </w:pPr>
    </w:p>
    <w:p w14:paraId="7073128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января 1944 г. в соответствии с пост. ГКО № 4893 о производстве РЛ установок и РЛС обнаружения для кораблей ВМФ на заводе (Завод № 703 НКСП, МЗ «Салют» МРП, Московское производственно-техническое объединение (МПТО), НПО «Салют», Государственный Московский Завод (ГМЗ) «Салют», А-3046, А-3819, ФГУП «ГМЗ «Салют» Россудостроения, ФАП /г. Москва, Перово Поле, пос. Владимирский, 1/ /111123  г. Москва ул. Плеханова, 6 тел. 672-73-23/) профиль работы завода изменен: началось освоение производства электронной техники для радиолокации. Был организован новый цех № 10 по регулировке РЛС. В 02.1944 г. получено задание на выпуск в 1-м полугодии 5 комплектов РЛС «Пегматит».</w:t>
      </w:r>
    </w:p>
    <w:p w14:paraId="0999D3D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07.1946 г. в составе КО завода № 703 образовано ОКБ.</w:t>
      </w:r>
    </w:p>
    <w:p w14:paraId="6D603452" w14:textId="77777777" w:rsidR="003712D9" w:rsidRPr="007224C3" w:rsidRDefault="003712D9" w:rsidP="007224C3">
      <w:pPr>
        <w:tabs>
          <w:tab w:val="left" w:pos="1173"/>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приказу ГКС в 04.1958 г. завод № 703 с ОКБ были переданы НИИ-10 в качестве опытного завода для отработки корабельной СУ «Бином». При этом прежняя производственная программа завода оставлена без изменений.</w:t>
      </w:r>
    </w:p>
    <w:p w14:paraId="1EC4127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1966 г. завод № 703 переименован в Московский завод «Салют» в ведении МРП. Имел наименование А- 3046. В 1970-79 г. - в ведении 11ГУ МСП. По приказу МСП от 15.12.1971 г. на базе МЗ «Салют» как головного предприятия создано МПТО «Салют», в которое также вошли: ОКБ завода «Салют», филиал завода в  г. Бендеры, новый строящийся завод в  г. Бендеры. ПО имело наименование «п/я А-3819». В 1976 г. филиал и новый строящийся завод объединены в один завод «Прибор».</w:t>
      </w:r>
    </w:p>
    <w:p w14:paraId="63064A68" w14:textId="77777777" w:rsidR="003712D9" w:rsidRPr="007224C3" w:rsidRDefault="003712D9" w:rsidP="007224C3">
      <w:pPr>
        <w:tabs>
          <w:tab w:val="left" w:pos="1446"/>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1960-е  г. завод выпускал бортовую аппаратуру для КА. .</w:t>
      </w:r>
      <w:r w:rsidRPr="007224C3">
        <w:rPr>
          <w:rFonts w:ascii="Times New Roman" w:hAnsi="Times New Roman"/>
          <w:color w:val="000000" w:themeColor="text1"/>
          <w:sz w:val="16"/>
          <w:szCs w:val="16"/>
        </w:rPr>
        <w:tab/>
        <w:t>В 1970 г. для реализации гибридно-пленочной технологии в цехе № 14 созданы участки изготовления фотошаблонов, вакуумного напыления, фотолитографии, монтажа бескорпусных электрорадиоизоляторов. В 1969-74 г. проведены работы по миниатюризации СВЧ-устройств. В 1978 г. создана лабораторная база микроэлектроники. Имелись: корпус № 30, цех электроэлементов.</w:t>
      </w:r>
    </w:p>
    <w:p w14:paraId="0361616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1979 г. в состав МПТО «Салют» вошла ремонтная база «Волна» ( г. Владивосток; численность персонала (1.01.1981 г.)- 218 чел.), в 1992 г. она была закрыта. В 1992 г. МПТО расформировано, завод в 02.1992 г. переименован в ГМЗ «Салют». С 1998 г.- ГУП «ГМЗ «Салют», а с 2000 г.- ФГУП. В 2000-03 г.- в ведении Россудостроения. По Указу Президента РФ № 1009 от 4.08.2004 г. вошло в перечень стратегических оборонных предприятий. По Указу Президента РФ от 22.03.2007 г. завод вошел в состав Концерна «Моринформсистема- Агат».</w:t>
      </w:r>
    </w:p>
    <w:p w14:paraId="49E3972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началу 2000-х  г. построено более 1500 PJIC.</w:t>
      </w:r>
    </w:p>
    <w:p w14:paraId="3B2A4CA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Работы (2005 г.): разработка и производство трехкоординатных PJIC обнаружения для кораблей ВМФ.</w:t>
      </w:r>
    </w:p>
    <w:p w14:paraId="60CB267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Численность персонала (1942 г.)-189 чел., (1.01.1981 г.)- 4878 чел.</w:t>
      </w:r>
    </w:p>
    <w:p w14:paraId="6C906D5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(1942-46 г.)- С.М. Владимирский, (1946-49 г.)- С.М. Иванов, (1949-59 г.)- Р. Г. Сомхиян, (1959-62 г.)-  Г.Ф. Черкасов, (1962-69 г.)- И.И. Дуганов, (01.1970-76 г.)- М.Ф. Панченко. Гендиректор (08.1976-12.2003 г.)- В.П. Олеванов, (2004-07 г.-)- В.А. Панин.</w:t>
      </w:r>
    </w:p>
    <w:p w14:paraId="7BC06E7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1-й зам. директора (1995-2004 г.)- В.А. Панин, (2004-07 г.-)- В.П. Олеванов. Зам. директора, ген. директора: по ВЭД и гособоронзаказу (2007 г.)- В. Беляев; (-1987 г.)- JI.A. Родионов, (2004 г.-)- В.Т. Ковалев.</w:t>
      </w:r>
    </w:p>
    <w:p w14:paraId="205A917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инженер (1942 г.-)- М. Г. Нестеров, (1954-; 1964-66 г.)- А.И. Патрикеев,</w:t>
      </w:r>
      <w:r w:rsidRPr="007224C3">
        <w:rPr>
          <w:rFonts w:ascii="Times New Roman" w:hAnsi="Times New Roman"/>
          <w:color w:val="000000" w:themeColor="text1"/>
          <w:sz w:val="16"/>
          <w:szCs w:val="16"/>
          <w:vertAlign w:val="superscript"/>
        </w:rPr>
        <w:t>130</w:t>
      </w:r>
      <w:r w:rsidRPr="007224C3">
        <w:rPr>
          <w:rFonts w:ascii="Times New Roman" w:hAnsi="Times New Roman"/>
          <w:color w:val="000000" w:themeColor="text1"/>
          <w:sz w:val="16"/>
          <w:szCs w:val="16"/>
        </w:rPr>
        <w:t xml:space="preserve"> (1959-62 г.)- В.М. Ястребилов, (1969 г.)- М.Ф. Панченко, (1969-2004 г.-&gt; Е.А. Печинко.</w:t>
      </w:r>
    </w:p>
    <w:p w14:paraId="4D8A572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гл. инженера (1970 г.)- к2р  Г.С. Саранцев.</w:t>
      </w:r>
    </w:p>
    <w:p w14:paraId="4F3EF28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конструктор (1942 г.-)- Б.П. Капелин.</w:t>
      </w:r>
    </w:p>
    <w:p w14:paraId="3CEAD9B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технолог- В.И. Шокин.</w:t>
      </w:r>
    </w:p>
    <w:p w14:paraId="18AF35E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Начальники цехов: № 10 (1944-49 г.)-  Г.Н. Сомов; сборочного (1942 г.-&gt; Б.И. Бутырин; нестандартного оборудования (1942 г.-)- В.И. Шокин.</w:t>
      </w:r>
    </w:p>
    <w:p w14:paraId="14B45C8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Начальники отделов: КО (1946 г.)- Б.П. Капелин; № 5- В.Н. Герасименко; ОТК (1950-е)-  Г.Н. Сомов.</w:t>
      </w:r>
      <w:r w:rsidRPr="007224C3">
        <w:rPr>
          <w:rFonts w:ascii="Times New Roman" w:hAnsi="Times New Roman"/>
          <w:color w:val="000000" w:themeColor="text1"/>
          <w:sz w:val="16"/>
          <w:szCs w:val="16"/>
          <w:vertAlign w:val="superscript"/>
        </w:rPr>
        <w:t>103</w:t>
      </w:r>
    </w:p>
    <w:p w14:paraId="664F617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Начальники лабораторий: (1944-60 г.)- JI.M. Рогов.</w:t>
      </w:r>
    </w:p>
    <w:p w14:paraId="0E5A0C3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iCs/>
          <w:color w:val="000000" w:themeColor="text1"/>
          <w:sz w:val="16"/>
          <w:szCs w:val="16"/>
        </w:rPr>
        <w:t>Производство:</w:t>
      </w:r>
      <w:r w:rsidRPr="007224C3">
        <w:rPr>
          <w:rFonts w:ascii="Times New Roman" w:hAnsi="Times New Roman"/>
          <w:color w:val="000000" w:themeColor="text1"/>
          <w:sz w:val="16"/>
          <w:szCs w:val="16"/>
        </w:rPr>
        <w:t xml:space="preserve"> корпуса противотанковых мин МЗ-2, МЗ-З, пороховые камеры для РС-82 «Катюша» (1942-44); приборы: управления зенитным огнем; управления кораблем; слабого тока (ВОВ);</w:t>
      </w:r>
    </w:p>
    <w:p w14:paraId="2F9242A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iCs/>
          <w:color w:val="000000" w:themeColor="text1"/>
          <w:sz w:val="16"/>
          <w:szCs w:val="16"/>
        </w:rPr>
        <w:t>РЛС ПВО:</w:t>
      </w:r>
      <w:r w:rsidRPr="007224C3">
        <w:rPr>
          <w:rFonts w:ascii="Times New Roman" w:hAnsi="Times New Roman"/>
          <w:color w:val="000000" w:themeColor="text1"/>
          <w:sz w:val="16"/>
          <w:szCs w:val="16"/>
        </w:rPr>
        <w:t xml:space="preserve"> «Пегматит» (РУС-2с) (1944)- 52, «Пегматит-2м» (П-2м) (1944-45)-50;</w:t>
      </w:r>
      <w:r w:rsidRPr="007224C3">
        <w:rPr>
          <w:rFonts w:ascii="Times New Roman" w:hAnsi="Times New Roman"/>
          <w:iCs/>
          <w:color w:val="000000" w:themeColor="text1"/>
          <w:sz w:val="16"/>
          <w:szCs w:val="16"/>
        </w:rPr>
        <w:t xml:space="preserve"> корабельные РЛС:</w:t>
      </w:r>
      <w:r w:rsidRPr="007224C3">
        <w:rPr>
          <w:rFonts w:ascii="Times New Roman" w:hAnsi="Times New Roman"/>
          <w:color w:val="000000" w:themeColor="text1"/>
          <w:sz w:val="16"/>
          <w:szCs w:val="16"/>
        </w:rPr>
        <w:t xml:space="preserve"> «Гюйс- 1М» (1945)- 9, «Гюйс-2» (1948-57), «Редан-2» (1945-)- 14, «Риф» (1948-50-е), «Риф-Щ» (1958-), «Вымпел-2Д» (1950-е), «Зарница» (1949)- 10, «Якорь», «Фут-Н», «Ангара», «Кактус» (1957-63), «Бином» I960-), «Рубка», «Киль», «Кливер» (1980-е), «Восход» (1966-83), «Фрегат», «Фрегат-М» (-1985), «Фрегат-МА» (1982-), «Флаг» (1980-е), «Подберезовик» (1980-е); бортовая аппаратура для КА: «Астра», «Север» (1960-е); наземная станция для связи с КА «Подснежник» (1960-е); системы управления огнем: для ЗРК «Шторм» (1960-е), «Гром» для ЗРК «Шквал» (-1976-86), «Гром-М» (1980-е); система обработки PJI информации и целеуказания МРО 310А, «Пойма» (1980-е), «Пойма-М, -Э» (2000-е); приборы КИА, КИПС-П-35 (1970-е), АРК (1970-е), КИА-В2, МПУ-170, «Бегония», «Покос», МПЦ-401 (1980-е), АКИА-ДОН (1970-е); средства связи и антенны спутниковых навигационных систем (2000-е).</w:t>
      </w:r>
      <w:r w:rsidRPr="007224C3">
        <w:rPr>
          <w:rFonts w:ascii="Times New Roman" w:hAnsi="Times New Roman"/>
          <w:color w:val="000000" w:themeColor="text1"/>
          <w:sz w:val="16"/>
          <w:szCs w:val="16"/>
          <w:vertAlign w:val="superscript"/>
        </w:rPr>
        <w:t>35,1&lt;ь</w:t>
      </w:r>
    </w:p>
    <w:p w14:paraId="19133FB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ОКБ (особое КБ) завода № 703 МСП, (ЖБ-703 МСП, А- 3543, КБ ГМЗ «Салют» /г. Москва/</w:t>
      </w:r>
    </w:p>
    <w:p w14:paraId="127FCA1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Создано в 07.1946 г. в составе КО завода № 703. ОКБ стало одним из основных разработчиков средств обнаружения и целеуказания для надводных кораблей ВМФ. Кроме того, велась отработка документации и модернизация выпускаемых заводом РЛС.</w:t>
      </w:r>
    </w:p>
    <w:p w14:paraId="4B7884D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соответствии с пост, правительства от 18.09.1953 г. началась разработка корабельной РЛС «Кактус». В соответствии с ПСМ № 248-160сс от 15.02.1956 г. комплексная РЛС «Фут» пнв. В соответствии с пост, правительства от 7.05.1957 г. задана разработка РЛС «Киль», «Кливер» и «Рубка».</w:t>
      </w:r>
    </w:p>
    <w:p w14:paraId="698CCD3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1957 г. выполнена НИР «Диаграмма» по уменьшению бокового и заднего излучения антенн РЛС (И.Ф. Соколов).</w:t>
      </w:r>
    </w:p>
    <w:p w14:paraId="59A9E87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1960 г. из ЦНИИ-10 сюда переданы разработки РЛС обнаружения воздушных целей. В 1962 г. начата разработка РЛС «Восход»- первой отечественной станции с программируемым управлением положением луча. В соответствии с пост.ениями правительства от 5.05.1968 г. и от 9.12.1971 г. разрабатывалась РЛС «Фрегат». Затем разработана «Фрегат-М». Разработка «Фрегат-МА» началась по решению ВПК от 16.07.1976 г., «Фрегат-MAl»- в соответствии с пост. СМ СССР от 4.03.1983 г.</w:t>
      </w:r>
    </w:p>
    <w:p w14:paraId="6648C2A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соответствии с пост, правительства от 27.05.1969 г. начата разработка РЛС целеуказания для ЗРК С-300Ф «Флаг», с пост, от 1977 г.- РЛС дальнего обнаружения воздушных целей «Подберезовик».</w:t>
      </w:r>
    </w:p>
    <w:p w14:paraId="10603FD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1970-х  г. сюда из ЦНИИ «Альтаир» передана разработка систем автоматической обработки РЛ информации. По решению ВМФ, МСП и МРП от 1.01.1977 г. начата разработка системы «Пойма».</w:t>
      </w:r>
    </w:p>
    <w:p w14:paraId="577DACF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Имело наименование «п/я А-3543».</w:t>
      </w:r>
    </w:p>
    <w:p w14:paraId="0B6055D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1987 г. разработано, принято на вооружение и запущено в серию 14 типов станций.</w:t>
      </w:r>
    </w:p>
    <w:p w14:paraId="09CB07F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Численность персонала (1.01.1981 г.)-1162 чел.</w:t>
      </w:r>
    </w:p>
    <w:p w14:paraId="4CFD017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(1946-52 г.)- Б.П. Капелин, (1952-56 г.)- А.П. Алексеев, (1956-60; 1970-73 г.)- В.П. Антонов, (1960- 63 г.)- П.С. Ключарев, (1963-66 г.)- А.К. Николаев, (1966-69 г.)- М.Ф. Панченко, (1973-74 г.)- Б.М. Пономарев, (1974-87 Г.)- Л.А. Родионов, (1987-95 г.)- В.В. Шлепнин, (1995-2004 г.)- В.А. Панин, (2004-07 г.-&gt; В.Т. Ковалев.</w:t>
      </w:r>
    </w:p>
    <w:p w14:paraId="212E2CA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конструктор- Ш.И. Глейзер, Л.А. Родионов, (2004-07г,-)- В.Т. Ковалев.</w:t>
      </w:r>
    </w:p>
    <w:p w14:paraId="037447F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гл. конструктора- В.И. Шокин.</w:t>
      </w:r>
    </w:p>
    <w:p w14:paraId="1EF93F7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инженер (1974-87 г.)- В.В. Шлепнин, (1987-2004 г.)- В.Т. Ковалев, (-2005-07 г.-&gt; М. Исаков.</w:t>
      </w:r>
    </w:p>
    <w:p w14:paraId="5B03D02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конструкторы: (1947-48 г.-)- А.И. Патрикеев («Гюйс-2»), (-1956-69 г.-)- В.П. Антонов («Кактус», «Кливер», «Флаг»), (1957 г.)- Л.М. Рогов («Киль»), (1959 г.)- В.А. Кузнецов («Рубка»), (1960-е)- М.Ф. Панченко («Флаг»), (-1966-77 г.-)- Ш.И. Глейзер («Восход», «Подберезовик»), (-1976-87 г.)- ДА. Родионов («Фрегат», -М, -М2), (-1977- 90 г.-)- B.C. Беляев («Пойма», -М), (1973-80 г.-)- В.В. Шлепнин («Флаг»), (-1980-87 г.-)- В.Т. Ковалев («Фрегат- МА», -МА1), Н.Д. Бородин («063»), В.Ф. Куликова («Кливер»), В.А. Панин («Фрегат-МАЭ-4К»), (2000 г.)- В.П. Кревс («Пойма-Э»).</w:t>
      </w:r>
    </w:p>
    <w:p w14:paraId="3C555CE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гл. конструкторов: В.П. Антонов («Гюйс-2»), В.А. Кузнецов («Гюйс-2»), (1956 г.)- А.Э. Атовмьян («Кактус»), (1956 г.)- П.В. Кузяков («Кактус»), (-1956-66 г.-)- В.Т. Павленко («Кактус», «Восход»), (1956 г.)- JI.M. Рогов («Кактус»), (1957 г.)- С.М. Зябриков («Киль»), (-1957-66 г.-&gt; Н.И. Пирогов («Киль», «Восход»), (1959 г.)- И.З. Свердлов («Рубка»), (1960 г.)- Ю.П. Зверев («Кливер»), (1960 г.)- Л.С. Ратников («Кливер»), (1966 г.)- И.С. Загородников («Восход»), (1966 г.)- Н.Д. Бородин («Восход»), (1966 г.)- В.И. Шокин («Восход»), (-1976-84 г.-)- В.В. Шлепнин («Фрегат», -М), (-1976-87 г.-)- М.Р. Шемтов («Фрегат», -М, -MA, -MAI, М2), (-1976-87 г.-&gt; В.И. Мунистов («Фрегат», -М, -МА1, -М2, «Подберезовик»), (-1976-86 г.-)- В.И. Родионов («Фрегат», -М, -МА, -М2), (1970-86 г.-)- Д.К. Гринь («Фрегат», -М, -МА, -М2, «Флаг»), (1977 г.)- С.Е. Москалев («Подберезовик»), (1977 г.)- В.Д. Тарасов («Подберезовик»), (1977 г.)- Н.Ш. Милявский («Подберезовик»), (1977 г.)- М.Н. Широков («Подберезовик»), (-1977-90 г.-)- Ю. Г. Колесников («Пойма», -М), (-1977-90 г.-)- Ю. Г. Мешман («Пойма», -М), (1977 г.)- Л.А. Кайдановская («Пойма»), (-1977-90 г.-)- О.А. Отаров («Пойма», -М), (-1977-90 г.-)- С.В. Королев («Пойма», -М), (-1980-87 г.-&gt; В.А. Панин («Флаг», «Фрегат-MAl»), (1980 г.)- А.А. Бабанов («Флаг»), (1980 г.)- А.И. Диковский («Флаг»), (1980 г.)- Р.С. Табачник («Флаг»), (-1980-87 г.-)- А.В. Лобанов («Фрегат-МА», -МА1, - М2), (-1977-87 Г.-)- A.M. Эфендиев («Фрегат-МА», -МА1, -М2, «Подберезовик»), (-1980-86 г.-&gt; B.C. Беляев («Фрегат-МА», -М2), (1986 г.)- В.Т. Ковалев («Фрегат-М2»), (1987 г.)- В.И. Зуев («Фрегат-MAl»), (1990 г.)- В .А. Новоженин («Пойма-М»),</w:t>
      </w:r>
    </w:p>
    <w:p w14:paraId="31DA09F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Начальники отделов: проектного (1949 г.-)- А.И. Патрикеев; КО- А.И. Диковский; (1980 г.-)- Д.К. Гринь.</w:t>
      </w:r>
      <w:r w:rsidRPr="007224C3">
        <w:rPr>
          <w:rFonts w:ascii="Times New Roman" w:hAnsi="Times New Roman"/>
          <w:color w:val="000000" w:themeColor="text1"/>
          <w:sz w:val="16"/>
          <w:szCs w:val="16"/>
          <w:vertAlign w:val="superscript"/>
        </w:rPr>
        <w:t>103</w:t>
      </w:r>
    </w:p>
    <w:p w14:paraId="14BD593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Начальники лабораторий: АФУ (1959 г.-)- Н.Д. Бородин; комплексного проектирования- В.В. Шлепнин, (- 1974 г.)- Л.А. Родионов, (1975 г.-)- В.Т. Ковалев; сварки и пайки- Б.Ш. Шеер; В.А. Панин.</w:t>
      </w:r>
      <w:r w:rsidRPr="007224C3">
        <w:rPr>
          <w:rFonts w:ascii="Times New Roman" w:hAnsi="Times New Roman"/>
          <w:color w:val="000000" w:themeColor="text1"/>
          <w:sz w:val="16"/>
          <w:szCs w:val="16"/>
          <w:vertAlign w:val="superscript"/>
        </w:rPr>
        <w:t>130</w:t>
      </w:r>
    </w:p>
    <w:p w14:paraId="3F138E6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Начальники секторов: антенных устройств- А.И. Диковский, Б.М. Герцовский; (1946 г.-)- В.П. Антонов, (1978 г.)- Н.С. Боровиков, (1978 г.)- В.И. Гилюк, (1978 г.)- А.Ф. Смирнов, (2005 г.)- Б.М. Герцовский, (2005 г.)- М. Исаков, (2005 г.)- М. Каширин, (2006 г.)- А. Немоляев.</w:t>
      </w:r>
    </w:p>
    <w:p w14:paraId="6C4C05C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iCs/>
          <w:color w:val="000000" w:themeColor="text1"/>
          <w:sz w:val="16"/>
          <w:szCs w:val="16"/>
        </w:rPr>
        <w:lastRenderedPageBreak/>
        <w:t>Создано: корабельные PJIC:</w:t>
      </w:r>
      <w:r w:rsidRPr="007224C3">
        <w:rPr>
          <w:rFonts w:ascii="Times New Roman" w:hAnsi="Times New Roman"/>
          <w:color w:val="000000" w:themeColor="text1"/>
          <w:sz w:val="16"/>
          <w:szCs w:val="16"/>
        </w:rPr>
        <w:t xml:space="preserve"> обнаружения воздушных и надводных целей: «Гюйс-2», для больших и средних кораблей «Кактус» (1953-56), дальнего обнаружения «Киль» (1960) и «Кливер» (1960, пнв в 1965 г.), для малых кораблей «Рубка» (пнв в 1960 г.), для ТАКР и БПЛК «Восход» (пнв в 1968 г.), для ТАКР и эсминцев «Фрегат» (пнв в 1978 г.), МР-700М «Фрегат-М» (пнв в 1980 г.), «Фрегат-МА» с СОИ «Пойма» (пнв в 1987 г.), «Фрегат-MAl» (пнв в 1988 г.), «Фрегат-М2» (пнв в 1988 г.), для ракетных крейсеров «Флаг» (пнв в 1982 г.), для больших и средних кораблей «Подберезовик» (пнв в 1991 г.); «Редан», «Вымпел», «Якорь», «Фут» (пнв 15.02.1956 г.), «Бином»; экспортные варианты «Фрегат-МАЭ», «Подберезовик-Э»; СОИ «Пойма-М» (пнв в 1990 г.), экспортная «Пойма- Э» (2000); радиоизмерительные приборы РТ-10, ГСС-10, ГС-10 (1950-е); контрольно-регулировочные станции «Пирс» (1950-е); волноводные: циркуляторы для РЛС ФЦ-1, ФЦ-2, ФЦ-3, 4ЦВФ, 15ЦВФ, 35ЦВФ; вентили ФР-1, ФР-2, ВКР-1, ВКР-2, ВКР-3, ВВР-3, ВВР-5, 25ВВР; вращающиеся сочленения 4ВВС, 15ВВС, 35ВВС, ВВС-4-12, КВС-2, КВС-3, ВКВС-5; переключатель мощности 15ЦПБ.</w:t>
      </w:r>
    </w:p>
    <w:p w14:paraId="3B875C4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«Прибор» МСП /Молдавия  г. Бендеры/</w:t>
      </w:r>
    </w:p>
    <w:p w14:paraId="52EB91F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конце 1970 г. разработан и представлен в МСП проект филиала завода «Салют» в  г. Бендеры (Молдавия). В 12.1971 г. построен и введен в строй корпус № 1 филиала площадью 5000 м</w:t>
      </w:r>
      <w:r w:rsidRPr="007224C3">
        <w:rPr>
          <w:rFonts w:ascii="Times New Roman" w:hAnsi="Times New Roman"/>
          <w:color w:val="000000" w:themeColor="text1"/>
          <w:sz w:val="16"/>
          <w:szCs w:val="16"/>
          <w:vertAlign w:val="superscript"/>
        </w:rPr>
        <w:t>2</w:t>
      </w:r>
      <w:r w:rsidRPr="007224C3">
        <w:rPr>
          <w:rFonts w:ascii="Times New Roman" w:hAnsi="Times New Roman"/>
          <w:color w:val="000000" w:themeColor="text1"/>
          <w:sz w:val="16"/>
          <w:szCs w:val="16"/>
        </w:rPr>
        <w:t>. Одновременно здесь же строился новый завод. В 1976 г. филиал и новый строящийся завод объединены в один завод «Прибор» (возможно, это Бендерский машиностроительный завод). В 2000-е  г. завод вошел в состав ГМЗ «Салют» (входил в 2005 г.).</w:t>
      </w:r>
    </w:p>
    <w:p w14:paraId="324B94D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Численность персонала (1.01.1981 г.)- 1400 чел.</w:t>
      </w:r>
    </w:p>
    <w:p w14:paraId="1899A2F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(1970-75 г.)-  Г.С. Саранцев, (1975-79 г.)- С.И. Чеботарь, (1980-88 г.)- А.В. Горенкин, (1988-99 г.)- А.Х. Бикбов (11982).</w:t>
      </w:r>
    </w:p>
    <w:p w14:paraId="590ECE8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2815EC3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января 1944 вышло Постановление ГКО № 4894 Об обеспечении рабочей силой, балансами и дровами заводов Наркомбумпрома, производящих пороховую целлюлозу и обтюраторный картон. РГАНИР, Фонд ГКО, д. 185, лл. 197-200 (11012).</w:t>
      </w:r>
    </w:p>
    <w:p w14:paraId="6C146F7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67044459"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29BF05B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04C03B8" w14:textId="77777777" w:rsidR="00414BE3" w:rsidRPr="007224C3" w:rsidRDefault="00414BE3"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5 января</w:t>
      </w:r>
      <w:r w:rsidRPr="007224C3">
        <w:rPr>
          <w:rFonts w:ascii="Times New Roman" w:hAnsi="Times New Roman"/>
          <w:color w:val="000000" w:themeColor="text1"/>
          <w:sz w:val="16"/>
          <w:szCs w:val="16"/>
        </w:rPr>
        <w:t xml:space="preserve"> в 1944 году оперативная сводка Совинформбюро:</w:t>
      </w:r>
    </w:p>
    <w:p w14:paraId="1F377E71" w14:textId="77777777" w:rsidR="00414BE3" w:rsidRPr="007224C3" w:rsidRDefault="00414BE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5 января наши войска к северу от Невеля продолжали вести наступательные бои, в ходе которых заняли более 90 населённых пунктов, в том числе Кожино, Петрова, Порохово, Мятьково, Бабино, Толстоухово, Осницы, Большое Нарично, Теплухина, Борщанка, Окни, Власьево и железнодорожную станцию Власье.</w:t>
      </w:r>
    </w:p>
    <w:p w14:paraId="2EFA6B4D" w14:textId="77777777" w:rsidR="00414BE3" w:rsidRPr="007224C3" w:rsidRDefault="00414BE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1-го Украинского фронта после многодневных ожесточённых боёв 5 января овладели городом и крупным железнодорожным узлом Бердичев, а также с боями заняли более 60 других населённых пунктов и среди них районный центр Киевскойобласти город Тараща, крупные населённые пункты Большие Козары, Врублёвка, Дрыглов, Новосёлки, Городище, Тютюники, Малые Коро-Винцы, Малая Татариновка, Очеретня, Очитков, Горошков, Кривчунка, Тихий Хутор, Скибин, Чернин, Насташка, Шкаровка и железнодорожные станции Денгофовка, Кривчунка.</w:t>
      </w:r>
    </w:p>
    <w:p w14:paraId="57F32FEE" w14:textId="77777777" w:rsidR="00414BE3" w:rsidRPr="007224C3" w:rsidRDefault="00414BE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разведка и артиллерийско-миномётная перестрелка.</w:t>
      </w:r>
    </w:p>
    <w:p w14:paraId="278297D4" w14:textId="77777777" w:rsidR="00414BE3" w:rsidRPr="007224C3" w:rsidRDefault="00414BE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4 января наши войска на всех фронтах подбили и уничтожили 37 немецких танков. В воздушных боях и огнём зенитной артиллерии сбито 30 самолётов противника.</w:t>
      </w:r>
    </w:p>
    <w:p w14:paraId="580755BD" w14:textId="77777777" w:rsidR="00414BE3" w:rsidRPr="007224C3" w:rsidRDefault="00414BE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северу от Невеля наши войска вели наступательные бои, в результате которых заняли более 90 населённых пунктов. Части Н-ского соединения овладели сильно укреплёнными позициями противника, уничтожив при этом свыше 400 немецких солдати офицеров. На другом участке противник предпринял несколько контратак силами пехоты и танков. Все контратаки гитлеровцев отбиты с большими для них потерями.Подбито и сожжено 14 немецких танков и 2 самоходных орудия. Захвачено у немцев 2 танка, артиллерийская батарея, 77 пулемётов, склад боеприпасов и другиетрофеи.</w:t>
      </w:r>
    </w:p>
    <w:p w14:paraId="2C711691" w14:textId="77777777" w:rsidR="00414BE3" w:rsidRPr="007224C3" w:rsidRDefault="00414BE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1-го Украинского фронта продолжали успешное наступление. Крупные силы пехоты и танков противника, опираясь на выгодные для обороны рубежи на подступахк городу Бердичев, оказывали упорное сопротивление. После многодневных ожесточённых боёв наши пехотинцы и танкисты ворвались в город. В это время другие наши части усилили нажим на фланги немецких войск. В результате ожесточённых боёв наши войска сегодня, 5 января, форсировали реку Гнилопять и штурмом овладели городом и крупным железнодорожным узлом Бердичев. На подступах к городу и в уличных боях противник понёс тяжёлые потери. Нашими частями захвачены большие трофеи и значительное количество пленных. Наши войска заняли также районный центр Киевской области город Тараща и более 60 других населённых пунктов. За день боёв уничтожено до 4 тысяч немецких солдат и офицеров, подбито много танков и самоходных орудий противника. По неполным данным, захвачено у немцев 3 исправных танка, 20 орудий, 80 автомашин, 6 радиостанций, 9 складов с боеприпасами и военным имуществом.</w:t>
      </w:r>
    </w:p>
    <w:p w14:paraId="097B8987" w14:textId="77777777" w:rsidR="00414BE3" w:rsidRPr="007224C3" w:rsidRDefault="00414BE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Чёрном море потоплен транспорт противника водоизмещением в З.000 тонн и быстроходная десантная баржа. Кроме того, повреждены вражеский транспорт и два сторожевых катера.</w:t>
      </w:r>
    </w:p>
    <w:p w14:paraId="6357B324" w14:textId="77777777" w:rsidR="00414BE3" w:rsidRPr="007224C3" w:rsidRDefault="00414BE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Отряд ленинградских партизан 29 декабря вёл ожесточённый бой против крупной карательной экспедиции немцев. Советские патриоты нанесли противнику сильный удар и вынудили его отступить. В бою истреблено до 160 гитлеровцев.</w:t>
      </w:r>
    </w:p>
    <w:p w14:paraId="368067A3" w14:textId="77777777" w:rsidR="00414BE3" w:rsidRPr="007224C3" w:rsidRDefault="00414BE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Партизаны захватили гранатомёты, автоматы, винтовки и склад боеприпасов. Ружейно-пулемётным огнём сбит немецкий самолёт. Партизанский отряд, действующий в одном из районов Калининской области, на шоссейной дороге взорвал на минах 14 немецких автомашин с боеприпасами, следовавших к линии фронта. Кроме того, партизаны разрушили мост и несколько километров телеграфно-телефонной линии связи противника.</w:t>
      </w:r>
    </w:p>
    <w:p w14:paraId="77149FD8" w14:textId="77777777" w:rsidR="00414BE3" w:rsidRPr="007224C3" w:rsidRDefault="00414BE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Пленный унтер-офицер 2 роты 534 полка 384 немецкой пехотной дивизии Фриц Байер рассказал: «Я участвовал в боях в районе Сталинграда. Незадолго до окружения немецких армий был ранен и отправлен в госпиталь. После выздоровленияя попал в 384 дивизию, сформированную во Франции, а в октябре снова оказался вРоссии. На фронте мне бросились в глаза перемены, происшедшие за истекшее время. Большинство хорошо обученных кадровых солдат погибло в боях. На их место пришли необученные и даже непригодные к военной службе люди. Чтобы восполнить всё возрастающие потери, на фронт гонят всё менее и менее подготовленные пополнения. А людей с каждым днём требуется всё больше и больше. Это видно на примере нашего полка, находящегося на франте около двух месяцев. Первый батальон разгромлен. В первой роте осталось 16 человек, в 3-й роте всего лишь 9 солдат. Второй батальон понёс ещё более тяжёлые потери. Командир полка требовал держаться до последнего человека, но это бессмысленно. В последнем бою мой взвод атаковали русские танки. Я отдал своим солдатам приказ сложить оружие, и они охотно выполнили этот приказ».</w:t>
      </w:r>
    </w:p>
    <w:p w14:paraId="6D45142E" w14:textId="77777777" w:rsidR="00414BE3" w:rsidRPr="007224C3" w:rsidRDefault="00414BE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Ниже публикуется акт о зверствах немецко-фашистских мерзавцев в селе Василица, Киевской области: «13 октября 1943 года немцы угнали большинство жителей Василицы на каторгу в Германию. Гитлеровцы оставили в селе 50 человек для рытья окопов и установили для них тюремный режим. Накануне отступления немецкие злодеи учинили зверскую расправу над мирными советскими людьми. Гитлеровские палачи убили и зверски замучили В.Клиницкого, В.Клиницкую, И.Сотченко, В.Чемерис, Е.Шендрика и других. Остались в живых лишь те жители, которые убежали из села».</w:t>
      </w:r>
    </w:p>
    <w:p w14:paraId="0E242C83" w14:textId="77777777" w:rsidR="00414BE3" w:rsidRPr="007224C3" w:rsidRDefault="00414BE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Акт подписали: капитан Орлов, капитан Заробняев, капитан юстиции Потапкин, жители села Василица Елена Гонтарь, Яков Бондаренко, Фёдор Гонтарь.» (15000).</w:t>
      </w:r>
    </w:p>
    <w:p w14:paraId="1CCC648D" w14:textId="77777777" w:rsidR="00414BE3" w:rsidRPr="007224C3" w:rsidRDefault="00414BE3" w:rsidP="007224C3">
      <w:pPr>
        <w:spacing w:after="0" w:line="240" w:lineRule="auto"/>
        <w:jc w:val="both"/>
        <w:rPr>
          <w:rFonts w:ascii="Times New Roman" w:hAnsi="Times New Roman"/>
          <w:color w:val="000000" w:themeColor="text1"/>
          <w:sz w:val="16"/>
          <w:szCs w:val="16"/>
        </w:rPr>
      </w:pPr>
    </w:p>
    <w:p w14:paraId="683A2939" w14:textId="77777777" w:rsidR="00414BE3" w:rsidRPr="007224C3" w:rsidRDefault="00414BE3"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января 1944 началась Кировоградская операция 2УФ (И.С.Конев) против 8А, которая завершилась 16 января 1944 и Кировоград освободили 8 января 1944 (3398,12).</w:t>
      </w:r>
    </w:p>
    <w:p w14:paraId="1A4C4BCC" w14:textId="77777777" w:rsidR="00414BE3" w:rsidRPr="007224C3" w:rsidRDefault="00414BE3"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048DA6" w14:textId="77777777" w:rsidR="00414BE3" w:rsidRPr="007224C3" w:rsidRDefault="00414BE3"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5 января</w:t>
      </w:r>
      <w:r w:rsidRPr="007224C3">
        <w:rPr>
          <w:rFonts w:ascii="Times New Roman" w:hAnsi="Times New Roman"/>
          <w:color w:val="000000" w:themeColor="text1"/>
          <w:sz w:val="16"/>
          <w:szCs w:val="16"/>
        </w:rPr>
        <w:t xml:space="preserve"> в 1944 году войска 2-го Украинского фронта (генерал армии И.С.Конев) начали Кировоградскую наступательную операцию В ходе операции, завершившейся 16 января, советские войска нанесли поражение 8-й немецко-фашистской армии, освободили Кировоград (8 января) и более 80 других населенных пунктов (15000).</w:t>
      </w:r>
    </w:p>
    <w:p w14:paraId="55BB1084" w14:textId="77777777" w:rsidR="00414BE3" w:rsidRPr="007224C3" w:rsidRDefault="00414BE3" w:rsidP="007224C3">
      <w:pPr>
        <w:spacing w:after="0" w:line="240" w:lineRule="auto"/>
        <w:jc w:val="both"/>
        <w:rPr>
          <w:rFonts w:ascii="Times New Roman" w:hAnsi="Times New Roman"/>
          <w:color w:val="000000" w:themeColor="text1"/>
          <w:sz w:val="16"/>
          <w:szCs w:val="16"/>
        </w:rPr>
      </w:pPr>
    </w:p>
    <w:p w14:paraId="0475717F"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января 1944 советские войска освободили от фашистов Бердичев (4962).</w:t>
      </w:r>
    </w:p>
    <w:p w14:paraId="288FCAF0"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691CB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5 по 16 января 1944 состоялась Кировоградская операция и продвинулись на 40-50 км (2438,315).</w:t>
      </w:r>
    </w:p>
    <w:p w14:paraId="6E7ECBC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5B84F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января 1944 начал наступать 2УФ, поддерживаемый 5ВА (г С.К.Горюнов) - к середине января освободили Кировоград (340,163).</w:t>
      </w:r>
    </w:p>
    <w:p w14:paraId="7F08566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E6F452"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Внешняя политика:</w:t>
      </w:r>
    </w:p>
    <w:p w14:paraId="2037DE6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A5C15EC"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января 1944 польское правительство в изгнании обратилось к полякам с просьбой содействовать освобождающей их от фашистов Красной Армии (4962).</w:t>
      </w:r>
    </w:p>
    <w:p w14:paraId="59C1C5EA"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9D29146" w14:textId="77777777" w:rsidR="00414BE3" w:rsidRPr="007224C3" w:rsidRDefault="00414BE3"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5 января</w:t>
      </w:r>
      <w:r w:rsidRPr="007224C3">
        <w:rPr>
          <w:rFonts w:ascii="Times New Roman" w:hAnsi="Times New Roman"/>
          <w:color w:val="000000" w:themeColor="text1"/>
          <w:sz w:val="16"/>
          <w:szCs w:val="16"/>
        </w:rPr>
        <w:t xml:space="preserve"> в 1944 году польское правительство в изгнании обращается к полякам с просьбой содействовать освобождающей их от фашистов Красной Армии (15000).</w:t>
      </w:r>
    </w:p>
    <w:p w14:paraId="1E1C2085" w14:textId="77777777" w:rsidR="00414BE3" w:rsidRPr="007224C3" w:rsidRDefault="00414BE3" w:rsidP="007224C3">
      <w:pPr>
        <w:spacing w:after="0" w:line="240" w:lineRule="auto"/>
        <w:jc w:val="both"/>
        <w:rPr>
          <w:rFonts w:ascii="Times New Roman" w:hAnsi="Times New Roman"/>
          <w:color w:val="000000" w:themeColor="text1"/>
          <w:sz w:val="16"/>
          <w:szCs w:val="16"/>
        </w:rPr>
      </w:pPr>
    </w:p>
    <w:p w14:paraId="38184BFC" w14:textId="77777777" w:rsidR="00414BE3" w:rsidRPr="007224C3" w:rsidRDefault="00414BE3"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5 января</w:t>
      </w:r>
      <w:r w:rsidRPr="007224C3">
        <w:rPr>
          <w:rFonts w:ascii="Times New Roman" w:hAnsi="Times New Roman"/>
          <w:color w:val="000000" w:themeColor="text1"/>
          <w:sz w:val="16"/>
          <w:szCs w:val="16"/>
        </w:rPr>
        <w:t xml:space="preserve"> в 1944 году польское эмигранское правительство потребовало установить свою администрацию на территориях Западной Украины и Западной Белоруссии немедленно после освобождения их Советской армией и таким образом подтвердило претензии на восстановление восточных границ Польши 1939 года (15000).</w:t>
      </w:r>
    </w:p>
    <w:p w14:paraId="1727C8D5" w14:textId="77777777" w:rsidR="00414BE3" w:rsidRPr="007224C3" w:rsidRDefault="00414BE3" w:rsidP="007224C3">
      <w:pPr>
        <w:spacing w:after="0" w:line="240" w:lineRule="auto"/>
        <w:jc w:val="both"/>
        <w:rPr>
          <w:rFonts w:ascii="Times New Roman" w:hAnsi="Times New Roman"/>
          <w:color w:val="000000" w:themeColor="text1"/>
          <w:sz w:val="16"/>
          <w:szCs w:val="16"/>
        </w:rPr>
      </w:pPr>
    </w:p>
    <w:p w14:paraId="6C505563"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60E8B82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696D3D7" w14:textId="77777777" w:rsidR="00EB290F" w:rsidRPr="007224C3" w:rsidRDefault="00EB290F"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lastRenderedPageBreak/>
        <w:t>5 января 1944 235 бомбардировщиков ВВС США в сопровождении 111 истребителей совершили налет на верфь и промышленные районы Киля, потеряв 10 бомбардировщиков и семь истребителей. Бомбардировщики и истребители заявляют, что 63 немецких самолета сбиты, семь, вероятно, сбитых, а 21 - поврежденных. Еще 78 бомбардировщиков совершили налеты на Нойс, Гейленкирхен, Дюссельдорф и Вассенбург, Германия, потеряв два самолета и заявив, что два немецких самолета сбиты, пять, вероятно, сбиты, а два повреждены. 196 бомбардировщиков B-17 Flying Fortress в сопровождении 225 истребителей P-47 Thunderbolt атаковали два немецких аэродрома во Франции, при этом было потеряно 12 B-17 и пять P-47. Бомбардировщики и истребители заявляют, что 55 немецких самолетов сбиты, 10 вероятно сбиты и 10 повреждены (20373).</w:t>
      </w:r>
    </w:p>
    <w:p w14:paraId="2349BDF7" w14:textId="77777777" w:rsidR="00EB290F" w:rsidRPr="007224C3" w:rsidRDefault="00EB290F" w:rsidP="007224C3">
      <w:pPr>
        <w:spacing w:after="0" w:line="240" w:lineRule="auto"/>
        <w:jc w:val="both"/>
        <w:rPr>
          <w:rFonts w:ascii="Times New Roman" w:hAnsi="Times New Roman"/>
          <w:color w:val="0070C0"/>
          <w:sz w:val="16"/>
          <w:szCs w:val="16"/>
        </w:rPr>
      </w:pPr>
    </w:p>
    <w:p w14:paraId="5F0984EB" w14:textId="45AD67C6" w:rsidR="00EB290F" w:rsidRPr="007224C3" w:rsidRDefault="00EB290F"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5–6 января (ночь) 1944 358 британских бомбардировщиков совершают первый крупный налет на Штеттин, Германия, с сентября 1941 года. Большинство отправленных в воздух немецких истребителей не смогли их перехватить, но 16 бомбардировщиков (4,5 процента сил) потеряны (20373).</w:t>
      </w:r>
    </w:p>
    <w:p w14:paraId="0B3D238F" w14:textId="77777777" w:rsidR="00EB290F" w:rsidRPr="007224C3" w:rsidRDefault="00EB290F" w:rsidP="007224C3">
      <w:pPr>
        <w:spacing w:after="0" w:line="240" w:lineRule="auto"/>
        <w:jc w:val="both"/>
        <w:rPr>
          <w:rFonts w:ascii="Times New Roman" w:hAnsi="Times New Roman"/>
          <w:color w:val="0070C0"/>
          <w:sz w:val="16"/>
          <w:szCs w:val="16"/>
        </w:rPr>
      </w:pPr>
    </w:p>
    <w:p w14:paraId="5AED1C9C"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января 1944 фашистами убит датский поэт-антифашист Кай Мунк (4962).</w:t>
      </w:r>
    </w:p>
    <w:p w14:paraId="556F7D37"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1237A14"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390F159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2BC819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января 1944 был готов Як-3-1 с М-107А смешанной конструкции (65,185).</w:t>
      </w:r>
    </w:p>
    <w:p w14:paraId="64C49D7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D940E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января 1944 года Як-3 с мотором ВК-107А выкатили на аэродром. Дорабатывали на опытном заводе №115 с 22 ноября 1943-го. Доработки в основном были связаны с заменой вооружения на два синхронных орудия Б-20С.Чтобы выдержать требуемый противокапотажный угол, кабину пилота, как и на Як-9, сместили назад на 400 мм. На самолет установили облегченный винт ВИШ-107 с обтекателями комлей лопастей и изготовили два варианта всасывающих патрубков нагнетателя и входных туннелей маслорадиатора. Для испытаний подготовили также два варианта установки вооружения. 13 января 1944 года Як-3 №1 с двигателем ВК-107А и снятым вооружением (взлетный вес 2800 кг) был поднят в воздух летчиком-испытателем генерал-майором инженерно-авиационной службы П.Я. Федрови (ведущий инженер - A.M. Дружинин).</w:t>
      </w:r>
    </w:p>
    <w:p w14:paraId="5A9CE9D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ходе заводских испытаний трижды меняли двигатели, выполнив 38 полетов обшей продолжительностью 14 часов 50 минут. Причиной тому было недостаточное охлаждение мотора. Фактически основные усилия испытателей были направлены на доводку силовой установки, и лишь после 25 полетов удалось приступить к снятию летных характеристик. К этому времени взлетный вес машины возросло 2984 кг, но продолжал оставаться рекордно низким по сравнению с самолетами противника, а нагрузка на взлетную мощность двигателя у него не превышала 1,81 кг/л.с. В то же время у трехточечного Bfl09G-2 она составляла 1,95 кг/л.с., у Bf 109G-6 - 1,97 кг/л.с., а у FW190A-4 и его варианта "А-8" - 2,52 кг/л.с.</w:t>
      </w:r>
    </w:p>
    <w:p w14:paraId="50C3AED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Это, в сочетании с хорошей отделкой планера, позволило получить у земли скорость 611 км/ч, а на 2-й границе высотности (5750 метров) - 720 км/ч. Самолет поднимался на высоту 5000 метров за 3,9 минуты и за боевой разворот (с высоты 1000 метров) набирал 1500 метров, превзойдя Як-3 с мотором ВК-105ПФ2. Практический потолок машины составил 11 800 метров. По времени виража (17 - 18 секунд на высоте 1000 метров) самолет был сопоставим с Як-3 с двигателем ВК-105ПФ2. Правда, взлетно-посадочные данные ухудшились. Так, длина разбега возросла с 275 до 345 метров, а пробега - с 485 до 590 метров.</w:t>
      </w:r>
    </w:p>
    <w:p w14:paraId="7E17C18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технике пилотирования истребитель, как и его предшественник, был прост и доступен пилотам средней квалификации. Пилотажно-навигационное и специальное оборудование машины позволяло эксплуатировать его лишь в простых метеоусловиях при видимости земных ориентиров. Но был и положительный момент. Дальность устойчивой радиосвязи возросла как минимум до 100 км и отвечала требованиям заказчика.</w:t>
      </w:r>
    </w:p>
    <w:p w14:paraId="70692EB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ходе заводских испытаний дали о себе знать и дефекты вооружения. После 329 выстрелов сломался передний шкворень крепления правой пушки. Помимо этого, отмечался недостаточный противокапо- тажный угол (20,5 - 23,5 градуса) при требуемом 26,5 градуса.</w:t>
      </w:r>
    </w:p>
    <w:p w14:paraId="0E31088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 все эти достижения "тонули" на фоне тяжелого температурного режима и низкого ресурса двигателя. Свою негативную роль сыграла и плохая герметизация его трущихся частей. Достаточно сказать, что на высотах более 8200 метров падало давление бензина и масла ниже минимального предела 3,5 кг/см2 (12047).</w:t>
      </w:r>
    </w:p>
    <w:p w14:paraId="0A200C5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0A871AE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января 1944 согласно журнала наблюдения за проектированием, постройкой и испытаниями МиГ-3 от 10 января 1944 на МиГ-3 2Д произвели полет на определение макс. скорости по высотам. Результаты: макс. скорость 603 км/час по приборам на 1000 м и 615 км/час. По приборам на 300 м. С начала летных испытаний 23 ноября 1943 провизведено 6 полетов (992,12).</w:t>
      </w:r>
    </w:p>
    <w:p w14:paraId="7C202F4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79C31121"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4B752AE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8FAD85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января 1944 вышло Постановление ГКО № 4895 О мероприятиях по обеспечению производства тяжелых танков, САУ и корпусов к ним и выпуска артиллерийского вооружения и боеприпасов для НКТП. РГАНИР, Фонд ГКО, д. 185, лл. 201,202-245 (11012).</w:t>
      </w:r>
    </w:p>
    <w:p w14:paraId="7A4B9E2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41FF6914" w14:textId="77777777" w:rsidR="0059774D" w:rsidRPr="007224C3" w:rsidRDefault="0059774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января 1944 года группа советских инженеров и сотрудников Наркомвнешторга посетила британский полигон с целью провести совещание, посвящённое конструкции танков Т-34 и КВ. С английской стороны присутствовали порядка 15 высокопоставленных офицеров, начальников различных отделов и групп. Похоже, что тема советских танков для британских танкистов была интересной. В ходе совещания был задан 41 вопрос, как конкретно о танках Т-34 и КВ, так и о различных вопросах конструирования танков. Вопросы были актуальными для британских конструкторов. Например, у советской делегации спросили, как они справились с газами, выходящими из казённика после выстрела из 76-мм пушки — проблема, с которой в это время </w:t>
      </w:r>
      <w:hyperlink r:id="rId16" w:history="1">
        <w:r w:rsidRPr="007224C3">
          <w:rPr>
            <w:rStyle w:val="a5"/>
            <w:rFonts w:ascii="Times New Roman" w:hAnsi="Times New Roman"/>
            <w:color w:val="000000" w:themeColor="text1"/>
            <w:sz w:val="16"/>
            <w:szCs w:val="16"/>
            <w:u w:val="none"/>
          </w:rPr>
          <w:t>боролись конструкторы «Файрфлая»</w:t>
        </w:r>
      </w:hyperlink>
      <w:r w:rsidRPr="007224C3">
        <w:rPr>
          <w:rFonts w:ascii="Times New Roman" w:hAnsi="Times New Roman"/>
          <w:color w:val="000000" w:themeColor="text1"/>
          <w:sz w:val="16"/>
          <w:szCs w:val="16"/>
        </w:rPr>
        <w:t>.</w:t>
      </w:r>
    </w:p>
    <w:p w14:paraId="7E6F0A8A" w14:textId="77777777" w:rsidR="0059774D" w:rsidRPr="007224C3" w:rsidRDefault="0059774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Также было много вопросов об эксплуатации танков зимой, особенно о поведении брони и сварных швов при обстреле при низких температурах, о сроках службы танков и различных агрегатов, о заклинивании башенного погона после попаданий снарядов или перекашивания корпуса. В отчёте о беседе, составленном членами комиссии для ГАБТУ, было сказано, что, по их мнению, англичанам танк понравился, особенно его вооружение. Не понравилось британцам сиденье заряжающего, которое нельзя было сложить, отсутствие клинометра для стрельбы с закрытых позиций и большой разрыв между скоростями при 3-й и 4-й передачах.</w:t>
      </w:r>
    </w:p>
    <w:p w14:paraId="04F44E04" w14:textId="77777777" w:rsidR="0059774D" w:rsidRPr="007224C3" w:rsidRDefault="0059774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Комиссией были замечены признаки того, что англичане собираются производить Т-34 на собственных заводах, заменив пушку Ф-34 на 17-фунтовку, поставив более совершенную коробку передач, механизмы поворота и воздухоочистители. В отчёте говорилось, что англичане почти не скрывают этого факта, и что рабочие британских танковых заводов признаются, что вот-вот начнут собирать «тридцатьчетвёрки».</w:t>
      </w:r>
    </w:p>
    <w:p w14:paraId="2B61A8ED" w14:textId="77777777" w:rsidR="0059774D" w:rsidRPr="007224C3" w:rsidRDefault="0059774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Выпуск Т-34 в Англии так и не состоялся, но единственный экземпляр оказался довольно востребованным. «Тридцатьчетвёрку» заказали на Полигоне боевых машин (FVPE — Fighting Vehicles Proving Establishment) летом 1944 года для сравнительных </w:t>
      </w:r>
      <w:hyperlink r:id="rId17" w:history="1">
        <w:r w:rsidRPr="007224C3">
          <w:rPr>
            <w:rStyle w:val="a5"/>
            <w:rFonts w:ascii="Times New Roman" w:hAnsi="Times New Roman"/>
            <w:color w:val="000000" w:themeColor="text1"/>
            <w:sz w:val="16"/>
            <w:szCs w:val="16"/>
            <w:u w:val="none"/>
          </w:rPr>
          <w:t>испытаний с «Пантерой»</w:t>
        </w:r>
      </w:hyperlink>
      <w:r w:rsidRPr="007224C3">
        <w:rPr>
          <w:rFonts w:ascii="Times New Roman" w:hAnsi="Times New Roman"/>
          <w:color w:val="000000" w:themeColor="text1"/>
          <w:sz w:val="16"/>
          <w:szCs w:val="16"/>
        </w:rPr>
        <w:t>, но так и не дождались, и испытания немецкой машины провели без Т-34. Советский танк туда всё-таки попал к концу года, и на полигоне получили возможность сравнить ходовые качества «тридцатьчетвёрки» с другими британскими и зарубежными машинами  (18249).</w:t>
      </w:r>
    </w:p>
    <w:p w14:paraId="5C9A4BC9" w14:textId="77777777" w:rsidR="0059774D" w:rsidRPr="007224C3" w:rsidRDefault="0059774D" w:rsidP="007224C3">
      <w:pPr>
        <w:spacing w:after="0" w:line="240" w:lineRule="auto"/>
        <w:jc w:val="both"/>
        <w:rPr>
          <w:rFonts w:ascii="Times New Roman" w:hAnsi="Times New Roman"/>
          <w:color w:val="000000" w:themeColor="text1"/>
          <w:sz w:val="16"/>
          <w:szCs w:val="16"/>
        </w:rPr>
      </w:pPr>
    </w:p>
    <w:p w14:paraId="265A46FF"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января 1944 вышло Постановление ГКО № 4896 О строительстве Волчанского угольного разреза на Урале. (7167, 246-249,250-254).</w:t>
      </w:r>
    </w:p>
    <w:p w14:paraId="70626A78"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A9B6287"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061F7BE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0E23DB8" w14:textId="77777777" w:rsidR="00414BE3" w:rsidRPr="007224C3" w:rsidRDefault="00414BE3"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6 января</w:t>
      </w:r>
      <w:r w:rsidRPr="007224C3">
        <w:rPr>
          <w:rFonts w:ascii="Times New Roman" w:hAnsi="Times New Roman"/>
          <w:color w:val="000000" w:themeColor="text1"/>
          <w:sz w:val="16"/>
          <w:szCs w:val="16"/>
        </w:rPr>
        <w:t xml:space="preserve"> в 1944 году оперативная сводка Совинформбюро:</w:t>
      </w:r>
    </w:p>
    <w:p w14:paraId="026670AC" w14:textId="77777777" w:rsidR="00414BE3" w:rsidRPr="007224C3" w:rsidRDefault="00414BE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6 января к северу от Невеля наши войска,преодолевая сопротивление и контратаки противника, продолжали вести наступательные бои, в ходе которых заняли несколько населённых пунктов.</w:t>
      </w:r>
    </w:p>
    <w:p w14:paraId="2EFD2C23" w14:textId="77777777" w:rsidR="00414BE3" w:rsidRPr="007224C3" w:rsidRDefault="00414BE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1-го Украинского фронта продолжали наступление и овладели районнымицентрами Житомирской области городом Чуднов, Городница, районным центром Ровенской области и железнодорожной станцией Рокитно, районными центрами Киевской области Жашков, Узин, а также заняли более 80 других населённых пунктов и среди них крупные населённые пункты Новый Мирополь, Старый Мирополь, Печановка, Городиевка, Романовка, Большие Коровинцы, Голодьки, Зозов, Росоше, Медовка, Великая Растовка, Салогубовка, Журавлиха, Юшков Рог, Салиха, Синява,Остров, Житнегоры, Савинцы, Розалеевка, Мировка и железнодорожные станции Мирополь, Печановка, Разино, Михайленки, Липовец, Томиловка, Сухолесы.</w:t>
      </w:r>
    </w:p>
    <w:p w14:paraId="4192FBCA" w14:textId="77777777" w:rsidR="00414BE3" w:rsidRPr="007224C3" w:rsidRDefault="00414BE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 разведка и артиллерийско-миномётнаяперестрелка.</w:t>
      </w:r>
    </w:p>
    <w:p w14:paraId="3ED240FF" w14:textId="77777777" w:rsidR="00414BE3" w:rsidRPr="007224C3" w:rsidRDefault="00414BE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5 января наши войска на всех фронтах подбили и уничтожили 110 немецких танков. В воздушных боях и огнём зенитной артиллерии сбито 19 самолётов противника.</w:t>
      </w:r>
    </w:p>
    <w:p w14:paraId="2314593F" w14:textId="77777777" w:rsidR="00414BE3" w:rsidRPr="007224C3" w:rsidRDefault="00414BE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северу от Невеля противник подтянул резервы и оказывает упорное сопротивление. Части Н-ского соединения в течение дня отбили две контратакинемцев и, с боям продвигаясь вперёд, заняли несколько населённых пунктов. На другом участке наши бойцы ночью атаковали противника и в результате рукопашнойсхватки овладели выгодными позициями. Захвачено у немцев 5 орудий, 10 миномётов, 26 пулемётов и склад боеприпасов.</w:t>
      </w:r>
    </w:p>
    <w:p w14:paraId="5EB07ADC" w14:textId="77777777" w:rsidR="00414BE3" w:rsidRPr="007224C3" w:rsidRDefault="00414BE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Войска 1-го Украинского фронта продолжали развивать наступление. Части Н-ского соединения, разгромив пехоту противника, пытавшуюся закрепиться напромежуточном оборонительном рубеже, решительным ударом овладели районным центром Житомирской области и важным узлом шоссейных дорог — городом </w:t>
      </w:r>
      <w:r w:rsidRPr="007224C3">
        <w:rPr>
          <w:rFonts w:ascii="Times New Roman" w:hAnsi="Times New Roman"/>
          <w:color w:val="000000" w:themeColor="text1"/>
          <w:sz w:val="16"/>
          <w:szCs w:val="16"/>
        </w:rPr>
        <w:lastRenderedPageBreak/>
        <w:t>Чуднов.Отступая в беспорядке, гитлеровцы бросили много оружия и военных материалов. Нашими войсками заняты также районный центр Ровенской области Рокитно, районныйцентр Житомирской области Городница, районные центры Киевской области Жашков, Узин и свыше 80 других населённых пунктов. Продвигаясь вперёд, советские части наносят противнику тяжёлые потери. За день боёв уничтожено свыше 3.000 немецкихсолдат и офицеров, 83 танка, 68 полевых и 13 самоходных орудий, более 200 миномётов, 175 автомашин и 180 повозок. Захвачены трофеи, в числе которых 16 бронемашин, 63 орудия, 120 пулемётов, свыше 1.000 автоматов и винтовок, 70 автомашин и 8 складов с вооружением, боеприпасами и различным военнымимуществом. Взято значительное количество пленных.</w:t>
      </w:r>
    </w:p>
    <w:p w14:paraId="336633DF" w14:textId="77777777" w:rsidR="00414BE3" w:rsidRPr="007224C3" w:rsidRDefault="00414BE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Пропойска наш лыжный батальон скрытно проник в тыл противника и форсировал реку Днепр. Советские лыжники внезапно ворвались в деревню, в которой находился штаб немецкой пехотной дивизии. Смелой атакой наши бойцы уничтожили охрану и много штабных офицеров. Разгромив штаб и захватив пленных, в том числе несколько немецких офицеров, лыжники благополучно вернулись в свою часть.</w:t>
      </w:r>
    </w:p>
    <w:p w14:paraId="72E0C5B4" w14:textId="77777777" w:rsidR="00414BE3" w:rsidRPr="007224C3" w:rsidRDefault="00414BE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Чёрном море потоплена одна и серьёзно повреждены 6 быстроходных десантных барж противника.</w:t>
      </w:r>
    </w:p>
    <w:p w14:paraId="340D8679" w14:textId="77777777" w:rsidR="00414BE3" w:rsidRPr="007224C3" w:rsidRDefault="00414BE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Партизанский отряд, действующий в одном из районов Полесской области, заминировал участок железной дороги. На мины наскочил немецкий воинский эшелон.Взрывом сброшен с рельсов паровоз и разбито 9 платформ вместе с находившимися на них 14 автомашинами. Кроме того, советские патриоты совершили несколько смелых нападений на немецкие маршевые подразделения, следовавшие да фронт. В ходе этихопераций уничтожено до двух рот гитлеровцев. Ружейно-пулемётным огнём партизаны сбили двухмоторный бомбардировщик противника.</w:t>
      </w:r>
    </w:p>
    <w:p w14:paraId="05ECA202" w14:textId="77777777" w:rsidR="00414BE3" w:rsidRPr="007224C3" w:rsidRDefault="00414BE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Пленный солдат 14 полка 78 немецкой пехотной дивизии Гейнц Бейке рассказал: «До августа 1943 года я работал жестянщиком на различных предприятиях в городе Ганновере и соприкасался с русскими, насильно привезёнными в Германию. Для них установлен четырнадцатичасовой рабочий день. Живут они в бараках, обнесённых двумя рядами колючей проволоки. На работу и с работы их сопровождает вооружённый конвой. В течение суток русский рабочий получает один раз небольшой кусочек эрзац-хлеба и тарелку супа, приготовленного из кормовой свёклы. От голода и непосильного труда рабочие с трудом держатся на ногах, а многие умирают. За невыполнение норм выработки русских жестоко избивают или отправляют в штрафные концлагери. Одно только упоминание об этих лагерях приводит людей в ужас. Все знают, что посылка в эти лагери равносильна смерти. Оттуда уже нет возврата».</w:t>
      </w:r>
    </w:p>
    <w:p w14:paraId="620FD63B" w14:textId="77777777" w:rsidR="00414BE3" w:rsidRPr="007224C3" w:rsidRDefault="00414BE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Пленный ефрейтор 2 роты 426 полка 126 немецкой пехотной дивизии Вильгельм Хоппе сообщил: «Я работал на заводе Мюллера в Гавельбурге. В прошлом году назавод пригнали 200 русских девушек из Курской области, Крыма и Украины. Среди них были студентки медицинских институтов, учительницы, крестьянки. Жизнь русских людей в Германии до того тяжка и невыносима, что даже физически очень крепкий человек не может долго выдержать. Многие девушки открыто протестовали против режима, установленного для них. Голод, побои и издевательства не сломили их воли. Они говорят: «Всё равно Красная Армия освободит нас из плена».</w:t>
      </w:r>
    </w:p>
    <w:p w14:paraId="149A756B" w14:textId="77777777" w:rsidR="00414BE3" w:rsidRPr="007224C3" w:rsidRDefault="00414BE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Насильный угон мирных советских жителей на каторгу в Германию является одним из самых чудовищных злодеяний правящей гитлеровской клики. Грубо и нагло попирая все законы и обычаи ведения войны, немецко-фашистские мерзавцы отрывают советских граждан от своих родных мест, от своих семей, разлучают отцов иматерей со своими детьми. Немцы превращают мирных и свободных советских граждан в «военнопленных», в своих рабов, калечат их и морят голодом, выматывают у них все силы. Под гнётом каторжного режима, от голода и непосильного труда гибнут многие тысячи советских граждан. Перед этими зверствами фашистских извергов бледнеют даже самые страшные преступления, какие знал когда-либо мир. Красная Армия, народы Советского Союза исполнены жгучей ненависти к подлому врагу ижажды мести за советских людей, загубленных гитлеровскими палачами. Немецко-фашистские работорговцы будут нести ответственность за каждого гражданина СССР, замученного в фашистской неволе, за все страдания советских людей, насильно угнанных на каторжные работы в Германию.» (15001).</w:t>
      </w:r>
    </w:p>
    <w:p w14:paraId="04975780" w14:textId="77777777" w:rsidR="00414BE3" w:rsidRPr="007224C3" w:rsidRDefault="00414BE3" w:rsidP="007224C3">
      <w:pPr>
        <w:spacing w:after="0" w:line="240" w:lineRule="auto"/>
        <w:jc w:val="both"/>
        <w:rPr>
          <w:rFonts w:ascii="Times New Roman" w:hAnsi="Times New Roman"/>
          <w:color w:val="000000" w:themeColor="text1"/>
          <w:sz w:val="16"/>
          <w:szCs w:val="16"/>
        </w:rPr>
      </w:pPr>
    </w:p>
    <w:p w14:paraId="3D0483D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января 1944 авиаторы нанесли несколько мощных ударов по опорным пунктам и узлам сопротивления немцев, а также по железнодорожным и автомобильным дорогам на Кировоград. Особенно успешно действовали штурмовики 1-го штурмового корпуса.</w:t>
      </w:r>
    </w:p>
    <w:p w14:paraId="7143C89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Например, 12 Ил-2 от 800-го шап 292-й шад (ведущий капитан Пошивальников) весьма успешно отработали по танкам и артиллерии в районе юго-западнее Аджамки. В результате было уничтожено пять автомашин. На выходе из третьего захода Пошивальников заметил в воздухе 4 Bf 109, идущих на сближение с группой Ил-2. Не растерявшись, он быстро построил группу в оборонительный круг. В последовавшем воздушном бою огнем штурмовиков и истребителей прикрытия один "мессер" был сбит.</w:t>
      </w:r>
    </w:p>
    <w:p w14:paraId="50734D1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Группа в составе 18 Ил-2 от 673-го шап 266-й шад (ведущий майор Матиков) нанесли весьма эффективный удар по немецким танкам, автомашинам и живой силе в районе Завадовки. Экипажи доложили, что ими уничтожено семь автомашин и около сотни солдат и офицеров противника.</w:t>
      </w:r>
    </w:p>
    <w:p w14:paraId="7261CF3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районе Обозновки 12 Ил-2 от 800-го шап (ведущий капитан Степанов) в нескольких заходах уничтожили два танка, три автомашины, создали два взрыва большой силы, а также подавили огонь двух батарей полевой артиллерии на южной окраине Марьевки.</w:t>
      </w:r>
    </w:p>
    <w:p w14:paraId="2D57329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Семерка Ил-2 от 66-го шап 266-й шад (ведущий лейтенант Пушкин) уничтожили на автодороге между Братолюбовкой и Гуровкой шесть автомашин и взорвали склад с боеприпасами.</w:t>
      </w:r>
    </w:p>
    <w:p w14:paraId="053DB5B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Наиболее ожесточенные бои с широким применением танков развернулись в районе Новгородки, причем обе стороны активно использовали авиацию. Экипажи 1-го шак не только атаковали наземные цели, но и нередко вели воздушные бои.</w:t>
      </w:r>
    </w:p>
    <w:p w14:paraId="2B71BB1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Например, четверка Ил-2 от 735-го шап 266-й шад после удара по немецким танкам нос к носу столкнулась с тремя группами пикировщиков Люфтваффе Ju 87, которые находились несколько выше штурмовиков и уже перестраивались в круг для бомбометания по боевым порядкам наших войск. Ведущий группы лейтенант Филатов принял решение атаковать немецкие самолеты. В завязавшемся воздушном бою штурмовики сбили два "юнкерса". Причем один из них сбил лично Филатов. Немецкие пилоты беспорядочно побросали бомбы и поспешили выйти из боя на свою территорию.</w:t>
      </w:r>
    </w:p>
    <w:p w14:paraId="4522903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Девятка Ил-2 от 66-го шап (ведущий капитан Девятьяров) выдержала тяжелый воздушный бой с восьмеркой Bf 109. Немецкие пилоты атаковали штурмовики на выходе из первой атаки. Одна четверка Bf 109 связала боем истребители прикрытия, а вторая атаковала Ил-2 на встречных курсах. Пилотам Люфтваффе не повезло, их вовремя заметили. В результате сосредоточенным огнем воздушных стрелков сержанта Манашкина и красноармейца Баранникова три "мес- сершмитта" были сбиты.</w:t>
      </w:r>
    </w:p>
    <w:p w14:paraId="5A0325F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Эти примеры показывают, насколько повысилась тактическая грамотность и боевое мастерство летчиков-штурмовиков. В каждом боевом вылете они действовали строго сообразуясь с текущей обстановкой и наносили врагу большой урон в живой силе и боевой технике при минимальных своих потерях.</w:t>
      </w:r>
    </w:p>
    <w:p w14:paraId="45D406A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 в этот день экипажи 1-го шак выполнили 348 вылетов и уничтожили 26 танков, 112 автомашин, 7 батарей полевой и зенитной артиллерии и сбили в воздушных боях семь самолетов противника, потеряв при этом только 2 Ил-2.</w:t>
      </w:r>
    </w:p>
    <w:p w14:paraId="720F84D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Повышение активности авиации сразу же сказалось на общей обстановке и привело к прорыву обороны противника. К исходу дня оперативное окружение немецких войск в районе Лепековки и Балки-Злодейки было завершено. В котел попали до 15000 немецких солдат.</w:t>
      </w:r>
    </w:p>
    <w:p w14:paraId="5868F07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Противник пытался деблокировать эту группировку, для чего активно контратаковал и подтягивал к району окружения значительные силы танков и мотопехоты.</w:t>
      </w:r>
    </w:p>
    <w:p w14:paraId="4CDE11D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 авиаразведкой было обнаружено выдвижение из Новониколаевки и района Пя- тихаток в направление на Обозновку двух больших колонн немецких танков и автомашин. Для их уничтожения срочно были подняты в воздух штурмовики I -го шак. Первую семерку Ил-2 повел один из наиболее опытных летчиков 292-й шад командир эскадрильи 667-го шап капитан Компанией. Несмотря на густой туман, экипажи обнаружили противника на юго-западной окраине Лепековки и в нескольких заходах уничтожили пять танков, 10 автомашин и около двух рот пехоты. Вскоре над полем боя появилась вторая семерка Ил-2, которую вел командир эскадрильи этого же полка капитан Красота. В течение 20 минут экипажи штурмовали противника. В результате было уничтожено 16 автомашин с пехотой.</w:t>
      </w:r>
    </w:p>
    <w:p w14:paraId="7E606F8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Налеты штурмовиков помогли частям 29-го тк отразить контратаки противника, перейти в наступление и отбить несколько населенных пунктов (12020).</w:t>
      </w:r>
    </w:p>
    <w:p w14:paraId="54A36DE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1CBB108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января 1944 хмурым облачным днем 52 машины из 67 вылетевших "пешек" 301-й бад 3-го бак нанесли удар по железнодорожной станции Калинковичи, а остальные бомбили запасные цели. "Густые темно-оранжевые облака поднялись кверху, заволакивая город, - вспоминал генерал А.З. Каравацкий. - А в небе то и дело появлялись разрывы зенитных снарядов. Они казались такими безобидными, что даже не верилось, будто могли сразить тяжелый самолет. Между тем каждый из этих разрывов таил в себе смертельную опасность. К счастью, полег обошелся без потерь".</w:t>
      </w:r>
    </w:p>
    <w:p w14:paraId="4F74EE7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Группа бомбардировщиков вернулась, а на станции горели вагоны и платформы с грузами, в десятке мест было разрушено железнодорожное полотно. Артерия, питавшая группировку врага, оказалась разорвана на сутки.</w:t>
      </w:r>
    </w:p>
    <w:p w14:paraId="53EC4D2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2B57A9E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января 1944 г. была подготовлена ДОКЛАДНАЯ ЗАПИСКА НАЧАЛЬНИКА ТУ ГБТУ КА НАЧАЛЬНИКУ ГУФ и БП БТ и МВ КА О ПОДГОТОВКЕ ЭКИПАЖЕЙ НА НОВЫЕ ТЯЖЕЛЫЕ ТАНКИ МАРКИ ИС И ИС-2 № 520095</w:t>
      </w:r>
    </w:p>
    <w:p w14:paraId="5D1ED91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ноябре 1943 года заводы промышленности начали выпуск новых тяжелых танков марки ИС и ИС-2. Конструкция этих танков в значительной степени отличается от ранее выпускавшихся тяже</w:t>
      </w:r>
      <w:r w:rsidRPr="007224C3">
        <w:rPr>
          <w:rFonts w:ascii="Times New Roman" w:hAnsi="Times New Roman"/>
          <w:color w:val="000000" w:themeColor="text1"/>
          <w:sz w:val="16"/>
          <w:szCs w:val="16"/>
        </w:rPr>
        <w:softHyphen/>
        <w:t>лых танков: двигатель танка В-2 ИС имеет всережимный регулятор числа оборотов, корректор пода</w:t>
      </w:r>
      <w:r w:rsidRPr="007224C3">
        <w:rPr>
          <w:rFonts w:ascii="Times New Roman" w:hAnsi="Times New Roman"/>
          <w:color w:val="000000" w:themeColor="text1"/>
          <w:sz w:val="16"/>
          <w:szCs w:val="16"/>
        </w:rPr>
        <w:softHyphen/>
        <w:t>чи топлива и электро-инерционный стартер.</w:t>
      </w:r>
    </w:p>
    <w:p w14:paraId="037C1C9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Механизмы поворота выполнены по типу планетарных. На танке ИС-2 устанавливается новая 122-мм пушка.</w:t>
      </w:r>
    </w:p>
    <w:p w14:paraId="4B613AF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Первый опыт получения частями новых танков показал, что подготовка экипажей в учебных частях не является удовлетворительной. Так, при получении эшелона с танками ИС 58-м гв. тяжелым танковым полком прорыва на ст. Пушкино оказалось, что водители, прибывшие с эшелоном не в состоянии разгрузить машины с ж.д. платформ, что было выполнено заводской бригадой. На марше к району сосредоточения и на ротных учениях было выведено из строя 6 машин из 21.</w:t>
      </w:r>
    </w:p>
    <w:p w14:paraId="6C1F464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Прошу ваших указаний начальнику УФиУ БТ и МВ КА командирам учебных частей и соедине</w:t>
      </w:r>
      <w:r w:rsidRPr="007224C3">
        <w:rPr>
          <w:rFonts w:ascii="Times New Roman" w:hAnsi="Times New Roman"/>
          <w:color w:val="000000" w:themeColor="text1"/>
          <w:sz w:val="16"/>
          <w:szCs w:val="16"/>
        </w:rPr>
        <w:softHyphen/>
        <w:t>ний, готовящих экипажи для танков ИС и ИС-2, об укомплектовании их составом, имеющим боевой опыт и работавшим ранее на танках КВ или, в крайнем случае, на танках Т-34, причем водителям необходимо предоставить практику вождения танка ИС в количестве 6-10 часов каждому.</w:t>
      </w:r>
    </w:p>
    <w:p w14:paraId="06D909D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ТУ ГБТУ Красной Армии генерал-майор инженерно-танковой службы Афонин</w:t>
      </w:r>
    </w:p>
    <w:p w14:paraId="4F5C099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38. Оп. 11355. Д. 2515. Л. 1. Копия (11403).</w:t>
      </w:r>
    </w:p>
    <w:p w14:paraId="18E81F4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C04963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Jan 6 1944 Soviet troops advance into Poland (1050).</w:t>
      </w:r>
    </w:p>
    <w:p w14:paraId="7703E1B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AF747F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января 1944 советские войска вошли в Польшу (1050).</w:t>
      </w:r>
    </w:p>
    <w:p w14:paraId="2B903C1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5D760C"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37869FB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2A95ABD" w14:textId="77777777" w:rsidR="00264F92" w:rsidRPr="007224C3" w:rsidRDefault="00264F92"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6 января</w:t>
      </w:r>
      <w:r w:rsidRPr="007224C3">
        <w:rPr>
          <w:rFonts w:ascii="Times New Roman" w:hAnsi="Times New Roman"/>
          <w:color w:val="000000" w:themeColor="text1"/>
          <w:sz w:val="16"/>
          <w:szCs w:val="16"/>
        </w:rPr>
        <w:t xml:space="preserve"> 1944. впервые поднялся в воздух (на год позже запланированного) опытный экземпляр самолёта, спроектированного как истребитель бомбардировщиков ХP-67 Bat (компания McDonnell, США).</w:t>
      </w:r>
    </w:p>
    <w:p w14:paraId="760ACDCA" w14:textId="77777777" w:rsidR="00264F92" w:rsidRPr="007224C3" w:rsidRDefault="00264F9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ХР-67 представлял собой цельнометаллический двухмоторный среднеплан. Весьма необычный вид истребителю обеспечивал внешний вид фюзеляжа и гондол двигателей.</w:t>
      </w:r>
    </w:p>
    <w:p w14:paraId="1785A304" w14:textId="77777777" w:rsidR="00264F92" w:rsidRPr="007224C3" w:rsidRDefault="00264F9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Дело в том, что в соответствии с тогдашними представлениями о аэродинамике им придали форму напоминающую профиль крыла. В носовой части фюзеляжа полумонококовой конструкции располагалась ниша носовой стойки шасси, а за ней просторная кабина пилота со сдвижным фонарем. По проекту она должна была быть герметичной, но для ускорения темпов испытаний на прототипе ее решили установить позже. Крыло - двухлонжеронное, целиком выполнено из легких сплавов. Оно имело поперечное V – 3О, ширину в корне 3,25 м и 2,37 м на конце. Каждая консоль крыла состояла из двух частей - внутренней и внешней. Внутренняя конструктивно входила в состав фюзеляжа и включала в себя отсек вооружения и мотогондолу. В корневой части имелись большие зализы, которые обеспечивали плавное соединение фюзеляжа с крылом и придавали последнему весьма необычный вид в плане. Внешняя часть имела трапециевидную форму и стыковалась с внутренней в районе мотогондолы. Горизонтальное оперение имело поперечное V – 5О. Все управляющие поверхности имели металлическую обшивку и были выполнены по единой схеме - работающий на кручение носок кессонного типа с нервюрами и обшивкой. Силовая установка состояла из двух двенадцатицилиндровых двигателей водяного охлаждения Континенталь XI-1430-17 (правый) и -19 (левый), вращавших четырехлопастные винты изменяемого шага Кер-тисс-Электрик диаметром 3,25 м. Моторы оснащались турбонагнетателями Дженерал Электрик D-23 и имели взлетную мощность по 1350 л.с. Был предусмотрен боевой режим, при котором моторы могли в течении 5 мин. развивать 1600 л.с. на высоте 7600 м. Топливо размещалось в четырех протектированых топливных баках в крыле и фюзеляже, суммарной емкостью 2780 л. За свой необычный внешний вид истребитель получил неофициальное название "Мунбэт" - разновидность ночной летучей мыши-вампира. Здесь очевидно сказалось студенческое увлечение "Мистера Мака" оккультизмом и его шотландское происхождение (ну любят "Горцы" всякую нечисть). Эта традиция продолжалась и в дальнейшем, достаточно вспомнить названия его последующих самолетов - "Фантом", "Баныши", "Демон"... Как уже упоминалось выше, на самолете отсутствовала гермокабина, а вместо вооружения были установлены баки с углекислым газом для системы пожаротушения. Как показал первый полёт эта предосторожность оказалась нелишней, он продолжался всего шесть минут, так как обнаружились неполадки в силовой установке. Наземный осмотр показал, что причиной являлся перегрев трубопроводов выхлопной системы (15001).</w:t>
      </w:r>
    </w:p>
    <w:p w14:paraId="7CCB81D4" w14:textId="77777777" w:rsidR="00264F92" w:rsidRPr="007224C3" w:rsidRDefault="00264F92" w:rsidP="007224C3">
      <w:pPr>
        <w:spacing w:after="0" w:line="240" w:lineRule="auto"/>
        <w:jc w:val="both"/>
        <w:rPr>
          <w:rFonts w:ascii="Times New Roman" w:hAnsi="Times New Roman"/>
          <w:color w:val="000000" w:themeColor="text1"/>
          <w:sz w:val="16"/>
          <w:szCs w:val="16"/>
        </w:rPr>
      </w:pPr>
    </w:p>
    <w:p w14:paraId="1D8D31C0" w14:textId="77777777" w:rsidR="00EB290F" w:rsidRPr="007224C3" w:rsidRDefault="00EB290F"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6 января 1944 первый полет McDonnell XP-67 Bat (20373).</w:t>
      </w:r>
    </w:p>
    <w:p w14:paraId="4CBA4DCB" w14:textId="77777777" w:rsidR="00EB290F" w:rsidRPr="007224C3" w:rsidRDefault="00EB290F" w:rsidP="007224C3">
      <w:pPr>
        <w:spacing w:after="0" w:line="240" w:lineRule="auto"/>
        <w:jc w:val="both"/>
        <w:rPr>
          <w:rFonts w:ascii="Times New Roman" w:hAnsi="Times New Roman"/>
          <w:color w:val="0070C0"/>
          <w:sz w:val="16"/>
          <w:szCs w:val="16"/>
        </w:rPr>
      </w:pPr>
    </w:p>
    <w:p w14:paraId="224743AF" w14:textId="77777777" w:rsidR="00EB290F" w:rsidRPr="007224C3" w:rsidRDefault="00EB290F"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6 января 1944 - Впервые поднялся в воздух (на год позже запланированного) опытный экземпляр самолёта, спроектированного как истребитель бомбардировщиков ХP-67 Bat (компания McDonnell, США). Это был самый первый самолет, спроектированный Джеймсом Макдоннеллом (22678).</w:t>
      </w:r>
    </w:p>
    <w:p w14:paraId="22FC495F" w14:textId="77777777" w:rsidR="00EB290F" w:rsidRPr="007224C3" w:rsidRDefault="00EB290F" w:rsidP="007224C3">
      <w:pPr>
        <w:spacing w:after="0" w:line="240" w:lineRule="auto"/>
        <w:jc w:val="both"/>
        <w:rPr>
          <w:rFonts w:ascii="Times New Roman" w:hAnsi="Times New Roman"/>
          <w:color w:val="0070C0"/>
          <w:sz w:val="16"/>
          <w:szCs w:val="16"/>
        </w:rPr>
      </w:pPr>
    </w:p>
    <w:p w14:paraId="43978F36" w14:textId="77777777" w:rsidR="00EB290F" w:rsidRPr="007224C3" w:rsidRDefault="00EB290F"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6 января 1944 года — первый полёт перехватчика McDonnell XP-67 "Bat" (или "Moonbat"). /США/</w:t>
      </w:r>
    </w:p>
    <w:p w14:paraId="285DF252" w14:textId="77777777" w:rsidR="00EB290F" w:rsidRPr="007224C3" w:rsidRDefault="00EB290F"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 1939 году ВВС США опубликовали требования к дальнему скоростному перехватчику для уничтожения вражеских бомбардировщиков. Среди 23 участников конкурса была и молодая McDonnell Aircraft. Хотя её проект и занял 21-е место, но ВВС выделили небольшое финансирование для продолжения работ. Так началась история будущего XP-67 "Bat", который стал первым самолётом компании.</w:t>
      </w:r>
    </w:p>
    <w:p w14:paraId="3725F640" w14:textId="77777777" w:rsidR="00EB290F" w:rsidRPr="007224C3" w:rsidRDefault="00EB290F"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XP-67 "Bat" был необычным среднепланом c обтекаемыми гондолами двигателей и фюзеляжем узкого сечения. 2 × двигателя Continental XIV-1430-17/19 (1350 л.с.) позволяли развить максимальную скорость в 650 км/ч. Дальность полёта — 3837 км. Вооружение — 6 × 37-мм пушек M4.</w:t>
      </w:r>
    </w:p>
    <w:p w14:paraId="4664D382" w14:textId="77777777" w:rsidR="00EB290F" w:rsidRPr="007224C3" w:rsidRDefault="00EB290F"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Испытания выявили ряд проблем — недостаточная мощность двигателей, плохая управляемость на некоторых режимах полёта, перегрев двигателей и т.д. Полностью устранить их не удалось. Единственный прототип XP-67 сгорел в сентябре 1944 года после возгорания правого двигателя. После этого проект закрыли (22300).</w:t>
      </w:r>
    </w:p>
    <w:p w14:paraId="25130F66" w14:textId="77777777" w:rsidR="00EB290F" w:rsidRPr="007224C3" w:rsidRDefault="00EB290F" w:rsidP="007224C3">
      <w:pPr>
        <w:spacing w:after="0" w:line="240" w:lineRule="auto"/>
        <w:jc w:val="both"/>
        <w:rPr>
          <w:rFonts w:ascii="Times New Roman" w:hAnsi="Times New Roman"/>
          <w:color w:val="0070C0"/>
          <w:sz w:val="16"/>
          <w:szCs w:val="16"/>
        </w:rPr>
      </w:pPr>
    </w:p>
    <w:p w14:paraId="264096C1"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января 1944 США и Англия объявили о плане создания ими совместного реактивного самолета (4962).</w:t>
      </w:r>
    </w:p>
    <w:p w14:paraId="16E443F5"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E0FB950"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4C450B7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FD52F5E" w14:textId="77777777" w:rsidR="000D5A0D" w:rsidRPr="007224C3" w:rsidRDefault="000D5A0D"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В в первые дни января 1944 г. для этой ра</w:t>
      </w:r>
      <w:r w:rsidRPr="007224C3">
        <w:rPr>
          <w:color w:val="000000" w:themeColor="text1"/>
          <w:sz w:val="16"/>
          <w:szCs w:val="16"/>
        </w:rPr>
        <w:softHyphen/>
        <w:t>боты по ПВРД был выделен самолет Як-7Б №820803.</w:t>
      </w:r>
    </w:p>
    <w:p w14:paraId="0086F4E8" w14:textId="77777777" w:rsidR="000D5A0D" w:rsidRPr="007224C3" w:rsidRDefault="000D5A0D" w:rsidP="007224C3">
      <w:pPr>
        <w:pStyle w:val="Bodytext1"/>
        <w:shd w:val="clear" w:color="auto" w:fill="auto"/>
        <w:spacing w:line="240" w:lineRule="auto"/>
        <w:ind w:firstLine="0"/>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Истребитель Як-7 сочетал хорошую скорость, устойчивость и управляемость, а за креслом пилота оставалось сво</w:t>
      </w:r>
      <w:r w:rsidRPr="007224C3">
        <w:rPr>
          <w:rFonts w:ascii="Times New Roman" w:hAnsi="Times New Roman" w:cs="Times New Roman"/>
          <w:color w:val="000000" w:themeColor="text1"/>
          <w:sz w:val="16"/>
          <w:szCs w:val="16"/>
        </w:rPr>
        <w:softHyphen/>
        <w:t>бодное место, на котором при переба</w:t>
      </w:r>
      <w:r w:rsidRPr="007224C3">
        <w:rPr>
          <w:rFonts w:ascii="Times New Roman" w:hAnsi="Times New Roman" w:cs="Times New Roman"/>
          <w:color w:val="000000" w:themeColor="text1"/>
          <w:sz w:val="16"/>
          <w:szCs w:val="16"/>
        </w:rPr>
        <w:softHyphen/>
        <w:t>зировании обычно возили аэродромное имущество и даже механиков. Там можно было разместить инженера-эксперимен</w:t>
      </w:r>
      <w:r w:rsidRPr="007224C3">
        <w:rPr>
          <w:rFonts w:ascii="Times New Roman" w:hAnsi="Times New Roman" w:cs="Times New Roman"/>
          <w:color w:val="000000" w:themeColor="text1"/>
          <w:sz w:val="16"/>
          <w:szCs w:val="16"/>
        </w:rPr>
        <w:softHyphen/>
        <w:t>татора с органами управления контроля работы ПВРД и стандартный набор са</w:t>
      </w:r>
      <w:r w:rsidRPr="007224C3">
        <w:rPr>
          <w:rFonts w:ascii="Times New Roman" w:hAnsi="Times New Roman" w:cs="Times New Roman"/>
          <w:color w:val="000000" w:themeColor="text1"/>
          <w:sz w:val="16"/>
          <w:szCs w:val="16"/>
        </w:rPr>
        <w:softHyphen/>
        <w:t>мописцев. В сдвижной фанерной крышке этой кабины не составляло труда про</w:t>
      </w:r>
      <w:r w:rsidRPr="007224C3">
        <w:rPr>
          <w:rFonts w:ascii="Times New Roman" w:hAnsi="Times New Roman" w:cs="Times New Roman"/>
          <w:color w:val="000000" w:themeColor="text1"/>
          <w:sz w:val="16"/>
          <w:szCs w:val="16"/>
        </w:rPr>
        <w:softHyphen/>
        <w:t>резать окна и зашить их целлулоидом, чтобы видеть состояние двигателей под крылом. Из всех советских самолетов того времени, Як-7 лучше всего подходил для такой работы. Но теперь о плохом.</w:t>
      </w:r>
    </w:p>
    <w:p w14:paraId="546E0DE5" w14:textId="77777777" w:rsidR="000D5A0D" w:rsidRPr="007224C3" w:rsidRDefault="000D5A0D" w:rsidP="007224C3">
      <w:pPr>
        <w:pStyle w:val="Bodytext1"/>
        <w:shd w:val="clear" w:color="auto" w:fill="auto"/>
        <w:spacing w:line="240" w:lineRule="auto"/>
        <w:ind w:firstLine="0"/>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Взятый самолет был выпуска завода №82, качество самолетов которого было самым низким среди продукции всех трех производителей машин этого типа. Эта машина отлетала уже два года, практи</w:t>
      </w:r>
      <w:r w:rsidRPr="007224C3">
        <w:rPr>
          <w:rFonts w:ascii="Times New Roman" w:hAnsi="Times New Roman" w:cs="Times New Roman"/>
          <w:color w:val="000000" w:themeColor="text1"/>
          <w:sz w:val="16"/>
          <w:szCs w:val="16"/>
        </w:rPr>
        <w:softHyphen/>
        <w:t>чески исчерпав свой ресурс, она успела пройти доработку для испытаний бомбо</w:t>
      </w:r>
      <w:r w:rsidRPr="007224C3">
        <w:rPr>
          <w:rFonts w:ascii="Times New Roman" w:hAnsi="Times New Roman" w:cs="Times New Roman"/>
          <w:color w:val="000000" w:themeColor="text1"/>
          <w:sz w:val="16"/>
          <w:szCs w:val="16"/>
        </w:rPr>
        <w:softHyphen/>
        <w:t>вого вооружения и ремонт после поломки, что тоже не улучшало ее летные качества. И наконец, основной мотор М-105ПФ не имел положенной мощности - нагнетатель недодавал давления наддува.</w:t>
      </w:r>
    </w:p>
    <w:p w14:paraId="1D17EB14" w14:textId="77777777" w:rsidR="000D5A0D" w:rsidRPr="007224C3" w:rsidRDefault="000D5A0D" w:rsidP="007224C3">
      <w:pPr>
        <w:pStyle w:val="Bodytext1"/>
        <w:shd w:val="clear" w:color="auto" w:fill="auto"/>
        <w:spacing w:line="240" w:lineRule="auto"/>
        <w:ind w:firstLine="0"/>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Но как бы то ни было, в начале 1944 г. на заводе №482 под руководством Б.А. Николаевского, ведущего инженера СКБ Меркулова, данный Як-7Б начали до</w:t>
      </w:r>
      <w:r w:rsidRPr="007224C3">
        <w:rPr>
          <w:rFonts w:ascii="Times New Roman" w:hAnsi="Times New Roman" w:cs="Times New Roman"/>
          <w:color w:val="000000" w:themeColor="text1"/>
          <w:sz w:val="16"/>
          <w:szCs w:val="16"/>
        </w:rPr>
        <w:softHyphen/>
        <w:t>рабатывать, подрезав ему на 500 мм по</w:t>
      </w:r>
      <w:r w:rsidRPr="007224C3">
        <w:rPr>
          <w:rFonts w:ascii="Times New Roman" w:hAnsi="Times New Roman" w:cs="Times New Roman"/>
          <w:color w:val="000000" w:themeColor="text1"/>
          <w:sz w:val="16"/>
          <w:szCs w:val="16"/>
        </w:rPr>
        <w:softHyphen/>
        <w:t>садочные щитки и установив под крыло прибывшие из Ташкента модифицирован</w:t>
      </w:r>
      <w:r w:rsidRPr="007224C3">
        <w:rPr>
          <w:rFonts w:ascii="Times New Roman" w:hAnsi="Times New Roman" w:cs="Times New Roman"/>
          <w:color w:val="000000" w:themeColor="text1"/>
          <w:sz w:val="16"/>
          <w:szCs w:val="16"/>
        </w:rPr>
        <w:softHyphen/>
        <w:t>ные прямоточные воздушно-реактивные двигатели ДМ-4с (17742).</w:t>
      </w:r>
    </w:p>
    <w:p w14:paraId="39A217E3" w14:textId="77777777" w:rsidR="000D5A0D" w:rsidRPr="007224C3" w:rsidRDefault="000D5A0D" w:rsidP="007224C3">
      <w:pPr>
        <w:pStyle w:val="123"/>
        <w:shd w:val="clear" w:color="auto" w:fill="auto"/>
        <w:spacing w:after="0" w:line="240" w:lineRule="auto"/>
        <w:jc w:val="both"/>
        <w:rPr>
          <w:color w:val="000000" w:themeColor="text1"/>
          <w:sz w:val="16"/>
          <w:szCs w:val="16"/>
        </w:rPr>
      </w:pPr>
    </w:p>
    <w:p w14:paraId="1A7B2D1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января 1944 был готов Як-3Т - переделка серийного Як-3 с двумя синхронными п Б-20С с боезапасом по 100 снарядов и одной центральной Н-37 с 25 снарядами. Машину предельно облегчили сняв все лишнее. Начались заводские испытания (1728,33).</w:t>
      </w:r>
    </w:p>
    <w:p w14:paraId="027DAC1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3FB4F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1944 ВС ВВС рассмотрел оснащение фронтовой авиации новыми типами самолетов и пришел к заключению о необходимости продолжать перевооружение на Д/Востоке для замены И-16, И-153 и И-15бис (340,160).</w:t>
      </w:r>
    </w:p>
    <w:p w14:paraId="690D391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536F3C"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0ADF28C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E2BA41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января 1944 г. опытный образец самоходной установки СУ-85 с пушкой Д-5С-85БМ прошел заводские испытания и в том же месяце был отправлен на Гороховецкий АНИОП на государственные испытания, которые выдержал (10703).</w:t>
      </w:r>
    </w:p>
    <w:p w14:paraId="5B44069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BBD93B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января 1944 года опытный образец самохода СУ-85 с пушкой Д-5С-85БМ прошел заводские испытания, после чего его отправили в Гороховец на государственные, которые он выдержал, но на вооружение принят не был (9637).</w:t>
      </w:r>
    </w:p>
    <w:p w14:paraId="12D8AA8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1D139940"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13EADE4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45F16B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 начале января 1944 г. на вооружении 45-й авиадивизии значились 20 Пе-8. В феврале большинство из них участвовало в стратегической операции Красной Армии по выводу Финляндии из войны, основным инструментом которой предстояло стать бомбардировщикам АДД. Главной целью бомбардировок стал город Хельсинки, на который было совершено 3 массированных ночных налета. В первом налете на финскую столицу, предпринятом в ночь на 7 февраля 1944 г. участвовало свыше 200 дальних бомбардировщиков. Из Кратово в эту ночь стартовали 16 Пе-8. Два из них доставили по 5-тонной бомбе, которые сбросили на кабельный завод, железнодорожные склады и бараки. Остальные четырехмоторные бомбовозы высыпали на финскую столицу 75 бомб калибром от 100 до 2000 кг. </w:t>
      </w:r>
    </w:p>
    <w:p w14:paraId="3EF6ABF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1830F662"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2968CF8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4EEB4FB" w14:textId="77777777" w:rsidR="000D5A0D" w:rsidRPr="007224C3" w:rsidRDefault="000D5A0D"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В период с 7 по 14 января и с 31 января по 8 февраля 1944 г. проводилась наземная часть про</w:t>
      </w:r>
      <w:r w:rsidRPr="007224C3">
        <w:rPr>
          <w:color w:val="000000" w:themeColor="text1"/>
          <w:sz w:val="16"/>
          <w:szCs w:val="16"/>
        </w:rPr>
        <w:softHyphen/>
        <w:t>граммы государственных испытаний 111П на Ил-2 № 303124. Перерывы в испытаниях были связаны с несвоевременной подачей боеприпасов и необходимостью доводки автоматики пушки. В заключении отчета по резуль</w:t>
      </w:r>
      <w:r w:rsidRPr="007224C3">
        <w:rPr>
          <w:color w:val="000000" w:themeColor="text1"/>
          <w:sz w:val="16"/>
          <w:szCs w:val="16"/>
        </w:rPr>
        <w:softHyphen/>
        <w:t>татам испытаний отмечалось, что «пушки 45 мм /.../ конструкции Нудельмана—Суранова (ОКБ-16 НКВ), установленные под крылом самолета Ил-2 зав. № 303124, наземные госиспытания выдержа</w:t>
      </w:r>
      <w:r w:rsidRPr="007224C3">
        <w:rPr>
          <w:color w:val="000000" w:themeColor="text1"/>
          <w:sz w:val="16"/>
          <w:szCs w:val="16"/>
        </w:rPr>
        <w:softHyphen/>
        <w:t>ли». Предлагалось «просить ОКБ-16 НКВ провести работу по уменьшению реакции на цапфы 45 мм до 4000 кг. 2 крыльевые пушки с уменьшенной реак</w:t>
      </w:r>
      <w:r w:rsidRPr="007224C3">
        <w:rPr>
          <w:color w:val="000000" w:themeColor="text1"/>
          <w:sz w:val="16"/>
          <w:szCs w:val="16"/>
        </w:rPr>
        <w:softHyphen/>
        <w:t>цией на цапфы представить в НИИ АВ на государ</w:t>
      </w:r>
      <w:r w:rsidRPr="007224C3">
        <w:rPr>
          <w:color w:val="000000" w:themeColor="text1"/>
          <w:sz w:val="16"/>
          <w:szCs w:val="16"/>
        </w:rPr>
        <w:softHyphen/>
        <w:t>ственные воздушные испытания на самолете Ил-2». К этому времени на самолете было выполнено все</w:t>
      </w:r>
      <w:r w:rsidRPr="007224C3">
        <w:rPr>
          <w:color w:val="000000" w:themeColor="text1"/>
          <w:sz w:val="16"/>
          <w:szCs w:val="16"/>
        </w:rPr>
        <w:softHyphen/>
        <w:t>го 3 полета с суммарным налетом 1 ч 10 мин. По</w:t>
      </w:r>
      <w:r w:rsidRPr="007224C3">
        <w:rPr>
          <w:color w:val="000000" w:themeColor="text1"/>
          <w:sz w:val="16"/>
          <w:szCs w:val="16"/>
        </w:rPr>
        <w:softHyphen/>
        <w:t>летов со стрельбой из пушек НС-45 «ни на заводе № 240, ни в НИИ АВ не производилось».</w:t>
      </w:r>
    </w:p>
    <w:p w14:paraId="44A1BE7A" w14:textId="77777777" w:rsidR="000D5A0D" w:rsidRPr="007224C3" w:rsidRDefault="000D5A0D"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Здесь следует сказать, что С. В. Ильюшин не давал своего согласия «на проведение испытаний 45-мм пушек ОКБ-15 и 16 на самолете Ил-2 (стрель</w:t>
      </w:r>
      <w:r w:rsidRPr="007224C3">
        <w:rPr>
          <w:color w:val="000000" w:themeColor="text1"/>
          <w:sz w:val="16"/>
          <w:szCs w:val="16"/>
        </w:rPr>
        <w:softHyphen/>
        <w:t>бой в воздухе</w:t>
      </w:r>
      <w:r w:rsidRPr="007224C3">
        <w:rPr>
          <w:rStyle w:val="BodytextItalic"/>
          <w:i w:val="0"/>
          <w:color w:val="000000" w:themeColor="text1"/>
          <w:sz w:val="16"/>
          <w:szCs w:val="16"/>
        </w:rPr>
        <w:t>),</w:t>
      </w:r>
      <w:r w:rsidRPr="007224C3">
        <w:rPr>
          <w:color w:val="000000" w:themeColor="text1"/>
          <w:sz w:val="16"/>
          <w:szCs w:val="16"/>
        </w:rPr>
        <w:t xml:space="preserve"> мотивируя это увеличенной силой отдачи по сравнению с ТТТ ВВС КА».</w:t>
      </w:r>
    </w:p>
    <w:p w14:paraId="0C151821" w14:textId="77777777" w:rsidR="000D5A0D" w:rsidRPr="007224C3" w:rsidRDefault="000D5A0D"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Учитывая результаты длительных ресурсных ис</w:t>
      </w:r>
      <w:r w:rsidRPr="007224C3">
        <w:rPr>
          <w:color w:val="000000" w:themeColor="text1"/>
          <w:sz w:val="16"/>
          <w:szCs w:val="16"/>
        </w:rPr>
        <w:softHyphen/>
        <w:t>пытаний пушек 11П стрельбой на самолете Ил-2, имелись опасения, что серийное крыло (без тща</w:t>
      </w:r>
      <w:r w:rsidRPr="007224C3">
        <w:rPr>
          <w:color w:val="000000" w:themeColor="text1"/>
          <w:sz w:val="16"/>
          <w:szCs w:val="16"/>
        </w:rPr>
        <w:softHyphen/>
        <w:t>тельного контроля в производстве) может не вы</w:t>
      </w:r>
      <w:r w:rsidRPr="007224C3">
        <w:rPr>
          <w:color w:val="000000" w:themeColor="text1"/>
          <w:sz w:val="16"/>
          <w:szCs w:val="16"/>
        </w:rPr>
        <w:softHyphen/>
        <w:t>держать нагрузок при стрельбе из более мощных пушек 111П и разрушиться.</w:t>
      </w:r>
    </w:p>
    <w:p w14:paraId="204B5A3F" w14:textId="77777777" w:rsidR="000D5A0D" w:rsidRPr="007224C3" w:rsidRDefault="000D5A0D"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Дискуссия специалистов НИИ АВ ВВС и ОКБ-240 по этому вопросу положительных результатов не дала. Обе стороны остались при своем мнении. «Главный конструктор самолета тов. Ильюшин» так и не дал разрешение на полеты Ил-2 со стрельбой в воздухе из пушек калибра 45 мм.</w:t>
      </w:r>
    </w:p>
    <w:p w14:paraId="05D1D578" w14:textId="77777777" w:rsidR="000D5A0D" w:rsidRPr="007224C3" w:rsidRDefault="000D5A0D"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К этому времени пришло понимание, что повы</w:t>
      </w:r>
      <w:r w:rsidRPr="007224C3">
        <w:rPr>
          <w:color w:val="000000" w:themeColor="text1"/>
          <w:sz w:val="16"/>
          <w:szCs w:val="16"/>
        </w:rPr>
        <w:softHyphen/>
        <w:t>шение могущества бронебойного снаряда к ави</w:t>
      </w:r>
      <w:r w:rsidRPr="007224C3">
        <w:rPr>
          <w:color w:val="000000" w:themeColor="text1"/>
          <w:sz w:val="16"/>
          <w:szCs w:val="16"/>
        </w:rPr>
        <w:softHyphen/>
        <w:t>ационным пушкам калибра 45 мм Ш-45 и 111П может быть обеспечено лишь при использовании твердосплавного металлокерамического сердечни</w:t>
      </w:r>
      <w:r w:rsidRPr="007224C3">
        <w:rPr>
          <w:color w:val="000000" w:themeColor="text1"/>
          <w:sz w:val="16"/>
          <w:szCs w:val="16"/>
        </w:rPr>
        <w:softHyphen/>
        <w:t>ка из карбида вольфрама, что по экономическим соображениям было неприемлемо. В то же время Ил-2 с пушками калибра 45 мм и боекомплектом, состоящим только из осколочно-зажигательных снарядов, по всему комплексу летно-боевых ка</w:t>
      </w:r>
      <w:r w:rsidRPr="007224C3">
        <w:rPr>
          <w:color w:val="000000" w:themeColor="text1"/>
          <w:sz w:val="16"/>
          <w:szCs w:val="16"/>
        </w:rPr>
        <w:softHyphen/>
        <w:t>честв не имеет явных преимуществ в бою перед Ил-2 с 11П при наличии проблем, связанных с по</w:t>
      </w:r>
      <w:r w:rsidRPr="007224C3">
        <w:rPr>
          <w:color w:val="000000" w:themeColor="text1"/>
          <w:sz w:val="16"/>
          <w:szCs w:val="16"/>
        </w:rPr>
        <w:softHyphen/>
        <w:t>вышенной отдачей при стрельбе из «главного ка</w:t>
      </w:r>
      <w:r w:rsidRPr="007224C3">
        <w:rPr>
          <w:color w:val="000000" w:themeColor="text1"/>
          <w:sz w:val="16"/>
          <w:szCs w:val="16"/>
        </w:rPr>
        <w:softHyphen/>
        <w:t>либра».</w:t>
      </w:r>
    </w:p>
    <w:p w14:paraId="5DF70102" w14:textId="77777777" w:rsidR="000D5A0D" w:rsidRPr="007224C3" w:rsidRDefault="000D5A0D"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Следствием этого стало решение о прекра</w:t>
      </w:r>
      <w:r w:rsidRPr="007224C3">
        <w:rPr>
          <w:color w:val="000000" w:themeColor="text1"/>
          <w:sz w:val="16"/>
          <w:szCs w:val="16"/>
        </w:rPr>
        <w:softHyphen/>
        <w:t>щении всех работ по самолетам Ил-2 с крупнока</w:t>
      </w:r>
      <w:r w:rsidRPr="007224C3">
        <w:rPr>
          <w:color w:val="000000" w:themeColor="text1"/>
          <w:sz w:val="16"/>
          <w:szCs w:val="16"/>
        </w:rPr>
        <w:softHyphen/>
        <w:t>либерными пушками. В этой связи не был прояв</w:t>
      </w:r>
      <w:r w:rsidRPr="007224C3">
        <w:rPr>
          <w:color w:val="000000" w:themeColor="text1"/>
          <w:sz w:val="16"/>
          <w:szCs w:val="16"/>
        </w:rPr>
        <w:softHyphen/>
        <w:t>лен интерес и к модернизированной пушке 11ПМ (НС-37М), показавшей при испытаниях «на крылье</w:t>
      </w:r>
      <w:r w:rsidRPr="007224C3">
        <w:rPr>
          <w:color w:val="000000" w:themeColor="text1"/>
          <w:sz w:val="16"/>
          <w:szCs w:val="16"/>
        </w:rPr>
        <w:softHyphen/>
        <w:t>вой установке самолета Ил-2» почти на 40% мень</w:t>
      </w:r>
      <w:r w:rsidRPr="007224C3">
        <w:rPr>
          <w:color w:val="000000" w:themeColor="text1"/>
          <w:sz w:val="16"/>
          <w:szCs w:val="16"/>
        </w:rPr>
        <w:softHyphen/>
        <w:t>шее усилие отдачи при откате и на 20% при накате по сравнению с серийными пушками (17500).</w:t>
      </w:r>
    </w:p>
    <w:p w14:paraId="67EE8E34" w14:textId="77777777" w:rsidR="000D5A0D" w:rsidRPr="007224C3" w:rsidRDefault="000D5A0D" w:rsidP="007224C3">
      <w:pPr>
        <w:pStyle w:val="123"/>
        <w:shd w:val="clear" w:color="auto" w:fill="auto"/>
        <w:spacing w:after="0" w:line="240" w:lineRule="auto"/>
        <w:jc w:val="both"/>
        <w:rPr>
          <w:color w:val="000000" w:themeColor="text1"/>
          <w:sz w:val="16"/>
          <w:szCs w:val="16"/>
        </w:rPr>
      </w:pPr>
    </w:p>
    <w:p w14:paraId="45D250FC" w14:textId="77777777" w:rsidR="000D5A0D" w:rsidRPr="007224C3" w:rsidRDefault="000D5A0D"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К 7 января 1944 г. в НИИ АВ ВВС завершились испытания пушки Ш-45 в моторном варианте, «уста</w:t>
      </w:r>
      <w:r w:rsidRPr="007224C3">
        <w:rPr>
          <w:color w:val="000000" w:themeColor="text1"/>
          <w:sz w:val="16"/>
          <w:szCs w:val="16"/>
        </w:rPr>
        <w:softHyphen/>
        <w:t>новленной на специальном станке, жестко укре</w:t>
      </w:r>
      <w:r w:rsidRPr="007224C3">
        <w:rPr>
          <w:color w:val="000000" w:themeColor="text1"/>
          <w:sz w:val="16"/>
          <w:szCs w:val="16"/>
        </w:rPr>
        <w:softHyphen/>
        <w:t>пленном на фундаменте». Оказалось, что «величи</w:t>
      </w:r>
      <w:r w:rsidRPr="007224C3">
        <w:rPr>
          <w:color w:val="000000" w:themeColor="text1"/>
          <w:sz w:val="16"/>
          <w:szCs w:val="16"/>
        </w:rPr>
        <w:softHyphen/>
        <w:t>на максимального значения реакции в креплении пушки» достигает 6000 кг. Однако, как указывал генерал-майор М. В. Гуревич в своем докладе глав</w:t>
      </w:r>
      <w:r w:rsidRPr="007224C3">
        <w:rPr>
          <w:color w:val="000000" w:themeColor="text1"/>
          <w:sz w:val="16"/>
          <w:szCs w:val="16"/>
        </w:rPr>
        <w:softHyphen/>
        <w:t>ному инженеру ВВС генерал-лейтенанту А. К. Репи</w:t>
      </w:r>
      <w:r w:rsidRPr="007224C3">
        <w:rPr>
          <w:color w:val="000000" w:themeColor="text1"/>
          <w:sz w:val="16"/>
          <w:szCs w:val="16"/>
        </w:rPr>
        <w:softHyphen/>
        <w:t>ну, «условия стрельбы на специальном станке не соответствуют эксплуатационным условиям». В ре</w:t>
      </w:r>
      <w:r w:rsidRPr="007224C3">
        <w:rPr>
          <w:color w:val="000000" w:themeColor="text1"/>
          <w:sz w:val="16"/>
          <w:szCs w:val="16"/>
        </w:rPr>
        <w:softHyphen/>
        <w:t>альности «сила отдачи пушки под крылом самолета Ил-2 будет меньше, так как жесткость самолетной установки меньше жесткости станка».</w:t>
      </w:r>
    </w:p>
    <w:p w14:paraId="3079A332" w14:textId="77777777" w:rsidR="000D5A0D" w:rsidRPr="007224C3" w:rsidRDefault="000D5A0D"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По просьбе Б. Г. Шпитального в НИИ АВ нача</w:t>
      </w:r>
      <w:r w:rsidRPr="007224C3">
        <w:rPr>
          <w:color w:val="000000" w:themeColor="text1"/>
          <w:sz w:val="16"/>
          <w:szCs w:val="16"/>
        </w:rPr>
        <w:softHyphen/>
        <w:t>лись работы «над противооткатным приспособле</w:t>
      </w:r>
      <w:r w:rsidRPr="007224C3">
        <w:rPr>
          <w:color w:val="000000" w:themeColor="text1"/>
          <w:sz w:val="16"/>
          <w:szCs w:val="16"/>
        </w:rPr>
        <w:softHyphen/>
        <w:t>нием 45-мм крыльевой пушки, с целью уменьшения силы отдачи». В этой связи «передача 45-мм пушки ОКБ-15 на самолете Ил-2 на государственные испы</w:t>
      </w:r>
      <w:r w:rsidRPr="007224C3">
        <w:rPr>
          <w:color w:val="000000" w:themeColor="text1"/>
          <w:sz w:val="16"/>
          <w:szCs w:val="16"/>
        </w:rPr>
        <w:softHyphen/>
        <w:t>тания задерживается». Одновременно ВВС потре</w:t>
      </w:r>
      <w:r w:rsidRPr="007224C3">
        <w:rPr>
          <w:color w:val="000000" w:themeColor="text1"/>
          <w:sz w:val="16"/>
          <w:szCs w:val="16"/>
        </w:rPr>
        <w:softHyphen/>
        <w:t>бовали установить доработанные пушки Ш-45 на двухместный самолет Ил-2 как основной тип штур</w:t>
      </w:r>
      <w:r w:rsidRPr="007224C3">
        <w:rPr>
          <w:color w:val="000000" w:themeColor="text1"/>
          <w:sz w:val="16"/>
          <w:szCs w:val="16"/>
        </w:rPr>
        <w:softHyphen/>
        <w:t>мового самолета.</w:t>
      </w:r>
    </w:p>
    <w:p w14:paraId="4576923A" w14:textId="77777777" w:rsidR="000D5A0D" w:rsidRPr="007224C3" w:rsidRDefault="000D5A0D"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Серийный самолет Ил-2 производства завода № 30, предназначенный для доработки под уста</w:t>
      </w:r>
      <w:r w:rsidRPr="007224C3">
        <w:rPr>
          <w:color w:val="000000" w:themeColor="text1"/>
          <w:sz w:val="16"/>
          <w:szCs w:val="16"/>
        </w:rPr>
        <w:softHyphen/>
        <w:t>новку 45-мм авиапушек 111П, поступил на опыт</w:t>
      </w:r>
      <w:r w:rsidRPr="007224C3">
        <w:rPr>
          <w:color w:val="000000" w:themeColor="text1"/>
          <w:sz w:val="16"/>
          <w:szCs w:val="16"/>
        </w:rPr>
        <w:softHyphen/>
        <w:t>ный завод № 240 лишь 11 октября 1943 г. При его подготовке к работам по вооружению было вы</w:t>
      </w:r>
      <w:r w:rsidRPr="007224C3">
        <w:rPr>
          <w:color w:val="000000" w:themeColor="text1"/>
          <w:sz w:val="16"/>
          <w:szCs w:val="16"/>
        </w:rPr>
        <w:softHyphen/>
        <w:t>явлено большое количество дефектов. Самолет возвратили заводу № 30. Взамен 20 октября завод № 240 получил серийный Ил-2 зав. № 303124, ко</w:t>
      </w:r>
      <w:r w:rsidRPr="007224C3">
        <w:rPr>
          <w:color w:val="000000" w:themeColor="text1"/>
          <w:sz w:val="16"/>
          <w:szCs w:val="16"/>
        </w:rPr>
        <w:softHyphen/>
        <w:t>торый был построен 19 октября 1943 г. с пушками 11 П. В течение последующих 10 дней на самолет вместо 11П установили пушки 111П с боекомплек</w:t>
      </w:r>
      <w:r w:rsidRPr="007224C3">
        <w:rPr>
          <w:color w:val="000000" w:themeColor="text1"/>
          <w:sz w:val="16"/>
          <w:szCs w:val="16"/>
        </w:rPr>
        <w:softHyphen/>
        <w:t>том по 50 снарядов на каждую и отстреляли все вооружение в тире летно-испытательной станции завода. 1 ноября самолет перегнали в НИИ АВ для проведения заводских и государственных испыта</w:t>
      </w:r>
      <w:r w:rsidRPr="007224C3">
        <w:rPr>
          <w:color w:val="000000" w:themeColor="text1"/>
          <w:sz w:val="16"/>
          <w:szCs w:val="16"/>
        </w:rPr>
        <w:softHyphen/>
        <w:t>ний. На следующий день самолет официально был принят на испытания. В период с 10 по 17 ноября был проведен «заводской отстрел пушек» и подго</w:t>
      </w:r>
      <w:r w:rsidRPr="007224C3">
        <w:rPr>
          <w:color w:val="000000" w:themeColor="text1"/>
          <w:sz w:val="16"/>
          <w:szCs w:val="16"/>
        </w:rPr>
        <w:softHyphen/>
        <w:t>товка самолета для передачи на государственные испытания. Этап государственных испытаний про</w:t>
      </w:r>
      <w:r w:rsidRPr="007224C3">
        <w:rPr>
          <w:color w:val="000000" w:themeColor="text1"/>
          <w:sz w:val="16"/>
          <w:szCs w:val="16"/>
        </w:rPr>
        <w:softHyphen/>
        <w:t>должался до 2 декабря, когда забарахлил мотор. Кроме того, при контрольном осмотре самолета обнаружилась поломка болта стыковочного узла правой плоскости крыла. По этой причине испы</w:t>
      </w:r>
      <w:r w:rsidRPr="007224C3">
        <w:rPr>
          <w:color w:val="000000" w:themeColor="text1"/>
          <w:sz w:val="16"/>
          <w:szCs w:val="16"/>
        </w:rPr>
        <w:softHyphen/>
        <w:t>тания были приостановлены. После ремонта до</w:t>
      </w:r>
      <w:r w:rsidRPr="007224C3">
        <w:rPr>
          <w:color w:val="000000" w:themeColor="text1"/>
          <w:sz w:val="16"/>
          <w:szCs w:val="16"/>
        </w:rPr>
        <w:softHyphen/>
        <w:t>полнительно отстреляли 574 снаряда — из правой пушки (№ МЛ-209) и 506 снарядов — из левой пушки (№ СТ-348). Затем обе консоли отсоединили от центроплана. По результатам осмотра «с при</w:t>
      </w:r>
      <w:r w:rsidRPr="007224C3">
        <w:rPr>
          <w:color w:val="000000" w:themeColor="text1"/>
          <w:sz w:val="16"/>
          <w:szCs w:val="16"/>
        </w:rPr>
        <w:softHyphen/>
        <w:t>страстием» стыковочных узлов был сделан вывод, что их прочность вполне «удовлетворительная без аэродинамической нагрузки». Общий настрел на каждую пушку составил свыше 2000 выстрелов.</w:t>
      </w:r>
    </w:p>
    <w:p w14:paraId="70D48579" w14:textId="77777777" w:rsidR="000D5A0D" w:rsidRPr="007224C3" w:rsidRDefault="000D5A0D"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Замер усилия отдачи пушки 111П при стрельбе показал, что «максимальное значение силы отда</w:t>
      </w:r>
      <w:r w:rsidRPr="007224C3">
        <w:rPr>
          <w:color w:val="000000" w:themeColor="text1"/>
          <w:sz w:val="16"/>
          <w:szCs w:val="16"/>
        </w:rPr>
        <w:softHyphen/>
        <w:t>чи равно 6750 кг при откате ствола 210 мм» (в ги</w:t>
      </w:r>
      <w:r w:rsidRPr="007224C3">
        <w:rPr>
          <w:color w:val="000000" w:themeColor="text1"/>
          <w:sz w:val="16"/>
          <w:szCs w:val="16"/>
        </w:rPr>
        <w:softHyphen/>
        <w:t>дротормоз пушки был залит керосин сорта «А»</w:t>
      </w:r>
      <w:r w:rsidRPr="007224C3">
        <w:rPr>
          <w:rStyle w:val="BodytextItalic"/>
          <w:i w:val="0"/>
          <w:color w:val="000000" w:themeColor="text1"/>
          <w:sz w:val="16"/>
          <w:szCs w:val="16"/>
        </w:rPr>
        <w:t>).</w:t>
      </w:r>
      <w:r w:rsidRPr="007224C3">
        <w:rPr>
          <w:color w:val="000000" w:themeColor="text1"/>
          <w:sz w:val="16"/>
          <w:szCs w:val="16"/>
        </w:rPr>
        <w:t xml:space="preserve"> В моторном варианте на самолете Як-9т отдача пушки МП-45 была определена на уровне 6975 кг (17500).</w:t>
      </w:r>
    </w:p>
    <w:p w14:paraId="24115AF6" w14:textId="77777777" w:rsidR="000D5A0D" w:rsidRPr="007224C3" w:rsidRDefault="000D5A0D" w:rsidP="007224C3">
      <w:pPr>
        <w:pStyle w:val="123"/>
        <w:shd w:val="clear" w:color="auto" w:fill="auto"/>
        <w:spacing w:after="0" w:line="240" w:lineRule="auto"/>
        <w:jc w:val="both"/>
        <w:rPr>
          <w:color w:val="000000" w:themeColor="text1"/>
          <w:sz w:val="16"/>
          <w:szCs w:val="16"/>
        </w:rPr>
      </w:pPr>
    </w:p>
    <w:p w14:paraId="3F0CACDB" w14:textId="77777777" w:rsidR="00D5495D" w:rsidRPr="007224C3" w:rsidRDefault="00D5495D"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К 7 января 1944 г. экземпляр мотора АМ-42 для Су-6 уже был изготовлен мо</w:t>
      </w:r>
      <w:r w:rsidRPr="007224C3">
        <w:rPr>
          <w:rFonts w:ascii="Times New Roman" w:hAnsi="Times New Roman"/>
          <w:color w:val="0070C0"/>
          <w:sz w:val="16"/>
          <w:szCs w:val="16"/>
        </w:rPr>
        <w:softHyphen/>
        <w:t>торным заводом, но его еще не отгрузили заводу №289.</w:t>
      </w:r>
    </w:p>
    <w:p w14:paraId="64501171" w14:textId="77777777" w:rsidR="00D5495D" w:rsidRPr="007224C3" w:rsidRDefault="00D5495D"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Вскоре после некоторой «актив</w:t>
      </w:r>
      <w:r w:rsidRPr="007224C3">
        <w:rPr>
          <w:rFonts w:ascii="Times New Roman" w:hAnsi="Times New Roman"/>
          <w:color w:val="0070C0"/>
          <w:sz w:val="16"/>
          <w:szCs w:val="16"/>
        </w:rPr>
        <w:softHyphen/>
        <w:t>ности» военных долгожданный мотор (зав. №4252) и водовоздушный радиа</w:t>
      </w:r>
      <w:r w:rsidRPr="007224C3">
        <w:rPr>
          <w:rFonts w:ascii="Times New Roman" w:hAnsi="Times New Roman"/>
          <w:color w:val="0070C0"/>
          <w:sz w:val="16"/>
          <w:szCs w:val="16"/>
        </w:rPr>
        <w:softHyphen/>
        <w:t>тор типа «606», наконец, поступили. Не</w:t>
      </w:r>
      <w:r w:rsidRPr="007224C3">
        <w:rPr>
          <w:rFonts w:ascii="Times New Roman" w:hAnsi="Times New Roman"/>
          <w:color w:val="0070C0"/>
          <w:sz w:val="16"/>
          <w:szCs w:val="16"/>
        </w:rPr>
        <w:softHyphen/>
        <w:t>замедлительно начались работы по их монтажу на самолет. На мотор устано</w:t>
      </w:r>
      <w:r w:rsidRPr="007224C3">
        <w:rPr>
          <w:rFonts w:ascii="Times New Roman" w:hAnsi="Times New Roman"/>
          <w:color w:val="0070C0"/>
          <w:sz w:val="16"/>
          <w:szCs w:val="16"/>
        </w:rPr>
        <w:softHyphen/>
        <w:t>вили четырехлопастный воздушный винт АВ-9Л-172Д диаметром 3,4 м (19853).</w:t>
      </w:r>
    </w:p>
    <w:p w14:paraId="6EBA0B9E" w14:textId="77777777" w:rsidR="00D5495D" w:rsidRPr="007224C3" w:rsidRDefault="00D5495D" w:rsidP="007224C3">
      <w:pPr>
        <w:spacing w:after="0" w:line="240" w:lineRule="auto"/>
        <w:jc w:val="both"/>
        <w:rPr>
          <w:rFonts w:ascii="Times New Roman" w:hAnsi="Times New Roman"/>
          <w:color w:val="0070C0"/>
          <w:sz w:val="16"/>
          <w:szCs w:val="16"/>
        </w:rPr>
      </w:pPr>
    </w:p>
    <w:p w14:paraId="48DB475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января 1944 А.E.Репин утвердил Акт по результатам гос. испытаний И-220 с АМ-38Ф и винтом АВ-5-Л126 (с-т конструкции М и Г производства з-да 155. Вариант И200 с высотным АМ-39. Летал П.М.Стефановский</w:t>
      </w:r>
    </w:p>
    <w:p w14:paraId="1F4CA26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Отв. исполнитель: Пом нач. 3 отд. НИИ ВВС КА и-к А.С.Розанов</w:t>
      </w:r>
    </w:p>
    <w:p w14:paraId="59FE51E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Л-к-исп. 3 отд. П П.М.Стефановский</w:t>
      </w:r>
    </w:p>
    <w:p w14:paraId="0C9915F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Цель испытаний: определить ЛТД с-та И-220 с АМ-38Ф, как промежуточного вар-та с-та И-220 с мотором АМ-39, проверить работу вооружения и спецоборудования. Дать оценку конструктивного и производственного выполнения с-та</w:t>
      </w:r>
    </w:p>
    <w:p w14:paraId="67ED432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Объект испытаний: опытный с-т И-220 проектировался с высотным мотором АМ-39 как истребитель ведения активного воздушного боя на всех высотах.С-т построен заводом в конце 1942. По приказу НКАП А.И.Ш. на с-т установлен невысотный мотор АМ-38Ф для проведения первого этапа испытаний и получения предварительных рез-тов с последующей заменой мотора АМ-38Ф на мотор АМ-39. С-т представляет собой низкоплан смешанной конструкции с убирающимся в полете шасси и хвостовым колесом. Головная часть - металлическая, хвостовая - деревянная. Центроплан металлический, консоли - деревянные с металлическим лонжероном. Шасси - оригинальной конструкции: обжатие аммортизаторов увеличивается прогрессивно углу стоянки. С-т снабжен щитками Шренк и автоматическими предкрылками по всему размаху. Хвостовое оперение однокилевое со свободнонесущим стабилизатором.Ручное управление - жесткое, ножное - троссовое. Рули высоты, поворота, элероны снабжены аэродинамической и весовой компенсацией и имеют триммеры для балансировки по всем осям. Управление посадочными щитками, уборкой и выпуском шасси и тормозами - пневматическое.На с-те предусмотрен сброс подвижной части фонаря кабины л.</w:t>
      </w:r>
    </w:p>
    <w:p w14:paraId="1437255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ВМГ. На с-те установлен серийный мотор АМ-38Ф с винтом АВ-5Л-126 диаметром 3.2 м.</w:t>
      </w:r>
    </w:p>
    <w:p w14:paraId="22A1189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Взлетная мощность мотора (разрешено применять 3:20 за 100 часов ресурса) составляет 1700 л/с при 2350 оборотах и Рк 1360 мм. Номинальная мощность у земли 1500 л/с при 2050 и Рк 1200 мм. В целях проверки лтд на режимах мотора АМ-39 на низких высотах мотору АМ-38Ф, при снятии летных характеристик, давались обороты 2150 при Рк 1180-1200 в соответствии с письмом-разрешением Зам. ГК з-да № 300 от 15 октября 1943.</w:t>
      </w:r>
    </w:p>
    <w:p w14:paraId="1939D88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Полная заправка горючего 464 л (346 кг) в одном баке мягкой конструкции типа ВИАМ-А3. Бак расположен в фюзеляже позади кабины л. Бак заполняется выхлопными газами от мотора. Кроме того, на с-те предусмотрена установка двух крыльевых баков общей емкостью 173 л (128 кг).</w:t>
      </w:r>
    </w:p>
    <w:p w14:paraId="5B33EA2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Два трубчать-пластинчатых водяных радиаторов типа ОП-429 (фронт 18,2 дм2, поверхность 32,8) расположены в носке цп в правой и левой его частях. Управление заслонками - электрическое (от УР-2) или автоматическое от автомата МТ-41.</w:t>
      </w:r>
    </w:p>
    <w:p w14:paraId="71AA24A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Сотовый м/р типа 553 (фронт 10,4, пов. 10,8) расположен в правом переднем зализе цп. Заслонка управляется вручную агрегатом УР-2.</w:t>
      </w:r>
    </w:p>
    <w:p w14:paraId="274D99C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Пушечное вооружение: На с-те в нормальном варианте вооружения установлено 2 синхронных пушки ШВАК 20мм, располагаемые под мотором с запасом патронов 150 на каждую. Перегрукзочный вариант предусматривает установку еще 2-х синхронных ШВАК над мотором с таким же б/з. Управление огнем - электропневматическое с пом. ПЭС-1 от э/кнопок на ручке управления. Стрельбу возможно вести только залпом (верхними или нижними пушками). Перезарядка пушек - пневматическая. На земле имеется механическая перезарядка. Гильзы и звенья выбрасываются наружу.</w:t>
      </w:r>
    </w:p>
    <w:p w14:paraId="671213A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Бомбовое вооружение - с-т оборудован 2-мя балками для подвески по одной 100 кг бомбе. Управление троссовое или механическое АСИ-140 от кнопки на ручке. Прицел ПБП-1А (для стрельбы и бомбометания с пикирования).</w:t>
      </w:r>
    </w:p>
    <w:p w14:paraId="3B89DB9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Чпецоборудование с-т тмеет обычное для истребителя пилотажно-навигационное оборудование и оборудования контроля ВМГ. Особенностью является наличие автоматического электрорегулирования температуры воды (АРТ-41).</w:t>
      </w:r>
    </w:p>
    <w:p w14:paraId="32BB1B5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Электрооборудование выполнено по однопроводной схеме с частичной электроизоляцией (зажигание мотора и проводка от генератора к щитку).</w:t>
      </w:r>
    </w:p>
    <w:p w14:paraId="4F146B0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Источник тока - генератор ГС-350 и аккумуляторная батарея А2А-10. Система защиты централизована (на электрощитке в кабине пилота) и осуществляется плавкими вставками.</w:t>
      </w:r>
    </w:p>
    <w:p w14:paraId="5D5B2C5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ночных полетов установлены фары ФС-150 и ВНО. Освещение приборов в кабине двумя кабинными лампами и двумя лампами УФО</w:t>
      </w:r>
    </w:p>
    <w:p w14:paraId="0DC0A09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Имеется электрообогрев трубки Пито и часов.</w:t>
      </w:r>
    </w:p>
    <w:p w14:paraId="31DD369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Средства радиосвязи состоят из приемо-передатчика РСИ-4, установленной в хвостовой части фюзеляжа. Управление р/п дистанционное при помощи гибкого валика конструкции НИСО НКАП. Включение р/п в полете осуществляется кнопкой на сектиоре газа.</w:t>
      </w:r>
    </w:p>
    <w:p w14:paraId="0E841D1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Антенна наружная однолучевая. (без мачты), протянутая от киля к штырю, расположенному за кабиной.</w:t>
      </w:r>
    </w:p>
    <w:p w14:paraId="7D5DCEB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Кислородное оборудование состоит из прибора КПА-3бис и 4-х литрового баллона, а также штуцера бортовой заправки.</w:t>
      </w:r>
    </w:p>
    <w:p w14:paraId="12CFC22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Вспомогательное оборудование - сигнальный пистолет КП-3 на 6 шпангоуте и малая аптечка</w:t>
      </w:r>
    </w:p>
    <w:p w14:paraId="4759430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Бронирование: бронеспинка 8 мм и бронезаголовник 13 мм</w:t>
      </w:r>
    </w:p>
    <w:p w14:paraId="466DB8C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Сккорострельность пушки ШВАК 757 выст/м Продолжительность непрерывной стрельбы 11,4 с. Вес секундного залпа 2-х пушек - 2,518 кг. Вес снаряда - 96 г.</w:t>
      </w:r>
    </w:p>
    <w:p w14:paraId="7A56F54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Испытания начаты 23 октября 1943 и закончены 2 января 1944. Выполнен 31 полет с налетом 31:11</w:t>
      </w:r>
    </w:p>
    <w:p w14:paraId="750C5AB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Результаты испытаний:</w:t>
      </w:r>
    </w:p>
    <w:p w14:paraId="7601FC7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 пустого 2936, центровка при выпущенных шасси 14,6, капотажный угол 23:35</w:t>
      </w:r>
    </w:p>
    <w:p w14:paraId="453F728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Нормальный полетный - 3574 - 23,6 - 29:25</w:t>
      </w:r>
    </w:p>
    <w:p w14:paraId="2E19139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Перегрузочный - 3720 - 23,2 28:3</w:t>
      </w:r>
    </w:p>
    <w:p w14:paraId="13112EF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Нормальная нагрузка:</w:t>
      </w:r>
    </w:p>
    <w:p w14:paraId="1543B2E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Экипаж - 90</w:t>
      </w:r>
    </w:p>
    <w:p w14:paraId="6132A3A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Горючее (уд. Вес 0,745) 346</w:t>
      </w:r>
    </w:p>
    <w:p w14:paraId="6EBD1AC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Масло - 40</w:t>
      </w:r>
    </w:p>
    <w:p w14:paraId="67BA223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Вооружение - 78</w:t>
      </w:r>
    </w:p>
    <w:p w14:paraId="6ABF2F4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б/з - 68</w:t>
      </w:r>
    </w:p>
    <w:p w14:paraId="4385C9C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Оборудование - 16 (рация, кислородный баллон)</w:t>
      </w:r>
    </w:p>
    <w:p w14:paraId="7E9BA5D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 638</w:t>
      </w:r>
    </w:p>
    <w:p w14:paraId="343650A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Доп. Нагрузка - 2хШВАК - 78, б/з - 68, всего 146 кг</w:t>
      </w:r>
    </w:p>
    <w:p w14:paraId="22C0A97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 скорость у земли 572 (при 2150 Рк 1180 или 608 при форсаже (2350 Рк 1350</w:t>
      </w:r>
    </w:p>
    <w:p w14:paraId="5432778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Максю. Скорость на гр. высотности 2600 - 622 и 652</w:t>
      </w:r>
    </w:p>
    <w:p w14:paraId="2F1F3C9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Скороподъемность не определялась ввиду того, что для уборки шасси требовалось уменьшить скорость набора высоты до 220 км/час по приборами создавать отрицательную перегрузку - делать клевок.</w:t>
      </w:r>
    </w:p>
    <w:p w14:paraId="5C647DE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Разбег - 295, скорость отрыва 160, взлетная дистанция 920</w:t>
      </w:r>
    </w:p>
    <w:p w14:paraId="163F6D0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Пробег 445, скорость посадочная 130, дистанция 960 по бетону</w:t>
      </w:r>
    </w:p>
    <w:p w14:paraId="1A46520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Маневр 1000 м вращение одинарное - левый на 350-340 - 19</w:t>
      </w:r>
    </w:p>
    <w:p w14:paraId="16C6928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правый на 350-340 - 20</w:t>
      </w:r>
    </w:p>
    <w:p w14:paraId="5AEFAAF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Набор высоты за боевой разворот - 1000 м с 500</w:t>
      </w:r>
    </w:p>
    <w:p w14:paraId="377EBDD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Дальность двухсторонней радиосвязи с р/с 11-К на 1000 м - до 25 км, на 2000 - до 20 км</w:t>
      </w:r>
    </w:p>
    <w:p w14:paraId="1445C17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Летчики облета - Стефановский, Кочетков, Хоияков, Кубышкин - дали положительную оценку. Хорошие лтд, мощное ворружение, прост в пилотировании.</w:t>
      </w:r>
    </w:p>
    <w:p w14:paraId="531BBC5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форсеже имеет преимущества перед Ме-109 -G2 до 5000 м. С-т желательно иметь на вооружении ВВС КА</w:t>
      </w:r>
    </w:p>
    <w:p w14:paraId="6A14FB5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Эксплуатационная оценка - ст т-исп. 3 отд. НИИ ВВС КА безбаш от 5 января - в целом эксплуатация не сложнее эксплуатации истребителей, состоящих на вооружении ВВС</w:t>
      </w:r>
    </w:p>
    <w:p w14:paraId="41FC33F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Выводы:</w:t>
      </w:r>
    </w:p>
    <w:p w14:paraId="03627D6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Основные дефекты:</w:t>
      </w:r>
    </w:p>
    <w:p w14:paraId="74707BE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наличие несильного бафтинга хвостового оперения при парашютировании</w:t>
      </w:r>
    </w:p>
    <w:p w14:paraId="1A4E375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 потеря эффективности РВ на посадке, усложняет исправление грубой посадки </w:t>
      </w:r>
    </w:p>
    <w:p w14:paraId="45ACF59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неудовлетворительный обзор задней и средней п/с и искажения козырька прри обзоре вперед</w:t>
      </w:r>
    </w:p>
    <w:p w14:paraId="17559F0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малый радиус действия</w:t>
      </w:r>
    </w:p>
    <w:p w14:paraId="4AC2CA3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большая нагрузка на колеса для размера 650х200</w:t>
      </w:r>
    </w:p>
    <w:p w14:paraId="2DD3EDA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недорустимо большая девиация магнитного компаса, что усложняет ориентирование.</w:t>
      </w:r>
    </w:p>
    <w:p w14:paraId="365010E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Подписали 5 января Кочетков и Хомяков.</w:t>
      </w:r>
    </w:p>
    <w:p w14:paraId="38A6535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Заключение:</w:t>
      </w:r>
    </w:p>
    <w:p w14:paraId="5FD7815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установке на с-т мотора АМ-39 и АМ-39ТК с-т И-220 может быть успешно использован в качестве высотного истребителя, т.к. по данным заводских испытаний имеет преимущества в максимальной скорости по сравнению с Ла-5ФН и ЯК-3ПФ с высот 5000-6000 м и по сравнению с Як-3 107А с высот 7000-75000 м</w:t>
      </w:r>
    </w:p>
    <w:p w14:paraId="698935C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Такой с-т как специальный тип крайне необходим ВВС</w:t>
      </w:r>
    </w:p>
    <w:p w14:paraId="4FDFF67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Просить НКАП т. А.И.Ш. дать указания об ускорении доводки АМ-39 по предъявлению с-та И-220 с этим мотором на ГИ. От 1 января 1944 (766,5).</w:t>
      </w:r>
    </w:p>
    <w:p w14:paraId="5DFF2CC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65268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января 1944 года прошел государственные испытания в НИИ ВВС опытный самолет-истребитель Миг конструкции Микояна и Гуревича с мотором АМ-38Ф, построенный на опытном заводе Микояна (1825,214).</w:t>
      </w:r>
    </w:p>
    <w:p w14:paraId="408311C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4D12B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января 1944 года П. Дементьев писал в ЦК ВКП(б) Григорьяну Г.М.</w:t>
      </w:r>
    </w:p>
    <w:p w14:paraId="4AD4157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Прошу включить в проект постановления по обеспечению в I квартале 1944 года “Материально-технического снабжения НКАП” пункт:</w:t>
      </w:r>
    </w:p>
    <w:p w14:paraId="4548D43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Специализировать завод № 218 НКАП в Ленинграде на производстве тепловых приборов (перевод производства тепловых приборов с завода № 149 на завод № 218) (8925).</w:t>
      </w:r>
    </w:p>
    <w:p w14:paraId="1603301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585C2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января 1944 закончились повторные испытания Бостона с РЛС, которые шли с 16 декабря 1943. Станция испытывалась при работе на высотах от 50 до 3000 м. С увеличением высоты полета заметно понижалось влияние паразитных помех, возникавших за счет отражения от поверхности моря, что положительно сказалось на основных показателях. Теперь дальность обнаружения 1000-тонного корабля определили в 25 км, 60-тонного катера - в 8-10 км, а ширину просматриваемой полосы - в 20 км.</w:t>
      </w:r>
    </w:p>
    <w:p w14:paraId="3FD381A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Официального приказа о проведении войсковых испытаний обнаружить не удалось, но они. несомненно, проводились на базе 1-го гмтап ВВС КБФ. По отчету ВВС КБФ за войну, первый комплект "Гнейс-2" появился на флоте в январе 1944 г. Торпедоносец А-20, пилотируемый самим командиром полка И.И. Борзовым. в ночь на 7.4.1944 в крейсерском полете в Рижский залив сумел обнаружить и потопить (по донесению) вражеский танкер в 12 000 т. Конвой противника был обнаружен сначала при помощи РЛС, а затем визуально на лунной дорожке, что и позволило осуществить атаку. 15 октября того же года тот же экипаж, по-видимому, на том же самолете продемонстрировал возможность успешного применения станции днем в сложных метеоусловиях (облачность 10 баллов, высота нижней кромки - 50-100 м, видимость от 100 до 500 м). Тем не менее, широкого распространения эти станции не получили - видимо, сказывались трудности с промышленным освоением, а также надежды, связанные с разработкой новой, более совершенной станции "Гнейс-5". К этому надо добавить, что даже те станции, которые имелись, в частях практически не использовались. Так, ни одна другая, кроме двух вышеописанных атак Борзова в 1944 г., не проводилась с использованием РЛС. Летчик 5-го гмтап ВВС ЧФ лейтенант В.И. Минаков перед ночным вылетом на "охоту" 8.6.1944 на Ил-4 распорядился снять с самолета антенну станции, чтобы она не создавала лишних проблем. Все это говорит о том, что, помимо конструирования и производства нового оружия и технических средств, командование должно еще распорядиться и о переподготовке летного состава. Кстати, и самому командованию необходимо ознакомиться с новой аппаратурой, чтобы представлять ее боевые возможности и особенности применения. Ведь если оно не будет ставить задачи летчикам с упором на использование возможностей новой техники, те так и будут воевать по старинке (12002).</w:t>
      </w:r>
    </w:p>
    <w:p w14:paraId="3020F24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7AFC54A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7 января по 20 мая 1944 проходили наземные и летные испытания моторизованного аэростата “Малыш”</w:t>
      </w:r>
    </w:p>
    <w:p w14:paraId="3D478A7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 Т Ч Е ТО НАЗЕМНЫХ И ЛЕТНЫХ ИСПЫТАНИЯХ МОТОРИЗОВАННОГО АЭРОСТАТА “МАЛЫШ”</w:t>
      </w:r>
    </w:p>
    <w:p w14:paraId="7C97D94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января – 20 мая 1944 года/</w:t>
      </w:r>
    </w:p>
    <w:p w14:paraId="6878A2F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Специфичность работы воздухоплавательных отрядов иногда требует частой перебазировки аэростата при непродолжительной его работе в данном месте.</w:t>
      </w:r>
    </w:p>
    <w:p w14:paraId="77117DF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Это вызывает необходимость проведения весьма трудоемких работ, связанных с разоружением аэростата, выпуском /потерей/ газа, быстрым износом материальной части и транспортными перевозками по неудобным проселочным дорогам.</w:t>
      </w:r>
    </w:p>
    <w:p w14:paraId="751AD74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данном случае моторизованный аэростат полностью решает проблему быстрой перебазировки отрядов при исключительно эффективном использовании аэростата по его боевой работе с частями Воздушно-Десантных Войск Красной Армии.</w:t>
      </w:r>
    </w:p>
    <w:p w14:paraId="21C0C72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Силами 1-го Отдельного Воздухоплавательного Дивизиона ВДВ КА был спроектирован, построен и успешно прошел наземные и летные испытания моторизованный аэростат “МАЛЫШ” объемом 1030 куб. метров, особенность которого заключается в максимальном использовании типовых конструкций аэростата типа БД и фюзеляжа самолета У-2.</w:t>
      </w:r>
    </w:p>
    <w:p w14:paraId="7BA43A3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Последнее позволяет довольно просто организовать постройку серии моторизованных аэростатов при минимальных затратах производственных средств и рабочей силы.</w:t>
      </w:r>
    </w:p>
    <w:p w14:paraId="665957A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Наличие моторизованного аэростата в системе ВДВ КА позволяет быстрое перебазирование воздухоплавательного отряда без разоружения аэростата и потери газа.</w:t>
      </w:r>
    </w:p>
    <w:p w14:paraId="0C8439E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тех пунктах, где требуется эпизодическое обслуживание относительно незначительного количества парашютистов /1000-1200 чел./, работа воздухоплавательного отряда заключается в следующем: Аэростат “МАЛЫШ” прилетает к месту работы, куда одновременно приходит автолебедка с обслуживающей командой, и, проработав 2-3 дня, улетает обратно на базу.</w:t>
      </w:r>
    </w:p>
    <w:p w14:paraId="47ACED3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Превращение аэростата из привязного состояния в моторизованный занимает не более 20-30 минут.</w:t>
      </w:r>
    </w:p>
    <w:p w14:paraId="501427B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Вся работа по эксплуатации моторизованного аэростата упрощает организацию бивачной службы и полностью устраняет потерю газа и транспортные перевозки при перебазировках отряда</w:t>
      </w:r>
    </w:p>
    <w:p w14:paraId="3044C38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Моторизованный аэростат может быть использован с успехом в воздухоплавательных частях Артиллерии Красной Армии и Военно-Морского Флота, а также по разведке проходов во льдах при проводке судов в Арктике.</w:t>
      </w:r>
    </w:p>
    <w:p w14:paraId="590D7A9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ТЕХНИЧЕСКОЕ ОПИСАНИЕ</w:t>
      </w:r>
    </w:p>
    <w:p w14:paraId="7524D25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моторизованного аэростата “МАЛЫШ”</w:t>
      </w:r>
    </w:p>
    <w:p w14:paraId="20A530A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Моторизованный аэростат “МАЛЫШ” /по конструкторскому бюро имеет индекс “Н”/ представляет собой мягкий аэростат, спроектированный и построенный на базе типового аэростата “БД”, в оболочку которого внесены следующие изменения:</w:t>
      </w:r>
    </w:p>
    <w:p w14:paraId="7C47B481" w14:textId="77777777" w:rsidR="003712D9" w:rsidRPr="007224C3" w:rsidRDefault="003712D9" w:rsidP="007224C3">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Вклеен баллонет; </w:t>
      </w:r>
    </w:p>
    <w:p w14:paraId="65E4AA27" w14:textId="77777777" w:rsidR="003712D9" w:rsidRPr="007224C3" w:rsidRDefault="003712D9" w:rsidP="007224C3">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Изменена стягивающая система; </w:t>
      </w:r>
    </w:p>
    <w:p w14:paraId="10608C96" w14:textId="77777777" w:rsidR="003712D9" w:rsidRPr="007224C3" w:rsidRDefault="003712D9" w:rsidP="007224C3">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Поставлено жесткое оперение; </w:t>
      </w:r>
    </w:p>
    <w:p w14:paraId="62FE17FA" w14:textId="77777777" w:rsidR="003712D9" w:rsidRPr="007224C3" w:rsidRDefault="003712D9" w:rsidP="007224C3">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Изменена подвеска. </w:t>
      </w:r>
    </w:p>
    <w:p w14:paraId="48EAC89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Конструкция аэростата весьма проста и дешева в изготовлении. Все агрегаты, за исключением оперения, берутся готовыми и подвергаются лишь некоторым конструктивным изменениям. Это позволяет легко реализовывать серийную постройку аэростатов “МАЛЫШ” на базе стандартного аэростата “БД” и фюзеляжей самолетов У-2.</w:t>
      </w:r>
    </w:p>
    <w:p w14:paraId="721DD22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I. ОБЩИЕ ДАННЫЕ АЭРОСТАТА</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6926"/>
        <w:gridCol w:w="2433"/>
      </w:tblGrid>
      <w:tr w:rsidR="006331D6" w:rsidRPr="007224C3" w14:paraId="33230F0D" w14:textId="77777777">
        <w:tc>
          <w:tcPr>
            <w:tcW w:w="6926" w:type="dxa"/>
            <w:tcBorders>
              <w:top w:val="single" w:sz="12" w:space="0" w:color="auto"/>
            </w:tcBorders>
          </w:tcPr>
          <w:p w14:paraId="7D13C35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Газовый объем</w:t>
            </w:r>
          </w:p>
        </w:tc>
        <w:tc>
          <w:tcPr>
            <w:tcW w:w="2433" w:type="dxa"/>
            <w:tcBorders>
              <w:top w:val="single" w:sz="12" w:space="0" w:color="auto"/>
            </w:tcBorders>
          </w:tcPr>
          <w:p w14:paraId="7A3A8C3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U</w:t>
            </w:r>
            <w:r w:rsidRPr="007224C3">
              <w:rPr>
                <w:rFonts w:ascii="Times New Roman" w:hAnsi="Times New Roman"/>
                <w:color w:val="000000" w:themeColor="text1"/>
                <w:sz w:val="16"/>
                <w:szCs w:val="16"/>
                <w:vertAlign w:val="subscript"/>
              </w:rPr>
              <w:t>г</w:t>
            </w:r>
            <w:r w:rsidRPr="007224C3">
              <w:rPr>
                <w:rFonts w:ascii="Times New Roman" w:hAnsi="Times New Roman"/>
                <w:color w:val="000000" w:themeColor="text1"/>
                <w:sz w:val="16"/>
                <w:szCs w:val="16"/>
              </w:rPr>
              <w:t xml:space="preserve"> = 1030 м</w:t>
            </w:r>
            <w:r w:rsidRPr="007224C3">
              <w:rPr>
                <w:rFonts w:ascii="Times New Roman" w:hAnsi="Times New Roman"/>
                <w:color w:val="000000" w:themeColor="text1"/>
                <w:sz w:val="16"/>
                <w:szCs w:val="16"/>
                <w:vertAlign w:val="superscript"/>
              </w:rPr>
              <w:t>3</w:t>
            </w:r>
          </w:p>
        </w:tc>
      </w:tr>
      <w:tr w:rsidR="006331D6" w:rsidRPr="007224C3" w14:paraId="4B7FB70D" w14:textId="77777777">
        <w:tc>
          <w:tcPr>
            <w:tcW w:w="6926" w:type="dxa"/>
          </w:tcPr>
          <w:p w14:paraId="6305282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Длина</w:t>
            </w:r>
          </w:p>
        </w:tc>
        <w:tc>
          <w:tcPr>
            <w:tcW w:w="2433" w:type="dxa"/>
          </w:tcPr>
          <w:p w14:paraId="57E3715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L = 30 м</w:t>
            </w:r>
          </w:p>
        </w:tc>
      </w:tr>
      <w:tr w:rsidR="006331D6" w:rsidRPr="007224C3" w14:paraId="6B240295" w14:textId="77777777">
        <w:tc>
          <w:tcPr>
            <w:tcW w:w="6926" w:type="dxa"/>
          </w:tcPr>
          <w:p w14:paraId="7D9E3A2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Диаметр в миделе</w:t>
            </w:r>
          </w:p>
        </w:tc>
        <w:tc>
          <w:tcPr>
            <w:tcW w:w="2433" w:type="dxa"/>
          </w:tcPr>
          <w:p w14:paraId="3A29A82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w:t>
            </w:r>
            <w:r w:rsidRPr="007224C3">
              <w:rPr>
                <w:rFonts w:ascii="Times New Roman" w:hAnsi="Times New Roman"/>
                <w:color w:val="000000" w:themeColor="text1"/>
                <w:sz w:val="16"/>
                <w:szCs w:val="16"/>
                <w:vertAlign w:val="subscript"/>
              </w:rPr>
              <w:t>м</w:t>
            </w:r>
            <w:r w:rsidRPr="007224C3">
              <w:rPr>
                <w:rFonts w:ascii="Times New Roman" w:hAnsi="Times New Roman"/>
                <w:color w:val="000000" w:themeColor="text1"/>
                <w:sz w:val="16"/>
                <w:szCs w:val="16"/>
              </w:rPr>
              <w:t xml:space="preserve"> = 8,62 м</w:t>
            </w:r>
          </w:p>
        </w:tc>
      </w:tr>
      <w:tr w:rsidR="006331D6" w:rsidRPr="007224C3" w14:paraId="7D233D01" w14:textId="77777777">
        <w:tc>
          <w:tcPr>
            <w:tcW w:w="6926" w:type="dxa"/>
          </w:tcPr>
          <w:p w14:paraId="5F83ECF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Удлинение</w:t>
            </w:r>
          </w:p>
        </w:tc>
        <w:tc>
          <w:tcPr>
            <w:tcW w:w="2433" w:type="dxa"/>
          </w:tcPr>
          <w:p w14:paraId="63277E4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 3,48</w:t>
            </w:r>
          </w:p>
        </w:tc>
      </w:tr>
      <w:tr w:rsidR="006331D6" w:rsidRPr="007224C3" w14:paraId="4B6BE6F0" w14:textId="77777777">
        <w:tc>
          <w:tcPr>
            <w:tcW w:w="6926" w:type="dxa"/>
          </w:tcPr>
          <w:p w14:paraId="4BE854C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Поверхность оболочки</w:t>
            </w:r>
          </w:p>
        </w:tc>
        <w:tc>
          <w:tcPr>
            <w:tcW w:w="2433" w:type="dxa"/>
          </w:tcPr>
          <w:p w14:paraId="2B0A765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S</w:t>
            </w:r>
            <w:r w:rsidRPr="007224C3">
              <w:rPr>
                <w:rFonts w:ascii="Times New Roman" w:hAnsi="Times New Roman"/>
                <w:color w:val="000000" w:themeColor="text1"/>
                <w:sz w:val="16"/>
                <w:szCs w:val="16"/>
                <w:vertAlign w:val="subscript"/>
              </w:rPr>
              <w:t>б</w:t>
            </w:r>
            <w:r w:rsidRPr="007224C3">
              <w:rPr>
                <w:rFonts w:ascii="Times New Roman" w:hAnsi="Times New Roman"/>
                <w:color w:val="000000" w:themeColor="text1"/>
                <w:sz w:val="16"/>
                <w:szCs w:val="16"/>
              </w:rPr>
              <w:t xml:space="preserve"> = 605 м</w:t>
            </w:r>
            <w:r w:rsidRPr="007224C3">
              <w:rPr>
                <w:rFonts w:ascii="Times New Roman" w:hAnsi="Times New Roman"/>
                <w:color w:val="000000" w:themeColor="text1"/>
                <w:sz w:val="16"/>
                <w:szCs w:val="16"/>
                <w:vertAlign w:val="superscript"/>
              </w:rPr>
              <w:t>2</w:t>
            </w:r>
          </w:p>
        </w:tc>
      </w:tr>
      <w:tr w:rsidR="006331D6" w:rsidRPr="007224C3" w14:paraId="76013D0F" w14:textId="77777777">
        <w:tc>
          <w:tcPr>
            <w:tcW w:w="6926" w:type="dxa"/>
          </w:tcPr>
          <w:p w14:paraId="0587698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Объем баллонета</w:t>
            </w:r>
          </w:p>
        </w:tc>
        <w:tc>
          <w:tcPr>
            <w:tcW w:w="2433" w:type="dxa"/>
          </w:tcPr>
          <w:p w14:paraId="36E7CF1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U</w:t>
            </w:r>
            <w:r w:rsidRPr="007224C3">
              <w:rPr>
                <w:rFonts w:ascii="Times New Roman" w:hAnsi="Times New Roman"/>
                <w:color w:val="000000" w:themeColor="text1"/>
                <w:sz w:val="16"/>
                <w:szCs w:val="16"/>
                <w:vertAlign w:val="subscript"/>
              </w:rPr>
              <w:t xml:space="preserve">б </w:t>
            </w:r>
            <w:r w:rsidRPr="007224C3">
              <w:rPr>
                <w:rFonts w:ascii="Times New Roman" w:hAnsi="Times New Roman"/>
                <w:color w:val="000000" w:themeColor="text1"/>
                <w:sz w:val="16"/>
                <w:szCs w:val="16"/>
              </w:rPr>
              <w:t>= 110 м</w:t>
            </w:r>
            <w:r w:rsidRPr="007224C3">
              <w:rPr>
                <w:rFonts w:ascii="Times New Roman" w:hAnsi="Times New Roman"/>
                <w:color w:val="000000" w:themeColor="text1"/>
                <w:sz w:val="16"/>
                <w:szCs w:val="16"/>
                <w:vertAlign w:val="superscript"/>
              </w:rPr>
              <w:t>2</w:t>
            </w:r>
          </w:p>
        </w:tc>
      </w:tr>
      <w:tr w:rsidR="006331D6" w:rsidRPr="007224C3" w14:paraId="5B26A963" w14:textId="77777777">
        <w:tc>
          <w:tcPr>
            <w:tcW w:w="6926" w:type="dxa"/>
          </w:tcPr>
          <w:p w14:paraId="28906B2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Площадь оперения:</w:t>
            </w:r>
          </w:p>
        </w:tc>
        <w:tc>
          <w:tcPr>
            <w:tcW w:w="2433" w:type="dxa"/>
          </w:tcPr>
          <w:p w14:paraId="476A7C1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55981B86" w14:textId="77777777">
        <w:tc>
          <w:tcPr>
            <w:tcW w:w="6926" w:type="dxa"/>
          </w:tcPr>
          <w:p w14:paraId="753D158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бокового</w:t>
            </w:r>
          </w:p>
        </w:tc>
        <w:tc>
          <w:tcPr>
            <w:tcW w:w="2433" w:type="dxa"/>
          </w:tcPr>
          <w:p w14:paraId="4370B33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х 14,875 = 29,75 м</w:t>
            </w:r>
            <w:r w:rsidRPr="007224C3">
              <w:rPr>
                <w:rFonts w:ascii="Times New Roman" w:hAnsi="Times New Roman"/>
                <w:color w:val="000000" w:themeColor="text1"/>
                <w:sz w:val="16"/>
                <w:szCs w:val="16"/>
                <w:vertAlign w:val="superscript"/>
              </w:rPr>
              <w:t>2</w:t>
            </w:r>
          </w:p>
        </w:tc>
      </w:tr>
      <w:tr w:rsidR="006331D6" w:rsidRPr="007224C3" w14:paraId="08321CC9" w14:textId="77777777">
        <w:tc>
          <w:tcPr>
            <w:tcW w:w="6926" w:type="dxa"/>
            <w:tcBorders>
              <w:bottom w:val="single" w:sz="12" w:space="0" w:color="auto"/>
            </w:tcBorders>
          </w:tcPr>
          <w:p w14:paraId="4764B5A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вертикального</w:t>
            </w:r>
          </w:p>
        </w:tc>
        <w:tc>
          <w:tcPr>
            <w:tcW w:w="2433" w:type="dxa"/>
            <w:tcBorders>
              <w:bottom w:val="single" w:sz="12" w:space="0" w:color="auto"/>
            </w:tcBorders>
          </w:tcPr>
          <w:p w14:paraId="7D99969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14,875 м</w:t>
            </w:r>
            <w:r w:rsidRPr="007224C3">
              <w:rPr>
                <w:rFonts w:ascii="Times New Roman" w:hAnsi="Times New Roman"/>
                <w:color w:val="000000" w:themeColor="text1"/>
                <w:sz w:val="16"/>
                <w:szCs w:val="16"/>
                <w:vertAlign w:val="superscript"/>
              </w:rPr>
              <w:t>2</w:t>
            </w:r>
          </w:p>
        </w:tc>
      </w:tr>
    </w:tbl>
    <w:p w14:paraId="0586F1E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II. ВИНТОМОТОРНАЯ ГРУППА</w:t>
      </w:r>
    </w:p>
    <w:p w14:paraId="24FB358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Мотор М 11 д – воздушного охлаждения.</w:t>
      </w:r>
    </w:p>
    <w:p w14:paraId="5441A3F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Максимальная мощность N</w:t>
      </w:r>
      <w:r w:rsidRPr="007224C3">
        <w:rPr>
          <w:rFonts w:ascii="Times New Roman" w:hAnsi="Times New Roman"/>
          <w:color w:val="000000" w:themeColor="text1"/>
          <w:sz w:val="16"/>
          <w:szCs w:val="16"/>
          <w:vertAlign w:val="subscript"/>
        </w:rPr>
        <w:t>max</w:t>
      </w:r>
      <w:r w:rsidRPr="007224C3">
        <w:rPr>
          <w:rFonts w:ascii="Times New Roman" w:hAnsi="Times New Roman"/>
          <w:color w:val="000000" w:themeColor="text1"/>
          <w:sz w:val="16"/>
          <w:szCs w:val="16"/>
        </w:rPr>
        <w:t xml:space="preserve"> = 126 л.с. при n = 1760 об.м.</w:t>
      </w:r>
    </w:p>
    <w:p w14:paraId="753BCA0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Номинальная мощность N</w:t>
      </w:r>
      <w:r w:rsidRPr="007224C3">
        <w:rPr>
          <w:rFonts w:ascii="Times New Roman" w:hAnsi="Times New Roman"/>
          <w:color w:val="000000" w:themeColor="text1"/>
          <w:sz w:val="16"/>
          <w:szCs w:val="16"/>
          <w:vertAlign w:val="subscript"/>
        </w:rPr>
        <w:t>ном</w:t>
      </w:r>
      <w:r w:rsidRPr="007224C3">
        <w:rPr>
          <w:rFonts w:ascii="Times New Roman" w:hAnsi="Times New Roman"/>
          <w:color w:val="000000" w:themeColor="text1"/>
          <w:sz w:val="16"/>
          <w:szCs w:val="16"/>
        </w:rPr>
        <w:t xml:space="preserve"> = 115л.с. при n = 1700 об.м.</w:t>
      </w:r>
    </w:p>
    <w:p w14:paraId="11C1D76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Эксплуатационная мощность N</w:t>
      </w:r>
      <w:r w:rsidRPr="007224C3">
        <w:rPr>
          <w:rFonts w:ascii="Times New Roman" w:hAnsi="Times New Roman"/>
          <w:color w:val="000000" w:themeColor="text1"/>
          <w:sz w:val="16"/>
          <w:szCs w:val="16"/>
          <w:vertAlign w:val="subscript"/>
        </w:rPr>
        <w:t>экс</w:t>
      </w:r>
      <w:r w:rsidRPr="007224C3">
        <w:rPr>
          <w:rFonts w:ascii="Times New Roman" w:hAnsi="Times New Roman"/>
          <w:color w:val="000000" w:themeColor="text1"/>
          <w:sz w:val="16"/>
          <w:szCs w:val="16"/>
        </w:rPr>
        <w:t xml:space="preserve"> = 103л.с. при n = 1640 об.м.</w:t>
      </w:r>
    </w:p>
    <w:p w14:paraId="5470EC5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Винт, тянущий от У-2 диаметр Д = 2,4 м, шаг Н = 1,62 м</w:t>
      </w:r>
    </w:p>
    <w:p w14:paraId="0B28D89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Система питания – самотеком.</w:t>
      </w:r>
    </w:p>
    <w:p w14:paraId="39092DA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III. ЛЕТНО-ЭКСПЛУАТАЦИОННЫЕ ХАРАКТЕРИСТИКИ</w:t>
      </w:r>
    </w:p>
    <w:p w14:paraId="30287C7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/пересчитанные для стенд. условий/</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6926"/>
        <w:gridCol w:w="2433"/>
      </w:tblGrid>
      <w:tr w:rsidR="006331D6" w:rsidRPr="007224C3" w14:paraId="78F47B8E" w14:textId="77777777">
        <w:tc>
          <w:tcPr>
            <w:tcW w:w="6926" w:type="dxa"/>
            <w:tcBorders>
              <w:top w:val="single" w:sz="12" w:space="0" w:color="auto"/>
            </w:tcBorders>
          </w:tcPr>
          <w:p w14:paraId="1C3BA83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Максимальная скорость на номин. режиме мотора V</w:t>
            </w:r>
            <w:r w:rsidRPr="007224C3">
              <w:rPr>
                <w:rFonts w:ascii="Times New Roman" w:hAnsi="Times New Roman"/>
                <w:color w:val="000000" w:themeColor="text1"/>
                <w:sz w:val="16"/>
                <w:szCs w:val="16"/>
                <w:vertAlign w:val="subscript"/>
              </w:rPr>
              <w:t>max</w:t>
            </w:r>
            <w:r w:rsidRPr="007224C3">
              <w:rPr>
                <w:rFonts w:ascii="Times New Roman" w:hAnsi="Times New Roman"/>
                <w:color w:val="000000" w:themeColor="text1"/>
                <w:sz w:val="16"/>
                <w:szCs w:val="16"/>
              </w:rPr>
              <w:t xml:space="preserve"> = 80 км/ч</w:t>
            </w:r>
          </w:p>
        </w:tc>
        <w:tc>
          <w:tcPr>
            <w:tcW w:w="2433" w:type="dxa"/>
            <w:tcBorders>
              <w:top w:val="single" w:sz="12" w:space="0" w:color="auto"/>
            </w:tcBorders>
          </w:tcPr>
          <w:p w14:paraId="37B013C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N</w:t>
            </w:r>
            <w:r w:rsidRPr="007224C3">
              <w:rPr>
                <w:rFonts w:ascii="Times New Roman" w:hAnsi="Times New Roman"/>
                <w:color w:val="000000" w:themeColor="text1"/>
                <w:sz w:val="16"/>
                <w:szCs w:val="16"/>
                <w:vertAlign w:val="subscript"/>
              </w:rPr>
              <w:t>max</w:t>
            </w:r>
            <w:r w:rsidRPr="007224C3">
              <w:rPr>
                <w:rFonts w:ascii="Times New Roman" w:hAnsi="Times New Roman"/>
                <w:color w:val="000000" w:themeColor="text1"/>
                <w:sz w:val="16"/>
                <w:szCs w:val="16"/>
              </w:rPr>
              <w:t xml:space="preserve"> = 1550 об.мин.</w:t>
            </w:r>
          </w:p>
        </w:tc>
      </w:tr>
      <w:tr w:rsidR="006331D6" w:rsidRPr="007224C3" w14:paraId="519B803F" w14:textId="77777777">
        <w:tc>
          <w:tcPr>
            <w:tcW w:w="6926" w:type="dxa"/>
          </w:tcPr>
          <w:p w14:paraId="5634FFD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Крейсерская скорость V</w:t>
            </w:r>
            <w:r w:rsidRPr="007224C3">
              <w:rPr>
                <w:rFonts w:ascii="Times New Roman" w:hAnsi="Times New Roman"/>
                <w:color w:val="000000" w:themeColor="text1"/>
                <w:sz w:val="16"/>
                <w:szCs w:val="16"/>
                <w:vertAlign w:val="subscript"/>
              </w:rPr>
              <w:t>кр</w:t>
            </w:r>
            <w:r w:rsidRPr="007224C3">
              <w:rPr>
                <w:rFonts w:ascii="Times New Roman" w:hAnsi="Times New Roman"/>
                <w:color w:val="000000" w:themeColor="text1"/>
                <w:sz w:val="16"/>
                <w:szCs w:val="16"/>
              </w:rPr>
              <w:t xml:space="preserve"> = 73 км/ч</w:t>
            </w:r>
          </w:p>
        </w:tc>
        <w:tc>
          <w:tcPr>
            <w:tcW w:w="2433" w:type="dxa"/>
          </w:tcPr>
          <w:p w14:paraId="4A48456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N = 1400 об.мин.</w:t>
            </w:r>
          </w:p>
        </w:tc>
      </w:tr>
      <w:tr w:rsidR="006331D6" w:rsidRPr="007224C3" w14:paraId="514265B1" w14:textId="77777777">
        <w:tc>
          <w:tcPr>
            <w:tcW w:w="6926" w:type="dxa"/>
          </w:tcPr>
          <w:p w14:paraId="5593C61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Дальность при двух пилотах на крейсерской скорости</w:t>
            </w:r>
          </w:p>
        </w:tc>
        <w:tc>
          <w:tcPr>
            <w:tcW w:w="2433" w:type="dxa"/>
          </w:tcPr>
          <w:p w14:paraId="2122DB4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L = 110 км</w:t>
            </w:r>
          </w:p>
        </w:tc>
      </w:tr>
      <w:tr w:rsidR="006331D6" w:rsidRPr="007224C3" w14:paraId="1BB70714" w14:textId="77777777">
        <w:tc>
          <w:tcPr>
            <w:tcW w:w="6926" w:type="dxa"/>
          </w:tcPr>
          <w:p w14:paraId="7B4414A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Дальность при одном пилоте на крейсерской скорости</w:t>
            </w:r>
          </w:p>
        </w:tc>
        <w:tc>
          <w:tcPr>
            <w:tcW w:w="2433" w:type="dxa"/>
          </w:tcPr>
          <w:p w14:paraId="7DD97DA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L = 365 км</w:t>
            </w:r>
          </w:p>
        </w:tc>
      </w:tr>
      <w:tr w:rsidR="006331D6" w:rsidRPr="007224C3" w14:paraId="7EC74607" w14:textId="77777777">
        <w:tc>
          <w:tcPr>
            <w:tcW w:w="6926" w:type="dxa"/>
          </w:tcPr>
          <w:p w14:paraId="57974AC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Автономия при одном пилоте на крейсерской скорости</w:t>
            </w:r>
          </w:p>
        </w:tc>
        <w:tc>
          <w:tcPr>
            <w:tcW w:w="2433" w:type="dxa"/>
          </w:tcPr>
          <w:p w14:paraId="621C9D3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 5 час</w:t>
            </w:r>
          </w:p>
        </w:tc>
      </w:tr>
      <w:tr w:rsidR="006331D6" w:rsidRPr="007224C3" w14:paraId="7062DF5D" w14:textId="77777777">
        <w:tc>
          <w:tcPr>
            <w:tcW w:w="6926" w:type="dxa"/>
          </w:tcPr>
          <w:p w14:paraId="3DD6639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Автономия при двух пилотах на крейсерской скорости</w:t>
            </w:r>
          </w:p>
        </w:tc>
        <w:tc>
          <w:tcPr>
            <w:tcW w:w="2433" w:type="dxa"/>
          </w:tcPr>
          <w:p w14:paraId="64B78B2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 1,5 часа</w:t>
            </w:r>
          </w:p>
        </w:tc>
      </w:tr>
      <w:tr w:rsidR="006331D6" w:rsidRPr="007224C3" w14:paraId="35B7A859" w14:textId="77777777">
        <w:tc>
          <w:tcPr>
            <w:tcW w:w="6926" w:type="dxa"/>
          </w:tcPr>
          <w:p w14:paraId="1C1FDE7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Стратегический потолок /вариант дирижабля/</w:t>
            </w:r>
          </w:p>
        </w:tc>
        <w:tc>
          <w:tcPr>
            <w:tcW w:w="2433" w:type="dxa"/>
          </w:tcPr>
          <w:p w14:paraId="0DA6091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w:t>
            </w:r>
            <w:r w:rsidRPr="007224C3">
              <w:rPr>
                <w:rFonts w:ascii="Times New Roman" w:hAnsi="Times New Roman"/>
                <w:color w:val="000000" w:themeColor="text1"/>
                <w:sz w:val="16"/>
                <w:szCs w:val="16"/>
                <w:vertAlign w:val="subscript"/>
              </w:rPr>
              <w:t xml:space="preserve">ст. </w:t>
            </w:r>
            <w:r w:rsidRPr="007224C3">
              <w:rPr>
                <w:rFonts w:ascii="Times New Roman" w:hAnsi="Times New Roman"/>
                <w:color w:val="000000" w:themeColor="text1"/>
                <w:sz w:val="16"/>
                <w:szCs w:val="16"/>
              </w:rPr>
              <w:t>= 900 м</w:t>
            </w:r>
          </w:p>
        </w:tc>
      </w:tr>
      <w:tr w:rsidR="006331D6" w:rsidRPr="007224C3" w14:paraId="4B84F03B" w14:textId="77777777">
        <w:tc>
          <w:tcPr>
            <w:tcW w:w="6926" w:type="dxa"/>
          </w:tcPr>
          <w:p w14:paraId="61C234D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Статический потолок с одним наблюдателем /вариант привязника/</w:t>
            </w:r>
          </w:p>
        </w:tc>
        <w:tc>
          <w:tcPr>
            <w:tcW w:w="2433" w:type="dxa"/>
          </w:tcPr>
          <w:p w14:paraId="7273475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w:t>
            </w:r>
            <w:r w:rsidRPr="007224C3">
              <w:rPr>
                <w:rFonts w:ascii="Times New Roman" w:hAnsi="Times New Roman"/>
                <w:color w:val="000000" w:themeColor="text1"/>
                <w:sz w:val="16"/>
                <w:szCs w:val="16"/>
                <w:vertAlign w:val="subscript"/>
              </w:rPr>
              <w:t>ст.</w:t>
            </w:r>
            <w:r w:rsidRPr="007224C3">
              <w:rPr>
                <w:rFonts w:ascii="Times New Roman" w:hAnsi="Times New Roman"/>
                <w:color w:val="000000" w:themeColor="text1"/>
                <w:sz w:val="16"/>
                <w:szCs w:val="16"/>
              </w:rPr>
              <w:t xml:space="preserve"> = 2200 м</w:t>
            </w:r>
          </w:p>
        </w:tc>
      </w:tr>
      <w:tr w:rsidR="006331D6" w:rsidRPr="007224C3" w14:paraId="56052FBF" w14:textId="77777777">
        <w:tc>
          <w:tcPr>
            <w:tcW w:w="6926" w:type="dxa"/>
          </w:tcPr>
          <w:p w14:paraId="4600EB9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Статический потолок с двумя наблюдателями</w:t>
            </w:r>
          </w:p>
        </w:tc>
        <w:tc>
          <w:tcPr>
            <w:tcW w:w="2433" w:type="dxa"/>
          </w:tcPr>
          <w:p w14:paraId="2C5BBA4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w:t>
            </w:r>
            <w:r w:rsidRPr="007224C3">
              <w:rPr>
                <w:rFonts w:ascii="Times New Roman" w:hAnsi="Times New Roman"/>
                <w:color w:val="000000" w:themeColor="text1"/>
                <w:sz w:val="16"/>
                <w:szCs w:val="16"/>
                <w:vertAlign w:val="subscript"/>
              </w:rPr>
              <w:t>ст.</w:t>
            </w:r>
            <w:r w:rsidRPr="007224C3">
              <w:rPr>
                <w:rFonts w:ascii="Times New Roman" w:hAnsi="Times New Roman"/>
                <w:color w:val="000000" w:themeColor="text1"/>
                <w:sz w:val="16"/>
                <w:szCs w:val="16"/>
              </w:rPr>
              <w:t xml:space="preserve"> = 1600 м</w:t>
            </w:r>
          </w:p>
        </w:tc>
      </w:tr>
      <w:tr w:rsidR="006331D6" w:rsidRPr="007224C3" w14:paraId="2015618D" w14:textId="77777777">
        <w:tc>
          <w:tcPr>
            <w:tcW w:w="6926" w:type="dxa"/>
            <w:tcBorders>
              <w:bottom w:val="single" w:sz="12" w:space="0" w:color="auto"/>
            </w:tcBorders>
          </w:tcPr>
          <w:p w14:paraId="20058DF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Количество сбрасываемых парашютов при работе в качестве тренировочного аэростата на рабочей высоте</w:t>
            </w:r>
          </w:p>
          <w:p w14:paraId="10237BC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штиль – 3 человека</w:t>
            </w:r>
          </w:p>
          <w:p w14:paraId="3C4FFBE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ветре более 3 м/сек – 4 чел.</w:t>
            </w:r>
          </w:p>
        </w:tc>
        <w:tc>
          <w:tcPr>
            <w:tcW w:w="2433" w:type="dxa"/>
            <w:tcBorders>
              <w:bottom w:val="single" w:sz="12" w:space="0" w:color="auto"/>
            </w:tcBorders>
          </w:tcPr>
          <w:p w14:paraId="637F7D6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2CFA798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 = 460 м</w:t>
            </w:r>
          </w:p>
        </w:tc>
      </w:tr>
    </w:tbl>
    <w:p w14:paraId="6F4C1D7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IV. ВЕСОВЫЕ ХАРАКТЕРИСТИКИ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6914"/>
        <w:gridCol w:w="2430"/>
      </w:tblGrid>
      <w:tr w:rsidR="006331D6" w:rsidRPr="007224C3" w14:paraId="70D67BCC" w14:textId="77777777" w:rsidTr="00264F92">
        <w:tc>
          <w:tcPr>
            <w:tcW w:w="6914" w:type="dxa"/>
            <w:tcBorders>
              <w:top w:val="single" w:sz="12" w:space="0" w:color="auto"/>
            </w:tcBorders>
          </w:tcPr>
          <w:p w14:paraId="56131D6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Полная подъемная сила на уровне моря при Ф = 1,1 кг/м</w:t>
            </w:r>
            <w:r w:rsidRPr="007224C3">
              <w:rPr>
                <w:rFonts w:ascii="Times New Roman" w:hAnsi="Times New Roman"/>
                <w:color w:val="000000" w:themeColor="text1"/>
                <w:sz w:val="16"/>
                <w:szCs w:val="16"/>
                <w:vertAlign w:val="superscript"/>
              </w:rPr>
              <w:t>3</w:t>
            </w:r>
          </w:p>
        </w:tc>
        <w:tc>
          <w:tcPr>
            <w:tcW w:w="2430" w:type="dxa"/>
            <w:tcBorders>
              <w:top w:val="single" w:sz="12" w:space="0" w:color="auto"/>
            </w:tcBorders>
          </w:tcPr>
          <w:p w14:paraId="365B8A5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F</w:t>
            </w:r>
            <w:r w:rsidRPr="007224C3">
              <w:rPr>
                <w:rFonts w:ascii="Times New Roman" w:hAnsi="Times New Roman"/>
                <w:color w:val="000000" w:themeColor="text1"/>
                <w:sz w:val="16"/>
                <w:szCs w:val="16"/>
                <w:vertAlign w:val="subscript"/>
              </w:rPr>
              <w:t>n</w:t>
            </w:r>
            <w:r w:rsidRPr="007224C3">
              <w:rPr>
                <w:rFonts w:ascii="Times New Roman" w:hAnsi="Times New Roman"/>
                <w:color w:val="000000" w:themeColor="text1"/>
                <w:sz w:val="16"/>
                <w:szCs w:val="16"/>
              </w:rPr>
              <w:t xml:space="preserve"> = 1130 кг</w:t>
            </w:r>
          </w:p>
        </w:tc>
      </w:tr>
      <w:tr w:rsidR="006331D6" w:rsidRPr="007224C3" w14:paraId="30FEC24B" w14:textId="77777777" w:rsidTr="00264F92">
        <w:tc>
          <w:tcPr>
            <w:tcW w:w="6914" w:type="dxa"/>
          </w:tcPr>
          <w:p w14:paraId="6F5845A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Мертвый вес</w:t>
            </w:r>
          </w:p>
        </w:tc>
        <w:tc>
          <w:tcPr>
            <w:tcW w:w="2430" w:type="dxa"/>
          </w:tcPr>
          <w:p w14:paraId="2875244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G</w:t>
            </w:r>
            <w:r w:rsidRPr="007224C3">
              <w:rPr>
                <w:rFonts w:ascii="Times New Roman" w:hAnsi="Times New Roman"/>
                <w:color w:val="000000" w:themeColor="text1"/>
                <w:sz w:val="16"/>
                <w:szCs w:val="16"/>
                <w:vertAlign w:val="subscript"/>
              </w:rPr>
              <w:t>m</w:t>
            </w:r>
            <w:r w:rsidRPr="007224C3">
              <w:rPr>
                <w:rFonts w:ascii="Times New Roman" w:hAnsi="Times New Roman"/>
                <w:color w:val="000000" w:themeColor="text1"/>
                <w:sz w:val="16"/>
                <w:szCs w:val="16"/>
              </w:rPr>
              <w:t xml:space="preserve"> = 910 кг</w:t>
            </w:r>
          </w:p>
        </w:tc>
      </w:tr>
      <w:tr w:rsidR="006331D6" w:rsidRPr="007224C3" w14:paraId="677F7C36" w14:textId="77777777" w:rsidTr="00264F92">
        <w:tc>
          <w:tcPr>
            <w:tcW w:w="6914" w:type="dxa"/>
          </w:tcPr>
          <w:p w14:paraId="387077A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Полезная нагрузка</w:t>
            </w:r>
          </w:p>
        </w:tc>
        <w:tc>
          <w:tcPr>
            <w:tcW w:w="2430" w:type="dxa"/>
          </w:tcPr>
          <w:p w14:paraId="4DAC568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1BA7D517" w14:textId="77777777" w:rsidTr="00264F92">
        <w:tc>
          <w:tcPr>
            <w:tcW w:w="6914" w:type="dxa"/>
          </w:tcPr>
          <w:p w14:paraId="20CD0C4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экипаж 1 человек</w:t>
            </w:r>
          </w:p>
        </w:tc>
        <w:tc>
          <w:tcPr>
            <w:tcW w:w="2430" w:type="dxa"/>
          </w:tcPr>
          <w:p w14:paraId="755D699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80 кг</w:t>
            </w:r>
          </w:p>
        </w:tc>
      </w:tr>
      <w:tr w:rsidR="006331D6" w:rsidRPr="007224C3" w14:paraId="2D28AFB0" w14:textId="77777777" w:rsidTr="00264F92">
        <w:tc>
          <w:tcPr>
            <w:tcW w:w="6914" w:type="dxa"/>
          </w:tcPr>
          <w:p w14:paraId="10A69F1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балласт</w:t>
            </w:r>
          </w:p>
        </w:tc>
        <w:tc>
          <w:tcPr>
            <w:tcW w:w="2430" w:type="dxa"/>
          </w:tcPr>
          <w:p w14:paraId="6332C12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 кг</w:t>
            </w:r>
          </w:p>
        </w:tc>
      </w:tr>
      <w:tr w:rsidR="006331D6" w:rsidRPr="007224C3" w14:paraId="6DBDE1E1" w14:textId="77777777" w:rsidTr="00264F92">
        <w:tc>
          <w:tcPr>
            <w:tcW w:w="6914" w:type="dxa"/>
          </w:tcPr>
          <w:p w14:paraId="0CE8C77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горючее и смазочное</w:t>
            </w:r>
          </w:p>
        </w:tc>
        <w:tc>
          <w:tcPr>
            <w:tcW w:w="2430" w:type="dxa"/>
          </w:tcPr>
          <w:p w14:paraId="5938A92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85 кг</w:t>
            </w:r>
          </w:p>
        </w:tc>
      </w:tr>
      <w:tr w:rsidR="006331D6" w:rsidRPr="007224C3" w14:paraId="692BFEBF" w14:textId="77777777" w:rsidTr="00264F92">
        <w:tc>
          <w:tcPr>
            <w:tcW w:w="6914" w:type="dxa"/>
            <w:tcBorders>
              <w:bottom w:val="single" w:sz="12" w:space="0" w:color="auto"/>
            </w:tcBorders>
          </w:tcPr>
          <w:p w14:paraId="288F751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Весовая отдача</w:t>
            </w:r>
          </w:p>
        </w:tc>
        <w:tc>
          <w:tcPr>
            <w:tcW w:w="2430" w:type="dxa"/>
            <w:tcBorders>
              <w:bottom w:val="single" w:sz="12" w:space="0" w:color="auto"/>
            </w:tcBorders>
          </w:tcPr>
          <w:p w14:paraId="228BD30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 18,6 %</w:t>
            </w:r>
          </w:p>
        </w:tc>
      </w:tr>
    </w:tbl>
    <w:p w14:paraId="57D8D69A" w14:textId="77777777" w:rsidR="003712D9" w:rsidRPr="007224C3" w:rsidRDefault="003712D9" w:rsidP="007224C3">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ОПИСАНИЕ КОНСТРУКЦИИ АЭРОСТАТА </w:t>
      </w:r>
    </w:p>
    <w:p w14:paraId="34ADBD6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Матерчатая группа</w:t>
      </w:r>
    </w:p>
    <w:p w14:paraId="0847914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Оболочка аэростата представляет из себя тело вращения, имеющее следующие основные характеристики:</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6926"/>
        <w:gridCol w:w="2433"/>
      </w:tblGrid>
      <w:tr w:rsidR="006331D6" w:rsidRPr="007224C3" w14:paraId="4D812082" w14:textId="77777777">
        <w:tc>
          <w:tcPr>
            <w:tcW w:w="6926" w:type="dxa"/>
            <w:tcBorders>
              <w:top w:val="single" w:sz="12" w:space="0" w:color="auto"/>
            </w:tcBorders>
          </w:tcPr>
          <w:p w14:paraId="3C9E06F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Длина</w:t>
            </w:r>
          </w:p>
        </w:tc>
        <w:tc>
          <w:tcPr>
            <w:tcW w:w="2433" w:type="dxa"/>
            <w:tcBorders>
              <w:top w:val="single" w:sz="12" w:space="0" w:color="auto"/>
            </w:tcBorders>
          </w:tcPr>
          <w:p w14:paraId="157F3E2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L = 30 м</w:t>
            </w:r>
          </w:p>
        </w:tc>
      </w:tr>
      <w:tr w:rsidR="006331D6" w:rsidRPr="007224C3" w14:paraId="411608D3" w14:textId="77777777">
        <w:tc>
          <w:tcPr>
            <w:tcW w:w="6926" w:type="dxa"/>
          </w:tcPr>
          <w:p w14:paraId="6DC9051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Диаметр миделя</w:t>
            </w:r>
          </w:p>
        </w:tc>
        <w:tc>
          <w:tcPr>
            <w:tcW w:w="2433" w:type="dxa"/>
          </w:tcPr>
          <w:p w14:paraId="53D5832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w:t>
            </w:r>
            <w:r w:rsidRPr="007224C3">
              <w:rPr>
                <w:rFonts w:ascii="Times New Roman" w:hAnsi="Times New Roman"/>
                <w:color w:val="000000" w:themeColor="text1"/>
                <w:sz w:val="16"/>
                <w:szCs w:val="16"/>
                <w:vertAlign w:val="subscript"/>
              </w:rPr>
              <w:t>м</w:t>
            </w:r>
            <w:r w:rsidRPr="007224C3">
              <w:rPr>
                <w:rFonts w:ascii="Times New Roman" w:hAnsi="Times New Roman"/>
                <w:color w:val="000000" w:themeColor="text1"/>
                <w:sz w:val="16"/>
                <w:szCs w:val="16"/>
              </w:rPr>
              <w:t xml:space="preserve"> = 8,62 м</w:t>
            </w:r>
          </w:p>
        </w:tc>
      </w:tr>
      <w:tr w:rsidR="006331D6" w:rsidRPr="007224C3" w14:paraId="7C693FB8" w14:textId="77777777">
        <w:tc>
          <w:tcPr>
            <w:tcW w:w="6926" w:type="dxa"/>
          </w:tcPr>
          <w:p w14:paraId="055D585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Удлинение</w:t>
            </w:r>
          </w:p>
        </w:tc>
        <w:tc>
          <w:tcPr>
            <w:tcW w:w="2433" w:type="dxa"/>
          </w:tcPr>
          <w:p w14:paraId="6912418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 3,48</w:t>
            </w:r>
          </w:p>
        </w:tc>
      </w:tr>
      <w:tr w:rsidR="006331D6" w:rsidRPr="007224C3" w14:paraId="27C734CC" w14:textId="77777777">
        <w:tc>
          <w:tcPr>
            <w:tcW w:w="6926" w:type="dxa"/>
          </w:tcPr>
          <w:p w14:paraId="6CBE67F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Поверхность</w:t>
            </w:r>
          </w:p>
        </w:tc>
        <w:tc>
          <w:tcPr>
            <w:tcW w:w="2433" w:type="dxa"/>
          </w:tcPr>
          <w:p w14:paraId="5FA7146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S</w:t>
            </w:r>
            <w:r w:rsidRPr="007224C3">
              <w:rPr>
                <w:rFonts w:ascii="Times New Roman" w:hAnsi="Times New Roman"/>
                <w:color w:val="000000" w:themeColor="text1"/>
                <w:sz w:val="16"/>
                <w:szCs w:val="16"/>
                <w:vertAlign w:val="subscript"/>
              </w:rPr>
              <w:t>об</w:t>
            </w:r>
            <w:r w:rsidRPr="007224C3">
              <w:rPr>
                <w:rFonts w:ascii="Times New Roman" w:hAnsi="Times New Roman"/>
                <w:color w:val="000000" w:themeColor="text1"/>
                <w:sz w:val="16"/>
                <w:szCs w:val="16"/>
              </w:rPr>
              <w:t>. = 605 м</w:t>
            </w:r>
            <w:r w:rsidRPr="007224C3">
              <w:rPr>
                <w:rFonts w:ascii="Times New Roman" w:hAnsi="Times New Roman"/>
                <w:color w:val="000000" w:themeColor="text1"/>
                <w:sz w:val="16"/>
                <w:szCs w:val="16"/>
                <w:vertAlign w:val="superscript"/>
              </w:rPr>
              <w:t>2</w:t>
            </w:r>
          </w:p>
        </w:tc>
      </w:tr>
      <w:tr w:rsidR="006331D6" w:rsidRPr="007224C3" w14:paraId="0F5C1347" w14:textId="77777777">
        <w:tc>
          <w:tcPr>
            <w:tcW w:w="6926" w:type="dxa"/>
          </w:tcPr>
          <w:p w14:paraId="20414D7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Расстояние миделя от носа</w:t>
            </w:r>
          </w:p>
        </w:tc>
        <w:tc>
          <w:tcPr>
            <w:tcW w:w="2433" w:type="dxa"/>
          </w:tcPr>
          <w:p w14:paraId="0446133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l = 7,6 м</w:t>
            </w:r>
          </w:p>
        </w:tc>
      </w:tr>
      <w:tr w:rsidR="006331D6" w:rsidRPr="007224C3" w14:paraId="6584CD0E" w14:textId="77777777">
        <w:tc>
          <w:tcPr>
            <w:tcW w:w="6926" w:type="dxa"/>
            <w:tcBorders>
              <w:bottom w:val="single" w:sz="12" w:space="0" w:color="auto"/>
            </w:tcBorders>
          </w:tcPr>
          <w:p w14:paraId="5A5C4CA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Абсцисса центра объема</w:t>
            </w:r>
          </w:p>
        </w:tc>
        <w:tc>
          <w:tcPr>
            <w:tcW w:w="2433" w:type="dxa"/>
            <w:tcBorders>
              <w:bottom w:val="single" w:sz="12" w:space="0" w:color="auto"/>
            </w:tcBorders>
          </w:tcPr>
          <w:p w14:paraId="21F595E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x = 12,115 м</w:t>
            </w:r>
          </w:p>
        </w:tc>
      </w:tr>
    </w:tbl>
    <w:p w14:paraId="32BB81E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Баллон аэростата изготовлен из двухслойной прорезиненной и алюминированной диагонально-дублированной материи ГА 220 /по заводской номенклатуре № 500/, состоящей из двух перкалей В.</w:t>
      </w:r>
    </w:p>
    <w:p w14:paraId="5E726EE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Характеристики материи:</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6926"/>
        <w:gridCol w:w="2433"/>
      </w:tblGrid>
      <w:tr w:rsidR="006331D6" w:rsidRPr="007224C3" w14:paraId="35FA454E" w14:textId="77777777">
        <w:tc>
          <w:tcPr>
            <w:tcW w:w="6926" w:type="dxa"/>
            <w:tcBorders>
              <w:top w:val="single" w:sz="12" w:space="0" w:color="auto"/>
            </w:tcBorders>
          </w:tcPr>
          <w:p w14:paraId="671474E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Прочность по основе</w:t>
            </w:r>
          </w:p>
        </w:tc>
        <w:tc>
          <w:tcPr>
            <w:tcW w:w="2433" w:type="dxa"/>
            <w:tcBorders>
              <w:top w:val="single" w:sz="12" w:space="0" w:color="auto"/>
            </w:tcBorders>
          </w:tcPr>
          <w:p w14:paraId="16D64AA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650 кг/м</w:t>
            </w:r>
          </w:p>
        </w:tc>
      </w:tr>
      <w:tr w:rsidR="006331D6" w:rsidRPr="007224C3" w14:paraId="2E0F1551" w14:textId="77777777">
        <w:tc>
          <w:tcPr>
            <w:tcW w:w="6926" w:type="dxa"/>
          </w:tcPr>
          <w:p w14:paraId="5D417F0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 квадр. Метра</w:t>
            </w:r>
          </w:p>
        </w:tc>
        <w:tc>
          <w:tcPr>
            <w:tcW w:w="2433" w:type="dxa"/>
          </w:tcPr>
          <w:p w14:paraId="34B20FA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0,264 кг/м</w:t>
            </w:r>
            <w:r w:rsidRPr="007224C3">
              <w:rPr>
                <w:rFonts w:ascii="Times New Roman" w:hAnsi="Times New Roman"/>
                <w:color w:val="000000" w:themeColor="text1"/>
                <w:sz w:val="16"/>
                <w:szCs w:val="16"/>
                <w:vertAlign w:val="superscript"/>
              </w:rPr>
              <w:t>2</w:t>
            </w:r>
          </w:p>
        </w:tc>
      </w:tr>
      <w:tr w:rsidR="006331D6" w:rsidRPr="007224C3" w14:paraId="707164D7" w14:textId="77777777">
        <w:tc>
          <w:tcPr>
            <w:tcW w:w="6926" w:type="dxa"/>
            <w:tcBorders>
              <w:bottom w:val="single" w:sz="12" w:space="0" w:color="auto"/>
            </w:tcBorders>
          </w:tcPr>
          <w:p w14:paraId="13B19F3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Газопроницаемость</w:t>
            </w:r>
          </w:p>
        </w:tc>
        <w:tc>
          <w:tcPr>
            <w:tcW w:w="2433" w:type="dxa"/>
            <w:tcBorders>
              <w:bottom w:val="single" w:sz="12" w:space="0" w:color="auto"/>
            </w:tcBorders>
          </w:tcPr>
          <w:p w14:paraId="2036C6B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л/м</w:t>
            </w:r>
            <w:r w:rsidRPr="007224C3">
              <w:rPr>
                <w:rFonts w:ascii="Times New Roman" w:hAnsi="Times New Roman"/>
                <w:color w:val="000000" w:themeColor="text1"/>
                <w:sz w:val="16"/>
                <w:szCs w:val="16"/>
                <w:vertAlign w:val="superscript"/>
              </w:rPr>
              <w:t>2</w:t>
            </w:r>
            <w:r w:rsidRPr="007224C3">
              <w:rPr>
                <w:rFonts w:ascii="Times New Roman" w:hAnsi="Times New Roman"/>
                <w:color w:val="000000" w:themeColor="text1"/>
                <w:sz w:val="16"/>
                <w:szCs w:val="16"/>
              </w:rPr>
              <w:t xml:space="preserve"> в сутки</w:t>
            </w:r>
          </w:p>
        </w:tc>
      </w:tr>
    </w:tbl>
    <w:p w14:paraId="4936859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Раскрой оболочки трапециевидный, с разбивкой на 6 одинаковых полотнищ. Каждое полотнище состоит из 40 трапеций, расположенных по оболочке в шахматном порядке. На всех полотнищах основа направлена перпендикулярно меридианам. Трапеции между собой соединены двухрядным швом нитками № 3 с пересклейкой 20 мм.</w:t>
      </w:r>
    </w:p>
    <w:p w14:paraId="4BAED01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Снаружи на швы наклеена одна лента, с внутренней стороны – 2 ленты.</w:t>
      </w:r>
    </w:p>
    <w:p w14:paraId="0C71AF9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б/ На аэростате имеется один баллонет объемом 110 м</w:t>
      </w:r>
      <w:r w:rsidRPr="007224C3">
        <w:rPr>
          <w:rFonts w:ascii="Times New Roman" w:hAnsi="Times New Roman"/>
          <w:color w:val="000000" w:themeColor="text1"/>
          <w:sz w:val="16"/>
          <w:szCs w:val="16"/>
          <w:vertAlign w:val="superscript"/>
        </w:rPr>
        <w:t>3</w:t>
      </w:r>
      <w:r w:rsidRPr="007224C3">
        <w:rPr>
          <w:rFonts w:ascii="Times New Roman" w:hAnsi="Times New Roman"/>
          <w:color w:val="000000" w:themeColor="text1"/>
          <w:sz w:val="16"/>
          <w:szCs w:val="16"/>
        </w:rPr>
        <w:t>. Баллонет состоит из центральной части, имеющей форму цилиндра и 2-х торцов, образованных как части торов. Материалом для баллонета служит материя ГА 220, по конструкции аналогичная материи самой оболочки, но не алюминированная.</w:t>
      </w:r>
    </w:p>
    <w:p w14:paraId="006AE8C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Баллонет снабжен аппендиксом для наполнения его вентилятором, воздушным клапаном для выпуска воздуха и [неразборчиво] воздухоулавливателя для наполнения баллонета воздухом во время полета.</w:t>
      </w:r>
    </w:p>
    <w:p w14:paraId="20713D3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Для маневрирования аэростата на земле на оболочке имеется 6 поясных по 3 с каждого борта, присоединенных к параболическим мостикам.</w:t>
      </w:r>
    </w:p>
    <w:p w14:paraId="33452FE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привязном варианте к 1-му и 3-му мостику крепятся уздечки привязного троса, а ко 2-му и 4-му мостику – подвесные стропы десантной гондолы ДТГ-1.</w:t>
      </w:r>
    </w:p>
    <w:p w14:paraId="004CAC7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моторизованном состоянии мотогондола подвешивается к 1, 2, 3 и 4 мостикам.</w:t>
      </w:r>
    </w:p>
    <w:p w14:paraId="1881421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 Наполнение оболочки газом производится через аппендикс диаметром 550 мм, находящийся снизу в носовой части оболочки перед баллонетом.</w:t>
      </w:r>
    </w:p>
    <w:p w14:paraId="31D20B7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 Разрывное приспособление нормального типа БД в нижней носовой части оболочки.</w:t>
      </w:r>
    </w:p>
    <w:p w14:paraId="620DE7C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е/ Стягивающая система состоит из [неразборчиво] шнуров /по типу аэростата “540”/. Для крепления шнуров использованы пояса нормальной оболочки “БД”. Стягивающая система начинается от носа и кончается на 1 метр впереди оперения.</w:t>
      </w:r>
    </w:p>
    <w:p w14:paraId="4A80A87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Таким образом, кормовая часть оболочки имеет неизменяемую форму, что является необходимым условием для правильной работы расчалок оперения. Длины шнуров выбраны из расчета полной вытяжки при сверхдавлении 40 мм. вод. столба, что соответствует высоте подъема 600 мтр.</w:t>
      </w:r>
    </w:p>
    <w:p w14:paraId="44CC80E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Минимальный объем /на земле/ имеет место при сверхдавлении 20 мм. водяного столба.</w:t>
      </w:r>
    </w:p>
    <w:p w14:paraId="747AE2C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ж/ Носовое усиление аэростата было предусмотрено проектом в двух вариантах – в виде нормального усиления из деревянных реек и в виде внутреннего пневматического усиления из шлангов, надутых воздухом. Однако испытания показали, что носовое усиление вообще является излишним, ибо при полетном сверхдавлении - 40 мм. водяного столба /ложка/ не образуется, даже при максимальной скорости полета.</w:t>
      </w:r>
    </w:p>
    <w:p w14:paraId="295BE97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Мотогондола</w:t>
      </w:r>
    </w:p>
    <w:p w14:paraId="4617E14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Гондола аэростата переделана из фюзеляжа самолета У-2. От фюзеляжа отнимается по плоскости разъема хвостовая часть /начиная от рамы № 2/. Разрез зашивается фанерной стенкой.</w:t>
      </w:r>
    </w:p>
    <w:p w14:paraId="1D2A4E5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Впереди рамы № 1 крепится бензобак емкостью 90 кг и маслобак на 10 кг. Вся винто-моторная группа: моторама с мотором, капот, газоуправление, зажигание, бензомаслосхема и т.д. взята целиком от самолета У-2.</w:t>
      </w:r>
    </w:p>
    <w:p w14:paraId="7B0C288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Винт типа У-2 диаметром 2,4 м и с шагом Н-1,52 метра.</w:t>
      </w:r>
    </w:p>
    <w:p w14:paraId="1C7AF95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Гондола снабжена пуфом диаметром 900 мм., прикрепленным под гондолой и представляющим собой тело вращения, образованное в средней части цилиндром с двумя торцами в виде полушарий.</w:t>
      </w:r>
    </w:p>
    <w:p w14:paraId="34BB561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Оборудование</w:t>
      </w:r>
    </w:p>
    <w:p w14:paraId="11E29D0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Управление аэростатом сосредоточено у первого пилота. Перед ним размещены:</w:t>
      </w:r>
    </w:p>
    <w:p w14:paraId="3DADF16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Приборы на приборной доске:</w:t>
      </w:r>
    </w:p>
    <w:p w14:paraId="5511CAB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компас;</w:t>
      </w:r>
    </w:p>
    <w:p w14:paraId="2699A17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указатель скорости;</w:t>
      </w:r>
    </w:p>
    <w:p w14:paraId="6ED4692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альтиметр;</w:t>
      </w:r>
    </w:p>
    <w:p w14:paraId="65D236C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 вариометр;</w:t>
      </w:r>
    </w:p>
    <w:p w14:paraId="4C8D8DF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 аэротермометр.</w:t>
      </w:r>
    </w:p>
    <w:p w14:paraId="6D8C5D1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Газовый и воздушный манометры укреплены перед пилотом справа на стойке воздухоулавливателя.</w:t>
      </w:r>
    </w:p>
    <w:p w14:paraId="3CDB970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Сектора управления газом, опережением, подогревом, пожарным краном.</w:t>
      </w:r>
    </w:p>
    <w:p w14:paraId="4F3D4AB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Переключатель зажигания.</w:t>
      </w:r>
    </w:p>
    <w:p w14:paraId="7D676B1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Воздухоулавливатель находится над гондолой перед пилотом и укреплен на дюралевых трубчатых стойках. Ручка управления воздухоулавителем расположена над головой пилота.</w:t>
      </w:r>
    </w:p>
    <w:p w14:paraId="03858A0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Под левой рукой пилота около сидения находится кольцо управления сбрасыванием гайдропа, укрепленного специальным поясом к днищу гондолы и ее кормовой части.</w:t>
      </w:r>
    </w:p>
    <w:p w14:paraId="350C516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Над головой пилота расположена тяга к разрывному полотнищу, справа тяга к воздушному клапану /находящемуся в нижней части баллонета/ и слева над головой – тяга к газовому клапану /расположенному на левом борту оболочки/. Оба клапана одинаковые типа КГ-16.</w:t>
      </w:r>
    </w:p>
    <w:p w14:paraId="349BE51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Управление рулями высоты осуществляется при помощи штурвала, укрепленного на правом борту кабины. Управление рулями направления педального типа.</w:t>
      </w:r>
    </w:p>
    <w:p w14:paraId="5BB062D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 Оперение</w:t>
      </w:r>
    </w:p>
    <w:p w14:paraId="18CBE65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Оперение – жесткое. Выполнено в виде трех одинаковых планов, расположенных друг к другу под углом в 120° . Общая площадь оперения – 44,52 кв. метра. Площадь стабилизатора – 11,58 кв.м. и площадь руля – 3,26 кв. м.</w:t>
      </w:r>
    </w:p>
    <w:p w14:paraId="6151299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Конструкция оперения – деревянная. Нервюры и лонжероны выполнены в виде двух поясных раскосных фермочек.</w:t>
      </w:r>
    </w:p>
    <w:p w14:paraId="01B6763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 толщина оперения – 180 мм. Шарниры рулей осуществлены по типу планерных – в виде ушковых и вильчатых болтов. Оперение обтянуто материей АСТ-100 и покрыто бесцветным и алюминированным лаком. Внутренний обвод стабилизатора пятью брезентовыми ремнями с пряжками присоединен к поясам, наклеенным на оболочку; дополнительно каждый стабилизатор укреплен шестью тросовыми расчалками – с тендерами, крепящимися к трубам, зашпагованным в поясах, наклеенных на оболочку.</w:t>
      </w:r>
    </w:p>
    <w:p w14:paraId="4FE180A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ЭКСПЛУАТАЦИЯ АЭРОСТАТА</w:t>
      </w:r>
    </w:p>
    <w:p w14:paraId="1910953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привязном варианте эксплуатация аэростата “МАЛЫШ” производится аналогично эксплуатации нормального “БД”.</w:t>
      </w:r>
    </w:p>
    <w:p w14:paraId="2C39C2C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подтягивания к земле следует также применять систему механического подтягивания МПА-1, значительно облегчающую эту трудоемкую операцию.</w:t>
      </w:r>
    </w:p>
    <w:p w14:paraId="3EF193D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биваке, для предохранения нижнего стабилизатора, под оболочку подводится газгольдер, наполненный воздухом до такой степени, чтобы стабилизатор не доходил до земли на 0,5 – 0,7 м. В таком положении аэростат закрепляется.</w:t>
      </w:r>
    </w:p>
    <w:p w14:paraId="54C2B47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привязном варианте рули закреплены при помощи специального троса замками патефонного типа, присоединяемых к тросам штурпроводки к переднему ребру нижнего стабилизатора.</w:t>
      </w:r>
    </w:p>
    <w:p w14:paraId="4C922CF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Трансформация в мотовариант производится на 15-20 минут путем освобождения рулей присоединения на карабинах строп гондолы, присоединения штурпроводки, шланга воздухоулавливателя и тяг к клапанам и разрывному.</w:t>
      </w:r>
    </w:p>
    <w:p w14:paraId="1ED4FE7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Эксплуатация “МАЛЫША” в мотоварианте, как показали испытания, требует незначительного количества команды и аналогична эксплуатации дирижабля минимального объема.</w:t>
      </w:r>
    </w:p>
    <w:p w14:paraId="6C32EE2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РЕЗУЛЬТАТЫ НАЗЕМНЫХ И ЛЕТНЫХ</w:t>
      </w:r>
    </w:p>
    <w:p w14:paraId="78E8111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ИСПЫТАНИЙ</w:t>
      </w:r>
    </w:p>
    <w:p w14:paraId="79E5343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Испытания моторизованного аэростата “МАЛЫШ” проводились по специальной программе, при сем прилагаемой, утвержденной командиром 1 ОВД ВДВ КА – капитаном Фадеевым.</w:t>
      </w:r>
    </w:p>
    <w:p w14:paraId="6911021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процессе проведения испытаний были допущены некоторые отклонения от программы в части последовательности отдельных испытаний. Однако все пункты программы были выполнены.</w:t>
      </w:r>
    </w:p>
    <w:p w14:paraId="4C8AEE2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связи с выявившейся необходимостью некоторых конструктивных переделок /перенесения оперения вперед/ отдельные испытательные полеты были повторены. Протоколы всех испытаний прилагаются.</w:t>
      </w:r>
    </w:p>
    <w:p w14:paraId="08DFED7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Следует также отметить, что кроме двух испытаний в привязном варианте /при старом и новом положении оперения/ аэростат использовался на нормальной эксплуатации по сбрасыванию парашютистов. Всего было произведено 68 подъемов, во время которых сброшено 192 парашютиста.</w:t>
      </w:r>
    </w:p>
    <w:p w14:paraId="11A4F1A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Подъемы производились в различных метеоусловиях на обычной лебедке ЛВ-2 с привязным тросом диаметром 6,5 мм.</w:t>
      </w:r>
    </w:p>
    <w:p w14:paraId="7FD65E5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Прыжки производились с гондолы ДТГ-1. Рабочая высота – 400 м. Сила ветра была от 0 до 12 м/сек.</w:t>
      </w:r>
    </w:p>
    <w:p w14:paraId="5DEE19E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всех подъемах объект обнаруживал хорошую устойчивость, отсутствие бочения и малый снос.</w:t>
      </w:r>
    </w:p>
    <w:p w14:paraId="12658FB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Наземные испытания проводились: инж. капитаном ГАРФ, инж. капитаном УСТИНОВИЧ, ст. техником-лейтенантом КАРАМЫШЕВЫМ, мл. лейтенантом ИВАНОВЫМ, лейтенантом КОГАН, ст. лейтенантом РОЩИНЫМ.</w:t>
      </w:r>
    </w:p>
    <w:p w14:paraId="5D47013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проведения летных испытаний объекта приказом по части была назначена комиссия в составе:</w:t>
      </w:r>
    </w:p>
    <w:p w14:paraId="0805D15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Председатель комиссии: командир 1 ОВД капитан Фадеев;</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152"/>
        <w:gridCol w:w="7207"/>
      </w:tblGrid>
      <w:tr w:rsidR="006331D6" w:rsidRPr="007224C3" w14:paraId="0E33F945" w14:textId="77777777">
        <w:tc>
          <w:tcPr>
            <w:tcW w:w="2152" w:type="dxa"/>
            <w:tcBorders>
              <w:top w:val="single" w:sz="12" w:space="0" w:color="auto"/>
            </w:tcBorders>
          </w:tcPr>
          <w:p w14:paraId="623C482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Члены комиссии:</w:t>
            </w:r>
          </w:p>
        </w:tc>
        <w:tc>
          <w:tcPr>
            <w:tcW w:w="7207" w:type="dxa"/>
            <w:tcBorders>
              <w:top w:val="single" w:sz="12" w:space="0" w:color="auto"/>
            </w:tcBorders>
          </w:tcPr>
          <w:p w14:paraId="3DA8C25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конструктор объекта инж. капитан Гарф;</w:t>
            </w:r>
          </w:p>
        </w:tc>
      </w:tr>
      <w:tr w:rsidR="006331D6" w:rsidRPr="007224C3" w14:paraId="299B3FBB" w14:textId="77777777">
        <w:tc>
          <w:tcPr>
            <w:tcW w:w="2152" w:type="dxa"/>
          </w:tcPr>
          <w:p w14:paraId="7AEE7CF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7207" w:type="dxa"/>
          </w:tcPr>
          <w:p w14:paraId="2A3E0D9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 инженер дивизиона – пилот объекта инж. капитан Устинович;</w:t>
            </w:r>
          </w:p>
        </w:tc>
      </w:tr>
      <w:tr w:rsidR="006331D6" w:rsidRPr="007224C3" w14:paraId="2FB739DF" w14:textId="77777777">
        <w:tc>
          <w:tcPr>
            <w:tcW w:w="2152" w:type="dxa"/>
          </w:tcPr>
          <w:p w14:paraId="43E8AA6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7207" w:type="dxa"/>
          </w:tcPr>
          <w:p w14:paraId="4FDEC1A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 мастерских – ст. т/л-т Степанов</w:t>
            </w:r>
          </w:p>
        </w:tc>
      </w:tr>
      <w:tr w:rsidR="006331D6" w:rsidRPr="007224C3" w14:paraId="69A2BDB7" w14:textId="77777777">
        <w:tc>
          <w:tcPr>
            <w:tcW w:w="2152" w:type="dxa"/>
            <w:tcBorders>
              <w:bottom w:val="single" w:sz="12" w:space="0" w:color="auto"/>
            </w:tcBorders>
          </w:tcPr>
          <w:p w14:paraId="2333E79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7207" w:type="dxa"/>
            <w:tcBorders>
              <w:bottom w:val="single" w:sz="12" w:space="0" w:color="auto"/>
            </w:tcBorders>
          </w:tcPr>
          <w:p w14:paraId="1947916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Командир дирижабля В-12 ст. л-т Рощин</w:t>
            </w:r>
          </w:p>
        </w:tc>
      </w:tr>
    </w:tbl>
    <w:p w14:paraId="2354FB6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Полеты производились утром от 6 до 10 ч.</w:t>
      </w:r>
    </w:p>
    <w:p w14:paraId="0E3CB9A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Ввод и вывод объекта из эллинга производился стартовой командой в составе не более 12-14 человек.</w:t>
      </w:r>
    </w:p>
    <w:p w14:paraId="4AAA96A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всего периода испытаний пришлось несколько раз трансформировать объект из привязника в дирижабль и обратно.</w:t>
      </w:r>
    </w:p>
    <w:p w14:paraId="0D6268D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Трансформация занимала каждый раз менее часа. При этом следует отметить, что все соединения отъемных частей осуществлялись не по проекту в виде легко разъемных конструкций /карабины/, а при помощи мальей и тендеров, что, конечно, сказывалось на времени трансформации.</w:t>
      </w:r>
    </w:p>
    <w:p w14:paraId="135D210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условии замены этих соединений на легкоразъемные, время трансформации может быть доведено до 15-20 мин.</w:t>
      </w:r>
    </w:p>
    <w:p w14:paraId="76C9CFD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основании проведенных испытаний комиссия пришла к следующим выводам:</w:t>
      </w:r>
    </w:p>
    <w:p w14:paraId="3737E01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В привязном варианте объект обладает хорошей устойчивостью и не обнаруживает склонности к бочению или клевкам. Снос незначительный. Натяжение троса также не превышает нормы.</w:t>
      </w:r>
    </w:p>
    <w:p w14:paraId="759DDDE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 эти характеристики у “МАЛЫША” значительно лучше, чем у нормального аэростата “БД”.</w:t>
      </w:r>
    </w:p>
    <w:p w14:paraId="4456BC3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Подъемная сила объекта в привязном варианте достаточна для нормальной выброски 3 человек парашютистов в штиль /летом/. При наличии ветра это количество повышается до 4-5 человек.</w:t>
      </w:r>
    </w:p>
    <w:p w14:paraId="4E7E4C3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В моторизованном варианте объект обладает хорошей устойчивостью и управляемостью как в вертикальной, так и в горизонтальной плоскостях.</w:t>
      </w:r>
    </w:p>
    <w:p w14:paraId="5E3DA39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Затруднение поворота влево не является органическим дефектом конструкции и может быть устранено переклейкой пояса крепления стабилизатора.</w:t>
      </w:r>
    </w:p>
    <w:p w14:paraId="7DBA46C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Оригинальную схему трех жестких планов, расположенных под 120° друг к другу следует признать удачной.</w:t>
      </w:r>
    </w:p>
    <w:p w14:paraId="6E3B09F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Педальное управление, впервые примененное для дирижабля, оправдывает себя полностью. Усилия на педали несколько высоки, особенно на левую ногу /вследствие большого угла отклонения руля влево/. Однако эти усилия легко уменьшить установкой компенсатора на руле направления, что может быть легко сделано без всякого изменения конструкции руля.</w:t>
      </w:r>
    </w:p>
    <w:p w14:paraId="69FA9E0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Конструкцию остальной матчасти объекта /клапана, улавливатель, подвеска гондолы, управление сбрасыванием гайдропа/ следует признать удачной и вполне отвечающей требованиям, предъявляемым к этим агрегатам.</w:t>
      </w:r>
    </w:p>
    <w:p w14:paraId="4E8E37A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Весовые и летно-эксплуатационные характеристики объекта соответствуют расчетным данным.</w:t>
      </w:r>
    </w:p>
    <w:p w14:paraId="40FA073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ЗАКЛЮЧЕНИЕ</w:t>
      </w:r>
    </w:p>
    <w:p w14:paraId="52F2B08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Моторизованный аэростат “МАЛЫШ” конструкции инженер-капитана ГАРФ Б.А., спроектированный и построенный силами 1-го Отдельного Воздухоплавательного дивизиона ВДВ КА может быть допущен к нормальной эксплуатации в качестве привязного аэростата по тренировке парашютистов частей ВДВ КА.</w:t>
      </w:r>
    </w:p>
    <w:p w14:paraId="436A063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моторизованном варианте аэростат “МАЛЫШ” может быть использован для быстрой перебазировки отрядов, также для связи между отрядами.</w:t>
      </w:r>
    </w:p>
    <w:p w14:paraId="557CBB5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Моторизованный аэростат “МАЛЫШ” с незначительными конструктивными изменениями может также быть применен в других организациях, а именно:</w:t>
      </w:r>
    </w:p>
    <w:p w14:paraId="2D2C49F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В системе ГАУ КА, с использованием в качестве аэростата наблюдения и корректировки артиллерийской стрельбы.</w:t>
      </w:r>
    </w:p>
    <w:p w14:paraId="171E02D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этом случае необходимо изменить стягивающую систему для повышения зоны полной вытяжки шнуров.</w:t>
      </w:r>
    </w:p>
    <w:p w14:paraId="755EB1F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В системе [неразборчиво] ВМФ для конвоирования судов и обнаружения подводных лодок противника. Аэростат может при этом эксплуатироваться как в привязном варианте /на борту морского судна/, так и в моторизованном варианте.</w:t>
      </w:r>
    </w:p>
    <w:p w14:paraId="4CDF1B3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последнем случае необходимо установить на борту рацию истребительного типа для связи с землей или с кораблями флота.</w:t>
      </w:r>
    </w:p>
    <w:p w14:paraId="2624D56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В системе ГУСМП для ледовой разведки и проводки судов с базированием на палубе ледокола.</w:t>
      </w:r>
    </w:p>
    <w:p w14:paraId="6E1B3C2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Аэростат при этом используется как в привязном, так и в моторизованном варианте для совершения кратковременных эпизодических полетов.</w:t>
      </w:r>
    </w:p>
    <w:p w14:paraId="25E0D5A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Установка рации в данном случае также необходима.</w:t>
      </w:r>
    </w:p>
    <w:p w14:paraId="3D70536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Для постройки серии пробных аэростатов, необходимо провести следующие доводки и усовершенствование материальной части аэростата “МАЛЫШ”.</w:t>
      </w:r>
    </w:p>
    <w:p w14:paraId="193BC4E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установить обтекатель к корме гондолы;</w:t>
      </w:r>
    </w:p>
    <w:p w14:paraId="24FD6D6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установить реперную ленту к стягивающей системе и к баллонету;</w:t>
      </w:r>
    </w:p>
    <w:p w14:paraId="295B6EC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усовершенствовать размещение балласта и управление сбрасыванием;</w:t>
      </w:r>
    </w:p>
    <w:p w14:paraId="33B47D2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 укоротить шланг воздухоподачи;</w:t>
      </w:r>
    </w:p>
    <w:p w14:paraId="2E327DB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 уменьшить вес оперения;</w:t>
      </w:r>
    </w:p>
    <w:p w14:paraId="620CA31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е/ упростить процесс трансформации за счет использования легко разъемных деталей /карабинов, накладных замков и т.д./.</w:t>
      </w:r>
    </w:p>
    <w:p w14:paraId="19D8FD7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С целью еще большего повышения эффективности работы моторизованного аэростата, комиссия считает необходимым приступить в ближайшее время к постройке аэростата подобного же типа /объемом в 1200 м</w:t>
      </w:r>
      <w:r w:rsidRPr="007224C3">
        <w:rPr>
          <w:rFonts w:ascii="Times New Roman" w:hAnsi="Times New Roman"/>
          <w:color w:val="000000" w:themeColor="text1"/>
          <w:sz w:val="16"/>
          <w:szCs w:val="16"/>
          <w:vertAlign w:val="superscript"/>
        </w:rPr>
        <w:t>3</w:t>
      </w:r>
      <w:r w:rsidRPr="007224C3">
        <w:rPr>
          <w:rFonts w:ascii="Times New Roman" w:hAnsi="Times New Roman"/>
          <w:color w:val="000000" w:themeColor="text1"/>
          <w:sz w:val="16"/>
          <w:szCs w:val="16"/>
        </w:rPr>
        <w:t>/, с использованием готовых частей конструкции:</w:t>
      </w:r>
    </w:p>
    <w:p w14:paraId="347FEDA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оболочки, имеющейся в распоряжении 1 ОВД;</w:t>
      </w:r>
    </w:p>
    <w:p w14:paraId="2ACE224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оперения от дирижабля В-12, имеющегося в распоряжении 1 ОВД;</w:t>
      </w:r>
    </w:p>
    <w:p w14:paraId="4106A1A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фюзеляжа и винтомоторной группы самолета У-2, которые необходимо передать в распоряжение 1 ОВД.</w:t>
      </w:r>
    </w:p>
    <w:tbl>
      <w:tblPr>
        <w:tblW w:w="0" w:type="auto"/>
        <w:tblInd w:w="10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05" w:type="dxa"/>
          <w:right w:w="105" w:type="dxa"/>
        </w:tblCellMar>
        <w:tblLook w:val="0000" w:firstRow="0" w:lastRow="0" w:firstColumn="0" w:lastColumn="0" w:noHBand="0" w:noVBand="0"/>
      </w:tblPr>
      <w:tblGrid>
        <w:gridCol w:w="4785"/>
        <w:gridCol w:w="4785"/>
      </w:tblGrid>
      <w:tr w:rsidR="006331D6" w:rsidRPr="007224C3" w14:paraId="012C29C0" w14:textId="77777777">
        <w:tc>
          <w:tcPr>
            <w:tcW w:w="4785" w:type="dxa"/>
            <w:tcBorders>
              <w:top w:val="single" w:sz="12" w:space="0" w:color="auto"/>
            </w:tcBorders>
          </w:tcPr>
          <w:p w14:paraId="3673D6D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Председатель комиссии:</w:t>
            </w:r>
          </w:p>
          <w:p w14:paraId="15069E4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Командир 1 ОВД ВДВ КА капитан</w:t>
            </w:r>
          </w:p>
        </w:tc>
        <w:tc>
          <w:tcPr>
            <w:tcW w:w="4785" w:type="dxa"/>
            <w:tcBorders>
              <w:top w:val="single" w:sz="12" w:space="0" w:color="auto"/>
            </w:tcBorders>
          </w:tcPr>
          <w:p w14:paraId="39F3A46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52F7A2C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/ФАДЕЕВ/</w:t>
            </w:r>
          </w:p>
        </w:tc>
      </w:tr>
      <w:tr w:rsidR="006331D6" w:rsidRPr="007224C3" w14:paraId="684E2BC1" w14:textId="77777777">
        <w:tc>
          <w:tcPr>
            <w:tcW w:w="4785" w:type="dxa"/>
          </w:tcPr>
          <w:p w14:paraId="164A577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Члены комиссии:</w:t>
            </w:r>
          </w:p>
        </w:tc>
        <w:tc>
          <w:tcPr>
            <w:tcW w:w="4785" w:type="dxa"/>
          </w:tcPr>
          <w:p w14:paraId="3D0AF46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113C8CE9" w14:textId="77777777">
        <w:tc>
          <w:tcPr>
            <w:tcW w:w="4785" w:type="dxa"/>
          </w:tcPr>
          <w:p w14:paraId="19F16CA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 инженер 1 ОВД пилот аэростата</w:t>
            </w:r>
          </w:p>
          <w:p w14:paraId="5DE2C8F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инж. капитан</w:t>
            </w:r>
          </w:p>
        </w:tc>
        <w:tc>
          <w:tcPr>
            <w:tcW w:w="4785" w:type="dxa"/>
          </w:tcPr>
          <w:p w14:paraId="60458F3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6793194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/УСТИНОВИЧ/</w:t>
            </w:r>
          </w:p>
        </w:tc>
      </w:tr>
      <w:tr w:rsidR="006331D6" w:rsidRPr="007224C3" w14:paraId="7BD8C4C8" w14:textId="77777777">
        <w:tc>
          <w:tcPr>
            <w:tcW w:w="4785" w:type="dxa"/>
          </w:tcPr>
          <w:p w14:paraId="5AF6864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Главный конструктор аэростата</w:t>
            </w:r>
          </w:p>
          <w:p w14:paraId="3E8973F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инж. капитан</w:t>
            </w:r>
          </w:p>
        </w:tc>
        <w:tc>
          <w:tcPr>
            <w:tcW w:w="4785" w:type="dxa"/>
          </w:tcPr>
          <w:p w14:paraId="3A33548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5E3D970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/ГАРФ/</w:t>
            </w:r>
          </w:p>
        </w:tc>
      </w:tr>
      <w:tr w:rsidR="006331D6" w:rsidRPr="007224C3" w14:paraId="5FA6C2D4" w14:textId="77777777">
        <w:tc>
          <w:tcPr>
            <w:tcW w:w="4785" w:type="dxa"/>
          </w:tcPr>
          <w:p w14:paraId="46021E8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Командир дирижабля В-12</w:t>
            </w:r>
          </w:p>
          <w:p w14:paraId="5A5ABE4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 л-т</w:t>
            </w:r>
          </w:p>
        </w:tc>
        <w:tc>
          <w:tcPr>
            <w:tcW w:w="4785" w:type="dxa"/>
          </w:tcPr>
          <w:p w14:paraId="6643307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3AA8252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/РОЩИН/</w:t>
            </w:r>
          </w:p>
        </w:tc>
      </w:tr>
      <w:tr w:rsidR="006331D6" w:rsidRPr="007224C3" w14:paraId="75474D4B" w14:textId="77777777">
        <w:tc>
          <w:tcPr>
            <w:tcW w:w="4785" w:type="dxa"/>
          </w:tcPr>
          <w:p w14:paraId="1B8D218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 мастерских 1 ОВД</w:t>
            </w:r>
          </w:p>
          <w:p w14:paraId="104CCC3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 т/л-т</w:t>
            </w:r>
          </w:p>
        </w:tc>
        <w:tc>
          <w:tcPr>
            <w:tcW w:w="4785" w:type="dxa"/>
          </w:tcPr>
          <w:p w14:paraId="6D43BB2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5A6F276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/СТЕПАНОВ/</w:t>
            </w:r>
          </w:p>
        </w:tc>
      </w:tr>
      <w:tr w:rsidR="006331D6" w:rsidRPr="007224C3" w14:paraId="51A25A9E" w14:textId="77777777">
        <w:tc>
          <w:tcPr>
            <w:tcW w:w="4785" w:type="dxa"/>
            <w:tcBorders>
              <w:bottom w:val="single" w:sz="12" w:space="0" w:color="auto"/>
            </w:tcBorders>
          </w:tcPr>
          <w:p w14:paraId="4B6D1CE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утверждению согласен.:</w:t>
            </w:r>
          </w:p>
          <w:p w14:paraId="33FA77B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Главный инженер авиации ВДВ КА</w:t>
            </w:r>
          </w:p>
          <w:p w14:paraId="2ACEE73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Инженер-подполковник</w:t>
            </w:r>
          </w:p>
        </w:tc>
        <w:tc>
          <w:tcPr>
            <w:tcW w:w="4785" w:type="dxa"/>
            <w:tcBorders>
              <w:bottom w:val="single" w:sz="12" w:space="0" w:color="auto"/>
            </w:tcBorders>
          </w:tcPr>
          <w:p w14:paraId="5E88227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279FC72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37A8611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/НАХВАНОВИЧ/</w:t>
            </w:r>
          </w:p>
        </w:tc>
      </w:tr>
    </w:tbl>
    <w:p w14:paraId="5C7B4B5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(11080)</w:t>
      </w:r>
    </w:p>
    <w:p w14:paraId="01074B8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561F6584" w14:textId="77777777" w:rsidR="00EB290F" w:rsidRPr="007224C3" w:rsidRDefault="00EB290F"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7 января — 20 мая 1944 г. «Малыш» проходил государственные испытания. Пилотом-испыта</w:t>
      </w:r>
      <w:r w:rsidRPr="007224C3">
        <w:rPr>
          <w:rFonts w:ascii="Times New Roman" w:hAnsi="Times New Roman"/>
          <w:color w:val="0070C0"/>
          <w:sz w:val="16"/>
          <w:szCs w:val="16"/>
        </w:rPr>
        <w:softHyphen/>
        <w:t>телем был старший инженер дивизиона капи</w:t>
      </w:r>
      <w:r w:rsidRPr="007224C3">
        <w:rPr>
          <w:rFonts w:ascii="Times New Roman" w:hAnsi="Times New Roman"/>
          <w:color w:val="0070C0"/>
          <w:sz w:val="16"/>
          <w:szCs w:val="16"/>
        </w:rPr>
        <w:softHyphen/>
        <w:t>тан В.А. Устинович. Аэростат выполнил 70 при</w:t>
      </w:r>
      <w:r w:rsidRPr="007224C3">
        <w:rPr>
          <w:rFonts w:ascii="Times New Roman" w:hAnsi="Times New Roman"/>
          <w:color w:val="0070C0"/>
          <w:sz w:val="16"/>
          <w:szCs w:val="16"/>
        </w:rPr>
        <w:softHyphen/>
        <w:t>вязных подъёмов, при которых было сброшено 192 парашютистов. Прыжки выполнялись с вы</w:t>
      </w:r>
      <w:r w:rsidRPr="007224C3">
        <w:rPr>
          <w:rFonts w:ascii="Times New Roman" w:hAnsi="Times New Roman"/>
          <w:color w:val="0070C0"/>
          <w:sz w:val="16"/>
          <w:szCs w:val="16"/>
        </w:rPr>
        <w:softHyphen/>
        <w:t>соты 400 м.</w:t>
      </w:r>
    </w:p>
    <w:p w14:paraId="0D86630E" w14:textId="77777777" w:rsidR="00EB290F" w:rsidRPr="007224C3" w:rsidRDefault="00EB290F"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Управляемых полётов, по свидетельству В.А. Устиновича, было всего четыре-пять. В по</w:t>
      </w:r>
      <w:r w:rsidRPr="007224C3">
        <w:rPr>
          <w:rFonts w:ascii="Times New Roman" w:hAnsi="Times New Roman"/>
          <w:color w:val="0070C0"/>
          <w:sz w:val="16"/>
          <w:szCs w:val="16"/>
        </w:rPr>
        <w:softHyphen/>
        <w:t>следнем полёте в качестве пассажира взяли Б.А. Гарфа. Перетяжелённый аэростат двух че</w:t>
      </w:r>
      <w:r w:rsidRPr="007224C3">
        <w:rPr>
          <w:rFonts w:ascii="Times New Roman" w:hAnsi="Times New Roman"/>
          <w:color w:val="0070C0"/>
          <w:sz w:val="16"/>
          <w:szCs w:val="16"/>
        </w:rPr>
        <w:softHyphen/>
        <w:t>ловек поднять не мог. Тогда стартовая команда на руках раскачала «Малыша» и подбросила его вместе с экипажем. В.А. Устинович дал полный газ, и аэростат поднялся. После выработки то</w:t>
      </w:r>
      <w:r w:rsidRPr="007224C3">
        <w:rPr>
          <w:rFonts w:ascii="Times New Roman" w:hAnsi="Times New Roman"/>
          <w:color w:val="0070C0"/>
          <w:sz w:val="16"/>
          <w:szCs w:val="16"/>
        </w:rPr>
        <w:softHyphen/>
        <w:t>плива он посадил «Малыша». По наблюдениям пилота в полёте «Малыш» вёл себя хорошо, но его управляемость из-за малой площади опере</w:t>
      </w:r>
      <w:r w:rsidRPr="007224C3">
        <w:rPr>
          <w:rFonts w:ascii="Times New Roman" w:hAnsi="Times New Roman"/>
          <w:color w:val="0070C0"/>
          <w:sz w:val="16"/>
          <w:szCs w:val="16"/>
        </w:rPr>
        <w:softHyphen/>
        <w:t>ния по сравнению с «СССР В-1» была хуже.</w:t>
      </w:r>
    </w:p>
    <w:p w14:paraId="7792CB5A" w14:textId="77777777" w:rsidR="00EB290F" w:rsidRPr="007224C3" w:rsidRDefault="00EB290F"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 1944 г. по инициативе Б.А. Гарфа 1-й ОВД ВДВ спроектировал, построил и успешно испытал моторизованный аэростат «Малыш», предназначавшийся для обучения парашютистов-десантников. В его конструкции использовались агрегаты серийно выпускавших</w:t>
      </w:r>
      <w:r w:rsidRPr="007224C3">
        <w:rPr>
          <w:rFonts w:ascii="Times New Roman" w:hAnsi="Times New Roman"/>
          <w:color w:val="0070C0"/>
          <w:sz w:val="16"/>
          <w:szCs w:val="16"/>
        </w:rPr>
        <w:softHyphen/>
        <w:t>ся аппаратов: оболочка аэростата наблюдения ДАГ-2 с вклеенным в неё воздушным баллонетом и фюзеляж самолёта По-2.</w:t>
      </w:r>
    </w:p>
    <w:p w14:paraId="55902F89" w14:textId="77777777" w:rsidR="00EB290F" w:rsidRPr="007224C3" w:rsidRDefault="00EB290F"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«Малыш» при объёме оболочки 1030 м3 имел длину 30 м и диаметр 9,6 м. Двигатель — М-11Д с максимальной мощностью 120 л.с. Максималь</w:t>
      </w:r>
      <w:r w:rsidRPr="007224C3">
        <w:rPr>
          <w:rFonts w:ascii="Times New Roman" w:hAnsi="Times New Roman"/>
          <w:color w:val="0070C0"/>
          <w:sz w:val="16"/>
          <w:szCs w:val="16"/>
        </w:rPr>
        <w:softHyphen/>
        <w:t>ная скорость — 80 км/ч, крейсерская — 73 км/ч. Дальность полёта с одним пилотом на крейсер</w:t>
      </w:r>
      <w:r w:rsidRPr="007224C3">
        <w:rPr>
          <w:rFonts w:ascii="Times New Roman" w:hAnsi="Times New Roman"/>
          <w:color w:val="0070C0"/>
          <w:sz w:val="16"/>
          <w:szCs w:val="16"/>
        </w:rPr>
        <w:softHyphen/>
        <w:t>ской скорости была 365 км, статический потолок в режиме привязного аэростата с одним наблю</w:t>
      </w:r>
      <w:r w:rsidRPr="007224C3">
        <w:rPr>
          <w:rFonts w:ascii="Times New Roman" w:hAnsi="Times New Roman"/>
          <w:color w:val="0070C0"/>
          <w:sz w:val="16"/>
          <w:szCs w:val="16"/>
        </w:rPr>
        <w:softHyphen/>
        <w:t>дателем — 2200 м (с двумя — 1600 м). Коли</w:t>
      </w:r>
      <w:r w:rsidRPr="007224C3">
        <w:rPr>
          <w:rFonts w:ascii="Times New Roman" w:hAnsi="Times New Roman"/>
          <w:color w:val="0070C0"/>
          <w:sz w:val="16"/>
          <w:szCs w:val="16"/>
        </w:rPr>
        <w:softHyphen/>
        <w:t>чество сбрасываемых парашютистов с аэростата в привязном варианте — четыре человека. Вес конструкции — 910 кг.</w:t>
      </w:r>
    </w:p>
    <w:p w14:paraId="177C6DB8" w14:textId="77777777" w:rsidR="00EB290F" w:rsidRPr="007224C3" w:rsidRDefault="00EB290F"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Воздушный баллонет имел аппендикс для на</w:t>
      </w:r>
      <w:r w:rsidRPr="007224C3">
        <w:rPr>
          <w:rFonts w:ascii="Times New Roman" w:hAnsi="Times New Roman"/>
          <w:color w:val="0070C0"/>
          <w:sz w:val="16"/>
          <w:szCs w:val="16"/>
        </w:rPr>
        <w:softHyphen/>
        <w:t>полнения вентилятором на земле, воздушный клапан и воздухоулавливатель для наполнения воздухом в полёте.</w:t>
      </w:r>
    </w:p>
    <w:p w14:paraId="1B89E23F" w14:textId="77777777" w:rsidR="00EB290F" w:rsidRPr="007224C3" w:rsidRDefault="00EB290F"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Для осуществления персоналом маневриро</w:t>
      </w:r>
      <w:r w:rsidRPr="007224C3">
        <w:rPr>
          <w:rFonts w:ascii="Times New Roman" w:hAnsi="Times New Roman"/>
          <w:color w:val="0070C0"/>
          <w:sz w:val="16"/>
          <w:szCs w:val="16"/>
        </w:rPr>
        <w:softHyphen/>
        <w:t>вания на земле на оболочке имелись шесть пояс</w:t>
      </w:r>
      <w:r w:rsidRPr="007224C3">
        <w:rPr>
          <w:rFonts w:ascii="Times New Roman" w:hAnsi="Times New Roman"/>
          <w:color w:val="0070C0"/>
          <w:sz w:val="16"/>
          <w:szCs w:val="16"/>
        </w:rPr>
        <w:softHyphen/>
        <w:t>ных верёвок, по три с каждого борта, присоеди</w:t>
      </w:r>
      <w:r w:rsidRPr="007224C3">
        <w:rPr>
          <w:rFonts w:ascii="Times New Roman" w:hAnsi="Times New Roman"/>
          <w:color w:val="0070C0"/>
          <w:sz w:val="16"/>
          <w:szCs w:val="16"/>
        </w:rPr>
        <w:softHyphen/>
        <w:t>нённых к параболическим мостикам. В привяз</w:t>
      </w:r>
      <w:r w:rsidRPr="007224C3">
        <w:rPr>
          <w:rFonts w:ascii="Times New Roman" w:hAnsi="Times New Roman"/>
          <w:color w:val="0070C0"/>
          <w:sz w:val="16"/>
          <w:szCs w:val="16"/>
        </w:rPr>
        <w:softHyphen/>
        <w:t>ном варианте к первому и третьему мостикам крепились уздечки привязного троса, а ко второ</w:t>
      </w:r>
      <w:r w:rsidRPr="007224C3">
        <w:rPr>
          <w:rFonts w:ascii="Times New Roman" w:hAnsi="Times New Roman"/>
          <w:color w:val="0070C0"/>
          <w:sz w:val="16"/>
          <w:szCs w:val="16"/>
        </w:rPr>
        <w:softHyphen/>
        <w:t>му и четвёртому — подвесные стропы десантной гондолы ДТГ-1. В моторизованном варианте мо</w:t>
      </w:r>
      <w:r w:rsidRPr="007224C3">
        <w:rPr>
          <w:rFonts w:ascii="Times New Roman" w:hAnsi="Times New Roman"/>
          <w:color w:val="0070C0"/>
          <w:sz w:val="16"/>
          <w:szCs w:val="16"/>
        </w:rPr>
        <w:softHyphen/>
        <w:t>тогондола подвешивалась ко всем четырём мос</w:t>
      </w:r>
      <w:r w:rsidRPr="007224C3">
        <w:rPr>
          <w:rFonts w:ascii="Times New Roman" w:hAnsi="Times New Roman"/>
          <w:color w:val="0070C0"/>
          <w:sz w:val="16"/>
          <w:szCs w:val="16"/>
        </w:rPr>
        <w:softHyphen/>
        <w:t>тикам.</w:t>
      </w:r>
    </w:p>
    <w:p w14:paraId="13B9396C" w14:textId="77777777" w:rsidR="00EB290F" w:rsidRPr="007224C3" w:rsidRDefault="00EB290F"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Газовый аппендикс диаметром 55 см нахо</w:t>
      </w:r>
      <w:r w:rsidRPr="007224C3">
        <w:rPr>
          <w:rFonts w:ascii="Times New Roman" w:hAnsi="Times New Roman"/>
          <w:color w:val="0070C0"/>
          <w:sz w:val="16"/>
          <w:szCs w:val="16"/>
        </w:rPr>
        <w:softHyphen/>
        <w:t>дился снизу в носовой части оболочки перед баллонетом. Там же располагалось и разрывное устройство. Стягивающая система из резиновых жгутов начиналась от носовой части и оканчива</w:t>
      </w:r>
      <w:r w:rsidRPr="007224C3">
        <w:rPr>
          <w:rFonts w:ascii="Times New Roman" w:hAnsi="Times New Roman"/>
          <w:color w:val="0070C0"/>
          <w:sz w:val="16"/>
          <w:szCs w:val="16"/>
        </w:rPr>
        <w:softHyphen/>
        <w:t>лась за 1 м впереди оперения.</w:t>
      </w:r>
    </w:p>
    <w:p w14:paraId="43DC8FFE" w14:textId="77777777" w:rsidR="00EB290F" w:rsidRPr="007224C3" w:rsidRDefault="00EB290F"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Для носового усиления спроектировали и изготовили деревянные рейки и внутренние пневматические шланги, но лётные испытания показали, что усиление не нужно, так как при нормальном избыточном давлении 40 мм. рт. ст. «ложки» не образовывались даже при макси</w:t>
      </w:r>
      <w:r w:rsidRPr="007224C3">
        <w:rPr>
          <w:rFonts w:ascii="Times New Roman" w:hAnsi="Times New Roman"/>
          <w:color w:val="0070C0"/>
          <w:sz w:val="16"/>
          <w:szCs w:val="16"/>
        </w:rPr>
        <w:softHyphen/>
        <w:t>мальной скорости полёта.</w:t>
      </w:r>
    </w:p>
    <w:p w14:paraId="7F8CE01B" w14:textId="77777777" w:rsidR="00EB290F" w:rsidRPr="007224C3" w:rsidRDefault="00EB290F"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lastRenderedPageBreak/>
        <w:t>На приборной доске пилота размещались ком</w:t>
      </w:r>
      <w:r w:rsidRPr="007224C3">
        <w:rPr>
          <w:rFonts w:ascii="Times New Roman" w:hAnsi="Times New Roman"/>
          <w:color w:val="0070C0"/>
          <w:sz w:val="16"/>
          <w:szCs w:val="16"/>
        </w:rPr>
        <w:softHyphen/>
        <w:t>пас, указатель скорости, альтиметр, аэротермо</w:t>
      </w:r>
      <w:r w:rsidRPr="007224C3">
        <w:rPr>
          <w:rFonts w:ascii="Times New Roman" w:hAnsi="Times New Roman"/>
          <w:color w:val="0070C0"/>
          <w:sz w:val="16"/>
          <w:szCs w:val="16"/>
        </w:rPr>
        <w:softHyphen/>
        <w:t>метр. Газовый и воздушный манометры крепи</w:t>
      </w:r>
      <w:r w:rsidRPr="007224C3">
        <w:rPr>
          <w:rFonts w:ascii="Times New Roman" w:hAnsi="Times New Roman"/>
          <w:color w:val="0070C0"/>
          <w:sz w:val="16"/>
          <w:szCs w:val="16"/>
        </w:rPr>
        <w:softHyphen/>
        <w:t>лись справа на стойке воздухоулавливателя. Под левой рукой пилота находилось кольцо управ</w:t>
      </w:r>
      <w:r w:rsidRPr="007224C3">
        <w:rPr>
          <w:rFonts w:ascii="Times New Roman" w:hAnsi="Times New Roman"/>
          <w:color w:val="0070C0"/>
          <w:sz w:val="16"/>
          <w:szCs w:val="16"/>
        </w:rPr>
        <w:softHyphen/>
        <w:t>ления сбрасыванием гайдропа, прикреплённого к днищу гондолы в её кормовой части. Над голо</w:t>
      </w:r>
      <w:r w:rsidRPr="007224C3">
        <w:rPr>
          <w:rFonts w:ascii="Times New Roman" w:hAnsi="Times New Roman"/>
          <w:color w:val="0070C0"/>
          <w:sz w:val="16"/>
          <w:szCs w:val="16"/>
        </w:rPr>
        <w:softHyphen/>
        <w:t>вой пилота размещалась тяга к разрывному полотнищу, справа — тяга к воздушному клапану, который установили в нижней части баллонета, слева над головой — тяга к газовому клапану. Управление рулями высоты осуществлялась при помощи штурвала, укреплённого на правом бор</w:t>
      </w:r>
      <w:r w:rsidRPr="007224C3">
        <w:rPr>
          <w:rFonts w:ascii="Times New Roman" w:hAnsi="Times New Roman"/>
          <w:color w:val="0070C0"/>
          <w:sz w:val="16"/>
          <w:szCs w:val="16"/>
        </w:rPr>
        <w:softHyphen/>
        <w:t>ту гондолы, рулями направления — при помощи педалей. Конструкция оперения была деревян</w:t>
      </w:r>
      <w:r w:rsidRPr="007224C3">
        <w:rPr>
          <w:rFonts w:ascii="Times New Roman" w:hAnsi="Times New Roman"/>
          <w:color w:val="0070C0"/>
          <w:sz w:val="16"/>
          <w:szCs w:val="16"/>
        </w:rPr>
        <w:softHyphen/>
        <w:t>ной, его каркас был обтянут материей, покрытой лаком.</w:t>
      </w:r>
    </w:p>
    <w:p w14:paraId="5A7E6E08" w14:textId="77777777" w:rsidR="00EB290F" w:rsidRPr="007224C3" w:rsidRDefault="00EB290F"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На биваке для предохранения нижнего стаби</w:t>
      </w:r>
      <w:r w:rsidRPr="007224C3">
        <w:rPr>
          <w:rFonts w:ascii="Times New Roman" w:hAnsi="Times New Roman"/>
          <w:color w:val="0070C0"/>
          <w:sz w:val="16"/>
          <w:szCs w:val="16"/>
        </w:rPr>
        <w:softHyphen/>
        <w:t>лизатора под оболочку подводился газгольдер, наполненный воздухом с расчётом, чтобы киль не доходил до земли на 0,5-0,75 м. В таком поло</w:t>
      </w:r>
      <w:r w:rsidRPr="007224C3">
        <w:rPr>
          <w:rFonts w:ascii="Times New Roman" w:hAnsi="Times New Roman"/>
          <w:color w:val="0070C0"/>
          <w:sz w:val="16"/>
          <w:szCs w:val="16"/>
        </w:rPr>
        <w:softHyphen/>
        <w:t>жении аэростат закрепляли.</w:t>
      </w:r>
    </w:p>
    <w:p w14:paraId="3F501D6C" w14:textId="77777777" w:rsidR="00EB290F" w:rsidRPr="007224C3" w:rsidRDefault="00EB290F"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Государственная комиссия отметила, что при небольших изменениях в конструкции, мотори</w:t>
      </w:r>
      <w:r w:rsidRPr="007224C3">
        <w:rPr>
          <w:rFonts w:ascii="Times New Roman" w:hAnsi="Times New Roman"/>
          <w:color w:val="0070C0"/>
          <w:sz w:val="16"/>
          <w:szCs w:val="16"/>
        </w:rPr>
        <w:softHyphen/>
        <w:t>зованный аэростат можно применять для кор</w:t>
      </w:r>
      <w:r w:rsidRPr="007224C3">
        <w:rPr>
          <w:rFonts w:ascii="Times New Roman" w:hAnsi="Times New Roman"/>
          <w:color w:val="0070C0"/>
          <w:sz w:val="16"/>
          <w:szCs w:val="16"/>
        </w:rPr>
        <w:softHyphen/>
        <w:t>ректирования артиллерийского огня, детальной разведки переднего края, конвоирования мор</w:t>
      </w:r>
      <w:r w:rsidRPr="007224C3">
        <w:rPr>
          <w:rFonts w:ascii="Times New Roman" w:hAnsi="Times New Roman"/>
          <w:color w:val="0070C0"/>
          <w:sz w:val="16"/>
          <w:szCs w:val="16"/>
        </w:rPr>
        <w:softHyphen/>
        <w:t>ских судов и обнаружения подводных лодок про</w:t>
      </w:r>
      <w:r w:rsidRPr="007224C3">
        <w:rPr>
          <w:rFonts w:ascii="Times New Roman" w:hAnsi="Times New Roman"/>
          <w:color w:val="0070C0"/>
          <w:sz w:val="16"/>
          <w:szCs w:val="16"/>
        </w:rPr>
        <w:softHyphen/>
        <w:t>тивника, а также для ледовой разведки.</w:t>
      </w:r>
    </w:p>
    <w:p w14:paraId="7F857D04" w14:textId="77777777" w:rsidR="00EB290F" w:rsidRPr="007224C3" w:rsidRDefault="00EB290F"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Служба аэростата оказалась непродолжитель</w:t>
      </w:r>
      <w:r w:rsidRPr="007224C3">
        <w:rPr>
          <w:rFonts w:ascii="Times New Roman" w:hAnsi="Times New Roman"/>
          <w:color w:val="0070C0"/>
          <w:sz w:val="16"/>
          <w:szCs w:val="16"/>
        </w:rPr>
        <w:softHyphen/>
        <w:t>ной. Командование находившегося в годы войны в Нахабино воздушно-десантного училища обра</w:t>
      </w:r>
      <w:r w:rsidRPr="007224C3">
        <w:rPr>
          <w:rFonts w:ascii="Times New Roman" w:hAnsi="Times New Roman"/>
          <w:color w:val="0070C0"/>
          <w:sz w:val="16"/>
          <w:szCs w:val="16"/>
        </w:rPr>
        <w:softHyphen/>
        <w:t>тилось в 1-й ОВД ВДВ с просьбой предоставить в его распоряжение «Малыша» для парашютного сброса очередных групп выпускников. К концу третьего дня работы поднялся ветер. Стартовая команда не придала этому значения и задержа</w:t>
      </w:r>
      <w:r w:rsidRPr="007224C3">
        <w:rPr>
          <w:rFonts w:ascii="Times New Roman" w:hAnsi="Times New Roman"/>
          <w:color w:val="0070C0"/>
          <w:sz w:val="16"/>
          <w:szCs w:val="16"/>
        </w:rPr>
        <w:softHyphen/>
        <w:t>лась со спуском аэростата. Ветер бросил «Ма</w:t>
      </w:r>
      <w:r w:rsidRPr="007224C3">
        <w:rPr>
          <w:rFonts w:ascii="Times New Roman" w:hAnsi="Times New Roman"/>
          <w:color w:val="0070C0"/>
          <w:sz w:val="16"/>
          <w:szCs w:val="16"/>
        </w:rPr>
        <w:softHyphen/>
        <w:t>лыша» на деревья. Его оболочка была изорвана, а оперение — повреждено и ремонту уже не под</w:t>
      </w:r>
      <w:r w:rsidRPr="007224C3">
        <w:rPr>
          <w:rFonts w:ascii="Times New Roman" w:hAnsi="Times New Roman"/>
          <w:color w:val="0070C0"/>
          <w:sz w:val="16"/>
          <w:szCs w:val="16"/>
        </w:rPr>
        <w:softHyphen/>
        <w:t>лежало (20120).</w:t>
      </w:r>
    </w:p>
    <w:p w14:paraId="3F19F8EA" w14:textId="77777777" w:rsidR="00EB290F" w:rsidRPr="007224C3" w:rsidRDefault="00EB290F" w:rsidP="007224C3">
      <w:pPr>
        <w:spacing w:after="0" w:line="240" w:lineRule="auto"/>
        <w:jc w:val="both"/>
        <w:rPr>
          <w:rFonts w:ascii="Times New Roman" w:hAnsi="Times New Roman"/>
          <w:color w:val="0070C0"/>
          <w:sz w:val="16"/>
          <w:szCs w:val="16"/>
        </w:rPr>
      </w:pPr>
    </w:p>
    <w:p w14:paraId="0FE9A050"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10B7D2D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721374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января 1944 г. было подготовлено ЗАКЛЮЧЕНИЕ 6-го ОТДЕЛА ТУ ГБТУ КА ПО АНГЛИЙСКИМ ТАНКАМ СО СБРАСЫВАЮЩИМИСЯ МОСТАМИ ДЛЯ ПРЕОДОЛЕНИЯ ПРОТИВОТАНКОВЫХ ПРЕПЯТСТВИЙ</w:t>
      </w:r>
    </w:p>
    <w:p w14:paraId="505339F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рассмотрение были представлены следующие материалы: фотографии танка, моста, две схемы и выписка из докладной записки об их демонстрации.</w:t>
      </w:r>
    </w:p>
    <w:p w14:paraId="23E452D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Насколько можно судить по предоставленному материалу, танки со сбрасывающими мостами представляют известную ценность, так как для их наведения не требуется выхода экипажа из танка. Время, затрачиваемое на наведение моста, невелико.</w:t>
      </w:r>
    </w:p>
    <w:p w14:paraId="094AB0D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Снижение тактико-технических свойств танков-мостов, по сравнению с линейными танками соответствующих типов, незначительное.</w:t>
      </w:r>
    </w:p>
    <w:p w14:paraId="116FCEF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Наряду с отмеченными положительными свойствами, необходимо указать на следующие недо</w:t>
      </w:r>
      <w:r w:rsidRPr="007224C3">
        <w:rPr>
          <w:rFonts w:ascii="Times New Roman" w:hAnsi="Times New Roman"/>
          <w:color w:val="000000" w:themeColor="text1"/>
          <w:sz w:val="16"/>
          <w:szCs w:val="16"/>
        </w:rPr>
        <w:softHyphen/>
        <w:t>статки:</w:t>
      </w:r>
    </w:p>
    <w:p w14:paraId="096310C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Танк-мост становится специальной саперной машиной.</w:t>
      </w:r>
    </w:p>
    <w:p w14:paraId="388672B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Необходимость выхода экипажа из танка для съема моста с препятствия.</w:t>
      </w:r>
    </w:p>
    <w:p w14:paraId="18EC801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Необходимость дополнительной команды людей для съема перекошенного моста.</w:t>
      </w:r>
    </w:p>
    <w:p w14:paraId="43FB04D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Сложность переоборудования серийного танка в танк-мост.</w:t>
      </w:r>
    </w:p>
    <w:p w14:paraId="0FF58A1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Сложность устройства привода моста.</w:t>
      </w:r>
    </w:p>
    <w:p w14:paraId="59BE7F7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Уязвимость механизмов привода моста от огня противника.</w:t>
      </w:r>
    </w:p>
    <w:p w14:paraId="7C2D21D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Невозможность эвакуации моста в случае неудачной операции.</w:t>
      </w:r>
    </w:p>
    <w:p w14:paraId="6A79247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Одновременно сообщаю, что изготовленный в 1940 году опытный образец танка-моста ИТ-28, который прошел испытания на НИБТ ГБТУ КА, обладает рядом преимуществ по сравнению с пред</w:t>
      </w:r>
      <w:r w:rsidRPr="007224C3">
        <w:rPr>
          <w:rFonts w:ascii="Times New Roman" w:hAnsi="Times New Roman"/>
          <w:color w:val="000000" w:themeColor="text1"/>
          <w:sz w:val="16"/>
          <w:szCs w:val="16"/>
        </w:rPr>
        <w:softHyphen/>
        <w:t>ставленными на рассмотрение английскими танками-мостами.</w:t>
      </w:r>
    </w:p>
    <w:p w14:paraId="44794CA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Преимущества эти следующие:</w:t>
      </w:r>
    </w:p>
    <w:p w14:paraId="7C7DEDC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Установка и съем моста с препятствия производится без выхода экипажа из танка.</w:t>
      </w:r>
    </w:p>
    <w:p w14:paraId="06176F4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Мост позволяет преодолевать препятствия: горизонтальные до 12 м шириной и вертикальные до 4,5 м высотой.</w:t>
      </w:r>
    </w:p>
    <w:p w14:paraId="4C144F4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Грузоподъемность моста 50 тонн.</w:t>
      </w:r>
    </w:p>
    <w:p w14:paraId="423347B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 начала войны разместить заказы на изготовление этих мостов заводам промышленности не удалось, а с началом войны и перебазированием заводов дальнейшие работы по ИТ-28 были пре</w:t>
      </w:r>
      <w:r w:rsidRPr="007224C3">
        <w:rPr>
          <w:rFonts w:ascii="Times New Roman" w:hAnsi="Times New Roman"/>
          <w:color w:val="000000" w:themeColor="text1"/>
          <w:sz w:val="16"/>
          <w:szCs w:val="16"/>
        </w:rPr>
        <w:softHyphen/>
        <w:t>кращены.</w:t>
      </w:r>
    </w:p>
    <w:p w14:paraId="445406C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настоящее время выпуск танков Т-28 прекращен. Поэтому желательно дальнейшую работу по мосту ИТ-28 проводить на базе танка Т-34.</w:t>
      </w:r>
    </w:p>
    <w:p w14:paraId="669520C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начальника 6-го отдела ТУ ГБТУ КА инженер-майор Ворошилов</w:t>
      </w:r>
    </w:p>
    <w:p w14:paraId="0217C21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Пом. начальника 6-го отдела ТУ ГБТУ КА инженер-капитан Кузнецов</w:t>
      </w:r>
    </w:p>
    <w:p w14:paraId="647CFA7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38. Оп. 11353. Д. 611. Л. 3. Подлинник (11403).</w:t>
      </w:r>
    </w:p>
    <w:p w14:paraId="29A17D7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33577E6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января 1944 года была подготовлена справка:</w:t>
      </w:r>
    </w:p>
    <w:p w14:paraId="3E99CB8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Ведение восстановительных работ по заводу № 13-ф – Брянск (9277).</w:t>
      </w:r>
    </w:p>
    <w:p w14:paraId="2D22C3A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 621 НК легпрома (9277).</w:t>
      </w:r>
    </w:p>
    <w:p w14:paraId="29B8B8E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9B6571" w14:textId="77777777" w:rsidR="00264F92" w:rsidRPr="007224C3" w:rsidRDefault="00264F9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января 1944 г. вышло Постановление ГКО за № 50312 «О производстве морских артиллерийских и гироскопических систем, обеспечивающих совместную работу с радиолокационными установками, на заводе № 706 Наркомсудпрома»,</w:t>
      </w:r>
    </w:p>
    <w:p w14:paraId="1A8F77DF" w14:textId="77777777" w:rsidR="00264F92" w:rsidRPr="007224C3" w:rsidRDefault="00264F92" w:rsidP="007224C3">
      <w:pPr>
        <w:spacing w:after="0" w:line="240" w:lineRule="auto"/>
        <w:jc w:val="both"/>
        <w:rPr>
          <w:rFonts w:ascii="Times New Roman" w:hAnsi="Times New Roman"/>
          <w:color w:val="000000" w:themeColor="text1"/>
          <w:sz w:val="16"/>
          <w:szCs w:val="16"/>
        </w:rPr>
      </w:pPr>
    </w:p>
    <w:p w14:paraId="0CF654FF" w14:textId="77777777" w:rsidR="00264F92" w:rsidRPr="007224C3" w:rsidRDefault="00264F9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января 1944 г. ПИСЬМО ГРУ ГЕНШТАБА КРАСНОЙ АРМИИ № 365088 С. В. КАФТАНОВУ1 О ХОДЕ РАБОТ В США</w:t>
      </w:r>
    </w:p>
    <w:p w14:paraId="612769D7" w14:textId="77777777" w:rsidR="00264F92" w:rsidRPr="007224C3" w:rsidRDefault="00264F9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агентурным данным, в настоящее время в США разрабатывается вопрос использования атомной энергии урана.</w:t>
      </w:r>
    </w:p>
    <w:p w14:paraId="40144794" w14:textId="77777777" w:rsidR="00264F92" w:rsidRPr="007224C3" w:rsidRDefault="00264F9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Разработка вопроса проводится по двум основным направлениям:</w:t>
      </w:r>
    </w:p>
    <w:p w14:paraId="650AD6E0" w14:textId="77777777" w:rsidR="00264F92" w:rsidRPr="007224C3" w:rsidRDefault="00264F9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получение атомной энергии отделением изотопов из шестифтористого урана путем термической диффузии, проводимой в медных тру</w:t>
      </w:r>
      <w:r w:rsidRPr="007224C3">
        <w:rPr>
          <w:rFonts w:ascii="Times New Roman" w:hAnsi="Times New Roman"/>
          <w:color w:val="000000" w:themeColor="text1"/>
          <w:sz w:val="16"/>
          <w:szCs w:val="16"/>
        </w:rPr>
        <w:softHyphen/>
        <w:t>бах, покрытых никелем;</w:t>
      </w:r>
    </w:p>
    <w:p w14:paraId="6BE22E9B" w14:textId="77777777" w:rsidR="00264F92" w:rsidRPr="007224C3" w:rsidRDefault="00264F9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получение атомной энергии без отделения изотопов, из графит</w:t>
      </w:r>
      <w:r w:rsidRPr="007224C3">
        <w:rPr>
          <w:rFonts w:ascii="Times New Roman" w:hAnsi="Times New Roman"/>
          <w:color w:val="000000" w:themeColor="text1"/>
          <w:sz w:val="16"/>
          <w:szCs w:val="16"/>
        </w:rPr>
        <w:softHyphen/>
        <w:t>ной или угольной смеси с ураном, которая под действием сильных ней</w:t>
      </w:r>
      <w:r w:rsidRPr="007224C3">
        <w:rPr>
          <w:rFonts w:ascii="Times New Roman" w:hAnsi="Times New Roman"/>
          <w:color w:val="000000" w:themeColor="text1"/>
          <w:sz w:val="16"/>
          <w:szCs w:val="16"/>
        </w:rPr>
        <w:softHyphen/>
        <w:t>тронов приостанавливает последовательную реакцию. Последняя была предложена Энрико Ферми.</w:t>
      </w:r>
    </w:p>
    <w:p w14:paraId="5F22EB57" w14:textId="77777777" w:rsidR="00264F92" w:rsidRPr="007224C3" w:rsidRDefault="00264F9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Работы по первому направлению проводятся в Колумбийском уни</w:t>
      </w:r>
      <w:r w:rsidRPr="007224C3">
        <w:rPr>
          <w:rFonts w:ascii="Times New Roman" w:hAnsi="Times New Roman"/>
          <w:color w:val="000000" w:themeColor="text1"/>
          <w:sz w:val="16"/>
          <w:szCs w:val="16"/>
        </w:rPr>
        <w:softHyphen/>
        <w:t>верситете, этой же работой занята «Коллекс Корп[орейшен]» в Нью-Джерси; второе направление отрабатывается в Чикаго.</w:t>
      </w:r>
    </w:p>
    <w:p w14:paraId="59AB4C55" w14:textId="77777777" w:rsidR="00264F92" w:rsidRPr="007224C3" w:rsidRDefault="00264F9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Предполагается постройка опытного завода на 100.000.000 киловатт продукции.</w:t>
      </w:r>
    </w:p>
    <w:p w14:paraId="1B9C5004" w14:textId="77777777" w:rsidR="00264F92" w:rsidRPr="007224C3" w:rsidRDefault="00264F9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Заместитель] начальника Главразведуправления Красной Армии генерал-майор танковых войск В. Хлопов2</w:t>
      </w:r>
    </w:p>
    <w:p w14:paraId="56B67BF3" w14:textId="77777777" w:rsidR="00264F92" w:rsidRPr="007224C3" w:rsidRDefault="00264F9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документе имеется помета: ознакомить академика Курчатова, переслать тов. Васину (15493).</w:t>
      </w:r>
    </w:p>
    <w:p w14:paraId="31BDF298" w14:textId="77777777" w:rsidR="00264F92" w:rsidRPr="007224C3" w:rsidRDefault="00264F92" w:rsidP="007224C3">
      <w:pPr>
        <w:spacing w:after="0" w:line="240" w:lineRule="auto"/>
        <w:jc w:val="both"/>
        <w:rPr>
          <w:rFonts w:ascii="Times New Roman" w:hAnsi="Times New Roman"/>
          <w:color w:val="000000" w:themeColor="text1"/>
          <w:sz w:val="16"/>
          <w:szCs w:val="16"/>
        </w:rPr>
      </w:pPr>
    </w:p>
    <w:p w14:paraId="5F107879"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15EAB03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77639C4" w14:textId="77777777" w:rsidR="00264F92" w:rsidRPr="007224C3" w:rsidRDefault="00264F92"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7 января</w:t>
      </w:r>
      <w:r w:rsidRPr="007224C3">
        <w:rPr>
          <w:rFonts w:ascii="Times New Roman" w:hAnsi="Times New Roman"/>
          <w:color w:val="000000" w:themeColor="text1"/>
          <w:sz w:val="16"/>
          <w:szCs w:val="16"/>
        </w:rPr>
        <w:t xml:space="preserve"> в 1944 году оперативная сводка Совинформбюро:</w:t>
      </w:r>
    </w:p>
    <w:p w14:paraId="3D92F89C" w14:textId="77777777" w:rsidR="00264F92" w:rsidRPr="007224C3" w:rsidRDefault="00264F9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7 января войска 1-го Украинского фронта продолжали наступление и овладели районным центром Ровенской области Клесов, районным центром Житомирской области городом Янушполь, районными центрами Винницкой области Комсомольское, Липовец, Оратов, районными центрами Киевской области городом Ржищев, Ракитно, а также с боями заняли более 70 других населённых пунктов, среди которых крупные населённые пункты Привитов, Мани, Красновулька, Ольшанка, Бабушки, Бейзымовка, Галиевка, Малая Волица, Озадовка, Радянске, Терехова, Бродецкое, Нападовка, Скитка, Тягун, Бабин, Дубровицы, Оратовка, Юшкивцы, Малая Березянка, Лукьяновка, Кисловка, Степок, Болкун, Руссы, Ольшаница, Шпендовка, Ставы, Гороховатка, Черняхов, Стритовка, Хальча, Ульяники и железнодорожные станции Чуднов-Волынский, Демчин, Оратов, Ракитно, Ольшаница. Войска 1-го Украинского фронта соединились с нашими войсками, занимающимиплацдарм на правом берегу Днепра, южнее Киева.</w:t>
      </w:r>
    </w:p>
    <w:p w14:paraId="4A583B6F" w14:textId="77777777" w:rsidR="00264F92" w:rsidRPr="007224C3" w:rsidRDefault="00264F9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2-го Украинского фронта под командованием генерала армии Конева 5 января перешли в наступление и прорвали оборону противника на Кировоградском направлении. За три дня наступления наши войска расширили прорыв по фронту до 100 километров и в глубину свыше 40 километров, освободили более 120 населённыхпунктов и среди них районные центры Кировоградской области Аджамка, Новгородка, крупные населённые пункты Суботцы, Григоровка, Червонный Яр, Новая Андреевка, Казарна, Черняковка, Гаевка, Покровское, Любонадеждовка, Ново-Водяное,Марьевка, Ново-Григорь-Евка, Клинцы, Калинобка, Козыревка, Тарасовка, Оситняжка, Подмогильна, Северинка, Большая Мамайка, Густой Гай, Неопалимовка, Первозвановка, Коноплянка, Осиковата, Обозновка, Грузное, Зава Дьевка, Фёдоровкаи железнодорожные станции Треповка, Канатово, Леле-Ковка.</w:t>
      </w:r>
    </w:p>
    <w:p w14:paraId="35ECE518" w14:textId="77777777" w:rsidR="00264F92" w:rsidRPr="007224C3" w:rsidRDefault="00264F9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Город Кировоград со всех сторон окружён нашими войсками.</w:t>
      </w:r>
    </w:p>
    <w:p w14:paraId="5C1DA667" w14:textId="77777777" w:rsidR="00264F92" w:rsidRPr="007224C3" w:rsidRDefault="00264F9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боях разгромлены три пехотные, одна танковая и одна моторизованная дивизии немцев. Противник понёс большие потери в живой силе и технике.</w:t>
      </w:r>
    </w:p>
    <w:p w14:paraId="7885B1B4" w14:textId="77777777" w:rsidR="00264F92" w:rsidRPr="007224C3" w:rsidRDefault="00264F9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 разведка и артиллерийско-миномётная перестрелка.</w:t>
      </w:r>
    </w:p>
    <w:p w14:paraId="3BFF42FF" w14:textId="77777777" w:rsidR="00264F92" w:rsidRPr="007224C3" w:rsidRDefault="00264F9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6 января наши войска на всех фронтах подбили и уничтожили 141 немецкий танк. В воздушных боях и огнём зенитной артиллерии сбит 51 самолёт противника.</w:t>
      </w:r>
    </w:p>
    <w:p w14:paraId="4ABA0D2C" w14:textId="77777777" w:rsidR="00264F92" w:rsidRPr="007224C3" w:rsidRDefault="00264F9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Войска 1-го Украинского фронта продолжали успешное наступление. Части Н-ского соединения, продвигаясь вдоль железной дороги Коростень-Сарны, овладели районным центром Ровенской области Клесов. На другом участке наши войска сломили упорное сопротивление противника, стремительно продвинулись вперёд и с </w:t>
      </w:r>
      <w:r w:rsidRPr="007224C3">
        <w:rPr>
          <w:rFonts w:ascii="Times New Roman" w:hAnsi="Times New Roman"/>
          <w:color w:val="000000" w:themeColor="text1"/>
          <w:sz w:val="16"/>
          <w:szCs w:val="16"/>
        </w:rPr>
        <w:lastRenderedPageBreak/>
        <w:t>боями заняли районный центр Житомирской области город Янушполь. Советские танки и мотопехота разгромили немецкие части, оборонявшие этот город, и захватили большие трофеи. На подступах к городу противник оставил свыше 26 подбитых и сожжённых танков. Советские части заняли также районные центры Винницкой области Комсомольское, Липовец и Оратов. Войска 1-го Украинского фронта, наступающие вдоль правого берега Днепра, южнее Киева, овладели районным центром Киевской области городом Ржищев и соединились с нашими войсками, занимавшими Букринский плацдарм (на правом берегу Днепра, юго-западнее города Переяслава-Хмельницкого). Занят также районный центр Киевской области Ракитно и свыше 70 других населённых пунктов. За день боёв уничтожено до 5 тысяч немецких солдат и офицеров и взято много пленных. Уничтожено 110 немецких танков и бронемашин, 14 самоходных и 84 полевых орудия, 21 бронетранспортёр, до 200 пулемётов и более 300 автомашин. По неполным данным, нашими частями захвачено у немцев несколько исправных танков, 6 самоходных орудий, 92 полевых орудия, 5 складов с боеприпасами и 34 склада с вооружением, продовольствием и военным имуществом.</w:t>
      </w:r>
    </w:p>
    <w:p w14:paraId="5E983756" w14:textId="77777777" w:rsidR="00264F92" w:rsidRPr="007224C3" w:rsidRDefault="00264F9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2-го Украинского фронта 5 января перешли в наступление на Кировоградском направлении. В ходе наступления наши войска на широком фронте прорвали оборону немцев и заняли более 120 населённых пунктов, в числе которых районные центры Кировоградской области Аджамка и Новгородка. Части Н-ского соединения, действующие севернее Кировограда, продвигаясь вперёд, форсировали реку Ингул, стремительным броском заняли населённый пункт Грузное и перерезали железную дорогу Кировоград-Ново-Украинка. Развивая успех, ваши подвижные частио владели станцией Делековка и южнее этой станции соединились с войсками, наступавшими юго-западнее Кировограда. Тем самым наши войска полностью окружили город Кировоград и немецкие части, обороняющие этот город. Противник несёт тяжёлые потери. Только сегодня советские танкисты и артиллеристы уничтожали 28 немецких танков, 13 бронетранспортёров и более 40 орудий. Отступая под ударами советских войск, разгромленные соединения противника бросают военную технику и военное имущество. Захвачено большое число пленных.</w:t>
      </w:r>
    </w:p>
    <w:p w14:paraId="108FBCBB" w14:textId="77777777" w:rsidR="00264F92" w:rsidRPr="007224C3" w:rsidRDefault="00264F9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Отряд крымских партизан в ночь на 27 декабря подорвал на минах бронепоезд противника. Бронепоезд свалился под откос. Другой отряд крымских партизан проник в одно село и напал на гитлеровцев, грабивших мирных жителей. Советские патриоты истребили более 100 немецких и румынских солдат.</w:t>
      </w:r>
    </w:p>
    <w:p w14:paraId="75480748" w14:textId="77777777" w:rsidR="00264F92" w:rsidRPr="007224C3" w:rsidRDefault="00264F9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одном участке 1-го Украинского фронта сдались в плен два офицера и 135 солдат 504 полка 291 немецкой пехотной дивизии. Обер-лейтенант Гейнц Цинке рассказал: «Второго января наш полк был разгромлен. Командир полка куда-то исчез, и я принял на себя командование оставшимися солдатами. Убедившись в том, что дальнейшее сопротивление бессмысленно, я приказал сложить оружие и сдаться в плен. Солдаты с большой охотой выполнили этот приказ. Мы принесли и сдали русским 16 пулемётов, 105 винтовок и много боеприпасов».</w:t>
      </w:r>
    </w:p>
    <w:p w14:paraId="674C3B95" w14:textId="77777777" w:rsidR="00264F92" w:rsidRPr="007224C3" w:rsidRDefault="00264F9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Ниже публикуется акт о зверствах немцев в деревне Гута, Полесской области:.</w:t>
      </w:r>
    </w:p>
    <w:p w14:paraId="7296A8A7" w14:textId="77777777" w:rsidR="00264F92" w:rsidRPr="007224C3" w:rsidRDefault="00264F9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«Отступая под ударами Красной Армии, немецкие захватчики учинили зверскую расправу над населением деревни. Гитлеровцы загоняли мирных жителей в дома и поджигали постройки. В огне сгорели Анна Бондарь, Александра Жолудь, Ольга Дасько и многие другие взрослые и дети. Мы просим бойцов Красной Армии отомстить немецким извергам за все злодеяния, которые они совершили на советской земле». Акт подписали: Тит Дасько, Клавдия Дасько, Лидия Галушкевич, Софья Дасько и другие жители деревни Гута.» (15002).</w:t>
      </w:r>
    </w:p>
    <w:p w14:paraId="18D11398" w14:textId="77777777" w:rsidR="00264F92" w:rsidRPr="007224C3" w:rsidRDefault="00264F92" w:rsidP="007224C3">
      <w:pPr>
        <w:spacing w:after="0" w:line="240" w:lineRule="auto"/>
        <w:jc w:val="both"/>
        <w:rPr>
          <w:rFonts w:ascii="Times New Roman" w:hAnsi="Times New Roman"/>
          <w:color w:val="000000" w:themeColor="text1"/>
          <w:sz w:val="16"/>
          <w:szCs w:val="16"/>
        </w:rPr>
      </w:pPr>
    </w:p>
    <w:p w14:paraId="27E96AB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января 1944 6-ка Ил-2 под командованием л И.М.Долгова нанесла удар по эшелонам на ст. Шепетовка и уничтожила 14 (до 460 вагонов и платформ и два паровоза). От взрыва вагонов с толом разрушило 5 путей, водонапорная башня и т.п. Повреждения не смогли ликвидировать до 11 февраля, момента прихода наших войск. Получил Осув. 3-й степени (438,892).</w:t>
      </w:r>
    </w:p>
    <w:p w14:paraId="40AEABD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024E8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января 1944 части 1-го шак продолжали наносить удары по окруженным частям вермахта. Учитывая сложную наземную обстановку, действиями штурмовиков над полем боя с КП командующего 5-й гв. А лично руководил командир 1 -го шак генерал Рязанов. Несмотря на сложные метеоусловия и близость целей от линии боевого соприкосновения, летчики корпуса продемонстрировали высокое летное мастерство - в течение дня не было зафиксировано ни одного удара по своим войскам, тогда как противник понес большой урон в живой силе и боевой технике.</w:t>
      </w:r>
    </w:p>
    <w:p w14:paraId="5B8ACC6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Девятка Ил-2 от 673-го шап (ведущий ст. лейтенант Александров) в 2-х километрах юго-западнее Лепековки атаковала колонну автомашин и уничтожила 10 из них. Группа в составе 8 Ил-2 от 800-го шап (ведущий капитан Пошивальников) в оврагах юго-западнее Лепековки сожгла 10 автомашин и одну бензоцистерну. В этом же районе 9 Ил-2 от 667-го шап (ведущий капитан Лопатин) в шести заходах уничтожили 18 автомашин и одну минометную батарею (12020).</w:t>
      </w:r>
    </w:p>
    <w:p w14:paraId="76D0A34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3D157B91"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Жизнь и внутренняя политика:</w:t>
      </w:r>
    </w:p>
    <w:p w14:paraId="7C32454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F99ED8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января 1944 года нарком Берия подписал приказ № 0013 “Об организации специального Черногорского лагеря в Красноярском крае”, гласивший:</w:t>
      </w:r>
    </w:p>
    <w:p w14:paraId="3F39F10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“Органами НКВД СССР на Украине выявлено значительное количество предателей и пособников немецко-фашистских оккупантов из числа лиц, именующихся “фольксдейче”, которые находились под особым покровительством немецкого командования и были наиболее тесно связаны с оккупантами. Наркомвнуделом дано указание всех “фольксдейче” арестовывать и судить Особым Совещанием НКВД СССР. Осужденных направлять в специальный лагерь. В целях обеспечения особого режима охраны и содержания осужденных предателей и пособников немецко-фашистских оккупантов “фольксдейче”, приказываю:</w:t>
      </w:r>
    </w:p>
    <w:p w14:paraId="2CE0F1C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организовать специальный лагерь на базе Черногорской колонии УНКВД Красноярского края по добыче угля. Лагерь именовать: Черногорский специальный исправительно-трудовой лагерь НКВД. Начальником лагеря назначить капитана госбезопасности Зубова Н. И. Черногорский спецлагерь подчинить УИТЛК Красноярского края;</w:t>
      </w:r>
    </w:p>
    <w:p w14:paraId="4CA88E1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установить в Черногорском спецлагере НКВД особострогий режим для заключенных из состава “фольксдейче”, обеспечивающий надлежащую охрану заключенных и наиболее полное использование заключенных на работе по добыче угля и другим работам в лагере. Ныне работавших в колонии заключенных заменять постепенно по мере прибытия новых заключенных по настоящему приказу;</w:t>
      </w:r>
    </w:p>
    <w:p w14:paraId="79604C5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Наркому внутренних дел УССР комиссару гб 3 ранга Рясному и начальнику 1 с/о НКВД СССР полковнику гб Кузнецову всех осужденных ОСО для заключения в лагере немецких пособников “фольксдейче” немедленно направлять в Черногорский лагерь НКВД (станция Черногорск Красноярской ж. д.);</w:t>
      </w:r>
    </w:p>
    <w:p w14:paraId="7E5E929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начальнику Управления конвойных войск НКВД СССР генерал-майору Бочкову обеспечить перевозку “фольксдейче” вагонзаками в Черногорский спецлагерь” (7560).</w:t>
      </w:r>
    </w:p>
    <w:p w14:paraId="0D2A2F4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6485D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января 1944 циркуляром НКВД № 6 разрешалось “всем заключенным переводить своим родственникам не свыше 50% денежной суммы, находящейся на их лицевых счетах, с таким расчетом, чтобы у каждого заключенного к моменту его освобождения из исправительно-трудового лагеря - колонии оставалась сумма, достаточная на первое время после освобождения из заключения” (7560).</w:t>
      </w:r>
    </w:p>
    <w:p w14:paraId="796F7B2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D425D0"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19BB81A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9694BB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января 1944 было объявлено начало производства первого реактивного истребителя США Aircomet P-59 (2100).</w:t>
      </w:r>
    </w:p>
    <w:p w14:paraId="67899A5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9AB1B9" w14:textId="77777777" w:rsidR="00D5495D" w:rsidRPr="007224C3" w:rsidRDefault="00D5495D"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7 января 1944 множество бомбардировщики 502-го полка в сопровождении 571 истребителя бомбят завод IG Farben в Людвигсхафене , Германия, при этом потеряно 19 бомбардировщиков и шесть истребителей. Бомбардировщики и истребители заявили, что 37 немецких самолетов сбиты, шесть вероятно сбиты и 20 повреждены (20373).</w:t>
      </w:r>
    </w:p>
    <w:p w14:paraId="72A0D5A1" w14:textId="77777777" w:rsidR="00D5495D" w:rsidRPr="007224C3" w:rsidRDefault="00D5495D" w:rsidP="007224C3">
      <w:pPr>
        <w:spacing w:after="0" w:line="240" w:lineRule="auto"/>
        <w:jc w:val="both"/>
        <w:rPr>
          <w:rFonts w:ascii="Times New Roman" w:hAnsi="Times New Roman"/>
          <w:color w:val="0070C0"/>
          <w:sz w:val="16"/>
          <w:szCs w:val="16"/>
        </w:rPr>
      </w:pPr>
    </w:p>
    <w:p w14:paraId="24F30207"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19A19B2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7C96A5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января 1944 Дементьев писал Г.М.М. письмо N Н-26/116:</w:t>
      </w:r>
    </w:p>
    <w:p w14:paraId="3500DF7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письму Абакумова о состоянии самолетов Ил-2 в ВВС ДВФ, сообщаю Вам о принятых мерах:</w:t>
      </w:r>
    </w:p>
    <w:p w14:paraId="7D89FF5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 подлежат ремонту 485 самолетов Ил-2 по лакокрасочным покрытиям или по фанерной обшивке крыльев и хвостов..." (1814,8).</w:t>
      </w:r>
    </w:p>
    <w:p w14:paraId="3214C8E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6B1C5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8 января по 19 января 1944 согласно журнала наблюдения за проектированием, постройкой и испытаниями МиГ-3 на МиГ-3 2Д произвели 8 полетов. 8 января 1944 произвели полет на определение макс. скорости по высотам. Задание не выполнено изза ненормальной работы мотора. Облет выполнен л Якимовым. Замечено тяжелое управление ручкой по сравнению с ножным управлением. Осталось произвести 2 полета на определение макс. скорости на форсаже (992,12).</w:t>
      </w:r>
    </w:p>
    <w:p w14:paraId="422BA6E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1FADB4B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января 1944 была подготовлена справка о выпуске заводами НКАП самолетов и моторов в 1943: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8"/>
        <w:gridCol w:w="1878"/>
        <w:gridCol w:w="1878"/>
        <w:gridCol w:w="1878"/>
        <w:gridCol w:w="1878"/>
      </w:tblGrid>
      <w:tr w:rsidR="006331D6" w:rsidRPr="007224C3" w14:paraId="1EFCC55A" w14:textId="77777777">
        <w:tc>
          <w:tcPr>
            <w:tcW w:w="1878" w:type="dxa"/>
          </w:tcPr>
          <w:p w14:paraId="65FACC6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6180C29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23B7058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План</w:t>
            </w:r>
          </w:p>
        </w:tc>
        <w:tc>
          <w:tcPr>
            <w:tcW w:w="1878" w:type="dxa"/>
          </w:tcPr>
          <w:p w14:paraId="3F5B2B7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Факт</w:t>
            </w:r>
          </w:p>
        </w:tc>
        <w:tc>
          <w:tcPr>
            <w:tcW w:w="1878" w:type="dxa"/>
          </w:tcPr>
          <w:p w14:paraId="279F228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6331D6" w:rsidRPr="007224C3" w14:paraId="5385C590" w14:textId="77777777">
        <w:tc>
          <w:tcPr>
            <w:tcW w:w="1878" w:type="dxa"/>
          </w:tcPr>
          <w:p w14:paraId="622BD08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Заводы </w:t>
            </w:r>
          </w:p>
        </w:tc>
        <w:tc>
          <w:tcPr>
            <w:tcW w:w="1878" w:type="dxa"/>
          </w:tcPr>
          <w:p w14:paraId="45EBCC2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Самолеты</w:t>
            </w:r>
          </w:p>
        </w:tc>
        <w:tc>
          <w:tcPr>
            <w:tcW w:w="1878" w:type="dxa"/>
          </w:tcPr>
          <w:p w14:paraId="0203800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5B529B0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0B122E4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02F9102C" w14:textId="77777777">
        <w:tc>
          <w:tcPr>
            <w:tcW w:w="1878" w:type="dxa"/>
          </w:tcPr>
          <w:p w14:paraId="4DF8FD8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w:t>
            </w:r>
          </w:p>
        </w:tc>
        <w:tc>
          <w:tcPr>
            <w:tcW w:w="1878" w:type="dxa"/>
          </w:tcPr>
          <w:p w14:paraId="64220FA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Ла-5</w:t>
            </w:r>
          </w:p>
        </w:tc>
        <w:tc>
          <w:tcPr>
            <w:tcW w:w="1878" w:type="dxa"/>
          </w:tcPr>
          <w:p w14:paraId="09C093E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4231</w:t>
            </w:r>
          </w:p>
        </w:tc>
        <w:tc>
          <w:tcPr>
            <w:tcW w:w="1878" w:type="dxa"/>
          </w:tcPr>
          <w:p w14:paraId="3BF6CAE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4619</w:t>
            </w:r>
          </w:p>
        </w:tc>
        <w:tc>
          <w:tcPr>
            <w:tcW w:w="1878" w:type="dxa"/>
          </w:tcPr>
          <w:p w14:paraId="05D2CC6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109.2</w:t>
            </w:r>
          </w:p>
        </w:tc>
      </w:tr>
      <w:tr w:rsidR="006331D6" w:rsidRPr="007224C3" w14:paraId="1C0CDA42" w14:textId="77777777">
        <w:tc>
          <w:tcPr>
            <w:tcW w:w="1878" w:type="dxa"/>
          </w:tcPr>
          <w:p w14:paraId="27EE1FA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99</w:t>
            </w:r>
          </w:p>
        </w:tc>
        <w:tc>
          <w:tcPr>
            <w:tcW w:w="1878" w:type="dxa"/>
          </w:tcPr>
          <w:p w14:paraId="7541484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Ла-5</w:t>
            </w:r>
          </w:p>
        </w:tc>
        <w:tc>
          <w:tcPr>
            <w:tcW w:w="1878" w:type="dxa"/>
          </w:tcPr>
          <w:p w14:paraId="647F7B6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167</w:t>
            </w:r>
          </w:p>
        </w:tc>
        <w:tc>
          <w:tcPr>
            <w:tcW w:w="1878" w:type="dxa"/>
          </w:tcPr>
          <w:p w14:paraId="09ADF88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184</w:t>
            </w:r>
          </w:p>
        </w:tc>
        <w:tc>
          <w:tcPr>
            <w:tcW w:w="1878" w:type="dxa"/>
          </w:tcPr>
          <w:p w14:paraId="72254D2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110.2</w:t>
            </w:r>
          </w:p>
        </w:tc>
      </w:tr>
      <w:tr w:rsidR="006331D6" w:rsidRPr="007224C3" w14:paraId="32FDDA12" w14:textId="77777777">
        <w:tc>
          <w:tcPr>
            <w:tcW w:w="1878" w:type="dxa"/>
          </w:tcPr>
          <w:p w14:paraId="341DE5C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381</w:t>
            </w:r>
          </w:p>
        </w:tc>
        <w:tc>
          <w:tcPr>
            <w:tcW w:w="1878" w:type="dxa"/>
          </w:tcPr>
          <w:p w14:paraId="7A04C7E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Ла-5</w:t>
            </w:r>
          </w:p>
        </w:tc>
        <w:tc>
          <w:tcPr>
            <w:tcW w:w="1878" w:type="dxa"/>
          </w:tcPr>
          <w:p w14:paraId="2476B7A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428</w:t>
            </w:r>
          </w:p>
        </w:tc>
        <w:tc>
          <w:tcPr>
            <w:tcW w:w="1878" w:type="dxa"/>
          </w:tcPr>
          <w:p w14:paraId="796F379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239</w:t>
            </w:r>
          </w:p>
        </w:tc>
        <w:tc>
          <w:tcPr>
            <w:tcW w:w="1878" w:type="dxa"/>
          </w:tcPr>
          <w:p w14:paraId="3AB453C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55.8</w:t>
            </w:r>
          </w:p>
        </w:tc>
      </w:tr>
      <w:tr w:rsidR="006331D6" w:rsidRPr="007224C3" w14:paraId="597C4526" w14:textId="77777777">
        <w:tc>
          <w:tcPr>
            <w:tcW w:w="1878" w:type="dxa"/>
          </w:tcPr>
          <w:p w14:paraId="4FA3BEE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w:t>
            </w:r>
          </w:p>
        </w:tc>
        <w:tc>
          <w:tcPr>
            <w:tcW w:w="1878" w:type="dxa"/>
          </w:tcPr>
          <w:p w14:paraId="57DF800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Ла-5</w:t>
            </w:r>
          </w:p>
        </w:tc>
        <w:tc>
          <w:tcPr>
            <w:tcW w:w="1878" w:type="dxa"/>
          </w:tcPr>
          <w:p w14:paraId="343E894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878" w:type="dxa"/>
          </w:tcPr>
          <w:p w14:paraId="5E24ECE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tc>
        <w:tc>
          <w:tcPr>
            <w:tcW w:w="1878" w:type="dxa"/>
          </w:tcPr>
          <w:p w14:paraId="49A1A67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7CE17396" w14:textId="77777777">
        <w:tc>
          <w:tcPr>
            <w:tcW w:w="1878" w:type="dxa"/>
          </w:tcPr>
          <w:p w14:paraId="0F75B0C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310C74D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ЛаГГ-3</w:t>
            </w:r>
          </w:p>
        </w:tc>
        <w:tc>
          <w:tcPr>
            <w:tcW w:w="1878" w:type="dxa"/>
          </w:tcPr>
          <w:p w14:paraId="45EAA00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1111</w:t>
            </w:r>
          </w:p>
        </w:tc>
        <w:tc>
          <w:tcPr>
            <w:tcW w:w="1878" w:type="dxa"/>
          </w:tcPr>
          <w:p w14:paraId="5509795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1065</w:t>
            </w:r>
          </w:p>
        </w:tc>
        <w:tc>
          <w:tcPr>
            <w:tcW w:w="1878" w:type="dxa"/>
          </w:tcPr>
          <w:p w14:paraId="6781E2A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96.3</w:t>
            </w:r>
          </w:p>
        </w:tc>
      </w:tr>
      <w:tr w:rsidR="006331D6" w:rsidRPr="007224C3" w14:paraId="6A6FD739" w14:textId="77777777">
        <w:tc>
          <w:tcPr>
            <w:tcW w:w="1878" w:type="dxa"/>
          </w:tcPr>
          <w:p w14:paraId="701C4DE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82</w:t>
            </w:r>
          </w:p>
        </w:tc>
        <w:tc>
          <w:tcPr>
            <w:tcW w:w="1878" w:type="dxa"/>
          </w:tcPr>
          <w:p w14:paraId="08E5A66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Як-7</w:t>
            </w:r>
          </w:p>
        </w:tc>
        <w:tc>
          <w:tcPr>
            <w:tcW w:w="1878" w:type="dxa"/>
          </w:tcPr>
          <w:p w14:paraId="6D2DB7A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703</w:t>
            </w:r>
          </w:p>
        </w:tc>
        <w:tc>
          <w:tcPr>
            <w:tcW w:w="1878" w:type="dxa"/>
          </w:tcPr>
          <w:p w14:paraId="0DEA58C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640</w:t>
            </w:r>
          </w:p>
        </w:tc>
        <w:tc>
          <w:tcPr>
            <w:tcW w:w="1878" w:type="dxa"/>
          </w:tcPr>
          <w:p w14:paraId="725CBA9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91</w:t>
            </w:r>
          </w:p>
        </w:tc>
      </w:tr>
      <w:tr w:rsidR="006331D6" w:rsidRPr="007224C3" w14:paraId="5C5B4CF0" w14:textId="77777777">
        <w:tc>
          <w:tcPr>
            <w:tcW w:w="1878" w:type="dxa"/>
          </w:tcPr>
          <w:p w14:paraId="5FA09CE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153</w:t>
            </w:r>
          </w:p>
        </w:tc>
        <w:tc>
          <w:tcPr>
            <w:tcW w:w="1878" w:type="dxa"/>
          </w:tcPr>
          <w:p w14:paraId="2FB0BCD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Як-7</w:t>
            </w:r>
          </w:p>
        </w:tc>
        <w:tc>
          <w:tcPr>
            <w:tcW w:w="1878" w:type="dxa"/>
          </w:tcPr>
          <w:p w14:paraId="2A4932F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2531</w:t>
            </w:r>
          </w:p>
        </w:tc>
        <w:tc>
          <w:tcPr>
            <w:tcW w:w="1878" w:type="dxa"/>
          </w:tcPr>
          <w:p w14:paraId="5533E8D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2656</w:t>
            </w:r>
          </w:p>
        </w:tc>
        <w:tc>
          <w:tcPr>
            <w:tcW w:w="1878" w:type="dxa"/>
          </w:tcPr>
          <w:p w14:paraId="43778CA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104.9</w:t>
            </w:r>
          </w:p>
        </w:tc>
      </w:tr>
      <w:tr w:rsidR="006331D6" w:rsidRPr="007224C3" w14:paraId="5DCA6AF4" w14:textId="77777777">
        <w:tc>
          <w:tcPr>
            <w:tcW w:w="1878" w:type="dxa"/>
          </w:tcPr>
          <w:p w14:paraId="35A3797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5B77A1B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Як-9</w:t>
            </w:r>
          </w:p>
        </w:tc>
        <w:tc>
          <w:tcPr>
            <w:tcW w:w="1878" w:type="dxa"/>
          </w:tcPr>
          <w:p w14:paraId="1784FC3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1876</w:t>
            </w:r>
          </w:p>
        </w:tc>
        <w:tc>
          <w:tcPr>
            <w:tcW w:w="1878" w:type="dxa"/>
          </w:tcPr>
          <w:p w14:paraId="63CCD66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1761</w:t>
            </w:r>
          </w:p>
        </w:tc>
        <w:tc>
          <w:tcPr>
            <w:tcW w:w="1878" w:type="dxa"/>
          </w:tcPr>
          <w:p w14:paraId="4449C9A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93.9</w:t>
            </w:r>
          </w:p>
        </w:tc>
      </w:tr>
      <w:tr w:rsidR="006331D6" w:rsidRPr="007224C3" w14:paraId="69314EEB" w14:textId="77777777">
        <w:tc>
          <w:tcPr>
            <w:tcW w:w="1878" w:type="dxa"/>
          </w:tcPr>
          <w:p w14:paraId="3975F79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Итого</w:t>
            </w:r>
          </w:p>
        </w:tc>
        <w:tc>
          <w:tcPr>
            <w:tcW w:w="1878" w:type="dxa"/>
          </w:tcPr>
          <w:p w14:paraId="7DA7693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1A7C404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4407</w:t>
            </w:r>
          </w:p>
        </w:tc>
        <w:tc>
          <w:tcPr>
            <w:tcW w:w="1878" w:type="dxa"/>
          </w:tcPr>
          <w:p w14:paraId="2BBA501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4417</w:t>
            </w:r>
          </w:p>
        </w:tc>
        <w:tc>
          <w:tcPr>
            <w:tcW w:w="1878" w:type="dxa"/>
          </w:tcPr>
          <w:p w14:paraId="259F3E9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100.2</w:t>
            </w:r>
          </w:p>
        </w:tc>
      </w:tr>
      <w:tr w:rsidR="006331D6" w:rsidRPr="007224C3" w14:paraId="67465AE1" w14:textId="77777777">
        <w:tc>
          <w:tcPr>
            <w:tcW w:w="1878" w:type="dxa"/>
          </w:tcPr>
          <w:p w14:paraId="23AD775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166</w:t>
            </w:r>
          </w:p>
        </w:tc>
        <w:tc>
          <w:tcPr>
            <w:tcW w:w="1878" w:type="dxa"/>
          </w:tcPr>
          <w:p w14:paraId="50C7587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Як-9 М-105</w:t>
            </w:r>
          </w:p>
        </w:tc>
        <w:tc>
          <w:tcPr>
            <w:tcW w:w="1878" w:type="dxa"/>
          </w:tcPr>
          <w:p w14:paraId="0A9A62C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721</w:t>
            </w:r>
          </w:p>
        </w:tc>
        <w:tc>
          <w:tcPr>
            <w:tcW w:w="1878" w:type="dxa"/>
          </w:tcPr>
          <w:p w14:paraId="5FCBCB3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721</w:t>
            </w:r>
          </w:p>
        </w:tc>
        <w:tc>
          <w:tcPr>
            <w:tcW w:w="1878" w:type="dxa"/>
          </w:tcPr>
          <w:p w14:paraId="28412C1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w:t>
            </w:r>
          </w:p>
        </w:tc>
      </w:tr>
      <w:tr w:rsidR="006331D6" w:rsidRPr="007224C3" w14:paraId="75616B5D" w14:textId="77777777">
        <w:tc>
          <w:tcPr>
            <w:tcW w:w="1878" w:type="dxa"/>
          </w:tcPr>
          <w:p w14:paraId="11195DB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152D894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Як-9 М-107А</w:t>
            </w:r>
          </w:p>
        </w:tc>
        <w:tc>
          <w:tcPr>
            <w:tcW w:w="1878" w:type="dxa"/>
          </w:tcPr>
          <w:p w14:paraId="0EF93BE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49</w:t>
            </w:r>
          </w:p>
        </w:tc>
        <w:tc>
          <w:tcPr>
            <w:tcW w:w="1878" w:type="dxa"/>
          </w:tcPr>
          <w:p w14:paraId="0A7C844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w:t>
            </w:r>
          </w:p>
        </w:tc>
        <w:tc>
          <w:tcPr>
            <w:tcW w:w="1878" w:type="dxa"/>
          </w:tcPr>
          <w:p w14:paraId="65EAA24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22.4</w:t>
            </w:r>
          </w:p>
        </w:tc>
      </w:tr>
      <w:tr w:rsidR="006331D6" w:rsidRPr="007224C3" w14:paraId="60251E34" w14:textId="77777777">
        <w:tc>
          <w:tcPr>
            <w:tcW w:w="1878" w:type="dxa"/>
          </w:tcPr>
          <w:p w14:paraId="3560D79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5F3C22D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Ту-2</w:t>
            </w:r>
          </w:p>
        </w:tc>
        <w:tc>
          <w:tcPr>
            <w:tcW w:w="1878" w:type="dxa"/>
          </w:tcPr>
          <w:p w14:paraId="21122BB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878" w:type="dxa"/>
          </w:tcPr>
          <w:p w14:paraId="5122C9A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tc>
        <w:tc>
          <w:tcPr>
            <w:tcW w:w="1878" w:type="dxa"/>
          </w:tcPr>
          <w:p w14:paraId="3E9E761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6331D6" w:rsidRPr="007224C3" w14:paraId="18BEAE91" w14:textId="77777777">
        <w:tc>
          <w:tcPr>
            <w:tcW w:w="1878" w:type="dxa"/>
          </w:tcPr>
          <w:p w14:paraId="0B04A68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Итого</w:t>
            </w:r>
          </w:p>
        </w:tc>
        <w:tc>
          <w:tcPr>
            <w:tcW w:w="1878" w:type="dxa"/>
          </w:tcPr>
          <w:p w14:paraId="4C7569A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4F61FE2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770</w:t>
            </w:r>
          </w:p>
        </w:tc>
        <w:tc>
          <w:tcPr>
            <w:tcW w:w="1878" w:type="dxa"/>
          </w:tcPr>
          <w:p w14:paraId="7D5F447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733</w:t>
            </w:r>
          </w:p>
        </w:tc>
        <w:tc>
          <w:tcPr>
            <w:tcW w:w="1878" w:type="dxa"/>
          </w:tcPr>
          <w:p w14:paraId="4AD2EC4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95.2</w:t>
            </w:r>
          </w:p>
        </w:tc>
      </w:tr>
      <w:tr w:rsidR="006331D6" w:rsidRPr="007224C3" w14:paraId="280C2A8C" w14:textId="77777777">
        <w:tc>
          <w:tcPr>
            <w:tcW w:w="1878" w:type="dxa"/>
          </w:tcPr>
          <w:p w14:paraId="663BBD8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292</w:t>
            </w:r>
          </w:p>
        </w:tc>
        <w:tc>
          <w:tcPr>
            <w:tcW w:w="1878" w:type="dxa"/>
          </w:tcPr>
          <w:p w14:paraId="1CE3B20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Як-1</w:t>
            </w:r>
          </w:p>
        </w:tc>
        <w:tc>
          <w:tcPr>
            <w:tcW w:w="1878" w:type="dxa"/>
          </w:tcPr>
          <w:p w14:paraId="6630736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2535</w:t>
            </w:r>
          </w:p>
        </w:tc>
        <w:tc>
          <w:tcPr>
            <w:tcW w:w="1878" w:type="dxa"/>
          </w:tcPr>
          <w:p w14:paraId="6BC91D1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2720</w:t>
            </w:r>
          </w:p>
        </w:tc>
        <w:tc>
          <w:tcPr>
            <w:tcW w:w="1878" w:type="dxa"/>
          </w:tcPr>
          <w:p w14:paraId="1D6E35A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107.3</w:t>
            </w:r>
          </w:p>
        </w:tc>
      </w:tr>
      <w:tr w:rsidR="006331D6" w:rsidRPr="007224C3" w14:paraId="1901410E" w14:textId="77777777">
        <w:tc>
          <w:tcPr>
            <w:tcW w:w="1878" w:type="dxa"/>
          </w:tcPr>
          <w:p w14:paraId="75C8F42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155</w:t>
            </w:r>
          </w:p>
        </w:tc>
        <w:tc>
          <w:tcPr>
            <w:tcW w:w="1878" w:type="dxa"/>
          </w:tcPr>
          <w:p w14:paraId="394B7E5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МиГ-3</w:t>
            </w:r>
          </w:p>
        </w:tc>
        <w:tc>
          <w:tcPr>
            <w:tcW w:w="1878" w:type="dxa"/>
          </w:tcPr>
          <w:p w14:paraId="2039D6E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878" w:type="dxa"/>
          </w:tcPr>
          <w:p w14:paraId="65F5F77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w:t>
            </w:r>
          </w:p>
        </w:tc>
        <w:tc>
          <w:tcPr>
            <w:tcW w:w="1878" w:type="dxa"/>
          </w:tcPr>
          <w:p w14:paraId="2824709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6331D6" w:rsidRPr="007224C3" w14:paraId="6422516F" w14:textId="77777777">
        <w:tc>
          <w:tcPr>
            <w:tcW w:w="1878" w:type="dxa"/>
          </w:tcPr>
          <w:p w14:paraId="60297FE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Итого</w:t>
            </w:r>
          </w:p>
        </w:tc>
        <w:tc>
          <w:tcPr>
            <w:tcW w:w="1878" w:type="dxa"/>
          </w:tcPr>
          <w:p w14:paraId="331C247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59AF025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14352</w:t>
            </w:r>
          </w:p>
        </w:tc>
        <w:tc>
          <w:tcPr>
            <w:tcW w:w="1878" w:type="dxa"/>
          </w:tcPr>
          <w:p w14:paraId="29FA27D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14627</w:t>
            </w:r>
          </w:p>
        </w:tc>
        <w:tc>
          <w:tcPr>
            <w:tcW w:w="1878" w:type="dxa"/>
          </w:tcPr>
          <w:p w14:paraId="7CD7213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101.9</w:t>
            </w:r>
          </w:p>
        </w:tc>
      </w:tr>
      <w:tr w:rsidR="006331D6" w:rsidRPr="007224C3" w14:paraId="41BEEDB6" w14:textId="77777777">
        <w:tc>
          <w:tcPr>
            <w:tcW w:w="1878" w:type="dxa"/>
          </w:tcPr>
          <w:p w14:paraId="139B055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tc>
        <w:tc>
          <w:tcPr>
            <w:tcW w:w="1878" w:type="dxa"/>
          </w:tcPr>
          <w:p w14:paraId="3D28914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Ил-2</w:t>
            </w:r>
          </w:p>
        </w:tc>
        <w:tc>
          <w:tcPr>
            <w:tcW w:w="1878" w:type="dxa"/>
          </w:tcPr>
          <w:p w14:paraId="585B27B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4169</w:t>
            </w:r>
          </w:p>
        </w:tc>
        <w:tc>
          <w:tcPr>
            <w:tcW w:w="1878" w:type="dxa"/>
          </w:tcPr>
          <w:p w14:paraId="3C1065A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4257</w:t>
            </w:r>
          </w:p>
        </w:tc>
        <w:tc>
          <w:tcPr>
            <w:tcW w:w="1878" w:type="dxa"/>
          </w:tcPr>
          <w:p w14:paraId="5C18E2B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102.1</w:t>
            </w:r>
          </w:p>
        </w:tc>
      </w:tr>
      <w:tr w:rsidR="006331D6" w:rsidRPr="007224C3" w14:paraId="663B73B6" w14:textId="77777777">
        <w:tc>
          <w:tcPr>
            <w:tcW w:w="1878" w:type="dxa"/>
          </w:tcPr>
          <w:p w14:paraId="54B2276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w:t>
            </w:r>
          </w:p>
        </w:tc>
        <w:tc>
          <w:tcPr>
            <w:tcW w:w="1878" w:type="dxa"/>
          </w:tcPr>
          <w:p w14:paraId="519F3EF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Ил-2</w:t>
            </w:r>
          </w:p>
        </w:tc>
        <w:tc>
          <w:tcPr>
            <w:tcW w:w="1878" w:type="dxa"/>
          </w:tcPr>
          <w:p w14:paraId="653E5BD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4541</w:t>
            </w:r>
          </w:p>
        </w:tc>
        <w:tc>
          <w:tcPr>
            <w:tcW w:w="1878" w:type="dxa"/>
          </w:tcPr>
          <w:p w14:paraId="245570F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4702</w:t>
            </w:r>
          </w:p>
        </w:tc>
        <w:tc>
          <w:tcPr>
            <w:tcW w:w="1878" w:type="dxa"/>
          </w:tcPr>
          <w:p w14:paraId="7CDA855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103.5</w:t>
            </w:r>
          </w:p>
        </w:tc>
      </w:tr>
      <w:tr w:rsidR="006331D6" w:rsidRPr="007224C3" w14:paraId="29BB1986" w14:textId="77777777">
        <w:tc>
          <w:tcPr>
            <w:tcW w:w="1878" w:type="dxa"/>
          </w:tcPr>
          <w:p w14:paraId="11D3040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w:t>
            </w:r>
          </w:p>
        </w:tc>
        <w:tc>
          <w:tcPr>
            <w:tcW w:w="1878" w:type="dxa"/>
          </w:tcPr>
          <w:p w14:paraId="674E647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Ил-2</w:t>
            </w:r>
          </w:p>
        </w:tc>
        <w:tc>
          <w:tcPr>
            <w:tcW w:w="1878" w:type="dxa"/>
          </w:tcPr>
          <w:p w14:paraId="457241D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2271</w:t>
            </w:r>
          </w:p>
        </w:tc>
        <w:tc>
          <w:tcPr>
            <w:tcW w:w="1878" w:type="dxa"/>
          </w:tcPr>
          <w:p w14:paraId="4B53B50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2234</w:t>
            </w:r>
          </w:p>
        </w:tc>
        <w:tc>
          <w:tcPr>
            <w:tcW w:w="1878" w:type="dxa"/>
          </w:tcPr>
          <w:p w14:paraId="6555DAE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98.4</w:t>
            </w:r>
          </w:p>
        </w:tc>
      </w:tr>
      <w:tr w:rsidR="006331D6" w:rsidRPr="007224C3" w14:paraId="7FDB1299" w14:textId="77777777">
        <w:tc>
          <w:tcPr>
            <w:tcW w:w="1878" w:type="dxa"/>
          </w:tcPr>
          <w:p w14:paraId="09CEE21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Итого</w:t>
            </w:r>
          </w:p>
        </w:tc>
        <w:tc>
          <w:tcPr>
            <w:tcW w:w="1878" w:type="dxa"/>
          </w:tcPr>
          <w:p w14:paraId="60C4D0A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7986061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10891</w:t>
            </w:r>
          </w:p>
        </w:tc>
        <w:tc>
          <w:tcPr>
            <w:tcW w:w="1878" w:type="dxa"/>
          </w:tcPr>
          <w:p w14:paraId="25A37AC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11193</w:t>
            </w:r>
          </w:p>
        </w:tc>
        <w:tc>
          <w:tcPr>
            <w:tcW w:w="1878" w:type="dxa"/>
          </w:tcPr>
          <w:p w14:paraId="0BA97AD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101.9</w:t>
            </w:r>
          </w:p>
        </w:tc>
      </w:tr>
      <w:tr w:rsidR="006331D6" w:rsidRPr="007224C3" w14:paraId="1AA7EA4A" w14:textId="77777777">
        <w:tc>
          <w:tcPr>
            <w:tcW w:w="1878" w:type="dxa"/>
          </w:tcPr>
          <w:p w14:paraId="12657F2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w:t>
            </w:r>
          </w:p>
        </w:tc>
        <w:tc>
          <w:tcPr>
            <w:tcW w:w="1878" w:type="dxa"/>
          </w:tcPr>
          <w:p w14:paraId="5ACADF1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Пе-2</w:t>
            </w:r>
          </w:p>
        </w:tc>
        <w:tc>
          <w:tcPr>
            <w:tcW w:w="1878" w:type="dxa"/>
          </w:tcPr>
          <w:p w14:paraId="33DD67D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2371</w:t>
            </w:r>
          </w:p>
        </w:tc>
        <w:tc>
          <w:tcPr>
            <w:tcW w:w="1878" w:type="dxa"/>
          </w:tcPr>
          <w:p w14:paraId="4FE5B84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2423</w:t>
            </w:r>
          </w:p>
        </w:tc>
        <w:tc>
          <w:tcPr>
            <w:tcW w:w="1878" w:type="dxa"/>
          </w:tcPr>
          <w:p w14:paraId="3ADBBB2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102.2</w:t>
            </w:r>
          </w:p>
        </w:tc>
      </w:tr>
      <w:tr w:rsidR="006331D6" w:rsidRPr="007224C3" w14:paraId="48E04C6E" w14:textId="77777777">
        <w:tc>
          <w:tcPr>
            <w:tcW w:w="1878" w:type="dxa"/>
          </w:tcPr>
          <w:p w14:paraId="36D3DCE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78CEFA8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Пе-8</w:t>
            </w:r>
          </w:p>
        </w:tc>
        <w:tc>
          <w:tcPr>
            <w:tcW w:w="1878" w:type="dxa"/>
          </w:tcPr>
          <w:p w14:paraId="376D56F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32</w:t>
            </w:r>
          </w:p>
        </w:tc>
        <w:tc>
          <w:tcPr>
            <w:tcW w:w="1878" w:type="dxa"/>
          </w:tcPr>
          <w:p w14:paraId="78AD565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w:t>
            </w:r>
          </w:p>
        </w:tc>
        <w:tc>
          <w:tcPr>
            <w:tcW w:w="1878" w:type="dxa"/>
          </w:tcPr>
          <w:p w14:paraId="2CD6D61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90.6</w:t>
            </w:r>
          </w:p>
        </w:tc>
      </w:tr>
      <w:tr w:rsidR="006331D6" w:rsidRPr="007224C3" w14:paraId="79A10F89" w14:textId="77777777">
        <w:tc>
          <w:tcPr>
            <w:tcW w:w="1878" w:type="dxa"/>
          </w:tcPr>
          <w:p w14:paraId="5FE0FF8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Итого</w:t>
            </w:r>
          </w:p>
        </w:tc>
        <w:tc>
          <w:tcPr>
            <w:tcW w:w="1878" w:type="dxa"/>
          </w:tcPr>
          <w:p w14:paraId="55B71F7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6D3F71D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2403</w:t>
            </w:r>
          </w:p>
        </w:tc>
        <w:tc>
          <w:tcPr>
            <w:tcW w:w="1878" w:type="dxa"/>
          </w:tcPr>
          <w:p w14:paraId="35FE71B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2452</w:t>
            </w:r>
          </w:p>
        </w:tc>
        <w:tc>
          <w:tcPr>
            <w:tcW w:w="1878" w:type="dxa"/>
          </w:tcPr>
          <w:p w14:paraId="7D5D26A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102</w:t>
            </w:r>
          </w:p>
        </w:tc>
      </w:tr>
      <w:tr w:rsidR="006331D6" w:rsidRPr="007224C3" w14:paraId="113D1826" w14:textId="77777777">
        <w:tc>
          <w:tcPr>
            <w:tcW w:w="1878" w:type="dxa"/>
          </w:tcPr>
          <w:p w14:paraId="32DDFB9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w:t>
            </w:r>
          </w:p>
        </w:tc>
        <w:tc>
          <w:tcPr>
            <w:tcW w:w="1878" w:type="dxa"/>
          </w:tcPr>
          <w:p w14:paraId="0908F32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Ил-4</w:t>
            </w:r>
          </w:p>
        </w:tc>
        <w:tc>
          <w:tcPr>
            <w:tcW w:w="1878" w:type="dxa"/>
          </w:tcPr>
          <w:p w14:paraId="37659E6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240</w:t>
            </w:r>
          </w:p>
        </w:tc>
        <w:tc>
          <w:tcPr>
            <w:tcW w:w="1878" w:type="dxa"/>
          </w:tcPr>
          <w:p w14:paraId="507995F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257</w:t>
            </w:r>
          </w:p>
        </w:tc>
        <w:tc>
          <w:tcPr>
            <w:tcW w:w="1878" w:type="dxa"/>
          </w:tcPr>
          <w:p w14:paraId="637B6E2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107.1</w:t>
            </w:r>
          </w:p>
        </w:tc>
      </w:tr>
      <w:tr w:rsidR="006331D6" w:rsidRPr="007224C3" w14:paraId="3C0F3829" w14:textId="77777777">
        <w:tc>
          <w:tcPr>
            <w:tcW w:w="1878" w:type="dxa"/>
          </w:tcPr>
          <w:p w14:paraId="6FD41EB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37AAC25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Ту-2</w:t>
            </w:r>
          </w:p>
        </w:tc>
        <w:tc>
          <w:tcPr>
            <w:tcW w:w="1878" w:type="dxa"/>
          </w:tcPr>
          <w:p w14:paraId="2CEF8E6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32</w:t>
            </w:r>
          </w:p>
        </w:tc>
        <w:tc>
          <w:tcPr>
            <w:tcW w:w="1878" w:type="dxa"/>
          </w:tcPr>
          <w:p w14:paraId="7D36E1B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w:t>
            </w:r>
          </w:p>
        </w:tc>
        <w:tc>
          <w:tcPr>
            <w:tcW w:w="1878" w:type="dxa"/>
          </w:tcPr>
          <w:p w14:paraId="3D7E946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w:t>
            </w:r>
          </w:p>
        </w:tc>
      </w:tr>
      <w:tr w:rsidR="006331D6" w:rsidRPr="007224C3" w14:paraId="34F01C5D" w14:textId="77777777">
        <w:tc>
          <w:tcPr>
            <w:tcW w:w="1878" w:type="dxa"/>
          </w:tcPr>
          <w:p w14:paraId="2EEA5E7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Итого</w:t>
            </w:r>
          </w:p>
        </w:tc>
        <w:tc>
          <w:tcPr>
            <w:tcW w:w="1878" w:type="dxa"/>
          </w:tcPr>
          <w:p w14:paraId="70364EA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6E740D3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272</w:t>
            </w:r>
          </w:p>
        </w:tc>
        <w:tc>
          <w:tcPr>
            <w:tcW w:w="1878" w:type="dxa"/>
          </w:tcPr>
          <w:p w14:paraId="752C122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273</w:t>
            </w:r>
          </w:p>
        </w:tc>
        <w:tc>
          <w:tcPr>
            <w:tcW w:w="1878" w:type="dxa"/>
          </w:tcPr>
          <w:p w14:paraId="36C1694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100.4</w:t>
            </w:r>
          </w:p>
        </w:tc>
      </w:tr>
      <w:tr w:rsidR="006331D6" w:rsidRPr="007224C3" w14:paraId="63ABC57B" w14:textId="77777777">
        <w:tc>
          <w:tcPr>
            <w:tcW w:w="1878" w:type="dxa"/>
          </w:tcPr>
          <w:p w14:paraId="7A7CDA4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39</w:t>
            </w:r>
          </w:p>
        </w:tc>
        <w:tc>
          <w:tcPr>
            <w:tcW w:w="1878" w:type="dxa"/>
          </w:tcPr>
          <w:p w14:paraId="22CE9C0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Ер-2</w:t>
            </w:r>
          </w:p>
        </w:tc>
        <w:tc>
          <w:tcPr>
            <w:tcW w:w="1878" w:type="dxa"/>
          </w:tcPr>
          <w:p w14:paraId="6B438D7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tc>
        <w:tc>
          <w:tcPr>
            <w:tcW w:w="1878" w:type="dxa"/>
          </w:tcPr>
          <w:p w14:paraId="19978D9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tc>
        <w:tc>
          <w:tcPr>
            <w:tcW w:w="1878" w:type="dxa"/>
          </w:tcPr>
          <w:p w14:paraId="661F8E8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w:t>
            </w:r>
          </w:p>
        </w:tc>
      </w:tr>
      <w:tr w:rsidR="006331D6" w:rsidRPr="007224C3" w14:paraId="6F9ECF25" w14:textId="77777777">
        <w:tc>
          <w:tcPr>
            <w:tcW w:w="1878" w:type="dxa"/>
          </w:tcPr>
          <w:p w14:paraId="4FC3E3D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2909698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Ил-4</w:t>
            </w:r>
          </w:p>
        </w:tc>
        <w:tc>
          <w:tcPr>
            <w:tcW w:w="1878" w:type="dxa"/>
          </w:tcPr>
          <w:p w14:paraId="692159F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667</w:t>
            </w:r>
          </w:p>
        </w:tc>
        <w:tc>
          <w:tcPr>
            <w:tcW w:w="1878" w:type="dxa"/>
          </w:tcPr>
          <w:p w14:paraId="3F86673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698</w:t>
            </w:r>
          </w:p>
        </w:tc>
        <w:tc>
          <w:tcPr>
            <w:tcW w:w="1878" w:type="dxa"/>
          </w:tcPr>
          <w:p w14:paraId="2231E80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104.6</w:t>
            </w:r>
          </w:p>
        </w:tc>
      </w:tr>
      <w:tr w:rsidR="006331D6" w:rsidRPr="007224C3" w14:paraId="0B9302E0" w14:textId="77777777">
        <w:tc>
          <w:tcPr>
            <w:tcW w:w="1878" w:type="dxa"/>
          </w:tcPr>
          <w:p w14:paraId="3A7DBBA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049496D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Пе-2</w:t>
            </w:r>
          </w:p>
        </w:tc>
        <w:tc>
          <w:tcPr>
            <w:tcW w:w="1878" w:type="dxa"/>
          </w:tcPr>
          <w:p w14:paraId="536C61A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878" w:type="dxa"/>
          </w:tcPr>
          <w:p w14:paraId="7FEBBE9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tc>
        <w:tc>
          <w:tcPr>
            <w:tcW w:w="1878" w:type="dxa"/>
          </w:tcPr>
          <w:p w14:paraId="11FBFFD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6331D6" w:rsidRPr="007224C3" w14:paraId="5E31F483" w14:textId="77777777">
        <w:tc>
          <w:tcPr>
            <w:tcW w:w="1878" w:type="dxa"/>
          </w:tcPr>
          <w:p w14:paraId="21E1F31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7437772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Пе-3Б</w:t>
            </w:r>
          </w:p>
        </w:tc>
        <w:tc>
          <w:tcPr>
            <w:tcW w:w="1878" w:type="dxa"/>
          </w:tcPr>
          <w:p w14:paraId="0EE3A73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878" w:type="dxa"/>
          </w:tcPr>
          <w:p w14:paraId="4E92560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w:t>
            </w:r>
          </w:p>
        </w:tc>
        <w:tc>
          <w:tcPr>
            <w:tcW w:w="1878" w:type="dxa"/>
          </w:tcPr>
          <w:p w14:paraId="5EFAFFB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6331D6" w:rsidRPr="007224C3" w14:paraId="26D5F7EB" w14:textId="77777777">
        <w:tc>
          <w:tcPr>
            <w:tcW w:w="1878" w:type="dxa"/>
          </w:tcPr>
          <w:p w14:paraId="3D7E334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Итого</w:t>
            </w:r>
          </w:p>
        </w:tc>
        <w:tc>
          <w:tcPr>
            <w:tcW w:w="1878" w:type="dxa"/>
          </w:tcPr>
          <w:p w14:paraId="2D824E5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7B050D4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669</w:t>
            </w:r>
          </w:p>
        </w:tc>
        <w:tc>
          <w:tcPr>
            <w:tcW w:w="1878" w:type="dxa"/>
          </w:tcPr>
          <w:p w14:paraId="0BDACE7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718</w:t>
            </w:r>
          </w:p>
        </w:tc>
        <w:tc>
          <w:tcPr>
            <w:tcW w:w="1878" w:type="dxa"/>
          </w:tcPr>
          <w:p w14:paraId="64302A5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107.3</w:t>
            </w:r>
          </w:p>
        </w:tc>
      </w:tr>
      <w:tr w:rsidR="006331D6" w:rsidRPr="007224C3" w14:paraId="7E9379A7" w14:textId="77777777">
        <w:tc>
          <w:tcPr>
            <w:tcW w:w="1878" w:type="dxa"/>
          </w:tcPr>
          <w:p w14:paraId="7994CCC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126</w:t>
            </w:r>
          </w:p>
        </w:tc>
        <w:tc>
          <w:tcPr>
            <w:tcW w:w="1878" w:type="dxa"/>
          </w:tcPr>
          <w:p w14:paraId="5C82044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Ил-4</w:t>
            </w:r>
          </w:p>
        </w:tc>
        <w:tc>
          <w:tcPr>
            <w:tcW w:w="1878" w:type="dxa"/>
          </w:tcPr>
          <w:p w14:paraId="02EA108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604</w:t>
            </w:r>
          </w:p>
        </w:tc>
        <w:tc>
          <w:tcPr>
            <w:tcW w:w="1878" w:type="dxa"/>
          </w:tcPr>
          <w:p w14:paraId="6889AA0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613</w:t>
            </w:r>
          </w:p>
        </w:tc>
        <w:tc>
          <w:tcPr>
            <w:tcW w:w="1878" w:type="dxa"/>
          </w:tcPr>
          <w:p w14:paraId="044C4F8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101.5</w:t>
            </w:r>
          </w:p>
        </w:tc>
      </w:tr>
      <w:tr w:rsidR="006331D6" w:rsidRPr="007224C3" w14:paraId="2B018B01" w14:textId="77777777">
        <w:tc>
          <w:tcPr>
            <w:tcW w:w="1878" w:type="dxa"/>
          </w:tcPr>
          <w:p w14:paraId="7AAF01C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Итого</w:t>
            </w:r>
          </w:p>
        </w:tc>
        <w:tc>
          <w:tcPr>
            <w:tcW w:w="1878" w:type="dxa"/>
          </w:tcPr>
          <w:p w14:paraId="26E4819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274D5F2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3948</w:t>
            </w:r>
          </w:p>
        </w:tc>
        <w:tc>
          <w:tcPr>
            <w:tcW w:w="1878" w:type="dxa"/>
          </w:tcPr>
          <w:p w14:paraId="5E47D2A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4057</w:t>
            </w:r>
          </w:p>
        </w:tc>
        <w:tc>
          <w:tcPr>
            <w:tcW w:w="1878" w:type="dxa"/>
          </w:tcPr>
          <w:p w14:paraId="0468293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102.8</w:t>
            </w:r>
          </w:p>
        </w:tc>
      </w:tr>
      <w:tr w:rsidR="006331D6" w:rsidRPr="007224C3" w14:paraId="5248386E" w14:textId="77777777">
        <w:tc>
          <w:tcPr>
            <w:tcW w:w="1878" w:type="dxa"/>
          </w:tcPr>
          <w:p w14:paraId="753E7A6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Итого</w:t>
            </w:r>
          </w:p>
        </w:tc>
        <w:tc>
          <w:tcPr>
            <w:tcW w:w="1878" w:type="dxa"/>
          </w:tcPr>
          <w:p w14:paraId="78EAC7D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620157D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29281</w:t>
            </w:r>
          </w:p>
        </w:tc>
        <w:tc>
          <w:tcPr>
            <w:tcW w:w="1878" w:type="dxa"/>
          </w:tcPr>
          <w:p w14:paraId="68940A7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29877</w:t>
            </w:r>
          </w:p>
        </w:tc>
        <w:tc>
          <w:tcPr>
            <w:tcW w:w="1878" w:type="dxa"/>
          </w:tcPr>
          <w:p w14:paraId="1261F03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102</w:t>
            </w:r>
          </w:p>
        </w:tc>
      </w:tr>
      <w:tr w:rsidR="006331D6" w:rsidRPr="007224C3" w14:paraId="034B749C" w14:textId="77777777">
        <w:tc>
          <w:tcPr>
            <w:tcW w:w="1878" w:type="dxa"/>
          </w:tcPr>
          <w:p w14:paraId="37A9A96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84</w:t>
            </w:r>
          </w:p>
        </w:tc>
        <w:tc>
          <w:tcPr>
            <w:tcW w:w="1878" w:type="dxa"/>
          </w:tcPr>
          <w:p w14:paraId="02D3CAC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Ли-2</w:t>
            </w:r>
          </w:p>
        </w:tc>
        <w:tc>
          <w:tcPr>
            <w:tcW w:w="1878" w:type="dxa"/>
          </w:tcPr>
          <w:p w14:paraId="1216F44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584</w:t>
            </w:r>
          </w:p>
        </w:tc>
        <w:tc>
          <w:tcPr>
            <w:tcW w:w="1878" w:type="dxa"/>
          </w:tcPr>
          <w:p w14:paraId="15A64CA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618</w:t>
            </w:r>
          </w:p>
        </w:tc>
        <w:tc>
          <w:tcPr>
            <w:tcW w:w="1878" w:type="dxa"/>
          </w:tcPr>
          <w:p w14:paraId="27D7224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105.8</w:t>
            </w:r>
          </w:p>
        </w:tc>
      </w:tr>
      <w:tr w:rsidR="006331D6" w:rsidRPr="007224C3" w14:paraId="03B9F1D3" w14:textId="77777777">
        <w:tc>
          <w:tcPr>
            <w:tcW w:w="1878" w:type="dxa"/>
          </w:tcPr>
          <w:p w14:paraId="00C5449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47</w:t>
            </w:r>
          </w:p>
        </w:tc>
        <w:tc>
          <w:tcPr>
            <w:tcW w:w="1878" w:type="dxa"/>
          </w:tcPr>
          <w:p w14:paraId="2AE5060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Ще-2</w:t>
            </w:r>
          </w:p>
        </w:tc>
        <w:tc>
          <w:tcPr>
            <w:tcW w:w="1878" w:type="dxa"/>
          </w:tcPr>
          <w:p w14:paraId="2F24718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tc>
        <w:tc>
          <w:tcPr>
            <w:tcW w:w="1878" w:type="dxa"/>
          </w:tcPr>
          <w:p w14:paraId="242544C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878" w:type="dxa"/>
          </w:tcPr>
          <w:p w14:paraId="44CCE6A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6331D6" w:rsidRPr="007224C3" w14:paraId="239CC02D" w14:textId="77777777">
        <w:tc>
          <w:tcPr>
            <w:tcW w:w="1878" w:type="dxa"/>
          </w:tcPr>
          <w:p w14:paraId="0F7ED03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0F06C06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Як-6</w:t>
            </w:r>
          </w:p>
        </w:tc>
        <w:tc>
          <w:tcPr>
            <w:tcW w:w="1878" w:type="dxa"/>
          </w:tcPr>
          <w:p w14:paraId="110FCA8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242</w:t>
            </w:r>
          </w:p>
        </w:tc>
        <w:tc>
          <w:tcPr>
            <w:tcW w:w="1878" w:type="dxa"/>
          </w:tcPr>
          <w:p w14:paraId="25DA06E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224</w:t>
            </w:r>
          </w:p>
        </w:tc>
        <w:tc>
          <w:tcPr>
            <w:tcW w:w="1878" w:type="dxa"/>
          </w:tcPr>
          <w:p w14:paraId="3847553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92.6</w:t>
            </w:r>
          </w:p>
        </w:tc>
      </w:tr>
      <w:tr w:rsidR="006331D6" w:rsidRPr="007224C3" w14:paraId="54248022" w14:textId="77777777">
        <w:tc>
          <w:tcPr>
            <w:tcW w:w="1878" w:type="dxa"/>
          </w:tcPr>
          <w:p w14:paraId="4F8543B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464</w:t>
            </w:r>
          </w:p>
        </w:tc>
        <w:tc>
          <w:tcPr>
            <w:tcW w:w="1878" w:type="dxa"/>
          </w:tcPr>
          <w:p w14:paraId="46843E6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По-2</w:t>
            </w:r>
          </w:p>
        </w:tc>
        <w:tc>
          <w:tcPr>
            <w:tcW w:w="1878" w:type="dxa"/>
          </w:tcPr>
          <w:p w14:paraId="5A5B4E6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80</w:t>
            </w:r>
          </w:p>
        </w:tc>
        <w:tc>
          <w:tcPr>
            <w:tcW w:w="1878" w:type="dxa"/>
          </w:tcPr>
          <w:p w14:paraId="7BDBED2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71</w:t>
            </w:r>
          </w:p>
        </w:tc>
        <w:tc>
          <w:tcPr>
            <w:tcW w:w="1878" w:type="dxa"/>
          </w:tcPr>
          <w:p w14:paraId="3F26F22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88.7</w:t>
            </w:r>
          </w:p>
        </w:tc>
      </w:tr>
      <w:tr w:rsidR="006331D6" w:rsidRPr="007224C3" w14:paraId="6D0D8ADA" w14:textId="77777777">
        <w:tc>
          <w:tcPr>
            <w:tcW w:w="1878" w:type="dxa"/>
          </w:tcPr>
          <w:p w14:paraId="17547A8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1EECA51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Як-6</w:t>
            </w:r>
          </w:p>
        </w:tc>
        <w:tc>
          <w:tcPr>
            <w:tcW w:w="1878" w:type="dxa"/>
          </w:tcPr>
          <w:p w14:paraId="77874C3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57</w:t>
            </w:r>
          </w:p>
        </w:tc>
        <w:tc>
          <w:tcPr>
            <w:tcW w:w="1878" w:type="dxa"/>
          </w:tcPr>
          <w:p w14:paraId="1C83851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48</w:t>
            </w:r>
          </w:p>
        </w:tc>
        <w:tc>
          <w:tcPr>
            <w:tcW w:w="1878" w:type="dxa"/>
          </w:tcPr>
          <w:p w14:paraId="7C94A1B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84.2</w:t>
            </w:r>
          </w:p>
        </w:tc>
      </w:tr>
      <w:tr w:rsidR="006331D6" w:rsidRPr="007224C3" w14:paraId="6EA9D3B3" w14:textId="77777777">
        <w:tc>
          <w:tcPr>
            <w:tcW w:w="1878" w:type="dxa"/>
          </w:tcPr>
          <w:p w14:paraId="3B94BA3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Итого</w:t>
            </w:r>
          </w:p>
        </w:tc>
        <w:tc>
          <w:tcPr>
            <w:tcW w:w="1878" w:type="dxa"/>
          </w:tcPr>
          <w:p w14:paraId="53B8B4E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70011BD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137</w:t>
            </w:r>
          </w:p>
        </w:tc>
        <w:tc>
          <w:tcPr>
            <w:tcW w:w="1878" w:type="dxa"/>
          </w:tcPr>
          <w:p w14:paraId="7595249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119</w:t>
            </w:r>
          </w:p>
        </w:tc>
        <w:tc>
          <w:tcPr>
            <w:tcW w:w="1878" w:type="dxa"/>
          </w:tcPr>
          <w:p w14:paraId="75A8FAC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86.9</w:t>
            </w:r>
          </w:p>
        </w:tc>
      </w:tr>
      <w:tr w:rsidR="006331D6" w:rsidRPr="007224C3" w14:paraId="2E1E443C" w14:textId="77777777">
        <w:tc>
          <w:tcPr>
            <w:tcW w:w="1878" w:type="dxa"/>
          </w:tcPr>
          <w:p w14:paraId="042B5C6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471</w:t>
            </w:r>
          </w:p>
        </w:tc>
        <w:tc>
          <w:tcPr>
            <w:tcW w:w="1878" w:type="dxa"/>
          </w:tcPr>
          <w:p w14:paraId="0E84EEA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Як-6</w:t>
            </w:r>
          </w:p>
        </w:tc>
        <w:tc>
          <w:tcPr>
            <w:tcW w:w="1878" w:type="dxa"/>
          </w:tcPr>
          <w:p w14:paraId="1CC4539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73</w:t>
            </w:r>
          </w:p>
        </w:tc>
        <w:tc>
          <w:tcPr>
            <w:tcW w:w="1878" w:type="dxa"/>
          </w:tcPr>
          <w:p w14:paraId="32C76FF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81</w:t>
            </w:r>
          </w:p>
        </w:tc>
        <w:tc>
          <w:tcPr>
            <w:tcW w:w="1878" w:type="dxa"/>
          </w:tcPr>
          <w:p w14:paraId="281E513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111</w:t>
            </w:r>
          </w:p>
        </w:tc>
      </w:tr>
      <w:tr w:rsidR="006331D6" w:rsidRPr="007224C3" w14:paraId="3E806F8B" w14:textId="77777777">
        <w:tc>
          <w:tcPr>
            <w:tcW w:w="1878" w:type="dxa"/>
          </w:tcPr>
          <w:p w14:paraId="5A2C6D7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756F520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У-2</w:t>
            </w:r>
          </w:p>
        </w:tc>
        <w:tc>
          <w:tcPr>
            <w:tcW w:w="1878" w:type="dxa"/>
          </w:tcPr>
          <w:p w14:paraId="4AA9D4E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85</w:t>
            </w:r>
          </w:p>
        </w:tc>
        <w:tc>
          <w:tcPr>
            <w:tcW w:w="1878" w:type="dxa"/>
          </w:tcPr>
          <w:p w14:paraId="705A0C3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53</w:t>
            </w:r>
          </w:p>
        </w:tc>
        <w:tc>
          <w:tcPr>
            <w:tcW w:w="1878" w:type="dxa"/>
          </w:tcPr>
          <w:p w14:paraId="499399C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62.3</w:t>
            </w:r>
          </w:p>
        </w:tc>
      </w:tr>
      <w:tr w:rsidR="006331D6" w:rsidRPr="007224C3" w14:paraId="0CFB73F5" w14:textId="77777777">
        <w:tc>
          <w:tcPr>
            <w:tcW w:w="1878" w:type="dxa"/>
          </w:tcPr>
          <w:p w14:paraId="6043FD1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Итого</w:t>
            </w:r>
          </w:p>
        </w:tc>
        <w:tc>
          <w:tcPr>
            <w:tcW w:w="1878" w:type="dxa"/>
          </w:tcPr>
          <w:p w14:paraId="2B50394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3FB283A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158</w:t>
            </w:r>
          </w:p>
        </w:tc>
        <w:tc>
          <w:tcPr>
            <w:tcW w:w="1878" w:type="dxa"/>
          </w:tcPr>
          <w:p w14:paraId="3E7096B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134</w:t>
            </w:r>
          </w:p>
        </w:tc>
        <w:tc>
          <w:tcPr>
            <w:tcW w:w="1878" w:type="dxa"/>
          </w:tcPr>
          <w:p w14:paraId="00530BE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84.8</w:t>
            </w:r>
          </w:p>
        </w:tc>
      </w:tr>
      <w:tr w:rsidR="006331D6" w:rsidRPr="007224C3" w14:paraId="476A407C" w14:textId="77777777">
        <w:tc>
          <w:tcPr>
            <w:tcW w:w="1878" w:type="dxa"/>
          </w:tcPr>
          <w:p w14:paraId="259C40D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494</w:t>
            </w:r>
          </w:p>
        </w:tc>
        <w:tc>
          <w:tcPr>
            <w:tcW w:w="1878" w:type="dxa"/>
          </w:tcPr>
          <w:p w14:paraId="7670613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С-2</w:t>
            </w:r>
          </w:p>
        </w:tc>
        <w:tc>
          <w:tcPr>
            <w:tcW w:w="1878" w:type="dxa"/>
          </w:tcPr>
          <w:p w14:paraId="504E8C3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248</w:t>
            </w:r>
          </w:p>
        </w:tc>
        <w:tc>
          <w:tcPr>
            <w:tcW w:w="1878" w:type="dxa"/>
          </w:tcPr>
          <w:p w14:paraId="70667E6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270</w:t>
            </w:r>
          </w:p>
        </w:tc>
        <w:tc>
          <w:tcPr>
            <w:tcW w:w="1878" w:type="dxa"/>
          </w:tcPr>
          <w:p w14:paraId="270D61B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108.9</w:t>
            </w:r>
          </w:p>
        </w:tc>
      </w:tr>
      <w:tr w:rsidR="006331D6" w:rsidRPr="007224C3" w14:paraId="6538F1A0" w14:textId="77777777">
        <w:tc>
          <w:tcPr>
            <w:tcW w:w="1878" w:type="dxa"/>
          </w:tcPr>
          <w:p w14:paraId="5238A5D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Итого</w:t>
            </w:r>
          </w:p>
        </w:tc>
        <w:tc>
          <w:tcPr>
            <w:tcW w:w="1878" w:type="dxa"/>
          </w:tcPr>
          <w:p w14:paraId="623E3BC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0888675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1209</w:t>
            </w:r>
          </w:p>
        </w:tc>
        <w:tc>
          <w:tcPr>
            <w:tcW w:w="1878" w:type="dxa"/>
          </w:tcPr>
          <w:p w14:paraId="73F1157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1241</w:t>
            </w:r>
          </w:p>
        </w:tc>
        <w:tc>
          <w:tcPr>
            <w:tcW w:w="1878" w:type="dxa"/>
          </w:tcPr>
          <w:p w14:paraId="02D29F6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102.6</w:t>
            </w:r>
          </w:p>
        </w:tc>
      </w:tr>
      <w:tr w:rsidR="006331D6" w:rsidRPr="007224C3" w14:paraId="1BE0DA5D" w14:textId="77777777">
        <w:tc>
          <w:tcPr>
            <w:tcW w:w="1878" w:type="dxa"/>
          </w:tcPr>
          <w:p w14:paraId="549A797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116</w:t>
            </w:r>
          </w:p>
        </w:tc>
        <w:tc>
          <w:tcPr>
            <w:tcW w:w="1878" w:type="dxa"/>
          </w:tcPr>
          <w:p w14:paraId="4532C21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Ут-2</w:t>
            </w:r>
          </w:p>
        </w:tc>
        <w:tc>
          <w:tcPr>
            <w:tcW w:w="1878" w:type="dxa"/>
          </w:tcPr>
          <w:p w14:paraId="474DC45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598</w:t>
            </w:r>
          </w:p>
        </w:tc>
        <w:tc>
          <w:tcPr>
            <w:tcW w:w="1878" w:type="dxa"/>
          </w:tcPr>
          <w:p w14:paraId="0D72872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702</w:t>
            </w:r>
          </w:p>
        </w:tc>
        <w:tc>
          <w:tcPr>
            <w:tcW w:w="1878" w:type="dxa"/>
          </w:tcPr>
          <w:p w14:paraId="7DB8214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117.4</w:t>
            </w:r>
          </w:p>
        </w:tc>
      </w:tr>
      <w:tr w:rsidR="006331D6" w:rsidRPr="007224C3" w14:paraId="6E8A8192" w14:textId="77777777">
        <w:tc>
          <w:tcPr>
            <w:tcW w:w="1878" w:type="dxa"/>
          </w:tcPr>
          <w:p w14:paraId="1C25DF2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168</w:t>
            </w:r>
          </w:p>
        </w:tc>
        <w:tc>
          <w:tcPr>
            <w:tcW w:w="1878" w:type="dxa"/>
          </w:tcPr>
          <w:p w14:paraId="73EEABF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Ут-2</w:t>
            </w:r>
          </w:p>
        </w:tc>
        <w:tc>
          <w:tcPr>
            <w:tcW w:w="1878" w:type="dxa"/>
          </w:tcPr>
          <w:p w14:paraId="26470F0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196</w:t>
            </w:r>
          </w:p>
        </w:tc>
        <w:tc>
          <w:tcPr>
            <w:tcW w:w="1878" w:type="dxa"/>
          </w:tcPr>
          <w:p w14:paraId="0F1918C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207</w:t>
            </w:r>
          </w:p>
        </w:tc>
        <w:tc>
          <w:tcPr>
            <w:tcW w:w="1878" w:type="dxa"/>
          </w:tcPr>
          <w:p w14:paraId="50D74BF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105.6</w:t>
            </w:r>
          </w:p>
        </w:tc>
      </w:tr>
      <w:tr w:rsidR="006331D6" w:rsidRPr="007224C3" w14:paraId="6172C53B" w14:textId="77777777">
        <w:tc>
          <w:tcPr>
            <w:tcW w:w="1878" w:type="dxa"/>
          </w:tcPr>
          <w:p w14:paraId="5299B06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387</w:t>
            </w:r>
          </w:p>
        </w:tc>
        <w:tc>
          <w:tcPr>
            <w:tcW w:w="1878" w:type="dxa"/>
          </w:tcPr>
          <w:p w14:paraId="6D105A4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У-2</w:t>
            </w:r>
          </w:p>
        </w:tc>
        <w:tc>
          <w:tcPr>
            <w:tcW w:w="1878" w:type="dxa"/>
          </w:tcPr>
          <w:p w14:paraId="2763EB8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2595</w:t>
            </w:r>
          </w:p>
        </w:tc>
        <w:tc>
          <w:tcPr>
            <w:tcW w:w="1878" w:type="dxa"/>
          </w:tcPr>
          <w:p w14:paraId="3F4F413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2733</w:t>
            </w:r>
          </w:p>
        </w:tc>
        <w:tc>
          <w:tcPr>
            <w:tcW w:w="1878" w:type="dxa"/>
          </w:tcPr>
          <w:p w14:paraId="5E864E3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105.3</w:t>
            </w:r>
          </w:p>
        </w:tc>
      </w:tr>
      <w:tr w:rsidR="006331D6" w:rsidRPr="007224C3" w14:paraId="1B0C863A" w14:textId="77777777">
        <w:tc>
          <w:tcPr>
            <w:tcW w:w="1878" w:type="dxa"/>
          </w:tcPr>
          <w:p w14:paraId="0B0545F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Итого</w:t>
            </w:r>
          </w:p>
        </w:tc>
        <w:tc>
          <w:tcPr>
            <w:tcW w:w="1878" w:type="dxa"/>
          </w:tcPr>
          <w:p w14:paraId="645922C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4A97887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3554</w:t>
            </w:r>
          </w:p>
        </w:tc>
        <w:tc>
          <w:tcPr>
            <w:tcW w:w="1878" w:type="dxa"/>
          </w:tcPr>
          <w:p w14:paraId="325B90E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3766</w:t>
            </w:r>
          </w:p>
        </w:tc>
        <w:tc>
          <w:tcPr>
            <w:tcW w:w="1878" w:type="dxa"/>
          </w:tcPr>
          <w:p w14:paraId="7DD2CCE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106</w:t>
            </w:r>
          </w:p>
        </w:tc>
      </w:tr>
      <w:tr w:rsidR="006331D6" w:rsidRPr="007224C3" w14:paraId="2E7F4CEC" w14:textId="77777777">
        <w:tc>
          <w:tcPr>
            <w:tcW w:w="1878" w:type="dxa"/>
          </w:tcPr>
          <w:p w14:paraId="4A8628B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w:t>
            </w:r>
          </w:p>
        </w:tc>
        <w:tc>
          <w:tcPr>
            <w:tcW w:w="1878" w:type="dxa"/>
          </w:tcPr>
          <w:p w14:paraId="17D5304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68A8E86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34044</w:t>
            </w:r>
          </w:p>
        </w:tc>
        <w:tc>
          <w:tcPr>
            <w:tcW w:w="1878" w:type="dxa"/>
          </w:tcPr>
          <w:p w14:paraId="32E9B45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34884</w:t>
            </w:r>
          </w:p>
        </w:tc>
        <w:tc>
          <w:tcPr>
            <w:tcW w:w="1878" w:type="dxa"/>
          </w:tcPr>
          <w:p w14:paraId="4AB8CC3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102.5</w:t>
            </w:r>
          </w:p>
        </w:tc>
      </w:tr>
      <w:tr w:rsidR="006331D6" w:rsidRPr="007224C3" w14:paraId="64A0EB3C" w14:textId="77777777">
        <w:tc>
          <w:tcPr>
            <w:tcW w:w="1878" w:type="dxa"/>
          </w:tcPr>
          <w:p w14:paraId="64B6C5A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Моторы</w:t>
            </w:r>
          </w:p>
        </w:tc>
        <w:tc>
          <w:tcPr>
            <w:tcW w:w="1878" w:type="dxa"/>
          </w:tcPr>
          <w:p w14:paraId="52C8D82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7E1842A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03C0EFC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1BBAB43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7DBBE581" w14:textId="77777777">
        <w:tc>
          <w:tcPr>
            <w:tcW w:w="1878" w:type="dxa"/>
          </w:tcPr>
          <w:p w14:paraId="0C6D58A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w:t>
            </w:r>
          </w:p>
        </w:tc>
        <w:tc>
          <w:tcPr>
            <w:tcW w:w="1878" w:type="dxa"/>
          </w:tcPr>
          <w:p w14:paraId="59EEE22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М-105</w:t>
            </w:r>
          </w:p>
        </w:tc>
        <w:tc>
          <w:tcPr>
            <w:tcW w:w="1878" w:type="dxa"/>
          </w:tcPr>
          <w:p w14:paraId="3C67943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346</w:t>
            </w:r>
          </w:p>
        </w:tc>
        <w:tc>
          <w:tcPr>
            <w:tcW w:w="1878" w:type="dxa"/>
          </w:tcPr>
          <w:p w14:paraId="6CADE0D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458</w:t>
            </w:r>
          </w:p>
        </w:tc>
        <w:tc>
          <w:tcPr>
            <w:tcW w:w="1878" w:type="dxa"/>
          </w:tcPr>
          <w:p w14:paraId="6597704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132.4</w:t>
            </w:r>
          </w:p>
        </w:tc>
      </w:tr>
      <w:tr w:rsidR="006331D6" w:rsidRPr="007224C3" w14:paraId="2E42181B" w14:textId="77777777">
        <w:tc>
          <w:tcPr>
            <w:tcW w:w="1878" w:type="dxa"/>
          </w:tcPr>
          <w:p w14:paraId="2C60742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0B550AC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М-105ПФ</w:t>
            </w:r>
          </w:p>
        </w:tc>
        <w:tc>
          <w:tcPr>
            <w:tcW w:w="1878" w:type="dxa"/>
          </w:tcPr>
          <w:p w14:paraId="588A815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3856</w:t>
            </w:r>
          </w:p>
        </w:tc>
        <w:tc>
          <w:tcPr>
            <w:tcW w:w="1878" w:type="dxa"/>
          </w:tcPr>
          <w:p w14:paraId="5491417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3994</w:t>
            </w:r>
          </w:p>
        </w:tc>
        <w:tc>
          <w:tcPr>
            <w:tcW w:w="1878" w:type="dxa"/>
          </w:tcPr>
          <w:p w14:paraId="6389886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103.6</w:t>
            </w:r>
          </w:p>
        </w:tc>
      </w:tr>
      <w:tr w:rsidR="006331D6" w:rsidRPr="007224C3" w14:paraId="55F7BBFB" w14:textId="77777777">
        <w:tc>
          <w:tcPr>
            <w:tcW w:w="1878" w:type="dxa"/>
          </w:tcPr>
          <w:p w14:paraId="38A38AF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Итого</w:t>
            </w:r>
          </w:p>
        </w:tc>
        <w:tc>
          <w:tcPr>
            <w:tcW w:w="1878" w:type="dxa"/>
          </w:tcPr>
          <w:p w14:paraId="7517FB2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340BE37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4202</w:t>
            </w:r>
          </w:p>
        </w:tc>
        <w:tc>
          <w:tcPr>
            <w:tcW w:w="1878" w:type="dxa"/>
          </w:tcPr>
          <w:p w14:paraId="4720FD5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4452</w:t>
            </w:r>
          </w:p>
        </w:tc>
        <w:tc>
          <w:tcPr>
            <w:tcW w:w="1878" w:type="dxa"/>
          </w:tcPr>
          <w:p w14:paraId="57A4525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106</w:t>
            </w:r>
          </w:p>
        </w:tc>
      </w:tr>
      <w:tr w:rsidR="006331D6" w:rsidRPr="007224C3" w14:paraId="07E33659" w14:textId="77777777">
        <w:tc>
          <w:tcPr>
            <w:tcW w:w="1878" w:type="dxa"/>
          </w:tcPr>
          <w:p w14:paraId="1BF3670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w:t>
            </w:r>
          </w:p>
        </w:tc>
        <w:tc>
          <w:tcPr>
            <w:tcW w:w="1878" w:type="dxa"/>
          </w:tcPr>
          <w:p w14:paraId="63C3242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М-105ПФ</w:t>
            </w:r>
          </w:p>
        </w:tc>
        <w:tc>
          <w:tcPr>
            <w:tcW w:w="1878" w:type="dxa"/>
          </w:tcPr>
          <w:p w14:paraId="504F762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11470</w:t>
            </w:r>
          </w:p>
        </w:tc>
        <w:tc>
          <w:tcPr>
            <w:tcW w:w="1878" w:type="dxa"/>
          </w:tcPr>
          <w:p w14:paraId="1374FC5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11902</w:t>
            </w:r>
          </w:p>
        </w:tc>
        <w:tc>
          <w:tcPr>
            <w:tcW w:w="1878" w:type="dxa"/>
          </w:tcPr>
          <w:p w14:paraId="0A01F36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103.8</w:t>
            </w:r>
          </w:p>
        </w:tc>
      </w:tr>
      <w:tr w:rsidR="006331D6" w:rsidRPr="007224C3" w14:paraId="6F470557" w14:textId="77777777">
        <w:tc>
          <w:tcPr>
            <w:tcW w:w="1878" w:type="dxa"/>
          </w:tcPr>
          <w:p w14:paraId="32A8A0D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0A2F2DE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М-106П</w:t>
            </w:r>
          </w:p>
        </w:tc>
        <w:tc>
          <w:tcPr>
            <w:tcW w:w="1878" w:type="dxa"/>
          </w:tcPr>
          <w:p w14:paraId="4F00A99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222</w:t>
            </w:r>
          </w:p>
        </w:tc>
        <w:tc>
          <w:tcPr>
            <w:tcW w:w="1878" w:type="dxa"/>
          </w:tcPr>
          <w:p w14:paraId="677617C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157</w:t>
            </w:r>
          </w:p>
        </w:tc>
        <w:tc>
          <w:tcPr>
            <w:tcW w:w="1878" w:type="dxa"/>
          </w:tcPr>
          <w:p w14:paraId="387B5A6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70.7</w:t>
            </w:r>
          </w:p>
        </w:tc>
      </w:tr>
      <w:tr w:rsidR="006331D6" w:rsidRPr="007224C3" w14:paraId="3742B6C3" w14:textId="77777777">
        <w:tc>
          <w:tcPr>
            <w:tcW w:w="1878" w:type="dxa"/>
          </w:tcPr>
          <w:p w14:paraId="12A4CD1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575D008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М-107А</w:t>
            </w:r>
          </w:p>
        </w:tc>
        <w:tc>
          <w:tcPr>
            <w:tcW w:w="1878" w:type="dxa"/>
          </w:tcPr>
          <w:p w14:paraId="25EA7A6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502</w:t>
            </w:r>
          </w:p>
        </w:tc>
        <w:tc>
          <w:tcPr>
            <w:tcW w:w="1878" w:type="dxa"/>
          </w:tcPr>
          <w:p w14:paraId="2F66E48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303</w:t>
            </w:r>
          </w:p>
        </w:tc>
        <w:tc>
          <w:tcPr>
            <w:tcW w:w="1878" w:type="dxa"/>
          </w:tcPr>
          <w:p w14:paraId="195A462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60.4</w:t>
            </w:r>
          </w:p>
        </w:tc>
      </w:tr>
      <w:tr w:rsidR="006331D6" w:rsidRPr="007224C3" w14:paraId="5B6CDF14" w14:textId="77777777">
        <w:tc>
          <w:tcPr>
            <w:tcW w:w="1878" w:type="dxa"/>
          </w:tcPr>
          <w:p w14:paraId="156A3A3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Итого</w:t>
            </w:r>
          </w:p>
        </w:tc>
        <w:tc>
          <w:tcPr>
            <w:tcW w:w="1878" w:type="dxa"/>
          </w:tcPr>
          <w:p w14:paraId="2747647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78E5C39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12191</w:t>
            </w:r>
          </w:p>
        </w:tc>
        <w:tc>
          <w:tcPr>
            <w:tcW w:w="1878" w:type="dxa"/>
          </w:tcPr>
          <w:p w14:paraId="218DE8C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12362</w:t>
            </w:r>
          </w:p>
        </w:tc>
        <w:tc>
          <w:tcPr>
            <w:tcW w:w="1878" w:type="dxa"/>
          </w:tcPr>
          <w:p w14:paraId="5C26E6B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101.4</w:t>
            </w:r>
          </w:p>
        </w:tc>
      </w:tr>
      <w:tr w:rsidR="006331D6" w:rsidRPr="007224C3" w14:paraId="605CAAB7" w14:textId="77777777">
        <w:tc>
          <w:tcPr>
            <w:tcW w:w="1878" w:type="dxa"/>
          </w:tcPr>
          <w:p w14:paraId="7AB6E6B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466</w:t>
            </w:r>
          </w:p>
        </w:tc>
        <w:tc>
          <w:tcPr>
            <w:tcW w:w="1878" w:type="dxa"/>
          </w:tcPr>
          <w:p w14:paraId="55BEF71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М-105ПФ</w:t>
            </w:r>
          </w:p>
        </w:tc>
        <w:tc>
          <w:tcPr>
            <w:tcW w:w="1878" w:type="dxa"/>
          </w:tcPr>
          <w:p w14:paraId="1A1B098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2707</w:t>
            </w:r>
          </w:p>
        </w:tc>
        <w:tc>
          <w:tcPr>
            <w:tcW w:w="1878" w:type="dxa"/>
          </w:tcPr>
          <w:p w14:paraId="1A4A1CE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2729</w:t>
            </w:r>
          </w:p>
        </w:tc>
        <w:tc>
          <w:tcPr>
            <w:tcW w:w="1878" w:type="dxa"/>
          </w:tcPr>
          <w:p w14:paraId="2844542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100.8</w:t>
            </w:r>
          </w:p>
        </w:tc>
      </w:tr>
      <w:tr w:rsidR="006331D6" w:rsidRPr="007224C3" w14:paraId="30298F4E" w14:textId="77777777">
        <w:tc>
          <w:tcPr>
            <w:tcW w:w="1878" w:type="dxa"/>
          </w:tcPr>
          <w:p w14:paraId="5E0E0CD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w:t>
            </w:r>
          </w:p>
        </w:tc>
        <w:tc>
          <w:tcPr>
            <w:tcW w:w="1878" w:type="dxa"/>
          </w:tcPr>
          <w:p w14:paraId="5C0E7BB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АМ-38Ф</w:t>
            </w:r>
          </w:p>
        </w:tc>
        <w:tc>
          <w:tcPr>
            <w:tcW w:w="1878" w:type="dxa"/>
          </w:tcPr>
          <w:p w14:paraId="32AC70B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11033</w:t>
            </w:r>
          </w:p>
        </w:tc>
        <w:tc>
          <w:tcPr>
            <w:tcW w:w="1878" w:type="dxa"/>
          </w:tcPr>
          <w:p w14:paraId="1C6C415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10690</w:t>
            </w:r>
          </w:p>
        </w:tc>
        <w:tc>
          <w:tcPr>
            <w:tcW w:w="1878" w:type="dxa"/>
          </w:tcPr>
          <w:p w14:paraId="001491C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96.9</w:t>
            </w:r>
          </w:p>
        </w:tc>
      </w:tr>
      <w:tr w:rsidR="006331D6" w:rsidRPr="007224C3" w14:paraId="30E62966" w14:textId="77777777">
        <w:tc>
          <w:tcPr>
            <w:tcW w:w="1878" w:type="dxa"/>
          </w:tcPr>
          <w:p w14:paraId="456B818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4854BF2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АМ-42</w:t>
            </w:r>
          </w:p>
        </w:tc>
        <w:tc>
          <w:tcPr>
            <w:tcW w:w="1878" w:type="dxa"/>
          </w:tcPr>
          <w:p w14:paraId="7636345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163</w:t>
            </w:r>
          </w:p>
        </w:tc>
        <w:tc>
          <w:tcPr>
            <w:tcW w:w="1878" w:type="dxa"/>
          </w:tcPr>
          <w:p w14:paraId="1882495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55</w:t>
            </w:r>
          </w:p>
        </w:tc>
        <w:tc>
          <w:tcPr>
            <w:tcW w:w="1878" w:type="dxa"/>
          </w:tcPr>
          <w:p w14:paraId="59446BB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33.7</w:t>
            </w:r>
          </w:p>
        </w:tc>
      </w:tr>
      <w:tr w:rsidR="006331D6" w:rsidRPr="007224C3" w14:paraId="2A79A560" w14:textId="77777777">
        <w:tc>
          <w:tcPr>
            <w:tcW w:w="1878" w:type="dxa"/>
          </w:tcPr>
          <w:p w14:paraId="08CEEB9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05301EC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АМ-35А</w:t>
            </w:r>
          </w:p>
        </w:tc>
        <w:tc>
          <w:tcPr>
            <w:tcW w:w="1878" w:type="dxa"/>
          </w:tcPr>
          <w:p w14:paraId="2218760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294</w:t>
            </w:r>
          </w:p>
        </w:tc>
        <w:tc>
          <w:tcPr>
            <w:tcW w:w="1878" w:type="dxa"/>
          </w:tcPr>
          <w:p w14:paraId="1F73DE6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206</w:t>
            </w:r>
          </w:p>
        </w:tc>
        <w:tc>
          <w:tcPr>
            <w:tcW w:w="1878" w:type="dxa"/>
          </w:tcPr>
          <w:p w14:paraId="3B28E22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70.1</w:t>
            </w:r>
          </w:p>
        </w:tc>
      </w:tr>
      <w:tr w:rsidR="006331D6" w:rsidRPr="007224C3" w14:paraId="4E901485" w14:textId="77777777">
        <w:tc>
          <w:tcPr>
            <w:tcW w:w="1878" w:type="dxa"/>
          </w:tcPr>
          <w:p w14:paraId="17CA233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Итого</w:t>
            </w:r>
          </w:p>
        </w:tc>
        <w:tc>
          <w:tcPr>
            <w:tcW w:w="1878" w:type="dxa"/>
          </w:tcPr>
          <w:p w14:paraId="40B6294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2759A3D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11490</w:t>
            </w:r>
          </w:p>
        </w:tc>
        <w:tc>
          <w:tcPr>
            <w:tcW w:w="1878" w:type="dxa"/>
          </w:tcPr>
          <w:p w14:paraId="34F03BC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10951</w:t>
            </w:r>
          </w:p>
        </w:tc>
        <w:tc>
          <w:tcPr>
            <w:tcW w:w="1878" w:type="dxa"/>
          </w:tcPr>
          <w:p w14:paraId="7F327A7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95.3</w:t>
            </w:r>
          </w:p>
        </w:tc>
      </w:tr>
      <w:tr w:rsidR="006331D6" w:rsidRPr="007224C3" w14:paraId="491BA132" w14:textId="77777777">
        <w:tc>
          <w:tcPr>
            <w:tcW w:w="1878" w:type="dxa"/>
          </w:tcPr>
          <w:p w14:paraId="087019A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w:t>
            </w:r>
          </w:p>
        </w:tc>
        <w:tc>
          <w:tcPr>
            <w:tcW w:w="1878" w:type="dxa"/>
          </w:tcPr>
          <w:p w14:paraId="4F9494E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АМ-38</w:t>
            </w:r>
          </w:p>
        </w:tc>
        <w:tc>
          <w:tcPr>
            <w:tcW w:w="1878" w:type="dxa"/>
          </w:tcPr>
          <w:p w14:paraId="1222149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773</w:t>
            </w:r>
          </w:p>
        </w:tc>
        <w:tc>
          <w:tcPr>
            <w:tcW w:w="1878" w:type="dxa"/>
          </w:tcPr>
          <w:p w14:paraId="407D1CE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808</w:t>
            </w:r>
          </w:p>
        </w:tc>
        <w:tc>
          <w:tcPr>
            <w:tcW w:w="1878" w:type="dxa"/>
          </w:tcPr>
          <w:p w14:paraId="1AC9C1C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104.5</w:t>
            </w:r>
          </w:p>
        </w:tc>
      </w:tr>
      <w:tr w:rsidR="006331D6" w:rsidRPr="007224C3" w14:paraId="3770F9FC" w14:textId="77777777">
        <w:tc>
          <w:tcPr>
            <w:tcW w:w="1878" w:type="dxa"/>
          </w:tcPr>
          <w:p w14:paraId="4403D3F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61E71AD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АМ-38Ф</w:t>
            </w:r>
          </w:p>
        </w:tc>
        <w:tc>
          <w:tcPr>
            <w:tcW w:w="1878" w:type="dxa"/>
          </w:tcPr>
          <w:p w14:paraId="79FDBD3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2105</w:t>
            </w:r>
          </w:p>
        </w:tc>
        <w:tc>
          <w:tcPr>
            <w:tcW w:w="1878" w:type="dxa"/>
          </w:tcPr>
          <w:p w14:paraId="164FC9C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2250</w:t>
            </w:r>
          </w:p>
        </w:tc>
        <w:tc>
          <w:tcPr>
            <w:tcW w:w="1878" w:type="dxa"/>
          </w:tcPr>
          <w:p w14:paraId="0DFCD48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106.9</w:t>
            </w:r>
          </w:p>
        </w:tc>
      </w:tr>
      <w:tr w:rsidR="006331D6" w:rsidRPr="007224C3" w14:paraId="623B06E6" w14:textId="77777777">
        <w:tc>
          <w:tcPr>
            <w:tcW w:w="1878" w:type="dxa"/>
          </w:tcPr>
          <w:p w14:paraId="0432F6F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Итого</w:t>
            </w:r>
          </w:p>
        </w:tc>
        <w:tc>
          <w:tcPr>
            <w:tcW w:w="1878" w:type="dxa"/>
          </w:tcPr>
          <w:p w14:paraId="323920F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54B2AF9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2878</w:t>
            </w:r>
          </w:p>
        </w:tc>
        <w:tc>
          <w:tcPr>
            <w:tcW w:w="1878" w:type="dxa"/>
          </w:tcPr>
          <w:p w14:paraId="6608455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3058</w:t>
            </w:r>
          </w:p>
        </w:tc>
        <w:tc>
          <w:tcPr>
            <w:tcW w:w="1878" w:type="dxa"/>
          </w:tcPr>
          <w:p w14:paraId="66583D7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106.2</w:t>
            </w:r>
          </w:p>
        </w:tc>
      </w:tr>
      <w:tr w:rsidR="006331D6" w:rsidRPr="007224C3" w14:paraId="2A23E28A" w14:textId="77777777">
        <w:tc>
          <w:tcPr>
            <w:tcW w:w="1878" w:type="dxa"/>
          </w:tcPr>
          <w:p w14:paraId="0D848B6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w:t>
            </w:r>
          </w:p>
        </w:tc>
        <w:tc>
          <w:tcPr>
            <w:tcW w:w="1878" w:type="dxa"/>
          </w:tcPr>
          <w:p w14:paraId="30E402A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М-82Ф</w:t>
            </w:r>
          </w:p>
        </w:tc>
        <w:tc>
          <w:tcPr>
            <w:tcW w:w="1878" w:type="dxa"/>
          </w:tcPr>
          <w:p w14:paraId="364752A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2567</w:t>
            </w:r>
          </w:p>
        </w:tc>
        <w:tc>
          <w:tcPr>
            <w:tcW w:w="1878" w:type="dxa"/>
          </w:tcPr>
          <w:p w14:paraId="693BC10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3148</w:t>
            </w:r>
          </w:p>
        </w:tc>
        <w:tc>
          <w:tcPr>
            <w:tcW w:w="1878" w:type="dxa"/>
          </w:tcPr>
          <w:p w14:paraId="34688E3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122.6</w:t>
            </w:r>
          </w:p>
        </w:tc>
      </w:tr>
      <w:tr w:rsidR="006331D6" w:rsidRPr="007224C3" w14:paraId="5DD9FE73" w14:textId="77777777">
        <w:tc>
          <w:tcPr>
            <w:tcW w:w="1878" w:type="dxa"/>
          </w:tcPr>
          <w:p w14:paraId="3DB6A1D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226ADF6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М-82ФН</w:t>
            </w:r>
          </w:p>
        </w:tc>
        <w:tc>
          <w:tcPr>
            <w:tcW w:w="1878" w:type="dxa"/>
          </w:tcPr>
          <w:p w14:paraId="7908BA9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2483</w:t>
            </w:r>
          </w:p>
        </w:tc>
        <w:tc>
          <w:tcPr>
            <w:tcW w:w="1878" w:type="dxa"/>
          </w:tcPr>
          <w:p w14:paraId="5EEB4D0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1520</w:t>
            </w:r>
          </w:p>
        </w:tc>
        <w:tc>
          <w:tcPr>
            <w:tcW w:w="1878" w:type="dxa"/>
          </w:tcPr>
          <w:p w14:paraId="03F80B6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61.2</w:t>
            </w:r>
          </w:p>
        </w:tc>
      </w:tr>
      <w:tr w:rsidR="006331D6" w:rsidRPr="007224C3" w14:paraId="404C5EA0" w14:textId="77777777">
        <w:tc>
          <w:tcPr>
            <w:tcW w:w="1878" w:type="dxa"/>
          </w:tcPr>
          <w:p w14:paraId="0F037D0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13E0946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М-62ИР</w:t>
            </w:r>
          </w:p>
        </w:tc>
        <w:tc>
          <w:tcPr>
            <w:tcW w:w="1878" w:type="dxa"/>
          </w:tcPr>
          <w:p w14:paraId="29A99D2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1443</w:t>
            </w:r>
          </w:p>
        </w:tc>
        <w:tc>
          <w:tcPr>
            <w:tcW w:w="1878" w:type="dxa"/>
          </w:tcPr>
          <w:p w14:paraId="6AFF301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1443</w:t>
            </w:r>
          </w:p>
        </w:tc>
        <w:tc>
          <w:tcPr>
            <w:tcW w:w="1878" w:type="dxa"/>
          </w:tcPr>
          <w:p w14:paraId="5AE5E34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w:t>
            </w:r>
          </w:p>
        </w:tc>
      </w:tr>
      <w:tr w:rsidR="006331D6" w:rsidRPr="007224C3" w14:paraId="7E8AAA9F" w14:textId="77777777">
        <w:tc>
          <w:tcPr>
            <w:tcW w:w="1878" w:type="dxa"/>
          </w:tcPr>
          <w:p w14:paraId="4CD6FF6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6F1220F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М-71</w:t>
            </w:r>
          </w:p>
        </w:tc>
        <w:tc>
          <w:tcPr>
            <w:tcW w:w="1878" w:type="dxa"/>
          </w:tcPr>
          <w:p w14:paraId="25875CD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35</w:t>
            </w:r>
          </w:p>
        </w:tc>
        <w:tc>
          <w:tcPr>
            <w:tcW w:w="1878" w:type="dxa"/>
          </w:tcPr>
          <w:p w14:paraId="5500F46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w:t>
            </w:r>
          </w:p>
        </w:tc>
        <w:tc>
          <w:tcPr>
            <w:tcW w:w="1878" w:type="dxa"/>
          </w:tcPr>
          <w:p w14:paraId="20ABEC0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68.6</w:t>
            </w:r>
          </w:p>
        </w:tc>
      </w:tr>
      <w:tr w:rsidR="006331D6" w:rsidRPr="007224C3" w14:paraId="5FB0C875" w14:textId="77777777">
        <w:tc>
          <w:tcPr>
            <w:tcW w:w="1878" w:type="dxa"/>
          </w:tcPr>
          <w:p w14:paraId="28C08D0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Итого</w:t>
            </w:r>
          </w:p>
        </w:tc>
        <w:tc>
          <w:tcPr>
            <w:tcW w:w="1878" w:type="dxa"/>
          </w:tcPr>
          <w:p w14:paraId="7DEFE5C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774F6DD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6528</w:t>
            </w:r>
          </w:p>
        </w:tc>
        <w:tc>
          <w:tcPr>
            <w:tcW w:w="1878" w:type="dxa"/>
          </w:tcPr>
          <w:p w14:paraId="3D34D97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6135</w:t>
            </w:r>
          </w:p>
        </w:tc>
        <w:tc>
          <w:tcPr>
            <w:tcW w:w="1878" w:type="dxa"/>
          </w:tcPr>
          <w:p w14:paraId="2F86C14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94</w:t>
            </w:r>
          </w:p>
        </w:tc>
      </w:tr>
      <w:tr w:rsidR="006331D6" w:rsidRPr="007224C3" w14:paraId="259B50D1" w14:textId="77777777">
        <w:tc>
          <w:tcPr>
            <w:tcW w:w="1878" w:type="dxa"/>
          </w:tcPr>
          <w:p w14:paraId="1C07154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w:t>
            </w:r>
          </w:p>
        </w:tc>
        <w:tc>
          <w:tcPr>
            <w:tcW w:w="1878" w:type="dxa"/>
          </w:tcPr>
          <w:p w14:paraId="56C850C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М-88</w:t>
            </w:r>
          </w:p>
        </w:tc>
        <w:tc>
          <w:tcPr>
            <w:tcW w:w="1878" w:type="dxa"/>
          </w:tcPr>
          <w:p w14:paraId="5DCF080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3531</w:t>
            </w:r>
          </w:p>
        </w:tc>
        <w:tc>
          <w:tcPr>
            <w:tcW w:w="1878" w:type="dxa"/>
          </w:tcPr>
          <w:p w14:paraId="6A72ECE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3580</w:t>
            </w:r>
          </w:p>
        </w:tc>
        <w:tc>
          <w:tcPr>
            <w:tcW w:w="1878" w:type="dxa"/>
          </w:tcPr>
          <w:p w14:paraId="55F7FC6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101.4</w:t>
            </w:r>
          </w:p>
        </w:tc>
      </w:tr>
      <w:tr w:rsidR="006331D6" w:rsidRPr="007224C3" w14:paraId="592B3A64" w14:textId="77777777">
        <w:tc>
          <w:tcPr>
            <w:tcW w:w="1878" w:type="dxa"/>
          </w:tcPr>
          <w:p w14:paraId="5278216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65A5CD6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М-88Ф</w:t>
            </w:r>
          </w:p>
        </w:tc>
        <w:tc>
          <w:tcPr>
            <w:tcW w:w="1878" w:type="dxa"/>
          </w:tcPr>
          <w:p w14:paraId="24C5944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w:t>
            </w:r>
          </w:p>
        </w:tc>
        <w:tc>
          <w:tcPr>
            <w:tcW w:w="1878" w:type="dxa"/>
          </w:tcPr>
          <w:p w14:paraId="4AD53F0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878" w:type="dxa"/>
          </w:tcPr>
          <w:p w14:paraId="71E0D3D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6331D6" w:rsidRPr="007224C3" w14:paraId="59FB78D0" w14:textId="77777777">
        <w:tc>
          <w:tcPr>
            <w:tcW w:w="1878" w:type="dxa"/>
          </w:tcPr>
          <w:p w14:paraId="6A6BE82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48B68B4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М-90</w:t>
            </w:r>
          </w:p>
        </w:tc>
        <w:tc>
          <w:tcPr>
            <w:tcW w:w="1878" w:type="dxa"/>
          </w:tcPr>
          <w:p w14:paraId="1E0A95A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w:t>
            </w:r>
          </w:p>
        </w:tc>
        <w:tc>
          <w:tcPr>
            <w:tcW w:w="1878" w:type="dxa"/>
          </w:tcPr>
          <w:p w14:paraId="171B5C7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tc>
        <w:tc>
          <w:tcPr>
            <w:tcW w:w="1878" w:type="dxa"/>
          </w:tcPr>
          <w:p w14:paraId="0FB626C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23.1</w:t>
            </w:r>
          </w:p>
        </w:tc>
      </w:tr>
      <w:tr w:rsidR="006331D6" w:rsidRPr="007224C3" w14:paraId="34B1E291" w14:textId="77777777">
        <w:tc>
          <w:tcPr>
            <w:tcW w:w="1878" w:type="dxa"/>
          </w:tcPr>
          <w:p w14:paraId="1F56A47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59EF7DE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М-82ФН</w:t>
            </w:r>
          </w:p>
        </w:tc>
        <w:tc>
          <w:tcPr>
            <w:tcW w:w="1878" w:type="dxa"/>
          </w:tcPr>
          <w:p w14:paraId="53BF0F7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175</w:t>
            </w:r>
          </w:p>
        </w:tc>
        <w:tc>
          <w:tcPr>
            <w:tcW w:w="1878" w:type="dxa"/>
          </w:tcPr>
          <w:p w14:paraId="63C139A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tc>
        <w:tc>
          <w:tcPr>
            <w:tcW w:w="1878" w:type="dxa"/>
          </w:tcPr>
          <w:p w14:paraId="06CE557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w:t>
            </w:r>
          </w:p>
        </w:tc>
      </w:tr>
      <w:tr w:rsidR="006331D6" w:rsidRPr="007224C3" w14:paraId="1FD12410" w14:textId="77777777">
        <w:tc>
          <w:tcPr>
            <w:tcW w:w="1878" w:type="dxa"/>
          </w:tcPr>
          <w:p w14:paraId="274DA5D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Итого</w:t>
            </w:r>
          </w:p>
        </w:tc>
        <w:tc>
          <w:tcPr>
            <w:tcW w:w="1878" w:type="dxa"/>
          </w:tcPr>
          <w:p w14:paraId="68DF5EA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5C3E0B3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3729</w:t>
            </w:r>
          </w:p>
        </w:tc>
        <w:tc>
          <w:tcPr>
            <w:tcW w:w="1878" w:type="dxa"/>
          </w:tcPr>
          <w:p w14:paraId="53406CA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3588</w:t>
            </w:r>
          </w:p>
        </w:tc>
        <w:tc>
          <w:tcPr>
            <w:tcW w:w="1878" w:type="dxa"/>
          </w:tcPr>
          <w:p w14:paraId="69954DA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96.2</w:t>
            </w:r>
          </w:p>
        </w:tc>
      </w:tr>
      <w:tr w:rsidR="006331D6" w:rsidRPr="007224C3" w14:paraId="60692984" w14:textId="77777777">
        <w:tc>
          <w:tcPr>
            <w:tcW w:w="1878" w:type="dxa"/>
          </w:tcPr>
          <w:p w14:paraId="3561413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41</w:t>
            </w:r>
          </w:p>
        </w:tc>
        <w:tc>
          <w:tcPr>
            <w:tcW w:w="1878" w:type="dxa"/>
          </w:tcPr>
          <w:p w14:paraId="6F0FDF2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М-11</w:t>
            </w:r>
          </w:p>
        </w:tc>
        <w:tc>
          <w:tcPr>
            <w:tcW w:w="1878" w:type="dxa"/>
          </w:tcPr>
          <w:p w14:paraId="4EF0C4E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1432</w:t>
            </w:r>
          </w:p>
        </w:tc>
        <w:tc>
          <w:tcPr>
            <w:tcW w:w="1878" w:type="dxa"/>
          </w:tcPr>
          <w:p w14:paraId="05BE440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1131</w:t>
            </w:r>
          </w:p>
        </w:tc>
        <w:tc>
          <w:tcPr>
            <w:tcW w:w="1878" w:type="dxa"/>
          </w:tcPr>
          <w:p w14:paraId="6F45B62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79</w:t>
            </w:r>
          </w:p>
        </w:tc>
      </w:tr>
      <w:tr w:rsidR="006331D6" w:rsidRPr="007224C3" w14:paraId="327E6425" w14:textId="77777777">
        <w:tc>
          <w:tcPr>
            <w:tcW w:w="1878" w:type="dxa"/>
          </w:tcPr>
          <w:p w14:paraId="3D6A8DD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154</w:t>
            </w:r>
          </w:p>
        </w:tc>
        <w:tc>
          <w:tcPr>
            <w:tcW w:w="1878" w:type="dxa"/>
          </w:tcPr>
          <w:p w14:paraId="3BD01F4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М-11</w:t>
            </w:r>
          </w:p>
        </w:tc>
        <w:tc>
          <w:tcPr>
            <w:tcW w:w="1878" w:type="dxa"/>
          </w:tcPr>
          <w:p w14:paraId="3A4C22F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4472</w:t>
            </w:r>
          </w:p>
        </w:tc>
        <w:tc>
          <w:tcPr>
            <w:tcW w:w="1878" w:type="dxa"/>
          </w:tcPr>
          <w:p w14:paraId="15E6E8A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4676</w:t>
            </w:r>
          </w:p>
        </w:tc>
        <w:tc>
          <w:tcPr>
            <w:tcW w:w="1878" w:type="dxa"/>
          </w:tcPr>
          <w:p w14:paraId="56771C1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104.6</w:t>
            </w:r>
          </w:p>
        </w:tc>
      </w:tr>
      <w:tr w:rsidR="006331D6" w:rsidRPr="007224C3" w14:paraId="53F60B83" w14:textId="77777777">
        <w:tc>
          <w:tcPr>
            <w:tcW w:w="1878" w:type="dxa"/>
          </w:tcPr>
          <w:p w14:paraId="35D4B09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500</w:t>
            </w:r>
          </w:p>
        </w:tc>
        <w:tc>
          <w:tcPr>
            <w:tcW w:w="1878" w:type="dxa"/>
          </w:tcPr>
          <w:p w14:paraId="3B875FD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М-30Б</w:t>
            </w:r>
          </w:p>
        </w:tc>
        <w:tc>
          <w:tcPr>
            <w:tcW w:w="1878" w:type="dxa"/>
          </w:tcPr>
          <w:p w14:paraId="5374331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105</w:t>
            </w:r>
          </w:p>
        </w:tc>
        <w:tc>
          <w:tcPr>
            <w:tcW w:w="1878" w:type="dxa"/>
          </w:tcPr>
          <w:p w14:paraId="2BD8C27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32</w:t>
            </w:r>
          </w:p>
        </w:tc>
        <w:tc>
          <w:tcPr>
            <w:tcW w:w="1878" w:type="dxa"/>
          </w:tcPr>
          <w:p w14:paraId="35A9F3A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30.5</w:t>
            </w:r>
          </w:p>
        </w:tc>
      </w:tr>
      <w:tr w:rsidR="005106D0" w:rsidRPr="007224C3" w14:paraId="350F9A08" w14:textId="77777777">
        <w:tc>
          <w:tcPr>
            <w:tcW w:w="1878" w:type="dxa"/>
          </w:tcPr>
          <w:p w14:paraId="21248E5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Итого</w:t>
            </w:r>
          </w:p>
        </w:tc>
        <w:tc>
          <w:tcPr>
            <w:tcW w:w="1878" w:type="dxa"/>
          </w:tcPr>
          <w:p w14:paraId="12763D3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5D17EA2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49737</w:t>
            </w:r>
          </w:p>
        </w:tc>
        <w:tc>
          <w:tcPr>
            <w:tcW w:w="1878" w:type="dxa"/>
          </w:tcPr>
          <w:p w14:paraId="797EE5A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49114</w:t>
            </w:r>
          </w:p>
        </w:tc>
        <w:tc>
          <w:tcPr>
            <w:tcW w:w="1878" w:type="dxa"/>
          </w:tcPr>
          <w:p w14:paraId="143E4CA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98.8 (2563,16)</w:t>
            </w:r>
          </w:p>
        </w:tc>
      </w:tr>
    </w:tbl>
    <w:p w14:paraId="3294E5F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4641DE" w14:textId="77777777" w:rsidR="0059774D" w:rsidRPr="007224C3" w:rsidRDefault="0059774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января 1944 отчет об аварии Пе-8 (с сохранением орфографии исходников)</w:t>
      </w:r>
    </w:p>
    <w:p w14:paraId="4359AA07" w14:textId="77777777" w:rsidR="0059774D" w:rsidRPr="007224C3" w:rsidRDefault="0059774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КОМАНДИР КОРАБЛЯ ГВАРДИИ МАЙОР МАКАРЕНКО С.М.</w:t>
      </w:r>
    </w:p>
    <w:p w14:paraId="61DCBA37" w14:textId="77777777" w:rsidR="0059774D" w:rsidRPr="007224C3" w:rsidRDefault="0059774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1АЭ 25 ГВ</w:t>
      </w:r>
    </w:p>
    <w:p w14:paraId="6BE0AA7E" w14:textId="77777777" w:rsidR="0059774D" w:rsidRPr="007224C3" w:rsidRDefault="0059774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8.1.44 Г. Кратово КОМАНДИРУ 25 ГВ. АПДД ГВАРДИИ ПОДПОЛКОВНИКУ АБРАМОВУ</w:t>
      </w:r>
    </w:p>
    <w:p w14:paraId="24F98DCD" w14:textId="77777777" w:rsidR="0059774D" w:rsidRPr="007224C3" w:rsidRDefault="0059774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8.1.44 г. получив самолет № 42511 на заводе № 22 для перегонки в часть, вылетел с заводского аэродрома. В 12.29 сделал два круга над аэродромом для просмотра правильной работы матчасти, после того как. убедился, что матчасть работает исправно, лег на курс 260° и пошел по маршруту Казань-Раменское, по маршруту погода была Н-500-400мт„ видимость 5-10 км., по маршруту моторы работали нормально, дойдя в р-он Арзамас с 1-го мотора, с дренажа начало сильно бить масло, я убрал наддув до 600 мм, масло перестало бить. После осмотра б/тек. 1-го мотора он доложил, что с мотором все в порядке, можно давать нормальный наддув, я дал нормальный наддув Рк 800, масло перестало бить. Подойдя к р. Ока я отдал приказание радисту запросить погоду аэродрома Раменское. Радист передал, что погода Раменское - Н=600 м„ видимость 4-6 км. Подойдя к Раменскому за 25 км, я снова отдал приказание радисту вторично запросить погоду на аэродроме Раменское, радист пере</w:t>
      </w:r>
      <w:r w:rsidRPr="007224C3">
        <w:rPr>
          <w:rFonts w:ascii="Times New Roman" w:hAnsi="Times New Roman"/>
          <w:color w:val="000000" w:themeColor="text1"/>
          <w:sz w:val="16"/>
          <w:szCs w:val="16"/>
        </w:rPr>
        <w:softHyphen/>
        <w:t>дал - Н=150 м„ видимость 1-2 км. Выйдя на Раменский аэродром я увидел свободный аэродром 'от препятствий, прошел через аэродром, сделал левый разворот под 90°, отдал приказание б.технику выпустить шасси, проверил воздух в тормозах, начал делать второй разворот. На 5-ем развороте начали останавливаться все 4 мотора, после того, как посмотрел на приборы б/тех. и увидел, что упал наддув и обороты на всех моторах Рк до 550, обороты до 1600-1700, после того как я спросил у б/техника что с мотором, б/тех. доложил, что все нормально, но наддув и обороты падают, машина начала резко терять высоту. Т.к. я вышел в направлении Раменское и посадка неизбежна на город, я принял решение отвернуться вправо до 25-50°, Н=150 мт„ после чего забрали с одной стороны моторы правые, машина на двух мо</w:t>
      </w:r>
      <w:r w:rsidRPr="007224C3">
        <w:rPr>
          <w:rFonts w:ascii="Times New Roman" w:hAnsi="Times New Roman"/>
          <w:color w:val="000000" w:themeColor="text1"/>
          <w:sz w:val="16"/>
          <w:szCs w:val="16"/>
        </w:rPr>
        <w:softHyphen/>
        <w:t>торах с одной стороны горизонтально не пошла и начала терять резко высоту со свалива</w:t>
      </w:r>
      <w:r w:rsidRPr="007224C3">
        <w:rPr>
          <w:rFonts w:ascii="Times New Roman" w:hAnsi="Times New Roman"/>
          <w:color w:val="000000" w:themeColor="text1"/>
          <w:sz w:val="16"/>
          <w:szCs w:val="16"/>
        </w:rPr>
        <w:softHyphen/>
        <w:t>нием влево. Впереди нас шла линия высокого напряжения тока и завод. Старался перетянуть препятствие правыми моторами. После пролета препятствий вследствие сильной тяги провых моторов, создался сильный левый снос и машину начало валить в левый штопор, видя, что машина на двух моторах правой группы не идет, а все время продолжает валиться на нос и на левое крыло, я убрал газ правой группе моторов, машину вывел перед самой землей с левого крена, машина ударилась правым колесом, затем левым колесом и после вторичного прикосновения левым колесом, подломилось левое шасси, машина пробежала на правом колесе 200 м, подломилось правое шасси, машину развернуло вправо на 25° и остановилась. Левая ' группа моторов с момента отказов не работала до приземления, в результате машина поло</w:t>
      </w:r>
      <w:r w:rsidRPr="007224C3">
        <w:rPr>
          <w:rFonts w:ascii="Times New Roman" w:hAnsi="Times New Roman"/>
          <w:color w:val="000000" w:themeColor="text1"/>
          <w:sz w:val="16"/>
          <w:szCs w:val="16"/>
        </w:rPr>
        <w:softHyphen/>
        <w:t>мана. Экипаж невредим.</w:t>
      </w:r>
    </w:p>
    <w:p w14:paraId="14C1A5DA" w14:textId="77777777" w:rsidR="0059774D" w:rsidRPr="007224C3" w:rsidRDefault="0059774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ГВ. МАЙОР МАКАРЕНКО</w:t>
      </w:r>
    </w:p>
    <w:p w14:paraId="64044E65" w14:textId="77777777" w:rsidR="0059774D" w:rsidRPr="007224C3" w:rsidRDefault="0059774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После аварии было проведено расследование. Далее приводится акт комиссии, проводившей расследование.</w:t>
      </w:r>
    </w:p>
    <w:p w14:paraId="14406D5C" w14:textId="77777777" w:rsidR="0059774D" w:rsidRPr="007224C3" w:rsidRDefault="0059774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АКТ</w:t>
      </w:r>
    </w:p>
    <w:p w14:paraId="06B00EC9" w14:textId="77777777" w:rsidR="0059774D" w:rsidRPr="007224C3" w:rsidRDefault="0059774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Комиссия, назначенная приказанием командира 45 АД ДД</w:t>
      </w:r>
    </w:p>
    <w:p w14:paraId="2B33D684" w14:textId="77777777" w:rsidR="0059774D" w:rsidRPr="007224C3" w:rsidRDefault="0059774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Генерал-майора авиации тов. ЛЕБЕДЕВА в составе председателя:</w:t>
      </w:r>
    </w:p>
    <w:p w14:paraId="7EB940D8" w14:textId="77777777" w:rsidR="0059774D" w:rsidRPr="007224C3" w:rsidRDefault="0059774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Старшего инженера 45 АД ДД инженера-подполковника АНУРОВА и членов: командира 25 Гв. АПДД гвардии подполковника АБРАМОВА, инспектора по технике пилотирования 45 АД ДД под</w:t>
      </w:r>
      <w:r w:rsidRPr="007224C3">
        <w:rPr>
          <w:rFonts w:ascii="Times New Roman" w:hAnsi="Times New Roman"/>
          <w:color w:val="000000" w:themeColor="text1"/>
          <w:sz w:val="16"/>
          <w:szCs w:val="16"/>
        </w:rPr>
        <w:softHyphen/>
        <w:t>полковника КОНДРАТЬЕВА, зам. старшего инженера 45 АД ДД по эксплуатации инженер-майора ЗОЛОТАРЕВА и старшего инженера 25 Гв. АПДД гвардии инженер-майора СТОЛЯРОВА, произвела рас</w:t>
      </w:r>
      <w:r w:rsidRPr="007224C3">
        <w:rPr>
          <w:rFonts w:ascii="Times New Roman" w:hAnsi="Times New Roman"/>
          <w:color w:val="000000" w:themeColor="text1"/>
          <w:sz w:val="16"/>
          <w:szCs w:val="16"/>
        </w:rPr>
        <w:softHyphen/>
        <w:t>следование причин аварии самолета Пе-8 4М-82 № 42511.</w:t>
      </w:r>
    </w:p>
    <w:p w14:paraId="23F995D5" w14:textId="77777777" w:rsidR="0059774D" w:rsidRPr="007224C3" w:rsidRDefault="0059774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Пе-8 № 42511 перегонялся с аэродрома завода № 22 НКАП г. Казань на аэродром Кратово 8.1.1944 года, экипажем в составе:</w:t>
      </w:r>
    </w:p>
    <w:p w14:paraId="38F5CD7E" w14:textId="77777777" w:rsidR="0059774D" w:rsidRPr="007224C3" w:rsidRDefault="0059774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Командир корабля - гв. майор МАКАРЕНКО</w:t>
      </w:r>
    </w:p>
    <w:p w14:paraId="48D92EB1" w14:textId="77777777" w:rsidR="0059774D" w:rsidRPr="007224C3" w:rsidRDefault="0059774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2.2-й летчик - гв. лейтенант ГРИГОРЬЕВ</w:t>
      </w:r>
    </w:p>
    <w:p w14:paraId="4EE126EC" w14:textId="77777777" w:rsidR="0059774D" w:rsidRPr="007224C3" w:rsidRDefault="0059774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 техник бортовой - гв. ст. т/л-нт НОВИКОВ</w:t>
      </w:r>
    </w:p>
    <w:p w14:paraId="2E9F17C8" w14:textId="77777777" w:rsidR="0059774D" w:rsidRPr="007224C3" w:rsidRDefault="0059774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Пом. борттехника - гв. ст. т/л-нт АНИКЕЕНКО</w:t>
      </w:r>
    </w:p>
    <w:p w14:paraId="28602AA6" w14:textId="77777777" w:rsidR="0059774D" w:rsidRPr="007224C3" w:rsidRDefault="0059774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Штурман - гв. ст. л-нт ДОКУНИХИН</w:t>
      </w:r>
    </w:p>
    <w:p w14:paraId="0C50F7BA" w14:textId="77777777" w:rsidR="0059774D" w:rsidRPr="007224C3" w:rsidRDefault="0059774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Радист - гв. ст. сержант АБДУЛА</w:t>
      </w:r>
    </w:p>
    <w:p w14:paraId="193C50BF" w14:textId="77777777" w:rsidR="0059774D" w:rsidRPr="007224C3" w:rsidRDefault="0059774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Техник авиационный - гв. мл. т/л-нт КИРИЛЮК</w:t>
      </w:r>
    </w:p>
    <w:p w14:paraId="39F26F60" w14:textId="77777777" w:rsidR="0059774D" w:rsidRPr="007224C3" w:rsidRDefault="0059774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Воздушный стрелок - гв. старшина ВЕТРЕНКО</w:t>
      </w:r>
    </w:p>
    <w:p w14:paraId="24A7945D" w14:textId="77777777" w:rsidR="0059774D" w:rsidRPr="007224C3" w:rsidRDefault="0059774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Воздушный стрелок - гв.ст. сержант СТОЛЯРЧУК</w:t>
      </w:r>
    </w:p>
    <w:p w14:paraId="4BF36922" w14:textId="77777777" w:rsidR="0059774D" w:rsidRPr="007224C3" w:rsidRDefault="0059774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взлетел с аэродрома завода № 22 в 12 ч. 29 м. и сде</w:t>
      </w:r>
      <w:r w:rsidRPr="007224C3">
        <w:rPr>
          <w:rFonts w:ascii="Times New Roman" w:hAnsi="Times New Roman"/>
          <w:color w:val="000000" w:themeColor="text1"/>
          <w:sz w:val="16"/>
          <w:szCs w:val="16"/>
        </w:rPr>
        <w:softHyphen/>
        <w:t>лав два круга над аэродромом, для проверки работы моторов, в 12 ч. 40 м. лег на курс.</w:t>
      </w:r>
    </w:p>
    <w:p w14:paraId="541523C7" w14:textId="77777777" w:rsidR="0059774D" w:rsidRPr="007224C3" w:rsidRDefault="0059774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донесению экипажа, погода по маршруту была хорошей, - до района АРЗАМАС-ГОРЬКИЙ Н-300-400 м. при видимости 5-6 клм. В районе АРЗАМАС высота облачности снизилась до 200 мт. при наличии слабых осадков.</w:t>
      </w:r>
    </w:p>
    <w:p w14:paraId="4A0A6EBF" w14:textId="77777777" w:rsidR="0059774D" w:rsidRPr="007224C3" w:rsidRDefault="0059774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14.57 самолет вышел на аэродром Кратово. За 10 минут до выхода на аэродром самолет попал в полосу снегопада. Вследствие плохой видимости аэродрома, летчик не зашел на посадку с первого круга и стал заходить вторично. На третьем развороте, в усло</w:t>
      </w:r>
      <w:r w:rsidRPr="007224C3">
        <w:rPr>
          <w:rFonts w:ascii="Times New Roman" w:hAnsi="Times New Roman"/>
          <w:color w:val="000000" w:themeColor="text1"/>
          <w:sz w:val="16"/>
          <w:szCs w:val="16"/>
        </w:rPr>
        <w:softHyphen/>
        <w:t>виях сильного снегопада, начали сдавать все четыре мотора, наддув снизился до 600 мм. рт. столба, а обороты до 1600-1700 об/мин, все моторы сильно дымили. Второй мотор давал хлопки, начавшиеся еще до сдачи всех моторов, и машина пошла со снижением. Летчик на высоте Н=150 м. отвернул машину вправо на 25-30°, чтобы избе</w:t>
      </w:r>
      <w:r w:rsidRPr="007224C3">
        <w:rPr>
          <w:rFonts w:ascii="Times New Roman" w:hAnsi="Times New Roman"/>
          <w:color w:val="000000" w:themeColor="text1"/>
          <w:sz w:val="16"/>
          <w:szCs w:val="16"/>
        </w:rPr>
        <w:softHyphen/>
        <w:t>жать посадки в населенном пункте РАМЕНСКОЕ, при этом моторы правой группы вновь заработали и машина начала сваливаться влево, резко теряя высоту. Чтобы перетянуть линию высокого на</w:t>
      </w:r>
      <w:r w:rsidRPr="007224C3">
        <w:rPr>
          <w:rFonts w:ascii="Times New Roman" w:hAnsi="Times New Roman"/>
          <w:color w:val="000000" w:themeColor="text1"/>
          <w:sz w:val="16"/>
          <w:szCs w:val="16"/>
        </w:rPr>
        <w:softHyphen/>
        <w:t>пряжения и не врезаться в лес, правым моторам был дан форсаж, но увидев, что машина пошла с большим креном, опуская нос, летчик убрал газ всем моторам и вывел машину из крена у самой земли.</w:t>
      </w:r>
    </w:p>
    <w:p w14:paraId="0D476CFB" w14:textId="77777777" w:rsidR="0059774D" w:rsidRPr="007224C3" w:rsidRDefault="0059774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со сносом ударился о землю, снес левое колесо, через 150 метров сломалась правая нога и лег на фюзеляж.</w:t>
      </w:r>
    </w:p>
    <w:p w14:paraId="082C99A0" w14:textId="77777777" w:rsidR="0059774D" w:rsidRPr="007224C3" w:rsidRDefault="0059774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Экипаж повреждений не получил. На самолете повреждены сле</w:t>
      </w:r>
      <w:r w:rsidRPr="007224C3">
        <w:rPr>
          <w:rFonts w:ascii="Times New Roman" w:hAnsi="Times New Roman"/>
          <w:color w:val="000000" w:themeColor="text1"/>
          <w:sz w:val="16"/>
          <w:szCs w:val="16"/>
        </w:rPr>
        <w:softHyphen/>
        <w:t>дующие основные детали:</w:t>
      </w:r>
    </w:p>
    <w:p w14:paraId="320E4AB2" w14:textId="77777777" w:rsidR="0059774D" w:rsidRPr="007224C3" w:rsidRDefault="0059774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снесены шасси и подшассийные гондолы,</w:t>
      </w:r>
    </w:p>
    <w:p w14:paraId="695451A6" w14:textId="77777777" w:rsidR="0059774D" w:rsidRPr="007224C3" w:rsidRDefault="0059774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Смята нижняя часть Ф-1,</w:t>
      </w:r>
    </w:p>
    <w:p w14:paraId="62CD35FA" w14:textId="77777777" w:rsidR="0059774D" w:rsidRPr="007224C3" w:rsidRDefault="0059774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Погнуты лопасти воздушных винтов,</w:t>
      </w:r>
    </w:p>
    <w:p w14:paraId="759CAE81" w14:textId="77777777" w:rsidR="0059774D" w:rsidRPr="007224C3" w:rsidRDefault="0059774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Лопнул нижний пояс переднего лонжерона левой плоскости у 13-й нервюры и 3 раскоса «змейки».</w:t>
      </w:r>
    </w:p>
    <w:p w14:paraId="16DF8047" w14:textId="77777777" w:rsidR="0059774D" w:rsidRPr="007224C3" w:rsidRDefault="0059774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Повреждена «змейка» заднего лонжерона,</w:t>
      </w:r>
    </w:p>
    <w:p w14:paraId="1748EF8C" w14:textId="77777777" w:rsidR="0059774D" w:rsidRPr="007224C3" w:rsidRDefault="0059774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Смяты бомболюки.</w:t>
      </w:r>
    </w:p>
    <w:p w14:paraId="641A99D6" w14:textId="77777777" w:rsidR="0059774D" w:rsidRPr="007224C3" w:rsidRDefault="0059774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детальном осмотре самолета и моторов, дефектов, могущих вызвать одновременный отказ всех 4-х моторов, не об</w:t>
      </w:r>
      <w:r w:rsidRPr="007224C3">
        <w:rPr>
          <w:rFonts w:ascii="Times New Roman" w:hAnsi="Times New Roman"/>
          <w:color w:val="000000" w:themeColor="text1"/>
          <w:sz w:val="16"/>
          <w:szCs w:val="16"/>
        </w:rPr>
        <w:softHyphen/>
        <w:t>наружено.</w:t>
      </w:r>
    </w:p>
    <w:p w14:paraId="6B8C879F" w14:textId="77777777" w:rsidR="0059774D" w:rsidRPr="007224C3" w:rsidRDefault="0059774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высотных корректорах карбюраторов АК-82 БП обнаружено:</w:t>
      </w:r>
    </w:p>
    <w:p w14:paraId="093BD9A6" w14:textId="77777777" w:rsidR="0059774D" w:rsidRPr="007224C3" w:rsidRDefault="0059774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r w:rsidRPr="007224C3">
        <w:rPr>
          <w:rFonts w:ascii="Times New Roman" w:hAnsi="Times New Roman"/>
          <w:color w:val="000000" w:themeColor="text1"/>
          <w:sz w:val="16"/>
          <w:szCs w:val="16"/>
        </w:rPr>
        <w:tab/>
        <w:t>В карбюраторе 2-го мотора корпус высотного корректора заполнен льдом на 2/3 (см. фото). Воздушное отверстие к игле корректора заморожено. Воздушные отверстия верхней пустоте</w:t>
      </w:r>
      <w:r w:rsidRPr="007224C3">
        <w:rPr>
          <w:rFonts w:ascii="Times New Roman" w:hAnsi="Times New Roman"/>
          <w:color w:val="000000" w:themeColor="text1"/>
          <w:sz w:val="16"/>
          <w:szCs w:val="16"/>
        </w:rPr>
        <w:softHyphen/>
        <w:t>лой крышки карбюратора также были заполнены льдом.</w:t>
      </w:r>
    </w:p>
    <w:p w14:paraId="58196495" w14:textId="77777777" w:rsidR="0059774D" w:rsidRPr="007224C3" w:rsidRDefault="0059774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r w:rsidRPr="007224C3">
        <w:rPr>
          <w:rFonts w:ascii="Times New Roman" w:hAnsi="Times New Roman"/>
          <w:color w:val="000000" w:themeColor="text1"/>
          <w:sz w:val="16"/>
          <w:szCs w:val="16"/>
        </w:rPr>
        <w:tab/>
        <w:t>В карбюраторе 1-го мотора корпус автокорректора засо</w:t>
      </w:r>
      <w:r w:rsidRPr="007224C3">
        <w:rPr>
          <w:rFonts w:ascii="Times New Roman" w:hAnsi="Times New Roman"/>
          <w:color w:val="000000" w:themeColor="text1"/>
          <w:sz w:val="16"/>
          <w:szCs w:val="16"/>
        </w:rPr>
        <w:softHyphen/>
        <w:t>рен порошкообразным веществом, повидимому образовавшемся вследствие коррозии деталей.</w:t>
      </w:r>
    </w:p>
    <w:p w14:paraId="61349992" w14:textId="77777777" w:rsidR="0059774D" w:rsidRPr="007224C3" w:rsidRDefault="0059774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r w:rsidRPr="007224C3">
        <w:rPr>
          <w:rFonts w:ascii="Times New Roman" w:hAnsi="Times New Roman"/>
          <w:color w:val="000000" w:themeColor="text1"/>
          <w:sz w:val="16"/>
          <w:szCs w:val="16"/>
        </w:rPr>
        <w:tab/>
        <w:t>В корпусе высотного корректора 4-го мотора имелся лед, но отверстие к игле корректора не было перекрыто.</w:t>
      </w:r>
    </w:p>
    <w:p w14:paraId="39F45007" w14:textId="77777777" w:rsidR="0059774D" w:rsidRPr="007224C3" w:rsidRDefault="0059774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Свечи 1-го мотора имели следы работы на переобогащенной смеси, свечи 2-го мотора работали на обедненной смеси. На мо</w:t>
      </w:r>
      <w:r w:rsidRPr="007224C3">
        <w:rPr>
          <w:rFonts w:ascii="Times New Roman" w:hAnsi="Times New Roman"/>
          <w:color w:val="000000" w:themeColor="text1"/>
          <w:sz w:val="16"/>
          <w:szCs w:val="16"/>
        </w:rPr>
        <w:softHyphen/>
        <w:t>тор № 1 был установлен винт (с 4-го мотора) мотор подогрет и опробован. Мотор работал при пробе на всех режимах хорошо, показания приборов были нормальные. Бензин и масло в самолете находились в достаточном количестве для продолжения полета (на аэродроме завода в самолет было залито для перелета 6500 лтр. бензина Б-100) 1000 литров бензина было слито из самолета после поломки, и часть бензина вытекла через поврежденную бен- зопроводку.</w:t>
      </w:r>
    </w:p>
    <w:p w14:paraId="6CAEFC26" w14:textId="77777777" w:rsidR="0059774D" w:rsidRPr="007224C3" w:rsidRDefault="0059774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объему полученных повреждений самолет подлежит вос</w:t>
      </w:r>
      <w:r w:rsidRPr="007224C3">
        <w:rPr>
          <w:rFonts w:ascii="Times New Roman" w:hAnsi="Times New Roman"/>
          <w:color w:val="000000" w:themeColor="text1"/>
          <w:sz w:val="16"/>
          <w:szCs w:val="16"/>
        </w:rPr>
        <w:softHyphen/>
        <w:t>становительному ремонту в мастерских с заменой шасси и шас- сийных гондол.</w:t>
      </w:r>
    </w:p>
    <w:p w14:paraId="100C3552" w14:textId="77777777" w:rsidR="0059774D" w:rsidRPr="007224C3" w:rsidRDefault="0059774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ВЫВОДЫ.</w:t>
      </w:r>
    </w:p>
    <w:p w14:paraId="3F66337A" w14:textId="77777777" w:rsidR="0059774D" w:rsidRPr="007224C3" w:rsidRDefault="0059774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Причиной аварии самолета явился отказ моторов ш за</w:t>
      </w:r>
      <w:r w:rsidRPr="007224C3">
        <w:rPr>
          <w:rFonts w:ascii="Times New Roman" w:hAnsi="Times New Roman"/>
          <w:color w:val="000000" w:themeColor="text1"/>
          <w:sz w:val="16"/>
          <w:szCs w:val="16"/>
        </w:rPr>
        <w:softHyphen/>
        <w:t>ходе на посадку, вследствие забивания снегом карбюраторов в полете при сильном снегоподе.</w:t>
      </w:r>
    </w:p>
    <w:p w14:paraId="4ED19AFF" w14:textId="77777777" w:rsidR="0059774D" w:rsidRPr="007224C3" w:rsidRDefault="0059774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Командир самолета гвардии майор Макаренко в создавшихся трудных условиях действовал правильно.</w:t>
      </w:r>
    </w:p>
    <w:p w14:paraId="5A341402" w14:textId="77777777" w:rsidR="0059774D" w:rsidRPr="007224C3" w:rsidRDefault="0059774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предупреждения случаев отказе тг-црое обле</w:t>
      </w:r>
      <w:r w:rsidRPr="007224C3">
        <w:rPr>
          <w:rFonts w:ascii="Times New Roman" w:hAnsi="Times New Roman"/>
          <w:color w:val="000000" w:themeColor="text1"/>
          <w:sz w:val="16"/>
          <w:szCs w:val="16"/>
        </w:rPr>
        <w:softHyphen/>
        <w:t>денения карбюраторов, необходимо ставить кар</w:t>
      </w:r>
      <w:r w:rsidRPr="007224C3">
        <w:rPr>
          <w:rFonts w:ascii="Times New Roman" w:hAnsi="Times New Roman"/>
          <w:color w:val="000000" w:themeColor="text1"/>
          <w:sz w:val="16"/>
          <w:szCs w:val="16"/>
        </w:rPr>
        <w:softHyphen/>
        <w:t>бюраторы АК-82П5 и автоматически васотный корректор.</w:t>
      </w:r>
    </w:p>
    <w:p w14:paraId="1AF075BC" w14:textId="77777777" w:rsidR="0059774D" w:rsidRPr="007224C3" w:rsidRDefault="0059774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Как временное мероприятие для обеспечения боевой работы рекомендуется:</w:t>
      </w:r>
    </w:p>
    <w:p w14:paraId="15E15B15" w14:textId="77777777" w:rsidR="0059774D" w:rsidRPr="007224C3" w:rsidRDefault="0059774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Снять сетки с всасывающего патрубка,</w:t>
      </w:r>
    </w:p>
    <w:p w14:paraId="016FE76F" w14:textId="77777777" w:rsidR="0059774D" w:rsidRPr="007224C3" w:rsidRDefault="0059774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Запретить на самолетах Пе-8 4М-82 входить в снегопад ливневого характера.</w:t>
      </w:r>
    </w:p>
    <w:p w14:paraId="3D0E46A5" w14:textId="77777777" w:rsidR="0059774D" w:rsidRPr="007224C3" w:rsidRDefault="0059774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ПРЕДСЕДАТЕЛЬ КОМИССИИ:</w:t>
      </w:r>
    </w:p>
    <w:p w14:paraId="67B9000E" w14:textId="77777777" w:rsidR="0059774D" w:rsidRPr="007224C3" w:rsidRDefault="0059774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ИНЖЕНЕР ПОДПОЛКОВНИК - _/АНУРОВ/</w:t>
      </w:r>
    </w:p>
    <w:p w14:paraId="3F4415C4" w14:textId="77777777" w:rsidR="0059774D" w:rsidRPr="007224C3" w:rsidRDefault="0059774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ЧЛЕНЫ: ГВАРДИИ ПОДПОЛКОВНИК</w:t>
      </w:r>
      <w:r w:rsidRPr="007224C3">
        <w:rPr>
          <w:rFonts w:ascii="Times New Roman" w:hAnsi="Times New Roman"/>
          <w:color w:val="000000" w:themeColor="text1"/>
          <w:sz w:val="16"/>
          <w:szCs w:val="16"/>
        </w:rPr>
        <w:tab/>
        <w:t>/АБРАМОВ/</w:t>
      </w:r>
    </w:p>
    <w:p w14:paraId="3203E3A2" w14:textId="77777777" w:rsidR="0059774D" w:rsidRPr="007224C3" w:rsidRDefault="0059774D" w:rsidP="007224C3">
      <w:pPr>
        <w:spacing w:after="0" w:line="240" w:lineRule="auto"/>
        <w:jc w:val="both"/>
        <w:rPr>
          <w:rFonts w:ascii="Times New Roman" w:hAnsi="Times New Roman"/>
          <w:color w:val="000000" w:themeColor="text1"/>
          <w:sz w:val="16"/>
          <w:szCs w:val="16"/>
        </w:rPr>
      </w:pPr>
      <w:bookmarkStart w:id="0" w:name="bookmark18"/>
      <w:r w:rsidRPr="007224C3">
        <w:rPr>
          <w:rFonts w:ascii="Times New Roman" w:hAnsi="Times New Roman"/>
          <w:color w:val="000000" w:themeColor="text1"/>
          <w:sz w:val="16"/>
          <w:szCs w:val="16"/>
        </w:rPr>
        <w:t>подполковник</w:t>
      </w:r>
      <w:r w:rsidRPr="007224C3">
        <w:rPr>
          <w:rFonts w:ascii="Times New Roman" w:hAnsi="Times New Roman"/>
          <w:color w:val="000000" w:themeColor="text1"/>
          <w:sz w:val="16"/>
          <w:szCs w:val="16"/>
        </w:rPr>
        <w:tab/>
        <w:t>/кондратьев/</w:t>
      </w:r>
      <w:bookmarkEnd w:id="0"/>
    </w:p>
    <w:p w14:paraId="5A40991D" w14:textId="77777777" w:rsidR="0059774D" w:rsidRPr="007224C3" w:rsidRDefault="0059774D" w:rsidP="007224C3">
      <w:pPr>
        <w:spacing w:after="0" w:line="240" w:lineRule="auto"/>
        <w:jc w:val="both"/>
        <w:rPr>
          <w:rFonts w:ascii="Times New Roman" w:hAnsi="Times New Roman"/>
          <w:color w:val="000000" w:themeColor="text1"/>
          <w:sz w:val="16"/>
          <w:szCs w:val="16"/>
        </w:rPr>
      </w:pPr>
      <w:bookmarkStart w:id="1" w:name="bookmark19"/>
      <w:r w:rsidRPr="007224C3">
        <w:rPr>
          <w:rFonts w:ascii="Times New Roman" w:hAnsi="Times New Roman"/>
          <w:color w:val="000000" w:themeColor="text1"/>
          <w:sz w:val="16"/>
          <w:szCs w:val="16"/>
        </w:rPr>
        <w:t>инженер-майор</w:t>
      </w:r>
      <w:r w:rsidRPr="007224C3">
        <w:rPr>
          <w:rFonts w:ascii="Times New Roman" w:hAnsi="Times New Roman"/>
          <w:color w:val="000000" w:themeColor="text1"/>
          <w:sz w:val="16"/>
          <w:szCs w:val="16"/>
        </w:rPr>
        <w:tab/>
        <w:t>/чеботарев/</w:t>
      </w:r>
      <w:bookmarkEnd w:id="1"/>
    </w:p>
    <w:p w14:paraId="7B3ED083" w14:textId="77777777" w:rsidR="0059774D" w:rsidRPr="007224C3" w:rsidRDefault="0059774D" w:rsidP="007224C3">
      <w:pPr>
        <w:spacing w:after="0" w:line="240" w:lineRule="auto"/>
        <w:jc w:val="both"/>
        <w:rPr>
          <w:rFonts w:ascii="Times New Roman" w:hAnsi="Times New Roman"/>
          <w:color w:val="000000" w:themeColor="text1"/>
          <w:sz w:val="16"/>
          <w:szCs w:val="16"/>
        </w:rPr>
      </w:pPr>
      <w:bookmarkStart w:id="2" w:name="bookmark20"/>
      <w:r w:rsidRPr="007224C3">
        <w:rPr>
          <w:rFonts w:ascii="Times New Roman" w:hAnsi="Times New Roman"/>
          <w:color w:val="000000" w:themeColor="text1"/>
          <w:sz w:val="16"/>
          <w:szCs w:val="16"/>
        </w:rPr>
        <w:t>гвардии инженер</w:t>
      </w:r>
      <w:r w:rsidRPr="007224C3">
        <w:rPr>
          <w:rFonts w:ascii="Times New Roman" w:hAnsi="Times New Roman"/>
          <w:color w:val="000000" w:themeColor="text1"/>
          <w:sz w:val="16"/>
          <w:szCs w:val="16"/>
        </w:rPr>
        <w:tab/>
        <w:t>/столяров/</w:t>
      </w:r>
      <w:bookmarkEnd w:id="2"/>
    </w:p>
    <w:p w14:paraId="33D22FC5" w14:textId="77777777" w:rsidR="0059774D" w:rsidRPr="007224C3" w:rsidRDefault="0059774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После этой аварии Пе-8 42511 был отремонтирован (19559).</w:t>
      </w:r>
    </w:p>
    <w:p w14:paraId="217F6DE9" w14:textId="77777777" w:rsidR="0059774D" w:rsidRPr="007224C3" w:rsidRDefault="0059774D" w:rsidP="007224C3">
      <w:pPr>
        <w:spacing w:after="0" w:line="240" w:lineRule="auto"/>
        <w:jc w:val="both"/>
        <w:rPr>
          <w:rFonts w:ascii="Times New Roman" w:hAnsi="Times New Roman"/>
          <w:color w:val="000000" w:themeColor="text1"/>
          <w:sz w:val="16"/>
          <w:szCs w:val="16"/>
        </w:rPr>
      </w:pPr>
    </w:p>
    <w:p w14:paraId="30A8593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8 января 1944 г. и 26.02.1944 г. на основании приказов НКАП № 16с и № 146с при заводе № 41 в составе 8ГУ образовано ОКБ с опытной базой для работ по маломощным моторам.</w:t>
      </w:r>
    </w:p>
    <w:p w14:paraId="4573571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основании приказа № 146с от 26.02.1944 г. на территорию завода № 41 было переведено в течение месяца ОКБ завода № 154 НКАП из  г. Андижана со всеми кадрами и оборудованием для концентрации работ по легким моторам.</w:t>
      </w:r>
    </w:p>
    <w:p w14:paraId="74E0EB7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Модификации мотора М-11: М-11Ф (испытан в 02.1945 г., ведущий конструктор- A.M. Власенко), М-11Я, М- 12 (испытан в 05.1945 г., ведущий конструктор- A.M. Власенко).</w:t>
      </w:r>
    </w:p>
    <w:p w14:paraId="73B6137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04.1946 г. в МАП сделан вывод о неудовлетворительной работе ОКБ. Планировалось его ликвидировать и объединить с заводом № 41 с 1.09.1946 г., а работы по модернизации М-11 прекратить (приказ МАП № 414с от 1.07.1946 г.). Е.В. Урмин освобожден от должности (04.1946 г. или ранее), далее снова работал в ЦИАМ и на преподавательской работе. Однако работы по М-11 были продолжены. Их руководителем и начальником ОКБ назначен И.А. Мужилов (до ВОВ работал на заводе № 16, с 11.1940 г. был начальником СКО завода № 451 НКАП. затем работал на заводе № 41). Работы по М-11ФР. В связи с развертыванием работ по ГТД производство моторов М-11 перевели на завод № 154, туда же планировалось перевести и ОКБ (приказ № 546сс от 15.08.1946 г.). Однако ОКБ осталось на заводе, были проведены испытания и доводка М-11ФРВ, создан опытный М-13, в 1947-48 г. построено 3 экземпляра, проведены заводские и гос. стендовые испытания.</w:t>
      </w:r>
    </w:p>
    <w:p w14:paraId="2B1590F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1948 г. ОКБ ликвидировано (в рамках сокращения опытных работ), работы по М-13 прекращены.</w:t>
      </w:r>
    </w:p>
    <w:p w14:paraId="75678B1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конструктор (1944-46 г.)- Е.В. Урмин.</w:t>
      </w:r>
    </w:p>
    <w:p w14:paraId="204F6A5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(1946-48 г.)- И.А. Мужилов (11982).</w:t>
      </w:r>
    </w:p>
    <w:p w14:paraId="21AE563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382DEC3F"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54CD012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7B328D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января 1944 вышло Постановление ГКО № 4897 О плане распределения нефтепродуктов на I квартал 1944 г. РГАНИР, Фонд ГКО, д. 186, лл. 1-2,3-35 (11012).</w:t>
      </w:r>
    </w:p>
    <w:p w14:paraId="0F318B0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7AAE7E3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ян</w:t>
      </w:r>
      <w:r w:rsidRPr="007224C3">
        <w:rPr>
          <w:rFonts w:ascii="Times New Roman" w:hAnsi="Times New Roman"/>
          <w:color w:val="000000" w:themeColor="text1"/>
          <w:sz w:val="16"/>
          <w:szCs w:val="16"/>
        </w:rPr>
        <w:softHyphen/>
        <w:t>варя 1944 г. бьш утвержден улучшенный вариант тральщика пр. 253Л для второй серии малых базовых тральщиков типа МТ-2. Для повышения живу</w:t>
      </w:r>
      <w:r w:rsidRPr="007224C3">
        <w:rPr>
          <w:rFonts w:ascii="Times New Roman" w:hAnsi="Times New Roman"/>
          <w:color w:val="000000" w:themeColor="text1"/>
          <w:sz w:val="16"/>
          <w:szCs w:val="16"/>
        </w:rPr>
        <w:softHyphen/>
        <w:t>чести один из трех импортных дизелей мощностью 230 л. с. пере</w:t>
      </w:r>
      <w:r w:rsidRPr="007224C3">
        <w:rPr>
          <w:rFonts w:ascii="Times New Roman" w:hAnsi="Times New Roman"/>
          <w:color w:val="000000" w:themeColor="text1"/>
          <w:sz w:val="16"/>
          <w:szCs w:val="16"/>
        </w:rPr>
        <w:softHyphen/>
        <w:t>несли из машинного отделения в тральный трюм, установили тре</w:t>
      </w:r>
      <w:r w:rsidRPr="007224C3">
        <w:rPr>
          <w:rFonts w:ascii="Times New Roman" w:hAnsi="Times New Roman"/>
          <w:color w:val="000000" w:themeColor="text1"/>
          <w:sz w:val="16"/>
          <w:szCs w:val="16"/>
        </w:rPr>
        <w:softHyphen/>
        <w:t>тий дизель-генератор (15 кВт), штурманскую рубку, гирокомпас, усиленное зенитное вооружение: два автомата 70К и два спаренных пулемета. Теперь применение КЭМТ-2 обеспечивалось питанием с одного тральщика (3898).</w:t>
      </w:r>
    </w:p>
    <w:p w14:paraId="132D613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F8703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января 1944 Утвержден проект ТЩ типа МТ-2 (II серия МТ), в котором был учтен опыт боевого использования кораблей I серии. Основные характеристики нового ТЩ: нормальное водоизмещение 129 т, осадка 1,35 м, вооружение - два орудия калибра 37 мм, два пулемета. За счет введения двух машинных отделений улучшена живучесть катера, повышены мореходные качества, установка третьего дизель-генератора мощностью 15 кВт обеспечила питанием петлевой трал от одного тральщика (10671).</w:t>
      </w:r>
    </w:p>
    <w:p w14:paraId="2BF524D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76938E3E"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15C4D29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ACEC9D6" w14:textId="77777777" w:rsidR="00264F92" w:rsidRPr="007224C3" w:rsidRDefault="00264F92"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8 января</w:t>
      </w:r>
      <w:r w:rsidRPr="007224C3">
        <w:rPr>
          <w:rFonts w:ascii="Times New Roman" w:hAnsi="Times New Roman"/>
          <w:color w:val="000000" w:themeColor="text1"/>
          <w:sz w:val="16"/>
          <w:szCs w:val="16"/>
        </w:rPr>
        <w:t xml:space="preserve"> в 1944 году оперативная сводка Совинформбюро:</w:t>
      </w:r>
    </w:p>
    <w:p w14:paraId="2A21E352" w14:textId="77777777" w:rsidR="00264F92" w:rsidRPr="007224C3" w:rsidRDefault="00264F9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8 января войска 1-го Украинского фронта,продолжая наступление, овладели районным центром Винницкой области Ильинцы, а также с боями заняли более 60 других населённых пунктов, среди которых крупные населённые пункты Виры, Ленчи, Чудель, Рудня Боровская, Сивки, Бельчаки, Новая Чартория, Коростки, Липно, Михайловка, Красносёлка, Райгородок, Обуховка, Маркуши, Новая Гребля, Кошланы, Лукашовка, Шуляки, Пугачовка, Житники, Ольшанка,Марейка, Сорокатяги, Тетеревка, Красиловка, Станиславчик, Чапаевка, Переселение, Кагарлыкская Слобода, Великие Прицьки и железнодорожные станции Страшов, Бродецкое, Голендры.</w:t>
      </w:r>
    </w:p>
    <w:p w14:paraId="711A8CB0" w14:textId="77777777" w:rsidR="00264F92" w:rsidRPr="007224C3" w:rsidRDefault="00264F9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2-го Украинского фронта в результате умелого обходного манёвра 8 января овладели крупным областным и промышленным центром Украины городом Кировоград, а также с боями заняли более 80 других населённых пунктов и среди них крупные населённые пункты Полудневка, Матвеевка, Высшие Верещаки, Низшие Верещаки, Сосновка, Тарасовка, Букварка, Ульяновка, Покликтаровка, Мелековка, Александровка, Безводная, Маровка, Зелёная, Ворошилова. Губовка.</w:t>
      </w:r>
    </w:p>
    <w:p w14:paraId="22943C38" w14:textId="77777777" w:rsidR="00264F92" w:rsidRPr="007224C3" w:rsidRDefault="00264F9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 разведка и артиллерийско-миномётная перестрелка.</w:t>
      </w:r>
    </w:p>
    <w:p w14:paraId="2BD6E29F" w14:textId="77777777" w:rsidR="00264F92" w:rsidRPr="007224C3" w:rsidRDefault="00264F9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7 января наши войска на всех фронтах подбили и уничтожили 74 немецких танка. В воздушных боях и огнём зенитной артиллерии сбито 28 самолётов противника.</w:t>
      </w:r>
    </w:p>
    <w:p w14:paraId="6DC0C307" w14:textId="77777777" w:rsidR="00264F92" w:rsidRPr="007224C3" w:rsidRDefault="00264F9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1-го Украинского фронта продолжали наступление. Части Н-ского соединения, при активном содействии ровенских партизан, заняли железнодорожную станцию Страшов. В другом районе наши войска встретили упорное сопротивление немцев на заранее подготовленных ими позициях. Совершив стремительный манёвр, советские танки и пехота нанесли противнику удар с фланга и отбросили его с этого оборонительного рубежа. На поле боя осталось свыше 700 вражеских трупов. Захвачено 17 полевых и 2 самоходных орудия, 64 пулемёта, 12 миномётов, 46 автомашин, склад с горючим и два склада с боеприпасами. Наши войска, продвигаясь вперёд, с боями овладели районным центром Винницкой области Ильинцы и заняли более 60 других населённых пунктов. За день боёв уничтожено до полка пехоты противника, сожжено и подбито 19 танков, 5 самоходных орудий и 6 бронетранспортёров. Захвачено у немцев 22 полевых и 7 зенитных орудий, большой обоз с военным имуществом и 7 разных складов. Взяты пленные.</w:t>
      </w:r>
    </w:p>
    <w:p w14:paraId="1706D882" w14:textId="77777777" w:rsidR="00264F92" w:rsidRPr="007224C3" w:rsidRDefault="00264F9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Наши лётчики наносили удары по боевым порядкам и коммуникациям противника. В результате действий авиации уничтожено 20 вражеских танков, до 150 автомашин, 10 паровозов, 60 вагонов, 11 цистерн с горючим и взорван склад боеприпасов.</w:t>
      </w:r>
    </w:p>
    <w:p w14:paraId="7CACBB87" w14:textId="77777777" w:rsidR="00264F92" w:rsidRPr="007224C3" w:rsidRDefault="00264F9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2-го Украинского фронта, окружив вчера город Кировоград, в течение ночи вели бои по ликвидации немецких войск, засевших в городе. Советские танкисты ворвались на юго-западную и юго-восточную окраины Кировограда. В это же время пехотные части, тесня гитлеровцев, вышли к Северо-западной окраине городаи завязали уличные бои. Продолжая сжимать кольцо окружения, наши войска быстро подавили очаги сопротивления немцев и сегодня полностью овладели областным центром Украины городом Кировоград. В боях на подступах к городу и на его улицах противник понёс огромные потери. Многие немецкие подразделения прекратили сопротивление, сложили оружие и сдались в плен. Советскими войсками захвачены большие трофеи, в числе которых танки, самоходные и полевые орудия, многострелкового вооружения, паровозы, вагоны, автомашины, склады с боеприпасами, продовольствием и военным имуществом. Овладев Кировоградом, войска 2-гоУкраинского фронта продолжали наступление и заняли более 80 других населённых пунктов. В боях за эти пункты наши танкисты истребили два батальона гитлеровцев, сожгли и подбили 32 танка и 3 самоходных орудия противника. Советская авиация активно поддерживала наступление наземных войск. В течение дня наши лётчики ввоздушных боях сбили 22 немецких самолёта.</w:t>
      </w:r>
    </w:p>
    <w:p w14:paraId="09A3351D" w14:textId="77777777" w:rsidR="00264F92" w:rsidRPr="007224C3" w:rsidRDefault="00264F9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Несколько партизанских отрядов, действующих в Брестской области, в начале января вели бои с немецкой карательной экспедицией. Советские патриоты истребилидо 150 гитлеровцев и взяли в плен 36 немецких солдат. Ружейно-пулемётным огнём сбит транспортный самолёт противника. Группа брестских партизан проникла в крупный населённый пункт и взорвала две немецкие казармы, уничтожив при этом свыше 40 офицеров и солдат противника. Много гитлеровцев, находившихся в казармах, ранено.</w:t>
      </w:r>
    </w:p>
    <w:p w14:paraId="553951CE" w14:textId="77777777" w:rsidR="00264F92" w:rsidRPr="007224C3" w:rsidRDefault="00264F9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Пленный солдат 18 финской пехотной дивизии Альберт Андерс Гуннар рассказал:«Я добровольно поступил в финскую армию 16 июля 1941 года и был зачислен в шюцкоровскую роту, которая находилась в Восточной Карелии. В октябре 1942 года меня перевели в 18 пехотную дивизию. Находясь в шюцкоровской роте в Виэль-Ярви, мы охраняли лагерь советских военнопленных. Пленные влачили жалкое и голодное существование. На завтрак они получали воду и крошечный кусочек хлеба с большой примесью древесной муки. После этого пленных угоняли на работу. Надсмотрщики подгоняли их и избивали. На обед пленным выдавали несколько ложек несъедобной каши из отходов ржаной муки или похлебки из картофельных отбросов. Только очень изголодавшийся человек мог есть такую пищу. Из числа солдат, охранявших лагерь, я знаю Пааво Оландера и Эркки Ехюдениуса из Оулункюля, Бертола Нюмаша из Хельсинки. Они могут подтвердить, что я говорю правду. Лагерь военнопленных имеется также около Маткасельке. Заключённые в этом лагере работают на лесозаготовках. Проездом я видел их за работой. У пленных был крайне измождённый вид. Несмотря на сильный мороз, они были одеты в тряпьё. О расстрелах русских военнопленных мне рассказывали многие финские солдаты».</w:t>
      </w:r>
    </w:p>
    <w:p w14:paraId="1304357D" w14:textId="77777777" w:rsidR="00264F92" w:rsidRPr="007224C3" w:rsidRDefault="00264F9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Пленный финский солдат Альберт Андерс Гуннар, как явствует из его показаний, находился в охране лагеря советских военнопленных в Финляндии. Надо полагать, что этот матёрый шюцкоровец не сообщил и десятой доли того, что ему известно. Но даже и из его показаний очевидно, что белофинны голодом, каторжным режимом и непосильным трудом обрекают советских военнопленных на медленную смерть. Лагери для советских военнопленных в Финляндии построены по образу и подобию немецких лагерей. Финские сообщники Гитлера стараются во всём следовать немецко-фашистским мерзавцам. Советский народ не забудет этих преступленийбелофиннов. Гитлеровские пособники из правящей клики Финляндии, как инепосредственные виновники в издевательствах над советскими военнопленными, будут сурово наказаны.» (15003).</w:t>
      </w:r>
    </w:p>
    <w:p w14:paraId="2384B43C" w14:textId="77777777" w:rsidR="00264F92" w:rsidRPr="007224C3" w:rsidRDefault="00264F92" w:rsidP="007224C3">
      <w:pPr>
        <w:spacing w:after="0" w:line="240" w:lineRule="auto"/>
        <w:jc w:val="both"/>
        <w:rPr>
          <w:rFonts w:ascii="Times New Roman" w:hAnsi="Times New Roman"/>
          <w:color w:val="000000" w:themeColor="text1"/>
          <w:sz w:val="16"/>
          <w:szCs w:val="16"/>
        </w:rPr>
      </w:pPr>
    </w:p>
    <w:p w14:paraId="350321A3" w14:textId="77777777" w:rsidR="00264F92" w:rsidRPr="007224C3" w:rsidRDefault="00264F92"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8 января</w:t>
      </w:r>
      <w:r w:rsidRPr="007224C3">
        <w:rPr>
          <w:rFonts w:ascii="Times New Roman" w:hAnsi="Times New Roman"/>
          <w:color w:val="000000" w:themeColor="text1"/>
          <w:sz w:val="16"/>
          <w:szCs w:val="16"/>
        </w:rPr>
        <w:t xml:space="preserve"> в 1944 году (8 – 24 января) безуспешное наступление войск Западного фронта на богушевском направлении (15003).</w:t>
      </w:r>
    </w:p>
    <w:p w14:paraId="542E3AC3" w14:textId="77777777" w:rsidR="00264F92" w:rsidRPr="007224C3" w:rsidRDefault="00264F92" w:rsidP="007224C3">
      <w:pPr>
        <w:spacing w:after="0" w:line="240" w:lineRule="auto"/>
        <w:jc w:val="both"/>
        <w:rPr>
          <w:rFonts w:ascii="Times New Roman" w:hAnsi="Times New Roman"/>
          <w:color w:val="000000" w:themeColor="text1"/>
          <w:sz w:val="16"/>
          <w:szCs w:val="16"/>
        </w:rPr>
      </w:pPr>
    </w:p>
    <w:p w14:paraId="0C912EC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8 января 1944 года 19-й КИАП (с августа 1944 года - 176-й ГИАП) под командованием Героя Советского Союза полковника Л.Л. Шестакова в составе 40 экипажей, полностью укомплектованный и оттренированныи, убыл на 1-й Украинский фронт и при</w:t>
      </w:r>
      <w:r w:rsidRPr="007224C3">
        <w:rPr>
          <w:rFonts w:ascii="Times New Roman" w:hAnsi="Times New Roman"/>
          <w:color w:val="000000" w:themeColor="text1"/>
          <w:sz w:val="16"/>
          <w:szCs w:val="16"/>
        </w:rPr>
        <w:softHyphen/>
        <w:t>ступил к боевым действиям с аэро</w:t>
      </w:r>
      <w:r w:rsidRPr="007224C3">
        <w:rPr>
          <w:rFonts w:ascii="Times New Roman" w:hAnsi="Times New Roman"/>
          <w:color w:val="000000" w:themeColor="text1"/>
          <w:sz w:val="16"/>
          <w:szCs w:val="16"/>
        </w:rPr>
        <w:softHyphen/>
        <w:t>дрома Журбинцы 20 января 1944 года (10714).</w:t>
      </w:r>
    </w:p>
    <w:p w14:paraId="38BD076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D2A6BB" w14:textId="77777777" w:rsidR="0059774D" w:rsidRPr="007224C3" w:rsidRDefault="0059774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января 1944 года 19-й КИАП (с августа 1944 г. — 176-й ГИАП) под командованием Героя Советского Союза полковника Л.Л. Шестакова в составе 40 экипажей, полностью укомплектованный и оттренированный, убыл на 1-й Украинский фронт и 20 января 1944 г. приступил к боевым действиям с аэродрома Журбинцы (15829).</w:t>
      </w:r>
    </w:p>
    <w:p w14:paraId="1A532E60" w14:textId="77777777" w:rsidR="0059774D" w:rsidRPr="007224C3" w:rsidRDefault="0059774D" w:rsidP="007224C3">
      <w:pPr>
        <w:spacing w:after="0" w:line="240" w:lineRule="auto"/>
        <w:jc w:val="both"/>
        <w:rPr>
          <w:rFonts w:ascii="Times New Roman" w:hAnsi="Times New Roman"/>
          <w:color w:val="000000" w:themeColor="text1"/>
          <w:sz w:val="16"/>
          <w:szCs w:val="16"/>
        </w:rPr>
      </w:pPr>
    </w:p>
    <w:p w14:paraId="0426D592"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января 1944 советские войска освободили от фашистов Кировоград (4962).</w:t>
      </w:r>
    </w:p>
    <w:p w14:paraId="60DBFA75"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224521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января 1944 в ходе Кировоградская операция 2УФ (И.С.Конев) против 8А, которая началась 5 января 1944 и завершилась 16 января 1944, был освобожден Кировоград (3398,12).</w:t>
      </w:r>
    </w:p>
    <w:p w14:paraId="766E124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C0D4A2"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7224C3">
        <w:rPr>
          <w:rFonts w:ascii="Times New Roman" w:hAnsi="Times New Roman"/>
          <w:i/>
          <w:iCs/>
          <w:color w:val="000000" w:themeColor="text1"/>
          <w:sz w:val="16"/>
          <w:szCs w:val="16"/>
        </w:rPr>
        <w:t>За</w:t>
      </w:r>
      <w:r w:rsidRPr="007224C3">
        <w:rPr>
          <w:rFonts w:ascii="Times New Roman" w:hAnsi="Times New Roman"/>
          <w:i/>
          <w:iCs/>
          <w:color w:val="000000" w:themeColor="text1"/>
          <w:sz w:val="16"/>
          <w:szCs w:val="16"/>
          <w:lang w:val="en-US"/>
        </w:rPr>
        <w:t xml:space="preserve"> </w:t>
      </w:r>
      <w:r w:rsidRPr="007224C3">
        <w:rPr>
          <w:rFonts w:ascii="Times New Roman" w:hAnsi="Times New Roman"/>
          <w:i/>
          <w:iCs/>
          <w:color w:val="000000" w:themeColor="text1"/>
          <w:sz w:val="16"/>
          <w:szCs w:val="16"/>
        </w:rPr>
        <w:t>рубежом</w:t>
      </w:r>
      <w:r w:rsidRPr="007224C3">
        <w:rPr>
          <w:rFonts w:ascii="Times New Roman" w:hAnsi="Times New Roman"/>
          <w:i/>
          <w:iCs/>
          <w:color w:val="000000" w:themeColor="text1"/>
          <w:sz w:val="16"/>
          <w:szCs w:val="16"/>
          <w:lang w:val="en-US"/>
        </w:rPr>
        <w:t>:</w:t>
      </w:r>
    </w:p>
    <w:p w14:paraId="3BAA41C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0DA9B9D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January 8, 1944. Developed in only 143 days, the prototype Lockheed XP-80 Shooting Star, Lulu Belle, makes its first flight at Muroc Dry Lake (later Edwards AFB), Calif., with Milo Burcham at the controls. It is the first American fighter to exceed 500 mph in level flight (1089).</w:t>
      </w:r>
    </w:p>
    <w:p w14:paraId="434C664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4FD339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января 1944 прототип Lockheed XP-80 Shooting Star выполнил первый полет (1089).</w:t>
      </w:r>
    </w:p>
    <w:p w14:paraId="60B2359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BE27F0" w14:textId="77777777" w:rsidR="00264F92" w:rsidRPr="007224C3" w:rsidRDefault="00264F92"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8 января</w:t>
      </w:r>
      <w:r w:rsidRPr="007224C3">
        <w:rPr>
          <w:rFonts w:ascii="Times New Roman" w:hAnsi="Times New Roman"/>
          <w:color w:val="000000" w:themeColor="text1"/>
          <w:sz w:val="16"/>
          <w:szCs w:val="16"/>
        </w:rPr>
        <w:t xml:space="preserve"> в 1944 году первый полет самолета «ХР-80», одного из прототипов </w:t>
      </w:r>
      <w:hyperlink r:id="rId18" w:tgtFrame="_blank" w:history="1">
        <w:r w:rsidRPr="007224C3">
          <w:rPr>
            <w:rFonts w:ascii="Times New Roman" w:hAnsi="Times New Roman"/>
            <w:color w:val="000000" w:themeColor="text1"/>
            <w:sz w:val="16"/>
            <w:szCs w:val="16"/>
          </w:rPr>
          <w:t xml:space="preserve">«Локхид» «F-80» «Шутинг Стар» («Lockheed F-80 Shooting Star») </w:t>
        </w:r>
      </w:hyperlink>
      <w:r w:rsidRPr="007224C3">
        <w:rPr>
          <w:rFonts w:ascii="Times New Roman" w:hAnsi="Times New Roman"/>
          <w:color w:val="000000" w:themeColor="text1"/>
          <w:sz w:val="16"/>
          <w:szCs w:val="16"/>
        </w:rPr>
        <w:t>под управлением летчика-испытателя Майло Берхэма. Полет был прерван через пять минут после того, как пилоту не удалось убрать стойки шасси. Кроме того выявилась излишняя чувствительность элеронов. Самолет быстро отремонтировали, и Майло тут же взлетел. В течение 20 минут полета Майло проверил самолет на скороподъемность, срывные характеристики, прокрутил бочки, сделал несколько "горок". Только на посадке произошла небольшая неприятность - не полностью выпустились закрылки. Очевидцы вспоминали, что такую скорость крена, как на «ХР-80», им видеть еще не приходилось - "бочка" выполнялась за секунду! Летчик-испытатель доложил: "Это было новое чувство полета!" Скорость полета доходила до 750 км/ч. К 15 января уже было выполнено пять полетов с налетом в 1,67 часа. Но последующие полеты показали плохие штопорные характеристики и высокую скорость срыва самолета - после выпуска закрылков самолет мог без предупреждения свалиться вправо. Кроме того, были велики нагрузки на ручке управления, неудовлетворительно работала топливная система, а двигатель отличался низкой надежностью, да и его мощности явно не хватало. Несколько странно вел себя руль направления - в зависимости от скорости для прямолинейного полета приходилось давать то правую, то левую ногу. 17 января был взят "тайм-аут" на десять дней для доработок самолета. Проблемы решались одна за другой: "обрубленные" законцовки крыла и стабилизатора были заменены на скругленные; зализы в корне крыла получили острую переднюю кромку; V-образность стабилизатора была увеличена на полтора градуса. Считая модель бесперспективной 8 ноября 1946 г. «ХР-80» был передан в экспозицию Смитсоновского института. 21 января было решено начать работы над двумя «L-141» («ХР-80» под двигатель «Дженерал-Электрик 1-40», позже названный «J33»), и восемью предсерийными «YP-80». Армейским ВВС США проект понравился, и были заказаны два самолета, 31 января получивших официальное обозначение «ХР-80А». В 1946 г. "Шутинг стары" поступили на вооружение 38-й эскадрильи 55-й истребительной группы и 27-й, 71-й и 94-й эскадрилий 1-й истребительной группы в Штатах, а также 31-й истребительной группы (307-я, 308-я и 309-я эскадрильи), расквартированной в Германии, и 18-го истребительно-бомбардировочного крыла (12-я, 44-я и 67-я эскадрильи), расквартированного на Окинаве. В июне 1948 г «Р-80А» и «FP-80A» были переименованы соответственно в «F-80A» и «RF-80A» (15003).</w:t>
      </w:r>
    </w:p>
    <w:p w14:paraId="2D0EEC5E" w14:textId="77777777" w:rsidR="00264F92" w:rsidRPr="007224C3" w:rsidRDefault="00264F92" w:rsidP="007224C3">
      <w:pPr>
        <w:spacing w:after="0" w:line="240" w:lineRule="auto"/>
        <w:jc w:val="both"/>
        <w:rPr>
          <w:rFonts w:ascii="Times New Roman" w:hAnsi="Times New Roman"/>
          <w:color w:val="000000" w:themeColor="text1"/>
          <w:sz w:val="16"/>
          <w:szCs w:val="16"/>
        </w:rPr>
      </w:pPr>
    </w:p>
    <w:p w14:paraId="7826AAC9" w14:textId="77777777" w:rsidR="007F6D1D" w:rsidRPr="007224C3" w:rsidRDefault="007F6D1D"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8 января 1944 первый полет Lockheed XP-80, прототипа P-80 Shooting Star (20373).</w:t>
      </w:r>
    </w:p>
    <w:p w14:paraId="7E72E351" w14:textId="77777777" w:rsidR="007F6D1D" w:rsidRPr="007224C3" w:rsidRDefault="007F6D1D" w:rsidP="007224C3">
      <w:pPr>
        <w:spacing w:after="0" w:line="240" w:lineRule="auto"/>
        <w:jc w:val="both"/>
        <w:rPr>
          <w:rFonts w:ascii="Times New Roman" w:hAnsi="Times New Roman"/>
          <w:color w:val="0070C0"/>
          <w:sz w:val="16"/>
          <w:szCs w:val="16"/>
        </w:rPr>
      </w:pPr>
    </w:p>
    <w:p w14:paraId="188795D6" w14:textId="77777777" w:rsidR="007F6D1D" w:rsidRPr="007224C3" w:rsidRDefault="007F6D1D"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8 января 1944 года, в 9 часов утра, «Лулу» - Lulu Belle поднялась в воздух на авиабазе Мюрок. Следующий полет XР-80 совершил через час. Началась напряженная программа испытаний (22848).</w:t>
      </w:r>
    </w:p>
    <w:p w14:paraId="248BEC84" w14:textId="77777777" w:rsidR="007F6D1D" w:rsidRPr="007224C3" w:rsidRDefault="007F6D1D" w:rsidP="007224C3">
      <w:pPr>
        <w:spacing w:after="0" w:line="240" w:lineRule="auto"/>
        <w:jc w:val="both"/>
        <w:rPr>
          <w:rFonts w:ascii="Times New Roman" w:hAnsi="Times New Roman"/>
          <w:color w:val="0070C0"/>
          <w:sz w:val="16"/>
          <w:szCs w:val="16"/>
        </w:rPr>
      </w:pPr>
    </w:p>
    <w:p w14:paraId="308EA53F" w14:textId="77777777" w:rsidR="00264F92" w:rsidRPr="007224C3" w:rsidRDefault="00264F92"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8 января</w:t>
      </w:r>
      <w:r w:rsidRPr="007224C3">
        <w:rPr>
          <w:rFonts w:ascii="Times New Roman" w:hAnsi="Times New Roman"/>
          <w:color w:val="000000" w:themeColor="text1"/>
          <w:sz w:val="16"/>
          <w:szCs w:val="16"/>
        </w:rPr>
        <w:t xml:space="preserve"> в 1944 году первый безмоторный полёт истребителя-перехватчика «J8M1». Для более тщательного изучения управляемости будущего перехватчика при полной нагрузке компания «Мицубиси» первые два «J8M1» выполнила в планерном варианте с балластом вместо двигателя и топлива. В первый безмотоный полет «J8M1» был поднят на буксире за «B6N1» (15003).</w:t>
      </w:r>
    </w:p>
    <w:p w14:paraId="6B662638" w14:textId="77777777" w:rsidR="00264F92" w:rsidRPr="007224C3" w:rsidRDefault="00264F92" w:rsidP="007224C3">
      <w:pPr>
        <w:spacing w:after="0" w:line="240" w:lineRule="auto"/>
        <w:jc w:val="both"/>
        <w:rPr>
          <w:rFonts w:ascii="Times New Roman" w:hAnsi="Times New Roman"/>
          <w:color w:val="000000" w:themeColor="text1"/>
          <w:sz w:val="16"/>
          <w:szCs w:val="16"/>
        </w:rPr>
      </w:pPr>
    </w:p>
    <w:p w14:paraId="48D5255C"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34070D5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D98ABE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января 1944 года решением ГОКО мастерская НКАП, организованная 9 сентября 1943 года в Киеве в Шевченковском районе, по ул. Мельника, д. 12 и Глубочице, 1 на площадке бывш. завода № 455 им. Артема НКАП, эвакуированного в 1941 году в Куйбышев, сразу после освобождения Киева от оккупации, была была реорганизована как завод под № 485 (директор Власов).</w:t>
      </w:r>
    </w:p>
    <w:p w14:paraId="3507DE8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Первой продукцией мастерских, организованных как уже сказано 9 сентября 1943 года были детали и крепеж для восстанавливаемых (взорванных немцами) днепровских мостов Киева, а затем со второго квартала 1944 года по 1947 год завод (первоначально мастерские) организовалпроизводство агрегатов бомбардировочного вооружения для самолетов: счетчик остатка патронов УСБ-1, балочный держатель БД2-45, электромеханический привод и др. С 1948 года завод приступил к изготовлению более сложных агрегатов бомбардировочного вооружения для самолета ТУ-14. Адрес: Киев, п/я 50 (9856).</w:t>
      </w:r>
    </w:p>
    <w:p w14:paraId="09F1264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556874"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7E94DFA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054649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января 1944 года состоялись первые испытания БА-64 с двигателем С.С.Неждановского, получившей обозначение БА-64З (буква "З" - зимний), закончившиеся неудачно: бронеавтомобиль застрял. Его удалось вытащить грузовиком ГАЗ-62 (3862).</w:t>
      </w:r>
    </w:p>
    <w:p w14:paraId="30A375F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F1ED76"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января 1944 вышло Постановление ГКО № 4898 О восстановлении ж.д. направлений Правобережной Украины в пределах 1-го Украинского фронта. (7168, 36-38).</w:t>
      </w:r>
    </w:p>
    <w:p w14:paraId="212F8217"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69E650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января 1944 вышло Постановление ГКО № 4899 О плане снабжения горюче-смазочными материалами Красной Армии и Военно-Морского Флота на январь 1944 года. РГАНИР, Фонд ГКО, д. 186, лл. 39-40,41-72 (11012).</w:t>
      </w:r>
    </w:p>
    <w:p w14:paraId="7595972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06D3969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января 1944 вышло Постановление ГКО № 4900 О плане распределения электроэнергии на I квартал 1944 года. РГАНИР, Фонд ГКО, д. 186, лл. 73-74,75-134 (11012).</w:t>
      </w:r>
    </w:p>
    <w:p w14:paraId="7E4420E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16AF0ACC"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января 1944 вышло Распоряжение ГКО № 4901 [Об утверждении Образцова М.М. уполномоченным ГКО по отгрузке хлебопродуктов в Москву по Ульяновской обл.] (7168, 135).</w:t>
      </w:r>
    </w:p>
    <w:p w14:paraId="543DF5AC"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8069ED9"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января 1944 вышло Распоряжение ГКО № 4902 [О поставках НКГБ материалов, инструмента и оборудования.] (7168, 136,137-145).</w:t>
      </w:r>
    </w:p>
    <w:p w14:paraId="6108E317"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CFCD7A7"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января 1944 вышло Постановление ГКО № 4903 [О разгрузке прифронтовых железных дорог от чрезмерного скопления подвижного состава.] (7168, 146-152).</w:t>
      </w:r>
    </w:p>
    <w:p w14:paraId="7AE9E387"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9CAA54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января 1944 вышло Распоряжение ГКО № 4904. О выделении НКМВ 2 автомобилей ЗИС-5. РГАНИР, Фонд ГКО, д. 186, лл. 153 (11012).</w:t>
      </w:r>
    </w:p>
    <w:p w14:paraId="6E33A31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4E04341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января 1944 вышло Постановление ГКО № 4905 О мероприятиях по обеспечению топливом электростанций Кировэнерго НКЭС в первом полугодии 1944 года. РГАНИР, Фонд ГКО, д. 186, лл. 154-159,160-161 (11012).</w:t>
      </w:r>
    </w:p>
    <w:p w14:paraId="124E6F7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66178C76"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января 1944 вышло Постановление ГКО № 4906 Об освобождении т. Кесельмана М.А. от обязанностей уполномоченного ГОКО по дровозаготовкам для железнодорожного транспорта по Чувашской АССР и о назначении т. Ковылина Д.Т. уполномоченным ГОКО по дровозаготовкам для железнодорожного транспорта по Чувашской АССР. (7168, 162).</w:t>
      </w:r>
    </w:p>
    <w:p w14:paraId="30746F59"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DE0730F"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9 января 1944 вышло Распоряжение ГКО № 4907 [О возвращении Ивановскому энергетическому институту учебных и служебных помещений, занятых под </w:t>
      </w:r>
      <w:r w:rsidRPr="007224C3">
        <w:rPr>
          <w:rFonts w:ascii="Times New Roman" w:hAnsi="Times New Roman"/>
          <w:color w:val="000000" w:themeColor="text1"/>
          <w:sz w:val="16"/>
          <w:szCs w:val="16"/>
        </w:rPr>
        <w:lastRenderedPageBreak/>
        <w:t>эвакогоспиталь № 2224.] (7168, 163).</w:t>
      </w:r>
    </w:p>
    <w:p w14:paraId="26AAFC77"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8A4180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января 1944 вышло Распоряжение ГКО № 4908. О перепрофилировании завода № 636 НКХП с производства этиловой жидкости на производство бакелитовых смол. РГАНИР, Фонд ГКО, д. 186, лл. 164 (11012).</w:t>
      </w:r>
    </w:p>
    <w:p w14:paraId="1A39AFB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3217A32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января 1944 вышло Распоряжение ГКО № 4909. О выделении 1,7 тыс., чел. военнообязанных старших возрастов и выписываемых из госпиталей, годных к нестроевой службе, в Распоряжение НКБ для укомплектования охраны восстанавливаемых заводов. РГАНИР, Фонд ГКО, д. 186, лл. 165 (11012).</w:t>
      </w:r>
    </w:p>
    <w:p w14:paraId="4FDBD40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3F630DB4"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января 1944 вышло Постановление ГКО № 4910 О плане производства и распределения запасных частей к тракторам и сельскохозяйственным машинам на I квартал 1944 г. (7168, 166-167,168-169).</w:t>
      </w:r>
    </w:p>
    <w:p w14:paraId="56118C74"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A4624B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января 1944 вышло Постановление ГКО № 4911 О подготовке шоферов для Красной Армии в 1944 г. РГАНИР, Фонд ГКО, д. 186, лл. 170-174,175 (11012).</w:t>
      </w:r>
    </w:p>
    <w:p w14:paraId="6FFB73D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1C99015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января 1944 вышло Постановление ГКО № 4912 О первоочередных мероприятиях по восстановлению Харьковского велосипедного завода Наркомсредмаша. РГАНИР, Фонд ГКО, д. 186, лл. 176-181,182-186 (11012).</w:t>
      </w:r>
    </w:p>
    <w:p w14:paraId="34D60E0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12E5C438"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января 1944 вышло Постановление ГКО № 4913 Об увеличении мощностей по изготовлению и монтажу металлоконструкций для восстановительных работ. (7168, 187-194,195-199).</w:t>
      </w:r>
    </w:p>
    <w:p w14:paraId="13A5545D"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8A23A3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января 1944 вышло Постановление ГКО № 4914 О мероприятиях по восстановлению сталелитейного завода Наркомсредмаша в г. Бежица. РГАНИР, Фонд ГКО, д. 186, лл. 200-207,208-219 (11012).</w:t>
      </w:r>
    </w:p>
    <w:p w14:paraId="12A0464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29B57DD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января 1944 вышло Распоряжение ГКО № 4915. Об отнесении расходов по обеспечению офицеров Красной Армии и ВМФ, работающих в Госплане, всеми видами довольствия за счет Госплана. РГАНИР, Фонд ГКО, д. 186, лл. 220 (11012).</w:t>
      </w:r>
    </w:p>
    <w:p w14:paraId="32A89B3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095729C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января 1944 вышло Постановление ГКО № 4916 О плане заказов НКО, НКВМФ и НКВД СССР по вещевому имуществу и снаряжению на I квартал 1944 г. и о ремонте летнего обмундирования, кожаной обуви, находившихся в носке летом 1943 года. РГАНИР, Фонд ГКО, д. 186, лл. 221-224,225-308 (11012).</w:t>
      </w:r>
    </w:p>
    <w:p w14:paraId="6FE9A15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70E034D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января 1944 г. Распоряжением ГКО № 4908 завод № 636 НКХП (Завод № 636 НКХП, Тюменский завод пластмасс, ЗАО «Тюменский завод пластмасс» /625000  г. Тюмень ул. Первомайская, 52/) был перепрофилирован с производства этиловой жидкости на бакелитовые смолы.</w:t>
      </w:r>
    </w:p>
    <w:p w14:paraId="6458F89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Производство (2000-е): этиловые жидкости; смолы: бакелитовые, фенолформальдегидные, карбамидные; лаки бакелитовые; бакелиты жидкие; замазка «Арзамит-5».</w:t>
      </w:r>
    </w:p>
    <w:p w14:paraId="4445D83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2005 г. планировался перенос производственных мощностей в пригород Тюмени.</w:t>
      </w:r>
    </w:p>
    <w:p w14:paraId="4685105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Численность персонала (2000-е  г.)- 250 чел.</w:t>
      </w:r>
    </w:p>
    <w:p w14:paraId="79CFFF2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Гендиректор (2000-е)- С.И. Хачко (11982).</w:t>
      </w:r>
    </w:p>
    <w:p w14:paraId="3B7CE53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41736672" w14:textId="77777777" w:rsidR="00264F92"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032E04FA" w14:textId="77777777" w:rsidR="00264F92" w:rsidRPr="007224C3" w:rsidRDefault="00264F92"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7818AF8" w14:textId="77777777" w:rsidR="00264F92" w:rsidRPr="007224C3" w:rsidRDefault="00264F92"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9 января</w:t>
      </w:r>
      <w:r w:rsidRPr="007224C3">
        <w:rPr>
          <w:rFonts w:ascii="Times New Roman" w:hAnsi="Times New Roman"/>
          <w:color w:val="000000" w:themeColor="text1"/>
          <w:sz w:val="16"/>
          <w:szCs w:val="16"/>
        </w:rPr>
        <w:t xml:space="preserve"> в 1944 году оперативная сводка Совинформбюро:</w:t>
      </w:r>
    </w:p>
    <w:p w14:paraId="5FBCFCA6" w14:textId="77777777" w:rsidR="00264F92" w:rsidRPr="007224C3" w:rsidRDefault="00264F9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1-го Украинского фронта, продолжая наступление,овладели районным центром Каменец-Подольской области городом и крупной железнодорожной станцией Полонное, районными центрами Киевской области Буки, Кагарлык, а также заняли более 70 других населённых пунктов, среди которых крупные населённые пункты Суемцы, Середня, Дертка, Тирановка, Когелянка, Старая Чартория, Троща, Поличинцы, Счастливая, Александровка, Ободное, Воловодовка, Жорнище, Балабановка, Корытна, Княже-Крыныця, Ивахны, Бузовка, Вороное, Хижна, Красный, Павловка, Вотылёвка, Телешовка, Винцетовка, Пивцы, Липовый Рог.</w:t>
      </w:r>
    </w:p>
    <w:p w14:paraId="703551C1" w14:textId="77777777" w:rsidR="00264F92" w:rsidRPr="007224C3" w:rsidRDefault="00264F9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2-го Украинского фронта продолжали наступление и овладели районным центром Кировоградской области Александровка, а также с боями заняли более 40 других населённых пунктов, в том числе Чубовка, Куликовка, Лубенцы, Замятница, Медведовка, Мельники, Головковка, Яновка, Иван-Город, Болтышка, Голиково, Еразмовка, Крымки, Ново-Павловка, Ивановка, Карловка, Анниска и железнодорожная станция Фундуклеевка.</w:t>
      </w:r>
    </w:p>
    <w:p w14:paraId="488E5711" w14:textId="77777777" w:rsidR="00264F92" w:rsidRPr="007224C3" w:rsidRDefault="00264F9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 разведка, артиллерийско-миномётная перестрелка и в ряде пунктов бои местного значения.</w:t>
      </w:r>
    </w:p>
    <w:p w14:paraId="17AF0E0E" w14:textId="77777777" w:rsidR="00264F92" w:rsidRPr="007224C3" w:rsidRDefault="00264F9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8 января наши войска на всех фронтах подбили и уничтожили 62 немецких танка. В воздушных боях и огнём зенитной артиллерии сбито 57 самолётов противника.</w:t>
      </w:r>
    </w:p>
    <w:p w14:paraId="31BAF1A0" w14:textId="77777777" w:rsidR="00264F92" w:rsidRPr="007224C3" w:rsidRDefault="00264F9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1-го Украинского фронта продолжали наступление. Части Н-ского соединения после ожесточённых боёв овладели районным центром Каменец-Подольской области городом и крупной железнодорожной станцией Полонное. В другом районе крупные силы пехоты, танков и самоходных орудий противника перешли в контратаку. Советские артиллеристы, действующие в боевых порядках пехоты, мощным огнём подбили 18 вражеских танков и 6 самоходных орудий. Воспользовавшись замешательством среди немцев, советские танки и пехота нанесли противнику внезапный удар и заняли несколько населённых пунктов. На поле боя осталось 800 убитых немецких солдат и офицеров. Захвачены трофеи, в числе которых 4 самоходных орудия и 9 бронетранспортёров. Южнее Киева наши войска, преодолевая сопротивление гитлеровцев, овладели рядом населённых пунктов, в том числе районными центрами Киевской области Буки и Кагарлык. В происходящих боях противник несёт большие потери в живой силе и технике.</w:t>
      </w:r>
    </w:p>
    <w:p w14:paraId="6BD445FD" w14:textId="77777777" w:rsidR="00264F92" w:rsidRPr="007224C3" w:rsidRDefault="00264F9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Советская авиация активно поддерживала боевые действия наземных войск. В воздушных боях наши лётчики сбили 8 самолётов противника. Кроме того, 13 немецких самолётов уничтожены в результате налёта нашей авиации на Винницкий аэродром. Наши истребители принудили к посадке на советском аэродроме немецкий самолёт «Фокке-Вульф-190».</w:t>
      </w:r>
    </w:p>
    <w:p w14:paraId="498DE3F6" w14:textId="77777777" w:rsidR="00264F92" w:rsidRPr="007224C3" w:rsidRDefault="00264F9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2-го Украинского фронта, овладев городом Кировоград, продолжали наступление. Сегодня наши войска выбили немцев из районного центра Кировоградской области Александровка, а также очистили от противника более 40 других населённых пунктов. Части Н-ского соединения, продвигаясь вперёд, уничтожили до 1.500 немецких солдат и офицеров. Захвачено у немцев 3 артиллерийские батареи, 70 пулемётов, 123 миномёта, 60 автомашин и несколько складов с боеприпасами и продовольствием. Взято значительное число пленных. На другом участке противник, бросив в бой крупные силы танков и пехоты, предпринял несколько контратак. Наши артиллеристы, танкисты и пехотинцы успешно отбили контратаки гитлеровцев и уничтожили 25 танков и 8 самоходных орудий противника. Измотав и обескровив немцев, советские части к исходу дня вновь перешли в наступление и успешно продвигались вперёд.</w:t>
      </w:r>
    </w:p>
    <w:p w14:paraId="636F2151" w14:textId="77777777" w:rsidR="00264F92" w:rsidRPr="007224C3" w:rsidRDefault="00264F9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Несколько партизанских отрядов Ленинградской области с 27 по 31 декабря пустили под откос 30 воинских эшелонов и один бронепоезд противника. В результате крушений разбито более 20 паровозов и до 250 вагонов и платформ. Советские патриоты за это же время подожгли 5 немецких складов с боеприпасами, 2 склада с продовольствием и взорвали 38 автомашин. Партизанами взято в плен 17 гитлеровцев, в том числе один немецкий майор. В ночь на первое января партизаны одного отряда совершили налёт на вражеский гарнизон и уничтожили 85 гитлеровцев. Взято 40 пленных, среди которых несколько испанских солдат.</w:t>
      </w:r>
    </w:p>
    <w:p w14:paraId="395E0F2C" w14:textId="77777777" w:rsidR="00264F92" w:rsidRPr="007224C3" w:rsidRDefault="00264F9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1-м Украинском фронте нашим бойцам сдались в плен 130 солдат и офицеров 338 полка 208 немецкой пехотной дивизии. Пленный командир 2 батальона обер-лейтенант Альберт Бергман рассказал: «Наша дивизия понесла тяжёлые потери. В ней осталось всего лишь 550 солдат и офицеров. Несмотря на неоднократные и настойчивые требования, дивизия не получила пополнения. Когда русские прорвали нашу оборону, командир дивизии отдал приказ об отступлении. Танки беспрерывно преследовали нас, и многие солдаты разбежались. Возле одного села я собрал 130 человек и приказал им сдаться в плен. Я принял это решение без колебаний, потому что считал дальнейшее сопротивление не только безумием, но и преступлением против своих солдат. Солдаты и офицеры не должны расплачиваться жизнью за ошибки своего бездарного командования, не желающего понять, что Германия уже войну проиграла. Не только солдаты, но и офицеры, находившиеся со мной, одобрили мой приказ. Несколько миномётов и орудий, пулемёты и винтовки мы в полной исправности передали русским офицерам».</w:t>
      </w:r>
    </w:p>
    <w:p w14:paraId="6878D04A" w14:textId="77777777" w:rsidR="00264F92" w:rsidRPr="007224C3" w:rsidRDefault="00264F9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время оккупации деревень Шиловичи и Шерихов, Гомельской области, немецко-фашистские мерзавцы расстреливали мирных советских жителей. От рук гитлеровских палачей погибли М.Драбушевский, П.Драбушевский, Т.Сосновский, А.Шилович, Г.Сосновский, Г.Хилькевич и многие другие колхозники. Немцы разорили крестьян, сожгли десятки жилых домов и насильно угнали на каторгу большое число взрослых мужчин и женщин.» (15004).</w:t>
      </w:r>
    </w:p>
    <w:p w14:paraId="7DDBA7C2" w14:textId="77777777" w:rsidR="00264F92" w:rsidRPr="007224C3" w:rsidRDefault="00264F92" w:rsidP="007224C3">
      <w:pPr>
        <w:spacing w:after="0" w:line="240" w:lineRule="auto"/>
        <w:jc w:val="both"/>
        <w:rPr>
          <w:rFonts w:ascii="Times New Roman" w:hAnsi="Times New Roman"/>
          <w:color w:val="000000" w:themeColor="text1"/>
          <w:sz w:val="16"/>
          <w:szCs w:val="16"/>
        </w:rPr>
      </w:pPr>
    </w:p>
    <w:p w14:paraId="6EBFA77F"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4989B43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2D460C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10 января 1944 г. новый мотор АМ-42 был установлен на Ил-2 (РК). Для подстраховки на самолет Ил-2М монтировался АМ-38ф. Опробование нового экземпляра мотора АМ-42 (зав. № 4240) на зем</w:t>
      </w:r>
      <w:r w:rsidRPr="007224C3">
        <w:rPr>
          <w:rFonts w:ascii="Times New Roman" w:hAnsi="Times New Roman"/>
          <w:color w:val="000000" w:themeColor="text1"/>
          <w:sz w:val="16"/>
          <w:szCs w:val="16"/>
        </w:rPr>
        <w:softHyphen/>
        <w:t>ле и в полете показало, что мотор дымит, его трясет, хотя и меньше. К 20 января мотор был вновь заменен. С шестыдл по счету мотором (зав. № 4248) "с алиссоновскими всасываю</w:t>
      </w:r>
      <w:r w:rsidRPr="007224C3">
        <w:rPr>
          <w:rFonts w:ascii="Times New Roman" w:hAnsi="Times New Roman"/>
          <w:color w:val="000000" w:themeColor="text1"/>
          <w:sz w:val="16"/>
          <w:szCs w:val="16"/>
        </w:rPr>
        <w:softHyphen/>
        <w:t>щими патрубками" результаты ока</w:t>
      </w:r>
      <w:r w:rsidRPr="007224C3">
        <w:rPr>
          <w:rFonts w:ascii="Times New Roman" w:hAnsi="Times New Roman"/>
          <w:color w:val="000000" w:themeColor="text1"/>
          <w:sz w:val="16"/>
          <w:szCs w:val="16"/>
        </w:rPr>
        <w:softHyphen/>
        <w:t>зались лучше. Появилась надежда завершить всю программу заводских испытаний и подготовить "следопыт" к передаче в НИИ ВВС для произ</w:t>
      </w:r>
      <w:r w:rsidRPr="007224C3">
        <w:rPr>
          <w:rFonts w:ascii="Times New Roman" w:hAnsi="Times New Roman"/>
          <w:color w:val="000000" w:themeColor="text1"/>
          <w:sz w:val="16"/>
          <w:szCs w:val="16"/>
        </w:rPr>
        <w:softHyphen/>
        <w:t>водства государственных испытаний.</w:t>
      </w:r>
    </w:p>
    <w:p w14:paraId="68926DB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К этому времени Ил-2М в оче</w:t>
      </w:r>
      <w:r w:rsidRPr="007224C3">
        <w:rPr>
          <w:rFonts w:ascii="Times New Roman" w:hAnsi="Times New Roman"/>
          <w:color w:val="000000" w:themeColor="text1"/>
          <w:sz w:val="16"/>
          <w:szCs w:val="16"/>
        </w:rPr>
        <w:softHyphen/>
        <w:t>редной раз был "подан в сборочный цех завода № 240". На самолете предполагалось установить дорабо</w:t>
      </w:r>
      <w:r w:rsidRPr="007224C3">
        <w:rPr>
          <w:rFonts w:ascii="Times New Roman" w:hAnsi="Times New Roman"/>
          <w:color w:val="000000" w:themeColor="text1"/>
          <w:sz w:val="16"/>
          <w:szCs w:val="16"/>
        </w:rPr>
        <w:softHyphen/>
        <w:t>танный мотор АМ-42, новые бензо</w:t>
      </w:r>
      <w:r w:rsidRPr="007224C3">
        <w:rPr>
          <w:rFonts w:ascii="Times New Roman" w:hAnsi="Times New Roman"/>
          <w:color w:val="000000" w:themeColor="text1"/>
          <w:sz w:val="16"/>
          <w:szCs w:val="16"/>
        </w:rPr>
        <w:softHyphen/>
        <w:t>баки с увеличенным до 1020 л объе</w:t>
      </w:r>
      <w:r w:rsidRPr="007224C3">
        <w:rPr>
          <w:rFonts w:ascii="Times New Roman" w:hAnsi="Times New Roman"/>
          <w:color w:val="000000" w:themeColor="text1"/>
          <w:sz w:val="16"/>
          <w:szCs w:val="16"/>
        </w:rPr>
        <w:softHyphen/>
        <w:t>мом, цельнометаллическую хвосто</w:t>
      </w:r>
      <w:r w:rsidRPr="007224C3">
        <w:rPr>
          <w:rFonts w:ascii="Times New Roman" w:hAnsi="Times New Roman"/>
          <w:color w:val="000000" w:themeColor="text1"/>
          <w:sz w:val="16"/>
          <w:szCs w:val="16"/>
        </w:rPr>
        <w:softHyphen/>
        <w:t>вую часть фюзеляжа и хвостовое опе</w:t>
      </w:r>
      <w:r w:rsidRPr="007224C3">
        <w:rPr>
          <w:rFonts w:ascii="Times New Roman" w:hAnsi="Times New Roman"/>
          <w:color w:val="000000" w:themeColor="text1"/>
          <w:sz w:val="16"/>
          <w:szCs w:val="16"/>
        </w:rPr>
        <w:softHyphen/>
        <w:t>рение, а также цельнометаллическое крыло с двумя пушками 11 П (90 сна</w:t>
      </w:r>
      <w:r w:rsidRPr="007224C3">
        <w:rPr>
          <w:rFonts w:ascii="Times New Roman" w:hAnsi="Times New Roman"/>
          <w:color w:val="000000" w:themeColor="text1"/>
          <w:sz w:val="16"/>
          <w:szCs w:val="16"/>
        </w:rPr>
        <w:softHyphen/>
        <w:t>рядов) и двумя пулеметами ШКАС (1500 патронов). При этом 11 П, в отличие от серийного Ил-2 с такими же пушками, размещались внутри крыла и ближе к оси самолета, а пу</w:t>
      </w:r>
      <w:r w:rsidRPr="007224C3">
        <w:rPr>
          <w:rFonts w:ascii="Times New Roman" w:hAnsi="Times New Roman"/>
          <w:color w:val="000000" w:themeColor="text1"/>
          <w:sz w:val="16"/>
          <w:szCs w:val="16"/>
        </w:rPr>
        <w:softHyphen/>
        <w:t>леметы ШКАС дальше. Нормальная бомбовая нагрузка составляла 400 кг. В перегрузку допускалась под</w:t>
      </w:r>
      <w:r w:rsidRPr="007224C3">
        <w:rPr>
          <w:rFonts w:ascii="Times New Roman" w:hAnsi="Times New Roman"/>
          <w:color w:val="000000" w:themeColor="text1"/>
          <w:sz w:val="16"/>
          <w:szCs w:val="16"/>
        </w:rPr>
        <w:softHyphen/>
        <w:t>веска еще 400 кг бомб. Кроме это</w:t>
      </w:r>
      <w:r w:rsidRPr="007224C3">
        <w:rPr>
          <w:rFonts w:ascii="Times New Roman" w:hAnsi="Times New Roman"/>
          <w:color w:val="000000" w:themeColor="text1"/>
          <w:sz w:val="16"/>
          <w:szCs w:val="16"/>
        </w:rPr>
        <w:softHyphen/>
        <w:t>го, для защиты задней нижней полу</w:t>
      </w:r>
      <w:r w:rsidRPr="007224C3">
        <w:rPr>
          <w:rFonts w:ascii="Times New Roman" w:hAnsi="Times New Roman"/>
          <w:color w:val="000000" w:themeColor="text1"/>
          <w:sz w:val="16"/>
          <w:szCs w:val="16"/>
        </w:rPr>
        <w:softHyphen/>
        <w:t>сферы в хвостовой части устанавли</w:t>
      </w:r>
      <w:r w:rsidRPr="007224C3">
        <w:rPr>
          <w:rFonts w:ascii="Times New Roman" w:hAnsi="Times New Roman"/>
          <w:color w:val="000000" w:themeColor="text1"/>
          <w:sz w:val="16"/>
          <w:szCs w:val="16"/>
        </w:rPr>
        <w:softHyphen/>
        <w:t>валась кассета ДАГ-10 с десятью авиационными гранатами АГ-2. Ра</w:t>
      </w:r>
      <w:r w:rsidRPr="007224C3">
        <w:rPr>
          <w:rFonts w:ascii="Times New Roman" w:hAnsi="Times New Roman"/>
          <w:color w:val="000000" w:themeColor="text1"/>
          <w:sz w:val="16"/>
          <w:szCs w:val="16"/>
        </w:rPr>
        <w:softHyphen/>
        <w:t>кетное оружие отсутствовало. Сталь</w:t>
      </w:r>
      <w:r w:rsidRPr="007224C3">
        <w:rPr>
          <w:rFonts w:ascii="Times New Roman" w:hAnsi="Times New Roman"/>
          <w:color w:val="000000" w:themeColor="text1"/>
          <w:sz w:val="16"/>
          <w:szCs w:val="16"/>
        </w:rPr>
        <w:softHyphen/>
        <w:t>ная бронебашня, которая имела пло</w:t>
      </w:r>
      <w:r w:rsidRPr="007224C3">
        <w:rPr>
          <w:rFonts w:ascii="Times New Roman" w:hAnsi="Times New Roman"/>
          <w:color w:val="000000" w:themeColor="text1"/>
          <w:sz w:val="16"/>
          <w:szCs w:val="16"/>
        </w:rPr>
        <w:softHyphen/>
        <w:t>хой обзор, была переделана с це</w:t>
      </w:r>
      <w:r w:rsidRPr="007224C3">
        <w:rPr>
          <w:rFonts w:ascii="Times New Roman" w:hAnsi="Times New Roman"/>
          <w:color w:val="000000" w:themeColor="text1"/>
          <w:sz w:val="16"/>
          <w:szCs w:val="16"/>
        </w:rPr>
        <w:softHyphen/>
        <w:t>лью увеличения обзора, "для чего примерно 50% стольной броневой поверхности башни заменяется бро</w:t>
      </w:r>
      <w:r w:rsidRPr="007224C3">
        <w:rPr>
          <w:rFonts w:ascii="Times New Roman" w:hAnsi="Times New Roman"/>
          <w:color w:val="000000" w:themeColor="text1"/>
          <w:sz w:val="16"/>
          <w:szCs w:val="16"/>
        </w:rPr>
        <w:softHyphen/>
        <w:t>невым стеклом", и установлена на самолет. Впрочем, вскоре вновь за</w:t>
      </w:r>
      <w:r w:rsidRPr="007224C3">
        <w:rPr>
          <w:rFonts w:ascii="Times New Roman" w:hAnsi="Times New Roman"/>
          <w:color w:val="000000" w:themeColor="text1"/>
          <w:sz w:val="16"/>
          <w:szCs w:val="16"/>
        </w:rPr>
        <w:softHyphen/>
        <w:t>говорили о "возвращении" брони башни на прежнее место, но решили повременить, до тех пор, пока окончательно не прояснится позиция военных по этому вопросу. Дело в том, что в Постановлении ГОКО от 26 октября 1943 г. о ней ничего не говорилось. На это обстоятельство неоднократно указывали военпреды завода. В конце концов, как следует из документов, к 10 марта броне</w:t>
      </w:r>
      <w:r w:rsidRPr="007224C3">
        <w:rPr>
          <w:rFonts w:ascii="Times New Roman" w:hAnsi="Times New Roman"/>
          <w:color w:val="000000" w:themeColor="text1"/>
          <w:sz w:val="16"/>
          <w:szCs w:val="16"/>
        </w:rPr>
        <w:softHyphen/>
        <w:t>башня была заменена установкой ВУ-8 с пулеметом УБК.</w:t>
      </w:r>
    </w:p>
    <w:p w14:paraId="5488E09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Изменялось и бронирование ма</w:t>
      </w:r>
      <w:r w:rsidRPr="007224C3">
        <w:rPr>
          <w:rFonts w:ascii="Times New Roman" w:hAnsi="Times New Roman"/>
          <w:color w:val="000000" w:themeColor="text1"/>
          <w:sz w:val="16"/>
          <w:szCs w:val="16"/>
        </w:rPr>
        <w:softHyphen/>
        <w:t>шины. В отличие от Ил-2 (РК) на штур</w:t>
      </w:r>
      <w:r w:rsidRPr="007224C3">
        <w:rPr>
          <w:rFonts w:ascii="Times New Roman" w:hAnsi="Times New Roman"/>
          <w:color w:val="000000" w:themeColor="text1"/>
          <w:sz w:val="16"/>
          <w:szCs w:val="16"/>
        </w:rPr>
        <w:softHyphen/>
        <w:t>мовике-бомбардировщике летчик со стороны задней полусферы защи</w:t>
      </w:r>
      <w:r w:rsidRPr="007224C3">
        <w:rPr>
          <w:rFonts w:ascii="Times New Roman" w:hAnsi="Times New Roman"/>
          <w:color w:val="000000" w:themeColor="text1"/>
          <w:sz w:val="16"/>
          <w:szCs w:val="16"/>
        </w:rPr>
        <w:softHyphen/>
        <w:t>щался двумя разнесенными 8-мм бро-неплитами: одна плита являлась зад</w:t>
      </w:r>
      <w:r w:rsidRPr="007224C3">
        <w:rPr>
          <w:rFonts w:ascii="Times New Roman" w:hAnsi="Times New Roman"/>
          <w:color w:val="000000" w:themeColor="text1"/>
          <w:sz w:val="16"/>
          <w:szCs w:val="16"/>
        </w:rPr>
        <w:softHyphen/>
        <w:t>ней стенкой кабины пилота, а вто</w:t>
      </w:r>
      <w:r w:rsidRPr="007224C3">
        <w:rPr>
          <w:rFonts w:ascii="Times New Roman" w:hAnsi="Times New Roman"/>
          <w:color w:val="000000" w:themeColor="text1"/>
          <w:sz w:val="16"/>
          <w:szCs w:val="16"/>
        </w:rPr>
        <w:softHyphen/>
        <w:t xml:space="preserve">рая </w:t>
      </w:r>
      <w:r w:rsidRPr="007224C3">
        <w:rPr>
          <w:rFonts w:ascii="Times New Roman" w:hAnsi="Times New Roman"/>
          <w:color w:val="000000" w:themeColor="text1"/>
          <w:sz w:val="16"/>
          <w:szCs w:val="16"/>
          <w:vertAlign w:val="superscript"/>
        </w:rPr>
        <w:t>-</w:t>
      </w:r>
      <w:r w:rsidRPr="007224C3">
        <w:rPr>
          <w:rFonts w:ascii="Times New Roman" w:hAnsi="Times New Roman"/>
          <w:color w:val="000000" w:themeColor="text1"/>
          <w:sz w:val="16"/>
          <w:szCs w:val="16"/>
        </w:rPr>
        <w:t xml:space="preserve"> передней стенкой кабины стрелка. Две разнесенные на неболь</w:t>
      </w:r>
      <w:r w:rsidRPr="007224C3">
        <w:rPr>
          <w:rFonts w:ascii="Times New Roman" w:hAnsi="Times New Roman"/>
          <w:color w:val="000000" w:themeColor="text1"/>
          <w:sz w:val="16"/>
          <w:szCs w:val="16"/>
        </w:rPr>
        <w:softHyphen/>
        <w:t>шое расстояние бронеплиты толщи</w:t>
      </w:r>
      <w:r w:rsidRPr="007224C3">
        <w:rPr>
          <w:rFonts w:ascii="Times New Roman" w:hAnsi="Times New Roman"/>
          <w:color w:val="000000" w:themeColor="text1"/>
          <w:sz w:val="16"/>
          <w:szCs w:val="16"/>
        </w:rPr>
        <w:softHyphen/>
        <w:t>ной по 8 мм устанавливались и вме</w:t>
      </w:r>
      <w:r w:rsidRPr="007224C3">
        <w:rPr>
          <w:rFonts w:ascii="Times New Roman" w:hAnsi="Times New Roman"/>
          <w:color w:val="000000" w:themeColor="text1"/>
          <w:sz w:val="16"/>
          <w:szCs w:val="16"/>
        </w:rPr>
        <w:softHyphen/>
        <w:t>сто задней 12-мм бронестенки ка</w:t>
      </w:r>
      <w:r w:rsidRPr="007224C3">
        <w:rPr>
          <w:rFonts w:ascii="Times New Roman" w:hAnsi="Times New Roman"/>
          <w:color w:val="000000" w:themeColor="text1"/>
          <w:sz w:val="16"/>
          <w:szCs w:val="16"/>
        </w:rPr>
        <w:softHyphen/>
        <w:t>бины стрелка. Для связи с землей монтировалась истребительная ра</w:t>
      </w:r>
      <w:r w:rsidRPr="007224C3">
        <w:rPr>
          <w:rFonts w:ascii="Times New Roman" w:hAnsi="Times New Roman"/>
          <w:color w:val="000000" w:themeColor="text1"/>
          <w:sz w:val="16"/>
          <w:szCs w:val="16"/>
        </w:rPr>
        <w:softHyphen/>
        <w:t>диостанция РСИ-4 с дистанционным тросовым управлением. Фиксирова</w:t>
      </w:r>
      <w:r w:rsidRPr="007224C3">
        <w:rPr>
          <w:rFonts w:ascii="Times New Roman" w:hAnsi="Times New Roman"/>
          <w:color w:val="000000" w:themeColor="text1"/>
          <w:sz w:val="16"/>
          <w:szCs w:val="16"/>
        </w:rPr>
        <w:softHyphen/>
        <w:t>ние результатов атаки обеспечива</w:t>
      </w:r>
      <w:r w:rsidRPr="007224C3">
        <w:rPr>
          <w:rFonts w:ascii="Times New Roman" w:hAnsi="Times New Roman"/>
          <w:color w:val="000000" w:themeColor="text1"/>
          <w:sz w:val="16"/>
          <w:szCs w:val="16"/>
        </w:rPr>
        <w:softHyphen/>
        <w:t>лось фотокинопулеметом ПАУ-22 и киноаппаратом КС-5, расположен</w:t>
      </w:r>
      <w:r w:rsidRPr="007224C3">
        <w:rPr>
          <w:rFonts w:ascii="Times New Roman" w:hAnsi="Times New Roman"/>
          <w:color w:val="000000" w:themeColor="text1"/>
          <w:sz w:val="16"/>
          <w:szCs w:val="16"/>
        </w:rPr>
        <w:softHyphen/>
        <w:t>ными в обтекателях шасси, а также фотоаппаратом АФА-ИМ в хвосто</w:t>
      </w:r>
      <w:r w:rsidRPr="007224C3">
        <w:rPr>
          <w:rFonts w:ascii="Times New Roman" w:hAnsi="Times New Roman"/>
          <w:color w:val="000000" w:themeColor="text1"/>
          <w:sz w:val="16"/>
          <w:szCs w:val="16"/>
        </w:rPr>
        <w:softHyphen/>
        <w:t>вой части фюзеляжа. К 28 февраля Ил-2М был "полностью подготовлен к пробному полету" (11427).</w:t>
      </w:r>
    </w:p>
    <w:p w14:paraId="221E225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918DACA" w14:textId="77777777" w:rsidR="007A3260" w:rsidRPr="007224C3" w:rsidRDefault="007A326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10 января 1944 года новый мотор АМ-42 (зав. № 4240) был установлен на Ил-2 (РК). Для подстраховки на самолет Ил-2М решили поставить АМ-38ф.</w:t>
      </w:r>
    </w:p>
    <w:p w14:paraId="498E8080" w14:textId="77777777" w:rsidR="007A3260" w:rsidRPr="007224C3" w:rsidRDefault="007A326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Опробование нового экземпляра мотора АМ-42 на земле и в полете показало, что мотор дымит, его трясет, хотя и меньше. К 20 января мотор был вновь заменен. С шестым по счету мотором (зав. № 4248) «с алиссоновскими всасывающими патрубками» результаты оказались лучше. Появилась надежда завершить всю программу заводских испытаний и подготовить «следопыт» к передаче в НИИ ВВС для производства государственных испытаний.</w:t>
      </w:r>
    </w:p>
    <w:p w14:paraId="7AE497EC" w14:textId="77777777" w:rsidR="007A3260" w:rsidRPr="007224C3" w:rsidRDefault="007A326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этому времени Ил-2М в очередной раз был «подан в сборочный цех завода № 240». На самолете предполагалось установить доработанный мотор АМ-42, новые бензобаки с увеличенным до 1020 л объемом, цельнометаллическую хвостовую часть фюзеляжа и хвостовое оперение, а также цельнометаллическое крыло с двумя пушками 11П (90 снарядов) и двумя пулеметами ШКАС (1500 патронов). При этом 11П, в отличие от серийного Ил-2 с такими же пушками, размещались внутри крыла и ближе к оси самолета, а пулеметы ШКАС дальше. Нормальная бомбовая нагрузка составляла 400 кг. В перегрузку допускалась подвеска еще 400 кг бомб. Кроме этого, для защиты задней нижней полусферы в хвостовой части устанавливалась кассета ДАГ-10 с десятью авиационными гранатами АГ-2. Ракетное оружие отсутствовало. Стальная бронебашня, которая имела плохой обзор, была переделана с целью увеличения обзора («для чего примерно 50 % стальной броневой поверхности башни заменяется броневым стеклом») и установлена на самолет. Впрочем, вскоре вновь заговорили о «возвращении» брони башни на прежнее место, но решили повременить, до тех пор, пока окончательно не прояснится позиция военных по этому вопросу. Дело в том, что в постановлении ГКО № 4427сс от 26 октября 1943 г. о ней ничего не говорилось. На это обстоятельство неоднократно указывали военпреды завода. В конце концов, как следует из документов, к 10 марта 1944 года бронебашню заменили установкой ВУ-8 с пулеметом УБК.</w:t>
      </w:r>
    </w:p>
    <w:p w14:paraId="2EA52861" w14:textId="77777777" w:rsidR="007A3260" w:rsidRPr="007224C3" w:rsidRDefault="007A326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Изменялось и бронирование машины. В отличие от Ил-2 (РК), на штурмовике-бомбардировщике летчик и воздушный стрелок со стороны задней полусферы защищались экранированной броней, состоящей из двух 8-мм броневых листов с небольшим воздушным промежутком между ними. Такая броня более эффективно «держала» удар боеприпасов немецких авиапушек и осколков зенитных снарядов. Бронеплита экрана изготавливалась из брони марки ХД, а основная бронеплита – из брони марки АБ-2. Как показали полигонные испытания, броневая система 8+8 мм не пробивалась 15-мм бронебойной пулей с 200 м по нормали и со 100 м – под углом 20–25° к нормали, а бронебойно-разрывной снаряд калибра 20 мм удерживался при стрельбе с 50 м по нормали.</w:t>
      </w:r>
    </w:p>
    <w:p w14:paraId="110ADD98" w14:textId="77777777" w:rsidR="007A3260" w:rsidRPr="007224C3" w:rsidRDefault="007A326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связи с землей монтировалась истребительная радиостанция РСИ-4 с дистанционным тросовым управлением. Фиксирование результатов атаки обеспечивалось фотокинопулеметом ПАУ-22 и киноаппаратом КС-5, расположенными в обтекателях шасси, а также фотоаппаратом АФА-ИМ в хвостовой части фюзеляжа. К 28 февраля Ил-2М был «полностью подготовлен к пробному полету» (17490).</w:t>
      </w:r>
    </w:p>
    <w:p w14:paraId="68E3C737" w14:textId="77777777" w:rsidR="007A3260" w:rsidRPr="007224C3" w:rsidRDefault="007A3260" w:rsidP="007224C3">
      <w:pPr>
        <w:spacing w:after="0" w:line="240" w:lineRule="auto"/>
        <w:jc w:val="both"/>
        <w:rPr>
          <w:rFonts w:ascii="Times New Roman" w:hAnsi="Times New Roman"/>
          <w:color w:val="000000" w:themeColor="text1"/>
          <w:sz w:val="16"/>
          <w:szCs w:val="16"/>
        </w:rPr>
      </w:pPr>
    </w:p>
    <w:p w14:paraId="055E6F4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10 января 1944 г. удалось завершить доработку Ил-2 (РК) и отладку винтомоторной установки лишь Общий вес брони составил 1180 кг. На самолете была смонтирована оборонительная установка ВУ-8 с пулеметом УБК (12020).</w:t>
      </w:r>
    </w:p>
    <w:p w14:paraId="12DF0E7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123BD79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10 января 1944 согласно журнала наблюдения за проектированием, постройкой и испытаниями высотного истребителя МиГ-1 И-221 с начала олетных испытаний 22 ноября 1943 было выполнено 5 полетов до высоты 5000 м. Полеты производились только на 1-й скорости нагнетателя. Использование 2-й скорости запрещено ГК АМ-39 т. Микулиным. Л Журавлев. Испытания задерживаются отсутствием высоты.</w:t>
      </w:r>
    </w:p>
    <w:p w14:paraId="1CCB3B5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И-222 - готовы чертежи. Центроплан, шасси, фюзеляж - находятся в сборке. Для производства гермокабины изготавливались шаблоны. Срок окончания сборки - март 1944 (991,10).</w:t>
      </w:r>
    </w:p>
    <w:p w14:paraId="3BB1216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155B0BE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января 1944 Нач. ЛИИ Чесалов писал Кузнецову письмо N 15с с отчетом об основных работах, выполненных ЛИИ за декабрь 1943:</w:t>
      </w:r>
    </w:p>
    <w:p w14:paraId="60E3E86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самолету Як-7.</w:t>
      </w:r>
    </w:p>
    <w:p w14:paraId="225737D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Контрольные испытания серийных самолетов Як-7.</w:t>
      </w:r>
    </w:p>
    <w:p w14:paraId="07071CF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Проведены испытания самолета Як-7Б N 54110 производства завода N 153 выпуска ноября 1943 года.</w:t>
      </w:r>
    </w:p>
    <w:p w14:paraId="36EDDC2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Получены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6331D6" w:rsidRPr="007224C3" w14:paraId="0F681BBA" w14:textId="77777777">
        <w:tc>
          <w:tcPr>
            <w:tcW w:w="5636" w:type="dxa"/>
          </w:tcPr>
          <w:p w14:paraId="5E22DFF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 скорость у земли</w:t>
            </w:r>
          </w:p>
        </w:tc>
        <w:tc>
          <w:tcPr>
            <w:tcW w:w="5636" w:type="dxa"/>
          </w:tcPr>
          <w:p w14:paraId="7AF7CC5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543 км/час</w:t>
            </w:r>
          </w:p>
        </w:tc>
      </w:tr>
      <w:tr w:rsidR="006331D6" w:rsidRPr="007224C3" w14:paraId="4CFA5403" w14:textId="77777777">
        <w:tc>
          <w:tcPr>
            <w:tcW w:w="5636" w:type="dxa"/>
          </w:tcPr>
          <w:p w14:paraId="27FC5F8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 скорость на 2-й</w:t>
            </w:r>
          </w:p>
        </w:tc>
        <w:tc>
          <w:tcPr>
            <w:tcW w:w="5636" w:type="dxa"/>
          </w:tcPr>
          <w:p w14:paraId="17E87C6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4C96A74B" w14:textId="77777777">
        <w:tc>
          <w:tcPr>
            <w:tcW w:w="5636" w:type="dxa"/>
          </w:tcPr>
          <w:p w14:paraId="3A75DEF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границе высотности (Н=4000 м)</w:t>
            </w:r>
          </w:p>
        </w:tc>
        <w:tc>
          <w:tcPr>
            <w:tcW w:w="5636" w:type="dxa"/>
          </w:tcPr>
          <w:p w14:paraId="56F693F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601 км/час</w:t>
            </w:r>
          </w:p>
        </w:tc>
      </w:tr>
      <w:tr w:rsidR="006331D6" w:rsidRPr="007224C3" w14:paraId="545408D8" w14:textId="77777777">
        <w:tc>
          <w:tcPr>
            <w:tcW w:w="5636" w:type="dxa"/>
          </w:tcPr>
          <w:p w14:paraId="4A9CD62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Время набора высоты 5000 м</w:t>
            </w:r>
          </w:p>
        </w:tc>
        <w:tc>
          <w:tcPr>
            <w:tcW w:w="5636" w:type="dxa"/>
          </w:tcPr>
          <w:p w14:paraId="7DD0F50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5,6 мин.</w:t>
            </w:r>
          </w:p>
        </w:tc>
      </w:tr>
    </w:tbl>
    <w:p w14:paraId="36E42C7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Проведены испытания самолета Як-7Б производства завода N 82 выпуска ноября 1943 года.</w:t>
      </w:r>
    </w:p>
    <w:p w14:paraId="6A89F36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Получены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6331D6" w:rsidRPr="007224C3" w14:paraId="04BAC1FA" w14:textId="77777777">
        <w:tc>
          <w:tcPr>
            <w:tcW w:w="5636" w:type="dxa"/>
          </w:tcPr>
          <w:p w14:paraId="494C403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 скорость у земли</w:t>
            </w:r>
          </w:p>
        </w:tc>
        <w:tc>
          <w:tcPr>
            <w:tcW w:w="5636" w:type="dxa"/>
          </w:tcPr>
          <w:p w14:paraId="0D4755F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525 км/час</w:t>
            </w:r>
          </w:p>
        </w:tc>
      </w:tr>
      <w:tr w:rsidR="006331D6" w:rsidRPr="007224C3" w14:paraId="0F0AA26F" w14:textId="77777777">
        <w:tc>
          <w:tcPr>
            <w:tcW w:w="5636" w:type="dxa"/>
          </w:tcPr>
          <w:p w14:paraId="0BB038F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 скорость на 2-й</w:t>
            </w:r>
          </w:p>
        </w:tc>
        <w:tc>
          <w:tcPr>
            <w:tcW w:w="5636" w:type="dxa"/>
          </w:tcPr>
          <w:p w14:paraId="0286F8F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64B85387" w14:textId="77777777">
        <w:tc>
          <w:tcPr>
            <w:tcW w:w="5636" w:type="dxa"/>
          </w:tcPr>
          <w:p w14:paraId="2606295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границе высотности (Н=3600 м)</w:t>
            </w:r>
          </w:p>
        </w:tc>
        <w:tc>
          <w:tcPr>
            <w:tcW w:w="5636" w:type="dxa"/>
          </w:tcPr>
          <w:p w14:paraId="556D7F4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580 км/час</w:t>
            </w:r>
          </w:p>
        </w:tc>
      </w:tr>
    </w:tbl>
    <w:p w14:paraId="0E695D9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самолету Як-9.</w:t>
      </w:r>
    </w:p>
    <w:p w14:paraId="7B38A49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Контрольные испытания серийных самолетов Як-9.</w:t>
      </w:r>
    </w:p>
    <w:p w14:paraId="470E8E1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Проведены испытания самолета Як-9Т N 0901 производства завода N 153 выпуска декабря 1943 года.</w:t>
      </w:r>
    </w:p>
    <w:p w14:paraId="146EF25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Получены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6331D6" w:rsidRPr="007224C3" w14:paraId="26F1971A" w14:textId="77777777">
        <w:tc>
          <w:tcPr>
            <w:tcW w:w="5636" w:type="dxa"/>
          </w:tcPr>
          <w:p w14:paraId="7F53941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 скорость у земли</w:t>
            </w:r>
          </w:p>
        </w:tc>
        <w:tc>
          <w:tcPr>
            <w:tcW w:w="5636" w:type="dxa"/>
          </w:tcPr>
          <w:p w14:paraId="4466630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532 км/час</w:t>
            </w:r>
          </w:p>
        </w:tc>
      </w:tr>
      <w:tr w:rsidR="006331D6" w:rsidRPr="007224C3" w14:paraId="08034053" w14:textId="77777777">
        <w:tc>
          <w:tcPr>
            <w:tcW w:w="5636" w:type="dxa"/>
          </w:tcPr>
          <w:p w14:paraId="1D3E839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 скорость на 2-й</w:t>
            </w:r>
          </w:p>
        </w:tc>
        <w:tc>
          <w:tcPr>
            <w:tcW w:w="5636" w:type="dxa"/>
          </w:tcPr>
          <w:p w14:paraId="024ABB6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22A5524C" w14:textId="77777777">
        <w:tc>
          <w:tcPr>
            <w:tcW w:w="5636" w:type="dxa"/>
          </w:tcPr>
          <w:p w14:paraId="7FC7599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границе высотности (Н=3850 м)</w:t>
            </w:r>
          </w:p>
        </w:tc>
        <w:tc>
          <w:tcPr>
            <w:tcW w:w="5636" w:type="dxa"/>
          </w:tcPr>
          <w:p w14:paraId="1DC4D17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591 км/час</w:t>
            </w:r>
          </w:p>
        </w:tc>
      </w:tr>
      <w:tr w:rsidR="006331D6" w:rsidRPr="007224C3" w14:paraId="6D224514" w14:textId="77777777">
        <w:tc>
          <w:tcPr>
            <w:tcW w:w="5636" w:type="dxa"/>
          </w:tcPr>
          <w:p w14:paraId="3B52F5B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Время набора высоты 5000 м</w:t>
            </w:r>
          </w:p>
        </w:tc>
        <w:tc>
          <w:tcPr>
            <w:tcW w:w="5636" w:type="dxa"/>
          </w:tcPr>
          <w:p w14:paraId="78A8571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5,5 мин.</w:t>
            </w:r>
          </w:p>
        </w:tc>
      </w:tr>
    </w:tbl>
    <w:p w14:paraId="56C0F8C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Проведены испытания самолета Як-9Т N 13036 производства завода N 166 выпуска декабря 1943 года.</w:t>
      </w:r>
    </w:p>
    <w:p w14:paraId="4415463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Получены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6331D6" w:rsidRPr="007224C3" w14:paraId="01558059" w14:textId="77777777">
        <w:tc>
          <w:tcPr>
            <w:tcW w:w="5636" w:type="dxa"/>
          </w:tcPr>
          <w:p w14:paraId="7F333D8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 скорость у земли</w:t>
            </w:r>
          </w:p>
        </w:tc>
        <w:tc>
          <w:tcPr>
            <w:tcW w:w="5636" w:type="dxa"/>
          </w:tcPr>
          <w:p w14:paraId="6BCBB7C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544 км/час</w:t>
            </w:r>
          </w:p>
        </w:tc>
      </w:tr>
      <w:tr w:rsidR="006331D6" w:rsidRPr="007224C3" w14:paraId="4529A143" w14:textId="77777777">
        <w:tc>
          <w:tcPr>
            <w:tcW w:w="5636" w:type="dxa"/>
          </w:tcPr>
          <w:p w14:paraId="482974F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 скорость на 2-й</w:t>
            </w:r>
          </w:p>
        </w:tc>
        <w:tc>
          <w:tcPr>
            <w:tcW w:w="5636" w:type="dxa"/>
          </w:tcPr>
          <w:p w14:paraId="79797FD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4045D4AD" w14:textId="77777777">
        <w:tc>
          <w:tcPr>
            <w:tcW w:w="5636" w:type="dxa"/>
          </w:tcPr>
          <w:p w14:paraId="691C587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границе высотности (Н=3650 м)</w:t>
            </w:r>
          </w:p>
        </w:tc>
        <w:tc>
          <w:tcPr>
            <w:tcW w:w="5636" w:type="dxa"/>
          </w:tcPr>
          <w:p w14:paraId="7F7B826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603 км/час</w:t>
            </w:r>
          </w:p>
        </w:tc>
      </w:tr>
      <w:tr w:rsidR="006331D6" w:rsidRPr="007224C3" w14:paraId="5F33CD55" w14:textId="77777777">
        <w:tc>
          <w:tcPr>
            <w:tcW w:w="5636" w:type="dxa"/>
          </w:tcPr>
          <w:p w14:paraId="51FCBA0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Время набора высоты 5000 м</w:t>
            </w:r>
          </w:p>
        </w:tc>
        <w:tc>
          <w:tcPr>
            <w:tcW w:w="5636" w:type="dxa"/>
          </w:tcPr>
          <w:p w14:paraId="677A705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6,1 мин.</w:t>
            </w:r>
          </w:p>
        </w:tc>
      </w:tr>
    </w:tbl>
    <w:p w14:paraId="6159240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Охлаждение воды и масла недостаточно.</w:t>
      </w:r>
    </w:p>
    <w:p w14:paraId="33C7D47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Примечание: Обработка результатов испытаний проведена по средней тарировочной кривой ряда самолетов, поэтому величины максимальной скорости приведены до 6 км/час.</w:t>
      </w:r>
    </w:p>
    <w:p w14:paraId="142ED4B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самолету Як-1.</w:t>
      </w:r>
    </w:p>
    <w:p w14:paraId="63A3312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Контрольные испытания серийных самолетов Як-1.</w:t>
      </w:r>
    </w:p>
    <w:p w14:paraId="06A128E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Проведены контрольные испытания серийного самолета Як-1 N 12163 производства завода 292 ноябрьского выпуска.</w:t>
      </w:r>
    </w:p>
    <w:p w14:paraId="6FAB75F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Получены данные:</w:t>
      </w:r>
    </w:p>
    <w:tbl>
      <w:tblPr>
        <w:tblW w:w="0" w:type="auto"/>
        <w:tblLayout w:type="fixed"/>
        <w:tblLook w:val="0000" w:firstRow="0" w:lastRow="0" w:firstColumn="0" w:lastColumn="0" w:noHBand="0" w:noVBand="0"/>
      </w:tblPr>
      <w:tblGrid>
        <w:gridCol w:w="5636"/>
        <w:gridCol w:w="5636"/>
      </w:tblGrid>
      <w:tr w:rsidR="006331D6" w:rsidRPr="007224C3" w14:paraId="55A02A5B" w14:textId="77777777">
        <w:tc>
          <w:tcPr>
            <w:tcW w:w="5636" w:type="dxa"/>
            <w:tcBorders>
              <w:top w:val="single" w:sz="6" w:space="0" w:color="auto"/>
              <w:left w:val="single" w:sz="6" w:space="0" w:color="auto"/>
              <w:bottom w:val="single" w:sz="6" w:space="0" w:color="auto"/>
              <w:right w:val="single" w:sz="6" w:space="0" w:color="auto"/>
            </w:tcBorders>
          </w:tcPr>
          <w:p w14:paraId="1FDA7B1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 скорость у земли при n=2700 об/мин.</w:t>
            </w:r>
          </w:p>
        </w:tc>
        <w:tc>
          <w:tcPr>
            <w:tcW w:w="5636" w:type="dxa"/>
            <w:tcBorders>
              <w:top w:val="single" w:sz="6" w:space="0" w:color="auto"/>
              <w:left w:val="single" w:sz="6" w:space="0" w:color="auto"/>
              <w:bottom w:val="single" w:sz="6" w:space="0" w:color="auto"/>
              <w:right w:val="single" w:sz="6" w:space="0" w:color="auto"/>
            </w:tcBorders>
          </w:tcPr>
          <w:p w14:paraId="1BB04DA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522 км/час</w:t>
            </w:r>
          </w:p>
        </w:tc>
      </w:tr>
      <w:tr w:rsidR="006331D6" w:rsidRPr="007224C3" w14:paraId="290615ED" w14:textId="77777777">
        <w:tc>
          <w:tcPr>
            <w:tcW w:w="5636" w:type="dxa"/>
            <w:tcBorders>
              <w:top w:val="single" w:sz="6" w:space="0" w:color="auto"/>
              <w:left w:val="single" w:sz="6" w:space="0" w:color="auto"/>
              <w:bottom w:val="single" w:sz="6" w:space="0" w:color="auto"/>
              <w:right w:val="single" w:sz="6" w:space="0" w:color="auto"/>
            </w:tcBorders>
          </w:tcPr>
          <w:p w14:paraId="7C85B65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 скорость у земли при n=2555 об/мин.</w:t>
            </w:r>
          </w:p>
        </w:tc>
        <w:tc>
          <w:tcPr>
            <w:tcW w:w="5636" w:type="dxa"/>
            <w:tcBorders>
              <w:top w:val="single" w:sz="6" w:space="0" w:color="auto"/>
              <w:left w:val="single" w:sz="6" w:space="0" w:color="auto"/>
              <w:bottom w:val="single" w:sz="6" w:space="0" w:color="auto"/>
              <w:right w:val="single" w:sz="6" w:space="0" w:color="auto"/>
            </w:tcBorders>
          </w:tcPr>
          <w:p w14:paraId="30B19DF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527 км/час</w:t>
            </w:r>
          </w:p>
        </w:tc>
      </w:tr>
      <w:tr w:rsidR="006331D6" w:rsidRPr="007224C3" w14:paraId="4628CC9A" w14:textId="77777777">
        <w:tc>
          <w:tcPr>
            <w:tcW w:w="5636" w:type="dxa"/>
            <w:tcBorders>
              <w:top w:val="single" w:sz="6" w:space="0" w:color="auto"/>
              <w:left w:val="single" w:sz="6" w:space="0" w:color="auto"/>
              <w:bottom w:val="single" w:sz="6" w:space="0" w:color="auto"/>
              <w:right w:val="single" w:sz="6" w:space="0" w:color="auto"/>
            </w:tcBorders>
          </w:tcPr>
          <w:p w14:paraId="6983EEF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 скорость на 2-й границе высотности (Н=4050 м)</w:t>
            </w:r>
          </w:p>
        </w:tc>
        <w:tc>
          <w:tcPr>
            <w:tcW w:w="5636" w:type="dxa"/>
            <w:tcBorders>
              <w:top w:val="single" w:sz="6" w:space="0" w:color="auto"/>
              <w:left w:val="single" w:sz="6" w:space="0" w:color="auto"/>
              <w:bottom w:val="single" w:sz="6" w:space="0" w:color="auto"/>
              <w:right w:val="single" w:sz="6" w:space="0" w:color="auto"/>
            </w:tcBorders>
          </w:tcPr>
          <w:p w14:paraId="0573CA6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589 км/час</w:t>
            </w:r>
          </w:p>
        </w:tc>
      </w:tr>
      <w:tr w:rsidR="006331D6" w:rsidRPr="007224C3" w14:paraId="75D18E1E" w14:textId="77777777">
        <w:tc>
          <w:tcPr>
            <w:tcW w:w="5636" w:type="dxa"/>
            <w:tcBorders>
              <w:top w:val="single" w:sz="6" w:space="0" w:color="auto"/>
              <w:left w:val="single" w:sz="6" w:space="0" w:color="auto"/>
              <w:bottom w:val="single" w:sz="6" w:space="0" w:color="auto"/>
              <w:right w:val="single" w:sz="6" w:space="0" w:color="auto"/>
            </w:tcBorders>
          </w:tcPr>
          <w:p w14:paraId="263DFB1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Время набора высоты 5000 м</w:t>
            </w:r>
          </w:p>
        </w:tc>
        <w:tc>
          <w:tcPr>
            <w:tcW w:w="5636" w:type="dxa"/>
            <w:tcBorders>
              <w:top w:val="single" w:sz="6" w:space="0" w:color="auto"/>
              <w:left w:val="single" w:sz="6" w:space="0" w:color="auto"/>
              <w:bottom w:val="single" w:sz="6" w:space="0" w:color="auto"/>
              <w:right w:val="single" w:sz="6" w:space="0" w:color="auto"/>
            </w:tcBorders>
          </w:tcPr>
          <w:p w14:paraId="32D6CF0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5,8 мин.</w:t>
            </w:r>
          </w:p>
        </w:tc>
      </w:tr>
    </w:tbl>
    <w:p w14:paraId="03460CC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Основным аэродинамическим дефектом, ухудшающим летные данные самолета, является плохая отделка поверхности крыла - выступает строение перкаля, вследствие чего крыло шероховатое.</w:t>
      </w:r>
    </w:p>
    <w:p w14:paraId="3165467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Предъявленные заводом самолеты N 17162 и 20162 испытания не выдержали из-за плохой работы ВМГ.</w:t>
      </w:r>
    </w:p>
    <w:p w14:paraId="154D666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Испытания самолета Як-1 с мотором М-105ПФ для определения расхода горючего.</w:t>
      </w:r>
    </w:p>
    <w:p w14:paraId="555F459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Испытания проведены с целью получения материала для дачи указаний строевым частям ВВС по подсчету дальности и продолжительности полета самолета Як-1 с М-105 ПФ.</w:t>
      </w:r>
    </w:p>
    <w:p w14:paraId="42FE154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Испытания показали целесообразность пользования высотным корректором "на слух" на режимах 0,9 Vmax и ниже на всех высотах полета.</w:t>
      </w:r>
    </w:p>
    <w:p w14:paraId="28828FE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Испытания винтов АВ-5НВ-Д-85 на самолете Ли-2.</w:t>
      </w:r>
    </w:p>
    <w:p w14:paraId="33D714E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Проведенными испытаниями установлено:</w:t>
      </w:r>
    </w:p>
    <w:p w14:paraId="5D493A5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На взлете, наборе высоты, горизонтальном полете, планировании и различных эволюциях самолета винты работают устойчиво.</w:t>
      </w:r>
    </w:p>
    <w:p w14:paraId="5D50927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При дачах газа за время 2,5 сек. забросы оборотов как в горизонтальном полете, так и на планировании не превышают допустимых и равны 350 об/мин.</w:t>
      </w:r>
    </w:p>
    <w:p w14:paraId="7710D90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уборке газа ненормальностей в работе механизма винта не обнаружено.</w:t>
      </w:r>
    </w:p>
    <w:p w14:paraId="5C62683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Максимальные скорости самолета Ли-2 2М-62 в диапазоне высот от 0 до 3000 м при полетном весе 10500 кг с винтами АВ-5НВ-85 на 9 км/час (3%) меньше, чем с серийными винтами ВИШ-21.</w:t>
      </w:r>
    </w:p>
    <w:p w14:paraId="4644BFE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Скороподъемность самолета Ли-2 при полетном весе 10500 кг с винтами АВ-5НВ-Д-85 и винтами ВИШ-21 практически одинакова.</w:t>
      </w:r>
    </w:p>
    <w:p w14:paraId="5682C40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Длина разбега самолета с винтами АВ-5НВ-Д-85 по сравнению с винтами ВИШ-21 уменьшается на 80 м (14%).</w:t>
      </w:r>
    </w:p>
    <w:p w14:paraId="71A81D5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Расходы горючего на крейсерском режиме полета самолета Ли-2, с винтами ВИШ-21, вследствие чего дальность будет меньше, примерно, на 4-5%.</w:t>
      </w:r>
    </w:p>
    <w:p w14:paraId="597A345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Полет на одном моторе самолета Ли-2 с полетным весом 10000 кг с винтами АВ-5НВ-Д-85 в диапазоне скоростей от 160 до 180 км/час по прибору возможен при некоторых переделках управления регуляторами, позволяющими затяжелять винт задросселированном моторе по номинальных оборотов (700 об/мин.).</w:t>
      </w:r>
    </w:p>
    <w:p w14:paraId="4036241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Винты АВ-5НВ-Д-85 рекомендуются к запуску в малую серию для производства войсковых испытаний.</w:t>
      </w:r>
    </w:p>
    <w:p w14:paraId="7813CC0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Испытания РПКМ N 26-С Бендикс на самолете Ли-2.</w:t>
      </w:r>
    </w:p>
    <w:p w14:paraId="2A8695B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Проведенными испытаниями установлено, что дальность действия РПКМ N 26-С Бендикс на 20-30% больше, чем дальность действия РПК-2. Чувствительность приемника РАК м N 26-С на частоте от 200 до 750 kz в 1,5 раза лучше чувствительности приемника РПК-2.</w:t>
      </w:r>
    </w:p>
    <w:p w14:paraId="082B36E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Приемник РПК М N 26-С Бендикс рекомендован для установки на самолете.</w:t>
      </w:r>
    </w:p>
    <w:p w14:paraId="7CE4E03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Контрольные испытания системы НГ на серийных самолетах истребителях.</w:t>
      </w:r>
    </w:p>
    <w:p w14:paraId="737AFB6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Закончены контрольные испытания систем НГ на самолетах Як-7 заводов NN 82 и 153, Як-9 заводов NN 153 и 166, Ла-5 и ЛАГГ-3.</w:t>
      </w:r>
    </w:p>
    <w:p w14:paraId="500B21F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Испытания системы зажигания.</w:t>
      </w:r>
    </w:p>
    <w:p w14:paraId="5621E2B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Проведены лабораторные испытания системы зажигания с магнето БСМ-12 и свечами Бендикс с целью определения максимально-допустимых температур нагрева.</w:t>
      </w:r>
    </w:p>
    <w:p w14:paraId="6D03108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Сняты границы бесперебойной работы системы в зависимости от нагрева как отдельных элементов, так и при одновременном нагреве всей системы (1821,39).</w:t>
      </w:r>
    </w:p>
    <w:p w14:paraId="299DA53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самолету Ил-2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69"/>
        <w:gridCol w:w="7903"/>
      </w:tblGrid>
      <w:tr w:rsidR="006331D6" w:rsidRPr="007224C3" w14:paraId="3A3D618E" w14:textId="77777777">
        <w:tc>
          <w:tcPr>
            <w:tcW w:w="3369" w:type="dxa"/>
          </w:tcPr>
          <w:p w14:paraId="1FD731C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Летные испытания</w:t>
            </w:r>
          </w:p>
        </w:tc>
        <w:tc>
          <w:tcPr>
            <w:tcW w:w="7903" w:type="dxa"/>
          </w:tcPr>
          <w:p w14:paraId="1D9D652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Внутрисамолетная связь на самолете Ил-2 работает неудовлетворительно</w:t>
            </w:r>
          </w:p>
        </w:tc>
      </w:tr>
      <w:tr w:rsidR="006331D6" w:rsidRPr="007224C3" w14:paraId="252041F0" w14:textId="77777777">
        <w:tc>
          <w:tcPr>
            <w:tcW w:w="3369" w:type="dxa"/>
          </w:tcPr>
          <w:p w14:paraId="5FD451C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внутрисамолетной связи на</w:t>
            </w:r>
          </w:p>
        </w:tc>
        <w:tc>
          <w:tcPr>
            <w:tcW w:w="7903" w:type="dxa"/>
          </w:tcPr>
          <w:p w14:paraId="6F51831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из-за большого уровня акустических шумов в кабинах самолетов.</w:t>
            </w:r>
          </w:p>
        </w:tc>
      </w:tr>
      <w:tr w:rsidR="006331D6" w:rsidRPr="007224C3" w14:paraId="19E340BB" w14:textId="77777777">
        <w:tc>
          <w:tcPr>
            <w:tcW w:w="3369" w:type="dxa"/>
          </w:tcPr>
          <w:p w14:paraId="618E497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самолете Ил-2</w:t>
            </w:r>
          </w:p>
        </w:tc>
        <w:tc>
          <w:tcPr>
            <w:tcW w:w="7903" w:type="dxa"/>
          </w:tcPr>
          <w:p w14:paraId="2AA5135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выяснения возможности улучшения работу переговорного устройства была</w:t>
            </w:r>
          </w:p>
        </w:tc>
      </w:tr>
      <w:tr w:rsidR="006331D6" w:rsidRPr="007224C3" w14:paraId="53D76B24" w14:textId="77777777">
        <w:tc>
          <w:tcPr>
            <w:tcW w:w="3369" w:type="dxa"/>
          </w:tcPr>
          <w:p w14:paraId="3E36F6C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03" w:type="dxa"/>
          </w:tcPr>
          <w:p w14:paraId="5DA6675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проверена работа СПУФ при звукоизоляции ларингофонов и кабины при закрытом</w:t>
            </w:r>
          </w:p>
        </w:tc>
      </w:tr>
      <w:tr w:rsidR="006331D6" w:rsidRPr="007224C3" w14:paraId="1DCCD17D" w14:textId="77777777">
        <w:tc>
          <w:tcPr>
            <w:tcW w:w="3369" w:type="dxa"/>
          </w:tcPr>
          <w:p w14:paraId="0A362B8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03" w:type="dxa"/>
          </w:tcPr>
          <w:p w14:paraId="5B31BA8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фонаре.</w:t>
            </w:r>
          </w:p>
        </w:tc>
      </w:tr>
      <w:tr w:rsidR="006331D6" w:rsidRPr="007224C3" w14:paraId="08DBCC8A" w14:textId="77777777">
        <w:tc>
          <w:tcPr>
            <w:tcW w:w="3369" w:type="dxa"/>
          </w:tcPr>
          <w:p w14:paraId="558D6E1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03" w:type="dxa"/>
          </w:tcPr>
          <w:p w14:paraId="2DC565B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Улучшение звукоизоляции кабины обеспечило удовлетворительную работу СПУ</w:t>
            </w:r>
          </w:p>
        </w:tc>
      </w:tr>
      <w:tr w:rsidR="006331D6" w:rsidRPr="007224C3" w14:paraId="31103C93" w14:textId="77777777">
        <w:tc>
          <w:tcPr>
            <w:tcW w:w="3369" w:type="dxa"/>
          </w:tcPr>
          <w:p w14:paraId="7342804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03" w:type="dxa"/>
          </w:tcPr>
          <w:p w14:paraId="594116B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Заводам 30, 16 18 рекомендованы мероприятия по снижению уровня акустических</w:t>
            </w:r>
          </w:p>
        </w:tc>
      </w:tr>
      <w:tr w:rsidR="006331D6" w:rsidRPr="007224C3" w14:paraId="172AD777" w14:textId="77777777">
        <w:tc>
          <w:tcPr>
            <w:tcW w:w="3369" w:type="dxa"/>
          </w:tcPr>
          <w:p w14:paraId="56F096B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03" w:type="dxa"/>
          </w:tcPr>
          <w:p w14:paraId="66D1BC1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шумов кабины самолета, а частям ВВС - мероприятия по улучшению силами техсостава</w:t>
            </w:r>
          </w:p>
        </w:tc>
      </w:tr>
      <w:tr w:rsidR="006331D6" w:rsidRPr="007224C3" w14:paraId="774D3490" w14:textId="77777777">
        <w:tc>
          <w:tcPr>
            <w:tcW w:w="3369" w:type="dxa"/>
          </w:tcPr>
          <w:p w14:paraId="6198C0C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03" w:type="dxa"/>
          </w:tcPr>
          <w:p w14:paraId="3C28763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частей внутрисамолетной связи самолетов Ил-2, находящихся в эксплуатации.</w:t>
            </w:r>
          </w:p>
        </w:tc>
      </w:tr>
      <w:tr w:rsidR="006331D6" w:rsidRPr="007224C3" w14:paraId="44E7D745" w14:textId="77777777">
        <w:tc>
          <w:tcPr>
            <w:tcW w:w="3369" w:type="dxa"/>
          </w:tcPr>
          <w:p w14:paraId="67E664C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Летные испытания радиостанции</w:t>
            </w:r>
          </w:p>
        </w:tc>
        <w:tc>
          <w:tcPr>
            <w:tcW w:w="7903" w:type="dxa"/>
          </w:tcPr>
          <w:p w14:paraId="0CB633A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Проведены испытания с целью определения дальности 2-х сторонней связи</w:t>
            </w:r>
          </w:p>
        </w:tc>
      </w:tr>
      <w:tr w:rsidR="006331D6" w:rsidRPr="007224C3" w14:paraId="5AE3BAD0" w14:textId="77777777">
        <w:tc>
          <w:tcPr>
            <w:tcW w:w="3369" w:type="dxa"/>
          </w:tcPr>
          <w:p w14:paraId="0D3A50D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SCR-274w на самолете Ил-2</w:t>
            </w:r>
          </w:p>
        </w:tc>
        <w:tc>
          <w:tcPr>
            <w:tcW w:w="7903" w:type="dxa"/>
          </w:tcPr>
          <w:p w14:paraId="113C8C6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радиостанции SCR-274w, установленной на самолете Ил-2, с наземной радиостанцией</w:t>
            </w:r>
          </w:p>
        </w:tc>
      </w:tr>
      <w:tr w:rsidR="006331D6" w:rsidRPr="007224C3" w14:paraId="161FDAB0" w14:textId="77777777">
        <w:tc>
          <w:tcPr>
            <w:tcW w:w="3369" w:type="dxa"/>
          </w:tcPr>
          <w:p w14:paraId="6D82A48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03" w:type="dxa"/>
          </w:tcPr>
          <w:p w14:paraId="47EE257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11Ак. Испытаниями установлено, что радиостанция более мощная, чем РСИ-4,</w:t>
            </w:r>
          </w:p>
        </w:tc>
      </w:tr>
      <w:tr w:rsidR="006331D6" w:rsidRPr="007224C3" w14:paraId="36A7D031" w14:textId="77777777">
        <w:tc>
          <w:tcPr>
            <w:tcW w:w="3369" w:type="dxa"/>
          </w:tcPr>
          <w:p w14:paraId="5F155BF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03" w:type="dxa"/>
          </w:tcPr>
          <w:p w14:paraId="5175FE4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обеспечивает дальность действия на расстоянии 150 км. Рекомендована к</w:t>
            </w:r>
          </w:p>
        </w:tc>
      </w:tr>
      <w:tr w:rsidR="006331D6" w:rsidRPr="007224C3" w14:paraId="3B4FBAFA" w14:textId="77777777">
        <w:tc>
          <w:tcPr>
            <w:tcW w:w="3369" w:type="dxa"/>
          </w:tcPr>
          <w:p w14:paraId="5EEAB3B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03" w:type="dxa"/>
          </w:tcPr>
          <w:p w14:paraId="6CFCDA4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установке на самолетах штурмовой и истребительной авиации.</w:t>
            </w:r>
          </w:p>
        </w:tc>
      </w:tr>
      <w:tr w:rsidR="006331D6" w:rsidRPr="007224C3" w14:paraId="38577747" w14:textId="77777777">
        <w:tc>
          <w:tcPr>
            <w:tcW w:w="3369" w:type="dxa"/>
          </w:tcPr>
          <w:p w14:paraId="7CC4DE2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03" w:type="dxa"/>
          </w:tcPr>
          <w:p w14:paraId="278BC6D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отчете об испытаниях указаны необходимые мероприятия по приспособлению</w:t>
            </w:r>
          </w:p>
        </w:tc>
      </w:tr>
      <w:tr w:rsidR="006331D6" w:rsidRPr="007224C3" w14:paraId="7C94D97A" w14:textId="77777777">
        <w:tc>
          <w:tcPr>
            <w:tcW w:w="3369" w:type="dxa"/>
          </w:tcPr>
          <w:p w14:paraId="0E87A47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03" w:type="dxa"/>
          </w:tcPr>
          <w:p w14:paraId="04BDB35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отечественных шлемофонов, тангет ларингофонов и монтажных плат для приемника</w:t>
            </w:r>
          </w:p>
        </w:tc>
      </w:tr>
      <w:tr w:rsidR="006331D6" w:rsidRPr="007224C3" w14:paraId="09436D19" w14:textId="77777777">
        <w:tc>
          <w:tcPr>
            <w:tcW w:w="3369" w:type="dxa"/>
          </w:tcPr>
          <w:p w14:paraId="7568203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03" w:type="dxa"/>
          </w:tcPr>
          <w:p w14:paraId="36A8EAC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 передатчика.</w:t>
            </w:r>
          </w:p>
        </w:tc>
      </w:tr>
      <w:tr w:rsidR="006331D6" w:rsidRPr="007224C3" w14:paraId="53D04256" w14:textId="77777777">
        <w:tc>
          <w:tcPr>
            <w:tcW w:w="3369" w:type="dxa"/>
          </w:tcPr>
          <w:p w14:paraId="7ABD104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Испытания опытной системы НГ</w:t>
            </w:r>
          </w:p>
        </w:tc>
        <w:tc>
          <w:tcPr>
            <w:tcW w:w="7903" w:type="dxa"/>
          </w:tcPr>
          <w:p w14:paraId="4226567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Испытания опытной системы НГ завода 18 проводились с целью определения ее</w:t>
            </w:r>
          </w:p>
        </w:tc>
      </w:tr>
      <w:tr w:rsidR="006331D6" w:rsidRPr="007224C3" w14:paraId="518573C6" w14:textId="77777777">
        <w:tc>
          <w:tcPr>
            <w:tcW w:w="3369" w:type="dxa"/>
          </w:tcPr>
          <w:p w14:paraId="778DCA0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самолетах Ил-2</w:t>
            </w:r>
          </w:p>
        </w:tc>
        <w:tc>
          <w:tcPr>
            <w:tcW w:w="7903" w:type="dxa"/>
          </w:tcPr>
          <w:p w14:paraId="158CB19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пригодности для внедрения в серию. После устранения дефектов, выявленных при</w:t>
            </w:r>
          </w:p>
        </w:tc>
      </w:tr>
      <w:tr w:rsidR="006331D6" w:rsidRPr="007224C3" w14:paraId="73A44EFA" w14:textId="77777777">
        <w:tc>
          <w:tcPr>
            <w:tcW w:w="3369" w:type="dxa"/>
          </w:tcPr>
          <w:p w14:paraId="07B75A2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03" w:type="dxa"/>
          </w:tcPr>
          <w:p w14:paraId="200B7C1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испытаниях (перестановка газозаборника и устранение утечки в газопроводе)</w:t>
            </w:r>
          </w:p>
        </w:tc>
      </w:tr>
      <w:tr w:rsidR="006331D6" w:rsidRPr="007224C3" w14:paraId="70D85B81" w14:textId="77777777">
        <w:tc>
          <w:tcPr>
            <w:tcW w:w="3369" w:type="dxa"/>
          </w:tcPr>
          <w:p w14:paraId="0176B7B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03" w:type="dxa"/>
          </w:tcPr>
          <w:p w14:paraId="4273D5A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система работает удовлетворительно и предъявлена на гос. испытания в НИИ ВВС.</w:t>
            </w:r>
          </w:p>
        </w:tc>
      </w:tr>
      <w:tr w:rsidR="006331D6" w:rsidRPr="007224C3" w14:paraId="7445D282" w14:textId="77777777">
        <w:tc>
          <w:tcPr>
            <w:tcW w:w="3369" w:type="dxa"/>
          </w:tcPr>
          <w:p w14:paraId="373B687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Увеличение дальности</w:t>
            </w:r>
          </w:p>
        </w:tc>
        <w:tc>
          <w:tcPr>
            <w:tcW w:w="7903" w:type="dxa"/>
          </w:tcPr>
          <w:p w14:paraId="7D244A5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проведена работа по выяснению возможности увеличения дальности радиосвязи в</w:t>
            </w:r>
          </w:p>
        </w:tc>
      </w:tr>
      <w:tr w:rsidR="006331D6" w:rsidRPr="007224C3" w14:paraId="0AC4E29E" w14:textId="77777777">
        <w:tc>
          <w:tcPr>
            <w:tcW w:w="3369" w:type="dxa"/>
          </w:tcPr>
          <w:p w14:paraId="35A9C7D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радиосвязи в штурмовой</w:t>
            </w:r>
          </w:p>
        </w:tc>
        <w:tc>
          <w:tcPr>
            <w:tcW w:w="7903" w:type="dxa"/>
          </w:tcPr>
          <w:p w14:paraId="4D63DA9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штурмовой авиации путем использования наземной радиостанцией горизонтальной</w:t>
            </w:r>
          </w:p>
        </w:tc>
      </w:tr>
      <w:tr w:rsidR="006331D6" w:rsidRPr="007224C3" w14:paraId="6AB1B837" w14:textId="77777777">
        <w:tc>
          <w:tcPr>
            <w:tcW w:w="3369" w:type="dxa"/>
          </w:tcPr>
          <w:p w14:paraId="3E36772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авиации</w:t>
            </w:r>
          </w:p>
        </w:tc>
        <w:tc>
          <w:tcPr>
            <w:tcW w:w="7903" w:type="dxa"/>
          </w:tcPr>
          <w:p w14:paraId="4A84FB8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антенны и ведения связи на отраженном луче.</w:t>
            </w:r>
          </w:p>
        </w:tc>
      </w:tr>
      <w:tr w:rsidR="006331D6" w:rsidRPr="007224C3" w14:paraId="384F250F" w14:textId="77777777">
        <w:tc>
          <w:tcPr>
            <w:tcW w:w="3369" w:type="dxa"/>
          </w:tcPr>
          <w:p w14:paraId="3EF4F7D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03" w:type="dxa"/>
          </w:tcPr>
          <w:p w14:paraId="56D4AF1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дальность радиосвязи в штурмовой авиации при полетах на высоте полрядка 100 м</w:t>
            </w:r>
          </w:p>
        </w:tc>
      </w:tr>
      <w:tr w:rsidR="006331D6" w:rsidRPr="007224C3" w14:paraId="1BB62969" w14:textId="77777777">
        <w:tc>
          <w:tcPr>
            <w:tcW w:w="3369" w:type="dxa"/>
          </w:tcPr>
          <w:p w14:paraId="4F4D806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03" w:type="dxa"/>
          </w:tcPr>
          <w:p w14:paraId="6B439BA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практически не превышает 30-40 км. Результаты работы показали, что использование</w:t>
            </w:r>
          </w:p>
        </w:tc>
      </w:tr>
      <w:tr w:rsidR="006331D6" w:rsidRPr="007224C3" w14:paraId="1B8B3DC1" w14:textId="77777777">
        <w:tc>
          <w:tcPr>
            <w:tcW w:w="3369" w:type="dxa"/>
          </w:tcPr>
          <w:p w14:paraId="365F645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03" w:type="dxa"/>
          </w:tcPr>
          <w:p w14:paraId="0499CE4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отраженного луча увеличивает дальность связи. На существующей серийной аппаратуре</w:t>
            </w:r>
          </w:p>
        </w:tc>
      </w:tr>
      <w:tr w:rsidR="006331D6" w:rsidRPr="007224C3" w14:paraId="7CB6F28E" w14:textId="77777777">
        <w:tc>
          <w:tcPr>
            <w:tcW w:w="3369" w:type="dxa"/>
          </w:tcPr>
          <w:p w14:paraId="47CCE54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03" w:type="dxa"/>
          </w:tcPr>
          <w:p w14:paraId="1A85090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была достигнута дальность более 100 км. В отдельных полетах на высоте 100-200 м имело</w:t>
            </w:r>
          </w:p>
        </w:tc>
      </w:tr>
      <w:tr w:rsidR="005106D0" w:rsidRPr="007224C3" w14:paraId="37E385D6" w14:textId="77777777">
        <w:tc>
          <w:tcPr>
            <w:tcW w:w="3369" w:type="dxa"/>
          </w:tcPr>
          <w:p w14:paraId="11841C3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03" w:type="dxa"/>
          </w:tcPr>
          <w:p w14:paraId="143B096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место непрерывная связь на расстоянии до 200 км. Работа продолжается (1821,38)</w:t>
            </w:r>
          </w:p>
        </w:tc>
      </w:tr>
    </w:tbl>
    <w:p w14:paraId="2E92340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E3408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10 января 1944 состояние опытного строительства на 21 заводе было следующим:</w:t>
      </w:r>
    </w:p>
    <w:p w14:paraId="5E2FF75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Ла-5 М-71 - стыковочные узлы консолей заменены на усиленные. Работы будут продолжены после окончания работ нп с-те Ла-5 с 3-мя точками.</w:t>
      </w:r>
    </w:p>
    <w:p w14:paraId="71301B6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Ла-5 ФНА (трехточечный - будущий Ла-7). Фюзеляж состыкован с центропланом. Идет навеска мотора.</w:t>
      </w:r>
    </w:p>
    <w:p w14:paraId="5D97CF4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Внедрение металлических лрнжеронов.</w:t>
      </w:r>
    </w:p>
    <w:p w14:paraId="23F7ABB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Закончено изготовление 3-х каркасов консолей крыла из деталей з-да № 381.</w:t>
      </w:r>
    </w:p>
    <w:p w14:paraId="6F82510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цехе сборки лонжеронов установлено 3 станка для лонжеронов консолей и 2 стапеля для лонжеронов центроплана.</w:t>
      </w:r>
    </w:p>
    <w:p w14:paraId="756C894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Закончена установка станков для строжки и фрезерования полок лонжеронов. Прибыли поковки стыковочных узлов с завода № 150.</w:t>
      </w:r>
    </w:p>
    <w:p w14:paraId="5FDB917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Доводка серийных с-тов.</w:t>
      </w:r>
    </w:p>
    <w:p w14:paraId="05680A8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Установка КП-12 (приказ комисси НКАП, ГУЗ ВВС и НИИ).</w:t>
      </w:r>
    </w:p>
    <w:p w14:paraId="03697CE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с-тах “Ф” вместо шинельного сукна ставится герметизация из губчатой резины.</w:t>
      </w:r>
    </w:p>
    <w:p w14:paraId="00EA17F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производство спущены чертежи на новые облегченные на 4 кг рули высоты. При статистических испытаниях на отрыв обшивки (слачай А) крыло с металлическими лонжеронами конструкции завода № 381 выдержало 100% (738,12).</w:t>
      </w:r>
    </w:p>
    <w:p w14:paraId="2FA63B5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3F65E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января 1944 года гл. конструктор завода N 477 Бериев писал письмо зам. наркома Авиапрома Кузнецову А.И.</w:t>
      </w:r>
    </w:p>
    <w:p w14:paraId="76361AF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Согласно Вашего указания, при сем препровождаю основные летно-технические данные опытной летающей лодки ЛЛ-143-2М71Ф, спроектированной по тактико-техническим требованиям ВВС ВМФ.</w:t>
      </w:r>
    </w:p>
    <w:p w14:paraId="14B53A1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 скорость</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6331D6" w:rsidRPr="007224C3" w14:paraId="05B9B633" w14:textId="77777777">
        <w:tc>
          <w:tcPr>
            <w:tcW w:w="5636" w:type="dxa"/>
          </w:tcPr>
          <w:p w14:paraId="0782DAE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на высоте 5000 м</w:t>
            </w:r>
          </w:p>
        </w:tc>
        <w:tc>
          <w:tcPr>
            <w:tcW w:w="5636" w:type="dxa"/>
          </w:tcPr>
          <w:p w14:paraId="42139EA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450 км/час</w:t>
            </w:r>
          </w:p>
        </w:tc>
      </w:tr>
      <w:tr w:rsidR="006331D6" w:rsidRPr="007224C3" w14:paraId="5EE8C59C" w14:textId="77777777">
        <w:tc>
          <w:tcPr>
            <w:tcW w:w="5636" w:type="dxa"/>
          </w:tcPr>
          <w:p w14:paraId="408F73F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Полетный вес</w:t>
            </w:r>
          </w:p>
        </w:tc>
        <w:tc>
          <w:tcPr>
            <w:tcW w:w="5636" w:type="dxa"/>
          </w:tcPr>
          <w:p w14:paraId="5A61398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18500-23000 кг</w:t>
            </w:r>
          </w:p>
        </w:tc>
      </w:tr>
      <w:tr w:rsidR="006331D6" w:rsidRPr="007224C3" w14:paraId="4FB9E175" w14:textId="77777777">
        <w:tc>
          <w:tcPr>
            <w:tcW w:w="5636" w:type="dxa"/>
          </w:tcPr>
          <w:p w14:paraId="22F1DC2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 дальность</w:t>
            </w:r>
          </w:p>
        </w:tc>
        <w:tc>
          <w:tcPr>
            <w:tcW w:w="5636" w:type="dxa"/>
          </w:tcPr>
          <w:p w14:paraId="3397558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27619683" w14:textId="77777777">
        <w:tc>
          <w:tcPr>
            <w:tcW w:w="5636" w:type="dxa"/>
          </w:tcPr>
          <w:p w14:paraId="290B1A2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полета</w:t>
            </w:r>
          </w:p>
        </w:tc>
        <w:tc>
          <w:tcPr>
            <w:tcW w:w="5636" w:type="dxa"/>
          </w:tcPr>
          <w:p w14:paraId="29F7ED9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5600 км</w:t>
            </w:r>
          </w:p>
        </w:tc>
      </w:tr>
      <w:tr w:rsidR="006331D6" w:rsidRPr="007224C3" w14:paraId="29EC90EE" w14:textId="77777777">
        <w:tc>
          <w:tcPr>
            <w:tcW w:w="5636" w:type="dxa"/>
          </w:tcPr>
          <w:p w14:paraId="65D7FA5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Продолжительность полета</w:t>
            </w:r>
          </w:p>
        </w:tc>
        <w:tc>
          <w:tcPr>
            <w:tcW w:w="5636" w:type="dxa"/>
          </w:tcPr>
          <w:p w14:paraId="29AB411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16-18 часов</w:t>
            </w:r>
          </w:p>
        </w:tc>
      </w:tr>
      <w:tr w:rsidR="006331D6" w:rsidRPr="007224C3" w14:paraId="1D09CACC" w14:textId="77777777">
        <w:tc>
          <w:tcPr>
            <w:tcW w:w="5636" w:type="dxa"/>
          </w:tcPr>
          <w:p w14:paraId="7380CD2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Потолок</w:t>
            </w:r>
          </w:p>
        </w:tc>
        <w:tc>
          <w:tcPr>
            <w:tcW w:w="5636" w:type="dxa"/>
          </w:tcPr>
          <w:p w14:paraId="2F4C4BE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8000 м</w:t>
            </w:r>
          </w:p>
        </w:tc>
      </w:tr>
      <w:tr w:rsidR="006331D6" w:rsidRPr="007224C3" w14:paraId="66388861" w14:textId="77777777">
        <w:tc>
          <w:tcPr>
            <w:tcW w:w="5636" w:type="dxa"/>
          </w:tcPr>
          <w:p w14:paraId="1BB5A5B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Бомбовая и минно-торпедная</w:t>
            </w:r>
          </w:p>
        </w:tc>
        <w:tc>
          <w:tcPr>
            <w:tcW w:w="5636" w:type="dxa"/>
          </w:tcPr>
          <w:p w14:paraId="22A31A6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5791BA36" w14:textId="77777777">
        <w:tc>
          <w:tcPr>
            <w:tcW w:w="5636" w:type="dxa"/>
          </w:tcPr>
          <w:p w14:paraId="21D4DC7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нагрузка</w:t>
            </w:r>
          </w:p>
        </w:tc>
        <w:tc>
          <w:tcPr>
            <w:tcW w:w="5636" w:type="dxa"/>
          </w:tcPr>
          <w:p w14:paraId="7E1A71E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600-4000 кг</w:t>
            </w:r>
          </w:p>
        </w:tc>
      </w:tr>
      <w:tr w:rsidR="006331D6" w:rsidRPr="007224C3" w14:paraId="1B09B2B5" w14:textId="77777777">
        <w:tc>
          <w:tcPr>
            <w:tcW w:w="5636" w:type="dxa"/>
          </w:tcPr>
          <w:p w14:paraId="0CA1821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Стрелково-артиллерийское</w:t>
            </w:r>
          </w:p>
        </w:tc>
        <w:tc>
          <w:tcPr>
            <w:tcW w:w="5636" w:type="dxa"/>
          </w:tcPr>
          <w:p w14:paraId="2B09338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22C1E002" w14:textId="77777777">
        <w:tc>
          <w:tcPr>
            <w:tcW w:w="5636" w:type="dxa"/>
          </w:tcPr>
          <w:p w14:paraId="5E19913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вооружение</w:t>
            </w:r>
          </w:p>
        </w:tc>
        <w:tc>
          <w:tcPr>
            <w:tcW w:w="5636" w:type="dxa"/>
          </w:tcPr>
          <w:p w14:paraId="15E58F9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пуш. ВЯ кал. 23 мм</w:t>
            </w:r>
          </w:p>
        </w:tc>
      </w:tr>
      <w:tr w:rsidR="006331D6" w:rsidRPr="007224C3" w14:paraId="4EAE00A6" w14:textId="77777777">
        <w:tc>
          <w:tcPr>
            <w:tcW w:w="5636" w:type="dxa"/>
          </w:tcPr>
          <w:p w14:paraId="02BB6BE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6B26E86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пул. 4БТ кал. 12,7 мм</w:t>
            </w:r>
          </w:p>
        </w:tc>
      </w:tr>
      <w:tr w:rsidR="006331D6" w:rsidRPr="007224C3" w14:paraId="7393F6FB" w14:textId="77777777">
        <w:tc>
          <w:tcPr>
            <w:tcW w:w="5636" w:type="dxa"/>
          </w:tcPr>
          <w:p w14:paraId="045BB34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Размах самолета</w:t>
            </w:r>
          </w:p>
        </w:tc>
        <w:tc>
          <w:tcPr>
            <w:tcW w:w="5636" w:type="dxa"/>
          </w:tcPr>
          <w:p w14:paraId="4CF87B0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33 м</w:t>
            </w:r>
          </w:p>
        </w:tc>
      </w:tr>
      <w:tr w:rsidR="006331D6" w:rsidRPr="007224C3" w14:paraId="286069DE" w14:textId="77777777">
        <w:tc>
          <w:tcPr>
            <w:tcW w:w="5636" w:type="dxa"/>
          </w:tcPr>
          <w:p w14:paraId="0E76F3A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Длина</w:t>
            </w:r>
          </w:p>
        </w:tc>
        <w:tc>
          <w:tcPr>
            <w:tcW w:w="5636" w:type="dxa"/>
          </w:tcPr>
          <w:p w14:paraId="046EC3F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м</w:t>
            </w:r>
          </w:p>
        </w:tc>
      </w:tr>
      <w:tr w:rsidR="006331D6" w:rsidRPr="007224C3" w14:paraId="0144784C" w14:textId="77777777">
        <w:tc>
          <w:tcPr>
            <w:tcW w:w="5636" w:type="dxa"/>
          </w:tcPr>
          <w:p w14:paraId="15CA37A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Высота</w:t>
            </w:r>
          </w:p>
        </w:tc>
        <w:tc>
          <w:tcPr>
            <w:tcW w:w="5636" w:type="dxa"/>
          </w:tcPr>
          <w:p w14:paraId="09C5B88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7,4 м</w:t>
            </w:r>
          </w:p>
        </w:tc>
      </w:tr>
    </w:tbl>
    <w:p w14:paraId="3AC7B50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Макет самолета ЛЛ-143 утвержден макетной комиссией ВВС ВМФ и одобрен Наркомом ВМФ адмиралом Кузнецовым.</w:t>
      </w:r>
    </w:p>
    <w:p w14:paraId="1A77C67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Срок выпуска 1 экз. опытного самолета на заводские испытания 1 августа 1944 года (1825).</w:t>
      </w:r>
    </w:p>
    <w:p w14:paraId="0004FBF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43634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января 1946 г. по приказу НКАП № 4с для расширения опытной базы и опытных работ по геликоптеростроению и ввиду неприспособленности завода № 381 ОКБ-3 перебазировано на площадку филиала № 1 завода № 381 НКАП ( г. Москва ул. 2-я Рыбинская, 17). Филиал передан как опытная база со всем имуществом и личным составом в подчинение ОКБ-3 из 1ГУ в 7ГУ.</w:t>
      </w:r>
    </w:p>
    <w:p w14:paraId="6643D91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1948 г. ОКБ-3 МАИ Братухина переведено в МАП и образовано ОКБ-3 МАП под его руководством. На базе ОКБ-3 в соответствии с пост. СМ СССР № 3658-1485 от 29.09.1948 г. и приказом № 772 от 4.10.1948 г. вновь образован завод № 3 МАП.</w:t>
      </w:r>
    </w:p>
    <w:p w14:paraId="53EBD6D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Приказом МАП от 05.1948 г. задавалась разработка реактивного вертолета с ПВРД или ПуВРД. Для этого распоряжением МАП от 12.1948 г. из состава ОКБ-3 выделена группа конструкторов СБИЖ (Ю.Л. Старинин- военпред ОКБ, Ю.С. Брагинский, Б</w:t>
      </w:r>
      <w:r w:rsidRPr="007224C3">
        <w:rPr>
          <w:rFonts w:ascii="Times New Roman" w:hAnsi="Times New Roman"/>
          <w:iCs/>
          <w:color w:val="000000" w:themeColor="text1"/>
          <w:sz w:val="16"/>
          <w:szCs w:val="16"/>
        </w:rPr>
        <w:t xml:space="preserve"> .Я.</w:t>
      </w:r>
      <w:r w:rsidRPr="007224C3">
        <w:rPr>
          <w:rFonts w:ascii="Times New Roman" w:hAnsi="Times New Roman"/>
          <w:color w:val="000000" w:themeColor="text1"/>
          <w:sz w:val="16"/>
          <w:szCs w:val="16"/>
        </w:rPr>
        <w:t xml:space="preserve"> Жеребцов), работавшая при ГСОЗ № 3 МАП.</w:t>
      </w:r>
    </w:p>
    <w:p w14:paraId="199ECD2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10.1951 г. после совещания авиастроителей в Кремле, где была поставлена задача создания тяжелого вертолета, ОКБ-3 Братухина закрыто, завод передан Милю. После закрытия ОКБ Братухин назначен начальником вертолетного отдела БНТИ ЦАГИ, затем- на преподавательской работе.</w:t>
      </w:r>
    </w:p>
    <w:p w14:paraId="7C30339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конструктор (1944-51 г.)- И.П. Братухин.</w:t>
      </w:r>
    </w:p>
    <w:p w14:paraId="6038286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Ведущие инженеры по испытаниям: (-1946-47 г.-)- Д.Т. Мацицкий, (1947 г.)-  Г.В. Ремезов.</w:t>
      </w:r>
    </w:p>
    <w:p w14:paraId="6573F87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iCs/>
          <w:color w:val="000000" w:themeColor="text1"/>
          <w:sz w:val="16"/>
          <w:szCs w:val="16"/>
        </w:rPr>
        <w:t>Создано:</w:t>
      </w:r>
      <w:r w:rsidRPr="007224C3">
        <w:rPr>
          <w:rFonts w:ascii="Times New Roman" w:hAnsi="Times New Roman"/>
          <w:color w:val="000000" w:themeColor="text1"/>
          <w:sz w:val="16"/>
          <w:szCs w:val="16"/>
        </w:rPr>
        <w:t xml:space="preserve"> опытные вертолеты: «Омега» (08.1941 г.), «Омега II», Г-3, Г-4, Б-5, Б-9, Б-10, Б-11 (11982).</w:t>
      </w:r>
    </w:p>
    <w:p w14:paraId="2D10251B" w14:textId="77777777" w:rsidR="00264F92" w:rsidRPr="007224C3" w:rsidRDefault="00264F92"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6C4CE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января 1944 Нач. 1 отдела НИИ ВВС Рудинцев письмом N 1/03 направил в Секретариат НКАП А.И.Ш. для включения в Альбом по самолетам 1943 дополнительно карточки, составленные по результатам испытаний самолетов:</w:t>
      </w:r>
    </w:p>
    <w:p w14:paraId="58CF40C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Пе-2 2М-105ПФ N 3/198</w:t>
      </w:r>
    </w:p>
    <w:p w14:paraId="21F55D6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Харрикейн П Д N КХ-305 (1821,36).</w:t>
      </w:r>
    </w:p>
    <w:p w14:paraId="5D0DE27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B6784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января 1944 Нач. 1 отдела НИИ ВВС Рудинцев письмом N 1/03 направил в Секретариат НКАП А.И.Ш. для включения в Альбом по самолетам 1943 дополнительно карточки, составленные по результатам испытаний самолетов:</w:t>
      </w:r>
    </w:p>
    <w:p w14:paraId="0B301AD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Як-3 М-105ПФ с норм. наддувом</w:t>
      </w:r>
    </w:p>
    <w:p w14:paraId="4F82CA6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Як-7Б М-105ПФ N 821536</w:t>
      </w:r>
    </w:p>
    <w:p w14:paraId="679AB30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Дуглас А-20-G N 253553</w:t>
      </w:r>
    </w:p>
    <w:p w14:paraId="34D2A11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Дуглас А-20-G N 253914</w:t>
      </w:r>
    </w:p>
    <w:p w14:paraId="0F7B5DE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Дуглас А-20-G N 286564</w:t>
      </w:r>
    </w:p>
    <w:p w14:paraId="0ACF342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Ме-109С-4</w:t>
      </w:r>
    </w:p>
    <w:p w14:paraId="4A0F801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Мотопланер МП 2М-11Ф (1821,33).</w:t>
      </w:r>
    </w:p>
    <w:p w14:paraId="4FB21C1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EBA1F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января 1944 был отпечатан Отчет завода № 21 по основной деятельности за 1943</w:t>
      </w:r>
    </w:p>
    <w:p w14:paraId="30B1B99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 2-м квартале 1943 по решению ГКО завод должен был освоить производство модифицированного с-та Ла-5 с М-82ФН не снижая графика.</w:t>
      </w:r>
    </w:p>
    <w:p w14:paraId="2D2940C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соответствии с постановление ГКО от 17 июля 1943 № 375 в 3-м квартале 1943 завод д.б. увеличить выпуск боевых машин с резким переходом на модификацию с-та Ла-5 с М-82 ФН с металлическим лонжероном.</w:t>
      </w:r>
    </w:p>
    <w:p w14:paraId="22A7D0B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Суточный выпуск д.б. доведен до 15 вместо 11-12 в конце 1942</w:t>
      </w:r>
    </w:p>
    <w:p w14:paraId="1AFFBB7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Годовая программа по сдаче выполнена на 110,3%</w:t>
      </w:r>
    </w:p>
    <w:p w14:paraId="5FC70DF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Ла-5 М-82 и М-82Ф план - 3173, выполнен 3661 - 115,2%</w:t>
      </w:r>
    </w:p>
    <w:p w14:paraId="727042E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Ла-5ФН план - 1058, выпущено 991 (94%)</w:t>
      </w:r>
    </w:p>
    <w:p w14:paraId="57C3874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ЛаГГ-3 - план -, выпущено 17</w:t>
      </w:r>
    </w:p>
    <w:p w14:paraId="0328EC3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 план 4231, выпуск - 4669 - 110,3%</w:t>
      </w:r>
    </w:p>
    <w:p w14:paraId="53F98E8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Недовыполнение плана по Ла-5ФН - трудности завода № 19 по выпуску М-82ФН</w:t>
      </w:r>
    </w:p>
    <w:p w14:paraId="27DEC25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сравнению с 1942 выпуск вырос на 58,2% (696,13).</w:t>
      </w:r>
    </w:p>
    <w:p w14:paraId="27D3666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0BE6C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января 1944 года нарком текстильной промышленности Акимов писал письмо №Т-109-20 зам. председателя СНК Косыгину А.Н.</w:t>
      </w:r>
    </w:p>
    <w:p w14:paraId="07A1B2C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НК текстиль просит поставить перед ГОКО вопрос о возвращении в НК текстиль, переданные в наркоматы оборонного значения:</w:t>
      </w:r>
    </w:p>
    <w:p w14:paraId="6153EBE2" w14:textId="77777777" w:rsidR="003712D9" w:rsidRPr="007224C3" w:rsidRDefault="003712D9" w:rsidP="007224C3">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Бывш. завод им. XIII годовщины Октября, ныне завод № 746 НКМВ.</w:t>
      </w:r>
    </w:p>
    <w:p w14:paraId="6B8D1F68" w14:textId="77777777" w:rsidR="003712D9" w:rsidRPr="007224C3" w:rsidRDefault="003712D9" w:rsidP="007224C3">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Бывш. Киевский экспериментальный завод, ныне филиал завода № 454 НКАП (8933).</w:t>
      </w:r>
    </w:p>
    <w:p w14:paraId="1FFABE9C" w14:textId="77777777" w:rsidR="003712D9" w:rsidRPr="007224C3" w:rsidRDefault="003712D9" w:rsidP="007224C3">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716F3AD0"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53303D1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CA47B2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января 1944 г. было подготовлено ЗАКЛЮЧЕНИЕ ПО ПРЕДЛОЖЕНИЮ тт. ЯНОВА И БОРОДИНА -«МЕТАЛЛИЧЕСКИЕ СЕТКИ ДЛЯ ЗАЩИТЫ ТАНКОВ ОТ ОГНЕСМЕСЕЙ»</w:t>
      </w:r>
    </w:p>
    <w:p w14:paraId="4D16C67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Авторы предлагают все щели и окна в корпусе танка закрывать изнутри металлической сеткой для предотвращения проникновения огня внутрь танка, вместе с горючей жидкостью.</w:t>
      </w:r>
    </w:p>
    <w:p w14:paraId="7DC9928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заявлению авторов, сетки не должны иметь на своей поверхности порошкообразных веществ.</w:t>
      </w:r>
    </w:p>
    <w:p w14:paraId="3907658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Соблюсти это требование в действительных условиях эксплуатации и боевого использования танков — невозможно, вследствие неизбежности попадания на сетку пыли.</w:t>
      </w:r>
    </w:p>
    <w:p w14:paraId="6BCF3BF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Поэтому проведение дальнейших экспериментов по данному предложению нецелесообразно.</w:t>
      </w:r>
    </w:p>
    <w:p w14:paraId="083C74F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8-го отдела ТУ ГБТУ КА инженер-подполковник Фролов</w:t>
      </w:r>
    </w:p>
    <w:p w14:paraId="125FA92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38. Оп. 11350. Д. 2140. Л. 11. Подлинник (11403).</w:t>
      </w:r>
    </w:p>
    <w:p w14:paraId="7AE9285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5DBC7B86"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января 1944 вышло Постановление ГКО № 4917 Об ускорении погрузочно-разгрузочных работ и сокращении простоя вагонов на подъездных путях промышленных предприятий. (7169, 1-5,6-43).</w:t>
      </w:r>
    </w:p>
    <w:p w14:paraId="22DBA444"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F397D59"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3B8AA57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0FA6972" w14:textId="77777777" w:rsidR="00264F92" w:rsidRPr="007224C3" w:rsidRDefault="00264F92"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10 января</w:t>
      </w:r>
      <w:r w:rsidRPr="007224C3">
        <w:rPr>
          <w:rFonts w:ascii="Times New Roman" w:hAnsi="Times New Roman"/>
          <w:color w:val="000000" w:themeColor="text1"/>
          <w:sz w:val="16"/>
          <w:szCs w:val="16"/>
        </w:rPr>
        <w:t xml:space="preserve"> в 1944 году оперативная сводка Совинформбюро:</w:t>
      </w:r>
    </w:p>
    <w:p w14:paraId="31AC227E" w14:textId="77777777" w:rsidR="00264F92" w:rsidRPr="007224C3" w:rsidRDefault="00264F9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«Войска 1-го УКраинского фронта, продолжая наступление,овладели районными центрами Ровенской области Березно, Людвиполь, районным центром Житомирской области Любар, районными центрами Винницкой области Вороновица, Немиров, районным центром Киевской области Маньковка, а также с боями заняли более 60 </w:t>
      </w:r>
      <w:r w:rsidRPr="007224C3">
        <w:rPr>
          <w:rFonts w:ascii="Times New Roman" w:hAnsi="Times New Roman"/>
          <w:color w:val="000000" w:themeColor="text1"/>
          <w:sz w:val="16"/>
          <w:szCs w:val="16"/>
        </w:rPr>
        <w:lastRenderedPageBreak/>
        <w:t>других населённых пунктов, в том числе крупные населённые пункты Глезна, Великие Деревичи, Стрижевка, Коваленки, Мотрунки, Полеваяслободка, Подорожна, Крапивна, Фридрово, Юровка, Волчинец, Чернички, Комаров, Степановка, Байраковка, Хвостовцы, Яры, Бандуровка, Красненькое, Подвысокое, Владиславчик, Поповка Конела, Соколовка, Нестеровка, Ивановка, Подобна, Крачковка и железнодорожную станцию Яроватка. Железная дорога Смела—Христиновка перерезана нашими войсками.</w:t>
      </w:r>
    </w:p>
    <w:p w14:paraId="33B3FAB7" w14:textId="77777777" w:rsidR="00264F92" w:rsidRPr="007224C3" w:rsidRDefault="00264F9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Наши войска северо-западнее и западнее Кировограда продолжали наступление и овладели районным центром Кировоградской области Каменка-Шевченковская, а также с боями заняли более 50 других населённых пунктов и среди них крупные населённые пункты Малый Бузуков, Головятино, Сунки, Плискачёвка, Завадовка, Михайловка, Грушевка, Ребедайловка, Пляковка, Томашевка, Бондырево, Ставидло, Шпаково, Сентово, Аврамовка, Алексеевка и железнодорожную станцию Каменка.</w:t>
      </w:r>
    </w:p>
    <w:p w14:paraId="1AA60823" w14:textId="77777777" w:rsidR="00264F92" w:rsidRPr="007224C3" w:rsidRDefault="00264F9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Окружённые в районе севернее Кировограда остатки разгромленных трёх танковых, одной моторизованной и одной пехотной дивизий немцев, ввиду отказа сложить оружие, большей частью, уничтожены нашими войсками; лишь незначительным и разрозненным группам противника удалось разбежаться. В этом районе нашими войсками захвачено у немцев 90 танков, 114 орудий разных калибров, из них 26 самоходных, 124 миномёта, 287 пулемётов и другие трофеи. На поле боя осталосьсвыше 8.000 трупов немецких солдат и офицеров.</w:t>
      </w:r>
    </w:p>
    <w:p w14:paraId="6E92EF65" w14:textId="77777777" w:rsidR="00264F92" w:rsidRPr="007224C3" w:rsidRDefault="00264F9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 разведка, артиллерийско-миномётная перестрелка и в ряде пунктов бои местного значения.</w:t>
      </w:r>
    </w:p>
    <w:p w14:paraId="15F6D6E0" w14:textId="77777777" w:rsidR="00264F92" w:rsidRPr="007224C3" w:rsidRDefault="00264F9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9 января наши войска на всех фронтах подбили и уничтожили 58 немецких танков. В воздушных боях и огнём зенитной артиллерии сбито 32 самолёта противника.</w:t>
      </w:r>
    </w:p>
    <w:p w14:paraId="399E197B" w14:textId="77777777" w:rsidR="00264F92" w:rsidRPr="007224C3" w:rsidRDefault="00264F9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1-го Украинского фронта продолжали наступление. Части Н-ского соединения, успешно продвигаясь вперед, заняли ряд населённых пунктов, в том числе районные центры Ровенской области Березно и Людвиполь. В бою за один опорный пункт наши бойцы совместно с ровенским партизанским отрядом уничтожили батальон немецкой пехоты, захватили 12 орудий и большой склад боеприпасов. Взяты в плен две роты гитлеровцев. В результате ожесточённых боёв наши войска овладели важным узлом грунтовых дорог, районным центром Житомирской области Любар. Противник, пытаясь восстановить положение в этом районе, предпринял несколько ожесточённых контратак, но был отброшен с большими для него потерями.</w:t>
      </w:r>
    </w:p>
    <w:p w14:paraId="01444FD1" w14:textId="77777777" w:rsidR="00264F92" w:rsidRPr="007224C3" w:rsidRDefault="00264F9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Наши войска, развивая наступление в южном направлении, заняли районный центрКиевской области Маньковка, районные центры Винницкой области Вореповица и Немиров. Овладев станцией Яроватка, советские войска перерезали важнейшую коммуникацию немцев — железную дорогу Смела-Христиновка. За день боёв уничтоженодо 4 тысяч немецких солдат и офицеров, сожжено и подбито 30 танков и самоходных орудий. Захвачено много трофеев и пленных.</w:t>
      </w:r>
    </w:p>
    <w:p w14:paraId="34B6A705" w14:textId="77777777" w:rsidR="00264F92" w:rsidRPr="007224C3" w:rsidRDefault="00264F9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Севернее Кировограда наши войска окружили группу войск противника, состоявшую из остатков разгромленных 3 танковых, одной моторизованной и одной пехотной немецких дивизий. В течение трёх дней немцы, пытаясь вырваться из окружения, предпринимали отчаянные контратаки, но каждый раз отбрасывались назад, оставляя на поле боя тысячи трупов своих солдат и офицеров. Сегодня наши войска нанесли противнику, отказавшемуся сложить оружие, решающий удар и ликвидировали окружённую группу немецких войск.</w:t>
      </w:r>
    </w:p>
    <w:p w14:paraId="5E323718" w14:textId="77777777" w:rsidR="00264F92" w:rsidRPr="007224C3" w:rsidRDefault="00264F9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Развивая наступление советские войска овладели районным центром Кировоградской области Каменка-Шевченковская и заняли более 50 других населённых пунктов. Части Н-ского соединения западнее города Кировограда уничтожили до полка немецкой пехоты, сожгли и подбили 27 танков, 3 самоходных орудия и 14 бронетранспортёров. Захвачены трофеи, в числе которых 48 орудий, много автомашини крупные склады противника. Взято большое число пленных.</w:t>
      </w:r>
    </w:p>
    <w:p w14:paraId="4778759D" w14:textId="77777777" w:rsidR="00264F92" w:rsidRPr="007224C3" w:rsidRDefault="00264F9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Партизанский отряд, действующий в Одесской области, пустил под откос два немецких воинских эшелона, следовавших к линии фронта. В результате крушений убито и ранено до 200 гитлеровцев. Движение поездов на этом участке было прервано в течение суток. Группа молдавских партизан взорвала железнодорожный мост и огнём из противотанковых ружей вывела из строя четыре паровоза.</w:t>
      </w:r>
    </w:p>
    <w:p w14:paraId="7344DAC1" w14:textId="77777777" w:rsidR="00264F92" w:rsidRPr="007224C3" w:rsidRDefault="00264F9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Среди немецких документов, захваченных нашими войсками, обнаружено секретное предписание командования 8 немецкой армии за № 1930/43 от 12 сентября 1943 г., адресованное командованию 11 немецкого армейского корпуса. В этом документе говорится: «Подготовительные работы по разрушению Карловки возглавляет капитанКлинг — командир 2-й роты 407 моторизованного мостостроительного батальона, уже находящийся со своей командой севернее моста на восточной окраине Карловки. Приказ о разрушении должен быть отдан командованием 11 армейского корпуса». На этом документе имеется собственноручная резолюция командующего 11 армейским корпусом генерала Рауса: «Начальнику инженерной службы. Прошу заблаговременно представить план разрушения. Раус».</w:t>
      </w:r>
    </w:p>
    <w:p w14:paraId="33890C55" w14:textId="77777777" w:rsidR="00264F92" w:rsidRPr="007224C3" w:rsidRDefault="00264F9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Что же из себя представляет Карловка, о разрушении которой заботились столь высокие чины германской армии? Село Карловка — районный центр Полтавскойобласти. Его жители занимаются земледелием. В селе не было и нет никаких военных объектов. Немецкий генерал, таким образом, приказал сжечь жилые дома мирных жителей этого села. Впрочем, немецкие генералы не только утверждают разбойничьи планы и издают преступные приказы. Например, командир 106 немецкой пехотнойдивизии генерал Форст давал своим солдатам наглядные уроки, как сжигать дома мирных советских граждан. Пленный обер-ефрейтор Карл Буккем рассказал: «Я сам видел, как командир 106 пехотной дивизии генерал-лейтенант Форст поджёг жилойдом, в котором находились женщины и дети. После этого Форст приказал солдатам сжечь все остальные дома».</w:t>
      </w:r>
    </w:p>
    <w:p w14:paraId="2BAAFA36" w14:textId="77777777" w:rsidR="00264F92" w:rsidRPr="007224C3" w:rsidRDefault="00264F9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Придёт время, когда генералы Раус и Форст, как и другие гитлеровские бандиты, будут посажены на скамью подсудимых. Тогда они ответят за все злодеяния,совершённые ими на советской земле.» (15005).</w:t>
      </w:r>
    </w:p>
    <w:p w14:paraId="594DC195" w14:textId="77777777" w:rsidR="00264F92" w:rsidRPr="007224C3" w:rsidRDefault="00264F92" w:rsidP="007224C3">
      <w:pPr>
        <w:spacing w:after="0" w:line="240" w:lineRule="auto"/>
        <w:jc w:val="both"/>
        <w:rPr>
          <w:rFonts w:ascii="Times New Roman" w:hAnsi="Times New Roman"/>
          <w:color w:val="000000" w:themeColor="text1"/>
          <w:sz w:val="16"/>
          <w:szCs w:val="16"/>
        </w:rPr>
      </w:pPr>
    </w:p>
    <w:p w14:paraId="1708546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января 1944 окруженные части противника были ликвидированы. Генерал Рязанов лично осмотрел поле боя и установил, что в районах Лепековки и Балки Злодейки штурмовиками корпуса уничтожено и повреждено около 400 автомашин, 52 танка, 50 самоходных орудий.</w:t>
      </w:r>
    </w:p>
    <w:p w14:paraId="359B0D7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 оставались без внимания и коммуникации противника. Когда разведка установила скопление эшелонов с боевой техникой на ст. Смела, генерал Рязанов, несмотря на сплошной туман и проливной дождь, принял решение послать двух-трех добровольцев из числа наиболее опытных летчиков. Дело в том, что нужно было не только нанести удар по станции, но и в такую погоду вернуться на свой аэродром.</w:t>
      </w:r>
    </w:p>
    <w:p w14:paraId="18609FD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боевое задание вылетела пара от 667-го шап в составе лейтенантов Михай- личенко и Чечелашвили. Для обеспечения внезапности налета маршрут проложили с таким расчетом, чтобы большую часть времени лететь над лесом, а выход на станцию выполнить со стороны территории противника.</w:t>
      </w:r>
    </w:p>
    <w:p w14:paraId="4DDFEBF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 самой цели штурмовики шли на бреющем. Подняться выше мешали облака. Километра за три до станции Михайличенко заметил паровозные дымы. Ориентируясь по ним, экипажи выполнили небольшую горку и перевели самолеты в пологое планирование. Сначала эшелоны обстреляли реактивными снарядами и пулеметно-пушечным огнем, а затем сбросили бомбы. Когда Ил-2 уходили от цели, на станции бушевали пожары и рвались боеприпасы. Зенитный огонь немцы открыть так и не успели...</w:t>
      </w:r>
    </w:p>
    <w:p w14:paraId="226D4BA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Второй удар по ст. Смела показал, что противник ошибок не прощает. Перед вылетом летчики решили не менять маршрут. И за это поплатились. Именно с опушки леса на подходе к станции их встретил плотный зенитный огонь. Самолет Михайличенко получил повреждения. Летчик развернул Ил-2 в сторону своей территории. На подходе к Днепру мотор остановился. Пришлось садиться на нейтральной полосе. Немцы сразу же накрыли самолет минометным огнем. Однако Михайличенко и воздушному стрелку удалось добраться до своих окопов (12020).</w:t>
      </w:r>
    </w:p>
    <w:p w14:paraId="55FC6AC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СПРАВКА НАЧАЛЬНИКА ГБТУ КА О НАЛИЧИИ АЭРОСАННЫХ ЧАСТЕЙ НА 10.01.1944 г.</w:t>
      </w:r>
    </w:p>
    <w:tbl>
      <w:tblPr>
        <w:tblW w:w="0" w:type="auto"/>
        <w:tblInd w:w="40" w:type="dxa"/>
        <w:tblLayout w:type="fixed"/>
        <w:tblCellMar>
          <w:left w:w="40" w:type="dxa"/>
          <w:right w:w="40" w:type="dxa"/>
        </w:tblCellMar>
        <w:tblLook w:val="0000" w:firstRow="0" w:lastRow="0" w:firstColumn="0" w:lastColumn="0" w:noHBand="0" w:noVBand="0"/>
      </w:tblPr>
      <w:tblGrid>
        <w:gridCol w:w="1632"/>
        <w:gridCol w:w="1699"/>
        <w:gridCol w:w="1699"/>
        <w:gridCol w:w="1843"/>
        <w:gridCol w:w="1872"/>
      </w:tblGrid>
      <w:tr w:rsidR="006331D6" w:rsidRPr="007224C3" w14:paraId="5FEDC99A" w14:textId="77777777">
        <w:trPr>
          <w:trHeight w:val="269"/>
        </w:trPr>
        <w:tc>
          <w:tcPr>
            <w:tcW w:w="1632" w:type="dxa"/>
            <w:tcBorders>
              <w:top w:val="single" w:sz="6" w:space="0" w:color="auto"/>
              <w:left w:val="single" w:sz="6" w:space="0" w:color="auto"/>
              <w:bottom w:val="nil"/>
              <w:right w:val="single" w:sz="6" w:space="0" w:color="auto"/>
            </w:tcBorders>
          </w:tcPr>
          <w:p w14:paraId="4F9A6DE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Где находятся</w:t>
            </w:r>
          </w:p>
          <w:p w14:paraId="7277F80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98" w:type="dxa"/>
            <w:gridSpan w:val="2"/>
            <w:tcBorders>
              <w:top w:val="single" w:sz="6" w:space="0" w:color="auto"/>
              <w:left w:val="single" w:sz="6" w:space="0" w:color="auto"/>
              <w:bottom w:val="single" w:sz="6" w:space="0" w:color="auto"/>
              <w:right w:val="single" w:sz="6" w:space="0" w:color="auto"/>
            </w:tcBorders>
          </w:tcPr>
          <w:p w14:paraId="7F7444E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Отдельные аэросанные батальоны</w:t>
            </w:r>
          </w:p>
          <w:p w14:paraId="2A84D3B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Borders>
              <w:top w:val="single" w:sz="6" w:space="0" w:color="auto"/>
              <w:left w:val="single" w:sz="6" w:space="0" w:color="auto"/>
              <w:bottom w:val="nil"/>
              <w:right w:val="single" w:sz="6" w:space="0" w:color="auto"/>
            </w:tcBorders>
          </w:tcPr>
          <w:p w14:paraId="44BC214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Резервные аэросанные роты</w:t>
            </w:r>
          </w:p>
          <w:p w14:paraId="005560F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72" w:type="dxa"/>
            <w:tcBorders>
              <w:top w:val="single" w:sz="6" w:space="0" w:color="auto"/>
              <w:left w:val="single" w:sz="6" w:space="0" w:color="auto"/>
              <w:bottom w:val="nil"/>
              <w:right w:val="single" w:sz="6" w:space="0" w:color="auto"/>
            </w:tcBorders>
          </w:tcPr>
          <w:p w14:paraId="667476E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Отдельные ремонтные аэросанные роты</w:t>
            </w:r>
          </w:p>
          <w:p w14:paraId="1D018F9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6A8C9F55" w14:textId="77777777">
        <w:trPr>
          <w:trHeight w:val="259"/>
        </w:trPr>
        <w:tc>
          <w:tcPr>
            <w:tcW w:w="1632" w:type="dxa"/>
            <w:tcBorders>
              <w:top w:val="nil"/>
              <w:left w:val="single" w:sz="6" w:space="0" w:color="auto"/>
              <w:bottom w:val="single" w:sz="6" w:space="0" w:color="auto"/>
              <w:right w:val="single" w:sz="6" w:space="0" w:color="auto"/>
            </w:tcBorders>
          </w:tcPr>
          <w:p w14:paraId="405BF28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22753B1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0668540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Боевые</w:t>
            </w:r>
          </w:p>
          <w:p w14:paraId="6B6C10E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2BD1DDB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Транспортные</w:t>
            </w:r>
          </w:p>
          <w:p w14:paraId="2D328C5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Borders>
              <w:top w:val="nil"/>
              <w:left w:val="single" w:sz="6" w:space="0" w:color="auto"/>
              <w:bottom w:val="single" w:sz="6" w:space="0" w:color="auto"/>
              <w:right w:val="single" w:sz="6" w:space="0" w:color="auto"/>
            </w:tcBorders>
          </w:tcPr>
          <w:p w14:paraId="073FCD6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5B8182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72" w:type="dxa"/>
            <w:tcBorders>
              <w:top w:val="nil"/>
              <w:left w:val="single" w:sz="6" w:space="0" w:color="auto"/>
              <w:bottom w:val="single" w:sz="6" w:space="0" w:color="auto"/>
              <w:right w:val="single" w:sz="6" w:space="0" w:color="auto"/>
            </w:tcBorders>
          </w:tcPr>
          <w:p w14:paraId="72825B7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FAD36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1FD1443E" w14:textId="77777777">
        <w:trPr>
          <w:trHeight w:val="278"/>
        </w:trPr>
        <w:tc>
          <w:tcPr>
            <w:tcW w:w="1632" w:type="dxa"/>
            <w:tcBorders>
              <w:top w:val="single" w:sz="6" w:space="0" w:color="auto"/>
              <w:left w:val="single" w:sz="6" w:space="0" w:color="auto"/>
              <w:bottom w:val="single" w:sz="6" w:space="0" w:color="auto"/>
              <w:right w:val="single" w:sz="6" w:space="0" w:color="auto"/>
            </w:tcBorders>
          </w:tcPr>
          <w:p w14:paraId="2FC9715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фронтах</w:t>
            </w:r>
          </w:p>
          <w:p w14:paraId="5E0D30C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3B1521E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w:t>
            </w:r>
          </w:p>
          <w:p w14:paraId="34C26C1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21B8972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w:t>
            </w:r>
          </w:p>
          <w:p w14:paraId="418B77E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Borders>
              <w:top w:val="single" w:sz="6" w:space="0" w:color="auto"/>
              <w:left w:val="single" w:sz="6" w:space="0" w:color="auto"/>
              <w:bottom w:val="single" w:sz="6" w:space="0" w:color="auto"/>
              <w:right w:val="single" w:sz="6" w:space="0" w:color="auto"/>
            </w:tcBorders>
          </w:tcPr>
          <w:p w14:paraId="1E82BBD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w:t>
            </w:r>
          </w:p>
          <w:p w14:paraId="186E184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72" w:type="dxa"/>
            <w:tcBorders>
              <w:top w:val="single" w:sz="6" w:space="0" w:color="auto"/>
              <w:left w:val="single" w:sz="6" w:space="0" w:color="auto"/>
              <w:bottom w:val="single" w:sz="6" w:space="0" w:color="auto"/>
              <w:right w:val="single" w:sz="6" w:space="0" w:color="auto"/>
            </w:tcBorders>
          </w:tcPr>
          <w:p w14:paraId="52A6337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p w14:paraId="4D10FD4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3F62AF23" w14:textId="77777777">
        <w:trPr>
          <w:trHeight w:val="278"/>
        </w:trPr>
        <w:tc>
          <w:tcPr>
            <w:tcW w:w="1632" w:type="dxa"/>
            <w:tcBorders>
              <w:top w:val="single" w:sz="6" w:space="0" w:color="auto"/>
              <w:left w:val="single" w:sz="6" w:space="0" w:color="auto"/>
              <w:bottom w:val="single" w:sz="6" w:space="0" w:color="auto"/>
              <w:right w:val="single" w:sz="6" w:space="0" w:color="auto"/>
            </w:tcBorders>
          </w:tcPr>
          <w:p w14:paraId="3A33C1E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округах</w:t>
            </w:r>
          </w:p>
          <w:p w14:paraId="6EA1E04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5324FFB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p w14:paraId="4D7220A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2E5BDAC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w:t>
            </w:r>
          </w:p>
          <w:p w14:paraId="14E5911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Borders>
              <w:top w:val="single" w:sz="6" w:space="0" w:color="auto"/>
              <w:left w:val="single" w:sz="6" w:space="0" w:color="auto"/>
              <w:bottom w:val="single" w:sz="6" w:space="0" w:color="auto"/>
              <w:right w:val="single" w:sz="6" w:space="0" w:color="auto"/>
            </w:tcBorders>
          </w:tcPr>
          <w:p w14:paraId="45FADB3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w:t>
            </w:r>
          </w:p>
          <w:p w14:paraId="43B7D27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72" w:type="dxa"/>
            <w:tcBorders>
              <w:top w:val="single" w:sz="6" w:space="0" w:color="auto"/>
              <w:left w:val="single" w:sz="6" w:space="0" w:color="auto"/>
              <w:bottom w:val="single" w:sz="6" w:space="0" w:color="auto"/>
              <w:right w:val="single" w:sz="6" w:space="0" w:color="auto"/>
            </w:tcBorders>
          </w:tcPr>
          <w:p w14:paraId="7E12467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p w14:paraId="1E26539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190290A3" w14:textId="77777777">
        <w:trPr>
          <w:trHeight w:val="298"/>
        </w:trPr>
        <w:tc>
          <w:tcPr>
            <w:tcW w:w="1632" w:type="dxa"/>
            <w:tcBorders>
              <w:top w:val="single" w:sz="6" w:space="0" w:color="auto"/>
              <w:left w:val="single" w:sz="6" w:space="0" w:color="auto"/>
              <w:bottom w:val="single" w:sz="6" w:space="0" w:color="auto"/>
              <w:right w:val="single" w:sz="6" w:space="0" w:color="auto"/>
            </w:tcBorders>
          </w:tcPr>
          <w:p w14:paraId="47E5AA4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w:t>
            </w:r>
          </w:p>
          <w:p w14:paraId="50C25A7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4B150D3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w:t>
            </w:r>
          </w:p>
          <w:p w14:paraId="01A931E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52ED325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w:t>
            </w:r>
          </w:p>
          <w:p w14:paraId="70B19E0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Borders>
              <w:top w:val="single" w:sz="6" w:space="0" w:color="auto"/>
              <w:left w:val="single" w:sz="6" w:space="0" w:color="auto"/>
              <w:bottom w:val="single" w:sz="6" w:space="0" w:color="auto"/>
              <w:right w:val="single" w:sz="6" w:space="0" w:color="auto"/>
            </w:tcBorders>
          </w:tcPr>
          <w:p w14:paraId="690971F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w:t>
            </w:r>
          </w:p>
          <w:p w14:paraId="2A6562A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72" w:type="dxa"/>
            <w:tcBorders>
              <w:top w:val="single" w:sz="6" w:space="0" w:color="auto"/>
              <w:left w:val="single" w:sz="6" w:space="0" w:color="auto"/>
              <w:bottom w:val="single" w:sz="6" w:space="0" w:color="auto"/>
              <w:right w:val="single" w:sz="6" w:space="0" w:color="auto"/>
            </w:tcBorders>
          </w:tcPr>
          <w:p w14:paraId="0E865F5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p w14:paraId="54032DD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1273768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Примечание:</w:t>
      </w:r>
    </w:p>
    <w:p w14:paraId="72973DE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Аэросаней в частях (в батальонах и резервных ротах) - 2716</w:t>
      </w:r>
    </w:p>
    <w:p w14:paraId="2F2DF85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Резерв аэросаней - 614</w:t>
      </w:r>
    </w:p>
    <w:p w14:paraId="119C26F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Общее количество аэросаней - 3330</w:t>
      </w:r>
    </w:p>
    <w:p w14:paraId="2E8F04D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ГБТУ КА генерал-лейтенант танковых войск Вершинин</w:t>
      </w:r>
    </w:p>
    <w:p w14:paraId="3FBA117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38. Оп. 11358. Д. 212. Л. 28. Подлинник (11403).</w:t>
      </w:r>
    </w:p>
    <w:p w14:paraId="603CB5C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1416924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10-11 января 1944 предприняли наступление 3 и 4УФ с целью разгрома противника на никопольском плацдарме. Фронты поддерживали и прикрывали 17ВА (г В.А.Судец) и 8ВА (г Т.Т.Хобкин) (340,163).</w:t>
      </w:r>
    </w:p>
    <w:p w14:paraId="40F742E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CD8056" w14:textId="77777777" w:rsidR="0054491A" w:rsidRPr="007224C3" w:rsidRDefault="0054491A"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lastRenderedPageBreak/>
        <w:t>За рубежом:</w:t>
      </w:r>
    </w:p>
    <w:p w14:paraId="2EC151D6" w14:textId="77777777" w:rsidR="0054491A" w:rsidRPr="007224C3" w:rsidRDefault="0054491A"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96D5C7A" w14:textId="77777777" w:rsidR="0054491A" w:rsidRPr="007224C3" w:rsidRDefault="0054491A" w:rsidP="007224C3">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10 января 1944 состоялся двойной налет на Софию. Около полудня над Софией появились 180 «летающих крепостей» В-17 под при</w:t>
      </w:r>
      <w:r w:rsidRPr="007224C3">
        <w:rPr>
          <w:rFonts w:ascii="Times New Roman" w:hAnsi="Times New Roman" w:cs="Times New Roman"/>
          <w:color w:val="000000" w:themeColor="text1"/>
          <w:sz w:val="16"/>
          <w:szCs w:val="16"/>
        </w:rPr>
        <w:softHyphen/>
        <w:t>крытием дальних истребителей. Вечером город бомбили 80 бри</w:t>
      </w:r>
      <w:r w:rsidRPr="007224C3">
        <w:rPr>
          <w:rFonts w:ascii="Times New Roman" w:hAnsi="Times New Roman" w:cs="Times New Roman"/>
          <w:color w:val="000000" w:themeColor="text1"/>
          <w:sz w:val="16"/>
          <w:szCs w:val="16"/>
        </w:rPr>
        <w:softHyphen/>
        <w:t>танских бомбардировщиков. В отражении обоих налетов приняли участие 70 болгарских истребителей. Согласно бюллетеню мини</w:t>
      </w:r>
      <w:r w:rsidRPr="007224C3">
        <w:rPr>
          <w:rFonts w:ascii="Times New Roman" w:hAnsi="Times New Roman" w:cs="Times New Roman"/>
          <w:color w:val="000000" w:themeColor="text1"/>
          <w:sz w:val="16"/>
          <w:szCs w:val="16"/>
        </w:rPr>
        <w:softHyphen/>
        <w:t>стерства обороны Болгарии, было сбито 12 бомбардировщиков и 6 истребителей Р-38.</w:t>
      </w:r>
    </w:p>
    <w:p w14:paraId="03819714" w14:textId="77777777" w:rsidR="0054491A" w:rsidRPr="007224C3" w:rsidRDefault="0054491A" w:rsidP="007224C3">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Американское командование объявило о сбитии 10 января 1944 г. не менее 31 истребителя, что не соответствует действитель</w:t>
      </w:r>
      <w:r w:rsidRPr="007224C3">
        <w:rPr>
          <w:rFonts w:ascii="Times New Roman" w:hAnsi="Times New Roman" w:cs="Times New Roman"/>
          <w:color w:val="000000" w:themeColor="text1"/>
          <w:sz w:val="16"/>
          <w:szCs w:val="16"/>
        </w:rPr>
        <w:softHyphen/>
        <w:t>ности, так как болгарская авиация в 1943-1944 г. всего потеряла в боях 24 истребителя, а еще 18, получив повреждения, совершили вынужденные посадки. Но это были лишь самолеты, упавшие на болгарской территории, всего на авиабазы не вернулся 31 самолет.</w:t>
      </w:r>
    </w:p>
    <w:p w14:paraId="1D8D9D2E" w14:textId="77777777" w:rsidR="0054491A" w:rsidRPr="007224C3" w:rsidRDefault="0054491A" w:rsidP="007224C3">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В Софии в тот день было убито 447 и ранено 611 человек (по другим сведениям 750 и 710 человек соответственно).</w:t>
      </w:r>
    </w:p>
    <w:p w14:paraId="5CD3A90D" w14:textId="77777777" w:rsidR="0054491A" w:rsidRPr="007224C3" w:rsidRDefault="0054491A" w:rsidP="007224C3">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Двойной налет произвел удручающее впечатление на жите</w:t>
      </w:r>
      <w:r w:rsidRPr="007224C3">
        <w:rPr>
          <w:rFonts w:ascii="Times New Roman" w:hAnsi="Times New Roman" w:cs="Times New Roman"/>
          <w:color w:val="000000" w:themeColor="text1"/>
          <w:sz w:val="16"/>
          <w:szCs w:val="16"/>
        </w:rPr>
        <w:softHyphen/>
        <w:t>лей столицы. Многие горожане (до 300 тысяч) покинули Софию, в том числе и большая часть чиновников. Закрылись школы и государственные учреждения. 23 января немецкий посол отпра</w:t>
      </w:r>
      <w:r w:rsidRPr="007224C3">
        <w:rPr>
          <w:rFonts w:ascii="Times New Roman" w:hAnsi="Times New Roman" w:cs="Times New Roman"/>
          <w:color w:val="000000" w:themeColor="text1"/>
          <w:sz w:val="16"/>
          <w:szCs w:val="16"/>
        </w:rPr>
        <w:softHyphen/>
        <w:t>вил телеграмму в Берлин: «Работы по ликвидации последствий продвигаются чрезвычайно медленно. Вода и электричество подаются лишь частично, телефон не работает. Большинство ма</w:t>
      </w:r>
      <w:r w:rsidRPr="007224C3">
        <w:rPr>
          <w:rFonts w:ascii="Times New Roman" w:hAnsi="Times New Roman" w:cs="Times New Roman"/>
          <w:color w:val="000000" w:themeColor="text1"/>
          <w:sz w:val="16"/>
          <w:szCs w:val="16"/>
        </w:rPr>
        <w:softHyphen/>
        <w:t>газинов закрыто» (19104).</w:t>
      </w:r>
    </w:p>
    <w:p w14:paraId="3F095288" w14:textId="77777777" w:rsidR="0054491A" w:rsidRPr="007224C3" w:rsidRDefault="0054491A" w:rsidP="007224C3">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24 января 1944 г. состоялся новый налет на Софию, в котором участвовало 300 американских бомбардировщиков. Однако из-за тумана янки отбомбились по городу Враца в 60 км к северу от Софии, а также по сельской местности. Было разрушено 234 зда</w:t>
      </w:r>
      <w:r w:rsidRPr="007224C3">
        <w:rPr>
          <w:rFonts w:ascii="Times New Roman" w:hAnsi="Times New Roman" w:cs="Times New Roman"/>
          <w:color w:val="000000" w:themeColor="text1"/>
          <w:sz w:val="16"/>
          <w:szCs w:val="16"/>
        </w:rPr>
        <w:softHyphen/>
        <w:t>ния, погибло 126 человек и 97 получили ранения.</w:t>
      </w:r>
    </w:p>
    <w:p w14:paraId="63AFFA14" w14:textId="77777777" w:rsidR="0054491A" w:rsidRPr="007224C3" w:rsidRDefault="0054491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Затем наступила пауза до 16 марта 1944 г., когда 50 британских бомбардировщиков совершили ночной налет на Софию. Разрушено 72 здания, убито 43 человека и ранено 58 (19104).</w:t>
      </w:r>
    </w:p>
    <w:p w14:paraId="7119C6D3" w14:textId="77777777" w:rsidR="0054491A" w:rsidRPr="007224C3" w:rsidRDefault="0054491A" w:rsidP="007224C3">
      <w:pPr>
        <w:spacing w:after="0" w:line="240" w:lineRule="auto"/>
        <w:jc w:val="both"/>
        <w:rPr>
          <w:rFonts w:ascii="Times New Roman" w:hAnsi="Times New Roman"/>
          <w:color w:val="000000" w:themeColor="text1"/>
          <w:sz w:val="16"/>
          <w:szCs w:val="16"/>
        </w:rPr>
      </w:pPr>
    </w:p>
    <w:p w14:paraId="04ED8CA2"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2838DF9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8E79627"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11 января 1944 г. главный инжене</w:t>
      </w:r>
      <w:r w:rsidRPr="007224C3">
        <w:rPr>
          <w:rFonts w:ascii="Times New Roman" w:hAnsi="Times New Roman" w:cs="Times New Roman"/>
          <w:color w:val="000000" w:themeColor="text1"/>
          <w:sz w:val="16"/>
          <w:szCs w:val="16"/>
        </w:rPr>
        <w:softHyphen/>
        <w:t>р ВВС КА генерал-полковник А.К. Ре</w:t>
      </w:r>
      <w:r w:rsidRPr="007224C3">
        <w:rPr>
          <w:rFonts w:ascii="Times New Roman" w:hAnsi="Times New Roman" w:cs="Times New Roman"/>
          <w:color w:val="000000" w:themeColor="text1"/>
          <w:sz w:val="16"/>
          <w:szCs w:val="16"/>
        </w:rPr>
        <w:softHyphen/>
        <w:t>пин утвердил Акт по испытаниям двух противотанковых самолетов «Харрикейн» 1Ю зав. №№ КХ-171 и КХ-305.</w:t>
      </w:r>
    </w:p>
    <w:p w14:paraId="57782345"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23 декабря 1943 были закончены испытания двух противотанковых самолетов «Харрикейн» 1Ю зав. №№ КХ-171 и КХ-305, которые шли сначала в НИИ ВВС, а затем в НИИАВ с 13 ноября 1943. Машины прибыли на аэродром Чкаловское 26 августа 1943 г., но начало испытаний отложили из-за задержки правых пушек и боезапаса.</w:t>
      </w:r>
    </w:p>
    <w:p w14:paraId="36EDE462"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По завершению полетов в НИИ ВВС са</w:t>
      </w:r>
      <w:r w:rsidRPr="007224C3">
        <w:rPr>
          <w:rFonts w:ascii="Times New Roman" w:hAnsi="Times New Roman" w:cs="Times New Roman"/>
          <w:color w:val="000000" w:themeColor="text1"/>
          <w:sz w:val="16"/>
          <w:szCs w:val="16"/>
        </w:rPr>
        <w:softHyphen/>
        <w:t>молет зав. № КХ-305 в феврале 1944 г. по</w:t>
      </w:r>
      <w:r w:rsidRPr="007224C3">
        <w:rPr>
          <w:rFonts w:ascii="Times New Roman" w:hAnsi="Times New Roman" w:cs="Times New Roman"/>
          <w:color w:val="000000" w:themeColor="text1"/>
          <w:sz w:val="16"/>
          <w:szCs w:val="16"/>
        </w:rPr>
        <w:softHyphen/>
        <w:t>ступил в НИИ АВ ВВС для производства кон</w:t>
      </w:r>
      <w:r w:rsidRPr="007224C3">
        <w:rPr>
          <w:rFonts w:ascii="Times New Roman" w:hAnsi="Times New Roman" w:cs="Times New Roman"/>
          <w:color w:val="000000" w:themeColor="text1"/>
          <w:sz w:val="16"/>
          <w:szCs w:val="16"/>
        </w:rPr>
        <w:softHyphen/>
        <w:t>трольных испытаний вооружения. Отчет по испытаниям утвержден начальником НИИ АВ генерал-майором М.В. Гуревичем 17 марта.</w:t>
      </w:r>
    </w:p>
    <w:p w14:paraId="5F5F6708"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Испытания в НИИ ВВС проводились объединенной бригадой специалистов 3-го и 4-го отделов института. Ведущим инженером по испытаниям был назначен инженер-капитан Рабкин (3-й отдел), его помощником - инженер-капитан Колосов (4-й отдел). На самолетах летали: летчик- испытатель 3-го отдела майор Голофастов и летчик-испытатель 4-го отдела старший лейтенант Поминальный.</w:t>
      </w:r>
    </w:p>
    <w:p w14:paraId="6A00792B"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В НИИ АВ к испытаниям привлекались специалисты 7-го отдела института: майор В.С. Полубиченко - ответственный по ис</w:t>
      </w:r>
      <w:r w:rsidRPr="007224C3">
        <w:rPr>
          <w:rFonts w:ascii="Times New Roman" w:hAnsi="Times New Roman" w:cs="Times New Roman"/>
          <w:color w:val="000000" w:themeColor="text1"/>
          <w:sz w:val="16"/>
          <w:szCs w:val="16"/>
        </w:rPr>
        <w:softHyphen/>
        <w:t>пытаниям, старший техник-лейтенант Ф.Ф. Сивцов, летчик-испытатель капитан А.В. Кусакин и механик по вооружению старший сержант Ф.Я. Анохин.</w:t>
      </w:r>
    </w:p>
    <w:p w14:paraId="2F35499A"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Всего в НИИ ВВС было выполнено 27 полетов с суммарным налетом 18 ч 40 мин, втом числе: на самолете зав. N9 КХ-305 -16 полетов (12 ч 10 мин), на самолете зав. № КХ-171 - 11 полетов (6 ч 30 мин). С начала эксплуатации мотор «Мерлин» XX №87591 на самолете зав. № КХ-305 наработал 52 ч 14 мин, а мотор № 87437 на самолете зав. № КХ-171 -71 ч 11 мин.</w:t>
      </w:r>
    </w:p>
    <w:p w14:paraId="2A5570C3"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В НИИ АВ ВВС на самолете зав. № КХ- 305 выполнили еще 9 контрольных полетов на отстрел вооружения в воздухе по воз</w:t>
      </w:r>
      <w:r w:rsidRPr="007224C3">
        <w:rPr>
          <w:rFonts w:ascii="Times New Roman" w:hAnsi="Times New Roman" w:cs="Times New Roman"/>
          <w:color w:val="000000" w:themeColor="text1"/>
          <w:sz w:val="16"/>
          <w:szCs w:val="16"/>
        </w:rPr>
        <w:softHyphen/>
        <w:t>душным и наземным целям.</w:t>
      </w:r>
    </w:p>
    <w:p w14:paraId="2AD3BE2F"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Судя по песчаному камуфляжу, само</w:t>
      </w:r>
      <w:r w:rsidRPr="007224C3">
        <w:rPr>
          <w:rFonts w:ascii="Times New Roman" w:hAnsi="Times New Roman" w:cs="Times New Roman"/>
          <w:color w:val="000000" w:themeColor="text1"/>
          <w:sz w:val="16"/>
          <w:szCs w:val="16"/>
        </w:rPr>
        <w:softHyphen/>
        <w:t>леты применялись в Северной Африке.</w:t>
      </w:r>
    </w:p>
    <w:p w14:paraId="1833E6A5"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Истребители оснащались пылефильтром, установленным на всасывающем патрубке мотора.</w:t>
      </w:r>
    </w:p>
    <w:p w14:paraId="1A240C0E"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Штурмовой вариант самолета «Харрикейн» 1Ю представлял собой серийный самолет «Харрикейн» НС с усиленным бро</w:t>
      </w:r>
      <w:r w:rsidRPr="007224C3">
        <w:rPr>
          <w:rFonts w:ascii="Times New Roman" w:hAnsi="Times New Roman" w:cs="Times New Roman"/>
          <w:color w:val="000000" w:themeColor="text1"/>
          <w:sz w:val="16"/>
          <w:szCs w:val="16"/>
        </w:rPr>
        <w:softHyphen/>
        <w:t>нированием, доработанный под установку крупнокалиберных пушек.</w:t>
      </w:r>
    </w:p>
    <w:p w14:paraId="73EF2CD4"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На самолете устанавливался дере</w:t>
      </w:r>
      <w:r w:rsidRPr="007224C3">
        <w:rPr>
          <w:rFonts w:ascii="Times New Roman" w:hAnsi="Times New Roman" w:cs="Times New Roman"/>
          <w:color w:val="000000" w:themeColor="text1"/>
          <w:sz w:val="16"/>
          <w:szCs w:val="16"/>
        </w:rPr>
        <w:softHyphen/>
        <w:t>вянный трехлопастный воздушный винт изменяемого в полете шага фирмы Ротол Н5-5/3 диаметром 3,43 м. Система разжи</w:t>
      </w:r>
      <w:r w:rsidRPr="007224C3">
        <w:rPr>
          <w:rFonts w:ascii="Times New Roman" w:hAnsi="Times New Roman" w:cs="Times New Roman"/>
          <w:color w:val="000000" w:themeColor="text1"/>
          <w:sz w:val="16"/>
          <w:szCs w:val="16"/>
        </w:rPr>
        <w:softHyphen/>
        <w:t>жения масла бензином, невыключаемый воздушный фильтр и другие агрегаты си</w:t>
      </w:r>
      <w:r w:rsidRPr="007224C3">
        <w:rPr>
          <w:rFonts w:ascii="Times New Roman" w:hAnsi="Times New Roman" w:cs="Times New Roman"/>
          <w:color w:val="000000" w:themeColor="text1"/>
          <w:sz w:val="16"/>
          <w:szCs w:val="16"/>
        </w:rPr>
        <w:softHyphen/>
        <w:t>стемы винтомоторной группы такие же, как у Мк.ПС. Вместо двух кислородных балло</w:t>
      </w:r>
      <w:r w:rsidRPr="007224C3">
        <w:rPr>
          <w:rFonts w:ascii="Times New Roman" w:hAnsi="Times New Roman" w:cs="Times New Roman"/>
          <w:color w:val="000000" w:themeColor="text1"/>
          <w:sz w:val="16"/>
          <w:szCs w:val="16"/>
        </w:rPr>
        <w:softHyphen/>
        <w:t>нов оставлен один.</w:t>
      </w:r>
    </w:p>
    <w:p w14:paraId="3997C69D"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Под крылом Мк.1Ю размещались две пушки Виккерс 5 калибра 40 мм с суммар</w:t>
      </w:r>
      <w:r w:rsidRPr="007224C3">
        <w:rPr>
          <w:rFonts w:ascii="Times New Roman" w:hAnsi="Times New Roman" w:cs="Times New Roman"/>
          <w:color w:val="000000" w:themeColor="text1"/>
          <w:sz w:val="16"/>
          <w:szCs w:val="16"/>
        </w:rPr>
        <w:softHyphen/>
        <w:t>ным боекомплектом 30 снарядов и в кры</w:t>
      </w:r>
      <w:r w:rsidRPr="007224C3">
        <w:rPr>
          <w:rFonts w:ascii="Times New Roman" w:hAnsi="Times New Roman" w:cs="Times New Roman"/>
          <w:color w:val="000000" w:themeColor="text1"/>
          <w:sz w:val="16"/>
          <w:szCs w:val="16"/>
        </w:rPr>
        <w:softHyphen/>
        <w:t>ле два пулемета Кольт-Браунинг калибра 7,69 мм с боекомплектом 1300 патронов. Вместо пушек допускалась подвеска до</w:t>
      </w:r>
      <w:r w:rsidRPr="007224C3">
        <w:rPr>
          <w:rFonts w:ascii="Times New Roman" w:hAnsi="Times New Roman" w:cs="Times New Roman"/>
          <w:color w:val="000000" w:themeColor="text1"/>
          <w:sz w:val="16"/>
          <w:szCs w:val="16"/>
        </w:rPr>
        <w:softHyphen/>
        <w:t>полнительных бензобаков.</w:t>
      </w:r>
    </w:p>
    <w:p w14:paraId="0EAB49C8"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В правом крыле предусматривалась установка фотокинопулемета для учебных целей и для контроля результатов стрельб, но на поступивших в НИИ ВВС самолетах фотокинопулеметы отсутствовали.</w:t>
      </w:r>
    </w:p>
    <w:p w14:paraId="5C3A41D7"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Управление огнем пушек и пулеме</w:t>
      </w:r>
      <w:r w:rsidRPr="007224C3">
        <w:rPr>
          <w:rFonts w:ascii="Times New Roman" w:hAnsi="Times New Roman" w:cs="Times New Roman"/>
          <w:color w:val="000000" w:themeColor="text1"/>
          <w:sz w:val="16"/>
          <w:szCs w:val="16"/>
        </w:rPr>
        <w:softHyphen/>
        <w:t>тов раздельное," электропневматическое. Стрельба из пулеметов велась с помощью электрокнопки, смонтированной на ручке управления, а из пушек, также электрокноп</w:t>
      </w:r>
      <w:r w:rsidRPr="007224C3">
        <w:rPr>
          <w:rFonts w:ascii="Times New Roman" w:hAnsi="Times New Roman" w:cs="Times New Roman"/>
          <w:color w:val="000000" w:themeColor="text1"/>
          <w:sz w:val="16"/>
          <w:szCs w:val="16"/>
        </w:rPr>
        <w:softHyphen/>
        <w:t>кой, но смонтированной на секторе газа.</w:t>
      </w:r>
    </w:p>
    <w:p w14:paraId="41FCBA2F"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Для прицеливания при стрельбе ис</w:t>
      </w:r>
      <w:r w:rsidRPr="007224C3">
        <w:rPr>
          <w:rFonts w:ascii="Times New Roman" w:hAnsi="Times New Roman" w:cs="Times New Roman"/>
          <w:color w:val="000000" w:themeColor="text1"/>
          <w:sz w:val="16"/>
          <w:szCs w:val="16"/>
        </w:rPr>
        <w:softHyphen/>
        <w:t>пользовался коллиматорный прицел Реф</w:t>
      </w:r>
      <w:r w:rsidRPr="007224C3">
        <w:rPr>
          <w:rFonts w:ascii="Times New Roman" w:hAnsi="Times New Roman" w:cs="Times New Roman"/>
          <w:color w:val="000000" w:themeColor="text1"/>
          <w:sz w:val="16"/>
          <w:szCs w:val="16"/>
        </w:rPr>
        <w:softHyphen/>
        <w:t>лектор Сайт Мк.115 с электрической под</w:t>
      </w:r>
      <w:r w:rsidRPr="007224C3">
        <w:rPr>
          <w:rFonts w:ascii="Times New Roman" w:hAnsi="Times New Roman" w:cs="Times New Roman"/>
          <w:color w:val="000000" w:themeColor="text1"/>
          <w:sz w:val="16"/>
          <w:szCs w:val="16"/>
        </w:rPr>
        <w:softHyphen/>
        <w:t>светкой.</w:t>
      </w:r>
    </w:p>
    <w:p w14:paraId="177F7831"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Установка пулеметов Кольт-Баунинг ничем не отличалась от установки на се</w:t>
      </w:r>
      <w:r w:rsidRPr="007224C3">
        <w:rPr>
          <w:rFonts w:ascii="Times New Roman" w:hAnsi="Times New Roman" w:cs="Times New Roman"/>
          <w:color w:val="000000" w:themeColor="text1"/>
          <w:sz w:val="16"/>
          <w:szCs w:val="16"/>
        </w:rPr>
        <w:softHyphen/>
        <w:t>рийном самолете типа Мк.ПС, за исклю</w:t>
      </w:r>
      <w:r w:rsidRPr="007224C3">
        <w:rPr>
          <w:rFonts w:ascii="Times New Roman" w:hAnsi="Times New Roman" w:cs="Times New Roman"/>
          <w:color w:val="000000" w:themeColor="text1"/>
          <w:sz w:val="16"/>
          <w:szCs w:val="16"/>
        </w:rPr>
        <w:softHyphen/>
        <w:t>чением увеличенного боезапаса (лента в патронном ящике).</w:t>
      </w:r>
    </w:p>
    <w:p w14:paraId="10329E7C"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Пушки помещались в специальном об</w:t>
      </w:r>
      <w:r w:rsidRPr="007224C3">
        <w:rPr>
          <w:rFonts w:ascii="Times New Roman" w:hAnsi="Times New Roman" w:cs="Times New Roman"/>
          <w:color w:val="000000" w:themeColor="text1"/>
          <w:sz w:val="16"/>
          <w:szCs w:val="16"/>
        </w:rPr>
        <w:softHyphen/>
        <w:t>текателе под крылом и крепились на двух узлах, из которых передний являлся сило</w:t>
      </w:r>
      <w:r w:rsidRPr="007224C3">
        <w:rPr>
          <w:rFonts w:ascii="Times New Roman" w:hAnsi="Times New Roman" w:cs="Times New Roman"/>
          <w:color w:val="000000" w:themeColor="text1"/>
          <w:sz w:val="16"/>
          <w:szCs w:val="16"/>
        </w:rPr>
        <w:softHyphen/>
        <w:t>вым, а задний - регулировочным. При этом стволы пушек на 1080 мм выступали за переднюю кромку крыла.</w:t>
      </w:r>
    </w:p>
    <w:p w14:paraId="00F6B4BF"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Автоматика пушек Виккерс 8 работала на принципе отдачи с длинным ходом ство</w:t>
      </w:r>
      <w:r w:rsidRPr="007224C3">
        <w:rPr>
          <w:rFonts w:ascii="Times New Roman" w:hAnsi="Times New Roman" w:cs="Times New Roman"/>
          <w:color w:val="000000" w:themeColor="text1"/>
          <w:sz w:val="16"/>
          <w:szCs w:val="16"/>
        </w:rPr>
        <w:softHyphen/>
        <w:t>ла, запирание клиновое. Сила отдачи при стрельбе поглощалась работой автомати</w:t>
      </w:r>
      <w:r w:rsidRPr="007224C3">
        <w:rPr>
          <w:rFonts w:ascii="Times New Roman" w:hAnsi="Times New Roman" w:cs="Times New Roman"/>
          <w:color w:val="000000" w:themeColor="text1"/>
          <w:sz w:val="16"/>
          <w:szCs w:val="16"/>
        </w:rPr>
        <w:softHyphen/>
        <w:t>ки, возвратной и буферной пружинами и гидравлическим тормозом. В гидротормоз заливалось веретенное масло или смесь веретенного масла с техническим кероси</w:t>
      </w:r>
      <w:r w:rsidRPr="007224C3">
        <w:rPr>
          <w:rFonts w:ascii="Times New Roman" w:hAnsi="Times New Roman" w:cs="Times New Roman"/>
          <w:color w:val="000000" w:themeColor="text1"/>
          <w:sz w:val="16"/>
          <w:szCs w:val="16"/>
        </w:rPr>
        <w:softHyphen/>
        <w:t>ном (в соотношении 60/40).</w:t>
      </w:r>
    </w:p>
    <w:p w14:paraId="1380B19F"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Питание пушек - магазинное. Магазин на 15 снарядов жестко крепился к пушке болтами. Зарядка магазина производи</w:t>
      </w:r>
      <w:r w:rsidRPr="007224C3">
        <w:rPr>
          <w:rFonts w:ascii="Times New Roman" w:hAnsi="Times New Roman" w:cs="Times New Roman"/>
          <w:color w:val="000000" w:themeColor="text1"/>
          <w:sz w:val="16"/>
          <w:szCs w:val="16"/>
        </w:rPr>
        <w:softHyphen/>
        <w:t>лась непосредственно на самолете.</w:t>
      </w:r>
    </w:p>
    <w:p w14:paraId="4B2AD703"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Перезарядка пушек осуществлялась вручную с помощью специальной рукоятки с цепной передачей. Перезаряжать пушку можно было только на земле. В воздухе летчик имел возможность лишь повторно взвести ударник. Для этого на левом бор</w:t>
      </w:r>
      <w:r w:rsidRPr="007224C3">
        <w:rPr>
          <w:rFonts w:ascii="Times New Roman" w:hAnsi="Times New Roman" w:cs="Times New Roman"/>
          <w:color w:val="000000" w:themeColor="text1"/>
          <w:sz w:val="16"/>
          <w:szCs w:val="16"/>
        </w:rPr>
        <w:softHyphen/>
        <w:t>ту располагалась гашетка пневмовзвода ударников пушек. С ее помощью летчик в полете мог повторно взвести ударники пу</w:t>
      </w:r>
      <w:r w:rsidRPr="007224C3">
        <w:rPr>
          <w:rFonts w:ascii="Times New Roman" w:hAnsi="Times New Roman" w:cs="Times New Roman"/>
          <w:color w:val="000000" w:themeColor="text1"/>
          <w:sz w:val="16"/>
          <w:szCs w:val="16"/>
        </w:rPr>
        <w:softHyphen/>
        <w:t>шек и продолжить стрельбу.</w:t>
      </w:r>
    </w:p>
    <w:p w14:paraId="4587608C"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Длина пушки достигала 2970 мм, при высоте с магазином 533 мм (без магазина 278 мм) и ширине 210 мм. Общий вес пуш</w:t>
      </w:r>
      <w:r w:rsidRPr="007224C3">
        <w:rPr>
          <w:rFonts w:ascii="Times New Roman" w:hAnsi="Times New Roman" w:cs="Times New Roman"/>
          <w:color w:val="000000" w:themeColor="text1"/>
          <w:sz w:val="16"/>
          <w:szCs w:val="16"/>
        </w:rPr>
        <w:softHyphen/>
        <w:t>ки с магазином и 15 бронебойными снаря</w:t>
      </w:r>
      <w:r w:rsidRPr="007224C3">
        <w:rPr>
          <w:rFonts w:ascii="Times New Roman" w:hAnsi="Times New Roman" w:cs="Times New Roman"/>
          <w:color w:val="000000" w:themeColor="text1"/>
          <w:sz w:val="16"/>
          <w:szCs w:val="16"/>
        </w:rPr>
        <w:softHyphen/>
        <w:t>дами составлял 180,2 кг, в том числе: сама пушка - 141,7 кг, магазин без патронов - 16,0 кг, боекомплект - 22,5 кг.</w:t>
      </w:r>
    </w:p>
    <w:p w14:paraId="758FC3E8"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Броней на самолете защищались: летчик, мотор, водо- и маслорадиаторы. Общий вес брони достигал 185 кг.</w:t>
      </w:r>
    </w:p>
    <w:p w14:paraId="275B8E73"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Бронекозырек кабины летчика состоял из трех плит пулестойкого стекла. Средняя плита имела толщину 35 мм, а боковые</w:t>
      </w:r>
    </w:p>
    <w:p w14:paraId="7E748C4B" w14:textId="77777777" w:rsidR="00903E13" w:rsidRPr="007224C3" w:rsidRDefault="00903E13" w:rsidP="007224C3">
      <w:pPr>
        <w:pStyle w:val="47"/>
        <w:numPr>
          <w:ilvl w:val="0"/>
          <w:numId w:val="1"/>
        </w:numPr>
        <w:shd w:val="clear" w:color="auto" w:fill="auto"/>
        <w:tabs>
          <w:tab w:val="left" w:pos="169"/>
        </w:tabs>
        <w:autoSpaceDE/>
        <w:autoSpaceDN/>
        <w:adjustRightInd/>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по 32 мм. Спереди сверху летчик защи</w:t>
      </w:r>
      <w:r w:rsidRPr="007224C3">
        <w:rPr>
          <w:rFonts w:ascii="Times New Roman" w:hAnsi="Times New Roman" w:cs="Times New Roman"/>
          <w:color w:val="000000" w:themeColor="text1"/>
          <w:sz w:val="16"/>
          <w:szCs w:val="16"/>
        </w:rPr>
        <w:softHyphen/>
        <w:t>щался двумя бронеплитами толщиной по 4,75 мм, одна из которых устанавливалась перед расширительным бачком, а вторая</w:t>
      </w:r>
    </w:p>
    <w:p w14:paraId="58371421" w14:textId="77777777" w:rsidR="00903E13" w:rsidRPr="007224C3" w:rsidRDefault="00903E13" w:rsidP="007224C3">
      <w:pPr>
        <w:pStyle w:val="47"/>
        <w:numPr>
          <w:ilvl w:val="0"/>
          <w:numId w:val="1"/>
        </w:numPr>
        <w:shd w:val="clear" w:color="auto" w:fill="auto"/>
        <w:tabs>
          <w:tab w:val="left" w:pos="222"/>
        </w:tabs>
        <w:autoSpaceDE/>
        <w:autoSpaceDN/>
        <w:adjustRightInd/>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перед резервным бензобаком. Снизу спереди летчика прикрывали две бронеплиты по 4,75 мм под боковыми капотами мотора, по одной с каждой стороны. Под сиденьем располагалась бронеплита тол</w:t>
      </w:r>
      <w:r w:rsidRPr="007224C3">
        <w:rPr>
          <w:rFonts w:ascii="Times New Roman" w:hAnsi="Times New Roman" w:cs="Times New Roman"/>
          <w:color w:val="000000" w:themeColor="text1"/>
          <w:sz w:val="16"/>
          <w:szCs w:val="16"/>
        </w:rPr>
        <w:softHyphen/>
        <w:t>щиной 7,5 мм. Со стороны задней полу</w:t>
      </w:r>
      <w:r w:rsidRPr="007224C3">
        <w:rPr>
          <w:rFonts w:ascii="Times New Roman" w:hAnsi="Times New Roman" w:cs="Times New Roman"/>
          <w:color w:val="000000" w:themeColor="text1"/>
          <w:sz w:val="16"/>
          <w:szCs w:val="16"/>
        </w:rPr>
        <w:softHyphen/>
        <w:t>сферы летчик защищался бронеспинкой, состоящей из четырех 4,75-мм бронеплит и бронезаголовника толщиной 10,25 мм.</w:t>
      </w:r>
    </w:p>
    <w:p w14:paraId="540C0BA1"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Водо- и маслорадиаторы защища</w:t>
      </w:r>
      <w:r w:rsidRPr="007224C3">
        <w:rPr>
          <w:rFonts w:ascii="Times New Roman" w:hAnsi="Times New Roman" w:cs="Times New Roman"/>
          <w:color w:val="000000" w:themeColor="text1"/>
          <w:sz w:val="16"/>
          <w:szCs w:val="16"/>
        </w:rPr>
        <w:softHyphen/>
        <w:t>лись снизу пятью 4,5-мм бронеплитами. Бронирование мотора включало четыре бронеплиты с левой стороны толщиной 4,25 и 4,75 мм, три плиты с правой сто</w:t>
      </w:r>
      <w:r w:rsidRPr="007224C3">
        <w:rPr>
          <w:rFonts w:ascii="Times New Roman" w:hAnsi="Times New Roman" w:cs="Times New Roman"/>
          <w:color w:val="000000" w:themeColor="text1"/>
          <w:sz w:val="16"/>
          <w:szCs w:val="16"/>
        </w:rPr>
        <w:softHyphen/>
        <w:t>роны толщиной 4,75, 5,25 и 6,75 мм и три бронеплиты снизу толщиной 7,5 мм, 5,25 и 4,75 мм. Все плиты крепились к подкосам моторной рамы и закрывались капотами мотора.</w:t>
      </w:r>
    </w:p>
    <w:p w14:paraId="6D2710ED"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Масса пустого самолета составлял 2763 кг. Нормальный полетный вес - 3650 кг.</w:t>
      </w:r>
    </w:p>
    <w:p w14:paraId="0EC15474"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На номинальном режиме работы мо</w:t>
      </w:r>
      <w:r w:rsidRPr="007224C3">
        <w:rPr>
          <w:rFonts w:ascii="Times New Roman" w:hAnsi="Times New Roman" w:cs="Times New Roman"/>
          <w:color w:val="000000" w:themeColor="text1"/>
          <w:sz w:val="16"/>
          <w:szCs w:val="16"/>
        </w:rPr>
        <w:softHyphen/>
        <w:t>тора максимальная скорость самолета «Харрикейн» 1Ю зав. № КХ-305 достигала 398 км/ч - у земли, 460 км/ч - на 1-й гра</w:t>
      </w:r>
      <w:r w:rsidRPr="007224C3">
        <w:rPr>
          <w:rFonts w:ascii="Times New Roman" w:hAnsi="Times New Roman" w:cs="Times New Roman"/>
          <w:color w:val="000000" w:themeColor="text1"/>
          <w:sz w:val="16"/>
          <w:szCs w:val="16"/>
        </w:rPr>
        <w:softHyphen/>
        <w:t>нице высотности (3400 м), 478 км/ч - на 2-й границе высотности (5300 м). На бое</w:t>
      </w:r>
      <w:r w:rsidRPr="007224C3">
        <w:rPr>
          <w:rFonts w:ascii="Times New Roman" w:hAnsi="Times New Roman" w:cs="Times New Roman"/>
          <w:color w:val="000000" w:themeColor="text1"/>
          <w:sz w:val="16"/>
          <w:szCs w:val="16"/>
        </w:rPr>
        <w:softHyphen/>
        <w:t>вом режиме работы мотора, который мож</w:t>
      </w:r>
      <w:r w:rsidRPr="007224C3">
        <w:rPr>
          <w:rFonts w:ascii="Times New Roman" w:hAnsi="Times New Roman" w:cs="Times New Roman"/>
          <w:color w:val="000000" w:themeColor="text1"/>
          <w:sz w:val="16"/>
          <w:szCs w:val="16"/>
        </w:rPr>
        <w:softHyphen/>
        <w:t>но было использовать в течение не более 5 мин, скорость самолета на высоте воз</w:t>
      </w:r>
      <w:r w:rsidRPr="007224C3">
        <w:rPr>
          <w:rFonts w:ascii="Times New Roman" w:hAnsi="Times New Roman" w:cs="Times New Roman"/>
          <w:color w:val="000000" w:themeColor="text1"/>
          <w:sz w:val="16"/>
          <w:szCs w:val="16"/>
        </w:rPr>
        <w:softHyphen/>
        <w:t>растала на 6-8 км/ч. При этом границы вы</w:t>
      </w:r>
      <w:r w:rsidRPr="007224C3">
        <w:rPr>
          <w:rFonts w:ascii="Times New Roman" w:hAnsi="Times New Roman" w:cs="Times New Roman"/>
          <w:color w:val="000000" w:themeColor="text1"/>
          <w:sz w:val="16"/>
          <w:szCs w:val="16"/>
        </w:rPr>
        <w:softHyphen/>
        <w:t>сотности несколько смещались вверх на 300-350 м. Практический потолок - 9650 м.</w:t>
      </w:r>
    </w:p>
    <w:p w14:paraId="29D19F76"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Вертикальная скорость у земли состав</w:t>
      </w:r>
      <w:r w:rsidRPr="007224C3">
        <w:rPr>
          <w:rFonts w:ascii="Times New Roman" w:hAnsi="Times New Roman" w:cs="Times New Roman"/>
          <w:color w:val="000000" w:themeColor="text1"/>
          <w:sz w:val="16"/>
          <w:szCs w:val="16"/>
        </w:rPr>
        <w:softHyphen/>
        <w:t>ляла 9,7 м/с, на высоте 2000 м - 10,5 м/с, а на 3000 м -11,2 м/с. Соответственно, на вы</w:t>
      </w:r>
      <w:r w:rsidRPr="007224C3">
        <w:rPr>
          <w:rFonts w:ascii="Times New Roman" w:hAnsi="Times New Roman" w:cs="Times New Roman"/>
          <w:color w:val="000000" w:themeColor="text1"/>
          <w:sz w:val="16"/>
          <w:szCs w:val="16"/>
        </w:rPr>
        <w:softHyphen/>
        <w:t>соту 1000 м самолет забирался за 1,8 мин, на 3000 м - за 5,0 мин, а на 5000 м - за 8,5 мин.</w:t>
      </w:r>
    </w:p>
    <w:p w14:paraId="69DF49FB"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Самолет на высоте 1000 м разгонялся при даче полного газа от скорости 0,7 до 0,95 максимальной за 0,72 мин, а тормо</w:t>
      </w:r>
      <w:r w:rsidRPr="007224C3">
        <w:rPr>
          <w:rFonts w:ascii="Times New Roman" w:hAnsi="Times New Roman" w:cs="Times New Roman"/>
          <w:color w:val="000000" w:themeColor="text1"/>
          <w:sz w:val="16"/>
          <w:szCs w:val="16"/>
        </w:rPr>
        <w:softHyphen/>
        <w:t>зил при сбросе газа до скорости 0,7 макси</w:t>
      </w:r>
      <w:r w:rsidRPr="007224C3">
        <w:rPr>
          <w:rFonts w:ascii="Times New Roman" w:hAnsi="Times New Roman" w:cs="Times New Roman"/>
          <w:color w:val="000000" w:themeColor="text1"/>
          <w:sz w:val="16"/>
          <w:szCs w:val="16"/>
        </w:rPr>
        <w:softHyphen/>
        <w:t>мальной за 0,48 мин.</w:t>
      </w:r>
    </w:p>
    <w:p w14:paraId="36261367"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Скорость, скороподъемность и раз</w:t>
      </w:r>
      <w:r w:rsidRPr="007224C3">
        <w:rPr>
          <w:rFonts w:ascii="Times New Roman" w:hAnsi="Times New Roman" w:cs="Times New Roman"/>
          <w:color w:val="000000" w:themeColor="text1"/>
          <w:sz w:val="16"/>
          <w:szCs w:val="16"/>
        </w:rPr>
        <w:softHyphen/>
        <w:t>гонные характеристики замерялись с пылефильтром, установленным на всасы</w:t>
      </w:r>
      <w:r w:rsidRPr="007224C3">
        <w:rPr>
          <w:rFonts w:ascii="Times New Roman" w:hAnsi="Times New Roman" w:cs="Times New Roman"/>
          <w:color w:val="000000" w:themeColor="text1"/>
          <w:sz w:val="16"/>
          <w:szCs w:val="16"/>
        </w:rPr>
        <w:softHyphen/>
        <w:t>вающем патрубке мотора, при закрытом фонаре и полностью открытой заслонке радиаторов.</w:t>
      </w:r>
    </w:p>
    <w:p w14:paraId="6DC31B80"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За один боевой разворот (левый и пра</w:t>
      </w:r>
      <w:r w:rsidRPr="007224C3">
        <w:rPr>
          <w:rFonts w:ascii="Times New Roman" w:hAnsi="Times New Roman" w:cs="Times New Roman"/>
          <w:color w:val="000000" w:themeColor="text1"/>
          <w:sz w:val="16"/>
          <w:szCs w:val="16"/>
        </w:rPr>
        <w:softHyphen/>
        <w:t>вый) с высоты 5000 м при скорости ввода 412 км/ч самолет набирал 460 м. Скорость выхода в горизонтальный полет - 267 км/ч. На выполнение маневра затрачивалось 28 сек.</w:t>
      </w:r>
    </w:p>
    <w:p w14:paraId="7102E978"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При выполнении правого переворота при скорости ввода 207-215 км/ч самолет терял до 700 м высоты, а при выполнении левого переворота - 830 м. Скорость на выходе из переворота - 309-329 км/ч.</w:t>
      </w:r>
    </w:p>
    <w:p w14:paraId="17C3970F"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lastRenderedPageBreak/>
        <w:t>Виражи самолет выполнял устойчиво и легко сохранял заданный крен. Время полного виража на высоте 1000 м состав</w:t>
      </w:r>
      <w:r w:rsidRPr="007224C3">
        <w:rPr>
          <w:rFonts w:ascii="Times New Roman" w:hAnsi="Times New Roman" w:cs="Times New Roman"/>
          <w:color w:val="000000" w:themeColor="text1"/>
          <w:sz w:val="16"/>
          <w:szCs w:val="16"/>
        </w:rPr>
        <w:softHyphen/>
        <w:t>ляло 22 с при выполнении левого виража и 29-30 с при выполнении правого вира</w:t>
      </w:r>
      <w:r w:rsidRPr="007224C3">
        <w:rPr>
          <w:rFonts w:ascii="Times New Roman" w:hAnsi="Times New Roman" w:cs="Times New Roman"/>
          <w:color w:val="000000" w:themeColor="text1"/>
          <w:sz w:val="16"/>
          <w:szCs w:val="16"/>
        </w:rPr>
        <w:softHyphen/>
        <w:t>жа. При этом радиус виража не превышал 315 и 470 м, соответственно.</w:t>
      </w:r>
    </w:p>
    <w:p w14:paraId="4586D4AB"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Разбег самолета при взлете находил</w:t>
      </w:r>
      <w:r w:rsidRPr="007224C3">
        <w:rPr>
          <w:rFonts w:ascii="Times New Roman" w:hAnsi="Times New Roman" w:cs="Times New Roman"/>
          <w:color w:val="000000" w:themeColor="text1"/>
          <w:sz w:val="16"/>
          <w:szCs w:val="16"/>
        </w:rPr>
        <w:softHyphen/>
        <w:t>ся в пределах 420 м. Скорость отрыва - 152 км/ч. Посадочная скорость равнялась 123 км/ч. Пробег при посадке со щитками, отклоненными на 80', не превышал 440 м.</w:t>
      </w:r>
    </w:p>
    <w:p w14:paraId="60998321"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Максимальная дальность полета на высоте 910-950 м при скорости полета 265 км/ч достигала 825 км (3 ч).</w:t>
      </w:r>
    </w:p>
    <w:p w14:paraId="7C486F1D"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В ходе испытаний было выполнено че</w:t>
      </w:r>
      <w:r w:rsidRPr="007224C3">
        <w:rPr>
          <w:rFonts w:ascii="Times New Roman" w:hAnsi="Times New Roman" w:cs="Times New Roman"/>
          <w:color w:val="000000" w:themeColor="text1"/>
          <w:sz w:val="16"/>
          <w:szCs w:val="16"/>
        </w:rPr>
        <w:softHyphen/>
        <w:t>тыре полета на пикирование под углами от 30' до 55°. Максимальная скорость на пики</w:t>
      </w:r>
      <w:r w:rsidRPr="007224C3">
        <w:rPr>
          <w:rFonts w:ascii="Times New Roman" w:hAnsi="Times New Roman" w:cs="Times New Roman"/>
          <w:color w:val="000000" w:themeColor="text1"/>
          <w:sz w:val="16"/>
          <w:szCs w:val="16"/>
        </w:rPr>
        <w:softHyphen/>
        <w:t>ровании доводилась до 630 км/ч (скорость ввода 380 км/ч), а перегрузка на выводе из пикирования до 3 единиц.</w:t>
      </w:r>
    </w:p>
    <w:p w14:paraId="01DB9B7B"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Пикировал самолет устойчиво. Поведение самолета с триммерами руля поворота, установленными нейтрально, было нормальным, тенденции к затяги</w:t>
      </w:r>
      <w:r w:rsidRPr="007224C3">
        <w:rPr>
          <w:rFonts w:ascii="Times New Roman" w:hAnsi="Times New Roman" w:cs="Times New Roman"/>
          <w:color w:val="000000" w:themeColor="text1"/>
          <w:sz w:val="16"/>
          <w:szCs w:val="16"/>
        </w:rPr>
        <w:softHyphen/>
        <w:t>ванию в пикирование не наблюдалось. Усилия на рули нормальные. Однако при достижении скорости 610-620 км/ч из-за отсасывания и срыва воздушного потока с замков обтекателей подкрыльевых пушек появлялась заметная тряска плоскостей и вибрация педалей ножного управления.</w:t>
      </w:r>
    </w:p>
    <w:p w14:paraId="60E87F8B"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Летчики, облетавшие «Харрикейн» 1Ю, отмечали хороший обзор вперед, в сторону и вверх и неудовлетворительный - вперед- вниз и назад. Габариты кабины позволяли летчику наклоняться в стороны, что сочли недостатком самолета. Бронестекло ко</w:t>
      </w:r>
      <w:r w:rsidRPr="007224C3">
        <w:rPr>
          <w:rFonts w:ascii="Times New Roman" w:hAnsi="Times New Roman" w:cs="Times New Roman"/>
          <w:color w:val="000000" w:themeColor="text1"/>
          <w:sz w:val="16"/>
          <w:szCs w:val="16"/>
        </w:rPr>
        <w:softHyphen/>
        <w:t>зырька фонаря и целлулоид подвижной части имели удовлетворительную про</w:t>
      </w:r>
      <w:r w:rsidRPr="007224C3">
        <w:rPr>
          <w:rFonts w:ascii="Times New Roman" w:hAnsi="Times New Roman" w:cs="Times New Roman"/>
          <w:color w:val="000000" w:themeColor="text1"/>
          <w:sz w:val="16"/>
          <w:szCs w:val="16"/>
        </w:rPr>
        <w:softHyphen/>
        <w:t>зрачность и почти не давали искажений. Случаев отколов и обмерзания бронестек</w:t>
      </w:r>
      <w:r w:rsidRPr="007224C3">
        <w:rPr>
          <w:rFonts w:ascii="Times New Roman" w:hAnsi="Times New Roman" w:cs="Times New Roman"/>
          <w:color w:val="000000" w:themeColor="text1"/>
          <w:sz w:val="16"/>
          <w:szCs w:val="16"/>
        </w:rPr>
        <w:softHyphen/>
        <w:t>ла и целлулоида при полетах в условиях зимы не наблюдалось. Размещение не</w:t>
      </w:r>
      <w:r w:rsidRPr="007224C3">
        <w:rPr>
          <w:rFonts w:ascii="Times New Roman" w:hAnsi="Times New Roman" w:cs="Times New Roman"/>
          <w:color w:val="000000" w:themeColor="text1"/>
          <w:sz w:val="16"/>
          <w:szCs w:val="16"/>
        </w:rPr>
        <w:softHyphen/>
        <w:t>которых приборов на приборной доске и рычагов управления оказалось неудобным (например, рычаг управления уборкой и выпуском шасси).</w:t>
      </w:r>
    </w:p>
    <w:p w14:paraId="5271EABD"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Анализ схемы бронирования показал, что броня прикрывала летчика в горизон</w:t>
      </w:r>
      <w:r w:rsidRPr="007224C3">
        <w:rPr>
          <w:rFonts w:ascii="Times New Roman" w:hAnsi="Times New Roman" w:cs="Times New Roman"/>
          <w:color w:val="000000" w:themeColor="text1"/>
          <w:sz w:val="16"/>
          <w:szCs w:val="16"/>
        </w:rPr>
        <w:softHyphen/>
        <w:t>тальной плоскости в угловом конусе 30-40° и в вертикальной плоскости до 10-15" вверх и 15-20° вниз по отношению к продольной оси самолета. В этом диапазоне углов вполне обеспечивалась защита от пора</w:t>
      </w:r>
      <w:r w:rsidRPr="007224C3">
        <w:rPr>
          <w:rFonts w:ascii="Times New Roman" w:hAnsi="Times New Roman" w:cs="Times New Roman"/>
          <w:color w:val="000000" w:themeColor="text1"/>
          <w:sz w:val="16"/>
          <w:szCs w:val="16"/>
        </w:rPr>
        <w:softHyphen/>
        <w:t>жения бронебойными пулями нормально</w:t>
      </w:r>
      <w:r w:rsidRPr="007224C3">
        <w:rPr>
          <w:rFonts w:ascii="Times New Roman" w:hAnsi="Times New Roman" w:cs="Times New Roman"/>
          <w:color w:val="000000" w:themeColor="text1"/>
          <w:sz w:val="16"/>
          <w:szCs w:val="16"/>
        </w:rPr>
        <w:softHyphen/>
        <w:t>го калибра при стрельбе с дистанции не менее 100-150 м и бронебойными пулями крупного калибра с дистанции 400-500 м и более. Между тем летчик не имел броне</w:t>
      </w:r>
      <w:r w:rsidRPr="007224C3">
        <w:rPr>
          <w:rFonts w:ascii="Times New Roman" w:hAnsi="Times New Roman" w:cs="Times New Roman"/>
          <w:color w:val="000000" w:themeColor="text1"/>
          <w:sz w:val="16"/>
          <w:szCs w:val="16"/>
        </w:rPr>
        <w:softHyphen/>
        <w:t>вой защиты сбоку и сверху. Совершенно не были защищены бензо- и маслобаки. Защита мотора, водо- и маслорадиатора считалась недостаточной. Мотор не имел брони сверху, водо- и маслорадиаторы не защищались со стороны входа и выхода воздушного тоннеля.</w:t>
      </w:r>
    </w:p>
    <w:p w14:paraId="77472D13"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По общему мнению летчиков увели</w:t>
      </w:r>
      <w:r w:rsidRPr="007224C3">
        <w:rPr>
          <w:rFonts w:ascii="Times New Roman" w:hAnsi="Times New Roman" w:cs="Times New Roman"/>
          <w:color w:val="000000" w:themeColor="text1"/>
          <w:sz w:val="16"/>
          <w:szCs w:val="16"/>
        </w:rPr>
        <w:softHyphen/>
        <w:t>чение полетного веса и ухудшение аэро</w:t>
      </w:r>
      <w:r w:rsidRPr="007224C3">
        <w:rPr>
          <w:rFonts w:ascii="Times New Roman" w:hAnsi="Times New Roman" w:cs="Times New Roman"/>
          <w:color w:val="000000" w:themeColor="text1"/>
          <w:sz w:val="16"/>
          <w:szCs w:val="16"/>
        </w:rPr>
        <w:softHyphen/>
        <w:t>динамики самолета Мк.1Ю по сравнению с Мк.НС привело к заметному понижению летных данных и маневренности самолета, как в вертикальной, так и в горизонталь</w:t>
      </w:r>
      <w:r w:rsidRPr="007224C3">
        <w:rPr>
          <w:rFonts w:ascii="Times New Roman" w:hAnsi="Times New Roman" w:cs="Times New Roman"/>
          <w:color w:val="000000" w:themeColor="text1"/>
          <w:sz w:val="16"/>
          <w:szCs w:val="16"/>
        </w:rPr>
        <w:softHyphen/>
        <w:t>ной плоскости. Для выполнения фигур, «скорости приходится держать больше на 5-7 миль/ч, так как самолет тяжелее и инер</w:t>
      </w:r>
      <w:r w:rsidRPr="007224C3">
        <w:rPr>
          <w:rFonts w:ascii="Times New Roman" w:hAnsi="Times New Roman" w:cs="Times New Roman"/>
          <w:color w:val="000000" w:themeColor="text1"/>
          <w:sz w:val="16"/>
          <w:szCs w:val="16"/>
        </w:rPr>
        <w:softHyphen/>
        <w:t>тнее». Продольная и поперечная устойчи</w:t>
      </w:r>
      <w:r w:rsidRPr="007224C3">
        <w:rPr>
          <w:rFonts w:ascii="Times New Roman" w:hAnsi="Times New Roman" w:cs="Times New Roman"/>
          <w:color w:val="000000" w:themeColor="text1"/>
          <w:sz w:val="16"/>
          <w:szCs w:val="16"/>
        </w:rPr>
        <w:softHyphen/>
        <w:t>вость самолета оставляла желать лучшего. Сбалансированность самолета в горизон</w:t>
      </w:r>
      <w:r w:rsidRPr="007224C3">
        <w:rPr>
          <w:rFonts w:ascii="Times New Roman" w:hAnsi="Times New Roman" w:cs="Times New Roman"/>
          <w:color w:val="000000" w:themeColor="text1"/>
          <w:sz w:val="16"/>
          <w:szCs w:val="16"/>
        </w:rPr>
        <w:softHyphen/>
        <w:t>тальном полете была затруднена и требо</w:t>
      </w:r>
      <w:r w:rsidRPr="007224C3">
        <w:rPr>
          <w:rFonts w:ascii="Times New Roman" w:hAnsi="Times New Roman" w:cs="Times New Roman"/>
          <w:color w:val="000000" w:themeColor="text1"/>
          <w:sz w:val="16"/>
          <w:szCs w:val="16"/>
        </w:rPr>
        <w:softHyphen/>
        <w:t>вала постоянной регулировки положения триммера при изменении скорости поле</w:t>
      </w:r>
      <w:r w:rsidRPr="007224C3">
        <w:rPr>
          <w:rFonts w:ascii="Times New Roman" w:hAnsi="Times New Roman" w:cs="Times New Roman"/>
          <w:color w:val="000000" w:themeColor="text1"/>
          <w:sz w:val="16"/>
          <w:szCs w:val="16"/>
        </w:rPr>
        <w:softHyphen/>
        <w:t>та. На вертикальных фигурах самолет бы</w:t>
      </w:r>
      <w:r w:rsidRPr="007224C3">
        <w:rPr>
          <w:rFonts w:ascii="Times New Roman" w:hAnsi="Times New Roman" w:cs="Times New Roman"/>
          <w:color w:val="000000" w:themeColor="text1"/>
          <w:sz w:val="16"/>
          <w:szCs w:val="16"/>
        </w:rPr>
        <w:softHyphen/>
        <w:t>стро терял скорость, набор высоты на им</w:t>
      </w:r>
      <w:r w:rsidRPr="007224C3">
        <w:rPr>
          <w:rFonts w:ascii="Times New Roman" w:hAnsi="Times New Roman" w:cs="Times New Roman"/>
          <w:color w:val="000000" w:themeColor="text1"/>
          <w:sz w:val="16"/>
          <w:szCs w:val="16"/>
        </w:rPr>
        <w:softHyphen/>
        <w:t>мельмане и боевом развороте сократился. В то же время техника пилотирования Мк.1Ю практически ничем не отличалась от самолетов «Харрикейн» НС или ИВ.</w:t>
      </w:r>
    </w:p>
    <w:p w14:paraId="009918A2"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Проведенный 27 декабря 1943 г. учеб</w:t>
      </w:r>
      <w:r w:rsidRPr="007224C3">
        <w:rPr>
          <w:rFonts w:ascii="Times New Roman" w:hAnsi="Times New Roman" w:cs="Times New Roman"/>
          <w:color w:val="000000" w:themeColor="text1"/>
          <w:sz w:val="16"/>
          <w:szCs w:val="16"/>
        </w:rPr>
        <w:softHyphen/>
        <w:t>ный воздушный бой с трофейным истре</w:t>
      </w:r>
      <w:r w:rsidRPr="007224C3">
        <w:rPr>
          <w:rFonts w:ascii="Times New Roman" w:hAnsi="Times New Roman" w:cs="Times New Roman"/>
          <w:color w:val="000000" w:themeColor="text1"/>
          <w:sz w:val="16"/>
          <w:szCs w:val="16"/>
        </w:rPr>
        <w:softHyphen/>
        <w:t>бителем В1109С-4 показал, что самолет «Харрикейн» 1Ю воздушный бой с ним вести не может. Причем не только наступатель</w:t>
      </w:r>
      <w:r w:rsidRPr="007224C3">
        <w:rPr>
          <w:rFonts w:ascii="Times New Roman" w:hAnsi="Times New Roman" w:cs="Times New Roman"/>
          <w:color w:val="000000" w:themeColor="text1"/>
          <w:sz w:val="16"/>
          <w:szCs w:val="16"/>
        </w:rPr>
        <w:softHyphen/>
        <w:t>ный бой, но и оборонительный. Немецкий истребитель имел явное преимущество в горизонтальной и в вертикальной плоско</w:t>
      </w:r>
      <w:r w:rsidRPr="007224C3">
        <w:rPr>
          <w:rFonts w:ascii="Times New Roman" w:hAnsi="Times New Roman" w:cs="Times New Roman"/>
          <w:color w:val="000000" w:themeColor="text1"/>
          <w:sz w:val="16"/>
          <w:szCs w:val="16"/>
        </w:rPr>
        <w:softHyphen/>
        <w:t>сти. На виражах «мессер» заходил в хвост «Харрикейну» уже после первого виража на левом вираже и после двух виражей - на правом. При атаках ВШ9С-4 сверху-сза</w:t>
      </w:r>
      <w:r w:rsidRPr="007224C3">
        <w:rPr>
          <w:rFonts w:ascii="Times New Roman" w:hAnsi="Times New Roman" w:cs="Times New Roman"/>
          <w:color w:val="000000" w:themeColor="text1"/>
          <w:sz w:val="16"/>
          <w:szCs w:val="16"/>
        </w:rPr>
        <w:softHyphen/>
        <w:t>ди старшему лейтенанту Поминальному, пилотировавшему «Харрикейн», удавалось вывернуться только из-под первой атаки «мессершмитта», уйти от последующих атак не получалось. Подавляющее пре</w:t>
      </w:r>
      <w:r w:rsidRPr="007224C3">
        <w:rPr>
          <w:rFonts w:ascii="Times New Roman" w:hAnsi="Times New Roman" w:cs="Times New Roman"/>
          <w:color w:val="000000" w:themeColor="text1"/>
          <w:sz w:val="16"/>
          <w:szCs w:val="16"/>
        </w:rPr>
        <w:softHyphen/>
        <w:t>имущество в вертикальном маневре не</w:t>
      </w:r>
      <w:r w:rsidRPr="007224C3">
        <w:rPr>
          <w:rFonts w:ascii="Times New Roman" w:hAnsi="Times New Roman" w:cs="Times New Roman"/>
          <w:color w:val="000000" w:themeColor="text1"/>
          <w:sz w:val="16"/>
          <w:szCs w:val="16"/>
        </w:rPr>
        <w:softHyphen/>
        <w:t>мецкого истребителя позволяло капитану Кувшинову, который летал на ВГ109С-4, свободно занимать выгодную для ата</w:t>
      </w:r>
      <w:r w:rsidRPr="007224C3">
        <w:rPr>
          <w:rFonts w:ascii="Times New Roman" w:hAnsi="Times New Roman" w:cs="Times New Roman"/>
          <w:color w:val="000000" w:themeColor="text1"/>
          <w:sz w:val="16"/>
          <w:szCs w:val="16"/>
        </w:rPr>
        <w:softHyphen/>
        <w:t>ки позицию и атаковать «Харрикейн» Поминального из любого положения.</w:t>
      </w:r>
    </w:p>
    <w:p w14:paraId="0C52B388"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После обмена мнениями летчика</w:t>
      </w:r>
      <w:r w:rsidRPr="007224C3">
        <w:rPr>
          <w:rFonts w:ascii="Times New Roman" w:hAnsi="Times New Roman" w:cs="Times New Roman"/>
          <w:color w:val="000000" w:themeColor="text1"/>
          <w:sz w:val="16"/>
          <w:szCs w:val="16"/>
        </w:rPr>
        <w:softHyphen/>
        <w:t>ми был сделан вывод о недопустимости воздушного боя одиночного самолета «Харрикейн» 1Ю не только с группой но даже и с одиночным истребителем про</w:t>
      </w:r>
      <w:r w:rsidRPr="007224C3">
        <w:rPr>
          <w:rFonts w:ascii="Times New Roman" w:hAnsi="Times New Roman" w:cs="Times New Roman"/>
          <w:color w:val="000000" w:themeColor="text1"/>
          <w:sz w:val="16"/>
          <w:szCs w:val="16"/>
        </w:rPr>
        <w:softHyphen/>
        <w:t>тивника. Рекомендовалось боевые зада-.' выполнять только группой и воздушньГ- бой вести в боевом порядке круг или вы</w:t>
      </w:r>
      <w:r w:rsidRPr="007224C3">
        <w:rPr>
          <w:rFonts w:ascii="Times New Roman" w:hAnsi="Times New Roman" w:cs="Times New Roman"/>
          <w:color w:val="000000" w:themeColor="text1"/>
          <w:sz w:val="16"/>
          <w:szCs w:val="16"/>
        </w:rPr>
        <w:softHyphen/>
        <w:t>полняя ножницы с оттягиванием на свою территорию.</w:t>
      </w:r>
    </w:p>
    <w:p w14:paraId="5BBE101E"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Вооружение самолета отстрели</w:t>
      </w:r>
      <w:r w:rsidRPr="007224C3">
        <w:rPr>
          <w:rFonts w:ascii="Times New Roman" w:hAnsi="Times New Roman" w:cs="Times New Roman"/>
          <w:color w:val="000000" w:themeColor="text1"/>
          <w:sz w:val="16"/>
          <w:szCs w:val="16"/>
        </w:rPr>
        <w:softHyphen/>
        <w:t>валось как на земле, так и в воздухе. Стрельба велась снарядами, «снаряжен</w:t>
      </w:r>
      <w:r w:rsidRPr="007224C3">
        <w:rPr>
          <w:rFonts w:ascii="Times New Roman" w:hAnsi="Times New Roman" w:cs="Times New Roman"/>
          <w:color w:val="000000" w:themeColor="text1"/>
          <w:sz w:val="16"/>
          <w:szCs w:val="16"/>
        </w:rPr>
        <w:softHyphen/>
        <w:t>ными стальными корпусами бронебойных снарядов, так как других боекомплектов для пушек МК-Н - 40 мм, в снабжающих организациях ВВС не имелось». При этом в снарядах отсутствовали «разрывной заряд ВВ и донный взрыватель, заглуш</w:t>
      </w:r>
      <w:r w:rsidRPr="007224C3">
        <w:rPr>
          <w:rFonts w:ascii="Times New Roman" w:hAnsi="Times New Roman" w:cs="Times New Roman"/>
          <w:color w:val="000000" w:themeColor="text1"/>
          <w:sz w:val="16"/>
          <w:szCs w:val="16"/>
        </w:rPr>
        <w:softHyphen/>
        <w:t>ка вместо него не поставлена», так что внутренняя полость снаряда сообщалась с зарядной каморой патрона. То есть, снаряды «не имели ни фугасного, ни за</w:t>
      </w:r>
      <w:r w:rsidRPr="007224C3">
        <w:rPr>
          <w:rFonts w:ascii="Times New Roman" w:hAnsi="Times New Roman" w:cs="Times New Roman"/>
          <w:color w:val="000000" w:themeColor="text1"/>
          <w:sz w:val="16"/>
          <w:szCs w:val="16"/>
        </w:rPr>
        <w:softHyphen/>
        <w:t>жигательного действия, а внутренняя и внешняя баллистика его отличалась от баллистики боевого снаряда». Очевидно, такие снаряды боевого значения не име</w:t>
      </w:r>
      <w:r w:rsidRPr="007224C3">
        <w:rPr>
          <w:rFonts w:ascii="Times New Roman" w:hAnsi="Times New Roman" w:cs="Times New Roman"/>
          <w:color w:val="000000" w:themeColor="text1"/>
          <w:sz w:val="16"/>
          <w:szCs w:val="16"/>
        </w:rPr>
        <w:softHyphen/>
        <w:t>ли, их использование ограничивалось только учебными целями. Но других сна</w:t>
      </w:r>
      <w:r w:rsidRPr="007224C3">
        <w:rPr>
          <w:rFonts w:ascii="Times New Roman" w:hAnsi="Times New Roman" w:cs="Times New Roman"/>
          <w:color w:val="000000" w:themeColor="text1"/>
          <w:sz w:val="16"/>
          <w:szCs w:val="16"/>
        </w:rPr>
        <w:softHyphen/>
        <w:t>рядов союзники не поставили!</w:t>
      </w:r>
    </w:p>
    <w:p w14:paraId="257D3E95"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В общей сложности из пушек было вы</w:t>
      </w:r>
      <w:r w:rsidRPr="007224C3">
        <w:rPr>
          <w:rFonts w:ascii="Times New Roman" w:hAnsi="Times New Roman" w:cs="Times New Roman"/>
          <w:color w:val="000000" w:themeColor="text1"/>
          <w:sz w:val="16"/>
          <w:szCs w:val="16"/>
        </w:rPr>
        <w:softHyphen/>
        <w:t>полнено 620 выстрелов, в том числе 212 выстрелов на земле и 408 в воздухе.</w:t>
      </w:r>
    </w:p>
    <w:p w14:paraId="50D696AC"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Пушки пристреливались сходящимся веером на стандартную для ВВС КА дистан</w:t>
      </w:r>
      <w:r w:rsidRPr="007224C3">
        <w:rPr>
          <w:rFonts w:ascii="Times New Roman" w:hAnsi="Times New Roman" w:cs="Times New Roman"/>
          <w:color w:val="000000" w:themeColor="text1"/>
          <w:sz w:val="16"/>
          <w:szCs w:val="16"/>
        </w:rPr>
        <w:softHyphen/>
        <w:t>цию - 400 м. Рассеивание определялось стрельбой на земле и в воздухе по щитам. Стрельба велась одиночно и очередями.</w:t>
      </w:r>
    </w:p>
    <w:p w14:paraId="535F1555"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На земле рассеивание определялось одиночной стрельбой на дальность 50 и 400 м по щиту 2x2 м, поставленному верти</w:t>
      </w:r>
      <w:r w:rsidRPr="007224C3">
        <w:rPr>
          <w:rFonts w:ascii="Times New Roman" w:hAnsi="Times New Roman" w:cs="Times New Roman"/>
          <w:color w:val="000000" w:themeColor="text1"/>
          <w:sz w:val="16"/>
          <w:szCs w:val="16"/>
        </w:rPr>
        <w:softHyphen/>
        <w:t>кально. При стрельбе овальных отверстий в щите обнаружено не было, что характе</w:t>
      </w:r>
      <w:r w:rsidRPr="007224C3">
        <w:rPr>
          <w:rFonts w:ascii="Times New Roman" w:hAnsi="Times New Roman" w:cs="Times New Roman"/>
          <w:color w:val="000000" w:themeColor="text1"/>
          <w:sz w:val="16"/>
          <w:szCs w:val="16"/>
        </w:rPr>
        <w:softHyphen/>
        <w:t>ризовало хорошую устойчивость снаряда в полете на данных дистанциях.</w:t>
      </w:r>
    </w:p>
    <w:p w14:paraId="01C23759"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Для левой пушки боковое отклоне</w:t>
      </w:r>
      <w:r w:rsidRPr="007224C3">
        <w:rPr>
          <w:rFonts w:ascii="Times New Roman" w:hAnsi="Times New Roman" w:cs="Times New Roman"/>
          <w:color w:val="000000" w:themeColor="text1"/>
          <w:sz w:val="16"/>
          <w:szCs w:val="16"/>
        </w:rPr>
        <w:softHyphen/>
        <w:t>ние на дистанции 400 м составило всего 10,3 см, вертикальное - 17,0 см, а для пра</w:t>
      </w:r>
      <w:r w:rsidRPr="007224C3">
        <w:rPr>
          <w:rFonts w:ascii="Times New Roman" w:hAnsi="Times New Roman" w:cs="Times New Roman"/>
          <w:color w:val="000000" w:themeColor="text1"/>
          <w:sz w:val="16"/>
          <w:szCs w:val="16"/>
        </w:rPr>
        <w:softHyphen/>
        <w:t>вой пушки -13,0 и 16,2 см, соответственно. При стрельбе пулеметов Кольт-Браунинг отклонение оказалось даже выше, чем при стрельбе из пушек: боковое и вертикаль</w:t>
      </w:r>
      <w:r w:rsidRPr="007224C3">
        <w:rPr>
          <w:rFonts w:ascii="Times New Roman" w:hAnsi="Times New Roman" w:cs="Times New Roman"/>
          <w:color w:val="000000" w:themeColor="text1"/>
          <w:sz w:val="16"/>
          <w:szCs w:val="16"/>
        </w:rPr>
        <w:softHyphen/>
        <w:t>ное отклонения для левого пулемета рав</w:t>
      </w:r>
      <w:r w:rsidRPr="007224C3">
        <w:rPr>
          <w:rFonts w:ascii="Times New Roman" w:hAnsi="Times New Roman" w:cs="Times New Roman"/>
          <w:color w:val="000000" w:themeColor="text1"/>
          <w:sz w:val="16"/>
          <w:szCs w:val="16"/>
        </w:rPr>
        <w:softHyphen/>
        <w:t>нялись 23,6 и 26,7 см, для правого пулеме</w:t>
      </w:r>
      <w:r w:rsidRPr="007224C3">
        <w:rPr>
          <w:rFonts w:ascii="Times New Roman" w:hAnsi="Times New Roman" w:cs="Times New Roman"/>
          <w:color w:val="000000" w:themeColor="text1"/>
          <w:sz w:val="16"/>
          <w:szCs w:val="16"/>
        </w:rPr>
        <w:softHyphen/>
        <w:t>та-20,6 и 35,8 см.</w:t>
      </w:r>
    </w:p>
    <w:p w14:paraId="12D2002A"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Коэффициент искажения рассеивания с увеличением дистанции стрельбы до</w:t>
      </w:r>
      <w:r w:rsidRPr="007224C3">
        <w:rPr>
          <w:rFonts w:ascii="Times New Roman" w:hAnsi="Times New Roman" w:cs="Times New Roman"/>
          <w:color w:val="000000" w:themeColor="text1"/>
          <w:sz w:val="16"/>
          <w:szCs w:val="16"/>
        </w:rPr>
        <w:softHyphen/>
        <w:t>стигал величин 0,63-1,32 - у пушек и 0,78- 1,77 - у пулеметов, что «указывает на невы</w:t>
      </w:r>
      <w:r w:rsidRPr="007224C3">
        <w:rPr>
          <w:rFonts w:ascii="Times New Roman" w:hAnsi="Times New Roman" w:cs="Times New Roman"/>
          <w:color w:val="000000" w:themeColor="text1"/>
          <w:sz w:val="16"/>
          <w:szCs w:val="16"/>
        </w:rPr>
        <w:softHyphen/>
        <w:t>сокие баллистические качества оружия на данной установке».</w:t>
      </w:r>
    </w:p>
    <w:p w14:paraId="1D5D12E5"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В воздухе пушки отстреляли капитаны Голофастов, Кувшинов, Пикуленко, Кусакин и старший лейтенант Поминальный. Стрельба велась в горизонтальном полете, на виражах, на наборе высоты, а после вы</w:t>
      </w:r>
      <w:r w:rsidRPr="007224C3">
        <w:rPr>
          <w:rFonts w:ascii="Times New Roman" w:hAnsi="Times New Roman" w:cs="Times New Roman"/>
          <w:color w:val="000000" w:themeColor="text1"/>
          <w:sz w:val="16"/>
          <w:szCs w:val="16"/>
        </w:rPr>
        <w:softHyphen/>
        <w:t>полнения пилотажа и по наземной цели с пикирования (по щитам и контуру самоле</w:t>
      </w:r>
      <w:r w:rsidRPr="007224C3">
        <w:rPr>
          <w:rFonts w:ascii="Times New Roman" w:hAnsi="Times New Roman" w:cs="Times New Roman"/>
          <w:color w:val="000000" w:themeColor="text1"/>
          <w:sz w:val="16"/>
          <w:szCs w:val="16"/>
        </w:rPr>
        <w:softHyphen/>
        <w:t>та:. Кроме того, один полет был выполнен для стрельбы на большой высоте.</w:t>
      </w:r>
    </w:p>
    <w:p w14:paraId="16AA9830"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Пушки при стрельбе в воздухе пока</w:t>
      </w:r>
      <w:r w:rsidRPr="007224C3">
        <w:rPr>
          <w:rFonts w:ascii="Times New Roman" w:hAnsi="Times New Roman" w:cs="Times New Roman"/>
          <w:color w:val="000000" w:themeColor="text1"/>
          <w:sz w:val="16"/>
          <w:szCs w:val="16"/>
        </w:rPr>
        <w:softHyphen/>
        <w:t>зан/ себя, как надежное и безотказное оружие. Отдача при стрельбе из пушек более мягкая, чем при стрельбе из 37-мм -ушек НС-37 на самолетах Як-9т и ЛаГГ-3. С/нхронность стрельбы оценивалась как отличная.</w:t>
      </w:r>
    </w:p>
    <w:p w14:paraId="299D175F"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При стрельбе в горизонтальном поле</w:t>
      </w:r>
      <w:r w:rsidRPr="007224C3">
        <w:rPr>
          <w:rFonts w:ascii="Times New Roman" w:hAnsi="Times New Roman" w:cs="Times New Roman"/>
          <w:color w:val="000000" w:themeColor="text1"/>
          <w:sz w:val="16"/>
          <w:szCs w:val="16"/>
        </w:rPr>
        <w:softHyphen/>
        <w:t>те самолет «ощущает толчки и зарывается носом вниз». Такие же толчки имели место и на всех других режимах. На пикировании самолет во время стрельбы стремился увеличить угол пикирования и «его необ</w:t>
      </w:r>
      <w:r w:rsidRPr="007224C3">
        <w:rPr>
          <w:rFonts w:ascii="Times New Roman" w:hAnsi="Times New Roman" w:cs="Times New Roman"/>
          <w:color w:val="000000" w:themeColor="text1"/>
          <w:sz w:val="16"/>
          <w:szCs w:val="16"/>
        </w:rPr>
        <w:softHyphen/>
        <w:t>ходимо удерживать ручкой управления». Сила отдачи при стрельбе «несколько при</w:t>
      </w:r>
      <w:r w:rsidRPr="007224C3">
        <w:rPr>
          <w:rFonts w:ascii="Times New Roman" w:hAnsi="Times New Roman" w:cs="Times New Roman"/>
          <w:color w:val="000000" w:themeColor="text1"/>
          <w:sz w:val="16"/>
          <w:szCs w:val="16"/>
        </w:rPr>
        <w:softHyphen/>
        <w:t>тормаживает самолет, снижая скорость самолета на пикировании». При стрельбе во время набора высоты наблюдалось не</w:t>
      </w:r>
      <w:r w:rsidRPr="007224C3">
        <w:rPr>
          <w:rFonts w:ascii="Times New Roman" w:hAnsi="Times New Roman" w:cs="Times New Roman"/>
          <w:color w:val="000000" w:themeColor="text1"/>
          <w:sz w:val="16"/>
          <w:szCs w:val="16"/>
        </w:rPr>
        <w:softHyphen/>
        <w:t>которое уменьшение угла.</w:t>
      </w:r>
    </w:p>
    <w:p w14:paraId="0A965841"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Чем длиннее очередь из пушек, «тем опускание носа самолета и толчки более за</w:t>
      </w:r>
      <w:r w:rsidRPr="007224C3">
        <w:rPr>
          <w:rFonts w:ascii="Times New Roman" w:hAnsi="Times New Roman" w:cs="Times New Roman"/>
          <w:color w:val="000000" w:themeColor="text1"/>
          <w:sz w:val="16"/>
          <w:szCs w:val="16"/>
        </w:rPr>
        <w:softHyphen/>
        <w:t>метны». При очередях свыше 5-6 снарядов «удержать самолет от зарывания носом ста</w:t>
      </w:r>
      <w:r w:rsidRPr="007224C3">
        <w:rPr>
          <w:rFonts w:ascii="Times New Roman" w:hAnsi="Times New Roman" w:cs="Times New Roman"/>
          <w:color w:val="000000" w:themeColor="text1"/>
          <w:sz w:val="16"/>
          <w:szCs w:val="16"/>
        </w:rPr>
        <w:softHyphen/>
        <w:t>новится затруднительно», «самолет начина</w:t>
      </w:r>
      <w:r w:rsidRPr="007224C3">
        <w:rPr>
          <w:rFonts w:ascii="Times New Roman" w:hAnsi="Times New Roman" w:cs="Times New Roman"/>
          <w:color w:val="000000" w:themeColor="text1"/>
          <w:sz w:val="16"/>
          <w:szCs w:val="16"/>
        </w:rPr>
        <w:softHyphen/>
        <w:t>ет раскачиваться в полете» и «прицельная стрельба становится"'невозможной».</w:t>
      </w:r>
    </w:p>
    <w:p w14:paraId="44C466B1"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Для обеспечения более точного по</w:t>
      </w:r>
      <w:r w:rsidRPr="007224C3">
        <w:rPr>
          <w:rFonts w:ascii="Times New Roman" w:hAnsi="Times New Roman" w:cs="Times New Roman"/>
          <w:color w:val="000000" w:themeColor="text1"/>
          <w:sz w:val="16"/>
          <w:szCs w:val="16"/>
        </w:rPr>
        <w:softHyphen/>
        <w:t>ражения цели рекомендовалось произво</w:t>
      </w:r>
      <w:r w:rsidRPr="007224C3">
        <w:rPr>
          <w:rFonts w:ascii="Times New Roman" w:hAnsi="Times New Roman" w:cs="Times New Roman"/>
          <w:color w:val="000000" w:themeColor="text1"/>
          <w:sz w:val="16"/>
          <w:szCs w:val="16"/>
        </w:rPr>
        <w:softHyphen/>
        <w:t>дить стрельбу очередями по 2-3 максимум 4 снаряда из каждой пушки. При этом ко</w:t>
      </w:r>
      <w:r w:rsidRPr="007224C3">
        <w:rPr>
          <w:rFonts w:ascii="Times New Roman" w:hAnsi="Times New Roman" w:cs="Times New Roman"/>
          <w:color w:val="000000" w:themeColor="text1"/>
          <w:sz w:val="16"/>
          <w:szCs w:val="16"/>
        </w:rPr>
        <w:softHyphen/>
        <w:t>роткая очередь была рациональна и с точки зрения тактического применения самолета (более экономного расхода небольшого боекомплекта к пушкам).</w:t>
      </w:r>
    </w:p>
    <w:p w14:paraId="3DA46D2B"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При стрельбе из одной пушки (правой или левой) самолет разворачивался в сто</w:t>
      </w:r>
      <w:r w:rsidRPr="007224C3">
        <w:rPr>
          <w:rFonts w:ascii="Times New Roman" w:hAnsi="Times New Roman" w:cs="Times New Roman"/>
          <w:color w:val="000000" w:themeColor="text1"/>
          <w:sz w:val="16"/>
          <w:szCs w:val="16"/>
        </w:rPr>
        <w:softHyphen/>
        <w:t>рону стреляющей пушки, а так как «темп стрельбы очень мал, то держать самолет ногой, парируя рулями его отход от цели, почти невозможно». По заявлениям летчи</w:t>
      </w:r>
      <w:r w:rsidRPr="007224C3">
        <w:rPr>
          <w:rFonts w:ascii="Times New Roman" w:hAnsi="Times New Roman" w:cs="Times New Roman"/>
          <w:color w:val="000000" w:themeColor="text1"/>
          <w:sz w:val="16"/>
          <w:szCs w:val="16"/>
        </w:rPr>
        <w:softHyphen/>
        <w:t>ков «получается разбалтывание самолета относительно вертикальной оси на ли</w:t>
      </w:r>
      <w:r w:rsidRPr="007224C3">
        <w:rPr>
          <w:rFonts w:ascii="Times New Roman" w:hAnsi="Times New Roman" w:cs="Times New Roman"/>
          <w:color w:val="000000" w:themeColor="text1"/>
          <w:sz w:val="16"/>
          <w:szCs w:val="16"/>
        </w:rPr>
        <w:softHyphen/>
        <w:t>нии прицеливания, что ухудшает качество стрельбы». То есть прицельным был только первый снаряд в очереди.</w:t>
      </w:r>
    </w:p>
    <w:p w14:paraId="67FCCE6E"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Наиболее удобными углами пикирова</w:t>
      </w:r>
      <w:r w:rsidRPr="007224C3">
        <w:rPr>
          <w:rFonts w:ascii="Times New Roman" w:hAnsi="Times New Roman" w:cs="Times New Roman"/>
          <w:color w:val="000000" w:themeColor="text1"/>
          <w:sz w:val="16"/>
          <w:szCs w:val="16"/>
        </w:rPr>
        <w:softHyphen/>
        <w:t>ния при стрельбе по наземной цели с точки зрения потери высоты и увеличения скоро</w:t>
      </w:r>
      <w:r w:rsidRPr="007224C3">
        <w:rPr>
          <w:rFonts w:ascii="Times New Roman" w:hAnsi="Times New Roman" w:cs="Times New Roman"/>
          <w:color w:val="000000" w:themeColor="text1"/>
          <w:sz w:val="16"/>
          <w:szCs w:val="16"/>
        </w:rPr>
        <w:softHyphen/>
        <w:t>сти на пикировании, а также удобства при</w:t>
      </w:r>
      <w:r w:rsidRPr="007224C3">
        <w:rPr>
          <w:rFonts w:ascii="Times New Roman" w:hAnsi="Times New Roman" w:cs="Times New Roman"/>
          <w:color w:val="000000" w:themeColor="text1"/>
          <w:sz w:val="16"/>
          <w:szCs w:val="16"/>
        </w:rPr>
        <w:softHyphen/>
        <w:t>целивания считался диапазон 35-45°. При высоте ввода в пикирование 500-550 м дистанция огня составляла 500-700 м, что было более чем достаточно для прицели</w:t>
      </w:r>
      <w:r w:rsidRPr="007224C3">
        <w:rPr>
          <w:rFonts w:ascii="Times New Roman" w:hAnsi="Times New Roman" w:cs="Times New Roman"/>
          <w:color w:val="000000" w:themeColor="text1"/>
          <w:sz w:val="16"/>
          <w:szCs w:val="16"/>
        </w:rPr>
        <w:softHyphen/>
        <w:t>вания и производства 2-3 очередей.</w:t>
      </w:r>
    </w:p>
    <w:p w14:paraId="68883A8F"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Важно отметить, что при стрельбе в воздухе по наземной цели «Харрикейн» допускал перенос огня от первоначальной точки наводки в боковом направлении и по дальности в пределах 10-15°, «что было за</w:t>
      </w:r>
      <w:r w:rsidRPr="007224C3">
        <w:rPr>
          <w:rFonts w:ascii="Times New Roman" w:hAnsi="Times New Roman" w:cs="Times New Roman"/>
          <w:color w:val="000000" w:themeColor="text1"/>
          <w:sz w:val="16"/>
          <w:szCs w:val="16"/>
        </w:rPr>
        <w:softHyphen/>
        <w:t>труднено, а порой неосуществимо, на са</w:t>
      </w:r>
      <w:r w:rsidRPr="007224C3">
        <w:rPr>
          <w:rFonts w:ascii="Times New Roman" w:hAnsi="Times New Roman" w:cs="Times New Roman"/>
          <w:color w:val="000000" w:themeColor="text1"/>
          <w:sz w:val="16"/>
          <w:szCs w:val="16"/>
        </w:rPr>
        <w:softHyphen/>
        <w:t>молете Ил-2 с 37-мм пушками».</w:t>
      </w:r>
    </w:p>
    <w:p w14:paraId="4D3B6FAB"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Летчикам понравилось удобное распо</w:t>
      </w:r>
      <w:r w:rsidRPr="007224C3">
        <w:rPr>
          <w:rFonts w:ascii="Times New Roman" w:hAnsi="Times New Roman" w:cs="Times New Roman"/>
          <w:color w:val="000000" w:themeColor="text1"/>
          <w:sz w:val="16"/>
          <w:szCs w:val="16"/>
        </w:rPr>
        <w:softHyphen/>
        <w:t>ложение электрокнопки управления огнем из пушек на секторе газа под левую руку. Поскольку пулеметы приводились в дей</w:t>
      </w:r>
      <w:r w:rsidRPr="007224C3">
        <w:rPr>
          <w:rFonts w:ascii="Times New Roman" w:hAnsi="Times New Roman" w:cs="Times New Roman"/>
          <w:color w:val="000000" w:themeColor="text1"/>
          <w:sz w:val="16"/>
          <w:szCs w:val="16"/>
        </w:rPr>
        <w:softHyphen/>
        <w:t>ствие кнопкой на ручке управления само</w:t>
      </w:r>
      <w:r w:rsidRPr="007224C3">
        <w:rPr>
          <w:rFonts w:ascii="Times New Roman" w:hAnsi="Times New Roman" w:cs="Times New Roman"/>
          <w:color w:val="000000" w:themeColor="text1"/>
          <w:sz w:val="16"/>
          <w:szCs w:val="16"/>
        </w:rPr>
        <w:softHyphen/>
        <w:t>летом, то такое расположение управления пушками позволяло вести одновременный огонь из пушек и пулеметов.</w:t>
      </w:r>
    </w:p>
    <w:p w14:paraId="7C37C64A"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Существенным недостатком системы управления вооружением посчитали от</w:t>
      </w:r>
      <w:r w:rsidRPr="007224C3">
        <w:rPr>
          <w:rFonts w:ascii="Times New Roman" w:hAnsi="Times New Roman" w:cs="Times New Roman"/>
          <w:color w:val="000000" w:themeColor="text1"/>
          <w:sz w:val="16"/>
          <w:szCs w:val="16"/>
        </w:rPr>
        <w:softHyphen/>
        <w:t>сутствие приспособления перезарядки пушек в воздухе. По этой причине устра</w:t>
      </w:r>
      <w:r w:rsidRPr="007224C3">
        <w:rPr>
          <w:rFonts w:ascii="Times New Roman" w:hAnsi="Times New Roman" w:cs="Times New Roman"/>
          <w:color w:val="000000" w:themeColor="text1"/>
          <w:sz w:val="16"/>
          <w:szCs w:val="16"/>
        </w:rPr>
        <w:softHyphen/>
        <w:t>нить возможные задержки в стрельбе лет</w:t>
      </w:r>
      <w:r w:rsidRPr="007224C3">
        <w:rPr>
          <w:rFonts w:ascii="Times New Roman" w:hAnsi="Times New Roman" w:cs="Times New Roman"/>
          <w:color w:val="000000" w:themeColor="text1"/>
          <w:sz w:val="16"/>
          <w:szCs w:val="16"/>
        </w:rPr>
        <w:softHyphen/>
        <w:t>чик не мог. В полете в случае осечки лет</w:t>
      </w:r>
      <w:r w:rsidRPr="007224C3">
        <w:rPr>
          <w:rFonts w:ascii="Times New Roman" w:hAnsi="Times New Roman" w:cs="Times New Roman"/>
          <w:color w:val="000000" w:themeColor="text1"/>
          <w:sz w:val="16"/>
          <w:szCs w:val="16"/>
        </w:rPr>
        <w:softHyphen/>
        <w:t>чик мог только повторно взвести ударный механизм, «что отсутствие системы пере</w:t>
      </w:r>
      <w:r w:rsidRPr="007224C3">
        <w:rPr>
          <w:rFonts w:ascii="Times New Roman" w:hAnsi="Times New Roman" w:cs="Times New Roman"/>
          <w:color w:val="000000" w:themeColor="text1"/>
          <w:sz w:val="16"/>
          <w:szCs w:val="16"/>
        </w:rPr>
        <w:softHyphen/>
        <w:t>зарядки не компенсирует». В то же время взведение ударника (с помощью гашетки на левом борту) и контроль давления в воздушной системе управления оружием (с помощью манометра) осуществлялось просто и удобно.</w:t>
      </w:r>
    </w:p>
    <w:p w14:paraId="02BEF68E"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Прицеливание при помощи прицела Рефлектор Сайт Мк.115 простое. Включать прицел и регулировать накал лампы под</w:t>
      </w:r>
      <w:r w:rsidRPr="007224C3">
        <w:rPr>
          <w:rFonts w:ascii="Times New Roman" w:hAnsi="Times New Roman" w:cs="Times New Roman"/>
          <w:color w:val="000000" w:themeColor="text1"/>
          <w:sz w:val="16"/>
          <w:szCs w:val="16"/>
        </w:rPr>
        <w:softHyphen/>
        <w:t>светки удобно.</w:t>
      </w:r>
    </w:p>
    <w:p w14:paraId="730547D3"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Попытка отстрелять все вооружение самолета на высоте 7500-8000 м оказа</w:t>
      </w:r>
      <w:r w:rsidRPr="007224C3">
        <w:rPr>
          <w:rFonts w:ascii="Times New Roman" w:hAnsi="Times New Roman" w:cs="Times New Roman"/>
          <w:color w:val="000000" w:themeColor="text1"/>
          <w:sz w:val="16"/>
          <w:szCs w:val="16"/>
        </w:rPr>
        <w:softHyphen/>
        <w:t>лась неудачной. Из-за низкой температу</w:t>
      </w:r>
      <w:r w:rsidRPr="007224C3">
        <w:rPr>
          <w:rFonts w:ascii="Times New Roman" w:hAnsi="Times New Roman" w:cs="Times New Roman"/>
          <w:color w:val="000000" w:themeColor="text1"/>
          <w:sz w:val="16"/>
          <w:szCs w:val="16"/>
        </w:rPr>
        <w:softHyphen/>
        <w:t>ры воздуха - около -54°С, оружие отказало в действии. На земле были определены не</w:t>
      </w:r>
      <w:r w:rsidRPr="007224C3">
        <w:rPr>
          <w:rFonts w:ascii="Times New Roman" w:hAnsi="Times New Roman" w:cs="Times New Roman"/>
          <w:color w:val="000000" w:themeColor="text1"/>
          <w:sz w:val="16"/>
          <w:szCs w:val="16"/>
        </w:rPr>
        <w:softHyphen/>
        <w:t>отдачи в пушках и пулеметах, хотя оружие было смазано незамерзающей смазкой.</w:t>
      </w:r>
    </w:p>
    <w:p w14:paraId="2CA16A3C"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Летчики сочли, что «боекомплект 15 снарядов на пушку и темп стрельбы 100-110 выстрелов в минуту не могут удовлетворить ТТТ, предъявляемым ВВС к самолету-истребителю». Боекомплект к пулеметам был вполне достаточным.</w:t>
      </w:r>
    </w:p>
    <w:p w14:paraId="47753EA9"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Основные результаты при стрельбе по щиту с пикирования под углом 45° с дистан</w:t>
      </w:r>
      <w:r w:rsidRPr="007224C3">
        <w:rPr>
          <w:rFonts w:ascii="Times New Roman" w:hAnsi="Times New Roman" w:cs="Times New Roman"/>
          <w:color w:val="000000" w:themeColor="text1"/>
          <w:sz w:val="16"/>
          <w:szCs w:val="16"/>
        </w:rPr>
        <w:softHyphen/>
        <w:t>ции 500-700 м сводились к следующему. Боковое отклонение и отклонение по даль</w:t>
      </w:r>
      <w:r w:rsidRPr="007224C3">
        <w:rPr>
          <w:rFonts w:ascii="Times New Roman" w:hAnsi="Times New Roman" w:cs="Times New Roman"/>
          <w:color w:val="000000" w:themeColor="text1"/>
          <w:sz w:val="16"/>
          <w:szCs w:val="16"/>
        </w:rPr>
        <w:softHyphen/>
        <w:t>ности достигали: короткая очередь (2-3 снаряда) -1,08 и 1,70 м, длинная очередь (6-7 снарядов) - 1,51 и 2,39 м, рассеива</w:t>
      </w:r>
      <w:r w:rsidRPr="007224C3">
        <w:rPr>
          <w:rFonts w:ascii="Times New Roman" w:hAnsi="Times New Roman" w:cs="Times New Roman"/>
          <w:color w:val="000000" w:themeColor="text1"/>
          <w:sz w:val="16"/>
          <w:szCs w:val="16"/>
        </w:rPr>
        <w:softHyphen/>
        <w:t>ние коротких очередей (5 очередей) - 1,55 и 3,11 м, рассеивание длинных очередей (2 очереди)-2,02 и 5,32 м.</w:t>
      </w:r>
    </w:p>
    <w:p w14:paraId="77F1C271"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lastRenderedPageBreak/>
        <w:t>Наблюдались значительные отклоне</w:t>
      </w:r>
      <w:r w:rsidRPr="007224C3">
        <w:rPr>
          <w:rFonts w:ascii="Times New Roman" w:hAnsi="Times New Roman" w:cs="Times New Roman"/>
          <w:color w:val="000000" w:themeColor="text1"/>
          <w:sz w:val="16"/>
          <w:szCs w:val="16"/>
        </w:rPr>
        <w:softHyphen/>
        <w:t>ния центра группирования в вертикальной плоскости (по дальности) с увеличением длины очереди. Если при стрельбе корот</w:t>
      </w:r>
      <w:r w:rsidRPr="007224C3">
        <w:rPr>
          <w:rFonts w:ascii="Times New Roman" w:hAnsi="Times New Roman" w:cs="Times New Roman"/>
          <w:color w:val="000000" w:themeColor="text1"/>
          <w:sz w:val="16"/>
          <w:szCs w:val="16"/>
        </w:rPr>
        <w:softHyphen/>
        <w:t>кими очередями рассеивание центра груп</w:t>
      </w:r>
      <w:r w:rsidRPr="007224C3">
        <w:rPr>
          <w:rFonts w:ascii="Times New Roman" w:hAnsi="Times New Roman" w:cs="Times New Roman"/>
          <w:color w:val="000000" w:themeColor="text1"/>
          <w:sz w:val="16"/>
          <w:szCs w:val="16"/>
        </w:rPr>
        <w:softHyphen/>
        <w:t>пирования очереди находилось в пределах от -1,1 до -2,4 м, то при переходе к стрель</w:t>
      </w:r>
      <w:r w:rsidRPr="007224C3">
        <w:rPr>
          <w:rFonts w:ascii="Times New Roman" w:hAnsi="Times New Roman" w:cs="Times New Roman"/>
          <w:color w:val="000000" w:themeColor="text1"/>
          <w:sz w:val="16"/>
          <w:szCs w:val="16"/>
        </w:rPr>
        <w:softHyphen/>
        <w:t>бе длинными очередями резко возраста</w:t>
      </w:r>
      <w:r w:rsidRPr="007224C3">
        <w:rPr>
          <w:rFonts w:ascii="Times New Roman" w:hAnsi="Times New Roman" w:cs="Times New Roman"/>
          <w:color w:val="000000" w:themeColor="text1"/>
          <w:sz w:val="16"/>
          <w:szCs w:val="16"/>
        </w:rPr>
        <w:softHyphen/>
        <w:t>ло - до -3,12-4,47 м. Это обстоятельство вполне соответствовало показаниям лет</w:t>
      </w:r>
      <w:r w:rsidRPr="007224C3">
        <w:rPr>
          <w:rFonts w:ascii="Times New Roman" w:hAnsi="Times New Roman" w:cs="Times New Roman"/>
          <w:color w:val="000000" w:themeColor="text1"/>
          <w:sz w:val="16"/>
          <w:szCs w:val="16"/>
        </w:rPr>
        <w:softHyphen/>
        <w:t>чиков о стремлении самолета «зарываться носом при стрельбе на пикировании».</w:t>
      </w:r>
    </w:p>
    <w:p w14:paraId="10BD5C38"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При стрельбе из одной пушки с увели</w:t>
      </w:r>
      <w:r w:rsidRPr="007224C3">
        <w:rPr>
          <w:rFonts w:ascii="Times New Roman" w:hAnsi="Times New Roman" w:cs="Times New Roman"/>
          <w:color w:val="000000" w:themeColor="text1"/>
          <w:sz w:val="16"/>
          <w:szCs w:val="16"/>
        </w:rPr>
        <w:softHyphen/>
        <w:t>чением длины очереди центр группирова</w:t>
      </w:r>
      <w:r w:rsidRPr="007224C3">
        <w:rPr>
          <w:rFonts w:ascii="Times New Roman" w:hAnsi="Times New Roman" w:cs="Times New Roman"/>
          <w:color w:val="000000" w:themeColor="text1"/>
          <w:sz w:val="16"/>
          <w:szCs w:val="16"/>
        </w:rPr>
        <w:softHyphen/>
        <w:t>ния очереди «резко смещался в сторону стреляющей пушки под самолет», причем «тенденция эта одинаковая как для правой, так и для левой пушки».</w:t>
      </w:r>
    </w:p>
    <w:tbl>
      <w:tblPr>
        <w:tblW w:w="0" w:type="auto"/>
        <w:tblLayout w:type="fixed"/>
        <w:tblCellMar>
          <w:left w:w="10" w:type="dxa"/>
          <w:right w:w="10" w:type="dxa"/>
        </w:tblCellMar>
        <w:tblLook w:val="04A0" w:firstRow="1" w:lastRow="0" w:firstColumn="1" w:lastColumn="0" w:noHBand="0" w:noVBand="1"/>
      </w:tblPr>
      <w:tblGrid>
        <w:gridCol w:w="2050"/>
        <w:gridCol w:w="926"/>
        <w:gridCol w:w="922"/>
        <w:gridCol w:w="926"/>
        <w:gridCol w:w="922"/>
        <w:gridCol w:w="931"/>
      </w:tblGrid>
      <w:tr w:rsidR="006331D6" w:rsidRPr="007224C3" w14:paraId="2CE21646" w14:textId="77777777" w:rsidTr="00903E13">
        <w:trPr>
          <w:trHeight w:val="211"/>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4B878ADD" w14:textId="77777777" w:rsidR="00903E13" w:rsidRPr="007224C3" w:rsidRDefault="00903E13" w:rsidP="007224C3">
            <w:pPr>
              <w:pStyle w:val="45"/>
              <w:shd w:val="clear" w:color="auto" w:fill="auto"/>
              <w:spacing w:before="0" w:line="240" w:lineRule="auto"/>
              <w:jc w:val="both"/>
              <w:rPr>
                <w:rFonts w:ascii="Times New Roman" w:cs="Times New Roman"/>
                <w:color w:val="000000" w:themeColor="text1"/>
                <w:sz w:val="16"/>
                <w:szCs w:val="16"/>
              </w:rPr>
            </w:pPr>
            <w:r w:rsidRPr="007224C3">
              <w:rPr>
                <w:rFonts w:ascii="Times New Roman" w:cs="Times New Roman"/>
                <w:color w:val="000000" w:themeColor="text1"/>
                <w:sz w:val="16"/>
                <w:szCs w:val="16"/>
              </w:rPr>
              <w:t>Характеристика/тип пушки</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29E714CE" w14:textId="77777777" w:rsidR="00903E13" w:rsidRPr="007224C3" w:rsidRDefault="00903E13" w:rsidP="007224C3">
            <w:pPr>
              <w:pStyle w:val="45"/>
              <w:shd w:val="clear" w:color="auto" w:fill="auto"/>
              <w:spacing w:before="0" w:line="240" w:lineRule="auto"/>
              <w:jc w:val="both"/>
              <w:rPr>
                <w:rFonts w:ascii="Times New Roman" w:cs="Times New Roman"/>
                <w:color w:val="000000" w:themeColor="text1"/>
                <w:sz w:val="16"/>
                <w:szCs w:val="16"/>
              </w:rPr>
            </w:pPr>
            <w:r w:rsidRPr="007224C3">
              <w:rPr>
                <w:rFonts w:ascii="Times New Roman" w:cs="Times New Roman"/>
                <w:color w:val="000000" w:themeColor="text1"/>
                <w:sz w:val="16"/>
                <w:szCs w:val="16"/>
              </w:rPr>
              <w:t>НС-45</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2115F87B" w14:textId="77777777" w:rsidR="00903E13" w:rsidRPr="007224C3" w:rsidRDefault="00903E13" w:rsidP="007224C3">
            <w:pPr>
              <w:pStyle w:val="45"/>
              <w:shd w:val="clear" w:color="auto" w:fill="auto"/>
              <w:spacing w:before="0" w:line="240" w:lineRule="auto"/>
              <w:jc w:val="both"/>
              <w:rPr>
                <w:rFonts w:ascii="Times New Roman" w:cs="Times New Roman"/>
                <w:color w:val="000000" w:themeColor="text1"/>
                <w:sz w:val="16"/>
                <w:szCs w:val="16"/>
              </w:rPr>
            </w:pPr>
            <w:r w:rsidRPr="007224C3">
              <w:rPr>
                <w:rFonts w:ascii="Times New Roman" w:cs="Times New Roman"/>
                <w:color w:val="000000" w:themeColor="text1"/>
                <w:sz w:val="16"/>
                <w:szCs w:val="16"/>
              </w:rPr>
              <w:t>«Виккерс» 3</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62EA51C3" w14:textId="77777777" w:rsidR="00903E13" w:rsidRPr="007224C3" w:rsidRDefault="00903E13" w:rsidP="007224C3">
            <w:pPr>
              <w:pStyle w:val="45"/>
              <w:shd w:val="clear" w:color="auto" w:fill="auto"/>
              <w:spacing w:before="0" w:line="240" w:lineRule="auto"/>
              <w:jc w:val="both"/>
              <w:rPr>
                <w:rFonts w:ascii="Times New Roman" w:cs="Times New Roman"/>
                <w:color w:val="000000" w:themeColor="text1"/>
                <w:sz w:val="16"/>
                <w:szCs w:val="16"/>
              </w:rPr>
            </w:pPr>
            <w:r w:rsidRPr="007224C3">
              <w:rPr>
                <w:rFonts w:ascii="Times New Roman" w:cs="Times New Roman"/>
                <w:color w:val="000000" w:themeColor="text1"/>
                <w:sz w:val="16"/>
                <w:szCs w:val="16"/>
              </w:rPr>
              <w:t>М4</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524F7FD4" w14:textId="77777777" w:rsidR="00903E13" w:rsidRPr="007224C3" w:rsidRDefault="00903E13" w:rsidP="007224C3">
            <w:pPr>
              <w:pStyle w:val="45"/>
              <w:shd w:val="clear" w:color="auto" w:fill="auto"/>
              <w:spacing w:before="0" w:line="240" w:lineRule="auto"/>
              <w:jc w:val="both"/>
              <w:rPr>
                <w:rFonts w:ascii="Times New Roman" w:cs="Times New Roman"/>
                <w:color w:val="000000" w:themeColor="text1"/>
                <w:sz w:val="16"/>
                <w:szCs w:val="16"/>
              </w:rPr>
            </w:pPr>
            <w:r w:rsidRPr="007224C3">
              <w:rPr>
                <w:rFonts w:ascii="Times New Roman" w:cs="Times New Roman"/>
                <w:color w:val="000000" w:themeColor="text1"/>
                <w:sz w:val="16"/>
                <w:szCs w:val="16"/>
              </w:rPr>
              <w:t>НС-37</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4EE7C7A0" w14:textId="77777777" w:rsidR="00903E13" w:rsidRPr="007224C3" w:rsidRDefault="00903E13" w:rsidP="007224C3">
            <w:pPr>
              <w:pStyle w:val="45"/>
              <w:shd w:val="clear" w:color="auto" w:fill="auto"/>
              <w:spacing w:before="0" w:line="240" w:lineRule="auto"/>
              <w:jc w:val="both"/>
              <w:rPr>
                <w:rFonts w:ascii="Times New Roman" w:cs="Times New Roman"/>
                <w:color w:val="000000" w:themeColor="text1"/>
                <w:sz w:val="16"/>
                <w:szCs w:val="16"/>
              </w:rPr>
            </w:pPr>
            <w:r w:rsidRPr="007224C3">
              <w:rPr>
                <w:rFonts w:ascii="Times New Roman" w:cs="Times New Roman"/>
                <w:color w:val="000000" w:themeColor="text1"/>
                <w:sz w:val="16"/>
                <w:szCs w:val="16"/>
              </w:rPr>
              <w:t>ВЯ</w:t>
            </w:r>
          </w:p>
        </w:tc>
      </w:tr>
      <w:tr w:rsidR="006331D6" w:rsidRPr="007224C3" w14:paraId="4FA4270D" w14:textId="77777777" w:rsidTr="00903E13">
        <w:trPr>
          <w:trHeight w:val="202"/>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787D4A67"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Калибр, мм</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799C3C7D"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45</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79C976FA"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40</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40E6407E"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37</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5C44FC5C"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37</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5D92466A"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23</w:t>
            </w:r>
          </w:p>
        </w:tc>
      </w:tr>
      <w:tr w:rsidR="006331D6" w:rsidRPr="007224C3" w14:paraId="12476518" w14:textId="77777777" w:rsidTr="00903E13">
        <w:trPr>
          <w:trHeight w:val="226"/>
        </w:trPr>
        <w:tc>
          <w:tcPr>
            <w:tcW w:w="2050" w:type="dxa"/>
            <w:tcBorders>
              <w:top w:val="single" w:sz="4" w:space="0" w:color="auto"/>
              <w:left w:val="single" w:sz="4" w:space="0" w:color="auto"/>
              <w:right w:val="single" w:sz="4" w:space="0" w:color="auto"/>
            </w:tcBorders>
            <w:shd w:val="clear" w:color="auto" w:fill="FFFFFF"/>
          </w:tcPr>
          <w:p w14:paraId="677AEFB1" w14:textId="77777777" w:rsidR="00903E13" w:rsidRPr="007224C3" w:rsidRDefault="00903E13" w:rsidP="007224C3">
            <w:pPr>
              <w:spacing w:after="0" w:line="240" w:lineRule="auto"/>
              <w:jc w:val="both"/>
              <w:rPr>
                <w:rFonts w:ascii="Times New Roman" w:hAnsi="Times New Roman"/>
                <w:color w:val="000000" w:themeColor="text1"/>
                <w:sz w:val="16"/>
                <w:szCs w:val="16"/>
              </w:rPr>
            </w:pPr>
          </w:p>
        </w:tc>
        <w:tc>
          <w:tcPr>
            <w:tcW w:w="926" w:type="dxa"/>
            <w:tcBorders>
              <w:top w:val="single" w:sz="4" w:space="0" w:color="auto"/>
              <w:left w:val="single" w:sz="4" w:space="0" w:color="auto"/>
              <w:right w:val="single" w:sz="4" w:space="0" w:color="auto"/>
            </w:tcBorders>
            <w:shd w:val="clear" w:color="auto" w:fill="FFFFFF"/>
          </w:tcPr>
          <w:p w14:paraId="724A4E90"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Отдача при</w:t>
            </w:r>
          </w:p>
        </w:tc>
        <w:tc>
          <w:tcPr>
            <w:tcW w:w="922" w:type="dxa"/>
            <w:tcBorders>
              <w:top w:val="single" w:sz="4" w:space="0" w:color="auto"/>
              <w:left w:val="single" w:sz="4" w:space="0" w:color="auto"/>
              <w:right w:val="single" w:sz="4" w:space="0" w:color="auto"/>
            </w:tcBorders>
            <w:shd w:val="clear" w:color="auto" w:fill="FFFFFF"/>
          </w:tcPr>
          <w:p w14:paraId="27B4CE6B"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Отдача при</w:t>
            </w:r>
          </w:p>
        </w:tc>
        <w:tc>
          <w:tcPr>
            <w:tcW w:w="926" w:type="dxa"/>
            <w:tcBorders>
              <w:top w:val="single" w:sz="4" w:space="0" w:color="auto"/>
              <w:left w:val="single" w:sz="4" w:space="0" w:color="auto"/>
              <w:right w:val="single" w:sz="4" w:space="0" w:color="auto"/>
            </w:tcBorders>
            <w:shd w:val="clear" w:color="auto" w:fill="FFFFFF"/>
          </w:tcPr>
          <w:p w14:paraId="5E5FAC1F"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Отдача при</w:t>
            </w:r>
          </w:p>
        </w:tc>
        <w:tc>
          <w:tcPr>
            <w:tcW w:w="922" w:type="dxa"/>
            <w:tcBorders>
              <w:top w:val="single" w:sz="4" w:space="0" w:color="auto"/>
              <w:left w:val="single" w:sz="4" w:space="0" w:color="auto"/>
              <w:right w:val="single" w:sz="4" w:space="0" w:color="auto"/>
            </w:tcBorders>
            <w:shd w:val="clear" w:color="auto" w:fill="FFFFFF"/>
          </w:tcPr>
          <w:p w14:paraId="175B0585"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Отдача при</w:t>
            </w:r>
          </w:p>
        </w:tc>
        <w:tc>
          <w:tcPr>
            <w:tcW w:w="931" w:type="dxa"/>
            <w:tcBorders>
              <w:top w:val="single" w:sz="4" w:space="0" w:color="auto"/>
              <w:left w:val="single" w:sz="4" w:space="0" w:color="auto"/>
              <w:right w:val="single" w:sz="4" w:space="0" w:color="auto"/>
            </w:tcBorders>
            <w:shd w:val="clear" w:color="auto" w:fill="FFFFFF"/>
          </w:tcPr>
          <w:p w14:paraId="19EF7425"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Отвод газов</w:t>
            </w:r>
          </w:p>
        </w:tc>
      </w:tr>
      <w:tr w:rsidR="006331D6" w:rsidRPr="007224C3" w14:paraId="7A986673" w14:textId="77777777" w:rsidTr="00903E13">
        <w:trPr>
          <w:trHeight w:val="197"/>
        </w:trPr>
        <w:tc>
          <w:tcPr>
            <w:tcW w:w="2050" w:type="dxa"/>
            <w:tcBorders>
              <w:left w:val="single" w:sz="4" w:space="0" w:color="auto"/>
              <w:right w:val="single" w:sz="4" w:space="0" w:color="auto"/>
            </w:tcBorders>
            <w:shd w:val="clear" w:color="auto" w:fill="FFFFFF"/>
          </w:tcPr>
          <w:p w14:paraId="57FDFF4B"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Принцип действия</w:t>
            </w:r>
          </w:p>
        </w:tc>
        <w:tc>
          <w:tcPr>
            <w:tcW w:w="926" w:type="dxa"/>
            <w:tcBorders>
              <w:left w:val="single" w:sz="4" w:space="0" w:color="auto"/>
              <w:right w:val="single" w:sz="4" w:space="0" w:color="auto"/>
            </w:tcBorders>
            <w:shd w:val="clear" w:color="auto" w:fill="FFFFFF"/>
          </w:tcPr>
          <w:p w14:paraId="4637B537"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коротком</w:t>
            </w:r>
          </w:p>
        </w:tc>
        <w:tc>
          <w:tcPr>
            <w:tcW w:w="922" w:type="dxa"/>
            <w:tcBorders>
              <w:left w:val="single" w:sz="4" w:space="0" w:color="auto"/>
              <w:right w:val="single" w:sz="4" w:space="0" w:color="auto"/>
            </w:tcBorders>
            <w:shd w:val="clear" w:color="auto" w:fill="FFFFFF"/>
          </w:tcPr>
          <w:p w14:paraId="622FD812"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длинном</w:t>
            </w:r>
          </w:p>
        </w:tc>
        <w:tc>
          <w:tcPr>
            <w:tcW w:w="926" w:type="dxa"/>
            <w:tcBorders>
              <w:left w:val="single" w:sz="4" w:space="0" w:color="auto"/>
              <w:right w:val="single" w:sz="4" w:space="0" w:color="auto"/>
            </w:tcBorders>
            <w:shd w:val="clear" w:color="auto" w:fill="FFFFFF"/>
          </w:tcPr>
          <w:p w14:paraId="60810341"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коротком</w:t>
            </w:r>
          </w:p>
        </w:tc>
        <w:tc>
          <w:tcPr>
            <w:tcW w:w="922" w:type="dxa"/>
            <w:tcBorders>
              <w:left w:val="single" w:sz="4" w:space="0" w:color="auto"/>
              <w:right w:val="single" w:sz="4" w:space="0" w:color="auto"/>
            </w:tcBorders>
            <w:shd w:val="clear" w:color="auto" w:fill="FFFFFF"/>
          </w:tcPr>
          <w:p w14:paraId="5066B0D9"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коротком</w:t>
            </w:r>
          </w:p>
        </w:tc>
        <w:tc>
          <w:tcPr>
            <w:tcW w:w="931" w:type="dxa"/>
            <w:tcBorders>
              <w:left w:val="single" w:sz="4" w:space="0" w:color="auto"/>
              <w:right w:val="single" w:sz="4" w:space="0" w:color="auto"/>
            </w:tcBorders>
            <w:shd w:val="clear" w:color="auto" w:fill="FFFFFF"/>
          </w:tcPr>
          <w:p w14:paraId="0E9B65AD"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из канала</w:t>
            </w:r>
          </w:p>
        </w:tc>
      </w:tr>
      <w:tr w:rsidR="006331D6" w:rsidRPr="007224C3" w14:paraId="0D4BF288" w14:textId="77777777" w:rsidTr="00903E13">
        <w:trPr>
          <w:trHeight w:val="163"/>
        </w:trPr>
        <w:tc>
          <w:tcPr>
            <w:tcW w:w="2050" w:type="dxa"/>
            <w:tcBorders>
              <w:left w:val="single" w:sz="4" w:space="0" w:color="auto"/>
              <w:bottom w:val="single" w:sz="4" w:space="0" w:color="auto"/>
              <w:right w:val="single" w:sz="4" w:space="0" w:color="auto"/>
            </w:tcBorders>
            <w:shd w:val="clear" w:color="auto" w:fill="FFFFFF"/>
          </w:tcPr>
          <w:p w14:paraId="439F4A5B" w14:textId="77777777" w:rsidR="00903E13" w:rsidRPr="007224C3" w:rsidRDefault="00903E13" w:rsidP="007224C3">
            <w:pPr>
              <w:spacing w:after="0" w:line="240" w:lineRule="auto"/>
              <w:jc w:val="both"/>
              <w:rPr>
                <w:rFonts w:ascii="Times New Roman" w:hAnsi="Times New Roman"/>
                <w:color w:val="000000" w:themeColor="text1"/>
                <w:sz w:val="16"/>
                <w:szCs w:val="16"/>
              </w:rPr>
            </w:pPr>
          </w:p>
        </w:tc>
        <w:tc>
          <w:tcPr>
            <w:tcW w:w="926" w:type="dxa"/>
            <w:tcBorders>
              <w:left w:val="single" w:sz="4" w:space="0" w:color="auto"/>
              <w:bottom w:val="single" w:sz="4" w:space="0" w:color="auto"/>
              <w:right w:val="single" w:sz="4" w:space="0" w:color="auto"/>
            </w:tcBorders>
            <w:shd w:val="clear" w:color="auto" w:fill="FFFFFF"/>
          </w:tcPr>
          <w:p w14:paraId="50F45335"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ходе ствола</w:t>
            </w:r>
          </w:p>
        </w:tc>
        <w:tc>
          <w:tcPr>
            <w:tcW w:w="922" w:type="dxa"/>
            <w:tcBorders>
              <w:left w:val="single" w:sz="4" w:space="0" w:color="auto"/>
              <w:bottom w:val="single" w:sz="4" w:space="0" w:color="auto"/>
              <w:right w:val="single" w:sz="4" w:space="0" w:color="auto"/>
            </w:tcBorders>
            <w:shd w:val="clear" w:color="auto" w:fill="FFFFFF"/>
          </w:tcPr>
          <w:p w14:paraId="48290367"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ходе ствола</w:t>
            </w:r>
          </w:p>
        </w:tc>
        <w:tc>
          <w:tcPr>
            <w:tcW w:w="926" w:type="dxa"/>
            <w:tcBorders>
              <w:left w:val="single" w:sz="4" w:space="0" w:color="auto"/>
              <w:bottom w:val="single" w:sz="4" w:space="0" w:color="auto"/>
              <w:right w:val="single" w:sz="4" w:space="0" w:color="auto"/>
            </w:tcBorders>
            <w:shd w:val="clear" w:color="auto" w:fill="FFFFFF"/>
          </w:tcPr>
          <w:p w14:paraId="68745684"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ходе ствола</w:t>
            </w:r>
          </w:p>
        </w:tc>
        <w:tc>
          <w:tcPr>
            <w:tcW w:w="922" w:type="dxa"/>
            <w:tcBorders>
              <w:left w:val="single" w:sz="4" w:space="0" w:color="auto"/>
              <w:bottom w:val="single" w:sz="4" w:space="0" w:color="auto"/>
              <w:right w:val="single" w:sz="4" w:space="0" w:color="auto"/>
            </w:tcBorders>
            <w:shd w:val="clear" w:color="auto" w:fill="FFFFFF"/>
          </w:tcPr>
          <w:p w14:paraId="5227E676"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ходе ствола</w:t>
            </w:r>
          </w:p>
        </w:tc>
        <w:tc>
          <w:tcPr>
            <w:tcW w:w="931" w:type="dxa"/>
            <w:tcBorders>
              <w:left w:val="single" w:sz="4" w:space="0" w:color="auto"/>
              <w:bottom w:val="single" w:sz="4" w:space="0" w:color="auto"/>
              <w:right w:val="single" w:sz="4" w:space="0" w:color="auto"/>
            </w:tcBorders>
            <w:shd w:val="clear" w:color="auto" w:fill="FFFFFF"/>
          </w:tcPr>
          <w:p w14:paraId="5FC114E8"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ствола</w:t>
            </w:r>
          </w:p>
        </w:tc>
      </w:tr>
      <w:tr w:rsidR="006331D6" w:rsidRPr="007224C3" w14:paraId="1C268950" w14:textId="77777777" w:rsidTr="00903E13">
        <w:trPr>
          <w:trHeight w:val="206"/>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35A4149D"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Питание</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72B79044"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Звеньевое</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07267A9E"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Магазин</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6A3AA0E4"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Магазин</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663B2C15"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Звеньевое</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071718FE"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Зеньевое</w:t>
            </w:r>
          </w:p>
        </w:tc>
      </w:tr>
      <w:tr w:rsidR="006331D6" w:rsidRPr="007224C3" w14:paraId="3B5DD73D" w14:textId="77777777" w:rsidTr="00903E13">
        <w:trPr>
          <w:trHeight w:val="206"/>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0D6E8F04"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Темп стрельбы, выстр./мин</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657154D5"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250</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47D05B0D"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110</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1F41DC3D"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150</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3CAAD3D2"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250</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008CF9F5"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600</w:t>
            </w:r>
          </w:p>
        </w:tc>
      </w:tr>
      <w:tr w:rsidR="006331D6" w:rsidRPr="007224C3" w14:paraId="63ED2312" w14:textId="77777777" w:rsidTr="00903E13">
        <w:trPr>
          <w:trHeight w:val="202"/>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1A171196"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Начальная скорость, м/с</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020A5EF1"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781</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62E906E9"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585</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20BAFDCD"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610</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40A77432"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878</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73216A04"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915</w:t>
            </w:r>
          </w:p>
        </w:tc>
      </w:tr>
      <w:tr w:rsidR="006331D6" w:rsidRPr="007224C3" w14:paraId="7125A9E2" w14:textId="77777777" w:rsidTr="00903E13">
        <w:trPr>
          <w:trHeight w:val="206"/>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1B67610D"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Вес пушки, кг</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6802FEB2"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163,8</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55F1DDBC"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157,7</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3AD464CA"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108</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012B7E04"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162,5</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7C8E10C1"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66</w:t>
            </w:r>
          </w:p>
        </w:tc>
      </w:tr>
      <w:tr w:rsidR="006331D6" w:rsidRPr="007224C3" w14:paraId="158C0ED1" w14:textId="77777777" w:rsidTr="00903E13">
        <w:trPr>
          <w:trHeight w:val="202"/>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4CF32C86"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Вес снаряда, кг</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28000066"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1,065</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231C1C3A"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1,041</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0873A861"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0,65</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580F3368"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0,732</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5A33F006"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0,197</w:t>
            </w:r>
          </w:p>
        </w:tc>
      </w:tr>
      <w:tr w:rsidR="006331D6" w:rsidRPr="007224C3" w14:paraId="7BB3DBFD" w14:textId="77777777" w:rsidTr="00903E13">
        <w:trPr>
          <w:trHeight w:val="202"/>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39212C56"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Вес секундного залпа, кг</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48AEB2DD"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4,44</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71109708"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1,91</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247F0A70"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1,63</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38C04055"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3,05</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4270C7F5"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1,97</w:t>
            </w:r>
          </w:p>
        </w:tc>
      </w:tr>
      <w:tr w:rsidR="006331D6" w:rsidRPr="007224C3" w14:paraId="1AA837F9" w14:textId="77777777" w:rsidTr="00903E13">
        <w:trPr>
          <w:trHeight w:val="206"/>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3E0B7EE2"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Дульная энергия, кг</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5A0F753F"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33110</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1E11E73A"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18158</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2FE060C8"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12327</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4DEDA1C9"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28761</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306480A6"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8406</w:t>
            </w:r>
          </w:p>
        </w:tc>
      </w:tr>
      <w:tr w:rsidR="006331D6" w:rsidRPr="007224C3" w14:paraId="7267C6AB" w14:textId="77777777" w:rsidTr="00903E13">
        <w:trPr>
          <w:trHeight w:val="206"/>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427812DD"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Дульная мощность, кг/с</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13788619"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137956</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11BD3072"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33289</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21F84435"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30819</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4C5D60F9"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119837</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355E0161"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84064</w:t>
            </w:r>
          </w:p>
        </w:tc>
      </w:tr>
      <w:tr w:rsidR="006331D6" w:rsidRPr="007224C3" w14:paraId="605B8A63" w14:textId="77777777" w:rsidTr="00903E13">
        <w:trPr>
          <w:trHeight w:val="211"/>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123D858F"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Показатель качества оружия</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5D39871B"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842</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0300ED94"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211</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55A70747"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285</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03CF17B3"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737</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3ACCDD88"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1274</w:t>
            </w:r>
          </w:p>
        </w:tc>
      </w:tr>
    </w:tbl>
    <w:p w14:paraId="32D8EBF4"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Как положительный факт отмечалась простая эксплуатация пушек: «пушки ос</w:t>
      </w:r>
      <w:r w:rsidRPr="007224C3">
        <w:rPr>
          <w:rFonts w:ascii="Times New Roman" w:hAnsi="Times New Roman" w:cs="Times New Roman"/>
          <w:color w:val="000000" w:themeColor="text1"/>
          <w:sz w:val="16"/>
          <w:szCs w:val="16"/>
        </w:rPr>
        <w:softHyphen/>
        <w:t>ваиваются техническим составом легко и быстро». Подходы к пушкам удобные. Зарядка магазина производилась непо</w:t>
      </w:r>
      <w:r w:rsidRPr="007224C3">
        <w:rPr>
          <w:rFonts w:ascii="Times New Roman" w:hAnsi="Times New Roman" w:cs="Times New Roman"/>
          <w:color w:val="000000" w:themeColor="text1"/>
          <w:sz w:val="16"/>
          <w:szCs w:val="16"/>
        </w:rPr>
        <w:softHyphen/>
        <w:t>средственно на самолете. При двух рабо</w:t>
      </w:r>
      <w:r w:rsidRPr="007224C3">
        <w:rPr>
          <w:rFonts w:ascii="Times New Roman" w:hAnsi="Times New Roman" w:cs="Times New Roman"/>
          <w:color w:val="000000" w:themeColor="text1"/>
          <w:sz w:val="16"/>
          <w:szCs w:val="16"/>
        </w:rPr>
        <w:softHyphen/>
        <w:t>тающих техниках на приведение в боевую готовность одной пушки после стрельбы (снятие обтекателя пушки, частичная раз</w:t>
      </w:r>
      <w:r w:rsidRPr="007224C3">
        <w:rPr>
          <w:rFonts w:ascii="Times New Roman" w:hAnsi="Times New Roman" w:cs="Times New Roman"/>
          <w:color w:val="000000" w:themeColor="text1"/>
          <w:sz w:val="16"/>
          <w:szCs w:val="16"/>
        </w:rPr>
        <w:softHyphen/>
        <w:t>борка, чистка и смазка пушки, зарядка ма</w:t>
      </w:r>
      <w:r w:rsidRPr="007224C3">
        <w:rPr>
          <w:rFonts w:ascii="Times New Roman" w:hAnsi="Times New Roman" w:cs="Times New Roman"/>
          <w:color w:val="000000" w:themeColor="text1"/>
          <w:sz w:val="16"/>
          <w:szCs w:val="16"/>
        </w:rPr>
        <w:softHyphen/>
        <w:t>газина, постановка обтекателя) уходило не более 26 мин, в том числе всего 2 мин - на зарядку пушки.</w:t>
      </w:r>
    </w:p>
    <w:p w14:paraId="46E0D05F"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тронного ящика, чистка, смазка, укладка ленты в ящик, зарядка пулемета и закрытие лючка) около 20 мин, подготовка оружия занимала не более полутора часов.</w:t>
      </w:r>
    </w:p>
    <w:p w14:paraId="39A6B975"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В ходе стрельб пушки и пушечные установки показали высокую надежность. Если исключить из рассмотрения резуль</w:t>
      </w:r>
      <w:r w:rsidRPr="007224C3">
        <w:rPr>
          <w:rFonts w:ascii="Times New Roman" w:hAnsi="Times New Roman" w:cs="Times New Roman"/>
          <w:color w:val="000000" w:themeColor="text1"/>
          <w:sz w:val="16"/>
          <w:szCs w:val="16"/>
        </w:rPr>
        <w:softHyphen/>
        <w:t>таты стрельбы на большой высоте (7500- 8000 м), то процент задержек в стрельбе по вине пушек составил всего 0,16%, а пулеметов 0,13% от общего числа выстре</w:t>
      </w:r>
      <w:r w:rsidRPr="007224C3">
        <w:rPr>
          <w:rFonts w:ascii="Times New Roman" w:hAnsi="Times New Roman" w:cs="Times New Roman"/>
          <w:color w:val="000000" w:themeColor="text1"/>
          <w:sz w:val="16"/>
          <w:szCs w:val="16"/>
        </w:rPr>
        <w:softHyphen/>
        <w:t>лов. При этом после устранения дефекта, вызвавшего задержку в стрельбе пушки, отказы пушек больше не повторялись. По пулеметам все отказы относились только к правому пулемету, который имел «не</w:t>
      </w:r>
      <w:r w:rsidRPr="007224C3">
        <w:rPr>
          <w:rFonts w:ascii="Times New Roman" w:hAnsi="Times New Roman" w:cs="Times New Roman"/>
          <w:color w:val="000000" w:themeColor="text1"/>
          <w:sz w:val="16"/>
          <w:szCs w:val="16"/>
        </w:rPr>
        <w:softHyphen/>
        <w:t>устранимый дефект - тугой ход подвиж</w:t>
      </w:r>
      <w:r w:rsidRPr="007224C3">
        <w:rPr>
          <w:rFonts w:ascii="Times New Roman" w:hAnsi="Times New Roman" w:cs="Times New Roman"/>
          <w:color w:val="000000" w:themeColor="text1"/>
          <w:sz w:val="16"/>
          <w:szCs w:val="16"/>
        </w:rPr>
        <w:softHyphen/>
        <w:t>ных частей, не зависящий от конструкции оружия».</w:t>
      </w:r>
    </w:p>
    <w:p w14:paraId="4C259B63"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По вине пушечной установки задержек не было вовсе. Пневмосистема и электроп</w:t>
      </w:r>
      <w:r w:rsidRPr="007224C3">
        <w:rPr>
          <w:rFonts w:ascii="Times New Roman" w:hAnsi="Times New Roman" w:cs="Times New Roman"/>
          <w:color w:val="000000" w:themeColor="text1"/>
          <w:sz w:val="16"/>
          <w:szCs w:val="16"/>
        </w:rPr>
        <w:softHyphen/>
        <w:t>невматическое управление вооружением работали надежно и безотказно.</w:t>
      </w:r>
    </w:p>
    <w:p w14:paraId="59C715A8"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Имелись и недостатки. Пушки было трудно снаряжать - «стеснен подход к ру</w:t>
      </w:r>
      <w:r w:rsidRPr="007224C3">
        <w:rPr>
          <w:rFonts w:ascii="Times New Roman" w:hAnsi="Times New Roman" w:cs="Times New Roman"/>
          <w:color w:val="000000" w:themeColor="text1"/>
          <w:sz w:val="16"/>
          <w:szCs w:val="16"/>
        </w:rPr>
        <w:softHyphen/>
        <w:t>коятке магазина при заряжании, особенно при зимней эксплуатации». Конструкция защелок, фиксирующих положение руко</w:t>
      </w:r>
      <w:r w:rsidRPr="007224C3">
        <w:rPr>
          <w:rFonts w:ascii="Times New Roman" w:hAnsi="Times New Roman" w:cs="Times New Roman"/>
          <w:color w:val="000000" w:themeColor="text1"/>
          <w:sz w:val="16"/>
          <w:szCs w:val="16"/>
        </w:rPr>
        <w:softHyphen/>
        <w:t>ятки магазина, оказалась неудачной и не</w:t>
      </w:r>
      <w:r w:rsidRPr="007224C3">
        <w:rPr>
          <w:rFonts w:ascii="Times New Roman" w:hAnsi="Times New Roman" w:cs="Times New Roman"/>
          <w:color w:val="000000" w:themeColor="text1"/>
          <w:sz w:val="16"/>
          <w:szCs w:val="16"/>
        </w:rPr>
        <w:softHyphen/>
        <w:t>прочной. Окно магазина пушки распола</w:t>
      </w:r>
      <w:r w:rsidRPr="007224C3">
        <w:rPr>
          <w:rFonts w:ascii="Times New Roman" w:hAnsi="Times New Roman" w:cs="Times New Roman"/>
          <w:color w:val="000000" w:themeColor="text1"/>
          <w:sz w:val="16"/>
          <w:szCs w:val="16"/>
        </w:rPr>
        <w:softHyphen/>
        <w:t>галось крайне неудобно, что затрудняло работу при снаряжении магазина патро</w:t>
      </w:r>
      <w:r w:rsidRPr="007224C3">
        <w:rPr>
          <w:rFonts w:ascii="Times New Roman" w:hAnsi="Times New Roman" w:cs="Times New Roman"/>
          <w:color w:val="000000" w:themeColor="text1"/>
          <w:sz w:val="16"/>
          <w:szCs w:val="16"/>
        </w:rPr>
        <w:softHyphen/>
        <w:t>нами. К тому же можно было повредить руки. Гильзоотводное окно имело разме</w:t>
      </w:r>
      <w:r w:rsidRPr="007224C3">
        <w:rPr>
          <w:rFonts w:ascii="Times New Roman" w:hAnsi="Times New Roman" w:cs="Times New Roman"/>
          <w:color w:val="000000" w:themeColor="text1"/>
          <w:sz w:val="16"/>
          <w:szCs w:val="16"/>
        </w:rPr>
        <w:softHyphen/>
        <w:t>ры ровно под размер гильзы, поэтому для извлечения гильзы или снаряда из патрон</w:t>
      </w:r>
      <w:r w:rsidRPr="007224C3">
        <w:rPr>
          <w:rFonts w:ascii="Times New Roman" w:hAnsi="Times New Roman" w:cs="Times New Roman"/>
          <w:color w:val="000000" w:themeColor="text1"/>
          <w:sz w:val="16"/>
          <w:szCs w:val="16"/>
        </w:rPr>
        <w:softHyphen/>
        <w:t>ника необходимо было производить не</w:t>
      </w:r>
      <w:r w:rsidRPr="007224C3">
        <w:rPr>
          <w:rFonts w:ascii="Times New Roman" w:hAnsi="Times New Roman" w:cs="Times New Roman"/>
          <w:color w:val="000000" w:themeColor="text1"/>
          <w:sz w:val="16"/>
          <w:szCs w:val="16"/>
        </w:rPr>
        <w:softHyphen/>
        <w:t>полную разборку пушки. Регулировочное приспособление пушек было выполнено неудачно - «при снятии пушки с самолета нарушается пристрелка». Легкосъемные замки крышек лючков пулеметов в ходе эксплуатации быстро деформировались. Как следствие, открывание и закрывание лючков становилось затруднительным. Обтекатели пушек оказались недостаточ</w:t>
      </w:r>
      <w:r w:rsidRPr="007224C3">
        <w:rPr>
          <w:rFonts w:ascii="Times New Roman" w:hAnsi="Times New Roman" w:cs="Times New Roman"/>
          <w:color w:val="000000" w:themeColor="text1"/>
          <w:sz w:val="16"/>
          <w:szCs w:val="16"/>
        </w:rPr>
        <w:softHyphen/>
        <w:t>но жесткими и при резком выводе из пики</w:t>
      </w:r>
      <w:r w:rsidRPr="007224C3">
        <w:rPr>
          <w:rFonts w:ascii="Times New Roman" w:hAnsi="Times New Roman" w:cs="Times New Roman"/>
          <w:color w:val="000000" w:themeColor="text1"/>
          <w:sz w:val="16"/>
          <w:szCs w:val="16"/>
        </w:rPr>
        <w:softHyphen/>
        <w:t>рования деформировались. Так, старший лейтенант Поминальный 12 декабря при пикировании под углом 55° на выходе из пикирования создал перегрузку близкой к 3 единицам и обтекатели пушек дефор</w:t>
      </w:r>
      <w:r w:rsidRPr="007224C3">
        <w:rPr>
          <w:rFonts w:ascii="Times New Roman" w:hAnsi="Times New Roman" w:cs="Times New Roman"/>
          <w:color w:val="000000" w:themeColor="text1"/>
          <w:sz w:val="16"/>
          <w:szCs w:val="16"/>
        </w:rPr>
        <w:softHyphen/>
        <w:t>мировались.</w:t>
      </w:r>
    </w:p>
    <w:p w14:paraId="4596AF10"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Сравнение летно-боевых качеств «Харрикейн» 1Ю с советскими истребите</w:t>
      </w:r>
      <w:r w:rsidRPr="007224C3">
        <w:rPr>
          <w:rFonts w:ascii="Times New Roman" w:hAnsi="Times New Roman" w:cs="Times New Roman"/>
          <w:color w:val="000000" w:themeColor="text1"/>
          <w:sz w:val="16"/>
          <w:szCs w:val="16"/>
        </w:rPr>
        <w:softHyphen/>
        <w:t>лями Як-9т, ЛаГГ-3 и штурмовиком Ил-2, вооруженных пушками калибра 37 мм НС- 37, оказалось не в пользу «англичанина».</w:t>
      </w:r>
    </w:p>
    <w:p w14:paraId="40C6DB45"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Отмечалось, что «пушка Виккерс 5 калибра 40 мм по темпу стрельбы и на</w:t>
      </w:r>
      <w:r w:rsidRPr="007224C3">
        <w:rPr>
          <w:rFonts w:ascii="Times New Roman" w:hAnsi="Times New Roman" w:cs="Times New Roman"/>
          <w:color w:val="000000" w:themeColor="text1"/>
          <w:sz w:val="16"/>
          <w:szCs w:val="16"/>
        </w:rPr>
        <w:softHyphen/>
        <w:t>чальной скорости снаряда стоит ниже современных систем авиационных авто</w:t>
      </w:r>
      <w:r w:rsidRPr="007224C3">
        <w:rPr>
          <w:rFonts w:ascii="Times New Roman" w:hAnsi="Times New Roman" w:cs="Times New Roman"/>
          <w:color w:val="000000" w:themeColor="text1"/>
          <w:sz w:val="16"/>
          <w:szCs w:val="16"/>
        </w:rPr>
        <w:softHyphen/>
        <w:t>матических пушек и значительно ниже от</w:t>
      </w:r>
      <w:r w:rsidRPr="007224C3">
        <w:rPr>
          <w:rFonts w:ascii="Times New Roman" w:hAnsi="Times New Roman" w:cs="Times New Roman"/>
          <w:color w:val="000000" w:themeColor="text1"/>
          <w:sz w:val="16"/>
          <w:szCs w:val="16"/>
        </w:rPr>
        <w:softHyphen/>
        <w:t>ечественной 37-мм пушки НС-37 ОКБ-16». Пушка имеет большой относительный вес. Коэффициент использования металла по отношению к дульной мощности (показа</w:t>
      </w:r>
      <w:r w:rsidRPr="007224C3">
        <w:rPr>
          <w:rFonts w:ascii="Times New Roman" w:hAnsi="Times New Roman" w:cs="Times New Roman"/>
          <w:color w:val="000000" w:themeColor="text1"/>
          <w:sz w:val="16"/>
          <w:szCs w:val="16"/>
        </w:rPr>
        <w:softHyphen/>
        <w:t>тель качества оружия) у Виккерс 5 в 1,35 раза меньше, чем у американской 37-мм пушки М-4, в 3,5 раза меньше, чем у НС-37 и в 4 раза меньше, чем у НС-45.</w:t>
      </w:r>
    </w:p>
    <w:tbl>
      <w:tblPr>
        <w:tblW w:w="0" w:type="auto"/>
        <w:tblLayout w:type="fixed"/>
        <w:tblCellMar>
          <w:left w:w="10" w:type="dxa"/>
          <w:right w:w="10" w:type="dxa"/>
        </w:tblCellMar>
        <w:tblLook w:val="04A0" w:firstRow="1" w:lastRow="0" w:firstColumn="1" w:lastColumn="0" w:noHBand="0" w:noVBand="1"/>
      </w:tblPr>
      <w:tblGrid>
        <w:gridCol w:w="1867"/>
        <w:gridCol w:w="686"/>
        <w:gridCol w:w="883"/>
        <w:gridCol w:w="610"/>
        <w:gridCol w:w="686"/>
        <w:gridCol w:w="547"/>
        <w:gridCol w:w="691"/>
        <w:gridCol w:w="706"/>
      </w:tblGrid>
      <w:tr w:rsidR="006331D6" w:rsidRPr="007224C3" w14:paraId="681CDFB0" w14:textId="77777777" w:rsidTr="00903E13">
        <w:trPr>
          <w:trHeight w:val="206"/>
        </w:trPr>
        <w:tc>
          <w:tcPr>
            <w:tcW w:w="1867" w:type="dxa"/>
            <w:tcBorders>
              <w:top w:val="single" w:sz="4" w:space="0" w:color="auto"/>
              <w:left w:val="single" w:sz="4" w:space="0" w:color="auto"/>
              <w:bottom w:val="single" w:sz="4" w:space="0" w:color="auto"/>
              <w:right w:val="single" w:sz="4" w:space="0" w:color="auto"/>
            </w:tcBorders>
            <w:shd w:val="clear" w:color="auto" w:fill="FFFFFF"/>
          </w:tcPr>
          <w:p w14:paraId="27D6B378" w14:textId="77777777" w:rsidR="00903E13" w:rsidRPr="007224C3" w:rsidRDefault="00903E13" w:rsidP="007224C3">
            <w:pPr>
              <w:pStyle w:val="45"/>
              <w:shd w:val="clear" w:color="auto" w:fill="auto"/>
              <w:spacing w:before="0" w:line="240" w:lineRule="auto"/>
              <w:jc w:val="both"/>
              <w:rPr>
                <w:rFonts w:ascii="Times New Roman" w:cs="Times New Roman"/>
                <w:color w:val="000000" w:themeColor="text1"/>
                <w:sz w:val="16"/>
                <w:szCs w:val="16"/>
              </w:rPr>
            </w:pPr>
            <w:r w:rsidRPr="007224C3">
              <w:rPr>
                <w:rFonts w:ascii="Times New Roman" w:cs="Times New Roman"/>
                <w:color w:val="000000" w:themeColor="text1"/>
                <w:sz w:val="16"/>
                <w:szCs w:val="16"/>
              </w:rPr>
              <w:t>Калибр, мм</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72AFCE6B" w14:textId="77777777" w:rsidR="00903E13" w:rsidRPr="007224C3" w:rsidRDefault="00903E13" w:rsidP="007224C3">
            <w:pPr>
              <w:pStyle w:val="45"/>
              <w:shd w:val="clear" w:color="auto" w:fill="auto"/>
              <w:spacing w:before="0" w:line="240" w:lineRule="auto"/>
              <w:jc w:val="both"/>
              <w:rPr>
                <w:rFonts w:ascii="Times New Roman" w:cs="Times New Roman"/>
                <w:color w:val="000000" w:themeColor="text1"/>
                <w:sz w:val="16"/>
                <w:szCs w:val="16"/>
              </w:rPr>
            </w:pPr>
            <w:r w:rsidRPr="007224C3">
              <w:rPr>
                <w:rFonts w:ascii="Times New Roman" w:cs="Times New Roman"/>
                <w:color w:val="000000" w:themeColor="text1"/>
                <w:sz w:val="16"/>
                <w:szCs w:val="16"/>
              </w:rPr>
              <w:t>45</w:t>
            </w:r>
          </w:p>
        </w:tc>
        <w:tc>
          <w:tcPr>
            <w:tcW w:w="883" w:type="dxa"/>
            <w:tcBorders>
              <w:top w:val="single" w:sz="4" w:space="0" w:color="auto"/>
              <w:left w:val="single" w:sz="4" w:space="0" w:color="auto"/>
              <w:bottom w:val="single" w:sz="4" w:space="0" w:color="auto"/>
              <w:right w:val="single" w:sz="4" w:space="0" w:color="auto"/>
            </w:tcBorders>
            <w:shd w:val="clear" w:color="auto" w:fill="FFFFFF"/>
          </w:tcPr>
          <w:p w14:paraId="5D8ED82E" w14:textId="77777777" w:rsidR="00903E13" w:rsidRPr="007224C3" w:rsidRDefault="00903E13" w:rsidP="007224C3">
            <w:pPr>
              <w:pStyle w:val="45"/>
              <w:shd w:val="clear" w:color="auto" w:fill="auto"/>
              <w:spacing w:before="0" w:line="240" w:lineRule="auto"/>
              <w:jc w:val="both"/>
              <w:rPr>
                <w:rFonts w:ascii="Times New Roman" w:cs="Times New Roman"/>
                <w:color w:val="000000" w:themeColor="text1"/>
                <w:sz w:val="16"/>
                <w:szCs w:val="16"/>
              </w:rPr>
            </w:pPr>
            <w:r w:rsidRPr="007224C3">
              <w:rPr>
                <w:rFonts w:ascii="Times New Roman" w:cs="Times New Roman"/>
                <w:color w:val="000000" w:themeColor="text1"/>
                <w:sz w:val="16"/>
                <w:szCs w:val="16"/>
              </w:rPr>
              <w:t>40</w:t>
            </w:r>
          </w:p>
        </w:tc>
        <w:tc>
          <w:tcPr>
            <w:tcW w:w="610" w:type="dxa"/>
            <w:tcBorders>
              <w:top w:val="single" w:sz="4" w:space="0" w:color="auto"/>
              <w:left w:val="single" w:sz="4" w:space="0" w:color="auto"/>
              <w:bottom w:val="single" w:sz="4" w:space="0" w:color="auto"/>
              <w:right w:val="single" w:sz="4" w:space="0" w:color="auto"/>
            </w:tcBorders>
            <w:shd w:val="clear" w:color="auto" w:fill="FFFFFF"/>
          </w:tcPr>
          <w:p w14:paraId="4C08398C" w14:textId="77777777" w:rsidR="00903E13" w:rsidRPr="007224C3" w:rsidRDefault="00903E13" w:rsidP="007224C3">
            <w:pPr>
              <w:pStyle w:val="45"/>
              <w:shd w:val="clear" w:color="auto" w:fill="auto"/>
              <w:spacing w:before="0" w:line="240" w:lineRule="auto"/>
              <w:jc w:val="both"/>
              <w:rPr>
                <w:rFonts w:ascii="Times New Roman" w:cs="Times New Roman"/>
                <w:color w:val="000000" w:themeColor="text1"/>
                <w:sz w:val="16"/>
                <w:szCs w:val="16"/>
              </w:rPr>
            </w:pPr>
            <w:r w:rsidRPr="007224C3">
              <w:rPr>
                <w:rFonts w:ascii="Times New Roman" w:cs="Times New Roman"/>
                <w:color w:val="000000" w:themeColor="text1"/>
                <w:sz w:val="16"/>
                <w:szCs w:val="16"/>
              </w:rPr>
              <w:t>37</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72948BB8" w14:textId="77777777" w:rsidR="00903E13" w:rsidRPr="007224C3" w:rsidRDefault="00903E13" w:rsidP="007224C3">
            <w:pPr>
              <w:pStyle w:val="45"/>
              <w:shd w:val="clear" w:color="auto" w:fill="auto"/>
              <w:spacing w:before="0" w:line="240" w:lineRule="auto"/>
              <w:jc w:val="both"/>
              <w:rPr>
                <w:rFonts w:ascii="Times New Roman" w:cs="Times New Roman"/>
                <w:color w:val="000000" w:themeColor="text1"/>
                <w:sz w:val="16"/>
                <w:szCs w:val="16"/>
              </w:rPr>
            </w:pPr>
            <w:r w:rsidRPr="007224C3">
              <w:rPr>
                <w:rFonts w:ascii="Times New Roman" w:cs="Times New Roman"/>
                <w:color w:val="000000" w:themeColor="text1"/>
                <w:sz w:val="16"/>
                <w:szCs w:val="16"/>
              </w:rPr>
              <w:t>37</w:t>
            </w:r>
          </w:p>
        </w:tc>
        <w:tc>
          <w:tcPr>
            <w:tcW w:w="547" w:type="dxa"/>
            <w:tcBorders>
              <w:top w:val="single" w:sz="4" w:space="0" w:color="auto"/>
              <w:left w:val="single" w:sz="4" w:space="0" w:color="auto"/>
              <w:bottom w:val="single" w:sz="4" w:space="0" w:color="auto"/>
              <w:right w:val="single" w:sz="4" w:space="0" w:color="auto"/>
            </w:tcBorders>
            <w:shd w:val="clear" w:color="auto" w:fill="FFFFFF"/>
          </w:tcPr>
          <w:p w14:paraId="47C10635" w14:textId="77777777" w:rsidR="00903E13" w:rsidRPr="007224C3" w:rsidRDefault="00903E13" w:rsidP="007224C3">
            <w:pPr>
              <w:pStyle w:val="45"/>
              <w:shd w:val="clear" w:color="auto" w:fill="auto"/>
              <w:spacing w:before="0" w:line="240" w:lineRule="auto"/>
              <w:jc w:val="both"/>
              <w:rPr>
                <w:rFonts w:ascii="Times New Roman" w:cs="Times New Roman"/>
                <w:color w:val="000000" w:themeColor="text1"/>
                <w:sz w:val="16"/>
                <w:szCs w:val="16"/>
              </w:rPr>
            </w:pPr>
            <w:r w:rsidRPr="007224C3">
              <w:rPr>
                <w:rFonts w:ascii="Times New Roman" w:cs="Times New Roman"/>
                <w:color w:val="000000" w:themeColor="text1"/>
                <w:sz w:val="16"/>
                <w:szCs w:val="16"/>
              </w:rPr>
              <w:t>23</w:t>
            </w:r>
          </w:p>
        </w:tc>
        <w:tc>
          <w:tcPr>
            <w:tcW w:w="691" w:type="dxa"/>
            <w:tcBorders>
              <w:top w:val="single" w:sz="4" w:space="0" w:color="auto"/>
              <w:left w:val="single" w:sz="4" w:space="0" w:color="auto"/>
              <w:bottom w:val="single" w:sz="4" w:space="0" w:color="auto"/>
              <w:right w:val="single" w:sz="4" w:space="0" w:color="auto"/>
            </w:tcBorders>
            <w:shd w:val="clear" w:color="auto" w:fill="FFFFFF"/>
          </w:tcPr>
          <w:p w14:paraId="5317FC8A" w14:textId="77777777" w:rsidR="00903E13" w:rsidRPr="007224C3" w:rsidRDefault="00903E13" w:rsidP="007224C3">
            <w:pPr>
              <w:pStyle w:val="45"/>
              <w:shd w:val="clear" w:color="auto" w:fill="auto"/>
              <w:spacing w:before="0" w:line="240" w:lineRule="auto"/>
              <w:jc w:val="both"/>
              <w:rPr>
                <w:rFonts w:ascii="Times New Roman" w:cs="Times New Roman"/>
                <w:color w:val="000000" w:themeColor="text1"/>
                <w:sz w:val="16"/>
                <w:szCs w:val="16"/>
              </w:rPr>
            </w:pPr>
            <w:r w:rsidRPr="007224C3">
              <w:rPr>
                <w:rFonts w:ascii="Times New Roman" w:cs="Times New Roman"/>
                <w:color w:val="000000" w:themeColor="text1"/>
                <w:sz w:val="16"/>
                <w:szCs w:val="16"/>
              </w:rPr>
              <w:t>20</w:t>
            </w:r>
          </w:p>
        </w:tc>
        <w:tc>
          <w:tcPr>
            <w:tcW w:w="706" w:type="dxa"/>
            <w:tcBorders>
              <w:top w:val="single" w:sz="4" w:space="0" w:color="auto"/>
              <w:left w:val="single" w:sz="4" w:space="0" w:color="auto"/>
              <w:bottom w:val="single" w:sz="4" w:space="0" w:color="auto"/>
              <w:right w:val="single" w:sz="4" w:space="0" w:color="auto"/>
            </w:tcBorders>
            <w:shd w:val="clear" w:color="auto" w:fill="FFFFFF"/>
          </w:tcPr>
          <w:p w14:paraId="5A401971" w14:textId="77777777" w:rsidR="00903E13" w:rsidRPr="007224C3" w:rsidRDefault="00903E13" w:rsidP="007224C3">
            <w:pPr>
              <w:pStyle w:val="45"/>
              <w:shd w:val="clear" w:color="auto" w:fill="auto"/>
              <w:spacing w:before="0" w:line="240" w:lineRule="auto"/>
              <w:jc w:val="both"/>
              <w:rPr>
                <w:rFonts w:ascii="Times New Roman" w:cs="Times New Roman"/>
                <w:color w:val="000000" w:themeColor="text1"/>
                <w:sz w:val="16"/>
                <w:szCs w:val="16"/>
              </w:rPr>
            </w:pPr>
            <w:r w:rsidRPr="007224C3">
              <w:rPr>
                <w:rFonts w:ascii="Times New Roman" w:cs="Times New Roman"/>
                <w:color w:val="000000" w:themeColor="text1"/>
                <w:sz w:val="16"/>
                <w:szCs w:val="16"/>
              </w:rPr>
              <w:t>20</w:t>
            </w:r>
          </w:p>
        </w:tc>
      </w:tr>
      <w:tr w:rsidR="006331D6" w:rsidRPr="007224C3" w14:paraId="2AA3A24E" w14:textId="77777777" w:rsidTr="00903E13">
        <w:trPr>
          <w:trHeight w:val="206"/>
        </w:trPr>
        <w:tc>
          <w:tcPr>
            <w:tcW w:w="1867" w:type="dxa"/>
            <w:tcBorders>
              <w:top w:val="single" w:sz="4" w:space="0" w:color="auto"/>
              <w:left w:val="single" w:sz="4" w:space="0" w:color="auto"/>
              <w:bottom w:val="single" w:sz="4" w:space="0" w:color="auto"/>
              <w:right w:val="single" w:sz="4" w:space="0" w:color="auto"/>
            </w:tcBorders>
            <w:shd w:val="clear" w:color="auto" w:fill="FFFFFF"/>
          </w:tcPr>
          <w:p w14:paraId="36BE4266"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Характеристика/тип пушки</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3C060644"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НС-45</w:t>
            </w:r>
          </w:p>
        </w:tc>
        <w:tc>
          <w:tcPr>
            <w:tcW w:w="883" w:type="dxa"/>
            <w:tcBorders>
              <w:top w:val="single" w:sz="4" w:space="0" w:color="auto"/>
              <w:left w:val="single" w:sz="4" w:space="0" w:color="auto"/>
              <w:bottom w:val="single" w:sz="4" w:space="0" w:color="auto"/>
              <w:right w:val="single" w:sz="4" w:space="0" w:color="auto"/>
            </w:tcBorders>
            <w:shd w:val="clear" w:color="auto" w:fill="FFFFFF"/>
          </w:tcPr>
          <w:p w14:paraId="4E2B35EB"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«Виккерс» 3</w:t>
            </w:r>
          </w:p>
        </w:tc>
        <w:tc>
          <w:tcPr>
            <w:tcW w:w="610" w:type="dxa"/>
            <w:tcBorders>
              <w:top w:val="single" w:sz="4" w:space="0" w:color="auto"/>
              <w:left w:val="single" w:sz="4" w:space="0" w:color="auto"/>
              <w:bottom w:val="single" w:sz="4" w:space="0" w:color="auto"/>
              <w:right w:val="single" w:sz="4" w:space="0" w:color="auto"/>
            </w:tcBorders>
            <w:shd w:val="clear" w:color="auto" w:fill="FFFFFF"/>
          </w:tcPr>
          <w:p w14:paraId="6AC062B1"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М4</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719716D6"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НС-37</w:t>
            </w:r>
          </w:p>
        </w:tc>
        <w:tc>
          <w:tcPr>
            <w:tcW w:w="547" w:type="dxa"/>
            <w:tcBorders>
              <w:top w:val="single" w:sz="4" w:space="0" w:color="auto"/>
              <w:left w:val="single" w:sz="4" w:space="0" w:color="auto"/>
              <w:bottom w:val="single" w:sz="4" w:space="0" w:color="auto"/>
              <w:right w:val="single" w:sz="4" w:space="0" w:color="auto"/>
            </w:tcBorders>
            <w:shd w:val="clear" w:color="auto" w:fill="FFFFFF"/>
          </w:tcPr>
          <w:p w14:paraId="4C53F738"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вя</w:t>
            </w:r>
          </w:p>
        </w:tc>
        <w:tc>
          <w:tcPr>
            <w:tcW w:w="691" w:type="dxa"/>
            <w:tcBorders>
              <w:top w:val="single" w:sz="4" w:space="0" w:color="auto"/>
              <w:left w:val="single" w:sz="4" w:space="0" w:color="auto"/>
              <w:bottom w:val="single" w:sz="4" w:space="0" w:color="auto"/>
              <w:right w:val="single" w:sz="4" w:space="0" w:color="auto"/>
            </w:tcBorders>
            <w:shd w:val="clear" w:color="auto" w:fill="FFFFFF"/>
          </w:tcPr>
          <w:p w14:paraId="4C3FF357"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«Испано»</w:t>
            </w:r>
          </w:p>
        </w:tc>
        <w:tc>
          <w:tcPr>
            <w:tcW w:w="706" w:type="dxa"/>
            <w:tcBorders>
              <w:top w:val="single" w:sz="4" w:space="0" w:color="auto"/>
              <w:left w:val="single" w:sz="4" w:space="0" w:color="auto"/>
              <w:bottom w:val="single" w:sz="4" w:space="0" w:color="auto"/>
              <w:right w:val="single" w:sz="4" w:space="0" w:color="auto"/>
            </w:tcBorders>
            <w:shd w:val="clear" w:color="auto" w:fill="FFFFFF"/>
          </w:tcPr>
          <w:p w14:paraId="4C671BD5"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МП-20</w:t>
            </w:r>
          </w:p>
        </w:tc>
      </w:tr>
      <w:tr w:rsidR="006331D6" w:rsidRPr="007224C3" w14:paraId="15082BAE" w14:textId="77777777" w:rsidTr="00903E13">
        <w:trPr>
          <w:trHeight w:val="600"/>
        </w:trPr>
        <w:tc>
          <w:tcPr>
            <w:tcW w:w="1867" w:type="dxa"/>
            <w:tcBorders>
              <w:top w:val="single" w:sz="4" w:space="0" w:color="auto"/>
              <w:left w:val="single" w:sz="4" w:space="0" w:color="auto"/>
              <w:bottom w:val="single" w:sz="4" w:space="0" w:color="auto"/>
              <w:right w:val="single" w:sz="4" w:space="0" w:color="auto"/>
            </w:tcBorders>
            <w:shd w:val="clear" w:color="auto" w:fill="FFFFFF"/>
          </w:tcPr>
          <w:p w14:paraId="629661B3"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Бронепробиваемость, толщина/300 м/ 0 град (мм/м/град)</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3E2F084A"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43,3</w:t>
            </w:r>
          </w:p>
        </w:tc>
        <w:tc>
          <w:tcPr>
            <w:tcW w:w="883" w:type="dxa"/>
            <w:tcBorders>
              <w:top w:val="single" w:sz="4" w:space="0" w:color="auto"/>
              <w:left w:val="single" w:sz="4" w:space="0" w:color="auto"/>
              <w:bottom w:val="single" w:sz="4" w:space="0" w:color="auto"/>
              <w:right w:val="single" w:sz="4" w:space="0" w:color="auto"/>
            </w:tcBorders>
            <w:shd w:val="clear" w:color="auto" w:fill="FFFFFF"/>
          </w:tcPr>
          <w:p w14:paraId="2D5DC6D1"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39,5</w:t>
            </w:r>
          </w:p>
        </w:tc>
        <w:tc>
          <w:tcPr>
            <w:tcW w:w="610" w:type="dxa"/>
            <w:tcBorders>
              <w:top w:val="single" w:sz="4" w:space="0" w:color="auto"/>
              <w:left w:val="single" w:sz="4" w:space="0" w:color="auto"/>
              <w:bottom w:val="single" w:sz="4" w:space="0" w:color="auto"/>
              <w:right w:val="single" w:sz="4" w:space="0" w:color="auto"/>
            </w:tcBorders>
            <w:shd w:val="clear" w:color="auto" w:fill="FFFFFF"/>
          </w:tcPr>
          <w:p w14:paraId="01A101CB"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41</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18CE6F43"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48,3</w:t>
            </w:r>
          </w:p>
        </w:tc>
        <w:tc>
          <w:tcPr>
            <w:tcW w:w="547" w:type="dxa"/>
            <w:tcBorders>
              <w:top w:val="single" w:sz="4" w:space="0" w:color="auto"/>
              <w:left w:val="single" w:sz="4" w:space="0" w:color="auto"/>
              <w:bottom w:val="single" w:sz="4" w:space="0" w:color="auto"/>
              <w:right w:val="single" w:sz="4" w:space="0" w:color="auto"/>
            </w:tcBorders>
            <w:shd w:val="clear" w:color="auto" w:fill="FFFFFF"/>
          </w:tcPr>
          <w:p w14:paraId="428F1EC1"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32,5</w:t>
            </w:r>
          </w:p>
        </w:tc>
        <w:tc>
          <w:tcPr>
            <w:tcW w:w="691" w:type="dxa"/>
            <w:tcBorders>
              <w:top w:val="single" w:sz="4" w:space="0" w:color="auto"/>
              <w:left w:val="single" w:sz="4" w:space="0" w:color="auto"/>
              <w:bottom w:val="single" w:sz="4" w:space="0" w:color="auto"/>
              <w:right w:val="single" w:sz="4" w:space="0" w:color="auto"/>
            </w:tcBorders>
            <w:shd w:val="clear" w:color="auto" w:fill="FFFFFF"/>
          </w:tcPr>
          <w:p w14:paraId="079BA70C"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28,5</w:t>
            </w:r>
          </w:p>
        </w:tc>
        <w:tc>
          <w:tcPr>
            <w:tcW w:w="706" w:type="dxa"/>
            <w:tcBorders>
              <w:top w:val="single" w:sz="4" w:space="0" w:color="auto"/>
              <w:left w:val="single" w:sz="4" w:space="0" w:color="auto"/>
              <w:bottom w:val="single" w:sz="4" w:space="0" w:color="auto"/>
              <w:right w:val="single" w:sz="4" w:space="0" w:color="auto"/>
            </w:tcBorders>
            <w:shd w:val="clear" w:color="auto" w:fill="FFFFFF"/>
          </w:tcPr>
          <w:p w14:paraId="796439BE"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19</w:t>
            </w:r>
          </w:p>
        </w:tc>
      </w:tr>
    </w:tbl>
    <w:p w14:paraId="75807D36"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Несмотря на больший калибр, броне- пробиваемость английской пушки оказа</w:t>
      </w:r>
      <w:r w:rsidRPr="007224C3">
        <w:rPr>
          <w:rFonts w:ascii="Times New Roman" w:hAnsi="Times New Roman" w:cs="Times New Roman"/>
          <w:color w:val="000000" w:themeColor="text1"/>
          <w:sz w:val="16"/>
          <w:szCs w:val="16"/>
        </w:rPr>
        <w:softHyphen/>
        <w:t>лась хуже отечественной пушки калибра 37 мм НС-37. С дистанции 300 м броне</w:t>
      </w:r>
      <w:r w:rsidRPr="007224C3">
        <w:rPr>
          <w:rFonts w:ascii="Times New Roman" w:hAnsi="Times New Roman" w:cs="Times New Roman"/>
          <w:color w:val="000000" w:themeColor="text1"/>
          <w:sz w:val="16"/>
          <w:szCs w:val="16"/>
        </w:rPr>
        <w:softHyphen/>
        <w:t>бойный снаряд к пушке НС-37 пробивал при нормальном попадании до 48,3 мм гомогенной танковой брони, тогда как бронебойный снаряд к пушке Виккерс 5 - только 38-41 мм.</w:t>
      </w:r>
    </w:p>
    <w:p w14:paraId="5D507A00"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Советские истребители Як-9т и ЛаГГ- 3, хотя и имели несколько меньший вес се</w:t>
      </w:r>
      <w:r w:rsidRPr="007224C3">
        <w:rPr>
          <w:rFonts w:ascii="Times New Roman" w:hAnsi="Times New Roman" w:cs="Times New Roman"/>
          <w:color w:val="000000" w:themeColor="text1"/>
          <w:sz w:val="16"/>
          <w:szCs w:val="16"/>
        </w:rPr>
        <w:softHyphen/>
        <w:t>кундного залпа, но заметно превосходили английский истребитель танков по летным данным.</w:t>
      </w:r>
    </w:p>
    <w:p w14:paraId="736535BA"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Наступательное стрелково-пушечное вооружение Ил-2 по сравнению с оружи</w:t>
      </w:r>
      <w:r w:rsidRPr="007224C3">
        <w:rPr>
          <w:rFonts w:ascii="Times New Roman" w:hAnsi="Times New Roman" w:cs="Times New Roman"/>
          <w:color w:val="000000" w:themeColor="text1"/>
          <w:sz w:val="16"/>
          <w:szCs w:val="16"/>
        </w:rPr>
        <w:softHyphen/>
        <w:t>ем «Харрикейн» 1Ю имело почти в 1,5 раза больший вес секундного залпа. При этом боекомплект к пушкам у Ил-2 по времени непрерывной стрельбы был также больше. Если принять во внимание значительно лучшее бронирование самолета Ил-2, на</w:t>
      </w:r>
      <w:r w:rsidRPr="007224C3">
        <w:rPr>
          <w:rFonts w:ascii="Times New Roman" w:hAnsi="Times New Roman" w:cs="Times New Roman"/>
          <w:color w:val="000000" w:themeColor="text1"/>
          <w:sz w:val="16"/>
          <w:szCs w:val="16"/>
        </w:rPr>
        <w:softHyphen/>
        <w:t>личие обороны задней полусферы и бом</w:t>
      </w:r>
      <w:r w:rsidRPr="007224C3">
        <w:rPr>
          <w:rFonts w:ascii="Times New Roman" w:hAnsi="Times New Roman" w:cs="Times New Roman"/>
          <w:color w:val="000000" w:themeColor="text1"/>
          <w:sz w:val="16"/>
          <w:szCs w:val="16"/>
        </w:rPr>
        <w:softHyphen/>
        <w:t>бового вооружения, то преимущество его системы вооружения считались несомнен</w:t>
      </w:r>
      <w:r w:rsidRPr="007224C3">
        <w:rPr>
          <w:rFonts w:ascii="Times New Roman" w:hAnsi="Times New Roman" w:cs="Times New Roman"/>
          <w:color w:val="000000" w:themeColor="text1"/>
          <w:sz w:val="16"/>
          <w:szCs w:val="16"/>
        </w:rPr>
        <w:softHyphen/>
        <w:t>ными.</w:t>
      </w:r>
    </w:p>
    <w:p w14:paraId="0CCB17B6"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Зато у «Харрикейна» было другое пре</w:t>
      </w:r>
      <w:r w:rsidRPr="007224C3">
        <w:rPr>
          <w:rFonts w:ascii="Times New Roman" w:hAnsi="Times New Roman" w:cs="Times New Roman"/>
          <w:color w:val="000000" w:themeColor="text1"/>
          <w:sz w:val="16"/>
          <w:szCs w:val="16"/>
        </w:rPr>
        <w:softHyphen/>
        <w:t>имущество. Рассеивание нескольких оче</w:t>
      </w:r>
      <w:r w:rsidRPr="007224C3">
        <w:rPr>
          <w:rFonts w:ascii="Times New Roman" w:hAnsi="Times New Roman" w:cs="Times New Roman"/>
          <w:color w:val="000000" w:themeColor="text1"/>
          <w:sz w:val="16"/>
          <w:szCs w:val="16"/>
        </w:rPr>
        <w:softHyphen/>
        <w:t>редей при стрельбе в воздухе из пушек по полотнищам, расположенным на земле, у самолета «Харрикейн» оказалось при</w:t>
      </w:r>
      <w:r w:rsidRPr="007224C3">
        <w:rPr>
          <w:rFonts w:ascii="Times New Roman" w:hAnsi="Times New Roman" w:cs="Times New Roman"/>
          <w:color w:val="000000" w:themeColor="text1"/>
          <w:sz w:val="16"/>
          <w:szCs w:val="16"/>
        </w:rPr>
        <w:softHyphen/>
        <w:t>мерно в 2-2,5 раза меньше, чем у само</w:t>
      </w:r>
      <w:r w:rsidRPr="007224C3">
        <w:rPr>
          <w:rFonts w:ascii="Times New Roman" w:hAnsi="Times New Roman" w:cs="Times New Roman"/>
          <w:color w:val="000000" w:themeColor="text1"/>
          <w:sz w:val="16"/>
          <w:szCs w:val="16"/>
        </w:rPr>
        <w:softHyphen/>
        <w:t>летов ЛаГГ-3 и Як-9т с пушкой НС-37, и в 6-6,5 раз меньше, чем у самолета Ил-2 с пушками НС-37. Смещение центров груп</w:t>
      </w:r>
      <w:r w:rsidRPr="007224C3">
        <w:rPr>
          <w:rFonts w:ascii="Times New Roman" w:hAnsi="Times New Roman" w:cs="Times New Roman"/>
          <w:color w:val="000000" w:themeColor="text1"/>
          <w:sz w:val="16"/>
          <w:szCs w:val="16"/>
        </w:rPr>
        <w:softHyphen/>
        <w:t>пирования попаданий по отношению точки наводки прицела у самолета «Харрикейн» меньше, чем у Ил-2 с НС-37 примерно в 4-11 раз меньше.</w:t>
      </w:r>
    </w:p>
    <w:p w14:paraId="66594D66"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Рассеивание при стрельбе в воздухе из пушек у самолета «Харрикейн» 1Ю, по сравнению с рассеиванием при стрельбе на земле, возрастало в 10-18 раз, а у само</w:t>
      </w:r>
      <w:r w:rsidRPr="007224C3">
        <w:rPr>
          <w:rFonts w:ascii="Times New Roman" w:hAnsi="Times New Roman" w:cs="Times New Roman"/>
          <w:color w:val="000000" w:themeColor="text1"/>
          <w:sz w:val="16"/>
          <w:szCs w:val="16"/>
        </w:rPr>
        <w:softHyphen/>
        <w:t>лета Ил-2 - в 30-100 раз. Следовательно, ведение прицельного огня в воздухе с самолета «Харрикейн» 1Ю «значительно удобнее и точнее, чем со сравниваемыми отечественными самолетами».к правому пулемету, который имел «не</w:t>
      </w:r>
      <w:r w:rsidRPr="007224C3">
        <w:rPr>
          <w:rFonts w:ascii="Times New Roman" w:hAnsi="Times New Roman" w:cs="Times New Roman"/>
          <w:color w:val="000000" w:themeColor="text1"/>
          <w:sz w:val="16"/>
          <w:szCs w:val="16"/>
        </w:rPr>
        <w:softHyphen/>
        <w:t>устранимый дефект - тугой ход подвиж</w:t>
      </w:r>
      <w:r w:rsidRPr="007224C3">
        <w:rPr>
          <w:rFonts w:ascii="Times New Roman" w:hAnsi="Times New Roman" w:cs="Times New Roman"/>
          <w:color w:val="000000" w:themeColor="text1"/>
          <w:sz w:val="16"/>
          <w:szCs w:val="16"/>
        </w:rPr>
        <w:softHyphen/>
        <w:t>ных частей, не зависящий от конструкции оружия».</w:t>
      </w:r>
    </w:p>
    <w:p w14:paraId="0AFB294F"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По вине пушечной установки задержек не было вовсе. Пневмосистема и электроп</w:t>
      </w:r>
      <w:r w:rsidRPr="007224C3">
        <w:rPr>
          <w:rFonts w:ascii="Times New Roman" w:hAnsi="Times New Roman" w:cs="Times New Roman"/>
          <w:color w:val="000000" w:themeColor="text1"/>
          <w:sz w:val="16"/>
          <w:szCs w:val="16"/>
        </w:rPr>
        <w:softHyphen/>
        <w:t>невматическое управление вооружением работали надежно и безотказно.</w:t>
      </w:r>
    </w:p>
    <w:p w14:paraId="606C7AB6"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Имелись и недостатки. Пушки было трудно снаряжать - «стеснен подход к ру</w:t>
      </w:r>
      <w:r w:rsidRPr="007224C3">
        <w:rPr>
          <w:rFonts w:ascii="Times New Roman" w:hAnsi="Times New Roman" w:cs="Times New Roman"/>
          <w:color w:val="000000" w:themeColor="text1"/>
          <w:sz w:val="16"/>
          <w:szCs w:val="16"/>
        </w:rPr>
        <w:softHyphen/>
        <w:t>коятке магазина при заряжании, особенно при зимней эксплуатации». Конструкция защелок, фиксирующих положение руко</w:t>
      </w:r>
      <w:r w:rsidRPr="007224C3">
        <w:rPr>
          <w:rFonts w:ascii="Times New Roman" w:hAnsi="Times New Roman" w:cs="Times New Roman"/>
          <w:color w:val="000000" w:themeColor="text1"/>
          <w:sz w:val="16"/>
          <w:szCs w:val="16"/>
        </w:rPr>
        <w:softHyphen/>
        <w:t>ятки магазина, оказалась неудачной и не</w:t>
      </w:r>
      <w:r w:rsidRPr="007224C3">
        <w:rPr>
          <w:rFonts w:ascii="Times New Roman" w:hAnsi="Times New Roman" w:cs="Times New Roman"/>
          <w:color w:val="000000" w:themeColor="text1"/>
          <w:sz w:val="16"/>
          <w:szCs w:val="16"/>
        </w:rPr>
        <w:softHyphen/>
        <w:t>прочной. Окно магазина пушки распола</w:t>
      </w:r>
      <w:r w:rsidRPr="007224C3">
        <w:rPr>
          <w:rFonts w:ascii="Times New Roman" w:hAnsi="Times New Roman" w:cs="Times New Roman"/>
          <w:color w:val="000000" w:themeColor="text1"/>
          <w:sz w:val="16"/>
          <w:szCs w:val="16"/>
        </w:rPr>
        <w:softHyphen/>
        <w:t>галось крайне неудобно, что затрудняло работу при снаряжении магазина патро</w:t>
      </w:r>
      <w:r w:rsidRPr="007224C3">
        <w:rPr>
          <w:rFonts w:ascii="Times New Roman" w:hAnsi="Times New Roman" w:cs="Times New Roman"/>
          <w:color w:val="000000" w:themeColor="text1"/>
          <w:sz w:val="16"/>
          <w:szCs w:val="16"/>
        </w:rPr>
        <w:softHyphen/>
        <w:t>нами. К тому же можно было повредить руки. Гильзоотводное окно имело разме</w:t>
      </w:r>
      <w:r w:rsidRPr="007224C3">
        <w:rPr>
          <w:rFonts w:ascii="Times New Roman" w:hAnsi="Times New Roman" w:cs="Times New Roman"/>
          <w:color w:val="000000" w:themeColor="text1"/>
          <w:sz w:val="16"/>
          <w:szCs w:val="16"/>
        </w:rPr>
        <w:softHyphen/>
        <w:t>ры ровно под размер гильзы, поэтому для извлечения гильзы или снаряда из патрон</w:t>
      </w:r>
      <w:r w:rsidRPr="007224C3">
        <w:rPr>
          <w:rFonts w:ascii="Times New Roman" w:hAnsi="Times New Roman" w:cs="Times New Roman"/>
          <w:color w:val="000000" w:themeColor="text1"/>
          <w:sz w:val="16"/>
          <w:szCs w:val="16"/>
        </w:rPr>
        <w:softHyphen/>
        <w:t>ника необходимо было производить не</w:t>
      </w:r>
      <w:r w:rsidRPr="007224C3">
        <w:rPr>
          <w:rFonts w:ascii="Times New Roman" w:hAnsi="Times New Roman" w:cs="Times New Roman"/>
          <w:color w:val="000000" w:themeColor="text1"/>
          <w:sz w:val="16"/>
          <w:szCs w:val="16"/>
        </w:rPr>
        <w:softHyphen/>
        <w:t>полную разборку пушки. Регулировочное приспособление пушек было выполнено неудачно - «при снятии пушки с самолета нарушается пристрелка». Легкосъемные замки крышек лючков пулеметов в ходе эксплуатации быстро деформировались. Как следствие, открывание и закрывание лючков становилось затруднительным. Обтекатели пушек оказались недостаточ</w:t>
      </w:r>
      <w:r w:rsidRPr="007224C3">
        <w:rPr>
          <w:rFonts w:ascii="Times New Roman" w:hAnsi="Times New Roman" w:cs="Times New Roman"/>
          <w:color w:val="000000" w:themeColor="text1"/>
          <w:sz w:val="16"/>
          <w:szCs w:val="16"/>
        </w:rPr>
        <w:softHyphen/>
        <w:t>но жесткими и при резком выводе из пики</w:t>
      </w:r>
      <w:r w:rsidRPr="007224C3">
        <w:rPr>
          <w:rFonts w:ascii="Times New Roman" w:hAnsi="Times New Roman" w:cs="Times New Roman"/>
          <w:color w:val="000000" w:themeColor="text1"/>
          <w:sz w:val="16"/>
          <w:szCs w:val="16"/>
        </w:rPr>
        <w:softHyphen/>
        <w:t>рования деформировались. Так, старший лейтенант Поминальный 12 декабря при пикировании под углом 55" на выходе из пикирования создал перегрузку близкой к 3 единицам и обтекатели пушек дефор</w:t>
      </w:r>
      <w:r w:rsidRPr="007224C3">
        <w:rPr>
          <w:rFonts w:ascii="Times New Roman" w:hAnsi="Times New Roman" w:cs="Times New Roman"/>
          <w:color w:val="000000" w:themeColor="text1"/>
          <w:sz w:val="16"/>
          <w:szCs w:val="16"/>
        </w:rPr>
        <w:softHyphen/>
        <w:t>мировались.</w:t>
      </w:r>
    </w:p>
    <w:p w14:paraId="3CAC8F1B"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Сравнение летно-боевых качеств «Харрикейн» 1Ю с советскими истребите</w:t>
      </w:r>
      <w:r w:rsidRPr="007224C3">
        <w:rPr>
          <w:rFonts w:ascii="Times New Roman" w:hAnsi="Times New Roman" w:cs="Times New Roman"/>
          <w:color w:val="000000" w:themeColor="text1"/>
          <w:sz w:val="16"/>
          <w:szCs w:val="16"/>
        </w:rPr>
        <w:softHyphen/>
        <w:t>лями Як-9т, ЛаГГ-3 и штурмовиком Ил-2, вооруженных пушками калибра 37 мм НС- 37, оказалось не в пользу «англичанина».</w:t>
      </w:r>
    </w:p>
    <w:p w14:paraId="42FAC35E"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Отмечалось, что «пушка Виккерс 3 калибра 40 мм по темпу стрельбы и на</w:t>
      </w:r>
      <w:r w:rsidRPr="007224C3">
        <w:rPr>
          <w:rFonts w:ascii="Times New Roman" w:hAnsi="Times New Roman" w:cs="Times New Roman"/>
          <w:color w:val="000000" w:themeColor="text1"/>
          <w:sz w:val="16"/>
          <w:szCs w:val="16"/>
        </w:rPr>
        <w:softHyphen/>
        <w:t>чальной скорости снаряда стоит ниже современных систем авиационных авто</w:t>
      </w:r>
      <w:r w:rsidRPr="007224C3">
        <w:rPr>
          <w:rFonts w:ascii="Times New Roman" w:hAnsi="Times New Roman" w:cs="Times New Roman"/>
          <w:color w:val="000000" w:themeColor="text1"/>
          <w:sz w:val="16"/>
          <w:szCs w:val="16"/>
        </w:rPr>
        <w:softHyphen/>
        <w:t>матических пушек и значительно ниже от</w:t>
      </w:r>
      <w:r w:rsidRPr="007224C3">
        <w:rPr>
          <w:rFonts w:ascii="Times New Roman" w:hAnsi="Times New Roman" w:cs="Times New Roman"/>
          <w:color w:val="000000" w:themeColor="text1"/>
          <w:sz w:val="16"/>
          <w:szCs w:val="16"/>
        </w:rPr>
        <w:softHyphen/>
        <w:t>ечественной 37-мм пушки НС-37 ОКБ-16». Пушка имеет большой относительный вес. Коэффициент использования металла по отношению к дульной мощности (показа</w:t>
      </w:r>
      <w:r w:rsidRPr="007224C3">
        <w:rPr>
          <w:rFonts w:ascii="Times New Roman" w:hAnsi="Times New Roman" w:cs="Times New Roman"/>
          <w:color w:val="000000" w:themeColor="text1"/>
          <w:sz w:val="16"/>
          <w:szCs w:val="16"/>
        </w:rPr>
        <w:softHyphen/>
        <w:t>тель качества оружия) у Виккерс 5 в 1,35 раза меньше, чем у американской 37-мм пушки М-4, в 3,5 раза меньше, чем у НС-37 и в 4 раза меньше, чем у НС-45.</w:t>
      </w:r>
    </w:p>
    <w:p w14:paraId="2925CEB5" w14:textId="77777777" w:rsidR="00903E13" w:rsidRPr="007224C3" w:rsidRDefault="00903E13" w:rsidP="007224C3">
      <w:pPr>
        <w:pStyle w:val="aff2"/>
        <w:shd w:val="clear" w:color="auto" w:fill="auto"/>
        <w:spacing w:line="240" w:lineRule="auto"/>
        <w:rPr>
          <w:rFonts w:ascii="Times New Roman" w:hAnsi="Times New Roman" w:cs="Times New Roman"/>
          <w:i w:val="0"/>
          <w:color w:val="000000" w:themeColor="text1"/>
          <w:sz w:val="16"/>
          <w:szCs w:val="16"/>
          <w:lang w:val="ru-RU"/>
        </w:rPr>
      </w:pPr>
      <w:r w:rsidRPr="007224C3">
        <w:rPr>
          <w:rFonts w:ascii="Times New Roman" w:hAnsi="Times New Roman" w:cs="Times New Roman"/>
          <w:i w:val="0"/>
          <w:color w:val="000000" w:themeColor="text1"/>
          <w:sz w:val="16"/>
          <w:szCs w:val="16"/>
          <w:lang w:val="ru-RU"/>
        </w:rPr>
        <w:t>Деформация обтекателей правой и левой пушек после пикирования и резкого вывода 19.12.43 (старший лейтенант Поминальный)</w:t>
      </w:r>
    </w:p>
    <w:tbl>
      <w:tblPr>
        <w:tblW w:w="0" w:type="auto"/>
        <w:tblLayout w:type="fixed"/>
        <w:tblCellMar>
          <w:left w:w="10" w:type="dxa"/>
          <w:right w:w="10" w:type="dxa"/>
        </w:tblCellMar>
        <w:tblLook w:val="04A0" w:firstRow="1" w:lastRow="0" w:firstColumn="1" w:lastColumn="0" w:noHBand="0" w:noVBand="1"/>
      </w:tblPr>
      <w:tblGrid>
        <w:gridCol w:w="1867"/>
        <w:gridCol w:w="686"/>
        <w:gridCol w:w="883"/>
        <w:gridCol w:w="610"/>
        <w:gridCol w:w="686"/>
        <w:gridCol w:w="547"/>
        <w:gridCol w:w="691"/>
        <w:gridCol w:w="706"/>
      </w:tblGrid>
      <w:tr w:rsidR="006331D6" w:rsidRPr="007224C3" w14:paraId="40C4FB2E" w14:textId="77777777" w:rsidTr="00903E13">
        <w:trPr>
          <w:trHeight w:val="206"/>
        </w:trPr>
        <w:tc>
          <w:tcPr>
            <w:tcW w:w="1867" w:type="dxa"/>
            <w:tcBorders>
              <w:top w:val="single" w:sz="4" w:space="0" w:color="auto"/>
              <w:left w:val="single" w:sz="4" w:space="0" w:color="auto"/>
              <w:bottom w:val="single" w:sz="4" w:space="0" w:color="auto"/>
              <w:right w:val="single" w:sz="4" w:space="0" w:color="auto"/>
            </w:tcBorders>
            <w:shd w:val="clear" w:color="auto" w:fill="FFFFFF"/>
          </w:tcPr>
          <w:p w14:paraId="2A77BC43" w14:textId="77777777" w:rsidR="00903E13" w:rsidRPr="007224C3" w:rsidRDefault="00903E13" w:rsidP="007224C3">
            <w:pPr>
              <w:pStyle w:val="45"/>
              <w:shd w:val="clear" w:color="auto" w:fill="auto"/>
              <w:spacing w:before="0" w:line="240" w:lineRule="auto"/>
              <w:jc w:val="both"/>
              <w:rPr>
                <w:rFonts w:ascii="Times New Roman" w:cs="Times New Roman"/>
                <w:color w:val="000000" w:themeColor="text1"/>
                <w:sz w:val="16"/>
                <w:szCs w:val="16"/>
              </w:rPr>
            </w:pPr>
            <w:r w:rsidRPr="007224C3">
              <w:rPr>
                <w:rFonts w:ascii="Times New Roman" w:cs="Times New Roman"/>
                <w:color w:val="000000" w:themeColor="text1"/>
                <w:sz w:val="16"/>
                <w:szCs w:val="16"/>
              </w:rPr>
              <w:t>Калибр, мм</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4E7E2D42" w14:textId="77777777" w:rsidR="00903E13" w:rsidRPr="007224C3" w:rsidRDefault="00903E13" w:rsidP="007224C3">
            <w:pPr>
              <w:pStyle w:val="45"/>
              <w:shd w:val="clear" w:color="auto" w:fill="auto"/>
              <w:spacing w:before="0" w:line="240" w:lineRule="auto"/>
              <w:jc w:val="both"/>
              <w:rPr>
                <w:rFonts w:ascii="Times New Roman" w:cs="Times New Roman"/>
                <w:color w:val="000000" w:themeColor="text1"/>
                <w:sz w:val="16"/>
                <w:szCs w:val="16"/>
              </w:rPr>
            </w:pPr>
            <w:r w:rsidRPr="007224C3">
              <w:rPr>
                <w:rFonts w:ascii="Times New Roman" w:cs="Times New Roman"/>
                <w:color w:val="000000" w:themeColor="text1"/>
                <w:sz w:val="16"/>
                <w:szCs w:val="16"/>
              </w:rPr>
              <w:t>45</w:t>
            </w:r>
          </w:p>
        </w:tc>
        <w:tc>
          <w:tcPr>
            <w:tcW w:w="883" w:type="dxa"/>
            <w:tcBorders>
              <w:top w:val="single" w:sz="4" w:space="0" w:color="auto"/>
              <w:left w:val="single" w:sz="4" w:space="0" w:color="auto"/>
              <w:bottom w:val="single" w:sz="4" w:space="0" w:color="auto"/>
              <w:right w:val="single" w:sz="4" w:space="0" w:color="auto"/>
            </w:tcBorders>
            <w:shd w:val="clear" w:color="auto" w:fill="FFFFFF"/>
          </w:tcPr>
          <w:p w14:paraId="599B0B6D" w14:textId="77777777" w:rsidR="00903E13" w:rsidRPr="007224C3" w:rsidRDefault="00903E13" w:rsidP="007224C3">
            <w:pPr>
              <w:pStyle w:val="45"/>
              <w:shd w:val="clear" w:color="auto" w:fill="auto"/>
              <w:spacing w:before="0" w:line="240" w:lineRule="auto"/>
              <w:jc w:val="both"/>
              <w:rPr>
                <w:rFonts w:ascii="Times New Roman" w:cs="Times New Roman"/>
                <w:color w:val="000000" w:themeColor="text1"/>
                <w:sz w:val="16"/>
                <w:szCs w:val="16"/>
              </w:rPr>
            </w:pPr>
            <w:r w:rsidRPr="007224C3">
              <w:rPr>
                <w:rFonts w:ascii="Times New Roman" w:cs="Times New Roman"/>
                <w:color w:val="000000" w:themeColor="text1"/>
                <w:sz w:val="16"/>
                <w:szCs w:val="16"/>
              </w:rPr>
              <w:t>40</w:t>
            </w:r>
          </w:p>
        </w:tc>
        <w:tc>
          <w:tcPr>
            <w:tcW w:w="610" w:type="dxa"/>
            <w:tcBorders>
              <w:top w:val="single" w:sz="4" w:space="0" w:color="auto"/>
              <w:left w:val="single" w:sz="4" w:space="0" w:color="auto"/>
              <w:bottom w:val="single" w:sz="4" w:space="0" w:color="auto"/>
              <w:right w:val="single" w:sz="4" w:space="0" w:color="auto"/>
            </w:tcBorders>
            <w:shd w:val="clear" w:color="auto" w:fill="FFFFFF"/>
          </w:tcPr>
          <w:p w14:paraId="2C123542" w14:textId="77777777" w:rsidR="00903E13" w:rsidRPr="007224C3" w:rsidRDefault="00903E13" w:rsidP="007224C3">
            <w:pPr>
              <w:pStyle w:val="45"/>
              <w:shd w:val="clear" w:color="auto" w:fill="auto"/>
              <w:spacing w:before="0" w:line="240" w:lineRule="auto"/>
              <w:jc w:val="both"/>
              <w:rPr>
                <w:rFonts w:ascii="Times New Roman" w:cs="Times New Roman"/>
                <w:color w:val="000000" w:themeColor="text1"/>
                <w:sz w:val="16"/>
                <w:szCs w:val="16"/>
              </w:rPr>
            </w:pPr>
            <w:r w:rsidRPr="007224C3">
              <w:rPr>
                <w:rFonts w:ascii="Times New Roman" w:cs="Times New Roman"/>
                <w:color w:val="000000" w:themeColor="text1"/>
                <w:sz w:val="16"/>
                <w:szCs w:val="16"/>
              </w:rPr>
              <w:t>37</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5191E497" w14:textId="77777777" w:rsidR="00903E13" w:rsidRPr="007224C3" w:rsidRDefault="00903E13" w:rsidP="007224C3">
            <w:pPr>
              <w:pStyle w:val="45"/>
              <w:shd w:val="clear" w:color="auto" w:fill="auto"/>
              <w:spacing w:before="0" w:line="240" w:lineRule="auto"/>
              <w:jc w:val="both"/>
              <w:rPr>
                <w:rFonts w:ascii="Times New Roman" w:cs="Times New Roman"/>
                <w:color w:val="000000" w:themeColor="text1"/>
                <w:sz w:val="16"/>
                <w:szCs w:val="16"/>
              </w:rPr>
            </w:pPr>
            <w:r w:rsidRPr="007224C3">
              <w:rPr>
                <w:rFonts w:ascii="Times New Roman" w:cs="Times New Roman"/>
                <w:color w:val="000000" w:themeColor="text1"/>
                <w:sz w:val="16"/>
                <w:szCs w:val="16"/>
              </w:rPr>
              <w:t>37</w:t>
            </w:r>
          </w:p>
        </w:tc>
        <w:tc>
          <w:tcPr>
            <w:tcW w:w="547" w:type="dxa"/>
            <w:tcBorders>
              <w:top w:val="single" w:sz="4" w:space="0" w:color="auto"/>
              <w:left w:val="single" w:sz="4" w:space="0" w:color="auto"/>
              <w:bottom w:val="single" w:sz="4" w:space="0" w:color="auto"/>
              <w:right w:val="single" w:sz="4" w:space="0" w:color="auto"/>
            </w:tcBorders>
            <w:shd w:val="clear" w:color="auto" w:fill="FFFFFF"/>
          </w:tcPr>
          <w:p w14:paraId="64FB56DC" w14:textId="77777777" w:rsidR="00903E13" w:rsidRPr="007224C3" w:rsidRDefault="00903E13" w:rsidP="007224C3">
            <w:pPr>
              <w:pStyle w:val="45"/>
              <w:shd w:val="clear" w:color="auto" w:fill="auto"/>
              <w:spacing w:before="0" w:line="240" w:lineRule="auto"/>
              <w:jc w:val="both"/>
              <w:rPr>
                <w:rFonts w:ascii="Times New Roman" w:cs="Times New Roman"/>
                <w:color w:val="000000" w:themeColor="text1"/>
                <w:sz w:val="16"/>
                <w:szCs w:val="16"/>
              </w:rPr>
            </w:pPr>
            <w:r w:rsidRPr="007224C3">
              <w:rPr>
                <w:rFonts w:ascii="Times New Roman" w:cs="Times New Roman"/>
                <w:color w:val="000000" w:themeColor="text1"/>
                <w:sz w:val="16"/>
                <w:szCs w:val="16"/>
              </w:rPr>
              <w:t>23</w:t>
            </w:r>
          </w:p>
        </w:tc>
        <w:tc>
          <w:tcPr>
            <w:tcW w:w="691" w:type="dxa"/>
            <w:tcBorders>
              <w:top w:val="single" w:sz="4" w:space="0" w:color="auto"/>
              <w:left w:val="single" w:sz="4" w:space="0" w:color="auto"/>
              <w:bottom w:val="single" w:sz="4" w:space="0" w:color="auto"/>
              <w:right w:val="single" w:sz="4" w:space="0" w:color="auto"/>
            </w:tcBorders>
            <w:shd w:val="clear" w:color="auto" w:fill="FFFFFF"/>
          </w:tcPr>
          <w:p w14:paraId="1940263E" w14:textId="77777777" w:rsidR="00903E13" w:rsidRPr="007224C3" w:rsidRDefault="00903E13" w:rsidP="007224C3">
            <w:pPr>
              <w:pStyle w:val="45"/>
              <w:shd w:val="clear" w:color="auto" w:fill="auto"/>
              <w:spacing w:before="0" w:line="240" w:lineRule="auto"/>
              <w:jc w:val="both"/>
              <w:rPr>
                <w:rFonts w:ascii="Times New Roman" w:cs="Times New Roman"/>
                <w:color w:val="000000" w:themeColor="text1"/>
                <w:sz w:val="16"/>
                <w:szCs w:val="16"/>
              </w:rPr>
            </w:pPr>
            <w:r w:rsidRPr="007224C3">
              <w:rPr>
                <w:rFonts w:ascii="Times New Roman" w:cs="Times New Roman"/>
                <w:color w:val="000000" w:themeColor="text1"/>
                <w:sz w:val="16"/>
                <w:szCs w:val="16"/>
              </w:rPr>
              <w:t>20</w:t>
            </w:r>
          </w:p>
        </w:tc>
        <w:tc>
          <w:tcPr>
            <w:tcW w:w="706" w:type="dxa"/>
            <w:tcBorders>
              <w:top w:val="single" w:sz="4" w:space="0" w:color="auto"/>
              <w:left w:val="single" w:sz="4" w:space="0" w:color="auto"/>
              <w:bottom w:val="single" w:sz="4" w:space="0" w:color="auto"/>
              <w:right w:val="single" w:sz="4" w:space="0" w:color="auto"/>
            </w:tcBorders>
            <w:shd w:val="clear" w:color="auto" w:fill="FFFFFF"/>
          </w:tcPr>
          <w:p w14:paraId="4D07D6B7" w14:textId="77777777" w:rsidR="00903E13" w:rsidRPr="007224C3" w:rsidRDefault="00903E13" w:rsidP="007224C3">
            <w:pPr>
              <w:pStyle w:val="45"/>
              <w:shd w:val="clear" w:color="auto" w:fill="auto"/>
              <w:spacing w:before="0" w:line="240" w:lineRule="auto"/>
              <w:jc w:val="both"/>
              <w:rPr>
                <w:rFonts w:ascii="Times New Roman" w:cs="Times New Roman"/>
                <w:color w:val="000000" w:themeColor="text1"/>
                <w:sz w:val="16"/>
                <w:szCs w:val="16"/>
              </w:rPr>
            </w:pPr>
            <w:r w:rsidRPr="007224C3">
              <w:rPr>
                <w:rFonts w:ascii="Times New Roman" w:cs="Times New Roman"/>
                <w:color w:val="000000" w:themeColor="text1"/>
                <w:sz w:val="16"/>
                <w:szCs w:val="16"/>
              </w:rPr>
              <w:t>20</w:t>
            </w:r>
          </w:p>
        </w:tc>
      </w:tr>
      <w:tr w:rsidR="006331D6" w:rsidRPr="007224C3" w14:paraId="493E0386" w14:textId="77777777" w:rsidTr="00903E13">
        <w:trPr>
          <w:trHeight w:val="206"/>
        </w:trPr>
        <w:tc>
          <w:tcPr>
            <w:tcW w:w="1867" w:type="dxa"/>
            <w:tcBorders>
              <w:top w:val="single" w:sz="4" w:space="0" w:color="auto"/>
              <w:left w:val="single" w:sz="4" w:space="0" w:color="auto"/>
              <w:bottom w:val="single" w:sz="4" w:space="0" w:color="auto"/>
              <w:right w:val="single" w:sz="4" w:space="0" w:color="auto"/>
            </w:tcBorders>
            <w:shd w:val="clear" w:color="auto" w:fill="FFFFFF"/>
          </w:tcPr>
          <w:p w14:paraId="5FE4DF3D"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lastRenderedPageBreak/>
              <w:t>Характеристика/тип пушки</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6A550498"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НС-45</w:t>
            </w:r>
          </w:p>
        </w:tc>
        <w:tc>
          <w:tcPr>
            <w:tcW w:w="883" w:type="dxa"/>
            <w:tcBorders>
              <w:top w:val="single" w:sz="4" w:space="0" w:color="auto"/>
              <w:left w:val="single" w:sz="4" w:space="0" w:color="auto"/>
              <w:bottom w:val="single" w:sz="4" w:space="0" w:color="auto"/>
              <w:right w:val="single" w:sz="4" w:space="0" w:color="auto"/>
            </w:tcBorders>
            <w:shd w:val="clear" w:color="auto" w:fill="FFFFFF"/>
          </w:tcPr>
          <w:p w14:paraId="5A9E2877"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«Виккерс» 3</w:t>
            </w:r>
          </w:p>
        </w:tc>
        <w:tc>
          <w:tcPr>
            <w:tcW w:w="610" w:type="dxa"/>
            <w:tcBorders>
              <w:top w:val="single" w:sz="4" w:space="0" w:color="auto"/>
              <w:left w:val="single" w:sz="4" w:space="0" w:color="auto"/>
              <w:bottom w:val="single" w:sz="4" w:space="0" w:color="auto"/>
              <w:right w:val="single" w:sz="4" w:space="0" w:color="auto"/>
            </w:tcBorders>
            <w:shd w:val="clear" w:color="auto" w:fill="FFFFFF"/>
          </w:tcPr>
          <w:p w14:paraId="008330A1"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М4</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43ED4A55"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НС-37</w:t>
            </w:r>
          </w:p>
        </w:tc>
        <w:tc>
          <w:tcPr>
            <w:tcW w:w="547" w:type="dxa"/>
            <w:tcBorders>
              <w:top w:val="single" w:sz="4" w:space="0" w:color="auto"/>
              <w:left w:val="single" w:sz="4" w:space="0" w:color="auto"/>
              <w:bottom w:val="single" w:sz="4" w:space="0" w:color="auto"/>
              <w:right w:val="single" w:sz="4" w:space="0" w:color="auto"/>
            </w:tcBorders>
            <w:shd w:val="clear" w:color="auto" w:fill="FFFFFF"/>
          </w:tcPr>
          <w:p w14:paraId="0149816A"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вя</w:t>
            </w:r>
          </w:p>
        </w:tc>
        <w:tc>
          <w:tcPr>
            <w:tcW w:w="691" w:type="dxa"/>
            <w:tcBorders>
              <w:top w:val="single" w:sz="4" w:space="0" w:color="auto"/>
              <w:left w:val="single" w:sz="4" w:space="0" w:color="auto"/>
              <w:bottom w:val="single" w:sz="4" w:space="0" w:color="auto"/>
              <w:right w:val="single" w:sz="4" w:space="0" w:color="auto"/>
            </w:tcBorders>
            <w:shd w:val="clear" w:color="auto" w:fill="FFFFFF"/>
          </w:tcPr>
          <w:p w14:paraId="7BF678F9"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«Испано»</w:t>
            </w:r>
          </w:p>
        </w:tc>
        <w:tc>
          <w:tcPr>
            <w:tcW w:w="706" w:type="dxa"/>
            <w:tcBorders>
              <w:top w:val="single" w:sz="4" w:space="0" w:color="auto"/>
              <w:left w:val="single" w:sz="4" w:space="0" w:color="auto"/>
              <w:bottom w:val="single" w:sz="4" w:space="0" w:color="auto"/>
              <w:right w:val="single" w:sz="4" w:space="0" w:color="auto"/>
            </w:tcBorders>
            <w:shd w:val="clear" w:color="auto" w:fill="FFFFFF"/>
          </w:tcPr>
          <w:p w14:paraId="398BF4E0"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МП-20</w:t>
            </w:r>
          </w:p>
        </w:tc>
      </w:tr>
      <w:tr w:rsidR="006331D6" w:rsidRPr="007224C3" w14:paraId="3B387065" w14:textId="77777777" w:rsidTr="00903E13">
        <w:trPr>
          <w:trHeight w:val="595"/>
        </w:trPr>
        <w:tc>
          <w:tcPr>
            <w:tcW w:w="1867" w:type="dxa"/>
            <w:tcBorders>
              <w:top w:val="single" w:sz="4" w:space="0" w:color="auto"/>
              <w:left w:val="single" w:sz="4" w:space="0" w:color="auto"/>
              <w:bottom w:val="single" w:sz="4" w:space="0" w:color="auto"/>
              <w:right w:val="single" w:sz="4" w:space="0" w:color="auto"/>
            </w:tcBorders>
            <w:shd w:val="clear" w:color="auto" w:fill="FFFFFF"/>
          </w:tcPr>
          <w:p w14:paraId="6B1A16D3"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Бронепробиваемость, толщина/300 м/ 0 град (мм/м/град)</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62EA931D"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43,3</w:t>
            </w:r>
          </w:p>
        </w:tc>
        <w:tc>
          <w:tcPr>
            <w:tcW w:w="883" w:type="dxa"/>
            <w:tcBorders>
              <w:top w:val="single" w:sz="4" w:space="0" w:color="auto"/>
              <w:left w:val="single" w:sz="4" w:space="0" w:color="auto"/>
              <w:bottom w:val="single" w:sz="4" w:space="0" w:color="auto"/>
              <w:right w:val="single" w:sz="4" w:space="0" w:color="auto"/>
            </w:tcBorders>
            <w:shd w:val="clear" w:color="auto" w:fill="FFFFFF"/>
          </w:tcPr>
          <w:p w14:paraId="5C1AA01E"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39,5</w:t>
            </w:r>
          </w:p>
        </w:tc>
        <w:tc>
          <w:tcPr>
            <w:tcW w:w="610" w:type="dxa"/>
            <w:tcBorders>
              <w:top w:val="single" w:sz="4" w:space="0" w:color="auto"/>
              <w:left w:val="single" w:sz="4" w:space="0" w:color="auto"/>
              <w:bottom w:val="single" w:sz="4" w:space="0" w:color="auto"/>
              <w:right w:val="single" w:sz="4" w:space="0" w:color="auto"/>
            </w:tcBorders>
            <w:shd w:val="clear" w:color="auto" w:fill="FFFFFF"/>
          </w:tcPr>
          <w:p w14:paraId="047D7DE9"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41</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5D541368"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48,3</w:t>
            </w:r>
          </w:p>
        </w:tc>
        <w:tc>
          <w:tcPr>
            <w:tcW w:w="547" w:type="dxa"/>
            <w:tcBorders>
              <w:top w:val="single" w:sz="4" w:space="0" w:color="auto"/>
              <w:left w:val="single" w:sz="4" w:space="0" w:color="auto"/>
              <w:bottom w:val="single" w:sz="4" w:space="0" w:color="auto"/>
              <w:right w:val="single" w:sz="4" w:space="0" w:color="auto"/>
            </w:tcBorders>
            <w:shd w:val="clear" w:color="auto" w:fill="FFFFFF"/>
          </w:tcPr>
          <w:p w14:paraId="7D796CB8"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32,5</w:t>
            </w:r>
          </w:p>
        </w:tc>
        <w:tc>
          <w:tcPr>
            <w:tcW w:w="691" w:type="dxa"/>
            <w:tcBorders>
              <w:top w:val="single" w:sz="4" w:space="0" w:color="auto"/>
              <w:left w:val="single" w:sz="4" w:space="0" w:color="auto"/>
              <w:bottom w:val="single" w:sz="4" w:space="0" w:color="auto"/>
              <w:right w:val="single" w:sz="4" w:space="0" w:color="auto"/>
            </w:tcBorders>
            <w:shd w:val="clear" w:color="auto" w:fill="FFFFFF"/>
          </w:tcPr>
          <w:p w14:paraId="364CDD49"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28,5</w:t>
            </w:r>
          </w:p>
        </w:tc>
        <w:tc>
          <w:tcPr>
            <w:tcW w:w="706" w:type="dxa"/>
            <w:tcBorders>
              <w:top w:val="single" w:sz="4" w:space="0" w:color="auto"/>
              <w:left w:val="single" w:sz="4" w:space="0" w:color="auto"/>
              <w:bottom w:val="single" w:sz="4" w:space="0" w:color="auto"/>
              <w:right w:val="single" w:sz="4" w:space="0" w:color="auto"/>
            </w:tcBorders>
            <w:shd w:val="clear" w:color="auto" w:fill="FFFFFF"/>
          </w:tcPr>
          <w:p w14:paraId="3DD1F889"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19</w:t>
            </w:r>
          </w:p>
        </w:tc>
      </w:tr>
    </w:tbl>
    <w:p w14:paraId="7F3C973F"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По результатам испытаний самолета «Харрикейн» 1Ю и его вооружения управ</w:t>
      </w:r>
      <w:r w:rsidRPr="007224C3">
        <w:rPr>
          <w:rFonts w:ascii="Times New Roman" w:hAnsi="Times New Roman" w:cs="Times New Roman"/>
          <w:color w:val="000000" w:themeColor="text1"/>
          <w:sz w:val="16"/>
          <w:szCs w:val="16"/>
        </w:rPr>
        <w:softHyphen/>
        <w:t>ление технической эксплуатации ВВС КА в марте 1944 г. специальным информа</w:t>
      </w:r>
      <w:r w:rsidRPr="007224C3">
        <w:rPr>
          <w:rFonts w:ascii="Times New Roman" w:hAnsi="Times New Roman" w:cs="Times New Roman"/>
          <w:color w:val="000000" w:themeColor="text1"/>
          <w:sz w:val="16"/>
          <w:szCs w:val="16"/>
        </w:rPr>
        <w:softHyphen/>
        <w:t>ционным письмом довело до сведения летного и технического состава строевых полков ВВС КА особенности техники пи-</w:t>
      </w:r>
    </w:p>
    <w:p w14:paraId="528353CE"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лотирования самолета и его основные летные данные. Указывалось, что по тех</w:t>
      </w:r>
      <w:r w:rsidRPr="007224C3">
        <w:rPr>
          <w:rFonts w:ascii="Times New Roman" w:hAnsi="Times New Roman" w:cs="Times New Roman"/>
          <w:color w:val="000000" w:themeColor="text1"/>
          <w:sz w:val="16"/>
          <w:szCs w:val="16"/>
        </w:rPr>
        <w:softHyphen/>
        <w:t>нике пилотирования самолет «Харрикейн» 1Ю не отличается от «Харрикейна» ПС. Дальность и продолжительность полета «Харрикейна» 1Ю и Харрикейна» ПС прак</w:t>
      </w:r>
      <w:r w:rsidRPr="007224C3">
        <w:rPr>
          <w:rFonts w:ascii="Times New Roman" w:hAnsi="Times New Roman" w:cs="Times New Roman"/>
          <w:color w:val="000000" w:themeColor="text1"/>
          <w:sz w:val="16"/>
          <w:szCs w:val="16"/>
        </w:rPr>
        <w:softHyphen/>
        <w:t>тически равны. В связи с появлением тря</w:t>
      </w:r>
      <w:r w:rsidRPr="007224C3">
        <w:rPr>
          <w:rFonts w:ascii="Times New Roman" w:hAnsi="Times New Roman" w:cs="Times New Roman"/>
          <w:color w:val="000000" w:themeColor="text1"/>
          <w:sz w:val="16"/>
          <w:szCs w:val="16"/>
        </w:rPr>
        <w:softHyphen/>
        <w:t>ски при скорости порядка 380-385 миль/ч (610-620 км/ч) скорость пикирования са</w:t>
      </w:r>
      <w:r w:rsidRPr="007224C3">
        <w:rPr>
          <w:rFonts w:ascii="Times New Roman" w:hAnsi="Times New Roman" w:cs="Times New Roman"/>
          <w:color w:val="000000" w:themeColor="text1"/>
          <w:sz w:val="16"/>
          <w:szCs w:val="16"/>
        </w:rPr>
        <w:softHyphen/>
        <w:t>молета «Харрикейн» НО ограничивалась 375 миль/ч (600 км/ч).</w:t>
      </w:r>
    </w:p>
    <w:p w14:paraId="1332F2DC"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17 мая 1944 г. заместитель начальни</w:t>
      </w:r>
      <w:r w:rsidRPr="007224C3">
        <w:rPr>
          <w:rFonts w:ascii="Times New Roman" w:hAnsi="Times New Roman" w:cs="Times New Roman"/>
          <w:color w:val="000000" w:themeColor="text1"/>
          <w:sz w:val="16"/>
          <w:szCs w:val="16"/>
        </w:rPr>
        <w:softHyphen/>
        <w:t>ка оперативного управления ВВС КА ге- нерал-майор А.П. Некрасов направил на</w:t>
      </w:r>
      <w:r w:rsidRPr="007224C3">
        <w:rPr>
          <w:rFonts w:ascii="Times New Roman" w:hAnsi="Times New Roman" w:cs="Times New Roman"/>
          <w:color w:val="000000" w:themeColor="text1"/>
          <w:sz w:val="16"/>
          <w:szCs w:val="16"/>
        </w:rPr>
        <w:softHyphen/>
        <w:t>чальнику штаба ВВС генерал-полковнику С.А. Худякову заключение о боевых воз</w:t>
      </w:r>
      <w:r w:rsidRPr="007224C3">
        <w:rPr>
          <w:rFonts w:ascii="Times New Roman" w:hAnsi="Times New Roman" w:cs="Times New Roman"/>
          <w:color w:val="000000" w:themeColor="text1"/>
          <w:sz w:val="16"/>
          <w:szCs w:val="16"/>
        </w:rPr>
        <w:softHyphen/>
        <w:t>можностях самолета «Харрикейн» !Ю.</w:t>
      </w:r>
    </w:p>
    <w:p w14:paraId="249BA06A"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В документе констатировалось, что «вследствие слабого могущества выстре</w:t>
      </w:r>
      <w:r w:rsidRPr="007224C3">
        <w:rPr>
          <w:rFonts w:ascii="Times New Roman" w:hAnsi="Times New Roman" w:cs="Times New Roman"/>
          <w:color w:val="000000" w:themeColor="text1"/>
          <w:sz w:val="16"/>
          <w:szCs w:val="16"/>
        </w:rPr>
        <w:softHyphen/>
        <w:t>ла стрелково-пушечного оружия, отсут</w:t>
      </w:r>
      <w:r w:rsidRPr="007224C3">
        <w:rPr>
          <w:rFonts w:ascii="Times New Roman" w:hAnsi="Times New Roman" w:cs="Times New Roman"/>
          <w:color w:val="000000" w:themeColor="text1"/>
          <w:sz w:val="16"/>
          <w:szCs w:val="16"/>
        </w:rPr>
        <w:softHyphen/>
        <w:t>ствия бомбардировочного вооружения и недостаточного бронирования, самолет «Харрикейн» 1Ю не может быть эффек</w:t>
      </w:r>
      <w:r w:rsidRPr="007224C3">
        <w:rPr>
          <w:rFonts w:ascii="Times New Roman" w:hAnsi="Times New Roman" w:cs="Times New Roman"/>
          <w:color w:val="000000" w:themeColor="text1"/>
          <w:sz w:val="16"/>
          <w:szCs w:val="16"/>
        </w:rPr>
        <w:softHyphen/>
        <w:t>тивно использован, как истребитель тан</w:t>
      </w:r>
      <w:r w:rsidRPr="007224C3">
        <w:rPr>
          <w:rFonts w:ascii="Times New Roman" w:hAnsi="Times New Roman" w:cs="Times New Roman"/>
          <w:color w:val="000000" w:themeColor="text1"/>
          <w:sz w:val="16"/>
          <w:szCs w:val="16"/>
        </w:rPr>
        <w:softHyphen/>
        <w:t>ков или штурмовик». Боеприпасы пушек НС-37 калибра 37 мм и ВЯ калибра 23 мм, состоящие из осколочно-зажигательных и бронебойно-зажигательных снарядов, имеют больший разрушающий эффект у цели по сравнению с боеприпасами к пуш</w:t>
      </w:r>
      <w:r w:rsidRPr="007224C3">
        <w:rPr>
          <w:rFonts w:ascii="Times New Roman" w:hAnsi="Times New Roman" w:cs="Times New Roman"/>
          <w:color w:val="000000" w:themeColor="text1"/>
          <w:sz w:val="16"/>
          <w:szCs w:val="16"/>
        </w:rPr>
        <w:softHyphen/>
        <w:t>ке Виккерс 5, а бронебойный снаряд пушки НС-37 обладает к тому же еще и большей бронепробиваемостью.</w:t>
      </w:r>
    </w:p>
    <w:p w14:paraId="0165C8B8"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 xml:space="preserve">Внимание руководства обращалось на ненормальную ситуацию со снабжением ВВС КА снарядами к пушкам Виккерс 5. По этому поводу в докладе указывалось: </w:t>
      </w:r>
      <w:r w:rsidRPr="007224C3">
        <w:rPr>
          <w:rStyle w:val="aff7"/>
          <w:rFonts w:ascii="Times New Roman" w:hAnsi="Times New Roman" w:cs="Times New Roman"/>
          <w:i w:val="0"/>
          <w:color w:val="000000" w:themeColor="text1"/>
        </w:rPr>
        <w:t>«Получаемые нами бронебойные снаряды от англичан, являются недозаряженны- ми (нет взрывчатого вещества и донного взрывателя), вследствие чего баллистиче</w:t>
      </w:r>
      <w:r w:rsidRPr="007224C3">
        <w:rPr>
          <w:rStyle w:val="aff7"/>
          <w:rFonts w:ascii="Times New Roman" w:hAnsi="Times New Roman" w:cs="Times New Roman"/>
          <w:i w:val="0"/>
          <w:color w:val="000000" w:themeColor="text1"/>
        </w:rPr>
        <w:softHyphen/>
        <w:t>ские характеристики снарядов плохие и не отвечают тактико-техническим требовани</w:t>
      </w:r>
      <w:r w:rsidRPr="007224C3">
        <w:rPr>
          <w:rStyle w:val="aff7"/>
          <w:rFonts w:ascii="Times New Roman" w:hAnsi="Times New Roman" w:cs="Times New Roman"/>
          <w:i w:val="0"/>
          <w:color w:val="000000" w:themeColor="text1"/>
        </w:rPr>
        <w:softHyphen/>
        <w:t>ям к боеприпасам воздушного боя. Такой тип снаряда не в состоянии пробить броню среднего танка в 45 мм на дистанции 300 м под углом встречи к нормали 30°, а бронь толщиной меньше, чем 30 мм, или пла</w:t>
      </w:r>
      <w:r w:rsidRPr="007224C3">
        <w:rPr>
          <w:rStyle w:val="aff7"/>
          <w:rFonts w:ascii="Times New Roman" w:hAnsi="Times New Roman" w:cs="Times New Roman"/>
          <w:i w:val="0"/>
          <w:color w:val="000000" w:themeColor="text1"/>
        </w:rPr>
        <w:softHyphen/>
        <w:t>нер самолета, он способен пробить, но не разрушить, так как снаряд не имеет ни за</w:t>
      </w:r>
      <w:r w:rsidRPr="007224C3">
        <w:rPr>
          <w:rStyle w:val="aff7"/>
          <w:rFonts w:ascii="Times New Roman" w:hAnsi="Times New Roman" w:cs="Times New Roman"/>
          <w:i w:val="0"/>
          <w:color w:val="000000" w:themeColor="text1"/>
        </w:rPr>
        <w:softHyphen/>
        <w:t>жигательного, ни фугасного снаряжения. Поэтому такие снаряды могут быть исполь</w:t>
      </w:r>
      <w:r w:rsidRPr="007224C3">
        <w:rPr>
          <w:rStyle w:val="aff7"/>
          <w:rFonts w:ascii="Times New Roman" w:hAnsi="Times New Roman" w:cs="Times New Roman"/>
          <w:i w:val="0"/>
          <w:color w:val="000000" w:themeColor="text1"/>
        </w:rPr>
        <w:softHyphen/>
        <w:t>зованы для учебных целей или каклафето- пробные. Для поражения самолетов в воз</w:t>
      </w:r>
      <w:r w:rsidRPr="007224C3">
        <w:rPr>
          <w:rStyle w:val="aff7"/>
          <w:rFonts w:ascii="Times New Roman" w:hAnsi="Times New Roman" w:cs="Times New Roman"/>
          <w:i w:val="0"/>
          <w:color w:val="000000" w:themeColor="text1"/>
        </w:rPr>
        <w:softHyphen/>
        <w:t>духе нужны снаряды осколочно-фугасного действия».</w:t>
      </w:r>
    </w:p>
    <w:p w14:paraId="38D1F5E3"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При сопоставимых летных данных у земли основной ударный самолет ВВС КА штурмовик Ил-2 имел значительно более сильное бронирование, бомбардировоч</w:t>
      </w:r>
      <w:r w:rsidRPr="007224C3">
        <w:rPr>
          <w:rFonts w:ascii="Times New Roman" w:hAnsi="Times New Roman" w:cs="Times New Roman"/>
          <w:color w:val="000000" w:themeColor="text1"/>
          <w:sz w:val="16"/>
          <w:szCs w:val="16"/>
        </w:rPr>
        <w:softHyphen/>
        <w:t>ное вооружение и воздушного стрелка для защиты от атак истребителей против</w:t>
      </w:r>
      <w:r w:rsidRPr="007224C3">
        <w:rPr>
          <w:rFonts w:ascii="Times New Roman" w:hAnsi="Times New Roman" w:cs="Times New Roman"/>
          <w:color w:val="000000" w:themeColor="text1"/>
          <w:sz w:val="16"/>
          <w:szCs w:val="16"/>
        </w:rPr>
        <w:softHyphen/>
        <w:t>ника со стороны задней полусферы. По этим причинам боевые качества Ил-2 оценивались специалистами оператив</w:t>
      </w:r>
      <w:r w:rsidRPr="007224C3">
        <w:rPr>
          <w:rFonts w:ascii="Times New Roman" w:hAnsi="Times New Roman" w:cs="Times New Roman"/>
          <w:color w:val="000000" w:themeColor="text1"/>
          <w:sz w:val="16"/>
          <w:szCs w:val="16"/>
        </w:rPr>
        <w:softHyphen/>
        <w:t>ного управления значительно выше, чем «Харрикейна»1Ю.</w:t>
      </w:r>
    </w:p>
    <w:p w14:paraId="69D2E466"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На основании этого делался вывод, что «самолет «Харрикейн» НО в качестве штурмовика применять нецелесообразно, вследствие слабого могущества выстре</w:t>
      </w:r>
      <w:r w:rsidRPr="007224C3">
        <w:rPr>
          <w:rFonts w:ascii="Times New Roman" w:hAnsi="Times New Roman" w:cs="Times New Roman"/>
          <w:color w:val="000000" w:themeColor="text1"/>
          <w:sz w:val="16"/>
          <w:szCs w:val="16"/>
        </w:rPr>
        <w:softHyphen/>
        <w:t>ла стрелково-пушечного вооружения, от</w:t>
      </w:r>
      <w:r w:rsidRPr="007224C3">
        <w:rPr>
          <w:rFonts w:ascii="Times New Roman" w:hAnsi="Times New Roman" w:cs="Times New Roman"/>
          <w:color w:val="000000" w:themeColor="text1"/>
          <w:sz w:val="16"/>
          <w:szCs w:val="16"/>
        </w:rPr>
        <w:softHyphen/>
        <w:t>сутствия бомбардировочного вооружения и слабого бронирования». Истребитель предлагалось использовать в системе ПВО страны в качестве истребителя-перехват- чика, но при условии использования бое</w:t>
      </w:r>
      <w:r w:rsidRPr="007224C3">
        <w:rPr>
          <w:rFonts w:ascii="Times New Roman" w:hAnsi="Times New Roman" w:cs="Times New Roman"/>
          <w:color w:val="000000" w:themeColor="text1"/>
          <w:sz w:val="16"/>
          <w:szCs w:val="16"/>
        </w:rPr>
        <w:softHyphen/>
        <w:t>припасов «осколочно-трассирующего или осколочно-зажигательного снаряжения».</w:t>
      </w:r>
    </w:p>
    <w:p w14:paraId="5A9107AD" w14:textId="77777777" w:rsidR="00903E13" w:rsidRPr="007224C3" w:rsidRDefault="00903E1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Известна резолюция генерала Худяко</w:t>
      </w:r>
      <w:r w:rsidRPr="007224C3">
        <w:rPr>
          <w:rStyle w:val="2f1"/>
          <w:rFonts w:ascii="Times New Roman" w:hAnsi="Times New Roman" w:cs="Times New Roman"/>
          <w:i w:val="0"/>
          <w:color w:val="000000" w:themeColor="text1"/>
          <w:sz w:val="16"/>
          <w:szCs w:val="16"/>
        </w:rPr>
        <w:t>ва, которую тот наложил на документ:</w:t>
      </w:r>
      <w:r w:rsidRPr="007224C3">
        <w:rPr>
          <w:rFonts w:ascii="Times New Roman" w:hAnsi="Times New Roman"/>
          <w:color w:val="000000" w:themeColor="text1"/>
          <w:sz w:val="16"/>
          <w:szCs w:val="16"/>
        </w:rPr>
        <w:t xml:space="preserve"> «ОУ. Подготовить справку такого же содержа</w:t>
      </w:r>
      <w:r w:rsidRPr="007224C3">
        <w:rPr>
          <w:rFonts w:ascii="Times New Roman" w:hAnsi="Times New Roman"/>
          <w:color w:val="000000" w:themeColor="text1"/>
          <w:sz w:val="16"/>
          <w:szCs w:val="16"/>
        </w:rPr>
        <w:softHyphen/>
        <w:t>ния главному инженеру ВВС за моей под</w:t>
      </w:r>
      <w:r w:rsidRPr="007224C3">
        <w:rPr>
          <w:rFonts w:ascii="Times New Roman" w:hAnsi="Times New Roman"/>
          <w:color w:val="000000" w:themeColor="text1"/>
          <w:sz w:val="16"/>
          <w:szCs w:val="16"/>
        </w:rPr>
        <w:softHyphen/>
        <w:t>писью».</w:t>
      </w:r>
      <w:r w:rsidRPr="007224C3">
        <w:rPr>
          <w:rStyle w:val="2f1"/>
          <w:rFonts w:ascii="Times New Roman" w:hAnsi="Times New Roman" w:cs="Times New Roman"/>
          <w:i w:val="0"/>
          <w:color w:val="000000" w:themeColor="text1"/>
          <w:sz w:val="16"/>
          <w:szCs w:val="16"/>
        </w:rPr>
        <w:t xml:space="preserve"> Уже 23 мая справка ушла в аппарат генерала Репина.</w:t>
      </w:r>
    </w:p>
    <w:p w14:paraId="08E063E6"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Пока «Харрикейны» 1Ю зав. №№ КХ-171 и КХ-305 испытывались и принималось ре</w:t>
      </w:r>
      <w:r w:rsidRPr="007224C3">
        <w:rPr>
          <w:rFonts w:ascii="Times New Roman" w:hAnsi="Times New Roman" w:cs="Times New Roman"/>
          <w:color w:val="000000" w:themeColor="text1"/>
          <w:sz w:val="16"/>
          <w:szCs w:val="16"/>
        </w:rPr>
        <w:softHyphen/>
        <w:t>шение о целесообразности применения самолетов этого типа в ВВС КА, личный состав 246-го иап начиная с октября 1943 г. прошел полный курс переучивания на английский противотанковый истребитель в 25-м запасном истребительном авиапол</w:t>
      </w:r>
      <w:r w:rsidRPr="007224C3">
        <w:rPr>
          <w:rFonts w:ascii="Times New Roman" w:hAnsi="Times New Roman" w:cs="Times New Roman"/>
          <w:color w:val="000000" w:themeColor="text1"/>
          <w:sz w:val="16"/>
          <w:szCs w:val="16"/>
        </w:rPr>
        <w:softHyphen/>
        <w:t>ку ВВС Закавказского военного округа (г. Аджи-Кабул) (12735).</w:t>
      </w:r>
    </w:p>
    <w:p w14:paraId="23651F2F"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p>
    <w:p w14:paraId="796A237D" w14:textId="77777777" w:rsidR="008F6356" w:rsidRPr="007224C3" w:rsidRDefault="008F6356"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11 января 1944 г. главный инженер ВВС КА генерал-полковник А. К. Репин утвердил Акт по испытаниям (все</w:t>
      </w:r>
      <w:r w:rsidRPr="007224C3">
        <w:rPr>
          <w:color w:val="000000" w:themeColor="text1"/>
          <w:sz w:val="16"/>
          <w:szCs w:val="16"/>
        </w:rPr>
        <w:softHyphen/>
        <w:t>сторонние исследования летно-боевых качеств и вооружения) 2 самолетов «Хар</w:t>
      </w:r>
      <w:r w:rsidRPr="007224C3">
        <w:rPr>
          <w:color w:val="000000" w:themeColor="text1"/>
          <w:sz w:val="16"/>
          <w:szCs w:val="16"/>
        </w:rPr>
        <w:softHyphen/>
        <w:t xml:space="preserve">рикейн» </w:t>
      </w:r>
      <w:r w:rsidRPr="007224C3">
        <w:rPr>
          <w:color w:val="000000" w:themeColor="text1"/>
          <w:sz w:val="16"/>
          <w:szCs w:val="16"/>
          <w:lang w:val="en-US"/>
        </w:rPr>
        <w:t>IID</w:t>
      </w:r>
      <w:r w:rsidRPr="007224C3">
        <w:rPr>
          <w:color w:val="000000" w:themeColor="text1"/>
          <w:sz w:val="16"/>
          <w:szCs w:val="16"/>
        </w:rPr>
        <w:t xml:space="preserve"> зав. № КХ-171 и № КХ-305, которые шли с 13 ноября 1944 по 23 декабря 1944. </w:t>
      </w:r>
    </w:p>
    <w:p w14:paraId="77E0754F" w14:textId="77777777" w:rsidR="008F6356" w:rsidRPr="007224C3" w:rsidRDefault="008F6356"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Машины поступили в НИИ ВВС 26 августа 1943 г. и затем в НИИ АВ ВВС. Испытания были на</w:t>
      </w:r>
      <w:r w:rsidRPr="007224C3">
        <w:rPr>
          <w:color w:val="000000" w:themeColor="text1"/>
          <w:sz w:val="16"/>
          <w:szCs w:val="16"/>
        </w:rPr>
        <w:softHyphen/>
        <w:t>чаты с опозданием из-за задерж</w:t>
      </w:r>
      <w:r w:rsidRPr="007224C3">
        <w:rPr>
          <w:color w:val="000000" w:themeColor="text1"/>
          <w:sz w:val="16"/>
          <w:szCs w:val="16"/>
        </w:rPr>
        <w:softHyphen/>
        <w:t>ки правых пушек и боезапаса.</w:t>
      </w:r>
    </w:p>
    <w:p w14:paraId="79013E1F" w14:textId="77777777" w:rsidR="008F6356" w:rsidRPr="007224C3" w:rsidRDefault="008F6356"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По завершении полетов в НИИ ВВС самолет зав. № КХ-305 в феврале 1944 г. поступил в НИИ АВ ВВС для производства контрольных испытаний вооружения. Отчет по испытаниям утвержден на</w:t>
      </w:r>
      <w:r w:rsidRPr="007224C3">
        <w:rPr>
          <w:color w:val="000000" w:themeColor="text1"/>
          <w:sz w:val="16"/>
          <w:szCs w:val="16"/>
        </w:rPr>
        <w:softHyphen/>
        <w:t>чальником НИИ АВ генерал-майором М. В. Гуреви- чем 17 марта.</w:t>
      </w:r>
    </w:p>
    <w:p w14:paraId="3FB93727" w14:textId="77777777" w:rsidR="008F6356" w:rsidRPr="007224C3" w:rsidRDefault="008F635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Испытания в НИИ ВВС проводились объединен</w:t>
      </w:r>
      <w:r w:rsidRPr="007224C3">
        <w:rPr>
          <w:rFonts w:ascii="Times New Roman" w:hAnsi="Times New Roman"/>
          <w:color w:val="000000" w:themeColor="text1"/>
          <w:sz w:val="16"/>
          <w:szCs w:val="16"/>
        </w:rPr>
        <w:softHyphen/>
        <w:t>ной бригадой специалистов 3-го и 4-го отделов ин</w:t>
      </w:r>
      <w:r w:rsidRPr="007224C3">
        <w:rPr>
          <w:rFonts w:ascii="Times New Roman" w:hAnsi="Times New Roman"/>
          <w:color w:val="000000" w:themeColor="text1"/>
          <w:sz w:val="16"/>
          <w:szCs w:val="16"/>
        </w:rPr>
        <w:softHyphen/>
        <w:t>ститута. Ведущим инженером по испытаниям был назначен инженер-капитан Рабкин (3-й отдел), его помощником — инженер-капитан Колосов (4-й от</w:t>
      </w:r>
      <w:r w:rsidRPr="007224C3">
        <w:rPr>
          <w:rFonts w:ascii="Times New Roman" w:hAnsi="Times New Roman"/>
          <w:color w:val="000000" w:themeColor="text1"/>
          <w:sz w:val="16"/>
          <w:szCs w:val="16"/>
        </w:rPr>
        <w:softHyphen/>
        <w:t>дел). На самолетах летали: летчик-испытатель 3-го отдела майор Голофастов и летчик-испытатель 4-го отдела старший лейтенант Поминальный.</w:t>
      </w:r>
    </w:p>
    <w:p w14:paraId="3F85B1CE" w14:textId="77777777" w:rsidR="008F6356" w:rsidRPr="007224C3" w:rsidRDefault="008F6356"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В НИИ АВ к испытаниям при</w:t>
      </w:r>
      <w:r w:rsidRPr="007224C3">
        <w:rPr>
          <w:color w:val="000000" w:themeColor="text1"/>
          <w:sz w:val="16"/>
          <w:szCs w:val="16"/>
        </w:rPr>
        <w:softHyphen/>
        <w:t>влекались специалисты 7-го отдела института: майор В. С. Полубиченко — ответственный по испыта</w:t>
      </w:r>
      <w:r w:rsidRPr="007224C3">
        <w:rPr>
          <w:color w:val="000000" w:themeColor="text1"/>
          <w:sz w:val="16"/>
          <w:szCs w:val="16"/>
        </w:rPr>
        <w:softHyphen/>
        <w:t>ниям, старший техник-лейтенант Ф. Ф. Сивцов, летчик-испытатель капитан А.В. Кусакин и механик по вооружению старший сержант Ф. Я. Анохин.</w:t>
      </w:r>
    </w:p>
    <w:p w14:paraId="0702EF20" w14:textId="77777777" w:rsidR="008F6356" w:rsidRPr="007224C3" w:rsidRDefault="008F6356"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Всего в НИИ ВВС было выпол</w:t>
      </w:r>
      <w:r w:rsidRPr="007224C3">
        <w:rPr>
          <w:color w:val="000000" w:themeColor="text1"/>
          <w:sz w:val="16"/>
          <w:szCs w:val="16"/>
        </w:rPr>
        <w:softHyphen/>
        <w:t>нено 27 полетов с суммарным на</w:t>
      </w:r>
      <w:r w:rsidRPr="007224C3">
        <w:rPr>
          <w:color w:val="000000" w:themeColor="text1"/>
          <w:sz w:val="16"/>
          <w:szCs w:val="16"/>
        </w:rPr>
        <w:softHyphen/>
        <w:t>летом 18 ч 40 мин, в том числе на самолете зав. № КХ-305 — 16 по</w:t>
      </w:r>
      <w:r w:rsidRPr="007224C3">
        <w:rPr>
          <w:color w:val="000000" w:themeColor="text1"/>
          <w:sz w:val="16"/>
          <w:szCs w:val="16"/>
        </w:rPr>
        <w:softHyphen/>
        <w:t>летов (12 ч 10 мин), на самолете зав. № КХ-171 — 11 полетов (6 ч 30 мин).</w:t>
      </w:r>
    </w:p>
    <w:p w14:paraId="169C5673" w14:textId="77777777" w:rsidR="008F6356" w:rsidRPr="007224C3" w:rsidRDefault="008F6356"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В НИИ АВ ВВС на самолете зав. № КХ-305 выполнили еще 9 кон</w:t>
      </w:r>
      <w:r w:rsidRPr="007224C3">
        <w:rPr>
          <w:color w:val="000000" w:themeColor="text1"/>
          <w:sz w:val="16"/>
          <w:szCs w:val="16"/>
        </w:rPr>
        <w:softHyphen/>
        <w:t>трольных полетов на отстрел во</w:t>
      </w:r>
      <w:r w:rsidRPr="007224C3">
        <w:rPr>
          <w:color w:val="000000" w:themeColor="text1"/>
          <w:sz w:val="16"/>
          <w:szCs w:val="16"/>
        </w:rPr>
        <w:softHyphen/>
        <w:t>оружения в воздухе по воздушным и наземным целям.</w:t>
      </w:r>
    </w:p>
    <w:p w14:paraId="06AD399F" w14:textId="77777777" w:rsidR="008F6356" w:rsidRPr="007224C3" w:rsidRDefault="008F6356"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 xml:space="preserve">Штурмовой вариант самолета «Харрикейн» </w:t>
      </w:r>
      <w:r w:rsidRPr="007224C3">
        <w:rPr>
          <w:color w:val="000000" w:themeColor="text1"/>
          <w:sz w:val="16"/>
          <w:szCs w:val="16"/>
          <w:lang w:val="en-US"/>
        </w:rPr>
        <w:t>IID</w:t>
      </w:r>
      <w:r w:rsidRPr="007224C3">
        <w:rPr>
          <w:color w:val="000000" w:themeColor="text1"/>
          <w:sz w:val="16"/>
          <w:szCs w:val="16"/>
        </w:rPr>
        <w:t xml:space="preserve"> представлял собой серийный самолет «Харрикейн» </w:t>
      </w:r>
      <w:r w:rsidRPr="007224C3">
        <w:rPr>
          <w:color w:val="000000" w:themeColor="text1"/>
          <w:sz w:val="16"/>
          <w:szCs w:val="16"/>
          <w:lang w:val="en-US"/>
        </w:rPr>
        <w:t>IIC</w:t>
      </w:r>
      <w:r w:rsidRPr="007224C3">
        <w:rPr>
          <w:color w:val="000000" w:themeColor="text1"/>
          <w:sz w:val="16"/>
          <w:szCs w:val="16"/>
        </w:rPr>
        <w:t xml:space="preserve"> с усиленным бронированием и до</w:t>
      </w:r>
      <w:r w:rsidRPr="007224C3">
        <w:rPr>
          <w:color w:val="000000" w:themeColor="text1"/>
          <w:sz w:val="16"/>
          <w:szCs w:val="16"/>
        </w:rPr>
        <w:softHyphen/>
        <w:t>работанный под установку крупно</w:t>
      </w:r>
      <w:r w:rsidRPr="007224C3">
        <w:rPr>
          <w:color w:val="000000" w:themeColor="text1"/>
          <w:sz w:val="16"/>
          <w:szCs w:val="16"/>
        </w:rPr>
        <w:softHyphen/>
        <w:t>калиберных пушек.</w:t>
      </w:r>
    </w:p>
    <w:p w14:paraId="3E8832F2" w14:textId="77777777" w:rsidR="008F6356" w:rsidRPr="007224C3" w:rsidRDefault="008F6356"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Броней на самолете защища</w:t>
      </w:r>
      <w:r w:rsidRPr="007224C3">
        <w:rPr>
          <w:color w:val="000000" w:themeColor="text1"/>
          <w:sz w:val="16"/>
          <w:szCs w:val="16"/>
        </w:rPr>
        <w:softHyphen/>
        <w:t>лись: летчик, мотор, водо- и масло- радиаторы. Общий вес брони достигал 185 кг.</w:t>
      </w:r>
    </w:p>
    <w:p w14:paraId="0A1751DF" w14:textId="77777777" w:rsidR="008F6356" w:rsidRPr="007224C3" w:rsidRDefault="008F6356"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 xml:space="preserve">Под крылом </w:t>
      </w:r>
      <w:r w:rsidRPr="007224C3">
        <w:rPr>
          <w:color w:val="000000" w:themeColor="text1"/>
          <w:sz w:val="16"/>
          <w:szCs w:val="16"/>
          <w:lang w:val="en-US"/>
        </w:rPr>
        <w:t>Mk</w:t>
      </w:r>
      <w:r w:rsidRPr="007224C3">
        <w:rPr>
          <w:color w:val="000000" w:themeColor="text1"/>
          <w:sz w:val="16"/>
          <w:szCs w:val="16"/>
        </w:rPr>
        <w:t>.</w:t>
      </w:r>
      <w:r w:rsidRPr="007224C3">
        <w:rPr>
          <w:color w:val="000000" w:themeColor="text1"/>
          <w:sz w:val="16"/>
          <w:szCs w:val="16"/>
          <w:lang w:val="en-US"/>
        </w:rPr>
        <w:t>IID</w:t>
      </w:r>
      <w:r w:rsidRPr="007224C3">
        <w:rPr>
          <w:color w:val="000000" w:themeColor="text1"/>
          <w:sz w:val="16"/>
          <w:szCs w:val="16"/>
        </w:rPr>
        <w:t xml:space="preserve"> размещались 2 пушки Вик- керс </w:t>
      </w:r>
      <w:r w:rsidRPr="007224C3">
        <w:rPr>
          <w:color w:val="000000" w:themeColor="text1"/>
          <w:sz w:val="16"/>
          <w:szCs w:val="16"/>
          <w:lang w:val="en-US"/>
        </w:rPr>
        <w:t>S</w:t>
      </w:r>
      <w:r w:rsidRPr="007224C3">
        <w:rPr>
          <w:color w:val="000000" w:themeColor="text1"/>
          <w:sz w:val="16"/>
          <w:szCs w:val="16"/>
        </w:rPr>
        <w:t xml:space="preserve"> калибра 40 мм с суммарным боекомплектом 30 снарядов и в крыле 2 пулемета Кольт-Браунинг калибра 7,69 мм с боекомплектом 1300 патронов. Вместо пушек допускалась подвеска дополнитель</w:t>
      </w:r>
      <w:r w:rsidRPr="007224C3">
        <w:rPr>
          <w:color w:val="000000" w:themeColor="text1"/>
          <w:sz w:val="16"/>
          <w:szCs w:val="16"/>
        </w:rPr>
        <w:softHyphen/>
        <w:t>ных бензобаков.</w:t>
      </w:r>
    </w:p>
    <w:p w14:paraId="3BAC9754" w14:textId="77777777" w:rsidR="008F6356" w:rsidRPr="007224C3" w:rsidRDefault="008F6356"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Пушки помещались в специальном обтекателе и крепились на 2 узлах, из которых передний яв</w:t>
      </w:r>
      <w:r w:rsidRPr="007224C3">
        <w:rPr>
          <w:color w:val="000000" w:themeColor="text1"/>
          <w:sz w:val="16"/>
          <w:szCs w:val="16"/>
        </w:rPr>
        <w:softHyphen/>
        <w:t>лялся силовым, а задний — регулировочным. При этом стволы пушек на 1080 мм выступали за перед</w:t>
      </w:r>
      <w:r w:rsidRPr="007224C3">
        <w:rPr>
          <w:color w:val="000000" w:themeColor="text1"/>
          <w:sz w:val="16"/>
          <w:szCs w:val="16"/>
        </w:rPr>
        <w:softHyphen/>
        <w:t>нюю кромку крыла.</w:t>
      </w:r>
    </w:p>
    <w:p w14:paraId="673637A5" w14:textId="77777777" w:rsidR="008F6356" w:rsidRPr="007224C3" w:rsidRDefault="008F6356"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 xml:space="preserve">Автоматика пушек Виккерс </w:t>
      </w:r>
      <w:r w:rsidRPr="007224C3">
        <w:rPr>
          <w:color w:val="000000" w:themeColor="text1"/>
          <w:sz w:val="16"/>
          <w:szCs w:val="16"/>
          <w:lang w:val="en-US"/>
        </w:rPr>
        <w:t>S</w:t>
      </w:r>
      <w:r w:rsidRPr="007224C3">
        <w:rPr>
          <w:color w:val="000000" w:themeColor="text1"/>
          <w:sz w:val="16"/>
          <w:szCs w:val="16"/>
        </w:rPr>
        <w:t xml:space="preserve"> работала на прин</w:t>
      </w:r>
      <w:r w:rsidRPr="007224C3">
        <w:rPr>
          <w:color w:val="000000" w:themeColor="text1"/>
          <w:sz w:val="16"/>
          <w:szCs w:val="16"/>
        </w:rPr>
        <w:softHyphen/>
        <w:t>ципе отдачи с длинным ходом ствола, запирание клиновое. Сила отдачи при стрельбе поглощалась работой автоматики, возвратной и буферной пру</w:t>
      </w:r>
      <w:r w:rsidRPr="007224C3">
        <w:rPr>
          <w:color w:val="000000" w:themeColor="text1"/>
          <w:sz w:val="16"/>
          <w:szCs w:val="16"/>
        </w:rPr>
        <w:softHyphen/>
        <w:t>жинами и гидравлическим тормозом. В гидротор</w:t>
      </w:r>
      <w:r w:rsidRPr="007224C3">
        <w:rPr>
          <w:color w:val="000000" w:themeColor="text1"/>
          <w:sz w:val="16"/>
          <w:szCs w:val="16"/>
        </w:rPr>
        <w:softHyphen/>
        <w:t>моз заливалось веретенное масло или смесь вере</w:t>
      </w:r>
      <w:r w:rsidRPr="007224C3">
        <w:rPr>
          <w:color w:val="000000" w:themeColor="text1"/>
          <w:sz w:val="16"/>
          <w:szCs w:val="16"/>
        </w:rPr>
        <w:softHyphen/>
        <w:t>тенного масла с техническим керосином (в соотно</w:t>
      </w:r>
      <w:r w:rsidRPr="007224C3">
        <w:rPr>
          <w:color w:val="000000" w:themeColor="text1"/>
          <w:sz w:val="16"/>
          <w:szCs w:val="16"/>
        </w:rPr>
        <w:softHyphen/>
        <w:t>шении 60/40).</w:t>
      </w:r>
    </w:p>
    <w:p w14:paraId="2601B5BF" w14:textId="77777777" w:rsidR="008F6356" w:rsidRPr="007224C3" w:rsidRDefault="008F6356"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Питание пушек — магазинное. Магазин на 15 снарядов жестко крепился к пушке болтами. За</w:t>
      </w:r>
      <w:r w:rsidRPr="007224C3">
        <w:rPr>
          <w:color w:val="000000" w:themeColor="text1"/>
          <w:sz w:val="16"/>
          <w:szCs w:val="16"/>
        </w:rPr>
        <w:softHyphen/>
        <w:t>рядка магазина производилась непосредственно на самолете.</w:t>
      </w:r>
    </w:p>
    <w:p w14:paraId="2AA61D15" w14:textId="77777777" w:rsidR="008F6356" w:rsidRPr="007224C3" w:rsidRDefault="008F6356"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Перезарядка пушек осуществлялась вручную с помощью специальной рукоятки с цепной пере</w:t>
      </w:r>
      <w:r w:rsidRPr="007224C3">
        <w:rPr>
          <w:color w:val="000000" w:themeColor="text1"/>
          <w:sz w:val="16"/>
          <w:szCs w:val="16"/>
        </w:rPr>
        <w:softHyphen/>
        <w:t>дачей. Перезаряжать пушку можно было только на земле. В воздухе летчик имел возможность лишь повторно взвести ударник. Для этого на левом борту располагалась гашетка пневмовзвода удар</w:t>
      </w:r>
      <w:r w:rsidRPr="007224C3">
        <w:rPr>
          <w:color w:val="000000" w:themeColor="text1"/>
          <w:sz w:val="16"/>
          <w:szCs w:val="16"/>
        </w:rPr>
        <w:softHyphen/>
        <w:t>ников пушек. С ее помощью летчик в полете мог повторно взвести ударники пушек и продолжить стрельбу.</w:t>
      </w:r>
    </w:p>
    <w:p w14:paraId="41B6670D" w14:textId="77777777" w:rsidR="008F6356" w:rsidRPr="007224C3" w:rsidRDefault="008F6356"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Длина пушки достигала 2970 мм, при высоте с магазином 533 мм (без магазина 278 мм) и ши</w:t>
      </w:r>
      <w:r w:rsidRPr="007224C3">
        <w:rPr>
          <w:color w:val="000000" w:themeColor="text1"/>
          <w:sz w:val="16"/>
          <w:szCs w:val="16"/>
        </w:rPr>
        <w:softHyphen/>
        <w:t>рине 210 мм. Общий вес пушки с магазином и 15 бронебойными снарядами составлял 180,2 кг, в том числе сама пушка — 141,7 кг, магазин без патро</w:t>
      </w:r>
      <w:r w:rsidRPr="007224C3">
        <w:rPr>
          <w:color w:val="000000" w:themeColor="text1"/>
          <w:sz w:val="16"/>
          <w:szCs w:val="16"/>
        </w:rPr>
        <w:softHyphen/>
        <w:t>нов — 16,0 кг, боекомплект — 22,5 кг.</w:t>
      </w:r>
    </w:p>
    <w:p w14:paraId="0D9C2EF3" w14:textId="77777777" w:rsidR="008F6356" w:rsidRPr="007224C3" w:rsidRDefault="008F6356"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По общему мнению летчиков, увеличение по</w:t>
      </w:r>
      <w:r w:rsidRPr="007224C3">
        <w:rPr>
          <w:color w:val="000000" w:themeColor="text1"/>
          <w:sz w:val="16"/>
          <w:szCs w:val="16"/>
        </w:rPr>
        <w:softHyphen/>
        <w:t xml:space="preserve">летного веса и ухудшение аэродинамики самолета </w:t>
      </w:r>
      <w:r w:rsidRPr="007224C3">
        <w:rPr>
          <w:color w:val="000000" w:themeColor="text1"/>
          <w:sz w:val="16"/>
          <w:szCs w:val="16"/>
          <w:lang w:val="en-US"/>
        </w:rPr>
        <w:t>Mk</w:t>
      </w:r>
      <w:r w:rsidRPr="007224C3">
        <w:rPr>
          <w:color w:val="000000" w:themeColor="text1"/>
          <w:sz w:val="16"/>
          <w:szCs w:val="16"/>
        </w:rPr>
        <w:t>.</w:t>
      </w:r>
      <w:r w:rsidRPr="007224C3">
        <w:rPr>
          <w:color w:val="000000" w:themeColor="text1"/>
          <w:sz w:val="16"/>
          <w:szCs w:val="16"/>
          <w:lang w:val="en-US"/>
        </w:rPr>
        <w:t>IID</w:t>
      </w:r>
      <w:r w:rsidRPr="007224C3">
        <w:rPr>
          <w:color w:val="000000" w:themeColor="text1"/>
          <w:sz w:val="16"/>
          <w:szCs w:val="16"/>
        </w:rPr>
        <w:t xml:space="preserve"> по сравнению с </w:t>
      </w:r>
      <w:r w:rsidRPr="007224C3">
        <w:rPr>
          <w:color w:val="000000" w:themeColor="text1"/>
          <w:sz w:val="16"/>
          <w:szCs w:val="16"/>
          <w:lang w:val="en-US"/>
        </w:rPr>
        <w:t>Mk</w:t>
      </w:r>
      <w:r w:rsidRPr="007224C3">
        <w:rPr>
          <w:color w:val="000000" w:themeColor="text1"/>
          <w:sz w:val="16"/>
          <w:szCs w:val="16"/>
        </w:rPr>
        <w:t>.</w:t>
      </w:r>
      <w:r w:rsidRPr="007224C3">
        <w:rPr>
          <w:color w:val="000000" w:themeColor="text1"/>
          <w:sz w:val="16"/>
          <w:szCs w:val="16"/>
          <w:lang w:val="en-US"/>
        </w:rPr>
        <w:t>IIC</w:t>
      </w:r>
      <w:r w:rsidRPr="007224C3">
        <w:rPr>
          <w:color w:val="000000" w:themeColor="text1"/>
          <w:sz w:val="16"/>
          <w:szCs w:val="16"/>
        </w:rPr>
        <w:t xml:space="preserve"> привело к заметному понижению летных данных и маневренности само</w:t>
      </w:r>
      <w:r w:rsidRPr="007224C3">
        <w:rPr>
          <w:color w:val="000000" w:themeColor="text1"/>
          <w:sz w:val="16"/>
          <w:szCs w:val="16"/>
        </w:rPr>
        <w:softHyphen/>
        <w:t>лета как в вертикальной, так и в горизонтальной плоскости. Для выполнения фигур «скорости при</w:t>
      </w:r>
      <w:r w:rsidRPr="007224C3">
        <w:rPr>
          <w:color w:val="000000" w:themeColor="text1"/>
          <w:sz w:val="16"/>
          <w:szCs w:val="16"/>
        </w:rPr>
        <w:softHyphen/>
        <w:t>ходится держать больше на 5—7 миль/ч, так как самолет тяжелее и инертнее». Продольная и по</w:t>
      </w:r>
      <w:r w:rsidRPr="007224C3">
        <w:rPr>
          <w:color w:val="000000" w:themeColor="text1"/>
          <w:sz w:val="16"/>
          <w:szCs w:val="16"/>
        </w:rPr>
        <w:softHyphen/>
        <w:t>перечная устойчивость самолета оставляла желать лучшего. Сбалансированность самолета в горизон</w:t>
      </w:r>
      <w:r w:rsidRPr="007224C3">
        <w:rPr>
          <w:color w:val="000000" w:themeColor="text1"/>
          <w:sz w:val="16"/>
          <w:szCs w:val="16"/>
        </w:rPr>
        <w:softHyphen/>
        <w:t>тальном полете была затруднена и требовала по</w:t>
      </w:r>
      <w:r w:rsidRPr="007224C3">
        <w:rPr>
          <w:color w:val="000000" w:themeColor="text1"/>
          <w:sz w:val="16"/>
          <w:szCs w:val="16"/>
        </w:rPr>
        <w:softHyphen/>
        <w:t>стоянной регулировки положения триммера при изменении скорости полета. На вертикальных фи</w:t>
      </w:r>
      <w:r w:rsidRPr="007224C3">
        <w:rPr>
          <w:color w:val="000000" w:themeColor="text1"/>
          <w:sz w:val="16"/>
          <w:szCs w:val="16"/>
        </w:rPr>
        <w:softHyphen/>
        <w:t>гурах самолет быстро терял скорость, набор высо</w:t>
      </w:r>
      <w:r w:rsidRPr="007224C3">
        <w:rPr>
          <w:color w:val="000000" w:themeColor="text1"/>
          <w:sz w:val="16"/>
          <w:szCs w:val="16"/>
        </w:rPr>
        <w:softHyphen/>
        <w:t xml:space="preserve">ты на иммельмане и боевом развороте сократился. В то же время техника пилотирования </w:t>
      </w:r>
      <w:r w:rsidRPr="007224C3">
        <w:rPr>
          <w:color w:val="000000" w:themeColor="text1"/>
          <w:sz w:val="16"/>
          <w:szCs w:val="16"/>
          <w:lang w:val="en-US"/>
        </w:rPr>
        <w:t>Mk</w:t>
      </w:r>
      <w:r w:rsidRPr="007224C3">
        <w:rPr>
          <w:color w:val="000000" w:themeColor="text1"/>
          <w:sz w:val="16"/>
          <w:szCs w:val="16"/>
        </w:rPr>
        <w:t>.</w:t>
      </w:r>
      <w:r w:rsidRPr="007224C3">
        <w:rPr>
          <w:color w:val="000000" w:themeColor="text1"/>
          <w:sz w:val="16"/>
          <w:szCs w:val="16"/>
          <w:lang w:val="en-US"/>
        </w:rPr>
        <w:t>IID</w:t>
      </w:r>
      <w:r w:rsidRPr="007224C3">
        <w:rPr>
          <w:color w:val="000000" w:themeColor="text1"/>
          <w:sz w:val="16"/>
          <w:szCs w:val="16"/>
        </w:rPr>
        <w:t xml:space="preserve"> прак</w:t>
      </w:r>
      <w:r w:rsidRPr="007224C3">
        <w:rPr>
          <w:color w:val="000000" w:themeColor="text1"/>
          <w:sz w:val="16"/>
          <w:szCs w:val="16"/>
        </w:rPr>
        <w:softHyphen/>
        <w:t xml:space="preserve">тически ничем не отличалась от самолетов «Харри- кейн» </w:t>
      </w:r>
      <w:r w:rsidRPr="007224C3">
        <w:rPr>
          <w:color w:val="000000" w:themeColor="text1"/>
          <w:sz w:val="16"/>
          <w:szCs w:val="16"/>
          <w:lang w:val="en-US"/>
        </w:rPr>
        <w:t>IIC</w:t>
      </w:r>
      <w:r w:rsidRPr="007224C3">
        <w:rPr>
          <w:color w:val="000000" w:themeColor="text1"/>
          <w:sz w:val="16"/>
          <w:szCs w:val="16"/>
        </w:rPr>
        <w:t xml:space="preserve"> или </w:t>
      </w:r>
      <w:r w:rsidRPr="007224C3">
        <w:rPr>
          <w:color w:val="000000" w:themeColor="text1"/>
          <w:sz w:val="16"/>
          <w:szCs w:val="16"/>
          <w:lang w:val="en-US"/>
        </w:rPr>
        <w:t>IIB</w:t>
      </w:r>
      <w:r w:rsidRPr="007224C3">
        <w:rPr>
          <w:color w:val="000000" w:themeColor="text1"/>
          <w:sz w:val="16"/>
          <w:szCs w:val="16"/>
        </w:rPr>
        <w:t>.</w:t>
      </w:r>
    </w:p>
    <w:p w14:paraId="3BC1CFDB" w14:textId="77777777" w:rsidR="008F6356" w:rsidRPr="007224C3" w:rsidRDefault="008F6356"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Вооружение самолета отстреливалось как на земле, так и в воздухе. Стрельба велась снарядами, «снаряженными стальными корпусами бронебой</w:t>
      </w:r>
      <w:r w:rsidRPr="007224C3">
        <w:rPr>
          <w:color w:val="000000" w:themeColor="text1"/>
          <w:sz w:val="16"/>
          <w:szCs w:val="16"/>
        </w:rPr>
        <w:softHyphen/>
        <w:t xml:space="preserve">ных снарядов, так как других боекомплектов для пушек </w:t>
      </w:r>
      <w:r w:rsidRPr="007224C3">
        <w:rPr>
          <w:color w:val="000000" w:themeColor="text1"/>
          <w:sz w:val="16"/>
          <w:szCs w:val="16"/>
          <w:lang w:val="en-US"/>
        </w:rPr>
        <w:t>MK</w:t>
      </w:r>
      <w:r w:rsidRPr="007224C3">
        <w:rPr>
          <w:color w:val="000000" w:themeColor="text1"/>
          <w:sz w:val="16"/>
          <w:szCs w:val="16"/>
        </w:rPr>
        <w:t>-</w:t>
      </w:r>
      <w:r w:rsidRPr="007224C3">
        <w:rPr>
          <w:color w:val="000000" w:themeColor="text1"/>
          <w:sz w:val="16"/>
          <w:szCs w:val="16"/>
          <w:lang w:val="en-US"/>
        </w:rPr>
        <w:t>II</w:t>
      </w:r>
      <w:r w:rsidRPr="007224C3">
        <w:rPr>
          <w:color w:val="000000" w:themeColor="text1"/>
          <w:sz w:val="16"/>
          <w:szCs w:val="16"/>
        </w:rPr>
        <w:t xml:space="preserve"> — 40 мм в снабжающих организациях ВВС не имелось». При этом в снарядах отсутство</w:t>
      </w:r>
      <w:r w:rsidRPr="007224C3">
        <w:rPr>
          <w:color w:val="000000" w:themeColor="text1"/>
          <w:sz w:val="16"/>
          <w:szCs w:val="16"/>
        </w:rPr>
        <w:softHyphen/>
        <w:t>вали «разрывной заряд ВВ и донный взрыватель, заглушка вместо него не поставлена», так что вну</w:t>
      </w:r>
      <w:r w:rsidRPr="007224C3">
        <w:rPr>
          <w:color w:val="000000" w:themeColor="text1"/>
          <w:sz w:val="16"/>
          <w:szCs w:val="16"/>
        </w:rPr>
        <w:softHyphen/>
        <w:t>тренняя полость снаряда сообщалась с зарядной каморой патрона. То есть снаряды «не имели ни фугасного, ни зажигательного действия, а внутрен</w:t>
      </w:r>
      <w:r w:rsidRPr="007224C3">
        <w:rPr>
          <w:color w:val="000000" w:themeColor="text1"/>
          <w:sz w:val="16"/>
          <w:szCs w:val="16"/>
        </w:rPr>
        <w:softHyphen/>
        <w:t>няя и внешняя баллистика его отличается от балли</w:t>
      </w:r>
      <w:r w:rsidRPr="007224C3">
        <w:rPr>
          <w:color w:val="000000" w:themeColor="text1"/>
          <w:sz w:val="16"/>
          <w:szCs w:val="16"/>
        </w:rPr>
        <w:softHyphen/>
        <w:t>стики боевого снаряда». Очевидно, такие снаряды боевого значения не имели — их использование ограничивалось только учебными целями. Но дру</w:t>
      </w:r>
      <w:r w:rsidRPr="007224C3">
        <w:rPr>
          <w:color w:val="000000" w:themeColor="text1"/>
          <w:sz w:val="16"/>
          <w:szCs w:val="16"/>
        </w:rPr>
        <w:softHyphen/>
        <w:t>гих снарядов союзники не поставили.</w:t>
      </w:r>
    </w:p>
    <w:p w14:paraId="154FEB83" w14:textId="77777777" w:rsidR="008F6356" w:rsidRPr="007224C3" w:rsidRDefault="008F6356"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В общей сложности из пушек было выполнено 620 выстрелов, в том числе 212 выстрелов на земле и 408 в воздухе.</w:t>
      </w:r>
    </w:p>
    <w:p w14:paraId="360ACA18" w14:textId="77777777" w:rsidR="008F6356" w:rsidRPr="007224C3" w:rsidRDefault="008F6356"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В воздухе пушки отстреляли капитаны Голо- фастов, Кувшинов, Пикуленко, Кусакин и старший лейтенант Поминальный. Стрельба велась в гори</w:t>
      </w:r>
      <w:r w:rsidRPr="007224C3">
        <w:rPr>
          <w:color w:val="000000" w:themeColor="text1"/>
          <w:sz w:val="16"/>
          <w:szCs w:val="16"/>
        </w:rPr>
        <w:softHyphen/>
        <w:t>зонтальном полете, на виражах, на наборе высо</w:t>
      </w:r>
      <w:r w:rsidRPr="007224C3">
        <w:rPr>
          <w:color w:val="000000" w:themeColor="text1"/>
          <w:sz w:val="16"/>
          <w:szCs w:val="16"/>
        </w:rPr>
        <w:softHyphen/>
        <w:t>ты, а после выполнения пилотажа и по наземной цели — с пикирования (по щитам и контуру само</w:t>
      </w:r>
      <w:r w:rsidRPr="007224C3">
        <w:rPr>
          <w:color w:val="000000" w:themeColor="text1"/>
          <w:sz w:val="16"/>
          <w:szCs w:val="16"/>
        </w:rPr>
        <w:softHyphen/>
        <w:t>лета). Кроме того, один полет был выполнен для стрельбы на большой высоте.</w:t>
      </w:r>
    </w:p>
    <w:p w14:paraId="56F7DBD3" w14:textId="77777777" w:rsidR="008F6356" w:rsidRPr="007224C3" w:rsidRDefault="008F6356"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Пушки при стрельбе в воздухе показали себя как надежное и безотказное оружие. Отдача при стрельбе из пушек более мягкая, чем при стрель</w:t>
      </w:r>
      <w:r w:rsidRPr="007224C3">
        <w:rPr>
          <w:color w:val="000000" w:themeColor="text1"/>
          <w:sz w:val="16"/>
          <w:szCs w:val="16"/>
        </w:rPr>
        <w:softHyphen/>
        <w:t>бе из 37-мм пушек 11П на самолетах Як-9т и ЛаГГ-3. Синхронность стрельбы оценивалась как отличная.</w:t>
      </w:r>
    </w:p>
    <w:p w14:paraId="7DB91713" w14:textId="77777777" w:rsidR="008F6356" w:rsidRPr="007224C3" w:rsidRDefault="008F6356"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При стрельбе в горизонтальном полете самолет «ощущает толчки и зарывается носом вниз». Такие же толчки имели место и на всех других режимах. На пикировании самолет во время стрельбы стре</w:t>
      </w:r>
      <w:r w:rsidRPr="007224C3">
        <w:rPr>
          <w:color w:val="000000" w:themeColor="text1"/>
          <w:sz w:val="16"/>
          <w:szCs w:val="16"/>
        </w:rPr>
        <w:softHyphen/>
        <w:t>мился увеличить угол пикирования и «его необхо</w:t>
      </w:r>
      <w:r w:rsidRPr="007224C3">
        <w:rPr>
          <w:color w:val="000000" w:themeColor="text1"/>
          <w:sz w:val="16"/>
          <w:szCs w:val="16"/>
        </w:rPr>
        <w:softHyphen/>
        <w:t>димо удерживать ручкой управления». Сила отдачи при стрельбе «несколько притормаживает самолет, снижая скорость самолета на пикировании». При стрельбе во время набора высоты наблюдалось не</w:t>
      </w:r>
      <w:r w:rsidRPr="007224C3">
        <w:rPr>
          <w:color w:val="000000" w:themeColor="text1"/>
          <w:sz w:val="16"/>
          <w:szCs w:val="16"/>
        </w:rPr>
        <w:softHyphen/>
        <w:t>которое уменьшение угла.</w:t>
      </w:r>
    </w:p>
    <w:p w14:paraId="40B7238C" w14:textId="77777777" w:rsidR="008F6356" w:rsidRPr="007224C3" w:rsidRDefault="008F6356"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lastRenderedPageBreak/>
        <w:t>Чем длиннее очередь из пушек, «тем опуска</w:t>
      </w:r>
      <w:r w:rsidRPr="007224C3">
        <w:rPr>
          <w:color w:val="000000" w:themeColor="text1"/>
          <w:sz w:val="16"/>
          <w:szCs w:val="16"/>
        </w:rPr>
        <w:softHyphen/>
        <w:t>ние носа самолета и толчки более заметны». При очередях свыше 5—6 снарядов «удержать самолет от зарывания носом становится затруднительно», «самолет начинает раскачиваться в полете» и «при</w:t>
      </w:r>
      <w:r w:rsidRPr="007224C3">
        <w:rPr>
          <w:color w:val="000000" w:themeColor="text1"/>
          <w:sz w:val="16"/>
          <w:szCs w:val="16"/>
        </w:rPr>
        <w:softHyphen/>
        <w:t>цельная стрельба становится невозможной».</w:t>
      </w:r>
    </w:p>
    <w:p w14:paraId="4CDB7E36" w14:textId="77777777" w:rsidR="008F6356" w:rsidRPr="007224C3" w:rsidRDefault="008F6356"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Для обеспечения более точного поражения це</w:t>
      </w:r>
      <w:r w:rsidRPr="007224C3">
        <w:rPr>
          <w:color w:val="000000" w:themeColor="text1"/>
          <w:sz w:val="16"/>
          <w:szCs w:val="16"/>
        </w:rPr>
        <w:softHyphen/>
        <w:t>ли рекомендовалось производить стрельбу очере</w:t>
      </w:r>
      <w:r w:rsidRPr="007224C3">
        <w:rPr>
          <w:color w:val="000000" w:themeColor="text1"/>
          <w:sz w:val="16"/>
          <w:szCs w:val="16"/>
        </w:rPr>
        <w:softHyphen/>
        <w:t>дями по 2—3, максимум 4 снаряда из каждой пуш</w:t>
      </w:r>
      <w:r w:rsidRPr="007224C3">
        <w:rPr>
          <w:color w:val="000000" w:themeColor="text1"/>
          <w:sz w:val="16"/>
          <w:szCs w:val="16"/>
        </w:rPr>
        <w:softHyphen/>
        <w:t>ки. При этом короткая очередь была рациональна и с точки зрения тактического применения самоле</w:t>
      </w:r>
      <w:r w:rsidRPr="007224C3">
        <w:rPr>
          <w:color w:val="000000" w:themeColor="text1"/>
          <w:sz w:val="16"/>
          <w:szCs w:val="16"/>
        </w:rPr>
        <w:softHyphen/>
        <w:t>та (более экономного расхода небольшого боеком</w:t>
      </w:r>
      <w:r w:rsidRPr="007224C3">
        <w:rPr>
          <w:color w:val="000000" w:themeColor="text1"/>
          <w:sz w:val="16"/>
          <w:szCs w:val="16"/>
        </w:rPr>
        <w:softHyphen/>
        <w:t>плекта к пушкам).</w:t>
      </w:r>
    </w:p>
    <w:p w14:paraId="1B85BAFB" w14:textId="77777777" w:rsidR="008F6356" w:rsidRPr="007224C3" w:rsidRDefault="008F6356"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При стрельбе из одной пушки (правой или ле</w:t>
      </w:r>
      <w:r w:rsidRPr="007224C3">
        <w:rPr>
          <w:color w:val="000000" w:themeColor="text1"/>
          <w:sz w:val="16"/>
          <w:szCs w:val="16"/>
        </w:rPr>
        <w:softHyphen/>
        <w:t>вой) самолет разворачивался в сторону стреляю</w:t>
      </w:r>
      <w:r w:rsidRPr="007224C3">
        <w:rPr>
          <w:color w:val="000000" w:themeColor="text1"/>
          <w:sz w:val="16"/>
          <w:szCs w:val="16"/>
        </w:rPr>
        <w:softHyphen/>
        <w:t>щей пушки, а так как «темп стрельбы очень мал, то держать самолет ногой, парируя рулями его отход от цели, почти невозможно». По заявлениям летчи</w:t>
      </w:r>
      <w:r w:rsidRPr="007224C3">
        <w:rPr>
          <w:color w:val="000000" w:themeColor="text1"/>
          <w:sz w:val="16"/>
          <w:szCs w:val="16"/>
        </w:rPr>
        <w:softHyphen/>
        <w:t>ков, «получается разбалтывание самолета относи</w:t>
      </w:r>
      <w:r w:rsidRPr="007224C3">
        <w:rPr>
          <w:color w:val="000000" w:themeColor="text1"/>
          <w:sz w:val="16"/>
          <w:szCs w:val="16"/>
        </w:rPr>
        <w:softHyphen/>
        <w:t>тельно вертикальной оси на линии прицеливания, что ухудшает качество стрельбы». То есть прицель</w:t>
      </w:r>
      <w:r w:rsidRPr="007224C3">
        <w:rPr>
          <w:color w:val="000000" w:themeColor="text1"/>
          <w:sz w:val="16"/>
          <w:szCs w:val="16"/>
        </w:rPr>
        <w:softHyphen/>
        <w:t>ным был только первый снаряд в очереди.</w:t>
      </w:r>
    </w:p>
    <w:p w14:paraId="7462EF18" w14:textId="77777777" w:rsidR="008F6356" w:rsidRPr="007224C3" w:rsidRDefault="008F635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Наиболее удобными углами пикирования при стрельбе по наземной цели с точки зрения потери высоты и увеличения скорости на пикировании, а также удобства прицеливания считался диа</w:t>
      </w:r>
      <w:r w:rsidRPr="007224C3">
        <w:rPr>
          <w:rFonts w:ascii="Times New Roman" w:hAnsi="Times New Roman"/>
          <w:color w:val="000000" w:themeColor="text1"/>
          <w:sz w:val="16"/>
          <w:szCs w:val="16"/>
        </w:rPr>
        <w:softHyphen/>
        <w:t>пазон 35—45°. При высоте ввода в пикирование 500—550 м дистанция огня составляла 500—700 м, что было более чем достаточно для прицеливания и производства 2—3 очередей.</w:t>
      </w:r>
    </w:p>
    <w:p w14:paraId="127B699A" w14:textId="77777777" w:rsidR="008F6356" w:rsidRPr="007224C3" w:rsidRDefault="008F6356"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Важно отметить, при стрельбе в воздухе по на</w:t>
      </w:r>
      <w:r w:rsidRPr="007224C3">
        <w:rPr>
          <w:color w:val="000000" w:themeColor="text1"/>
          <w:sz w:val="16"/>
          <w:szCs w:val="16"/>
        </w:rPr>
        <w:softHyphen/>
        <w:t>земной цели «Харрикейн» допускал перенос огня от первоначальной точки наводки в боковом направлении и по дальности в пределах 10—15 , «что было затруднено, а порой неосуществимо на самолете Ил-2 с 37-мм пушками».</w:t>
      </w:r>
    </w:p>
    <w:p w14:paraId="238EF26B" w14:textId="77777777" w:rsidR="008F6356" w:rsidRPr="007224C3" w:rsidRDefault="008F6356"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Летчикам понравилось удобное расположение электрокнопки управления огнем из пушек на сек</w:t>
      </w:r>
      <w:r w:rsidRPr="007224C3">
        <w:rPr>
          <w:color w:val="000000" w:themeColor="text1"/>
          <w:sz w:val="16"/>
          <w:szCs w:val="16"/>
        </w:rPr>
        <w:softHyphen/>
        <w:t>торе газа под левую руку. Поскольку пулеметы при</w:t>
      </w:r>
      <w:r w:rsidRPr="007224C3">
        <w:rPr>
          <w:color w:val="000000" w:themeColor="text1"/>
          <w:sz w:val="16"/>
          <w:szCs w:val="16"/>
        </w:rPr>
        <w:softHyphen/>
        <w:t>водились в действие кнопкой на ручке управления самолетом, то такое расположение управления пушками позволяло вести одновременный огонь из пушек и пулеметов.</w:t>
      </w:r>
    </w:p>
    <w:p w14:paraId="3DF6B290" w14:textId="77777777" w:rsidR="008F6356" w:rsidRPr="007224C3" w:rsidRDefault="008F6356"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Для прицеливания при стрельбе использовал</w:t>
      </w:r>
      <w:r w:rsidRPr="007224C3">
        <w:rPr>
          <w:color w:val="000000" w:themeColor="text1"/>
          <w:sz w:val="16"/>
          <w:szCs w:val="16"/>
        </w:rPr>
        <w:softHyphen/>
        <w:t xml:space="preserve">ся коллиматорный прицел Рефлектор Сайт </w:t>
      </w:r>
      <w:r w:rsidRPr="007224C3">
        <w:rPr>
          <w:color w:val="000000" w:themeColor="text1"/>
          <w:sz w:val="16"/>
          <w:szCs w:val="16"/>
          <w:lang w:val="en-US"/>
        </w:rPr>
        <w:t>Mk</w:t>
      </w:r>
      <w:r w:rsidRPr="007224C3">
        <w:rPr>
          <w:color w:val="000000" w:themeColor="text1"/>
          <w:sz w:val="16"/>
          <w:szCs w:val="16"/>
        </w:rPr>
        <w:t>.</w:t>
      </w:r>
      <w:r w:rsidRPr="007224C3">
        <w:rPr>
          <w:color w:val="000000" w:themeColor="text1"/>
          <w:sz w:val="16"/>
          <w:szCs w:val="16"/>
          <w:lang w:val="en-US"/>
        </w:rPr>
        <w:t>IIS</w:t>
      </w:r>
      <w:r w:rsidRPr="007224C3">
        <w:rPr>
          <w:color w:val="000000" w:themeColor="text1"/>
          <w:sz w:val="16"/>
          <w:szCs w:val="16"/>
        </w:rPr>
        <w:t xml:space="preserve"> с электрической подсветкой. Пользоваться им в воздухе было удобно.</w:t>
      </w:r>
    </w:p>
    <w:p w14:paraId="3C2D00ED" w14:textId="77777777" w:rsidR="008F6356" w:rsidRPr="007224C3" w:rsidRDefault="008F6356"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Отмечалась простая эксплуатация пушек: «пуш</w:t>
      </w:r>
      <w:r w:rsidRPr="007224C3">
        <w:rPr>
          <w:color w:val="000000" w:themeColor="text1"/>
          <w:sz w:val="16"/>
          <w:szCs w:val="16"/>
        </w:rPr>
        <w:softHyphen/>
        <w:t>ки осваиваются техническим составом легко и бы</w:t>
      </w:r>
      <w:r w:rsidRPr="007224C3">
        <w:rPr>
          <w:color w:val="000000" w:themeColor="text1"/>
          <w:sz w:val="16"/>
          <w:szCs w:val="16"/>
        </w:rPr>
        <w:softHyphen/>
        <w:t>стро». Подходы к пушкам удобные. Зарядка мага</w:t>
      </w:r>
      <w:r w:rsidRPr="007224C3">
        <w:rPr>
          <w:color w:val="000000" w:themeColor="text1"/>
          <w:sz w:val="16"/>
          <w:szCs w:val="16"/>
        </w:rPr>
        <w:softHyphen/>
        <w:t>зина производилась непосредственно на самолете.</w:t>
      </w:r>
    </w:p>
    <w:p w14:paraId="258949EF" w14:textId="77777777" w:rsidR="008F6356" w:rsidRPr="007224C3" w:rsidRDefault="008F6356"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Имелись и недостатки. Пушки было трудно сна</w:t>
      </w:r>
      <w:r w:rsidRPr="007224C3">
        <w:rPr>
          <w:color w:val="000000" w:themeColor="text1"/>
          <w:sz w:val="16"/>
          <w:szCs w:val="16"/>
        </w:rPr>
        <w:softHyphen/>
        <w:t>ряжать — «стеснен подход к рукоятке магазина при заряжании, особенно при зимней эксплуатации». Регулировочное приспособление пушек было вы</w:t>
      </w:r>
      <w:r w:rsidRPr="007224C3">
        <w:rPr>
          <w:color w:val="000000" w:themeColor="text1"/>
          <w:sz w:val="16"/>
          <w:szCs w:val="16"/>
        </w:rPr>
        <w:softHyphen/>
        <w:t>полнено неудачно — «при снятии пушки с самолета нарушается пристрелка». Легкосъемные замки кры</w:t>
      </w:r>
      <w:r w:rsidRPr="007224C3">
        <w:rPr>
          <w:color w:val="000000" w:themeColor="text1"/>
          <w:sz w:val="16"/>
          <w:szCs w:val="16"/>
        </w:rPr>
        <w:softHyphen/>
        <w:t>шек лючков пулеметов в ходе эксплуатации быстро деформировались. Как следствие, открывание и за</w:t>
      </w:r>
      <w:r w:rsidRPr="007224C3">
        <w:rPr>
          <w:color w:val="000000" w:themeColor="text1"/>
          <w:sz w:val="16"/>
          <w:szCs w:val="16"/>
        </w:rPr>
        <w:softHyphen/>
        <w:t>крывание лючков становилось затруднительным.</w:t>
      </w:r>
    </w:p>
    <w:p w14:paraId="1EE61464" w14:textId="77777777" w:rsidR="008F6356" w:rsidRPr="007224C3" w:rsidRDefault="008F6356"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Отсутствовали приспособления перезарядки пушек в воздухе. По этой причине устранить воз</w:t>
      </w:r>
      <w:r w:rsidRPr="007224C3">
        <w:rPr>
          <w:color w:val="000000" w:themeColor="text1"/>
          <w:sz w:val="16"/>
          <w:szCs w:val="16"/>
        </w:rPr>
        <w:softHyphen/>
        <w:t>можные задержки в стрельбе летчик не мог. В по</w:t>
      </w:r>
      <w:r w:rsidRPr="007224C3">
        <w:rPr>
          <w:color w:val="000000" w:themeColor="text1"/>
          <w:sz w:val="16"/>
          <w:szCs w:val="16"/>
        </w:rPr>
        <w:softHyphen/>
        <w:t>лете в случае осечки летчик мог только повторно взвести ударный механизм, «что отсутствие систе</w:t>
      </w:r>
      <w:r w:rsidRPr="007224C3">
        <w:rPr>
          <w:color w:val="000000" w:themeColor="text1"/>
          <w:sz w:val="16"/>
          <w:szCs w:val="16"/>
        </w:rPr>
        <w:softHyphen/>
        <w:t>мы перезарядки не компенсирует».</w:t>
      </w:r>
    </w:p>
    <w:p w14:paraId="7BA90D80" w14:textId="77777777" w:rsidR="008F6356" w:rsidRPr="007224C3" w:rsidRDefault="008F6356"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Обтекатели пушек оказались недостаточно жесткими и при резком выводе из пикирования деформировались. Так, старший лейтенант Поми</w:t>
      </w:r>
      <w:r w:rsidRPr="007224C3">
        <w:rPr>
          <w:color w:val="000000" w:themeColor="text1"/>
          <w:sz w:val="16"/>
          <w:szCs w:val="16"/>
        </w:rPr>
        <w:softHyphen/>
        <w:t>нальный 12 декабря при пикировании под углом 55° на выходе из пикирования создал перегрузку близкой к 3 единицам и обтекатели пушек дефор</w:t>
      </w:r>
      <w:r w:rsidRPr="007224C3">
        <w:rPr>
          <w:color w:val="000000" w:themeColor="text1"/>
          <w:sz w:val="16"/>
          <w:szCs w:val="16"/>
        </w:rPr>
        <w:softHyphen/>
        <w:t>мировались.</w:t>
      </w:r>
    </w:p>
    <w:p w14:paraId="1F77EB27" w14:textId="77777777" w:rsidR="008F6356" w:rsidRPr="007224C3" w:rsidRDefault="008F6356"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К тому же «боекомплект 15 нарядов на пуш</w:t>
      </w:r>
      <w:r w:rsidRPr="007224C3">
        <w:rPr>
          <w:color w:val="000000" w:themeColor="text1"/>
          <w:sz w:val="16"/>
          <w:szCs w:val="16"/>
        </w:rPr>
        <w:softHyphen/>
        <w:t>ку и темп стрельбы 100—110 выстр./мин не могут удовлетворить ТТТ, предъявляемым ВВС к самоле</w:t>
      </w:r>
      <w:r w:rsidRPr="007224C3">
        <w:rPr>
          <w:color w:val="000000" w:themeColor="text1"/>
          <w:sz w:val="16"/>
          <w:szCs w:val="16"/>
        </w:rPr>
        <w:softHyphen/>
        <w:t>ту-истребителю».</w:t>
      </w:r>
    </w:p>
    <w:p w14:paraId="5684F030" w14:textId="77777777" w:rsidR="008F6356" w:rsidRPr="007224C3" w:rsidRDefault="008F6356"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По всему комплексу летно-боевых качеств «ан</w:t>
      </w:r>
      <w:r w:rsidRPr="007224C3">
        <w:rPr>
          <w:color w:val="000000" w:themeColor="text1"/>
          <w:sz w:val="16"/>
          <w:szCs w:val="16"/>
        </w:rPr>
        <w:softHyphen/>
        <w:t>гличанин» оценивался ниже не только противотан</w:t>
      </w:r>
      <w:r w:rsidRPr="007224C3">
        <w:rPr>
          <w:color w:val="000000" w:themeColor="text1"/>
          <w:sz w:val="16"/>
          <w:szCs w:val="16"/>
        </w:rPr>
        <w:softHyphen/>
        <w:t>ковых истребителей ЛаГГ-3 и Як-9т, но и штурмови</w:t>
      </w:r>
      <w:r w:rsidRPr="007224C3">
        <w:rPr>
          <w:color w:val="000000" w:themeColor="text1"/>
          <w:sz w:val="16"/>
          <w:szCs w:val="16"/>
        </w:rPr>
        <w:softHyphen/>
        <w:t>ка Ил-2 с НС-37.</w:t>
      </w:r>
    </w:p>
    <w:p w14:paraId="44FF440B" w14:textId="77777777" w:rsidR="008F6356" w:rsidRPr="007224C3" w:rsidRDefault="008F6356"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 xml:space="preserve">Отмечалось, что «пушка Виккерс </w:t>
      </w:r>
      <w:r w:rsidRPr="007224C3">
        <w:rPr>
          <w:color w:val="000000" w:themeColor="text1"/>
          <w:sz w:val="16"/>
          <w:szCs w:val="16"/>
          <w:lang w:val="en-US"/>
        </w:rPr>
        <w:t>S</w:t>
      </w:r>
      <w:r w:rsidRPr="007224C3">
        <w:rPr>
          <w:color w:val="000000" w:themeColor="text1"/>
          <w:sz w:val="16"/>
          <w:szCs w:val="16"/>
        </w:rPr>
        <w:t xml:space="preserve"> калибра 40 мм по темпу стрельбы и начальной скорости снаряда стоит ниже современных систем авиаци</w:t>
      </w:r>
      <w:r w:rsidRPr="007224C3">
        <w:rPr>
          <w:color w:val="000000" w:themeColor="text1"/>
          <w:sz w:val="16"/>
          <w:szCs w:val="16"/>
        </w:rPr>
        <w:softHyphen/>
        <w:t xml:space="preserve">онных автоматических пушек и значительно ниже отечественной 37-мм пушки НС-37 ОКБ-16». Пушка имеет большой относительный вес. Коэффициент использования металла по отношению к дульной мощности (показатель качества оружия) у Виккерс </w:t>
      </w:r>
      <w:r w:rsidRPr="007224C3">
        <w:rPr>
          <w:color w:val="000000" w:themeColor="text1"/>
          <w:sz w:val="16"/>
          <w:szCs w:val="16"/>
          <w:lang w:val="en-US"/>
        </w:rPr>
        <w:t>S</w:t>
      </w:r>
      <w:r w:rsidRPr="007224C3">
        <w:rPr>
          <w:color w:val="000000" w:themeColor="text1"/>
          <w:sz w:val="16"/>
          <w:szCs w:val="16"/>
        </w:rPr>
        <w:t xml:space="preserve"> в 1,35 раза меньше, чем у американской 37-мм пушки М-4, в 3,5 раза меньше, чем у НС-37, и в 4 раза меньше, чем у НС-45.</w:t>
      </w:r>
    </w:p>
    <w:p w14:paraId="0FE23556" w14:textId="77777777" w:rsidR="008F6356" w:rsidRPr="007224C3" w:rsidRDefault="008F6356"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Несмотря на больший калибр, бронепроби- ваемость английской пушки оказалась хуже оте</w:t>
      </w:r>
      <w:r w:rsidRPr="007224C3">
        <w:rPr>
          <w:color w:val="000000" w:themeColor="text1"/>
          <w:sz w:val="16"/>
          <w:szCs w:val="16"/>
        </w:rPr>
        <w:softHyphen/>
        <w:t>чественной пушки калибра 37 мм НС-37. С дис</w:t>
      </w:r>
      <w:r w:rsidRPr="007224C3">
        <w:rPr>
          <w:color w:val="000000" w:themeColor="text1"/>
          <w:sz w:val="16"/>
          <w:szCs w:val="16"/>
        </w:rPr>
        <w:softHyphen/>
        <w:t>танции 300 м бронебойный снаряд к пушке НС-37 пробивал при нормальном попадании до 48,3 мм гомогенной танковой брони, тогда как броне</w:t>
      </w:r>
      <w:r w:rsidRPr="007224C3">
        <w:rPr>
          <w:color w:val="000000" w:themeColor="text1"/>
          <w:sz w:val="16"/>
          <w:szCs w:val="16"/>
        </w:rPr>
        <w:softHyphen/>
        <w:t xml:space="preserve">бойный снаряд к пушке Виккерс </w:t>
      </w:r>
      <w:r w:rsidRPr="007224C3">
        <w:rPr>
          <w:color w:val="000000" w:themeColor="text1"/>
          <w:sz w:val="16"/>
          <w:szCs w:val="16"/>
          <w:lang w:val="en-US"/>
        </w:rPr>
        <w:t>S</w:t>
      </w:r>
      <w:r w:rsidRPr="007224C3">
        <w:rPr>
          <w:color w:val="000000" w:themeColor="text1"/>
          <w:sz w:val="16"/>
          <w:szCs w:val="16"/>
        </w:rPr>
        <w:t xml:space="preserve"> — только 38—41 мм, а к американской 37-мм пушке М-4 — 40—43 мм.</w:t>
      </w:r>
    </w:p>
    <w:p w14:paraId="7424E7D3" w14:textId="77777777" w:rsidR="008F6356" w:rsidRPr="007224C3" w:rsidRDefault="008F6356"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Советские истребители Як-9т и ЛаГГ-3 хотя и имели несколько меньший вес секундного залпа, но заметно превосходили английский истребитель танков по летным данным.</w:t>
      </w:r>
    </w:p>
    <w:p w14:paraId="46DE83B6" w14:textId="77777777" w:rsidR="008F6356" w:rsidRPr="007224C3" w:rsidRDefault="008F635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Наступательное стрелково-пушечное вооруже</w:t>
      </w:r>
      <w:r w:rsidRPr="007224C3">
        <w:rPr>
          <w:rFonts w:ascii="Times New Roman" w:hAnsi="Times New Roman"/>
          <w:color w:val="000000" w:themeColor="text1"/>
          <w:sz w:val="16"/>
          <w:szCs w:val="16"/>
        </w:rPr>
        <w:softHyphen/>
        <w:t xml:space="preserve">ние Ил-2 по сравнению с оружием «Харрикейн» </w:t>
      </w:r>
      <w:r w:rsidRPr="007224C3">
        <w:rPr>
          <w:rFonts w:ascii="Times New Roman" w:hAnsi="Times New Roman"/>
          <w:color w:val="000000" w:themeColor="text1"/>
          <w:sz w:val="16"/>
          <w:szCs w:val="16"/>
          <w:lang w:val="en-US"/>
        </w:rPr>
        <w:t>IID</w:t>
      </w:r>
      <w:r w:rsidRPr="007224C3">
        <w:rPr>
          <w:rFonts w:ascii="Times New Roman" w:hAnsi="Times New Roman"/>
          <w:color w:val="000000" w:themeColor="text1"/>
          <w:sz w:val="16"/>
          <w:szCs w:val="16"/>
        </w:rPr>
        <w:t xml:space="preserve"> имело почти в 1,5 раза больший вес секундного залпа. При этом боекомплект к пушкам у Ил-2 по времени непрерывной стрельбы был также боль</w:t>
      </w:r>
      <w:r w:rsidRPr="007224C3">
        <w:rPr>
          <w:rFonts w:ascii="Times New Roman" w:hAnsi="Times New Roman"/>
          <w:color w:val="000000" w:themeColor="text1"/>
          <w:sz w:val="16"/>
          <w:szCs w:val="16"/>
        </w:rPr>
        <w:softHyphen/>
        <w:t>ше. Если принять во внимание значительно лучшее бронирование самолета Ил-2, наличие обороны задней полусферы и бомбового вооружения, то преимущество его системы вооружения считалось несомненным.</w:t>
      </w:r>
    </w:p>
    <w:p w14:paraId="616FB2E9" w14:textId="77777777" w:rsidR="008F6356" w:rsidRPr="007224C3" w:rsidRDefault="008F6356"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Рассеивание нескольких очередей при стрельбе в воздухе из пушек по полотнищам, расположен</w:t>
      </w:r>
      <w:r w:rsidRPr="007224C3">
        <w:rPr>
          <w:color w:val="000000" w:themeColor="text1"/>
          <w:sz w:val="16"/>
          <w:szCs w:val="16"/>
        </w:rPr>
        <w:softHyphen/>
        <w:t>ным на земле, у самолета «Харрикейн» примерно в 2—2,5 раза меньше, чем у самолетов ЛаГГ-3 и Як-9т с пушкой НС-37, и в 6—6,5 раза меньше, чем у самолета Ил-2 с пушками НС-37. Смещение центров группирования попаданий по отношению точки на</w:t>
      </w:r>
      <w:r w:rsidRPr="007224C3">
        <w:rPr>
          <w:color w:val="000000" w:themeColor="text1"/>
          <w:sz w:val="16"/>
          <w:szCs w:val="16"/>
        </w:rPr>
        <w:softHyphen/>
        <w:t>водки прицела у самолета «Харрикейн» меньше, чем у Ил-2 с НС-37, примерно в 4—11 раз.</w:t>
      </w:r>
    </w:p>
    <w:p w14:paraId="152F6DAA" w14:textId="77777777" w:rsidR="008F6356" w:rsidRPr="007224C3" w:rsidRDefault="008F6356"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 xml:space="preserve">Рассеивание при стрельбе в воздухе из пушек у самолета «Харрикейн» </w:t>
      </w:r>
      <w:r w:rsidRPr="007224C3">
        <w:rPr>
          <w:color w:val="000000" w:themeColor="text1"/>
          <w:sz w:val="16"/>
          <w:szCs w:val="16"/>
          <w:lang w:val="en-US"/>
        </w:rPr>
        <w:t>IID</w:t>
      </w:r>
      <w:r w:rsidRPr="007224C3">
        <w:rPr>
          <w:color w:val="000000" w:themeColor="text1"/>
          <w:sz w:val="16"/>
          <w:szCs w:val="16"/>
        </w:rPr>
        <w:t>, по сравнению с рассе</w:t>
      </w:r>
      <w:r w:rsidRPr="007224C3">
        <w:rPr>
          <w:color w:val="000000" w:themeColor="text1"/>
          <w:sz w:val="16"/>
          <w:szCs w:val="16"/>
        </w:rPr>
        <w:softHyphen/>
        <w:t>иванием при стрельбе на земле, возрастало в 10— 18 раз, а у самолета Ил-2 — в 30—100 раз. Сле</w:t>
      </w:r>
      <w:r w:rsidRPr="007224C3">
        <w:rPr>
          <w:color w:val="000000" w:themeColor="text1"/>
          <w:sz w:val="16"/>
          <w:szCs w:val="16"/>
        </w:rPr>
        <w:softHyphen/>
        <w:t xml:space="preserve">довательно, ведение прицельного огня в воздухе с самолета «Харрикейн» </w:t>
      </w:r>
      <w:r w:rsidRPr="007224C3">
        <w:rPr>
          <w:color w:val="000000" w:themeColor="text1"/>
          <w:sz w:val="16"/>
          <w:szCs w:val="16"/>
          <w:lang w:val="en-US"/>
        </w:rPr>
        <w:t>IID</w:t>
      </w:r>
      <w:r w:rsidRPr="007224C3">
        <w:rPr>
          <w:color w:val="000000" w:themeColor="text1"/>
          <w:sz w:val="16"/>
          <w:szCs w:val="16"/>
        </w:rPr>
        <w:t xml:space="preserve"> «значительно удобнее и точнее, чем со сравниваемыми отечественными самолетами».</w:t>
      </w:r>
    </w:p>
    <w:p w14:paraId="578EBE24" w14:textId="77777777" w:rsidR="008F6356" w:rsidRPr="007224C3" w:rsidRDefault="008F6356"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Считалось, что такой результат англичанам уда</w:t>
      </w:r>
      <w:r w:rsidRPr="007224C3">
        <w:rPr>
          <w:color w:val="000000" w:themeColor="text1"/>
          <w:sz w:val="16"/>
          <w:szCs w:val="16"/>
        </w:rPr>
        <w:softHyphen/>
        <w:t>лось получить за счет «удачного расположения центра тяжести самолета, что почти не снизило его летно-пилотажные качества», хорошей конструк</w:t>
      </w:r>
      <w:r w:rsidRPr="007224C3">
        <w:rPr>
          <w:color w:val="000000" w:themeColor="text1"/>
          <w:sz w:val="16"/>
          <w:szCs w:val="16"/>
        </w:rPr>
        <w:softHyphen/>
        <w:t>ции прицела, обеспечивающего точность при при</w:t>
      </w:r>
      <w:r w:rsidRPr="007224C3">
        <w:rPr>
          <w:color w:val="000000" w:themeColor="text1"/>
          <w:sz w:val="16"/>
          <w:szCs w:val="16"/>
        </w:rPr>
        <w:softHyphen/>
        <w:t xml:space="preserve">целивании, и удобного расположения механизмов управления огнем оружия. То есть «Харрикейн» </w:t>
      </w:r>
      <w:r w:rsidRPr="007224C3">
        <w:rPr>
          <w:color w:val="000000" w:themeColor="text1"/>
          <w:sz w:val="16"/>
          <w:szCs w:val="16"/>
          <w:lang w:val="en-US"/>
        </w:rPr>
        <w:t>IID</w:t>
      </w:r>
      <w:r w:rsidRPr="007224C3">
        <w:rPr>
          <w:color w:val="000000" w:themeColor="text1"/>
          <w:sz w:val="16"/>
          <w:szCs w:val="16"/>
        </w:rPr>
        <w:t xml:space="preserve"> наглядно продемонстрировал возможность уста</w:t>
      </w:r>
      <w:r w:rsidRPr="007224C3">
        <w:rPr>
          <w:color w:val="000000" w:themeColor="text1"/>
          <w:sz w:val="16"/>
          <w:szCs w:val="16"/>
        </w:rPr>
        <w:softHyphen/>
        <w:t>новки крупнокалиберных авиапушек на одномо</w:t>
      </w:r>
      <w:r w:rsidRPr="007224C3">
        <w:rPr>
          <w:color w:val="000000" w:themeColor="text1"/>
          <w:sz w:val="16"/>
          <w:szCs w:val="16"/>
        </w:rPr>
        <w:softHyphen/>
        <w:t>торный самолет без снижения его летных качеств и «с достаточной точностью ведения прицельного огня».</w:t>
      </w:r>
    </w:p>
    <w:p w14:paraId="1A214B70" w14:textId="77777777" w:rsidR="008F6356" w:rsidRPr="007224C3" w:rsidRDefault="008F6356"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 xml:space="preserve">По результатам испытаний был сделан вывод, что «по объему и качеству бронирования «Харри- кейн» </w:t>
      </w:r>
      <w:r w:rsidRPr="007224C3">
        <w:rPr>
          <w:color w:val="000000" w:themeColor="text1"/>
          <w:sz w:val="16"/>
          <w:szCs w:val="16"/>
          <w:lang w:val="en-US"/>
        </w:rPr>
        <w:t>IID</w:t>
      </w:r>
      <w:r w:rsidRPr="007224C3">
        <w:rPr>
          <w:color w:val="000000" w:themeColor="text1"/>
          <w:sz w:val="16"/>
          <w:szCs w:val="16"/>
        </w:rPr>
        <w:t xml:space="preserve"> значительно уступает Ил-2», вследствие чего «будет нести значительные потери при штур</w:t>
      </w:r>
      <w:r w:rsidRPr="007224C3">
        <w:rPr>
          <w:color w:val="000000" w:themeColor="text1"/>
          <w:sz w:val="16"/>
          <w:szCs w:val="16"/>
        </w:rPr>
        <w:softHyphen/>
        <w:t>мовых атаках». Целесообразность боевого приме</w:t>
      </w:r>
      <w:r w:rsidRPr="007224C3">
        <w:rPr>
          <w:color w:val="000000" w:themeColor="text1"/>
          <w:sz w:val="16"/>
          <w:szCs w:val="16"/>
        </w:rPr>
        <w:softHyphen/>
        <w:t>нения противотанкового «Харрикейна» была по</w:t>
      </w:r>
      <w:r w:rsidRPr="007224C3">
        <w:rPr>
          <w:color w:val="000000" w:themeColor="text1"/>
          <w:sz w:val="16"/>
          <w:szCs w:val="16"/>
        </w:rPr>
        <w:softHyphen/>
        <w:t>ставлена под сомнение.</w:t>
      </w:r>
    </w:p>
    <w:p w14:paraId="0A57D1CC" w14:textId="77777777" w:rsidR="008F6356" w:rsidRPr="007224C3" w:rsidRDefault="008F6356"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Как истребитель использовать его было нель</w:t>
      </w:r>
      <w:r w:rsidRPr="007224C3">
        <w:rPr>
          <w:color w:val="000000" w:themeColor="text1"/>
          <w:sz w:val="16"/>
          <w:szCs w:val="16"/>
        </w:rPr>
        <w:softHyphen/>
        <w:t xml:space="preserve">зя — он не мог догнать даже </w:t>
      </w:r>
      <w:r w:rsidRPr="007224C3">
        <w:rPr>
          <w:color w:val="000000" w:themeColor="text1"/>
          <w:sz w:val="16"/>
          <w:szCs w:val="16"/>
          <w:lang w:val="en-US"/>
        </w:rPr>
        <w:t>Ju</w:t>
      </w:r>
      <w:r w:rsidRPr="007224C3">
        <w:rPr>
          <w:color w:val="000000" w:themeColor="text1"/>
          <w:sz w:val="16"/>
          <w:szCs w:val="16"/>
        </w:rPr>
        <w:t>88, а для штурмо</w:t>
      </w:r>
      <w:r w:rsidRPr="007224C3">
        <w:rPr>
          <w:color w:val="000000" w:themeColor="text1"/>
          <w:sz w:val="16"/>
          <w:szCs w:val="16"/>
        </w:rPr>
        <w:softHyphen/>
        <w:t xml:space="preserve">вых действий он был совершенно непригоден из-за слабого бронирования и вооружения. Воздушный бой одиночного «Харрикейн» </w:t>
      </w:r>
      <w:r w:rsidRPr="007224C3">
        <w:rPr>
          <w:color w:val="000000" w:themeColor="text1"/>
          <w:sz w:val="16"/>
          <w:szCs w:val="16"/>
          <w:lang w:val="en-US"/>
        </w:rPr>
        <w:t>IID</w:t>
      </w:r>
      <w:r w:rsidRPr="007224C3">
        <w:rPr>
          <w:color w:val="000000" w:themeColor="text1"/>
          <w:sz w:val="16"/>
          <w:szCs w:val="16"/>
        </w:rPr>
        <w:t xml:space="preserve"> не только с груп</w:t>
      </w:r>
      <w:r w:rsidRPr="007224C3">
        <w:rPr>
          <w:color w:val="000000" w:themeColor="text1"/>
          <w:sz w:val="16"/>
          <w:szCs w:val="16"/>
        </w:rPr>
        <w:softHyphen/>
        <w:t>пой, но даже и с одиночным истребителем против</w:t>
      </w:r>
      <w:r w:rsidRPr="007224C3">
        <w:rPr>
          <w:color w:val="000000" w:themeColor="text1"/>
          <w:sz w:val="16"/>
          <w:szCs w:val="16"/>
        </w:rPr>
        <w:softHyphen/>
        <w:t>ника был недопустим. Боевые задачи можно было выполнять только группой и воздушный бой вести в боевом порядке круг или выполняя ножницы с оттягиванием на свою территорию.</w:t>
      </w:r>
    </w:p>
    <w:p w14:paraId="661824DF" w14:textId="77777777" w:rsidR="008F6356" w:rsidRPr="007224C3" w:rsidRDefault="008F6356"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По результатам испытаний самолета «Харри</w:t>
      </w:r>
      <w:r w:rsidRPr="007224C3">
        <w:rPr>
          <w:color w:val="000000" w:themeColor="text1"/>
          <w:sz w:val="16"/>
          <w:szCs w:val="16"/>
        </w:rPr>
        <w:softHyphen/>
        <w:t xml:space="preserve">кейн» </w:t>
      </w:r>
      <w:r w:rsidRPr="007224C3">
        <w:rPr>
          <w:color w:val="000000" w:themeColor="text1"/>
          <w:sz w:val="16"/>
          <w:szCs w:val="16"/>
          <w:lang w:val="en-US"/>
        </w:rPr>
        <w:t>IID</w:t>
      </w:r>
      <w:r w:rsidRPr="007224C3">
        <w:rPr>
          <w:color w:val="000000" w:themeColor="text1"/>
          <w:sz w:val="16"/>
          <w:szCs w:val="16"/>
        </w:rPr>
        <w:t xml:space="preserve"> и его вооружения заместитель начальни</w:t>
      </w:r>
      <w:r w:rsidRPr="007224C3">
        <w:rPr>
          <w:color w:val="000000" w:themeColor="text1"/>
          <w:sz w:val="16"/>
          <w:szCs w:val="16"/>
        </w:rPr>
        <w:softHyphen/>
        <w:t>ка оперативного управления ВВС КА генерал-майор А. П. Некрасов 17 мая 1944 г. направил начальнику штаба ВВС генерал-полковнику С. А. Худякову за</w:t>
      </w:r>
      <w:r w:rsidRPr="007224C3">
        <w:rPr>
          <w:color w:val="000000" w:themeColor="text1"/>
          <w:sz w:val="16"/>
          <w:szCs w:val="16"/>
        </w:rPr>
        <w:softHyphen/>
        <w:t>ключение о боевых возможностях самолета «Хар</w:t>
      </w:r>
      <w:r w:rsidRPr="007224C3">
        <w:rPr>
          <w:color w:val="000000" w:themeColor="text1"/>
          <w:sz w:val="16"/>
          <w:szCs w:val="16"/>
        </w:rPr>
        <w:softHyphen/>
        <w:t xml:space="preserve">рикейн» </w:t>
      </w:r>
      <w:r w:rsidRPr="007224C3">
        <w:rPr>
          <w:color w:val="000000" w:themeColor="text1"/>
          <w:sz w:val="16"/>
          <w:szCs w:val="16"/>
          <w:lang w:val="en-US"/>
        </w:rPr>
        <w:t>IID</w:t>
      </w:r>
      <w:r w:rsidRPr="007224C3">
        <w:rPr>
          <w:color w:val="000000" w:themeColor="text1"/>
          <w:sz w:val="16"/>
          <w:szCs w:val="16"/>
        </w:rPr>
        <w:t>.</w:t>
      </w:r>
    </w:p>
    <w:p w14:paraId="474B6DD5" w14:textId="77777777" w:rsidR="008F6356" w:rsidRPr="007224C3" w:rsidRDefault="008F6356"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В документе констатировалось, что «вследствие слабого могущества выстрела стрелково-пушечно- го оружия, отсутствия бомбардировочного воору</w:t>
      </w:r>
      <w:r w:rsidRPr="007224C3">
        <w:rPr>
          <w:color w:val="000000" w:themeColor="text1"/>
          <w:sz w:val="16"/>
          <w:szCs w:val="16"/>
        </w:rPr>
        <w:softHyphen/>
        <w:t xml:space="preserve">жения и недостаточного бронирования, самолет «Харрикейн» </w:t>
      </w:r>
      <w:r w:rsidRPr="007224C3">
        <w:rPr>
          <w:color w:val="000000" w:themeColor="text1"/>
          <w:sz w:val="16"/>
          <w:szCs w:val="16"/>
          <w:lang w:val="en-US"/>
        </w:rPr>
        <w:t>IID</w:t>
      </w:r>
      <w:r w:rsidRPr="007224C3">
        <w:rPr>
          <w:color w:val="000000" w:themeColor="text1"/>
          <w:sz w:val="16"/>
          <w:szCs w:val="16"/>
        </w:rPr>
        <w:t xml:space="preserve"> не может быть эффективно исполь</w:t>
      </w:r>
      <w:r w:rsidRPr="007224C3">
        <w:rPr>
          <w:color w:val="000000" w:themeColor="text1"/>
          <w:sz w:val="16"/>
          <w:szCs w:val="16"/>
        </w:rPr>
        <w:softHyphen/>
        <w:t>зован как истребитель танков или штурмовик». Бо</w:t>
      </w:r>
      <w:r w:rsidRPr="007224C3">
        <w:rPr>
          <w:color w:val="000000" w:themeColor="text1"/>
          <w:sz w:val="16"/>
          <w:szCs w:val="16"/>
        </w:rPr>
        <w:softHyphen/>
        <w:t>еприпасы пушек НС-37 калибра 37 мм и ВЯ калибра 23 мм, состоящие из осколочно-зажигательных и бронебойно-зажигательных снарядов, имеют боль</w:t>
      </w:r>
      <w:r w:rsidRPr="007224C3">
        <w:rPr>
          <w:color w:val="000000" w:themeColor="text1"/>
          <w:sz w:val="16"/>
          <w:szCs w:val="16"/>
        </w:rPr>
        <w:softHyphen/>
        <w:t xml:space="preserve">ший разрушающий эффект у цели по сравнению с боеприпасами к пушке Виккерс </w:t>
      </w:r>
      <w:r w:rsidRPr="007224C3">
        <w:rPr>
          <w:color w:val="000000" w:themeColor="text1"/>
          <w:sz w:val="16"/>
          <w:szCs w:val="16"/>
          <w:lang w:val="en-US"/>
        </w:rPr>
        <w:t>S</w:t>
      </w:r>
      <w:r w:rsidRPr="007224C3">
        <w:rPr>
          <w:color w:val="000000" w:themeColor="text1"/>
          <w:sz w:val="16"/>
          <w:szCs w:val="16"/>
        </w:rPr>
        <w:t>, а бронебой</w:t>
      </w:r>
      <w:r w:rsidRPr="007224C3">
        <w:rPr>
          <w:color w:val="000000" w:themeColor="text1"/>
          <w:sz w:val="16"/>
          <w:szCs w:val="16"/>
        </w:rPr>
        <w:softHyphen/>
        <w:t>ный снаряд пушки НС-37 обладает к тому же еще и большей бронепробиваемостью.</w:t>
      </w:r>
    </w:p>
    <w:p w14:paraId="33C150A8" w14:textId="77777777" w:rsidR="008F6356" w:rsidRPr="007224C3" w:rsidRDefault="008F6356"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Внимание руководства обращалось на ненор</w:t>
      </w:r>
      <w:r w:rsidRPr="007224C3">
        <w:rPr>
          <w:color w:val="000000" w:themeColor="text1"/>
          <w:sz w:val="16"/>
          <w:szCs w:val="16"/>
        </w:rPr>
        <w:softHyphen/>
        <w:t>мальную ситуацию со снабжением ВВС КА снаряда</w:t>
      </w:r>
      <w:r w:rsidRPr="007224C3">
        <w:rPr>
          <w:color w:val="000000" w:themeColor="text1"/>
          <w:sz w:val="16"/>
          <w:szCs w:val="16"/>
        </w:rPr>
        <w:softHyphen/>
        <w:t xml:space="preserve">ми к пушкам Виккерс </w:t>
      </w:r>
      <w:r w:rsidRPr="007224C3">
        <w:rPr>
          <w:color w:val="000000" w:themeColor="text1"/>
          <w:sz w:val="16"/>
          <w:szCs w:val="16"/>
          <w:lang w:val="en-US"/>
        </w:rPr>
        <w:t>S</w:t>
      </w:r>
      <w:r w:rsidRPr="007224C3">
        <w:rPr>
          <w:color w:val="000000" w:themeColor="text1"/>
          <w:sz w:val="16"/>
          <w:szCs w:val="16"/>
        </w:rPr>
        <w:t>. По этому поводу в докла</w:t>
      </w:r>
      <w:r w:rsidRPr="007224C3">
        <w:rPr>
          <w:color w:val="000000" w:themeColor="text1"/>
          <w:sz w:val="16"/>
          <w:szCs w:val="16"/>
        </w:rPr>
        <w:softHyphen/>
        <w:t>де указывалось: «Получаемые нами бронебойные снаряды от англичан являются недоснаряженными (нет взрывчатого вещества и донного взрывателя), вследствие чего баллистические характеристики снарядов — плохие и не отвечают тактико-техни</w:t>
      </w:r>
      <w:r w:rsidRPr="007224C3">
        <w:rPr>
          <w:color w:val="000000" w:themeColor="text1"/>
          <w:sz w:val="16"/>
          <w:szCs w:val="16"/>
        </w:rPr>
        <w:softHyphen/>
        <w:t>ческим требованиям к боеприпасам воздушного боя. Такой тип снаряда не в состоянии пробить броню среднего танка в 45 мм на дистанции 300 м под углом встречи к нормали 30°, а бронь толщи</w:t>
      </w:r>
      <w:r w:rsidRPr="007224C3">
        <w:rPr>
          <w:color w:val="000000" w:themeColor="text1"/>
          <w:sz w:val="16"/>
          <w:szCs w:val="16"/>
        </w:rPr>
        <w:softHyphen/>
        <w:t>ной меньше чем 30 мм или планер самолета, он способен пробить, но не разрушить, так как снаряд не имеет ни зажигательного, ни фугасного снаряже</w:t>
      </w:r>
      <w:r w:rsidRPr="007224C3">
        <w:rPr>
          <w:color w:val="000000" w:themeColor="text1"/>
          <w:sz w:val="16"/>
          <w:szCs w:val="16"/>
        </w:rPr>
        <w:softHyphen/>
        <w:t>ния. Поэтому такие снаряды могут быть использо</w:t>
      </w:r>
      <w:r w:rsidRPr="007224C3">
        <w:rPr>
          <w:color w:val="000000" w:themeColor="text1"/>
          <w:sz w:val="16"/>
          <w:szCs w:val="16"/>
        </w:rPr>
        <w:softHyphen/>
        <w:t>ваны для учебных целей или как лафетопробные. Для поражения самолетов в воздухе нужны снаря</w:t>
      </w:r>
      <w:r w:rsidRPr="007224C3">
        <w:rPr>
          <w:color w:val="000000" w:themeColor="text1"/>
          <w:sz w:val="16"/>
          <w:szCs w:val="16"/>
        </w:rPr>
        <w:softHyphen/>
        <w:t>ды осколочно-фугасного действия».</w:t>
      </w:r>
    </w:p>
    <w:p w14:paraId="1A40136D" w14:textId="77777777" w:rsidR="008F6356" w:rsidRPr="007224C3" w:rsidRDefault="008F6356"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При сопоставимых летных данных у земли ос</w:t>
      </w:r>
      <w:r w:rsidRPr="007224C3">
        <w:rPr>
          <w:color w:val="000000" w:themeColor="text1"/>
          <w:sz w:val="16"/>
          <w:szCs w:val="16"/>
        </w:rPr>
        <w:softHyphen/>
        <w:t>новной ударный самолет ВВС КА штурмовик Ил-2 имел значительно более сильное бронирование, бомбардировочное вооружение и воздушного стрелка для защиты от атак истребителей против</w:t>
      </w:r>
      <w:r w:rsidRPr="007224C3">
        <w:rPr>
          <w:color w:val="000000" w:themeColor="text1"/>
          <w:sz w:val="16"/>
          <w:szCs w:val="16"/>
        </w:rPr>
        <w:softHyphen/>
        <w:t>ника со стороны задней полусферы. По этим при</w:t>
      </w:r>
      <w:r w:rsidRPr="007224C3">
        <w:rPr>
          <w:color w:val="000000" w:themeColor="text1"/>
          <w:sz w:val="16"/>
          <w:szCs w:val="16"/>
        </w:rPr>
        <w:softHyphen/>
        <w:t>чинам боевые качества Ил-2 оценивались специ</w:t>
      </w:r>
      <w:r w:rsidRPr="007224C3">
        <w:rPr>
          <w:color w:val="000000" w:themeColor="text1"/>
          <w:sz w:val="16"/>
          <w:szCs w:val="16"/>
        </w:rPr>
        <w:softHyphen/>
        <w:t xml:space="preserve">алистами оперативного управления значительно выше, чем «Харрикейна» </w:t>
      </w:r>
      <w:r w:rsidRPr="007224C3">
        <w:rPr>
          <w:color w:val="000000" w:themeColor="text1"/>
          <w:sz w:val="16"/>
          <w:szCs w:val="16"/>
          <w:lang w:val="en-US"/>
        </w:rPr>
        <w:t>IID</w:t>
      </w:r>
      <w:r w:rsidRPr="007224C3">
        <w:rPr>
          <w:color w:val="000000" w:themeColor="text1"/>
          <w:sz w:val="16"/>
          <w:szCs w:val="16"/>
        </w:rPr>
        <w:t>.</w:t>
      </w:r>
    </w:p>
    <w:p w14:paraId="273600A2" w14:textId="77777777" w:rsidR="008F6356" w:rsidRPr="007224C3" w:rsidRDefault="008F6356"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На основании этого делался вывод, что «самолет «Харрикейн» 11Д в качестве штурмовика применять нецелесообразно, вследствие слабого могущества выстрела стрелково-пушечного вооружения, отсут</w:t>
      </w:r>
      <w:r w:rsidRPr="007224C3">
        <w:rPr>
          <w:color w:val="000000" w:themeColor="text1"/>
          <w:sz w:val="16"/>
          <w:szCs w:val="16"/>
        </w:rPr>
        <w:softHyphen/>
        <w:t>ствия бомбардировочного вооружения и слабого бронирования». Истребитель предлагалось исполь</w:t>
      </w:r>
      <w:r w:rsidRPr="007224C3">
        <w:rPr>
          <w:color w:val="000000" w:themeColor="text1"/>
          <w:sz w:val="16"/>
          <w:szCs w:val="16"/>
        </w:rPr>
        <w:softHyphen/>
        <w:t>зовать в системе ПВО страны в качестве истреби</w:t>
      </w:r>
      <w:r w:rsidRPr="007224C3">
        <w:rPr>
          <w:color w:val="000000" w:themeColor="text1"/>
          <w:sz w:val="16"/>
          <w:szCs w:val="16"/>
        </w:rPr>
        <w:softHyphen/>
        <w:t>теля-перехватчика, но при условии использования боеприпасов «осколочно-трассирующего или осколочно-зажигательного снаряжения».</w:t>
      </w:r>
    </w:p>
    <w:p w14:paraId="5DC31DFE" w14:textId="77777777" w:rsidR="008F6356" w:rsidRPr="007224C3" w:rsidRDefault="008F6356"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Известна резолюция генерала Худякова, которую тот наложил на документ: «ОУ. Подготовить справ</w:t>
      </w:r>
      <w:r w:rsidRPr="007224C3">
        <w:rPr>
          <w:color w:val="000000" w:themeColor="text1"/>
          <w:sz w:val="16"/>
          <w:szCs w:val="16"/>
        </w:rPr>
        <w:softHyphen/>
        <w:t>ку такого же содержания главному инженеру ВВС за моей подписью». Уже 23 мая справка ушла в аппарат генерала Репина (17500).</w:t>
      </w:r>
    </w:p>
    <w:p w14:paraId="21627CA1" w14:textId="77777777" w:rsidR="008F6356" w:rsidRPr="007224C3" w:rsidRDefault="008F6356" w:rsidP="007224C3">
      <w:pPr>
        <w:spacing w:after="0" w:line="240" w:lineRule="auto"/>
        <w:jc w:val="both"/>
        <w:rPr>
          <w:rFonts w:ascii="Times New Roman" w:hAnsi="Times New Roman"/>
          <w:color w:val="000000" w:themeColor="text1"/>
          <w:sz w:val="16"/>
          <w:szCs w:val="16"/>
        </w:rPr>
      </w:pPr>
    </w:p>
    <w:p w14:paraId="5A5400C8" w14:textId="77777777" w:rsidR="00264F92"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января 1944 вышло Постановление ГКО № 4918 О плане производства самолетов и авиамоторов на I квартал 1944 года. РГАНИР, Фонд ГКО, д. 187, лл. 44-48 (11012).</w:t>
      </w:r>
    </w:p>
    <w:p w14:paraId="63AEDFC1" w14:textId="77777777" w:rsidR="00264F92"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января 1944 вышло:</w:t>
      </w:r>
    </w:p>
    <w:p w14:paraId="46CAECEB" w14:textId="77777777" w:rsidR="00264F92"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ПОСТАНОВЛЕНИЕ ГОСУДАРСТВЕННОГО КОМИТЕТА ОБОРОНЫ № 4918сс</w:t>
      </w:r>
    </w:p>
    <w:p w14:paraId="71EFCC3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О производстве самолетов и авиамоторов на 1 квартал 1944 года. </w:t>
      </w:r>
    </w:p>
    <w:p w14:paraId="177B03F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Государственный Комитет Обороны постановляет: 1. Установить Наркомавиапрому на 1 квартал 1944 года план производства самолетов в количестве 9886, из них 8313 боевых, в том числе по типам:</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165"/>
        <w:gridCol w:w="2880"/>
        <w:gridCol w:w="1260"/>
        <w:gridCol w:w="1260"/>
        <w:gridCol w:w="1005"/>
      </w:tblGrid>
      <w:tr w:rsidR="006331D6" w:rsidRPr="007224C3" w14:paraId="79DF826A" w14:textId="77777777" w:rsidTr="003712D9">
        <w:trPr>
          <w:jc w:val="center"/>
        </w:trPr>
        <w:tc>
          <w:tcPr>
            <w:tcW w:w="3165" w:type="dxa"/>
            <w:tcBorders>
              <w:top w:val="single" w:sz="12" w:space="0" w:color="auto"/>
            </w:tcBorders>
          </w:tcPr>
          <w:p w14:paraId="655429C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Тип самолета</w:t>
            </w:r>
          </w:p>
        </w:tc>
        <w:tc>
          <w:tcPr>
            <w:tcW w:w="2880" w:type="dxa"/>
            <w:tcBorders>
              <w:top w:val="single" w:sz="12" w:space="0" w:color="auto"/>
            </w:tcBorders>
          </w:tcPr>
          <w:p w14:paraId="68D33AE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 на квартал</w:t>
            </w:r>
          </w:p>
        </w:tc>
        <w:tc>
          <w:tcPr>
            <w:tcW w:w="1260" w:type="dxa"/>
            <w:gridSpan w:val="3"/>
            <w:tcBorders>
              <w:top w:val="single" w:sz="12" w:space="0" w:color="auto"/>
            </w:tcBorders>
          </w:tcPr>
          <w:p w14:paraId="0A870BE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месяцам</w:t>
            </w:r>
          </w:p>
        </w:tc>
      </w:tr>
      <w:tr w:rsidR="006331D6" w:rsidRPr="007224C3" w14:paraId="6D5360DF" w14:textId="77777777">
        <w:trPr>
          <w:jc w:val="center"/>
        </w:trPr>
        <w:tc>
          <w:tcPr>
            <w:tcW w:w="3165" w:type="dxa"/>
          </w:tcPr>
          <w:p w14:paraId="0E9B07E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2880" w:type="dxa"/>
          </w:tcPr>
          <w:p w14:paraId="6C8A27D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260" w:type="dxa"/>
          </w:tcPr>
          <w:p w14:paraId="0B26580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январь </w:t>
            </w:r>
          </w:p>
        </w:tc>
        <w:tc>
          <w:tcPr>
            <w:tcW w:w="1260" w:type="dxa"/>
          </w:tcPr>
          <w:p w14:paraId="590C4CA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февраль </w:t>
            </w:r>
          </w:p>
        </w:tc>
        <w:tc>
          <w:tcPr>
            <w:tcW w:w="1005" w:type="dxa"/>
          </w:tcPr>
          <w:p w14:paraId="47E668E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март</w:t>
            </w:r>
          </w:p>
        </w:tc>
      </w:tr>
      <w:tr w:rsidR="006331D6" w:rsidRPr="007224C3" w14:paraId="365FA676" w14:textId="77777777">
        <w:trPr>
          <w:jc w:val="center"/>
        </w:trPr>
        <w:tc>
          <w:tcPr>
            <w:tcW w:w="3165" w:type="dxa"/>
          </w:tcPr>
          <w:p w14:paraId="32B84DF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истребителей</w:t>
            </w:r>
          </w:p>
        </w:tc>
        <w:tc>
          <w:tcPr>
            <w:tcW w:w="2880" w:type="dxa"/>
          </w:tcPr>
          <w:p w14:paraId="6394A9D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4268</w:t>
            </w:r>
          </w:p>
        </w:tc>
        <w:tc>
          <w:tcPr>
            <w:tcW w:w="1260" w:type="dxa"/>
          </w:tcPr>
          <w:p w14:paraId="5945840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1400</w:t>
            </w:r>
          </w:p>
        </w:tc>
        <w:tc>
          <w:tcPr>
            <w:tcW w:w="1260" w:type="dxa"/>
          </w:tcPr>
          <w:p w14:paraId="5AE6432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1375</w:t>
            </w:r>
          </w:p>
        </w:tc>
        <w:tc>
          <w:tcPr>
            <w:tcW w:w="1005" w:type="dxa"/>
          </w:tcPr>
          <w:p w14:paraId="4EABF84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1493</w:t>
            </w:r>
          </w:p>
        </w:tc>
      </w:tr>
      <w:tr w:rsidR="006331D6" w:rsidRPr="007224C3" w14:paraId="1F435831" w14:textId="77777777">
        <w:trPr>
          <w:jc w:val="center"/>
        </w:trPr>
        <w:tc>
          <w:tcPr>
            <w:tcW w:w="3165" w:type="dxa"/>
          </w:tcPr>
          <w:p w14:paraId="0E81D65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Из них: ЯК-1</w:t>
            </w:r>
          </w:p>
        </w:tc>
        <w:tc>
          <w:tcPr>
            <w:tcW w:w="2880" w:type="dxa"/>
          </w:tcPr>
          <w:p w14:paraId="2608501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702</w:t>
            </w:r>
          </w:p>
        </w:tc>
        <w:tc>
          <w:tcPr>
            <w:tcW w:w="1260" w:type="dxa"/>
          </w:tcPr>
          <w:p w14:paraId="27F4B08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260</w:t>
            </w:r>
          </w:p>
        </w:tc>
        <w:tc>
          <w:tcPr>
            <w:tcW w:w="1260" w:type="dxa"/>
          </w:tcPr>
          <w:p w14:paraId="7125441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235</w:t>
            </w:r>
          </w:p>
        </w:tc>
        <w:tc>
          <w:tcPr>
            <w:tcW w:w="1005" w:type="dxa"/>
          </w:tcPr>
          <w:p w14:paraId="3DB3369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207</w:t>
            </w:r>
          </w:p>
        </w:tc>
      </w:tr>
      <w:tr w:rsidR="006331D6" w:rsidRPr="007224C3" w14:paraId="2EBEF470" w14:textId="77777777">
        <w:trPr>
          <w:jc w:val="center"/>
        </w:trPr>
        <w:tc>
          <w:tcPr>
            <w:tcW w:w="3165" w:type="dxa"/>
          </w:tcPr>
          <w:p w14:paraId="759B0EE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ЯК-3</w:t>
            </w:r>
          </w:p>
        </w:tc>
        <w:tc>
          <w:tcPr>
            <w:tcW w:w="2880" w:type="dxa"/>
          </w:tcPr>
          <w:p w14:paraId="5897186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155</w:t>
            </w:r>
          </w:p>
        </w:tc>
        <w:tc>
          <w:tcPr>
            <w:tcW w:w="1260" w:type="dxa"/>
          </w:tcPr>
          <w:p w14:paraId="3790A7C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w:t>
            </w:r>
          </w:p>
        </w:tc>
        <w:tc>
          <w:tcPr>
            <w:tcW w:w="1260" w:type="dxa"/>
          </w:tcPr>
          <w:p w14:paraId="4380334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w:t>
            </w:r>
          </w:p>
        </w:tc>
        <w:tc>
          <w:tcPr>
            <w:tcW w:w="1005" w:type="dxa"/>
          </w:tcPr>
          <w:p w14:paraId="283C5CC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w:t>
            </w:r>
          </w:p>
        </w:tc>
      </w:tr>
      <w:tr w:rsidR="006331D6" w:rsidRPr="007224C3" w14:paraId="3F4CEA44" w14:textId="77777777">
        <w:trPr>
          <w:jc w:val="center"/>
        </w:trPr>
        <w:tc>
          <w:tcPr>
            <w:tcW w:w="3165" w:type="dxa"/>
          </w:tcPr>
          <w:p w14:paraId="6EB4397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ЯК-7</w:t>
            </w:r>
          </w:p>
        </w:tc>
        <w:tc>
          <w:tcPr>
            <w:tcW w:w="2880" w:type="dxa"/>
          </w:tcPr>
          <w:p w14:paraId="130E513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211</w:t>
            </w:r>
          </w:p>
        </w:tc>
        <w:tc>
          <w:tcPr>
            <w:tcW w:w="1260" w:type="dxa"/>
          </w:tcPr>
          <w:p w14:paraId="274E9EE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75</w:t>
            </w:r>
          </w:p>
        </w:tc>
        <w:tc>
          <w:tcPr>
            <w:tcW w:w="1260" w:type="dxa"/>
          </w:tcPr>
          <w:p w14:paraId="0E3290F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70</w:t>
            </w:r>
          </w:p>
        </w:tc>
        <w:tc>
          <w:tcPr>
            <w:tcW w:w="1005" w:type="dxa"/>
          </w:tcPr>
          <w:p w14:paraId="44EFD1B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66</w:t>
            </w:r>
          </w:p>
        </w:tc>
      </w:tr>
      <w:tr w:rsidR="006331D6" w:rsidRPr="007224C3" w14:paraId="3FEB1E6B" w14:textId="77777777">
        <w:trPr>
          <w:jc w:val="center"/>
        </w:trPr>
        <w:tc>
          <w:tcPr>
            <w:tcW w:w="3165" w:type="dxa"/>
          </w:tcPr>
          <w:p w14:paraId="04C4008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ЯК-7</w:t>
            </w:r>
          </w:p>
        </w:tc>
        <w:tc>
          <w:tcPr>
            <w:tcW w:w="2880" w:type="dxa"/>
          </w:tcPr>
          <w:p w14:paraId="6E5616D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1560</w:t>
            </w:r>
          </w:p>
        </w:tc>
        <w:tc>
          <w:tcPr>
            <w:tcW w:w="1260" w:type="dxa"/>
          </w:tcPr>
          <w:p w14:paraId="77B7D68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500</w:t>
            </w:r>
          </w:p>
        </w:tc>
        <w:tc>
          <w:tcPr>
            <w:tcW w:w="1260" w:type="dxa"/>
          </w:tcPr>
          <w:p w14:paraId="62ACF1F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505</w:t>
            </w:r>
          </w:p>
        </w:tc>
        <w:tc>
          <w:tcPr>
            <w:tcW w:w="1005" w:type="dxa"/>
          </w:tcPr>
          <w:p w14:paraId="1FCABE1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555</w:t>
            </w:r>
          </w:p>
        </w:tc>
      </w:tr>
      <w:tr w:rsidR="006331D6" w:rsidRPr="007224C3" w14:paraId="6F8E0465" w14:textId="77777777">
        <w:trPr>
          <w:jc w:val="center"/>
        </w:trPr>
        <w:tc>
          <w:tcPr>
            <w:tcW w:w="3165" w:type="dxa"/>
          </w:tcPr>
          <w:p w14:paraId="39FAD33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Ла-5</w:t>
            </w:r>
          </w:p>
        </w:tc>
        <w:tc>
          <w:tcPr>
            <w:tcW w:w="2880" w:type="dxa"/>
          </w:tcPr>
          <w:p w14:paraId="66852DA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1490</w:t>
            </w:r>
          </w:p>
        </w:tc>
        <w:tc>
          <w:tcPr>
            <w:tcW w:w="1260" w:type="dxa"/>
          </w:tcPr>
          <w:p w14:paraId="1E366A7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475</w:t>
            </w:r>
          </w:p>
        </w:tc>
        <w:tc>
          <w:tcPr>
            <w:tcW w:w="1260" w:type="dxa"/>
          </w:tcPr>
          <w:p w14:paraId="289F338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475</w:t>
            </w:r>
          </w:p>
        </w:tc>
        <w:tc>
          <w:tcPr>
            <w:tcW w:w="1005" w:type="dxa"/>
          </w:tcPr>
          <w:p w14:paraId="7E892CF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540</w:t>
            </w:r>
          </w:p>
        </w:tc>
      </w:tr>
      <w:tr w:rsidR="006331D6" w:rsidRPr="007224C3" w14:paraId="443BAD20" w14:textId="77777777">
        <w:trPr>
          <w:jc w:val="center"/>
        </w:trPr>
        <w:tc>
          <w:tcPr>
            <w:tcW w:w="3165" w:type="dxa"/>
          </w:tcPr>
          <w:p w14:paraId="364B97C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Лагг-3</w:t>
            </w:r>
          </w:p>
        </w:tc>
        <w:tc>
          <w:tcPr>
            <w:tcW w:w="2880" w:type="dxa"/>
          </w:tcPr>
          <w:p w14:paraId="0D0B1F6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150</w:t>
            </w:r>
          </w:p>
        </w:tc>
        <w:tc>
          <w:tcPr>
            <w:tcW w:w="1260" w:type="dxa"/>
          </w:tcPr>
          <w:p w14:paraId="7EBFEE3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75</w:t>
            </w:r>
          </w:p>
        </w:tc>
        <w:tc>
          <w:tcPr>
            <w:tcW w:w="1260" w:type="dxa"/>
          </w:tcPr>
          <w:p w14:paraId="2423426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w:t>
            </w:r>
          </w:p>
        </w:tc>
        <w:tc>
          <w:tcPr>
            <w:tcW w:w="1005" w:type="dxa"/>
          </w:tcPr>
          <w:p w14:paraId="77B70B5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w:t>
            </w:r>
          </w:p>
        </w:tc>
      </w:tr>
      <w:tr w:rsidR="006331D6" w:rsidRPr="007224C3" w14:paraId="310C32A6" w14:textId="77777777">
        <w:trPr>
          <w:jc w:val="center"/>
        </w:trPr>
        <w:tc>
          <w:tcPr>
            <w:tcW w:w="3165" w:type="dxa"/>
          </w:tcPr>
          <w:p w14:paraId="406D834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штурмовиков</w:t>
            </w:r>
          </w:p>
        </w:tc>
        <w:tc>
          <w:tcPr>
            <w:tcW w:w="2880" w:type="dxa"/>
          </w:tcPr>
          <w:p w14:paraId="445164A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3013</w:t>
            </w:r>
          </w:p>
        </w:tc>
        <w:tc>
          <w:tcPr>
            <w:tcW w:w="1260" w:type="dxa"/>
          </w:tcPr>
          <w:p w14:paraId="018E2C5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975</w:t>
            </w:r>
          </w:p>
        </w:tc>
        <w:tc>
          <w:tcPr>
            <w:tcW w:w="1260" w:type="dxa"/>
          </w:tcPr>
          <w:p w14:paraId="4646B8E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975</w:t>
            </w:r>
          </w:p>
        </w:tc>
        <w:tc>
          <w:tcPr>
            <w:tcW w:w="1005" w:type="dxa"/>
          </w:tcPr>
          <w:p w14:paraId="2230467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1063</w:t>
            </w:r>
          </w:p>
        </w:tc>
      </w:tr>
      <w:tr w:rsidR="006331D6" w:rsidRPr="007224C3" w14:paraId="3752AB7D" w14:textId="77777777">
        <w:trPr>
          <w:jc w:val="center"/>
        </w:trPr>
        <w:tc>
          <w:tcPr>
            <w:tcW w:w="3165" w:type="dxa"/>
          </w:tcPr>
          <w:p w14:paraId="3BFFE7F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бомбардировщиков</w:t>
            </w:r>
          </w:p>
        </w:tc>
        <w:tc>
          <w:tcPr>
            <w:tcW w:w="2880" w:type="dxa"/>
          </w:tcPr>
          <w:p w14:paraId="6372CA8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1032</w:t>
            </w:r>
          </w:p>
        </w:tc>
        <w:tc>
          <w:tcPr>
            <w:tcW w:w="1260" w:type="dxa"/>
          </w:tcPr>
          <w:p w14:paraId="45D0175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321</w:t>
            </w:r>
          </w:p>
        </w:tc>
        <w:tc>
          <w:tcPr>
            <w:tcW w:w="1260" w:type="dxa"/>
          </w:tcPr>
          <w:p w14:paraId="5B1C92A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333</w:t>
            </w:r>
          </w:p>
        </w:tc>
        <w:tc>
          <w:tcPr>
            <w:tcW w:w="1005" w:type="dxa"/>
          </w:tcPr>
          <w:p w14:paraId="72335BB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378</w:t>
            </w:r>
          </w:p>
        </w:tc>
      </w:tr>
      <w:tr w:rsidR="006331D6" w:rsidRPr="007224C3" w14:paraId="536771C9" w14:textId="77777777">
        <w:trPr>
          <w:jc w:val="center"/>
        </w:trPr>
        <w:tc>
          <w:tcPr>
            <w:tcW w:w="3165" w:type="dxa"/>
          </w:tcPr>
          <w:p w14:paraId="7989A7C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 них: ПЕ-2</w:t>
            </w:r>
          </w:p>
        </w:tc>
        <w:tc>
          <w:tcPr>
            <w:tcW w:w="2880" w:type="dxa"/>
          </w:tcPr>
          <w:p w14:paraId="30F7A26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573</w:t>
            </w:r>
          </w:p>
        </w:tc>
        <w:tc>
          <w:tcPr>
            <w:tcW w:w="1260" w:type="dxa"/>
          </w:tcPr>
          <w:p w14:paraId="271DA94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205</w:t>
            </w:r>
          </w:p>
        </w:tc>
        <w:tc>
          <w:tcPr>
            <w:tcW w:w="1260" w:type="dxa"/>
          </w:tcPr>
          <w:p w14:paraId="37F3BF3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190</w:t>
            </w:r>
          </w:p>
        </w:tc>
        <w:tc>
          <w:tcPr>
            <w:tcW w:w="1005" w:type="dxa"/>
          </w:tcPr>
          <w:p w14:paraId="1CFA8FB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178</w:t>
            </w:r>
          </w:p>
        </w:tc>
      </w:tr>
      <w:tr w:rsidR="006331D6" w:rsidRPr="007224C3" w14:paraId="4A5265EF" w14:textId="77777777">
        <w:trPr>
          <w:jc w:val="center"/>
        </w:trPr>
        <w:tc>
          <w:tcPr>
            <w:tcW w:w="3165" w:type="dxa"/>
          </w:tcPr>
          <w:p w14:paraId="428508D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ПЕ-3</w:t>
            </w:r>
          </w:p>
        </w:tc>
        <w:tc>
          <w:tcPr>
            <w:tcW w:w="2880" w:type="dxa"/>
          </w:tcPr>
          <w:p w14:paraId="04B1956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120</w:t>
            </w:r>
          </w:p>
        </w:tc>
        <w:tc>
          <w:tcPr>
            <w:tcW w:w="1260" w:type="dxa"/>
          </w:tcPr>
          <w:p w14:paraId="2BBE1E3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w:t>
            </w:r>
          </w:p>
        </w:tc>
        <w:tc>
          <w:tcPr>
            <w:tcW w:w="1260" w:type="dxa"/>
          </w:tcPr>
          <w:p w14:paraId="379AC10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35</w:t>
            </w:r>
          </w:p>
        </w:tc>
        <w:tc>
          <w:tcPr>
            <w:tcW w:w="1005" w:type="dxa"/>
          </w:tcPr>
          <w:p w14:paraId="46EB421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65</w:t>
            </w:r>
          </w:p>
        </w:tc>
      </w:tr>
      <w:tr w:rsidR="006331D6" w:rsidRPr="007224C3" w14:paraId="6962B494" w14:textId="77777777">
        <w:trPr>
          <w:jc w:val="center"/>
        </w:trPr>
        <w:tc>
          <w:tcPr>
            <w:tcW w:w="3165" w:type="dxa"/>
          </w:tcPr>
          <w:p w14:paraId="561D60E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ПЕ-8</w:t>
            </w:r>
          </w:p>
        </w:tc>
        <w:tc>
          <w:tcPr>
            <w:tcW w:w="2880" w:type="dxa"/>
          </w:tcPr>
          <w:p w14:paraId="401B916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w:t>
            </w:r>
          </w:p>
        </w:tc>
        <w:tc>
          <w:tcPr>
            <w:tcW w:w="1260" w:type="dxa"/>
          </w:tcPr>
          <w:p w14:paraId="7CA4FBB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tc>
        <w:tc>
          <w:tcPr>
            <w:tcW w:w="1260" w:type="dxa"/>
          </w:tcPr>
          <w:p w14:paraId="6058C41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tc>
        <w:tc>
          <w:tcPr>
            <w:tcW w:w="1005" w:type="dxa"/>
          </w:tcPr>
          <w:p w14:paraId="48686E7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tc>
      </w:tr>
      <w:tr w:rsidR="006331D6" w:rsidRPr="007224C3" w14:paraId="3CB526FA" w14:textId="77777777">
        <w:trPr>
          <w:jc w:val="center"/>
        </w:trPr>
        <w:tc>
          <w:tcPr>
            <w:tcW w:w="3165" w:type="dxa"/>
          </w:tcPr>
          <w:p w14:paraId="0AB67A7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ИЛ-4</w:t>
            </w:r>
          </w:p>
        </w:tc>
        <w:tc>
          <w:tcPr>
            <w:tcW w:w="2880" w:type="dxa"/>
          </w:tcPr>
          <w:p w14:paraId="1584116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209</w:t>
            </w:r>
          </w:p>
        </w:tc>
        <w:tc>
          <w:tcPr>
            <w:tcW w:w="1260" w:type="dxa"/>
          </w:tcPr>
          <w:p w14:paraId="069B5EE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70</w:t>
            </w:r>
          </w:p>
        </w:tc>
        <w:tc>
          <w:tcPr>
            <w:tcW w:w="1260" w:type="dxa"/>
          </w:tcPr>
          <w:p w14:paraId="119575C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70</w:t>
            </w:r>
          </w:p>
        </w:tc>
        <w:tc>
          <w:tcPr>
            <w:tcW w:w="1005" w:type="dxa"/>
          </w:tcPr>
          <w:p w14:paraId="2DD4184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69</w:t>
            </w:r>
          </w:p>
        </w:tc>
      </w:tr>
      <w:tr w:rsidR="006331D6" w:rsidRPr="007224C3" w14:paraId="163F9693" w14:textId="77777777">
        <w:trPr>
          <w:jc w:val="center"/>
        </w:trPr>
        <w:tc>
          <w:tcPr>
            <w:tcW w:w="3165" w:type="dxa"/>
          </w:tcPr>
          <w:p w14:paraId="0CA518F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ТУ-2</w:t>
            </w:r>
          </w:p>
        </w:tc>
        <w:tc>
          <w:tcPr>
            <w:tcW w:w="2880" w:type="dxa"/>
          </w:tcPr>
          <w:p w14:paraId="34BB94E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88</w:t>
            </w:r>
          </w:p>
        </w:tc>
        <w:tc>
          <w:tcPr>
            <w:tcW w:w="1260" w:type="dxa"/>
          </w:tcPr>
          <w:p w14:paraId="1B4BF4E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w:t>
            </w:r>
          </w:p>
        </w:tc>
        <w:tc>
          <w:tcPr>
            <w:tcW w:w="1260" w:type="dxa"/>
          </w:tcPr>
          <w:p w14:paraId="4BFE0D7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w:t>
            </w:r>
          </w:p>
        </w:tc>
        <w:tc>
          <w:tcPr>
            <w:tcW w:w="1005" w:type="dxa"/>
          </w:tcPr>
          <w:p w14:paraId="6C5865A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w:t>
            </w:r>
          </w:p>
        </w:tc>
      </w:tr>
      <w:tr w:rsidR="006331D6" w:rsidRPr="007224C3" w14:paraId="5784E83D" w14:textId="77777777">
        <w:trPr>
          <w:jc w:val="center"/>
        </w:trPr>
        <w:tc>
          <w:tcPr>
            <w:tcW w:w="3165" w:type="dxa"/>
          </w:tcPr>
          <w:p w14:paraId="20804B2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ЕР-2</w:t>
            </w:r>
          </w:p>
        </w:tc>
        <w:tc>
          <w:tcPr>
            <w:tcW w:w="2880" w:type="dxa"/>
          </w:tcPr>
          <w:p w14:paraId="74D041D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33</w:t>
            </w:r>
          </w:p>
        </w:tc>
        <w:tc>
          <w:tcPr>
            <w:tcW w:w="1260" w:type="dxa"/>
          </w:tcPr>
          <w:p w14:paraId="747B3FD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tc>
        <w:tc>
          <w:tcPr>
            <w:tcW w:w="1260" w:type="dxa"/>
          </w:tcPr>
          <w:p w14:paraId="374D918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w:t>
            </w:r>
          </w:p>
        </w:tc>
        <w:tc>
          <w:tcPr>
            <w:tcW w:w="1005" w:type="dxa"/>
          </w:tcPr>
          <w:p w14:paraId="35D56B5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w:t>
            </w:r>
          </w:p>
        </w:tc>
      </w:tr>
      <w:tr w:rsidR="006331D6" w:rsidRPr="007224C3" w14:paraId="4BBAC301" w14:textId="77777777">
        <w:trPr>
          <w:jc w:val="center"/>
        </w:trPr>
        <w:tc>
          <w:tcPr>
            <w:tcW w:w="3165" w:type="dxa"/>
          </w:tcPr>
          <w:p w14:paraId="20CE460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транспортных</w:t>
            </w:r>
          </w:p>
        </w:tc>
        <w:tc>
          <w:tcPr>
            <w:tcW w:w="2880" w:type="dxa"/>
          </w:tcPr>
          <w:p w14:paraId="24603FA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314</w:t>
            </w:r>
          </w:p>
        </w:tc>
        <w:tc>
          <w:tcPr>
            <w:tcW w:w="1260" w:type="dxa"/>
          </w:tcPr>
          <w:p w14:paraId="1B7782E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90</w:t>
            </w:r>
          </w:p>
        </w:tc>
        <w:tc>
          <w:tcPr>
            <w:tcW w:w="1260" w:type="dxa"/>
          </w:tcPr>
          <w:p w14:paraId="52E4999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w:t>
            </w:r>
          </w:p>
        </w:tc>
        <w:tc>
          <w:tcPr>
            <w:tcW w:w="1005" w:type="dxa"/>
          </w:tcPr>
          <w:p w14:paraId="26E574B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124</w:t>
            </w:r>
          </w:p>
        </w:tc>
      </w:tr>
      <w:tr w:rsidR="006331D6" w:rsidRPr="007224C3" w14:paraId="5422B117" w14:textId="77777777">
        <w:trPr>
          <w:jc w:val="center"/>
        </w:trPr>
        <w:tc>
          <w:tcPr>
            <w:tcW w:w="3165" w:type="dxa"/>
          </w:tcPr>
          <w:p w14:paraId="56D7DE3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 них: ЛИ-2</w:t>
            </w:r>
          </w:p>
        </w:tc>
        <w:tc>
          <w:tcPr>
            <w:tcW w:w="2880" w:type="dxa"/>
          </w:tcPr>
          <w:p w14:paraId="3275EB6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154</w:t>
            </w:r>
          </w:p>
        </w:tc>
        <w:tc>
          <w:tcPr>
            <w:tcW w:w="1260" w:type="dxa"/>
          </w:tcPr>
          <w:p w14:paraId="70D4CA6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w:t>
            </w:r>
          </w:p>
        </w:tc>
        <w:tc>
          <w:tcPr>
            <w:tcW w:w="1260" w:type="dxa"/>
          </w:tcPr>
          <w:p w14:paraId="2E6682A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w:t>
            </w:r>
          </w:p>
        </w:tc>
        <w:tc>
          <w:tcPr>
            <w:tcW w:w="1005" w:type="dxa"/>
          </w:tcPr>
          <w:p w14:paraId="2DB000F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54</w:t>
            </w:r>
          </w:p>
        </w:tc>
      </w:tr>
      <w:tr w:rsidR="006331D6" w:rsidRPr="007224C3" w14:paraId="1DD53F8A" w14:textId="77777777">
        <w:trPr>
          <w:jc w:val="center"/>
        </w:trPr>
        <w:tc>
          <w:tcPr>
            <w:tcW w:w="3165" w:type="dxa"/>
          </w:tcPr>
          <w:p w14:paraId="51F0AEA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ЩЕ-2</w:t>
            </w:r>
          </w:p>
        </w:tc>
        <w:tc>
          <w:tcPr>
            <w:tcW w:w="2880" w:type="dxa"/>
          </w:tcPr>
          <w:p w14:paraId="1967FFD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35</w:t>
            </w:r>
          </w:p>
        </w:tc>
        <w:tc>
          <w:tcPr>
            <w:tcW w:w="1260" w:type="dxa"/>
          </w:tcPr>
          <w:p w14:paraId="45CF0BD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tc>
        <w:tc>
          <w:tcPr>
            <w:tcW w:w="1260" w:type="dxa"/>
          </w:tcPr>
          <w:p w14:paraId="3306E39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w:t>
            </w:r>
          </w:p>
        </w:tc>
        <w:tc>
          <w:tcPr>
            <w:tcW w:w="1005" w:type="dxa"/>
          </w:tcPr>
          <w:p w14:paraId="2A551A0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w:t>
            </w:r>
          </w:p>
        </w:tc>
      </w:tr>
      <w:tr w:rsidR="006331D6" w:rsidRPr="007224C3" w14:paraId="5958E651" w14:textId="77777777">
        <w:trPr>
          <w:jc w:val="center"/>
        </w:trPr>
        <w:tc>
          <w:tcPr>
            <w:tcW w:w="3165" w:type="dxa"/>
          </w:tcPr>
          <w:p w14:paraId="18F34A4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С-2</w:t>
            </w:r>
          </w:p>
        </w:tc>
        <w:tc>
          <w:tcPr>
            <w:tcW w:w="2880" w:type="dxa"/>
          </w:tcPr>
          <w:p w14:paraId="48765C8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125</w:t>
            </w:r>
          </w:p>
        </w:tc>
        <w:tc>
          <w:tcPr>
            <w:tcW w:w="1260" w:type="dxa"/>
          </w:tcPr>
          <w:p w14:paraId="7FC8070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35</w:t>
            </w:r>
          </w:p>
        </w:tc>
        <w:tc>
          <w:tcPr>
            <w:tcW w:w="1260" w:type="dxa"/>
          </w:tcPr>
          <w:p w14:paraId="37C3420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w:t>
            </w:r>
          </w:p>
        </w:tc>
        <w:tc>
          <w:tcPr>
            <w:tcW w:w="1005" w:type="dxa"/>
          </w:tcPr>
          <w:p w14:paraId="58CA061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w:t>
            </w:r>
          </w:p>
        </w:tc>
      </w:tr>
      <w:tr w:rsidR="006331D6" w:rsidRPr="007224C3" w14:paraId="62B0B602" w14:textId="77777777">
        <w:trPr>
          <w:jc w:val="center"/>
        </w:trPr>
        <w:tc>
          <w:tcPr>
            <w:tcW w:w="3165" w:type="dxa"/>
          </w:tcPr>
          <w:p w14:paraId="4288873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учебных</w:t>
            </w:r>
          </w:p>
        </w:tc>
        <w:tc>
          <w:tcPr>
            <w:tcW w:w="2880" w:type="dxa"/>
          </w:tcPr>
          <w:p w14:paraId="0AB8485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1259</w:t>
            </w:r>
          </w:p>
        </w:tc>
        <w:tc>
          <w:tcPr>
            <w:tcW w:w="1260" w:type="dxa"/>
          </w:tcPr>
          <w:p w14:paraId="5ABCC32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395</w:t>
            </w:r>
          </w:p>
        </w:tc>
        <w:tc>
          <w:tcPr>
            <w:tcW w:w="1260" w:type="dxa"/>
          </w:tcPr>
          <w:p w14:paraId="169828F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405</w:t>
            </w:r>
          </w:p>
        </w:tc>
        <w:tc>
          <w:tcPr>
            <w:tcW w:w="1005" w:type="dxa"/>
          </w:tcPr>
          <w:p w14:paraId="6668EF4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459</w:t>
            </w:r>
          </w:p>
        </w:tc>
      </w:tr>
      <w:tr w:rsidR="006331D6" w:rsidRPr="007224C3" w14:paraId="0D64190D" w14:textId="77777777">
        <w:trPr>
          <w:jc w:val="center"/>
        </w:trPr>
        <w:tc>
          <w:tcPr>
            <w:tcW w:w="3165" w:type="dxa"/>
          </w:tcPr>
          <w:p w14:paraId="3043598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 них: У-2</w:t>
            </w:r>
          </w:p>
        </w:tc>
        <w:tc>
          <w:tcPr>
            <w:tcW w:w="2880" w:type="dxa"/>
          </w:tcPr>
          <w:p w14:paraId="22CF1C2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1028</w:t>
            </w:r>
          </w:p>
        </w:tc>
        <w:tc>
          <w:tcPr>
            <w:tcW w:w="1260" w:type="dxa"/>
          </w:tcPr>
          <w:p w14:paraId="7E77411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320</w:t>
            </w:r>
          </w:p>
        </w:tc>
        <w:tc>
          <w:tcPr>
            <w:tcW w:w="1260" w:type="dxa"/>
          </w:tcPr>
          <w:p w14:paraId="4009933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330</w:t>
            </w:r>
          </w:p>
        </w:tc>
        <w:tc>
          <w:tcPr>
            <w:tcW w:w="1005" w:type="dxa"/>
          </w:tcPr>
          <w:p w14:paraId="4A612F6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378</w:t>
            </w:r>
          </w:p>
        </w:tc>
      </w:tr>
      <w:tr w:rsidR="006331D6" w:rsidRPr="007224C3" w14:paraId="482A6025" w14:textId="77777777">
        <w:trPr>
          <w:jc w:val="center"/>
        </w:trPr>
        <w:tc>
          <w:tcPr>
            <w:tcW w:w="3165" w:type="dxa"/>
          </w:tcPr>
          <w:p w14:paraId="5421B5A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УТ-2</w:t>
            </w:r>
          </w:p>
        </w:tc>
        <w:tc>
          <w:tcPr>
            <w:tcW w:w="2880" w:type="dxa"/>
          </w:tcPr>
          <w:p w14:paraId="2C42AEC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231</w:t>
            </w:r>
          </w:p>
        </w:tc>
        <w:tc>
          <w:tcPr>
            <w:tcW w:w="1260" w:type="dxa"/>
          </w:tcPr>
          <w:p w14:paraId="1537930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75</w:t>
            </w:r>
          </w:p>
        </w:tc>
        <w:tc>
          <w:tcPr>
            <w:tcW w:w="1260" w:type="dxa"/>
          </w:tcPr>
          <w:p w14:paraId="100F8C9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75</w:t>
            </w:r>
          </w:p>
        </w:tc>
        <w:tc>
          <w:tcPr>
            <w:tcW w:w="1005" w:type="dxa"/>
          </w:tcPr>
          <w:p w14:paraId="3F91670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81</w:t>
            </w:r>
          </w:p>
        </w:tc>
      </w:tr>
      <w:tr w:rsidR="006331D6" w:rsidRPr="007224C3" w14:paraId="30F6793F" w14:textId="77777777">
        <w:trPr>
          <w:jc w:val="center"/>
        </w:trPr>
        <w:tc>
          <w:tcPr>
            <w:tcW w:w="3165" w:type="dxa"/>
          </w:tcPr>
          <w:p w14:paraId="1CB734C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 самолетов:</w:t>
            </w:r>
          </w:p>
        </w:tc>
        <w:tc>
          <w:tcPr>
            <w:tcW w:w="2880" w:type="dxa"/>
          </w:tcPr>
          <w:p w14:paraId="3B71494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9886</w:t>
            </w:r>
          </w:p>
        </w:tc>
        <w:tc>
          <w:tcPr>
            <w:tcW w:w="1260" w:type="dxa"/>
          </w:tcPr>
          <w:p w14:paraId="04151A7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3181</w:t>
            </w:r>
          </w:p>
        </w:tc>
        <w:tc>
          <w:tcPr>
            <w:tcW w:w="1260" w:type="dxa"/>
          </w:tcPr>
          <w:p w14:paraId="38A4E96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3188</w:t>
            </w:r>
          </w:p>
        </w:tc>
        <w:tc>
          <w:tcPr>
            <w:tcW w:w="1005" w:type="dxa"/>
          </w:tcPr>
          <w:p w14:paraId="299AC14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3517</w:t>
            </w:r>
          </w:p>
        </w:tc>
      </w:tr>
      <w:tr w:rsidR="006331D6" w:rsidRPr="007224C3" w14:paraId="47B816B8" w14:textId="77777777">
        <w:trPr>
          <w:jc w:val="center"/>
        </w:trPr>
        <w:tc>
          <w:tcPr>
            <w:tcW w:w="3165" w:type="dxa"/>
            <w:tcBorders>
              <w:bottom w:val="single" w:sz="12" w:space="0" w:color="auto"/>
            </w:tcBorders>
          </w:tcPr>
          <w:p w14:paraId="7A962A4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том числе боевых:</w:t>
            </w:r>
          </w:p>
        </w:tc>
        <w:tc>
          <w:tcPr>
            <w:tcW w:w="2880" w:type="dxa"/>
            <w:tcBorders>
              <w:bottom w:val="single" w:sz="12" w:space="0" w:color="auto"/>
            </w:tcBorders>
          </w:tcPr>
          <w:p w14:paraId="6DE1793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8313</w:t>
            </w:r>
          </w:p>
        </w:tc>
        <w:tc>
          <w:tcPr>
            <w:tcW w:w="1260" w:type="dxa"/>
            <w:tcBorders>
              <w:bottom w:val="single" w:sz="12" w:space="0" w:color="auto"/>
            </w:tcBorders>
          </w:tcPr>
          <w:p w14:paraId="7DF49B2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2696</w:t>
            </w:r>
          </w:p>
        </w:tc>
        <w:tc>
          <w:tcPr>
            <w:tcW w:w="1260" w:type="dxa"/>
            <w:tcBorders>
              <w:bottom w:val="single" w:sz="12" w:space="0" w:color="auto"/>
            </w:tcBorders>
          </w:tcPr>
          <w:p w14:paraId="2BF2305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2683</w:t>
            </w:r>
          </w:p>
        </w:tc>
        <w:tc>
          <w:tcPr>
            <w:tcW w:w="1005" w:type="dxa"/>
            <w:tcBorders>
              <w:bottom w:val="single" w:sz="12" w:space="0" w:color="auto"/>
            </w:tcBorders>
          </w:tcPr>
          <w:p w14:paraId="05346FF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2934</w:t>
            </w:r>
          </w:p>
        </w:tc>
      </w:tr>
    </w:tbl>
    <w:p w14:paraId="7C4C6F5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Установить Наркомавиапрому на 1 квартал 1944 года план производства авиационных моторов в количестве 14404 шт., в том числе по типам:</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165"/>
        <w:gridCol w:w="2880"/>
        <w:gridCol w:w="1260"/>
        <w:gridCol w:w="1260"/>
        <w:gridCol w:w="1005"/>
      </w:tblGrid>
      <w:tr w:rsidR="006331D6" w:rsidRPr="007224C3" w14:paraId="09F7F973" w14:textId="77777777" w:rsidTr="003712D9">
        <w:trPr>
          <w:jc w:val="center"/>
        </w:trPr>
        <w:tc>
          <w:tcPr>
            <w:tcW w:w="3165" w:type="dxa"/>
            <w:tcBorders>
              <w:top w:val="single" w:sz="12" w:space="0" w:color="auto"/>
            </w:tcBorders>
          </w:tcPr>
          <w:p w14:paraId="1B57C53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Тип мотора</w:t>
            </w:r>
          </w:p>
        </w:tc>
        <w:tc>
          <w:tcPr>
            <w:tcW w:w="2880" w:type="dxa"/>
            <w:tcBorders>
              <w:top w:val="single" w:sz="12" w:space="0" w:color="auto"/>
            </w:tcBorders>
          </w:tcPr>
          <w:p w14:paraId="1136288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 на квартал</w:t>
            </w:r>
          </w:p>
        </w:tc>
        <w:tc>
          <w:tcPr>
            <w:tcW w:w="1260" w:type="dxa"/>
            <w:gridSpan w:val="3"/>
            <w:tcBorders>
              <w:top w:val="single" w:sz="12" w:space="0" w:color="auto"/>
            </w:tcBorders>
          </w:tcPr>
          <w:p w14:paraId="65BC759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месяцам</w:t>
            </w:r>
          </w:p>
        </w:tc>
      </w:tr>
      <w:tr w:rsidR="006331D6" w:rsidRPr="007224C3" w14:paraId="5096B7FE" w14:textId="77777777">
        <w:trPr>
          <w:jc w:val="center"/>
        </w:trPr>
        <w:tc>
          <w:tcPr>
            <w:tcW w:w="3165" w:type="dxa"/>
          </w:tcPr>
          <w:p w14:paraId="0929713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2880" w:type="dxa"/>
          </w:tcPr>
          <w:p w14:paraId="15E92CE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260" w:type="dxa"/>
          </w:tcPr>
          <w:p w14:paraId="2D6CCFF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январь </w:t>
            </w:r>
          </w:p>
        </w:tc>
        <w:tc>
          <w:tcPr>
            <w:tcW w:w="1260" w:type="dxa"/>
          </w:tcPr>
          <w:p w14:paraId="42742BF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февраль </w:t>
            </w:r>
          </w:p>
        </w:tc>
        <w:tc>
          <w:tcPr>
            <w:tcW w:w="1005" w:type="dxa"/>
          </w:tcPr>
          <w:p w14:paraId="7DC6D99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март</w:t>
            </w:r>
          </w:p>
        </w:tc>
      </w:tr>
      <w:tr w:rsidR="006331D6" w:rsidRPr="007224C3" w14:paraId="73F68A9C" w14:textId="77777777">
        <w:trPr>
          <w:jc w:val="center"/>
        </w:trPr>
        <w:tc>
          <w:tcPr>
            <w:tcW w:w="3165" w:type="dxa"/>
          </w:tcPr>
          <w:p w14:paraId="411D7D6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М-105ПФ</w:t>
            </w:r>
          </w:p>
        </w:tc>
        <w:tc>
          <w:tcPr>
            <w:tcW w:w="2880" w:type="dxa"/>
          </w:tcPr>
          <w:p w14:paraId="2360314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4948</w:t>
            </w:r>
          </w:p>
        </w:tc>
        <w:tc>
          <w:tcPr>
            <w:tcW w:w="1260" w:type="dxa"/>
          </w:tcPr>
          <w:p w14:paraId="3C505E3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1592</w:t>
            </w:r>
          </w:p>
        </w:tc>
        <w:tc>
          <w:tcPr>
            <w:tcW w:w="1260" w:type="dxa"/>
          </w:tcPr>
          <w:p w14:paraId="723B5ED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1625</w:t>
            </w:r>
          </w:p>
        </w:tc>
        <w:tc>
          <w:tcPr>
            <w:tcW w:w="1005" w:type="dxa"/>
          </w:tcPr>
          <w:p w14:paraId="6AB319E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1731</w:t>
            </w:r>
          </w:p>
        </w:tc>
      </w:tr>
      <w:tr w:rsidR="006331D6" w:rsidRPr="007224C3" w14:paraId="2DD6213B" w14:textId="77777777">
        <w:trPr>
          <w:jc w:val="center"/>
        </w:trPr>
        <w:tc>
          <w:tcPr>
            <w:tcW w:w="3165" w:type="dxa"/>
          </w:tcPr>
          <w:p w14:paraId="543089F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М-82ФН</w:t>
            </w:r>
          </w:p>
        </w:tc>
        <w:tc>
          <w:tcPr>
            <w:tcW w:w="2880" w:type="dxa"/>
          </w:tcPr>
          <w:p w14:paraId="652AB0E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1204</w:t>
            </w:r>
          </w:p>
        </w:tc>
        <w:tc>
          <w:tcPr>
            <w:tcW w:w="1260" w:type="dxa"/>
          </w:tcPr>
          <w:p w14:paraId="31D1BA1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317</w:t>
            </w:r>
          </w:p>
        </w:tc>
        <w:tc>
          <w:tcPr>
            <w:tcW w:w="1260" w:type="dxa"/>
          </w:tcPr>
          <w:p w14:paraId="55DD610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390</w:t>
            </w:r>
          </w:p>
        </w:tc>
        <w:tc>
          <w:tcPr>
            <w:tcW w:w="1005" w:type="dxa"/>
          </w:tcPr>
          <w:p w14:paraId="28DFD40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497</w:t>
            </w:r>
          </w:p>
        </w:tc>
      </w:tr>
      <w:tr w:rsidR="006331D6" w:rsidRPr="007224C3" w14:paraId="4065FCE1" w14:textId="77777777">
        <w:trPr>
          <w:jc w:val="center"/>
        </w:trPr>
        <w:tc>
          <w:tcPr>
            <w:tcW w:w="3165" w:type="dxa"/>
          </w:tcPr>
          <w:p w14:paraId="0AC5A49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М-82Ф</w:t>
            </w:r>
          </w:p>
        </w:tc>
        <w:tc>
          <w:tcPr>
            <w:tcW w:w="2880" w:type="dxa"/>
          </w:tcPr>
          <w:p w14:paraId="5B48B5C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768</w:t>
            </w:r>
          </w:p>
        </w:tc>
        <w:tc>
          <w:tcPr>
            <w:tcW w:w="1260" w:type="dxa"/>
          </w:tcPr>
          <w:p w14:paraId="0F72B3F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275</w:t>
            </w:r>
          </w:p>
        </w:tc>
        <w:tc>
          <w:tcPr>
            <w:tcW w:w="1260" w:type="dxa"/>
          </w:tcPr>
          <w:p w14:paraId="3E6DE8D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250</w:t>
            </w:r>
          </w:p>
        </w:tc>
        <w:tc>
          <w:tcPr>
            <w:tcW w:w="1005" w:type="dxa"/>
          </w:tcPr>
          <w:p w14:paraId="1989394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243</w:t>
            </w:r>
          </w:p>
        </w:tc>
      </w:tr>
      <w:tr w:rsidR="006331D6" w:rsidRPr="007224C3" w14:paraId="241D9B8B" w14:textId="77777777">
        <w:trPr>
          <w:jc w:val="center"/>
        </w:trPr>
        <w:tc>
          <w:tcPr>
            <w:tcW w:w="3165" w:type="dxa"/>
          </w:tcPr>
          <w:p w14:paraId="23A3192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АМ-38Ф</w:t>
            </w:r>
          </w:p>
        </w:tc>
        <w:tc>
          <w:tcPr>
            <w:tcW w:w="2880" w:type="dxa"/>
          </w:tcPr>
          <w:p w14:paraId="4308F01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3860</w:t>
            </w:r>
          </w:p>
        </w:tc>
        <w:tc>
          <w:tcPr>
            <w:tcW w:w="1260" w:type="dxa"/>
          </w:tcPr>
          <w:p w14:paraId="48EEA28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1250</w:t>
            </w:r>
          </w:p>
        </w:tc>
        <w:tc>
          <w:tcPr>
            <w:tcW w:w="1260" w:type="dxa"/>
          </w:tcPr>
          <w:p w14:paraId="05DDF38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1260</w:t>
            </w:r>
          </w:p>
        </w:tc>
        <w:tc>
          <w:tcPr>
            <w:tcW w:w="1005" w:type="dxa"/>
          </w:tcPr>
          <w:p w14:paraId="2ED45DC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1350</w:t>
            </w:r>
          </w:p>
        </w:tc>
      </w:tr>
      <w:tr w:rsidR="006331D6" w:rsidRPr="007224C3" w14:paraId="313E5806" w14:textId="77777777">
        <w:trPr>
          <w:jc w:val="center"/>
        </w:trPr>
        <w:tc>
          <w:tcPr>
            <w:tcW w:w="3165" w:type="dxa"/>
          </w:tcPr>
          <w:p w14:paraId="1EE4E29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М-88Б</w:t>
            </w:r>
          </w:p>
        </w:tc>
        <w:tc>
          <w:tcPr>
            <w:tcW w:w="2880" w:type="dxa"/>
          </w:tcPr>
          <w:p w14:paraId="4DD56C1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690</w:t>
            </w:r>
          </w:p>
        </w:tc>
        <w:tc>
          <w:tcPr>
            <w:tcW w:w="1260" w:type="dxa"/>
          </w:tcPr>
          <w:p w14:paraId="0FA0486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250</w:t>
            </w:r>
          </w:p>
        </w:tc>
        <w:tc>
          <w:tcPr>
            <w:tcW w:w="1260" w:type="dxa"/>
          </w:tcPr>
          <w:p w14:paraId="130785E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220</w:t>
            </w:r>
          </w:p>
        </w:tc>
        <w:tc>
          <w:tcPr>
            <w:tcW w:w="1005" w:type="dxa"/>
          </w:tcPr>
          <w:p w14:paraId="22A8652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220</w:t>
            </w:r>
          </w:p>
        </w:tc>
      </w:tr>
      <w:tr w:rsidR="006331D6" w:rsidRPr="007224C3" w14:paraId="0E5BCC85" w14:textId="77777777">
        <w:trPr>
          <w:jc w:val="center"/>
        </w:trPr>
        <w:tc>
          <w:tcPr>
            <w:tcW w:w="3165" w:type="dxa"/>
          </w:tcPr>
          <w:p w14:paraId="3FC3AE8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М-107А</w:t>
            </w:r>
          </w:p>
        </w:tc>
        <w:tc>
          <w:tcPr>
            <w:tcW w:w="2880" w:type="dxa"/>
          </w:tcPr>
          <w:p w14:paraId="510A59E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370</w:t>
            </w:r>
          </w:p>
        </w:tc>
        <w:tc>
          <w:tcPr>
            <w:tcW w:w="1260" w:type="dxa"/>
          </w:tcPr>
          <w:p w14:paraId="152831B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w:t>
            </w:r>
          </w:p>
        </w:tc>
        <w:tc>
          <w:tcPr>
            <w:tcW w:w="1260" w:type="dxa"/>
          </w:tcPr>
          <w:p w14:paraId="4206F1F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120</w:t>
            </w:r>
          </w:p>
        </w:tc>
        <w:tc>
          <w:tcPr>
            <w:tcW w:w="1005" w:type="dxa"/>
          </w:tcPr>
          <w:p w14:paraId="1F7CB5E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150</w:t>
            </w:r>
          </w:p>
        </w:tc>
      </w:tr>
      <w:tr w:rsidR="006331D6" w:rsidRPr="007224C3" w14:paraId="64C7B3FB" w14:textId="77777777">
        <w:trPr>
          <w:jc w:val="center"/>
        </w:trPr>
        <w:tc>
          <w:tcPr>
            <w:tcW w:w="3165" w:type="dxa"/>
          </w:tcPr>
          <w:p w14:paraId="72C1BD1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М-30Б</w:t>
            </w:r>
          </w:p>
        </w:tc>
        <w:tc>
          <w:tcPr>
            <w:tcW w:w="2880" w:type="dxa"/>
          </w:tcPr>
          <w:p w14:paraId="0D81079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105</w:t>
            </w:r>
          </w:p>
        </w:tc>
        <w:tc>
          <w:tcPr>
            <w:tcW w:w="1260" w:type="dxa"/>
          </w:tcPr>
          <w:p w14:paraId="2A0CB75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w:t>
            </w:r>
          </w:p>
        </w:tc>
        <w:tc>
          <w:tcPr>
            <w:tcW w:w="1260" w:type="dxa"/>
          </w:tcPr>
          <w:p w14:paraId="44E1969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35</w:t>
            </w:r>
          </w:p>
        </w:tc>
        <w:tc>
          <w:tcPr>
            <w:tcW w:w="1005" w:type="dxa"/>
          </w:tcPr>
          <w:p w14:paraId="1D5BC60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w:t>
            </w:r>
          </w:p>
        </w:tc>
      </w:tr>
      <w:tr w:rsidR="006331D6" w:rsidRPr="007224C3" w14:paraId="13EC5363" w14:textId="77777777">
        <w:trPr>
          <w:jc w:val="center"/>
        </w:trPr>
        <w:tc>
          <w:tcPr>
            <w:tcW w:w="3165" w:type="dxa"/>
          </w:tcPr>
          <w:p w14:paraId="5C50970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АМ-42</w:t>
            </w:r>
          </w:p>
        </w:tc>
        <w:tc>
          <w:tcPr>
            <w:tcW w:w="2880" w:type="dxa"/>
          </w:tcPr>
          <w:p w14:paraId="1ABF92A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105</w:t>
            </w:r>
          </w:p>
        </w:tc>
        <w:tc>
          <w:tcPr>
            <w:tcW w:w="1260" w:type="dxa"/>
          </w:tcPr>
          <w:p w14:paraId="426A151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w:t>
            </w:r>
          </w:p>
        </w:tc>
        <w:tc>
          <w:tcPr>
            <w:tcW w:w="1260" w:type="dxa"/>
          </w:tcPr>
          <w:p w14:paraId="7AB7057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w:t>
            </w:r>
          </w:p>
        </w:tc>
        <w:tc>
          <w:tcPr>
            <w:tcW w:w="1005" w:type="dxa"/>
          </w:tcPr>
          <w:p w14:paraId="5A5898D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w:t>
            </w:r>
          </w:p>
        </w:tc>
      </w:tr>
      <w:tr w:rsidR="006331D6" w:rsidRPr="007224C3" w14:paraId="7437C48A" w14:textId="77777777">
        <w:trPr>
          <w:jc w:val="center"/>
        </w:trPr>
        <w:tc>
          <w:tcPr>
            <w:tcW w:w="3165" w:type="dxa"/>
          </w:tcPr>
          <w:p w14:paraId="6C47CA4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АМ-35А</w:t>
            </w:r>
          </w:p>
        </w:tc>
        <w:tc>
          <w:tcPr>
            <w:tcW w:w="2880" w:type="dxa"/>
          </w:tcPr>
          <w:p w14:paraId="1928641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w:t>
            </w:r>
          </w:p>
        </w:tc>
        <w:tc>
          <w:tcPr>
            <w:tcW w:w="1260" w:type="dxa"/>
          </w:tcPr>
          <w:p w14:paraId="3D9536F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w:t>
            </w:r>
          </w:p>
        </w:tc>
        <w:tc>
          <w:tcPr>
            <w:tcW w:w="1260" w:type="dxa"/>
          </w:tcPr>
          <w:p w14:paraId="2069EBA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w:t>
            </w:r>
          </w:p>
        </w:tc>
        <w:tc>
          <w:tcPr>
            <w:tcW w:w="1005" w:type="dxa"/>
          </w:tcPr>
          <w:p w14:paraId="1A817A2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w:t>
            </w:r>
          </w:p>
        </w:tc>
      </w:tr>
      <w:tr w:rsidR="006331D6" w:rsidRPr="007224C3" w14:paraId="029020FD" w14:textId="77777777">
        <w:trPr>
          <w:jc w:val="center"/>
        </w:trPr>
        <w:tc>
          <w:tcPr>
            <w:tcW w:w="3165" w:type="dxa"/>
          </w:tcPr>
          <w:p w14:paraId="1A7BDFF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М-62ИР</w:t>
            </w:r>
          </w:p>
        </w:tc>
        <w:tc>
          <w:tcPr>
            <w:tcW w:w="2880" w:type="dxa"/>
          </w:tcPr>
          <w:p w14:paraId="1D4AD32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395</w:t>
            </w:r>
          </w:p>
        </w:tc>
        <w:tc>
          <w:tcPr>
            <w:tcW w:w="1260" w:type="dxa"/>
          </w:tcPr>
          <w:p w14:paraId="5A9263C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125</w:t>
            </w:r>
          </w:p>
        </w:tc>
        <w:tc>
          <w:tcPr>
            <w:tcW w:w="1260" w:type="dxa"/>
          </w:tcPr>
          <w:p w14:paraId="3D0A3AA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125</w:t>
            </w:r>
          </w:p>
        </w:tc>
        <w:tc>
          <w:tcPr>
            <w:tcW w:w="1005" w:type="dxa"/>
          </w:tcPr>
          <w:p w14:paraId="4C7A154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145</w:t>
            </w:r>
          </w:p>
        </w:tc>
      </w:tr>
      <w:tr w:rsidR="006331D6" w:rsidRPr="007224C3" w14:paraId="6AE0A8B2" w14:textId="77777777">
        <w:trPr>
          <w:jc w:val="center"/>
        </w:trPr>
        <w:tc>
          <w:tcPr>
            <w:tcW w:w="3165" w:type="dxa"/>
            <w:tcBorders>
              <w:bottom w:val="single" w:sz="12" w:space="0" w:color="auto"/>
            </w:tcBorders>
          </w:tcPr>
          <w:p w14:paraId="6E4E409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М-11</w:t>
            </w:r>
          </w:p>
        </w:tc>
        <w:tc>
          <w:tcPr>
            <w:tcW w:w="2880" w:type="dxa"/>
            <w:tcBorders>
              <w:bottom w:val="single" w:sz="12" w:space="0" w:color="auto"/>
            </w:tcBorders>
          </w:tcPr>
          <w:p w14:paraId="4B116B1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1914</w:t>
            </w:r>
          </w:p>
        </w:tc>
        <w:tc>
          <w:tcPr>
            <w:tcW w:w="1260" w:type="dxa"/>
            <w:tcBorders>
              <w:bottom w:val="single" w:sz="12" w:space="0" w:color="auto"/>
            </w:tcBorders>
          </w:tcPr>
          <w:p w14:paraId="7645B6E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607</w:t>
            </w:r>
          </w:p>
        </w:tc>
        <w:tc>
          <w:tcPr>
            <w:tcW w:w="1260" w:type="dxa"/>
            <w:tcBorders>
              <w:bottom w:val="single" w:sz="12" w:space="0" w:color="auto"/>
            </w:tcBorders>
          </w:tcPr>
          <w:p w14:paraId="6B86B78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625</w:t>
            </w:r>
          </w:p>
        </w:tc>
        <w:tc>
          <w:tcPr>
            <w:tcW w:w="1005" w:type="dxa"/>
            <w:tcBorders>
              <w:bottom w:val="single" w:sz="12" w:space="0" w:color="auto"/>
            </w:tcBorders>
          </w:tcPr>
          <w:p w14:paraId="2A3C6AF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682</w:t>
            </w:r>
          </w:p>
        </w:tc>
      </w:tr>
    </w:tbl>
    <w:p w14:paraId="47B4B77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Установить заводам Наркомавиапрому программу выпуска самолетов на 1 квартал 1944 года в следующих количествах:</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185"/>
        <w:gridCol w:w="2970"/>
        <w:gridCol w:w="2130"/>
        <w:gridCol w:w="1155"/>
        <w:gridCol w:w="1230"/>
        <w:gridCol w:w="900"/>
      </w:tblGrid>
      <w:tr w:rsidR="006331D6" w:rsidRPr="007224C3" w14:paraId="112816C7" w14:textId="77777777" w:rsidTr="003712D9">
        <w:trPr>
          <w:jc w:val="center"/>
        </w:trPr>
        <w:tc>
          <w:tcPr>
            <w:tcW w:w="1185" w:type="dxa"/>
            <w:tcBorders>
              <w:top w:val="single" w:sz="12" w:space="0" w:color="auto"/>
            </w:tcBorders>
          </w:tcPr>
          <w:p w14:paraId="7AF015F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заводов</w:t>
            </w:r>
          </w:p>
        </w:tc>
        <w:tc>
          <w:tcPr>
            <w:tcW w:w="2970" w:type="dxa"/>
            <w:tcBorders>
              <w:top w:val="single" w:sz="12" w:space="0" w:color="auto"/>
            </w:tcBorders>
          </w:tcPr>
          <w:p w14:paraId="6786AF1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Тип самолета</w:t>
            </w:r>
          </w:p>
        </w:tc>
        <w:tc>
          <w:tcPr>
            <w:tcW w:w="2130" w:type="dxa"/>
            <w:tcBorders>
              <w:top w:val="single" w:sz="12" w:space="0" w:color="auto"/>
            </w:tcBorders>
          </w:tcPr>
          <w:p w14:paraId="34F7FEF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 на квартал</w:t>
            </w:r>
          </w:p>
        </w:tc>
        <w:tc>
          <w:tcPr>
            <w:tcW w:w="1155" w:type="dxa"/>
            <w:gridSpan w:val="3"/>
            <w:tcBorders>
              <w:top w:val="single" w:sz="12" w:space="0" w:color="auto"/>
            </w:tcBorders>
          </w:tcPr>
          <w:p w14:paraId="28FD1C0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месяцам</w:t>
            </w:r>
          </w:p>
        </w:tc>
      </w:tr>
      <w:tr w:rsidR="006331D6" w:rsidRPr="007224C3" w14:paraId="3A5CA9AA" w14:textId="77777777">
        <w:trPr>
          <w:jc w:val="center"/>
        </w:trPr>
        <w:tc>
          <w:tcPr>
            <w:tcW w:w="1185" w:type="dxa"/>
          </w:tcPr>
          <w:p w14:paraId="49FE7D8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2970" w:type="dxa"/>
          </w:tcPr>
          <w:p w14:paraId="432358F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2130" w:type="dxa"/>
          </w:tcPr>
          <w:p w14:paraId="3E191EA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155" w:type="dxa"/>
          </w:tcPr>
          <w:p w14:paraId="64B8B59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январь </w:t>
            </w:r>
          </w:p>
        </w:tc>
        <w:tc>
          <w:tcPr>
            <w:tcW w:w="1230" w:type="dxa"/>
          </w:tcPr>
          <w:p w14:paraId="1D1C51E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февраль </w:t>
            </w:r>
          </w:p>
        </w:tc>
        <w:tc>
          <w:tcPr>
            <w:tcW w:w="900" w:type="dxa"/>
          </w:tcPr>
          <w:p w14:paraId="627EED2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март</w:t>
            </w:r>
          </w:p>
        </w:tc>
      </w:tr>
      <w:tr w:rsidR="006331D6" w:rsidRPr="007224C3" w14:paraId="223F2BFE" w14:textId="77777777">
        <w:trPr>
          <w:jc w:val="center"/>
        </w:trPr>
        <w:tc>
          <w:tcPr>
            <w:tcW w:w="1185" w:type="dxa"/>
          </w:tcPr>
          <w:p w14:paraId="0FE5B6F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2970" w:type="dxa"/>
          </w:tcPr>
          <w:p w14:paraId="7AA85A1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истребителей</w:t>
            </w:r>
          </w:p>
        </w:tc>
        <w:tc>
          <w:tcPr>
            <w:tcW w:w="2130" w:type="dxa"/>
          </w:tcPr>
          <w:p w14:paraId="2795586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155" w:type="dxa"/>
          </w:tcPr>
          <w:p w14:paraId="276D7A3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230" w:type="dxa"/>
          </w:tcPr>
          <w:p w14:paraId="2DF5F05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900" w:type="dxa"/>
          </w:tcPr>
          <w:p w14:paraId="4F12E09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1846A051" w14:textId="77777777">
        <w:trPr>
          <w:jc w:val="center"/>
        </w:trPr>
        <w:tc>
          <w:tcPr>
            <w:tcW w:w="1185" w:type="dxa"/>
          </w:tcPr>
          <w:p w14:paraId="6C87840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w:t>
            </w:r>
          </w:p>
        </w:tc>
        <w:tc>
          <w:tcPr>
            <w:tcW w:w="2970" w:type="dxa"/>
          </w:tcPr>
          <w:p w14:paraId="25E0780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Ла-5 М-82Ф и ФН</w:t>
            </w:r>
          </w:p>
        </w:tc>
        <w:tc>
          <w:tcPr>
            <w:tcW w:w="2130" w:type="dxa"/>
          </w:tcPr>
          <w:p w14:paraId="2F687D3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1232</w:t>
            </w:r>
          </w:p>
        </w:tc>
        <w:tc>
          <w:tcPr>
            <w:tcW w:w="1155" w:type="dxa"/>
          </w:tcPr>
          <w:p w14:paraId="5699031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400</w:t>
            </w:r>
          </w:p>
        </w:tc>
        <w:tc>
          <w:tcPr>
            <w:tcW w:w="1230" w:type="dxa"/>
          </w:tcPr>
          <w:p w14:paraId="4719891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400</w:t>
            </w:r>
          </w:p>
        </w:tc>
        <w:tc>
          <w:tcPr>
            <w:tcW w:w="900" w:type="dxa"/>
          </w:tcPr>
          <w:p w14:paraId="39AC0B9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432</w:t>
            </w:r>
          </w:p>
        </w:tc>
      </w:tr>
      <w:tr w:rsidR="006331D6" w:rsidRPr="007224C3" w14:paraId="07FAD465" w14:textId="77777777">
        <w:trPr>
          <w:jc w:val="center"/>
        </w:trPr>
        <w:tc>
          <w:tcPr>
            <w:tcW w:w="1185" w:type="dxa"/>
          </w:tcPr>
          <w:p w14:paraId="6880F6D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w:t>
            </w:r>
          </w:p>
        </w:tc>
        <w:tc>
          <w:tcPr>
            <w:tcW w:w="2970" w:type="dxa"/>
          </w:tcPr>
          <w:p w14:paraId="3689EDB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Лагг-3 М-105ПФ</w:t>
            </w:r>
          </w:p>
        </w:tc>
        <w:tc>
          <w:tcPr>
            <w:tcW w:w="2130" w:type="dxa"/>
          </w:tcPr>
          <w:p w14:paraId="6471895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150</w:t>
            </w:r>
          </w:p>
        </w:tc>
        <w:tc>
          <w:tcPr>
            <w:tcW w:w="1155" w:type="dxa"/>
          </w:tcPr>
          <w:p w14:paraId="72AF35E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75</w:t>
            </w:r>
          </w:p>
        </w:tc>
        <w:tc>
          <w:tcPr>
            <w:tcW w:w="1230" w:type="dxa"/>
          </w:tcPr>
          <w:p w14:paraId="46B3FAE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w:t>
            </w:r>
          </w:p>
        </w:tc>
        <w:tc>
          <w:tcPr>
            <w:tcW w:w="900" w:type="dxa"/>
          </w:tcPr>
          <w:p w14:paraId="01ADEA1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w:t>
            </w:r>
          </w:p>
        </w:tc>
      </w:tr>
      <w:tr w:rsidR="006331D6" w:rsidRPr="007224C3" w14:paraId="72A73BB2" w14:textId="77777777">
        <w:trPr>
          <w:jc w:val="center"/>
        </w:trPr>
        <w:tc>
          <w:tcPr>
            <w:tcW w:w="1185" w:type="dxa"/>
          </w:tcPr>
          <w:p w14:paraId="3CB2DE3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w:t>
            </w:r>
          </w:p>
        </w:tc>
        <w:tc>
          <w:tcPr>
            <w:tcW w:w="2970" w:type="dxa"/>
          </w:tcPr>
          <w:p w14:paraId="3503C54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ЯК-3 М-105ПФ</w:t>
            </w:r>
          </w:p>
        </w:tc>
        <w:tc>
          <w:tcPr>
            <w:tcW w:w="2130" w:type="dxa"/>
          </w:tcPr>
          <w:p w14:paraId="6CB50A0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w:t>
            </w:r>
          </w:p>
        </w:tc>
        <w:tc>
          <w:tcPr>
            <w:tcW w:w="1155" w:type="dxa"/>
          </w:tcPr>
          <w:p w14:paraId="784E1CA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230" w:type="dxa"/>
          </w:tcPr>
          <w:p w14:paraId="67AD635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900" w:type="dxa"/>
          </w:tcPr>
          <w:p w14:paraId="01C80CF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w:t>
            </w:r>
          </w:p>
        </w:tc>
      </w:tr>
      <w:tr w:rsidR="006331D6" w:rsidRPr="007224C3" w14:paraId="24EB38C1" w14:textId="77777777">
        <w:trPr>
          <w:jc w:val="center"/>
        </w:trPr>
        <w:tc>
          <w:tcPr>
            <w:tcW w:w="1185" w:type="dxa"/>
          </w:tcPr>
          <w:p w14:paraId="14AA0A3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82</w:t>
            </w:r>
          </w:p>
        </w:tc>
        <w:tc>
          <w:tcPr>
            <w:tcW w:w="2970" w:type="dxa"/>
          </w:tcPr>
          <w:p w14:paraId="5A559AD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ЯК-7 М-105ПФ</w:t>
            </w:r>
          </w:p>
        </w:tc>
        <w:tc>
          <w:tcPr>
            <w:tcW w:w="2130" w:type="dxa"/>
          </w:tcPr>
          <w:p w14:paraId="21222E4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211</w:t>
            </w:r>
          </w:p>
        </w:tc>
        <w:tc>
          <w:tcPr>
            <w:tcW w:w="1155" w:type="dxa"/>
          </w:tcPr>
          <w:p w14:paraId="3756438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75</w:t>
            </w:r>
          </w:p>
        </w:tc>
        <w:tc>
          <w:tcPr>
            <w:tcW w:w="1230" w:type="dxa"/>
          </w:tcPr>
          <w:p w14:paraId="0369041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70</w:t>
            </w:r>
          </w:p>
        </w:tc>
        <w:tc>
          <w:tcPr>
            <w:tcW w:w="900" w:type="dxa"/>
          </w:tcPr>
          <w:p w14:paraId="6ECF61E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66</w:t>
            </w:r>
          </w:p>
        </w:tc>
      </w:tr>
      <w:tr w:rsidR="006331D6" w:rsidRPr="007224C3" w14:paraId="3885761B" w14:textId="77777777">
        <w:trPr>
          <w:jc w:val="center"/>
        </w:trPr>
        <w:tc>
          <w:tcPr>
            <w:tcW w:w="1185" w:type="dxa"/>
          </w:tcPr>
          <w:p w14:paraId="6EECFE2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82</w:t>
            </w:r>
          </w:p>
        </w:tc>
        <w:tc>
          <w:tcPr>
            <w:tcW w:w="2970" w:type="dxa"/>
          </w:tcPr>
          <w:p w14:paraId="14E0222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ЯК-9 М-107А</w:t>
            </w:r>
          </w:p>
        </w:tc>
        <w:tc>
          <w:tcPr>
            <w:tcW w:w="2130" w:type="dxa"/>
          </w:tcPr>
          <w:p w14:paraId="758AD3F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w:t>
            </w:r>
          </w:p>
        </w:tc>
        <w:tc>
          <w:tcPr>
            <w:tcW w:w="1155" w:type="dxa"/>
          </w:tcPr>
          <w:p w14:paraId="69F25B2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230" w:type="dxa"/>
          </w:tcPr>
          <w:p w14:paraId="119F0E6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tc>
        <w:tc>
          <w:tcPr>
            <w:tcW w:w="900" w:type="dxa"/>
          </w:tcPr>
          <w:p w14:paraId="1DF76FB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w:t>
            </w:r>
          </w:p>
        </w:tc>
      </w:tr>
      <w:tr w:rsidR="006331D6" w:rsidRPr="007224C3" w14:paraId="169C406D" w14:textId="77777777">
        <w:trPr>
          <w:jc w:val="center"/>
        </w:trPr>
        <w:tc>
          <w:tcPr>
            <w:tcW w:w="1185" w:type="dxa"/>
          </w:tcPr>
          <w:p w14:paraId="7310AD3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99</w:t>
            </w:r>
          </w:p>
        </w:tc>
        <w:tc>
          <w:tcPr>
            <w:tcW w:w="2970" w:type="dxa"/>
          </w:tcPr>
          <w:p w14:paraId="61D30FA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Ла-5 М-82Ф</w:t>
            </w:r>
          </w:p>
        </w:tc>
        <w:tc>
          <w:tcPr>
            <w:tcW w:w="2130" w:type="dxa"/>
          </w:tcPr>
          <w:p w14:paraId="790C0AF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77</w:t>
            </w:r>
          </w:p>
        </w:tc>
        <w:tc>
          <w:tcPr>
            <w:tcW w:w="1155" w:type="dxa"/>
          </w:tcPr>
          <w:p w14:paraId="5E0DF11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w:t>
            </w:r>
          </w:p>
        </w:tc>
        <w:tc>
          <w:tcPr>
            <w:tcW w:w="1230" w:type="dxa"/>
          </w:tcPr>
          <w:p w14:paraId="57E6B1E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w:t>
            </w:r>
          </w:p>
        </w:tc>
        <w:tc>
          <w:tcPr>
            <w:tcW w:w="900" w:type="dxa"/>
          </w:tcPr>
          <w:p w14:paraId="4844E89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w:t>
            </w:r>
          </w:p>
        </w:tc>
      </w:tr>
      <w:tr w:rsidR="006331D6" w:rsidRPr="007224C3" w14:paraId="218B88FA" w14:textId="77777777">
        <w:trPr>
          <w:jc w:val="center"/>
        </w:trPr>
        <w:tc>
          <w:tcPr>
            <w:tcW w:w="1185" w:type="dxa"/>
          </w:tcPr>
          <w:p w14:paraId="03605F5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153</w:t>
            </w:r>
          </w:p>
        </w:tc>
        <w:tc>
          <w:tcPr>
            <w:tcW w:w="2970" w:type="dxa"/>
          </w:tcPr>
          <w:p w14:paraId="2335E92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ЯК-9 М-105Ф</w:t>
            </w:r>
          </w:p>
        </w:tc>
        <w:tc>
          <w:tcPr>
            <w:tcW w:w="2130" w:type="dxa"/>
          </w:tcPr>
          <w:p w14:paraId="663ECD5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1232</w:t>
            </w:r>
          </w:p>
        </w:tc>
        <w:tc>
          <w:tcPr>
            <w:tcW w:w="1155" w:type="dxa"/>
          </w:tcPr>
          <w:p w14:paraId="12578D3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400</w:t>
            </w:r>
          </w:p>
        </w:tc>
        <w:tc>
          <w:tcPr>
            <w:tcW w:w="1230" w:type="dxa"/>
          </w:tcPr>
          <w:p w14:paraId="43D078C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400</w:t>
            </w:r>
          </w:p>
        </w:tc>
        <w:tc>
          <w:tcPr>
            <w:tcW w:w="900" w:type="dxa"/>
          </w:tcPr>
          <w:p w14:paraId="2FB72EC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432</w:t>
            </w:r>
          </w:p>
        </w:tc>
      </w:tr>
      <w:tr w:rsidR="006331D6" w:rsidRPr="007224C3" w14:paraId="1021ABA2" w14:textId="77777777">
        <w:trPr>
          <w:jc w:val="center"/>
        </w:trPr>
        <w:tc>
          <w:tcPr>
            <w:tcW w:w="1185" w:type="dxa"/>
          </w:tcPr>
          <w:p w14:paraId="0112A72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166</w:t>
            </w:r>
          </w:p>
        </w:tc>
        <w:tc>
          <w:tcPr>
            <w:tcW w:w="2970" w:type="dxa"/>
          </w:tcPr>
          <w:p w14:paraId="43A25B5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ЯК-9 М-105Ф</w:t>
            </w:r>
          </w:p>
        </w:tc>
        <w:tc>
          <w:tcPr>
            <w:tcW w:w="2130" w:type="dxa"/>
          </w:tcPr>
          <w:p w14:paraId="4696842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258</w:t>
            </w:r>
          </w:p>
        </w:tc>
        <w:tc>
          <w:tcPr>
            <w:tcW w:w="1155" w:type="dxa"/>
          </w:tcPr>
          <w:p w14:paraId="17589AE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w:t>
            </w:r>
          </w:p>
        </w:tc>
        <w:tc>
          <w:tcPr>
            <w:tcW w:w="1230" w:type="dxa"/>
          </w:tcPr>
          <w:p w14:paraId="3D3BFF8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85</w:t>
            </w:r>
          </w:p>
        </w:tc>
        <w:tc>
          <w:tcPr>
            <w:tcW w:w="900" w:type="dxa"/>
          </w:tcPr>
          <w:p w14:paraId="41C726A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73</w:t>
            </w:r>
          </w:p>
        </w:tc>
      </w:tr>
      <w:tr w:rsidR="006331D6" w:rsidRPr="007224C3" w14:paraId="7855817C" w14:textId="77777777">
        <w:trPr>
          <w:jc w:val="center"/>
        </w:trPr>
        <w:tc>
          <w:tcPr>
            <w:tcW w:w="1185" w:type="dxa"/>
          </w:tcPr>
          <w:p w14:paraId="76C221B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166</w:t>
            </w:r>
          </w:p>
        </w:tc>
        <w:tc>
          <w:tcPr>
            <w:tcW w:w="2970" w:type="dxa"/>
          </w:tcPr>
          <w:p w14:paraId="10946EB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ЯК-9 М-107А</w:t>
            </w:r>
          </w:p>
        </w:tc>
        <w:tc>
          <w:tcPr>
            <w:tcW w:w="2130" w:type="dxa"/>
          </w:tcPr>
          <w:p w14:paraId="2967C7B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w:t>
            </w:r>
          </w:p>
        </w:tc>
        <w:tc>
          <w:tcPr>
            <w:tcW w:w="1155" w:type="dxa"/>
          </w:tcPr>
          <w:p w14:paraId="0D6630B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230" w:type="dxa"/>
          </w:tcPr>
          <w:p w14:paraId="2466D56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w:t>
            </w:r>
          </w:p>
        </w:tc>
        <w:tc>
          <w:tcPr>
            <w:tcW w:w="900" w:type="dxa"/>
          </w:tcPr>
          <w:p w14:paraId="1814FDB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36</w:t>
            </w:r>
          </w:p>
        </w:tc>
      </w:tr>
      <w:tr w:rsidR="006331D6" w:rsidRPr="007224C3" w14:paraId="5570ADB0" w14:textId="77777777">
        <w:trPr>
          <w:jc w:val="center"/>
        </w:trPr>
        <w:tc>
          <w:tcPr>
            <w:tcW w:w="1185" w:type="dxa"/>
          </w:tcPr>
          <w:p w14:paraId="03555A8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292</w:t>
            </w:r>
          </w:p>
        </w:tc>
        <w:tc>
          <w:tcPr>
            <w:tcW w:w="2970" w:type="dxa"/>
          </w:tcPr>
          <w:p w14:paraId="7C7D9C1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ЯК-1 М-105ПФ</w:t>
            </w:r>
          </w:p>
        </w:tc>
        <w:tc>
          <w:tcPr>
            <w:tcW w:w="2130" w:type="dxa"/>
          </w:tcPr>
          <w:p w14:paraId="79D9218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702</w:t>
            </w:r>
          </w:p>
        </w:tc>
        <w:tc>
          <w:tcPr>
            <w:tcW w:w="1155" w:type="dxa"/>
          </w:tcPr>
          <w:p w14:paraId="19E8116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260</w:t>
            </w:r>
          </w:p>
        </w:tc>
        <w:tc>
          <w:tcPr>
            <w:tcW w:w="1230" w:type="dxa"/>
          </w:tcPr>
          <w:p w14:paraId="76F19D9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235</w:t>
            </w:r>
          </w:p>
        </w:tc>
        <w:tc>
          <w:tcPr>
            <w:tcW w:w="900" w:type="dxa"/>
          </w:tcPr>
          <w:p w14:paraId="2E38D5D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207</w:t>
            </w:r>
          </w:p>
        </w:tc>
      </w:tr>
      <w:tr w:rsidR="006331D6" w:rsidRPr="007224C3" w14:paraId="2AA99CB7" w14:textId="77777777">
        <w:trPr>
          <w:jc w:val="center"/>
        </w:trPr>
        <w:tc>
          <w:tcPr>
            <w:tcW w:w="1185" w:type="dxa"/>
          </w:tcPr>
          <w:p w14:paraId="5EC41A3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292</w:t>
            </w:r>
          </w:p>
        </w:tc>
        <w:tc>
          <w:tcPr>
            <w:tcW w:w="2970" w:type="dxa"/>
          </w:tcPr>
          <w:p w14:paraId="242DC12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ЯК-3 М-105ПФ</w:t>
            </w:r>
          </w:p>
        </w:tc>
        <w:tc>
          <w:tcPr>
            <w:tcW w:w="2130" w:type="dxa"/>
          </w:tcPr>
          <w:p w14:paraId="0A58294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145</w:t>
            </w:r>
          </w:p>
        </w:tc>
        <w:tc>
          <w:tcPr>
            <w:tcW w:w="1155" w:type="dxa"/>
          </w:tcPr>
          <w:p w14:paraId="7335158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w:t>
            </w:r>
          </w:p>
        </w:tc>
        <w:tc>
          <w:tcPr>
            <w:tcW w:w="1230" w:type="dxa"/>
          </w:tcPr>
          <w:p w14:paraId="5688FDB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w:t>
            </w:r>
          </w:p>
        </w:tc>
        <w:tc>
          <w:tcPr>
            <w:tcW w:w="900" w:type="dxa"/>
          </w:tcPr>
          <w:p w14:paraId="60795B1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90</w:t>
            </w:r>
          </w:p>
        </w:tc>
      </w:tr>
      <w:tr w:rsidR="006331D6" w:rsidRPr="007224C3" w14:paraId="6D334732" w14:textId="77777777">
        <w:trPr>
          <w:jc w:val="center"/>
        </w:trPr>
        <w:tc>
          <w:tcPr>
            <w:tcW w:w="1185" w:type="dxa"/>
          </w:tcPr>
          <w:p w14:paraId="47EDD3E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381</w:t>
            </w:r>
          </w:p>
        </w:tc>
        <w:tc>
          <w:tcPr>
            <w:tcW w:w="2970" w:type="dxa"/>
          </w:tcPr>
          <w:p w14:paraId="09E6F9F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Ла-5 М-82Ф и ФН</w:t>
            </w:r>
          </w:p>
        </w:tc>
        <w:tc>
          <w:tcPr>
            <w:tcW w:w="2130" w:type="dxa"/>
          </w:tcPr>
          <w:p w14:paraId="7D1069A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181</w:t>
            </w:r>
          </w:p>
        </w:tc>
        <w:tc>
          <w:tcPr>
            <w:tcW w:w="1155" w:type="dxa"/>
          </w:tcPr>
          <w:p w14:paraId="79B1D4E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w:t>
            </w:r>
          </w:p>
        </w:tc>
        <w:tc>
          <w:tcPr>
            <w:tcW w:w="1230" w:type="dxa"/>
          </w:tcPr>
          <w:p w14:paraId="364091F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w:t>
            </w:r>
          </w:p>
        </w:tc>
        <w:tc>
          <w:tcPr>
            <w:tcW w:w="900" w:type="dxa"/>
          </w:tcPr>
          <w:p w14:paraId="662D26B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81</w:t>
            </w:r>
          </w:p>
        </w:tc>
      </w:tr>
      <w:tr w:rsidR="005106D0" w:rsidRPr="007224C3" w14:paraId="3C600FD4" w14:textId="77777777">
        <w:trPr>
          <w:jc w:val="center"/>
        </w:trPr>
        <w:tc>
          <w:tcPr>
            <w:tcW w:w="1185" w:type="dxa"/>
            <w:tcBorders>
              <w:bottom w:val="single" w:sz="12" w:space="0" w:color="auto"/>
            </w:tcBorders>
          </w:tcPr>
          <w:p w14:paraId="633F27A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2970" w:type="dxa"/>
            <w:tcBorders>
              <w:bottom w:val="single" w:sz="12" w:space="0" w:color="auto"/>
            </w:tcBorders>
          </w:tcPr>
          <w:p w14:paraId="08E0E71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Итого истребителей</w:t>
            </w:r>
          </w:p>
        </w:tc>
        <w:tc>
          <w:tcPr>
            <w:tcW w:w="2130" w:type="dxa"/>
            <w:tcBorders>
              <w:bottom w:val="single" w:sz="12" w:space="0" w:color="auto"/>
            </w:tcBorders>
          </w:tcPr>
          <w:p w14:paraId="370E4AC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4268</w:t>
            </w:r>
          </w:p>
        </w:tc>
        <w:tc>
          <w:tcPr>
            <w:tcW w:w="1155" w:type="dxa"/>
            <w:tcBorders>
              <w:bottom w:val="single" w:sz="12" w:space="0" w:color="auto"/>
            </w:tcBorders>
          </w:tcPr>
          <w:p w14:paraId="3A56891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140</w:t>
            </w:r>
          </w:p>
        </w:tc>
        <w:tc>
          <w:tcPr>
            <w:tcW w:w="1230" w:type="dxa"/>
            <w:tcBorders>
              <w:bottom w:val="single" w:sz="12" w:space="0" w:color="auto"/>
            </w:tcBorders>
          </w:tcPr>
          <w:p w14:paraId="24D5C29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1375</w:t>
            </w:r>
          </w:p>
        </w:tc>
        <w:tc>
          <w:tcPr>
            <w:tcW w:w="900" w:type="dxa"/>
            <w:tcBorders>
              <w:bottom w:val="single" w:sz="12" w:space="0" w:color="auto"/>
            </w:tcBorders>
          </w:tcPr>
          <w:p w14:paraId="3797248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1493</w:t>
            </w:r>
          </w:p>
        </w:tc>
      </w:tr>
    </w:tbl>
    <w:p w14:paraId="4C4BFCE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1A30F47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185"/>
        <w:gridCol w:w="2970"/>
        <w:gridCol w:w="2130"/>
        <w:gridCol w:w="1155"/>
        <w:gridCol w:w="1230"/>
        <w:gridCol w:w="900"/>
      </w:tblGrid>
      <w:tr w:rsidR="006331D6" w:rsidRPr="007224C3" w14:paraId="19D78B89" w14:textId="77777777" w:rsidTr="003712D9">
        <w:trPr>
          <w:jc w:val="center"/>
        </w:trPr>
        <w:tc>
          <w:tcPr>
            <w:tcW w:w="1185" w:type="dxa"/>
            <w:tcBorders>
              <w:top w:val="single" w:sz="12" w:space="0" w:color="auto"/>
            </w:tcBorders>
          </w:tcPr>
          <w:p w14:paraId="631E6F7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заводов</w:t>
            </w:r>
          </w:p>
        </w:tc>
        <w:tc>
          <w:tcPr>
            <w:tcW w:w="2970" w:type="dxa"/>
            <w:tcBorders>
              <w:top w:val="single" w:sz="12" w:space="0" w:color="auto"/>
            </w:tcBorders>
          </w:tcPr>
          <w:p w14:paraId="21A5F41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Тип самолета</w:t>
            </w:r>
          </w:p>
        </w:tc>
        <w:tc>
          <w:tcPr>
            <w:tcW w:w="2130" w:type="dxa"/>
            <w:tcBorders>
              <w:top w:val="single" w:sz="12" w:space="0" w:color="auto"/>
            </w:tcBorders>
          </w:tcPr>
          <w:p w14:paraId="7692702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 на квартал</w:t>
            </w:r>
          </w:p>
        </w:tc>
        <w:tc>
          <w:tcPr>
            <w:tcW w:w="1155" w:type="dxa"/>
            <w:gridSpan w:val="3"/>
            <w:tcBorders>
              <w:top w:val="single" w:sz="12" w:space="0" w:color="auto"/>
            </w:tcBorders>
          </w:tcPr>
          <w:p w14:paraId="6AE622F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месяцам</w:t>
            </w:r>
          </w:p>
        </w:tc>
      </w:tr>
      <w:tr w:rsidR="006331D6" w:rsidRPr="007224C3" w14:paraId="309251D5" w14:textId="77777777">
        <w:trPr>
          <w:jc w:val="center"/>
        </w:trPr>
        <w:tc>
          <w:tcPr>
            <w:tcW w:w="1185" w:type="dxa"/>
          </w:tcPr>
          <w:p w14:paraId="7D10D6B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2970" w:type="dxa"/>
          </w:tcPr>
          <w:p w14:paraId="0A0A236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2130" w:type="dxa"/>
          </w:tcPr>
          <w:p w14:paraId="41FD79F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155" w:type="dxa"/>
          </w:tcPr>
          <w:p w14:paraId="343BE3A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январь </w:t>
            </w:r>
          </w:p>
        </w:tc>
        <w:tc>
          <w:tcPr>
            <w:tcW w:w="1230" w:type="dxa"/>
          </w:tcPr>
          <w:p w14:paraId="7898392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февраль </w:t>
            </w:r>
          </w:p>
        </w:tc>
        <w:tc>
          <w:tcPr>
            <w:tcW w:w="900" w:type="dxa"/>
          </w:tcPr>
          <w:p w14:paraId="02D4963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март</w:t>
            </w:r>
          </w:p>
        </w:tc>
      </w:tr>
      <w:tr w:rsidR="006331D6" w:rsidRPr="007224C3" w14:paraId="6A24BA69" w14:textId="77777777">
        <w:trPr>
          <w:jc w:val="center"/>
        </w:trPr>
        <w:tc>
          <w:tcPr>
            <w:tcW w:w="1185" w:type="dxa"/>
          </w:tcPr>
          <w:p w14:paraId="785A1A2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2970" w:type="dxa"/>
          </w:tcPr>
          <w:p w14:paraId="33AAC08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штурмовиков</w:t>
            </w:r>
          </w:p>
        </w:tc>
        <w:tc>
          <w:tcPr>
            <w:tcW w:w="2130" w:type="dxa"/>
          </w:tcPr>
          <w:p w14:paraId="38A9043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155" w:type="dxa"/>
          </w:tcPr>
          <w:p w14:paraId="4714620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230" w:type="dxa"/>
          </w:tcPr>
          <w:p w14:paraId="7401F73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900" w:type="dxa"/>
          </w:tcPr>
          <w:p w14:paraId="0A75F42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7E82FE86" w14:textId="77777777">
        <w:trPr>
          <w:jc w:val="center"/>
        </w:trPr>
        <w:tc>
          <w:tcPr>
            <w:tcW w:w="1185" w:type="dxa"/>
          </w:tcPr>
          <w:p w14:paraId="1E102F1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tc>
        <w:tc>
          <w:tcPr>
            <w:tcW w:w="2970" w:type="dxa"/>
          </w:tcPr>
          <w:p w14:paraId="6DEBD3E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ИЛ-2 АМ-38Ф</w:t>
            </w:r>
          </w:p>
        </w:tc>
        <w:tc>
          <w:tcPr>
            <w:tcW w:w="2130" w:type="dxa"/>
          </w:tcPr>
          <w:p w14:paraId="0B2E495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1078</w:t>
            </w:r>
          </w:p>
        </w:tc>
        <w:tc>
          <w:tcPr>
            <w:tcW w:w="1155" w:type="dxa"/>
          </w:tcPr>
          <w:p w14:paraId="09C0A6C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350</w:t>
            </w:r>
          </w:p>
        </w:tc>
        <w:tc>
          <w:tcPr>
            <w:tcW w:w="1230" w:type="dxa"/>
          </w:tcPr>
          <w:p w14:paraId="3ECB437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350</w:t>
            </w:r>
          </w:p>
        </w:tc>
        <w:tc>
          <w:tcPr>
            <w:tcW w:w="900" w:type="dxa"/>
          </w:tcPr>
          <w:p w14:paraId="16E8DD6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378</w:t>
            </w:r>
          </w:p>
        </w:tc>
      </w:tr>
      <w:tr w:rsidR="006331D6" w:rsidRPr="007224C3" w14:paraId="287A5E11" w14:textId="77777777">
        <w:trPr>
          <w:jc w:val="center"/>
        </w:trPr>
        <w:tc>
          <w:tcPr>
            <w:tcW w:w="1185" w:type="dxa"/>
          </w:tcPr>
          <w:p w14:paraId="026B64C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w:t>
            </w:r>
          </w:p>
        </w:tc>
        <w:tc>
          <w:tcPr>
            <w:tcW w:w="2970" w:type="dxa"/>
          </w:tcPr>
          <w:p w14:paraId="6D05D0C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ИЛ-2 АМ-38Ф</w:t>
            </w:r>
          </w:p>
        </w:tc>
        <w:tc>
          <w:tcPr>
            <w:tcW w:w="2130" w:type="dxa"/>
          </w:tcPr>
          <w:p w14:paraId="13273BC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1155</w:t>
            </w:r>
          </w:p>
        </w:tc>
        <w:tc>
          <w:tcPr>
            <w:tcW w:w="1155" w:type="dxa"/>
          </w:tcPr>
          <w:p w14:paraId="632C6DB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375</w:t>
            </w:r>
          </w:p>
        </w:tc>
        <w:tc>
          <w:tcPr>
            <w:tcW w:w="1230" w:type="dxa"/>
          </w:tcPr>
          <w:p w14:paraId="3A7B244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375</w:t>
            </w:r>
          </w:p>
        </w:tc>
        <w:tc>
          <w:tcPr>
            <w:tcW w:w="900" w:type="dxa"/>
          </w:tcPr>
          <w:p w14:paraId="212BCD9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405</w:t>
            </w:r>
          </w:p>
        </w:tc>
      </w:tr>
      <w:tr w:rsidR="006331D6" w:rsidRPr="007224C3" w14:paraId="72443983" w14:textId="77777777">
        <w:trPr>
          <w:jc w:val="center"/>
        </w:trPr>
        <w:tc>
          <w:tcPr>
            <w:tcW w:w="1185" w:type="dxa"/>
          </w:tcPr>
          <w:p w14:paraId="7977679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w:t>
            </w:r>
          </w:p>
        </w:tc>
        <w:tc>
          <w:tcPr>
            <w:tcW w:w="2970" w:type="dxa"/>
          </w:tcPr>
          <w:p w14:paraId="74CE45F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ИЛ-2 АМ-38Ф</w:t>
            </w:r>
          </w:p>
        </w:tc>
        <w:tc>
          <w:tcPr>
            <w:tcW w:w="2130" w:type="dxa"/>
          </w:tcPr>
          <w:p w14:paraId="285F692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780</w:t>
            </w:r>
          </w:p>
        </w:tc>
        <w:tc>
          <w:tcPr>
            <w:tcW w:w="1155" w:type="dxa"/>
          </w:tcPr>
          <w:p w14:paraId="6F51D53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250</w:t>
            </w:r>
          </w:p>
        </w:tc>
        <w:tc>
          <w:tcPr>
            <w:tcW w:w="1230" w:type="dxa"/>
          </w:tcPr>
          <w:p w14:paraId="316D3C8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250</w:t>
            </w:r>
          </w:p>
        </w:tc>
        <w:tc>
          <w:tcPr>
            <w:tcW w:w="900" w:type="dxa"/>
          </w:tcPr>
          <w:p w14:paraId="46B6EA3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280</w:t>
            </w:r>
          </w:p>
        </w:tc>
      </w:tr>
      <w:tr w:rsidR="005106D0" w:rsidRPr="007224C3" w14:paraId="17CB1704" w14:textId="77777777">
        <w:trPr>
          <w:jc w:val="center"/>
        </w:trPr>
        <w:tc>
          <w:tcPr>
            <w:tcW w:w="1185" w:type="dxa"/>
            <w:tcBorders>
              <w:bottom w:val="single" w:sz="12" w:space="0" w:color="auto"/>
            </w:tcBorders>
          </w:tcPr>
          <w:p w14:paraId="3E5F484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2970" w:type="dxa"/>
            <w:tcBorders>
              <w:bottom w:val="single" w:sz="12" w:space="0" w:color="auto"/>
            </w:tcBorders>
          </w:tcPr>
          <w:p w14:paraId="6863D49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Итого штурмовиков</w:t>
            </w:r>
          </w:p>
        </w:tc>
        <w:tc>
          <w:tcPr>
            <w:tcW w:w="2130" w:type="dxa"/>
            <w:tcBorders>
              <w:bottom w:val="single" w:sz="12" w:space="0" w:color="auto"/>
            </w:tcBorders>
          </w:tcPr>
          <w:p w14:paraId="58DF325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3013</w:t>
            </w:r>
          </w:p>
        </w:tc>
        <w:tc>
          <w:tcPr>
            <w:tcW w:w="1155" w:type="dxa"/>
            <w:tcBorders>
              <w:bottom w:val="single" w:sz="12" w:space="0" w:color="auto"/>
            </w:tcBorders>
          </w:tcPr>
          <w:p w14:paraId="059B281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975</w:t>
            </w:r>
          </w:p>
        </w:tc>
        <w:tc>
          <w:tcPr>
            <w:tcW w:w="1230" w:type="dxa"/>
            <w:tcBorders>
              <w:bottom w:val="single" w:sz="12" w:space="0" w:color="auto"/>
            </w:tcBorders>
          </w:tcPr>
          <w:p w14:paraId="2C5EF20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975</w:t>
            </w:r>
          </w:p>
        </w:tc>
        <w:tc>
          <w:tcPr>
            <w:tcW w:w="900" w:type="dxa"/>
            <w:tcBorders>
              <w:bottom w:val="single" w:sz="12" w:space="0" w:color="auto"/>
            </w:tcBorders>
          </w:tcPr>
          <w:p w14:paraId="5178867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1063</w:t>
            </w:r>
          </w:p>
        </w:tc>
      </w:tr>
    </w:tbl>
    <w:p w14:paraId="653EA62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185"/>
        <w:gridCol w:w="3420"/>
        <w:gridCol w:w="1665"/>
        <w:gridCol w:w="1155"/>
        <w:gridCol w:w="1230"/>
        <w:gridCol w:w="900"/>
      </w:tblGrid>
      <w:tr w:rsidR="006331D6" w:rsidRPr="007224C3" w14:paraId="63DDEE96" w14:textId="77777777" w:rsidTr="003712D9">
        <w:trPr>
          <w:jc w:val="center"/>
        </w:trPr>
        <w:tc>
          <w:tcPr>
            <w:tcW w:w="1185" w:type="dxa"/>
            <w:tcBorders>
              <w:top w:val="single" w:sz="12" w:space="0" w:color="auto"/>
            </w:tcBorders>
          </w:tcPr>
          <w:p w14:paraId="2F782A3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заводов</w:t>
            </w:r>
          </w:p>
        </w:tc>
        <w:tc>
          <w:tcPr>
            <w:tcW w:w="3420" w:type="dxa"/>
            <w:tcBorders>
              <w:top w:val="single" w:sz="12" w:space="0" w:color="auto"/>
            </w:tcBorders>
          </w:tcPr>
          <w:p w14:paraId="2FF92F5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Тип самолета</w:t>
            </w:r>
          </w:p>
        </w:tc>
        <w:tc>
          <w:tcPr>
            <w:tcW w:w="1665" w:type="dxa"/>
            <w:tcBorders>
              <w:top w:val="single" w:sz="12" w:space="0" w:color="auto"/>
            </w:tcBorders>
          </w:tcPr>
          <w:p w14:paraId="059AEE6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 на квартал</w:t>
            </w:r>
          </w:p>
        </w:tc>
        <w:tc>
          <w:tcPr>
            <w:tcW w:w="1155" w:type="dxa"/>
            <w:gridSpan w:val="3"/>
            <w:tcBorders>
              <w:top w:val="single" w:sz="12" w:space="0" w:color="auto"/>
            </w:tcBorders>
          </w:tcPr>
          <w:p w14:paraId="23B7F92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месяцам</w:t>
            </w:r>
          </w:p>
        </w:tc>
      </w:tr>
      <w:tr w:rsidR="006331D6" w:rsidRPr="007224C3" w14:paraId="23175B7A" w14:textId="77777777">
        <w:trPr>
          <w:jc w:val="center"/>
        </w:trPr>
        <w:tc>
          <w:tcPr>
            <w:tcW w:w="1185" w:type="dxa"/>
          </w:tcPr>
          <w:p w14:paraId="5416CAC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3420" w:type="dxa"/>
          </w:tcPr>
          <w:p w14:paraId="096E2FC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665" w:type="dxa"/>
          </w:tcPr>
          <w:p w14:paraId="632BA5F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155" w:type="dxa"/>
          </w:tcPr>
          <w:p w14:paraId="1C8A787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январь </w:t>
            </w:r>
          </w:p>
        </w:tc>
        <w:tc>
          <w:tcPr>
            <w:tcW w:w="1230" w:type="dxa"/>
          </w:tcPr>
          <w:p w14:paraId="073CBD4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февраль </w:t>
            </w:r>
          </w:p>
        </w:tc>
        <w:tc>
          <w:tcPr>
            <w:tcW w:w="900" w:type="dxa"/>
          </w:tcPr>
          <w:p w14:paraId="4037432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март</w:t>
            </w:r>
          </w:p>
        </w:tc>
      </w:tr>
      <w:tr w:rsidR="006331D6" w:rsidRPr="007224C3" w14:paraId="5526888D" w14:textId="77777777">
        <w:trPr>
          <w:jc w:val="center"/>
        </w:trPr>
        <w:tc>
          <w:tcPr>
            <w:tcW w:w="1185" w:type="dxa"/>
          </w:tcPr>
          <w:p w14:paraId="521D0EE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3420" w:type="dxa"/>
          </w:tcPr>
          <w:p w14:paraId="3FD21EA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бомбардировщиков</w:t>
            </w:r>
          </w:p>
        </w:tc>
        <w:tc>
          <w:tcPr>
            <w:tcW w:w="1665" w:type="dxa"/>
          </w:tcPr>
          <w:p w14:paraId="7AEF630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155" w:type="dxa"/>
          </w:tcPr>
          <w:p w14:paraId="4CB70CB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230" w:type="dxa"/>
          </w:tcPr>
          <w:p w14:paraId="2570789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900" w:type="dxa"/>
          </w:tcPr>
          <w:p w14:paraId="66D0039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40DE1048" w14:textId="77777777">
        <w:trPr>
          <w:jc w:val="center"/>
        </w:trPr>
        <w:tc>
          <w:tcPr>
            <w:tcW w:w="1185" w:type="dxa"/>
          </w:tcPr>
          <w:p w14:paraId="42517B1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w:t>
            </w:r>
          </w:p>
        </w:tc>
        <w:tc>
          <w:tcPr>
            <w:tcW w:w="3420" w:type="dxa"/>
          </w:tcPr>
          <w:p w14:paraId="4AECE4F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ПЕ-2 2М-105ПФ</w:t>
            </w:r>
          </w:p>
        </w:tc>
        <w:tc>
          <w:tcPr>
            <w:tcW w:w="1665" w:type="dxa"/>
          </w:tcPr>
          <w:p w14:paraId="7D18EB5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573</w:t>
            </w:r>
          </w:p>
        </w:tc>
        <w:tc>
          <w:tcPr>
            <w:tcW w:w="1155" w:type="dxa"/>
          </w:tcPr>
          <w:p w14:paraId="40093C0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205</w:t>
            </w:r>
          </w:p>
        </w:tc>
        <w:tc>
          <w:tcPr>
            <w:tcW w:w="1230" w:type="dxa"/>
          </w:tcPr>
          <w:p w14:paraId="3D4FAC4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190</w:t>
            </w:r>
          </w:p>
        </w:tc>
        <w:tc>
          <w:tcPr>
            <w:tcW w:w="900" w:type="dxa"/>
          </w:tcPr>
          <w:p w14:paraId="34912FA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178</w:t>
            </w:r>
          </w:p>
        </w:tc>
      </w:tr>
      <w:tr w:rsidR="006331D6" w:rsidRPr="007224C3" w14:paraId="54CDA78A" w14:textId="77777777">
        <w:trPr>
          <w:jc w:val="center"/>
        </w:trPr>
        <w:tc>
          <w:tcPr>
            <w:tcW w:w="1185" w:type="dxa"/>
          </w:tcPr>
          <w:p w14:paraId="2223623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w:t>
            </w:r>
          </w:p>
        </w:tc>
        <w:tc>
          <w:tcPr>
            <w:tcW w:w="3420" w:type="dxa"/>
          </w:tcPr>
          <w:p w14:paraId="427C8DF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ПЕ-3 2М-105ПФ</w:t>
            </w:r>
          </w:p>
        </w:tc>
        <w:tc>
          <w:tcPr>
            <w:tcW w:w="1665" w:type="dxa"/>
          </w:tcPr>
          <w:p w14:paraId="3F5EDB0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120</w:t>
            </w:r>
          </w:p>
        </w:tc>
        <w:tc>
          <w:tcPr>
            <w:tcW w:w="1155" w:type="dxa"/>
          </w:tcPr>
          <w:p w14:paraId="3504778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w:t>
            </w:r>
          </w:p>
        </w:tc>
        <w:tc>
          <w:tcPr>
            <w:tcW w:w="1230" w:type="dxa"/>
          </w:tcPr>
          <w:p w14:paraId="076A386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35</w:t>
            </w:r>
          </w:p>
        </w:tc>
        <w:tc>
          <w:tcPr>
            <w:tcW w:w="900" w:type="dxa"/>
          </w:tcPr>
          <w:p w14:paraId="1103AB4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65</w:t>
            </w:r>
          </w:p>
        </w:tc>
      </w:tr>
      <w:tr w:rsidR="006331D6" w:rsidRPr="007224C3" w14:paraId="3DC2EE35" w14:textId="77777777">
        <w:trPr>
          <w:jc w:val="center"/>
        </w:trPr>
        <w:tc>
          <w:tcPr>
            <w:tcW w:w="1185" w:type="dxa"/>
          </w:tcPr>
          <w:p w14:paraId="70A14B8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w:t>
            </w:r>
          </w:p>
        </w:tc>
        <w:tc>
          <w:tcPr>
            <w:tcW w:w="3420" w:type="dxa"/>
          </w:tcPr>
          <w:p w14:paraId="76DC21B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ПЕ-8 4М-82Ф</w:t>
            </w:r>
          </w:p>
        </w:tc>
        <w:tc>
          <w:tcPr>
            <w:tcW w:w="1665" w:type="dxa"/>
          </w:tcPr>
          <w:p w14:paraId="760613A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w:t>
            </w:r>
          </w:p>
        </w:tc>
        <w:tc>
          <w:tcPr>
            <w:tcW w:w="1155" w:type="dxa"/>
          </w:tcPr>
          <w:p w14:paraId="622D44C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tc>
        <w:tc>
          <w:tcPr>
            <w:tcW w:w="1230" w:type="dxa"/>
          </w:tcPr>
          <w:p w14:paraId="7DB4BFB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tc>
        <w:tc>
          <w:tcPr>
            <w:tcW w:w="900" w:type="dxa"/>
          </w:tcPr>
          <w:p w14:paraId="1A2CA50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tc>
      </w:tr>
      <w:tr w:rsidR="006331D6" w:rsidRPr="007224C3" w14:paraId="50D72565" w14:textId="77777777">
        <w:trPr>
          <w:jc w:val="center"/>
        </w:trPr>
        <w:tc>
          <w:tcPr>
            <w:tcW w:w="1185" w:type="dxa"/>
          </w:tcPr>
          <w:p w14:paraId="7A392EB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w:t>
            </w:r>
          </w:p>
        </w:tc>
        <w:tc>
          <w:tcPr>
            <w:tcW w:w="3420" w:type="dxa"/>
          </w:tcPr>
          <w:p w14:paraId="7EC2C71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ТУ-2 2М-82Ф</w:t>
            </w:r>
          </w:p>
        </w:tc>
        <w:tc>
          <w:tcPr>
            <w:tcW w:w="1665" w:type="dxa"/>
          </w:tcPr>
          <w:p w14:paraId="115C099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88</w:t>
            </w:r>
          </w:p>
        </w:tc>
        <w:tc>
          <w:tcPr>
            <w:tcW w:w="1155" w:type="dxa"/>
          </w:tcPr>
          <w:p w14:paraId="12E85F5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w:t>
            </w:r>
          </w:p>
        </w:tc>
        <w:tc>
          <w:tcPr>
            <w:tcW w:w="1230" w:type="dxa"/>
          </w:tcPr>
          <w:p w14:paraId="779E47A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w:t>
            </w:r>
          </w:p>
        </w:tc>
        <w:tc>
          <w:tcPr>
            <w:tcW w:w="900" w:type="dxa"/>
          </w:tcPr>
          <w:p w14:paraId="0E2F8A3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w:t>
            </w:r>
          </w:p>
        </w:tc>
      </w:tr>
      <w:tr w:rsidR="006331D6" w:rsidRPr="007224C3" w14:paraId="7ADE6FDE" w14:textId="77777777">
        <w:trPr>
          <w:jc w:val="center"/>
        </w:trPr>
        <w:tc>
          <w:tcPr>
            <w:tcW w:w="1185" w:type="dxa"/>
          </w:tcPr>
          <w:p w14:paraId="68C2685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39</w:t>
            </w:r>
          </w:p>
        </w:tc>
        <w:tc>
          <w:tcPr>
            <w:tcW w:w="3420" w:type="dxa"/>
          </w:tcPr>
          <w:p w14:paraId="052A750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ЕР-2 2М-30Б</w:t>
            </w:r>
          </w:p>
        </w:tc>
        <w:tc>
          <w:tcPr>
            <w:tcW w:w="1665" w:type="dxa"/>
          </w:tcPr>
          <w:p w14:paraId="48D76A3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33</w:t>
            </w:r>
          </w:p>
        </w:tc>
        <w:tc>
          <w:tcPr>
            <w:tcW w:w="1155" w:type="dxa"/>
          </w:tcPr>
          <w:p w14:paraId="0B12014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tc>
        <w:tc>
          <w:tcPr>
            <w:tcW w:w="1230" w:type="dxa"/>
          </w:tcPr>
          <w:p w14:paraId="4CC7664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w:t>
            </w:r>
          </w:p>
        </w:tc>
        <w:tc>
          <w:tcPr>
            <w:tcW w:w="900" w:type="dxa"/>
          </w:tcPr>
          <w:p w14:paraId="18AB335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w:t>
            </w:r>
          </w:p>
        </w:tc>
      </w:tr>
      <w:tr w:rsidR="006331D6" w:rsidRPr="007224C3" w14:paraId="05FD25D7" w14:textId="77777777">
        <w:trPr>
          <w:jc w:val="center"/>
        </w:trPr>
        <w:tc>
          <w:tcPr>
            <w:tcW w:w="1185" w:type="dxa"/>
          </w:tcPr>
          <w:p w14:paraId="427685D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39</w:t>
            </w:r>
          </w:p>
        </w:tc>
        <w:tc>
          <w:tcPr>
            <w:tcW w:w="3420" w:type="dxa"/>
          </w:tcPr>
          <w:p w14:paraId="57FA76F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ИЛ-4 2М-88Б</w:t>
            </w:r>
          </w:p>
        </w:tc>
        <w:tc>
          <w:tcPr>
            <w:tcW w:w="1665" w:type="dxa"/>
          </w:tcPr>
          <w:p w14:paraId="3EB3532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55</w:t>
            </w:r>
          </w:p>
        </w:tc>
        <w:tc>
          <w:tcPr>
            <w:tcW w:w="1155" w:type="dxa"/>
          </w:tcPr>
          <w:p w14:paraId="0089BC1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w:t>
            </w:r>
          </w:p>
        </w:tc>
        <w:tc>
          <w:tcPr>
            <w:tcW w:w="1230" w:type="dxa"/>
          </w:tcPr>
          <w:p w14:paraId="3F01655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w:t>
            </w:r>
          </w:p>
        </w:tc>
        <w:tc>
          <w:tcPr>
            <w:tcW w:w="900" w:type="dxa"/>
          </w:tcPr>
          <w:p w14:paraId="3398BFA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w:t>
            </w:r>
          </w:p>
        </w:tc>
      </w:tr>
      <w:tr w:rsidR="006331D6" w:rsidRPr="007224C3" w14:paraId="6492C169" w14:textId="77777777">
        <w:trPr>
          <w:jc w:val="center"/>
        </w:trPr>
        <w:tc>
          <w:tcPr>
            <w:tcW w:w="1185" w:type="dxa"/>
          </w:tcPr>
          <w:p w14:paraId="5BA1571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126</w:t>
            </w:r>
          </w:p>
        </w:tc>
        <w:tc>
          <w:tcPr>
            <w:tcW w:w="3420" w:type="dxa"/>
          </w:tcPr>
          <w:p w14:paraId="5797BB3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ИЛ-4 2М-88Б</w:t>
            </w:r>
          </w:p>
        </w:tc>
        <w:tc>
          <w:tcPr>
            <w:tcW w:w="1665" w:type="dxa"/>
          </w:tcPr>
          <w:p w14:paraId="72F70CD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154</w:t>
            </w:r>
          </w:p>
        </w:tc>
        <w:tc>
          <w:tcPr>
            <w:tcW w:w="1155" w:type="dxa"/>
          </w:tcPr>
          <w:p w14:paraId="0AB493B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w:t>
            </w:r>
          </w:p>
        </w:tc>
        <w:tc>
          <w:tcPr>
            <w:tcW w:w="1230" w:type="dxa"/>
          </w:tcPr>
          <w:p w14:paraId="4C936D7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w:t>
            </w:r>
          </w:p>
        </w:tc>
        <w:tc>
          <w:tcPr>
            <w:tcW w:w="900" w:type="dxa"/>
          </w:tcPr>
          <w:p w14:paraId="4EDBE2A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54</w:t>
            </w:r>
          </w:p>
        </w:tc>
      </w:tr>
      <w:tr w:rsidR="006331D6" w:rsidRPr="007224C3" w14:paraId="2244F809" w14:textId="77777777">
        <w:trPr>
          <w:jc w:val="center"/>
        </w:trPr>
        <w:tc>
          <w:tcPr>
            <w:tcW w:w="1185" w:type="dxa"/>
          </w:tcPr>
          <w:p w14:paraId="6D12C17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3420" w:type="dxa"/>
          </w:tcPr>
          <w:p w14:paraId="0394064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Итого бомбардировщиков</w:t>
            </w:r>
          </w:p>
        </w:tc>
        <w:tc>
          <w:tcPr>
            <w:tcW w:w="1665" w:type="dxa"/>
          </w:tcPr>
          <w:p w14:paraId="60C0F5B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1032</w:t>
            </w:r>
          </w:p>
        </w:tc>
        <w:tc>
          <w:tcPr>
            <w:tcW w:w="1155" w:type="dxa"/>
          </w:tcPr>
          <w:p w14:paraId="659EF18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321</w:t>
            </w:r>
          </w:p>
        </w:tc>
        <w:tc>
          <w:tcPr>
            <w:tcW w:w="1230" w:type="dxa"/>
          </w:tcPr>
          <w:p w14:paraId="1DA49A8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333</w:t>
            </w:r>
          </w:p>
        </w:tc>
        <w:tc>
          <w:tcPr>
            <w:tcW w:w="900" w:type="dxa"/>
          </w:tcPr>
          <w:p w14:paraId="4EC9797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378</w:t>
            </w:r>
          </w:p>
        </w:tc>
      </w:tr>
      <w:tr w:rsidR="006331D6" w:rsidRPr="007224C3" w14:paraId="5DB14983" w14:textId="77777777">
        <w:trPr>
          <w:jc w:val="center"/>
        </w:trPr>
        <w:tc>
          <w:tcPr>
            <w:tcW w:w="1185" w:type="dxa"/>
          </w:tcPr>
          <w:p w14:paraId="4AEC412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3420" w:type="dxa"/>
          </w:tcPr>
          <w:p w14:paraId="648BF40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транспортных</w:t>
            </w:r>
          </w:p>
        </w:tc>
        <w:tc>
          <w:tcPr>
            <w:tcW w:w="1665" w:type="dxa"/>
          </w:tcPr>
          <w:p w14:paraId="681E2E6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155" w:type="dxa"/>
          </w:tcPr>
          <w:p w14:paraId="68E6E82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230" w:type="dxa"/>
          </w:tcPr>
          <w:p w14:paraId="7D66007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900" w:type="dxa"/>
          </w:tcPr>
          <w:p w14:paraId="4D2D4B5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0CC71150" w14:textId="77777777">
        <w:trPr>
          <w:jc w:val="center"/>
        </w:trPr>
        <w:tc>
          <w:tcPr>
            <w:tcW w:w="1185" w:type="dxa"/>
          </w:tcPr>
          <w:p w14:paraId="755E03C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84</w:t>
            </w:r>
          </w:p>
        </w:tc>
        <w:tc>
          <w:tcPr>
            <w:tcW w:w="3420" w:type="dxa"/>
          </w:tcPr>
          <w:p w14:paraId="32C4A7D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Ли-2 2М-62ИР</w:t>
            </w:r>
          </w:p>
        </w:tc>
        <w:tc>
          <w:tcPr>
            <w:tcW w:w="1665" w:type="dxa"/>
          </w:tcPr>
          <w:p w14:paraId="3D66B66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154</w:t>
            </w:r>
          </w:p>
        </w:tc>
        <w:tc>
          <w:tcPr>
            <w:tcW w:w="1155" w:type="dxa"/>
          </w:tcPr>
          <w:p w14:paraId="287026B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w:t>
            </w:r>
          </w:p>
        </w:tc>
        <w:tc>
          <w:tcPr>
            <w:tcW w:w="1230" w:type="dxa"/>
          </w:tcPr>
          <w:p w14:paraId="718B2FF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w:t>
            </w:r>
          </w:p>
        </w:tc>
        <w:tc>
          <w:tcPr>
            <w:tcW w:w="900" w:type="dxa"/>
          </w:tcPr>
          <w:p w14:paraId="03BD35D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54</w:t>
            </w:r>
          </w:p>
        </w:tc>
      </w:tr>
      <w:tr w:rsidR="006331D6" w:rsidRPr="007224C3" w14:paraId="4A3EF09E" w14:textId="77777777">
        <w:trPr>
          <w:jc w:val="center"/>
        </w:trPr>
        <w:tc>
          <w:tcPr>
            <w:tcW w:w="1185" w:type="dxa"/>
          </w:tcPr>
          <w:p w14:paraId="4BEFD0E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47</w:t>
            </w:r>
          </w:p>
        </w:tc>
        <w:tc>
          <w:tcPr>
            <w:tcW w:w="3420" w:type="dxa"/>
          </w:tcPr>
          <w:p w14:paraId="4A2CFEA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Ще-2 2М-11</w:t>
            </w:r>
          </w:p>
        </w:tc>
        <w:tc>
          <w:tcPr>
            <w:tcW w:w="1665" w:type="dxa"/>
          </w:tcPr>
          <w:p w14:paraId="3B3278B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35</w:t>
            </w:r>
          </w:p>
        </w:tc>
        <w:tc>
          <w:tcPr>
            <w:tcW w:w="1155" w:type="dxa"/>
          </w:tcPr>
          <w:p w14:paraId="1A4D6D0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tc>
        <w:tc>
          <w:tcPr>
            <w:tcW w:w="1230" w:type="dxa"/>
          </w:tcPr>
          <w:p w14:paraId="275C850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w:t>
            </w:r>
          </w:p>
        </w:tc>
        <w:tc>
          <w:tcPr>
            <w:tcW w:w="900" w:type="dxa"/>
          </w:tcPr>
          <w:p w14:paraId="23673A9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w:t>
            </w:r>
          </w:p>
        </w:tc>
      </w:tr>
      <w:tr w:rsidR="006331D6" w:rsidRPr="007224C3" w14:paraId="35475C4F" w14:textId="77777777">
        <w:trPr>
          <w:jc w:val="center"/>
        </w:trPr>
        <w:tc>
          <w:tcPr>
            <w:tcW w:w="1185" w:type="dxa"/>
          </w:tcPr>
          <w:p w14:paraId="6BA1C7B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494</w:t>
            </w:r>
          </w:p>
        </w:tc>
        <w:tc>
          <w:tcPr>
            <w:tcW w:w="3420" w:type="dxa"/>
          </w:tcPr>
          <w:p w14:paraId="3877D46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С-2 М-11</w:t>
            </w:r>
          </w:p>
        </w:tc>
        <w:tc>
          <w:tcPr>
            <w:tcW w:w="1665" w:type="dxa"/>
          </w:tcPr>
          <w:p w14:paraId="681B74D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125</w:t>
            </w:r>
          </w:p>
        </w:tc>
        <w:tc>
          <w:tcPr>
            <w:tcW w:w="1155" w:type="dxa"/>
          </w:tcPr>
          <w:p w14:paraId="005F242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35</w:t>
            </w:r>
          </w:p>
        </w:tc>
        <w:tc>
          <w:tcPr>
            <w:tcW w:w="1230" w:type="dxa"/>
          </w:tcPr>
          <w:p w14:paraId="5CFA5B7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w:t>
            </w:r>
          </w:p>
        </w:tc>
        <w:tc>
          <w:tcPr>
            <w:tcW w:w="900" w:type="dxa"/>
          </w:tcPr>
          <w:p w14:paraId="0B93844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w:t>
            </w:r>
          </w:p>
        </w:tc>
      </w:tr>
      <w:tr w:rsidR="006331D6" w:rsidRPr="007224C3" w14:paraId="0C9018DC" w14:textId="77777777">
        <w:trPr>
          <w:jc w:val="center"/>
        </w:trPr>
        <w:tc>
          <w:tcPr>
            <w:tcW w:w="1185" w:type="dxa"/>
          </w:tcPr>
          <w:p w14:paraId="0DAD107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3420" w:type="dxa"/>
          </w:tcPr>
          <w:p w14:paraId="435DE0A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Итого транспортных</w:t>
            </w:r>
          </w:p>
        </w:tc>
        <w:tc>
          <w:tcPr>
            <w:tcW w:w="1665" w:type="dxa"/>
          </w:tcPr>
          <w:p w14:paraId="037F3ED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314</w:t>
            </w:r>
          </w:p>
        </w:tc>
        <w:tc>
          <w:tcPr>
            <w:tcW w:w="1155" w:type="dxa"/>
          </w:tcPr>
          <w:p w14:paraId="439A29A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90 </w:t>
            </w:r>
          </w:p>
        </w:tc>
        <w:tc>
          <w:tcPr>
            <w:tcW w:w="1230" w:type="dxa"/>
          </w:tcPr>
          <w:p w14:paraId="0C3CAEF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w:t>
            </w:r>
          </w:p>
        </w:tc>
        <w:tc>
          <w:tcPr>
            <w:tcW w:w="900" w:type="dxa"/>
          </w:tcPr>
          <w:p w14:paraId="0F10A4D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124</w:t>
            </w:r>
          </w:p>
        </w:tc>
      </w:tr>
      <w:tr w:rsidR="006331D6" w:rsidRPr="007224C3" w14:paraId="23B68A35" w14:textId="77777777">
        <w:trPr>
          <w:jc w:val="center"/>
        </w:trPr>
        <w:tc>
          <w:tcPr>
            <w:tcW w:w="1185" w:type="dxa"/>
          </w:tcPr>
          <w:p w14:paraId="0F165A1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3420" w:type="dxa"/>
          </w:tcPr>
          <w:p w14:paraId="678BA1C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учебных</w:t>
            </w:r>
          </w:p>
        </w:tc>
        <w:tc>
          <w:tcPr>
            <w:tcW w:w="1665" w:type="dxa"/>
          </w:tcPr>
          <w:p w14:paraId="72C99B8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155" w:type="dxa"/>
          </w:tcPr>
          <w:p w14:paraId="3B60037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230" w:type="dxa"/>
          </w:tcPr>
          <w:p w14:paraId="6D712D3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900" w:type="dxa"/>
          </w:tcPr>
          <w:p w14:paraId="29E07A0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1526AB7A" w14:textId="77777777">
        <w:trPr>
          <w:jc w:val="center"/>
        </w:trPr>
        <w:tc>
          <w:tcPr>
            <w:tcW w:w="1185" w:type="dxa"/>
          </w:tcPr>
          <w:p w14:paraId="2CE0CC0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387</w:t>
            </w:r>
          </w:p>
        </w:tc>
        <w:tc>
          <w:tcPr>
            <w:tcW w:w="3420" w:type="dxa"/>
          </w:tcPr>
          <w:p w14:paraId="4700DC6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У-2 М-11</w:t>
            </w:r>
          </w:p>
        </w:tc>
        <w:tc>
          <w:tcPr>
            <w:tcW w:w="1665" w:type="dxa"/>
          </w:tcPr>
          <w:p w14:paraId="071502F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770</w:t>
            </w:r>
          </w:p>
        </w:tc>
        <w:tc>
          <w:tcPr>
            <w:tcW w:w="1155" w:type="dxa"/>
          </w:tcPr>
          <w:p w14:paraId="4C1E73A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250</w:t>
            </w:r>
          </w:p>
        </w:tc>
        <w:tc>
          <w:tcPr>
            <w:tcW w:w="1230" w:type="dxa"/>
          </w:tcPr>
          <w:p w14:paraId="4747859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250</w:t>
            </w:r>
          </w:p>
        </w:tc>
        <w:tc>
          <w:tcPr>
            <w:tcW w:w="900" w:type="dxa"/>
          </w:tcPr>
          <w:p w14:paraId="1DDBD27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270</w:t>
            </w:r>
          </w:p>
        </w:tc>
      </w:tr>
      <w:tr w:rsidR="006331D6" w:rsidRPr="007224C3" w14:paraId="59B57BCA" w14:textId="77777777">
        <w:trPr>
          <w:jc w:val="center"/>
        </w:trPr>
        <w:tc>
          <w:tcPr>
            <w:tcW w:w="1185" w:type="dxa"/>
          </w:tcPr>
          <w:p w14:paraId="078D254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116</w:t>
            </w:r>
          </w:p>
        </w:tc>
        <w:tc>
          <w:tcPr>
            <w:tcW w:w="3420" w:type="dxa"/>
          </w:tcPr>
          <w:p w14:paraId="4CDC43A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УТ-2 М-11</w:t>
            </w:r>
          </w:p>
        </w:tc>
        <w:tc>
          <w:tcPr>
            <w:tcW w:w="1665" w:type="dxa"/>
          </w:tcPr>
          <w:p w14:paraId="391D1BB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154</w:t>
            </w:r>
          </w:p>
        </w:tc>
        <w:tc>
          <w:tcPr>
            <w:tcW w:w="1155" w:type="dxa"/>
          </w:tcPr>
          <w:p w14:paraId="2CBDFDF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w:t>
            </w:r>
          </w:p>
        </w:tc>
        <w:tc>
          <w:tcPr>
            <w:tcW w:w="1230" w:type="dxa"/>
          </w:tcPr>
          <w:p w14:paraId="0FC50AE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w:t>
            </w:r>
          </w:p>
        </w:tc>
        <w:tc>
          <w:tcPr>
            <w:tcW w:w="900" w:type="dxa"/>
          </w:tcPr>
          <w:p w14:paraId="15402AC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54</w:t>
            </w:r>
          </w:p>
        </w:tc>
      </w:tr>
      <w:tr w:rsidR="006331D6" w:rsidRPr="007224C3" w14:paraId="5C2ED56E" w14:textId="77777777">
        <w:trPr>
          <w:jc w:val="center"/>
        </w:trPr>
        <w:tc>
          <w:tcPr>
            <w:tcW w:w="1185" w:type="dxa"/>
          </w:tcPr>
          <w:p w14:paraId="225AE56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168</w:t>
            </w:r>
          </w:p>
        </w:tc>
        <w:tc>
          <w:tcPr>
            <w:tcW w:w="3420" w:type="dxa"/>
          </w:tcPr>
          <w:p w14:paraId="141E6A6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УТ-2 М-11</w:t>
            </w:r>
          </w:p>
        </w:tc>
        <w:tc>
          <w:tcPr>
            <w:tcW w:w="1665" w:type="dxa"/>
          </w:tcPr>
          <w:p w14:paraId="6DE55CD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77</w:t>
            </w:r>
          </w:p>
        </w:tc>
        <w:tc>
          <w:tcPr>
            <w:tcW w:w="1155" w:type="dxa"/>
          </w:tcPr>
          <w:p w14:paraId="1327995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w:t>
            </w:r>
          </w:p>
        </w:tc>
        <w:tc>
          <w:tcPr>
            <w:tcW w:w="1230" w:type="dxa"/>
          </w:tcPr>
          <w:p w14:paraId="71338F5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w:t>
            </w:r>
          </w:p>
        </w:tc>
        <w:tc>
          <w:tcPr>
            <w:tcW w:w="900" w:type="dxa"/>
          </w:tcPr>
          <w:p w14:paraId="620E5DB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w:t>
            </w:r>
          </w:p>
        </w:tc>
      </w:tr>
      <w:tr w:rsidR="006331D6" w:rsidRPr="007224C3" w14:paraId="2957B5D2" w14:textId="77777777">
        <w:trPr>
          <w:jc w:val="center"/>
        </w:trPr>
        <w:tc>
          <w:tcPr>
            <w:tcW w:w="1185" w:type="dxa"/>
          </w:tcPr>
          <w:p w14:paraId="0BBEB88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464</w:t>
            </w:r>
          </w:p>
        </w:tc>
        <w:tc>
          <w:tcPr>
            <w:tcW w:w="3420" w:type="dxa"/>
          </w:tcPr>
          <w:p w14:paraId="2EB9C52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У-2</w:t>
            </w:r>
          </w:p>
        </w:tc>
        <w:tc>
          <w:tcPr>
            <w:tcW w:w="1665" w:type="dxa"/>
          </w:tcPr>
          <w:p w14:paraId="27CDF05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129</w:t>
            </w:r>
          </w:p>
        </w:tc>
        <w:tc>
          <w:tcPr>
            <w:tcW w:w="1155" w:type="dxa"/>
          </w:tcPr>
          <w:p w14:paraId="22892A4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35</w:t>
            </w:r>
          </w:p>
        </w:tc>
        <w:tc>
          <w:tcPr>
            <w:tcW w:w="1230" w:type="dxa"/>
          </w:tcPr>
          <w:p w14:paraId="0327608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w:t>
            </w:r>
          </w:p>
        </w:tc>
        <w:tc>
          <w:tcPr>
            <w:tcW w:w="900" w:type="dxa"/>
          </w:tcPr>
          <w:p w14:paraId="18AFBFA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54</w:t>
            </w:r>
          </w:p>
        </w:tc>
      </w:tr>
      <w:tr w:rsidR="006331D6" w:rsidRPr="007224C3" w14:paraId="331AEEE7" w14:textId="77777777">
        <w:trPr>
          <w:jc w:val="center"/>
        </w:trPr>
        <w:tc>
          <w:tcPr>
            <w:tcW w:w="1185" w:type="dxa"/>
          </w:tcPr>
          <w:p w14:paraId="24E70F7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471</w:t>
            </w:r>
          </w:p>
        </w:tc>
        <w:tc>
          <w:tcPr>
            <w:tcW w:w="3420" w:type="dxa"/>
          </w:tcPr>
          <w:p w14:paraId="4F48D0F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У-2</w:t>
            </w:r>
          </w:p>
        </w:tc>
        <w:tc>
          <w:tcPr>
            <w:tcW w:w="1665" w:type="dxa"/>
          </w:tcPr>
          <w:p w14:paraId="3786AA2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129</w:t>
            </w:r>
          </w:p>
        </w:tc>
        <w:tc>
          <w:tcPr>
            <w:tcW w:w="1155" w:type="dxa"/>
          </w:tcPr>
          <w:p w14:paraId="443A094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35</w:t>
            </w:r>
          </w:p>
        </w:tc>
        <w:tc>
          <w:tcPr>
            <w:tcW w:w="1230" w:type="dxa"/>
          </w:tcPr>
          <w:p w14:paraId="0183FA9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w:t>
            </w:r>
          </w:p>
        </w:tc>
        <w:tc>
          <w:tcPr>
            <w:tcW w:w="900" w:type="dxa"/>
          </w:tcPr>
          <w:p w14:paraId="3F30182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54</w:t>
            </w:r>
          </w:p>
        </w:tc>
      </w:tr>
      <w:tr w:rsidR="006331D6" w:rsidRPr="007224C3" w14:paraId="13F8EE70" w14:textId="77777777">
        <w:trPr>
          <w:jc w:val="center"/>
        </w:trPr>
        <w:tc>
          <w:tcPr>
            <w:tcW w:w="1185" w:type="dxa"/>
          </w:tcPr>
          <w:p w14:paraId="2B4BE05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3420" w:type="dxa"/>
          </w:tcPr>
          <w:p w14:paraId="18EA744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Итого учебных</w:t>
            </w:r>
          </w:p>
        </w:tc>
        <w:tc>
          <w:tcPr>
            <w:tcW w:w="1665" w:type="dxa"/>
          </w:tcPr>
          <w:p w14:paraId="757C69C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1259</w:t>
            </w:r>
          </w:p>
        </w:tc>
        <w:tc>
          <w:tcPr>
            <w:tcW w:w="1155" w:type="dxa"/>
          </w:tcPr>
          <w:p w14:paraId="40F25C1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395</w:t>
            </w:r>
          </w:p>
        </w:tc>
        <w:tc>
          <w:tcPr>
            <w:tcW w:w="1230" w:type="dxa"/>
          </w:tcPr>
          <w:p w14:paraId="2CC3E11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405</w:t>
            </w:r>
          </w:p>
        </w:tc>
        <w:tc>
          <w:tcPr>
            <w:tcW w:w="900" w:type="dxa"/>
          </w:tcPr>
          <w:p w14:paraId="719FA13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459</w:t>
            </w:r>
          </w:p>
        </w:tc>
      </w:tr>
      <w:tr w:rsidR="006331D6" w:rsidRPr="007224C3" w14:paraId="6691D0D1" w14:textId="77777777">
        <w:trPr>
          <w:jc w:val="center"/>
        </w:trPr>
        <w:tc>
          <w:tcPr>
            <w:tcW w:w="1185" w:type="dxa"/>
          </w:tcPr>
          <w:p w14:paraId="4FDFF35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3420" w:type="dxa"/>
          </w:tcPr>
          <w:p w14:paraId="5D8804D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 самолетов</w:t>
            </w:r>
          </w:p>
        </w:tc>
        <w:tc>
          <w:tcPr>
            <w:tcW w:w="1665" w:type="dxa"/>
          </w:tcPr>
          <w:p w14:paraId="462F501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9886</w:t>
            </w:r>
          </w:p>
        </w:tc>
        <w:tc>
          <w:tcPr>
            <w:tcW w:w="1155" w:type="dxa"/>
          </w:tcPr>
          <w:p w14:paraId="2020C9A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3181</w:t>
            </w:r>
          </w:p>
        </w:tc>
        <w:tc>
          <w:tcPr>
            <w:tcW w:w="1230" w:type="dxa"/>
          </w:tcPr>
          <w:p w14:paraId="24E55EE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3188</w:t>
            </w:r>
          </w:p>
        </w:tc>
        <w:tc>
          <w:tcPr>
            <w:tcW w:w="900" w:type="dxa"/>
          </w:tcPr>
          <w:p w14:paraId="0E762C6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3517</w:t>
            </w:r>
          </w:p>
        </w:tc>
      </w:tr>
      <w:tr w:rsidR="006331D6" w:rsidRPr="007224C3" w14:paraId="69AE956F" w14:textId="77777777">
        <w:trPr>
          <w:jc w:val="center"/>
        </w:trPr>
        <w:tc>
          <w:tcPr>
            <w:tcW w:w="1185" w:type="dxa"/>
            <w:tcBorders>
              <w:bottom w:val="single" w:sz="12" w:space="0" w:color="auto"/>
            </w:tcBorders>
          </w:tcPr>
          <w:p w14:paraId="0304CFA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3420" w:type="dxa"/>
            <w:tcBorders>
              <w:bottom w:val="single" w:sz="12" w:space="0" w:color="auto"/>
            </w:tcBorders>
          </w:tcPr>
          <w:p w14:paraId="6A9DDD9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том числе боевых</w:t>
            </w:r>
          </w:p>
        </w:tc>
        <w:tc>
          <w:tcPr>
            <w:tcW w:w="1665" w:type="dxa"/>
            <w:tcBorders>
              <w:bottom w:val="single" w:sz="12" w:space="0" w:color="auto"/>
            </w:tcBorders>
          </w:tcPr>
          <w:p w14:paraId="454B4AC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8313</w:t>
            </w:r>
          </w:p>
        </w:tc>
        <w:tc>
          <w:tcPr>
            <w:tcW w:w="1155" w:type="dxa"/>
            <w:tcBorders>
              <w:bottom w:val="single" w:sz="12" w:space="0" w:color="auto"/>
            </w:tcBorders>
          </w:tcPr>
          <w:p w14:paraId="7481232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2696</w:t>
            </w:r>
          </w:p>
        </w:tc>
        <w:tc>
          <w:tcPr>
            <w:tcW w:w="1230" w:type="dxa"/>
            <w:tcBorders>
              <w:bottom w:val="single" w:sz="12" w:space="0" w:color="auto"/>
            </w:tcBorders>
          </w:tcPr>
          <w:p w14:paraId="192EDEC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2683</w:t>
            </w:r>
          </w:p>
        </w:tc>
        <w:tc>
          <w:tcPr>
            <w:tcW w:w="900" w:type="dxa"/>
            <w:tcBorders>
              <w:bottom w:val="single" w:sz="12" w:space="0" w:color="auto"/>
            </w:tcBorders>
          </w:tcPr>
          <w:p w14:paraId="3625F82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2934</w:t>
            </w:r>
          </w:p>
        </w:tc>
      </w:tr>
    </w:tbl>
    <w:p w14:paraId="69A7C14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Утвердить заводам Наркомавиапрому программу выпуска авиационных моторов на 1 квартал 1944 года в следующих количествах:</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185"/>
        <w:gridCol w:w="3420"/>
        <w:gridCol w:w="1665"/>
        <w:gridCol w:w="1155"/>
        <w:gridCol w:w="1230"/>
        <w:gridCol w:w="900"/>
      </w:tblGrid>
      <w:tr w:rsidR="006331D6" w:rsidRPr="007224C3" w14:paraId="120945CC" w14:textId="77777777" w:rsidTr="003712D9">
        <w:trPr>
          <w:jc w:val="center"/>
        </w:trPr>
        <w:tc>
          <w:tcPr>
            <w:tcW w:w="1185" w:type="dxa"/>
            <w:tcBorders>
              <w:top w:val="single" w:sz="12" w:space="0" w:color="auto"/>
            </w:tcBorders>
          </w:tcPr>
          <w:p w14:paraId="63AEA79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заводов</w:t>
            </w:r>
          </w:p>
        </w:tc>
        <w:tc>
          <w:tcPr>
            <w:tcW w:w="3420" w:type="dxa"/>
            <w:tcBorders>
              <w:top w:val="single" w:sz="12" w:space="0" w:color="auto"/>
            </w:tcBorders>
          </w:tcPr>
          <w:p w14:paraId="3E60542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Тип мотора</w:t>
            </w:r>
          </w:p>
        </w:tc>
        <w:tc>
          <w:tcPr>
            <w:tcW w:w="1665" w:type="dxa"/>
            <w:tcBorders>
              <w:top w:val="single" w:sz="12" w:space="0" w:color="auto"/>
            </w:tcBorders>
          </w:tcPr>
          <w:p w14:paraId="10891F2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 на квартал</w:t>
            </w:r>
          </w:p>
        </w:tc>
        <w:tc>
          <w:tcPr>
            <w:tcW w:w="1155" w:type="dxa"/>
            <w:gridSpan w:val="3"/>
            <w:tcBorders>
              <w:top w:val="single" w:sz="12" w:space="0" w:color="auto"/>
            </w:tcBorders>
          </w:tcPr>
          <w:p w14:paraId="777D03D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месяцам</w:t>
            </w:r>
          </w:p>
        </w:tc>
      </w:tr>
      <w:tr w:rsidR="006331D6" w:rsidRPr="007224C3" w14:paraId="45E646CD" w14:textId="77777777">
        <w:trPr>
          <w:jc w:val="center"/>
        </w:trPr>
        <w:tc>
          <w:tcPr>
            <w:tcW w:w="1185" w:type="dxa"/>
          </w:tcPr>
          <w:p w14:paraId="08C74BC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3420" w:type="dxa"/>
          </w:tcPr>
          <w:p w14:paraId="60B39CC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665" w:type="dxa"/>
          </w:tcPr>
          <w:p w14:paraId="6592B66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155" w:type="dxa"/>
          </w:tcPr>
          <w:p w14:paraId="486BFF5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январь </w:t>
            </w:r>
          </w:p>
        </w:tc>
        <w:tc>
          <w:tcPr>
            <w:tcW w:w="1230" w:type="dxa"/>
          </w:tcPr>
          <w:p w14:paraId="722F340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февраль </w:t>
            </w:r>
          </w:p>
        </w:tc>
        <w:tc>
          <w:tcPr>
            <w:tcW w:w="900" w:type="dxa"/>
          </w:tcPr>
          <w:p w14:paraId="17EBA35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март</w:t>
            </w:r>
          </w:p>
        </w:tc>
      </w:tr>
      <w:tr w:rsidR="006331D6" w:rsidRPr="007224C3" w14:paraId="2739693D" w14:textId="77777777">
        <w:trPr>
          <w:jc w:val="center"/>
        </w:trPr>
        <w:tc>
          <w:tcPr>
            <w:tcW w:w="1185" w:type="dxa"/>
          </w:tcPr>
          <w:p w14:paraId="2E370C8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w:t>
            </w:r>
          </w:p>
        </w:tc>
        <w:tc>
          <w:tcPr>
            <w:tcW w:w="3420" w:type="dxa"/>
          </w:tcPr>
          <w:p w14:paraId="10E859A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М-105ПФ</w:t>
            </w:r>
          </w:p>
        </w:tc>
        <w:tc>
          <w:tcPr>
            <w:tcW w:w="1665" w:type="dxa"/>
          </w:tcPr>
          <w:p w14:paraId="3CC447D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1368</w:t>
            </w:r>
          </w:p>
        </w:tc>
        <w:tc>
          <w:tcPr>
            <w:tcW w:w="1155" w:type="dxa"/>
          </w:tcPr>
          <w:p w14:paraId="5105CE3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432</w:t>
            </w:r>
          </w:p>
        </w:tc>
        <w:tc>
          <w:tcPr>
            <w:tcW w:w="1230" w:type="dxa"/>
          </w:tcPr>
          <w:p w14:paraId="66C4E12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450</w:t>
            </w:r>
          </w:p>
        </w:tc>
        <w:tc>
          <w:tcPr>
            <w:tcW w:w="900" w:type="dxa"/>
          </w:tcPr>
          <w:p w14:paraId="29FE98D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486</w:t>
            </w:r>
          </w:p>
        </w:tc>
      </w:tr>
      <w:tr w:rsidR="006331D6" w:rsidRPr="007224C3" w14:paraId="74E727DE" w14:textId="77777777">
        <w:trPr>
          <w:jc w:val="center"/>
        </w:trPr>
        <w:tc>
          <w:tcPr>
            <w:tcW w:w="1185" w:type="dxa"/>
          </w:tcPr>
          <w:p w14:paraId="6086FE6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w:t>
            </w:r>
          </w:p>
        </w:tc>
        <w:tc>
          <w:tcPr>
            <w:tcW w:w="3420" w:type="dxa"/>
          </w:tcPr>
          <w:p w14:paraId="35DBC7C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М-82ФН</w:t>
            </w:r>
          </w:p>
        </w:tc>
        <w:tc>
          <w:tcPr>
            <w:tcW w:w="1665" w:type="dxa"/>
          </w:tcPr>
          <w:p w14:paraId="4B8C2D3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1047</w:t>
            </w:r>
          </w:p>
        </w:tc>
        <w:tc>
          <w:tcPr>
            <w:tcW w:w="1155" w:type="dxa"/>
          </w:tcPr>
          <w:p w14:paraId="5BB007A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285</w:t>
            </w:r>
          </w:p>
        </w:tc>
        <w:tc>
          <w:tcPr>
            <w:tcW w:w="1230" w:type="dxa"/>
          </w:tcPr>
          <w:p w14:paraId="0B2255A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340</w:t>
            </w:r>
          </w:p>
        </w:tc>
        <w:tc>
          <w:tcPr>
            <w:tcW w:w="900" w:type="dxa"/>
          </w:tcPr>
          <w:p w14:paraId="3F3BD1A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422</w:t>
            </w:r>
          </w:p>
        </w:tc>
      </w:tr>
      <w:tr w:rsidR="006331D6" w:rsidRPr="007224C3" w14:paraId="47693239" w14:textId="77777777">
        <w:trPr>
          <w:jc w:val="center"/>
        </w:trPr>
        <w:tc>
          <w:tcPr>
            <w:tcW w:w="1185" w:type="dxa"/>
          </w:tcPr>
          <w:p w14:paraId="62F169E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w:t>
            </w:r>
          </w:p>
        </w:tc>
        <w:tc>
          <w:tcPr>
            <w:tcW w:w="3420" w:type="dxa"/>
          </w:tcPr>
          <w:p w14:paraId="6279BA1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М-82Ф</w:t>
            </w:r>
          </w:p>
        </w:tc>
        <w:tc>
          <w:tcPr>
            <w:tcW w:w="1665" w:type="dxa"/>
          </w:tcPr>
          <w:p w14:paraId="72E4A3A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768</w:t>
            </w:r>
          </w:p>
        </w:tc>
        <w:tc>
          <w:tcPr>
            <w:tcW w:w="1155" w:type="dxa"/>
          </w:tcPr>
          <w:p w14:paraId="4867FAD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275</w:t>
            </w:r>
          </w:p>
        </w:tc>
        <w:tc>
          <w:tcPr>
            <w:tcW w:w="1230" w:type="dxa"/>
          </w:tcPr>
          <w:p w14:paraId="580EDF9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250</w:t>
            </w:r>
          </w:p>
        </w:tc>
        <w:tc>
          <w:tcPr>
            <w:tcW w:w="900" w:type="dxa"/>
          </w:tcPr>
          <w:p w14:paraId="4DA4D41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243</w:t>
            </w:r>
          </w:p>
        </w:tc>
      </w:tr>
      <w:tr w:rsidR="006331D6" w:rsidRPr="007224C3" w14:paraId="07D4FE45" w14:textId="77777777">
        <w:trPr>
          <w:jc w:val="center"/>
        </w:trPr>
        <w:tc>
          <w:tcPr>
            <w:tcW w:w="1185" w:type="dxa"/>
          </w:tcPr>
          <w:p w14:paraId="29B8939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w:t>
            </w:r>
          </w:p>
        </w:tc>
        <w:tc>
          <w:tcPr>
            <w:tcW w:w="3420" w:type="dxa"/>
          </w:tcPr>
          <w:p w14:paraId="2901F9D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М-62ИР</w:t>
            </w:r>
          </w:p>
        </w:tc>
        <w:tc>
          <w:tcPr>
            <w:tcW w:w="1665" w:type="dxa"/>
          </w:tcPr>
          <w:p w14:paraId="4BDB8B7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385</w:t>
            </w:r>
          </w:p>
        </w:tc>
        <w:tc>
          <w:tcPr>
            <w:tcW w:w="1155" w:type="dxa"/>
          </w:tcPr>
          <w:p w14:paraId="408261E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125</w:t>
            </w:r>
          </w:p>
        </w:tc>
        <w:tc>
          <w:tcPr>
            <w:tcW w:w="1230" w:type="dxa"/>
          </w:tcPr>
          <w:p w14:paraId="64F360B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125</w:t>
            </w:r>
          </w:p>
        </w:tc>
        <w:tc>
          <w:tcPr>
            <w:tcW w:w="900" w:type="dxa"/>
          </w:tcPr>
          <w:p w14:paraId="67D23F5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135</w:t>
            </w:r>
          </w:p>
        </w:tc>
      </w:tr>
      <w:tr w:rsidR="006331D6" w:rsidRPr="007224C3" w14:paraId="133FDE79" w14:textId="77777777">
        <w:trPr>
          <w:jc w:val="center"/>
        </w:trPr>
        <w:tc>
          <w:tcPr>
            <w:tcW w:w="1185" w:type="dxa"/>
          </w:tcPr>
          <w:p w14:paraId="112B54B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w:t>
            </w:r>
          </w:p>
        </w:tc>
        <w:tc>
          <w:tcPr>
            <w:tcW w:w="3420" w:type="dxa"/>
          </w:tcPr>
          <w:p w14:paraId="465EAEE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АМ-38Ф</w:t>
            </w:r>
          </w:p>
        </w:tc>
        <w:tc>
          <w:tcPr>
            <w:tcW w:w="1665" w:type="dxa"/>
          </w:tcPr>
          <w:p w14:paraId="396992E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2745</w:t>
            </w:r>
          </w:p>
        </w:tc>
        <w:tc>
          <w:tcPr>
            <w:tcW w:w="1155" w:type="dxa"/>
          </w:tcPr>
          <w:p w14:paraId="2234F1A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900</w:t>
            </w:r>
          </w:p>
        </w:tc>
        <w:tc>
          <w:tcPr>
            <w:tcW w:w="1230" w:type="dxa"/>
          </w:tcPr>
          <w:p w14:paraId="642819D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900</w:t>
            </w:r>
          </w:p>
        </w:tc>
        <w:tc>
          <w:tcPr>
            <w:tcW w:w="900" w:type="dxa"/>
          </w:tcPr>
          <w:p w14:paraId="71743C7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945</w:t>
            </w:r>
          </w:p>
        </w:tc>
      </w:tr>
      <w:tr w:rsidR="006331D6" w:rsidRPr="007224C3" w14:paraId="6F9C22F3" w14:textId="77777777">
        <w:trPr>
          <w:jc w:val="center"/>
        </w:trPr>
        <w:tc>
          <w:tcPr>
            <w:tcW w:w="1185" w:type="dxa"/>
          </w:tcPr>
          <w:p w14:paraId="1446819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w:t>
            </w:r>
          </w:p>
        </w:tc>
        <w:tc>
          <w:tcPr>
            <w:tcW w:w="3420" w:type="dxa"/>
          </w:tcPr>
          <w:p w14:paraId="6FE5D86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АМ-42</w:t>
            </w:r>
          </w:p>
        </w:tc>
        <w:tc>
          <w:tcPr>
            <w:tcW w:w="1665" w:type="dxa"/>
          </w:tcPr>
          <w:p w14:paraId="5FAB550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105</w:t>
            </w:r>
          </w:p>
        </w:tc>
        <w:tc>
          <w:tcPr>
            <w:tcW w:w="1155" w:type="dxa"/>
          </w:tcPr>
          <w:p w14:paraId="4AEB0D7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w:t>
            </w:r>
          </w:p>
        </w:tc>
        <w:tc>
          <w:tcPr>
            <w:tcW w:w="1230" w:type="dxa"/>
          </w:tcPr>
          <w:p w14:paraId="3670997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w:t>
            </w:r>
          </w:p>
        </w:tc>
        <w:tc>
          <w:tcPr>
            <w:tcW w:w="900" w:type="dxa"/>
          </w:tcPr>
          <w:p w14:paraId="18BB96F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w:t>
            </w:r>
          </w:p>
        </w:tc>
      </w:tr>
      <w:tr w:rsidR="006331D6" w:rsidRPr="007224C3" w14:paraId="0E90BF6E" w14:textId="77777777">
        <w:trPr>
          <w:jc w:val="center"/>
        </w:trPr>
        <w:tc>
          <w:tcPr>
            <w:tcW w:w="1185" w:type="dxa"/>
          </w:tcPr>
          <w:p w14:paraId="53F5C99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w:t>
            </w:r>
          </w:p>
        </w:tc>
        <w:tc>
          <w:tcPr>
            <w:tcW w:w="3420" w:type="dxa"/>
          </w:tcPr>
          <w:p w14:paraId="1742EBA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АМ-35А</w:t>
            </w:r>
          </w:p>
        </w:tc>
        <w:tc>
          <w:tcPr>
            <w:tcW w:w="1665" w:type="dxa"/>
          </w:tcPr>
          <w:p w14:paraId="7D56A0E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w:t>
            </w:r>
          </w:p>
        </w:tc>
        <w:tc>
          <w:tcPr>
            <w:tcW w:w="1155" w:type="dxa"/>
          </w:tcPr>
          <w:p w14:paraId="7F66E1A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w:t>
            </w:r>
          </w:p>
        </w:tc>
        <w:tc>
          <w:tcPr>
            <w:tcW w:w="1230" w:type="dxa"/>
          </w:tcPr>
          <w:p w14:paraId="28ECB97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w:t>
            </w:r>
          </w:p>
        </w:tc>
        <w:tc>
          <w:tcPr>
            <w:tcW w:w="900" w:type="dxa"/>
          </w:tcPr>
          <w:p w14:paraId="1C94ABD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w:t>
            </w:r>
          </w:p>
        </w:tc>
      </w:tr>
      <w:tr w:rsidR="006331D6" w:rsidRPr="007224C3" w14:paraId="5F3264A0" w14:textId="77777777">
        <w:trPr>
          <w:jc w:val="center"/>
        </w:trPr>
        <w:tc>
          <w:tcPr>
            <w:tcW w:w="1185" w:type="dxa"/>
          </w:tcPr>
          <w:p w14:paraId="620CA98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w:t>
            </w:r>
          </w:p>
        </w:tc>
        <w:tc>
          <w:tcPr>
            <w:tcW w:w="3420" w:type="dxa"/>
          </w:tcPr>
          <w:p w14:paraId="1ACFFC8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М-105Ф</w:t>
            </w:r>
          </w:p>
        </w:tc>
        <w:tc>
          <w:tcPr>
            <w:tcW w:w="1665" w:type="dxa"/>
          </w:tcPr>
          <w:p w14:paraId="38179D2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2.730</w:t>
            </w:r>
          </w:p>
        </w:tc>
        <w:tc>
          <w:tcPr>
            <w:tcW w:w="1155" w:type="dxa"/>
          </w:tcPr>
          <w:p w14:paraId="7CF4163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900</w:t>
            </w:r>
          </w:p>
        </w:tc>
        <w:tc>
          <w:tcPr>
            <w:tcW w:w="1230" w:type="dxa"/>
          </w:tcPr>
          <w:p w14:paraId="3B0609C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900</w:t>
            </w:r>
          </w:p>
        </w:tc>
        <w:tc>
          <w:tcPr>
            <w:tcW w:w="900" w:type="dxa"/>
          </w:tcPr>
          <w:p w14:paraId="71B245F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930</w:t>
            </w:r>
          </w:p>
        </w:tc>
      </w:tr>
      <w:tr w:rsidR="006331D6" w:rsidRPr="007224C3" w14:paraId="39780E76" w14:textId="77777777">
        <w:trPr>
          <w:jc w:val="center"/>
        </w:trPr>
        <w:tc>
          <w:tcPr>
            <w:tcW w:w="1185" w:type="dxa"/>
          </w:tcPr>
          <w:p w14:paraId="2B4B36F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w:t>
            </w:r>
          </w:p>
        </w:tc>
        <w:tc>
          <w:tcPr>
            <w:tcW w:w="3420" w:type="dxa"/>
          </w:tcPr>
          <w:p w14:paraId="7F87E68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М-107А</w:t>
            </w:r>
          </w:p>
        </w:tc>
        <w:tc>
          <w:tcPr>
            <w:tcW w:w="1665" w:type="dxa"/>
          </w:tcPr>
          <w:p w14:paraId="1BA402F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370</w:t>
            </w:r>
          </w:p>
        </w:tc>
        <w:tc>
          <w:tcPr>
            <w:tcW w:w="1155" w:type="dxa"/>
          </w:tcPr>
          <w:p w14:paraId="7E11A40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w:t>
            </w:r>
          </w:p>
        </w:tc>
        <w:tc>
          <w:tcPr>
            <w:tcW w:w="1230" w:type="dxa"/>
          </w:tcPr>
          <w:p w14:paraId="05CF720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120</w:t>
            </w:r>
          </w:p>
        </w:tc>
        <w:tc>
          <w:tcPr>
            <w:tcW w:w="900" w:type="dxa"/>
          </w:tcPr>
          <w:p w14:paraId="025607D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150</w:t>
            </w:r>
          </w:p>
        </w:tc>
      </w:tr>
      <w:tr w:rsidR="006331D6" w:rsidRPr="007224C3" w14:paraId="3D95521D" w14:textId="77777777">
        <w:trPr>
          <w:jc w:val="center"/>
        </w:trPr>
        <w:tc>
          <w:tcPr>
            <w:tcW w:w="1185" w:type="dxa"/>
          </w:tcPr>
          <w:p w14:paraId="4DCF9DA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w:t>
            </w:r>
          </w:p>
        </w:tc>
        <w:tc>
          <w:tcPr>
            <w:tcW w:w="3420" w:type="dxa"/>
          </w:tcPr>
          <w:p w14:paraId="30E0303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М-82ФН</w:t>
            </w:r>
          </w:p>
        </w:tc>
        <w:tc>
          <w:tcPr>
            <w:tcW w:w="1665" w:type="dxa"/>
          </w:tcPr>
          <w:p w14:paraId="23A777D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157</w:t>
            </w:r>
          </w:p>
        </w:tc>
        <w:tc>
          <w:tcPr>
            <w:tcW w:w="1155" w:type="dxa"/>
          </w:tcPr>
          <w:p w14:paraId="6AAC56B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32</w:t>
            </w:r>
          </w:p>
        </w:tc>
        <w:tc>
          <w:tcPr>
            <w:tcW w:w="1230" w:type="dxa"/>
          </w:tcPr>
          <w:p w14:paraId="70881A8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w:t>
            </w:r>
          </w:p>
        </w:tc>
        <w:tc>
          <w:tcPr>
            <w:tcW w:w="900" w:type="dxa"/>
          </w:tcPr>
          <w:p w14:paraId="306F6C2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75</w:t>
            </w:r>
          </w:p>
        </w:tc>
      </w:tr>
      <w:tr w:rsidR="006331D6" w:rsidRPr="007224C3" w14:paraId="6968C2D5" w14:textId="77777777">
        <w:trPr>
          <w:jc w:val="center"/>
        </w:trPr>
        <w:tc>
          <w:tcPr>
            <w:tcW w:w="1185" w:type="dxa"/>
          </w:tcPr>
          <w:p w14:paraId="247BE79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w:t>
            </w:r>
          </w:p>
        </w:tc>
        <w:tc>
          <w:tcPr>
            <w:tcW w:w="3420" w:type="dxa"/>
          </w:tcPr>
          <w:p w14:paraId="4071845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М-88Б</w:t>
            </w:r>
          </w:p>
        </w:tc>
        <w:tc>
          <w:tcPr>
            <w:tcW w:w="1665" w:type="dxa"/>
          </w:tcPr>
          <w:p w14:paraId="5DF0008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690</w:t>
            </w:r>
          </w:p>
        </w:tc>
        <w:tc>
          <w:tcPr>
            <w:tcW w:w="1155" w:type="dxa"/>
          </w:tcPr>
          <w:p w14:paraId="5B51614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250</w:t>
            </w:r>
          </w:p>
        </w:tc>
        <w:tc>
          <w:tcPr>
            <w:tcW w:w="1230" w:type="dxa"/>
          </w:tcPr>
          <w:p w14:paraId="5C0EEFD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220</w:t>
            </w:r>
          </w:p>
        </w:tc>
        <w:tc>
          <w:tcPr>
            <w:tcW w:w="900" w:type="dxa"/>
          </w:tcPr>
          <w:p w14:paraId="4414B4C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220</w:t>
            </w:r>
          </w:p>
        </w:tc>
      </w:tr>
      <w:tr w:rsidR="006331D6" w:rsidRPr="007224C3" w14:paraId="7D0C02BC" w14:textId="77777777">
        <w:trPr>
          <w:jc w:val="center"/>
        </w:trPr>
        <w:tc>
          <w:tcPr>
            <w:tcW w:w="1185" w:type="dxa"/>
          </w:tcPr>
          <w:p w14:paraId="7307659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36</w:t>
            </w:r>
          </w:p>
        </w:tc>
        <w:tc>
          <w:tcPr>
            <w:tcW w:w="3420" w:type="dxa"/>
          </w:tcPr>
          <w:p w14:paraId="7DD0D6C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М-62ИР</w:t>
            </w:r>
          </w:p>
        </w:tc>
        <w:tc>
          <w:tcPr>
            <w:tcW w:w="1665" w:type="dxa"/>
          </w:tcPr>
          <w:p w14:paraId="4FCD500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w:t>
            </w:r>
          </w:p>
        </w:tc>
        <w:tc>
          <w:tcPr>
            <w:tcW w:w="1155" w:type="dxa"/>
          </w:tcPr>
          <w:p w14:paraId="12835F5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_.</w:t>
            </w:r>
          </w:p>
        </w:tc>
        <w:tc>
          <w:tcPr>
            <w:tcW w:w="1230" w:type="dxa"/>
          </w:tcPr>
          <w:p w14:paraId="54ECE3F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_</w:t>
            </w:r>
          </w:p>
        </w:tc>
        <w:tc>
          <w:tcPr>
            <w:tcW w:w="900" w:type="dxa"/>
          </w:tcPr>
          <w:p w14:paraId="1EF3763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w:t>
            </w:r>
          </w:p>
        </w:tc>
      </w:tr>
      <w:tr w:rsidR="006331D6" w:rsidRPr="007224C3" w14:paraId="23DBB58F" w14:textId="77777777">
        <w:trPr>
          <w:jc w:val="center"/>
        </w:trPr>
        <w:tc>
          <w:tcPr>
            <w:tcW w:w="1185" w:type="dxa"/>
          </w:tcPr>
          <w:p w14:paraId="50D1DAC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41</w:t>
            </w:r>
          </w:p>
        </w:tc>
        <w:tc>
          <w:tcPr>
            <w:tcW w:w="3420" w:type="dxa"/>
          </w:tcPr>
          <w:p w14:paraId="1DC4226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М-11</w:t>
            </w:r>
          </w:p>
        </w:tc>
        <w:tc>
          <w:tcPr>
            <w:tcW w:w="1665" w:type="dxa"/>
          </w:tcPr>
          <w:p w14:paraId="0869604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682</w:t>
            </w:r>
          </w:p>
        </w:tc>
        <w:tc>
          <w:tcPr>
            <w:tcW w:w="1155" w:type="dxa"/>
          </w:tcPr>
          <w:p w14:paraId="4DA0465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207</w:t>
            </w:r>
          </w:p>
        </w:tc>
        <w:tc>
          <w:tcPr>
            <w:tcW w:w="1230" w:type="dxa"/>
          </w:tcPr>
          <w:p w14:paraId="18B80FD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225</w:t>
            </w:r>
          </w:p>
        </w:tc>
        <w:tc>
          <w:tcPr>
            <w:tcW w:w="900" w:type="dxa"/>
          </w:tcPr>
          <w:p w14:paraId="68446B7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250</w:t>
            </w:r>
          </w:p>
        </w:tc>
      </w:tr>
      <w:tr w:rsidR="006331D6" w:rsidRPr="007224C3" w14:paraId="7F5BADA2" w14:textId="77777777">
        <w:trPr>
          <w:jc w:val="center"/>
        </w:trPr>
        <w:tc>
          <w:tcPr>
            <w:tcW w:w="1185" w:type="dxa"/>
          </w:tcPr>
          <w:p w14:paraId="3ED0F60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w:t>
            </w:r>
          </w:p>
        </w:tc>
        <w:tc>
          <w:tcPr>
            <w:tcW w:w="3420" w:type="dxa"/>
          </w:tcPr>
          <w:p w14:paraId="717C5F6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АМ-38Ф</w:t>
            </w:r>
          </w:p>
        </w:tc>
        <w:tc>
          <w:tcPr>
            <w:tcW w:w="1665" w:type="dxa"/>
          </w:tcPr>
          <w:p w14:paraId="4B642CC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1115</w:t>
            </w:r>
          </w:p>
        </w:tc>
        <w:tc>
          <w:tcPr>
            <w:tcW w:w="1155" w:type="dxa"/>
          </w:tcPr>
          <w:p w14:paraId="5D17E4E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350</w:t>
            </w:r>
          </w:p>
        </w:tc>
        <w:tc>
          <w:tcPr>
            <w:tcW w:w="1230" w:type="dxa"/>
          </w:tcPr>
          <w:p w14:paraId="78B64F3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360</w:t>
            </w:r>
          </w:p>
        </w:tc>
        <w:tc>
          <w:tcPr>
            <w:tcW w:w="900" w:type="dxa"/>
          </w:tcPr>
          <w:p w14:paraId="050A834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405</w:t>
            </w:r>
          </w:p>
        </w:tc>
      </w:tr>
      <w:tr w:rsidR="006331D6" w:rsidRPr="007224C3" w14:paraId="6C71090A" w14:textId="77777777">
        <w:trPr>
          <w:jc w:val="center"/>
        </w:trPr>
        <w:tc>
          <w:tcPr>
            <w:tcW w:w="1185" w:type="dxa"/>
          </w:tcPr>
          <w:p w14:paraId="7B21147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154</w:t>
            </w:r>
          </w:p>
        </w:tc>
        <w:tc>
          <w:tcPr>
            <w:tcW w:w="3420" w:type="dxa"/>
          </w:tcPr>
          <w:p w14:paraId="3F19FEC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М-11</w:t>
            </w:r>
          </w:p>
        </w:tc>
        <w:tc>
          <w:tcPr>
            <w:tcW w:w="1665" w:type="dxa"/>
          </w:tcPr>
          <w:p w14:paraId="6350F0E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1232</w:t>
            </w:r>
          </w:p>
        </w:tc>
        <w:tc>
          <w:tcPr>
            <w:tcW w:w="1155" w:type="dxa"/>
          </w:tcPr>
          <w:p w14:paraId="33361C5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400</w:t>
            </w:r>
          </w:p>
        </w:tc>
        <w:tc>
          <w:tcPr>
            <w:tcW w:w="1230" w:type="dxa"/>
          </w:tcPr>
          <w:p w14:paraId="3DE91FD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400</w:t>
            </w:r>
          </w:p>
        </w:tc>
        <w:tc>
          <w:tcPr>
            <w:tcW w:w="900" w:type="dxa"/>
          </w:tcPr>
          <w:p w14:paraId="3376B7A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432</w:t>
            </w:r>
          </w:p>
        </w:tc>
      </w:tr>
      <w:tr w:rsidR="006331D6" w:rsidRPr="007224C3" w14:paraId="2101BCDE" w14:textId="77777777">
        <w:trPr>
          <w:jc w:val="center"/>
        </w:trPr>
        <w:tc>
          <w:tcPr>
            <w:tcW w:w="1185" w:type="dxa"/>
          </w:tcPr>
          <w:p w14:paraId="4774B06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466</w:t>
            </w:r>
          </w:p>
        </w:tc>
        <w:tc>
          <w:tcPr>
            <w:tcW w:w="3420" w:type="dxa"/>
          </w:tcPr>
          <w:p w14:paraId="629F5AD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М-105ПФ</w:t>
            </w:r>
          </w:p>
        </w:tc>
        <w:tc>
          <w:tcPr>
            <w:tcW w:w="1665" w:type="dxa"/>
          </w:tcPr>
          <w:p w14:paraId="166DEA7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850</w:t>
            </w:r>
          </w:p>
        </w:tc>
        <w:tc>
          <w:tcPr>
            <w:tcW w:w="1155" w:type="dxa"/>
          </w:tcPr>
          <w:p w14:paraId="11C9903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260</w:t>
            </w:r>
          </w:p>
        </w:tc>
        <w:tc>
          <w:tcPr>
            <w:tcW w:w="1230" w:type="dxa"/>
          </w:tcPr>
          <w:p w14:paraId="7CAE101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275</w:t>
            </w:r>
          </w:p>
        </w:tc>
        <w:tc>
          <w:tcPr>
            <w:tcW w:w="900" w:type="dxa"/>
          </w:tcPr>
          <w:p w14:paraId="3CABAC6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315</w:t>
            </w:r>
          </w:p>
        </w:tc>
      </w:tr>
      <w:tr w:rsidR="006331D6" w:rsidRPr="007224C3" w14:paraId="7719126E" w14:textId="77777777">
        <w:trPr>
          <w:jc w:val="center"/>
        </w:trPr>
        <w:tc>
          <w:tcPr>
            <w:tcW w:w="1185" w:type="dxa"/>
          </w:tcPr>
          <w:p w14:paraId="5AB7552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500</w:t>
            </w:r>
          </w:p>
        </w:tc>
        <w:tc>
          <w:tcPr>
            <w:tcW w:w="3420" w:type="dxa"/>
          </w:tcPr>
          <w:p w14:paraId="4649D3F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М-30б</w:t>
            </w:r>
          </w:p>
        </w:tc>
        <w:tc>
          <w:tcPr>
            <w:tcW w:w="1665" w:type="dxa"/>
          </w:tcPr>
          <w:p w14:paraId="19548F2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105</w:t>
            </w:r>
          </w:p>
        </w:tc>
        <w:tc>
          <w:tcPr>
            <w:tcW w:w="1155" w:type="dxa"/>
          </w:tcPr>
          <w:p w14:paraId="5C05AE4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w:t>
            </w:r>
          </w:p>
        </w:tc>
        <w:tc>
          <w:tcPr>
            <w:tcW w:w="1230" w:type="dxa"/>
          </w:tcPr>
          <w:p w14:paraId="60FAC59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35</w:t>
            </w:r>
          </w:p>
        </w:tc>
        <w:tc>
          <w:tcPr>
            <w:tcW w:w="900" w:type="dxa"/>
          </w:tcPr>
          <w:p w14:paraId="0F7ADA6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w:t>
            </w:r>
          </w:p>
        </w:tc>
      </w:tr>
      <w:tr w:rsidR="006331D6" w:rsidRPr="007224C3" w14:paraId="44CCEB4E" w14:textId="77777777">
        <w:trPr>
          <w:jc w:val="center"/>
        </w:trPr>
        <w:tc>
          <w:tcPr>
            <w:tcW w:w="1185" w:type="dxa"/>
            <w:tcBorders>
              <w:bottom w:val="single" w:sz="12" w:space="0" w:color="auto"/>
            </w:tcBorders>
          </w:tcPr>
          <w:p w14:paraId="17E4F99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3420" w:type="dxa"/>
            <w:tcBorders>
              <w:bottom w:val="single" w:sz="12" w:space="0" w:color="auto"/>
            </w:tcBorders>
          </w:tcPr>
          <w:p w14:paraId="464760B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 моторов</w:t>
            </w:r>
          </w:p>
        </w:tc>
        <w:tc>
          <w:tcPr>
            <w:tcW w:w="1665" w:type="dxa"/>
            <w:tcBorders>
              <w:bottom w:val="single" w:sz="12" w:space="0" w:color="auto"/>
            </w:tcBorders>
          </w:tcPr>
          <w:p w14:paraId="3B56C81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14404</w:t>
            </w:r>
          </w:p>
        </w:tc>
        <w:tc>
          <w:tcPr>
            <w:tcW w:w="1155" w:type="dxa"/>
            <w:tcBorders>
              <w:bottom w:val="single" w:sz="12" w:space="0" w:color="auto"/>
            </w:tcBorders>
          </w:tcPr>
          <w:p w14:paraId="0B46F24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4576</w:t>
            </w:r>
          </w:p>
        </w:tc>
        <w:tc>
          <w:tcPr>
            <w:tcW w:w="1230" w:type="dxa"/>
            <w:tcBorders>
              <w:bottom w:val="single" w:sz="12" w:space="0" w:color="auto"/>
            </w:tcBorders>
          </w:tcPr>
          <w:p w14:paraId="3BC8373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4695</w:t>
            </w:r>
          </w:p>
        </w:tc>
        <w:tc>
          <w:tcPr>
            <w:tcW w:w="900" w:type="dxa"/>
            <w:tcBorders>
              <w:bottom w:val="single" w:sz="12" w:space="0" w:color="auto"/>
            </w:tcBorders>
          </w:tcPr>
          <w:p w14:paraId="0AFA70F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5133</w:t>
            </w:r>
          </w:p>
        </w:tc>
      </w:tr>
    </w:tbl>
    <w:p w14:paraId="046BE9E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ПРЕДСЕДАТЕЛЬ ГОСУДАРСТВЕННОГО КОМИТЕТА ОБОРОНЫ – И.В. Сталин (11813).</w:t>
      </w:r>
    </w:p>
    <w:p w14:paraId="3AF9F3B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Товарищу СТАЛИНУ</w:t>
      </w:r>
    </w:p>
    <w:p w14:paraId="2207FD1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Представляем на Ваше рассмотрение проект постановления Государственного Комитета Обороны о плане производства самолётов и авиамоторов на первый квартал 1944 года. </w:t>
      </w:r>
    </w:p>
    <w:p w14:paraId="2786138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первом квартале предусматривается выпуск 9.886 самолётов, в том числе боевых - 8.313 и авиационных моторов - 14.404 штук. Производство самолётов в первом квартале предполагается сохранить на уровне фактического выпуска в четвертом квартале; авиационных моторов намечено выпустить на 625 штук больше, чем в I четвертом квартале.</w:t>
      </w:r>
    </w:p>
    <w:p w14:paraId="5DA7312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Характерной особенностью первого квартала является перевод большинства основных авиационных заводов на выпуск новых или модернизированных боевых самолётов и моторов для них:</w:t>
      </w:r>
    </w:p>
    <w:p w14:paraId="72147CB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 292 в Саратове внедряет в производство новый истребитель Як-3, вместо выпускаемого Як-1.</w:t>
      </w:r>
    </w:p>
    <w:p w14:paraId="1701DF3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Заводы № 21 в Горьком и № 381 в Москве переходят на выпуск облегченного истребителя Ла-5 с металлическими лонжеронами, вместо деревянных.</w:t>
      </w:r>
    </w:p>
    <w:p w14:paraId="3DDBF26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Заводы № 82 в Москве и № 166 в г. Омске переводятся на производство новых истребителей Як-9 с новым мотором М-107А, вместо истребителей Як-7 и Як-9 с мотором М-105ПФ.</w:t>
      </w:r>
    </w:p>
    <w:p w14:paraId="39EF3B9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 31 в Тбилиси переводится на производство новых истребителей Як-3, вместо выпускаемых Лагг-3.</w:t>
      </w:r>
    </w:p>
    <w:p w14:paraId="29CD4E4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 39 в Иркутске приступил к серийному производству бомбардировщиков Ер-2, за счет сокращения выпуска бомбардировщиков Ил-4.</w:t>
      </w:r>
    </w:p>
    <w:p w14:paraId="44416F8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 23 в Москве внедряет в серийное производство бомбардировщик Ту-2.</w:t>
      </w:r>
    </w:p>
    <w:p w14:paraId="1D61926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авиамоторном заводе № 26 в г. Уфе организуется серийное производство нового мотора М-107А.</w:t>
      </w:r>
    </w:p>
    <w:p w14:paraId="433A178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 29 в Омске внедряет в серийное производство новый для него мотор М-82ФН.</w:t>
      </w:r>
    </w:p>
    <w:p w14:paraId="26A5E3B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Перевод заводов на выпуск новых или модернизированных самолётов и моторов будет производиться без снижения достигнутого выпуска самолётов и моторов, что связано с большим напряжением работы заводов в первом квартале.</w:t>
      </w:r>
    </w:p>
    <w:p w14:paraId="451DFAD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Просим утвердить прилагаемый проект постановления ГОКО.</w:t>
      </w:r>
    </w:p>
    <w:p w14:paraId="2A2CBA4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Подпись: Маленков, Шахурин (11813).</w:t>
      </w:r>
    </w:p>
    <w:p w14:paraId="10F3547F" w14:textId="77777777" w:rsidR="00264F92" w:rsidRPr="007224C3" w:rsidRDefault="00264F92" w:rsidP="007224C3">
      <w:pPr>
        <w:autoSpaceDE w:val="0"/>
        <w:autoSpaceDN w:val="0"/>
        <w:adjustRightInd w:val="0"/>
        <w:spacing w:after="0" w:line="240" w:lineRule="auto"/>
        <w:jc w:val="both"/>
        <w:rPr>
          <w:rFonts w:ascii="Times New Roman" w:hAnsi="Times New Roman"/>
          <w:color w:val="000000" w:themeColor="text1"/>
          <w:sz w:val="16"/>
          <w:szCs w:val="16"/>
        </w:rPr>
      </w:pPr>
    </w:p>
    <w:p w14:paraId="61FD34A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января 1944 вышло Постановление ГКО № 4922 О материально-техническом обеспечении Наркомавиапрома в первом квартале 1944 г. РГАНИР, Фонд ГКО, д. 187, лл. 143-151,152-321 (11012).</w:t>
      </w:r>
    </w:p>
    <w:p w14:paraId="49DA8E9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609D041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января 1944 года на основании Постановления ГКО № 4922сс и 16 января 1944 года согласно выписки из приказа НКАП от № 24с было решено организовать в Запорожье на базе бывш. завода № 29 авиаремонтный завод.</w:t>
      </w:r>
    </w:p>
    <w:p w14:paraId="02B3641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Присвоить организованному авиаремонтному заводу № 478.</w:t>
      </w:r>
    </w:p>
    <w:p w14:paraId="3712950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24 сентября 1944 года – директор Авраменко А.К.</w:t>
      </w:r>
    </w:p>
    <w:p w14:paraId="5EEAFD0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приказу НКАП № 193с от 5 мая 1945 года на заводе № 478 было положено начало организации ОКБ, на которое возлагались функции внедрения в серийное производство авиамоторов М-88б и создание новых и модифицированных моторов. Начальником ОКБ был назначен Ивченко А.Г.</w:t>
      </w:r>
    </w:p>
    <w:p w14:paraId="77F94F0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Выпиской из приказа МАП № 25сс от 23 января 1947 года завод № 478 обязывался приступить к подготовке и выпуску в серийном производстве авиамоторов М11-ФР, прекратив производство мотоциклетного мотора М-72.</w:t>
      </w:r>
    </w:p>
    <w:p w14:paraId="3259B1C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8 мая 1947 года – директор Шубин И.М.</w:t>
      </w:r>
    </w:p>
    <w:p w14:paraId="36072C3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Адрес: УССР, Запорожье, пл. им. Шевченко</w:t>
      </w:r>
    </w:p>
    <w:p w14:paraId="4C370D0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конце 1947 года завод приступил к подготовке производства по запуску в серийные цехи вертолетных моторов воздушного охлаждения конструкции ОКБ завода АИ-26ГРФ, успешно прошедшего госиспытания в 1947 году.</w:t>
      </w:r>
    </w:p>
    <w:p w14:paraId="76FC568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основании Постановления СМ от 7 сентября 1948 года № 3761-1349сс завод обязывался организовать серийное производство по выпуску реактивных двигателей конструкции Микулина (9612).</w:t>
      </w:r>
    </w:p>
    <w:p w14:paraId="498F883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68F7C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января 1944 г. вышел приказ Наркома авиационной промышлен</w:t>
      </w:r>
      <w:r w:rsidRPr="007224C3">
        <w:rPr>
          <w:rFonts w:ascii="Times New Roman" w:hAnsi="Times New Roman"/>
          <w:color w:val="000000" w:themeColor="text1"/>
          <w:sz w:val="16"/>
          <w:szCs w:val="16"/>
        </w:rPr>
        <w:softHyphen/>
        <w:t>ности А. И. Шахурина, в котором указыва</w:t>
      </w:r>
      <w:r w:rsidRPr="007224C3">
        <w:rPr>
          <w:rFonts w:ascii="Times New Roman" w:hAnsi="Times New Roman"/>
          <w:color w:val="000000" w:themeColor="text1"/>
          <w:sz w:val="16"/>
          <w:szCs w:val="16"/>
        </w:rPr>
        <w:softHyphen/>
        <w:t>лось: «В целях развития опытных работ по геликоптерам и скорей</w:t>
      </w:r>
      <w:r w:rsidRPr="007224C3">
        <w:rPr>
          <w:rFonts w:ascii="Times New Roman" w:hAnsi="Times New Roman"/>
          <w:color w:val="000000" w:themeColor="text1"/>
          <w:sz w:val="16"/>
          <w:szCs w:val="16"/>
        </w:rPr>
        <w:softHyphen/>
        <w:t>шей доводки построенного геликоптера «Омега» приказываю:</w:t>
      </w:r>
    </w:p>
    <w:p w14:paraId="2FF557D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Начальнику 7 ГУ т. Шишкину перевести ОКБ-3 из МАИ на площадь филиала завода 381, занимаемую транспортно-эксплуата-ционной базой 11 ГУ, и организовать на этой площади самостоя</w:t>
      </w:r>
      <w:r w:rsidRPr="007224C3">
        <w:rPr>
          <w:rFonts w:ascii="Times New Roman" w:hAnsi="Times New Roman"/>
          <w:color w:val="000000" w:themeColor="text1"/>
          <w:sz w:val="16"/>
          <w:szCs w:val="16"/>
        </w:rPr>
        <w:softHyphen/>
        <w:t>тельное ОКБ первой категории по геликоптерам с соответствую</w:t>
      </w:r>
      <w:r w:rsidRPr="007224C3">
        <w:rPr>
          <w:rFonts w:ascii="Times New Roman" w:hAnsi="Times New Roman"/>
          <w:color w:val="000000" w:themeColor="text1"/>
          <w:sz w:val="16"/>
          <w:szCs w:val="16"/>
        </w:rPr>
        <w:softHyphen/>
        <w:t>щей производственной базой.</w:t>
      </w:r>
    </w:p>
    <w:p w14:paraId="7236C94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Директору завода 381 Журавлеву передать не позднее 15 ян</w:t>
      </w:r>
      <w:r w:rsidRPr="007224C3">
        <w:rPr>
          <w:rFonts w:ascii="Times New Roman" w:hAnsi="Times New Roman"/>
          <w:color w:val="000000" w:themeColor="text1"/>
          <w:sz w:val="16"/>
          <w:szCs w:val="16"/>
        </w:rPr>
        <w:softHyphen/>
        <w:t>варя 1944 года в распоряжение 7 ГУ двухэтажное производствен</w:t>
      </w:r>
      <w:r w:rsidRPr="007224C3">
        <w:rPr>
          <w:rFonts w:ascii="Times New Roman" w:hAnsi="Times New Roman"/>
          <w:color w:val="000000" w:themeColor="text1"/>
          <w:sz w:val="16"/>
          <w:szCs w:val="16"/>
        </w:rPr>
        <w:softHyphen/>
        <w:t>ное задание, здания складов и всего гаража для ОКБ-3».</w:t>
      </w:r>
    </w:p>
    <w:p w14:paraId="3AD5DA7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Этим приказом ОКБ-3 обрело свое новое место, на котором впоследствии разместился Московский вертолетный завод (10736).</w:t>
      </w:r>
    </w:p>
    <w:p w14:paraId="392B610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36E45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января 1944 г. нарком А.И.Шахурин отдал следующий приказ №19с:</w:t>
      </w:r>
    </w:p>
    <w:p w14:paraId="64E20B4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«В целях развития опытных работ по геликоптерам и скорейшей доводки построенного геликоптера «Омега» ПРИКАЗЫВАЮ:</w:t>
      </w:r>
    </w:p>
    <w:p w14:paraId="4ED6CB4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Начальнику 7 ГУ т. Шишкину перевести ОКБ-3 из МАИ на площадь филиала завода №381, занимаемую транспортно-эксплуатационной базой 11 ГУ, и организовать на этой площади самостоятельное ОКБ первой категории по геликоптерам с соответствующей производственной базой.</w:t>
      </w:r>
    </w:p>
    <w:p w14:paraId="214136A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Директору завода №381 Журавлеву и начальнику 11 ГУ Куликову передать не позднее 15.01.44 г. 7 ГУ двухэтажное производственное здание (бывшие мастерские по выпуску упаковочных ящиков. — Автор), здания складов (небольшой каменный дом с деревянным навесом. — Автор) и всего гаража для ОКБ-3».</w:t>
      </w:r>
    </w:p>
    <w:p w14:paraId="5DD9EED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 на 2-й Рыбинской улице впервые обосновались советские вертолетчики. Численность сотрудников ОКБ-3 достигла 130 человек. Героическими усилиями они собрали на новой территории вертолет 2МГ в новой модификации «Омега-II. Эта машина стала первым винтокрылым летательным аппаратом, собранным на территории будущего МВЗ им. М.Л.Миля. Только трудности военного времени помешали запустить его в серийное производство. За создание первого отечественного работоспособного вертолета И.П.Братухин и Б.Н.Юрьев удостоились Сталинской премии. Впервые такая награда досталась авиационным конструкторам за создание винтокрылой машины. Успешное завершение испытаний «Омеги» было выдающимся достижением молодого конструкторского коллектива и заложило основы всего отечественного вертолетостроения. С этого времени опытно-конструкторские и научно-исследовательские работы по вертолетной технике навсегда вошли в перечень работ Наркомата авиационной промышленности. К сожалению, выделенные в 1944 г. для ОКБ-3 помещения были не приспособлены для опытно-конструкторской работы. В них было сыро, холодно и грязно. Строить или ремонтировать вертолеты в них не позволяло слабое технологическое оборудование. Новый вертолет Г-3 пришлось строить в 1945 г. совместно с тушинским авиазаводом № 82 и рядом других предприятий-субподрядчиков, а выпуск первой опытной партии таких машин вообще разместить на только что восстановленном после оккупации киевском авиазаводе №473. Такая разбросанность территорий значительно усложняла работу конструкторского коллектива, срывала планы и сроки. Соратники Братухина с завистью смотрели на оставшиеся по другую сторону 2-й Рыбинской улицы основные производственные цеха бывшей мебельной фабрики, но там по-прежнему находился Филиал №1 завода №381 (10752).</w:t>
      </w:r>
    </w:p>
    <w:p w14:paraId="0CADAAD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7D7EEA8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января 1944 г. нарком А.И.Шахурин отдал следующий приказ №19с:</w:t>
      </w:r>
    </w:p>
    <w:p w14:paraId="08F8AF7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целях развития опытных работ по геликоптерам и скорейшей доводки построенного геликоптера «Омега» ПРИКАЗЫВАЮ:</w:t>
      </w:r>
    </w:p>
    <w:p w14:paraId="476F268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Начальнику 7 ГУ т. Шишкину перевести ОКБ-3 из МАИ на площадь филиала завода №381, занимаемую транспортно-эксплуатационной базой 11 ГУ, и организовать на этой площади самостоятельное ОКБ первой категории по геликоптерам с соответствующей производственной базой.</w:t>
      </w:r>
    </w:p>
    <w:p w14:paraId="0E26679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Директору завода №381 Журавлеву и начальнику 11 ГУ Куликову передать не позднее 15.01.44 г. 7 ГУ двухэтажное производственное здание (бывшие мастерские по выпуску упаковочных ящиков), здания складов (небольшой каменный дом с деревянным навесом. — Автор) и всего гаража для ОКБ-3».</w:t>
      </w:r>
    </w:p>
    <w:p w14:paraId="726084B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 на 2-й Рыбинской улице впервые обосновались советские вертолетчики. Численность сотрудников ОКБ-3 достигла 130 человек. Героическими усилиями они собрали на новой территории вертолет 2МГ в новой модификации «Омега-II. Эта машина стала первым винтокрылым летательным аппаратом, собранным на территории будущего МВЗ им. М.Л.Миля. Только трудности военного времени помешали запустить его в серийное производство. За создание первого отечественного работоспособного вертолета И.П.Братухин и Б.Н.Юрьев удостоились Сталинской премии. Впервые такая награда досталась авиационным конструкторам за создание винтокрылой машины.</w:t>
      </w:r>
    </w:p>
    <w:p w14:paraId="7BD116A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Успешное завершение испытаний «Омеги» было выдающимся достижением молодого конструкторского коллектива и заложило основы всего отечественного вертолетостроения. С этого времени опытно-конструкторские и научно-исследовательские работы по вертолетной технике навсегда вошли в перечень работ Наркомата авиационной промышленности.</w:t>
      </w:r>
    </w:p>
    <w:p w14:paraId="1F60111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сожалению, выделенные в 1944 г. для ОКБ-3 помещения были не приспособлены для опытно-конструкторской работы. В них было сыро, холодно и грязно. Строить или ремонтировать вертолеты в них не позволяло слабое технологическое оборудование. Новый вертолет Г-3 пришлось строить в 1945 г. совместно с тушинским авиазаводом №82 и рядом других предприятий-субподрядчиков, а выпуск первой опытной партии таких машин вообще разместить на только что восстановленном после оккупации киевском авиазаводе №473. Такая разбросанность территорий значительно усложняла работу конструкторского коллектива, срывала планы и сроки. Соратники Братухина с завистью смотрели на оставшиеся по другую сторону 2-й Рыбинской улицы основные производственные цеха бывшей мебельной фабрики, но там по-прежнему находился Филиал №1 завода №381.</w:t>
      </w:r>
    </w:p>
    <w:p w14:paraId="437D61C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Ситуация коренным образом изменилась в 1945 г. С прекращением боевых действий правительственный заказ на истребители резко упал. Вместо сотен Ла-7 завод №381 получил приказ освоить выпуск только опытной серии истребителя И-250 со смешаной силовой установкой. В то же время предприятие получило большой заказ на производство изделий ширпотреба самого разнообразного вида. В него входили: пассажирские катера, байдарки, кровати, ложки, столы, стулья, ручки, скамейки, табуретки и т.д. Все деревянные части этих изделий начали выпускать на Филиале №1 (11242).</w:t>
      </w:r>
    </w:p>
    <w:p w14:paraId="3C1CB36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341B8BC0"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1FCD1EF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B29B7E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января 1944 вышло Постановление ГКО № 4919 О плане добычи угля по Наркомуглю на I квартал 1944 года и мерах по материально-техническому обеспечению угольной промышленности. РГАНИР, Фонд ГКО, д. 187, лл. 49-77,78-108 (11012).</w:t>
      </w:r>
    </w:p>
    <w:p w14:paraId="2A801DE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10075D9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января 1944 вышло Постановление ГКО № 4920 О мероприятиях по развитию добычи природного газа и производства искусственного жидкого топлива в I квартале 1944 года. РГАНИР, Фонд ГКО, д. 187, лл. 109-115,116-129 (11012).</w:t>
      </w:r>
    </w:p>
    <w:p w14:paraId="059D3DD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7C59795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января 1944 вышло Постановление ГКО № 4921 О добыче нефти и выработке нефтепродуктов в январе и I квартале 1944 года. РГАНИР, Фонд ГКО, д. 187, лл. 130-140,141-142 (11012).</w:t>
      </w:r>
    </w:p>
    <w:p w14:paraId="0F9075C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3402A98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января 1944 вышло Постановление ГКО № 4922 О материально-техническом обеспечении Наркомавиапрома в первом квартале 1944 г. РГАНИР, Фонд ГКО, д. 187, лл. 143-151,152-321 (11012).</w:t>
      </w:r>
    </w:p>
    <w:p w14:paraId="652FA61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7004BE9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января 1944 вышло Постановление ГКО № 4923 О плане производства танков, самоходных установок, дизелей, запасных частей к ним и ремонте танков, самоходных установок и дизелей на I квартал и январь месяц 1944 года. РГАНИР, Фонд ГКО, д. 188, лл. 1-8,9-209 (11012).</w:t>
      </w:r>
    </w:p>
    <w:p w14:paraId="010F893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4C0F898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января 1944 вышло Постановление ГКО № 4924 О плане производства и поставок НКО и НКВМФ артиллерийского, минометного и стрелкового вооружения и военных приборов на январь и I квартал 1944 года. РГАНИР, Фонд ГКО, д. 188, лл. 210-244,245-347 (11012).</w:t>
      </w:r>
    </w:p>
    <w:p w14:paraId="0B1AC5C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1D220CC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января 1944 вышло Постановление ГКО № 4925 О плане производства и поставок патронов и звеньев Наркоматом вооружения в I квартале 1944 года. РГАНИР, Фонд ГКО, д. 188, лл. 348-356,357-366 (11012).</w:t>
      </w:r>
    </w:p>
    <w:p w14:paraId="3E52067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6BCDDB1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января 1944 вышло Постановление ГКО № 4926 О плане производства и поставок пулеметов-пистолетов Шпагина и ПП-43 в январе и I квартале 1944 года. РГАНИР, Фонд ГКО, д. 188, лл. 367-375,376-386 (11012).</w:t>
      </w:r>
    </w:p>
    <w:p w14:paraId="535AEA7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61E2448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января 1944 вышло Постановление ГКО № 4927 О плане производства боеприпасов в I квартале 1944 года. РГАНИР, Фонд ГКО, д. 189, лл. 1-20,21-455 (11012).</w:t>
      </w:r>
    </w:p>
    <w:p w14:paraId="406BD2B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037EE6D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января 1944 вышло Постановление ГКО № 4928 О плане производства важнейших химикатов для боеприпасов и народного хозяйства на I квартал 1944 года. РГАНИР, Фонд ГКО, д. 189, лл. 456-469,470-477 (11012).</w:t>
      </w:r>
    </w:p>
    <w:p w14:paraId="366A4FF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278BC29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января 1944 вышло Постановление ГКО № 4929 Об общем плане перевозок народнохозяйственных и воинских грузов по железнодорожному и водному транспорту на январь 1944 года. РГАНИР, Фонд ГКО, д. 189, лл. 478 (11012).</w:t>
      </w:r>
    </w:p>
    <w:p w14:paraId="37B4728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209B22FA"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января 1944 вышло Постановление ГКО № 4929 Об общем плане перевозок народнохозяйственных и воинских грузов по железнодорожному и водному транспорту на январь 1944 г. (7170, 478).</w:t>
      </w:r>
    </w:p>
    <w:p w14:paraId="7A999A8C"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1CAE2DE"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января 1944 вышло Постановление ГКО № 4930 О плане перевозок народнохозяйственных грузов по железнодорожному и водному транспорту на январь 1944 г. (7171, 1-8,9-178).</w:t>
      </w:r>
    </w:p>
    <w:p w14:paraId="0F6E6227"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8B81D41"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января 1944 вышло Распоряжение ГКО № 4931 [Об исключении бригады разграждения, занятой на строительстве объектов Ново-Тагильского завода, из списков войсковых частей и о направлении на восстановление Харьковского турбогенераторного завода 1500 военнообязанных, не годных к строевой службе.] (7172, 1).</w:t>
      </w:r>
    </w:p>
    <w:p w14:paraId="6A470B18"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28198A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января 1944 вышло Постановление ГКО № 4932 О плане распределения угля на I квартал 1944 года. РГАНИР, Фонд ГКО, д. 191, лл. 2-4,5-93 (11012).</w:t>
      </w:r>
    </w:p>
    <w:p w14:paraId="00CAC91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7E923413" w14:textId="77777777" w:rsidR="00E00646" w:rsidRPr="007224C3" w:rsidRDefault="00E00646"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11 января</w:t>
      </w:r>
      <w:r w:rsidRPr="007224C3">
        <w:rPr>
          <w:rFonts w:ascii="Times New Roman" w:hAnsi="Times New Roman"/>
          <w:color w:val="000000" w:themeColor="text1"/>
          <w:sz w:val="16"/>
          <w:szCs w:val="16"/>
        </w:rPr>
        <w:t xml:space="preserve"> в 1944 году отравление 7 человек на заводе по производству химического оружия N 148 в Дзержинске (нынешний завод "Оргстекло", Нижегородская область) при производстве ремонтных работ в цехе сточных вод. Двое рабочих погибли. Главный инженер завода - Б.П.Зверев (15006).</w:t>
      </w:r>
    </w:p>
    <w:p w14:paraId="49E4B53D" w14:textId="77777777" w:rsidR="00E00646" w:rsidRPr="007224C3" w:rsidRDefault="00E00646" w:rsidP="007224C3">
      <w:pPr>
        <w:spacing w:after="0" w:line="240" w:lineRule="auto"/>
        <w:jc w:val="both"/>
        <w:rPr>
          <w:rFonts w:ascii="Times New Roman" w:hAnsi="Times New Roman"/>
          <w:color w:val="000000" w:themeColor="text1"/>
          <w:sz w:val="16"/>
          <w:szCs w:val="16"/>
        </w:rPr>
      </w:pPr>
    </w:p>
    <w:p w14:paraId="6609BF99" w14:textId="77777777" w:rsidR="00DF6978"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1F0833A4" w14:textId="77777777" w:rsidR="00264F92" w:rsidRPr="007224C3" w:rsidRDefault="00264F92" w:rsidP="007224C3">
      <w:pPr>
        <w:spacing w:after="0" w:line="240" w:lineRule="auto"/>
        <w:jc w:val="both"/>
        <w:rPr>
          <w:rFonts w:ascii="Times New Roman" w:hAnsi="Times New Roman"/>
          <w:color w:val="000000" w:themeColor="text1"/>
          <w:sz w:val="16"/>
          <w:szCs w:val="16"/>
        </w:rPr>
      </w:pPr>
    </w:p>
    <w:p w14:paraId="18B1D300" w14:textId="77777777" w:rsidR="00264F92" w:rsidRPr="007224C3" w:rsidRDefault="00264F92"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11 января</w:t>
      </w:r>
      <w:r w:rsidRPr="007224C3">
        <w:rPr>
          <w:rFonts w:ascii="Times New Roman" w:hAnsi="Times New Roman"/>
          <w:color w:val="000000" w:themeColor="text1"/>
          <w:sz w:val="16"/>
          <w:szCs w:val="16"/>
        </w:rPr>
        <w:t xml:space="preserve"> в 1944 году оперативная сводка Совинформбюро:.</w:t>
      </w:r>
    </w:p>
    <w:p w14:paraId="78F87838" w14:textId="77777777" w:rsidR="00264F92" w:rsidRPr="007224C3" w:rsidRDefault="00264F9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11 января наши войска в направлении города Сарны форсировали реку Случь и заняли севернее города Сарны железнодорожную станцию Стшельск и южнее города — железнодорожную станцию Немовичи.</w:t>
      </w:r>
    </w:p>
    <w:p w14:paraId="6F28F8A6" w14:textId="77777777" w:rsidR="00264F92" w:rsidRPr="007224C3" w:rsidRDefault="00264F9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и южнее Новоград-Волынский наши войска вели наступательные бои, в ходе которых овладели районным центром Житомирской области Ярунь, а также заняли более 30 других населённых пунктов, среди которых крупные населённые пункты Курмань, Колоденка. Радулин, Мирославль. Свинобычи, Жары, Понинка, Желобное, Мокрое, Дубровка, Буртын и железнодорожные станции Орелы. Колоденка, Радулино.</w:t>
      </w:r>
    </w:p>
    <w:p w14:paraId="11D7DF56" w14:textId="77777777" w:rsidR="00264F92" w:rsidRPr="007224C3" w:rsidRDefault="00264F9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и юго-западнее Бердичева наши войска, преодолевая сопротивление и контратаки противника, овладели несколькими населёнными пунктами, в том числе Авратин, Кириевка, Стетковцы, Молочки, Бурковцы, Краснополь, Жеребки, Погорелое, Листопадовка.</w:t>
      </w:r>
    </w:p>
    <w:p w14:paraId="219F906E" w14:textId="77777777" w:rsidR="00264F92" w:rsidRPr="007224C3" w:rsidRDefault="00264F9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Южнее Белая Церковь наши войска с боями продвигались вперёд и заняли несколько населённых пунктов.</w:t>
      </w:r>
    </w:p>
    <w:p w14:paraId="0174898E" w14:textId="77777777" w:rsidR="00264F92" w:rsidRPr="007224C3" w:rsidRDefault="00264F9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и северо-западнее Кировограда наши войска продолжали вести наступательные бои, в ходе которых выбили противника из нескольких населённых пунктов. По уточнённым данным, в районе Кировограда за время боёв с 5 по 8 января включительно нашими войсками уничтожено: танков — 293, орудий разных —296, самоходных орудий — 40, миномётов — 121, пулемётов — 445, бронемашин — 94, автомашин — 978.</w:t>
      </w:r>
    </w:p>
    <w:p w14:paraId="6ECDCBE6" w14:textId="77777777" w:rsidR="00264F92" w:rsidRPr="007224C3" w:rsidRDefault="00264F9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Противник потерял только убитыми свыше 15.000 солдат и офицеров.</w:t>
      </w:r>
    </w:p>
    <w:p w14:paraId="6814230D" w14:textId="77777777" w:rsidR="00264F92" w:rsidRPr="007224C3" w:rsidRDefault="00264F9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Нашими войсками захвачены следующие трофеи: танков — 150, орудий разного калибра — 188, миномётов — 242, пулемётов — 429, бронемашин и бронетранспортёров— 25, автомашин — 2.009, складов с боеприпасами, продовольствием и другим военным имуществом — 19.</w:t>
      </w:r>
    </w:p>
    <w:p w14:paraId="67918FB3" w14:textId="77777777" w:rsidR="00264F92" w:rsidRPr="007224C3" w:rsidRDefault="00264F9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 разведка, артиллерийско-миномётная перестрелка и в ряде пунктов бои местного значения.</w:t>
      </w:r>
    </w:p>
    <w:p w14:paraId="5642A808" w14:textId="77777777" w:rsidR="00264F92" w:rsidRPr="007224C3" w:rsidRDefault="00264F9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10 января наши войска на всех фронтах подбили и уничтожили 70 немецких танков. В воздушных боях и огнём зенитной артиллерии сбито 78 самолётов противника.</w:t>
      </w:r>
    </w:p>
    <w:p w14:paraId="56352B39" w14:textId="77777777" w:rsidR="00264F92" w:rsidRPr="007224C3" w:rsidRDefault="00264F9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Наши войска, действующие в направлении города Сарны, переправились через реку Случь и, с боями продвигаясь вперёд, заняли железнодорожную станцию Стшельск (севернее города Сарны). Сопротивление противника в этом районе было сломлено совместными действиями бойцов Красной Армии и ровенских партизан. Южнее города Сарны наши бойцы стремительной атакой овладели железнодорожной станцией Немовичи. В боях за эти станции противник потерял убитыми до 800 солдат и офицеров.</w:t>
      </w:r>
    </w:p>
    <w:p w14:paraId="50C80E43" w14:textId="77777777" w:rsidR="00264F92" w:rsidRPr="007224C3" w:rsidRDefault="00264F9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и южнее города Новоград-Волынский части Н-ского соединения сломили сопротивление немцев и, продвигаясь вперёд, заняли районный центр Житомирской области Ярунь и более 30 других населённых пунктов. В одном районе в лесу советские бойцы окружили группу немецких солдат и офицеров. Сжимая кольцо, наши подразделения полностью разгромили эту группу противника. Захвачено у немцев 6 танков, 7 оружий, 19 миномётов, 35 пулемётов и другие трофеи. Противник потерял только убитыми свыше 400 солдат и офицеров. Значительное число немецких и венгерских солдат сдалось в плен. Части другого нашего соединения, преследуя противника, уничтожили до батальона гитлеровцев и захватили крупный обоз с боеприпасами.</w:t>
      </w:r>
    </w:p>
    <w:p w14:paraId="25D7F10A" w14:textId="77777777" w:rsidR="00264F92" w:rsidRPr="007224C3" w:rsidRDefault="00264F9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Южнее города Белая Церковь наши войска с боями продвигались вперёд. Советские подвижные части, действующие в районе железной дороги Смела-Христиновка, нанесли ряд ударов по подходящим резервам противника. Захватив врага врасплох, наши бойцы уничтожили 8 немецких железнодорожных эшелонов с живой силой, танками, боеприпасами и горючим. Выбегавшие из вагонов гитлеровцы попали под пулемётныйогонь. Железнодорожное полотно усеяно трупами немецких солдат и офицеров, разбитыми танками и автомашинами. Огнём и взрывами уничтожено много военного имущества противника. Части Н-ского соединения, продолжая наступление, заняли несколько населённых пунктов.</w:t>
      </w:r>
    </w:p>
    <w:p w14:paraId="6846D829" w14:textId="77777777" w:rsidR="00264F92" w:rsidRPr="007224C3" w:rsidRDefault="00264F9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и северо-западнее Кировограда наши войска умелым манёвром вышли на фланги противника, оборонявшего выгодные позиции. Советские пехотинцы и танкисты нанесли врагу удары с трёх сторон и в результате короткого боя обратили немцев в бегство. Преследуя противника, наши части заняли несколько населённых пунктов и захватили 3 исправных немецких танка, 9 бронетранспортёров, несколько артиллерийских батарей, 2 склада боеприпасов и склад с инженерным имуществом. В течение дня на всех участках нашими войсками подбито и уничтожено до 40 немецких танков и самоходных орудий.</w:t>
      </w:r>
    </w:p>
    <w:p w14:paraId="00DF7A56" w14:textId="77777777" w:rsidR="00264F92" w:rsidRPr="007224C3" w:rsidRDefault="00264F9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января Советское Информбюро опубликовало показания Хесуса Переса Санчеса —пленного солдата 2 батальона испанского легиона, действующего на советско-германском фронте. Испанские пособники Гитлера утверждали, что все испанские войска, сражавшиеся в России на стороне немцев, отозваны в Испанию. Сам факт взятия в плен испанского солдата на Волховском фронте уличал правящую клику Испании в грубой лжи.</w:t>
      </w:r>
    </w:p>
    <w:p w14:paraId="1864D5C4" w14:textId="77777777" w:rsidR="00264F92" w:rsidRPr="007224C3" w:rsidRDefault="00264F9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первых числах января 1944 года наши бойцы захватили в плен ещё группу солдат испанского легиона. В числе пленных - шофёр командира испанского легиона Отеро Гарсия Эрнандес, солдаты штабной роты 1-го батальона испанского легиона Леопольд Сантьяго Инохоса и Хосе Абас Передо. Пленные подтвердили, что испанский легион находится на передовых позициях, и что все они были зачислены в этот легион помимо их води и желания. Пленный испанский солдат Леопольд СантьягоИнохоса сообщил: «В конце августа 1943 года я в составе маршевого батальона прибыл на советско-германский фронт. В то время 250 испанская дивизия находилась под Ленинградом. Солдаты открыто заявляли, что они не желают воевать за интересы Германии. Многие солдаты дезертировали или наносили себе увечья, чтобы попасть в госпиталь. Осенью дивизию отвели в тыл и из ее состава сформировали испанский легион. В середине декабря 2-й батальон легиона отправился на Волховский участок фронта. Вслед за ним был выдвинут на передовые позиции и наш 1-й батальон, сменивший немецкую часть».</w:t>
      </w:r>
    </w:p>
    <w:p w14:paraId="6F696D3C" w14:textId="77777777" w:rsidR="00264F92" w:rsidRPr="007224C3" w:rsidRDefault="00264F9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Пленный испанский солдат Хосе Абас Передо заявил: «Я прибыл на фронт в сентябре 1943 года. Мне известно, что в конце сентября и в октябре прибыли из Испании ещё два маршевых батальона. Легион формировался из солдат 250 дивизии.Вначале предложили вступить в легион добровольно, но добровольцев нашлось очень мало. Тогда офицеры объявили, что мы зачислены в состав легиона».</w:t>
      </w:r>
    </w:p>
    <w:p w14:paraId="3A908282" w14:textId="77777777" w:rsidR="00264F92" w:rsidRPr="007224C3" w:rsidRDefault="00264F9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Несмотря на полную очевидность фактов, в Мадриде попытались опровергнуть сообщение Советского Информбюро от 4 января сего года. Испанские гитлеровцы вначале заявили, что последние контингенты испанской «Голубой дивизии» вернулись на родину. Но факты — упрямая вещь. Испанский легион в мешке не утаишь. Пойманные с поличным официальные представители Испании начали осторожно признаваться, что часть испанских солдат якобы добровольно осталась на Восточном фронте.</w:t>
      </w:r>
    </w:p>
    <w:p w14:paraId="54EB8014" w14:textId="77777777" w:rsidR="00264F92" w:rsidRPr="007224C3" w:rsidRDefault="00264F9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Жалкие увёртки испанских пособников Гитлера никого не обманут. Отзывая деморализованных и небоеспособных солдат из России, они в то же время посылают на смену им новые и новые маршевые батальоны. Теперь неопровержимо доказано, что испанские части, как бы их ни называли, по-прежнему сражаются на советско-германском фронте на стороне немцев. Испанские двурушники хотят и невинность соблюсти и капитал приобрести. Прикрываясь маской нейтралитета, онипродолжают верно служить Гитлеру.» (15006).</w:t>
      </w:r>
    </w:p>
    <w:p w14:paraId="699D6AB6" w14:textId="77777777" w:rsidR="00264F92" w:rsidRPr="007224C3" w:rsidRDefault="00264F92" w:rsidP="007224C3">
      <w:pPr>
        <w:spacing w:after="0" w:line="240" w:lineRule="auto"/>
        <w:jc w:val="both"/>
        <w:rPr>
          <w:rFonts w:ascii="Times New Roman" w:hAnsi="Times New Roman"/>
          <w:color w:val="000000" w:themeColor="text1"/>
          <w:sz w:val="16"/>
          <w:szCs w:val="16"/>
        </w:rPr>
      </w:pPr>
    </w:p>
    <w:p w14:paraId="5713B416" w14:textId="77777777" w:rsidR="00E00646" w:rsidRPr="007224C3" w:rsidRDefault="00E00646"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11 января</w:t>
      </w:r>
      <w:r w:rsidRPr="007224C3">
        <w:rPr>
          <w:rFonts w:ascii="Times New Roman" w:hAnsi="Times New Roman"/>
          <w:color w:val="000000" w:themeColor="text1"/>
          <w:sz w:val="16"/>
          <w:szCs w:val="16"/>
        </w:rPr>
        <w:t xml:space="preserve"> в 1944 году (11-12 января) контрудар немецких войск под Винницей, остановивший наступление советских войск (15006).</w:t>
      </w:r>
    </w:p>
    <w:p w14:paraId="29F0A661" w14:textId="77777777" w:rsidR="00E00646" w:rsidRPr="007224C3" w:rsidRDefault="00E00646" w:rsidP="007224C3">
      <w:pPr>
        <w:spacing w:after="0" w:line="240" w:lineRule="auto"/>
        <w:jc w:val="both"/>
        <w:rPr>
          <w:rFonts w:ascii="Times New Roman" w:hAnsi="Times New Roman"/>
          <w:color w:val="000000" w:themeColor="text1"/>
          <w:sz w:val="16"/>
          <w:szCs w:val="16"/>
        </w:rPr>
      </w:pPr>
    </w:p>
    <w:p w14:paraId="102BB0C8" w14:textId="77777777" w:rsidR="00DF6978" w:rsidRPr="007224C3" w:rsidRDefault="00DF697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января 1944 года у села Карловка (в районе Кировограда) экипаж Т-34 капитана Г.И. Пенежко 31-й танковой бригады 29-го танкового корпуса подбил и уничтожил 7 танков, 8 бронетранспортеров и 2 орудия (12217).</w:t>
      </w:r>
    </w:p>
    <w:p w14:paraId="77299E74" w14:textId="77777777" w:rsidR="00DF6978" w:rsidRPr="007224C3" w:rsidRDefault="00DF6978"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2B0B204" w14:textId="77777777" w:rsidR="00E00646"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Внешняя политика:</w:t>
      </w:r>
    </w:p>
    <w:p w14:paraId="1FAA1042" w14:textId="77777777" w:rsidR="00E00646" w:rsidRPr="007224C3" w:rsidRDefault="00E00646"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A3E6E6B" w14:textId="77777777" w:rsidR="00264F92" w:rsidRPr="007224C3" w:rsidRDefault="00264F92"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11 января</w:t>
      </w:r>
      <w:r w:rsidRPr="007224C3">
        <w:rPr>
          <w:rFonts w:ascii="Times New Roman" w:hAnsi="Times New Roman"/>
          <w:color w:val="000000" w:themeColor="text1"/>
          <w:sz w:val="16"/>
          <w:szCs w:val="16"/>
        </w:rPr>
        <w:t xml:space="preserve"> в 1944 году советское правительство выступило с заявлением, в котором подчеркнуло, что возрождение Польши должно произойти не путем захвата белорусских и украинских земель, а путем присоединения к ней восточных территорий Германии, отнятых у Польши несколько веков назад. Границы на востоке могут быть исправлены в пользу Польши за счет передачи ей районов, где преобладает польское население, и в целом совпадать с т.н. «линией Керзона» (15006).</w:t>
      </w:r>
    </w:p>
    <w:p w14:paraId="281EF2C9" w14:textId="77777777" w:rsidR="00264F92" w:rsidRPr="007224C3" w:rsidRDefault="00264F92" w:rsidP="007224C3">
      <w:pPr>
        <w:spacing w:after="0" w:line="240" w:lineRule="auto"/>
        <w:jc w:val="both"/>
        <w:rPr>
          <w:rFonts w:ascii="Times New Roman" w:hAnsi="Times New Roman"/>
          <w:color w:val="000000" w:themeColor="text1"/>
          <w:sz w:val="16"/>
          <w:szCs w:val="16"/>
        </w:rPr>
      </w:pPr>
    </w:p>
    <w:p w14:paraId="4654E2C9"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7224C3">
        <w:rPr>
          <w:rFonts w:ascii="Times New Roman" w:hAnsi="Times New Roman"/>
          <w:i/>
          <w:iCs/>
          <w:color w:val="000000" w:themeColor="text1"/>
          <w:sz w:val="16"/>
          <w:szCs w:val="16"/>
        </w:rPr>
        <w:t>За</w:t>
      </w:r>
      <w:r w:rsidRPr="007224C3">
        <w:rPr>
          <w:rFonts w:ascii="Times New Roman" w:hAnsi="Times New Roman"/>
          <w:i/>
          <w:iCs/>
          <w:color w:val="000000" w:themeColor="text1"/>
          <w:sz w:val="16"/>
          <w:szCs w:val="16"/>
          <w:lang w:val="en-US"/>
        </w:rPr>
        <w:t xml:space="preserve"> </w:t>
      </w:r>
      <w:r w:rsidRPr="007224C3">
        <w:rPr>
          <w:rFonts w:ascii="Times New Roman" w:hAnsi="Times New Roman"/>
          <w:i/>
          <w:iCs/>
          <w:color w:val="000000" w:themeColor="text1"/>
          <w:sz w:val="16"/>
          <w:szCs w:val="16"/>
        </w:rPr>
        <w:t>рубежом</w:t>
      </w:r>
      <w:r w:rsidRPr="007224C3">
        <w:rPr>
          <w:rFonts w:ascii="Times New Roman" w:hAnsi="Times New Roman"/>
          <w:i/>
          <w:iCs/>
          <w:color w:val="000000" w:themeColor="text1"/>
          <w:sz w:val="16"/>
          <w:szCs w:val="16"/>
          <w:lang w:val="en-US"/>
        </w:rPr>
        <w:t>:</w:t>
      </w:r>
    </w:p>
    <w:p w14:paraId="418D03B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59D4ADB7" w14:textId="77777777" w:rsidR="00E00646" w:rsidRPr="007224C3" w:rsidRDefault="00E00646"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January 11 1944 The first U.S. attack with forward-firing rockets was made against a German U-boat by two TBF-1C's of Composite Squadron 58 from the escort carrier Block Island (1090).</w:t>
      </w:r>
    </w:p>
    <w:p w14:paraId="4F1939B2" w14:textId="77777777" w:rsidR="00E00646" w:rsidRPr="007224C3" w:rsidRDefault="00E00646"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5C730F1" w14:textId="77777777" w:rsidR="00E00646" w:rsidRPr="007224C3" w:rsidRDefault="00E00646"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января 1944 американская авиация впервые атаковала немецкую подлодку и использованием ракет (1090).</w:t>
      </w:r>
    </w:p>
    <w:p w14:paraId="15AD47C6" w14:textId="77777777" w:rsidR="00E00646" w:rsidRPr="007224C3" w:rsidRDefault="00E00646"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A72F94" w14:textId="77777777" w:rsidR="00E00646" w:rsidRPr="007224C3" w:rsidRDefault="00E00646"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lastRenderedPageBreak/>
        <w:t>11 января</w:t>
      </w:r>
      <w:r w:rsidRPr="007224C3">
        <w:rPr>
          <w:rFonts w:ascii="Times New Roman" w:hAnsi="Times New Roman"/>
          <w:color w:val="000000" w:themeColor="text1"/>
          <w:sz w:val="16"/>
          <w:szCs w:val="16"/>
        </w:rPr>
        <w:t xml:space="preserve"> в 1944 году первое боевое использование авиационных ракет с американского самолёта «TBF-1C» «Avenger». Это была 5-ти дюймовая HVAR (High-Velocity Aircraft Rocket – высокоскоростные авиационные ракеты), прозванная "Святой Мосес". Обладала скоростью 1530 км/ч, дальность действия - 5 км, а боеголовка - 20 кг (15006).</w:t>
      </w:r>
    </w:p>
    <w:p w14:paraId="2FD90088" w14:textId="77777777" w:rsidR="00E00646" w:rsidRPr="007224C3" w:rsidRDefault="00E00646" w:rsidP="007224C3">
      <w:pPr>
        <w:spacing w:after="0" w:line="240" w:lineRule="auto"/>
        <w:jc w:val="both"/>
        <w:rPr>
          <w:rFonts w:ascii="Times New Roman" w:hAnsi="Times New Roman"/>
          <w:color w:val="000000" w:themeColor="text1"/>
          <w:sz w:val="16"/>
          <w:szCs w:val="16"/>
        </w:rPr>
      </w:pPr>
    </w:p>
    <w:p w14:paraId="47097018" w14:textId="77777777" w:rsidR="007F6D1D" w:rsidRPr="007224C3" w:rsidRDefault="007F6D1D"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11 января 1944 - Первое боевое использование авиационных ракет с американского самолёта TBF-1C Avenger. TBF-1C из эскадрильи VC-58, вооруженный двумя ракетами, под управлением младшего лейтенанта Л.Л. Макфорда, обнаружил немецкую подводную лодку (U-758) находящуюся на поверхности. Эвенджер добился двух вероятных и двух несомненных ракетных попаданий в подводную лодку, а затем провел атаку глубинными бомбами. На Тихоокеанском театре военных действий авиационные ракеты впервые были использованы в бою 31 января 1944 года, когда Эвенджеры из VC-7 базировавшейся на борту авианосца USS Manila Bay (CVE-61) атаковали склады топлива и боеприпасов на Маршалловых островах (22671).</w:t>
      </w:r>
    </w:p>
    <w:p w14:paraId="501E2E8C" w14:textId="77777777" w:rsidR="007F6D1D" w:rsidRPr="007224C3" w:rsidRDefault="007F6D1D" w:rsidP="007224C3">
      <w:pPr>
        <w:spacing w:after="0" w:line="240" w:lineRule="auto"/>
        <w:jc w:val="both"/>
        <w:rPr>
          <w:rFonts w:ascii="Times New Roman" w:hAnsi="Times New Roman"/>
          <w:color w:val="0070C0"/>
          <w:sz w:val="16"/>
          <w:szCs w:val="16"/>
        </w:rPr>
      </w:pPr>
    </w:p>
    <w:p w14:paraId="30EC84EE" w14:textId="77777777" w:rsidR="007F6D1D" w:rsidRPr="007224C3" w:rsidRDefault="007F6D1D" w:rsidP="007224C3">
      <w:pPr>
        <w:spacing w:after="0" w:line="240" w:lineRule="auto"/>
        <w:jc w:val="both"/>
        <w:rPr>
          <w:rFonts w:ascii="Times New Roman" w:hAnsi="Times New Roman"/>
          <w:color w:val="0070C0"/>
          <w:sz w:val="16"/>
          <w:szCs w:val="16"/>
          <w:lang w:val="en-US"/>
        </w:rPr>
      </w:pPr>
      <w:r w:rsidRPr="007224C3">
        <w:rPr>
          <w:rFonts w:ascii="Times New Roman" w:hAnsi="Times New Roman"/>
          <w:color w:val="0070C0"/>
          <w:sz w:val="16"/>
          <w:szCs w:val="16"/>
        </w:rPr>
        <w:t>11 января 1944 в ходе одного из крупнейших на сегодняшний день налетов ВВС США 663 бомбардировщика в сопровождении 592 истребителей нанесли удар по объектам авиационной промышленности в Брауншвейге, Хальберштадте, Ошерслебене и Оснабрюке, Германия, встретив серьезное сопротивление в виде примерно 500 немецких истребителей. и потеряв 60 бомбардировщиков и 5 истребителей. Вместе бомбардировщики и истребители заявляют, что 258 немецких самолетов сбитых, 72, вероятно, сбитых и 114 поврежденых. Управляя P-51 Mustang , майор Джеймс Х. Ховард в одиночку защищает группу B-17 от 30 немецких истребителей и заявляет, что два немецких самолета сбиты, один, вероятно, сбит, и два повреждены без потерь для B-17. Он</w:t>
      </w:r>
      <w:r w:rsidRPr="007224C3">
        <w:rPr>
          <w:rFonts w:ascii="Times New Roman" w:hAnsi="Times New Roman"/>
          <w:color w:val="0070C0"/>
          <w:sz w:val="16"/>
          <w:szCs w:val="16"/>
          <w:lang w:val="en-US"/>
        </w:rPr>
        <w:t xml:space="preserve"> </w:t>
      </w:r>
      <w:r w:rsidRPr="007224C3">
        <w:rPr>
          <w:rFonts w:ascii="Times New Roman" w:hAnsi="Times New Roman"/>
          <w:color w:val="0070C0"/>
          <w:sz w:val="16"/>
          <w:szCs w:val="16"/>
        </w:rPr>
        <w:t>получает</w:t>
      </w:r>
      <w:r w:rsidRPr="007224C3">
        <w:rPr>
          <w:rFonts w:ascii="Times New Roman" w:hAnsi="Times New Roman"/>
          <w:color w:val="0070C0"/>
          <w:sz w:val="16"/>
          <w:szCs w:val="16"/>
          <w:lang w:val="en-US"/>
        </w:rPr>
        <w:t xml:space="preserve"> </w:t>
      </w:r>
      <w:r w:rsidRPr="007224C3">
        <w:rPr>
          <w:rFonts w:ascii="Times New Roman" w:hAnsi="Times New Roman"/>
          <w:color w:val="0070C0"/>
          <w:sz w:val="16"/>
          <w:szCs w:val="16"/>
        </w:rPr>
        <w:t>Почетную</w:t>
      </w:r>
      <w:r w:rsidRPr="007224C3">
        <w:rPr>
          <w:rFonts w:ascii="Times New Roman" w:hAnsi="Times New Roman"/>
          <w:color w:val="0070C0"/>
          <w:sz w:val="16"/>
          <w:szCs w:val="16"/>
          <w:lang w:val="en-US"/>
        </w:rPr>
        <w:t xml:space="preserve"> </w:t>
      </w:r>
      <w:r w:rsidRPr="007224C3">
        <w:rPr>
          <w:rFonts w:ascii="Times New Roman" w:hAnsi="Times New Roman"/>
          <w:color w:val="0070C0"/>
          <w:sz w:val="16"/>
          <w:szCs w:val="16"/>
        </w:rPr>
        <w:t>медаль</w:t>
      </w:r>
      <w:r w:rsidRPr="007224C3">
        <w:rPr>
          <w:rFonts w:ascii="Times New Roman" w:hAnsi="Times New Roman"/>
          <w:color w:val="0070C0"/>
          <w:sz w:val="16"/>
          <w:szCs w:val="16"/>
          <w:lang w:val="en-US"/>
        </w:rPr>
        <w:t xml:space="preserve"> </w:t>
      </w:r>
      <w:r w:rsidRPr="007224C3">
        <w:rPr>
          <w:rFonts w:ascii="Times New Roman" w:hAnsi="Times New Roman"/>
          <w:color w:val="0070C0"/>
          <w:sz w:val="16"/>
          <w:szCs w:val="16"/>
        </w:rPr>
        <w:t>за</w:t>
      </w:r>
      <w:r w:rsidRPr="007224C3">
        <w:rPr>
          <w:rFonts w:ascii="Times New Roman" w:hAnsi="Times New Roman"/>
          <w:color w:val="0070C0"/>
          <w:sz w:val="16"/>
          <w:szCs w:val="16"/>
          <w:lang w:val="en-US"/>
        </w:rPr>
        <w:t xml:space="preserve"> </w:t>
      </w:r>
      <w:r w:rsidRPr="007224C3">
        <w:rPr>
          <w:rFonts w:ascii="Times New Roman" w:hAnsi="Times New Roman"/>
          <w:color w:val="0070C0"/>
          <w:sz w:val="16"/>
          <w:szCs w:val="16"/>
        </w:rPr>
        <w:t>свои</w:t>
      </w:r>
      <w:r w:rsidRPr="007224C3">
        <w:rPr>
          <w:rFonts w:ascii="Times New Roman" w:hAnsi="Times New Roman"/>
          <w:color w:val="0070C0"/>
          <w:sz w:val="16"/>
          <w:szCs w:val="16"/>
          <w:lang w:val="en-US"/>
        </w:rPr>
        <w:t xml:space="preserve"> </w:t>
      </w:r>
      <w:r w:rsidRPr="007224C3">
        <w:rPr>
          <w:rFonts w:ascii="Times New Roman" w:hAnsi="Times New Roman"/>
          <w:color w:val="0070C0"/>
          <w:sz w:val="16"/>
          <w:szCs w:val="16"/>
        </w:rPr>
        <w:t>действия</w:t>
      </w:r>
      <w:r w:rsidRPr="007224C3">
        <w:rPr>
          <w:rFonts w:ascii="Times New Roman" w:hAnsi="Times New Roman"/>
          <w:color w:val="0070C0"/>
          <w:sz w:val="16"/>
          <w:szCs w:val="16"/>
          <w:lang w:val="en-US"/>
        </w:rPr>
        <w:t xml:space="preserve"> (20373).</w:t>
      </w:r>
    </w:p>
    <w:p w14:paraId="7CB470A7" w14:textId="77777777" w:rsidR="007F6D1D" w:rsidRPr="007224C3" w:rsidRDefault="007F6D1D" w:rsidP="007224C3">
      <w:pPr>
        <w:spacing w:after="0" w:line="240" w:lineRule="auto"/>
        <w:jc w:val="both"/>
        <w:rPr>
          <w:rFonts w:ascii="Times New Roman" w:hAnsi="Times New Roman"/>
          <w:color w:val="0070C0"/>
          <w:sz w:val="16"/>
          <w:szCs w:val="16"/>
          <w:lang w:val="en-US"/>
        </w:rPr>
      </w:pPr>
    </w:p>
    <w:p w14:paraId="32F62AF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January 11, 1944: 660 heavy bombers of the US 8th Air Force carry out attacks against industrial targets at Braunschweig, Magdeburg and Ascherleben (3819).</w:t>
      </w:r>
    </w:p>
    <w:p w14:paraId="28DBEDA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837D21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января 1944 660 американских бомбардировщиков 8ВА совершили налеты на промышленные объекты в Брауншвейге, Магдебурге и Ашерлебене (3819).</w:t>
      </w:r>
    </w:p>
    <w:p w14:paraId="30829FD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5F37D5" w14:textId="77777777" w:rsidR="007F6D1D" w:rsidRPr="007224C3" w:rsidRDefault="007F6D1D"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11 января 1944 десять PB4Y-1 Освободители ВМС США бомбят лагуны Кваджалейн, потопив японскую канонерскую лодку (20373).</w:t>
      </w:r>
    </w:p>
    <w:p w14:paraId="4CEDC803" w14:textId="77777777" w:rsidR="007F6D1D" w:rsidRPr="007224C3" w:rsidRDefault="007F6D1D" w:rsidP="007224C3">
      <w:pPr>
        <w:spacing w:after="0" w:line="240" w:lineRule="auto"/>
        <w:jc w:val="both"/>
        <w:rPr>
          <w:rFonts w:ascii="Times New Roman" w:hAnsi="Times New Roman"/>
          <w:color w:val="0070C0"/>
          <w:sz w:val="16"/>
          <w:szCs w:val="16"/>
        </w:rPr>
      </w:pPr>
    </w:p>
    <w:p w14:paraId="1E3A7710"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января 1944 расстреляны пять итальянских заговорщиков, арестовавших Муссолини (4962).</w:t>
      </w:r>
    </w:p>
    <w:p w14:paraId="43F65BA2"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D261FE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января 1944 был приговорен к смертной казни и расстрелян в Вероне граф Галеацци Чиано, итальянский дипломат и политик - начальник госсекратариата по печати и пропаганде и министр иностранных дел (был отправлен в отставку за критику военной политики Муссолини) (3186).</w:t>
      </w:r>
    </w:p>
    <w:p w14:paraId="1AA1E64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0B64EA"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января 1944 в Лионе фашистами расстрелян 84-летний Виктор Басх, бывший президент Лиги прав человека (4962).</w:t>
      </w:r>
    </w:p>
    <w:p w14:paraId="602B5746"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9BFF257"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января 1944 в Тихом океане английской подлодкой затоплен японский крейсер “Кума” (4962).</w:t>
      </w:r>
    </w:p>
    <w:p w14:paraId="53C0F29C"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C282004" w14:textId="77777777" w:rsidR="00E00646" w:rsidRPr="007224C3" w:rsidRDefault="00E00646"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11 января</w:t>
      </w:r>
      <w:r w:rsidRPr="007224C3">
        <w:rPr>
          <w:rFonts w:ascii="Times New Roman" w:hAnsi="Times New Roman"/>
          <w:color w:val="000000" w:themeColor="text1"/>
          <w:sz w:val="16"/>
          <w:szCs w:val="16"/>
        </w:rPr>
        <w:t xml:space="preserve"> в 1944 году в Тихом океане английской подлодкой затопляется японский крейсер "Кума" (15006).</w:t>
      </w:r>
    </w:p>
    <w:p w14:paraId="1A610F06" w14:textId="77777777" w:rsidR="00E00646" w:rsidRPr="007224C3" w:rsidRDefault="00E00646" w:rsidP="007224C3">
      <w:pPr>
        <w:spacing w:after="0" w:line="240" w:lineRule="auto"/>
        <w:jc w:val="both"/>
        <w:rPr>
          <w:rFonts w:ascii="Times New Roman" w:hAnsi="Times New Roman"/>
          <w:color w:val="000000" w:themeColor="text1"/>
          <w:sz w:val="16"/>
          <w:szCs w:val="16"/>
        </w:rPr>
      </w:pPr>
    </w:p>
    <w:p w14:paraId="188A1D4B" w14:textId="77777777" w:rsidR="00E00646" w:rsidRPr="007224C3" w:rsidRDefault="00E00646"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11 января</w:t>
      </w:r>
      <w:r w:rsidRPr="007224C3">
        <w:rPr>
          <w:rFonts w:ascii="Times New Roman" w:hAnsi="Times New Roman"/>
          <w:color w:val="000000" w:themeColor="text1"/>
          <w:sz w:val="16"/>
          <w:szCs w:val="16"/>
        </w:rPr>
        <w:t xml:space="preserve"> в 1944 году в послании Конгрессу президент США Рузвельт предуспредил об опасности «крайне правой реакции» в стране и указал: «Если эта реакция разовьется, если истории суждено повториться, и мы вернемся к так называемым стабильным временам двадцатых годов, тогда очевидно, что, даже сокрушив наших врагов на поле брани за пределами страны, мы отступим перед духом фашизма у себя в стране» (15006).</w:t>
      </w:r>
    </w:p>
    <w:p w14:paraId="05927DFF" w14:textId="77777777" w:rsidR="00E00646" w:rsidRPr="007224C3" w:rsidRDefault="00E00646" w:rsidP="007224C3">
      <w:pPr>
        <w:spacing w:after="0" w:line="240" w:lineRule="auto"/>
        <w:jc w:val="both"/>
        <w:rPr>
          <w:rFonts w:ascii="Times New Roman" w:hAnsi="Times New Roman"/>
          <w:color w:val="000000" w:themeColor="text1"/>
          <w:sz w:val="16"/>
          <w:szCs w:val="16"/>
        </w:rPr>
      </w:pPr>
    </w:p>
    <w:p w14:paraId="5FF85881"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556847E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C9AFFC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января 1944 письмом N 1/70с Дир. и ГК завода 240 С.В.И. просил Зам. НКАП Дементьева дать указание заводу N 35 спроектировать и изготовить на самолет Ил-2 с Ам-38ф два винта с новыми лопастями, с улучшенным качеством по взлету и сохранению существующей максимальной скорости. Это дало бы возможность вернуться к бомбовой нагрузке самолета в 400 кг (2562,49).</w:t>
      </w:r>
    </w:p>
    <w:p w14:paraId="015311C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DD66F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января 1944 года Сандлер писал письмо N Н-10/183 10 гл. управлению НКАП и центральную бухгалтерию НКАП.</w:t>
      </w:r>
    </w:p>
    <w:p w14:paraId="4AC3041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Согласно письму Наркомфина от 6 января 1944 года N 5-966/1-с разрешается списать с баланса завода N 83 по статье "изделия, снятые с производства" затраты по деревянным агрегатам к самолету ИЛ-4:</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6331D6" w:rsidRPr="007224C3" w14:paraId="67E8D644" w14:textId="77777777">
        <w:tc>
          <w:tcPr>
            <w:tcW w:w="5636" w:type="dxa"/>
          </w:tcPr>
          <w:p w14:paraId="3681CCB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готовым изделиям</w:t>
            </w:r>
          </w:p>
        </w:tc>
        <w:tc>
          <w:tcPr>
            <w:tcW w:w="5636" w:type="dxa"/>
          </w:tcPr>
          <w:p w14:paraId="2C98405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Р. 1630344</w:t>
            </w:r>
          </w:p>
        </w:tc>
      </w:tr>
      <w:tr w:rsidR="006331D6" w:rsidRPr="007224C3" w14:paraId="4B574BFA" w14:textId="77777777">
        <w:tc>
          <w:tcPr>
            <w:tcW w:w="5636" w:type="dxa"/>
          </w:tcPr>
          <w:p w14:paraId="6A70E34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оснастке</w:t>
            </w:r>
          </w:p>
        </w:tc>
        <w:tc>
          <w:tcPr>
            <w:tcW w:w="5636" w:type="dxa"/>
          </w:tcPr>
          <w:p w14:paraId="07CC800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Р. 276000</w:t>
            </w:r>
          </w:p>
        </w:tc>
      </w:tr>
      <w:tr w:rsidR="006331D6" w:rsidRPr="007224C3" w14:paraId="4B20FF4A" w14:textId="77777777">
        <w:tc>
          <w:tcPr>
            <w:tcW w:w="5636" w:type="dxa"/>
          </w:tcPr>
          <w:p w14:paraId="6F0A96B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незавершенному произв.</w:t>
            </w:r>
          </w:p>
        </w:tc>
        <w:tc>
          <w:tcPr>
            <w:tcW w:w="5636" w:type="dxa"/>
          </w:tcPr>
          <w:p w14:paraId="04444BE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Р. 2847876</w:t>
            </w:r>
          </w:p>
        </w:tc>
      </w:tr>
      <w:tr w:rsidR="006331D6" w:rsidRPr="007224C3" w14:paraId="0F0DA1AC" w14:textId="77777777">
        <w:tc>
          <w:tcPr>
            <w:tcW w:w="5636" w:type="dxa"/>
          </w:tcPr>
          <w:p w14:paraId="4BEE84F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Итого:</w:t>
            </w:r>
          </w:p>
        </w:tc>
        <w:tc>
          <w:tcPr>
            <w:tcW w:w="5636" w:type="dxa"/>
          </w:tcPr>
          <w:p w14:paraId="186FAB5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Р. 4954220</w:t>
            </w:r>
          </w:p>
        </w:tc>
      </w:tr>
      <w:tr w:rsidR="006331D6" w:rsidRPr="007224C3" w14:paraId="07C316B6" w14:textId="77777777">
        <w:tc>
          <w:tcPr>
            <w:tcW w:w="5636" w:type="dxa"/>
          </w:tcPr>
          <w:p w14:paraId="18FFEE4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исключением отходов</w:t>
            </w:r>
          </w:p>
        </w:tc>
        <w:tc>
          <w:tcPr>
            <w:tcW w:w="5636" w:type="dxa"/>
          </w:tcPr>
          <w:p w14:paraId="2D649C0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Р. 280000</w:t>
            </w:r>
          </w:p>
        </w:tc>
      </w:tr>
      <w:tr w:rsidR="006331D6" w:rsidRPr="007224C3" w14:paraId="7E8DED99" w14:textId="77777777">
        <w:tc>
          <w:tcPr>
            <w:tcW w:w="5636" w:type="dxa"/>
          </w:tcPr>
          <w:p w14:paraId="624AE6E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Итого:</w:t>
            </w:r>
          </w:p>
        </w:tc>
        <w:tc>
          <w:tcPr>
            <w:tcW w:w="5636" w:type="dxa"/>
          </w:tcPr>
          <w:p w14:paraId="6E8850B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Р. 4674220</w:t>
            </w:r>
          </w:p>
        </w:tc>
      </w:tr>
    </w:tbl>
    <w:p w14:paraId="25E0F48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Списание отразите по балансу за январь 1944 г. (1823,1).</w:t>
      </w:r>
    </w:p>
    <w:p w14:paraId="4210BE5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62383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января 1944 вышло постановление ГКО N 4934 "О постройке самолетов Пе-2 с 2 моторами М-107А в варианте дневного бомбардировщика" (1664,20). Это было про Пе-2И В.М.М. (2471,36).</w:t>
      </w:r>
    </w:p>
    <w:p w14:paraId="2E145DF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64C1F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января 1944 вышло Постановление ГКО № 4934 О постройке самолетов Пе-2 с двумя моторами М-107 А в варианте дневного бомбардировщика. РГАНИР, Фонд ГКО, д. 191, лл. 98-99 (11012).</w:t>
      </w:r>
    </w:p>
    <w:p w14:paraId="5A71EB4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5F5C1F1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января 1944 г. вышло постановление ГКО № 4934, содержащее задание на постройку двух опытных образцов Пе-2И (хотя к проектированию машины коллектив ОКО-22 приступил поздней осенью 1943 г.). Макетная комиссия по самолету Пе-2И работала в конце февраля 1944 г., когда первый экземпляр самолета был уже готов на 70 %. Замечания комиссии в основном были связаны со стрелковым вооружением, которое признали недостаточным (как указывалось выше, на первом опытном Пе-2И в неподвижной установке стоял пулемет УБК вместо обещанной В.М. Мясищевым пушки УБ-20), а также с размещением спецоборудования. Комиссия приняла решение на первом опытном Пе-2И ничего не менять, а все замечания потребовала устранить на “дублере” и первых серийных машинах (4476).</w:t>
      </w:r>
    </w:p>
    <w:p w14:paraId="6C21B1C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AF471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января 1944 вышло постановление ГКО № 4943 и 14 января — приказ НКАП № 22 о разработке Пе-2И. Через два дня в ОКБ завода № 22 разверну</w:t>
      </w:r>
      <w:r w:rsidRPr="007224C3">
        <w:rPr>
          <w:rFonts w:ascii="Times New Roman" w:hAnsi="Times New Roman"/>
          <w:color w:val="000000" w:themeColor="text1"/>
          <w:sz w:val="16"/>
          <w:szCs w:val="16"/>
        </w:rPr>
        <w:softHyphen/>
        <w:t>лись проектные работы по новой машине, закончив</w:t>
      </w:r>
      <w:r w:rsidRPr="007224C3">
        <w:rPr>
          <w:rFonts w:ascii="Times New Roman" w:hAnsi="Times New Roman"/>
          <w:color w:val="000000" w:themeColor="text1"/>
          <w:sz w:val="16"/>
          <w:szCs w:val="16"/>
        </w:rPr>
        <w:softHyphen/>
        <w:t>шиеся 22 февраля. Через неделю Государственная ко</w:t>
      </w:r>
      <w:r w:rsidRPr="007224C3">
        <w:rPr>
          <w:rFonts w:ascii="Times New Roman" w:hAnsi="Times New Roman"/>
          <w:color w:val="000000" w:themeColor="text1"/>
          <w:sz w:val="16"/>
          <w:szCs w:val="16"/>
        </w:rPr>
        <w:softHyphen/>
        <w:t>миссия приняла макет самолета (11446).</w:t>
      </w:r>
    </w:p>
    <w:p w14:paraId="5646FE9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A2D54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января 1944 г. вышло постановление ГКО № 4934, содержащее задание на постройку двух опытных образцов Пе-2И, хотя работа ОКО-22 велась уже с поздней осени 1943.</w:t>
      </w:r>
    </w:p>
    <w:p w14:paraId="0DDC00F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Новую, по существу, машину назвали модификацией старой - Пе-2И (много лет спустя аналогичный маневр осуществит Туполев с Ту-22М). Часть узлов и агрегатов действительно заимствовали от серийной "пешки": консоли крыла, хвостовую часть фюзеляжа, оперение... Это заимствование фактически было уступкой серийному производству, а в дальнейшем планировалось пересмотреть конструкцию консолей, увеличить размеры килей и т.п. Практическое руководство созданием "суперпешки" Мясишев поручил Л.Л.Селякову.</w:t>
      </w:r>
    </w:p>
    <w:p w14:paraId="4C1EFD2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Пе-2И представлял собой свободнонесу- щий цельнометаллический моноплан со средним расположением крыла, площадь которого была увеличена на 1,2 м2 (в основном за счет наплывов в передней части центроплана). Центроплан имел профиль NACA-230 с небольшими отступлениями из-за размещения в носке воздухозаборников водорадиаторов. Профиль консолей был смешанного типа: от носка до первого лонжерона - NACA-230, а далее до задней кромки, подобно обычной "пешке", комбинация "B-BS". В целом конструкция отъемных частей крыла почти не отличалась от серийно выпускавшихся и не требовала серьезных переделок стендов и технологического оборудования. В мотогондолах устанавливались двигатели BK-I07A, развивавшие мощность 1500 л. с. на высоте 4500 м. По сравнению с Пе-2Ф моторы сместили вперед на 200 мм. Винты поставили трехлопастные, типа ВИШ-107ТЛ5, диаметром 3,1 м. Индивидуальные выхлопные патрубки моторов размещались в четыре ряда - два ряда сверху и по одному на боковых поверхностях капотов. Колеса основных стоек шасси при сохранении прежних размеров усилили с учетом увеличившейся полетной массы.</w:t>
      </w:r>
    </w:p>
    <w:p w14:paraId="5BE24B5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Стабилизатор, как и на обычных "пешках", выполнялся подвижным. Тормозных решеток и автомата пикирования опытный Пе-2И не имел. Пятнадцать протектиро- ванных бензобаков вмещали максимально 1844 кг горючего и размещались в центроплане, консолях, средней части фюзеляжа и мотогондолах. Маслобаки емкостью 160 л находились в мотогондолах. Водяные радиаторы смонтировали в носке центроплана, а маслорадиаторы и всасывающие патрубки - в носках консолей. В отличие от серийных Пе-2 выход воздуха из тоннелей радиаторов осуществлялся вниз, под крыло. На выходе из тоннелей имелись заслонки с электромеханическим управлением, обеспечивавшие эффективное регулирование температуры воды. Первый опытный экземпляр самолета имел систему нейтрального газа "первой зоны", при этом охлажденные выхлопные газы подавались только внутрь бензобаков. На "дублере" и серийных Пе-2И предусматривалось создание "второй зоны" в отсеках с баками, куда могли попасть пары бензина при простреле крыла.</w:t>
      </w:r>
    </w:p>
    <w:p w14:paraId="1371D6E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Характерной особенностью Пе-2И можно считать четыре ряда выхлопных патрубков на каждой мотогондоле</w:t>
      </w:r>
    </w:p>
    <w:p w14:paraId="114D09A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Экипаж состоял из двух человек - летчика и штурмана. Фонарь кабины хорошо обтекаемой формы обеспечивал пилоту удобную посадку и отличный обзор. Неподвижная пушка УБ-20 (на опытных машинах вместо нее установили пулемет УБК) размещалась под сидением летчика, что исключало его ослепление при ночной стрельбе - пламя от выстрелов закрывал нос самолета. Дистанционно управляемый пулемет УБК с боекомплектом 100 патронов устанавливался в хвостовом коке и обеспечивал углы обстрела вверх - 18°, вниз - 12° и влево-впра- во - по 16°. Электромеханическая система позволяла отслеживать стволом пулемета прицельную линию. Для отражения атак истребителей в нижней полусфере штурман управлял оптическим прицелом перископом ОПСК. Наблюдение в верхней полусфере производилось через остекление фонаря, а прицеливание с использованием коллима- торного прицела К8-Т. Хотя углы обстрела подвижной установки были сравнительно невелики, нос учетом большой скорости полета бомбардировщика они, по расчетам, обеспечивали удовлетворительную защиту сзади.</w:t>
      </w:r>
    </w:p>
    <w:p w14:paraId="5378CB1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Защита экипажа самолета от огня противника включала бронеспинку, заголовник и бронированное сидение летчика, а также две вертикальные плиты, прикрывавшие штурмана, т.е. радикально не отличалась от серийного Пе-2. Дополнительные оборонительные возможности обеспечивали два держателя авиационных фанат ДАГ-10.</w:t>
      </w:r>
    </w:p>
    <w:p w14:paraId="5C14601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исключения перекосов ленты при питании пулемета патронный ящик смонтировали вместе с оружием на подвижном лафете.</w:t>
      </w:r>
    </w:p>
    <w:p w14:paraId="14B71C5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Бомбоотсек Пе-2И по сравнению с Пе-2Ф удлинили: в него можно было упрятать одну бомбу ФАБ-1000М43 (для этого пришлось немного укоротить стабилизатор), одну ФАБ-500М43 (тоже "обрезанную"), пару штатных ФАБ-250 или девять ФАБ-100. Большая часть вариантов предусматривала применение их как с горизонтального полета, так и с пикирования под углом 40-70°. На внешней подвеске два замка МДЗ-40 обеспечивали возможность установки еще двух ФАБ-500 (или бомб меньшего калибра). Максимальная бомбовая нагрузка по сравнению с сериинои "пешкой" возрастала в полтора раза, зато нормальная, при которой впоследствии снимали летно- технические характеристики, даже уменьшилась до 500 кг (12042).</w:t>
      </w:r>
    </w:p>
    <w:p w14:paraId="4FC5E74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45794F" w14:textId="77777777" w:rsidR="00E00646" w:rsidRPr="007224C3" w:rsidRDefault="00E00646" w:rsidP="007224C3">
      <w:pPr>
        <w:spacing w:after="0" w:line="240" w:lineRule="auto"/>
        <w:jc w:val="both"/>
        <w:rPr>
          <w:rFonts w:ascii="Times New Roman" w:hAnsi="Times New Roman"/>
          <w:bCs/>
          <w:color w:val="000000" w:themeColor="text1"/>
          <w:sz w:val="16"/>
          <w:szCs w:val="16"/>
        </w:rPr>
      </w:pPr>
      <w:r w:rsidRPr="007224C3">
        <w:rPr>
          <w:rFonts w:ascii="Times New Roman" w:hAnsi="Times New Roman"/>
          <w:bCs/>
          <w:color w:val="000000" w:themeColor="text1"/>
          <w:sz w:val="16"/>
          <w:szCs w:val="16"/>
        </w:rPr>
        <w:t>12 января</w:t>
      </w:r>
      <w:r w:rsidRPr="007224C3">
        <w:rPr>
          <w:rFonts w:ascii="Times New Roman" w:hAnsi="Times New Roman"/>
          <w:color w:val="000000" w:themeColor="text1"/>
          <w:sz w:val="16"/>
          <w:szCs w:val="16"/>
        </w:rPr>
        <w:t xml:space="preserve"> в 1944 году Постановление Государственного Комитета Обороны № 4934 «О постройке самолетов «Пе-2» с двумя моторами «М-107 А» в варианте дневного бомбардировщика». Исходным этапом для нового «Пе-2И» стал «Пе-2Ф». Самолёт оснащался двигателями «М-107А» и по своим характеристикам превосходил серийные экземпляры, но выявленные при испытаниях многочисленные дефекты винтомоторной группы и малый ресурс двигателей не позволил запустить «Пе-2Ф» в серию. Следующий опытный образец («Пе-2Д») имел тот же мотор, но фонарь кабины пилотов сильно изменили и установили турель типа «ФЗ». В ноябре 1943 года завод №22 начал изготовление узлов и агрегатов для этой машины, но вскоре работы по ней свернули, сконцентрировавшись на гораздо более совершенной модификации – «Пе-2И». При этом «Пе-2Ф» продолжали использовать в качестве опытно-эксперементальной машины для опробации нововведений, примененных затем на «Пе-2И» и «ДВБ-108».</w:t>
      </w:r>
    </w:p>
    <w:p w14:paraId="624BBD97" w14:textId="77777777" w:rsidR="00E00646" w:rsidRPr="007224C3" w:rsidRDefault="00E0064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Общее с обычным «Пе-2» было только обозначение. Самолёт подвергли переработке, существенно изменив его конструкцию. По сути «Пе-2И» представлял собой совершенно новую машину - частично изменили профиль и площадь крыла, улучшили аэродинамику фюзеляжа, установили двигатели «ВК-107А» (1500 л.с.) в новых капотах и винты «ВИШ-107ТЛ5», экипаж сократили до двух человек за счет отказа от штатного места стрелка-радиста. Вооружение состояло из носового орудия «УБ-20» (на опытных самолётах вместо него стоял пулемет УБК) и дистанционно управляемого пулемета УБК в хвостовом коке. В бомбоотсеке можно было разместить либо одну бомбу типа «ФАБ-1000», или две «ФАБ-500», или девять «ФАБ-100». В хвостовой части фюзеляжа располагались два держателя для авиагранат «ДАГ-10».Макет самолёта представили в феврале 1944 года, а 6 апреля первый Пе-2И был облётан капитаном А.Г.Васильченко. В середине апреля удалось достигнуть скорости 654 км\ч и расчетной дальности полёта, но при этом моторы «ВК-107А» работали отвратительно заставив заводскую бригаду менять их в общей сложности (с апреля по июль 1944 г.) пять раз! Тем не менее, в конце мая ГОКО принял решение о постройке малой серии «Пе-2И» на заводе № 22. Планируемые пять самолётов так и не были сделаны, ограничившись изготовлением всего двух «Пе-2И». Наибольшие трудности при производстве вызвала ДЭУ, работу которой так и не смогли довести до требуемого уровня надежности. Работы продолжились с созданием модификации «Пе-2М». Самолёт снова стал трехместным, ДЭУ заменили на обычное штурманское орудие «УБ-20» на подвижной установке «ВУ-5-20». Стрелок также получил пушку «УБ-20» в установке «ЛУС-20». К июлю 1945 года построили всего четыре «Пе-2М», в строевые части которые не передавались (15007).</w:t>
      </w:r>
    </w:p>
    <w:p w14:paraId="0EB5274B" w14:textId="77777777" w:rsidR="00E00646" w:rsidRPr="007224C3" w:rsidRDefault="00E00646" w:rsidP="007224C3">
      <w:pPr>
        <w:spacing w:after="0" w:line="240" w:lineRule="auto"/>
        <w:jc w:val="both"/>
        <w:rPr>
          <w:rFonts w:ascii="Times New Roman" w:hAnsi="Times New Roman"/>
          <w:color w:val="000000" w:themeColor="text1"/>
          <w:sz w:val="16"/>
          <w:szCs w:val="16"/>
        </w:rPr>
      </w:pPr>
    </w:p>
    <w:p w14:paraId="56B12F2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12 января по 8 апреля 1944 л В.Е.Голофастов и и М.А.Пронин проводил испытания Як-9К с ВК-105ПФ и ВИШ-62П диаметром 3.0 м и с НС-45 и в апреле-июле 1944 сделали войсковую серию из 53 машин. Большой серии не было, так как пушка была ненадежна. НС-45 была с дульным тормозом, выступающим на 370 мм, и 29 снарядами и в дополнение ставился УБС. Прицельная стрельба была возможна на скорости, больше 350 км/час очередями по 2-3 выстрела (65,131).</w:t>
      </w:r>
    </w:p>
    <w:p w14:paraId="6669D86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9F07D0" w14:textId="77777777" w:rsidR="00292637" w:rsidRPr="007224C3" w:rsidRDefault="00292637" w:rsidP="007224C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С 12 января по 8 апреля 1944 г. Як-9К проходил государственные испытания (летчик В. Е. Голофастов, инженер М.А.Пронин). Поскольку пушка НС-45, крепившаяся в двигателе М-105ПФ в трех точках — двух передних и одной задней весила даже меньше, чем НС-37, летные характеристики Яка практически остались неизменными. Несколько портил аэродинамику мощный дульный тормоз, выступавший из кока винта на 370 мм, из-за чего машина стала чуть более инертной в маневре и динамике. Боезапас пушки составлял 29 выстрелов. Вооружение Як-9К дополнял синхронный пулемет УБС с боекомплектом 200 патронов. Гильзы и звенья пушки и пулемета собирались в специальные сборники. На приборной доске в кабине летчика был установлен счетчик снарядов пушки. Управление огнем — комбинированное пневмоэлектрическое. Стрельбу из пушки и пулемета можно было вести раздельно и одновременно от двух электрокнопок, расположенных на ручке управления самолетом. Имелся коллиматорный прицел ПБП-1а.</w:t>
      </w:r>
    </w:p>
    <w:p w14:paraId="40FB72BB" w14:textId="77777777" w:rsidR="00292637" w:rsidRPr="007224C3" w:rsidRDefault="00292637" w:rsidP="007224C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При стрельбе из пушки НС-45 отдача воздействовала на самолет значительно больше, чем при калибре 37 мм. Чем больше была скорость полета и угол пикирования, тем меньшее влияние на самолет оказывала отдача. При стрельбе на скорости меньше 350 км/ч самолет резко разворачивался, а летчик при этом на своем сидении совершал резкие движения вперед-назад. Прицельная стрельба была возможна и эффективна на скоростях, больших 350 км/ч, и при коротких очередях в 2-3 выстрела. Большая сила отдачи пушки НС-45 оказывала существенное влияние на конструкцию самолета, приводя к течи масла и воды через различные уплотнения и трещины в трубопроводах, радиаторах и т.д.</w:t>
      </w:r>
    </w:p>
    <w:p w14:paraId="096D444E" w14:textId="77777777" w:rsidR="00292637" w:rsidRPr="007224C3" w:rsidRDefault="00292637" w:rsidP="007224C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Тем не менее, испытания, в целом, были признаны удовлетворительными и в период апреля — июля 1944 года была построена войсковая серия из 53 Як-9К (19200).</w:t>
      </w:r>
    </w:p>
    <w:p w14:paraId="3FE22C0B" w14:textId="77777777" w:rsidR="00292637" w:rsidRPr="007224C3" w:rsidRDefault="00292637" w:rsidP="007224C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p>
    <w:p w14:paraId="62C0755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12 января 1944 года по 18 января 1944 года, заводом N 115 доводились установки вооружения на Як-9У с ВЯ, причем одновременно устранялись и некоторые дефекты по планеру и ВМГ (вывод трубки суфлера за капот, неуборка хвостового колеса, тряска мотора из-за плохой балансировки винта) (1821,34).</w:t>
      </w:r>
    </w:p>
    <w:p w14:paraId="0C617DA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1EC96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января 1944 на 292 заводе началось серийное производство Як-3 (2989).</w:t>
      </w:r>
    </w:p>
    <w:p w14:paraId="1F21952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814507" w14:textId="77777777" w:rsidR="00F16AE1" w:rsidRPr="007224C3" w:rsidRDefault="00F16AE1"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12 января 1944 г. саратовский завод № 292 начал изготовление первых деталей на Як-3, 1 марта закончили сборку самолета 06-01 (6-я машина 1-й серии поспела первой: пока самолет строился не на конвейере), а 8-го он сделал первый 10-минутный полет вокруг заводского аэродрома (22751).</w:t>
      </w:r>
    </w:p>
    <w:p w14:paraId="6941E745" w14:textId="77777777" w:rsidR="00F16AE1" w:rsidRPr="007224C3" w:rsidRDefault="00F16AE1" w:rsidP="007224C3">
      <w:pPr>
        <w:spacing w:after="0" w:line="240" w:lineRule="auto"/>
        <w:jc w:val="both"/>
        <w:rPr>
          <w:rFonts w:ascii="Times New Roman" w:hAnsi="Times New Roman"/>
          <w:color w:val="0070C0"/>
          <w:sz w:val="16"/>
          <w:szCs w:val="16"/>
        </w:rPr>
      </w:pPr>
    </w:p>
    <w:p w14:paraId="6663514E"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0B33054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F5DB2B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января 1944 г. была подготовлена СПРАВКА ГБТУ О ПОСТУПЛЕНИИ ИМПОРТНЫХ ТАНКОВ ЗА ПЕРИОД С 1 ИЮЛЯ 1941 г. ПО 1 ЯНВАРЯ 1944 г.</w:t>
      </w:r>
    </w:p>
    <w:tbl>
      <w:tblPr>
        <w:tblW w:w="0" w:type="auto"/>
        <w:tblInd w:w="40" w:type="dxa"/>
        <w:tblLayout w:type="fixed"/>
        <w:tblCellMar>
          <w:left w:w="40" w:type="dxa"/>
          <w:right w:w="40" w:type="dxa"/>
        </w:tblCellMar>
        <w:tblLook w:val="0000" w:firstRow="0" w:lastRow="0" w:firstColumn="0" w:lastColumn="0" w:noHBand="0" w:noVBand="0"/>
      </w:tblPr>
      <w:tblGrid>
        <w:gridCol w:w="1718"/>
        <w:gridCol w:w="1709"/>
        <w:gridCol w:w="1709"/>
        <w:gridCol w:w="1709"/>
        <w:gridCol w:w="1738"/>
      </w:tblGrid>
      <w:tr w:rsidR="006331D6" w:rsidRPr="007224C3" w14:paraId="1691D188" w14:textId="77777777">
        <w:trPr>
          <w:trHeight w:val="278"/>
        </w:trPr>
        <w:tc>
          <w:tcPr>
            <w:tcW w:w="1718" w:type="dxa"/>
            <w:tcBorders>
              <w:top w:val="single" w:sz="6" w:space="0" w:color="auto"/>
              <w:left w:val="single" w:sz="6" w:space="0" w:color="auto"/>
              <w:bottom w:val="single" w:sz="6" w:space="0" w:color="auto"/>
              <w:right w:val="single" w:sz="6" w:space="0" w:color="auto"/>
            </w:tcBorders>
          </w:tcPr>
          <w:p w14:paraId="089D9BA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Наименование</w:t>
            </w:r>
          </w:p>
          <w:p w14:paraId="21691D9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58A15EC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1.7.41 г. по 1.1.42 г.</w:t>
            </w:r>
          </w:p>
          <w:p w14:paraId="41BEF81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563FD8A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1942 г.</w:t>
            </w:r>
          </w:p>
          <w:p w14:paraId="6A6854A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3F83F1B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1943 г.</w:t>
            </w:r>
          </w:p>
          <w:p w14:paraId="43DCE70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0C97C07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w:t>
            </w:r>
          </w:p>
          <w:p w14:paraId="34BECB8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72D903C6" w14:textId="77777777">
        <w:trPr>
          <w:trHeight w:val="278"/>
        </w:trPr>
        <w:tc>
          <w:tcPr>
            <w:tcW w:w="1718" w:type="dxa"/>
            <w:tcBorders>
              <w:top w:val="single" w:sz="6" w:space="0" w:color="auto"/>
              <w:left w:val="single" w:sz="6" w:space="0" w:color="auto"/>
              <w:bottom w:val="single" w:sz="6" w:space="0" w:color="auto"/>
              <w:right w:val="single" w:sz="6" w:space="0" w:color="auto"/>
            </w:tcBorders>
          </w:tcPr>
          <w:p w14:paraId="732014B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Тяжелых танков</w:t>
            </w:r>
          </w:p>
          <w:p w14:paraId="30C68C5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4C01B3F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786157C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497159B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84</w:t>
            </w:r>
          </w:p>
          <w:p w14:paraId="1C8B950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31E0F55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169</w:t>
            </w:r>
          </w:p>
          <w:p w14:paraId="1E304B7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3DCB032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253</w:t>
            </w:r>
          </w:p>
          <w:p w14:paraId="30456FA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516CC041" w14:textId="77777777">
        <w:trPr>
          <w:trHeight w:val="269"/>
        </w:trPr>
        <w:tc>
          <w:tcPr>
            <w:tcW w:w="1718" w:type="dxa"/>
            <w:tcBorders>
              <w:top w:val="single" w:sz="6" w:space="0" w:color="auto"/>
              <w:left w:val="single" w:sz="6" w:space="0" w:color="auto"/>
              <w:bottom w:val="single" w:sz="6" w:space="0" w:color="auto"/>
              <w:right w:val="single" w:sz="6" w:space="0" w:color="auto"/>
            </w:tcBorders>
          </w:tcPr>
          <w:p w14:paraId="0A72C64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Средних танков</w:t>
            </w:r>
          </w:p>
          <w:p w14:paraId="702D7BA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1BEE1BD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145</w:t>
            </w:r>
          </w:p>
          <w:p w14:paraId="18AF2DA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1377F12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1474</w:t>
            </w:r>
          </w:p>
          <w:p w14:paraId="7B6B64E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620B7FF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749</w:t>
            </w:r>
          </w:p>
          <w:p w14:paraId="6E38CC1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13FB8D3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2368</w:t>
            </w:r>
          </w:p>
          <w:p w14:paraId="34663E3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12549431" w14:textId="77777777">
        <w:trPr>
          <w:trHeight w:val="278"/>
        </w:trPr>
        <w:tc>
          <w:tcPr>
            <w:tcW w:w="1718" w:type="dxa"/>
            <w:tcBorders>
              <w:top w:val="single" w:sz="6" w:space="0" w:color="auto"/>
              <w:left w:val="single" w:sz="6" w:space="0" w:color="auto"/>
              <w:bottom w:val="single" w:sz="6" w:space="0" w:color="auto"/>
              <w:right w:val="single" w:sz="6" w:space="0" w:color="auto"/>
            </w:tcBorders>
          </w:tcPr>
          <w:p w14:paraId="5418716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Легких танков</w:t>
            </w:r>
          </w:p>
          <w:p w14:paraId="48C2621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6438F91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216</w:t>
            </w:r>
          </w:p>
          <w:p w14:paraId="78B9F70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1146761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1956</w:t>
            </w:r>
          </w:p>
          <w:p w14:paraId="572C891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629467E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2036</w:t>
            </w:r>
          </w:p>
          <w:p w14:paraId="7262473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3F528AA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4208</w:t>
            </w:r>
          </w:p>
          <w:p w14:paraId="5C9D1C5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12799DED" w14:textId="77777777">
        <w:trPr>
          <w:trHeight w:val="298"/>
        </w:trPr>
        <w:tc>
          <w:tcPr>
            <w:tcW w:w="1718" w:type="dxa"/>
            <w:tcBorders>
              <w:top w:val="single" w:sz="6" w:space="0" w:color="auto"/>
              <w:left w:val="single" w:sz="6" w:space="0" w:color="auto"/>
              <w:bottom w:val="single" w:sz="6" w:space="0" w:color="auto"/>
              <w:right w:val="single" w:sz="6" w:space="0" w:color="auto"/>
            </w:tcBorders>
          </w:tcPr>
          <w:p w14:paraId="51C5CED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Итого:</w:t>
            </w:r>
          </w:p>
          <w:p w14:paraId="2C9C693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077E3B4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361</w:t>
            </w:r>
          </w:p>
          <w:p w14:paraId="10B4DEC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05D30C7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3514</w:t>
            </w:r>
          </w:p>
          <w:p w14:paraId="0C916C4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41F4754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2954</w:t>
            </w:r>
          </w:p>
          <w:p w14:paraId="5A4309B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58D7A54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6829</w:t>
            </w:r>
          </w:p>
          <w:p w14:paraId="63ECE77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EAC35B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Начальник 5-го отдела танкового управления ГБТУ КА инженер-майор Билеткин</w:t>
      </w:r>
    </w:p>
    <w:p w14:paraId="0F954BD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38. Оп. 11355. Д. 656. Л. 2. Подлинник (11403).</w:t>
      </w:r>
    </w:p>
    <w:p w14:paraId="6D8ACD2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0ECE91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января 1944 г. была подготовлена СПРАВКА ГБТУ О ПОСТУПЛЕНИИ ИМПОРТНОГО ВООРУЖЕНИЯ ЗА ПЕРИОД С 1 ИЮЛЯ 1941 г. ПО 1 ЯНВАРЯ 1944 г.</w:t>
      </w:r>
    </w:p>
    <w:tbl>
      <w:tblPr>
        <w:tblW w:w="0" w:type="auto"/>
        <w:tblInd w:w="40" w:type="dxa"/>
        <w:tblLayout w:type="fixed"/>
        <w:tblCellMar>
          <w:left w:w="40" w:type="dxa"/>
          <w:right w:w="40" w:type="dxa"/>
        </w:tblCellMar>
        <w:tblLook w:val="0000" w:firstRow="0" w:lastRow="0" w:firstColumn="0" w:lastColumn="0" w:noHBand="0" w:noVBand="0"/>
      </w:tblPr>
      <w:tblGrid>
        <w:gridCol w:w="2928"/>
        <w:gridCol w:w="1440"/>
        <w:gridCol w:w="1709"/>
        <w:gridCol w:w="1546"/>
        <w:gridCol w:w="1536"/>
      </w:tblGrid>
      <w:tr w:rsidR="006331D6" w:rsidRPr="007224C3" w14:paraId="20F3F1A3" w14:textId="77777777">
        <w:trPr>
          <w:trHeight w:val="278"/>
        </w:trPr>
        <w:tc>
          <w:tcPr>
            <w:tcW w:w="2928" w:type="dxa"/>
            <w:tcBorders>
              <w:top w:val="single" w:sz="6" w:space="0" w:color="auto"/>
              <w:left w:val="single" w:sz="6" w:space="0" w:color="auto"/>
              <w:bottom w:val="nil"/>
              <w:right w:val="single" w:sz="6" w:space="0" w:color="auto"/>
            </w:tcBorders>
          </w:tcPr>
          <w:p w14:paraId="1BB62F4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Наименование</w:t>
            </w:r>
          </w:p>
          <w:p w14:paraId="3740AB8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nil"/>
              <w:right w:val="single" w:sz="6" w:space="0" w:color="auto"/>
            </w:tcBorders>
          </w:tcPr>
          <w:p w14:paraId="4701659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 поступило</w:t>
            </w:r>
          </w:p>
          <w:p w14:paraId="1BA3710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791" w:type="dxa"/>
            <w:gridSpan w:val="3"/>
            <w:tcBorders>
              <w:top w:val="single" w:sz="6" w:space="0" w:color="auto"/>
              <w:left w:val="single" w:sz="6" w:space="0" w:color="auto"/>
              <w:bottom w:val="single" w:sz="6" w:space="0" w:color="auto"/>
              <w:right w:val="single" w:sz="6" w:space="0" w:color="auto"/>
            </w:tcBorders>
          </w:tcPr>
          <w:p w14:paraId="683305B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 них:</w:t>
            </w:r>
          </w:p>
          <w:p w14:paraId="086EE28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5F15D6B3" w14:textId="77777777">
        <w:trPr>
          <w:trHeight w:val="259"/>
        </w:trPr>
        <w:tc>
          <w:tcPr>
            <w:tcW w:w="2928" w:type="dxa"/>
            <w:tcBorders>
              <w:top w:val="nil"/>
              <w:left w:val="single" w:sz="6" w:space="0" w:color="auto"/>
              <w:bottom w:val="single" w:sz="6" w:space="0" w:color="auto"/>
              <w:right w:val="single" w:sz="6" w:space="0" w:color="auto"/>
            </w:tcBorders>
          </w:tcPr>
          <w:p w14:paraId="4989C95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45FDE14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single" w:sz="6" w:space="0" w:color="auto"/>
              <w:right w:val="single" w:sz="6" w:space="0" w:color="auto"/>
            </w:tcBorders>
          </w:tcPr>
          <w:p w14:paraId="37B73B8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0B7282E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4313C25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1.7.41 г. по 1.1.42 г.</w:t>
            </w:r>
          </w:p>
          <w:p w14:paraId="68142E5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6942C78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1942 г.</w:t>
            </w:r>
          </w:p>
          <w:p w14:paraId="41ED4C8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36" w:type="dxa"/>
            <w:tcBorders>
              <w:top w:val="single" w:sz="6" w:space="0" w:color="auto"/>
              <w:left w:val="single" w:sz="6" w:space="0" w:color="auto"/>
              <w:bottom w:val="single" w:sz="6" w:space="0" w:color="auto"/>
              <w:right w:val="single" w:sz="6" w:space="0" w:color="auto"/>
            </w:tcBorders>
          </w:tcPr>
          <w:p w14:paraId="479E942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1943 г.</w:t>
            </w:r>
          </w:p>
          <w:p w14:paraId="29A5F78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119C939B" w14:textId="77777777">
        <w:trPr>
          <w:trHeight w:val="269"/>
        </w:trPr>
        <w:tc>
          <w:tcPr>
            <w:tcW w:w="2928" w:type="dxa"/>
            <w:tcBorders>
              <w:top w:val="single" w:sz="6" w:space="0" w:color="auto"/>
              <w:left w:val="single" w:sz="6" w:space="0" w:color="auto"/>
              <w:bottom w:val="single" w:sz="6" w:space="0" w:color="auto"/>
              <w:right w:val="single" w:sz="6" w:space="0" w:color="auto"/>
            </w:tcBorders>
          </w:tcPr>
          <w:p w14:paraId="63DA770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Самоходная установка «СУ-57»</w:t>
            </w:r>
          </w:p>
          <w:p w14:paraId="4F14435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57695D7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241</w:t>
            </w:r>
          </w:p>
          <w:p w14:paraId="003382C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532D29B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06A6436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33737F5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70E8C85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36" w:type="dxa"/>
            <w:tcBorders>
              <w:top w:val="single" w:sz="6" w:space="0" w:color="auto"/>
              <w:left w:val="single" w:sz="6" w:space="0" w:color="auto"/>
              <w:bottom w:val="single" w:sz="6" w:space="0" w:color="auto"/>
              <w:right w:val="single" w:sz="6" w:space="0" w:color="auto"/>
            </w:tcBorders>
          </w:tcPr>
          <w:p w14:paraId="2D5A204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241</w:t>
            </w:r>
          </w:p>
          <w:p w14:paraId="7595DF1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0EF71E3F" w14:textId="77777777">
        <w:trPr>
          <w:trHeight w:val="278"/>
        </w:trPr>
        <w:tc>
          <w:tcPr>
            <w:tcW w:w="2928" w:type="dxa"/>
            <w:tcBorders>
              <w:top w:val="single" w:sz="6" w:space="0" w:color="auto"/>
              <w:left w:val="single" w:sz="6" w:space="0" w:color="auto"/>
              <w:bottom w:val="single" w:sz="6" w:space="0" w:color="auto"/>
              <w:right w:val="single" w:sz="6" w:space="0" w:color="auto"/>
            </w:tcBorders>
          </w:tcPr>
          <w:p w14:paraId="3ED76CC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Бронетранспортер «Брен»</w:t>
            </w:r>
          </w:p>
          <w:p w14:paraId="69744B4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2D79E0B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1636</w:t>
            </w:r>
          </w:p>
          <w:p w14:paraId="37AE2C6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2FEA9BE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330</w:t>
            </w:r>
          </w:p>
          <w:p w14:paraId="566AB12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561AD14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903</w:t>
            </w:r>
          </w:p>
          <w:p w14:paraId="5DDC504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36" w:type="dxa"/>
            <w:tcBorders>
              <w:top w:val="single" w:sz="6" w:space="0" w:color="auto"/>
              <w:left w:val="single" w:sz="6" w:space="0" w:color="auto"/>
              <w:bottom w:val="single" w:sz="6" w:space="0" w:color="auto"/>
              <w:right w:val="single" w:sz="6" w:space="0" w:color="auto"/>
            </w:tcBorders>
          </w:tcPr>
          <w:p w14:paraId="6800EE2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403</w:t>
            </w:r>
          </w:p>
          <w:p w14:paraId="06BCAAF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186EAF38" w14:textId="77777777">
        <w:trPr>
          <w:trHeight w:val="278"/>
        </w:trPr>
        <w:tc>
          <w:tcPr>
            <w:tcW w:w="2928" w:type="dxa"/>
            <w:tcBorders>
              <w:top w:val="single" w:sz="6" w:space="0" w:color="auto"/>
              <w:left w:val="single" w:sz="6" w:space="0" w:color="auto"/>
              <w:bottom w:val="single" w:sz="6" w:space="0" w:color="auto"/>
              <w:right w:val="single" w:sz="6" w:space="0" w:color="auto"/>
            </w:tcBorders>
          </w:tcPr>
          <w:p w14:paraId="395014E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Бронетранспортер « МЗА1 »</w:t>
            </w:r>
          </w:p>
          <w:p w14:paraId="503FB13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367EAB7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869</w:t>
            </w:r>
          </w:p>
          <w:p w14:paraId="3485440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778ECEA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3C9AB2E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15CE712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261</w:t>
            </w:r>
          </w:p>
          <w:p w14:paraId="2BD8D81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36" w:type="dxa"/>
            <w:tcBorders>
              <w:top w:val="single" w:sz="6" w:space="0" w:color="auto"/>
              <w:left w:val="single" w:sz="6" w:space="0" w:color="auto"/>
              <w:bottom w:val="single" w:sz="6" w:space="0" w:color="auto"/>
              <w:right w:val="single" w:sz="6" w:space="0" w:color="auto"/>
            </w:tcBorders>
          </w:tcPr>
          <w:p w14:paraId="38E5BC4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608</w:t>
            </w:r>
          </w:p>
          <w:p w14:paraId="60758B5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09DCBF65" w14:textId="77777777">
        <w:trPr>
          <w:trHeight w:val="278"/>
        </w:trPr>
        <w:tc>
          <w:tcPr>
            <w:tcW w:w="2928" w:type="dxa"/>
            <w:tcBorders>
              <w:top w:val="single" w:sz="6" w:space="0" w:color="auto"/>
              <w:left w:val="single" w:sz="6" w:space="0" w:color="auto"/>
              <w:bottom w:val="single" w:sz="6" w:space="0" w:color="auto"/>
              <w:right w:val="single" w:sz="6" w:space="0" w:color="auto"/>
            </w:tcBorders>
          </w:tcPr>
          <w:p w14:paraId="6944B66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Бронетранспортер «М-2»</w:t>
            </w:r>
          </w:p>
          <w:p w14:paraId="0C1797E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002BD2D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113</w:t>
            </w:r>
          </w:p>
          <w:p w14:paraId="2C43312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28C0A85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0206E24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5D2495D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83</w:t>
            </w:r>
          </w:p>
          <w:p w14:paraId="5F961CB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36" w:type="dxa"/>
            <w:tcBorders>
              <w:top w:val="single" w:sz="6" w:space="0" w:color="auto"/>
              <w:left w:val="single" w:sz="6" w:space="0" w:color="auto"/>
              <w:bottom w:val="single" w:sz="6" w:space="0" w:color="auto"/>
              <w:right w:val="single" w:sz="6" w:space="0" w:color="auto"/>
            </w:tcBorders>
          </w:tcPr>
          <w:p w14:paraId="1CD8C31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w:t>
            </w:r>
          </w:p>
          <w:p w14:paraId="42C13A0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56BFC02E" w14:textId="77777777">
        <w:trPr>
          <w:trHeight w:val="269"/>
        </w:trPr>
        <w:tc>
          <w:tcPr>
            <w:tcW w:w="2928" w:type="dxa"/>
            <w:tcBorders>
              <w:top w:val="single" w:sz="6" w:space="0" w:color="auto"/>
              <w:left w:val="single" w:sz="6" w:space="0" w:color="auto"/>
              <w:bottom w:val="single" w:sz="6" w:space="0" w:color="auto"/>
              <w:right w:val="single" w:sz="6" w:space="0" w:color="auto"/>
            </w:tcBorders>
          </w:tcPr>
          <w:p w14:paraId="74A741C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Ремонтные мастерские</w:t>
            </w:r>
          </w:p>
          <w:p w14:paraId="4F93896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6A0BC02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311</w:t>
            </w:r>
          </w:p>
          <w:p w14:paraId="5FD6D8A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5041712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799DD44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36E4B69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7F3D141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36" w:type="dxa"/>
            <w:tcBorders>
              <w:top w:val="single" w:sz="6" w:space="0" w:color="auto"/>
              <w:left w:val="single" w:sz="6" w:space="0" w:color="auto"/>
              <w:bottom w:val="single" w:sz="6" w:space="0" w:color="auto"/>
              <w:right w:val="single" w:sz="6" w:space="0" w:color="auto"/>
            </w:tcBorders>
          </w:tcPr>
          <w:p w14:paraId="6537DB3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311</w:t>
            </w:r>
          </w:p>
          <w:p w14:paraId="2AE2B82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4EED3406" w14:textId="77777777">
        <w:trPr>
          <w:trHeight w:val="278"/>
        </w:trPr>
        <w:tc>
          <w:tcPr>
            <w:tcW w:w="2928" w:type="dxa"/>
            <w:tcBorders>
              <w:top w:val="single" w:sz="6" w:space="0" w:color="auto"/>
              <w:left w:val="single" w:sz="6" w:space="0" w:color="auto"/>
              <w:bottom w:val="single" w:sz="6" w:space="0" w:color="auto"/>
              <w:right w:val="single" w:sz="6" w:space="0" w:color="auto"/>
            </w:tcBorders>
          </w:tcPr>
          <w:p w14:paraId="153C82E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Трайлеры 40 тонн</w:t>
            </w:r>
          </w:p>
          <w:p w14:paraId="4D76716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53E9003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37</w:t>
            </w:r>
          </w:p>
          <w:p w14:paraId="2CBB081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1E33263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2B4DD21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63827CF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20013F8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36" w:type="dxa"/>
            <w:tcBorders>
              <w:top w:val="single" w:sz="6" w:space="0" w:color="auto"/>
              <w:left w:val="single" w:sz="6" w:space="0" w:color="auto"/>
              <w:bottom w:val="single" w:sz="6" w:space="0" w:color="auto"/>
              <w:right w:val="single" w:sz="6" w:space="0" w:color="auto"/>
            </w:tcBorders>
          </w:tcPr>
          <w:p w14:paraId="6AEE635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37</w:t>
            </w:r>
          </w:p>
          <w:p w14:paraId="56672B1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54DF0DC2" w14:textId="77777777">
        <w:trPr>
          <w:trHeight w:val="298"/>
        </w:trPr>
        <w:tc>
          <w:tcPr>
            <w:tcW w:w="2928" w:type="dxa"/>
            <w:tcBorders>
              <w:top w:val="single" w:sz="6" w:space="0" w:color="auto"/>
              <w:left w:val="single" w:sz="6" w:space="0" w:color="auto"/>
              <w:bottom w:val="single" w:sz="6" w:space="0" w:color="auto"/>
              <w:right w:val="single" w:sz="6" w:space="0" w:color="auto"/>
            </w:tcBorders>
          </w:tcPr>
          <w:p w14:paraId="7CF1B12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Трайлеры 20 тонн</w:t>
            </w:r>
          </w:p>
          <w:p w14:paraId="5F252ED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308368B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w:t>
            </w:r>
          </w:p>
          <w:p w14:paraId="3C560B0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4BF2DD3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3F1E867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11194F2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12FDA54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36" w:type="dxa"/>
            <w:tcBorders>
              <w:top w:val="single" w:sz="6" w:space="0" w:color="auto"/>
              <w:left w:val="single" w:sz="6" w:space="0" w:color="auto"/>
              <w:bottom w:val="single" w:sz="6" w:space="0" w:color="auto"/>
              <w:right w:val="single" w:sz="6" w:space="0" w:color="auto"/>
            </w:tcBorders>
          </w:tcPr>
          <w:p w14:paraId="27B9FA5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w:t>
            </w:r>
          </w:p>
          <w:p w14:paraId="24C5D73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0C1FBA1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5-го отдела танкового управления ГБТУ КА</w:t>
      </w:r>
    </w:p>
    <w:p w14:paraId="3832224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инженер-майор Билеткин</w:t>
      </w:r>
    </w:p>
    <w:p w14:paraId="7659BA2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38. Оп. 11355. Д. 656. Л. 4. Подлинник (11403).</w:t>
      </w:r>
    </w:p>
    <w:p w14:paraId="6B48865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5856E61D"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января 1944 вышло Постановление ГКО № 4933 О мероприятиях по обеспечению работы Марийского целлюлозно-бумажного комбината Наркомбумпрома. Д.191, 94-97).</w:t>
      </w:r>
    </w:p>
    <w:p w14:paraId="18C6C206"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C0E31B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января 1944 вышло Постановление ГКО № 4935 О т.т. Кириченко А.И., Субботине Н.Е., Черешнюк В.И. РГАНИР, Фонд ГКО, д. 191, лл. 100 (11012).</w:t>
      </w:r>
    </w:p>
    <w:p w14:paraId="679591D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7008E1EF"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января 1944 вышло Распоряжение ГКО № 4936 [Об изготовлении и установке ротора к генератору турбины завода "Ростсельмаш".] (7172, 101).</w:t>
      </w:r>
    </w:p>
    <w:p w14:paraId="1FD07F31"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CAC4DE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января 1944 вышло Распоряжение ГКО № 4938. О передаче НКЭП для НКЭС генератора мощностью 12 тыс. квт. РГАНИР, Фонд ГКО, д. 191, лл. 103 (11012).</w:t>
      </w:r>
    </w:p>
    <w:p w14:paraId="193534E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293ADB7B"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января 1944 вышло Постановление ГКО № 4939 Об освобождении т. Пантина К.М. от обязанностей уполномоченного ГОКО по лесозаготовкам по Молотовской области и о назначении т. Борисова В.А. уполномоченным ГОКО по лесозаготовкам по Молотовской области. (7172, 104).</w:t>
      </w:r>
    </w:p>
    <w:p w14:paraId="5202D08E"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107AD6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января 1944 вышло Постановление ГКО № 4940 О частичном восстановлении Днепродзержинской электростанции, электросетей и подстанций Днепроэнерго. РГАНИР, Фонд ГКО, д. 191, лл. 105-106,107-113 (11012).</w:t>
      </w:r>
    </w:p>
    <w:p w14:paraId="2E933B4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6154FE5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января 1944 вышло Постановление ГКО № 4941 О плане распределения тракторов на I квартал 1944 года. РГАНИР, Фонд ГКО, д. 191, лл. 114-115,116-117 (11012).</w:t>
      </w:r>
    </w:p>
    <w:p w14:paraId="14AEEFC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163195C3"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января 1944 вышло Постановление ГКО № 4942 О плане производства и распределения подвижных ремонтных мастерских на I квартал 1944 г. (7172, 118-120,121-132).</w:t>
      </w:r>
    </w:p>
    <w:p w14:paraId="074B25F9"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8FC638C"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января 1944 вышло Постановление ГКО № 4943 О плане распределения автомобильных запасных частей на I квартал 1944 г. (7172, 133-134,135-151).</w:t>
      </w:r>
    </w:p>
    <w:p w14:paraId="3583E480"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FE1D8E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января 1944 года была подготовлена справка:</w:t>
      </w:r>
    </w:p>
    <w:p w14:paraId="364A8D3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 ВОВ основным заводом выпускавшим энергооборудование для крупных электростанций, был Ленинградский (бывш. Металлический) завод им. Сталина, ныне завод № 371.</w:t>
      </w:r>
    </w:p>
    <w:p w14:paraId="6518C13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Самым старым производством на ЛМЗ являлось котлостроение.</w:t>
      </w:r>
    </w:p>
    <w:p w14:paraId="01B917F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период с 1880 года до 1941 года заводом построено 3300 котлов.</w:t>
      </w:r>
    </w:p>
    <w:p w14:paraId="34D97FC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Паротурбостроение было начато на заводе в 1907 году и всего было выпущено 370 паровых турбин.</w:t>
      </w:r>
    </w:p>
    <w:p w14:paraId="1706CFD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Насосостроение было начато на заводе в 1905 году и изготовлено 4650 насосов.</w:t>
      </w:r>
    </w:p>
    <w:p w14:paraId="7B60CCA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Гидротурбостроение возникло на заводе с 1923 года. Всего выпущено 152 турбины.</w:t>
      </w:r>
    </w:p>
    <w:p w14:paraId="4B977F6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 революции завод в основном выпускал мелкие агрегаты по иностранным чертежам.</w:t>
      </w:r>
    </w:p>
    <w:p w14:paraId="0DFE70F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1938 году ЛМЗ был передан в НКВ ввиду намеченного расширения башенного производства. Развитие энергомашиностроения, естественно было задержано ……..</w:t>
      </w:r>
    </w:p>
    <w:p w14:paraId="753FE36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был эвакуирован, но часть станков осталась ……….</w:t>
      </w:r>
    </w:p>
    <w:p w14:paraId="2F03F16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основан в 1857 году</w:t>
      </w:r>
    </w:p>
    <w:p w14:paraId="455120E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период ВОВ на заводе было полностью прекращено энергопроизводство. В дальнейшем при эвакуации оборудования в первую очередь вывозилось оборудование турбинных и котельного цехов (9277).</w:t>
      </w:r>
    </w:p>
    <w:p w14:paraId="546772D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AD7BCC"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5D7304D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08DB41A" w14:textId="77777777" w:rsidR="00E00646" w:rsidRPr="007224C3" w:rsidRDefault="00E00646"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12 января</w:t>
      </w:r>
      <w:r w:rsidRPr="007224C3">
        <w:rPr>
          <w:rFonts w:ascii="Times New Roman" w:hAnsi="Times New Roman"/>
          <w:color w:val="000000" w:themeColor="text1"/>
          <w:sz w:val="16"/>
          <w:szCs w:val="16"/>
        </w:rPr>
        <w:t xml:space="preserve"> в 1944 году оперативная сводка Совинформбюро:</w:t>
      </w:r>
    </w:p>
    <w:p w14:paraId="774316EB" w14:textId="77777777" w:rsidR="00E00646" w:rsidRPr="007224C3" w:rsidRDefault="00E0064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Мозырьском направлении наши войска 11 января перешли в наступление и за два дня упорных боёв прорвали сильно укреплённую оборонительную полосу противника протяжением по фронту свыше 30 километров и в глубину до 15 километров. Нашими войсками освобождено более 30 населённых пунктов и среди них Козловичи, Давидовичи, Холодники, Домановичи, Ланпеки, Уболоть, Зеленочи, Кощичи, Бобровичи, Горочичи, Прудок, Шарейки и железнодорожная станция Горочичи.</w:t>
      </w:r>
    </w:p>
    <w:p w14:paraId="63D32E87" w14:textId="77777777" w:rsidR="00E00646" w:rsidRPr="007224C3" w:rsidRDefault="00E0064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1-го Украинского фронта, форсировав реку Случь, вчера, 11 января, штурмом овладели городом Сарны — крупным железнодорожным узлом и важным опорным пунктом обороны немцев на Полесском направлении, а также с боями заняли несколько других населённых пунктов и среди них районный центр Ровенской области город и крупную железнодорожную станцию Домбровица.</w:t>
      </w:r>
    </w:p>
    <w:p w14:paraId="37ACE64E" w14:textId="77777777" w:rsidR="00E00646" w:rsidRPr="007224C3" w:rsidRDefault="00E0064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и юго-западнее Новоград-Волынский наши войска продолжали наступление и заняли более 50 населённых пунктов, в том числе Мужиловичи, Пищев, Дуплинки, Тожир, Токарев, Закреничье, Вересна, Конотопы, Анусино.</w:t>
      </w:r>
    </w:p>
    <w:p w14:paraId="7F0C2270" w14:textId="77777777" w:rsidR="00E00646" w:rsidRPr="007224C3" w:rsidRDefault="00E0064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Восточнее Винницы наши войска отбивали контратаки крупных сил пехоты и танков противника.</w:t>
      </w:r>
    </w:p>
    <w:p w14:paraId="0F92164E" w14:textId="77777777" w:rsidR="00E00646" w:rsidRPr="007224C3" w:rsidRDefault="00E0064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Южнее Белая Церковь наши войска продолжали наступление и заняли несколько населённых пунктов.</w:t>
      </w:r>
    </w:p>
    <w:p w14:paraId="726E6C4D" w14:textId="77777777" w:rsidR="00E00646" w:rsidRPr="007224C3" w:rsidRDefault="00E0064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и северо-западнее Кировограда наши войска вели наступательные бои, входе которых выбили противника из нескольких сильно укреплённых опорных пунктов его обороны.</w:t>
      </w:r>
    </w:p>
    <w:p w14:paraId="113DA822" w14:textId="77777777" w:rsidR="00E00646" w:rsidRPr="007224C3" w:rsidRDefault="00E0064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 разведка, артиллерийско-миномётная перестрелка и в ряде пунктов бои местного значения.</w:t>
      </w:r>
    </w:p>
    <w:p w14:paraId="0567D208" w14:textId="77777777" w:rsidR="00E00646" w:rsidRPr="007224C3" w:rsidRDefault="00E0064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11 января наши войска на всех фронтах подбили и уничтожили 178 немецких танков. В воздушных боях и огнём зенитной артиллерии сбито 36 самолётов противника.</w:t>
      </w:r>
    </w:p>
    <w:p w14:paraId="7AF140CA" w14:textId="77777777" w:rsidR="00E00646" w:rsidRPr="007224C3" w:rsidRDefault="00E0064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На Мозырьском направлении наши войска после артиллерийской подготовки перешли в наступление. За два дня ожесточённых боёв советские пехотинцы и танкисты прорвали оборону немцев и заняли более 30 населённых пунктов. Неоднократные контратаки противника, пытавшегося восстановить положение, успеха не имели. В </w:t>
      </w:r>
      <w:r w:rsidRPr="007224C3">
        <w:rPr>
          <w:rFonts w:ascii="Times New Roman" w:hAnsi="Times New Roman"/>
          <w:color w:val="000000" w:themeColor="text1"/>
          <w:sz w:val="16"/>
          <w:szCs w:val="16"/>
        </w:rPr>
        <w:lastRenderedPageBreak/>
        <w:t>течение дня нашими частями уничтожено до 2 тысяч немецких солдат и офицеров, подбито и сожжено 22 танка, подавлен огонь 20 артиллерийских и миномётных батарей противника. Захвачены трофеи и пленные.</w:t>
      </w:r>
    </w:p>
    <w:p w14:paraId="144F74F4" w14:textId="77777777" w:rsidR="00E00646" w:rsidRPr="007224C3" w:rsidRDefault="00E0064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1-го Украинского фронта, развивая наступление, вчера, 11 января, штурмом овладели городом Сарны. Немцы, стремясь любой ценой удержать в своих руках этот крупный железнодорожный узел, оказывали упорное сопротивление. Советские части обошли Сарны с севера и юга, а передовые отряды вместе с партизанами прорвались на подступы к городу с запада. Этими ударами оборона противника была дезорганизована. Наши войска решительной атакой ворвалась в город и разгромили немецкий гарнизон. Овладев городом Сарны, наши бойцы захватили много трофеев, в том числе 30 орудий, 90 пулемётов, 80 грузовыхавтомашин, 300 лошадей, 200 повозок с грузами, склад винтовок и склад с вещевыми муществом. Севернее Сарны советские войска заняли районный центр Ровенской области город Домбровица. На станции Домбровица захвачены у немцев склады с военным имуществом и много железнодорожных вагонов.</w:t>
      </w:r>
    </w:p>
    <w:p w14:paraId="474679F3" w14:textId="77777777" w:rsidR="00E00646" w:rsidRPr="007224C3" w:rsidRDefault="00E0064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и юго-западнее города Новоград-Волынский наши войска с боями продвигались вперед и заняли более 50 населённых пунктов. Преследуя отступающегопротивника, части Н-ского соединения захватили 4 исправных немецких танка, 3 бронетранспортёра, 14 орудий, 67 пулемётов и два склада с боеприпасами.</w:t>
      </w:r>
    </w:p>
    <w:p w14:paraId="75C139CA" w14:textId="77777777" w:rsidR="00E00646" w:rsidRPr="007224C3" w:rsidRDefault="00E0064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Восточнее Винницы немцы подтянули крупные силы пехоты и танков и предприняли ряд ожесточённых контратак. Наши войска активными действиями и мощным огнём из всех видов оружия отбросили противника на исходные рубежи. В бесплодных контратаках немцы потеряли убитыми свыше 2 тысяч солдат и офицеров. Огнём артиллерии и бронебойщиков, а также в танковых боях подбито и уничтожено 86 вражеских танков, 8 самоходных орудий, 10 бронетранспортеров и 140 автомашин. На одной железнодорожной станции наши танкисты уничтожили только что прибывший немецкий воинский эшелон. В составе этого эшелона было 10 цистерн с горючим, 12 вагонов с боеприпасами и на платформах 6 самоходных орудий «Фердинанд».</w:t>
      </w:r>
    </w:p>
    <w:p w14:paraId="10D2E469" w14:textId="77777777" w:rsidR="00E00646" w:rsidRPr="007224C3" w:rsidRDefault="00E0064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и северо-западнее Кировограда наши войска вели наступательные бои и выбили немцев из нескольких сильно укреплённых пунктов. В течение дня уничтоженодо 1.000 гитлеровцев и 36 немецких танков. В одном районе советский моторизованный отряд прорвался во вражеский тыл. Стремительно продвигаясь вперёд, наши бойцы на одном из аэродромов сожгли 40 немецких самолётов. Действуя по тылам, этот же отряд разгромил штаб крупного соединения противника. Успешно выполнив поставленную перед ним задачу, отряд вернулся в расположение наших войск.</w:t>
      </w:r>
    </w:p>
    <w:p w14:paraId="05914486" w14:textId="77777777" w:rsidR="00E00646" w:rsidRPr="007224C3" w:rsidRDefault="00E0064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Группа ленинградских партизанских отрядов рассеяла немецкие подразделения, которые пытались угнать на каторгу в Германию жителей более 100 сёл и деревень. Гитлеровцы спешно сформировали крупную карательную экспедицию и 4 января направили её в населённые пункты, находившиеся под охраной партизан. Завязался ожесточённый бой, неоднократно переходивший в рукопашные схватки. Партизаны в течение двух дней сдерживали противника и дали возможность всем жителям эвакуироваться в безопасное место. В этом бою советские патриоты истребили свыше 400 немецких солдат и офицеров.</w:t>
      </w:r>
    </w:p>
    <w:p w14:paraId="30FE7AE2" w14:textId="77777777" w:rsidR="00E00646" w:rsidRPr="007224C3" w:rsidRDefault="00E0064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Жители города Кировограда — железнодорожный рабочий Андрей Колесников, служащий Василий Сидляров и другие — рассказали о чудовищных злодеяниях немецко-фашистских мерзавцев: «В первые же дни оккупации Кировограда немцы расстреляли несколько тысяч мирных жителей города. Гитлеровцы построили на базарной площади три виселицы, на которых вешали мирных советских граждан. Грабежи, аресты и убийства ни в чём не повинных людей не прекращались ни на один день. Седьмого ноября 1943 года гестаповцы устроили облавы в городе и произвели многочисленные аресты. Бандиты никого не щадили, они хватали больных, стариков,женщин и детей и бросали их в тюрьму. За две недели гитлеровские палачи расстреляли во дворе тюрьмы свыше двух тысяч человек. Недавно немцы согнали в Кировоград тысячи жителей окрестных сел для отправки их на каторгу в Германию.Успешное наступление войск Красной Армии, окруживших город, сорвало подлые замыслы немецких оккупантов. Красная Армия спасла многих жителей Кировограда и несколько тысяч колхозников от фашистского рабства» (15007).</w:t>
      </w:r>
    </w:p>
    <w:p w14:paraId="2DBCFE67" w14:textId="77777777" w:rsidR="00E00646" w:rsidRPr="007224C3" w:rsidRDefault="00E00646" w:rsidP="007224C3">
      <w:pPr>
        <w:spacing w:after="0" w:line="240" w:lineRule="auto"/>
        <w:jc w:val="both"/>
        <w:rPr>
          <w:rFonts w:ascii="Times New Roman" w:hAnsi="Times New Roman"/>
          <w:color w:val="000000" w:themeColor="text1"/>
          <w:sz w:val="16"/>
          <w:szCs w:val="16"/>
        </w:rPr>
      </w:pPr>
    </w:p>
    <w:p w14:paraId="46788824" w14:textId="77777777" w:rsidR="00E00646" w:rsidRPr="007224C3" w:rsidRDefault="00E00646"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12 января</w:t>
      </w:r>
      <w:r w:rsidRPr="007224C3">
        <w:rPr>
          <w:rFonts w:ascii="Times New Roman" w:hAnsi="Times New Roman"/>
          <w:color w:val="000000" w:themeColor="text1"/>
          <w:sz w:val="16"/>
          <w:szCs w:val="16"/>
        </w:rPr>
        <w:t xml:space="preserve"> в 1944 году войска 2-го Прибалтийского фронта перешли в наступление из района западнее города Новосокольники с целью разгромить немецкую 16-ю армию. Англо-американские войска начали наступление в Центральной Италии в районе города Кассино (15007).</w:t>
      </w:r>
    </w:p>
    <w:p w14:paraId="190B94F0" w14:textId="77777777" w:rsidR="00E00646" w:rsidRPr="007224C3" w:rsidRDefault="00E00646" w:rsidP="007224C3">
      <w:pPr>
        <w:spacing w:after="0" w:line="240" w:lineRule="auto"/>
        <w:jc w:val="both"/>
        <w:rPr>
          <w:rFonts w:ascii="Times New Roman" w:hAnsi="Times New Roman"/>
          <w:color w:val="000000" w:themeColor="text1"/>
          <w:sz w:val="16"/>
          <w:szCs w:val="16"/>
        </w:rPr>
      </w:pPr>
    </w:p>
    <w:p w14:paraId="6C5D761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января 1944 года 3-ю группу усилили 2 А-200, 5 Ил-2 и 2 Пе-2. 5 и 6 февраля в состав группы включили третью эскадрилью 11-го ГИАП, а также 4 Ил-2 и 1 А-200. Затем группу еще усилили немного. К моменту своего расформирования, 30 марта 1944 года группа потопила 11 транспортов и 20 самоходных барж, сбив при этом 78 самолетов. Потери группы составили 6 Ил4, 6 А-200, 6 Пе-2, 8 Ил-2, 7 Р-39 и один разведывательный самолет (2691).</w:t>
      </w:r>
    </w:p>
    <w:p w14:paraId="5887D4A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F4E59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января 1944 г. была подготовлена СПРАВКА НАЧАЛЬНИКА ГБТУ КА О НАЛИЧИИ АЭРОСАННЫХ ЧАСТЕЙ НА 10.01.1944 г.</w:t>
      </w:r>
    </w:p>
    <w:tbl>
      <w:tblPr>
        <w:tblW w:w="0" w:type="auto"/>
        <w:tblInd w:w="40" w:type="dxa"/>
        <w:tblLayout w:type="fixed"/>
        <w:tblCellMar>
          <w:left w:w="40" w:type="dxa"/>
          <w:right w:w="40" w:type="dxa"/>
        </w:tblCellMar>
        <w:tblLook w:val="0000" w:firstRow="0" w:lastRow="0" w:firstColumn="0" w:lastColumn="0" w:noHBand="0" w:noVBand="0"/>
      </w:tblPr>
      <w:tblGrid>
        <w:gridCol w:w="1632"/>
        <w:gridCol w:w="1699"/>
        <w:gridCol w:w="1699"/>
        <w:gridCol w:w="1843"/>
        <w:gridCol w:w="1872"/>
      </w:tblGrid>
      <w:tr w:rsidR="006331D6" w:rsidRPr="007224C3" w14:paraId="6B4D38B2" w14:textId="77777777">
        <w:trPr>
          <w:trHeight w:val="269"/>
        </w:trPr>
        <w:tc>
          <w:tcPr>
            <w:tcW w:w="1632" w:type="dxa"/>
            <w:tcBorders>
              <w:top w:val="single" w:sz="6" w:space="0" w:color="auto"/>
              <w:left w:val="single" w:sz="6" w:space="0" w:color="auto"/>
              <w:bottom w:val="nil"/>
              <w:right w:val="single" w:sz="6" w:space="0" w:color="auto"/>
            </w:tcBorders>
          </w:tcPr>
          <w:p w14:paraId="671918D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Где находятся</w:t>
            </w:r>
          </w:p>
          <w:p w14:paraId="48DBC0E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98" w:type="dxa"/>
            <w:gridSpan w:val="2"/>
            <w:tcBorders>
              <w:top w:val="single" w:sz="6" w:space="0" w:color="auto"/>
              <w:left w:val="single" w:sz="6" w:space="0" w:color="auto"/>
              <w:bottom w:val="single" w:sz="6" w:space="0" w:color="auto"/>
              <w:right w:val="single" w:sz="6" w:space="0" w:color="auto"/>
            </w:tcBorders>
          </w:tcPr>
          <w:p w14:paraId="3184705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Отдельные аэросанные батальоны</w:t>
            </w:r>
          </w:p>
          <w:p w14:paraId="40D61D8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Borders>
              <w:top w:val="single" w:sz="6" w:space="0" w:color="auto"/>
              <w:left w:val="single" w:sz="6" w:space="0" w:color="auto"/>
              <w:bottom w:val="nil"/>
              <w:right w:val="single" w:sz="6" w:space="0" w:color="auto"/>
            </w:tcBorders>
          </w:tcPr>
          <w:p w14:paraId="7136D9A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Резервные аэросанные роты</w:t>
            </w:r>
          </w:p>
          <w:p w14:paraId="60486B7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72" w:type="dxa"/>
            <w:tcBorders>
              <w:top w:val="single" w:sz="6" w:space="0" w:color="auto"/>
              <w:left w:val="single" w:sz="6" w:space="0" w:color="auto"/>
              <w:bottom w:val="nil"/>
              <w:right w:val="single" w:sz="6" w:space="0" w:color="auto"/>
            </w:tcBorders>
          </w:tcPr>
          <w:p w14:paraId="55500DB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Отдельные ремонтные аэросанные роты</w:t>
            </w:r>
          </w:p>
          <w:p w14:paraId="7B2C3DD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521EA979" w14:textId="77777777">
        <w:trPr>
          <w:trHeight w:val="259"/>
        </w:trPr>
        <w:tc>
          <w:tcPr>
            <w:tcW w:w="1632" w:type="dxa"/>
            <w:tcBorders>
              <w:top w:val="nil"/>
              <w:left w:val="single" w:sz="6" w:space="0" w:color="auto"/>
              <w:bottom w:val="single" w:sz="6" w:space="0" w:color="auto"/>
              <w:right w:val="single" w:sz="6" w:space="0" w:color="auto"/>
            </w:tcBorders>
          </w:tcPr>
          <w:p w14:paraId="0C84EB8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624CF61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3D8A560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Боевые</w:t>
            </w:r>
          </w:p>
          <w:p w14:paraId="7F12494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7B928F6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Транспортные</w:t>
            </w:r>
          </w:p>
          <w:p w14:paraId="4094FFA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Borders>
              <w:top w:val="nil"/>
              <w:left w:val="single" w:sz="6" w:space="0" w:color="auto"/>
              <w:bottom w:val="single" w:sz="6" w:space="0" w:color="auto"/>
              <w:right w:val="single" w:sz="6" w:space="0" w:color="auto"/>
            </w:tcBorders>
          </w:tcPr>
          <w:p w14:paraId="2F21307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74C396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72" w:type="dxa"/>
            <w:tcBorders>
              <w:top w:val="nil"/>
              <w:left w:val="single" w:sz="6" w:space="0" w:color="auto"/>
              <w:bottom w:val="single" w:sz="6" w:space="0" w:color="auto"/>
              <w:right w:val="single" w:sz="6" w:space="0" w:color="auto"/>
            </w:tcBorders>
          </w:tcPr>
          <w:p w14:paraId="3243739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B6711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5BCECA37" w14:textId="77777777">
        <w:trPr>
          <w:trHeight w:val="278"/>
        </w:trPr>
        <w:tc>
          <w:tcPr>
            <w:tcW w:w="1632" w:type="dxa"/>
            <w:tcBorders>
              <w:top w:val="single" w:sz="6" w:space="0" w:color="auto"/>
              <w:left w:val="single" w:sz="6" w:space="0" w:color="auto"/>
              <w:bottom w:val="single" w:sz="6" w:space="0" w:color="auto"/>
              <w:right w:val="single" w:sz="6" w:space="0" w:color="auto"/>
            </w:tcBorders>
          </w:tcPr>
          <w:p w14:paraId="7D58606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фронтах</w:t>
            </w:r>
          </w:p>
          <w:p w14:paraId="4277E46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0C8317A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w:t>
            </w:r>
          </w:p>
          <w:p w14:paraId="1C2FCE7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710F9E4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w:t>
            </w:r>
          </w:p>
          <w:p w14:paraId="7F38638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Borders>
              <w:top w:val="single" w:sz="6" w:space="0" w:color="auto"/>
              <w:left w:val="single" w:sz="6" w:space="0" w:color="auto"/>
              <w:bottom w:val="single" w:sz="6" w:space="0" w:color="auto"/>
              <w:right w:val="single" w:sz="6" w:space="0" w:color="auto"/>
            </w:tcBorders>
          </w:tcPr>
          <w:p w14:paraId="314F52E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w:t>
            </w:r>
          </w:p>
          <w:p w14:paraId="4B2CB43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72" w:type="dxa"/>
            <w:tcBorders>
              <w:top w:val="single" w:sz="6" w:space="0" w:color="auto"/>
              <w:left w:val="single" w:sz="6" w:space="0" w:color="auto"/>
              <w:bottom w:val="single" w:sz="6" w:space="0" w:color="auto"/>
              <w:right w:val="single" w:sz="6" w:space="0" w:color="auto"/>
            </w:tcBorders>
          </w:tcPr>
          <w:p w14:paraId="0D0BBB8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p w14:paraId="1626712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2F8CF520" w14:textId="77777777">
        <w:trPr>
          <w:trHeight w:val="278"/>
        </w:trPr>
        <w:tc>
          <w:tcPr>
            <w:tcW w:w="1632" w:type="dxa"/>
            <w:tcBorders>
              <w:top w:val="single" w:sz="6" w:space="0" w:color="auto"/>
              <w:left w:val="single" w:sz="6" w:space="0" w:color="auto"/>
              <w:bottom w:val="single" w:sz="6" w:space="0" w:color="auto"/>
              <w:right w:val="single" w:sz="6" w:space="0" w:color="auto"/>
            </w:tcBorders>
          </w:tcPr>
          <w:p w14:paraId="273087E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округах</w:t>
            </w:r>
          </w:p>
          <w:p w14:paraId="0BDAA6A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5E38003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p w14:paraId="256C92D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51496A8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w:t>
            </w:r>
          </w:p>
          <w:p w14:paraId="088816D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Borders>
              <w:top w:val="single" w:sz="6" w:space="0" w:color="auto"/>
              <w:left w:val="single" w:sz="6" w:space="0" w:color="auto"/>
              <w:bottom w:val="single" w:sz="6" w:space="0" w:color="auto"/>
              <w:right w:val="single" w:sz="6" w:space="0" w:color="auto"/>
            </w:tcBorders>
          </w:tcPr>
          <w:p w14:paraId="67E0AAC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w:t>
            </w:r>
          </w:p>
          <w:p w14:paraId="3104F72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72" w:type="dxa"/>
            <w:tcBorders>
              <w:top w:val="single" w:sz="6" w:space="0" w:color="auto"/>
              <w:left w:val="single" w:sz="6" w:space="0" w:color="auto"/>
              <w:bottom w:val="single" w:sz="6" w:space="0" w:color="auto"/>
              <w:right w:val="single" w:sz="6" w:space="0" w:color="auto"/>
            </w:tcBorders>
          </w:tcPr>
          <w:p w14:paraId="268B537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p w14:paraId="4A0EA99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1DF041F8" w14:textId="77777777">
        <w:trPr>
          <w:trHeight w:val="298"/>
        </w:trPr>
        <w:tc>
          <w:tcPr>
            <w:tcW w:w="1632" w:type="dxa"/>
            <w:tcBorders>
              <w:top w:val="single" w:sz="6" w:space="0" w:color="auto"/>
              <w:left w:val="single" w:sz="6" w:space="0" w:color="auto"/>
              <w:bottom w:val="single" w:sz="6" w:space="0" w:color="auto"/>
              <w:right w:val="single" w:sz="6" w:space="0" w:color="auto"/>
            </w:tcBorders>
          </w:tcPr>
          <w:p w14:paraId="4DA49C5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w:t>
            </w:r>
          </w:p>
          <w:p w14:paraId="3F0EE65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39A8441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w:t>
            </w:r>
          </w:p>
          <w:p w14:paraId="0748288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7648840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w:t>
            </w:r>
          </w:p>
          <w:p w14:paraId="56FE2CC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Borders>
              <w:top w:val="single" w:sz="6" w:space="0" w:color="auto"/>
              <w:left w:val="single" w:sz="6" w:space="0" w:color="auto"/>
              <w:bottom w:val="single" w:sz="6" w:space="0" w:color="auto"/>
              <w:right w:val="single" w:sz="6" w:space="0" w:color="auto"/>
            </w:tcBorders>
          </w:tcPr>
          <w:p w14:paraId="7009A51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w:t>
            </w:r>
          </w:p>
          <w:p w14:paraId="3D0F3D6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72" w:type="dxa"/>
            <w:tcBorders>
              <w:top w:val="single" w:sz="6" w:space="0" w:color="auto"/>
              <w:left w:val="single" w:sz="6" w:space="0" w:color="auto"/>
              <w:bottom w:val="single" w:sz="6" w:space="0" w:color="auto"/>
              <w:right w:val="single" w:sz="6" w:space="0" w:color="auto"/>
            </w:tcBorders>
          </w:tcPr>
          <w:p w14:paraId="0CB4189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p w14:paraId="7420808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51F891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Примечание:</w:t>
      </w:r>
    </w:p>
    <w:p w14:paraId="45DBAB9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Аэросаней в частях (в батальонах и резервных ротах) - 2716</w:t>
      </w:r>
    </w:p>
    <w:p w14:paraId="1753D24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Резерв аэросаней - 614</w:t>
      </w:r>
    </w:p>
    <w:p w14:paraId="05B777C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Общее количество аэросаней - 3330</w:t>
      </w:r>
    </w:p>
    <w:p w14:paraId="6A7B537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ГБТУ КА генерал-лейтенант танковых войск Вершинин</w:t>
      </w:r>
    </w:p>
    <w:p w14:paraId="183E5A0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38. Оп. 11358. Д. 212. Л. 28. Подлинник (11403).</w:t>
      </w:r>
    </w:p>
    <w:p w14:paraId="2B103E7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29395477"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января 1944 вышло Распоряжение ГКО № 4937 [О выделении НКВД для укомплектования конвойных войск 8 тыс. военнообязанных, годных к нестроевой службе.] (7172, 102).</w:t>
      </w:r>
    </w:p>
    <w:p w14:paraId="176A2F07"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F9AD231"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517E99E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0E3600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января 1944 состоялась первая атака против Монте-Кассино и общее наступление в Италии (2247,1).</w:t>
      </w:r>
    </w:p>
    <w:p w14:paraId="2DE6D07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D857BA"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января 1944 в Маракеше (Марокко) началась встреча Уинстона Черчилля и Шарля де Голля (4962).</w:t>
      </w:r>
    </w:p>
    <w:p w14:paraId="28AA282A"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2D3AE2F"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2DCE17E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676E9E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января 1944 был подготовлен проект Постановления ГКО О постройке модифицированного самолета Пе-8 с мотором М-82ФН на заводе № 22</w:t>
      </w:r>
    </w:p>
    <w:p w14:paraId="2AF8B00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целях улучшения летно-тактических данных самолета Пе-8 Государственный Комитет Обороны Постановляет:</w:t>
      </w:r>
    </w:p>
    <w:p w14:paraId="2185E20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Обязать Наркомавиапром тов. ШАХУРИНА, директора завода № 22 тов. ОКУЛОВА и главного конструктрора тов. НЕЗВАЛЬ</w:t>
      </w:r>
    </w:p>
    <w:p w14:paraId="283BCB3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спроектнровать и построить один модернизированный самолет Пе-8 с моторами М-82ФН с ТК-3 с улучшенными азродинамическими данными и увеличенной бом</w:t>
      </w:r>
      <w:r w:rsidRPr="007224C3">
        <w:rPr>
          <w:rFonts w:ascii="Times New Roman" w:hAnsi="Times New Roman"/>
          <w:color w:val="000000" w:themeColor="text1"/>
          <w:sz w:val="16"/>
          <w:szCs w:val="16"/>
        </w:rPr>
        <w:softHyphen/>
        <w:t>бовой нагрувкой. Самолет выпустить, внеся в него ,следующие изменения:</w:t>
      </w:r>
    </w:p>
    <w:p w14:paraId="18F056E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установить моторы М-82ФН с редукцией 9/16, оборудованные турбокомпрессорами ТК-3;</w:t>
      </w:r>
    </w:p>
    <w:p w14:paraId="57418AF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увеличить бомболюк в фюзеляже для внутренней подвески бомбы калибром 5000 кг или 6 бомб- по 1000 кг;</w:t>
      </w:r>
    </w:p>
    <w:p w14:paraId="087C28E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увеличить угол обстрела носовой стрелковой точки до 110°;</w:t>
      </w:r>
    </w:p>
    <w:p w14:paraId="1E39E83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 установить дополнительно две бортовые стрелковые точки;</w:t>
      </w:r>
    </w:p>
    <w:p w14:paraId="2E8EEFC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 уменьшить мидель фюзеляжа, переделать его носовую часть, обеспечив размещение обоих пилотов рядом и более переднее их расположение;</w:t>
      </w:r>
    </w:p>
    <w:p w14:paraId="3C90B48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е) закапотировать полностью колеса в убранном положении;</w:t>
      </w:r>
    </w:p>
    <w:p w14:paraId="166A6AB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ж) произвести герметизацию самолета.</w:t>
      </w:r>
    </w:p>
    <w:p w14:paraId="0B8D003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пред'явить на летные испытания к 1-му июля 1944 года со следующими летно-тактическими данными при .полетном весе 28 тонн: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6331D6" w:rsidRPr="007224C3" w14:paraId="1C64EC78" w14:textId="77777777">
        <w:tc>
          <w:tcPr>
            <w:tcW w:w="4788" w:type="dxa"/>
            <w:tcBorders>
              <w:top w:val="single" w:sz="12" w:space="0" w:color="auto"/>
            </w:tcBorders>
            <w:shd w:val="clear" w:color="auto" w:fill="FFFFFF"/>
          </w:tcPr>
          <w:p w14:paraId="3B4E22F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Скорость у земли</w:t>
            </w:r>
          </w:p>
        </w:tc>
        <w:tc>
          <w:tcPr>
            <w:tcW w:w="4788" w:type="dxa"/>
            <w:tcBorders>
              <w:top w:val="single" w:sz="12" w:space="0" w:color="auto"/>
            </w:tcBorders>
            <w:shd w:val="clear" w:color="auto" w:fill="FFFFFF"/>
          </w:tcPr>
          <w:p w14:paraId="3FA0F1B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390 км/час</w:t>
            </w:r>
          </w:p>
        </w:tc>
      </w:tr>
      <w:tr w:rsidR="006331D6" w:rsidRPr="007224C3" w14:paraId="44672B7A" w14:textId="77777777">
        <w:tc>
          <w:tcPr>
            <w:tcW w:w="4788" w:type="dxa"/>
            <w:shd w:val="clear" w:color="auto" w:fill="FFFFFF"/>
          </w:tcPr>
          <w:p w14:paraId="66D070E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 скорость на высоте 9000 мт</w:t>
            </w:r>
          </w:p>
        </w:tc>
        <w:tc>
          <w:tcPr>
            <w:tcW w:w="4788" w:type="dxa"/>
            <w:shd w:val="clear" w:color="auto" w:fill="FFFFFF"/>
          </w:tcPr>
          <w:p w14:paraId="6588991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500</w:t>
            </w:r>
          </w:p>
        </w:tc>
      </w:tr>
      <w:tr w:rsidR="006331D6" w:rsidRPr="007224C3" w14:paraId="0254AF60" w14:textId="77777777">
        <w:tc>
          <w:tcPr>
            <w:tcW w:w="4788" w:type="dxa"/>
            <w:shd w:val="clear" w:color="auto" w:fill="FFFFFF"/>
          </w:tcPr>
          <w:p w14:paraId="44FBD2C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Время под'ема на высоту 6000 мт</w:t>
            </w:r>
          </w:p>
        </w:tc>
        <w:tc>
          <w:tcPr>
            <w:tcW w:w="4788" w:type="dxa"/>
            <w:shd w:val="clear" w:color="auto" w:fill="FFFFFF"/>
          </w:tcPr>
          <w:p w14:paraId="0BD1952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мин.</w:t>
            </w:r>
          </w:p>
        </w:tc>
      </w:tr>
      <w:tr w:rsidR="006331D6" w:rsidRPr="007224C3" w14:paraId="450565F8" w14:textId="77777777">
        <w:tc>
          <w:tcPr>
            <w:tcW w:w="4788" w:type="dxa"/>
            <w:shd w:val="clear" w:color="auto" w:fill="FFFFFF"/>
          </w:tcPr>
          <w:p w14:paraId="05D8A90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Практический потолок</w:t>
            </w:r>
          </w:p>
        </w:tc>
        <w:tc>
          <w:tcPr>
            <w:tcW w:w="4788" w:type="dxa"/>
            <w:shd w:val="clear" w:color="auto" w:fill="FFFFFF"/>
          </w:tcPr>
          <w:p w14:paraId="63DA33E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11000 мт</w:t>
            </w:r>
          </w:p>
        </w:tc>
      </w:tr>
      <w:tr w:rsidR="006331D6" w:rsidRPr="007224C3" w14:paraId="31A2065D" w14:textId="77777777">
        <w:tc>
          <w:tcPr>
            <w:tcW w:w="4788" w:type="dxa"/>
            <w:shd w:val="clear" w:color="auto" w:fill="FFFFFF"/>
          </w:tcPr>
          <w:p w14:paraId="7B25B5D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Техническая дальность по боевому профилю с 2000 кг бомб при весе 35000 кг</w:t>
            </w:r>
          </w:p>
        </w:tc>
        <w:tc>
          <w:tcPr>
            <w:tcW w:w="4788" w:type="dxa"/>
            <w:shd w:val="clear" w:color="auto" w:fill="FFFFFF"/>
          </w:tcPr>
          <w:p w14:paraId="70BD84F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5000 км</w:t>
            </w:r>
          </w:p>
        </w:tc>
      </w:tr>
      <w:tr w:rsidR="006331D6" w:rsidRPr="007224C3" w14:paraId="13402771" w14:textId="77777777">
        <w:tc>
          <w:tcPr>
            <w:tcW w:w="4788" w:type="dxa"/>
            <w:shd w:val="clear" w:color="auto" w:fill="FFFFFF"/>
          </w:tcPr>
          <w:p w14:paraId="2FDAFE8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 с дополнительными, баками при весе 37500 кг</w:t>
            </w:r>
          </w:p>
        </w:tc>
        <w:tc>
          <w:tcPr>
            <w:tcW w:w="4788" w:type="dxa"/>
            <w:shd w:val="clear" w:color="auto" w:fill="FFFFFF"/>
          </w:tcPr>
          <w:p w14:paraId="7F62FAE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6000</w:t>
            </w:r>
          </w:p>
        </w:tc>
      </w:tr>
      <w:tr w:rsidR="006331D6" w:rsidRPr="007224C3" w14:paraId="5AB32969" w14:textId="77777777">
        <w:tc>
          <w:tcPr>
            <w:tcW w:w="4788" w:type="dxa"/>
            <w:shd w:val="clear" w:color="auto" w:fill="FFFFFF"/>
          </w:tcPr>
          <w:p w14:paraId="1F35E47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Техническая дальность по боевому профилю с 6000 кг бомб</w:t>
            </w:r>
          </w:p>
        </w:tc>
        <w:tc>
          <w:tcPr>
            <w:tcW w:w="4788" w:type="dxa"/>
            <w:shd w:val="clear" w:color="auto" w:fill="FFFFFF"/>
          </w:tcPr>
          <w:p w14:paraId="718A1E2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4200 км</w:t>
            </w:r>
          </w:p>
        </w:tc>
      </w:tr>
      <w:tr w:rsidR="006331D6" w:rsidRPr="007224C3" w14:paraId="365EC23F" w14:textId="77777777">
        <w:tc>
          <w:tcPr>
            <w:tcW w:w="4788" w:type="dxa"/>
            <w:shd w:val="clear" w:color="auto" w:fill="FFFFFF"/>
          </w:tcPr>
          <w:p w14:paraId="2648955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Техническая дальность по боевому профилю с 8000 кг бомб</w:t>
            </w:r>
          </w:p>
        </w:tc>
        <w:tc>
          <w:tcPr>
            <w:tcW w:w="4788" w:type="dxa"/>
            <w:shd w:val="clear" w:color="auto" w:fill="FFFFFF"/>
          </w:tcPr>
          <w:p w14:paraId="4996B9B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3100</w:t>
            </w:r>
          </w:p>
        </w:tc>
      </w:tr>
      <w:tr w:rsidR="006331D6" w:rsidRPr="007224C3" w14:paraId="28AADF72" w14:textId="77777777">
        <w:tc>
          <w:tcPr>
            <w:tcW w:w="4788" w:type="dxa"/>
            <w:tcBorders>
              <w:bottom w:val="single" w:sz="12" w:space="0" w:color="auto"/>
            </w:tcBorders>
            <w:shd w:val="clear" w:color="auto" w:fill="FFFFFF"/>
          </w:tcPr>
          <w:p w14:paraId="6C4EC9E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Разбег при максимальной полетном весе 37500 кг</w:t>
            </w:r>
          </w:p>
        </w:tc>
        <w:tc>
          <w:tcPr>
            <w:tcW w:w="4788" w:type="dxa"/>
            <w:tcBorders>
              <w:bottom w:val="single" w:sz="12" w:space="0" w:color="auto"/>
            </w:tcBorders>
            <w:shd w:val="clear" w:color="auto" w:fill="FFFFFF"/>
          </w:tcPr>
          <w:p w14:paraId="25A43C5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800 мт</w:t>
            </w:r>
          </w:p>
        </w:tc>
      </w:tr>
    </w:tbl>
    <w:p w14:paraId="3E4AE11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СТРЕЛКОВОЕ ВООРУЖЕНИЕ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6331D6" w:rsidRPr="007224C3" w14:paraId="5F36006F" w14:textId="77777777">
        <w:tc>
          <w:tcPr>
            <w:tcW w:w="4788" w:type="dxa"/>
            <w:tcBorders>
              <w:top w:val="single" w:sz="12" w:space="0" w:color="auto"/>
            </w:tcBorders>
            <w:shd w:val="clear" w:color="auto" w:fill="FFFFFF"/>
          </w:tcPr>
          <w:p w14:paraId="59AA36E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Носовая установка</w:t>
            </w:r>
          </w:p>
        </w:tc>
        <w:tc>
          <w:tcPr>
            <w:tcW w:w="4788" w:type="dxa"/>
            <w:tcBorders>
              <w:top w:val="single" w:sz="12" w:space="0" w:color="auto"/>
            </w:tcBorders>
            <w:shd w:val="clear" w:color="auto" w:fill="FFFFFF"/>
          </w:tcPr>
          <w:p w14:paraId="720905F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- 1 пул.кал.12,7 им с ко-нусои обстрела до 110° с боезапасом 200 патронов.</w:t>
            </w:r>
          </w:p>
        </w:tc>
      </w:tr>
      <w:tr w:rsidR="006331D6" w:rsidRPr="007224C3" w14:paraId="2275071E" w14:textId="77777777">
        <w:tc>
          <w:tcPr>
            <w:tcW w:w="4788" w:type="dxa"/>
            <w:shd w:val="clear" w:color="auto" w:fill="FFFFFF"/>
          </w:tcPr>
          <w:p w14:paraId="35BB955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Кормовая установка</w:t>
            </w:r>
          </w:p>
        </w:tc>
        <w:tc>
          <w:tcPr>
            <w:tcW w:w="4788" w:type="dxa"/>
            <w:shd w:val="clear" w:color="auto" w:fill="FFFFFF"/>
          </w:tcPr>
          <w:p w14:paraId="785CFD7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- 1 пушка кал.20 мм для об</w:t>
            </w:r>
            <w:r w:rsidRPr="007224C3">
              <w:rPr>
                <w:rFonts w:ascii="Times New Roman" w:hAnsi="Times New Roman"/>
                <w:color w:val="000000" w:themeColor="text1"/>
                <w:sz w:val="16"/>
                <w:szCs w:val="16"/>
              </w:rPr>
              <w:softHyphen/>
              <w:t>стрела .задней полусферы с ооезапасом 400 патронов.</w:t>
            </w:r>
          </w:p>
        </w:tc>
      </w:tr>
      <w:tr w:rsidR="006331D6" w:rsidRPr="007224C3" w14:paraId="4E26FA57" w14:textId="77777777">
        <w:tc>
          <w:tcPr>
            <w:tcW w:w="4788" w:type="dxa"/>
            <w:shd w:val="clear" w:color="auto" w:fill="FFFFFF"/>
          </w:tcPr>
          <w:p w14:paraId="7E9EBC9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Верхняя установка</w:t>
            </w:r>
          </w:p>
        </w:tc>
        <w:tc>
          <w:tcPr>
            <w:tcW w:w="4788" w:type="dxa"/>
            <w:shd w:val="clear" w:color="auto" w:fill="FFFFFF"/>
          </w:tcPr>
          <w:p w14:paraId="2AB71ED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- 1 пушка кал.20 мм для об</w:t>
            </w:r>
            <w:r w:rsidRPr="007224C3">
              <w:rPr>
                <w:rFonts w:ascii="Times New Roman" w:hAnsi="Times New Roman"/>
                <w:color w:val="000000" w:themeColor="text1"/>
                <w:sz w:val="16"/>
                <w:szCs w:val="16"/>
              </w:rPr>
              <w:softHyphen/>
              <w:t>стрела верхней полусферы с боезапасом 400 снарядов.</w:t>
            </w:r>
          </w:p>
        </w:tc>
      </w:tr>
      <w:tr w:rsidR="006331D6" w:rsidRPr="007224C3" w14:paraId="6CA529D0" w14:textId="77777777">
        <w:tc>
          <w:tcPr>
            <w:tcW w:w="4788" w:type="dxa"/>
            <w:shd w:val="clear" w:color="auto" w:fill="FFFFFF"/>
          </w:tcPr>
          <w:p w14:paraId="485ECC7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Бортовая установка</w:t>
            </w:r>
          </w:p>
        </w:tc>
        <w:tc>
          <w:tcPr>
            <w:tcW w:w="4788" w:type="dxa"/>
            <w:shd w:val="clear" w:color="auto" w:fill="FFFFFF"/>
          </w:tcPr>
          <w:p w14:paraId="77D6206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пул.кал.12,7 мм для об</w:t>
            </w:r>
            <w:r w:rsidRPr="007224C3">
              <w:rPr>
                <w:rFonts w:ascii="Times New Roman" w:hAnsi="Times New Roman"/>
                <w:color w:val="000000" w:themeColor="text1"/>
                <w:sz w:val="16"/>
                <w:szCs w:val="16"/>
              </w:rPr>
              <w:softHyphen/>
              <w:t>стрела вниз-назад с бое</w:t>
            </w:r>
            <w:r w:rsidRPr="007224C3">
              <w:rPr>
                <w:rFonts w:ascii="Times New Roman" w:hAnsi="Times New Roman"/>
                <w:color w:val="000000" w:themeColor="text1"/>
                <w:sz w:val="16"/>
                <w:szCs w:val="16"/>
              </w:rPr>
              <w:softHyphen/>
              <w:t>запасом 800 патронов.</w:t>
            </w:r>
          </w:p>
        </w:tc>
      </w:tr>
      <w:tr w:rsidR="006331D6" w:rsidRPr="007224C3" w14:paraId="026AC3B2" w14:textId="77777777">
        <w:tc>
          <w:tcPr>
            <w:tcW w:w="4788" w:type="dxa"/>
            <w:tcBorders>
              <w:bottom w:val="single" w:sz="12" w:space="0" w:color="auto"/>
            </w:tcBorders>
            <w:shd w:val="clear" w:color="auto" w:fill="FFFFFF"/>
          </w:tcPr>
          <w:p w14:paraId="1742051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Установка в обтекателях шасси</w:t>
            </w:r>
          </w:p>
        </w:tc>
        <w:tc>
          <w:tcPr>
            <w:tcW w:w="4788" w:type="dxa"/>
            <w:tcBorders>
              <w:bottom w:val="single" w:sz="12" w:space="0" w:color="auto"/>
            </w:tcBorders>
            <w:shd w:val="clear" w:color="auto" w:fill="FFFFFF"/>
          </w:tcPr>
          <w:p w14:paraId="5AC9952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- 2 пул.кал.12,7 мм для об</w:t>
            </w:r>
            <w:r w:rsidRPr="007224C3">
              <w:rPr>
                <w:rFonts w:ascii="Times New Roman" w:hAnsi="Times New Roman"/>
                <w:color w:val="000000" w:themeColor="text1"/>
                <w:sz w:val="16"/>
                <w:szCs w:val="16"/>
              </w:rPr>
              <w:softHyphen/>
              <w:t>стрела вперед-вниз и на</w:t>
            </w:r>
            <w:r w:rsidRPr="007224C3">
              <w:rPr>
                <w:rFonts w:ascii="Times New Roman" w:hAnsi="Times New Roman"/>
                <w:color w:val="000000" w:themeColor="text1"/>
                <w:sz w:val="16"/>
                <w:szCs w:val="16"/>
              </w:rPr>
              <w:softHyphen/>
              <w:t>зад-вниз с боезапасом 400 патронов.</w:t>
            </w:r>
          </w:p>
        </w:tc>
      </w:tr>
    </w:tbl>
    <w:p w14:paraId="54E239B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Калибр подвешиваемых бомб от 100 кг до 5000 кг.</w:t>
      </w:r>
    </w:p>
    <w:p w14:paraId="05CBED5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Для отработки винтомоторной группы самолета Пе-8 с моторами М-82ФН выпустить на летные испытания к 15-му Февраля 1944 года с этими моторами серийный самолет.</w:t>
      </w:r>
    </w:p>
    <w:p w14:paraId="7B5D936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НаркомфинуСССР тов. ЗВЕРЕВУ выделить НКАП из резервного фонда СНК СССР:</w:t>
      </w:r>
    </w:p>
    <w:p w14:paraId="4FED8E7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пять милионов рублей на проектирование и пос</w:t>
      </w:r>
      <w:r w:rsidRPr="007224C3">
        <w:rPr>
          <w:rFonts w:ascii="Times New Roman" w:hAnsi="Times New Roman"/>
          <w:color w:val="000000" w:themeColor="text1"/>
          <w:sz w:val="16"/>
          <w:szCs w:val="16"/>
        </w:rPr>
        <w:softHyphen/>
        <w:t>тройку модернизированного самолета Пе-8.</w:t>
      </w:r>
    </w:p>
    <w:p w14:paraId="6780662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для поощрения работников ОКБ и завода за выпол</w:t>
      </w:r>
      <w:r w:rsidRPr="007224C3">
        <w:rPr>
          <w:rFonts w:ascii="Times New Roman" w:hAnsi="Times New Roman"/>
          <w:color w:val="000000" w:themeColor="text1"/>
          <w:sz w:val="16"/>
          <w:szCs w:val="16"/>
        </w:rPr>
        <w:softHyphen/>
        <w:t>нение задания в установленный срок 500 тыс.рублей (1825).</w:t>
      </w:r>
    </w:p>
    <w:p w14:paraId="43DB624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55E02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января 1944 года Як-3 №1 с двигателем ВК-107А и снятым вооружением (взлетный вес 2800 кг) был поднят в воздух летчиком-испытателем генерал-майором инженерно-авиационной службы П.Я. Федрови (ведущий инженер - A.M. Дружинин).</w:t>
      </w:r>
    </w:p>
    <w:p w14:paraId="4386533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ходе заводских испытаний трижды меняли двигатели, выполнив 38 полетов обшей продолжительностью 14 часов 50 минут. Причиной тому было недостаточное охлаждение мотора. Фактически основные усилия испытателей были направлены на доводку силовой установки, и лишь после 25 полетов удалось приступить к снятию летных характеристик. К этому времени взлетный вес машины возросло 2984 кг, но продолжал оставаться рекордно низким по сравнению с самолетами противника, а нагрузка на взлетную мощность двигателя у него не превышала 1,81 кг/л.с. В то же время у трехточечного Bfl09G-2 она составляла 1,95 кг/л.с., у Bf 109G-6 - 1,97 кг/л.с., а у FW190A-4 и его варианта "А-8" - 2,52 кг/л.с.</w:t>
      </w:r>
    </w:p>
    <w:p w14:paraId="13339DF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Это, в сочетании с хорошей отделкой планера, позволило получить у земли скорость 611 км/ч, а на 2-й границе высотности (5750 метров) - 720 км/ч. Самолет поднимался на высоту 5000 метров за 3,9 минуты и за боевой разворот (с высоты 1000 метров) набирал 1500 метров, превзойдя Як-3 с мотором ВК-105ПФ2. Практический потолок машины составил 11 800 метров. По времени виража (17 - 18 секунд на высоте 1000 метров) самолет был сопоставим с Як-3 с двигателем ВК-105ПФ2. Правда, взлетно-посадочные данные ухудшились. Так, длина разбега возросла с 275 до 345 метров, а пробега - с 485 до 590 метров.</w:t>
      </w:r>
    </w:p>
    <w:p w14:paraId="3E406BB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технике пилотирования истребитель, как и его предшественник, был прост и доступен пилотам средней квалификации. Пилотажно-навигационное и специальное оборудование машины позволяло эксплуатировать его лишь в простых метеоусловиях при видимости земных ориентиров. Но был и положительный момент. Дальность устойчивой радиосвязи возросла как минимум до 100 км и отвечала требованиям заказчика.</w:t>
      </w:r>
    </w:p>
    <w:p w14:paraId="48713AE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ходе заводских испытаний дали о себе знать и дефекты вооружения. После 329 выстрелов сломался передний шкворень крепления правой пушки. Помимо этого, отмечался недостаточный противокапо- тажный угол (20,5 - 23,5 градуса) при требуемом 26,5 градуса.</w:t>
      </w:r>
    </w:p>
    <w:p w14:paraId="3AED673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 все эти достижения "тонули" на фоне тяжелого температурного режима и низкого ресурса двигателя. Свою негативную роль сыграла и плохая герметизация его трущихся частей. Достаточно сказать, что на высотах более 8200 метров падало давление бензина и масла ниже минимального предела 3,5 кг/см2 (12047).</w:t>
      </w:r>
    </w:p>
    <w:p w14:paraId="409D84C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75FB409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января 1944 второй экз. планера А-7М О.К.А., переделанный под 12-14 бойцов вместо 11 А.С.Москалевым был передан в ОИП ВДВ на войсковые испытания. Сохранилась тенденция сваливания в штопор. Выпустили небольшую серию и по предложению О.К.А. назвали АМ-14 (Антонов-Москалев) на 14 человек. В то же время возобновили производство однотипного Г-11 (94,75).</w:t>
      </w:r>
    </w:p>
    <w:p w14:paraId="42EA0EE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4AFF0D" w14:textId="77777777" w:rsidR="00DF6978" w:rsidRPr="007224C3" w:rsidRDefault="00DF697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января 1944 г. А-7М передали на войсковые испытания. По устойчивос</w:t>
      </w:r>
      <w:r w:rsidRPr="007224C3">
        <w:rPr>
          <w:rFonts w:ascii="Times New Roman" w:hAnsi="Times New Roman"/>
          <w:color w:val="000000" w:themeColor="text1"/>
          <w:sz w:val="16"/>
          <w:szCs w:val="16"/>
        </w:rPr>
        <w:softHyphen/>
        <w:t>ти и управляемости второй экземпляр оказался аналогичен серийному А-7, в том числе он демонстрировал тенден</w:t>
      </w:r>
      <w:r w:rsidRPr="007224C3">
        <w:rPr>
          <w:rFonts w:ascii="Times New Roman" w:hAnsi="Times New Roman"/>
          <w:color w:val="000000" w:themeColor="text1"/>
          <w:sz w:val="16"/>
          <w:szCs w:val="16"/>
        </w:rPr>
        <w:softHyphen/>
        <w:t>цию к сваливанию в штопор на малых скоростях. Из недостатков отметили также тесноту грузовой кабины, в кото</w:t>
      </w:r>
      <w:r w:rsidRPr="007224C3">
        <w:rPr>
          <w:rFonts w:ascii="Times New Roman" w:hAnsi="Times New Roman"/>
          <w:color w:val="000000" w:themeColor="text1"/>
          <w:sz w:val="16"/>
          <w:szCs w:val="16"/>
        </w:rPr>
        <w:softHyphen/>
        <w:t>рой десантники размещались слишком плотно.</w:t>
      </w:r>
    </w:p>
    <w:p w14:paraId="6027599B" w14:textId="77777777" w:rsidR="00DF6978" w:rsidRPr="007224C3" w:rsidRDefault="00DF697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Тем не менее, А-7М запустили в се</w:t>
      </w:r>
      <w:r w:rsidRPr="007224C3">
        <w:rPr>
          <w:rFonts w:ascii="Times New Roman" w:hAnsi="Times New Roman"/>
          <w:color w:val="000000" w:themeColor="text1"/>
          <w:sz w:val="16"/>
          <w:szCs w:val="16"/>
        </w:rPr>
        <w:softHyphen/>
        <w:t>рийное производство. Он выпускался в 1944 г. под обозначением АМ-14 тем же заводом в Заводоуковске (12266).</w:t>
      </w:r>
    </w:p>
    <w:p w14:paraId="60A57EE0" w14:textId="77777777" w:rsidR="00DF6978" w:rsidRPr="007224C3" w:rsidRDefault="00DF6978" w:rsidP="007224C3">
      <w:pPr>
        <w:spacing w:after="0" w:line="240" w:lineRule="auto"/>
        <w:jc w:val="both"/>
        <w:rPr>
          <w:rFonts w:ascii="Times New Roman" w:hAnsi="Times New Roman"/>
          <w:color w:val="000000" w:themeColor="text1"/>
          <w:sz w:val="16"/>
          <w:szCs w:val="16"/>
        </w:rPr>
      </w:pPr>
    </w:p>
    <w:p w14:paraId="480142F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января 1944 года вышел приказ НКАП:</w:t>
      </w:r>
    </w:p>
    <w:p w14:paraId="73731E0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Утвердить директором завода № 464 Агуреева А.В., освободить Шелухина М.И. (8925)</w:t>
      </w:r>
    </w:p>
    <w:p w14:paraId="2252D42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Утвердить директором завода № 65 Каваля Б.А.</w:t>
      </w:r>
    </w:p>
    <w:p w14:paraId="5EA169E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Утвердить директором завода № 451 Исакова И.А., освободить Герасимова П.И.</w:t>
      </w:r>
    </w:p>
    <w:p w14:paraId="7167BFC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Утвердить директором завода № 339 Форштера А.А., освободить Домбровского И.И. и утвердить его директором завода № 282 (8925)</w:t>
      </w:r>
    </w:p>
    <w:p w14:paraId="3435AD8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A4F0BB5" w14:textId="77777777" w:rsidR="009B6B5E" w:rsidRPr="007224C3" w:rsidRDefault="009B6B5E"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С 13 по 17 января и с 23 января по 29 марта 1944 почти параллельно с пушкой Ш-45 и опытными 45-мм патронами в НИИ АВ ВВС проходила испытания мотор-пушка 111П (МП-45), установленная на се</w:t>
      </w:r>
      <w:r w:rsidRPr="007224C3">
        <w:rPr>
          <w:color w:val="000000" w:themeColor="text1"/>
          <w:sz w:val="16"/>
          <w:szCs w:val="16"/>
        </w:rPr>
        <w:softHyphen/>
        <w:t>рийном самолете Як-9т зав. № 01-21 производства завода № 153. Ответственным исполнителем был ведущий инженер 3-го отдела института инже</w:t>
      </w:r>
      <w:r w:rsidRPr="007224C3">
        <w:rPr>
          <w:color w:val="000000" w:themeColor="text1"/>
          <w:sz w:val="16"/>
          <w:szCs w:val="16"/>
        </w:rPr>
        <w:softHyphen/>
        <w:t>нер-майор А. Т. Степанец, ведущий летчик-испыта</w:t>
      </w:r>
      <w:r w:rsidRPr="007224C3">
        <w:rPr>
          <w:color w:val="000000" w:themeColor="text1"/>
          <w:sz w:val="16"/>
          <w:szCs w:val="16"/>
        </w:rPr>
        <w:softHyphen/>
        <w:t>тель — майор В. Е. Голофастов. Всего выполнено 19 полетов с налетом 12 ч 16 мин. Отчет по испытани</w:t>
      </w:r>
      <w:r w:rsidRPr="007224C3">
        <w:rPr>
          <w:color w:val="000000" w:themeColor="text1"/>
          <w:sz w:val="16"/>
          <w:szCs w:val="16"/>
        </w:rPr>
        <w:softHyphen/>
        <w:t>ям утвержден 9 апреля 1944 г. (17500).</w:t>
      </w:r>
    </w:p>
    <w:p w14:paraId="1580D54E" w14:textId="77777777" w:rsidR="009B6B5E" w:rsidRPr="007224C3" w:rsidRDefault="009B6B5E" w:rsidP="007224C3">
      <w:pPr>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hAnsi="Times New Roman"/>
          <w:color w:val="000000" w:themeColor="text1"/>
          <w:sz w:val="16"/>
          <w:szCs w:val="16"/>
        </w:rPr>
        <w:t>Пушка МП-45 располагалась в развале блока цилиндров мотора и крепилась в 3 точках на мото</w:t>
      </w:r>
      <w:r w:rsidRPr="007224C3">
        <w:rPr>
          <w:rFonts w:ascii="Times New Roman" w:hAnsi="Times New Roman"/>
          <w:color w:val="000000" w:themeColor="text1"/>
          <w:sz w:val="16"/>
          <w:szCs w:val="16"/>
        </w:rPr>
        <w:softHyphen/>
        <w:t>ре — 2 передних и 1 заднего. Ствол проходил через полый вал редуктора мотора и втулку винта. Ради</w:t>
      </w:r>
      <w:r w:rsidRPr="007224C3">
        <w:rPr>
          <w:rFonts w:ascii="Times New Roman" w:hAnsi="Times New Roman"/>
          <w:color w:val="000000" w:themeColor="text1"/>
          <w:sz w:val="16"/>
          <w:szCs w:val="16"/>
        </w:rPr>
        <w:softHyphen/>
        <w:t>альный зазор между стволом пушки и внутренней стенкой вала редуктора мотора составлял всего 0,75 мм. По этой причине на втулке винта имелось специальное приспособление с шарикоподшипни</w:t>
      </w:r>
      <w:r w:rsidRPr="007224C3">
        <w:rPr>
          <w:rFonts w:ascii="Times New Roman" w:hAnsi="Times New Roman"/>
          <w:color w:val="000000" w:themeColor="text1"/>
          <w:sz w:val="16"/>
          <w:szCs w:val="16"/>
        </w:rPr>
        <w:softHyphen/>
        <w:t>ком, которое центрировало ствол пушки по оси ва</w:t>
      </w:r>
      <w:r w:rsidRPr="007224C3">
        <w:rPr>
          <w:rFonts w:ascii="Times New Roman" w:hAnsi="Times New Roman"/>
          <w:color w:val="000000" w:themeColor="text1"/>
          <w:sz w:val="16"/>
          <w:szCs w:val="16"/>
        </w:rPr>
        <w:softHyphen/>
        <w:t>ла редуктора мотора. Ствол пушки был сделан бо</w:t>
      </w:r>
      <w:r w:rsidRPr="007224C3">
        <w:rPr>
          <w:rFonts w:ascii="Times New Roman" w:hAnsi="Times New Roman"/>
          <w:color w:val="000000" w:themeColor="text1"/>
          <w:sz w:val="16"/>
          <w:szCs w:val="16"/>
        </w:rPr>
        <w:softHyphen/>
        <w:t>лее тонким. На расстоянии 650 мм от дульного сре</w:t>
      </w:r>
      <w:r w:rsidRPr="007224C3">
        <w:rPr>
          <w:rFonts w:ascii="Times New Roman" w:hAnsi="Times New Roman"/>
          <w:color w:val="000000" w:themeColor="text1"/>
          <w:sz w:val="16"/>
          <w:szCs w:val="16"/>
        </w:rPr>
        <w:softHyphen/>
        <w:t>за толщина стенки ствола пушки равнялась 3,75 мм против 7,1 мм у штатного ствола пушки 11П. Пушка оснащалась дульным тормозом, поглощавшим зна</w:t>
      </w:r>
      <w:r w:rsidRPr="007224C3">
        <w:rPr>
          <w:rFonts w:ascii="Times New Roman" w:hAnsi="Times New Roman"/>
          <w:color w:val="000000" w:themeColor="text1"/>
          <w:sz w:val="16"/>
          <w:szCs w:val="16"/>
        </w:rPr>
        <w:softHyphen/>
        <w:t>чительную часть энергии отдачи (до 85%).</w:t>
      </w:r>
    </w:p>
    <w:p w14:paraId="0A83CDCF" w14:textId="77777777" w:rsidR="009B6B5E" w:rsidRPr="007224C3" w:rsidRDefault="009B6B5E"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Средний темп стрельбы, зафиксированный в хо</w:t>
      </w:r>
      <w:r w:rsidRPr="007224C3">
        <w:rPr>
          <w:color w:val="000000" w:themeColor="text1"/>
          <w:sz w:val="16"/>
          <w:szCs w:val="16"/>
        </w:rPr>
        <w:softHyphen/>
        <w:t>де испытаний, равнялся 270 выстр./мин. Питание пушки МП-45 выполнялось от рассыпной ленты из металлических звеньев. Боекомплект к пушке включал 29 снарядов. Вес пушки с агрегатами — 163,8 кг, общий вес пушки с уста</w:t>
      </w:r>
      <w:r w:rsidRPr="007224C3">
        <w:rPr>
          <w:color w:val="000000" w:themeColor="text1"/>
          <w:sz w:val="16"/>
          <w:szCs w:val="16"/>
        </w:rPr>
        <w:softHyphen/>
        <w:t>новкой — 191,1 кг, вес боезапаса — 69 кг. Гильзы и звенья собирались в специальные сборники под пуш</w:t>
      </w:r>
      <w:r w:rsidRPr="007224C3">
        <w:rPr>
          <w:color w:val="000000" w:themeColor="text1"/>
          <w:sz w:val="16"/>
          <w:szCs w:val="16"/>
        </w:rPr>
        <w:softHyphen/>
        <w:t>кой. На приборной доске в кабине летчика имелся счетчик оставших</w:t>
      </w:r>
      <w:r w:rsidRPr="007224C3">
        <w:rPr>
          <w:color w:val="000000" w:themeColor="text1"/>
          <w:sz w:val="16"/>
          <w:szCs w:val="16"/>
        </w:rPr>
        <w:softHyphen/>
        <w:t>ся снарядов пушки. Управление ог</w:t>
      </w:r>
      <w:r w:rsidRPr="007224C3">
        <w:rPr>
          <w:color w:val="000000" w:themeColor="text1"/>
          <w:sz w:val="16"/>
          <w:szCs w:val="16"/>
        </w:rPr>
        <w:softHyphen/>
        <w:t>нем — электропневматическое при помощи кнопки, расположенной на ручке управления. Прицел кол- лиматорный ПБП-1а. Нормальный полетный вес Як-9т с МП-45 состав</w:t>
      </w:r>
      <w:r w:rsidRPr="007224C3">
        <w:rPr>
          <w:color w:val="000000" w:themeColor="text1"/>
          <w:sz w:val="16"/>
          <w:szCs w:val="16"/>
        </w:rPr>
        <w:softHyphen/>
        <w:t>лял 3028 кг (вес топлива 322 кг). Вес секундного залпа достигал 5,531 кг.</w:t>
      </w:r>
    </w:p>
    <w:p w14:paraId="7D7B21B6" w14:textId="77777777" w:rsidR="009B6B5E" w:rsidRPr="007224C3" w:rsidRDefault="009B6B5E"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Летные данные, маневренность и взлетно-посадочные характеристики Як-9т с пуш</w:t>
      </w:r>
      <w:r w:rsidRPr="007224C3">
        <w:rPr>
          <w:color w:val="000000" w:themeColor="text1"/>
          <w:sz w:val="16"/>
          <w:szCs w:val="16"/>
        </w:rPr>
        <w:softHyphen/>
        <w:t>кой МП-45 несколько ухудшились, но по технике пилотирования самолет ничем не отличался от обычных Як-9т.</w:t>
      </w:r>
    </w:p>
    <w:p w14:paraId="77C94710" w14:textId="77777777" w:rsidR="009B6B5E" w:rsidRPr="007224C3" w:rsidRDefault="009B6B5E"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Максимальная скорость у земли составила 516 км/ч, на высоте 3900 м — 573 км/ч, на 5000 м — 566 км/ч. Время подъема на 5000 м — 5,7 мин. Вре</w:t>
      </w:r>
      <w:r w:rsidRPr="007224C3">
        <w:rPr>
          <w:color w:val="000000" w:themeColor="text1"/>
          <w:sz w:val="16"/>
          <w:szCs w:val="16"/>
        </w:rPr>
        <w:softHyphen/>
        <w:t>мя виража на 1000 м — 21,4 с. Набор высоты за бо</w:t>
      </w:r>
      <w:r w:rsidRPr="007224C3">
        <w:rPr>
          <w:color w:val="000000" w:themeColor="text1"/>
          <w:sz w:val="16"/>
          <w:szCs w:val="16"/>
        </w:rPr>
        <w:softHyphen/>
        <w:t>евой разворот с высоты 1000—1050 м. Дальность полета — 598 км.</w:t>
      </w:r>
    </w:p>
    <w:p w14:paraId="7FB82C11" w14:textId="77777777" w:rsidR="009B6B5E" w:rsidRPr="007224C3" w:rsidRDefault="009B6B5E"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Стрельба из пушки МП-45 при скорости полета менее 350 км/ч «сопровождается сильной отдачей (сила отдачи 6975 кг. —</w:t>
      </w:r>
      <w:r w:rsidRPr="007224C3">
        <w:rPr>
          <w:rStyle w:val="BodytextItalic"/>
          <w:i w:val="0"/>
          <w:color w:val="000000" w:themeColor="text1"/>
          <w:sz w:val="16"/>
          <w:szCs w:val="16"/>
        </w:rPr>
        <w:t xml:space="preserve"> Авт.),</w:t>
      </w:r>
      <w:r w:rsidRPr="007224C3">
        <w:rPr>
          <w:color w:val="000000" w:themeColor="text1"/>
          <w:sz w:val="16"/>
          <w:szCs w:val="16"/>
        </w:rPr>
        <w:t xml:space="preserve"> самолет раскачива</w:t>
      </w:r>
      <w:r w:rsidRPr="007224C3">
        <w:rPr>
          <w:color w:val="000000" w:themeColor="text1"/>
          <w:sz w:val="16"/>
          <w:szCs w:val="16"/>
        </w:rPr>
        <w:softHyphen/>
        <w:t>ется, летчик движется вперед-назад, что затрудняет прицельную стрельбу». Как отмечалось в отчете по испытаниям, «прицельным может быть только пер</w:t>
      </w:r>
      <w:r w:rsidRPr="007224C3">
        <w:rPr>
          <w:color w:val="000000" w:themeColor="text1"/>
          <w:sz w:val="16"/>
          <w:szCs w:val="16"/>
        </w:rPr>
        <w:softHyphen/>
        <w:t>вый выстрел». Чем больше была скорость полета и угол пикирования, тем меньшее влияние на само</w:t>
      </w:r>
      <w:r w:rsidRPr="007224C3">
        <w:rPr>
          <w:color w:val="000000" w:themeColor="text1"/>
          <w:sz w:val="16"/>
          <w:szCs w:val="16"/>
        </w:rPr>
        <w:softHyphen/>
        <w:t xml:space="preserve">лет оказывала отдача. Прицельная стрельба была возможна и эффективна только на скоростях более 350 км/ч и при коротких очередях в 2—3 снаряда. Фактически стрельбу из пушки МП-45 можно было вести лишь одиночными выстрелами на </w:t>
      </w:r>
      <w:r w:rsidRPr="007224C3">
        <w:rPr>
          <w:color w:val="000000" w:themeColor="text1"/>
          <w:sz w:val="16"/>
          <w:szCs w:val="16"/>
        </w:rPr>
        <w:lastRenderedPageBreak/>
        <w:t>скоростях, близких к максимальной скорости. Однако благо</w:t>
      </w:r>
      <w:r w:rsidRPr="007224C3">
        <w:rPr>
          <w:color w:val="000000" w:themeColor="text1"/>
          <w:sz w:val="16"/>
          <w:szCs w:val="16"/>
        </w:rPr>
        <w:softHyphen/>
        <w:t>даря наличию дымного следа от трассера снаряда бледно-розового цвета, хорошо видимого как днем, так и в вечерние и утренние сумерки, вероятность попадания в цель не уменьшалась.</w:t>
      </w:r>
    </w:p>
    <w:p w14:paraId="577F80BC" w14:textId="77777777" w:rsidR="009B6B5E" w:rsidRPr="007224C3" w:rsidRDefault="009B6B5E"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Большая сила отдачи пушки МП-45 оказывала существенное влияние на конструкцию самоле</w:t>
      </w:r>
      <w:r w:rsidRPr="007224C3">
        <w:rPr>
          <w:color w:val="000000" w:themeColor="text1"/>
          <w:sz w:val="16"/>
          <w:szCs w:val="16"/>
        </w:rPr>
        <w:softHyphen/>
        <w:t>та, приводя к течи масла и воды через различные уплотнения и трещины в трубопроводах, радиато</w:t>
      </w:r>
      <w:r w:rsidRPr="007224C3">
        <w:rPr>
          <w:color w:val="000000" w:themeColor="text1"/>
          <w:sz w:val="16"/>
          <w:szCs w:val="16"/>
        </w:rPr>
        <w:softHyphen/>
        <w:t>рах и т.д. В кабину летчика при стрельбе из пушки проникало очень много пороховых газов.</w:t>
      </w:r>
    </w:p>
    <w:p w14:paraId="517A902D" w14:textId="77777777" w:rsidR="009B6B5E" w:rsidRPr="007224C3" w:rsidRDefault="009B6B5E"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В то же время автоматика пушки работала хоро</w:t>
      </w:r>
      <w:r w:rsidRPr="007224C3">
        <w:rPr>
          <w:color w:val="000000" w:themeColor="text1"/>
          <w:sz w:val="16"/>
          <w:szCs w:val="16"/>
        </w:rPr>
        <w:softHyphen/>
        <w:t>шо при всех условиях полета и стрельбы в возду</w:t>
      </w:r>
      <w:r w:rsidRPr="007224C3">
        <w:rPr>
          <w:color w:val="000000" w:themeColor="text1"/>
          <w:sz w:val="16"/>
          <w:szCs w:val="16"/>
        </w:rPr>
        <w:softHyphen/>
        <w:t>хе. Надежность и живучесть деталей и узлов пушки были в пределах установленных требований.</w:t>
      </w:r>
    </w:p>
    <w:p w14:paraId="65F9ED0E" w14:textId="77777777" w:rsidR="009B6B5E" w:rsidRPr="007224C3" w:rsidRDefault="009B6B5E"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К числу основных недостатков пушки МП-45 и пушечной установки на Як-9т относились из</w:t>
      </w:r>
      <w:r w:rsidRPr="007224C3">
        <w:rPr>
          <w:color w:val="000000" w:themeColor="text1"/>
          <w:sz w:val="16"/>
          <w:szCs w:val="16"/>
        </w:rPr>
        <w:softHyphen/>
        <w:t>лишне большая сила отдачи пушки при стрельбе, ненадежное соединение штока гидротормоза со ствольной коробкой, а также имевшее место разъ</w:t>
      </w:r>
      <w:r w:rsidRPr="007224C3">
        <w:rPr>
          <w:color w:val="000000" w:themeColor="text1"/>
          <w:sz w:val="16"/>
          <w:szCs w:val="16"/>
        </w:rPr>
        <w:softHyphen/>
        <w:t>единение цилиндра подачи приемника с рычагом подачи.</w:t>
      </w:r>
    </w:p>
    <w:p w14:paraId="400822B4" w14:textId="77777777" w:rsidR="009B6B5E" w:rsidRPr="007224C3" w:rsidRDefault="009B6B5E"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Начальник НИИ АВ генерал-майор М. В. Гуревич в своем докладе заместителю председателя СНК СССР маршалу К. Е. Ворошилову констатиро</w:t>
      </w:r>
      <w:r w:rsidRPr="007224C3">
        <w:rPr>
          <w:color w:val="000000" w:themeColor="text1"/>
          <w:sz w:val="16"/>
          <w:szCs w:val="16"/>
        </w:rPr>
        <w:softHyphen/>
        <w:t>вал: «В результате сравнительных испытаний 45-мм авиапушек ОКБ-15 и ОКБ-16 выявлены преимуще</w:t>
      </w:r>
      <w:r w:rsidRPr="007224C3">
        <w:rPr>
          <w:color w:val="000000" w:themeColor="text1"/>
          <w:sz w:val="16"/>
          <w:szCs w:val="16"/>
        </w:rPr>
        <w:softHyphen/>
        <w:t>ства пушки ОКБ-16 и как удовлетворяющая ТТТ ВВС КА государственные испытания выдержала. Пушка ОКБ-15 из-за малой живучести испытаний не вы</w:t>
      </w:r>
      <w:r w:rsidRPr="007224C3">
        <w:rPr>
          <w:color w:val="000000" w:themeColor="text1"/>
          <w:sz w:val="16"/>
          <w:szCs w:val="16"/>
        </w:rPr>
        <w:softHyphen/>
        <w:t>держала».</w:t>
      </w:r>
    </w:p>
    <w:p w14:paraId="13282D75" w14:textId="77777777" w:rsidR="009B6B5E" w:rsidRPr="007224C3" w:rsidRDefault="009B6B5E"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Самолет Як-9т с пушкой МП-45 рекомендовался «в малую серию для дальнейших войсковых испы</w:t>
      </w:r>
      <w:r w:rsidRPr="007224C3">
        <w:rPr>
          <w:color w:val="000000" w:themeColor="text1"/>
          <w:sz w:val="16"/>
          <w:szCs w:val="16"/>
        </w:rPr>
        <w:softHyphen/>
        <w:t>таний во фронтовых условиях» (17500).</w:t>
      </w:r>
    </w:p>
    <w:p w14:paraId="0764A1B9" w14:textId="77777777" w:rsidR="009B6B5E" w:rsidRPr="007224C3" w:rsidRDefault="009B6B5E" w:rsidP="007224C3">
      <w:pPr>
        <w:spacing w:after="0" w:line="240" w:lineRule="auto"/>
        <w:jc w:val="both"/>
        <w:rPr>
          <w:rFonts w:ascii="Times New Roman" w:eastAsia="Times New Roman" w:hAnsi="Times New Roman"/>
          <w:color w:val="000000" w:themeColor="text1"/>
          <w:sz w:val="16"/>
          <w:szCs w:val="16"/>
          <w:lang w:eastAsia="ru-RU"/>
        </w:rPr>
      </w:pPr>
    </w:p>
    <w:p w14:paraId="3A9CDCDF"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2ED2265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F167EF9" w14:textId="77777777" w:rsidR="00292637" w:rsidRPr="007224C3" w:rsidRDefault="0029263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13 января 1944 года ОКБ-172 начало работу по проекту, получившему обозначение МЛ-20см. Руководил работами главный конструктор ОКБ-172 по сухопутной артиллерии М.Ю. Цирульников. В проекте МЛ-20см частично выполнили требования ГАУ КА: дульный тормоз ликвидировали, люльку и противооткатные устройства укоротили, а также ввели тормоз отката более простой конструкции (18636).</w:t>
      </w:r>
    </w:p>
    <w:p w14:paraId="2D11F159" w14:textId="77777777" w:rsidR="00292637" w:rsidRPr="007224C3" w:rsidRDefault="00292637" w:rsidP="007224C3">
      <w:pPr>
        <w:spacing w:after="0" w:line="240" w:lineRule="auto"/>
        <w:jc w:val="both"/>
        <w:rPr>
          <w:rFonts w:ascii="Times New Roman" w:hAnsi="Times New Roman"/>
          <w:color w:val="000000" w:themeColor="text1"/>
          <w:sz w:val="16"/>
          <w:szCs w:val="16"/>
        </w:rPr>
      </w:pPr>
    </w:p>
    <w:p w14:paraId="2464A37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января 1944 испытания БА-64 с двигателем С.С.Неждановского, получившей обозначение БА-64З (буква "З" - зимний), продолжили, теперь уже с полевым орудием на буксире. Машина двигалась хорошо, но попав в кювет, вывернула передние лыжи (3862).</w:t>
      </w:r>
    </w:p>
    <w:p w14:paraId="43E01F0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12AFE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января 1944 года была подготовлена справка:</w:t>
      </w:r>
    </w:p>
    <w:p w14:paraId="4FF3D7E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Постановлением ГОКО № 4507сс от 6 ноября 1943 года в ведение НКВ передан Крюковский стекольный завод для восстановления его и организации производства, на правах филиала завода № 393 (9277)</w:t>
      </w:r>
    </w:p>
    <w:p w14:paraId="58AEE40E"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86FC1D4"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января 1944 года вышел приказ НКБ № 17с</w:t>
      </w:r>
    </w:p>
    <w:p w14:paraId="026BCC91"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Передать завод № 607 из 2 Гл. управления в 6 Гл. управление (5950, 21).</w:t>
      </w:r>
    </w:p>
    <w:p w14:paraId="7C939563"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4D6F871" w14:textId="77777777" w:rsidR="00E00646" w:rsidRPr="007224C3" w:rsidRDefault="00E0064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января 1944 г. СПЕЦСООБЩЕНИЕ№4/8/2б2 3-го 0ТДЕЛА4-Г0 УПРАВЛЕНИЯ НКГБ СССР В НКГБ СССР 0 ПОЛУЧЕННЫХ ОБРАЗЦАХ НЕМЕЦКОГО ХИМИЧЕСКОГО ОРУЖИЯ</w:t>
      </w:r>
    </w:p>
    <w:p w14:paraId="0605F32D" w14:textId="77777777" w:rsidR="00E00646" w:rsidRPr="007224C3" w:rsidRDefault="00E0064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Руководитель оперативной группы, действующей в Ровенской об</w:t>
      </w:r>
      <w:r w:rsidRPr="007224C3">
        <w:rPr>
          <w:rFonts w:ascii="Times New Roman" w:hAnsi="Times New Roman"/>
          <w:color w:val="000000" w:themeColor="text1"/>
          <w:sz w:val="16"/>
          <w:szCs w:val="16"/>
        </w:rPr>
        <w:softHyphen/>
        <w:t>ласти УССР, подполковник государственной безопасности тов. Медве</w:t>
      </w:r>
      <w:r w:rsidRPr="007224C3">
        <w:rPr>
          <w:rFonts w:ascii="Times New Roman" w:hAnsi="Times New Roman"/>
          <w:color w:val="000000" w:themeColor="text1"/>
          <w:sz w:val="16"/>
          <w:szCs w:val="16"/>
        </w:rPr>
        <w:softHyphen/>
        <w:t>дев1сообщает, что агентурой группы в г. Ровно в комендатуре штаба свя</w:t>
      </w:r>
      <w:r w:rsidRPr="007224C3">
        <w:rPr>
          <w:rFonts w:ascii="Times New Roman" w:hAnsi="Times New Roman"/>
          <w:color w:val="000000" w:themeColor="text1"/>
          <w:sz w:val="16"/>
          <w:szCs w:val="16"/>
        </w:rPr>
        <w:softHyphen/>
        <w:t>зи похищена коробка с особо засекреченными химическими вещества</w:t>
      </w:r>
      <w:r w:rsidRPr="007224C3">
        <w:rPr>
          <w:rFonts w:ascii="Times New Roman" w:hAnsi="Times New Roman"/>
          <w:color w:val="000000" w:themeColor="text1"/>
          <w:sz w:val="16"/>
          <w:szCs w:val="16"/>
        </w:rPr>
        <w:softHyphen/>
        <w:t>ми, на коробке наклеена инструкция следующего содержания:</w:t>
      </w:r>
    </w:p>
    <w:p w14:paraId="2D4EBCF2" w14:textId="77777777" w:rsidR="00E00646" w:rsidRPr="007224C3" w:rsidRDefault="00E0064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«Коробка содержит по два газовых пакета с желтым, зеленым, голу</w:t>
      </w:r>
      <w:r w:rsidRPr="007224C3">
        <w:rPr>
          <w:rFonts w:ascii="Times New Roman" w:hAnsi="Times New Roman"/>
          <w:color w:val="000000" w:themeColor="text1"/>
          <w:sz w:val="16"/>
          <w:szCs w:val="16"/>
        </w:rPr>
        <w:softHyphen/>
        <w:t>бым и белым крестами и имеет 9 зажигательных трубок.</w:t>
      </w:r>
    </w:p>
    <w:p w14:paraId="40B36136" w14:textId="77777777" w:rsidR="00E00646" w:rsidRPr="007224C3" w:rsidRDefault="00E0064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Меры предосторожности:</w:t>
      </w:r>
    </w:p>
    <w:p w14:paraId="3CA53187" w14:textId="77777777" w:rsidR="00E00646" w:rsidRPr="007224C3" w:rsidRDefault="00E0064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О порядке получения и использования газовых пакетов ознако</w:t>
      </w:r>
      <w:r w:rsidRPr="007224C3">
        <w:rPr>
          <w:rFonts w:ascii="Times New Roman" w:hAnsi="Times New Roman"/>
          <w:color w:val="000000" w:themeColor="text1"/>
          <w:sz w:val="16"/>
          <w:szCs w:val="16"/>
        </w:rPr>
        <w:softHyphen/>
        <w:t>миться в специальных инструкциях.</w:t>
      </w:r>
    </w:p>
    <w:p w14:paraId="2869EAE0" w14:textId="77777777" w:rsidR="00E00646" w:rsidRPr="007224C3" w:rsidRDefault="00E0064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Химические вещества должны быть закупорены. Выдача только по приказанию командира роты и выше.</w:t>
      </w:r>
    </w:p>
    <w:p w14:paraId="02645D42" w14:textId="77777777" w:rsidR="00E00646" w:rsidRPr="007224C3" w:rsidRDefault="00E0064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Запрещается: а) зажигать газовые пакеты в закрытом помещении ближе чем на 200 метров от построек, б) зажигать больше двух газовых пакетов сразу, в) находиться ближе, чем на 10 метров от зажигательного газового пакета.</w:t>
      </w:r>
    </w:p>
    <w:p w14:paraId="5F5A6432" w14:textId="77777777" w:rsidR="00E00646" w:rsidRPr="007224C3" w:rsidRDefault="00E0064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Способ употребления:</w:t>
      </w:r>
    </w:p>
    <w:p w14:paraId="29C2CD5A" w14:textId="77777777" w:rsidR="00E00646" w:rsidRPr="007224C3" w:rsidRDefault="00E0064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Избегать местности с переменным или вертикальным ветром. Упот</w:t>
      </w:r>
      <w:r w:rsidRPr="007224C3">
        <w:rPr>
          <w:rFonts w:ascii="Times New Roman" w:hAnsi="Times New Roman"/>
          <w:color w:val="000000" w:themeColor="text1"/>
          <w:sz w:val="16"/>
          <w:szCs w:val="16"/>
        </w:rPr>
        <w:softHyphen/>
        <w:t>реблять только при ветре от 1 до 4 метров в секунду.</w:t>
      </w:r>
    </w:p>
    <w:p w14:paraId="314CB17D" w14:textId="77777777" w:rsidR="00E00646" w:rsidRPr="007224C3" w:rsidRDefault="00E0064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Предохранительный колпачок с теркой, снятый тут же, и упако</w:t>
      </w:r>
      <w:r w:rsidRPr="007224C3">
        <w:rPr>
          <w:rFonts w:ascii="Times New Roman" w:hAnsi="Times New Roman"/>
          <w:color w:val="000000" w:themeColor="text1"/>
          <w:sz w:val="16"/>
          <w:szCs w:val="16"/>
        </w:rPr>
        <w:softHyphen/>
        <w:t>ванную зажигательную трубку после снятия с нее предохранительного колпачка вогнать глубоко вниз белой головкой в открытую гильзу.</w:t>
      </w:r>
    </w:p>
    <w:p w14:paraId="6641E04D" w14:textId="77777777" w:rsidR="00E00646" w:rsidRPr="007224C3" w:rsidRDefault="00E0064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Выглядывающую красную зажигательною головку зажигательной трубки потереть теркой, при этом колпачок с теркой и пакет с зажига</w:t>
      </w:r>
      <w:r w:rsidRPr="007224C3">
        <w:rPr>
          <w:rFonts w:ascii="Times New Roman" w:hAnsi="Times New Roman"/>
          <w:color w:val="000000" w:themeColor="text1"/>
          <w:sz w:val="16"/>
          <w:szCs w:val="16"/>
        </w:rPr>
        <w:softHyphen/>
        <w:t>тельной трубкой держать подальше от тела.</w:t>
      </w:r>
    </w:p>
    <w:p w14:paraId="0846C64A" w14:textId="77777777" w:rsidR="00E00646" w:rsidRPr="007224C3" w:rsidRDefault="00E0064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Зажженный пакет поставить на землю без растительности цвет</w:t>
      </w:r>
      <w:r w:rsidRPr="007224C3">
        <w:rPr>
          <w:rFonts w:ascii="Times New Roman" w:hAnsi="Times New Roman"/>
          <w:color w:val="000000" w:themeColor="text1"/>
          <w:sz w:val="16"/>
          <w:szCs w:val="16"/>
        </w:rPr>
        <w:softHyphen/>
        <w:t>ным крестом кверху, в противном случае неопасно2.</w:t>
      </w:r>
    </w:p>
    <w:p w14:paraId="1E31AFF8" w14:textId="77777777" w:rsidR="00E00646" w:rsidRPr="007224C3" w:rsidRDefault="00E0064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Боевое вещество выделяется через 30-40 секунд после зажигания через место, отмеченное цветным крестом, в течение 30-50 секунд.</w:t>
      </w:r>
    </w:p>
    <w:p w14:paraId="73388193" w14:textId="77777777" w:rsidR="00E00646" w:rsidRPr="007224C3" w:rsidRDefault="00E0064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Использованные пакеты зарыть. Отказавшие пакеты собрать не ранее, как через 20 минут после зажигания, предохранители спрятать и упакованные в жестяной банке отправить на О. К. Г.</w:t>
      </w:r>
    </w:p>
    <w:p w14:paraId="59CFE55A" w14:textId="77777777" w:rsidR="00E00646" w:rsidRPr="007224C3" w:rsidRDefault="00E0064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Изготовитель ГБЦ, часть 126,1941 год».</w:t>
      </w:r>
    </w:p>
    <w:p w14:paraId="179E9EC4" w14:textId="77777777" w:rsidR="00E00646" w:rsidRPr="007224C3" w:rsidRDefault="00E0064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См. том 2 настоящего сборника, документ №291; том 3, документы № 767,804.</w:t>
      </w:r>
    </w:p>
    <w:p w14:paraId="3B3D7C5A" w14:textId="77777777" w:rsidR="00E00646" w:rsidRPr="007224C3" w:rsidRDefault="00E0064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Так в тексте документа.</w:t>
      </w:r>
    </w:p>
    <w:p w14:paraId="40D8568C" w14:textId="77777777" w:rsidR="00E00646" w:rsidRPr="007224C3" w:rsidRDefault="00E0064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Пакеты металлические, имеют круглую форму 6 сантиметров в диа</w:t>
      </w:r>
      <w:r w:rsidRPr="007224C3">
        <w:rPr>
          <w:rFonts w:ascii="Times New Roman" w:hAnsi="Times New Roman"/>
          <w:color w:val="000000" w:themeColor="text1"/>
          <w:sz w:val="16"/>
          <w:szCs w:val="16"/>
        </w:rPr>
        <w:softHyphen/>
        <w:t>метре и 3 сантиметра толщиной, упакованы в парафинированной кар</w:t>
      </w:r>
      <w:r w:rsidRPr="007224C3">
        <w:rPr>
          <w:rFonts w:ascii="Times New Roman" w:hAnsi="Times New Roman"/>
          <w:color w:val="000000" w:themeColor="text1"/>
          <w:sz w:val="16"/>
          <w:szCs w:val="16"/>
        </w:rPr>
        <w:softHyphen/>
        <w:t>тонной коробке и переложены гофрированным картоном. На пакетах написано: «В закрытом помещении не зажигать, опасно для жизни».</w:t>
      </w:r>
    </w:p>
    <w:p w14:paraId="467D0822" w14:textId="77777777" w:rsidR="00E00646" w:rsidRPr="007224C3" w:rsidRDefault="00E0064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словам агентов, похитивших эти коробки, немцы, находившиеся в помещении, где хранились коробки, предупреждали всех о том, чтобы к коробкам близко не подходили и не трогали их, т. к. это грозит смертью.</w:t>
      </w:r>
    </w:p>
    <w:p w14:paraId="45ADE0EF" w14:textId="77777777" w:rsidR="00E00646" w:rsidRPr="007224C3" w:rsidRDefault="00E0064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Тов. Медведеву дано указание — коробки с химическими вещества</w:t>
      </w:r>
      <w:r w:rsidRPr="007224C3">
        <w:rPr>
          <w:rFonts w:ascii="Times New Roman" w:hAnsi="Times New Roman"/>
          <w:color w:val="000000" w:themeColor="text1"/>
          <w:sz w:val="16"/>
          <w:szCs w:val="16"/>
        </w:rPr>
        <w:softHyphen/>
        <w:t>ми при первой возможности доставить в Москву1.</w:t>
      </w:r>
    </w:p>
    <w:p w14:paraId="3A9B0FD5" w14:textId="77777777" w:rsidR="00E00646" w:rsidRPr="007224C3" w:rsidRDefault="00E0064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3 отдела 4 Управления НКГБ СССР Сташко2</w:t>
      </w:r>
    </w:p>
    <w:p w14:paraId="69BB4481" w14:textId="77777777" w:rsidR="00E00646" w:rsidRPr="007224C3" w:rsidRDefault="00E0064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 ФСБ России (15493).</w:t>
      </w:r>
    </w:p>
    <w:p w14:paraId="503FF8CE" w14:textId="77777777" w:rsidR="00E00646" w:rsidRPr="007224C3" w:rsidRDefault="00E00646" w:rsidP="007224C3">
      <w:pPr>
        <w:spacing w:after="0" w:line="240" w:lineRule="auto"/>
        <w:jc w:val="both"/>
        <w:rPr>
          <w:rFonts w:ascii="Times New Roman" w:hAnsi="Times New Roman"/>
          <w:color w:val="000000" w:themeColor="text1"/>
          <w:sz w:val="16"/>
          <w:szCs w:val="16"/>
        </w:rPr>
      </w:pPr>
    </w:p>
    <w:p w14:paraId="4138DEE9"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3DCC75F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7D5B4EE" w14:textId="77777777" w:rsidR="00E00646" w:rsidRPr="007224C3" w:rsidRDefault="00E00646"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13 января</w:t>
      </w:r>
      <w:r w:rsidRPr="007224C3">
        <w:rPr>
          <w:rFonts w:ascii="Times New Roman" w:hAnsi="Times New Roman"/>
          <w:color w:val="000000" w:themeColor="text1"/>
          <w:sz w:val="16"/>
          <w:szCs w:val="16"/>
        </w:rPr>
        <w:t xml:space="preserve"> в 1944 году оперативная сводка Совинформбюро:</w:t>
      </w:r>
    </w:p>
    <w:p w14:paraId="0C8AFD82" w14:textId="77777777" w:rsidR="00E00646" w:rsidRPr="007224C3" w:rsidRDefault="00E0064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13 января на Мозырьском направлении войска Белорусского фронта под командованием генерала армии Рокоссовского продолжали развивать наступление и с боями заняли более 40 населённых пунктов, в том числе крупные населённые пункты Шиичи, Туровичи, Суховичи, Дудичи, Буда, Гулевичи, Пенница, Михалки, Бибики, Тавричевка, Каменка, Зимовище, Моисеевка, Прудок, Нагорное и железнодорожные станции Юшки, Голевицы, Мытва, Михалки. Наши войска вплотную подошли к областному центру Белорусской ССР городу Мозырь, городу и крупному железнодорожному узлу Калинковичи.</w:t>
      </w:r>
    </w:p>
    <w:p w14:paraId="4B2C1F0B" w14:textId="77777777" w:rsidR="00E00646" w:rsidRPr="007224C3" w:rsidRDefault="00E0064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и юго-западнее Сарны наши войска с боями продвигались вперёд, заняли несколько населённых пунктов и железнодорожные станции Тутовичи, Графский Курень, Малыньск. В боях за город Сарны нашими войсками захвачены следующие трофеи: орудий разного калибра — 38, миномётов — 53, пулемётов — 140, автомашин— 193, повозок с грузами — 420, лошадей — 800 и 6 складов с оружием, боеприпасами и продовольствием.</w:t>
      </w:r>
    </w:p>
    <w:p w14:paraId="76AFD963" w14:textId="77777777" w:rsidR="00E00646" w:rsidRPr="007224C3" w:rsidRDefault="00E0064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и юго-западнее Новоград-Волынский наши войска, продолжая наступление, овладели районным центром Ровенской области городом Корец, районным центром Каменец-Подольской области Берездов, а также с боями заняли более 60 других населённых пунктов, в том числе крупные населённые пункты Медведовка, Большая Солпа, Железнице, Даничув, Головница, Брыков, Поддубцы, Киликиев, Мухарев, Кутки, Красностав, Манятин, Яблоновка, Сенигов, Городневка, Купино и железнодорожную станцию Майданвила.</w:t>
      </w:r>
    </w:p>
    <w:p w14:paraId="5333967C" w14:textId="77777777" w:rsidR="00E00646" w:rsidRPr="007224C3" w:rsidRDefault="00E0064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и юго-западнее Бердичева наши войска вели наступательные бои, в ходе которых заняли несколько населённых пунктов.</w:t>
      </w:r>
    </w:p>
    <w:p w14:paraId="7D21060F" w14:textId="77777777" w:rsidR="00E00646" w:rsidRPr="007224C3" w:rsidRDefault="00E0064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Восточнее Винницы наши войска отбивали контратаки крупных сил пехоты и танков противника.</w:t>
      </w:r>
    </w:p>
    <w:p w14:paraId="76F266AE" w14:textId="77777777" w:rsidR="00E00646" w:rsidRPr="007224C3" w:rsidRDefault="00E0064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и северо-западнее Кировограда наши войска в результате боёв улучшили свои позиции.</w:t>
      </w:r>
    </w:p>
    <w:p w14:paraId="4C5A1D84" w14:textId="77777777" w:rsidR="00E00646" w:rsidRPr="007224C3" w:rsidRDefault="00E0064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 разведка, артиллерийско-миномётная перестрелка и в ряде пунктов бои местного значения.</w:t>
      </w:r>
    </w:p>
    <w:p w14:paraId="382B37FB" w14:textId="77777777" w:rsidR="00E00646" w:rsidRPr="007224C3" w:rsidRDefault="00E0064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12 января наши войска на всех фронтах подбили и уничтожили 87 немецких танков. В воздушных боях и огнём зенитной артиллерии сбито 102 самолёта противника.</w:t>
      </w:r>
    </w:p>
    <w:p w14:paraId="6D0F68A7" w14:textId="77777777" w:rsidR="00E00646" w:rsidRPr="007224C3" w:rsidRDefault="00E0064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На Мозырьском направлении наши войска продолжали наступление. Придавая огромное значение району Мозырь-Калинковичи, немцы создали здесь мощную оборонительную полосу и насытили её огневыми средствами. На одном узком участке противник сосредоточил около 200 полевых и противотанковых орудий, много миномётов и сотни пулемётов. В глубине обороны немцы построили опорные пункты, приспособленные для круговой обороны. Преодолевая сопротивление противника, наши войска совершили глубокий обходный манёвр и ударом с фланга и тыла нанесли гитлеровцам тяжёлый урон. Другие наши части, действующие с </w:t>
      </w:r>
      <w:r w:rsidRPr="007224C3">
        <w:rPr>
          <w:rFonts w:ascii="Times New Roman" w:hAnsi="Times New Roman"/>
          <w:color w:val="000000" w:themeColor="text1"/>
          <w:sz w:val="16"/>
          <w:szCs w:val="16"/>
        </w:rPr>
        <w:lastRenderedPageBreak/>
        <w:t>юга, прорвали оборону немцев и, развивая наступление, заняли населённые пункты Зимовище, Моисеевку, Прудок, расположенные западнее Мозыря. Всего в течение дня очищено от немцев более 40 населённых пунктов. Решающую роль в прорыве обороны немцев сыграла наша артиллерия, которая мощным огнём подавила вражеские батареи. В ходе боёв уничтожено свыше 1.500 немецких солдат и офицеров, 11 танков и самоходныхорудий, много артиллерийских и миномётных батарей. Захвачены трофеи и пленные. На одном участке советские кавалеристы прорвались во вражеский тыл и в крупном населённом пункте изрубили немецкий гарнизон.</w:t>
      </w:r>
    </w:p>
    <w:p w14:paraId="032ED205" w14:textId="77777777" w:rsidR="00E00646" w:rsidRPr="007224C3" w:rsidRDefault="00E0064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и юго-западнее города Новоград-Волынский советские танкисты и пехотинцы, стремительно продвигаясь вперёд, овладели районным центром Ровенской области городом Корец. Другие наши части заняли районный центр Каменец-Подольской области Берездов и более 60 других населённых пунктов. В боях за эти пункты уничтожено свыше 1.000 гитлеровцев. Наши войска захватили много трофеев, в том числе 5 танков, 16 орудий, 127 пулемётов, 80 автомашин и 5 радиостанций. Несколько сот немцев взято в плен.</w:t>
      </w:r>
    </w:p>
    <w:p w14:paraId="363BCD54" w14:textId="77777777" w:rsidR="00E00646" w:rsidRPr="007224C3" w:rsidRDefault="00E0064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Восточнее Винницы наши войска продолжали вести бои с крупными силами танков и пехоты противника. На различных участках немцы предприняли ряд ожесточённых контратак, пытаясь прорваться через боевые порядки советских частей. Бои приняли крайне ожесточённый характер. Отдельные населённые пункты по нескольку раз переходили из рук в руки. Противник понёс тяжёлые потери, но не добился никакого успеха. Умело маневрируя, советские пехотинцы, артиллеристы и танкисты наносили врагу ответные удары и истребили свыше 2.000 немецких солдат и офицеров. Сожжено 59 вражеских танков и самоходных орудий. В одном районе наши войска окружили и уничтожили немецкий горнострелковый полк. На поле боя осталось до 1.000 убитых гитлеровцев. Захвачено большое число пленных и много вооружения.</w:t>
      </w:r>
    </w:p>
    <w:p w14:paraId="2F40DC3F" w14:textId="77777777" w:rsidR="00E00646" w:rsidRPr="007224C3" w:rsidRDefault="00E0064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и северо-западнее Кировограда наши войска в ходе боёв с противником улучшили свои позиции. В одном районе немецкая пехота, поддержанная танками, пять раз бросалась в контратаки, пытаясь вернуть утраченный вчера крупный населённый пункт. Все контратаки гитлеровцев отбиты с большими для них потерями. Подбито 13 танков и истреблено до 400 немецких солдат и офицеров. На другом участке советские части ворвались на железнодорожную станцию и очищают её от противника. Захвачены трофеи и пленные.</w:t>
      </w:r>
    </w:p>
    <w:p w14:paraId="664E275D" w14:textId="77777777" w:rsidR="00E00646" w:rsidRPr="007224C3" w:rsidRDefault="00E0064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Молдавские партизаны, действующие в районе важной шоссейной дороги, сожгли 9 танков и 60 автомашин противника. Путём подрыва автомашин на минах и ружейно-пулемётным огнём истреблено свыше 200 гитлеровцев. Взято в плен 22 немецких солдата. В другом районе отряд молдавских партизан совершил налёт на аэродром противника. Уничтожив охрану, советские патриоты сожгли 10 немецких самолётов, 20 тонн бензина, 2 полевых телефонных станции и взорвали склад авиабомб.</w:t>
      </w:r>
    </w:p>
    <w:p w14:paraId="5F4909C1" w14:textId="77777777" w:rsidR="00E00646" w:rsidRPr="007224C3" w:rsidRDefault="00E0064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Пленный солдат 10 роты 3 батальона 3 финской пехотной бригады Лаури Тойвонвирта рассказал: «18 июня 1941 года меня мобилизовали в армию, и с тех поря почти непрерывно нахожусь на фронте. За что воевал всё это время? Разъясняя цели войны, наши газеты писали, что мы воюем за «Великую Финляндию». В начале войны я, как и многие другие, верил, что в результате этой войны к нам отойдёт Карелия, Мурманский край и Ленинград. Об этом говорили открыто везде и всюду. Война затянулась, и счастье повернулось на сторону русских. Теперь уже все видят, что Германия, а стало быть и Финляндия, неизбежно потерпят поражение. Шумиха вокруг планов о «Великой Финляндии» утихла. Газеты и официальные лица ныне заговорили о том, что Финляндия ведёт якобы оборонительную войну. Однако офицеры думают иначе. Недавно командир 3-го батальона майор Иконен провёл с нами беседу. Он демонстрировал карту послевоенной Финляндии, включающую всю Карелию, Ленинград, Мурманск и Мурманскую железную дорогу. Майор призывал нас учиться у немцев. Он заявил: «Немцы борются за Великую Германию, а мы должны бороться вместе с ними за «Великую Финляндию». Но всё это одни слова. Теперь даже самым тупоголовым шюцкоровцам становится ясно, что война с Россией является авантюрой, обречённой на провал. За эту авантюру Финляндии придётся ещё расплачиваться» (15008).</w:t>
      </w:r>
    </w:p>
    <w:p w14:paraId="10080B55" w14:textId="77777777" w:rsidR="00E00646" w:rsidRPr="007224C3" w:rsidRDefault="00E00646" w:rsidP="007224C3">
      <w:pPr>
        <w:spacing w:after="0" w:line="240" w:lineRule="auto"/>
        <w:jc w:val="both"/>
        <w:rPr>
          <w:rFonts w:ascii="Times New Roman" w:hAnsi="Times New Roman"/>
          <w:color w:val="000000" w:themeColor="text1"/>
          <w:sz w:val="16"/>
          <w:szCs w:val="16"/>
        </w:rPr>
      </w:pPr>
    </w:p>
    <w:p w14:paraId="1FA763A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Вечером 13 января 1944 на разведку погоды с двумя минами АМД-500 вылетел Ил-4, пилотируемый Бунимовичем. По всей видимости, ему удалось выполнить задание, но при возвращении выяснилось, что все полковые аэродромы в районе Ленинграда закрыты туманом. Оповещение об этом и приказ сесть на кронштад-ском аэродроме Бычье Поле были посланы своевременно, и Юрий подтвердил их получение. Несмотря на это «Ильюшин» внезапно появился над Каменкой. Очевидно, пилот не захотел садится на незнакомом аэродроме с короткой ВПП и решил, что сумеет посадить машину на родной базе. Выбежавшие с КП летчики так вспоминали эту картину: «Поёжившись от холода, смотрим в ту точку, откуда должны показаться огни самолета. Снова слышится гул. Приближаясь, он нарастает и ширится, сотрясает насыщенный влагой морозный воздух. Вдалеке над землей появляется красный глазок. Цепляясь за нижнюю кромку тумана, он притухает и загорается снова, становится ближе с каждой секундой. - Все... Теперь сядет, - облегченно вздыхает Васильев. И тут же взревели моторы, ударили в землю форсажным звенящим грохотом. Красный глазок заметался, запрыгал, дернулся вверх и стремительно ринулся вниз. Пламя огромного взрыва озарило пурпуром нависшую рваную облачность и скорбно поникшие ветви одинокого дерева...». Весь экипаж погиб, самолет полностью сгорел (9965).</w:t>
      </w:r>
    </w:p>
    <w:p w14:paraId="73A75BE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767DA360" w14:textId="77777777" w:rsidR="00E00646" w:rsidRPr="007224C3" w:rsidRDefault="00E00646" w:rsidP="007224C3">
      <w:pPr>
        <w:widowControl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Вечером 13 января 1944 года командир 44-го отдельного аэросанного батальона получил приказ командира 58-й отдельной стрелковой бригады полковника Себова о передислокации. К этому времени части отдельной 58-й стрелковой бригады овладели на берегу озера Ильмень несколькими населенными пунктами и, преодолевая сопротивление противника, вклинились в глубину вражеской обороны.</w:t>
      </w:r>
    </w:p>
    <w:p w14:paraId="4CF1A0D2" w14:textId="77777777" w:rsidR="00E00646" w:rsidRPr="007224C3" w:rsidRDefault="00E00646" w:rsidP="007224C3">
      <w:pPr>
        <w:widowControl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Противник спешно предпринимал меры, готовясь нанести удар с целью отрезать наши части, завладевшие плацдармом на побережье.</w:t>
      </w:r>
    </w:p>
    <w:p w14:paraId="6CB3775F" w14:textId="77777777" w:rsidR="00E00646" w:rsidRPr="007224C3" w:rsidRDefault="00E00646" w:rsidP="007224C3">
      <w:pPr>
        <w:widowControl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Завершив передислокацию к утру 14 января, 44-й отдельный аэросанный батальон получил распоряжение выдвинуть роту боевых аэросаней в населенный пункт Береговые Морины с целью отражения контратак противника в районе населенных пунктов Самокраж и Козынево.</w:t>
      </w:r>
    </w:p>
    <w:p w14:paraId="3BF7649C" w14:textId="77777777" w:rsidR="00E00646" w:rsidRPr="007224C3" w:rsidRDefault="00E00646" w:rsidP="007224C3">
      <w:pPr>
        <w:widowControl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Выполняя этот приказ командования, 3-я рота старшего лейтенанта Шлычкова в составе 11 боевых аэросаней прибыла на исходные позиции в населенный пункт Береговые Морины и с хода произвела смелый огневой налет на пехоту противника, наступающего из района населенных пунктов Самокраж и Козынево. В результате противник был вынужден в беспорядке отойти обратно в район Козынево.</w:t>
      </w:r>
    </w:p>
    <w:p w14:paraId="1CDB7A22" w14:textId="77777777" w:rsidR="00E00646" w:rsidRPr="007224C3" w:rsidRDefault="00E00646" w:rsidP="007224C3">
      <w:pPr>
        <w:widowControl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ходе боя ротой боевых аэросаней было уничтожено до 300 немецких солдат и офицеров, а также выполнен приказ командования: вражеская пехота прекратила атаки и перешла к обороне на прежних позициях в районе населенных пунктов Самокраж – Козынево.</w:t>
      </w:r>
    </w:p>
    <w:p w14:paraId="2AE92C71" w14:textId="77777777" w:rsidR="00E00646" w:rsidRPr="007224C3" w:rsidRDefault="00E00646" w:rsidP="007224C3">
      <w:pPr>
        <w:widowControl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44-й отдельный аэросанный батальон, действуя с частями 58-й отдельной стрелковой бригады и 225-й стрелковой дивизии, успешно выполнил ряд заданий командования в период захвата плацдармов на западном берегу озера Ильмень, южнее города Новгород.</w:t>
      </w:r>
    </w:p>
    <w:p w14:paraId="4E5AA678" w14:textId="77777777" w:rsidR="00E00646" w:rsidRPr="007224C3" w:rsidRDefault="00E00646" w:rsidP="007224C3">
      <w:pPr>
        <w:widowControl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Личный состав батальона, действуя в исключительно тяжелых условиях, проявил самоотверженность и решительность при выполнении задач. За отличные действия личный состав был награжден орденами и медалями, а 44-й отдельный аэросанный батальон получил почетное наименование «Новгородский» (15218).</w:t>
      </w:r>
    </w:p>
    <w:p w14:paraId="06B12503" w14:textId="77777777" w:rsidR="00E00646" w:rsidRPr="007224C3" w:rsidRDefault="00E00646" w:rsidP="007224C3">
      <w:pPr>
        <w:widowControl w:val="0"/>
        <w:spacing w:after="0" w:line="240" w:lineRule="auto"/>
        <w:jc w:val="both"/>
        <w:rPr>
          <w:rFonts w:ascii="Times New Roman" w:hAnsi="Times New Roman"/>
          <w:color w:val="000000" w:themeColor="text1"/>
          <w:sz w:val="16"/>
          <w:szCs w:val="16"/>
        </w:rPr>
      </w:pPr>
    </w:p>
    <w:p w14:paraId="54E58847"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января 1944 вышло Постановление ГКО № 4945 [О расформировании Центрального штаба партизанского движения.] (7172, 154-155,156-159).</w:t>
      </w:r>
    </w:p>
    <w:p w14:paraId="04AA01BC"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911390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января 1944 в соответствии с постановлением ГКО расформировали Центральный штаб партизанского движения и руководство отрядами поручили ЦК компартий союзных республик и соответствующим штабам (3398,25).</w:t>
      </w:r>
    </w:p>
    <w:p w14:paraId="74C5901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34C3CD" w14:textId="77777777" w:rsidR="00E00646" w:rsidRPr="007224C3" w:rsidRDefault="00E00646"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13 января</w:t>
      </w:r>
      <w:r w:rsidRPr="007224C3">
        <w:rPr>
          <w:rFonts w:ascii="Times New Roman" w:hAnsi="Times New Roman"/>
          <w:color w:val="000000" w:themeColor="text1"/>
          <w:sz w:val="16"/>
          <w:szCs w:val="16"/>
        </w:rPr>
        <w:t xml:space="preserve"> в 1944 году постановление ГКО о расформировании Центрального штаба партизанского движения и передаче руководства партизанским движением Центральным Комитетам коммунистических партий союзных республик, областным комитетам партии и соответствующим штабам партизанского движения (15008).</w:t>
      </w:r>
    </w:p>
    <w:p w14:paraId="35487168" w14:textId="77777777" w:rsidR="00E00646" w:rsidRPr="007224C3" w:rsidRDefault="00E00646" w:rsidP="007224C3">
      <w:pPr>
        <w:spacing w:after="0" w:line="240" w:lineRule="auto"/>
        <w:jc w:val="both"/>
        <w:rPr>
          <w:rFonts w:ascii="Times New Roman" w:hAnsi="Times New Roman"/>
          <w:color w:val="000000" w:themeColor="text1"/>
          <w:sz w:val="16"/>
          <w:szCs w:val="16"/>
        </w:rPr>
      </w:pPr>
    </w:p>
    <w:p w14:paraId="373365C5"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Жизнь и внутренняя политика:</w:t>
      </w:r>
    </w:p>
    <w:p w14:paraId="49D3F8E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3FFA00F" w14:textId="77777777" w:rsidR="00E00646" w:rsidRPr="007224C3" w:rsidRDefault="00E00646"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13 января</w:t>
      </w:r>
      <w:r w:rsidRPr="007224C3">
        <w:rPr>
          <w:rFonts w:ascii="Times New Roman" w:hAnsi="Times New Roman"/>
          <w:color w:val="000000" w:themeColor="text1"/>
          <w:sz w:val="16"/>
          <w:szCs w:val="16"/>
        </w:rPr>
        <w:t xml:space="preserve"> в 1944 году целой группе старинных городских магистралей возвращены исторические названия. В их числе - Нарвский проспект (до этого - проспект 25-го Октября), Большой проспект Петроградской стороны (проспект Карла Либкнехта), Литейный проспект (проспект Володарского), Дворцовая площадь (площадь Урицкого), Исаакиевская площадь (площадь Воровского), Пискаревский проспект (проспект Ленина) (15008).</w:t>
      </w:r>
    </w:p>
    <w:p w14:paraId="60AC54DC" w14:textId="77777777" w:rsidR="00E00646" w:rsidRPr="007224C3" w:rsidRDefault="00E00646" w:rsidP="007224C3">
      <w:pPr>
        <w:spacing w:after="0" w:line="240" w:lineRule="auto"/>
        <w:jc w:val="both"/>
        <w:rPr>
          <w:rFonts w:ascii="Times New Roman" w:hAnsi="Times New Roman"/>
          <w:color w:val="000000" w:themeColor="text1"/>
          <w:sz w:val="16"/>
          <w:szCs w:val="16"/>
        </w:rPr>
      </w:pPr>
    </w:p>
    <w:p w14:paraId="4E406DF6"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января 1944 вышло Постановление ГКО № 4944 О назначении правительственной комиссии по приемке в эксплуатацию Покровского радиуса III очереди Московского метрополитена им. л. М. Кагановича. (7172, 152-153).</w:t>
      </w:r>
    </w:p>
    <w:p w14:paraId="18C761BE"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3FD74AA"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1D7171E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42B8416" w14:textId="77777777" w:rsidR="00184F39" w:rsidRPr="007224C3" w:rsidRDefault="00184F39"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13 января</w:t>
      </w:r>
      <w:r w:rsidRPr="007224C3">
        <w:rPr>
          <w:rFonts w:ascii="Times New Roman" w:hAnsi="Times New Roman"/>
          <w:color w:val="000000" w:themeColor="text1"/>
          <w:sz w:val="16"/>
          <w:szCs w:val="16"/>
        </w:rPr>
        <w:t xml:space="preserve"> в 1944 году состоялась первая проба двигателя I-40 на стенде фирмы «Дженерал электрик» (15008).</w:t>
      </w:r>
    </w:p>
    <w:p w14:paraId="3476F950" w14:textId="77777777" w:rsidR="00184F39" w:rsidRPr="007224C3" w:rsidRDefault="00184F39" w:rsidP="007224C3">
      <w:pPr>
        <w:spacing w:after="0" w:line="240" w:lineRule="auto"/>
        <w:jc w:val="both"/>
        <w:rPr>
          <w:rFonts w:ascii="Times New Roman" w:hAnsi="Times New Roman"/>
          <w:color w:val="000000" w:themeColor="text1"/>
          <w:sz w:val="16"/>
          <w:szCs w:val="16"/>
        </w:rPr>
      </w:pPr>
    </w:p>
    <w:p w14:paraId="53474A2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января 1944 американская авиация разбомбила три немецких авиазавода потеряв 64 машины (2100).</w:t>
      </w:r>
    </w:p>
    <w:p w14:paraId="70F5919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6DEA95" w14:textId="77777777" w:rsidR="00F16AE1" w:rsidRPr="007224C3" w:rsidRDefault="00F16AE1"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13–19 января 1944 Воздушные силы союзников атакуют цели в Италии, чтобы перекрыть плацдарм для предстоящего вторжения в Анцио , уделяя особое внимание аэродромам вокруг Рима и по всей центральной Италии (20373).</w:t>
      </w:r>
    </w:p>
    <w:p w14:paraId="14CD513D" w14:textId="77777777" w:rsidR="00F16AE1" w:rsidRPr="007224C3" w:rsidRDefault="00F16AE1" w:rsidP="007224C3">
      <w:pPr>
        <w:spacing w:after="0" w:line="240" w:lineRule="auto"/>
        <w:jc w:val="both"/>
        <w:rPr>
          <w:rFonts w:ascii="Times New Roman" w:hAnsi="Times New Roman"/>
          <w:color w:val="0070C0"/>
          <w:sz w:val="16"/>
          <w:szCs w:val="16"/>
        </w:rPr>
      </w:pPr>
    </w:p>
    <w:p w14:paraId="30867C21" w14:textId="77777777" w:rsidR="00F16AE1" w:rsidRPr="007224C3" w:rsidRDefault="00F16AE1"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lastRenderedPageBreak/>
        <w:t>13 января 1944 первая авиационная миссия из США прибывает в Венесуэлу. Она начинает оценку оборудования, помещений и персонала вооруженных сил Венесуэлы, которые не получали никаких запчастей для своих самолетов с начала Второй мировой войны (20373).</w:t>
      </w:r>
    </w:p>
    <w:p w14:paraId="3254CA44" w14:textId="77777777" w:rsidR="00F16AE1" w:rsidRPr="007224C3" w:rsidRDefault="00F16AE1" w:rsidP="007224C3">
      <w:pPr>
        <w:spacing w:after="0" w:line="240" w:lineRule="auto"/>
        <w:jc w:val="both"/>
        <w:rPr>
          <w:rFonts w:ascii="Times New Roman" w:hAnsi="Times New Roman"/>
          <w:color w:val="0070C0"/>
          <w:sz w:val="16"/>
          <w:szCs w:val="16"/>
        </w:rPr>
      </w:pPr>
    </w:p>
    <w:p w14:paraId="17DE2CC3"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4167FA9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D059D8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января 1944 вышел приказ N 3 7 ГУ:</w:t>
      </w:r>
    </w:p>
    <w:p w14:paraId="6B79AEC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"Рассмотрев годовой отчет и доклад ГК завода 240 С.В.И. о производственной деятельности за 1943 год, балансовая комиссия установила:</w:t>
      </w:r>
    </w:p>
    <w:p w14:paraId="36337EA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Обратить внимание С.В.И.:</w:t>
      </w:r>
    </w:p>
    <w:p w14:paraId="708ED5D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на многотемность опытных работ, в результате чего отчетный год завершен с незначительным выпуском оконченных работ</w:t>
      </w:r>
    </w:p>
    <w:p w14:paraId="32AF492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на слабый контроль над работами, сданными заводам - смежникам в части сроков и качества выполнения, а также их стоимости.</w:t>
      </w:r>
    </w:p>
    <w:p w14:paraId="0996ADF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Немедленно представить акты на списание прекращенных работ:</w:t>
      </w:r>
    </w:p>
    <w:p w14:paraId="749DCC0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по Ил-6 2М-71</w:t>
      </w:r>
    </w:p>
    <w:p w14:paraId="64A911D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по одноместному бронированному истребителю с АМ-42</w:t>
      </w:r>
    </w:p>
    <w:p w14:paraId="451D60B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по модификации Ил-2 АМ-42 в варианте истребителя</w:t>
      </w:r>
    </w:p>
    <w:p w14:paraId="1313DB2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 представить материалы на получение разрешения о прекращении опытных работ по Ил-4 с М-90." Зам. Нач. 7 ГУ Алексеев (2529,5).</w:t>
      </w:r>
    </w:p>
    <w:p w14:paraId="7BCBCB2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3E4CE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января 1944 года Як-9у с М-107А прибыл в НИИ ВВС (1821,128).</w:t>
      </w:r>
    </w:p>
    <w:p w14:paraId="7519CFF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4C864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14 января по 26 февраля 1944 проходили контрольные гос. испытания Як-9Д ПФ с винтом ВИШ-61В N 08-85 153 завода, построенного в ноябре 1943 и собранного на заводе 301 в декабре 1943. Летали Рабкин и М.М.Галлай. 26 полетов, 21 час 33 мин. (712,4).</w:t>
      </w:r>
    </w:p>
    <w:p w14:paraId="64C857B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D8EB8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января 1944 вышел приказ НКАП N 22сс "О постройке самолетов Пе-2 с 2 моторами М-107А в варианте дневного бомбардировщика"</w:t>
      </w:r>
    </w:p>
    <w:p w14:paraId="40D180A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исполнение постановления ГКО N 4934 от 12 января 1944:</w:t>
      </w:r>
    </w:p>
    <w:p w14:paraId="4041470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Нач. 10 ГУ, зам. наркома А.И.Кузнецову и директору завода 22 Окулову и ГК В.М.М. построить два экз. модифицированного самолета Пе-2 с 2хМ-107А со следующими ЛТД: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6331D6" w:rsidRPr="007224C3" w14:paraId="6CA52932" w14:textId="77777777">
        <w:tc>
          <w:tcPr>
            <w:tcW w:w="5636" w:type="dxa"/>
          </w:tcPr>
          <w:p w14:paraId="234ED8D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 скорость у земли</w:t>
            </w:r>
          </w:p>
        </w:tc>
        <w:tc>
          <w:tcPr>
            <w:tcW w:w="5636" w:type="dxa"/>
          </w:tcPr>
          <w:p w14:paraId="22E2AA1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525 км/час</w:t>
            </w:r>
          </w:p>
        </w:tc>
      </w:tr>
      <w:tr w:rsidR="006331D6" w:rsidRPr="007224C3" w14:paraId="549CC04C" w14:textId="77777777">
        <w:tc>
          <w:tcPr>
            <w:tcW w:w="5636" w:type="dxa"/>
          </w:tcPr>
          <w:p w14:paraId="172A5D6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 скорость на высоте 5800 м</w:t>
            </w:r>
          </w:p>
        </w:tc>
        <w:tc>
          <w:tcPr>
            <w:tcW w:w="5636" w:type="dxa"/>
          </w:tcPr>
          <w:p w14:paraId="4F4CE93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640 км/час</w:t>
            </w:r>
          </w:p>
        </w:tc>
      </w:tr>
      <w:tr w:rsidR="006331D6" w:rsidRPr="007224C3" w14:paraId="3F22E9E2" w14:textId="77777777">
        <w:tc>
          <w:tcPr>
            <w:tcW w:w="5636" w:type="dxa"/>
          </w:tcPr>
          <w:p w14:paraId="1C89F61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наиб. тех. дальность полета с нагр. 1000 кг</w:t>
            </w:r>
          </w:p>
        </w:tc>
        <w:tc>
          <w:tcPr>
            <w:tcW w:w="5636" w:type="dxa"/>
          </w:tcPr>
          <w:p w14:paraId="73B3431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1700 км</w:t>
            </w:r>
          </w:p>
        </w:tc>
      </w:tr>
      <w:tr w:rsidR="006331D6" w:rsidRPr="007224C3" w14:paraId="4D86D987" w14:textId="77777777">
        <w:tc>
          <w:tcPr>
            <w:tcW w:w="5636" w:type="dxa"/>
          </w:tcPr>
          <w:p w14:paraId="3973530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наиб. тех. дальность полета с нагр. 500 кг</w:t>
            </w:r>
          </w:p>
        </w:tc>
        <w:tc>
          <w:tcPr>
            <w:tcW w:w="5636" w:type="dxa"/>
          </w:tcPr>
          <w:p w14:paraId="1845EC4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2400 км</w:t>
            </w:r>
          </w:p>
        </w:tc>
      </w:tr>
    </w:tbl>
    <w:p w14:paraId="4953F98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Стрелковое вооружение: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6331D6" w:rsidRPr="007224C3" w14:paraId="07800254" w14:textId="77777777">
        <w:tc>
          <w:tcPr>
            <w:tcW w:w="3757" w:type="dxa"/>
          </w:tcPr>
          <w:p w14:paraId="359919B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вперед</w:t>
            </w:r>
          </w:p>
        </w:tc>
        <w:tc>
          <w:tcPr>
            <w:tcW w:w="3757" w:type="dxa"/>
          </w:tcPr>
          <w:p w14:paraId="4D7D7C7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пушка 20 мм</w:t>
            </w:r>
          </w:p>
        </w:tc>
        <w:tc>
          <w:tcPr>
            <w:tcW w:w="3757" w:type="dxa"/>
          </w:tcPr>
          <w:p w14:paraId="621CD76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tc>
      </w:tr>
      <w:tr w:rsidR="006331D6" w:rsidRPr="007224C3" w14:paraId="6A91274D" w14:textId="77777777">
        <w:tc>
          <w:tcPr>
            <w:tcW w:w="3757" w:type="dxa"/>
          </w:tcPr>
          <w:p w14:paraId="54E612A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назад</w:t>
            </w:r>
          </w:p>
        </w:tc>
        <w:tc>
          <w:tcPr>
            <w:tcW w:w="3757" w:type="dxa"/>
          </w:tcPr>
          <w:p w14:paraId="19675F9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пулемет 12.7 мм</w:t>
            </w:r>
          </w:p>
        </w:tc>
        <w:tc>
          <w:tcPr>
            <w:tcW w:w="3757" w:type="dxa"/>
          </w:tcPr>
          <w:p w14:paraId="2DCB47E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tc>
      </w:tr>
    </w:tbl>
    <w:p w14:paraId="5D9DA76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Экипаж самолета в составе 2 чел. 1 л и 1 ш</w:t>
      </w:r>
    </w:p>
    <w:p w14:paraId="042B68D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Директору завода 22 и ГК В.М.М. предъявить на гос. испытания 1 экз. к 25 марта, 2-й к 15 апреля 1944</w:t>
      </w:r>
    </w:p>
    <w:p w14:paraId="1060EA5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Разрешить ГК В.М.М. использовать находящееся в производстве согласно постановлению ГОКО N 4849 от 27 декабря 1943 опытные самолеты Пе-2 для внесения в них всех изменений, в соответствии с настоящим постановлением</w:t>
      </w:r>
    </w:p>
    <w:p w14:paraId="710A482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ГК В.М.М. при проектировании предусмотреть, чтобы модифицированный самолет Пе-2 без конструктивных переделок мог бы взять вместо бомб внутрь фюзеляжа доп. вооружение: 3х20 мм или 1х45 мм (1664,20).</w:t>
      </w:r>
    </w:p>
    <w:p w14:paraId="327F878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Иногда пишут про 2хНС-45 по этому приказу (2471,39).</w:t>
      </w:r>
    </w:p>
    <w:p w14:paraId="617FA4F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E80D1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января 1944 года гл. конструктор самолета Пе-8 Незваль писал письмо Шахурину.</w:t>
      </w:r>
    </w:p>
    <w:p w14:paraId="794B0D2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Докладная записка</w:t>
      </w:r>
    </w:p>
    <w:p w14:paraId="4F43D33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вопросу модификации серийного самолета Пе-8 докладываю:</w:t>
      </w:r>
    </w:p>
    <w:p w14:paraId="780A437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Сравнение летно-тактических данных отечественного тяжелого бомбардировщика Пе-8 с четырьмя моторами М-82 с аналогичными американскими и английским серийными самолетами, проведенное на основании данных БНТ НКАП, показывает, что самолет Пе-8 по своим размерам и полетному весу является самолетом более тяжелым, а по скорости менее быстроходным и при этом с меньшей рабочей высотой. В то же время самолет Пе-8 способен поднимать большую бомбовую нагрузку тяжелого калибра и обеспечивать при этом большую дальность полета.</w:t>
      </w:r>
    </w:p>
    <w:p w14:paraId="3CCBE4D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 лучшие американские серийные тяжелые самолеты "Либерейтор" фирмы Консолидейтед и "Летающая крепость" фирмы Боинг и английский бомбардировщик "Ланкастер-1" фирмы Авро по сравнению с самолетом Пе-8 имеют следующие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09"/>
        <w:gridCol w:w="937"/>
        <w:gridCol w:w="937"/>
        <w:gridCol w:w="937"/>
        <w:gridCol w:w="937"/>
        <w:gridCol w:w="937"/>
        <w:gridCol w:w="937"/>
        <w:gridCol w:w="937"/>
        <w:gridCol w:w="937"/>
        <w:gridCol w:w="937"/>
      </w:tblGrid>
      <w:tr w:rsidR="006331D6" w:rsidRPr="007224C3" w14:paraId="0352FEB7" w14:textId="77777777">
        <w:tc>
          <w:tcPr>
            <w:tcW w:w="1809" w:type="dxa"/>
          </w:tcPr>
          <w:p w14:paraId="751691B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w:t>
            </w:r>
          </w:p>
        </w:tc>
        <w:tc>
          <w:tcPr>
            <w:tcW w:w="937" w:type="dxa"/>
          </w:tcPr>
          <w:p w14:paraId="7DE157F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Мотор</w:t>
            </w:r>
          </w:p>
        </w:tc>
        <w:tc>
          <w:tcPr>
            <w:tcW w:w="937" w:type="dxa"/>
          </w:tcPr>
          <w:p w14:paraId="48F7D4E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Мощн.</w:t>
            </w:r>
          </w:p>
        </w:tc>
        <w:tc>
          <w:tcPr>
            <w:tcW w:w="937" w:type="dxa"/>
          </w:tcPr>
          <w:p w14:paraId="66B0653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w:t>
            </w:r>
          </w:p>
        </w:tc>
        <w:tc>
          <w:tcPr>
            <w:tcW w:w="937" w:type="dxa"/>
          </w:tcPr>
          <w:p w14:paraId="1828802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Площ.</w:t>
            </w:r>
          </w:p>
        </w:tc>
        <w:tc>
          <w:tcPr>
            <w:tcW w:w="937" w:type="dxa"/>
          </w:tcPr>
          <w:p w14:paraId="64C9D58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Нагр.</w:t>
            </w:r>
          </w:p>
        </w:tc>
        <w:tc>
          <w:tcPr>
            <w:tcW w:w="937" w:type="dxa"/>
          </w:tcPr>
          <w:p w14:paraId="2E106E3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Удлинен.</w:t>
            </w:r>
          </w:p>
        </w:tc>
        <w:tc>
          <w:tcPr>
            <w:tcW w:w="937" w:type="dxa"/>
          </w:tcPr>
          <w:p w14:paraId="4760D7D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w:t>
            </w:r>
          </w:p>
        </w:tc>
        <w:tc>
          <w:tcPr>
            <w:tcW w:w="937" w:type="dxa"/>
          </w:tcPr>
          <w:p w14:paraId="6946601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Расчет.</w:t>
            </w:r>
          </w:p>
        </w:tc>
        <w:tc>
          <w:tcPr>
            <w:tcW w:w="937" w:type="dxa"/>
          </w:tcPr>
          <w:p w14:paraId="4BE09F7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Практич.</w:t>
            </w:r>
          </w:p>
        </w:tc>
      </w:tr>
      <w:tr w:rsidR="006331D6" w:rsidRPr="007224C3" w14:paraId="0A319267" w14:textId="77777777">
        <w:tc>
          <w:tcPr>
            <w:tcW w:w="1809" w:type="dxa"/>
          </w:tcPr>
          <w:p w14:paraId="22025B7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7" w:type="dxa"/>
          </w:tcPr>
          <w:p w14:paraId="4F7BCBC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7" w:type="dxa"/>
          </w:tcPr>
          <w:p w14:paraId="5B45A98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мотора</w:t>
            </w:r>
          </w:p>
        </w:tc>
        <w:tc>
          <w:tcPr>
            <w:tcW w:w="937" w:type="dxa"/>
          </w:tcPr>
          <w:p w14:paraId="1A863D4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с-та</w:t>
            </w:r>
          </w:p>
        </w:tc>
        <w:tc>
          <w:tcPr>
            <w:tcW w:w="937" w:type="dxa"/>
          </w:tcPr>
          <w:p w14:paraId="2AEA537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крыла</w:t>
            </w:r>
          </w:p>
        </w:tc>
        <w:tc>
          <w:tcPr>
            <w:tcW w:w="937" w:type="dxa"/>
          </w:tcPr>
          <w:p w14:paraId="7A91DC2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м кв.</w:t>
            </w:r>
          </w:p>
        </w:tc>
        <w:tc>
          <w:tcPr>
            <w:tcW w:w="937" w:type="dxa"/>
          </w:tcPr>
          <w:p w14:paraId="48B83DD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7" w:type="dxa"/>
          </w:tcPr>
          <w:p w14:paraId="5F28D08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w:t>
            </w:r>
          </w:p>
        </w:tc>
        <w:tc>
          <w:tcPr>
            <w:tcW w:w="937" w:type="dxa"/>
          </w:tcPr>
          <w:p w14:paraId="3BD55F3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высота</w:t>
            </w:r>
          </w:p>
        </w:tc>
        <w:tc>
          <w:tcPr>
            <w:tcW w:w="937" w:type="dxa"/>
          </w:tcPr>
          <w:p w14:paraId="03B3222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потолок</w:t>
            </w:r>
          </w:p>
        </w:tc>
      </w:tr>
      <w:tr w:rsidR="006331D6" w:rsidRPr="007224C3" w14:paraId="738A4BB6" w14:textId="77777777">
        <w:tc>
          <w:tcPr>
            <w:tcW w:w="1809" w:type="dxa"/>
          </w:tcPr>
          <w:p w14:paraId="2ACA2C4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7" w:type="dxa"/>
          </w:tcPr>
          <w:p w14:paraId="29121FE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7" w:type="dxa"/>
          </w:tcPr>
          <w:p w14:paraId="375E8E8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7" w:type="dxa"/>
          </w:tcPr>
          <w:p w14:paraId="418F827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7" w:type="dxa"/>
          </w:tcPr>
          <w:p w14:paraId="398C5DB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7" w:type="dxa"/>
          </w:tcPr>
          <w:p w14:paraId="58F399C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крыла</w:t>
            </w:r>
          </w:p>
        </w:tc>
        <w:tc>
          <w:tcPr>
            <w:tcW w:w="937" w:type="dxa"/>
          </w:tcPr>
          <w:p w14:paraId="145E796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7" w:type="dxa"/>
          </w:tcPr>
          <w:p w14:paraId="07631FC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км/час.</w:t>
            </w:r>
          </w:p>
        </w:tc>
        <w:tc>
          <w:tcPr>
            <w:tcW w:w="937" w:type="dxa"/>
          </w:tcPr>
          <w:p w14:paraId="00C80A1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7" w:type="dxa"/>
          </w:tcPr>
          <w:p w14:paraId="1536D4B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5BC086CC" w14:textId="77777777">
        <w:tc>
          <w:tcPr>
            <w:tcW w:w="1809" w:type="dxa"/>
          </w:tcPr>
          <w:p w14:paraId="1B87806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Консолидейтед</w:t>
            </w:r>
          </w:p>
        </w:tc>
        <w:tc>
          <w:tcPr>
            <w:tcW w:w="937" w:type="dxa"/>
          </w:tcPr>
          <w:p w14:paraId="385624F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R-1830</w:t>
            </w:r>
          </w:p>
        </w:tc>
        <w:tc>
          <w:tcPr>
            <w:tcW w:w="937" w:type="dxa"/>
          </w:tcPr>
          <w:p w14:paraId="5BD51C5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7" w:type="dxa"/>
          </w:tcPr>
          <w:p w14:paraId="19AD95D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7" w:type="dxa"/>
          </w:tcPr>
          <w:p w14:paraId="335B321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7" w:type="dxa"/>
          </w:tcPr>
          <w:p w14:paraId="4C9CE73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7" w:type="dxa"/>
          </w:tcPr>
          <w:p w14:paraId="3A5FA49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7" w:type="dxa"/>
          </w:tcPr>
          <w:p w14:paraId="023A0CC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7" w:type="dxa"/>
          </w:tcPr>
          <w:p w14:paraId="0807D7B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7" w:type="dxa"/>
          </w:tcPr>
          <w:p w14:paraId="2FEABF7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46A2B4F5" w14:textId="77777777">
        <w:tc>
          <w:tcPr>
            <w:tcW w:w="1809" w:type="dxa"/>
          </w:tcPr>
          <w:p w14:paraId="040028C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В-24Д и</w:t>
            </w:r>
          </w:p>
        </w:tc>
        <w:tc>
          <w:tcPr>
            <w:tcW w:w="937" w:type="dxa"/>
          </w:tcPr>
          <w:p w14:paraId="1528077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-43 с</w:t>
            </w:r>
          </w:p>
        </w:tc>
        <w:tc>
          <w:tcPr>
            <w:tcW w:w="937" w:type="dxa"/>
          </w:tcPr>
          <w:p w14:paraId="3BB2750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7" w:type="dxa"/>
          </w:tcPr>
          <w:p w14:paraId="483FAA5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7" w:type="dxa"/>
          </w:tcPr>
          <w:p w14:paraId="4D76929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7" w:type="dxa"/>
          </w:tcPr>
          <w:p w14:paraId="58E178A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7" w:type="dxa"/>
          </w:tcPr>
          <w:p w14:paraId="5CDF60E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7" w:type="dxa"/>
          </w:tcPr>
          <w:p w14:paraId="009693B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7" w:type="dxa"/>
          </w:tcPr>
          <w:p w14:paraId="2BAE3DC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7" w:type="dxa"/>
          </w:tcPr>
          <w:p w14:paraId="5684FB1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331D6" w:rsidRPr="007224C3" w14:paraId="24444DF1" w14:textId="77777777">
        <w:tc>
          <w:tcPr>
            <w:tcW w:w="1809" w:type="dxa"/>
          </w:tcPr>
          <w:p w14:paraId="6B04F15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Либерейтор</w:t>
            </w:r>
          </w:p>
        </w:tc>
        <w:tc>
          <w:tcPr>
            <w:tcW w:w="937" w:type="dxa"/>
          </w:tcPr>
          <w:p w14:paraId="37AABA3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ТК</w:t>
            </w:r>
          </w:p>
        </w:tc>
        <w:tc>
          <w:tcPr>
            <w:tcW w:w="937" w:type="dxa"/>
          </w:tcPr>
          <w:p w14:paraId="2BB6D1A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1200</w:t>
            </w:r>
          </w:p>
        </w:tc>
        <w:tc>
          <w:tcPr>
            <w:tcW w:w="937" w:type="dxa"/>
          </w:tcPr>
          <w:p w14:paraId="1F96EA2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26800</w:t>
            </w:r>
          </w:p>
        </w:tc>
        <w:tc>
          <w:tcPr>
            <w:tcW w:w="937" w:type="dxa"/>
          </w:tcPr>
          <w:p w14:paraId="7BA1FA9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97,5</w:t>
            </w:r>
          </w:p>
        </w:tc>
        <w:tc>
          <w:tcPr>
            <w:tcW w:w="937" w:type="dxa"/>
          </w:tcPr>
          <w:p w14:paraId="1017489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260</w:t>
            </w:r>
          </w:p>
        </w:tc>
        <w:tc>
          <w:tcPr>
            <w:tcW w:w="937" w:type="dxa"/>
          </w:tcPr>
          <w:p w14:paraId="6848017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11,5</w:t>
            </w:r>
          </w:p>
        </w:tc>
        <w:tc>
          <w:tcPr>
            <w:tcW w:w="937" w:type="dxa"/>
          </w:tcPr>
          <w:p w14:paraId="2D6C6EA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500</w:t>
            </w:r>
          </w:p>
        </w:tc>
        <w:tc>
          <w:tcPr>
            <w:tcW w:w="937" w:type="dxa"/>
          </w:tcPr>
          <w:p w14:paraId="33DD8FE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7600</w:t>
            </w:r>
          </w:p>
        </w:tc>
        <w:tc>
          <w:tcPr>
            <w:tcW w:w="937" w:type="dxa"/>
          </w:tcPr>
          <w:p w14:paraId="55E744B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10350</w:t>
            </w:r>
          </w:p>
        </w:tc>
      </w:tr>
      <w:tr w:rsidR="005106D0" w:rsidRPr="007224C3" w14:paraId="30835B13" w14:textId="77777777">
        <w:tc>
          <w:tcPr>
            <w:tcW w:w="1809" w:type="dxa"/>
          </w:tcPr>
          <w:p w14:paraId="6B6EDD2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Боинг В-17F</w:t>
            </w:r>
          </w:p>
        </w:tc>
        <w:tc>
          <w:tcPr>
            <w:tcW w:w="937" w:type="dxa"/>
          </w:tcPr>
          <w:p w14:paraId="17263F3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Райт</w:t>
            </w:r>
          </w:p>
        </w:tc>
        <w:tc>
          <w:tcPr>
            <w:tcW w:w="937" w:type="dxa"/>
          </w:tcPr>
          <w:p w14:paraId="3154D19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7" w:type="dxa"/>
          </w:tcPr>
          <w:p w14:paraId="1DF8695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7" w:type="dxa"/>
          </w:tcPr>
          <w:p w14:paraId="5DED006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7" w:type="dxa"/>
          </w:tcPr>
          <w:p w14:paraId="683516D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7" w:type="dxa"/>
          </w:tcPr>
          <w:p w14:paraId="57B9B1A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7" w:type="dxa"/>
          </w:tcPr>
          <w:p w14:paraId="09E26B4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7" w:type="dxa"/>
          </w:tcPr>
          <w:p w14:paraId="4E3A616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7" w:type="dxa"/>
          </w:tcPr>
          <w:p w14:paraId="30B87C3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00176A4" w14:textId="77777777">
        <w:tc>
          <w:tcPr>
            <w:tcW w:w="1809" w:type="dxa"/>
          </w:tcPr>
          <w:p w14:paraId="3A49A7B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"Летающая</w:t>
            </w:r>
          </w:p>
        </w:tc>
        <w:tc>
          <w:tcPr>
            <w:tcW w:w="937" w:type="dxa"/>
          </w:tcPr>
          <w:p w14:paraId="36B4F49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R-1820</w:t>
            </w:r>
          </w:p>
        </w:tc>
        <w:tc>
          <w:tcPr>
            <w:tcW w:w="937" w:type="dxa"/>
          </w:tcPr>
          <w:p w14:paraId="571768F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7" w:type="dxa"/>
          </w:tcPr>
          <w:p w14:paraId="3823BDF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7" w:type="dxa"/>
          </w:tcPr>
          <w:p w14:paraId="4E3AFFC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7" w:type="dxa"/>
          </w:tcPr>
          <w:p w14:paraId="4873295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7" w:type="dxa"/>
          </w:tcPr>
          <w:p w14:paraId="0506DE3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7" w:type="dxa"/>
          </w:tcPr>
          <w:p w14:paraId="73874FA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7" w:type="dxa"/>
          </w:tcPr>
          <w:p w14:paraId="2908711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7" w:type="dxa"/>
          </w:tcPr>
          <w:p w14:paraId="43E6957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C111D32" w14:textId="77777777">
        <w:tc>
          <w:tcPr>
            <w:tcW w:w="1809" w:type="dxa"/>
          </w:tcPr>
          <w:p w14:paraId="533114B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крепость"</w:t>
            </w:r>
          </w:p>
        </w:tc>
        <w:tc>
          <w:tcPr>
            <w:tcW w:w="937" w:type="dxa"/>
          </w:tcPr>
          <w:p w14:paraId="1CF4B7F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-97</w:t>
            </w:r>
          </w:p>
        </w:tc>
        <w:tc>
          <w:tcPr>
            <w:tcW w:w="937" w:type="dxa"/>
          </w:tcPr>
          <w:p w14:paraId="7341DC8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1200</w:t>
            </w:r>
          </w:p>
        </w:tc>
        <w:tc>
          <w:tcPr>
            <w:tcW w:w="937" w:type="dxa"/>
          </w:tcPr>
          <w:p w14:paraId="40B760B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25000</w:t>
            </w:r>
          </w:p>
        </w:tc>
        <w:tc>
          <w:tcPr>
            <w:tcW w:w="937" w:type="dxa"/>
          </w:tcPr>
          <w:p w14:paraId="5607508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118,5</w:t>
            </w:r>
          </w:p>
        </w:tc>
        <w:tc>
          <w:tcPr>
            <w:tcW w:w="937" w:type="dxa"/>
          </w:tcPr>
          <w:p w14:paraId="71A966B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211</w:t>
            </w:r>
          </w:p>
        </w:tc>
        <w:tc>
          <w:tcPr>
            <w:tcW w:w="937" w:type="dxa"/>
          </w:tcPr>
          <w:p w14:paraId="0AD7721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8,55</w:t>
            </w:r>
          </w:p>
        </w:tc>
        <w:tc>
          <w:tcPr>
            <w:tcW w:w="937" w:type="dxa"/>
          </w:tcPr>
          <w:p w14:paraId="0640F24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490</w:t>
            </w:r>
          </w:p>
        </w:tc>
        <w:tc>
          <w:tcPr>
            <w:tcW w:w="937" w:type="dxa"/>
          </w:tcPr>
          <w:p w14:paraId="049BC61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8250</w:t>
            </w:r>
          </w:p>
        </w:tc>
        <w:tc>
          <w:tcPr>
            <w:tcW w:w="937" w:type="dxa"/>
          </w:tcPr>
          <w:p w14:paraId="670C407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10700</w:t>
            </w:r>
          </w:p>
        </w:tc>
      </w:tr>
      <w:tr w:rsidR="005106D0" w:rsidRPr="007224C3" w14:paraId="4C4A1D98" w14:textId="77777777">
        <w:tc>
          <w:tcPr>
            <w:tcW w:w="1809" w:type="dxa"/>
          </w:tcPr>
          <w:p w14:paraId="1799E17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Авро </w:t>
            </w:r>
          </w:p>
        </w:tc>
        <w:tc>
          <w:tcPr>
            <w:tcW w:w="937" w:type="dxa"/>
          </w:tcPr>
          <w:p w14:paraId="056AF44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"Мерлин"</w:t>
            </w:r>
          </w:p>
        </w:tc>
        <w:tc>
          <w:tcPr>
            <w:tcW w:w="937" w:type="dxa"/>
          </w:tcPr>
          <w:p w14:paraId="73296F0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7" w:type="dxa"/>
          </w:tcPr>
          <w:p w14:paraId="179449D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7" w:type="dxa"/>
          </w:tcPr>
          <w:p w14:paraId="2EE173E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7" w:type="dxa"/>
          </w:tcPr>
          <w:p w14:paraId="1A27501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7" w:type="dxa"/>
          </w:tcPr>
          <w:p w14:paraId="7139260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7" w:type="dxa"/>
          </w:tcPr>
          <w:p w14:paraId="38759F6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7" w:type="dxa"/>
          </w:tcPr>
          <w:p w14:paraId="13722F9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7" w:type="dxa"/>
          </w:tcPr>
          <w:p w14:paraId="1E981AD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FE9C4CA" w14:textId="77777777">
        <w:tc>
          <w:tcPr>
            <w:tcW w:w="1809" w:type="dxa"/>
          </w:tcPr>
          <w:p w14:paraId="525E1D3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"Ланкастер-1"</w:t>
            </w:r>
          </w:p>
        </w:tc>
        <w:tc>
          <w:tcPr>
            <w:tcW w:w="937" w:type="dxa"/>
          </w:tcPr>
          <w:p w14:paraId="7F94C93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ХХ</w:t>
            </w:r>
          </w:p>
        </w:tc>
        <w:tc>
          <w:tcPr>
            <w:tcW w:w="937" w:type="dxa"/>
          </w:tcPr>
          <w:p w14:paraId="09F8EA5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1170</w:t>
            </w:r>
          </w:p>
        </w:tc>
        <w:tc>
          <w:tcPr>
            <w:tcW w:w="937" w:type="dxa"/>
          </w:tcPr>
          <w:p w14:paraId="2D43335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27300</w:t>
            </w:r>
          </w:p>
        </w:tc>
        <w:tc>
          <w:tcPr>
            <w:tcW w:w="937" w:type="dxa"/>
          </w:tcPr>
          <w:p w14:paraId="0616919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120,5</w:t>
            </w:r>
          </w:p>
        </w:tc>
        <w:tc>
          <w:tcPr>
            <w:tcW w:w="937" w:type="dxa"/>
          </w:tcPr>
          <w:p w14:paraId="2ADC0BA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218</w:t>
            </w:r>
          </w:p>
        </w:tc>
        <w:tc>
          <w:tcPr>
            <w:tcW w:w="937" w:type="dxa"/>
          </w:tcPr>
          <w:p w14:paraId="56B899B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8,0</w:t>
            </w:r>
          </w:p>
        </w:tc>
        <w:tc>
          <w:tcPr>
            <w:tcW w:w="937" w:type="dxa"/>
          </w:tcPr>
          <w:p w14:paraId="02ED6E8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480</w:t>
            </w:r>
          </w:p>
        </w:tc>
        <w:tc>
          <w:tcPr>
            <w:tcW w:w="937" w:type="dxa"/>
          </w:tcPr>
          <w:p w14:paraId="69B5E63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6400</w:t>
            </w:r>
          </w:p>
        </w:tc>
        <w:tc>
          <w:tcPr>
            <w:tcW w:w="937" w:type="dxa"/>
          </w:tcPr>
          <w:p w14:paraId="024EB10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3431A40D" w14:textId="77777777">
        <w:tc>
          <w:tcPr>
            <w:tcW w:w="1809" w:type="dxa"/>
          </w:tcPr>
          <w:p w14:paraId="662F472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Серийный Пе-8</w:t>
            </w:r>
          </w:p>
        </w:tc>
        <w:tc>
          <w:tcPr>
            <w:tcW w:w="937" w:type="dxa"/>
          </w:tcPr>
          <w:p w14:paraId="3EC9CF3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М-82</w:t>
            </w:r>
          </w:p>
        </w:tc>
        <w:tc>
          <w:tcPr>
            <w:tcW w:w="937" w:type="dxa"/>
          </w:tcPr>
          <w:p w14:paraId="5F1ED98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1330</w:t>
            </w:r>
          </w:p>
        </w:tc>
        <w:tc>
          <w:tcPr>
            <w:tcW w:w="937" w:type="dxa"/>
          </w:tcPr>
          <w:p w14:paraId="3D8BEF8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36000</w:t>
            </w:r>
          </w:p>
        </w:tc>
        <w:tc>
          <w:tcPr>
            <w:tcW w:w="937" w:type="dxa"/>
          </w:tcPr>
          <w:p w14:paraId="3C6FEB1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188,6</w:t>
            </w:r>
          </w:p>
        </w:tc>
        <w:tc>
          <w:tcPr>
            <w:tcW w:w="937" w:type="dxa"/>
          </w:tcPr>
          <w:p w14:paraId="2C9A0F1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190</w:t>
            </w:r>
          </w:p>
        </w:tc>
        <w:tc>
          <w:tcPr>
            <w:tcW w:w="937" w:type="dxa"/>
          </w:tcPr>
          <w:p w14:paraId="2D42DC3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8,1</w:t>
            </w:r>
          </w:p>
        </w:tc>
        <w:tc>
          <w:tcPr>
            <w:tcW w:w="937" w:type="dxa"/>
          </w:tcPr>
          <w:p w14:paraId="790746E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420</w:t>
            </w:r>
          </w:p>
        </w:tc>
        <w:tc>
          <w:tcPr>
            <w:tcW w:w="937" w:type="dxa"/>
          </w:tcPr>
          <w:p w14:paraId="27370D3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5600</w:t>
            </w:r>
          </w:p>
        </w:tc>
        <w:tc>
          <w:tcPr>
            <w:tcW w:w="937" w:type="dxa"/>
          </w:tcPr>
          <w:p w14:paraId="0602CAF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8000</w:t>
            </w:r>
          </w:p>
        </w:tc>
      </w:tr>
    </w:tbl>
    <w:p w14:paraId="6F6F484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 приведенной таблицы видно, что самолеты "Либерейтор" и "Летающая крепость" имеют моторы, оборудованные турбокомпрессорами, что обеспечивает им большую высотность и позволяет получить им более высокие скорости на большой высоте.</w:t>
      </w:r>
    </w:p>
    <w:p w14:paraId="1B34EFE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Меньшая максимальная скорость самолета Пе-8, как самолета более раннего выпуска, объясняется не только значительно меньшей высотностью установленных на нем моторов, но также более низким уровнем аэродинамического совершенства отдельных его частей.</w:t>
      </w:r>
    </w:p>
    <w:p w14:paraId="58E3A98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Что касается бомбовой нагрузки самолета Пе-8 и его дальности полета, то они не уступают ни одному из упомянутых самолетов.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8"/>
        <w:gridCol w:w="1878"/>
        <w:gridCol w:w="1878"/>
        <w:gridCol w:w="1878"/>
      </w:tblGrid>
      <w:tr w:rsidR="005106D0" w:rsidRPr="007224C3" w14:paraId="45D533F2" w14:textId="77777777">
        <w:tc>
          <w:tcPr>
            <w:tcW w:w="1878" w:type="dxa"/>
          </w:tcPr>
          <w:p w14:paraId="30EADC7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w:t>
            </w:r>
          </w:p>
        </w:tc>
        <w:tc>
          <w:tcPr>
            <w:tcW w:w="1878" w:type="dxa"/>
          </w:tcPr>
          <w:p w14:paraId="3D18547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Полетный</w:t>
            </w:r>
          </w:p>
        </w:tc>
        <w:tc>
          <w:tcPr>
            <w:tcW w:w="1878" w:type="dxa"/>
          </w:tcPr>
          <w:p w14:paraId="696E0D0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Бомбовая</w:t>
            </w:r>
          </w:p>
        </w:tc>
        <w:tc>
          <w:tcPr>
            <w:tcW w:w="1878" w:type="dxa"/>
          </w:tcPr>
          <w:p w14:paraId="3DF6F30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Дальность</w:t>
            </w:r>
          </w:p>
        </w:tc>
      </w:tr>
      <w:tr w:rsidR="005106D0" w:rsidRPr="007224C3" w14:paraId="0EC7E531" w14:textId="77777777">
        <w:tc>
          <w:tcPr>
            <w:tcW w:w="1878" w:type="dxa"/>
          </w:tcPr>
          <w:p w14:paraId="1F36A8C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0EF68AC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w:t>
            </w:r>
          </w:p>
        </w:tc>
        <w:tc>
          <w:tcPr>
            <w:tcW w:w="1878" w:type="dxa"/>
          </w:tcPr>
          <w:p w14:paraId="2337BB8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нагрузка</w:t>
            </w:r>
          </w:p>
        </w:tc>
        <w:tc>
          <w:tcPr>
            <w:tcW w:w="1878" w:type="dxa"/>
          </w:tcPr>
          <w:p w14:paraId="2C21265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полета</w:t>
            </w:r>
          </w:p>
        </w:tc>
      </w:tr>
      <w:tr w:rsidR="005106D0" w:rsidRPr="007224C3" w14:paraId="0C0D4055" w14:textId="77777777">
        <w:tc>
          <w:tcPr>
            <w:tcW w:w="1878" w:type="dxa"/>
          </w:tcPr>
          <w:p w14:paraId="25B054A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"Либерейтор"</w:t>
            </w:r>
          </w:p>
        </w:tc>
        <w:tc>
          <w:tcPr>
            <w:tcW w:w="1878" w:type="dxa"/>
          </w:tcPr>
          <w:p w14:paraId="78AB776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25000</w:t>
            </w:r>
          </w:p>
        </w:tc>
        <w:tc>
          <w:tcPr>
            <w:tcW w:w="1878" w:type="dxa"/>
          </w:tcPr>
          <w:p w14:paraId="6511BA1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1810</w:t>
            </w:r>
          </w:p>
        </w:tc>
        <w:tc>
          <w:tcPr>
            <w:tcW w:w="1878" w:type="dxa"/>
          </w:tcPr>
          <w:p w14:paraId="741CB30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4430</w:t>
            </w:r>
          </w:p>
        </w:tc>
      </w:tr>
      <w:tr w:rsidR="005106D0" w:rsidRPr="007224C3" w14:paraId="3A4584AE" w14:textId="77777777">
        <w:tc>
          <w:tcPr>
            <w:tcW w:w="1878" w:type="dxa"/>
          </w:tcPr>
          <w:p w14:paraId="7369AB4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37DBED8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26800</w:t>
            </w:r>
          </w:p>
        </w:tc>
        <w:tc>
          <w:tcPr>
            <w:tcW w:w="1878" w:type="dxa"/>
          </w:tcPr>
          <w:p w14:paraId="0B3412E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3620</w:t>
            </w:r>
          </w:p>
        </w:tc>
        <w:tc>
          <w:tcPr>
            <w:tcW w:w="1878" w:type="dxa"/>
          </w:tcPr>
          <w:p w14:paraId="67C6375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4200</w:t>
            </w:r>
          </w:p>
        </w:tc>
      </w:tr>
      <w:tr w:rsidR="005106D0" w:rsidRPr="007224C3" w14:paraId="745582A0" w14:textId="77777777">
        <w:tc>
          <w:tcPr>
            <w:tcW w:w="1878" w:type="dxa"/>
          </w:tcPr>
          <w:p w14:paraId="17FFE80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"Летающая</w:t>
            </w:r>
          </w:p>
        </w:tc>
        <w:tc>
          <w:tcPr>
            <w:tcW w:w="1878" w:type="dxa"/>
          </w:tcPr>
          <w:p w14:paraId="4F74D55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25000</w:t>
            </w:r>
          </w:p>
        </w:tc>
        <w:tc>
          <w:tcPr>
            <w:tcW w:w="1878" w:type="dxa"/>
          </w:tcPr>
          <w:p w14:paraId="502A50E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2720</w:t>
            </w:r>
          </w:p>
        </w:tc>
        <w:tc>
          <w:tcPr>
            <w:tcW w:w="1878" w:type="dxa"/>
          </w:tcPr>
          <w:p w14:paraId="026EEBB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4350</w:t>
            </w:r>
          </w:p>
        </w:tc>
      </w:tr>
      <w:tr w:rsidR="005106D0" w:rsidRPr="007224C3" w14:paraId="295B667D" w14:textId="77777777">
        <w:tc>
          <w:tcPr>
            <w:tcW w:w="1878" w:type="dxa"/>
          </w:tcPr>
          <w:p w14:paraId="0F81285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крепость"</w:t>
            </w:r>
          </w:p>
        </w:tc>
        <w:tc>
          <w:tcPr>
            <w:tcW w:w="1878" w:type="dxa"/>
          </w:tcPr>
          <w:p w14:paraId="68F577E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25000</w:t>
            </w:r>
          </w:p>
        </w:tc>
        <w:tc>
          <w:tcPr>
            <w:tcW w:w="1878" w:type="dxa"/>
          </w:tcPr>
          <w:p w14:paraId="2C04F09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5800</w:t>
            </w:r>
          </w:p>
        </w:tc>
        <w:tc>
          <w:tcPr>
            <w:tcW w:w="1878" w:type="dxa"/>
          </w:tcPr>
          <w:p w14:paraId="548FBD3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2130</w:t>
            </w:r>
          </w:p>
        </w:tc>
      </w:tr>
      <w:tr w:rsidR="005106D0" w:rsidRPr="007224C3" w14:paraId="77EA898E" w14:textId="77777777">
        <w:tc>
          <w:tcPr>
            <w:tcW w:w="1878" w:type="dxa"/>
          </w:tcPr>
          <w:p w14:paraId="32778C0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"Ланкастер-1"</w:t>
            </w:r>
          </w:p>
        </w:tc>
        <w:tc>
          <w:tcPr>
            <w:tcW w:w="1878" w:type="dxa"/>
          </w:tcPr>
          <w:p w14:paraId="2F43880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27300</w:t>
            </w:r>
          </w:p>
        </w:tc>
        <w:tc>
          <w:tcPr>
            <w:tcW w:w="1878" w:type="dxa"/>
          </w:tcPr>
          <w:p w14:paraId="4CC5C00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1800</w:t>
            </w:r>
          </w:p>
        </w:tc>
        <w:tc>
          <w:tcPr>
            <w:tcW w:w="1878" w:type="dxa"/>
          </w:tcPr>
          <w:p w14:paraId="59644CF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3200</w:t>
            </w:r>
          </w:p>
        </w:tc>
      </w:tr>
      <w:tr w:rsidR="005106D0" w:rsidRPr="007224C3" w14:paraId="1153D971" w14:textId="77777777">
        <w:tc>
          <w:tcPr>
            <w:tcW w:w="1878" w:type="dxa"/>
          </w:tcPr>
          <w:p w14:paraId="7BAC124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1345499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27300</w:t>
            </w:r>
          </w:p>
        </w:tc>
        <w:tc>
          <w:tcPr>
            <w:tcW w:w="1878" w:type="dxa"/>
          </w:tcPr>
          <w:p w14:paraId="6425EB9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5450</w:t>
            </w:r>
          </w:p>
        </w:tc>
        <w:tc>
          <w:tcPr>
            <w:tcW w:w="1878" w:type="dxa"/>
          </w:tcPr>
          <w:p w14:paraId="1DCB0A3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1930</w:t>
            </w:r>
          </w:p>
        </w:tc>
      </w:tr>
      <w:tr w:rsidR="005106D0" w:rsidRPr="007224C3" w14:paraId="5BA37EEF" w14:textId="77777777">
        <w:tc>
          <w:tcPr>
            <w:tcW w:w="1878" w:type="dxa"/>
          </w:tcPr>
          <w:p w14:paraId="58C9886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Пе-8</w:t>
            </w:r>
          </w:p>
        </w:tc>
        <w:tc>
          <w:tcPr>
            <w:tcW w:w="1878" w:type="dxa"/>
          </w:tcPr>
          <w:p w14:paraId="46820A9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36000</w:t>
            </w:r>
          </w:p>
        </w:tc>
        <w:tc>
          <w:tcPr>
            <w:tcW w:w="1878" w:type="dxa"/>
          </w:tcPr>
          <w:p w14:paraId="05DE224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2000</w:t>
            </w:r>
          </w:p>
        </w:tc>
        <w:tc>
          <w:tcPr>
            <w:tcW w:w="1878" w:type="dxa"/>
          </w:tcPr>
          <w:p w14:paraId="35D586D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5400</w:t>
            </w:r>
          </w:p>
        </w:tc>
      </w:tr>
      <w:tr w:rsidR="005106D0" w:rsidRPr="007224C3" w14:paraId="02B19091" w14:textId="77777777">
        <w:tc>
          <w:tcPr>
            <w:tcW w:w="1878" w:type="dxa"/>
          </w:tcPr>
          <w:p w14:paraId="2A498EF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62FD472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36000</w:t>
            </w:r>
          </w:p>
        </w:tc>
        <w:tc>
          <w:tcPr>
            <w:tcW w:w="1878" w:type="dxa"/>
          </w:tcPr>
          <w:p w14:paraId="29A0A02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6000</w:t>
            </w:r>
          </w:p>
        </w:tc>
        <w:tc>
          <w:tcPr>
            <w:tcW w:w="1878" w:type="dxa"/>
          </w:tcPr>
          <w:p w14:paraId="122DD0D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3500</w:t>
            </w:r>
          </w:p>
        </w:tc>
      </w:tr>
    </w:tbl>
    <w:p w14:paraId="7103B09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 таблицы видно, что наибольшую бомбовую нагрузку в 6000 кг несет самолет Пе-8 и обладает при этом дальностью в 3500 км.</w:t>
      </w:r>
    </w:p>
    <w:p w14:paraId="359A674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 сравнения огневой защиты самолета Пе-8 с иностранными видно, что по своему стрелковому вооружению самолет Пе-8 также не уступает американским и превосходит английские, причем схема размещения его стрелковых точек аналогична с иностранными.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84"/>
        <w:gridCol w:w="960"/>
        <w:gridCol w:w="960"/>
        <w:gridCol w:w="1208"/>
        <w:gridCol w:w="1063"/>
        <w:gridCol w:w="1196"/>
      </w:tblGrid>
      <w:tr w:rsidR="005106D0" w:rsidRPr="007224C3" w14:paraId="4867BB7B" w14:textId="77777777">
        <w:tc>
          <w:tcPr>
            <w:tcW w:w="1384" w:type="dxa"/>
          </w:tcPr>
          <w:p w14:paraId="7F77DD4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Наименование</w:t>
            </w:r>
          </w:p>
        </w:tc>
        <w:tc>
          <w:tcPr>
            <w:tcW w:w="960" w:type="dxa"/>
          </w:tcPr>
          <w:p w14:paraId="34712DF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Pr>
          <w:p w14:paraId="74FCF45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Пе-8</w:t>
            </w:r>
          </w:p>
        </w:tc>
        <w:tc>
          <w:tcPr>
            <w:tcW w:w="1208" w:type="dxa"/>
          </w:tcPr>
          <w:p w14:paraId="2736430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"Либерейтор"</w:t>
            </w:r>
          </w:p>
        </w:tc>
        <w:tc>
          <w:tcPr>
            <w:tcW w:w="1063" w:type="dxa"/>
          </w:tcPr>
          <w:p w14:paraId="67B6884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"Летающая</w:t>
            </w:r>
          </w:p>
        </w:tc>
        <w:tc>
          <w:tcPr>
            <w:tcW w:w="1196" w:type="dxa"/>
          </w:tcPr>
          <w:p w14:paraId="609828F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"Ланкастер-1"</w:t>
            </w:r>
          </w:p>
        </w:tc>
      </w:tr>
      <w:tr w:rsidR="005106D0" w:rsidRPr="007224C3" w14:paraId="17D938F1" w14:textId="77777777">
        <w:tc>
          <w:tcPr>
            <w:tcW w:w="1384" w:type="dxa"/>
          </w:tcPr>
          <w:p w14:paraId="4E90494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стрелковой </w:t>
            </w:r>
          </w:p>
        </w:tc>
        <w:tc>
          <w:tcPr>
            <w:tcW w:w="960" w:type="dxa"/>
          </w:tcPr>
          <w:p w14:paraId="105822B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Pr>
          <w:p w14:paraId="20381B2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8" w:type="dxa"/>
          </w:tcPr>
          <w:p w14:paraId="2377414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крепость"</w:t>
            </w:r>
          </w:p>
        </w:tc>
        <w:tc>
          <w:tcPr>
            <w:tcW w:w="1063" w:type="dxa"/>
          </w:tcPr>
          <w:p w14:paraId="310FEF8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96" w:type="dxa"/>
          </w:tcPr>
          <w:p w14:paraId="4B65B4E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891406B" w14:textId="77777777">
        <w:tc>
          <w:tcPr>
            <w:tcW w:w="1384" w:type="dxa"/>
          </w:tcPr>
          <w:p w14:paraId="036A2C2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установки</w:t>
            </w:r>
          </w:p>
        </w:tc>
        <w:tc>
          <w:tcPr>
            <w:tcW w:w="960" w:type="dxa"/>
          </w:tcPr>
          <w:p w14:paraId="1B2D7DC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Pr>
          <w:p w14:paraId="3B3F4DC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8" w:type="dxa"/>
          </w:tcPr>
          <w:p w14:paraId="0697A94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63" w:type="dxa"/>
          </w:tcPr>
          <w:p w14:paraId="0344F3E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96" w:type="dxa"/>
          </w:tcPr>
          <w:p w14:paraId="074E0E8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826E96E" w14:textId="77777777">
        <w:tc>
          <w:tcPr>
            <w:tcW w:w="1384" w:type="dxa"/>
          </w:tcPr>
          <w:p w14:paraId="576129B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Носовая</w:t>
            </w:r>
          </w:p>
        </w:tc>
        <w:tc>
          <w:tcPr>
            <w:tcW w:w="960" w:type="dxa"/>
          </w:tcPr>
          <w:p w14:paraId="458B499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Кол-во</w:t>
            </w:r>
          </w:p>
        </w:tc>
        <w:tc>
          <w:tcPr>
            <w:tcW w:w="960" w:type="dxa"/>
          </w:tcPr>
          <w:p w14:paraId="0B942C4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пул.</w:t>
            </w:r>
          </w:p>
        </w:tc>
        <w:tc>
          <w:tcPr>
            <w:tcW w:w="1208" w:type="dxa"/>
          </w:tcPr>
          <w:p w14:paraId="4E749A7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пул.</w:t>
            </w:r>
          </w:p>
        </w:tc>
        <w:tc>
          <w:tcPr>
            <w:tcW w:w="1063" w:type="dxa"/>
          </w:tcPr>
          <w:p w14:paraId="6A573AF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пул.</w:t>
            </w:r>
          </w:p>
        </w:tc>
        <w:tc>
          <w:tcPr>
            <w:tcW w:w="1196" w:type="dxa"/>
          </w:tcPr>
          <w:p w14:paraId="2F7E379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пул.</w:t>
            </w:r>
          </w:p>
        </w:tc>
      </w:tr>
      <w:tr w:rsidR="005106D0" w:rsidRPr="007224C3" w14:paraId="7AE402C5" w14:textId="77777777">
        <w:tc>
          <w:tcPr>
            <w:tcW w:w="1384" w:type="dxa"/>
          </w:tcPr>
          <w:p w14:paraId="27D5F17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установка</w:t>
            </w:r>
          </w:p>
        </w:tc>
        <w:tc>
          <w:tcPr>
            <w:tcW w:w="960" w:type="dxa"/>
          </w:tcPr>
          <w:p w14:paraId="559C0C4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Калибр</w:t>
            </w:r>
          </w:p>
        </w:tc>
        <w:tc>
          <w:tcPr>
            <w:tcW w:w="960" w:type="dxa"/>
          </w:tcPr>
          <w:p w14:paraId="5E911C7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12,7 мм</w:t>
            </w:r>
          </w:p>
        </w:tc>
        <w:tc>
          <w:tcPr>
            <w:tcW w:w="1208" w:type="dxa"/>
          </w:tcPr>
          <w:p w14:paraId="7FFF204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12,7 мм</w:t>
            </w:r>
          </w:p>
        </w:tc>
        <w:tc>
          <w:tcPr>
            <w:tcW w:w="1063" w:type="dxa"/>
          </w:tcPr>
          <w:p w14:paraId="798561E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7,62 мм</w:t>
            </w:r>
          </w:p>
        </w:tc>
        <w:tc>
          <w:tcPr>
            <w:tcW w:w="1196" w:type="dxa"/>
          </w:tcPr>
          <w:p w14:paraId="0D0B05A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7,7 мм</w:t>
            </w:r>
          </w:p>
        </w:tc>
      </w:tr>
      <w:tr w:rsidR="005106D0" w:rsidRPr="007224C3" w14:paraId="627B2834" w14:textId="77777777">
        <w:tc>
          <w:tcPr>
            <w:tcW w:w="1384" w:type="dxa"/>
          </w:tcPr>
          <w:p w14:paraId="184B477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Pr>
          <w:p w14:paraId="1B024D1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Обстрел</w:t>
            </w:r>
          </w:p>
        </w:tc>
        <w:tc>
          <w:tcPr>
            <w:tcW w:w="960" w:type="dxa"/>
          </w:tcPr>
          <w:p w14:paraId="42536A0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вперед</w:t>
            </w:r>
          </w:p>
        </w:tc>
        <w:tc>
          <w:tcPr>
            <w:tcW w:w="1208" w:type="dxa"/>
          </w:tcPr>
          <w:p w14:paraId="15177B1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переставн.</w:t>
            </w:r>
          </w:p>
        </w:tc>
        <w:tc>
          <w:tcPr>
            <w:tcW w:w="1063" w:type="dxa"/>
          </w:tcPr>
          <w:p w14:paraId="40DAE8F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огранич.</w:t>
            </w:r>
          </w:p>
        </w:tc>
        <w:tc>
          <w:tcPr>
            <w:tcW w:w="1196" w:type="dxa"/>
          </w:tcPr>
          <w:p w14:paraId="2927447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передн.</w:t>
            </w:r>
          </w:p>
        </w:tc>
      </w:tr>
      <w:tr w:rsidR="005106D0" w:rsidRPr="007224C3" w14:paraId="0BA9EC71" w14:textId="77777777">
        <w:tc>
          <w:tcPr>
            <w:tcW w:w="1384" w:type="dxa"/>
          </w:tcPr>
          <w:p w14:paraId="29C246F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Pr>
          <w:p w14:paraId="1D28E65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конус</w:t>
            </w:r>
          </w:p>
        </w:tc>
        <w:tc>
          <w:tcPr>
            <w:tcW w:w="960" w:type="dxa"/>
          </w:tcPr>
          <w:p w14:paraId="4519806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3-х</w:t>
            </w:r>
          </w:p>
        </w:tc>
        <w:tc>
          <w:tcPr>
            <w:tcW w:w="1208" w:type="dxa"/>
          </w:tcPr>
          <w:p w14:paraId="7E60DA3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63" w:type="dxa"/>
          </w:tcPr>
          <w:p w14:paraId="64A0838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вперед</w:t>
            </w:r>
          </w:p>
        </w:tc>
        <w:tc>
          <w:tcPr>
            <w:tcW w:w="1196" w:type="dxa"/>
          </w:tcPr>
          <w:p w14:paraId="7CE22B7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п/сфера</w:t>
            </w:r>
          </w:p>
        </w:tc>
      </w:tr>
      <w:tr w:rsidR="005106D0" w:rsidRPr="007224C3" w14:paraId="3B36FC14" w14:textId="77777777">
        <w:tc>
          <w:tcPr>
            <w:tcW w:w="1384" w:type="dxa"/>
          </w:tcPr>
          <w:p w14:paraId="10E062B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Pr>
          <w:p w14:paraId="0B382B7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 град.</w:t>
            </w:r>
          </w:p>
        </w:tc>
        <w:tc>
          <w:tcPr>
            <w:tcW w:w="960" w:type="dxa"/>
          </w:tcPr>
          <w:p w14:paraId="04E899C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гнездах</w:t>
            </w:r>
          </w:p>
        </w:tc>
        <w:tc>
          <w:tcPr>
            <w:tcW w:w="1208" w:type="dxa"/>
          </w:tcPr>
          <w:p w14:paraId="6A5F179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63" w:type="dxa"/>
          </w:tcPr>
          <w:p w14:paraId="5D18E89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96" w:type="dxa"/>
          </w:tcPr>
          <w:p w14:paraId="1F9F3EC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2ECEE28" w14:textId="77777777">
        <w:tc>
          <w:tcPr>
            <w:tcW w:w="1384" w:type="dxa"/>
          </w:tcPr>
          <w:p w14:paraId="47716B2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Верхняя</w:t>
            </w:r>
          </w:p>
        </w:tc>
        <w:tc>
          <w:tcPr>
            <w:tcW w:w="960" w:type="dxa"/>
          </w:tcPr>
          <w:p w14:paraId="6529640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Кол-во</w:t>
            </w:r>
          </w:p>
        </w:tc>
        <w:tc>
          <w:tcPr>
            <w:tcW w:w="960" w:type="dxa"/>
          </w:tcPr>
          <w:p w14:paraId="7FEE5F3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пушка</w:t>
            </w:r>
          </w:p>
        </w:tc>
        <w:tc>
          <w:tcPr>
            <w:tcW w:w="1208" w:type="dxa"/>
          </w:tcPr>
          <w:p w14:paraId="76C7AD8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пул.</w:t>
            </w:r>
          </w:p>
        </w:tc>
        <w:tc>
          <w:tcPr>
            <w:tcW w:w="1063" w:type="dxa"/>
          </w:tcPr>
          <w:p w14:paraId="6559DBB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пул.</w:t>
            </w:r>
          </w:p>
        </w:tc>
        <w:tc>
          <w:tcPr>
            <w:tcW w:w="1196" w:type="dxa"/>
          </w:tcPr>
          <w:p w14:paraId="434E6E5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пул.</w:t>
            </w:r>
          </w:p>
        </w:tc>
      </w:tr>
      <w:tr w:rsidR="005106D0" w:rsidRPr="007224C3" w14:paraId="1B84BEC8" w14:textId="77777777">
        <w:tc>
          <w:tcPr>
            <w:tcW w:w="1384" w:type="dxa"/>
          </w:tcPr>
          <w:p w14:paraId="46793E7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установка</w:t>
            </w:r>
          </w:p>
        </w:tc>
        <w:tc>
          <w:tcPr>
            <w:tcW w:w="960" w:type="dxa"/>
          </w:tcPr>
          <w:p w14:paraId="345EFF9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Калибр</w:t>
            </w:r>
          </w:p>
        </w:tc>
        <w:tc>
          <w:tcPr>
            <w:tcW w:w="960" w:type="dxa"/>
          </w:tcPr>
          <w:p w14:paraId="3B8087A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мм</w:t>
            </w:r>
          </w:p>
        </w:tc>
        <w:tc>
          <w:tcPr>
            <w:tcW w:w="1208" w:type="dxa"/>
          </w:tcPr>
          <w:p w14:paraId="4CE0907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12,7 мм</w:t>
            </w:r>
          </w:p>
        </w:tc>
        <w:tc>
          <w:tcPr>
            <w:tcW w:w="1063" w:type="dxa"/>
          </w:tcPr>
          <w:p w14:paraId="5E13290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12,7 мм</w:t>
            </w:r>
          </w:p>
        </w:tc>
        <w:tc>
          <w:tcPr>
            <w:tcW w:w="1196" w:type="dxa"/>
          </w:tcPr>
          <w:p w14:paraId="2019DEC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7,7 мм</w:t>
            </w:r>
          </w:p>
        </w:tc>
      </w:tr>
      <w:tr w:rsidR="005106D0" w:rsidRPr="007224C3" w14:paraId="1AECDAB3" w14:textId="77777777">
        <w:tc>
          <w:tcPr>
            <w:tcW w:w="1384" w:type="dxa"/>
          </w:tcPr>
          <w:p w14:paraId="4E97B88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Pr>
          <w:p w14:paraId="2D8DE90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Обстрел</w:t>
            </w:r>
          </w:p>
        </w:tc>
        <w:tc>
          <w:tcPr>
            <w:tcW w:w="960" w:type="dxa"/>
          </w:tcPr>
          <w:p w14:paraId="3831AC4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круговой</w:t>
            </w:r>
          </w:p>
        </w:tc>
        <w:tc>
          <w:tcPr>
            <w:tcW w:w="1208" w:type="dxa"/>
          </w:tcPr>
          <w:p w14:paraId="64AAE77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круговой</w:t>
            </w:r>
          </w:p>
        </w:tc>
        <w:tc>
          <w:tcPr>
            <w:tcW w:w="1063" w:type="dxa"/>
          </w:tcPr>
          <w:p w14:paraId="0B7FECD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круговой</w:t>
            </w:r>
          </w:p>
        </w:tc>
        <w:tc>
          <w:tcPr>
            <w:tcW w:w="1196" w:type="dxa"/>
          </w:tcPr>
          <w:p w14:paraId="45AD0D8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круговой</w:t>
            </w:r>
          </w:p>
        </w:tc>
      </w:tr>
      <w:tr w:rsidR="005106D0" w:rsidRPr="007224C3" w14:paraId="6CAAA0FF" w14:textId="77777777">
        <w:tc>
          <w:tcPr>
            <w:tcW w:w="1384" w:type="dxa"/>
          </w:tcPr>
          <w:p w14:paraId="0B8EB2A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Pr>
          <w:p w14:paraId="7C68C89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Pr>
          <w:p w14:paraId="5AE563B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вверх</w:t>
            </w:r>
          </w:p>
        </w:tc>
        <w:tc>
          <w:tcPr>
            <w:tcW w:w="1208" w:type="dxa"/>
          </w:tcPr>
          <w:p w14:paraId="2D2E2E6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вверх</w:t>
            </w:r>
          </w:p>
        </w:tc>
        <w:tc>
          <w:tcPr>
            <w:tcW w:w="1063" w:type="dxa"/>
          </w:tcPr>
          <w:p w14:paraId="5FB6181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вверх</w:t>
            </w:r>
          </w:p>
        </w:tc>
        <w:tc>
          <w:tcPr>
            <w:tcW w:w="1196" w:type="dxa"/>
          </w:tcPr>
          <w:p w14:paraId="67C7879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вверх</w:t>
            </w:r>
          </w:p>
        </w:tc>
      </w:tr>
      <w:tr w:rsidR="005106D0" w:rsidRPr="007224C3" w14:paraId="5605542B" w14:textId="77777777">
        <w:tc>
          <w:tcPr>
            <w:tcW w:w="1384" w:type="dxa"/>
          </w:tcPr>
          <w:p w14:paraId="68EF465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Кормовая</w:t>
            </w:r>
          </w:p>
        </w:tc>
        <w:tc>
          <w:tcPr>
            <w:tcW w:w="960" w:type="dxa"/>
          </w:tcPr>
          <w:p w14:paraId="3E6AE44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Кол-во</w:t>
            </w:r>
          </w:p>
        </w:tc>
        <w:tc>
          <w:tcPr>
            <w:tcW w:w="960" w:type="dxa"/>
          </w:tcPr>
          <w:p w14:paraId="25C5569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пушка</w:t>
            </w:r>
          </w:p>
        </w:tc>
        <w:tc>
          <w:tcPr>
            <w:tcW w:w="1208" w:type="dxa"/>
          </w:tcPr>
          <w:p w14:paraId="1E98631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пул.</w:t>
            </w:r>
          </w:p>
        </w:tc>
        <w:tc>
          <w:tcPr>
            <w:tcW w:w="1063" w:type="dxa"/>
          </w:tcPr>
          <w:p w14:paraId="571DF03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пул.</w:t>
            </w:r>
          </w:p>
        </w:tc>
        <w:tc>
          <w:tcPr>
            <w:tcW w:w="1196" w:type="dxa"/>
          </w:tcPr>
          <w:p w14:paraId="3296960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пул.</w:t>
            </w:r>
          </w:p>
        </w:tc>
      </w:tr>
      <w:tr w:rsidR="005106D0" w:rsidRPr="007224C3" w14:paraId="0E47F204" w14:textId="77777777">
        <w:tc>
          <w:tcPr>
            <w:tcW w:w="1384" w:type="dxa"/>
          </w:tcPr>
          <w:p w14:paraId="257ACB1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установка</w:t>
            </w:r>
          </w:p>
        </w:tc>
        <w:tc>
          <w:tcPr>
            <w:tcW w:w="960" w:type="dxa"/>
          </w:tcPr>
          <w:p w14:paraId="72CEFB0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Калибр</w:t>
            </w:r>
          </w:p>
        </w:tc>
        <w:tc>
          <w:tcPr>
            <w:tcW w:w="960" w:type="dxa"/>
          </w:tcPr>
          <w:p w14:paraId="098190D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мм</w:t>
            </w:r>
          </w:p>
        </w:tc>
        <w:tc>
          <w:tcPr>
            <w:tcW w:w="1208" w:type="dxa"/>
          </w:tcPr>
          <w:p w14:paraId="4A9F4D3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12,7 мм</w:t>
            </w:r>
          </w:p>
        </w:tc>
        <w:tc>
          <w:tcPr>
            <w:tcW w:w="1063" w:type="dxa"/>
          </w:tcPr>
          <w:p w14:paraId="5C623C8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12,7 мм</w:t>
            </w:r>
          </w:p>
        </w:tc>
        <w:tc>
          <w:tcPr>
            <w:tcW w:w="1196" w:type="dxa"/>
          </w:tcPr>
          <w:p w14:paraId="3FB7EE9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7,7 мм</w:t>
            </w:r>
          </w:p>
        </w:tc>
      </w:tr>
      <w:tr w:rsidR="005106D0" w:rsidRPr="007224C3" w14:paraId="5353931E" w14:textId="77777777">
        <w:tc>
          <w:tcPr>
            <w:tcW w:w="1384" w:type="dxa"/>
          </w:tcPr>
          <w:p w14:paraId="791C45E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Pr>
          <w:p w14:paraId="4CB3004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Обстрел</w:t>
            </w:r>
          </w:p>
        </w:tc>
        <w:tc>
          <w:tcPr>
            <w:tcW w:w="960" w:type="dxa"/>
          </w:tcPr>
          <w:p w14:paraId="0A1E1E0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задняя</w:t>
            </w:r>
          </w:p>
        </w:tc>
        <w:tc>
          <w:tcPr>
            <w:tcW w:w="1208" w:type="dxa"/>
          </w:tcPr>
          <w:p w14:paraId="4072A68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задняя</w:t>
            </w:r>
          </w:p>
        </w:tc>
        <w:tc>
          <w:tcPr>
            <w:tcW w:w="1063" w:type="dxa"/>
          </w:tcPr>
          <w:p w14:paraId="096BFE9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задняя</w:t>
            </w:r>
          </w:p>
        </w:tc>
        <w:tc>
          <w:tcPr>
            <w:tcW w:w="1196" w:type="dxa"/>
          </w:tcPr>
          <w:p w14:paraId="0F127D0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задняя</w:t>
            </w:r>
          </w:p>
        </w:tc>
      </w:tr>
      <w:tr w:rsidR="005106D0" w:rsidRPr="007224C3" w14:paraId="579F90EE" w14:textId="77777777">
        <w:tc>
          <w:tcPr>
            <w:tcW w:w="1384" w:type="dxa"/>
          </w:tcPr>
          <w:p w14:paraId="483FBF5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Pr>
          <w:p w14:paraId="509D27F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Pr>
          <w:p w14:paraId="38138FD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п/сфера</w:t>
            </w:r>
          </w:p>
        </w:tc>
        <w:tc>
          <w:tcPr>
            <w:tcW w:w="1208" w:type="dxa"/>
          </w:tcPr>
          <w:p w14:paraId="6181114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п/сфера</w:t>
            </w:r>
          </w:p>
        </w:tc>
        <w:tc>
          <w:tcPr>
            <w:tcW w:w="1063" w:type="dxa"/>
          </w:tcPr>
          <w:p w14:paraId="2F80AE2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п/сфера</w:t>
            </w:r>
          </w:p>
        </w:tc>
        <w:tc>
          <w:tcPr>
            <w:tcW w:w="1196" w:type="dxa"/>
          </w:tcPr>
          <w:p w14:paraId="76A5F47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п/сфера</w:t>
            </w:r>
          </w:p>
        </w:tc>
      </w:tr>
      <w:tr w:rsidR="005106D0" w:rsidRPr="007224C3" w14:paraId="3B126046" w14:textId="77777777">
        <w:tc>
          <w:tcPr>
            <w:tcW w:w="1384" w:type="dxa"/>
          </w:tcPr>
          <w:p w14:paraId="1F87DA4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Нижняя</w:t>
            </w:r>
          </w:p>
        </w:tc>
        <w:tc>
          <w:tcPr>
            <w:tcW w:w="960" w:type="dxa"/>
          </w:tcPr>
          <w:p w14:paraId="39CE554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Кол-во</w:t>
            </w:r>
          </w:p>
        </w:tc>
        <w:tc>
          <w:tcPr>
            <w:tcW w:w="960" w:type="dxa"/>
          </w:tcPr>
          <w:p w14:paraId="3BAB2D9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пул.</w:t>
            </w:r>
          </w:p>
        </w:tc>
        <w:tc>
          <w:tcPr>
            <w:tcW w:w="1208" w:type="dxa"/>
          </w:tcPr>
          <w:p w14:paraId="3100995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пул.</w:t>
            </w:r>
          </w:p>
        </w:tc>
        <w:tc>
          <w:tcPr>
            <w:tcW w:w="1063" w:type="dxa"/>
          </w:tcPr>
          <w:p w14:paraId="7F06EA1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пул.</w:t>
            </w:r>
          </w:p>
        </w:tc>
        <w:tc>
          <w:tcPr>
            <w:tcW w:w="1196" w:type="dxa"/>
          </w:tcPr>
          <w:p w14:paraId="474EF4C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пул.</w:t>
            </w:r>
          </w:p>
        </w:tc>
      </w:tr>
      <w:tr w:rsidR="005106D0" w:rsidRPr="007224C3" w14:paraId="69C200CB" w14:textId="77777777">
        <w:tc>
          <w:tcPr>
            <w:tcW w:w="1384" w:type="dxa"/>
          </w:tcPr>
          <w:p w14:paraId="4B04245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установка</w:t>
            </w:r>
          </w:p>
        </w:tc>
        <w:tc>
          <w:tcPr>
            <w:tcW w:w="960" w:type="dxa"/>
          </w:tcPr>
          <w:p w14:paraId="78F1E47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Калибр</w:t>
            </w:r>
          </w:p>
        </w:tc>
        <w:tc>
          <w:tcPr>
            <w:tcW w:w="960" w:type="dxa"/>
          </w:tcPr>
          <w:p w14:paraId="72D63CB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12,7 мм</w:t>
            </w:r>
          </w:p>
        </w:tc>
        <w:tc>
          <w:tcPr>
            <w:tcW w:w="1208" w:type="dxa"/>
          </w:tcPr>
          <w:p w14:paraId="1FE3F4A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12,7 мм</w:t>
            </w:r>
          </w:p>
        </w:tc>
        <w:tc>
          <w:tcPr>
            <w:tcW w:w="1063" w:type="dxa"/>
          </w:tcPr>
          <w:p w14:paraId="072D58C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12,7 мм</w:t>
            </w:r>
          </w:p>
        </w:tc>
        <w:tc>
          <w:tcPr>
            <w:tcW w:w="1196" w:type="dxa"/>
          </w:tcPr>
          <w:p w14:paraId="71B28C6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7,7 мм</w:t>
            </w:r>
          </w:p>
        </w:tc>
      </w:tr>
      <w:tr w:rsidR="005106D0" w:rsidRPr="007224C3" w14:paraId="68C582AA" w14:textId="77777777">
        <w:tc>
          <w:tcPr>
            <w:tcW w:w="1384" w:type="dxa"/>
          </w:tcPr>
          <w:p w14:paraId="52A56BC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Pr>
          <w:p w14:paraId="2F255B3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Обстрел</w:t>
            </w:r>
          </w:p>
        </w:tc>
        <w:tc>
          <w:tcPr>
            <w:tcW w:w="960" w:type="dxa"/>
          </w:tcPr>
          <w:p w14:paraId="4728E1E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задняя</w:t>
            </w:r>
          </w:p>
        </w:tc>
        <w:tc>
          <w:tcPr>
            <w:tcW w:w="1208" w:type="dxa"/>
          </w:tcPr>
          <w:p w14:paraId="066E8EF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круговой</w:t>
            </w:r>
          </w:p>
        </w:tc>
        <w:tc>
          <w:tcPr>
            <w:tcW w:w="1063" w:type="dxa"/>
          </w:tcPr>
          <w:p w14:paraId="5A6E865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круговой</w:t>
            </w:r>
          </w:p>
        </w:tc>
        <w:tc>
          <w:tcPr>
            <w:tcW w:w="1196" w:type="dxa"/>
          </w:tcPr>
          <w:p w14:paraId="5D24D32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круговой</w:t>
            </w:r>
          </w:p>
        </w:tc>
      </w:tr>
      <w:tr w:rsidR="005106D0" w:rsidRPr="007224C3" w14:paraId="38448156" w14:textId="77777777">
        <w:tc>
          <w:tcPr>
            <w:tcW w:w="1384" w:type="dxa"/>
          </w:tcPr>
          <w:p w14:paraId="7C32AB7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Pr>
          <w:p w14:paraId="3EE9E4A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часть</w:t>
            </w:r>
          </w:p>
        </w:tc>
        <w:tc>
          <w:tcPr>
            <w:tcW w:w="960" w:type="dxa"/>
          </w:tcPr>
          <w:p w14:paraId="2DF5B97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8" w:type="dxa"/>
          </w:tcPr>
          <w:p w14:paraId="46D8685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вниз</w:t>
            </w:r>
          </w:p>
        </w:tc>
        <w:tc>
          <w:tcPr>
            <w:tcW w:w="1063" w:type="dxa"/>
          </w:tcPr>
          <w:p w14:paraId="77288DB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вниз</w:t>
            </w:r>
          </w:p>
        </w:tc>
        <w:tc>
          <w:tcPr>
            <w:tcW w:w="1196" w:type="dxa"/>
          </w:tcPr>
          <w:p w14:paraId="69D1FF8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вниз</w:t>
            </w:r>
          </w:p>
        </w:tc>
      </w:tr>
      <w:tr w:rsidR="005106D0" w:rsidRPr="007224C3" w14:paraId="5AC400AA" w14:textId="77777777">
        <w:tc>
          <w:tcPr>
            <w:tcW w:w="1384" w:type="dxa"/>
          </w:tcPr>
          <w:p w14:paraId="372288E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Pr>
          <w:p w14:paraId="42EBA6E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нижней</w:t>
            </w:r>
          </w:p>
        </w:tc>
        <w:tc>
          <w:tcPr>
            <w:tcW w:w="960" w:type="dxa"/>
          </w:tcPr>
          <w:p w14:paraId="656F4F6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8" w:type="dxa"/>
          </w:tcPr>
          <w:p w14:paraId="7A45E79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63" w:type="dxa"/>
          </w:tcPr>
          <w:p w14:paraId="66D1E55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96" w:type="dxa"/>
          </w:tcPr>
          <w:p w14:paraId="1D582D0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0E51197" w14:textId="77777777">
        <w:tc>
          <w:tcPr>
            <w:tcW w:w="1384" w:type="dxa"/>
          </w:tcPr>
          <w:p w14:paraId="2C5A708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Pr>
          <w:p w14:paraId="249B745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Pr>
          <w:p w14:paraId="7ACACEC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п/сферы</w:t>
            </w:r>
          </w:p>
        </w:tc>
        <w:tc>
          <w:tcPr>
            <w:tcW w:w="1208" w:type="dxa"/>
          </w:tcPr>
          <w:p w14:paraId="516C53D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63" w:type="dxa"/>
          </w:tcPr>
          <w:p w14:paraId="43D9DA3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96" w:type="dxa"/>
          </w:tcPr>
          <w:p w14:paraId="1794574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0DA1BD1" w14:textId="77777777">
        <w:tc>
          <w:tcPr>
            <w:tcW w:w="1384" w:type="dxa"/>
          </w:tcPr>
          <w:p w14:paraId="5EE09CA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Бортовая</w:t>
            </w:r>
          </w:p>
        </w:tc>
        <w:tc>
          <w:tcPr>
            <w:tcW w:w="960" w:type="dxa"/>
          </w:tcPr>
          <w:p w14:paraId="69E79C5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Кол-во</w:t>
            </w:r>
          </w:p>
        </w:tc>
        <w:tc>
          <w:tcPr>
            <w:tcW w:w="960" w:type="dxa"/>
          </w:tcPr>
          <w:p w14:paraId="7565D3B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208" w:type="dxa"/>
          </w:tcPr>
          <w:p w14:paraId="5E77844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063" w:type="dxa"/>
          </w:tcPr>
          <w:p w14:paraId="2A1A29D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пул.</w:t>
            </w:r>
          </w:p>
        </w:tc>
        <w:tc>
          <w:tcPr>
            <w:tcW w:w="1196" w:type="dxa"/>
          </w:tcPr>
          <w:p w14:paraId="48C4616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6D6ED155" w14:textId="77777777">
        <w:tc>
          <w:tcPr>
            <w:tcW w:w="1384" w:type="dxa"/>
          </w:tcPr>
          <w:p w14:paraId="3A69E18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установка</w:t>
            </w:r>
          </w:p>
        </w:tc>
        <w:tc>
          <w:tcPr>
            <w:tcW w:w="960" w:type="dxa"/>
          </w:tcPr>
          <w:p w14:paraId="0AFD4E7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Калибр</w:t>
            </w:r>
          </w:p>
        </w:tc>
        <w:tc>
          <w:tcPr>
            <w:tcW w:w="960" w:type="dxa"/>
          </w:tcPr>
          <w:p w14:paraId="32B7BF9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208" w:type="dxa"/>
          </w:tcPr>
          <w:p w14:paraId="4E3EAD1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063" w:type="dxa"/>
          </w:tcPr>
          <w:p w14:paraId="5583615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12,7 мм</w:t>
            </w:r>
          </w:p>
        </w:tc>
        <w:tc>
          <w:tcPr>
            <w:tcW w:w="1196" w:type="dxa"/>
          </w:tcPr>
          <w:p w14:paraId="2C3AF8F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37547328" w14:textId="77777777">
        <w:tc>
          <w:tcPr>
            <w:tcW w:w="1384" w:type="dxa"/>
          </w:tcPr>
          <w:p w14:paraId="4F61986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Pr>
          <w:p w14:paraId="6E2057E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Обстрел</w:t>
            </w:r>
          </w:p>
        </w:tc>
        <w:tc>
          <w:tcPr>
            <w:tcW w:w="960" w:type="dxa"/>
          </w:tcPr>
          <w:p w14:paraId="69D8DA0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208" w:type="dxa"/>
          </w:tcPr>
          <w:p w14:paraId="3F31703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063" w:type="dxa"/>
          </w:tcPr>
          <w:p w14:paraId="66AA21B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огранич.</w:t>
            </w:r>
          </w:p>
        </w:tc>
        <w:tc>
          <w:tcPr>
            <w:tcW w:w="1196" w:type="dxa"/>
          </w:tcPr>
          <w:p w14:paraId="27DBD3A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612ECC61" w14:textId="77777777">
        <w:tc>
          <w:tcPr>
            <w:tcW w:w="1384" w:type="dxa"/>
          </w:tcPr>
          <w:p w14:paraId="3DD2A12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Pr>
          <w:p w14:paraId="547DCE1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Pr>
          <w:p w14:paraId="7957BED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8" w:type="dxa"/>
          </w:tcPr>
          <w:p w14:paraId="3641155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63" w:type="dxa"/>
          </w:tcPr>
          <w:p w14:paraId="79DBD51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назад</w:t>
            </w:r>
          </w:p>
        </w:tc>
        <w:tc>
          <w:tcPr>
            <w:tcW w:w="1196" w:type="dxa"/>
          </w:tcPr>
          <w:p w14:paraId="018B89B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5B63871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Приведенные данные показывают, что самолет Пе-8, будучи вооружен двумя пушками, имеет превосходство по мощности огневой защиты верхней и задней части сферы. Недостатком является ограниченная защита передней части нижней полусферы.</w:t>
      </w:r>
    </w:p>
    <w:p w14:paraId="1442919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Таким образом, самолет Пе-8 может быть поставлен на один уровень с лучшими серийными четырехмоторными бомбардировщиками союзников при условии увеличения его максимальной скорости и соответствующего повышения рабочей высоты.</w:t>
      </w:r>
    </w:p>
    <w:p w14:paraId="58D7261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основе проведенного изучения иностранных тяжелых бомбардировщиков, анализа вредных сопротивлений самолета Пе-8 и проведенных расчетов его летных характеристик с различными типами моторов, самолет Пе-8 может быть значительно улучшен по своим летным и тактическим данным и главным образом по максимальной скорости.</w:t>
      </w:r>
    </w:p>
    <w:p w14:paraId="50DD25F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Повышение максимальной скорости может быть достигнуто за счет улучшения аэродинамики самолета, а также за счет улучшения аэродинамики самолета, а также за счет оборудования его более высотными моторами.</w:t>
      </w:r>
    </w:p>
    <w:p w14:paraId="4F060D8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улучшения аэродинамических качеств самолета и уменьшения его вредных сопротивлений потребуется проведение ряда конструктивных изменений отдельных агрегатов, а именно:</w:t>
      </w:r>
    </w:p>
    <w:p w14:paraId="3641F8F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Уменьшение миделя фюзеляжа.</w:t>
      </w:r>
    </w:p>
    <w:p w14:paraId="1BF8FE6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Полное убирание колес.</w:t>
      </w:r>
    </w:p>
    <w:p w14:paraId="3A44E47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Убирание хвостового колеса.</w:t>
      </w:r>
    </w:p>
    <w:p w14:paraId="7FFCF59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Устранение щелей и выступающих в поток деталей.</w:t>
      </w:r>
    </w:p>
    <w:p w14:paraId="26670F6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Улучшение обтекания отдельных деталей.</w:t>
      </w:r>
    </w:p>
    <w:p w14:paraId="5AC5CE9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Герметизация самолета.</w:t>
      </w:r>
    </w:p>
    <w:p w14:paraId="71931BD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Улучшение систем охлаждения, всасывания и выхлопа винто-моторной группы.</w:t>
      </w:r>
    </w:p>
    <w:p w14:paraId="33A1098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Улучшение отделки поверхности самолета и др.</w:t>
      </w:r>
    </w:p>
    <w:p w14:paraId="43F6B5C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сумме эти улучшения должны дать увеличение скорости до 35-40 км/час.</w:t>
      </w:r>
    </w:p>
    <w:p w14:paraId="6AA8DFF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Применение высотных моторов М-82ФН, снабженных турбокомпрессорами позволит увеличить скорость на высоте еще на 40-45 км/час.</w:t>
      </w:r>
    </w:p>
    <w:p w14:paraId="6BA61CC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Таким образом, в результате всех мероприятий максимальная скорость самолета может быть доведена до 500 км/час на высоте 9000 м, а практический потолок увеличен до 1100 м вместо имеющегося 8000 м.</w:t>
      </w:r>
    </w:p>
    <w:p w14:paraId="5EAA70F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Одновременно было обследовано влияние уменьшения площади крыла, причем выявлено, что уменьшение крыла до 160 м кв., давая прирост скорости порядка 15 км/час, значительно ухудшает взлет, увеличивая длину разбега с 730 до 860 м и требует полной переделки существующего крыла и изменения серийной оснастки.</w:t>
      </w:r>
    </w:p>
    <w:p w14:paraId="4BBC344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Наряду с этим, при значительной общей емкости бомбодержателей, имеется необходимость убирания большего количества бомб внутри самолета. При модификации самолета бомбовый отсек внутри фюзеляжа может быть значительно увеличен до размеров, допускающих размещение в нем шести бомб до 1000 кг. При этом общая емкость бомбодержателей доводится до 8000 кг с набором калибров бомб от 100 кг до 5000 кг.</w:t>
      </w:r>
    </w:p>
    <w:p w14:paraId="0E2D85D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большом увеличении полетного веса, дальность полета с 6000 кг бомб, получается равной 4200 км. При уменьшении бомбовой нагрузки до 2000 кг и установке в бомбовом отсеке (по примеру "Либерейтора") дополнительных съемных баков, дальность самолета может быть доведена до 600 км.</w:t>
      </w:r>
    </w:p>
    <w:p w14:paraId="037570D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Сравнение этого самолета с иностранными дает:</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09"/>
        <w:gridCol w:w="1409"/>
        <w:gridCol w:w="1409"/>
        <w:gridCol w:w="1409"/>
        <w:gridCol w:w="1409"/>
      </w:tblGrid>
      <w:tr w:rsidR="005106D0" w:rsidRPr="007224C3" w14:paraId="1C46FE3C" w14:textId="77777777">
        <w:tc>
          <w:tcPr>
            <w:tcW w:w="1409" w:type="dxa"/>
          </w:tcPr>
          <w:p w14:paraId="4B769DC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w:t>
            </w:r>
          </w:p>
        </w:tc>
        <w:tc>
          <w:tcPr>
            <w:tcW w:w="1409" w:type="dxa"/>
          </w:tcPr>
          <w:p w14:paraId="208ED10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Полетный</w:t>
            </w:r>
          </w:p>
        </w:tc>
        <w:tc>
          <w:tcPr>
            <w:tcW w:w="1409" w:type="dxa"/>
          </w:tcPr>
          <w:p w14:paraId="21F6B4B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Бомбовая</w:t>
            </w:r>
          </w:p>
        </w:tc>
        <w:tc>
          <w:tcPr>
            <w:tcW w:w="1409" w:type="dxa"/>
          </w:tcPr>
          <w:p w14:paraId="107EC36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Дальность</w:t>
            </w:r>
          </w:p>
        </w:tc>
        <w:tc>
          <w:tcPr>
            <w:tcW w:w="1409" w:type="dxa"/>
          </w:tcPr>
          <w:p w14:paraId="6A1AAC0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w:t>
            </w:r>
          </w:p>
        </w:tc>
      </w:tr>
      <w:tr w:rsidR="005106D0" w:rsidRPr="007224C3" w14:paraId="5C258516" w14:textId="77777777">
        <w:tc>
          <w:tcPr>
            <w:tcW w:w="1409" w:type="dxa"/>
          </w:tcPr>
          <w:p w14:paraId="6A940E4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4CF4826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w:t>
            </w:r>
          </w:p>
        </w:tc>
        <w:tc>
          <w:tcPr>
            <w:tcW w:w="1409" w:type="dxa"/>
          </w:tcPr>
          <w:p w14:paraId="5B3B5D4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нагрузка</w:t>
            </w:r>
          </w:p>
        </w:tc>
        <w:tc>
          <w:tcPr>
            <w:tcW w:w="1409" w:type="dxa"/>
          </w:tcPr>
          <w:p w14:paraId="0F75EE3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3A409F2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бомбовая</w:t>
            </w:r>
          </w:p>
        </w:tc>
      </w:tr>
      <w:tr w:rsidR="005106D0" w:rsidRPr="007224C3" w14:paraId="532786BD" w14:textId="77777777">
        <w:tc>
          <w:tcPr>
            <w:tcW w:w="1409" w:type="dxa"/>
          </w:tcPr>
          <w:p w14:paraId="266F7D8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1E2E6F8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7679EB6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3E47D7C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652EE58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нагрузка</w:t>
            </w:r>
          </w:p>
        </w:tc>
      </w:tr>
      <w:tr w:rsidR="005106D0" w:rsidRPr="007224C3" w14:paraId="6E2CB14B" w14:textId="77777777">
        <w:tc>
          <w:tcPr>
            <w:tcW w:w="1409" w:type="dxa"/>
          </w:tcPr>
          <w:p w14:paraId="2E68EAA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Пе-8 модифицир.</w:t>
            </w:r>
          </w:p>
        </w:tc>
        <w:tc>
          <w:tcPr>
            <w:tcW w:w="1409" w:type="dxa"/>
          </w:tcPr>
          <w:p w14:paraId="0A00163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37500</w:t>
            </w:r>
          </w:p>
        </w:tc>
        <w:tc>
          <w:tcPr>
            <w:tcW w:w="1409" w:type="dxa"/>
          </w:tcPr>
          <w:p w14:paraId="4061F3C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2000</w:t>
            </w:r>
          </w:p>
        </w:tc>
        <w:tc>
          <w:tcPr>
            <w:tcW w:w="1409" w:type="dxa"/>
          </w:tcPr>
          <w:p w14:paraId="08D12BE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6000</w:t>
            </w:r>
          </w:p>
        </w:tc>
        <w:tc>
          <w:tcPr>
            <w:tcW w:w="1409" w:type="dxa"/>
          </w:tcPr>
          <w:p w14:paraId="5B8DE8E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8000</w:t>
            </w:r>
          </w:p>
        </w:tc>
      </w:tr>
      <w:tr w:rsidR="005106D0" w:rsidRPr="007224C3" w14:paraId="3DC55BC0" w14:textId="77777777">
        <w:tc>
          <w:tcPr>
            <w:tcW w:w="1409" w:type="dxa"/>
          </w:tcPr>
          <w:p w14:paraId="439A801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1931816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1B3CF32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4000</w:t>
            </w:r>
          </w:p>
        </w:tc>
        <w:tc>
          <w:tcPr>
            <w:tcW w:w="1409" w:type="dxa"/>
          </w:tcPr>
          <w:p w14:paraId="0C47F5C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5000</w:t>
            </w:r>
          </w:p>
        </w:tc>
        <w:tc>
          <w:tcPr>
            <w:tcW w:w="1409" w:type="dxa"/>
          </w:tcPr>
          <w:p w14:paraId="3FABD2D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2293232" w14:textId="77777777">
        <w:tc>
          <w:tcPr>
            <w:tcW w:w="1409" w:type="dxa"/>
          </w:tcPr>
          <w:p w14:paraId="575DAB1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3F788E9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0F03AB9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6000</w:t>
            </w:r>
          </w:p>
        </w:tc>
        <w:tc>
          <w:tcPr>
            <w:tcW w:w="1409" w:type="dxa"/>
          </w:tcPr>
          <w:p w14:paraId="1AD9E30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4200</w:t>
            </w:r>
          </w:p>
        </w:tc>
        <w:tc>
          <w:tcPr>
            <w:tcW w:w="1409" w:type="dxa"/>
          </w:tcPr>
          <w:p w14:paraId="33E70EA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B640636" w14:textId="77777777">
        <w:tc>
          <w:tcPr>
            <w:tcW w:w="1409" w:type="dxa"/>
          </w:tcPr>
          <w:p w14:paraId="41777DB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"Либерейтор"</w:t>
            </w:r>
          </w:p>
        </w:tc>
        <w:tc>
          <w:tcPr>
            <w:tcW w:w="1409" w:type="dxa"/>
          </w:tcPr>
          <w:p w14:paraId="201F596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25000</w:t>
            </w:r>
          </w:p>
        </w:tc>
        <w:tc>
          <w:tcPr>
            <w:tcW w:w="1409" w:type="dxa"/>
          </w:tcPr>
          <w:p w14:paraId="6DB5C8E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1810</w:t>
            </w:r>
          </w:p>
        </w:tc>
        <w:tc>
          <w:tcPr>
            <w:tcW w:w="1409" w:type="dxa"/>
          </w:tcPr>
          <w:p w14:paraId="71E8B20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4430</w:t>
            </w:r>
          </w:p>
        </w:tc>
        <w:tc>
          <w:tcPr>
            <w:tcW w:w="1409" w:type="dxa"/>
          </w:tcPr>
          <w:p w14:paraId="0703E48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3620</w:t>
            </w:r>
          </w:p>
        </w:tc>
      </w:tr>
      <w:tr w:rsidR="005106D0" w:rsidRPr="007224C3" w14:paraId="3FC7B27D" w14:textId="77777777">
        <w:tc>
          <w:tcPr>
            <w:tcW w:w="1409" w:type="dxa"/>
          </w:tcPr>
          <w:p w14:paraId="074F0B4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7E715FF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26800</w:t>
            </w:r>
          </w:p>
        </w:tc>
        <w:tc>
          <w:tcPr>
            <w:tcW w:w="1409" w:type="dxa"/>
          </w:tcPr>
          <w:p w14:paraId="5E7B5C2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3620</w:t>
            </w:r>
          </w:p>
        </w:tc>
        <w:tc>
          <w:tcPr>
            <w:tcW w:w="1409" w:type="dxa"/>
          </w:tcPr>
          <w:p w14:paraId="3D8AFA5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4200</w:t>
            </w:r>
          </w:p>
        </w:tc>
        <w:tc>
          <w:tcPr>
            <w:tcW w:w="1409" w:type="dxa"/>
          </w:tcPr>
          <w:p w14:paraId="17B2C1F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563C602" w14:textId="77777777">
        <w:tc>
          <w:tcPr>
            <w:tcW w:w="1409" w:type="dxa"/>
          </w:tcPr>
          <w:p w14:paraId="6B17411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"Летающая</w:t>
            </w:r>
          </w:p>
        </w:tc>
        <w:tc>
          <w:tcPr>
            <w:tcW w:w="1409" w:type="dxa"/>
          </w:tcPr>
          <w:p w14:paraId="762A28B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25000</w:t>
            </w:r>
          </w:p>
        </w:tc>
        <w:tc>
          <w:tcPr>
            <w:tcW w:w="1409" w:type="dxa"/>
          </w:tcPr>
          <w:p w14:paraId="4A67CD7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2720</w:t>
            </w:r>
          </w:p>
        </w:tc>
        <w:tc>
          <w:tcPr>
            <w:tcW w:w="1409" w:type="dxa"/>
          </w:tcPr>
          <w:p w14:paraId="0B422CD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4350</w:t>
            </w:r>
          </w:p>
        </w:tc>
        <w:tc>
          <w:tcPr>
            <w:tcW w:w="1409" w:type="dxa"/>
          </w:tcPr>
          <w:p w14:paraId="04C003F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5800</w:t>
            </w:r>
          </w:p>
        </w:tc>
      </w:tr>
      <w:tr w:rsidR="005106D0" w:rsidRPr="007224C3" w14:paraId="0B3CEB16" w14:textId="77777777">
        <w:tc>
          <w:tcPr>
            <w:tcW w:w="1409" w:type="dxa"/>
          </w:tcPr>
          <w:p w14:paraId="6FB020E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крепость"</w:t>
            </w:r>
          </w:p>
        </w:tc>
        <w:tc>
          <w:tcPr>
            <w:tcW w:w="1409" w:type="dxa"/>
          </w:tcPr>
          <w:p w14:paraId="52EC1B0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25000</w:t>
            </w:r>
          </w:p>
        </w:tc>
        <w:tc>
          <w:tcPr>
            <w:tcW w:w="1409" w:type="dxa"/>
          </w:tcPr>
          <w:p w14:paraId="46D4FFC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5800</w:t>
            </w:r>
          </w:p>
        </w:tc>
        <w:tc>
          <w:tcPr>
            <w:tcW w:w="1409" w:type="dxa"/>
          </w:tcPr>
          <w:p w14:paraId="74647BC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2130</w:t>
            </w:r>
          </w:p>
        </w:tc>
        <w:tc>
          <w:tcPr>
            <w:tcW w:w="1409" w:type="dxa"/>
          </w:tcPr>
          <w:p w14:paraId="4DECA9D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D498912" w14:textId="77777777">
        <w:tc>
          <w:tcPr>
            <w:tcW w:w="1409" w:type="dxa"/>
          </w:tcPr>
          <w:p w14:paraId="3B136B2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"Ланкастер-1"</w:t>
            </w:r>
          </w:p>
        </w:tc>
        <w:tc>
          <w:tcPr>
            <w:tcW w:w="1409" w:type="dxa"/>
          </w:tcPr>
          <w:p w14:paraId="7301BD6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27300</w:t>
            </w:r>
          </w:p>
        </w:tc>
        <w:tc>
          <w:tcPr>
            <w:tcW w:w="1409" w:type="dxa"/>
          </w:tcPr>
          <w:p w14:paraId="24CC389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1800</w:t>
            </w:r>
          </w:p>
        </w:tc>
        <w:tc>
          <w:tcPr>
            <w:tcW w:w="1409" w:type="dxa"/>
          </w:tcPr>
          <w:p w14:paraId="49A4C65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3200</w:t>
            </w:r>
          </w:p>
        </w:tc>
        <w:tc>
          <w:tcPr>
            <w:tcW w:w="1409" w:type="dxa"/>
          </w:tcPr>
          <w:p w14:paraId="515AA3C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5450</w:t>
            </w:r>
          </w:p>
        </w:tc>
      </w:tr>
      <w:tr w:rsidR="005106D0" w:rsidRPr="007224C3" w14:paraId="41D47CC8" w14:textId="77777777">
        <w:tc>
          <w:tcPr>
            <w:tcW w:w="1409" w:type="dxa"/>
          </w:tcPr>
          <w:p w14:paraId="291C3C7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3B48CBF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27300</w:t>
            </w:r>
          </w:p>
        </w:tc>
        <w:tc>
          <w:tcPr>
            <w:tcW w:w="1409" w:type="dxa"/>
          </w:tcPr>
          <w:p w14:paraId="72C6A78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5450</w:t>
            </w:r>
          </w:p>
        </w:tc>
        <w:tc>
          <w:tcPr>
            <w:tcW w:w="1409" w:type="dxa"/>
          </w:tcPr>
          <w:p w14:paraId="4A1631E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1930</w:t>
            </w:r>
          </w:p>
        </w:tc>
        <w:tc>
          <w:tcPr>
            <w:tcW w:w="1409" w:type="dxa"/>
          </w:tcPr>
          <w:p w14:paraId="50860E0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0FC3C98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Параллельно с уменьшением миделя фюзеляжа возможно размещение обоих летчиков рядом, вместо имеющегося расположения один позади другого, продиктованное настоятельным требованием летного состава АДД, на основании эксплуатации самолета в многочисленных полетах, как дающее лучший обзор из кабины и создающее действительную взаимосвязь обоих пилотов.</w:t>
      </w:r>
    </w:p>
    <w:p w14:paraId="6516A40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целях усиления огневой защиты самолета от неожиданных атак истребителей спереди-снизу, на фюзеляже могут быть установлены две бортовых вращающихся точки под пулеметы УБТ-12,7 и увеличены углы обстрела вниз-вперед из носовой точки, а для получения возможности поражения противника с большей дистанции верхняя установка может быть оборудована пушкой ВЯ-23, после отработки последней в серии.</w:t>
      </w:r>
    </w:p>
    <w:p w14:paraId="309F303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результате предлагаемой модификации самолет Пе-8 будет обладать следующими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024"/>
        <w:gridCol w:w="1778"/>
        <w:gridCol w:w="934"/>
        <w:gridCol w:w="934"/>
        <w:gridCol w:w="934"/>
        <w:gridCol w:w="934"/>
        <w:gridCol w:w="934"/>
        <w:gridCol w:w="934"/>
        <w:gridCol w:w="2194"/>
      </w:tblGrid>
      <w:tr w:rsidR="005106D0" w:rsidRPr="007224C3" w14:paraId="4ED54EF3" w14:textId="77777777">
        <w:tc>
          <w:tcPr>
            <w:tcW w:w="1024" w:type="dxa"/>
          </w:tcPr>
          <w:p w14:paraId="6609134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w:t>
            </w:r>
          </w:p>
        </w:tc>
        <w:tc>
          <w:tcPr>
            <w:tcW w:w="1778" w:type="dxa"/>
          </w:tcPr>
          <w:p w14:paraId="05367E1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Мотор</w:t>
            </w:r>
          </w:p>
        </w:tc>
        <w:tc>
          <w:tcPr>
            <w:tcW w:w="934" w:type="dxa"/>
          </w:tcPr>
          <w:p w14:paraId="168F06C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Мощн.</w:t>
            </w:r>
          </w:p>
        </w:tc>
        <w:tc>
          <w:tcPr>
            <w:tcW w:w="934" w:type="dxa"/>
          </w:tcPr>
          <w:p w14:paraId="0803C76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w:t>
            </w:r>
          </w:p>
        </w:tc>
        <w:tc>
          <w:tcPr>
            <w:tcW w:w="934" w:type="dxa"/>
          </w:tcPr>
          <w:p w14:paraId="14057C5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Расчет.</w:t>
            </w:r>
          </w:p>
        </w:tc>
        <w:tc>
          <w:tcPr>
            <w:tcW w:w="934" w:type="dxa"/>
          </w:tcPr>
          <w:p w14:paraId="318082E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Практ.</w:t>
            </w:r>
          </w:p>
        </w:tc>
        <w:tc>
          <w:tcPr>
            <w:tcW w:w="934" w:type="dxa"/>
          </w:tcPr>
          <w:p w14:paraId="2A2ABB9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w:t>
            </w:r>
          </w:p>
        </w:tc>
        <w:tc>
          <w:tcPr>
            <w:tcW w:w="934" w:type="dxa"/>
          </w:tcPr>
          <w:p w14:paraId="446AC03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Бомб.</w:t>
            </w:r>
          </w:p>
        </w:tc>
        <w:tc>
          <w:tcPr>
            <w:tcW w:w="2194" w:type="dxa"/>
          </w:tcPr>
          <w:p w14:paraId="4E5C87D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Дальн.</w:t>
            </w:r>
          </w:p>
        </w:tc>
      </w:tr>
      <w:tr w:rsidR="005106D0" w:rsidRPr="007224C3" w14:paraId="15F7AD0E" w14:textId="77777777">
        <w:tc>
          <w:tcPr>
            <w:tcW w:w="1024" w:type="dxa"/>
          </w:tcPr>
          <w:p w14:paraId="6842B16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78" w:type="dxa"/>
          </w:tcPr>
          <w:p w14:paraId="619D3A5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67D4586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58511D3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w:t>
            </w:r>
          </w:p>
        </w:tc>
        <w:tc>
          <w:tcPr>
            <w:tcW w:w="934" w:type="dxa"/>
          </w:tcPr>
          <w:p w14:paraId="3ADBD6F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высота</w:t>
            </w:r>
          </w:p>
        </w:tc>
        <w:tc>
          <w:tcPr>
            <w:tcW w:w="934" w:type="dxa"/>
          </w:tcPr>
          <w:p w14:paraId="1ED1F2A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потолок</w:t>
            </w:r>
          </w:p>
        </w:tc>
        <w:tc>
          <w:tcPr>
            <w:tcW w:w="934" w:type="dxa"/>
          </w:tcPr>
          <w:p w14:paraId="7757E53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полетн.</w:t>
            </w:r>
          </w:p>
        </w:tc>
        <w:tc>
          <w:tcPr>
            <w:tcW w:w="934" w:type="dxa"/>
          </w:tcPr>
          <w:p w14:paraId="020126F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нагрузка</w:t>
            </w:r>
          </w:p>
        </w:tc>
        <w:tc>
          <w:tcPr>
            <w:tcW w:w="2194" w:type="dxa"/>
          </w:tcPr>
          <w:p w14:paraId="01402C7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полета</w:t>
            </w:r>
          </w:p>
        </w:tc>
      </w:tr>
      <w:tr w:rsidR="005106D0" w:rsidRPr="007224C3" w14:paraId="4EEA3269" w14:textId="77777777">
        <w:tc>
          <w:tcPr>
            <w:tcW w:w="1024" w:type="dxa"/>
          </w:tcPr>
          <w:p w14:paraId="59B69CF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78" w:type="dxa"/>
          </w:tcPr>
          <w:p w14:paraId="4DAF8C5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62A8D4C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01F6CB7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73E7E4B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223E874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53D8286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2693A69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w:t>
            </w:r>
          </w:p>
        </w:tc>
        <w:tc>
          <w:tcPr>
            <w:tcW w:w="2194" w:type="dxa"/>
          </w:tcPr>
          <w:p w14:paraId="096A527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6462C81" w14:textId="77777777">
        <w:tc>
          <w:tcPr>
            <w:tcW w:w="1024" w:type="dxa"/>
          </w:tcPr>
          <w:p w14:paraId="099CD32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Пе-8</w:t>
            </w:r>
          </w:p>
        </w:tc>
        <w:tc>
          <w:tcPr>
            <w:tcW w:w="1778" w:type="dxa"/>
          </w:tcPr>
          <w:p w14:paraId="605DD71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М-82ФН с ТК-3</w:t>
            </w:r>
          </w:p>
        </w:tc>
        <w:tc>
          <w:tcPr>
            <w:tcW w:w="934" w:type="dxa"/>
          </w:tcPr>
          <w:p w14:paraId="0B1239B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1400</w:t>
            </w:r>
          </w:p>
        </w:tc>
        <w:tc>
          <w:tcPr>
            <w:tcW w:w="934" w:type="dxa"/>
          </w:tcPr>
          <w:p w14:paraId="553E0F6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500</w:t>
            </w:r>
          </w:p>
        </w:tc>
        <w:tc>
          <w:tcPr>
            <w:tcW w:w="934" w:type="dxa"/>
          </w:tcPr>
          <w:p w14:paraId="48E2CDE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9000</w:t>
            </w:r>
          </w:p>
        </w:tc>
        <w:tc>
          <w:tcPr>
            <w:tcW w:w="934" w:type="dxa"/>
          </w:tcPr>
          <w:p w14:paraId="4001A95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11000</w:t>
            </w:r>
          </w:p>
        </w:tc>
        <w:tc>
          <w:tcPr>
            <w:tcW w:w="934" w:type="dxa"/>
          </w:tcPr>
          <w:p w14:paraId="1ACAAF6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37500</w:t>
            </w:r>
          </w:p>
        </w:tc>
        <w:tc>
          <w:tcPr>
            <w:tcW w:w="934" w:type="dxa"/>
          </w:tcPr>
          <w:p w14:paraId="6CB79D6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6000</w:t>
            </w:r>
          </w:p>
        </w:tc>
        <w:tc>
          <w:tcPr>
            <w:tcW w:w="2194" w:type="dxa"/>
          </w:tcPr>
          <w:p w14:paraId="5B1DEE2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4200</w:t>
            </w:r>
          </w:p>
        </w:tc>
      </w:tr>
      <w:tr w:rsidR="005106D0" w:rsidRPr="007224C3" w14:paraId="5844C35A" w14:textId="77777777">
        <w:tc>
          <w:tcPr>
            <w:tcW w:w="1024" w:type="dxa"/>
          </w:tcPr>
          <w:p w14:paraId="6D261EA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"Либерейтор"</w:t>
            </w:r>
          </w:p>
        </w:tc>
        <w:tc>
          <w:tcPr>
            <w:tcW w:w="1778" w:type="dxa"/>
          </w:tcPr>
          <w:p w14:paraId="6A7241E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R-1830-43 с ТК</w:t>
            </w:r>
          </w:p>
        </w:tc>
        <w:tc>
          <w:tcPr>
            <w:tcW w:w="934" w:type="dxa"/>
          </w:tcPr>
          <w:p w14:paraId="3C565FE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1200</w:t>
            </w:r>
          </w:p>
        </w:tc>
        <w:tc>
          <w:tcPr>
            <w:tcW w:w="934" w:type="dxa"/>
          </w:tcPr>
          <w:p w14:paraId="58A9205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500</w:t>
            </w:r>
          </w:p>
        </w:tc>
        <w:tc>
          <w:tcPr>
            <w:tcW w:w="934" w:type="dxa"/>
          </w:tcPr>
          <w:p w14:paraId="6B4A8F2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7600</w:t>
            </w:r>
          </w:p>
        </w:tc>
        <w:tc>
          <w:tcPr>
            <w:tcW w:w="934" w:type="dxa"/>
          </w:tcPr>
          <w:p w14:paraId="2661E9E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10350</w:t>
            </w:r>
          </w:p>
        </w:tc>
        <w:tc>
          <w:tcPr>
            <w:tcW w:w="934" w:type="dxa"/>
          </w:tcPr>
          <w:p w14:paraId="1557727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26800</w:t>
            </w:r>
          </w:p>
        </w:tc>
        <w:tc>
          <w:tcPr>
            <w:tcW w:w="934" w:type="dxa"/>
          </w:tcPr>
          <w:p w14:paraId="56CF7C3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3620</w:t>
            </w:r>
          </w:p>
        </w:tc>
        <w:tc>
          <w:tcPr>
            <w:tcW w:w="2194" w:type="dxa"/>
          </w:tcPr>
          <w:p w14:paraId="70DC8E1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4200</w:t>
            </w:r>
          </w:p>
        </w:tc>
      </w:tr>
      <w:tr w:rsidR="005106D0" w:rsidRPr="007224C3" w14:paraId="093DE2BD" w14:textId="77777777">
        <w:tc>
          <w:tcPr>
            <w:tcW w:w="1024" w:type="dxa"/>
          </w:tcPr>
          <w:p w14:paraId="6107453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"Летающая</w:t>
            </w:r>
          </w:p>
        </w:tc>
        <w:tc>
          <w:tcPr>
            <w:tcW w:w="1778" w:type="dxa"/>
          </w:tcPr>
          <w:p w14:paraId="6EF7099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163727E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5D02276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36AF530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7F10B92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3F9C4BA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6A0E7BD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194" w:type="dxa"/>
          </w:tcPr>
          <w:p w14:paraId="48B2AA5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F200699" w14:textId="77777777">
        <w:tc>
          <w:tcPr>
            <w:tcW w:w="1024" w:type="dxa"/>
          </w:tcPr>
          <w:p w14:paraId="26302E4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крепость"</w:t>
            </w:r>
          </w:p>
        </w:tc>
        <w:tc>
          <w:tcPr>
            <w:tcW w:w="1778" w:type="dxa"/>
          </w:tcPr>
          <w:p w14:paraId="216CF7F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Райт R-1820-97</w:t>
            </w:r>
          </w:p>
        </w:tc>
        <w:tc>
          <w:tcPr>
            <w:tcW w:w="934" w:type="dxa"/>
          </w:tcPr>
          <w:p w14:paraId="6C70CCB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1200</w:t>
            </w:r>
          </w:p>
        </w:tc>
        <w:tc>
          <w:tcPr>
            <w:tcW w:w="934" w:type="dxa"/>
          </w:tcPr>
          <w:p w14:paraId="3E696A9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490</w:t>
            </w:r>
          </w:p>
        </w:tc>
        <w:tc>
          <w:tcPr>
            <w:tcW w:w="934" w:type="dxa"/>
          </w:tcPr>
          <w:p w14:paraId="6D2BA11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8250</w:t>
            </w:r>
          </w:p>
        </w:tc>
        <w:tc>
          <w:tcPr>
            <w:tcW w:w="934" w:type="dxa"/>
          </w:tcPr>
          <w:p w14:paraId="3DCFAE9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10700</w:t>
            </w:r>
          </w:p>
        </w:tc>
        <w:tc>
          <w:tcPr>
            <w:tcW w:w="934" w:type="dxa"/>
          </w:tcPr>
          <w:p w14:paraId="6369E2B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25000</w:t>
            </w:r>
          </w:p>
        </w:tc>
        <w:tc>
          <w:tcPr>
            <w:tcW w:w="934" w:type="dxa"/>
          </w:tcPr>
          <w:p w14:paraId="702C97F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5800</w:t>
            </w:r>
          </w:p>
        </w:tc>
        <w:tc>
          <w:tcPr>
            <w:tcW w:w="2194" w:type="dxa"/>
          </w:tcPr>
          <w:p w14:paraId="79CE019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2130</w:t>
            </w:r>
          </w:p>
        </w:tc>
      </w:tr>
      <w:tr w:rsidR="005106D0" w:rsidRPr="007224C3" w14:paraId="2743B6A6" w14:textId="77777777">
        <w:tc>
          <w:tcPr>
            <w:tcW w:w="1024" w:type="dxa"/>
          </w:tcPr>
          <w:p w14:paraId="3AAA087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"Ланкастер-1"</w:t>
            </w:r>
          </w:p>
        </w:tc>
        <w:tc>
          <w:tcPr>
            <w:tcW w:w="1778" w:type="dxa"/>
          </w:tcPr>
          <w:p w14:paraId="2813212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"Мерлин" ХХ</w:t>
            </w:r>
          </w:p>
        </w:tc>
        <w:tc>
          <w:tcPr>
            <w:tcW w:w="934" w:type="dxa"/>
          </w:tcPr>
          <w:p w14:paraId="00EAEAC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1170</w:t>
            </w:r>
          </w:p>
        </w:tc>
        <w:tc>
          <w:tcPr>
            <w:tcW w:w="934" w:type="dxa"/>
          </w:tcPr>
          <w:p w14:paraId="4F3D641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480</w:t>
            </w:r>
          </w:p>
        </w:tc>
        <w:tc>
          <w:tcPr>
            <w:tcW w:w="934" w:type="dxa"/>
          </w:tcPr>
          <w:p w14:paraId="01361FC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6400</w:t>
            </w:r>
          </w:p>
        </w:tc>
        <w:tc>
          <w:tcPr>
            <w:tcW w:w="934" w:type="dxa"/>
          </w:tcPr>
          <w:p w14:paraId="146EBF1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934" w:type="dxa"/>
          </w:tcPr>
          <w:p w14:paraId="77A4762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27300</w:t>
            </w:r>
          </w:p>
        </w:tc>
        <w:tc>
          <w:tcPr>
            <w:tcW w:w="934" w:type="dxa"/>
          </w:tcPr>
          <w:p w14:paraId="7B554AA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5450</w:t>
            </w:r>
          </w:p>
        </w:tc>
        <w:tc>
          <w:tcPr>
            <w:tcW w:w="2194" w:type="dxa"/>
          </w:tcPr>
          <w:p w14:paraId="121E162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1930</w:t>
            </w:r>
          </w:p>
        </w:tc>
      </w:tr>
    </w:tbl>
    <w:p w14:paraId="6BC2BCC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Большинство мероприятий, улучшающих летно-тактические данные, как-то: изменение миделя фюзеляжа и размещение летчиков рядом, увеличение бомбового отсека, полное убирание шасси и хвостового колеса, частичное улучшение поверхности и др. проработаны конструкторским бюро на основании Вашего приказа за N 619с от 18 октября 1943 года (1825).</w:t>
      </w:r>
    </w:p>
    <w:p w14:paraId="28D1A45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9998E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января 1944 г. Незваль направил в наркомат докладную записку, в которой изложил свои взгляды на модернизацию бомбардировщика. Он утверждал, что совершенствование аэродинамики увеличит максимальную скорость на 35 - 40 км/ч, а турбонаддув даст еще 40 - 45 км/ч. В результате скорость самолёта может быть доведена до 500 км/ч на высоте 9000 м, а практический потолок увеличен до 11 000 м.</w:t>
      </w:r>
    </w:p>
    <w:p w14:paraId="588BE22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Изучалась возможность уменьшения площади крыла до 160 м2. Это обещало прирост скорости еще на 15 км/ч, но увеличивало длину разбега с 730 до 800 м и вдобавок требовало полного пересмотра конструкции крыла.</w:t>
      </w:r>
    </w:p>
    <w:p w14:paraId="0971001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Увеличение прочности лонжеронов центроплана, консолей, фюзеляжа и шасси под полётный вес 37 500 кг позволяло перевозить вдвое большее количество бомб, по сравнению с серийным Пе-8 (4000 кг на 5000 км). Предусматривались увеличение размеров бомбоотсека и доведение максимальной бомбовой нагрузки до 8000 кг, из них 6000 кг - внутри. При этом бомба ФАБ-5000 полностью умещалась внутри фюзеляжа. Поскольку отсек удлинялся вперёд и назад, место радиста перенесли, разместив его за командиром, рядом с бортмехаником.По расчётам, при небольшом увеличении полётного веса дальность с 6000 кг бомб получалась равной 4200 км. При уменьшении бомбовой нагрузки до 2000 кг и установке в бомбоотсеке дополнительных бензобаков дальность могла быть доведена до 6000 км.</w:t>
      </w:r>
    </w:p>
    <w:p w14:paraId="4F1E269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улучшения аэродинамики Незваль хотел "обжать" фюзеляж и мотогондолы, опустить вниз верхнюю турель. Клёпка обшивки должна была стать потайной по всем поверхностям. Предусматривалась полная уборка колёс. Кабина пилотов сдвигалась для улучшения обзора вперёд и перекомпоновывалась, оба лётчика размещались бок о бок.</w:t>
      </w:r>
    </w:p>
    <w:p w14:paraId="52BC12D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Обороноспособность усиливалась увеличением углов обстрела носовой установки, заменой пушки ШВАК в башне ТАТ на ВЯ-23 и введением бортовых огневых точек с пулемётами УБТ.</w:t>
      </w:r>
    </w:p>
    <w:p w14:paraId="142C096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Параллельно выполнялись расчёты для модификации Пе-8 с дизелями М-31. С ними скорость и потолок получались немного хуже, но дальность доходила до 7500 км (11996).</w:t>
      </w:r>
    </w:p>
    <w:p w14:paraId="787207A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499BFA2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января 1944 г. приказом № 23с в соответствии с пост. ГКО № 4922с от 11.01.1944 г. была оговорена организация производства на заводе № 487 в Тушино (Завод № 487 НКАП, МАП /г. Тушино Московской обл. (или р-н ст. Товарная-Бутырская)/) дизельной аппаратуры (топливных насосов ТН-12) для завода № 500 и планировалось сформировать филиал ОКБ завода № 500 с правами Серийного КБ по насосам (начальник- П.Ф. Ларкин). В связи с этим завод № 487 передан из 2ГУ в 4ГУ НКАП, производство вооружения передано на завод № 455 НКАП. Под новую тематику на завод переведено около 600 специалистов с заводов № 132, 33,266 и 306.</w:t>
      </w:r>
    </w:p>
    <w:p w14:paraId="7FD80FB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приказам № 171с от 8.03.1944 г. и № 206сс от 21.03.1944 г. завод № 487 НКАП со всеми кадрами, оборудованием и сооружениями вместе с ОКБ-487 влит в состав завода № 315. Его территория числилась как площадка № 2 завода № 315.</w:t>
      </w:r>
    </w:p>
    <w:p w14:paraId="1EDFDB1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1945 г. на площадку завода № 487 НКАП (площадка № 2 завода № 315 НКАП) переведен завод № 476 НКАП.</w:t>
      </w:r>
    </w:p>
    <w:p w14:paraId="0CE5B64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соответствии с приказом МАГ1 № 171с от 8.03.1949 г. завод № 487 объединен с заводом № 315 МАП.</w:t>
      </w:r>
    </w:p>
    <w:p w14:paraId="638EE4AF" w14:textId="77777777" w:rsidR="00184F3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(02-10.1943 г.-)- Э.И. Озарский, (-01-03.1944 г.)- Давыдов.</w:t>
      </w:r>
    </w:p>
    <w:p w14:paraId="7BE8096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ОКБ завода № 487 НКАП гл. конструктора И.П. Шебанова, ОКБ-487 НКАП</w:t>
      </w:r>
    </w:p>
    <w:p w14:paraId="0FBEA47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КБ И.П. Шебанова, которое до эвакуации базировалось на заводе № 487 НКАП, было эвакуировано и работало на территории завода № 454 НКАП в Куйбышеве (как ОКБ-454 НКАП). По приказу № 272с от 6.05.1943 г. ОКБ-454 из Куйбышева переведено на вновь образованный завод № 487 НКАП и переименовано в ОКБ-487 НКАП.</w:t>
      </w:r>
    </w:p>
    <w:p w14:paraId="1FB84B7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Работы по стрелковым установкам с УБТ для Пе-8 (10.1943 г.). С середины 1945 г. основной работой стали установки вооружения для Ту-4. По приказу № 298с от 13.07.1945 г. шли работы по заданиям ОКБ-ИО НКАП.</w:t>
      </w:r>
    </w:p>
    <w:p w14:paraId="7C33CCB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приказам № 171с от 8.03.1944 г. и № 206сс от 21.03.1944 г. ОКБ-487 вместе с заводом № 487 НКАП со всеми кадрами, оборудованием и сооружениями влито в состав завода № 315. В 01.1945 г. ОКБ-487 - в 7ГУ.</w:t>
      </w:r>
    </w:p>
    <w:p w14:paraId="6A41D3C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Работа ОКБ была признана руководством малоэффективной (за 1942-45 г. создана только одна серийная установка- ТУМ-5 для Ер-2). По приказу № 447сс от 14.11.1945 г. в целях укрупнения конструкторских организаций основная часть личного состава (142 чел.), оборудования и материальных ценностей ОКБ-487 гл. конструктора И.П. Шебанова влита в состав объединенного ОКБ-43 НКАП, этим же приказом из ОКБ-487 НКАП в помощь вновь образованному заводу № 25 НКАП переведено 50 чел. ИТР и рабочих, занятых работами по агрегатам вооружения Ту-4. И.П. Шебанов назначен замом И.И. Торопова (11982).</w:t>
      </w:r>
    </w:p>
    <w:p w14:paraId="7A65B1B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2A606798"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4F72F41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80A9682"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января 1944 вышло Распоряжение ГКО № 4946 [Об учете выполнения плана перевозок импортных грузов при выдаче премий работникам Кировской, Северной, Орджоникидзевской, Закавказской, Ашхабадской и Приморской железных дорог.] (7172, 160).</w:t>
      </w:r>
    </w:p>
    <w:p w14:paraId="193CBAA4"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9D0EF0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января 1944 вышло Постановление ГКО № 4948 О снятии взыскания с бывшего директора завода № 76 НКТП Кочеткова. РГАНИР, Фонд ГКО, д. Е. РГАНИР, Фонд ГКО, д. 191, лл. 162 (11012).</w:t>
      </w:r>
    </w:p>
    <w:p w14:paraId="6F6DF9D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691780D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января 1944 вышло Постановление ГКО № 4949 О плане ремонте вооружения для Красной Армии на I квартал 1944 года. РГАНИР, Фонд ГКО, д. 191, лл. 163-168,169-258 (11012).</w:t>
      </w:r>
    </w:p>
    <w:p w14:paraId="45B6346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7A0663F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января 1944 вышло Постановление ГКО № 4950 О тов. Васильеве Г.А. и Усенко А.С. РГАНИР, Фонд ГКО, д. 191, лл. 259 (11012).</w:t>
      </w:r>
    </w:p>
    <w:p w14:paraId="6236965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6332285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января 1944 вышло Постановление ГКО № 4951 Об отпуске продовольственных, госпитальных и фуражных пайков для Красной Армии, Военно-Морского Флота и войск НКВД в январе 1944 года. РГАНИР, Фонд ГКО, д. 191, лл. 260-263,264-265 (11012).</w:t>
      </w:r>
    </w:p>
    <w:p w14:paraId="1642C6A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1ACB08B3"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7A19785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E29AB98" w14:textId="77777777" w:rsidR="00184F39" w:rsidRPr="007224C3" w:rsidRDefault="00184F39"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14 января</w:t>
      </w:r>
      <w:r w:rsidRPr="007224C3">
        <w:rPr>
          <w:rFonts w:ascii="Times New Roman" w:hAnsi="Times New Roman"/>
          <w:color w:val="000000" w:themeColor="text1"/>
          <w:sz w:val="16"/>
          <w:szCs w:val="16"/>
        </w:rPr>
        <w:t xml:space="preserve"> в 1944 году оперативная сводка Совинформбюро:</w:t>
      </w:r>
    </w:p>
    <w:p w14:paraId="5FA8BCE9" w14:textId="77777777" w:rsidR="00184F39" w:rsidRPr="007224C3" w:rsidRDefault="00184F3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Белорусского фронта в результате умелого обходного манёвра сегодня, 14 января, овладели областным центром Белорусской ССР городом Мозырь, городом и крупным железнодорожным узлом Калинковичи, а также с боями заняли более 40 других населённых пунктов, среди которых крупные населённые пункты Горбовичи, Рудня Горбовичская, Бобры, Козинки, Борисковичи, Загорины, Костюковичи, Жаховичи, Скрыгалово, Беседки и железнодорожные станции Клинск, Качуры, Козинки.</w:t>
      </w:r>
    </w:p>
    <w:p w14:paraId="6764168D" w14:textId="77777777" w:rsidR="00184F39" w:rsidRPr="007224C3" w:rsidRDefault="00184F3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и юго-западнее Сарны наши войска продолжали наступление и овладели районным центром Ровенской области Степань, а также заняли более 30 других населённых пунктов.</w:t>
      </w:r>
    </w:p>
    <w:p w14:paraId="05C20C3F" w14:textId="77777777" w:rsidR="00184F39" w:rsidRPr="007224C3" w:rsidRDefault="00184F3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и юго-западнее Новоград-Волынский наши войска вели наступательные бои, в ходе которых заняли несколько населённых пунктов.</w:t>
      </w:r>
    </w:p>
    <w:p w14:paraId="005C8B62" w14:textId="77777777" w:rsidR="00184F39" w:rsidRPr="007224C3" w:rsidRDefault="00184F3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Восточнее Винницы наши войска продолжали успешно отбивать контратаки крупных сил пехоты и танков противника и нанесли ему большие потери в живой силе и технике.</w:t>
      </w:r>
    </w:p>
    <w:p w14:paraId="795BCE71" w14:textId="77777777" w:rsidR="00184F39" w:rsidRPr="007224C3" w:rsidRDefault="00184F3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 разведка, артиллерийско-миномётная перестрелка и в ряде пунктов бои местного значения.</w:t>
      </w:r>
    </w:p>
    <w:p w14:paraId="520BCCD2" w14:textId="77777777" w:rsidR="00184F39" w:rsidRPr="007224C3" w:rsidRDefault="00184F3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13 января наши войска на всех фронтах подбили и уничтожили 96 немецких танков. В воздушных боях и огнём зенитной артиллерии сбито 37 самолётов противника.</w:t>
      </w:r>
    </w:p>
    <w:p w14:paraId="29BD819C" w14:textId="77777777" w:rsidR="00184F39" w:rsidRPr="007224C3" w:rsidRDefault="00184F3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Войска Белорусского фронта продолжали наступление. Советские танкисты и пехотинцы, стремительно продвигаясь вперёд, северо-западнее города Калинковичи разгромили крупные силы противника. В бою около населённого пункта Горбовичи огнём наших танков и самоходных орудий было подбито и сожжено 27 немецких танков, уничтожено более 40 орудий и до полка пехоты противника. В этом же районе захвачено у немцев 11 исправных танков, 20 орудий, 10 бронетранспортёров и другие трофеи. Советские пехотные части, наступавшие с востока, подошли кмосту через реку Припять и отрезали противнику пути отхода. Сломив сопротивление немцев, наши бойцы ворвались в восточную часть города Мозырь и завязали уличные бои. Тем временем советские кавалеристы ворвались в город с юга. Другая кавалерийская часть форсировала реку Припять и перерезала железную дорогу западнее Калинковичи. Оборона врага, на которого обрушились удары со всех сторон, была дезорганизована. Сегодня советские войска нанесли противнику решающий удар и овладели областным центром Белоруссии — городом Мозырь, городом и </w:t>
      </w:r>
      <w:r w:rsidRPr="007224C3">
        <w:rPr>
          <w:rFonts w:ascii="Times New Roman" w:hAnsi="Times New Roman"/>
          <w:color w:val="000000" w:themeColor="text1"/>
          <w:sz w:val="16"/>
          <w:szCs w:val="16"/>
        </w:rPr>
        <w:lastRenderedPageBreak/>
        <w:t>крупным железнодорожным узлом Калинковичи. Противник понёс огромные потери в живой силе и технике. Поспешно отступая, немцы оставили много орудий, автомашин,склады с боеприпасами и военным имуществом. Взято значительное количествопленных.</w:t>
      </w:r>
    </w:p>
    <w:p w14:paraId="66221809" w14:textId="77777777" w:rsidR="00184F39" w:rsidRPr="007224C3" w:rsidRDefault="00184F3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и юго-западнее Сарны наши войска продолжали наступление. Бойцы Н-ского соединения переправились через реку Горынь и в результате ожесточённого боя овладели районным центром Ровенской области Степань. За день наши войска заняли более 30 других населённых пунктов. Ровенские партизаны активно содействовали советским частям и разгромили двигавшуюся по шоссе колонну немецкой пехоты. Только в бою за районный центр Степань уничтожено до 600 немецких солдат и офицеров. Наши бойцы захватили крупный обоз с военным имуществом противника и другие трофеи.</w:t>
      </w:r>
    </w:p>
    <w:p w14:paraId="4500ED5B" w14:textId="77777777" w:rsidR="00184F39" w:rsidRPr="007224C3" w:rsidRDefault="00184F3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и юго-западнее города Новоград-Волынский наши войска, преодолевая сопротивление противника, продвигались вперёд. Части Н-ского соединения отбили несколько вражеских контратак и овладели выгодными позициями. На поле боя осталось до 400 вражеских трупов. Сожжено и подбито 6 немецких танков и 5 самоходных орудий. В другом районе наши автоматчики ворвались в населённый пункт, истребили роту гитлеровцев и захватили 2 немецких танка. Попытки подошедших частей противника вернуть этот населённый пункт успеха не имели.</w:t>
      </w:r>
    </w:p>
    <w:p w14:paraId="4F9E9EF7" w14:textId="77777777" w:rsidR="00184F39" w:rsidRPr="007224C3" w:rsidRDefault="00184F3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Восточнее Винницы продолжались ожесточённые бои. Пополнив свои потрёпанные части и подтянув крупные силы танков, противник в течение дня неоднократно предпринимал контратаки. На одном участке немцы бросили в бой свыше 100 танков и самоходных орудий. Советские артиллеристы и бронебойщики подбили и уничтожили 20 танков и 6 самоходных орудий противника. Немецкая пехота была встречена губительным миномётным и пулемётным огнём и в беспорядке отступила. На другом участке наши части, успешно отражая контратаки противника, истребили до 2.000 гитлеровцев, сожгли и подбили 35 танков и 29 бронемашин, уничтожили 9 бронетранспортёров и 120 автомашин. Захвачены трофеи и пленные.</w:t>
      </w:r>
    </w:p>
    <w:p w14:paraId="13453A95" w14:textId="77777777" w:rsidR="00184F39" w:rsidRPr="007224C3" w:rsidRDefault="00184F3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Чёрном море потоплены две баржи и транспорт противника водоизмещением в 1.500 тонн.</w:t>
      </w:r>
    </w:p>
    <w:p w14:paraId="61E5193A" w14:textId="77777777" w:rsidR="00184F39" w:rsidRPr="007224C3" w:rsidRDefault="00184F3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Партизанский отряд имени Гастелло напал на немцев, строивших укрепления в Барановичской области. Партизаны истребили 40 вражеских солдат и взорвали две автомашины. Группа подрывников этого же отряда пустила под откос железнодорожный эшелон с войсками противника. В результате крушения убито и ранено много гитлеровцев. Партизаны отряда имени Хмельницкого, действующего в Белостокской области, подожгли имение немецкого помещика. Огнём уничтожены склады с зерном.</w:t>
      </w:r>
    </w:p>
    <w:p w14:paraId="2D05C1A1" w14:textId="77777777" w:rsidR="00184F39" w:rsidRPr="007224C3" w:rsidRDefault="00184F3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районе города Новоград-Волынский сдались в плен 270 солдат 147 немецкой охранной дивизии. Пленный телефонист штаба дивизии солдат Артур Фрезе рассказал: «Стремительное наступление русских вызвало панику среди солдат и офицеров. Начальник тыла капитан Хайтле в присутствии солдат с возмущением говорил: «Зачем нас прислали сюда. Дивизия небоеспособна и не сможет удержать позиции. Русские всех нас уничтожат». Когда советские танки прорвались в наше расположение, мы стали отступать в южном направлении. Но оказалось, что русские автоматчики уже перерезали пути отхода. Офицеры бежали, бросив солдат на произвол судьбы. Я сам видел, как командир дивизии генерал-лейтенант Матершток сорвал с себя погоны и ордена. После этого он скрылся, и мы его больше не видели. Покинутые офицерами, мы всю ночь проблуждали в лесу и выбились из сил. Надо было что-то предпринять. Мы решили, что самое лучшее и самое разумное в нашем положении сдаться в плен. Всё оружие и боеприпасы мы передали русскому офицеру» (15009).</w:t>
      </w:r>
    </w:p>
    <w:p w14:paraId="50E2051E" w14:textId="77777777" w:rsidR="00184F39" w:rsidRPr="007224C3" w:rsidRDefault="00184F39" w:rsidP="007224C3">
      <w:pPr>
        <w:spacing w:after="0" w:line="240" w:lineRule="auto"/>
        <w:jc w:val="both"/>
        <w:rPr>
          <w:rFonts w:ascii="Times New Roman" w:hAnsi="Times New Roman"/>
          <w:color w:val="000000" w:themeColor="text1"/>
          <w:sz w:val="16"/>
          <w:szCs w:val="16"/>
        </w:rPr>
      </w:pPr>
    </w:p>
    <w:p w14:paraId="09EB429E" w14:textId="77777777" w:rsidR="00184F39" w:rsidRPr="007224C3" w:rsidRDefault="00184F39"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14 января</w:t>
      </w:r>
      <w:r w:rsidRPr="007224C3">
        <w:rPr>
          <w:rFonts w:ascii="Times New Roman" w:hAnsi="Times New Roman"/>
          <w:color w:val="000000" w:themeColor="text1"/>
          <w:sz w:val="16"/>
          <w:szCs w:val="16"/>
        </w:rPr>
        <w:t xml:space="preserve"> в 1944 году завершилась оборона Ленинграда во Второй Мировой войне. Боевые действия Советских войск и трудящихся в ожесточенных боях измотали противника - фашистские войска и остановили его продвижение (15009).</w:t>
      </w:r>
    </w:p>
    <w:p w14:paraId="21675E66" w14:textId="77777777" w:rsidR="00184F39" w:rsidRPr="007224C3" w:rsidRDefault="00184F39" w:rsidP="007224C3">
      <w:pPr>
        <w:spacing w:after="0" w:line="240" w:lineRule="auto"/>
        <w:jc w:val="both"/>
        <w:rPr>
          <w:rFonts w:ascii="Times New Roman" w:hAnsi="Times New Roman"/>
          <w:color w:val="000000" w:themeColor="text1"/>
          <w:sz w:val="16"/>
          <w:szCs w:val="16"/>
        </w:rPr>
      </w:pPr>
    </w:p>
    <w:p w14:paraId="65EBE137" w14:textId="77777777" w:rsidR="00F16AE1" w:rsidRPr="007224C3" w:rsidRDefault="00F16AE1"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14 января 1944 г. войска Ленин</w:t>
      </w:r>
      <w:r w:rsidRPr="007224C3">
        <w:rPr>
          <w:rFonts w:ascii="Times New Roman" w:hAnsi="Times New Roman"/>
          <w:color w:val="0070C0"/>
          <w:sz w:val="16"/>
          <w:szCs w:val="16"/>
        </w:rPr>
        <w:softHyphen/>
        <w:t>градского, Волховского и 2-го Прибалтийского фронтов во взаимодействии с КБФ начали Ленинградско-Новгородскую операцию по полно</w:t>
      </w:r>
      <w:r w:rsidRPr="007224C3">
        <w:rPr>
          <w:rFonts w:ascii="Times New Roman" w:hAnsi="Times New Roman"/>
          <w:color w:val="0070C0"/>
          <w:sz w:val="16"/>
          <w:szCs w:val="16"/>
        </w:rPr>
        <w:softHyphen/>
        <w:t>му снятию блокады Ленинграда и освобождению Ленинградской области. Ленинградская армия ПВО в это время не только охраняла небо города, но выделила около половины частей и соедине</w:t>
      </w:r>
      <w:r w:rsidRPr="007224C3">
        <w:rPr>
          <w:rFonts w:ascii="Times New Roman" w:hAnsi="Times New Roman"/>
          <w:color w:val="0070C0"/>
          <w:sz w:val="16"/>
          <w:szCs w:val="16"/>
        </w:rPr>
        <w:softHyphen/>
        <w:t>ний армии для участия в прорыве блокады Ле</w:t>
      </w:r>
      <w:r w:rsidRPr="007224C3">
        <w:rPr>
          <w:rFonts w:ascii="Times New Roman" w:hAnsi="Times New Roman"/>
          <w:color w:val="0070C0"/>
          <w:sz w:val="16"/>
          <w:szCs w:val="16"/>
        </w:rPr>
        <w:softHyphen/>
        <w:t>нинграда. Аэростаты заграждения вместе с зенит</w:t>
      </w:r>
      <w:r w:rsidRPr="007224C3">
        <w:rPr>
          <w:rFonts w:ascii="Times New Roman" w:hAnsi="Times New Roman"/>
          <w:color w:val="0070C0"/>
          <w:sz w:val="16"/>
          <w:szCs w:val="16"/>
        </w:rPr>
        <w:softHyphen/>
        <w:t>ной артиллерией защищали атакующие войска и резервы от налётов авиации врага, прикрывали переправы войск на Ораниенбаумский плацдарм, в районах Лисий Нос, Горская, Сестрорецк.</w:t>
      </w:r>
    </w:p>
    <w:p w14:paraId="252BE1EF" w14:textId="77777777" w:rsidR="00F16AE1" w:rsidRPr="007224C3" w:rsidRDefault="00F16AE1"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После снятия блокады и прекращения бом</w:t>
      </w:r>
      <w:r w:rsidRPr="007224C3">
        <w:rPr>
          <w:rFonts w:ascii="Times New Roman" w:hAnsi="Times New Roman"/>
          <w:color w:val="0070C0"/>
          <w:sz w:val="16"/>
          <w:szCs w:val="16"/>
        </w:rPr>
        <w:softHyphen/>
        <w:t>бардировок города в феврале-марте 1944 г. 3-й и 11-й полки АЗ расформировали. На боевых позициях остался только 4-й полк (командир — полковник А.А. Торопов). Однако, уже в апреле начались налёты фашистской авиации на ком</w:t>
      </w:r>
      <w:r w:rsidRPr="007224C3">
        <w:rPr>
          <w:rFonts w:ascii="Times New Roman" w:hAnsi="Times New Roman"/>
          <w:color w:val="0070C0"/>
          <w:sz w:val="16"/>
          <w:szCs w:val="16"/>
        </w:rPr>
        <w:softHyphen/>
        <w:t>муникации наступавших войск Ленинградского и Волховского фронтов. Для прикрытия желез</w:t>
      </w:r>
      <w:r w:rsidRPr="007224C3">
        <w:rPr>
          <w:rFonts w:ascii="Times New Roman" w:hAnsi="Times New Roman"/>
          <w:color w:val="0070C0"/>
          <w:sz w:val="16"/>
          <w:szCs w:val="16"/>
        </w:rPr>
        <w:softHyphen/>
        <w:t>нодорожных узлов, фронтовых баз, мостов, мест дислокации войск и аэродромов сформировали 14-й полк АЗ (командир — майор В.М. Галкин). Отряды полка прикрывали участок Гатчина — Кингисепп (18 постов), железнодорожную стан</w:t>
      </w:r>
      <w:r w:rsidRPr="007224C3">
        <w:rPr>
          <w:rFonts w:ascii="Times New Roman" w:hAnsi="Times New Roman"/>
          <w:color w:val="0070C0"/>
          <w:sz w:val="16"/>
          <w:szCs w:val="16"/>
        </w:rPr>
        <w:softHyphen/>
        <w:t>цию и мост в Толмачёво (9 постов), железнодо</w:t>
      </w:r>
      <w:r w:rsidRPr="007224C3">
        <w:rPr>
          <w:rFonts w:ascii="Times New Roman" w:hAnsi="Times New Roman"/>
          <w:color w:val="0070C0"/>
          <w:sz w:val="16"/>
          <w:szCs w:val="16"/>
        </w:rPr>
        <w:softHyphen/>
        <w:t>рожные станции в Токсово, Любань (по 9 по</w:t>
      </w:r>
      <w:r w:rsidRPr="007224C3">
        <w:rPr>
          <w:rFonts w:ascii="Times New Roman" w:hAnsi="Times New Roman"/>
          <w:color w:val="0070C0"/>
          <w:sz w:val="16"/>
          <w:szCs w:val="16"/>
        </w:rPr>
        <w:softHyphen/>
        <w:t>стов), мосты в г. Волхове (18 постов).</w:t>
      </w:r>
    </w:p>
    <w:p w14:paraId="1F875755" w14:textId="77777777" w:rsidR="00F16AE1" w:rsidRPr="007224C3" w:rsidRDefault="00F16AE1"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Кроме того, в мае-июле 1944 г. на баржах в Финском заливе и на его южном побережье развернули 36 постов аэростатов заграждения, обеспечивавших боевые действия кораблей Бал</w:t>
      </w:r>
      <w:r w:rsidRPr="007224C3">
        <w:rPr>
          <w:rFonts w:ascii="Times New Roman" w:hAnsi="Times New Roman"/>
          <w:color w:val="0070C0"/>
          <w:sz w:val="16"/>
          <w:szCs w:val="16"/>
        </w:rPr>
        <w:softHyphen/>
        <w:t>тийского флота. Отряды и звенья 14-го полка АЗ принимали участие и в наступательных действи</w:t>
      </w:r>
      <w:r w:rsidRPr="007224C3">
        <w:rPr>
          <w:rFonts w:ascii="Times New Roman" w:hAnsi="Times New Roman"/>
          <w:color w:val="0070C0"/>
          <w:sz w:val="16"/>
          <w:szCs w:val="16"/>
        </w:rPr>
        <w:softHyphen/>
        <w:t>ях наземных войск (20120).</w:t>
      </w:r>
    </w:p>
    <w:p w14:paraId="262E12A0" w14:textId="77777777" w:rsidR="00F16AE1" w:rsidRPr="007224C3" w:rsidRDefault="00F16AE1" w:rsidP="007224C3">
      <w:pPr>
        <w:pStyle w:val="233"/>
        <w:shd w:val="clear" w:color="auto" w:fill="auto"/>
        <w:spacing w:before="0" w:after="0" w:line="240" w:lineRule="auto"/>
        <w:ind w:firstLine="0"/>
        <w:jc w:val="both"/>
        <w:rPr>
          <w:rFonts w:ascii="Times New Roman" w:hAnsi="Times New Roman" w:cs="Times New Roman"/>
          <w:color w:val="0070C0"/>
          <w:sz w:val="16"/>
          <w:szCs w:val="16"/>
        </w:rPr>
      </w:pPr>
    </w:p>
    <w:p w14:paraId="159D2EF9" w14:textId="77777777" w:rsidR="00184F39" w:rsidRPr="007224C3" w:rsidRDefault="00184F39"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14 января</w:t>
      </w:r>
      <w:r w:rsidRPr="007224C3">
        <w:rPr>
          <w:rFonts w:ascii="Times New Roman" w:hAnsi="Times New Roman"/>
          <w:color w:val="000000" w:themeColor="text1"/>
          <w:sz w:val="16"/>
          <w:szCs w:val="16"/>
        </w:rPr>
        <w:t xml:space="preserve"> в 1944 году началась Красносельско-Ропшинская наступательная операция (часть Ленинградско-Новгородской стратегической наступательной операции) войск Ленинградского фронта (генерал армии Л.А.Говоров), Балтийского флота (адмирал В.Ф.Трибуц), соединений авиации дальнего действия и Ленинградской армии ПВО, продолжавшаяся до 30 января. Началась Новгородско-Лужская наступательная операция (часть Ленинградско-Новгородской стратегической наступательной операции) войск Волховского фронта (генерал армии К.А.Мерецков), продолжавшаяся до 15 февраля. Войска 1-го Украинского фронта завершили Житомирско-Бердичевскую операцию, отодвинули на 80-200 км линию фронта в полосе шириной 700 км, почти полностью освободили Киевскую и Житомирскую области, ряд районов Винницкой и Ровенской областей, разгромили 6 дивизий противника (15009).</w:t>
      </w:r>
    </w:p>
    <w:p w14:paraId="4A1FB79C" w14:textId="77777777" w:rsidR="00184F39" w:rsidRPr="007224C3" w:rsidRDefault="00184F39" w:rsidP="007224C3">
      <w:pPr>
        <w:spacing w:after="0" w:line="240" w:lineRule="auto"/>
        <w:jc w:val="both"/>
        <w:rPr>
          <w:rFonts w:ascii="Times New Roman" w:hAnsi="Times New Roman"/>
          <w:color w:val="000000" w:themeColor="text1"/>
          <w:sz w:val="16"/>
          <w:szCs w:val="16"/>
        </w:rPr>
      </w:pPr>
    </w:p>
    <w:p w14:paraId="3DD3BB8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14 января по 15 февраля 1944 состоялась Новгород-Лужская операция - часть Ленинградско-Новгородской операции. 20 января освободили Новгород и 12 февраля Лугу, продвинувшись на 150 км (2438,455).</w:t>
      </w:r>
    </w:p>
    <w:p w14:paraId="7ECD29E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ходе этой операции авиация широко использовалась как транспортное средство для снабжения танковых армий (518,168).</w:t>
      </w:r>
    </w:p>
    <w:p w14:paraId="1FCDDEF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F02F7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января 1944 года началась Ленинградско-Петрозаводская операция, в ходе которой удалось снять блокаду с Ленинграда. В первый день наступления погода была нелетной и единственными самолетами, поднявшимися в воздух, были Ил-2 из 35-го ШАП и 7-го ГШАП. В тот день штурмовики совершили 75 боевых вылетов (2691).</w:t>
      </w:r>
    </w:p>
    <w:p w14:paraId="1459610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EC85B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C 14 января по 13 марта 1944 состоялась Ленинградско-Новгородская операция и группу Север отбросили на 220-280 км (2438,362).</w:t>
      </w:r>
    </w:p>
    <w:p w14:paraId="63D18E9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rPr>
        <w:t xml:space="preserve">14 ВА проводили авиаподготовку накануне атаки продолжительностью </w:t>
      </w:r>
      <w:r w:rsidRPr="007224C3">
        <w:rPr>
          <w:rFonts w:ascii="Times New Roman" w:hAnsi="Times New Roman"/>
          <w:color w:val="000000" w:themeColor="text1"/>
          <w:sz w:val="16"/>
          <w:szCs w:val="16"/>
          <w:lang w:val="en-US"/>
        </w:rPr>
        <w:t xml:space="preserve">10-30 </w:t>
      </w:r>
      <w:r w:rsidRPr="007224C3">
        <w:rPr>
          <w:rFonts w:ascii="Times New Roman" w:hAnsi="Times New Roman"/>
          <w:color w:val="000000" w:themeColor="text1"/>
          <w:sz w:val="16"/>
          <w:szCs w:val="16"/>
        </w:rPr>
        <w:t>мин</w:t>
      </w:r>
      <w:r w:rsidRPr="007224C3">
        <w:rPr>
          <w:rFonts w:ascii="Times New Roman" w:hAnsi="Times New Roman"/>
          <w:color w:val="000000" w:themeColor="text1"/>
          <w:sz w:val="16"/>
          <w:szCs w:val="16"/>
          <w:lang w:val="en-US"/>
        </w:rPr>
        <w:t xml:space="preserve"> (518,135).</w:t>
      </w:r>
    </w:p>
    <w:p w14:paraId="79585F5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E4F868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January 14, 1944: South of Leningrad, the Red Army begins an offensive against the lines of Heeresgruppe Nord (von Kuchler) at Narva (3819).</w:t>
      </w:r>
    </w:p>
    <w:p w14:paraId="5BE963D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3A793F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января 1944 при боях за освобождение Ленинграда взводный Мюллер на Тигре за один день сжег 25 советских танков, а два других Тигра - 13 и 3 (2118).</w:t>
      </w:r>
    </w:p>
    <w:p w14:paraId="6EE4E77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908D8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рассвете 14 января 1944 войска Ленинградского фронта перешли в решительное наступление на противника, продолжавшего осаждать «колыбель революции». В развернувшейся операции ВВС Балтфлота вновь отводилась весьма заметная роль. До конца февраля самолеты 1 -го ГМТАП наносили ночные удары по железнодорожным узлам Красногвардейск, Луга и Мга, аэродромам Кресты, Сиверская и Красногвардейск (9965).</w:t>
      </w:r>
    </w:p>
    <w:p w14:paraId="6A936BC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349BBB4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января 1944 началась наступательная операция по освобождению северо-запада и Прибалтики (2070,177). Это была Красносельско-Ропшинская операция, которая продолжалась с 14 по 30 января 1944 (2438,329).</w:t>
      </w:r>
    </w:p>
    <w:p w14:paraId="556BFC1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B2D6C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января 1944 вышел приказ наркома ВМФ Н.К.Кузнецова N 018 об аварийности в частях ВВС Северного флота (2120).</w:t>
      </w:r>
    </w:p>
    <w:p w14:paraId="29E62A4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F15A35"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января 1944 вышло Распоряжение ГКО № 4947 О переброске больших охотников за подводными лодками "Артиллерист", "Минер", "Торпедист", "Боцман" и "Зенитчик" из Каспийской военной флотилии в состав Черноморского флота. (7172, 161).</w:t>
      </w:r>
    </w:p>
    <w:p w14:paraId="2F1E90BA"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2A2F195"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Внешняя политика:</w:t>
      </w:r>
    </w:p>
    <w:p w14:paraId="001ABBF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CA8EC1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января 1944 года</w:t>
      </w:r>
    </w:p>
    <w:p w14:paraId="1775D22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ЛИЧНО И СЕКРЕТНО ОТ ПРЕМЬЕРА И. В. СТАЛИНА ПРЕМЬЕР-МИНИСТРУ г-ну У. ЧЕРЧИЛЛЮ</w:t>
      </w:r>
    </w:p>
    <w:p w14:paraId="1E0CC37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Ваше послание от 12 января получил. Наши армии действительно имеют за последнее время успехи, но до Берлина нам еще очень далеко. К тому же немцы предпринимают сейчас довольно серьезные контратаки, особенно в районе восточнее Винницы. Это, конечно, не опасно, но все же немцам удалось здесь оттеснить наши передовые части и временно приостановить наше продвижение. Следовательно, Вы можете не ослаблять, а даже по возможности всемерно усиливать бомбардировки Берлина. Немцы еще успеют к нашему общему приходу в Берлин отстроить некоторые помещения, необходимые для нас с Вами.</w:t>
      </w:r>
    </w:p>
    <w:p w14:paraId="6AB3922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Ваше послание к Тито, которого Вы так ободряете своей поддержкой, будет иметь большое значение.</w:t>
      </w:r>
    </w:p>
    <w:p w14:paraId="05F9FD6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Надеюсь, что Ваша, вместе с американцами, подготовка к “Оверлорду” идет успешно вперед (7430).</w:t>
      </w:r>
    </w:p>
    <w:p w14:paraId="627AB36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415A9A"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1E3D73C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ED74EEA" w14:textId="77777777" w:rsidR="00F16AE1" w:rsidRPr="007224C3" w:rsidRDefault="00F16AE1"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14 января 1944 552 бомбардировщики 8-й воздушной армии в сопровождении 645 истребителей нанесли удар по 20 объектам летающих бомб Фау-1 в районе Па-де-Кале во Франции, при этом были потеряны три бомбардировщика и три истребителя. Бомбардировщики и истребители заявили, что 22 немецких самолета сбиты, один, вероятно, сбит, а один поврежден (20373).</w:t>
      </w:r>
    </w:p>
    <w:p w14:paraId="64FB2A4B" w14:textId="77777777" w:rsidR="00F16AE1" w:rsidRPr="007224C3" w:rsidRDefault="00F16AE1" w:rsidP="007224C3">
      <w:pPr>
        <w:spacing w:after="0" w:line="240" w:lineRule="auto"/>
        <w:jc w:val="both"/>
        <w:rPr>
          <w:rFonts w:ascii="Times New Roman" w:hAnsi="Times New Roman"/>
          <w:color w:val="0070C0"/>
          <w:sz w:val="16"/>
          <w:szCs w:val="16"/>
        </w:rPr>
      </w:pPr>
    </w:p>
    <w:p w14:paraId="12925D6F" w14:textId="77777777" w:rsidR="00F16AE1" w:rsidRPr="007224C3" w:rsidRDefault="00F16AE1"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14–15 января (ночь) 1944 458 британских бомбардировщиков совершили первый крупный налет на Брауншвейг, Германия во время Второй мировой войны. Немецкие ночные истребители перехватывают их, когда они пересекают границу Германии и продолжают атаковать, пока они не пересекут побережье Нидерландов по пути домой. 38 бомбардировщиков (7,6 процента сил), все Ланкастеры, будут потеряны. Большинство бомб падает в небольших городах и сельской местности, а в самом Брауншвейге разрушено только 10 домов и убито 14 человек (20373).</w:t>
      </w:r>
    </w:p>
    <w:p w14:paraId="14172B2B" w14:textId="77777777" w:rsidR="00F16AE1" w:rsidRPr="007224C3" w:rsidRDefault="00F16AE1" w:rsidP="007224C3">
      <w:pPr>
        <w:spacing w:after="0" w:line="240" w:lineRule="auto"/>
        <w:jc w:val="both"/>
        <w:rPr>
          <w:rFonts w:ascii="Times New Roman" w:hAnsi="Times New Roman"/>
          <w:color w:val="0070C0"/>
          <w:sz w:val="16"/>
          <w:szCs w:val="16"/>
        </w:rPr>
      </w:pPr>
    </w:p>
    <w:p w14:paraId="57DFBACE" w14:textId="77777777" w:rsidR="00F16AE1" w:rsidRPr="007224C3" w:rsidRDefault="00F16AE1"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14–15 января (ночь) 1944 82 британских бомбардировщика без потерь ударили по объектам немецких летающих бомб Фау-1 в Айли, Боннетоне и Бристильери, Франция (20373).</w:t>
      </w:r>
    </w:p>
    <w:p w14:paraId="3D0E54CA" w14:textId="77777777" w:rsidR="00F16AE1" w:rsidRPr="007224C3" w:rsidRDefault="00F16AE1" w:rsidP="007224C3">
      <w:pPr>
        <w:spacing w:after="0" w:line="240" w:lineRule="auto"/>
        <w:jc w:val="both"/>
        <w:rPr>
          <w:rFonts w:ascii="Times New Roman" w:hAnsi="Times New Roman"/>
          <w:color w:val="0070C0"/>
          <w:sz w:val="16"/>
          <w:szCs w:val="16"/>
        </w:rPr>
      </w:pPr>
    </w:p>
    <w:p w14:paraId="36905F9B" w14:textId="77777777" w:rsidR="00184F39" w:rsidRPr="007224C3" w:rsidRDefault="00184F39"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14 января</w:t>
      </w:r>
      <w:r w:rsidRPr="007224C3">
        <w:rPr>
          <w:rFonts w:ascii="Times New Roman" w:hAnsi="Times New Roman"/>
          <w:color w:val="000000" w:themeColor="text1"/>
          <w:sz w:val="16"/>
          <w:szCs w:val="16"/>
        </w:rPr>
        <w:t xml:space="preserve"> в 1944 году начало работы Европейской консультативной комиссии в Лондоне (15009).</w:t>
      </w:r>
    </w:p>
    <w:p w14:paraId="5BB098DF" w14:textId="77777777" w:rsidR="00184F39" w:rsidRPr="007224C3" w:rsidRDefault="00184F39" w:rsidP="007224C3">
      <w:pPr>
        <w:spacing w:after="0" w:line="240" w:lineRule="auto"/>
        <w:jc w:val="both"/>
        <w:rPr>
          <w:rFonts w:ascii="Times New Roman" w:hAnsi="Times New Roman"/>
          <w:color w:val="000000" w:themeColor="text1"/>
          <w:sz w:val="16"/>
          <w:szCs w:val="16"/>
        </w:rPr>
      </w:pPr>
    </w:p>
    <w:p w14:paraId="20E57B81"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января 1944 немецкое командование приняло решение эвакуировать свои войска из Софии (4962).</w:t>
      </w:r>
    </w:p>
    <w:p w14:paraId="1EBFCB33"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EE31402"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2883583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1DBCE0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протяжении двух первых недель 1944 г. коллектив ЦАКБ НКВ устранил недостатки в конструкции пушки С-53 и оказывал помощь конструкторам и технологам завода № 92 НКВ в организации ее серийного производства. К 15 января на заводе № 92 была собрана первая пушка, которая отличалась от опытного образца, прежде всего, литой (а не сварной) конструкцией люльки и муфтовым (вместо резьбового) соединением ствола пушки с казенником. В период с 16 по 17 января 1944 г. пушка прошла испытания стрельбой на ГАНИОПе, во время которых произошло заклинивание поршня тормоза отката. Пушка была отправлена на доработку. На этот раз, на заводе М» 92 была изменена конструкция противооткатных устройств и произведена доработка отдельных деталей пушки С-53. Вот почему заслуги заводчан в усовершенствовании конструкции орудия были отмечены и в ее официальном названии с началом серийного производства на заводе № 92 (завод , Сталина) пушка получила наименование ЗИС-С-53. 23 января 1944 г. постановлением ГКО танк Т-34, оснащенный 85-мм пушкой ЗИС-С-53 под маркой Т-34-85 был принят на вооружение Красной Армии (10703).</w:t>
      </w:r>
    </w:p>
    <w:p w14:paraId="787BEE8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79D6C1"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6E3088B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6FAF10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января 1944 года директор и гл. конструктор завода N 240 С.В.И. писал письмо N 8/86с зам. наркома Авиапрома В.П. Кузнецову и гл. конструктору завода N 500 А.Д. Чаромскому.</w:t>
      </w:r>
    </w:p>
    <w:p w14:paraId="73FDC49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проектируемых транспортных самолетов с герметической кабиной нами был выбран дизель-мотор М-30В, чертежи и основные данные которого были присланы нам гл. конструктором завода N 500 Чаромским А.Д. с письмом за N 723с от 11 декабря 1942 г.</w:t>
      </w:r>
    </w:p>
    <w:p w14:paraId="696C3C1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настоящее время, согласно письма гл. конструктора завода N 500 за N 1517с от 2-го декабря 1943 г. а также личного заявления зам. гл. конструктора завода N 500 Тулупова, завод N 500 занимается только дизель-мотором М-31, данные которого отличны от мотора М-30В. Мотор М-31 нами может быть установлен на вышеуказанные самолеты только при условии изменения его данных до основных данных дизель-мотора М-30В.</w:t>
      </w:r>
    </w:p>
    <w:p w14:paraId="7849E07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Кроме того, для питания герметической кабины чистым воздухом на дизель-моторе М-31 необходимо установить дополнительный нагнетатель, данные которого должны удовлетворять следующим требованиям: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5106D0" w:rsidRPr="007224C3" w14:paraId="45F96D76" w14:textId="77777777">
        <w:tc>
          <w:tcPr>
            <w:tcW w:w="5636" w:type="dxa"/>
          </w:tcPr>
          <w:p w14:paraId="4534680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Производительность на высоте Н=6000 м</w:t>
            </w:r>
          </w:p>
        </w:tc>
        <w:tc>
          <w:tcPr>
            <w:tcW w:w="5636" w:type="dxa"/>
          </w:tcPr>
          <w:p w14:paraId="0688B7A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Ст=0,1+0,15 кг/сек.</w:t>
            </w:r>
          </w:p>
        </w:tc>
      </w:tr>
      <w:tr w:rsidR="005106D0" w:rsidRPr="007224C3" w14:paraId="61A540F3" w14:textId="77777777">
        <w:tc>
          <w:tcPr>
            <w:tcW w:w="5636" w:type="dxa"/>
          </w:tcPr>
          <w:p w14:paraId="0CE916C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2. Избыточное давление в герметической </w:t>
            </w:r>
          </w:p>
        </w:tc>
        <w:tc>
          <w:tcPr>
            <w:tcW w:w="5636" w:type="dxa"/>
          </w:tcPr>
          <w:p w14:paraId="651B414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9A4ED3C" w14:textId="77777777">
        <w:tc>
          <w:tcPr>
            <w:tcW w:w="5636" w:type="dxa"/>
          </w:tcPr>
          <w:p w14:paraId="1BB98E8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кабине</w:t>
            </w:r>
          </w:p>
        </w:tc>
        <w:tc>
          <w:tcPr>
            <w:tcW w:w="5636" w:type="dxa"/>
          </w:tcPr>
          <w:p w14:paraId="389DD29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0,35 кг/см кв.</w:t>
            </w:r>
          </w:p>
        </w:tc>
      </w:tr>
      <w:tr w:rsidR="005106D0" w:rsidRPr="007224C3" w14:paraId="7F0BA0C5" w14:textId="77777777">
        <w:tc>
          <w:tcPr>
            <w:tcW w:w="5636" w:type="dxa"/>
          </w:tcPr>
          <w:p w14:paraId="672DCC5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Воздух, подаваемый этим нагнетателем,</w:t>
            </w:r>
          </w:p>
        </w:tc>
        <w:tc>
          <w:tcPr>
            <w:tcW w:w="5636" w:type="dxa"/>
          </w:tcPr>
          <w:p w14:paraId="63062D7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00EF144" w14:textId="77777777">
        <w:tc>
          <w:tcPr>
            <w:tcW w:w="5636" w:type="dxa"/>
          </w:tcPr>
          <w:p w14:paraId="7C23A4A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 должен содержать масло, масляные пары</w:t>
            </w:r>
          </w:p>
        </w:tc>
        <w:tc>
          <w:tcPr>
            <w:tcW w:w="5636" w:type="dxa"/>
          </w:tcPr>
          <w:p w14:paraId="7E702A2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C93E6E1" w14:textId="77777777">
        <w:tc>
          <w:tcPr>
            <w:tcW w:w="5636" w:type="dxa"/>
          </w:tcPr>
          <w:p w14:paraId="484A8D5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 другие примеси, вредно действующие на</w:t>
            </w:r>
          </w:p>
        </w:tc>
        <w:tc>
          <w:tcPr>
            <w:tcW w:w="5636" w:type="dxa"/>
          </w:tcPr>
          <w:p w14:paraId="6F1D92C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521334D" w14:textId="77777777">
        <w:tc>
          <w:tcPr>
            <w:tcW w:w="5636" w:type="dxa"/>
          </w:tcPr>
          <w:p w14:paraId="310D2DD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организм человека.</w:t>
            </w:r>
          </w:p>
        </w:tc>
        <w:tc>
          <w:tcPr>
            <w:tcW w:w="5636" w:type="dxa"/>
          </w:tcPr>
          <w:p w14:paraId="61A369D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75BA000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Исходя из вышеизложенного прошу Вашего указания заводу N 500 о проведении данных доработок на четырех дизель-моторах, которые нам потребуются:</w:t>
      </w:r>
    </w:p>
    <w:p w14:paraId="7B9F7AA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два мотора к 1-му августа 1944 года;</w:t>
      </w:r>
    </w:p>
    <w:p w14:paraId="3030895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два мотора к 1-му октября 1944 года.</w:t>
      </w:r>
    </w:p>
    <w:p w14:paraId="5110DAF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Указанные выше транспортные самолеты с мотором М-30В включены в план опытного строительства 1944 г (2562,31).</w:t>
      </w:r>
    </w:p>
    <w:p w14:paraId="0EAE11B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E9C82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января 1944 был утвержден отчет о заводских испытаниях Як-9-ВК-107А (300,3).</w:t>
      </w:r>
    </w:p>
    <w:p w14:paraId="11B189D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01E3F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15 января 1944 года был построен макет модифицированного самолета Пе-8 4М-82ФН ТК-3, который представлял собой носовую часть фюзеляжа Ф-1 и среднюю фюзеляжную часть центроплана до разъема с Ф-3. На макете были отражены оборудование штурманской кабины, оборудование пилотского отсека, оборудование пульта механика, радиооборудование, рабочее место радиста, расположение балочных бомбодержателей, габариты основного бомбового отсека и люков для свето-бомб (7685).</w:t>
      </w:r>
    </w:p>
    <w:p w14:paraId="5A93FD1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60F3D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15 января 1944 г. построили макет новой носовой и средней частей фюзеляжа Пе-8. На нём можно было увидеть оборудование кабин штурмана и пилотов, пульт механика, рабочее место радиста, расположение балочных бомбодержателей, габариты основного бом- боотсека и люков для осветительных бомб. Макетная комиссия под председательством генерала А.А. Лапина протоколом от 8 февраля утвердила комплектацию оборудования и его размещение.</w:t>
      </w:r>
    </w:p>
    <w:p w14:paraId="7478019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Рассмотрение проекта в НКАП и последовавшее за ним постановление ГКО от 20 февраля 1944 г. потребовало его дальнейших доработок. В частности, окончательно остановились на мотоустановке с ТК-3, кроме того, добавилось требование к усилению огневой защиты спереди-снизу (по предложению самого Незваля) (11996).</w:t>
      </w:r>
    </w:p>
    <w:p w14:paraId="3AE28AA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1FECE495" w14:textId="77777777" w:rsidR="00DF6978" w:rsidRPr="007224C3" w:rsidRDefault="00DF6978" w:rsidP="007224C3">
      <w:pPr>
        <w:pStyle w:val="ae"/>
        <w:shd w:val="clear" w:color="auto" w:fill="FFFFFF"/>
        <w:spacing w:before="0" w:after="0"/>
        <w:jc w:val="both"/>
        <w:rPr>
          <w:color w:val="000000" w:themeColor="text1"/>
          <w:sz w:val="16"/>
          <w:szCs w:val="16"/>
        </w:rPr>
      </w:pPr>
      <w:r w:rsidRPr="007224C3">
        <w:rPr>
          <w:color w:val="000000" w:themeColor="text1"/>
          <w:sz w:val="16"/>
          <w:szCs w:val="16"/>
        </w:rPr>
        <w:t>К 15 января 1944 года был построен макет модифицированного самолета Пе-8, который представлял собой носовую часть фюзеляжа Ф-1 и среднюю фюзеляжную часть центроплана до разъема с Ф-3. На макете были отражены оборудование штурманской кабины, оборудование пилотского отсека, оборудование пульта механика, радиооборудование, рабочее место радиста, расположение балочных бомбодержателей, габариты основного бомбового отсека и люков для светобомб.</w:t>
      </w:r>
    </w:p>
    <w:p w14:paraId="5E09F468" w14:textId="77777777" w:rsidR="00DF6978" w:rsidRPr="007224C3" w:rsidRDefault="00DF6978" w:rsidP="007224C3">
      <w:pPr>
        <w:pStyle w:val="ae"/>
        <w:shd w:val="clear" w:color="auto" w:fill="FFFFFF"/>
        <w:spacing w:before="0" w:after="0"/>
        <w:jc w:val="both"/>
        <w:rPr>
          <w:color w:val="000000" w:themeColor="text1"/>
          <w:sz w:val="16"/>
          <w:szCs w:val="16"/>
        </w:rPr>
      </w:pPr>
      <w:r w:rsidRPr="007224C3">
        <w:rPr>
          <w:color w:val="000000" w:themeColor="text1"/>
          <w:sz w:val="16"/>
          <w:szCs w:val="16"/>
        </w:rPr>
        <w:t>Макетная комиссия, назначенная Приказом ГУ ИАС КА от 3 февраля 1944 года, под председательством генерала ИАС А.А.Лапина рассмотрела макет и соответствующим протоколом от 8 февраля 1944 года утвердила основное оборудование и его размещение.</w:t>
      </w:r>
    </w:p>
    <w:p w14:paraId="3EF2102D" w14:textId="77777777" w:rsidR="00DF6978" w:rsidRPr="007224C3" w:rsidRDefault="00DF6978" w:rsidP="007224C3">
      <w:pPr>
        <w:pStyle w:val="ae"/>
        <w:shd w:val="clear" w:color="auto" w:fill="FFFFFF"/>
        <w:spacing w:before="0" w:after="0"/>
        <w:jc w:val="both"/>
        <w:rPr>
          <w:color w:val="000000" w:themeColor="text1"/>
          <w:sz w:val="16"/>
          <w:szCs w:val="16"/>
        </w:rPr>
      </w:pPr>
      <w:r w:rsidRPr="007224C3">
        <w:rPr>
          <w:color w:val="000000" w:themeColor="text1"/>
          <w:sz w:val="16"/>
          <w:szCs w:val="16"/>
        </w:rPr>
        <w:t>Конкретные требования комиссии по перекомпоновке оборудования выполнялись в присутствии макетной комиссии (12187).</w:t>
      </w:r>
    </w:p>
    <w:p w14:paraId="67635261" w14:textId="77777777" w:rsidR="00DF6978" w:rsidRPr="007224C3" w:rsidRDefault="00DF6978" w:rsidP="007224C3">
      <w:pPr>
        <w:pStyle w:val="ae"/>
        <w:shd w:val="clear" w:color="auto" w:fill="FFFFFF"/>
        <w:spacing w:before="0" w:after="0"/>
        <w:jc w:val="both"/>
        <w:rPr>
          <w:color w:val="000000" w:themeColor="text1"/>
          <w:sz w:val="16"/>
          <w:szCs w:val="16"/>
        </w:rPr>
      </w:pPr>
    </w:p>
    <w:p w14:paraId="685C50BE" w14:textId="77777777" w:rsidR="00903E13" w:rsidRPr="007224C3" w:rsidRDefault="00903E1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15 января 1944 года макет модифицированного самолета Пе-8 был построен и представлял собой носовую часть фюзеляжа Ф-1 и среднюю фюзеляжную часть центроплана до разъема с Ф-3. На макете были отражены оборудование штурманской кабины, оборудование пилотского отсека, оборудование пульта механика радиооборудование, рабочее место радиста, расположение балочных бомбодержателей, габариты основного бомбового отсека и люков для светобомб.</w:t>
      </w:r>
    </w:p>
    <w:p w14:paraId="38926C61" w14:textId="77777777" w:rsidR="00903E13" w:rsidRPr="007224C3" w:rsidRDefault="00903E1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Макетная комиссия, назначенная Приказом ГУ НАС К А от 3 февраля 1944 года, под председательством генерала НАС А.А.Лапина рассмотрела макет и соответствующим протоколом от 8 февраля 1944 года утвердила основное оборудование и его размещение.</w:t>
      </w:r>
    </w:p>
    <w:p w14:paraId="64549988" w14:textId="77777777" w:rsidR="00903E13" w:rsidRPr="007224C3" w:rsidRDefault="00903E1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Конкретные требования комиссии по перекомпоновке оборудования выполнялись в присутствии макетной комиссии.</w:t>
      </w:r>
    </w:p>
    <w:p w14:paraId="1C92DD83" w14:textId="77777777" w:rsidR="00903E13" w:rsidRPr="007224C3" w:rsidRDefault="00903E1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Рассмотрение проекта модифицированного Пе-8 4М-82ФН ТК-3 в НКАП и последовавшее за ним постановление ГОКО от 20 февраля 1944 года потребовало дальнейших доработок проекта. В частности после обсуждения НКАП окончательно решено было ставить ТК, добавилось требование к увеличению огневой защиты спереди- снизу (по предложению Незваля) (21726).</w:t>
      </w:r>
    </w:p>
    <w:p w14:paraId="49489BAB" w14:textId="77777777" w:rsidR="00903E13" w:rsidRPr="007224C3" w:rsidRDefault="00903E13" w:rsidP="007224C3">
      <w:pPr>
        <w:pStyle w:val="ae"/>
        <w:spacing w:before="0" w:after="0"/>
        <w:jc w:val="both"/>
        <w:rPr>
          <w:color w:val="000000" w:themeColor="text1"/>
          <w:sz w:val="16"/>
          <w:szCs w:val="16"/>
        </w:rPr>
      </w:pPr>
    </w:p>
    <w:p w14:paraId="0188C7FD"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776CF8B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A8E937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января 1944 г. для проверки эффективности проводимых ОКР по увеличению бронепробиваемости 85-мм танковых пушек за счет увеличения начальной скорости снаряда на первом этапе до 900 - 950 м/с и в последующем до 1030 -1100 м/с (за счет увеличения длины ствола и применения нового заря</w:t>
      </w:r>
      <w:r w:rsidRPr="007224C3">
        <w:rPr>
          <w:rFonts w:ascii="Times New Roman" w:hAnsi="Times New Roman"/>
          <w:color w:val="000000" w:themeColor="text1"/>
          <w:sz w:val="16"/>
          <w:szCs w:val="16"/>
        </w:rPr>
        <w:softHyphen/>
        <w:t>да из трубчатого пороха. При начальной скорости снаряда 900 м/с на дальности 500 м бронебойный снаряд пробивал броневую плиту толщи</w:t>
      </w:r>
      <w:r w:rsidRPr="007224C3">
        <w:rPr>
          <w:rFonts w:ascii="Times New Roman" w:hAnsi="Times New Roman"/>
          <w:color w:val="000000" w:themeColor="text1"/>
          <w:sz w:val="16"/>
          <w:szCs w:val="16"/>
        </w:rPr>
        <w:softHyphen/>
        <w:t>ной 131 мм, расположенную вертикально, а при 1030 м/с - 160 мм) с опытно</w:t>
      </w:r>
      <w:r w:rsidRPr="007224C3">
        <w:rPr>
          <w:rFonts w:ascii="Times New Roman" w:hAnsi="Times New Roman"/>
          <w:color w:val="000000" w:themeColor="text1"/>
          <w:sz w:val="16"/>
          <w:szCs w:val="16"/>
        </w:rPr>
        <w:softHyphen/>
        <w:t>го танка "Объект 237" № 1 была демонтирована пушка Д-5Т-85, а вмес</w:t>
      </w:r>
      <w:r w:rsidRPr="007224C3">
        <w:rPr>
          <w:rFonts w:ascii="Times New Roman" w:hAnsi="Times New Roman"/>
          <w:color w:val="000000" w:themeColor="text1"/>
          <w:sz w:val="16"/>
          <w:szCs w:val="16"/>
        </w:rPr>
        <w:softHyphen/>
        <w:t>то нее установлена пушка Д-5Т-85БМ с бронировкой амбразуры от тан</w:t>
      </w:r>
      <w:r w:rsidRPr="007224C3">
        <w:rPr>
          <w:rFonts w:ascii="Times New Roman" w:hAnsi="Times New Roman"/>
          <w:color w:val="000000" w:themeColor="text1"/>
          <w:sz w:val="16"/>
          <w:szCs w:val="16"/>
        </w:rPr>
        <w:softHyphen/>
        <w:t>ка ИС-2 и с опытным телескопическим шарнирным прицелом ПТ-8 че</w:t>
      </w:r>
      <w:r w:rsidRPr="007224C3">
        <w:rPr>
          <w:rFonts w:ascii="Times New Roman" w:hAnsi="Times New Roman"/>
          <w:color w:val="000000" w:themeColor="text1"/>
          <w:sz w:val="16"/>
          <w:szCs w:val="16"/>
        </w:rPr>
        <w:softHyphen/>
        <w:t>тырехкратного увеличения (10703).</w:t>
      </w:r>
    </w:p>
    <w:p w14:paraId="3ABB514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F2B15D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15 января 1944 на заводе № 92 была собрана первая пушка С-53, которая отличалась от опытного образца, прежде всего, литой (а не сварной) конструкцией люльки и муфтовым (вместо резьбового) соединением ствола пушки с казенником. В период с 16 по 17 января 1944 г. пушка прошла испытания стрельбой на ГАНИОПе, во время которых произошло заклинивание поршня тормоза отката. Пушка была отправлена на доработку. На этот раз, на заводе М» 92 была изменена конструкция противооткатных устройств и произведена доработка отдельных деталей пушки С-53. Вот почему заслуги заводчан в усовершенствовании конструкции орудия были отмечены и в ее официальном названии с началом серийного производства на заводе № 92 (завод , Сталина) пушка получила наименование ЗИС-С-53. 23 января 1944 г. постановлением ГКО танк Т-34, оснащенный 85-мм пушкой ЗИС-С-53 под маркой Т-34-85 был принят на вооружение Красной Армии (10703).</w:t>
      </w:r>
    </w:p>
    <w:p w14:paraId="72F0F61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1F057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января 1944 началось серийное производство орудий С-53 и тут случилось ЧП. В ходе испы</w:t>
      </w:r>
      <w:r w:rsidRPr="007224C3">
        <w:rPr>
          <w:rFonts w:ascii="Times New Roman" w:hAnsi="Times New Roman"/>
          <w:color w:val="000000" w:themeColor="text1"/>
          <w:sz w:val="16"/>
          <w:szCs w:val="16"/>
        </w:rPr>
        <w:softHyphen/>
        <w:t>таний на отказ на 470-м выстреле у орудия заклинило тормоз отката. ЦАКБ «умыло руки», так как серийное орудие в ме</w:t>
      </w:r>
      <w:r w:rsidRPr="007224C3">
        <w:rPr>
          <w:rFonts w:ascii="Times New Roman" w:hAnsi="Times New Roman"/>
          <w:color w:val="000000" w:themeColor="text1"/>
          <w:sz w:val="16"/>
          <w:szCs w:val="16"/>
        </w:rPr>
        <w:softHyphen/>
        <w:t>лочах сильно отличалось от разработанного здесь. Поэтому исправлять указанный дефект пришлось заводскому КБ.</w:t>
      </w:r>
    </w:p>
    <w:p w14:paraId="3E225A9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Именения, внесенные ОКБ-92 в противооткатный меха</w:t>
      </w:r>
      <w:r w:rsidRPr="007224C3">
        <w:rPr>
          <w:rFonts w:ascii="Times New Roman" w:hAnsi="Times New Roman"/>
          <w:color w:val="000000" w:themeColor="text1"/>
          <w:sz w:val="16"/>
          <w:szCs w:val="16"/>
        </w:rPr>
        <w:softHyphen/>
        <w:t>низм С-53, оказались действенными и 30 января указанная пушка прошла отстрел как в штатной, так и в увеличенной башне Т-34, после чего ее производству была дана «зеленая улица». Новые орудия были очень дешевы и просты в массо</w:t>
      </w:r>
      <w:r w:rsidRPr="007224C3">
        <w:rPr>
          <w:rFonts w:ascii="Times New Roman" w:hAnsi="Times New Roman"/>
          <w:color w:val="000000" w:themeColor="text1"/>
          <w:sz w:val="16"/>
          <w:szCs w:val="16"/>
        </w:rPr>
        <w:softHyphen/>
        <w:t>вом производстве, тем более что серийное орудие имело цельнолитую люльку и муфтовое соединение ствола с казен</w:t>
      </w:r>
      <w:r w:rsidRPr="007224C3">
        <w:rPr>
          <w:rFonts w:ascii="Times New Roman" w:hAnsi="Times New Roman"/>
          <w:color w:val="000000" w:themeColor="text1"/>
          <w:sz w:val="16"/>
          <w:szCs w:val="16"/>
        </w:rPr>
        <w:softHyphen/>
        <w:t>ником. Вполне понятно, что вскоре масштабы их производ</w:t>
      </w:r>
      <w:r w:rsidRPr="007224C3">
        <w:rPr>
          <w:rFonts w:ascii="Times New Roman" w:hAnsi="Times New Roman"/>
          <w:color w:val="000000" w:themeColor="text1"/>
          <w:sz w:val="16"/>
          <w:szCs w:val="16"/>
        </w:rPr>
        <w:softHyphen/>
        <w:t>ства превысили Д-5, которые целиком съедала программа из</w:t>
      </w:r>
      <w:r w:rsidRPr="007224C3">
        <w:rPr>
          <w:rFonts w:ascii="Times New Roman" w:hAnsi="Times New Roman"/>
          <w:color w:val="000000" w:themeColor="text1"/>
          <w:sz w:val="16"/>
          <w:szCs w:val="16"/>
        </w:rPr>
        <w:softHyphen/>
        <w:t>готовления самоходно-артиллерийских установок СУ-85 (11135).</w:t>
      </w:r>
    </w:p>
    <w:p w14:paraId="46F90B1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B2B8E2E" w14:textId="77777777" w:rsidR="00DF6978" w:rsidRPr="007224C3" w:rsidRDefault="00DF6978" w:rsidP="007224C3">
      <w:pPr>
        <w:pStyle w:val="a3"/>
        <w:rPr>
          <w:color w:val="000000" w:themeColor="text1"/>
          <w:lang w:val="ru-RU"/>
        </w:rPr>
      </w:pPr>
      <w:r w:rsidRPr="007224C3">
        <w:rPr>
          <w:color w:val="000000" w:themeColor="text1"/>
          <w:lang w:val="ru-RU"/>
        </w:rPr>
        <w:t>15 января 1944 Сталин вновь подробно расспросил Малышева о характеристиках Т-44 и сказал: «Так это будет очень хороший танк. Вы держите меня в курсе дела». 3 февраля Сталин просил Малышева ускорить испытания танка и подготовить предложения по его производству. 13 февраля Сталин от просьб перешёл к обвинениям: «тов. Сталин сказал, что мы затягиваем дело с этим танком, и предложил ускорить испытания и начать производство танков Т-44. Исключительно тяжелые задачи. Не знаю даже, как их можно выполнить. Сейчас буду советоваться с директорами заводов» («Пройдёт десяток лет, и этих встреч не восстановишь уже в памяти»//Источник. №5. 1997. С. 125).</w:t>
      </w:r>
    </w:p>
    <w:p w14:paraId="30FA5B38" w14:textId="77777777" w:rsidR="00DF6978" w:rsidRPr="007224C3" w:rsidRDefault="00DF6978" w:rsidP="007224C3">
      <w:pPr>
        <w:pStyle w:val="a3"/>
        <w:rPr>
          <w:color w:val="000000" w:themeColor="text1"/>
          <w:lang w:val="ru-RU"/>
        </w:rPr>
      </w:pPr>
      <w:r w:rsidRPr="007224C3">
        <w:rPr>
          <w:color w:val="000000" w:themeColor="text1"/>
          <w:lang w:val="ru-RU"/>
        </w:rPr>
        <w:t>Но, когда танк был готов, Сталин и Малышев, видимо, так и не решились перестраивать для его производства основные танкостроительные предприятия (12290).</w:t>
      </w:r>
    </w:p>
    <w:p w14:paraId="0F8A4B63" w14:textId="77777777" w:rsidR="00DF6978" w:rsidRPr="007224C3" w:rsidRDefault="00DF6978" w:rsidP="007224C3">
      <w:pPr>
        <w:pStyle w:val="a3"/>
        <w:rPr>
          <w:color w:val="000000" w:themeColor="text1"/>
          <w:lang w:val="ru-RU"/>
        </w:rPr>
      </w:pPr>
    </w:p>
    <w:p w14:paraId="477AD8D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января 1944 г. была подготовлена ДОКЛАДНАЯ ЗАПИСКА ЗАМЕСТИТЕЛЯ КОМАНДУЮЩЕГО БТ и МВ КА ЧЛЕНУ ГКО Л.П.БЕРИИ О ХОДЕ ВЫПОЛНЕНИЯ ПОСТАНОВЛЕНИЯ ГКО ПО ИЗГОТОВЛЕНИЮ ЭЛЕКТРОТРАНСМИССИИ ДЛЯ ТАНКА КВ № 520260</w:t>
      </w:r>
    </w:p>
    <w:p w14:paraId="4EDDEC6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Докладываю о ходе выполнения Постановления ГОКО №3774с от 20 июля 1943 г. заводом №627 Наркомэлектропрома по изготовлению электротрансмиссии для танка КВ.</w:t>
      </w:r>
    </w:p>
    <w:p w14:paraId="32C2F0A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период с 23 по 25 декабря 1943 г. на заводе № 627 производились стендовые испытания элек</w:t>
      </w:r>
      <w:r w:rsidRPr="007224C3">
        <w:rPr>
          <w:rFonts w:ascii="Times New Roman" w:hAnsi="Times New Roman"/>
          <w:color w:val="000000" w:themeColor="text1"/>
          <w:sz w:val="16"/>
          <w:szCs w:val="16"/>
        </w:rPr>
        <w:softHyphen/>
        <w:t>тродвигателей и бортовых редукторов к ним.</w:t>
      </w:r>
    </w:p>
    <w:p w14:paraId="7B970A3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 время испытаний, после 3,5 часов работы на стенде, в одном бортовом редукторе произошла поломка зубьев солнечной шестерни.</w:t>
      </w:r>
    </w:p>
    <w:p w14:paraId="6C6FA7C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 втором редукторе, при вскрытии его, обнаружен большой износ зубьев солнечной шестерни.</w:t>
      </w:r>
    </w:p>
    <w:p w14:paraId="1283BE4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настоящее время завод №627 принимает меры к быстрейшему восстановлению бортовых редукторов, после чего будут продолжены стендовые испытания.</w:t>
      </w:r>
    </w:p>
    <w:p w14:paraId="63278CE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сообщению директора завода №627 т. Иосифья стендовые испытания электротрансмиссии предполагается окончить к 15 февраля 1944 г., после этого электротрансмиссия будет подвергнута ходовым испытаниям.</w:t>
      </w:r>
    </w:p>
    <w:p w14:paraId="7F561F7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Заместитель командующего БТ и МВ Красной Армии генерал-лейтенант танковых войск Коробков</w:t>
      </w:r>
    </w:p>
    <w:p w14:paraId="2602CB8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Член военного совета генерал-лейтенант танковых войск Бирюков</w:t>
      </w:r>
    </w:p>
    <w:p w14:paraId="544636F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38. Оп. 11355. Д. 2722. Л. 9. Копия (11403).</w:t>
      </w:r>
    </w:p>
    <w:p w14:paraId="24B8259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7869C4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января 1944 г. была подготовлена ЗАЯВКА ЗАМЕСТИТЕЛЯ КОМАНДУЮЩЕГО БТ и МВ КА ПО АРТИЛЛЕРИИ НАРКОМУ ВООРУЖЕНИЯ СССР УСТИНОВУ И НАЧАЛЬНИКУ ГАУ КА ЯКОВЛЕВУ О ВКЛЮЧЕНИИ В ПЛАН ОПЫТНЫХ РАБОТ НКВ И ГАУ НА 1944 ГОД НОВЫХ ТЕМ</w:t>
      </w:r>
    </w:p>
    <w:p w14:paraId="1225E66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целях дальнейшего усиления вооружения танков и самоходов прошу включить в план опыт</w:t>
      </w:r>
      <w:r w:rsidRPr="007224C3">
        <w:rPr>
          <w:rFonts w:ascii="Times New Roman" w:hAnsi="Times New Roman"/>
          <w:color w:val="000000" w:themeColor="text1"/>
          <w:sz w:val="16"/>
          <w:szCs w:val="16"/>
        </w:rPr>
        <w:softHyphen/>
        <w:t>ных работ НКВ и ГАУ на 1944 год следующие темы:</w:t>
      </w:r>
    </w:p>
    <w:p w14:paraId="5305918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Модернизация 85-мм танковой и самоходной пушки Д-5 с увеличением начальной скорости снаряда до 900-1000 м/с.</w:t>
      </w:r>
    </w:p>
    <w:p w14:paraId="17ACCF2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Разработка 76-мм полуавтоматической танковой и самоходной пушки с начальной скоростью снаряда не менее 1000 м/с.</w:t>
      </w:r>
    </w:p>
    <w:p w14:paraId="5B9395E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Разработка клинового полуавтоматического затвора для 122-мм пушки Д-25 и 152-мм пушки-гаубицы МЛ-20.</w:t>
      </w:r>
    </w:p>
    <w:p w14:paraId="47E9D7F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Разработка 122-мм пушки с начальной скоростью снаряда 950-1000 м/с для установки в само</w:t>
      </w:r>
      <w:r w:rsidRPr="007224C3">
        <w:rPr>
          <w:rFonts w:ascii="Times New Roman" w:hAnsi="Times New Roman"/>
          <w:color w:val="000000" w:themeColor="text1"/>
          <w:sz w:val="16"/>
          <w:szCs w:val="16"/>
        </w:rPr>
        <w:softHyphen/>
        <w:t>ход ИС-152.</w:t>
      </w:r>
    </w:p>
    <w:p w14:paraId="710F08E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Разработка 152-мм пушки с баллистикой пушки БР-2 и клиновым затвором.</w:t>
      </w:r>
    </w:p>
    <w:p w14:paraId="68D56E8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Разработка 100-мм пушки с начальной скоростью снаряда 900 м/с с клиновым полуавтомати</w:t>
      </w:r>
      <w:r w:rsidRPr="007224C3">
        <w:rPr>
          <w:rFonts w:ascii="Times New Roman" w:hAnsi="Times New Roman"/>
          <w:color w:val="000000" w:themeColor="text1"/>
          <w:sz w:val="16"/>
          <w:szCs w:val="16"/>
        </w:rPr>
        <w:softHyphen/>
        <w:t>ческим затвором для установки в танк ИС.</w:t>
      </w:r>
    </w:p>
    <w:p w14:paraId="5EFDADA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Разработка более совершенных механических и электромагнитных спусков для танковых и самоходных артсистем.</w:t>
      </w:r>
    </w:p>
    <w:p w14:paraId="44FC72A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Разработка приспособлений для продувки канала ствола после выстрела у танковых и само</w:t>
      </w:r>
      <w:r w:rsidRPr="007224C3">
        <w:rPr>
          <w:rFonts w:ascii="Times New Roman" w:hAnsi="Times New Roman"/>
          <w:color w:val="000000" w:themeColor="text1"/>
          <w:sz w:val="16"/>
          <w:szCs w:val="16"/>
        </w:rPr>
        <w:softHyphen/>
        <w:t>ходных артсистем.</w:t>
      </w:r>
    </w:p>
    <w:p w14:paraId="23C7625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Механизация подачи боеприпасов и заряжания в тяжелых танках и самоходных установках (85, 122 и 152-мм).</w:t>
      </w:r>
    </w:p>
    <w:p w14:paraId="331445C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Разработка зенитной установки 37-мм автоматической пушки обр. 1939 г. и морской 37-мм пушки 70к на шасси СУ-76.</w:t>
      </w:r>
    </w:p>
    <w:p w14:paraId="2BC5902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Разработка смотрового перископа для самоходов на базе «Перископа разведчика» ТР с пере</w:t>
      </w:r>
      <w:r w:rsidRPr="007224C3">
        <w:rPr>
          <w:rFonts w:ascii="Times New Roman" w:hAnsi="Times New Roman"/>
          <w:color w:val="000000" w:themeColor="text1"/>
          <w:sz w:val="16"/>
          <w:szCs w:val="16"/>
        </w:rPr>
        <w:softHyphen/>
        <w:t>менным увеличением 1-х и 4-х при поле зрения 50°-60° и 15° соответственно.</w:t>
      </w:r>
    </w:p>
    <w:p w14:paraId="5538E09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Разработка ломающихся прицепов 2,5-х и 4-х увеличения для танковых и самоходных артси</w:t>
      </w:r>
      <w:r w:rsidRPr="007224C3">
        <w:rPr>
          <w:rFonts w:ascii="Times New Roman" w:hAnsi="Times New Roman"/>
          <w:color w:val="000000" w:themeColor="text1"/>
          <w:sz w:val="16"/>
          <w:szCs w:val="16"/>
        </w:rPr>
        <w:softHyphen/>
        <w:t>стем (76-мм, 85-мм, 122-мм и 152-мм).</w:t>
      </w:r>
    </w:p>
    <w:p w14:paraId="020DF82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Ваши замечания и решения по данным вопросам прошу сообщить.</w:t>
      </w:r>
    </w:p>
    <w:p w14:paraId="6CF6839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Заместитель командующего БТ и МВ КА по артиллерии генерал-лейтенант артиллерии Таранович</w:t>
      </w:r>
    </w:p>
    <w:p w14:paraId="4823A00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38. Оп. 11369. Д. 492. Л. 1-2. Копия (11403).</w:t>
      </w:r>
    </w:p>
    <w:p w14:paraId="19C04C9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01483C3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января 1944 вышло Постановление ГКО № 4952 О неудовлетворительном снабжении природным газом саратовских электростанций. РГАНИР, Фонд ГКО, д. 192, лл. 1-2 (11012).</w:t>
      </w:r>
    </w:p>
    <w:p w14:paraId="4B39E1C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0696FE5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января 1944 г. И.К. Кикоиным организовано Отделение молекулярной физики, основной задачей которого стало разделение изотопов урана с целью получения оружейного U-235. Была создана газодиффузионная технология разделения. Позднее Отделение преобразовано в ИМФ. В 1950-е г. были возобновлены работы по газовым центрифугам, которые доведены до серийного производства. В соответствии с пост. ГКО от 15.03.1944 г. в Ленинграде образован филиал лаборатории № 2, который возглавил И.К. Кикоин (11982).</w:t>
      </w:r>
    </w:p>
    <w:p w14:paraId="69A8F2C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1769097" w14:textId="77777777" w:rsidR="00F3706C" w:rsidRPr="007224C3" w:rsidRDefault="00F3706C"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15 января</w:t>
      </w:r>
      <w:r w:rsidRPr="007224C3">
        <w:rPr>
          <w:rFonts w:ascii="Times New Roman" w:hAnsi="Times New Roman"/>
          <w:color w:val="000000" w:themeColor="text1"/>
          <w:sz w:val="16"/>
          <w:szCs w:val="16"/>
        </w:rPr>
        <w:t xml:space="preserve"> в 1944 году создано отделение молекулярной физики Института атомной энергии имени И.В.Курчатова, на основе которого впоследствии был образован Институт молекулярной физики РНЦ "Курчатовский институт».</w:t>
      </w:r>
    </w:p>
    <w:p w14:paraId="0C95B199" w14:textId="77777777" w:rsidR="00F3706C" w:rsidRPr="007224C3" w:rsidRDefault="00F3706C" w:rsidP="007224C3">
      <w:pPr>
        <w:spacing w:after="0" w:line="240" w:lineRule="auto"/>
        <w:jc w:val="both"/>
        <w:rPr>
          <w:rFonts w:ascii="Times New Roman" w:hAnsi="Times New Roman"/>
          <w:color w:val="000000" w:themeColor="text1"/>
          <w:sz w:val="16"/>
          <w:szCs w:val="16"/>
        </w:rPr>
      </w:pPr>
    </w:p>
    <w:p w14:paraId="65CAEBA8"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34BF8B4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34E4D27" w14:textId="77777777" w:rsidR="00184F39" w:rsidRPr="007224C3" w:rsidRDefault="00184F39"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15 января</w:t>
      </w:r>
      <w:r w:rsidRPr="007224C3">
        <w:rPr>
          <w:rFonts w:ascii="Times New Roman" w:hAnsi="Times New Roman"/>
          <w:color w:val="000000" w:themeColor="text1"/>
          <w:sz w:val="16"/>
          <w:szCs w:val="16"/>
        </w:rPr>
        <w:t xml:space="preserve"> в 1944 году оперативная сводка Совинформбюро:</w:t>
      </w:r>
    </w:p>
    <w:p w14:paraId="5DF29367" w14:textId="77777777" w:rsidR="00184F39" w:rsidRPr="007224C3" w:rsidRDefault="00184F3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15 января западнее и северо-западнее города Калинковичи наши войска с боями продвигались вперёд и выбили противника из нескольких населённых пунктов.</w:t>
      </w:r>
    </w:p>
    <w:p w14:paraId="3E0DC623" w14:textId="77777777" w:rsidR="00184F39" w:rsidRPr="007224C3" w:rsidRDefault="00184F3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Восточнее Винницы и севернее Умани наши войска отбивали контратаки крупныхсил пехоты и танков противника и нанесли ему большие потери в живой cиле итехнике.</w:t>
      </w:r>
    </w:p>
    <w:p w14:paraId="3176FFE3" w14:textId="77777777" w:rsidR="00184F39" w:rsidRPr="007224C3" w:rsidRDefault="00184F3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в ряде пунктов бои местного значения.</w:t>
      </w:r>
    </w:p>
    <w:p w14:paraId="3D4372C5" w14:textId="77777777" w:rsidR="00184F39" w:rsidRPr="007224C3" w:rsidRDefault="00184F3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В течение 14 января наши войска на всех фронтах подбили и уничтожили 111 немецких танков. В воздушных боях и огнём зенитной артиллерии сбито 42 самолёта противника.</w:t>
      </w:r>
    </w:p>
    <w:p w14:paraId="5F96B818" w14:textId="77777777" w:rsidR="00184F39" w:rsidRPr="007224C3" w:rsidRDefault="00184F3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и северо-западнее города Калинковичи наши войска с боямипродвигались вперёд. В последние дни противник понёс огромные потери и сегодня пытался под прикрытием артиллерийско-миномётного огня перегруппировать силы и привести себя в порядок. Не давая врагу опомниться, бойцы Н-ского соединения наносили немцам непрерывные удары и заняли ряд населённых пунктов. В одном районе советские кавалеристы прорвались в тыл противника и разгромили колонну гитлеровцев. Наши войска за день боёв уничтожили 1.500 немецких солдат иофицеров, сожгли 16 танков и 4 самоходных орудия. Захвачено у немцев 28 орудий, 3 склада с боеприпасами, вещевой склад, 40 железнодорожных вагонов, 200 повозок с грузами и другие трофеи.</w:t>
      </w:r>
    </w:p>
    <w:p w14:paraId="34216A54" w14:textId="77777777" w:rsidR="00184F39" w:rsidRPr="007224C3" w:rsidRDefault="00184F3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Советская авиация активно поддерживала действия наземных войск. Прямыми попаданиями бомб наши лётчики уничтожили немецкий бронепоезд.</w:t>
      </w:r>
    </w:p>
    <w:p w14:paraId="00F8EACB" w14:textId="77777777" w:rsidR="00184F39" w:rsidRPr="007224C3" w:rsidRDefault="00184F3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Восточнее Винницы и севернее Умани наши войска продолжали вести ожесточённые бои. Крупные силы пехоты и танков противника предприняли контратаку против частей Н-ского соединения. Несмотря на огромные потери, гитлеровцы лезли вперёд, стремясь любой ценой пробить брешь в советской обороне. Создав плотную огневую завесу, наши войска выдержали натиск противника и вынудили его отступить на исходные рубежи. Вскоре немцы, перегруппировав свои силы, опять перешли в атаку, но и на этот раз не добились успеха. Небольшая группа вражеских танков, прорвавшаяся к одному населённому пункту, была уничтожена нашими танками и самоходными орудиями, находившимися в засаде. В течение дня подбито и сожжено 70 немецких танков, 11 самоходных орудий и 16 бронетранспортёров. Уничтожено до 2.000 солдат и офицеров противника.</w:t>
      </w:r>
    </w:p>
    <w:p w14:paraId="68540BCA" w14:textId="77777777" w:rsidR="00184F39" w:rsidRPr="007224C3" w:rsidRDefault="00184F3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Чёрном море потоплены две быстроходные десантные баржи противника.</w:t>
      </w:r>
    </w:p>
    <w:p w14:paraId="7B553E5D" w14:textId="77777777" w:rsidR="00184F39" w:rsidRPr="007224C3" w:rsidRDefault="00184F3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Партизанские отряды имени 24 годовщины Красной Армии, имени Ворошилова иимени Будённого, действующие в Ровенской области, нанесли отступающим немцам внезапный удар. Партизаны разгромили батальон вражеской пехоты и заняли несколько населённых пунктов. Советские патриоты освободили тысячи советских граждан, которых немцы угоняли на каторгу в Германию.</w:t>
      </w:r>
    </w:p>
    <w:p w14:paraId="1046765E" w14:textId="77777777" w:rsidR="00184F39" w:rsidRPr="007224C3" w:rsidRDefault="00184F3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Перешедший на сторону Красной Армии ефрейтор 208 полка 79 немецкой пехотнойдивизии Ганс П. рассказал: «Наша дивизия потерпела тягчайшее поражение. Два полка — 226 и 212 — были уничтожены, а их обозы попали в руки русских. Крупные потери понёс и 208 полк. В его составе остался батальон численностью в 200 человек. Кроме того, из солдат нестроевых команд и обозов дивизии была создана «боевая группа», которой командовал капитан Винде. Это было всё, чем располагала дивизия. В последнем бою русские захватили в плен всех солдат «боевой группы». Был разгромлен и только что прибывший на фронт маршевый батальон, укомплектованный солдатами, призванными по тотальной мобилизации. Они плохо обучены военному делу и не хотят воевать. Теперь вся 79 дивизия кормится из двух полевых кухонь. После всего того, что мне довелось видеть и пережить в России, я понял, что Германия проиграла войну. Я решил, что продолжать борьбу бессмысленно, и перешёл на сторону русских».</w:t>
      </w:r>
    </w:p>
    <w:p w14:paraId="7A379BEF" w14:textId="77777777" w:rsidR="00184F39" w:rsidRPr="007224C3" w:rsidRDefault="00184F3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Жители деревни Еловка, Калининской области, Анастасия Фролова и Екатерина Горячева рассказали о кровавой расправе немецко-фашистских мерзавцев с мирными советскими гражданами: «Вечером седьмого ноября 1943 года в деревню Еловка прибыл немецкий карательный отряд. Гитлеровцы устроили облаву, схватили 30 человек и загнали в дом Дорофея Фролова. Через некоторое время один немец крикнул: «По два человека выходи!».</w:t>
      </w:r>
    </w:p>
    <w:p w14:paraId="42660AF9" w14:textId="77777777" w:rsidR="00184F39" w:rsidRPr="007224C3" w:rsidRDefault="00184F3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Первым вышел старик Дорофей Фролов. На наших глазах немцы пристрелили его изавтомата. Вслед за Фроловым вышла семнадцатилетняя Евгения Шалд и шестилетняя Валентина Студёнова. Они также были расстреляны немцами. После этого немцы подожгли дом, а по окнам открыли стрельбу из автоматов. В огне погибли: Иван Фролов — 13 лет, Вера Шалд — 22 лет, Любовь Шалд — 16 лет, Валентина Шалд — 6 лет, Фёкла Фролова — 30 лет, Галина Фролова — 2 лет, Александра Фролова — 22 лет, Надежда Фролова — 6 лет и другие жители деревни» (15010).</w:t>
      </w:r>
    </w:p>
    <w:p w14:paraId="5FBFC2B4" w14:textId="77777777" w:rsidR="00184F39" w:rsidRPr="007224C3" w:rsidRDefault="00184F39" w:rsidP="007224C3">
      <w:pPr>
        <w:spacing w:after="0" w:line="240" w:lineRule="auto"/>
        <w:jc w:val="both"/>
        <w:rPr>
          <w:rFonts w:ascii="Times New Roman" w:hAnsi="Times New Roman"/>
          <w:color w:val="000000" w:themeColor="text1"/>
          <w:sz w:val="16"/>
          <w:szCs w:val="16"/>
        </w:rPr>
      </w:pPr>
    </w:p>
    <w:p w14:paraId="5A9D61D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января 1944 войска 2-го Украинского фронта начали наступление в направлении Ново- украинки. Прикрывая выдвижение пехоты и танков, Ил-2 1-го шак в 8.50 поставили дымовые завесы. Через 10 минут 6 девяток Пе-2 от 1-го бак бомбили войска противника в районе Большой Виски, Благодатное, Новоалександровка. В 9.50-10.40 четыре девятки Ил-2 нанесли бомбоштурмовые удары в районе Андреевка, Александровка, Ов- сяниковка. В 10.15-10.30 две девятки Пе-2 "отработали" по позициям противника в районе Марьяновка, Федоровка. Одновременно с авиацией действовала артиллерия, а затем вперед пошла пехота и танки, которых поддерживали штурмовики 1 -го шак.</w:t>
      </w:r>
    </w:p>
    <w:p w14:paraId="62BF1E8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На протяжении всего дня группы Ил-2 "проталкивали" войска через оборону противника. Например, в середине дня 7 Ил-2 от 800-го шап (ведущий капитан Пошиваль- ников) атаковали узел сопротивления противника на восточной окраине Александ- ровки. Летчики выполнили три захода и подожгли несколько автомашин, уничтожили до двух взводов пехоты. В 13.15-13.30 </w:t>
      </w:r>
    </w:p>
    <w:p w14:paraId="59037F2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Ил-2 от 667-го шап (ведущий ст. лейтенант Лопатин) штурмовали опорный пункт в районе Новоалександровки. После атаки штурмовиков наземные части подтвердили уничтожение трех автомашин, одного танка и батареи полевой артиллерии. Этой группе пришлось вступить в воздушный бой с четырьмя Bf 109, в котором удалось, не понеся потерь, сбить один "мессер".</w:t>
      </w:r>
    </w:p>
    <w:p w14:paraId="7630FD8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Несмотря на то, что уже в первый день наступления войска фронта овладели районом Благодатное-Ивановка, добиться перелома все же не удалось. Более того, немцы почти непрерывно контратаковали. Вдобавок 18 января испортилась погода. Резко потеплело, нижняя кромка облаков опустилась до 100-300 м, видимость упала до 500 м и менее, почти постоянно лил дождь или висел туман. Аэродромы размокли. От 5-й ВА могли работать только штурмовики парами и звеньями из наиболее опытных экипажей. В основном Ил-2 действовали над полем боя и в ближайшем тылу противника, осуществляя свободный поиск целей (12020).</w:t>
      </w:r>
    </w:p>
    <w:p w14:paraId="507A735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04A7A80D" w14:textId="77777777" w:rsidR="009B6B5E" w:rsidRPr="007224C3" w:rsidRDefault="009B6B5E"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 xml:space="preserve">15 января 1944 года. 49-й гв. тп (точнее, к тому времени уже 49-й гв. ттп </w:t>
      </w:r>
      <w:r w:rsidRPr="007224C3">
        <w:rPr>
          <w:rFonts w:ascii="Times New Roman" w:eastAsia="Times New Roman" w:hAnsi="Times New Roman"/>
          <w:iCs/>
          <w:color w:val="000000" w:themeColor="text1"/>
          <w:sz w:val="16"/>
          <w:szCs w:val="16"/>
          <w:lang w:eastAsia="ru-RU"/>
        </w:rPr>
        <w:t>—</w:t>
      </w:r>
      <w:r w:rsidRPr="007224C3">
        <w:rPr>
          <w:rFonts w:ascii="Times New Roman" w:eastAsia="Times New Roman" w:hAnsi="Times New Roman"/>
          <w:color w:val="000000" w:themeColor="text1"/>
          <w:sz w:val="16"/>
          <w:szCs w:val="16"/>
          <w:lang w:eastAsia="ru-RU"/>
        </w:rPr>
        <w:t xml:space="preserve"> гвардейский тяжелый танковый полк) на Черчилях участвовал в окончательном снятии блокады Ленинграда. Для восполнения потерь 25 января полк получил 23 БТ-5 и 3 БТ-7. В таком крайне странном составе полк сражался до середины февраля 1944 года. К этому моменту в его составе находилось 13 «Черчиллей» и 16 БТ. Далее полк отправили в Тулу для получения тяжелых танков ИС-2 (17691).</w:t>
      </w:r>
    </w:p>
    <w:p w14:paraId="2EE6AD3A" w14:textId="77777777" w:rsidR="009B6B5E" w:rsidRPr="007224C3" w:rsidRDefault="009B6B5E" w:rsidP="007224C3">
      <w:pPr>
        <w:spacing w:after="0" w:line="240" w:lineRule="auto"/>
        <w:jc w:val="both"/>
        <w:rPr>
          <w:rFonts w:ascii="Times New Roman" w:eastAsia="Times New Roman" w:hAnsi="Times New Roman"/>
          <w:color w:val="000000" w:themeColor="text1"/>
          <w:sz w:val="16"/>
          <w:szCs w:val="16"/>
          <w:lang w:eastAsia="ru-RU"/>
        </w:rPr>
      </w:pPr>
    </w:p>
    <w:p w14:paraId="62904DE1"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Внешняя политика:</w:t>
      </w:r>
    </w:p>
    <w:p w14:paraId="5508995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5EF67F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января 1944 года было получено:</w:t>
      </w:r>
    </w:p>
    <w:p w14:paraId="0C741B8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ЛИЧНОЕ ПОСЛАНИЕ ОТ г-на УИНСТОНА ЧЕРЧИЛЛЯ ДЛЯ МАРШАЛА СТАЛИНА</w:t>
      </w:r>
    </w:p>
    <w:p w14:paraId="5D51486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Ноты, обещанные в Вашем послании от 2 января, в настоящее время получены, и Гимн будет исполнен полным симфоническим оркестром Британской Радиовещательной Корпорации перед передачей известий в 9 часов вечера в воскресенье (7430).</w:t>
      </w:r>
    </w:p>
    <w:p w14:paraId="1254B93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526C97"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101CAF2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777496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января 1944 Европейская консультативная комиссия решила разделить Германию на части (2100).</w:t>
      </w:r>
    </w:p>
    <w:p w14:paraId="7647A1A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12389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января 1944 RAF сбросил на Берлин 2800 т бомб (2247,1).</w:t>
      </w:r>
    </w:p>
    <w:p w14:paraId="17121BD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C24A1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January 15, 1944: In Italy, French troops under General Juin capture Monte Santa Croce (3819).</w:t>
      </w:r>
    </w:p>
    <w:p w14:paraId="34A219E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9C92EF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января 1944 в Италии французские силы г Жупена заняли Монте санта Крос (3819).</w:t>
      </w:r>
    </w:p>
    <w:p w14:paraId="461C082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71D07B"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января 1944 на территории Китая, контролируемой коммунистами, японские диссиденты создали Японскую народно-освободительную Лигу (4962).</w:t>
      </w:r>
    </w:p>
    <w:p w14:paraId="7557D260"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52EA8F5"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2A14910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20D759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Примерно с середины января ме</w:t>
      </w:r>
      <w:r w:rsidRPr="007224C3">
        <w:rPr>
          <w:rFonts w:ascii="Times New Roman" w:hAnsi="Times New Roman"/>
          <w:color w:val="000000" w:themeColor="text1"/>
          <w:sz w:val="16"/>
          <w:szCs w:val="16"/>
        </w:rPr>
        <w:softHyphen/>
        <w:t>сяца 1944 вместо прежних обозначений опытных самолетов Ил-2 с мотором АМ-42 в переписке стали использо</w:t>
      </w:r>
      <w:r w:rsidRPr="007224C3">
        <w:rPr>
          <w:rFonts w:ascii="Times New Roman" w:hAnsi="Times New Roman"/>
          <w:color w:val="000000" w:themeColor="text1"/>
          <w:sz w:val="16"/>
          <w:szCs w:val="16"/>
        </w:rPr>
        <w:softHyphen/>
        <w:t>вать одно единственное наименова</w:t>
      </w:r>
      <w:r w:rsidRPr="007224C3">
        <w:rPr>
          <w:rFonts w:ascii="Times New Roman" w:hAnsi="Times New Roman"/>
          <w:color w:val="000000" w:themeColor="text1"/>
          <w:sz w:val="16"/>
          <w:szCs w:val="16"/>
        </w:rPr>
        <w:softHyphen/>
        <w:t>ние Ил-АМ-42 с добавлением штур</w:t>
      </w:r>
      <w:r w:rsidRPr="007224C3">
        <w:rPr>
          <w:rFonts w:ascii="Times New Roman" w:hAnsi="Times New Roman"/>
          <w:color w:val="000000" w:themeColor="text1"/>
          <w:sz w:val="16"/>
          <w:szCs w:val="16"/>
        </w:rPr>
        <w:softHyphen/>
        <w:t>мовик или разведчик-корректиров</w:t>
      </w:r>
      <w:r w:rsidRPr="007224C3">
        <w:rPr>
          <w:rFonts w:ascii="Times New Roman" w:hAnsi="Times New Roman"/>
          <w:color w:val="000000" w:themeColor="text1"/>
          <w:sz w:val="16"/>
          <w:szCs w:val="16"/>
        </w:rPr>
        <w:softHyphen/>
        <w:t>щик, иногда добавлялся номер за</w:t>
      </w:r>
      <w:r w:rsidRPr="007224C3">
        <w:rPr>
          <w:rFonts w:ascii="Times New Roman" w:hAnsi="Times New Roman"/>
          <w:color w:val="000000" w:themeColor="text1"/>
          <w:sz w:val="16"/>
          <w:szCs w:val="16"/>
        </w:rPr>
        <w:softHyphen/>
        <w:t>вода. Несколько позже Ил-2 АМ-42 (РК) завода № 240 стал обозначаться как Ил-АМ-42 экз. № 1 (или Ил экз. № 1 АМ-42), а Ил-2М - как Ил-АМ-42 экз. № 2 (или Ил экз. № 2 АМ-42).</w:t>
      </w:r>
    </w:p>
    <w:p w14:paraId="096501D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Несмотря на неустойчивую рабо</w:t>
      </w:r>
      <w:r w:rsidRPr="007224C3">
        <w:rPr>
          <w:rFonts w:ascii="Times New Roman" w:hAnsi="Times New Roman"/>
          <w:color w:val="000000" w:themeColor="text1"/>
          <w:sz w:val="16"/>
          <w:szCs w:val="16"/>
        </w:rPr>
        <w:softHyphen/>
        <w:t>ту мотора АМ-42, опытный развед</w:t>
      </w:r>
      <w:r w:rsidRPr="007224C3">
        <w:rPr>
          <w:rFonts w:ascii="Times New Roman" w:hAnsi="Times New Roman"/>
          <w:color w:val="000000" w:themeColor="text1"/>
          <w:sz w:val="16"/>
          <w:szCs w:val="16"/>
        </w:rPr>
        <w:softHyphen/>
        <w:t>чик-корректировщик Ил-АМ-42 (экз. № 1) все же сумел успешно завер</w:t>
      </w:r>
      <w:r w:rsidRPr="007224C3">
        <w:rPr>
          <w:rFonts w:ascii="Times New Roman" w:hAnsi="Times New Roman"/>
          <w:color w:val="000000" w:themeColor="text1"/>
          <w:sz w:val="16"/>
          <w:szCs w:val="16"/>
        </w:rPr>
        <w:softHyphen/>
        <w:t>шить программу заводских испыта</w:t>
      </w:r>
      <w:r w:rsidRPr="007224C3">
        <w:rPr>
          <w:rFonts w:ascii="Times New Roman" w:hAnsi="Times New Roman"/>
          <w:color w:val="000000" w:themeColor="text1"/>
          <w:sz w:val="16"/>
          <w:szCs w:val="16"/>
        </w:rPr>
        <w:softHyphen/>
        <w:t>ний. Летал начальник ЛИС завода № 240 генерал-майор В. К. Кокки-наки. Испытания обеспечивались бригадой в составе: ведущего инже</w:t>
      </w:r>
      <w:r w:rsidRPr="007224C3">
        <w:rPr>
          <w:rFonts w:ascii="Times New Roman" w:hAnsi="Times New Roman"/>
          <w:color w:val="000000" w:themeColor="text1"/>
          <w:sz w:val="16"/>
          <w:szCs w:val="16"/>
        </w:rPr>
        <w:softHyphen/>
        <w:t>нера по испытаниям А. П. Виногра</w:t>
      </w:r>
      <w:r w:rsidRPr="007224C3">
        <w:rPr>
          <w:rFonts w:ascii="Times New Roman" w:hAnsi="Times New Roman"/>
          <w:color w:val="000000" w:themeColor="text1"/>
          <w:sz w:val="16"/>
          <w:szCs w:val="16"/>
        </w:rPr>
        <w:softHyphen/>
        <w:t>дова, инженера по винтомоторной группе В. В. Семенова и бортмеха</w:t>
      </w:r>
      <w:r w:rsidRPr="007224C3">
        <w:rPr>
          <w:rFonts w:ascii="Times New Roman" w:hAnsi="Times New Roman"/>
          <w:color w:val="000000" w:themeColor="text1"/>
          <w:sz w:val="16"/>
          <w:szCs w:val="16"/>
        </w:rPr>
        <w:softHyphen/>
        <w:t>ника самолета И. Б. Кюсса. В общей сложности в период с 10 мая 1943 г. по 22 февраля 1944 г. было выпол</w:t>
      </w:r>
      <w:r w:rsidRPr="007224C3">
        <w:rPr>
          <w:rFonts w:ascii="Times New Roman" w:hAnsi="Times New Roman"/>
          <w:color w:val="000000" w:themeColor="text1"/>
          <w:sz w:val="16"/>
          <w:szCs w:val="16"/>
        </w:rPr>
        <w:softHyphen/>
        <w:t>нено 40 полетов с суммарным нале</w:t>
      </w:r>
      <w:r w:rsidRPr="007224C3">
        <w:rPr>
          <w:rFonts w:ascii="Times New Roman" w:hAnsi="Times New Roman"/>
          <w:color w:val="000000" w:themeColor="text1"/>
          <w:sz w:val="16"/>
          <w:szCs w:val="16"/>
        </w:rPr>
        <w:softHyphen/>
        <w:t>том 21 час 9 минут.</w:t>
      </w:r>
    </w:p>
    <w:p w14:paraId="030462C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полетном весе 7200 кг с вин</w:t>
      </w:r>
      <w:r w:rsidRPr="007224C3">
        <w:rPr>
          <w:rFonts w:ascii="Times New Roman" w:hAnsi="Times New Roman"/>
          <w:color w:val="000000" w:themeColor="text1"/>
          <w:sz w:val="16"/>
          <w:szCs w:val="16"/>
        </w:rPr>
        <w:softHyphen/>
        <w:t>том АВ-5л-18Б была получена до</w:t>
      </w:r>
      <w:r w:rsidRPr="007224C3">
        <w:rPr>
          <w:rFonts w:ascii="Times New Roman" w:hAnsi="Times New Roman"/>
          <w:color w:val="000000" w:themeColor="text1"/>
          <w:sz w:val="16"/>
          <w:szCs w:val="16"/>
        </w:rPr>
        <w:softHyphen/>
        <w:t>вольно высокая скорость горизонтального полета: 470 км/ч - на вы</w:t>
      </w:r>
      <w:r w:rsidRPr="007224C3">
        <w:rPr>
          <w:rFonts w:ascii="Times New Roman" w:hAnsi="Times New Roman"/>
          <w:color w:val="000000" w:themeColor="text1"/>
          <w:sz w:val="16"/>
          <w:szCs w:val="16"/>
        </w:rPr>
        <w:softHyphen/>
        <w:t>соте 2240 м и 434,5 км/ч - у земли. Вертикальная скорость у земли со</w:t>
      </w:r>
      <w:r w:rsidRPr="007224C3">
        <w:rPr>
          <w:rFonts w:ascii="Times New Roman" w:hAnsi="Times New Roman"/>
          <w:color w:val="000000" w:themeColor="text1"/>
          <w:sz w:val="16"/>
          <w:szCs w:val="16"/>
        </w:rPr>
        <w:softHyphen/>
        <w:t>ставила 8,32 м/с, а время подъема на высоту 1000 м - 1,97 мин. Это были неплохие результаты. Как от</w:t>
      </w:r>
      <w:r w:rsidRPr="007224C3">
        <w:rPr>
          <w:rFonts w:ascii="Times New Roman" w:hAnsi="Times New Roman"/>
          <w:color w:val="000000" w:themeColor="text1"/>
          <w:sz w:val="16"/>
          <w:szCs w:val="16"/>
        </w:rPr>
        <w:softHyphen/>
        <w:t>мечал Коккинаки, "...на всех режи</w:t>
      </w:r>
      <w:r w:rsidRPr="007224C3">
        <w:rPr>
          <w:rFonts w:ascii="Times New Roman" w:hAnsi="Times New Roman"/>
          <w:color w:val="000000" w:themeColor="text1"/>
          <w:sz w:val="16"/>
          <w:szCs w:val="16"/>
        </w:rPr>
        <w:softHyphen/>
        <w:t>мах полета чувствуется большой за</w:t>
      </w:r>
      <w:r w:rsidRPr="007224C3">
        <w:rPr>
          <w:rFonts w:ascii="Times New Roman" w:hAnsi="Times New Roman"/>
          <w:color w:val="000000" w:themeColor="text1"/>
          <w:sz w:val="16"/>
          <w:szCs w:val="16"/>
        </w:rPr>
        <w:softHyphen/>
        <w:t>пас мощности".</w:t>
      </w:r>
    </w:p>
    <w:p w14:paraId="5A4F608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Самолет имел удовлетворитель</w:t>
      </w:r>
      <w:r w:rsidRPr="007224C3">
        <w:rPr>
          <w:rFonts w:ascii="Times New Roman" w:hAnsi="Times New Roman"/>
          <w:color w:val="000000" w:themeColor="text1"/>
          <w:sz w:val="16"/>
          <w:szCs w:val="16"/>
        </w:rPr>
        <w:softHyphen/>
        <w:t>ную устойчивость по всем направ</w:t>
      </w:r>
      <w:r w:rsidRPr="007224C3">
        <w:rPr>
          <w:rFonts w:ascii="Times New Roman" w:hAnsi="Times New Roman"/>
          <w:color w:val="000000" w:themeColor="text1"/>
          <w:sz w:val="16"/>
          <w:szCs w:val="16"/>
        </w:rPr>
        <w:softHyphen/>
        <w:t>лениям. При соответствующей балан</w:t>
      </w:r>
      <w:r w:rsidRPr="007224C3">
        <w:rPr>
          <w:rFonts w:ascii="Times New Roman" w:hAnsi="Times New Roman"/>
          <w:color w:val="000000" w:themeColor="text1"/>
          <w:sz w:val="16"/>
          <w:szCs w:val="16"/>
        </w:rPr>
        <w:softHyphen/>
        <w:t>сировке триммером самолет позво</w:t>
      </w:r>
      <w:r w:rsidRPr="007224C3">
        <w:rPr>
          <w:rFonts w:ascii="Times New Roman" w:hAnsi="Times New Roman"/>
          <w:color w:val="000000" w:themeColor="text1"/>
          <w:sz w:val="16"/>
          <w:szCs w:val="16"/>
        </w:rPr>
        <w:softHyphen/>
        <w:t>лял полет с брошенной ручкой уп</w:t>
      </w:r>
      <w:r w:rsidRPr="007224C3">
        <w:rPr>
          <w:rFonts w:ascii="Times New Roman" w:hAnsi="Times New Roman"/>
          <w:color w:val="000000" w:themeColor="text1"/>
          <w:sz w:val="16"/>
          <w:szCs w:val="16"/>
        </w:rPr>
        <w:softHyphen/>
        <w:t>равления. Виражил и пикировал ус</w:t>
      </w:r>
      <w:r w:rsidRPr="007224C3">
        <w:rPr>
          <w:rFonts w:ascii="Times New Roman" w:hAnsi="Times New Roman"/>
          <w:color w:val="000000" w:themeColor="text1"/>
          <w:sz w:val="16"/>
          <w:szCs w:val="16"/>
        </w:rPr>
        <w:softHyphen/>
        <w:t>тойчиво, без рысканий. Это обеспе</w:t>
      </w:r>
      <w:r w:rsidRPr="007224C3">
        <w:rPr>
          <w:rFonts w:ascii="Times New Roman" w:hAnsi="Times New Roman"/>
          <w:color w:val="000000" w:themeColor="text1"/>
          <w:sz w:val="16"/>
          <w:szCs w:val="16"/>
        </w:rPr>
        <w:softHyphen/>
        <w:t>чивало лучшие условия для прицели</w:t>
      </w:r>
      <w:r w:rsidRPr="007224C3">
        <w:rPr>
          <w:rFonts w:ascii="Times New Roman" w:hAnsi="Times New Roman"/>
          <w:color w:val="000000" w:themeColor="text1"/>
          <w:sz w:val="16"/>
          <w:szCs w:val="16"/>
        </w:rPr>
        <w:softHyphen/>
        <w:t>вания и стрельбы.</w:t>
      </w:r>
    </w:p>
    <w:p w14:paraId="3237509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пилотировании Ил-АМ-42 ни</w:t>
      </w:r>
      <w:r w:rsidRPr="007224C3">
        <w:rPr>
          <w:rFonts w:ascii="Times New Roman" w:hAnsi="Times New Roman"/>
          <w:color w:val="000000" w:themeColor="text1"/>
          <w:sz w:val="16"/>
          <w:szCs w:val="16"/>
        </w:rPr>
        <w:softHyphen/>
        <w:t>чем не отличается от Ил-2. Для вы</w:t>
      </w:r>
      <w:r w:rsidRPr="007224C3">
        <w:rPr>
          <w:rFonts w:ascii="Times New Roman" w:hAnsi="Times New Roman"/>
          <w:color w:val="000000" w:themeColor="text1"/>
          <w:sz w:val="16"/>
          <w:szCs w:val="16"/>
        </w:rPr>
        <w:softHyphen/>
        <w:t>лета на Ил-АМ-42 обучение и вы</w:t>
      </w:r>
      <w:r w:rsidRPr="007224C3">
        <w:rPr>
          <w:rFonts w:ascii="Times New Roman" w:hAnsi="Times New Roman"/>
          <w:color w:val="000000" w:themeColor="text1"/>
          <w:sz w:val="16"/>
          <w:szCs w:val="16"/>
        </w:rPr>
        <w:softHyphen/>
        <w:t>возка излишни", — указывалось в от</w:t>
      </w:r>
      <w:r w:rsidRPr="007224C3">
        <w:rPr>
          <w:rFonts w:ascii="Times New Roman" w:hAnsi="Times New Roman"/>
          <w:color w:val="000000" w:themeColor="text1"/>
          <w:sz w:val="16"/>
          <w:szCs w:val="16"/>
        </w:rPr>
        <w:softHyphen/>
        <w:t>чете по испытаниям.</w:t>
      </w:r>
    </w:p>
    <w:p w14:paraId="0F1BCC7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Было решено готовить машину к государственным испытаниям. В этой связи 22 февраля на самолете был установлен винт диаметром 4,0 м и изменена компенсация элеронов с целью снижения нагрузок на ручку управления. Пробный полет показал, что новый винт "погоды не делает". Его срочно заменили "старым" про</w:t>
      </w:r>
      <w:r w:rsidRPr="007224C3">
        <w:rPr>
          <w:rFonts w:ascii="Times New Roman" w:hAnsi="Times New Roman"/>
          <w:color w:val="000000" w:themeColor="text1"/>
          <w:sz w:val="16"/>
          <w:szCs w:val="16"/>
        </w:rPr>
        <w:softHyphen/>
        <w:t>веренным винтом АВ-5л-18Б, с кото</w:t>
      </w:r>
      <w:r w:rsidRPr="007224C3">
        <w:rPr>
          <w:rFonts w:ascii="Times New Roman" w:hAnsi="Times New Roman"/>
          <w:color w:val="000000" w:themeColor="text1"/>
          <w:sz w:val="16"/>
          <w:szCs w:val="16"/>
        </w:rPr>
        <w:softHyphen/>
        <w:t>рым Ил-АМ-42 (экз. № 1) 26 февра</w:t>
      </w:r>
      <w:r w:rsidRPr="007224C3">
        <w:rPr>
          <w:rFonts w:ascii="Times New Roman" w:hAnsi="Times New Roman"/>
          <w:color w:val="000000" w:themeColor="text1"/>
          <w:sz w:val="16"/>
          <w:szCs w:val="16"/>
        </w:rPr>
        <w:softHyphen/>
        <w:t>ля перелетел на аэродром НИИ ВВС, где официально был передан воен</w:t>
      </w:r>
      <w:r w:rsidRPr="007224C3">
        <w:rPr>
          <w:rFonts w:ascii="Times New Roman" w:hAnsi="Times New Roman"/>
          <w:color w:val="000000" w:themeColor="text1"/>
          <w:sz w:val="16"/>
          <w:szCs w:val="16"/>
        </w:rPr>
        <w:softHyphen/>
        <w:t>ным специалистам для производства государственных летных испытаний (11427).</w:t>
      </w:r>
    </w:p>
    <w:p w14:paraId="38806EC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22708A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Примерно с середины января 1944 вместо прежних обозначений самолетов Ил-2 с АМ-42 в переписке стали использовать одно наименование Ил-АМ-42 с добавлением штурмовик или разведчик-корректировщик, иногда добавлялся номер завода. Несколько позже, Ил-2 АМ-42 (РК) завода №240 стал обозначаться как Ил-АМ-42 экз. №1, а Ил-2М - как Ил-АМ-42 экз. №2 (12020).</w:t>
      </w:r>
    </w:p>
    <w:p w14:paraId="1E83131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33183D9F" w14:textId="77777777" w:rsidR="006B2E30" w:rsidRPr="007224C3" w:rsidRDefault="006B2E30" w:rsidP="007224C3">
      <w:pPr>
        <w:pStyle w:val="233"/>
        <w:shd w:val="clear" w:color="auto" w:fill="auto"/>
        <w:spacing w:before="0" w:after="0" w:line="240" w:lineRule="auto"/>
        <w:ind w:firstLine="0"/>
        <w:jc w:val="both"/>
        <w:rPr>
          <w:rFonts w:ascii="Times New Roman" w:hAnsi="Times New Roman" w:cs="Times New Roman"/>
          <w:color w:val="0070C0"/>
          <w:sz w:val="16"/>
          <w:szCs w:val="16"/>
        </w:rPr>
      </w:pPr>
      <w:r w:rsidRPr="007224C3">
        <w:rPr>
          <w:rFonts w:ascii="Times New Roman" w:hAnsi="Times New Roman" w:cs="Times New Roman"/>
          <w:color w:val="0070C0"/>
          <w:sz w:val="16"/>
          <w:szCs w:val="16"/>
        </w:rPr>
        <w:t>Примерно с середины января 1944 г. вместо прежних обозначений опытных самолетов Ил-2 с мотором АМ-42 в пе</w:t>
      </w:r>
      <w:r w:rsidRPr="007224C3">
        <w:rPr>
          <w:rFonts w:ascii="Times New Roman" w:hAnsi="Times New Roman" w:cs="Times New Roman"/>
          <w:color w:val="0070C0"/>
          <w:sz w:val="16"/>
          <w:szCs w:val="16"/>
        </w:rPr>
        <w:softHyphen/>
        <w:t>реписке стали использовать одно един</w:t>
      </w:r>
      <w:r w:rsidRPr="007224C3">
        <w:rPr>
          <w:rFonts w:ascii="Times New Roman" w:hAnsi="Times New Roman" w:cs="Times New Roman"/>
          <w:color w:val="0070C0"/>
          <w:sz w:val="16"/>
          <w:szCs w:val="16"/>
        </w:rPr>
        <w:softHyphen/>
        <w:t>ственное Ил-АМ-42 с добавлением штурмовик-бомбардировщик (ШБ) или разведчик-корректировщик (РК), иногда до</w:t>
      </w:r>
      <w:r w:rsidRPr="007224C3">
        <w:rPr>
          <w:rFonts w:ascii="Times New Roman" w:hAnsi="Times New Roman" w:cs="Times New Roman"/>
          <w:color w:val="0070C0"/>
          <w:sz w:val="16"/>
          <w:szCs w:val="16"/>
        </w:rPr>
        <w:softHyphen/>
        <w:t>бавлялся номер завода. Несколько позже, Ил-2 АМ-42 (РК) стал обозначаться как Ил-АМ-42 экз. №1, а Ил-2М АМ-42 - как Ил-АМ-42 экз. №2.</w:t>
      </w:r>
    </w:p>
    <w:p w14:paraId="4400CE5C" w14:textId="77777777" w:rsidR="006B2E30" w:rsidRPr="007224C3" w:rsidRDefault="006B2E30" w:rsidP="007224C3">
      <w:pPr>
        <w:pStyle w:val="233"/>
        <w:shd w:val="clear" w:color="auto" w:fill="auto"/>
        <w:spacing w:before="0" w:after="0" w:line="240" w:lineRule="auto"/>
        <w:ind w:firstLine="0"/>
        <w:jc w:val="both"/>
        <w:rPr>
          <w:rFonts w:ascii="Times New Roman" w:hAnsi="Times New Roman" w:cs="Times New Roman"/>
          <w:color w:val="0070C0"/>
          <w:sz w:val="16"/>
          <w:szCs w:val="16"/>
        </w:rPr>
      </w:pPr>
      <w:r w:rsidRPr="007224C3">
        <w:rPr>
          <w:rFonts w:ascii="Times New Roman" w:hAnsi="Times New Roman" w:cs="Times New Roman"/>
          <w:color w:val="0070C0"/>
          <w:sz w:val="16"/>
          <w:szCs w:val="16"/>
        </w:rPr>
        <w:t>Надо полагать, смена обозначений должна была подчеркнуть универсаль</w:t>
      </w:r>
      <w:r w:rsidRPr="007224C3">
        <w:rPr>
          <w:rFonts w:ascii="Times New Roman" w:hAnsi="Times New Roman" w:cs="Times New Roman"/>
          <w:color w:val="0070C0"/>
          <w:sz w:val="16"/>
          <w:szCs w:val="16"/>
        </w:rPr>
        <w:softHyphen/>
        <w:t>ность предлагаемого на вооружение ВВС самолета, а также его новизну - это уже не модификация серийного Ил-2, а новая боевая машина (19846).</w:t>
      </w:r>
    </w:p>
    <w:p w14:paraId="6DF971D7" w14:textId="77777777" w:rsidR="006B2E30" w:rsidRPr="007224C3" w:rsidRDefault="006B2E30" w:rsidP="007224C3">
      <w:pPr>
        <w:pStyle w:val="233"/>
        <w:shd w:val="clear" w:color="auto" w:fill="auto"/>
        <w:spacing w:before="0" w:after="0" w:line="240" w:lineRule="auto"/>
        <w:ind w:firstLine="0"/>
        <w:jc w:val="both"/>
        <w:rPr>
          <w:rFonts w:ascii="Times New Roman" w:hAnsi="Times New Roman" w:cs="Times New Roman"/>
          <w:color w:val="0070C0"/>
          <w:sz w:val="16"/>
          <w:szCs w:val="16"/>
        </w:rPr>
      </w:pPr>
    </w:p>
    <w:p w14:paraId="2580CE00" w14:textId="77777777" w:rsidR="00987BBD" w:rsidRPr="007224C3" w:rsidRDefault="00987BB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середины января 1944 вместо прежних обозначений опытных самолетов Ил-2 с мотором АМ-42 в переписке стали использовать одно-единственное наименование Ил-АМ-42 с добавлением «штурмовик» или «разведчик-корректировщик», иногда добавлялся номер завода. Несколько позже Ил-2 АМ-42 (РК) завода № 240 стал обозначаться как Ил-АМ-42 экз. № 1 (или Ил экз. № 1 АМ-42), а Ил-2М – как Ил-АМ-42 экз. № 2 (или Ил экз. № 2 АМ-42).</w:t>
      </w:r>
    </w:p>
    <w:p w14:paraId="596B8BA6" w14:textId="77777777" w:rsidR="00987BBD" w:rsidRPr="007224C3" w:rsidRDefault="00987BB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Надо полагать, смена обозначений должна была подчеркнуть универсальность предлагаемого на вооружение ВВС самолета, а также его новизну – это уже не модификация серийного Ил-2, а новая ударная машина (17490).</w:t>
      </w:r>
    </w:p>
    <w:p w14:paraId="0DD93B3F" w14:textId="77777777" w:rsidR="00987BBD" w:rsidRPr="007224C3" w:rsidRDefault="00987BBD" w:rsidP="007224C3">
      <w:pPr>
        <w:spacing w:after="0" w:line="240" w:lineRule="auto"/>
        <w:jc w:val="both"/>
        <w:rPr>
          <w:rFonts w:ascii="Times New Roman" w:hAnsi="Times New Roman"/>
          <w:color w:val="000000" w:themeColor="text1"/>
          <w:sz w:val="16"/>
          <w:szCs w:val="16"/>
        </w:rPr>
      </w:pPr>
    </w:p>
    <w:p w14:paraId="61C28E7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середине января 1944 г. начались государственные испытания опытной машины Як-9 М-107А в НИИ ВВС, в которых участвовала ведущая “яковлевская” бригада, возглавляемая опытными инженер-майором А.Г.Степанцом и летчиком майором А.Г.Прошаковым. Здесь уже была дана оценка самолета. Специалисты НИИ ВВС обратили внимание на то, что значительный рост летно-тактических данных достигнут не только путем установки более мощного и высотного двигателя, но и за счет множества мероприятий по улучшению аэродинамики. В частности, на крыльевые щитки шасси установили замки, улучшили по рекомендациям ЦАГИ внешние и внутренние обводы туннеля водорадиатора, отполировали переднюю кромку крыла, оперения и носовую часть капота мотора. С другой стороны, были отмечены многочисленные дефекты самолета, особенно его ВМГ. Например новый двигатель сохранил некоторые характерные недостатки предыдущей 105-й модели: выброс масла из суфлера и переднего уплотнения редуктора, падение давления масла ниже допустимого предела с подъемом самолета на высоту. Сохранялась и тряска мотора при работе на пониженных оборотах, а также при уборке и даче газа, имели место и массовые случаи выхода из строя свечей. Обычно, в задачу государственных испытаний входило снятие летно-тактических данных самолета и оценка его. Но здесь было не совсем так. Первоначально, по предложению А.Т.Степанца, винт АВ-10П-20 обратной схемы заменили на винт ВИШ-107Л прямой, т. к. первый сильно “забрасывал” обороты на переходных режимах. Затем, по просьбе А.С.Яковлева двигатель №347-54, поменяли на только что полученный ОКБ В.Я.Климова №417-50. Причина такой “рокировки” заключалась в том, что первый имел недостаточную высотность масло- и водосистем. Однако надежность второго оказалась недостаточной и он проработал на истребителе всего около девяти часов (4842).</w:t>
      </w:r>
    </w:p>
    <w:p w14:paraId="7FE150D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E80701"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3D61673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CC259A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января 1944 закончились испытания самолета Пе-2 N 19/205, модифицированного ЦАГИ, которые начались 16 октября 1943 (541).</w:t>
      </w:r>
    </w:p>
    <w:p w14:paraId="26F5C83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0DAA9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января 1944 года вышел приказ НКАП № 24с во исполнение Постановления ГКО № 4922сс от 11 января 1944 года, которыми было решено организовать в Запорожье на базе бывш. завода № 29 авиаремонтный завод.</w:t>
      </w:r>
    </w:p>
    <w:p w14:paraId="2D560B7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Присвоить организованному авиаремонтному заводу № 478.</w:t>
      </w:r>
    </w:p>
    <w:p w14:paraId="5902BF4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24 сентября 1944 года – директор Авраменко А.К.</w:t>
      </w:r>
    </w:p>
    <w:p w14:paraId="5971DC7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приказу НКАП № 193с от 5 мая 1945 года на заводе № 478 было положено начало организации ОКБ, на которое возлагались функции внедрения в серийное производство авиамоторов М-88б и создание новых и модифицированных моторов. Начальником ОКБ был назначен Ивченко А.Г.</w:t>
      </w:r>
    </w:p>
    <w:p w14:paraId="0023A5D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Выпиской из приказа МАП № 25сс от 23 января 1947 года завод № 478 обязывался приступить к подготовке и выпуску в серийном производстве авиамоторов М11-ФР, прекратив производство мотоциклетного мотора М-72.</w:t>
      </w:r>
    </w:p>
    <w:p w14:paraId="729EC09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8 мая 1947 года – директор Шубин И.М.</w:t>
      </w:r>
    </w:p>
    <w:p w14:paraId="4F4F284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Адрес: УССР, Запорожье, пл. им. Шевченко</w:t>
      </w:r>
    </w:p>
    <w:p w14:paraId="2AC87E9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конце 1947 года завод приступил к подготовке производства по запуску в серийные цехи вертолетных моторов воздушного охлаждения конструкции ОКБ завода АИ-26ГРФ, успешно прошедшего госиспытания в 1947 году.</w:t>
      </w:r>
    </w:p>
    <w:p w14:paraId="68AE129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основании Постановления СМ от 7 сентября 1948 года № 3761-1349сс завод обязывался организовать серийное производство по выпуску реактивных двигателей конструкции Микулина (9612).</w:t>
      </w:r>
    </w:p>
    <w:p w14:paraId="790B341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DA5A6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января 1944 года Приказом НКАП № 24с ремонтно-механические мастерские, созданным на базе эвакуированного завода №462 в Днепропетровске, были переименованы в завод № 489 НКАП. С января 1944 года вновь организованный завод не имел профиля и делал различные работы и только 25 августа приказом НКАП за № 529с заводу был указан профиль и установлена номенклатура выпускаемых изделий: автоматы переключения скоростей нагнетателя 8-67 и гидравлических агрегатов объединенного управления винтов и газом, ВГЦИАМ-1744 для авиамоторов АН-38Ф и АШ-42. В 1946 году окончательно был установлен профиль завода как завода агрегатостроения. Директор – В. Еременко. Производственный профиль – агрегатный (9857).</w:t>
      </w:r>
    </w:p>
    <w:p w14:paraId="7CCA172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E7EE50"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2FAE72A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271CA7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16 по 17 января 1944 г. пушка С-53 прошла испытания стрельбой на ГАНИОПе, во время которых произошло заклинивание поршня тормоза отката. Пушка была отправлена на доработку. На этот раз, на заводе М» 92 была изменена конструкция противооткатных устройств и произведена доработка отдельных деталей пушки С-53. Вот почему заслуги заводчан в усовершенствовании конструкции орудия были отмечены и в ее официальном названии с началом серийного производства на заводе № 92 (завод , Сталина) пушка получила наименование ЗИС-С-53. 23 января 1944 г. постановлением ГКО танк Т-34, оснащенный 85-мм пушкой ЗИС-С-53 под маркой Т-34-85 был принят на вооружение Красной Армии (10703).</w:t>
      </w:r>
    </w:p>
    <w:p w14:paraId="7271D20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928433"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января 1944 вышло Постановление ГКО № 4953 О направлении рабочей силы на авторемонтные предприятия Киевского, Белорусского и Харьковского военных округов. (7173, 3-4).</w:t>
      </w:r>
    </w:p>
    <w:p w14:paraId="76E65A89"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E2C3AF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января 1944 вышло Распоряжение ГКО № 4954. О поставках угля и торфа Тюменской электростанции. РГАНИР, Фонд ГКО, д. 192, лл. 5 (11012).</w:t>
      </w:r>
    </w:p>
    <w:p w14:paraId="01DE357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44B54708"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января 1944 вышло Распоряжение ГКО № 4955 [О выделении 1 тыс. военнообязанных, не годных к строевой службе, для укомплектования военизированной пожарной охраны Киева.] (7173, 6).</w:t>
      </w:r>
    </w:p>
    <w:p w14:paraId="7972D7F8"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5D442A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января 1944 вышло Постановление ГКО № 4956 О плане поставок военно-полевых средств и имущества связи на I квартал 1944 года. РГАНИР, Фонд ГКО, д. 192, лл. 7-9,10-43 (11012).</w:t>
      </w:r>
    </w:p>
    <w:p w14:paraId="7B0EAAC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7CBB975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января 1944 вышло Постановление ГКО № 4957 О производстве и поставке перевязочных изделий, дезинфекционных установок и банно-прачечного имущества для Красной Армии, Военно-Морского Флота и войск НКВД СССР в I квартале 1944 года. РГАНИР, Фонд ГКО, д. 192, лл. 44-46,47-63 (11012).</w:t>
      </w:r>
    </w:p>
    <w:p w14:paraId="43AAFF2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120AC3A6"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16 января 1944 вышло Постановление ГКО № 4958 О производстве запасных частей к тракторам и сельскохозяйственным машинам на предприятиях союзной и местной промышленности в УССР для нужд сельского хозяйства Украинской ССР. (7173, 64-69,70-90).</w:t>
      </w:r>
    </w:p>
    <w:p w14:paraId="42007A4A"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760518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января 1944 вышло Постановление ГКО № 4959 Об обеспечении природным газом электростанций и оборонных предприятий г. Куйбышева в I полугодии 1944 года. РГАНИР, Фонд ГКО, д. 192, лл. 91-95,96-98 (11012).</w:t>
      </w:r>
    </w:p>
    <w:p w14:paraId="3525AB4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01286B7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января 1944 вышло Постановление ГКО № 4960 О плане снабжения торфом на I квартал 1944 года. РГАНИР, Фонд ГКО, д. 192, лл. 99-100,101-117 (11012).</w:t>
      </w:r>
    </w:p>
    <w:p w14:paraId="06B0195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2CC9C9C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января 1944 вышло Постановление ГКО № 4961 О плане ремонта боевых кораблей, вспомогательных судов и оборудования береговых установок Военно-Морского Флота на 1944 г. и I квартал 1944 года. РГАНИР, Фонд ГКО, д. 192, лл. 118-123,124-154 (11012).</w:t>
      </w:r>
    </w:p>
    <w:p w14:paraId="544F614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0452B70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января 1944 вышло Постановление ГКО № 4962 О производстве и поставке Наркомобороны, Наркомвоенморфлоту и войскам НКВД СССР средств инженерного вооружения в I квартале 1944 года. РГАНИР, Фонд ГКО, д. 192, лл. 155-159,160-211 (11012).</w:t>
      </w:r>
    </w:p>
    <w:p w14:paraId="7444FA9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154F15CE"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января 1944 вышло Постановление ГКО № 4963 О балансе и плане распределения лесных материалов и плане распределения вагонов для перевозок лесоматериалов на I квартал 1944 г. (7174, 1-4,5-70).</w:t>
      </w:r>
    </w:p>
    <w:p w14:paraId="16043F4E"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BFD410B"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января 1944 вышло Распоряжение ГКО № 4964 [О мерах по обеспечению нормальной работы электростанции г. Йошкар-Ола Марийской АССР.] (7174, 71).</w:t>
      </w:r>
    </w:p>
    <w:p w14:paraId="7DB51530"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6FADC9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января 1944 вышло Распоряжение ГКО № 4965. О передаче НКЭС оборудования, транспортных средств и материалов, находящихся на территории, прилегающей к Днепрогэсу, для его восстановления. РГАНИР, Фонд ГКО, д. 193, лл. 72,73-74 (11012).</w:t>
      </w:r>
    </w:p>
    <w:p w14:paraId="00EDFE0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45380719"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января 1944 вышло Распоряжение ГКО № 4966 [Об утверждении уполномоченным ГКО по отгрузке хлебопродуктов в Москву и Московскую обл. по Алтайскому краю Крюкова П.И.] (7174, 75).</w:t>
      </w:r>
    </w:p>
    <w:p w14:paraId="117523C7"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5EA3221"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1491F59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E87F813" w14:textId="77777777" w:rsidR="00FC4F14" w:rsidRPr="007224C3" w:rsidRDefault="00FC4F14"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16 января</w:t>
      </w:r>
      <w:r w:rsidRPr="007224C3">
        <w:rPr>
          <w:rFonts w:ascii="Times New Roman" w:hAnsi="Times New Roman"/>
          <w:color w:val="000000" w:themeColor="text1"/>
          <w:sz w:val="16"/>
          <w:szCs w:val="16"/>
        </w:rPr>
        <w:t xml:space="preserve"> в 1944 году оперативная сводка Совинформбюро:</w:t>
      </w:r>
    </w:p>
    <w:p w14:paraId="0144D6A9" w14:textId="77777777" w:rsidR="00FC4F14" w:rsidRPr="007224C3" w:rsidRDefault="00FC4F1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«Севернее Новосокольники наши войска в результате трёхдневных наступательных боёв прорвали оборону противника шириною по фронту 15 километров и в глубину до 8 километров и заняли более 40 населённых пунктов, в том числе крупные населённые пункты Щенайлово, Полутина, Чёрное, Сопки, Волгино, Маноково, Михалкино, Чирки, Ровни, Заболотье и железнодорожную станцию Насва.Таким образом, наши войска перерезали железную дорогу Новосокольники—Дно.</w:t>
      </w:r>
    </w:p>
    <w:p w14:paraId="48EBB822" w14:textId="77777777" w:rsidR="00FC4F14" w:rsidRPr="007224C3" w:rsidRDefault="00FC4F1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16 января западнее и северо-западнее Калинкович наши войска с боями продвигались вперёд и заняли несколько населённых пунктов, в том числе крупные населённые пункты Новосёлки, Якимовичи, Клинск.</w:t>
      </w:r>
    </w:p>
    <w:p w14:paraId="1603C6AC" w14:textId="77777777" w:rsidR="00FC4F14" w:rsidRPr="007224C3" w:rsidRDefault="00FC4F1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и юго-западнее Сарны наши войска вели бои местного значения, в ходе которых овладели районным центром Ровенской области городом и крупной железнодорожной станцией Костополь, а также заняли крупные населённые пункты Владимирец, Антонувка, Злотолин, Печалувка.</w:t>
      </w:r>
    </w:p>
    <w:p w14:paraId="29E97D04" w14:textId="77777777" w:rsidR="00FC4F14" w:rsidRPr="007224C3" w:rsidRDefault="00FC4F1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Восточнее Винницы и севернее Умани наши войска отражали контратаки крупныхсил пехоты и танков противника, подбив и уничтожив при этом 136 немецких танков.</w:t>
      </w:r>
    </w:p>
    <w:p w14:paraId="7D6DD5B2" w14:textId="77777777" w:rsidR="00FC4F14" w:rsidRPr="007224C3" w:rsidRDefault="00FC4F1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в ряде пунктов шли бои местного значения.</w:t>
      </w:r>
    </w:p>
    <w:p w14:paraId="79AC064C" w14:textId="77777777" w:rsidR="00FC4F14" w:rsidRPr="007224C3" w:rsidRDefault="00FC4F1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15 января наши войска на всех фронтах подбили и уничтожили 190 немецких танков. В воздушных боях и огнём зенитной артиллерии сбито 60 самолётов противника.</w:t>
      </w:r>
    </w:p>
    <w:p w14:paraId="577A7C88" w14:textId="77777777" w:rsidR="00FC4F14" w:rsidRPr="007224C3" w:rsidRDefault="00FC4F1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Севернее Новосокольники наши войска вели наступательные бои и, прорвав оборону немцев, заняли более 40 населённых пунктов. Противник, опираясь на оборонительные сооружения, оказывал упорное сопротивление. Части Н-ского соединения ночной атакой овладели сильно укреплённым населённым пунктом Маноково и, развивая успех, нанесли удар гитлеровцам, оборонявшим железнодорожную станцию Насва. В ожесточённой схватке советские бойцы разгромили вражеский гарнизон и овладели станцией. Тем самым наши части перерезали железную дорогу Новосокольники—Дно, по которой немцы перебрасывали свои войска вдоль линии фронта. В происходящих боях противник несёт тяжёлые потери. Только в течение дня уничтожено до полка немецкой пехоты. Советская авиация наносила удары по боевым порядкам и путям сообщений противника. При налёте на железнодорожную станцию Идрица наши лётчики сожгли и взорвали много немецких воинских эшелонов.</w:t>
      </w:r>
    </w:p>
    <w:p w14:paraId="11084F0A" w14:textId="77777777" w:rsidR="00FC4F14" w:rsidRPr="007224C3" w:rsidRDefault="00FC4F1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и северо-западнее города Калинковичи наши войска продолжали наступление. Немцы закрепились на рубеже реки Ипа, которая ещё не замёрзла. После ожесточённых боёв советские части переправились через реку и заняли несколько населённых пунктов на её западном берегу. В бою за крупный населённый пункт Новосёлки уничтожено до батальона гитлеровцев. Захвачены трофеи ипленные.</w:t>
      </w:r>
    </w:p>
    <w:p w14:paraId="06CD001D" w14:textId="77777777" w:rsidR="00FC4F14" w:rsidRPr="007224C3" w:rsidRDefault="00FC4F1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и юго-западнее Сарны части Н-ского соединения с боями продвигались вперёд и овладели районным центром Ровенской области городом и крупной железнодорожной станцией Костополь. Противник контратаками пытался восстановить положение, но был отброшен с большими для него потерями. Уничтожено до 600 немецких солдат и офицеров и несколько артиллерийских батарей. Захвачены склады боеприпасов и продовольствия. На одном участке немцы укрепили населённые пунктыи рассчитывали сковать на этом рубеже советские части. Ровенские партизаны внезапно напали на эти опорные пункты и разгромили гарнизоны гитлеровцев.</w:t>
      </w:r>
    </w:p>
    <w:p w14:paraId="018A04F9" w14:textId="77777777" w:rsidR="00FC4F14" w:rsidRPr="007224C3" w:rsidRDefault="00FC4F1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Восточнее Винницы и севернее Умани наши войска продолжали отбивать контратаки крупных сил танков и пехоты противника. Рано утром на одном узком участке противник бросил в бой свыше 100 танков и несколько полков пехоты. Мощным огнём советской артиллерии гитлеровцы были остановлены. Подтянув подкрепления, враг снова возобновил контратаки. В ожесточённом бою советские части нанесли немцам большие потери и вынудили их отступить. Уничтожено до 2.000 гитлеровцев, 62 немецких танка, 9 самоходных орудий и 14 бронетранспортёров. В другом районе немцы шесть раз бросались в атаки, стремясь прорвать нашу оборону. Все контратаки противника отбиты с большими для него потерями. Перед нашими позициями осталось свыше 40 подбитых и сожжённых танков, 10 бронетранспортёров и 23 самоходных орудия. Всего в течение дня нашими артиллеристами, танкистами и пехотинцами подбито и уничтожено 136 немецких танков.</w:t>
      </w:r>
    </w:p>
    <w:p w14:paraId="26ED6CEC" w14:textId="77777777" w:rsidR="00FC4F14" w:rsidRPr="007224C3" w:rsidRDefault="00FC4F1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Украинские партизаны, действующие в Каменец-Подольской области, заминировали железнодорожное полотно. Немецкий эшелон с танками и автомашинами подорвался на поставленных партизанами минах. Разбитые платформы и танки загородили второй путь. Вскоре встречный поезд, следовавший на запад с награбленным на Украине зерном, на полном ходу наскочил на груду обломков и потерпел крушение. Движение поездов на этом участке железной дороги было приостановлено на пять суток.</w:t>
      </w:r>
    </w:p>
    <w:p w14:paraId="7D785081" w14:textId="77777777" w:rsidR="00FC4F14" w:rsidRPr="007224C3" w:rsidRDefault="00FC4F1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Пленный врач 1 батальона 427 полка 129 немецкой пехотной дивизии Гергарт Конради рассказал: «Наша дивизия имела приказ любой ценой удержать позиции у Городка, но не выполнила этой задачи. Огонь русской артиллерии причинил нам ужасные потери. Командные пункты, а также наблюдательные пункты нашей артиллерии были уничтожены. Я нахожусь на фронте долгое время, но артиллерийского огня такой силы никогда ещё не переживал. Попытки оторваться также не увенчались успехом. Отступавшие в беспорядке 428 и 430 полки и 3-й батальон 427 полка были окружены русскими. Лишь отдельным мелким группам и одиночкам удалось пробиться сквозь русское кольцо». В заключение Гергарт Конради заявил: «За последние днио фицеры почти не разговаривают между собой о положении на фронте. Многие потеряли веру в победу Германии и стараются как можно меньше говорить и думать об исходе войны».</w:t>
      </w:r>
    </w:p>
    <w:p w14:paraId="0BB5681B" w14:textId="77777777" w:rsidR="00FC4F14" w:rsidRPr="007224C3" w:rsidRDefault="00FC4F1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Жители села Паволоч, Житомирской области, на общем собрании составили акт о зверствах немецко-фашистских мерзавцев. В акте говорится: «26-го ноября 1943 года в четыре часа утра немцы оцепили село Паволоч и согнали всех граждан к церкви. В этот день фашистские изверги замучили насмерть и расстреляли 136 советских граждан. Учинив эту кровавую расправу над стариками, женщинами и подростками, немцы угнали с собой свыше 400 наших односельчан. Об их судьбе до сих пор ничего неизвестно». По поручению общего собрания акт подписали жителисела Паволоч: Дончик, Курсон, Чернуха, Карпица, Огородник.».</w:t>
      </w:r>
    </w:p>
    <w:p w14:paraId="496779A6" w14:textId="77777777" w:rsidR="00FC4F14" w:rsidRPr="007224C3" w:rsidRDefault="00FC4F1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Потери противника и трофеи войск 1-го Украинского фронта за период с 24 декабря 1943 года по 13 января 1944 года.</w:t>
      </w:r>
    </w:p>
    <w:p w14:paraId="21B2A4BB" w14:textId="77777777" w:rsidR="00FC4F14" w:rsidRPr="007224C3" w:rsidRDefault="00FC4F1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время наступления с 24 декабря 1943 года по 13 января 1944 года войска 1-го Украинского фронта нанесли следующие потери немецко-фашистским войскам:</w:t>
      </w:r>
    </w:p>
    <w:p w14:paraId="5D666217" w14:textId="77777777" w:rsidR="00FC4F14" w:rsidRPr="007224C3" w:rsidRDefault="00FC4F1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Уничтожено: танков — 2.204, орудий разного калибра — 1.174, миномётов — 625, пулемётов — 3.173, бронемашин и бронетранспортёров — 348, автомашин — 4.686, бронепоездов — 2, складов с боеприпасами, вооружением и продовольствием — 27, железнодорожных эшелонов — 17, паровозов — 28, вагонов — 400, бензоцистерн — 40, повозок с грузами — 3.063.</w:t>
      </w:r>
    </w:p>
    <w:p w14:paraId="3BCDE31F" w14:textId="77777777" w:rsidR="00FC4F14" w:rsidRPr="007224C3" w:rsidRDefault="00FC4F1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Противник потерял только убитыми около 100.000 солдат и офицеров.</w:t>
      </w:r>
    </w:p>
    <w:p w14:paraId="648F0323" w14:textId="77777777" w:rsidR="00FC4F14" w:rsidRPr="007224C3" w:rsidRDefault="00FC4F1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это же время войсками фронта захвачены следующие трофеи: танков — 316, орудий разного калибра — 902, миномётов — 321, пулемётов — более 2.000, винтовоки автоматов — 11.500, бронемашин и бронетранспортёров — 157, автомашин — 3.514, тягачей и тракторов — 47, мотоциклов — 480, паровозов — 20, вагонов — более 1.000, эшелонов с грузами — 3, цистерн — 40, складов с боеприпасами, вооружением, продовольствием и другим военным имуществом — 230, повозок с грузами — 3.100, лошадей — 3.662, радиостанций — 40.</w:t>
      </w:r>
    </w:p>
    <w:p w14:paraId="5D783E9D" w14:textId="77777777" w:rsidR="00FC4F14" w:rsidRPr="007224C3" w:rsidRDefault="00FC4F1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Взято в плен более 7.000 немецких солдат и офицеров.» (15011).</w:t>
      </w:r>
    </w:p>
    <w:p w14:paraId="6906F243" w14:textId="77777777" w:rsidR="00FC4F14" w:rsidRPr="007224C3" w:rsidRDefault="00FC4F14" w:rsidP="007224C3">
      <w:pPr>
        <w:spacing w:after="0" w:line="240" w:lineRule="auto"/>
        <w:jc w:val="both"/>
        <w:rPr>
          <w:rFonts w:ascii="Times New Roman" w:hAnsi="Times New Roman"/>
          <w:color w:val="000000" w:themeColor="text1"/>
          <w:sz w:val="16"/>
          <w:szCs w:val="16"/>
        </w:rPr>
      </w:pPr>
    </w:p>
    <w:p w14:paraId="4A88DD64" w14:textId="77777777" w:rsidR="00FC4F14" w:rsidRPr="007224C3" w:rsidRDefault="00FC4F14"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16 января</w:t>
      </w:r>
      <w:r w:rsidRPr="007224C3">
        <w:rPr>
          <w:rFonts w:ascii="Times New Roman" w:hAnsi="Times New Roman"/>
          <w:color w:val="000000" w:themeColor="text1"/>
          <w:sz w:val="16"/>
          <w:szCs w:val="16"/>
        </w:rPr>
        <w:t xml:space="preserve"> в 1944 году корабли и авиация Северного флота начали специальную операцию «РВ-1» на морских коммуникациях немецкого флота у побережья Северной Норвегии. Войска 2-го Украинского фронта прекратили наступление в ходе Кировоградской операции на рубеже восточнее Смелы, западнее Кировограда, севернее Новгородки. Войска фронта продвинулись на запад до 40-50 км, разгромили при поддержке партизан кировоградскую группировку противника (15011).</w:t>
      </w:r>
    </w:p>
    <w:p w14:paraId="7FA21220" w14:textId="77777777" w:rsidR="00FC4F14" w:rsidRPr="007224C3" w:rsidRDefault="00FC4F14" w:rsidP="007224C3">
      <w:pPr>
        <w:spacing w:after="0" w:line="240" w:lineRule="auto"/>
        <w:jc w:val="both"/>
        <w:rPr>
          <w:rFonts w:ascii="Times New Roman" w:hAnsi="Times New Roman"/>
          <w:color w:val="000000" w:themeColor="text1"/>
          <w:sz w:val="16"/>
          <w:szCs w:val="16"/>
        </w:rPr>
      </w:pPr>
    </w:p>
    <w:p w14:paraId="079E5CC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января 1945 года, в сентябрьском номере журнала "Вестник Воздушного Флота" в статье "Советская авиация над восточной Пруссией" автор Т. Хркжин сообщал: “За один день летчики-истребители на самолетах Як-9 уничтожили 186 автомашин, 5 танков и 5 автоцистерн". В статье не конкретизируется вариант самолета, но, видимо, речь шла о Як-9Т, поскольку из пушки калибра 20 мм танк при всем желании подбить нереально (12046).</w:t>
      </w:r>
    </w:p>
    <w:p w14:paraId="615ACBA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7343EC2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января 1944 36 самолетов из 1-го ГМТАП бомбили немецкие укрепления в районе Ропши, уничтожив при этом командный пункт одной из немецких дивизий. До конца операции (1 марта 1944 года) морская авиация совершила 4487 боевых вылетов, из которых на долю истребителей пришлось 2372 вылета, штурмовики провели 1099 вылетов, а бомбардировщики и разведчики поднимались в воздух 1006 раз. В боях советские пилоты одержали 69 побед (1691).</w:t>
      </w:r>
    </w:p>
    <w:p w14:paraId="0FC7AB9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0EEA2A" w14:textId="77777777" w:rsidR="00FC4F14" w:rsidRPr="007224C3" w:rsidRDefault="00FC4F14"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Cs/>
          <w:color w:val="000000" w:themeColor="text1"/>
          <w:sz w:val="16"/>
          <w:szCs w:val="16"/>
        </w:rPr>
        <w:t>Векшняя политика:</w:t>
      </w:r>
    </w:p>
    <w:p w14:paraId="293A4871" w14:textId="77777777" w:rsidR="00FC4F14" w:rsidRPr="007224C3" w:rsidRDefault="00FC4F14"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BF9E234" w14:textId="77777777" w:rsidR="00FC4F14" w:rsidRPr="007224C3" w:rsidRDefault="00FC4F14" w:rsidP="007224C3">
      <w:pPr>
        <w:spacing w:after="0" w:line="240" w:lineRule="auto"/>
        <w:jc w:val="both"/>
        <w:rPr>
          <w:rFonts w:ascii="Times New Roman" w:hAnsi="Times New Roman"/>
          <w:color w:val="000000" w:themeColor="text1"/>
          <w:sz w:val="16"/>
          <w:szCs w:val="16"/>
          <w:lang w:val="en-US"/>
        </w:rPr>
      </w:pPr>
      <w:r w:rsidRPr="007224C3">
        <w:rPr>
          <w:rFonts w:ascii="Times New Roman" w:hAnsi="Times New Roman"/>
          <w:bCs/>
          <w:color w:val="000000" w:themeColor="text1"/>
          <w:sz w:val="16"/>
          <w:szCs w:val="16"/>
        </w:rPr>
        <w:t>16 января</w:t>
      </w:r>
      <w:r w:rsidRPr="007224C3">
        <w:rPr>
          <w:rFonts w:ascii="Times New Roman" w:hAnsi="Times New Roman"/>
          <w:color w:val="000000" w:themeColor="text1"/>
          <w:sz w:val="16"/>
          <w:szCs w:val="16"/>
        </w:rPr>
        <w:t xml:space="preserve"> в 1944 году британское правительство признало первостепенную роль СССР в определении условий перемирия с Румынией, поскольку советские войска первыми вступят на ее территорию </w:t>
      </w:r>
      <w:r w:rsidRPr="007224C3">
        <w:rPr>
          <w:rFonts w:ascii="Times New Roman" w:hAnsi="Times New Roman"/>
          <w:color w:val="000000" w:themeColor="text1"/>
          <w:sz w:val="16"/>
          <w:szCs w:val="16"/>
          <w:lang w:val="en-US"/>
        </w:rPr>
        <w:t>(15011).</w:t>
      </w:r>
    </w:p>
    <w:p w14:paraId="7C67C5D8" w14:textId="77777777" w:rsidR="00FC4F14" w:rsidRPr="007224C3" w:rsidRDefault="00FC4F14" w:rsidP="007224C3">
      <w:pPr>
        <w:spacing w:after="0" w:line="240" w:lineRule="auto"/>
        <w:jc w:val="both"/>
        <w:rPr>
          <w:rFonts w:ascii="Times New Roman" w:hAnsi="Times New Roman"/>
          <w:color w:val="000000" w:themeColor="text1"/>
          <w:sz w:val="16"/>
          <w:szCs w:val="16"/>
          <w:lang w:val="en-US"/>
        </w:rPr>
      </w:pPr>
    </w:p>
    <w:p w14:paraId="341DF152"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7224C3">
        <w:rPr>
          <w:rFonts w:ascii="Times New Roman" w:hAnsi="Times New Roman"/>
          <w:i/>
          <w:iCs/>
          <w:color w:val="000000" w:themeColor="text1"/>
          <w:sz w:val="16"/>
          <w:szCs w:val="16"/>
        </w:rPr>
        <w:t>За</w:t>
      </w:r>
      <w:r w:rsidRPr="007224C3">
        <w:rPr>
          <w:rFonts w:ascii="Times New Roman" w:hAnsi="Times New Roman"/>
          <w:i/>
          <w:iCs/>
          <w:color w:val="000000" w:themeColor="text1"/>
          <w:sz w:val="16"/>
          <w:szCs w:val="16"/>
          <w:lang w:val="en-US"/>
        </w:rPr>
        <w:t xml:space="preserve"> </w:t>
      </w:r>
      <w:r w:rsidRPr="007224C3">
        <w:rPr>
          <w:rFonts w:ascii="Times New Roman" w:hAnsi="Times New Roman"/>
          <w:i/>
          <w:iCs/>
          <w:color w:val="000000" w:themeColor="text1"/>
          <w:sz w:val="16"/>
          <w:szCs w:val="16"/>
        </w:rPr>
        <w:t>рубежом</w:t>
      </w:r>
      <w:r w:rsidRPr="007224C3">
        <w:rPr>
          <w:rFonts w:ascii="Times New Roman" w:hAnsi="Times New Roman"/>
          <w:i/>
          <w:iCs/>
          <w:color w:val="000000" w:themeColor="text1"/>
          <w:sz w:val="16"/>
          <w:szCs w:val="16"/>
          <w:lang w:val="en-US"/>
        </w:rPr>
        <w:t>:</w:t>
      </w:r>
    </w:p>
    <w:p w14:paraId="7BBFA86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02ABB06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16 January 1944 Eisenhower assumes duties as Commander in Chief, Allied Expeditionary Force, for the invasion of France (270).</w:t>
      </w:r>
    </w:p>
    <w:p w14:paraId="0F9A985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8D2007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января 1944 Д.Эйзенхауэр принял командование над войсками союзников в Европе (270).</w:t>
      </w:r>
    </w:p>
    <w:p w14:paraId="6B67D58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786EA6" w14:textId="77777777" w:rsidR="00FC4F14" w:rsidRPr="007224C3" w:rsidRDefault="00FC4F14"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16 января</w:t>
      </w:r>
      <w:r w:rsidRPr="007224C3">
        <w:rPr>
          <w:rFonts w:ascii="Times New Roman" w:hAnsi="Times New Roman"/>
          <w:color w:val="000000" w:themeColor="text1"/>
          <w:sz w:val="16"/>
          <w:szCs w:val="16"/>
        </w:rPr>
        <w:t xml:space="preserve"> в 1944 году американский генерал Дуайт Эйзенхауэр назначен главнокомандующим Экспедиционными силами союзников, призванными открыть второй фронт против фашистской Германии в Нормандии (15011).</w:t>
      </w:r>
    </w:p>
    <w:p w14:paraId="6C39837C" w14:textId="77777777" w:rsidR="00FC4F14" w:rsidRPr="007224C3" w:rsidRDefault="00FC4F14" w:rsidP="007224C3">
      <w:pPr>
        <w:spacing w:after="0" w:line="240" w:lineRule="auto"/>
        <w:jc w:val="both"/>
        <w:rPr>
          <w:rFonts w:ascii="Times New Roman" w:hAnsi="Times New Roman"/>
          <w:color w:val="000000" w:themeColor="text1"/>
          <w:sz w:val="16"/>
          <w:szCs w:val="16"/>
        </w:rPr>
      </w:pPr>
    </w:p>
    <w:p w14:paraId="75761A30"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4ED7A43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1C49B4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17 января по 11 марта л В.И.Хомяков и и М.А.Пронин после наземной части испытаний, проводимой с 2 по 25 января 1944, проводили летные гос. испытания Як-9У с ВК-105ПФ2 с ВЯ-23 эталона на 1944 (65,146).</w:t>
      </w:r>
    </w:p>
    <w:p w14:paraId="2E864BA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107950" w14:textId="77777777" w:rsidR="006D5E32" w:rsidRPr="007224C3" w:rsidRDefault="006D5E3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января 1944 г. Из докладной записки директора завода № 16 М. М. Лукина народному комиссару авиационной промышленности СССР А. И. Шахурину о работе завода в 1942-1943 гг.</w:t>
      </w:r>
    </w:p>
    <w:p w14:paraId="200AEEBF" w14:textId="77777777" w:rsidR="006D5E32" w:rsidRPr="007224C3" w:rsidRDefault="006D5E3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hyperlink r:id="rId19" w:anchor="_ftn1" w:history="1">
        <w:r w:rsidRPr="007224C3">
          <w:rPr>
            <w:rFonts w:ascii="Times New Roman" w:hAnsi="Times New Roman"/>
            <w:color w:val="000000" w:themeColor="text1"/>
            <w:sz w:val="16"/>
            <w:szCs w:val="16"/>
          </w:rPr>
          <w:t>[1]</w:t>
        </w:r>
      </w:hyperlink>
      <w:r w:rsidRPr="007224C3">
        <w:rPr>
          <w:rFonts w:ascii="Times New Roman" w:hAnsi="Times New Roman"/>
          <w:color w:val="000000" w:themeColor="text1"/>
          <w:sz w:val="16"/>
          <w:szCs w:val="16"/>
        </w:rPr>
        <w:t xml:space="preserve"> Свою работу в качестве директора завода № 16 в г. Казани я начал с мая месяца 1942 г. вместе с теми же руководящими работниками завода, которые работают и по сегодняшний день.</w:t>
      </w:r>
    </w:p>
    <w:p w14:paraId="5E75D274" w14:textId="77777777" w:rsidR="006D5E32" w:rsidRPr="007224C3" w:rsidRDefault="006D5E3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Исключительно трудные задачи стояли перед заводом в 1942 г. Ряд цехов завода находился в недостроенном виде, технологически цеха были разбросаны на нескольких участках, средний командный состав был расставлен неправильно, оснащенность производства была не многим выше 50 %.</w:t>
      </w:r>
    </w:p>
    <w:p w14:paraId="69178767" w14:textId="77777777" w:rsidR="006D5E32" w:rsidRPr="007224C3" w:rsidRDefault="006D5E3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 эти задачи необходимо было решать, одновременно решая основную задачу – выпуск моторов для фронта.</w:t>
      </w:r>
    </w:p>
    <w:p w14:paraId="46B25D66" w14:textId="77777777" w:rsidR="006D5E32" w:rsidRPr="007224C3" w:rsidRDefault="006D5E3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этот же период перед заводом также стояла чрезвычайно большая задача – исправить положение с качеством моторов.</w:t>
      </w:r>
    </w:p>
    <w:p w14:paraId="43B5E9DF" w14:textId="77777777" w:rsidR="006D5E32" w:rsidRPr="007224C3" w:rsidRDefault="006D5E3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Как Вам известно, в мае месяце 1942 г. в связи с большим выходом из строя моторов на фронте, было принято решение Государственного Комитета Обороны о немедленно и резком улучшении качества выпускаемых заводом № 16 моторов.</w:t>
      </w:r>
    </w:p>
    <w:p w14:paraId="34D9E55B" w14:textId="77777777" w:rsidR="006D5E32" w:rsidRPr="007224C3" w:rsidRDefault="006D5E3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Эти задачи коллективом завода и руководящими работниками были решены в основном во втором полугодии 1942 г.</w:t>
      </w:r>
    </w:p>
    <w:p w14:paraId="2640A9A1" w14:textId="77777777" w:rsidR="006D5E32" w:rsidRPr="007224C3" w:rsidRDefault="006D5E3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Качество мотора, благодаря серьезным техническим мероприятиям, проведенным заводом, было резко улучшено и отношение к моторам выпуска завода № 16 в войсковых соединениях также изменилось (этот вопрос был предметом обсуждения в обкоме ВКП (б), где представителями воинских частей и руководством основного потребителя – завода № 22 работа завода № 16 по улучшению качества подтверждена).</w:t>
      </w:r>
    </w:p>
    <w:p w14:paraId="19B8499A" w14:textId="77777777" w:rsidR="006D5E32" w:rsidRPr="007224C3" w:rsidRDefault="006D5E3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Количественный рост выпуска моторов был также налицо, что подтверждается следующими данными:</w:t>
      </w:r>
    </w:p>
    <w:p w14:paraId="4DEC50B1" w14:textId="77777777" w:rsidR="006D5E32" w:rsidRPr="007224C3" w:rsidRDefault="006D5E3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Выпуск моторов в 1942 г. по кварталам:</w:t>
      </w:r>
    </w:p>
    <w:p w14:paraId="7DE07588" w14:textId="77777777" w:rsidR="006D5E32" w:rsidRPr="007224C3" w:rsidRDefault="006D5E3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I квартал – 328 моторов,</w:t>
      </w:r>
    </w:p>
    <w:p w14:paraId="2709DD71" w14:textId="77777777" w:rsidR="006D5E32" w:rsidRPr="007224C3" w:rsidRDefault="006D5E3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II квартал – 479 моторов,</w:t>
      </w:r>
    </w:p>
    <w:p w14:paraId="4080F56B" w14:textId="77777777" w:rsidR="006D5E32" w:rsidRPr="007224C3" w:rsidRDefault="006D5E3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III квартал – 935 моторов,</w:t>
      </w:r>
    </w:p>
    <w:p w14:paraId="2E53DAA5" w14:textId="77777777" w:rsidR="006D5E32" w:rsidRPr="007224C3" w:rsidRDefault="006D5E3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IV квартал – 1174 мотора,</w:t>
      </w:r>
    </w:p>
    <w:p w14:paraId="61F7BE70" w14:textId="77777777" w:rsidR="006D5E32" w:rsidRPr="007224C3" w:rsidRDefault="006D5E3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 е. выпуск моторов во втором полугодии 1942 г. (одновременно с решением ряда производственных задач) составил более 250 % по сравнению с 1-м полугодием 1942 г.</w:t>
      </w:r>
    </w:p>
    <w:p w14:paraId="7851A800" w14:textId="77777777" w:rsidR="006D5E32" w:rsidRPr="007224C3" w:rsidRDefault="006D5E3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Декабрь месяц 1942 г. и I квартал 1943 г. для завода являлись переходным моментом на новый тип мотора – пушечный мотор М-105 ПФ.</w:t>
      </w:r>
    </w:p>
    <w:p w14:paraId="6FA6F59E" w14:textId="77777777" w:rsidR="006D5E32" w:rsidRPr="007224C3" w:rsidRDefault="006D5E3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Решая этот вопрос без достаточной помощи со стороны ведущего завода, руководство завода № 16 не допустило срыва поставок моторов как заводу № 22, так и в резерв армии, выпуская одновременно два типа моторов. Конец января, весь февраль и начало марта для завода были исключительно тяжелым периодом. Надо было выполнить решение ГКО о выпуске нового типа мотора, не снижая общего выпуска, значит, вести в производстве параллельно два мотора. Эта задача весьма трудная. […] Этот период был очень тяжелым еще и потому, что длительные перебои с электроэнергией, сплошные простои людей и оборудования тормозили решение большой задачи, стоящей перед заводом.</w:t>
      </w:r>
    </w:p>
    <w:p w14:paraId="7329A4B5" w14:textId="77777777" w:rsidR="006D5E32" w:rsidRPr="007224C3" w:rsidRDefault="006D5E3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Однако, несмотря на это, I квартал был решающим в освоении нового типа моторов, и руководством завода в последующие месяцы года было обеспечено полностью выполнение возложенных на завод задач по выполнению государственного плана. […]</w:t>
      </w:r>
    </w:p>
    <w:p w14:paraId="1FA0ACC4" w14:textId="77777777" w:rsidR="006D5E32" w:rsidRPr="007224C3" w:rsidRDefault="006D5E3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Выполнение плана по выпуску моторов в разрезе кварталов 1943 г. характеризуется следующими данными:</w:t>
      </w:r>
    </w:p>
    <w:p w14:paraId="72109C2A" w14:textId="77777777" w:rsidR="006D5E32" w:rsidRPr="007224C3" w:rsidRDefault="006D5E3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I квартал – 902 мотора.</w:t>
      </w:r>
    </w:p>
    <w:p w14:paraId="0243E39C" w14:textId="77777777" w:rsidR="006D5E32" w:rsidRPr="007224C3" w:rsidRDefault="006D5E3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II квартал – 1018 моторов.</w:t>
      </w:r>
    </w:p>
    <w:p w14:paraId="017F7DF7" w14:textId="77777777" w:rsidR="006D5E32" w:rsidRPr="007224C3" w:rsidRDefault="006D5E3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III квартал – 1209 моторов.</w:t>
      </w:r>
    </w:p>
    <w:p w14:paraId="1310193E" w14:textId="77777777" w:rsidR="006D5E32" w:rsidRPr="007224C3" w:rsidRDefault="006D5E3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IV квартал – 1325 моторов.</w:t>
      </w:r>
    </w:p>
    <w:p w14:paraId="6BA525F3" w14:textId="77777777" w:rsidR="006D5E32" w:rsidRPr="007224C3" w:rsidRDefault="006D5E3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Как видно из этих данных, завод и в 1943 г. на месте не топтался, а из квартала в квартал увеличивал выпуск моторов, выполнив план 1943 г. на 1500 моторов более 1942 г. и более 250 моторов свыше плана 1943 г. […]</w:t>
      </w:r>
    </w:p>
    <w:p w14:paraId="39ADBE77" w14:textId="77777777" w:rsidR="006D5E32" w:rsidRPr="007224C3" w:rsidRDefault="006D5E3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области совершенствования техники и культурной организации производства заводом также проведено много работ, основными из которых являются:</w:t>
      </w:r>
    </w:p>
    <w:p w14:paraId="5970A988" w14:textId="77777777" w:rsidR="006D5E32" w:rsidRPr="007224C3" w:rsidRDefault="006D5E3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Проектирование, постройка, проведение длительных заводских испытаний и начало летных испытаний модернизированного мотора М-105 ПФ, более мощного и высотного авиамотора.</w:t>
      </w:r>
    </w:p>
    <w:p w14:paraId="52249920" w14:textId="77777777" w:rsidR="006D5E32" w:rsidRPr="007224C3" w:rsidRDefault="006D5E3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Вся эта огромная работа проведена инженерно-техническими работниками и рабочими серийного производства и никакими планами не предусматривалась.</w:t>
      </w:r>
    </w:p>
    <w:p w14:paraId="61134ED8" w14:textId="77777777" w:rsidR="006D5E32" w:rsidRPr="007224C3" w:rsidRDefault="006D5E3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Это мероприятие получило Ваше ободрение и одобрение в ЦК ВКП (б).</w:t>
      </w:r>
    </w:p>
    <w:p w14:paraId="3CC495BA" w14:textId="77777777" w:rsidR="006D5E32" w:rsidRPr="007224C3" w:rsidRDefault="006D5E3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С большим участием руководящих работников завода и работников серийного производства в 1943 г. проведена работа по созданию, впервые в Советском Союзе, реактивного двигателя РД-1, который закончил удовлетворительно совместные (НКО и НКАП) испытания, работа, которой правительством придается колоссальнейшее значение в будущем развитии авиации.</w:t>
      </w:r>
    </w:p>
    <w:p w14:paraId="5CB0D191" w14:textId="77777777" w:rsidR="006D5E32" w:rsidRPr="007224C3" w:rsidRDefault="006D5E3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В 1943 г. на заводе № 16 закончена монтажом первая в Советском Союзе установка для испытания авиамоторов с рекуперацией энергии в электроэнергию.</w:t>
      </w:r>
    </w:p>
    <w:p w14:paraId="06648F15" w14:textId="77777777" w:rsidR="006D5E32" w:rsidRPr="007224C3" w:rsidRDefault="006D5E3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Этой работе правительством придается исключительное значение, и в самое ближайшее время этот вопрос будет решаться в союзном масштабе.</w:t>
      </w:r>
    </w:p>
    <w:p w14:paraId="5AD1BF37" w14:textId="77777777" w:rsidR="006D5E32" w:rsidRPr="007224C3" w:rsidRDefault="006D5E3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Работа эта представляется на соискание Сталинской премии.</w:t>
      </w:r>
    </w:p>
    <w:p w14:paraId="3BA18FBA" w14:textId="77777777" w:rsidR="006D5E32" w:rsidRPr="007224C3" w:rsidRDefault="006D5E3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Смонтирована и находится в эксплуатации установка для приготовления термопыли из торфа, как заменителя мазута.</w:t>
      </w:r>
    </w:p>
    <w:p w14:paraId="401397E1" w14:textId="77777777" w:rsidR="006D5E32" w:rsidRPr="007224C3" w:rsidRDefault="006D5E3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Заводом освоен ряд инструментов, получаемых ранее из-за границы и выпускаемых теперь большими сериями.</w:t>
      </w:r>
    </w:p>
    <w:p w14:paraId="4AB66D40" w14:textId="77777777" w:rsidR="006D5E32" w:rsidRPr="007224C3" w:rsidRDefault="006D5E3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Впервые в системе авиамоторного производства и, пожалуй, вообще впервые в литейном производстве, на заводе № 16 разработан и внедрен в серию метод отливки блоков вертикальной щелью, дающий огромный эффект экономии материалов и улучшающий качество.</w:t>
      </w:r>
    </w:p>
    <w:p w14:paraId="538A1A46" w14:textId="77777777" w:rsidR="006D5E32" w:rsidRPr="007224C3" w:rsidRDefault="006D5E3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7. Во втором полугодии разработаны и изготовлены свыше десяти кокилей на все сложные алюминиевые детали мотора.</w:t>
      </w:r>
    </w:p>
    <w:p w14:paraId="741ECA17" w14:textId="77777777" w:rsidR="006D5E32" w:rsidRPr="007224C3" w:rsidRDefault="006D5E3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Организован ряд поточных участков завода, давших большой производственный эффект, хотя этот вопрос требует еще больших доработок.</w:t>
      </w:r>
    </w:p>
    <w:p w14:paraId="5C3BCC50" w14:textId="77777777" w:rsidR="006D5E32" w:rsidRPr="007224C3" w:rsidRDefault="006D5E3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Литейный цех № 1 в настоящее время полностью переводится на поток.</w:t>
      </w:r>
    </w:p>
    <w:p w14:paraId="7D1A11EB" w14:textId="77777777" w:rsidR="006D5E32" w:rsidRPr="007224C3" w:rsidRDefault="006D5E3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Проведена огромная работа по механизации этого цеха.</w:t>
      </w:r>
    </w:p>
    <w:p w14:paraId="6C2E640C" w14:textId="77777777" w:rsidR="006D5E32" w:rsidRPr="007224C3" w:rsidRDefault="006D5E3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На заводе в 1943 г. организован цех станкостроения, выпустивший около 100 единиц оборудования для собственных нужд завода.</w:t>
      </w:r>
    </w:p>
    <w:p w14:paraId="4AC10DFB" w14:textId="77777777" w:rsidR="006D5E32" w:rsidRPr="007224C3" w:rsidRDefault="006D5E3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Заводом проведены большие работы по улучшению качества мотора, и в этой области достигнуты известные результаты. Увеличен ресурс мотора. Отношение к мотору в войсковых частях личного состава, как к надежному мотору, и старая «слава» о заводе № 16 в войсковых частях исчезла.</w:t>
      </w:r>
    </w:p>
    <w:p w14:paraId="6B422621" w14:textId="77777777" w:rsidR="006D5E32" w:rsidRPr="007224C3" w:rsidRDefault="006D5E3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Заводом отработана система впрыска воды на всасывании мотора и проведено длительное испытание на низкооктановом топливе (4Б-70). […]</w:t>
      </w:r>
    </w:p>
    <w:p w14:paraId="63BDB8EC" w14:textId="77777777" w:rsidR="006D5E32" w:rsidRPr="007224C3" w:rsidRDefault="006D5E3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завода № 16 М. Лукин</w:t>
      </w:r>
    </w:p>
    <w:p w14:paraId="006C162C" w14:textId="77777777" w:rsidR="006D5E32" w:rsidRPr="007224C3" w:rsidRDefault="006D5E3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РТ. Ф. Р-5940. Оп. 1. Д. 161. Л. 74, 75, 77-79. Отпуск (15494).</w:t>
      </w:r>
    </w:p>
    <w:p w14:paraId="4D9B40B1" w14:textId="77777777" w:rsidR="006D5E32" w:rsidRPr="007224C3" w:rsidRDefault="006D5E32" w:rsidP="007224C3">
      <w:pPr>
        <w:spacing w:after="0" w:line="240" w:lineRule="auto"/>
        <w:jc w:val="both"/>
        <w:rPr>
          <w:rFonts w:ascii="Times New Roman" w:hAnsi="Times New Roman"/>
          <w:color w:val="000000" w:themeColor="text1"/>
          <w:sz w:val="16"/>
          <w:szCs w:val="16"/>
        </w:rPr>
      </w:pPr>
    </w:p>
    <w:p w14:paraId="580DB4AC"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20D8FEC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FB2FF6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января 1944 вышло Постановление ГКО № 4967 О принятии на вооружение Красной Армии и развертывании производства 7,62 мм карабина с неотъемным штыком конструкции т. Семина. РГАНИР, Фонд ГКО, д. 193, лл. 76 (11012).</w:t>
      </w:r>
    </w:p>
    <w:p w14:paraId="50FC9D2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0624FA3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января 1944 вышло Постановление ГКО № 4968 О плане снабжения дровами на I квартал 1944 года. РГАНИР, Фонд ГКО, д. 193, лл. 77-79,80-116 (11012).</w:t>
      </w:r>
    </w:p>
    <w:p w14:paraId="539FFA2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3B4C92C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января 1944 вышло Распоряжение ГКО № 4969. О поставках дров в Москву в I кв. 1944 г. РГАНИР, Фонд ГКО, д. 193, лл. 117-118 (11012).</w:t>
      </w:r>
    </w:p>
    <w:p w14:paraId="03A758E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460B28E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января 1944 вышло Постановление ГКО № 4970 О строительстве Бакинского трубопрокатного завода Наркомчермета. РГАНИР, Фонд ГКО, д. 193, лл. 119-127 (11012).</w:t>
      </w:r>
    </w:p>
    <w:p w14:paraId="352D179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1DEE9E0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января 1944 вышло Постановление ГКО № 4971 Об организации производства 160 мм минометов и мин к ним. РГАНИР, Фонд ГКО, д. 193, лл. 128-132,133-143 (11012).</w:t>
      </w:r>
    </w:p>
    <w:p w14:paraId="66311F6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058F6AD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января 1944 года 160-мм миномет был принят на вооружение под названием "160-мм миномет обр. 1943 г." (3861).</w:t>
      </w:r>
    </w:p>
    <w:p w14:paraId="6A03B16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BA4FDB" w14:textId="77777777" w:rsidR="00DF6978" w:rsidRPr="007224C3" w:rsidRDefault="00DF697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января 1944 г. на вооружение был принят 160-мм миномет МТ-13 конструкции И. Г. Теверовского, получивший название 160-мм миномет обр. 1943 г. В начале 1944 г. миномет был запущен в серию на Тульском машиностроительном заводе. Уже в 1944 г. с завода на фронт отправилось 350 минометов.</w:t>
      </w:r>
    </w:p>
    <w:p w14:paraId="4896534F" w14:textId="77777777" w:rsidR="00DF6978" w:rsidRPr="007224C3" w:rsidRDefault="00DF697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Первые же стрельбы 160-мм минометов произвели на противника огромное психологическое воздействие. Выстрелы у МТ-13 глухие, мины летели по крутой траектории и падали почти отвесно, поэтому при первых же разрывах мин немцы стали подавать сигналы воздушной тревоги.</w:t>
      </w:r>
    </w:p>
    <w:p w14:paraId="4A06D3DE" w14:textId="77777777" w:rsidR="00DF6978" w:rsidRPr="007224C3" w:rsidRDefault="00DF697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Миномет МТ-13 стрелял двенадцатиперой фугасной миной, внешне очень похожей на 82–120-мм мины. 160-мм фугасная мина Ф-852 весила 40,9 кг и содержала 7,8 кг разрывного заряда.</w:t>
      </w:r>
    </w:p>
    <w:p w14:paraId="02FAC125" w14:textId="77777777" w:rsidR="00DF6978" w:rsidRPr="007224C3" w:rsidRDefault="00DF697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Заряжание миномета производилось с казенной части, для чего ствол приводился в горизонтальное положение. После открывания затвора на полуоси клина ствола навешивался лоток, на который расчет укладывал мину и вручную вставлял ее в канал ствола. Затем на крылья стабилизатора надевалась гильза. Лишь после этого мина с гильзой досылалась до места.</w:t>
      </w:r>
    </w:p>
    <w:p w14:paraId="68D06595" w14:textId="77777777" w:rsidR="00DF6978" w:rsidRPr="007224C3" w:rsidRDefault="00DF697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перевозки миномета использовались автомобили «ГАЗ-63», «ЗИС-150» и другие, а также тракторы.</w:t>
      </w:r>
    </w:p>
    <w:p w14:paraId="1DD5E75D" w14:textId="77777777" w:rsidR="00DF6978" w:rsidRPr="007224C3" w:rsidRDefault="00DF697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 160-мм миномета составлял 1170 кг в боевом положении и 1270 кг в походном. Угол возвышения +45°; +80°. Дальность стрельбы — от 620 м до 5100 м (12705).</w:t>
      </w:r>
    </w:p>
    <w:p w14:paraId="3219AA49" w14:textId="77777777" w:rsidR="00DF6978" w:rsidRPr="007224C3" w:rsidRDefault="00DF6978" w:rsidP="007224C3">
      <w:pPr>
        <w:spacing w:after="0" w:line="240" w:lineRule="auto"/>
        <w:jc w:val="both"/>
        <w:rPr>
          <w:rFonts w:ascii="Times New Roman" w:hAnsi="Times New Roman"/>
          <w:color w:val="000000" w:themeColor="text1"/>
          <w:sz w:val="16"/>
          <w:szCs w:val="16"/>
        </w:rPr>
      </w:pPr>
    </w:p>
    <w:p w14:paraId="1DA681A5" w14:textId="77777777" w:rsidR="00EC515D" w:rsidRPr="007224C3" w:rsidRDefault="00EC515D" w:rsidP="007224C3">
      <w:pPr>
        <w:widowControl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17 января 1944 года 160-мм миномет И.Г. Теверовского, получивший индекс МТ-13был принят на вооружение под названием «160-мм миномет обр. </w:t>
      </w:r>
      <w:smartTag w:uri="urn:schemas-microsoft-com:office:smarttags" w:element="metricconverter">
        <w:smartTagPr>
          <w:attr w:name="ProductID" w:val="1945 г"/>
        </w:smartTagPr>
        <w:r w:rsidRPr="007224C3">
          <w:rPr>
            <w:rFonts w:ascii="Times New Roman" w:hAnsi="Times New Roman"/>
            <w:color w:val="000000" w:themeColor="text1"/>
            <w:sz w:val="16"/>
            <w:szCs w:val="16"/>
          </w:rPr>
          <w:t>1943 г</w:t>
        </w:r>
      </w:smartTag>
      <w:r w:rsidRPr="007224C3">
        <w:rPr>
          <w:rFonts w:ascii="Times New Roman" w:hAnsi="Times New Roman"/>
          <w:color w:val="000000" w:themeColor="text1"/>
          <w:sz w:val="16"/>
          <w:szCs w:val="16"/>
        </w:rPr>
        <w:t>.». Уже в 1944 году на фронт отправили 350 минометов. Первые же стрельбы 160-мм минометов произвели на противника огромное психологическое воздействие. Выстрелы у МТ-13 глухие, мины летели по крутой траектории и падали почти отвесно, поэтому при первых же разрывах мин немцы стали подавать сигналы воздушной тревоги. Боевой опыт подтвердил ожидания создателей миномета. Тяжелые мины этого орудия разрушали прочные дерево-земляные и каменно-кирпичные сооружения полевого типа, деревянные и кирпичные здания и сооружения, приспособленные противником для обороны в населенных пунктах. 160-мм минометы образца 1943 года с успехом подавляли и уничтожали живую силу противника и его огневые средства.</w:t>
      </w:r>
    </w:p>
    <w:p w14:paraId="17C86997" w14:textId="77777777" w:rsidR="00EC515D" w:rsidRPr="007224C3" w:rsidRDefault="00EC515D" w:rsidP="007224C3">
      <w:pPr>
        <w:widowControl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Тактико-технические характеристики миномета</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40"/>
        <w:gridCol w:w="2448"/>
      </w:tblGrid>
      <w:tr w:rsidR="005106D0" w:rsidRPr="007224C3" w14:paraId="7D6D9C1D" w14:textId="77777777" w:rsidTr="00B73FE9">
        <w:tc>
          <w:tcPr>
            <w:tcW w:w="4140" w:type="dxa"/>
            <w:shd w:val="clear" w:color="auto" w:fill="auto"/>
          </w:tcPr>
          <w:p w14:paraId="7E8786BD" w14:textId="77777777" w:rsidR="00EC515D" w:rsidRPr="007224C3" w:rsidRDefault="00EC515D" w:rsidP="007224C3">
            <w:pPr>
              <w:widowControl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Вес в боевом положении </w:t>
            </w:r>
          </w:p>
        </w:tc>
        <w:tc>
          <w:tcPr>
            <w:tcW w:w="2448" w:type="dxa"/>
            <w:shd w:val="clear" w:color="auto" w:fill="auto"/>
          </w:tcPr>
          <w:p w14:paraId="30490C67" w14:textId="77777777" w:rsidR="00EC515D" w:rsidRPr="007224C3" w:rsidRDefault="00EC515D" w:rsidP="007224C3">
            <w:pPr>
              <w:widowControl w:val="0"/>
              <w:spacing w:after="0" w:line="240" w:lineRule="auto"/>
              <w:jc w:val="both"/>
              <w:rPr>
                <w:rFonts w:ascii="Times New Roman" w:hAnsi="Times New Roman"/>
                <w:color w:val="000000" w:themeColor="text1"/>
                <w:sz w:val="16"/>
                <w:szCs w:val="16"/>
              </w:rPr>
            </w:pPr>
            <w:smartTag w:uri="urn:schemas-microsoft-com:office:smarttags" w:element="metricconverter">
              <w:smartTagPr>
                <w:attr w:name="ProductID" w:val="1945 г"/>
              </w:smartTagPr>
              <w:r w:rsidRPr="007224C3">
                <w:rPr>
                  <w:rFonts w:ascii="Times New Roman" w:hAnsi="Times New Roman"/>
                  <w:color w:val="000000" w:themeColor="text1"/>
                  <w:sz w:val="16"/>
                  <w:szCs w:val="16"/>
                </w:rPr>
                <w:t>1170 кг</w:t>
              </w:r>
            </w:smartTag>
          </w:p>
        </w:tc>
      </w:tr>
      <w:tr w:rsidR="005106D0" w:rsidRPr="007224C3" w14:paraId="2D74CD3A" w14:textId="77777777" w:rsidTr="00B73FE9">
        <w:tc>
          <w:tcPr>
            <w:tcW w:w="4140" w:type="dxa"/>
            <w:shd w:val="clear" w:color="auto" w:fill="auto"/>
          </w:tcPr>
          <w:p w14:paraId="710AF66C" w14:textId="77777777" w:rsidR="00EC515D" w:rsidRPr="007224C3" w:rsidRDefault="00EC515D" w:rsidP="007224C3">
            <w:pPr>
              <w:widowControl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Наибольшая дальность стрельбы </w:t>
            </w:r>
          </w:p>
        </w:tc>
        <w:tc>
          <w:tcPr>
            <w:tcW w:w="2448" w:type="dxa"/>
            <w:shd w:val="clear" w:color="auto" w:fill="auto"/>
          </w:tcPr>
          <w:p w14:paraId="4C9C9108" w14:textId="77777777" w:rsidR="00EC515D" w:rsidRPr="007224C3" w:rsidRDefault="00EC515D" w:rsidP="007224C3">
            <w:pPr>
              <w:widowControl w:val="0"/>
              <w:spacing w:after="0" w:line="240" w:lineRule="auto"/>
              <w:jc w:val="both"/>
              <w:rPr>
                <w:rFonts w:ascii="Times New Roman" w:hAnsi="Times New Roman"/>
                <w:color w:val="000000" w:themeColor="text1"/>
                <w:sz w:val="16"/>
                <w:szCs w:val="16"/>
              </w:rPr>
            </w:pPr>
            <w:smartTag w:uri="urn:schemas-microsoft-com:office:smarttags" w:element="metricconverter">
              <w:smartTagPr>
                <w:attr w:name="ProductID" w:val="1945 г"/>
              </w:smartTagPr>
              <w:r w:rsidRPr="007224C3">
                <w:rPr>
                  <w:rFonts w:ascii="Times New Roman" w:hAnsi="Times New Roman"/>
                  <w:color w:val="000000" w:themeColor="text1"/>
                  <w:sz w:val="16"/>
                  <w:szCs w:val="16"/>
                </w:rPr>
                <w:t>5100 м</w:t>
              </w:r>
            </w:smartTag>
          </w:p>
        </w:tc>
      </w:tr>
      <w:tr w:rsidR="005106D0" w:rsidRPr="007224C3" w14:paraId="50808920" w14:textId="77777777" w:rsidTr="00B73FE9">
        <w:tc>
          <w:tcPr>
            <w:tcW w:w="4140" w:type="dxa"/>
            <w:shd w:val="clear" w:color="auto" w:fill="auto"/>
          </w:tcPr>
          <w:p w14:paraId="74F2046E" w14:textId="77777777" w:rsidR="00EC515D" w:rsidRPr="007224C3" w:rsidRDefault="00EC515D" w:rsidP="007224C3">
            <w:pPr>
              <w:widowControl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Наименьшая дальность стрельбы </w:t>
            </w:r>
          </w:p>
        </w:tc>
        <w:tc>
          <w:tcPr>
            <w:tcW w:w="2448" w:type="dxa"/>
            <w:shd w:val="clear" w:color="auto" w:fill="auto"/>
          </w:tcPr>
          <w:p w14:paraId="03A0F26A" w14:textId="77777777" w:rsidR="00EC515D" w:rsidRPr="007224C3" w:rsidRDefault="00EC515D" w:rsidP="007224C3">
            <w:pPr>
              <w:widowControl w:val="0"/>
              <w:spacing w:after="0" w:line="240" w:lineRule="auto"/>
              <w:jc w:val="both"/>
              <w:rPr>
                <w:rFonts w:ascii="Times New Roman" w:hAnsi="Times New Roman"/>
                <w:color w:val="000000" w:themeColor="text1"/>
                <w:sz w:val="16"/>
                <w:szCs w:val="16"/>
              </w:rPr>
            </w:pPr>
            <w:smartTag w:uri="urn:schemas-microsoft-com:office:smarttags" w:element="metricconverter">
              <w:smartTagPr>
                <w:attr w:name="ProductID" w:val="1945 г"/>
              </w:smartTagPr>
              <w:r w:rsidRPr="007224C3">
                <w:rPr>
                  <w:rFonts w:ascii="Times New Roman" w:hAnsi="Times New Roman"/>
                  <w:color w:val="000000" w:themeColor="text1"/>
                  <w:sz w:val="16"/>
                  <w:szCs w:val="16"/>
                </w:rPr>
                <w:t>620 м</w:t>
              </w:r>
            </w:smartTag>
          </w:p>
        </w:tc>
      </w:tr>
      <w:tr w:rsidR="005106D0" w:rsidRPr="007224C3" w14:paraId="2BBED456" w14:textId="77777777" w:rsidTr="00B73FE9">
        <w:tc>
          <w:tcPr>
            <w:tcW w:w="4140" w:type="dxa"/>
            <w:shd w:val="clear" w:color="auto" w:fill="auto"/>
          </w:tcPr>
          <w:p w14:paraId="6E196870" w14:textId="77777777" w:rsidR="00EC515D" w:rsidRPr="007224C3" w:rsidRDefault="00EC515D" w:rsidP="007224C3">
            <w:pPr>
              <w:widowControl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Наибольший угол возвышения </w:t>
            </w:r>
          </w:p>
        </w:tc>
        <w:tc>
          <w:tcPr>
            <w:tcW w:w="2448" w:type="dxa"/>
            <w:shd w:val="clear" w:color="auto" w:fill="auto"/>
          </w:tcPr>
          <w:p w14:paraId="5FC88C64" w14:textId="77777777" w:rsidR="00EC515D" w:rsidRPr="007224C3" w:rsidRDefault="00EC515D" w:rsidP="007224C3">
            <w:pPr>
              <w:widowControl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+ 80 градусов</w:t>
            </w:r>
          </w:p>
        </w:tc>
      </w:tr>
      <w:tr w:rsidR="005106D0" w:rsidRPr="007224C3" w14:paraId="69782AE6" w14:textId="77777777" w:rsidTr="00B73FE9">
        <w:tc>
          <w:tcPr>
            <w:tcW w:w="4140" w:type="dxa"/>
            <w:shd w:val="clear" w:color="auto" w:fill="auto"/>
          </w:tcPr>
          <w:p w14:paraId="52E4B252" w14:textId="77777777" w:rsidR="00EC515D" w:rsidRPr="007224C3" w:rsidRDefault="00EC515D" w:rsidP="007224C3">
            <w:pPr>
              <w:widowControl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Наименьший угол возвышения </w:t>
            </w:r>
          </w:p>
        </w:tc>
        <w:tc>
          <w:tcPr>
            <w:tcW w:w="2448" w:type="dxa"/>
            <w:shd w:val="clear" w:color="auto" w:fill="auto"/>
          </w:tcPr>
          <w:p w14:paraId="2A99CDC8" w14:textId="77777777" w:rsidR="00EC515D" w:rsidRPr="007224C3" w:rsidRDefault="00EC515D" w:rsidP="007224C3">
            <w:pPr>
              <w:widowControl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+ 45 градусов</w:t>
            </w:r>
          </w:p>
        </w:tc>
      </w:tr>
      <w:tr w:rsidR="005106D0" w:rsidRPr="007224C3" w14:paraId="7382A4E0" w14:textId="77777777" w:rsidTr="00B73FE9">
        <w:tc>
          <w:tcPr>
            <w:tcW w:w="4140" w:type="dxa"/>
            <w:shd w:val="clear" w:color="auto" w:fill="auto"/>
          </w:tcPr>
          <w:p w14:paraId="4212B111" w14:textId="77777777" w:rsidR="00EC515D" w:rsidRPr="007224C3" w:rsidRDefault="00EC515D" w:rsidP="007224C3">
            <w:pPr>
              <w:widowControl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Скорострельность максимальная </w:t>
            </w:r>
          </w:p>
        </w:tc>
        <w:tc>
          <w:tcPr>
            <w:tcW w:w="2448" w:type="dxa"/>
            <w:shd w:val="clear" w:color="auto" w:fill="auto"/>
          </w:tcPr>
          <w:p w14:paraId="621FA826" w14:textId="77777777" w:rsidR="00EC515D" w:rsidRPr="007224C3" w:rsidRDefault="00EC515D" w:rsidP="007224C3">
            <w:pPr>
              <w:widowControl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выстрелов/мин</w:t>
            </w:r>
          </w:p>
        </w:tc>
      </w:tr>
      <w:tr w:rsidR="005106D0" w:rsidRPr="007224C3" w14:paraId="7EA21488" w14:textId="77777777" w:rsidTr="00B73FE9">
        <w:tc>
          <w:tcPr>
            <w:tcW w:w="4140" w:type="dxa"/>
            <w:shd w:val="clear" w:color="auto" w:fill="auto"/>
          </w:tcPr>
          <w:p w14:paraId="75FC14DE" w14:textId="77777777" w:rsidR="00EC515D" w:rsidRPr="007224C3" w:rsidRDefault="00EC515D" w:rsidP="007224C3">
            <w:pPr>
              <w:widowControl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Скорость перевозки по шоссе </w:t>
            </w:r>
          </w:p>
        </w:tc>
        <w:tc>
          <w:tcPr>
            <w:tcW w:w="2448" w:type="dxa"/>
            <w:shd w:val="clear" w:color="auto" w:fill="auto"/>
          </w:tcPr>
          <w:p w14:paraId="62B96D46" w14:textId="77777777" w:rsidR="00EC515D" w:rsidRPr="007224C3" w:rsidRDefault="00EC515D" w:rsidP="007224C3">
            <w:pPr>
              <w:widowControl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до </w:t>
            </w:r>
            <w:smartTag w:uri="urn:schemas-microsoft-com:office:smarttags" w:element="metricconverter">
              <w:smartTagPr>
                <w:attr w:name="ProductID" w:val="1945 г"/>
              </w:smartTagPr>
              <w:r w:rsidRPr="007224C3">
                <w:rPr>
                  <w:rFonts w:ascii="Times New Roman" w:hAnsi="Times New Roman"/>
                  <w:color w:val="000000" w:themeColor="text1"/>
                  <w:sz w:val="16"/>
                  <w:szCs w:val="16"/>
                </w:rPr>
                <w:t>50 км/ч</w:t>
              </w:r>
            </w:smartTag>
          </w:p>
        </w:tc>
      </w:tr>
    </w:tbl>
    <w:p w14:paraId="2AFA9A25" w14:textId="77777777" w:rsidR="00EC515D" w:rsidRPr="007224C3" w:rsidRDefault="00EC515D" w:rsidP="007224C3">
      <w:pPr>
        <w:widowControl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Фугасная мина имела вес </w:t>
      </w:r>
      <w:smartTag w:uri="urn:schemas-microsoft-com:office:smarttags" w:element="metricconverter">
        <w:smartTagPr>
          <w:attr w:name="ProductID" w:val="1945 г"/>
        </w:smartTagPr>
        <w:r w:rsidRPr="007224C3">
          <w:rPr>
            <w:rFonts w:ascii="Times New Roman" w:hAnsi="Times New Roman"/>
            <w:color w:val="000000" w:themeColor="text1"/>
            <w:sz w:val="16"/>
            <w:szCs w:val="16"/>
          </w:rPr>
          <w:t>48,865 кг</w:t>
        </w:r>
      </w:smartTag>
      <w:r w:rsidRPr="007224C3">
        <w:rPr>
          <w:rFonts w:ascii="Times New Roman" w:hAnsi="Times New Roman"/>
          <w:color w:val="000000" w:themeColor="text1"/>
          <w:sz w:val="16"/>
          <w:szCs w:val="16"/>
        </w:rPr>
        <w:t>, начальная скорость максимальная – 245 м/сек, минимальная – 140 м/сек (15218).</w:t>
      </w:r>
    </w:p>
    <w:p w14:paraId="6AF85747" w14:textId="77777777" w:rsidR="00EC515D" w:rsidRPr="007224C3" w:rsidRDefault="00EC515D" w:rsidP="007224C3">
      <w:pPr>
        <w:widowControl w:val="0"/>
        <w:spacing w:after="0" w:line="240" w:lineRule="auto"/>
        <w:jc w:val="both"/>
        <w:rPr>
          <w:rFonts w:ascii="Times New Roman" w:hAnsi="Times New Roman"/>
          <w:color w:val="000000" w:themeColor="text1"/>
          <w:sz w:val="16"/>
          <w:szCs w:val="16"/>
        </w:rPr>
      </w:pPr>
    </w:p>
    <w:p w14:paraId="543936D4" w14:textId="77777777" w:rsidR="00EC515D"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31F93C8E" w14:textId="77777777" w:rsidR="00EC515D" w:rsidRPr="007224C3" w:rsidRDefault="00EC515D"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194EFBF" w14:textId="77777777" w:rsidR="00EC515D" w:rsidRPr="007224C3" w:rsidRDefault="00EC515D"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17 января</w:t>
      </w:r>
      <w:r w:rsidRPr="007224C3">
        <w:rPr>
          <w:rFonts w:ascii="Times New Roman" w:hAnsi="Times New Roman"/>
          <w:color w:val="000000" w:themeColor="text1"/>
          <w:sz w:val="16"/>
          <w:szCs w:val="16"/>
        </w:rPr>
        <w:t xml:space="preserve"> в 1944 году оперативная сводка Совинформбюро:</w:t>
      </w:r>
    </w:p>
    <w:p w14:paraId="09BE5C44" w14:textId="77777777" w:rsidR="00EC515D" w:rsidRPr="007224C3" w:rsidRDefault="00EC515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17 января севернее Новосокольники наши войска вели наступательные бои, в ходе которых заняли несколько населённых пунктов и среди них Слобода, Киселевичи, Альхимово, Гвоздова, Курово.</w:t>
      </w:r>
    </w:p>
    <w:p w14:paraId="66E64310" w14:textId="77777777" w:rsidR="00EC515D" w:rsidRPr="007224C3" w:rsidRDefault="00EC515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Новоград-Волынский наши войска овладели районным центром Ровенской области Тучин, а также заняли несколько других населённых пунктов.</w:t>
      </w:r>
    </w:p>
    <w:p w14:paraId="2AA7BD04" w14:textId="77777777" w:rsidR="00EC515D" w:rsidRPr="007224C3" w:rsidRDefault="00EC515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Севернее Умани наши войска успешно отбили контратаки пехоты и танков противника.</w:t>
      </w:r>
    </w:p>
    <w:p w14:paraId="000B1421" w14:textId="77777777" w:rsidR="00EC515D" w:rsidRPr="007224C3" w:rsidRDefault="00EC515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 разведка, артиллерийско-миномётная перестрелка и в ряде пунктов бои местного значения.</w:t>
      </w:r>
    </w:p>
    <w:p w14:paraId="440FE904" w14:textId="77777777" w:rsidR="00EC515D" w:rsidRPr="007224C3" w:rsidRDefault="00EC515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16 января наши войска на всех фронтах подбили и уничтожили 166 немецких танков. В воздушных боях и огнём зенитной артиллерии сбито 39 самолётовпротивника.</w:t>
      </w:r>
    </w:p>
    <w:p w14:paraId="316B0CAE" w14:textId="77777777" w:rsidR="00EC515D" w:rsidRPr="007224C3" w:rsidRDefault="00EC515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Севернее Новосокольники наши войска вели наступательные бои. Части Н-скогосоединения сломили сопротивление противника и овладели сильно укреплённым опорным пунктом обороны немцев Киселевичами. В бою за Киселевичи уничтожено свыше 400 немецких солдат и офицеров, 2 танка, 7 орудий и 32 автомашины. Другое наше соединение выбило немцев из нескольких населённых пунктов. В боях за эти пункты уничтожено до батальона гитлеровцев. Захвачены трофеи и пленные.</w:t>
      </w:r>
    </w:p>
    <w:p w14:paraId="72D24899" w14:textId="77777777" w:rsidR="00EC515D" w:rsidRPr="007224C3" w:rsidRDefault="00EC515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города Новоград-Волынский наши войска, продвигаясь вперёд, очистилиот немцев районный центр Ровенской области Тучин и несколько других населённых пунктов. Разведав огневые точки противника, наши подразделения обошли их, а затем неожиданно напали на немецкий гарнизон в селе Тучин. Воспользовавшись возникшей у немцев паникой, советские бойцы истребили до 300 гитлеровцев. Захвачено несколько орудий, 24 пулемёта и склад боеприпасов.</w:t>
      </w:r>
    </w:p>
    <w:p w14:paraId="08380A2D" w14:textId="77777777" w:rsidR="00EC515D" w:rsidRPr="007224C3" w:rsidRDefault="00EC515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Севернее Умани противник предпринял ряд ожесточённых контратак. Наши артиллеристы, танкисты и пехотинцы сосредоточенным огнём успешно отразили все контратаки немцев и нанесли им большой урон. За день боёв подбито и уничтожено свыше 80 танков, 16 бронемашин, 6 самоходных орудий, 7 бронетранспортёров и 200 автомашин противника. На другом участке батальон пехоты и танки противника атаковали наши позиции. Немцам удалось продвинуться вперёд и занять один населённый пункт. Советские подразделения окружили вражескую группировку и ликвидировали её. На поле боя осталось 23 сожжённых немецких танка и до 800 трупов гитлеровцев.</w:t>
      </w:r>
    </w:p>
    <w:p w14:paraId="68EB05BC" w14:textId="77777777" w:rsidR="00EC515D" w:rsidRPr="007224C3" w:rsidRDefault="00EC515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Ленинградские партизанские отряды с 1 по 10 января пустили под откос 37 немецких воинских эшелонов с боеприпасами, горючим и продовольствием. В результате крушений разбито около 300 вагонов и платформ. Партизаны разрушили 80 километров телеграфно-телефонной линии связи. Кроме того, советские патриоты разгромили два немецких гарнизона и уничтожили бронемашину, 4 орудия и гараж с автомашинами. Истреблено свыше 600 гитлеровцев.</w:t>
      </w:r>
    </w:p>
    <w:p w14:paraId="1B47EFA4" w14:textId="77777777" w:rsidR="00EC515D" w:rsidRPr="007224C3" w:rsidRDefault="00EC515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последнее время участились случаи групповой сдачи в плен немецких солдат. На одном участке 1-го Украинского фронта сложила оружие группа солдат 168 немецкой пехотной дивизии. Перебежчик унтер-офицер Эмиль П. заявил: «Собрав своих людей, я им сказал: «Для Германии все уже потеряно, и нет никакого смысла приносить новые жертвы. Хотите ли вы сохранить свою жизнь, согласны ли вы перебежать к русским?» Все, как один, выразили согласие, и мы сдались в плен».</w:t>
      </w:r>
    </w:p>
    <w:p w14:paraId="31C12119" w14:textId="77777777" w:rsidR="00EC515D" w:rsidRPr="007224C3" w:rsidRDefault="00EC515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Другой унтер-офицер той же дивизии Карл. Г., сдавшийся в плен вместе со своим отделением, рассказал: «В ожесточённом бою наш полк был разгромлен. Остатки его, преследуемые русскими танками, разбежались. Я и солдаты моего отделения спрятались в овраге. Утром мы увидели русских кавалеристов. Я приказал солдатам выйти из оврага, сложить на дороге оружие и поднять руки. Они охотно выполнили моё приказание. Очутившись в плену, солдаты поблагодарили меня за то, что я спас их от неминуемой гибели».</w:t>
      </w:r>
    </w:p>
    <w:p w14:paraId="591F909A" w14:textId="77777777" w:rsidR="00EC515D" w:rsidRPr="007224C3" w:rsidRDefault="00EC515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другом участке 1-го Украинского фронта сдались в плен 72 солдата иунтер-офицера штурмовой бригады СС «Лангемарк». Пленные сообщили: «Бригада«Лангемарк» сформирована в Бельгии. В районе Чуднова бригада попала в окружение и понесла тяжёлые потери. Офицеры убежали, а мы остались на месте и сдались в плен». В этот же день на сторону Красной Армии перешли две группы солдат 198 немецкой пехотной дивизии. В первой группе 7 немцев, 2 австрийца, 2 чеха и один поляк. Перебежчики принесли с собою 2 пулемёта, 3 автомата, 8 винтовок, 3 пистолета и боеприпасы. Вторая группа перебежчиков, в количестве 7 человек,состоит из словенцев, насильно мобилизованных в немецкую армию.</w:t>
      </w:r>
    </w:p>
    <w:p w14:paraId="2AFB3997" w14:textId="77777777" w:rsidR="00EC515D" w:rsidRPr="007224C3" w:rsidRDefault="00EC515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Ниже публикуется акт о зверствах немецко-фашистских мерзавцев в селе Марьевка, Запорожской области: «Незадолго до своего отступления немцы погнали всех жителей в возрасте от 14 до 70 лет из нашего села и окрестных деревень на строительство укреплений. Немецкие военные власти объявили, что всякий уклоняющийся от рытья окопов будет расстрелян. Свои угрозы гитлеровские мерзавцы привели в исполнение. Палачи расстреляли 37 мирных жителей Марьевки в соседнего села Беленькое, отказавшихся рыть окопы. У колхозницы Полины Волоченко заболели малолетние дети, и она не вышла на работу. Немецкий офицер до полусмерти избил её и запер вместе с детьми в сарай. Был мороз, и Волоченко вместе с детьми замёрзла. Трудно передать словами все зверства, которые творили у нас немецко-фашистские изверги». Акт подписали жители села Марьевка: СергейФеличенко, Анна Коваль, Вера Третьяк, Анисья Филиппенко, Варвара Родченко.» (15012).</w:t>
      </w:r>
    </w:p>
    <w:p w14:paraId="02DD20F0" w14:textId="77777777" w:rsidR="00EC515D" w:rsidRPr="007224C3" w:rsidRDefault="00EC515D" w:rsidP="007224C3">
      <w:pPr>
        <w:spacing w:after="0" w:line="240" w:lineRule="auto"/>
        <w:jc w:val="both"/>
        <w:rPr>
          <w:rFonts w:ascii="Times New Roman" w:hAnsi="Times New Roman"/>
          <w:color w:val="000000" w:themeColor="text1"/>
          <w:sz w:val="16"/>
          <w:szCs w:val="16"/>
        </w:rPr>
      </w:pPr>
    </w:p>
    <w:p w14:paraId="78454ACF"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Внешняя политика:</w:t>
      </w:r>
    </w:p>
    <w:p w14:paraId="1553ED2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FBE993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января 1944 года</w:t>
      </w:r>
    </w:p>
    <w:p w14:paraId="5E08797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ЛИЧНО И СТРОГО СЕКРЕТНО ПОСЛАНИЕ ОТ г-на ЧЕРЧИЛЛЯ МАРШАЛУ СТАЛИНУ</w:t>
      </w:r>
    </w:p>
    <w:p w14:paraId="0629BE8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 пришел к заключению, что могу составить дополнительный арктический конвой из двадцати судов, главным образом американских, который отправится из Соединенного Королевства приблизительно между 15 и 18 марта без ущерба для наших главных операций. Я надеюсь, что это будет Вам приятно.</w:t>
      </w:r>
    </w:p>
    <w:p w14:paraId="0A7FF0A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 был весьма обрадован, когда узнал от адмирала Фрэзера, находившегося на корабле Его Величества “Герцог Йоркский”, об искренней и сердечной встрече с адмиралом Головко и всеми Вашими офицерами и матросами в Кольской бухте перед потоплением “Шарнгорста”. Он сообщил, как много доброжелательности демонстрировалось военнослужащими всех рангов наших двух военно-морских флотов.</w:t>
      </w:r>
    </w:p>
    <w:p w14:paraId="694010C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 рад, что Вам понравилось мое послание маршалу Тито. Мы, конечно, будем продолжать бомбить Берлин неустанно. В настоящее время я нахожусь в море, но Вы можете быть уверены, что по прибытии домой моей первой заботой будет обеспечение успеха “Оверлорда” (7430).</w:t>
      </w:r>
    </w:p>
    <w:p w14:paraId="59D19C6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69248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января 1944 проходили переговоры нашей миссии с представителями западных союзников в Бари (1138,292).</w:t>
      </w:r>
    </w:p>
    <w:p w14:paraId="31AA5EF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09744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января 1944 СССР отклонил польские предложения о восстановлении прежней границы (2100).</w:t>
      </w:r>
    </w:p>
    <w:p w14:paraId="35BFC0F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5B45B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января 1944 на Ли-2 под управлением А.С.Шорникова вылетел с советской военной миссией для координации действий с И.Б.Тито из Москвы в Тегеран, а оттуда попал в Бари 23 февраля 1944 (455,151).</w:t>
      </w:r>
    </w:p>
    <w:p w14:paraId="008E198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754127"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7224C3">
        <w:rPr>
          <w:rFonts w:ascii="Times New Roman" w:hAnsi="Times New Roman"/>
          <w:i/>
          <w:iCs/>
          <w:color w:val="000000" w:themeColor="text1"/>
          <w:sz w:val="16"/>
          <w:szCs w:val="16"/>
        </w:rPr>
        <w:t>За</w:t>
      </w:r>
      <w:r w:rsidRPr="007224C3">
        <w:rPr>
          <w:rFonts w:ascii="Times New Roman" w:hAnsi="Times New Roman"/>
          <w:i/>
          <w:iCs/>
          <w:color w:val="000000" w:themeColor="text1"/>
          <w:sz w:val="16"/>
          <w:szCs w:val="16"/>
          <w:lang w:val="en-US"/>
        </w:rPr>
        <w:t xml:space="preserve"> </w:t>
      </w:r>
      <w:r w:rsidRPr="007224C3">
        <w:rPr>
          <w:rFonts w:ascii="Times New Roman" w:hAnsi="Times New Roman"/>
          <w:i/>
          <w:iCs/>
          <w:color w:val="000000" w:themeColor="text1"/>
          <w:sz w:val="16"/>
          <w:szCs w:val="16"/>
        </w:rPr>
        <w:t>рубежом</w:t>
      </w:r>
      <w:r w:rsidRPr="007224C3">
        <w:rPr>
          <w:rFonts w:ascii="Times New Roman" w:hAnsi="Times New Roman"/>
          <w:i/>
          <w:iCs/>
          <w:color w:val="000000" w:themeColor="text1"/>
          <w:sz w:val="16"/>
          <w:szCs w:val="16"/>
          <w:lang w:val="en-US"/>
        </w:rPr>
        <w:t>:</w:t>
      </w:r>
    </w:p>
    <w:p w14:paraId="3B51667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3CD4946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Jan 17 1944 First attack toward Cassino, Italy (1050).</w:t>
      </w:r>
    </w:p>
    <w:p w14:paraId="424D536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B86AF6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января 1944 состоялась первая атака против замка Монте Кассино в Италии (1050) - Линия Густава (3907,248).</w:t>
      </w:r>
    </w:p>
    <w:p w14:paraId="6902DED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2C1708"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января 1944 в Австралии введены ограничения на торговлю мясом (4962).</w:t>
      </w:r>
    </w:p>
    <w:p w14:paraId="6C7C4C78"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78E8B21" w14:textId="77777777" w:rsidR="00EC515D" w:rsidRPr="007224C3" w:rsidRDefault="00EC515D"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17 января</w:t>
      </w:r>
      <w:r w:rsidRPr="007224C3">
        <w:rPr>
          <w:rFonts w:ascii="Times New Roman" w:hAnsi="Times New Roman"/>
          <w:color w:val="000000" w:themeColor="text1"/>
          <w:sz w:val="16"/>
          <w:szCs w:val="16"/>
        </w:rPr>
        <w:t xml:space="preserve"> в 1944 году в Нью-Йорке, в помещении театра "Метрополитен-опера" проходит первый джазовый концерт (15012).</w:t>
      </w:r>
    </w:p>
    <w:p w14:paraId="327C74CA" w14:textId="77777777" w:rsidR="00EC515D" w:rsidRPr="007224C3" w:rsidRDefault="00EC515D" w:rsidP="007224C3">
      <w:pPr>
        <w:spacing w:after="0" w:line="240" w:lineRule="auto"/>
        <w:jc w:val="both"/>
        <w:rPr>
          <w:rFonts w:ascii="Times New Roman" w:hAnsi="Times New Roman"/>
          <w:color w:val="000000" w:themeColor="text1"/>
          <w:sz w:val="16"/>
          <w:szCs w:val="16"/>
        </w:rPr>
      </w:pPr>
    </w:p>
    <w:p w14:paraId="6B993056"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6EE053F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F022D5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января 1944 вышло Постановление ГКО № 4976 О выпуске самолетов Ил-2 с металлическими крыльями стрельчатой конструкции. РГАНИР, Фонд ГКО, д. 194, лл. 157-158 (11012).</w:t>
      </w:r>
    </w:p>
    <w:p w14:paraId="0191E07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545BD1E6" w14:textId="77777777" w:rsidR="00171DC6" w:rsidRPr="007224C3" w:rsidRDefault="00171DC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января 1944 вышло Постановление ГКО № 4976 О выпуске самолетов Ил-2 с металлическими крыльями стрельчатой конструкции</w:t>
      </w:r>
    </w:p>
    <w:p w14:paraId="61903AA6" w14:textId="77777777" w:rsidR="00171DC6" w:rsidRPr="007224C3" w:rsidRDefault="00171DC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Государственный Комитет Обороны постановляет:</w:t>
      </w:r>
    </w:p>
    <w:p w14:paraId="7526CC4A" w14:textId="77777777" w:rsidR="00171DC6" w:rsidRPr="007224C3" w:rsidRDefault="00171DC6" w:rsidP="007224C3">
      <w:pPr>
        <w:tabs>
          <w:tab w:val="left" w:pos="973"/>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Принять к сведению сообщение Наркомавиапрома - т .'Шахурина и т.Ильюшина и ВВС КА т.Никитина и т.Репина, что проведенвыни государственными испытаниями самолета Ил-2 с стрельчатой конструкцией консолей крыла подтверж</w:t>
      </w:r>
      <w:r w:rsidRPr="007224C3">
        <w:rPr>
          <w:rFonts w:ascii="Times New Roman" w:hAnsi="Times New Roman"/>
          <w:color w:val="000000" w:themeColor="text1"/>
          <w:sz w:val="16"/>
          <w:szCs w:val="16"/>
        </w:rPr>
        <w:softHyphen/>
        <w:t>дено улучшение центровки самолета Ил-2 в двухместной ва</w:t>
      </w:r>
      <w:r w:rsidRPr="007224C3">
        <w:rPr>
          <w:rFonts w:ascii="Times New Roman" w:hAnsi="Times New Roman"/>
          <w:color w:val="000000" w:themeColor="text1"/>
          <w:sz w:val="16"/>
          <w:szCs w:val="16"/>
        </w:rPr>
        <w:softHyphen/>
        <w:t>рианте и исправлено тем самым перемещение центровки са</w:t>
      </w:r>
      <w:r w:rsidRPr="007224C3">
        <w:rPr>
          <w:rFonts w:ascii="Times New Roman" w:hAnsi="Times New Roman"/>
          <w:color w:val="000000" w:themeColor="text1"/>
          <w:sz w:val="16"/>
          <w:szCs w:val="16"/>
        </w:rPr>
        <w:softHyphen/>
        <w:t>молета Ил-2 назад, получившееся при переходе на двух</w:t>
      </w:r>
      <w:r w:rsidRPr="007224C3">
        <w:rPr>
          <w:rFonts w:ascii="Times New Roman" w:hAnsi="Times New Roman"/>
          <w:color w:val="000000" w:themeColor="text1"/>
          <w:sz w:val="16"/>
          <w:szCs w:val="16"/>
        </w:rPr>
        <w:softHyphen/>
        <w:t>местный вариант.</w:t>
      </w:r>
    </w:p>
    <w:p w14:paraId="6C7838DA" w14:textId="77777777" w:rsidR="00171DC6" w:rsidRPr="007224C3" w:rsidRDefault="00171DC6" w:rsidP="007224C3">
      <w:pPr>
        <w:tabs>
          <w:tab w:val="left" w:pos="958"/>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Обязать Наркомавиапром - т.Шахурина, директора завода № 18 т.Белянского перейти на заводе № 18 на произ</w:t>
      </w:r>
      <w:r w:rsidRPr="007224C3">
        <w:rPr>
          <w:rFonts w:ascii="Times New Roman" w:hAnsi="Times New Roman"/>
          <w:color w:val="000000" w:themeColor="text1"/>
          <w:sz w:val="16"/>
          <w:szCs w:val="16"/>
        </w:rPr>
        <w:softHyphen/>
        <w:t>водство самолетов Ил-2 с крыльями стрельчатой конструк</w:t>
      </w:r>
      <w:r w:rsidRPr="007224C3">
        <w:rPr>
          <w:rFonts w:ascii="Times New Roman" w:hAnsi="Times New Roman"/>
          <w:color w:val="000000" w:themeColor="text1"/>
          <w:sz w:val="16"/>
          <w:szCs w:val="16"/>
        </w:rPr>
        <w:softHyphen/>
        <w:t>ции. Полный переход на производство оамолетов Ил-2 с крыльями стрельчатой конструкции осуществить до 15 ап</w:t>
      </w:r>
      <w:r w:rsidRPr="007224C3">
        <w:rPr>
          <w:rFonts w:ascii="Times New Roman" w:hAnsi="Times New Roman"/>
          <w:color w:val="000000" w:themeColor="text1"/>
          <w:sz w:val="16"/>
          <w:szCs w:val="16"/>
        </w:rPr>
        <w:softHyphen/>
        <w:t>реля с.г., без снижения достигнутого уровня выпуска са</w:t>
      </w:r>
      <w:r w:rsidRPr="007224C3">
        <w:rPr>
          <w:rFonts w:ascii="Times New Roman" w:hAnsi="Times New Roman"/>
          <w:color w:val="000000" w:themeColor="text1"/>
          <w:sz w:val="16"/>
          <w:szCs w:val="16"/>
        </w:rPr>
        <w:softHyphen/>
        <w:t>молетов.</w:t>
      </w:r>
    </w:p>
    <w:p w14:paraId="5B29FAB4" w14:textId="77777777" w:rsidR="00171DC6" w:rsidRPr="007224C3" w:rsidRDefault="00171DC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Обязать Наркомавиапром - т. Шахурина, директора завода 1 т.Третьякова и директора завода 30 т.Смир</w:t>
      </w:r>
      <w:r w:rsidRPr="007224C3">
        <w:rPr>
          <w:rFonts w:ascii="Times New Roman" w:hAnsi="Times New Roman"/>
          <w:color w:val="000000" w:themeColor="text1"/>
          <w:sz w:val="16"/>
          <w:szCs w:val="16"/>
        </w:rPr>
        <w:softHyphen/>
        <w:t>нова перейти на заводах №№ 1 и 30 на производство само</w:t>
      </w:r>
      <w:r w:rsidRPr="007224C3">
        <w:rPr>
          <w:rFonts w:ascii="Times New Roman" w:hAnsi="Times New Roman"/>
          <w:color w:val="000000" w:themeColor="text1"/>
          <w:sz w:val="16"/>
          <w:szCs w:val="16"/>
        </w:rPr>
        <w:softHyphen/>
        <w:t>летов Ил-2 с металлическими крыльями стрельчатой конструкции. Полный переход на производство самолетов Ил-2 с металлическими крыльями стрельчатой конструкции осу</w:t>
      </w:r>
      <w:r w:rsidRPr="007224C3">
        <w:rPr>
          <w:rFonts w:ascii="Times New Roman" w:hAnsi="Times New Roman"/>
          <w:color w:val="000000" w:themeColor="text1"/>
          <w:sz w:val="16"/>
          <w:szCs w:val="16"/>
        </w:rPr>
        <w:softHyphen/>
        <w:t>ществить до 15 мая с.г. без снижения достигнутого уров</w:t>
      </w:r>
      <w:r w:rsidRPr="007224C3">
        <w:rPr>
          <w:rFonts w:ascii="Times New Roman" w:hAnsi="Times New Roman"/>
          <w:color w:val="000000" w:themeColor="text1"/>
          <w:sz w:val="16"/>
          <w:szCs w:val="16"/>
        </w:rPr>
        <w:softHyphen/>
        <w:t>ня выпуска самолетов (19438).</w:t>
      </w:r>
    </w:p>
    <w:p w14:paraId="7483C0CD" w14:textId="77777777" w:rsidR="00171DC6" w:rsidRPr="007224C3" w:rsidRDefault="00171DC6" w:rsidP="007224C3">
      <w:pPr>
        <w:autoSpaceDE w:val="0"/>
        <w:autoSpaceDN w:val="0"/>
        <w:adjustRightInd w:val="0"/>
        <w:spacing w:after="0" w:line="240" w:lineRule="auto"/>
        <w:jc w:val="both"/>
        <w:rPr>
          <w:rFonts w:ascii="Times New Roman" w:hAnsi="Times New Roman"/>
          <w:color w:val="000000" w:themeColor="text1"/>
          <w:sz w:val="16"/>
          <w:szCs w:val="16"/>
        </w:rPr>
      </w:pPr>
    </w:p>
    <w:p w14:paraId="7D886A8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января 1944 вышло постановление ГКО N 4976сс, отметившее, что гос. испытания самолета Ил-2 со стрельчатой конструкцией консолей крыла подтвердили улучшение центровки самолета Ил-2 в двухместном варианте и исправлено тем самым перемещение центровки самолета Ил-2 назад, получившееся при переходе на двухместный вариант.</w:t>
      </w:r>
    </w:p>
    <w:p w14:paraId="756B0F1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2F9830" w14:textId="77777777" w:rsidR="00292637" w:rsidRPr="007224C3" w:rsidRDefault="00292637" w:rsidP="007224C3">
      <w:pPr>
        <w:pStyle w:val="184"/>
        <w:shd w:val="clear" w:color="auto" w:fill="auto"/>
        <w:spacing w:before="0" w:after="0" w:line="240" w:lineRule="auto"/>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18 января 1944 г. вышло по</w:t>
      </w:r>
      <w:r w:rsidRPr="007224C3">
        <w:rPr>
          <w:rFonts w:ascii="Times New Roman" w:hAnsi="Times New Roman" w:cs="Times New Roman"/>
          <w:color w:val="000000" w:themeColor="text1"/>
          <w:sz w:val="16"/>
          <w:szCs w:val="16"/>
        </w:rPr>
        <w:softHyphen/>
        <w:t>становление ГКО, согласно которому все три авиазавода к началу лета должны были полностью перейти на выпуск Ил-2 с металлическим крылом «со стрелкой»: завод №18 - до 15 апреля, а 1-й и 30-й авиазаводы - до 15 мая. При этом сни</w:t>
      </w:r>
      <w:r w:rsidRPr="007224C3">
        <w:rPr>
          <w:rFonts w:ascii="Times New Roman" w:hAnsi="Times New Roman" w:cs="Times New Roman"/>
          <w:color w:val="000000" w:themeColor="text1"/>
          <w:sz w:val="16"/>
          <w:szCs w:val="16"/>
        </w:rPr>
        <w:softHyphen/>
        <w:t>жать достигнутый уровень производства самолетов запрещалось. Соответствую</w:t>
      </w:r>
      <w:r w:rsidRPr="007224C3">
        <w:rPr>
          <w:rFonts w:ascii="Times New Roman" w:hAnsi="Times New Roman" w:cs="Times New Roman"/>
          <w:color w:val="000000" w:themeColor="text1"/>
          <w:sz w:val="16"/>
          <w:szCs w:val="16"/>
        </w:rPr>
        <w:softHyphen/>
        <w:t>щий приказ НКАП был подписан на сле</w:t>
      </w:r>
      <w:r w:rsidRPr="007224C3">
        <w:rPr>
          <w:rFonts w:ascii="Times New Roman" w:hAnsi="Times New Roman" w:cs="Times New Roman"/>
          <w:color w:val="000000" w:themeColor="text1"/>
          <w:sz w:val="16"/>
          <w:szCs w:val="16"/>
        </w:rPr>
        <w:softHyphen/>
        <w:t>дующий день (19558).</w:t>
      </w:r>
    </w:p>
    <w:p w14:paraId="67EE3C62" w14:textId="77777777" w:rsidR="00292637" w:rsidRPr="007224C3" w:rsidRDefault="00292637" w:rsidP="007224C3">
      <w:pPr>
        <w:pStyle w:val="184"/>
        <w:shd w:val="clear" w:color="auto" w:fill="auto"/>
        <w:spacing w:before="0" w:after="0" w:line="240" w:lineRule="auto"/>
        <w:rPr>
          <w:rFonts w:ascii="Times New Roman" w:hAnsi="Times New Roman" w:cs="Times New Roman"/>
          <w:color w:val="000000" w:themeColor="text1"/>
          <w:sz w:val="16"/>
          <w:szCs w:val="16"/>
        </w:rPr>
      </w:pPr>
    </w:p>
    <w:p w14:paraId="398F585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января 1944 г. Поста</w:t>
      </w:r>
      <w:r w:rsidRPr="007224C3">
        <w:rPr>
          <w:rFonts w:ascii="Times New Roman" w:hAnsi="Times New Roman"/>
          <w:color w:val="000000" w:themeColor="text1"/>
          <w:sz w:val="16"/>
          <w:szCs w:val="16"/>
        </w:rPr>
        <w:softHyphen/>
        <w:t>новлением ГКО № 4976 авиазаводы обязывались, в соответствии с от 18 января, к лету 1944 г. полностью перейти на вы</w:t>
      </w:r>
      <w:r w:rsidRPr="007224C3">
        <w:rPr>
          <w:rFonts w:ascii="Times New Roman" w:hAnsi="Times New Roman"/>
          <w:color w:val="000000" w:themeColor="text1"/>
          <w:sz w:val="16"/>
          <w:szCs w:val="16"/>
        </w:rPr>
        <w:softHyphen/>
        <w:t>пуск Ил-2 с металлическим крылом стрельчатой конструкции (угол стреловидности по передней кромке консолей 15°): завод № 18 - к 15 апреля, а 1-й и 30-й авиазаводы - к 15 мая (6467).</w:t>
      </w:r>
    </w:p>
    <w:p w14:paraId="4B3DBCA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7C315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января 1944 г. вышло По</w:t>
      </w:r>
      <w:r w:rsidRPr="007224C3">
        <w:rPr>
          <w:rFonts w:ascii="Times New Roman" w:hAnsi="Times New Roman"/>
          <w:color w:val="000000" w:themeColor="text1"/>
          <w:sz w:val="16"/>
          <w:szCs w:val="16"/>
        </w:rPr>
        <w:softHyphen/>
        <w:t>становление ГОКО, которое обязывало все три авиазавода к началу лета пол</w:t>
      </w:r>
      <w:r w:rsidRPr="007224C3">
        <w:rPr>
          <w:rFonts w:ascii="Times New Roman" w:hAnsi="Times New Roman"/>
          <w:color w:val="000000" w:themeColor="text1"/>
          <w:sz w:val="16"/>
          <w:szCs w:val="16"/>
        </w:rPr>
        <w:softHyphen/>
        <w:t>ностью перейти на выпуск Ил-2 с ме</w:t>
      </w:r>
      <w:r w:rsidRPr="007224C3">
        <w:rPr>
          <w:rFonts w:ascii="Times New Roman" w:hAnsi="Times New Roman"/>
          <w:color w:val="000000" w:themeColor="text1"/>
          <w:sz w:val="16"/>
          <w:szCs w:val="16"/>
        </w:rPr>
        <w:softHyphen/>
        <w:t>таллическим крылом «со стрелкой» (угол стреловидности по передней кромке консолей 15°): завод № 18 -до 15 апреля, а 1-й и 30-й авиазаводы - до 15 мая. При этом снижать достиг</w:t>
      </w:r>
      <w:r w:rsidRPr="007224C3">
        <w:rPr>
          <w:rFonts w:ascii="Times New Roman" w:hAnsi="Times New Roman"/>
          <w:color w:val="000000" w:themeColor="text1"/>
          <w:sz w:val="16"/>
          <w:szCs w:val="16"/>
        </w:rPr>
        <w:softHyphen/>
        <w:t>нутый уровень производства самоле</w:t>
      </w:r>
      <w:r w:rsidRPr="007224C3">
        <w:rPr>
          <w:rFonts w:ascii="Times New Roman" w:hAnsi="Times New Roman"/>
          <w:color w:val="000000" w:themeColor="text1"/>
          <w:sz w:val="16"/>
          <w:szCs w:val="16"/>
        </w:rPr>
        <w:softHyphen/>
        <w:t>тов запрещалось.</w:t>
      </w:r>
    </w:p>
    <w:p w14:paraId="297D66B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Постановление ГОКО, помимо уста</w:t>
      </w:r>
      <w:r w:rsidRPr="007224C3">
        <w:rPr>
          <w:rFonts w:ascii="Times New Roman" w:hAnsi="Times New Roman"/>
          <w:color w:val="000000" w:themeColor="text1"/>
          <w:sz w:val="16"/>
          <w:szCs w:val="16"/>
        </w:rPr>
        <w:softHyphen/>
        <w:t>новления сроков выпуска модифици</w:t>
      </w:r>
      <w:r w:rsidRPr="007224C3">
        <w:rPr>
          <w:rFonts w:ascii="Times New Roman" w:hAnsi="Times New Roman"/>
          <w:color w:val="000000" w:themeColor="text1"/>
          <w:sz w:val="16"/>
          <w:szCs w:val="16"/>
        </w:rPr>
        <w:softHyphen/>
        <w:t>рованных Ил-2 и повышения ответ</w:t>
      </w:r>
      <w:r w:rsidRPr="007224C3">
        <w:rPr>
          <w:rFonts w:ascii="Times New Roman" w:hAnsi="Times New Roman"/>
          <w:color w:val="000000" w:themeColor="text1"/>
          <w:sz w:val="16"/>
          <w:szCs w:val="16"/>
        </w:rPr>
        <w:softHyphen/>
        <w:t>ственности руководства авиазаводов, давало наркомату авиапромышленно</w:t>
      </w:r>
      <w:r w:rsidRPr="007224C3">
        <w:rPr>
          <w:rFonts w:ascii="Times New Roman" w:hAnsi="Times New Roman"/>
          <w:color w:val="000000" w:themeColor="text1"/>
          <w:sz w:val="16"/>
          <w:szCs w:val="16"/>
        </w:rPr>
        <w:softHyphen/>
        <w:t>сти и определенные преимущества при решении ряда вопросов материально-технического снабжения авиазаводов.</w:t>
      </w:r>
    </w:p>
    <w:p w14:paraId="4ADA565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Внедрение в серийное производ</w:t>
      </w:r>
      <w:r w:rsidRPr="007224C3">
        <w:rPr>
          <w:rFonts w:ascii="Times New Roman" w:hAnsi="Times New Roman"/>
          <w:color w:val="000000" w:themeColor="text1"/>
          <w:sz w:val="16"/>
          <w:szCs w:val="16"/>
        </w:rPr>
        <w:softHyphen/>
        <w:t xml:space="preserve">ство Ил-2 с новым крылом все же шло «со </w:t>
      </w:r>
      <w:r w:rsidRPr="007224C3">
        <w:rPr>
          <w:rFonts w:ascii="Times New Roman" w:hAnsi="Times New Roman"/>
          <w:iCs/>
          <w:color w:val="000000" w:themeColor="text1"/>
          <w:sz w:val="16"/>
          <w:szCs w:val="16"/>
        </w:rPr>
        <w:t>скрипом». К 1 апреля «завод № 1 сдал по сборке 20 самолетов, завод № 18-4 самолета, завод № 30 - 22 само</w:t>
      </w:r>
      <w:r w:rsidRPr="007224C3">
        <w:rPr>
          <w:rFonts w:ascii="Times New Roman" w:hAnsi="Times New Roman"/>
          <w:iCs/>
          <w:color w:val="000000" w:themeColor="text1"/>
          <w:sz w:val="16"/>
          <w:szCs w:val="16"/>
        </w:rPr>
        <w:softHyphen/>
        <w:t xml:space="preserve">лета». </w:t>
      </w:r>
      <w:r w:rsidRPr="007224C3">
        <w:rPr>
          <w:rFonts w:ascii="Times New Roman" w:hAnsi="Times New Roman"/>
          <w:color w:val="000000" w:themeColor="text1"/>
          <w:sz w:val="16"/>
          <w:szCs w:val="16"/>
        </w:rPr>
        <w:t>Возникла, как писал начальник ГУЗ ВВС генерал-лейтенант Н. П. Селез</w:t>
      </w:r>
      <w:r w:rsidRPr="007224C3">
        <w:rPr>
          <w:rFonts w:ascii="Times New Roman" w:hAnsi="Times New Roman"/>
          <w:color w:val="000000" w:themeColor="text1"/>
          <w:sz w:val="16"/>
          <w:szCs w:val="16"/>
        </w:rPr>
        <w:softHyphen/>
        <w:t xml:space="preserve">нев, </w:t>
      </w:r>
      <w:r w:rsidRPr="007224C3">
        <w:rPr>
          <w:rFonts w:ascii="Times New Roman" w:hAnsi="Times New Roman"/>
          <w:iCs/>
          <w:color w:val="000000" w:themeColor="text1"/>
          <w:sz w:val="16"/>
          <w:szCs w:val="16"/>
        </w:rPr>
        <w:t xml:space="preserve">«угроза срыва сроков выполнения решения». </w:t>
      </w:r>
      <w:r w:rsidRPr="007224C3">
        <w:rPr>
          <w:rFonts w:ascii="Times New Roman" w:hAnsi="Times New Roman"/>
          <w:color w:val="000000" w:themeColor="text1"/>
          <w:sz w:val="16"/>
          <w:szCs w:val="16"/>
        </w:rPr>
        <w:t xml:space="preserve">Он требовал срочно </w:t>
      </w:r>
      <w:r w:rsidRPr="007224C3">
        <w:rPr>
          <w:rFonts w:ascii="Times New Roman" w:hAnsi="Times New Roman"/>
          <w:iCs/>
          <w:color w:val="000000" w:themeColor="text1"/>
          <w:sz w:val="16"/>
          <w:szCs w:val="16"/>
        </w:rPr>
        <w:t>«при</w:t>
      </w:r>
      <w:r w:rsidRPr="007224C3">
        <w:rPr>
          <w:rFonts w:ascii="Times New Roman" w:hAnsi="Times New Roman"/>
          <w:iCs/>
          <w:color w:val="000000" w:themeColor="text1"/>
          <w:sz w:val="16"/>
          <w:szCs w:val="16"/>
        </w:rPr>
        <w:softHyphen/>
        <w:t>нять меры по разворачиванию произ</w:t>
      </w:r>
      <w:r w:rsidRPr="007224C3">
        <w:rPr>
          <w:rFonts w:ascii="Times New Roman" w:hAnsi="Times New Roman"/>
          <w:iCs/>
          <w:color w:val="000000" w:themeColor="text1"/>
          <w:sz w:val="16"/>
          <w:szCs w:val="16"/>
        </w:rPr>
        <w:softHyphen/>
        <w:t>водства металлических крыльев стрельчатой конструкции».</w:t>
      </w:r>
    </w:p>
    <w:p w14:paraId="352F3BF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апреля вышло Постановление ГОКО, которое требовало от директо</w:t>
      </w:r>
      <w:r w:rsidRPr="007224C3">
        <w:rPr>
          <w:rFonts w:ascii="Times New Roman" w:hAnsi="Times New Roman"/>
          <w:color w:val="000000" w:themeColor="text1"/>
          <w:sz w:val="16"/>
          <w:szCs w:val="16"/>
        </w:rPr>
        <w:softHyphen/>
        <w:t>ров авиазаводов № 1 и 30 ускорить внедрение в серийное производство штурмовиков Ил-2 с металлическим крылом «стрельчатой конструкции».</w:t>
      </w:r>
    </w:p>
    <w:p w14:paraId="701C764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«Послабление» в отношении 18-го авиазавода объясняется следующим образом. Дело в том, что 30 марта бри</w:t>
      </w:r>
      <w:r w:rsidRPr="007224C3">
        <w:rPr>
          <w:rFonts w:ascii="Times New Roman" w:hAnsi="Times New Roman"/>
          <w:color w:val="000000" w:themeColor="text1"/>
          <w:sz w:val="16"/>
          <w:szCs w:val="16"/>
        </w:rPr>
        <w:softHyphen/>
        <w:t>гада испытателей НИИ ВВС рапортова</w:t>
      </w:r>
      <w:r w:rsidRPr="007224C3">
        <w:rPr>
          <w:rFonts w:ascii="Times New Roman" w:hAnsi="Times New Roman"/>
          <w:color w:val="000000" w:themeColor="text1"/>
          <w:sz w:val="16"/>
          <w:szCs w:val="16"/>
        </w:rPr>
        <w:softHyphen/>
        <w:t>ла руководству об успешном заверше</w:t>
      </w:r>
      <w:r w:rsidRPr="007224C3">
        <w:rPr>
          <w:rFonts w:ascii="Times New Roman" w:hAnsi="Times New Roman"/>
          <w:color w:val="000000" w:themeColor="text1"/>
          <w:sz w:val="16"/>
          <w:szCs w:val="16"/>
        </w:rPr>
        <w:softHyphen/>
        <w:t>нии государственных летных испыта</w:t>
      </w:r>
      <w:r w:rsidRPr="007224C3">
        <w:rPr>
          <w:rFonts w:ascii="Times New Roman" w:hAnsi="Times New Roman"/>
          <w:color w:val="000000" w:themeColor="text1"/>
          <w:sz w:val="16"/>
          <w:szCs w:val="16"/>
        </w:rPr>
        <w:softHyphen/>
        <w:t>ний опытного штурмовика Ил-8 АМ-42 с более высокими, чем у Ил-2, летными данными. Самолет имел много общего с Ил-2, и в случае внедрения его в мас</w:t>
      </w:r>
      <w:r w:rsidRPr="007224C3">
        <w:rPr>
          <w:rFonts w:ascii="Times New Roman" w:hAnsi="Times New Roman"/>
          <w:color w:val="000000" w:themeColor="text1"/>
          <w:sz w:val="16"/>
          <w:szCs w:val="16"/>
        </w:rPr>
        <w:softHyphen/>
        <w:t>совое производство можно было ис</w:t>
      </w:r>
      <w:r w:rsidRPr="007224C3">
        <w:rPr>
          <w:rFonts w:ascii="Times New Roman" w:hAnsi="Times New Roman"/>
          <w:color w:val="000000" w:themeColor="text1"/>
          <w:sz w:val="16"/>
          <w:szCs w:val="16"/>
        </w:rPr>
        <w:softHyphen/>
        <w:t>пользовать те же конвейеры и боль</w:t>
      </w:r>
      <w:r w:rsidRPr="007224C3">
        <w:rPr>
          <w:rFonts w:ascii="Times New Roman" w:hAnsi="Times New Roman"/>
          <w:color w:val="000000" w:themeColor="text1"/>
          <w:sz w:val="16"/>
          <w:szCs w:val="16"/>
        </w:rPr>
        <w:softHyphen/>
        <w:t>шую часть имеющейся оснастки. По этой причине наркомат авиапромыш</w:t>
      </w:r>
      <w:r w:rsidRPr="007224C3">
        <w:rPr>
          <w:rFonts w:ascii="Times New Roman" w:hAnsi="Times New Roman"/>
          <w:color w:val="000000" w:themeColor="text1"/>
          <w:sz w:val="16"/>
          <w:szCs w:val="16"/>
        </w:rPr>
        <w:softHyphen/>
        <w:t>ленности вынашивал планы перевода производства авиазавода № 18 на се</w:t>
      </w:r>
      <w:r w:rsidRPr="007224C3">
        <w:rPr>
          <w:rFonts w:ascii="Times New Roman" w:hAnsi="Times New Roman"/>
          <w:color w:val="000000" w:themeColor="text1"/>
          <w:sz w:val="16"/>
          <w:szCs w:val="16"/>
        </w:rPr>
        <w:softHyphen/>
        <w:t>рийный выпуск Ил-8 уже с лета 1944 г., а авиазаводов № 1 и № 30 - в первом полугодии следующего года. Кроме этого, на завершающей стадии заводс</w:t>
      </w:r>
      <w:r w:rsidRPr="007224C3">
        <w:rPr>
          <w:rFonts w:ascii="Times New Roman" w:hAnsi="Times New Roman"/>
          <w:color w:val="000000" w:themeColor="text1"/>
          <w:sz w:val="16"/>
          <w:szCs w:val="16"/>
        </w:rPr>
        <w:softHyphen/>
        <w:t>ких испытаний находился опытный штурмовик ОКБ П. 0. Сухого Су-б, кото</w:t>
      </w:r>
      <w:r w:rsidRPr="007224C3">
        <w:rPr>
          <w:rFonts w:ascii="Times New Roman" w:hAnsi="Times New Roman"/>
          <w:color w:val="000000" w:themeColor="text1"/>
          <w:sz w:val="16"/>
          <w:szCs w:val="16"/>
        </w:rPr>
        <w:softHyphen/>
        <w:t>рый лучше подходил для боя, чем Ил-8. На подходе был еще один опытный штурмовик-Ил-10 АМ-42. Учитывая эти обстоятельства, было решено с форси</w:t>
      </w:r>
      <w:r w:rsidRPr="007224C3">
        <w:rPr>
          <w:rFonts w:ascii="Times New Roman" w:hAnsi="Times New Roman"/>
          <w:color w:val="000000" w:themeColor="text1"/>
          <w:sz w:val="16"/>
          <w:szCs w:val="16"/>
        </w:rPr>
        <w:softHyphen/>
        <w:t>рованием выпуска модифицированно</w:t>
      </w:r>
      <w:r w:rsidRPr="007224C3">
        <w:rPr>
          <w:rFonts w:ascii="Times New Roman" w:hAnsi="Times New Roman"/>
          <w:color w:val="000000" w:themeColor="text1"/>
          <w:sz w:val="16"/>
          <w:szCs w:val="16"/>
        </w:rPr>
        <w:softHyphen/>
        <w:t>го Ил-2 на 18-м авиазаводе подождать до тех пор, пока не станет ясно, какой из трех опытных штурмовиков будет поставлен на вооружение ВВС.</w:t>
      </w:r>
    </w:p>
    <w:p w14:paraId="0EF366A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Авиазавод № 18 вышел на плано</w:t>
      </w:r>
      <w:r w:rsidRPr="007224C3">
        <w:rPr>
          <w:rFonts w:ascii="Times New Roman" w:hAnsi="Times New Roman"/>
          <w:color w:val="000000" w:themeColor="text1"/>
          <w:sz w:val="16"/>
          <w:szCs w:val="16"/>
        </w:rPr>
        <w:softHyphen/>
        <w:t>вый уровень производства самолетов Ил-2 с металлическим крылом «стрель</w:t>
      </w:r>
      <w:r w:rsidRPr="007224C3">
        <w:rPr>
          <w:rFonts w:ascii="Times New Roman" w:hAnsi="Times New Roman"/>
          <w:color w:val="000000" w:themeColor="text1"/>
          <w:sz w:val="16"/>
          <w:szCs w:val="16"/>
        </w:rPr>
        <w:softHyphen/>
        <w:t>чатой конструкции» лишь к июню, а 1-й и 30-й заводы - к сентябрю 1944 г. В общей сложности к концу года в стро</w:t>
      </w:r>
      <w:r w:rsidRPr="007224C3">
        <w:rPr>
          <w:rFonts w:ascii="Times New Roman" w:hAnsi="Times New Roman"/>
          <w:color w:val="000000" w:themeColor="text1"/>
          <w:sz w:val="16"/>
          <w:szCs w:val="16"/>
        </w:rPr>
        <w:softHyphen/>
        <w:t xml:space="preserve">евые части ВВС было отправлено 7377 Ил-2 </w:t>
      </w:r>
      <w:r w:rsidRPr="007224C3">
        <w:rPr>
          <w:rFonts w:ascii="Times New Roman" w:hAnsi="Times New Roman"/>
          <w:iCs/>
          <w:color w:val="000000" w:themeColor="text1"/>
          <w:sz w:val="16"/>
          <w:szCs w:val="16"/>
        </w:rPr>
        <w:t xml:space="preserve">«крыло со стрелкой». </w:t>
      </w:r>
      <w:r w:rsidRPr="007224C3">
        <w:rPr>
          <w:rFonts w:ascii="Times New Roman" w:hAnsi="Times New Roman"/>
          <w:color w:val="000000" w:themeColor="text1"/>
          <w:sz w:val="16"/>
          <w:szCs w:val="16"/>
        </w:rPr>
        <w:t>При этом авиазаводы № 1 и № 30 выпускали са</w:t>
      </w:r>
      <w:r w:rsidRPr="007224C3">
        <w:rPr>
          <w:rFonts w:ascii="Times New Roman" w:hAnsi="Times New Roman"/>
          <w:color w:val="000000" w:themeColor="text1"/>
          <w:sz w:val="16"/>
          <w:szCs w:val="16"/>
        </w:rPr>
        <w:softHyphen/>
        <w:t>молеты и с металлическим, и с дере</w:t>
      </w:r>
      <w:r w:rsidRPr="007224C3">
        <w:rPr>
          <w:rFonts w:ascii="Times New Roman" w:hAnsi="Times New Roman"/>
          <w:color w:val="000000" w:themeColor="text1"/>
          <w:sz w:val="16"/>
          <w:szCs w:val="16"/>
        </w:rPr>
        <w:softHyphen/>
        <w:t>вянным крылом. Все самолеты имели «стандартное» для 1944 г. наступатель</w:t>
      </w:r>
      <w:r w:rsidRPr="007224C3">
        <w:rPr>
          <w:rFonts w:ascii="Times New Roman" w:hAnsi="Times New Roman"/>
          <w:color w:val="000000" w:themeColor="text1"/>
          <w:sz w:val="16"/>
          <w:szCs w:val="16"/>
        </w:rPr>
        <w:softHyphen/>
        <w:t>ное вооружение: пушки ВЯ, пулеметы ШКАС, «эрэсы» и бомбы (11215).</w:t>
      </w:r>
    </w:p>
    <w:p w14:paraId="2AB6DAA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3F02B4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января 1944 г. вышло Постановление ГКО, которое обязывало все три авиазавода к началу лета полностью перейти на выпуск Ил-2 с металлическим крылом "со стрелкой" (угол стреловидности по передней кромке консолей 15°): завод № 18 - до 15 апреля, а 1-й и 30-й авиазаводы - до 15 мая. При этом снижать достигнутый уровень производства самолетов запрещалось. Соответствующий приказ НКАП был подписан на следующий день.</w:t>
      </w:r>
    </w:p>
    <w:p w14:paraId="6FB8925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Следует отметить, что Постановление ГКО, помимо установления сроков выпуска модифицированных Ил-2 и повышения ответственности руководства авиазаводов, давало наркомату авиапромышленности и определенные преимущества при решении ряда вопросов материально-технического снабжения авиазаводов.</w:t>
      </w:r>
    </w:p>
    <w:p w14:paraId="16D1F34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Несмотря на предпринятые шаги, внедрение в серийное производство Ил-2 с новым крылом все же шло "со скрипом". К 1 апреля "завод № 1 сдал по сборке 20 самолетов, завод № 18 - 4 самолета, завод № 30 - 22 самолета". Возникла, как писал начальник Главного управления заказов ВВС генерал-лейтенант Н. П. Селезнев, "угроза срыва сроков выполнения решения". Он требовал срочно "принять меры по разворачиванию производства металлических крыльев стрельчатой конструкции" (12020).</w:t>
      </w:r>
    </w:p>
    <w:p w14:paraId="0F6E0FE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0C65047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января 1944 года гл. конструктор по моторостроению Урмин писал письмо Шахурину и гл. конструктору завода NN 19 и 29 Швецову А.Д.</w:t>
      </w:r>
    </w:p>
    <w:p w14:paraId="1A68D9C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качестве гл. конструктора завода N 29 в период 1940-1943 г.г. мною были проведены и начаты ряд работ и в частности:</w:t>
      </w:r>
    </w:p>
    <w:p w14:paraId="4377F9B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М-95 - трехрядная 27-цилиндровая звезда мощностью 3000 л.с. и выше оригинальной конструктивной схемы, с трехклапанной головкой, двумя спереди расположеннными трехскоростными нагнетателями, вентилятором, коленвалом с двумя демпферами и виброизолятором, со стальным картером и т.д. Данная конструктивная схема применима и к другой размерности цилиндра. Заканчивается компоновка мотора, начата лабораторная отработка элементов.</w:t>
      </w:r>
    </w:p>
    <w:p w14:paraId="6CB2D6F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Треxклапанная головка - упомянутая выше (два клапана всасывания и один клапан выхлопа), раэработанная применительно к размерности диам. 146 мм (3МФ, 4М, М-95) и диам. 155.5 мм (М-84). Проведены лабораторные испытания макетов головок, заканчивается изготовяейие цилиндра ЗМФ.</w:t>
      </w:r>
    </w:p>
    <w:p w14:paraId="23EC94A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Агрегат КНВ - карбюратор с непосредствевнным впрыском топлива в полость импеллера нагнетателя через форсунку , регулируемуюконичесйсй иглой. Ход иглы ретулируехся в зависимости от давления, температуры воздуха и оборотов с помощью регулятора РС-2 (но с камерами, герметизированными резиновыми диафрагмами, вместо металлических анероидов) и с помощью центробежного регулятора типа Р-2. Агрегат прошел 50-час. испытания на одноцилиндровом двигателе, отрегулирован на спец. установке и полностью подготовлен для длительных испытаний на моторе. Агрегат запроектирован применительно к моторам М-92, М-95, ЭМФ. Имеется помпоновка установки агрегата на моторах типа М-82.</w:t>
      </w:r>
    </w:p>
    <w:p w14:paraId="460F67A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Мотор М-89 - развитие мотора М-88, полностью перепороектированный в ноябре 1940 года (новые цилиндровая группа, шатунно-кривошипный механизм, редуктор, картер, нагнетатель, задняя крышка с центрифугой). Мотор в июле 1941 г. прошел гос. стендовые и летные испытания, выпущен заводом в эксплуатацию в количестве 100 единиц.</w:t>
      </w:r>
    </w:p>
    <w:p w14:paraId="5808C9E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Модификация мотора М-89.</w:t>
      </w:r>
    </w:p>
    <w:p w14:paraId="6436D1B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М-89 НВ - с непосредственным впрыском топлива во всасывающий патрубок. Прошел совместные 50-часовые испытания в июле 1941 г.</w:t>
      </w:r>
    </w:p>
    <w:p w14:paraId="26189D7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М-89 Б - с данными на 1-й скорости выше на 250 л.с. Прошел внутризаводское 100-часовое испытание в июле 1944 года.</w:t>
      </w:r>
    </w:p>
    <w:p w14:paraId="195ECB3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3-МФ - с литым стальным картером, стальными крышками картера, трехклапанной головкой цилиндра, усиленным коленвалом. Мотор заканчивается производством для опытных испытаний. Намечаемые данные - мощность на взлете около 1800 л.с. и соответственный прирост на других высотах.</w:t>
      </w:r>
    </w:p>
    <w:p w14:paraId="64A6815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Мотор М-90 - полностью переконструированный в период февраль-апрель 1941 г. (новые цилиндровая группа, редуктор, шатунно-кривошипный механизм, задняя крышка и нагнетатель). В результате проведенных мероприятий без изменения размерностей цилиндров и без повышения числа оборотов и наддува, при уменьшенных размерах клапанов всасывания и выхлопа</w:t>
      </w:r>
    </w:p>
    <w:p w14:paraId="62BC3B8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габарит мотора снижен с 1300 до 1286 мм</w:t>
      </w:r>
    </w:p>
    <w:p w14:paraId="6A444C8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мощность мотора на взлете повысилась с 1650-1700 л.с.</w:t>
      </w:r>
    </w:p>
    <w:p w14:paraId="5938065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 2000 л.с. на госисипытании, т.е. на 300-350 л.с.; на 250-300 на номинале 1-й скорости и на 100 л.с. на номинале 2-й скорости вместе с повышением высотности, примерно, на 500 м.</w:t>
      </w:r>
    </w:p>
    <w:p w14:paraId="5558461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августе 1942 г. закончены совместные 50 часовые испытания и в период октябрь-декабрь 1943 г. проведены гос. стендовые 100-часовые испытания, вопрос о зачете которых сейчас решается.</w:t>
      </w:r>
    </w:p>
    <w:p w14:paraId="3686D92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Модификация мотора М-90:</w:t>
      </w:r>
    </w:p>
    <w:p w14:paraId="6E46328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М-92 - с новой трехклапанной головкой и трехскоростным нагнетателем. Ведется изготовление цилиндровой группы и лабораторная отработка элементов мотора.</w:t>
      </w:r>
    </w:p>
    <w:p w14:paraId="160CE16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Возобновление в ноябре 1940 г. серийного выпуска мотора М-88Б с последующим увеличением ресурса работы до 250 часов: начало отработки ресурса в 400 часов.</w:t>
      </w:r>
    </w:p>
    <w:p w14:paraId="072ED74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Прошу Ваших указаний о признании за мной в соответствии с существующем в НКАП положением, доли участия в этих работах - в случае их дальнейшего развития (1825,10).</w:t>
      </w:r>
    </w:p>
    <w:p w14:paraId="2B046EA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1572D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18 января по 20 апреля 1944 А.Г.Прошаков проводил гос. испытания Як-9У с ВК-107А. Строили серийно с апреля 1944 по август 1945 и сделали 3921 (65,148).</w:t>
      </w:r>
    </w:p>
    <w:p w14:paraId="25E3F6E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83D05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января 1944 года производился отстрел вооружения после доводок установок на Як-9У с ВЯ. Вновь выявлен крупный дефект - деформация взрывателей снарядов ВЯ в патронном рукаве. С 18 января 1944 года по 22 января 1944 года заводом N 115 заменялась передняя верхняя крышка капота мотора, газоотводные трубы (установлены большого диаметра), кронштейны их и несколько изменен патронный рукав ВЯ (1821,34).</w:t>
      </w:r>
    </w:p>
    <w:p w14:paraId="1CDD4E7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17D41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18 января по 20 апреля 1944 летчики-испытатели НИИ ВВС 45 раз поднимались на Як-9У в воздух, налетав 22 часа 5 минут. Самолет поступил на испытания в январе с винтом обратной схемы АВ-10П-20, замененным впоследствии ВИШ-107Л5. Ведущими по машине были инженер А.Т. Степанец и летчик А.Г. Прошаков. Самолет облетали Ю.А. Антипов и А.Г. Кубышкин.</w:t>
      </w:r>
    </w:p>
    <w:p w14:paraId="3A2F69C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плане НКАП на 1943 год числился Як-9 с двигателем М-107А со следующими данными: максимальная скорость у земли - 580 км/ч, а на высоте 5900 м - 590 км/ч, при посадочной - 147 км/ч; время виража на высоте 1000 м - 18 секунд и практический потолок - 11 500 м. Его вооружение ограничивалось 20-миллиметровой пушкой с боезапасом 120 патронов и пулеметом калибром 12,7 мм с 200 патронами. На государственные испытания машину предписывалось передать к 15 июня 1943 г. Однако из-за трудностей с доводкой двигателя создание этого истребителя затянулось.</w:t>
      </w:r>
    </w:p>
    <w:p w14:paraId="47FA4D8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Як-9У с мотором ВК-107А построили в соответствие декабрьским 1943 года постановлением ГКО на базе пушечного Як-9Т. При этом заимствовали ряд технических решений с истребителя Як-3 с двигателем ВК-105ПФ.</w:t>
      </w:r>
    </w:p>
    <w:p w14:paraId="687C805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тому времени ВК-107А прошел 100-часовые стендовые испытания и развивал мощность 1650 л.с. на первой границе высотности (1800 м) и 1500 л.с. на 4500 м (вторая граница высотности). Новый двигатель потребовал изменения конструкции подмо- торной рамы и фермы крепления оружия из-за установки второго пулемета (на Як-9Т устанавливали 37-миллиметровую пушку и пулемет БС). Вооружение Як-9У с двигателем ВК-107А состояло из мотор-пушки МП-20 и двух синхронных пулеметов УБС.</w:t>
      </w:r>
    </w:p>
    <w:p w14:paraId="0B547D1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сравнению с предшественником, на новой машине установили маслорадиатор с большей теплоотдачей и перенесли его в центроплан крыла по типу Як-3. При этом укоротили трубки водорадиатора и улучшили внешние и внутренние обводы его тоннеля.</w:t>
      </w:r>
    </w:p>
    <w:p w14:paraId="434EF1D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Тогда же доработали нижнюю панель фюзеляжа между вторым и четвертым шпангоутами из-за размещения нового водорадиатора и вала ручного управления машиной, смонтированного на каркасе фюзеляжа.</w:t>
      </w:r>
    </w:p>
    <w:p w14:paraId="46A141F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фонаре кабины пилота появился механизм аварийного сброса его сдвижной части, а с козырька сняли лобовое бронестекло, сделав его более обтекаемым из гнутого плексигласа. Но, как выяснилось позже, снижение аэродинамического сопротивления фонаря сильно исказило изображение передней полусферы.</w:t>
      </w:r>
    </w:p>
    <w:p w14:paraId="336D622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Убрали подлокотники для летчика, оказавшиеся лишними в непродолжительном полете и утяжелявшие истребитель. От Як-3 так же заимствовали бронеспинку, заголовник из прозрачной брони, надголовник и полуавтоматический стопор костыльной опоры.</w:t>
      </w:r>
    </w:p>
    <w:p w14:paraId="065C14F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Два семилитровых воздушных баллона заменили одним - объемом восемь литров. Сняли грузы весовой компенсации элеронов и на 200 мм увеличили размах аэродинамического компенсатора руля высоты.</w:t>
      </w:r>
    </w:p>
    <w:p w14:paraId="159D1F8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Как известно различные щели в планере приводят не только к задуванию кабины, но и к увеличению аэродинамического сопротивления. В связи с этим, заделали щели (герметизировали) в противопожарной перегородке, крыле, кабине, хвостовой части фюзеляжа, отсеках бензобаков и в тоннеле маслорадиатора.</w:t>
      </w:r>
    </w:p>
    <w:p w14:paraId="47D0133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Полотняными перегородками закрыли щели между крылом и элеронами, что исключило перетекание воздуха и, как следствие, улучшило аэродинамику машины. Также отполировали передние кромки крыла, оперения и носовой части капота мотора.</w:t>
      </w:r>
    </w:p>
    <w:p w14:paraId="147D877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своих выводах специалисты института отмечали, в частности, что опытный Як-9У с ВК-107А по максимальной скорости горизонтального полета, скороподъемности и вертикальной маневренности в диапазоне высот до 6000 м является лучшим из известных отечественных и иностранных истребителей.</w:t>
      </w:r>
    </w:p>
    <w:p w14:paraId="2EC27DF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 скорость горизонтального полета на боевом режиме составляла: у земли (на высоте 5000 м) 600 км/ч (690 км/ч), что больше, чем у трехточечного Me-109G-2 на 76 км/ч (80 км/ч), у FW-190A-4 - на 90 км/ч (102 км/ч), Як-9Т - на 67 км/ч (105 км/ч), Як-9У эталона 1944 года - на 42 км/ч (75 км/ч), Як-3 "Дублера" - на 30 км/ч (42 км/ч) и Ла-7 эталона 1944 года - на 29 км/ч.</w:t>
      </w:r>
    </w:p>
    <w:p w14:paraId="7667BDE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Время набора высоты 5000 м на боевом режиме не превышало 4,1 минуты, что было почти как у Як-3 "Дублер" и меньше на 0,3 минуты, по сравнению с трехточечным Ме- 109G-2. Дольше набирали эту высоту FW190A-4 - на 2,7 минуты, Як-9Т - на 1,4 минуты, Як-9У с мотором М-105ПФ - на 0,7 минуты и Ла-7 - на 0,35 минуты. Последние две машины стали эталонами 1944 г.</w:t>
      </w:r>
    </w:p>
    <w:p w14:paraId="04EE32B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Установка двигателя ВК-107А не усложнила технику пилотирования. Самолет оставался простым в управлении и доступным для летчиков средней квалификации.</w:t>
      </w:r>
    </w:p>
    <w:p w14:paraId="411BAB6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Заказчик посчитал бронезашиту летчика недостаточной и не отвечавшей, предъявлявшимся к ней требованиям. Военные испытатели отметили и отсутствие зеркала, что затрудняло обзор задней полусферы.</w:t>
      </w:r>
    </w:p>
    <w:p w14:paraId="5D8B9F5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заключение "Акта по результатам государственных испытаний..." отмечалось: "Для быстрейшей доводки и ввода в строй Як-9У необходимо срочно провести войсковые и эксплуатационные испытания самолета..." (12046).</w:t>
      </w:r>
    </w:p>
    <w:p w14:paraId="506C3E9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Основные данные унифицированных истребителей Як-9У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5106D0" w:rsidRPr="007224C3" w14:paraId="009F353B" w14:textId="77777777">
        <w:tc>
          <w:tcPr>
            <w:tcW w:w="1868" w:type="dxa"/>
            <w:tcBorders>
              <w:top w:val="single" w:sz="12" w:space="0" w:color="auto"/>
            </w:tcBorders>
          </w:tcPr>
          <w:p w14:paraId="63AA285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Тип</w:t>
            </w:r>
          </w:p>
        </w:tc>
        <w:tc>
          <w:tcPr>
            <w:tcW w:w="1868" w:type="dxa"/>
            <w:tcBorders>
              <w:top w:val="single" w:sz="12" w:space="0" w:color="auto"/>
            </w:tcBorders>
          </w:tcPr>
          <w:p w14:paraId="11DA19E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top w:val="single" w:sz="12" w:space="0" w:color="auto"/>
            </w:tcBorders>
          </w:tcPr>
          <w:p w14:paraId="772152C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Як-9У</w:t>
            </w:r>
          </w:p>
        </w:tc>
        <w:tc>
          <w:tcPr>
            <w:tcW w:w="1868" w:type="dxa"/>
            <w:tcBorders>
              <w:top w:val="single" w:sz="12" w:space="0" w:color="auto"/>
            </w:tcBorders>
          </w:tcPr>
          <w:p w14:paraId="54720A5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top w:val="single" w:sz="12" w:space="0" w:color="auto"/>
            </w:tcBorders>
          </w:tcPr>
          <w:p w14:paraId="3603884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ЯК-9УТ</w:t>
            </w:r>
          </w:p>
        </w:tc>
        <w:tc>
          <w:tcPr>
            <w:tcW w:w="1868" w:type="dxa"/>
            <w:tcBorders>
              <w:top w:val="single" w:sz="12" w:space="0" w:color="auto"/>
            </w:tcBorders>
          </w:tcPr>
          <w:p w14:paraId="4090732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ЯК-9УВ</w:t>
            </w:r>
          </w:p>
        </w:tc>
      </w:tr>
      <w:tr w:rsidR="005106D0" w:rsidRPr="007224C3" w14:paraId="2E7AED9A" w14:textId="77777777">
        <w:tc>
          <w:tcPr>
            <w:tcW w:w="1868" w:type="dxa"/>
          </w:tcPr>
          <w:p w14:paraId="76C9CE8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70516C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948319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1943 г.</w:t>
            </w:r>
          </w:p>
        </w:tc>
        <w:tc>
          <w:tcPr>
            <w:tcW w:w="1868" w:type="dxa"/>
          </w:tcPr>
          <w:p w14:paraId="41A3C23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25E15E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40-022</w:t>
            </w:r>
          </w:p>
        </w:tc>
        <w:tc>
          <w:tcPr>
            <w:tcW w:w="1868" w:type="dxa"/>
          </w:tcPr>
          <w:p w14:paraId="2E7A8CD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09187C6" w14:textId="77777777">
        <w:tc>
          <w:tcPr>
            <w:tcW w:w="1868" w:type="dxa"/>
          </w:tcPr>
          <w:p w14:paraId="3CF9F55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Двигатель</w:t>
            </w:r>
          </w:p>
        </w:tc>
        <w:tc>
          <w:tcPr>
            <w:tcW w:w="1868" w:type="dxa"/>
          </w:tcPr>
          <w:p w14:paraId="5C455CD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C06E52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М-105ПФ21</w:t>
            </w:r>
          </w:p>
        </w:tc>
        <w:tc>
          <w:tcPr>
            <w:tcW w:w="1868" w:type="dxa"/>
          </w:tcPr>
          <w:p w14:paraId="5F92664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ВК-107А</w:t>
            </w:r>
          </w:p>
        </w:tc>
        <w:tc>
          <w:tcPr>
            <w:tcW w:w="1868" w:type="dxa"/>
          </w:tcPr>
          <w:p w14:paraId="0E6AB2E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ВК-107А</w:t>
            </w:r>
          </w:p>
        </w:tc>
        <w:tc>
          <w:tcPr>
            <w:tcW w:w="1868" w:type="dxa"/>
          </w:tcPr>
          <w:p w14:paraId="2E5DD3C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C693BE5" w14:textId="77777777">
        <w:tc>
          <w:tcPr>
            <w:tcW w:w="1868" w:type="dxa"/>
          </w:tcPr>
          <w:p w14:paraId="4A12B00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Размах крыла, м</w:t>
            </w:r>
          </w:p>
        </w:tc>
        <w:tc>
          <w:tcPr>
            <w:tcW w:w="1868" w:type="dxa"/>
          </w:tcPr>
          <w:p w14:paraId="49F7514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FF724F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9,74</w:t>
            </w:r>
          </w:p>
        </w:tc>
        <w:tc>
          <w:tcPr>
            <w:tcW w:w="1868" w:type="dxa"/>
          </w:tcPr>
          <w:p w14:paraId="37519C0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0DA936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9,74</w:t>
            </w:r>
          </w:p>
        </w:tc>
        <w:tc>
          <w:tcPr>
            <w:tcW w:w="1868" w:type="dxa"/>
          </w:tcPr>
          <w:p w14:paraId="6C55A35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9,74</w:t>
            </w:r>
          </w:p>
        </w:tc>
      </w:tr>
      <w:tr w:rsidR="005106D0" w:rsidRPr="007224C3" w14:paraId="39576904" w14:textId="77777777">
        <w:tc>
          <w:tcPr>
            <w:tcW w:w="1868" w:type="dxa"/>
          </w:tcPr>
          <w:p w14:paraId="5C2B85A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Длина, м</w:t>
            </w:r>
          </w:p>
        </w:tc>
        <w:tc>
          <w:tcPr>
            <w:tcW w:w="1868" w:type="dxa"/>
          </w:tcPr>
          <w:p w14:paraId="0CB319C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DEFE2E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8,5</w:t>
            </w:r>
          </w:p>
        </w:tc>
        <w:tc>
          <w:tcPr>
            <w:tcW w:w="1868" w:type="dxa"/>
          </w:tcPr>
          <w:p w14:paraId="06E0469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50172D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8,55</w:t>
            </w:r>
          </w:p>
        </w:tc>
        <w:tc>
          <w:tcPr>
            <w:tcW w:w="1868" w:type="dxa"/>
          </w:tcPr>
          <w:p w14:paraId="03A057D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8,55</w:t>
            </w:r>
          </w:p>
        </w:tc>
      </w:tr>
      <w:tr w:rsidR="005106D0" w:rsidRPr="007224C3" w14:paraId="7C1C8051" w14:textId="77777777">
        <w:tc>
          <w:tcPr>
            <w:tcW w:w="1868" w:type="dxa"/>
          </w:tcPr>
          <w:p w14:paraId="69648CF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Площадь крыла, мг</w:t>
            </w:r>
          </w:p>
        </w:tc>
        <w:tc>
          <w:tcPr>
            <w:tcW w:w="1868" w:type="dxa"/>
          </w:tcPr>
          <w:p w14:paraId="51813A7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5AC094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17,15</w:t>
            </w:r>
          </w:p>
        </w:tc>
        <w:tc>
          <w:tcPr>
            <w:tcW w:w="1868" w:type="dxa"/>
          </w:tcPr>
          <w:p w14:paraId="13EC7E7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2BBC83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17,15</w:t>
            </w:r>
          </w:p>
        </w:tc>
        <w:tc>
          <w:tcPr>
            <w:tcW w:w="1868" w:type="dxa"/>
          </w:tcPr>
          <w:p w14:paraId="28FC8F9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17,15</w:t>
            </w:r>
          </w:p>
        </w:tc>
      </w:tr>
      <w:tr w:rsidR="005106D0" w:rsidRPr="007224C3" w14:paraId="2DA58BCD" w14:textId="77777777">
        <w:tc>
          <w:tcPr>
            <w:tcW w:w="1868" w:type="dxa"/>
          </w:tcPr>
          <w:p w14:paraId="6C73B10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Взлетный вес, кг</w:t>
            </w:r>
          </w:p>
        </w:tc>
        <w:tc>
          <w:tcPr>
            <w:tcW w:w="1868" w:type="dxa"/>
          </w:tcPr>
          <w:p w14:paraId="2D5BB22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1CEAD8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0E3FDB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5884D7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911743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B847EFC" w14:textId="77777777">
        <w:tc>
          <w:tcPr>
            <w:tcW w:w="1868" w:type="dxa"/>
          </w:tcPr>
          <w:p w14:paraId="42F0F52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нормальный</w:t>
            </w:r>
          </w:p>
        </w:tc>
        <w:tc>
          <w:tcPr>
            <w:tcW w:w="1868" w:type="dxa"/>
          </w:tcPr>
          <w:p w14:paraId="30F92C5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227ADC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2900</w:t>
            </w:r>
          </w:p>
        </w:tc>
        <w:tc>
          <w:tcPr>
            <w:tcW w:w="1868" w:type="dxa"/>
          </w:tcPr>
          <w:p w14:paraId="274345E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ADE4E4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3260</w:t>
            </w:r>
          </w:p>
        </w:tc>
        <w:tc>
          <w:tcPr>
            <w:tcW w:w="1868" w:type="dxa"/>
          </w:tcPr>
          <w:p w14:paraId="1D6D773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3128</w:t>
            </w:r>
          </w:p>
        </w:tc>
      </w:tr>
      <w:tr w:rsidR="005106D0" w:rsidRPr="007224C3" w14:paraId="7B3197F3" w14:textId="77777777">
        <w:tc>
          <w:tcPr>
            <w:tcW w:w="1868" w:type="dxa"/>
          </w:tcPr>
          <w:p w14:paraId="75084DE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 пустого, кг</w:t>
            </w:r>
          </w:p>
        </w:tc>
        <w:tc>
          <w:tcPr>
            <w:tcW w:w="1868" w:type="dxa"/>
          </w:tcPr>
          <w:p w14:paraId="5AA0A3C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FB6F60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2244</w:t>
            </w:r>
          </w:p>
        </w:tc>
        <w:tc>
          <w:tcPr>
            <w:tcW w:w="1868" w:type="dxa"/>
          </w:tcPr>
          <w:p w14:paraId="090A7A3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1FF3E8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2467</w:t>
            </w:r>
          </w:p>
        </w:tc>
        <w:tc>
          <w:tcPr>
            <w:tcW w:w="1868" w:type="dxa"/>
          </w:tcPr>
          <w:p w14:paraId="680DF9B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2505</w:t>
            </w:r>
          </w:p>
        </w:tc>
      </w:tr>
      <w:tr w:rsidR="005106D0" w:rsidRPr="007224C3" w14:paraId="44B88B3E" w14:textId="77777777">
        <w:tc>
          <w:tcPr>
            <w:tcW w:w="1868" w:type="dxa"/>
          </w:tcPr>
          <w:p w14:paraId="389F478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 топлива, кг</w:t>
            </w:r>
          </w:p>
        </w:tc>
        <w:tc>
          <w:tcPr>
            <w:tcW w:w="1868" w:type="dxa"/>
          </w:tcPr>
          <w:p w14:paraId="5186EE0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065D43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318</w:t>
            </w:r>
          </w:p>
        </w:tc>
        <w:tc>
          <w:tcPr>
            <w:tcW w:w="1868" w:type="dxa"/>
          </w:tcPr>
          <w:p w14:paraId="1D8BF84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DBFDC7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380</w:t>
            </w:r>
          </w:p>
        </w:tc>
        <w:tc>
          <w:tcPr>
            <w:tcW w:w="1868" w:type="dxa"/>
          </w:tcPr>
          <w:p w14:paraId="647A591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346</w:t>
            </w:r>
          </w:p>
        </w:tc>
      </w:tr>
      <w:tr w:rsidR="005106D0" w:rsidRPr="007224C3" w14:paraId="28E2EA0A" w14:textId="77777777">
        <w:tc>
          <w:tcPr>
            <w:tcW w:w="1868" w:type="dxa"/>
          </w:tcPr>
          <w:p w14:paraId="76C292B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Скорость макс., км/ч</w:t>
            </w:r>
          </w:p>
        </w:tc>
        <w:tc>
          <w:tcPr>
            <w:tcW w:w="1868" w:type="dxa"/>
          </w:tcPr>
          <w:p w14:paraId="2183D52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995A62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D14876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79B54B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D0D78E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87A73C2" w14:textId="77777777">
        <w:tc>
          <w:tcPr>
            <w:tcW w:w="1868" w:type="dxa"/>
          </w:tcPr>
          <w:p w14:paraId="2439521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 земли</w:t>
            </w:r>
          </w:p>
        </w:tc>
        <w:tc>
          <w:tcPr>
            <w:tcW w:w="1868" w:type="dxa"/>
          </w:tcPr>
          <w:p w14:paraId="460FB2C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34AFF8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558</w:t>
            </w:r>
          </w:p>
        </w:tc>
        <w:tc>
          <w:tcPr>
            <w:tcW w:w="1868" w:type="dxa"/>
          </w:tcPr>
          <w:p w14:paraId="4F3A639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E0C825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578</w:t>
            </w:r>
          </w:p>
        </w:tc>
        <w:tc>
          <w:tcPr>
            <w:tcW w:w="1868" w:type="dxa"/>
          </w:tcPr>
          <w:p w14:paraId="10F1D4B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564</w:t>
            </w:r>
          </w:p>
        </w:tc>
      </w:tr>
      <w:tr w:rsidR="005106D0" w:rsidRPr="007224C3" w14:paraId="6605CD58" w14:textId="77777777">
        <w:tc>
          <w:tcPr>
            <w:tcW w:w="1868" w:type="dxa"/>
          </w:tcPr>
          <w:p w14:paraId="7CB795F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1-й гр. высотности, м</w:t>
            </w:r>
          </w:p>
        </w:tc>
        <w:tc>
          <w:tcPr>
            <w:tcW w:w="1868" w:type="dxa"/>
          </w:tcPr>
          <w:p w14:paraId="2A002EC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40FFF7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600/1800</w:t>
            </w:r>
          </w:p>
        </w:tc>
        <w:tc>
          <w:tcPr>
            <w:tcW w:w="1868" w:type="dxa"/>
          </w:tcPr>
          <w:p w14:paraId="54C8F47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625/2200</w:t>
            </w:r>
          </w:p>
        </w:tc>
        <w:tc>
          <w:tcPr>
            <w:tcW w:w="1868" w:type="dxa"/>
          </w:tcPr>
          <w:p w14:paraId="3C5655F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868" w:type="dxa"/>
          </w:tcPr>
          <w:p w14:paraId="572CA01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5103645" w14:textId="77777777">
        <w:tc>
          <w:tcPr>
            <w:tcW w:w="1868" w:type="dxa"/>
          </w:tcPr>
          <w:p w14:paraId="07A39E0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2-й гр. высотности, м</w:t>
            </w:r>
          </w:p>
        </w:tc>
        <w:tc>
          <w:tcPr>
            <w:tcW w:w="1868" w:type="dxa"/>
          </w:tcPr>
          <w:p w14:paraId="2AF181E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E123AB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620/3850</w:t>
            </w:r>
          </w:p>
        </w:tc>
        <w:tc>
          <w:tcPr>
            <w:tcW w:w="1868" w:type="dxa"/>
          </w:tcPr>
          <w:p w14:paraId="6C633B3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671/4900</w:t>
            </w:r>
          </w:p>
        </w:tc>
        <w:tc>
          <w:tcPr>
            <w:tcW w:w="1868" w:type="dxa"/>
          </w:tcPr>
          <w:p w14:paraId="35E4C5A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623/4100</w:t>
            </w:r>
          </w:p>
        </w:tc>
        <w:tc>
          <w:tcPr>
            <w:tcW w:w="1868" w:type="dxa"/>
          </w:tcPr>
          <w:p w14:paraId="247EF1D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3D21F8D" w14:textId="77777777">
        <w:tc>
          <w:tcPr>
            <w:tcW w:w="1868" w:type="dxa"/>
          </w:tcPr>
          <w:p w14:paraId="49FED04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Время набора</w:t>
            </w:r>
          </w:p>
        </w:tc>
        <w:tc>
          <w:tcPr>
            <w:tcW w:w="1868" w:type="dxa"/>
          </w:tcPr>
          <w:p w14:paraId="4F8829A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5B1BB1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E6229C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6E9B6C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F14962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61281A3" w14:textId="77777777">
        <w:tc>
          <w:tcPr>
            <w:tcW w:w="1868" w:type="dxa"/>
          </w:tcPr>
          <w:p w14:paraId="5F1150F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высоты 5000 м, мин</w:t>
            </w:r>
          </w:p>
        </w:tc>
        <w:tc>
          <w:tcPr>
            <w:tcW w:w="1868" w:type="dxa"/>
          </w:tcPr>
          <w:p w14:paraId="365B1CF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07333C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4,8</w:t>
            </w:r>
          </w:p>
        </w:tc>
        <w:tc>
          <w:tcPr>
            <w:tcW w:w="1868" w:type="dxa"/>
          </w:tcPr>
          <w:p w14:paraId="3E954EE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100BAF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5,2</w:t>
            </w:r>
          </w:p>
        </w:tc>
        <w:tc>
          <w:tcPr>
            <w:tcW w:w="1868" w:type="dxa"/>
          </w:tcPr>
          <w:p w14:paraId="1410DD9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5,5</w:t>
            </w:r>
          </w:p>
        </w:tc>
      </w:tr>
      <w:tr w:rsidR="005106D0" w:rsidRPr="007224C3" w14:paraId="4926DA3D" w14:textId="77777777">
        <w:tc>
          <w:tcPr>
            <w:tcW w:w="1868" w:type="dxa"/>
          </w:tcPr>
          <w:p w14:paraId="6F0438F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Практический потолок, м</w:t>
            </w:r>
          </w:p>
        </w:tc>
        <w:tc>
          <w:tcPr>
            <w:tcW w:w="1868" w:type="dxa"/>
          </w:tcPr>
          <w:p w14:paraId="100B6AA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1073E3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10400</w:t>
            </w:r>
          </w:p>
        </w:tc>
        <w:tc>
          <w:tcPr>
            <w:tcW w:w="1868" w:type="dxa"/>
          </w:tcPr>
          <w:p w14:paraId="2DEBA57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438ABD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10700</w:t>
            </w:r>
          </w:p>
        </w:tc>
        <w:tc>
          <w:tcPr>
            <w:tcW w:w="1868" w:type="dxa"/>
          </w:tcPr>
          <w:p w14:paraId="4D26160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11300</w:t>
            </w:r>
          </w:p>
        </w:tc>
      </w:tr>
      <w:tr w:rsidR="005106D0" w:rsidRPr="007224C3" w14:paraId="1F45E753" w14:textId="77777777">
        <w:tc>
          <w:tcPr>
            <w:tcW w:w="1868" w:type="dxa"/>
          </w:tcPr>
          <w:p w14:paraId="728F20A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Время виража</w:t>
            </w:r>
          </w:p>
        </w:tc>
        <w:tc>
          <w:tcPr>
            <w:tcW w:w="1868" w:type="dxa"/>
          </w:tcPr>
          <w:p w14:paraId="77E3FC2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04E715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C5FD1F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30751D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ADA99A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EE8FD43" w14:textId="77777777">
        <w:tc>
          <w:tcPr>
            <w:tcW w:w="1868" w:type="dxa"/>
          </w:tcPr>
          <w:p w14:paraId="57C8297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высоте 1000 м,</w:t>
            </w:r>
          </w:p>
        </w:tc>
        <w:tc>
          <w:tcPr>
            <w:tcW w:w="1868" w:type="dxa"/>
          </w:tcPr>
          <w:p w14:paraId="34EB19D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A4BFB2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19,5</w:t>
            </w:r>
          </w:p>
        </w:tc>
        <w:tc>
          <w:tcPr>
            <w:tcW w:w="1868" w:type="dxa"/>
          </w:tcPr>
          <w:p w14:paraId="0FEE755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A18353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868" w:type="dxa"/>
          </w:tcPr>
          <w:p w14:paraId="1DBF4C9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w:t>
            </w:r>
          </w:p>
        </w:tc>
      </w:tr>
      <w:tr w:rsidR="005106D0" w:rsidRPr="007224C3" w14:paraId="0F6E46BA" w14:textId="77777777">
        <w:tc>
          <w:tcPr>
            <w:tcW w:w="1868" w:type="dxa"/>
          </w:tcPr>
          <w:p w14:paraId="5B48E21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Дальность макс, км</w:t>
            </w:r>
          </w:p>
        </w:tc>
        <w:tc>
          <w:tcPr>
            <w:tcW w:w="1868" w:type="dxa"/>
          </w:tcPr>
          <w:p w14:paraId="16162B4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B88037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850</w:t>
            </w:r>
          </w:p>
        </w:tc>
        <w:tc>
          <w:tcPr>
            <w:tcW w:w="1868" w:type="dxa"/>
          </w:tcPr>
          <w:p w14:paraId="5BFA961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75C0B4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690</w:t>
            </w:r>
          </w:p>
        </w:tc>
        <w:tc>
          <w:tcPr>
            <w:tcW w:w="1868" w:type="dxa"/>
          </w:tcPr>
          <w:p w14:paraId="61297B5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650</w:t>
            </w:r>
          </w:p>
        </w:tc>
      </w:tr>
      <w:tr w:rsidR="005106D0" w:rsidRPr="007224C3" w14:paraId="5E7193BE" w14:textId="77777777">
        <w:tc>
          <w:tcPr>
            <w:tcW w:w="1868" w:type="dxa"/>
            <w:tcBorders>
              <w:bottom w:val="single" w:sz="12" w:space="0" w:color="auto"/>
            </w:tcBorders>
          </w:tcPr>
          <w:p w14:paraId="149BF9E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Разбег/пробег, м</w:t>
            </w:r>
          </w:p>
        </w:tc>
        <w:tc>
          <w:tcPr>
            <w:tcW w:w="1868" w:type="dxa"/>
            <w:tcBorders>
              <w:bottom w:val="single" w:sz="12" w:space="0" w:color="auto"/>
            </w:tcBorders>
          </w:tcPr>
          <w:p w14:paraId="3ECFE75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bottom w:val="single" w:sz="12" w:space="0" w:color="auto"/>
            </w:tcBorders>
          </w:tcPr>
          <w:p w14:paraId="48E9EFA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320/575</w:t>
            </w:r>
          </w:p>
        </w:tc>
        <w:tc>
          <w:tcPr>
            <w:tcW w:w="1868" w:type="dxa"/>
            <w:tcBorders>
              <w:bottom w:val="single" w:sz="12" w:space="0" w:color="auto"/>
            </w:tcBorders>
          </w:tcPr>
          <w:p w14:paraId="519CDD9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bottom w:val="single" w:sz="12" w:space="0" w:color="auto"/>
            </w:tcBorders>
          </w:tcPr>
          <w:p w14:paraId="09ED117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868" w:type="dxa"/>
            <w:tcBorders>
              <w:bottom w:val="single" w:sz="12" w:space="0" w:color="auto"/>
            </w:tcBorders>
          </w:tcPr>
          <w:p w14:paraId="66C2E90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390/560</w:t>
            </w:r>
          </w:p>
        </w:tc>
      </w:tr>
    </w:tbl>
    <w:p w14:paraId="463DCBB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Наддув двигателя 1100 мм рт. ст. (12046).</w:t>
      </w:r>
    </w:p>
    <w:p w14:paraId="4BBC462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Основные данные истребителей Як-9У с двигателями М-107А (ВК-107А)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5106D0" w:rsidRPr="007224C3" w14:paraId="36E4A42B" w14:textId="77777777">
        <w:tc>
          <w:tcPr>
            <w:tcW w:w="1868" w:type="dxa"/>
            <w:tcBorders>
              <w:top w:val="single" w:sz="12" w:space="0" w:color="auto"/>
            </w:tcBorders>
          </w:tcPr>
          <w:p w14:paraId="10DD166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Тип</w:t>
            </w:r>
          </w:p>
        </w:tc>
        <w:tc>
          <w:tcPr>
            <w:tcW w:w="1868" w:type="dxa"/>
            <w:tcBorders>
              <w:top w:val="single" w:sz="12" w:space="0" w:color="auto"/>
            </w:tcBorders>
          </w:tcPr>
          <w:p w14:paraId="0CB0152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Як-9У</w:t>
            </w:r>
          </w:p>
        </w:tc>
        <w:tc>
          <w:tcPr>
            <w:tcW w:w="1868" w:type="dxa"/>
            <w:tcBorders>
              <w:top w:val="single" w:sz="12" w:space="0" w:color="auto"/>
            </w:tcBorders>
          </w:tcPr>
          <w:p w14:paraId="5A2930F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Як-9У</w:t>
            </w:r>
          </w:p>
        </w:tc>
        <w:tc>
          <w:tcPr>
            <w:tcW w:w="1868" w:type="dxa"/>
            <w:tcBorders>
              <w:top w:val="single" w:sz="12" w:space="0" w:color="auto"/>
            </w:tcBorders>
          </w:tcPr>
          <w:p w14:paraId="7947865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Як-9У2</w:t>
            </w:r>
          </w:p>
        </w:tc>
        <w:tc>
          <w:tcPr>
            <w:tcW w:w="1868" w:type="dxa"/>
            <w:tcBorders>
              <w:top w:val="single" w:sz="12" w:space="0" w:color="auto"/>
            </w:tcBorders>
          </w:tcPr>
          <w:p w14:paraId="47F9639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ЯК-9У</w:t>
            </w:r>
          </w:p>
        </w:tc>
        <w:tc>
          <w:tcPr>
            <w:tcW w:w="1868" w:type="dxa"/>
            <w:tcBorders>
              <w:top w:val="single" w:sz="12" w:space="0" w:color="auto"/>
            </w:tcBorders>
          </w:tcPr>
          <w:p w14:paraId="456E634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ЯК-9У</w:t>
            </w:r>
          </w:p>
        </w:tc>
      </w:tr>
      <w:tr w:rsidR="005106D0" w:rsidRPr="007224C3" w14:paraId="17A6FC0F" w14:textId="77777777">
        <w:tc>
          <w:tcPr>
            <w:tcW w:w="1868" w:type="dxa"/>
          </w:tcPr>
          <w:p w14:paraId="7C7AD09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w:t>
            </w:r>
          </w:p>
        </w:tc>
        <w:tc>
          <w:tcPr>
            <w:tcW w:w="1868" w:type="dxa"/>
          </w:tcPr>
          <w:p w14:paraId="0EA25D2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115</w:t>
            </w:r>
          </w:p>
        </w:tc>
        <w:tc>
          <w:tcPr>
            <w:tcW w:w="1868" w:type="dxa"/>
          </w:tcPr>
          <w:p w14:paraId="05DC382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166</w:t>
            </w:r>
          </w:p>
        </w:tc>
        <w:tc>
          <w:tcPr>
            <w:tcW w:w="1868" w:type="dxa"/>
          </w:tcPr>
          <w:p w14:paraId="6C63C0C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166 и 115</w:t>
            </w:r>
          </w:p>
        </w:tc>
        <w:tc>
          <w:tcPr>
            <w:tcW w:w="1868" w:type="dxa"/>
          </w:tcPr>
          <w:p w14:paraId="49E6A4F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166</w:t>
            </w:r>
          </w:p>
        </w:tc>
        <w:tc>
          <w:tcPr>
            <w:tcW w:w="1868" w:type="dxa"/>
          </w:tcPr>
          <w:p w14:paraId="3053BDD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82</w:t>
            </w:r>
          </w:p>
        </w:tc>
      </w:tr>
      <w:tr w:rsidR="005106D0" w:rsidRPr="007224C3" w14:paraId="52C5DE2C" w14:textId="77777777">
        <w:tc>
          <w:tcPr>
            <w:tcW w:w="1868" w:type="dxa"/>
          </w:tcPr>
          <w:p w14:paraId="7C20973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Серийный №</w:t>
            </w:r>
          </w:p>
        </w:tc>
        <w:tc>
          <w:tcPr>
            <w:tcW w:w="1868" w:type="dxa"/>
          </w:tcPr>
          <w:p w14:paraId="095571D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опытный</w:t>
            </w:r>
          </w:p>
        </w:tc>
        <w:tc>
          <w:tcPr>
            <w:tcW w:w="1868" w:type="dxa"/>
          </w:tcPr>
          <w:p w14:paraId="2DFE32A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39-083</w:t>
            </w:r>
          </w:p>
        </w:tc>
        <w:tc>
          <w:tcPr>
            <w:tcW w:w="1868" w:type="dxa"/>
          </w:tcPr>
          <w:p w14:paraId="0BEB1FA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41-038</w:t>
            </w:r>
          </w:p>
        </w:tc>
        <w:tc>
          <w:tcPr>
            <w:tcW w:w="1868" w:type="dxa"/>
          </w:tcPr>
          <w:p w14:paraId="562AB08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52-082</w:t>
            </w:r>
          </w:p>
        </w:tc>
        <w:tc>
          <w:tcPr>
            <w:tcW w:w="1868" w:type="dxa"/>
          </w:tcPr>
          <w:p w14:paraId="3EC2D08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10-10</w:t>
            </w:r>
          </w:p>
        </w:tc>
      </w:tr>
      <w:tr w:rsidR="005106D0" w:rsidRPr="007224C3" w14:paraId="6C007BC3" w14:textId="77777777">
        <w:tc>
          <w:tcPr>
            <w:tcW w:w="1868" w:type="dxa"/>
          </w:tcPr>
          <w:p w14:paraId="0BE91AC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Мощность, л.с.</w:t>
            </w:r>
          </w:p>
        </w:tc>
        <w:tc>
          <w:tcPr>
            <w:tcW w:w="1868" w:type="dxa"/>
          </w:tcPr>
          <w:p w14:paraId="08B3E64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8962A4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3E0C2A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097766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DA7089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73FB72B" w14:textId="77777777">
        <w:tc>
          <w:tcPr>
            <w:tcW w:w="1868" w:type="dxa"/>
          </w:tcPr>
          <w:p w14:paraId="6998E6E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взлетная</w:t>
            </w:r>
          </w:p>
        </w:tc>
        <w:tc>
          <w:tcPr>
            <w:tcW w:w="1868" w:type="dxa"/>
          </w:tcPr>
          <w:p w14:paraId="29DFA19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868" w:type="dxa"/>
          </w:tcPr>
          <w:p w14:paraId="0347A82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1500</w:t>
            </w:r>
          </w:p>
        </w:tc>
        <w:tc>
          <w:tcPr>
            <w:tcW w:w="1868" w:type="dxa"/>
          </w:tcPr>
          <w:p w14:paraId="6F0AA8C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1650</w:t>
            </w:r>
          </w:p>
        </w:tc>
        <w:tc>
          <w:tcPr>
            <w:tcW w:w="1868" w:type="dxa"/>
          </w:tcPr>
          <w:p w14:paraId="06F98E2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1650</w:t>
            </w:r>
          </w:p>
        </w:tc>
        <w:tc>
          <w:tcPr>
            <w:tcW w:w="1868" w:type="dxa"/>
          </w:tcPr>
          <w:p w14:paraId="2ECF06A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1500</w:t>
            </w:r>
          </w:p>
        </w:tc>
      </w:tr>
      <w:tr w:rsidR="005106D0" w:rsidRPr="007224C3" w14:paraId="0D6BFDFB" w14:textId="77777777">
        <w:tc>
          <w:tcPr>
            <w:tcW w:w="1868" w:type="dxa"/>
          </w:tcPr>
          <w:p w14:paraId="4262DFC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высоте</w:t>
            </w:r>
          </w:p>
        </w:tc>
        <w:tc>
          <w:tcPr>
            <w:tcW w:w="1868" w:type="dxa"/>
          </w:tcPr>
          <w:p w14:paraId="663002D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1600/1800</w:t>
            </w:r>
          </w:p>
        </w:tc>
        <w:tc>
          <w:tcPr>
            <w:tcW w:w="1868" w:type="dxa"/>
          </w:tcPr>
          <w:p w14:paraId="5AE94C9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1550/1200</w:t>
            </w:r>
          </w:p>
        </w:tc>
        <w:tc>
          <w:tcPr>
            <w:tcW w:w="1868" w:type="dxa"/>
          </w:tcPr>
          <w:p w14:paraId="432B307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1600/1800</w:t>
            </w:r>
          </w:p>
        </w:tc>
        <w:tc>
          <w:tcPr>
            <w:tcW w:w="1868" w:type="dxa"/>
          </w:tcPr>
          <w:p w14:paraId="6AEE29C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1600/1800'</w:t>
            </w:r>
          </w:p>
        </w:tc>
        <w:tc>
          <w:tcPr>
            <w:tcW w:w="1868" w:type="dxa"/>
          </w:tcPr>
          <w:p w14:paraId="4DC4AEA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550/1200</w:t>
            </w:r>
          </w:p>
        </w:tc>
      </w:tr>
      <w:tr w:rsidR="005106D0" w:rsidRPr="007224C3" w14:paraId="6364A26C" w14:textId="77777777">
        <w:tc>
          <w:tcPr>
            <w:tcW w:w="1868" w:type="dxa"/>
          </w:tcPr>
          <w:p w14:paraId="02FB2F1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94A8C4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1500/4500</w:t>
            </w:r>
          </w:p>
        </w:tc>
        <w:tc>
          <w:tcPr>
            <w:tcW w:w="1868" w:type="dxa"/>
          </w:tcPr>
          <w:p w14:paraId="3BF544F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1450/3800</w:t>
            </w:r>
          </w:p>
        </w:tc>
        <w:tc>
          <w:tcPr>
            <w:tcW w:w="1868" w:type="dxa"/>
          </w:tcPr>
          <w:p w14:paraId="4B644E6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1500/4500</w:t>
            </w:r>
          </w:p>
        </w:tc>
        <w:tc>
          <w:tcPr>
            <w:tcW w:w="1868" w:type="dxa"/>
          </w:tcPr>
          <w:p w14:paraId="622019C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1500/3800'</w:t>
            </w:r>
          </w:p>
        </w:tc>
        <w:tc>
          <w:tcPr>
            <w:tcW w:w="1868" w:type="dxa"/>
          </w:tcPr>
          <w:p w14:paraId="048AFEF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450/3800</w:t>
            </w:r>
          </w:p>
        </w:tc>
      </w:tr>
      <w:tr w:rsidR="005106D0" w:rsidRPr="007224C3" w14:paraId="6B5E774A" w14:textId="77777777">
        <w:tc>
          <w:tcPr>
            <w:tcW w:w="1868" w:type="dxa"/>
          </w:tcPr>
          <w:p w14:paraId="26B7EEC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Размах крыла,м</w:t>
            </w:r>
          </w:p>
        </w:tc>
        <w:tc>
          <w:tcPr>
            <w:tcW w:w="1868" w:type="dxa"/>
          </w:tcPr>
          <w:p w14:paraId="794F8D6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9,74</w:t>
            </w:r>
          </w:p>
        </w:tc>
        <w:tc>
          <w:tcPr>
            <w:tcW w:w="1868" w:type="dxa"/>
          </w:tcPr>
          <w:p w14:paraId="7BF064B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9,74</w:t>
            </w:r>
          </w:p>
        </w:tc>
        <w:tc>
          <w:tcPr>
            <w:tcW w:w="1868" w:type="dxa"/>
          </w:tcPr>
          <w:p w14:paraId="505562A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9,74</w:t>
            </w:r>
          </w:p>
        </w:tc>
        <w:tc>
          <w:tcPr>
            <w:tcW w:w="1868" w:type="dxa"/>
          </w:tcPr>
          <w:p w14:paraId="76B773B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9,74</w:t>
            </w:r>
          </w:p>
        </w:tc>
        <w:tc>
          <w:tcPr>
            <w:tcW w:w="1868" w:type="dxa"/>
          </w:tcPr>
          <w:p w14:paraId="76DF30C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9,74</w:t>
            </w:r>
          </w:p>
        </w:tc>
      </w:tr>
      <w:tr w:rsidR="005106D0" w:rsidRPr="007224C3" w14:paraId="3A30EE6E" w14:textId="77777777">
        <w:tc>
          <w:tcPr>
            <w:tcW w:w="1868" w:type="dxa"/>
          </w:tcPr>
          <w:p w14:paraId="2213329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Длина, м</w:t>
            </w:r>
          </w:p>
        </w:tc>
        <w:tc>
          <w:tcPr>
            <w:tcW w:w="1868" w:type="dxa"/>
          </w:tcPr>
          <w:p w14:paraId="55899E0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8,55</w:t>
            </w:r>
          </w:p>
        </w:tc>
        <w:tc>
          <w:tcPr>
            <w:tcW w:w="1868" w:type="dxa"/>
          </w:tcPr>
          <w:p w14:paraId="1B8163F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8,55</w:t>
            </w:r>
          </w:p>
        </w:tc>
        <w:tc>
          <w:tcPr>
            <w:tcW w:w="1868" w:type="dxa"/>
          </w:tcPr>
          <w:p w14:paraId="4DE3DAC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8,55</w:t>
            </w:r>
          </w:p>
        </w:tc>
        <w:tc>
          <w:tcPr>
            <w:tcW w:w="1868" w:type="dxa"/>
          </w:tcPr>
          <w:p w14:paraId="394C25E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8,55</w:t>
            </w:r>
          </w:p>
        </w:tc>
        <w:tc>
          <w:tcPr>
            <w:tcW w:w="1868" w:type="dxa"/>
          </w:tcPr>
          <w:p w14:paraId="39562E0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8,55</w:t>
            </w:r>
          </w:p>
        </w:tc>
      </w:tr>
      <w:tr w:rsidR="005106D0" w:rsidRPr="007224C3" w14:paraId="07C0147F" w14:textId="77777777">
        <w:tc>
          <w:tcPr>
            <w:tcW w:w="1868" w:type="dxa"/>
          </w:tcPr>
          <w:p w14:paraId="0237BFA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Площадь крыла, мг</w:t>
            </w:r>
          </w:p>
        </w:tc>
        <w:tc>
          <w:tcPr>
            <w:tcW w:w="1868" w:type="dxa"/>
          </w:tcPr>
          <w:p w14:paraId="2FC09E1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17,15</w:t>
            </w:r>
          </w:p>
        </w:tc>
        <w:tc>
          <w:tcPr>
            <w:tcW w:w="1868" w:type="dxa"/>
          </w:tcPr>
          <w:p w14:paraId="0B7DE78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17,15</w:t>
            </w:r>
          </w:p>
        </w:tc>
        <w:tc>
          <w:tcPr>
            <w:tcW w:w="1868" w:type="dxa"/>
          </w:tcPr>
          <w:p w14:paraId="7828B4C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17,15</w:t>
            </w:r>
          </w:p>
        </w:tc>
        <w:tc>
          <w:tcPr>
            <w:tcW w:w="1868" w:type="dxa"/>
          </w:tcPr>
          <w:p w14:paraId="4CAB5A9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17,15</w:t>
            </w:r>
          </w:p>
        </w:tc>
        <w:tc>
          <w:tcPr>
            <w:tcW w:w="1868" w:type="dxa"/>
          </w:tcPr>
          <w:p w14:paraId="64BED36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17,15</w:t>
            </w:r>
          </w:p>
        </w:tc>
      </w:tr>
      <w:tr w:rsidR="005106D0" w:rsidRPr="007224C3" w14:paraId="42A2214D" w14:textId="77777777">
        <w:tc>
          <w:tcPr>
            <w:tcW w:w="1868" w:type="dxa"/>
          </w:tcPr>
          <w:p w14:paraId="6EDF00F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Взлетный вес, кг</w:t>
            </w:r>
          </w:p>
        </w:tc>
        <w:tc>
          <w:tcPr>
            <w:tcW w:w="1868" w:type="dxa"/>
          </w:tcPr>
          <w:p w14:paraId="7C34B96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3204</w:t>
            </w:r>
          </w:p>
        </w:tc>
        <w:tc>
          <w:tcPr>
            <w:tcW w:w="1868" w:type="dxa"/>
          </w:tcPr>
          <w:p w14:paraId="0DB89A2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3204</w:t>
            </w:r>
          </w:p>
        </w:tc>
        <w:tc>
          <w:tcPr>
            <w:tcW w:w="1868" w:type="dxa"/>
          </w:tcPr>
          <w:p w14:paraId="7DFF856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3145</w:t>
            </w:r>
          </w:p>
        </w:tc>
        <w:tc>
          <w:tcPr>
            <w:tcW w:w="1868" w:type="dxa"/>
          </w:tcPr>
          <w:p w14:paraId="4EAD2D6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3268</w:t>
            </w:r>
          </w:p>
        </w:tc>
        <w:tc>
          <w:tcPr>
            <w:tcW w:w="1868" w:type="dxa"/>
          </w:tcPr>
          <w:p w14:paraId="64B303B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3197</w:t>
            </w:r>
          </w:p>
        </w:tc>
      </w:tr>
      <w:tr w:rsidR="005106D0" w:rsidRPr="007224C3" w14:paraId="378EE783" w14:textId="77777777">
        <w:tc>
          <w:tcPr>
            <w:tcW w:w="1868" w:type="dxa"/>
          </w:tcPr>
          <w:p w14:paraId="60E46C0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 пустого, кг</w:t>
            </w:r>
          </w:p>
        </w:tc>
        <w:tc>
          <w:tcPr>
            <w:tcW w:w="1868" w:type="dxa"/>
          </w:tcPr>
          <w:p w14:paraId="361209D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868" w:type="dxa"/>
          </w:tcPr>
          <w:p w14:paraId="6D102BC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2512</w:t>
            </w:r>
          </w:p>
        </w:tc>
        <w:tc>
          <w:tcPr>
            <w:tcW w:w="1868" w:type="dxa"/>
          </w:tcPr>
          <w:p w14:paraId="206C9E1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2498</w:t>
            </w:r>
          </w:p>
        </w:tc>
        <w:tc>
          <w:tcPr>
            <w:tcW w:w="1868" w:type="dxa"/>
          </w:tcPr>
          <w:p w14:paraId="01F93A0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2596</w:t>
            </w:r>
          </w:p>
        </w:tc>
        <w:tc>
          <w:tcPr>
            <w:tcW w:w="1868" w:type="dxa"/>
          </w:tcPr>
          <w:p w14:paraId="5133494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2529</w:t>
            </w:r>
          </w:p>
        </w:tc>
      </w:tr>
      <w:tr w:rsidR="005106D0" w:rsidRPr="007224C3" w14:paraId="3C7252C1" w14:textId="77777777">
        <w:tc>
          <w:tcPr>
            <w:tcW w:w="1868" w:type="dxa"/>
          </w:tcPr>
          <w:p w14:paraId="0054585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 топлива, кг</w:t>
            </w:r>
          </w:p>
        </w:tc>
        <w:tc>
          <w:tcPr>
            <w:tcW w:w="1868" w:type="dxa"/>
          </w:tcPr>
          <w:p w14:paraId="3ECDF3F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355</w:t>
            </w:r>
          </w:p>
        </w:tc>
        <w:tc>
          <w:tcPr>
            <w:tcW w:w="1868" w:type="dxa"/>
          </w:tcPr>
          <w:p w14:paraId="7E146BC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380</w:t>
            </w:r>
          </w:p>
        </w:tc>
        <w:tc>
          <w:tcPr>
            <w:tcW w:w="1868" w:type="dxa"/>
          </w:tcPr>
          <w:p w14:paraId="7078540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351</w:t>
            </w:r>
          </w:p>
        </w:tc>
        <w:tc>
          <w:tcPr>
            <w:tcW w:w="1868" w:type="dxa"/>
          </w:tcPr>
          <w:p w14:paraId="533BEE4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360</w:t>
            </w:r>
          </w:p>
        </w:tc>
        <w:tc>
          <w:tcPr>
            <w:tcW w:w="1868" w:type="dxa"/>
          </w:tcPr>
          <w:p w14:paraId="3D31D98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0208A90D" w14:textId="77777777">
        <w:tc>
          <w:tcPr>
            <w:tcW w:w="1868" w:type="dxa"/>
          </w:tcPr>
          <w:p w14:paraId="08DD79A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Скорость макс., км/ч</w:t>
            </w:r>
          </w:p>
        </w:tc>
        <w:tc>
          <w:tcPr>
            <w:tcW w:w="1868" w:type="dxa"/>
          </w:tcPr>
          <w:p w14:paraId="338FBBD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C26740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A3E4EF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3674CF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CFF87C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B89F9F0" w14:textId="77777777">
        <w:tc>
          <w:tcPr>
            <w:tcW w:w="1868" w:type="dxa"/>
          </w:tcPr>
          <w:p w14:paraId="2149FD5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 земли</w:t>
            </w:r>
          </w:p>
        </w:tc>
        <w:tc>
          <w:tcPr>
            <w:tcW w:w="1868" w:type="dxa"/>
          </w:tcPr>
          <w:p w14:paraId="2E88AD2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600</w:t>
            </w:r>
          </w:p>
        </w:tc>
        <w:tc>
          <w:tcPr>
            <w:tcW w:w="1868" w:type="dxa"/>
          </w:tcPr>
          <w:p w14:paraId="4C66902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575</w:t>
            </w:r>
          </w:p>
        </w:tc>
        <w:tc>
          <w:tcPr>
            <w:tcW w:w="1868" w:type="dxa"/>
          </w:tcPr>
          <w:p w14:paraId="15B4CE6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577</w:t>
            </w:r>
          </w:p>
        </w:tc>
        <w:tc>
          <w:tcPr>
            <w:tcW w:w="1868" w:type="dxa"/>
          </w:tcPr>
          <w:p w14:paraId="545E518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572</w:t>
            </w:r>
          </w:p>
        </w:tc>
        <w:tc>
          <w:tcPr>
            <w:tcW w:w="1868" w:type="dxa"/>
          </w:tcPr>
          <w:p w14:paraId="41699BC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564</w:t>
            </w:r>
          </w:p>
        </w:tc>
      </w:tr>
      <w:tr w:rsidR="005106D0" w:rsidRPr="007224C3" w14:paraId="32C6766D" w14:textId="77777777">
        <w:tc>
          <w:tcPr>
            <w:tcW w:w="1868" w:type="dxa"/>
          </w:tcPr>
          <w:p w14:paraId="47461B1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1-й гр. высотности, м</w:t>
            </w:r>
          </w:p>
        </w:tc>
        <w:tc>
          <w:tcPr>
            <w:tcW w:w="1868" w:type="dxa"/>
          </w:tcPr>
          <w:p w14:paraId="678A365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676/3000</w:t>
            </w:r>
          </w:p>
        </w:tc>
        <w:tc>
          <w:tcPr>
            <w:tcW w:w="1868" w:type="dxa"/>
          </w:tcPr>
          <w:p w14:paraId="3C52B00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636/2500</w:t>
            </w:r>
          </w:p>
        </w:tc>
        <w:tc>
          <w:tcPr>
            <w:tcW w:w="1868" w:type="dxa"/>
          </w:tcPr>
          <w:p w14:paraId="4B378D8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641/2950</w:t>
            </w:r>
          </w:p>
        </w:tc>
        <w:tc>
          <w:tcPr>
            <w:tcW w:w="1868" w:type="dxa"/>
          </w:tcPr>
          <w:p w14:paraId="2D3E3CF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648/3300</w:t>
            </w:r>
          </w:p>
        </w:tc>
        <w:tc>
          <w:tcPr>
            <w:tcW w:w="1868" w:type="dxa"/>
          </w:tcPr>
          <w:p w14:paraId="47B62C1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632/2700</w:t>
            </w:r>
          </w:p>
        </w:tc>
      </w:tr>
      <w:tr w:rsidR="005106D0" w:rsidRPr="007224C3" w14:paraId="2CC77B50" w14:textId="77777777">
        <w:tc>
          <w:tcPr>
            <w:tcW w:w="1868" w:type="dxa"/>
          </w:tcPr>
          <w:p w14:paraId="02BA080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2-й гр. высотности, м</w:t>
            </w:r>
          </w:p>
        </w:tc>
        <w:tc>
          <w:tcPr>
            <w:tcW w:w="1868" w:type="dxa"/>
          </w:tcPr>
          <w:p w14:paraId="35D35CA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700/5500</w:t>
            </w:r>
          </w:p>
        </w:tc>
        <w:tc>
          <w:tcPr>
            <w:tcW w:w="1868" w:type="dxa"/>
          </w:tcPr>
          <w:p w14:paraId="089701B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672/5000</w:t>
            </w:r>
          </w:p>
        </w:tc>
        <w:tc>
          <w:tcPr>
            <w:tcW w:w="1868" w:type="dxa"/>
          </w:tcPr>
          <w:p w14:paraId="2428873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676/5900</w:t>
            </w:r>
          </w:p>
        </w:tc>
        <w:tc>
          <w:tcPr>
            <w:tcW w:w="1868" w:type="dxa"/>
          </w:tcPr>
          <w:p w14:paraId="41D73CD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680/5850</w:t>
            </w:r>
          </w:p>
        </w:tc>
        <w:tc>
          <w:tcPr>
            <w:tcW w:w="1868" w:type="dxa"/>
          </w:tcPr>
          <w:p w14:paraId="7946D0D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668/5300</w:t>
            </w:r>
          </w:p>
        </w:tc>
      </w:tr>
      <w:tr w:rsidR="005106D0" w:rsidRPr="007224C3" w14:paraId="331964EC" w14:textId="77777777">
        <w:tc>
          <w:tcPr>
            <w:tcW w:w="1868" w:type="dxa"/>
          </w:tcPr>
          <w:p w14:paraId="7BD27B6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Время набора</w:t>
            </w:r>
          </w:p>
        </w:tc>
        <w:tc>
          <w:tcPr>
            <w:tcW w:w="1868" w:type="dxa"/>
          </w:tcPr>
          <w:p w14:paraId="54D552B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6D251B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D95347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00A9D6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245995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7BE818C" w14:textId="77777777">
        <w:tc>
          <w:tcPr>
            <w:tcW w:w="1868" w:type="dxa"/>
          </w:tcPr>
          <w:p w14:paraId="7041749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высоты 5000 м, мин</w:t>
            </w:r>
          </w:p>
        </w:tc>
        <w:tc>
          <w:tcPr>
            <w:tcW w:w="1868" w:type="dxa"/>
          </w:tcPr>
          <w:p w14:paraId="1A21DFC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4,1</w:t>
            </w:r>
          </w:p>
        </w:tc>
        <w:tc>
          <w:tcPr>
            <w:tcW w:w="1868" w:type="dxa"/>
          </w:tcPr>
          <w:p w14:paraId="2092ADE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tc>
        <w:tc>
          <w:tcPr>
            <w:tcW w:w="1868" w:type="dxa"/>
          </w:tcPr>
          <w:p w14:paraId="36277F1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4,4</w:t>
            </w:r>
          </w:p>
        </w:tc>
        <w:tc>
          <w:tcPr>
            <w:tcW w:w="1868" w:type="dxa"/>
          </w:tcPr>
          <w:p w14:paraId="24438A5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5,4/4,4</w:t>
            </w:r>
          </w:p>
        </w:tc>
        <w:tc>
          <w:tcPr>
            <w:tcW w:w="1868" w:type="dxa"/>
          </w:tcPr>
          <w:p w14:paraId="4E1E340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4,9</w:t>
            </w:r>
          </w:p>
        </w:tc>
      </w:tr>
      <w:tr w:rsidR="005106D0" w:rsidRPr="007224C3" w14:paraId="07EB9A69" w14:textId="77777777">
        <w:tc>
          <w:tcPr>
            <w:tcW w:w="1868" w:type="dxa"/>
          </w:tcPr>
          <w:p w14:paraId="627CE0F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Практический потолок, м</w:t>
            </w:r>
          </w:p>
        </w:tc>
        <w:tc>
          <w:tcPr>
            <w:tcW w:w="1868" w:type="dxa"/>
          </w:tcPr>
          <w:p w14:paraId="6BCFC03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868" w:type="dxa"/>
          </w:tcPr>
          <w:p w14:paraId="1C0EFA2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10650</w:t>
            </w:r>
          </w:p>
        </w:tc>
        <w:tc>
          <w:tcPr>
            <w:tcW w:w="1868" w:type="dxa"/>
          </w:tcPr>
          <w:p w14:paraId="05A00FF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10850</w:t>
            </w:r>
          </w:p>
        </w:tc>
        <w:tc>
          <w:tcPr>
            <w:tcW w:w="1868" w:type="dxa"/>
          </w:tcPr>
          <w:p w14:paraId="6891A0D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868" w:type="dxa"/>
          </w:tcPr>
          <w:p w14:paraId="35D3583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7C7D7BDD" w14:textId="77777777">
        <w:tc>
          <w:tcPr>
            <w:tcW w:w="1868" w:type="dxa"/>
          </w:tcPr>
          <w:p w14:paraId="748F679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Время виража</w:t>
            </w:r>
          </w:p>
        </w:tc>
        <w:tc>
          <w:tcPr>
            <w:tcW w:w="1868" w:type="dxa"/>
          </w:tcPr>
          <w:p w14:paraId="3C86D81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C1CAD1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32A2BA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3DA1BC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169A21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F89197E" w14:textId="77777777">
        <w:tc>
          <w:tcPr>
            <w:tcW w:w="1868" w:type="dxa"/>
          </w:tcPr>
          <w:p w14:paraId="7505D02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высоте 1000 м,</w:t>
            </w:r>
          </w:p>
        </w:tc>
        <w:tc>
          <w:tcPr>
            <w:tcW w:w="1868" w:type="dxa"/>
          </w:tcPr>
          <w:p w14:paraId="7B10817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18,5</w:t>
            </w:r>
          </w:p>
        </w:tc>
        <w:tc>
          <w:tcPr>
            <w:tcW w:w="1868" w:type="dxa"/>
          </w:tcPr>
          <w:p w14:paraId="4344F10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868" w:type="dxa"/>
          </w:tcPr>
          <w:p w14:paraId="46DF782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868" w:type="dxa"/>
          </w:tcPr>
          <w:p w14:paraId="0612400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868" w:type="dxa"/>
          </w:tcPr>
          <w:p w14:paraId="052DF7D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57689E84" w14:textId="77777777">
        <w:tc>
          <w:tcPr>
            <w:tcW w:w="1868" w:type="dxa"/>
            <w:tcBorders>
              <w:bottom w:val="single" w:sz="12" w:space="0" w:color="auto"/>
            </w:tcBorders>
          </w:tcPr>
          <w:p w14:paraId="59A3C75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Дальность макс, км</w:t>
            </w:r>
          </w:p>
        </w:tc>
        <w:tc>
          <w:tcPr>
            <w:tcW w:w="1868" w:type="dxa"/>
            <w:tcBorders>
              <w:bottom w:val="single" w:sz="12" w:space="0" w:color="auto"/>
            </w:tcBorders>
          </w:tcPr>
          <w:p w14:paraId="7B2278B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884</w:t>
            </w:r>
          </w:p>
        </w:tc>
        <w:tc>
          <w:tcPr>
            <w:tcW w:w="1868" w:type="dxa"/>
            <w:tcBorders>
              <w:bottom w:val="single" w:sz="12" w:space="0" w:color="auto"/>
            </w:tcBorders>
          </w:tcPr>
          <w:p w14:paraId="747EF6B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675"</w:t>
            </w:r>
          </w:p>
        </w:tc>
        <w:tc>
          <w:tcPr>
            <w:tcW w:w="1868" w:type="dxa"/>
            <w:tcBorders>
              <w:bottom w:val="single" w:sz="12" w:space="0" w:color="auto"/>
            </w:tcBorders>
          </w:tcPr>
          <w:p w14:paraId="45CB1D9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10603)</w:t>
            </w:r>
          </w:p>
        </w:tc>
        <w:tc>
          <w:tcPr>
            <w:tcW w:w="1868" w:type="dxa"/>
            <w:tcBorders>
              <w:bottom w:val="single" w:sz="12" w:space="0" w:color="auto"/>
            </w:tcBorders>
          </w:tcPr>
          <w:p w14:paraId="1C3B581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868" w:type="dxa"/>
            <w:tcBorders>
              <w:bottom w:val="single" w:sz="12" w:space="0" w:color="auto"/>
            </w:tcBorders>
          </w:tcPr>
          <w:p w14:paraId="2BAE43B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7855</w:t>
            </w:r>
          </w:p>
        </w:tc>
      </w:tr>
    </w:tbl>
    <w:p w14:paraId="6396226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По результатам испытаний в январе 1941 г.</w:t>
      </w:r>
    </w:p>
    <w:p w14:paraId="11B23A8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Эталон 1945 г.</w:t>
      </w:r>
    </w:p>
    <w:p w14:paraId="7D7B617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На наивыгоднейшем режиме (скорость 314 км/ч и высота 1000 м), продолжительность полета 3 часа 23 минуты. На режиме скоростной дальности (0,9 от максимальной) - 640 км и продолжительность 1 час 18 минут).</w:t>
      </w:r>
    </w:p>
    <w:p w14:paraId="0156328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На скорости 508 км/ч и высоте 5070 м, продолжительность полета 1 час 21 минута.</w:t>
      </w:r>
    </w:p>
    <w:p w14:paraId="62DE007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На скорости 509 км/ч и высоте 5040 м, продолжительность полета 1 час 33 минуты) (12046).</w:t>
      </w:r>
    </w:p>
    <w:p w14:paraId="79C5E79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558C090C" w14:textId="77777777" w:rsidR="00D549FB" w:rsidRPr="007224C3" w:rsidRDefault="00D549FB"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18 января 1944 г.</w:t>
      </w:r>
    </w:p>
    <w:p w14:paraId="7843FD41" w14:textId="77777777" w:rsidR="00D549FB" w:rsidRPr="007224C3" w:rsidRDefault="00D549FB"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Программа испытания самолета Бе-4 № 4770105</w:t>
      </w:r>
    </w:p>
    <w:p w14:paraId="63579608" w14:textId="77777777" w:rsidR="00D549FB" w:rsidRPr="007224C3" w:rsidRDefault="00D549FB"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г. Красноярск</w:t>
      </w:r>
    </w:p>
    <w:p w14:paraId="32238EA5" w14:textId="77777777" w:rsidR="00D549FB" w:rsidRPr="007224C3" w:rsidRDefault="00D549FB"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18 января 1944 г.</w:t>
      </w:r>
    </w:p>
    <w:p w14:paraId="19240C56" w14:textId="77777777" w:rsidR="00D549FB" w:rsidRPr="007224C3" w:rsidRDefault="00D549FB"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I. Наземные испытания:</w:t>
      </w:r>
    </w:p>
    <w:p w14:paraId="16FA0228" w14:textId="77777777" w:rsidR="00D549FB" w:rsidRPr="007224C3" w:rsidRDefault="00D549FB"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 Поверка габаритных размеров (со сложенными и разложенными крыльями) и регулировочных данных самолета;</w:t>
      </w:r>
    </w:p>
    <w:p w14:paraId="103173E1" w14:textId="77777777" w:rsidR="00D549FB" w:rsidRPr="007224C3" w:rsidRDefault="00D549FB"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lastRenderedPageBreak/>
        <w:t>2. Взвешивание в вариантах:</w:t>
      </w:r>
    </w:p>
    <w:p w14:paraId="54372CD1" w14:textId="77777777" w:rsidR="00D549FB" w:rsidRPr="007224C3" w:rsidRDefault="00D549FB"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а) пустой;</w:t>
      </w:r>
    </w:p>
    <w:p w14:paraId="63BF42F6" w14:textId="77777777" w:rsidR="00D549FB" w:rsidRPr="007224C3" w:rsidRDefault="00D549FB"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б) полетный вес;</w:t>
      </w:r>
    </w:p>
    <w:p w14:paraId="3B78CCEE" w14:textId="77777777" w:rsidR="00D549FB" w:rsidRPr="007224C3" w:rsidRDefault="00D549FB"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3. Поверка механизма складывания и раскладывания крыльев;</w:t>
      </w:r>
    </w:p>
    <w:p w14:paraId="245AA014" w14:textId="77777777" w:rsidR="00D549FB" w:rsidRPr="007224C3" w:rsidRDefault="00D549FB"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4. Поверка положения узлов лодки для установки самолета накатапультную тележку;</w:t>
      </w:r>
    </w:p>
    <w:p w14:paraId="43BBDC08" w14:textId="77777777" w:rsidR="00D549FB" w:rsidRPr="007224C3" w:rsidRDefault="00D549FB"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5. Испытание бомбардировочного вооружения:</w:t>
      </w:r>
    </w:p>
    <w:p w14:paraId="18F504A9" w14:textId="77777777" w:rsidR="00D549FB" w:rsidRPr="007224C3" w:rsidRDefault="00D549FB"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а) подвесить макеты бомб (100 кг) лебедкой БЛ-4 для проверки ухватов и подъема лебедкой;</w:t>
      </w:r>
    </w:p>
    <w:p w14:paraId="0AC09480" w14:textId="77777777" w:rsidR="00D549FB" w:rsidRPr="007224C3" w:rsidRDefault="00D549FB"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б) подвесить грузики на замки балок. Произвести сбрасывание от аварийного сбрасывателя штурмана и пилота;</w:t>
      </w:r>
    </w:p>
    <w:p w14:paraId="190DA275" w14:textId="77777777" w:rsidR="00D549FB" w:rsidRPr="007224C3" w:rsidRDefault="00D549FB"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 произвести сбрасывание (грузиков) по одной, по две и всех сразу от кнопки ОПБ-1М (пиропатронами);</w:t>
      </w:r>
    </w:p>
    <w:p w14:paraId="3B1E1F92" w14:textId="77777777" w:rsidR="00D549FB" w:rsidRPr="007224C3" w:rsidRDefault="00D549FB"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г) произвести сбрасывание пиропатронами от кнопки пилота.</w:t>
      </w:r>
    </w:p>
    <w:p w14:paraId="0DADFF4E" w14:textId="77777777" w:rsidR="00D549FB" w:rsidRPr="007224C3" w:rsidRDefault="00D549FB"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Примечание: сбрасывание должно начинаться с крайних балок;</w:t>
      </w:r>
    </w:p>
    <w:p w14:paraId="67280FF3" w14:textId="77777777" w:rsidR="00D549FB" w:rsidRPr="007224C3" w:rsidRDefault="00D549FB"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6. Отстрел средней установки:</w:t>
      </w:r>
    </w:p>
    <w:p w14:paraId="06F8DB76" w14:textId="77777777" w:rsidR="00D549FB" w:rsidRPr="007224C3" w:rsidRDefault="00D549FB"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а) подготовить оружие к стрельбе согласно наставлению;</w:t>
      </w:r>
    </w:p>
    <w:p w14:paraId="1407ECDA" w14:textId="77777777" w:rsidR="00D549FB" w:rsidRPr="007224C3" w:rsidRDefault="00D549FB"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б) заложить в патронный ящик ленту на 100 патронов;</w:t>
      </w:r>
    </w:p>
    <w:p w14:paraId="0F161667" w14:textId="77777777" w:rsidR="00D549FB" w:rsidRPr="007224C3" w:rsidRDefault="00D549FB"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 произвести стрельбу короткими очередями по 3-5 патронов 5 очередей;</w:t>
      </w:r>
    </w:p>
    <w:p w14:paraId="5D663187" w14:textId="77777777" w:rsidR="00D549FB" w:rsidRPr="007224C3" w:rsidRDefault="00D549FB"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7. Пристрелка носовой установки пулеметов:</w:t>
      </w:r>
    </w:p>
    <w:p w14:paraId="3486E627" w14:textId="77777777" w:rsidR="00D549FB" w:rsidRPr="007224C3" w:rsidRDefault="00D549FB"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а) проверить правильность и законченность монтажа, особое внимание обратить на регулировку пружин лафетов;</w:t>
      </w:r>
    </w:p>
    <w:p w14:paraId="36384567" w14:textId="77777777" w:rsidR="00D549FB" w:rsidRPr="007224C3" w:rsidRDefault="00D549FB"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б) произвести холодную пристрелку оружия;</w:t>
      </w:r>
    </w:p>
    <w:p w14:paraId="27CB5517" w14:textId="77777777" w:rsidR="00D549FB" w:rsidRPr="007224C3" w:rsidRDefault="00D549FB"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 проверить емкость обоих патронных ящиков в соответствии их техническим] условиям;</w:t>
      </w:r>
    </w:p>
    <w:p w14:paraId="3E8C1093" w14:textId="77777777" w:rsidR="00D549FB" w:rsidRPr="007224C3" w:rsidRDefault="00D549FB"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г) заложить в каждый патронный ящик ленту с 40 патронами;</w:t>
      </w:r>
    </w:p>
    <w:p w14:paraId="1E649A3E" w14:textId="77777777" w:rsidR="00D549FB" w:rsidRPr="007224C3" w:rsidRDefault="00D549FB"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д) произвести стрельбу короткими очередями по 5 патронов с каждого пулемета по три очереди, если питание, гильзоотвод и звеньеотвод работают четко, вести стрельбу из двух пулеметов до полного израсходования патронов;</w:t>
      </w:r>
    </w:p>
    <w:p w14:paraId="147DF0E7" w14:textId="77777777" w:rsidR="00D549FB" w:rsidRPr="007224C3" w:rsidRDefault="00D549FB"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8. Опробование работы радиостанции РСБМ-бис;</w:t>
      </w:r>
    </w:p>
    <w:p w14:paraId="3E8F801F" w14:textId="77777777" w:rsidR="00D549FB" w:rsidRPr="007224C3" w:rsidRDefault="00D549FB"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II. Летные испытания:</w:t>
      </w:r>
    </w:p>
    <w:p w14:paraId="2232F390" w14:textId="77777777" w:rsidR="00D549FB" w:rsidRPr="007224C3" w:rsidRDefault="00D549FB"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 Взлет, набор высоты до 2 000 метров;</w:t>
      </w:r>
    </w:p>
    <w:p w14:paraId="17B6AE09" w14:textId="77777777" w:rsidR="00D549FB" w:rsidRPr="007224C3" w:rsidRDefault="00D549FB"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 Поверка переговорного устройства СПУ-2Ф;</w:t>
      </w:r>
    </w:p>
    <w:p w14:paraId="563F5720" w14:textId="77777777" w:rsidR="00D549FB" w:rsidRPr="007224C3" w:rsidRDefault="00D549FB"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3. Произвести отстрел пятью короткими очередями с каждого пулемета, затем пять очередей с обоих пулеметов. При взлете и посадке пилоту обратить внимание на положение предохранителей «закрыт».</w:t>
      </w:r>
    </w:p>
    <w:p w14:paraId="56FE47E1" w14:textId="77777777" w:rsidR="00D549FB" w:rsidRPr="007224C3" w:rsidRDefault="00D549FB"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Примечание:</w:t>
      </w:r>
    </w:p>
    <w:p w14:paraId="74187A19" w14:textId="77777777" w:rsidR="00D549FB" w:rsidRPr="007224C3" w:rsidRDefault="00D549FB"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 В каждый патронный ящик закладывается лента со 100 патронами;</w:t>
      </w:r>
    </w:p>
    <w:p w14:paraId="6A10F87B" w14:textId="77777777" w:rsidR="00D549FB" w:rsidRPr="007224C3" w:rsidRDefault="00D549FB"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 Полеты произвести с установленным морским оборудованием.</w:t>
      </w:r>
    </w:p>
    <w:p w14:paraId="28197A00" w14:textId="77777777" w:rsidR="00D549FB" w:rsidRPr="007224C3" w:rsidRDefault="00D549FB"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Начальник ОТК</w:t>
      </w:r>
    </w:p>
    <w:p w14:paraId="746A1A61" w14:textId="77777777" w:rsidR="00D549FB" w:rsidRPr="007224C3" w:rsidRDefault="00D549FB"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подпись</w:t>
      </w:r>
      <w:r w:rsidRPr="007224C3">
        <w:rPr>
          <w:rFonts w:ascii="Times New Roman" w:hAnsi="Times New Roman"/>
          <w:color w:val="0070C0"/>
          <w:sz w:val="16"/>
          <w:szCs w:val="16"/>
        </w:rPr>
        <w:tab/>
        <w:t>Ложечкин</w:t>
      </w:r>
    </w:p>
    <w:p w14:paraId="2582E6EA" w14:textId="77777777" w:rsidR="00D549FB" w:rsidRPr="007224C3" w:rsidRDefault="00D549FB"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Заместитель] гл[авного] конструктора</w:t>
      </w:r>
    </w:p>
    <w:p w14:paraId="29E1533C" w14:textId="77777777" w:rsidR="00D549FB" w:rsidRPr="007224C3" w:rsidRDefault="00D549FB"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подпись</w:t>
      </w:r>
      <w:r w:rsidRPr="007224C3">
        <w:rPr>
          <w:rFonts w:ascii="Times New Roman" w:hAnsi="Times New Roman"/>
          <w:color w:val="0070C0"/>
          <w:sz w:val="16"/>
          <w:szCs w:val="16"/>
        </w:rPr>
        <w:tab/>
        <w:t>Тришкин</w:t>
      </w:r>
    </w:p>
    <w:p w14:paraId="4442EF6D" w14:textId="77777777" w:rsidR="00D549FB" w:rsidRPr="007224C3" w:rsidRDefault="00D549FB"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Ст[арший] военпред инженер-капитан</w:t>
      </w:r>
    </w:p>
    <w:p w14:paraId="56E7FF24" w14:textId="77777777" w:rsidR="00D549FB" w:rsidRPr="007224C3" w:rsidRDefault="00D549FB"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подпись</w:t>
      </w:r>
      <w:r w:rsidRPr="007224C3">
        <w:rPr>
          <w:rFonts w:ascii="Times New Roman" w:hAnsi="Times New Roman"/>
          <w:color w:val="0070C0"/>
          <w:sz w:val="16"/>
          <w:szCs w:val="16"/>
        </w:rPr>
        <w:tab/>
        <w:t>Серебренников</w:t>
      </w:r>
    </w:p>
    <w:p w14:paraId="1D33DA0D" w14:textId="77777777" w:rsidR="00D549FB" w:rsidRPr="007224C3" w:rsidRDefault="00D549FB"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Нач[альник] ЛИСа</w:t>
      </w:r>
    </w:p>
    <w:p w14:paraId="6940F39F" w14:textId="77777777" w:rsidR="00D549FB" w:rsidRPr="007224C3" w:rsidRDefault="00D549FB"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подпись</w:t>
      </w:r>
      <w:r w:rsidRPr="007224C3">
        <w:rPr>
          <w:rFonts w:ascii="Times New Roman" w:hAnsi="Times New Roman"/>
          <w:color w:val="0070C0"/>
          <w:sz w:val="16"/>
          <w:szCs w:val="16"/>
        </w:rPr>
        <w:tab/>
        <w:t>Бочкарев</w:t>
      </w:r>
    </w:p>
    <w:p w14:paraId="7BCEFEDD" w14:textId="77777777" w:rsidR="00D549FB" w:rsidRPr="007224C3" w:rsidRDefault="00D549FB"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КГКУ «ГАКК». Ф.Р-1341. Оп. 4. Д. 133. Л. 2, 3. Подлинник. Машинопись (20476).</w:t>
      </w:r>
    </w:p>
    <w:p w14:paraId="4F1457E6" w14:textId="77777777" w:rsidR="00D549FB" w:rsidRPr="007224C3" w:rsidRDefault="00D549FB" w:rsidP="007224C3">
      <w:pPr>
        <w:spacing w:after="0" w:line="240" w:lineRule="auto"/>
        <w:jc w:val="both"/>
        <w:rPr>
          <w:rFonts w:ascii="Times New Roman" w:hAnsi="Times New Roman"/>
          <w:color w:val="0070C0"/>
          <w:sz w:val="16"/>
          <w:szCs w:val="16"/>
        </w:rPr>
      </w:pPr>
    </w:p>
    <w:p w14:paraId="3852A74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января 1944 года начальник ЛИИ проф. Чесалов писал письмо N 36с зам. наркома Авиапрома Дементьеву.</w:t>
      </w:r>
    </w:p>
    <w:p w14:paraId="55E75E5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основании постановления СНК и ЦК ВКП(б) за N 1610-672сс от 14 июня 1941 года и приказа НКАП за N 548сс от 21 июня 1941 года ЛИИ получает от серийных заводов самолеты безвозмездно.</w:t>
      </w:r>
    </w:p>
    <w:p w14:paraId="281A7DB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использовании самолетов, ЛИИ сдает их ВВС и другим организациям.</w:t>
      </w:r>
    </w:p>
    <w:p w14:paraId="1B553D4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Самолеты, после использования их на летно-исследовательской работе, могут эксплуатироваться в ограниченной степени или же должны пройти полный заводской восстановительный ремонт.</w:t>
      </w:r>
    </w:p>
    <w:p w14:paraId="301CB34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ВВС и другие организации, принимающие от ЛИИ самолеты, отказываются оплачивать стоимость самолетов, хотя бы и в уменьшенном за счет износа размере.</w:t>
      </w:r>
    </w:p>
    <w:p w14:paraId="581730A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ЛИИ, не имея совершенно производственной базы для восстановительного ремонта самолетов может сдавать их только безвозмездно.</w:t>
      </w:r>
    </w:p>
    <w:p w14:paraId="0CB2E39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Прошу Вашего распоряжения на передачу из ЛИИ всех непригодных к дальнейшему использованию на исследовательской работе самолетов безвозмездно (1821,19).</w:t>
      </w:r>
    </w:p>
    <w:p w14:paraId="45D1FF0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31B451" w14:textId="77777777" w:rsidR="00057A35" w:rsidRPr="007224C3" w:rsidRDefault="00057A35" w:rsidP="007224C3">
      <w:pPr>
        <w:pStyle w:val="a3"/>
        <w:rPr>
          <w:color w:val="000000" w:themeColor="text1"/>
          <w:lang w:val="ru-RU"/>
        </w:rPr>
      </w:pPr>
      <w:r w:rsidRPr="007224C3">
        <w:rPr>
          <w:color w:val="000000" w:themeColor="text1"/>
          <w:lang w:val="ru-RU"/>
        </w:rPr>
        <w:t>18 января 1944 г. на специальном «распорядительном заседании» Президиума АН СССР столкнулись два про</w:t>
      </w:r>
      <w:r w:rsidRPr="007224C3">
        <w:rPr>
          <w:color w:val="000000" w:themeColor="text1"/>
          <w:lang w:val="ru-RU"/>
        </w:rPr>
        <w:softHyphen/>
        <w:t>тивоположных мнения. На этом этапе обсуждения члены Академии — авиационники — отстаивали свои предложения, руководители Академии — первый вице-президент А.А. Байков и академик-секретарь Н.Г. Бруевич — не соглашались с идеей, опасаясь брать на не свойственные Академии организационно-распорядительные функции. Стенограмма этого заседания, на наш взгляд, представляет большой интерес для ис</w:t>
      </w:r>
      <w:r w:rsidRPr="007224C3">
        <w:rPr>
          <w:color w:val="000000" w:themeColor="text1"/>
          <w:lang w:val="ru-RU"/>
        </w:rPr>
        <w:softHyphen/>
        <w:t>тории авиационной науки, и материалы выступлений публикуются с минимальными ку</w:t>
      </w:r>
      <w:r w:rsidRPr="007224C3">
        <w:rPr>
          <w:color w:val="000000" w:themeColor="text1"/>
          <w:lang w:val="ru-RU"/>
        </w:rPr>
        <w:softHyphen/>
        <w:t>пюрами, чтобы исключить только повторения и ранее озвученные мнения. Первым в стенограмме приводится выступление академика А.А. Микулина:</w:t>
      </w:r>
    </w:p>
    <w:p w14:paraId="21DF5C2C" w14:textId="77777777" w:rsidR="00057A35" w:rsidRPr="007224C3" w:rsidRDefault="00057A35" w:rsidP="007224C3">
      <w:pPr>
        <w:pStyle w:val="a3"/>
        <w:rPr>
          <w:color w:val="000000" w:themeColor="text1"/>
          <w:lang w:val="ru-RU"/>
        </w:rPr>
      </w:pPr>
      <w:r w:rsidRPr="007224C3">
        <w:rPr>
          <w:color w:val="000000" w:themeColor="text1"/>
          <w:lang w:val="ru-RU"/>
        </w:rPr>
        <w:t>«Предупреждаю, что буду говорить о вещах, не подлежащих оглашению. Хочу привес</w:t>
      </w:r>
      <w:r w:rsidRPr="007224C3">
        <w:rPr>
          <w:color w:val="000000" w:themeColor="text1"/>
          <w:lang w:val="ru-RU"/>
        </w:rPr>
        <w:softHyphen/>
        <w:t>ти конкретный пример из своей практики. Некоторое время тому назад за границей по</w:t>
      </w:r>
      <w:r w:rsidRPr="007224C3">
        <w:rPr>
          <w:color w:val="000000" w:themeColor="text1"/>
          <w:lang w:val="ru-RU"/>
        </w:rPr>
        <w:softHyphen/>
        <w:t>вился самолёт, который называется «аэрокоброй». Отличительная черта этого самолёта заключалась в том, что у него двигатель расположен не перед лётчиком, а сзади. Вра</w:t>
      </w:r>
      <w:r w:rsidRPr="007224C3">
        <w:rPr>
          <w:color w:val="000000" w:themeColor="text1"/>
          <w:lang w:val="ru-RU"/>
        </w:rPr>
        <w:softHyphen/>
        <w:t xml:space="preserve">щение на винт передается при помощи длинного вала, на котором лётчик сидит верхом, </w:t>
      </w:r>
      <w:r w:rsidRPr="007224C3">
        <w:rPr>
          <w:rStyle w:val="99"/>
          <w:rFonts w:ascii="Times New Roman" w:hAnsi="Times New Roman" w:cs="Times New Roman"/>
          <w:b w:val="0"/>
          <w:color w:val="000000" w:themeColor="text1"/>
          <w:spacing w:val="0"/>
          <w:sz w:val="16"/>
          <w:szCs w:val="16"/>
          <w:lang w:val="ru-RU"/>
        </w:rPr>
        <w:t>и</w:t>
      </w:r>
      <w:r w:rsidRPr="007224C3">
        <w:rPr>
          <w:color w:val="000000" w:themeColor="text1"/>
          <w:lang w:val="ru-RU"/>
        </w:rPr>
        <w:t xml:space="preserve"> пропеллер приводится во вращение спереди. Военные лётчики говорят, что «аэро</w:t>
      </w:r>
      <w:r w:rsidRPr="007224C3">
        <w:rPr>
          <w:color w:val="000000" w:themeColor="text1"/>
          <w:lang w:val="ru-RU"/>
        </w:rPr>
        <w:softHyphen/>
        <w:t>кобра» отличается целым рядом преимуществ как по скорости, так и маневренности.</w:t>
      </w:r>
    </w:p>
    <w:p w14:paraId="10DFC82C" w14:textId="77777777" w:rsidR="00057A35" w:rsidRPr="007224C3" w:rsidRDefault="00057A35" w:rsidP="007224C3">
      <w:pPr>
        <w:pStyle w:val="a3"/>
        <w:rPr>
          <w:color w:val="000000" w:themeColor="text1"/>
          <w:lang w:val="ru-RU"/>
        </w:rPr>
      </w:pPr>
      <w:r w:rsidRPr="007224C3">
        <w:rPr>
          <w:color w:val="000000" w:themeColor="text1"/>
          <w:lang w:val="ru-RU"/>
        </w:rPr>
        <w:t>В нашей стране один молодой конструктор раньше, нежели появилась эта «аэро</w:t>
      </w:r>
      <w:r w:rsidRPr="007224C3">
        <w:rPr>
          <w:color w:val="000000" w:themeColor="text1"/>
          <w:lang w:val="ru-RU"/>
        </w:rPr>
        <w:softHyphen/>
        <w:t>кобра», предложил построить такой самолёт и попросил меня, чтобы я сделал для него двигатель. Я затратил год огромного труда на то, чтобы разрешить эту очень сложную проблему... крутильных колебаний, и сделал такой двигатель... Затем конструктор... в ан</w:t>
      </w:r>
      <w:r w:rsidRPr="007224C3">
        <w:rPr>
          <w:color w:val="000000" w:themeColor="text1"/>
          <w:lang w:val="ru-RU"/>
        </w:rPr>
        <w:softHyphen/>
        <w:t>гаре обнаружил ошибку в расчёте, что вызвало задержку выпуска самолёта приблизи</w:t>
      </w:r>
      <w:r w:rsidRPr="007224C3">
        <w:rPr>
          <w:color w:val="000000" w:themeColor="text1"/>
          <w:lang w:val="ru-RU"/>
        </w:rPr>
        <w:softHyphen/>
        <w:t>тельно ещё на шесть месяцев. Потом он полетел, и самолёт потерпел аварию.</w:t>
      </w:r>
    </w:p>
    <w:p w14:paraId="740EFEB2" w14:textId="77777777" w:rsidR="00057A35" w:rsidRPr="007224C3" w:rsidRDefault="00057A35" w:rsidP="007224C3">
      <w:pPr>
        <w:pStyle w:val="a3"/>
        <w:rPr>
          <w:color w:val="000000" w:themeColor="text1"/>
          <w:lang w:val="ru-RU"/>
        </w:rPr>
      </w:pPr>
      <w:r w:rsidRPr="007224C3">
        <w:rPr>
          <w:color w:val="000000" w:themeColor="text1"/>
          <w:lang w:val="ru-RU"/>
        </w:rPr>
        <w:t>Какой вывод мы можем сделать из этого факта? Мы можем сделать такой вывод, на сегодняшний день у нас нет такого научного центра, который бы координировал помогал работе молодых конструкторов. Я</w:t>
      </w:r>
      <w:r w:rsidRPr="007224C3">
        <w:rPr>
          <w:rStyle w:val="14Arial"/>
          <w:rFonts w:ascii="Times New Roman" w:hAnsi="Times New Roman" w:cs="Times New Roman"/>
          <w:color w:val="000000" w:themeColor="text1"/>
          <w:spacing w:val="0"/>
          <w:sz w:val="16"/>
          <w:szCs w:val="16"/>
          <w:lang w:val="ru-RU"/>
        </w:rPr>
        <w:t xml:space="preserve"> могу</w:t>
      </w:r>
      <w:r w:rsidRPr="007224C3">
        <w:rPr>
          <w:color w:val="000000" w:themeColor="text1"/>
          <w:lang w:val="ru-RU"/>
        </w:rPr>
        <w:t xml:space="preserve"> ответственно сказать, что за всё вр мя моего пребывания в Наркомате авиационной промышленности ни одного раза я </w:t>
      </w:r>
      <w:r w:rsidRPr="007224C3">
        <w:rPr>
          <w:color w:val="000000" w:themeColor="text1"/>
        </w:rPr>
        <w:t>i</w:t>
      </w:r>
      <w:r w:rsidRPr="007224C3">
        <w:rPr>
          <w:color w:val="000000" w:themeColor="text1"/>
          <w:lang w:val="ru-RU"/>
        </w:rPr>
        <w:t xml:space="preserve"> сидел на совещании, не только не предусматривающем такой состав, как поедполагается в этой секции, но даже среди конструкторов самолётов, где бы была хоть одна научная величина. Не заведено это. Потому что Наркомат — это ведомственное учреждение, которое работает по плану, заранее заданному плану, по которому установлен что Петров должен сделать то-то. Иванов должен сделать то-то. И они делают. Причё Иванов и Петров люди, которые обладают рядом недостатков, известной долей чва ства. самомнения и т.д. И никогда в наркомате не может быть такого положения, что бы здесь была координация всех работ. Этого нет и быть не может. И в связи с эти государство терпит чудовищные убытки. Это надо прекратить немедленно.</w:t>
      </w:r>
    </w:p>
    <w:p w14:paraId="7E4DF423" w14:textId="77777777" w:rsidR="00057A35" w:rsidRPr="007224C3" w:rsidRDefault="00057A35" w:rsidP="007224C3">
      <w:pPr>
        <w:pStyle w:val="a3"/>
        <w:rPr>
          <w:color w:val="000000" w:themeColor="text1"/>
          <w:lang w:val="ru-RU"/>
        </w:rPr>
      </w:pPr>
      <w:r w:rsidRPr="007224C3">
        <w:rPr>
          <w:color w:val="000000" w:themeColor="text1"/>
          <w:lang w:val="ru-RU"/>
        </w:rPr>
        <w:t>Н.Г. Бруевич высказал мысль, с которой я абсолютно не согласен. Н.Г. указал, что вс темы, которые намечает секция — это темы Института механики. Это неверно. Я мог бы назвать десять других институтов, которые занимаются этими работами. Но эти десять ии ститутов в своём большинстве ведомственные, а если они ведомственные, следовательно, программу утверждает наркомат, а следовательно, вся программа на 90% по крайней мере связана с серийным производством, ибо над наркоматом давлеют исключительно</w:t>
      </w:r>
      <w:r w:rsidRPr="007224C3">
        <w:rPr>
          <w:rStyle w:val="14Arial"/>
          <w:rFonts w:ascii="Times New Roman" w:hAnsi="Times New Roman" w:cs="Times New Roman"/>
          <w:color w:val="000000" w:themeColor="text1"/>
          <w:spacing w:val="0"/>
          <w:sz w:val="16"/>
          <w:szCs w:val="16"/>
          <w:lang w:val="ru-RU"/>
        </w:rPr>
        <w:t xml:space="preserve"> вопросы</w:t>
      </w:r>
      <w:r w:rsidRPr="007224C3">
        <w:rPr>
          <w:color w:val="000000" w:themeColor="text1"/>
          <w:lang w:val="ru-RU"/>
        </w:rPr>
        <w:t xml:space="preserve"> серийного производства. Если же наша секция действительно займёт то положение, которое она должна занять, она будет иметь право не только рекомендо</w:t>
      </w:r>
      <w:r w:rsidRPr="007224C3">
        <w:rPr>
          <w:color w:val="000000" w:themeColor="text1"/>
          <w:lang w:val="ru-RU"/>
        </w:rPr>
        <w:softHyphen/>
        <w:t>вать институтам иначе направить работу, чтобы они имели другие результаты и другие выходы, но так построить программу своих работ, чтобы обеспечить действительно пра</w:t>
      </w:r>
      <w:r w:rsidRPr="007224C3">
        <w:rPr>
          <w:color w:val="000000" w:themeColor="text1"/>
          <w:lang w:val="ru-RU"/>
        </w:rPr>
        <w:softHyphen/>
        <w:t>вильное и наиболее успешное разрешение стоящих научно-исследовательских задач. Ведь сейчас возьмите протокол, любой протокол и вы там не поймёте, до такой степе</w:t>
      </w:r>
      <w:r w:rsidRPr="007224C3">
        <w:rPr>
          <w:color w:val="000000" w:themeColor="text1"/>
          <w:lang w:val="ru-RU"/>
        </w:rPr>
        <w:softHyphen/>
        <w:t>ни всё запущено, потому что нет согласованности. Даже величины, в которых замеря</w:t>
      </w:r>
      <w:r w:rsidRPr="007224C3">
        <w:rPr>
          <w:color w:val="000000" w:themeColor="text1"/>
          <w:lang w:val="ru-RU"/>
        </w:rPr>
        <w:softHyphen/>
        <w:t>ют — не одни и те же. так что в ряде случаев нельзя сделать сопоставление.</w:t>
      </w:r>
    </w:p>
    <w:p w14:paraId="0F9BDE20" w14:textId="77777777" w:rsidR="00057A35" w:rsidRPr="007224C3" w:rsidRDefault="00057A35" w:rsidP="007224C3">
      <w:pPr>
        <w:pStyle w:val="a3"/>
        <w:rPr>
          <w:color w:val="000000" w:themeColor="text1"/>
          <w:lang w:val="ru-RU"/>
        </w:rPr>
      </w:pPr>
      <w:r w:rsidRPr="007224C3">
        <w:rPr>
          <w:color w:val="000000" w:themeColor="text1"/>
          <w:lang w:val="ru-RU"/>
        </w:rPr>
        <w:t>Поэтому, мне кажется, совершенно правильно поставлен вопрос, что должен быть ка</w:t>
      </w:r>
      <w:r w:rsidRPr="007224C3">
        <w:rPr>
          <w:color w:val="000000" w:themeColor="text1"/>
          <w:lang w:val="ru-RU"/>
        </w:rPr>
        <w:softHyphen/>
        <w:t>кой-то научный центр, который обеспечит согласование и координацию всех такого ро</w:t>
      </w:r>
      <w:r w:rsidRPr="007224C3">
        <w:rPr>
          <w:color w:val="000000" w:themeColor="text1"/>
          <w:lang w:val="ru-RU"/>
        </w:rPr>
        <w:softHyphen/>
        <w:t>да вопросов, конечно, если он правильно будет организован. Поэтому я совершенно не согласен с Н.Г. и считаю, что он не совсем правильно подходит к этому вопросу. Если даже эта секция только сумеет правильно направить деятельность научно-исследова</w:t>
      </w:r>
      <w:r w:rsidRPr="007224C3">
        <w:rPr>
          <w:color w:val="000000" w:themeColor="text1"/>
          <w:lang w:val="ru-RU"/>
        </w:rPr>
        <w:softHyphen/>
        <w:t>тельских организаций, это уже будет большим достижением.</w:t>
      </w:r>
    </w:p>
    <w:p w14:paraId="69A52B64" w14:textId="77777777" w:rsidR="00057A35" w:rsidRPr="007224C3" w:rsidRDefault="00057A35" w:rsidP="007224C3">
      <w:pPr>
        <w:pStyle w:val="27"/>
        <w:shd w:val="clear" w:color="auto" w:fill="auto"/>
        <w:spacing w:after="0" w:line="240" w:lineRule="auto"/>
        <w:ind w:firstLine="0"/>
        <w:rPr>
          <w:rFonts w:ascii="Times New Roman" w:cs="Times New Roman"/>
          <w:color w:val="000000" w:themeColor="text1"/>
          <w:spacing w:val="0"/>
        </w:rPr>
      </w:pPr>
      <w:r w:rsidRPr="007224C3">
        <w:rPr>
          <w:rFonts w:ascii="Times New Roman" w:cs="Times New Roman"/>
          <w:color w:val="000000" w:themeColor="text1"/>
          <w:spacing w:val="0"/>
        </w:rPr>
        <w:t>Никто не отрицает того, что в области авиации ещё много неразрешенных и сложных проблем. Возьмите хотя бы вопрос о высотных полётах — очень важная и серьезная за</w:t>
      </w:r>
      <w:r w:rsidRPr="007224C3">
        <w:rPr>
          <w:rFonts w:ascii="Times New Roman" w:cs="Times New Roman"/>
          <w:color w:val="000000" w:themeColor="text1"/>
          <w:spacing w:val="0"/>
        </w:rPr>
        <w:softHyphen/>
        <w:t>дача. И мы должны так направить эту работу, чтобы из каждого кон</w:t>
      </w:r>
      <w:r w:rsidRPr="007224C3">
        <w:rPr>
          <w:rFonts w:ascii="Times New Roman" w:cs="Times New Roman"/>
          <w:color w:val="000000" w:themeColor="text1"/>
          <w:spacing w:val="0"/>
        </w:rPr>
        <w:softHyphen/>
        <w:t>кретного случая обоб</w:t>
      </w:r>
      <w:r w:rsidRPr="007224C3">
        <w:rPr>
          <w:rFonts w:ascii="Times New Roman" w:cs="Times New Roman"/>
          <w:color w:val="000000" w:themeColor="text1"/>
          <w:spacing w:val="0"/>
        </w:rPr>
        <w:softHyphen/>
        <w:t>щать выводы и направ</w:t>
      </w:r>
      <w:r w:rsidRPr="007224C3">
        <w:rPr>
          <w:rFonts w:ascii="Times New Roman" w:cs="Times New Roman"/>
          <w:color w:val="000000" w:themeColor="text1"/>
          <w:spacing w:val="0"/>
        </w:rPr>
        <w:softHyphen/>
        <w:t>лять эти выводы на ус</w:t>
      </w:r>
      <w:r w:rsidRPr="007224C3">
        <w:rPr>
          <w:rFonts w:ascii="Times New Roman" w:cs="Times New Roman"/>
          <w:color w:val="000000" w:themeColor="text1"/>
          <w:spacing w:val="0"/>
        </w:rPr>
        <w:softHyphen/>
        <w:t>тановление дальнейших путей развития этого дела. Я, например, счи</w:t>
      </w:r>
      <w:r w:rsidRPr="007224C3">
        <w:rPr>
          <w:rFonts w:ascii="Times New Roman" w:cs="Times New Roman"/>
          <w:color w:val="000000" w:themeColor="text1"/>
          <w:spacing w:val="0"/>
        </w:rPr>
        <w:softHyphen/>
        <w:t>таю, что если бы была секция, то тот самолёт с мотором сзади, о кото</w:t>
      </w:r>
      <w:r w:rsidRPr="007224C3">
        <w:rPr>
          <w:rFonts w:ascii="Times New Roman" w:cs="Times New Roman"/>
          <w:color w:val="000000" w:themeColor="text1"/>
          <w:spacing w:val="0"/>
        </w:rPr>
        <w:softHyphen/>
        <w:t>ром я говорил, возмож</w:t>
      </w:r>
      <w:r w:rsidRPr="007224C3">
        <w:rPr>
          <w:rFonts w:ascii="Times New Roman" w:cs="Times New Roman"/>
          <w:color w:val="000000" w:themeColor="text1"/>
          <w:spacing w:val="0"/>
        </w:rPr>
        <w:softHyphen/>
        <w:t xml:space="preserve">но не потерпел </w:t>
      </w:r>
      <w:r w:rsidRPr="007224C3">
        <w:rPr>
          <w:rFonts w:ascii="Times New Roman" w:cs="Times New Roman"/>
          <w:color w:val="000000" w:themeColor="text1"/>
          <w:spacing w:val="0"/>
        </w:rPr>
        <w:lastRenderedPageBreak/>
        <w:t>бы аварии, потому что все расчеты можно было бы проверить. Мы не вправе сейчас допускать, чтобы из-за безграмотности какого-либо мо</w:t>
      </w:r>
      <w:r w:rsidRPr="007224C3">
        <w:rPr>
          <w:rFonts w:ascii="Times New Roman" w:cs="Times New Roman"/>
          <w:color w:val="000000" w:themeColor="text1"/>
          <w:spacing w:val="0"/>
        </w:rPr>
        <w:softHyphen/>
        <w:t>лодого человека страдали наши интересы. Мы это не можем допускать и, несмотря на то, что может быть формально мы не отвечаем, так как строит самолёт наркомат, но духовную и моральную ответственность мы несем за это дело. А для того, чтобы мы могли нести эту ответственность, нам нужно обеспечить науч</w:t>
      </w:r>
      <w:r w:rsidRPr="007224C3">
        <w:rPr>
          <w:rFonts w:ascii="Times New Roman" w:cs="Times New Roman"/>
          <w:color w:val="000000" w:themeColor="text1"/>
          <w:spacing w:val="0"/>
        </w:rPr>
        <w:softHyphen/>
        <w:t>ное руководство. Поэтому я считаю абсолют</w:t>
      </w:r>
      <w:r w:rsidRPr="007224C3">
        <w:rPr>
          <w:rFonts w:ascii="Times New Roman" w:cs="Times New Roman"/>
          <w:color w:val="000000" w:themeColor="text1"/>
          <w:spacing w:val="0"/>
        </w:rPr>
        <w:softHyphen/>
        <w:t>но необходимым создание такой секции и могу пожелать этой секции всевозможных ус</w:t>
      </w:r>
      <w:r w:rsidRPr="007224C3">
        <w:rPr>
          <w:rFonts w:ascii="Times New Roman" w:cs="Times New Roman"/>
          <w:color w:val="000000" w:themeColor="text1"/>
          <w:spacing w:val="0"/>
        </w:rPr>
        <w:softHyphen/>
        <w:t>пехов. чтобы заполнить ту пустоту, которую мы имеем, а сейчас мы имеем такое положе</w:t>
      </w:r>
      <w:r w:rsidRPr="007224C3">
        <w:rPr>
          <w:rFonts w:ascii="Times New Roman" w:cs="Times New Roman"/>
          <w:color w:val="000000" w:themeColor="text1"/>
          <w:spacing w:val="0"/>
        </w:rPr>
        <w:softHyphen/>
        <w:t>ние, что здесь пустота, и даже нет дырок».</w:t>
      </w:r>
    </w:p>
    <w:p w14:paraId="007E9D42" w14:textId="77777777" w:rsidR="00057A35" w:rsidRPr="007224C3" w:rsidRDefault="00057A35" w:rsidP="007224C3">
      <w:pPr>
        <w:pStyle w:val="27"/>
        <w:shd w:val="clear" w:color="auto" w:fill="auto"/>
        <w:spacing w:after="0" w:line="240" w:lineRule="auto"/>
        <w:ind w:firstLine="0"/>
        <w:rPr>
          <w:rFonts w:ascii="Times New Roman" w:cs="Times New Roman"/>
          <w:color w:val="000000" w:themeColor="text1"/>
          <w:spacing w:val="0"/>
        </w:rPr>
      </w:pPr>
      <w:r w:rsidRPr="007224C3">
        <w:rPr>
          <w:rFonts w:ascii="Times New Roman" w:cs="Times New Roman"/>
          <w:color w:val="000000" w:themeColor="text1"/>
          <w:spacing w:val="0"/>
        </w:rPr>
        <w:t xml:space="preserve">Следующим в стенограмме зафиксировано выступление академика </w:t>
      </w:r>
      <w:r w:rsidRPr="007224C3">
        <w:rPr>
          <w:rFonts w:ascii="Times New Roman" w:cs="Times New Roman"/>
          <w:color w:val="000000" w:themeColor="text1"/>
          <w:spacing w:val="0"/>
          <w:lang w:val="en-US"/>
        </w:rPr>
        <w:t>B</w:t>
      </w:r>
      <w:r w:rsidRPr="007224C3">
        <w:rPr>
          <w:rFonts w:ascii="Times New Roman" w:cs="Times New Roman"/>
          <w:color w:val="000000" w:themeColor="text1"/>
          <w:spacing w:val="0"/>
        </w:rPr>
        <w:t>.</w:t>
      </w:r>
      <w:r w:rsidRPr="007224C3">
        <w:rPr>
          <w:rFonts w:ascii="Times New Roman" w:cs="Times New Roman"/>
          <w:color w:val="000000" w:themeColor="text1"/>
          <w:spacing w:val="0"/>
          <w:lang w:val="en-US"/>
        </w:rPr>
        <w:t>C</w:t>
      </w:r>
      <w:r w:rsidRPr="007224C3">
        <w:rPr>
          <w:rFonts w:ascii="Times New Roman" w:cs="Times New Roman"/>
          <w:color w:val="000000" w:themeColor="text1"/>
          <w:spacing w:val="0"/>
        </w:rPr>
        <w:t>. Кулебакина, пол</w:t>
      </w:r>
      <w:r w:rsidRPr="007224C3">
        <w:rPr>
          <w:rFonts w:ascii="Times New Roman" w:cs="Times New Roman"/>
          <w:color w:val="000000" w:themeColor="text1"/>
          <w:spacing w:val="0"/>
        </w:rPr>
        <w:softHyphen/>
        <w:t>ностью поддержавшего идею создания секции:</w:t>
      </w:r>
    </w:p>
    <w:p w14:paraId="14639F1B" w14:textId="77777777" w:rsidR="00057A35" w:rsidRPr="007224C3" w:rsidRDefault="00057A35" w:rsidP="007224C3">
      <w:pPr>
        <w:pStyle w:val="27"/>
        <w:shd w:val="clear" w:color="auto" w:fill="auto"/>
        <w:spacing w:after="0" w:line="240" w:lineRule="auto"/>
        <w:ind w:firstLine="0"/>
        <w:rPr>
          <w:rFonts w:ascii="Times New Roman" w:cs="Times New Roman"/>
          <w:color w:val="000000" w:themeColor="text1"/>
          <w:spacing w:val="0"/>
        </w:rPr>
      </w:pPr>
      <w:r w:rsidRPr="007224C3">
        <w:rPr>
          <w:rFonts w:ascii="Times New Roman" w:cs="Times New Roman"/>
          <w:color w:val="000000" w:themeColor="text1"/>
          <w:spacing w:val="0"/>
        </w:rPr>
        <w:t>«Мне кажется, что идея создания этой сек</w:t>
      </w:r>
      <w:r w:rsidRPr="007224C3">
        <w:rPr>
          <w:rFonts w:ascii="Times New Roman" w:cs="Times New Roman"/>
          <w:color w:val="000000" w:themeColor="text1"/>
          <w:spacing w:val="0"/>
        </w:rPr>
        <w:softHyphen/>
        <w:t>ции заключается в том, что секция эта будет иметь своей задачей комплексирование тех научно-исследовательских работ, которые проводятся различными организациями. Это</w:t>
      </w:r>
      <w:r w:rsidRPr="007224C3">
        <w:rPr>
          <w:rStyle w:val="affa"/>
          <w:rFonts w:ascii="Times New Roman" w:cs="Times New Roman"/>
          <w:b w:val="0"/>
          <w:color w:val="000000" w:themeColor="text1"/>
          <w:spacing w:val="0"/>
          <w:sz w:val="16"/>
          <w:szCs w:val="16"/>
        </w:rPr>
        <w:t xml:space="preserve"> Член-корреспондент В.Я. Климов </w:t>
      </w:r>
      <w:r w:rsidRPr="007224C3">
        <w:rPr>
          <w:rFonts w:ascii="Times New Roman" w:cs="Times New Roman"/>
          <w:color w:val="000000" w:themeColor="text1"/>
          <w:spacing w:val="0"/>
        </w:rPr>
        <w:t>не значит, что она своими силами всё будет делать. Основной её задачей является именно координирование научно-исследователь</w:t>
      </w:r>
      <w:r w:rsidRPr="007224C3">
        <w:rPr>
          <w:rFonts w:ascii="Times New Roman" w:cs="Times New Roman"/>
          <w:color w:val="000000" w:themeColor="text1"/>
          <w:spacing w:val="0"/>
        </w:rPr>
        <w:softHyphen/>
        <w:t>ских работ, выполняемых как академическими ин-тами, так и другими научно-исследо</w:t>
      </w:r>
      <w:r w:rsidRPr="007224C3">
        <w:rPr>
          <w:rFonts w:ascii="Times New Roman" w:cs="Times New Roman"/>
          <w:color w:val="000000" w:themeColor="text1"/>
          <w:spacing w:val="0"/>
        </w:rPr>
        <w:softHyphen/>
        <w:t>вательскими организациями. Сейчас у нас и наши академические, и другие научно-ис- следовательские организации работают каждая сама по себе. Естественно, что отсюда часто получается параллелизм, повторение одних и тех же работ. Поэтому, безусловно, было бы очень полезно иметь какой-то орган, который обеспечил бы обобщение и ко</w:t>
      </w:r>
      <w:r w:rsidRPr="007224C3">
        <w:rPr>
          <w:rFonts w:ascii="Times New Roman" w:cs="Times New Roman"/>
          <w:color w:val="000000" w:themeColor="text1"/>
          <w:spacing w:val="0"/>
        </w:rPr>
        <w:softHyphen/>
        <w:t>ординацию этих работ.</w:t>
      </w:r>
    </w:p>
    <w:p w14:paraId="4CDB9624" w14:textId="77777777" w:rsidR="00057A35" w:rsidRPr="007224C3" w:rsidRDefault="00057A35" w:rsidP="007224C3">
      <w:pPr>
        <w:pStyle w:val="27"/>
        <w:shd w:val="clear" w:color="auto" w:fill="auto"/>
        <w:spacing w:after="0" w:line="240" w:lineRule="auto"/>
        <w:ind w:firstLine="0"/>
        <w:rPr>
          <w:rFonts w:ascii="Times New Roman" w:cs="Times New Roman"/>
          <w:color w:val="000000" w:themeColor="text1"/>
          <w:spacing w:val="0"/>
        </w:rPr>
      </w:pPr>
      <w:r w:rsidRPr="007224C3">
        <w:rPr>
          <w:rFonts w:ascii="Times New Roman" w:cs="Times New Roman"/>
          <w:color w:val="000000" w:themeColor="text1"/>
          <w:spacing w:val="0"/>
        </w:rPr>
        <w:t>Несомненно, что в области авиации мы имеем целый ряд очень серьёзных и весьма сложных вопросов, над разрешением которых придется очень много поработать. Возь</w:t>
      </w:r>
      <w:r w:rsidRPr="007224C3">
        <w:rPr>
          <w:rFonts w:ascii="Times New Roman" w:cs="Times New Roman"/>
          <w:color w:val="000000" w:themeColor="text1"/>
          <w:spacing w:val="0"/>
        </w:rPr>
        <w:softHyphen/>
        <w:t>мите хотя бы вопрос об электроснабжении самолёта — очень сложная проблема. Тут один институт автоматики вряд ли может добиться больших успехов, так как вопрос этот связан с электрооборудованием, управлением самолёта и т.д. И таких вопросов будет немало. Этими вопросами должна будет заниматься секция.</w:t>
      </w:r>
    </w:p>
    <w:p w14:paraId="1F1BC56D" w14:textId="77777777" w:rsidR="00057A35" w:rsidRPr="007224C3" w:rsidRDefault="00057A35" w:rsidP="007224C3">
      <w:pPr>
        <w:pStyle w:val="27"/>
        <w:shd w:val="clear" w:color="auto" w:fill="auto"/>
        <w:spacing w:after="0" w:line="240" w:lineRule="auto"/>
        <w:ind w:firstLine="0"/>
        <w:rPr>
          <w:rFonts w:ascii="Times New Roman" w:cs="Times New Roman"/>
          <w:color w:val="000000" w:themeColor="text1"/>
          <w:spacing w:val="0"/>
        </w:rPr>
      </w:pPr>
      <w:r w:rsidRPr="007224C3">
        <w:rPr>
          <w:rFonts w:ascii="Times New Roman" w:cs="Times New Roman"/>
          <w:color w:val="000000" w:themeColor="text1"/>
          <w:spacing w:val="0"/>
        </w:rPr>
        <w:t>Конечно, никто не предполагает, что секция будет заниматься такими вопросами, ко</w:t>
      </w:r>
      <w:r w:rsidRPr="007224C3">
        <w:rPr>
          <w:rFonts w:ascii="Times New Roman" w:cs="Times New Roman"/>
          <w:color w:val="000000" w:themeColor="text1"/>
          <w:spacing w:val="0"/>
        </w:rPr>
        <w:softHyphen/>
        <w:t>торые раньше нигде никогда не разрабатывались. Но если такая секция будет организо</w:t>
      </w:r>
      <w:r w:rsidRPr="007224C3">
        <w:rPr>
          <w:rFonts w:ascii="Times New Roman" w:cs="Times New Roman"/>
          <w:color w:val="000000" w:themeColor="text1"/>
          <w:spacing w:val="0"/>
        </w:rPr>
        <w:softHyphen/>
        <w:t>вана, несомненно, что целый ряд вопросов будет разрешен скорее и лучше, чем в том случае, если бы этими вопросами занимались бы отдельные научно-исследовательские организации сами по себе. Я уверен, что тот же Институт автоматики будет привлечён к более активному участию в этих работах и работы его будут более целеустремленны, если руководить этим делом будет секция.</w:t>
      </w:r>
    </w:p>
    <w:p w14:paraId="07719668" w14:textId="77777777" w:rsidR="00057A35" w:rsidRPr="007224C3" w:rsidRDefault="00057A35" w:rsidP="007224C3">
      <w:pPr>
        <w:pStyle w:val="27"/>
        <w:shd w:val="clear" w:color="auto" w:fill="auto"/>
        <w:spacing w:after="0" w:line="240" w:lineRule="auto"/>
        <w:ind w:firstLine="0"/>
        <w:rPr>
          <w:rFonts w:ascii="Times New Roman" w:cs="Times New Roman"/>
          <w:color w:val="000000" w:themeColor="text1"/>
          <w:spacing w:val="0"/>
        </w:rPr>
      </w:pPr>
      <w:r w:rsidRPr="007224C3">
        <w:rPr>
          <w:rFonts w:ascii="Times New Roman" w:cs="Times New Roman"/>
          <w:color w:val="000000" w:themeColor="text1"/>
          <w:spacing w:val="0"/>
        </w:rPr>
        <w:t>Мне лично кажется, что проблемы авиации настолько велики и значительны, что безу</w:t>
      </w:r>
      <w:r w:rsidRPr="007224C3">
        <w:rPr>
          <w:rFonts w:ascii="Times New Roman" w:cs="Times New Roman"/>
          <w:color w:val="000000" w:themeColor="text1"/>
          <w:spacing w:val="0"/>
        </w:rPr>
        <w:softHyphen/>
        <w:t>словно следует создать такую секцию. Я должен отметить, что ещё во время империа</w:t>
      </w:r>
      <w:r w:rsidRPr="007224C3">
        <w:rPr>
          <w:rFonts w:ascii="Times New Roman" w:cs="Times New Roman"/>
          <w:color w:val="000000" w:themeColor="text1"/>
          <w:spacing w:val="0"/>
        </w:rPr>
        <w:softHyphen/>
        <w:t>листической войны в Англии по вопросам конструирования магнето была создана специальная Королевская комиссия, по вопросам электрического зажигания специально для авиации тоже была комиссия. Неужели сейчас авиация, имеющая исключительно ва</w:t>
      </w:r>
      <w:r w:rsidRPr="007224C3">
        <w:rPr>
          <w:rFonts w:ascii="Times New Roman" w:cs="Times New Roman"/>
          <w:color w:val="000000" w:themeColor="text1"/>
          <w:spacing w:val="0"/>
        </w:rPr>
        <w:softHyphen/>
        <w:t>жное значение в обороне нашей страны, не является проблемой, достойной Академии Наук? Я считаю, что Академия Наук обязана взять на себя разрешение, конечно, не от</w:t>
      </w:r>
      <w:r w:rsidRPr="007224C3">
        <w:rPr>
          <w:rFonts w:ascii="Times New Roman" w:cs="Times New Roman"/>
          <w:color w:val="000000" w:themeColor="text1"/>
          <w:spacing w:val="0"/>
        </w:rPr>
        <w:softHyphen/>
        <w:t>дельных вопросов, а этих вопросов в комплексе и вот это как раз будет то, чем эта сек</w:t>
      </w:r>
      <w:r w:rsidRPr="007224C3">
        <w:rPr>
          <w:rFonts w:ascii="Times New Roman" w:cs="Times New Roman"/>
          <w:color w:val="000000" w:themeColor="text1"/>
          <w:spacing w:val="0"/>
        </w:rPr>
        <w:softHyphen/>
        <w:t>ция должна заниматься.&lt;...&gt;</w:t>
      </w:r>
    </w:p>
    <w:p w14:paraId="2BA3C2EA" w14:textId="77777777" w:rsidR="00057A35" w:rsidRPr="007224C3" w:rsidRDefault="00057A35" w:rsidP="007224C3">
      <w:pPr>
        <w:pStyle w:val="a3"/>
        <w:rPr>
          <w:color w:val="000000" w:themeColor="text1"/>
          <w:lang w:val="ru-RU"/>
        </w:rPr>
      </w:pPr>
      <w:r w:rsidRPr="007224C3">
        <w:rPr>
          <w:color w:val="000000" w:themeColor="text1"/>
          <w:lang w:val="ru-RU"/>
        </w:rPr>
        <w:t>Инициаторами организации этой секции являются работники, которые самым тесным образом связаны с авиацией, причём которые связаны с авиацией не в последние го</w:t>
      </w:r>
      <w:r w:rsidRPr="007224C3">
        <w:rPr>
          <w:color w:val="000000" w:themeColor="text1"/>
          <w:lang w:val="ru-RU"/>
        </w:rPr>
        <w:softHyphen/>
        <w:t>ды, а десятки лет. В частности, я работаю с 1914 г., т.е. 30 лет, Борис Николаевич Юрь</w:t>
      </w:r>
      <w:r w:rsidRPr="007224C3">
        <w:rPr>
          <w:color w:val="000000" w:themeColor="text1"/>
          <w:lang w:val="ru-RU"/>
        </w:rPr>
        <w:softHyphen/>
        <w:t>ев тоже 30 лет, Александр Александрович Микулин тоже начал работать совместно со мной очень давно. И вот инициаторы организации этой секции поставили этот вопрос потому, что они на собственной спине, простите за грубое выражение, почувствовали необходимость такого объединения. Разве мы ставим этот вопрос потому, что нам не</w:t>
      </w:r>
      <w:r w:rsidRPr="007224C3">
        <w:rPr>
          <w:color w:val="000000" w:themeColor="text1"/>
          <w:lang w:val="ru-RU"/>
        </w:rPr>
        <w:softHyphen/>
        <w:t>где организовать научную работу? Конечно, нет. У меня в Академии (Военно-Воздуш- ная) прекрасные лаборатории, очень солидная база для работ, Б.Н. Юрьев также имеет прекрасно оборудованные лаборатории, А.А. Микулин тоже не испытывает в этом недо</w:t>
      </w:r>
      <w:r w:rsidRPr="007224C3">
        <w:rPr>
          <w:color w:val="000000" w:themeColor="text1"/>
          <w:lang w:val="ru-RU"/>
        </w:rPr>
        <w:softHyphen/>
        <w:t>статка — имеет великолепный завод, где могут делаться чудесные вещи. У нас с А.А. Микулиным и Б.Н. Юрьевым прекрасные взаимоотношения и в порядке дружеских взаимо</w:t>
      </w:r>
      <w:r w:rsidRPr="007224C3">
        <w:rPr>
          <w:color w:val="000000" w:themeColor="text1"/>
          <w:lang w:val="ru-RU"/>
        </w:rPr>
        <w:softHyphen/>
        <w:t>отношений мы можем делать друг для друга очень многое. Но не в этом дело. А нам ва</w:t>
      </w:r>
      <w:r w:rsidRPr="007224C3">
        <w:rPr>
          <w:color w:val="000000" w:themeColor="text1"/>
          <w:lang w:val="ru-RU"/>
        </w:rPr>
        <w:softHyphen/>
        <w:t>жно, чтобы это объединение было где-то санкционировано, чтобы я имел право не по дружбе с А.А. координировать свою работу, а по долгу и обязанности, потому что А.А. является членом этой секции.</w:t>
      </w:r>
    </w:p>
    <w:p w14:paraId="44794826" w14:textId="77777777" w:rsidR="00057A35" w:rsidRPr="007224C3" w:rsidRDefault="00057A35" w:rsidP="007224C3">
      <w:pPr>
        <w:pStyle w:val="a3"/>
        <w:rPr>
          <w:color w:val="000000" w:themeColor="text1"/>
          <w:lang w:val="ru-RU"/>
        </w:rPr>
      </w:pPr>
      <w:r w:rsidRPr="007224C3">
        <w:rPr>
          <w:color w:val="000000" w:themeColor="text1"/>
          <w:lang w:val="ru-RU"/>
        </w:rPr>
        <w:t>Основная задача этой секции есть координация и объединение наших научных сил, виднейших работников авиации, для того, чтобы направлять работу по решению основ</w:t>
      </w:r>
      <w:r w:rsidRPr="007224C3">
        <w:rPr>
          <w:color w:val="000000" w:themeColor="text1"/>
          <w:lang w:val="ru-RU"/>
        </w:rPr>
        <w:softHyphen/>
        <w:t>ных. наиболее важных проблем не только сегодняшнего дня, но и проблем завтраш</w:t>
      </w:r>
      <w:r w:rsidRPr="007224C3">
        <w:rPr>
          <w:color w:val="000000" w:themeColor="text1"/>
          <w:lang w:val="ru-RU"/>
        </w:rPr>
        <w:softHyphen/>
        <w:t>него дня и далекого будущего.</w:t>
      </w:r>
    </w:p>
    <w:p w14:paraId="7BD1BC08" w14:textId="77777777" w:rsidR="00057A35" w:rsidRPr="007224C3" w:rsidRDefault="00057A35" w:rsidP="007224C3">
      <w:pPr>
        <w:pStyle w:val="a3"/>
        <w:rPr>
          <w:color w:val="000000" w:themeColor="text1"/>
          <w:lang w:val="ru-RU"/>
        </w:rPr>
      </w:pPr>
      <w:r w:rsidRPr="007224C3">
        <w:rPr>
          <w:color w:val="000000" w:themeColor="text1"/>
          <w:lang w:val="ru-RU"/>
        </w:rPr>
        <w:t>Затем важна не только координация, но большое значение имеет и организация по</w:t>
      </w:r>
      <w:r w:rsidRPr="007224C3">
        <w:rPr>
          <w:color w:val="000000" w:themeColor="text1"/>
          <w:lang w:val="ru-RU"/>
        </w:rPr>
        <w:softHyphen/>
        <w:t>становки самой научно-исследовательской работы. Это вторая очень важная задача. Ор</w:t>
      </w:r>
      <w:r w:rsidRPr="007224C3">
        <w:rPr>
          <w:color w:val="000000" w:themeColor="text1"/>
          <w:lang w:val="ru-RU"/>
        </w:rPr>
        <w:softHyphen/>
        <w:t>ганизовать правильно научно-исследовательскую работу это значит на три четверти ое решить. Здесь приводили пример. А.А. Байков сказал, что не всегда удавалось довести дело до конца. Но почему? Потому что завод в течение нескольких лет кустарничал, ре</w:t>
      </w:r>
      <w:r w:rsidRPr="007224C3">
        <w:rPr>
          <w:color w:val="000000" w:themeColor="text1"/>
          <w:lang w:val="ru-RU"/>
        </w:rPr>
        <w:softHyphen/>
        <w:t>шал своими собственными силами, в отрыве от науки. Но когда мы правильно подошли к этому вопросу и решили его, они достигли правильных результатов. Нам нужно в та</w:t>
      </w:r>
      <w:r w:rsidRPr="007224C3">
        <w:rPr>
          <w:color w:val="000000" w:themeColor="text1"/>
          <w:lang w:val="ru-RU"/>
        </w:rPr>
        <w:softHyphen/>
        <w:t>ких случаях прийти на помощь — там, где это нужно. Там, где имеются свои силы, где всё великолепно выполняется, дело будет идти и без нас. Это вторая задача.</w:t>
      </w:r>
    </w:p>
    <w:p w14:paraId="38278421" w14:textId="77777777" w:rsidR="00057A35" w:rsidRPr="007224C3" w:rsidRDefault="00057A35" w:rsidP="007224C3">
      <w:pPr>
        <w:pStyle w:val="a3"/>
        <w:rPr>
          <w:color w:val="000000" w:themeColor="text1"/>
          <w:lang w:val="ru-RU"/>
        </w:rPr>
      </w:pPr>
      <w:r w:rsidRPr="007224C3">
        <w:rPr>
          <w:color w:val="000000" w:themeColor="text1"/>
          <w:lang w:val="ru-RU"/>
        </w:rPr>
        <w:t>И третья задача — активное участие в решении проблем каждого члена секции. Если академик является членом этой секции, он будет не просто лицом, приходящим погово</w:t>
      </w:r>
      <w:r w:rsidRPr="007224C3">
        <w:rPr>
          <w:color w:val="000000" w:themeColor="text1"/>
          <w:lang w:val="ru-RU"/>
        </w:rPr>
        <w:softHyphen/>
        <w:t>рить, позаседать, — он является прежде всего организатором этого дела, он ведет опре</w:t>
      </w:r>
      <w:r w:rsidRPr="007224C3">
        <w:rPr>
          <w:color w:val="000000" w:themeColor="text1"/>
          <w:lang w:val="ru-RU"/>
        </w:rPr>
        <w:softHyphen/>
        <w:t>деленный участок работы, возглавляет его и доводит до конца. Ясно, что решение крупных проблем требует надлежащих учреждений, лабораторной базы, потому что проблемы авиации решать только с карандашом в руках и с листами бумаги совершенно невозмо</w:t>
      </w:r>
      <w:r w:rsidRPr="007224C3">
        <w:rPr>
          <w:color w:val="000000" w:themeColor="text1"/>
          <w:lang w:val="ru-RU"/>
        </w:rPr>
        <w:softHyphen/>
        <w:t>жно. Поэтому ясно, что все члены секции будут опираться прежде всего на учреждения Академии Наук, с которыми они тесно связаны, во-вторых, на другие учреждения и орга</w:t>
      </w:r>
      <w:r w:rsidRPr="007224C3">
        <w:rPr>
          <w:color w:val="000000" w:themeColor="text1"/>
          <w:lang w:val="ru-RU"/>
        </w:rPr>
        <w:softHyphen/>
        <w:t>низации, конструкторские бюро, заводы и Военно-Воздушную Академию с тем, чтобы эти учреждения были теми рычагами, которые они могли бы поворачивать в нужную сторону. Поэтому я лично считаю, что кроме пользы эта секция нашей стране принести не может».</w:t>
      </w:r>
    </w:p>
    <w:p w14:paraId="5F04BE54" w14:textId="77777777" w:rsidR="00057A35" w:rsidRPr="007224C3" w:rsidRDefault="00057A35" w:rsidP="007224C3">
      <w:pPr>
        <w:pStyle w:val="a3"/>
        <w:rPr>
          <w:color w:val="000000" w:themeColor="text1"/>
          <w:lang w:val="ru-RU"/>
        </w:rPr>
      </w:pPr>
      <w:r w:rsidRPr="007224C3">
        <w:rPr>
          <w:color w:val="000000" w:themeColor="text1"/>
          <w:lang w:val="ru-RU"/>
        </w:rPr>
        <w:t>Следующим выступающим на распорядительном заседании был академик Б.Н. Юрьев:</w:t>
      </w:r>
    </w:p>
    <w:p w14:paraId="54067C46" w14:textId="77777777" w:rsidR="00057A35" w:rsidRPr="007224C3" w:rsidRDefault="00057A35" w:rsidP="007224C3">
      <w:pPr>
        <w:pStyle w:val="a3"/>
        <w:rPr>
          <w:color w:val="000000" w:themeColor="text1"/>
          <w:lang w:val="ru-RU"/>
        </w:rPr>
      </w:pPr>
      <w:r w:rsidRPr="007224C3">
        <w:rPr>
          <w:color w:val="000000" w:themeColor="text1"/>
          <w:lang w:val="ru-RU"/>
        </w:rPr>
        <w:t>«Я выступаю по этому вопросу уже третий раз, поэтому постараюсь быть возможно бо</w:t>
      </w:r>
      <w:r w:rsidRPr="007224C3">
        <w:rPr>
          <w:color w:val="000000" w:themeColor="text1"/>
          <w:lang w:val="ru-RU"/>
        </w:rPr>
        <w:softHyphen/>
        <w:t>лее кратким и лишь напомню товарищам в чем дело.</w:t>
      </w:r>
    </w:p>
    <w:p w14:paraId="17DA6884" w14:textId="77777777" w:rsidR="00057A35" w:rsidRPr="007224C3" w:rsidRDefault="00057A35" w:rsidP="007224C3">
      <w:pPr>
        <w:pStyle w:val="a3"/>
        <w:rPr>
          <w:color w:val="000000" w:themeColor="text1"/>
          <w:lang w:val="ru-RU"/>
        </w:rPr>
      </w:pPr>
      <w:r w:rsidRPr="007224C3">
        <w:rPr>
          <w:color w:val="000000" w:themeColor="text1"/>
          <w:lang w:val="ru-RU"/>
        </w:rPr>
        <w:t>Речь идет о том, что в Академии Наук не было секции авиации и вопросы авиации изу</w:t>
      </w:r>
      <w:r w:rsidRPr="007224C3">
        <w:rPr>
          <w:color w:val="000000" w:themeColor="text1"/>
          <w:lang w:val="ru-RU"/>
        </w:rPr>
        <w:softHyphen/>
        <w:t>чались сравнительно очень мало. Происходило это по целому ряду причин. Главным об</w:t>
      </w:r>
      <w:r w:rsidRPr="007224C3">
        <w:rPr>
          <w:color w:val="000000" w:themeColor="text1"/>
          <w:lang w:val="ru-RU"/>
        </w:rPr>
        <w:softHyphen/>
        <w:t>разом происходило это от того, что в Академии Наук было мало специалистов в этой об</w:t>
      </w:r>
      <w:r w:rsidRPr="007224C3">
        <w:rPr>
          <w:color w:val="000000" w:themeColor="text1"/>
          <w:lang w:val="ru-RU"/>
        </w:rPr>
        <w:softHyphen/>
        <w:t>ласти. Между тем надо сказать, что постановке научно-исследовательских работ в обла</w:t>
      </w:r>
      <w:r w:rsidRPr="007224C3">
        <w:rPr>
          <w:color w:val="000000" w:themeColor="text1"/>
          <w:lang w:val="ru-RU"/>
        </w:rPr>
        <w:softHyphen/>
        <w:t>сти авиации во всех странах придается огромное значение, в частности, с точки зрения подготовки научных основ для развития авиации. В ряде стран существуют специальные Комитеты, которые играют большую роль. И у нас такие работы выполнялись, но никто их не координировал. Вместе с тем у нас происходил быстрый рост научно-исследова</w:t>
      </w:r>
      <w:r w:rsidRPr="007224C3">
        <w:rPr>
          <w:color w:val="000000" w:themeColor="text1"/>
          <w:lang w:val="ru-RU"/>
        </w:rPr>
        <w:softHyphen/>
        <w:t>тельский учреждений, занимающихся вопросами авиации. В результате сейчас мы име</w:t>
      </w:r>
      <w:r w:rsidRPr="007224C3">
        <w:rPr>
          <w:color w:val="000000" w:themeColor="text1"/>
          <w:lang w:val="ru-RU"/>
        </w:rPr>
        <w:softHyphen/>
        <w:t>ем огромную сеть научно-исследовательских авиационных организаций: ЦАГИ, ЦИАМ, ВИАМ, ЛИИ — Летно-испытательный институт, мы имеем НИИ ВВС, НИИ Наркомата вооружений, НИИ специальных служб, НИИ авиационной медицины, НИИ-5 — по спецза</w:t>
      </w:r>
      <w:r w:rsidRPr="007224C3">
        <w:rPr>
          <w:color w:val="000000" w:themeColor="text1"/>
          <w:lang w:val="ru-RU"/>
        </w:rPr>
        <w:softHyphen/>
        <w:t>данию Костикова, НИИ гражданского воздушного флота. И в самой Академии частично разрабатываются темы в области авиации: в Институте механики, в Математическом ин- те, в Ин-те машиноведения, в Секции проблем транспорта. Таким образом, можно на</w:t>
      </w:r>
      <w:r w:rsidRPr="007224C3">
        <w:rPr>
          <w:color w:val="000000" w:themeColor="text1"/>
          <w:lang w:val="ru-RU"/>
        </w:rPr>
        <w:softHyphen/>
        <w:t>считать около 15 ин-тов. К ним надо прибавить ряд мощных вузов — Московский авиа</w:t>
      </w:r>
      <w:r w:rsidRPr="007224C3">
        <w:rPr>
          <w:color w:val="000000" w:themeColor="text1"/>
          <w:lang w:val="ru-RU"/>
        </w:rPr>
        <w:softHyphen/>
        <w:t>ционный ин-т, Военно-Воздушную Академию, ГАИ и т.д., т.е. имеется довольно мощная сеть авиационных вузов, в которых также имеется лабораторная база. Таким образом, у нас имеется мощная организация, к сожалению, по существу её нельзя даже назвать ор</w:t>
      </w:r>
      <w:r w:rsidRPr="007224C3">
        <w:rPr>
          <w:color w:val="000000" w:themeColor="text1"/>
          <w:lang w:val="ru-RU"/>
        </w:rPr>
        <w:softHyphen/>
        <w:t>ганизацией. потому что эти научно-исследовательские организации и вузы находятся по крайней мере в пяти наркоматах: в Наркомате авиационной промышленности, в Управ</w:t>
      </w:r>
      <w:r w:rsidRPr="007224C3">
        <w:rPr>
          <w:color w:val="000000" w:themeColor="text1"/>
          <w:lang w:val="ru-RU"/>
        </w:rPr>
        <w:softHyphen/>
        <w:t>лении Военно-воздушных сил. АДД-</w:t>
      </w:r>
      <w:r w:rsidRPr="007224C3">
        <w:rPr>
          <w:color w:val="000000" w:themeColor="text1"/>
          <w:vertAlign w:val="superscript"/>
          <w:lang w:val="ru-RU"/>
        </w:rPr>
        <w:t>3</w:t>
      </w:r>
      <w:r w:rsidRPr="007224C3">
        <w:rPr>
          <w:color w:val="000000" w:themeColor="text1"/>
          <w:lang w:val="ru-RU"/>
        </w:rPr>
        <w:t>. Наркомморфлоте. Гражданском воздушном флоте. Поэтому совершенно естественно, что мы наблюдаем чудовищный параллелизм и не</w:t>
      </w:r>
      <w:r w:rsidRPr="007224C3">
        <w:rPr>
          <w:color w:val="000000" w:themeColor="text1"/>
          <w:lang w:val="ru-RU"/>
        </w:rPr>
        <w:softHyphen/>
        <w:t>увязку при осуществлении целого ряда принципиальных вопросов.</w:t>
      </w:r>
    </w:p>
    <w:p w14:paraId="30E856B0" w14:textId="77777777" w:rsidR="00057A35" w:rsidRPr="007224C3" w:rsidRDefault="00057A35" w:rsidP="007224C3">
      <w:pPr>
        <w:pStyle w:val="a3"/>
        <w:rPr>
          <w:color w:val="000000" w:themeColor="text1"/>
          <w:lang w:val="ru-RU"/>
        </w:rPr>
      </w:pPr>
      <w:r w:rsidRPr="007224C3">
        <w:rPr>
          <w:color w:val="000000" w:themeColor="text1"/>
          <w:lang w:val="ru-RU"/>
        </w:rPr>
        <w:t>За границей, помимо того, что имеются или специальные комитеты или, как сейчас почти во всех академиях, имеются какие-то организации или даже выделены специаль</w:t>
      </w:r>
      <w:r w:rsidRPr="007224C3">
        <w:rPr>
          <w:color w:val="000000" w:themeColor="text1"/>
          <w:lang w:val="ru-RU"/>
        </w:rPr>
        <w:softHyphen/>
        <w:t>ные академии (например, в Германии), помимо этого созданы специальные организа</w:t>
      </w:r>
      <w:r w:rsidRPr="007224C3">
        <w:rPr>
          <w:color w:val="000000" w:themeColor="text1"/>
          <w:lang w:val="ru-RU"/>
        </w:rPr>
        <w:softHyphen/>
        <w:t>ции, которые занимаются чисто научно-исследовательскими вопросами наряду с теми комитетами, которые ведут научно-организационную работу».</w:t>
      </w:r>
    </w:p>
    <w:p w14:paraId="5C526365" w14:textId="77777777" w:rsidR="00057A35" w:rsidRPr="007224C3" w:rsidRDefault="00057A35" w:rsidP="007224C3">
      <w:pPr>
        <w:pStyle w:val="a3"/>
        <w:rPr>
          <w:color w:val="000000" w:themeColor="text1"/>
          <w:lang w:val="ru-RU"/>
        </w:rPr>
      </w:pPr>
      <w:r w:rsidRPr="007224C3">
        <w:rPr>
          <w:color w:val="000000" w:themeColor="text1"/>
          <w:lang w:val="ru-RU"/>
        </w:rPr>
        <w:t>Далее Юрьев отделил исследовательские функции секции от организационных:</w:t>
      </w:r>
    </w:p>
    <w:p w14:paraId="5FBC0224" w14:textId="77777777" w:rsidR="00057A35" w:rsidRPr="007224C3" w:rsidRDefault="00057A35" w:rsidP="007224C3">
      <w:pPr>
        <w:pStyle w:val="a3"/>
        <w:rPr>
          <w:color w:val="000000" w:themeColor="text1"/>
          <w:lang w:val="ru-RU"/>
        </w:rPr>
      </w:pPr>
      <w:r w:rsidRPr="007224C3">
        <w:rPr>
          <w:color w:val="000000" w:themeColor="text1"/>
          <w:lang w:val="ru-RU"/>
        </w:rPr>
        <w:t>«Отсюда возникает вопрос: какое же должно быть место Академии Наук в такого ро</w:t>
      </w:r>
      <w:r w:rsidRPr="007224C3">
        <w:rPr>
          <w:color w:val="000000" w:themeColor="text1"/>
          <w:lang w:val="ru-RU"/>
        </w:rPr>
        <w:softHyphen/>
        <w:t>да учреждениях? Мы считаем, что мы не должны переходить на комитетские рельсы. Здесь будет чрезмерно много научно-организационной работы, для этого нужна специ</w:t>
      </w:r>
      <w:r w:rsidRPr="007224C3">
        <w:rPr>
          <w:color w:val="000000" w:themeColor="text1"/>
          <w:lang w:val="ru-RU"/>
        </w:rPr>
        <w:softHyphen/>
        <w:t>альная организация, вынесенная за пределы Академии Наук. Мы можем взять научные функции и координацию по некоторым наиболее важным принципиальным вопросам, а дело дальнейшего и дело правительства создать соответствующий комитет.</w:t>
      </w:r>
    </w:p>
    <w:p w14:paraId="4AAB00DC" w14:textId="77777777" w:rsidR="00057A35" w:rsidRPr="007224C3" w:rsidRDefault="00057A35" w:rsidP="007224C3">
      <w:pPr>
        <w:pStyle w:val="a3"/>
        <w:rPr>
          <w:color w:val="000000" w:themeColor="text1"/>
          <w:lang w:val="ru-RU"/>
        </w:rPr>
      </w:pPr>
      <w:r w:rsidRPr="007224C3">
        <w:rPr>
          <w:color w:val="000000" w:themeColor="text1"/>
          <w:lang w:val="ru-RU"/>
        </w:rPr>
        <w:t>Что имеет Академия в настоящее время? Как известно, выборы проходили в известном смысле под знаком авиации: в результате мы имеем сейчас очень большие силы, сосре</w:t>
      </w:r>
      <w:r w:rsidRPr="007224C3">
        <w:rPr>
          <w:color w:val="000000" w:themeColor="text1"/>
          <w:lang w:val="ru-RU"/>
        </w:rPr>
        <w:softHyphen/>
        <w:t>доточенные в Академии Наук. Действительных членов у нас, связанных с авиацией, 9 че</w:t>
      </w:r>
      <w:r w:rsidRPr="007224C3">
        <w:rPr>
          <w:color w:val="000000" w:themeColor="text1"/>
          <w:lang w:val="ru-RU"/>
        </w:rPr>
        <w:softHyphen/>
        <w:t>ловек — Бруевич, Кулебакин, Лейбензон, Кочин, Христианович, Юрьев, Чудаков, Благонравов. Это лица, которые своими служебными функциями и непосредственными научны</w:t>
      </w:r>
      <w:r w:rsidRPr="007224C3">
        <w:rPr>
          <w:color w:val="000000" w:themeColor="text1"/>
          <w:lang w:val="ru-RU"/>
        </w:rPr>
        <w:softHyphen/>
        <w:t>ми интересами связаны с авиацией. Членов-корреспондентов у нас 11 человек: Климов, Кибель, Костиков, Некрасов, Четаев, Туполев, Беляев, Ковапенков, Яковлев, Голубев. Все</w:t>
      </w:r>
      <w:r w:rsidRPr="007224C3">
        <w:rPr>
          <w:color w:val="000000" w:themeColor="text1"/>
          <w:lang w:val="ru-RU"/>
        </w:rPr>
        <w:softHyphen/>
        <w:t>го 20 человек действительных членов и членов-корреспондентов. Кроме того, очень мно</w:t>
      </w:r>
      <w:r w:rsidRPr="007224C3">
        <w:rPr>
          <w:color w:val="000000" w:themeColor="text1"/>
          <w:lang w:val="ru-RU"/>
        </w:rPr>
        <w:softHyphen/>
        <w:t>го академиков занимается тематикой, тесно связанной с авиацией: академики Кирпичев, Мусхелишвили, Образцов. Таким образом, Академия имеет очень большие силы, непо</w:t>
      </w:r>
      <w:r w:rsidRPr="007224C3">
        <w:rPr>
          <w:color w:val="000000" w:themeColor="text1"/>
          <w:lang w:val="ru-RU"/>
        </w:rPr>
        <w:softHyphen/>
        <w:t>средственно работающие в области авиации или очень тесно связанные с пробле</w:t>
      </w:r>
      <w:r w:rsidRPr="007224C3">
        <w:rPr>
          <w:color w:val="000000" w:themeColor="text1"/>
          <w:lang w:val="ru-RU"/>
        </w:rPr>
        <w:softHyphen/>
        <w:t>матикой авиации.</w:t>
      </w:r>
    </w:p>
    <w:p w14:paraId="1D4CD356" w14:textId="77777777" w:rsidR="00057A35" w:rsidRPr="007224C3" w:rsidRDefault="00057A35" w:rsidP="007224C3">
      <w:pPr>
        <w:pStyle w:val="a3"/>
        <w:rPr>
          <w:color w:val="000000" w:themeColor="text1"/>
          <w:lang w:val="ru-RU"/>
        </w:rPr>
      </w:pPr>
      <w:r w:rsidRPr="007224C3">
        <w:rPr>
          <w:color w:val="000000" w:themeColor="text1"/>
          <w:lang w:val="ru-RU"/>
        </w:rPr>
        <w:t>Совершенно естествен</w:t>
      </w:r>
      <w:r w:rsidRPr="007224C3">
        <w:rPr>
          <w:color w:val="000000" w:themeColor="text1"/>
          <w:lang w:val="ru-RU"/>
        </w:rPr>
        <w:softHyphen/>
        <w:t>но, что у товарищей, из</w:t>
      </w:r>
      <w:r w:rsidRPr="007224C3">
        <w:rPr>
          <w:color w:val="000000" w:themeColor="text1"/>
          <w:lang w:val="ru-RU"/>
        </w:rPr>
        <w:softHyphen/>
        <w:t>бранных и получивших соответственное напутст</w:t>
      </w:r>
      <w:r w:rsidRPr="007224C3">
        <w:rPr>
          <w:color w:val="000000" w:themeColor="text1"/>
          <w:lang w:val="ru-RU"/>
        </w:rPr>
        <w:softHyphen/>
        <w:t>вие, возник вопрос о не</w:t>
      </w:r>
      <w:r w:rsidRPr="007224C3">
        <w:rPr>
          <w:color w:val="000000" w:themeColor="text1"/>
          <w:lang w:val="ru-RU"/>
        </w:rPr>
        <w:softHyphen/>
        <w:t>обходимости при наличии таких больших сил и того положения, которое зани</w:t>
      </w:r>
      <w:r w:rsidRPr="007224C3">
        <w:rPr>
          <w:color w:val="000000" w:themeColor="text1"/>
          <w:lang w:val="ru-RU"/>
        </w:rPr>
        <w:softHyphen/>
        <w:t>мает Академия Наук, ког</w:t>
      </w:r>
      <w:r w:rsidRPr="007224C3">
        <w:rPr>
          <w:color w:val="000000" w:themeColor="text1"/>
          <w:lang w:val="ru-RU"/>
        </w:rPr>
        <w:softHyphen/>
        <w:t>да она должна быть шта</w:t>
      </w:r>
      <w:r w:rsidRPr="007224C3">
        <w:rPr>
          <w:color w:val="000000" w:themeColor="text1"/>
          <w:lang w:val="ru-RU"/>
        </w:rPr>
        <w:softHyphen/>
        <w:t>бом научной мысли по ос</w:t>
      </w:r>
      <w:r w:rsidRPr="007224C3">
        <w:rPr>
          <w:color w:val="000000" w:themeColor="text1"/>
          <w:lang w:val="ru-RU"/>
        </w:rPr>
        <w:softHyphen/>
        <w:t>новным во всяком случае дисциплинам, организации такой секции. Это чувствуется на местах. Когда каждый из нас, авиационных работников, попадает в соответствующие учреждения, ему задают вопрос: как будете нам помогать, в чем выразится ваша помощь?</w:t>
      </w:r>
    </w:p>
    <w:p w14:paraId="275454CC" w14:textId="77777777" w:rsidR="00057A35" w:rsidRPr="007224C3" w:rsidRDefault="00057A35" w:rsidP="007224C3">
      <w:pPr>
        <w:pStyle w:val="a3"/>
        <w:rPr>
          <w:color w:val="000000" w:themeColor="text1"/>
          <w:lang w:val="ru-RU"/>
        </w:rPr>
      </w:pPr>
      <w:r w:rsidRPr="007224C3">
        <w:rPr>
          <w:color w:val="000000" w:themeColor="text1"/>
          <w:lang w:val="ru-RU"/>
        </w:rPr>
        <w:t>Мне удалось обменяться мнениями с рядом товарищей: с командующим воздушными силами маршалом Новиковым, его заместителем, главным инженером воздушных сил, не говоря о целом ряде других; удалось поговорить с Кокуриным (т.е. Шахуриным), с Яковлевым, который фактически руководит научной работой Наркомата авиапромыш</w:t>
      </w:r>
      <w:r w:rsidRPr="007224C3">
        <w:rPr>
          <w:color w:val="000000" w:themeColor="text1"/>
          <w:lang w:val="ru-RU"/>
        </w:rPr>
        <w:softHyphen/>
        <w:t>ленности. Он даже изъявил согласие принять деятельное участие в работе секции.</w:t>
      </w:r>
    </w:p>
    <w:p w14:paraId="6945E5AE" w14:textId="77777777" w:rsidR="00057A35" w:rsidRPr="007224C3" w:rsidRDefault="00057A35" w:rsidP="007224C3">
      <w:pPr>
        <w:pStyle w:val="a3"/>
        <w:rPr>
          <w:color w:val="000000" w:themeColor="text1"/>
          <w:lang w:val="ru-RU"/>
        </w:rPr>
      </w:pPr>
      <w:r w:rsidRPr="007224C3">
        <w:rPr>
          <w:color w:val="000000" w:themeColor="text1"/>
          <w:lang w:val="ru-RU"/>
        </w:rPr>
        <w:t>В соответствии с этим вновь избранные академики предложили Отделению техниче</w:t>
      </w:r>
      <w:r w:rsidRPr="007224C3">
        <w:rPr>
          <w:color w:val="000000" w:themeColor="text1"/>
          <w:lang w:val="ru-RU"/>
        </w:rPr>
        <w:softHyphen/>
        <w:t>ских наук рассмотреть вопрос об организации секции авиации. Все вновь избранные и целый ряд старых академиков очень горячо откликнулись на это предложение. Был про</w:t>
      </w:r>
      <w:r w:rsidRPr="007224C3">
        <w:rPr>
          <w:color w:val="000000" w:themeColor="text1"/>
          <w:lang w:val="ru-RU"/>
        </w:rPr>
        <w:softHyphen/>
        <w:t xml:space="preserve">ведён ряд заседаний, намечена тематика вплоть до того, что была </w:t>
      </w:r>
      <w:r w:rsidRPr="007224C3">
        <w:rPr>
          <w:color w:val="000000" w:themeColor="text1"/>
          <w:lang w:val="ru-RU"/>
        </w:rPr>
        <w:lastRenderedPageBreak/>
        <w:t>составлена даже ан</w:t>
      </w:r>
      <w:r w:rsidRPr="007224C3">
        <w:rPr>
          <w:color w:val="000000" w:themeColor="text1"/>
          <w:lang w:val="ru-RU"/>
        </w:rPr>
        <w:softHyphen/>
        <w:t>нотация по тому типу, как это полагается в Академии. Вопрос обсуждён всесторонне. Отделение технических наук подошло очень внимательно и строго, заставляя все вре</w:t>
      </w:r>
      <w:r w:rsidRPr="007224C3">
        <w:rPr>
          <w:color w:val="000000" w:themeColor="text1"/>
          <w:lang w:val="ru-RU"/>
        </w:rPr>
        <w:softHyphen/>
        <w:t>мя сокращать тематику, поскольку дело надо разворачивать заново, поскольку это де</w:t>
      </w:r>
      <w:r w:rsidRPr="007224C3">
        <w:rPr>
          <w:color w:val="000000" w:themeColor="text1"/>
          <w:lang w:val="ru-RU"/>
        </w:rPr>
        <w:softHyphen/>
        <w:t>ло непривычное для Академии. Мы согласились с этим, это было правильно. Было со</w:t>
      </w:r>
      <w:r w:rsidRPr="007224C3">
        <w:rPr>
          <w:color w:val="000000" w:themeColor="text1"/>
          <w:lang w:val="ru-RU"/>
        </w:rPr>
        <w:softHyphen/>
        <w:t>ставлено положение о секции. Оно рассматривалось, по-моему, трижды на Отделении технических наук, сделан ряд замечаний, которые мы учли. Таким образом, положение было подработано по тем правилам, по которым подрабатываются положения всех на</w:t>
      </w:r>
      <w:r w:rsidRPr="007224C3">
        <w:rPr>
          <w:color w:val="000000" w:themeColor="text1"/>
          <w:lang w:val="ru-RU"/>
        </w:rPr>
        <w:softHyphen/>
        <w:t>ших организаций. Мы придерживались в основном в отношении организации Секции по научной разработке проблем транспорта, которая имеет большой опыт работы в Ака</w:t>
      </w:r>
      <w:r w:rsidRPr="007224C3">
        <w:rPr>
          <w:color w:val="000000" w:themeColor="text1"/>
          <w:lang w:val="ru-RU"/>
        </w:rPr>
        <w:softHyphen/>
        <w:t>демии и опыт успешный, хотя у нас более технический уклон».</w:t>
      </w:r>
    </w:p>
    <w:p w14:paraId="398940AB" w14:textId="77777777" w:rsidR="00057A35" w:rsidRPr="007224C3" w:rsidRDefault="00057A35" w:rsidP="007224C3">
      <w:pPr>
        <w:pStyle w:val="a3"/>
        <w:rPr>
          <w:color w:val="000000" w:themeColor="text1"/>
          <w:lang w:val="ru-RU"/>
        </w:rPr>
      </w:pPr>
      <w:r w:rsidRPr="007224C3">
        <w:rPr>
          <w:color w:val="000000" w:themeColor="text1"/>
          <w:lang w:val="ru-RU"/>
        </w:rPr>
        <w:t>Несомненный интерес для историков авиационной науки представляет обзор темати</w:t>
      </w:r>
      <w:r w:rsidRPr="007224C3">
        <w:rPr>
          <w:color w:val="000000" w:themeColor="text1"/>
          <w:lang w:val="ru-RU"/>
        </w:rPr>
        <w:softHyphen/>
        <w:t>ки, предлагаемый Юрьевым для исследовательских работ секции:</w:t>
      </w:r>
    </w:p>
    <w:p w14:paraId="6182AEA5" w14:textId="77777777" w:rsidR="00057A35" w:rsidRPr="007224C3" w:rsidRDefault="00057A35" w:rsidP="007224C3">
      <w:pPr>
        <w:pStyle w:val="a3"/>
        <w:rPr>
          <w:color w:val="000000" w:themeColor="text1"/>
          <w:lang w:val="ru-RU"/>
        </w:rPr>
      </w:pPr>
      <w:r w:rsidRPr="007224C3">
        <w:rPr>
          <w:color w:val="000000" w:themeColor="text1"/>
          <w:lang w:val="ru-RU"/>
        </w:rPr>
        <w:t>«...Скажу несколько слов относительно самой тематики, но опять-таки очень кратко и подробности докладывать не буду. Скажу только одно. Мы считаем, что в нашу темати</w:t>
      </w:r>
      <w:r w:rsidRPr="007224C3">
        <w:rPr>
          <w:color w:val="000000" w:themeColor="text1"/>
          <w:lang w:val="ru-RU"/>
        </w:rPr>
        <w:softHyphen/>
        <w:t>ку должны входить вопросы, которые по тем или другим причинам недоступны отрасле-' вым ин-там, т.е. очень комплексные, захватывающие ряд ин-тов. Здесь придется сделать некоторую увязку программ работ и далее намечаются некоторые самостоятельные ра</w:t>
      </w:r>
      <w:r w:rsidRPr="007224C3">
        <w:rPr>
          <w:color w:val="000000" w:themeColor="text1"/>
          <w:lang w:val="ru-RU"/>
        </w:rPr>
        <w:softHyphen/>
        <w:t>боты по основным проблемам. Выявлен ряд проблем, достаточно интересных, которые могут быть разрешены силами работников Академии Наук. Это прежде всего анализ пу</w:t>
      </w:r>
      <w:r w:rsidRPr="007224C3">
        <w:rPr>
          <w:color w:val="000000" w:themeColor="text1"/>
          <w:lang w:val="ru-RU"/>
        </w:rPr>
        <w:softHyphen/>
        <w:t>тей развития самолётов (военных и гражданских). Здесь имеется в виду исследование ра</w:t>
      </w:r>
      <w:r w:rsidRPr="007224C3">
        <w:rPr>
          <w:color w:val="000000" w:themeColor="text1"/>
          <w:lang w:val="ru-RU"/>
        </w:rPr>
        <w:softHyphen/>
        <w:t>циональных Форм и размеров самолёта и его агрегатов (винта, мотора, электроспец- оборудования и т.д.). Это как раз та область, в которой мы сильно страдаем,</w:t>
      </w:r>
      <w:r w:rsidRPr="007224C3">
        <w:rPr>
          <w:rStyle w:val="93"/>
          <w:rFonts w:ascii="Times New Roman" w:hAnsi="Times New Roman" w:cs="Times New Roman"/>
          <w:b w:val="0"/>
          <w:color w:val="000000" w:themeColor="text1"/>
          <w:spacing w:val="0"/>
          <w:sz w:val="16"/>
          <w:szCs w:val="16"/>
          <w:lang w:val="ru-RU"/>
        </w:rPr>
        <w:t xml:space="preserve"> тут у</w:t>
      </w:r>
      <w:r w:rsidRPr="007224C3">
        <w:rPr>
          <w:color w:val="000000" w:themeColor="text1"/>
          <w:lang w:val="ru-RU"/>
        </w:rPr>
        <w:t xml:space="preserve"> нас много неполадок. Надо сказать, что сейчас в мировой авиации самолёт берется как це</w:t>
      </w:r>
      <w:r w:rsidRPr="007224C3">
        <w:rPr>
          <w:color w:val="000000" w:themeColor="text1"/>
          <w:lang w:val="ru-RU"/>
        </w:rPr>
        <w:softHyphen/>
        <w:t>лое, причем рассматривается как чрезвы</w:t>
      </w:r>
      <w:r w:rsidRPr="007224C3">
        <w:rPr>
          <w:color w:val="000000" w:themeColor="text1"/>
          <w:lang w:val="ru-RU"/>
        </w:rPr>
        <w:softHyphen/>
        <w:t>чайно сложная система. Последние загра</w:t>
      </w:r>
      <w:r w:rsidRPr="007224C3">
        <w:rPr>
          <w:color w:val="000000" w:themeColor="text1"/>
          <w:lang w:val="ru-RU"/>
        </w:rPr>
        <w:softHyphen/>
        <w:t>ничные работы, с которыми мы имели воз</w:t>
      </w:r>
      <w:r w:rsidRPr="007224C3">
        <w:rPr>
          <w:color w:val="000000" w:themeColor="text1"/>
          <w:lang w:val="ru-RU"/>
        </w:rPr>
        <w:softHyphen/>
        <w:t>можность познакомиться, буквально поражают широким охватом: самолёт берется сейчас только как целое, причём как очень сложная система. Для разрешения этой проблемы у нас достаточно сил. Кто выра</w:t>
      </w:r>
      <w:r w:rsidRPr="007224C3">
        <w:rPr>
          <w:color w:val="000000" w:themeColor="text1"/>
          <w:lang w:val="ru-RU"/>
        </w:rPr>
        <w:softHyphen/>
        <w:t>зил желание участвовать в этой работе? Юрь</w:t>
      </w:r>
      <w:r w:rsidRPr="007224C3">
        <w:rPr>
          <w:color w:val="000000" w:themeColor="text1"/>
          <w:lang w:val="ru-RU"/>
        </w:rPr>
        <w:softHyphen/>
        <w:t>ев, Туполев, Горощенко, Яковлев, Микулин, Кулебакин. Если привлечь еще нескольких ве</w:t>
      </w:r>
      <w:r w:rsidRPr="007224C3">
        <w:rPr>
          <w:color w:val="000000" w:themeColor="text1"/>
          <w:lang w:val="ru-RU"/>
        </w:rPr>
        <w:softHyphen/>
        <w:t>дущих работников из научно-исследователь</w:t>
      </w:r>
      <w:r w:rsidRPr="007224C3">
        <w:rPr>
          <w:color w:val="000000" w:themeColor="text1"/>
          <w:lang w:val="ru-RU"/>
        </w:rPr>
        <w:softHyphen/>
        <w:t>ских организаций, то получим возможность дать широкое освещение этим вопросам.</w:t>
      </w:r>
    </w:p>
    <w:p w14:paraId="6D72D791" w14:textId="77777777" w:rsidR="00057A35" w:rsidRPr="007224C3" w:rsidRDefault="00057A35" w:rsidP="007224C3">
      <w:pPr>
        <w:pStyle w:val="a3"/>
        <w:rPr>
          <w:color w:val="000000" w:themeColor="text1"/>
          <w:lang w:val="ru-RU"/>
        </w:rPr>
      </w:pPr>
      <w:r w:rsidRPr="007224C3">
        <w:rPr>
          <w:color w:val="000000" w:themeColor="text1"/>
          <w:lang w:val="ru-RU"/>
        </w:rPr>
        <w:t xml:space="preserve">Следующий вопрос, который также имеет очень большое значение в настоящих усло- - это анализ развития геликоптёра. Здесь мы имеем очень большие успехи. При- надо сказать, что Америка в лице Сикорского своровала то, что у нас было сделано </w:t>
      </w:r>
      <w:r w:rsidRPr="007224C3">
        <w:rPr>
          <w:color w:val="000000" w:themeColor="text1"/>
        </w:rPr>
        <w:t>I</w:t>
      </w:r>
      <w:r w:rsidRPr="007224C3">
        <w:rPr>
          <w:color w:val="000000" w:themeColor="text1"/>
          <w:lang w:val="ru-RU"/>
        </w:rPr>
        <w:t>сейчас мы видим, как широко там это применено. Совершенно ясно, что в этой обла- нам важно как можно шире поставить научные исследования и дать многим вопро- научное освещение.</w:t>
      </w:r>
    </w:p>
    <w:p w14:paraId="69C4B788" w14:textId="77777777" w:rsidR="00057A35" w:rsidRPr="007224C3" w:rsidRDefault="00057A35" w:rsidP="007224C3">
      <w:pPr>
        <w:pStyle w:val="a3"/>
        <w:rPr>
          <w:color w:val="000000" w:themeColor="text1"/>
          <w:lang w:val="ru-RU"/>
        </w:rPr>
      </w:pPr>
      <w:r w:rsidRPr="007224C3">
        <w:rPr>
          <w:color w:val="000000" w:themeColor="text1"/>
          <w:lang w:val="ru-RU"/>
        </w:rPr>
        <w:t xml:space="preserve">Третья тема — ракетный полёт. Тут перед нами стоит задача исследования ближайших ложностей ракетного полёта. Здесь мы также имеем ряд ведущих специалистов, ко- </w:t>
      </w:r>
      <w:r w:rsidRPr="007224C3">
        <w:rPr>
          <w:color w:val="000000" w:themeColor="text1"/>
        </w:rPr>
        <w:t>je</w:t>
      </w:r>
      <w:r w:rsidRPr="007224C3">
        <w:rPr>
          <w:color w:val="000000" w:themeColor="text1"/>
          <w:lang w:val="ru-RU"/>
        </w:rPr>
        <w:t xml:space="preserve"> могут быть использованы для осуществления этой работы. Мы знаем, что за гра- дей в этом отношении ведутся сейчас очень большие работы и нам надо стараться не тавать. К этим работам могут быть привлечены Костиков, Абрамович из ЦАГИ, проф. чкин и еще ряд других. Причём, конечно, вопрос этот комплексный, очень сложный, эаботка будет вестись, конечно, с привлечением институтов Академии. Затем предполагается ряд работ по исследованиям в области методов расчёта летатель аппаратов и их частей, отдельных узлов. Прежде всего здесь имеется в виду введение работ по устойчивости и управляемости самолёта. В этой области многое ! сделано, но не доведено до единого понимания во всех многочисленных институтах, эрые этим занимаются. Что из-за этого происходит масса недоразумений — всем ясно, потому что мы прини- </w:t>
      </w:r>
      <w:r w:rsidRPr="007224C3">
        <w:rPr>
          <w:rStyle w:val="49MSReferenceSansSerif"/>
          <w:rFonts w:ascii="Times New Roman" w:hAnsi="Times New Roman" w:cs="Times New Roman"/>
          <w:b w:val="0"/>
          <w:i w:val="0"/>
          <w:color w:val="000000" w:themeColor="text1"/>
          <w:sz w:val="16"/>
          <w:szCs w:val="16"/>
          <w:lang w:val="ru-RU"/>
        </w:rPr>
        <w:t>зм</w:t>
      </w:r>
      <w:r w:rsidRPr="007224C3">
        <w:rPr>
          <w:color w:val="000000" w:themeColor="text1"/>
          <w:lang w:val="ru-RU"/>
        </w:rPr>
        <w:t xml:space="preserve"> самолёты, испытываем иногда по одной методике, рассчитываем по другой и де- </w:t>
      </w:r>
      <w:r w:rsidRPr="007224C3">
        <w:rPr>
          <w:rStyle w:val="49MSReferenceSansSerif"/>
          <w:rFonts w:ascii="Times New Roman" w:hAnsi="Times New Roman" w:cs="Times New Roman"/>
          <w:b w:val="0"/>
          <w:i w:val="0"/>
          <w:color w:val="000000" w:themeColor="text1"/>
          <w:sz w:val="16"/>
          <w:szCs w:val="16"/>
          <w:lang w:val="ru-RU"/>
        </w:rPr>
        <w:t>эм</w:t>
      </w:r>
      <w:r w:rsidRPr="007224C3">
        <w:rPr>
          <w:color w:val="000000" w:themeColor="text1"/>
          <w:lang w:val="ru-RU"/>
        </w:rPr>
        <w:t xml:space="preserve"> ошибки. Большинство наших неудач в опытном самолётостроении надо отнести за ёт неумения рассчитать устойчивость и управляемость. Мы рассчитываем внешне как го бы правильно, но потом конструкции оказываются неудачными, и это стоит госу- зтву многих десятков миллионов рублей. Из небольших тем мы уже работаем по расчёту винтов, приводим в единый вид теорию, торая, несомненно, является опережающей заграницу. В этой области мы стоим всё ля очень высоко, но иногда не доводим до удобного для конструкторов вида. Если как цует всё это подработать, если решить ряд вопросов по этой линии, где спотыкались наших инженеров, это будет очень полезным делом. Очень много работ ведется в Академии по прочности самолётов. В Институте меха- </w:t>
      </w:r>
      <w:r w:rsidRPr="007224C3">
        <w:rPr>
          <w:rStyle w:val="51Arial"/>
          <w:rFonts w:ascii="Times New Roman" w:hAnsi="Times New Roman" w:cs="Times New Roman"/>
          <w:color w:val="000000" w:themeColor="text1"/>
          <w:sz w:val="16"/>
          <w:szCs w:val="16"/>
          <w:lang w:val="ru-RU"/>
        </w:rPr>
        <w:t>ки</w:t>
      </w:r>
      <w:r w:rsidRPr="007224C3">
        <w:rPr>
          <w:color w:val="000000" w:themeColor="text1"/>
          <w:lang w:val="ru-RU"/>
        </w:rPr>
        <w:t xml:space="preserve"> эта группа стоит очень высоко, является очень сильной не только в союзном мас- абе, но и за границей. Но она была оторвана от самолёта. ЦАГИ стоит несколько в эроне от такой глубокой теории.</w:t>
      </w:r>
    </w:p>
    <w:p w14:paraId="3AC1BEF0" w14:textId="77777777" w:rsidR="00057A35" w:rsidRPr="007224C3" w:rsidRDefault="00057A35" w:rsidP="007224C3">
      <w:pPr>
        <w:pStyle w:val="a3"/>
        <w:rPr>
          <w:color w:val="000000" w:themeColor="text1"/>
          <w:lang w:val="ru-RU"/>
        </w:rPr>
      </w:pPr>
      <w:r w:rsidRPr="007224C3">
        <w:rPr>
          <w:color w:val="000000" w:themeColor="text1"/>
          <w:lang w:val="ru-RU"/>
        </w:rPr>
        <w:t>Мы предполагаем, что можем заняться обобщением методов расчёта частей самолё- по разрушающим нагрузкам. Это тот вопрос, о котором мы говорим лет 15 и никак можем поднять. Это можно проработать только на основе новейших теорий упруго- пластичности или на основе каких-то других методов. Это под силу только очень 1ным работникам и при участии институтов. Затем тема, с которой мы очень мучаемся, вполне доступная для Академии с помо- ЦАГИ, — это вопросы динамики нагружения, вопросы нагрузки при посадке и эельбе (отдача). Мы до сих пор бьёмся с этими вопросами, здесь только крупные атематики и знающие практику могли бы дать быстрое решение. Это сейчас очень кно, — из-за этого масса неприятностей.</w:t>
      </w:r>
    </w:p>
    <w:p w14:paraId="35C6D18F" w14:textId="77777777" w:rsidR="00057A35" w:rsidRPr="007224C3" w:rsidRDefault="00057A35" w:rsidP="007224C3">
      <w:pPr>
        <w:pStyle w:val="a3"/>
        <w:rPr>
          <w:color w:val="000000" w:themeColor="text1"/>
          <w:lang w:val="ru-RU"/>
        </w:rPr>
      </w:pPr>
      <w:r w:rsidRPr="007224C3">
        <w:rPr>
          <w:color w:val="000000" w:themeColor="text1"/>
          <w:lang w:val="ru-RU"/>
        </w:rPr>
        <w:t>Попутно стоит тема — разработка рациональных методов использования материалов, чь идет главным образом об использовании брони. Мы бронируем весь самолёт, но ешё не решаемся включить в броню силовые элементы. Об этих вопросах давно го- эилось, но здесь нужно тонкие методы расчёта сочетать с практическими точками гния. Эту тематику можно тем более хорошо поставить, что у нас есть большой специалист в этой области — действительный член Академии Благонравов. Вот основная тематика. Целый ряд тем, которые раньше стояли, мы передали Инсти- механики, поскольку секция будет тесно связана с рядом институтов, в частности |с институтом механики. Тут вопросы обтекания тел, газовая механика.</w:t>
      </w:r>
    </w:p>
    <w:p w14:paraId="276222A8" w14:textId="77777777" w:rsidR="00057A35" w:rsidRPr="007224C3" w:rsidRDefault="00057A35" w:rsidP="007224C3">
      <w:pPr>
        <w:pStyle w:val="a3"/>
        <w:rPr>
          <w:color w:val="000000" w:themeColor="text1"/>
          <w:lang w:val="ru-RU"/>
        </w:rPr>
      </w:pPr>
      <w:r w:rsidRPr="007224C3">
        <w:rPr>
          <w:color w:val="000000" w:themeColor="text1"/>
          <w:lang w:val="ru-RU"/>
        </w:rPr>
        <w:t>Поскольку у нас есть много академиков, мы предполагаем, что потребуется небольшой аппарат. Техническое отделение считает, что сразу мы не развернём всю работу, надо разворачивать её постепенно. Поэтому мы предполагаем ограничиться на первь порах очень небольшим штатом — проектируем 21 штатную единицу работников секции.</w:t>
      </w:r>
    </w:p>
    <w:p w14:paraId="7AD85A59" w14:textId="77777777" w:rsidR="00057A35" w:rsidRPr="007224C3" w:rsidRDefault="00057A35" w:rsidP="007224C3">
      <w:pPr>
        <w:pStyle w:val="a3"/>
        <w:rPr>
          <w:color w:val="000000" w:themeColor="text1"/>
          <w:lang w:val="ru-RU"/>
        </w:rPr>
      </w:pPr>
      <w:r w:rsidRPr="007224C3">
        <w:rPr>
          <w:color w:val="000000" w:themeColor="text1"/>
          <w:lang w:val="ru-RU"/>
        </w:rPr>
        <w:t>Вот как мыслится эта секция и её основная тематика... Не стоит больше задерживать| внимания собрания... На какие-либо вопросы можно будет ответить более детально».</w:t>
      </w:r>
    </w:p>
    <w:p w14:paraId="590F07EF" w14:textId="77777777" w:rsidR="00057A35" w:rsidRPr="007224C3" w:rsidRDefault="00057A35" w:rsidP="007224C3">
      <w:pPr>
        <w:pStyle w:val="a3"/>
        <w:rPr>
          <w:color w:val="000000" w:themeColor="text1"/>
          <w:lang w:val="ru-RU"/>
        </w:rPr>
      </w:pPr>
      <w:r w:rsidRPr="007224C3">
        <w:rPr>
          <w:color w:val="000000" w:themeColor="text1"/>
          <w:lang w:val="ru-RU"/>
        </w:rPr>
        <w:t>Из выступления Юрьева обращают на себя внимание новые тогда подходы к самолёту «как целое», как к «очень сложной системе», вопросы «развития геликоптёра» (ещё не утвердился термин «вертолёт»), а также проблемы «ракетного полёта».</w:t>
      </w:r>
    </w:p>
    <w:p w14:paraId="30B0428D" w14:textId="77777777" w:rsidR="00057A35" w:rsidRPr="007224C3" w:rsidRDefault="00057A35" w:rsidP="007224C3">
      <w:pPr>
        <w:pStyle w:val="a3"/>
        <w:rPr>
          <w:color w:val="000000" w:themeColor="text1"/>
          <w:lang w:val="ru-RU"/>
        </w:rPr>
      </w:pPr>
      <w:r w:rsidRPr="007224C3">
        <w:rPr>
          <w:color w:val="000000" w:themeColor="text1"/>
          <w:lang w:val="ru-RU"/>
        </w:rPr>
        <w:t>О необходимости организации секции авиации говорил в своем выступлении и член-корреспондент АН А.Н. Туполев. Будучи репрессированным в 1937 г., он продолжал кон</w:t>
      </w:r>
      <w:r w:rsidRPr="007224C3">
        <w:rPr>
          <w:color w:val="000000" w:themeColor="text1"/>
          <w:lang w:val="ru-RU"/>
        </w:rPr>
        <w:softHyphen/>
        <w:t xml:space="preserve">структорскую работу в авиационной «Шарашке» и был освобождён только в 1941 г. </w:t>
      </w:r>
      <w:r w:rsidRPr="007224C3">
        <w:rPr>
          <w:color w:val="000000" w:themeColor="text1"/>
        </w:rPr>
        <w:t>Be</w:t>
      </w:r>
      <w:r w:rsidRPr="007224C3">
        <w:rPr>
          <w:color w:val="000000" w:themeColor="text1"/>
          <w:lang w:val="ru-RU"/>
        </w:rPr>
        <w:t>роятно, это обстоятельство стало препятствием к его выдвижению в академики на вы</w:t>
      </w:r>
      <w:r w:rsidRPr="007224C3">
        <w:rPr>
          <w:color w:val="000000" w:themeColor="text1"/>
          <w:lang w:val="ru-RU"/>
        </w:rPr>
        <w:softHyphen/>
        <w:t>борах 1943 г. (его избрали академиком в октябре 1953 г.). Выступление Туполева неод</w:t>
      </w:r>
      <w:r w:rsidRPr="007224C3">
        <w:rPr>
          <w:color w:val="000000" w:themeColor="text1"/>
          <w:lang w:val="ru-RU"/>
        </w:rPr>
        <w:softHyphen/>
        <w:t>нократно прерывалось репликами председательствовавшего на заседании Байкова ивызвало определенную полемику, что и зафиксировано в стенограмме. Туполев говорил:</w:t>
      </w:r>
    </w:p>
    <w:p w14:paraId="74F5F62F" w14:textId="77777777" w:rsidR="00057A35" w:rsidRPr="007224C3" w:rsidRDefault="00057A35" w:rsidP="007224C3">
      <w:pPr>
        <w:pStyle w:val="a3"/>
        <w:rPr>
          <w:color w:val="000000" w:themeColor="text1"/>
          <w:lang w:val="ru-RU"/>
        </w:rPr>
      </w:pPr>
      <w:r w:rsidRPr="007224C3">
        <w:rPr>
          <w:color w:val="000000" w:themeColor="text1"/>
          <w:lang w:val="ru-RU"/>
        </w:rPr>
        <w:t>«Я работаю в области авиации много лет и уверяю вас, что сейчас этот вопрос под</w:t>
      </w:r>
      <w:r w:rsidRPr="007224C3">
        <w:rPr>
          <w:color w:val="000000" w:themeColor="text1"/>
          <w:lang w:val="ru-RU"/>
        </w:rPr>
        <w:softHyphen/>
        <w:t>нят только потому, что он наболел.</w:t>
      </w:r>
    </w:p>
    <w:p w14:paraId="1AF2568C" w14:textId="77777777" w:rsidR="00057A35" w:rsidRPr="007224C3" w:rsidRDefault="00057A35" w:rsidP="007224C3">
      <w:pPr>
        <w:pStyle w:val="a3"/>
        <w:rPr>
          <w:color w:val="000000" w:themeColor="text1"/>
          <w:lang w:val="ru-RU"/>
        </w:rPr>
      </w:pPr>
      <w:r w:rsidRPr="007224C3">
        <w:rPr>
          <w:color w:val="000000" w:themeColor="text1"/>
          <w:lang w:val="ru-RU"/>
        </w:rPr>
        <w:t>То объединение, о котором здесь говорилось, мне кажется, крайне необходимо. И раньше у нас в ЦАГИ такое объединение было, но затем как-то стали организовывать</w:t>
      </w:r>
      <w:r w:rsidRPr="007224C3">
        <w:rPr>
          <w:color w:val="000000" w:themeColor="text1"/>
          <w:lang w:val="ru-RU"/>
        </w:rPr>
        <w:softHyphen/>
        <w:t>ся отдельные конструкторские бюро, работники постепенно друг от друга отдалялись, и это объединение пропало. То же самое, когда наша промышленность стала разви</w:t>
      </w:r>
      <w:r w:rsidRPr="007224C3">
        <w:rPr>
          <w:color w:val="000000" w:themeColor="text1"/>
          <w:lang w:val="ru-RU"/>
        </w:rPr>
        <w:softHyphen/>
        <w:t>ваться и вся страна стала развиваться, у нас возникли крупные организации, возникла академия, возник гражданский воздушный флот со своими подразделениями, а объе</w:t>
      </w:r>
      <w:r w:rsidRPr="007224C3">
        <w:rPr>
          <w:color w:val="000000" w:themeColor="text1"/>
          <w:lang w:val="ru-RU"/>
        </w:rPr>
        <w:softHyphen/>
        <w:t>динение у нас пропало. Несмотря на то. что у нас сейчас есть крупнейшие институты, мы. непосредственно работающие на местах (у меня тоже большой опытный завод), с</w:t>
      </w:r>
      <w:r w:rsidRPr="007224C3">
        <w:rPr>
          <w:color w:val="000000" w:themeColor="text1"/>
        </w:rPr>
        <w:t>fr</w:t>
      </w:r>
      <w:r w:rsidRPr="007224C3">
        <w:rPr>
          <w:color w:val="000000" w:themeColor="text1"/>
          <w:lang w:val="ru-RU"/>
        </w:rPr>
        <w:t xml:space="preserve"> научно-исследовательской жизни совершенно оторваны. И придя в академию наук. — а сюда пришла достаточная группа лиц. — первое, о чём мы начали говорить, это что нам необходимо, чтобы обо всем, что делается у нас в стране, мы были информиро</w:t>
      </w:r>
      <w:r w:rsidRPr="007224C3">
        <w:rPr>
          <w:color w:val="000000" w:themeColor="text1"/>
          <w:lang w:val="ru-RU"/>
        </w:rPr>
        <w:softHyphen/>
        <w:t>ваны. а затем что нам необходимо координировать свою работу с тем, чтобы научную работу мы могли продвигать каждый на своем месте гораздо лучше, потому что друго</w:t>
      </w:r>
      <w:r w:rsidRPr="007224C3">
        <w:rPr>
          <w:color w:val="000000" w:themeColor="text1"/>
          <w:lang w:val="ru-RU"/>
        </w:rPr>
        <w:softHyphen/>
        <w:t>го места, где бы мы могли собираться, у нас сейчас нет.</w:t>
      </w:r>
    </w:p>
    <w:p w14:paraId="5DEEFADF" w14:textId="77777777" w:rsidR="00057A35" w:rsidRPr="007224C3" w:rsidRDefault="00057A35" w:rsidP="007224C3">
      <w:pPr>
        <w:pStyle w:val="a3"/>
        <w:rPr>
          <w:color w:val="000000" w:themeColor="text1"/>
          <w:lang w:val="ru-RU"/>
        </w:rPr>
      </w:pPr>
      <w:r w:rsidRPr="007224C3">
        <w:rPr>
          <w:color w:val="000000" w:themeColor="text1"/>
          <w:lang w:val="ru-RU"/>
        </w:rPr>
        <w:t>И еще одно. Тут-то получается основное, из-за чего мы к вам приходим. Каждый наркомат, занятый своими делами, делается всё более узко-ведомственным учрежде</w:t>
      </w:r>
      <w:r w:rsidRPr="007224C3">
        <w:rPr>
          <w:color w:val="000000" w:themeColor="text1"/>
          <w:lang w:val="ru-RU"/>
        </w:rPr>
        <w:softHyphen/>
        <w:t>нием. Бесспорно, с каждым годом, с увеличением своих программ, своих заданий, он делается всё более и более узким ведомством, а с увеличением наркоматов эти воп</w:t>
      </w:r>
      <w:r w:rsidRPr="007224C3">
        <w:rPr>
          <w:color w:val="000000" w:themeColor="text1"/>
          <w:lang w:val="ru-RU"/>
        </w:rPr>
        <w:softHyphen/>
        <w:t>росы ещё более расчленяются. Поэтому единственным центром, который может объ</w:t>
      </w:r>
      <w:r w:rsidRPr="007224C3">
        <w:rPr>
          <w:color w:val="000000" w:themeColor="text1"/>
          <w:lang w:val="ru-RU"/>
        </w:rPr>
        <w:softHyphen/>
        <w:t>единить нашу научную работу, является академия. Мы и пришли сюда.</w:t>
      </w:r>
    </w:p>
    <w:p w14:paraId="341B17D3" w14:textId="77777777" w:rsidR="00057A35" w:rsidRPr="007224C3" w:rsidRDefault="00057A35" w:rsidP="007224C3">
      <w:pPr>
        <w:pStyle w:val="a3"/>
        <w:rPr>
          <w:color w:val="000000" w:themeColor="text1"/>
          <w:lang w:val="ru-RU"/>
        </w:rPr>
      </w:pPr>
      <w:r w:rsidRPr="007224C3">
        <w:rPr>
          <w:color w:val="000000" w:themeColor="text1"/>
          <w:lang w:val="ru-RU"/>
        </w:rPr>
        <w:t>Акад. БАЙКОВ: Это Ваше мнение, по-моему, неправильно, АН не может это объединить.</w:t>
      </w:r>
    </w:p>
    <w:p w14:paraId="0E6DD930" w14:textId="77777777" w:rsidR="00057A35" w:rsidRPr="007224C3" w:rsidRDefault="00057A35" w:rsidP="007224C3">
      <w:pPr>
        <w:pStyle w:val="a3"/>
        <w:rPr>
          <w:color w:val="000000" w:themeColor="text1"/>
          <w:lang w:val="ru-RU"/>
        </w:rPr>
      </w:pPr>
      <w:r w:rsidRPr="007224C3">
        <w:rPr>
          <w:color w:val="000000" w:themeColor="text1"/>
          <w:lang w:val="ru-RU"/>
        </w:rPr>
        <w:t>Чл.-корр. ТУПОЛЕВ: Значит мы ошиблись. По простоте душевной мы думали, что, при</w:t>
      </w:r>
      <w:r w:rsidRPr="007224C3">
        <w:rPr>
          <w:color w:val="000000" w:themeColor="text1"/>
          <w:lang w:val="ru-RU"/>
        </w:rPr>
        <w:softHyphen/>
        <w:t>дя сюда, удастся произвести такое объединение. Пусть оно не будет стопроцентным, мы не гордые, мы не говорим, что мы за 100%, но бесспорно удастся сделать очень многое.</w:t>
      </w:r>
    </w:p>
    <w:p w14:paraId="2731D09E" w14:textId="77777777" w:rsidR="00057A35" w:rsidRPr="007224C3" w:rsidRDefault="00057A35" w:rsidP="007224C3">
      <w:pPr>
        <w:pStyle w:val="a3"/>
        <w:rPr>
          <w:color w:val="000000" w:themeColor="text1"/>
          <w:lang w:val="ru-RU"/>
        </w:rPr>
      </w:pPr>
      <w:r w:rsidRPr="007224C3">
        <w:rPr>
          <w:color w:val="000000" w:themeColor="text1"/>
          <w:lang w:val="ru-RU"/>
        </w:rPr>
        <w:t>Приведу маленький пример. Когда я был в Новосибирске, у нас самолёту не удавалось летать выше. Я обращался в одно, другое место — ничего не выходит. В конце концов я обратился к акад. Кулебакину как к своему человеку. Он проверил работы и опреде</w:t>
      </w:r>
      <w:r w:rsidRPr="007224C3">
        <w:rPr>
          <w:color w:val="000000" w:themeColor="text1"/>
          <w:lang w:val="ru-RU"/>
        </w:rPr>
        <w:softHyphen/>
        <w:t>лил, что магнето у нас недостаточно высотное, дал нам соответствующие испытания. А почему будет плохо, если у нас была бы секция и мы будем знать, что туда мы смо</w:t>
      </w:r>
      <w:r w:rsidRPr="007224C3">
        <w:rPr>
          <w:color w:val="000000" w:themeColor="text1"/>
          <w:lang w:val="ru-RU"/>
        </w:rPr>
        <w:softHyphen/>
        <w:t>жем прийти и получить указание, как решить наши научные проблемы. Мы совершенно не собираемся решать всё, но мы хотим быть полезными с тем, чтобы объединить все те многогранные вещи, которые заключаются в самолёте, с тем, чтобы, базируясь на тех лабораториях и заводах, которые у каждого из здесь присутствующих имеются, прино</w:t>
      </w:r>
      <w:r w:rsidRPr="007224C3">
        <w:rPr>
          <w:color w:val="000000" w:themeColor="text1"/>
          <w:lang w:val="ru-RU"/>
        </w:rPr>
        <w:softHyphen/>
        <w:t>сить пользу. Вот единственное, о чём мы говорим. Организуем в академии секцию. Я думаю, что от этого дела будет большая польза. Ещё один момент. Если мы остановимся на том, чтобы такую секцию создать в инсти</w:t>
      </w:r>
      <w:r w:rsidRPr="007224C3">
        <w:rPr>
          <w:color w:val="000000" w:themeColor="text1"/>
          <w:lang w:val="ru-RU"/>
        </w:rPr>
        <w:softHyphen/>
        <w:t>туте механики, то я думаю, что она будет односторонней. Приведу маленький пример. Ко</w:t>
      </w:r>
      <w:r w:rsidRPr="007224C3">
        <w:rPr>
          <w:color w:val="000000" w:themeColor="text1"/>
          <w:lang w:val="ru-RU"/>
        </w:rPr>
        <w:softHyphen/>
        <w:t xml:space="preserve">гда-то давно, когда еще не было ЦАГИ, а нам нужно было развертывать научную работу (области авиации, мы решили попробовать в честве такой базы для этих работ использо- </w:t>
      </w:r>
      <w:r w:rsidRPr="007224C3">
        <w:rPr>
          <w:color w:val="000000" w:themeColor="text1"/>
        </w:rPr>
        <w:t>I</w:t>
      </w:r>
      <w:r w:rsidRPr="007224C3">
        <w:rPr>
          <w:color w:val="000000" w:themeColor="text1"/>
          <w:lang w:val="ru-RU"/>
        </w:rPr>
        <w:t xml:space="preserve"> научно-исследовательский институт путей эбщения. Мы обратились сюда. Они сказали знь хорошо, паровоз и самолёт — родные атья, идите к нам. Мы пошли. Организовали соответствующий отдел авиационный. Но тем прошло, примерно, 6 месяцев и они мне зрят, знаете, Андрей Николаевич, невозмо- Вам у нас существовать, Вы у нас всё за</w:t>
      </w:r>
      <w:r w:rsidRPr="007224C3">
        <w:rPr>
          <w:color w:val="000000" w:themeColor="text1"/>
          <w:lang w:val="ru-RU"/>
        </w:rPr>
        <w:softHyphen/>
        <w:t>преете. Так и не получилось ничего, хотя как удто бы родные братья. Вот тогда пришлось обратиться в Научно-технический отдел, и в зультате образовали ЦАГИ... (акад. Байков: правильное было решение). А теперь мы говорим, что считаем правильным такую секцию создать в Академии Наук... Акад. БАЙКОВ. А если бы Вы в академии образовали — было бы плохо. Акад. ОБРАЗЦОВ. Если бы тогда ЦАГИ образовали при академии, мы были бы страшно сильны.</w:t>
      </w:r>
    </w:p>
    <w:p w14:paraId="3D1D107F" w14:textId="77777777" w:rsidR="00057A35" w:rsidRPr="007224C3" w:rsidRDefault="00057A35" w:rsidP="007224C3">
      <w:pPr>
        <w:pStyle w:val="a3"/>
        <w:rPr>
          <w:color w:val="000000" w:themeColor="text1"/>
          <w:lang w:val="ru-RU"/>
        </w:rPr>
      </w:pPr>
      <w:r w:rsidRPr="007224C3">
        <w:rPr>
          <w:color w:val="000000" w:themeColor="text1"/>
          <w:lang w:val="ru-RU"/>
        </w:rPr>
        <w:t>Я уверяю Вас,</w:t>
      </w:r>
    </w:p>
    <w:p w14:paraId="1F0E9C79" w14:textId="77777777" w:rsidR="00057A35" w:rsidRPr="007224C3" w:rsidRDefault="00057A35" w:rsidP="007224C3">
      <w:pPr>
        <w:pStyle w:val="a3"/>
        <w:rPr>
          <w:color w:val="000000" w:themeColor="text1"/>
          <w:lang w:val="ru-RU"/>
        </w:rPr>
      </w:pPr>
      <w:r w:rsidRPr="007224C3">
        <w:rPr>
          <w:color w:val="000000" w:themeColor="text1"/>
          <w:lang w:val="ru-RU"/>
        </w:rPr>
        <w:t>Акад. БАНКОВ. Я уверяю Вас, что ничего хошего из этого бы не получилось.</w:t>
      </w:r>
    </w:p>
    <w:p w14:paraId="0E959A9D" w14:textId="77777777" w:rsidR="00057A35" w:rsidRPr="007224C3" w:rsidRDefault="00057A35" w:rsidP="007224C3">
      <w:pPr>
        <w:pStyle w:val="a3"/>
        <w:rPr>
          <w:color w:val="000000" w:themeColor="text1"/>
          <w:lang w:val="ru-RU"/>
        </w:rPr>
      </w:pPr>
      <w:r w:rsidRPr="007224C3">
        <w:rPr>
          <w:rStyle w:val="88"/>
          <w:rFonts w:ascii="Times New Roman" w:hAnsi="Times New Roman" w:cs="Times New Roman"/>
          <w:color w:val="000000" w:themeColor="text1"/>
          <w:sz w:val="16"/>
          <w:szCs w:val="16"/>
          <w:u w:val="none"/>
          <w:lang w:val="ru-RU"/>
        </w:rPr>
        <w:t>Чл.-корр</w:t>
      </w:r>
      <w:r w:rsidRPr="007224C3">
        <w:rPr>
          <w:color w:val="000000" w:themeColor="text1"/>
          <w:lang w:val="ru-RU"/>
        </w:rPr>
        <w:t xml:space="preserve">. ТУПОЛЕВ. Никто не говорит о том, чтобы ЦАГИ присоединять к академии, темы определенные ЦАГИ давать нужно. От этого ничего, кроме пользы не </w:t>
      </w:r>
      <w:r w:rsidRPr="007224C3">
        <w:rPr>
          <w:color w:val="000000" w:themeColor="text1"/>
          <w:lang w:val="ru-RU"/>
        </w:rPr>
        <w:lastRenderedPageBreak/>
        <w:t>будет. И задачи этой секции, как правильно здесь подчёркивалось выступавшими, являет - именно объединение всей деятельности в области научно-исследовательских работ авиации. Причём, конечно, должна быть полная согласованность, кто что на себя рет. Я уверен, что это сильно поможет общему делу.</w:t>
      </w:r>
    </w:p>
    <w:p w14:paraId="1C59258C" w14:textId="77777777" w:rsidR="00057A35" w:rsidRPr="007224C3" w:rsidRDefault="00057A35" w:rsidP="007224C3">
      <w:pPr>
        <w:pStyle w:val="a3"/>
        <w:rPr>
          <w:color w:val="000000" w:themeColor="text1"/>
          <w:lang w:val="ru-RU"/>
        </w:rPr>
      </w:pPr>
      <w:r w:rsidRPr="007224C3">
        <w:rPr>
          <w:color w:val="000000" w:themeColor="text1"/>
          <w:lang w:val="ru-RU"/>
        </w:rPr>
        <w:t>Акад. БАЙКОВ. А я не сомневаюсь, что такая организация будет маломощной и поль</w:t>
      </w:r>
      <w:r w:rsidRPr="007224C3">
        <w:rPr>
          <w:color w:val="000000" w:themeColor="text1"/>
          <w:lang w:val="ru-RU"/>
        </w:rPr>
        <w:softHyphen/>
        <w:t>зу не принесет.</w:t>
      </w:r>
    </w:p>
    <w:p w14:paraId="23021B4B" w14:textId="77777777" w:rsidR="00057A35" w:rsidRPr="007224C3" w:rsidRDefault="00057A35" w:rsidP="007224C3">
      <w:pPr>
        <w:pStyle w:val="a3"/>
        <w:rPr>
          <w:color w:val="000000" w:themeColor="text1"/>
          <w:lang w:val="ru-RU"/>
        </w:rPr>
      </w:pPr>
      <w:r w:rsidRPr="007224C3">
        <w:rPr>
          <w:rStyle w:val="88"/>
          <w:rFonts w:ascii="Times New Roman" w:hAnsi="Times New Roman" w:cs="Times New Roman"/>
          <w:color w:val="000000" w:themeColor="text1"/>
          <w:sz w:val="16"/>
          <w:szCs w:val="16"/>
          <w:u w:val="none"/>
          <w:lang w:val="ru-RU"/>
        </w:rPr>
        <w:t>Чл.-корр</w:t>
      </w:r>
      <w:r w:rsidRPr="007224C3">
        <w:rPr>
          <w:color w:val="000000" w:themeColor="text1"/>
          <w:lang w:val="ru-RU"/>
        </w:rPr>
        <w:t>. ТУПОЛЕВ. Мы каждый раз начинаем с маленького, думаю, что и тут это будет правильно, а там посмотрим, что из этого получится.</w:t>
      </w:r>
    </w:p>
    <w:p w14:paraId="22DDBEE6" w14:textId="77777777" w:rsidR="00057A35" w:rsidRPr="007224C3" w:rsidRDefault="00057A35" w:rsidP="007224C3">
      <w:pPr>
        <w:pStyle w:val="a3"/>
        <w:rPr>
          <w:color w:val="000000" w:themeColor="text1"/>
          <w:lang w:val="ru-RU"/>
        </w:rPr>
      </w:pPr>
      <w:r w:rsidRPr="007224C3">
        <w:rPr>
          <w:color w:val="000000" w:themeColor="text1"/>
          <w:lang w:val="ru-RU"/>
        </w:rPr>
        <w:t>Акад. БАЙКОВ. Может быть такая секция и нужна, но не так, как Вы ставите этот во</w:t>
      </w:r>
      <w:r w:rsidRPr="007224C3">
        <w:rPr>
          <w:color w:val="000000" w:themeColor="text1"/>
          <w:lang w:val="ru-RU"/>
        </w:rPr>
        <w:softHyphen/>
        <w:t>прос, потому что эта секция должна иметь право распоряжаться, а если она будет в академии, то такого права у неё не будет. Поэтому, может быть, было бы правильнее поставить вопрос об образовании специального Комитета даже при Совнаркоме СССР, который взял бы на себя все эти вопросы. Это дело другое. Но такое большое дело пристегнуть к академии нельзя, это не под силу академии.</w:t>
      </w:r>
    </w:p>
    <w:p w14:paraId="2FF14F4E" w14:textId="77777777" w:rsidR="00057A35" w:rsidRPr="007224C3" w:rsidRDefault="00057A35" w:rsidP="007224C3">
      <w:pPr>
        <w:pStyle w:val="a3"/>
        <w:rPr>
          <w:color w:val="000000" w:themeColor="text1"/>
          <w:lang w:val="ru-RU"/>
        </w:rPr>
      </w:pPr>
      <w:r w:rsidRPr="007224C3">
        <w:rPr>
          <w:color w:val="000000" w:themeColor="text1"/>
          <w:lang w:val="ru-RU"/>
        </w:rPr>
        <w:t>Чл.-корр. ТУПОЛЕВ. Я думаю, что это АН по силам, академии нечего прибедняться.</w:t>
      </w:r>
    </w:p>
    <w:p w14:paraId="577C1D54" w14:textId="77777777" w:rsidR="00057A35" w:rsidRPr="007224C3" w:rsidRDefault="00057A35" w:rsidP="007224C3">
      <w:pPr>
        <w:pStyle w:val="a3"/>
        <w:rPr>
          <w:color w:val="000000" w:themeColor="text1"/>
          <w:lang w:val="ru-RU"/>
        </w:rPr>
      </w:pPr>
      <w:r w:rsidRPr="007224C3">
        <w:rPr>
          <w:color w:val="000000" w:themeColor="text1"/>
          <w:lang w:val="ru-RU"/>
        </w:rPr>
        <w:t>Акад. МИКУЛИН. Вы умаляете значение академии.</w:t>
      </w:r>
    </w:p>
    <w:p w14:paraId="4F7E0FFB" w14:textId="77777777" w:rsidR="00057A35" w:rsidRPr="007224C3" w:rsidRDefault="00057A35" w:rsidP="007224C3">
      <w:pPr>
        <w:pStyle w:val="a3"/>
        <w:rPr>
          <w:color w:val="000000" w:themeColor="text1"/>
          <w:lang w:val="ru-RU"/>
        </w:rPr>
      </w:pPr>
      <w:r w:rsidRPr="007224C3">
        <w:rPr>
          <w:color w:val="000000" w:themeColor="text1"/>
          <w:lang w:val="ru-RU"/>
        </w:rPr>
        <w:t>Акад. БАЙКОВ. Это не умаление значения академии, а то, что есть на самом деле. Каждое учреждение имеет определённый круг задач и обязанностей, а это шире, чем то, что может взять на себя академия. Вот почему я против».</w:t>
      </w:r>
    </w:p>
    <w:p w14:paraId="323802AD" w14:textId="77777777" w:rsidR="00057A35" w:rsidRPr="007224C3" w:rsidRDefault="00057A35" w:rsidP="007224C3">
      <w:pPr>
        <w:pStyle w:val="a3"/>
        <w:rPr>
          <w:color w:val="000000" w:themeColor="text1"/>
          <w:lang w:val="ru-RU"/>
        </w:rPr>
      </w:pPr>
      <w:r w:rsidRPr="007224C3">
        <w:rPr>
          <w:color w:val="000000" w:themeColor="text1"/>
          <w:lang w:val="ru-RU"/>
        </w:rPr>
        <w:t>Завершилось заседание выступлением вице-президента А.А. Байкова, противника ор</w:t>
      </w:r>
      <w:r w:rsidRPr="007224C3">
        <w:rPr>
          <w:color w:val="000000" w:themeColor="text1"/>
          <w:lang w:val="ru-RU"/>
        </w:rPr>
        <w:softHyphen/>
        <w:t>ганизации секции, отстаивавшего точку зрения руководства Академии. Он говорил:</w:t>
      </w:r>
    </w:p>
    <w:p w14:paraId="29CB6F4E" w14:textId="77777777" w:rsidR="00057A35" w:rsidRPr="007224C3" w:rsidRDefault="00057A35" w:rsidP="007224C3">
      <w:pPr>
        <w:pStyle w:val="a3"/>
        <w:rPr>
          <w:color w:val="000000" w:themeColor="text1"/>
          <w:lang w:val="ru-RU"/>
        </w:rPr>
      </w:pPr>
      <w:r w:rsidRPr="007224C3">
        <w:rPr>
          <w:color w:val="000000" w:themeColor="text1"/>
          <w:lang w:val="ru-RU"/>
        </w:rPr>
        <w:t>«Тут высказывались мнения и соображения, затрагивающие очень важный вопрос, при</w:t>
      </w:r>
      <w:r w:rsidRPr="007224C3">
        <w:rPr>
          <w:color w:val="000000" w:themeColor="text1"/>
          <w:lang w:val="ru-RU"/>
        </w:rPr>
        <w:softHyphen/>
        <w:t>чём все-таки видно, что того единодушного отношения, о котором говорил Е.А. Чудаков, нет, ибо высказываются соображения противоположные. Слушая наши сегодняшние раз</w:t>
      </w:r>
      <w:r w:rsidRPr="007224C3">
        <w:rPr>
          <w:color w:val="000000" w:themeColor="text1"/>
          <w:lang w:val="ru-RU"/>
        </w:rPr>
        <w:softHyphen/>
        <w:t>говоры инициаторов и авторов предложений о создании секции, можно подумать, что у нас с авиацией дело обстоит очень плохо. Позвольте заявить, что я считаю это мнение неправильным и вредным. Наша авиация стоит на очень большой высоте — в этом мы убеждаемся ежедневно, читая газеты, слушая сообщения, разговоры и т.д. Поэтому утверждать, что с авиацией у нас дело обстой плохо — неправильно, вредно и ошибочно.</w:t>
      </w:r>
    </w:p>
    <w:p w14:paraId="7C79CF9C" w14:textId="77777777" w:rsidR="00057A35" w:rsidRPr="007224C3" w:rsidRDefault="00057A35" w:rsidP="007224C3">
      <w:pPr>
        <w:pStyle w:val="a3"/>
        <w:rPr>
          <w:color w:val="000000" w:themeColor="text1"/>
          <w:lang w:val="ru-RU"/>
        </w:rPr>
      </w:pPr>
      <w:r w:rsidRPr="007224C3">
        <w:rPr>
          <w:color w:val="000000" w:themeColor="text1"/>
          <w:lang w:val="ru-RU"/>
        </w:rPr>
        <w:t xml:space="preserve">И то, что сегодня приводилось акад. Микули ным в качестве примера относительно этог. самолёта и ошибок, которые были допущены </w:t>
      </w:r>
      <w:r w:rsidRPr="007224C3">
        <w:rPr>
          <w:color w:val="000000" w:themeColor="text1"/>
        </w:rPr>
        <w:t>i</w:t>
      </w:r>
      <w:r w:rsidRPr="007224C3">
        <w:rPr>
          <w:color w:val="000000" w:themeColor="text1"/>
          <w:lang w:val="ru-RU"/>
        </w:rPr>
        <w:t xml:space="preserve"> расчётах, это ни о чем ещё не говорит. Я . спрашиваю — а разве в Америке этого не бы</w:t>
      </w:r>
      <w:r w:rsidRPr="007224C3">
        <w:rPr>
          <w:color w:val="000000" w:themeColor="text1"/>
          <w:lang w:val="ru-RU"/>
        </w:rPr>
        <w:softHyphen/>
        <w:t>вает, разве в Англии этого не бывает, разве</w:t>
      </w:r>
      <w:r w:rsidRPr="007224C3">
        <w:rPr>
          <w:rStyle w:val="58ArialNarrow"/>
          <w:rFonts w:ascii="Times New Roman" w:hAnsi="Times New Roman" w:cs="Times New Roman"/>
          <w:color w:val="000000" w:themeColor="text1"/>
          <w:sz w:val="16"/>
          <w:szCs w:val="16"/>
          <w:lang w:val="ru-RU"/>
        </w:rPr>
        <w:t xml:space="preserve"> в </w:t>
      </w:r>
      <w:r w:rsidRPr="007224C3">
        <w:rPr>
          <w:color w:val="000000" w:themeColor="text1"/>
          <w:lang w:val="ru-RU"/>
        </w:rPr>
        <w:t>Германии этого не бывает? Бывает. И это со</w:t>
      </w:r>
      <w:r w:rsidRPr="007224C3">
        <w:rPr>
          <w:color w:val="000000" w:themeColor="text1"/>
          <w:lang w:val="ru-RU"/>
        </w:rPr>
        <w:softHyphen/>
        <w:t>вершенно неизбежная вещь, всегда такие ошибки возможны, но не значит, что мы из этого должны делать какие-то выводы. Поэто</w:t>
      </w:r>
      <w:r w:rsidRPr="007224C3">
        <w:rPr>
          <w:color w:val="000000" w:themeColor="text1"/>
          <w:lang w:val="ru-RU"/>
        </w:rPr>
        <w:softHyphen/>
        <w:t>му этот аргумент не имеет никакого значения.: Теперь относительно секции. Получается впечатление, как будто бы у нас действи-</w:t>
      </w:r>
      <w:r w:rsidRPr="007224C3">
        <w:rPr>
          <w:color w:val="000000" w:themeColor="text1"/>
        </w:rPr>
        <w:t>I</w:t>
      </w:r>
      <w:r w:rsidRPr="007224C3">
        <w:rPr>
          <w:color w:val="000000" w:themeColor="text1"/>
          <w:lang w:val="ru-RU"/>
        </w:rPr>
        <w:t xml:space="preserve"> тельно ничего нет. Но позвольте, мы ведь имеем такую крупную, мощную и сильную... организацию как ЦАГИ. имеем Военно-Воз- душную академию, имеем Наркомат авиаци</w:t>
      </w:r>
      <w:r w:rsidRPr="007224C3">
        <w:rPr>
          <w:color w:val="000000" w:themeColor="text1"/>
          <w:lang w:val="ru-RU"/>
        </w:rPr>
        <w:softHyphen/>
        <w:t>онной промышленности. Разве это бездей</w:t>
      </w:r>
      <w:r w:rsidRPr="007224C3">
        <w:rPr>
          <w:color w:val="000000" w:themeColor="text1"/>
          <w:lang w:val="ru-RU"/>
        </w:rPr>
        <w:softHyphen/>
        <w:t>ствующие или плохие организации? Разве они ничего не делают? Конечно, есть извест</w:t>
      </w:r>
      <w:r w:rsidRPr="007224C3">
        <w:rPr>
          <w:color w:val="000000" w:themeColor="text1"/>
          <w:lang w:val="ru-RU"/>
        </w:rPr>
        <w:softHyphen/>
        <w:t>ные недостатки в их работе, это вполне воз</w:t>
      </w:r>
      <w:r w:rsidRPr="007224C3">
        <w:rPr>
          <w:color w:val="000000" w:themeColor="text1"/>
          <w:lang w:val="ru-RU"/>
        </w:rPr>
        <w:softHyphen/>
        <w:t>можно и их нужно исправлять.</w:t>
      </w:r>
    </w:p>
    <w:p w14:paraId="681E906D" w14:textId="77777777" w:rsidR="00057A35" w:rsidRPr="007224C3" w:rsidRDefault="00057A35" w:rsidP="007224C3">
      <w:pPr>
        <w:pStyle w:val="a3"/>
        <w:rPr>
          <w:color w:val="000000" w:themeColor="text1"/>
          <w:lang w:val="ru-RU"/>
        </w:rPr>
      </w:pPr>
      <w:r w:rsidRPr="007224C3">
        <w:rPr>
          <w:color w:val="000000" w:themeColor="text1"/>
          <w:lang w:val="ru-RU"/>
        </w:rPr>
        <w:t>Тут указывалось, что секция должна добиться объединения всех вопросов, которые разрабатываются, чтобы привести к определенному решению и направить надлежащим образом. Разве это дело Академии - заниматься объединением промышленности и всякого рода практических мероприятий? Это дело наркоматов. Можно сказать, что то. что говорил акад. Микулин. показывает, что в организации Наркомата авиационной про</w:t>
      </w:r>
      <w:r w:rsidRPr="007224C3">
        <w:rPr>
          <w:color w:val="000000" w:themeColor="text1"/>
          <w:lang w:val="ru-RU"/>
        </w:rPr>
        <w:softHyphen/>
        <w:t>мышленности существует весьма большой дефект, так как отсутствует такой компетент</w:t>
      </w:r>
      <w:r w:rsidRPr="007224C3">
        <w:rPr>
          <w:color w:val="000000" w:themeColor="text1"/>
          <w:lang w:val="ru-RU"/>
        </w:rPr>
        <w:softHyphen/>
        <w:t>ный. авторитетный комитет или учёный совет, который мог бы такие вопросы обобщать, делать соответствующие выводы и уже в правительственном порядке давать распоря</w:t>
      </w:r>
      <w:r w:rsidRPr="007224C3">
        <w:rPr>
          <w:color w:val="000000" w:themeColor="text1"/>
          <w:lang w:val="ru-RU"/>
        </w:rPr>
        <w:softHyphen/>
        <w:t>жения и приказания всем организациям и учреждениям, чтобы это проводилось и ис</w:t>
      </w:r>
      <w:r w:rsidRPr="007224C3">
        <w:rPr>
          <w:color w:val="000000" w:themeColor="text1"/>
          <w:lang w:val="ru-RU"/>
        </w:rPr>
        <w:softHyphen/>
        <w:t>полнялось надлежащим образом. Мы же не можем исправлять недостатки в организации и работе Наркомата. Мы можем на это обратить внимание, как здесь говорилось, ука</w:t>
      </w:r>
      <w:r w:rsidRPr="007224C3">
        <w:rPr>
          <w:color w:val="000000" w:themeColor="text1"/>
          <w:lang w:val="ru-RU"/>
        </w:rPr>
        <w:softHyphen/>
        <w:t>зать на необходимость создания в Наркомате авиационной промышленности такого ком</w:t>
      </w:r>
      <w:r w:rsidRPr="007224C3">
        <w:rPr>
          <w:color w:val="000000" w:themeColor="text1"/>
          <w:lang w:val="ru-RU"/>
        </w:rPr>
        <w:softHyphen/>
        <w:t>петентного и мощного органа, куда все наши академики могли бы войти в качестве членов этого органа. Но это учреждение не было бы мертворождённым, немощным или</w:t>
      </w:r>
    </w:p>
    <w:p w14:paraId="77979011" w14:textId="77777777" w:rsidR="00057A35" w:rsidRPr="007224C3" w:rsidRDefault="00057A35" w:rsidP="007224C3">
      <w:pPr>
        <w:pStyle w:val="a3"/>
        <w:rPr>
          <w:color w:val="000000" w:themeColor="text1"/>
          <w:lang w:val="ru-RU"/>
        </w:rPr>
      </w:pPr>
      <w:r w:rsidRPr="007224C3">
        <w:rPr>
          <w:color w:val="000000" w:themeColor="text1"/>
          <w:lang w:val="ru-RU"/>
        </w:rPr>
        <w:t>рискующим кончить свое существование без всяких следов, потому что оно было бы совершенно иначе поставлено.</w:t>
      </w:r>
    </w:p>
    <w:p w14:paraId="0C7EE0A7" w14:textId="77777777" w:rsidR="00057A35" w:rsidRPr="007224C3" w:rsidRDefault="00057A35" w:rsidP="007224C3">
      <w:pPr>
        <w:pStyle w:val="a3"/>
        <w:rPr>
          <w:color w:val="000000" w:themeColor="text1"/>
          <w:lang w:val="ru-RU"/>
        </w:rPr>
      </w:pPr>
      <w:r w:rsidRPr="007224C3">
        <w:rPr>
          <w:color w:val="000000" w:themeColor="text1"/>
          <w:lang w:val="ru-RU"/>
        </w:rPr>
        <w:t>В том виде, как это предлагается устроить при Академии, это будет своего рода Ли</w:t>
      </w:r>
      <w:r w:rsidRPr="007224C3">
        <w:rPr>
          <w:color w:val="000000" w:themeColor="text1"/>
          <w:lang w:val="ru-RU"/>
        </w:rPr>
        <w:softHyphen/>
        <w:t>гой наций, которая в конце концов никаких реальных результатов не даст и которая, мо</w:t>
      </w:r>
      <w:r w:rsidRPr="007224C3">
        <w:rPr>
          <w:color w:val="000000" w:themeColor="text1"/>
          <w:lang w:val="ru-RU"/>
        </w:rPr>
        <w:softHyphen/>
        <w:t>жет быть, даже причинит вред, а не пользу. Нужна не Лига наций, а нужен настоящий орган власти, компетентный и научно сильный, который мог бы эти вопросы разрабаты</w:t>
      </w:r>
      <w:r w:rsidRPr="007224C3">
        <w:rPr>
          <w:color w:val="000000" w:themeColor="text1"/>
          <w:lang w:val="ru-RU"/>
        </w:rPr>
        <w:softHyphen/>
        <w:t>вать и проводить. Вот почему я считаю, что предложение организовать такую секцию авиации является очень и очень сомнительным. Какая у нас уверенность, что если мы эту секцию организуем, что мы все эти недостатки изживем? Почему вы думаете, что если она будет называться секцией Академии наук, она будет действовать иначе, чем если бы она была под другим именем?</w:t>
      </w:r>
    </w:p>
    <w:p w14:paraId="7A7D1F89" w14:textId="77777777" w:rsidR="00057A35" w:rsidRPr="007224C3" w:rsidRDefault="00057A35" w:rsidP="007224C3">
      <w:pPr>
        <w:pStyle w:val="a3"/>
        <w:rPr>
          <w:color w:val="000000" w:themeColor="text1"/>
          <w:lang w:val="ru-RU"/>
        </w:rPr>
      </w:pPr>
      <w:r w:rsidRPr="007224C3">
        <w:rPr>
          <w:color w:val="000000" w:themeColor="text1"/>
          <w:lang w:val="ru-RU"/>
        </w:rPr>
        <w:t>Так что я не могу разделить такие оптимистические предположения, они для меня не</w:t>
      </w:r>
      <w:r w:rsidRPr="007224C3">
        <w:rPr>
          <w:color w:val="000000" w:themeColor="text1"/>
          <w:lang w:val="ru-RU"/>
        </w:rPr>
        <w:softHyphen/>
        <w:t>убедительны, потому что все то, что говорилось относительно объединения, комплекс</w:t>
      </w:r>
      <w:r w:rsidRPr="007224C3">
        <w:rPr>
          <w:color w:val="000000" w:themeColor="text1"/>
          <w:lang w:val="ru-RU"/>
        </w:rPr>
        <w:softHyphen/>
        <w:t>ности работы, все это только предположения, как это на самом деле будет — это еще очень большой вопрос. Ввиду всего этого я полагаю, что наши специалисты академики, близко стоящие к авиапромышленности, могут в соответствующие институты, в соответствующие отделения входить со своими докладами и предложениями. Эти доклады и предложения могут быть подвергнуты широкому обсуждению с привлечением самых раз</w:t>
      </w:r>
      <w:r w:rsidRPr="007224C3">
        <w:rPr>
          <w:color w:val="000000" w:themeColor="text1"/>
          <w:lang w:val="ru-RU"/>
        </w:rPr>
        <w:softHyphen/>
        <w:t>нообразных специалистов. Там могут быть образованы для разрешения конкретных во</w:t>
      </w:r>
      <w:r w:rsidRPr="007224C3">
        <w:rPr>
          <w:color w:val="000000" w:themeColor="text1"/>
          <w:lang w:val="ru-RU"/>
        </w:rPr>
        <w:softHyphen/>
        <w:t>просов отдельные комиссии, которые могут эти вопросы в отношении направления дальнейшей их разработки окончательно разрешить и предложить правительственным учреждениям рациональные мероприятия для организации этой работы научным обра</w:t>
      </w:r>
      <w:r w:rsidRPr="007224C3">
        <w:rPr>
          <w:color w:val="000000" w:themeColor="text1"/>
          <w:lang w:val="ru-RU"/>
        </w:rPr>
        <w:softHyphen/>
        <w:t xml:space="preserve">зом. Пример, который приводил </w:t>
      </w:r>
      <w:r w:rsidRPr="007224C3">
        <w:rPr>
          <w:color w:val="000000" w:themeColor="text1"/>
        </w:rPr>
        <w:t>B</w:t>
      </w:r>
      <w:r w:rsidRPr="007224C3">
        <w:rPr>
          <w:color w:val="000000" w:themeColor="text1"/>
          <w:lang w:val="ru-RU"/>
        </w:rPr>
        <w:t>.</w:t>
      </w:r>
      <w:r w:rsidRPr="007224C3">
        <w:rPr>
          <w:color w:val="000000" w:themeColor="text1"/>
        </w:rPr>
        <w:t>C</w:t>
      </w:r>
      <w:r w:rsidRPr="007224C3">
        <w:rPr>
          <w:color w:val="000000" w:themeColor="text1"/>
          <w:lang w:val="ru-RU"/>
        </w:rPr>
        <w:t>. (Кулебакин), тоже очень поучителен. Вопрос каса</w:t>
      </w:r>
      <w:r w:rsidRPr="007224C3">
        <w:rPr>
          <w:color w:val="000000" w:themeColor="text1"/>
          <w:lang w:val="ru-RU"/>
        </w:rPr>
        <w:softHyphen/>
        <w:t xml:space="preserve">ется авиасвечей — вопрос очень важный, он был у нас не в надлежащем состоянии. </w:t>
      </w:r>
      <w:r w:rsidRPr="007224C3">
        <w:rPr>
          <w:color w:val="000000" w:themeColor="text1"/>
        </w:rPr>
        <w:t>B</w:t>
      </w:r>
      <w:r w:rsidRPr="007224C3">
        <w:rPr>
          <w:color w:val="000000" w:themeColor="text1"/>
          <w:lang w:val="ru-RU"/>
        </w:rPr>
        <w:t>.</w:t>
      </w:r>
      <w:r w:rsidRPr="007224C3">
        <w:rPr>
          <w:color w:val="000000" w:themeColor="text1"/>
        </w:rPr>
        <w:t>C</w:t>
      </w:r>
      <w:r w:rsidRPr="007224C3">
        <w:rPr>
          <w:color w:val="000000" w:themeColor="text1"/>
          <w:lang w:val="ru-RU"/>
        </w:rPr>
        <w:t>. проводил эту работу без всяких секций, без всяких комитетов, пользуясь помощью 2-3 наших товарищей, подработал этот вопрос в одной из академических лабораторий и те</w:t>
      </w:r>
      <w:r w:rsidRPr="007224C3">
        <w:rPr>
          <w:color w:val="000000" w:themeColor="text1"/>
          <w:lang w:val="ru-RU"/>
        </w:rPr>
        <w:softHyphen/>
        <w:t>перь довёл это дело до прекрасного конца. Мы видели результаты, мы с Вами ездили на завод, где это делалось, видели, какие получились результаты. В чем тут роль Академии? Она состояла в том, что небольшая группа людей рассмотрела этот вопрос и решила, как его нужно разрабатывать. Эти указания были направлены в соответствующие заводские организации и там были реализованы чрезвычайно хорошо, чрезвычайно удачно... (Ак. МИКУЛИН. Вот для этого секция и нужна).</w:t>
      </w:r>
    </w:p>
    <w:p w14:paraId="2D2FC5CE" w14:textId="77777777" w:rsidR="00057A35" w:rsidRPr="007224C3" w:rsidRDefault="00057A35" w:rsidP="007224C3">
      <w:pPr>
        <w:pStyle w:val="a3"/>
        <w:rPr>
          <w:color w:val="000000" w:themeColor="text1"/>
          <w:lang w:val="ru-RU"/>
        </w:rPr>
      </w:pPr>
      <w:r w:rsidRPr="007224C3">
        <w:rPr>
          <w:color w:val="000000" w:themeColor="text1"/>
          <w:lang w:val="ru-RU"/>
        </w:rPr>
        <w:t xml:space="preserve">Причем они не занимались широкими планами, а решали конкретные вопросы. Мы недавно ездили с И.П. Бардиным и </w:t>
      </w:r>
      <w:r w:rsidRPr="007224C3">
        <w:rPr>
          <w:color w:val="000000" w:themeColor="text1"/>
        </w:rPr>
        <w:t>B</w:t>
      </w:r>
      <w:r w:rsidRPr="007224C3">
        <w:rPr>
          <w:color w:val="000000" w:themeColor="text1"/>
          <w:lang w:val="ru-RU"/>
        </w:rPr>
        <w:t>.</w:t>
      </w:r>
      <w:r w:rsidRPr="007224C3">
        <w:rPr>
          <w:color w:val="000000" w:themeColor="text1"/>
        </w:rPr>
        <w:t>C</w:t>
      </w:r>
      <w:r w:rsidRPr="007224C3">
        <w:rPr>
          <w:color w:val="000000" w:themeColor="text1"/>
          <w:lang w:val="ru-RU"/>
        </w:rPr>
        <w:t>. Кулебакиным, и когда я на заводе увидел, как это делается,- то я получил полное удовлетворение, потому что увидел, что вопрос ре</w:t>
      </w:r>
      <w:r w:rsidRPr="007224C3">
        <w:rPr>
          <w:color w:val="000000" w:themeColor="text1"/>
          <w:lang w:val="ru-RU"/>
        </w:rPr>
        <w:softHyphen/>
        <w:t>шен правильно.</w:t>
      </w:r>
    </w:p>
    <w:p w14:paraId="1CC42D34" w14:textId="77777777" w:rsidR="00057A35" w:rsidRPr="007224C3" w:rsidRDefault="00057A35" w:rsidP="007224C3">
      <w:pPr>
        <w:pStyle w:val="a3"/>
        <w:rPr>
          <w:color w:val="000000" w:themeColor="text1"/>
          <w:lang w:val="ru-RU"/>
        </w:rPr>
      </w:pPr>
      <w:r w:rsidRPr="007224C3">
        <w:rPr>
          <w:rStyle w:val="2410"/>
          <w:rFonts w:ascii="Times New Roman" w:hAnsi="Times New Roman" w:cs="Times New Roman"/>
          <w:b w:val="0"/>
          <w:color w:val="000000" w:themeColor="text1"/>
          <w:sz w:val="16"/>
          <w:szCs w:val="16"/>
          <w:lang w:val="ru-RU"/>
        </w:rPr>
        <w:t>Поэтому</w:t>
      </w:r>
      <w:r w:rsidRPr="007224C3">
        <w:rPr>
          <w:color w:val="000000" w:themeColor="text1"/>
          <w:lang w:val="ru-RU"/>
        </w:rPr>
        <w:t xml:space="preserve"> я и говорю, что эти задачи, которые ставит... секция, выходят далеко за преде</w:t>
      </w:r>
      <w:r w:rsidRPr="007224C3">
        <w:rPr>
          <w:color w:val="000000" w:themeColor="text1"/>
          <w:lang w:val="ru-RU"/>
        </w:rPr>
        <w:softHyphen/>
        <w:t>лы Академии и Академия, на мой взгляд, не может взять на свою ответственность этого де</w:t>
      </w:r>
      <w:r w:rsidRPr="007224C3">
        <w:rPr>
          <w:color w:val="000000" w:themeColor="text1"/>
          <w:lang w:val="ru-RU"/>
        </w:rPr>
        <w:softHyphen/>
        <w:t>ла. а может принять только участие в порядке консультации или совета, пользуясь помощью тех специалистов, которые имеются, или институтами, которыми она располагает.</w:t>
      </w:r>
    </w:p>
    <w:p w14:paraId="2D06F4AA" w14:textId="77777777" w:rsidR="00057A35" w:rsidRPr="007224C3" w:rsidRDefault="00057A35" w:rsidP="007224C3">
      <w:pPr>
        <w:pStyle w:val="a3"/>
        <w:rPr>
          <w:color w:val="000000" w:themeColor="text1"/>
          <w:lang w:val="ru-RU"/>
        </w:rPr>
      </w:pPr>
      <w:r w:rsidRPr="007224C3">
        <w:rPr>
          <w:color w:val="000000" w:themeColor="text1"/>
          <w:lang w:val="ru-RU"/>
        </w:rPr>
        <w:t>Вот почему я считаю, что учреждение такой секции авиации является необоснован</w:t>
      </w:r>
      <w:r w:rsidRPr="007224C3">
        <w:rPr>
          <w:color w:val="000000" w:themeColor="text1"/>
          <w:lang w:val="ru-RU"/>
        </w:rPr>
        <w:softHyphen/>
        <w:t>ным. И едва ли было бы правильно принимать такой широкий план работы секции (я не могу назвать этот план скромным) иметь такой большой аппарат, как 14 старших научных сотрудников и 2 младших научных сотрудника. Вообще возникает вопрос, кто будут эти сотрудники, где они будут работать, где они будут сидеть, что они будут де</w:t>
      </w:r>
      <w:r w:rsidRPr="007224C3">
        <w:rPr>
          <w:color w:val="000000" w:themeColor="text1"/>
          <w:lang w:val="ru-RU"/>
        </w:rPr>
        <w:softHyphen/>
        <w:t>лать? Вот все эти вопросы недостаточно ясны и поэтому вряд ли было бы правильно сейчас решать этот вопрос положительно. Так что я никоим образом не могу признать совершенно доказанной важность и необходимость учреждения этой секции. Что она ставит очень важные и большие задачи — это совершенно бесспорно, но утверждать, что они будут успешно выполнены, это для меня является недоказанным. Поэтому я против того, чтобы утверждать такого рода секции вообще и, в частности, против то</w:t>
      </w:r>
      <w:r w:rsidRPr="007224C3">
        <w:rPr>
          <w:color w:val="000000" w:themeColor="text1"/>
          <w:lang w:val="ru-RU"/>
        </w:rPr>
        <w:softHyphen/>
        <w:t>го, чтобы мы сейчас приняли решение об организации секции авиации. Я думаю, что может быть найдена более правильная и целесообразная форма для разрешения тех вопросов, которые будут возникать в области авиации. Поэтому, считая что вряд ли эта секция может оправдать те большие надежды, которые на'неё возлагаются, я полагаю, что мы не должны принимать решение об её организации.</w:t>
      </w:r>
    </w:p>
    <w:p w14:paraId="7EE4F040" w14:textId="77777777" w:rsidR="00057A35" w:rsidRPr="007224C3" w:rsidRDefault="00057A35" w:rsidP="007224C3">
      <w:pPr>
        <w:pStyle w:val="a3"/>
        <w:rPr>
          <w:color w:val="000000" w:themeColor="text1"/>
          <w:lang w:val="ru-RU"/>
        </w:rPr>
      </w:pPr>
      <w:r w:rsidRPr="007224C3">
        <w:rPr>
          <w:color w:val="000000" w:themeColor="text1"/>
          <w:lang w:val="ru-RU"/>
        </w:rPr>
        <w:t>...Академия не может оставаться и никогда не оставалась в стороне от вопросов авиа</w:t>
      </w:r>
      <w:r w:rsidRPr="007224C3">
        <w:rPr>
          <w:color w:val="000000" w:themeColor="text1"/>
          <w:lang w:val="ru-RU"/>
        </w:rPr>
        <w:softHyphen/>
        <w:t>ции. поскольку уже теперь в наших институтах ряд тем уже разрабатывается. Так что Ака</w:t>
      </w:r>
      <w:r w:rsidRPr="007224C3">
        <w:rPr>
          <w:color w:val="000000" w:themeColor="text1"/>
          <w:lang w:val="ru-RU"/>
        </w:rPr>
        <w:softHyphen/>
        <w:t>демия не стоит в стороне, она занимается этим делом так, как это является более свой- ственным ей по структуре и её организации. В этом отношении она делает свою боль</w:t>
      </w:r>
      <w:r w:rsidRPr="007224C3">
        <w:rPr>
          <w:color w:val="000000" w:themeColor="text1"/>
          <w:lang w:val="ru-RU"/>
        </w:rPr>
        <w:softHyphen/>
        <w:t>шую работу, которая и сказывается на практике. Многие наши академики занимаются этими вопросами. Так что мы отнюдь не стоим в стороне, но мы это делаем так, как это является наиболее целесообразным и удобным. Но устраивать какие-то организации, ко</w:t>
      </w:r>
      <w:r w:rsidRPr="007224C3">
        <w:rPr>
          <w:color w:val="000000" w:themeColor="text1"/>
          <w:lang w:val="ru-RU"/>
        </w:rPr>
        <w:softHyphen/>
        <w:t>торые будут исправлять недостатки соответствующих органов наркоматов, нам нельзя, за это браться мы не можем. Мы не можем руководить, направлять и предписывать авиа</w:t>
      </w:r>
      <w:r w:rsidRPr="007224C3">
        <w:rPr>
          <w:color w:val="000000" w:themeColor="text1"/>
          <w:lang w:val="ru-RU"/>
        </w:rPr>
        <w:softHyphen/>
        <w:t>ционной промышленности какие бы то ни было мероприятия, мы можем только совето</w:t>
      </w:r>
      <w:r w:rsidRPr="007224C3">
        <w:rPr>
          <w:color w:val="000000" w:themeColor="text1"/>
          <w:lang w:val="ru-RU"/>
        </w:rPr>
        <w:softHyphen/>
        <w:t>вать. а для этого имеющиеся у нас возможности являются вполне достаточными.</w:t>
      </w:r>
    </w:p>
    <w:p w14:paraId="2FE1C6EE" w14:textId="77777777" w:rsidR="00057A35" w:rsidRPr="007224C3" w:rsidRDefault="00057A35" w:rsidP="007224C3">
      <w:pPr>
        <w:pStyle w:val="a3"/>
        <w:rPr>
          <w:color w:val="000000" w:themeColor="text1"/>
          <w:lang w:val="ru-RU"/>
        </w:rPr>
      </w:pPr>
      <w:r w:rsidRPr="007224C3">
        <w:rPr>
          <w:color w:val="000000" w:themeColor="text1"/>
          <w:lang w:val="ru-RU"/>
        </w:rPr>
        <w:t>Акад. МИКУЛИН. Я очень сожалею, что не сумел достаточно ясно выразить свою мысль в выступлении, ибо думаю, что ни один человек не может сомневаться в мощи нашей авиации — и это доказывается ежедневно. Я тоже</w:t>
      </w:r>
      <w:r w:rsidRPr="007224C3">
        <w:rPr>
          <w:rStyle w:val="3a"/>
          <w:rFonts w:ascii="Times New Roman" w:hAnsi="Times New Roman" w:cs="Times New Roman"/>
          <w:i w:val="0"/>
          <w:color w:val="000000" w:themeColor="text1"/>
          <w:sz w:val="16"/>
          <w:szCs w:val="16"/>
          <w:lang w:val="ru-RU"/>
        </w:rPr>
        <w:t xml:space="preserve"> хотел</w:t>
      </w:r>
      <w:r w:rsidRPr="007224C3">
        <w:rPr>
          <w:color w:val="000000" w:themeColor="text1"/>
          <w:lang w:val="ru-RU"/>
        </w:rPr>
        <w:t xml:space="preserve"> сказать только о глубоких проб лемных вопросах, и пример, который я привёл, не относился к разрешению вопросов се годняшнего дня, — это была проблемная работа, она оказалась некоординированной И действительно трудно представить себе, что Наркомат мог координировать такие просы, как вопросы древесины...</w:t>
      </w:r>
    </w:p>
    <w:p w14:paraId="03995FB9" w14:textId="77777777" w:rsidR="00057A35" w:rsidRPr="007224C3" w:rsidRDefault="00057A35" w:rsidP="007224C3">
      <w:pPr>
        <w:pStyle w:val="a3"/>
        <w:rPr>
          <w:color w:val="000000" w:themeColor="text1"/>
          <w:lang w:val="ru-RU"/>
        </w:rPr>
      </w:pPr>
      <w:r w:rsidRPr="007224C3">
        <w:rPr>
          <w:color w:val="000000" w:themeColor="text1"/>
          <w:lang w:val="ru-RU"/>
        </w:rPr>
        <w:t>Акад. БАЙКОВ. И не должен этого делать. Мы должны указать на то, что в наших си</w:t>
      </w:r>
      <w:r w:rsidRPr="007224C3">
        <w:rPr>
          <w:color w:val="000000" w:themeColor="text1"/>
          <w:lang w:val="ru-RU"/>
        </w:rPr>
        <w:softHyphen/>
        <w:t>лах и возможностях, но брать на себя всё это целиком, мы, конечно, не можем. Т</w:t>
      </w:r>
      <w:r w:rsidRPr="007224C3">
        <w:rPr>
          <w:rStyle w:val="93"/>
          <w:rFonts w:ascii="Times New Roman" w:hAnsi="Times New Roman" w:cs="Times New Roman"/>
          <w:b w:val="0"/>
          <w:color w:val="000000" w:themeColor="text1"/>
          <w:spacing w:val="0"/>
          <w:sz w:val="16"/>
          <w:szCs w:val="16"/>
          <w:lang w:val="ru-RU"/>
        </w:rPr>
        <w:t xml:space="preserve">.т.  </w:t>
      </w:r>
      <w:r w:rsidRPr="007224C3">
        <w:rPr>
          <w:color w:val="000000" w:themeColor="text1"/>
          <w:lang w:val="ru-RU"/>
        </w:rPr>
        <w:t>Келдыш и [А.А.] Ильюшин высказались в этом смысле» (15789).</w:t>
      </w:r>
    </w:p>
    <w:p w14:paraId="2DF9E5B8" w14:textId="77777777" w:rsidR="00057A35" w:rsidRPr="007224C3" w:rsidRDefault="00057A35" w:rsidP="007224C3">
      <w:pPr>
        <w:pStyle w:val="a3"/>
        <w:rPr>
          <w:color w:val="000000" w:themeColor="text1"/>
          <w:lang w:val="ru-RU"/>
        </w:rPr>
      </w:pPr>
    </w:p>
    <w:p w14:paraId="66EE8F72"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6901ECD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A83B7D1" w14:textId="77777777" w:rsidR="00D549FB" w:rsidRPr="007224C3" w:rsidRDefault="00D549FB"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shd w:val="clear" w:color="auto" w:fill="FFFFFF"/>
        </w:rPr>
        <w:t>18 января 1944 года в ГБТУ КА пришло предложение от конструкторов ЦАКБ А.С. Часовникова и С.Д. Казарина. В нем они предложили целую программу перевооружения зарубежных танков на орудия калибра 85 мм (а в перспективе и 100 мм). В случае с Valentine предлагалось два варианта решения вопроса. Первый - это замена башни на Т-34 с 85-мм пушкой. Как раз в конце 1943 года испытывалась такая башня с 85-мм орудием С-53. Второй вариант - попытка разместить орудие в штатной башне. 15 февраля 1944 года состоялось совещание, на котором идею зарубили, а предложение успешно отправили в отдел изобретений (22723).</w:t>
      </w:r>
    </w:p>
    <w:p w14:paraId="4A2F9169" w14:textId="77777777" w:rsidR="00D549FB" w:rsidRPr="007224C3" w:rsidRDefault="00D549FB" w:rsidP="007224C3">
      <w:pPr>
        <w:spacing w:after="0" w:line="240" w:lineRule="auto"/>
        <w:jc w:val="both"/>
        <w:rPr>
          <w:rFonts w:ascii="Times New Roman" w:hAnsi="Times New Roman"/>
          <w:color w:val="0070C0"/>
          <w:sz w:val="16"/>
          <w:szCs w:val="16"/>
        </w:rPr>
      </w:pPr>
    </w:p>
    <w:p w14:paraId="09E6F70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18 января 1944 вышло Распоряжение ГКО № 4973. О мерах по обеспечению окончания строительства завода № 28 Главкислорода. РГАНИР, Фонд ГКО, д. 194, лл. 111-112 (11012).</w:t>
      </w:r>
    </w:p>
    <w:p w14:paraId="7CA0817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34949B7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января 1944 вышло Распоряжение ГКО № 4974. О неотложных мерах по вывозке и отгрузке уксусно-кальциевого порошка Дмитриевскому лесохимическому заводу Наркомлеса СССР. РГАНИР, Фонд ГКО, д. 194, лл. 113 (11012).</w:t>
      </w:r>
    </w:p>
    <w:p w14:paraId="441CCBD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1FC5E0D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января 1944 вышло Постановление ГКО № 4975 О подготовке к весенней путине и увеличении добычи рыбы в 1944 году по Наркомрыбпрому СССР. РГАНИР, Фонд ГКО, д. 194, лл. 114-136,137-156 (11012).</w:t>
      </w:r>
    </w:p>
    <w:p w14:paraId="0550304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70585A1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января 1944 вышло Распоряжение ГКО № 4977. Об обеспечении электроэнергией предприятий Наркомчермета. РГАНИР, Фонд ГКО, д. 194, лл. 159-160 (11012).</w:t>
      </w:r>
    </w:p>
    <w:p w14:paraId="0885502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7D61486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января 1944 вышло Постановление ГКО № 4978 О неотложных мерах помощи лесоматериалами Наркомчермету. РГАНИР, Фонд ГКО, д. 194, лл. 161-163,164-169 (11012).</w:t>
      </w:r>
    </w:p>
    <w:p w14:paraId="1824706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48F86A4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января 1944 вышло Распоряжение ГКО № 4979. О поставке и подвозе стройматериалов и горючего строительству завода № 500 НКАП. РГАНИР, Фонд ГКО, д. 194, лл. 170-171 (11012).</w:t>
      </w:r>
    </w:p>
    <w:p w14:paraId="7D12A16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4EC6C44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января 1944 вышло Постановление ГКО № 4980 О неотложных мерах помощи черной металлургии. РГАНИР, Фонд ГКО, д. 194, лл. 172-185,186-193 (11012).</w:t>
      </w:r>
    </w:p>
    <w:p w14:paraId="3A65E71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725F0F6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января 1944 вышло Постановление ГКО № 4981 О мероприятиях по обеспечению бесперебойной работы цветной металлургии в I квартале 1944 г. РГАНИР, Фонд ГКО, д. 194, лл. 194-206,207-248 (11012).</w:t>
      </w:r>
    </w:p>
    <w:p w14:paraId="43DEEF8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5A97294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января 1944 вышло Постановление ГКО № 4982 О восстановлении Воронежского завода кузнечно-прессового оборудования им. Калинина Наркомата станкостроения. РГАНИР, Фонд ГКО, д. 195, лл. 1-5,6-15 (11012).</w:t>
      </w:r>
    </w:p>
    <w:p w14:paraId="7416E3C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2D2D2D79"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января 1944 вышло Постановление ГКО № 4983 Об обеспечении медицинской промышленности, эвакогоспиталей и лечебной сети Наркомздрава СССР химическим сырьем, материалами и изделиями в I квартале 1944 г. (7176, 16-18,19-33).</w:t>
      </w:r>
    </w:p>
    <w:p w14:paraId="39364F41"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38B315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января 1944 вышло Распоряжение ГКО № 4984. О мерах по обеспечению производства аэростатов заграждения в I квартале 1944 г. РГАНИР, Фонд ГКО, д. 195, лл. 34-39 (11012).</w:t>
      </w:r>
    </w:p>
    <w:p w14:paraId="3DF1212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669114A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января 1944 вышло Постановление ГКО № 4985 О восстановлении завода "Металлист" Наркомата станкостроения в г. Таганроге. РГАНИР, Фонд ГКО, д. 195, лл. 40-42,43-47 (11012).</w:t>
      </w:r>
    </w:p>
    <w:p w14:paraId="66D23BC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2A4D58A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января 1944 вышло Постановление ГКО № 4986 О восстановлении Донецкой бумагоделательной фабрики Наркомбумпрома в г. Змиеве Харьковской области. РГАНИР, Фонд ГКО, д. 195, лл. 48-49,50 (11012).</w:t>
      </w:r>
    </w:p>
    <w:p w14:paraId="744FD4F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35A8F13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января 1944 вышло Распоряжение ГКО № 4987. О плане производства и распределения крупных электрических машин на I и II кв. 1944 г. РГАНИР, Фонд ГКО, д. 195, лл. 51,52-56 (11012).</w:t>
      </w:r>
    </w:p>
    <w:p w14:paraId="2D3A0EA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27516122"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780812D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8C8AD5B" w14:textId="77777777" w:rsidR="00EC515D" w:rsidRPr="007224C3" w:rsidRDefault="00EC515D"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18 января</w:t>
      </w:r>
      <w:r w:rsidRPr="007224C3">
        <w:rPr>
          <w:rFonts w:ascii="Times New Roman" w:hAnsi="Times New Roman"/>
          <w:color w:val="000000" w:themeColor="text1"/>
          <w:sz w:val="16"/>
          <w:szCs w:val="16"/>
        </w:rPr>
        <w:t xml:space="preserve"> в 1944 году оперативная сводка Совинформбюро:</w:t>
      </w:r>
    </w:p>
    <w:p w14:paraId="75AF6CAC" w14:textId="77777777" w:rsidR="00EC515D" w:rsidRPr="007224C3" w:rsidRDefault="00EC515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Ленинградском фронте, в районе южнее Ораниенбаума, несколько дней назад наши войска перешли в наступление, прорвали сильно укреплённую долговременную оборону немцев и успешно развивают дальнейшее наступление.</w:t>
      </w:r>
    </w:p>
    <w:p w14:paraId="65E902E9" w14:textId="77777777" w:rsidR="00EC515D" w:rsidRPr="007224C3" w:rsidRDefault="00EC515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Волховском фронте, севернее Новгорода, несколько дней назад наши войска перешли в наступление, прорвали сильно укреплённую оборону немцев и успешно развивают наступление.</w:t>
      </w:r>
    </w:p>
    <w:p w14:paraId="37218B5F" w14:textId="77777777" w:rsidR="00EC515D" w:rsidRPr="007224C3" w:rsidRDefault="00EC515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18 января севернее Новосокольники наши войска с боями продвигались вперёд и заняли более 40 населённых пунктов, в том числе Тулубьево, Устье, Гаярево, Фефёлово, Глазыри, Кошели, Гвоздова, Бояки, Петрушино, Теренино, Шугурово, Демяхи, Рыженино и железнодорожную станцию Шубино.</w:t>
      </w:r>
    </w:p>
    <w:p w14:paraId="1CEC967A" w14:textId="77777777" w:rsidR="00EC515D" w:rsidRPr="007224C3" w:rsidRDefault="00EC515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Новоград-Волынский наши войска овладели районным центром Каменец-Подольской области городом и крупной железнодорожной станцией Славута, а также заняли несколько других населённых пунктов.</w:t>
      </w:r>
    </w:p>
    <w:p w14:paraId="3B558D6E" w14:textId="77777777" w:rsidR="00EC515D" w:rsidRPr="007224C3" w:rsidRDefault="00EC515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 разведка, артиллерийско-миномётная перестрелка и в ряде пунктов бои местного значения.</w:t>
      </w:r>
    </w:p>
    <w:p w14:paraId="5C1F76E5" w14:textId="77777777" w:rsidR="00EC515D" w:rsidRPr="007224C3" w:rsidRDefault="00EC515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17 января наши войска на всех фронтах подбили и уничтожили 147 немецких танков. В воздушных боях и огнём зенитной артиллерии сбито 33 самолёта противника.</w:t>
      </w:r>
    </w:p>
    <w:p w14:paraId="3E212966" w14:textId="77777777" w:rsidR="00EC515D" w:rsidRPr="007224C3" w:rsidRDefault="00EC515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Севернее Новосокольники наши войска продолжали наступление. Части Н-ского соединения, продвигаясь вдоль железной дороги, овладели станцией Шубино, а также заняли более 40 населённых пунктов. В этом районе советские части встретили мощную полосу укреплений противника. Взламывая эту оборону немцев, наши бойцы овладели рядом сильно укреплённых опорных пунктов. На одном участке немцы предприняли одну за другой семь ожесточённых контратак, но были отброшены сбольшими для них потерями. Уничтожено до 800 вражеских солдат и офицеров, 5 немецких танков и 18 орудий. Захвачены две артиллерийские батареи, 17 миномётов, 60 пулемётов, три склада боеприпасов и другие трофеи. Взяты пленные.</w:t>
      </w:r>
    </w:p>
    <w:p w14:paraId="193E11B6" w14:textId="77777777" w:rsidR="00EC515D" w:rsidRPr="007224C3" w:rsidRDefault="00EC515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города Новоград-Волынский наши войска стремительно продвинулисьвперёд и штурмом овладели районным центром Каменец-Подольской области — городом и крупной железнодорожной станцией Славута. Захвачено много оружия, подвижной железнодорожный состав и склады с военным имуществом. Занято также несколько других населённых пунктов. В бою за один из этих пунктов наши подразделения вместе с партизанами уничтожили две роты гитлеровцев и захватили 10 орудий, 24 пулемёта и до 100 автоматов.</w:t>
      </w:r>
    </w:p>
    <w:p w14:paraId="7D3A3CEB" w14:textId="77777777" w:rsidR="00EC515D" w:rsidRPr="007224C3" w:rsidRDefault="00EC515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и юго-западнее города Любар несколько дней тому назад пехота и танки противника ударами с двух сторон пытались окружить выдвинувшиеся вперёд советские части. Одной группе немцев удалось вклиниться в нашу оборону и захватить два населённых пункта. Затем наши войска нанесли противнику контрудар и полностью восстановили положение. На поле боя осталось до 2 тысяч вражеских трупов. Уничтожено несколько десятков немецких танков и 22 бронетранспортёра. Захвачены у немцев 15 исправных танков, 5 бронемашин, 24 орудия и другие трофеи. Взято значительное число пленных.</w:t>
      </w:r>
    </w:p>
    <w:p w14:paraId="3E40005A" w14:textId="77777777" w:rsidR="00EC515D" w:rsidRPr="007224C3" w:rsidRDefault="00EC515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Баренцовом море потоплен танкер противника водоизмещением в 6.000 тонн.</w:t>
      </w:r>
    </w:p>
    <w:p w14:paraId="385A55A3" w14:textId="77777777" w:rsidR="00EC515D" w:rsidRPr="007224C3" w:rsidRDefault="00EC515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Чёрном море наши лётчики уничтожили два торпедных катера противника.</w:t>
      </w:r>
    </w:p>
    <w:p w14:paraId="7C9418FD" w14:textId="77777777" w:rsidR="00EC515D" w:rsidRPr="007224C3" w:rsidRDefault="00EC515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января немецкое командование направило против ровенских партизан большой карательный отряд. Гитлеровцы имели задачу — разгромить партизан и захватить находящийся под их контролем мост через реку. Одна группа партизан приняла бой и задержала немцев. В это время основные силы отряда зашли противнику во фланг и нанесли ему внезапный удар. Гитлеровцы поспешно отступили,оставив на поле боя 180 трупов своих солдат и офицеров. Взято в плен 14 немцев.</w:t>
      </w:r>
    </w:p>
    <w:p w14:paraId="588FACC0" w14:textId="77777777" w:rsidR="00EC515D" w:rsidRPr="007224C3" w:rsidRDefault="00EC515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одном участке 2-го Прибалтийского фронта захвачен в плен сын директора почтамта в Берлине командир 3 батальона 68 полка 23 немецкой пехотной дивизии Ганс Иоахим Шведе. Военнопленный рассказал: "Я прослужил в 68 полку свыше пятилет. Участвовал в польском и французском походах. За всю польскую кампанию вполку выбыло из строя лишь несколько человек. Во Франции стрелковые роты потеряли в среднем по 5-6 солдат убитыми и по 10-15 человек ранеными. В России наши потери ни с чем не сравнимы. Только за две недели боёв в районе Невеля дивизия потеряла убитыми более 3 тысяч человек и вынуждена была отступить.</w:t>
      </w:r>
    </w:p>
    <w:p w14:paraId="1AE331EC" w14:textId="77777777" w:rsidR="00EC515D" w:rsidRPr="007224C3" w:rsidRDefault="00EC515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Уже третий год немецкие войска в России терпят одно поражение за другим. Немецкая армия истекает кровью. Однако дело не исчерпывается огромными потерямив людях и технике. Произошли роковые для Германии изменения. Теперь немецкий солдат уже утратил сознание своего превосходства над другими солдатами. Оно сменилось чувством неуверенности и страха, сознанием превосходства русского солдата над немецким. Это самый страшный удар, нанесённый немецкой армии за последнее время» (15013).</w:t>
      </w:r>
    </w:p>
    <w:p w14:paraId="18FEDAFE" w14:textId="77777777" w:rsidR="00EC515D" w:rsidRPr="007224C3" w:rsidRDefault="00EC515D" w:rsidP="007224C3">
      <w:pPr>
        <w:spacing w:after="0" w:line="240" w:lineRule="auto"/>
        <w:jc w:val="both"/>
        <w:rPr>
          <w:rFonts w:ascii="Times New Roman" w:hAnsi="Times New Roman"/>
          <w:color w:val="000000" w:themeColor="text1"/>
          <w:sz w:val="16"/>
          <w:szCs w:val="16"/>
        </w:rPr>
      </w:pPr>
    </w:p>
    <w:p w14:paraId="0423F4D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January 18, 1944: German forces of Heeresgruppe Mitte repel repeated Soviet attacks in the area of Vitebsk (3819).</w:t>
      </w:r>
    </w:p>
    <w:p w14:paraId="727519F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17249F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января 1944 немецкие войска Группы Центр отбивали советские атаки под Витебском (3819).</w:t>
      </w:r>
    </w:p>
    <w:p w14:paraId="688B45F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08F7E4"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Жизнь и внутренняя политика:</w:t>
      </w:r>
    </w:p>
    <w:p w14:paraId="6D1ABEC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615565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января 1944 г. был сдан в эксплуатацию 7-микилометровый участок со станциями: Бауманская, Электрозаводская, Сталинская (Семеновская) и Измайловский парк. Последняя отличалась от других своими размерами. Она имела две платформы и три пути, что давало возможность одновременной подачи двух составов под посадку для перевозки большого числа пассажиров - посетителей парка и строившегося стадиона (и это в разгар войны!). В оформлении интерьеров всех станций нашла отражение военная тематика (11614).</w:t>
      </w:r>
    </w:p>
    <w:p w14:paraId="6B9E529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D38F40" w14:textId="77777777" w:rsidR="00EC515D" w:rsidRPr="007224C3" w:rsidRDefault="00EC515D"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18 января</w:t>
      </w:r>
      <w:r w:rsidRPr="007224C3">
        <w:rPr>
          <w:rFonts w:ascii="Times New Roman" w:hAnsi="Times New Roman"/>
          <w:color w:val="000000" w:themeColor="text1"/>
          <w:sz w:val="16"/>
          <w:szCs w:val="16"/>
        </w:rPr>
        <w:t xml:space="preserve"> в 1944 году вступил в эксплуатацию участок Арбатско-Покровской линии от станции «Курская» до станции «Измайловская» («Стадион народов», «Партизанская») протяженностью 7,1 км. Завершено сооружение третьей очереди столичного метрополитена (15013).</w:t>
      </w:r>
    </w:p>
    <w:p w14:paraId="562B51CE" w14:textId="77777777" w:rsidR="00EC515D" w:rsidRPr="007224C3" w:rsidRDefault="00EC515D" w:rsidP="007224C3">
      <w:pPr>
        <w:spacing w:after="0" w:line="240" w:lineRule="auto"/>
        <w:jc w:val="both"/>
        <w:rPr>
          <w:rFonts w:ascii="Times New Roman" w:hAnsi="Times New Roman"/>
          <w:color w:val="000000" w:themeColor="text1"/>
          <w:sz w:val="16"/>
          <w:szCs w:val="16"/>
        </w:rPr>
      </w:pPr>
    </w:p>
    <w:p w14:paraId="56EE3795" w14:textId="77777777" w:rsidR="00292637" w:rsidRPr="007224C3" w:rsidRDefault="0029263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января 1944. Открыт для пассажиров участок метро "Курская" - "Измайловский парк имени Сталина" (18692).</w:t>
      </w:r>
    </w:p>
    <w:p w14:paraId="0BD7309D" w14:textId="77777777" w:rsidR="00292637" w:rsidRPr="007224C3" w:rsidRDefault="00292637" w:rsidP="007224C3">
      <w:pPr>
        <w:spacing w:after="0" w:line="240" w:lineRule="auto"/>
        <w:jc w:val="both"/>
        <w:rPr>
          <w:rFonts w:ascii="Times New Roman" w:hAnsi="Times New Roman"/>
          <w:color w:val="000000" w:themeColor="text1"/>
          <w:sz w:val="16"/>
          <w:szCs w:val="16"/>
        </w:rPr>
      </w:pPr>
    </w:p>
    <w:p w14:paraId="5970B693" w14:textId="77777777" w:rsidR="00EC515D" w:rsidRPr="007224C3" w:rsidRDefault="00EC515D"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18 января</w:t>
      </w:r>
      <w:r w:rsidRPr="007224C3">
        <w:rPr>
          <w:rFonts w:ascii="Times New Roman" w:hAnsi="Times New Roman"/>
          <w:color w:val="000000" w:themeColor="text1"/>
          <w:sz w:val="16"/>
          <w:szCs w:val="16"/>
        </w:rPr>
        <w:t xml:space="preserve"> в 1944 году станция "Бауманская" открыта в составе третьей очереди строительства Московского метрополитена. Проектное название: Разгуляй, Спартаковская Проект переименования: Елохово (1992) Конструкция станции - пилонная трехсводчатая глубокого заложения. Построена по типовому проекту. Архитекторы: Б.М.Иофан, соавторы Ю.П.Зенкевич, Д.М.Циперович, М.В.Андрианов, В.В.Поляцкий Архитекторы вестибюля: Б.М.Иофан, Ю.П.Зенкевич, В.В.Пелевин Инженеры-конструкторы: Б.М.Прикот, Б.В.Грейц Названа в честь видного революционного деятеля Николая Эрнестовича Баумана (1873-1905). Оформление станции посвящено теме единства фронта и тыла в годы Великой Отечественной войны. Пилоны станционного зала облицованы розовым мрамором "газган". На каждом пилоне имеются по два выступа из полированного красного порфира. В нишах на пьедесталах установлены скульптуры защитников Родины и тружеников тыла во времена Великой Отечественной войны: здесь боец Советской армии и бесстрашная партизанка, неутомимая работница и колхозник (скульптор В.А.Андреев). Торцовую стену центрального зала украшает мозаичный портрет В.И.Ленина на фоне развевающихся знамён. Путевые стены покрыты серым и чёрным мрамором. Светильники располагаются в нишах в своде и за карнизом над пилонами. Вентиляционные отверстия скрыты фигурными бронзовыми и мраморными решетками. Пол зала выложен серым, чёрным и красным гранитом. Наземный вестибюль выполнен в виде высокого павильона и облицован изнутри светлым мрамором "газган". В 60-х годах фасад вестибюля был переоблицован керамической плиткой. Арка эскалаторного тоннеля украшена мозаичным панно "Слава Советской Армии" (автор И.М.Рабинович, 1947). В вестибюле у выхода установлен бюст Н.Э.Баумана работы А.П.Шлыкова. Выход в город на Бауманскую улицу (15013).</w:t>
      </w:r>
    </w:p>
    <w:p w14:paraId="54190070" w14:textId="77777777" w:rsidR="00EC515D" w:rsidRPr="007224C3" w:rsidRDefault="00EC515D" w:rsidP="007224C3">
      <w:pPr>
        <w:spacing w:after="0" w:line="240" w:lineRule="auto"/>
        <w:jc w:val="both"/>
        <w:rPr>
          <w:rFonts w:ascii="Times New Roman" w:hAnsi="Times New Roman"/>
          <w:color w:val="000000" w:themeColor="text1"/>
          <w:sz w:val="16"/>
          <w:szCs w:val="16"/>
        </w:rPr>
      </w:pPr>
    </w:p>
    <w:p w14:paraId="5E32BD20" w14:textId="77777777" w:rsidR="00EC515D" w:rsidRPr="007224C3" w:rsidRDefault="00EC515D"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18 января</w:t>
      </w:r>
      <w:r w:rsidRPr="007224C3">
        <w:rPr>
          <w:rFonts w:ascii="Times New Roman" w:hAnsi="Times New Roman"/>
          <w:color w:val="000000" w:themeColor="text1"/>
          <w:sz w:val="16"/>
          <w:szCs w:val="16"/>
        </w:rPr>
        <w:t xml:space="preserve"> в 1944 году станция "Семеновская" Открыта в составе третьей очереди строительства Московского метрополитена. Прежнее название: Сталинская (до 30 ноября 1961) Проект переименования: Семеновское (1992) Капитальный ремонт эскалаторов и вестибюля (с закрытием станции для пассажиров): 15 мая 2005 – 28 апреля 2006. Конструкция станции - пилонная трехпролетная глубокого заложения. Единственная станция, которая может быть названа колонно-пилонной. Сооружена по типоразмерам пилонной конструкции из сборной чугунной обделки, но геологическая ситуация позволила заменить массивные пилоны двойной колоннадой - вместо каждого пилона по его углам установлены четыре стальные колонны, на которые, посредством монолитной бетонной плиты, опираются разомкнутые обделки боковых и центральных тоннелей. Архитектор: С.М.Кравец Инженер-конструктор: В.И.Дмитриев Названа по расположенной рядом Семёновской площади. Художественное оформление станции посвящено теме Советской Армии и оружия (Скульпторы: Народный художник СССР Вера Игнатьевна Мухина и Надежда Константиновна Вентцель. Художник: Владимир Петрович Ахметьев). Станционный зал станции "Семёновская" отличается от всех других станций тем, что колонны в нём установлены в четыре ряда, сам зал значительно шире, чем на других станциях. Колонны облицованы светлым мрамором и украшены вставками мрамора различных цветов. Пол выложен чёрным и красным гранитом. Путевые стены облицованы белым и серым мрамором и украшены щитами с изображением оружия и портретами воинов Советской Армии (скульптор Саул Львович Рабинович). Торцевую стену украшает горельеф с изображением ордена Победы на фоне оружия и знамён. Свод зала украшают изображения различных видов оружия. По осевой линии зала расположены светильники на торшерах из зелёного мрамора. Наземный вестибюль выполнен с фасадом в форме арки. Фасад облицован шлифованным туфом, а цокольная часть вестибюля покрыта красным гранитом. Кассовый зал отделан белым и красным мрамором. Выход в город на Семеновскую площадь (15013).</w:t>
      </w:r>
    </w:p>
    <w:p w14:paraId="5B8E58CE" w14:textId="77777777" w:rsidR="00EC515D" w:rsidRPr="007224C3" w:rsidRDefault="00EC515D" w:rsidP="007224C3">
      <w:pPr>
        <w:spacing w:after="0" w:line="240" w:lineRule="auto"/>
        <w:jc w:val="both"/>
        <w:rPr>
          <w:rFonts w:ascii="Times New Roman" w:hAnsi="Times New Roman"/>
          <w:color w:val="000000" w:themeColor="text1"/>
          <w:sz w:val="16"/>
          <w:szCs w:val="16"/>
        </w:rPr>
      </w:pPr>
    </w:p>
    <w:p w14:paraId="7EF1AB0D" w14:textId="77777777" w:rsidR="00EC515D" w:rsidRPr="007224C3" w:rsidRDefault="00EC515D"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18 января</w:t>
      </w:r>
      <w:r w:rsidRPr="007224C3">
        <w:rPr>
          <w:rFonts w:ascii="Times New Roman" w:hAnsi="Times New Roman"/>
          <w:color w:val="000000" w:themeColor="text1"/>
          <w:sz w:val="16"/>
          <w:szCs w:val="16"/>
        </w:rPr>
        <w:t xml:space="preserve"> в 1944 году станция "Партизанская" открыта в составе третьей очереди строительства Московского метрополитена. Проектные названия: Стадион имени Сталина, Стадион народов, Стадион СССР Прежние названия: Измайловская (до 20 августа 1963), Измайловский парк (до 3 мая 2005) Проект переименования: Измайлово (1991, 1992) Конструкция станции - колонная трехпролетная мелкого заложения. Сооружена по специальному проекту из стальных конструкций и монолитного железобетона. Имеет две островные посадочные платформы и три пути. Архитекторы: Б.С.Виленский при участии Л.Д.Фишбейна Архитекторы вестибюлей: Б.С.Виленский, при участии Л.Григорьева, Л.А.Шагуриной Инженер-конструктор: Н.А.Кабанов Станционный зал отличает наличие трёх путей и двух платформ. Еще до войны недалеко от станции предполагалось сооружение огромного "Стадиона народов" и, чтобы исключить давку на платформах после окончания массовых спортивных мероприятий, на станции построено три пути. Но, по ряду причин, строительство стадиона было заморожено. Сегодня используется только два станционных пути. Оформление станции посвящено теме партизанского движения в годы Великой Отечественной войны. Легкие квадратные колонны станционного зала облицованы белым мрамором. Путевые стены отделаны вверху белым мрамором, внизу - коричневой керамической плиткой, и украшены барельефами работы скульптора С.Л.Рабиновича. На платформах у ближайших к выходу колонн установлены скульптуры героев-партизан Зои Космодемьянской и 80-летнего крестьянина-колхозника Матвея Кузьмина, повторившего в 1941 году подвиг Ивана Сусанина и заведшего немецкий отряд в гибельные болота (скульптор М.Г.Манизер). Над средним путём имеются ниши в потолке станции. После открытия станции в них находились светильники и фрески (художник А.Д.Гончаров). Ни фреска, ни светильники до наших дней не сохранились. К выходу ведут широкие гранитные лестницы. На промежуточной площадке установлена скульптурная группа "Народные мстители" (скульптор М.Г.Манизер). Стены наземного павильона облицованы белым и красным мрамором. Выход в город на Измайловское шоссе, Народный проспект и к северному входу Измайловского парка (15013).</w:t>
      </w:r>
    </w:p>
    <w:p w14:paraId="183C1839" w14:textId="77777777" w:rsidR="00EC515D" w:rsidRPr="007224C3" w:rsidRDefault="00EC515D" w:rsidP="007224C3">
      <w:pPr>
        <w:spacing w:after="0" w:line="240" w:lineRule="auto"/>
        <w:jc w:val="both"/>
        <w:rPr>
          <w:rFonts w:ascii="Times New Roman" w:hAnsi="Times New Roman"/>
          <w:color w:val="000000" w:themeColor="text1"/>
          <w:sz w:val="16"/>
          <w:szCs w:val="16"/>
        </w:rPr>
      </w:pPr>
    </w:p>
    <w:p w14:paraId="5479F7FB"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января 1944 в Москве открыта станция метро “Стадион народов” (ныне “Измайловский парк”) (4962).</w:t>
      </w:r>
    </w:p>
    <w:p w14:paraId="662B37A4"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302782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января 1944 вышло распоряжение НКВД N 18с О дополнительном питании заключенных и 28 февраля НКВД требовало на местах обеспечить доппитание (3428).</w:t>
      </w:r>
    </w:p>
    <w:p w14:paraId="30C8476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6764EE"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2F97A84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81F468A"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января 1944 английский генерал Б. Монтгомери обвинил американских военных в слабых действиях в Европе (4962).</w:t>
      </w:r>
    </w:p>
    <w:p w14:paraId="12E2166B"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682CB22"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января 1944 в Англии начата тренировка мальчиков, вызвавшихся добровольцами на работы в шахтах во время войны (4962).</w:t>
      </w:r>
    </w:p>
    <w:p w14:paraId="62B79D08"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9103943" w14:textId="77777777" w:rsidR="00EC515D" w:rsidRPr="007224C3" w:rsidRDefault="00EC515D"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18 января</w:t>
      </w:r>
      <w:r w:rsidRPr="007224C3">
        <w:rPr>
          <w:rFonts w:ascii="Times New Roman" w:hAnsi="Times New Roman"/>
          <w:color w:val="000000" w:themeColor="text1"/>
          <w:sz w:val="16"/>
          <w:szCs w:val="16"/>
        </w:rPr>
        <w:t xml:space="preserve"> в 1944 году эдикт императора Японии «Об особых правах и полномочиях правительства в военное время», который наделял кабинет министров и премьера диктаторскими полномочиями (15013).</w:t>
      </w:r>
    </w:p>
    <w:p w14:paraId="3E7194C2" w14:textId="77777777" w:rsidR="00EC515D" w:rsidRPr="007224C3" w:rsidRDefault="00EC515D" w:rsidP="007224C3">
      <w:pPr>
        <w:spacing w:after="0" w:line="240" w:lineRule="auto"/>
        <w:jc w:val="both"/>
        <w:rPr>
          <w:rFonts w:ascii="Times New Roman" w:hAnsi="Times New Roman"/>
          <w:color w:val="000000" w:themeColor="text1"/>
          <w:sz w:val="16"/>
          <w:szCs w:val="16"/>
        </w:rPr>
      </w:pPr>
    </w:p>
    <w:p w14:paraId="2664B304" w14:textId="77777777" w:rsidR="00EC515D" w:rsidRPr="007224C3" w:rsidRDefault="00EC515D"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18 января</w:t>
      </w:r>
      <w:r w:rsidRPr="007224C3">
        <w:rPr>
          <w:rFonts w:ascii="Times New Roman" w:hAnsi="Times New Roman"/>
          <w:color w:val="000000" w:themeColor="text1"/>
          <w:sz w:val="16"/>
          <w:szCs w:val="16"/>
        </w:rPr>
        <w:t xml:space="preserve"> в 1944 году опубликование в Японии «Программы финансирования военно-промышленных компаний» и «Программы чрезвычайных мероприятий по трудовой мобилизации населения» (15013).</w:t>
      </w:r>
    </w:p>
    <w:p w14:paraId="00346072" w14:textId="77777777" w:rsidR="00EC515D" w:rsidRPr="007224C3" w:rsidRDefault="00EC515D" w:rsidP="007224C3">
      <w:pPr>
        <w:spacing w:after="0" w:line="240" w:lineRule="auto"/>
        <w:jc w:val="both"/>
        <w:rPr>
          <w:rFonts w:ascii="Times New Roman" w:hAnsi="Times New Roman"/>
          <w:color w:val="000000" w:themeColor="text1"/>
          <w:sz w:val="16"/>
          <w:szCs w:val="16"/>
        </w:rPr>
      </w:pPr>
    </w:p>
    <w:p w14:paraId="7464AD88"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55623C7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4B72F7F" w14:textId="77777777" w:rsidR="00292637" w:rsidRPr="007224C3" w:rsidRDefault="00292637" w:rsidP="007224C3">
      <w:pPr>
        <w:pStyle w:val="ae"/>
        <w:shd w:val="clear" w:color="auto" w:fill="FFFFFF"/>
        <w:spacing w:before="0" w:after="0"/>
        <w:jc w:val="both"/>
        <w:rPr>
          <w:color w:val="000000" w:themeColor="text1"/>
          <w:sz w:val="16"/>
          <w:szCs w:val="16"/>
        </w:rPr>
      </w:pPr>
      <w:r w:rsidRPr="007224C3">
        <w:rPr>
          <w:color w:val="000000" w:themeColor="text1"/>
          <w:sz w:val="16"/>
          <w:szCs w:val="16"/>
        </w:rPr>
        <w:t xml:space="preserve">19 января 1944 вышел приказ НКАП </w:t>
      </w:r>
    </w:p>
    <w:p w14:paraId="72A5FBCB" w14:textId="77777777" w:rsidR="00292637" w:rsidRPr="007224C3" w:rsidRDefault="00292637" w:rsidP="007224C3">
      <w:pPr>
        <w:pStyle w:val="ae"/>
        <w:shd w:val="clear" w:color="auto" w:fill="FFFFFF"/>
        <w:spacing w:before="0" w:after="0"/>
        <w:jc w:val="both"/>
        <w:rPr>
          <w:color w:val="000000" w:themeColor="text1"/>
          <w:sz w:val="16"/>
          <w:szCs w:val="16"/>
        </w:rPr>
      </w:pPr>
      <w:r w:rsidRPr="007224C3">
        <w:rPr>
          <w:color w:val="000000" w:themeColor="text1"/>
          <w:sz w:val="16"/>
          <w:szCs w:val="16"/>
        </w:rPr>
        <w:t>О переходе на выпуск Ил-2 с 15.04.44 со стрельчатой конструкцией крыла (19706).</w:t>
      </w:r>
    </w:p>
    <w:p w14:paraId="64B980B9" w14:textId="77777777" w:rsidR="00292637" w:rsidRPr="007224C3" w:rsidRDefault="00292637" w:rsidP="007224C3">
      <w:pPr>
        <w:spacing w:after="0" w:line="240" w:lineRule="auto"/>
        <w:jc w:val="both"/>
        <w:textAlignment w:val="top"/>
        <w:rPr>
          <w:rFonts w:ascii="Times New Roman" w:eastAsia="Times New Roman" w:hAnsi="Times New Roman"/>
          <w:color w:val="000000" w:themeColor="text1"/>
          <w:sz w:val="16"/>
          <w:szCs w:val="16"/>
          <w:lang w:eastAsia="ru-RU"/>
        </w:rPr>
      </w:pPr>
    </w:p>
    <w:p w14:paraId="3B8C1B4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января 1944 вышел приказ НКАП N 42сс "О выпуске самолетов Ил-2 с металлическими крыльями стрельчатой конструкции" (492):</w:t>
      </w:r>
    </w:p>
    <w:p w14:paraId="08FFB6C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исполнение постановления ГКО N 4976сс от 18 января 1944 г полный переход на производство Ил-2 с металлическими крыльями стрельчатой констр осуществить с 15 апреля с.г." А.И.Шахурин (492).</w:t>
      </w:r>
    </w:p>
    <w:p w14:paraId="5514DD4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"ГКО своим постановлением от 18 января 1944 N 4976сс отметил, что гос. испытания Ил-2 со стрельчатой конструкцией консолей крыла подтвердили улучшение центровки Ил-2 в двухместном варианте и исправлено тем самым перемещение центровки Ил-2 назад, получившеечя при переходе на 2-х местный вариант.</w:t>
      </w:r>
    </w:p>
    <w:p w14:paraId="1C79712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исполнение этого постановления - Приказываю:</w:t>
      </w:r>
    </w:p>
    <w:p w14:paraId="79F63A1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1. Нач. 10 ГУ Кузнецову и дир. заводов 18 Беленскому, 30 Смирнову и 1 Третьякову:</w:t>
      </w:r>
    </w:p>
    <w:p w14:paraId="761F26D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перейти на заводе 18 на производство Ил-2 с крыльями стрельчатиой конструкции.</w:t>
      </w:r>
    </w:p>
    <w:p w14:paraId="2421356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Полный переход на производство Ил-2 с крыльями стрельчатой конструкции осуществить с 15 апреля без снижения лостигнутого уровня выпуска самолетов.</w:t>
      </w:r>
    </w:p>
    <w:p w14:paraId="290ABF0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перейти на заводах 1 и 30 на производство Ил-2 с крыльями стрельчатиой конструкции.</w:t>
      </w:r>
    </w:p>
    <w:p w14:paraId="1C4E7C9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Полный переход на производство Ил-2 с крыльями стрельчатой конструкции осуществить до 15 мая без снижения лостигнутого уровня выпуска самолетов.</w:t>
      </w:r>
    </w:p>
    <w:p w14:paraId="0A0F07B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к 1 февраля с.г. представить мне график перехода на этих заводах на производство Ил-2 с металлическими крыльями стрельчатой конструкции в соответствии с указанным постановлением ГОКО.</w:t>
      </w:r>
    </w:p>
    <w:p w14:paraId="7DA80DA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Начальнику 10-го Главного Управления - Зам. Нар</w:t>
      </w:r>
      <w:r w:rsidRPr="007224C3">
        <w:rPr>
          <w:rFonts w:ascii="Times New Roman" w:hAnsi="Times New Roman"/>
          <w:color w:val="000000" w:themeColor="text1"/>
          <w:sz w:val="16"/>
          <w:szCs w:val="16"/>
        </w:rPr>
        <w:softHyphen/>
        <w:t>кома тов. Кузнецову перевести на завод № 1, временно сроков на 2,5 месяца мастеров-клепальщиков и квалифици</w:t>
      </w:r>
      <w:r w:rsidRPr="007224C3">
        <w:rPr>
          <w:rFonts w:ascii="Times New Roman" w:hAnsi="Times New Roman"/>
          <w:color w:val="000000" w:themeColor="text1"/>
          <w:sz w:val="16"/>
          <w:szCs w:val="16"/>
        </w:rPr>
        <w:softHyphen/>
        <w:t>рованных рабочих клепальщиков в количестве 50 человек с заводов №№ 64 и 86 в помощь для организации произ</w:t>
      </w:r>
      <w:r w:rsidRPr="007224C3">
        <w:rPr>
          <w:rFonts w:ascii="Times New Roman" w:hAnsi="Times New Roman"/>
          <w:color w:val="000000" w:themeColor="text1"/>
          <w:sz w:val="16"/>
          <w:szCs w:val="16"/>
        </w:rPr>
        <w:softHyphen/>
        <w:t>водства металлических крыльев.</w:t>
      </w:r>
    </w:p>
    <w:p w14:paraId="3320005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Начальнику 9-го Главного Управления тов. Домову и директору завода № 150 тов. Белову поставлять заводам №№ 18 и 30 с февраля месяца с.гю детали горячей штам</w:t>
      </w:r>
      <w:r w:rsidRPr="007224C3">
        <w:rPr>
          <w:rFonts w:ascii="Times New Roman" w:hAnsi="Times New Roman"/>
          <w:color w:val="000000" w:themeColor="text1"/>
          <w:sz w:val="16"/>
          <w:szCs w:val="16"/>
        </w:rPr>
        <w:softHyphen/>
        <w:t>повки для стыковых узлов самолётов Ил-2 с металлически</w:t>
      </w:r>
      <w:r w:rsidRPr="007224C3">
        <w:rPr>
          <w:rFonts w:ascii="Times New Roman" w:hAnsi="Times New Roman"/>
          <w:color w:val="000000" w:themeColor="text1"/>
          <w:sz w:val="16"/>
          <w:szCs w:val="16"/>
        </w:rPr>
        <w:softHyphen/>
        <w:t>ми крыльями стрельчатой конструкции.</w:t>
      </w:r>
    </w:p>
    <w:p w14:paraId="6DBA6A5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НАРОДНЫЙ' КОМИССАР АВИАЦИОННОЙ ПРОМЫШЛЕННОСТИ (492,10).</w:t>
      </w:r>
    </w:p>
    <w:p w14:paraId="238D754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D9D6B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января 1944 г. приказом Наркома авиапромышленности А.И.Шахурина № 42 авиазаводы обязывались, в соответствии с Поста</w:t>
      </w:r>
      <w:r w:rsidRPr="007224C3">
        <w:rPr>
          <w:rFonts w:ascii="Times New Roman" w:hAnsi="Times New Roman"/>
          <w:color w:val="000000" w:themeColor="text1"/>
          <w:sz w:val="16"/>
          <w:szCs w:val="16"/>
        </w:rPr>
        <w:softHyphen/>
        <w:t>новлением ГКО № 4976 от 18 января, к лету 1944 г. полностью перейти на вы</w:t>
      </w:r>
      <w:r w:rsidRPr="007224C3">
        <w:rPr>
          <w:rFonts w:ascii="Times New Roman" w:hAnsi="Times New Roman"/>
          <w:color w:val="000000" w:themeColor="text1"/>
          <w:sz w:val="16"/>
          <w:szCs w:val="16"/>
        </w:rPr>
        <w:softHyphen/>
        <w:t>пуск Ил-2 с металлическим крылом стрельчатой конструкции (угол стреловидности по передней кромке консолей 15°): завод № 18 - к 15 апреля, а 1-й и 30-й авиазаводы - к 15 мая (6467).</w:t>
      </w:r>
    </w:p>
    <w:p w14:paraId="340F698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5100B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января 1944 г. вышел приказ НКАП во исполнение Постановления ГКО, которое обязывало все три авиазавода к началу лета полностью перейти на выпуск Ил-2 с металлическим крылом "со стрелкой" (угол стреловидности по передней кромке консолей 15°): завод № 18 - до 15 апреля, а 1-й и 30-й авиазаводы - до 15 мая. При этом снижать достигнутый уровень производства самолетов запрещалось.</w:t>
      </w:r>
    </w:p>
    <w:p w14:paraId="14964D8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Следует отметить, что Постановление ГКО, помимо установления сроков выпуска модифицированных Ил-2 и повышения ответственности руководства авиазаводов, давало наркомату авиапромышленности и определенные преимущества при решении ряда вопросов материально-технического снабжения авиазаводов.</w:t>
      </w:r>
    </w:p>
    <w:p w14:paraId="6529A32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Несмотря на предпринятые шаги, внедрение в серийное производство Ил-2 с новым крылом все же шло "со скрипом". К 1 апреля "завод № 1 сдал по сборке 20 самолетов, завод № 18 - 4 самолета, завод № 30 - 22 самолета". Возникла, как писал начальник Главного управления заказов ВВС генерал-лейтенант Н. П. Селезнев, "угроза срыва сроков выполнения решения". Он требовал срочно "принять меры по разворачиванию производства металлических крыльев стрельчатой конструкции" (12020).</w:t>
      </w:r>
    </w:p>
    <w:p w14:paraId="0964672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6BD6438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19 января с 8 января по 1944 согласно журнала наблюдения за проектированием, постройкой и испытаниями МиГ-3 на МиГ-3 2Д произвели 8 полетов. 8 января 1944 произвели полет на определение макс. скорости по высотам. Задание не выполнено изза ненормальной работы мотора. Облет выполнен л Якимовым. Замечено тяжелое управление ручкой по сравнению с ножным управлением. Осталось произвести 2 полета на определение макс. скорости на форсаже (992,12).</w:t>
      </w:r>
    </w:p>
    <w:p w14:paraId="15E924E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2C3A693F" w14:textId="77777777" w:rsidR="00292637" w:rsidRPr="007224C3" w:rsidRDefault="00292637" w:rsidP="007224C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4C3">
        <w:rPr>
          <w:rFonts w:ascii="Times New Roman" w:eastAsia="TimesNewRomanPSMT" w:hAnsi="Times New Roman"/>
          <w:iCs/>
          <w:color w:val="000000" w:themeColor="text1"/>
          <w:sz w:val="16"/>
          <w:szCs w:val="16"/>
        </w:rPr>
        <w:t>19 января 1944 г.</w:t>
      </w:r>
    </w:p>
    <w:p w14:paraId="57E464DC" w14:textId="77777777" w:rsidR="00292637" w:rsidRPr="007224C3" w:rsidRDefault="00292637" w:rsidP="007224C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4C3">
        <w:rPr>
          <w:rFonts w:ascii="Times New Roman" w:eastAsia="TimesNewRomanPSMT" w:hAnsi="Times New Roman"/>
          <w:iCs/>
          <w:color w:val="000000" w:themeColor="text1"/>
          <w:sz w:val="16"/>
          <w:szCs w:val="16"/>
        </w:rPr>
        <w:t>Докладная записка главного конструктора завода № 477</w:t>
      </w:r>
    </w:p>
    <w:p w14:paraId="6FFE36FE" w14:textId="77777777" w:rsidR="00292637" w:rsidRPr="007224C3" w:rsidRDefault="00292637" w:rsidP="007224C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4C3">
        <w:rPr>
          <w:rFonts w:ascii="Times New Roman" w:eastAsia="TimesNewRomanPSMT" w:hAnsi="Times New Roman"/>
          <w:iCs/>
          <w:color w:val="000000" w:themeColor="text1"/>
          <w:sz w:val="16"/>
          <w:szCs w:val="16"/>
        </w:rPr>
        <w:t>Г.М. Бериева заместителю наркома авиационной промышленности А.И. Кузнецову</w:t>
      </w:r>
    </w:p>
    <w:p w14:paraId="06909DC5" w14:textId="77777777" w:rsidR="00292637" w:rsidRPr="007224C3" w:rsidRDefault="00292637" w:rsidP="007224C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4C3">
        <w:rPr>
          <w:rFonts w:ascii="Times New Roman" w:eastAsia="TimesNewRomanPSMT" w:hAnsi="Times New Roman"/>
          <w:iCs/>
          <w:color w:val="000000" w:themeColor="text1"/>
          <w:sz w:val="16"/>
          <w:szCs w:val="16"/>
        </w:rPr>
        <w:t>г. Красноярск 19 января 1944 г.</w:t>
      </w:r>
    </w:p>
    <w:p w14:paraId="75014CD4" w14:textId="77777777" w:rsidR="00292637" w:rsidRPr="007224C3" w:rsidRDefault="00292637" w:rsidP="007224C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4C3">
        <w:rPr>
          <w:rFonts w:ascii="Times New Roman" w:eastAsia="TimesNewRomanPSMT" w:hAnsi="Times New Roman"/>
          <w:iCs/>
          <w:color w:val="000000" w:themeColor="text1"/>
          <w:sz w:val="16"/>
          <w:szCs w:val="16"/>
        </w:rPr>
        <w:t>секретно</w:t>
      </w:r>
    </w:p>
    <w:p w14:paraId="4DED5F0B" w14:textId="77777777" w:rsidR="00292637" w:rsidRPr="007224C3" w:rsidRDefault="00292637" w:rsidP="007224C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4C3">
        <w:rPr>
          <w:rFonts w:ascii="Times New Roman" w:eastAsia="TimesNewRomanPSMT" w:hAnsi="Times New Roman"/>
          <w:iCs/>
          <w:color w:val="000000" w:themeColor="text1"/>
          <w:sz w:val="16"/>
          <w:szCs w:val="16"/>
        </w:rPr>
        <w:t>Согласно Вашему указанию при сем представляю сравнительные летно-технические данные опытного гидросамолета ЛЛ-143 с моторами М-71ф, М-30В, М-82ФН.</w:t>
      </w:r>
    </w:p>
    <w:p w14:paraId="266416EB" w14:textId="77777777" w:rsidR="00292637" w:rsidRPr="007224C3" w:rsidRDefault="00292637" w:rsidP="007224C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4C3">
        <w:rPr>
          <w:rFonts w:ascii="Times New Roman" w:eastAsia="TimesNewRomanPSMT" w:hAnsi="Times New Roman"/>
          <w:iCs/>
          <w:color w:val="000000" w:themeColor="text1"/>
          <w:sz w:val="16"/>
          <w:szCs w:val="16"/>
        </w:rPr>
        <w:t>[№№</w:t>
      </w:r>
    </w:p>
    <w:p w14:paraId="68CFFAC1" w14:textId="77777777" w:rsidR="00292637" w:rsidRPr="007224C3" w:rsidRDefault="00292637" w:rsidP="007224C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4C3">
        <w:rPr>
          <w:rFonts w:ascii="Times New Roman" w:eastAsia="TimesNewRomanPSMT" w:hAnsi="Times New Roman"/>
          <w:iCs/>
          <w:color w:val="000000" w:themeColor="text1"/>
          <w:sz w:val="16"/>
          <w:szCs w:val="16"/>
        </w:rPr>
        <w:t>п/п]</w:t>
      </w:r>
    </w:p>
    <w:p w14:paraId="0DD39F99" w14:textId="77777777" w:rsidR="00292637" w:rsidRPr="007224C3" w:rsidRDefault="00292637" w:rsidP="007224C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4C3">
        <w:rPr>
          <w:rFonts w:ascii="Times New Roman" w:eastAsia="TimesNewRomanPSMT" w:hAnsi="Times New Roman"/>
          <w:iCs/>
          <w:color w:val="000000" w:themeColor="text1"/>
          <w:sz w:val="16"/>
          <w:szCs w:val="16"/>
        </w:rPr>
        <w:t>[Показатель] ЛЛ-143</w:t>
      </w:r>
    </w:p>
    <w:p w14:paraId="0A9E7020" w14:textId="77777777" w:rsidR="00292637" w:rsidRPr="007224C3" w:rsidRDefault="00292637" w:rsidP="007224C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4C3">
        <w:rPr>
          <w:rFonts w:ascii="Times New Roman" w:eastAsia="TimesNewRomanPSMT" w:hAnsi="Times New Roman"/>
          <w:iCs/>
          <w:color w:val="000000" w:themeColor="text1"/>
          <w:sz w:val="16"/>
          <w:szCs w:val="16"/>
        </w:rPr>
        <w:t>с М-71ф</w:t>
      </w:r>
    </w:p>
    <w:p w14:paraId="7B40304C" w14:textId="77777777" w:rsidR="00292637" w:rsidRPr="007224C3" w:rsidRDefault="00292637" w:rsidP="007224C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4C3">
        <w:rPr>
          <w:rFonts w:ascii="Times New Roman" w:eastAsia="TimesNewRomanPSMT" w:hAnsi="Times New Roman"/>
          <w:iCs/>
          <w:color w:val="000000" w:themeColor="text1"/>
          <w:sz w:val="16"/>
          <w:szCs w:val="16"/>
        </w:rPr>
        <w:t>ЛЛ-143</w:t>
      </w:r>
    </w:p>
    <w:p w14:paraId="6889C80C" w14:textId="77777777" w:rsidR="00292637" w:rsidRPr="007224C3" w:rsidRDefault="00292637" w:rsidP="007224C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4C3">
        <w:rPr>
          <w:rFonts w:ascii="Times New Roman" w:eastAsia="TimesNewRomanPSMT" w:hAnsi="Times New Roman"/>
          <w:iCs/>
          <w:color w:val="000000" w:themeColor="text1"/>
          <w:sz w:val="16"/>
          <w:szCs w:val="16"/>
        </w:rPr>
        <w:t>с М-30В</w:t>
      </w:r>
    </w:p>
    <w:p w14:paraId="08CC58B1" w14:textId="77777777" w:rsidR="00292637" w:rsidRPr="007224C3" w:rsidRDefault="00292637" w:rsidP="007224C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4C3">
        <w:rPr>
          <w:rFonts w:ascii="Times New Roman" w:eastAsia="TimesNewRomanPSMT" w:hAnsi="Times New Roman"/>
          <w:iCs/>
          <w:color w:val="000000" w:themeColor="text1"/>
          <w:sz w:val="16"/>
          <w:szCs w:val="16"/>
        </w:rPr>
        <w:t>ЛЛ-143</w:t>
      </w:r>
    </w:p>
    <w:p w14:paraId="22733A18" w14:textId="77777777" w:rsidR="00292637" w:rsidRPr="007224C3" w:rsidRDefault="00292637" w:rsidP="007224C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4C3">
        <w:rPr>
          <w:rFonts w:ascii="Times New Roman" w:eastAsia="TimesNewRomanPSMT" w:hAnsi="Times New Roman"/>
          <w:iCs/>
          <w:color w:val="000000" w:themeColor="text1"/>
          <w:sz w:val="16"/>
          <w:szCs w:val="16"/>
        </w:rPr>
        <w:t>с М-82ФН</w:t>
      </w:r>
    </w:p>
    <w:p w14:paraId="3988829C" w14:textId="77777777" w:rsidR="00292637" w:rsidRPr="007224C3" w:rsidRDefault="00292637" w:rsidP="007224C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4C3">
        <w:rPr>
          <w:rFonts w:ascii="Times New Roman" w:eastAsia="TimesNewRomanPSMT" w:hAnsi="Times New Roman"/>
          <w:iCs/>
          <w:color w:val="000000" w:themeColor="text1"/>
          <w:sz w:val="16"/>
          <w:szCs w:val="16"/>
        </w:rPr>
        <w:t>1. Взлетная мощность моторов 2 250 л. с. 1 900 л с. 1 850 л. с.</w:t>
      </w:r>
    </w:p>
    <w:p w14:paraId="450776FC" w14:textId="77777777" w:rsidR="00292637" w:rsidRPr="007224C3" w:rsidRDefault="00292637" w:rsidP="007224C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4C3">
        <w:rPr>
          <w:rFonts w:ascii="Times New Roman" w:eastAsia="TimesNewRomanPSMT" w:hAnsi="Times New Roman"/>
          <w:iCs/>
          <w:color w:val="000000" w:themeColor="text1"/>
          <w:sz w:val="16"/>
          <w:szCs w:val="16"/>
        </w:rPr>
        <w:t>2. Редукция моторов 9/16 – 9/16</w:t>
      </w:r>
    </w:p>
    <w:p w14:paraId="4A6C72FE" w14:textId="77777777" w:rsidR="00292637" w:rsidRPr="007224C3" w:rsidRDefault="00292637" w:rsidP="007224C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4C3">
        <w:rPr>
          <w:rFonts w:ascii="Times New Roman" w:eastAsia="TimesNewRomanPSMT" w:hAnsi="Times New Roman"/>
          <w:iCs/>
          <w:color w:val="000000" w:themeColor="text1"/>
          <w:sz w:val="16"/>
          <w:szCs w:val="16"/>
        </w:rPr>
        <w:t>3. Максимальная скорость</w:t>
      </w:r>
    </w:p>
    <w:p w14:paraId="3D84651F" w14:textId="77777777" w:rsidR="00292637" w:rsidRPr="007224C3" w:rsidRDefault="00292637" w:rsidP="007224C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4C3">
        <w:rPr>
          <w:rFonts w:ascii="Times New Roman" w:eastAsia="TimesNewRomanPSMT" w:hAnsi="Times New Roman"/>
          <w:iCs/>
          <w:color w:val="000000" w:themeColor="text1"/>
          <w:sz w:val="16"/>
          <w:szCs w:val="16"/>
        </w:rPr>
        <w:t>на высот[е]</w:t>
      </w:r>
    </w:p>
    <w:p w14:paraId="1B2830DA" w14:textId="77777777" w:rsidR="00292637" w:rsidRPr="007224C3" w:rsidRDefault="00292637" w:rsidP="007224C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4C3">
        <w:rPr>
          <w:rFonts w:ascii="Times New Roman" w:eastAsia="TimesNewRomanPSMT" w:hAnsi="Times New Roman"/>
          <w:iCs/>
          <w:color w:val="000000" w:themeColor="text1"/>
          <w:sz w:val="16"/>
          <w:szCs w:val="16"/>
        </w:rPr>
        <w:t>450 км 430 км/ч 405 км/ч</w:t>
      </w:r>
    </w:p>
    <w:p w14:paraId="6FE6E5D2" w14:textId="77777777" w:rsidR="00292637" w:rsidRPr="007224C3" w:rsidRDefault="00292637" w:rsidP="007224C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4C3">
        <w:rPr>
          <w:rFonts w:ascii="Times New Roman" w:eastAsia="TimesNewRomanPSMT" w:hAnsi="Times New Roman"/>
          <w:iCs/>
          <w:color w:val="000000" w:themeColor="text1"/>
          <w:sz w:val="16"/>
          <w:szCs w:val="16"/>
        </w:rPr>
        <w:t>5 000 м 6 000 м 4 000 м</w:t>
      </w:r>
    </w:p>
    <w:p w14:paraId="080BA633" w14:textId="77777777" w:rsidR="00292637" w:rsidRPr="007224C3" w:rsidRDefault="00292637" w:rsidP="007224C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4C3">
        <w:rPr>
          <w:rFonts w:ascii="Times New Roman" w:eastAsia="TimesNewRomanPSMT" w:hAnsi="Times New Roman"/>
          <w:iCs/>
          <w:color w:val="000000" w:themeColor="text1"/>
          <w:sz w:val="16"/>
          <w:szCs w:val="16"/>
        </w:rPr>
        <w:t>1. Максимальная технич[еская]</w:t>
      </w:r>
    </w:p>
    <w:p w14:paraId="41F39E36" w14:textId="77777777" w:rsidR="00292637" w:rsidRPr="007224C3" w:rsidRDefault="00292637" w:rsidP="007224C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4C3">
        <w:rPr>
          <w:rFonts w:ascii="Times New Roman" w:eastAsia="TimesNewRomanPSMT" w:hAnsi="Times New Roman"/>
          <w:iCs/>
          <w:color w:val="000000" w:themeColor="text1"/>
          <w:sz w:val="16"/>
          <w:szCs w:val="16"/>
        </w:rPr>
        <w:t>дальность</w:t>
      </w:r>
    </w:p>
    <w:p w14:paraId="3A09537C" w14:textId="77777777" w:rsidR="00292637" w:rsidRPr="007224C3" w:rsidRDefault="00292637" w:rsidP="007224C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4C3">
        <w:rPr>
          <w:rFonts w:ascii="Times New Roman" w:eastAsia="TimesNewRomanPSMT" w:hAnsi="Times New Roman"/>
          <w:iCs/>
          <w:color w:val="000000" w:themeColor="text1"/>
          <w:sz w:val="16"/>
          <w:szCs w:val="16"/>
        </w:rPr>
        <w:t>5 600 км 6 000 км 4 700 км</w:t>
      </w:r>
    </w:p>
    <w:p w14:paraId="12D49C08" w14:textId="77777777" w:rsidR="00292637" w:rsidRPr="007224C3" w:rsidRDefault="00292637" w:rsidP="007224C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4C3">
        <w:rPr>
          <w:rFonts w:ascii="Times New Roman" w:eastAsia="TimesNewRomanPSMT" w:hAnsi="Times New Roman"/>
          <w:iCs/>
          <w:color w:val="000000" w:themeColor="text1"/>
          <w:sz w:val="16"/>
          <w:szCs w:val="16"/>
        </w:rPr>
        <w:t>2. Максимальный полетный вес 22 700 кг 21 000 кг 20 500кг</w:t>
      </w:r>
    </w:p>
    <w:p w14:paraId="0172AC89" w14:textId="77777777" w:rsidR="00292637" w:rsidRPr="007224C3" w:rsidRDefault="00292637" w:rsidP="007224C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4C3">
        <w:rPr>
          <w:rFonts w:ascii="Times New Roman" w:eastAsia="TimesNewRomanPSMT" w:hAnsi="Times New Roman"/>
          <w:iCs/>
          <w:color w:val="000000" w:themeColor="text1"/>
          <w:sz w:val="16"/>
          <w:szCs w:val="16"/>
        </w:rPr>
        <w:t>3. Нормальная бомбовая нагрузка 600 кг 600 кг 600 кг</w:t>
      </w:r>
    </w:p>
    <w:p w14:paraId="2751BE24" w14:textId="77777777" w:rsidR="00292637" w:rsidRPr="007224C3" w:rsidRDefault="00292637" w:rsidP="007224C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4C3">
        <w:rPr>
          <w:rFonts w:ascii="Times New Roman" w:eastAsia="TimesNewRomanPSMT" w:hAnsi="Times New Roman"/>
          <w:iCs/>
          <w:color w:val="000000" w:themeColor="text1"/>
          <w:sz w:val="16"/>
          <w:szCs w:val="16"/>
        </w:rPr>
        <w:t>4. Максимальная бомбовая нагрузка 4 000 кг 4 000 кг 4 000 кг</w:t>
      </w:r>
    </w:p>
    <w:p w14:paraId="05F831AA" w14:textId="77777777" w:rsidR="00292637" w:rsidRPr="007224C3" w:rsidRDefault="00292637" w:rsidP="007224C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4C3">
        <w:rPr>
          <w:rFonts w:ascii="Times New Roman" w:eastAsia="TimesNewRomanPSMT" w:hAnsi="Times New Roman"/>
          <w:iCs/>
          <w:color w:val="000000" w:themeColor="text1"/>
          <w:sz w:val="16"/>
          <w:szCs w:val="16"/>
        </w:rPr>
        <w:t>5. Стрелково-артиллерийской вооруж[ение]:</w:t>
      </w:r>
    </w:p>
    <w:p w14:paraId="1D9609C9" w14:textId="77777777" w:rsidR="00292637" w:rsidRPr="007224C3" w:rsidRDefault="00292637" w:rsidP="007224C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4C3">
        <w:rPr>
          <w:rFonts w:ascii="Times New Roman" w:eastAsia="TimesNewRomanPSMT" w:hAnsi="Times New Roman"/>
          <w:iCs/>
          <w:color w:val="000000" w:themeColor="text1"/>
          <w:sz w:val="16"/>
          <w:szCs w:val="16"/>
        </w:rPr>
        <w:t>1 пушка Волкова-Ярцева кал[ибр] 23 мм с боезапасом 150 сна-</w:t>
      </w:r>
    </w:p>
    <w:p w14:paraId="200216A3" w14:textId="77777777" w:rsidR="00292637" w:rsidRPr="007224C3" w:rsidRDefault="00292637" w:rsidP="007224C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4C3">
        <w:rPr>
          <w:rFonts w:ascii="Times New Roman" w:eastAsia="TimesNewRomanPSMT" w:hAnsi="Times New Roman"/>
          <w:iCs/>
          <w:color w:val="000000" w:themeColor="text1"/>
          <w:sz w:val="16"/>
          <w:szCs w:val="16"/>
        </w:rPr>
        <w:t>рядов;</w:t>
      </w:r>
    </w:p>
    <w:p w14:paraId="0B2B264D" w14:textId="77777777" w:rsidR="00292637" w:rsidRPr="007224C3" w:rsidRDefault="00292637" w:rsidP="007224C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4C3">
        <w:rPr>
          <w:rFonts w:ascii="Times New Roman" w:eastAsia="TimesNewRomanPSMT" w:hAnsi="Times New Roman"/>
          <w:iCs/>
          <w:color w:val="000000" w:themeColor="text1"/>
          <w:sz w:val="16"/>
          <w:szCs w:val="16"/>
        </w:rPr>
        <w:t>2 бортов[ых] пулемета УБТ кал[ибр] 12,7 мм с боезапасом по</w:t>
      </w:r>
    </w:p>
    <w:p w14:paraId="116900D9" w14:textId="77777777" w:rsidR="00292637" w:rsidRPr="007224C3" w:rsidRDefault="00292637" w:rsidP="007224C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4C3">
        <w:rPr>
          <w:rFonts w:ascii="Times New Roman" w:eastAsia="TimesNewRomanPSMT" w:hAnsi="Times New Roman"/>
          <w:iCs/>
          <w:color w:val="000000" w:themeColor="text1"/>
          <w:sz w:val="16"/>
          <w:szCs w:val="16"/>
        </w:rPr>
        <w:t>200 патронов;</w:t>
      </w:r>
    </w:p>
    <w:p w14:paraId="04524EC1" w14:textId="77777777" w:rsidR="00292637" w:rsidRPr="007224C3" w:rsidRDefault="00292637" w:rsidP="007224C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4C3">
        <w:rPr>
          <w:rFonts w:ascii="Times New Roman" w:eastAsia="TimesNewRomanPSMT" w:hAnsi="Times New Roman"/>
          <w:iCs/>
          <w:color w:val="000000" w:themeColor="text1"/>
          <w:sz w:val="16"/>
          <w:szCs w:val="16"/>
        </w:rPr>
        <w:t>1 палубная турельная установка кал[ибр] 127 мм с боезапасом</w:t>
      </w:r>
    </w:p>
    <w:p w14:paraId="64A3E9A3" w14:textId="77777777" w:rsidR="00292637" w:rsidRPr="007224C3" w:rsidRDefault="00292637" w:rsidP="007224C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4C3">
        <w:rPr>
          <w:rFonts w:ascii="Times New Roman" w:eastAsia="TimesNewRomanPSMT" w:hAnsi="Times New Roman"/>
          <w:iCs/>
          <w:color w:val="000000" w:themeColor="text1"/>
          <w:sz w:val="16"/>
          <w:szCs w:val="16"/>
        </w:rPr>
        <w:t>400 патронов;</w:t>
      </w:r>
    </w:p>
    <w:p w14:paraId="7F46F827" w14:textId="77777777" w:rsidR="00292637" w:rsidRPr="007224C3" w:rsidRDefault="00292637" w:rsidP="007224C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4C3">
        <w:rPr>
          <w:rFonts w:ascii="Times New Roman" w:eastAsia="TimesNewRomanPSMT" w:hAnsi="Times New Roman"/>
          <w:iCs/>
          <w:color w:val="000000" w:themeColor="text1"/>
          <w:sz w:val="16"/>
          <w:szCs w:val="16"/>
        </w:rPr>
        <w:t>1 реданная установка кал[ибр] 12,7 с боезапасом 200 патронов;</w:t>
      </w:r>
    </w:p>
    <w:p w14:paraId="60AAE1E8" w14:textId="77777777" w:rsidR="00292637" w:rsidRPr="007224C3" w:rsidRDefault="00292637" w:rsidP="007224C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4C3">
        <w:rPr>
          <w:rFonts w:ascii="Times New Roman" w:eastAsia="TimesNewRomanPSMT" w:hAnsi="Times New Roman"/>
          <w:iCs/>
          <w:color w:val="000000" w:themeColor="text1"/>
          <w:sz w:val="16"/>
          <w:szCs w:val="16"/>
        </w:rPr>
        <w:t>1 кормовая установка с пулеметом кал[ибр] 12,7 мм с боезапа-</w:t>
      </w:r>
    </w:p>
    <w:p w14:paraId="16A9774C" w14:textId="77777777" w:rsidR="00292637" w:rsidRPr="007224C3" w:rsidRDefault="00292637" w:rsidP="007224C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4C3">
        <w:rPr>
          <w:rFonts w:ascii="Times New Roman" w:eastAsia="TimesNewRomanPSMT" w:hAnsi="Times New Roman"/>
          <w:iCs/>
          <w:color w:val="000000" w:themeColor="text1"/>
          <w:sz w:val="16"/>
          <w:szCs w:val="16"/>
        </w:rPr>
        <w:t>сом 400 патронов</w:t>
      </w:r>
    </w:p>
    <w:p w14:paraId="7E52554E" w14:textId="77777777" w:rsidR="00292637" w:rsidRPr="007224C3" w:rsidRDefault="00292637" w:rsidP="007224C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4C3">
        <w:rPr>
          <w:rFonts w:ascii="Times New Roman" w:eastAsia="TimesNewRomanPSMT" w:hAnsi="Times New Roman"/>
          <w:iCs/>
          <w:color w:val="000000" w:themeColor="text1"/>
          <w:sz w:val="16"/>
          <w:szCs w:val="16"/>
        </w:rPr>
        <w:t>6. Минно-торпедное вооружение:</w:t>
      </w:r>
    </w:p>
    <w:p w14:paraId="379F821B" w14:textId="77777777" w:rsidR="00292637" w:rsidRPr="007224C3" w:rsidRDefault="00292637" w:rsidP="007224C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4C3">
        <w:rPr>
          <w:rFonts w:ascii="Times New Roman" w:eastAsia="TimesNewRomanPSMT" w:hAnsi="Times New Roman"/>
          <w:iCs/>
          <w:color w:val="000000" w:themeColor="text1"/>
          <w:sz w:val="16"/>
          <w:szCs w:val="16"/>
        </w:rPr>
        <w:t>4 мины АДМ-500 или</w:t>
      </w:r>
    </w:p>
    <w:p w14:paraId="7D4F0784" w14:textId="77777777" w:rsidR="00292637" w:rsidRPr="007224C3" w:rsidRDefault="00292637" w:rsidP="007224C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4C3">
        <w:rPr>
          <w:rFonts w:ascii="Times New Roman" w:eastAsia="TimesNewRomanPSMT" w:hAnsi="Times New Roman"/>
          <w:iCs/>
          <w:color w:val="000000" w:themeColor="text1"/>
          <w:sz w:val="16"/>
          <w:szCs w:val="16"/>
        </w:rPr>
        <w:t>2 мины АМГ-1000 или</w:t>
      </w:r>
    </w:p>
    <w:p w14:paraId="5BE05E9E" w14:textId="77777777" w:rsidR="00292637" w:rsidRPr="007224C3" w:rsidRDefault="00292637" w:rsidP="007224C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4C3">
        <w:rPr>
          <w:rFonts w:ascii="Times New Roman" w:eastAsia="TimesNewRomanPSMT" w:hAnsi="Times New Roman"/>
          <w:iCs/>
          <w:color w:val="000000" w:themeColor="text1"/>
          <w:sz w:val="16"/>
          <w:szCs w:val="16"/>
        </w:rPr>
        <w:t>2 торпеды 45-36 АВ-А</w:t>
      </w:r>
    </w:p>
    <w:p w14:paraId="499AC36A" w14:textId="77777777" w:rsidR="00292637" w:rsidRPr="007224C3" w:rsidRDefault="00292637" w:rsidP="007224C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4C3">
        <w:rPr>
          <w:rFonts w:ascii="Times New Roman" w:eastAsia="TimesNewRomanPSMT" w:hAnsi="Times New Roman"/>
          <w:iCs/>
          <w:color w:val="000000" w:themeColor="text1"/>
          <w:sz w:val="16"/>
          <w:szCs w:val="16"/>
        </w:rPr>
        <w:t>7. Основные геометрические размеры самолета:</w:t>
      </w:r>
    </w:p>
    <w:p w14:paraId="5147A88D" w14:textId="77777777" w:rsidR="00292637" w:rsidRPr="007224C3" w:rsidRDefault="00292637" w:rsidP="007224C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4C3">
        <w:rPr>
          <w:rFonts w:ascii="Times New Roman" w:eastAsia="TimesNewRomanPSMT" w:hAnsi="Times New Roman"/>
          <w:iCs/>
          <w:color w:val="000000" w:themeColor="text1"/>
          <w:sz w:val="16"/>
          <w:szCs w:val="16"/>
        </w:rPr>
        <w:t>размах – 33 м;</w:t>
      </w:r>
    </w:p>
    <w:p w14:paraId="451A0A68" w14:textId="77777777" w:rsidR="00292637" w:rsidRPr="007224C3" w:rsidRDefault="00292637" w:rsidP="007224C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4C3">
        <w:rPr>
          <w:rFonts w:ascii="Times New Roman" w:eastAsia="TimesNewRomanPSMT" w:hAnsi="Times New Roman"/>
          <w:iCs/>
          <w:color w:val="000000" w:themeColor="text1"/>
          <w:sz w:val="16"/>
          <w:szCs w:val="16"/>
        </w:rPr>
        <w:t>длина – 23 м;</w:t>
      </w:r>
    </w:p>
    <w:p w14:paraId="130E01D0" w14:textId="77777777" w:rsidR="00292637" w:rsidRPr="007224C3" w:rsidRDefault="00292637" w:rsidP="007224C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4C3">
        <w:rPr>
          <w:rFonts w:ascii="Times New Roman" w:eastAsia="TimesNewRomanPSMT" w:hAnsi="Times New Roman"/>
          <w:iCs/>
          <w:color w:val="000000" w:themeColor="text1"/>
          <w:sz w:val="16"/>
          <w:szCs w:val="16"/>
        </w:rPr>
        <w:t>высота – 7,4 м;</w:t>
      </w:r>
    </w:p>
    <w:p w14:paraId="1B684DB9" w14:textId="77777777" w:rsidR="00292637" w:rsidRPr="007224C3" w:rsidRDefault="00292637" w:rsidP="007224C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4C3">
        <w:rPr>
          <w:rFonts w:ascii="Times New Roman" w:eastAsia="TimesNewRomanPSMT" w:hAnsi="Times New Roman"/>
          <w:iCs/>
          <w:color w:val="000000" w:themeColor="text1"/>
          <w:sz w:val="16"/>
          <w:szCs w:val="16"/>
        </w:rPr>
        <w:t>площади крыльев – 120 м2</w:t>
      </w:r>
    </w:p>
    <w:p w14:paraId="0B7A7ECA" w14:textId="77777777" w:rsidR="00292637" w:rsidRPr="007224C3" w:rsidRDefault="00292637" w:rsidP="007224C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4C3">
        <w:rPr>
          <w:rFonts w:ascii="Times New Roman" w:eastAsia="TimesNewRomanPSMT" w:hAnsi="Times New Roman"/>
          <w:iCs/>
          <w:color w:val="000000" w:themeColor="text1"/>
          <w:sz w:val="16"/>
          <w:szCs w:val="16"/>
        </w:rPr>
        <w:t>Главный конструктор завода № 477 подпись Бериев</w:t>
      </w:r>
    </w:p>
    <w:p w14:paraId="755EB0EB" w14:textId="77777777" w:rsidR="00292637" w:rsidRPr="007224C3" w:rsidRDefault="00292637" w:rsidP="007224C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4C3">
        <w:rPr>
          <w:rFonts w:ascii="Times New Roman" w:eastAsia="TimesNewRomanPSMT" w:hAnsi="Times New Roman"/>
          <w:iCs/>
          <w:color w:val="000000" w:themeColor="text1"/>
          <w:sz w:val="16"/>
          <w:szCs w:val="16"/>
        </w:rPr>
        <w:t>КГКУ «ГАКК». Ф.Р-1341. Оп. 4. Д. 155. Л. 2. Подлинник. Машинопись (19799).</w:t>
      </w:r>
    </w:p>
    <w:p w14:paraId="4CB627A6" w14:textId="77777777" w:rsidR="00292637" w:rsidRPr="007224C3" w:rsidRDefault="00292637" w:rsidP="007224C3">
      <w:pPr>
        <w:autoSpaceDE w:val="0"/>
        <w:autoSpaceDN w:val="0"/>
        <w:adjustRightInd w:val="0"/>
        <w:spacing w:after="0" w:line="240" w:lineRule="auto"/>
        <w:jc w:val="both"/>
        <w:rPr>
          <w:rFonts w:ascii="Times New Roman" w:eastAsia="TimesNewRomanPSMT" w:hAnsi="Times New Roman"/>
          <w:iCs/>
          <w:color w:val="000000" w:themeColor="text1"/>
          <w:sz w:val="16"/>
          <w:szCs w:val="16"/>
        </w:rPr>
      </w:pPr>
    </w:p>
    <w:p w14:paraId="031BE3F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января 1944 вышел приказ НКАП N 39 согласно которому на основе проведенных заводских испытаний длительности использования мотора М-105ПФ с новым наддувом приказано применять его и в феврале выпустить 100 М-105ПФ2, а с апреля в количестве, требуемом для производства Як-3 на 292 и 31 и срок службы установили в 150 час. (951,121).</w:t>
      </w:r>
    </w:p>
    <w:p w14:paraId="6004902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50CC47" w14:textId="77777777" w:rsidR="00D549FB" w:rsidRPr="007224C3" w:rsidRDefault="00D549FB"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 xml:space="preserve">19 января 1944 г. Приказом по НКАП № 39  была заказана первая серия в 100 штук ВК-105ПФ2, которым на основании заводских длительных испытаний был установлен ресурс 150 часов, но эксплуатация выявила много дефектов, и реальный ресурс поначалу был ниже. Завод № 26 доработал мотор усилением поршневых </w:t>
      </w:r>
      <w:r w:rsidRPr="007224C3">
        <w:rPr>
          <w:rFonts w:ascii="Times New Roman" w:hAnsi="Times New Roman"/>
          <w:color w:val="0070C0"/>
          <w:sz w:val="16"/>
          <w:szCs w:val="16"/>
        </w:rPr>
        <w:lastRenderedPageBreak/>
        <w:t>пальцев, коленвала, привода нагнетателя и ряда других деталей ценой незначительного повышения массы. До октября 1944 г. этот мотор поставлялся только для Як-3, лишь затем его стали давать и на Як-9М, Як-9У, последние серии истребителей ЛаГГ-3 и бомбардировщиков Пе-2. Было разрешено также применять его без ограничений в новых разработках всем самолетным ОКБ (22751).</w:t>
      </w:r>
    </w:p>
    <w:p w14:paraId="6FB9651B" w14:textId="77777777" w:rsidR="00D549FB" w:rsidRPr="007224C3" w:rsidRDefault="00D549FB" w:rsidP="007224C3">
      <w:pPr>
        <w:spacing w:after="0" w:line="240" w:lineRule="auto"/>
        <w:jc w:val="both"/>
        <w:rPr>
          <w:rFonts w:ascii="Times New Roman" w:hAnsi="Times New Roman"/>
          <w:color w:val="0070C0"/>
          <w:sz w:val="16"/>
          <w:szCs w:val="16"/>
        </w:rPr>
      </w:pPr>
    </w:p>
    <w:p w14:paraId="2A1C29A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января 1944 года согласно приказа № 40с НКАП на заводе № 476 в Москве было организовано ОКБ-476 под руководством гл. конструктора Воронкова С.Ф., а с сентября 1945 года – Делекторского А.В.</w:t>
      </w:r>
    </w:p>
    <w:p w14:paraId="1577B11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Адрес: Москва, Б, Новодмитровская, д. 12</w:t>
      </w:r>
    </w:p>
    <w:p w14:paraId="2BD1474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Согласно приказа № 356сс от 30 августа 1945 года НКАП, в сентябре 1945 года завод был перебазирован на территорию, занимаемую ранее филиалом завода № 315 на Панскую (теперь Новодмитровскую ул.), д. 12, изготовлявшего до этого времени детали к насосам и карбюраторам с передачей для сборки узлов на основной завод (9611).</w:t>
      </w:r>
    </w:p>
    <w:p w14:paraId="16A9123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2BA4A2"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7857DBF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D9DF848" w14:textId="77777777" w:rsidR="00987BBD" w:rsidRPr="007224C3" w:rsidRDefault="00987BBD" w:rsidP="007224C3">
      <w:pPr>
        <w:pStyle w:val="ae"/>
        <w:shd w:val="clear" w:color="auto" w:fill="FFFFFF"/>
        <w:spacing w:before="0" w:after="0"/>
        <w:jc w:val="both"/>
        <w:rPr>
          <w:color w:val="000000" w:themeColor="text1"/>
          <w:sz w:val="16"/>
          <w:szCs w:val="16"/>
        </w:rPr>
      </w:pPr>
      <w:r w:rsidRPr="007224C3">
        <w:rPr>
          <w:color w:val="000000" w:themeColor="text1"/>
          <w:sz w:val="16"/>
          <w:szCs w:val="16"/>
        </w:rPr>
        <w:t>К 19 января 1944 года ОКБ Завода №100 подготовило новый вариант башни ИС-2. Изменилась подвижная бронировка маски: она стала шире, при этом прицел сместился левее. Одновременно переделке подверглась неподвижная бронировка, более технологичным стал выступ под командирскую башенку. Эта башня стала устанавливаться на танки в начале февраля 1944 года, но без переделанных бронировок. Они появились только летом 1944 года. При этом первый вариант башни устанавливался на часть машин вплоть до марта 1944 года (один такой танк можно увидеть в польской Познани) (17721).</w:t>
      </w:r>
    </w:p>
    <w:p w14:paraId="104AB781" w14:textId="77777777" w:rsidR="00987BBD" w:rsidRPr="007224C3" w:rsidRDefault="00987BBD" w:rsidP="007224C3">
      <w:pPr>
        <w:spacing w:after="0" w:line="240" w:lineRule="auto"/>
        <w:jc w:val="both"/>
        <w:rPr>
          <w:rFonts w:ascii="Times New Roman" w:hAnsi="Times New Roman"/>
          <w:color w:val="000000" w:themeColor="text1"/>
          <w:sz w:val="16"/>
          <w:szCs w:val="16"/>
        </w:rPr>
      </w:pPr>
    </w:p>
    <w:p w14:paraId="6A6542C4" w14:textId="77777777" w:rsidR="00D549FB" w:rsidRPr="007224C3" w:rsidRDefault="00D549FB" w:rsidP="007224C3">
      <w:pPr>
        <w:spacing w:after="0" w:line="240" w:lineRule="auto"/>
        <w:jc w:val="both"/>
        <w:rPr>
          <w:rStyle w:val="680"/>
          <w:rFonts w:ascii="Times New Roman" w:hAnsi="Times New Roman" w:cs="Times New Roman"/>
          <w:color w:val="0070C0"/>
          <w:sz w:val="16"/>
          <w:szCs w:val="16"/>
        </w:rPr>
      </w:pPr>
      <w:r w:rsidRPr="007224C3">
        <w:rPr>
          <w:rStyle w:val="680"/>
          <w:rFonts w:ascii="Times New Roman" w:hAnsi="Times New Roman" w:cs="Times New Roman"/>
          <w:color w:val="0070C0"/>
          <w:sz w:val="16"/>
          <w:szCs w:val="16"/>
        </w:rPr>
        <w:t>К 19 января 1944 ОКБ за</w:t>
      </w:r>
      <w:r w:rsidRPr="007224C3">
        <w:rPr>
          <w:rStyle w:val="680"/>
          <w:rFonts w:ascii="Times New Roman" w:hAnsi="Times New Roman" w:cs="Times New Roman"/>
          <w:color w:val="0070C0"/>
          <w:sz w:val="16"/>
          <w:szCs w:val="16"/>
        </w:rPr>
        <w:softHyphen/>
        <w:t>вода № 100 подготовило документацию по доработанной башне. С одной стороны, каких-то радикальных изменений не было, а, с другой, доработки имели довольно серьез</w:t>
      </w:r>
      <w:r w:rsidRPr="007224C3">
        <w:rPr>
          <w:rStyle w:val="680"/>
          <w:rFonts w:ascii="Times New Roman" w:hAnsi="Times New Roman" w:cs="Times New Roman"/>
          <w:color w:val="0070C0"/>
          <w:sz w:val="16"/>
          <w:szCs w:val="16"/>
        </w:rPr>
        <w:softHyphen/>
        <w:t>ный характер. Во-первых, снова немного пе</w:t>
      </w:r>
      <w:r w:rsidRPr="007224C3">
        <w:rPr>
          <w:rStyle w:val="680"/>
          <w:rFonts w:ascii="Times New Roman" w:hAnsi="Times New Roman" w:cs="Times New Roman"/>
          <w:color w:val="0070C0"/>
          <w:sz w:val="16"/>
          <w:szCs w:val="16"/>
        </w:rPr>
        <w:softHyphen/>
        <w:t>ределали место командира, в частности, вме</w:t>
      </w:r>
      <w:r w:rsidRPr="007224C3">
        <w:rPr>
          <w:rStyle w:val="680"/>
          <w:rFonts w:ascii="Times New Roman" w:hAnsi="Times New Roman" w:cs="Times New Roman"/>
          <w:color w:val="0070C0"/>
          <w:sz w:val="16"/>
          <w:szCs w:val="16"/>
        </w:rPr>
        <w:softHyphen/>
        <w:t>сто «фигурного» выступа его форма стала более простой. Угол наклона крыши башни еще больше уменьшили, а торсион люка заря</w:t>
      </w:r>
      <w:r w:rsidRPr="007224C3">
        <w:rPr>
          <w:rStyle w:val="680"/>
          <w:rFonts w:ascii="Times New Roman" w:hAnsi="Times New Roman" w:cs="Times New Roman"/>
          <w:color w:val="0070C0"/>
          <w:sz w:val="16"/>
          <w:szCs w:val="16"/>
        </w:rPr>
        <w:softHyphen/>
        <w:t>жающего снова удлинили. Не менее интерес</w:t>
      </w:r>
      <w:r w:rsidRPr="007224C3">
        <w:rPr>
          <w:rStyle w:val="680"/>
          <w:rFonts w:ascii="Times New Roman" w:hAnsi="Times New Roman" w:cs="Times New Roman"/>
          <w:color w:val="0070C0"/>
          <w:sz w:val="16"/>
          <w:szCs w:val="16"/>
        </w:rPr>
        <w:softHyphen/>
        <w:t>но, что на чертеже теперь было два вида по</w:t>
      </w:r>
      <w:r w:rsidRPr="007224C3">
        <w:rPr>
          <w:rStyle w:val="680"/>
          <w:rFonts w:ascii="Times New Roman" w:hAnsi="Times New Roman" w:cs="Times New Roman"/>
          <w:color w:val="0070C0"/>
          <w:sz w:val="16"/>
          <w:szCs w:val="16"/>
        </w:rPr>
        <w:softHyphen/>
        <w:t>ручней: помимо «штатных» длинных поруч</w:t>
      </w:r>
      <w:r w:rsidRPr="007224C3">
        <w:rPr>
          <w:rStyle w:val="680"/>
          <w:rFonts w:ascii="Times New Roman" w:hAnsi="Times New Roman" w:cs="Times New Roman"/>
          <w:color w:val="0070C0"/>
          <w:sz w:val="16"/>
          <w:szCs w:val="16"/>
        </w:rPr>
        <w:softHyphen/>
        <w:t>ней, предусматривались и более короткие. Доработанный корпус башни получил чер</w:t>
      </w:r>
      <w:r w:rsidRPr="007224C3">
        <w:rPr>
          <w:rStyle w:val="680"/>
          <w:rFonts w:ascii="Times New Roman" w:hAnsi="Times New Roman" w:cs="Times New Roman"/>
          <w:color w:val="0070C0"/>
          <w:sz w:val="16"/>
          <w:szCs w:val="16"/>
        </w:rPr>
        <w:softHyphen/>
        <w:t>тежный номер 240-57-Сб117. Изменилась и неподвижная бронировка системы, получив</w:t>
      </w:r>
      <w:r w:rsidRPr="007224C3">
        <w:rPr>
          <w:rStyle w:val="680"/>
          <w:rFonts w:ascii="Times New Roman" w:hAnsi="Times New Roman" w:cs="Times New Roman"/>
          <w:color w:val="0070C0"/>
          <w:sz w:val="16"/>
          <w:szCs w:val="16"/>
        </w:rPr>
        <w:softHyphen/>
        <w:t>шая номер 240-57-Сб119. Наибольшие изме</w:t>
      </w:r>
      <w:r w:rsidRPr="007224C3">
        <w:rPr>
          <w:rStyle w:val="680"/>
          <w:rFonts w:ascii="Times New Roman" w:hAnsi="Times New Roman" w:cs="Times New Roman"/>
          <w:color w:val="0070C0"/>
          <w:sz w:val="16"/>
          <w:szCs w:val="16"/>
        </w:rPr>
        <w:softHyphen/>
        <w:t>нения претерпела левая скула бронировки. Это было связано с появлением более широ</w:t>
      </w:r>
      <w:r w:rsidRPr="007224C3">
        <w:rPr>
          <w:rStyle w:val="680"/>
          <w:rFonts w:ascii="Times New Roman" w:hAnsi="Times New Roman" w:cs="Times New Roman"/>
          <w:color w:val="0070C0"/>
          <w:sz w:val="16"/>
          <w:szCs w:val="16"/>
        </w:rPr>
        <w:softHyphen/>
        <w:t>кой подвижной бронировки маски. Помимо увеличения площади защиты, подвижная бронировка играла еще одну роль. Дело в том, что телескопическим прицелом 10Т-17, стоявшим слишком близко к орудию, танки</w:t>
      </w:r>
      <w:r w:rsidRPr="007224C3">
        <w:rPr>
          <w:rStyle w:val="680"/>
          <w:rFonts w:ascii="Times New Roman" w:hAnsi="Times New Roman" w:cs="Times New Roman"/>
          <w:color w:val="0070C0"/>
          <w:sz w:val="16"/>
          <w:szCs w:val="16"/>
        </w:rPr>
        <w:softHyphen/>
        <w:t>сты были недовольны. Еще с конца 1943 года шли работы по установке ломающегося теле</w:t>
      </w:r>
      <w:r w:rsidRPr="007224C3">
        <w:rPr>
          <w:rStyle w:val="680"/>
          <w:rFonts w:ascii="Times New Roman" w:hAnsi="Times New Roman" w:cs="Times New Roman"/>
          <w:color w:val="0070C0"/>
          <w:sz w:val="16"/>
          <w:szCs w:val="16"/>
        </w:rPr>
        <w:softHyphen/>
        <w:t>скопического прицела ТШ-15. Впервые его испытали еще на «Объекте 239», но запуск прицела (прицел для Д-25Т получил обозна</w:t>
      </w:r>
      <w:r w:rsidRPr="007224C3">
        <w:rPr>
          <w:rStyle w:val="680"/>
          <w:rFonts w:ascii="Times New Roman" w:hAnsi="Times New Roman" w:cs="Times New Roman"/>
          <w:color w:val="0070C0"/>
          <w:sz w:val="16"/>
          <w:szCs w:val="16"/>
        </w:rPr>
        <w:softHyphen/>
        <w:t>чение ТШ-17) в серию задержался. Задержа</w:t>
      </w:r>
      <w:r w:rsidRPr="007224C3">
        <w:rPr>
          <w:rStyle w:val="680"/>
          <w:rFonts w:ascii="Times New Roman" w:hAnsi="Times New Roman" w:cs="Times New Roman"/>
          <w:color w:val="0070C0"/>
          <w:sz w:val="16"/>
          <w:szCs w:val="16"/>
        </w:rPr>
        <w:softHyphen/>
        <w:t>лось и внедрение новой бронировки систе</w:t>
      </w:r>
      <w:r w:rsidRPr="007224C3">
        <w:rPr>
          <w:rStyle w:val="680"/>
          <w:rFonts w:ascii="Times New Roman" w:hAnsi="Times New Roman" w:cs="Times New Roman"/>
          <w:color w:val="0070C0"/>
          <w:sz w:val="16"/>
          <w:szCs w:val="16"/>
        </w:rPr>
        <w:softHyphen/>
        <w:t>мы. В то время как корпус башни 240-57- Сб117 пошел в серию с февраля, «широкая» бронировка появилась лишь в мае (19874).</w:t>
      </w:r>
    </w:p>
    <w:p w14:paraId="49BF5429" w14:textId="77777777" w:rsidR="00D549FB" w:rsidRPr="007224C3" w:rsidRDefault="00D549FB" w:rsidP="007224C3">
      <w:pPr>
        <w:spacing w:after="0" w:line="240" w:lineRule="auto"/>
        <w:jc w:val="both"/>
        <w:rPr>
          <w:rFonts w:ascii="Times New Roman" w:hAnsi="Times New Roman"/>
          <w:color w:val="0070C0"/>
          <w:sz w:val="16"/>
          <w:szCs w:val="16"/>
        </w:rPr>
      </w:pPr>
    </w:p>
    <w:p w14:paraId="1D6E7F12"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января 1944 вышло Распоряжение ГКО № 4988 [О назначении Васина С.А. уполномоченным ГКО по порту Петропавловск-на-Камчатке для руководства приемкой импортных грузов.] (7176, 57).</w:t>
      </w:r>
    </w:p>
    <w:p w14:paraId="330D99A6"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BCC536B"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января 1944 вышло Распоряжение ГКО № 4989 [О приостановке на зимний период работ по спасению танкера "Мариуполь" и расследовании обстоятельств аварии.] (7176, 58).</w:t>
      </w:r>
    </w:p>
    <w:p w14:paraId="58A8E8BE"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2F595B1"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января 1944 вышло Постановление ГКО № 4990 О неотложных мерах по обеспечению углем в зимний период железных дорог, заводов черной металлургии, электростанций и оборонной промышленности. (7176, 59-76,77-101).</w:t>
      </w:r>
    </w:p>
    <w:p w14:paraId="027C8AE2"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EE8C2E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января 1944 вышло Постановление ГКО № 4991 Об организации в г. Киеве украинского филиала треста передвижки и разборки зданий Мосгорисполкома. РГАНИР, Фонд ГКО, д. 195, лл. 102-107,108-110 (11012).</w:t>
      </w:r>
    </w:p>
    <w:p w14:paraId="428B4BE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74ECB2A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января 1944 вышло Постановление ГКО № 4992 О поставке бензотары, средств заправки, подогрева и других спецмашин Наркомату обороны и Наркомвоенморфлоту в I квартале 1944 года. РГАНИР, Фонд ГКО, д. 195, лл. 111-112,113-117 (11012).</w:t>
      </w:r>
    </w:p>
    <w:p w14:paraId="378F0F5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064CE99C"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января 1944 вышло Постановление ГКО № 4993 [О наказании ряда лиц из руководства строительством № 2 НКПС и Омской ж.д. за преступное отношение к содержанию и отправке домой двух эшелонов с демобилизованными трудармейцами из Средней Азии и о мерах по недопущению подобного впредь.] (7176, 118-120).</w:t>
      </w:r>
    </w:p>
    <w:p w14:paraId="4FAAA717"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0D8F7A4"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7EA14A0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CA3087B" w14:textId="77777777" w:rsidR="00EC515D" w:rsidRPr="007224C3" w:rsidRDefault="00EC515D"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19 января</w:t>
      </w:r>
      <w:r w:rsidRPr="007224C3">
        <w:rPr>
          <w:rFonts w:ascii="Times New Roman" w:hAnsi="Times New Roman"/>
          <w:color w:val="000000" w:themeColor="text1"/>
          <w:sz w:val="16"/>
          <w:szCs w:val="16"/>
        </w:rPr>
        <w:t xml:space="preserve"> в 1944 году оперативная сводка Совинформбюро:</w:t>
      </w:r>
    </w:p>
    <w:p w14:paraId="658900DE" w14:textId="77777777" w:rsidR="00EC515D" w:rsidRPr="007224C3" w:rsidRDefault="00EC515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Ленинградского фронта под командованием генерала армии Говорова, продолжая развивать наступление из районов Пулково и южнее Ораниенбаум, 19 января штурмом овладели городом Красное Село, превращённым немцами в крепость, и таким же мощным опорным пунктом обороны противника и важнейшим узлом дорог — Ропша. За пять дней напряжённых боёв наши войска продвинулись вперёд на каждом направлении от 12 до 20 километров, расширили прорыв на каждом участке наступления до 35-40 километров по фронту и освободили при этом более 80 населённых пунктов. Войска, наступающие южнее Ораниенбаума, овладели городом Петергоф, крупными населёнными пунктами Гостилицы, Новая, Петровская, Кожерицы, Вилповицы, Исаево-Малкунова, Дятлицы, Сокули, Елагино, Волосово, Глядино, Хабони, Никоземягги, Нижняя Кипень, Малые и Большие Горки, Липицы. Войска, наступающие из района Пулково, овладели крупными населёнными пунктами Финское Койрово, Большое Виттолово, Александровка, Соболева, Константиновка, Николаевка, Паюла, Род, Горская, Дудергоф, Пиккола.</w:t>
      </w:r>
    </w:p>
    <w:p w14:paraId="53F3289A" w14:textId="77777777" w:rsidR="00EC515D" w:rsidRPr="007224C3" w:rsidRDefault="00EC515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ходе наступления войска Ленинградского фронта нанесли тяжёлое поражение семи пехотным дивизиям немцев и захватили трофеи: орудий разных калибров — 195, из них 36 тяжёлых орудий, калибром от 152 мм до 406 мм, из артиллерийской группы, обстреливавшей Ленинград, 17 самоходных орудий «Фердинанд», танков — 16, из них 7 «Тигров»; миномётов — 109 и большое количество стрелкового вооружения и боеприпасов. Уничтожено: орудий разного калибра — 102, танков — 58, миномётов —140, пулемётов — 371.</w:t>
      </w:r>
    </w:p>
    <w:p w14:paraId="326981A0" w14:textId="77777777" w:rsidR="00EC515D" w:rsidRPr="007224C3" w:rsidRDefault="00EC515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Захвачено в плен более 1.000 немецких солдат и офицеров.</w:t>
      </w:r>
    </w:p>
    <w:p w14:paraId="149E9D43" w14:textId="77777777" w:rsidR="00EC515D" w:rsidRPr="007224C3" w:rsidRDefault="00EC515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Противник оставил на поле боя более 20.000 трупов солдат и офицеров.</w:t>
      </w:r>
    </w:p>
    <w:p w14:paraId="2403C76B" w14:textId="77777777" w:rsidR="00EC515D" w:rsidRPr="007224C3" w:rsidRDefault="00EC515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Волховского фронта под командованием генерала армии Мерецкова, севернее Новгорода, за пять дней упорных боёв продвинулись вперёд до 30 километров, расширили прорыв до 50 километров по фронту и освободили более 80 населённых пунктов, в том числе крупные населённые пункты Любцы, Копцы, Вешки, Андрюхиново, Котовицы, Кречевицы, Хутынь, Некохово, Большеводское, Чечулино, Моторово, Стрелка, Трубичино, Вяжище, Сырково, железнодорожные станции Подберезье, Витка, Болотная и перерезали железную дорогу Новгород—Ленинград. Южнее Новгорода наши войска успешно форсировали верховье озера Ильмень, овладелинаселёнными пунктами Троица, Береговые Морины, Старая Ракома, Новая Ракома, Горные Морины, Здринога, Козынёво, Три Отрока, Желкун, Моисеевичи, Неронов Бор, Горки, Соснец, Храмзино, Толстиково и перерезали шоссе и железную дорогу Новгород — Шимск.</w:t>
      </w:r>
    </w:p>
    <w:p w14:paraId="40061090" w14:textId="77777777" w:rsidR="00EC515D" w:rsidRPr="007224C3" w:rsidRDefault="00EC515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19 января севернее Новосокольники наши войска, преодолевая сопротивление противника, продолжали вести наступательные бои и заняли несколько населённых пунктов.</w:t>
      </w:r>
    </w:p>
    <w:p w14:paraId="43B64319" w14:textId="77777777" w:rsidR="00EC515D" w:rsidRPr="007224C3" w:rsidRDefault="00EC515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Новоград-Волынский наши войска с боями продвигались вперёд иовладели районным центром Ровенской области Гоща, а также заняли несколько других населённых пунктов.</w:t>
      </w:r>
    </w:p>
    <w:p w14:paraId="4238E74E" w14:textId="77777777" w:rsidR="00EC515D" w:rsidRPr="007224C3" w:rsidRDefault="00EC515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Севернее Христиновки наши войска успешно отбивали контратаки крупных силпехоты и танков противника и нанесли ему большие потери в живой силе и технике.</w:t>
      </w:r>
    </w:p>
    <w:p w14:paraId="1C0E7148" w14:textId="77777777" w:rsidR="00EC515D" w:rsidRPr="007224C3" w:rsidRDefault="00EC515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в ряде пунктов шли бои местного значения.</w:t>
      </w:r>
    </w:p>
    <w:p w14:paraId="711C97BE" w14:textId="77777777" w:rsidR="00EC515D" w:rsidRPr="007224C3" w:rsidRDefault="00EC515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18 января наши войска на всех фронтах подбили и уничтожили 46 немецких танков. В воздушных боях и огнём зенитной артиллерии сбито 11 самолётов противника.</w:t>
      </w:r>
    </w:p>
    <w:p w14:paraId="70F643E4" w14:textId="77777777" w:rsidR="00EC515D" w:rsidRPr="007224C3" w:rsidRDefault="00EC515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Войска Ленинградского фронта пять дней тому назад перешли в наступление. Наши войска, действующие из района Пулково, прорвали сильно укреплённую долговременную оборону немцев, состоявшую из железобетонных дотов, бронированных колпаков, дзотов и ходов сообщения, прикрытых минными полями, проволочными заграждениями и противотанковыми препятствиями. Эти укрепления, построенные по последнему слову военно-инженерного искусства, были насыщены до предела различными огневыми средствами. Продвигаясь вперёд, наши войска встретили вторую столь же мощную полосу укреплений. Советские пехотинцы, танкисты и сопровождавшая их артиллерия взломали и эту оборонительную полосу противника и сегодня штурмом овладели городом Красное Село, превращённым немцами в крепость. Наши войска, действующие из района южнее Ораниенбаума, перейдя в наступление, прорвали глубоко эшелонированную оборону немцев и в результате стремительной атаки заняли крупнейший опорный пункт обороны немцев и важнейший узел дорог —Ропша. Освобождён от немецких захватчиков город Петергоф и более 80 других населённых пунктов. Места боёв усеяны тысячами трупов вражеских солдат и офицеров, разбитой техникой, а также </w:t>
      </w:r>
      <w:r w:rsidRPr="007224C3">
        <w:rPr>
          <w:rFonts w:ascii="Times New Roman" w:hAnsi="Times New Roman"/>
          <w:color w:val="000000" w:themeColor="text1"/>
          <w:sz w:val="16"/>
          <w:szCs w:val="16"/>
        </w:rPr>
        <w:lastRenderedPageBreak/>
        <w:t>вооружением, брошенным немцами при отступлении. В числе трофеев нашими войсками захвачено 36 тяжёлых и сверхтяжёлых орудий, из которых немцы обстреливали город Ленинград.</w:t>
      </w:r>
    </w:p>
    <w:p w14:paraId="32976303" w14:textId="77777777" w:rsidR="00EC515D" w:rsidRPr="007224C3" w:rsidRDefault="00EC515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Севернее Новгорода наши войска после мощной артиллерийской подготовки перешли в наступление. Расчищая путь пехоте и танкам, советские артиллеристы подавили огромное количество огневых точек противника. Прорвав оборону немцев, наши частив результате упорных боёв заняли более 80 населенных пунктов. Особенно ожесточённые бои происходили в районе населённого пункта Вешки. Немцы сосредоточили здесь крупные силы и непрерывно бросали их в контратаки. Наши войска разгромили два полка гитлеровцев и умелым манёвром овладели этим опорным пунктом противника. В районе другого населённого пункта советские бойцы уничтожили свыше 2.000 немецких солдат и офицеров. Захвачены большие трофеи имного пленных. Южнее Новгорода наши войска, переправившиеся через озеро Ильмень, заняли ряд пунктов и продолжают успешно продвигаться вперёд.</w:t>
      </w:r>
    </w:p>
    <w:p w14:paraId="74BE3431" w14:textId="77777777" w:rsidR="00EC515D" w:rsidRPr="007224C3" w:rsidRDefault="00EC515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Севернее Новосокольники наши войска продолжали вести наступательные бои. Немцы спешно подтянули резервы и контратаками пытаются задержать продвижение советских частей. Особенно упорные бои развернулись западнее железнодорожной станции Насва. Наши бойцы успешно отбили все контратаки противника и уничтожили до 1.500 гитлеровцев. В другом районе наши войска с боями заняли несколько населённых пунктов.</w:t>
      </w:r>
    </w:p>
    <w:p w14:paraId="3FE52E4B" w14:textId="77777777" w:rsidR="00EC515D" w:rsidRPr="007224C3" w:rsidRDefault="00EC515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города Новоград-Волынский части Н-ского соединения, сломив сопротивление немцев, овладели районным центром Ровенской области Гоща. В боях за Гоща советские пехотинцы и танкисты разгромили до полка пехоты противника. Захвачено у немцев несколько артиллерийских и миномётных батарей, а также много боеприпасов.</w:t>
      </w:r>
    </w:p>
    <w:p w14:paraId="562DBBB3" w14:textId="77777777" w:rsidR="00EC515D" w:rsidRPr="007224C3" w:rsidRDefault="00EC515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Днепропетровска на одном участке действует команда снайперов во главе с лейтенантом Ткачом. В команде 22 бойца. За восемь дней, с 10 по 18 января, снайперы истребили 216 немецких солдат и офицеров. Лейтенант Ткач, ефрейтор Абзалимов и красноармеец Козявин за это время убили по 15 немцев каждый. Младший сержант Шарифулин, красноармейцы Раджабов и Джаркимбеков истребили по 13 гитлеровцев.</w:t>
      </w:r>
    </w:p>
    <w:p w14:paraId="3386B4AB" w14:textId="77777777" w:rsidR="00EC515D" w:rsidRPr="007224C3" w:rsidRDefault="00EC515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Партизанский отряд, действующий в Полесской области, в ночь на 9 января внезапно напал на немецкий гарнизон, расположенный в одном населённом пункте. Советские патриоты истребили 60 немецких солдат и 3 офицеров. Группа партизан этого же отряда за пять дней пустила под откос 11 немецких воинских эшелонов.» (15014).</w:t>
      </w:r>
    </w:p>
    <w:p w14:paraId="51CDDA83" w14:textId="77777777" w:rsidR="00EC515D" w:rsidRPr="007224C3" w:rsidRDefault="00EC515D" w:rsidP="007224C3">
      <w:pPr>
        <w:spacing w:after="0" w:line="240" w:lineRule="auto"/>
        <w:jc w:val="both"/>
        <w:rPr>
          <w:rFonts w:ascii="Times New Roman" w:hAnsi="Times New Roman"/>
          <w:color w:val="000000" w:themeColor="text1"/>
          <w:sz w:val="16"/>
          <w:szCs w:val="16"/>
        </w:rPr>
      </w:pPr>
    </w:p>
    <w:p w14:paraId="6144BDFC" w14:textId="77777777" w:rsidR="00EC515D" w:rsidRPr="007224C3" w:rsidRDefault="00EC515D"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19 января</w:t>
      </w:r>
      <w:r w:rsidRPr="007224C3">
        <w:rPr>
          <w:rFonts w:ascii="Times New Roman" w:hAnsi="Times New Roman"/>
          <w:color w:val="000000" w:themeColor="text1"/>
          <w:sz w:val="16"/>
          <w:szCs w:val="16"/>
        </w:rPr>
        <w:t xml:space="preserve"> в 1944 году войска 2-й Ударной и 42-й армий Ленинградского фронта соединились в районе Русско-Высоцкого (юго-восточнее Ропши), завершив окружение петергофско-стрельнинской группировки противника (15014).</w:t>
      </w:r>
    </w:p>
    <w:p w14:paraId="25396A0E" w14:textId="77777777" w:rsidR="00EC515D" w:rsidRPr="007224C3" w:rsidRDefault="00EC515D" w:rsidP="007224C3">
      <w:pPr>
        <w:spacing w:after="0" w:line="240" w:lineRule="auto"/>
        <w:jc w:val="both"/>
        <w:rPr>
          <w:rFonts w:ascii="Times New Roman" w:hAnsi="Times New Roman"/>
          <w:color w:val="000000" w:themeColor="text1"/>
          <w:sz w:val="16"/>
          <w:szCs w:val="16"/>
        </w:rPr>
      </w:pPr>
    </w:p>
    <w:p w14:paraId="26A65814"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января 1944 советские войска освободили Новгород (4962).</w:t>
      </w:r>
    </w:p>
    <w:p w14:paraId="568DCB8F"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8C7140E" w14:textId="77777777" w:rsidR="00EC515D"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Внешняя политика:</w:t>
      </w:r>
    </w:p>
    <w:p w14:paraId="28590E2A" w14:textId="77777777" w:rsidR="00EC515D" w:rsidRPr="007224C3" w:rsidRDefault="00EC515D"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B813A1F" w14:textId="77777777" w:rsidR="00EC515D" w:rsidRPr="007224C3" w:rsidRDefault="00EC515D"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19 января</w:t>
      </w:r>
      <w:r w:rsidRPr="007224C3">
        <w:rPr>
          <w:rFonts w:ascii="Times New Roman" w:hAnsi="Times New Roman"/>
          <w:color w:val="000000" w:themeColor="text1"/>
          <w:sz w:val="16"/>
          <w:szCs w:val="16"/>
        </w:rPr>
        <w:t xml:space="preserve"> в 1944 году правительство США зявило о готовности взать на себя роль посредника в переговорах между СССР и польским эмигрантским правительством в вопросах послевоенного устройства Польши. Однако Советское правительство отклонило это предложение (15014).</w:t>
      </w:r>
    </w:p>
    <w:p w14:paraId="279FA170" w14:textId="77777777" w:rsidR="00EC515D" w:rsidRPr="007224C3" w:rsidRDefault="00EC515D" w:rsidP="007224C3">
      <w:pPr>
        <w:spacing w:after="0" w:line="240" w:lineRule="auto"/>
        <w:jc w:val="both"/>
        <w:rPr>
          <w:rFonts w:ascii="Times New Roman" w:hAnsi="Times New Roman"/>
          <w:color w:val="000000" w:themeColor="text1"/>
          <w:sz w:val="16"/>
          <w:szCs w:val="16"/>
        </w:rPr>
      </w:pPr>
    </w:p>
    <w:p w14:paraId="32010800"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6C9CB85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6D8336F" w14:textId="77777777" w:rsidR="00D549FB" w:rsidRPr="007224C3" w:rsidRDefault="00D549FB"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19 января 1944 тяжелые и средние бомбардировщики союзников наносят удары по Витербо, Риети и Перудже, Италия. Военно-воздушные силы союзников утверждают, что их воздушная кампания прервала все коммуникации между северной Италией и районом Рима, хотя это не соответствует действительности (20373).</w:t>
      </w:r>
    </w:p>
    <w:p w14:paraId="2F39D5D5" w14:textId="77777777" w:rsidR="00D549FB" w:rsidRPr="007224C3" w:rsidRDefault="00D549FB" w:rsidP="007224C3">
      <w:pPr>
        <w:spacing w:after="0" w:line="240" w:lineRule="auto"/>
        <w:jc w:val="both"/>
        <w:rPr>
          <w:rFonts w:ascii="Times New Roman" w:hAnsi="Times New Roman"/>
          <w:color w:val="0070C0"/>
          <w:sz w:val="16"/>
          <w:szCs w:val="16"/>
        </w:rPr>
      </w:pPr>
    </w:p>
    <w:p w14:paraId="53581733"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января 1944 немецкие войска захватили все полицейские участки в Копенгагене, обезоружив датскую полицию (4962).</w:t>
      </w:r>
    </w:p>
    <w:p w14:paraId="757EF1A4"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20912EC"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5127A26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88E2BD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20 января 1944 на заводе № 240 мотор на Ил-2 М-42 (РК) был вновь заменен. С шестыдл по счету мотором (зав. № 4248) "с алиссоновскими всасываю</w:t>
      </w:r>
      <w:r w:rsidRPr="007224C3">
        <w:rPr>
          <w:rFonts w:ascii="Times New Roman" w:hAnsi="Times New Roman"/>
          <w:color w:val="000000" w:themeColor="text1"/>
          <w:sz w:val="16"/>
          <w:szCs w:val="16"/>
        </w:rPr>
        <w:softHyphen/>
        <w:t>щими патрубками" результаты ока</w:t>
      </w:r>
      <w:r w:rsidRPr="007224C3">
        <w:rPr>
          <w:rFonts w:ascii="Times New Roman" w:hAnsi="Times New Roman"/>
          <w:color w:val="000000" w:themeColor="text1"/>
          <w:sz w:val="16"/>
          <w:szCs w:val="16"/>
        </w:rPr>
        <w:softHyphen/>
        <w:t>зались лучше. Появилась надежда завершить всю программу заводских испытаний и подготовить "следопыт" к передаче в НИИ ВВС для произ</w:t>
      </w:r>
      <w:r w:rsidRPr="007224C3">
        <w:rPr>
          <w:rFonts w:ascii="Times New Roman" w:hAnsi="Times New Roman"/>
          <w:color w:val="000000" w:themeColor="text1"/>
          <w:sz w:val="16"/>
          <w:szCs w:val="16"/>
        </w:rPr>
        <w:softHyphen/>
        <w:t>водства государственных испытаний.</w:t>
      </w:r>
    </w:p>
    <w:p w14:paraId="0135FDC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этому времени Ил-2М в оче</w:t>
      </w:r>
      <w:r w:rsidRPr="007224C3">
        <w:rPr>
          <w:rFonts w:ascii="Times New Roman" w:hAnsi="Times New Roman"/>
          <w:color w:val="000000" w:themeColor="text1"/>
          <w:sz w:val="16"/>
          <w:szCs w:val="16"/>
        </w:rPr>
        <w:softHyphen/>
        <w:t>редной раз был "подан в сборочный цех завода № 240". На самолете предполагалось установить дорабо</w:t>
      </w:r>
      <w:r w:rsidRPr="007224C3">
        <w:rPr>
          <w:rFonts w:ascii="Times New Roman" w:hAnsi="Times New Roman"/>
          <w:color w:val="000000" w:themeColor="text1"/>
          <w:sz w:val="16"/>
          <w:szCs w:val="16"/>
        </w:rPr>
        <w:softHyphen/>
        <w:t>танный мотор АМ-42, новые бензо</w:t>
      </w:r>
      <w:r w:rsidRPr="007224C3">
        <w:rPr>
          <w:rFonts w:ascii="Times New Roman" w:hAnsi="Times New Roman"/>
          <w:color w:val="000000" w:themeColor="text1"/>
          <w:sz w:val="16"/>
          <w:szCs w:val="16"/>
        </w:rPr>
        <w:softHyphen/>
        <w:t>баки с увеличенным до 1020 л объе</w:t>
      </w:r>
      <w:r w:rsidRPr="007224C3">
        <w:rPr>
          <w:rFonts w:ascii="Times New Roman" w:hAnsi="Times New Roman"/>
          <w:color w:val="000000" w:themeColor="text1"/>
          <w:sz w:val="16"/>
          <w:szCs w:val="16"/>
        </w:rPr>
        <w:softHyphen/>
        <w:t>мом, цельнометаллическую хвосто</w:t>
      </w:r>
      <w:r w:rsidRPr="007224C3">
        <w:rPr>
          <w:rFonts w:ascii="Times New Roman" w:hAnsi="Times New Roman"/>
          <w:color w:val="000000" w:themeColor="text1"/>
          <w:sz w:val="16"/>
          <w:szCs w:val="16"/>
        </w:rPr>
        <w:softHyphen/>
        <w:t>вую часть фюзеляжа и хвостовое опе</w:t>
      </w:r>
      <w:r w:rsidRPr="007224C3">
        <w:rPr>
          <w:rFonts w:ascii="Times New Roman" w:hAnsi="Times New Roman"/>
          <w:color w:val="000000" w:themeColor="text1"/>
          <w:sz w:val="16"/>
          <w:szCs w:val="16"/>
        </w:rPr>
        <w:softHyphen/>
        <w:t>рение, а также цельнометаллическое крыло с двумя пушками 11 П (90 сна</w:t>
      </w:r>
      <w:r w:rsidRPr="007224C3">
        <w:rPr>
          <w:rFonts w:ascii="Times New Roman" w:hAnsi="Times New Roman"/>
          <w:color w:val="000000" w:themeColor="text1"/>
          <w:sz w:val="16"/>
          <w:szCs w:val="16"/>
        </w:rPr>
        <w:softHyphen/>
        <w:t>рядов) и двумя пулеметами ШКАС (1500 патронов). При этом 11 П, в отличие от серийного Ил-2 с такими же пушками, размещались внутри крыла и ближе к оси самолета, а пу</w:t>
      </w:r>
      <w:r w:rsidRPr="007224C3">
        <w:rPr>
          <w:rFonts w:ascii="Times New Roman" w:hAnsi="Times New Roman"/>
          <w:color w:val="000000" w:themeColor="text1"/>
          <w:sz w:val="16"/>
          <w:szCs w:val="16"/>
        </w:rPr>
        <w:softHyphen/>
        <w:t>леметы ШКАС дальше. Нормальная бомбовая нагрузка составляла 400 кг. В перегрузку допускалась под</w:t>
      </w:r>
      <w:r w:rsidRPr="007224C3">
        <w:rPr>
          <w:rFonts w:ascii="Times New Roman" w:hAnsi="Times New Roman"/>
          <w:color w:val="000000" w:themeColor="text1"/>
          <w:sz w:val="16"/>
          <w:szCs w:val="16"/>
        </w:rPr>
        <w:softHyphen/>
        <w:t>веска еще 400 кг бомб. Кроме это</w:t>
      </w:r>
      <w:r w:rsidRPr="007224C3">
        <w:rPr>
          <w:rFonts w:ascii="Times New Roman" w:hAnsi="Times New Roman"/>
          <w:color w:val="000000" w:themeColor="text1"/>
          <w:sz w:val="16"/>
          <w:szCs w:val="16"/>
        </w:rPr>
        <w:softHyphen/>
        <w:t>го, для защиты задней нижней полу</w:t>
      </w:r>
      <w:r w:rsidRPr="007224C3">
        <w:rPr>
          <w:rFonts w:ascii="Times New Roman" w:hAnsi="Times New Roman"/>
          <w:color w:val="000000" w:themeColor="text1"/>
          <w:sz w:val="16"/>
          <w:szCs w:val="16"/>
        </w:rPr>
        <w:softHyphen/>
        <w:t>сферы в хвостовой части устанавли</w:t>
      </w:r>
      <w:r w:rsidRPr="007224C3">
        <w:rPr>
          <w:rFonts w:ascii="Times New Roman" w:hAnsi="Times New Roman"/>
          <w:color w:val="000000" w:themeColor="text1"/>
          <w:sz w:val="16"/>
          <w:szCs w:val="16"/>
        </w:rPr>
        <w:softHyphen/>
        <w:t>валась кассета ДАГ-10 с десятью авиационными гранатами АГ-2. Ра</w:t>
      </w:r>
      <w:r w:rsidRPr="007224C3">
        <w:rPr>
          <w:rFonts w:ascii="Times New Roman" w:hAnsi="Times New Roman"/>
          <w:color w:val="000000" w:themeColor="text1"/>
          <w:sz w:val="16"/>
          <w:szCs w:val="16"/>
        </w:rPr>
        <w:softHyphen/>
        <w:t>кетное оружие отсутствовало. Сталь</w:t>
      </w:r>
      <w:r w:rsidRPr="007224C3">
        <w:rPr>
          <w:rFonts w:ascii="Times New Roman" w:hAnsi="Times New Roman"/>
          <w:color w:val="000000" w:themeColor="text1"/>
          <w:sz w:val="16"/>
          <w:szCs w:val="16"/>
        </w:rPr>
        <w:softHyphen/>
        <w:t>ная бронебашня, которая имела пло</w:t>
      </w:r>
      <w:r w:rsidRPr="007224C3">
        <w:rPr>
          <w:rFonts w:ascii="Times New Roman" w:hAnsi="Times New Roman"/>
          <w:color w:val="000000" w:themeColor="text1"/>
          <w:sz w:val="16"/>
          <w:szCs w:val="16"/>
        </w:rPr>
        <w:softHyphen/>
        <w:t>хой обзор, была переделана с це</w:t>
      </w:r>
      <w:r w:rsidRPr="007224C3">
        <w:rPr>
          <w:rFonts w:ascii="Times New Roman" w:hAnsi="Times New Roman"/>
          <w:color w:val="000000" w:themeColor="text1"/>
          <w:sz w:val="16"/>
          <w:szCs w:val="16"/>
        </w:rPr>
        <w:softHyphen/>
        <w:t>лью увеличения обзора, "для чего примерно 50% стольной броневой поверхности башни заменяется бро</w:t>
      </w:r>
      <w:r w:rsidRPr="007224C3">
        <w:rPr>
          <w:rFonts w:ascii="Times New Roman" w:hAnsi="Times New Roman"/>
          <w:color w:val="000000" w:themeColor="text1"/>
          <w:sz w:val="16"/>
          <w:szCs w:val="16"/>
        </w:rPr>
        <w:softHyphen/>
        <w:t>невым стеклом", и установлена на самолет. Впрочем, вскоре вновь за</w:t>
      </w:r>
      <w:r w:rsidRPr="007224C3">
        <w:rPr>
          <w:rFonts w:ascii="Times New Roman" w:hAnsi="Times New Roman"/>
          <w:color w:val="000000" w:themeColor="text1"/>
          <w:sz w:val="16"/>
          <w:szCs w:val="16"/>
        </w:rPr>
        <w:softHyphen/>
        <w:t>говорили о "возвращении" брони башни на прежнее место, но решили повременить, до тех пор, пока окончательно не прояснится позиция военных по этому вопросу. Дело в том, что в Постановлении ГОКО от 26 октября 1943 г. о ней ничего не говорилось. На это обстоятельство неоднократно указывали военпреды завода. В конце концов, как следует из документов, к 10 марта броне</w:t>
      </w:r>
      <w:r w:rsidRPr="007224C3">
        <w:rPr>
          <w:rFonts w:ascii="Times New Roman" w:hAnsi="Times New Roman"/>
          <w:color w:val="000000" w:themeColor="text1"/>
          <w:sz w:val="16"/>
          <w:szCs w:val="16"/>
        </w:rPr>
        <w:softHyphen/>
        <w:t>башня была заменена установкой ВУ-8 с пулеметом УБК.</w:t>
      </w:r>
    </w:p>
    <w:p w14:paraId="0F55873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Изменялось и бронирование ма</w:t>
      </w:r>
      <w:r w:rsidRPr="007224C3">
        <w:rPr>
          <w:rFonts w:ascii="Times New Roman" w:hAnsi="Times New Roman"/>
          <w:color w:val="000000" w:themeColor="text1"/>
          <w:sz w:val="16"/>
          <w:szCs w:val="16"/>
        </w:rPr>
        <w:softHyphen/>
        <w:t>шины. В отличие от Ил-2 (РК) на штур</w:t>
      </w:r>
      <w:r w:rsidRPr="007224C3">
        <w:rPr>
          <w:rFonts w:ascii="Times New Roman" w:hAnsi="Times New Roman"/>
          <w:color w:val="000000" w:themeColor="text1"/>
          <w:sz w:val="16"/>
          <w:szCs w:val="16"/>
        </w:rPr>
        <w:softHyphen/>
        <w:t>мовике-бомбардировщике летчик со стороны задней полусферы защи</w:t>
      </w:r>
      <w:r w:rsidRPr="007224C3">
        <w:rPr>
          <w:rFonts w:ascii="Times New Roman" w:hAnsi="Times New Roman"/>
          <w:color w:val="000000" w:themeColor="text1"/>
          <w:sz w:val="16"/>
          <w:szCs w:val="16"/>
        </w:rPr>
        <w:softHyphen/>
        <w:t>щался двумя разнесенными 8-мм бро-неплитами: одна плита являлась зад</w:t>
      </w:r>
      <w:r w:rsidRPr="007224C3">
        <w:rPr>
          <w:rFonts w:ascii="Times New Roman" w:hAnsi="Times New Roman"/>
          <w:color w:val="000000" w:themeColor="text1"/>
          <w:sz w:val="16"/>
          <w:szCs w:val="16"/>
        </w:rPr>
        <w:softHyphen/>
        <w:t>ней стенкой кабины пилота, а вто</w:t>
      </w:r>
      <w:r w:rsidRPr="007224C3">
        <w:rPr>
          <w:rFonts w:ascii="Times New Roman" w:hAnsi="Times New Roman"/>
          <w:color w:val="000000" w:themeColor="text1"/>
          <w:sz w:val="16"/>
          <w:szCs w:val="16"/>
        </w:rPr>
        <w:softHyphen/>
        <w:t xml:space="preserve">рая </w:t>
      </w:r>
      <w:r w:rsidRPr="007224C3">
        <w:rPr>
          <w:rFonts w:ascii="Times New Roman" w:hAnsi="Times New Roman"/>
          <w:color w:val="000000" w:themeColor="text1"/>
          <w:sz w:val="16"/>
          <w:szCs w:val="16"/>
          <w:vertAlign w:val="superscript"/>
        </w:rPr>
        <w:t>-</w:t>
      </w:r>
      <w:r w:rsidRPr="007224C3">
        <w:rPr>
          <w:rFonts w:ascii="Times New Roman" w:hAnsi="Times New Roman"/>
          <w:color w:val="000000" w:themeColor="text1"/>
          <w:sz w:val="16"/>
          <w:szCs w:val="16"/>
        </w:rPr>
        <w:t xml:space="preserve"> передней стенкой кабины стрелка. Две разнесенные на неболь</w:t>
      </w:r>
      <w:r w:rsidRPr="007224C3">
        <w:rPr>
          <w:rFonts w:ascii="Times New Roman" w:hAnsi="Times New Roman"/>
          <w:color w:val="000000" w:themeColor="text1"/>
          <w:sz w:val="16"/>
          <w:szCs w:val="16"/>
        </w:rPr>
        <w:softHyphen/>
        <w:t>шое расстояние бронеплиты толщи</w:t>
      </w:r>
      <w:r w:rsidRPr="007224C3">
        <w:rPr>
          <w:rFonts w:ascii="Times New Roman" w:hAnsi="Times New Roman"/>
          <w:color w:val="000000" w:themeColor="text1"/>
          <w:sz w:val="16"/>
          <w:szCs w:val="16"/>
        </w:rPr>
        <w:softHyphen/>
        <w:t>ной по 8 мм устанавливались и вме</w:t>
      </w:r>
      <w:r w:rsidRPr="007224C3">
        <w:rPr>
          <w:rFonts w:ascii="Times New Roman" w:hAnsi="Times New Roman"/>
          <w:color w:val="000000" w:themeColor="text1"/>
          <w:sz w:val="16"/>
          <w:szCs w:val="16"/>
        </w:rPr>
        <w:softHyphen/>
        <w:t>сто задней 12-мм бронестенки ка</w:t>
      </w:r>
      <w:r w:rsidRPr="007224C3">
        <w:rPr>
          <w:rFonts w:ascii="Times New Roman" w:hAnsi="Times New Roman"/>
          <w:color w:val="000000" w:themeColor="text1"/>
          <w:sz w:val="16"/>
          <w:szCs w:val="16"/>
        </w:rPr>
        <w:softHyphen/>
        <w:t>бины стрелка. Для связи с землей монтировалась истребительная ра</w:t>
      </w:r>
      <w:r w:rsidRPr="007224C3">
        <w:rPr>
          <w:rFonts w:ascii="Times New Roman" w:hAnsi="Times New Roman"/>
          <w:color w:val="000000" w:themeColor="text1"/>
          <w:sz w:val="16"/>
          <w:szCs w:val="16"/>
        </w:rPr>
        <w:softHyphen/>
        <w:t>диостанция РСИ-4 с дистанционным тросовым управлением. Фиксирова</w:t>
      </w:r>
      <w:r w:rsidRPr="007224C3">
        <w:rPr>
          <w:rFonts w:ascii="Times New Roman" w:hAnsi="Times New Roman"/>
          <w:color w:val="000000" w:themeColor="text1"/>
          <w:sz w:val="16"/>
          <w:szCs w:val="16"/>
        </w:rPr>
        <w:softHyphen/>
        <w:t>ние результатов атаки обеспечива</w:t>
      </w:r>
      <w:r w:rsidRPr="007224C3">
        <w:rPr>
          <w:rFonts w:ascii="Times New Roman" w:hAnsi="Times New Roman"/>
          <w:color w:val="000000" w:themeColor="text1"/>
          <w:sz w:val="16"/>
          <w:szCs w:val="16"/>
        </w:rPr>
        <w:softHyphen/>
        <w:t>лось фотокинопулеметом ПАУ-22 и киноаппаратом КС-5, расположен</w:t>
      </w:r>
      <w:r w:rsidRPr="007224C3">
        <w:rPr>
          <w:rFonts w:ascii="Times New Roman" w:hAnsi="Times New Roman"/>
          <w:color w:val="000000" w:themeColor="text1"/>
          <w:sz w:val="16"/>
          <w:szCs w:val="16"/>
        </w:rPr>
        <w:softHyphen/>
        <w:t>ными в обтекателях шасси, а также фотоаппаратом АФА-ИМ в хвосто</w:t>
      </w:r>
      <w:r w:rsidRPr="007224C3">
        <w:rPr>
          <w:rFonts w:ascii="Times New Roman" w:hAnsi="Times New Roman"/>
          <w:color w:val="000000" w:themeColor="text1"/>
          <w:sz w:val="16"/>
          <w:szCs w:val="16"/>
        </w:rPr>
        <w:softHyphen/>
        <w:t>вой части фюзеляжа. К 28 февраля Ил-2М был "полностью подготовлен к пробному полету" (11427).</w:t>
      </w:r>
    </w:p>
    <w:p w14:paraId="5F30631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55DA68" w14:textId="77777777" w:rsidR="00987BBD" w:rsidRPr="007224C3" w:rsidRDefault="00987BB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20 января 1944 мотор АМ-42 на Ил-2 (РК) был вновь заменен. С шестым по счету мотором (зав. № 4248) «с алиссоновскими всасывающими патрубками» результаты оказались лучше. Появилась надежда завершить всю программу заводских испытаний и подготовить «следопыт» к передаче в НИИ ВВС для производства государственных испытаний.</w:t>
      </w:r>
    </w:p>
    <w:p w14:paraId="1EA8ABBD" w14:textId="77777777" w:rsidR="00987BBD" w:rsidRPr="007224C3" w:rsidRDefault="00987BB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этому времени Ил-2М в очередной раз был «подан в сборочный цех завода № 240». На самолете предполагалось установить доработанный мотор АМ-42, новые бензобаки с увеличенным до 1020 л объемом, цельнометаллическую хвостовую часть фюзеляжа и хвостовое оперение, а также цельнометаллическое крыло с двумя пушками 11П (90 снарядов) и двумя пулеметами ШКАС (1500 патронов). При этом 11П, в отличие от серийного Ил-2 с такими же пушками, размещались внутри крыла и ближе к оси самолета, а пулеметы ШКАС дальше. Нормальная бомбовая нагрузка составляла 400 кг. В перегрузку допускалась подвеска еще 400 кг бомб. Кроме этого, для защиты задней нижней полусферы в хвостовой части устанавливалась кассета ДАГ-10 с десятью авиационными гранатами АГ-2. Ракетное оружие отсутствовало. Стальная бронебашня, которая имела плохой обзор, была переделана с целью увеличения обзора («для чего примерно 50 % стальной броневой поверхности башни заменяется броневым стеклом») и установлена на самолет. Впрочем, вскоре вновь заговорили о «возвращении» брони башни на прежнее место, но решили повременить, до тех пор, пока окончательно не прояснится позиция военных по этому вопросу. Дело в том, что в постановлении ГКО № 4427сс от 26 октября 1943 г. о ней ничего не говорилось. На это обстоятельство неоднократно указывали военпреды завода. В конце концов, как следует из документов, к 10 марта 1944 года бронебашню заменили установкой ВУ-8 с пулеметом УБК.</w:t>
      </w:r>
    </w:p>
    <w:p w14:paraId="47D130F9" w14:textId="77777777" w:rsidR="00987BBD" w:rsidRPr="007224C3" w:rsidRDefault="00987BB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Изменялось и бронирование машины. В отличие от Ил-2 (РК), на штурмовике-бомбардировщике летчик и воздушный стрелок со стороны задней полусферы защищались экранированной броней, состоящей из двух 8-мм броневых листов с небольшим воздушным промежутком между ними. Такая броня более эффективно «держала» удар боеприпасов немецких авиапушек и осколков зенитных снарядов. Бронеплита экрана изготавливалась из брони марки ХД, а основная бронеплита – из брони марки АБ-2. Как показали полигонные испытания, броневая система 8+8 мм не пробивалась 15-мм бронебойной пулей с 200 м по нормали и со 100 м – под углом 20–25° к нормали, а бронебойно-разрывной снаряд калибра 20 мм удерживался при стрельбе с 50 м по нормали.</w:t>
      </w:r>
    </w:p>
    <w:p w14:paraId="3F50ACF4" w14:textId="77777777" w:rsidR="00987BBD" w:rsidRPr="007224C3" w:rsidRDefault="00987BB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связи с землей монтировалась истребительная радиостанция РСИ-4 с дистанционным тросовым управлением. Фиксирование результатов атаки обеспечивалось фотокинопулеметом ПАУ-22 и киноаппаратом КС-5, расположенными в обтекателях шасси, а также фотоаппаратом АФА-ИМ в хвостовой части фюзеляжа. К 28 февраля Ил-2М был «полностью подготовлен к пробному полету» (17490).</w:t>
      </w:r>
    </w:p>
    <w:p w14:paraId="1507E715" w14:textId="77777777" w:rsidR="00987BBD" w:rsidRPr="007224C3" w:rsidRDefault="00987BBD" w:rsidP="007224C3">
      <w:pPr>
        <w:spacing w:after="0" w:line="240" w:lineRule="auto"/>
        <w:jc w:val="both"/>
        <w:rPr>
          <w:rFonts w:ascii="Times New Roman" w:hAnsi="Times New Roman"/>
          <w:color w:val="000000" w:themeColor="text1"/>
          <w:sz w:val="16"/>
          <w:szCs w:val="16"/>
        </w:rPr>
      </w:pPr>
    </w:p>
    <w:p w14:paraId="6B38CD5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января 1944 был подготовлен отчет N 73/220с по основной деятельности завода 39 за 1943:</w:t>
      </w:r>
    </w:p>
    <w:p w14:paraId="7D29A19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Выполнение плана в натуральном выражении: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10"/>
        <w:gridCol w:w="1610"/>
        <w:gridCol w:w="1610"/>
        <w:gridCol w:w="1610"/>
        <w:gridCol w:w="1610"/>
        <w:gridCol w:w="1610"/>
        <w:gridCol w:w="1610"/>
      </w:tblGrid>
      <w:tr w:rsidR="005106D0" w:rsidRPr="007224C3" w14:paraId="426EC96A" w14:textId="77777777">
        <w:tc>
          <w:tcPr>
            <w:tcW w:w="1610" w:type="dxa"/>
          </w:tcPr>
          <w:p w14:paraId="412855B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436C910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1942</w:t>
            </w:r>
          </w:p>
        </w:tc>
        <w:tc>
          <w:tcPr>
            <w:tcW w:w="1610" w:type="dxa"/>
          </w:tcPr>
          <w:p w14:paraId="370409E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30FC359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56A0997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1943</w:t>
            </w:r>
          </w:p>
        </w:tc>
        <w:tc>
          <w:tcPr>
            <w:tcW w:w="1610" w:type="dxa"/>
          </w:tcPr>
          <w:p w14:paraId="6A2BC87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2CB54D9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9B173DD" w14:textId="77777777">
        <w:tc>
          <w:tcPr>
            <w:tcW w:w="1610" w:type="dxa"/>
          </w:tcPr>
          <w:p w14:paraId="2F31B16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206F008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План</w:t>
            </w:r>
          </w:p>
        </w:tc>
        <w:tc>
          <w:tcPr>
            <w:tcW w:w="1610" w:type="dxa"/>
          </w:tcPr>
          <w:p w14:paraId="5D74F60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Факт</w:t>
            </w:r>
          </w:p>
        </w:tc>
        <w:tc>
          <w:tcPr>
            <w:tcW w:w="1610" w:type="dxa"/>
          </w:tcPr>
          <w:p w14:paraId="6B0FCF2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610" w:type="dxa"/>
          </w:tcPr>
          <w:p w14:paraId="588AC5C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План</w:t>
            </w:r>
          </w:p>
        </w:tc>
        <w:tc>
          <w:tcPr>
            <w:tcW w:w="1610" w:type="dxa"/>
          </w:tcPr>
          <w:p w14:paraId="5ED1A57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Факт</w:t>
            </w:r>
          </w:p>
        </w:tc>
        <w:tc>
          <w:tcPr>
            <w:tcW w:w="1610" w:type="dxa"/>
          </w:tcPr>
          <w:p w14:paraId="2BC618C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7D1DEF59" w14:textId="77777777">
        <w:tc>
          <w:tcPr>
            <w:tcW w:w="1610" w:type="dxa"/>
          </w:tcPr>
          <w:p w14:paraId="57B6E2D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Ил-4</w:t>
            </w:r>
          </w:p>
        </w:tc>
        <w:tc>
          <w:tcPr>
            <w:tcW w:w="1610" w:type="dxa"/>
          </w:tcPr>
          <w:p w14:paraId="1E2A229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37</w:t>
            </w:r>
          </w:p>
        </w:tc>
        <w:tc>
          <w:tcPr>
            <w:tcW w:w="1610" w:type="dxa"/>
          </w:tcPr>
          <w:p w14:paraId="517E8AD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46</w:t>
            </w:r>
          </w:p>
        </w:tc>
        <w:tc>
          <w:tcPr>
            <w:tcW w:w="1610" w:type="dxa"/>
          </w:tcPr>
          <w:p w14:paraId="7EA167F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121.3</w:t>
            </w:r>
          </w:p>
        </w:tc>
        <w:tc>
          <w:tcPr>
            <w:tcW w:w="1610" w:type="dxa"/>
          </w:tcPr>
          <w:p w14:paraId="111D82D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667</w:t>
            </w:r>
          </w:p>
        </w:tc>
        <w:tc>
          <w:tcPr>
            <w:tcW w:w="1610" w:type="dxa"/>
          </w:tcPr>
          <w:p w14:paraId="3431100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697</w:t>
            </w:r>
          </w:p>
        </w:tc>
        <w:tc>
          <w:tcPr>
            <w:tcW w:w="1610" w:type="dxa"/>
          </w:tcPr>
          <w:p w14:paraId="593FBC0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104.5</w:t>
            </w:r>
          </w:p>
        </w:tc>
      </w:tr>
      <w:tr w:rsidR="005106D0" w:rsidRPr="007224C3" w14:paraId="4F8295E8" w14:textId="77777777">
        <w:tc>
          <w:tcPr>
            <w:tcW w:w="1610" w:type="dxa"/>
          </w:tcPr>
          <w:p w14:paraId="0074251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Пе-2 и Пе-3бис</w:t>
            </w:r>
          </w:p>
        </w:tc>
        <w:tc>
          <w:tcPr>
            <w:tcW w:w="1610" w:type="dxa"/>
          </w:tcPr>
          <w:p w14:paraId="02C0A61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564</w:t>
            </w:r>
          </w:p>
        </w:tc>
        <w:tc>
          <w:tcPr>
            <w:tcW w:w="1610" w:type="dxa"/>
          </w:tcPr>
          <w:p w14:paraId="33AFE6E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571</w:t>
            </w:r>
          </w:p>
        </w:tc>
        <w:tc>
          <w:tcPr>
            <w:tcW w:w="1610" w:type="dxa"/>
          </w:tcPr>
          <w:p w14:paraId="7E39A2C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101.2</w:t>
            </w:r>
          </w:p>
        </w:tc>
        <w:tc>
          <w:tcPr>
            <w:tcW w:w="1610" w:type="dxa"/>
          </w:tcPr>
          <w:p w14:paraId="0427D8E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610" w:type="dxa"/>
          </w:tcPr>
          <w:p w14:paraId="07B99F6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32</w:t>
            </w:r>
          </w:p>
        </w:tc>
        <w:tc>
          <w:tcPr>
            <w:tcW w:w="1610" w:type="dxa"/>
          </w:tcPr>
          <w:p w14:paraId="7724880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55796ABA" w14:textId="77777777">
        <w:tc>
          <w:tcPr>
            <w:tcW w:w="1610" w:type="dxa"/>
          </w:tcPr>
          <w:p w14:paraId="5FBDD5B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Ил-6</w:t>
            </w:r>
          </w:p>
        </w:tc>
        <w:tc>
          <w:tcPr>
            <w:tcW w:w="1610" w:type="dxa"/>
          </w:tcPr>
          <w:p w14:paraId="10BDF2E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610" w:type="dxa"/>
          </w:tcPr>
          <w:p w14:paraId="621B6A3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610" w:type="dxa"/>
          </w:tcPr>
          <w:p w14:paraId="50C5CC7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610" w:type="dxa"/>
          </w:tcPr>
          <w:p w14:paraId="4F40E17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tc>
        <w:tc>
          <w:tcPr>
            <w:tcW w:w="1610" w:type="dxa"/>
          </w:tcPr>
          <w:p w14:paraId="0715967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tc>
        <w:tc>
          <w:tcPr>
            <w:tcW w:w="1610" w:type="dxa"/>
          </w:tcPr>
          <w:p w14:paraId="623990E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w:t>
            </w:r>
          </w:p>
        </w:tc>
      </w:tr>
      <w:tr w:rsidR="005106D0" w:rsidRPr="007224C3" w14:paraId="054277B7" w14:textId="77777777">
        <w:tc>
          <w:tcPr>
            <w:tcW w:w="1610" w:type="dxa"/>
          </w:tcPr>
          <w:p w14:paraId="2E0035D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Ер-2</w:t>
            </w:r>
          </w:p>
        </w:tc>
        <w:tc>
          <w:tcPr>
            <w:tcW w:w="1610" w:type="dxa"/>
          </w:tcPr>
          <w:p w14:paraId="591F466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610" w:type="dxa"/>
          </w:tcPr>
          <w:p w14:paraId="1FDC1B6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610" w:type="dxa"/>
          </w:tcPr>
          <w:p w14:paraId="5A143DA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610" w:type="dxa"/>
          </w:tcPr>
          <w:p w14:paraId="558DCD1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tc>
        <w:tc>
          <w:tcPr>
            <w:tcW w:w="1610" w:type="dxa"/>
          </w:tcPr>
          <w:p w14:paraId="3C02BA2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610" w:type="dxa"/>
          </w:tcPr>
          <w:p w14:paraId="4FAB9A1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02CD1D98" w14:textId="77777777">
        <w:tc>
          <w:tcPr>
            <w:tcW w:w="1610" w:type="dxa"/>
          </w:tcPr>
          <w:p w14:paraId="61F74C6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673B93C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73A0997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732BA30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6C1AEE4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603421C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4B010FE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11F4F49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Ил-4</w:t>
      </w:r>
    </w:p>
    <w:p w14:paraId="7D56EF7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...заводом проделана большая работа по внедрению извещений ГК Ил-4. В результате этой работы в Ил-4 были внесены следующие изменения:</w:t>
      </w:r>
    </w:p>
    <w:p w14:paraId="0B2D66B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усилена конструкция фюзеляжа, костыля, моторамы и капотов</w:t>
      </w:r>
    </w:p>
    <w:p w14:paraId="67CA8D9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установлен пылефильтр, ГАМ-9, УФО, переоборудована кабины штурмана, введена полная металлизация самолета</w:t>
      </w:r>
    </w:p>
    <w:p w14:paraId="60A5BCA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изменен вынос крыла (на 6 гр.), дана динамическая компенсация РВ, а также внедрена пружинная компенсация в управление РВ. Эти работы потребовали изменения 500 черт. и выпуска новых 250 черт.</w:t>
      </w:r>
    </w:p>
    <w:p w14:paraId="51434FB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Внедрение этих конструкторских изменений улучшило устойчивость и управляемость машины, а установка ГАМ-9, УФО, пылефильтров улучшили тактические и эксплуатационные свойства Ил-4.</w:t>
      </w:r>
    </w:p>
    <w:p w14:paraId="1E564C1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Ил-6</w:t>
      </w:r>
    </w:p>
    <w:p w14:paraId="6FB2E18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Первые чертежи получены были 5 марта 1943 под М-90. Чертежи были спущены в производство 20 марта 1943. Во второй половине апреля были получены от ГК и спущены в производство чертежи под М-30Б (2523).</w:t>
      </w:r>
    </w:p>
    <w:p w14:paraId="3C83E97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9F5A6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января 1944 был подготовлен годовой отчет завода 30 за 1943: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8"/>
        <w:gridCol w:w="1878"/>
        <w:gridCol w:w="1878"/>
        <w:gridCol w:w="1878"/>
        <w:gridCol w:w="1878"/>
        <w:gridCol w:w="1878"/>
      </w:tblGrid>
      <w:tr w:rsidR="005106D0" w:rsidRPr="007224C3" w14:paraId="5B01ED1A" w14:textId="77777777">
        <w:tc>
          <w:tcPr>
            <w:tcW w:w="1878" w:type="dxa"/>
          </w:tcPr>
          <w:p w14:paraId="1B5C372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3BBB9D5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План</w:t>
            </w:r>
          </w:p>
        </w:tc>
        <w:tc>
          <w:tcPr>
            <w:tcW w:w="1878" w:type="dxa"/>
          </w:tcPr>
          <w:p w14:paraId="278F0C5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сборке</w:t>
            </w:r>
          </w:p>
        </w:tc>
        <w:tc>
          <w:tcPr>
            <w:tcW w:w="1878" w:type="dxa"/>
          </w:tcPr>
          <w:p w14:paraId="35D905E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61C42D6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гот. к бою</w:t>
            </w:r>
          </w:p>
        </w:tc>
        <w:tc>
          <w:tcPr>
            <w:tcW w:w="1878" w:type="dxa"/>
          </w:tcPr>
          <w:p w14:paraId="3E0EDB5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8976CBA" w14:textId="77777777">
        <w:tc>
          <w:tcPr>
            <w:tcW w:w="1878" w:type="dxa"/>
          </w:tcPr>
          <w:p w14:paraId="73F1DD6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20C6B16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019063E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Факт</w:t>
            </w:r>
          </w:p>
        </w:tc>
        <w:tc>
          <w:tcPr>
            <w:tcW w:w="1878" w:type="dxa"/>
          </w:tcPr>
          <w:p w14:paraId="1B558A8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878" w:type="dxa"/>
          </w:tcPr>
          <w:p w14:paraId="3BB14A2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Факт</w:t>
            </w:r>
          </w:p>
        </w:tc>
        <w:tc>
          <w:tcPr>
            <w:tcW w:w="1878" w:type="dxa"/>
          </w:tcPr>
          <w:p w14:paraId="1B773E2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7E22A2F8" w14:textId="77777777">
        <w:tc>
          <w:tcPr>
            <w:tcW w:w="1878" w:type="dxa"/>
          </w:tcPr>
          <w:p w14:paraId="7432F54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Ил-2</w:t>
            </w:r>
          </w:p>
        </w:tc>
        <w:tc>
          <w:tcPr>
            <w:tcW w:w="1878" w:type="dxa"/>
          </w:tcPr>
          <w:p w14:paraId="61F7CF1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2271</w:t>
            </w:r>
          </w:p>
        </w:tc>
        <w:tc>
          <w:tcPr>
            <w:tcW w:w="1878" w:type="dxa"/>
          </w:tcPr>
          <w:p w14:paraId="7ACFED8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2234</w:t>
            </w:r>
          </w:p>
        </w:tc>
        <w:tc>
          <w:tcPr>
            <w:tcW w:w="1878" w:type="dxa"/>
          </w:tcPr>
          <w:p w14:paraId="15D86E4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98.4</w:t>
            </w:r>
          </w:p>
        </w:tc>
        <w:tc>
          <w:tcPr>
            <w:tcW w:w="1878" w:type="dxa"/>
          </w:tcPr>
          <w:p w14:paraId="2B0A39D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2476</w:t>
            </w:r>
          </w:p>
        </w:tc>
        <w:tc>
          <w:tcPr>
            <w:tcW w:w="1878" w:type="dxa"/>
          </w:tcPr>
          <w:p w14:paraId="42597D2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106.8</w:t>
            </w:r>
          </w:p>
        </w:tc>
      </w:tr>
    </w:tbl>
    <w:p w14:paraId="11D2FC9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Серийные испытания самолетов выпуска последних месяцев года показали значительное превышение скорости, установленной договором.</w:t>
      </w:r>
    </w:p>
    <w:p w14:paraId="6630969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 числа выпущенных заводом боевызх машин в 1943 выпуск по основным модификациям составил:</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5106D0" w:rsidRPr="007224C3" w14:paraId="391EBDD0" w14:textId="77777777">
        <w:tc>
          <w:tcPr>
            <w:tcW w:w="3757" w:type="dxa"/>
          </w:tcPr>
          <w:p w14:paraId="710E6DC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Одноместный с ШВАК</w:t>
            </w:r>
          </w:p>
        </w:tc>
        <w:tc>
          <w:tcPr>
            <w:tcW w:w="3757" w:type="dxa"/>
          </w:tcPr>
          <w:p w14:paraId="51976C3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223</w:t>
            </w:r>
          </w:p>
        </w:tc>
      </w:tr>
      <w:tr w:rsidR="005106D0" w:rsidRPr="007224C3" w14:paraId="1090B8D7" w14:textId="77777777">
        <w:tc>
          <w:tcPr>
            <w:tcW w:w="3757" w:type="dxa"/>
          </w:tcPr>
          <w:p w14:paraId="6B64B3D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Одноместный с ВЯ</w:t>
            </w:r>
          </w:p>
        </w:tc>
        <w:tc>
          <w:tcPr>
            <w:tcW w:w="3757" w:type="dxa"/>
          </w:tcPr>
          <w:p w14:paraId="11554DA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131C72BC" w14:textId="77777777">
        <w:tc>
          <w:tcPr>
            <w:tcW w:w="3757" w:type="dxa"/>
          </w:tcPr>
          <w:p w14:paraId="1B0FDA4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Двухместный с ШВАК</w:t>
            </w:r>
          </w:p>
        </w:tc>
        <w:tc>
          <w:tcPr>
            <w:tcW w:w="3757" w:type="dxa"/>
          </w:tcPr>
          <w:p w14:paraId="4A35F59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1054</w:t>
            </w:r>
          </w:p>
        </w:tc>
      </w:tr>
      <w:tr w:rsidR="005106D0" w:rsidRPr="007224C3" w14:paraId="73E4A298" w14:textId="77777777">
        <w:tc>
          <w:tcPr>
            <w:tcW w:w="3757" w:type="dxa"/>
          </w:tcPr>
          <w:p w14:paraId="456A62F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Двухместный с ВЯ</w:t>
            </w:r>
          </w:p>
        </w:tc>
        <w:tc>
          <w:tcPr>
            <w:tcW w:w="3757" w:type="dxa"/>
          </w:tcPr>
          <w:p w14:paraId="1D62D72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w:t>
            </w:r>
          </w:p>
        </w:tc>
      </w:tr>
      <w:tr w:rsidR="005106D0" w:rsidRPr="007224C3" w14:paraId="1FBB79E0" w14:textId="77777777">
        <w:tc>
          <w:tcPr>
            <w:tcW w:w="3757" w:type="dxa"/>
          </w:tcPr>
          <w:p w14:paraId="253EA09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Двухместный с 11-П</w:t>
            </w:r>
          </w:p>
        </w:tc>
        <w:tc>
          <w:tcPr>
            <w:tcW w:w="3757" w:type="dxa"/>
          </w:tcPr>
          <w:p w14:paraId="6EA3DF5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1073</w:t>
            </w:r>
          </w:p>
        </w:tc>
      </w:tr>
      <w:tr w:rsidR="005106D0" w:rsidRPr="007224C3" w14:paraId="3A72A9F3" w14:textId="77777777">
        <w:tc>
          <w:tcPr>
            <w:tcW w:w="3757" w:type="dxa"/>
          </w:tcPr>
          <w:p w14:paraId="763F50A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Одноместные корректировщики</w:t>
            </w:r>
          </w:p>
        </w:tc>
        <w:tc>
          <w:tcPr>
            <w:tcW w:w="3757" w:type="dxa"/>
          </w:tcPr>
          <w:p w14:paraId="76050A8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57</w:t>
            </w:r>
          </w:p>
        </w:tc>
      </w:tr>
    </w:tbl>
    <w:p w14:paraId="5BEEAA5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испытании находится самолет с новым деревянным крылом с повернутой стрелкой (НС).</w:t>
      </w:r>
    </w:p>
    <w:p w14:paraId="6E08B38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...приступлено к сборке, во вновь организованном цехе, металлического крыла, с выпуском первых комплектов в январе 1944.</w:t>
      </w:r>
    </w:p>
    <w:p w14:paraId="5EDB19A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частях в течение 1943 были обнаружены ряд дефектов на машинах, выпущенных заводом... и в связи с этим было выполнено:</w:t>
      </w:r>
    </w:p>
    <w:p w14:paraId="1674FC8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Усиление фюзеляжей профилями</w:t>
      </w:r>
    </w:p>
    <w:p w14:paraId="2107C7F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Замена РВ</w:t>
      </w:r>
    </w:p>
    <w:p w14:paraId="428F262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Ремонт фанерной и полотняной обшивки крыльев</w:t>
      </w:r>
    </w:p>
    <w:p w14:paraId="08B83ED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Замена крыльев с установкой пушек 11-П</w:t>
      </w:r>
    </w:p>
    <w:p w14:paraId="1F4FF50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Ремонт хвостовой части фюзеляжа</w:t>
      </w:r>
    </w:p>
    <w:p w14:paraId="59770FF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Ремонт деревянных обтекателей шасси</w:t>
      </w:r>
    </w:p>
    <w:p w14:paraId="47AC401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Замена стыковых узлов центроплана и крыла.</w:t>
      </w:r>
    </w:p>
    <w:p w14:paraId="36235F2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числу основных недостатков качества самолета относилось:</w:t>
      </w:r>
    </w:p>
    <w:p w14:paraId="0606999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Течь масла бензосистемы</w:t>
      </w:r>
    </w:p>
    <w:p w14:paraId="463DF1D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Течь воздушной системы</w:t>
      </w:r>
    </w:p>
    <w:p w14:paraId="5173BEB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Плохое качество металлизации</w:t>
      </w:r>
    </w:p>
    <w:p w14:paraId="606844C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Низкое качество монтажных работ по моторному оборудованию</w:t>
      </w:r>
    </w:p>
    <w:p w14:paraId="1B22648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Большие щелевые зазоры РВ и стабилизатора, РН и крыла и элерона</w:t>
      </w:r>
    </w:p>
    <w:p w14:paraId="11773C4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Стрижка крыла с центропланом</w:t>
      </w:r>
    </w:p>
    <w:p w14:paraId="265124B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Плохая нивелировка крыльев</w:t>
      </w:r>
    </w:p>
    <w:p w14:paraId="11FAA36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Конструктивные изменения Ил-2 и работа СКО</w:t>
      </w:r>
    </w:p>
    <w:p w14:paraId="575A6F5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1943 работа СКО в оснеовном выполнялась в направлении модификации Ил-2.</w:t>
      </w:r>
    </w:p>
    <w:p w14:paraId="436F4CA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1943 было отработано в производстве 85 изменений, в числе которых, как основные входило: холодный и газовый запуск моторов, подвесные бензобаки, установка ВМ-Ш-2, установка АрТ-41, прицел ПБП-1Б, бензиномеры БЭ-40.</w:t>
      </w:r>
    </w:p>
    <w:p w14:paraId="1FDC84E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1943 отработан эталонный самолет N 2804 с улучшенной аэродинамикой и качеством изготовления.</w:t>
      </w:r>
    </w:p>
    <w:p w14:paraId="69E34A6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результате проведенной работы как эталон, так и серийные самолеты не только достигли договорных скоростей, но и превысили их, что отражено в приказе НКАП N 454с. Кроме того, на самолете было сделано улучшенное крыло. что в общей сложности дало прирост скорости в 18-20 км/час.</w:t>
      </w:r>
    </w:p>
    <w:p w14:paraId="4FAA9CB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целью улучшения устойчивости и управляемости самолета, таковой построен с повернутым крылом (стрелкой) и улучшенной аэродинамикой.</w:t>
      </w:r>
    </w:p>
    <w:p w14:paraId="5F4A50D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улучшения прочности крепления обшивки серийное крыло самолета переделано.</w:t>
      </w:r>
    </w:p>
    <w:p w14:paraId="410C7C2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1943 дважды было заменено вооружение самолета.</w:t>
      </w:r>
    </w:p>
    <w:p w14:paraId="1703F6E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Кроме всего изложенного за 1943 проведены следующие работы:</w:t>
      </w:r>
    </w:p>
    <w:p w14:paraId="0E22E23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Построе самолет типа корректировщик</w:t>
      </w:r>
    </w:p>
    <w:p w14:paraId="6B4E297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Сделано металлическое крыло со стрелкой и усиленными стыковыми узлами</w:t>
      </w:r>
    </w:p>
    <w:p w14:paraId="30994B8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Отработаны чертежи и построены все основные агрегаты по новому самолеты И-34</w:t>
      </w:r>
    </w:p>
    <w:p w14:paraId="03F3C57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целью установления качественности Ил-2 в течение 1943 была проведена большая эскпериментальная работа, как то:</w:t>
      </w:r>
    </w:p>
    <w:p w14:paraId="39EB92B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Отстрел в воздухе Ил-2 с пушками 11-П и ВЯ</w:t>
      </w:r>
    </w:p>
    <w:p w14:paraId="1D68559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Проведен замер скоростей самолета</w:t>
      </w:r>
    </w:p>
    <w:p w14:paraId="46A7626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Составлены отчеты</w:t>
      </w:r>
    </w:p>
    <w:p w14:paraId="1E771B9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об определении качества металлизации и готовых изделий</w:t>
      </w:r>
    </w:p>
    <w:p w14:paraId="5A6ACB6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о температурных режимах ВМГ Ил-2 в зимних и летних условиях</w:t>
      </w:r>
    </w:p>
    <w:p w14:paraId="4E09C37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о проверке наддува самолета с фильтром ЦАГИ</w:t>
      </w:r>
    </w:p>
    <w:p w14:paraId="679CD45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 об испытании новых замков для запирания бомболюков</w:t>
      </w:r>
    </w:p>
    <w:p w14:paraId="068C0B1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 о проверке минимальных скоростей открытия щитков</w:t>
      </w:r>
    </w:p>
    <w:p w14:paraId="45915AC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е) о проверке металлизации моторов (2523).</w:t>
      </w:r>
    </w:p>
    <w:p w14:paraId="74534DD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DE25F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января 1944 Зам. начальника 8 Гл. управления НКАП Алисов согласно указания Зам. НКАП Дементьева послал письмо N 31705 Гл. конструктору завода N 35 Жданову и в копию С.В.И. на завод 240 о включении в план работы первого квартала изготовление 2-х новых винтов для Ил-2 АМ-38, но конкретного срока не указал (2562,49).</w:t>
      </w:r>
    </w:p>
    <w:p w14:paraId="776468E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19216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января 1944 закончились заводские испытания Як-9, которые проходили с 17 ноября 1943 (65,113).</w:t>
      </w:r>
    </w:p>
    <w:p w14:paraId="79239BA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18103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января 1944 было выдано задание на постройку Як-3 с крылдом с ламинарным профилем, а к разработке приступили в сентябре 1944 года. Причем на самолете сохранился старый каркас крыла (менялись лишь нервюры). Вооружение включало пушку НС-23 и два пулемета БС. Работа проводилась в шесть этапов.</w:t>
      </w:r>
    </w:p>
    <w:p w14:paraId="4432FC3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Одним из путей улучшения аэродинамики Як-3, безусловно, стала разработка на заводе №153 в Новосибирске под руководством O.K. Антонова нового крыла с ламинарным профилем, с меньшим коэффициентом сопротивления.</w:t>
      </w:r>
    </w:p>
    <w:p w14:paraId="730211C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Предполагалось, что в дальнейшем при сохранении прежней силовой установки это позволит уменьшить площадь крыла до 13,1 м2 при размахе 8,6 метра, а переход на электроприводы управления посадочными щитками и триммерами горизонтального оперения - дополнительно облегчит истребитель.</w:t>
      </w:r>
    </w:p>
    <w:p w14:paraId="31711D0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Однако позже нашлись другие технические решения, связанные с перекомпоновкой фюзеляжа, а точнее, с размещением масло- и водорадиатора в одной гондоле под фюзеляжем, с применением одностороннего (как на Як-1) всасывающего патрубка нагнетателя и изменением обводов капота мотора и подбором винта.</w:t>
      </w:r>
    </w:p>
    <w:p w14:paraId="5B7309E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Чтобы компенсировать ухудшение характеристик на посадочных углах атаки, свойственное ламинарным крыльям, угол отклонения крыльевых щитков увеличили до 60 градусов.</w:t>
      </w:r>
    </w:p>
    <w:p w14:paraId="6750C36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ходе проектирования из-за отсутствия ряда комплектующих изделий пришлось отказаться от электрификации машины, и суммарный выигрыш в весе ее конструкции от использования других технических решений оказался невелик. Поэтому пришлось вернуться к исходному крылу. В связи с тем, что положение силовых элементов крыла, центра тяжести, а также кинематика и размер шасси должны были остаться неизменными, несущая поверхность приобрела форму двойной трапеции (с наплывом в передней корневой части крыла). Эта часть крыла набиралась из модифицированных профилей ЦАГИ 160545, переходивших к концу наплыва в профиль ЦАГИ 150545 и к середине полуразмаха - в профиль ЦАГИ 14151. В процессе испытаний машины планировалась проверка возможности использования реакции выхлопа для увеличения максимальной скорости самолета, для чего изготовили второй комплект боковых капотов мотора с туннельными обтекателями выхлопных патрубков.</w:t>
      </w:r>
    </w:p>
    <w:p w14:paraId="20644AD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Машину изготовили, но достоверных сведений о ее полетах и дальнейшей судьбе пока не обнаружено (12047).</w:t>
      </w:r>
    </w:p>
    <w:p w14:paraId="4298C5F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79EF921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января 1944 года в докладе старшего помощника начальника 2-го отдела ГУ НАС ВВС КА инженер-полковника Кокушкина от «Основные дефекты моторов М-82Ф и М-82ФН, выявленные за период боевой эксп-лоатации с 1-го января по 1-ое ок</w:t>
      </w:r>
      <w:r w:rsidRPr="007224C3">
        <w:rPr>
          <w:rFonts w:ascii="Times New Roman" w:hAnsi="Times New Roman"/>
          <w:color w:val="000000" w:themeColor="text1"/>
          <w:sz w:val="16"/>
          <w:szCs w:val="16"/>
        </w:rPr>
        <w:softHyphen/>
        <w:t>тября 1943 года» указывалось:</w:t>
      </w:r>
    </w:p>
    <w:p w14:paraId="76C42B6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Ступенчатая выработка цилин</w:t>
      </w:r>
      <w:r w:rsidRPr="007224C3">
        <w:rPr>
          <w:rFonts w:ascii="Times New Roman" w:hAnsi="Times New Roman"/>
          <w:color w:val="000000" w:themeColor="text1"/>
          <w:sz w:val="16"/>
          <w:szCs w:val="16"/>
        </w:rPr>
        <w:softHyphen/>
        <w:t>дров и повышенный износ поршне</w:t>
      </w:r>
      <w:r w:rsidRPr="007224C3">
        <w:rPr>
          <w:rFonts w:ascii="Times New Roman" w:hAnsi="Times New Roman"/>
          <w:color w:val="000000" w:themeColor="text1"/>
          <w:sz w:val="16"/>
          <w:szCs w:val="16"/>
        </w:rPr>
        <w:softHyphen/>
        <w:t>вых колец: по данным УТЭ ВВС - де</w:t>
      </w:r>
      <w:r w:rsidRPr="007224C3">
        <w:rPr>
          <w:rFonts w:ascii="Times New Roman" w:hAnsi="Times New Roman"/>
          <w:color w:val="000000" w:themeColor="text1"/>
          <w:sz w:val="16"/>
          <w:szCs w:val="16"/>
        </w:rPr>
        <w:softHyphen/>
        <w:t>фект массовый, по данным ЭРО заво</w:t>
      </w:r>
      <w:r w:rsidRPr="007224C3">
        <w:rPr>
          <w:rFonts w:ascii="Times New Roman" w:hAnsi="Times New Roman"/>
          <w:color w:val="000000" w:themeColor="text1"/>
          <w:sz w:val="16"/>
          <w:szCs w:val="16"/>
        </w:rPr>
        <w:softHyphen/>
        <w:t>да №19 - 237 случаев (только по вы</w:t>
      </w:r>
      <w:r w:rsidRPr="007224C3">
        <w:rPr>
          <w:rFonts w:ascii="Times New Roman" w:hAnsi="Times New Roman"/>
          <w:color w:val="000000" w:themeColor="text1"/>
          <w:sz w:val="16"/>
          <w:szCs w:val="16"/>
        </w:rPr>
        <w:softHyphen/>
        <w:t>работке зеркала цилиндров). Дефект в основном производственный и кон</w:t>
      </w:r>
      <w:r w:rsidRPr="007224C3">
        <w:rPr>
          <w:rFonts w:ascii="Times New Roman" w:hAnsi="Times New Roman"/>
          <w:color w:val="000000" w:themeColor="text1"/>
          <w:sz w:val="16"/>
          <w:szCs w:val="16"/>
        </w:rPr>
        <w:softHyphen/>
        <w:t>структивный. При сдаточных испыта</w:t>
      </w:r>
      <w:r w:rsidRPr="007224C3">
        <w:rPr>
          <w:rFonts w:ascii="Times New Roman" w:hAnsi="Times New Roman"/>
          <w:color w:val="000000" w:themeColor="text1"/>
          <w:sz w:val="16"/>
          <w:szCs w:val="16"/>
        </w:rPr>
        <w:softHyphen/>
        <w:t>ниях имелись массовые съемки мо</w:t>
      </w:r>
      <w:r w:rsidRPr="007224C3">
        <w:rPr>
          <w:rFonts w:ascii="Times New Roman" w:hAnsi="Times New Roman"/>
          <w:color w:val="000000" w:themeColor="text1"/>
          <w:sz w:val="16"/>
          <w:szCs w:val="16"/>
        </w:rPr>
        <w:softHyphen/>
        <w:t>торов по этому дефекту (в ноябре 1943 года снято 34,7% моторов, про</w:t>
      </w:r>
      <w:r w:rsidRPr="007224C3">
        <w:rPr>
          <w:rFonts w:ascii="Times New Roman" w:hAnsi="Times New Roman"/>
          <w:color w:val="000000" w:themeColor="text1"/>
          <w:sz w:val="16"/>
          <w:szCs w:val="16"/>
        </w:rPr>
        <w:softHyphen/>
        <w:t>ходящих сдаточные испытания). Эксп-лоатация моторов на пыльных аэро</w:t>
      </w:r>
      <w:r w:rsidRPr="007224C3">
        <w:rPr>
          <w:rFonts w:ascii="Times New Roman" w:hAnsi="Times New Roman"/>
          <w:color w:val="000000" w:themeColor="text1"/>
          <w:sz w:val="16"/>
          <w:szCs w:val="16"/>
        </w:rPr>
        <w:softHyphen/>
        <w:t>дромах ускоряет появление этого де</w:t>
      </w:r>
      <w:r w:rsidRPr="007224C3">
        <w:rPr>
          <w:rFonts w:ascii="Times New Roman" w:hAnsi="Times New Roman"/>
          <w:color w:val="000000" w:themeColor="text1"/>
          <w:sz w:val="16"/>
          <w:szCs w:val="16"/>
        </w:rPr>
        <w:softHyphen/>
        <w:t>фекта». Но это был лишь «первый звонок». Этот дефект пока еще «маскировал</w:t>
      </w:r>
      <w:r w:rsidRPr="007224C3">
        <w:rPr>
          <w:rFonts w:ascii="Times New Roman" w:hAnsi="Times New Roman"/>
          <w:color w:val="000000" w:themeColor="text1"/>
          <w:sz w:val="16"/>
          <w:szCs w:val="16"/>
        </w:rPr>
        <w:softHyphen/>
        <w:t>ся» дымлением, вызванным усадкой анероидов РС-2, а также тем, что ста</w:t>
      </w:r>
      <w:r w:rsidRPr="007224C3">
        <w:rPr>
          <w:rFonts w:ascii="Times New Roman" w:hAnsi="Times New Roman"/>
          <w:color w:val="000000" w:themeColor="text1"/>
          <w:sz w:val="16"/>
          <w:szCs w:val="16"/>
        </w:rPr>
        <w:softHyphen/>
        <w:t>тистика в 1943-м - начале 1944 года обычно не разделяла дефекты М-82Ф и М-82ФН, так как первые продолжа</w:t>
      </w:r>
      <w:r w:rsidRPr="007224C3">
        <w:rPr>
          <w:rFonts w:ascii="Times New Roman" w:hAnsi="Times New Roman"/>
          <w:color w:val="000000" w:themeColor="text1"/>
          <w:sz w:val="16"/>
          <w:szCs w:val="16"/>
        </w:rPr>
        <w:softHyphen/>
        <w:t>ли выпускаться в больших количествах, и, как правило, в истребительных пол</w:t>
      </w:r>
      <w:r w:rsidRPr="007224C3">
        <w:rPr>
          <w:rFonts w:ascii="Times New Roman" w:hAnsi="Times New Roman"/>
          <w:color w:val="000000" w:themeColor="text1"/>
          <w:sz w:val="16"/>
          <w:szCs w:val="16"/>
        </w:rPr>
        <w:softHyphen/>
        <w:t>ках эксплуатировались совместно и Ла-5Ф, и Ла-5ФН (10714).</w:t>
      </w:r>
    </w:p>
    <w:p w14:paraId="5EC237A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BDEF4A3" w14:textId="77777777" w:rsidR="00EC515D" w:rsidRPr="007224C3" w:rsidRDefault="00EC515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января 1944 г. в докладе старшего помощника начальника 2-го отдела ГУ ИАС ВВС КА инженер-пол</w:t>
      </w:r>
      <w:r w:rsidRPr="007224C3">
        <w:rPr>
          <w:rFonts w:ascii="Times New Roman" w:hAnsi="Times New Roman"/>
          <w:color w:val="000000" w:themeColor="text1"/>
          <w:sz w:val="16"/>
          <w:szCs w:val="16"/>
        </w:rPr>
        <w:softHyphen/>
        <w:t>ковника Кокушкина «Основные дефекты моторов М-82Ф и М-82ФН, выявленные за период боевой эксплуатации с 1 -го января по 1 -ое октября 1943 года» указывалось:</w:t>
      </w:r>
    </w:p>
    <w:p w14:paraId="135BF6AC" w14:textId="77777777" w:rsidR="00EC515D" w:rsidRPr="007224C3" w:rsidRDefault="00EC515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«...Ступенчатая выработка цилиндров и повышенный износ поршневых колец: по дан</w:t>
      </w:r>
      <w:r w:rsidRPr="007224C3">
        <w:rPr>
          <w:rFonts w:ascii="Times New Roman" w:hAnsi="Times New Roman"/>
          <w:color w:val="000000" w:themeColor="text1"/>
          <w:sz w:val="16"/>
          <w:szCs w:val="16"/>
        </w:rPr>
        <w:softHyphen/>
        <w:t>ным УТЭ ВВС — дефект массовый, по данным ЭРО завода № 19 — 237 случаев (только по выработке зеркала цилиндров). Дефект в основном производственный и конструктив</w:t>
      </w:r>
      <w:r w:rsidRPr="007224C3">
        <w:rPr>
          <w:rFonts w:ascii="Times New Roman" w:hAnsi="Times New Roman"/>
          <w:color w:val="000000" w:themeColor="text1"/>
          <w:sz w:val="16"/>
          <w:szCs w:val="16"/>
        </w:rPr>
        <w:softHyphen/>
        <w:t>ный. При сдаточных испытаниях имелись массовые съёмки моторов по этому дефекту (в ноябре 1943 г. снято 34,7% моторов, проходящих сдаточные испытания). Эксплуата</w:t>
      </w:r>
      <w:r w:rsidRPr="007224C3">
        <w:rPr>
          <w:rFonts w:ascii="Times New Roman" w:hAnsi="Times New Roman"/>
          <w:color w:val="000000" w:themeColor="text1"/>
          <w:sz w:val="16"/>
          <w:szCs w:val="16"/>
        </w:rPr>
        <w:softHyphen/>
        <w:t>ция моторов на пыльных аэродромах ускоряет появление этого дефекта».</w:t>
      </w:r>
    </w:p>
    <w:p w14:paraId="4A12D5B6" w14:textId="77777777" w:rsidR="00EC515D" w:rsidRPr="007224C3" w:rsidRDefault="00EC515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 это был лишь «первый звонок». Этот дефект пока ещё «маскировался» дымлением, вызванным усадкой анероидов РС-2, а также тем, что статистика в 1943 г. — начале 1944 г. обычно не разделяла дефекты М-82Ф и М-82ФН, так как первые продолжали вы</w:t>
      </w:r>
      <w:r w:rsidRPr="007224C3">
        <w:rPr>
          <w:rFonts w:ascii="Times New Roman" w:hAnsi="Times New Roman"/>
          <w:color w:val="000000" w:themeColor="text1"/>
          <w:sz w:val="16"/>
          <w:szCs w:val="16"/>
        </w:rPr>
        <w:softHyphen/>
        <w:t>пускаться в больших количествах, и, как правило, в истребительных полках эксплуатиро</w:t>
      </w:r>
      <w:r w:rsidRPr="007224C3">
        <w:rPr>
          <w:rFonts w:ascii="Times New Roman" w:hAnsi="Times New Roman"/>
          <w:color w:val="000000" w:themeColor="text1"/>
          <w:sz w:val="16"/>
          <w:szCs w:val="16"/>
        </w:rPr>
        <w:softHyphen/>
        <w:t>вались совместно и Ла-5Ф, и Ла-5ФН (15829).</w:t>
      </w:r>
    </w:p>
    <w:p w14:paraId="4F9D8DEB" w14:textId="77777777" w:rsidR="00EC515D" w:rsidRPr="007224C3" w:rsidRDefault="00EC515D" w:rsidP="007224C3">
      <w:pPr>
        <w:spacing w:after="0" w:line="240" w:lineRule="auto"/>
        <w:jc w:val="both"/>
        <w:rPr>
          <w:rFonts w:ascii="Times New Roman" w:hAnsi="Times New Roman"/>
          <w:color w:val="000000" w:themeColor="text1"/>
          <w:sz w:val="16"/>
          <w:szCs w:val="16"/>
        </w:rPr>
      </w:pPr>
    </w:p>
    <w:p w14:paraId="6A5A524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января 1944 были подготовлены “Рекомендации по ведению боя истребителей ВВС КА с немецкими истребителями, составленные на основе материалов испытаний, проводимых в НИИ ВВС КА</w:t>
      </w:r>
    </w:p>
    <w:p w14:paraId="26143D5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Воздушный бой Ла-5Ф с Ме-109G-2 (с подкрыльными пушками)</w:t>
      </w:r>
    </w:p>
    <w:p w14:paraId="71815B7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 Ла-5 имеет значительные преимущества в горизонтальном маневре. До высоты 6000 м Ла-5 за счет меньшего радиуса виража и времени виража заходит в хвост Ма-109 через 3-4 виража.</w:t>
      </w:r>
    </w:p>
    <w:p w14:paraId="0A9EB48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бою на вертикальном маневре до высоты 3500 м с-ты Ла-5Ф и Ме-109 практически имеют одинаковые качества.</w:t>
      </w:r>
    </w:p>
    <w:p w14:paraId="05817AA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переходом на всоты более 2300 м преимущества в вертикальном маневре переходят к Ме-109 и это преимущество постепенно увеличивается с переходом на еще большие высоты.</w:t>
      </w:r>
    </w:p>
    <w:p w14:paraId="534A8AE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ведении воздушного боя необходимо стремиться сковать его вертикальный маневр и заставить вести бой в горизонтальной плоскости.</w:t>
      </w:r>
    </w:p>
    <w:p w14:paraId="6DBF383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Вираж самолет Ме-109 выполняет с большим радиусом и временем и имеет тяжелое управление и при перетягивании ручки сваливается в штопор.</w:t>
      </w:r>
    </w:p>
    <w:p w14:paraId="5BDBE18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пикировании Ме-109 несколько уходит от Ла-5. В этом случае пикируя за Ме-109 не следует стремиться догнать его, а опередив Ме-109 с выводом из пикирования, или даже выйдя одновременно с ним, остановить его на горке.</w:t>
      </w:r>
    </w:p>
    <w:p w14:paraId="1D67F28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выводе из пикирования с-т Ме-109 требует от л больших усилий и поэтому вывод получается медленным, с большой траекторией (больший радиус кривой на выходе), чеем у Ла-5, что способствует указанному маневре и атаке.</w:t>
      </w:r>
    </w:p>
    <w:p w14:paraId="37D0E46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 всех случаях боя надо использовать плохой обзор из кабины Ме-109 в задней полусфере. Следует иметь в виду, что заходящий в хвост с-т л Ме-109 не видит.</w:t>
      </w:r>
    </w:p>
    <w:p w14:paraId="63D689A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Ведя воздушный бой на с-та Ла-5 неообходимо использовать все его летные качества, для чего:</w:t>
      </w:r>
    </w:p>
    <w:p w14:paraId="386B7D6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фонарь кабины д.б. закрыт</w:t>
      </w:r>
    </w:p>
    <w:p w14:paraId="0EB7631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створки капота д.б. максимально прикрыты, но температура головок не д.б. выше 24—250 г. Обороты мотора при этом д.б. 2400</w:t>
      </w:r>
    </w:p>
    <w:p w14:paraId="2C612E7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в бою обязательно пользоваться форсажем мотора</w:t>
      </w:r>
    </w:p>
    <w:p w14:paraId="273F6AA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Воздушный бой Ла-5ФН с Ме-109G-2 (без подкрыльных пушек)</w:t>
      </w:r>
    </w:p>
    <w:p w14:paraId="46EBA56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горизонтальном маневре: на высотах от 0 до 500 м с-т Ла-5ФН имеет преимущества и через 4-6 виражей заходит Ме-109 в хвост на дистанцию пушечного огня. На высотах от 5000 м до 8000 м горизонтальная маневренность одинакова</w:t>
      </w:r>
    </w:p>
    <w:p w14:paraId="5935D36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вертикальном маневре: на высоте от 0 до 3000 м с-т Ла-5ФН имеет незначительное преимуществою На высоте 5000-8000 м вертикальная маневренность машин практически одинакова</w:t>
      </w:r>
    </w:p>
    <w:p w14:paraId="00FC3F4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 имея к началу боя высоту больше, чем у Ме-109, с-т Ла-5ФН имеет возможность вести наступательный бой, сохраняя все время инициативу. В этом случае Ме-109 может только обороняться.</w:t>
      </w:r>
    </w:p>
    <w:p w14:paraId="68157D3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Воздушный бой Ла-5ФН с ФВ-190А-4</w:t>
      </w:r>
    </w:p>
    <w:p w14:paraId="1B714D5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Маневренные и летно-боевые свойства немецкого истребителя ФВ-190А-4 стоят значительно ниже Ла-5ФН. На горизонтальном маневре с-т Ла-5ФН заходит в хвост ФВ-190 на дистанцию огня за 3-4 виража.</w:t>
      </w:r>
    </w:p>
    <w:p w14:paraId="64B10E4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вертикальном маневре превосходство также остается за Ла-5ФН. Преимущества в бою и инициатива остаются за Ла-5ФН.</w:t>
      </w:r>
    </w:p>
    <w:p w14:paraId="777D5D1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Хорошим качеством ФВ-190 является обхор из кабины пилота и автоматизация управления ВМГ, что и надо учитывать в бою с ним.</w:t>
      </w:r>
    </w:p>
    <w:p w14:paraId="1F68DDA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Воздушный бой с-та Як-9Д с с Ме-109G-2 (без подкрыльных пушек)</w:t>
      </w:r>
    </w:p>
    <w:p w14:paraId="150CF0D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горизнтальном аневре: На всотах от 0 до 3500 м с-т Як-9Д имеет значительные преимущества над Ме-109 и к концу второго виража заходит ему в хвост на дистанцию огня. При выполнении левых виражей Як-9Д заходит в хвост Ме-109 за 2-3 виража.</w:t>
      </w:r>
    </w:p>
    <w:p w14:paraId="2C7F59E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высотах 3500 - 5000 м преимущества Як-9Д в горизонтальном маневре постепенно уменьшаются и на высоте 5500 м маневренность одинакова.</w:t>
      </w:r>
    </w:p>
    <w:p w14:paraId="2CA8631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высотах 5500-7000 м преимущество в горизонтальном маневре переходит к Ме-109 и с увеличением высоты это преимущество возрастает</w:t>
      </w:r>
    </w:p>
    <w:p w14:paraId="52EEF67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высоте 7500 м Ме-109 заходит Як-9Д в хвост за 2-3 виража.</w:t>
      </w:r>
    </w:p>
    <w:p w14:paraId="3473515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вертикальном маневре: на высоте от 0 до 2000 и с-т Як-9Д имеет незначительное преимущество за счет комбинации вертикального маневра с горизонтальным и удержания преимущества в высоте.</w:t>
      </w:r>
    </w:p>
    <w:p w14:paraId="47050D7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2000 до 3500 м маневренность практически одинакова. На высотах 3500-5000 м преимущество переходит к Ме-109 и на высоте 5000 м позволяет удерживать постоянное превосходство в высоте.</w:t>
      </w:r>
    </w:p>
    <w:p w14:paraId="27E350C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высотах 5000 - 7000 м преимущество Ме-19 становится значительным.</w:t>
      </w:r>
    </w:p>
    <w:p w14:paraId="569F7A8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пикировании и горке Ме-109 несколько уходит от Як-9Д.</w:t>
      </w:r>
    </w:p>
    <w:p w14:paraId="3F2C4D6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 Як-9Д до высоты 5000 м может успешно вести наступательный бой с Ме-109, применяя комбинированный маневр как в горизонтальной, так и в вертикальной плоскостях.</w:t>
      </w:r>
    </w:p>
    <w:p w14:paraId="21A269B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Воздушный бой Як-9Т с с-тами бомбардировщиками и истребителями Ме-109 G-2 (без подкрыльных пушек) и ФВ-190А-4</w:t>
      </w:r>
    </w:p>
    <w:p w14:paraId="6EBF8B7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Наивыгоднейшей атакой бомбардировщиков противника с-том Як-9Т является атака сзади при ракурсе 0/4-1/4.</w:t>
      </w:r>
    </w:p>
    <w:p w14:paraId="4557491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Дальность открытия огня -400-1000 м</w:t>
      </w:r>
    </w:p>
    <w:p w14:paraId="409B31B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 дальность при стрельбе из 37мм пушки не должна превышать 600 м. В отдельных случаях при встрече с большими группами бомбардировщиков можно открывать огонь из 37мм пушек с большей дистанции 1000-1200 м для нарушения строя и нанесения морального возхдействия на противника.</w:t>
      </w:r>
    </w:p>
    <w:p w14:paraId="1CD0500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При атаке бомбардировщиков и разведчиков противника сзади целесообразно с дистанции 500-600 м короткими очередями из пулемета или пушки сковывать огонь </w:t>
      </w:r>
      <w:r w:rsidRPr="007224C3">
        <w:rPr>
          <w:rFonts w:ascii="Times New Roman" w:hAnsi="Times New Roman"/>
          <w:color w:val="000000" w:themeColor="text1"/>
          <w:sz w:val="16"/>
          <w:szCs w:val="16"/>
        </w:rPr>
        <w:lastRenderedPageBreak/>
        <w:t>стрелков противника, а на дальности 100-120 м открывать огонь на поражение.</w:t>
      </w:r>
    </w:p>
    <w:p w14:paraId="7E9B7FC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лобовых атаках огонь на поражение с-тов из 37мм пушки нужно открывать на дистанции 500-600 м . При этом скорость должна быть порядка 350 км/час.</w:t>
      </w:r>
    </w:p>
    <w:p w14:paraId="2E82B21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Атаку сомкнутого строя с-тов противника важно производить по сттвору самолетов, что повышает вероятность поражения противника.</w:t>
      </w:r>
    </w:p>
    <w:p w14:paraId="66F6F54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воздушных боях с истребителями противника, в случае навязывания боя противником следует следующие летно-тактические свойства с-та Як-9Т</w:t>
      </w:r>
    </w:p>
    <w:p w14:paraId="2B2D2F6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с-т Як-9Т по сравнению с Ме-109 (с подрыльевыми пушками) на маневре в горизонтальной плоскости имеют явное преимущенство на высоте до 5000 м. На вертикальном маневре преимущество за Як-9Т сохраняется только до высоты 3000 м.</w:t>
      </w:r>
    </w:p>
    <w:p w14:paraId="7F7FCD7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высотах 3000-4500 м вертикальная маневренность Як-9Т и Ме-109 практически одинакова.</w:t>
      </w:r>
    </w:p>
    <w:p w14:paraId="64F9582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высотах более 4500 м преимущество в вертикальном маневре переходит в Ме-109.</w:t>
      </w:r>
    </w:p>
    <w:p w14:paraId="4CB7531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с-тах Як-9Т с бой с истребителями проиивника выгодно вести в горизонтальной плоскости. При этом нужно учесть, что с-т Як-9Т на правом вираже быстрее заходит в хвост с-ту противнака.</w:t>
      </w:r>
    </w:p>
    <w:p w14:paraId="2FFB766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 под атаки истребителей противника на с-те Як-9Т лучше выходить виражем, особенно правым, с применением скольжения.</w:t>
      </w:r>
    </w:p>
    <w:p w14:paraId="5CFAB14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 всех случаях воздушного боя стрельюу из 37мм пушки следует вести только прицельно и короткими очередями, помня, что для сбития с-та противника достаточно одного-двух попаданий осколочных снарядов на дальности не более 100 м. Стрельба длинными очередями сбивает наводку.</w:t>
      </w:r>
    </w:p>
    <w:p w14:paraId="186FB26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Воздушный бой с-та Аэрокобра с Ме-109 G-2 (с подкрыльными пушками)</w:t>
      </w:r>
    </w:p>
    <w:p w14:paraId="101D044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Аэрокобра с нормальным полетным весом 3549 кг до 4000 м практически имеет качества с-та Ме-109 На больших высотах преимущества в горизонтальном маневре переходит к Ме-109.</w:t>
      </w:r>
    </w:p>
    <w:p w14:paraId="443AA56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вертикальном маневре Аэрокобра с нормальным полетным весом 3549 кг уступает с-ту Ме-109 на всех высотах, причем с увеличением высоты преимущества Ме-109 возрастают.</w:t>
      </w:r>
    </w:p>
    <w:p w14:paraId="18E78F4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Аэрокобра облегченный (за счет снятия крыльевых пулеметов, брони с вала редуктора, брони с кислородных баллонов и бронеперегородки) при весе 3236 кг имеет улучшенную маневренность в вертикальной и горизонтальной плоскостях. С-т Аэрокобра до 4000 м имеет преимущества в горизонтальном маневре и может зайти в хвост Ме-109 через 5-6 виражей. Выше преимущество теряется.</w:t>
      </w:r>
    </w:p>
    <w:p w14:paraId="06702EC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вертикальной плоскости с-т Ме-109 обладает все таки преимуществом и перед облегченной Аэрокоброй.</w:t>
      </w:r>
    </w:p>
    <w:p w14:paraId="18BF1A3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успешного ведения боя с-та Аэрокобра необходимо применять внезапность нападения, используя плохоой обзор задней полусферы из кабины Ме-109.</w:t>
      </w:r>
    </w:p>
    <w:p w14:paraId="765D002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Примечание: Общие указания по ведению воздушного боя наих истребителей с немецкими с-тами изложен в книге, составленной ГУ истребительной авиации ПВО территории страны “Тактика истребительной авиации”, Воениздат НКО, 1943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35"/>
        <w:gridCol w:w="1417"/>
        <w:gridCol w:w="1418"/>
      </w:tblGrid>
      <w:tr w:rsidR="005106D0" w:rsidRPr="007224C3" w14:paraId="16824A31" w14:textId="77777777">
        <w:tc>
          <w:tcPr>
            <w:tcW w:w="2235" w:type="dxa"/>
            <w:tcBorders>
              <w:top w:val="single" w:sz="12" w:space="0" w:color="auto"/>
            </w:tcBorders>
          </w:tcPr>
          <w:p w14:paraId="68DC9C8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С-ты</w:t>
            </w:r>
          </w:p>
        </w:tc>
        <w:tc>
          <w:tcPr>
            <w:tcW w:w="1417" w:type="dxa"/>
            <w:tcBorders>
              <w:top w:val="single" w:sz="12" w:space="0" w:color="auto"/>
            </w:tcBorders>
          </w:tcPr>
          <w:p w14:paraId="726DF3A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Скорость на 0</w:t>
            </w:r>
          </w:p>
        </w:tc>
        <w:tc>
          <w:tcPr>
            <w:tcW w:w="1418" w:type="dxa"/>
            <w:tcBorders>
              <w:top w:val="single" w:sz="12" w:space="0" w:color="auto"/>
            </w:tcBorders>
          </w:tcPr>
          <w:p w14:paraId="7F2A581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Скорость на 5000 м</w:t>
            </w:r>
          </w:p>
        </w:tc>
      </w:tr>
      <w:tr w:rsidR="005106D0" w:rsidRPr="007224C3" w14:paraId="4EEDB751" w14:textId="77777777">
        <w:tc>
          <w:tcPr>
            <w:tcW w:w="2235" w:type="dxa"/>
          </w:tcPr>
          <w:p w14:paraId="1F64F99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Як-1ПФ</w:t>
            </w:r>
          </w:p>
        </w:tc>
        <w:tc>
          <w:tcPr>
            <w:tcW w:w="1417" w:type="dxa"/>
          </w:tcPr>
          <w:p w14:paraId="7FC6F94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520</w:t>
            </w:r>
          </w:p>
        </w:tc>
        <w:tc>
          <w:tcPr>
            <w:tcW w:w="1418" w:type="dxa"/>
          </w:tcPr>
          <w:p w14:paraId="0F551AB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587</w:t>
            </w:r>
          </w:p>
        </w:tc>
      </w:tr>
      <w:tr w:rsidR="005106D0" w:rsidRPr="007224C3" w14:paraId="319C2BFD" w14:textId="77777777">
        <w:tc>
          <w:tcPr>
            <w:tcW w:w="2235" w:type="dxa"/>
          </w:tcPr>
          <w:p w14:paraId="109E6F0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Як-7БПФ</w:t>
            </w:r>
          </w:p>
        </w:tc>
        <w:tc>
          <w:tcPr>
            <w:tcW w:w="1417" w:type="dxa"/>
          </w:tcPr>
          <w:p w14:paraId="29170A4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530</w:t>
            </w:r>
          </w:p>
        </w:tc>
        <w:tc>
          <w:tcPr>
            <w:tcW w:w="1418" w:type="dxa"/>
          </w:tcPr>
          <w:p w14:paraId="73F24DB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576</w:t>
            </w:r>
          </w:p>
        </w:tc>
      </w:tr>
      <w:tr w:rsidR="005106D0" w:rsidRPr="007224C3" w14:paraId="16D141A6" w14:textId="77777777">
        <w:tc>
          <w:tcPr>
            <w:tcW w:w="2235" w:type="dxa"/>
          </w:tcPr>
          <w:p w14:paraId="4F505FE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Як-9ТПФ, Як-9ДПФ</w:t>
            </w:r>
          </w:p>
        </w:tc>
        <w:tc>
          <w:tcPr>
            <w:tcW w:w="1417" w:type="dxa"/>
          </w:tcPr>
          <w:p w14:paraId="597BF65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533</w:t>
            </w:r>
          </w:p>
        </w:tc>
        <w:tc>
          <w:tcPr>
            <w:tcW w:w="1418" w:type="dxa"/>
          </w:tcPr>
          <w:p w14:paraId="03A61DC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585</w:t>
            </w:r>
          </w:p>
        </w:tc>
      </w:tr>
      <w:tr w:rsidR="005106D0" w:rsidRPr="007224C3" w14:paraId="25ADDC28" w14:textId="77777777">
        <w:tc>
          <w:tcPr>
            <w:tcW w:w="2235" w:type="dxa"/>
          </w:tcPr>
          <w:p w14:paraId="74D0356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Ла-5ФН</w:t>
            </w:r>
          </w:p>
        </w:tc>
        <w:tc>
          <w:tcPr>
            <w:tcW w:w="1417" w:type="dxa"/>
          </w:tcPr>
          <w:p w14:paraId="729E724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556/586</w:t>
            </w:r>
          </w:p>
        </w:tc>
        <w:tc>
          <w:tcPr>
            <w:tcW w:w="1418" w:type="dxa"/>
          </w:tcPr>
          <w:p w14:paraId="4394272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622</w:t>
            </w:r>
          </w:p>
        </w:tc>
      </w:tr>
      <w:tr w:rsidR="005106D0" w:rsidRPr="007224C3" w14:paraId="4E7E9E6A" w14:textId="77777777">
        <w:tc>
          <w:tcPr>
            <w:tcW w:w="2235" w:type="dxa"/>
          </w:tcPr>
          <w:p w14:paraId="19E3A2B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Ла-5Ф</w:t>
            </w:r>
          </w:p>
        </w:tc>
        <w:tc>
          <w:tcPr>
            <w:tcW w:w="1417" w:type="dxa"/>
          </w:tcPr>
          <w:p w14:paraId="4CE69C4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500/535</w:t>
            </w:r>
          </w:p>
        </w:tc>
        <w:tc>
          <w:tcPr>
            <w:tcW w:w="1418" w:type="dxa"/>
          </w:tcPr>
          <w:p w14:paraId="4605258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566</w:t>
            </w:r>
          </w:p>
        </w:tc>
      </w:tr>
      <w:tr w:rsidR="005106D0" w:rsidRPr="007224C3" w14:paraId="033A4FBB" w14:textId="77777777">
        <w:tc>
          <w:tcPr>
            <w:tcW w:w="2235" w:type="dxa"/>
          </w:tcPr>
          <w:p w14:paraId="6A901C9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ФВ-190А-4</w:t>
            </w:r>
          </w:p>
        </w:tc>
        <w:tc>
          <w:tcPr>
            <w:tcW w:w="1417" w:type="dxa"/>
          </w:tcPr>
          <w:p w14:paraId="35A52BF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510</w:t>
            </w:r>
          </w:p>
        </w:tc>
        <w:tc>
          <w:tcPr>
            <w:tcW w:w="1418" w:type="dxa"/>
          </w:tcPr>
          <w:p w14:paraId="1C94602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588</w:t>
            </w:r>
          </w:p>
        </w:tc>
      </w:tr>
      <w:tr w:rsidR="005106D0" w:rsidRPr="007224C3" w14:paraId="6F97EAEC" w14:textId="77777777">
        <w:tc>
          <w:tcPr>
            <w:tcW w:w="2235" w:type="dxa"/>
          </w:tcPr>
          <w:p w14:paraId="6F1160F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Ме-109G-2 (3-х т)</w:t>
            </w:r>
          </w:p>
        </w:tc>
        <w:tc>
          <w:tcPr>
            <w:tcW w:w="1417" w:type="dxa"/>
          </w:tcPr>
          <w:p w14:paraId="08C0FD9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524</w:t>
            </w:r>
          </w:p>
        </w:tc>
        <w:tc>
          <w:tcPr>
            <w:tcW w:w="1418" w:type="dxa"/>
          </w:tcPr>
          <w:p w14:paraId="6ECDFE0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610</w:t>
            </w:r>
          </w:p>
        </w:tc>
      </w:tr>
      <w:tr w:rsidR="005106D0" w:rsidRPr="007224C3" w14:paraId="4775665C" w14:textId="77777777">
        <w:tc>
          <w:tcPr>
            <w:tcW w:w="2235" w:type="dxa"/>
          </w:tcPr>
          <w:p w14:paraId="321C548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Ме-109G-2 (5-х т)</w:t>
            </w:r>
          </w:p>
        </w:tc>
        <w:tc>
          <w:tcPr>
            <w:tcW w:w="1417" w:type="dxa"/>
          </w:tcPr>
          <w:p w14:paraId="03E45F9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505</w:t>
            </w:r>
          </w:p>
        </w:tc>
        <w:tc>
          <w:tcPr>
            <w:tcW w:w="1418" w:type="dxa"/>
          </w:tcPr>
          <w:p w14:paraId="6B3410C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593</w:t>
            </w:r>
          </w:p>
        </w:tc>
      </w:tr>
      <w:tr w:rsidR="005106D0" w:rsidRPr="007224C3" w14:paraId="0CF18024" w14:textId="77777777">
        <w:tc>
          <w:tcPr>
            <w:tcW w:w="2235" w:type="dxa"/>
          </w:tcPr>
          <w:p w14:paraId="7DE4A1D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Ме-109F</w:t>
            </w:r>
          </w:p>
        </w:tc>
        <w:tc>
          <w:tcPr>
            <w:tcW w:w="1417" w:type="dxa"/>
          </w:tcPr>
          <w:p w14:paraId="472103A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510</w:t>
            </w:r>
          </w:p>
        </w:tc>
        <w:tc>
          <w:tcPr>
            <w:tcW w:w="1418" w:type="dxa"/>
          </w:tcPr>
          <w:p w14:paraId="5895FC0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556</w:t>
            </w:r>
          </w:p>
        </w:tc>
      </w:tr>
      <w:tr w:rsidR="005106D0" w:rsidRPr="007224C3" w14:paraId="36493EBE" w14:textId="77777777">
        <w:tc>
          <w:tcPr>
            <w:tcW w:w="2235" w:type="dxa"/>
            <w:tcBorders>
              <w:bottom w:val="single" w:sz="12" w:space="0" w:color="auto"/>
            </w:tcBorders>
          </w:tcPr>
          <w:p w14:paraId="27CDAD6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Аэрокобра</w:t>
            </w:r>
          </w:p>
        </w:tc>
        <w:tc>
          <w:tcPr>
            <w:tcW w:w="1417" w:type="dxa"/>
            <w:tcBorders>
              <w:bottom w:val="single" w:sz="12" w:space="0" w:color="auto"/>
            </w:tcBorders>
          </w:tcPr>
          <w:p w14:paraId="18816D4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467/489</w:t>
            </w:r>
          </w:p>
        </w:tc>
        <w:tc>
          <w:tcPr>
            <w:tcW w:w="1418" w:type="dxa"/>
            <w:tcBorders>
              <w:bottom w:val="single" w:sz="12" w:space="0" w:color="auto"/>
            </w:tcBorders>
          </w:tcPr>
          <w:p w14:paraId="384B27F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592/614</w:t>
            </w:r>
          </w:p>
        </w:tc>
      </w:tr>
    </w:tbl>
    <w:p w14:paraId="32F8DD3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Таблица максимальных горизонтальных скоростей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01"/>
        <w:gridCol w:w="708"/>
        <w:gridCol w:w="709"/>
        <w:gridCol w:w="709"/>
        <w:gridCol w:w="709"/>
        <w:gridCol w:w="708"/>
        <w:gridCol w:w="709"/>
        <w:gridCol w:w="709"/>
        <w:gridCol w:w="709"/>
        <w:gridCol w:w="708"/>
        <w:gridCol w:w="709"/>
        <w:gridCol w:w="709"/>
        <w:gridCol w:w="709"/>
        <w:gridCol w:w="708"/>
      </w:tblGrid>
      <w:tr w:rsidR="005106D0" w:rsidRPr="007224C3" w14:paraId="6E36BFC3" w14:textId="77777777">
        <w:tc>
          <w:tcPr>
            <w:tcW w:w="1101" w:type="dxa"/>
            <w:tcBorders>
              <w:top w:val="single" w:sz="12" w:space="0" w:color="auto"/>
            </w:tcBorders>
          </w:tcPr>
          <w:p w14:paraId="104B207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С-ты</w:t>
            </w:r>
          </w:p>
        </w:tc>
        <w:tc>
          <w:tcPr>
            <w:tcW w:w="708" w:type="dxa"/>
            <w:tcBorders>
              <w:top w:val="single" w:sz="12" w:space="0" w:color="auto"/>
            </w:tcBorders>
          </w:tcPr>
          <w:p w14:paraId="2D28F90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Скорость на 0</w:t>
            </w:r>
          </w:p>
        </w:tc>
        <w:tc>
          <w:tcPr>
            <w:tcW w:w="709" w:type="dxa"/>
            <w:tcBorders>
              <w:top w:val="single" w:sz="12" w:space="0" w:color="auto"/>
            </w:tcBorders>
          </w:tcPr>
          <w:p w14:paraId="17E74BA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Скорость на 1000</w:t>
            </w:r>
          </w:p>
        </w:tc>
        <w:tc>
          <w:tcPr>
            <w:tcW w:w="709" w:type="dxa"/>
            <w:tcBorders>
              <w:top w:val="single" w:sz="12" w:space="0" w:color="auto"/>
            </w:tcBorders>
          </w:tcPr>
          <w:p w14:paraId="1F4F118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Скорость на 2000</w:t>
            </w:r>
          </w:p>
        </w:tc>
        <w:tc>
          <w:tcPr>
            <w:tcW w:w="709" w:type="dxa"/>
            <w:tcBorders>
              <w:top w:val="single" w:sz="12" w:space="0" w:color="auto"/>
            </w:tcBorders>
          </w:tcPr>
          <w:p w14:paraId="37602E2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Скорость на 3000</w:t>
            </w:r>
          </w:p>
        </w:tc>
        <w:tc>
          <w:tcPr>
            <w:tcW w:w="708" w:type="dxa"/>
            <w:tcBorders>
              <w:top w:val="single" w:sz="12" w:space="0" w:color="auto"/>
            </w:tcBorders>
          </w:tcPr>
          <w:p w14:paraId="7FD84EC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Скорость на 4000</w:t>
            </w:r>
          </w:p>
        </w:tc>
        <w:tc>
          <w:tcPr>
            <w:tcW w:w="709" w:type="dxa"/>
            <w:tcBorders>
              <w:top w:val="single" w:sz="12" w:space="0" w:color="auto"/>
            </w:tcBorders>
          </w:tcPr>
          <w:p w14:paraId="2853581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Скорость на 5000 м</w:t>
            </w:r>
          </w:p>
        </w:tc>
        <w:tc>
          <w:tcPr>
            <w:tcW w:w="709" w:type="dxa"/>
            <w:tcBorders>
              <w:top w:val="single" w:sz="12" w:space="0" w:color="auto"/>
            </w:tcBorders>
          </w:tcPr>
          <w:p w14:paraId="2066AFD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Скорость на 6000</w:t>
            </w:r>
          </w:p>
        </w:tc>
        <w:tc>
          <w:tcPr>
            <w:tcW w:w="709" w:type="dxa"/>
            <w:tcBorders>
              <w:top w:val="single" w:sz="12" w:space="0" w:color="auto"/>
            </w:tcBorders>
          </w:tcPr>
          <w:p w14:paraId="1E7483E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Скорость на 7000</w:t>
            </w:r>
          </w:p>
        </w:tc>
        <w:tc>
          <w:tcPr>
            <w:tcW w:w="708" w:type="dxa"/>
            <w:tcBorders>
              <w:top w:val="single" w:sz="12" w:space="0" w:color="auto"/>
            </w:tcBorders>
          </w:tcPr>
          <w:p w14:paraId="76F5029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Скорость на 8000 м</w:t>
            </w:r>
          </w:p>
        </w:tc>
        <w:tc>
          <w:tcPr>
            <w:tcW w:w="709" w:type="dxa"/>
            <w:tcBorders>
              <w:top w:val="single" w:sz="12" w:space="0" w:color="auto"/>
            </w:tcBorders>
          </w:tcPr>
          <w:p w14:paraId="30724F1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Скорость на 9000 м</w:t>
            </w:r>
          </w:p>
        </w:tc>
        <w:tc>
          <w:tcPr>
            <w:tcW w:w="709" w:type="dxa"/>
            <w:tcBorders>
              <w:top w:val="single" w:sz="12" w:space="0" w:color="auto"/>
            </w:tcBorders>
          </w:tcPr>
          <w:p w14:paraId="2C515AE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1 гр. высотности</w:t>
            </w:r>
          </w:p>
        </w:tc>
        <w:tc>
          <w:tcPr>
            <w:tcW w:w="709" w:type="dxa"/>
            <w:tcBorders>
              <w:top w:val="single" w:sz="12" w:space="0" w:color="auto"/>
            </w:tcBorders>
          </w:tcPr>
          <w:p w14:paraId="4819548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гр. переключения</w:t>
            </w:r>
          </w:p>
        </w:tc>
        <w:tc>
          <w:tcPr>
            <w:tcW w:w="708" w:type="dxa"/>
            <w:tcBorders>
              <w:top w:val="single" w:sz="12" w:space="0" w:color="auto"/>
            </w:tcBorders>
          </w:tcPr>
          <w:p w14:paraId="0ECD1F4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2 гр. высотности</w:t>
            </w:r>
          </w:p>
        </w:tc>
      </w:tr>
      <w:tr w:rsidR="005106D0" w:rsidRPr="007224C3" w14:paraId="0FBCB1FF" w14:textId="77777777">
        <w:tc>
          <w:tcPr>
            <w:tcW w:w="1101" w:type="dxa"/>
          </w:tcPr>
          <w:p w14:paraId="4567802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Як-1ПФ</w:t>
            </w:r>
          </w:p>
        </w:tc>
        <w:tc>
          <w:tcPr>
            <w:tcW w:w="708" w:type="dxa"/>
          </w:tcPr>
          <w:p w14:paraId="2EACD3D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520</w:t>
            </w:r>
          </w:p>
        </w:tc>
        <w:tc>
          <w:tcPr>
            <w:tcW w:w="709" w:type="dxa"/>
          </w:tcPr>
          <w:p w14:paraId="3748310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546</w:t>
            </w:r>
          </w:p>
        </w:tc>
        <w:tc>
          <w:tcPr>
            <w:tcW w:w="709" w:type="dxa"/>
          </w:tcPr>
          <w:p w14:paraId="678EBE4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570</w:t>
            </w:r>
          </w:p>
        </w:tc>
        <w:tc>
          <w:tcPr>
            <w:tcW w:w="709" w:type="dxa"/>
          </w:tcPr>
          <w:p w14:paraId="6A267B9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572</w:t>
            </w:r>
          </w:p>
        </w:tc>
        <w:tc>
          <w:tcPr>
            <w:tcW w:w="708" w:type="dxa"/>
          </w:tcPr>
          <w:p w14:paraId="61611D5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591</w:t>
            </w:r>
          </w:p>
        </w:tc>
        <w:tc>
          <w:tcPr>
            <w:tcW w:w="709" w:type="dxa"/>
          </w:tcPr>
          <w:p w14:paraId="65B03EC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587</w:t>
            </w:r>
          </w:p>
        </w:tc>
        <w:tc>
          <w:tcPr>
            <w:tcW w:w="709" w:type="dxa"/>
          </w:tcPr>
          <w:p w14:paraId="3564D81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572</w:t>
            </w:r>
          </w:p>
        </w:tc>
        <w:tc>
          <w:tcPr>
            <w:tcW w:w="709" w:type="dxa"/>
          </w:tcPr>
          <w:p w14:paraId="78C1EF7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553</w:t>
            </w:r>
          </w:p>
        </w:tc>
        <w:tc>
          <w:tcPr>
            <w:tcW w:w="708" w:type="dxa"/>
          </w:tcPr>
          <w:p w14:paraId="430CD2F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535</w:t>
            </w:r>
          </w:p>
        </w:tc>
        <w:tc>
          <w:tcPr>
            <w:tcW w:w="709" w:type="dxa"/>
          </w:tcPr>
          <w:p w14:paraId="5E07329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508</w:t>
            </w:r>
          </w:p>
        </w:tc>
        <w:tc>
          <w:tcPr>
            <w:tcW w:w="709" w:type="dxa"/>
          </w:tcPr>
          <w:p w14:paraId="552D90C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570</w:t>
            </w:r>
          </w:p>
        </w:tc>
        <w:tc>
          <w:tcPr>
            <w:tcW w:w="709" w:type="dxa"/>
          </w:tcPr>
          <w:p w14:paraId="50189AD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560/2500</w:t>
            </w:r>
          </w:p>
        </w:tc>
        <w:tc>
          <w:tcPr>
            <w:tcW w:w="708" w:type="dxa"/>
          </w:tcPr>
          <w:p w14:paraId="5AF8A41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590/4100</w:t>
            </w:r>
          </w:p>
        </w:tc>
      </w:tr>
      <w:tr w:rsidR="005106D0" w:rsidRPr="007224C3" w14:paraId="39C4A01A" w14:textId="77777777">
        <w:tc>
          <w:tcPr>
            <w:tcW w:w="1101" w:type="dxa"/>
          </w:tcPr>
          <w:p w14:paraId="550545B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Як-7БПФ</w:t>
            </w:r>
          </w:p>
        </w:tc>
        <w:tc>
          <w:tcPr>
            <w:tcW w:w="708" w:type="dxa"/>
          </w:tcPr>
          <w:p w14:paraId="4650ABF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530</w:t>
            </w:r>
          </w:p>
        </w:tc>
        <w:tc>
          <w:tcPr>
            <w:tcW w:w="709" w:type="dxa"/>
          </w:tcPr>
          <w:p w14:paraId="1FE2E45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539</w:t>
            </w:r>
          </w:p>
        </w:tc>
        <w:tc>
          <w:tcPr>
            <w:tcW w:w="709" w:type="dxa"/>
          </w:tcPr>
          <w:p w14:paraId="5E5E0EB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570</w:t>
            </w:r>
          </w:p>
        </w:tc>
        <w:tc>
          <w:tcPr>
            <w:tcW w:w="709" w:type="dxa"/>
          </w:tcPr>
          <w:p w14:paraId="5967055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580</w:t>
            </w:r>
          </w:p>
        </w:tc>
        <w:tc>
          <w:tcPr>
            <w:tcW w:w="708" w:type="dxa"/>
          </w:tcPr>
          <w:p w14:paraId="60443D9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591</w:t>
            </w:r>
          </w:p>
        </w:tc>
        <w:tc>
          <w:tcPr>
            <w:tcW w:w="709" w:type="dxa"/>
          </w:tcPr>
          <w:p w14:paraId="34FC583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576</w:t>
            </w:r>
          </w:p>
        </w:tc>
        <w:tc>
          <w:tcPr>
            <w:tcW w:w="709" w:type="dxa"/>
          </w:tcPr>
          <w:p w14:paraId="4FD05DC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562</w:t>
            </w:r>
          </w:p>
        </w:tc>
        <w:tc>
          <w:tcPr>
            <w:tcW w:w="709" w:type="dxa"/>
          </w:tcPr>
          <w:p w14:paraId="07AAF03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547</w:t>
            </w:r>
          </w:p>
        </w:tc>
        <w:tc>
          <w:tcPr>
            <w:tcW w:w="708" w:type="dxa"/>
          </w:tcPr>
          <w:p w14:paraId="43CF368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531</w:t>
            </w:r>
          </w:p>
        </w:tc>
        <w:tc>
          <w:tcPr>
            <w:tcW w:w="709" w:type="dxa"/>
          </w:tcPr>
          <w:p w14:paraId="7F6C38E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511</w:t>
            </w:r>
          </w:p>
        </w:tc>
        <w:tc>
          <w:tcPr>
            <w:tcW w:w="709" w:type="dxa"/>
          </w:tcPr>
          <w:p w14:paraId="75D0D26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573</w:t>
            </w:r>
          </w:p>
        </w:tc>
        <w:tc>
          <w:tcPr>
            <w:tcW w:w="709" w:type="dxa"/>
          </w:tcPr>
          <w:p w14:paraId="6724D8C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562/2350</w:t>
            </w:r>
          </w:p>
        </w:tc>
        <w:tc>
          <w:tcPr>
            <w:tcW w:w="708" w:type="dxa"/>
          </w:tcPr>
          <w:p w14:paraId="0B9DA4B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593/3650</w:t>
            </w:r>
          </w:p>
        </w:tc>
      </w:tr>
      <w:tr w:rsidR="005106D0" w:rsidRPr="007224C3" w14:paraId="48105F42" w14:textId="77777777">
        <w:tc>
          <w:tcPr>
            <w:tcW w:w="1101" w:type="dxa"/>
          </w:tcPr>
          <w:p w14:paraId="473ED1F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Як-9ТПФ, Як-9ДПФ</w:t>
            </w:r>
          </w:p>
        </w:tc>
        <w:tc>
          <w:tcPr>
            <w:tcW w:w="708" w:type="dxa"/>
          </w:tcPr>
          <w:p w14:paraId="50091C3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533</w:t>
            </w:r>
          </w:p>
        </w:tc>
        <w:tc>
          <w:tcPr>
            <w:tcW w:w="709" w:type="dxa"/>
          </w:tcPr>
          <w:p w14:paraId="088C21A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554</w:t>
            </w:r>
          </w:p>
        </w:tc>
        <w:tc>
          <w:tcPr>
            <w:tcW w:w="709" w:type="dxa"/>
          </w:tcPr>
          <w:p w14:paraId="02F3DBF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573</w:t>
            </w:r>
          </w:p>
        </w:tc>
        <w:tc>
          <w:tcPr>
            <w:tcW w:w="709" w:type="dxa"/>
          </w:tcPr>
          <w:p w14:paraId="6049389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577</w:t>
            </w:r>
          </w:p>
        </w:tc>
        <w:tc>
          <w:tcPr>
            <w:tcW w:w="708" w:type="dxa"/>
          </w:tcPr>
          <w:p w14:paraId="740DC23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597</w:t>
            </w:r>
          </w:p>
        </w:tc>
        <w:tc>
          <w:tcPr>
            <w:tcW w:w="709" w:type="dxa"/>
          </w:tcPr>
          <w:p w14:paraId="4EE1A1E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585</w:t>
            </w:r>
          </w:p>
        </w:tc>
        <w:tc>
          <w:tcPr>
            <w:tcW w:w="709" w:type="dxa"/>
          </w:tcPr>
          <w:p w14:paraId="410C418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573</w:t>
            </w:r>
          </w:p>
        </w:tc>
        <w:tc>
          <w:tcPr>
            <w:tcW w:w="709" w:type="dxa"/>
          </w:tcPr>
          <w:p w14:paraId="0E3ABD8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559</w:t>
            </w:r>
          </w:p>
        </w:tc>
        <w:tc>
          <w:tcPr>
            <w:tcW w:w="708" w:type="dxa"/>
          </w:tcPr>
          <w:p w14:paraId="7E8488B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543</w:t>
            </w:r>
          </w:p>
        </w:tc>
        <w:tc>
          <w:tcPr>
            <w:tcW w:w="709" w:type="dxa"/>
          </w:tcPr>
          <w:p w14:paraId="3D7E2E5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525</w:t>
            </w:r>
          </w:p>
        </w:tc>
        <w:tc>
          <w:tcPr>
            <w:tcW w:w="709" w:type="dxa"/>
          </w:tcPr>
          <w:p w14:paraId="2CC5D47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574</w:t>
            </w:r>
          </w:p>
        </w:tc>
        <w:tc>
          <w:tcPr>
            <w:tcW w:w="709" w:type="dxa"/>
          </w:tcPr>
          <w:p w14:paraId="3C73DC6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568/2660</w:t>
            </w:r>
          </w:p>
        </w:tc>
        <w:tc>
          <w:tcPr>
            <w:tcW w:w="708" w:type="dxa"/>
          </w:tcPr>
          <w:p w14:paraId="43DB1DB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597/3930</w:t>
            </w:r>
          </w:p>
        </w:tc>
      </w:tr>
      <w:tr w:rsidR="005106D0" w:rsidRPr="007224C3" w14:paraId="649BF315" w14:textId="77777777">
        <w:tc>
          <w:tcPr>
            <w:tcW w:w="1101" w:type="dxa"/>
          </w:tcPr>
          <w:p w14:paraId="3723360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Ла-5ФН</w:t>
            </w:r>
          </w:p>
        </w:tc>
        <w:tc>
          <w:tcPr>
            <w:tcW w:w="708" w:type="dxa"/>
          </w:tcPr>
          <w:p w14:paraId="5CDC763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556/586</w:t>
            </w:r>
          </w:p>
        </w:tc>
        <w:tc>
          <w:tcPr>
            <w:tcW w:w="709" w:type="dxa"/>
          </w:tcPr>
          <w:p w14:paraId="10B02DB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581/615</w:t>
            </w:r>
          </w:p>
        </w:tc>
        <w:tc>
          <w:tcPr>
            <w:tcW w:w="709" w:type="dxa"/>
          </w:tcPr>
          <w:p w14:paraId="51D6AA7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601/629</w:t>
            </w:r>
          </w:p>
        </w:tc>
        <w:tc>
          <w:tcPr>
            <w:tcW w:w="709" w:type="dxa"/>
          </w:tcPr>
          <w:p w14:paraId="33572B3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621/627</w:t>
            </w:r>
          </w:p>
        </w:tc>
        <w:tc>
          <w:tcPr>
            <w:tcW w:w="708" w:type="dxa"/>
          </w:tcPr>
          <w:p w14:paraId="3220CFF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622</w:t>
            </w:r>
          </w:p>
        </w:tc>
        <w:tc>
          <w:tcPr>
            <w:tcW w:w="709" w:type="dxa"/>
          </w:tcPr>
          <w:p w14:paraId="2FD7166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622</w:t>
            </w:r>
          </w:p>
        </w:tc>
        <w:tc>
          <w:tcPr>
            <w:tcW w:w="709" w:type="dxa"/>
          </w:tcPr>
          <w:p w14:paraId="6983B89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642</w:t>
            </w:r>
          </w:p>
        </w:tc>
        <w:tc>
          <w:tcPr>
            <w:tcW w:w="709" w:type="dxa"/>
          </w:tcPr>
          <w:p w14:paraId="7D4E9CF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643</w:t>
            </w:r>
          </w:p>
        </w:tc>
        <w:tc>
          <w:tcPr>
            <w:tcW w:w="708" w:type="dxa"/>
          </w:tcPr>
          <w:p w14:paraId="4BE90E4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628</w:t>
            </w:r>
          </w:p>
        </w:tc>
        <w:tc>
          <w:tcPr>
            <w:tcW w:w="709" w:type="dxa"/>
          </w:tcPr>
          <w:p w14:paraId="46D532D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604</w:t>
            </w:r>
          </w:p>
        </w:tc>
        <w:tc>
          <w:tcPr>
            <w:tcW w:w="709" w:type="dxa"/>
          </w:tcPr>
          <w:p w14:paraId="7C0BA69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626/630</w:t>
            </w:r>
          </w:p>
        </w:tc>
        <w:tc>
          <w:tcPr>
            <w:tcW w:w="709" w:type="dxa"/>
          </w:tcPr>
          <w:p w14:paraId="6603A65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616/4750</w:t>
            </w:r>
          </w:p>
        </w:tc>
        <w:tc>
          <w:tcPr>
            <w:tcW w:w="708" w:type="dxa"/>
          </w:tcPr>
          <w:p w14:paraId="3510E7D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648/6300</w:t>
            </w:r>
          </w:p>
        </w:tc>
      </w:tr>
      <w:tr w:rsidR="005106D0" w:rsidRPr="007224C3" w14:paraId="5ABF5745" w14:textId="77777777">
        <w:tc>
          <w:tcPr>
            <w:tcW w:w="1101" w:type="dxa"/>
          </w:tcPr>
          <w:p w14:paraId="4DC958C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Ла-5Ф</w:t>
            </w:r>
          </w:p>
        </w:tc>
        <w:tc>
          <w:tcPr>
            <w:tcW w:w="708" w:type="dxa"/>
          </w:tcPr>
          <w:p w14:paraId="405E9BB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500/535</w:t>
            </w:r>
          </w:p>
        </w:tc>
        <w:tc>
          <w:tcPr>
            <w:tcW w:w="709" w:type="dxa"/>
          </w:tcPr>
          <w:p w14:paraId="0888666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535/572</w:t>
            </w:r>
          </w:p>
        </w:tc>
        <w:tc>
          <w:tcPr>
            <w:tcW w:w="709" w:type="dxa"/>
          </w:tcPr>
          <w:p w14:paraId="73CDCD6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556/593</w:t>
            </w:r>
          </w:p>
        </w:tc>
        <w:tc>
          <w:tcPr>
            <w:tcW w:w="709" w:type="dxa"/>
          </w:tcPr>
          <w:p w14:paraId="394E64B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576/580</w:t>
            </w:r>
          </w:p>
        </w:tc>
        <w:tc>
          <w:tcPr>
            <w:tcW w:w="708" w:type="dxa"/>
          </w:tcPr>
          <w:p w14:paraId="0F7A175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564</w:t>
            </w:r>
          </w:p>
        </w:tc>
        <w:tc>
          <w:tcPr>
            <w:tcW w:w="709" w:type="dxa"/>
          </w:tcPr>
          <w:p w14:paraId="59DE6F8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566</w:t>
            </w:r>
          </w:p>
        </w:tc>
        <w:tc>
          <w:tcPr>
            <w:tcW w:w="709" w:type="dxa"/>
          </w:tcPr>
          <w:p w14:paraId="4569386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586</w:t>
            </w:r>
          </w:p>
        </w:tc>
        <w:tc>
          <w:tcPr>
            <w:tcW w:w="709" w:type="dxa"/>
          </w:tcPr>
          <w:p w14:paraId="70A4ACC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572</w:t>
            </w:r>
          </w:p>
        </w:tc>
        <w:tc>
          <w:tcPr>
            <w:tcW w:w="708" w:type="dxa"/>
          </w:tcPr>
          <w:p w14:paraId="7884B8A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542</w:t>
            </w:r>
          </w:p>
        </w:tc>
        <w:tc>
          <w:tcPr>
            <w:tcW w:w="709" w:type="dxa"/>
          </w:tcPr>
          <w:p w14:paraId="16AC328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709" w:type="dxa"/>
          </w:tcPr>
          <w:p w14:paraId="671B8C3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580/593</w:t>
            </w:r>
          </w:p>
        </w:tc>
        <w:tc>
          <w:tcPr>
            <w:tcW w:w="709" w:type="dxa"/>
          </w:tcPr>
          <w:p w14:paraId="26DEB05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556/4500</w:t>
            </w:r>
          </w:p>
        </w:tc>
        <w:tc>
          <w:tcPr>
            <w:tcW w:w="708" w:type="dxa"/>
          </w:tcPr>
          <w:p w14:paraId="481EA57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590/6150</w:t>
            </w:r>
          </w:p>
        </w:tc>
      </w:tr>
      <w:tr w:rsidR="005106D0" w:rsidRPr="007224C3" w14:paraId="71BDCC98" w14:textId="77777777">
        <w:tc>
          <w:tcPr>
            <w:tcW w:w="1101" w:type="dxa"/>
          </w:tcPr>
          <w:p w14:paraId="7983C80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ФВ-190А-4</w:t>
            </w:r>
          </w:p>
        </w:tc>
        <w:tc>
          <w:tcPr>
            <w:tcW w:w="708" w:type="dxa"/>
          </w:tcPr>
          <w:p w14:paraId="4F9CDBA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510</w:t>
            </w:r>
          </w:p>
        </w:tc>
        <w:tc>
          <w:tcPr>
            <w:tcW w:w="709" w:type="dxa"/>
          </w:tcPr>
          <w:p w14:paraId="4FA46BD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531</w:t>
            </w:r>
          </w:p>
        </w:tc>
        <w:tc>
          <w:tcPr>
            <w:tcW w:w="709" w:type="dxa"/>
          </w:tcPr>
          <w:p w14:paraId="71CAEC5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543</w:t>
            </w:r>
          </w:p>
        </w:tc>
        <w:tc>
          <w:tcPr>
            <w:tcW w:w="709" w:type="dxa"/>
          </w:tcPr>
          <w:p w14:paraId="10D933B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541</w:t>
            </w:r>
          </w:p>
        </w:tc>
        <w:tc>
          <w:tcPr>
            <w:tcW w:w="708" w:type="dxa"/>
          </w:tcPr>
          <w:p w14:paraId="77A1242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565</w:t>
            </w:r>
          </w:p>
        </w:tc>
        <w:tc>
          <w:tcPr>
            <w:tcW w:w="709" w:type="dxa"/>
          </w:tcPr>
          <w:p w14:paraId="7BF3F87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588</w:t>
            </w:r>
          </w:p>
        </w:tc>
        <w:tc>
          <w:tcPr>
            <w:tcW w:w="709" w:type="dxa"/>
          </w:tcPr>
          <w:p w14:paraId="59904F2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610</w:t>
            </w:r>
          </w:p>
        </w:tc>
        <w:tc>
          <w:tcPr>
            <w:tcW w:w="709" w:type="dxa"/>
          </w:tcPr>
          <w:p w14:paraId="1038E46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606</w:t>
            </w:r>
          </w:p>
        </w:tc>
        <w:tc>
          <w:tcPr>
            <w:tcW w:w="708" w:type="dxa"/>
          </w:tcPr>
          <w:p w14:paraId="71A02D5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595</w:t>
            </w:r>
          </w:p>
        </w:tc>
        <w:tc>
          <w:tcPr>
            <w:tcW w:w="709" w:type="dxa"/>
          </w:tcPr>
          <w:p w14:paraId="28F7891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581</w:t>
            </w:r>
          </w:p>
        </w:tc>
        <w:tc>
          <w:tcPr>
            <w:tcW w:w="709" w:type="dxa"/>
          </w:tcPr>
          <w:p w14:paraId="3B5228C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544</w:t>
            </w:r>
          </w:p>
        </w:tc>
        <w:tc>
          <w:tcPr>
            <w:tcW w:w="709" w:type="dxa"/>
          </w:tcPr>
          <w:p w14:paraId="59F2CE0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540/2800</w:t>
            </w:r>
          </w:p>
        </w:tc>
        <w:tc>
          <w:tcPr>
            <w:tcW w:w="708" w:type="dxa"/>
          </w:tcPr>
          <w:p w14:paraId="52D5DE4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610/6000</w:t>
            </w:r>
          </w:p>
        </w:tc>
      </w:tr>
      <w:tr w:rsidR="005106D0" w:rsidRPr="007224C3" w14:paraId="69BC12D1" w14:textId="77777777">
        <w:tc>
          <w:tcPr>
            <w:tcW w:w="1101" w:type="dxa"/>
          </w:tcPr>
          <w:p w14:paraId="195ECBE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Ме-109G-2 (3-х т)</w:t>
            </w:r>
          </w:p>
        </w:tc>
        <w:tc>
          <w:tcPr>
            <w:tcW w:w="708" w:type="dxa"/>
          </w:tcPr>
          <w:p w14:paraId="64C0E09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524</w:t>
            </w:r>
          </w:p>
        </w:tc>
        <w:tc>
          <w:tcPr>
            <w:tcW w:w="709" w:type="dxa"/>
          </w:tcPr>
          <w:p w14:paraId="5674D6D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554</w:t>
            </w:r>
          </w:p>
        </w:tc>
        <w:tc>
          <w:tcPr>
            <w:tcW w:w="709" w:type="dxa"/>
          </w:tcPr>
          <w:p w14:paraId="5B6416E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582</w:t>
            </w:r>
          </w:p>
        </w:tc>
        <w:tc>
          <w:tcPr>
            <w:tcW w:w="709" w:type="dxa"/>
          </w:tcPr>
          <w:p w14:paraId="29D0943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602</w:t>
            </w:r>
          </w:p>
        </w:tc>
        <w:tc>
          <w:tcPr>
            <w:tcW w:w="708" w:type="dxa"/>
          </w:tcPr>
          <w:p w14:paraId="41D296B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608</w:t>
            </w:r>
          </w:p>
        </w:tc>
        <w:tc>
          <w:tcPr>
            <w:tcW w:w="709" w:type="dxa"/>
          </w:tcPr>
          <w:p w14:paraId="46ED903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610</w:t>
            </w:r>
          </w:p>
        </w:tc>
        <w:tc>
          <w:tcPr>
            <w:tcW w:w="709" w:type="dxa"/>
          </w:tcPr>
          <w:p w14:paraId="22C1CF9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640</w:t>
            </w:r>
          </w:p>
        </w:tc>
        <w:tc>
          <w:tcPr>
            <w:tcW w:w="709" w:type="dxa"/>
          </w:tcPr>
          <w:p w14:paraId="0044BBC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666</w:t>
            </w:r>
          </w:p>
        </w:tc>
        <w:tc>
          <w:tcPr>
            <w:tcW w:w="708" w:type="dxa"/>
          </w:tcPr>
          <w:p w14:paraId="67E398E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660</w:t>
            </w:r>
          </w:p>
        </w:tc>
        <w:tc>
          <w:tcPr>
            <w:tcW w:w="709" w:type="dxa"/>
          </w:tcPr>
          <w:p w14:paraId="216EB6A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648</w:t>
            </w:r>
          </w:p>
        </w:tc>
        <w:tc>
          <w:tcPr>
            <w:tcW w:w="709" w:type="dxa"/>
          </w:tcPr>
          <w:p w14:paraId="2F631FB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598</w:t>
            </w:r>
          </w:p>
        </w:tc>
        <w:tc>
          <w:tcPr>
            <w:tcW w:w="709" w:type="dxa"/>
          </w:tcPr>
          <w:p w14:paraId="08C51FB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610/5000</w:t>
            </w:r>
          </w:p>
        </w:tc>
        <w:tc>
          <w:tcPr>
            <w:tcW w:w="708" w:type="dxa"/>
          </w:tcPr>
          <w:p w14:paraId="0D5DFCE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666/7000</w:t>
            </w:r>
          </w:p>
        </w:tc>
      </w:tr>
      <w:tr w:rsidR="005106D0" w:rsidRPr="007224C3" w14:paraId="2C1B2D83" w14:textId="77777777">
        <w:tc>
          <w:tcPr>
            <w:tcW w:w="1101" w:type="dxa"/>
          </w:tcPr>
          <w:p w14:paraId="6F2AC12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Ме-109G-2 (5-х т)</w:t>
            </w:r>
          </w:p>
        </w:tc>
        <w:tc>
          <w:tcPr>
            <w:tcW w:w="708" w:type="dxa"/>
          </w:tcPr>
          <w:p w14:paraId="5640DE3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505</w:t>
            </w:r>
          </w:p>
        </w:tc>
        <w:tc>
          <w:tcPr>
            <w:tcW w:w="709" w:type="dxa"/>
          </w:tcPr>
          <w:p w14:paraId="1199D74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535</w:t>
            </w:r>
          </w:p>
        </w:tc>
        <w:tc>
          <w:tcPr>
            <w:tcW w:w="709" w:type="dxa"/>
          </w:tcPr>
          <w:p w14:paraId="55E546F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564</w:t>
            </w:r>
          </w:p>
        </w:tc>
        <w:tc>
          <w:tcPr>
            <w:tcW w:w="709" w:type="dxa"/>
          </w:tcPr>
          <w:p w14:paraId="57E1439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586</w:t>
            </w:r>
          </w:p>
        </w:tc>
        <w:tc>
          <w:tcPr>
            <w:tcW w:w="708" w:type="dxa"/>
          </w:tcPr>
          <w:p w14:paraId="77EA85A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592</w:t>
            </w:r>
          </w:p>
        </w:tc>
        <w:tc>
          <w:tcPr>
            <w:tcW w:w="709" w:type="dxa"/>
          </w:tcPr>
          <w:p w14:paraId="7B15CE9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593</w:t>
            </w:r>
          </w:p>
        </w:tc>
        <w:tc>
          <w:tcPr>
            <w:tcW w:w="709" w:type="dxa"/>
          </w:tcPr>
          <w:p w14:paraId="0EA3C4B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621</w:t>
            </w:r>
          </w:p>
        </w:tc>
        <w:tc>
          <w:tcPr>
            <w:tcW w:w="709" w:type="dxa"/>
          </w:tcPr>
          <w:p w14:paraId="3BBD463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650</w:t>
            </w:r>
          </w:p>
        </w:tc>
        <w:tc>
          <w:tcPr>
            <w:tcW w:w="708" w:type="dxa"/>
          </w:tcPr>
          <w:p w14:paraId="673B813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643</w:t>
            </w:r>
          </w:p>
        </w:tc>
        <w:tc>
          <w:tcPr>
            <w:tcW w:w="709" w:type="dxa"/>
          </w:tcPr>
          <w:p w14:paraId="70DA42D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630</w:t>
            </w:r>
          </w:p>
        </w:tc>
        <w:tc>
          <w:tcPr>
            <w:tcW w:w="709" w:type="dxa"/>
          </w:tcPr>
          <w:p w14:paraId="00436D6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583</w:t>
            </w:r>
          </w:p>
        </w:tc>
        <w:tc>
          <w:tcPr>
            <w:tcW w:w="709" w:type="dxa"/>
          </w:tcPr>
          <w:p w14:paraId="35C9CC5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593/5000</w:t>
            </w:r>
          </w:p>
        </w:tc>
        <w:tc>
          <w:tcPr>
            <w:tcW w:w="708" w:type="dxa"/>
          </w:tcPr>
          <w:p w14:paraId="19B0BBA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650/7000</w:t>
            </w:r>
          </w:p>
        </w:tc>
      </w:tr>
      <w:tr w:rsidR="005106D0" w:rsidRPr="007224C3" w14:paraId="48C3397F" w14:textId="77777777">
        <w:tc>
          <w:tcPr>
            <w:tcW w:w="1101" w:type="dxa"/>
          </w:tcPr>
          <w:p w14:paraId="29ADD78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Ме-109F</w:t>
            </w:r>
          </w:p>
        </w:tc>
        <w:tc>
          <w:tcPr>
            <w:tcW w:w="708" w:type="dxa"/>
          </w:tcPr>
          <w:p w14:paraId="0D312C5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510</w:t>
            </w:r>
          </w:p>
        </w:tc>
        <w:tc>
          <w:tcPr>
            <w:tcW w:w="709" w:type="dxa"/>
          </w:tcPr>
          <w:p w14:paraId="327E82C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528</w:t>
            </w:r>
          </w:p>
        </w:tc>
        <w:tc>
          <w:tcPr>
            <w:tcW w:w="709" w:type="dxa"/>
          </w:tcPr>
          <w:p w14:paraId="3A6B2A1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547</w:t>
            </w:r>
          </w:p>
        </w:tc>
        <w:tc>
          <w:tcPr>
            <w:tcW w:w="709" w:type="dxa"/>
          </w:tcPr>
          <w:p w14:paraId="3C397CA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561</w:t>
            </w:r>
          </w:p>
        </w:tc>
        <w:tc>
          <w:tcPr>
            <w:tcW w:w="708" w:type="dxa"/>
          </w:tcPr>
          <w:p w14:paraId="046F1E0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559</w:t>
            </w:r>
          </w:p>
        </w:tc>
        <w:tc>
          <w:tcPr>
            <w:tcW w:w="709" w:type="dxa"/>
          </w:tcPr>
          <w:p w14:paraId="35DEED5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556</w:t>
            </w:r>
          </w:p>
        </w:tc>
        <w:tc>
          <w:tcPr>
            <w:tcW w:w="709" w:type="dxa"/>
          </w:tcPr>
          <w:p w14:paraId="44433E4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554</w:t>
            </w:r>
          </w:p>
        </w:tc>
        <w:tc>
          <w:tcPr>
            <w:tcW w:w="709" w:type="dxa"/>
          </w:tcPr>
          <w:p w14:paraId="62B8FB5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708" w:type="dxa"/>
          </w:tcPr>
          <w:p w14:paraId="6D8E1DE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709" w:type="dxa"/>
          </w:tcPr>
          <w:p w14:paraId="001D173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709" w:type="dxa"/>
          </w:tcPr>
          <w:p w14:paraId="7710176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561</w:t>
            </w:r>
          </w:p>
        </w:tc>
        <w:tc>
          <w:tcPr>
            <w:tcW w:w="709" w:type="dxa"/>
          </w:tcPr>
          <w:p w14:paraId="3F5ED1B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708" w:type="dxa"/>
          </w:tcPr>
          <w:p w14:paraId="33A1298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3593A92E" w14:textId="77777777">
        <w:tc>
          <w:tcPr>
            <w:tcW w:w="1101" w:type="dxa"/>
            <w:tcBorders>
              <w:bottom w:val="single" w:sz="12" w:space="0" w:color="auto"/>
            </w:tcBorders>
          </w:tcPr>
          <w:p w14:paraId="048196F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Аэрокобра</w:t>
            </w:r>
          </w:p>
        </w:tc>
        <w:tc>
          <w:tcPr>
            <w:tcW w:w="708" w:type="dxa"/>
            <w:tcBorders>
              <w:bottom w:val="single" w:sz="12" w:space="0" w:color="auto"/>
            </w:tcBorders>
          </w:tcPr>
          <w:p w14:paraId="7A89C67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467/489</w:t>
            </w:r>
          </w:p>
        </w:tc>
        <w:tc>
          <w:tcPr>
            <w:tcW w:w="709" w:type="dxa"/>
            <w:tcBorders>
              <w:bottom w:val="single" w:sz="12" w:space="0" w:color="auto"/>
            </w:tcBorders>
          </w:tcPr>
          <w:p w14:paraId="1290A92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492/515</w:t>
            </w:r>
          </w:p>
        </w:tc>
        <w:tc>
          <w:tcPr>
            <w:tcW w:w="709" w:type="dxa"/>
            <w:tcBorders>
              <w:bottom w:val="single" w:sz="12" w:space="0" w:color="auto"/>
            </w:tcBorders>
          </w:tcPr>
          <w:p w14:paraId="52B67E8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517/539</w:t>
            </w:r>
          </w:p>
        </w:tc>
        <w:tc>
          <w:tcPr>
            <w:tcW w:w="709" w:type="dxa"/>
            <w:tcBorders>
              <w:bottom w:val="single" w:sz="12" w:space="0" w:color="auto"/>
            </w:tcBorders>
          </w:tcPr>
          <w:p w14:paraId="3E2206A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542/584</w:t>
            </w:r>
          </w:p>
        </w:tc>
        <w:tc>
          <w:tcPr>
            <w:tcW w:w="708" w:type="dxa"/>
            <w:tcBorders>
              <w:bottom w:val="single" w:sz="12" w:space="0" w:color="auto"/>
            </w:tcBorders>
          </w:tcPr>
          <w:p w14:paraId="3A66BC5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567/589</w:t>
            </w:r>
          </w:p>
        </w:tc>
        <w:tc>
          <w:tcPr>
            <w:tcW w:w="709" w:type="dxa"/>
            <w:tcBorders>
              <w:bottom w:val="single" w:sz="12" w:space="0" w:color="auto"/>
            </w:tcBorders>
          </w:tcPr>
          <w:p w14:paraId="125436D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592/614</w:t>
            </w:r>
          </w:p>
        </w:tc>
        <w:tc>
          <w:tcPr>
            <w:tcW w:w="709" w:type="dxa"/>
            <w:tcBorders>
              <w:bottom w:val="single" w:sz="12" w:space="0" w:color="auto"/>
            </w:tcBorders>
          </w:tcPr>
          <w:p w14:paraId="43C98D4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590/612</w:t>
            </w:r>
          </w:p>
        </w:tc>
        <w:tc>
          <w:tcPr>
            <w:tcW w:w="709" w:type="dxa"/>
            <w:tcBorders>
              <w:bottom w:val="single" w:sz="12" w:space="0" w:color="auto"/>
            </w:tcBorders>
          </w:tcPr>
          <w:p w14:paraId="263DEA8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575/596</w:t>
            </w:r>
          </w:p>
        </w:tc>
        <w:tc>
          <w:tcPr>
            <w:tcW w:w="708" w:type="dxa"/>
            <w:tcBorders>
              <w:bottom w:val="single" w:sz="12" w:space="0" w:color="auto"/>
            </w:tcBorders>
          </w:tcPr>
          <w:p w14:paraId="305C3CE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556/577</w:t>
            </w:r>
          </w:p>
        </w:tc>
        <w:tc>
          <w:tcPr>
            <w:tcW w:w="709" w:type="dxa"/>
            <w:tcBorders>
              <w:bottom w:val="single" w:sz="12" w:space="0" w:color="auto"/>
            </w:tcBorders>
          </w:tcPr>
          <w:p w14:paraId="5D99324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530/552</w:t>
            </w:r>
          </w:p>
        </w:tc>
        <w:tc>
          <w:tcPr>
            <w:tcW w:w="709" w:type="dxa"/>
            <w:tcBorders>
              <w:bottom w:val="single" w:sz="12" w:space="0" w:color="auto"/>
            </w:tcBorders>
          </w:tcPr>
          <w:p w14:paraId="592B794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598/620</w:t>
            </w:r>
          </w:p>
        </w:tc>
        <w:tc>
          <w:tcPr>
            <w:tcW w:w="709" w:type="dxa"/>
            <w:tcBorders>
              <w:bottom w:val="single" w:sz="12" w:space="0" w:color="auto"/>
            </w:tcBorders>
          </w:tcPr>
          <w:p w14:paraId="73D899A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708" w:type="dxa"/>
            <w:tcBorders>
              <w:bottom w:val="single" w:sz="12" w:space="0" w:color="auto"/>
            </w:tcBorders>
          </w:tcPr>
          <w:p w14:paraId="578C1F2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bl>
    <w:p w14:paraId="7CCE224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Примечание:</w:t>
      </w:r>
    </w:p>
    <w:p w14:paraId="0B05CC1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Отдельные с-ты могут иметь скорости, отличающиеся от указанных на +/- 10 км/час</w:t>
      </w:r>
    </w:p>
    <w:p w14:paraId="7873878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Для Аэрокобры скорости даны в числителе с подвесными б/б и с подкрыльевыми пулеметами 12,7мм, а в знаменателе - без них</w:t>
      </w:r>
    </w:p>
    <w:p w14:paraId="0322A1C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Для с-тов ла-5 до 1 гр. приведены в числителе на номинаде, а в знаменателе - на форсаже</w:t>
      </w:r>
    </w:p>
    <w:p w14:paraId="62A52C6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Мотор ДБ-605 А/1 имеет нагнетатель с гидравлическим приводом, поэтому:</w:t>
      </w:r>
    </w:p>
    <w:p w14:paraId="75A6495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для 1-й гр. принята та, на которой включается дополнительная гидромуфта</w:t>
      </w:r>
    </w:p>
    <w:p w14:paraId="07583CC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за высоту переключения принята точки перигиба графика макс. скоростей</w:t>
      </w:r>
    </w:p>
    <w:p w14:paraId="5F1FDA7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Таблица скороподъемности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17"/>
        <w:gridCol w:w="567"/>
        <w:gridCol w:w="567"/>
        <w:gridCol w:w="567"/>
        <w:gridCol w:w="567"/>
        <w:gridCol w:w="567"/>
        <w:gridCol w:w="567"/>
        <w:gridCol w:w="567"/>
        <w:gridCol w:w="582"/>
        <w:gridCol w:w="552"/>
        <w:gridCol w:w="567"/>
        <w:gridCol w:w="567"/>
        <w:gridCol w:w="567"/>
        <w:gridCol w:w="567"/>
        <w:gridCol w:w="567"/>
        <w:gridCol w:w="567"/>
      </w:tblGrid>
      <w:tr w:rsidR="005106D0" w:rsidRPr="007224C3" w14:paraId="57D3B7CE" w14:textId="77777777">
        <w:tc>
          <w:tcPr>
            <w:tcW w:w="817" w:type="dxa"/>
            <w:tcBorders>
              <w:top w:val="single" w:sz="12" w:space="0" w:color="auto"/>
            </w:tcBorders>
          </w:tcPr>
          <w:p w14:paraId="640D922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С-ты</w:t>
            </w:r>
          </w:p>
        </w:tc>
        <w:tc>
          <w:tcPr>
            <w:tcW w:w="567" w:type="dxa"/>
            <w:tcBorders>
              <w:top w:val="single" w:sz="12" w:space="0" w:color="auto"/>
            </w:tcBorders>
          </w:tcPr>
          <w:p w14:paraId="77ABAF9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Скорость на 0/время</w:t>
            </w:r>
          </w:p>
        </w:tc>
        <w:tc>
          <w:tcPr>
            <w:tcW w:w="567" w:type="dxa"/>
            <w:tcBorders>
              <w:top w:val="single" w:sz="12" w:space="0" w:color="auto"/>
            </w:tcBorders>
          </w:tcPr>
          <w:p w14:paraId="107CF9A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Скорость на 1000</w:t>
            </w:r>
          </w:p>
        </w:tc>
        <w:tc>
          <w:tcPr>
            <w:tcW w:w="567" w:type="dxa"/>
            <w:tcBorders>
              <w:top w:val="single" w:sz="12" w:space="0" w:color="auto"/>
            </w:tcBorders>
          </w:tcPr>
          <w:p w14:paraId="2582001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Скорость на 2000</w:t>
            </w:r>
          </w:p>
        </w:tc>
        <w:tc>
          <w:tcPr>
            <w:tcW w:w="567" w:type="dxa"/>
            <w:tcBorders>
              <w:top w:val="single" w:sz="12" w:space="0" w:color="auto"/>
            </w:tcBorders>
          </w:tcPr>
          <w:p w14:paraId="074A415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Скорость на 3000</w:t>
            </w:r>
          </w:p>
        </w:tc>
        <w:tc>
          <w:tcPr>
            <w:tcW w:w="567" w:type="dxa"/>
            <w:tcBorders>
              <w:top w:val="single" w:sz="12" w:space="0" w:color="auto"/>
            </w:tcBorders>
          </w:tcPr>
          <w:p w14:paraId="46B91E9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Скорость на 4000</w:t>
            </w:r>
          </w:p>
        </w:tc>
        <w:tc>
          <w:tcPr>
            <w:tcW w:w="567" w:type="dxa"/>
            <w:tcBorders>
              <w:top w:val="single" w:sz="12" w:space="0" w:color="auto"/>
            </w:tcBorders>
          </w:tcPr>
          <w:p w14:paraId="46D74FF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Скорость на 5000 м</w:t>
            </w:r>
          </w:p>
        </w:tc>
        <w:tc>
          <w:tcPr>
            <w:tcW w:w="567" w:type="dxa"/>
            <w:tcBorders>
              <w:top w:val="single" w:sz="12" w:space="0" w:color="auto"/>
            </w:tcBorders>
          </w:tcPr>
          <w:p w14:paraId="4D245B2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Скорость на 6000</w:t>
            </w:r>
          </w:p>
        </w:tc>
        <w:tc>
          <w:tcPr>
            <w:tcW w:w="582" w:type="dxa"/>
            <w:tcBorders>
              <w:top w:val="single" w:sz="12" w:space="0" w:color="auto"/>
            </w:tcBorders>
          </w:tcPr>
          <w:p w14:paraId="06CAA50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Скорость на 7000</w:t>
            </w:r>
          </w:p>
        </w:tc>
        <w:tc>
          <w:tcPr>
            <w:tcW w:w="552" w:type="dxa"/>
            <w:tcBorders>
              <w:top w:val="single" w:sz="12" w:space="0" w:color="auto"/>
            </w:tcBorders>
          </w:tcPr>
          <w:p w14:paraId="272951D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Скорость на 8000 м</w:t>
            </w:r>
          </w:p>
        </w:tc>
        <w:tc>
          <w:tcPr>
            <w:tcW w:w="567" w:type="dxa"/>
            <w:tcBorders>
              <w:top w:val="single" w:sz="12" w:space="0" w:color="auto"/>
            </w:tcBorders>
          </w:tcPr>
          <w:p w14:paraId="773642B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Скорость на 9000 м</w:t>
            </w:r>
          </w:p>
        </w:tc>
        <w:tc>
          <w:tcPr>
            <w:tcW w:w="567" w:type="dxa"/>
            <w:tcBorders>
              <w:top w:val="single" w:sz="12" w:space="0" w:color="auto"/>
            </w:tcBorders>
          </w:tcPr>
          <w:p w14:paraId="77AAE9A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Скорость на 10000 м</w:t>
            </w:r>
          </w:p>
        </w:tc>
        <w:tc>
          <w:tcPr>
            <w:tcW w:w="567" w:type="dxa"/>
            <w:tcBorders>
              <w:top w:val="single" w:sz="12" w:space="0" w:color="auto"/>
            </w:tcBorders>
          </w:tcPr>
          <w:p w14:paraId="72D2B74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Скорость на потолке</w:t>
            </w:r>
          </w:p>
        </w:tc>
        <w:tc>
          <w:tcPr>
            <w:tcW w:w="567" w:type="dxa"/>
            <w:tcBorders>
              <w:top w:val="single" w:sz="12" w:space="0" w:color="auto"/>
            </w:tcBorders>
          </w:tcPr>
          <w:p w14:paraId="18CD481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1 гр. высотности</w:t>
            </w:r>
          </w:p>
        </w:tc>
        <w:tc>
          <w:tcPr>
            <w:tcW w:w="567" w:type="dxa"/>
            <w:tcBorders>
              <w:top w:val="single" w:sz="12" w:space="0" w:color="auto"/>
            </w:tcBorders>
          </w:tcPr>
          <w:p w14:paraId="1653E14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гр. переключения</w:t>
            </w:r>
          </w:p>
        </w:tc>
        <w:tc>
          <w:tcPr>
            <w:tcW w:w="567" w:type="dxa"/>
            <w:tcBorders>
              <w:top w:val="single" w:sz="12" w:space="0" w:color="auto"/>
            </w:tcBorders>
          </w:tcPr>
          <w:p w14:paraId="2AF6B78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2 гр. в</w:t>
            </w:r>
          </w:p>
          <w:p w14:paraId="55EBF2F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ысотности</w:t>
            </w:r>
          </w:p>
        </w:tc>
      </w:tr>
      <w:tr w:rsidR="005106D0" w:rsidRPr="007224C3" w14:paraId="07469DEE" w14:textId="77777777">
        <w:tc>
          <w:tcPr>
            <w:tcW w:w="817" w:type="dxa"/>
          </w:tcPr>
          <w:p w14:paraId="703F32C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Як-1ПФ</w:t>
            </w:r>
          </w:p>
        </w:tc>
        <w:tc>
          <w:tcPr>
            <w:tcW w:w="567" w:type="dxa"/>
          </w:tcPr>
          <w:p w14:paraId="438BC71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15,4/0</w:t>
            </w:r>
          </w:p>
        </w:tc>
        <w:tc>
          <w:tcPr>
            <w:tcW w:w="567" w:type="dxa"/>
          </w:tcPr>
          <w:p w14:paraId="6460E22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16,1/1,1</w:t>
            </w:r>
          </w:p>
        </w:tc>
        <w:tc>
          <w:tcPr>
            <w:tcW w:w="567" w:type="dxa"/>
          </w:tcPr>
          <w:p w14:paraId="73D1634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15,3/2,1</w:t>
            </w:r>
          </w:p>
        </w:tc>
        <w:tc>
          <w:tcPr>
            <w:tcW w:w="567" w:type="dxa"/>
          </w:tcPr>
          <w:p w14:paraId="42DAD54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15,6/3,2</w:t>
            </w:r>
          </w:p>
        </w:tc>
        <w:tc>
          <w:tcPr>
            <w:tcW w:w="567" w:type="dxa"/>
          </w:tcPr>
          <w:p w14:paraId="603555C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14,3/4,4</w:t>
            </w:r>
          </w:p>
        </w:tc>
        <w:tc>
          <w:tcPr>
            <w:tcW w:w="567" w:type="dxa"/>
          </w:tcPr>
          <w:p w14:paraId="792830E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12,1/5,5</w:t>
            </w:r>
          </w:p>
        </w:tc>
        <w:tc>
          <w:tcPr>
            <w:tcW w:w="567" w:type="dxa"/>
          </w:tcPr>
          <w:p w14:paraId="15E8A23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9,9/7,1</w:t>
            </w:r>
          </w:p>
        </w:tc>
        <w:tc>
          <w:tcPr>
            <w:tcW w:w="582" w:type="dxa"/>
          </w:tcPr>
          <w:p w14:paraId="18A4473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7,7/9,1</w:t>
            </w:r>
          </w:p>
        </w:tc>
        <w:tc>
          <w:tcPr>
            <w:tcW w:w="552" w:type="dxa"/>
          </w:tcPr>
          <w:p w14:paraId="714DC38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5,5/11,6</w:t>
            </w:r>
          </w:p>
        </w:tc>
        <w:tc>
          <w:tcPr>
            <w:tcW w:w="567" w:type="dxa"/>
          </w:tcPr>
          <w:p w14:paraId="4F53001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3,2/15,5</w:t>
            </w:r>
          </w:p>
        </w:tc>
        <w:tc>
          <w:tcPr>
            <w:tcW w:w="567" w:type="dxa"/>
          </w:tcPr>
          <w:p w14:paraId="3E382BE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1,1/24,0</w:t>
            </w:r>
          </w:p>
        </w:tc>
        <w:tc>
          <w:tcPr>
            <w:tcW w:w="567" w:type="dxa"/>
          </w:tcPr>
          <w:p w14:paraId="0BFA29A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0,5/28,0</w:t>
            </w:r>
          </w:p>
        </w:tc>
        <w:tc>
          <w:tcPr>
            <w:tcW w:w="567" w:type="dxa"/>
          </w:tcPr>
          <w:p w14:paraId="171D67A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16,3/1,5/1400</w:t>
            </w:r>
          </w:p>
        </w:tc>
        <w:tc>
          <w:tcPr>
            <w:tcW w:w="567" w:type="dxa"/>
          </w:tcPr>
          <w:p w14:paraId="5E1E460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15/2,4/2200</w:t>
            </w:r>
          </w:p>
        </w:tc>
        <w:tc>
          <w:tcPr>
            <w:tcW w:w="567" w:type="dxa"/>
          </w:tcPr>
          <w:p w14:paraId="4A71B55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15,9/3,6/3300</w:t>
            </w:r>
          </w:p>
        </w:tc>
      </w:tr>
      <w:tr w:rsidR="005106D0" w:rsidRPr="007224C3" w14:paraId="20BE0134" w14:textId="77777777">
        <w:tc>
          <w:tcPr>
            <w:tcW w:w="817" w:type="dxa"/>
          </w:tcPr>
          <w:p w14:paraId="3B25665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Як-7БПФ</w:t>
            </w:r>
          </w:p>
        </w:tc>
        <w:tc>
          <w:tcPr>
            <w:tcW w:w="567" w:type="dxa"/>
          </w:tcPr>
          <w:p w14:paraId="24D3D7E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16,2/0</w:t>
            </w:r>
          </w:p>
        </w:tc>
        <w:tc>
          <w:tcPr>
            <w:tcW w:w="567" w:type="dxa"/>
          </w:tcPr>
          <w:p w14:paraId="6E0E402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16,8,1,0</w:t>
            </w:r>
          </w:p>
        </w:tc>
        <w:tc>
          <w:tcPr>
            <w:tcW w:w="567" w:type="dxa"/>
          </w:tcPr>
          <w:p w14:paraId="33C13CA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15,2/2,0</w:t>
            </w:r>
          </w:p>
        </w:tc>
        <w:tc>
          <w:tcPr>
            <w:tcW w:w="567" w:type="dxa"/>
          </w:tcPr>
          <w:p w14:paraId="17412DB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14,9/3,1</w:t>
            </w:r>
          </w:p>
        </w:tc>
        <w:tc>
          <w:tcPr>
            <w:tcW w:w="567" w:type="dxa"/>
          </w:tcPr>
          <w:p w14:paraId="3A8269F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13,3/4,3</w:t>
            </w:r>
          </w:p>
        </w:tc>
        <w:tc>
          <w:tcPr>
            <w:tcW w:w="567" w:type="dxa"/>
          </w:tcPr>
          <w:p w14:paraId="3827147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11,1/5,7</w:t>
            </w:r>
          </w:p>
        </w:tc>
        <w:tc>
          <w:tcPr>
            <w:tcW w:w="567" w:type="dxa"/>
          </w:tcPr>
          <w:p w14:paraId="4E4847B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9,0/7,2</w:t>
            </w:r>
          </w:p>
        </w:tc>
        <w:tc>
          <w:tcPr>
            <w:tcW w:w="582" w:type="dxa"/>
          </w:tcPr>
          <w:p w14:paraId="45F3D2F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6,9/9,4</w:t>
            </w:r>
          </w:p>
        </w:tc>
        <w:tc>
          <w:tcPr>
            <w:tcW w:w="552" w:type="dxa"/>
          </w:tcPr>
          <w:p w14:paraId="35F1B41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4,8/12,4</w:t>
            </w:r>
          </w:p>
        </w:tc>
        <w:tc>
          <w:tcPr>
            <w:tcW w:w="567" w:type="dxa"/>
          </w:tcPr>
          <w:p w14:paraId="14958B3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2,5/17,0</w:t>
            </w:r>
          </w:p>
        </w:tc>
        <w:tc>
          <w:tcPr>
            <w:tcW w:w="567" w:type="dxa"/>
          </w:tcPr>
          <w:p w14:paraId="480AF98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567" w:type="dxa"/>
          </w:tcPr>
          <w:p w14:paraId="68127DA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0,5/27,5/10000</w:t>
            </w:r>
          </w:p>
        </w:tc>
        <w:tc>
          <w:tcPr>
            <w:tcW w:w="567" w:type="dxa"/>
          </w:tcPr>
          <w:p w14:paraId="286AC3C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17,0/1,2/1300</w:t>
            </w:r>
          </w:p>
        </w:tc>
        <w:tc>
          <w:tcPr>
            <w:tcW w:w="567" w:type="dxa"/>
          </w:tcPr>
          <w:p w14:paraId="22E4D8B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14,7/2,3/2200</w:t>
            </w:r>
          </w:p>
        </w:tc>
        <w:tc>
          <w:tcPr>
            <w:tcW w:w="567" w:type="dxa"/>
          </w:tcPr>
          <w:p w14:paraId="405BE71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14,9/3,4/3250</w:t>
            </w:r>
          </w:p>
        </w:tc>
      </w:tr>
      <w:tr w:rsidR="005106D0" w:rsidRPr="007224C3" w14:paraId="221BA734" w14:textId="77777777">
        <w:tc>
          <w:tcPr>
            <w:tcW w:w="817" w:type="dxa"/>
          </w:tcPr>
          <w:p w14:paraId="3440EE2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w:t>
            </w:r>
            <w:r w:rsidRPr="007224C3">
              <w:rPr>
                <w:rFonts w:ascii="Times New Roman" w:hAnsi="Times New Roman"/>
                <w:color w:val="000000" w:themeColor="text1"/>
                <w:sz w:val="16"/>
                <w:szCs w:val="16"/>
              </w:rPr>
              <w:lastRenderedPageBreak/>
              <w:t>9ТПФ, Як-9ДПФ</w:t>
            </w:r>
          </w:p>
        </w:tc>
        <w:tc>
          <w:tcPr>
            <w:tcW w:w="567" w:type="dxa"/>
          </w:tcPr>
          <w:p w14:paraId="39FDF65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 xml:space="preserve">10/0 </w:t>
            </w:r>
            <w:r w:rsidRPr="007224C3">
              <w:rPr>
                <w:rFonts w:ascii="Times New Roman" w:hAnsi="Times New Roman"/>
                <w:color w:val="000000" w:themeColor="text1"/>
                <w:sz w:val="16"/>
                <w:szCs w:val="16"/>
              </w:rPr>
              <w:lastRenderedPageBreak/>
              <w:t>и 15,6/0</w:t>
            </w:r>
          </w:p>
        </w:tc>
        <w:tc>
          <w:tcPr>
            <w:tcW w:w="567" w:type="dxa"/>
          </w:tcPr>
          <w:p w14:paraId="5EE1023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16,2/</w:t>
            </w:r>
            <w:r w:rsidRPr="007224C3">
              <w:rPr>
                <w:rFonts w:ascii="Times New Roman" w:hAnsi="Times New Roman"/>
                <w:color w:val="000000" w:themeColor="text1"/>
                <w:sz w:val="16"/>
                <w:szCs w:val="16"/>
              </w:rPr>
              <w:lastRenderedPageBreak/>
              <w:t>1,1 и 16,1/1,1</w:t>
            </w:r>
          </w:p>
        </w:tc>
        <w:tc>
          <w:tcPr>
            <w:tcW w:w="567" w:type="dxa"/>
          </w:tcPr>
          <w:p w14:paraId="791F975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14,/2</w:t>
            </w:r>
            <w:r w:rsidRPr="007224C3">
              <w:rPr>
                <w:rFonts w:ascii="Times New Roman" w:hAnsi="Times New Roman"/>
                <w:color w:val="000000" w:themeColor="text1"/>
                <w:sz w:val="16"/>
                <w:szCs w:val="16"/>
              </w:rPr>
              <w:lastRenderedPageBreak/>
              <w:t>,12 и 15,4/2,1</w:t>
            </w:r>
          </w:p>
        </w:tc>
        <w:tc>
          <w:tcPr>
            <w:tcW w:w="567" w:type="dxa"/>
          </w:tcPr>
          <w:p w14:paraId="4BFD620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13,9/</w:t>
            </w:r>
            <w:r w:rsidRPr="007224C3">
              <w:rPr>
                <w:rFonts w:ascii="Times New Roman" w:hAnsi="Times New Roman"/>
                <w:color w:val="000000" w:themeColor="text1"/>
                <w:sz w:val="16"/>
                <w:szCs w:val="16"/>
              </w:rPr>
              <w:lastRenderedPageBreak/>
              <w:t>3,3 и 15,9/3,1</w:t>
            </w:r>
          </w:p>
        </w:tc>
        <w:tc>
          <w:tcPr>
            <w:tcW w:w="567" w:type="dxa"/>
          </w:tcPr>
          <w:p w14:paraId="52A7ACB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12,3/</w:t>
            </w:r>
            <w:r w:rsidRPr="007224C3">
              <w:rPr>
                <w:rFonts w:ascii="Times New Roman" w:hAnsi="Times New Roman"/>
                <w:color w:val="000000" w:themeColor="text1"/>
                <w:sz w:val="16"/>
                <w:szCs w:val="16"/>
              </w:rPr>
              <w:lastRenderedPageBreak/>
              <w:t>4,6 и 14,3/4,2</w:t>
            </w:r>
          </w:p>
        </w:tc>
        <w:tc>
          <w:tcPr>
            <w:tcW w:w="567" w:type="dxa"/>
          </w:tcPr>
          <w:p w14:paraId="0598FAF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10,3/</w:t>
            </w:r>
            <w:r w:rsidRPr="007224C3">
              <w:rPr>
                <w:rFonts w:ascii="Times New Roman" w:hAnsi="Times New Roman"/>
                <w:color w:val="000000" w:themeColor="text1"/>
                <w:sz w:val="16"/>
                <w:szCs w:val="16"/>
              </w:rPr>
              <w:lastRenderedPageBreak/>
              <w:t>6,1 и 11,9/5,5</w:t>
            </w:r>
          </w:p>
        </w:tc>
        <w:tc>
          <w:tcPr>
            <w:tcW w:w="567" w:type="dxa"/>
          </w:tcPr>
          <w:p w14:paraId="58DF8D9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8,3/7</w:t>
            </w:r>
            <w:r w:rsidRPr="007224C3">
              <w:rPr>
                <w:rFonts w:ascii="Times New Roman" w:hAnsi="Times New Roman"/>
                <w:color w:val="000000" w:themeColor="text1"/>
                <w:sz w:val="16"/>
                <w:szCs w:val="16"/>
              </w:rPr>
              <w:lastRenderedPageBreak/>
              <w:t>,9 и 9,6/7,1</w:t>
            </w:r>
          </w:p>
        </w:tc>
        <w:tc>
          <w:tcPr>
            <w:tcW w:w="582" w:type="dxa"/>
          </w:tcPr>
          <w:p w14:paraId="1347FA3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6,4/1</w:t>
            </w:r>
            <w:r w:rsidRPr="007224C3">
              <w:rPr>
                <w:rFonts w:ascii="Times New Roman" w:hAnsi="Times New Roman"/>
                <w:color w:val="000000" w:themeColor="text1"/>
                <w:sz w:val="16"/>
                <w:szCs w:val="16"/>
              </w:rPr>
              <w:lastRenderedPageBreak/>
              <w:t>0,1 и 7,4/9,1</w:t>
            </w:r>
          </w:p>
        </w:tc>
        <w:tc>
          <w:tcPr>
            <w:tcW w:w="552" w:type="dxa"/>
          </w:tcPr>
          <w:p w14:paraId="4B566BA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4,4/1</w:t>
            </w:r>
            <w:r w:rsidRPr="007224C3">
              <w:rPr>
                <w:rFonts w:ascii="Times New Roman" w:hAnsi="Times New Roman"/>
                <w:color w:val="000000" w:themeColor="text1"/>
                <w:sz w:val="16"/>
                <w:szCs w:val="16"/>
              </w:rPr>
              <w:lastRenderedPageBreak/>
              <w:t>3,2 и 5,0/11,9</w:t>
            </w:r>
          </w:p>
        </w:tc>
        <w:tc>
          <w:tcPr>
            <w:tcW w:w="567" w:type="dxa"/>
          </w:tcPr>
          <w:p w14:paraId="4D6C48B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2,5/1</w:t>
            </w:r>
            <w:r w:rsidRPr="007224C3">
              <w:rPr>
                <w:rFonts w:ascii="Times New Roman" w:hAnsi="Times New Roman"/>
                <w:color w:val="000000" w:themeColor="text1"/>
                <w:sz w:val="16"/>
                <w:szCs w:val="16"/>
              </w:rPr>
              <w:lastRenderedPageBreak/>
              <w:t>8,2 и 2,7/15,3</w:t>
            </w:r>
          </w:p>
        </w:tc>
        <w:tc>
          <w:tcPr>
            <w:tcW w:w="567" w:type="dxa"/>
          </w:tcPr>
          <w:p w14:paraId="4E2F9CE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0,5/3</w:t>
            </w:r>
            <w:r w:rsidRPr="007224C3">
              <w:rPr>
                <w:rFonts w:ascii="Times New Roman" w:hAnsi="Times New Roman"/>
                <w:color w:val="000000" w:themeColor="text1"/>
                <w:sz w:val="16"/>
                <w:szCs w:val="16"/>
              </w:rPr>
              <w:lastRenderedPageBreak/>
              <w:t>0,5 и 0,5/27,6</w:t>
            </w:r>
          </w:p>
        </w:tc>
        <w:tc>
          <w:tcPr>
            <w:tcW w:w="567" w:type="dxa"/>
          </w:tcPr>
          <w:p w14:paraId="13A2473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0,5/3</w:t>
            </w:r>
            <w:r w:rsidRPr="007224C3">
              <w:rPr>
                <w:rFonts w:ascii="Times New Roman" w:hAnsi="Times New Roman"/>
                <w:color w:val="000000" w:themeColor="text1"/>
                <w:sz w:val="16"/>
                <w:szCs w:val="16"/>
              </w:rPr>
              <w:lastRenderedPageBreak/>
              <w:t>0,5/10000 и 0,5/27,6/1000</w:t>
            </w:r>
          </w:p>
        </w:tc>
        <w:tc>
          <w:tcPr>
            <w:tcW w:w="567" w:type="dxa"/>
          </w:tcPr>
          <w:p w14:paraId="5393F7C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16,3/</w:t>
            </w:r>
            <w:r w:rsidRPr="007224C3">
              <w:rPr>
                <w:rFonts w:ascii="Times New Roman" w:hAnsi="Times New Roman"/>
                <w:color w:val="000000" w:themeColor="text1"/>
                <w:sz w:val="16"/>
                <w:szCs w:val="16"/>
              </w:rPr>
              <w:lastRenderedPageBreak/>
              <w:t>1,3/1200 и 16,2/1,3/1250</w:t>
            </w:r>
          </w:p>
        </w:tc>
        <w:tc>
          <w:tcPr>
            <w:tcW w:w="567" w:type="dxa"/>
          </w:tcPr>
          <w:p w14:paraId="6E9485F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13,7/</w:t>
            </w:r>
            <w:r w:rsidRPr="007224C3">
              <w:rPr>
                <w:rFonts w:ascii="Times New Roman" w:hAnsi="Times New Roman"/>
                <w:color w:val="000000" w:themeColor="text1"/>
                <w:sz w:val="16"/>
                <w:szCs w:val="16"/>
              </w:rPr>
              <w:lastRenderedPageBreak/>
              <w:t>2,2/2100 и 15,4/2,1/2000</w:t>
            </w:r>
          </w:p>
        </w:tc>
        <w:tc>
          <w:tcPr>
            <w:tcW w:w="567" w:type="dxa"/>
          </w:tcPr>
          <w:p w14:paraId="52E479A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13,9/</w:t>
            </w:r>
            <w:r w:rsidRPr="007224C3">
              <w:rPr>
                <w:rFonts w:ascii="Times New Roman" w:hAnsi="Times New Roman"/>
                <w:color w:val="000000" w:themeColor="text1"/>
                <w:sz w:val="16"/>
                <w:szCs w:val="16"/>
              </w:rPr>
              <w:lastRenderedPageBreak/>
              <w:t>3,6/3200 и 16,0/3,4/3250</w:t>
            </w:r>
          </w:p>
        </w:tc>
      </w:tr>
      <w:tr w:rsidR="005106D0" w:rsidRPr="007224C3" w14:paraId="4EC78D5C" w14:textId="77777777">
        <w:tc>
          <w:tcPr>
            <w:tcW w:w="817" w:type="dxa"/>
          </w:tcPr>
          <w:p w14:paraId="19EA3DD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Ла-5ФН</w:t>
            </w:r>
          </w:p>
        </w:tc>
        <w:tc>
          <w:tcPr>
            <w:tcW w:w="567" w:type="dxa"/>
          </w:tcPr>
          <w:p w14:paraId="4A52898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17,6/0</w:t>
            </w:r>
          </w:p>
        </w:tc>
        <w:tc>
          <w:tcPr>
            <w:tcW w:w="567" w:type="dxa"/>
          </w:tcPr>
          <w:p w14:paraId="5B7259D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18,8/0,9</w:t>
            </w:r>
          </w:p>
        </w:tc>
        <w:tc>
          <w:tcPr>
            <w:tcW w:w="567" w:type="dxa"/>
          </w:tcPr>
          <w:p w14:paraId="4CED01C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19,9/1,8</w:t>
            </w:r>
          </w:p>
        </w:tc>
        <w:tc>
          <w:tcPr>
            <w:tcW w:w="567" w:type="dxa"/>
          </w:tcPr>
          <w:p w14:paraId="3B6A922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17,8/2,7</w:t>
            </w:r>
          </w:p>
        </w:tc>
        <w:tc>
          <w:tcPr>
            <w:tcW w:w="567" w:type="dxa"/>
          </w:tcPr>
          <w:p w14:paraId="0276A27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15,8/8,7</w:t>
            </w:r>
          </w:p>
        </w:tc>
        <w:tc>
          <w:tcPr>
            <w:tcW w:w="567" w:type="dxa"/>
          </w:tcPr>
          <w:p w14:paraId="1C445C9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16,7/4,7</w:t>
            </w:r>
          </w:p>
        </w:tc>
        <w:tc>
          <w:tcPr>
            <w:tcW w:w="567" w:type="dxa"/>
          </w:tcPr>
          <w:p w14:paraId="05A0FC2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14,1/5,8</w:t>
            </w:r>
          </w:p>
        </w:tc>
        <w:tc>
          <w:tcPr>
            <w:tcW w:w="582" w:type="dxa"/>
          </w:tcPr>
          <w:p w14:paraId="0BF53E5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11,5/7,0</w:t>
            </w:r>
          </w:p>
        </w:tc>
        <w:tc>
          <w:tcPr>
            <w:tcW w:w="552" w:type="dxa"/>
          </w:tcPr>
          <w:p w14:paraId="5A65DDA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8,9/8,6</w:t>
            </w:r>
          </w:p>
        </w:tc>
        <w:tc>
          <w:tcPr>
            <w:tcW w:w="567" w:type="dxa"/>
          </w:tcPr>
          <w:p w14:paraId="10F5638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6,2/10,9</w:t>
            </w:r>
          </w:p>
        </w:tc>
        <w:tc>
          <w:tcPr>
            <w:tcW w:w="567" w:type="dxa"/>
          </w:tcPr>
          <w:p w14:paraId="30F70DC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3,6/14,4</w:t>
            </w:r>
          </w:p>
        </w:tc>
        <w:tc>
          <w:tcPr>
            <w:tcW w:w="567" w:type="dxa"/>
          </w:tcPr>
          <w:p w14:paraId="10D9455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0,5/25,5/11200</w:t>
            </w:r>
          </w:p>
        </w:tc>
        <w:tc>
          <w:tcPr>
            <w:tcW w:w="567" w:type="dxa"/>
          </w:tcPr>
          <w:p w14:paraId="7A45181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20/1,8/1950</w:t>
            </w:r>
          </w:p>
        </w:tc>
        <w:tc>
          <w:tcPr>
            <w:tcW w:w="567" w:type="dxa"/>
          </w:tcPr>
          <w:p w14:paraId="47B9A76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15,8/3,7/4000</w:t>
            </w:r>
          </w:p>
        </w:tc>
        <w:tc>
          <w:tcPr>
            <w:tcW w:w="567" w:type="dxa"/>
          </w:tcPr>
          <w:p w14:paraId="3859240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16,7/4,7/5000</w:t>
            </w:r>
          </w:p>
        </w:tc>
      </w:tr>
      <w:tr w:rsidR="005106D0" w:rsidRPr="007224C3" w14:paraId="7DA87BB0" w14:textId="77777777">
        <w:tc>
          <w:tcPr>
            <w:tcW w:w="817" w:type="dxa"/>
          </w:tcPr>
          <w:p w14:paraId="5886EF7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Ла-5Ф</w:t>
            </w:r>
          </w:p>
        </w:tc>
        <w:tc>
          <w:tcPr>
            <w:tcW w:w="567" w:type="dxa"/>
          </w:tcPr>
          <w:p w14:paraId="4B9CA6E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15,1/0</w:t>
            </w:r>
          </w:p>
        </w:tc>
        <w:tc>
          <w:tcPr>
            <w:tcW w:w="567" w:type="dxa"/>
          </w:tcPr>
          <w:p w14:paraId="53BBD87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15,5/1,1</w:t>
            </w:r>
          </w:p>
        </w:tc>
        <w:tc>
          <w:tcPr>
            <w:tcW w:w="567" w:type="dxa"/>
          </w:tcPr>
          <w:p w14:paraId="686D14D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15,2/2,2</w:t>
            </w:r>
          </w:p>
        </w:tc>
        <w:tc>
          <w:tcPr>
            <w:tcW w:w="567" w:type="dxa"/>
          </w:tcPr>
          <w:p w14:paraId="3BC474D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13,5/3,3</w:t>
            </w:r>
          </w:p>
        </w:tc>
        <w:tc>
          <w:tcPr>
            <w:tcW w:w="567" w:type="dxa"/>
          </w:tcPr>
          <w:p w14:paraId="7AC3FB1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11,6/4,6</w:t>
            </w:r>
          </w:p>
        </w:tc>
        <w:tc>
          <w:tcPr>
            <w:tcW w:w="567" w:type="dxa"/>
          </w:tcPr>
          <w:p w14:paraId="4B84225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11,6/6,1</w:t>
            </w:r>
          </w:p>
        </w:tc>
        <w:tc>
          <w:tcPr>
            <w:tcW w:w="567" w:type="dxa"/>
          </w:tcPr>
          <w:p w14:paraId="2725D84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9,7/7,6</w:t>
            </w:r>
          </w:p>
        </w:tc>
        <w:tc>
          <w:tcPr>
            <w:tcW w:w="582" w:type="dxa"/>
          </w:tcPr>
          <w:p w14:paraId="71E77EA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7,1/9,7</w:t>
            </w:r>
          </w:p>
        </w:tc>
        <w:tc>
          <w:tcPr>
            <w:tcW w:w="552" w:type="dxa"/>
          </w:tcPr>
          <w:p w14:paraId="58F38CF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4,5/12,6</w:t>
            </w:r>
          </w:p>
        </w:tc>
        <w:tc>
          <w:tcPr>
            <w:tcW w:w="567" w:type="dxa"/>
          </w:tcPr>
          <w:p w14:paraId="12748D2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1,9/18,2</w:t>
            </w:r>
          </w:p>
        </w:tc>
        <w:tc>
          <w:tcPr>
            <w:tcW w:w="567" w:type="dxa"/>
          </w:tcPr>
          <w:p w14:paraId="1C587A7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567" w:type="dxa"/>
          </w:tcPr>
          <w:p w14:paraId="096025B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0,5/27,0,9550</w:t>
            </w:r>
          </w:p>
        </w:tc>
        <w:tc>
          <w:tcPr>
            <w:tcW w:w="567" w:type="dxa"/>
          </w:tcPr>
          <w:p w14:paraId="4894A81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15,2/2,5/2350</w:t>
            </w:r>
          </w:p>
        </w:tc>
        <w:tc>
          <w:tcPr>
            <w:tcW w:w="567" w:type="dxa"/>
          </w:tcPr>
          <w:p w14:paraId="0A0056F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11,6/4,2/3750</w:t>
            </w:r>
          </w:p>
        </w:tc>
        <w:tc>
          <w:tcPr>
            <w:tcW w:w="567" w:type="dxa"/>
          </w:tcPr>
          <w:p w14:paraId="4A1408F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11,6/6,6/5300</w:t>
            </w:r>
          </w:p>
        </w:tc>
      </w:tr>
      <w:tr w:rsidR="005106D0" w:rsidRPr="007224C3" w14:paraId="19921E12" w14:textId="77777777">
        <w:tc>
          <w:tcPr>
            <w:tcW w:w="817" w:type="dxa"/>
            <w:tcBorders>
              <w:bottom w:val="single" w:sz="12" w:space="0" w:color="auto"/>
            </w:tcBorders>
          </w:tcPr>
          <w:p w14:paraId="439E033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Аэрокобра</w:t>
            </w:r>
          </w:p>
        </w:tc>
        <w:tc>
          <w:tcPr>
            <w:tcW w:w="567" w:type="dxa"/>
            <w:tcBorders>
              <w:bottom w:val="single" w:sz="12" w:space="0" w:color="auto"/>
            </w:tcBorders>
          </w:tcPr>
          <w:p w14:paraId="1FEE9E5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11,4/0 и 14,0/0</w:t>
            </w:r>
          </w:p>
        </w:tc>
        <w:tc>
          <w:tcPr>
            <w:tcW w:w="567" w:type="dxa"/>
            <w:tcBorders>
              <w:bottom w:val="single" w:sz="12" w:space="0" w:color="auto"/>
            </w:tcBorders>
          </w:tcPr>
          <w:p w14:paraId="203C3F8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11,7/1,3 и 14,1/1,1</w:t>
            </w:r>
          </w:p>
        </w:tc>
        <w:tc>
          <w:tcPr>
            <w:tcW w:w="567" w:type="dxa"/>
            <w:tcBorders>
              <w:bottom w:val="single" w:sz="12" w:space="0" w:color="auto"/>
            </w:tcBorders>
          </w:tcPr>
          <w:p w14:paraId="425DD71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12/0 и 14,2/2,3</w:t>
            </w:r>
          </w:p>
        </w:tc>
        <w:tc>
          <w:tcPr>
            <w:tcW w:w="567" w:type="dxa"/>
            <w:tcBorders>
              <w:bottom w:val="single" w:sz="12" w:space="0" w:color="auto"/>
            </w:tcBorders>
          </w:tcPr>
          <w:p w14:paraId="2510636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12,3/4,1 и 14,3/3,4</w:t>
            </w:r>
          </w:p>
        </w:tc>
        <w:tc>
          <w:tcPr>
            <w:tcW w:w="567" w:type="dxa"/>
            <w:tcBorders>
              <w:bottom w:val="single" w:sz="12" w:space="0" w:color="auto"/>
            </w:tcBorders>
          </w:tcPr>
          <w:p w14:paraId="00C2DB3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12,6/5,5 и 14,4/4,6</w:t>
            </w:r>
          </w:p>
        </w:tc>
        <w:tc>
          <w:tcPr>
            <w:tcW w:w="567" w:type="dxa"/>
            <w:tcBorders>
              <w:bottom w:val="single" w:sz="12" w:space="0" w:color="auto"/>
            </w:tcBorders>
          </w:tcPr>
          <w:p w14:paraId="4E606A3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12,0/6,9 и 13,6/5,8</w:t>
            </w:r>
          </w:p>
        </w:tc>
        <w:tc>
          <w:tcPr>
            <w:tcW w:w="567" w:type="dxa"/>
            <w:tcBorders>
              <w:bottom w:val="single" w:sz="12" w:space="0" w:color="auto"/>
            </w:tcBorders>
          </w:tcPr>
          <w:p w14:paraId="63D7209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9,7/8,4 и 11,2/7,2</w:t>
            </w:r>
          </w:p>
        </w:tc>
        <w:tc>
          <w:tcPr>
            <w:tcW w:w="582" w:type="dxa"/>
            <w:tcBorders>
              <w:bottom w:val="single" w:sz="12" w:space="0" w:color="auto"/>
            </w:tcBorders>
          </w:tcPr>
          <w:p w14:paraId="4F09FBA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7,4/10,3 и 8,8/8,8</w:t>
            </w:r>
          </w:p>
        </w:tc>
        <w:tc>
          <w:tcPr>
            <w:tcW w:w="552" w:type="dxa"/>
            <w:tcBorders>
              <w:bottom w:val="single" w:sz="12" w:space="0" w:color="auto"/>
            </w:tcBorders>
          </w:tcPr>
          <w:p w14:paraId="4D08E5E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5,1/13,1 и 6,4/10,9</w:t>
            </w:r>
          </w:p>
        </w:tc>
        <w:tc>
          <w:tcPr>
            <w:tcW w:w="567" w:type="dxa"/>
            <w:tcBorders>
              <w:bottom w:val="single" w:sz="12" w:space="0" w:color="auto"/>
            </w:tcBorders>
          </w:tcPr>
          <w:p w14:paraId="6967ADE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2,8/17,1 и 4,1/14,1</w:t>
            </w:r>
          </w:p>
        </w:tc>
        <w:tc>
          <w:tcPr>
            <w:tcW w:w="567" w:type="dxa"/>
            <w:tcBorders>
              <w:bottom w:val="single" w:sz="12" w:space="0" w:color="auto"/>
            </w:tcBorders>
          </w:tcPr>
          <w:p w14:paraId="49871D2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0,5/28,4 и 1,7/20,2</w:t>
            </w:r>
          </w:p>
        </w:tc>
        <w:tc>
          <w:tcPr>
            <w:tcW w:w="567" w:type="dxa"/>
            <w:tcBorders>
              <w:bottom w:val="single" w:sz="12" w:space="0" w:color="auto"/>
            </w:tcBorders>
          </w:tcPr>
          <w:p w14:paraId="5F756D4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0,5/28,4 на 10000 и 0,5/27,6 на 10500</w:t>
            </w:r>
          </w:p>
        </w:tc>
        <w:tc>
          <w:tcPr>
            <w:tcW w:w="567" w:type="dxa"/>
            <w:tcBorders>
              <w:bottom w:val="single" w:sz="12" w:space="0" w:color="auto"/>
            </w:tcBorders>
          </w:tcPr>
          <w:p w14:paraId="36ED308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12,8/6,4 и 14,5/5,4/4650</w:t>
            </w:r>
          </w:p>
        </w:tc>
        <w:tc>
          <w:tcPr>
            <w:tcW w:w="567" w:type="dxa"/>
            <w:tcBorders>
              <w:bottom w:val="single" w:sz="12" w:space="0" w:color="auto"/>
            </w:tcBorders>
          </w:tcPr>
          <w:p w14:paraId="446B83A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567" w:type="dxa"/>
            <w:tcBorders>
              <w:bottom w:val="single" w:sz="12" w:space="0" w:color="auto"/>
            </w:tcBorders>
          </w:tcPr>
          <w:p w14:paraId="6BA7A5D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bl>
    <w:p w14:paraId="159860D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Маневренность</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34"/>
        <w:gridCol w:w="875"/>
        <w:gridCol w:w="709"/>
        <w:gridCol w:w="709"/>
        <w:gridCol w:w="709"/>
        <w:gridCol w:w="850"/>
        <w:gridCol w:w="567"/>
        <w:gridCol w:w="709"/>
        <w:gridCol w:w="709"/>
        <w:gridCol w:w="708"/>
        <w:gridCol w:w="709"/>
        <w:gridCol w:w="709"/>
      </w:tblGrid>
      <w:tr w:rsidR="005106D0" w:rsidRPr="007224C3" w14:paraId="7C5583D6" w14:textId="77777777">
        <w:tc>
          <w:tcPr>
            <w:tcW w:w="934" w:type="dxa"/>
            <w:tcBorders>
              <w:top w:val="single" w:sz="12" w:space="0" w:color="auto"/>
            </w:tcBorders>
          </w:tcPr>
          <w:p w14:paraId="11C8232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5" w:type="dxa"/>
            <w:tcBorders>
              <w:top w:val="single" w:sz="12" w:space="0" w:color="auto"/>
            </w:tcBorders>
          </w:tcPr>
          <w:p w14:paraId="45FA2D9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Як-1ПФ</w:t>
            </w:r>
          </w:p>
        </w:tc>
        <w:tc>
          <w:tcPr>
            <w:tcW w:w="709" w:type="dxa"/>
            <w:tcBorders>
              <w:top w:val="single" w:sz="12" w:space="0" w:color="auto"/>
            </w:tcBorders>
          </w:tcPr>
          <w:p w14:paraId="29B4F00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Як-7БПФ</w:t>
            </w:r>
          </w:p>
        </w:tc>
        <w:tc>
          <w:tcPr>
            <w:tcW w:w="709" w:type="dxa"/>
            <w:tcBorders>
              <w:top w:val="single" w:sz="12" w:space="0" w:color="auto"/>
            </w:tcBorders>
          </w:tcPr>
          <w:p w14:paraId="1D69DA8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Як-9ДПФ</w:t>
            </w:r>
          </w:p>
        </w:tc>
        <w:tc>
          <w:tcPr>
            <w:tcW w:w="709" w:type="dxa"/>
            <w:tcBorders>
              <w:top w:val="single" w:sz="12" w:space="0" w:color="auto"/>
            </w:tcBorders>
          </w:tcPr>
          <w:p w14:paraId="00F1ECB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Як-9ТПФ</w:t>
            </w:r>
          </w:p>
        </w:tc>
        <w:tc>
          <w:tcPr>
            <w:tcW w:w="850" w:type="dxa"/>
            <w:tcBorders>
              <w:top w:val="single" w:sz="12" w:space="0" w:color="auto"/>
            </w:tcBorders>
          </w:tcPr>
          <w:p w14:paraId="5C125F9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Ла-5ФН</w:t>
            </w:r>
          </w:p>
        </w:tc>
        <w:tc>
          <w:tcPr>
            <w:tcW w:w="567" w:type="dxa"/>
            <w:tcBorders>
              <w:top w:val="single" w:sz="12" w:space="0" w:color="auto"/>
            </w:tcBorders>
          </w:tcPr>
          <w:p w14:paraId="47E96E5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Ла-5Ф</w:t>
            </w:r>
          </w:p>
        </w:tc>
        <w:tc>
          <w:tcPr>
            <w:tcW w:w="709" w:type="dxa"/>
            <w:tcBorders>
              <w:top w:val="single" w:sz="12" w:space="0" w:color="auto"/>
            </w:tcBorders>
          </w:tcPr>
          <w:p w14:paraId="613B8A3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Аэрокобра</w:t>
            </w:r>
          </w:p>
        </w:tc>
        <w:tc>
          <w:tcPr>
            <w:tcW w:w="709" w:type="dxa"/>
            <w:tcBorders>
              <w:top w:val="single" w:sz="12" w:space="0" w:color="auto"/>
            </w:tcBorders>
          </w:tcPr>
          <w:p w14:paraId="4431AB0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ФВ-190А-4</w:t>
            </w:r>
          </w:p>
        </w:tc>
        <w:tc>
          <w:tcPr>
            <w:tcW w:w="708" w:type="dxa"/>
            <w:tcBorders>
              <w:top w:val="single" w:sz="12" w:space="0" w:color="auto"/>
            </w:tcBorders>
          </w:tcPr>
          <w:p w14:paraId="407A357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Ме-109G-2 (5т)</w:t>
            </w:r>
          </w:p>
        </w:tc>
        <w:tc>
          <w:tcPr>
            <w:tcW w:w="709" w:type="dxa"/>
            <w:tcBorders>
              <w:top w:val="single" w:sz="12" w:space="0" w:color="auto"/>
            </w:tcBorders>
          </w:tcPr>
          <w:p w14:paraId="2B61992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Ме-109G-2 (3т)</w:t>
            </w:r>
          </w:p>
        </w:tc>
        <w:tc>
          <w:tcPr>
            <w:tcW w:w="709" w:type="dxa"/>
            <w:tcBorders>
              <w:top w:val="single" w:sz="12" w:space="0" w:color="auto"/>
            </w:tcBorders>
          </w:tcPr>
          <w:p w14:paraId="5A3D4A3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Ме-109F</w:t>
            </w:r>
          </w:p>
        </w:tc>
      </w:tr>
      <w:tr w:rsidR="005106D0" w:rsidRPr="007224C3" w14:paraId="276D9F16" w14:textId="77777777">
        <w:tc>
          <w:tcPr>
            <w:tcW w:w="934" w:type="dxa"/>
          </w:tcPr>
          <w:p w14:paraId="77AF90B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высота 1000 м (время/радиус)</w:t>
            </w:r>
          </w:p>
        </w:tc>
        <w:tc>
          <w:tcPr>
            <w:tcW w:w="875" w:type="dxa"/>
          </w:tcPr>
          <w:p w14:paraId="2550A75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17-18/275-290</w:t>
            </w:r>
          </w:p>
        </w:tc>
        <w:tc>
          <w:tcPr>
            <w:tcW w:w="709" w:type="dxa"/>
          </w:tcPr>
          <w:p w14:paraId="2231424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18-19/270-295</w:t>
            </w:r>
          </w:p>
        </w:tc>
        <w:tc>
          <w:tcPr>
            <w:tcW w:w="709" w:type="dxa"/>
          </w:tcPr>
          <w:p w14:paraId="56C846B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19-20/290-305</w:t>
            </w:r>
          </w:p>
        </w:tc>
        <w:tc>
          <w:tcPr>
            <w:tcW w:w="709" w:type="dxa"/>
          </w:tcPr>
          <w:p w14:paraId="5C4D47F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18-19/300-320</w:t>
            </w:r>
          </w:p>
        </w:tc>
        <w:tc>
          <w:tcPr>
            <w:tcW w:w="850" w:type="dxa"/>
          </w:tcPr>
          <w:p w14:paraId="1BCEFA7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18,5/295</w:t>
            </w:r>
          </w:p>
        </w:tc>
        <w:tc>
          <w:tcPr>
            <w:tcW w:w="567" w:type="dxa"/>
          </w:tcPr>
          <w:p w14:paraId="6E6B8D5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19-20/310-325</w:t>
            </w:r>
          </w:p>
        </w:tc>
        <w:tc>
          <w:tcPr>
            <w:tcW w:w="709" w:type="dxa"/>
          </w:tcPr>
          <w:p w14:paraId="2F1ACC0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20-21/280-295</w:t>
            </w:r>
          </w:p>
        </w:tc>
        <w:tc>
          <w:tcPr>
            <w:tcW w:w="709" w:type="dxa"/>
          </w:tcPr>
          <w:p w14:paraId="3211043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22-23/325-350</w:t>
            </w:r>
          </w:p>
          <w:p w14:paraId="51DBF1F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23-24/370-385</w:t>
            </w:r>
          </w:p>
        </w:tc>
        <w:tc>
          <w:tcPr>
            <w:tcW w:w="708" w:type="dxa"/>
          </w:tcPr>
          <w:p w14:paraId="7DDDB8B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22,6/345</w:t>
            </w:r>
          </w:p>
        </w:tc>
        <w:tc>
          <w:tcPr>
            <w:tcW w:w="709" w:type="dxa"/>
          </w:tcPr>
          <w:p w14:paraId="3E0327B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20-21,5/220-345</w:t>
            </w:r>
          </w:p>
        </w:tc>
        <w:tc>
          <w:tcPr>
            <w:tcW w:w="709" w:type="dxa"/>
          </w:tcPr>
          <w:p w14:paraId="1A180B1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19,6-20,5/295-310</w:t>
            </w:r>
          </w:p>
        </w:tc>
      </w:tr>
      <w:tr w:rsidR="005106D0" w:rsidRPr="007224C3" w14:paraId="1E29ADFC" w14:textId="77777777">
        <w:tc>
          <w:tcPr>
            <w:tcW w:w="934" w:type="dxa"/>
          </w:tcPr>
          <w:p w14:paraId="337CD7E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высота 5000 м (время/радиус)</w:t>
            </w:r>
          </w:p>
        </w:tc>
        <w:tc>
          <w:tcPr>
            <w:tcW w:w="875" w:type="dxa"/>
          </w:tcPr>
          <w:p w14:paraId="5773624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24/420</w:t>
            </w:r>
          </w:p>
        </w:tc>
        <w:tc>
          <w:tcPr>
            <w:tcW w:w="709" w:type="dxa"/>
          </w:tcPr>
          <w:p w14:paraId="008E21D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24/425</w:t>
            </w:r>
          </w:p>
        </w:tc>
        <w:tc>
          <w:tcPr>
            <w:tcW w:w="709" w:type="dxa"/>
          </w:tcPr>
          <w:p w14:paraId="67B461E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25/450</w:t>
            </w:r>
          </w:p>
        </w:tc>
        <w:tc>
          <w:tcPr>
            <w:tcW w:w="709" w:type="dxa"/>
          </w:tcPr>
          <w:p w14:paraId="0E1DF63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24-25/450-475</w:t>
            </w:r>
          </w:p>
        </w:tc>
        <w:tc>
          <w:tcPr>
            <w:tcW w:w="850" w:type="dxa"/>
          </w:tcPr>
          <w:p w14:paraId="2E7AE8C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23/445</w:t>
            </w:r>
          </w:p>
        </w:tc>
        <w:tc>
          <w:tcPr>
            <w:tcW w:w="567" w:type="dxa"/>
          </w:tcPr>
          <w:p w14:paraId="3C41FE5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29-29/465-490</w:t>
            </w:r>
          </w:p>
        </w:tc>
        <w:tc>
          <w:tcPr>
            <w:tcW w:w="709" w:type="dxa"/>
          </w:tcPr>
          <w:p w14:paraId="4AC7A28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29-30/420-440</w:t>
            </w:r>
          </w:p>
        </w:tc>
        <w:tc>
          <w:tcPr>
            <w:tcW w:w="709" w:type="dxa"/>
          </w:tcPr>
          <w:p w14:paraId="67B2FB1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30-31/500-520</w:t>
            </w:r>
          </w:p>
          <w:p w14:paraId="5857B0B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33-34/555-575</w:t>
            </w:r>
          </w:p>
        </w:tc>
        <w:tc>
          <w:tcPr>
            <w:tcW w:w="708" w:type="dxa"/>
          </w:tcPr>
          <w:p w14:paraId="3722628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27/520</w:t>
            </w:r>
          </w:p>
        </w:tc>
        <w:tc>
          <w:tcPr>
            <w:tcW w:w="709" w:type="dxa"/>
          </w:tcPr>
          <w:p w14:paraId="3D29871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26/495</w:t>
            </w:r>
          </w:p>
        </w:tc>
        <w:tc>
          <w:tcPr>
            <w:tcW w:w="709" w:type="dxa"/>
          </w:tcPr>
          <w:p w14:paraId="7D2F645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26-27/445-465</w:t>
            </w:r>
          </w:p>
        </w:tc>
      </w:tr>
      <w:tr w:rsidR="005106D0" w:rsidRPr="007224C3" w14:paraId="11D9026B" w14:textId="77777777">
        <w:tc>
          <w:tcPr>
            <w:tcW w:w="934" w:type="dxa"/>
          </w:tcPr>
          <w:p w14:paraId="4004559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высота за боевой разворот на 1000 м</w:t>
            </w:r>
          </w:p>
        </w:tc>
        <w:tc>
          <w:tcPr>
            <w:tcW w:w="875" w:type="dxa"/>
          </w:tcPr>
          <w:p w14:paraId="01537E4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1000</w:t>
            </w:r>
          </w:p>
        </w:tc>
        <w:tc>
          <w:tcPr>
            <w:tcW w:w="709" w:type="dxa"/>
          </w:tcPr>
          <w:p w14:paraId="7B206B7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900</w:t>
            </w:r>
          </w:p>
        </w:tc>
        <w:tc>
          <w:tcPr>
            <w:tcW w:w="709" w:type="dxa"/>
          </w:tcPr>
          <w:p w14:paraId="25C8AAB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900-1000</w:t>
            </w:r>
          </w:p>
        </w:tc>
        <w:tc>
          <w:tcPr>
            <w:tcW w:w="709" w:type="dxa"/>
          </w:tcPr>
          <w:p w14:paraId="1E4A5A7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1100</w:t>
            </w:r>
          </w:p>
        </w:tc>
        <w:tc>
          <w:tcPr>
            <w:tcW w:w="850" w:type="dxa"/>
          </w:tcPr>
          <w:p w14:paraId="257C75B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1100</w:t>
            </w:r>
          </w:p>
        </w:tc>
        <w:tc>
          <w:tcPr>
            <w:tcW w:w="567" w:type="dxa"/>
          </w:tcPr>
          <w:p w14:paraId="32BCF76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800</w:t>
            </w:r>
          </w:p>
        </w:tc>
        <w:tc>
          <w:tcPr>
            <w:tcW w:w="709" w:type="dxa"/>
          </w:tcPr>
          <w:p w14:paraId="166CD37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800</w:t>
            </w:r>
          </w:p>
        </w:tc>
        <w:tc>
          <w:tcPr>
            <w:tcW w:w="709" w:type="dxa"/>
          </w:tcPr>
          <w:p w14:paraId="67F8240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700-750</w:t>
            </w:r>
          </w:p>
        </w:tc>
        <w:tc>
          <w:tcPr>
            <w:tcW w:w="708" w:type="dxa"/>
          </w:tcPr>
          <w:p w14:paraId="358C526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1100</w:t>
            </w:r>
          </w:p>
        </w:tc>
        <w:tc>
          <w:tcPr>
            <w:tcW w:w="709" w:type="dxa"/>
          </w:tcPr>
          <w:p w14:paraId="6341218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1100</w:t>
            </w:r>
          </w:p>
        </w:tc>
        <w:tc>
          <w:tcPr>
            <w:tcW w:w="709" w:type="dxa"/>
          </w:tcPr>
          <w:p w14:paraId="54B07DD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1100</w:t>
            </w:r>
          </w:p>
        </w:tc>
      </w:tr>
      <w:tr w:rsidR="005106D0" w:rsidRPr="007224C3" w14:paraId="70618C12" w14:textId="77777777">
        <w:tc>
          <w:tcPr>
            <w:tcW w:w="934" w:type="dxa"/>
          </w:tcPr>
          <w:p w14:paraId="4D3E7DC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высота за боевой разворот на 5000 м</w:t>
            </w:r>
          </w:p>
        </w:tc>
        <w:tc>
          <w:tcPr>
            <w:tcW w:w="875" w:type="dxa"/>
          </w:tcPr>
          <w:p w14:paraId="716B993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850-900</w:t>
            </w:r>
          </w:p>
        </w:tc>
        <w:tc>
          <w:tcPr>
            <w:tcW w:w="709" w:type="dxa"/>
          </w:tcPr>
          <w:p w14:paraId="47E120E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800</w:t>
            </w:r>
          </w:p>
        </w:tc>
        <w:tc>
          <w:tcPr>
            <w:tcW w:w="709" w:type="dxa"/>
          </w:tcPr>
          <w:p w14:paraId="22B9176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800</w:t>
            </w:r>
          </w:p>
        </w:tc>
        <w:tc>
          <w:tcPr>
            <w:tcW w:w="709" w:type="dxa"/>
          </w:tcPr>
          <w:p w14:paraId="31C405E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800-850</w:t>
            </w:r>
          </w:p>
        </w:tc>
        <w:tc>
          <w:tcPr>
            <w:tcW w:w="850" w:type="dxa"/>
          </w:tcPr>
          <w:p w14:paraId="4822C12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900</w:t>
            </w:r>
          </w:p>
        </w:tc>
        <w:tc>
          <w:tcPr>
            <w:tcW w:w="567" w:type="dxa"/>
          </w:tcPr>
          <w:p w14:paraId="7858363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650</w:t>
            </w:r>
          </w:p>
        </w:tc>
        <w:tc>
          <w:tcPr>
            <w:tcW w:w="709" w:type="dxa"/>
          </w:tcPr>
          <w:p w14:paraId="6B25391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750</w:t>
            </w:r>
          </w:p>
        </w:tc>
        <w:tc>
          <w:tcPr>
            <w:tcW w:w="709" w:type="dxa"/>
          </w:tcPr>
          <w:p w14:paraId="0E0C287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700</w:t>
            </w:r>
          </w:p>
        </w:tc>
        <w:tc>
          <w:tcPr>
            <w:tcW w:w="708" w:type="dxa"/>
          </w:tcPr>
          <w:p w14:paraId="0378E92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850</w:t>
            </w:r>
          </w:p>
        </w:tc>
        <w:tc>
          <w:tcPr>
            <w:tcW w:w="709" w:type="dxa"/>
          </w:tcPr>
          <w:p w14:paraId="509505B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900</w:t>
            </w:r>
          </w:p>
        </w:tc>
        <w:tc>
          <w:tcPr>
            <w:tcW w:w="709" w:type="dxa"/>
          </w:tcPr>
          <w:p w14:paraId="0008E5B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700</w:t>
            </w:r>
          </w:p>
        </w:tc>
      </w:tr>
      <w:tr w:rsidR="005106D0" w:rsidRPr="007224C3" w14:paraId="242907FD" w14:textId="77777777">
        <w:tc>
          <w:tcPr>
            <w:tcW w:w="934" w:type="dxa"/>
            <w:tcBorders>
              <w:bottom w:val="single" w:sz="12" w:space="0" w:color="auto"/>
            </w:tcBorders>
          </w:tcPr>
          <w:p w14:paraId="694792A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скорость пикирования</w:t>
            </w:r>
          </w:p>
        </w:tc>
        <w:tc>
          <w:tcPr>
            <w:tcW w:w="875" w:type="dxa"/>
            <w:tcBorders>
              <w:bottom w:val="single" w:sz="12" w:space="0" w:color="auto"/>
            </w:tcBorders>
          </w:tcPr>
          <w:p w14:paraId="79D167A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650</w:t>
            </w:r>
          </w:p>
        </w:tc>
        <w:tc>
          <w:tcPr>
            <w:tcW w:w="709" w:type="dxa"/>
            <w:tcBorders>
              <w:bottom w:val="single" w:sz="12" w:space="0" w:color="auto"/>
            </w:tcBorders>
          </w:tcPr>
          <w:p w14:paraId="718370B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650</w:t>
            </w:r>
          </w:p>
        </w:tc>
        <w:tc>
          <w:tcPr>
            <w:tcW w:w="709" w:type="dxa"/>
            <w:tcBorders>
              <w:bottom w:val="single" w:sz="12" w:space="0" w:color="auto"/>
            </w:tcBorders>
          </w:tcPr>
          <w:p w14:paraId="5A8771D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650</w:t>
            </w:r>
          </w:p>
        </w:tc>
        <w:tc>
          <w:tcPr>
            <w:tcW w:w="709" w:type="dxa"/>
            <w:tcBorders>
              <w:bottom w:val="single" w:sz="12" w:space="0" w:color="auto"/>
            </w:tcBorders>
          </w:tcPr>
          <w:p w14:paraId="19275E3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650</w:t>
            </w:r>
          </w:p>
        </w:tc>
        <w:tc>
          <w:tcPr>
            <w:tcW w:w="850" w:type="dxa"/>
            <w:tcBorders>
              <w:bottom w:val="single" w:sz="12" w:space="0" w:color="auto"/>
            </w:tcBorders>
          </w:tcPr>
          <w:p w14:paraId="16550E7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650</w:t>
            </w:r>
          </w:p>
        </w:tc>
        <w:tc>
          <w:tcPr>
            <w:tcW w:w="567" w:type="dxa"/>
            <w:tcBorders>
              <w:bottom w:val="single" w:sz="12" w:space="0" w:color="auto"/>
            </w:tcBorders>
          </w:tcPr>
          <w:p w14:paraId="58179E9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650</w:t>
            </w:r>
          </w:p>
        </w:tc>
        <w:tc>
          <w:tcPr>
            <w:tcW w:w="709" w:type="dxa"/>
            <w:tcBorders>
              <w:bottom w:val="single" w:sz="12" w:space="0" w:color="auto"/>
            </w:tcBorders>
          </w:tcPr>
          <w:p w14:paraId="1D2C517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710</w:t>
            </w:r>
          </w:p>
        </w:tc>
        <w:tc>
          <w:tcPr>
            <w:tcW w:w="709" w:type="dxa"/>
            <w:tcBorders>
              <w:bottom w:val="single" w:sz="12" w:space="0" w:color="auto"/>
            </w:tcBorders>
          </w:tcPr>
          <w:p w14:paraId="483DFBB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650</w:t>
            </w:r>
          </w:p>
        </w:tc>
        <w:tc>
          <w:tcPr>
            <w:tcW w:w="708" w:type="dxa"/>
            <w:tcBorders>
              <w:bottom w:val="single" w:sz="12" w:space="0" w:color="auto"/>
            </w:tcBorders>
          </w:tcPr>
          <w:p w14:paraId="0CEDE81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650</w:t>
            </w:r>
          </w:p>
        </w:tc>
        <w:tc>
          <w:tcPr>
            <w:tcW w:w="709" w:type="dxa"/>
            <w:tcBorders>
              <w:bottom w:val="single" w:sz="12" w:space="0" w:color="auto"/>
            </w:tcBorders>
          </w:tcPr>
          <w:p w14:paraId="1DED303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650</w:t>
            </w:r>
          </w:p>
        </w:tc>
        <w:tc>
          <w:tcPr>
            <w:tcW w:w="709" w:type="dxa"/>
            <w:tcBorders>
              <w:bottom w:val="single" w:sz="12" w:space="0" w:color="auto"/>
            </w:tcBorders>
          </w:tcPr>
          <w:p w14:paraId="2F60805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650</w:t>
            </w:r>
          </w:p>
        </w:tc>
      </w:tr>
    </w:tbl>
    <w:p w14:paraId="5524421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Примечания:</w:t>
      </w:r>
    </w:p>
    <w:p w14:paraId="6B08234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Для с-та Аэрокобра - без баков и подвесных пулеметов</w:t>
      </w:r>
    </w:p>
    <w:p w14:paraId="323E3A1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Для ФВ-190А-4 в числителе с применением щитков, выпущенных в стартовое положение, в знаменателе - без</w:t>
      </w:r>
    </w:p>
    <w:p w14:paraId="1847D31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Для ФВ-190 при достижении скорости пикирования 500 км/час и выше наблюдается вибрация хвоста, а на Ме-1-9 - вибрация консолей крыла</w:t>
      </w:r>
    </w:p>
    <w:p w14:paraId="1679AC1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Подписали Лосюков, Нач. НИИ ВВС, Сафронов, Нач. 3 отд., Шишкин, Нач. 4 отд. гма (737,2).</w:t>
      </w:r>
    </w:p>
    <w:p w14:paraId="54CBB19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67DEE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января 1944 Н.Н.П. подготовил:</w:t>
      </w:r>
    </w:p>
    <w:p w14:paraId="1CDEBB2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АВТОБИОГРАФИЯ.</w:t>
      </w:r>
    </w:p>
    <w:p w14:paraId="27BE975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Родился я в 1892 году» в семье сельского священника села Георгиевского на Сосне Ливенского уезда Орловской губернии. Учился сначала в Дивенском Духовном Училище, затем в Орловской Духовной Семинарии, по окончании 4-х классов коей я сдал экстерном на аттестат зрелости при 1-й Орловской Классической Гимназии и тем получил право на высшее Техническое образование.</w:t>
      </w:r>
    </w:p>
    <w:p w14:paraId="55C0CC1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Поступив в 1911 году в Петроградский Политехнический Институт им. Петра 1-го, на механическое отделение, я в 1913 го</w:t>
      </w:r>
      <w:r w:rsidRPr="007224C3">
        <w:rPr>
          <w:rFonts w:ascii="Times New Roman" w:hAnsi="Times New Roman"/>
          <w:color w:val="000000" w:themeColor="text1"/>
          <w:sz w:val="16"/>
          <w:szCs w:val="16"/>
        </w:rPr>
        <w:softHyphen/>
        <w:t>ду занимался параллельно на курсах Авиации и Воздухоплавания при Кораблестроительном Отделении того же Института.</w:t>
      </w:r>
    </w:p>
    <w:p w14:paraId="6062158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январе месяце 1916 года я закончил свое обучение на Ме</w:t>
      </w:r>
      <w:r w:rsidRPr="007224C3">
        <w:rPr>
          <w:rFonts w:ascii="Times New Roman" w:hAnsi="Times New Roman"/>
          <w:color w:val="000000" w:themeColor="text1"/>
          <w:sz w:val="16"/>
          <w:szCs w:val="16"/>
        </w:rPr>
        <w:softHyphen/>
        <w:t>ханическом отделении Института и получил звание Инженера-Меха</w:t>
      </w:r>
      <w:r w:rsidRPr="007224C3">
        <w:rPr>
          <w:rFonts w:ascii="Times New Roman" w:hAnsi="Times New Roman"/>
          <w:color w:val="000000" w:themeColor="text1"/>
          <w:sz w:val="16"/>
          <w:szCs w:val="16"/>
        </w:rPr>
        <w:softHyphen/>
        <w:t>ника 1-й степени, а к концу 1916 года закончил также курсы Авиации и Воздухоплавания.</w:t>
      </w:r>
    </w:p>
    <w:p w14:paraId="2DE1867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 как время было военное, то на следующий-же день после защиты дипломного проекта был командирован на работу на Русско-Балтийский Воздухоплавательный завод в Петрограде, в качестве Заведующего производством» к И.И.Сикорскому, по постройке пер</w:t>
      </w:r>
      <w:r w:rsidRPr="007224C3">
        <w:rPr>
          <w:rFonts w:ascii="Times New Roman" w:hAnsi="Times New Roman"/>
          <w:color w:val="000000" w:themeColor="text1"/>
          <w:sz w:val="16"/>
          <w:szCs w:val="16"/>
        </w:rPr>
        <w:softHyphen/>
        <w:t>вых в мире больших, многомоторных самолетов» типа "Илья Муро</w:t>
      </w:r>
      <w:r w:rsidRPr="007224C3">
        <w:rPr>
          <w:rFonts w:ascii="Times New Roman" w:hAnsi="Times New Roman"/>
          <w:color w:val="000000" w:themeColor="text1"/>
          <w:sz w:val="16"/>
          <w:szCs w:val="16"/>
        </w:rPr>
        <w:softHyphen/>
        <w:t>мец", по производству серии одноместных истребителей СХ6, а также по постройке опытных многомоторных самолетов.</w:t>
      </w:r>
    </w:p>
    <w:p w14:paraId="3FF108B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окончании войны в 1918 году, по аннулировании военных заказов и прекращения производства на заводе И.И.Сикорского я перешел в марте 1918 г. во вновь формировавшееся Управление Воздушного флота и с ним я эвакуировался в конце марта месяца 1918 года в Москву и работал в нем до своего перевода на Авиа</w:t>
      </w:r>
      <w:r w:rsidRPr="007224C3">
        <w:rPr>
          <w:rFonts w:ascii="Times New Roman" w:hAnsi="Times New Roman"/>
          <w:color w:val="000000" w:themeColor="text1"/>
          <w:sz w:val="16"/>
          <w:szCs w:val="16"/>
        </w:rPr>
        <w:softHyphen/>
        <w:t>ционный завод № I в Москве в августе 1918 года, когда появилась острая нужда в самолетах в связи с мятежом чехо-словаков и открытием военных действий.</w:t>
      </w:r>
    </w:p>
    <w:p w14:paraId="1CE8C4E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Этим началась моя многолетняя работа на Авиазаводе № I. сначала в качестве начальника Технического /конструкторского/ отдела, затем с 1925 года начальником Опытного отдела. Завод № I в то время, как известно, строил лиценсионные иностранные самолеты: Фарман XXX, Ньюпор ХУЛ, Ньюпор ХХ1У, Хавиданд ДН4, Сопвич - двухместный разведчик в др.</w:t>
      </w:r>
    </w:p>
    <w:p w14:paraId="28D78D8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Моя работа состояла на первое время в переконструировании этих самолетов, под имевшиеся моторы, под отечественное оружие и наши технические и технологические условия. Одновременно при</w:t>
      </w:r>
      <w:r w:rsidRPr="007224C3">
        <w:rPr>
          <w:rFonts w:ascii="Times New Roman" w:hAnsi="Times New Roman"/>
          <w:color w:val="000000" w:themeColor="text1"/>
          <w:sz w:val="16"/>
          <w:szCs w:val="16"/>
        </w:rPr>
        <w:softHyphen/>
        <w:t>ходилось проектировать и строить под эти самолеты зимние лыжи, винты, установки стрелковые и бомбовые в пр., а так же установки одних моторов взамен друвдх: БМВЗа, БМВ4. Интересно отметить удачное проектирование обтекаемых зимних лыж под тяжелые по то</w:t>
      </w:r>
      <w:r w:rsidRPr="007224C3">
        <w:rPr>
          <w:rFonts w:ascii="Times New Roman" w:hAnsi="Times New Roman"/>
          <w:color w:val="000000" w:themeColor="text1"/>
          <w:sz w:val="16"/>
          <w:szCs w:val="16"/>
        </w:rPr>
        <w:softHyphen/>
        <w:t>му времени самолеты Илья Муромец, весом 3,5-4 тонн, ДН34 ве</w:t>
      </w:r>
      <w:r w:rsidRPr="007224C3">
        <w:rPr>
          <w:rFonts w:ascii="Times New Roman" w:hAnsi="Times New Roman"/>
          <w:color w:val="000000" w:themeColor="text1"/>
          <w:sz w:val="16"/>
          <w:szCs w:val="16"/>
        </w:rPr>
        <w:softHyphen/>
        <w:t>сом до 3-х тн., за что я получил премию от Авиатреста в 1921 го</w:t>
      </w:r>
      <w:r w:rsidRPr="007224C3">
        <w:rPr>
          <w:rFonts w:ascii="Times New Roman" w:hAnsi="Times New Roman"/>
          <w:color w:val="000000" w:themeColor="text1"/>
          <w:sz w:val="16"/>
          <w:szCs w:val="16"/>
        </w:rPr>
        <w:softHyphen/>
        <w:t>ду. Помимо этих второстепенных конструкторских работ по заданию ВВС, начиная о весны 1923 года, мы начали проектировать и стро</w:t>
      </w:r>
      <w:r w:rsidRPr="007224C3">
        <w:rPr>
          <w:rFonts w:ascii="Times New Roman" w:hAnsi="Times New Roman"/>
          <w:color w:val="000000" w:themeColor="text1"/>
          <w:sz w:val="16"/>
          <w:szCs w:val="16"/>
        </w:rPr>
        <w:softHyphen/>
        <w:t>ить уже целые боевые самолеты, собственной конструкции - одно</w:t>
      </w:r>
      <w:r w:rsidRPr="007224C3">
        <w:rPr>
          <w:rFonts w:ascii="Times New Roman" w:hAnsi="Times New Roman"/>
          <w:color w:val="000000" w:themeColor="text1"/>
          <w:sz w:val="16"/>
          <w:szCs w:val="16"/>
        </w:rPr>
        <w:softHyphen/>
        <w:t>местный истребитель И1-И5, пассажирский самолет П-М1, трениро</w:t>
      </w:r>
      <w:r w:rsidRPr="007224C3">
        <w:rPr>
          <w:rFonts w:ascii="Times New Roman" w:hAnsi="Times New Roman"/>
          <w:color w:val="000000" w:themeColor="text1"/>
          <w:sz w:val="16"/>
          <w:szCs w:val="16"/>
        </w:rPr>
        <w:softHyphen/>
        <w:t>вочный самолет Р1-БМВ3А, Р-1БМВ4А, Р1-С-П, Р1-Мерседес, гидро</w:t>
      </w:r>
      <w:r w:rsidRPr="007224C3">
        <w:rPr>
          <w:rFonts w:ascii="Times New Roman" w:hAnsi="Times New Roman"/>
          <w:color w:val="000000" w:themeColor="text1"/>
          <w:sz w:val="16"/>
          <w:szCs w:val="16"/>
        </w:rPr>
        <w:softHyphen/>
        <w:t>самолет МР1-М5 в др., при чем подавляющее большинство их было принято на снабжение ВВС и строилось в крупных по тому времевв сериях.</w:t>
      </w:r>
    </w:p>
    <w:p w14:paraId="705CDD7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Этими работами положено твердое начало собственного опыт</w:t>
      </w:r>
      <w:r w:rsidRPr="007224C3">
        <w:rPr>
          <w:rFonts w:ascii="Times New Roman" w:hAnsi="Times New Roman"/>
          <w:color w:val="000000" w:themeColor="text1"/>
          <w:sz w:val="16"/>
          <w:szCs w:val="16"/>
        </w:rPr>
        <w:softHyphen/>
        <w:t>ного самолетостроения в СССР, а так как все пришлось нам начи</w:t>
      </w:r>
      <w:r w:rsidRPr="007224C3">
        <w:rPr>
          <w:rFonts w:ascii="Times New Roman" w:hAnsi="Times New Roman"/>
          <w:color w:val="000000" w:themeColor="text1"/>
          <w:sz w:val="16"/>
          <w:szCs w:val="16"/>
        </w:rPr>
        <w:softHyphen/>
        <w:t>нать впервые, ибо ЦАГИ, ВИАМ и ЦИАМ организовались и начали ра</w:t>
      </w:r>
      <w:r w:rsidRPr="007224C3">
        <w:rPr>
          <w:rFonts w:ascii="Times New Roman" w:hAnsi="Times New Roman"/>
          <w:color w:val="000000" w:themeColor="text1"/>
          <w:sz w:val="16"/>
          <w:szCs w:val="16"/>
        </w:rPr>
        <w:softHyphen/>
        <w:t>ботать значительно позже, примерно не ранее постройки лабора</w:t>
      </w:r>
      <w:r w:rsidRPr="007224C3">
        <w:rPr>
          <w:rFonts w:ascii="Times New Roman" w:hAnsi="Times New Roman"/>
          <w:color w:val="000000" w:themeColor="text1"/>
          <w:sz w:val="16"/>
          <w:szCs w:val="16"/>
        </w:rPr>
        <w:softHyphen/>
        <w:t>торий /с 1926 г./, то все вопросы научно-всследовательского по</w:t>
      </w:r>
      <w:r w:rsidRPr="007224C3">
        <w:rPr>
          <w:rFonts w:ascii="Times New Roman" w:hAnsi="Times New Roman"/>
          <w:color w:val="000000" w:themeColor="text1"/>
          <w:sz w:val="16"/>
          <w:szCs w:val="16"/>
        </w:rPr>
        <w:softHyphen/>
        <w:t>рядка приходилось решать на своей базе» у себя на заводе.</w:t>
      </w:r>
    </w:p>
    <w:p w14:paraId="35A9EAC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В-январе месяце 1928 года Опытный отдел завода № I был развернут в специальный опытный завод № 25 в Москве, и я был наэначен Главным конструктором в Техническим директором этого завода. Работа пошла шире и плодотворнее и в этот период нами были закончены проектированием и выстроены самолеты У 2-М11, И3-БМВ6, Р5-М17, поведшие впоследствии в широкую серию, летаю</w:t>
      </w:r>
      <w:r w:rsidRPr="007224C3">
        <w:rPr>
          <w:rFonts w:ascii="Times New Roman" w:hAnsi="Times New Roman"/>
          <w:color w:val="000000" w:themeColor="text1"/>
          <w:sz w:val="16"/>
          <w:szCs w:val="16"/>
        </w:rPr>
        <w:softHyphen/>
        <w:t>щие еще до сих пор и успешно воюющие во второй Отечественной войне.</w:t>
      </w:r>
    </w:p>
    <w:p w14:paraId="52A0197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период в 1930 года по 1936 г. в работая на заводе № 39, в ЦАГИ и затем снова на заводе № 39 Начальником Конструкторской бригады. За время до 1936 года нам удалось спроектировать и выстроить одноместные истребители И15 /Чайка/ и И16 в их много</w:t>
      </w:r>
      <w:r w:rsidRPr="007224C3">
        <w:rPr>
          <w:rFonts w:ascii="Times New Roman" w:hAnsi="Times New Roman"/>
          <w:color w:val="000000" w:themeColor="text1"/>
          <w:sz w:val="16"/>
          <w:szCs w:val="16"/>
        </w:rPr>
        <w:softHyphen/>
        <w:t>численными вариантами, в смысле установки различных моторов и оружия. Как известно, эти самолеты стали основными типами ВВС, строились во многих тысячах экземпляров и хорошо поработали при боевом применении в Испании, в Китае, на озере Хасане, Холхин-Голе и в текущей великой Отечественной войне.</w:t>
      </w:r>
    </w:p>
    <w:p w14:paraId="62FE209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1936 года по 1939 г. я снова работаю на ряде заводов №№ 21, 84, 156 и в качестве Главного Конструктора, а на заво</w:t>
      </w:r>
      <w:r w:rsidRPr="007224C3">
        <w:rPr>
          <w:rFonts w:ascii="Times New Roman" w:hAnsi="Times New Roman"/>
          <w:color w:val="000000" w:themeColor="text1"/>
          <w:sz w:val="16"/>
          <w:szCs w:val="16"/>
        </w:rPr>
        <w:softHyphen/>
        <w:t>де № 156 - и Технического директора, причем, осенью 1940 г. наша опытная организация была развернута в Опытный завод № 51, а я был назначен Директором завода и Главным конструктором в качестве коего и работаю до сего времени.</w:t>
      </w:r>
    </w:p>
    <w:p w14:paraId="4A35B87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это время нами также была проведена очень большая рабо</w:t>
      </w:r>
      <w:r w:rsidRPr="007224C3">
        <w:rPr>
          <w:rFonts w:ascii="Times New Roman" w:hAnsi="Times New Roman"/>
          <w:color w:val="000000" w:themeColor="text1"/>
          <w:sz w:val="16"/>
          <w:szCs w:val="16"/>
        </w:rPr>
        <w:softHyphen/>
        <w:t>та по опытным боевым самолетам: скоростному истребителе И180-М88 и И85-М71|, маневренному истребителю И15бис и И153, двух</w:t>
      </w:r>
      <w:r w:rsidRPr="007224C3">
        <w:rPr>
          <w:rFonts w:ascii="Times New Roman" w:hAnsi="Times New Roman"/>
          <w:color w:val="000000" w:themeColor="text1"/>
          <w:sz w:val="16"/>
          <w:szCs w:val="16"/>
        </w:rPr>
        <w:softHyphen/>
        <w:t>моторным истребителям типов ВТ1, ВТ2 и др. - бомбардировщик НБ-2М82, планеру БДП и т.д. Целый ряд самолетов выстроен и про</w:t>
      </w:r>
      <w:r w:rsidRPr="007224C3">
        <w:rPr>
          <w:rFonts w:ascii="Times New Roman" w:hAnsi="Times New Roman"/>
          <w:color w:val="000000" w:themeColor="text1"/>
          <w:sz w:val="16"/>
          <w:szCs w:val="16"/>
        </w:rPr>
        <w:softHyphen/>
        <w:t>ходит в настоящее время государственные испытания, а часть из них подготавливается к внедрению в серийное производство. По</w:t>
      </w:r>
      <w:r w:rsidRPr="007224C3">
        <w:rPr>
          <w:rFonts w:ascii="Times New Roman" w:hAnsi="Times New Roman"/>
          <w:color w:val="000000" w:themeColor="text1"/>
          <w:sz w:val="16"/>
          <w:szCs w:val="16"/>
        </w:rPr>
        <w:softHyphen/>
        <w:t>становлением Совета по эвакуации при СНК СССР от 8.10-41 г. наш завод эвакуирован в гор.Новосибирск, где мы находимся и рабо</w:t>
      </w:r>
      <w:r w:rsidRPr="007224C3">
        <w:rPr>
          <w:rFonts w:ascii="Times New Roman" w:hAnsi="Times New Roman"/>
          <w:color w:val="000000" w:themeColor="text1"/>
          <w:sz w:val="16"/>
          <w:szCs w:val="16"/>
        </w:rPr>
        <w:softHyphen/>
        <w:t>таем в настоящее время, имея Филиал нашего завода в Москве.</w:t>
      </w:r>
    </w:p>
    <w:p w14:paraId="09F39FF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Помимо чистой конструкторской работы я много работал так же по воспитанию молодых кадров - в 1919-20 гг. преподавая в Авиационной технической школе ВВС, читал эпизодические лекции, доклады в НКАП, ЦАГИ и ЦИАМ, ведя дипломное проектирование у де</w:t>
      </w:r>
      <w:r w:rsidRPr="007224C3">
        <w:rPr>
          <w:rFonts w:ascii="Times New Roman" w:hAnsi="Times New Roman"/>
          <w:color w:val="000000" w:themeColor="text1"/>
          <w:sz w:val="16"/>
          <w:szCs w:val="16"/>
        </w:rPr>
        <w:softHyphen/>
        <w:t>сятков студентов дипломников в МАИ и Академии Воздушного Флота им. Жуковского» принимая активное участие в проведении ряда науч</w:t>
      </w:r>
      <w:r w:rsidRPr="007224C3">
        <w:rPr>
          <w:rFonts w:ascii="Times New Roman" w:hAnsi="Times New Roman"/>
          <w:color w:val="000000" w:themeColor="text1"/>
          <w:sz w:val="16"/>
          <w:szCs w:val="16"/>
        </w:rPr>
        <w:softHyphen/>
        <w:t>ных работ в ЦАГИ с 1943 г. руководя кафедрой конструкции и про</w:t>
      </w:r>
      <w:r w:rsidRPr="007224C3">
        <w:rPr>
          <w:rFonts w:ascii="Times New Roman" w:hAnsi="Times New Roman"/>
          <w:color w:val="000000" w:themeColor="text1"/>
          <w:sz w:val="16"/>
          <w:szCs w:val="16"/>
        </w:rPr>
        <w:softHyphen/>
        <w:t>ектирования самолетов в МАИ.</w:t>
      </w:r>
    </w:p>
    <w:p w14:paraId="624D0A5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Совершенно понятно, что наша работа, как работа конструк</w:t>
      </w:r>
      <w:r w:rsidRPr="007224C3">
        <w:rPr>
          <w:rFonts w:ascii="Times New Roman" w:hAnsi="Times New Roman"/>
          <w:color w:val="000000" w:themeColor="text1"/>
          <w:sz w:val="16"/>
          <w:szCs w:val="16"/>
        </w:rPr>
        <w:softHyphen/>
        <w:t>торов да еще по военным самолетам всегда проходит во первых - секретно, а во вторых - в обстановке исключительной спешки.</w:t>
      </w:r>
    </w:p>
    <w:p w14:paraId="40939C1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Поэтому, хотя за 20 слишком лет моей работы нами бнао успешно разрешен ряд крупнейших научных исследовательских проблем, как-то вопрос ВМГруппы мотора с воздушным охлаждением и капота для него, проблема установки на самолет крупнокалиберного оружия вплоть до пушек, калибром 37 мм, проблема синхронизации для с етрельбы через винт не только стрелкового, ио и пушечного ору</w:t>
      </w:r>
      <w:r w:rsidRPr="007224C3">
        <w:rPr>
          <w:rFonts w:ascii="Times New Roman" w:hAnsi="Times New Roman"/>
          <w:color w:val="000000" w:themeColor="text1"/>
          <w:sz w:val="16"/>
          <w:szCs w:val="16"/>
        </w:rPr>
        <w:softHyphen/>
        <w:t>жия и т.д., но они литературно до сих пор не оформлены и, конеч</w:t>
      </w:r>
      <w:r w:rsidRPr="007224C3">
        <w:rPr>
          <w:rFonts w:ascii="Times New Roman" w:hAnsi="Times New Roman"/>
          <w:color w:val="000000" w:themeColor="text1"/>
          <w:sz w:val="16"/>
          <w:szCs w:val="16"/>
        </w:rPr>
        <w:softHyphen/>
        <w:t>но, в силу секретности не опубликованв в печати.</w:t>
      </w:r>
    </w:p>
    <w:p w14:paraId="79D8771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силу этого, вместо печатных научных трудов мы прилагаем перечень научно-исследовательских проблем, разрешенных за 20 в див ком лет работы со ссылкой на конкретные самолети, на коих они внедрены и на годы, когда они разрешены.</w:t>
      </w:r>
    </w:p>
    <w:p w14:paraId="005ECCC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Кроме этих научно-исследовательских рабо», иами проделаны ряд работ изобретательского характера - изобретение впервые в мире убирающееся в полете зимней лыжи для моноплана и для би</w:t>
      </w:r>
      <w:r w:rsidRPr="007224C3">
        <w:rPr>
          <w:rFonts w:ascii="Times New Roman" w:hAnsi="Times New Roman"/>
          <w:color w:val="000000" w:themeColor="text1"/>
          <w:sz w:val="16"/>
          <w:szCs w:val="16"/>
        </w:rPr>
        <w:softHyphen/>
        <w:t>плана и установка вместе с тов. Шпитальным, также впервые в мире, синхронной пушки, калибром 20 мм, стреляющей через винт на на</w:t>
      </w:r>
      <w:r w:rsidRPr="007224C3">
        <w:rPr>
          <w:rFonts w:ascii="Times New Roman" w:hAnsi="Times New Roman"/>
          <w:color w:val="000000" w:themeColor="text1"/>
          <w:sz w:val="16"/>
          <w:szCs w:val="16"/>
        </w:rPr>
        <w:softHyphen/>
        <w:t>ших самолетах И16 и И153 и ряд других работ.</w:t>
      </w:r>
    </w:p>
    <w:p w14:paraId="4FE208E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Крупнокалиберное оружие всегда привлекало наше внимание и мы еще с 1936 года, впервые в СССР начали ставить на самоле</w:t>
      </w:r>
      <w:r w:rsidRPr="007224C3">
        <w:rPr>
          <w:rFonts w:ascii="Times New Roman" w:hAnsi="Times New Roman"/>
          <w:color w:val="000000" w:themeColor="text1"/>
          <w:sz w:val="16"/>
          <w:szCs w:val="16"/>
        </w:rPr>
        <w:softHyphen/>
        <w:t>тах пушки, как мелкого, так и 37 калибра, в том чисяе на истре</w:t>
      </w:r>
      <w:r w:rsidRPr="007224C3">
        <w:rPr>
          <w:rFonts w:ascii="Times New Roman" w:hAnsi="Times New Roman"/>
          <w:color w:val="000000" w:themeColor="text1"/>
          <w:sz w:val="16"/>
          <w:szCs w:val="16"/>
        </w:rPr>
        <w:softHyphen/>
        <w:t>бителях И16 и И15 и др. и бороться за их внедрение в отечественную авиацию.</w:t>
      </w:r>
    </w:p>
    <w:p w14:paraId="2D7CDC1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Одновременно с этим шла крупная работа по внедрению на самолетах мотор-пушек так же поставленных нами, впервые в Сою</w:t>
      </w:r>
      <w:r w:rsidRPr="007224C3">
        <w:rPr>
          <w:rFonts w:ascii="Times New Roman" w:hAnsi="Times New Roman"/>
          <w:color w:val="000000" w:themeColor="text1"/>
          <w:sz w:val="16"/>
          <w:szCs w:val="16"/>
        </w:rPr>
        <w:softHyphen/>
        <w:t>зе, на нашем же истребителе И17. Развернувшаяся борьба против пушечной авиации отдельных работников ВВС не дала нам возмож</w:t>
      </w:r>
      <w:r w:rsidRPr="007224C3">
        <w:rPr>
          <w:rFonts w:ascii="Times New Roman" w:hAnsi="Times New Roman"/>
          <w:color w:val="000000" w:themeColor="text1"/>
          <w:sz w:val="16"/>
          <w:szCs w:val="16"/>
        </w:rPr>
        <w:softHyphen/>
        <w:t>ности широко внедрить пушечную авиацию в ВВС, но и то, что уда</w:t>
      </w:r>
      <w:r w:rsidRPr="007224C3">
        <w:rPr>
          <w:rFonts w:ascii="Times New Roman" w:hAnsi="Times New Roman"/>
          <w:color w:val="000000" w:themeColor="text1"/>
          <w:sz w:val="16"/>
          <w:szCs w:val="16"/>
        </w:rPr>
        <w:softHyphen/>
        <w:t>лось с помощью тов.Сталина сделать в этом отношении - с честью работало и работает во 2-й Отечественной войне, послужило ба</w:t>
      </w:r>
      <w:r w:rsidRPr="007224C3">
        <w:rPr>
          <w:rFonts w:ascii="Times New Roman" w:hAnsi="Times New Roman"/>
          <w:color w:val="000000" w:themeColor="text1"/>
          <w:sz w:val="16"/>
          <w:szCs w:val="16"/>
        </w:rPr>
        <w:softHyphen/>
        <w:t>зой для работ других конструкторов СССР, в том числе т.т. Яковлева, Лавочкина и др.</w:t>
      </w:r>
    </w:p>
    <w:p w14:paraId="2A133EF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проделанную наш работу в январе мес. 1934 года по приказу Наркома тов.Орджоникидзе я был награжден легковой ав</w:t>
      </w:r>
      <w:r w:rsidRPr="007224C3">
        <w:rPr>
          <w:rFonts w:ascii="Times New Roman" w:hAnsi="Times New Roman"/>
          <w:color w:val="000000" w:themeColor="text1"/>
          <w:sz w:val="16"/>
          <w:szCs w:val="16"/>
        </w:rPr>
        <w:softHyphen/>
        <w:t>томашиной и несколько раз премирован.</w:t>
      </w:r>
    </w:p>
    <w:p w14:paraId="3F6415F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1936 года за создание образцов современных боевых са</w:t>
      </w:r>
      <w:r w:rsidRPr="007224C3">
        <w:rPr>
          <w:rFonts w:ascii="Times New Roman" w:hAnsi="Times New Roman"/>
          <w:color w:val="000000" w:themeColor="text1"/>
          <w:sz w:val="16"/>
          <w:szCs w:val="16"/>
        </w:rPr>
        <w:softHyphen/>
        <w:t>молетов Постановлением ВЦИК я был награжден орденом Ленина» а в июле 1936 года по приказу Наркома тов. Орджоникидзе - легковой автомашиной М1.</w:t>
      </w:r>
    </w:p>
    <w:p w14:paraId="7DABD5C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декабре 1937 года за освоение в серийной постройке совре</w:t>
      </w:r>
      <w:r w:rsidRPr="007224C3">
        <w:rPr>
          <w:rFonts w:ascii="Times New Roman" w:hAnsi="Times New Roman"/>
          <w:color w:val="000000" w:themeColor="text1"/>
          <w:sz w:val="16"/>
          <w:szCs w:val="16"/>
        </w:rPr>
        <w:softHyphen/>
        <w:t>менных истребителей я был награжден орденом Красной Звезды.</w:t>
      </w:r>
    </w:p>
    <w:p w14:paraId="4435622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октябре 1938 года за успешную работу по опытным самолетам СНК ССОР наградил меня премией в 100.000 рублей и легковой автомашиной "ЗИС-101”.</w:t>
      </w:r>
    </w:p>
    <w:p w14:paraId="4F04306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июле 1940 года приказом Наркома тов.Шахурина, согласно постановления ЦК, и СНК СССР, мне установлено звание конструкто</w:t>
      </w:r>
      <w:r w:rsidRPr="007224C3">
        <w:rPr>
          <w:rFonts w:ascii="Times New Roman" w:hAnsi="Times New Roman"/>
          <w:color w:val="000000" w:themeColor="text1"/>
          <w:sz w:val="16"/>
          <w:szCs w:val="16"/>
        </w:rPr>
        <w:softHyphen/>
        <w:t>ра 1-й степени.</w:t>
      </w:r>
    </w:p>
    <w:p w14:paraId="6EC1303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сентябре 1940 года по представлению НАГИ и Комитета по делан Высшей школы СНК СССР присвоил мне звание "Доктора техни</w:t>
      </w:r>
      <w:r w:rsidRPr="007224C3">
        <w:rPr>
          <w:rFonts w:ascii="Times New Roman" w:hAnsi="Times New Roman"/>
          <w:color w:val="000000" w:themeColor="text1"/>
          <w:sz w:val="16"/>
          <w:szCs w:val="16"/>
        </w:rPr>
        <w:softHyphen/>
        <w:t>ческих наук" без защиты диссертации*</w:t>
      </w:r>
    </w:p>
    <w:p w14:paraId="0463773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октябре месяце 1940 года за выдающуюся работу в области самолетостроения, президиум Верховного Совета СССР удостоил ме</w:t>
      </w:r>
      <w:r w:rsidRPr="007224C3">
        <w:rPr>
          <w:rFonts w:ascii="Times New Roman" w:hAnsi="Times New Roman"/>
          <w:color w:val="000000" w:themeColor="text1"/>
          <w:sz w:val="16"/>
          <w:szCs w:val="16"/>
        </w:rPr>
        <w:softHyphen/>
        <w:t>ня высшей наградой* присвоив мне звание "Героя Социалистаческого труда" и наградив орденом Ленина и орденом Золотой звезды.</w:t>
      </w:r>
    </w:p>
    <w:p w14:paraId="76E031B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марте 1941 года Комитет по делам Высшей школы и СНК СССР присудили мне 1-ую премию имени тов. Стадина и присвоили мне зва</w:t>
      </w:r>
      <w:r w:rsidRPr="007224C3">
        <w:rPr>
          <w:rFonts w:ascii="Times New Roman" w:hAnsi="Times New Roman"/>
          <w:color w:val="000000" w:themeColor="text1"/>
          <w:sz w:val="16"/>
          <w:szCs w:val="16"/>
        </w:rPr>
        <w:softHyphen/>
        <w:t>ние "Сталинского лауреата"</w:t>
      </w:r>
    </w:p>
    <w:p w14:paraId="11E146E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декабре 1937 года я выбран Депутатом Верховного Совеи СССР от АССР немцев Поволжья.</w:t>
      </w:r>
    </w:p>
    <w:p w14:paraId="0A69CF9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ноябре мес. 1935 года я окончил летную шкоду при Аэроклубе завода № 39 и имею звание гражданского пилота 4-го класса.</w:t>
      </w:r>
    </w:p>
    <w:p w14:paraId="184D3B6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 неоднократно по поручению Правительства СССР ездил в ко</w:t>
      </w:r>
      <w:r w:rsidRPr="007224C3">
        <w:rPr>
          <w:rFonts w:ascii="Times New Roman" w:hAnsi="Times New Roman"/>
          <w:color w:val="000000" w:themeColor="text1"/>
          <w:sz w:val="16"/>
          <w:szCs w:val="16"/>
        </w:rPr>
        <w:softHyphen/>
        <w:t>мандировку заграницу.</w:t>
      </w:r>
    </w:p>
    <w:p w14:paraId="65EDBC8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1943 г. Комитет по делам Высшей школы и СНК СССР прису</w:t>
      </w:r>
      <w:r w:rsidRPr="007224C3">
        <w:rPr>
          <w:rFonts w:ascii="Times New Roman" w:hAnsi="Times New Roman"/>
          <w:color w:val="000000" w:themeColor="text1"/>
          <w:sz w:val="16"/>
          <w:szCs w:val="16"/>
        </w:rPr>
        <w:softHyphen/>
        <w:t>дили мне 1-ю премию имени тов. Сталина.</w:t>
      </w:r>
    </w:p>
    <w:p w14:paraId="6C678C5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27.01.1944 г.</w:t>
      </w:r>
    </w:p>
    <w:p w14:paraId="5B80EAD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ПОЛИКАРПОВ Николай Николаевич</w:t>
      </w:r>
    </w:p>
    <w:p w14:paraId="7BBEC55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0A6CA57" w14:textId="77777777" w:rsidR="00EC515D" w:rsidRPr="007224C3" w:rsidRDefault="00EC515D" w:rsidP="007224C3">
      <w:pPr>
        <w:pStyle w:val="a3"/>
        <w:rPr>
          <w:color w:val="000000" w:themeColor="text1"/>
          <w:lang w:val="ru-RU"/>
        </w:rPr>
      </w:pPr>
      <w:r w:rsidRPr="007224C3">
        <w:rPr>
          <w:color w:val="000000" w:themeColor="text1"/>
          <w:lang w:val="ru-RU"/>
        </w:rPr>
        <w:t>20 января 1944 сразу же после завершения распорядительного заседания, где мнения участников разошлись, Бруевич направил на имя В.М. Молотова письмо с грифом «секретно» с изложением возникшей ситуации и просьбой «принять меня для личного доклада». К письму прилагался проект ранее упоминаемого положения о секции:</w:t>
      </w:r>
    </w:p>
    <w:p w14:paraId="79AD5D1E" w14:textId="77777777" w:rsidR="00EC515D" w:rsidRPr="007224C3" w:rsidRDefault="00EC515D" w:rsidP="007224C3">
      <w:pPr>
        <w:pStyle w:val="a3"/>
        <w:rPr>
          <w:color w:val="000000" w:themeColor="text1"/>
          <w:lang w:val="ru-RU"/>
        </w:rPr>
      </w:pPr>
      <w:r w:rsidRPr="007224C3">
        <w:rPr>
          <w:color w:val="000000" w:themeColor="text1"/>
          <w:lang w:val="ru-RU"/>
        </w:rPr>
        <w:t>«ЗАМЕСТИТЕЛЮ ПРЕДСЕДАТЕЛЯ СОВНАРКОМА СОЮЗА ССР тов. МОЛОТОВУ В.М. Отделение технических наук внесло в президиум Академии Наук предложение об ор</w:t>
      </w:r>
      <w:r w:rsidRPr="007224C3">
        <w:rPr>
          <w:color w:val="000000" w:themeColor="text1"/>
          <w:lang w:val="ru-RU"/>
        </w:rPr>
        <w:softHyphen/>
        <w:t>ганизации в системе Академии секции по научной разработке проблем авиации.</w:t>
      </w:r>
    </w:p>
    <w:p w14:paraId="0ADA4F39" w14:textId="77777777" w:rsidR="00EC515D" w:rsidRPr="007224C3" w:rsidRDefault="00EC515D" w:rsidP="007224C3">
      <w:pPr>
        <w:pStyle w:val="a3"/>
        <w:rPr>
          <w:color w:val="000000" w:themeColor="text1"/>
          <w:lang w:val="ru-RU"/>
        </w:rPr>
      </w:pPr>
      <w:r w:rsidRPr="007224C3">
        <w:rPr>
          <w:color w:val="000000" w:themeColor="text1"/>
          <w:lang w:val="ru-RU"/>
        </w:rPr>
        <w:t>Согласно проекта положения отделения секция по научной разработке проблем авиа</w:t>
      </w:r>
      <w:r w:rsidRPr="007224C3">
        <w:rPr>
          <w:color w:val="000000" w:themeColor="text1"/>
          <w:lang w:val="ru-RU"/>
        </w:rPr>
        <w:softHyphen/>
        <w:t>ции должна выдвигать и проводить научные исследования, способствующие развитию нашей военной и гражданской авиации, осуществлять координацию научно-исследо</w:t>
      </w:r>
      <w:r w:rsidRPr="007224C3">
        <w:rPr>
          <w:color w:val="000000" w:themeColor="text1"/>
          <w:lang w:val="ru-RU"/>
        </w:rPr>
        <w:softHyphen/>
        <w:t>вательских работ по проблемам авиации, проводимым в учреждениях АН СССР, в от</w:t>
      </w:r>
      <w:r w:rsidRPr="007224C3">
        <w:rPr>
          <w:color w:val="000000" w:themeColor="text1"/>
          <w:lang w:val="ru-RU"/>
        </w:rPr>
        <w:softHyphen/>
        <w:t>раслевых институтах и конструкторских бюро. Секция должна также участвовать</w:t>
      </w:r>
      <w:r w:rsidRPr="007224C3">
        <w:rPr>
          <w:rStyle w:val="93"/>
          <w:rFonts w:ascii="Times New Roman" w:hAnsi="Times New Roman" w:cs="Times New Roman"/>
          <w:color w:val="000000" w:themeColor="text1"/>
          <w:spacing w:val="0"/>
          <w:sz w:val="16"/>
          <w:szCs w:val="16"/>
          <w:lang w:val="ru-RU"/>
        </w:rPr>
        <w:t xml:space="preserve"> в </w:t>
      </w:r>
      <w:r w:rsidRPr="007224C3">
        <w:rPr>
          <w:color w:val="000000" w:themeColor="text1"/>
          <w:lang w:val="ru-RU"/>
        </w:rPr>
        <w:t>планировании и в координации особо важных научных работ, ведущихся в СССР.</w:t>
      </w:r>
    </w:p>
    <w:p w14:paraId="741DF2FA" w14:textId="77777777" w:rsidR="00EC515D" w:rsidRPr="007224C3" w:rsidRDefault="00EC515D" w:rsidP="007224C3">
      <w:pPr>
        <w:pStyle w:val="a3"/>
        <w:rPr>
          <w:color w:val="000000" w:themeColor="text1"/>
          <w:lang w:val="ru-RU"/>
        </w:rPr>
      </w:pPr>
      <w:r w:rsidRPr="007224C3">
        <w:rPr>
          <w:color w:val="000000" w:themeColor="text1"/>
          <w:lang w:val="ru-RU"/>
        </w:rPr>
        <w:t>Проект основной научной тематики секции на 1944 г. предусматривает научные работы по прогнозу путей развития бомбардировочной, истребительной, транспортной авиации, геликоптёров, ракетных самолётов, научные исследования по методам расчёта летатель</w:t>
      </w:r>
      <w:r w:rsidRPr="007224C3">
        <w:rPr>
          <w:color w:val="000000" w:themeColor="text1"/>
          <w:lang w:val="ru-RU"/>
        </w:rPr>
        <w:softHyphen/>
        <w:t>ных аппаратов и их частей, исследования по проблемам прочности и веса в авиации.</w:t>
      </w:r>
    </w:p>
    <w:p w14:paraId="3BFF66A5" w14:textId="77777777" w:rsidR="00EC515D" w:rsidRPr="007224C3" w:rsidRDefault="00EC515D" w:rsidP="007224C3">
      <w:pPr>
        <w:pStyle w:val="a3"/>
        <w:rPr>
          <w:color w:val="000000" w:themeColor="text1"/>
          <w:lang w:val="ru-RU"/>
        </w:rPr>
      </w:pPr>
      <w:r w:rsidRPr="007224C3">
        <w:rPr>
          <w:color w:val="000000" w:themeColor="text1"/>
          <w:lang w:val="ru-RU"/>
        </w:rPr>
        <w:t>В настоящее время в Академии имеется большая группа учёных, работающих в обла</w:t>
      </w:r>
      <w:r w:rsidRPr="007224C3">
        <w:rPr>
          <w:color w:val="000000" w:themeColor="text1"/>
          <w:lang w:val="ru-RU"/>
        </w:rPr>
        <w:softHyphen/>
        <w:t xml:space="preserve">сти авиации: академики Микулин А.А. (Герой Социалистического Труда), Юрьев Б.Н., Кулебакин </w:t>
      </w:r>
      <w:r w:rsidRPr="007224C3">
        <w:rPr>
          <w:color w:val="000000" w:themeColor="text1"/>
        </w:rPr>
        <w:t>B</w:t>
      </w:r>
      <w:r w:rsidRPr="007224C3">
        <w:rPr>
          <w:color w:val="000000" w:themeColor="text1"/>
          <w:lang w:val="ru-RU"/>
        </w:rPr>
        <w:t>.</w:t>
      </w:r>
      <w:r w:rsidRPr="007224C3">
        <w:rPr>
          <w:color w:val="000000" w:themeColor="text1"/>
        </w:rPr>
        <w:t>C</w:t>
      </w:r>
      <w:r w:rsidRPr="007224C3">
        <w:rPr>
          <w:color w:val="000000" w:themeColor="text1"/>
          <w:lang w:val="ru-RU"/>
        </w:rPr>
        <w:t>., Христианович С.А., Бруевич Н.Г.; члены-корреспонденты — Яковлев, Климов (оба — Герои Социалистического Труда), Туполев, Некрасов А.И., Келдыш.</w:t>
      </w:r>
    </w:p>
    <w:p w14:paraId="50118B4D" w14:textId="77777777" w:rsidR="00EC515D" w:rsidRPr="007224C3" w:rsidRDefault="00EC515D" w:rsidP="007224C3">
      <w:pPr>
        <w:pStyle w:val="a3"/>
        <w:rPr>
          <w:color w:val="000000" w:themeColor="text1"/>
          <w:lang w:val="ru-RU"/>
        </w:rPr>
      </w:pPr>
      <w:r w:rsidRPr="007224C3">
        <w:rPr>
          <w:color w:val="000000" w:themeColor="text1"/>
          <w:lang w:val="ru-RU"/>
        </w:rPr>
        <w:t>18 января вопрос об организации секции авиации рассматривался на распорядитель</w:t>
      </w:r>
      <w:r w:rsidRPr="007224C3">
        <w:rPr>
          <w:color w:val="000000" w:themeColor="text1"/>
          <w:lang w:val="ru-RU"/>
        </w:rPr>
        <w:softHyphen/>
        <w:t>ном заседании президиума Академии Наук. Академики Юрьев, Микулин, Кулебакин, Терпигорев, члены-корреспонденты Туполев, Некрасов горячо поддерживали предложение технического отделения об организации в Академии секции авиации. По их словам, ор</w:t>
      </w:r>
      <w:r w:rsidRPr="007224C3">
        <w:rPr>
          <w:color w:val="000000" w:themeColor="text1"/>
          <w:lang w:val="ru-RU"/>
        </w:rPr>
        <w:softHyphen/>
        <w:t>ганизация такой секции обеспечит научное общение между работниками авиации, рабо</w:t>
      </w:r>
      <w:r w:rsidRPr="007224C3">
        <w:rPr>
          <w:color w:val="000000" w:themeColor="text1"/>
          <w:lang w:val="ru-RU"/>
        </w:rPr>
        <w:softHyphen/>
        <w:t>тающими по моторам, самолётам, вооружению в различных ведомствах; даст координа</w:t>
      </w:r>
      <w:r w:rsidRPr="007224C3">
        <w:rPr>
          <w:color w:val="000000" w:themeColor="text1"/>
          <w:lang w:val="ru-RU"/>
        </w:rPr>
        <w:softHyphen/>
        <w:t>цию научно-исследовательской деятельности по вопросам авиации во всех учреждени</w:t>
      </w:r>
      <w:r w:rsidRPr="007224C3">
        <w:rPr>
          <w:color w:val="000000" w:themeColor="text1"/>
          <w:lang w:val="ru-RU"/>
        </w:rPr>
        <w:softHyphen/>
        <w:t>ях Союза; усилит научно-исследовательскую деятельность в области авиации в самой Академии Наук.</w:t>
      </w:r>
    </w:p>
    <w:p w14:paraId="4C19EE20" w14:textId="77777777" w:rsidR="00EC515D" w:rsidRPr="007224C3" w:rsidRDefault="00EC515D" w:rsidP="007224C3">
      <w:pPr>
        <w:pStyle w:val="a3"/>
        <w:rPr>
          <w:color w:val="000000" w:themeColor="text1"/>
          <w:lang w:val="ru-RU"/>
        </w:rPr>
      </w:pPr>
      <w:r w:rsidRPr="007224C3">
        <w:rPr>
          <w:color w:val="000000" w:themeColor="text1"/>
          <w:lang w:val="ru-RU"/>
        </w:rPr>
        <w:t>Академиками Байковым А.А., Бруевичем была высказана мысль, что организация пред</w:t>
      </w:r>
      <w:r w:rsidRPr="007224C3">
        <w:rPr>
          <w:color w:val="000000" w:themeColor="text1"/>
          <w:lang w:val="ru-RU"/>
        </w:rPr>
        <w:softHyphen/>
        <w:t>лагаемой секции авиации Академии Наук будет способствовать попыткам руководить на</w:t>
      </w:r>
      <w:r w:rsidRPr="007224C3">
        <w:rPr>
          <w:color w:val="000000" w:themeColor="text1"/>
          <w:lang w:val="ru-RU"/>
        </w:rPr>
        <w:softHyphen/>
        <w:t>учно-исследовательской деятельностью отраслевых научно-исследовательских институ</w:t>
      </w:r>
      <w:r w:rsidRPr="007224C3">
        <w:rPr>
          <w:color w:val="000000" w:themeColor="text1"/>
          <w:lang w:val="ru-RU"/>
        </w:rPr>
        <w:softHyphen/>
        <w:t>тов и наркоматов со стороны Академии Наук. Научно-исследовательская деятельность са</w:t>
      </w:r>
      <w:r w:rsidRPr="007224C3">
        <w:rPr>
          <w:color w:val="000000" w:themeColor="text1"/>
          <w:lang w:val="ru-RU"/>
        </w:rPr>
        <w:softHyphen/>
        <w:t>мой Академии в области авиации при этом не усилится, так как силы Академии будут на</w:t>
      </w:r>
      <w:r w:rsidRPr="007224C3">
        <w:rPr>
          <w:color w:val="000000" w:themeColor="text1"/>
          <w:lang w:val="ru-RU"/>
        </w:rPr>
        <w:softHyphen/>
        <w:t>правлены на координацию научных работ в области авиации, проводимых в Союзе, что не входит в задачу Академии Наук. К этой точке зрения присоединились члены-коррес</w:t>
      </w:r>
      <w:r w:rsidRPr="007224C3">
        <w:rPr>
          <w:color w:val="000000" w:themeColor="text1"/>
          <w:lang w:val="ru-RU"/>
        </w:rPr>
        <w:softHyphen/>
        <w:t>понденты Ильюшин (механик) и Келдыш. Последний напомнил, что секция авиации су</w:t>
      </w:r>
      <w:r w:rsidRPr="007224C3">
        <w:rPr>
          <w:color w:val="000000" w:themeColor="text1"/>
          <w:lang w:val="ru-RU"/>
        </w:rPr>
        <w:softHyphen/>
        <w:t>ществовала в Академии Наук, примерно, в 1936-1939 гг. под руководством члена-кор</w:t>
      </w:r>
      <w:r w:rsidRPr="007224C3">
        <w:rPr>
          <w:color w:val="000000" w:themeColor="text1"/>
          <w:lang w:val="ru-RU"/>
        </w:rPr>
        <w:softHyphen/>
        <w:t>респондента Некрасова А.И. и заглохла, ничего не сделав. Академики Байков А.А., Бру</w:t>
      </w:r>
      <w:r w:rsidRPr="007224C3">
        <w:rPr>
          <w:color w:val="000000" w:themeColor="text1"/>
          <w:lang w:val="ru-RU"/>
        </w:rPr>
        <w:softHyphen/>
        <w:t>евич предложили секцию авиации Академии Наук не организовывать. Научные вопросы в области прочности, аэродинамики устойчивости самолёта, по старому, развивать в ин</w:t>
      </w:r>
      <w:r w:rsidRPr="007224C3">
        <w:rPr>
          <w:color w:val="000000" w:themeColor="text1"/>
          <w:lang w:val="ru-RU"/>
        </w:rPr>
        <w:softHyphen/>
        <w:t>ституте механики Академии Наук, обладающем</w:t>
      </w:r>
      <w:r w:rsidRPr="007224C3">
        <w:rPr>
          <w:rStyle w:val="15MSReferenceSansSerif1"/>
          <w:rFonts w:ascii="Times New Roman" w:hAnsi="Times New Roman" w:cs="Times New Roman"/>
          <w:color w:val="000000" w:themeColor="text1"/>
          <w:sz w:val="16"/>
          <w:szCs w:val="16"/>
          <w:lang w:val="ru-RU"/>
        </w:rPr>
        <w:t xml:space="preserve"> высококвалифицированными</w:t>
      </w:r>
      <w:r w:rsidRPr="007224C3">
        <w:rPr>
          <w:color w:val="000000" w:themeColor="text1"/>
          <w:lang w:val="ru-RU"/>
        </w:rPr>
        <w:t xml:space="preserve"> кадрами, привлечь на работу в этот институт вновь избранных академиков и</w:t>
      </w:r>
      <w:r w:rsidRPr="007224C3">
        <w:rPr>
          <w:rStyle w:val="920"/>
          <w:rFonts w:ascii="Times New Roman" w:hAnsi="Times New Roman" w:cs="Times New Roman"/>
          <w:color w:val="000000" w:themeColor="text1"/>
          <w:spacing w:val="0"/>
          <w:sz w:val="16"/>
          <w:szCs w:val="16"/>
          <w:lang w:val="ru-RU"/>
        </w:rPr>
        <w:t xml:space="preserve"> членов</w:t>
      </w:r>
      <w:r w:rsidRPr="007224C3">
        <w:rPr>
          <w:color w:val="000000" w:themeColor="text1"/>
          <w:lang w:val="ru-RU"/>
        </w:rPr>
        <w:t>-корреспонден</w:t>
      </w:r>
      <w:r w:rsidRPr="007224C3">
        <w:rPr>
          <w:color w:val="000000" w:themeColor="text1"/>
          <w:lang w:val="ru-RU"/>
        </w:rPr>
        <w:softHyphen/>
        <w:t>тов самолётчиков (Юрьев, Яковлев, Туполев, Некрасов). Вопросами же координации на- учно-исследовательской деятельности в области авиации отраслевых НИИ, наркоматов и главных управлений, конструкторскими вопросами Академия Наук не может заниматься.</w:t>
      </w:r>
    </w:p>
    <w:p w14:paraId="19D123B5" w14:textId="77777777" w:rsidR="00EC515D" w:rsidRPr="007224C3" w:rsidRDefault="00EC515D" w:rsidP="007224C3">
      <w:pPr>
        <w:pStyle w:val="a3"/>
        <w:tabs>
          <w:tab w:val="left" w:pos="4616"/>
          <w:tab w:val="left" w:leader="hyphen" w:pos="5403"/>
        </w:tabs>
        <w:rPr>
          <w:color w:val="000000" w:themeColor="text1"/>
          <w:lang w:val="ru-RU"/>
        </w:rPr>
      </w:pPr>
      <w:r w:rsidRPr="007224C3">
        <w:rPr>
          <w:color w:val="000000" w:themeColor="text1"/>
          <w:lang w:val="ru-RU"/>
        </w:rPr>
        <w:t xml:space="preserve">Собрание не пришло к вдиниму мнению и решило внести на рассмотрение президиума оба предложения. Прилагаю проект положения о секции по научной разработ- </w:t>
      </w:r>
      <w:r w:rsidRPr="007224C3">
        <w:rPr>
          <w:color w:val="000000" w:themeColor="text1"/>
          <w:lang w:val="ru-RU"/>
        </w:rPr>
        <w:lastRenderedPageBreak/>
        <w:t>проблем авиации Академии Наук СССР, проект основной научной тематики секции 1944 год, внесенные в президиум отделением технических наук. Прошу принять меня для личного доклада.</w:t>
      </w:r>
    </w:p>
    <w:p w14:paraId="0753A7AE" w14:textId="77777777" w:rsidR="00EC515D" w:rsidRPr="007224C3" w:rsidRDefault="00EC515D" w:rsidP="007224C3">
      <w:pPr>
        <w:pStyle w:val="a3"/>
        <w:tabs>
          <w:tab w:val="left" w:pos="5322"/>
        </w:tabs>
        <w:rPr>
          <w:color w:val="000000" w:themeColor="text1"/>
          <w:lang w:val="ru-RU"/>
        </w:rPr>
      </w:pPr>
      <w:r w:rsidRPr="007224C3">
        <w:rPr>
          <w:rStyle w:val="9pt"/>
          <w:rFonts w:ascii="Times New Roman" w:cs="Times New Roman"/>
          <w:b w:val="0"/>
          <w:i w:val="0"/>
          <w:color w:val="000000" w:themeColor="text1"/>
          <w:sz w:val="16"/>
          <w:szCs w:val="16"/>
          <w:lang w:val="ru-RU"/>
        </w:rPr>
        <w:t>АКАДЕМИК</w:t>
      </w:r>
      <w:r w:rsidRPr="007224C3">
        <w:rPr>
          <w:b/>
          <w:color w:val="000000" w:themeColor="text1"/>
          <w:lang w:val="ru-RU"/>
        </w:rPr>
        <w:t>-</w:t>
      </w:r>
      <w:r w:rsidRPr="007224C3">
        <w:rPr>
          <w:color w:val="000000" w:themeColor="text1"/>
          <w:lang w:val="ru-RU"/>
        </w:rPr>
        <w:t>СЕКРЕТАРЬ АКАДЕМИИ НАУК СССР академик (Н.Г. БРУЕВИЧ)»</w:t>
      </w:r>
    </w:p>
    <w:p w14:paraId="2F547848" w14:textId="77777777" w:rsidR="00EC515D" w:rsidRPr="007224C3" w:rsidRDefault="00EC515D" w:rsidP="007224C3">
      <w:pPr>
        <w:pStyle w:val="a3"/>
        <w:rPr>
          <w:color w:val="000000" w:themeColor="text1"/>
          <w:lang w:val="ru-RU"/>
        </w:rPr>
      </w:pPr>
      <w:r w:rsidRPr="007224C3">
        <w:rPr>
          <w:color w:val="000000" w:themeColor="text1"/>
          <w:lang w:val="ru-RU"/>
        </w:rPr>
        <w:t>На письме есть пометка, вероятно, помощника Молотова: «Архив. Указания т. Бруичу даны. 23.1.»</w:t>
      </w:r>
    </w:p>
    <w:p w14:paraId="5697333A" w14:textId="77777777" w:rsidR="00EC515D" w:rsidRPr="007224C3" w:rsidRDefault="00EC515D" w:rsidP="007224C3">
      <w:pPr>
        <w:pStyle w:val="a3"/>
        <w:rPr>
          <w:color w:val="000000" w:themeColor="text1"/>
          <w:lang w:val="ru-RU"/>
        </w:rPr>
      </w:pPr>
      <w:r w:rsidRPr="007224C3">
        <w:rPr>
          <w:color w:val="000000" w:themeColor="text1"/>
          <w:lang w:val="ru-RU"/>
        </w:rPr>
        <w:t xml:space="preserve">Так как у Молотова уже ранее было отрицательное мнение Вознесенского по письму рамовича и Панова, а также мнение наркома Шахурина, ответ и на новое письмо евича мог быть только отрицательным, тем более, что он совпадал с мнением руодства самой Академии наук. </w:t>
      </w:r>
      <w:r w:rsidRPr="007224C3">
        <w:rPr>
          <w:rStyle w:val="147"/>
          <w:rFonts w:ascii="Times New Roman" w:hAnsi="Times New Roman" w:cs="Times New Roman"/>
          <w:color w:val="000000" w:themeColor="text1"/>
          <w:sz w:val="16"/>
          <w:szCs w:val="16"/>
          <w:lang w:val="ru-RU"/>
        </w:rPr>
        <w:t>а</w:t>
      </w:r>
      <w:r w:rsidRPr="007224C3">
        <w:rPr>
          <w:color w:val="000000" w:themeColor="text1"/>
          <w:lang w:val="ru-RU"/>
        </w:rPr>
        <w:t xml:space="preserve"> некоторое время спустя, 9 февраля 1944 г., состоялось заседание Президиума емии Наук, на котором вопрос окончательно решили не в пользу авиационного крыла Отделения технических наук. Зная мнение правительственных структур, Юрьев изменил свою позицию и начал искать компромиссные варианты (15789).</w:t>
      </w:r>
    </w:p>
    <w:p w14:paraId="01952672" w14:textId="77777777" w:rsidR="00EC515D" w:rsidRPr="007224C3" w:rsidRDefault="00EC515D" w:rsidP="007224C3">
      <w:pPr>
        <w:pStyle w:val="a3"/>
        <w:rPr>
          <w:color w:val="000000" w:themeColor="text1"/>
          <w:lang w:val="ru-RU"/>
        </w:rPr>
      </w:pPr>
    </w:p>
    <w:p w14:paraId="51F085E1"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134CF7D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ACD802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ПЕРИОД С 20 ЯНВАРЯ ПО 15 ФЕВРАЛЯ 1944 ГОДА ПРОХОДИЛИ ВОЙСКОВЫЕ ИСПЫТАНИя ДЕСАНТНЫХ БРОНЕАВТОМОБИЛЕЙ БА-64 И БА-64 Б</w:t>
      </w:r>
    </w:p>
    <w:p w14:paraId="08BAFC3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основании распоряжения начальника ГБТУ КА за №1167348с от 12 ноября 1943 года в 7-м гвардейском Нежинском механизированном корпусе проведены войсковые испытания десант</w:t>
      </w:r>
      <w:r w:rsidRPr="007224C3">
        <w:rPr>
          <w:rFonts w:ascii="Times New Roman" w:hAnsi="Times New Roman"/>
          <w:color w:val="000000" w:themeColor="text1"/>
          <w:sz w:val="16"/>
          <w:szCs w:val="16"/>
        </w:rPr>
        <w:softHyphen/>
        <w:t>ных бронеавтомобилей БА-64 с целью:</w:t>
      </w:r>
    </w:p>
    <w:p w14:paraId="086B8B5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Проверить удобство размещения экипажа, прочность и надежность работы бронетранспорте</w:t>
      </w:r>
      <w:r w:rsidRPr="007224C3">
        <w:rPr>
          <w:rFonts w:ascii="Times New Roman" w:hAnsi="Times New Roman"/>
          <w:color w:val="000000" w:themeColor="text1"/>
          <w:sz w:val="16"/>
          <w:szCs w:val="16"/>
        </w:rPr>
        <w:softHyphen/>
        <w:t>ра и способность его буксировать 45-мм противотанковую пушку.</w:t>
      </w:r>
    </w:p>
    <w:p w14:paraId="20CDB15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Выяснить целесообразность принятия на вооружение Красной Армии десантного бронеавто</w:t>
      </w:r>
      <w:r w:rsidRPr="007224C3">
        <w:rPr>
          <w:rFonts w:ascii="Times New Roman" w:hAnsi="Times New Roman"/>
          <w:color w:val="000000" w:themeColor="text1"/>
          <w:sz w:val="16"/>
          <w:szCs w:val="16"/>
        </w:rPr>
        <w:softHyphen/>
        <w:t>мобиля БА-64.</w:t>
      </w:r>
    </w:p>
    <w:p w14:paraId="0E1958E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войсковые испытания были представлены три десантных бронеавтомобиля, из них два БА-64 (с узкой колеей) и один БА-64-Б (с широкой колеей).</w:t>
      </w:r>
    </w:p>
    <w:p w14:paraId="7D74913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Испытания</w:t>
      </w:r>
    </w:p>
    <w:p w14:paraId="7BF51D5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Десантные бронеавтомобили были испытаны пробегом на 500 км, из которых 200 км по шоссе и 300 км по проселку плохого качества (начало февраля - ранняя весна). Испытания про</w:t>
      </w:r>
      <w:r w:rsidRPr="007224C3">
        <w:rPr>
          <w:rFonts w:ascii="Times New Roman" w:hAnsi="Times New Roman"/>
          <w:color w:val="000000" w:themeColor="text1"/>
          <w:sz w:val="16"/>
          <w:szCs w:val="16"/>
        </w:rPr>
        <w:softHyphen/>
        <w:t>водились с экипажем 5 человек (водитель и четыре автоматчика) в зимнем обмундировании и полном боевом снаряжении. Каждая машина буксировала 45-мм противотанковую пушку без зарядного ящика на расстояние 200 км (100 км по шоссе и 100 км по проселку).</w:t>
      </w:r>
    </w:p>
    <w:p w14:paraId="05736B6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боевых действиях десантные бронеавтомобили не были, так как корпус находится в резерве.</w:t>
      </w:r>
    </w:p>
    <w:p w14:paraId="37EBE4F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Результаты испытания</w:t>
      </w:r>
    </w:p>
    <w:p w14:paraId="6FBBF1C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За все время пробега, как по шоссе, так и по проселку, десантный бронеавтомобиль с широкой колеей шел лучше десантного бронеавтомобиля с узкой колеей. На неровностях и косогорах, а также при поворо</w:t>
      </w:r>
      <w:r w:rsidRPr="007224C3">
        <w:rPr>
          <w:rFonts w:ascii="Times New Roman" w:hAnsi="Times New Roman"/>
          <w:color w:val="000000" w:themeColor="text1"/>
          <w:sz w:val="16"/>
          <w:szCs w:val="16"/>
        </w:rPr>
        <w:softHyphen/>
        <w:t>тах на проселке ширококолейный бронеавтомобиль вел себя устойчивее узкоколейного. При наличии глу</w:t>
      </w:r>
      <w:r w:rsidRPr="007224C3">
        <w:rPr>
          <w:rFonts w:ascii="Times New Roman" w:hAnsi="Times New Roman"/>
          <w:color w:val="000000" w:themeColor="text1"/>
          <w:sz w:val="16"/>
          <w:szCs w:val="16"/>
        </w:rPr>
        <w:softHyphen/>
        <w:t>бокой дорожной колеи или дорожных выбоин, а также на косогорах узкоколейный бронеавтомобиль имел опасность опрокидывания, поэтому замедлял скорость или делал остановки. Ширококолейный десантный бронеавтомобиль этих недостатков относительно узкоколейного десантного бронеавтомобиля не имел.</w:t>
      </w:r>
    </w:p>
    <w:p w14:paraId="183770E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Буксировка 45-мм противотанковой пушки без зарядного ящика десантным бронеавтомоби</w:t>
      </w:r>
      <w:r w:rsidRPr="007224C3">
        <w:rPr>
          <w:rFonts w:ascii="Times New Roman" w:hAnsi="Times New Roman"/>
          <w:color w:val="000000" w:themeColor="text1"/>
          <w:sz w:val="16"/>
          <w:szCs w:val="16"/>
        </w:rPr>
        <w:softHyphen/>
        <w:t>лем БА-64 Б по шоссе вполне удовлетворительна. Бронеавтомобиль шел на 3-4 передаче и редко на 1-2 передаче. Буксировка же пушки по проселку затруднительна, движение совершалось на 1-2 передаче и редко на 3-й передаче. Из-за низкого расположения прицепного крюка на бронеавтомо</w:t>
      </w:r>
      <w:r w:rsidRPr="007224C3">
        <w:rPr>
          <w:rFonts w:ascii="Times New Roman" w:hAnsi="Times New Roman"/>
          <w:color w:val="000000" w:themeColor="text1"/>
          <w:sz w:val="16"/>
          <w:szCs w:val="16"/>
        </w:rPr>
        <w:softHyphen/>
        <w:t>биле были случаи, что пушка сошниками задевала за грунт, в результате чего получались рывки.</w:t>
      </w:r>
    </w:p>
    <w:p w14:paraId="21F23EE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Размещение автоматчиков в корпусе десантного бронеавтомобиля неудовлетворительное. При посадке 4-х человек в зимнем обмундировании и полном боевом снаряжении, бойцы не в состоянии даже повернуться. Выход перевозимой команды автоматчиков через боковые дверцы до выхода води</w:t>
      </w:r>
      <w:r w:rsidRPr="007224C3">
        <w:rPr>
          <w:rFonts w:ascii="Times New Roman" w:hAnsi="Times New Roman"/>
          <w:color w:val="000000" w:themeColor="text1"/>
          <w:sz w:val="16"/>
          <w:szCs w:val="16"/>
        </w:rPr>
        <w:softHyphen/>
        <w:t>теля из машины невозможен и даже при выходе водителя из машины очень неудобен и занимает много времени. Выход команды автоматчиков через верх корпуса также неудобен и кроме того автоматчики во время выхода через верх корпуса подвержены опасности пулеметного огня или снайпера противника.</w:t>
      </w:r>
    </w:p>
    <w:p w14:paraId="6563211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ранении команды в корпусе, раненых очень трудно удалять из корпуса в обстановке обстрела.</w:t>
      </w:r>
    </w:p>
    <w:p w14:paraId="26F96A0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Расположение бензобака в задней части корпуса на половине его высоты очень опасно в пожар</w:t>
      </w:r>
      <w:r w:rsidRPr="007224C3">
        <w:rPr>
          <w:rFonts w:ascii="Times New Roman" w:hAnsi="Times New Roman"/>
          <w:color w:val="000000" w:themeColor="text1"/>
          <w:sz w:val="16"/>
          <w:szCs w:val="16"/>
        </w:rPr>
        <w:softHyphen/>
        <w:t>ном отношении. При попадании пули или осколка в бензобак и при возникновении пожара команда не в состоянии будет выйти из машины.</w:t>
      </w:r>
    </w:p>
    <w:p w14:paraId="4964DC3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сравнении десантного бронеавтомобиля БА-64 Б с бронеавтомобилем БА-64 (с башней) и учиты</w:t>
      </w:r>
      <w:r w:rsidRPr="007224C3">
        <w:rPr>
          <w:rFonts w:ascii="Times New Roman" w:hAnsi="Times New Roman"/>
          <w:color w:val="000000" w:themeColor="text1"/>
          <w:sz w:val="16"/>
          <w:szCs w:val="16"/>
        </w:rPr>
        <w:softHyphen/>
        <w:t>вая опыт боевых действий корпуса нужно отметить, что БА-64 (с башней) для переброски автоматчиков непригоден. За время боевых действий 7-го гвардейского Нежинского мех. корпуса БА-64 (с башней) как боевые машины не использовались, а служили лишь средством связи офицеров командования. Для целей же разведки и связи десантный БА-64 Б более удобен по сравнению с БА-64 (с башней), так как в нем кроме офицера связи могут быть помещены два автоматчика или при необходимости перевезены боеприпасы.</w:t>
      </w:r>
    </w:p>
    <w:p w14:paraId="3D601B3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Требования к десантному бронеавтомобилю (бронетранспортеру)</w:t>
      </w:r>
    </w:p>
    <w:p w14:paraId="2B01F26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Бронетранспортер, смонтированный на шасси ГАЗ-67 для целей разведки, связи, перевозки команды автоматчиков и боеприпасов в зоне ружейно-пулеметного огня и эвакуации раненых с поля боя, должен иметь следующую конструкцию: сидение водителя и управление должно быть слева. Рядом с водителем должно быть сидение командира машины. У командира машины должен быть смотровой прибор, как и у водителя. Корпус бронетранспортера должен быть прямым по типу американского бронетранспортера МЗ-А-1 или ромбовидный по типу немецкого бронетранспортера. Высота борта должна закрывать сидящего в корпусе человека среднего роста. В корпусе должны быть откидывающиеся сидения на 4 человека вдоль машины по два человека на сторону. Бронетранспортер должен иметь дверцы по бокам для входа водите</w:t>
      </w:r>
      <w:r w:rsidRPr="007224C3">
        <w:rPr>
          <w:rFonts w:ascii="Times New Roman" w:hAnsi="Times New Roman"/>
          <w:color w:val="000000" w:themeColor="text1"/>
          <w:sz w:val="16"/>
          <w:szCs w:val="16"/>
        </w:rPr>
        <w:softHyphen/>
        <w:t>ля и командира машины и дверцы сзади для выхода команды. Задние дверцы должны быть сделаны так, чтобы водитель мог закрыть их, не вставая с сидения. Бензобак должен быть установлен по типу автомобиля «Виллис». Дифференциалы переднего и заднего мостов должны быть защищены броневыми листами.</w:t>
      </w:r>
    </w:p>
    <w:p w14:paraId="04BCAA2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десантном отделении должен быть установлен ручной пулемет с возможностью кругового обстрела и обстрела зенитных целей. Спинка сидения командира машины должна быть откидывающейся. Броня бронетранспортера должна защищать от простых пуль ружейно-пулеметного огня. Вес бронетранспор</w:t>
      </w:r>
      <w:r w:rsidRPr="007224C3">
        <w:rPr>
          <w:rFonts w:ascii="Times New Roman" w:hAnsi="Times New Roman"/>
          <w:color w:val="000000" w:themeColor="text1"/>
          <w:sz w:val="16"/>
          <w:szCs w:val="16"/>
        </w:rPr>
        <w:softHyphen/>
        <w:t>тера должен быть, возможно, меньшим и не превышать веса десантного бронеавтомобиля БА-64 Б.</w:t>
      </w:r>
    </w:p>
    <w:p w14:paraId="54D7E95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Выводы:</w:t>
      </w:r>
    </w:p>
    <w:p w14:paraId="7A1E91C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Десантный бронеавтомобиль БА-64 Б (с широкой колеей) по сравнению с десантным броне</w:t>
      </w:r>
      <w:r w:rsidRPr="007224C3">
        <w:rPr>
          <w:rFonts w:ascii="Times New Roman" w:hAnsi="Times New Roman"/>
          <w:color w:val="000000" w:themeColor="text1"/>
          <w:sz w:val="16"/>
          <w:szCs w:val="16"/>
        </w:rPr>
        <w:softHyphen/>
        <w:t>автомобилем БА-64 (с узкой колеей) имеет лучшую проходимость, устойчивость на ходу и при пово</w:t>
      </w:r>
      <w:r w:rsidRPr="007224C3">
        <w:rPr>
          <w:rFonts w:ascii="Times New Roman" w:hAnsi="Times New Roman"/>
          <w:color w:val="000000" w:themeColor="text1"/>
          <w:sz w:val="16"/>
          <w:szCs w:val="16"/>
        </w:rPr>
        <w:softHyphen/>
        <w:t>ротах. Средняя скорость ширококолейного бронеавтомобиля по проселку выше.</w:t>
      </w:r>
    </w:p>
    <w:p w14:paraId="01CB78D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Буксировать 45-мм противотанковую пушку без зарядного ящика десантным бронеавто</w:t>
      </w:r>
      <w:r w:rsidRPr="007224C3">
        <w:rPr>
          <w:rFonts w:ascii="Times New Roman" w:hAnsi="Times New Roman"/>
          <w:color w:val="000000" w:themeColor="text1"/>
          <w:sz w:val="16"/>
          <w:szCs w:val="16"/>
        </w:rPr>
        <w:softHyphen/>
        <w:t>мобилем БА-64 Б можно по шоссе, по разбитому проселку можно только в исключительных слу</w:t>
      </w:r>
      <w:r w:rsidRPr="007224C3">
        <w:rPr>
          <w:rFonts w:ascii="Times New Roman" w:hAnsi="Times New Roman"/>
          <w:color w:val="000000" w:themeColor="text1"/>
          <w:sz w:val="16"/>
          <w:szCs w:val="16"/>
        </w:rPr>
        <w:softHyphen/>
        <w:t>чаях на небольшие дистанции.</w:t>
      </w:r>
    </w:p>
    <w:p w14:paraId="75E7287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Десантный бронеавтомобиль БА-64 Б может быть использован для целей разведки, связи, может быть использован также для переброски автоматчиков и боеприпасов в зоне ружейно-пулеметного огня, но для этих целей он не отвечает и не удовлетворяет всем предъявляемым к нему требованиям.</w:t>
      </w:r>
    </w:p>
    <w:p w14:paraId="40085A1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Десантный бронеавтомобиль БА-64 Б для целей связи и разведки более удобен по сравнению с бронеавтомобилем БА-64 (с башней).</w:t>
      </w:r>
    </w:p>
    <w:p w14:paraId="1B73F9E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Заключение</w:t>
      </w:r>
    </w:p>
    <w:p w14:paraId="4B46971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Десантный бронеавтомобиль БА-64 Б в представленном виде принять на вооружение Красной Армии нецелесообразно.</w:t>
      </w:r>
    </w:p>
    <w:p w14:paraId="6E2013F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Бронетранспортер на базе автомобиля ГАЗ-67 необходим такой, как указано в требованиях к бронетранспортеру.</w:t>
      </w:r>
    </w:p>
    <w:p w14:paraId="5FAAE22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Кроме того Красной Армии необходим бронетранспортер более мощный и с более повышен</w:t>
      </w:r>
      <w:r w:rsidRPr="007224C3">
        <w:rPr>
          <w:rFonts w:ascii="Times New Roman" w:hAnsi="Times New Roman"/>
          <w:color w:val="000000" w:themeColor="text1"/>
          <w:sz w:val="16"/>
          <w:szCs w:val="16"/>
        </w:rPr>
        <w:softHyphen/>
        <w:t>ной проходимостью по типу американского бронетранспортера М-2 и МЗ-А-1.</w:t>
      </w:r>
    </w:p>
    <w:p w14:paraId="39B353C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Для окончательной дачи заключения о прочности предъявленного к войсковым испытаниям бронеавтомобиля необходимо произвести испытания машин в боевых условиях и испытать пробе</w:t>
      </w:r>
      <w:r w:rsidRPr="007224C3">
        <w:rPr>
          <w:rFonts w:ascii="Times New Roman" w:hAnsi="Times New Roman"/>
          <w:color w:val="000000" w:themeColor="text1"/>
          <w:sz w:val="16"/>
          <w:szCs w:val="16"/>
        </w:rPr>
        <w:softHyphen/>
        <w:t>гом на 10-15 тысяч километров, с последующим замером изношенных деталей.</w:t>
      </w:r>
    </w:p>
    <w:p w14:paraId="2FA1D01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Приложение: эскизы двух вариантов формы корпуса бронетранспортера на 4-х листах</w:t>
      </w:r>
      <w:r w:rsidRPr="007224C3">
        <w:rPr>
          <w:rFonts w:ascii="Times New Roman" w:hAnsi="Times New Roman"/>
          <w:color w:val="000000" w:themeColor="text1"/>
          <w:sz w:val="16"/>
          <w:szCs w:val="16"/>
          <w:vertAlign w:val="superscript"/>
        </w:rPr>
        <w:t>1</w:t>
      </w:r>
    </w:p>
    <w:p w14:paraId="6DB7B65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Комиссия:</w:t>
      </w:r>
    </w:p>
    <w:p w14:paraId="3BDA770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Пом. командира 7 гвардейского Нежинского МК по технической части гвардии инженер-подполковник Колесников</w:t>
      </w:r>
    </w:p>
    <w:p w14:paraId="471612F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Пом. начальника технического отдела 7 гвардейского Нежинского МК гвардии инженер-майор Хейфман</w:t>
      </w:r>
    </w:p>
    <w:p w14:paraId="34E1DD5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Представитель УБП и БМ ГБТУ КА инженер-капитан Яшин</w:t>
      </w:r>
    </w:p>
    <w:p w14:paraId="57F4AC5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38. Оп. 11358. Д. 211. Л. 34-36. Подлинник (11403).</w:t>
      </w:r>
    </w:p>
    <w:p w14:paraId="6083803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2FDB4B59"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января 1944 вышло Постановление ГКО № 4994 О мерах по усилению завоза горючего для весеннего сева 1944 г. (7176, 121-125,126-127).</w:t>
      </w:r>
    </w:p>
    <w:p w14:paraId="0AE66F1A"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540DCC9"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января 1944 вышло Постановление ГКО № 4995 [О плане добычи золота и олова и материально-техническом снабжении Дальстроя НКВД СССР.] (7176, 128-132,133-146).</w:t>
      </w:r>
    </w:p>
    <w:p w14:paraId="6462E887"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17F7742"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января 1944 построен Алтайский тракторный завод (4962).</w:t>
      </w:r>
    </w:p>
    <w:p w14:paraId="520EEE40"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1D6EDD6" w14:textId="77777777" w:rsidR="00171E88" w:rsidRPr="007224C3" w:rsidRDefault="00171E88"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20  января</w:t>
      </w:r>
      <w:r w:rsidRPr="007224C3">
        <w:rPr>
          <w:rFonts w:ascii="Times New Roman" w:hAnsi="Times New Roman"/>
          <w:color w:val="000000" w:themeColor="text1"/>
          <w:sz w:val="16"/>
          <w:szCs w:val="16"/>
        </w:rPr>
        <w:t xml:space="preserve"> в 1944 году вводится в строй первая очередь Алтайского тракторного завода (15015).</w:t>
      </w:r>
    </w:p>
    <w:p w14:paraId="4D6EE363" w14:textId="77777777" w:rsidR="00171E88" w:rsidRPr="007224C3" w:rsidRDefault="00171E88" w:rsidP="007224C3">
      <w:pPr>
        <w:spacing w:after="0" w:line="240" w:lineRule="auto"/>
        <w:jc w:val="both"/>
        <w:rPr>
          <w:rFonts w:ascii="Times New Roman" w:hAnsi="Times New Roman"/>
          <w:color w:val="000000" w:themeColor="text1"/>
          <w:sz w:val="16"/>
          <w:szCs w:val="16"/>
        </w:rPr>
      </w:pPr>
    </w:p>
    <w:p w14:paraId="32163318"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18B2E94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2ACF0B0" w14:textId="77777777" w:rsidR="00171E88" w:rsidRPr="007224C3" w:rsidRDefault="00171E88"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lastRenderedPageBreak/>
        <w:t>20  января</w:t>
      </w:r>
      <w:r w:rsidRPr="007224C3">
        <w:rPr>
          <w:rFonts w:ascii="Times New Roman" w:hAnsi="Times New Roman"/>
          <w:color w:val="000000" w:themeColor="text1"/>
          <w:sz w:val="16"/>
          <w:szCs w:val="16"/>
        </w:rPr>
        <w:t xml:space="preserve"> в 1944 году оперативная сводка Совинформбюро:</w:t>
      </w:r>
    </w:p>
    <w:p w14:paraId="5F9A4EE0" w14:textId="77777777" w:rsidR="00171E88" w:rsidRPr="007224C3" w:rsidRDefault="00171E8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20 января войска Ленинградского фронта продолжали развивать успешное наступление и овладели городом и железнодорожным узлом Урицк (Лигово), а также с боями заняли населённые пункты Тималово, Большой и Малый Симоногонт, Сашино, Беззаботный, Стрельна, посёлок Володарского, Сосновая Поляна, посёлок Ленина, Рюмки, Иннолово, Ниукази, Малое и Большое Никкарово, Куттузи, Капорская, Алакюля, Коцелово, Михайловка, Расколово, Нижняя. Войска, наступающие из района Пулково, соединились с войсками,наступающими из района южнее Ораниенбаума. Отдельные разрозненные группы разгромленных немецко-фашистских частей окружены нашими войсками и уничтожаются.</w:t>
      </w:r>
    </w:p>
    <w:p w14:paraId="3DD0D765" w14:textId="77777777" w:rsidR="00171E88" w:rsidRPr="007224C3" w:rsidRDefault="00171E8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Ленинградского фронта с 14 по 20 января захватили следующие трофеи: орудий разных калибров — 265, в том числе 85 тяжёлых орудий из артиллерийской группы, обстреливавшей Ленинград, танков — 30, миномётов — 159, пулемётов — 274, складов с боеприпасами и вооружением — 18.</w:t>
      </w:r>
    </w:p>
    <w:p w14:paraId="0FE40660" w14:textId="77777777" w:rsidR="00171E88" w:rsidRPr="007224C3" w:rsidRDefault="00171E8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Количество убитых немецких солдат и офицеров увеличилось до 25.000.</w:t>
      </w:r>
    </w:p>
    <w:p w14:paraId="39D54BB2" w14:textId="77777777" w:rsidR="00171E88" w:rsidRPr="007224C3" w:rsidRDefault="00171E8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Волховского фронта в результате умелого обходного манёвра 20 января штурмом овладели городом Новгород. Продолжая развивать наступление, войска фронта овладели населёнными пунктами Долгово, Старая Мельница, Большое Ляпино, Горынево, железнодорожной станцией Нащи и вели успешные бои по ликвидации окружённых частей противника в лесах западнее Новгорода.</w:t>
      </w:r>
    </w:p>
    <w:p w14:paraId="46C5B5B1" w14:textId="77777777" w:rsidR="00171E88" w:rsidRPr="007224C3" w:rsidRDefault="00171E8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ходе наступления войска Волховского фронта захватили трофеи: орудий разных калибров — 182, в том числе 16 самоходных, миномётов — 120, в том числе 16 шестиствольных, пулемётов — 635, автомашин — 263, тягачей — 21, складов с военным имуществом — 28. Уничтожено: орудий разных калибров — 178 и, кроме того, самоходных орудий — 20, танков — 16, миномётов — 110, пулемётов — 365, автомашин— 350.</w:t>
      </w:r>
    </w:p>
    <w:p w14:paraId="29D832D3" w14:textId="77777777" w:rsidR="00171E88" w:rsidRPr="007224C3" w:rsidRDefault="00171E8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Захвачено в плен более 3.000 немецких солдат и офицеров.</w:t>
      </w:r>
    </w:p>
    <w:p w14:paraId="6622953A" w14:textId="77777777" w:rsidR="00171E88" w:rsidRPr="007224C3" w:rsidRDefault="00171E8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Противник оставил на поле боя до 15.000 трупов солдат и офицеров.</w:t>
      </w:r>
    </w:p>
    <w:p w14:paraId="57C3C456" w14:textId="77777777" w:rsidR="00171E88" w:rsidRPr="007224C3" w:rsidRDefault="00171E8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Севернее Христиновка наши войска успешно отбили контратаки пехоты и танков противника.</w:t>
      </w:r>
    </w:p>
    <w:p w14:paraId="0C4FF129" w14:textId="77777777" w:rsidR="00171E88" w:rsidRPr="007224C3" w:rsidRDefault="00171E8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 разведка, артиллерийско-миномётная перестрелка и в ряде пунктов бои местного значения.</w:t>
      </w:r>
    </w:p>
    <w:p w14:paraId="71E3642B" w14:textId="77777777" w:rsidR="00171E88" w:rsidRPr="007224C3" w:rsidRDefault="00171E8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19 января нашими войсками на всех фронтах подбито и уничтожено 94 немецких танка. В воздушных боях и огнём зенитной артиллерии сбито 17 самолётов противника.</w:t>
      </w:r>
    </w:p>
    <w:p w14:paraId="3B86C141" w14:textId="77777777" w:rsidR="00171E88" w:rsidRPr="007224C3" w:rsidRDefault="00171E8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Ленинградского фронта продолжали успешное наступление. Советские подвижные части, стремительно продвигаясь на юго-запад от города Красное Село, соединились с частями, наступавшими южнее Ораниенбаума, и тем самым окружили группу войск противника, расположенную в районе Стрельна. Решительными действиями наши войска овладели городом Урицк (Лигово) и рядом других крупных населённых пунктов. Ликвидируются разобщённые и разрозненные группы немцев. Многие немецкие солдаты и офицеры складывают оружие и сдаются в плен. Захвачено огромное количество различного вооружения и военных материалов.</w:t>
      </w:r>
    </w:p>
    <w:p w14:paraId="3BB0A95D" w14:textId="77777777" w:rsidR="00171E88" w:rsidRPr="007224C3" w:rsidRDefault="00171E8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Наша авиация активно содействовала наступлению наземных войск. В течение дня советские бомбардировщики и штурмовики наносили непрерывные удары по опорным пунктам, подходящим резервам, скоплениям войск и транспорта противника. Врезультате этих ударов наша авиация нанесла тяжёлый урон немецко-фашистским войскам.</w:t>
      </w:r>
    </w:p>
    <w:p w14:paraId="035E2AF5" w14:textId="77777777" w:rsidR="00171E88" w:rsidRPr="007224C3" w:rsidRDefault="00171E8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Волховского фронта продолжали развивать успешное наступление. Наши войска, действующие севернее Новгорода, совершили умелый обходный манёвр и, овладев железнодорожной станцией Нащи, перерезали железную дорогу Новгород —Батецкая. Стремительно продвигаясь вперёд, советские части оседлали последнее шоссе, по которому немцы могли отступить на запад из района Новгорода. В это же время вышли на шоссе и наши части, действовавшие южнее Новгорода. Таким образом, противнику были отрезаны все пути отхода. Завершив эту операцию, советские войска сегодня штурмом овладели важнейшим хозяйственно-политическим центром страны, древним русским городом Новгород. Освобождён от немецких захватчиков крупный железнодорожный узел и узел шоссейных дорог. Части противника, окружённые в лесах западнее Новгорода, уничтожаются нашими войсками.</w:t>
      </w:r>
    </w:p>
    <w:p w14:paraId="4EA2A822" w14:textId="77777777" w:rsidR="00171E88" w:rsidRPr="007224C3" w:rsidRDefault="00171E8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Развивая успех, войска Волховского фронта заняли рад населённых пунктов. Врайоне Сырковских инвалидных домов наши бойцы освободили несколько тысяч советских граждан, которых гитлеровцы угоняли на каторгу в Германию.</w:t>
      </w:r>
    </w:p>
    <w:p w14:paraId="511903DB" w14:textId="77777777" w:rsidR="00171E88" w:rsidRPr="007224C3" w:rsidRDefault="00171E8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Севернее Новосокольники отряд советских лыжников пробрался в тыл противника и стремительно атаковал немецкую артиллерийскую батарею. Лыжники захватили 3 дальнобойных орудия, склад боеприпасов и удержали занятые позиции до подхода основных наших сил.</w:t>
      </w:r>
    </w:p>
    <w:p w14:paraId="47B5CACA" w14:textId="77777777" w:rsidR="00171E88" w:rsidRPr="007224C3" w:rsidRDefault="00171E8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Севернее Христиновки рано утром танки и пехота противника атаковали наши позиции. Вражеские танки были встречены огнём артиллерийских батарей и бронебойщиков и быстро вышли из боя. Немецкая пехота, оставшаяся без прикрытия танков, была смята нашими бойцами и в большей своей части уничтожена. В середине дня гитлеровцы повторили контратаку, но были отброшены с ещё более тяжёлыми потерями. В этих боях советские части уничтожили до 1.500 немецких солдат и офицеров, подбили и сожгли 32 танка и 9 самоходных орудий. На другом участке наши подразделения окружили и уничтожили две роты гитлеровцев.</w:t>
      </w:r>
    </w:p>
    <w:p w14:paraId="2431863E" w14:textId="77777777" w:rsidR="00171E88" w:rsidRPr="007224C3" w:rsidRDefault="00171E8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Партизанский отряд, действующий в Ленинградской области, в ночь на 10 января совершил внезапное нападение на железнодорожную станцию. Советские патриоты разбили 33 вагона с грузами, взорвали 6 стрелок, 5 крестовин, 250 железнодорожных рельсов и военный склад противника. Уничтожено 52 гитлеровца, охранявших станцию.</w:t>
      </w:r>
    </w:p>
    <w:p w14:paraId="1AF7D0B7" w14:textId="77777777" w:rsidR="00171E88" w:rsidRPr="007224C3" w:rsidRDefault="00171E8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Крымскими партизанами захвачен в плен ефрейтор 11 роты 615 немецкого полка Йозеф Вольдкер. Пленный рассказал: «Под предлогом эвакуации гражданского населения немецкие военные власти в Крыму вывозят на баржах тысячи мирных жителей в открытое море и топят их. В ночь на 7 декабря 1943 года в Евпаторийском порту специальная команда эсэсовцев погрузила на баржу большую группу советских граждан, насильно эвакуированных немцами с Кубани. Через несколько часов все эти люди были потоплены. Восьмого декабря близ Севастополя потоплено 5 тысяч заключенных, содержавшихся в городских тюрьмах гестапо. На днях по распоряжению военных властей была вывезена в море и потоплена группа раненых советских военнопленных».</w:t>
      </w:r>
    </w:p>
    <w:p w14:paraId="300ECE4E" w14:textId="77777777" w:rsidR="00171E88" w:rsidRPr="007224C3" w:rsidRDefault="00171E8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Показания пленного немецкого солдата свидетельствуют о чудовищных злодеяниях, которые творят немецко-фашистские мерзавцы над мирными жителями Крыма и ранеными бойцами, попавшими в плен к немцам. Немецкие изверги вывозят на баржах в море беззащитных советских граждан и топят их. Окружённые в Крыму немецкие разбойники не уйдут от самой суровой ответственности за это новое злодеяние, совершённое ими на советской земле.» (15015).</w:t>
      </w:r>
    </w:p>
    <w:p w14:paraId="430D474D" w14:textId="77777777" w:rsidR="00171E88" w:rsidRPr="007224C3" w:rsidRDefault="00171E88" w:rsidP="007224C3">
      <w:pPr>
        <w:spacing w:after="0" w:line="240" w:lineRule="auto"/>
        <w:jc w:val="both"/>
        <w:rPr>
          <w:rFonts w:ascii="Times New Roman" w:hAnsi="Times New Roman"/>
          <w:color w:val="000000" w:themeColor="text1"/>
          <w:sz w:val="16"/>
          <w:szCs w:val="16"/>
        </w:rPr>
      </w:pPr>
    </w:p>
    <w:p w14:paraId="6F751AF4" w14:textId="77777777" w:rsidR="00171E88" w:rsidRPr="007224C3" w:rsidRDefault="00171E88"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20  января</w:t>
      </w:r>
      <w:r w:rsidRPr="007224C3">
        <w:rPr>
          <w:rFonts w:ascii="Times New Roman" w:hAnsi="Times New Roman"/>
          <w:color w:val="000000" w:themeColor="text1"/>
          <w:sz w:val="16"/>
          <w:szCs w:val="16"/>
        </w:rPr>
        <w:t xml:space="preserve"> в 1944 году войска Ленинградского и Волховского фронтов завершили разгром фланговых группировок 18-й немецкой армии. Войска 59-й армии Волховского фронта (совместно с 7-м стрелковым корпусом) окружили части новгородской группировки немцев, отразили их попытки вырваться из окружения и освободили Новгород (15015).</w:t>
      </w:r>
    </w:p>
    <w:p w14:paraId="7A97F581" w14:textId="77777777" w:rsidR="00171E88" w:rsidRPr="007224C3" w:rsidRDefault="00171E88" w:rsidP="007224C3">
      <w:pPr>
        <w:spacing w:after="0" w:line="240" w:lineRule="auto"/>
        <w:jc w:val="both"/>
        <w:rPr>
          <w:rFonts w:ascii="Times New Roman" w:hAnsi="Times New Roman"/>
          <w:color w:val="000000" w:themeColor="text1"/>
          <w:sz w:val="16"/>
          <w:szCs w:val="16"/>
        </w:rPr>
      </w:pPr>
    </w:p>
    <w:p w14:paraId="32B2413D"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января 1944 советские войска освободили Новгород (4962).</w:t>
      </w:r>
    </w:p>
    <w:p w14:paraId="7B7D7FDF"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89F8F7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January 20, 1944: On the Northern front in Russia, the Red Army recaptures Novgorod. The RAF launches a heavy attack (700 bombers) against Berlin (3819).</w:t>
      </w:r>
    </w:p>
    <w:p w14:paraId="3C50837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7CFD93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 xml:space="preserve">20 </w:t>
      </w:r>
      <w:r w:rsidRPr="007224C3">
        <w:rPr>
          <w:rFonts w:ascii="Times New Roman" w:hAnsi="Times New Roman"/>
          <w:color w:val="000000" w:themeColor="text1"/>
          <w:sz w:val="16"/>
          <w:szCs w:val="16"/>
        </w:rPr>
        <w:t>января</w:t>
      </w:r>
      <w:r w:rsidRPr="007224C3">
        <w:rPr>
          <w:rFonts w:ascii="Times New Roman" w:hAnsi="Times New Roman"/>
          <w:color w:val="000000" w:themeColor="text1"/>
          <w:sz w:val="16"/>
          <w:szCs w:val="16"/>
          <w:lang w:val="en-US"/>
        </w:rPr>
        <w:t xml:space="preserve"> 1944 </w:t>
      </w:r>
      <w:r w:rsidRPr="007224C3">
        <w:rPr>
          <w:rFonts w:ascii="Times New Roman" w:hAnsi="Times New Roman"/>
          <w:color w:val="000000" w:themeColor="text1"/>
          <w:sz w:val="16"/>
          <w:szCs w:val="16"/>
        </w:rPr>
        <w:t>былосвобожденНовгород</w:t>
      </w:r>
      <w:r w:rsidRPr="007224C3">
        <w:rPr>
          <w:rFonts w:ascii="Times New Roman" w:hAnsi="Times New Roman"/>
          <w:color w:val="000000" w:themeColor="text1"/>
          <w:sz w:val="16"/>
          <w:szCs w:val="16"/>
          <w:lang w:val="en-US"/>
        </w:rPr>
        <w:t xml:space="preserve"> (1348,224).</w:t>
      </w:r>
    </w:p>
    <w:p w14:paraId="7BCC4E1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7DDD7F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января 1944 года 19-й КИАП (с августа 1944 года - 176-й ГИАП) под командованием Героя Советского Союза полковника Л.Л. Шестакова в составе 40 экипажей, полностью укомплектованный и оттренированныи на 1-й Украинском фронте при</w:t>
      </w:r>
      <w:r w:rsidRPr="007224C3">
        <w:rPr>
          <w:rFonts w:ascii="Times New Roman" w:hAnsi="Times New Roman"/>
          <w:color w:val="000000" w:themeColor="text1"/>
          <w:sz w:val="16"/>
          <w:szCs w:val="16"/>
        </w:rPr>
        <w:softHyphen/>
        <w:t>ступил к боевым действиям с аэро</w:t>
      </w:r>
      <w:r w:rsidRPr="007224C3">
        <w:rPr>
          <w:rFonts w:ascii="Times New Roman" w:hAnsi="Times New Roman"/>
          <w:color w:val="000000" w:themeColor="text1"/>
          <w:sz w:val="16"/>
          <w:szCs w:val="16"/>
        </w:rPr>
        <w:softHyphen/>
        <w:t>дрома Журбинцы (10714).</w:t>
      </w:r>
    </w:p>
    <w:p w14:paraId="44B2534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831A802"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Внешняя политика:</w:t>
      </w:r>
    </w:p>
    <w:p w14:paraId="740706B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C99072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января 1944 года</w:t>
      </w:r>
    </w:p>
    <w:p w14:paraId="25B41C0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ЛИЧНО И СЕКРЕТНО ОТ ПРЕМЬЕРА И. В. СТАЛИНА ПРЕМЬЕР-МИНИСТРУ У. ЧЕРЧИЛЛЮ</w:t>
      </w:r>
    </w:p>
    <w:p w14:paraId="09A4804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Выражаю Вам признательность за сообщение о Вашем решении направить в середине марта в Советский Союз дополнительный конвой из 20 судов, сверх предусмотренных ранее. Это будет весьма ценно для нашего фронта (7430).</w:t>
      </w:r>
    </w:p>
    <w:p w14:paraId="06DAED8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D8236D"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59D3C0F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B9EE90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января 1944 Королевские ВВС с использованием 700 бомбардировщиков совершили налет на Берлин (3819).</w:t>
      </w:r>
    </w:p>
    <w:p w14:paraId="0A5E597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9B9667" w14:textId="62E08381" w:rsidR="00171E88" w:rsidRPr="007224C3" w:rsidRDefault="00171E88"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20 января</w:t>
      </w:r>
      <w:r w:rsidRPr="007224C3">
        <w:rPr>
          <w:rFonts w:ascii="Times New Roman" w:hAnsi="Times New Roman"/>
          <w:color w:val="000000" w:themeColor="text1"/>
          <w:sz w:val="16"/>
          <w:szCs w:val="16"/>
        </w:rPr>
        <w:t xml:space="preserve"> в 1944 году массированная бомбардировка британскими ВВС Берлина. ВВС Великобритании сбрасывают 2,300 тонн бомб на Берлин (15015).</w:t>
      </w:r>
    </w:p>
    <w:p w14:paraId="4BE5DBA3" w14:textId="77777777" w:rsidR="00171E88" w:rsidRPr="007224C3" w:rsidRDefault="00171E88" w:rsidP="007224C3">
      <w:pPr>
        <w:spacing w:after="0" w:line="240" w:lineRule="auto"/>
        <w:jc w:val="both"/>
        <w:rPr>
          <w:rFonts w:ascii="Times New Roman" w:hAnsi="Times New Roman"/>
          <w:color w:val="000000" w:themeColor="text1"/>
          <w:sz w:val="16"/>
          <w:szCs w:val="16"/>
        </w:rPr>
      </w:pPr>
    </w:p>
    <w:p w14:paraId="0BA0BB61" w14:textId="77777777" w:rsidR="00D549FB" w:rsidRPr="007224C3" w:rsidRDefault="00D549FB"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20–21 января (ночь) 1944 769 британских бомбардировщиков совершают налет на Берлин. Немецкие ночные истребители рано перехватывают их, и 35 бомбардировщиков (4,6% сил) потеряны. Берлин полностью закрыт облаками, и результаты рейда неизвестны (20373).</w:t>
      </w:r>
    </w:p>
    <w:p w14:paraId="30411E27" w14:textId="77777777" w:rsidR="00D549FB" w:rsidRPr="007224C3" w:rsidRDefault="00D549FB" w:rsidP="007224C3">
      <w:pPr>
        <w:spacing w:after="0" w:line="240" w:lineRule="auto"/>
        <w:jc w:val="both"/>
        <w:rPr>
          <w:rFonts w:ascii="Times New Roman" w:hAnsi="Times New Roman"/>
          <w:color w:val="0070C0"/>
          <w:sz w:val="16"/>
          <w:szCs w:val="16"/>
        </w:rPr>
      </w:pPr>
    </w:p>
    <w:p w14:paraId="4D2E948F" w14:textId="77777777" w:rsidR="00D549FB" w:rsidRPr="007224C3" w:rsidRDefault="00D549FB"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 xml:space="preserve">20 января 1944 вечером с аэродрома Шатоден во Франции взлетели тридцать Не 177А. Они набрали высоту 7000 м не считаясь с тем, что радары противника обнаружат их еще над Францией. На подходе к Лондону Не 177 перешли в пологое пике и, разогнавшись до скорости 680 км/ч, оторвались от истребителей, не смогли вести </w:t>
      </w:r>
      <w:r w:rsidRPr="007224C3">
        <w:rPr>
          <w:rFonts w:ascii="Times New Roman" w:hAnsi="Times New Roman"/>
          <w:color w:val="0070C0"/>
          <w:sz w:val="16"/>
          <w:szCs w:val="16"/>
        </w:rPr>
        <w:lastRenderedPageBreak/>
        <w:t>прицельный огонь и зенитчики. «Томми», рассчитывая перехватить группу на пути возвращения, выслали истребителей на маршрут, которым «хейнкели» прилетели из Шатодена, но те воспользовались американским приемом челночных полетов и вместо разворота пошли на север, прошли ПВО там, где их никто не ждал, и в полном составе приземлились на аэродромах Рейнской области Германии, противник даже не смог отследить, куда же они делись. Следующий вылет был выполнен обратным порядком столь же успешно (22839).</w:t>
      </w:r>
    </w:p>
    <w:p w14:paraId="0F061C5A" w14:textId="77777777" w:rsidR="00D549FB" w:rsidRPr="007224C3" w:rsidRDefault="00D549FB" w:rsidP="007224C3">
      <w:pPr>
        <w:spacing w:after="0" w:line="240" w:lineRule="auto"/>
        <w:jc w:val="both"/>
        <w:rPr>
          <w:rFonts w:ascii="Times New Roman" w:hAnsi="Times New Roman"/>
          <w:color w:val="0070C0"/>
          <w:sz w:val="16"/>
          <w:szCs w:val="16"/>
        </w:rPr>
      </w:pPr>
    </w:p>
    <w:p w14:paraId="4C27DD79" w14:textId="5A21E0E6" w:rsidR="00171E88" w:rsidRPr="007224C3" w:rsidRDefault="00171E88"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20 января</w:t>
      </w:r>
      <w:r w:rsidRPr="007224C3">
        <w:rPr>
          <w:rFonts w:ascii="Times New Roman" w:hAnsi="Times New Roman"/>
          <w:color w:val="000000" w:themeColor="text1"/>
          <w:sz w:val="16"/>
          <w:szCs w:val="16"/>
        </w:rPr>
        <w:t xml:space="preserve"> в 1944 году Черчилль на переговорах с представителями польского эмигрантского правительства высказался за установление польских границ на западе по т.н. «линии Керзона» (15015).</w:t>
      </w:r>
    </w:p>
    <w:p w14:paraId="30683BF5" w14:textId="77777777" w:rsidR="00171E88" w:rsidRPr="007224C3" w:rsidRDefault="00171E88" w:rsidP="007224C3">
      <w:pPr>
        <w:spacing w:after="0" w:line="240" w:lineRule="auto"/>
        <w:jc w:val="both"/>
        <w:rPr>
          <w:rFonts w:ascii="Times New Roman" w:hAnsi="Times New Roman"/>
          <w:color w:val="000000" w:themeColor="text1"/>
          <w:sz w:val="16"/>
          <w:szCs w:val="16"/>
        </w:rPr>
      </w:pPr>
    </w:p>
    <w:p w14:paraId="29D0E70B"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4E3C5DF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CECFBA8" w14:textId="77777777" w:rsidR="00961B62" w:rsidRPr="007224C3" w:rsidRDefault="00961B62" w:rsidP="007224C3">
      <w:pPr>
        <w:spacing w:after="0" w:line="240" w:lineRule="auto"/>
        <w:jc w:val="both"/>
        <w:textAlignment w:val="top"/>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21 января 1944 вышел приказ НКАП</w:t>
      </w:r>
    </w:p>
    <w:p w14:paraId="2A7F47B4" w14:textId="77777777" w:rsidR="00961B62" w:rsidRPr="007224C3" w:rsidRDefault="00961B62" w:rsidP="007224C3">
      <w:pPr>
        <w:spacing w:after="0" w:line="240" w:lineRule="auto"/>
        <w:jc w:val="both"/>
        <w:textAlignment w:val="top"/>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О результатах испытаний эталонных самолетов. Упоминаются Ил-2 30го з-да N2804 и Ил-2 1го з-да N7964 (19706).</w:t>
      </w:r>
    </w:p>
    <w:p w14:paraId="6FEE9EFA" w14:textId="77777777" w:rsidR="00961B62" w:rsidRPr="007224C3" w:rsidRDefault="00961B62" w:rsidP="007224C3">
      <w:pPr>
        <w:spacing w:after="0" w:line="240" w:lineRule="auto"/>
        <w:jc w:val="both"/>
        <w:textAlignment w:val="top"/>
        <w:rPr>
          <w:rFonts w:ascii="Times New Roman" w:eastAsia="Times New Roman" w:hAnsi="Times New Roman"/>
          <w:color w:val="000000" w:themeColor="text1"/>
          <w:sz w:val="16"/>
          <w:szCs w:val="16"/>
          <w:lang w:eastAsia="ru-RU"/>
        </w:rPr>
      </w:pPr>
    </w:p>
    <w:p w14:paraId="3055CDD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 января 1944 вышел приказ N 2 по 10 ГУ:</w:t>
      </w:r>
    </w:p>
    <w:p w14:paraId="66C57B1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результате проведенной работы по повышению качества изготовления самолета Ил-10 и улучшения его аэродинамики завод 30 добился заметных результатов по улучшению ЛТД выпускаемых самолетов. При гос испытаниях эталонного серийного самолета N 2804 завода 30 получена макс. гор. скорость у земли, равная 392 км/час и на границе высотность - 410 км/час, т.е. выше скоростей, предусмотренных ТУ.</w:t>
      </w:r>
    </w:p>
    <w:p w14:paraId="41108CC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Несмотря на то, что завод 1 также провел работу по повышению качества выпускаемых самолетов Ил-2 и внес в серийный самолет основные улучшения по аэродинамике, проведенные заводом 30, гос. испытания эталонного самолета N 7964 завода 1 выявили значительно худшие результаты по основным ЛТД самолета: макс. скорость у земли при тех же условиях работы мотора с новым винтом АВ-5Л-158В получилась равной 384 км/час и на границе высотности - 404 км/час, т.е. ниже скоростей, достигнутых заводом 30.</w:t>
      </w:r>
    </w:p>
    <w:p w14:paraId="32F5A38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Испытанный самолет завода 1 не утвержден НИИ ВВС как эталон из-за неудовлетворительного производственного испполнения:</w:t>
      </w:r>
    </w:p>
    <w:p w14:paraId="149062B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неудовлетворительной отделки поверхности крыла, уступающего по качеству самолету завода 30 (обшивка имеет волнистость, лонжероны выступают из-под обшивки, плохо подогнаны лючки и т.д.</w:t>
      </w:r>
    </w:p>
    <w:p w14:paraId="0226ED8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большое трение в механизме посадочных щитков, не открывающихся нормально в полете.</w:t>
      </w:r>
    </w:p>
    <w:p w14:paraId="2A741E7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неудовлетворительной работы теромозов.</w:t>
      </w:r>
    </w:p>
    <w:p w14:paraId="43C2098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 небрежный монтаж спецоборудования и др. дефекты.</w:t>
      </w:r>
    </w:p>
    <w:p w14:paraId="05F3B33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целях улучшения ЛТД серийных самолетов Ил-2, выпускаемых заводом 1.</w:t>
      </w:r>
    </w:p>
    <w:p w14:paraId="7130246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Директору завода 1 А.Т.Третьякову:</w:t>
      </w:r>
    </w:p>
    <w:p w14:paraId="5EF10C7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Устранить на серийном самолете Ил-2 дефекты его производственного выполнения, отмеченные в акте НИИ ВВС по испытаниям самолета N 7964 от 18 ноября 1943 N 0265.</w:t>
      </w:r>
    </w:p>
    <w:p w14:paraId="6078CA2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Провести все улучшения по аэродинамике самолета, подтвержденные заводом 30 на эталонной машине N 2804.</w:t>
      </w:r>
    </w:p>
    <w:p w14:paraId="14EF796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Обеспечить особо качественную отделку поверхностей крыльев, устранив волнистость и обеспечить тщательную подгонку лючков.</w:t>
      </w:r>
    </w:p>
    <w:p w14:paraId="42124D3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Предъявить эталонный Ил-2 с нормальным винтом АВ-5Л-158 на повторные гос. испытания в НИИ ВВС к 10 февраля 1944." (Кузнецов) (2479,2).</w:t>
      </w:r>
    </w:p>
    <w:p w14:paraId="5328680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2ADD55" w14:textId="77777777" w:rsidR="00961B62" w:rsidRPr="007224C3" w:rsidRDefault="00961B62" w:rsidP="007224C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4C3">
        <w:rPr>
          <w:rFonts w:ascii="Times New Roman" w:eastAsia="TimesNewRomanPSMT" w:hAnsi="Times New Roman"/>
          <w:iCs/>
          <w:color w:val="000000" w:themeColor="text1"/>
          <w:sz w:val="16"/>
          <w:szCs w:val="16"/>
        </w:rPr>
        <w:t>21 января 1944 г.</w:t>
      </w:r>
    </w:p>
    <w:p w14:paraId="1779E018" w14:textId="77777777" w:rsidR="00961B62" w:rsidRPr="007224C3" w:rsidRDefault="00961B62" w:rsidP="007224C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4C3">
        <w:rPr>
          <w:rFonts w:ascii="Times New Roman" w:eastAsia="TimesNewRomanPSMT" w:hAnsi="Times New Roman"/>
          <w:iCs/>
          <w:color w:val="000000" w:themeColor="text1"/>
          <w:sz w:val="16"/>
          <w:szCs w:val="16"/>
        </w:rPr>
        <w:t>Докладная записка главного конструктора завода № 477</w:t>
      </w:r>
    </w:p>
    <w:p w14:paraId="3996C6DF" w14:textId="77777777" w:rsidR="00961B62" w:rsidRPr="007224C3" w:rsidRDefault="00961B62" w:rsidP="007224C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4C3">
        <w:rPr>
          <w:rFonts w:ascii="Times New Roman" w:eastAsia="TimesNewRomanPSMT" w:hAnsi="Times New Roman"/>
          <w:iCs/>
          <w:color w:val="000000" w:themeColor="text1"/>
          <w:sz w:val="16"/>
          <w:szCs w:val="16"/>
        </w:rPr>
        <w:t>Г.М. Бериева директору завода № 477 И.Я. Рехтману</w:t>
      </w:r>
    </w:p>
    <w:p w14:paraId="68581DCB" w14:textId="77777777" w:rsidR="00961B62" w:rsidRPr="007224C3" w:rsidRDefault="00961B62" w:rsidP="007224C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4C3">
        <w:rPr>
          <w:rFonts w:ascii="Times New Roman" w:eastAsia="TimesNewRomanPSMT" w:hAnsi="Times New Roman"/>
          <w:iCs/>
          <w:color w:val="000000" w:themeColor="text1"/>
          <w:sz w:val="16"/>
          <w:szCs w:val="16"/>
        </w:rPr>
        <w:t>г. Москва 21 января 1944 г.</w:t>
      </w:r>
    </w:p>
    <w:p w14:paraId="177BEB36" w14:textId="77777777" w:rsidR="00961B62" w:rsidRPr="007224C3" w:rsidRDefault="00961B62" w:rsidP="007224C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4C3">
        <w:rPr>
          <w:rFonts w:ascii="Times New Roman" w:eastAsia="TimesNewRomanPSMT" w:hAnsi="Times New Roman"/>
          <w:iCs/>
          <w:color w:val="000000" w:themeColor="text1"/>
          <w:sz w:val="16"/>
          <w:szCs w:val="16"/>
        </w:rPr>
        <w:t>секретно</w:t>
      </w:r>
    </w:p>
    <w:p w14:paraId="07FB30C4" w14:textId="77777777" w:rsidR="00961B62" w:rsidRPr="007224C3" w:rsidRDefault="00961B62" w:rsidP="007224C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4C3">
        <w:rPr>
          <w:rFonts w:ascii="Times New Roman" w:eastAsia="TimesNewRomanPSMT" w:hAnsi="Times New Roman"/>
          <w:iCs/>
          <w:color w:val="000000" w:themeColor="text1"/>
          <w:sz w:val="16"/>
          <w:szCs w:val="16"/>
        </w:rPr>
        <w:t>По приезду в Москву я был на докладе у зам[естителя] наркома тов. Кузнецова А.И., у нач[альни]ка ВВС генерал-полковника Жаворонкова, затем у народного комиссара тов. Шахурина и в ЦК у тов. Суббочева.</w:t>
      </w:r>
    </w:p>
    <w:p w14:paraId="4A8A80E1" w14:textId="77777777" w:rsidR="00961B62" w:rsidRPr="007224C3" w:rsidRDefault="00961B62" w:rsidP="007224C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4C3">
        <w:rPr>
          <w:rFonts w:ascii="Times New Roman" w:eastAsia="TimesNewRomanPSMT" w:hAnsi="Times New Roman"/>
          <w:iCs/>
          <w:color w:val="000000" w:themeColor="text1"/>
          <w:sz w:val="16"/>
          <w:szCs w:val="16"/>
        </w:rPr>
        <w:t>Вчера наркомом завизировано постановление ГКО, в котором по нашему заводу выход первой опытной машины намечен на летные испытания на 1 сентября с.г.</w:t>
      </w:r>
    </w:p>
    <w:p w14:paraId="3E7F21FD" w14:textId="77777777" w:rsidR="00961B62" w:rsidRPr="007224C3" w:rsidRDefault="00961B62" w:rsidP="007224C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4C3">
        <w:rPr>
          <w:rFonts w:ascii="Times New Roman" w:eastAsia="TimesNewRomanPSMT" w:hAnsi="Times New Roman"/>
          <w:iCs/>
          <w:color w:val="000000" w:themeColor="text1"/>
          <w:sz w:val="16"/>
          <w:szCs w:val="16"/>
        </w:rPr>
        <w:t>Наркомом мне было заявлено, поскольку моряки весьма настаивают на быстрейшей постройке опытного объекта (материал макетной комиссии был утвержден адмиралом Кузнецовым), то основной задачей завода № 477 в текущем году является своевременный выпуск опытного объекта.</w:t>
      </w:r>
    </w:p>
    <w:p w14:paraId="2E47B01E" w14:textId="77777777" w:rsidR="00961B62" w:rsidRPr="007224C3" w:rsidRDefault="00961B62" w:rsidP="007224C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4C3">
        <w:rPr>
          <w:rFonts w:ascii="Times New Roman" w:eastAsia="TimesNewRomanPSMT" w:hAnsi="Times New Roman"/>
          <w:iCs/>
          <w:color w:val="000000" w:themeColor="text1"/>
          <w:sz w:val="16"/>
          <w:szCs w:val="16"/>
        </w:rPr>
        <w:t>Вчера же на совещании у тов. Кузнецова А.И. в целях ускорения строительства опытной машины было вынесено решение о сокращении на нашем заводе серийной программы до 20 машин с передачей остальных 30 машин на строительство на завод № 86 в г. Таганроге.</w:t>
      </w:r>
    </w:p>
    <w:p w14:paraId="0F3C3423" w14:textId="77777777" w:rsidR="00961B62" w:rsidRPr="007224C3" w:rsidRDefault="00961B62" w:rsidP="007224C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4C3">
        <w:rPr>
          <w:rFonts w:ascii="Times New Roman" w:eastAsia="TimesNewRomanPSMT" w:hAnsi="Times New Roman"/>
          <w:iCs/>
          <w:color w:val="000000" w:themeColor="text1"/>
          <w:sz w:val="16"/>
          <w:szCs w:val="16"/>
        </w:rPr>
        <w:t>Вопрос о командировании на наш завод 200 квалифицированных рабочих решен положительно, и тов. Кузнецов мне сообщил, что на заводы № №477 и 86 соответствующие указания уже спущены.</w:t>
      </w:r>
    </w:p>
    <w:p w14:paraId="13A8CFE6" w14:textId="77777777" w:rsidR="00961B62" w:rsidRPr="007224C3" w:rsidRDefault="00961B62" w:rsidP="007224C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4C3">
        <w:rPr>
          <w:rFonts w:ascii="Times New Roman" w:eastAsia="TimesNewRomanPSMT" w:hAnsi="Times New Roman"/>
          <w:iCs/>
          <w:color w:val="000000" w:themeColor="text1"/>
          <w:sz w:val="16"/>
          <w:szCs w:val="16"/>
        </w:rPr>
        <w:t>Нужно командировать наших представителей на зав[од] № 86 для реализации этого решения.</w:t>
      </w:r>
    </w:p>
    <w:p w14:paraId="4E3C7256" w14:textId="77777777" w:rsidR="00961B62" w:rsidRPr="007224C3" w:rsidRDefault="00961B62" w:rsidP="007224C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4C3">
        <w:rPr>
          <w:rFonts w:ascii="Times New Roman" w:eastAsia="TimesNewRomanPSMT" w:hAnsi="Times New Roman"/>
          <w:iCs/>
          <w:color w:val="000000" w:themeColor="text1"/>
          <w:sz w:val="16"/>
          <w:szCs w:val="16"/>
        </w:rPr>
        <w:t>В части станочного оборудования и других вопросов я имею указание наркома включить их в приказ по НКАП, реализующий постановление ГКО.</w:t>
      </w:r>
    </w:p>
    <w:p w14:paraId="7FFB2787" w14:textId="77777777" w:rsidR="00961B62" w:rsidRPr="007224C3" w:rsidRDefault="00961B62" w:rsidP="007224C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4C3">
        <w:rPr>
          <w:rFonts w:ascii="Times New Roman" w:eastAsia="TimesNewRomanPSMT" w:hAnsi="Times New Roman"/>
          <w:iCs/>
          <w:color w:val="000000" w:themeColor="text1"/>
          <w:sz w:val="16"/>
          <w:szCs w:val="16"/>
        </w:rPr>
        <w:t>План опытных работ с 7-м и 10-м Главными управлениями я увязал в соответствии с решением у тов. Кузнецова, причем, объем и финансирование опытных работ в объеме, нами представленном.</w:t>
      </w:r>
    </w:p>
    <w:p w14:paraId="61286186" w14:textId="77777777" w:rsidR="00961B62" w:rsidRPr="007224C3" w:rsidRDefault="00961B62" w:rsidP="007224C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4C3">
        <w:rPr>
          <w:rFonts w:ascii="Times New Roman" w:eastAsia="TimesNewRomanPSMT" w:hAnsi="Times New Roman"/>
          <w:iCs/>
          <w:color w:val="000000" w:themeColor="text1"/>
          <w:sz w:val="16"/>
          <w:szCs w:val="16"/>
        </w:rPr>
        <w:t>По вопросу винтов для Бе-4 я с тов. Кизельштейном был у директора завода тов. Казанского и тов. Заславского. Оба обещали в январе – феврале закончить всю годовую программу. Завтра для контроля хода работ по винтам буду на заводе № 27.</w:t>
      </w:r>
    </w:p>
    <w:p w14:paraId="653238B4" w14:textId="77777777" w:rsidR="00961B62" w:rsidRPr="007224C3" w:rsidRDefault="00961B62" w:rsidP="007224C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4C3">
        <w:rPr>
          <w:rFonts w:ascii="Times New Roman" w:eastAsia="TimesNewRomanPSMT" w:hAnsi="Times New Roman"/>
          <w:iCs/>
          <w:color w:val="000000" w:themeColor="text1"/>
          <w:sz w:val="16"/>
          <w:szCs w:val="16"/>
        </w:rPr>
        <w:t>Задержусь в Москве до оформления приказа наркома, возможно, на 2-3 недели. Прошу учесть создавшееся положение с программой и форсировать работы по опытному объекту.</w:t>
      </w:r>
    </w:p>
    <w:p w14:paraId="52B6483A" w14:textId="77777777" w:rsidR="00961B62" w:rsidRPr="007224C3" w:rsidRDefault="00961B62" w:rsidP="007224C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4C3">
        <w:rPr>
          <w:rFonts w:ascii="Times New Roman" w:eastAsia="TimesNewRomanPSMT" w:hAnsi="Times New Roman"/>
          <w:iCs/>
          <w:color w:val="000000" w:themeColor="text1"/>
          <w:sz w:val="16"/>
          <w:szCs w:val="16"/>
        </w:rPr>
        <w:t>Главный конструктор завода подпись Бериев</w:t>
      </w:r>
    </w:p>
    <w:p w14:paraId="35FDB60F" w14:textId="77777777" w:rsidR="00961B62" w:rsidRPr="007224C3" w:rsidRDefault="00961B62" w:rsidP="007224C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4C3">
        <w:rPr>
          <w:rFonts w:ascii="Times New Roman" w:eastAsia="TimesNewRomanPSMT" w:hAnsi="Times New Roman"/>
          <w:iCs/>
          <w:color w:val="000000" w:themeColor="text1"/>
          <w:sz w:val="16"/>
          <w:szCs w:val="16"/>
        </w:rPr>
        <w:t>КГКУ «ГАКК». Ф.Р-1341. Оп. 4. Д. 155. Л. 1. Подлинник. Машинопись (19799).</w:t>
      </w:r>
    </w:p>
    <w:p w14:paraId="613E20E2" w14:textId="77777777" w:rsidR="00961B62" w:rsidRPr="007224C3" w:rsidRDefault="00961B62" w:rsidP="007224C3">
      <w:pPr>
        <w:autoSpaceDE w:val="0"/>
        <w:autoSpaceDN w:val="0"/>
        <w:adjustRightInd w:val="0"/>
        <w:spacing w:after="0" w:line="240" w:lineRule="auto"/>
        <w:jc w:val="both"/>
        <w:rPr>
          <w:rFonts w:ascii="Times New Roman" w:eastAsia="TimesNewRomanPSMT" w:hAnsi="Times New Roman"/>
          <w:iCs/>
          <w:color w:val="000000" w:themeColor="text1"/>
          <w:sz w:val="16"/>
          <w:szCs w:val="16"/>
        </w:rPr>
      </w:pPr>
    </w:p>
    <w:p w14:paraId="27806A3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 января 1944 года управляющий делами Совнарокма Я. Чадаев писал письмо № 33-1 в НКАП Шахурину А.И.</w:t>
      </w:r>
    </w:p>
    <w:p w14:paraId="0477EAA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Направляю на Ваше заключение письмо о передаче НК текстилю филиала завода № 454 (8933).</w:t>
      </w:r>
    </w:p>
    <w:p w14:paraId="0772736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C2ACC8"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636B577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808204B"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 января 1944 вышло Постановление ГКО № 4996 О плане распределения острого пара, отпускаемого электростанциями Наркомата электростанций для технологических нужд промышленных предприятий на I квартал 1944 г. (7176, 147-148,149-150).</w:t>
      </w:r>
    </w:p>
    <w:p w14:paraId="5ACB9478"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F0B9469" w14:textId="77777777" w:rsidR="003712D9" w:rsidRPr="007224C3" w:rsidRDefault="00694509" w:rsidP="007224C3">
      <w:pPr>
        <w:widowControl w:val="0"/>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0A4971AA"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p>
    <w:p w14:paraId="3E9A415A" w14:textId="77777777" w:rsidR="00171E88" w:rsidRPr="007224C3" w:rsidRDefault="00171E88"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21 января</w:t>
      </w:r>
      <w:r w:rsidRPr="007224C3">
        <w:rPr>
          <w:rFonts w:ascii="Times New Roman" w:hAnsi="Times New Roman"/>
          <w:color w:val="000000" w:themeColor="text1"/>
          <w:sz w:val="16"/>
          <w:szCs w:val="16"/>
        </w:rPr>
        <w:t xml:space="preserve"> в 1944 году оперативная сводка Совинформбюро:</w:t>
      </w:r>
    </w:p>
    <w:p w14:paraId="3EC9F52F" w14:textId="77777777" w:rsidR="00171E88" w:rsidRPr="007224C3" w:rsidRDefault="00171E8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21 января юго-западнее и южнее Красное Село наши войска продолжали наступление и овладели населёнными пунктами Глухово, Витино, Рях-Мози, Келози, Пелля, Ряхкелево, Мулдия, Русско-Высоцкое, Телизи, Лагола, Кайнелайзи, Скворицы, Аропаккози, Малая Ивановка. Нашими войсками полностью ликвидированы окружённые в предыдущих боях разрозненные группы разгромленных немецко-фашистских частей.</w:t>
      </w:r>
    </w:p>
    <w:p w14:paraId="64CFDD98" w14:textId="77777777" w:rsidR="00171E88" w:rsidRPr="007224C3" w:rsidRDefault="00171E8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Северо-восточнее Тосно наши войска перешли в наступление и, сломив сопротивление противника, овладели городом и железнодорожным узлом Мга, а также с боями заняли населённые пункты Петрушино, Павлово, Мустолово, Цнигри, Келколово, Посёлок 1-й Эстонский, Посёлок Михайловский, Тортолово, Мишкино, Славянка, Карбусель, Лодва, Виняголово и железнодорожную станцию Апраксин.</w:t>
      </w:r>
    </w:p>
    <w:p w14:paraId="1575020A" w14:textId="77777777" w:rsidR="00171E88" w:rsidRPr="007224C3" w:rsidRDefault="00171E8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Новгорода наши войска продолжали развивать наступление и заняли несколько населённых пунктов и уничтожали разрозненные группы противника, окружённые в лесах западнее города Новгорода.</w:t>
      </w:r>
    </w:p>
    <w:p w14:paraId="44DBE9BD" w14:textId="77777777" w:rsidR="00171E88" w:rsidRPr="007224C3" w:rsidRDefault="00171E8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Северо-западнее Калинковичи наши войска вели наступательные бои, в ходе которых овладели районным центром Полесской области Озаричи, а также заняли несколько других населённых пунктов и среди них Остров, Рыловичи, Хомичи, Виша, Савичи, Березняки, Пески, Капличи.</w:t>
      </w:r>
    </w:p>
    <w:p w14:paraId="43A2C2AA" w14:textId="77777777" w:rsidR="00171E88" w:rsidRPr="007224C3" w:rsidRDefault="00171E8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 разведка, артиллерийско-миномётная перестрелка ив ряде пунктов бои местного значения.</w:t>
      </w:r>
    </w:p>
    <w:p w14:paraId="5612C6C7" w14:textId="77777777" w:rsidR="00171E88" w:rsidRPr="007224C3" w:rsidRDefault="00171E8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20 января наши войска на всех фронтах подбили и уничтожили 51 немецкий танк.</w:t>
      </w:r>
    </w:p>
    <w:p w14:paraId="2960A406" w14:textId="77777777" w:rsidR="00171E88" w:rsidRPr="007224C3" w:rsidRDefault="00171E8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Юго-западнее и южнее города Красное Село наши войска продолжали успешное наступление. Под непрерывными ударами советских войск противник откатывается в южном направлении, оставляя одну укреплённую позицию за другой. С боями продвигаясь вперёд, части Н-ского соединения уничтожили свыше 2.000 немецких </w:t>
      </w:r>
      <w:r w:rsidRPr="007224C3">
        <w:rPr>
          <w:rFonts w:ascii="Times New Roman" w:hAnsi="Times New Roman"/>
          <w:color w:val="000000" w:themeColor="text1"/>
          <w:sz w:val="16"/>
          <w:szCs w:val="16"/>
        </w:rPr>
        <w:lastRenderedPageBreak/>
        <w:t>солдат и офицеров и захватили 29 орудий, а также несколько складов с вооружением, боеприпасами и военным имуществом. Бойцы другого нашего соединения разгромили полк вражеской пехоты и захватили трофеи и пленных.</w:t>
      </w:r>
    </w:p>
    <w:p w14:paraId="7B814AF3" w14:textId="77777777" w:rsidR="00171E88" w:rsidRPr="007224C3" w:rsidRDefault="00171E8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Северо-восточнее Тосно наши войска перешли в наступление. Преодолев долговременные оборонительные сооружения, которые немцы совершенствовали в течение более двух лет, советские части стремительно продвинулись вперёд и овладели районным центром Ленинградской области и важным железнодорожным узлом —городом Мга. Развивая успех, наши войска расширили фронт прорыва и заняли ряд других населённых пунктов. Разбитые части противника отступают, бросая своё оружие. Захвачено значительное число пленных.</w:t>
      </w:r>
    </w:p>
    <w:p w14:paraId="2A254523" w14:textId="77777777" w:rsidR="00171E88" w:rsidRPr="007224C3" w:rsidRDefault="00171E8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Новгорода наши войска продолжали развивать наступление. На отдельных участках немцы оказывают упорное сопротивление, но не выдерживают ударов советской пехоты. Части Н-ского соединения, с боями продвигаясь вперёд, заняли несколько населённых пунктов. В бою за один сильно укреплённый пункт уничтожено два батальона гитлеровцев. Захвачено у немцев 3 танка, 2 самоходных орудия, 8 шестиствольных миномётов, 62 пулемёта и другие трофеи. Взяты пленные. На другом участке противник перешёл в контратаку. Советские подразделения встретили гитлеровцев перекрёстным огнём и вынудили их залечь. Затем наши бойцы стремительно выдвинулись на фланги немцев и одновременными ударами с трёх сторон разгромили их. На поле боя осталось свыше 800 вражеских трупов.</w:t>
      </w:r>
    </w:p>
    <w:p w14:paraId="72DA291A" w14:textId="77777777" w:rsidR="00171E88" w:rsidRPr="007224C3" w:rsidRDefault="00171E8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Севернее Новосокольников на одном участке батальон пехоты, четыре танка и три самоходных орудия противника предприняли контратаку. Гвардейцы-бронебойщики т.т. Кузеев, Лобастов и Семенков подпустили немцев на близкое расстояние, открыли огонь и подбили танк и два самоходных орудия «Фердинанд». Командир взвода противотанковых ружей т. Пивес подбил ещё одно самоходное орудие. Под ружейно-пулемётным огнём наших подразделений гитлеровцы с потерями отошли на исходные позиции.</w:t>
      </w:r>
    </w:p>
    <w:p w14:paraId="3667BF09" w14:textId="77777777" w:rsidR="00171E88" w:rsidRPr="007224C3" w:rsidRDefault="00171E8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Северо-западнее Калинковичи наши войска вели наступательные бои. Ожесточённый бой разгорелся за населённый пункт Озаричи. Противник сильно укрепил этот пункт, превратив его в важный узел обороны. Советские части сломили сопротивление немцев и заняли районный центр Полесской области Озаричи. На подступах и на улицах села осталось свыше 1.000 вражеских трупов. Уничтожено 7 немецких танков, 16 артиллерийских и миномётных батарей. Захвачены трофеи и пленные.</w:t>
      </w:r>
    </w:p>
    <w:p w14:paraId="45188806" w14:textId="77777777" w:rsidR="00171E88" w:rsidRPr="007224C3" w:rsidRDefault="00171E8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города Новоград-Волынский немецкая мотопехота и танки атаковали наши позиции. После неоднократных атак противнику удалось занять один населённый пункт. Наши артиллеристы, танкисты и пехотинцы контрударом к исходу дня отбросили немцев на исходные позиции и полностью восстановили положение. На поле боя осталось 400 вражеских трупов, 24 сожжённых и подбитых танка, 2 бронемашиныи 6 бронетранспортёров.</w:t>
      </w:r>
    </w:p>
    <w:p w14:paraId="59271A28" w14:textId="77777777" w:rsidR="00171E88" w:rsidRPr="007224C3" w:rsidRDefault="00171E8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Бойцы береговой обороны Черноморского флота захватили немецкий самолёт «Ю-88», сделавший вынужденную посадку на нашей территории.</w:t>
      </w:r>
    </w:p>
    <w:p w14:paraId="4C23516A" w14:textId="77777777" w:rsidR="00171E88" w:rsidRPr="007224C3" w:rsidRDefault="00171E8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Партизанский отряд, действующий в Волынской области, 4 января подорвал на минах немецкий эшелон с горючим. В результате крушения и последовавшего за ним пожара уничтожены паровоз и 6 цистерн с бензином. Движение поездов на этом участке было прекращено на сутки. Партизаны другого волынского отряда пустили под откос два вражеских эшелона. Разбито два паровоза и 13 вагонов. Убито и ранено свыше 100 немецких солдат и офицеров.» (15016).</w:t>
      </w:r>
    </w:p>
    <w:p w14:paraId="01F72408" w14:textId="77777777" w:rsidR="00171E88" w:rsidRPr="007224C3" w:rsidRDefault="00171E88" w:rsidP="007224C3">
      <w:pPr>
        <w:spacing w:after="0" w:line="240" w:lineRule="auto"/>
        <w:jc w:val="both"/>
        <w:rPr>
          <w:rFonts w:ascii="Times New Roman" w:hAnsi="Times New Roman"/>
          <w:color w:val="000000" w:themeColor="text1"/>
          <w:sz w:val="16"/>
          <w:szCs w:val="16"/>
        </w:rPr>
      </w:pPr>
    </w:p>
    <w:p w14:paraId="012DF631" w14:textId="77777777" w:rsidR="00171E88" w:rsidRPr="007224C3" w:rsidRDefault="00171E88"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21 января</w:t>
      </w:r>
      <w:r w:rsidRPr="007224C3">
        <w:rPr>
          <w:rFonts w:ascii="Times New Roman" w:hAnsi="Times New Roman"/>
          <w:color w:val="000000" w:themeColor="text1"/>
          <w:sz w:val="16"/>
          <w:szCs w:val="16"/>
        </w:rPr>
        <w:t xml:space="preserve"> в 1944 году войска левого крыла Ленинградского и правого крыла Волховского фронтов начали преследование противника, отходившего с рубежа Мга, Чудово. Войска 2-го Прибалтийского фронта, ведя наступательные бои в районе Новосокольники, сковали 16-ю армию противника и не допустили её переброски в район Ленинграда и Новгорода (15016).</w:t>
      </w:r>
    </w:p>
    <w:p w14:paraId="5B4A5A84" w14:textId="77777777" w:rsidR="00171E88" w:rsidRPr="007224C3" w:rsidRDefault="00171E88" w:rsidP="007224C3">
      <w:pPr>
        <w:spacing w:after="0" w:line="240" w:lineRule="auto"/>
        <w:jc w:val="both"/>
        <w:rPr>
          <w:rFonts w:ascii="Times New Roman" w:hAnsi="Times New Roman"/>
          <w:color w:val="000000" w:themeColor="text1"/>
          <w:sz w:val="16"/>
          <w:szCs w:val="16"/>
        </w:rPr>
      </w:pPr>
    </w:p>
    <w:p w14:paraId="4E7F6AF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 января 1944 г. была подготовлена СПРАВКА ГАВТУ КА О НАЛИЧИИ В КРАСНОЙ АРМИИ ИМПОРТНЫХ АВТОМАШИН И ИХ ТЕХНИЧЕСКОМ СОСТОЯНИИ НА 1.01.1944 г. №1200344</w:t>
      </w:r>
    </w:p>
    <w:tbl>
      <w:tblPr>
        <w:tblW w:w="0" w:type="auto"/>
        <w:tblInd w:w="40" w:type="dxa"/>
        <w:tblLayout w:type="fixed"/>
        <w:tblCellMar>
          <w:left w:w="40" w:type="dxa"/>
          <w:right w:w="40" w:type="dxa"/>
        </w:tblCellMar>
        <w:tblLook w:val="0000" w:firstRow="0" w:lastRow="0" w:firstColumn="0" w:lastColumn="0" w:noHBand="0" w:noVBand="0"/>
      </w:tblPr>
      <w:tblGrid>
        <w:gridCol w:w="480"/>
        <w:gridCol w:w="1978"/>
        <w:gridCol w:w="854"/>
        <w:gridCol w:w="1565"/>
        <w:gridCol w:w="1555"/>
        <w:gridCol w:w="1690"/>
      </w:tblGrid>
      <w:tr w:rsidR="005106D0" w:rsidRPr="007224C3" w14:paraId="02CD9538" w14:textId="77777777">
        <w:trPr>
          <w:trHeight w:val="230"/>
        </w:trPr>
        <w:tc>
          <w:tcPr>
            <w:tcW w:w="480" w:type="dxa"/>
            <w:tcBorders>
              <w:top w:val="single" w:sz="6" w:space="0" w:color="auto"/>
              <w:left w:val="single" w:sz="6" w:space="0" w:color="auto"/>
              <w:bottom w:val="nil"/>
              <w:right w:val="single" w:sz="6" w:space="0" w:color="auto"/>
            </w:tcBorders>
          </w:tcPr>
          <w:p w14:paraId="093662F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п/п</w:t>
            </w:r>
          </w:p>
          <w:p w14:paraId="068049A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Borders>
              <w:top w:val="single" w:sz="6" w:space="0" w:color="auto"/>
              <w:left w:val="single" w:sz="6" w:space="0" w:color="auto"/>
              <w:bottom w:val="nil"/>
              <w:right w:val="single" w:sz="6" w:space="0" w:color="auto"/>
            </w:tcBorders>
          </w:tcPr>
          <w:p w14:paraId="0297031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Марка машины</w:t>
            </w:r>
          </w:p>
          <w:p w14:paraId="765E0DE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nil"/>
              <w:right w:val="single" w:sz="6" w:space="0" w:color="auto"/>
            </w:tcBorders>
          </w:tcPr>
          <w:p w14:paraId="11491A0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Наличие</w:t>
            </w:r>
          </w:p>
          <w:p w14:paraId="3C77B8A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810" w:type="dxa"/>
            <w:gridSpan w:val="3"/>
            <w:tcBorders>
              <w:top w:val="single" w:sz="6" w:space="0" w:color="auto"/>
              <w:left w:val="single" w:sz="6" w:space="0" w:color="auto"/>
              <w:bottom w:val="single" w:sz="6" w:space="0" w:color="auto"/>
              <w:right w:val="single" w:sz="6" w:space="0" w:color="auto"/>
            </w:tcBorders>
          </w:tcPr>
          <w:p w14:paraId="57F30CF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 них:</w:t>
            </w:r>
          </w:p>
          <w:p w14:paraId="22466CE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F4C87B1" w14:textId="77777777">
        <w:trPr>
          <w:trHeight w:val="211"/>
        </w:trPr>
        <w:tc>
          <w:tcPr>
            <w:tcW w:w="480" w:type="dxa"/>
            <w:tcBorders>
              <w:top w:val="nil"/>
              <w:left w:val="single" w:sz="6" w:space="0" w:color="auto"/>
              <w:bottom w:val="single" w:sz="6" w:space="0" w:color="auto"/>
              <w:right w:val="single" w:sz="6" w:space="0" w:color="auto"/>
            </w:tcBorders>
          </w:tcPr>
          <w:p w14:paraId="23E2460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3AA48B3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Borders>
              <w:top w:val="nil"/>
              <w:left w:val="single" w:sz="6" w:space="0" w:color="auto"/>
              <w:bottom w:val="single" w:sz="6" w:space="0" w:color="auto"/>
              <w:right w:val="single" w:sz="6" w:space="0" w:color="auto"/>
            </w:tcBorders>
          </w:tcPr>
          <w:p w14:paraId="557D178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3AFC03B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nil"/>
              <w:left w:val="single" w:sz="6" w:space="0" w:color="auto"/>
              <w:bottom w:val="single" w:sz="6" w:space="0" w:color="auto"/>
              <w:right w:val="single" w:sz="6" w:space="0" w:color="auto"/>
            </w:tcBorders>
          </w:tcPr>
          <w:p w14:paraId="71263D8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6312F53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6955964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исправных</w:t>
            </w:r>
          </w:p>
          <w:p w14:paraId="1373A34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Borders>
              <w:top w:val="single" w:sz="6" w:space="0" w:color="auto"/>
              <w:left w:val="single" w:sz="6" w:space="0" w:color="auto"/>
              <w:bottom w:val="single" w:sz="6" w:space="0" w:color="auto"/>
              <w:right w:val="single" w:sz="6" w:space="0" w:color="auto"/>
            </w:tcBorders>
          </w:tcPr>
          <w:p w14:paraId="564A863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среднего ремонта</w:t>
            </w:r>
          </w:p>
          <w:p w14:paraId="040C067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tcBorders>
              <w:top w:val="single" w:sz="6" w:space="0" w:color="auto"/>
              <w:left w:val="single" w:sz="6" w:space="0" w:color="auto"/>
              <w:bottom w:val="single" w:sz="6" w:space="0" w:color="auto"/>
              <w:right w:val="single" w:sz="6" w:space="0" w:color="auto"/>
            </w:tcBorders>
          </w:tcPr>
          <w:p w14:paraId="5C618B5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капитального ремонта</w:t>
            </w:r>
          </w:p>
          <w:p w14:paraId="252BE06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9382A9B"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55FE549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p w14:paraId="18FFDCA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2AC1BF0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Бантам</w:t>
            </w:r>
          </w:p>
          <w:p w14:paraId="65CB264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3D88090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201</w:t>
            </w:r>
          </w:p>
          <w:p w14:paraId="26CEEA7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6B06D04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96</w:t>
            </w:r>
          </w:p>
          <w:p w14:paraId="7F70C18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Borders>
              <w:top w:val="single" w:sz="6" w:space="0" w:color="auto"/>
              <w:left w:val="single" w:sz="6" w:space="0" w:color="auto"/>
              <w:bottom w:val="single" w:sz="6" w:space="0" w:color="auto"/>
              <w:right w:val="single" w:sz="6" w:space="0" w:color="auto"/>
            </w:tcBorders>
          </w:tcPr>
          <w:p w14:paraId="23BC54F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81</w:t>
            </w:r>
          </w:p>
          <w:p w14:paraId="0B157A1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tcBorders>
              <w:top w:val="single" w:sz="6" w:space="0" w:color="auto"/>
              <w:left w:val="single" w:sz="6" w:space="0" w:color="auto"/>
              <w:bottom w:val="single" w:sz="6" w:space="0" w:color="auto"/>
              <w:right w:val="single" w:sz="6" w:space="0" w:color="auto"/>
            </w:tcBorders>
          </w:tcPr>
          <w:p w14:paraId="51FA0B8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w:t>
            </w:r>
          </w:p>
          <w:p w14:paraId="0098992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511ED2A"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7AC77A6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p w14:paraId="51B00E7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6A28FDD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Виллис</w:t>
            </w:r>
          </w:p>
          <w:p w14:paraId="419E396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6E0D15A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9215</w:t>
            </w:r>
          </w:p>
          <w:p w14:paraId="0703D34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38CDF6B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6181</w:t>
            </w:r>
          </w:p>
          <w:p w14:paraId="507F41E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Borders>
              <w:top w:val="single" w:sz="6" w:space="0" w:color="auto"/>
              <w:left w:val="single" w:sz="6" w:space="0" w:color="auto"/>
              <w:bottom w:val="single" w:sz="6" w:space="0" w:color="auto"/>
              <w:right w:val="single" w:sz="6" w:space="0" w:color="auto"/>
            </w:tcBorders>
          </w:tcPr>
          <w:p w14:paraId="3D0FBF7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2010</w:t>
            </w:r>
          </w:p>
          <w:p w14:paraId="2031FB5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tcBorders>
              <w:top w:val="single" w:sz="6" w:space="0" w:color="auto"/>
              <w:left w:val="single" w:sz="6" w:space="0" w:color="auto"/>
              <w:bottom w:val="single" w:sz="6" w:space="0" w:color="auto"/>
              <w:right w:val="single" w:sz="6" w:space="0" w:color="auto"/>
            </w:tcBorders>
          </w:tcPr>
          <w:p w14:paraId="38835B9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824</w:t>
            </w:r>
          </w:p>
          <w:p w14:paraId="225EACA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37ADC64"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3BC4391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p w14:paraId="71CE7F6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19FB0CD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Бедфорд</w:t>
            </w:r>
          </w:p>
          <w:p w14:paraId="4F27FCA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4C14722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638</w:t>
            </w:r>
          </w:p>
          <w:p w14:paraId="476B1F3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7398BEB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425</w:t>
            </w:r>
          </w:p>
          <w:p w14:paraId="45DA695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Borders>
              <w:top w:val="single" w:sz="6" w:space="0" w:color="auto"/>
              <w:left w:val="single" w:sz="6" w:space="0" w:color="auto"/>
              <w:bottom w:val="single" w:sz="6" w:space="0" w:color="auto"/>
              <w:right w:val="single" w:sz="6" w:space="0" w:color="auto"/>
            </w:tcBorders>
          </w:tcPr>
          <w:p w14:paraId="67084B9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159</w:t>
            </w:r>
          </w:p>
          <w:p w14:paraId="44485B3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tcBorders>
              <w:top w:val="single" w:sz="6" w:space="0" w:color="auto"/>
              <w:left w:val="single" w:sz="6" w:space="0" w:color="auto"/>
              <w:bottom w:val="single" w:sz="6" w:space="0" w:color="auto"/>
              <w:right w:val="single" w:sz="6" w:space="0" w:color="auto"/>
            </w:tcBorders>
          </w:tcPr>
          <w:p w14:paraId="26DFF66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54</w:t>
            </w:r>
          </w:p>
          <w:p w14:paraId="78FD2B8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23D692D"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3B65AAC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w:t>
            </w:r>
          </w:p>
          <w:p w14:paraId="4655E5A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6857B1B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Додж</w:t>
            </w:r>
          </w:p>
          <w:p w14:paraId="074ADF2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5E60A5A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6288</w:t>
            </w:r>
          </w:p>
          <w:p w14:paraId="3CC0C00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4992BE4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4628</w:t>
            </w:r>
          </w:p>
          <w:p w14:paraId="1D999FE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Borders>
              <w:top w:val="single" w:sz="6" w:space="0" w:color="auto"/>
              <w:left w:val="single" w:sz="6" w:space="0" w:color="auto"/>
              <w:bottom w:val="single" w:sz="6" w:space="0" w:color="auto"/>
              <w:right w:val="single" w:sz="6" w:space="0" w:color="auto"/>
            </w:tcBorders>
          </w:tcPr>
          <w:p w14:paraId="2999188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1185</w:t>
            </w:r>
          </w:p>
          <w:p w14:paraId="714F775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tcBorders>
              <w:top w:val="single" w:sz="6" w:space="0" w:color="auto"/>
              <w:left w:val="single" w:sz="6" w:space="0" w:color="auto"/>
              <w:bottom w:val="single" w:sz="6" w:space="0" w:color="auto"/>
              <w:right w:val="single" w:sz="6" w:space="0" w:color="auto"/>
            </w:tcBorders>
          </w:tcPr>
          <w:p w14:paraId="10A2458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475</w:t>
            </w:r>
          </w:p>
          <w:p w14:paraId="3C5349A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30F2811"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68F8D78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p w14:paraId="2D727E9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1C6F211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Остин</w:t>
            </w:r>
          </w:p>
          <w:p w14:paraId="6E54B4E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42AD34C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181</w:t>
            </w:r>
          </w:p>
          <w:p w14:paraId="09CE599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4C4F982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135</w:t>
            </w:r>
          </w:p>
          <w:p w14:paraId="248DB12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Borders>
              <w:top w:val="single" w:sz="6" w:space="0" w:color="auto"/>
              <w:left w:val="single" w:sz="6" w:space="0" w:color="auto"/>
              <w:bottom w:val="single" w:sz="6" w:space="0" w:color="auto"/>
              <w:right w:val="single" w:sz="6" w:space="0" w:color="auto"/>
            </w:tcBorders>
          </w:tcPr>
          <w:p w14:paraId="6AD288A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38</w:t>
            </w:r>
          </w:p>
          <w:p w14:paraId="29D133D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tcBorders>
              <w:top w:val="single" w:sz="6" w:space="0" w:color="auto"/>
              <w:left w:val="single" w:sz="6" w:space="0" w:color="auto"/>
              <w:bottom w:val="single" w:sz="6" w:space="0" w:color="auto"/>
              <w:right w:val="single" w:sz="6" w:space="0" w:color="auto"/>
            </w:tcBorders>
          </w:tcPr>
          <w:p w14:paraId="59BE18A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w:t>
            </w:r>
          </w:p>
          <w:p w14:paraId="6CC52AF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91EBF9E"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5780ED4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w:t>
            </w:r>
          </w:p>
          <w:p w14:paraId="081B226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14043F1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Форд</w:t>
            </w:r>
          </w:p>
          <w:p w14:paraId="01F5DFA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5091D24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13731</w:t>
            </w:r>
          </w:p>
          <w:p w14:paraId="053CA1A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02121C1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9561</w:t>
            </w:r>
          </w:p>
          <w:p w14:paraId="0BCCA6C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Borders>
              <w:top w:val="single" w:sz="6" w:space="0" w:color="auto"/>
              <w:left w:val="single" w:sz="6" w:space="0" w:color="auto"/>
              <w:bottom w:val="single" w:sz="6" w:space="0" w:color="auto"/>
              <w:right w:val="single" w:sz="6" w:space="0" w:color="auto"/>
            </w:tcBorders>
          </w:tcPr>
          <w:p w14:paraId="4527D76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2907</w:t>
            </w:r>
          </w:p>
          <w:p w14:paraId="247F351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tcBorders>
              <w:top w:val="single" w:sz="6" w:space="0" w:color="auto"/>
              <w:left w:val="single" w:sz="6" w:space="0" w:color="auto"/>
              <w:bottom w:val="single" w:sz="6" w:space="0" w:color="auto"/>
              <w:right w:val="single" w:sz="6" w:space="0" w:color="auto"/>
            </w:tcBorders>
          </w:tcPr>
          <w:p w14:paraId="3F259EF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1263</w:t>
            </w:r>
          </w:p>
          <w:p w14:paraId="2150F04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315F029"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6BA9D27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w:t>
            </w:r>
          </w:p>
          <w:p w14:paraId="6CFCC0D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377E608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Мармон</w:t>
            </w:r>
          </w:p>
          <w:p w14:paraId="0649067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3A89AF4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111</w:t>
            </w:r>
          </w:p>
          <w:p w14:paraId="4F167C3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2CA8AED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69</w:t>
            </w:r>
          </w:p>
          <w:p w14:paraId="5E47310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Borders>
              <w:top w:val="single" w:sz="6" w:space="0" w:color="auto"/>
              <w:left w:val="single" w:sz="6" w:space="0" w:color="auto"/>
              <w:bottom w:val="single" w:sz="6" w:space="0" w:color="auto"/>
              <w:right w:val="single" w:sz="6" w:space="0" w:color="auto"/>
            </w:tcBorders>
          </w:tcPr>
          <w:p w14:paraId="6C3201E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33</w:t>
            </w:r>
          </w:p>
          <w:p w14:paraId="558126D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tcBorders>
              <w:top w:val="single" w:sz="6" w:space="0" w:color="auto"/>
              <w:left w:val="single" w:sz="6" w:space="0" w:color="auto"/>
              <w:bottom w:val="single" w:sz="6" w:space="0" w:color="auto"/>
              <w:right w:val="single" w:sz="6" w:space="0" w:color="auto"/>
            </w:tcBorders>
          </w:tcPr>
          <w:p w14:paraId="56BBA0B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w:t>
            </w:r>
          </w:p>
          <w:p w14:paraId="771105B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7A1CEDD"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5BAB404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w:t>
            </w:r>
          </w:p>
          <w:p w14:paraId="53CD55B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075DD4E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Шевроле</w:t>
            </w:r>
          </w:p>
          <w:p w14:paraId="35BD54B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3B67F68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7689</w:t>
            </w:r>
          </w:p>
          <w:p w14:paraId="1E69712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4E26FCB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5339</w:t>
            </w:r>
          </w:p>
          <w:p w14:paraId="48BB16D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Borders>
              <w:top w:val="single" w:sz="6" w:space="0" w:color="auto"/>
              <w:left w:val="single" w:sz="6" w:space="0" w:color="auto"/>
              <w:bottom w:val="single" w:sz="6" w:space="0" w:color="auto"/>
              <w:right w:val="single" w:sz="6" w:space="0" w:color="auto"/>
            </w:tcBorders>
          </w:tcPr>
          <w:p w14:paraId="4C67D55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1727</w:t>
            </w:r>
          </w:p>
          <w:p w14:paraId="4670ADB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tcBorders>
              <w:top w:val="single" w:sz="6" w:space="0" w:color="auto"/>
              <w:left w:val="single" w:sz="6" w:space="0" w:color="auto"/>
              <w:bottom w:val="single" w:sz="6" w:space="0" w:color="auto"/>
              <w:right w:val="single" w:sz="6" w:space="0" w:color="auto"/>
            </w:tcBorders>
          </w:tcPr>
          <w:p w14:paraId="6BC5456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623</w:t>
            </w:r>
          </w:p>
          <w:p w14:paraId="0A039CC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D3D82CB"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2589CEF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w:t>
            </w:r>
          </w:p>
          <w:p w14:paraId="32D511E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331B90C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Интернационал</w:t>
            </w:r>
          </w:p>
          <w:p w14:paraId="438EB47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54ADB7E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2343</w:t>
            </w:r>
          </w:p>
          <w:p w14:paraId="2774289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2E466B1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1815</w:t>
            </w:r>
          </w:p>
          <w:p w14:paraId="5E86642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Borders>
              <w:top w:val="single" w:sz="6" w:space="0" w:color="auto"/>
              <w:left w:val="single" w:sz="6" w:space="0" w:color="auto"/>
              <w:bottom w:val="single" w:sz="6" w:space="0" w:color="auto"/>
              <w:right w:val="single" w:sz="6" w:space="0" w:color="auto"/>
            </w:tcBorders>
          </w:tcPr>
          <w:p w14:paraId="64BE465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480</w:t>
            </w:r>
          </w:p>
          <w:p w14:paraId="729CC38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tcBorders>
              <w:top w:val="single" w:sz="6" w:space="0" w:color="auto"/>
              <w:left w:val="single" w:sz="6" w:space="0" w:color="auto"/>
              <w:bottom w:val="single" w:sz="6" w:space="0" w:color="auto"/>
              <w:right w:val="single" w:sz="6" w:space="0" w:color="auto"/>
            </w:tcBorders>
          </w:tcPr>
          <w:p w14:paraId="0306090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48</w:t>
            </w:r>
          </w:p>
          <w:p w14:paraId="19953C7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C918CA3" w14:textId="77777777">
        <w:trPr>
          <w:trHeight w:val="221"/>
        </w:trPr>
        <w:tc>
          <w:tcPr>
            <w:tcW w:w="480" w:type="dxa"/>
            <w:tcBorders>
              <w:top w:val="single" w:sz="6" w:space="0" w:color="auto"/>
              <w:left w:val="single" w:sz="6" w:space="0" w:color="auto"/>
              <w:bottom w:val="single" w:sz="6" w:space="0" w:color="auto"/>
              <w:right w:val="single" w:sz="6" w:space="0" w:color="auto"/>
            </w:tcBorders>
          </w:tcPr>
          <w:p w14:paraId="0BCF5CE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w:t>
            </w:r>
          </w:p>
          <w:p w14:paraId="2D2B8B0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7A81F44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Студебеккер</w:t>
            </w:r>
          </w:p>
          <w:p w14:paraId="6684DBA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11EB4E6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25811</w:t>
            </w:r>
          </w:p>
          <w:p w14:paraId="0B2B191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0F6D404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23412</w:t>
            </w:r>
          </w:p>
          <w:p w14:paraId="6D477F8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Borders>
              <w:top w:val="single" w:sz="6" w:space="0" w:color="auto"/>
              <w:left w:val="single" w:sz="6" w:space="0" w:color="auto"/>
              <w:bottom w:val="single" w:sz="6" w:space="0" w:color="auto"/>
              <w:right w:val="single" w:sz="6" w:space="0" w:color="auto"/>
            </w:tcBorders>
          </w:tcPr>
          <w:p w14:paraId="6AF3CCB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2026</w:t>
            </w:r>
          </w:p>
          <w:p w14:paraId="260223C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tcBorders>
              <w:top w:val="single" w:sz="6" w:space="0" w:color="auto"/>
              <w:left w:val="single" w:sz="6" w:space="0" w:color="auto"/>
              <w:bottom w:val="single" w:sz="6" w:space="0" w:color="auto"/>
              <w:right w:val="single" w:sz="6" w:space="0" w:color="auto"/>
            </w:tcBorders>
          </w:tcPr>
          <w:p w14:paraId="3B23A79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373</w:t>
            </w:r>
          </w:p>
          <w:p w14:paraId="61E22AD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AF62FA0"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36CD149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w:t>
            </w:r>
          </w:p>
          <w:p w14:paraId="749BDAB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1A2293F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Джиемси</w:t>
            </w:r>
          </w:p>
          <w:p w14:paraId="3B9363B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206630E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3637</w:t>
            </w:r>
          </w:p>
          <w:p w14:paraId="0B6F400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45F7F6C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2273</w:t>
            </w:r>
          </w:p>
          <w:p w14:paraId="54C4016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Borders>
              <w:top w:val="single" w:sz="6" w:space="0" w:color="auto"/>
              <w:left w:val="single" w:sz="6" w:space="0" w:color="auto"/>
              <w:bottom w:val="single" w:sz="6" w:space="0" w:color="auto"/>
              <w:right w:val="single" w:sz="6" w:space="0" w:color="auto"/>
            </w:tcBorders>
          </w:tcPr>
          <w:p w14:paraId="7E76613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931</w:t>
            </w:r>
          </w:p>
          <w:p w14:paraId="1E7D9AC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tcBorders>
              <w:top w:val="single" w:sz="6" w:space="0" w:color="auto"/>
              <w:left w:val="single" w:sz="6" w:space="0" w:color="auto"/>
              <w:bottom w:val="single" w:sz="6" w:space="0" w:color="auto"/>
              <w:right w:val="single" w:sz="6" w:space="0" w:color="auto"/>
            </w:tcBorders>
          </w:tcPr>
          <w:p w14:paraId="53A6DB7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433</w:t>
            </w:r>
          </w:p>
          <w:p w14:paraId="433E600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5FAB2F3"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618DF37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w:t>
            </w:r>
          </w:p>
          <w:p w14:paraId="1DC26DC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46FB538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Додж ѕ</w:t>
            </w:r>
          </w:p>
          <w:p w14:paraId="32C1084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3267BDF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250</w:t>
            </w:r>
          </w:p>
          <w:p w14:paraId="50EFD10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1B33A02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239</w:t>
            </w:r>
          </w:p>
          <w:p w14:paraId="269426D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Borders>
              <w:top w:val="single" w:sz="6" w:space="0" w:color="auto"/>
              <w:left w:val="single" w:sz="6" w:space="0" w:color="auto"/>
              <w:bottom w:val="single" w:sz="6" w:space="0" w:color="auto"/>
              <w:right w:val="single" w:sz="6" w:space="0" w:color="auto"/>
            </w:tcBorders>
          </w:tcPr>
          <w:p w14:paraId="1CA2560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w:t>
            </w:r>
          </w:p>
          <w:p w14:paraId="1ACA26A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tcBorders>
              <w:top w:val="single" w:sz="6" w:space="0" w:color="auto"/>
              <w:left w:val="single" w:sz="6" w:space="0" w:color="auto"/>
              <w:bottom w:val="single" w:sz="6" w:space="0" w:color="auto"/>
              <w:right w:val="single" w:sz="6" w:space="0" w:color="auto"/>
            </w:tcBorders>
          </w:tcPr>
          <w:p w14:paraId="583A8B2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p w14:paraId="58F9E60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E2883EC"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7DAFD94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w:t>
            </w:r>
          </w:p>
          <w:p w14:paraId="5E2FAA8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65ADAAD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Прочие иномарки</w:t>
            </w:r>
          </w:p>
          <w:p w14:paraId="527F39D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75D9E69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2089</w:t>
            </w:r>
          </w:p>
          <w:p w14:paraId="4370C6C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5886FE3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10096</w:t>
            </w:r>
          </w:p>
          <w:p w14:paraId="4DD42F3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Borders>
              <w:top w:val="single" w:sz="6" w:space="0" w:color="auto"/>
              <w:left w:val="single" w:sz="6" w:space="0" w:color="auto"/>
              <w:bottom w:val="single" w:sz="6" w:space="0" w:color="auto"/>
              <w:right w:val="single" w:sz="6" w:space="0" w:color="auto"/>
            </w:tcBorders>
          </w:tcPr>
          <w:p w14:paraId="6025497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1431</w:t>
            </w:r>
          </w:p>
          <w:p w14:paraId="11815D2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tcBorders>
              <w:top w:val="single" w:sz="6" w:space="0" w:color="auto"/>
              <w:left w:val="single" w:sz="6" w:space="0" w:color="auto"/>
              <w:bottom w:val="single" w:sz="6" w:space="0" w:color="auto"/>
              <w:right w:val="single" w:sz="6" w:space="0" w:color="auto"/>
            </w:tcBorders>
          </w:tcPr>
          <w:p w14:paraId="2ADFC76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561</w:t>
            </w:r>
          </w:p>
          <w:p w14:paraId="65F2C97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B18E583" w14:textId="77777777">
        <w:trPr>
          <w:trHeight w:val="250"/>
        </w:trPr>
        <w:tc>
          <w:tcPr>
            <w:tcW w:w="480" w:type="dxa"/>
            <w:tcBorders>
              <w:top w:val="single" w:sz="6" w:space="0" w:color="auto"/>
              <w:left w:val="single" w:sz="6" w:space="0" w:color="auto"/>
              <w:bottom w:val="single" w:sz="6" w:space="0" w:color="auto"/>
              <w:right w:val="single" w:sz="6" w:space="0" w:color="auto"/>
            </w:tcBorders>
          </w:tcPr>
          <w:p w14:paraId="6359C17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5FA5B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4164E26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Итого:</w:t>
            </w:r>
          </w:p>
          <w:p w14:paraId="564F48F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3AAFE02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82184</w:t>
            </w:r>
          </w:p>
          <w:p w14:paraId="08366A7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2A9F499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64469</w:t>
            </w:r>
          </w:p>
          <w:p w14:paraId="3BD646E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Borders>
              <w:top w:val="single" w:sz="6" w:space="0" w:color="auto"/>
              <w:left w:val="single" w:sz="6" w:space="0" w:color="auto"/>
              <w:bottom w:val="single" w:sz="6" w:space="0" w:color="auto"/>
              <w:right w:val="single" w:sz="6" w:space="0" w:color="auto"/>
            </w:tcBorders>
          </w:tcPr>
          <w:p w14:paraId="266BA04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13019</w:t>
            </w:r>
          </w:p>
          <w:p w14:paraId="09EFB34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tcBorders>
              <w:top w:val="single" w:sz="6" w:space="0" w:color="auto"/>
              <w:left w:val="single" w:sz="6" w:space="0" w:color="auto"/>
              <w:bottom w:val="single" w:sz="6" w:space="0" w:color="auto"/>
              <w:right w:val="single" w:sz="6" w:space="0" w:color="auto"/>
            </w:tcBorders>
          </w:tcPr>
          <w:p w14:paraId="4BBCB60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4696</w:t>
            </w:r>
          </w:p>
          <w:p w14:paraId="21A1111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4529A3B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начальника ГАВТУ КА генерал-майор технических войск Мизонов</w:t>
      </w:r>
    </w:p>
    <w:p w14:paraId="697B58A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41. Оп. 11584. Д. 175. Л. 13. Копия (11403).</w:t>
      </w:r>
    </w:p>
    <w:p w14:paraId="3C0429E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06C9323B"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6F98BFB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92BEB8D" w14:textId="77777777" w:rsidR="00D549FB" w:rsidRPr="007224C3" w:rsidRDefault="00D549FB"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21 января 1944 795 бомбардировщиков 8-й воздушной армии в сопровождении 628 истребителей нанесли удар по 24 объектам ФАУ-1 в районах Па-де-Кале и Шербур во Франции, при этом было потеряно шесть бомбардировщиков и один истребитель. Бомбардировщики и истребители заявляют, что 11 немецких самолетов сбиты, один, вероятно, сбит, а шесть повреждены (20373).</w:t>
      </w:r>
    </w:p>
    <w:p w14:paraId="04F878C9" w14:textId="77777777" w:rsidR="00D549FB" w:rsidRPr="007224C3" w:rsidRDefault="00D549FB" w:rsidP="007224C3">
      <w:pPr>
        <w:spacing w:after="0" w:line="240" w:lineRule="auto"/>
        <w:jc w:val="both"/>
        <w:rPr>
          <w:rFonts w:ascii="Times New Roman" w:hAnsi="Times New Roman"/>
          <w:color w:val="0070C0"/>
          <w:sz w:val="16"/>
          <w:szCs w:val="16"/>
        </w:rPr>
      </w:pPr>
    </w:p>
    <w:p w14:paraId="4B3E7476" w14:textId="77777777" w:rsidR="00D549FB" w:rsidRPr="007224C3" w:rsidRDefault="00D549FB"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21–22 января (ночь) 1944 648 британских бомбардировщиков совершили первый крупный налет на Магдебург, Германия. Немецкие ночные истребители перехватывают их над Северным морем, прежде чем они пересекают береговую линию Германии, и 57 бомбардировщиков (8,8 процента сил) потеряны, причем три четверти из них, вероятно, станут жертвами ночных истребителей. Рейд не удался. Немецкий ас Гауптман Манфред Мейрер погиб, когда его ночной истребитель Heinkel He 219 столкнулся с британским бомбардировщиком Lancaster над Магдебургом поздно вечером 21-го; на момент смерти у него было 65 побед. Еще 34 бомбардировщика совершают налет на Берлин с потерей одного самолета - Lancaster. 111 британских бомбардировщиков без потерь атаковали места запуска немецких летающих бомб Фау-1 во Франции (20373).</w:t>
      </w:r>
    </w:p>
    <w:p w14:paraId="3606AA9C" w14:textId="77777777" w:rsidR="00D549FB" w:rsidRPr="007224C3" w:rsidRDefault="00D549FB" w:rsidP="007224C3">
      <w:pPr>
        <w:spacing w:after="0" w:line="240" w:lineRule="auto"/>
        <w:jc w:val="both"/>
        <w:rPr>
          <w:rFonts w:ascii="Times New Roman" w:hAnsi="Times New Roman"/>
          <w:color w:val="0070C0"/>
          <w:sz w:val="16"/>
          <w:szCs w:val="16"/>
        </w:rPr>
      </w:pPr>
    </w:p>
    <w:p w14:paraId="51FF0DB1"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 января 1944 в Лондоне состоялось первое заседание командующих подразделений союзников, готовящихся к высадке в Нормандии (4962).</w:t>
      </w:r>
    </w:p>
    <w:p w14:paraId="40BD2D39"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47CA91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В ночь 21-22 января 1944 немецкая авиация совершила налет на Лондон и бомбили вплоть до 27 апреля (3186).</w:t>
      </w:r>
    </w:p>
    <w:p w14:paraId="2D6FB8D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12CFA5"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 января 1944 Австралия и Новая Зеландия подписали оборонный пакт (4962).</w:t>
      </w:r>
    </w:p>
    <w:p w14:paraId="16B4C7FB"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068B643"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3C24E62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E9E60C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января 1944 года возобновлен отстрел вооружения. Установки пулеметов УВС работали хорошо, но новый капот опять деформировался. Деформация взрывателей снарядов ВЯ, произвеленными заводом мелкими переделками, не устранена.</w:t>
      </w:r>
    </w:p>
    <w:p w14:paraId="4CF285E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070AB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января 1944 был готов Як-3-2 с М-107А смешанной конструкции (65,185).</w:t>
      </w:r>
    </w:p>
    <w:p w14:paraId="1C33D41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5D6C7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января 1944 года, на аэродром выкатили второй прототип Як-3 ВК-107А "Дублер", как тогда было принято называть такие машины. На этом самолете изначально, еще на стадии проектирования и постройки, применили все технические решения, ставшие основой для переделок первого опытного экземпляра машины. Радикальным изменениям подверглись только фонарь кабины пилота, которому придали более обтекаемую форму, и установка вооружения с двумя опытными синхронными пушками Б-20. При этом полетный вес второго прототипа по сравнению с предшественником практически не изменился - 2932 кг. Соответственно одинаковыми были и летные данные. Максимальная скорость у земли Як-3 ВК-107А № 1 до модификации была равной 611 км/ч, а у №2 - 610 км/ч (из-за неблагоприятных метеоусловий "Дублер" был облетан и проверен только на малых высотах). Заводские испытания, проведенные с 25 по 29 января 1944 года, показали, что основные дефекты, выявленные на первом прототипе, устранены и самолет может быть предъявлен на государственные испытания (12047).</w:t>
      </w:r>
    </w:p>
    <w:p w14:paraId="1A17352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075FC35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22 января 1944 года производилось новое усиление передней верхней крышки капота на Як-9У с ВЯ и конструктивно переделывается патронный рукав ВЯ. Увеличение диаметра газоотводных труб пулеметов вызвало изменение лотков капота, которые стали ложиться на расширительный бачек был вмят на 5 мм. Отстрел вооружения возобновится после окончания изготовления нового патронного рукава ВЯ (1821,34).</w:t>
      </w:r>
    </w:p>
    <w:p w14:paraId="7FD47DD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EDBB7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января 1944 вышло Постановление ГКО № 5011 О поставке воздухоплавательного имущества Наркомату обороны и Наркомвоенморфлоту в I квартале 1944 года. РГАНИР, Фонд ГКО, д. 196, лл. 1-2,3-10 (11012).</w:t>
      </w:r>
    </w:p>
    <w:p w14:paraId="5C3E7E6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64842702"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3CD95FA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A37610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января 1944 года Наркомат вооружений приказом обязал Тульский машиностроительный завод (ТМЗ) (№ 535) начать производство МТ-13. Уже в 1944 году с завода на фронт отправилось 350 минометов. Первые же стрельбы 160-мм минометов произвели на противника огромное психологическое воздействие. Выстрелы у МТ-13 глухие, мины летели по крутой траектории и падали почти отвесно, поэтому при первых же разрывах мин немцы стали подавать сигналы воздушной тревоги. Миномет МТ-13 стрелял двенадцатиперой фугасной миной, внешне очень похожей на 82-120-мм мины. Принципиальным отличием минометного выстрела МТ-13 от всех других отечественных минометов была короткая гильза, в которую вставлялся стабилизатор мины. Гильза служила для предотвращения прорыва пороховых газов при выстреле (обтюрации). Буксировка МТ-13 производилась автомобилями ГАЗ-63, ЗИС-150 или трактором. В августе 1947 года на заводе № 535 было прекращено производство минометов МТ-13. Всего к этому времени с 1944 года было изготовлено 1557 минометов МТ-13.</w:t>
      </w:r>
    </w:p>
    <w:p w14:paraId="3992682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Миномет МТ-13 представлял собой гладкоствольную систему на жестком (без противооткатных устройств) лафете с колесным ходом.</w:t>
      </w:r>
    </w:p>
    <w:p w14:paraId="40B301A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Заряжание миномета производилось с казенной части, для чего ствол приводился в горизонтальное положение. После открывания затвора на полуоси клина ствола навешивался лоток, на который расчет укладывал мину и вручную досылал ее в канал ствола. Двенадцатиперая 160-мм фугасная мина Ф-852 весила 40,865 кг и содержала 7,78 кг разрывного заряда. Взрыватель головной ГВМЗ-7. Устройство мины подобно обычным 82-мм и 120-мм минам. Принципиальным отличием минометного выстрела МТ-13 от всех других отечественных минометов служила короткая гильза, в которую вставлялся стабилизатор мины. гильза была введена для обтюрации пороховых газов при выстреле.</w:t>
      </w:r>
    </w:p>
    <w:p w14:paraId="2E52465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перевозки миномета использовались автомобили ГАЗ-63, ЗИС-150 и другие, а также тракторы (3861).</w:t>
      </w:r>
    </w:p>
    <w:p w14:paraId="2560808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303CA7" w14:textId="77777777" w:rsidR="00171E88" w:rsidRPr="007224C3" w:rsidRDefault="00171E8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22 по 28 ян</w:t>
      </w:r>
      <w:r w:rsidRPr="007224C3">
        <w:rPr>
          <w:rFonts w:ascii="Times New Roman" w:hAnsi="Times New Roman"/>
          <w:color w:val="000000" w:themeColor="text1"/>
          <w:sz w:val="16"/>
          <w:szCs w:val="16"/>
        </w:rPr>
        <w:softHyphen/>
        <w:t>варя 1944 года КВ-85 с заводским № 3107, сня</w:t>
      </w:r>
      <w:r w:rsidRPr="007224C3">
        <w:rPr>
          <w:rFonts w:ascii="Times New Roman" w:hAnsi="Times New Roman"/>
          <w:color w:val="000000" w:themeColor="text1"/>
          <w:sz w:val="16"/>
          <w:szCs w:val="16"/>
        </w:rPr>
        <w:softHyphen/>
        <w:t>тый с гарантийных испытаний, на который поставили 100-мм орудие М-34 (в некоторых доку</w:t>
      </w:r>
      <w:r w:rsidRPr="007224C3">
        <w:rPr>
          <w:rFonts w:ascii="Times New Roman" w:hAnsi="Times New Roman"/>
          <w:color w:val="000000" w:themeColor="text1"/>
          <w:sz w:val="16"/>
          <w:szCs w:val="16"/>
        </w:rPr>
        <w:softHyphen/>
        <w:t xml:space="preserve">ментах она именуется </w:t>
      </w:r>
      <w:r w:rsidRPr="007224C3">
        <w:rPr>
          <w:rFonts w:ascii="Times New Roman" w:hAnsi="Times New Roman"/>
          <w:color w:val="000000" w:themeColor="text1"/>
          <w:sz w:val="16"/>
          <w:szCs w:val="16"/>
          <w:lang w:val="en-US"/>
        </w:rPr>
        <w:t>KB</w:t>
      </w:r>
      <w:r w:rsidRPr="007224C3">
        <w:rPr>
          <w:rFonts w:ascii="Times New Roman" w:hAnsi="Times New Roman"/>
          <w:color w:val="000000" w:themeColor="text1"/>
          <w:sz w:val="16"/>
          <w:szCs w:val="16"/>
        </w:rPr>
        <w:t>-100), прошла испы</w:t>
      </w:r>
      <w:r w:rsidRPr="007224C3">
        <w:rPr>
          <w:rFonts w:ascii="Times New Roman" w:hAnsi="Times New Roman"/>
          <w:color w:val="000000" w:themeColor="text1"/>
          <w:sz w:val="16"/>
          <w:szCs w:val="16"/>
        </w:rPr>
        <w:softHyphen/>
        <w:t>тания на Гороховецком полигоне.</w:t>
      </w:r>
    </w:p>
    <w:p w14:paraId="0F937237" w14:textId="77777777" w:rsidR="00171E88" w:rsidRPr="007224C3" w:rsidRDefault="00171E88" w:rsidP="007224C3">
      <w:pPr>
        <w:pStyle w:val="27"/>
        <w:shd w:val="clear" w:color="auto" w:fill="auto"/>
        <w:spacing w:after="0" w:line="240" w:lineRule="auto"/>
        <w:ind w:firstLine="0"/>
        <w:rPr>
          <w:rFonts w:ascii="Times New Roman" w:cs="Times New Roman"/>
          <w:color w:val="000000" w:themeColor="text1"/>
          <w:spacing w:val="0"/>
        </w:rPr>
      </w:pPr>
      <w:r w:rsidRPr="007224C3">
        <w:rPr>
          <w:rFonts w:ascii="Times New Roman" w:cs="Times New Roman"/>
          <w:color w:val="000000" w:themeColor="text1"/>
          <w:spacing w:val="0"/>
        </w:rPr>
        <w:t>В связи с тем, что пушка С-34 имела го</w:t>
      </w:r>
      <w:r w:rsidRPr="007224C3">
        <w:rPr>
          <w:rFonts w:ascii="Times New Roman" w:cs="Times New Roman"/>
          <w:color w:val="000000" w:themeColor="text1"/>
          <w:spacing w:val="0"/>
        </w:rPr>
        <w:softHyphen/>
        <w:t>ризонтальный полуавтоматический затвор, для удобства работы заряжающего его рабо</w:t>
      </w:r>
      <w:r w:rsidRPr="007224C3">
        <w:rPr>
          <w:rFonts w:ascii="Times New Roman" w:cs="Times New Roman"/>
          <w:color w:val="000000" w:themeColor="text1"/>
          <w:spacing w:val="0"/>
        </w:rPr>
        <w:softHyphen/>
        <w:t>чее место перенесли в левую часть башни, а места наводчика и командира - в правую. В связи с этим пришлось перенести и коман</w:t>
      </w:r>
      <w:r w:rsidRPr="007224C3">
        <w:rPr>
          <w:rFonts w:ascii="Times New Roman" w:cs="Times New Roman"/>
          <w:color w:val="000000" w:themeColor="text1"/>
          <w:spacing w:val="0"/>
        </w:rPr>
        <w:softHyphen/>
        <w:t>дирскую башенку — теперь она устанавлива</w:t>
      </w:r>
      <w:r w:rsidRPr="007224C3">
        <w:rPr>
          <w:rFonts w:ascii="Times New Roman" w:cs="Times New Roman"/>
          <w:color w:val="000000" w:themeColor="text1"/>
          <w:spacing w:val="0"/>
        </w:rPr>
        <w:softHyphen/>
        <w:t>лась на крыше башни справа.</w:t>
      </w:r>
    </w:p>
    <w:p w14:paraId="26916D85" w14:textId="77777777" w:rsidR="00171E88" w:rsidRPr="007224C3" w:rsidRDefault="00171E88" w:rsidP="007224C3">
      <w:pPr>
        <w:pStyle w:val="27"/>
        <w:shd w:val="clear" w:color="auto" w:fill="auto"/>
        <w:spacing w:after="0" w:line="240" w:lineRule="auto"/>
        <w:ind w:firstLine="0"/>
        <w:rPr>
          <w:rFonts w:ascii="Times New Roman" w:cs="Times New Roman"/>
          <w:color w:val="000000" w:themeColor="text1"/>
          <w:spacing w:val="0"/>
        </w:rPr>
      </w:pPr>
      <w:r w:rsidRPr="007224C3">
        <w:rPr>
          <w:rFonts w:ascii="Times New Roman" w:cs="Times New Roman"/>
          <w:color w:val="000000" w:themeColor="text1"/>
          <w:spacing w:val="0"/>
        </w:rPr>
        <w:t>Пушка С-34 имела длину ствола 55,9 ка</w:t>
      </w:r>
      <w:r w:rsidRPr="007224C3">
        <w:rPr>
          <w:rFonts w:ascii="Times New Roman" w:cs="Times New Roman"/>
          <w:color w:val="000000" w:themeColor="text1"/>
          <w:spacing w:val="0"/>
        </w:rPr>
        <w:softHyphen/>
        <w:t>либров, углы вертикального наведения со</w:t>
      </w:r>
      <w:r w:rsidRPr="007224C3">
        <w:rPr>
          <w:rFonts w:ascii="Times New Roman" w:cs="Times New Roman"/>
          <w:color w:val="000000" w:themeColor="text1"/>
          <w:spacing w:val="0"/>
        </w:rPr>
        <w:softHyphen/>
        <w:t>ставляли от -3 до +18,30 градусов. Мак</w:t>
      </w:r>
      <w:r w:rsidRPr="007224C3">
        <w:rPr>
          <w:rFonts w:ascii="Times New Roman" w:cs="Times New Roman"/>
          <w:color w:val="000000" w:themeColor="text1"/>
          <w:spacing w:val="0"/>
        </w:rPr>
        <w:softHyphen/>
        <w:t>симальная длина отката не превышала 450 мм. Орудие могло вести огонь унитар</w:t>
      </w:r>
      <w:r w:rsidRPr="007224C3">
        <w:rPr>
          <w:rFonts w:ascii="Times New Roman" w:cs="Times New Roman"/>
          <w:color w:val="000000" w:themeColor="text1"/>
          <w:spacing w:val="0"/>
        </w:rPr>
        <w:softHyphen/>
        <w:t>ными выстрелами с бронебойным и осколочно-фугасным снарядом. Бронебойный с начальной скоростью 900 м/с на даль</w:t>
      </w:r>
      <w:r w:rsidRPr="007224C3">
        <w:rPr>
          <w:rFonts w:ascii="Times New Roman" w:cs="Times New Roman"/>
          <w:color w:val="000000" w:themeColor="text1"/>
          <w:spacing w:val="0"/>
        </w:rPr>
        <w:softHyphen/>
        <w:t>ности 500 м пробивал 160 мм броню, уста</w:t>
      </w:r>
      <w:r w:rsidRPr="007224C3">
        <w:rPr>
          <w:rFonts w:ascii="Times New Roman" w:cs="Times New Roman"/>
          <w:color w:val="000000" w:themeColor="text1"/>
          <w:spacing w:val="0"/>
        </w:rPr>
        <w:softHyphen/>
        <w:t>новленную вертикально. Возимый боеком</w:t>
      </w:r>
      <w:r w:rsidRPr="007224C3">
        <w:rPr>
          <w:rFonts w:ascii="Times New Roman" w:cs="Times New Roman"/>
          <w:color w:val="000000" w:themeColor="text1"/>
          <w:spacing w:val="0"/>
        </w:rPr>
        <w:softHyphen/>
        <w:t xml:space="preserve">плект </w:t>
      </w:r>
      <w:r w:rsidRPr="007224C3">
        <w:rPr>
          <w:rFonts w:ascii="Times New Roman" w:cs="Times New Roman"/>
          <w:color w:val="000000" w:themeColor="text1"/>
          <w:spacing w:val="0"/>
          <w:lang w:val="en-US"/>
        </w:rPr>
        <w:t>KB</w:t>
      </w:r>
      <w:r w:rsidRPr="007224C3">
        <w:rPr>
          <w:rFonts w:ascii="Times New Roman" w:cs="Times New Roman"/>
          <w:color w:val="000000" w:themeColor="text1"/>
          <w:spacing w:val="0"/>
        </w:rPr>
        <w:t>-100 составлял 31 выстрел к пуш</w:t>
      </w:r>
      <w:r w:rsidRPr="007224C3">
        <w:rPr>
          <w:rFonts w:ascii="Times New Roman" w:cs="Times New Roman"/>
          <w:color w:val="000000" w:themeColor="text1"/>
          <w:spacing w:val="0"/>
        </w:rPr>
        <w:softHyphen/>
        <w:t>ке, 37 дисков к пулемету ДТ (2331 патрон) и 25 гранат Ф-1.</w:t>
      </w:r>
    </w:p>
    <w:p w14:paraId="34234103" w14:textId="77777777" w:rsidR="00171E88" w:rsidRPr="007224C3" w:rsidRDefault="00171E8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 заключение отчета об испытании </w:t>
      </w:r>
      <w:r w:rsidRPr="007224C3">
        <w:rPr>
          <w:rFonts w:ascii="Times New Roman" w:hAnsi="Times New Roman"/>
          <w:color w:val="000000" w:themeColor="text1"/>
          <w:sz w:val="16"/>
          <w:szCs w:val="16"/>
          <w:lang w:val="en-US"/>
        </w:rPr>
        <w:t>KB</w:t>
      </w:r>
      <w:r w:rsidRPr="007224C3">
        <w:rPr>
          <w:rFonts w:ascii="Times New Roman" w:hAnsi="Times New Roman"/>
          <w:color w:val="000000" w:themeColor="text1"/>
          <w:sz w:val="16"/>
          <w:szCs w:val="16"/>
        </w:rPr>
        <w:t>-100 говорилось, что 100-мм пушка С-34 после доработки и устранения недостатков может быть рекомендована для принятия на воору</w:t>
      </w:r>
      <w:r w:rsidRPr="007224C3">
        <w:rPr>
          <w:rFonts w:ascii="Times New Roman" w:hAnsi="Times New Roman"/>
          <w:color w:val="000000" w:themeColor="text1"/>
          <w:sz w:val="16"/>
          <w:szCs w:val="16"/>
        </w:rPr>
        <w:softHyphen/>
        <w:t>жение тяжелых танков и самоходок. Отме</w:t>
      </w:r>
      <w:r w:rsidRPr="007224C3">
        <w:rPr>
          <w:rFonts w:ascii="Times New Roman" w:hAnsi="Times New Roman"/>
          <w:color w:val="000000" w:themeColor="text1"/>
          <w:sz w:val="16"/>
          <w:szCs w:val="16"/>
        </w:rPr>
        <w:softHyphen/>
        <w:t>ченные недостатки в конструкции С-34 учли при изготовлении еше двух образцов этого орудия. В июне 1944 года они испытывались на танках ИС и Т-34 (15226).</w:t>
      </w:r>
    </w:p>
    <w:p w14:paraId="4781E4AF" w14:textId="77777777" w:rsidR="00171E88" w:rsidRPr="007224C3" w:rsidRDefault="00171E88" w:rsidP="007224C3">
      <w:pPr>
        <w:spacing w:after="0" w:line="240" w:lineRule="auto"/>
        <w:jc w:val="both"/>
        <w:rPr>
          <w:rFonts w:ascii="Times New Roman" w:hAnsi="Times New Roman"/>
          <w:color w:val="000000" w:themeColor="text1"/>
          <w:sz w:val="16"/>
          <w:szCs w:val="16"/>
        </w:rPr>
      </w:pPr>
    </w:p>
    <w:p w14:paraId="5D2EEA2F" w14:textId="77777777" w:rsidR="00961B62" w:rsidRPr="007224C3" w:rsidRDefault="00961B6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22 по 28 января 1944 опытную систему С-34-100 на КВ-85 испытали на Гороховецком артиллерийском научно-испытательном опытном полигоне (АНИОП).</w:t>
      </w:r>
    </w:p>
    <w:p w14:paraId="6BDAFA64" w14:textId="77777777" w:rsidR="00961B62" w:rsidRPr="007224C3" w:rsidRDefault="00961B6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отличие от 85-мм систем с повышенной баллистикой и 122-мм орудий с баллистикой А-19, конструкторское бюро завода №9 первоначально не участвовало в работах по 100-мм системам. Задание на разработку данной системы в танковом и самоходном вариантах поручили ЦАКБ. Орудие получило индекс С-34, работы по ней возглавил помощник главного конструктора по научно-исследовательской работе Г.И. Сергеев. Как и предыдущие орудия ЦАКБ, С-34 разрабатывалась как система, позволяющая использовать стволы разного калибра. Первоначально С-34 была дуплексом: помимо С-34-100, разрабатывалась С-34-122 с баллистикой 122-мм орудия А-19. Далее добавилась третья система — С-34-85, имевшая начальную скорость снаряда 1050 м/с. Впрочем, приоритет оставался за С-34-100</w:t>
      </w:r>
    </w:p>
    <w:p w14:paraId="4AC4CF0E" w14:textId="77777777" w:rsidR="00961B62" w:rsidRPr="007224C3" w:rsidRDefault="00961B6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Орудие разрабатывалось и в варианте установки на «артсамоход на базе танка Т-34» — здесь у С-34 обнаружились первые проблемы. Во-первых, по расчётам масса САУ вырастала с 30 до 32,5–33 т, что было недопустимым. К надёжности ходовой части (прежде всего бандажей) и так имелись претензии, а рост массы лишь усугубил бы проблему. Во-вторых, специфичный подход ЦАКБ к орудию создал дополнительные трудности. Дело в том, что клин затвора открывался не влево, а вправо, так что заряжающий располагался слева, а наводчик и механик-водитель — справа. Этого конструкторам ЦАКБ показалось мало: по проекту два передних опорных катка получали торсионную подвеску. Неудивительно, что в Народном комиссариате танковой промышленности (НКТП) этот проект подвергли 26 января 1944 г. Старший инспектор НКТП при УК БТ и МВ Отдельной приморской армии тов. Свечкин в своем письме от за №0510 доносил:</w:t>
      </w:r>
    </w:p>
    <w:p w14:paraId="7B482852" w14:textId="77777777" w:rsidR="00961B62" w:rsidRPr="007224C3" w:rsidRDefault="00961B6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«Сообщаю, что по инициативе полка на одной из машин СУ-76М произведена замена брезента бронёй из котельного железа толщиной 10 мм (и принимаются меры в отношении остальных машин), так как в боевой обстановке полка, имевшем ранее СУ-76, вышло из строя до 40 человек из числа экипажей, главным образом, от осколков снарядов, или бомб и взрывной волы.</w:t>
      </w:r>
    </w:p>
    <w:p w14:paraId="1A3FC2A2" w14:textId="77777777" w:rsidR="00961B62" w:rsidRPr="007224C3" w:rsidRDefault="00961B6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Прошу сообщить, по каким соображениям завод №38 продолжает практику постановки брезентов вместо крыши».</w:t>
      </w:r>
    </w:p>
    <w:p w14:paraId="1B1A899C" w14:textId="77777777" w:rsidR="00961B62" w:rsidRPr="007224C3" w:rsidRDefault="00961B6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данном письме говорится о машинах СУ-76М (СУ-15) № 310430, 58411, 310402, 310434, 310436, 58428, 310403 с двигателями ГАЗ мод.203, выпущенными заводом №38 в первой половине октября 1943 года (18172).</w:t>
      </w:r>
    </w:p>
    <w:p w14:paraId="641DE775" w14:textId="77777777" w:rsidR="00961B62" w:rsidRPr="007224C3" w:rsidRDefault="00961B62" w:rsidP="007224C3">
      <w:pPr>
        <w:spacing w:after="0" w:line="240" w:lineRule="auto"/>
        <w:jc w:val="both"/>
        <w:rPr>
          <w:rFonts w:ascii="Times New Roman" w:hAnsi="Times New Roman"/>
          <w:color w:val="000000" w:themeColor="text1"/>
          <w:sz w:val="16"/>
          <w:szCs w:val="16"/>
        </w:rPr>
      </w:pPr>
    </w:p>
    <w:p w14:paraId="6A455FC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период с 22 по 28 января 1944 г. проходили испытания опытного танка "Объект 239" на Гороховецком АНИОПе. По результатам испы</w:t>
      </w:r>
      <w:r w:rsidRPr="007224C3">
        <w:rPr>
          <w:rFonts w:ascii="Times New Roman" w:hAnsi="Times New Roman"/>
          <w:color w:val="000000" w:themeColor="text1"/>
          <w:sz w:val="16"/>
          <w:szCs w:val="16"/>
        </w:rPr>
        <w:softHyphen/>
        <w:t>таний было сделано заключение, что 100-мм танковая пушка С-34 ар</w:t>
      </w:r>
      <w:r w:rsidRPr="007224C3">
        <w:rPr>
          <w:rFonts w:ascii="Times New Roman" w:hAnsi="Times New Roman"/>
          <w:color w:val="000000" w:themeColor="text1"/>
          <w:sz w:val="16"/>
          <w:szCs w:val="16"/>
        </w:rPr>
        <w:softHyphen/>
        <w:t>тиллерийские полигонные испытания стрельбой выдержала и может быть рекомендована для принятия на вооружение тяжелых танков по</w:t>
      </w:r>
      <w:r w:rsidRPr="007224C3">
        <w:rPr>
          <w:rFonts w:ascii="Times New Roman" w:hAnsi="Times New Roman"/>
          <w:color w:val="000000" w:themeColor="text1"/>
          <w:sz w:val="16"/>
          <w:szCs w:val="16"/>
        </w:rPr>
        <w:softHyphen/>
        <w:t>сле устранения недостатков. Испытания пушки С-34 показали, что раз</w:t>
      </w:r>
      <w:r w:rsidRPr="007224C3">
        <w:rPr>
          <w:rFonts w:ascii="Times New Roman" w:hAnsi="Times New Roman"/>
          <w:color w:val="000000" w:themeColor="text1"/>
          <w:sz w:val="16"/>
          <w:szCs w:val="16"/>
        </w:rPr>
        <w:softHyphen/>
        <w:t>меры башни танка КВ-85 с увеличенным диаметром опоры башни допу</w:t>
      </w:r>
      <w:r w:rsidRPr="007224C3">
        <w:rPr>
          <w:rFonts w:ascii="Times New Roman" w:hAnsi="Times New Roman"/>
          <w:color w:val="000000" w:themeColor="text1"/>
          <w:sz w:val="16"/>
          <w:szCs w:val="16"/>
        </w:rPr>
        <w:softHyphen/>
        <w:t>скают установку в ней 100-мм пушки и размещение трех членов экипа</w:t>
      </w:r>
      <w:r w:rsidRPr="007224C3">
        <w:rPr>
          <w:rFonts w:ascii="Times New Roman" w:hAnsi="Times New Roman"/>
          <w:color w:val="000000" w:themeColor="text1"/>
          <w:sz w:val="16"/>
          <w:szCs w:val="16"/>
        </w:rPr>
        <w:softHyphen/>
        <w:t>жа. По результатам испытаний 100-мм пушки С-34 в танке КВ-85 в кон</w:t>
      </w:r>
      <w:r w:rsidRPr="007224C3">
        <w:rPr>
          <w:rFonts w:ascii="Times New Roman" w:hAnsi="Times New Roman"/>
          <w:color w:val="000000" w:themeColor="text1"/>
          <w:sz w:val="16"/>
          <w:szCs w:val="16"/>
        </w:rPr>
        <w:softHyphen/>
        <w:t>струкцию пушки был внесен ряд изменений, после чего заводом № 92 НКВ было изготовлено еще два дополнительных образца этой пушки. Один образец был предназначен для установки в башню танка ИС-1, второй - в самоходную артиллерийскую установку на базе танка Т-34. Заводу № 100 к 20 февраля необходимо было спроектировать и изгото</w:t>
      </w:r>
      <w:r w:rsidRPr="007224C3">
        <w:rPr>
          <w:rFonts w:ascii="Times New Roman" w:hAnsi="Times New Roman"/>
          <w:color w:val="000000" w:themeColor="text1"/>
          <w:sz w:val="16"/>
          <w:szCs w:val="16"/>
        </w:rPr>
        <w:softHyphen/>
        <w:t>вить опытный танк ИС-1 с пушкой С-34, а к 25 февраля 1944 г. предста</w:t>
      </w:r>
      <w:r w:rsidRPr="007224C3">
        <w:rPr>
          <w:rFonts w:ascii="Times New Roman" w:hAnsi="Times New Roman"/>
          <w:color w:val="000000" w:themeColor="text1"/>
          <w:sz w:val="16"/>
          <w:szCs w:val="16"/>
        </w:rPr>
        <w:softHyphen/>
        <w:t>вить его на полигонные испытания. Изготовление танка задерживалось из-за несвоевременной подачи на завод № 100 пушки С-34 в назначен</w:t>
      </w:r>
      <w:r w:rsidRPr="007224C3">
        <w:rPr>
          <w:rFonts w:ascii="Times New Roman" w:hAnsi="Times New Roman"/>
          <w:color w:val="000000" w:themeColor="text1"/>
          <w:sz w:val="16"/>
          <w:szCs w:val="16"/>
        </w:rPr>
        <w:softHyphen/>
        <w:t>ный срок — к 20 февраля 1944 г. Поэтому в НКТП было принято реше</w:t>
      </w:r>
      <w:r w:rsidRPr="007224C3">
        <w:rPr>
          <w:rFonts w:ascii="Times New Roman" w:hAnsi="Times New Roman"/>
          <w:color w:val="000000" w:themeColor="text1"/>
          <w:sz w:val="16"/>
          <w:szCs w:val="16"/>
        </w:rPr>
        <w:softHyphen/>
        <w:t>ние с целью выполнения постановления ГКО установить в серийный танк ИС-85 пушку Д-10Т. Так появился тяжелый танк "Объект 245" (за</w:t>
      </w:r>
      <w:r w:rsidRPr="007224C3">
        <w:rPr>
          <w:rFonts w:ascii="Times New Roman" w:hAnsi="Times New Roman"/>
          <w:color w:val="000000" w:themeColor="text1"/>
          <w:sz w:val="16"/>
          <w:szCs w:val="16"/>
        </w:rPr>
        <w:softHyphen/>
        <w:t xml:space="preserve">водское обозначение - ИС-4), вооруженный 100-мм пушкой Д-10Т </w:t>
      </w:r>
      <w:r w:rsidRPr="007224C3">
        <w:rPr>
          <w:rFonts w:ascii="Times New Roman" w:hAnsi="Times New Roman"/>
          <w:color w:val="000000" w:themeColor="text1"/>
          <w:sz w:val="16"/>
          <w:szCs w:val="16"/>
        </w:rPr>
        <w:lastRenderedPageBreak/>
        <w:t>за</w:t>
      </w:r>
      <w:r w:rsidRPr="007224C3">
        <w:rPr>
          <w:rFonts w:ascii="Times New Roman" w:hAnsi="Times New Roman"/>
          <w:color w:val="000000" w:themeColor="text1"/>
          <w:sz w:val="16"/>
          <w:szCs w:val="16"/>
        </w:rPr>
        <w:softHyphen/>
        <w:t>вода № 9 НКВ с баллистикой морской пушки Б-34 (длина ствола 56 ка</w:t>
      </w:r>
      <w:r w:rsidRPr="007224C3">
        <w:rPr>
          <w:rFonts w:ascii="Times New Roman" w:hAnsi="Times New Roman"/>
          <w:color w:val="000000" w:themeColor="text1"/>
          <w:sz w:val="16"/>
          <w:szCs w:val="16"/>
        </w:rPr>
        <w:softHyphen/>
        <w:t>либров, начальная скорость бронебойного снаряда 900 м/с). Он был из</w:t>
      </w:r>
      <w:r w:rsidRPr="007224C3">
        <w:rPr>
          <w:rFonts w:ascii="Times New Roman" w:hAnsi="Times New Roman"/>
          <w:color w:val="000000" w:themeColor="text1"/>
          <w:sz w:val="16"/>
          <w:szCs w:val="16"/>
        </w:rPr>
        <w:softHyphen/>
        <w:t>готовлен заводом № 100 в марте - апреле 1944 г. Ведущим инженером машины от завода № 100 был Н.И. Заморянский, а по пушке Д-10Т от завода № 9 - М.Е. Безусов (10703).</w:t>
      </w:r>
    </w:p>
    <w:p w14:paraId="02781AD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AA001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период с 22 по 28 января 1944 г. Танк КВ-100 прошел испытания на Гороховецком АНИОПе. Изготовление опытного образца было связано с проработкой вопроса о возможности установки на тяжелый серийный танк более мощного ору</w:t>
      </w:r>
      <w:r w:rsidRPr="007224C3">
        <w:rPr>
          <w:rFonts w:ascii="Times New Roman" w:hAnsi="Times New Roman"/>
          <w:color w:val="000000" w:themeColor="text1"/>
          <w:sz w:val="16"/>
          <w:szCs w:val="16"/>
        </w:rPr>
        <w:softHyphen/>
        <w:t>жия, чем 85-мм танковая пушка. На вооружение и в серийное производ</w:t>
      </w:r>
      <w:r w:rsidRPr="007224C3">
        <w:rPr>
          <w:rFonts w:ascii="Times New Roman" w:hAnsi="Times New Roman"/>
          <w:color w:val="000000" w:themeColor="text1"/>
          <w:sz w:val="16"/>
          <w:szCs w:val="16"/>
        </w:rPr>
        <w:softHyphen/>
        <w:t>ство танк КВ-100 не принимался из-за крупных недостатков установки вооружения и тесноты расположения экипажа в башне. Опытный образец танка был создан на базе серийного танка КВ-85 и отличался от него установкой в модернизированной башне 100-мм пушки С-34 конструкции и производства ЦАКБ НКВ. В связи с тем, что пушка С-34 имела горизонтальный полуавтоматический затвор, для удобства работы заряжающего его рабочее место было перенесено в ле</w:t>
      </w:r>
      <w:r w:rsidRPr="007224C3">
        <w:rPr>
          <w:rFonts w:ascii="Times New Roman" w:hAnsi="Times New Roman"/>
          <w:color w:val="000000" w:themeColor="text1"/>
          <w:sz w:val="16"/>
          <w:szCs w:val="16"/>
        </w:rPr>
        <w:softHyphen/>
        <w:t>вую часть башни, а рабочие места командира танка и наводчика - в пра</w:t>
      </w:r>
      <w:r w:rsidRPr="007224C3">
        <w:rPr>
          <w:rFonts w:ascii="Times New Roman" w:hAnsi="Times New Roman"/>
          <w:color w:val="000000" w:themeColor="text1"/>
          <w:sz w:val="16"/>
          <w:szCs w:val="16"/>
        </w:rPr>
        <w:softHyphen/>
        <w:t>вую. Соответственно командирская башенка была установлена в правой части крыши башни. Для наблюдения за полем боя командир машины использовал смотровые щели, располагавшиеся по периметру коман</w:t>
      </w:r>
      <w:r w:rsidRPr="007224C3">
        <w:rPr>
          <w:rFonts w:ascii="Times New Roman" w:hAnsi="Times New Roman"/>
          <w:color w:val="000000" w:themeColor="text1"/>
          <w:sz w:val="16"/>
          <w:szCs w:val="16"/>
        </w:rPr>
        <w:softHyphen/>
        <w:t>дирской башенки и поворотный смотровой прибор МК-4, устанавли</w:t>
      </w:r>
      <w:r w:rsidRPr="007224C3">
        <w:rPr>
          <w:rFonts w:ascii="Times New Roman" w:hAnsi="Times New Roman"/>
          <w:color w:val="000000" w:themeColor="text1"/>
          <w:sz w:val="16"/>
          <w:szCs w:val="16"/>
        </w:rPr>
        <w:softHyphen/>
        <w:t>вавшийся в одной из створок крышки люка. Аналогичный смотровой прибор устанавливался в крыше башни для наводчика. Экипаж танка состоял из четырех человек. По результатам испытаний было сделано заключение о том, что 100-мм пушка С-34 после доработки может быть рекомендована для принятия на вооружение тяжелых танков и самоходно-артиллерий-ских установок. Отмеченные недостатки были учтены при доработке конструкции пушки в ЦАКБ НКВ, после чего заводом № 92 были из</w:t>
      </w:r>
      <w:r w:rsidRPr="007224C3">
        <w:rPr>
          <w:rFonts w:ascii="Times New Roman" w:hAnsi="Times New Roman"/>
          <w:color w:val="000000" w:themeColor="text1"/>
          <w:sz w:val="16"/>
          <w:szCs w:val="16"/>
        </w:rPr>
        <w:softHyphen/>
        <w:t>готовлены дополнительно два образца пушек С-34, из которых в июне 1944 г. один был установлен в башню танка ИС-2, а второй - в самоход</w:t>
      </w:r>
      <w:r w:rsidRPr="007224C3">
        <w:rPr>
          <w:rFonts w:ascii="Times New Roman" w:hAnsi="Times New Roman"/>
          <w:color w:val="000000" w:themeColor="text1"/>
          <w:sz w:val="16"/>
          <w:szCs w:val="16"/>
        </w:rPr>
        <w:softHyphen/>
        <w:t>ную установку на базе танка Т-34 (10703).</w:t>
      </w:r>
    </w:p>
    <w:p w14:paraId="18D1903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95E751" w14:textId="77777777" w:rsidR="00792F77" w:rsidRPr="007224C3" w:rsidRDefault="00792F77" w:rsidP="007224C3">
      <w:pPr>
        <w:pStyle w:val="ae"/>
        <w:shd w:val="clear" w:color="auto" w:fill="FFFFFF"/>
        <w:spacing w:before="0" w:after="0"/>
        <w:jc w:val="both"/>
        <w:rPr>
          <w:color w:val="000000" w:themeColor="text1"/>
          <w:sz w:val="16"/>
          <w:szCs w:val="16"/>
        </w:rPr>
      </w:pPr>
      <w:r w:rsidRPr="007224C3">
        <w:rPr>
          <w:color w:val="000000" w:themeColor="text1"/>
          <w:sz w:val="16"/>
          <w:szCs w:val="16"/>
        </w:rPr>
        <w:t>22 января 1944 года начались испытания С-34, установленной в башню КВ-85на Гороховецком АНИОП. Продолжались они до 28 января. За это время было произведено 638 выстрелов, из них 324 усиленным зарядом. Кучность и точность стрельбы были признаны не вполне удовлетворительными — они уступали аналогичным параметрам 100-мм полевой пушки БС-3. Особенно ощутимой оказалась разница при стрельбе бронебойными снарядами.</w:t>
      </w:r>
    </w:p>
    <w:p w14:paraId="23D7F2C2" w14:textId="77777777" w:rsidR="00792F77" w:rsidRPr="007224C3" w:rsidRDefault="00792F77" w:rsidP="007224C3">
      <w:pPr>
        <w:pStyle w:val="ae"/>
        <w:shd w:val="clear" w:color="auto" w:fill="FFFFFF"/>
        <w:spacing w:before="0" w:after="0"/>
        <w:jc w:val="both"/>
        <w:rPr>
          <w:color w:val="000000" w:themeColor="text1"/>
          <w:sz w:val="16"/>
          <w:szCs w:val="16"/>
        </w:rPr>
      </w:pPr>
      <w:r w:rsidRPr="007224C3">
        <w:rPr>
          <w:color w:val="000000" w:themeColor="text1"/>
          <w:sz w:val="16"/>
          <w:szCs w:val="16"/>
        </w:rPr>
        <w:t>Проводились и испытания по стрельбе с ходу. Выяснилось, что огонь на ходу не эффективен, в том числе из-за значительных усилий на маховиках механизмов наведения. Не совсем удачной была признана установка прицела, который рекомендовалось заменить на более совершенный ТШ-16.</w:t>
      </w:r>
    </w:p>
    <w:p w14:paraId="2E88B845" w14:textId="77777777" w:rsidR="00792F77" w:rsidRPr="007224C3" w:rsidRDefault="00792F77" w:rsidP="007224C3">
      <w:pPr>
        <w:pStyle w:val="ae"/>
        <w:shd w:val="clear" w:color="auto" w:fill="FFFFFF"/>
        <w:spacing w:before="0" w:after="0"/>
        <w:jc w:val="both"/>
        <w:rPr>
          <w:color w:val="000000" w:themeColor="text1"/>
          <w:sz w:val="16"/>
          <w:szCs w:val="16"/>
        </w:rPr>
      </w:pPr>
      <w:r w:rsidRPr="007224C3">
        <w:rPr>
          <w:color w:val="000000" w:themeColor="text1"/>
          <w:sz w:val="16"/>
          <w:szCs w:val="16"/>
        </w:rPr>
        <w:t>Сильной стороной системы оказалась скорострельность. При угле возвышения орудия в 2 градуса она составила 12 выстрелов в минуту. Правда, такой темп был достигнут при стрельбе серией из 5 выстрелов, уложенных в нише башни. При закрытых люках и включённом вентиляторе две группы из 10 выстрелов, уложенных в нише башни, удалось отстрелять за 95–105 секунд. Соответственно, реальная скорострельность составила 5,7–6,3 выстрелов в минуту.</w:t>
      </w:r>
    </w:p>
    <w:p w14:paraId="4E1206F5" w14:textId="77777777" w:rsidR="00792F77" w:rsidRPr="007224C3" w:rsidRDefault="00792F77" w:rsidP="007224C3">
      <w:pPr>
        <w:pStyle w:val="ae"/>
        <w:shd w:val="clear" w:color="auto" w:fill="FFFFFF"/>
        <w:spacing w:before="0" w:after="0"/>
        <w:jc w:val="both"/>
        <w:rPr>
          <w:color w:val="000000" w:themeColor="text1"/>
          <w:sz w:val="16"/>
          <w:szCs w:val="16"/>
        </w:rPr>
      </w:pPr>
      <w:r w:rsidRPr="007224C3">
        <w:rPr>
          <w:color w:val="000000" w:themeColor="text1"/>
          <w:sz w:val="16"/>
          <w:szCs w:val="16"/>
        </w:rPr>
        <w:t>При стрельбе на скорострельность отмечалось ослабление гаек механизмов наведения и гильзоотвода. Также постепенно ухудшалась работа клинового затвора. В конце испытаний начальная скорость снаряда уменьшилась на 14,4 метра в секунду, что было в пределах нормы.</w:t>
      </w:r>
    </w:p>
    <w:p w14:paraId="24A1C151" w14:textId="77777777" w:rsidR="00792F77" w:rsidRPr="007224C3" w:rsidRDefault="00792F77" w:rsidP="007224C3">
      <w:pPr>
        <w:pStyle w:val="ae"/>
        <w:shd w:val="clear" w:color="auto" w:fill="FFFFFF"/>
        <w:spacing w:before="0" w:after="0"/>
        <w:jc w:val="both"/>
        <w:rPr>
          <w:color w:val="000000" w:themeColor="text1"/>
          <w:sz w:val="16"/>
          <w:szCs w:val="16"/>
        </w:rPr>
      </w:pPr>
      <w:r w:rsidRPr="007224C3">
        <w:rPr>
          <w:color w:val="000000" w:themeColor="text1"/>
          <w:sz w:val="16"/>
          <w:szCs w:val="16"/>
        </w:rPr>
        <w:t>Идея усилить вооружение КВ-85 родилась в Центральном артиллерийском конструкторском бюро (ЦАКБ), которое разрабатывало орудие семейства С-34. Как и в КБ завода №9, в ЦАКБ разрабатывали триплекс: на одну и ту же люльку планировалось наложить три разных ствола. Базовой моделью была система калибром 100 мм. Цифра 34 в обозначении новой пушки появилось не случайно: базировалось орудие на баллистике 100-мм морской пушки Б-34.</w:t>
      </w:r>
    </w:p>
    <w:p w14:paraId="6C8211DF" w14:textId="77777777" w:rsidR="00792F77" w:rsidRPr="007224C3" w:rsidRDefault="00792F77" w:rsidP="007224C3">
      <w:pPr>
        <w:pStyle w:val="ae"/>
        <w:shd w:val="clear" w:color="auto" w:fill="FFFFFF"/>
        <w:spacing w:before="0" w:after="0"/>
        <w:jc w:val="both"/>
        <w:rPr>
          <w:color w:val="000000" w:themeColor="text1"/>
          <w:sz w:val="16"/>
          <w:szCs w:val="16"/>
        </w:rPr>
      </w:pPr>
      <w:r w:rsidRPr="007224C3">
        <w:rPr>
          <w:color w:val="000000" w:themeColor="text1"/>
          <w:sz w:val="16"/>
          <w:szCs w:val="16"/>
        </w:rPr>
        <w:t>Для установки Б-34 ЦАКБ получило один из серийных образцов КВ-85. Установка этой системы потребовала куда больших переделок, чем в случае с Д-25Т. Клиновой затвор у С-34 открывался не влево, а вправо, при этом заряжающего нужно было разместить с левой стороны. Для этого башню пришлось существенно переделывать. Заряжающий и командир поменялись местами, одновременно вправо переместилось место наводчика. Вместе с наводчиком «переехали» и прицел со спаренным пулемётом. Пришлось переделывать механизмы поворота башни: маховик наводки по вертикали находился слева, а по горизонтали — справа.</w:t>
      </w:r>
    </w:p>
    <w:p w14:paraId="54F482DC" w14:textId="77777777" w:rsidR="00792F77" w:rsidRPr="007224C3" w:rsidRDefault="00792F77" w:rsidP="007224C3">
      <w:pPr>
        <w:pStyle w:val="ae"/>
        <w:shd w:val="clear" w:color="auto" w:fill="FFFFFF"/>
        <w:spacing w:before="0" w:after="0"/>
        <w:jc w:val="both"/>
        <w:rPr>
          <w:color w:val="000000" w:themeColor="text1"/>
          <w:sz w:val="16"/>
          <w:szCs w:val="16"/>
        </w:rPr>
      </w:pPr>
      <w:r w:rsidRPr="007224C3">
        <w:rPr>
          <w:color w:val="000000" w:themeColor="text1"/>
          <w:sz w:val="16"/>
          <w:szCs w:val="16"/>
        </w:rPr>
        <w:t>Серьёзной переделке подверглась орудийная установка. Изменилась неподвижная бронировка, а подвижную бронировку пришлось делать практически с нуля. Она получилась заметно шире, чем подвижная бронировка Д-5Т и Д-25Т. Укладки на опытной машине переделывать не стали.</w:t>
      </w:r>
    </w:p>
    <w:p w14:paraId="434D0CA9" w14:textId="77777777" w:rsidR="00792F77" w:rsidRPr="007224C3" w:rsidRDefault="00792F77" w:rsidP="007224C3">
      <w:pPr>
        <w:pStyle w:val="ae"/>
        <w:shd w:val="clear" w:color="auto" w:fill="FFFFFF"/>
        <w:spacing w:before="0" w:after="0"/>
        <w:jc w:val="both"/>
        <w:rPr>
          <w:color w:val="000000" w:themeColor="text1"/>
          <w:sz w:val="16"/>
          <w:szCs w:val="16"/>
        </w:rPr>
      </w:pPr>
      <w:r w:rsidRPr="007224C3">
        <w:rPr>
          <w:color w:val="000000" w:themeColor="text1"/>
          <w:sz w:val="16"/>
          <w:szCs w:val="16"/>
        </w:rPr>
        <w:t>С-34 испытания выдержала, но при этом от ЦАКБ требовалось внести улучшения в конструкцию орудия. Размещение экипажа внутри боевого отделения было признано более-менее удачным, но нужно было серьёзно улучшить условия работы наводчика и командира, который лишился дополнительного объёма в выступе, оставшемся с левой стороны. Из-за этого командиру было тесно, да ещё и возник серьёзный риск получить травму казённой частью орудия при стрельбе. Решением проблемы могло стать перемещение выступа на правую сторону башни. Также от ЦАКБ требовалось разработать укладку выстрелов в корпусе.</w:t>
      </w:r>
    </w:p>
    <w:p w14:paraId="7DEB87F5" w14:textId="77777777" w:rsidR="00792F77" w:rsidRPr="007224C3" w:rsidRDefault="00792F77" w:rsidP="007224C3">
      <w:pPr>
        <w:pStyle w:val="ae"/>
        <w:shd w:val="clear" w:color="auto" w:fill="FFFFFF"/>
        <w:spacing w:before="0" w:after="0"/>
        <w:jc w:val="both"/>
        <w:rPr>
          <w:color w:val="000000" w:themeColor="text1"/>
          <w:sz w:val="16"/>
          <w:szCs w:val="16"/>
        </w:rPr>
      </w:pPr>
      <w:r w:rsidRPr="007224C3">
        <w:rPr>
          <w:color w:val="000000" w:themeColor="text1"/>
          <w:sz w:val="16"/>
          <w:szCs w:val="16"/>
        </w:rPr>
        <w:t>Впрочем, этим ЦАКБ уже не занималось. ЦАКБ не планировало перевооружать КВ-85, опытный танк был не более чем тестовой лабораторией. Целью этих работ являлось создание 100-мм орудия для танка ИС. В дальнейшем коллектив ЦАКБ продолжил работу по С-34 уже с использованием танка ИС, эта машина получила обозначение Объект 248. Работы по КВ-85 с С-34 (или КВ-100, как его иногда называют) были остановлены (17722).</w:t>
      </w:r>
    </w:p>
    <w:p w14:paraId="4FCBB6AB" w14:textId="77777777" w:rsidR="00792F77" w:rsidRPr="007224C3" w:rsidRDefault="00792F77" w:rsidP="007224C3">
      <w:pPr>
        <w:spacing w:after="0" w:line="240" w:lineRule="auto"/>
        <w:jc w:val="both"/>
        <w:rPr>
          <w:rFonts w:ascii="Times New Roman" w:eastAsia="Times New Roman" w:hAnsi="Times New Roman"/>
          <w:color w:val="000000" w:themeColor="text1"/>
          <w:sz w:val="16"/>
          <w:szCs w:val="16"/>
          <w:lang w:eastAsia="ru-RU"/>
        </w:rPr>
      </w:pPr>
    </w:p>
    <w:p w14:paraId="552B90EA"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января 1944 года вышел приказ № 36с НКТП</w:t>
      </w:r>
    </w:p>
    <w:p w14:paraId="03635633"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 исполнение Постановления ГКО за № 4975с от 18 января 1944 года:</w:t>
      </w:r>
    </w:p>
    <w:p w14:paraId="14EE994E"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Начальнику 2 Гл. управления НКТП передать Наркомрыбпрому завод № 45 (“Коммунист”) в Марксе (6143, 111).</w:t>
      </w:r>
    </w:p>
    <w:p w14:paraId="207BF059"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DC043D9"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января 1944 вышло Распоряжение ГКО № 4997 [О производстве и поставке НКО антипаразитарных препаратов.] (7176, 151-152).</w:t>
      </w:r>
    </w:p>
    <w:p w14:paraId="63F7BA8A"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1BC30C0"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января 1944 вышло Распоряжение ГКО № 4998 [Об освобождении Разина Н.М. от обязанностей уполномоченного по отгрузке угля по комбинату "Ростовуголь".] (7176, 153).</w:t>
      </w:r>
    </w:p>
    <w:p w14:paraId="1BA70FD1"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316852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января 1944 вышло Распоряжение ГКО № 4999. О мобилизации в Узбекской ССР 600 военнообязанных, годных к нестроевой службе, для постоянной работы на предприятиях местной топливной промышленности республики. РГАНИР, Фонд ГКО, д. 195, лл. 154 (11012).</w:t>
      </w:r>
    </w:p>
    <w:p w14:paraId="41FE831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5BF8722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января 1944 вышло Распоряжение ГКО № 5000. О поставках с КМК мерной броневой полосы для бронекорпусов танков Т-34. РГАНИР, Фонд ГКО, д. 195, лл. 155 (11012).</w:t>
      </w:r>
    </w:p>
    <w:p w14:paraId="6540501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6F4D108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января 1944 вышло Распоряжение ГКО № 5001. О мерах по обеспечению выпуска анодного никеля на комбинате "Североникель" в I кв. 1944 г. РГАНИР, Фонд ГКО, д. 195, лл. 156 (11012).</w:t>
      </w:r>
    </w:p>
    <w:p w14:paraId="7A7F7E7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0823149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января 1944 вышло Постановление ГКО № 5002 Об организации производства траков для гусеничных тракторов на Сталинградском тракторном заводе Наркомтанкопрома. РГАНИР, Фонд ГКО, д. 195, лл. 157 (11012).</w:t>
      </w:r>
    </w:p>
    <w:p w14:paraId="44D8ABD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4745DEB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января 1944 вышло Постановление ГКО № 5003 Об обеспечении автомобильных и автоприцепных заводов Наркомсредмаша пиломатериалами для автостроения в первом полугодии 1944 г. РГАНИР, Фонд ГКО, д. 195, лл. 158-161 (11012).</w:t>
      </w:r>
    </w:p>
    <w:p w14:paraId="5E7D79A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0EB1DD5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января 1944 вышло Постановление ГКО № 5004 О восстановлении турбоагрегата 100 мгвт и 3 генераторов по 50 мгвт Зуевской ГРЭС Донбассэнерго. РГАНИР, Фонд ГКО, д. 195, лл. 162,163-167 (11012).</w:t>
      </w:r>
    </w:p>
    <w:p w14:paraId="5884C68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78C192F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января 1944 вышло Постановление ГКО № 5005 О мероприятиях по восстановлению лесопильных и деревообрабатывающих предприятий Наркомлеса УССР. РГАНИР, Фонд ГКО, д. 195, лл. 168-170,171-172 (11012).</w:t>
      </w:r>
    </w:p>
    <w:p w14:paraId="3530111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100C1624"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января 1944 вышло Постановление ГКО № 5006 Об увеличении производства резиновых галош на заводе "Красный богатырь" Наркомрезинпрома. (7176, 173-175,176-178).</w:t>
      </w:r>
    </w:p>
    <w:p w14:paraId="3ABA2FCE"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3C8CBA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января 1944 вышло Распоряжение ГКО № 5007. О мерах по восстановлению ЦЭС Бежицкого завода "Красный Профинтерн". РГАНИР, Фонд ГКО, д. 195, лл. 179-180 (11012).</w:t>
      </w:r>
    </w:p>
    <w:p w14:paraId="193A7D8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73EE30B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января 1944 вышло Постановление ГКО № 5008 О восстановлении Харьковской группы заводов Наркомата станкостроения. РГАНИР, Фонд ГКО, д. 195, лл. 181-186,187 (11012).</w:t>
      </w:r>
    </w:p>
    <w:p w14:paraId="13CF5DF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155531F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января 1944 вышло Постановление ГКО № 5009 О плане военного судостроения и судоремонта по ленинградским заводам Наркомсудпрома на 1944 г. РГАНИР, Фонд ГКО, д. 195, лл. 188-193,194-224 (11012).</w:t>
      </w:r>
    </w:p>
    <w:p w14:paraId="0069902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6CCC7C2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22 января 1944 вышло Постановление ГКО № 5012 О мерах по обеспечению производства синтетического каучука, автомобильных, авиационных и артиллерийских шин, средств химической защиты, инженерного и воздухоплавательного имущества, а также других резинотехнических и асбестовых изделий. РГАНИР, Фонд ГКО, д. 196, лл. 11-31 (11012).</w:t>
      </w:r>
    </w:p>
    <w:p w14:paraId="7BC3459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0D51E29D"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января 1944 вышло Постановление ГКО № 5013 О плане ремонта тракторов для Красной Армии и Военно-Морского Флота на I квартал 1944 г. (7177, 32-36,37-72).</w:t>
      </w:r>
    </w:p>
    <w:p w14:paraId="196F6765"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1DE56AB"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января 1944 вышло Распоряжение ГКО № 5014 [О мерах по обеспечению строительства завода № 402 НКСП инструментом, оборудованием, рабочей силой.] (7177, 73-77,78-80).</w:t>
      </w:r>
    </w:p>
    <w:p w14:paraId="29AFDB2E"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A782D41"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января 1944 вышло Постановление ГКО № 5015 О плане производства протезных изделий на I квартал 1944 г. (7177, 81-82,83-90).</w:t>
      </w:r>
    </w:p>
    <w:p w14:paraId="4F6D03A2"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43142B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января 1944 вышло Постановление ГКО № 5016 О материально-техническом обеспечении подшипниковых заводов Наркомсредмаша в I квартале 1944 года. РГАНИР, Фонд ГКО, д. 196, лл. 91-102,103-127 (11012).</w:t>
      </w:r>
    </w:p>
    <w:p w14:paraId="10D8DFF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6B14C1C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января 1944 вышло Постановление ГКО № 5017 О плане ремонта и производства военно-технического имущества на предприятиях НКО в I квартале 1944 г. РГАНИР, Фонд ГКО, д. 196, лл. 128-130,131-172 (11012).</w:t>
      </w:r>
    </w:p>
    <w:p w14:paraId="165AA7D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2EE6A88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января 1944 вышло Постановление ГКО № 5018 О неотложных мерах по ускорению строительства Барнаульского котельного завода Наркомтяжмаша и увеличению выпуска паровых котлов, арматуры и котельно-вспомогательного оборудования. РГАНИР, Фонд ГКО, д. 196, лл. 173-180,181-188 (11012).</w:t>
      </w:r>
    </w:p>
    <w:p w14:paraId="61DBCAF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4807092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января 1944 вышло Постановление ГКО № 5019 Об изготовлении и ремонте средств вооружения и оборудования на предприятиях Наркомвоенморфлота в I квартале 1944 года. РГАНИР, Фонд ГКО, д. 196, лл. 189-191,192-209 (11012).</w:t>
      </w:r>
    </w:p>
    <w:p w14:paraId="50F5F9D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077DEE65"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052F4AE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259017F" w14:textId="77777777" w:rsidR="00171E88" w:rsidRPr="007224C3" w:rsidRDefault="00171E88"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22 января</w:t>
      </w:r>
      <w:r w:rsidRPr="007224C3">
        <w:rPr>
          <w:rFonts w:ascii="Times New Roman" w:hAnsi="Times New Roman"/>
          <w:color w:val="000000" w:themeColor="text1"/>
          <w:sz w:val="16"/>
          <w:szCs w:val="16"/>
        </w:rPr>
        <w:t xml:space="preserve"> в 1944 году оперативная сводка Совинформбюро:</w:t>
      </w:r>
    </w:p>
    <w:p w14:paraId="2B9B117F" w14:textId="77777777" w:rsidR="00171E88" w:rsidRPr="007224C3" w:rsidRDefault="00171E8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и южнее Красное Село наши войска продолжали наступление, с боями заняли более 40 населённых пунктов, в том числе Трудовик, Переярово, Волковицы, Нисковицы, Большое Ондрово, Кастино, Питкелево, Куйдузи, Воудилово, Кезелево, Юля-Пурсково, Покизен-Пурсково, Большая Истинка, Тайцы, Новая Пудость, Вайялово, Малое Пегелево, Александровское, Зайцево, Коврово, Пендолово, Комолово, Баболова и железнодорожные станции Тайцы и Ижора.</w:t>
      </w:r>
    </w:p>
    <w:p w14:paraId="76FAFCFE" w14:textId="77777777" w:rsidR="00171E88" w:rsidRPr="007224C3" w:rsidRDefault="00171E8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Севернее и северо-восточнее Тосно наши войска с боями продвигались вперёд и заняли более 30 населённых пунктов, в том числе Отрадное, Рождественно, Перевоз, Воскресенское, Захожье, Войтолово, Пухолово, Сиголово, Сологубовка, Лезье, Петрово, Турышкино, Муя, Старостино, Ерзуново, Белоголово, Малукса, Березовка, Шапки и железнодорожные станции Пелла, Сологубовка, Турышкино, Малукса. Нашими войсками, полностью очищена от противника железная дорога Кириши—Мга—Ленинград.</w:t>
      </w:r>
    </w:p>
    <w:p w14:paraId="15C89489" w14:textId="77777777" w:rsidR="00171E88" w:rsidRPr="007224C3" w:rsidRDefault="00171E8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Новгорода наши войска полностью ликвидировали разрозненные группы противника, окружённые в лесах западнее города, а также с боями заняли населённые пункты Заклинье, Сутоки, Дубня и железнодорожную станцию Татино.</w:t>
      </w:r>
    </w:p>
    <w:p w14:paraId="4AF713C6" w14:textId="77777777" w:rsidR="00171E88" w:rsidRPr="007224C3" w:rsidRDefault="00171E8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Северо-западнее Калинковичи наши войска заняли несколько населённых пунктов и среди них Мармовичи, Лесец, Соловейка, Дубняки, Перекрутовский Воротынь, Каплецкий Воротынь, Кротов.</w:t>
      </w:r>
    </w:p>
    <w:p w14:paraId="03BE8221" w14:textId="77777777" w:rsidR="00171E88" w:rsidRPr="007224C3" w:rsidRDefault="00171E8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в ряде пунктов шли бои местного значения.</w:t>
      </w:r>
    </w:p>
    <w:p w14:paraId="3E92CE61" w14:textId="77777777" w:rsidR="00171E88" w:rsidRPr="007224C3" w:rsidRDefault="00171E8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21 января наши войска на всех фронтах подбили и уничтожили 45 немецких танков. В воздушных боях и огнём зенитной артиллерии сбито 18 самолётов противника.</w:t>
      </w:r>
    </w:p>
    <w:p w14:paraId="21044764" w14:textId="77777777" w:rsidR="00171E88" w:rsidRPr="007224C3" w:rsidRDefault="00171E8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и южнее города Красное Село наши войска продолжали наступление и, продвигаясь вперёд, с боями заняли более 40 населённых пунктов. Части Н-ского соединения в течение дня уничтожили свыше 1.500 немецких солдат и офицеров и взяли большое число пленных. Захвачено у немцев 8 исправных танков, 88 орудий, в том числе несколько орудий крупного калибра, 5 складов с продовольствием, а также много другого вооружения и снаряжения. Около одного населённого пункта немецкие танки пытались контратаковать наши наступающие подразделения. Старшина т.Рубилов выдвинулся вперёд и несколькими выстрелами из противотанкового ружья зажёг два немецких танка. Остальные танки противника быстро отошли. Наши бойцы немедленно бросились в атаку и, сломив оборону немцев, овладели крупным населённым пунктом.</w:t>
      </w:r>
    </w:p>
    <w:p w14:paraId="3C338D3D" w14:textId="77777777" w:rsidR="00171E88" w:rsidRPr="007224C3" w:rsidRDefault="00171E8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Севернее и северо-восточнее Тосно наши войска, продвигаясь вперёд, заняли свыше 30 населённых пунктов и полностью очистили от противника железную дорогуКириши—Мга—Ленинград. Нанося немцам непрерывные удары, части Н-ского соединения уничтожили до полка пехоты противника. Захвачены 7 артиллерийских батарей и несколько складов с боеприпасами. На другом участке наши передовые отряды внезапно ворвались в деревню, в которой находились гитлеровцы. Немцы в панике побежали и в большей своей части были уничтожены. Захвачен большой обоз с военным имуществом.</w:t>
      </w:r>
    </w:p>
    <w:p w14:paraId="20BE22B2" w14:textId="77777777" w:rsidR="00171E88" w:rsidRPr="007224C3" w:rsidRDefault="00171E8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Новгорода наши войска вели наступательные бои. Немцы упорно защищали железнодорожную станцию Татино, пытаясь выиграть время и привести в порядок свои разгромленные части. Советские бойцы стремительно атаковали противника и после ожесточённого боя овладели этой станцией. На другом участке разведчики Н-скойчасти разгромили батальон гитлеровцев и захватили 8 орудий, 36 пулемётов, 22 автомашины и склад боеприпасов. Наши войска целиком ликвидировали разрозненные группы противника, окружённые в лесах западнее Новгорода. Многие немецкие солдаты и офицеры сложили оружие и сдались в плен.</w:t>
      </w:r>
    </w:p>
    <w:p w14:paraId="3945CFB8" w14:textId="77777777" w:rsidR="00171E88" w:rsidRPr="007224C3" w:rsidRDefault="00171E8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Северо-западнее Калинковичи бойцы Н-ского соединения, преодолевая сильное огневое сопротивление и отражая контратаки немцев, продолжали наступление. В бою за населённые пункты Мармовичи и Соловейка уничтожено до 500 гитлеровцев и 4 немецких танка. В другом районе бойцы Н-ской части по лесной дороге проникли в тыл противника и истребили до роты гитлеровцев.</w:t>
      </w:r>
    </w:p>
    <w:p w14:paraId="463EA381" w14:textId="77777777" w:rsidR="00171E88" w:rsidRPr="007224C3" w:rsidRDefault="00171E8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Баренцовом море потоплены два транспорта противника водоизмещением по 6 тысяч тонн каждый, сторожевой корабль и немецкая подводная лодка.</w:t>
      </w:r>
    </w:p>
    <w:p w14:paraId="6C1367A6" w14:textId="77777777" w:rsidR="00171E88" w:rsidRPr="007224C3" w:rsidRDefault="00171E8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Калининский партизанский отряд в течение двух дней вёл бой с карательным отрядом немцев. Советские патриоты отошли в лес и заманили туда карателей. Измотав противника, партизаны нанесли ему решительный удар. Гитлеровцы отступили, оставив в лесу до 200 трупов своих солдат и офицеров. Другой отряд калининских партизан пустил под откос немецкий воинский эшелон. Во время крушения разбиты 2 платформы с орудиями, 6 вагонов с продовольствием и убито 44 немецких солдата.</w:t>
      </w:r>
    </w:p>
    <w:p w14:paraId="3F7C38B3" w14:textId="77777777" w:rsidR="00171E88" w:rsidRPr="007224C3" w:rsidRDefault="00171E8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одном участке 2-го Украинского фронта захвачена в плен группа солдат иунтер-офицеров 23 немецкой танковой дивизии. Пленный унтер-офицер 3 роты 126 гренадерского полка Иоганн Брихт рассказал: «В середине октября наша дивизия была разбита. Командир 126 полка подполковник фон Виннинг убит. Из остатков дивизии был сформирован один батальон. В ноябре дивизию пополнили и восстановили. Однако пополнения хватило не надолго. Русские опять нанесли нам тяжёлое поражение». Пленный унтер-офицер 2 роты того же полка Герман Феловзаявил: «Я добровольно пошёл в армию и дал подписку прослужить 12 лет, в чём теперь сильно раскаиваюсь.</w:t>
      </w:r>
    </w:p>
    <w:p w14:paraId="1B980C5D" w14:textId="77777777" w:rsidR="00171E88" w:rsidRPr="007224C3" w:rsidRDefault="00171E8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Тогда я был уверен в победе Германии и рассчитывал после войны приобрести поместье на Украине. После поражений, которые понесла немецкая армия в России, теперь нам больше не на что надеяться» (15017).</w:t>
      </w:r>
    </w:p>
    <w:p w14:paraId="331EFD64" w14:textId="77777777" w:rsidR="00171E88" w:rsidRPr="007224C3" w:rsidRDefault="00171E88" w:rsidP="007224C3">
      <w:pPr>
        <w:spacing w:after="0" w:line="240" w:lineRule="auto"/>
        <w:jc w:val="both"/>
        <w:rPr>
          <w:rFonts w:ascii="Times New Roman" w:hAnsi="Times New Roman"/>
          <w:color w:val="000000" w:themeColor="text1"/>
          <w:sz w:val="16"/>
          <w:szCs w:val="16"/>
        </w:rPr>
      </w:pPr>
    </w:p>
    <w:p w14:paraId="46EBA23F" w14:textId="77777777" w:rsidR="00171E88" w:rsidRPr="007224C3" w:rsidRDefault="00171E88"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22 января</w:t>
      </w:r>
      <w:r w:rsidRPr="007224C3">
        <w:rPr>
          <w:rFonts w:ascii="Times New Roman" w:hAnsi="Times New Roman"/>
          <w:color w:val="000000" w:themeColor="text1"/>
          <w:sz w:val="16"/>
          <w:szCs w:val="16"/>
        </w:rPr>
        <w:t xml:space="preserve"> в 1944 году в Ленинграде разорвался последний вражеский снаряд (15017).</w:t>
      </w:r>
    </w:p>
    <w:p w14:paraId="58BC1836" w14:textId="77777777" w:rsidR="00171E88" w:rsidRPr="007224C3" w:rsidRDefault="00171E88" w:rsidP="007224C3">
      <w:pPr>
        <w:spacing w:after="0" w:line="240" w:lineRule="auto"/>
        <w:jc w:val="both"/>
        <w:rPr>
          <w:rFonts w:ascii="Times New Roman" w:hAnsi="Times New Roman"/>
          <w:color w:val="000000" w:themeColor="text1"/>
          <w:sz w:val="16"/>
          <w:szCs w:val="16"/>
        </w:rPr>
      </w:pPr>
    </w:p>
    <w:p w14:paraId="42F9BAD7"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января 1944 советские войска окружили немцев под Витебском (4962).</w:t>
      </w:r>
    </w:p>
    <w:p w14:paraId="0181A12D"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510F15E"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января 1944 вышло Постановление ГКО № 5010 Об улучшении метеорологического обслуживания воздушной трассы Красноярск - Уэлькаль. (7176, 225-228,229-232).</w:t>
      </w:r>
    </w:p>
    <w:p w14:paraId="5608A1ED"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438F34A"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37DA30D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89011C7" w14:textId="77777777" w:rsidR="00A178F0" w:rsidRPr="007224C3" w:rsidRDefault="00A178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22 января</w:t>
      </w:r>
      <w:r w:rsidRPr="007224C3">
        <w:rPr>
          <w:rFonts w:ascii="Times New Roman" w:hAnsi="Times New Roman"/>
          <w:color w:val="000000" w:themeColor="text1"/>
          <w:sz w:val="16"/>
          <w:szCs w:val="16"/>
        </w:rPr>
        <w:t xml:space="preserve"> в 1944 году выступая в парламенте, У.Черчилль признал обоснованность претензий СССР на территории Западной Украины и Западной Белоруссии (15017).</w:t>
      </w:r>
    </w:p>
    <w:p w14:paraId="5A06D42F" w14:textId="77777777" w:rsidR="00A178F0" w:rsidRPr="007224C3" w:rsidRDefault="00A178F0" w:rsidP="007224C3">
      <w:pPr>
        <w:spacing w:after="0" w:line="240" w:lineRule="auto"/>
        <w:jc w:val="both"/>
        <w:rPr>
          <w:rFonts w:ascii="Times New Roman" w:hAnsi="Times New Roman"/>
          <w:color w:val="000000" w:themeColor="text1"/>
          <w:sz w:val="16"/>
          <w:szCs w:val="16"/>
        </w:rPr>
      </w:pPr>
    </w:p>
    <w:p w14:paraId="5307078F"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января 1944 войска союзников высадились у Анцио (Италия), в тылу германских войск, прорвав тем самым немецкую линию обороны “Густав” (4962).</w:t>
      </w:r>
    </w:p>
    <w:p w14:paraId="4FB9D5C9"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74B5BE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Jan 22 1944 Allies land at Anzio (1050).</w:t>
      </w:r>
    </w:p>
    <w:p w14:paraId="1110BB1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9E6B1A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января 1944 союзники высадились в Анцио (1050) и Неттуно в Италии (2247,1) - к юго востоку от Рима, пытаясь обойти линию Густава с фланга (3907,248). Высадили 50 тыс. чел. со 126 кораблей и 250 транспортных судов. Задействовали 700 самолетов. Противостояли 2 батальона и несколько батарей береговой артиллерии. Несмотря на то, что 5А американцев начала наступление на Монте Кассино, оттянув силы немцев, нерешительность действия десанта привело к тому, что немцы десант бликировали и держали до мая 1944 (2438,57).</w:t>
      </w:r>
    </w:p>
    <w:p w14:paraId="323A525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76E64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January 22, 1944. Mediterranean Allied Air Forces fly 1,200 sorties in support of Operation Shingle, the amphibious landings at Anzio, Italy (1089).</w:t>
      </w:r>
    </w:p>
    <w:p w14:paraId="266CC42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2AAF142" w14:textId="77777777" w:rsidR="006E11C9" w:rsidRPr="007224C3" w:rsidRDefault="006E11C9"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22 января 1944 в ходе операции «Шингл» союзные войска высаживаются в Анцио и Неттуно, Италия. Авиация союзников совершила 1200 боевых вылетов в поддержку высадки (20373).</w:t>
      </w:r>
    </w:p>
    <w:p w14:paraId="22F65B74" w14:textId="77777777" w:rsidR="006E11C9" w:rsidRPr="007224C3" w:rsidRDefault="006E11C9" w:rsidP="007224C3">
      <w:pPr>
        <w:spacing w:after="0" w:line="240" w:lineRule="auto"/>
        <w:jc w:val="both"/>
        <w:rPr>
          <w:rFonts w:ascii="Times New Roman" w:hAnsi="Times New Roman"/>
          <w:color w:val="0070C0"/>
          <w:sz w:val="16"/>
          <w:szCs w:val="16"/>
        </w:rPr>
      </w:pPr>
    </w:p>
    <w:p w14:paraId="35ADD2E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января 1944 авиация союзников выполнила 1200 вылетов для поддержки высадки в Анцио в Италии (1089).</w:t>
      </w:r>
    </w:p>
    <w:p w14:paraId="6880C46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FA9CA0"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января 1944 американский флот в Тихом океане начал операцию по захвату Маршалловых островов (4962).</w:t>
      </w:r>
    </w:p>
    <w:p w14:paraId="5F57625E"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6658B7D" w14:textId="77777777" w:rsidR="00A178F0"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70A4FDFE" w14:textId="77777777" w:rsidR="00A178F0" w:rsidRPr="007224C3" w:rsidRDefault="00A178F0"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4B0F356" w14:textId="77777777" w:rsidR="00A178F0" w:rsidRPr="007224C3" w:rsidRDefault="00A178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23 января</w:t>
      </w:r>
      <w:r w:rsidRPr="007224C3">
        <w:rPr>
          <w:rFonts w:ascii="Times New Roman" w:hAnsi="Times New Roman"/>
          <w:color w:val="000000" w:themeColor="text1"/>
          <w:sz w:val="16"/>
          <w:szCs w:val="16"/>
        </w:rPr>
        <w:t xml:space="preserve"> в 1944 году проходят испытания истребителя-штурмовика «Як-9К» с 45-мм пушкой «НС-45», пилот В.Е.Голофастов. Этот истребитель предназначался главным образом для атак наземных целей и борьбы с бомбардировщиками противника; «Як-9», созданный в конце 1942 г., стал самым массовым истребителем советских ВВС в период Великой Отечественной войны. За 1942-1945 гг. авиапромышленность выпустила 15470 самолетов этого типа. При его создании за основу был взят истребитель «Як-7Б» с мотором «М-105ПФ». Производство «Як-9» началось в конце 1942 г. Этот самолет обладал отличными пилотажными качествами и превосходной маневренностью, был устойчив на всех режимах полета. В 1943 г. был создан и выпускался крупной серией «Як-9Т», вооруженный пушкой калибра 37 мм, а в 1944 г. вышел и «Як-9К» с пушкой калибра 45 мм. Эти истребители предназначались главным образом для атак наземных целей и борьбы с бомбардировщиками противника. В 1943 г. на фронт пошли истребители «Як-9Д», имевшие увеличенный запас топлива, а в 1944 г. был создан и сверхдальний вариант – «Як-9ДД», выпускавшийся небольшой серией. Если максимальная дальность полета «Як-9» составляла 910 км, то у «Як-9Д» она была 1400 км, а у «Як-9ДД» 1800 км. Небольшой серией выпускался и истребитель-бомбардировщик «Як-9Б», в фюзеляже которого размещалось до 400 кг бомб. Когда «Як-9К» летел со скоростью меньшей чем 350 км/час и пилот начинал стрелять из «НС-45», то трясло не только самолет, но и его самого мотало в кресле взад-вперед как в разгоняющемся и тормозящем автомобиле. Когда самолет летел значительно быстрее и пилот делал одиночные выстрелы, то это уже не оказывало существенного виляния на характер полета и точность огня. Прицеливание облегчало то, что 45 мм снаряды оставляли за собой бледно-розовый с лед в течение 4,5 сек. Огонь, тянущийся за снарядом, прочерчивал путь к цели и был хорошо виден как днем, так и ночью. Второй выстрел, а так же очередь из трех или больше снарядов, делали прицеливание полностью невозможным, так как самолет изменял даже направление полета. Если принять во внимание, что после попадания одного снаряда из пушки «НС-45» вражеский самолет рассыпался в воздухе, то боезапас в 29 снарядов представляется вполне достаточным. Один снаряд так же полностью уничтожал грузовой автомобиль.</w:t>
      </w:r>
    </w:p>
    <w:p w14:paraId="1373D9AD" w14:textId="77777777" w:rsidR="00A178F0" w:rsidRPr="007224C3" w:rsidRDefault="00A178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Сила отдачи, несмотря на ис¬пользование дульного тормоза, была так велика (7000 кг), что после возвращения из боя на самолете обнаруживались многочисленные течи - из трещин трубопроводов различных систем. Все это было уже известно после государственных испытаний, проводившихся в НИИ ВСС в период с 12 января по 8 апреля 1944 года. Но мощь огня «Як-9К» была так велика, что в период с апреля по июль 1944 года было построено 53 машины, 44 из которых передали в два истребительных полка (15018).</w:t>
      </w:r>
    </w:p>
    <w:p w14:paraId="5E72747F" w14:textId="77777777" w:rsidR="00A178F0" w:rsidRPr="007224C3" w:rsidRDefault="00A178F0" w:rsidP="007224C3">
      <w:pPr>
        <w:spacing w:after="0" w:line="240" w:lineRule="auto"/>
        <w:jc w:val="both"/>
        <w:rPr>
          <w:rFonts w:ascii="Times New Roman" w:hAnsi="Times New Roman"/>
          <w:color w:val="000000" w:themeColor="text1"/>
          <w:sz w:val="16"/>
          <w:szCs w:val="16"/>
        </w:rPr>
      </w:pPr>
    </w:p>
    <w:p w14:paraId="67EC243F"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6937653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D33EBF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января 1944 вышло постановление ГКО N 5020cc о принятии на вооружение Т-34-85 (4390) с пушкой ЗИС-С-53 (3547).</w:t>
      </w:r>
    </w:p>
    <w:p w14:paraId="1BF13B6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80A6E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января 1944 вышло Постановление ГКО № 5020 Об увеличении производства танков Т-34-85 с 85 мм пушкой и с расширенным погоном. РГАНИР, Фонд ГКО, д. 197, лл. 1-5 (11012).</w:t>
      </w:r>
    </w:p>
    <w:p w14:paraId="328EABA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265BFC1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января 1944 г. постановлением ГКО танк Т-34, оснащенный 85-мм пушкой ЗИС-С-53 под маркой Т-34-85 был принят на вооружение Красной Армии (10703).</w:t>
      </w:r>
    </w:p>
    <w:p w14:paraId="31E1B5D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0A1CF9" w14:textId="77777777" w:rsidR="00961B62" w:rsidRPr="007224C3" w:rsidRDefault="00961B62" w:rsidP="007224C3">
      <w:pPr>
        <w:pStyle w:val="ae"/>
        <w:spacing w:before="0" w:after="0"/>
        <w:jc w:val="both"/>
        <w:textAlignment w:val="baseline"/>
        <w:rPr>
          <w:color w:val="000000" w:themeColor="text1"/>
          <w:sz w:val="16"/>
          <w:szCs w:val="16"/>
        </w:rPr>
      </w:pPr>
      <w:r w:rsidRPr="007224C3">
        <w:rPr>
          <w:color w:val="000000" w:themeColor="text1"/>
          <w:sz w:val="16"/>
          <w:szCs w:val="16"/>
        </w:rPr>
        <w:t>23 января 1944 года было подписано постановление ГКО №5020сс «Об увеличении производства танков Т-34-85 с 85-мм пушкой и расширенным погоном». С марта 1944 года началось производство основной версии Т-34-85. В связи с некоторыми дефектами, обнаруженными в конструкции орудия С-53, пушку доработали силами КБ завода №92 (эти орудия получили обозначение ЗИС-С-53). Именно эта система стала основным танковым орудием калибра 85 мм (18998).</w:t>
      </w:r>
    </w:p>
    <w:p w14:paraId="0E065FD1" w14:textId="77777777" w:rsidR="00961B62" w:rsidRPr="007224C3" w:rsidRDefault="00961B62" w:rsidP="007224C3">
      <w:pPr>
        <w:pStyle w:val="ae"/>
        <w:spacing w:before="0" w:after="0"/>
        <w:jc w:val="both"/>
        <w:textAlignment w:val="baseline"/>
        <w:rPr>
          <w:color w:val="000000" w:themeColor="text1"/>
          <w:sz w:val="16"/>
          <w:szCs w:val="16"/>
        </w:rPr>
      </w:pPr>
    </w:p>
    <w:p w14:paraId="259682D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января 1944 на вооруже</w:t>
      </w:r>
      <w:r w:rsidRPr="007224C3">
        <w:rPr>
          <w:rFonts w:ascii="Times New Roman" w:hAnsi="Times New Roman"/>
          <w:color w:val="000000" w:themeColor="text1"/>
          <w:sz w:val="16"/>
          <w:szCs w:val="16"/>
        </w:rPr>
        <w:softHyphen/>
        <w:t>ние мотомехвойск РККА был принят танк Т-34-85, воору</w:t>
      </w:r>
      <w:r w:rsidRPr="007224C3">
        <w:rPr>
          <w:rFonts w:ascii="Times New Roman" w:hAnsi="Times New Roman"/>
          <w:color w:val="000000" w:themeColor="text1"/>
          <w:sz w:val="16"/>
          <w:szCs w:val="16"/>
        </w:rPr>
        <w:softHyphen/>
        <w:t>женный С-53. 15 января началось серийное производство орудий С-53 и тут случилось ЧП. В ходе испы</w:t>
      </w:r>
      <w:r w:rsidRPr="007224C3">
        <w:rPr>
          <w:rFonts w:ascii="Times New Roman" w:hAnsi="Times New Roman"/>
          <w:color w:val="000000" w:themeColor="text1"/>
          <w:sz w:val="16"/>
          <w:szCs w:val="16"/>
        </w:rPr>
        <w:softHyphen/>
        <w:t>таний на отказ на 470-м выстреле у орудия заклинило тормоз отката. ЦАКБ «умыло руки», так как серийное орудие в ме</w:t>
      </w:r>
      <w:r w:rsidRPr="007224C3">
        <w:rPr>
          <w:rFonts w:ascii="Times New Roman" w:hAnsi="Times New Roman"/>
          <w:color w:val="000000" w:themeColor="text1"/>
          <w:sz w:val="16"/>
          <w:szCs w:val="16"/>
        </w:rPr>
        <w:softHyphen/>
        <w:t>лочах сильно отличалось от разработанного здесь. Поэтому исправлять указанный дефект пришлось заводскому КБ.</w:t>
      </w:r>
    </w:p>
    <w:p w14:paraId="1A26F2A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Именения, внесенные ОКБ-92 в противооткатный меха</w:t>
      </w:r>
      <w:r w:rsidRPr="007224C3">
        <w:rPr>
          <w:rFonts w:ascii="Times New Roman" w:hAnsi="Times New Roman"/>
          <w:color w:val="000000" w:themeColor="text1"/>
          <w:sz w:val="16"/>
          <w:szCs w:val="16"/>
        </w:rPr>
        <w:softHyphen/>
        <w:t>низм С-53, оказались действенными и 30 января указанная пушка прошла отстрел как в штатной, так и в увеличенной башне Т-34, после чего ее производству была дана «зеленая улица». Новые орудия были очень дешевы и просты в массо</w:t>
      </w:r>
      <w:r w:rsidRPr="007224C3">
        <w:rPr>
          <w:rFonts w:ascii="Times New Roman" w:hAnsi="Times New Roman"/>
          <w:color w:val="000000" w:themeColor="text1"/>
          <w:sz w:val="16"/>
          <w:szCs w:val="16"/>
        </w:rPr>
        <w:softHyphen/>
        <w:t>вом производстве, тем более что серийное орудие имело цельнолитую люльку и муфтовое соединение ствола с казен</w:t>
      </w:r>
      <w:r w:rsidRPr="007224C3">
        <w:rPr>
          <w:rFonts w:ascii="Times New Roman" w:hAnsi="Times New Roman"/>
          <w:color w:val="000000" w:themeColor="text1"/>
          <w:sz w:val="16"/>
          <w:szCs w:val="16"/>
        </w:rPr>
        <w:softHyphen/>
        <w:t>ником. Вполне понятно, что вскоре масштабы их производ</w:t>
      </w:r>
      <w:r w:rsidRPr="007224C3">
        <w:rPr>
          <w:rFonts w:ascii="Times New Roman" w:hAnsi="Times New Roman"/>
          <w:color w:val="000000" w:themeColor="text1"/>
          <w:sz w:val="16"/>
          <w:szCs w:val="16"/>
        </w:rPr>
        <w:softHyphen/>
        <w:t>ства превысили Д-5, которые целиком съедала программа из</w:t>
      </w:r>
      <w:r w:rsidRPr="007224C3">
        <w:rPr>
          <w:rFonts w:ascii="Times New Roman" w:hAnsi="Times New Roman"/>
          <w:color w:val="000000" w:themeColor="text1"/>
          <w:sz w:val="16"/>
          <w:szCs w:val="16"/>
        </w:rPr>
        <w:softHyphen/>
        <w:t>готовления самоходно-артиллерийских установок СУ-85 (11135).</w:t>
      </w:r>
    </w:p>
    <w:p w14:paraId="633814D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9842E9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января 1944 г. постановлением ГКО 85-мм пушка ЗИС-С-53 была принята на вооружение танка Т-34-85 обр. 1944 г., а затем и среднего танка Т-44 (10703). 85-мм пушка ЗИС-С-53 обеспечивала уничтожение танков, мотоме</w:t>
      </w:r>
      <w:r w:rsidRPr="007224C3">
        <w:rPr>
          <w:rFonts w:ascii="Times New Roman" w:hAnsi="Times New Roman"/>
          <w:color w:val="000000" w:themeColor="text1"/>
          <w:sz w:val="16"/>
          <w:szCs w:val="16"/>
        </w:rPr>
        <w:softHyphen/>
        <w:t>ханизированных и огневых средств противника, его живой силы, а так</w:t>
      </w:r>
      <w:r w:rsidRPr="007224C3">
        <w:rPr>
          <w:rFonts w:ascii="Times New Roman" w:hAnsi="Times New Roman"/>
          <w:color w:val="000000" w:themeColor="text1"/>
          <w:sz w:val="16"/>
          <w:szCs w:val="16"/>
        </w:rPr>
        <w:softHyphen/>
        <w:t>же подавление и уничтожение артиллерии противника, и разрушение амбразур ДОТов и ДЗОТов. Она состояла из ствола, затвора с полуавтоматикой, спускового ме</w:t>
      </w:r>
      <w:r w:rsidRPr="007224C3">
        <w:rPr>
          <w:rFonts w:ascii="Times New Roman" w:hAnsi="Times New Roman"/>
          <w:color w:val="000000" w:themeColor="text1"/>
          <w:sz w:val="16"/>
          <w:szCs w:val="16"/>
        </w:rPr>
        <w:softHyphen/>
        <w:t>ханизма, люльки и противооткатных устройств (ПОУ). Нескрепленный ствол (моноблок) пушки изготавливался из высо</w:t>
      </w:r>
      <w:r w:rsidRPr="007224C3">
        <w:rPr>
          <w:rFonts w:ascii="Times New Roman" w:hAnsi="Times New Roman"/>
          <w:color w:val="000000" w:themeColor="text1"/>
          <w:sz w:val="16"/>
          <w:szCs w:val="16"/>
        </w:rPr>
        <w:softHyphen/>
        <w:t>кокачественной стали и представлял собой трубу с монолитными ме</w:t>
      </w:r>
      <w:r w:rsidRPr="007224C3">
        <w:rPr>
          <w:rFonts w:ascii="Times New Roman" w:hAnsi="Times New Roman"/>
          <w:color w:val="000000" w:themeColor="text1"/>
          <w:sz w:val="16"/>
          <w:szCs w:val="16"/>
        </w:rPr>
        <w:softHyphen/>
        <w:t>таллическими стенками, в которых отсутствовали искусственно создан</w:t>
      </w:r>
      <w:r w:rsidRPr="007224C3">
        <w:rPr>
          <w:rFonts w:ascii="Times New Roman" w:hAnsi="Times New Roman"/>
          <w:color w:val="000000" w:themeColor="text1"/>
          <w:sz w:val="16"/>
          <w:szCs w:val="16"/>
        </w:rPr>
        <w:softHyphen/>
        <w:t>ные предварительные напряжения. Толщина стенки ствола увеличива</w:t>
      </w:r>
      <w:r w:rsidRPr="007224C3">
        <w:rPr>
          <w:rFonts w:ascii="Times New Roman" w:hAnsi="Times New Roman"/>
          <w:color w:val="000000" w:themeColor="text1"/>
          <w:sz w:val="16"/>
          <w:szCs w:val="16"/>
        </w:rPr>
        <w:softHyphen/>
        <w:t>лась в направлении от дульного среза к казенной части, где давление по</w:t>
      </w:r>
      <w:r w:rsidRPr="007224C3">
        <w:rPr>
          <w:rFonts w:ascii="Times New Roman" w:hAnsi="Times New Roman"/>
          <w:color w:val="000000" w:themeColor="text1"/>
          <w:sz w:val="16"/>
          <w:szCs w:val="16"/>
        </w:rPr>
        <w:softHyphen/>
        <w:t>роховых газов при выстреле достигало 2585 кгс/см</w:t>
      </w:r>
      <w:r w:rsidRPr="007224C3">
        <w:rPr>
          <w:rFonts w:ascii="Times New Roman" w:hAnsi="Times New Roman"/>
          <w:color w:val="000000" w:themeColor="text1"/>
          <w:sz w:val="16"/>
          <w:szCs w:val="16"/>
          <w:vertAlign w:val="superscript"/>
        </w:rPr>
        <w:t>2</w:t>
      </w:r>
      <w:r w:rsidRPr="007224C3">
        <w:rPr>
          <w:rFonts w:ascii="Times New Roman" w:hAnsi="Times New Roman"/>
          <w:color w:val="000000" w:themeColor="text1"/>
          <w:sz w:val="16"/>
          <w:szCs w:val="16"/>
        </w:rPr>
        <w:t>. Ствол длиной 51,6 калибра (4645 мм) состоял из следующих основных частей: трубы, ка</w:t>
      </w:r>
      <w:r w:rsidRPr="007224C3">
        <w:rPr>
          <w:rFonts w:ascii="Times New Roman" w:hAnsi="Times New Roman"/>
          <w:color w:val="000000" w:themeColor="text1"/>
          <w:sz w:val="16"/>
          <w:szCs w:val="16"/>
        </w:rPr>
        <w:softHyphen/>
        <w:t>зенника, муфты, накладки казенника и обоймы. Канал трубы подразде</w:t>
      </w:r>
      <w:r w:rsidRPr="007224C3">
        <w:rPr>
          <w:rFonts w:ascii="Times New Roman" w:hAnsi="Times New Roman"/>
          <w:color w:val="000000" w:themeColor="text1"/>
          <w:sz w:val="16"/>
          <w:szCs w:val="16"/>
        </w:rPr>
        <w:softHyphen/>
        <w:t>лялся на патронник и нарезную часть. Нарезная часть канала трубы имела 24 нареза постоянной крутизны, идущих по винтовой линии слева вверх направо. Длина хода нарезов составляла 25 калибров. Угол на</w:t>
      </w:r>
      <w:r w:rsidRPr="007224C3">
        <w:rPr>
          <w:rFonts w:ascii="Times New Roman" w:hAnsi="Times New Roman"/>
          <w:color w:val="000000" w:themeColor="text1"/>
          <w:sz w:val="16"/>
          <w:szCs w:val="16"/>
        </w:rPr>
        <w:softHyphen/>
        <w:t>клона нарезов 7°9'. Казенник, предназначавшийся для размещения и крепления деталей затвора, полуавтоматики и спускового механизма, передней своей частью надвигался на трубу и соединялся с ней с помо</w:t>
      </w:r>
      <w:r w:rsidRPr="007224C3">
        <w:rPr>
          <w:rFonts w:ascii="Times New Roman" w:hAnsi="Times New Roman"/>
          <w:color w:val="000000" w:themeColor="text1"/>
          <w:sz w:val="16"/>
          <w:szCs w:val="16"/>
        </w:rPr>
        <w:softHyphen/>
        <w:t>щью муфты. Накладка казенника предназначалась для увеличения мас</w:t>
      </w:r>
      <w:r w:rsidRPr="007224C3">
        <w:rPr>
          <w:rFonts w:ascii="Times New Roman" w:hAnsi="Times New Roman"/>
          <w:color w:val="000000" w:themeColor="text1"/>
          <w:sz w:val="16"/>
          <w:szCs w:val="16"/>
        </w:rPr>
        <w:softHyphen/>
        <w:t>сы казенной части ствола и воспрепятствия проворачивания ствола при стрельбе. Обойма предназначалась для соединения ствола с противоот</w:t>
      </w:r>
      <w:r w:rsidRPr="007224C3">
        <w:rPr>
          <w:rFonts w:ascii="Times New Roman" w:hAnsi="Times New Roman"/>
          <w:color w:val="000000" w:themeColor="text1"/>
          <w:sz w:val="16"/>
          <w:szCs w:val="16"/>
        </w:rPr>
        <w:softHyphen/>
        <w:t>катными устройствами. Она привинчивалась к казеннику винтами. Запирание канала ствола, производство выстрела и экстрагирование стреляных гильз осуществлялось с помощью вертикального клинового затвора с полуавтоматикой копирного типа. Конструктивная схема за</w:t>
      </w:r>
      <w:r w:rsidRPr="007224C3">
        <w:rPr>
          <w:rFonts w:ascii="Times New Roman" w:hAnsi="Times New Roman"/>
          <w:color w:val="000000" w:themeColor="text1"/>
          <w:sz w:val="16"/>
          <w:szCs w:val="16"/>
        </w:rPr>
        <w:softHyphen/>
        <w:t>твора была подобна схеме затвора 76-мм модернизированной танковой пушки Ф-34. Цилиндрической формы люлька предназначалась для направления ствола при откате и накате и являлась корпусом для сборки основных частей пушки. Внутри люльки находились три направляющих кольца (облицовки) по которым ствол скользил своей цилиндрической частью при откате и накате. Посредине люльки имелся квадратный фланец с отверстиями по углам, к которому болтами крепилась бронировка пуш</w:t>
      </w:r>
      <w:r w:rsidRPr="007224C3">
        <w:rPr>
          <w:rFonts w:ascii="Times New Roman" w:hAnsi="Times New Roman"/>
          <w:color w:val="000000" w:themeColor="text1"/>
          <w:sz w:val="16"/>
          <w:szCs w:val="16"/>
        </w:rPr>
        <w:softHyphen/>
        <w:t>ки. С боков люлька имела гнезда, в которые вставлялись цапфы пушки. С правой стороны к люльке болтами крепился кронштейн для установ</w:t>
      </w:r>
      <w:r w:rsidRPr="007224C3">
        <w:rPr>
          <w:rFonts w:ascii="Times New Roman" w:hAnsi="Times New Roman"/>
          <w:color w:val="000000" w:themeColor="text1"/>
          <w:sz w:val="16"/>
          <w:szCs w:val="16"/>
        </w:rPr>
        <w:softHyphen/>
        <w:t>ки спаренного пулемета, а с левой стороны - кронштейн для установки прицела. Сзади люлька имела: внизу прилив с двумя отверстиями для крепления штоков накатника и тормоза отката и наката; слева - прилив, к которому болтами крепился сектор подъемного механизма пушки; справа и слева на заднем торце люльки были прикреплены резиновые буферы, смягчавшие удар откатывающихся частей при накате. Гашение энергии движения откатывающихся частей пушки при вы</w:t>
      </w:r>
      <w:r w:rsidRPr="007224C3">
        <w:rPr>
          <w:rFonts w:ascii="Times New Roman" w:hAnsi="Times New Roman"/>
          <w:color w:val="000000" w:themeColor="text1"/>
          <w:sz w:val="16"/>
          <w:szCs w:val="16"/>
        </w:rPr>
        <w:softHyphen/>
        <w:t>стреле, возвращение (накат) их после выстрела в первоначальное поло</w:t>
      </w:r>
      <w:r w:rsidRPr="007224C3">
        <w:rPr>
          <w:rFonts w:ascii="Times New Roman" w:hAnsi="Times New Roman"/>
          <w:color w:val="000000" w:themeColor="text1"/>
          <w:sz w:val="16"/>
          <w:szCs w:val="16"/>
        </w:rPr>
        <w:softHyphen/>
        <w:t>жение и удержание их в этом положении при любом угле возвышения осуществлялось противооткатными устройствами. Они состояли из ги</w:t>
      </w:r>
      <w:r w:rsidRPr="007224C3">
        <w:rPr>
          <w:rFonts w:ascii="Times New Roman" w:hAnsi="Times New Roman"/>
          <w:color w:val="000000" w:themeColor="text1"/>
          <w:sz w:val="16"/>
          <w:szCs w:val="16"/>
        </w:rPr>
        <w:softHyphen/>
        <w:t>дравлического тормоза отката и наката веретенного типа и гидропнев</w:t>
      </w:r>
      <w:r w:rsidRPr="007224C3">
        <w:rPr>
          <w:rFonts w:ascii="Times New Roman" w:hAnsi="Times New Roman"/>
          <w:color w:val="000000" w:themeColor="text1"/>
          <w:sz w:val="16"/>
          <w:szCs w:val="16"/>
        </w:rPr>
        <w:softHyphen/>
        <w:t>матического накатника. Все танковые пушки выпуска 1944 г., а также пушки выпуска 1945 г. по № Б-8341 включительно, оснащались тормо</w:t>
      </w:r>
      <w:r w:rsidRPr="007224C3">
        <w:rPr>
          <w:rFonts w:ascii="Times New Roman" w:hAnsi="Times New Roman"/>
          <w:color w:val="000000" w:themeColor="text1"/>
          <w:sz w:val="16"/>
          <w:szCs w:val="16"/>
        </w:rPr>
        <w:softHyphen/>
        <w:t>зами отката с компенсатором. Пушки выпуска 1945 г., начиная с N° Б-8342, оснащались тормозами отката без компенсатора. Нормаль</w:t>
      </w:r>
      <w:r w:rsidRPr="007224C3">
        <w:rPr>
          <w:rFonts w:ascii="Times New Roman" w:hAnsi="Times New Roman"/>
          <w:color w:val="000000" w:themeColor="text1"/>
          <w:sz w:val="16"/>
          <w:szCs w:val="16"/>
        </w:rPr>
        <w:softHyphen/>
        <w:t>ная длина отката составляла 280 - 320 мм, предельная - 330 мм. Стрельба из пушки производилась с помощью электроспуска и ме</w:t>
      </w:r>
      <w:r w:rsidRPr="007224C3">
        <w:rPr>
          <w:rFonts w:ascii="Times New Roman" w:hAnsi="Times New Roman"/>
          <w:color w:val="000000" w:themeColor="text1"/>
          <w:sz w:val="16"/>
          <w:szCs w:val="16"/>
        </w:rPr>
        <w:softHyphen/>
        <w:t>ханического ручного спуска. Для стрельбы из пушки могли применяться унитарные выстрелы 85-мм зенитной пушки обр. 1939 г.: с бронебойно-трассирующим тупо</w:t>
      </w:r>
      <w:r w:rsidRPr="007224C3">
        <w:rPr>
          <w:rFonts w:ascii="Times New Roman" w:hAnsi="Times New Roman"/>
          <w:color w:val="000000" w:themeColor="text1"/>
          <w:sz w:val="16"/>
          <w:szCs w:val="16"/>
        </w:rPr>
        <w:softHyphen/>
        <w:t>головым снарядом БР-365 с баллистическим наконечником с взрывате</w:t>
      </w:r>
      <w:r w:rsidRPr="007224C3">
        <w:rPr>
          <w:rFonts w:ascii="Times New Roman" w:hAnsi="Times New Roman"/>
          <w:color w:val="000000" w:themeColor="text1"/>
          <w:sz w:val="16"/>
          <w:szCs w:val="16"/>
        </w:rPr>
        <w:softHyphen/>
        <w:t>лем МД-7, с бронебойно-трассирующим остроголовым снарядом БР-365К без баллистического наконечника с взрывателем МД-8, с под-калиберным бронебойно-трассирующим снарядом БР-365П, с осколоч</w:t>
      </w:r>
      <w:r w:rsidRPr="007224C3">
        <w:rPr>
          <w:rFonts w:ascii="Times New Roman" w:hAnsi="Times New Roman"/>
          <w:color w:val="000000" w:themeColor="text1"/>
          <w:sz w:val="16"/>
          <w:szCs w:val="16"/>
        </w:rPr>
        <w:softHyphen/>
        <w:t>ной цельнокорпусной гранатой О-365К и с полным зарядом с взрывате</w:t>
      </w:r>
      <w:r w:rsidRPr="007224C3">
        <w:rPr>
          <w:rFonts w:ascii="Times New Roman" w:hAnsi="Times New Roman"/>
          <w:color w:val="000000" w:themeColor="text1"/>
          <w:sz w:val="16"/>
          <w:szCs w:val="16"/>
        </w:rPr>
        <w:softHyphen/>
        <w:t xml:space="preserve">лями КТМ-1 или КТМЗ-1, осколочной гранатой О-365К с переходной головкой и с полным </w:t>
      </w:r>
      <w:r w:rsidRPr="007224C3">
        <w:rPr>
          <w:rFonts w:ascii="Times New Roman" w:hAnsi="Times New Roman"/>
          <w:color w:val="000000" w:themeColor="text1"/>
          <w:sz w:val="16"/>
          <w:szCs w:val="16"/>
        </w:rPr>
        <w:lastRenderedPageBreak/>
        <w:t>зарядом, цельнокорпусной гранатой О-365К и с уменьшенным зарядом с взрывателями КТМ-1 или КТМЗ-1. Бронебойно-трассирующий снаряд БР-365 на дистанции 1000 м пробивал расположенную вертикально плиту из цементированной бро</w:t>
      </w:r>
      <w:r w:rsidRPr="007224C3">
        <w:rPr>
          <w:rFonts w:ascii="Times New Roman" w:hAnsi="Times New Roman"/>
          <w:color w:val="000000" w:themeColor="text1"/>
          <w:sz w:val="16"/>
          <w:szCs w:val="16"/>
        </w:rPr>
        <w:softHyphen/>
        <w:t>невой стали толщиной 100 мм (10703).</w:t>
      </w:r>
    </w:p>
    <w:p w14:paraId="5EFCDA7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556895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января 1944 г. танк Т-34-85 был принят на вооружение РККА и выпускал» на заводах № 183 в Нижнем Тагиле, № 174 в Омске и № 112 "Кр ' Сормово" в Горьком. Головным завозом по машине был завод № Танк имел заводское обозначение "Объект 135". С марта 1944 г. по 1945 г. было выпущено 16199 танков данной модификации, причем танк был командирским. Серийное производстве машины продояжалось до 1947 г. (10703).</w:t>
      </w:r>
    </w:p>
    <w:p w14:paraId="03E05EC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19F946F"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720E585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B60D329" w14:textId="77777777" w:rsidR="00A178F0" w:rsidRPr="007224C3" w:rsidRDefault="00A178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23 января</w:t>
      </w:r>
      <w:r w:rsidRPr="007224C3">
        <w:rPr>
          <w:rFonts w:ascii="Times New Roman" w:hAnsi="Times New Roman"/>
          <w:color w:val="000000" w:themeColor="text1"/>
          <w:sz w:val="16"/>
          <w:szCs w:val="16"/>
        </w:rPr>
        <w:t xml:space="preserve"> в 1944 году оперативная сводка Совинформбюро:</w:t>
      </w:r>
    </w:p>
    <w:p w14:paraId="3C918A9C" w14:textId="77777777" w:rsidR="00A178F0" w:rsidRPr="007224C3" w:rsidRDefault="00A178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23 января юго-западнее и южнее Красное Село наши войска продолжали вести наступательные бои, в ходе которых заняли несколько населённых пунктов и среди них Малое Жабино, Большое Жабино, Вяйзелево, Большие Туганицы, Малые Туганицы, Муттолово, Акколово.</w:t>
      </w:r>
    </w:p>
    <w:p w14:paraId="367F5DC9" w14:textId="77777777" w:rsidR="00A178F0" w:rsidRPr="007224C3" w:rsidRDefault="00A178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Севернее и северо-восточнее Тосно наши войска с боями продвигались вперёд и овладели населёнными пунктами Никольское, Новая Деревня, Поселок 2-й Ульяновский, Гертово, Иваново, Кирсино, Старостово, Кантули, Ничеперть, Нурма и железнодорожной станцией Пустынька.</w:t>
      </w:r>
    </w:p>
    <w:p w14:paraId="4F3DBD10" w14:textId="77777777" w:rsidR="00A178F0" w:rsidRPr="007224C3" w:rsidRDefault="00A178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и юго-западнее Кириши наши войска вели наступательные бои, в ходе которых заняли населённые пункты Белово, Костово, Ивановское, Васькины Нивы, Смердыня, Басино, Дубовик, Липовик, Березовик, Мелехово, Меневша, Курников Остров, Зеленцы, Лезно, Водосье, Пехово и железнодорожную станцию Тигода. Врезультате решительной атаки наших войск ликвидирован плацдарм немцев на восточном берегу реки Волхов в районе Грузино.</w:t>
      </w:r>
    </w:p>
    <w:p w14:paraId="0E8AEEE0" w14:textId="77777777" w:rsidR="00A178F0" w:rsidRPr="007224C3" w:rsidRDefault="00A178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Северо-западнее и западнее Новгорода наши войска овладели несколькими населёнными пунктами.</w:t>
      </w:r>
    </w:p>
    <w:p w14:paraId="02FAB59C" w14:textId="77777777" w:rsidR="00A178F0" w:rsidRPr="007224C3" w:rsidRDefault="00A178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Мозыря наши войска с боями овладели районным центром Полесской области Лельчицы, а также заняли населённые пункты Передрейка, Осовец, Сколодина, Острожанка, Убортская Рудня, Зарубаны, Буйновичи, Свиднов, Манчицы, Злодин, Ветвица, Симоновичи.</w:t>
      </w:r>
    </w:p>
    <w:p w14:paraId="6715D7EB" w14:textId="77777777" w:rsidR="00A178F0" w:rsidRPr="007224C3" w:rsidRDefault="00A178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 разведка, артиллерийско-миномётная перестрелка и в ряде пунктов бои местного значения.</w:t>
      </w:r>
    </w:p>
    <w:p w14:paraId="4C093FB2" w14:textId="77777777" w:rsidR="00A178F0" w:rsidRPr="007224C3" w:rsidRDefault="00A178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22 января наши войска на всех фронтах подбили и уничтожили 21 немецкий танк. В воздушных боях и огнём зенитной артиллерии сбито 12 самолётов противника.</w:t>
      </w:r>
    </w:p>
    <w:p w14:paraId="19DD5AAC" w14:textId="77777777" w:rsidR="00A178F0" w:rsidRPr="007224C3" w:rsidRDefault="00A178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и южнее города Красное Село наши войска продолжали наступление. Части Н-ского соединения, преодолевая огневое сопротивление и отбивая контратаки противника, овладели рядом населённых пунктов. В боях за эти пункты уничтоженодо 800 вражеских солдат и офицеров. Захвачено у немцев 11 танков и самоходных орудий, 32 автомашины и другие трофеи. В районе Вяйзелево наши подвижные части уничтожили батальон вражеской пехоты, 12 противотанковых орудий и взяли в плен значительное число немецких солдат.</w:t>
      </w:r>
    </w:p>
    <w:p w14:paraId="5BEC2524" w14:textId="77777777" w:rsidR="00A178F0" w:rsidRPr="007224C3" w:rsidRDefault="00A178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Севернее и северо-восточнее Тосно наши войска продолжали продвигаться вперёд и заняли несколько населённых пунктов. Попытки противника удержаться на промежуточных рубежах не увенчались успехом. Стремительными ударами советской пехоты, поддержанной огнём артиллерии, немцы были отброшены и, в беспорядке отступая, понесли большие потери. Части Н-ского соединения, овладев сильно укреплённым узлом вражеской обороны, уничтожили более 400 немецких автоматчиков и захватили всё их вооружение. На другом участке наши бойцы овладели железнодорожной станцией Пустынька и, развивая, успех, разгромили батальон гитлеровцев. Захвачены трофеи и пленные.</w:t>
      </w:r>
    </w:p>
    <w:p w14:paraId="0D59B9D0" w14:textId="77777777" w:rsidR="00A178F0" w:rsidRPr="007224C3" w:rsidRDefault="00A178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и юго-западнее Кириши наши войска преодолели сильно укреплённую оборонительную полосу противника и заняли несколько населённых пунктов. Решительной атакой ликвидирован плацдарм немцев на восточном берегу реки Волхов, в районе Грузино. Отступая, противник оставил много орудий, пулемётов и миномётов, несколько складов с боеприпасами и военным имуществом.</w:t>
      </w:r>
    </w:p>
    <w:p w14:paraId="463A0AF9" w14:textId="77777777" w:rsidR="00A178F0" w:rsidRPr="007224C3" w:rsidRDefault="00A178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Новгорода части Н-ского соединения в результате ожесточённого боя овладели сильно укреплёнными позициями немцев. На поле боя осталось свыше 600 вражеских трупов и 8 подбитых немецких танков. Захвачены 2 самоходных и 14 полевых орудий, 5 бронетранспортёров и другие трофеи. Наши подразделения окружили в лесу и ликвидировали две роты гитлеровцев.</w:t>
      </w:r>
    </w:p>
    <w:p w14:paraId="3BC3C4F4" w14:textId="77777777" w:rsidR="00A178F0" w:rsidRPr="007224C3" w:rsidRDefault="00A178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города Мозырь наши войска вели наступательные бои. Части Н-ского соединения, при активном содействии партизан, разгромили немецкий гарнизон, оборонявший районный центр Полесской области Лельчицы. Овладев этим населённым пунктом, наши бойцы захватили трофеи и пленных. Кавалерийские части выбили противника из нескольких населённых пунктов. При взятии одного пункта советские кавалеристы изрубили до 300 немецких солдат и офицеров, захватили вещевой и продовольственный склады и крупный обоз с различными грузами.</w:t>
      </w:r>
    </w:p>
    <w:p w14:paraId="60679DF4" w14:textId="77777777" w:rsidR="00A178F0" w:rsidRPr="007224C3" w:rsidRDefault="00A178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Нашей авиацией в Баренцовом море потоплен транспорт противника водоизмещениемв 6.000 тонн.</w:t>
      </w:r>
    </w:p>
    <w:p w14:paraId="02238744" w14:textId="77777777" w:rsidR="00A178F0" w:rsidRPr="007224C3" w:rsidRDefault="00A178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Партизанский отряд «Орёл», действующий в Николаевской области, в начале января совершил налёт на немецкий гарнизон и уничтожил 40 гитлеровцев. Одесские партизаны в ночь на 17 января скрытно подошли к немецкому лагерю и, уничтожив охрану, освободили 418 пленных красноармейцев и мирных граждан. Все освобождённые советские патриоты вступили в отряд партизан.</w:t>
      </w:r>
    </w:p>
    <w:p w14:paraId="2808E537" w14:textId="77777777" w:rsidR="00A178F0" w:rsidRPr="007224C3" w:rsidRDefault="00A178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Пленный обер-ефрейтор 5 роты 11 полка 14 немецкой дивизии Герман Вальд рассказал: «Недавно я ездил в Германию и был очевидцем бомбардировки Берлина. Когда поезд прибыл к Силезскому вокзалу, была объявлена воздушная тревога. Мы все бросились в убежище и просидели там три часа. Ночью я вместе с другими солдатами пошёл к Ангальтскому вокзалу, чтобы пересесть на другой поезд. Трамвай и подземная железная дорога не работали. Вокруг бушевало море огня. На Ангальтском вокзале выяснилось, что поезда не ходят, так как железнодорожные мосты разрушены и берлинский железнодорожный узел совершенно дезорганизован. Жители Берлина бегут из города. Многие предприятия не работают. Если налёты будут продолжаться, жизнь в Берлине окончательно замрёт» (15018).</w:t>
      </w:r>
    </w:p>
    <w:p w14:paraId="784E3A95" w14:textId="77777777" w:rsidR="00A178F0" w:rsidRPr="007224C3" w:rsidRDefault="00A178F0" w:rsidP="007224C3">
      <w:pPr>
        <w:spacing w:after="0" w:line="240" w:lineRule="auto"/>
        <w:jc w:val="both"/>
        <w:rPr>
          <w:rFonts w:ascii="Times New Roman" w:hAnsi="Times New Roman"/>
          <w:color w:val="000000" w:themeColor="text1"/>
          <w:sz w:val="16"/>
          <w:szCs w:val="16"/>
        </w:rPr>
      </w:pPr>
    </w:p>
    <w:p w14:paraId="6C2A618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января 1944 г. у села Мосур, между Ковелем и Владимром-Волынским огнем с земли был сбит очередной Ju 52/3m w/n 809869 с бортовым обозначением “M9+IL”. Оказалось, что партизаны снова попали на трассу пролетов немецкой транспортной авиации. Ветераны соединения из кавалерийского эскадрона лейтенанта А. Н.Ленкина уже имели большой боевой опыт в этом вопросе и хорошо подготовились к встрече следующего самолета. Ручные пулеметы установили на специально вкопанные в землю столбы. В некоторых деревенских домах были частично разобраны крыши, чтобы установить вертикально противотанковые ружья. Два других “бронебойщика” Н.Хожай и М.Подшивало соорудили для своих ПТР поворотные круги из тележных колес, которые вращались, как настоящие зенитные установки. В результате всех этих приготовлений у “Юнкерса”, летевшего на малой высоте в Тернополь с двумя тоннами боеприпасов, оставалось немного шансов уцелеть. Экипаж все же сумел посадить подбитую машину за околицей села и попытался скрыться в лесу, но почти сразу был задержан. В ходе допроса и обыска выяснилось немало интересного. У первого пилота гауптманна Беннинга изъяли удостоверения члена НСДАП и организации “Стальной шлем”. Внимание партизан привлек и своеобразный медальон немца - расплющенная пуля с выбитой датой “ 14.04.43”. Оказалось что летчик - их “старый знакомый”. В ходе боев за город Брагин в апреле 1943 г. объединенные отряды Ковпака, Федорова и Мельника подвергались многочисленным атакам отозванной с фронта немецкой авиации. Один из бомбардировщиков пилотировал Бен-нинг. В одном из налетов он получил тяжелое ранение в плечо, был признан ограниченно годным и списан из боевой в транспортную авиацию. Второй пилот, тиролец по происхождению, Штюмфер, также оказался не заурядной фигурой. Его китель украшали многочисленные награды - “Железные кресты” I и II степеней, румынский орден Михая Великого за взятие Одессы, две медали за бои на Восточном фронте в 1941-42 гг., нагрудные памятные знаки “Крит” и “Крым”. Уже немолодой штурман “Юнкерса” был призван из запаса и носил золотой значок ветерана нацистской партии. Только стрелок-радист ефрейтор К.Линнер был ничем не примечательным 19-летним юнцом. При допросе выяснилось, что самолет принадлежал транспортной авиагруппе KGrzbVI (командир майор Шмидт), которая базировалась на аэродроме Бяла-Подляска в 20 км западнее Бреста и состояла из четырех авиаотрядов по 12 Ju 52 в каждом. Кроме этого, на вооружении авиагруппы находились шестимоторные мотопланеры Me 323 (9974).</w:t>
      </w:r>
    </w:p>
    <w:p w14:paraId="30ECA4E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556C3933" w14:textId="77777777" w:rsidR="006E11C9" w:rsidRPr="007224C3" w:rsidRDefault="006E11C9"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23 января 1944</w:t>
      </w:r>
    </w:p>
    <w:p w14:paraId="33DB3983" w14:textId="77777777" w:rsidR="006E11C9" w:rsidRPr="007224C3" w:rsidRDefault="006E11C9"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ДИРЕКТИВА НАЧАЛЬНИКА ШТАБА ВОЕННО-ВОЗДУШНЫХ СИЛ КРАСНОЙ АРМИИ ОТ 23 ЯНВАРЯ 1944 г. ОБ УСТРАНЕНИИ НЕДОЧЕТОВ В БОЕВЫХ ДЕЙСТВИЯХ ШТУРМОВОЙ АВИАЦИИ</w:t>
      </w:r>
    </w:p>
    <w:p w14:paraId="7C3A2436" w14:textId="77777777" w:rsidR="006E11C9" w:rsidRPr="007224C3" w:rsidRDefault="006E11C9"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Секретно</w:t>
      </w:r>
    </w:p>
    <w:p w14:paraId="5D8C32B6" w14:textId="77777777" w:rsidR="006E11C9" w:rsidRPr="007224C3" w:rsidRDefault="006E11C9"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Командующим воздушными армиями и командирам штурмовых авиационных корпусов резерва Ставки Верховного Главнокомандования</w:t>
      </w:r>
    </w:p>
    <w:p w14:paraId="66825D23" w14:textId="77777777" w:rsidR="006E11C9" w:rsidRPr="007224C3" w:rsidRDefault="006E11C9"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Изучением боевого применения штурмовой авиации установлено, что директива за № 502634 от 7.7.43 г. и приказы № 05 от 13.1 и 0131 от 29.6.43 г. 1 командирами соединений и частей еще полностью не выполнены, в результате чего продолжают иметь место следующие недочеты:</w:t>
      </w:r>
    </w:p>
    <w:p w14:paraId="323BEC92" w14:textId="77777777" w:rsidR="006E11C9" w:rsidRPr="007224C3" w:rsidRDefault="006E11C9"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 Командующие В А боевые задачи корпусам часто ставят на отдельные вылеты, указывая при этом даже количество самолетов в одной 'группе, игнорируя постановку задач для авиационного корпуса на период операции или в крайнем случае на первые один — два дня.</w:t>
      </w:r>
    </w:p>
    <w:p w14:paraId="3FEF633F" w14:textId="77777777" w:rsidR="006E11C9" w:rsidRPr="007224C3" w:rsidRDefault="006E11C9"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Такое боевое использование авиационных корпусов наиболее характерно для 1 и 2 ВА. Лучше в этом отношении в 17 ВА. В результате командиры соединений не управляют своей авиацией, не могут решать, как лучше ее применить и нести ответственность за правильное боевое применение подчиненных частей.</w:t>
      </w:r>
    </w:p>
    <w:p w14:paraId="5DBF494B" w14:textId="77777777" w:rsidR="006E11C9" w:rsidRPr="007224C3" w:rsidRDefault="006E11C9"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Таким образом, роль командира авиационного соединения сводится к технике высылки отдельных групп штурмовиков на поле боя по указаниям командующего ВА.</w:t>
      </w:r>
    </w:p>
    <w:p w14:paraId="0E6BA12F" w14:textId="77777777" w:rsidR="006E11C9" w:rsidRPr="007224C3" w:rsidRDefault="006E11C9"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 xml:space="preserve">2. Задачи группам и экипажам штурмовой авиации ставятся неконкретно. </w:t>
      </w:r>
    </w:p>
    <w:p w14:paraId="521340DE" w14:textId="77777777" w:rsidR="006E11C9" w:rsidRPr="007224C3" w:rsidRDefault="006E11C9"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 практике утвердилась шаблонная и стереотипная фраза:</w:t>
      </w:r>
    </w:p>
    <w:p w14:paraId="47AC78B6" w14:textId="77777777" w:rsidR="006E11C9" w:rsidRPr="007224C3" w:rsidRDefault="006E11C9"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lastRenderedPageBreak/>
        <w:t>«Уничтожить и подавить живую силу противника и его боевую технику в таком-то районе». При этом район заданных целей бывает площадью от 20 до 50 кв. километров, с 4—5 населенными пунктами. Поэтому командир дивизии или полка не в состоянии принять решение и нарядить необходимые силы и средства для надежного поражения цели.</w:t>
      </w:r>
    </w:p>
    <w:p w14:paraId="3E9FC5D1" w14:textId="77777777" w:rsidR="006E11C9" w:rsidRPr="007224C3" w:rsidRDefault="006E11C9"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3. При подготовке к вылету штурмовиков не производится’оценка и изучение цели (ее характер, точное место расположения, живучесть, обороноспособность). Не делается анализ и оценка воздушной обстановки в районе цели.</w:t>
      </w:r>
    </w:p>
    <w:p w14:paraId="1274CBC1" w14:textId="77777777" w:rsidR="006E11C9" w:rsidRPr="007224C3" w:rsidRDefault="006E11C9"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4. Командирами штурмовых авиационных корпусов и дивизий и их штабами игнорируется необходимость тщательной и систематической разведки на себя и доразведки целей как основного способа боевого обеспечения выполняемой задачи. В результате штурмовики атакуют цели вслепую, не обеспечив удара необходимыми сведениями об объектах действий.</w:t>
      </w:r>
    </w:p>
    <w:p w14:paraId="25B96303" w14:textId="77777777" w:rsidR="006E11C9" w:rsidRPr="007224C3" w:rsidRDefault="006E11C9"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5. Неконкретная постановка задач штурмовикам, отсутствие изучения и оценки характера цели влекут за собой неграмотный расход боеприпасов. Основным типом расходуемых бомб штурмовиками остается ФАБ-100 и ФАБ-50 даже и в тех случаях, когда группы действуют по неукрытым и слабо защищенным целям.</w:t>
      </w:r>
    </w:p>
    <w:p w14:paraId="541830E5" w14:textId="77777777" w:rsidR="006E11C9" w:rsidRPr="007224C3" w:rsidRDefault="006E11C9"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Приказ командующего ВВС КА за № 0131 от 29.6.43 г. не всеми изучен и выполняется поэтому недостаточно (особенно частями 1 шак).</w:t>
      </w:r>
    </w:p>
    <w:p w14:paraId="3F18B3FB" w14:textId="77777777" w:rsidR="006E11C9" w:rsidRPr="007224C3" w:rsidRDefault="006E11C9"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При действиях по целям, требующим для их поражения глубокого проникновения бомб, применяются взрыватели мгновенного действия, поэтому эти цели (дзоты, доты и т. д.) остаются неразрушенными даже при прямых попаданиях.</w:t>
      </w:r>
    </w:p>
    <w:p w14:paraId="31BD8884" w14:textId="77777777" w:rsidR="006E11C9" w:rsidRPr="007224C3" w:rsidRDefault="006E11C9"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 xml:space="preserve">Расходуя неграмотно большое количество фугасных бомб, некоторые части штурмовой авиации при этом расходуют незначительную часть боекомплекта патронов и снарядов. В таких частях расход по патронам выражается в 15 процентах, по снарядам в 40 процентах к боекомплекту. </w:t>
      </w:r>
    </w:p>
    <w:p w14:paraId="4F2AEBBF" w14:textId="77777777" w:rsidR="006E11C9" w:rsidRPr="007224C3" w:rsidRDefault="006E11C9"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Это свидетельствует о том, что атаки производятся главным образом с одного захода бомбами, без достаточного воздействия на цель пулеметным и пушечным огнем.</w:t>
      </w:r>
    </w:p>
    <w:p w14:paraId="3CA2D647" w14:textId="77777777" w:rsidR="006E11C9" w:rsidRPr="007224C3" w:rsidRDefault="006E11C9"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6. Над полем боя штурмовая авиация слабо противодействует огню ЗА и СЗА противника и несет при этом излишние потери вследствие того, что многие командиры соединений и частей не продумывают и не осуществляют новые способы противодействия огню ЗА противника в зависимости от характера системы ПВО цели.</w:t>
      </w:r>
    </w:p>
    <w:p w14:paraId="4E033E1B" w14:textId="77777777" w:rsidR="006E11C9" w:rsidRPr="007224C3" w:rsidRDefault="006E11C9"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Не везде организуется упреждающий удар по точкам ЗА противника специально назначенным нарядом штурмовиков и огневыми налетами нашей артиллерии. В силу этого штурмовики, как правило, действуют в условиях, когда огонь ЗА противника не дезорганизован и не подавлен.</w:t>
      </w:r>
    </w:p>
    <w:p w14:paraId="6D726341" w14:textId="77777777" w:rsidR="006E11C9" w:rsidRPr="007224C3" w:rsidRDefault="006E11C9"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7. Фотоконтроль за боевыми действиями штурмовиков не полностью осуществляется в соответствии с требованиями приказа ВВС КА № 05 от 13.1.43 г.</w:t>
      </w:r>
    </w:p>
    <w:p w14:paraId="58569F76" w14:textId="77777777" w:rsidR="006E11C9" w:rsidRPr="007224C3" w:rsidRDefault="006E11C9"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Единственным источником, по которым определяются результаты боевой работы, до сего времени остаются личные донесения и показания эипажей, что ведет к переоценке результатов атаки и не дает возможности правильно определить недостатки в огневой и бомбардировочной подготовке штурмовиков.</w:t>
      </w:r>
    </w:p>
    <w:p w14:paraId="0E304C9C" w14:textId="77777777" w:rsidR="006E11C9" w:rsidRPr="007224C3" w:rsidRDefault="006E11C9"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8. Многие командиры корпусов совершенно не привлекают командиров дивизий на поле боя для непосредственного управления своими частями и соединениями, а ограничиваются лишь выделением групп на поле боя по заранее составленному графику. Роль командира дивизии и его штаба в таком случае сводится лишь к контролю за выполнением корпусного графика.</w:t>
      </w:r>
    </w:p>
    <w:p w14:paraId="6DF7AEDF" w14:textId="77777777" w:rsidR="006E11C9" w:rsidRPr="007224C3" w:rsidRDefault="006E11C9"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9. Некоторые командиры корпусов и дивизий очень легкомысленно используют радио для управления штурмовиками на поле боя, занимая эфир излишними разговорами, много болтают, нервируют летчиков, убивают инициативу ведущих при выполнении задачи. Проявляют при этом нетерпимое бескультурье, используя радио для сквернословия и грубости по адресу летчиков и командиров групп (особенно широко практикуется это командиром 1 шак).</w:t>
      </w:r>
    </w:p>
    <w:p w14:paraId="51FC95AD" w14:textId="77777777" w:rsidR="006E11C9" w:rsidRPr="007224C3" w:rsidRDefault="006E11C9"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Командующий ВВС КА Маршал авиации тов. Новиков ПРИКАЗАЛ:</w:t>
      </w:r>
    </w:p>
    <w:p w14:paraId="6206E0A4" w14:textId="77777777" w:rsidR="006E11C9" w:rsidRPr="007224C3" w:rsidRDefault="006E11C9"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 Командующим В А и командирам штурмовых авиакорпусов указанные выше недочеты в применении и боевой работе штурмовой авиации изжить и впредь не допускать.</w:t>
      </w:r>
    </w:p>
    <w:p w14:paraId="3CE4E8C4" w14:textId="77777777" w:rsidR="006E11C9" w:rsidRPr="007224C3" w:rsidRDefault="006E11C9"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 При постановке задач строго выполнять требования «Руководства по боевым действиям ША ВВС КА» (глава 2-я, раздел второй).</w:t>
      </w:r>
    </w:p>
    <w:p w14:paraId="34C28457" w14:textId="77777777" w:rsidR="006E11C9" w:rsidRPr="007224C3" w:rsidRDefault="006E11C9"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3. От командиров соединений и частей ША требую тщательной оценки воздушной обстановки, всестороннего изучения целей и принятия на каждый вылет обоснованного решения по наряду самолетов, бомбовой нагрузке и тактическим приемам воздействия на цель.</w:t>
      </w:r>
    </w:p>
    <w:p w14:paraId="255BCEFB" w14:textId="77777777" w:rsidR="006E11C9" w:rsidRPr="007224C3" w:rsidRDefault="006E11C9"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4. Внедрить фотоконтроль за результатами бомбометания, доведя его в штурмовых авиаполках к 15.2.44 г. до 50 процентов вылетов.</w:t>
      </w:r>
    </w:p>
    <w:p w14:paraId="4E2030B3" w14:textId="77777777" w:rsidR="006E11C9" w:rsidRPr="007224C3" w:rsidRDefault="006E11C9"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Тщательно подвергать осмотру и обследованию те объекты, по которым действовали штурмовики (после взятия их нашими войсками) с целью установления результатов бомбометания.</w:t>
      </w:r>
    </w:p>
    <w:p w14:paraId="43F921BD" w14:textId="77777777" w:rsidR="006E11C9" w:rsidRPr="007224C3" w:rsidRDefault="006E11C9"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5. В целях обеспечения выполняемых задач командирам корпусов и дивизий систематически практиковать организацию разведки на себя и доразведку целей, подлежащих атаке.</w:t>
      </w:r>
    </w:p>
    <w:p w14:paraId="479019EA" w14:textId="77777777" w:rsidR="006E11C9" w:rsidRPr="007224C3" w:rsidRDefault="006E11C9"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6. Установить в частях и подразделениях 1—2 наиболее точных и простых способов бомбометания с Ил-2 согласно имеющейся инструкции, ликвидировав существующее многообразие в методах бомбометания штурмовиков.</w:t>
      </w:r>
    </w:p>
    <w:p w14:paraId="7E3F0011" w14:textId="77777777" w:rsidR="006E11C9" w:rsidRPr="007224C3" w:rsidRDefault="006E11C9"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7. Во всех боевых вылетах штурмовиков предусматривать активные меры по борьбе с ЗА противника, обязательно применяя в сфере огня ЗА противозенитный маневр по высоте, горизонтали и скорости.</w:t>
      </w:r>
    </w:p>
    <w:p w14:paraId="51F2991D" w14:textId="77777777" w:rsidR="006E11C9" w:rsidRPr="007224C3" w:rsidRDefault="006E11C9"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Организуя взаимодействие ША с артиллерией, необходимо требовать огневых артиллерийских налетов на позиции ЗА противника в момент подхода групп штурмовиков к району цели.</w:t>
      </w:r>
    </w:p>
    <w:p w14:paraId="62E8E0FF" w14:textId="77777777" w:rsidR="006E11C9" w:rsidRPr="007224C3" w:rsidRDefault="006E11C9"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 зависимости от обстановки, характера цели и условий местности применять бреющий полет, широко используя внезапность атаки.</w:t>
      </w:r>
    </w:p>
    <w:p w14:paraId="1B0C9352" w14:textId="77777777" w:rsidR="006E11C9" w:rsidRPr="007224C3" w:rsidRDefault="006E11C9"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8. При осуществлении штурмовой авиацией взаимодействия с наземными войсками командирам корпусов, отдельных дивизий находиться на ПНП или КП наземного командира, в интересах которого действуют штурмовики, и управлять с них подчиненными частями, добиваясь наилучшего их использования в соответствии с требованиями инструкции ВВС КА по организации вспомогательных пунктов управления авиацией.</w:t>
      </w:r>
    </w:p>
    <w:p w14:paraId="4C7C6DDB" w14:textId="77777777" w:rsidR="006E11C9" w:rsidRPr="007224C3" w:rsidRDefault="006E11C9"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9. Командирам корпусов при постановке задач командирам дивизий категорически отказаться от постановки задач на вылет, обеспечивая им возможность проявления инициативы и управления своими частями и соединениями непосредственно на поле боя.</w:t>
      </w:r>
    </w:p>
    <w:p w14:paraId="5C8F45D2" w14:textId="77777777" w:rsidR="006E11C9" w:rsidRPr="007224C3" w:rsidRDefault="006E11C9"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Начальник штаба ВВС КА генерал-полковник авиации ХУДЯКОВ</w:t>
      </w:r>
    </w:p>
    <w:p w14:paraId="7F766C44" w14:textId="77777777" w:rsidR="006E11C9" w:rsidRPr="007224C3" w:rsidRDefault="006E11C9"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Начальник ГУБП ФА ВВС КА генерал-лейтенант авиации КОНДРАТЮК</w:t>
      </w:r>
    </w:p>
    <w:p w14:paraId="7D246AE1" w14:textId="77777777" w:rsidR="006E11C9" w:rsidRPr="007224C3" w:rsidRDefault="006E11C9"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23 января 1944 г.</w:t>
      </w:r>
    </w:p>
    <w:p w14:paraId="79253571" w14:textId="77777777" w:rsidR="006E11C9" w:rsidRPr="007224C3" w:rsidRDefault="006E11C9"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Ф. 346, оп. 138740, д. 7, лл. 20—23. Машинописная копия (21198).</w:t>
      </w:r>
    </w:p>
    <w:p w14:paraId="23802C0F" w14:textId="77777777" w:rsidR="006E11C9" w:rsidRPr="007224C3" w:rsidRDefault="006E11C9" w:rsidP="007224C3">
      <w:pPr>
        <w:spacing w:after="0" w:line="240" w:lineRule="auto"/>
        <w:jc w:val="both"/>
        <w:rPr>
          <w:rFonts w:ascii="Times New Roman" w:hAnsi="Times New Roman"/>
          <w:color w:val="0070C0"/>
          <w:sz w:val="16"/>
          <w:szCs w:val="16"/>
        </w:rPr>
      </w:pPr>
    </w:p>
    <w:p w14:paraId="017F0D8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января 1944 партизанами были сбиты еще два транспортных “Юнкерса”, о чем в документах соединения Вершигоры записано как о довольно заурядном событии. 10 февраля, уже на польской территории, части 1 -и УПД с боем взяли село Боровец и в очередной раз оказались на трассе полетов транспортников. Стрельба из пулеметов, установленных на специальные зенитные лафеты, и противотанковых ружей в тот день оказалась безрезультатной, так как немецкие самолеты летали на больших высотах. Но следующим утром погода резко испортилась, над селом повисла низкая облачность. Поэтому первый же самолет, вынужденный лететь над самой землей, сразу был сбит. Им оказался транспортный Me 323 “Гигант”, вывозивший раненых из Корсунь-Шевченковского котла. Самолет упал в поле за селом и сгорел вместе со всеми, кто был на его борту (9974).</w:t>
      </w:r>
    </w:p>
    <w:p w14:paraId="0237E00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349AEF92"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Внешняя политика:</w:t>
      </w:r>
    </w:p>
    <w:p w14:paraId="36E596C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0D54C1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января 1944 года было получено:</w:t>
      </w:r>
    </w:p>
    <w:p w14:paraId="31D49B3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СТРОГО СЕКРЕТНО И ЛИЧНО ПОСЛАНИЕ ОТ г-на ЧЕРЧИЛЛЯ И ПРЕЗИДЕНТА РУЗВЕЛЬТА МАРШАЛУ СТАЛИНУ</w:t>
      </w:r>
    </w:p>
    <w:p w14:paraId="44547CA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поводу передачи Советской России итальянских судов, о чем просило Советское Правительство на Московской конференции и о чем мы оба договорились с Вами в Тегеране, нами получен от Объединенного Штаба меморандум, который содержится в нашей телеграмме, непосредственно следующей за этой. По изложенным в этом меморандуме соображениям мы полагаем, что было бы опасно, с точки зрения интересов нас троих, в настоящее время производить какую-либо передачу судов или говорить что-либо об этом итальянцам, пока их сотрудничество имеет оперативное значение.</w:t>
      </w:r>
    </w:p>
    <w:p w14:paraId="783EF86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Тем не менее, если после детального рассмотрения вопроса Вы пожелаете, чтобы мы продолжали действовать, мы конфиденциально обратимся к маршалу Бадольо с целью заключения необходимых соглашений без того, чтобы они стали широко известны итальянским военно-морским силам. Если можно было бы достичь таким путем соглашения, то ему можно было бы предложить договориться с итальянскими военно-морскими властями о тех мероприятиях, которые были бы необходимы. Эти мероприятия должны были бы заключаться в том, что намеченные к передаче итальянские суда были бы отправлены в подходящие порты союзников, где их приняли бы русские экипажи, и с ними они отплыли бы в русские северные порты — единственные открытые порты, где можно было бы произвести любое необходимое переоборудование.</w:t>
      </w:r>
    </w:p>
    <w:p w14:paraId="22CD145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Однако мы весьма отчетливо сознаем опасность вышеуказанного образа действий по соображениям, которые мы Вам изложили, и мы поэтому решили предложить следующую альтернативу, которая с военной точки зрения обладает многими преимуществами.</w:t>
      </w:r>
    </w:p>
    <w:p w14:paraId="3091FDA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Недавно в Соединенных Штатах было закончено переоборудование британского линейного корабля “Ройял Соврин”. Он оборудован радиолокационными установками для всех типов вооружения. Соединенные Штаты приблизительно в это же самое время предоставят один легкий крейсер.</w:t>
      </w:r>
    </w:p>
    <w:p w14:paraId="6BBC1A3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Правительство Его Величества и Правительство Соединенных Штатов со своей стороны охотно готовы к тому, чтобы эти суда были приняты в британских портах советскими экипажами и отправлены в северные русские порты. Вы могли бы затем произвести те изменения, которые Вы сочтете необходимыми для арктических условий.</w:t>
      </w:r>
    </w:p>
    <w:p w14:paraId="2A47E06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Эти суда были бы временно переданы взаймы Советской России и плавали бы под советским флагом до тех пор, пока без ущерба для военных операций не смогут быть предоставлены итальянские суда.</w:t>
      </w:r>
    </w:p>
    <w:p w14:paraId="22783FC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Правительство Его Величества и Правительство Соединенных Штатов, каждое в отдельности, примут меры к тому, чтобы предоставить 20 000 тонн торговых судов, которые будут переданы в возможно скором времени и на тот срок, пока нельзя будет получить итальянские торговые суда без ущерба для намеченных важных операций “Оверлорд” и “Энвил” </w:t>
      </w:r>
      <w:r w:rsidRPr="007224C3">
        <w:rPr>
          <w:rFonts w:ascii="Times New Roman" w:hAnsi="Times New Roman"/>
          <w:color w:val="000000" w:themeColor="text1"/>
          <w:sz w:val="16"/>
          <w:szCs w:val="16"/>
          <w:vertAlign w:val="superscript"/>
        </w:rPr>
        <w:t>62</w:t>
      </w:r>
      <w:r w:rsidRPr="007224C3">
        <w:rPr>
          <w:rFonts w:ascii="Times New Roman" w:hAnsi="Times New Roman"/>
          <w:color w:val="000000" w:themeColor="text1"/>
          <w:sz w:val="16"/>
          <w:szCs w:val="16"/>
        </w:rPr>
        <w:t>.</w:t>
      </w:r>
    </w:p>
    <w:p w14:paraId="7A32D0B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Эта альтернатива обладает тем преимуществом, что Советское Правительство смогло бы использовать суда гораздо раньше, чем в том случае, если бы их все пришлось переоборудовать и приспосабливать к северным водам. Таким образом, если наши усилия в отношении турок приняли бы благоприятный оборот и Проливы стали бы открытыми, эти суда были бы готовы для операций на Черном море. Мы надеемся, что Вы весьма тщательно рассмотрите эту альтернативу, которая, по нашему мнению, во всех отношениях превосходит первое предложение.</w:t>
      </w:r>
    </w:p>
    <w:p w14:paraId="0A7EC5A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ЧЕРЧИЛЛЬ РУЗВЕЛЬТ (7430).</w:t>
      </w:r>
    </w:p>
    <w:p w14:paraId="3C70FC7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9263E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января 1944 года было получено:</w:t>
      </w:r>
    </w:p>
    <w:p w14:paraId="6C0F8CB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СТРОГО СЕКРЕТНО И ЛИЧНО ПОСЛАНИЕ ОТ г-на ЧЕРЧИЛЛЯ И ПРЕЗИДЕНТА РУЗВЕЛЬТА МАРШАЛУ СТАЛИНУ</w:t>
      </w:r>
    </w:p>
    <w:p w14:paraId="2B96A66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связи с нашей предыдущей телеграммой. Наш Объединенный Штаб представил следующие определенные рекомендации с подкрепляющими данными:</w:t>
      </w:r>
    </w:p>
    <w:p w14:paraId="4D7B319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настоящее время является неподходящим для осуществления передачи захваченных итальянских судов ввиду предстоящих операций союзников;</w:t>
      </w:r>
    </w:p>
    <w:p w14:paraId="0A2B063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b) предписывать передачу в данное время — это значило бы изъять необходимые итальянские ресурсы, ныне используемые в происходящих операциях, и помешать получению нами помощи, оказываемой в настоящее время итальянскими ремонтными базами. Это могло бы привести к затоплению итальянских военных судов и к потере итальянского сотрудничества и, следовательно, подвергло бы риску “Оверлорд” и “Энвил”;</w:t>
      </w:r>
    </w:p>
    <w:p w14:paraId="2F9B207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c) передачу итальянских судов можно будет осуществить в самое ближайшее время, как только позволят операции.</w:t>
      </w:r>
    </w:p>
    <w:p w14:paraId="6D39219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ЧЕРЧИЛЛЬ РУЗВЕЛЬТ (7430).</w:t>
      </w:r>
    </w:p>
    <w:p w14:paraId="43CA65B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ACD873" w14:textId="727432BD" w:rsidR="00A178F0" w:rsidRPr="007224C3" w:rsidRDefault="00A178F0" w:rsidP="007224C3">
      <w:pPr>
        <w:widowControl w:val="0"/>
        <w:autoSpaceDE w:val="0"/>
        <w:autoSpaceDN w:val="0"/>
        <w:adjustRightInd w:val="0"/>
        <w:spacing w:after="0" w:line="240" w:lineRule="auto"/>
        <w:jc w:val="both"/>
        <w:rPr>
          <w:rFonts w:ascii="Times New Roman" w:hAnsi="Times New Roman"/>
          <w:i/>
          <w:color w:val="000000" w:themeColor="text1"/>
          <w:sz w:val="16"/>
          <w:szCs w:val="16"/>
        </w:rPr>
      </w:pPr>
      <w:r w:rsidRPr="007224C3">
        <w:rPr>
          <w:rFonts w:ascii="Times New Roman" w:hAnsi="Times New Roman"/>
          <w:i/>
          <w:color w:val="000000" w:themeColor="text1"/>
          <w:sz w:val="16"/>
          <w:szCs w:val="16"/>
        </w:rPr>
        <w:t>За ру</w:t>
      </w:r>
      <w:r w:rsidR="006E11C9" w:rsidRPr="007224C3">
        <w:rPr>
          <w:rFonts w:ascii="Times New Roman" w:hAnsi="Times New Roman"/>
          <w:i/>
          <w:color w:val="000000" w:themeColor="text1"/>
          <w:sz w:val="16"/>
          <w:szCs w:val="16"/>
        </w:rPr>
        <w:t>б</w:t>
      </w:r>
      <w:r w:rsidRPr="007224C3">
        <w:rPr>
          <w:rFonts w:ascii="Times New Roman" w:hAnsi="Times New Roman"/>
          <w:i/>
          <w:color w:val="000000" w:themeColor="text1"/>
          <w:sz w:val="16"/>
          <w:szCs w:val="16"/>
        </w:rPr>
        <w:t>ежом:</w:t>
      </w:r>
    </w:p>
    <w:p w14:paraId="6FF88BBE" w14:textId="77777777" w:rsidR="00A178F0" w:rsidRPr="007224C3" w:rsidRDefault="00A178F0" w:rsidP="007224C3">
      <w:pPr>
        <w:widowControl w:val="0"/>
        <w:autoSpaceDE w:val="0"/>
        <w:autoSpaceDN w:val="0"/>
        <w:adjustRightInd w:val="0"/>
        <w:spacing w:after="0" w:line="240" w:lineRule="auto"/>
        <w:jc w:val="both"/>
        <w:rPr>
          <w:rFonts w:ascii="Times New Roman" w:hAnsi="Times New Roman"/>
          <w:i/>
          <w:color w:val="000000" w:themeColor="text1"/>
          <w:sz w:val="16"/>
          <w:szCs w:val="16"/>
        </w:rPr>
      </w:pPr>
    </w:p>
    <w:p w14:paraId="2D15DB4E" w14:textId="77777777" w:rsidR="00A178F0" w:rsidRPr="007224C3" w:rsidRDefault="00A178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23 января</w:t>
      </w:r>
      <w:r w:rsidRPr="007224C3">
        <w:rPr>
          <w:rFonts w:ascii="Times New Roman" w:hAnsi="Times New Roman"/>
          <w:color w:val="000000" w:themeColor="text1"/>
          <w:sz w:val="16"/>
          <w:szCs w:val="16"/>
        </w:rPr>
        <w:t xml:space="preserve"> в 1944 году первый полёт учебного истребителя «Fw.190s» («Fw.190a-8»/»U1») (компания «Focke-Wulf», Германия). Для переоборудования в двухместный (тандемный) вариант были взяты три «Fw.190a-8». Вторая кабина размещалась сразу за первой на месте радиостанции и другого оборудования. Задняя часть фюзеляжа была приподнята, обе кабины были закрыты одним фонарем. Фонарь передней открывался направо, а задней (инструкторской) - сдвигался назад. В задней кабине устанавливалось простейшее оборудование и приборы. Переоборудовать таким образом можно было любой самолет серии А (15018).</w:t>
      </w:r>
    </w:p>
    <w:p w14:paraId="3A8B0CBD" w14:textId="77777777" w:rsidR="00A178F0" w:rsidRPr="007224C3" w:rsidRDefault="00A178F0" w:rsidP="007224C3">
      <w:pPr>
        <w:spacing w:after="0" w:line="240" w:lineRule="auto"/>
        <w:jc w:val="both"/>
        <w:rPr>
          <w:rFonts w:ascii="Times New Roman" w:hAnsi="Times New Roman"/>
          <w:color w:val="000000" w:themeColor="text1"/>
          <w:sz w:val="16"/>
          <w:szCs w:val="16"/>
        </w:rPr>
      </w:pPr>
    </w:p>
    <w:p w14:paraId="6ECB7CC9" w14:textId="77777777" w:rsidR="006E11C9" w:rsidRPr="007224C3" w:rsidRDefault="006E11C9"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23 января 1944 в результате рейд 55 немецких самолетах тонет британский эсминец HMS Janus и наносится ущерб эсминцу HMS Джервис с использованием Fritz X – бомб с радионаведением (20373).</w:t>
      </w:r>
    </w:p>
    <w:p w14:paraId="0F7F1C3D" w14:textId="77777777" w:rsidR="006E11C9" w:rsidRPr="007224C3" w:rsidRDefault="006E11C9" w:rsidP="007224C3">
      <w:pPr>
        <w:spacing w:after="0" w:line="240" w:lineRule="auto"/>
        <w:jc w:val="both"/>
        <w:rPr>
          <w:rFonts w:ascii="Times New Roman" w:hAnsi="Times New Roman"/>
          <w:color w:val="0070C0"/>
          <w:sz w:val="16"/>
          <w:szCs w:val="16"/>
        </w:rPr>
      </w:pPr>
    </w:p>
    <w:p w14:paraId="03747A7E" w14:textId="77777777" w:rsidR="00A178F0" w:rsidRPr="007224C3" w:rsidRDefault="00A178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23 января</w:t>
      </w:r>
      <w:r w:rsidRPr="007224C3">
        <w:rPr>
          <w:rFonts w:ascii="Times New Roman" w:hAnsi="Times New Roman"/>
          <w:color w:val="000000" w:themeColor="text1"/>
          <w:sz w:val="16"/>
          <w:szCs w:val="16"/>
        </w:rPr>
        <w:t xml:space="preserve"> в 1944 году англо-американское наступление в районе Анцио захлебнулось (15018).</w:t>
      </w:r>
    </w:p>
    <w:p w14:paraId="268BE05C" w14:textId="77777777" w:rsidR="00A178F0" w:rsidRPr="007224C3" w:rsidRDefault="00A178F0" w:rsidP="007224C3">
      <w:pPr>
        <w:spacing w:after="0" w:line="240" w:lineRule="auto"/>
        <w:jc w:val="both"/>
        <w:rPr>
          <w:rFonts w:ascii="Times New Roman" w:hAnsi="Times New Roman"/>
          <w:color w:val="000000" w:themeColor="text1"/>
          <w:sz w:val="16"/>
          <w:szCs w:val="16"/>
        </w:rPr>
      </w:pPr>
    </w:p>
    <w:p w14:paraId="5F2ADFD1"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0AD9503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DE5ED3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января 1944 был утвержден отчет о заводских испытаниях Як-3 ВК107А (300,5).</w:t>
      </w:r>
    </w:p>
    <w:p w14:paraId="08C9740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73FFDD" w14:textId="77777777" w:rsidR="00961B62" w:rsidRPr="007224C3" w:rsidRDefault="00961B62" w:rsidP="007224C3">
      <w:pPr>
        <w:pStyle w:val="ae"/>
        <w:shd w:val="clear" w:color="auto" w:fill="FFFFFF"/>
        <w:spacing w:before="0" w:after="0"/>
        <w:jc w:val="both"/>
        <w:rPr>
          <w:color w:val="000000" w:themeColor="text1"/>
          <w:sz w:val="16"/>
          <w:szCs w:val="16"/>
        </w:rPr>
      </w:pPr>
      <w:r w:rsidRPr="007224C3">
        <w:rPr>
          <w:color w:val="000000" w:themeColor="text1"/>
          <w:sz w:val="16"/>
          <w:szCs w:val="16"/>
        </w:rPr>
        <w:t>24 января и 9 марта 1944 Б.Н. Кудрин со вершил на БИ № 7 с РД-1 два полета продолжительностью по 33 мин.</w:t>
      </w:r>
    </w:p>
    <w:p w14:paraId="042B8F4A" w14:textId="77777777" w:rsidR="00961B62" w:rsidRPr="007224C3" w:rsidRDefault="00961B62" w:rsidP="007224C3">
      <w:pPr>
        <w:pStyle w:val="ae"/>
        <w:shd w:val="clear" w:color="auto" w:fill="FFFFFF"/>
        <w:spacing w:before="0" w:after="0"/>
        <w:jc w:val="both"/>
        <w:rPr>
          <w:color w:val="000000" w:themeColor="text1"/>
          <w:sz w:val="16"/>
          <w:szCs w:val="16"/>
        </w:rPr>
      </w:pPr>
      <w:r w:rsidRPr="007224C3">
        <w:rPr>
          <w:color w:val="000000" w:themeColor="text1"/>
          <w:sz w:val="16"/>
          <w:szCs w:val="16"/>
        </w:rPr>
        <w:t>На этом самолете, как и на всех оставшихся после отказа от Двигателя Л.С. Душкина, вооружение было заменено весовы ми имитаторами. Все они отличались от первой партии само летов БИ увеличенным рулем поворота и уменьшенной пло Щ подфюзеляжного фальшкиля.</w:t>
      </w:r>
    </w:p>
    <w:p w14:paraId="1624C0BC" w14:textId="77777777" w:rsidR="00961B62" w:rsidRPr="007224C3" w:rsidRDefault="00961B62" w:rsidP="007224C3">
      <w:pPr>
        <w:pStyle w:val="ae"/>
        <w:shd w:val="clear" w:color="auto" w:fill="FFFFFF"/>
        <w:spacing w:before="0" w:after="0"/>
        <w:jc w:val="both"/>
        <w:rPr>
          <w:color w:val="000000" w:themeColor="text1"/>
          <w:sz w:val="16"/>
          <w:szCs w:val="16"/>
        </w:rPr>
      </w:pPr>
      <w:r w:rsidRPr="007224C3">
        <w:rPr>
          <w:color w:val="000000" w:themeColor="text1"/>
          <w:sz w:val="16"/>
          <w:szCs w:val="16"/>
        </w:rPr>
        <w:t>В результате переделок хвостового оперения и снятия рас чалок во время полетов на БИ № 7 наблюдалась тряска хвос товой части фюзеляжа при скорости 250...270 км/ч. Этот самолет временно отстранили от полетов. Опыты по определе нию причин тряски продолжались на БИ № 5</w:t>
      </w:r>
    </w:p>
    <w:p w14:paraId="1B029E47" w14:textId="77777777" w:rsidR="00961B62" w:rsidRPr="007224C3" w:rsidRDefault="00961B62" w:rsidP="007224C3">
      <w:pPr>
        <w:pStyle w:val="ae"/>
        <w:shd w:val="clear" w:color="auto" w:fill="FFFFFF"/>
        <w:spacing w:before="0" w:after="0"/>
        <w:jc w:val="both"/>
        <w:rPr>
          <w:color w:val="000000" w:themeColor="text1"/>
          <w:sz w:val="16"/>
          <w:szCs w:val="16"/>
        </w:rPr>
      </w:pPr>
      <w:r w:rsidRPr="007224C3">
        <w:rPr>
          <w:color w:val="000000" w:themeColor="text1"/>
          <w:sz w:val="16"/>
          <w:szCs w:val="16"/>
        </w:rPr>
        <w:t>Этот самолет привели в полное соответствие с БИ № 7: ус тановили имитаторы убранных лыж (прижатых к корпусу) и зализы крыла с корпусом, снятые с самолета БИ № 7. Под фюзеляжем прикрепили имитаторы обтекателей дуговых за пальных устройств ЖРД A.M. Исаева РД-1 и сняли кок хвос тового обтекателя. В шести полетах тряска не была обнару жена, но из-за того, что все же выяснить причину не удалось, полеты на БИ № 7 прекратили (19586).</w:t>
      </w:r>
    </w:p>
    <w:p w14:paraId="4E7EC330" w14:textId="77777777" w:rsidR="00961B62" w:rsidRPr="007224C3" w:rsidRDefault="00961B62" w:rsidP="007224C3">
      <w:pPr>
        <w:pStyle w:val="ae"/>
        <w:shd w:val="clear" w:color="auto" w:fill="FFFFFF"/>
        <w:spacing w:before="0" w:after="0"/>
        <w:jc w:val="both"/>
        <w:rPr>
          <w:color w:val="000000" w:themeColor="text1"/>
          <w:sz w:val="16"/>
          <w:szCs w:val="16"/>
        </w:rPr>
      </w:pPr>
    </w:p>
    <w:p w14:paraId="7012E785" w14:textId="77777777" w:rsidR="00961B62" w:rsidRPr="007224C3" w:rsidRDefault="00961B6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января 1944 года Приказом Наркома авиационной промышленности СССР № 48 в Таганроге на териитории завода № 31 были организованы ремонтные заводы 6-го Главного Управления. В их числе был и таганрогский завод, получивший название «завод № 86». В этот Главк вошли тогда те заводы, которые были на временно оккупированной фашистами территории. В их числе были заводы № 87 в Ростове, № 64 в Воронеже, № 473 в Киеве и т.д. В августе 1943 года фашисты взорвали Главный корпус, морской ангар, лодочный корпус, экспедицию, цех отделки, сожгли электроцех, заводоуправление, пожарное депо, поликлинику, фабрику-кухню и другие помещения завода. Большой ущерб был нанесен жилому фонда самолетостроителей.</w:t>
      </w:r>
    </w:p>
    <w:p w14:paraId="2048C66A" w14:textId="77777777" w:rsidR="00961B62" w:rsidRPr="007224C3" w:rsidRDefault="00961B6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условиях крайних трудностей, при отсутствии энергетической базы, стягивая на предприятие, сохранившееся в городе старое универсальное оборудование и годный к использованию инструмент, разыскивая и вовлекая в работу, бывшие кадры рабочих небольшой коллектив приступил к восстановлению завода. Уже через несколько недель, в отдельных сохранившихся зданиях заводчане приступили к ремонту техники для фронта.</w:t>
      </w:r>
    </w:p>
    <w:p w14:paraId="22F095F8" w14:textId="77777777" w:rsidR="00961B62" w:rsidRPr="007224C3" w:rsidRDefault="00961B6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 на 1 января 1944 года на заводе было всего 34 единицы металлорежущего оборудования, но оно все требовало капитального ремонта. Не было нефти, не было электроэнергии, не было водоснабжения, все начинали почти с нуля. На начало 1944 года на заводе уже трудились 1311 человек, в т.ч. 504 женщины. </w:t>
      </w:r>
    </w:p>
    <w:p w14:paraId="02B60D2F" w14:textId="77777777" w:rsidR="00961B62" w:rsidRPr="007224C3" w:rsidRDefault="00961B6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Согласно документам Чрезвычайной комиссии по расследованию злодеяний фашистов ущерб, причиненный заводу, составил свыше 137 миллионов рублей. 15 августа 1944 года на заводе специальной комиссией из семи человек во главе с заместителем директора завода А.Н. Самоделковым составлен акт об ущербе, причиненном заводу немецко-фашистскими оккупантами и его пособниками. </w:t>
      </w:r>
    </w:p>
    <w:p w14:paraId="1D247F7F" w14:textId="77777777" w:rsidR="00961B62" w:rsidRPr="007224C3" w:rsidRDefault="00961B6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Уже в годы войны и разрухи в оставшихся цехах шли ремонтные работы, а многие заводчане в составе фронтовых авиаремонтных бригад ремонтировали боевые самолеты. Так, только за период с 1 сентября 1943 г. по 1 января 1944 г. на заводе было отремонтировано 13 самолетов У-2, Р-5, ТБ-3, Р-6, Як-7, ПС-7 . Силами 31 ремонтно-полевых бригад, в их составе трудились 192 кадровых работника завода отремонтировано непосредственно во фронтовых мастерских ВВС Красной Армии - 935 боевых самолетов Ил-2, Як-1, Як-3, Як-7, Як-9, У-2 и др. (18580).</w:t>
      </w:r>
    </w:p>
    <w:p w14:paraId="1C3BE031" w14:textId="77777777" w:rsidR="00961B62" w:rsidRPr="007224C3" w:rsidRDefault="00961B62" w:rsidP="007224C3">
      <w:pPr>
        <w:spacing w:after="0" w:line="240" w:lineRule="auto"/>
        <w:jc w:val="both"/>
        <w:rPr>
          <w:rFonts w:ascii="Times New Roman" w:hAnsi="Times New Roman"/>
          <w:color w:val="000000" w:themeColor="text1"/>
          <w:sz w:val="16"/>
          <w:szCs w:val="16"/>
        </w:rPr>
      </w:pPr>
    </w:p>
    <w:p w14:paraId="401472F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января 1944 года П. Дементьев писал письмо управляющему делами Совнарокма Я.Е. Чадаеву</w:t>
      </w:r>
    </w:p>
    <w:p w14:paraId="6B8C672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 передаче НК текстиля бывш. Киевского экспериментального завода сообщаю, что согласно Постановлению ГКО № 4922 от 11 января 1944 года НКАП восстанавливает этот завод (завод № 483 НКАП) для организации на нем ремонта самолетных агрегатов (8933).</w:t>
      </w:r>
    </w:p>
    <w:p w14:paraId="045DCD5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9C10E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января 1944 г. на допросе Варнбрунна - пленного немецкого ефрейтора, который сообщил, что ТРД с тягой 600 кг прошел испытания в воздухе - присутствовали генерал-майоры авиации Левин и Болховитинов, а позднее - Стечкин и Люлька (9018).</w:t>
      </w:r>
    </w:p>
    <w:p w14:paraId="07401BA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725519"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5A37821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E86765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января 1944 вышло Постановление ГКО № 5021 О балансах и планах распределения проката черных металлов, труб, метизов, чугуна, ферросплавов, твердых сплавов, доменного угля и металлургического кокса на I квартал 1944 г. РГАНИР, Фонд ГКО, д. 197, лл. 6-9,10-125 (11012).</w:t>
      </w:r>
    </w:p>
    <w:p w14:paraId="2775994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6585234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января 1944 вышло Распоряжение ГКО № 5022. О мобилизации 1 тыс. военнообязанных в Армянской ССР, не годных к строевой службе, на строительство Ереванского завода № 447 HКАП и сахарного завода в Амамлах. РГАНИР, Фонд ГКО, д. 197, лл. 126 (11012).</w:t>
      </w:r>
    </w:p>
    <w:p w14:paraId="3FA87F9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3E33A14B"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января Постановление ГКО № 5023 [О помощи воинских частей гарнизонов торфопредприятиям в расчистке ж.-д. путей от снежных заносов.] (7178, 127,128-129).</w:t>
      </w:r>
    </w:p>
    <w:p w14:paraId="5DBF8120"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6C9A263"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506769C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A530CBB" w14:textId="77777777" w:rsidR="00A178F0" w:rsidRPr="007224C3" w:rsidRDefault="00A178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24 января</w:t>
      </w:r>
      <w:r w:rsidRPr="007224C3">
        <w:rPr>
          <w:rFonts w:ascii="Times New Roman" w:hAnsi="Times New Roman"/>
          <w:color w:val="000000" w:themeColor="text1"/>
          <w:sz w:val="16"/>
          <w:szCs w:val="16"/>
        </w:rPr>
        <w:t xml:space="preserve"> в 1944 году оперативная сводка Совинформбюро:</w:t>
      </w:r>
    </w:p>
    <w:p w14:paraId="4F1C364D" w14:textId="77777777" w:rsidR="00A178F0" w:rsidRPr="007224C3" w:rsidRDefault="00A178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«Войска Ленинградского фронта, продолжая успешноенаступление, 24 января овладели городом Пушкин (Царское Село), городом Павловск (Слуцк), а также с боями заняли более 40 других населённых пунктов и среди них Ознаково, Колодези, Хюльгюзи, Новое Ермолино, Старое Ермолино, Смольково, Вохоново, Педлино, Салези, Большое Резино, Сокколово, Романовка, Горки, Покровская, Гуккалово, Попова. Наши войска перерезали железную дорогу Гатчина—Нарва.</w:t>
      </w:r>
    </w:p>
    <w:p w14:paraId="085C160C" w14:textId="77777777" w:rsidR="00A178F0" w:rsidRPr="007224C3" w:rsidRDefault="00A178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24 января северо-западнее Тосно наши войска с боями продвигались вперёд, заняли несколько населённых пунктов, среди них крупный населённый пункт Ульяновка, превращённый немцами в сильный узел обороны, и железнодорожный узел Саблино на железнодорожной магистрали Ленинград—Москва.</w:t>
      </w:r>
    </w:p>
    <w:p w14:paraId="4FC67751" w14:textId="77777777" w:rsidR="00A178F0" w:rsidRPr="007224C3" w:rsidRDefault="00A178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и юго-западнее Новгорода наши войска вели наступательные бои, в ходе которых заняли населённые пункты Заполье, Стегачево, Изори, Кшентицы, Богданово, Большая Видогощь, Стехово, Сутоки, Ларешниково, Орлово, Сидорково, Большое И Малое Подсонье, Сельцо, Верховье, Спаспископец, Горошково, Заболотье, Курицко, Сергово и железнодорожные станции Трясово, Борок.</w:t>
      </w:r>
    </w:p>
    <w:p w14:paraId="0BDC37AB" w14:textId="77777777" w:rsidR="00A178F0" w:rsidRPr="007224C3" w:rsidRDefault="00A178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Восточнее Винницы наши войска отбивали атаки крупных сил пехоты и танков противника и нанесли ему большие потери в живой силе и технике.</w:t>
      </w:r>
    </w:p>
    <w:p w14:paraId="1A505B6A" w14:textId="77777777" w:rsidR="00A178F0" w:rsidRPr="007224C3" w:rsidRDefault="00A178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в ряде пунктов шли бои местного значения.</w:t>
      </w:r>
    </w:p>
    <w:p w14:paraId="17CF9F24" w14:textId="77777777" w:rsidR="00A178F0" w:rsidRPr="007224C3" w:rsidRDefault="00A178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23 января наши войска на всех фронтах подбили и уничтожили 46 немецких танков. В воздушных боях и огнём зенитной артиллерии сбито 45 самолётов противника.</w:t>
      </w:r>
    </w:p>
    <w:p w14:paraId="1318F34F" w14:textId="77777777" w:rsidR="00A178F0" w:rsidRPr="007224C3" w:rsidRDefault="00A178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Ленинградского фронта продолжали успешное наступление. Наши пехотинцы, танкисты и артиллеристы, преодолевая сильный огонь противника, с юго-запада обошли город Пушкин (Царское Село) и город Павловск (Слуцк). Другие советские части стремительно атаковали противника с фронта. В результате ожесточённых боёв сопротивление немцев было сломлено. Гитлеровцы, засевшие в долговременных укреплениях, не выдержали ударов наших войск и начали в беспорядке отступать. Овладев городами Пушкин и Павловск, наши части захватили много орудий, в том числе дальнобойных, крупные склады с боеприпасами и военным имуществом. Противник понёс большие потери в живой силе. На другом участке части Н-скогосоединения, успешно продвигаясь вперёд, перерезали железную дорогу Гатчина-Нарва. Части противника, упорно защищавшие подступы к этой дороге, были разгромлены. Уничтожено до 1.500 немецких солдат и офицеров. Захвачено 10 танков, 27 орудий, 60 автомашин и другие трофеи.</w:t>
      </w:r>
    </w:p>
    <w:p w14:paraId="3F3ADF43" w14:textId="77777777" w:rsidR="00A178F0" w:rsidRPr="007224C3" w:rsidRDefault="00A178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Северо-западнее Тосно наши подвижные части, обходя узлы сопротивления противника, прорываются вперёд и наносят удары по его путям сообщения. Под угрозой окружения немцы поспешно отступают, неся большие потери в людях и технике. В бою за железнодорожный узел Саблино наши бойцы уничтожили свыше батальона немецкой пехоты и захватили большие трофеи. В другом районе, отступая, гитлеровцы бросили 13 исправных орудий, 17 миномётов, много платформ и вагонов с военными грузами, артиллерийский склад и мощную радиостанцию. Значительное количество немцев взято в плен.</w:t>
      </w:r>
    </w:p>
    <w:p w14:paraId="5093E4B5" w14:textId="77777777" w:rsidR="00A178F0" w:rsidRPr="007224C3" w:rsidRDefault="00A178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и юго-западнее Новгорода наши войска продолжали вести наступательные бои. Части Н-ского соединения прорвали оборону противника на реке Веронда и, развивая успех, овладели рядом населённых пунктов. На другом участке советские войска, с боями продвигаясь вперёд, полностью очистили от немцев полуостров между озером Ильмень и рекой Веряжа. В течение дня уничтожено до полка немецкой пехоты, 7 танков, 3 самоходных орудия, 11 артиллерийских и миномётных батарей противника. Захвачено много трофеев и пленных.</w:t>
      </w:r>
    </w:p>
    <w:p w14:paraId="54B9C5A6" w14:textId="77777777" w:rsidR="00A178F0" w:rsidRPr="007224C3" w:rsidRDefault="00A178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Восточнее Винницы крупные силы танков и пехоты противника атаковали наши позиции. Завязался ожесточённый бой, в ходе которого один населённый пункт несколько раз переходил из рук в руки. На поле боя осталось до 500 вражеских трупов. Наши артиллеристы и бронебойщики подбили и сожгли свыше 30 танков, 6 самоходных орудий, 2 бронемашины и 9 бронетранспортёров противника.</w:t>
      </w:r>
    </w:p>
    <w:p w14:paraId="75E05F99" w14:textId="77777777" w:rsidR="00A178F0" w:rsidRPr="007224C3" w:rsidRDefault="00A178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Партизанский отряд, действующий в Барановичской области, в течение месяца пустил под откос 12 немецких воинских эшелонов. В результате крушений разбито иповреждено 10 паровозов, 9 вагонов с солдатами, 4 платформы с танками, 7 вагоновс боеприпасами и несколько десятков вагонов с военными грузами. Партизаны этогоже отряда подорвали на минах 37 грузовых автомашин и сожгли два склада с военными муществом противника.</w:t>
      </w:r>
    </w:p>
    <w:p w14:paraId="3BC058CF" w14:textId="77777777" w:rsidR="00A178F0" w:rsidRPr="007224C3" w:rsidRDefault="00A178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Пленный солдат 87 противотанкового дивизиона Петр Ераб рассказал: «Наш дивизион был придан 213 пехотной дивизии, находившейся во втором эшелоне. Утром началась мощная артиллерийская канонада. Вначале мы полагали, что это стреляет немецкая артиллерия. Но через час со всех сторон показались бегущие в беспорядке солдаты, преследуемые русскими танками. Командир 213 пехотной дивизии пытался организовать оборону, но из этого ничего не вышло. Солдаты бежали, куда глаза глядят. Наш дивизион также поддался общей панике. Видя, что сопротивление бесполезно, я с группой солдат сдался в плен». Пленный телефонист штабной роты 318 полка той же дивизии обер-ефрейтор Вальтер Браташ сообщил: «Наш полк не выдержал натиска русских и в беспорядке отступил. Через несколько часов командование прислало нам на помощь 25 танков, но 12 из них сразу же были подбиты русскими. Полк, отступая, за два дня потерял более половины своего личного состава» (15019).</w:t>
      </w:r>
    </w:p>
    <w:p w14:paraId="5D1BCA26" w14:textId="77777777" w:rsidR="00A178F0" w:rsidRPr="007224C3" w:rsidRDefault="00A178F0" w:rsidP="007224C3">
      <w:pPr>
        <w:spacing w:after="0" w:line="240" w:lineRule="auto"/>
        <w:jc w:val="both"/>
        <w:rPr>
          <w:rFonts w:ascii="Times New Roman" w:hAnsi="Times New Roman"/>
          <w:color w:val="000000" w:themeColor="text1"/>
          <w:sz w:val="16"/>
          <w:szCs w:val="16"/>
        </w:rPr>
      </w:pPr>
    </w:p>
    <w:p w14:paraId="0E27028D" w14:textId="77777777" w:rsidR="00A178F0" w:rsidRPr="007224C3" w:rsidRDefault="00A178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24 января</w:t>
      </w:r>
      <w:r w:rsidRPr="007224C3">
        <w:rPr>
          <w:rFonts w:ascii="Times New Roman" w:hAnsi="Times New Roman"/>
          <w:color w:val="000000" w:themeColor="text1"/>
          <w:sz w:val="16"/>
          <w:szCs w:val="16"/>
        </w:rPr>
        <w:t xml:space="preserve"> в 1944 году войска 1-го (генерал армии Н.Ф.Ватутин) и 2-го (генерал армии И.С.Конев) Украинских фронтов начали Корсунь-Шевченковскую наступательную операцию- В результате операции, завершившейся 17 февраля 1944 г., ликвидирована группировка немецко-фашистских войск на Корсунь-Шевченковском выступе, убито и ранено около 55 тысяч, взято в плен более 18 тысяч вражеских солдат (15019).</w:t>
      </w:r>
    </w:p>
    <w:p w14:paraId="0999A089" w14:textId="77777777" w:rsidR="00A178F0" w:rsidRPr="007224C3" w:rsidRDefault="00A178F0" w:rsidP="007224C3">
      <w:pPr>
        <w:spacing w:after="0" w:line="240" w:lineRule="auto"/>
        <w:jc w:val="both"/>
        <w:rPr>
          <w:rFonts w:ascii="Times New Roman" w:hAnsi="Times New Roman"/>
          <w:color w:val="000000" w:themeColor="text1"/>
          <w:sz w:val="16"/>
          <w:szCs w:val="16"/>
        </w:rPr>
      </w:pPr>
    </w:p>
    <w:p w14:paraId="65B05BEB"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января 1944 началась Корсунь-Шевченковская наступательная операция советских войск (4962).</w:t>
      </w:r>
    </w:p>
    <w:p w14:paraId="39C33065"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0246D5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C 24 января по 17 февраля 1944 прошла Корсунь-Шевченковская операция 1 и 2 УФ. Окружили 9 пехотных и 1 танковую дивизии и моторизованную бригаду и 17 февраля вблизи Шендеровки полностью разбили. Немцы потеряли 73 тыс., в т.ч. 18.2 тыс. пленных (2438,326).</w:t>
      </w:r>
    </w:p>
    <w:p w14:paraId="60840DA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67.3% вылетов было затрачено на поддержку прорыва обороны, окружения противника, отражение контрударов на внешнем и внутреннем фронтах и на воздушную блокаду (518,181).</w:t>
      </w:r>
    </w:p>
    <w:p w14:paraId="450CB87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преследовании отступающих войск авиация была перенацелена на дезорганизацию отхода и уничтожение войск и боевой техники в сотрудничестве фронтовой авиации и АДД (518,163).</w:t>
      </w:r>
    </w:p>
    <w:p w14:paraId="140D0C7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326 нбад 2ВА перевезла на По-2 с 8 по 16 февраля 1944 2 и 6 ТА 49 т бензина, 65 т боеприпасов, 525 снаряда для Катюш совершив 822 вылета (518,167).</w:t>
      </w:r>
    </w:p>
    <w:p w14:paraId="53A4E2C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 время Корсунь-Шевченковской операции соединения 5ВА выполнили на борьбу с контрударной группировкой на внешнем фронте окружения в феврале 1944 1400 вылетов (518,174).</w:t>
      </w:r>
    </w:p>
    <w:p w14:paraId="779D2EE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 штаба 53А г И.И.Воробьев отмечал: "Меткими массированными ударами ш совместно с артиллерией было остановлено наступление противника." (518,174).</w:t>
      </w:r>
    </w:p>
    <w:p w14:paraId="641C633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Противник широко использовал авиацию (транспортные самлолеты и бомбардировщики) для снабжения окруженных войск и особое значение имела воздушная блокада окруженного противника (518,174).</w:t>
      </w:r>
    </w:p>
    <w:p w14:paraId="30177AB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воздушной блокады противника привлекли авиацию ПВО (518,175).</w:t>
      </w:r>
    </w:p>
    <w:p w14:paraId="0FCBA5B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Блокирование выполняла 2ВА и 10АК ПВО и машины уничтожали в 4 зонах. С транспортами боролись на аэродромах Умань, Винница и Ново-Украинка, т.е. за внешним фронтом окружения, на 8 посадочных площадках в зоне окружения и в воздухе (518,179).</w:t>
      </w:r>
    </w:p>
    <w:p w14:paraId="12A1DC5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ходе операции на уничтожение окруженной группировки проивника было затрачено 18-19% самолето-вылетов (518,181).</w:t>
      </w:r>
    </w:p>
    <w:p w14:paraId="668DB9A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19597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24-25 января 1944 под Корсунь-Шевченковским началось наступление ударной группировки 2УФ (340,163).</w:t>
      </w:r>
    </w:p>
    <w:p w14:paraId="758B3EB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F0F92B"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января 1944 советскими войсками освобождены под Ленинградом города Пушкин и Павловск (4962).</w:t>
      </w:r>
    </w:p>
    <w:p w14:paraId="2C93E3FA"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09DC350"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Внешняя политика:</w:t>
      </w:r>
    </w:p>
    <w:p w14:paraId="7F5AB79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64117E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января 1944 года было получено:</w:t>
      </w:r>
    </w:p>
    <w:p w14:paraId="1A3EFE3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СТРОГО СЕКРЕТНО И ЛИЧНО ПОСЛАНИЕ ОТ г-на ЧЕРЧИЛЛЯ МАРШАЛУ СТАЛИНУ</w:t>
      </w:r>
    </w:p>
    <w:p w14:paraId="7DAB632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Мы отправляем немедленно Посла Кларка Керра обратно к Вам для того, чтобы он мог разъяснить ряд трудностей, которые, хотя и кажутся сначала пустяковыми, могут превратиться в величайшее затруднение для нас обоих.</w:t>
      </w:r>
    </w:p>
    <w:p w14:paraId="330729C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Я не могу пройти мимо исключительно плохого впечатления, создавшегося здесь в связи с сообщением “Правды” (имеется в виду опубликованное в “Правде” 17 января 1944 г. сообщение собственного корреспондента “Правды” из Каира, в котором указывалось, что, по сведениям из заслуживающих доверия источников, состоялась секретная встреча Риббентропа с английскими руководящими лицами с целью выяснения условий сепаратного мира с Германией), которое было предано Советским Правительством столь широкой официальной гласности. Даже лучшие друзья Советской России в Англии были сбиты с толку. Это сообщение тем более оскорбительно, что мы не можем понять его подоплеку. Вы знаете, как я уверен, что я никогда не стал бы вести переговоров с немцами отдельно и что мы сообщаем Вам, так же как Вы сообщали нам, о каждом предложении, которое они делают. Мы не думали о заключении сепаратного мира даже в тот год, когда мы были совсем одни и могли бы легко заключить такой мир без серьезных потерь для Британской Империи и в значительной степени за Ваш счет. Зачем бы нам думать об этом сейчас, когда дела у нас троих идут вперед к победе? Если что-либо имело место или что-либо было напечатано в английских газетах, что раздражает Вас, то почему Вы не можете направить мне телеграмму или же поручить Вашему Послу зайти и повидать нас по этому вопросу? Таким путем можно было бы избежать всего вреда, который был причинен, а также подозрений, которые были вызваны.</w:t>
      </w:r>
    </w:p>
    <w:p w14:paraId="34DA9F1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3. Каждый день я получаю длинные выдержки из журнала “Война и рабочий класс” </w:t>
      </w:r>
      <w:r w:rsidRPr="007224C3">
        <w:rPr>
          <w:rFonts w:ascii="Times New Roman" w:hAnsi="Times New Roman"/>
          <w:color w:val="000000" w:themeColor="text1"/>
          <w:sz w:val="16"/>
          <w:szCs w:val="16"/>
          <w:vertAlign w:val="superscript"/>
        </w:rPr>
        <w:t>64</w:t>
      </w:r>
      <w:r w:rsidRPr="007224C3">
        <w:rPr>
          <w:rFonts w:ascii="Times New Roman" w:hAnsi="Times New Roman"/>
          <w:color w:val="000000" w:themeColor="text1"/>
          <w:sz w:val="16"/>
          <w:szCs w:val="16"/>
        </w:rPr>
        <w:t xml:space="preserve">, который, кажется, предпринимает постоянные нападки слева на нашу </w:t>
      </w:r>
      <w:r w:rsidRPr="007224C3">
        <w:rPr>
          <w:rFonts w:ascii="Times New Roman" w:hAnsi="Times New Roman"/>
          <w:color w:val="000000" w:themeColor="text1"/>
          <w:sz w:val="16"/>
          <w:szCs w:val="16"/>
        </w:rPr>
        <w:lastRenderedPageBreak/>
        <w:t>администрацию в Италии и политику в Греции. Принимая во внимание, что Вы имеете представителя в комиссии по делам Италии, мы должны были бы надеяться, что эти жалобы будут обсуждены там, и мы должны были бы услышать о них и разъяснить нашу точку зрения путем обмена мнениями между правительствами. Поскольку эти нападки делаются открыто в советских газетах, которые в иностранных делах, как это, правильно или неправильно, полагают, не отклоняются от политики Советского Союза, то расхождение между нашими правительствами становится серьезным парламентским вопросом. Я отложил выступление в Палате общин до тех пор, пока я не дождусь результатов битвы в Италии, протекающей совсем неплохо, однако через неделю или через 10 дней я должен буду выступить в Палате общин и коснуться вопроса, о котором я упомянул в этой телеграмме, поскольку я не могу позволить, чтобы обвинения и критика остались без ответа.</w:t>
      </w:r>
    </w:p>
    <w:p w14:paraId="42153EF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Я был весьма ободрен тем ощущением наших хороших отношений, которое я привез с собой из Тегерана, а также посланием, которое Вы направили мне через г-на Бенеша, и я стараюсь день и ночь, чтобы дело шло так, как Вы этого хотите, и так, как этого требуют интересы всех нас троих. Я уверен, что если бы мы были вместе, то эти трудности не возникли бы. Я работаю сейчас все время над тем, чтобы обеспечить успех второму фронту и развернуть его в гораздо большем масштабе, и моя работа затрудняется всякого рода булавочными уколами, о которых я упоминал. Конечно, несколько слов, сказанных Вами, разъяснили бы все это дело. Мы всегда были согласны с тем, чтобы писать откровенно друг другу, что я сейчас и делаю. Однако я надеюсь, что Вы повидаете Кларка Керра, когда он прибудет, и предоставите ему возможность объяснить более подробно положение так, как это должно быть между союзниками, которые не только спаяны вместе в войне, но и связаны нашим двадцатилетним договором.</w:t>
      </w:r>
    </w:p>
    <w:p w14:paraId="441D8A3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Я еще не имел возможности протелеграфировать о переговорах с поляками потому, что я должен в вопросе такой большой важности знать, какова позиция Соединенных Штатов. Я надеюсь, однако, направить Вам послание через несколько дней.</w:t>
      </w:r>
    </w:p>
    <w:p w14:paraId="3C4CE6F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Бригадир Маклин и мой сын Рандольф успешно спустились на парашютах в месторасположение штаб-квартиры Тито (7430).</w:t>
      </w:r>
    </w:p>
    <w:p w14:paraId="6D45F41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B1E615" w14:textId="77777777" w:rsidR="00A178F0" w:rsidRPr="007224C3" w:rsidRDefault="00A178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24 января</w:t>
      </w:r>
      <w:r w:rsidRPr="007224C3">
        <w:rPr>
          <w:rFonts w:ascii="Times New Roman" w:hAnsi="Times New Roman"/>
          <w:color w:val="000000" w:themeColor="text1"/>
          <w:sz w:val="16"/>
          <w:szCs w:val="16"/>
        </w:rPr>
        <w:t xml:space="preserve"> в 1944 году министр иностранных дел Японии Сигемицу в беседе с германским послом Г.Штамером вновь предложил посредничество Японии в заключении мира между СССР и Германией (15019).</w:t>
      </w:r>
    </w:p>
    <w:p w14:paraId="56D4714B" w14:textId="77777777" w:rsidR="00A178F0" w:rsidRPr="007224C3" w:rsidRDefault="00A178F0" w:rsidP="007224C3">
      <w:pPr>
        <w:spacing w:after="0" w:line="240" w:lineRule="auto"/>
        <w:jc w:val="both"/>
        <w:rPr>
          <w:rFonts w:ascii="Times New Roman" w:hAnsi="Times New Roman"/>
          <w:color w:val="000000" w:themeColor="text1"/>
          <w:sz w:val="16"/>
          <w:szCs w:val="16"/>
        </w:rPr>
      </w:pPr>
    </w:p>
    <w:p w14:paraId="2F0B36E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января 1944 г. "ПРАВДА" писала: Сообщение специальной комиссии по установлению и расследованию обстоятельств расстрела немецко-фашистскими захватчиками в Катынском лесу военнопленных польских офицеров. Казнь польских офицеров была проведена осенью 1941 года, метод расстрела был типичен для немецких массовых расстрелов... расстрел польских военнопленных был частью уничтожения славянских народов... Н. Бурденко, А. Толстой, митрополит Николай и др. (9712).</w:t>
      </w:r>
    </w:p>
    <w:p w14:paraId="5C45B13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78ABF2B3"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778AC2E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4D0F577" w14:textId="77777777" w:rsidR="006E11C9" w:rsidRPr="007224C3" w:rsidRDefault="006E11C9"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 ночь на 24 января, когда с авиабазы Мелун-Виллароше (Франция) взлетел 161 самолет, в т.ч. 15 Do 217 из I/KG, состоялся самый большой налет на Лондон. Целью были доки Милволл на окраине Лондона. Каждый Do 217 нес по одной тонной авиабомбе SC 1000 и 590 «зажигалок» весом по 1 кг, либо 2 полутонки SC 500 и 400 «зажигалок». За 40 км от английского берега немцы с каждого самолета начали сбрасывать по пачке дипольных отражателей «дюппель» раз в 30 секунд, чтобы вызвать засветку индикаторов РЛС противника. В зоне цели выброс «дюппелей» шел уже раз в 4 секунды. Первыми над доками появились целеуказатели — пикировщики Ju 88 и Ju 188, которые обозначили объект светящимися авиабомбами (САБ) желтого света, которые хорошо были видны сквозь плотный туман. Ударные самолеты снижались с высоты 5000 не до самой земли, как это было в первых налетах, а лишь до трехкилометрового эшелона. Далее переходили в горизонт (на этом режиме бомбовый прицел «Лотфе» работал лучше), целились по «висящим» на парашютах САБам, а сразу после сброса бомб выполняли резкий нисходящий разворот на 180 градусов, который заканчивали на высоте 200 м — и это ночью в туман на предельной скорости! Английские истребители смогли сбить только 4 самолета, в т.ч. один Do 217. Еще один «дорнье» прямо над целью «завалили» зенитчики. Потерь Не 177А в эту ночь не было, но 14,5% самолетов этого типа не выполнили задачу из-за возникших на борту отказов (22839).</w:t>
      </w:r>
    </w:p>
    <w:p w14:paraId="1F65B83D" w14:textId="77777777" w:rsidR="006E11C9" w:rsidRPr="007224C3" w:rsidRDefault="006E11C9" w:rsidP="007224C3">
      <w:pPr>
        <w:spacing w:after="0" w:line="240" w:lineRule="auto"/>
        <w:jc w:val="both"/>
        <w:rPr>
          <w:rFonts w:ascii="Times New Roman" w:hAnsi="Times New Roman"/>
          <w:color w:val="0070C0"/>
          <w:sz w:val="16"/>
          <w:szCs w:val="16"/>
        </w:rPr>
      </w:pPr>
    </w:p>
    <w:p w14:paraId="1C59C61E" w14:textId="77777777" w:rsidR="006E11C9" w:rsidRPr="007224C3" w:rsidRDefault="006E11C9"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24 января 1944 немецкие налеты в составе 15, 43 и 52 самолетов ударили по кораблям союзников у побережья Анцио, повредив американский эсминец и тральщик и потопив британский госпитальный корабль (20373).</w:t>
      </w:r>
    </w:p>
    <w:p w14:paraId="3B122B17" w14:textId="77777777" w:rsidR="006E11C9" w:rsidRPr="007224C3" w:rsidRDefault="006E11C9" w:rsidP="007224C3">
      <w:pPr>
        <w:spacing w:after="0" w:line="240" w:lineRule="auto"/>
        <w:jc w:val="both"/>
        <w:rPr>
          <w:rFonts w:ascii="Times New Roman" w:hAnsi="Times New Roman"/>
          <w:color w:val="0070C0"/>
          <w:sz w:val="16"/>
          <w:szCs w:val="16"/>
        </w:rPr>
      </w:pPr>
    </w:p>
    <w:p w14:paraId="430BE20E" w14:textId="77777777" w:rsidR="006E11C9" w:rsidRPr="007224C3" w:rsidRDefault="006E11C9"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24 января 1944 Восьмая воздушная армия ВВС США пытается совершить налет 857 бомбардировщиков в сопровождении 678 истребителей на промышленные и транспортные цели в Германии, но все бомбардировщики остановлены или отозваны из-за плохой погоды, за исключением 58, которые поразили электростанцию недалеко от Эшвайлера. Два бомбардировщика и девять истребителей потеряны. Бомбардировщики и истребители заявляют, что 20 немецких самолетов сбиты, четыре, вероятно, сбиты и двенадцать повреждены (20373).</w:t>
      </w:r>
    </w:p>
    <w:p w14:paraId="39EBFE9D" w14:textId="77777777" w:rsidR="006E11C9" w:rsidRPr="007224C3" w:rsidRDefault="006E11C9" w:rsidP="007224C3">
      <w:pPr>
        <w:spacing w:after="0" w:line="240" w:lineRule="auto"/>
        <w:jc w:val="both"/>
        <w:rPr>
          <w:rFonts w:ascii="Times New Roman" w:hAnsi="Times New Roman"/>
          <w:color w:val="0070C0"/>
          <w:sz w:val="16"/>
          <w:szCs w:val="16"/>
        </w:rPr>
      </w:pPr>
    </w:p>
    <w:p w14:paraId="2D93AA79" w14:textId="77777777" w:rsidR="006E11C9" w:rsidRPr="007224C3" w:rsidRDefault="006E11C9"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24 января 1944 Военно-воздушные силы армии США в Соединенном Королевстве и Королевские военно-воздушные силы соглашаются разместить большинство имеющихся истребителей P-51 Mustang в 8-й воздушной армии для сопровождения бомбардировщиков дальнего действия. Американские P-51 в ранее использовались в ВВС Соединенного Королевства. Восьмая воздушная армия в конечном счете будет оснащена почти исключительно P-51 (20373).</w:t>
      </w:r>
    </w:p>
    <w:p w14:paraId="14FFAAD8" w14:textId="77777777" w:rsidR="006E11C9" w:rsidRPr="007224C3" w:rsidRDefault="006E11C9" w:rsidP="007224C3">
      <w:pPr>
        <w:spacing w:after="0" w:line="240" w:lineRule="auto"/>
        <w:jc w:val="both"/>
        <w:rPr>
          <w:rFonts w:ascii="Times New Roman" w:hAnsi="Times New Roman"/>
          <w:color w:val="0070C0"/>
          <w:sz w:val="16"/>
          <w:szCs w:val="16"/>
        </w:rPr>
      </w:pPr>
    </w:p>
    <w:p w14:paraId="2164C85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января 1944 г Эйзенхауэр стал командующим объединенными войсками союзников в Европе (3907,248).</w:t>
      </w:r>
    </w:p>
    <w:p w14:paraId="3266FED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4B1EED"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40EE330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D277D1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января 1944 при контрольном испытанияи Ил-2 завода 18 N 1878286 были достигнуты скорости 396 км/час у земли и 415 к/час на границе высотности (1823,28).</w:t>
      </w:r>
    </w:p>
    <w:p w14:paraId="3EF6990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59417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25 по 29 января 1944 П.Я.Федрови проводил заводские испытания Як-3-2 с ВК107А смешанной конструкции (65,187).</w:t>
      </w:r>
    </w:p>
    <w:p w14:paraId="1C31343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AE095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25 по 29 января 1944 года были проведены заводские испытания Як-3 ВК-107А "Дублер", которые показали, что основные дефекты, выявленные на первом прототипе, устранены и самолет может быть предъявлен на государственные испытания. 22 января 1944 года, на аэродром выкатили второй прототип Як-3 ВК-107А "Дублер", как тогда было принято называть такие машины. На этом самолете изначально, еще на стадии проектирования и постройки, применили все технические решения, ставшие основой для переделок первого опытного экземпляра машины. Радикальным изменениям подверглись только фонарь кабины пилота, которому придали более обтекаемую форму, и установка вооружения с двумя опытными синхронными пушками Б-20. При этом полетный вес второго прототипа по сравнению с предшественником практически не изменился - 2932 кг. Соответственно одинаковыми были и летные данные. Максимальная скорость у земли Як-3 ВК-107А № 1 до модификации была равной 611 км/ч, а у №2 - 610 км/ч (из-за неблагоприятных метеоусловий "Дублер" был облетан и проверен только на малых высотах) (12047).</w:t>
      </w:r>
    </w:p>
    <w:p w14:paraId="7DA907C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589C277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января 1944 был утвержден отчет НИИ ВВС и ЛИИ по испытаниям Як-1-ВК105ПФ (300,1).</w:t>
      </w:r>
    </w:p>
    <w:p w14:paraId="79A3203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173D2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января 1944 закончились гос. испытания на земле Як-9У с ВК-105ПФ2 с ВЯ эталона на 1944, которые начались 2 января, а с 17 января по 11 марта проводились облеты (65,146).</w:t>
      </w:r>
    </w:p>
    <w:p w14:paraId="509238D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9A8B7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26 января 1944 года на Як-9У был произведен следующий настрел из установок оружия: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5106D0" w:rsidRPr="007224C3" w14:paraId="50D42FBF" w14:textId="77777777">
        <w:tc>
          <w:tcPr>
            <w:tcW w:w="5636" w:type="dxa"/>
          </w:tcPr>
          <w:p w14:paraId="07E5F19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 ВЯ</w:t>
            </w:r>
          </w:p>
        </w:tc>
        <w:tc>
          <w:tcPr>
            <w:tcW w:w="5636" w:type="dxa"/>
          </w:tcPr>
          <w:p w14:paraId="1B70C8C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1231 выстрел</w:t>
            </w:r>
          </w:p>
        </w:tc>
      </w:tr>
      <w:tr w:rsidR="005106D0" w:rsidRPr="007224C3" w14:paraId="36C8B293" w14:textId="77777777">
        <w:tc>
          <w:tcPr>
            <w:tcW w:w="5636" w:type="dxa"/>
          </w:tcPr>
          <w:p w14:paraId="773892F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 правого УБС</w:t>
            </w:r>
          </w:p>
        </w:tc>
        <w:tc>
          <w:tcPr>
            <w:tcW w:w="5636" w:type="dxa"/>
          </w:tcPr>
          <w:p w14:paraId="506B131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1896 выстрелов</w:t>
            </w:r>
          </w:p>
        </w:tc>
      </w:tr>
      <w:tr w:rsidR="005106D0" w:rsidRPr="007224C3" w14:paraId="410FE448" w14:textId="77777777">
        <w:tc>
          <w:tcPr>
            <w:tcW w:w="5636" w:type="dxa"/>
          </w:tcPr>
          <w:p w14:paraId="4C777AF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 левого УБС</w:t>
            </w:r>
          </w:p>
        </w:tc>
        <w:tc>
          <w:tcPr>
            <w:tcW w:w="5636" w:type="dxa"/>
          </w:tcPr>
          <w:p w14:paraId="1EB5D74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1797 выстрелов.</w:t>
            </w:r>
          </w:p>
        </w:tc>
      </w:tr>
    </w:tbl>
    <w:p w14:paraId="19B567D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процессе испытаний были заменены 4 пушки ВЯ из-за поломок: ствольной коробки, сапожков ползуна (2 случая), клина запирания и затвора. За это время произведено 7 полетов. В 3 полетах задания не выполнены, так как тряс мотор. 2 полета были на километраж (1821,34).</w:t>
      </w:r>
    </w:p>
    <w:p w14:paraId="5F5C5F3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BEAEB4"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2F411FC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06D272D" w14:textId="77777777" w:rsidR="00956103" w:rsidRPr="007224C3" w:rsidRDefault="00956103" w:rsidP="007224C3">
      <w:pPr>
        <w:pStyle w:val="ae"/>
        <w:spacing w:before="0" w:after="0"/>
        <w:jc w:val="both"/>
        <w:textAlignment w:val="baseline"/>
        <w:rPr>
          <w:color w:val="000000" w:themeColor="text1"/>
          <w:sz w:val="16"/>
          <w:szCs w:val="16"/>
        </w:rPr>
      </w:pPr>
      <w:r w:rsidRPr="007224C3">
        <w:rPr>
          <w:color w:val="000000" w:themeColor="text1"/>
          <w:sz w:val="16"/>
          <w:szCs w:val="16"/>
        </w:rPr>
        <w:t>25 января 1944 в ходе пробега танк Т-44 прошёл 240 км со средней скоростью 21,8 км/ч, а 27 января — 250 км со средней скоростью 24,4 км/ч. Для сравнения, средние скорости движения Т-34 в тех же пробегах составили 20 и 23 км/ч соответственно. При этом средний расход топлива Т-44 составил 220-227 л на 100 км, а для Т-34 он находился в пределах 230-332 л. В тестовом пробеге машина вела себя более-менее надёжно, хотя и не без мелких недочётов. Конструкция выхлопной системы оказалась такой, что в ходе движения левый борт корпуса нагревался. Также отмечалось самопроизвольное открытие крышки смотрового лючка механика-водителя, а также повышенный износ зубьев ведущих зубчаток бортовых фрикционов. Последнее оказалось заводским браком.</w:t>
      </w:r>
    </w:p>
    <w:p w14:paraId="2684DC4A" w14:textId="77777777" w:rsidR="00956103" w:rsidRPr="007224C3" w:rsidRDefault="00956103" w:rsidP="007224C3">
      <w:pPr>
        <w:pStyle w:val="ae"/>
        <w:spacing w:before="0" w:after="0"/>
        <w:jc w:val="both"/>
        <w:textAlignment w:val="baseline"/>
        <w:rPr>
          <w:color w:val="000000" w:themeColor="text1"/>
          <w:sz w:val="16"/>
          <w:szCs w:val="16"/>
        </w:rPr>
      </w:pPr>
      <w:r w:rsidRPr="007224C3">
        <w:rPr>
          <w:color w:val="000000" w:themeColor="text1"/>
          <w:sz w:val="16"/>
          <w:szCs w:val="16"/>
        </w:rPr>
        <w:lastRenderedPageBreak/>
        <w:t>На первых заводских испытаниях первый опытный образец Т-44 прошёл 590 км. Для чистоты эксперимента его сопровождал серийный Т-34.</w:t>
      </w:r>
    </w:p>
    <w:p w14:paraId="5203CEEF" w14:textId="77777777" w:rsidR="00956103" w:rsidRPr="007224C3" w:rsidRDefault="00956103" w:rsidP="007224C3">
      <w:pPr>
        <w:pStyle w:val="ae"/>
        <w:spacing w:before="0" w:after="0"/>
        <w:jc w:val="both"/>
        <w:textAlignment w:val="baseline"/>
        <w:rPr>
          <w:color w:val="000000" w:themeColor="text1"/>
          <w:sz w:val="16"/>
          <w:szCs w:val="16"/>
        </w:rPr>
      </w:pPr>
      <w:r w:rsidRPr="007224C3">
        <w:rPr>
          <w:color w:val="000000" w:themeColor="text1"/>
          <w:sz w:val="16"/>
          <w:szCs w:val="16"/>
        </w:rPr>
        <w:t>Испытания показали не только меньший расход топлива и бо́льшую среднюю скорость, но и снижение усилий на рычаги управления. У Т-34 они составили 20-24 кг, а у опытного Т-44 — 13-16 кг. Более высокой оказалась обзорность из смотровых приборов, особенно существенной была разница по обзорности с места механика-водителя. Успешно прошли и испытания стрельбой. В их ходе 12 выстрелов расчёт сделал за 95 секунд, при этом выстрелы производились из разных положений башни. В теории это давало скорострельность 8-10 выстрелов в минуту. По итогам стрельб отмечалось, что концентрация пороховых газов не превышает норму. Вполне успешно откатал заводские испытания и второй опытный образец, который прошёл меньшее расстояние — 231 км. Что же касается третьей машины, с башней, имевшей диаметр погона 1800 мм и 122-мм орудие Д-25-44, то она преодолела на заводских испытаниях самое большую дистанцию — 2340 км. В ходе длительных испытаний была достигнута средняя скорость движения 24 км/ч, а средний расход топлива составил 210 л на 100 км (18799)</w:t>
      </w:r>
    </w:p>
    <w:p w14:paraId="77268EAC" w14:textId="77777777" w:rsidR="00956103" w:rsidRPr="007224C3" w:rsidRDefault="00956103" w:rsidP="007224C3">
      <w:pPr>
        <w:spacing w:after="0" w:line="240" w:lineRule="auto"/>
        <w:jc w:val="both"/>
        <w:textAlignment w:val="baseline"/>
        <w:rPr>
          <w:rFonts w:ascii="Times New Roman" w:hAnsi="Times New Roman"/>
          <w:bCs/>
          <w:iCs/>
          <w:noProof/>
          <w:color w:val="000000" w:themeColor="text1"/>
          <w:sz w:val="16"/>
          <w:szCs w:val="16"/>
          <w:bdr w:val="none" w:sz="0" w:space="0" w:color="auto" w:frame="1"/>
          <w:lang w:eastAsia="ru-RU"/>
        </w:rPr>
      </w:pPr>
    </w:p>
    <w:p w14:paraId="1D3C534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января 1944 г. в соответствии с приказом № 3 НКСМ на СМЗ пополняли станочный парк завода и наращивали численность специалистами за счёт перевода требуе</w:t>
      </w:r>
      <w:r w:rsidRPr="007224C3">
        <w:rPr>
          <w:rFonts w:ascii="Times New Roman" w:hAnsi="Times New Roman"/>
          <w:color w:val="000000" w:themeColor="text1"/>
          <w:sz w:val="16"/>
          <w:szCs w:val="16"/>
        </w:rPr>
        <w:softHyphen/>
        <w:t>мых сотрудников с других предприятий. Так, на СМЗ с ГМЗ на</w:t>
      </w:r>
      <w:r w:rsidRPr="007224C3">
        <w:rPr>
          <w:rFonts w:ascii="Times New Roman" w:hAnsi="Times New Roman"/>
          <w:color w:val="000000" w:themeColor="text1"/>
          <w:sz w:val="16"/>
          <w:szCs w:val="16"/>
        </w:rPr>
        <w:softHyphen/>
        <w:t>правили оборудование и инструменты, а с закрывавшегося ТМЗ -7 ИТР и 18 рабочих [5.95]. На СМЗ продолжали ремонтировать трофейные и отечественные мотоциклы. В среднем фабрично-заводская себестоимость ремонта одного мотоцикла составляла 5858 р., а коммерческая - 5908 р. К началу 1945 г. на СМЗ нако</w:t>
      </w:r>
      <w:r w:rsidRPr="007224C3">
        <w:rPr>
          <w:rFonts w:ascii="Times New Roman" w:hAnsi="Times New Roman"/>
          <w:color w:val="000000" w:themeColor="text1"/>
          <w:sz w:val="16"/>
          <w:szCs w:val="16"/>
        </w:rPr>
        <w:softHyphen/>
        <w:t>пилось неотправленной заказчикам продукции на 80 тыс. р. [5.96]. Одна из трудностей завода состояла в недостатке поставок изго</w:t>
      </w:r>
      <w:r w:rsidRPr="007224C3">
        <w:rPr>
          <w:rFonts w:ascii="Times New Roman" w:hAnsi="Times New Roman"/>
          <w:color w:val="000000" w:themeColor="text1"/>
          <w:sz w:val="16"/>
          <w:szCs w:val="16"/>
        </w:rPr>
        <w:softHyphen/>
        <w:t>тавливаемых на ГАЗ колясок к выпускаемым мотоциклам, заста</w:t>
      </w:r>
      <w:r w:rsidRPr="007224C3">
        <w:rPr>
          <w:rFonts w:ascii="Times New Roman" w:hAnsi="Times New Roman"/>
          <w:color w:val="000000" w:themeColor="text1"/>
          <w:sz w:val="16"/>
          <w:szCs w:val="16"/>
        </w:rPr>
        <w:softHyphen/>
        <w:t>влявшая ограничивать выпуск из ремонта и сборки тяжелых мо</w:t>
      </w:r>
      <w:r w:rsidRPr="007224C3">
        <w:rPr>
          <w:rFonts w:ascii="Times New Roman" w:hAnsi="Times New Roman"/>
          <w:color w:val="000000" w:themeColor="text1"/>
          <w:sz w:val="16"/>
          <w:szCs w:val="16"/>
        </w:rPr>
        <w:softHyphen/>
        <w:t>тоциклов. Другая, не менее существенная, трудность состояла в дефиците специального инструмента [5.97]. Из американских мо</w:t>
      </w:r>
      <w:r w:rsidRPr="007224C3">
        <w:rPr>
          <w:rFonts w:ascii="Times New Roman" w:hAnsi="Times New Roman"/>
          <w:color w:val="000000" w:themeColor="text1"/>
          <w:sz w:val="16"/>
          <w:szCs w:val="16"/>
        </w:rPr>
        <w:softHyphen/>
        <w:t>тоциклов, на СМЗ собирали «Индиан» 741-Б. И хотя на сборку иномарок заводу план не устанавливали, на СМЗ в 1943 г. собра</w:t>
      </w:r>
      <w:r w:rsidRPr="007224C3">
        <w:rPr>
          <w:rFonts w:ascii="Times New Roman" w:hAnsi="Times New Roman"/>
          <w:color w:val="000000" w:themeColor="text1"/>
          <w:sz w:val="16"/>
          <w:szCs w:val="16"/>
        </w:rPr>
        <w:softHyphen/>
        <w:t>ли 952 таких мотоцикла, а в 1944 г. - 24. Всего на заводе за 1943-1944 гг. собрали 976 мотоциклов «Индиан» 741-Б [5.91] (11429).</w:t>
      </w:r>
    </w:p>
    <w:p w14:paraId="2E526DF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B5204B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января 1944 вышло Постановление ГКО № 5024 О возобновлении строительства Храмской и Сухумской гидроэлектростанций в Грузинской ССР. РГАНИР, Фонд ГКО, д. 197, лл. 130-131,132-142 (11012).</w:t>
      </w:r>
    </w:p>
    <w:p w14:paraId="048B7B6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76091A1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января 1944 вышло Постановление ГКО № 5025 О мерах по обеспечению топливом жилищно-коммунального хозяйства, госпиталей, больниц, школ и детских учреждений Москвы. РГАНИР, Фонд ГКО, д. 197, лл. 143-145 (11012).</w:t>
      </w:r>
    </w:p>
    <w:p w14:paraId="563AED1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2DA6C4F4"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января 1944 вышло Постановление ГКО № 5027 О строительстве железнодорожного моста через Керченский пролив. (7178, 147-150).</w:t>
      </w:r>
    </w:p>
    <w:p w14:paraId="71DE9B8E"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4028B67"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января 1944 вышло Постановление ГКО № 5028 О неотложной помощи в снабжении углем уральских электростанций. (7178, 151-152).</w:t>
      </w:r>
    </w:p>
    <w:p w14:paraId="70AAA8C9"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E1A13F7"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297CC8C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32EDF78" w14:textId="77777777" w:rsidR="00A178F0" w:rsidRPr="007224C3" w:rsidRDefault="00A178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25 января</w:t>
      </w:r>
      <w:r w:rsidRPr="007224C3">
        <w:rPr>
          <w:rFonts w:ascii="Times New Roman" w:hAnsi="Times New Roman"/>
          <w:color w:val="000000" w:themeColor="text1"/>
          <w:sz w:val="16"/>
          <w:szCs w:val="16"/>
        </w:rPr>
        <w:t xml:space="preserve"> в 1944 году оперативная сводка Совинформбюро:</w:t>
      </w:r>
    </w:p>
    <w:p w14:paraId="283FD763" w14:textId="77777777" w:rsidR="00A178F0" w:rsidRPr="007224C3" w:rsidRDefault="00A178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25 января юго-западнее и южнее Пушкина наши войска, продолжая развивать наступление, овладели населёнными пунктами Сяскелево, Реболово, Хиндикалово, Черново, Сямелево, Сеппелево, Корпиково, посёлок Рошаля, Кеккелево, Лукаши, Вяхтелево, Местелево, Федоровское, Пабузи, Чёрная Речка и железнодорожными станциями Антропшино, Владимирская, Фрезерный. Наши войска вплотную подошли к городу Гатчина (Красногвардейск) и завязали бои на окраинах города.</w:t>
      </w:r>
    </w:p>
    <w:p w14:paraId="3436ADCF" w14:textId="77777777" w:rsidR="00A178F0" w:rsidRPr="007224C3" w:rsidRDefault="00A178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и юго-западнее Кириши наши войска, преодолевая сопротивление противника и систему его инженерных заграждений на лесных дорогах, заняли несколько населённых пунктов и в ряде мест подошли к железнодорожной линии Чудово-Тосно.</w:t>
      </w:r>
    </w:p>
    <w:p w14:paraId="30B6A48F" w14:textId="77777777" w:rsidR="00A178F0" w:rsidRPr="007224C3" w:rsidRDefault="00A178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Северо-западнее, западнее и юго-западнее Новгорода наши войска с боями продвигались вперёд и овладели населёнными пунктами Село-Гора, Горенка, Поддубье, Торговище, Люболяды, Вашково, Остров, Менюши, Новый Борок, Новоесергово и железнодорожной станцией Торфоподстилочная.</w:t>
      </w:r>
    </w:p>
    <w:p w14:paraId="69D3CAED" w14:textId="77777777" w:rsidR="00A178F0" w:rsidRPr="007224C3" w:rsidRDefault="00A178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Восточнее Винницы и севернее Христиновка наши войска успешно отбивали атаки крупных сил пехоты и танков противника и нанесли ему большие потери в живой силеи технике.</w:t>
      </w:r>
    </w:p>
    <w:p w14:paraId="7D1CE326" w14:textId="77777777" w:rsidR="00A178F0" w:rsidRPr="007224C3" w:rsidRDefault="00A178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 разведка, артиллерийско-миномётная перестрелка и в ряде пунктов бои местного значения.</w:t>
      </w:r>
    </w:p>
    <w:p w14:paraId="58432F13" w14:textId="77777777" w:rsidR="00A178F0" w:rsidRPr="007224C3" w:rsidRDefault="00A178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24 января наши войска на всех фронтах подбили и уничтожили 80 немецких танков. В воздушных боях и огнём зенитной артиллерии сбит 71 самолёт противника.</w:t>
      </w:r>
    </w:p>
    <w:p w14:paraId="2471D8ED" w14:textId="77777777" w:rsidR="00A178F0" w:rsidRPr="007224C3" w:rsidRDefault="00A178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и южнее города Пушкин наши войска продолжали наступление. Вчерав боях за город Пушкин (Царское Село) советские войска нанесли противнику большие потери и разгромили штабы трёх полков и одной немецкой дивизии. Преследуя разбитые немецкие части, бойцы Н-ского соединения сегодня заняли ряд населённых пунктов и завязали бои на окраинах города Гатчина (Красногвардейск). На железнодорожной станции Антропшино захвачен эшелон противника с танками,орудиями, пулемётами и миномётами. На другом участке советские войска, продвигаясь вперёд, истребили до 1.000 гитлеровцев. Захвачено у немцев 23 самоходных орудия, 30 миномётов, свыше 1.000 автоматов и винтовок, много снарядов, мин и другие трофеи.</w:t>
      </w:r>
    </w:p>
    <w:p w14:paraId="3E9BBA97" w14:textId="77777777" w:rsidR="00A178F0" w:rsidRPr="007224C3" w:rsidRDefault="00A178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Бойцы Ленинградского фронта в боях с противником показывают образцы самоотверженности и героизма. Автоматчики под командованием лейтенанта Коцуба на танках ворвались в один населённый пункт и уничтожили 128 гитлеровцев. Автоматчики взяли в плен 45 немецких солдат и захватили у противника 15 тяжёлых орудий, 8 миномётов и другие трофеи. Группа бойцов во главе с капитаном Трошиным заняла посёлок и, отбивая контратаки гитлеровцев, удержала его до подхода главных сил. Взвод гвардии младшего лейтенанта Меркурьева уничтожил три немецких дзота и захватил дальнобойную пушку противника. В другом районе гвардейцы Фёдоров, Павлушин и Павлов захватили вражескую миномётную батарею и выпустили более сотни мин по отступающим немцам.</w:t>
      </w:r>
    </w:p>
    <w:p w14:paraId="7751F90F" w14:textId="77777777" w:rsidR="00A178F0" w:rsidRPr="007224C3" w:rsidRDefault="00A178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и юго-западнее Кириши немцы, отступая под ударами наших войск, минируют дороги, взрывают мосты и устраивают лесные завалы. Части Н-ского соединения, преодолевая сопротивление противника, в ряде мест подошли к линии Октябрьской железной дороги между станциями Чудово-Тосно. В районе железной дороги стремительной атакой наши бойцы овладели сильно укреплённым опорным пунктом противника и уничтожили до 400 гитлеровцев. Захвачены у немцев несколько артиллерийских и миномётных батарей, склад боеприпасов и две радиостанции.</w:t>
      </w:r>
    </w:p>
    <w:p w14:paraId="1ECCBC39" w14:textId="77777777" w:rsidR="00A178F0" w:rsidRPr="007224C3" w:rsidRDefault="00A178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Северо-западнее Новгорода части Н-ского соединения выбили немцев из населённого пункта Поддубье и захватили 10 орудий, 83 пулемёта, много винтовок и другие трофеи. Западнее Новгорода наши войска, после ожесточённых боёв, овладели населённым пунктом Стехово. В ходе боёв в этом районе разгромлен артиллерийский полк и до полка пехоты противника. На поле боя осталось свыше 800 вражеских трупов. Захвачено 40 орудий, 80 автомашин и другие трофеи. Юго-западнее Новгорода наши войска развивали успешное наступление и заняли ряд населённых пунктов. В боях на этом участке разгромлены два пехотных полка противника и взято в плен много немецких солдат и офицеров.</w:t>
      </w:r>
    </w:p>
    <w:p w14:paraId="2F5D8F47" w14:textId="77777777" w:rsidR="00A178F0" w:rsidRPr="007224C3" w:rsidRDefault="00A178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Восточнее Винницы противник на узком участке бросил в бой крупные силы танков и пехоты. Гитлеровцы неоднократно поднимались в атаку, но не добились успеха. Наши пехотинцы, артиллеристы и танкисты успешно отбрасывали наседавшего врага и нанесли ему тяжёлый урон. В бесплодных атаках немцы потеряли убитыми до 1.500 солдат и офицеров. Сожжено и подбито 63 немецких танка и самоходных орудия.</w:t>
      </w:r>
    </w:p>
    <w:p w14:paraId="334E75F4" w14:textId="77777777" w:rsidR="00A178F0" w:rsidRPr="007224C3" w:rsidRDefault="00A178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Советские лётчики и зенитчики в течение дня сбили 31 немецкий самолёт.</w:t>
      </w:r>
    </w:p>
    <w:p w14:paraId="640FDF57" w14:textId="77777777" w:rsidR="00A178F0" w:rsidRPr="007224C3" w:rsidRDefault="00A178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Несколько партизанских отрядов, действующих в Ленинградской области, разгромили три железнодорожные станции, имеющие важное значение для противника. На станциях уничтожены 2 немецких эшелона с военной техникой, сожжены склады с бензином, взорваны все крестовины, стрелки и свыше 500 железнодорожных рельсов. Кроме того, советские патриоты разрушили свыше 40 километров телеграфно-телефонной линии связи.</w:t>
      </w:r>
    </w:p>
    <w:p w14:paraId="4FF7F44E" w14:textId="77777777" w:rsidR="00A178F0" w:rsidRPr="007224C3" w:rsidRDefault="00A178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горорода Новоград-Волынский на сторону Красной Армии перешли 11 солдат 282 немецкого маршевого батальона. Перебежчик Генрих Л. рассказал: «В первых числах января мы прибыли в Шепетовку. В тот же день русская авиация совершила налёт на станцию. От прямого попадания бомб взорвался эшелон с боеприпасами. Стоявшему рядом эшелону с танками были причинены большие повреждения. Сильно пострадал и наш маршевый батальон. Он потерял несколько десятков солдат убитыми и более 150 человек ранеными. Остальные солдаты разбежались кто куда. Только через три дня их удалось собрать».</w:t>
      </w:r>
    </w:p>
    <w:p w14:paraId="76643D28" w14:textId="77777777" w:rsidR="00A178F0" w:rsidRPr="007224C3" w:rsidRDefault="00A178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другом участке перешла на сторону Красной Армии группа солдат 63 мотострелкового полка 17 немецкой танковой дивизии. Перебежчик Роберт В. заявил: «Офицеры приказали нам любой ценой удержать позиции. Это вызвало резкое недовольство не только солдат, но и унтер-офицеров. Обер-фельдфебель Штальшмидт сказал в присутствии солдат: «Это идиотский приказ. Если даже мы все ляжем здесь костьми, то всё равно не удержим позиции». Унтер-офицер Матес говорил, что надо скорее отступить, пока не поздно. Не желая проливать свою кровь за проигранное дело, мы бросили позиции и сдались в плен русским» (15020).</w:t>
      </w:r>
    </w:p>
    <w:p w14:paraId="7E8B2C27" w14:textId="77777777" w:rsidR="00A178F0" w:rsidRPr="007224C3" w:rsidRDefault="00A178F0" w:rsidP="007224C3">
      <w:pPr>
        <w:spacing w:after="0" w:line="240" w:lineRule="auto"/>
        <w:jc w:val="both"/>
        <w:rPr>
          <w:rFonts w:ascii="Times New Roman" w:hAnsi="Times New Roman"/>
          <w:color w:val="000000" w:themeColor="text1"/>
          <w:sz w:val="16"/>
          <w:szCs w:val="16"/>
        </w:rPr>
      </w:pPr>
    </w:p>
    <w:p w14:paraId="3C29C17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25 января по 18 февраля 1944 проводилась Корсунь-Шевсенковская операция, в которой была велика роль штурмовиков и вообще авиации (340,163).</w:t>
      </w:r>
    </w:p>
    <w:p w14:paraId="28F0B2D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0A11E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января 1944 года старшин лейтенант Н.Л.Кисляк и лейтенант В.А.Любимов на Р-39 Аэрокобра атаковали группу из 29 Jn 52/Зm, эвакуирующиеся из Керчи, и сбили четыре из них (3457,73).</w:t>
      </w:r>
    </w:p>
    <w:p w14:paraId="5E5D103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45387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25 января 1944 г. вышли УКАЗАНИЯ НАЧАЛЬНИКА ШТАБА БТ и МВ КА КОМАНДИРУ 5 ТК О МЕРОПРИЯТИЯХ ПО ЗАЩИТЕ ТАНКОВ ОТ КУМУЛЯТИВНЫХ СНАРЯДОВ И МИН №481568</w:t>
      </w:r>
    </w:p>
    <w:p w14:paraId="01944FE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предварительным данным комиссии, работавшей на Белорусском фронте в декабре 1943 года, установлено, что причиной взрыва танка являются кумулятивные снаряды и мины, которые противник начинает применять в довольно широких масштабах.</w:t>
      </w:r>
    </w:p>
    <w:p w14:paraId="31CA118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 взрыв танка происходит исключительно от взрыва его боевого комплекта. Детонация бое</w:t>
      </w:r>
      <w:r w:rsidRPr="007224C3">
        <w:rPr>
          <w:rFonts w:ascii="Times New Roman" w:hAnsi="Times New Roman"/>
          <w:color w:val="000000" w:themeColor="text1"/>
          <w:sz w:val="16"/>
          <w:szCs w:val="16"/>
        </w:rPr>
        <w:softHyphen/>
        <w:t>комплекта происходила только в тех случаях, если указанный снаряд и мина попадали в область боевого отделения танка.</w:t>
      </w:r>
    </w:p>
    <w:p w14:paraId="300E71B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Поражение ими кормовой и ходовой части танка детонации боекомплекта не вызывает.</w:t>
      </w:r>
    </w:p>
    <w:p w14:paraId="352DFF8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Меры защиты:</w:t>
      </w:r>
    </w:p>
    <w:p w14:paraId="40B1493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Эффективная и надежная защита от кумулятивного снаряда — экран, который представля</w:t>
      </w:r>
      <w:r w:rsidRPr="007224C3">
        <w:rPr>
          <w:rFonts w:ascii="Times New Roman" w:hAnsi="Times New Roman"/>
          <w:color w:val="000000" w:themeColor="text1"/>
          <w:sz w:val="16"/>
          <w:szCs w:val="16"/>
        </w:rPr>
        <w:softHyphen/>
        <w:t>ет собой броневой лист толщиной 8-10 мм, установленный на расстоянии 400-500 мм от основной брони башни и боевого отделения танка.</w:t>
      </w:r>
    </w:p>
    <w:p w14:paraId="6C523FF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От магнитных кумулятивных мин — экран из глины, толщиной в 10 мм, накладываемый непо</w:t>
      </w:r>
      <w:r w:rsidRPr="007224C3">
        <w:rPr>
          <w:rFonts w:ascii="Times New Roman" w:hAnsi="Times New Roman"/>
          <w:color w:val="000000" w:themeColor="text1"/>
          <w:sz w:val="16"/>
          <w:szCs w:val="16"/>
        </w:rPr>
        <w:softHyphen/>
        <w:t>средственно на броню.</w:t>
      </w:r>
    </w:p>
    <w:p w14:paraId="2A6C063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Постоянно иметь стрелковые подразделения для прикрытия наших танков с тем, чтобы исключить для пехоты противника возможность применения кумулятивных мин.</w:t>
      </w:r>
    </w:p>
    <w:p w14:paraId="0D37945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Максимальное и своевременное подавление артиллерии противника особенно в период атаки. Указания по окончательным выводам комиссии получите дополнительно.</w:t>
      </w:r>
    </w:p>
    <w:p w14:paraId="2842D36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штаба БТ и МВ КА генерал-майор танковых войск М. Салминов</w:t>
      </w:r>
    </w:p>
    <w:p w14:paraId="26B5E62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38. Оп. 11360. Д. 475. Л. 6. Копия (11403).</w:t>
      </w:r>
    </w:p>
    <w:p w14:paraId="2B4BFD3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1D3D77DA"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января 1944 вышло Постановление ГКО № 5026 О мобилизации советских граждан в освобождаемых от немецкой оккупации районах Западной Украины и Западной Белоруссии. (7178, 146).</w:t>
      </w:r>
    </w:p>
    <w:p w14:paraId="5A2BB65E"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A001BA0" w14:textId="77777777" w:rsidR="00A178F0"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51309D0B" w14:textId="77777777" w:rsidR="00A178F0" w:rsidRPr="007224C3" w:rsidRDefault="00A178F0"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105999E" w14:textId="77777777" w:rsidR="00A178F0" w:rsidRPr="007224C3" w:rsidRDefault="00A178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25 января</w:t>
      </w:r>
      <w:r w:rsidRPr="007224C3">
        <w:rPr>
          <w:rFonts w:ascii="Times New Roman" w:hAnsi="Times New Roman"/>
          <w:color w:val="000000" w:themeColor="text1"/>
          <w:sz w:val="16"/>
          <w:szCs w:val="16"/>
        </w:rPr>
        <w:t xml:space="preserve"> в 1944 году потерпел катастрофу </w:t>
      </w:r>
      <w:hyperlink r:id="rId20" w:tgtFrame="_blank" w:history="1">
        <w:r w:rsidRPr="007224C3">
          <w:rPr>
            <w:rFonts w:ascii="Times New Roman" w:hAnsi="Times New Roman"/>
            <w:color w:val="000000" w:themeColor="text1"/>
            <w:sz w:val="16"/>
            <w:szCs w:val="16"/>
          </w:rPr>
          <w:t xml:space="preserve">«Не 162» «МЗ» </w:t>
        </w:r>
      </w:hyperlink>
      <w:r w:rsidRPr="007224C3">
        <w:rPr>
          <w:rFonts w:ascii="Times New Roman" w:hAnsi="Times New Roman"/>
          <w:color w:val="000000" w:themeColor="text1"/>
          <w:sz w:val="16"/>
          <w:szCs w:val="16"/>
        </w:rPr>
        <w:t>, его пилот Фулль покинул машину на высоте 200 м, но парашют не успел полностью раскрыться и летчик погиб. Существовал ряд опытных образцов на основе проекта «Не 162» (15020).</w:t>
      </w:r>
    </w:p>
    <w:p w14:paraId="5EE32E72" w14:textId="77777777" w:rsidR="00A178F0" w:rsidRPr="007224C3" w:rsidRDefault="00A178F0" w:rsidP="007224C3">
      <w:pPr>
        <w:spacing w:after="0" w:line="240" w:lineRule="auto"/>
        <w:jc w:val="both"/>
        <w:rPr>
          <w:rFonts w:ascii="Times New Roman" w:hAnsi="Times New Roman"/>
          <w:color w:val="000000" w:themeColor="text1"/>
          <w:sz w:val="16"/>
          <w:szCs w:val="16"/>
        </w:rPr>
      </w:pPr>
    </w:p>
    <w:p w14:paraId="76CA7D09" w14:textId="77777777" w:rsidR="004D3DA4" w:rsidRPr="007224C3" w:rsidRDefault="004D3DA4"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25–26 января (ночь) 1944 76 британских бомбардировщиков без потерь атакуют места запуска немецких летающих бомб Фау-1 в Па-де-Кале и близ Шербура, Франция (20373).</w:t>
      </w:r>
    </w:p>
    <w:p w14:paraId="512BAFBD" w14:textId="77777777" w:rsidR="004D3DA4" w:rsidRPr="007224C3" w:rsidRDefault="004D3DA4" w:rsidP="007224C3">
      <w:pPr>
        <w:spacing w:after="0" w:line="240" w:lineRule="auto"/>
        <w:jc w:val="both"/>
        <w:rPr>
          <w:rFonts w:ascii="Times New Roman" w:hAnsi="Times New Roman"/>
          <w:color w:val="0070C0"/>
          <w:sz w:val="16"/>
          <w:szCs w:val="16"/>
        </w:rPr>
      </w:pPr>
    </w:p>
    <w:p w14:paraId="4C79A268"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7158453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263921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января 1944 был сделан 1 полет на снятие летных характеристик (1821,34).</w:t>
      </w:r>
    </w:p>
    <w:p w14:paraId="20E7563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E4479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января 1944 года вышел Приказ № 52/001 «О проведении совместных летных испытаний реактивного двигателя РД-1 (В.П.Глушко) производства завода № 16 на самолете Пе-2» (11331).</w:t>
      </w:r>
    </w:p>
    <w:p w14:paraId="019C29A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5EF5C5ED" w14:textId="77777777" w:rsidR="00A178F0" w:rsidRPr="007224C3" w:rsidRDefault="00A178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января 1944 года вышел Приказ Наркома авиапромышленности А.И.Шахурина «О работах по дальнейшему усовершенство-ванию реактивного двигателя РД-1 на заводе № 16» (15502).</w:t>
      </w:r>
    </w:p>
    <w:p w14:paraId="15B6F708" w14:textId="77777777" w:rsidR="00A178F0" w:rsidRPr="007224C3" w:rsidRDefault="00A178F0" w:rsidP="007224C3">
      <w:pPr>
        <w:spacing w:after="0" w:line="240" w:lineRule="auto"/>
        <w:jc w:val="both"/>
        <w:rPr>
          <w:rFonts w:ascii="Times New Roman" w:hAnsi="Times New Roman"/>
          <w:color w:val="000000" w:themeColor="text1"/>
          <w:sz w:val="16"/>
          <w:szCs w:val="16"/>
        </w:rPr>
      </w:pPr>
    </w:p>
    <w:p w14:paraId="272FBC5C"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6D59CFB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9828576" w14:textId="77777777" w:rsidR="00792F77" w:rsidRPr="007224C3" w:rsidRDefault="00792F77"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26 января 1944 года письмом НКТП выбор места размещения трансмиссии решили предоставить заводскому КБ (и ее тут же вернули в кормовую часть корпуса). Также уточнялось, что заданная в ТТТ толщина брони в 60 мм для башни относилась к сварной катаной конструкции. В случае применения литья толщина брони должна была возрасти до 75 мм. В очередной раз поменялись требования к силовой установке. Согласно тому же письму, СКБ-75 (г. Челябинск) начало работу над 8-цилиндровым V-образным двигателем В-20, который представлял собой укороченный В-2. После очередного уточнения требований в КБ завода №174 закипела работа (17639).</w:t>
      </w:r>
    </w:p>
    <w:p w14:paraId="0F46BB97" w14:textId="77777777" w:rsidR="00792F77" w:rsidRPr="007224C3" w:rsidRDefault="00792F77" w:rsidP="007224C3">
      <w:pPr>
        <w:spacing w:after="0" w:line="240" w:lineRule="auto"/>
        <w:jc w:val="both"/>
        <w:rPr>
          <w:rFonts w:ascii="Times New Roman" w:hAnsi="Times New Roman"/>
          <w:color w:val="000000" w:themeColor="text1"/>
          <w:sz w:val="16"/>
          <w:szCs w:val="16"/>
        </w:rPr>
      </w:pPr>
    </w:p>
    <w:p w14:paraId="27973A6B" w14:textId="77777777" w:rsidR="00956103" w:rsidRPr="007224C3" w:rsidRDefault="0095610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января 1944 г. Старший инспектор НКТП при УК БТ и МВ Отдельной приморской армии тов. Свечкин в своем письме от за №0510 доносил:</w:t>
      </w:r>
    </w:p>
    <w:p w14:paraId="6FA8D4F0" w14:textId="77777777" w:rsidR="00956103" w:rsidRPr="007224C3" w:rsidRDefault="0095610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«Сообщаю, что по инициативе полка на одной из машин СУ-76М произведена замена брезента бронёй из котельного железа толщиной 10 мм (и принимаются меры в отношении остальных машин), так как в боевой обстановке полка, имевшем ранее СУ-76, вышло из строя до 40 человек из числа экипажей, главным образом, от осколков снарядов, или бомб и взрывной волы.</w:t>
      </w:r>
    </w:p>
    <w:p w14:paraId="3AFDF2A0" w14:textId="77777777" w:rsidR="00956103" w:rsidRPr="007224C3" w:rsidRDefault="0095610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Прошу сообщить, по каким соображениям завод №38 продолжает практику постановки брезентов вместо крыши».</w:t>
      </w:r>
    </w:p>
    <w:p w14:paraId="3B51AC48" w14:textId="77777777" w:rsidR="00956103" w:rsidRPr="007224C3" w:rsidRDefault="0095610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данном письме говорится о машинах СУ-76М (СУ-15) № 310430, 58411, 310402, 310434, 310436, 58428, 310403 с двигателями ГАЗ мод.203, выпущенными заводом №38 в первой половине октября 1943 года (18172).</w:t>
      </w:r>
    </w:p>
    <w:p w14:paraId="474B1CEC" w14:textId="77777777" w:rsidR="00956103" w:rsidRPr="007224C3" w:rsidRDefault="00956103" w:rsidP="007224C3">
      <w:pPr>
        <w:spacing w:after="0" w:line="240" w:lineRule="auto"/>
        <w:jc w:val="both"/>
        <w:rPr>
          <w:rFonts w:ascii="Times New Roman" w:hAnsi="Times New Roman"/>
          <w:color w:val="000000" w:themeColor="text1"/>
          <w:sz w:val="16"/>
          <w:szCs w:val="16"/>
        </w:rPr>
      </w:pPr>
    </w:p>
    <w:p w14:paraId="27A1709D"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января 1944 вышло Постановление ГКО № 5029 О передаче Совнаркому Украины 4650 автомашин для ремонта и использования их в народном хозяйстве УССР. (7178, 153-154).</w:t>
      </w:r>
    </w:p>
    <w:p w14:paraId="7769F992"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7983B45"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662688D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F5C00C8" w14:textId="77777777" w:rsidR="00A178F0" w:rsidRPr="007224C3" w:rsidRDefault="00A178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26 января</w:t>
      </w:r>
      <w:r w:rsidRPr="007224C3">
        <w:rPr>
          <w:rFonts w:ascii="Times New Roman" w:hAnsi="Times New Roman"/>
          <w:color w:val="000000" w:themeColor="text1"/>
          <w:sz w:val="16"/>
          <w:szCs w:val="16"/>
        </w:rPr>
        <w:t xml:space="preserve"> в 1944 году оперативная сводка Совинформбюро:</w:t>
      </w:r>
    </w:p>
    <w:p w14:paraId="3796FBB5" w14:textId="77777777" w:rsidR="00A178F0" w:rsidRPr="007224C3" w:rsidRDefault="00A178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Ленинградского фронта, продолжая развивать наступление, в ночь на 26 января штурмом овладели городом и железнодорожным узлом Гатчина (Красногвардейск).</w:t>
      </w:r>
    </w:p>
    <w:p w14:paraId="36431CC1" w14:textId="77777777" w:rsidR="00A178F0" w:rsidRPr="007224C3" w:rsidRDefault="00A178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26 января западнее, юго-западнее и южнее Гатчина наши войска, продолжая развивать наступление, овладели населёнными пунктами Клясино, Шундорово, Каськово, Кандокюля. Муратово, Медниково, Луйсковицы, Валерияновка, Малые и Большие Борницы, Ильнино, Парицы, Малое Колпано, Пролетарская Слобода, Большая Загвоздка, Пижма, Пустошка и железнодорожной станцией Войсковицы.</w:t>
      </w:r>
    </w:p>
    <w:p w14:paraId="47B2F553" w14:textId="77777777" w:rsidR="00A178F0" w:rsidRPr="007224C3" w:rsidRDefault="00A178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и северо-западнее Тосно наши войска, сломив сопротивление противника, с боями заняли несколько населённых пунктов и среди них крупные населённые пункты Саблино, Новолисино, Сусанино, а также узловую железнодорожную станцию Новолисино и железнодорожные станции Галашевка, Стекольный, Семрино, Сусанино.</w:t>
      </w:r>
    </w:p>
    <w:p w14:paraId="377A497E" w14:textId="77777777" w:rsidR="00A178F0" w:rsidRPr="007224C3" w:rsidRDefault="00A178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время наступления с 14 по 25 января 1944 года войска Ленинградского фронта нанесли немецко-фашистским войскам следующие потери:</w:t>
      </w:r>
    </w:p>
    <w:p w14:paraId="69624688" w14:textId="77777777" w:rsidR="00A178F0" w:rsidRPr="007224C3" w:rsidRDefault="00A178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ходе наступательных боёв войска фронта разбили 10 пехотных дивизий и нанесли тяжёлые потери 2 пехотным дивизиям.</w:t>
      </w:r>
    </w:p>
    <w:p w14:paraId="7A38AE7D" w14:textId="77777777" w:rsidR="00A178F0" w:rsidRPr="007224C3" w:rsidRDefault="00A178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Захвачены, по неполным данным, следующие трофеи: орудий разных калибров —619, в том числе тяжёлых орудий калибров от 150 мм до 406 мм — 116, миномётов разных — 454, самоходных орудий — 20, пулемётов — 1.360, винтовок и автоматов —7.286, танков — 60, бронемашин — 24, снарядов — 173.000, мин — 85.000, винтовочных патронов — до 9 миллионов штук, автомашин — 350, повозок с различным грузом — 413, лошадей — 300, складов артиллерийских, инженерных, вещевых и продовольственных — 65.</w:t>
      </w:r>
    </w:p>
    <w:p w14:paraId="6B8ADE81" w14:textId="77777777" w:rsidR="00A178F0" w:rsidRPr="007224C3" w:rsidRDefault="00A178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Учёт захваченных трофеев в Гатчине ещё не закончен.</w:t>
      </w:r>
    </w:p>
    <w:p w14:paraId="4986E6AF" w14:textId="77777777" w:rsidR="00A178F0" w:rsidRPr="007224C3" w:rsidRDefault="00A178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Уничтожено: танков — 158, орудий разного калибра — 200, пулемётов — 497, миномётов — 245, автомашин — 901, складов с боеприпасами, вооружением и продовольствием — 30, железнодорожных эшелонов — 5, паровозов — 5, вагонов —300, повозок с грузами — 200.</w:t>
      </w:r>
    </w:p>
    <w:p w14:paraId="574CB019" w14:textId="77777777" w:rsidR="00A178F0" w:rsidRPr="007224C3" w:rsidRDefault="00A178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Противник потерял только убитыми свыше 40 тысяч солдат и офицеров.</w:t>
      </w:r>
    </w:p>
    <w:p w14:paraId="340C97D5" w14:textId="77777777" w:rsidR="00A178F0" w:rsidRPr="007224C3" w:rsidRDefault="00A178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Захвачено в плен до 3 тысяч солдат и офицеров.</w:t>
      </w:r>
    </w:p>
    <w:p w14:paraId="62299DAB" w14:textId="77777777" w:rsidR="00A178F0" w:rsidRPr="007224C3" w:rsidRDefault="00A178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Севернее и северо-западнее Любань наши войска с боями продвигались вперёд, заняли населённые пункты Рамцы, Будково, Вериговщина, Новинки, Пельгора, Ушаки, Жары и железнодорожные станции Рябово и Георгиевская.</w:t>
      </w:r>
    </w:p>
    <w:p w14:paraId="71929A69" w14:textId="77777777" w:rsidR="00A178F0" w:rsidRPr="007224C3" w:rsidRDefault="00A178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Северо-западнее, западнее и юго-западнее Новгорода наши войска, продолжая наступление, овладели населёнными пунктами Либуницы, Кромы, Нехино, Бодрино, Старое Веретье, Горное Веретье, Малиновка, Белец, Голино, Оспино и железнодорожной станцией Люболяды.</w:t>
      </w:r>
    </w:p>
    <w:p w14:paraId="203AA090" w14:textId="77777777" w:rsidR="00A178F0" w:rsidRPr="007224C3" w:rsidRDefault="00A178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Восточнее Винницы и севернее Христиновка наши войска продолжали успешно отбивать атаки крупных сил пехоты и танков противника и нанесли ему большие потери в живой силе и технике.</w:t>
      </w:r>
    </w:p>
    <w:p w14:paraId="042E75E1" w14:textId="77777777" w:rsidR="00A178F0" w:rsidRPr="007224C3" w:rsidRDefault="00A178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в ряде пунктов шли бои местного значения.</w:t>
      </w:r>
    </w:p>
    <w:p w14:paraId="056CE9BF" w14:textId="77777777" w:rsidR="00A178F0" w:rsidRPr="007224C3" w:rsidRDefault="00A178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25 января наши войска на всех фронтах подбили и уничтожили 144 немецких танка. В воздушных боях и огнём зенитной артиллерии сбито 49 самолётов противника.</w:t>
      </w:r>
    </w:p>
    <w:p w14:paraId="3E4FEFEC" w14:textId="77777777" w:rsidR="00A178F0" w:rsidRPr="007224C3" w:rsidRDefault="00A178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Ленинградского фронта в ночь на 26 января штурмом овладели городом Гатчина (Красногвардейск). Немцы превратили город в крепость и сосредоточилиздесь огромное количество огневых средств. Действуя штурмовыми отрядами, советские бойцы выбивали противника из железобетонных укреплений и очищали от гитлеровцев одну улицу за другой. В это время части другого нашего соединения совершили обходный манёвр и атаковали немцев с запада. Вражеские войска, оборонявшие город, были разгромлены. Лишь отдельные группы немецких солдат, бросив вооружение, спаслись бегством. Овладев крупным железнодорожным узлом и городом Гатчина, наши войска захватили большие трофеи. В боях на подступах к городу и на его улицах уничтожено несколько тысяч немецких солдат и офицеров.</w:t>
      </w:r>
    </w:p>
    <w:p w14:paraId="1BB3F8AB" w14:textId="77777777" w:rsidR="00A178F0" w:rsidRPr="007224C3" w:rsidRDefault="00A178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юго-западнее и южнее Гатчины наши войска продолжали наступление и, успешно продвигаясь вперёд, заняли ряд населённых пунктов. Бойцы Н-ской части, стремительно ворвавшись в один населённый пункт, захватили 40 немецких автомашин с оружием и боеприпасами. В другом районе взято в плен значительное число немецких солдат и офицеров.</w:t>
      </w:r>
    </w:p>
    <w:p w14:paraId="625779FB" w14:textId="77777777" w:rsidR="00A178F0" w:rsidRPr="007224C3" w:rsidRDefault="00A178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и северо-западнее Тосно наши войска с боями продвигались вперёд. Части Н-ского соединения стремительной атакой заняли железнодорожный узел Ново-Лисино, а также несколько других населённых пунктов. Советские артиллеристы уничтожили 12 немецких танков, 22 орудия, до 100 автомашин и взорвали два склада боеприпасов. Преследуя противника, подразделения Н-ской части разгромили немецкую автогужевую колонну. Захвачено 9 штабных автобусов, 26 легковых автомашин и много повозок с грузами. Уничтожено до 400 гитлеровцев, следовавших за повозками.</w:t>
      </w:r>
    </w:p>
    <w:p w14:paraId="50EF856C" w14:textId="77777777" w:rsidR="00A178F0" w:rsidRPr="007224C3" w:rsidRDefault="00A178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Советские лётчики совершили налёт на вражеский аэродром и уничтожили на земле 13 немецких самолётов.</w:t>
      </w:r>
    </w:p>
    <w:p w14:paraId="0FDE6803" w14:textId="77777777" w:rsidR="00A178F0" w:rsidRPr="007224C3" w:rsidRDefault="00A178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Севернее и северо-западнее Любань наши войска, преодолевая упорное сопротивление немцев, овладели железнодорожными станциями Рябово и Георгиевскаяна магистрали Ленинград-Москва. В бою за эти станции уничтожено до батальона гитлеровцев. Захвачено у немцев 8 орудий, 59 пулемётов и крупный склад с военным имуществом. Группа лыжников-автоматчиков под командованием старшего сержанта Белогубова проникла в тыл противника и разгромила штаб немецкой части.</w:t>
      </w:r>
    </w:p>
    <w:p w14:paraId="62490485" w14:textId="77777777" w:rsidR="00A178F0" w:rsidRPr="007224C3" w:rsidRDefault="00A178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Новгорода наши войска сломили сопротивление крупных сил противника и овладели железнодорожной станцией Люболяды. В бою за Люболяды уничтожено до1.500 немецких солдат и офицеров. Захвачены большие трофеи и пленные. В другом районе советские танкисты, быстро продвигаясь вперёд, в крупном населённом пункте разгромили штаб немецкой дивизии. Захвачены десятки автомашин, до 200 лошадей и повозок и другие трофеи. Один из взятых в плен немецких офицеров заявил, что их дивизия полностью разгромлена, а небольшие группы оставшихся в живых солдат разбежались по лесам.</w:t>
      </w:r>
    </w:p>
    <w:p w14:paraId="263F3C75" w14:textId="77777777" w:rsidR="00A178F0" w:rsidRPr="007224C3" w:rsidRDefault="00A178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Восточное Винницы и севернее Христиновки наши войска продолжали вести бои скрупными силами танков и пехоты противника. Утром немцы с двух направлений атаковали советские позиции. Противник рассчитывал одновременными ударами прорвать оборону и окружить наши части, действующие на этом участке. Ожесточённый бой длился в течение всего дня. Все атаки немцев были успешно отбиты нашими войсками. Особенно тяжёлые потери нанесли противнику советские артиллеристы и миномётчики. На подступах к нашим позициям сожжено и подбито свыше 100 немецких танков и самоходных орудий, 35 бронетранспортёров и 11 бронемашин.</w:t>
      </w:r>
    </w:p>
    <w:p w14:paraId="62FF1BAF" w14:textId="77777777" w:rsidR="00A178F0" w:rsidRPr="007224C3" w:rsidRDefault="00A178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Партизанский отряд, действующий в одном из районов Ровенской области, заминировал большой участок шоссейной дороги. Ночью автоколонна противника наскочила на минное поле. Несколько немецких автомашин взорвалось. Находившиесяв засаде партизаны пулемётным огнём перебили свыше 50 гитлеровцев. Взято в плен 8 немецких солдат и захвачены трофеи.</w:t>
      </w:r>
    </w:p>
    <w:p w14:paraId="6FD5F7D7" w14:textId="77777777" w:rsidR="00A178F0" w:rsidRPr="007224C3" w:rsidRDefault="00A178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Ленинградском фронте перешёл на нашу сторону унтер-офицер 399 полка 170 немецкой дивизии Густав М. Перебежчик заявил: «Первые два дня русского наступления были самыми ужасными в моей жизни. На моих глазах погибли сотни немецких солдат. Когда закончился артиллерийский обстрел, солдаты 12, 13 и 14 рот побросали оружие и разбежались, несмотря на окрики и угрозы офицеров. Я никогда не думал, что за такой короткий срок вполне боеспособные воинские подразделения могут превратиться в обезумевших людей. В ноябре дивизия праздновала четвёртую годовщину своего существования. Нам огласили приказ, в котором был дан обзор боевого пути дивизии и её потерь. За время боевых действийв России она потеряла 650 офицеров и 24.450 солдат и унтер-офицеров. Эти данные меня ошеломили. При этом, как я позже узнал, эти цифры являются также преуменьшенными. Потери на самом деле ещё больше. В связи с всеобщей растерянностью и паникой при отступлении я отстал от своих и сдался в плен» (15021).</w:t>
      </w:r>
    </w:p>
    <w:p w14:paraId="7E91E930" w14:textId="77777777" w:rsidR="00A178F0" w:rsidRPr="007224C3" w:rsidRDefault="00A178F0" w:rsidP="007224C3">
      <w:pPr>
        <w:spacing w:after="0" w:line="240" w:lineRule="auto"/>
        <w:jc w:val="both"/>
        <w:rPr>
          <w:rFonts w:ascii="Times New Roman" w:hAnsi="Times New Roman"/>
          <w:color w:val="000000" w:themeColor="text1"/>
          <w:sz w:val="16"/>
          <w:szCs w:val="16"/>
        </w:rPr>
      </w:pPr>
    </w:p>
    <w:p w14:paraId="3EABE0D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января 1944 группировка 1УФ пошла навстречу 2УФ под Корсунь-Шевченковским. Войска 1 и 2УФ поддерживали 2ВА и 5ВА - около 1000 самолетов (340,163).</w:t>
      </w:r>
    </w:p>
    <w:p w14:paraId="62DD11B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FE48A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ночь с 26 на 27 января 1944 летчик Тимотченко на Бостон Б-3 сорвал прицельное бомбометание группы самолетов Хейнкель Не 111. Так как опыта воздушных боев у него было мало, он открыл огонь со слишком большой дистанции и сбить немецкую машину не смог, но заставил врагов поспешно сбросить бомбы и удрать (3457,110).</w:t>
      </w:r>
    </w:p>
    <w:p w14:paraId="1735924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3940F9"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187E7D7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FB15BC8" w14:textId="77777777" w:rsidR="004D3DA4" w:rsidRPr="007224C3" w:rsidRDefault="004D3DA4"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26 января 1944 налет Фокке-Вульф Fw 190 на союзные корабли у Анцио повреждает десантный корабль, семь патрульных судов, два торговых судна, и спасательный буксир (20373).</w:t>
      </w:r>
    </w:p>
    <w:p w14:paraId="321AF26E" w14:textId="77777777" w:rsidR="004D3DA4" w:rsidRPr="007224C3" w:rsidRDefault="004D3DA4" w:rsidP="007224C3">
      <w:pPr>
        <w:spacing w:after="0" w:line="240" w:lineRule="auto"/>
        <w:jc w:val="both"/>
        <w:rPr>
          <w:rFonts w:ascii="Times New Roman" w:hAnsi="Times New Roman"/>
          <w:color w:val="0070C0"/>
          <w:sz w:val="16"/>
          <w:szCs w:val="16"/>
        </w:rPr>
      </w:pPr>
    </w:p>
    <w:p w14:paraId="47A09640"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января 1944 немецкие оккупационные власти объявили военное положение в Риме (4962).</w:t>
      </w:r>
    </w:p>
    <w:p w14:paraId="76B0E26C"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AEB4CE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января 1944 профашистская Аргентина порвала дипотношения с Германией и Италией (2247,1).</w:t>
      </w:r>
    </w:p>
    <w:p w14:paraId="2FF1597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02CCBA"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января 1944 Аргентина разорвала дипломатические отношения со странами Оси (4962).</w:t>
      </w:r>
    </w:p>
    <w:p w14:paraId="5B74DDE0"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D70C034"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598A5EF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C69D59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января 1944 был подготовлен отчет директора завода 23 за 1943:</w:t>
      </w:r>
    </w:p>
    <w:p w14:paraId="7332D91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января по 17 июля 1943 завод был занят увеличением производства и улучшением качества Ил-4. далее, по постановлению ГОКО от 17 июля - состоялся переход завода на производствло самолета Ту-2. Динамика производства по месяцам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67"/>
        <w:gridCol w:w="867"/>
        <w:gridCol w:w="867"/>
        <w:gridCol w:w="867"/>
        <w:gridCol w:w="867"/>
        <w:gridCol w:w="867"/>
        <w:gridCol w:w="867"/>
        <w:gridCol w:w="867"/>
        <w:gridCol w:w="867"/>
        <w:gridCol w:w="867"/>
        <w:gridCol w:w="867"/>
        <w:gridCol w:w="867"/>
        <w:gridCol w:w="867"/>
      </w:tblGrid>
      <w:tr w:rsidR="005106D0" w:rsidRPr="007224C3" w14:paraId="0CD09054" w14:textId="77777777">
        <w:tc>
          <w:tcPr>
            <w:tcW w:w="867" w:type="dxa"/>
          </w:tcPr>
          <w:p w14:paraId="00C02BA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6757010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tc>
        <w:tc>
          <w:tcPr>
            <w:tcW w:w="867" w:type="dxa"/>
          </w:tcPr>
          <w:p w14:paraId="0FCF4A3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tc>
        <w:tc>
          <w:tcPr>
            <w:tcW w:w="867" w:type="dxa"/>
          </w:tcPr>
          <w:p w14:paraId="1E5E77F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tc>
        <w:tc>
          <w:tcPr>
            <w:tcW w:w="867" w:type="dxa"/>
          </w:tcPr>
          <w:p w14:paraId="292D3F1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w:t>
            </w:r>
          </w:p>
        </w:tc>
        <w:tc>
          <w:tcPr>
            <w:tcW w:w="867" w:type="dxa"/>
          </w:tcPr>
          <w:p w14:paraId="47D9E83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tc>
        <w:tc>
          <w:tcPr>
            <w:tcW w:w="867" w:type="dxa"/>
          </w:tcPr>
          <w:p w14:paraId="0DAF3D5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w:t>
            </w:r>
          </w:p>
        </w:tc>
        <w:tc>
          <w:tcPr>
            <w:tcW w:w="867" w:type="dxa"/>
          </w:tcPr>
          <w:p w14:paraId="16CFCEA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w:t>
            </w:r>
          </w:p>
        </w:tc>
        <w:tc>
          <w:tcPr>
            <w:tcW w:w="867" w:type="dxa"/>
          </w:tcPr>
          <w:p w14:paraId="3D38878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w:t>
            </w:r>
          </w:p>
        </w:tc>
        <w:tc>
          <w:tcPr>
            <w:tcW w:w="867" w:type="dxa"/>
          </w:tcPr>
          <w:p w14:paraId="3CB5421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w:t>
            </w:r>
          </w:p>
        </w:tc>
        <w:tc>
          <w:tcPr>
            <w:tcW w:w="867" w:type="dxa"/>
          </w:tcPr>
          <w:p w14:paraId="10B4DDE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w:t>
            </w:r>
          </w:p>
        </w:tc>
        <w:tc>
          <w:tcPr>
            <w:tcW w:w="867" w:type="dxa"/>
          </w:tcPr>
          <w:p w14:paraId="05B171D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w:t>
            </w:r>
          </w:p>
        </w:tc>
        <w:tc>
          <w:tcPr>
            <w:tcW w:w="867" w:type="dxa"/>
          </w:tcPr>
          <w:p w14:paraId="0369CC5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w:t>
            </w:r>
          </w:p>
        </w:tc>
      </w:tr>
      <w:tr w:rsidR="005106D0" w:rsidRPr="007224C3" w14:paraId="76DA99E9" w14:textId="77777777">
        <w:tc>
          <w:tcPr>
            <w:tcW w:w="867" w:type="dxa"/>
          </w:tcPr>
          <w:p w14:paraId="383DA9E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Ил-4</w:t>
            </w:r>
          </w:p>
        </w:tc>
        <w:tc>
          <w:tcPr>
            <w:tcW w:w="867" w:type="dxa"/>
          </w:tcPr>
          <w:p w14:paraId="30AADB8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25B4AC2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1F3C188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5F86934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48CD755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0D1A92C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4F7E64F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3EF33A4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1410AA7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5E69435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0748665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7F8A473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BD58AD2" w14:textId="77777777">
        <w:tc>
          <w:tcPr>
            <w:tcW w:w="867" w:type="dxa"/>
          </w:tcPr>
          <w:p w14:paraId="3B4F81F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План</w:t>
            </w:r>
          </w:p>
        </w:tc>
        <w:tc>
          <w:tcPr>
            <w:tcW w:w="867" w:type="dxa"/>
          </w:tcPr>
          <w:p w14:paraId="7438F5F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32</w:t>
            </w:r>
          </w:p>
        </w:tc>
        <w:tc>
          <w:tcPr>
            <w:tcW w:w="867" w:type="dxa"/>
          </w:tcPr>
          <w:p w14:paraId="4840981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w:t>
            </w:r>
          </w:p>
        </w:tc>
        <w:tc>
          <w:tcPr>
            <w:tcW w:w="867" w:type="dxa"/>
          </w:tcPr>
          <w:p w14:paraId="7116728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35</w:t>
            </w:r>
          </w:p>
        </w:tc>
        <w:tc>
          <w:tcPr>
            <w:tcW w:w="867" w:type="dxa"/>
          </w:tcPr>
          <w:p w14:paraId="05359C2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36</w:t>
            </w:r>
          </w:p>
        </w:tc>
        <w:tc>
          <w:tcPr>
            <w:tcW w:w="867" w:type="dxa"/>
          </w:tcPr>
          <w:p w14:paraId="74B3A99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36</w:t>
            </w:r>
          </w:p>
        </w:tc>
        <w:tc>
          <w:tcPr>
            <w:tcW w:w="867" w:type="dxa"/>
          </w:tcPr>
          <w:p w14:paraId="2B7D7BD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w:t>
            </w:r>
          </w:p>
        </w:tc>
        <w:tc>
          <w:tcPr>
            <w:tcW w:w="867" w:type="dxa"/>
          </w:tcPr>
          <w:p w14:paraId="0803CDE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w:t>
            </w:r>
          </w:p>
        </w:tc>
        <w:tc>
          <w:tcPr>
            <w:tcW w:w="867" w:type="dxa"/>
          </w:tcPr>
          <w:p w14:paraId="14FDF91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w:t>
            </w:r>
          </w:p>
        </w:tc>
        <w:tc>
          <w:tcPr>
            <w:tcW w:w="867" w:type="dxa"/>
          </w:tcPr>
          <w:p w14:paraId="6E4ADF9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67" w:type="dxa"/>
          </w:tcPr>
          <w:p w14:paraId="496FBE8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67" w:type="dxa"/>
          </w:tcPr>
          <w:p w14:paraId="5EEE113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67" w:type="dxa"/>
          </w:tcPr>
          <w:p w14:paraId="6E18788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6FDABC68" w14:textId="77777777">
        <w:tc>
          <w:tcPr>
            <w:tcW w:w="867" w:type="dxa"/>
          </w:tcPr>
          <w:p w14:paraId="0A3B6CC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Гот.бою</w:t>
            </w:r>
          </w:p>
        </w:tc>
        <w:tc>
          <w:tcPr>
            <w:tcW w:w="867" w:type="dxa"/>
          </w:tcPr>
          <w:p w14:paraId="24C9345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w:t>
            </w:r>
          </w:p>
        </w:tc>
        <w:tc>
          <w:tcPr>
            <w:tcW w:w="867" w:type="dxa"/>
          </w:tcPr>
          <w:p w14:paraId="55E98E7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w:t>
            </w:r>
          </w:p>
        </w:tc>
        <w:tc>
          <w:tcPr>
            <w:tcW w:w="867" w:type="dxa"/>
          </w:tcPr>
          <w:p w14:paraId="7C0C945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w:t>
            </w:r>
          </w:p>
        </w:tc>
        <w:tc>
          <w:tcPr>
            <w:tcW w:w="867" w:type="dxa"/>
          </w:tcPr>
          <w:p w14:paraId="09A4F27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43</w:t>
            </w:r>
          </w:p>
        </w:tc>
        <w:tc>
          <w:tcPr>
            <w:tcW w:w="867" w:type="dxa"/>
          </w:tcPr>
          <w:p w14:paraId="17F716C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44</w:t>
            </w:r>
          </w:p>
        </w:tc>
        <w:tc>
          <w:tcPr>
            <w:tcW w:w="867" w:type="dxa"/>
          </w:tcPr>
          <w:p w14:paraId="7D32803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w:t>
            </w:r>
          </w:p>
        </w:tc>
        <w:tc>
          <w:tcPr>
            <w:tcW w:w="867" w:type="dxa"/>
          </w:tcPr>
          <w:p w14:paraId="156D1A8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32</w:t>
            </w:r>
          </w:p>
        </w:tc>
        <w:tc>
          <w:tcPr>
            <w:tcW w:w="867" w:type="dxa"/>
          </w:tcPr>
          <w:p w14:paraId="159FFD4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w:t>
            </w:r>
          </w:p>
        </w:tc>
        <w:tc>
          <w:tcPr>
            <w:tcW w:w="867" w:type="dxa"/>
          </w:tcPr>
          <w:p w14:paraId="35C4117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tc>
        <w:tc>
          <w:tcPr>
            <w:tcW w:w="867" w:type="dxa"/>
          </w:tcPr>
          <w:p w14:paraId="3DDDD99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(2526)</w:t>
            </w:r>
          </w:p>
        </w:tc>
        <w:tc>
          <w:tcPr>
            <w:tcW w:w="867" w:type="dxa"/>
          </w:tcPr>
          <w:p w14:paraId="02F06E6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5CC7963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357ADF5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5D7B6BF"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7F8A8D8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1658E6E"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января 1944 года вышел приказ НКБ № 48с</w:t>
      </w:r>
    </w:p>
    <w:p w14:paraId="3015BF98"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организации производства капсюльных втулок и взрывателей для 85 мм выстрела на заводе № 460 НКБ в соответствии с постановлением Правительства № 4895сс от 6 января 1944 года:</w:t>
      </w:r>
    </w:p>
    <w:p w14:paraId="4D63F573"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Передать завод № 460 НКБ из 4 Гл. управления во 2-е Гл. управление (5952, 5).</w:t>
      </w:r>
    </w:p>
    <w:p w14:paraId="0ECC09D8"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4A26328"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января 1944 вышло Постановление ГКО № 5030 О материально-техническом обеспечении работ по увеличению провозной способности Северо-Печорской железнодорожной магистрали. (7178, 155-156,157-164).</w:t>
      </w:r>
    </w:p>
    <w:p w14:paraId="24C2DE82"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2DEE70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января 1944 вышло Постановление ГКО № 5031 О производстве морских артиллерийских и гироскопических систем, обеспечивающих совместную работу с радиолокационными установками, на заводе № 706 Наркомсудпрома. РГАНИР, Фонд ГКО, д. 197, лл. 165-168,169-173 (11012).</w:t>
      </w:r>
    </w:p>
    <w:p w14:paraId="1C530F6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3981C96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27 января 1944 г. вышло постановление ГКО № 5031 о производстве на заводе морских артиллерийских и гироскопических систем, обеспечивающих совместную работу с РЛУ (Завод № 706 НКСП, Московский завод электромеханической аппаратуры (МЗЭМА) MOM, «Завод электромеханической аппаратуры», ГП, ФГУП «МЗЭМА» /г. Москва ул. Авиамоторная, 55 тел. 273-52-51/.).</w:t>
      </w:r>
    </w:p>
    <w:p w14:paraId="4318C4C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Серийное производство гироскопической аппаратуры для РКТ (1960-е).</w:t>
      </w:r>
    </w:p>
    <w:p w14:paraId="28427F0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1975 г. МЗЭМА вместе с НИИПМ и осташковским заводом «Звезда» вошел в состав созданного НПО «Ротор».</w:t>
      </w:r>
    </w:p>
    <w:p w14:paraId="1A1117B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2000 г. - «Завод электромеханической аппаратуры». По Указу Президента РФ № 1009 от 4.08.2004 г. вошел в число стратегических оборонных предприятий.</w:t>
      </w:r>
    </w:p>
    <w:p w14:paraId="1CC7F3A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Руководитель (2000 г.)- Л.Н. Шумов.</w:t>
      </w:r>
    </w:p>
    <w:p w14:paraId="3DDBAA55" w14:textId="77777777" w:rsidR="003712D9" w:rsidRPr="007224C3" w:rsidRDefault="003712D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СКБ завода № 706 НКСП</w:t>
      </w:r>
    </w:p>
    <w:p w14:paraId="2F225619" w14:textId="77777777" w:rsidR="003712D9" w:rsidRPr="007224C3" w:rsidRDefault="003712D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соответствии с распоряжением ГКО № 2590 от 7.12.1942 г. СКБ завода № 706 НКСП с его тематикой влито в состав СКБ НКСП.1</w:t>
      </w:r>
    </w:p>
    <w:p w14:paraId="534DC10B" w14:textId="77777777" w:rsidR="003712D9" w:rsidRPr="007224C3" w:rsidRDefault="003712D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НПО «Ротор» MOM, ГП «НПО «Ротор» /111123  г. Москва ул. </w:t>
      </w:r>
      <w:r w:rsidR="00792F77" w:rsidRPr="007224C3">
        <w:rPr>
          <w:rFonts w:ascii="Times New Roman" w:hAnsi="Times New Roman"/>
          <w:color w:val="000000" w:themeColor="text1"/>
          <w:sz w:val="16"/>
          <w:szCs w:val="16"/>
        </w:rPr>
        <w:t>Авиамоторная, 55 тел. 176-16-93.</w:t>
      </w:r>
    </w:p>
    <w:p w14:paraId="68F3932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НПО «Ротор» создано в 1975 г. В его состав вошли МЗЭМА, НИИПМ и осташковский завод «Звезда» (вероятно, этот завод в соответствии с Указом Президента РФ № 804 от 26.06.2007 г. и распоряжением правительства № 1066-р от 17.08.2007 г. с 10.10.2008 г. вошел в состав НПЦАП в качестве филиала).</w:t>
      </w:r>
    </w:p>
    <w:p w14:paraId="6361C01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НПО являлось одной из основных научно-исследовательских баз космической промышленности (2002 г.). Разработка и производство (2002 г.): электромеханические устройства; навигационное оборудование; датчики.</w:t>
      </w:r>
    </w:p>
    <w:p w14:paraId="3813530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(2002 г.)- Ю.С. Сарымов.</w:t>
      </w:r>
    </w:p>
    <w:p w14:paraId="5864119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ген. конструктор (1975-80-е)- В.И. Кузнецов, И.Н. Сапожников.</w:t>
      </w:r>
    </w:p>
    <w:p w14:paraId="1204ECD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гл. конструктора (1980-е)- О.Ю. Райхман, (2002 г.)- А.А. Колесников.</w:t>
      </w:r>
    </w:p>
    <w:p w14:paraId="61FD983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исследовательского комплекса физиологии и человеческого фактора (2002 г.)- И.А. Гуськов; международного отдела (2002 г.)-  Г.К. Жеглова.</w:t>
      </w:r>
      <w:r w:rsidRPr="007224C3">
        <w:rPr>
          <w:rFonts w:ascii="Times New Roman" w:hAnsi="Times New Roman"/>
          <w:color w:val="000000" w:themeColor="text1"/>
          <w:sz w:val="16"/>
          <w:szCs w:val="16"/>
          <w:vertAlign w:val="superscript"/>
        </w:rPr>
        <w:t>69</w:t>
      </w:r>
    </w:p>
    <w:p w14:paraId="58C4653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iCs/>
          <w:color w:val="000000" w:themeColor="text1"/>
          <w:sz w:val="16"/>
          <w:szCs w:val="16"/>
        </w:rPr>
        <w:t>Создано:</w:t>
      </w:r>
      <w:r w:rsidRPr="007224C3">
        <w:rPr>
          <w:rFonts w:ascii="Times New Roman" w:hAnsi="Times New Roman"/>
          <w:color w:val="000000" w:themeColor="text1"/>
          <w:sz w:val="16"/>
          <w:szCs w:val="16"/>
        </w:rPr>
        <w:t xml:space="preserve"> гироскопические командные приборы для управляемого ББ 15Ф178 (1980-е) (11982).</w:t>
      </w:r>
    </w:p>
    <w:p w14:paraId="016BF1E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252B2B1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января 1944 вышло Распоряжение ГКО № 5032. О мерах по быстрейшей ликвидации аварийного состояния цеха № 7 завода № 739 Наркомрезинпрома. РГАНИР, Фонд ГКО, д. 197, лл. 174 (11012).</w:t>
      </w:r>
    </w:p>
    <w:p w14:paraId="0420EFD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7E9DF25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января 1944 г. вышло распоряжение ГКО № 5032 о мерах по быстрейшей ликвидации аварийного состояния цеха № 7 Завода № 739 НКРП /г. Ярославль/. 25.02.1944 г. - распоряжение ГКО № 5243 о мерах по обеспечению на заводе опытного производства стирола и метилстирола.</w:t>
      </w:r>
    </w:p>
    <w:p w14:paraId="0C66028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iCs/>
          <w:color w:val="000000" w:themeColor="text1"/>
          <w:sz w:val="16"/>
          <w:szCs w:val="16"/>
        </w:rPr>
        <w:t>Производство:</w:t>
      </w:r>
      <w:r w:rsidRPr="007224C3">
        <w:rPr>
          <w:rFonts w:ascii="Times New Roman" w:hAnsi="Times New Roman"/>
          <w:color w:val="000000" w:themeColor="text1"/>
          <w:sz w:val="16"/>
          <w:szCs w:val="16"/>
        </w:rPr>
        <w:t xml:space="preserve"> стирол, метилстирол.</w:t>
      </w:r>
    </w:p>
    <w:p w14:paraId="407ACE7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Далее это - Ярославский завод РТИ или ЗАО «Ярполимермаш-Татнефть».</w:t>
      </w:r>
    </w:p>
    <w:p w14:paraId="4250005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(1947 г.)- И.С. Рябиченко.</w:t>
      </w:r>
    </w:p>
    <w:p w14:paraId="1229607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Ярославский подошвенный завод ЯРАК, Ярославский завод резиновых технических изделий (ЯЗРТИ), АООТ, ОАО «ЯЗРТИ» /150003  г. Ярославль ул. Советская, 81А тел. (4852) 58-43-02/</w:t>
      </w:r>
    </w:p>
    <w:p w14:paraId="5866C02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1930 г. в составе Ярославского резино-асбестового комбината (ЯРАК) начато строительство подошвенного завода, 16.09.1932 г. завод вступил в строй (первый из группы резинообрабатывающих заводов комбината), 19.09.1932 г. изготовлены первые подошвы. Являлся крупнейшим подошвенным заводом, был оснащен импортным оборудованием. Проектная мощность завода - 75 млн. пар подошв в год. Перед войной изготавливал подошвы, резиновые кольца для железнодорожных тормозов, пожарных рукавов, муфты, кольца асбоцементных труб, всего 97 наименований продукции.</w:t>
      </w:r>
    </w:p>
    <w:p w14:paraId="78E6428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После начала войны перешел на выпуск резиновых изделий и средств противохимической защиты. Затем, вероятно, был эвакуирован. 24.02.1942 г. вышло постановление ГКО № 1348 о частичном восстановлении производства на Ярославском подошвенном заводе.</w:t>
      </w:r>
    </w:p>
    <w:p w14:paraId="34921A6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После войны возобновлен выпуск продукции для автотракторной промышленности, железнодорожного транспорта, сельского хозяйства.</w:t>
      </w:r>
    </w:p>
    <w:p w14:paraId="640B4BC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29.11.1945 г. переименован в ЯЗРТИ. В конце 1948 г. в состав ЯЗРТИ включен в качестве цеха регенераторный завод. В 1950-е  г. построен новый корпус - цех № 3, через несколько лет - участок обработки РТИ. После войны было освоено 3200 наименований формовых изделий. Завод первым в стране освоил производство синтетического каучука. Специалисты завода принимали участие в строительстве заводов в Балаково и Саранске. В 1961 г. в состав завода вошел на правах цеха завод резиновых изделий № 3, который был реконструирован и оснащен новым оборудованием. Введен в строй цех № 2. В 1970-74 г. проведена очередная реконструкция завода, закуплено 78 единиц оборудования, в т.ч. прессы ВП-09109. Ежегодно на заводе разрабатывалось и внедрялось в производство около 700 видов изделий. Была разработана рецептура резины и освоен выпуск манжет для железнодорожных тормозов. Выпускались специальные резины, применявшиеся при строительстве Братской ГЭС, Останкинской телебашни, Дворца съездов. Впервые в стране разработан и освоен выпуск резиновых оконцевателей для разделки электрических кабелей.</w:t>
      </w:r>
    </w:p>
    <w:p w14:paraId="2066651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1975 г. было принято решение о переносе мощностей ЯЗРТИ на завод «Ярославрезинотехника», но это не было выполнено. В 1990-е  г. часть производств была сокращена, закрыты цехи № 1, 3, 5, химзащиты. Перестали поступать заказы от МО. В 2000 г. начата оптимизация производства, в 2003 г. приобретено новое оборудование, установлено несколько десятков прессов для изготовления деталей для ГАЗа и ЗМЗ.</w:t>
      </w:r>
    </w:p>
    <w:p w14:paraId="1340D06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14.04.1993 г. завод преобразован в АООТ «ЯЗРТИ», 27.06.1996 г. - в ОАО.</w:t>
      </w:r>
    </w:p>
    <w:p w14:paraId="3887462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1.02.2007 г. образован филиал предприятия - «Обособленное подразделение-склад».</w:t>
      </w:r>
    </w:p>
    <w:p w14:paraId="389BE88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Численность персонала (1932 г.)- 892 чел., (1970-е)- 4324 чел., (2008 г.)-1510 чел.</w:t>
      </w:r>
    </w:p>
    <w:p w14:paraId="5033E45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Гендиректор (2004-07 г.)- С.В. Даленко, (1.08.2007-08 г.)- B.C. Воскобойник; и.о. (08.2008 г.)- М.А. Шабанов.</w:t>
      </w:r>
    </w:p>
    <w:p w14:paraId="71CB0BD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1-й зам. гендиректора (2004 г.)- B.C. Воскобойник.</w:t>
      </w:r>
    </w:p>
    <w:p w14:paraId="1592CA3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коммерческий (2004-07 г.)- B.C. Воскобойник, (2008 г.)- М.А. Шабанов; технический (2003-04 г.)- А.Н. Королев; по общим вопросам (2001-05 г.)- В.М. Поповский; по оперативным вопросам</w:t>
      </w:r>
    </w:p>
    <w:p w14:paraId="3B6585C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(2005-08 г.-)- В.М. Поповский.</w:t>
      </w:r>
    </w:p>
    <w:p w14:paraId="40C9707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инженер (2008 г.)- В.А. Суслов.</w:t>
      </w:r>
    </w:p>
    <w:p w14:paraId="0AED65C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технолог (2008 г.)- Е.М. Петина.</w:t>
      </w:r>
    </w:p>
    <w:p w14:paraId="506601C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Начальники отделов: ПАО (2007-08 г.-&gt; К.В. Посеряев; МТС (2008 г.)- Л.Н. Пазич; сбыта (2008 г.)- А.И. Воинов; ОТК (2008 г.)- П.Е. Барашков (11982).</w:t>
      </w:r>
    </w:p>
    <w:p w14:paraId="745FB0A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16098DD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января 1944 вышло Распоряжение ГКО № 5033. О поставках бумажных мешков HКХП. РГАНИР, Фонд ГКО, д. 197, лл. 175 (11012).</w:t>
      </w:r>
    </w:p>
    <w:p w14:paraId="0793B63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48C33E6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января 1944 вышло Постановление ГКО № 5034 О порядке обязательного перевода рабочих 4 и 5-го разрядов с одних предприятий Hаркомата боеприпасов на других. РГАНИР, Фонд ГКО, д. 197, лл. 176 (11012).</w:t>
      </w:r>
    </w:p>
    <w:p w14:paraId="053D625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1EF164B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января 1944 вышло Распоряжение ГКО № 5035. О поставке шин на автомобильные заводы НКСМ. РГАНИР, Фонд ГКО, д. 197, лл. 177-178 (11012).</w:t>
      </w:r>
    </w:p>
    <w:p w14:paraId="2DB094A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6A445111"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января 1944 вышло Распоряжение ГКО № 5036 [О передаче ТЭЦ Читинского овчинно-шубного завода HКЛП в ведение HККХ РСФСР.] (7178, 179).</w:t>
      </w:r>
    </w:p>
    <w:p w14:paraId="59E6D70F"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7D54B2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января 1944 вышло Постановление ГКО № 5037 О мероприятиях по материально-техническому обеспечению восстановительных работ на Украине, проводимых Наркомжилгражданстроем УССР. РГАНИР, Фонд ГКО, д. 197, лл. 180-186,187-189 (11012).</w:t>
      </w:r>
    </w:p>
    <w:p w14:paraId="1CB0851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3AEF65A1"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января 1944 вышло Постановление ГКО № 5038 О строительстве больших высоководных мостов на автомобильных дорогах в освобождаемых от противника районах. (7178, 190-193,194-202).</w:t>
      </w:r>
    </w:p>
    <w:p w14:paraId="0D1A9EE5"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14E5CA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января 1944 вышло Постановление ГКО № 5039 О возобновлении строительства гидроэлектростанции Нива ГЭС-III. РГАНИР, Фонд ГКО, д. 197, лл. 203-204,205-212 (11012).</w:t>
      </w:r>
    </w:p>
    <w:p w14:paraId="46456BF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704C329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января 1944 вышло Постановление ГКО № 5040 О плане заказов Наркомвоенморфлота на 1944 год и 1 квартал 1944 года по тральному вооружению, артиллерийским приборам, штурманскому вооружению, судовому оборудованию и запасным частям к механизмам. РГАНИР, Фонд ГКО, д. 198, лл. 1-8,9-53 (11012).</w:t>
      </w:r>
    </w:p>
    <w:p w14:paraId="363D530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69A6DF6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января 1944 вышло Постановление ГКО № 5041 О неотложных мерах по обеспечению восстановления предприятий Наркомчермета в Донбассе в 1 квартале 1944 г. РГАНИР, Фонд ГКО, д. 198, лл. 54-60,61-87 (11012).</w:t>
      </w:r>
    </w:p>
    <w:p w14:paraId="41D449A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081B6FF5"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27 января 1944 вышло Распоряжение ГКО № 5042 [Об отмене п.6 постановления ГКО № 3353 от 12 мая 1943 г. о передаче помещения в Омске, занимаемого </w:t>
      </w:r>
      <w:r w:rsidRPr="007224C3">
        <w:rPr>
          <w:rFonts w:ascii="Times New Roman" w:hAnsi="Times New Roman"/>
          <w:color w:val="000000" w:themeColor="text1"/>
          <w:sz w:val="16"/>
          <w:szCs w:val="16"/>
        </w:rPr>
        <w:lastRenderedPageBreak/>
        <w:t>поликлиникой УНКВД СССР, заводу № 210 НКЭП.] (7179, 88).</w:t>
      </w:r>
    </w:p>
    <w:p w14:paraId="1FA2B205"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F941D25"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января 1944 вышло Постановление ГКО № 5043 Об электроснабжении г. Ульяновска. (7179, 89).</w:t>
      </w:r>
    </w:p>
    <w:p w14:paraId="302ED82E"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02817F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января 1944 вышло Распоряжение ГКО № 5044. О направлении 1050 чел., не годных к строевой службе, для работы на строительстве и в цехах Барнаульского котельного завода. РГАНИР, Фонд ГКО, д. 198, лл. 90 (11012).</w:t>
      </w:r>
    </w:p>
    <w:p w14:paraId="6D2CC5A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69A7B73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января 1944 вышло Распоряжение ГКО № 5045. О поставках сырья заводу № 11 Главгазтоппрома в 1 кв. 1944 г. РГАНИР, Фонд ГКО, д. 198, лл. 91 (11012).</w:t>
      </w:r>
    </w:p>
    <w:p w14:paraId="622BA1B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3EE7342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января 1944 вышло Постановление ГКО № 5046 О материально-техническом обеспечении предприятий и строительств Наркомата электростанций в 1 квартале 1944 года. РГАНИР, Фонд ГКО, д. 198, лл. 92-97,98-144 (11012).</w:t>
      </w:r>
    </w:p>
    <w:p w14:paraId="46C7C99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798DFD3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января 1944 вышло Распоряжение ГКО № 5047. О выделении помещения и квартир Главкислороду при СНК СССР в Москве. РГАНИР, Фонд ГКО, д. 198, лл. 145 (11012).</w:t>
      </w:r>
    </w:p>
    <w:p w14:paraId="573768B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03B91092"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января 1944 вышло Распоряжение ГКО № 5048 О мерах по форсированию разведки и ввода в разработку нефтяного месторождения Кинзебулатово в Башкирской АССР. (7179, 146-149,150-151).</w:t>
      </w:r>
    </w:p>
    <w:p w14:paraId="6DBD6D94"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721BDF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января 1944 вышло Постановление ГКО № 5049 О мероприятиях по добыче и вывозу соли с сезонных соляных предприятий Наркомпищепрома СССР в 1944 году. РГАНИР, Фонд ГКО, д. 198, лл. 152-160,161-162 (11012).</w:t>
      </w:r>
    </w:p>
    <w:p w14:paraId="0481F95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09481A96"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января 1944 вышло Постановление ГКО № 5050 О мерах обеспечения дальнейшего подъема нефтедобычи и производства нефтепродуктов по Грозненской нефтяной промышленности. (7179, 163-168,169-174).</w:t>
      </w:r>
    </w:p>
    <w:p w14:paraId="2E30B001"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CDCE318"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января 1944 вышло Постановление ГКО № 5051 О мероприятиях по развитию добычи нефти на месторождении Махачкала треста "Дагнефть". (7179, 175-180,181-183).</w:t>
      </w:r>
    </w:p>
    <w:p w14:paraId="6100C331"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54D26D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января 1944 вышло Постановление ГКО № 5052 О мерах помощи по восстановлению нефтебаз в освобожденных районах УССР в 1944 году. РГАНИР, Фонд ГКО, д. 198, лл. 184-191,192-201 (11012).</w:t>
      </w:r>
    </w:p>
    <w:p w14:paraId="2BD7B92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0DE61BA8"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января 1944 вышло Постановление ГКО № 5053 О восстановлении паровозоремонтных, вагоноремонтных и машиностроительных заводов НКПС на территории, освобожденной от противника. (7179, 202-214,215-221).</w:t>
      </w:r>
    </w:p>
    <w:p w14:paraId="4FBFA863"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6ABCC3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января 1944 вышло Постановление ГКО № 5054 О мероприятиях по обеспечению производства мотоциклов для мотомеханизированных соединений Красной Армии в 1 квартале 1944 года. РГАНИР, Фонд ГКО, д. 198, лл. 222-228,229-235 (11012).</w:t>
      </w:r>
    </w:p>
    <w:p w14:paraId="07C5085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2CDD75E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января 1944 вышло Постановление ГКО № 5055 О материально-техническом обеспечении предприятий Наркомата электропромышленности в 1 квартале 1944 года. РГАНИР, Фонд ГКО, д. 198, лл. 236-244,245-296 (11012).</w:t>
      </w:r>
    </w:p>
    <w:p w14:paraId="46FFF9C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651E143E" w14:textId="77777777" w:rsidR="00956103" w:rsidRPr="007224C3" w:rsidRDefault="0095610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января 1944 г. вышло постановление ГКО № 5055сс «О материально-техническом обеспечении предприятий НКЭП в 1 квартале 1944 г.» Этот документ был нацелен на «…обеспечение выпуска электротехнического оборудования для обеспечения нужд народного хозяйства, а также выпуска радиотехнической аппаратуры для укомплектования самолетов и танков, средств связи и специального радио- и электротехнического оборудования для фронта». Постановление во многом подтверждало и продлевало сроки действий прежних решений ГКО, касающихся создания приоритетных условий для функционирования предприятий НКЭП.</w:t>
      </w:r>
    </w:p>
    <w:p w14:paraId="4DFB7D44" w14:textId="77777777" w:rsidR="00956103" w:rsidRPr="007224C3" w:rsidRDefault="0095610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Всем наркоматам и ведомствам вменялось в обязанность обеспечить в полной мере поставки для них материалов, оборудования и топлива, а также возместить недопоставки предыдущих периодов4. Наркомату путей сообщения ставилась задача осуществлять поставку вагонов под материалы и оборудование заводов НКЭП целевым назначением и осуществлять непрерывный контроль за продвижением грузов. Более того, грузы для предприятий НКЭП должны были приниматься с каждым пассажирским поездом в каждом направлении в виде багажа весом до 500 кг. В свою очередь, директора заводов и начальники главков обязаны были каждые пять дней представлять отчеты в Главное управление снабжения НКЭП о ходе реализации выделенных им материалов, полуфабрикатов и готовых изделий (18297).</w:t>
      </w:r>
    </w:p>
    <w:p w14:paraId="44018560" w14:textId="77777777" w:rsidR="00956103" w:rsidRPr="007224C3" w:rsidRDefault="00956103" w:rsidP="007224C3">
      <w:pPr>
        <w:spacing w:after="0" w:line="240" w:lineRule="auto"/>
        <w:jc w:val="both"/>
        <w:rPr>
          <w:rFonts w:ascii="Times New Roman" w:hAnsi="Times New Roman"/>
          <w:color w:val="000000" w:themeColor="text1"/>
          <w:sz w:val="16"/>
          <w:szCs w:val="16"/>
        </w:rPr>
      </w:pPr>
    </w:p>
    <w:p w14:paraId="09668E6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января 1944 вышло Постановление ГКО № 5056 О мероприятиях по строительству импортных нефтеперерабатывающих заводов в г.г. Куйбышев и Гурьев. РГАНИР, Фонд ГКО, д. 199, лл. 1-4,5-14 (11012).</w:t>
      </w:r>
    </w:p>
    <w:p w14:paraId="3E7155F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1CFCA59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января 1944 вышло Постановление ГКО № 5057 О плане производства и снабжения народного хозяйства нитропродукцией на 1 квартал 1944 г. РГАНИР, Фонд ГКО, д. 199, лл. 15,16-18 (11012).</w:t>
      </w:r>
    </w:p>
    <w:p w14:paraId="2368CA0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061A346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января 1944 вышло Постановление ГКО № 5058 О плане производства Уралмашзавода НКТП на 1 квартал 1944 г. РГАНИР, Фонд ГКО, д. 199, лл. 19-21,22-26 (11012).</w:t>
      </w:r>
    </w:p>
    <w:p w14:paraId="3659E59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31C9508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января 1944 вышло Постановление ГКО № 5059 О мероприятиях по расширению производства гидрографическо-штурманского вооружения. РГАНИР, Фонд ГКО, д. 199, лл. 27-28 (11012).</w:t>
      </w:r>
    </w:p>
    <w:p w14:paraId="13225AB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27FF60B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января 1944 вышло Распоряжение ГКО № 5060. Об оставлении завода № 20 в системе НКБ. РГАНИР, Фонд ГКО, д. 199, лл. 29 (11012).</w:t>
      </w:r>
    </w:p>
    <w:p w14:paraId="0B2D5F5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66AE40F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января 1944 вышло Постановление ГКО № 5061 Об обеспечении Балахнинского комбината Наркомбумпрома балансами и дровами. РГАНИР, Фонд ГКО, д. 199, лл. 30-33 (11012).</w:t>
      </w:r>
    </w:p>
    <w:p w14:paraId="45FE8FA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51D9F0A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января 1944 вышло Постановление ГКО № 5062 Об обеспечении экстрактовыми дровами дубильно-экстрактовой промышленности Наркомлегпрома СССР в 1944 году. РГАНИР, Фонд ГКО, д. 199, лл. 34-38,39-47 (11012).</w:t>
      </w:r>
    </w:p>
    <w:p w14:paraId="30F2219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53FF7F69"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января 1944 вышло Постановление ГКО № 5063 Об увеличении производства электрических машин на заводе № 658 им. М.И. Калинина Наркомата электропромышленности. (7180, 48-52,53-61).</w:t>
      </w:r>
    </w:p>
    <w:p w14:paraId="0BC7CC05"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AEA8C60"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января 1944 вышло Постановление ГКО № 5064 О плане ремонта автомобилей для Красной Армии и Военно-Морского Флота на I квартал 1944 г. (7180, 62-71,72-156).</w:t>
      </w:r>
    </w:p>
    <w:p w14:paraId="6317E6F6"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7044C07"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6AE5682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DD9A889" w14:textId="77777777" w:rsidR="00A178F0" w:rsidRPr="007224C3" w:rsidRDefault="00A178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27 января</w:t>
      </w:r>
      <w:r w:rsidRPr="007224C3">
        <w:rPr>
          <w:rFonts w:ascii="Times New Roman" w:hAnsi="Times New Roman"/>
          <w:color w:val="000000" w:themeColor="text1"/>
          <w:sz w:val="16"/>
          <w:szCs w:val="16"/>
        </w:rPr>
        <w:t xml:space="preserve"> в 1944 году оперативная сводка Совинформбюро:</w:t>
      </w:r>
    </w:p>
    <w:p w14:paraId="22238017" w14:textId="77777777" w:rsidR="00A178F0" w:rsidRPr="007224C3" w:rsidRDefault="00A178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27 января западнее, юго-западнее и южнее Гатчина наши войска, продолжая развивать наступление, заняли Город И Железнодорожный Узел Волосово, А Также Более 40 Других Населённых Пунктов, В Том Числе Крупные Населённые Пункты Закорново, Лопухинка, Новая Буря, Новые Медуши, Муховицы, Старая Буря, Слепино, Щёлково, Большое и Малое Тешково, Старое Греблово, Клопицы, Ронковицы, Череповицы, Сумино, Большие и Малые Губаницы, Роговицы, Большое и Малое Кикерино, Елизаветино, Николаевка, Шпаньково, Большое Тяглино, Высокоключевое, Воскресенское и железнодорожные станции Елизаветино, Кикерино, Суйда.</w:t>
      </w:r>
    </w:p>
    <w:p w14:paraId="46F5B09F" w14:textId="77777777" w:rsidR="00A178F0" w:rsidRPr="007224C3" w:rsidRDefault="00A178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Наши войска, сломив сопротивление противника, овладели районным центром Ленинградской области, городом и железнодорожным узлом Тосно.</w:t>
      </w:r>
    </w:p>
    <w:p w14:paraId="5A859B6D" w14:textId="77777777" w:rsidR="00A178F0" w:rsidRPr="007224C3" w:rsidRDefault="00A178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Западнее и юго-западнее Тосно наши войска с боями продвигались вперёд и овладели населёнными пунктами Власники, Заборье, Ковшово, Виркино, Рынделево, Поги, Кайболово, Кунголово, Еглизи, Большое Лисино, Строение.</w:t>
      </w:r>
    </w:p>
    <w:p w14:paraId="52A8925E" w14:textId="77777777" w:rsidR="00A178F0" w:rsidRPr="007224C3" w:rsidRDefault="00A178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Северо-западнее и севернее Любань наши войска с боями заняли населённыепункты Рябово, Липки, Веретье, Бородулино, Ильинский Погост и полностью очистили от противника железную дорогу и шоссе на участке Любань-Тосно. Наши войска вплотную подошли к городу Любань и завязали бои на окраинах города.</w:t>
      </w:r>
    </w:p>
    <w:p w14:paraId="2803FDF6" w14:textId="77777777" w:rsidR="00A178F0" w:rsidRPr="007224C3" w:rsidRDefault="00A178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Северо-западнее, западнее и юго-западнее Новгорода наши войска, продолжая развивать наступление, овладели населёнными пунктами Дехово, Заболотье,Хотобужи, Доскино, Танина Гора, Косицкое, Глухой Бережок, Ожогин Волочёк, Уномер, Новое Веретье, Межник, Шарок, Верхний Прихон, Теребутицы.</w:t>
      </w:r>
    </w:p>
    <w:p w14:paraId="3C3289BA" w14:textId="77777777" w:rsidR="00A178F0" w:rsidRPr="007224C3" w:rsidRDefault="00A178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Восточнее Винницы и севернее Христиновка наши войска продолжали отбивать атаки крупных сил танков и пехоты противника и нанесли ему большие потери в живой силе и технике.</w:t>
      </w:r>
    </w:p>
    <w:p w14:paraId="79DA89B8" w14:textId="77777777" w:rsidR="00A178F0" w:rsidRPr="007224C3" w:rsidRDefault="00A178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 разведка, артиллерийско-миномётная перестрелка и в ряде пунктов бои местного значения.</w:t>
      </w:r>
    </w:p>
    <w:p w14:paraId="4FE2604A" w14:textId="77777777" w:rsidR="00A178F0" w:rsidRPr="007224C3" w:rsidRDefault="00A178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26 января наши войска на всех фронтах подбили и уничтожили 82 немецких танка. В воздушных боях и огнём зенитной артиллерии сбито 16 самолётов противника.</w:t>
      </w:r>
    </w:p>
    <w:p w14:paraId="3A94C7E2" w14:textId="77777777" w:rsidR="00A178F0" w:rsidRPr="007224C3" w:rsidRDefault="00A178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юго-западнее и южнее города Гатчина наши войска продолжали успешное наступление. Части Н-ского соединения стремительной атакой овладели городом и железнодорожным узлом Волосово. Разбитые части противника в беспорядке отступили, бросив большое количество вооружения, боеприпасов и различных военных материалов. Другие наши части, продвигаясь вперёд, заняли более 40 населенных пунктов. В ходе боёв за день уничтожено до 3 тысяч немецких солдат и офицеров. По предварительным данным, в городе Гатчина нашими войсками захвачено у немцев10 танков, свыше 100 орудий, 85 миномётов, более 200 пулемётов, 2.000 автоматов и винтовок, много автомашин, железнодорожных вагонов с грузами и крупные склады с боеприпасами, продовольствием и различным военным имуществом. Советские бойцы освободили в Гатчине свыше 5.000 советских граждан, которых немцы собирались угнать на каторгу в Германию.</w:t>
      </w:r>
    </w:p>
    <w:p w14:paraId="78C4EA23" w14:textId="77777777" w:rsidR="00A178F0" w:rsidRPr="007224C3" w:rsidRDefault="00A178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Наши войска, действуя в крайне тяжёлых условиях болотистой местности, овладели городом и железнодорожным узлом Тосно. Немцы, опираясь на долговременные укрепления, упорно защищали этот город. Советские части обошлиТосно с трёх сторон и вчера ночью предприняли решительный штурм. Вражеский гарнизон в большей своей части уничтожен. Часть немецких солдат сложила оружие и сдалась в плен. На железнодорожном узле Тосно захвачены большие трофеи.</w:t>
      </w:r>
    </w:p>
    <w:p w14:paraId="35573408" w14:textId="77777777" w:rsidR="00A178F0" w:rsidRPr="007224C3" w:rsidRDefault="00A178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Северо-западнее и севернее города Любань наши войска с боями продвигались вперёд. Части Н-ского соединения прорвали оборону немцев на подступах к Любани и завязали бои на окраинах города. В течение дня уничтожено свыше 800 вражеских солдат и офицеров, 9 орудий, 14 миномётов, из них 3 шестиствольных. Захвачено у немцев 12 орудий, 16 миномётов, склад боеприпасов и 3 радиостанции.</w:t>
      </w:r>
    </w:p>
    <w:p w14:paraId="6D73DF5C" w14:textId="77777777" w:rsidR="00A178F0" w:rsidRPr="007224C3" w:rsidRDefault="00A178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другом участке наши части нанесли тяжёлое поражение испанскому легиону. Значительное число испанских солдат взято в плен.</w:t>
      </w:r>
    </w:p>
    <w:p w14:paraId="114CBF11" w14:textId="77777777" w:rsidR="00A178F0" w:rsidRPr="007224C3" w:rsidRDefault="00A178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Новгорода наши войска, сломив сопротивление противника, развивали успешное наступление. Разгромлены два полка вражеской пехоты и несколько боевыхгрупп, сформированных противником из остатков дивизий, разбитых в предыдущихбоях. Юго-западнее Новгорода части Н-ского соединения заняли ряд населённых пунктов. Немцы подтянули в этот район свежие резервы, спешно переброшенные с других участков фронта. Однако противник вновь был отброшен с большими для него потерями.</w:t>
      </w:r>
    </w:p>
    <w:p w14:paraId="484A9F5B" w14:textId="77777777" w:rsidR="00A178F0" w:rsidRPr="007224C3" w:rsidRDefault="00A178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одном участке севернее Новосокольники противник силами до двух полков пехоты рано утром атаковал наши позиции. Встреченные огнём из всех видов оружия, гитлеровцы понесли большие потери и откатились на исходные позиции. В течение дня противник ещё девять раз бросал в атаку своих солдат в пьяном виде. Немцы выпустили огромное количество снарядов и мин. Бой на этом участке длился до позднего вечера. Все атаки гитлеровцев были отбиты. Перед нашими окопамиосталось до 1.500 вражеских трупов.</w:t>
      </w:r>
    </w:p>
    <w:p w14:paraId="71D03807" w14:textId="77777777" w:rsidR="00A178F0" w:rsidRPr="007224C3" w:rsidRDefault="00A178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Восточнее Винницы наши войска продолжали отбивать атаки крупных сил танков и пехоты противника. Немцы, действуя группами по 20-30 танков, при поддержке авиации, пытались найти слабое место в советской обороне. За каждой группой вражеских танков следовало от одного до двух батальонов пехоты. Гитлеровцы понесли большие потери, но ни на одном участке не добились успеха. В результате боя советские части уничтожили до полка пехоты противника. Подбито и сожжено 65 немецких танков и самоходных орудий, 5 бронемашин и 13 бронетранспортёров.</w:t>
      </w:r>
    </w:p>
    <w:p w14:paraId="5C0259CE" w14:textId="77777777" w:rsidR="00A178F0" w:rsidRPr="007224C3" w:rsidRDefault="00A178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Авиацией Черноморского флота потоплены два транспорта общим водоизмещением в 5 тысяч тонн, быстроходная десантная баржа и две несамоходные баржи противника.</w:t>
      </w:r>
    </w:p>
    <w:p w14:paraId="613C1803" w14:textId="77777777" w:rsidR="00A178F0" w:rsidRPr="007224C3" w:rsidRDefault="00A178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Несколько партизанских отрядов, действующих в Каменец-Подольской области, за месяц подорвали на минах и пустили под откос 27 немецких воинских эшелонов. В результате крушений разбито более 200 вагонов и платформ с войсками и военными грузами противника. 4 января группа партизан на одной железнодорожной станции сожгла гараж немецкой части с находившимися в нём автомашинами.» (15022).</w:t>
      </w:r>
    </w:p>
    <w:p w14:paraId="597225AC" w14:textId="77777777" w:rsidR="00A178F0" w:rsidRPr="007224C3" w:rsidRDefault="00A178F0" w:rsidP="007224C3">
      <w:pPr>
        <w:spacing w:after="0" w:line="240" w:lineRule="auto"/>
        <w:jc w:val="both"/>
        <w:rPr>
          <w:rFonts w:ascii="Times New Roman" w:hAnsi="Times New Roman"/>
          <w:color w:val="000000" w:themeColor="text1"/>
          <w:sz w:val="16"/>
          <w:szCs w:val="16"/>
        </w:rPr>
      </w:pPr>
    </w:p>
    <w:p w14:paraId="0B1C179F" w14:textId="77777777" w:rsidR="00A178F0" w:rsidRPr="007224C3" w:rsidRDefault="00A178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27 января</w:t>
      </w:r>
      <w:r w:rsidRPr="007224C3">
        <w:rPr>
          <w:rFonts w:ascii="Times New Roman" w:hAnsi="Times New Roman"/>
          <w:color w:val="000000" w:themeColor="text1"/>
          <w:sz w:val="16"/>
          <w:szCs w:val="16"/>
        </w:rPr>
        <w:t xml:space="preserve"> в 1944 году началась Ровно-Луцкая наступательная операция войск 1-го Украинского фронта (генерал армии Н.Ф.Ватутин), продолжавшаяся до 11 февраля (15022).</w:t>
      </w:r>
    </w:p>
    <w:p w14:paraId="4FC2E3F6" w14:textId="77777777" w:rsidR="00A178F0" w:rsidRPr="007224C3" w:rsidRDefault="00A178F0" w:rsidP="007224C3">
      <w:pPr>
        <w:spacing w:after="0" w:line="240" w:lineRule="auto"/>
        <w:jc w:val="both"/>
        <w:rPr>
          <w:rFonts w:ascii="Times New Roman" w:hAnsi="Times New Roman"/>
          <w:color w:val="000000" w:themeColor="text1"/>
          <w:sz w:val="16"/>
          <w:szCs w:val="16"/>
        </w:rPr>
      </w:pPr>
    </w:p>
    <w:p w14:paraId="02B02CDD" w14:textId="77777777" w:rsidR="00A178F0" w:rsidRPr="007224C3" w:rsidRDefault="00A178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27 января</w:t>
      </w:r>
      <w:r w:rsidRPr="007224C3">
        <w:rPr>
          <w:rFonts w:ascii="Times New Roman" w:hAnsi="Times New Roman"/>
          <w:color w:val="000000" w:themeColor="text1"/>
          <w:sz w:val="16"/>
          <w:szCs w:val="16"/>
        </w:rPr>
        <w:t xml:space="preserve"> в 1944 году день снятия блокады города Ленинграда (1944г.). В этот день силами войск Ленинградского (командующий генерал армии Л.А.Говоров), Волховского (командующий генерал армии К.А.Мерецков) и 2-го Прибалтийского фронтов в ходе Ленинградско-Новгородской наступательной операции окончательно разорвано кольцо блокады Ленинграда. Отмечается в соответствии с Федеральным законом "О днях воинской славы (победных днях) России».</w:t>
      </w:r>
    </w:p>
    <w:p w14:paraId="3BB5BB41" w14:textId="77777777" w:rsidR="00A178F0" w:rsidRPr="007224C3" w:rsidRDefault="00A178F0" w:rsidP="007224C3">
      <w:pPr>
        <w:spacing w:after="0" w:line="240" w:lineRule="auto"/>
        <w:jc w:val="both"/>
        <w:rPr>
          <w:rFonts w:ascii="Times New Roman" w:hAnsi="Times New Roman"/>
          <w:bCs/>
          <w:color w:val="000000" w:themeColor="text1"/>
          <w:sz w:val="16"/>
          <w:szCs w:val="16"/>
        </w:rPr>
      </w:pPr>
    </w:p>
    <w:p w14:paraId="45DD8375"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января 1944 Ленинград полностью освобожден от блокады (4962).</w:t>
      </w:r>
    </w:p>
    <w:p w14:paraId="5E08FDFD"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A04AEA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27 January 1944 Leningrad relieved by Soviet Forces after a 900 day siege (270).</w:t>
      </w:r>
    </w:p>
    <w:p w14:paraId="40ABF03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F2A46E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января 1944 Ленинград был полностью освобожден от блокады, длившейся 900 дней (270).</w:t>
      </w:r>
    </w:p>
    <w:p w14:paraId="33EE706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5B9FA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января 1944 Ленинград салютовал 24 залпами из 324 орудий в честь полного освобождения города от вражеской блокады. На Балтийском заводе велась постройка 15 малых ТЩ. В ремонте находилось 4 эсминца и 5 ПЛ. Ленинградцы строили пять МБК и 9 БМО (в том числе заложены 2 БМО), вели обработку металла и заготовку секций для 5 БМО, ремонтировали 22 надводных корабля и 3 ПЛ. Ждановцы строили 8 стотонников. Велись работы на лидерах "Минск" и "Ленинград", эсминцах "Строгий", "Стройный" и "Опытный", на СКР "Зоркий" и "Вихрь". Петрозаводцы строили 8 ТЩ типа МТ-1, дизельные ТЩ по пр. 53-У.</w:t>
      </w:r>
    </w:p>
    <w:p w14:paraId="1F096B6B"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76AAADB" w14:textId="77777777" w:rsidR="00A178F0" w:rsidRPr="007224C3" w:rsidRDefault="00A178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27 января</w:t>
      </w:r>
      <w:r w:rsidRPr="007224C3">
        <w:rPr>
          <w:rFonts w:ascii="Times New Roman" w:hAnsi="Times New Roman"/>
          <w:color w:val="000000" w:themeColor="text1"/>
          <w:sz w:val="16"/>
          <w:szCs w:val="16"/>
        </w:rPr>
        <w:t xml:space="preserve"> в 1944 году Торжественный артиллерийский салют, прогремевший в Ленинграде, возвестил всему миру, что окончательно ликвидирована блокада города, продолжавшаяся 900 дней и ночей. День воинский славы России - прорыв блокады Ленинграда (1944). Наступление фашистских войск на Ленинград, захвату которого германское командование придавало важное стратегическое и политическое значение, началось 10 июля 1941 года. В августе тяжелые бои шли уже на подступах к городу. 30 августа немецкие войска перерезали железные дороги, связывавшие Ленинград со страной. 8 сентября фашистам удалось блокировать город с суши. По плану Гитлера, Ленинград должен был быть стерт с лица земли. Потерпев неудачу в попытках прорвать оборону советских войск внутри блокадного кольца, немцы решили взять город измором. По всем расчетам немецкого командования, население Ленинграда должно было умереть от голода и холода. 8 сентября, в день начала блокады, произошла первая массированная бомбардировка Ленинграда. Вспыхнуло около 200 пожаров, один из них уничтожил Бадаевские продовольственные склады. В сентябре-октябре вражеская авиация совершала в день по несколько налетов. Целью противника было не только помешать деятельности важных предприятий, но и создать панику среди населения. Особенно интенсивный артобстрел велся в часы начала и окончания рабочего дня. Многие погибли во время обстрелов и бомбежек, множество зданий было разрушено. Убежденность в том, что врагу не удастся захватить Ленинград, сдерживала темпы эвакуации людей. В блокированном городе оказалось более двух с половиной миллионов жителей, в том числе 400 тысяч детей. Продовольственных запасов было мало, пришлось использовать пищевые суррогаты. С начала введения карточной системы нормы выдачи продовольствия населению Ленинграда неоднократно сокращались. В ноябре-декабре 1941года рабочий мог получить лишь 250 граммов хлеба в день, а служащие, дети и старики - всего 125 граммов. Когда 25 декабря впервые была сделана прибавка хлебного пайка - рабочим - на 100 граммов, остальным - на 75 , истощенные, изможденные люди вышли на улицы, чтобы поделиться своей радостью. Это незначительное увеличение нормы выдачи хлеба давало пусть слабую, но надежду умирающим от голода людям. Осень - зима 1941-1942 годов - самое страшное время блокады. Ранняя зима принесла с собой холод - отопления, горячей воды не было, и ленинградцы стали жечь мебель, книги, разбирали на дрова деревянные постройки. Транспорт стоял. От дистрофии и холода люди умирали тысячами. Но ленинградцы продолжали трудиться - работали административные учреждения, типографии, поликлиники, детские сады, театры, публичная библиотека, продолжали работу ученые. Работали 13-14-летние подростки, заменившие отцов, ушедших на фронт. Была еще работа - вывозить трупы погибших от голода. Осенью на Ладоге из-за штормов движение судов было осложнено, но буксиры с баржами пробивались в обход ледяных полей до декабря 1941года, некоторое количество продовольствия доставлялось самолетами. Твердый лед на Ладоге долго не устанавливался, нормы выдачи хлеба были вновь сокращены. 22 ноября началось движение автомашин по ледовой дороге. Эта транспортная магистраль получила название «Дорога жизни». В январе 1942 года движение по зимней дороге уже было постоянным. Немцы бомбили и обстреливали дорогу, но им не удалось остановить движение. Зимой началась эвакуация населения. Первыми вывозили женщин, детей, больных, стариков. Всего эвакуировали около миллиона человек. Весной 1942 года, когда стало немного легче, ленинградцы начали очищать, убирать город. Нормы выдачи хлеба увеличились. 18 января 1943 года силами Ленинградского и </w:t>
      </w:r>
      <w:r w:rsidRPr="007224C3">
        <w:rPr>
          <w:rFonts w:ascii="Times New Roman" w:hAnsi="Times New Roman"/>
          <w:color w:val="000000" w:themeColor="text1"/>
          <w:sz w:val="16"/>
          <w:szCs w:val="16"/>
        </w:rPr>
        <w:lastRenderedPageBreak/>
        <w:t>Волховского фронтов блокада была прорвана, 27 января 1944 года произошел окончательный прорыв блокады, враг был отброшен от города на 65 - 100 километров. Блокада Ленинграда длилась 900 дней и стала самой кровопролитной блокадой в истории человечества (15022).</w:t>
      </w:r>
    </w:p>
    <w:p w14:paraId="62297C3B" w14:textId="77777777" w:rsidR="00A178F0" w:rsidRPr="007224C3" w:rsidRDefault="00A178F0" w:rsidP="007224C3">
      <w:pPr>
        <w:spacing w:after="0" w:line="240" w:lineRule="auto"/>
        <w:jc w:val="both"/>
        <w:rPr>
          <w:rFonts w:ascii="Times New Roman" w:hAnsi="Times New Roman"/>
          <w:color w:val="000000" w:themeColor="text1"/>
          <w:sz w:val="16"/>
          <w:szCs w:val="16"/>
        </w:rPr>
      </w:pPr>
    </w:p>
    <w:p w14:paraId="6C8FDA1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января 1943 был полностью освобожден Новгород (3186).</w:t>
      </w:r>
    </w:p>
    <w:p w14:paraId="65AFA64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8C16D1"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rPr>
        <w:t xml:space="preserve">27 января 1944 Первый Украинский фронт начал Ровенско-Луцкую наступательную операцию </w:t>
      </w:r>
      <w:r w:rsidRPr="007224C3">
        <w:rPr>
          <w:rFonts w:ascii="Times New Roman" w:hAnsi="Times New Roman"/>
          <w:color w:val="000000" w:themeColor="text1"/>
          <w:sz w:val="16"/>
          <w:szCs w:val="16"/>
          <w:lang w:val="en-US"/>
        </w:rPr>
        <w:t>(4962).</w:t>
      </w:r>
    </w:p>
    <w:p w14:paraId="7F541BE6"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p>
    <w:p w14:paraId="58BF4DC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January 27, 1944: The Soviet 1st Ukrainian Front launches an offensive against Luzk and Rovno (3819).</w:t>
      </w:r>
    </w:p>
    <w:p w14:paraId="3E18861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DDC16C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27 января по 11 февраля 1944 была Ровенско-Луцкая операция для захвата Ровно, Шепетовки, луцка. Прлдвинулись на 80 км (2443,79). Наступали 1УФ (Н.Ф.Ватутин) и освободили Ровно и Шепетовку (3398,47).</w:t>
      </w:r>
    </w:p>
    <w:p w14:paraId="0F630A5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9085F8" w14:textId="77777777" w:rsidR="00A178F0"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Жизнь и внутренняя политика:</w:t>
      </w:r>
    </w:p>
    <w:p w14:paraId="7470572E" w14:textId="77777777" w:rsidR="00A178F0" w:rsidRPr="007224C3" w:rsidRDefault="00A178F0"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4CD629F" w14:textId="77777777" w:rsidR="00A178F0" w:rsidRPr="007224C3" w:rsidRDefault="00A178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27 января</w:t>
      </w:r>
      <w:r w:rsidRPr="007224C3">
        <w:rPr>
          <w:rFonts w:ascii="Times New Roman" w:hAnsi="Times New Roman"/>
          <w:color w:val="000000" w:themeColor="text1"/>
          <w:sz w:val="16"/>
          <w:szCs w:val="16"/>
        </w:rPr>
        <w:t xml:space="preserve"> в 1944 году начала действовать железная дорога Москва – Ленинград (15022).</w:t>
      </w:r>
    </w:p>
    <w:p w14:paraId="264D183F" w14:textId="77777777" w:rsidR="00A178F0" w:rsidRPr="007224C3" w:rsidRDefault="00A178F0" w:rsidP="007224C3">
      <w:pPr>
        <w:spacing w:after="0" w:line="240" w:lineRule="auto"/>
        <w:jc w:val="both"/>
        <w:rPr>
          <w:rFonts w:ascii="Times New Roman" w:hAnsi="Times New Roman"/>
          <w:color w:val="000000" w:themeColor="text1"/>
          <w:sz w:val="16"/>
          <w:szCs w:val="16"/>
        </w:rPr>
      </w:pPr>
    </w:p>
    <w:p w14:paraId="67627B8C" w14:textId="3AB5961C" w:rsidR="004D3DA4" w:rsidRPr="007224C3" w:rsidRDefault="004D3DA4" w:rsidP="007224C3">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7224C3">
        <w:rPr>
          <w:rFonts w:ascii="Times New Roman" w:hAnsi="Times New Roman"/>
          <w:i/>
          <w:iCs/>
          <w:color w:val="000000" w:themeColor="text1"/>
          <w:sz w:val="16"/>
          <w:szCs w:val="16"/>
        </w:rPr>
        <w:t>За рубежом:</w:t>
      </w:r>
    </w:p>
    <w:p w14:paraId="2704A269" w14:textId="77777777" w:rsidR="004D3DA4" w:rsidRPr="007224C3" w:rsidRDefault="004D3DA4" w:rsidP="007224C3">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27127E86" w14:textId="77777777" w:rsidR="004D3DA4" w:rsidRPr="007224C3" w:rsidRDefault="004D3DA4"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27–28 января (ночь) 1944 530 британских бомбардировщиков совершают налет на Берлин. Немецкие ночные истребители отправляются на расстояние до 75 миль (121 км) над Северным морем, чтобы перехватить их, но многие из них сбиваются с курса из-за британской, и потери сокращаются до 33 ланкастеров (6,4 процента тяжелых бомбардировщиков). Этот рейд оказывается неудачным, т.к. бомбы падабт беспорядочно из - за облачности (20373).</w:t>
      </w:r>
    </w:p>
    <w:p w14:paraId="0B8C9773" w14:textId="77777777" w:rsidR="004D3DA4" w:rsidRPr="007224C3" w:rsidRDefault="004D3DA4" w:rsidP="007224C3">
      <w:pPr>
        <w:spacing w:after="0" w:line="240" w:lineRule="auto"/>
        <w:jc w:val="both"/>
        <w:rPr>
          <w:rFonts w:ascii="Times New Roman" w:hAnsi="Times New Roman"/>
          <w:color w:val="0070C0"/>
          <w:sz w:val="16"/>
          <w:szCs w:val="16"/>
        </w:rPr>
      </w:pPr>
    </w:p>
    <w:p w14:paraId="1F995870" w14:textId="77777777" w:rsidR="004D3DA4" w:rsidRPr="007224C3" w:rsidRDefault="004D3DA4"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27 января 1944 у японцев на Маршалловых островах находится 150 боевых самолетов (20373).</w:t>
      </w:r>
    </w:p>
    <w:p w14:paraId="58E2944E" w14:textId="77777777" w:rsidR="004D3DA4" w:rsidRPr="007224C3" w:rsidRDefault="004D3DA4" w:rsidP="007224C3">
      <w:pPr>
        <w:spacing w:after="0" w:line="240" w:lineRule="auto"/>
        <w:jc w:val="both"/>
        <w:rPr>
          <w:rFonts w:ascii="Times New Roman" w:hAnsi="Times New Roman"/>
          <w:color w:val="0070C0"/>
          <w:sz w:val="16"/>
          <w:szCs w:val="16"/>
        </w:rPr>
      </w:pPr>
    </w:p>
    <w:p w14:paraId="76A80259" w14:textId="482AA4E4"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266F0BE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D27F18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января 1944 инженер Казанского завода рапортовал, что АНТ-42 дублер, Пе-8 (ТБ-7) N 385 Д совершил 113 боевых вылета, но после перекраски может быть возвращен в войска. Потом попал в полярную авиацию (1103,28).</w:t>
      </w:r>
    </w:p>
    <w:p w14:paraId="5069E81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F9939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28 января 1944 согласно журнала наблюдения за проектированием, постройкой и испытаниями МиГ-3 за 20 февраля 1944 на МиГ-3 2Д произвели 2 полета. На самолете устранены дефекты для передачи машины в НИИ ВВС . На самолете установлен новый облегченный винт АВ-6Л-126Е. Облегчен на 25,3 кг (992,12).</w:t>
      </w:r>
    </w:p>
    <w:p w14:paraId="46A014D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064D8303"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66A7AEF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9EFAE91" w14:textId="77777777" w:rsidR="00D9700C" w:rsidRPr="007224C3" w:rsidRDefault="00D9700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ян</w:t>
      </w:r>
      <w:r w:rsidRPr="007224C3">
        <w:rPr>
          <w:rFonts w:ascii="Times New Roman" w:hAnsi="Times New Roman"/>
          <w:color w:val="000000" w:themeColor="text1"/>
          <w:sz w:val="16"/>
          <w:szCs w:val="16"/>
        </w:rPr>
        <w:softHyphen/>
        <w:t>варя 1944 года на Гороховецком полигоне закончились испытания КВ-85 с заводским № 3107, сня</w:t>
      </w:r>
      <w:r w:rsidRPr="007224C3">
        <w:rPr>
          <w:rFonts w:ascii="Times New Roman" w:hAnsi="Times New Roman"/>
          <w:color w:val="000000" w:themeColor="text1"/>
          <w:sz w:val="16"/>
          <w:szCs w:val="16"/>
        </w:rPr>
        <w:softHyphen/>
        <w:t>того с гарантийных испытаний, на который поставили 100-мм орудие М-34 (в некоторых доку</w:t>
      </w:r>
      <w:r w:rsidRPr="007224C3">
        <w:rPr>
          <w:rFonts w:ascii="Times New Roman" w:hAnsi="Times New Roman"/>
          <w:color w:val="000000" w:themeColor="text1"/>
          <w:sz w:val="16"/>
          <w:szCs w:val="16"/>
        </w:rPr>
        <w:softHyphen/>
        <w:t xml:space="preserve">ментах она именуется </w:t>
      </w:r>
      <w:r w:rsidRPr="007224C3">
        <w:rPr>
          <w:rFonts w:ascii="Times New Roman" w:hAnsi="Times New Roman"/>
          <w:color w:val="000000" w:themeColor="text1"/>
          <w:sz w:val="16"/>
          <w:szCs w:val="16"/>
          <w:lang w:val="en-US"/>
        </w:rPr>
        <w:t>KB</w:t>
      </w:r>
      <w:r w:rsidRPr="007224C3">
        <w:rPr>
          <w:rFonts w:ascii="Times New Roman" w:hAnsi="Times New Roman"/>
          <w:color w:val="000000" w:themeColor="text1"/>
          <w:sz w:val="16"/>
          <w:szCs w:val="16"/>
        </w:rPr>
        <w:t>-100), которые шли с 22 января.</w:t>
      </w:r>
    </w:p>
    <w:p w14:paraId="0B08C80C" w14:textId="77777777" w:rsidR="00D9700C" w:rsidRPr="007224C3" w:rsidRDefault="00D9700C" w:rsidP="007224C3">
      <w:pPr>
        <w:pStyle w:val="27"/>
        <w:shd w:val="clear" w:color="auto" w:fill="auto"/>
        <w:spacing w:after="0" w:line="240" w:lineRule="auto"/>
        <w:ind w:firstLine="0"/>
        <w:rPr>
          <w:rFonts w:ascii="Times New Roman" w:cs="Times New Roman"/>
          <w:color w:val="000000" w:themeColor="text1"/>
          <w:spacing w:val="0"/>
        </w:rPr>
      </w:pPr>
      <w:r w:rsidRPr="007224C3">
        <w:rPr>
          <w:rFonts w:ascii="Times New Roman" w:cs="Times New Roman"/>
          <w:color w:val="000000" w:themeColor="text1"/>
          <w:spacing w:val="0"/>
        </w:rPr>
        <w:t>В связи с тем, что пушка С-34 имела го</w:t>
      </w:r>
      <w:r w:rsidRPr="007224C3">
        <w:rPr>
          <w:rFonts w:ascii="Times New Roman" w:cs="Times New Roman"/>
          <w:color w:val="000000" w:themeColor="text1"/>
          <w:spacing w:val="0"/>
        </w:rPr>
        <w:softHyphen/>
        <w:t>ризонтальный полуавтоматический затвор, для удобства работы заряжающего его рабо</w:t>
      </w:r>
      <w:r w:rsidRPr="007224C3">
        <w:rPr>
          <w:rFonts w:ascii="Times New Roman" w:cs="Times New Roman"/>
          <w:color w:val="000000" w:themeColor="text1"/>
          <w:spacing w:val="0"/>
        </w:rPr>
        <w:softHyphen/>
        <w:t>чее место перенесли в левую часть башни, а места наводчика и командира - в правую. В связи с этим пришлось перенести и коман</w:t>
      </w:r>
      <w:r w:rsidRPr="007224C3">
        <w:rPr>
          <w:rFonts w:ascii="Times New Roman" w:cs="Times New Roman"/>
          <w:color w:val="000000" w:themeColor="text1"/>
          <w:spacing w:val="0"/>
        </w:rPr>
        <w:softHyphen/>
        <w:t>дирскую башенку — теперь она устанавлива</w:t>
      </w:r>
      <w:r w:rsidRPr="007224C3">
        <w:rPr>
          <w:rFonts w:ascii="Times New Roman" w:cs="Times New Roman"/>
          <w:color w:val="000000" w:themeColor="text1"/>
          <w:spacing w:val="0"/>
        </w:rPr>
        <w:softHyphen/>
        <w:t>лась на крыше башни справа.</w:t>
      </w:r>
    </w:p>
    <w:p w14:paraId="6AEF1FE4" w14:textId="77777777" w:rsidR="00D9700C" w:rsidRPr="007224C3" w:rsidRDefault="00D9700C" w:rsidP="007224C3">
      <w:pPr>
        <w:pStyle w:val="27"/>
        <w:shd w:val="clear" w:color="auto" w:fill="auto"/>
        <w:spacing w:after="0" w:line="240" w:lineRule="auto"/>
        <w:ind w:firstLine="0"/>
        <w:rPr>
          <w:rFonts w:ascii="Times New Roman" w:cs="Times New Roman"/>
          <w:color w:val="000000" w:themeColor="text1"/>
          <w:spacing w:val="0"/>
        </w:rPr>
      </w:pPr>
      <w:r w:rsidRPr="007224C3">
        <w:rPr>
          <w:rFonts w:ascii="Times New Roman" w:cs="Times New Roman"/>
          <w:color w:val="000000" w:themeColor="text1"/>
          <w:spacing w:val="0"/>
        </w:rPr>
        <w:t>Пушка С-34 имела длину ствола 55,9 ка</w:t>
      </w:r>
      <w:r w:rsidRPr="007224C3">
        <w:rPr>
          <w:rFonts w:ascii="Times New Roman" w:cs="Times New Roman"/>
          <w:color w:val="000000" w:themeColor="text1"/>
          <w:spacing w:val="0"/>
        </w:rPr>
        <w:softHyphen/>
        <w:t>либров, углы вертикального наведения со</w:t>
      </w:r>
      <w:r w:rsidRPr="007224C3">
        <w:rPr>
          <w:rFonts w:ascii="Times New Roman" w:cs="Times New Roman"/>
          <w:color w:val="000000" w:themeColor="text1"/>
          <w:spacing w:val="0"/>
        </w:rPr>
        <w:softHyphen/>
        <w:t>ставляли от -3 до +18,30 градусов. Мак</w:t>
      </w:r>
      <w:r w:rsidRPr="007224C3">
        <w:rPr>
          <w:rFonts w:ascii="Times New Roman" w:cs="Times New Roman"/>
          <w:color w:val="000000" w:themeColor="text1"/>
          <w:spacing w:val="0"/>
        </w:rPr>
        <w:softHyphen/>
        <w:t>симальная длина отката не превышала 450 мм. Орудие могло вести огонь унитар</w:t>
      </w:r>
      <w:r w:rsidRPr="007224C3">
        <w:rPr>
          <w:rFonts w:ascii="Times New Roman" w:cs="Times New Roman"/>
          <w:color w:val="000000" w:themeColor="text1"/>
          <w:spacing w:val="0"/>
        </w:rPr>
        <w:softHyphen/>
        <w:t>ными выстрелами с бронебойным и оско- лочно-фугасным снарядом. Бронебойный с начальной скоростью 900 м/с на даль</w:t>
      </w:r>
      <w:r w:rsidRPr="007224C3">
        <w:rPr>
          <w:rFonts w:ascii="Times New Roman" w:cs="Times New Roman"/>
          <w:color w:val="000000" w:themeColor="text1"/>
          <w:spacing w:val="0"/>
        </w:rPr>
        <w:softHyphen/>
        <w:t>ности 500 м пробивал 160 мм броню, уста</w:t>
      </w:r>
      <w:r w:rsidRPr="007224C3">
        <w:rPr>
          <w:rFonts w:ascii="Times New Roman" w:cs="Times New Roman"/>
          <w:color w:val="000000" w:themeColor="text1"/>
          <w:spacing w:val="0"/>
        </w:rPr>
        <w:softHyphen/>
        <w:t>новленную вертикально. Возимый боеком</w:t>
      </w:r>
      <w:r w:rsidRPr="007224C3">
        <w:rPr>
          <w:rFonts w:ascii="Times New Roman" w:cs="Times New Roman"/>
          <w:color w:val="000000" w:themeColor="text1"/>
          <w:spacing w:val="0"/>
        </w:rPr>
        <w:softHyphen/>
        <w:t xml:space="preserve">плект </w:t>
      </w:r>
      <w:r w:rsidRPr="007224C3">
        <w:rPr>
          <w:rFonts w:ascii="Times New Roman" w:cs="Times New Roman"/>
          <w:color w:val="000000" w:themeColor="text1"/>
          <w:spacing w:val="0"/>
          <w:lang w:val="en-US"/>
        </w:rPr>
        <w:t>KB</w:t>
      </w:r>
      <w:r w:rsidRPr="007224C3">
        <w:rPr>
          <w:rFonts w:ascii="Times New Roman" w:cs="Times New Roman"/>
          <w:color w:val="000000" w:themeColor="text1"/>
          <w:spacing w:val="0"/>
        </w:rPr>
        <w:t>-100 составлял 31 выстрел к пуш</w:t>
      </w:r>
      <w:r w:rsidRPr="007224C3">
        <w:rPr>
          <w:rFonts w:ascii="Times New Roman" w:cs="Times New Roman"/>
          <w:color w:val="000000" w:themeColor="text1"/>
          <w:spacing w:val="0"/>
        </w:rPr>
        <w:softHyphen/>
        <w:t>ке, 37 дисков к пулемету ДТ (2331 патрон) и 25 гранат Ф-1.</w:t>
      </w:r>
    </w:p>
    <w:p w14:paraId="72A75C1F" w14:textId="77777777" w:rsidR="00D9700C" w:rsidRPr="007224C3" w:rsidRDefault="00D9700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 заключение отчета об испытании </w:t>
      </w:r>
      <w:r w:rsidRPr="007224C3">
        <w:rPr>
          <w:rFonts w:ascii="Times New Roman" w:hAnsi="Times New Roman"/>
          <w:color w:val="000000" w:themeColor="text1"/>
          <w:sz w:val="16"/>
          <w:szCs w:val="16"/>
          <w:lang w:val="en-US"/>
        </w:rPr>
        <w:t>KB</w:t>
      </w:r>
      <w:r w:rsidRPr="007224C3">
        <w:rPr>
          <w:rFonts w:ascii="Times New Roman" w:hAnsi="Times New Roman"/>
          <w:color w:val="000000" w:themeColor="text1"/>
          <w:sz w:val="16"/>
          <w:szCs w:val="16"/>
        </w:rPr>
        <w:t>-100 говорилось, что 100-мм пушка С-34 после доработки и устранения недостатков может быть рекомендована для принятия на воору</w:t>
      </w:r>
      <w:r w:rsidRPr="007224C3">
        <w:rPr>
          <w:rFonts w:ascii="Times New Roman" w:hAnsi="Times New Roman"/>
          <w:color w:val="000000" w:themeColor="text1"/>
          <w:sz w:val="16"/>
          <w:szCs w:val="16"/>
        </w:rPr>
        <w:softHyphen/>
        <w:t>жение тяжелых танков и самоходок. Отме</w:t>
      </w:r>
      <w:r w:rsidRPr="007224C3">
        <w:rPr>
          <w:rFonts w:ascii="Times New Roman" w:hAnsi="Times New Roman"/>
          <w:color w:val="000000" w:themeColor="text1"/>
          <w:sz w:val="16"/>
          <w:szCs w:val="16"/>
        </w:rPr>
        <w:softHyphen/>
        <w:t>ченные недостатки в конструкции С-34 учли при изготовлении еше двух образцов этого орудия. В июне 1944 года они испытывались на танках ИС и Т-34 (15226).</w:t>
      </w:r>
    </w:p>
    <w:p w14:paraId="1985F97D" w14:textId="77777777" w:rsidR="00D9700C" w:rsidRPr="007224C3" w:rsidRDefault="00D9700C" w:rsidP="007224C3">
      <w:pPr>
        <w:spacing w:after="0" w:line="240" w:lineRule="auto"/>
        <w:jc w:val="both"/>
        <w:rPr>
          <w:rFonts w:ascii="Times New Roman" w:hAnsi="Times New Roman"/>
          <w:color w:val="000000" w:themeColor="text1"/>
          <w:sz w:val="16"/>
          <w:szCs w:val="16"/>
        </w:rPr>
      </w:pPr>
    </w:p>
    <w:p w14:paraId="4E08C912" w14:textId="77777777" w:rsidR="004D3DA4" w:rsidRPr="007224C3" w:rsidRDefault="004D3DA4" w:rsidP="007224C3">
      <w:pPr>
        <w:shd w:val="clear" w:color="auto" w:fill="FFFFFF"/>
        <w:spacing w:after="0" w:line="240" w:lineRule="auto"/>
        <w:jc w:val="both"/>
        <w:rPr>
          <w:rStyle w:val="631"/>
          <w:rFonts w:ascii="Times New Roman" w:hAnsi="Times New Roman" w:cs="Times New Roman"/>
          <w:color w:val="0070C0"/>
          <w:sz w:val="16"/>
          <w:szCs w:val="16"/>
        </w:rPr>
      </w:pPr>
      <w:r w:rsidRPr="007224C3">
        <w:rPr>
          <w:rStyle w:val="631"/>
          <w:rFonts w:ascii="Times New Roman" w:hAnsi="Times New Roman" w:cs="Times New Roman"/>
          <w:color w:val="0070C0"/>
          <w:sz w:val="16"/>
          <w:szCs w:val="16"/>
        </w:rPr>
        <w:t>28 января 1944 Д5-С-85А прошла успеш</w:t>
      </w:r>
      <w:r w:rsidRPr="007224C3">
        <w:rPr>
          <w:rStyle w:val="631"/>
          <w:rFonts w:ascii="Times New Roman" w:hAnsi="Times New Roman" w:cs="Times New Roman"/>
          <w:color w:val="0070C0"/>
          <w:sz w:val="16"/>
          <w:szCs w:val="16"/>
        </w:rPr>
        <w:softHyphen/>
        <w:t>ные испытания в СУ-85, после чего приняли решение о запуске орудия в серийное про</w:t>
      </w:r>
      <w:r w:rsidRPr="007224C3">
        <w:rPr>
          <w:rStyle w:val="631"/>
          <w:rFonts w:ascii="Times New Roman" w:hAnsi="Times New Roman" w:cs="Times New Roman"/>
          <w:color w:val="0070C0"/>
          <w:sz w:val="16"/>
          <w:szCs w:val="16"/>
        </w:rPr>
        <w:softHyphen/>
        <w:t>изводство. Первые орудия данного типа завод №8 сдал в феврале 1944 года. За этот месяц завод №9 сдал 139 пушек Д5-С-85, а завод №8 - 42, часть из которых была Д5-С- 85А. Самоходные установки с системами Д5- С-85А получили название СУ-85А, что также отражалось на серийном номере машины. Если машина оснащалась Д5-С-85А, то в конце серийного номера выбивалась буква «А» (19889).</w:t>
      </w:r>
    </w:p>
    <w:p w14:paraId="4216841E" w14:textId="77777777" w:rsidR="004D3DA4" w:rsidRPr="007224C3" w:rsidRDefault="004D3DA4" w:rsidP="007224C3">
      <w:pPr>
        <w:spacing w:after="0" w:line="240" w:lineRule="auto"/>
        <w:jc w:val="both"/>
        <w:rPr>
          <w:rFonts w:ascii="Times New Roman" w:hAnsi="Times New Roman"/>
          <w:color w:val="0070C0"/>
          <w:sz w:val="16"/>
          <w:szCs w:val="16"/>
        </w:rPr>
      </w:pPr>
    </w:p>
    <w:p w14:paraId="43C0FD5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января 1944 г. была подготовлена ДОКЛАДНАЯ ЗАПИСКА НАЧАЛЬНИКА ГБТУ КА КОМАНДУЮЩЕМУ БТ и МВ КА О ХОДЕ ИСПЫТАНИЙ САМОХОДНОЙ АРТИЛЛЕРИЙСКОЙ УСТАНОВКИ</w:t>
      </w:r>
    </w:p>
    <w:p w14:paraId="5DC4A12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Докладываю о ходе полигонных испытаний самоходной артиллерийской установки с 85-мм пушкой Д-5, конструкции ГАЗ им. Молотова.</w:t>
      </w:r>
    </w:p>
    <w:p w14:paraId="5B67B3E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Полигонные испытания начались по предъявлении заводом самоходной установки 3 января 1944 г.</w:t>
      </w:r>
    </w:p>
    <w:p w14:paraId="346E8BF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 время ходовых испытаний выявились серьезные дефекты двигателей: две поломки выхлоп</w:t>
      </w:r>
      <w:r w:rsidRPr="007224C3">
        <w:rPr>
          <w:rFonts w:ascii="Times New Roman" w:hAnsi="Times New Roman"/>
          <w:color w:val="000000" w:themeColor="text1"/>
          <w:sz w:val="16"/>
          <w:szCs w:val="16"/>
        </w:rPr>
        <w:softHyphen/>
        <w:t>ного клапана первого цилиндра заднего двигателя.</w:t>
      </w:r>
    </w:p>
    <w:p w14:paraId="0FFCB97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После пробега 380 км, заводом двигатели в самоходе были заменены.</w:t>
      </w:r>
    </w:p>
    <w:p w14:paraId="6D647E5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дальнейших ходовых испытаний двигатели снова вышли из строя.</w:t>
      </w:r>
    </w:p>
    <w:p w14:paraId="434FEDE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просьбе завода полигонные испытания самохода приостановлены.</w:t>
      </w:r>
    </w:p>
    <w:p w14:paraId="6C6795F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настоящее время ГАЗ им. Молотова ведет работу по замене двигателей, и самоход будет предъ</w:t>
      </w:r>
      <w:r w:rsidRPr="007224C3">
        <w:rPr>
          <w:rFonts w:ascii="Times New Roman" w:hAnsi="Times New Roman"/>
          <w:color w:val="000000" w:themeColor="text1"/>
          <w:sz w:val="16"/>
          <w:szCs w:val="16"/>
        </w:rPr>
        <w:softHyphen/>
        <w:t>явлен вновь на полигонные испытания в начале февраля 1944 г. без зачета ранее сделанных пробегов.</w:t>
      </w:r>
    </w:p>
    <w:p w14:paraId="5CF0B15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ГБТУ Красной Армии генерал-лейтенант танковых войск Вершинин</w:t>
      </w:r>
    </w:p>
    <w:p w14:paraId="18CF5E0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38. Оп. 11369. Д. 481. Л. 16. Подлинник (11403).</w:t>
      </w:r>
    </w:p>
    <w:p w14:paraId="6657C23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4FC34366"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января 1944 вышло Распоряжение ГКО № 5065 [О передаче на постоянную работу Владивостокскому порту 1 тыс. военнослужащих, не годных к строевой службе, из войск ДВФ.] (7180, 157).</w:t>
      </w:r>
    </w:p>
    <w:p w14:paraId="10FD8476"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8CF65A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января 1944 г. адмиралом Л. М. Галлером был утвержден предэскизный проект торпедного катера на воздушной подушке (пр. 171), разработанный под руководством В. И. Левкова, и на его основе ВМФ подготовил тактико-техническое задание на боевой торпедный КВП. Но на пути создания таких катеров стояло еще много научно-технических проблем, которые не могли быть решены быстро. По</w:t>
      </w:r>
      <w:r w:rsidRPr="007224C3">
        <w:rPr>
          <w:rFonts w:ascii="Times New Roman" w:hAnsi="Times New Roman"/>
          <w:color w:val="000000" w:themeColor="text1"/>
          <w:sz w:val="16"/>
          <w:szCs w:val="16"/>
        </w:rPr>
        <w:softHyphen/>
        <w:t>этому работы были продолжены уже после войны, а в 1954 г. в свя</w:t>
      </w:r>
      <w:r w:rsidRPr="007224C3">
        <w:rPr>
          <w:rFonts w:ascii="Times New Roman" w:hAnsi="Times New Roman"/>
          <w:color w:val="000000" w:themeColor="text1"/>
          <w:sz w:val="16"/>
          <w:szCs w:val="16"/>
        </w:rPr>
        <w:softHyphen/>
        <w:t>зи со смертью Левкова практически свернуты (3898).</w:t>
      </w:r>
    </w:p>
    <w:p w14:paraId="777AA54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22B1AA"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490694C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C85B3B1" w14:textId="77777777" w:rsidR="00D9700C" w:rsidRPr="007224C3" w:rsidRDefault="00D9700C"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 xml:space="preserve">28 января </w:t>
      </w:r>
      <w:r w:rsidRPr="007224C3">
        <w:rPr>
          <w:rFonts w:ascii="Times New Roman" w:hAnsi="Times New Roman"/>
          <w:color w:val="000000" w:themeColor="text1"/>
          <w:sz w:val="16"/>
          <w:szCs w:val="16"/>
        </w:rPr>
        <w:t>в 1944 году оперативная сводка Совинформбюро:</w:t>
      </w:r>
    </w:p>
    <w:p w14:paraId="504B3F47" w14:textId="77777777" w:rsidR="00D9700C" w:rsidRPr="007224C3" w:rsidRDefault="00D9700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28 января западнее, юго-западнее и южнее Гатчина наши войска, продолжая развивать наступление, с боями заняли более 50 населённых пунктов, в том числе Воронино, Старые Медуши, Савольщина, Синковицы, Голубовицы, Бегуницы, Артюшкино, Смедово, Черенковицы, Худанки, Арокюль, Княжево, Лисино, Хлоповицы, Заполье, Лиможа, Чёрная, Сосницы, Реполка, Тойво, Никольское, Кривоеколено, Меньково, Кобрино.</w:t>
      </w:r>
    </w:p>
    <w:p w14:paraId="71C7668C" w14:textId="77777777" w:rsidR="00D9700C" w:rsidRPr="007224C3" w:rsidRDefault="00D9700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Волховского фронта после упорных боёв овладели городом и важной железнодорожной станцией Любань и, продвигаясь вперёд, северо-западнее, западнееи южнее Любань овладели населёнными пунктами Пери, Рамболово, Мина, Лисино-Корпус, Сидорово, Усадище, Мельница, Лустовка, Гришкино, Каменка, Болотница, Варваринский, Кирково и железнодорожными станциями Померанье, Трубников Бор, Бабино и Торфяное.</w:t>
      </w:r>
    </w:p>
    <w:p w14:paraId="09B60E4F" w14:textId="77777777" w:rsidR="00D9700C" w:rsidRPr="007224C3" w:rsidRDefault="00D9700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и юго-западнее Новгорода наши войска продолжали наступление и овладели населёнными пунктами Жестяная Горка, Раглицы, Марино, Скачели, Огуркова, Мелковичи, Любенец, Голубково, Клевенец, Малые Угороды, Сосенка, Большие Угороды, Заречье, Ильмень, Старый Шимск и железнодорожными станциями Передольская, Кчера. Наши войска перерезали железную дорогу Батецкая-Дно.</w:t>
      </w:r>
    </w:p>
    <w:p w14:paraId="284FB382" w14:textId="77777777" w:rsidR="00D9700C" w:rsidRPr="007224C3" w:rsidRDefault="00D9700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Восточнее Винницы и севернее Христиновка наши войска продолжали отбивать атаки крупных сил пехоты и танков противника.</w:t>
      </w:r>
    </w:p>
    <w:p w14:paraId="14A64EA8" w14:textId="77777777" w:rsidR="00D9700C" w:rsidRPr="007224C3" w:rsidRDefault="00D9700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 разведка, артиллерийско-миномётная перестрелка и в ряде пунктов бои местного значения.</w:t>
      </w:r>
    </w:p>
    <w:p w14:paraId="4B2440FF" w14:textId="77777777" w:rsidR="00D9700C" w:rsidRPr="007224C3" w:rsidRDefault="00D9700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27 января наши войска на всех фронтах подбили и уничтожили 107 немецких танков. В воздушных боях и огнём зенитной артиллерии сбито 30 самолётов противника.</w:t>
      </w:r>
    </w:p>
    <w:p w14:paraId="48DE58CB" w14:textId="77777777" w:rsidR="00D9700C" w:rsidRPr="007224C3" w:rsidRDefault="00D9700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Ленинградского франта продолжали наступление и с боями заняли более 50 населённых пунктов. В происходивших вчера боях за город Волосово уничтожено до 1.500 гитлеровцев. Захвачены у немцев склады с боеприпасами и продовольствием. Юго-западнее города Гатчина наши части разгромили полк пехоты и артиллерийский дивизион противника. Захвачены трофеи, в числе которых 33 орудия разных калибров. Южнее Гатчина наши войска с боями продвигались вперёд и ворвались в один крупный населённый пункт. В этом же районе советские бойцы окружили батальон гитлеровцев. После непродолжительного боя многие немецкие солдаты сложили оружие и сдались в плен.</w:t>
      </w:r>
    </w:p>
    <w:p w14:paraId="15013BA4" w14:textId="77777777" w:rsidR="00D9700C" w:rsidRPr="007224C3" w:rsidRDefault="00D9700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Волховского фронта, продолжая наступление, сегодня в течение дня вели упорные боя в районе города Любань. Атаковав противника, наши бойцы выбили немцев из северо-западной части города. В это время другие наши части юго-восточнее Любань заняли железнодорожные станции Померанье, Трубников бор, Бабино и Торфяное. Последующими ударами советские войска разгромили противника и овладели городом и важной железнодорожной станцией Любань. Немецкий гарнизон,оборонявший город, в большей своей части уничтожен. Захвачено много вооружения, боеприпасов и различных военных материалов.</w:t>
      </w:r>
    </w:p>
    <w:p w14:paraId="6B59B886" w14:textId="77777777" w:rsidR="00D9700C" w:rsidRPr="007224C3" w:rsidRDefault="00D9700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и юго-западнее Новгорода наши войска развивали наступление. Преследуя и уничтожая дезорганизованные войска противника,.</w:t>
      </w:r>
    </w:p>
    <w:p w14:paraId="6C08E47D" w14:textId="77777777" w:rsidR="00D9700C" w:rsidRPr="007224C3" w:rsidRDefault="00D9700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части Н-ского соединения овладели железнодорожными станциями Передольская и Кчера и тем самым перерезали железною дорогу Батецкая-Дно. Танкисты под командованием старшего лейтенанта Горохова с десантом автоматчиков под командованием лейтенанта Пчельникова ворвались в важный опорный пункт противника. Советские бойцы истребили две роты гитлеровцев и захватили 6 орудий, 9 тяжёлых миномётов, батарею зенитных орудий, 16 автомашин и склад боеприпасов. Наши подвижные отряды под командованием тт. Корнева и Демидова прорвались в тылы противника и оседлали шоссейную дорогу, по которой отступали вражеские части. Внезапно напав на немецкую колонну, наши бойцы захватили 50 автомашин с грузами.</w:t>
      </w:r>
    </w:p>
    <w:p w14:paraId="2C327A56" w14:textId="77777777" w:rsidR="00D9700C" w:rsidRPr="007224C3" w:rsidRDefault="00D9700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Восточнее Винницы противник, не считаясь с огромными потерями, бросал в бой крупные силы пехоты и танков. Наступавшие немцы вначале были обстреляны сосредоточенным артиллерийским огнём. Затем наши танкисты с фланга нанесли внезапный удар и опрокинули противника. Немцы отступили, оставив на поле боя 1.200 трупов своих солдат и офицеров. Подбито и сожжено 65 немецких танков и самоходных орудий, 9 бронемашин и 18 бронетранспортёров. Севернее Христиновки неоднократные атаки гитлеровцев также не имели успеха.</w:t>
      </w:r>
    </w:p>
    <w:p w14:paraId="278BF083" w14:textId="77777777" w:rsidR="00D9700C" w:rsidRPr="007224C3" w:rsidRDefault="00D9700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Партизанский отряд, действующий в одном из районов Ленинградской области, в ночь на 20 января произвёл налёт на немецкий гарнизон, охранявший железнодорожную станцию. В ожесточённой схватке партизаны разгромили гитлеровцеви прервали движение поездов по железной дороге, идущей к линии фронта. Другой отряд ленинградских партизан с 15 по 22 января разрушил 15 километров железнодорожного полотна и пустил под откос 4 немецких воинских эшелона. Разбито 4 паровоза и 65 вагонов с войсками, боеприпасами и вооружением.</w:t>
      </w:r>
    </w:p>
    <w:p w14:paraId="3E969F11" w14:textId="77777777" w:rsidR="00D9700C" w:rsidRPr="007224C3" w:rsidRDefault="00D9700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Пленный обер-ефрейтор 13 роты пехотных орудий 315 полка 167 немецкой пехотнойдивизии Гейнц Нюренберг рассказал: «В летних и осенних боях части 167 пехотной дивизии понесли огромные потери в людях и технике. Дивизия получила крупные пополнения, и нам дали приказ любой ценой удержать свои позиции. Однако, когда русские двинулись на нас, солдаты бросили орудия и побежали. У второй линии обороны офицеры остановили бежавших. Командир полка приказал расстреливать на месте всякого, кто самовольно оставит позиции. Но и этот приказ не возымел действия. Когда показались русские танки, снова началась невообразимая паника. Полк был разгромлен. Мы с группой солдат решили остаться в окопе и сдались в плен русским».</w:t>
      </w:r>
    </w:p>
    <w:p w14:paraId="336121F9" w14:textId="77777777" w:rsidR="00D9700C" w:rsidRPr="007224C3" w:rsidRDefault="00D9700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Жители города Сарны составили акт о зверствах немецко-фашистских мерзавцев. В акте говорится: «Немецкие бандиты расстреляли и замучили 13 тысяч жителей нашего города и окрестных сёл. Гитлеровские палачи растерзали в застенках гестапо 23 медицинских работников. Зверскую расправу учинили немцы над священниками Петром Калиновичем и Александром Кухарским. Фашистские изверги облили их смолой и сожгли на костре. Ксендза Людвига Врадарчика гитлеровцы расстреляли. Более тысячи юношей и девушек немцы угнали на каторгу в Германию. Отступая из города, фашистские варвары разрушили и сожгли около 400 домов, разгромили туберкулёзный диспансер, детский дом, поликлинику и все школьные здания».</w:t>
      </w:r>
    </w:p>
    <w:p w14:paraId="30611C48" w14:textId="77777777" w:rsidR="00D9700C" w:rsidRPr="007224C3" w:rsidRDefault="00D9700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Акт подписали жители города Сарны: врачи Н.Тощевиков, А.Гамалицкий,учительница А.Пилотовская, священник Г.Палии и другие (15023).</w:t>
      </w:r>
    </w:p>
    <w:p w14:paraId="1886D34B" w14:textId="77777777" w:rsidR="00D9700C" w:rsidRPr="007224C3" w:rsidRDefault="00D9700C" w:rsidP="007224C3">
      <w:pPr>
        <w:spacing w:after="0" w:line="240" w:lineRule="auto"/>
        <w:jc w:val="both"/>
        <w:rPr>
          <w:rFonts w:ascii="Times New Roman" w:hAnsi="Times New Roman"/>
          <w:color w:val="000000" w:themeColor="text1"/>
          <w:sz w:val="16"/>
          <w:szCs w:val="16"/>
        </w:rPr>
      </w:pPr>
    </w:p>
    <w:p w14:paraId="0764B59F" w14:textId="77777777" w:rsidR="00792F77" w:rsidRPr="007224C3" w:rsidRDefault="00792F77" w:rsidP="007224C3">
      <w:pPr>
        <w:pStyle w:val="ae"/>
        <w:spacing w:before="0" w:after="0"/>
        <w:jc w:val="both"/>
        <w:textAlignment w:val="baseline"/>
        <w:rPr>
          <w:color w:val="000000" w:themeColor="text1"/>
          <w:sz w:val="16"/>
          <w:szCs w:val="16"/>
        </w:rPr>
      </w:pPr>
      <w:r w:rsidRPr="007224C3">
        <w:rPr>
          <w:color w:val="000000" w:themeColor="text1"/>
          <w:sz w:val="16"/>
          <w:szCs w:val="16"/>
        </w:rPr>
        <w:t>28 января 1944 года. В этот день в 16:35 группа из 35 немецких танков во взаимодействии с пехотой двинулась в сторону совхоза им. Тельмана. По советским сведениям, в атаке участвовала 1-я танковая дивизия СС. Совхоз обороняло 60 человек с приданными им двумя КВ-85 и двумя СУ-122 под командованием старшего лейтенанта И.Л. Подуста. По советским данным, после трёх атак на совхоз немцы не досчитались пяти Pz.Kpfw.Tiger Ausf.E, двух Pz.Kpfw.IV, трёх Pz.Kpfw.III, семи бронетранспортёров и шести противотанковых орудий. Видя, что противник решил окружить совхоз, Подуст вывел обороняющихся из окружения. За этот бой он получил орден Красного Знамени.</w:t>
      </w:r>
    </w:p>
    <w:p w14:paraId="3D985247" w14:textId="77777777" w:rsidR="00792F77" w:rsidRPr="007224C3" w:rsidRDefault="00792F77" w:rsidP="007224C3">
      <w:pPr>
        <w:pStyle w:val="ae"/>
        <w:spacing w:before="0" w:after="0"/>
        <w:jc w:val="both"/>
        <w:textAlignment w:val="baseline"/>
        <w:rPr>
          <w:color w:val="000000" w:themeColor="text1"/>
          <w:sz w:val="16"/>
          <w:szCs w:val="16"/>
        </w:rPr>
      </w:pPr>
      <w:r w:rsidRPr="007224C3">
        <w:rPr>
          <w:color w:val="000000" w:themeColor="text1"/>
          <w:sz w:val="16"/>
          <w:szCs w:val="16"/>
        </w:rPr>
        <w:t>Особенно отличился экипаж КВ-85 под командованием лейтенанта С.И. Кулешова, уничтоживший 2 «Тигра» и 1 Pz.Kpfw.IV. При попытке немецкой пехоты вплотную подойти к танкам машина Кулешова гусеницами перемолотила примерно 15 человек, остальные разбежались. Наградой за бой стал орден Отечественной войны II степени. Ещё один «Тигр» оказался на счету СУ-122 под командованием гвардии лейтенанта В.Ф. Михеева.</w:t>
      </w:r>
    </w:p>
    <w:p w14:paraId="17994C81" w14:textId="77777777" w:rsidR="00792F77" w:rsidRPr="007224C3" w:rsidRDefault="00792F77" w:rsidP="007224C3">
      <w:pPr>
        <w:spacing w:after="0" w:line="240" w:lineRule="auto"/>
        <w:jc w:val="both"/>
        <w:rPr>
          <w:rFonts w:ascii="Times New Roman" w:hAnsi="Times New Roman"/>
          <w:color w:val="000000" w:themeColor="text1"/>
          <w:sz w:val="16"/>
          <w:szCs w:val="16"/>
        </w:rPr>
      </w:pPr>
    </w:p>
    <w:p w14:paraId="6F18BB1D" w14:textId="77777777" w:rsidR="00D9700C" w:rsidRPr="007224C3" w:rsidRDefault="00D9700C"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 xml:space="preserve">28 января </w:t>
      </w:r>
      <w:r w:rsidRPr="007224C3">
        <w:rPr>
          <w:rFonts w:ascii="Times New Roman" w:hAnsi="Times New Roman"/>
          <w:color w:val="000000" w:themeColor="text1"/>
          <w:sz w:val="16"/>
          <w:szCs w:val="16"/>
        </w:rPr>
        <w:t>в 1944 году ударные группировки 1-го и 2-го Украинских фронтов соединились в районе Звенигородки, завершив окружение корсунь-шевченковской группировки противника (15023).</w:t>
      </w:r>
    </w:p>
    <w:p w14:paraId="22CF47F7" w14:textId="77777777" w:rsidR="00D9700C" w:rsidRPr="007224C3" w:rsidRDefault="00D9700C" w:rsidP="007224C3">
      <w:pPr>
        <w:spacing w:after="0" w:line="240" w:lineRule="auto"/>
        <w:jc w:val="both"/>
        <w:rPr>
          <w:rFonts w:ascii="Times New Roman" w:hAnsi="Times New Roman"/>
          <w:color w:val="000000" w:themeColor="text1"/>
          <w:sz w:val="16"/>
          <w:szCs w:val="16"/>
        </w:rPr>
      </w:pPr>
    </w:p>
    <w:p w14:paraId="05088F19" w14:textId="77777777" w:rsidR="00D9700C" w:rsidRPr="007224C3" w:rsidRDefault="00D9700C"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 xml:space="preserve">28 января </w:t>
      </w:r>
      <w:r w:rsidRPr="007224C3">
        <w:rPr>
          <w:rFonts w:ascii="Times New Roman" w:hAnsi="Times New Roman"/>
          <w:color w:val="000000" w:themeColor="text1"/>
          <w:sz w:val="16"/>
          <w:szCs w:val="16"/>
        </w:rPr>
        <w:t>в 1944 году безуспешные попытки немецких войск деблокировать корсунь-шевченковскую группировку (15023).</w:t>
      </w:r>
    </w:p>
    <w:p w14:paraId="346666AF" w14:textId="77777777" w:rsidR="00D9700C" w:rsidRPr="007224C3" w:rsidRDefault="00D9700C" w:rsidP="007224C3">
      <w:pPr>
        <w:spacing w:after="0" w:line="240" w:lineRule="auto"/>
        <w:jc w:val="both"/>
        <w:rPr>
          <w:rFonts w:ascii="Times New Roman" w:hAnsi="Times New Roman"/>
          <w:color w:val="000000" w:themeColor="text1"/>
          <w:sz w:val="16"/>
          <w:szCs w:val="16"/>
        </w:rPr>
      </w:pPr>
    </w:p>
    <w:p w14:paraId="577E0EA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January 28, 1944: In the Ukraine, the Red Army succeeds in encircling several German divisions in the area of Tcherkassy (3819).</w:t>
      </w:r>
    </w:p>
    <w:p w14:paraId="1A06118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5DAA26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января 1944 был закрыт Корсунь-Шевченковский котел (2070,178).</w:t>
      </w:r>
    </w:p>
    <w:p w14:paraId="5F965FF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ECEA2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января 1944 1ПбФ (И.Х.Баграмян) и БФ (В.Ф.Трибуц) освободили Клайпеду (Мемель) (3398,48).</w:t>
      </w:r>
    </w:p>
    <w:p w14:paraId="69DF254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A598C4"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Жизнь и внутренняя политика:</w:t>
      </w:r>
    </w:p>
    <w:p w14:paraId="5BE262B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6F27D5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28 января по 1 февраля состоялась 10 сессия ВС СССР и НКО и НКИД были преобразован из союзных в союзно-республиканские (3907,368).</w:t>
      </w:r>
    </w:p>
    <w:p w14:paraId="6FC06C6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0B3216" w14:textId="77777777" w:rsidR="00D9700C" w:rsidRPr="007224C3" w:rsidRDefault="00D9700C"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 xml:space="preserve">28 января </w:t>
      </w:r>
      <w:r w:rsidRPr="007224C3">
        <w:rPr>
          <w:rFonts w:ascii="Times New Roman" w:hAnsi="Times New Roman"/>
          <w:color w:val="000000" w:themeColor="text1"/>
          <w:sz w:val="16"/>
          <w:szCs w:val="16"/>
        </w:rPr>
        <w:t>в 1944 году (28 января-1 февраля) Х сессия Верховного Совета СССР. Принятие законов о Государственном бюджете СССР на 1944 г., преобразовании Народного комиссариата обороны и Народного комиссариата иностранных дел из общесоюзных в союзно-республиканские народные комиссариаты (15023).</w:t>
      </w:r>
    </w:p>
    <w:p w14:paraId="7C8D5646" w14:textId="77777777" w:rsidR="00D9700C" w:rsidRPr="007224C3" w:rsidRDefault="00D9700C" w:rsidP="007224C3">
      <w:pPr>
        <w:spacing w:after="0" w:line="240" w:lineRule="auto"/>
        <w:jc w:val="both"/>
        <w:rPr>
          <w:rFonts w:ascii="Times New Roman" w:hAnsi="Times New Roman"/>
          <w:color w:val="000000" w:themeColor="text1"/>
          <w:sz w:val="16"/>
          <w:szCs w:val="16"/>
        </w:rPr>
      </w:pPr>
    </w:p>
    <w:p w14:paraId="5533A4EE" w14:textId="77777777" w:rsidR="00D9700C"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394B0EB6" w14:textId="77777777" w:rsidR="00D9700C" w:rsidRPr="007224C3" w:rsidRDefault="00D9700C"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EA452BC" w14:textId="77777777" w:rsidR="004D3DA4" w:rsidRPr="007224C3" w:rsidRDefault="004D3DA4"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28 января 1944 54 бомбардировщика 8-й воздушной армии в сопровождении 122 истребителей без потерь наносят удар по объекту ФАУ-1 в Боннере, Франция (20373).</w:t>
      </w:r>
    </w:p>
    <w:p w14:paraId="2106C426" w14:textId="77777777" w:rsidR="004D3DA4" w:rsidRPr="007224C3" w:rsidRDefault="004D3DA4" w:rsidP="007224C3">
      <w:pPr>
        <w:spacing w:after="0" w:line="240" w:lineRule="auto"/>
        <w:jc w:val="both"/>
        <w:rPr>
          <w:rFonts w:ascii="Times New Roman" w:hAnsi="Times New Roman"/>
          <w:color w:val="0070C0"/>
          <w:sz w:val="16"/>
          <w:szCs w:val="16"/>
        </w:rPr>
      </w:pPr>
    </w:p>
    <w:p w14:paraId="1B9FB515" w14:textId="77777777" w:rsidR="004D3DA4" w:rsidRPr="007224C3" w:rsidRDefault="004D3DA4"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28–29 января (ночь) 1944 677 британских бомбардировщиков атакуют Берлин. Немецкие ночные истребители перехватывают их над целью, и 46 бомбардировщиков (6,8% сил) потеряны. Бомбы поражают западный и южный Берлин, но также разлетаются достаточно, чтобы поразить 77 других территорий (20373).</w:t>
      </w:r>
    </w:p>
    <w:p w14:paraId="58F2A0D9" w14:textId="77777777" w:rsidR="004D3DA4" w:rsidRPr="007224C3" w:rsidRDefault="004D3DA4" w:rsidP="007224C3">
      <w:pPr>
        <w:spacing w:after="0" w:line="240" w:lineRule="auto"/>
        <w:jc w:val="both"/>
        <w:rPr>
          <w:rFonts w:ascii="Times New Roman" w:hAnsi="Times New Roman"/>
          <w:color w:val="0070C0"/>
          <w:sz w:val="16"/>
          <w:szCs w:val="16"/>
        </w:rPr>
      </w:pPr>
    </w:p>
    <w:p w14:paraId="6F1183D7" w14:textId="77777777" w:rsidR="004D3DA4" w:rsidRPr="007224C3" w:rsidRDefault="004D3DA4"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28–29 января (ночь) 1944 Впервые используется Pathfinder для поддержки самолетов RAF Bomber Commandю Четыре Pathfinder самолета помогли 63 Шорт Stirlings сбросив морские мины в Киле, Германия (20373).</w:t>
      </w:r>
    </w:p>
    <w:p w14:paraId="0DFBB53C" w14:textId="77777777" w:rsidR="004D3DA4" w:rsidRPr="007224C3" w:rsidRDefault="004D3DA4" w:rsidP="007224C3">
      <w:pPr>
        <w:spacing w:after="0" w:line="240" w:lineRule="auto"/>
        <w:jc w:val="both"/>
        <w:rPr>
          <w:rFonts w:ascii="Times New Roman" w:hAnsi="Times New Roman"/>
          <w:color w:val="0070C0"/>
          <w:sz w:val="16"/>
          <w:szCs w:val="16"/>
        </w:rPr>
      </w:pPr>
    </w:p>
    <w:p w14:paraId="0F802434" w14:textId="77777777" w:rsidR="00D9700C" w:rsidRPr="007224C3" w:rsidRDefault="00D9700C"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 xml:space="preserve">28 января </w:t>
      </w:r>
      <w:r w:rsidRPr="007224C3">
        <w:rPr>
          <w:rFonts w:ascii="Times New Roman" w:hAnsi="Times New Roman"/>
          <w:color w:val="000000" w:themeColor="text1"/>
          <w:sz w:val="16"/>
          <w:szCs w:val="16"/>
        </w:rPr>
        <w:t>в 1944 году (28 января-3 февраля) попытки немецких войск ликвидировать союзнический десант в районе Анцио. Американские войска были вынуждены перейти к обороне (15023).</w:t>
      </w:r>
    </w:p>
    <w:p w14:paraId="41F98854" w14:textId="77777777" w:rsidR="00D9700C" w:rsidRPr="007224C3" w:rsidRDefault="00D9700C" w:rsidP="007224C3">
      <w:pPr>
        <w:spacing w:after="0" w:line="240" w:lineRule="auto"/>
        <w:jc w:val="both"/>
        <w:rPr>
          <w:rFonts w:ascii="Times New Roman" w:hAnsi="Times New Roman"/>
          <w:color w:val="000000" w:themeColor="text1"/>
          <w:sz w:val="16"/>
          <w:szCs w:val="16"/>
        </w:rPr>
      </w:pPr>
    </w:p>
    <w:p w14:paraId="1CEFC327"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351E715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E4E85C9" w14:textId="77777777" w:rsidR="004D3DA4" w:rsidRPr="007224C3" w:rsidRDefault="004D3DA4"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29 января 1944 при пробе мотора АМ-42 на Су-6 «потек водяной радиатор», который срочно от</w:t>
      </w:r>
      <w:r w:rsidRPr="007224C3">
        <w:rPr>
          <w:rFonts w:ascii="Times New Roman" w:hAnsi="Times New Roman"/>
          <w:color w:val="0070C0"/>
          <w:sz w:val="16"/>
          <w:szCs w:val="16"/>
        </w:rPr>
        <w:softHyphen/>
        <w:t>правили на радиаторный завод для ре</w:t>
      </w:r>
      <w:r w:rsidRPr="007224C3">
        <w:rPr>
          <w:rFonts w:ascii="Times New Roman" w:hAnsi="Times New Roman"/>
          <w:color w:val="0070C0"/>
          <w:sz w:val="16"/>
          <w:szCs w:val="16"/>
        </w:rPr>
        <w:softHyphen/>
        <w:t>монта. Работы на самолете фактически встали, так как к этому времени устранили все замечания согласно перечню измене</w:t>
      </w:r>
      <w:r w:rsidRPr="007224C3">
        <w:rPr>
          <w:rFonts w:ascii="Times New Roman" w:hAnsi="Times New Roman"/>
          <w:color w:val="0070C0"/>
          <w:sz w:val="16"/>
          <w:szCs w:val="16"/>
        </w:rPr>
        <w:softHyphen/>
        <w:t>ний из акта государственных испытаний (19853).</w:t>
      </w:r>
    </w:p>
    <w:p w14:paraId="756F30C1" w14:textId="77777777" w:rsidR="004D3DA4" w:rsidRPr="007224C3" w:rsidRDefault="004D3DA4" w:rsidP="007224C3">
      <w:pPr>
        <w:spacing w:after="0" w:line="240" w:lineRule="auto"/>
        <w:jc w:val="both"/>
        <w:rPr>
          <w:rFonts w:ascii="Times New Roman" w:hAnsi="Times New Roman"/>
          <w:color w:val="0070C0"/>
          <w:sz w:val="16"/>
          <w:szCs w:val="16"/>
          <w:lang w:val="ru"/>
        </w:rPr>
      </w:pPr>
    </w:p>
    <w:p w14:paraId="6BEE8C4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29 января 1944 года начальник НИИ ВВС генерал-лейтенант инженерно-авиационной службы Лосюков и начальник 3 отдела НИИ ВВС инженер-полковник Сафронов </w:t>
      </w:r>
      <w:r w:rsidRPr="007224C3">
        <w:rPr>
          <w:rFonts w:ascii="Times New Roman" w:hAnsi="Times New Roman"/>
          <w:color w:val="000000" w:themeColor="text1"/>
          <w:sz w:val="16"/>
          <w:szCs w:val="16"/>
        </w:rPr>
        <w:lastRenderedPageBreak/>
        <w:t>писали письмо N 3/0152 гл. инженеру ВВС генерал-полковнику инженерно-авиационной службы Репину А.К., Шахурину, гл. конструктору генерал-лейтенанту ИАС Яковлеву.</w:t>
      </w:r>
    </w:p>
    <w:p w14:paraId="3987E3F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Докладываю о ходе испытания самолета Як-9у с М-105ПФ.</w:t>
      </w:r>
    </w:p>
    <w:p w14:paraId="2D4278A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прибыл в НИИ ВВС 2 января 1944 года. Работы на самолете начаты в тот же день. Ввиду отсутствия летной погоды на самолете производились наземные работы: осмотр, взвешивание, подготовка вооружения.</w:t>
      </w:r>
    </w:p>
    <w:p w14:paraId="6A1AFE9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5 января 1944 года по 12 января 1944 года начат отстрел вооружения на земле, принявший затяжной характер в связи с поломками пушек ВЯ (за это время было сменено 2 пушки) и наличием значительного количества недоработок.</w:t>
      </w:r>
    </w:p>
    <w:p w14:paraId="28A6175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 это вынудило прекратить временно дальнейшие испытания вооружения.</w:t>
      </w:r>
    </w:p>
    <w:p w14:paraId="06D928D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12 января 1944 года по 18 января 1944 года, заводом N 115 доводились установки вооружения, причем одновременно устранялись и некоторые дефекты по планеру и ВМГ (вывод трубки суфлера за капот, неуборка хвостового колеса, тряска мотора из-за плохой балансировки винта).</w:t>
      </w:r>
    </w:p>
    <w:p w14:paraId="54006C3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января 1944 года производился отстрел вооружения после доводок установок.</w:t>
      </w:r>
    </w:p>
    <w:p w14:paraId="2F45397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Вновь выявлен крупный дефект - деформация взрывателей снарядов ВЯ в патронном рукаве.</w:t>
      </w:r>
    </w:p>
    <w:p w14:paraId="0DBAC49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18 января 1944 года по 22 января 1944 года заводом N 115 заменялась передняя верхняя крышка капота мотора, газоотводные трубы (установлены большого диаметра), кронштейны их и несколько изменен патронный рукав ВЯ.</w:t>
      </w:r>
    </w:p>
    <w:p w14:paraId="511431A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января 1944 года возобновлен отстрел вооружения. Установки пулеметов УВС работали хорошо, но новый капот опять деформировался. Деформация взрывателей снарядов ВЯ, произвеленными заводом мелкими переделками, не устранена.</w:t>
      </w:r>
    </w:p>
    <w:p w14:paraId="0EC12C2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22 января 1944 года производилось новое усиление передней верхней крышки капота и конструктивно переделывается патронный рукав ВЯ.</w:t>
      </w:r>
    </w:p>
    <w:p w14:paraId="23C8C51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Увеличение диаметра газоотводных труб пулеметов вызвало изменение лотков капота, которые стали ложиться на расширительный бачек был вмят на 5 мм.</w:t>
      </w:r>
    </w:p>
    <w:p w14:paraId="683ED2A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Отстрел вооружения возобновится после окончания изготовления нового патронного рукава ВЯ.</w:t>
      </w:r>
    </w:p>
    <w:p w14:paraId="4D24712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26 января 1944 года произведен следующий настрел из установок оружия: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5106D0" w:rsidRPr="007224C3" w14:paraId="60590F59" w14:textId="77777777">
        <w:tc>
          <w:tcPr>
            <w:tcW w:w="5636" w:type="dxa"/>
          </w:tcPr>
          <w:p w14:paraId="0A1634F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 ВЯ</w:t>
            </w:r>
          </w:p>
        </w:tc>
        <w:tc>
          <w:tcPr>
            <w:tcW w:w="5636" w:type="dxa"/>
          </w:tcPr>
          <w:p w14:paraId="10F9F5D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1231 выстрел</w:t>
            </w:r>
          </w:p>
        </w:tc>
      </w:tr>
      <w:tr w:rsidR="005106D0" w:rsidRPr="007224C3" w14:paraId="25DEA099" w14:textId="77777777">
        <w:tc>
          <w:tcPr>
            <w:tcW w:w="5636" w:type="dxa"/>
          </w:tcPr>
          <w:p w14:paraId="53AEA5C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 правого УБС</w:t>
            </w:r>
          </w:p>
        </w:tc>
        <w:tc>
          <w:tcPr>
            <w:tcW w:w="5636" w:type="dxa"/>
          </w:tcPr>
          <w:p w14:paraId="6E1B3C2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1896 выстрелов</w:t>
            </w:r>
          </w:p>
        </w:tc>
      </w:tr>
      <w:tr w:rsidR="005106D0" w:rsidRPr="007224C3" w14:paraId="0FC07A78" w14:textId="77777777">
        <w:tc>
          <w:tcPr>
            <w:tcW w:w="5636" w:type="dxa"/>
          </w:tcPr>
          <w:p w14:paraId="68C3C28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 левого УБС</w:t>
            </w:r>
          </w:p>
        </w:tc>
        <w:tc>
          <w:tcPr>
            <w:tcW w:w="5636" w:type="dxa"/>
          </w:tcPr>
          <w:p w14:paraId="390BAB8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1797 выстрелов.</w:t>
            </w:r>
          </w:p>
        </w:tc>
      </w:tr>
    </w:tbl>
    <w:p w14:paraId="6626FCF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процессе испытаний были заменены 4 пушки ВЯ из-за поломок: ствольной коробки, сапожков ползуна (2 случая), клина запирания и затвора.</w:t>
      </w:r>
    </w:p>
    <w:p w14:paraId="00C2C85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это время произведено 7 полетов.</w:t>
      </w:r>
    </w:p>
    <w:p w14:paraId="4B8BEE0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3 полетах задания не выполнены, так как тряс мотор.</w:t>
      </w:r>
    </w:p>
    <w:p w14:paraId="523715C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полета были на километраж.</w:t>
      </w:r>
    </w:p>
    <w:p w14:paraId="264C329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 января прибыл с завода N 115 новый винт; с этим винтом мотор работает нормально.</w:t>
      </w:r>
    </w:p>
    <w:p w14:paraId="543C970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января сделан 1 полет на снятие летных характеристик.</w:t>
      </w:r>
    </w:p>
    <w:p w14:paraId="337AC3C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полетах выявлен дефект: выхлопные газы 4 цилиндра левого блока попадают под капот на карбюратор и в кабину летчика.</w:t>
      </w:r>
    </w:p>
    <w:p w14:paraId="07B59A2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Летные испытания задерживаются из-за отсутствия летной погоды (1821,34).</w:t>
      </w:r>
    </w:p>
    <w:p w14:paraId="5CE6F95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F7990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января 1944 закончились заводские испытания Як-3-2 с ВК107А смешанной конструкции, которые проводились с 25 января 1944. Сделали 5 полетов продолжительностью 1:45. Потом был перерыв до 13 июля 1944 в связи с поломкой (65,187).</w:t>
      </w:r>
    </w:p>
    <w:p w14:paraId="6CB5898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6951BE" w14:textId="77777777" w:rsidR="00D9700C" w:rsidRPr="007224C3" w:rsidRDefault="00D9700C" w:rsidP="007224C3">
      <w:pPr>
        <w:spacing w:after="0" w:line="240" w:lineRule="auto"/>
        <w:jc w:val="both"/>
        <w:rPr>
          <w:rFonts w:ascii="Times New Roman" w:hAnsi="Times New Roman"/>
          <w:color w:val="000000" w:themeColor="text1"/>
          <w:sz w:val="16"/>
          <w:szCs w:val="16"/>
        </w:rPr>
      </w:pPr>
      <w:r w:rsidRPr="007224C3">
        <w:rPr>
          <w:rStyle w:val="ucoz-forum-post"/>
          <w:rFonts w:ascii="Times New Roman" w:hAnsi="Times New Roman"/>
          <w:color w:val="000000" w:themeColor="text1"/>
          <w:sz w:val="16"/>
          <w:szCs w:val="16"/>
        </w:rPr>
        <w:t xml:space="preserve">29 января </w:t>
      </w:r>
      <w:r w:rsidRPr="007224C3">
        <w:rPr>
          <w:rFonts w:ascii="Times New Roman" w:hAnsi="Times New Roman"/>
          <w:color w:val="000000" w:themeColor="text1"/>
          <w:sz w:val="16"/>
          <w:szCs w:val="16"/>
        </w:rPr>
        <w:t>в 1944 году закончены заводские испытания (летчик П.Я.Федрови, ведущий инженер Е.Г.Адлер, механик М.М.Щипанов) второго прототипа «Як-З» «Дублер» с двигателем «ВК-107А». Произведено пять полетов общей продолжительностью 1 ч 45 мин., были устранены многие дефекты, выявленные на экземпляре N1. Государственные испытания, которые проходил "Дублер", проводились в два этапа: основные - с 7 февраля по 15 мая 1944 г. и дополнительные (после устранения дефектов) - с 13 июля по 29 августа 1944 г. Всего было выполнено 44 полета общей продолжительностью 25 ч 41 мин. По результатам госиспытаний было сделано следующее заключение: «Як-З» с двигателем «ВК-107А» по основным летно-тактическим данным в диапазоне высот от земли до практического потолка 11 800 м является лучшим из известных отечественных и иностранных истребителей. Самолет с такими данными необходим для вооружения ВВС СА. Hо, далее отмечалось, что большое число серьезных дефектов, особенно по ВМГ, требует доводки самолета до внедрения его в серийное производство (15024).</w:t>
      </w:r>
    </w:p>
    <w:p w14:paraId="62718FE8" w14:textId="77777777" w:rsidR="00D9700C" w:rsidRPr="007224C3" w:rsidRDefault="00D9700C" w:rsidP="007224C3">
      <w:pPr>
        <w:spacing w:after="0" w:line="240" w:lineRule="auto"/>
        <w:jc w:val="both"/>
        <w:rPr>
          <w:rFonts w:ascii="Times New Roman" w:hAnsi="Times New Roman"/>
          <w:color w:val="000000" w:themeColor="text1"/>
          <w:sz w:val="16"/>
          <w:szCs w:val="16"/>
        </w:rPr>
      </w:pPr>
    </w:p>
    <w:p w14:paraId="39AAA5B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января 1944 года закончились заводские испытания Як-3 ВК-107А "Дублер", которые шли с 25 января и показали, что основные дефекты, выявленные на первом прототипе, устранены и самолет может быть предъявлен на государственные испытания. 22 января 1944 года, на аэродром выкатили второй прототип Як-3 ВК-107А "Дублер", как тогда было принято называть такие машины. На этом самолете изначально, еще на стадии проектирования и постройки, применили все технические решения, ставшие основой для переделок первого опытного экземпляра машины. Радикальным изменениям подверглись только фонарь кабины пилота, которому придали более обтекаемую форму, и установка вооружения с двумя опытными синхронными пушками Б-20. При этом полетный вес второго прототипа по сравнению с предшественником практически не изменился - 2932 кг. Соответственно одинаковыми были и летные данные. Максимальная скорость у земли Як-3 ВК-107А № 1 до модификации была равной 611 км/ч, а у №2 - 610 км/ч (из-за неблагоприятных метеоусловий "Дублер" был облетан и проверен только на малых высотах) (12047).</w:t>
      </w:r>
    </w:p>
    <w:p w14:paraId="62A4A05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60A9212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января 1944 года начальник НИИ ГВФ Петров и начальник Самолетного отдела Израецкий писали письмо начальнику ГВФ генерал-полковнику авиации Астахову</w:t>
      </w:r>
    </w:p>
    <w:p w14:paraId="536970F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Заключение по предложению гл. конструктора завода № 477 Бериева об использовании проектирующегося гидросамолета ЛЛ-143 в качестве пассажирского (ПЛЛ-143)</w:t>
      </w:r>
    </w:p>
    <w:p w14:paraId="0F1F9C7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4AC2F1F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проекте плана опытного строительства на 1944 год, который нами представлен в НКАП, предусмотрена 4-х моторная летающая лодка.</w:t>
      </w:r>
    </w:p>
    <w:p w14:paraId="33C9CEC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Приводим сравнение данных 4-х моторной лодки предусмотренной по плану с предлагаемой лодкой ПЛЛ-143: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68"/>
        <w:gridCol w:w="3868"/>
        <w:gridCol w:w="3868"/>
      </w:tblGrid>
      <w:tr w:rsidR="005106D0" w:rsidRPr="007224C3" w14:paraId="5AE9DA50" w14:textId="77777777">
        <w:tc>
          <w:tcPr>
            <w:tcW w:w="3868" w:type="dxa"/>
          </w:tcPr>
          <w:p w14:paraId="600D67C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68" w:type="dxa"/>
          </w:tcPr>
          <w:p w14:paraId="7D540B5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плану</w:t>
            </w:r>
          </w:p>
        </w:tc>
        <w:tc>
          <w:tcPr>
            <w:tcW w:w="3868" w:type="dxa"/>
          </w:tcPr>
          <w:p w14:paraId="1C433F8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ПЛЛ-143</w:t>
            </w:r>
          </w:p>
        </w:tc>
      </w:tr>
      <w:tr w:rsidR="005106D0" w:rsidRPr="007224C3" w14:paraId="7030F94F" w14:textId="77777777">
        <w:tc>
          <w:tcPr>
            <w:tcW w:w="3868" w:type="dxa"/>
          </w:tcPr>
          <w:p w14:paraId="586923F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Число моторов</w:t>
            </w:r>
          </w:p>
        </w:tc>
        <w:tc>
          <w:tcPr>
            <w:tcW w:w="3868" w:type="dxa"/>
          </w:tcPr>
          <w:p w14:paraId="549508E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w:t>
            </w:r>
          </w:p>
        </w:tc>
        <w:tc>
          <w:tcPr>
            <w:tcW w:w="3868" w:type="dxa"/>
          </w:tcPr>
          <w:p w14:paraId="748367C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tc>
      </w:tr>
      <w:tr w:rsidR="005106D0" w:rsidRPr="007224C3" w14:paraId="417AC4B0" w14:textId="77777777">
        <w:tc>
          <w:tcPr>
            <w:tcW w:w="3868" w:type="dxa"/>
          </w:tcPr>
          <w:p w14:paraId="21D9389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Тип моторов</w:t>
            </w:r>
          </w:p>
        </w:tc>
        <w:tc>
          <w:tcPr>
            <w:tcW w:w="3868" w:type="dxa"/>
          </w:tcPr>
          <w:p w14:paraId="255C100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Дизель М30 и его развитие</w:t>
            </w:r>
          </w:p>
        </w:tc>
        <w:tc>
          <w:tcPr>
            <w:tcW w:w="3868" w:type="dxa"/>
          </w:tcPr>
          <w:p w14:paraId="57DFD85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Дизель М31</w:t>
            </w:r>
          </w:p>
        </w:tc>
      </w:tr>
      <w:tr w:rsidR="005106D0" w:rsidRPr="007224C3" w14:paraId="76F82A59" w14:textId="77777777">
        <w:tc>
          <w:tcPr>
            <w:tcW w:w="3868" w:type="dxa"/>
          </w:tcPr>
          <w:p w14:paraId="1DD87A4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Количество пассажиров</w:t>
            </w:r>
          </w:p>
        </w:tc>
        <w:tc>
          <w:tcPr>
            <w:tcW w:w="3868" w:type="dxa"/>
          </w:tcPr>
          <w:p w14:paraId="14D8475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w:t>
            </w:r>
          </w:p>
        </w:tc>
        <w:tc>
          <w:tcPr>
            <w:tcW w:w="3868" w:type="dxa"/>
          </w:tcPr>
          <w:p w14:paraId="4836BCD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w:t>
            </w:r>
          </w:p>
        </w:tc>
      </w:tr>
      <w:tr w:rsidR="005106D0" w:rsidRPr="007224C3" w14:paraId="2CD839AC" w14:textId="77777777">
        <w:tc>
          <w:tcPr>
            <w:tcW w:w="3868" w:type="dxa"/>
          </w:tcPr>
          <w:p w14:paraId="297D7DC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Груз </w:t>
            </w:r>
          </w:p>
        </w:tc>
        <w:tc>
          <w:tcPr>
            <w:tcW w:w="3868" w:type="dxa"/>
          </w:tcPr>
          <w:p w14:paraId="4E4F5FC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2000 кг</w:t>
            </w:r>
          </w:p>
        </w:tc>
        <w:tc>
          <w:tcPr>
            <w:tcW w:w="3868" w:type="dxa"/>
          </w:tcPr>
          <w:p w14:paraId="56198A3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02203248" w14:textId="77777777">
        <w:tc>
          <w:tcPr>
            <w:tcW w:w="3868" w:type="dxa"/>
          </w:tcPr>
          <w:p w14:paraId="7E293F3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Экипаж</w:t>
            </w:r>
          </w:p>
        </w:tc>
        <w:tc>
          <w:tcPr>
            <w:tcW w:w="3868" w:type="dxa"/>
          </w:tcPr>
          <w:p w14:paraId="0F6B28F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w:t>
            </w:r>
          </w:p>
        </w:tc>
        <w:tc>
          <w:tcPr>
            <w:tcW w:w="3868" w:type="dxa"/>
          </w:tcPr>
          <w:p w14:paraId="1D0FCC6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tc>
      </w:tr>
      <w:tr w:rsidR="005106D0" w:rsidRPr="007224C3" w14:paraId="35F1411A" w14:textId="77777777">
        <w:tc>
          <w:tcPr>
            <w:tcW w:w="3868" w:type="dxa"/>
          </w:tcPr>
          <w:p w14:paraId="2835988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 скорость</w:t>
            </w:r>
          </w:p>
        </w:tc>
        <w:tc>
          <w:tcPr>
            <w:tcW w:w="3868" w:type="dxa"/>
          </w:tcPr>
          <w:p w14:paraId="2B281DA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400</w:t>
            </w:r>
          </w:p>
        </w:tc>
        <w:tc>
          <w:tcPr>
            <w:tcW w:w="3868" w:type="dxa"/>
          </w:tcPr>
          <w:p w14:paraId="3D064E2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430</w:t>
            </w:r>
          </w:p>
        </w:tc>
      </w:tr>
      <w:tr w:rsidR="005106D0" w:rsidRPr="007224C3" w14:paraId="1055B582" w14:textId="77777777">
        <w:tc>
          <w:tcPr>
            <w:tcW w:w="3868" w:type="dxa"/>
          </w:tcPr>
          <w:p w14:paraId="035B63D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Посадочная скорость</w:t>
            </w:r>
          </w:p>
        </w:tc>
        <w:tc>
          <w:tcPr>
            <w:tcW w:w="3868" w:type="dxa"/>
          </w:tcPr>
          <w:p w14:paraId="6412812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125</w:t>
            </w:r>
          </w:p>
        </w:tc>
        <w:tc>
          <w:tcPr>
            <w:tcW w:w="3868" w:type="dxa"/>
          </w:tcPr>
          <w:p w14:paraId="34F0AE2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125</w:t>
            </w:r>
          </w:p>
        </w:tc>
      </w:tr>
      <w:tr w:rsidR="005106D0" w:rsidRPr="007224C3" w14:paraId="44987FA1" w14:textId="77777777">
        <w:tc>
          <w:tcPr>
            <w:tcW w:w="3868" w:type="dxa"/>
          </w:tcPr>
          <w:p w14:paraId="4320FD9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Дальность полета нормальная</w:t>
            </w:r>
          </w:p>
        </w:tc>
        <w:tc>
          <w:tcPr>
            <w:tcW w:w="3868" w:type="dxa"/>
          </w:tcPr>
          <w:p w14:paraId="63AC662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3000</w:t>
            </w:r>
          </w:p>
        </w:tc>
        <w:tc>
          <w:tcPr>
            <w:tcW w:w="3868" w:type="dxa"/>
          </w:tcPr>
          <w:p w14:paraId="67D72AF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3400</w:t>
            </w:r>
          </w:p>
        </w:tc>
      </w:tr>
      <w:tr w:rsidR="005106D0" w:rsidRPr="007224C3" w14:paraId="71F059F1" w14:textId="77777777">
        <w:tc>
          <w:tcPr>
            <w:tcW w:w="3868" w:type="dxa"/>
          </w:tcPr>
          <w:p w14:paraId="29650FE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Дальность полета максимальная</w:t>
            </w:r>
          </w:p>
        </w:tc>
        <w:tc>
          <w:tcPr>
            <w:tcW w:w="3868" w:type="dxa"/>
          </w:tcPr>
          <w:p w14:paraId="2520685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6500</w:t>
            </w:r>
          </w:p>
        </w:tc>
        <w:tc>
          <w:tcPr>
            <w:tcW w:w="3868" w:type="dxa"/>
          </w:tcPr>
          <w:p w14:paraId="674F8D6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5600</w:t>
            </w:r>
          </w:p>
        </w:tc>
      </w:tr>
    </w:tbl>
    <w:p w14:paraId="2CB7753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Как видно из приведенного сравнения, данные лодки ПЛЛ-143 близко подходят к требованиям, которые предъявлены для транспортной лодки международных и внутренних морских линий. Однако в материалах отсутствует на возможность полета на одном моторе, в то время как это требование является основным требованием безопасности полетов пассажирского самолета.</w:t>
      </w:r>
    </w:p>
    <w:p w14:paraId="1519038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Предусмотренный в плане 4-х моторный гидросамолет более отвечает требованиям безопасности полетов, но при отсутствии в НКАП возможности его реализации, считаем возможным построить опытный экземпляр летающей лодки ЛЛ-143 в пассажирском варианте (8664,51).</w:t>
      </w:r>
    </w:p>
    <w:p w14:paraId="7BA8C9C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52981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января 1944 года Дементьев писал письмо N Н-30/442 начальнику ЛИИ НКАП проф. Чесалову А.В.</w:t>
      </w:r>
    </w:p>
    <w:p w14:paraId="1CA0688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Ваш N 36с от 18 января 1944 года.</w:t>
      </w:r>
    </w:p>
    <w:p w14:paraId="50D66D7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Самолеты, получаемые ЛИИ от серийных заводов безвозмездно, для проведения летно-исследовательских работ, после их испытания должны быть возвращены серийным заводам (1821,18).</w:t>
      </w:r>
    </w:p>
    <w:p w14:paraId="4D323C1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37C0E8"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44F03E8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F9A938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января 1944 вышло Постановление ГКО № 5066 О мерах по обеспечению окончания строительства в г. Балашихе турбокислородной установки системы академика Капица производительностью в 2000 литров в час. РГАНИР, Фонд ГКО, д. 199, лл. 158-159,160-166 (11012).</w:t>
      </w:r>
    </w:p>
    <w:p w14:paraId="7819C85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102814A4"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января 1944 вышло Постановление ГКО № 5067 О выделении материальных ресурсов для закладки в государственный резерв на I квартал 1944 г. (7180, 167-</w:t>
      </w:r>
      <w:r w:rsidRPr="007224C3">
        <w:rPr>
          <w:rFonts w:ascii="Times New Roman" w:hAnsi="Times New Roman"/>
          <w:color w:val="000000" w:themeColor="text1"/>
          <w:sz w:val="16"/>
          <w:szCs w:val="16"/>
        </w:rPr>
        <w:lastRenderedPageBreak/>
        <w:t>169,170-180).</w:t>
      </w:r>
    </w:p>
    <w:p w14:paraId="6CAC9970"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48750EE"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января 1944 вышло Распоряжение ГКО № 5068 [О рассмотрении и вынесении на утверждение ГКО проекта постановления "О мероприятиях по увеличению производства цемента заводами Hаркомстройматериалов СССР".] (7180, 181).</w:t>
      </w:r>
    </w:p>
    <w:p w14:paraId="46387C06"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FFAC98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января 1944 вышло Распоряжение ГКО № 5069. Об отгрузке НКСМ для НКО запасных частей к автомашинам в 1 кв. 1944 г. за счет остальных потребителей. РГАНИР, Фонд ГКО, д. 199, лл. 182 (11012).</w:t>
      </w:r>
    </w:p>
    <w:p w14:paraId="5312D1C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1405C77C" w14:textId="77777777" w:rsidR="00D9700C"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3CC2A8E1" w14:textId="77777777" w:rsidR="00D9700C" w:rsidRPr="007224C3" w:rsidRDefault="00D9700C"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2D5887F" w14:textId="77777777" w:rsidR="00D9700C" w:rsidRPr="007224C3" w:rsidRDefault="00D9700C" w:rsidP="007224C3">
      <w:pPr>
        <w:spacing w:after="0" w:line="240" w:lineRule="auto"/>
        <w:jc w:val="both"/>
        <w:rPr>
          <w:rFonts w:ascii="Times New Roman" w:hAnsi="Times New Roman"/>
          <w:color w:val="000000" w:themeColor="text1"/>
          <w:sz w:val="16"/>
          <w:szCs w:val="16"/>
        </w:rPr>
      </w:pPr>
      <w:r w:rsidRPr="007224C3">
        <w:rPr>
          <w:rStyle w:val="ucoz-forum-post"/>
          <w:rFonts w:ascii="Times New Roman" w:hAnsi="Times New Roman"/>
          <w:color w:val="000000" w:themeColor="text1"/>
          <w:sz w:val="16"/>
          <w:szCs w:val="16"/>
        </w:rPr>
        <w:t xml:space="preserve">29 января </w:t>
      </w:r>
      <w:r w:rsidRPr="007224C3">
        <w:rPr>
          <w:rFonts w:ascii="Times New Roman" w:hAnsi="Times New Roman"/>
          <w:color w:val="000000" w:themeColor="text1"/>
          <w:sz w:val="16"/>
          <w:szCs w:val="16"/>
        </w:rPr>
        <w:t>в 1944 году оперативная сводка Совинформбюро:</w:t>
      </w:r>
    </w:p>
    <w:p w14:paraId="24E231ED" w14:textId="77777777" w:rsidR="00D9700C" w:rsidRPr="007224C3" w:rsidRDefault="00D9700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29 января северо-западнее и западнее города Волосово войска Ленинградского фронта продолжали успешно развивать наступление и с боями заняли более 40 населённых пунктов, в том числе Перново, Большие и Малые Копорки, Гостилово, Юрьево, Копорье, Подозванье, Заринская, Ламоха, Маклакова, Большая Систа, Ратчино, Домашово, Фалилеево, Пружницы, Большие Озертицы, Ущевицы, Загорицы, Большие Хотыницы, Большие Сяглицы и железнодорожные станции Копорье, Вруда.</w:t>
      </w:r>
    </w:p>
    <w:p w14:paraId="14A21702" w14:textId="77777777" w:rsidR="00D9700C" w:rsidRPr="007224C3" w:rsidRDefault="00D9700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Южнее Волосово нашими частями разгромлена артиллерийская колонна противника. Захвачено 60 орудий калибра 105 и 150 мм.</w:t>
      </w:r>
    </w:p>
    <w:p w14:paraId="29596D43" w14:textId="77777777" w:rsidR="00D9700C" w:rsidRPr="007224C3" w:rsidRDefault="00D9700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и южнее Гатчина наши войска с боями продвигались вперёд и занялиболее 30 населённых пунктов, в том числе Рабитицы, Домашковицы, Калитино, Каргалова, Глумицы, Большое Заречье, Тихковицы, Карташевская, Маргусы, Куровицы, Вырица и железнодорожные станции Извара, Лиможа, Прибытково, Карташевская, Семеноводская, Вырица.</w:t>
      </w:r>
    </w:p>
    <w:p w14:paraId="66C16C65" w14:textId="77777777" w:rsidR="00D9700C" w:rsidRPr="007224C3" w:rsidRDefault="00D9700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Волховского фронта, сломив сопротивление противника, овладели городом и крупным железнодорожным узлом Чудово, а также с боями заняли населённые пункты Померанье, Трубников Бор, Бабино, Коломовка, Сябреницы, Слобода, Соснинская Пристань. Таким образом, основная магистраль, связывающая Москву с Ленинградом —Октябрьская железная дорога полностью освобождена от немецких захватчиков на всём своём протяжении.</w:t>
      </w:r>
    </w:p>
    <w:p w14:paraId="25683C5B" w14:textId="77777777" w:rsidR="00D9700C" w:rsidRPr="007224C3" w:rsidRDefault="00D9700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и юго-западнее Новгорода наши войска с боями продвигались вперёд и заняли несколько населённых пунктов.</w:t>
      </w:r>
    </w:p>
    <w:p w14:paraId="2AE0247C" w14:textId="77777777" w:rsidR="00D9700C" w:rsidRPr="007224C3" w:rsidRDefault="00D9700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Великие Луки войска 2-го Прибалтийского фронта в результате внезапной атаки овладели городом и крупным железнодорожным узлом Новосокольники, а также с боями заняли несколько других населённых пунктов.</w:t>
      </w:r>
    </w:p>
    <w:p w14:paraId="73E47013" w14:textId="77777777" w:rsidR="00D9700C" w:rsidRPr="007224C3" w:rsidRDefault="00D9700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Восточнее Винницы и севернее Христиновка наши войска продолжали отбивать атаки крупных сил пехоты и танков противника и по приказу командования оставили несколько населённых пунктов. В ожесточённых боях противник понёс огромныепотери в живой силе и технике. На других участках фронта в ряде пунктов шли бои местного значения.</w:t>
      </w:r>
    </w:p>
    <w:p w14:paraId="1DAC909A" w14:textId="77777777" w:rsidR="00D9700C" w:rsidRPr="007224C3" w:rsidRDefault="00D9700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28 января наши войска на всех фронтах подбили и уничтожили 120 немецких танков. В воздушных боях и огнём зенитной артиллерии сбито 23 самолёта противника.</w:t>
      </w:r>
    </w:p>
    <w:p w14:paraId="003415A1" w14:textId="77777777" w:rsidR="00D9700C" w:rsidRPr="007224C3" w:rsidRDefault="00D9700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Северо-западнее и западнее города Волосово войска Ленинградского фронта продолжали успешное наступление и заняли более 40 населённых пунктов. За день боёв уничтожено до 2.000 немецких солдат и офицеров. Южнее Волосово наши подвижные отряды прорвались в тыл противника и устроили засаду у шоссе, по которому двигалась крупная артиллерийская колонна немцев. Советские бойцы внезапно атаковали вражескую колонну и в результате короткой схватки уничтожили большую часть немецких артиллеристов. Только отдельным гитлеровцам удалось убежать в лес. Захвачено 60 полностью исправных тяжёлых орудий и более 100 автомашин с боеприпасами. Наши артиллеристы выдвинули захваченные орудия на огневые позиции и открыли из них огонь по противнику.</w:t>
      </w:r>
    </w:p>
    <w:p w14:paraId="692E5F02" w14:textId="77777777" w:rsidR="00D9700C" w:rsidRPr="007224C3" w:rsidRDefault="00D9700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и южнее города Гатчина наши войска с боями продвигались вперёд. На плечах отступающего противника советские части ворвались на железнодорожнуюстанцию Вырица и в результате ожесточённого боя овладели этой станцией. Захвачено у немцев 7 танков, 38 орудий, много автомашин с грузами, 3 крупных артиллерийских склада и 15 складов с продовольствием и различным военным имуществом.</w:t>
      </w:r>
    </w:p>
    <w:p w14:paraId="32FFBF4C" w14:textId="77777777" w:rsidR="00D9700C" w:rsidRPr="007224C3" w:rsidRDefault="00D9700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Волховского фронта, блокировав группу войск противника в районе города Чудово, продолжали сжимать кольцо окружения. Немцы отчаянно защищали свой последний опорный пункт на железнодорожной магистрали Ленинград-Москва. Стремительными ударами наши части сломили сопротивление противника и сегодня овладели городом и железнодорожным узлом Чудово. Немецкие войска, оборонявшие город, уничтожены и частью пленены. Отдельные разбежавшиеся по лесам и болотам группы гитлеровцев вылавливаются нашими подразделениями. На складах Чудова захвачено много оружия и военных материалов, которые подсчитываются.</w:t>
      </w:r>
    </w:p>
    <w:p w14:paraId="185A9A3B" w14:textId="77777777" w:rsidR="00D9700C" w:rsidRPr="007224C3" w:rsidRDefault="00D9700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и юго-западнее Новгорода наши войска продолжали наступление. Части Н-ского соединения выбили немцев из трёх сильно укреплённых пунктов. В бою за эти пункты уничтожено до батальона пехоты противника, подбито 7 немецких танков и самоходных орудий. На другом участке немцы предприняли до двадцати контратак, пытаясь вернуть потерянные ими позиции. Все контратаки противника закончились неудачей. В ходе боя уничтожено свыше 1.000 гитлеровцев.</w:t>
      </w:r>
    </w:p>
    <w:p w14:paraId="66DB982E" w14:textId="77777777" w:rsidR="00D9700C" w:rsidRPr="007224C3" w:rsidRDefault="00D9700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Сегодня утром войска 2-го Прибалтийского фронта внезапно атаковали противника в районе города Новосокольники. Немцы обладали в этом районе выгодными позициями, и немецкое командование приказало своим войскам любой ценою удерживать эти позиции. Наша пехота при активном содействии танкистов и артиллеристов быстро преодолела оборонительную полосу немцев и с нескольких направлений ворвалась в город. Ошеломлённые неожиданным ударом, гитлеровцы метались из стороны в сторону и несли большие потери. Советские войска смелыми и решительными действиями быстро подавили очаги обороны немцев и полностью овладели городом и крупным железнодорожным узлом Новосокольники. Захвачены большие трофеи и значительное число пленных.</w:t>
      </w:r>
    </w:p>
    <w:p w14:paraId="116A193F" w14:textId="77777777" w:rsidR="00D9700C" w:rsidRPr="007224C3" w:rsidRDefault="00D9700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Восточнее Винницы наши войска отбивали атаки крупных сил пехоты и танков противника. На одном участке части Н-ского соединения в ожесточённом бою уничтожили до полка гитлеровцев, сожгли и подбили 66 немецких танков и 9 самоходных орудий. В другом районе наши бойцы отбили восемь следовавших одна за другой вражеских атак. В ходе боя уничтожено 20 танков, 4 бронемашины и свыше 800 немецких солдат и офицеров. По приказу командования в этом районе наши части оставили несколько населённых пунктов и заняли более выгодные для обороны позиции.</w:t>
      </w:r>
    </w:p>
    <w:p w14:paraId="2E573505" w14:textId="77777777" w:rsidR="00D9700C" w:rsidRPr="007224C3" w:rsidRDefault="00D9700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районе Мелитополя на нашей территории приземлился вполне исправный немецкий транспортный самолёт «Ю-52". Экипаж самолёта в количестве четырёх человек сдался в плен. Лётчик унтер-офицер Рейзих рассказал: «На днях мы перебросили на самолёте из Одессы в Джанкой 25 румынских солдат. Я оказал товарищам, что перевозка смертников (так лётчики называют немецких и румынских солдат, перебрасываемых на самолётах в Крым) кончится для нас плачевно, и предложил перелететь на сторону русских. Стрелок обер-ефрейтор Франц Петих, бортмеханик унтер-офицер Гейнц Мюллер и радист унтер-офицер Иозеф Риттер согласились с этим предложением, и мы посадили самолёт на русской территории». Стрелок Франц Петих заявил: «До призыва в армию я был в союзе гитлеровской молодёжи. Я слепо верил Гитлеру, а теперь убедился, что все его речи величайшее надувательство. Он хотел завоевать весь мир, а не мог уберечь Берлина. Я сам из Берлина и знаю, чтоанглийская и американская авиация причинила городу громадные разрушения. В этом виноват прежде всего Гитлер» (15024).</w:t>
      </w:r>
    </w:p>
    <w:p w14:paraId="6299BDF5" w14:textId="77777777" w:rsidR="00D9700C" w:rsidRPr="007224C3" w:rsidRDefault="00D9700C" w:rsidP="007224C3">
      <w:pPr>
        <w:spacing w:after="0" w:line="240" w:lineRule="auto"/>
        <w:jc w:val="both"/>
        <w:rPr>
          <w:rFonts w:ascii="Times New Roman" w:hAnsi="Times New Roman"/>
          <w:color w:val="000000" w:themeColor="text1"/>
          <w:sz w:val="16"/>
          <w:szCs w:val="16"/>
        </w:rPr>
      </w:pPr>
    </w:p>
    <w:p w14:paraId="3F19423C"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Внешняя политика:</w:t>
      </w:r>
    </w:p>
    <w:p w14:paraId="470ED6A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F4DC33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января 1944 года</w:t>
      </w:r>
    </w:p>
    <w:p w14:paraId="0547338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ЛИЧНО И СЕКРЕТНО ОТ ПРЕМЬЕРА И. В. СТАЛИНА ПРЕМЬЕР-МИНИСТРУ г-ну УИНСТОНУ ЧЕРЧИЛЛЮ И ПРЕЗИДЕНТУ г-ну ФРАНКЛИНУ Д. РУЗВЕЛЬТУ</w:t>
      </w:r>
    </w:p>
    <w:p w14:paraId="1790A95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 получил 23 января оба Ваших совместных послания, подписанных Вами, г-н Премьер-Министр, и Вами, г-н Президент, по вопросу о передаче в пользование Советского Союза итальянских судов.</w:t>
      </w:r>
    </w:p>
    <w:p w14:paraId="23BE677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Должен сказать, что после Вашего совместного положительного ответа в Тегеране на поставленный мною вопрос о передаче Советскому Союзу итальянских судов до конца января 1944 года я считал этот вопрос решенным и у меня не возникало мысли о возможности какого-либо пересмотра этого принятого и согласованного между нами троими решения. Тем более, что, как мы тогда уговорились, в течение декабря и января этот вопрос должен был быть полностью урегулирован и с итальянцами. Теперь я вижу, что это не так и что с итальянцами даже не говорилось ничего по этому поводу.</w:t>
      </w:r>
    </w:p>
    <w:p w14:paraId="5A953FA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Чтобы не затягивать, однако, этого вопроса, имеющего столь важное значение для нашей общей борьбы против Германии, Советское Правительство готово принять Ваше предложение о переотправке из британских портов в СССР линейного корабля “Ройял Соврин” и одного крейсера и о временном использовании этих судов военно-морским командованием СССР до тех пор, пока не будут предоставлены Советскому Союзу соответствующие итальянские суда. Равным образом мы готовы будем принять от США и Англии суда торгового флота по 20 тысяч тонн, которые также будут использованы нами до тех пор, пока нам не будут переданы итальянские суда в таком же тоннаже. Важно, чтобы не было сейчас проволочки в этом деле и чтобы все указанные суда были бы переданы нам еще в течение февраля месяца.</w:t>
      </w:r>
    </w:p>
    <w:p w14:paraId="2AB73B8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 Вашем ответе, однако, ничего не говорится о передаче Советскому Союзу восьми итальянских эскадренных миноносцев и четырех подводных лодок, на передачу которых Советскому Союзу еще в конце января Вы, г. Премьер-Министр, и Вы, г. Президент, дали согласие в Тегеране. Между тем для Советского Союза главным является именно этот вопрос, вопрос о миноносцах и подводных лодках, без которых не имеет значения передача 1 линкора и 1 крейсера. Сами понимаете, что крейсер и линкор бессильны без сопровождающих их миноносцев. Поскольку в Вашем распоряжении находится весь военно-морской флот Италии, выполнение принятого в Тегеране решения о передаче в пользование Советскому Союзу 8 миноносцев и 4-х подводных лодок из этого флота не должно представлять затруднений. Я согласен и с тем, чтобы вместо итальянских миноносцев и подводных лодок Советскому Союзу было передано в наше пользование такое же количество американских или английских миноносцев и подводных лодок. При этом вопрос о передаче миноносцев и подводных лодок не может быть отложен, а должен быть решен одновременно </w:t>
      </w:r>
      <w:r w:rsidRPr="007224C3">
        <w:rPr>
          <w:rFonts w:ascii="Times New Roman" w:hAnsi="Times New Roman"/>
          <w:color w:val="000000" w:themeColor="text1"/>
          <w:sz w:val="16"/>
          <w:szCs w:val="16"/>
        </w:rPr>
        <w:lastRenderedPageBreak/>
        <w:t>с передачей линкора и крейсера, как это было между нами тремя условлено в Тегеране (7430).</w:t>
      </w:r>
    </w:p>
    <w:p w14:paraId="5272EEA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39486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января 1944 года</w:t>
      </w:r>
    </w:p>
    <w:p w14:paraId="169AFD1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ЛИЧНО И СЕКРЕТНО ОТ ПРЕМЬЕРА И. В. СТАЛИНА ПРЕМЬЕР-МИНИСТРУ г-ну УИНСТОНУ ЧЕРЧИЛЛЮ</w:t>
      </w:r>
    </w:p>
    <w:p w14:paraId="52ED4B1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Получил Ваше послание от 24 января.</w:t>
      </w:r>
    </w:p>
    <w:p w14:paraId="7467112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 несколько опоздал с ответом ввиду большой перегруженности делами фронта.</w:t>
      </w:r>
    </w:p>
    <w:p w14:paraId="310A679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Что касается сообщения “Правды”, то ему не следует придавать чрезмерного значения, как нет основания и оспаривать право газеты печатать сообщения о слухах, полученных от проверенных агентов газеты. Мы, русские, по крайней мере никогда не претендовали на такого рода вмешательство в дела британской печати, хотя имели и имеем несравнимо больше поводов для этого. Лишь очень небольшую часть сообщений, заслуживающих опровержения, из напечатанного в английских газетах опровергает наш ТАСС.</w:t>
      </w:r>
    </w:p>
    <w:p w14:paraId="773555C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Если же говорить по существу вопроса, то я не могу согласиться с Вами, что Англия в свое время могла бы легко заключить сепаратный мир с Германией, в значительной мере за счет СССР, без серьезных потерь для Британской Империи. Мне думается, что это сказано сгоряча, так как я помню о Ваших заявлениях и другого характера. Я помню, например, как в трудное для Англии время, до включения Советского Союза в войну с Германией, Вы допускали возможность того, что Британскому Правительству придется перебраться в Канаду и из-за океана вести борьбу против Германии. С другой стороны, Вы признавали, что именно Советский Союз, развернув свою борьбу с Гитлером, устранил опасность, безусловно угрожавшую Великобритании со стороны Германии. Если же все-таки допускать, что Англия могла бы обойтись без СССР, то ведь не в меньшей мере это можно сказать и про Советский Союз. Мне не хотелось обо всем этом говорить, но я вынужден сказать об этом и напомнить о фактах.</w:t>
      </w:r>
    </w:p>
    <w:p w14:paraId="5428EDD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 журнале “Война и рабочий класс” могу лишь сказать, что это профсоюзный журнал, за статьи которого Правительство не может нести ответственности. Впрочем, журнал, как и другие наши журналы, верен основному принципу — укреплению дружбы с союзниками, что не исключает, а предполагает и дружественную критику.</w:t>
      </w:r>
    </w:p>
    <w:p w14:paraId="413A1C3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Как и у Вас, у меня остались хорошие впечатления от наших встреч в Тегеране и от нашей совместной работы.</w:t>
      </w:r>
    </w:p>
    <w:p w14:paraId="6D59372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приезде г-на Керра я, конечно, с ним повидаюсь (7430).</w:t>
      </w:r>
    </w:p>
    <w:p w14:paraId="12A5D6D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2EEF4E"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469F8C4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1D667AC" w14:textId="77777777" w:rsidR="00D9700C" w:rsidRPr="007224C3" w:rsidRDefault="00D9700C" w:rsidP="007224C3">
      <w:pPr>
        <w:spacing w:after="0" w:line="240" w:lineRule="auto"/>
        <w:jc w:val="both"/>
        <w:rPr>
          <w:rFonts w:ascii="Times New Roman" w:hAnsi="Times New Roman"/>
          <w:color w:val="000000" w:themeColor="text1"/>
          <w:sz w:val="16"/>
          <w:szCs w:val="16"/>
        </w:rPr>
      </w:pPr>
      <w:r w:rsidRPr="007224C3">
        <w:rPr>
          <w:rStyle w:val="ucoz-forum-post"/>
          <w:rFonts w:ascii="Times New Roman" w:hAnsi="Times New Roman"/>
          <w:color w:val="000000" w:themeColor="text1"/>
          <w:sz w:val="16"/>
          <w:szCs w:val="16"/>
        </w:rPr>
        <w:t xml:space="preserve">29 января </w:t>
      </w:r>
      <w:r w:rsidRPr="007224C3">
        <w:rPr>
          <w:rFonts w:ascii="Times New Roman" w:hAnsi="Times New Roman"/>
          <w:color w:val="000000" w:themeColor="text1"/>
          <w:sz w:val="16"/>
          <w:szCs w:val="16"/>
        </w:rPr>
        <w:t xml:space="preserve">в 1944 году авария, в то время, когда палубный истребитель-торпедоносец </w:t>
      </w:r>
      <w:hyperlink r:id="rId21" w:tgtFrame="_blank" w:history="1">
        <w:r w:rsidRPr="007224C3">
          <w:rPr>
            <w:rFonts w:ascii="Times New Roman" w:hAnsi="Times New Roman"/>
            <w:color w:val="000000" w:themeColor="text1"/>
            <w:sz w:val="16"/>
            <w:szCs w:val="16"/>
          </w:rPr>
          <w:t xml:space="preserve">«Firebrand» «F.I» </w:t>
        </w:r>
      </w:hyperlink>
    </w:p>
    <w:p w14:paraId="49541B6F" w14:textId="77777777" w:rsidR="00D9700C" w:rsidRPr="007224C3" w:rsidRDefault="00D9700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использовался как стенд для наземных пусков ракетных снарядов на аэродроме в Шреутоне (Shrewton), реактивной струей ракет было повреждено горизонтальное оперение.</w:t>
      </w:r>
    </w:p>
    <w:p w14:paraId="3AAD452B" w14:textId="77777777" w:rsidR="00D9700C" w:rsidRPr="007224C3" w:rsidRDefault="00D9700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Другие «Firebrand» «F. I» ничем себя не проявили и к концу 1944 года отправились на слом. Были другие модификации, до «Firebrand» «TF.V». В начале 1948 года, в связи с отказом от применения римских цифр для обозначения модификаций, «Firebrand» «TF.V» и «Firebrand» «TF.VA» стали соответственно «TF.5» и «TF.5A» (15024).</w:t>
      </w:r>
    </w:p>
    <w:p w14:paraId="24436647" w14:textId="77777777" w:rsidR="00D9700C" w:rsidRPr="007224C3" w:rsidRDefault="00D9700C" w:rsidP="007224C3">
      <w:pPr>
        <w:spacing w:after="0" w:line="240" w:lineRule="auto"/>
        <w:jc w:val="both"/>
        <w:rPr>
          <w:rFonts w:ascii="Times New Roman" w:hAnsi="Times New Roman"/>
          <w:color w:val="000000" w:themeColor="text1"/>
          <w:sz w:val="16"/>
          <w:szCs w:val="16"/>
        </w:rPr>
      </w:pPr>
    </w:p>
    <w:p w14:paraId="777371F1" w14:textId="77777777" w:rsidR="00CB30E5" w:rsidRPr="007224C3" w:rsidRDefault="00CB30E5"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January 29, 1944: 800 bombers of the US 8th Air Force launch heavy attacks against Frankfurt am Main and Ludwigshafen (3819).</w:t>
      </w:r>
    </w:p>
    <w:p w14:paraId="22E71C5E" w14:textId="77777777" w:rsidR="00CB30E5" w:rsidRPr="007224C3" w:rsidRDefault="00CB30E5"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8562273" w14:textId="77777777" w:rsidR="00CB30E5" w:rsidRPr="007224C3" w:rsidRDefault="00CB30E5"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января 1943 800 бомбардировщиков 8ВА совершили налет на Франкфурт на Майне и Людвигсхаффен (3819).</w:t>
      </w:r>
    </w:p>
    <w:p w14:paraId="5B7460EE" w14:textId="77777777" w:rsidR="00CB30E5" w:rsidRPr="007224C3" w:rsidRDefault="00CB30E5"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926E4D" w14:textId="77777777" w:rsidR="004D3DA4" w:rsidRPr="007224C3" w:rsidRDefault="004D3DA4"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29 января 1944 863 бомбардировщика Восьмой армии ВВС в сопровождении 632 истребителей совершили налет на промышленные цели во Франкфурте-на-Майне и Людвигсхафене, Германия, при этом было потеряно 29 бомбардировщиков и 15 истребителей. Это первый удар Восьмой армии ВВС, в котором 700 или более бомбардировщиков успешно бомбят свои цели. Бомбардировщики и истребители заявили, что 122 немецких самолета сбитых, 33 вероятно сбитыъ и 62 поврежденых (20373).</w:t>
      </w:r>
    </w:p>
    <w:p w14:paraId="049E6235" w14:textId="77777777" w:rsidR="004D3DA4" w:rsidRPr="007224C3" w:rsidRDefault="004D3DA4" w:rsidP="007224C3">
      <w:pPr>
        <w:spacing w:after="0" w:line="240" w:lineRule="auto"/>
        <w:jc w:val="both"/>
        <w:rPr>
          <w:rFonts w:ascii="Times New Roman" w:hAnsi="Times New Roman"/>
          <w:color w:val="0070C0"/>
          <w:sz w:val="16"/>
          <w:szCs w:val="16"/>
        </w:rPr>
      </w:pPr>
    </w:p>
    <w:p w14:paraId="5C351C54" w14:textId="77777777" w:rsidR="00CB30E5" w:rsidRPr="007224C3" w:rsidRDefault="00CB30E5"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января 1944 г. вечером у Анцио, где действовали подразделения из состава II/KG40 и II/KG100, от попадания одной-единственной Hs293 погиб английский легкий крейсер “Спартэн”. "Мы были всего в нескольких кабельтовых от "Спартэна”, когда планирующая бомба попала в него, - вспоминал позже Уильям Дональд, в то время командир эскадренного миноносца, - я видел, как она падала, подобно комете, неумолимо направляемая в цель самолетом-носителем. Она поразила крейсер в центр корпуса, и мгновенно огромное пламя вырвалось наружу. С трудом верилось, но это было правдой: на следующее утро он лежал, опрокинувшийся на мелководье, похожий на огромного выбросившегося на берег кита. Удивительно, что одна бомба, попавшая в корабль, могла уничтожить его так быстро...” (2524).</w:t>
      </w:r>
    </w:p>
    <w:p w14:paraId="7C8CA69E" w14:textId="77777777" w:rsidR="00CB30E5" w:rsidRPr="007224C3" w:rsidRDefault="00CB30E5"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39AFE6" w14:textId="77777777" w:rsidR="00CB30E5" w:rsidRPr="007224C3" w:rsidRDefault="00CB30E5"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29 января 1944 налеты 30 и 47 истребителей-бомбардировщиков атаковали корабли союзников у Анцио с использованием управляемых бомб, потопив британский легкий крейсер HMS Spartan и корабль Liberty и серьезно повредив спасательный буксир (20373).</w:t>
      </w:r>
    </w:p>
    <w:p w14:paraId="651E0B94" w14:textId="77777777" w:rsidR="00CB30E5" w:rsidRPr="007224C3" w:rsidRDefault="00CB30E5" w:rsidP="007224C3">
      <w:pPr>
        <w:spacing w:after="0" w:line="240" w:lineRule="auto"/>
        <w:jc w:val="both"/>
        <w:rPr>
          <w:rFonts w:ascii="Times New Roman" w:hAnsi="Times New Roman"/>
          <w:color w:val="0070C0"/>
          <w:sz w:val="16"/>
          <w:szCs w:val="16"/>
        </w:rPr>
      </w:pPr>
    </w:p>
    <w:p w14:paraId="6D159497" w14:textId="77777777" w:rsidR="004D3DA4" w:rsidRPr="007224C3" w:rsidRDefault="004D3DA4"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29 января 1944 12 авианосцев оперативной группы 58 - Силы скоростных авианосцев Тихоокеанского флота США - начинают операции по уничтожению японской авиации на Маршалловых островах в рамках подготови американского вторжения на острова. Это был первый раз, когда американские силы быстрых авианосцев использовались подобным образом. В течение дня авианосец ВМС США одним ударом вывел из строя летнюю базу в Рой; они также нападают на остров Кваджалейн и атоллы Малоэлап и Вотье. Японский истребитель, сбитый над Рой-Намюр в 08:00, стал последним японским самолетом, обнаруженным в воздухе во время кампании на Маршалловых островах. Восемь американских самолетов потеряны (20373).</w:t>
      </w:r>
    </w:p>
    <w:p w14:paraId="6FF24C54" w14:textId="77777777" w:rsidR="004D3DA4" w:rsidRPr="007224C3" w:rsidRDefault="004D3DA4" w:rsidP="007224C3">
      <w:pPr>
        <w:spacing w:after="0" w:line="240" w:lineRule="auto"/>
        <w:jc w:val="both"/>
        <w:rPr>
          <w:rFonts w:ascii="Times New Roman" w:hAnsi="Times New Roman"/>
          <w:color w:val="0070C0"/>
          <w:sz w:val="16"/>
          <w:szCs w:val="16"/>
        </w:rPr>
      </w:pPr>
    </w:p>
    <w:p w14:paraId="3D672CE0" w14:textId="77777777" w:rsidR="004D3DA4" w:rsidRPr="007224C3" w:rsidRDefault="004D3DA4"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29 января 1944 две эскадрильи ВМС США на PB2Y Coronados бомбидт Уэйк. Это был десятый американский удара против Уэйк с октября 1943 года (20373).</w:t>
      </w:r>
    </w:p>
    <w:p w14:paraId="3A3158AE" w14:textId="77777777" w:rsidR="004D3DA4" w:rsidRPr="007224C3" w:rsidRDefault="004D3DA4" w:rsidP="007224C3">
      <w:pPr>
        <w:spacing w:after="0" w:line="240" w:lineRule="auto"/>
        <w:jc w:val="both"/>
        <w:rPr>
          <w:rFonts w:ascii="Times New Roman" w:hAnsi="Times New Roman"/>
          <w:color w:val="0070C0"/>
          <w:sz w:val="16"/>
          <w:szCs w:val="16"/>
        </w:rPr>
      </w:pPr>
    </w:p>
    <w:p w14:paraId="48B77B99" w14:textId="77777777" w:rsidR="00D9700C" w:rsidRPr="007224C3" w:rsidRDefault="00D9700C"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января 1944 в США спущен на воду самый большой в мире военный корабль “Миссури” (4962).</w:t>
      </w:r>
    </w:p>
    <w:p w14:paraId="420D7333" w14:textId="77777777" w:rsidR="00D9700C" w:rsidRPr="007224C3" w:rsidRDefault="00D9700C"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9094478" w14:textId="77777777" w:rsidR="00D9700C" w:rsidRPr="007224C3" w:rsidRDefault="00D9700C"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января 1944 на воду был спущен линкор Миссури (2100).</w:t>
      </w:r>
    </w:p>
    <w:p w14:paraId="13947A60" w14:textId="77777777" w:rsidR="00D9700C" w:rsidRPr="007224C3" w:rsidRDefault="00D9700C"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2772FE" w14:textId="77777777" w:rsidR="00D9700C" w:rsidRPr="007224C3" w:rsidRDefault="00D9700C" w:rsidP="007224C3">
      <w:pPr>
        <w:spacing w:after="0" w:line="240" w:lineRule="auto"/>
        <w:jc w:val="both"/>
        <w:rPr>
          <w:rFonts w:ascii="Times New Roman" w:hAnsi="Times New Roman"/>
          <w:color w:val="000000" w:themeColor="text1"/>
          <w:sz w:val="16"/>
          <w:szCs w:val="16"/>
        </w:rPr>
      </w:pPr>
      <w:r w:rsidRPr="007224C3">
        <w:rPr>
          <w:rStyle w:val="ucoz-forum-post"/>
          <w:rFonts w:ascii="Times New Roman" w:hAnsi="Times New Roman"/>
          <w:color w:val="000000" w:themeColor="text1"/>
          <w:sz w:val="16"/>
          <w:szCs w:val="16"/>
        </w:rPr>
        <w:t xml:space="preserve">29 января </w:t>
      </w:r>
      <w:r w:rsidRPr="007224C3">
        <w:rPr>
          <w:rFonts w:ascii="Times New Roman" w:hAnsi="Times New Roman"/>
          <w:color w:val="000000" w:themeColor="text1"/>
          <w:sz w:val="16"/>
          <w:szCs w:val="16"/>
        </w:rPr>
        <w:t>в 1944 году на заседании Объединенного комитета начальников штабов США и Великобритании предварительно решено, что в случае неожиданного краха политического режима Германии американские войска оккупируют основную часть территории Германии, тогда как английские войска из Италии направятся в Австрию и займут ее. Кроме того, англичанам по просьбе их представителей в ОКНШ были обещаны германские военно-морские базы в Балтийском море (15024).</w:t>
      </w:r>
    </w:p>
    <w:p w14:paraId="7E734400" w14:textId="77777777" w:rsidR="00D9700C" w:rsidRPr="007224C3" w:rsidRDefault="00D9700C" w:rsidP="007224C3">
      <w:pPr>
        <w:spacing w:after="0" w:line="240" w:lineRule="auto"/>
        <w:jc w:val="both"/>
        <w:rPr>
          <w:rFonts w:ascii="Times New Roman" w:hAnsi="Times New Roman"/>
          <w:color w:val="000000" w:themeColor="text1"/>
          <w:sz w:val="16"/>
          <w:szCs w:val="16"/>
        </w:rPr>
      </w:pPr>
    </w:p>
    <w:p w14:paraId="48AFAFA1"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января 1944 в Германии опубликован призыв к незамужним девушкам рожать детей от “истинных арийцев”, особенно от СС-овцев (4962).</w:t>
      </w:r>
    </w:p>
    <w:p w14:paraId="16F19306"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CA2175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января 1944 нацисты стали рекомендовать незамужним девушкам рожать (3481).</w:t>
      </w:r>
    </w:p>
    <w:p w14:paraId="0166F78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326DA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C 29 января по 4 февраля 1944 было безуспешное наступление созников против Кассино - части Линии Густава, обороняемой 9 дивизиями (2438,293).</w:t>
      </w:r>
    </w:p>
    <w:p w14:paraId="37A56C5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39641F"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января 1944 у берегов Италии на мине подорвался и затонул английский крейсер “Спартан” (4962).</w:t>
      </w:r>
    </w:p>
    <w:p w14:paraId="14C2ED67"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51A50B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 xml:space="preserve">January 29 - 22 February 1944 Occupation of the Marshall Islands 1944 Six heavy and six light carriers, in four groups of Task Force 58 (Rear Admiral M. A. Mitscher), opened the campaign to capture the Marshalls (29 Jan) with heavy air attacks on Maloelap, Kwajalein, and Wotje. On the first day the defending enemy air forces were eliminated and complete control of the air was maintained by carrier aircraft during the entire operation. Eight escort carriers, attached to the Attack Forces of the Joint Expeditionary Force, arrived in the area early the morning of D-day. Aircraft from the carriers flew cover and antisubmarine patrols for attack shipping and assisted two fast carrier groups, providing air support for landings on Kwajalein and Majuro Atolls (31 Jan), Roi and Namur (1 Feb), and for operations ashore. The AGC command ship, used for the first time during this campaign, provided greatly improved physical facilities for the Support Air Commander. Here, the Support Air Commander first assumed control of Target Combat Air Patrol, previously vested in carrier units, and a Force Fighter Director on his staff coordinated fighter direction. Two fast carrier groups to the west kept Eniwetok Atoll neutralized until the initial objectives were achieved. Their early achievement permitted the second phase of the campaign, Seizure of Eniwetok, earlier than the planned date of 10 May. The landings (17 Feb) and the ground action were supported by aircraft from one fast carrier group and one escort carrier group. Covering operations were provided by the First Strike on Truk (17-18 Feb), carried out by the Truk Striking Force (Vice Admiral R. A. Spruance), built around three fast carrier groups. In a 2-day attack, the carriers launched 1,250 combat sorties against this key naval base and exploded the myth of its impregnability with 400 tons of bombs and torpedoes, sinking 37 war and merchant ships aggregating 200,000 tons and doing heavy damage to base installations. In this action the first night bombing attack in the history of U.S. carrier aviation was carried out by VT-10 from the </w:t>
      </w:r>
      <w:r w:rsidRPr="007224C3">
        <w:rPr>
          <w:rFonts w:ascii="Times New Roman" w:hAnsi="Times New Roman"/>
          <w:color w:val="000000" w:themeColor="text1"/>
          <w:sz w:val="16"/>
          <w:szCs w:val="16"/>
          <w:lang w:val="en-US"/>
        </w:rPr>
        <w:lastRenderedPageBreak/>
        <w:t>Enterprise with 12 radar equipped TBF-1C's. The attack, delivered at low level, scored several direct hits on ships in the harbor. In a brief enemy air attack on the same night, Intrepid was hit by an aerial torpedo. For the campaign, night fighter detachments of VF(N)-76 and VF(N)-101 (assigned F6F-3's and F4U-2's equipped with AIA radar) were assigned to five carriers and, while not widely used, were on occasion vectored against enemy night raiders (1090).</w:t>
      </w:r>
    </w:p>
    <w:p w14:paraId="2D97ADE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EF7A24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29 января по 22 февраля 1944 американская армия окупировала Маршаловы острова (1090). Атаковали 4 десантные группы (2438,302).</w:t>
      </w:r>
    </w:p>
    <w:p w14:paraId="6D19677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A2383D" w14:textId="77777777" w:rsidR="00D9700C" w:rsidRPr="007224C3" w:rsidRDefault="00D9700C" w:rsidP="007224C3">
      <w:pPr>
        <w:spacing w:after="0" w:line="240" w:lineRule="auto"/>
        <w:jc w:val="both"/>
        <w:rPr>
          <w:rFonts w:ascii="Times New Roman" w:hAnsi="Times New Roman"/>
          <w:color w:val="000000" w:themeColor="text1"/>
          <w:sz w:val="16"/>
          <w:szCs w:val="16"/>
        </w:rPr>
      </w:pPr>
      <w:r w:rsidRPr="007224C3">
        <w:rPr>
          <w:rStyle w:val="ucoz-forum-post"/>
          <w:rFonts w:ascii="Times New Roman" w:hAnsi="Times New Roman"/>
          <w:color w:val="000000" w:themeColor="text1"/>
          <w:sz w:val="16"/>
          <w:szCs w:val="16"/>
        </w:rPr>
        <w:t xml:space="preserve">29 января </w:t>
      </w:r>
      <w:r w:rsidRPr="007224C3">
        <w:rPr>
          <w:rFonts w:ascii="Times New Roman" w:hAnsi="Times New Roman"/>
          <w:color w:val="000000" w:themeColor="text1"/>
          <w:sz w:val="16"/>
          <w:szCs w:val="16"/>
        </w:rPr>
        <w:t>в 1944 году (29 января-6 февраля) операция американских войск по овладению Маршалловыми островами. Американская авиация потеряла 25 самолетов, японская – 270 (15024).</w:t>
      </w:r>
    </w:p>
    <w:p w14:paraId="24543C13" w14:textId="77777777" w:rsidR="00D9700C" w:rsidRPr="007224C3" w:rsidRDefault="00D9700C" w:rsidP="007224C3">
      <w:pPr>
        <w:spacing w:after="0" w:line="240" w:lineRule="auto"/>
        <w:jc w:val="both"/>
        <w:rPr>
          <w:rFonts w:ascii="Times New Roman" w:hAnsi="Times New Roman"/>
          <w:color w:val="000000" w:themeColor="text1"/>
          <w:sz w:val="16"/>
          <w:szCs w:val="16"/>
        </w:rPr>
      </w:pPr>
    </w:p>
    <w:p w14:paraId="4E917C6C"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3E5F0BB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F50FBB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января 1944 начались испытания прототипа серийного истребителя Ла-7 конструкции С.А.Лавочкина (274).</w:t>
      </w:r>
    </w:p>
    <w:p w14:paraId="40D66B7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другим данным - это Ла-5 эталон 1944 (2989).</w:t>
      </w:r>
    </w:p>
    <w:p w14:paraId="7CE5539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DD601D" w14:textId="77777777" w:rsidR="00F41EB5" w:rsidRPr="007224C3" w:rsidRDefault="00F41EB5"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30 января 1944 г. Н. В. Адамович поднял Ла-5ФН «улучшенный» в первый полет.</w:t>
      </w:r>
    </w:p>
    <w:p w14:paraId="63BD08B5" w14:textId="77777777" w:rsidR="00F41EB5" w:rsidRPr="007224C3" w:rsidRDefault="00F41EB5"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Чтобы ускорить его сдачу, сроки остальных работ, кроме делавшейся с опережением машины № 39210206, цеха были «сдвинуты вправо», но успеть к заданной дате выкатки 15 декабря не удалось. А когда самолет был готов, надолго испортилась погода.</w:t>
      </w:r>
    </w:p>
    <w:p w14:paraId="6603EF3A" w14:textId="77777777" w:rsidR="00F41EB5" w:rsidRPr="007224C3" w:rsidRDefault="00F41EB5"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 xml:space="preserve"> Летная жизнь этой машины вскоре оборвалась из-за отказа мотора, и Адамовичу пришлось прыгать с парашютом, авария из-за производственного брака задержала испытания, которые продолжили на второй машине — ее облетал Г. М. Шиянов 1 февраля. Испытания прошли в ударном темпе: летчики ЛИИ НКАП достигли скорости у земли 630 км/ч, а на высоте 6 000 м — 685 км/ч. Проводившие Государственные испытания самолета пилоты НИИ ВВС выполняли полеты на режимах, рекомендованных в строевой эксплуатации и учитывавших особенности боевого применения истребителей по опыту войны. Поэтому полученные ими данные были несколько ниже. У земли при ограниченном наддуве они намерили только 597 км/ч — это было лучше, чем у опытного Ла5ФН лишь на 4 км/ч. Но на I границе высотности 3 250 м прирост достиг 44 км/ч (получено 670 км/ч), на промежуточной высоте 5 000 м достигли скорости 661 и на II границе 6 000 м — 680 км/ч (прибавка 32 км/ч). С весом 3 250 кг на 5 000 м самолет выходил за 4,45 мин, обгоняя опытный Ла-5ФН на четверть минуты. Госиспытания завершились быстро, и 15 марта 1944 г. Постановлением Государственного комитета обороны № 5404 самолет был принят на вооружение. Хотя сам Лавочкин обозначил машину как «Ла-5 эталон 1944 г.», в серию она запускалась под новым обозначением Ла-7 (22669).</w:t>
      </w:r>
    </w:p>
    <w:p w14:paraId="3FFD7E5B" w14:textId="77777777" w:rsidR="00F41EB5" w:rsidRPr="007224C3" w:rsidRDefault="00F41EB5" w:rsidP="007224C3">
      <w:pPr>
        <w:spacing w:after="0" w:line="240" w:lineRule="auto"/>
        <w:jc w:val="both"/>
        <w:rPr>
          <w:rFonts w:ascii="Times New Roman" w:hAnsi="Times New Roman"/>
          <w:color w:val="0070C0"/>
          <w:sz w:val="16"/>
          <w:szCs w:val="16"/>
        </w:rPr>
      </w:pPr>
    </w:p>
    <w:p w14:paraId="04C5FF17"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января 1944 г. начались испытания самолета "Ла-5 - эталон 1944" (6395).</w:t>
      </w:r>
    </w:p>
    <w:p w14:paraId="3AD7C071"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1FE738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30 января по 11 февраля 1944 года на летно-испытательной базе завода № 21 провели контрольные испытания серийного Ла-5ФН с тремя пушками УБ-20. Максимальная горизонтальная скорость у земли на номинальном режиме работы двигателя не превышала 596 км/ч. Основываясь на опыте эксплуатации ряда самолетов, предположили, что при форсировании мотора максимальная скорость у земли возрастет на 30-35 км/ч и достигнет 630 км/ч. Начиная с 1944 года все Ла-5ФН (тип "41") завода № 21 выпускались с металлическими лонжеронами (12032).</w:t>
      </w:r>
    </w:p>
    <w:p w14:paraId="19A3295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2376790E" w14:textId="77777777" w:rsidR="00D9700C" w:rsidRPr="007224C3" w:rsidRDefault="00D9700C"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30 января</w:t>
      </w:r>
      <w:r w:rsidRPr="007224C3">
        <w:rPr>
          <w:rFonts w:ascii="Times New Roman" w:hAnsi="Times New Roman"/>
          <w:color w:val="000000" w:themeColor="text1"/>
          <w:sz w:val="16"/>
          <w:szCs w:val="16"/>
        </w:rPr>
        <w:t xml:space="preserve"> в 1944 году на летно-испытательной базе завода № 21 проводились (по 11 февраля) контрольные испытания серийного </w:t>
      </w:r>
      <w:hyperlink r:id="rId22" w:tgtFrame="_blank" w:history="1">
        <w:r w:rsidRPr="007224C3">
          <w:rPr>
            <w:rFonts w:ascii="Times New Roman" w:hAnsi="Times New Roman"/>
            <w:color w:val="000000" w:themeColor="text1"/>
            <w:sz w:val="16"/>
            <w:szCs w:val="16"/>
          </w:rPr>
          <w:t xml:space="preserve">«Ла-5ФН» </w:t>
        </w:r>
      </w:hyperlink>
      <w:r w:rsidRPr="007224C3">
        <w:rPr>
          <w:rFonts w:ascii="Times New Roman" w:hAnsi="Times New Roman"/>
          <w:color w:val="000000" w:themeColor="text1"/>
          <w:sz w:val="16"/>
          <w:szCs w:val="16"/>
        </w:rPr>
        <w:t>с тремя пушками «УБ-2» (самолет «Ла-5 - эталон 1944» (прототип «Ла-7»), пилот Г.М.Шиянов. Максимальная горизонтальная скорость у земли на номинальном режиме работы двигателя не превышала 596 км/ч. Основываясь на опыте эксплуатации ряда самолетов предположили, что при форсировании мотора скорость у земли увеличится на 30-35 км/ч и составит 630 км/ч. Построено 5905 самолетов за 1944-1945 годы. В конце 1943 года параллельно с трехпушечным вариантом разработали машину с парой орудий ВЯ и одним пулеметом «БС», но этот проект остался на бумаге (15025).</w:t>
      </w:r>
    </w:p>
    <w:p w14:paraId="130ED545" w14:textId="77777777" w:rsidR="00D9700C" w:rsidRPr="007224C3" w:rsidRDefault="00D9700C" w:rsidP="007224C3">
      <w:pPr>
        <w:spacing w:after="0" w:line="240" w:lineRule="auto"/>
        <w:jc w:val="both"/>
        <w:rPr>
          <w:rFonts w:ascii="Times New Roman" w:hAnsi="Times New Roman"/>
          <w:color w:val="000000" w:themeColor="text1"/>
          <w:sz w:val="16"/>
          <w:szCs w:val="16"/>
        </w:rPr>
      </w:pPr>
    </w:p>
    <w:p w14:paraId="3B1880F9"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3618A02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9C5E8B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период с 30 января по 2 февраля 1944 г. опытный образец танка Т-34-85 с пушкой ЗИС-С-53, установленной в штатной башне успешно прошел испытания на ГАНИОПе. Установка танковой пушкой ЗИС-С-53 конструкции ЦАКБ НКВ в штатную башню танка Т-34-76 обр. 1942 г. была осуществлена с целью проверки надежности ее конструкции и удобства работы с ней членов экипажа (10703).</w:t>
      </w:r>
    </w:p>
    <w:p w14:paraId="687E874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99F5567" w14:textId="77777777" w:rsidR="00F41EB5" w:rsidRPr="007224C3" w:rsidRDefault="00F41EB5"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 период с 30 января по 2 февраля 1944 г. на ГАНИОПе были проведены испытания головных образцов 85-мм танковой пушки С-53, установленных в танках Т-34. По результатам проведенных испытаний комиссией под председательством Е.А. Кульчицкого, в частности, были сделаны следующие выводы:</w:t>
      </w:r>
    </w:p>
    <w:p w14:paraId="109C1F78" w14:textId="77777777" w:rsidR="00F41EB5" w:rsidRPr="007224C3" w:rsidRDefault="00F41EB5"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 85 мм танковая пушка С-53 серийного изготовления завода № 92 полигонные испытания выдержала.</w:t>
      </w:r>
    </w:p>
    <w:p w14:paraId="50700A45" w14:textId="77777777" w:rsidR="00F41EB5" w:rsidRPr="007224C3" w:rsidRDefault="00F41EB5"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 Боевые качества танка Т-34 вооруженного 85 мм пушкой С-53 значительно выше при расширенной башне».</w:t>
      </w:r>
    </w:p>
    <w:p w14:paraId="7546E470" w14:textId="77777777" w:rsidR="00F41EB5" w:rsidRPr="007224C3" w:rsidRDefault="00F41EB5"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[ЦАМО. Ф. 38. Оп. 11355. Д. 2224. Л. 109, 111] (21209).</w:t>
      </w:r>
    </w:p>
    <w:p w14:paraId="3BB681B1" w14:textId="77777777" w:rsidR="00F41EB5" w:rsidRPr="007224C3" w:rsidRDefault="00F41EB5" w:rsidP="007224C3">
      <w:pPr>
        <w:spacing w:after="0" w:line="240" w:lineRule="auto"/>
        <w:jc w:val="both"/>
        <w:rPr>
          <w:rFonts w:ascii="Times New Roman" w:hAnsi="Times New Roman"/>
          <w:color w:val="0070C0"/>
          <w:sz w:val="16"/>
          <w:szCs w:val="16"/>
        </w:rPr>
      </w:pPr>
    </w:p>
    <w:p w14:paraId="5919A3B6" w14:textId="77777777" w:rsidR="00DF6978" w:rsidRPr="007224C3" w:rsidRDefault="00DF6978" w:rsidP="007224C3">
      <w:pPr>
        <w:pStyle w:val="a3"/>
        <w:rPr>
          <w:color w:val="000000" w:themeColor="text1"/>
          <w:lang w:val="ru-RU"/>
        </w:rPr>
      </w:pPr>
      <w:r w:rsidRPr="007224C3">
        <w:rPr>
          <w:color w:val="000000" w:themeColor="text1"/>
          <w:lang w:val="ru-RU"/>
        </w:rPr>
        <w:t>С 30 января по 2 февраля 1944 года на Гороховецком артиллерийском полигоне пушка С-53, которая была в срочном порядке установлена в танк на заводе № 112, была испытана и принята на вооружение. Кроме того, испытания выявили допустимость установки 85-мм пушки в танк с обычным погоном только как временной меры. Ещё одни сравнительные испытания танков с расширенной и обычной башнями, вооруженных 85-мм пушкой, были проведены в начале февраля и показали, что танк со старой башней значительно уступает по скорострельности орудия. Переход к производству танков с увеличенной башней был необходим и неизбежен (12290).</w:t>
      </w:r>
    </w:p>
    <w:p w14:paraId="47AA57EE" w14:textId="77777777" w:rsidR="00DF6978" w:rsidRPr="007224C3" w:rsidRDefault="00DF6978" w:rsidP="007224C3">
      <w:pPr>
        <w:pStyle w:val="a3"/>
        <w:rPr>
          <w:color w:val="000000" w:themeColor="text1"/>
          <w:lang w:val="ru-RU"/>
        </w:rPr>
      </w:pPr>
    </w:p>
    <w:p w14:paraId="1E99C50C" w14:textId="77777777" w:rsidR="00F41EB5" w:rsidRPr="007224C3" w:rsidRDefault="00F41EB5"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 период с 30 января по 1 марта 1944 года в селе Ветхин Речинского района происходило изучение подбитых танков, преимущественно Т-34. Одним из инициаторов данных работ был как раз Цыганов. Выявилась необходимость пересмотреть размещения орудийных укладок внутри танков, а также вновь поднялся вопрос по экранам. Также Цыганов обратил внимание на немецкие кумулятивные противотанковые гранаты Faustpatrone. Определенный выхлоп с этих работ имелся. В конце концов, те самые противокумулятивные экраны, которые применялись в Берлинской операции, появились и благодаря Цыганову (40535).</w:t>
      </w:r>
    </w:p>
    <w:p w14:paraId="0C292272" w14:textId="77777777" w:rsidR="00F41EB5" w:rsidRPr="007224C3" w:rsidRDefault="00F41EB5" w:rsidP="007224C3">
      <w:pPr>
        <w:spacing w:after="0" w:line="240" w:lineRule="auto"/>
        <w:jc w:val="both"/>
        <w:rPr>
          <w:rFonts w:ascii="Times New Roman" w:hAnsi="Times New Roman"/>
          <w:color w:val="0070C0"/>
          <w:sz w:val="16"/>
          <w:szCs w:val="16"/>
        </w:rPr>
      </w:pPr>
    </w:p>
    <w:p w14:paraId="6CFC24F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января 1944 г. была подготовлена ДОКЛАДНАЯ ЗАПИСКА КОМАНДУЮЩЕГО БТ и МВ КА ЧЛЕНУ ГКО Л.П. БЕРИИ О МОДЕРНИЗИРОВАННЫХ АМЕРИКАНСКИХ ТАНКАХ М4А2 № 540431</w:t>
      </w:r>
    </w:p>
    <w:p w14:paraId="202414D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вопросу скольжения гусениц модернизированных американских танков М4А2 на снежных дорогах докладываю:</w:t>
      </w:r>
    </w:p>
    <w:p w14:paraId="233F692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Модернизированные танки М4А2 начали поступать в СССР с осени 1943 г., эти танки имеют металлические гусеницы, в то время, как все ранее поступившие танки имели резинометаллические гусеницы, на траки которых в зимний период одевались специальные шпоры.</w:t>
      </w:r>
    </w:p>
    <w:p w14:paraId="52B28F4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В процессе эксплуатации модернизированных танков М4А2 на фронте в зимних условиях выяснилось, что траки гусениц, забиваясь снегом, не обеспечивают достаточного сцепления, хотя и имеют специальные шпоры. Вследствие этого танки при движении по снежным дорогам скользят и сползают в кюветы.</w:t>
      </w:r>
    </w:p>
    <w:p w14:paraId="272E9B6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Для устранения указанного выше недостатка необходимо на шпоры каждого третьего трака гусениц приварить дополнительные шипы.</w:t>
      </w:r>
    </w:p>
    <w:p w14:paraId="420BF89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Мною дано приказание:</w:t>
      </w:r>
    </w:p>
    <w:p w14:paraId="604C613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Впредь все танки М4А2, прибывающие из Америки, сдавать войсковым частям только с при</w:t>
      </w:r>
      <w:r w:rsidRPr="007224C3">
        <w:rPr>
          <w:rFonts w:ascii="Times New Roman" w:hAnsi="Times New Roman"/>
          <w:color w:val="000000" w:themeColor="text1"/>
          <w:sz w:val="16"/>
          <w:szCs w:val="16"/>
        </w:rPr>
        <w:softHyphen/>
        <w:t>варенными на траки дополнительными шипами.</w:t>
      </w:r>
    </w:p>
    <w:p w14:paraId="6D3B5DB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На 88-ми танках М4А2 с металлическими гусеницами, имеющихся в формируемых войсковых частях, приварить дополнительные шипы с окончанием работ до 10 февраля с.г.</w:t>
      </w:r>
    </w:p>
    <w:p w14:paraId="198624C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Командующий БТ и МВ КА генерал-полковник танковых войск Федоренко</w:t>
      </w:r>
    </w:p>
    <w:p w14:paraId="4A3E635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Член военного совета БТ и МВ КА генерал-лейтенант танковых войск Бирюков</w:t>
      </w:r>
    </w:p>
    <w:p w14:paraId="5675505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38. Оп. 11355. Д. 2551. Л. 5. Копия (11403).</w:t>
      </w:r>
    </w:p>
    <w:p w14:paraId="6D98676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AC4E5E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30 января по 10 февраля 1944 года провели полномасштабные испытания БА-64 с двигателем С.С.Неждановского, получившей обозначение БА-64З (буква "З" - зимний) (3862).</w:t>
      </w:r>
    </w:p>
    <w:p w14:paraId="3EB42A4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Машина зарекомендовала себя хорошо, не было ни одного случая потери подвижности. Средняя скорость по холмистой снежной целине была 7,6 км/ч, по накатанной дороге - 16 км/ч. Максимальную расчетную скорость - 28 км/ч - достичь не удалось из-за малой мощности двигателя. На не заснеженной поверхности броневик передвигался с большим трудом, а преодолеть не заснеженный подъем не мог совершенно. Гусеницы часто соскакивали, расход топлива был очень большой: от 1.2 до полутора литров на 1 км в зависимости от местности (3862).</w:t>
      </w:r>
    </w:p>
    <w:p w14:paraId="20C6C67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Испытания вскрыли и еще один недостаток - весьма посредственную управляемость. Это особенно сказывалось на лесистых территориях: иногда приходилось даже спиливать деревья, мешавшие проезду. Ввиду столь серьезных недостатков, от БА-64З отказались, хотя сам принцип Неждановского был признан перспективным и еще несколько лет на его основе пытались построить снегоходы (3862).</w:t>
      </w:r>
    </w:p>
    <w:p w14:paraId="04B80FC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41411F"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766C0C3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A1D7E89" w14:textId="77777777" w:rsidR="00D9700C" w:rsidRPr="007224C3" w:rsidRDefault="00D9700C"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30 января</w:t>
      </w:r>
      <w:r w:rsidRPr="007224C3">
        <w:rPr>
          <w:rFonts w:ascii="Times New Roman" w:hAnsi="Times New Roman"/>
          <w:color w:val="000000" w:themeColor="text1"/>
          <w:sz w:val="16"/>
          <w:szCs w:val="16"/>
        </w:rPr>
        <w:t xml:space="preserve"> в 1944 году оперативная сводка Совинформбюро:</w:t>
      </w:r>
    </w:p>
    <w:p w14:paraId="488C1E9E" w14:textId="77777777" w:rsidR="00D9700C" w:rsidRPr="007224C3" w:rsidRDefault="00D9700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30 января северо-западнее и западнее города Волосово наши войска продолжали развивать наступление и с боями заняли более 50населённых пунктов, в том числе Систапалкино, Новое Устье, Головкино, Семейская, Копаница, Купля, Котлы, Ицепина, Климотино, Перелесье, Нарядова, Удосолово, Тютицы, Большое Рудилово, Войносолово, Пумалица, Ранолово, Кайболово,Валья, Гурлево, Лялицы, Корпово, Мануйлово, Ястребино, Поселок Молосковицы, Старые и Новые Смолеговицы, Рагулово, Морозово, Сырковицы, Яблоницы, Летошицы, Руссковицы, узловые железнодорожные станции Котлы и Веймарн (12 километроввосточнее Кингисепп), а также железнодорожную станцию Молосковицы.</w:t>
      </w:r>
    </w:p>
    <w:p w14:paraId="427F6CDD" w14:textId="77777777" w:rsidR="00D9700C" w:rsidRPr="007224C3" w:rsidRDefault="00D9700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и южнее Гатчина наши войска с боями заняли несколько населённых пунктов и среди них Волна, Алексеевский, Даймище, Замостье, Выра, Изора, Кургино, Дружная Горка, рабочий посёлок и железнодорожная станция Сиверский. Ранее окружённый немецкий гарнизон в посёлке и на станции Сиверский уничтожен нашими войсками.</w:t>
      </w:r>
    </w:p>
    <w:p w14:paraId="2D802F7B" w14:textId="77777777" w:rsidR="00D9700C" w:rsidRPr="007224C3" w:rsidRDefault="00D9700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юго-западнее и южнее города Любань наши войска, преодолевая инженерные заграждения противника на лесных дорогах, с боями продвигались вперёд и заняли более 30 населённых пунктов, в том числе населённые пункты Клетно, Борисово, Слудица, Порожки, Савкино 1-е и 2-е, Конечки, Большое и Малое Еглино, Федосьино, Большое Васильевское, Гуммолово, Заволожье, Русская Волжа и железнодорожные станции Кастенская, Еглино.</w:t>
      </w:r>
    </w:p>
    <w:p w14:paraId="29AA4951" w14:textId="77777777" w:rsidR="00D9700C" w:rsidRPr="007224C3" w:rsidRDefault="00D9700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и юго-западнее Новгорода наши войска продолжали вести наступательные бои, в ходе которых заняли населённые пункты Мыселка, Галстухово, Большие Кусони, Чёрное, Хрипцы, Яковлева Горка, Нежатицы, Дедино, Борки, Большие Шатновицы, Великое Село, Закибье.</w:t>
      </w:r>
    </w:p>
    <w:p w14:paraId="04CB74C8" w14:textId="77777777" w:rsidR="00D9700C" w:rsidRPr="007224C3" w:rsidRDefault="00D9700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и северо-западнее Новосокольники наши войска, преодолевая сопротивление противника, с боями продвигались вперёд и заняли несколько населённых пунктов.</w:t>
      </w:r>
    </w:p>
    <w:p w14:paraId="0C4BD3A8" w14:textId="77777777" w:rsidR="00D9700C" w:rsidRPr="007224C3" w:rsidRDefault="00D9700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 разведка, артиллерийско-миномётная перестрелка и в ряде пунктов бои местного значения.</w:t>
      </w:r>
    </w:p>
    <w:p w14:paraId="540393F2" w14:textId="77777777" w:rsidR="00D9700C" w:rsidRPr="007224C3" w:rsidRDefault="00D9700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29 января наши войска на всех фронтах подбили и уничтожили 72 немецких танка. В воздушных боях и огнём зенитной артиллерии сбито 25 самолётов противника.</w:t>
      </w:r>
    </w:p>
    <w:p w14:paraId="284F826F" w14:textId="77777777" w:rsidR="00D9700C" w:rsidRPr="007224C3" w:rsidRDefault="00D9700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Северо-западнее и западнее города Волосово наши войска продолжали успешное наступление. Бойцы Н-ского соединения заняли крупный узел железных и шоссейныхдорог Котлы. Другие наши части овладели узловой железнодорожной станцией Веймарн, расположенной в 12 километрах восточнее Кингисеппа. Занята также железнодорожная станция и узел шоссейных дорог Молосковицы. Преследуя отступающего противника, наши войска отрезали и разгромили до полка немецкой пехоты и несколько специальных подразделений противника. Захвачено много орудий, миномётов, пулемётов и другие трофеи. Группа советских танков атаковала большой вражеский обоз. Танкисты уничтожили немецкую охрану и захватили несколько сот повозок с военными грузами.</w:t>
      </w:r>
    </w:p>
    <w:p w14:paraId="0D4B95CC" w14:textId="77777777" w:rsidR="00D9700C" w:rsidRPr="007224C3" w:rsidRDefault="00D9700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и южнее Гатчина наши войска с боями продвигались вперёд. Части Н-ского соединения, совершив удачный обходный манёвр, окружили гарнизон противника, оборонявший рабочий посёлок и крупную железнодорожную станцию Сиверский. Немцы упорно защищали эту станцию, стремясь не допустить дальнейшего продвижения наших войск по железной дороге Гатчина-Луга. Сегодня советские войска сломили сопротивление окружённых гитлеровцев. К исходу дня посёлок истанция Сиверский очищены от немцев. Окружённый немецкий гарнизон полностью уничтожен. Захвачено много трофеев.</w:t>
      </w:r>
    </w:p>
    <w:p w14:paraId="27BE72CD" w14:textId="77777777" w:rsidR="00D9700C" w:rsidRPr="007224C3" w:rsidRDefault="00D9700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юго-западнее и южнее города Любань наши войска продолжали наступление. Немцы устроили на лесных дорогах завалы и различные инженерные заграждения. Действуя в сложных условиях лесисто-болотистой местности и преодолевая сопротивление противника, советские бойцы заняли более 30 населённых пунктов.</w:t>
      </w:r>
    </w:p>
    <w:p w14:paraId="5046E515" w14:textId="77777777" w:rsidR="00D9700C" w:rsidRPr="007224C3" w:rsidRDefault="00D9700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отдельных участках успешно действовали наши лыжники. В бою за один населённый пункт они уничтожили две роты гитлеровцев и захватили склад боеприпасов.</w:t>
      </w:r>
    </w:p>
    <w:p w14:paraId="4ACF42D3" w14:textId="77777777" w:rsidR="00D9700C" w:rsidRPr="007224C3" w:rsidRDefault="00D9700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и юго-западнее Новгорода наши войска вели наступательные бои. Части Н-ского соединения, отразив несколько контратак противника, продвинулись вперёд и заняли ряд населённых пунктов. На поле боя осталось до 800 вражеских трупов. Захвачено у немцев 3 танка, 10 орудий и два склада боеприпасов. Взяты пленные.</w:t>
      </w:r>
    </w:p>
    <w:p w14:paraId="0C437D96" w14:textId="77777777" w:rsidR="00D9700C" w:rsidRPr="007224C3" w:rsidRDefault="00D9700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и северо-западнее Новосокольники наши войска с боями продвигались вперёд и выбили немцев из нескольких опорных пунктов. В бою за город Новосокольники, взятый вчера нашими войсками, уничтожено свыше 2.000 гитлеровцев. Захвачено у немцев 6 танков, артиллерийский склад, свыше 100 паровозов, много вагонов, цистерн и другие трофеи.</w:t>
      </w:r>
    </w:p>
    <w:p w14:paraId="14358A4F" w14:textId="77777777" w:rsidR="00D9700C" w:rsidRPr="007224C3" w:rsidRDefault="00D9700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Немецкое командование, обеспокоенное активной деятельностью советских партизан в Ровенской области, снарядило очередную карательную экспедицию в составе полка СС, дивизиона артиллерии, 10 танков и нескольких бронемашин. Ровенские партизаны отбили неоднократные атаки противника, а затем в лесу в ожесточённом бою уничтожили до 300 гитлеровцев. Огнём артиллерии и противотанковых ружей подбито 5 немецких танков, сожжена бронемашина и 32 грузовика. Советские патриоты вынудили карателей к отступлению и захватили два орудия, 30 пулемётов, 265 винтовок и автоматов, а также много боеприпасов.</w:t>
      </w:r>
    </w:p>
    <w:p w14:paraId="6507AF9F" w14:textId="77777777" w:rsidR="00D9700C" w:rsidRPr="007224C3" w:rsidRDefault="00D9700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Перешедший на сторону Красной Армии гренадер 258 немецкой пехотной дивизии Густав М. рассказал: «Я бывший обер-лейтенант и преподаватель офицерской школы в Берлине. Как-то в узком кругу я высмеял сводки немецкого командования, в которых сообщалась явная ложь. За это меня предали военному суду при берлинской комендатуре, разжаловали в солдаты и приговорили к двухлетнему тюремному заключению. Наказание я отбывал в Гермейсгеймской военной тюрьме. В моей камере находились 30 немецких офицеров, в числе которых капитан Ничке, обер-лейтенант Зандер и другие. Обер-лейтенанта Брауна, старого фронтовика, награждённого железными крестами, заперли в тюрьму за то, что он назвал Гитлера бездарным ефрейтором. Брауна судил какой-то особый суд, и после этого он совсем исчез. В ноябре меня выпустили из тюрьмы и послали на фронт «для искупления вины». В тюрьме я окончательно убедился в том, что гитлеровский режим, развязавший эту преступную войну, обречён на гибель. На фронте я при первой же возможности перешёл к русским» (15025).</w:t>
      </w:r>
    </w:p>
    <w:p w14:paraId="72E94611" w14:textId="77777777" w:rsidR="00D9700C" w:rsidRPr="007224C3" w:rsidRDefault="00D9700C" w:rsidP="007224C3">
      <w:pPr>
        <w:spacing w:after="0" w:line="240" w:lineRule="auto"/>
        <w:jc w:val="both"/>
        <w:rPr>
          <w:rFonts w:ascii="Times New Roman" w:hAnsi="Times New Roman"/>
          <w:color w:val="000000" w:themeColor="text1"/>
          <w:sz w:val="16"/>
          <w:szCs w:val="16"/>
        </w:rPr>
      </w:pPr>
    </w:p>
    <w:p w14:paraId="7A31FC2C" w14:textId="77777777" w:rsidR="00D9700C" w:rsidRPr="007224C3" w:rsidRDefault="00D9700C"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30 января</w:t>
      </w:r>
      <w:r w:rsidRPr="007224C3">
        <w:rPr>
          <w:rFonts w:ascii="Times New Roman" w:hAnsi="Times New Roman"/>
          <w:color w:val="000000" w:themeColor="text1"/>
          <w:sz w:val="16"/>
          <w:szCs w:val="16"/>
        </w:rPr>
        <w:t xml:space="preserve"> в 1944 году завершилась Красносельско-Ропшинская операция: войска Ленинградского и Волховского фронтов вышли на рубеж Нарвский залив, Кингисепп, южнее Любани, Чудово, восточнее Ореджа, река Луга, Великое Село, Шимок, создав угрозу окружения 18-й армии немцев. Началась Никопольско-Криворожская наступательная операция войск 3-го (генерал армии Р.Я.Малиновский) и 4-го (генерал армии Ф.И.Толбухин) Украинских фронтов, продолжавшаяся до 29 февраля (15025).</w:t>
      </w:r>
    </w:p>
    <w:p w14:paraId="6AA429E1" w14:textId="77777777" w:rsidR="00D9700C" w:rsidRPr="007224C3" w:rsidRDefault="00D9700C" w:rsidP="007224C3">
      <w:pPr>
        <w:spacing w:after="0" w:line="240" w:lineRule="auto"/>
        <w:jc w:val="both"/>
        <w:rPr>
          <w:rFonts w:ascii="Times New Roman" w:hAnsi="Times New Roman"/>
          <w:color w:val="000000" w:themeColor="text1"/>
          <w:sz w:val="16"/>
          <w:szCs w:val="16"/>
        </w:rPr>
      </w:pPr>
    </w:p>
    <w:p w14:paraId="36E78D5B"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января 1944 Третий и Четвертый Украинские фронты начали Никопольско-Криворожскую наступательную операцию (4962).</w:t>
      </w:r>
    </w:p>
    <w:p w14:paraId="6C26B61F"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425A9D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30 января по 29 февраля 1944 прошла Никопольско-Криворожская операция и освободили оба города, создав условия для освобождения Крыма (2438,451). Проводили 3УФ (Р.Я.Малиновский) и 4УФ (Ф.И.Толбухин). Ликвидировали Никопольский плацдарм и уничтожили 12 дивизий. Блокировали в Крыму 17А (3398,49).</w:t>
      </w:r>
    </w:p>
    <w:p w14:paraId="53F16A3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ходе этой операции авиация широко использовалась как транспортное средство для снабжения танковых армий (518,168).</w:t>
      </w:r>
    </w:p>
    <w:p w14:paraId="6F84499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074978" w14:textId="77777777" w:rsidR="00D9700C"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4F9A5BEE" w14:textId="77777777" w:rsidR="00D9700C" w:rsidRPr="007224C3" w:rsidRDefault="00D9700C"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8197A0A" w14:textId="77777777" w:rsidR="00F41EB5" w:rsidRPr="007224C3" w:rsidRDefault="00F41EB5"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30 января 1944 777 бомбардировщики Восьмой армии ВВС в сопровождении 635 истребителей совершают налеты на цели авиационной промышленности в Браншвейге, Германия, хотя плотная облачность над целью заставляет некоторых вместо этого бомбить Ганновер. Сбито 20 бомбардировщиков и 4 истребителя. В совокупности бомбардировщики и истребители заявляют, что 96 немецких самолетов сбитых, 22 вероятно сбитых и 58 поврежденых (20373).</w:t>
      </w:r>
    </w:p>
    <w:p w14:paraId="046BC075" w14:textId="77777777" w:rsidR="00F41EB5" w:rsidRPr="007224C3" w:rsidRDefault="00F41EB5" w:rsidP="007224C3">
      <w:pPr>
        <w:spacing w:after="0" w:line="240" w:lineRule="auto"/>
        <w:jc w:val="both"/>
        <w:rPr>
          <w:rFonts w:ascii="Times New Roman" w:hAnsi="Times New Roman"/>
          <w:color w:val="0070C0"/>
          <w:sz w:val="16"/>
          <w:szCs w:val="16"/>
        </w:rPr>
      </w:pPr>
    </w:p>
    <w:p w14:paraId="34C2EE7E" w14:textId="77777777" w:rsidR="00F41EB5" w:rsidRPr="007224C3" w:rsidRDefault="00F41EB5"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30 января 1944 - 777 американских тяжелых бомбардировщиков под прикрытием 635 истребителей 8-го воздушного флота США совершили дневной налёт на промышленные объекты в районе Брауншвайга и Ганновера. Схватка американских истребителей дальнего радиуса действия с люфтваффе доказала, что только при достаточном прикрытии истребителями бомбардировщики могут полностью заняться своим непосредственным делом (22639).</w:t>
      </w:r>
    </w:p>
    <w:p w14:paraId="35443523" w14:textId="77777777" w:rsidR="00F41EB5" w:rsidRPr="007224C3" w:rsidRDefault="00F41EB5" w:rsidP="007224C3">
      <w:pPr>
        <w:spacing w:after="0" w:line="240" w:lineRule="auto"/>
        <w:jc w:val="both"/>
        <w:rPr>
          <w:rFonts w:ascii="Times New Roman" w:hAnsi="Times New Roman"/>
          <w:color w:val="0070C0"/>
          <w:sz w:val="16"/>
          <w:szCs w:val="16"/>
        </w:rPr>
      </w:pPr>
    </w:p>
    <w:p w14:paraId="14B73FA2" w14:textId="77777777" w:rsidR="00F41EB5" w:rsidRPr="007224C3" w:rsidRDefault="00F41EB5"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30–31 января (ночь) 1944 534 британских бомбардировщика совершили налет на Берлин, потеряв 33 машмн (6,2% сил). После налета Бомбардировочное командование начинает период отдыха продолжительностью более двух недель для своих обычных бомбардировочных эскадрилий, в течение которого оно не будет совершать крупных налетов (20373).</w:t>
      </w:r>
    </w:p>
    <w:p w14:paraId="5510DB01" w14:textId="77777777" w:rsidR="00F41EB5" w:rsidRPr="007224C3" w:rsidRDefault="00F41EB5" w:rsidP="007224C3">
      <w:pPr>
        <w:spacing w:after="0" w:line="240" w:lineRule="auto"/>
        <w:jc w:val="both"/>
        <w:rPr>
          <w:rFonts w:ascii="Times New Roman" w:hAnsi="Times New Roman"/>
          <w:color w:val="0070C0"/>
          <w:sz w:val="16"/>
          <w:szCs w:val="16"/>
        </w:rPr>
      </w:pPr>
    </w:p>
    <w:p w14:paraId="6FC5A368" w14:textId="77777777" w:rsidR="00D9700C" w:rsidRPr="007224C3" w:rsidRDefault="00D9700C"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30 января</w:t>
      </w:r>
      <w:r w:rsidRPr="007224C3">
        <w:rPr>
          <w:rFonts w:ascii="Times New Roman" w:hAnsi="Times New Roman"/>
          <w:color w:val="000000" w:themeColor="text1"/>
          <w:sz w:val="16"/>
          <w:szCs w:val="16"/>
        </w:rPr>
        <w:t xml:space="preserve"> в 1944 году Адольф Гитлер заявил, что Англия доигрывает свою роль на континенте. В Европе в случае победы над Германией будет господствовать «большевистский колосс» (15025).</w:t>
      </w:r>
    </w:p>
    <w:p w14:paraId="0C1AC6D8" w14:textId="77777777" w:rsidR="00D9700C" w:rsidRPr="007224C3" w:rsidRDefault="00D9700C" w:rsidP="007224C3">
      <w:pPr>
        <w:spacing w:after="0" w:line="240" w:lineRule="auto"/>
        <w:jc w:val="both"/>
        <w:rPr>
          <w:rFonts w:ascii="Times New Roman" w:hAnsi="Times New Roman"/>
          <w:color w:val="000000" w:themeColor="text1"/>
          <w:sz w:val="16"/>
          <w:szCs w:val="16"/>
        </w:rPr>
      </w:pPr>
    </w:p>
    <w:p w14:paraId="02AAE9F9" w14:textId="77777777" w:rsidR="00F41EB5" w:rsidRPr="007224C3" w:rsidRDefault="00F41EB5"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lastRenderedPageBreak/>
        <w:t>30 января 1944 самолеты оперативной группы 58 атакуют японский конвой у атолла Кваджалейн и бомбят остров Кваджалейн, Рой-Намур, Малоэлап и Вотье. Они также нанесли первый авиаудар по Эниветоку, уничтожив на земле 15 японских бомбардировщиков Mitsubishi G4M (союзное название "Бетти"). Американские авианосцы продолжат ежедневно наносить удары по Эниветоку до 7 февраля (20373).</w:t>
      </w:r>
    </w:p>
    <w:p w14:paraId="71DE9D17" w14:textId="77777777" w:rsidR="00F41EB5" w:rsidRPr="007224C3" w:rsidRDefault="00F41EB5" w:rsidP="007224C3">
      <w:pPr>
        <w:spacing w:after="0" w:line="240" w:lineRule="auto"/>
        <w:jc w:val="both"/>
        <w:rPr>
          <w:rFonts w:ascii="Times New Roman" w:hAnsi="Times New Roman"/>
          <w:color w:val="0070C0"/>
          <w:sz w:val="16"/>
          <w:szCs w:val="16"/>
        </w:rPr>
      </w:pPr>
    </w:p>
    <w:p w14:paraId="7A4AFBE5"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29AE7F9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660D5CA" w14:textId="77777777" w:rsidR="00282955" w:rsidRPr="007224C3" w:rsidRDefault="00282955" w:rsidP="007224C3">
      <w:pPr>
        <w:pStyle w:val="27"/>
        <w:shd w:val="clear" w:color="auto" w:fill="auto"/>
        <w:spacing w:after="0" w:line="240" w:lineRule="auto"/>
        <w:ind w:firstLine="0"/>
        <w:rPr>
          <w:rFonts w:ascii="Times New Roman" w:cs="Times New Roman"/>
          <w:color w:val="000000" w:themeColor="text1"/>
          <w:spacing w:val="0"/>
        </w:rPr>
      </w:pPr>
      <w:r w:rsidRPr="007224C3">
        <w:rPr>
          <w:rFonts w:ascii="Times New Roman" w:cs="Times New Roman"/>
          <w:color w:val="000000" w:themeColor="text1"/>
          <w:spacing w:val="0"/>
        </w:rPr>
        <w:t>31 января 1944 г. генерал-полковник А.К. Репин дал указание своему заместителю генерал-лейтенанту А.А. Лапину срочно подго</w:t>
      </w:r>
      <w:r w:rsidRPr="007224C3">
        <w:rPr>
          <w:rFonts w:ascii="Times New Roman" w:cs="Times New Roman"/>
          <w:color w:val="000000" w:themeColor="text1"/>
          <w:spacing w:val="0"/>
        </w:rPr>
        <w:softHyphen/>
        <w:t>товить письмо генерал-майору С.В. Ильюшину. В этот же день ему направили для ознакомле</w:t>
      </w:r>
      <w:r w:rsidRPr="007224C3">
        <w:rPr>
          <w:rFonts w:ascii="Times New Roman" w:cs="Times New Roman"/>
          <w:color w:val="000000" w:themeColor="text1"/>
          <w:spacing w:val="0"/>
        </w:rPr>
        <w:softHyphen/>
        <w:t>ния «Акт комиссии по бронезащите самолета Ил-2». Репин просил Ильюшина сообщить за</w:t>
      </w:r>
      <w:r w:rsidRPr="007224C3">
        <w:rPr>
          <w:rFonts w:ascii="Times New Roman" w:cs="Times New Roman"/>
          <w:color w:val="000000" w:themeColor="text1"/>
          <w:spacing w:val="0"/>
        </w:rPr>
        <w:softHyphen/>
        <w:t>ключение</w:t>
      </w:r>
      <w:r w:rsidRPr="007224C3">
        <w:rPr>
          <w:rStyle w:val="aff7"/>
          <w:rFonts w:ascii="Times New Roman" w:hAnsi="Times New Roman" w:cs="Times New Roman"/>
          <w:i w:val="0"/>
          <w:color w:val="000000" w:themeColor="text1"/>
          <w:spacing w:val="0"/>
        </w:rPr>
        <w:t xml:space="preserve"> «по вопросу о возможности пере</w:t>
      </w:r>
      <w:r w:rsidRPr="007224C3">
        <w:rPr>
          <w:rStyle w:val="aff7"/>
          <w:rFonts w:ascii="Times New Roman" w:hAnsi="Times New Roman" w:cs="Times New Roman"/>
          <w:i w:val="0"/>
          <w:color w:val="000000" w:themeColor="text1"/>
          <w:spacing w:val="0"/>
        </w:rPr>
        <w:softHyphen/>
        <w:t>смотра бронирования самолета Ил-2 в целях усиления бронезащиты стрелка, нижней частичасти капота и водо- и маслорадиаторов».</w:t>
      </w:r>
      <w:r w:rsidRPr="007224C3">
        <w:rPr>
          <w:rFonts w:ascii="Times New Roman" w:cs="Times New Roman"/>
          <w:color w:val="000000" w:themeColor="text1"/>
          <w:spacing w:val="0"/>
        </w:rPr>
        <w:t xml:space="preserve"> Однако Ильюшин задержал заключение более чем на месяц.</w:t>
      </w:r>
    </w:p>
    <w:p w14:paraId="6BF66060" w14:textId="77777777" w:rsidR="00282955" w:rsidRPr="007224C3" w:rsidRDefault="00282955" w:rsidP="007224C3">
      <w:pPr>
        <w:pStyle w:val="27"/>
        <w:shd w:val="clear" w:color="auto" w:fill="auto"/>
        <w:spacing w:after="0" w:line="240" w:lineRule="auto"/>
        <w:ind w:firstLine="0"/>
        <w:rPr>
          <w:rStyle w:val="aff7"/>
          <w:rFonts w:ascii="Times New Roman" w:hAnsi="Times New Roman" w:cs="Times New Roman"/>
          <w:i w:val="0"/>
          <w:color w:val="000000" w:themeColor="text1"/>
          <w:spacing w:val="0"/>
        </w:rPr>
      </w:pPr>
      <w:r w:rsidRPr="007224C3">
        <w:rPr>
          <w:rFonts w:ascii="Times New Roman" w:cs="Times New Roman"/>
          <w:color w:val="000000" w:themeColor="text1"/>
          <w:spacing w:val="0"/>
        </w:rPr>
        <w:t>Одновременно А.А. Лапин поставил зада</w:t>
      </w:r>
      <w:r w:rsidRPr="007224C3">
        <w:rPr>
          <w:rFonts w:ascii="Times New Roman" w:cs="Times New Roman"/>
          <w:color w:val="000000" w:themeColor="text1"/>
          <w:spacing w:val="0"/>
        </w:rPr>
        <w:softHyphen/>
        <w:t>чу начальнику НИИ ВВС генерал-лейтенанту П.А. Лосюкову к 10 марта 1944 г. составить ТТТ к бронированию кабины стрелка самолета Ил-2</w:t>
      </w:r>
      <w:r w:rsidRPr="007224C3">
        <w:rPr>
          <w:rStyle w:val="aff7"/>
          <w:rFonts w:ascii="Times New Roman" w:hAnsi="Times New Roman" w:cs="Times New Roman"/>
          <w:i w:val="0"/>
          <w:color w:val="000000" w:themeColor="text1"/>
          <w:spacing w:val="0"/>
        </w:rPr>
        <w:t xml:space="preserve"> «для предъявления требований главному конструктору самолета тов. Ильюшину по улуч</w:t>
      </w:r>
      <w:r w:rsidRPr="007224C3">
        <w:rPr>
          <w:rStyle w:val="aff7"/>
          <w:rFonts w:ascii="Times New Roman" w:hAnsi="Times New Roman" w:cs="Times New Roman"/>
          <w:i w:val="0"/>
          <w:color w:val="000000" w:themeColor="text1"/>
          <w:spacing w:val="0"/>
        </w:rPr>
        <w:softHyphen/>
        <w:t>шению бронезащиты стрелка» (17478).</w:t>
      </w:r>
    </w:p>
    <w:p w14:paraId="65DC3357" w14:textId="77777777" w:rsidR="00282955" w:rsidRPr="007224C3" w:rsidRDefault="00282955" w:rsidP="007224C3">
      <w:pPr>
        <w:pStyle w:val="27"/>
        <w:shd w:val="clear" w:color="auto" w:fill="auto"/>
        <w:spacing w:after="0" w:line="240" w:lineRule="auto"/>
        <w:ind w:firstLine="0"/>
        <w:rPr>
          <w:rFonts w:ascii="Times New Roman" w:cs="Times New Roman"/>
          <w:color w:val="000000" w:themeColor="text1"/>
          <w:spacing w:val="0"/>
        </w:rPr>
      </w:pPr>
    </w:p>
    <w:p w14:paraId="4BAA832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 января 1944 А.В.Чесалов утвердил отчет о летных испытаниях серийного с-та Ла-5ФН N 39210319 серийного выпуска июня 1943 на 21 заводе для определения влияния состава смеси на максимальную скорость.</w:t>
      </w:r>
    </w:p>
    <w:p w14:paraId="6776FE6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Вед. исп. и ви 1-й лаб. - В.В.Славов и ви 3-й лаб. В.А.Кривенко</w:t>
      </w:r>
    </w:p>
    <w:p w14:paraId="5B0ACA4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Вед. Л ГСС С.Ф.Машиковский</w:t>
      </w:r>
    </w:p>
    <w:p w14:paraId="47FFC2B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работе мотора на переобогащенной смеси (альфа 0,6-0,62) или при значительном обеднении смеси (альфа 0,85) макс. Скорость уменьшилась на 3-4% вследствие резкого падения мощности на 10-12% (749,2).</w:t>
      </w:r>
    </w:p>
    <w:p w14:paraId="39DEB38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9A77AC"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53EDC05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2F8FF61"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 января 1944 года вышел приказ НКБ № 55</w:t>
      </w:r>
    </w:p>
    <w:p w14:paraId="056A1F68"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целях концентрации производства элементов авиавыстрела в системе 8 Гл. управления</w:t>
      </w:r>
    </w:p>
    <w:p w14:paraId="53439339"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Передать по состоянию на 1 февраля 1944 года заводы №№ 398 и 572 из 2 Гл. управления в 8 Гл. управление (5952, 33).</w:t>
      </w:r>
    </w:p>
    <w:p w14:paraId="6273E59F"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33CDE8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 января 1944 вышло Распоряжение ГКО № 5070. О срочном обеспечении сырьем, материалами, топливом завода № 711 НКМВ, выпускавшего корпуса 120 мм мин. РГАНИР, Фонд ГКО, д. 200, лл. 1-4 (11012).</w:t>
      </w:r>
    </w:p>
    <w:p w14:paraId="2131ABC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09969BE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 января 1944 г. была подготовлена ДОКЛАДНАЯ ЗАПИСКА НАЧАЛЬНИКА ГБТУ КА КОМАНДУЮЩЕМУ БТ и МВ КА ПО ПРОВЕРКЕ КАЧЕСТВА КАПИТАЛЬНО ОТРЕМОНТИРОВАННЫХ НА БРОНЕТАНКОВЫХ РЕМОНТНЫХ ЗАВОДАХ ТАНКОВ</w:t>
      </w:r>
    </w:p>
    <w:p w14:paraId="71E7946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проверки качества танков, капитально отремонтированных на бронетанковых ремонтных заводах УРТ ГБТУ КА, прошу Вашего разрешения производить испытания каждого сотого танка:</w:t>
      </w:r>
    </w:p>
    <w:p w14:paraId="5C35290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для танков КВ, Т-34 и СУ-152, СУ-122 и СУ-85 - на 300 км;</w:t>
      </w:r>
    </w:p>
    <w:p w14:paraId="7E74DED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для танков Т-60, Т-70 и СУ-76 - на 200 км.</w:t>
      </w:r>
    </w:p>
    <w:p w14:paraId="6494E4D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Главного бронетанкового управления Красной Армии генерал-лейтенант танковых войск Вершинин</w:t>
      </w:r>
    </w:p>
    <w:p w14:paraId="3F1D1D0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танкового управления ГБТУ Красной Армии генерал-майор инженерно-танковой службы Афонин</w:t>
      </w:r>
    </w:p>
    <w:p w14:paraId="5AF02DA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38. Оп. 11355. Д. 2179. Л. 77. Подлинник (11403).</w:t>
      </w:r>
    </w:p>
    <w:p w14:paraId="4B132BE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39889337"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 января 1944 вышло Распоряжение ГКО № 5071 [Об отнесении на счет НКФ СССР расходов по обеспечению всеми видами довольствия офицеров, работающих в этом наркомате.] (7181, 5).</w:t>
      </w:r>
    </w:p>
    <w:p w14:paraId="47846B57"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E16B196"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 января 1944 вышло Распоряжение ГКО № 5072 [О мерах по обеспечению НКПС вагонными пиломатериалами.] (7181, 6-7).</w:t>
      </w:r>
    </w:p>
    <w:p w14:paraId="07A79E30"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46C50F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 января 1944 вышло Постановление ГКО № 5076 О передаче подвижных и стационарных средств по ремонту танков из системы Наркомсредмаша в ведение ГБТУ КА. РГАНИР, Фонд ГКО, д. 200, лл. 17-18 (11012).</w:t>
      </w:r>
    </w:p>
    <w:p w14:paraId="0A6B9A3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5D07A1B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 января 1944 вышло Распоряжение ГКО № 5077. О разрешении НКБ произвести и поставить НКЧМ в I кв. 1944 г. два эксцентриковых пресса типа "Толедо". РГАНИР, Фонд ГКО, д. 200 Л.19 (11012).</w:t>
      </w:r>
    </w:p>
    <w:p w14:paraId="08D4E29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6A05C2A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 января 1944 вышло Постановление ГКО № 5078 О форсировании строительства заводов по производству синтетического каучука и спирта из непищевого сырья в Караганде и Уфе, завода синтетического каучука в Чкалове и восстановлении заводов синтетического каучука в Воронеже и Ефремове. РГАНИР, Фонд ГКО, д. 200, лл. 20-44 (11012).</w:t>
      </w:r>
    </w:p>
    <w:p w14:paraId="7A08530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2C67459C"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 января 1944 вышло Постановление ГКО № 5079 О плане распределения автомобильных прицепов на I квартал 1944 г. (7181, 44,45-48).</w:t>
      </w:r>
    </w:p>
    <w:p w14:paraId="10E63F87"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C1FC6F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 января 1944 вышло Постановление ГКО № 5080 О поставке оборудования, аппаратуры, автотранспорта и материалов для фронтовых и вновь организуемых станций правительственной связи НКВД в освобождаемых от немецких оккупантов городах и об укомплектовании войск правительственной связи НКВРГАНИР, Фонд ГКО, д. РГАНИР, Фонд ГКО, д. 200, лл. 49-61 (11012).</w:t>
      </w:r>
    </w:p>
    <w:p w14:paraId="1A205F3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66F1ECC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 января 1944 вышло Постановление ГКО № 5081 Об обеспечении крепежным лесом горнорудной промышленности Наркомцветмета в 1944 году. РГАНИР, Фонд ГКО, д. 200, лл. 62-64,65-73 (11012).</w:t>
      </w:r>
    </w:p>
    <w:p w14:paraId="6A15EE7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666AAA24"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 января 1944 вышло Постановление ГКО № 5082 О мероприятиях по подготовке речного транспорта к навигации 1944 г. (7181, 74-78,88-100,79-87,101-147).</w:t>
      </w:r>
    </w:p>
    <w:p w14:paraId="250E0F88"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7768FD4"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0A786D1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8FCEFBB" w14:textId="77777777" w:rsidR="00D9700C" w:rsidRPr="007224C3" w:rsidRDefault="00D9700C"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31 января</w:t>
      </w:r>
      <w:r w:rsidRPr="007224C3">
        <w:rPr>
          <w:rFonts w:ascii="Times New Roman" w:hAnsi="Times New Roman"/>
          <w:color w:val="000000" w:themeColor="text1"/>
          <w:sz w:val="16"/>
          <w:szCs w:val="16"/>
        </w:rPr>
        <w:t xml:space="preserve"> в 1944 году оперативная сводка Совинформбюро:</w:t>
      </w:r>
    </w:p>
    <w:p w14:paraId="2A85A882" w14:textId="77777777" w:rsidR="00D9700C" w:rsidRPr="007224C3" w:rsidRDefault="00D9700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31 января северо-западнее и западнее города Волосово наши войска продолжали развивать наступление и с боями заняли более 60 населённых пунктов, в том числе Дубня, Посёлок, Пейпия, Малое Стремление, Заозерье, Вассакара, Большая и Малая Рассия, Монастырки, Ундово, Матия, Муккова, Крикково, Кикерицы, Керстово, Килли, Малли, Заполье, Алексеевка, Тикопись, Куково, Большой и Малый Луцк, Большое Кленно, Недоблицы, Выползово, Ивановское, Юрки и железнодорожные станции Кихтолка, Керстово, Кленно. Наши войска вплотную подошли к городу Кингисепп и завязали бои на окраинах города.</w:t>
      </w:r>
    </w:p>
    <w:p w14:paraId="649E5951" w14:textId="77777777" w:rsidR="00D9700C" w:rsidRPr="007224C3" w:rsidRDefault="00D9700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и южнее Сиверский наши войска с боями продвигались вперёд и овладели населёнными пунктами Домашёво, Максимовка, Слепино, Мышкино, Редкино, Ганьково, Пелеши, Язвище, Гостятино, Большой Сабск, Загорье, Ликовское, Липа, Мазана Горка, Васина Нива, Рождествено, Большево, Зайцево, Тозорево, Малая Дивенка, Посёлок Дивенский, Остров, Заозерье и железнодорожной станцией Дивенское. Ранее окружённые немецкие гарнизоны в населённых пунктах Рождествено, Остров уничтожены нашими войсками. В ряде пунктов наши войска форсировали реку Луга.</w:t>
      </w:r>
    </w:p>
    <w:p w14:paraId="29D56D51" w14:textId="77777777" w:rsidR="00D9700C" w:rsidRPr="007224C3" w:rsidRDefault="00D9700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и южнее Любань наши войска, преодолевая инженерные заграждения противника на лесных дорогах, с боями продвигались вперёд и заняли несколько населённых пунктов.</w:t>
      </w:r>
    </w:p>
    <w:p w14:paraId="7BCF7DAF" w14:textId="77777777" w:rsidR="00D9700C" w:rsidRPr="007224C3" w:rsidRDefault="00D9700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и юго-западнее Новгорода наши войска продолжали вести наступательные бои, в ходе которых заняли более 40 населённых пунктов и среди них Мошковы Поляны, Речка, Коростыни, Треньково, Савины Поляны, Мячино, Покровка, Смыч, Радовежи, Любино Поле, Малый Волочек, Заречье, Вяжищи, Людятино, Казовицы, Турская Горка.</w:t>
      </w:r>
    </w:p>
    <w:p w14:paraId="6215AACB" w14:textId="77777777" w:rsidR="00D9700C" w:rsidRPr="007224C3" w:rsidRDefault="00D9700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Северо-западнее и западнее Новосокольники наши войска, преодолевая сопротивление противника, заняли несколько населённых пунктов.</w:t>
      </w:r>
    </w:p>
    <w:p w14:paraId="74461046" w14:textId="77777777" w:rsidR="00D9700C" w:rsidRPr="007224C3" w:rsidRDefault="00D9700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30 января наши войска на всех фронтах подбили и уничтожили 93 немецких танков. В воздушных боях и огнём зенитной артиллерии сбито 44 самолёта противника.</w:t>
      </w:r>
    </w:p>
    <w:p w14:paraId="3EEB482A" w14:textId="77777777" w:rsidR="00D9700C" w:rsidRPr="007224C3" w:rsidRDefault="00D9700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Северо-западнее и западнее города Волосово наши войска продолжали успешное наступление. С боями продвигаясь вперёд, наши части заняли более 60 населённых пунктов и ведут бои на окраинах города Кингисепп. Отступая под ударами советских войск, противник бросает орудия, тяжелые миномёты, а также склады с военным имуществом. Юго-западнее Волосово части Н-ского соединения отбросили немцев в леса и болота и уничтожают разрозненные группы противника. В одном районе подвижные советские части разгромили сводную группу немцев.</w:t>
      </w:r>
    </w:p>
    <w:p w14:paraId="633C3B1D" w14:textId="77777777" w:rsidR="00D9700C" w:rsidRPr="007224C3" w:rsidRDefault="00D9700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Истреблено свыше 1.000 вражеских солдат и офицеров. Захвачены трофеи и пленные.</w:t>
      </w:r>
    </w:p>
    <w:p w14:paraId="18B4A8CB" w14:textId="77777777" w:rsidR="00D9700C" w:rsidRPr="007224C3" w:rsidRDefault="00D9700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и южнее посёлка Сиверский наши войска, сломив сопротивление противника, продвигались вперёд и в ряде мест переправились через реку Луга. Противник понёс большие потери в живой силе и технике. Уничтоженный вчера нашими войсками немецкий гарнизон в посёлке и на железнодорожной станции Сиверский состоял из танкового полка, моторизованного полка, двух пехотных полков, строительного батальона и других подразделений немцев. Сегодня наши войска ликвидировали окружённые гарнизоны противника в крупных населённых пунктах Рождествено и Остров. На улицах этих пунктов остались сотни вражеских трупов. Захвачены трофеи и пленные.</w:t>
      </w:r>
    </w:p>
    <w:p w14:paraId="65BC44BE" w14:textId="77777777" w:rsidR="00D9700C" w:rsidRPr="007224C3" w:rsidRDefault="00D9700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и южнее города Любань наши войска продолжали наступление. Противник, отступая по лесным дорогам и болотам, бросает технику и вооружение. Советские подвижные отряды обходными манёврами отрезают немцам пути отхода и по частям уничтожают их или берут в плен. Подразделения Н-ской части истребили до батальона гитлеровцев и захватили 17 орудий, 66 пулемётов и 80 повозок с грузами. На другом участке советские бойцы уничтожили две роты немецких автоматчиков.</w:t>
      </w:r>
    </w:p>
    <w:p w14:paraId="02A6146E" w14:textId="77777777" w:rsidR="00D9700C" w:rsidRPr="007224C3" w:rsidRDefault="00D9700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и юго-западнее Новгорода наши войска продолжали продвигаться вперёд. Части Н-ского соединения переправились через реку Луга и заняли ряд населённых пунктов на ее правом берегу. Противник, пытаясь вернуть потерянные позиции, предпринял несколько контратак, но был отброшен с большими для него потерями. На другом участке наши бойцы, овладев населённым пунктом Вольная Горка, захватили 16 орудий и три склада с военным имуществом. Н-ское танковое подразделение, действуя в тылу немцев, разгромило артиллерийский полк противника и захватило 20 исправных орудий.</w:t>
      </w:r>
    </w:p>
    <w:p w14:paraId="386A668D" w14:textId="77777777" w:rsidR="00D9700C" w:rsidRPr="007224C3" w:rsidRDefault="00D9700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Ленинградские партизанские отряды с 18 по 24 января взорвали свыше 2.000 железнодорожных рельсов, 18 мостов и бронепоезд противника. В боях с немецкой железнодорожной охраной партизаны уничтожили 180 гитлеровцев. В ночь на 21 января два отряда ленинградских партизан совершили налёт на железнодорожную станцию и разгромили немецкий гарнизон. Советские патриоты истребили до роты гитлеровцев, разрушили пути и взорвали два воинских эшелона противника.</w:t>
      </w:r>
    </w:p>
    <w:p w14:paraId="64ECF79B" w14:textId="77777777" w:rsidR="00D9700C" w:rsidRPr="007224C3" w:rsidRDefault="00D9700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Венгерское телеграфное агентство усиленно опровергает сообщения о том, что венгерские войска сражаются на советско-германском фронте на стороне немцев. Агентство с деланным возмущением заявляет, что эти сообщения якобы не соответствуют действительности и преследуют единственную цель «скомпрометировать Венгрию».</w:t>
      </w:r>
    </w:p>
    <w:p w14:paraId="71E3D19E" w14:textId="77777777" w:rsidR="00D9700C" w:rsidRPr="007224C3" w:rsidRDefault="00D9700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Будапештские гитлеровцы, прикидываясь дурачками, разыгрывают жалкую комедию. Всему миру известно, что правящая клика Венгрии по своей собственной воле заключила союз с гитлеровской Германией. Венгерский премьер-министр Каллаи 19марта 1942 года во всеуслышание заявлял: «Венгерская нация посвятит все силы этой войне. Венгрия будет всегда итти рука об руку с Германией и Италией и будет стоять на стороне своих двух великих союзников, когда после войны речь пойдёт о реорганизации Европы на новых основах».</w:t>
      </w:r>
    </w:p>
    <w:p w14:paraId="4BED9235" w14:textId="77777777" w:rsidR="00D9700C" w:rsidRPr="007224C3" w:rsidRDefault="00D9700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Это говорилось не ради красного словца. Будапештские наймиты Гитлера добровольно связали себя с фашистской разбойничьей шайкой, рассчитывая на лёгкуюдобычу. Они послали венгерские войска на советско-германский фронт, и десятки тысяч венгерских солдат бесславно погибли в степях Дона. Тогда в Будапеште не только не скрывали захватнических планов, но всячески бахвалились своим участиемв войне на стороне Германии. А теперь, когда в ходе войны произошёл крутой поворот и Германия катится к краху, венгерские приспешники Гитлера «смотрят в кусты». В декабре 1943 года тот же премьер-министр Венгрии Каллаи уже маловразумительно лепетал: «Венгрия не вела захватнической войны, она не стремилась к лёгкой или трудной наживе... Не мы зажгли пожар, и то обстоятельство, что пламя его охватило нашу страну, никем не может рассматриваться как совершённое нами преступление». Словом, «Я не я, лошадь не моя, и я не извозчик». Пресмыкаясь и угодничая перед Гитлером, правители Венгрии обесчестили и опозорили свою страну, а теперь, когда приближается время расплаты, лицемерно заявляют, что сообщения об участии венгерских дивизий в войне на стороне Германии, видите ли, «компрометируют Венгрию».</w:t>
      </w:r>
    </w:p>
    <w:p w14:paraId="740EE62C" w14:textId="77777777" w:rsidR="00D9700C" w:rsidRPr="007224C3" w:rsidRDefault="00D9700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Этот маскарад вряд ли кого обманет. Несмотря на опровержения агентства и «миролюбивые» речи некоторых министров, Венгрия по-прежнему принимает самое активное участие в войне на стороне немцев. С полной достоверностью установлено, что на советско-германском фронте находятся одна кавалерийская и 11 пехотных венгерских дивизий. Часть этих дивизий несёт охранную службу в тылах немецкой армии и зверски расправляется с мирным советским населением. Другая часть венгерских войск и в том числе 12, 18, 19 легко-пехотные и другие венгерские дивизии находятся на передовой линии фронта. В январе захвачена в плен большая группа солдат и унтер-офицеров из состава этих дивизий.</w:t>
      </w:r>
    </w:p>
    <w:p w14:paraId="7AA12DE7" w14:textId="77777777" w:rsidR="00D9700C" w:rsidRPr="007224C3" w:rsidRDefault="00D9700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 выглядит не на словах, а на деле политика правителей Венгрии. Они продолжают по-прежнему служить Гитлеру, но пытаются замутить воду фальшивыми фразами о «миролюбии» Венгрии.» (15026).</w:t>
      </w:r>
    </w:p>
    <w:p w14:paraId="146AE3F1" w14:textId="77777777" w:rsidR="00D9700C" w:rsidRPr="007224C3" w:rsidRDefault="00D9700C" w:rsidP="007224C3">
      <w:pPr>
        <w:spacing w:after="0" w:line="240" w:lineRule="auto"/>
        <w:jc w:val="both"/>
        <w:rPr>
          <w:rFonts w:ascii="Times New Roman" w:hAnsi="Times New Roman"/>
          <w:color w:val="000000" w:themeColor="text1"/>
          <w:sz w:val="16"/>
          <w:szCs w:val="16"/>
        </w:rPr>
      </w:pPr>
    </w:p>
    <w:p w14:paraId="63B7531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 января 1944 года черноморская авиация понесла тяжелую утрату. Погиб командир 2-й ГМТАД, генералмайор Н.А. Токарев. Самолеты 36-го МТАП провели неудачную атаку на конвой, шедший в Евпаторию. Рассерженный генералмайор приказал командиру полка готовиться к повторному вылету. Однако к указанному сроку удалось подготовить только два А-20, остальные 18 машин должны были быть готовы в течение часа. Поэтому на задание вылетели только два готовых Бостон'а, один из которых пилотировал генерал. Их сопровождало восемь Р-39. Однако второй А-20 вскоре повернул назад изза неисправности двигателя. В результате генералмайор полетел один. Выйдя на цель, генерал с дистанции 600 метров и с высоты 40 метров положил торпеду, которая попала в один из транспортов. Однако в этот самый момент прицельная очередь зенитной пушки поразила торпедоносец. Генерал попытался посадить горящую машину на берег, но при посадке погиб вместе со всем экипажем (2691).</w:t>
      </w:r>
    </w:p>
    <w:p w14:paraId="0AFC731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тот же день старший лейтенант В.И. Щербаков и младший лейтенант П.В. Карпунин из 11 го ГИАП, действуя в паре, сбили два }и52 (2691).</w:t>
      </w:r>
    </w:p>
    <w:p w14:paraId="11D77D3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EA79C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 января 1944 по данным воздушной разведки л 2 шак (г В.В,Степичев) задержали в ходе Корсунь-Шевченковской операции в районе Шпола выдвижению к полю боя вражеских резервов и помогли 5ГТА и 4ГА и 53А отразить контрудары противника (518,165).</w:t>
      </w:r>
    </w:p>
    <w:p w14:paraId="484D700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CF75A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31 января по 18 февраля 1944 в ходе Корсунь-Шевченковской операции части 2ВА и 10 иак ПВО, осуществляющие воздушную блокаду, сожгли на аэродромах 257 и в воздухе 211 самолетов противника, их них в большинстве Ю-52 (518,179).</w:t>
      </w:r>
    </w:p>
    <w:p w14:paraId="7AE0D7C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C3379A"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 января 1944 вышло Распоряжение ГКО № 5075 [О направлении 10 тыс. призывников 1926 года рождения для укомплектования военно-морских и военно-морских авиационных училищ.] (7181, 16).</w:t>
      </w:r>
    </w:p>
    <w:p w14:paraId="4238D2E8"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8FFDE75"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Жизнь и внутренняя политика:</w:t>
      </w:r>
    </w:p>
    <w:p w14:paraId="2B05EF9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DC65452"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 января 1944 вышло Постановление ГКО № 5073 О мероприятиях по размещению спецпереселенцев в пределах Казахской и Киргизской ССР. (7181, 8-12).</w:t>
      </w:r>
    </w:p>
    <w:p w14:paraId="5C9D920C"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3F8C268"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 января 1944 вышло Постановление ГКО № 5074 [О мерах по подготовке и осуществлению переселения спецпереселенцев с Северного Кавказа в Казахстан и Киргизию.] (7181, 13-15).</w:t>
      </w:r>
    </w:p>
    <w:p w14:paraId="1946E6C7"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0100F59" w14:textId="77777777" w:rsidR="00D9700C"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1329A5DF" w14:textId="77777777" w:rsidR="00D9700C" w:rsidRPr="007224C3" w:rsidRDefault="00D9700C"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FCD1C00" w14:textId="77777777" w:rsidR="00D9700C" w:rsidRPr="007224C3" w:rsidRDefault="00D9700C"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31 января</w:t>
      </w:r>
      <w:r w:rsidRPr="007224C3">
        <w:rPr>
          <w:rFonts w:ascii="Times New Roman" w:hAnsi="Times New Roman"/>
          <w:color w:val="000000" w:themeColor="text1"/>
          <w:sz w:val="16"/>
          <w:szCs w:val="16"/>
        </w:rPr>
        <w:t xml:space="preserve"> в 1944 году первый полёт пикирующего бомбардировщика </w:t>
      </w:r>
      <w:hyperlink r:id="rId23" w:tgtFrame="_blank" w:history="1">
        <w:r w:rsidRPr="007224C3">
          <w:rPr>
            <w:rFonts w:ascii="Times New Roman" w:hAnsi="Times New Roman"/>
            <w:color w:val="000000" w:themeColor="text1"/>
            <w:sz w:val="16"/>
            <w:szCs w:val="16"/>
          </w:rPr>
          <w:t xml:space="preserve">«SM.93» </w:t>
        </w:r>
      </w:hyperlink>
      <w:r w:rsidRPr="007224C3">
        <w:rPr>
          <w:rFonts w:ascii="Times New Roman" w:hAnsi="Times New Roman"/>
          <w:color w:val="000000" w:themeColor="text1"/>
          <w:sz w:val="16"/>
          <w:szCs w:val="16"/>
        </w:rPr>
        <w:t>(компания «Savoia Marchetti», Италия). Конструкция самолёта представляла собой цельнодеревянный низкоплан, состоявший из трёх секций: консолей и центроплана, с фюзеляжем типа монокок и убирающимися шасси. Крыло было двухлонжеронным с изломом по передней кромке. Вооружение состояло из одной 20 мм пушки, стрелявшей через полый вал винта, с боекомплектом в 150 снарядов, и двух пулемётов калибра 12,7 мм, установленных в консолях крыла, с боекомплектом по 350 снарядов на ствол. Оборонительное вооружение состояло из одного 12,7 мм пулемёта, смонтированного на шкворневой установке в задней части кабины. Максимальная бомбовая нагрузка состояла из 820 кг бомб, подвешивавшихся под фюзеляжем (15026).</w:t>
      </w:r>
    </w:p>
    <w:p w14:paraId="3AB80A7C" w14:textId="77777777" w:rsidR="00D9700C" w:rsidRPr="007224C3" w:rsidRDefault="00D9700C" w:rsidP="007224C3">
      <w:pPr>
        <w:spacing w:after="0" w:line="240" w:lineRule="auto"/>
        <w:jc w:val="both"/>
        <w:rPr>
          <w:rFonts w:ascii="Times New Roman" w:hAnsi="Times New Roman"/>
          <w:color w:val="000000" w:themeColor="text1"/>
          <w:sz w:val="16"/>
          <w:szCs w:val="16"/>
        </w:rPr>
      </w:pPr>
    </w:p>
    <w:p w14:paraId="63F7F705" w14:textId="77777777" w:rsidR="00F41EB5" w:rsidRPr="007224C3" w:rsidRDefault="00F41EB5"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31 января 1944 - Первый полёт пикирующего бомбардировщика SM.93 (компания Savoia Marchetti, Италия).</w:t>
      </w:r>
    </w:p>
    <w:p w14:paraId="3ACC5781" w14:textId="77777777" w:rsidR="00F41EB5" w:rsidRPr="007224C3" w:rsidRDefault="00F41EB5"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Конструкция самолёта представляла собой цельнодеревянный низкоплан, состоявший из трёх секций: консолей и центроплана, с фюзеляжем типа монокок и убирающимися шасси. Крыло было двухлонжеронным с изломом по передней кромке. Вооружение состояло из одной 20 мм пушки, стрелявшей через полый вал винта, с боекомплектом в 150 снарядов, и двух пулемётов калибра 12,7 мм, установленных в консолях крыла, с боекомплектом по 350 снарядов на ствол. Оборонительное вооружение состояло из одного 12,7 мм пулемёта, смонтированного на шкворневой установке в задней части кабины. Максимальная бомбовая нагрузка состояла из 820 кг бомб, подвешивавшихся под фюзеляжем (22638).</w:t>
      </w:r>
    </w:p>
    <w:p w14:paraId="4C45D4CB" w14:textId="77777777" w:rsidR="00F41EB5" w:rsidRPr="007224C3" w:rsidRDefault="00F41EB5" w:rsidP="007224C3">
      <w:pPr>
        <w:spacing w:after="0" w:line="240" w:lineRule="auto"/>
        <w:jc w:val="both"/>
        <w:rPr>
          <w:rFonts w:ascii="Times New Roman" w:hAnsi="Times New Roman"/>
          <w:color w:val="0070C0"/>
          <w:sz w:val="16"/>
          <w:szCs w:val="16"/>
        </w:rPr>
      </w:pPr>
    </w:p>
    <w:p w14:paraId="3991D38C" w14:textId="77777777" w:rsidR="00F41EB5" w:rsidRPr="007224C3" w:rsidRDefault="00F41EB5"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lastRenderedPageBreak/>
        <w:t>31 января 1944 первый полет Savoia-Marchetti SM.93 (20373).</w:t>
      </w:r>
    </w:p>
    <w:p w14:paraId="2A6D72EF" w14:textId="77777777" w:rsidR="00F41EB5" w:rsidRPr="007224C3" w:rsidRDefault="00F41EB5" w:rsidP="007224C3">
      <w:pPr>
        <w:spacing w:after="0" w:line="240" w:lineRule="auto"/>
        <w:jc w:val="both"/>
        <w:rPr>
          <w:rFonts w:ascii="Times New Roman" w:hAnsi="Times New Roman"/>
          <w:color w:val="0070C0"/>
          <w:sz w:val="16"/>
          <w:szCs w:val="16"/>
        </w:rPr>
      </w:pPr>
    </w:p>
    <w:p w14:paraId="43DF02D5" w14:textId="77777777" w:rsidR="00F41EB5" w:rsidRPr="007224C3" w:rsidRDefault="00F41EB5"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31 января 1944 года — первый полёт пикирующего бомбардировщика Savoia-Marchetti SM.93. /Италия/</w:t>
      </w:r>
    </w:p>
    <w:p w14:paraId="5D7C6E35" w14:textId="77777777" w:rsidR="00F41EB5" w:rsidRPr="007224C3" w:rsidRDefault="00F41EB5"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К середине 1943 года ВВС Италии остро нуждались в пикирующем бомбардировщике. Для удовлетворения этой потребности конструкторы компании Savoia-Marchetti во главе с Алессандро Маркетти (Alessandro Marchetti) начали проект SM.93. Он должен был стать заменой для немецкого Junkers Ju 87 "Stuka".</w:t>
      </w:r>
    </w:p>
    <w:p w14:paraId="099CD660" w14:textId="77777777" w:rsidR="00F41EB5" w:rsidRPr="007224C3" w:rsidRDefault="00F41EB5"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SM.93 был низкопланом с убирающимся шасси. Выполнен полностью из дерева и полотна — сказалась нехватка дюралюминия. Двигатель Daimler-Benz DB 605A позволял развить скорость до 580 км/ч. Дальность полёта — 1600 км. Вооружение — 1 × 20-мм пушка MG 151/20, 3 × 12,7-мм пулемёта Breda-SAFAT и 1451 кг бомб. Экипаж состоял из 2 человек, причём пилот не сидел, а лежал на наклонном ложе лицом вперёд.</w:t>
      </w:r>
    </w:p>
    <w:p w14:paraId="60D8E2A9" w14:textId="77777777" w:rsidR="00F41EB5" w:rsidRPr="007224C3" w:rsidRDefault="00F41EB5"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После первого полёта самолёт реквизировали немцы. Испытания продолжились, но наступление союзников не позволило их закончить. Несмотря на хорошие лётные характеристики, SM.93 построили в 1 экземпляре (22300).</w:t>
      </w:r>
    </w:p>
    <w:p w14:paraId="7B7C59AA" w14:textId="77777777" w:rsidR="00F41EB5" w:rsidRPr="007224C3" w:rsidRDefault="00F41EB5" w:rsidP="007224C3">
      <w:pPr>
        <w:spacing w:after="0" w:line="240" w:lineRule="auto"/>
        <w:jc w:val="both"/>
        <w:rPr>
          <w:rFonts w:ascii="Times New Roman" w:hAnsi="Times New Roman"/>
          <w:color w:val="0070C0"/>
          <w:sz w:val="16"/>
          <w:szCs w:val="16"/>
        </w:rPr>
      </w:pPr>
    </w:p>
    <w:p w14:paraId="1B0CAC6E" w14:textId="77777777" w:rsidR="00F41EB5" w:rsidRPr="007224C3" w:rsidRDefault="00F41EB5"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31 января 1944 74 бомбардировщика Восьмой армии ВВС в сопровождении 114 истребителей атакуют строящуюся базу немецких летающих бомб Фау-1 в Сен-Поль-сюр-Тернуаз / Сиракур , Франция. Все самолеты благополучно возвращаются (20373).</w:t>
      </w:r>
    </w:p>
    <w:p w14:paraId="503FB361" w14:textId="77777777" w:rsidR="00F41EB5" w:rsidRPr="007224C3" w:rsidRDefault="00F41EB5" w:rsidP="007224C3">
      <w:pPr>
        <w:spacing w:after="0" w:line="240" w:lineRule="auto"/>
        <w:jc w:val="both"/>
        <w:rPr>
          <w:rFonts w:ascii="Times New Roman" w:hAnsi="Times New Roman"/>
          <w:color w:val="0070C0"/>
          <w:sz w:val="16"/>
          <w:szCs w:val="16"/>
        </w:rPr>
      </w:pPr>
    </w:p>
    <w:p w14:paraId="36D16BA7" w14:textId="77777777" w:rsidR="00F41EB5" w:rsidRPr="007224C3" w:rsidRDefault="00F41EB5"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31 января 1944 75 Истребители-бомбардировщики P-47 Thunderbolt восьмой воздушной армии в сопровождении 131 истребителя атакуют аэродром Гильце-Риен в Нидерландах, теряя шесть машин. Американские летчики утверждают, что 13 немецких самолетов сбиты, один, вероятно, сбит, а один поврежден (20373).</w:t>
      </w:r>
    </w:p>
    <w:p w14:paraId="1B1BB039" w14:textId="77777777" w:rsidR="00F41EB5" w:rsidRPr="007224C3" w:rsidRDefault="00F41EB5" w:rsidP="007224C3">
      <w:pPr>
        <w:spacing w:after="0" w:line="240" w:lineRule="auto"/>
        <w:jc w:val="both"/>
        <w:rPr>
          <w:rFonts w:ascii="Times New Roman" w:hAnsi="Times New Roman"/>
          <w:color w:val="0070C0"/>
          <w:sz w:val="16"/>
          <w:szCs w:val="16"/>
        </w:rPr>
      </w:pPr>
    </w:p>
    <w:p w14:paraId="2E013CEC" w14:textId="77777777" w:rsidR="00F41EB5" w:rsidRPr="007224C3" w:rsidRDefault="00F41EB5"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31 января 1944 начинается американское вторжение на Маршалловы острова, операция «Кремневый замок». Начинается с высадки на островах Кваджалейн, Рой-Намюр и Маджуро. Рейды американских авианосцев были настолько успешными, что у японцев не осталось на островах действующих самолетов, которые могли бы им противостоять. Шесть авианосцев американского флота, два легких авианосца и шесть авианосцев сопровождения обеспечивают высадку на атолле Кваджалейн, а два авианосца сопровождения обеспечивают высадку в Маджуро. Американские авианосцы также бомбят Эниветок, Малоэлап и Вотье (20373).</w:t>
      </w:r>
    </w:p>
    <w:p w14:paraId="008B0706" w14:textId="77777777" w:rsidR="00F41EB5" w:rsidRPr="007224C3" w:rsidRDefault="00F41EB5" w:rsidP="007224C3">
      <w:pPr>
        <w:spacing w:after="0" w:line="240" w:lineRule="auto"/>
        <w:jc w:val="both"/>
        <w:rPr>
          <w:rFonts w:ascii="Times New Roman" w:hAnsi="Times New Roman"/>
          <w:color w:val="0070C0"/>
          <w:sz w:val="16"/>
          <w:szCs w:val="16"/>
        </w:rPr>
      </w:pPr>
    </w:p>
    <w:p w14:paraId="417712C2" w14:textId="77777777" w:rsidR="00D9700C" w:rsidRPr="007224C3" w:rsidRDefault="00D9700C"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31 января</w:t>
      </w:r>
      <w:r w:rsidRPr="007224C3">
        <w:rPr>
          <w:rFonts w:ascii="Times New Roman" w:hAnsi="Times New Roman"/>
          <w:color w:val="000000" w:themeColor="text1"/>
          <w:sz w:val="16"/>
          <w:szCs w:val="16"/>
        </w:rPr>
        <w:t xml:space="preserve"> в 1944 году в Германии начат выпуск танка «Королевский тигр». До конца войны было выпущено 485 машин (15026).</w:t>
      </w:r>
    </w:p>
    <w:p w14:paraId="101782E8" w14:textId="77777777" w:rsidR="00D9700C" w:rsidRPr="007224C3" w:rsidRDefault="00D9700C" w:rsidP="007224C3">
      <w:pPr>
        <w:spacing w:after="0" w:line="240" w:lineRule="auto"/>
        <w:jc w:val="both"/>
        <w:rPr>
          <w:rFonts w:ascii="Times New Roman" w:hAnsi="Times New Roman"/>
          <w:color w:val="000000" w:themeColor="text1"/>
          <w:sz w:val="16"/>
          <w:szCs w:val="16"/>
        </w:rPr>
      </w:pPr>
    </w:p>
    <w:p w14:paraId="7105BD5E" w14:textId="77777777" w:rsidR="00D9700C" w:rsidRPr="007224C3" w:rsidRDefault="00D9700C"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31 января</w:t>
      </w:r>
      <w:r w:rsidRPr="007224C3">
        <w:rPr>
          <w:rFonts w:ascii="Times New Roman" w:hAnsi="Times New Roman"/>
          <w:color w:val="000000" w:themeColor="text1"/>
          <w:sz w:val="16"/>
          <w:szCs w:val="16"/>
        </w:rPr>
        <w:t xml:space="preserve"> в 1944 году румынское правительство тайно сообщило англо-американскому командованию, что сотрудничество Румынии с западными державами будет зависеть от их политических гарантий. В румынском меморандуме говорилось: «Когда английские и американские войска выйдут на Дунай, они не встретят сопротивления румынских войск, которые в этот момент будут отбивать наступление русских на Днестре» (15026).</w:t>
      </w:r>
    </w:p>
    <w:p w14:paraId="043EBD1B" w14:textId="77777777" w:rsidR="00D9700C" w:rsidRPr="007224C3" w:rsidRDefault="00D9700C" w:rsidP="007224C3">
      <w:pPr>
        <w:spacing w:after="0" w:line="240" w:lineRule="auto"/>
        <w:jc w:val="both"/>
        <w:rPr>
          <w:rFonts w:ascii="Times New Roman" w:hAnsi="Times New Roman"/>
          <w:color w:val="000000" w:themeColor="text1"/>
          <w:sz w:val="16"/>
          <w:szCs w:val="16"/>
        </w:rPr>
      </w:pPr>
    </w:p>
    <w:p w14:paraId="75E97552" w14:textId="77777777" w:rsidR="00D9700C" w:rsidRPr="007224C3" w:rsidRDefault="00D9700C"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31 января</w:t>
      </w:r>
      <w:r w:rsidRPr="007224C3">
        <w:rPr>
          <w:rFonts w:ascii="Times New Roman" w:hAnsi="Times New Roman"/>
          <w:color w:val="000000" w:themeColor="text1"/>
          <w:sz w:val="16"/>
          <w:szCs w:val="16"/>
        </w:rPr>
        <w:t xml:space="preserve"> в 1944 году в Польше в противовес просоветской Крайовой Раде Народовой представителями Крестьянской партии, Народной партии, Польской социалистическолй партии и Союза труда создана Рада Едности Народовой – альтернативное правительство, связанное с польским эмигрантским правительством в Лондоне (15026).</w:t>
      </w:r>
    </w:p>
    <w:p w14:paraId="1846B3B1" w14:textId="77777777" w:rsidR="00D9700C" w:rsidRPr="007224C3" w:rsidRDefault="00D9700C" w:rsidP="007224C3">
      <w:pPr>
        <w:spacing w:after="0" w:line="240" w:lineRule="auto"/>
        <w:jc w:val="both"/>
        <w:rPr>
          <w:rFonts w:ascii="Times New Roman" w:hAnsi="Times New Roman"/>
          <w:color w:val="000000" w:themeColor="text1"/>
          <w:sz w:val="16"/>
          <w:szCs w:val="16"/>
        </w:rPr>
      </w:pPr>
    </w:p>
    <w:p w14:paraId="6B684C2A" w14:textId="77777777" w:rsidR="00D9700C" w:rsidRPr="007224C3" w:rsidRDefault="00D9700C"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31 января</w:t>
      </w:r>
      <w:r w:rsidRPr="007224C3">
        <w:rPr>
          <w:rFonts w:ascii="Times New Roman" w:hAnsi="Times New Roman"/>
          <w:color w:val="000000" w:themeColor="text1"/>
          <w:sz w:val="16"/>
          <w:szCs w:val="16"/>
        </w:rPr>
        <w:t xml:space="preserve"> в 1944 году в Болгарии дислоцировано 20 тысяч немецких солдат (15026).</w:t>
      </w:r>
    </w:p>
    <w:p w14:paraId="1B3ED04F" w14:textId="77777777" w:rsidR="00D9700C" w:rsidRPr="007224C3" w:rsidRDefault="00D9700C" w:rsidP="007224C3">
      <w:pPr>
        <w:spacing w:after="0" w:line="240" w:lineRule="auto"/>
        <w:jc w:val="both"/>
        <w:rPr>
          <w:rFonts w:ascii="Times New Roman" w:hAnsi="Times New Roman"/>
          <w:color w:val="000000" w:themeColor="text1"/>
          <w:sz w:val="16"/>
          <w:szCs w:val="16"/>
        </w:rPr>
      </w:pPr>
    </w:p>
    <w:p w14:paraId="53CA33A6"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0F2C560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2EDF60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концу января 1944 года из-за не</w:t>
      </w:r>
      <w:r w:rsidRPr="007224C3">
        <w:rPr>
          <w:rFonts w:ascii="Times New Roman" w:hAnsi="Times New Roman"/>
          <w:color w:val="000000" w:themeColor="text1"/>
          <w:sz w:val="16"/>
          <w:szCs w:val="16"/>
        </w:rPr>
        <w:softHyphen/>
        <w:t>своевременной поставки мотора завершились работы по переоборудованию Су-6 под мотор АМ-42. В процессе переобору</w:t>
      </w:r>
      <w:r w:rsidRPr="007224C3">
        <w:rPr>
          <w:rFonts w:ascii="Times New Roman" w:hAnsi="Times New Roman"/>
          <w:color w:val="000000" w:themeColor="text1"/>
          <w:sz w:val="16"/>
          <w:szCs w:val="16"/>
        </w:rPr>
        <w:softHyphen/>
        <w:t>дования на самолете:</w:t>
      </w:r>
    </w:p>
    <w:p w14:paraId="6E046B6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установили мотор АМ-42 с необходимым оборудованием и бронированием;</w:t>
      </w:r>
    </w:p>
    <w:p w14:paraId="3A99D1E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заменили консоли крыла сме</w:t>
      </w:r>
      <w:r w:rsidRPr="007224C3">
        <w:rPr>
          <w:rFonts w:ascii="Times New Roman" w:hAnsi="Times New Roman"/>
          <w:color w:val="000000" w:themeColor="text1"/>
          <w:sz w:val="16"/>
          <w:szCs w:val="16"/>
        </w:rPr>
        <w:softHyphen/>
        <w:t>шанной конструкции на цельноме</w:t>
      </w:r>
      <w:r w:rsidRPr="007224C3">
        <w:rPr>
          <w:rFonts w:ascii="Times New Roman" w:hAnsi="Times New Roman"/>
          <w:color w:val="000000" w:themeColor="text1"/>
          <w:sz w:val="16"/>
          <w:szCs w:val="16"/>
        </w:rPr>
        <w:softHyphen/>
        <w:t>таллические с увеличенной площа</w:t>
      </w:r>
      <w:r w:rsidRPr="007224C3">
        <w:rPr>
          <w:rFonts w:ascii="Times New Roman" w:hAnsi="Times New Roman"/>
          <w:color w:val="000000" w:themeColor="text1"/>
          <w:sz w:val="16"/>
          <w:szCs w:val="16"/>
        </w:rPr>
        <w:softHyphen/>
        <w:t>дью до 28,6 м</w:t>
      </w:r>
      <w:r w:rsidRPr="007224C3">
        <w:rPr>
          <w:rFonts w:ascii="Times New Roman" w:hAnsi="Times New Roman"/>
          <w:color w:val="000000" w:themeColor="text1"/>
          <w:sz w:val="16"/>
          <w:szCs w:val="16"/>
          <w:vertAlign w:val="superscript"/>
        </w:rPr>
        <w:t>2</w:t>
      </w:r>
      <w:r w:rsidRPr="007224C3">
        <w:rPr>
          <w:rFonts w:ascii="Times New Roman" w:hAnsi="Times New Roman"/>
          <w:color w:val="000000" w:themeColor="text1"/>
          <w:sz w:val="16"/>
          <w:szCs w:val="16"/>
        </w:rPr>
        <w:t>, вместо 26 м</w:t>
      </w:r>
      <w:r w:rsidRPr="007224C3">
        <w:rPr>
          <w:rFonts w:ascii="Times New Roman" w:hAnsi="Times New Roman"/>
          <w:color w:val="000000" w:themeColor="text1"/>
          <w:sz w:val="16"/>
          <w:szCs w:val="16"/>
          <w:vertAlign w:val="superscript"/>
        </w:rPr>
        <w:t>2</w:t>
      </w:r>
      <w:r w:rsidRPr="007224C3">
        <w:rPr>
          <w:rFonts w:ascii="Times New Roman" w:hAnsi="Times New Roman"/>
          <w:color w:val="000000" w:themeColor="text1"/>
          <w:sz w:val="16"/>
          <w:szCs w:val="16"/>
        </w:rPr>
        <w:t>;</w:t>
      </w:r>
    </w:p>
    <w:p w14:paraId="3A1618E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увеличили компенсацию рулейи элеронов;</w:t>
      </w:r>
    </w:p>
    <w:p w14:paraId="7CC73B0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усилили гидроподъемники шас</w:t>
      </w:r>
      <w:r w:rsidRPr="007224C3">
        <w:rPr>
          <w:rFonts w:ascii="Times New Roman" w:hAnsi="Times New Roman"/>
          <w:color w:val="000000" w:themeColor="text1"/>
          <w:sz w:val="16"/>
          <w:szCs w:val="16"/>
        </w:rPr>
        <w:softHyphen/>
        <w:t>си и узлы их крепления;</w:t>
      </w:r>
    </w:p>
    <w:p w14:paraId="023049D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установили хвостовое колесо 400x150, вместо 300x125;</w:t>
      </w:r>
    </w:p>
    <w:p w14:paraId="118DB64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доработали гидравлическую и пневматическую системы самолета;</w:t>
      </w:r>
    </w:p>
    <w:p w14:paraId="04961D8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перекомпоновали приборную доску летчика и установили стан</w:t>
      </w:r>
      <w:r w:rsidRPr="007224C3">
        <w:rPr>
          <w:rFonts w:ascii="Times New Roman" w:hAnsi="Times New Roman"/>
          <w:color w:val="000000" w:themeColor="text1"/>
          <w:sz w:val="16"/>
          <w:szCs w:val="16"/>
        </w:rPr>
        <w:softHyphen/>
        <w:t>дартную ручку управления (истре</w:t>
      </w:r>
      <w:r w:rsidRPr="007224C3">
        <w:rPr>
          <w:rFonts w:ascii="Times New Roman" w:hAnsi="Times New Roman"/>
          <w:color w:val="000000" w:themeColor="text1"/>
          <w:sz w:val="16"/>
          <w:szCs w:val="16"/>
        </w:rPr>
        <w:softHyphen/>
        <w:t>бительного типа);</w:t>
      </w:r>
    </w:p>
    <w:p w14:paraId="0DF7B82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доработали систему вооруже</w:t>
      </w:r>
      <w:r w:rsidRPr="007224C3">
        <w:rPr>
          <w:rFonts w:ascii="Times New Roman" w:hAnsi="Times New Roman"/>
          <w:color w:val="000000" w:themeColor="text1"/>
          <w:sz w:val="16"/>
          <w:szCs w:val="16"/>
        </w:rPr>
        <w:softHyphen/>
        <w:t>ния и спецоборудования, выполни</w:t>
      </w:r>
      <w:r w:rsidRPr="007224C3">
        <w:rPr>
          <w:rFonts w:ascii="Times New Roman" w:hAnsi="Times New Roman"/>
          <w:color w:val="000000" w:themeColor="text1"/>
          <w:sz w:val="16"/>
          <w:szCs w:val="16"/>
        </w:rPr>
        <w:softHyphen/>
        <w:t>ли ряд других работ (11845).</w:t>
      </w:r>
    </w:p>
    <w:p w14:paraId="7361AB6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4F88CF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конце января 1944 начались проработки самолета Ил-12, оснащенного двумя новыми дизелями конструкции А.Д.Чаромского АЧ-31, каждый из которых развивал на расчетной высоте номинальную мощность в 1500 л.с. Двигатели имели меньший мидель, чем М-88, что позволило разместить их в мотогондолах с очень хорошими аэродинамическими формами. Водяной радиатор системы охлаждения конструкторы решили расположить в носке центроплана, и крыло Ил-12 обрело на этом участке характерный выступающий вперед наплыв. Особенностью аэродинамической компоновки крыла нового самолета стало то, что в отличие от других пассажирских машин того времени, максимальное аэродинамическое качество достигалось на крейсерских скоростях полета. Применив дизели, ильюшинцы отказались от герметичного фюзеляжа: для работы АЧ-31 даже на средних высотах требовалась вся мощность турбокомпрессоров и нагнетателей, отбирать от которых воздух для наддува кабин стало невозможно. В то время не было и особой практической необходимости в такой роскоши, как высотный пассажирский самолет. Достаточно вспомнить, что в послевоенные годы потребности Аэрофлота в таких машинах удовлетворяли всего несколько дооборудованных Ли-2. Переделывая проект, создатели Ил-12 убрали десятый ряд кресел. Таким образом количество пассажирских мест уменьшилось до 27, что стало в последующем одной из стандартных компоновок при эксплуатации самолета на линиях средней протяженности. В салоне по левому борту разместили буфет, а в хвостовой части - багажное отделение на 500 кг. Тепло- и зву-коизолированная пассажирская кабина выглядела весьма комфортабельно, имела хорошие освещение, вентиляцию и отопление. На этом этапе создания машины окончательно определились внешние обводы носовой части фюзеляжа. Она приобрела характерную форму для всех последующих пассажирских самолетов, созданных под руководством Ильюшина. Еще одной фирменной чертой, зародившейся на Ил-12, стала просторная, скомпонованная с учетом новейших эргономических взглядов кабина экипажа (5156).</w:t>
      </w:r>
    </w:p>
    <w:p w14:paraId="4E43D82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C96CB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конце января 1944 г. начались проработки двухмоторного варианта самолета Ил-12 с дизельными двигателями жидкостного охлаждения АЧ-31 с двухфазным процессом смесеобразования, который, как показали испытания опытного бомбардировщика Ил-6, значительно повышал надежность работы дизелей. Двигатели взлетной мощностью по 1900 л.с. размещались в гондолах, а их водяные радиаторы расположили в носке центроплана, поэтому крыло приобрело характерный для Ил-12 выступающий вперед наплыв между мотогондолами и фюзеляжем.</w:t>
      </w:r>
    </w:p>
    <w:p w14:paraId="195CD36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Установка новых двигателей заставила отказаться от некоторых ранее принятых технических решений. Трудности с отбором большого количества воздуха для герметичной кабины от дизелей, требовавших для нормальной работы даже на относительно небольших высотах наличия весьма мощных турбокомпрессоров или центробежных нагнетателей, привели к тому, что двухмоторный вариант лайнера стал рассматриваться уже не как высотный, а как обычный пассажирский самолет средних высот. Несмотря на более высокую экономичность дизелей, значительный удельный вес новых двигателей (почти в 1,5 раза больше, чем у М-88В), меньшая суммарная мощность силовой установки на расчетной высоте, а также снижение крейсерской высоты полета определили уменьшение скорости и сокращение дальности полета двухмоторного варианта по сравнению о первоначальным проектом.</w:t>
      </w:r>
    </w:p>
    <w:p w14:paraId="1926898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Число пассажирских кресел, устанавливаемых в кабине двухмоторного самолета уменьшили, их стало 27.</w:t>
      </w:r>
    </w:p>
    <w:p w14:paraId="7676F6F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Изменили также внешние обводы носовой части фюзеляжа с фонарем кабины пилотов; отказ от герметичной кабины определил обычную, классическую для авиалайнеров форму. С.В.Ильюшин всегда уделял очень большое внимание проектированию кабины экипажа, справедливо полагая, что огромная ответственность по обеспечению безопасности пассажиров требует предоставления экипажу просторных и удобных рабочих мест с отличным обзором окружающего пространства и контрольных приборов. Стремление обеспечить экипажу наилучшие условия работы прослеживается на всех пассажирских и транспортных самолетах ОКБ, и впервые оно ярко проявилось при проектировании Ил-12, кабину экипажа которого выполнили значительно более просторной и удобной, чем на Ли-2 (9528).</w:t>
      </w:r>
    </w:p>
    <w:p w14:paraId="4CECD29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57F70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конце января 1944 аэродром завода № 22 раскис - летать было нельзя. Так продолжалось до конца февраля (4476).</w:t>
      </w:r>
    </w:p>
    <w:p w14:paraId="2DAD5B6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995D28"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0C97AB5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194D9F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конце января 1944 г. совме</w:t>
      </w:r>
      <w:r w:rsidRPr="007224C3">
        <w:rPr>
          <w:rFonts w:ascii="Times New Roman" w:hAnsi="Times New Roman"/>
          <w:color w:val="000000" w:themeColor="text1"/>
          <w:sz w:val="16"/>
          <w:szCs w:val="16"/>
        </w:rPr>
        <w:softHyphen/>
        <w:t xml:space="preserve">стными усилиями коллективов заводов № 112 НКТП и № 92 НКВ был изготовлен опытный образец танка Т-34-85 с пушкой ЗИС-С-53, установленной в штатной башне и в период с 30 января по 2 февраля 1944 г. успешно прошел испытания на ГАНИОПе. Установка танковой пушкой ЗИС-С-53 </w:t>
      </w:r>
      <w:r w:rsidRPr="007224C3">
        <w:rPr>
          <w:rFonts w:ascii="Times New Roman" w:hAnsi="Times New Roman"/>
          <w:color w:val="000000" w:themeColor="text1"/>
          <w:sz w:val="16"/>
          <w:szCs w:val="16"/>
        </w:rPr>
        <w:lastRenderedPageBreak/>
        <w:t>конструкции ЦАКБ НКВ в штатную башню танка Т-34-76 обр. 1942 г. была осуществлена с целью проверки надежности ее конструкции и удобства работы с ней членов экипажа (10703).</w:t>
      </w:r>
    </w:p>
    <w:p w14:paraId="367B66E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28456D" w14:textId="77777777" w:rsidR="00DF6978" w:rsidRPr="007224C3" w:rsidRDefault="00DF697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конце января 1944 года второй и третий образцы 85-мм пушки ЗИС-С-53 установили в танки Т-34 с нормальным и расширенным погонами, которые прошли интенсивные испытания с 30 января по 2 февраля 1944 года. Боевые качества танка Т-34 с расширенной баш- еей значительно выше, чем с обычной башней» (12217).</w:t>
      </w:r>
    </w:p>
    <w:p w14:paraId="1EFC2A56" w14:textId="77777777" w:rsidR="00DF6978" w:rsidRPr="007224C3" w:rsidRDefault="00DF6978" w:rsidP="007224C3">
      <w:pPr>
        <w:spacing w:after="0" w:line="240" w:lineRule="auto"/>
        <w:jc w:val="both"/>
        <w:rPr>
          <w:rFonts w:ascii="Times New Roman" w:hAnsi="Times New Roman"/>
          <w:color w:val="000000" w:themeColor="text1"/>
          <w:sz w:val="16"/>
          <w:szCs w:val="16"/>
        </w:rPr>
      </w:pPr>
    </w:p>
    <w:p w14:paraId="4AF0E083" w14:textId="77777777" w:rsidR="000D2529" w:rsidRPr="007224C3" w:rsidRDefault="000D2529" w:rsidP="007224C3">
      <w:pPr>
        <w:spacing w:after="0" w:line="240" w:lineRule="auto"/>
        <w:jc w:val="both"/>
        <w:textAlignment w:val="baseline"/>
        <w:rPr>
          <w:rFonts w:ascii="Times New Roman" w:hAnsi="Times New Roman"/>
          <w:iCs/>
          <w:color w:val="000000" w:themeColor="text1"/>
          <w:sz w:val="16"/>
          <w:szCs w:val="16"/>
          <w:bdr w:val="none" w:sz="0" w:space="0" w:color="auto" w:frame="1"/>
        </w:rPr>
      </w:pPr>
      <w:r w:rsidRPr="007224C3">
        <w:rPr>
          <w:rFonts w:ascii="Times New Roman" w:hAnsi="Times New Roman"/>
          <w:iCs/>
          <w:color w:val="000000" w:themeColor="text1"/>
          <w:sz w:val="16"/>
          <w:szCs w:val="16"/>
          <w:bdr w:val="none" w:sz="0" w:space="0" w:color="auto" w:frame="1"/>
        </w:rPr>
        <w:t>К концу января 1944 года первый опытный образец Т-44 был готов (18799).</w:t>
      </w:r>
    </w:p>
    <w:p w14:paraId="15E1CF12" w14:textId="77777777" w:rsidR="000D2529" w:rsidRPr="007224C3" w:rsidRDefault="000D2529" w:rsidP="007224C3">
      <w:pPr>
        <w:pStyle w:val="ae"/>
        <w:spacing w:before="0" w:after="0"/>
        <w:jc w:val="both"/>
        <w:textAlignment w:val="baseline"/>
        <w:rPr>
          <w:color w:val="000000" w:themeColor="text1"/>
          <w:sz w:val="16"/>
          <w:szCs w:val="16"/>
        </w:rPr>
      </w:pPr>
    </w:p>
    <w:p w14:paraId="346A3346" w14:textId="77777777" w:rsidR="00986ACA" w:rsidRPr="007224C3" w:rsidRDefault="00986ACA"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С конца января по 10 февраля 1944 первый и второй прототипы Т-44 проходили предваритель</w:t>
      </w:r>
      <w:r w:rsidRPr="007224C3">
        <w:rPr>
          <w:rFonts w:ascii="Times New Roman" w:hAnsi="Times New Roman"/>
          <w:color w:val="0070C0"/>
          <w:sz w:val="16"/>
          <w:szCs w:val="16"/>
        </w:rPr>
        <w:softHyphen/>
        <w:t>ные испытания, пробежав на заводском полигоне 577 и 213 км, соответственно. Было опробовано в работе и 85-мм орудие, темп стрельбы из которого благодаря новому про</w:t>
      </w:r>
      <w:r w:rsidRPr="007224C3">
        <w:rPr>
          <w:rFonts w:ascii="Times New Roman" w:hAnsi="Times New Roman"/>
          <w:color w:val="0070C0"/>
          <w:sz w:val="16"/>
          <w:szCs w:val="16"/>
        </w:rPr>
        <w:softHyphen/>
        <w:t>сторному боевому отделению достиг 8-10 выстр./мин. (для сравнения, скорострель</w:t>
      </w:r>
      <w:r w:rsidRPr="007224C3">
        <w:rPr>
          <w:rFonts w:ascii="Times New Roman" w:hAnsi="Times New Roman"/>
          <w:color w:val="0070C0"/>
          <w:sz w:val="16"/>
          <w:szCs w:val="16"/>
        </w:rPr>
        <w:softHyphen/>
        <w:t>ность «Пантеры» и «Тигра» составляла 6-8 выстр./мин) (19935).</w:t>
      </w:r>
    </w:p>
    <w:p w14:paraId="693DC7DD" w14:textId="77777777" w:rsidR="00986ACA" w:rsidRPr="007224C3" w:rsidRDefault="00986ACA" w:rsidP="007224C3">
      <w:pPr>
        <w:spacing w:after="0" w:line="240" w:lineRule="auto"/>
        <w:jc w:val="both"/>
        <w:rPr>
          <w:rFonts w:ascii="Times New Roman" w:hAnsi="Times New Roman"/>
          <w:color w:val="0070C0"/>
          <w:sz w:val="16"/>
          <w:szCs w:val="16"/>
        </w:rPr>
      </w:pPr>
    </w:p>
    <w:p w14:paraId="12D191FA" w14:textId="77777777" w:rsidR="000D2529" w:rsidRPr="007224C3" w:rsidRDefault="000D2529" w:rsidP="007224C3">
      <w:pPr>
        <w:pStyle w:val="ae"/>
        <w:spacing w:before="0" w:after="0"/>
        <w:jc w:val="both"/>
        <w:textAlignment w:val="baseline"/>
        <w:rPr>
          <w:color w:val="000000" w:themeColor="text1"/>
          <w:sz w:val="16"/>
          <w:szCs w:val="16"/>
        </w:rPr>
      </w:pPr>
      <w:r w:rsidRPr="007224C3">
        <w:rPr>
          <w:color w:val="000000" w:themeColor="text1"/>
          <w:sz w:val="16"/>
          <w:szCs w:val="16"/>
        </w:rPr>
        <w:t>К концу января 1944 года завершилась Сборка первых двух опытных образцов Т-44.</w:t>
      </w:r>
    </w:p>
    <w:p w14:paraId="0CD9CC49" w14:textId="77777777" w:rsidR="000D2529" w:rsidRPr="007224C3" w:rsidRDefault="000D2529" w:rsidP="007224C3">
      <w:pPr>
        <w:pStyle w:val="ae"/>
        <w:spacing w:before="0" w:after="0"/>
        <w:jc w:val="both"/>
        <w:textAlignment w:val="baseline"/>
        <w:rPr>
          <w:color w:val="000000" w:themeColor="text1"/>
          <w:sz w:val="16"/>
          <w:szCs w:val="16"/>
        </w:rPr>
      </w:pPr>
      <w:r w:rsidRPr="007224C3">
        <w:rPr>
          <w:color w:val="000000" w:themeColor="text1"/>
          <w:sz w:val="16"/>
          <w:szCs w:val="16"/>
        </w:rPr>
        <w:t>Несмотря на требование Малышева изменить силовую установку, завод №75 (город Челябинск) предоставил обычные двигатели В-2-ИС, так что выступ в днище сохранился. Ничего не было сделано с кормовым листом корпуса — он остался прямым и мог поражаться практически любым типом танковой и противотанковой артиллерии. Полностью сохранилась проектная система охлаждения двигателя. С другой стороны, топливную систему переделали. Три бака общим объёмом 420 л разместили в двух отсеках между боевым и моторно-трансмиссионным отделениями. В отличие от более поздних вариантов Т-44, выхлопных патрубков было два, размещались они на левом борту, при этом выхлопные газы уходили назад.</w:t>
      </w:r>
    </w:p>
    <w:p w14:paraId="1A7EC34B" w14:textId="77777777" w:rsidR="000D2529" w:rsidRPr="007224C3" w:rsidRDefault="000D2529" w:rsidP="007224C3">
      <w:pPr>
        <w:pStyle w:val="ae"/>
        <w:spacing w:before="0" w:after="0"/>
        <w:jc w:val="both"/>
        <w:textAlignment w:val="baseline"/>
        <w:rPr>
          <w:color w:val="000000" w:themeColor="text1"/>
          <w:sz w:val="16"/>
          <w:szCs w:val="16"/>
        </w:rPr>
      </w:pPr>
      <w:r w:rsidRPr="007224C3">
        <w:rPr>
          <w:color w:val="000000" w:themeColor="text1"/>
          <w:sz w:val="16"/>
          <w:szCs w:val="16"/>
        </w:rPr>
        <w:t>Не слишком сильно изменилась и схема трансмиссии. От двигателя крутящий момент передавался на гитару, а затем через главный фрикцион на 3-ходовую 5-скоростную коробку передач. Вопреки требованиям военных поставить планетарные механизмы поворота, как на </w:t>
      </w:r>
      <w:hyperlink r:id="rId24" w:history="1">
        <w:r w:rsidRPr="007224C3">
          <w:rPr>
            <w:rStyle w:val="a5"/>
            <w:bCs/>
            <w:iCs/>
            <w:color w:val="000000" w:themeColor="text1"/>
            <w:sz w:val="16"/>
            <w:szCs w:val="16"/>
            <w:u w:val="none"/>
            <w:bdr w:val="none" w:sz="0" w:space="0" w:color="auto" w:frame="1"/>
          </w:rPr>
          <w:t>ИС-2</w:t>
        </w:r>
      </w:hyperlink>
      <w:r w:rsidRPr="007224C3">
        <w:rPr>
          <w:color w:val="000000" w:themeColor="text1"/>
          <w:sz w:val="16"/>
          <w:szCs w:val="16"/>
        </w:rPr>
        <w:t>, на Т-44 сохранили бортовые фрикционы, при этом, в отличие от Т-34, их установили на ведущих валах бортовых передач. Некоторая консервативность схемы трансмиссии была продиктована необходимостью свести риски к минимуму и получить надёжно работающую систему.</w:t>
      </w:r>
    </w:p>
    <w:p w14:paraId="0C16E59F" w14:textId="77777777" w:rsidR="000D2529" w:rsidRPr="007224C3" w:rsidRDefault="000D2529" w:rsidP="007224C3">
      <w:pPr>
        <w:pStyle w:val="ae"/>
        <w:spacing w:before="0" w:after="0"/>
        <w:jc w:val="both"/>
        <w:textAlignment w:val="baseline"/>
        <w:rPr>
          <w:color w:val="000000" w:themeColor="text1"/>
          <w:sz w:val="16"/>
          <w:szCs w:val="16"/>
        </w:rPr>
      </w:pPr>
      <w:r w:rsidRPr="007224C3">
        <w:rPr>
          <w:color w:val="000000" w:themeColor="text1"/>
          <w:sz w:val="16"/>
          <w:szCs w:val="16"/>
        </w:rPr>
        <w:t>Обошлось без революций с точки зрения ходовой части, вместе с тем неизменными по сравнению с Т-34 остались только траки. Диаметр опорных катков снизился с 830 до 780 мм, уменьшили с 600 до 500 мм диаметр ленивцев. В случае же с ведущими колёсами диаметр, наоборот, вырос с 634 до 650 мм. Наибольшие изменения произошли с подвеской. Если на Т-43 размещение балансиров было по типу Т-34, то на Т-44 балансиры второго и третьего опорного катков сгруппировали так, что торсионы оказались прямо под башней. Тем самым обеспечивалась более равномерная нагрузка в самом «тяжёлом» месте танка. Торсионы последних опорных катков, наоборот, сместили максимально к корме. В значительной степени такое смещение было связано с поперечным расположением двигателя.</w:t>
      </w:r>
    </w:p>
    <w:p w14:paraId="6573C247" w14:textId="77777777" w:rsidR="000D2529" w:rsidRPr="007224C3" w:rsidRDefault="000D2529" w:rsidP="007224C3">
      <w:pPr>
        <w:pStyle w:val="ae"/>
        <w:spacing w:before="0" w:after="0"/>
        <w:jc w:val="both"/>
        <w:textAlignment w:val="baseline"/>
        <w:rPr>
          <w:color w:val="000000" w:themeColor="text1"/>
          <w:sz w:val="16"/>
          <w:szCs w:val="16"/>
        </w:rPr>
      </w:pPr>
      <w:r w:rsidRPr="007224C3">
        <w:rPr>
          <w:color w:val="000000" w:themeColor="text1"/>
          <w:sz w:val="16"/>
          <w:szCs w:val="16"/>
        </w:rPr>
        <w:t>Первым на заводские испытания вышел опытный образец с башней, имевшей диаметр погона 1800 мм и орудие Д-5Т. Взвешивание показало, что боевая масса составляет 30 400 кг, то есть почти на полтонны больше, чем показывали расчёты. Тем не менее это всё равно оказалось на тонну меньше, чем боевая масса серийного Т-34 с двухместной башней и орудием Ф-34. Второй опытный образец с башней, имевшей диаметр погона 1600 мм, взвешиванию не подвергался (18799).</w:t>
      </w:r>
    </w:p>
    <w:p w14:paraId="24F0FC81"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bCs/>
          <w:iCs/>
          <w:noProof/>
          <w:color w:val="000000" w:themeColor="text1"/>
          <w:sz w:val="16"/>
          <w:szCs w:val="16"/>
          <w:bdr w:val="none" w:sz="0" w:space="0" w:color="auto" w:frame="1"/>
          <w:lang w:eastAsia="ru-RU"/>
        </w:rPr>
      </w:pPr>
    </w:p>
    <w:p w14:paraId="4C13AB1E"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 конца января 1944 г. было изготовлено 107 танков ИС-85. На этом их производство прекратилось. На заводе № 9 НКВ вместо пушек Д-5Т-85 для танка ИС начали производство пушек Д-25 с поршневым затвором, причем до конца января 1944 г. завод № 9 осу</w:t>
      </w:r>
      <w:r w:rsidRPr="007224C3">
        <w:rPr>
          <w:rFonts w:ascii="Times New Roman" w:hAnsi="Times New Roman"/>
          <w:color w:val="000000" w:themeColor="text1"/>
          <w:sz w:val="16"/>
          <w:szCs w:val="16"/>
        </w:rPr>
        <w:softHyphen/>
        <w:t>ществлял только окончательную сборку пушек Д-25, а ствол с затвором поставлялся с завода № 172 НКВ. Всего было выпущено 147 пушек Д-25 с поршневым затвором (10703).</w:t>
      </w:r>
    </w:p>
    <w:p w14:paraId="299877F7"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Число выпущенных серийных танков ИС с 1.10.1943 г. по 1.09.1945 г., ед.</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682"/>
        <w:gridCol w:w="845"/>
        <w:gridCol w:w="586"/>
        <w:gridCol w:w="710"/>
        <w:gridCol w:w="586"/>
        <w:gridCol w:w="538"/>
        <w:gridCol w:w="662"/>
        <w:gridCol w:w="672"/>
        <w:gridCol w:w="643"/>
        <w:gridCol w:w="662"/>
        <w:gridCol w:w="662"/>
        <w:gridCol w:w="662"/>
        <w:gridCol w:w="643"/>
        <w:gridCol w:w="538"/>
        <w:gridCol w:w="720"/>
      </w:tblGrid>
      <w:tr w:rsidR="005106D0" w:rsidRPr="007224C3" w14:paraId="0FFDA11C" w14:textId="77777777" w:rsidTr="00B37F6A">
        <w:trPr>
          <w:trHeight w:val="288"/>
        </w:trPr>
        <w:tc>
          <w:tcPr>
            <w:tcW w:w="682" w:type="dxa"/>
            <w:tcBorders>
              <w:top w:val="single" w:sz="12" w:space="0" w:color="auto"/>
            </w:tcBorders>
          </w:tcPr>
          <w:p w14:paraId="593EFEF1"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12" w:space="0" w:color="auto"/>
            </w:tcBorders>
          </w:tcPr>
          <w:p w14:paraId="60C756F0"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84" w:type="dxa"/>
            <w:gridSpan w:val="13"/>
            <w:tcBorders>
              <w:top w:val="single" w:sz="12" w:space="0" w:color="auto"/>
            </w:tcBorders>
          </w:tcPr>
          <w:p w14:paraId="5A5F2AE6"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Месяцы</w:t>
            </w:r>
          </w:p>
        </w:tc>
      </w:tr>
      <w:tr w:rsidR="005106D0" w:rsidRPr="007224C3" w14:paraId="08C13BAF" w14:textId="77777777" w:rsidTr="00B37F6A">
        <w:trPr>
          <w:trHeight w:val="115"/>
        </w:trPr>
        <w:tc>
          <w:tcPr>
            <w:tcW w:w="682" w:type="dxa"/>
          </w:tcPr>
          <w:p w14:paraId="101A63B3"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Год</w:t>
            </w:r>
          </w:p>
        </w:tc>
        <w:tc>
          <w:tcPr>
            <w:tcW w:w="845" w:type="dxa"/>
          </w:tcPr>
          <w:p w14:paraId="5F6F8A2A"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84" w:type="dxa"/>
            <w:gridSpan w:val="13"/>
          </w:tcPr>
          <w:p w14:paraId="551459AE"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CC8314B" w14:textId="77777777" w:rsidTr="00B37F6A">
        <w:trPr>
          <w:trHeight w:val="422"/>
        </w:trPr>
        <w:tc>
          <w:tcPr>
            <w:tcW w:w="682" w:type="dxa"/>
          </w:tcPr>
          <w:p w14:paraId="781B6962"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Pr>
          <w:p w14:paraId="4EA6D960"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танка</w:t>
            </w:r>
          </w:p>
        </w:tc>
        <w:tc>
          <w:tcPr>
            <w:tcW w:w="586" w:type="dxa"/>
          </w:tcPr>
          <w:p w14:paraId="71EE0C9E"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I</w:t>
            </w:r>
          </w:p>
        </w:tc>
        <w:tc>
          <w:tcPr>
            <w:tcW w:w="710" w:type="dxa"/>
          </w:tcPr>
          <w:p w14:paraId="5466F3F2"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II</w:t>
            </w:r>
          </w:p>
        </w:tc>
        <w:tc>
          <w:tcPr>
            <w:tcW w:w="586" w:type="dxa"/>
          </w:tcPr>
          <w:p w14:paraId="0CA97025"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III</w:t>
            </w:r>
          </w:p>
        </w:tc>
        <w:tc>
          <w:tcPr>
            <w:tcW w:w="538" w:type="dxa"/>
          </w:tcPr>
          <w:p w14:paraId="5B3FFE20"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IV</w:t>
            </w:r>
          </w:p>
        </w:tc>
        <w:tc>
          <w:tcPr>
            <w:tcW w:w="662" w:type="dxa"/>
          </w:tcPr>
          <w:p w14:paraId="410504CA"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V</w:t>
            </w:r>
          </w:p>
        </w:tc>
        <w:tc>
          <w:tcPr>
            <w:tcW w:w="672" w:type="dxa"/>
          </w:tcPr>
          <w:p w14:paraId="78959A30"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VI</w:t>
            </w:r>
          </w:p>
        </w:tc>
        <w:tc>
          <w:tcPr>
            <w:tcW w:w="643" w:type="dxa"/>
          </w:tcPr>
          <w:p w14:paraId="1E49175B"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VII</w:t>
            </w:r>
          </w:p>
        </w:tc>
        <w:tc>
          <w:tcPr>
            <w:tcW w:w="662" w:type="dxa"/>
          </w:tcPr>
          <w:p w14:paraId="7511B188"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VIII</w:t>
            </w:r>
          </w:p>
        </w:tc>
        <w:tc>
          <w:tcPr>
            <w:tcW w:w="662" w:type="dxa"/>
          </w:tcPr>
          <w:p w14:paraId="42D4A671"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IX</w:t>
            </w:r>
          </w:p>
        </w:tc>
        <w:tc>
          <w:tcPr>
            <w:tcW w:w="662" w:type="dxa"/>
          </w:tcPr>
          <w:p w14:paraId="73021696"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X</w:t>
            </w:r>
          </w:p>
        </w:tc>
        <w:tc>
          <w:tcPr>
            <w:tcW w:w="643" w:type="dxa"/>
          </w:tcPr>
          <w:p w14:paraId="32297B05"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XI</w:t>
            </w:r>
          </w:p>
        </w:tc>
        <w:tc>
          <w:tcPr>
            <w:tcW w:w="538" w:type="dxa"/>
          </w:tcPr>
          <w:p w14:paraId="7C613279"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XII</w:t>
            </w:r>
          </w:p>
        </w:tc>
        <w:tc>
          <w:tcPr>
            <w:tcW w:w="720" w:type="dxa"/>
          </w:tcPr>
          <w:p w14:paraId="37DA4CFC"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w:t>
            </w:r>
          </w:p>
        </w:tc>
      </w:tr>
      <w:tr w:rsidR="005106D0" w:rsidRPr="007224C3" w14:paraId="4E4D0DE7" w14:textId="77777777" w:rsidTr="00B37F6A">
        <w:trPr>
          <w:trHeight w:val="374"/>
        </w:trPr>
        <w:tc>
          <w:tcPr>
            <w:tcW w:w="682" w:type="dxa"/>
          </w:tcPr>
          <w:p w14:paraId="3717EA9B"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1943</w:t>
            </w:r>
          </w:p>
        </w:tc>
        <w:tc>
          <w:tcPr>
            <w:tcW w:w="845" w:type="dxa"/>
          </w:tcPr>
          <w:p w14:paraId="2B90066A"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ИС-1 ИС-2</w:t>
            </w:r>
          </w:p>
        </w:tc>
        <w:tc>
          <w:tcPr>
            <w:tcW w:w="586" w:type="dxa"/>
          </w:tcPr>
          <w:p w14:paraId="4F52DCA2"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38E721AC"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Pr>
          <w:p w14:paraId="16038FC4"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38" w:type="dxa"/>
          </w:tcPr>
          <w:p w14:paraId="21AF023C"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Pr>
          <w:p w14:paraId="51F57BD5"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72" w:type="dxa"/>
          </w:tcPr>
          <w:p w14:paraId="519C7185"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Pr>
          <w:p w14:paraId="79BBDEAB"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Pr>
          <w:p w14:paraId="375A40C8"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Pr>
          <w:p w14:paraId="1C73F979"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Pr>
          <w:p w14:paraId="28364F01"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tc>
        <w:tc>
          <w:tcPr>
            <w:tcW w:w="643" w:type="dxa"/>
          </w:tcPr>
          <w:p w14:paraId="4681AE1B"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w:t>
            </w:r>
          </w:p>
        </w:tc>
        <w:tc>
          <w:tcPr>
            <w:tcW w:w="538" w:type="dxa"/>
          </w:tcPr>
          <w:p w14:paraId="78012C5B"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40 35</w:t>
            </w:r>
          </w:p>
        </w:tc>
        <w:tc>
          <w:tcPr>
            <w:tcW w:w="720" w:type="dxa"/>
          </w:tcPr>
          <w:p w14:paraId="600F8423"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67 35</w:t>
            </w:r>
          </w:p>
        </w:tc>
      </w:tr>
      <w:tr w:rsidR="005106D0" w:rsidRPr="007224C3" w14:paraId="123ED51C" w14:textId="77777777" w:rsidTr="00B37F6A">
        <w:trPr>
          <w:trHeight w:val="211"/>
        </w:trPr>
        <w:tc>
          <w:tcPr>
            <w:tcW w:w="682" w:type="dxa"/>
          </w:tcPr>
          <w:p w14:paraId="7D1B32ED"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1944</w:t>
            </w:r>
          </w:p>
        </w:tc>
        <w:tc>
          <w:tcPr>
            <w:tcW w:w="845" w:type="dxa"/>
          </w:tcPr>
          <w:p w14:paraId="177DB067"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ИС-1</w:t>
            </w:r>
          </w:p>
        </w:tc>
        <w:tc>
          <w:tcPr>
            <w:tcW w:w="586" w:type="dxa"/>
          </w:tcPr>
          <w:p w14:paraId="4BE50E19"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w:t>
            </w:r>
          </w:p>
        </w:tc>
        <w:tc>
          <w:tcPr>
            <w:tcW w:w="710" w:type="dxa"/>
          </w:tcPr>
          <w:p w14:paraId="2D5AB524"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Pr>
          <w:p w14:paraId="0BE3FAAD"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38" w:type="dxa"/>
          </w:tcPr>
          <w:p w14:paraId="44147519"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Pr>
          <w:p w14:paraId="5FDD070A"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72" w:type="dxa"/>
          </w:tcPr>
          <w:p w14:paraId="3D63E4FF"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Pr>
          <w:p w14:paraId="3C54E6B9"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Pr>
          <w:p w14:paraId="20242A1D"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Pr>
          <w:p w14:paraId="26706B62"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Pr>
          <w:p w14:paraId="41D46811"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Pr>
          <w:p w14:paraId="0CA9295F"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38" w:type="dxa"/>
          </w:tcPr>
          <w:p w14:paraId="50A4E924"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190FCCB"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w:t>
            </w:r>
          </w:p>
        </w:tc>
      </w:tr>
      <w:tr w:rsidR="005106D0" w:rsidRPr="007224C3" w14:paraId="238A8468" w14:textId="77777777" w:rsidTr="00B37F6A">
        <w:trPr>
          <w:trHeight w:val="163"/>
        </w:trPr>
        <w:tc>
          <w:tcPr>
            <w:tcW w:w="682" w:type="dxa"/>
          </w:tcPr>
          <w:p w14:paraId="0F825317"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Pr>
          <w:p w14:paraId="15BA4A83"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ИС-2</w:t>
            </w:r>
          </w:p>
        </w:tc>
        <w:tc>
          <w:tcPr>
            <w:tcW w:w="586" w:type="dxa"/>
          </w:tcPr>
          <w:p w14:paraId="26C93D10"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35</w:t>
            </w:r>
          </w:p>
        </w:tc>
        <w:tc>
          <w:tcPr>
            <w:tcW w:w="710" w:type="dxa"/>
          </w:tcPr>
          <w:p w14:paraId="11384E81"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75</w:t>
            </w:r>
          </w:p>
        </w:tc>
        <w:tc>
          <w:tcPr>
            <w:tcW w:w="586" w:type="dxa"/>
          </w:tcPr>
          <w:p w14:paraId="38286D7A"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w:t>
            </w:r>
          </w:p>
        </w:tc>
        <w:tc>
          <w:tcPr>
            <w:tcW w:w="538" w:type="dxa"/>
          </w:tcPr>
          <w:p w14:paraId="01FCA728"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150</w:t>
            </w:r>
          </w:p>
        </w:tc>
        <w:tc>
          <w:tcPr>
            <w:tcW w:w="662" w:type="dxa"/>
          </w:tcPr>
          <w:p w14:paraId="54A56818"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175</w:t>
            </w:r>
          </w:p>
        </w:tc>
        <w:tc>
          <w:tcPr>
            <w:tcW w:w="672" w:type="dxa"/>
          </w:tcPr>
          <w:p w14:paraId="68975442"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200</w:t>
            </w:r>
          </w:p>
        </w:tc>
        <w:tc>
          <w:tcPr>
            <w:tcW w:w="643" w:type="dxa"/>
          </w:tcPr>
          <w:p w14:paraId="10885C45"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225</w:t>
            </w:r>
          </w:p>
        </w:tc>
        <w:tc>
          <w:tcPr>
            <w:tcW w:w="662" w:type="dxa"/>
          </w:tcPr>
          <w:p w14:paraId="5A4872F2"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250</w:t>
            </w:r>
          </w:p>
        </w:tc>
        <w:tc>
          <w:tcPr>
            <w:tcW w:w="662" w:type="dxa"/>
          </w:tcPr>
          <w:p w14:paraId="286E8A61"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250</w:t>
            </w:r>
          </w:p>
        </w:tc>
        <w:tc>
          <w:tcPr>
            <w:tcW w:w="662" w:type="dxa"/>
          </w:tcPr>
          <w:p w14:paraId="33BF6443"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250</w:t>
            </w:r>
          </w:p>
        </w:tc>
        <w:tc>
          <w:tcPr>
            <w:tcW w:w="643" w:type="dxa"/>
          </w:tcPr>
          <w:p w14:paraId="50761A95"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250</w:t>
            </w:r>
          </w:p>
        </w:tc>
        <w:tc>
          <w:tcPr>
            <w:tcW w:w="538" w:type="dxa"/>
          </w:tcPr>
          <w:p w14:paraId="5DE6A177"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250</w:t>
            </w:r>
          </w:p>
        </w:tc>
        <w:tc>
          <w:tcPr>
            <w:tcW w:w="720" w:type="dxa"/>
          </w:tcPr>
          <w:p w14:paraId="73CD3C2D"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2210</w:t>
            </w:r>
          </w:p>
        </w:tc>
      </w:tr>
      <w:tr w:rsidR="005106D0" w:rsidRPr="007224C3" w14:paraId="58B3E79E" w14:textId="77777777" w:rsidTr="00B37F6A">
        <w:trPr>
          <w:trHeight w:val="173"/>
        </w:trPr>
        <w:tc>
          <w:tcPr>
            <w:tcW w:w="682" w:type="dxa"/>
          </w:tcPr>
          <w:p w14:paraId="14065F94"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Pr>
          <w:p w14:paraId="538D636B"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ИС-2 (ЧКЗ)</w:t>
            </w:r>
          </w:p>
        </w:tc>
        <w:tc>
          <w:tcPr>
            <w:tcW w:w="586" w:type="dxa"/>
          </w:tcPr>
          <w:p w14:paraId="722BD19D"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250</w:t>
            </w:r>
          </w:p>
        </w:tc>
        <w:tc>
          <w:tcPr>
            <w:tcW w:w="710" w:type="dxa"/>
          </w:tcPr>
          <w:p w14:paraId="16157AC2"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250</w:t>
            </w:r>
          </w:p>
        </w:tc>
        <w:tc>
          <w:tcPr>
            <w:tcW w:w="586" w:type="dxa"/>
          </w:tcPr>
          <w:p w14:paraId="51132EBB"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250</w:t>
            </w:r>
          </w:p>
        </w:tc>
        <w:tc>
          <w:tcPr>
            <w:tcW w:w="538" w:type="dxa"/>
          </w:tcPr>
          <w:p w14:paraId="67F495FF"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230</w:t>
            </w:r>
          </w:p>
        </w:tc>
        <w:tc>
          <w:tcPr>
            <w:tcW w:w="662" w:type="dxa"/>
          </w:tcPr>
          <w:p w14:paraId="2D2B3E37"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150</w:t>
            </w:r>
          </w:p>
        </w:tc>
        <w:tc>
          <w:tcPr>
            <w:tcW w:w="672" w:type="dxa"/>
          </w:tcPr>
          <w:p w14:paraId="6EFE9101"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Pr>
          <w:p w14:paraId="370DC914"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Pr>
          <w:p w14:paraId="26E7C588"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05" w:type="dxa"/>
            <w:gridSpan w:val="4"/>
          </w:tcPr>
          <w:p w14:paraId="2491ADE7"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3C932F1"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1130</w:t>
            </w:r>
          </w:p>
        </w:tc>
      </w:tr>
      <w:tr w:rsidR="005106D0" w:rsidRPr="007224C3" w14:paraId="53E3CEDB" w14:textId="77777777" w:rsidTr="00B37F6A">
        <w:trPr>
          <w:trHeight w:val="163"/>
        </w:trPr>
        <w:tc>
          <w:tcPr>
            <w:tcW w:w="682" w:type="dxa"/>
          </w:tcPr>
          <w:p w14:paraId="08C98EB7"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1945 (до 1.09)</w:t>
            </w:r>
          </w:p>
        </w:tc>
        <w:tc>
          <w:tcPr>
            <w:tcW w:w="845" w:type="dxa"/>
          </w:tcPr>
          <w:p w14:paraId="3774AEB0"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ИС-2 (ЛКЗ)</w:t>
            </w:r>
          </w:p>
        </w:tc>
        <w:tc>
          <w:tcPr>
            <w:tcW w:w="586" w:type="dxa"/>
          </w:tcPr>
          <w:p w14:paraId="125E7639"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4CEA2BD8"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Pr>
          <w:p w14:paraId="4EA0CDB7"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tc>
        <w:tc>
          <w:tcPr>
            <w:tcW w:w="538" w:type="dxa"/>
          </w:tcPr>
          <w:p w14:paraId="0A00D3EE"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Pr>
          <w:p w14:paraId="5CCEFAE5"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72" w:type="dxa"/>
          </w:tcPr>
          <w:p w14:paraId="0B7C0E31"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tc>
        <w:tc>
          <w:tcPr>
            <w:tcW w:w="643" w:type="dxa"/>
          </w:tcPr>
          <w:p w14:paraId="31392FF7"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Pr>
          <w:p w14:paraId="79F1D91D"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05" w:type="dxa"/>
            <w:gridSpan w:val="4"/>
          </w:tcPr>
          <w:p w14:paraId="4E232B30"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63CC1CE"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w:t>
            </w:r>
          </w:p>
        </w:tc>
      </w:tr>
      <w:tr w:rsidR="005106D0" w:rsidRPr="007224C3" w14:paraId="36EAC130" w14:textId="77777777" w:rsidTr="00B37F6A">
        <w:trPr>
          <w:trHeight w:val="192"/>
        </w:trPr>
        <w:tc>
          <w:tcPr>
            <w:tcW w:w="682" w:type="dxa"/>
          </w:tcPr>
          <w:p w14:paraId="65838B49"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Pr>
          <w:p w14:paraId="028366A9"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ИС-3 (ЧКЗ)</w:t>
            </w:r>
          </w:p>
        </w:tc>
        <w:tc>
          <w:tcPr>
            <w:tcW w:w="586" w:type="dxa"/>
          </w:tcPr>
          <w:p w14:paraId="06060D88"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3141CD5C"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Pr>
          <w:p w14:paraId="447020AC"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38" w:type="dxa"/>
          </w:tcPr>
          <w:p w14:paraId="1CA24469"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w:t>
            </w:r>
          </w:p>
        </w:tc>
        <w:tc>
          <w:tcPr>
            <w:tcW w:w="662" w:type="dxa"/>
          </w:tcPr>
          <w:p w14:paraId="18272ABE"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w:t>
            </w:r>
          </w:p>
        </w:tc>
        <w:tc>
          <w:tcPr>
            <w:tcW w:w="672" w:type="dxa"/>
          </w:tcPr>
          <w:p w14:paraId="319F7026"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250</w:t>
            </w:r>
          </w:p>
        </w:tc>
        <w:tc>
          <w:tcPr>
            <w:tcW w:w="643" w:type="dxa"/>
          </w:tcPr>
          <w:p w14:paraId="4C9E3354"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250</w:t>
            </w:r>
          </w:p>
        </w:tc>
        <w:tc>
          <w:tcPr>
            <w:tcW w:w="662" w:type="dxa"/>
          </w:tcPr>
          <w:p w14:paraId="6C23E8F7"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250</w:t>
            </w:r>
          </w:p>
        </w:tc>
        <w:tc>
          <w:tcPr>
            <w:tcW w:w="2505" w:type="dxa"/>
            <w:gridSpan w:val="4"/>
          </w:tcPr>
          <w:p w14:paraId="38AD4890"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AC58777"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875</w:t>
            </w:r>
          </w:p>
        </w:tc>
      </w:tr>
      <w:tr w:rsidR="005106D0" w:rsidRPr="007224C3" w14:paraId="5E5C01DA" w14:textId="77777777" w:rsidTr="00B37F6A">
        <w:trPr>
          <w:trHeight w:val="221"/>
        </w:trPr>
        <w:tc>
          <w:tcPr>
            <w:tcW w:w="1527" w:type="dxa"/>
            <w:gridSpan w:val="2"/>
            <w:tcBorders>
              <w:bottom w:val="single" w:sz="12" w:space="0" w:color="auto"/>
            </w:tcBorders>
          </w:tcPr>
          <w:p w14:paraId="67022A13"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Итого</w:t>
            </w:r>
          </w:p>
        </w:tc>
        <w:tc>
          <w:tcPr>
            <w:tcW w:w="7564" w:type="dxa"/>
            <w:gridSpan w:val="12"/>
            <w:tcBorders>
              <w:bottom w:val="single" w:sz="12" w:space="0" w:color="auto"/>
            </w:tcBorders>
          </w:tcPr>
          <w:p w14:paraId="5914FA5C"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bottom w:val="single" w:sz="12" w:space="0" w:color="auto"/>
            </w:tcBorders>
          </w:tcPr>
          <w:p w14:paraId="14D58500"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4367</w:t>
            </w:r>
          </w:p>
        </w:tc>
      </w:tr>
    </w:tbl>
    <w:p w14:paraId="0ABFF286"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(10703).</w:t>
      </w:r>
    </w:p>
    <w:p w14:paraId="00C7A87E"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697AAE4"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конце января 1944 г. танк "Объект 244" прошел контрольный про</w:t>
      </w:r>
      <w:r w:rsidRPr="007224C3">
        <w:rPr>
          <w:rFonts w:ascii="Times New Roman" w:hAnsi="Times New Roman"/>
          <w:color w:val="000000" w:themeColor="text1"/>
          <w:sz w:val="16"/>
          <w:szCs w:val="16"/>
        </w:rPr>
        <w:softHyphen/>
        <w:t>бег и заводской отстрел новой пушки девятью выстрелами. Максималь</w:t>
      </w:r>
      <w:r w:rsidRPr="007224C3">
        <w:rPr>
          <w:rFonts w:ascii="Times New Roman" w:hAnsi="Times New Roman"/>
          <w:color w:val="000000" w:themeColor="text1"/>
          <w:sz w:val="16"/>
          <w:szCs w:val="16"/>
        </w:rPr>
        <w:softHyphen/>
        <w:t>ный угол возвышения пушки составлял 15° вместо требуемых 25°. Во время этих испытаний вышел из строя левый бортовой редуктор (пробег танка к тому времени составлял 5500 км). Испытания машины бы</w:t>
      </w:r>
      <w:r w:rsidRPr="007224C3">
        <w:rPr>
          <w:rFonts w:ascii="Times New Roman" w:hAnsi="Times New Roman"/>
          <w:color w:val="000000" w:themeColor="text1"/>
          <w:sz w:val="16"/>
          <w:szCs w:val="16"/>
        </w:rPr>
        <w:softHyphen/>
        <w:t>ли продолжены во второй половине марта 1944 г. (10703).</w:t>
      </w:r>
    </w:p>
    <w:p w14:paraId="03839A64" w14:textId="77777777" w:rsidR="000D2529" w:rsidRPr="007224C3" w:rsidRDefault="000D252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3A7BCA" w14:textId="77777777" w:rsidR="00986ACA" w:rsidRPr="007224C3" w:rsidRDefault="00986ACA" w:rsidP="007224C3">
      <w:pPr>
        <w:shd w:val="clear" w:color="auto" w:fill="FFFFFF"/>
        <w:spacing w:after="0" w:line="240" w:lineRule="auto"/>
        <w:jc w:val="both"/>
        <w:rPr>
          <w:rStyle w:val="631"/>
          <w:rFonts w:ascii="Times New Roman" w:hAnsi="Times New Roman" w:cs="Times New Roman"/>
          <w:color w:val="0070C0"/>
          <w:sz w:val="16"/>
          <w:szCs w:val="16"/>
        </w:rPr>
      </w:pPr>
      <w:r w:rsidRPr="007224C3">
        <w:rPr>
          <w:rStyle w:val="631"/>
          <w:rFonts w:ascii="Times New Roman" w:hAnsi="Times New Roman" w:cs="Times New Roman"/>
          <w:color w:val="0070C0"/>
          <w:sz w:val="16"/>
          <w:szCs w:val="16"/>
        </w:rPr>
        <w:t>В конце января 1944 г. завод №8 построил первое орудие Д5-С- 85А для Су-85. Для Д5-С-85А от зенитного орудия 52-К были взяты затвор и ствол, что существенно</w:t>
      </w:r>
      <w:r w:rsidRPr="007224C3">
        <w:rPr>
          <w:rStyle w:val="641"/>
          <w:rFonts w:ascii="Times New Roman" w:hAnsi="Times New Roman" w:cs="Times New Roman"/>
          <w:color w:val="0070C0"/>
          <w:sz w:val="16"/>
          <w:szCs w:val="16"/>
        </w:rPr>
        <w:t xml:space="preserve"> упрощало выпуск самоходных артиллерий</w:t>
      </w:r>
      <w:r w:rsidRPr="007224C3">
        <w:rPr>
          <w:rStyle w:val="641"/>
          <w:rFonts w:ascii="Times New Roman" w:hAnsi="Times New Roman" w:cs="Times New Roman"/>
          <w:color w:val="0070C0"/>
          <w:sz w:val="16"/>
          <w:szCs w:val="16"/>
        </w:rPr>
        <w:softHyphen/>
      </w:r>
      <w:r w:rsidRPr="007224C3">
        <w:rPr>
          <w:rStyle w:val="631"/>
          <w:rFonts w:ascii="Times New Roman" w:hAnsi="Times New Roman" w:cs="Times New Roman"/>
          <w:color w:val="0070C0"/>
          <w:sz w:val="16"/>
          <w:szCs w:val="16"/>
        </w:rPr>
        <w:t>ских систем. В связи с использованием иного ствола и затвора, Д5-С-85А получила также и ограждение, отличное от конструкции Д5-С- 85. Внешне эти орудия на самоходках отли</w:t>
      </w:r>
      <w:r w:rsidRPr="007224C3">
        <w:rPr>
          <w:rStyle w:val="631"/>
          <w:rFonts w:ascii="Times New Roman" w:hAnsi="Times New Roman" w:cs="Times New Roman"/>
          <w:color w:val="0070C0"/>
          <w:sz w:val="16"/>
          <w:szCs w:val="16"/>
        </w:rPr>
        <w:softHyphen/>
        <w:t>чаются конусностью стволов. Старший воен</w:t>
      </w:r>
      <w:r w:rsidRPr="007224C3">
        <w:rPr>
          <w:rStyle w:val="631"/>
          <w:rFonts w:ascii="Times New Roman" w:hAnsi="Times New Roman" w:cs="Times New Roman"/>
          <w:color w:val="0070C0"/>
          <w:sz w:val="16"/>
          <w:szCs w:val="16"/>
        </w:rPr>
        <w:softHyphen/>
        <w:t>ный представитель на УЗТМ Г.З. Зухер был против такого решения, поскольку оно порождало проблемы с ЗИП и деталями. Тем не менее, 28 января Д5-С-85А прошла успеш</w:t>
      </w:r>
      <w:r w:rsidRPr="007224C3">
        <w:rPr>
          <w:rStyle w:val="631"/>
          <w:rFonts w:ascii="Times New Roman" w:hAnsi="Times New Roman" w:cs="Times New Roman"/>
          <w:color w:val="0070C0"/>
          <w:sz w:val="16"/>
          <w:szCs w:val="16"/>
        </w:rPr>
        <w:softHyphen/>
        <w:t>ные испытания в СУ-85, после чего приняли решение о запуске орудия в серийное про</w:t>
      </w:r>
      <w:r w:rsidRPr="007224C3">
        <w:rPr>
          <w:rStyle w:val="631"/>
          <w:rFonts w:ascii="Times New Roman" w:hAnsi="Times New Roman" w:cs="Times New Roman"/>
          <w:color w:val="0070C0"/>
          <w:sz w:val="16"/>
          <w:szCs w:val="16"/>
        </w:rPr>
        <w:softHyphen/>
        <w:t>изводство. Первые орудия данного типа завод №8 сдал в феврале 1944 года. За этот месяц завод №9 сдал 139 пушек Д5-С-85, а завод №8 - 42, часть из которых была Д5-С- 85А. Самоходные установки с системами Д5- С-85А получили название СУ-85А, что также отражалось на серийном номере машины. Если машина оснащалась Д5-С-85А, то в конце серийного номера выбивалась буква «А» (19889).</w:t>
      </w:r>
    </w:p>
    <w:p w14:paraId="2AABDA36" w14:textId="77777777" w:rsidR="00986ACA" w:rsidRPr="007224C3" w:rsidRDefault="00986ACA" w:rsidP="007224C3">
      <w:pPr>
        <w:spacing w:after="0" w:line="240" w:lineRule="auto"/>
        <w:jc w:val="both"/>
        <w:rPr>
          <w:rFonts w:ascii="Times New Roman" w:hAnsi="Times New Roman"/>
          <w:color w:val="0070C0"/>
          <w:sz w:val="16"/>
          <w:szCs w:val="16"/>
        </w:rPr>
      </w:pPr>
    </w:p>
    <w:p w14:paraId="2CA3B17F" w14:textId="3CCD8BA8" w:rsidR="00EB5F81" w:rsidRPr="007224C3" w:rsidRDefault="00EB5F81" w:rsidP="007224C3">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7224C3">
        <w:rPr>
          <w:rFonts w:ascii="Times New Roman" w:hAnsi="Times New Roman"/>
          <w:i/>
          <w:iCs/>
          <w:color w:val="000000" w:themeColor="text1"/>
          <w:sz w:val="16"/>
          <w:szCs w:val="16"/>
        </w:rPr>
        <w:t>За рцбежом:</w:t>
      </w:r>
    </w:p>
    <w:p w14:paraId="34737FCD" w14:textId="77777777" w:rsidR="00EB5F81" w:rsidRPr="007224C3" w:rsidRDefault="00EB5F81" w:rsidP="007224C3">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4DFAB829" w14:textId="77777777" w:rsidR="00EB5F81" w:rsidRPr="007224C3" w:rsidRDefault="00EB5F81"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 конце января 1944-го возобновились массированные налеты на Лондон — началась операция «Штайнбок». Для нее была собрана группировка в составе 550 самолетов из IX авиакорпуса, в т.ч. тридцать пять Не 177А из эскадры KG 100 «Викинг» и более пятидесяти Do 217K/M из KG 2. Командовал операцией генерал Пельц.</w:t>
      </w:r>
    </w:p>
    <w:p w14:paraId="2677CAD2" w14:textId="77777777" w:rsidR="00EB5F81" w:rsidRPr="007224C3" w:rsidRDefault="00EB5F81"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Всего в ходе операции «Штайнбок» было проведено пять массированных налетов и несколько малых, в них было сбито 129 немецких самолетов, большинство из которых были старые Не 111Н. Это была последняя крупномасштабная бомбардировка английских городов. Дальше немцы это делали только внезапными одиночными рейдами или с использованием самолетов-снарядов (22939).</w:t>
      </w:r>
    </w:p>
    <w:p w14:paraId="25BC25DE" w14:textId="77777777" w:rsidR="00EB5F81" w:rsidRPr="007224C3" w:rsidRDefault="00EB5F81" w:rsidP="007224C3">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6AC697B8" w14:textId="1EDD2AB5"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5FB760E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90DA4C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январе 1944 г. с целью проверки результатов НИИ-48 и конкретизации некоторых параметров бронирования Ил-2 по приказу Алексеева в действующую армию (в 17-ю ВА) были командированы инженер-майор Фридман от 5 отдела УЗСиМ ВВС и старший инженер А-Л.Немчинский от НИИ-48 (7442).</w:t>
      </w:r>
    </w:p>
    <w:p w14:paraId="3B777A3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97E5C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Пока выездная бригада ВВС и НИИ-48 работала в частях, схема бронирования двухместного Ил-1 АМ-42, предъявленная на утверждение в НИИ ВВС КА в марте 1944 г., была отклонена военными специалистами, несмотря на то, что общий вес брони достигал 1236 кг. ** Уязвимые места - задняя перегородка, моторная часть -снизу-сбоков. Их необходимо усилить путем перераспределения брони", -требовалось в заключении НИИ ВВС от 23.03.44 г (7442).</w:t>
      </w:r>
    </w:p>
    <w:p w14:paraId="6B5792D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A8D96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января 1944 г. все авиазаводы НКАП выпускали Ил-2 толь</w:t>
      </w:r>
      <w:r w:rsidRPr="007224C3">
        <w:rPr>
          <w:rFonts w:ascii="Times New Roman" w:hAnsi="Times New Roman"/>
          <w:color w:val="000000" w:themeColor="text1"/>
          <w:sz w:val="16"/>
          <w:szCs w:val="16"/>
        </w:rPr>
        <w:softHyphen/>
        <w:t>ко с пушками ВЯ-23.</w:t>
      </w:r>
    </w:p>
    <w:p w14:paraId="7DA95780"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AC3DE28" w14:textId="77777777" w:rsidR="00EB5F81" w:rsidRPr="007224C3" w:rsidRDefault="00EB5F81"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январь 1944 г.</w:t>
      </w:r>
    </w:p>
    <w:p w14:paraId="072E6C17" w14:textId="77777777" w:rsidR="00EB5F81" w:rsidRPr="007224C3" w:rsidRDefault="00EB5F81"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Из доклада директора завода № 18 о работе завода в 1943 году</w:t>
      </w:r>
    </w:p>
    <w:p w14:paraId="1AF573BE" w14:textId="77777777" w:rsidR="00EB5F81" w:rsidRPr="007224C3" w:rsidRDefault="00EB5F81"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январь 1944 г.</w:t>
      </w:r>
    </w:p>
    <w:p w14:paraId="5565FB24" w14:textId="77777777" w:rsidR="00EB5F81" w:rsidRPr="007224C3" w:rsidRDefault="00EB5F81"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Сов.секретно</w:t>
      </w:r>
    </w:p>
    <w:p w14:paraId="446079FB" w14:textId="77777777" w:rsidR="00EB5F81" w:rsidRPr="007224C3" w:rsidRDefault="00EB5F81"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...Непрерывно участвуя в социалистическом соревновании, наш завод в течение всего 1943 года, за исключением марта месяца, удерживал за собой переходящее Красное Знамя Государственного Комитета Обороны, все время перевыполнял план и сдавал в особый фонд Верховного Главного Командования Красной Армии грозные</w:t>
      </w:r>
    </w:p>
    <w:p w14:paraId="44346D39" w14:textId="77777777" w:rsidR="00EB5F81" w:rsidRPr="007224C3" w:rsidRDefault="00EB5F81"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для врага боевые самолеты - штурмовики.</w:t>
      </w:r>
    </w:p>
    <w:p w14:paraId="2A4EF1C9" w14:textId="77777777" w:rsidR="00EB5F81" w:rsidRPr="007224C3" w:rsidRDefault="00EB5F81"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Высоко подняв переходящее Красное знамя Государственного Комитета Обороны, воодушевленный сокрушительным наступательным порывом и одержанными победами нашей Героической Красной Армии на многих фронтах отечественной войны, коллектив нашего завода с упорством, с настойчивостью в преодолении возникающих на пути трудностей, добивался досрочного выполнения годового государственного производственного задания.</w:t>
      </w:r>
    </w:p>
    <w:p w14:paraId="319E69D6" w14:textId="77777777" w:rsidR="00EB5F81" w:rsidRPr="007224C3" w:rsidRDefault="00EB5F81"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Коллектив нашего завода 14 декабря с радостью рапортовал Партии, Правительству о выполнении годовой программы по сдаче самолетов и счастливым с этого времени с тем же энтузиазмом работал над продукцией в фонд Верховного Главного Командования Красной Армии.</w:t>
      </w:r>
    </w:p>
    <w:p w14:paraId="254F0AF7" w14:textId="77777777" w:rsidR="00EB5F81" w:rsidRPr="007224C3" w:rsidRDefault="00EB5F81"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До конца 1943 года завод сдал в особый фонд Верховного Главного Командования Красной Армии 223 боевых самолета, 22 групповых комплекта, на 68364 тыс. рублей запасных частей россыпью и другой продукции оборонного значения.</w:t>
      </w:r>
    </w:p>
    <w:p w14:paraId="64645F80" w14:textId="77777777" w:rsidR="00EB5F81" w:rsidRPr="007224C3" w:rsidRDefault="00EB5F81"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Общая сумма товарной продукции в неизменных ценах сдаваемой заводом за год в особый фонд Верховного Главного Командования Красной Армии составляет 79027 тысячи рублей.</w:t>
      </w:r>
    </w:p>
    <w:p w14:paraId="79B08D0F" w14:textId="77777777" w:rsidR="00EB5F81" w:rsidRPr="007224C3" w:rsidRDefault="00EB5F81"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Можно с уверенностью сказать, что сделанный заводом вклад в особый фонд Верховного Главного Командования Красной Армии был бы несравненно больше, если бы работа его протекала в менее трудных условиях...</w:t>
      </w:r>
    </w:p>
    <w:p w14:paraId="0520774F" w14:textId="77777777" w:rsidR="00EB5F81" w:rsidRPr="007224C3" w:rsidRDefault="00EB5F81"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Установленное заводу планом на 1943 год задание по выпуску основной продукции, в сравнении с фактическим выполнением за 1942 год, представляло собой достаточно ответственную и сложную задачу.</w:t>
      </w:r>
    </w:p>
    <w:p w14:paraId="498DB2BE" w14:textId="77777777" w:rsidR="00EB5F81" w:rsidRPr="007224C3" w:rsidRDefault="00EB5F81"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Если в 1942 году завод фактически сдал 3837 самолетов, то в 1943 году по утвержденному плану он должен был сдать 4551 самолет, или на 18,3% больше фактического выполнения за 1942 год.</w:t>
      </w:r>
    </w:p>
    <w:p w14:paraId="5C0F00D5" w14:textId="77777777" w:rsidR="00EB5F81" w:rsidRPr="007224C3" w:rsidRDefault="00EB5F81"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Это задание приобретает еще большую серьезность, если рассматривать его в сочетании с другими основными плановыми показателями, в частности со среднесписочным числом рабочих.</w:t>
      </w:r>
    </w:p>
    <w:p w14:paraId="469FD51A" w14:textId="77777777" w:rsidR="00EB5F81" w:rsidRPr="007224C3" w:rsidRDefault="00EB5F81"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 1942 году завод был в состоянии выпустить 3837 самолетов при фактическом наличии среднесписочного числа рабочих в 17486 человек; в 1943 году на выполнение увеличенного на 18,3% производственного задания по плану заводу дано было почти то же самое среднесписочное число рабочих (17700 человек). А практически заводу пришлось выполнять это производственное задание с числом рабочих значительно ниже планового. К тому же значительная часть фактического наличия рабочих, укомплектованная, главным образом, за счет мобилизации местного сельского и городского населения, была малоквалифицированной и без достаточных производственных навыков.</w:t>
      </w:r>
    </w:p>
    <w:p w14:paraId="7CBF2B98" w14:textId="77777777" w:rsidR="00EB5F81" w:rsidRPr="007224C3" w:rsidRDefault="00EB5F81"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Следовательно, из-за недостатка рабочей силы против плана и низкой квалификации ее, с одной стороны, недостаточности и перебоев в снабжении материалами, с другой, - действительные условия работы завода в 1943 году были значительно тяжелее, чем предусматривалось планом.</w:t>
      </w:r>
    </w:p>
    <w:p w14:paraId="4CF86EAA" w14:textId="77777777" w:rsidR="00EB5F81" w:rsidRPr="007224C3" w:rsidRDefault="00EB5F81"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Но, несмотря на трудности, широко пользуясь в своей напряженной работе социалистическими методами труда и благодаря внедрению в производство ряда организационных и технических мероприятий, коллектив завода досрочно справился с выполнением производственного задания по годовому плану и параллельно этому выполнил ряд ответственных заданий сверх плана, в частности изготовил несколько опытных машин.</w:t>
      </w:r>
    </w:p>
    <w:p w14:paraId="71BA40C1" w14:textId="77777777" w:rsidR="00EB5F81" w:rsidRPr="007224C3" w:rsidRDefault="00EB5F81"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Насколько успешно справился завод с выполнением годового производственного задания по выпуску основной продукции оборонного значения, можно судить по следующим показателям.</w:t>
      </w:r>
    </w:p>
    <w:p w14:paraId="11531384" w14:textId="77777777" w:rsidR="00EB5F81" w:rsidRPr="007224C3" w:rsidRDefault="00EB5F81"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ab/>
        <w:t>Отчет за</w:t>
      </w:r>
      <w:r w:rsidRPr="007224C3">
        <w:rPr>
          <w:rFonts w:ascii="Times New Roman" w:hAnsi="Times New Roman"/>
          <w:color w:val="0070C0"/>
          <w:sz w:val="16"/>
          <w:szCs w:val="16"/>
        </w:rPr>
        <w:tab/>
        <w:t>План</w:t>
      </w:r>
      <w:r w:rsidRPr="007224C3">
        <w:rPr>
          <w:rFonts w:ascii="Times New Roman" w:hAnsi="Times New Roman"/>
          <w:color w:val="0070C0"/>
          <w:sz w:val="16"/>
          <w:szCs w:val="16"/>
        </w:rPr>
        <w:tab/>
        <w:t>Отчет за</w:t>
      </w:r>
      <w:r w:rsidRPr="007224C3">
        <w:rPr>
          <w:rFonts w:ascii="Times New Roman" w:hAnsi="Times New Roman"/>
          <w:color w:val="0070C0"/>
          <w:sz w:val="16"/>
          <w:szCs w:val="16"/>
        </w:rPr>
        <w:tab/>
        <w:t>1943 г. в %%</w:t>
      </w:r>
      <w:r w:rsidRPr="007224C3">
        <w:rPr>
          <w:rFonts w:ascii="Times New Roman" w:hAnsi="Times New Roman"/>
          <w:color w:val="0070C0"/>
          <w:sz w:val="16"/>
          <w:szCs w:val="16"/>
        </w:rPr>
        <w:tab/>
      </w:r>
    </w:p>
    <w:p w14:paraId="3B207BE8" w14:textId="77777777" w:rsidR="00EB5F81" w:rsidRPr="007224C3" w:rsidRDefault="00EB5F81"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ab/>
        <w:t>1942 г.</w:t>
      </w:r>
      <w:r w:rsidRPr="007224C3">
        <w:rPr>
          <w:rFonts w:ascii="Times New Roman" w:hAnsi="Times New Roman"/>
          <w:color w:val="0070C0"/>
          <w:sz w:val="16"/>
          <w:szCs w:val="16"/>
        </w:rPr>
        <w:tab/>
        <w:t>1943 г.</w:t>
      </w:r>
      <w:r w:rsidRPr="007224C3">
        <w:rPr>
          <w:rFonts w:ascii="Times New Roman" w:hAnsi="Times New Roman"/>
          <w:color w:val="0070C0"/>
          <w:sz w:val="16"/>
          <w:szCs w:val="16"/>
        </w:rPr>
        <w:tab/>
        <w:t>1943 г.</w:t>
      </w:r>
      <w:r w:rsidRPr="007224C3">
        <w:rPr>
          <w:rFonts w:ascii="Times New Roman" w:hAnsi="Times New Roman"/>
          <w:color w:val="0070C0"/>
          <w:sz w:val="16"/>
          <w:szCs w:val="16"/>
        </w:rPr>
        <w:tab/>
        <w:t>к плану</w:t>
      </w:r>
      <w:r w:rsidRPr="007224C3">
        <w:rPr>
          <w:rFonts w:ascii="Times New Roman" w:hAnsi="Times New Roman"/>
          <w:color w:val="0070C0"/>
          <w:sz w:val="16"/>
          <w:szCs w:val="16"/>
        </w:rPr>
        <w:tab/>
        <w:t>к 1942 г.</w:t>
      </w:r>
    </w:p>
    <w:p w14:paraId="683E3BA9" w14:textId="77777777" w:rsidR="00EB5F81" w:rsidRPr="007224C3" w:rsidRDefault="00EB5F81"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 Сдача самолетов Ил-2 к бою готовых (в шт.) в т.ч. учебных (шт.)</w:t>
      </w:r>
      <w:r w:rsidRPr="007224C3">
        <w:rPr>
          <w:rFonts w:ascii="Times New Roman" w:hAnsi="Times New Roman"/>
          <w:color w:val="0070C0"/>
          <w:sz w:val="16"/>
          <w:szCs w:val="16"/>
        </w:rPr>
        <w:tab/>
        <w:t>3837  153</w:t>
      </w:r>
      <w:r w:rsidRPr="007224C3">
        <w:rPr>
          <w:rFonts w:ascii="Times New Roman" w:hAnsi="Times New Roman"/>
          <w:color w:val="0070C0"/>
          <w:sz w:val="16"/>
          <w:szCs w:val="16"/>
        </w:rPr>
        <w:tab/>
        <w:t>4541  290</w:t>
      </w:r>
      <w:r w:rsidRPr="007224C3">
        <w:rPr>
          <w:rFonts w:ascii="Times New Roman" w:hAnsi="Times New Roman"/>
          <w:color w:val="0070C0"/>
          <w:sz w:val="16"/>
          <w:szCs w:val="16"/>
        </w:rPr>
        <w:tab/>
        <w:t>4764  406</w:t>
      </w:r>
      <w:r w:rsidRPr="007224C3">
        <w:rPr>
          <w:rFonts w:ascii="Times New Roman" w:hAnsi="Times New Roman"/>
          <w:color w:val="0070C0"/>
          <w:sz w:val="16"/>
          <w:szCs w:val="16"/>
        </w:rPr>
        <w:tab/>
        <w:t>104,9  140</w:t>
      </w:r>
      <w:r w:rsidRPr="007224C3">
        <w:rPr>
          <w:rFonts w:ascii="Times New Roman" w:hAnsi="Times New Roman"/>
          <w:color w:val="0070C0"/>
          <w:sz w:val="16"/>
          <w:szCs w:val="16"/>
        </w:rPr>
        <w:tab/>
        <w:t>124,2  266</w:t>
      </w:r>
    </w:p>
    <w:p w14:paraId="3683AE11" w14:textId="77777777" w:rsidR="00EB5F81" w:rsidRPr="007224C3" w:rsidRDefault="00EB5F81"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 Сдача групповых комп- лектов к самолету Ил-2 (в комплектах)</w:t>
      </w:r>
      <w:r w:rsidRPr="007224C3">
        <w:rPr>
          <w:rFonts w:ascii="Times New Roman" w:hAnsi="Times New Roman"/>
          <w:color w:val="0070C0"/>
          <w:sz w:val="16"/>
          <w:szCs w:val="16"/>
        </w:rPr>
        <w:tab/>
        <w:t>384</w:t>
      </w:r>
      <w:r w:rsidRPr="007224C3">
        <w:rPr>
          <w:rFonts w:ascii="Times New Roman" w:hAnsi="Times New Roman"/>
          <w:color w:val="0070C0"/>
          <w:sz w:val="16"/>
          <w:szCs w:val="16"/>
        </w:rPr>
        <w:tab/>
        <w:t>454</w:t>
      </w:r>
      <w:r w:rsidRPr="007224C3">
        <w:rPr>
          <w:rFonts w:ascii="Times New Roman" w:hAnsi="Times New Roman"/>
          <w:color w:val="0070C0"/>
          <w:sz w:val="16"/>
          <w:szCs w:val="16"/>
        </w:rPr>
        <w:tab/>
        <w:t>476</w:t>
      </w:r>
      <w:r w:rsidRPr="007224C3">
        <w:rPr>
          <w:rFonts w:ascii="Times New Roman" w:hAnsi="Times New Roman"/>
          <w:color w:val="0070C0"/>
          <w:sz w:val="16"/>
          <w:szCs w:val="16"/>
        </w:rPr>
        <w:tab/>
        <w:t>104,8</w:t>
      </w:r>
      <w:r w:rsidRPr="007224C3">
        <w:rPr>
          <w:rFonts w:ascii="Times New Roman" w:hAnsi="Times New Roman"/>
          <w:color w:val="0070C0"/>
          <w:sz w:val="16"/>
          <w:szCs w:val="16"/>
        </w:rPr>
        <w:tab/>
        <w:t>124</w:t>
      </w:r>
    </w:p>
    <w:p w14:paraId="74B99CB0" w14:textId="77777777" w:rsidR="00EB5F81" w:rsidRPr="007224C3" w:rsidRDefault="00EB5F81"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3. Сдача запасных частей россыпью (в тыс. руб.)</w:t>
      </w:r>
      <w:r w:rsidRPr="007224C3">
        <w:rPr>
          <w:rFonts w:ascii="Times New Roman" w:hAnsi="Times New Roman"/>
          <w:color w:val="0070C0"/>
          <w:sz w:val="16"/>
          <w:szCs w:val="16"/>
        </w:rPr>
        <w:tab/>
        <w:t>16746</w:t>
      </w:r>
      <w:r w:rsidRPr="007224C3">
        <w:rPr>
          <w:rFonts w:ascii="Times New Roman" w:hAnsi="Times New Roman"/>
          <w:color w:val="0070C0"/>
          <w:sz w:val="16"/>
          <w:szCs w:val="16"/>
        </w:rPr>
        <w:tab/>
        <w:t>13300</w:t>
      </w:r>
      <w:r w:rsidRPr="007224C3">
        <w:rPr>
          <w:rFonts w:ascii="Times New Roman" w:hAnsi="Times New Roman"/>
          <w:color w:val="0070C0"/>
          <w:sz w:val="16"/>
          <w:szCs w:val="16"/>
        </w:rPr>
        <w:tab/>
        <w:t>14047</w:t>
      </w:r>
      <w:r w:rsidRPr="007224C3">
        <w:rPr>
          <w:rFonts w:ascii="Times New Roman" w:hAnsi="Times New Roman"/>
          <w:color w:val="0070C0"/>
          <w:sz w:val="16"/>
          <w:szCs w:val="16"/>
        </w:rPr>
        <w:tab/>
        <w:t>105,6</w:t>
      </w:r>
      <w:r w:rsidRPr="007224C3">
        <w:rPr>
          <w:rFonts w:ascii="Times New Roman" w:hAnsi="Times New Roman"/>
          <w:color w:val="0070C0"/>
          <w:sz w:val="16"/>
          <w:szCs w:val="16"/>
        </w:rPr>
        <w:tab/>
        <w:t>83,8</w:t>
      </w:r>
    </w:p>
    <w:p w14:paraId="0FBCF5F7" w14:textId="77777777" w:rsidR="00EB5F81" w:rsidRPr="007224C3" w:rsidRDefault="00EB5F81"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4. Прочая оборонная про- дукция и работы в войс- ковых частях (в тыс.руб.)</w:t>
      </w:r>
      <w:r w:rsidRPr="007224C3">
        <w:rPr>
          <w:rFonts w:ascii="Times New Roman" w:hAnsi="Times New Roman"/>
          <w:color w:val="0070C0"/>
          <w:sz w:val="16"/>
          <w:szCs w:val="16"/>
        </w:rPr>
        <w:tab/>
        <w:t>9774</w:t>
      </w:r>
      <w:r w:rsidRPr="007224C3">
        <w:rPr>
          <w:rFonts w:ascii="Times New Roman" w:hAnsi="Times New Roman"/>
          <w:color w:val="0070C0"/>
          <w:sz w:val="16"/>
          <w:szCs w:val="16"/>
        </w:rPr>
        <w:tab/>
        <w:t>4000</w:t>
      </w:r>
      <w:r w:rsidRPr="007224C3">
        <w:rPr>
          <w:rFonts w:ascii="Times New Roman" w:hAnsi="Times New Roman"/>
          <w:color w:val="0070C0"/>
          <w:sz w:val="16"/>
          <w:szCs w:val="16"/>
        </w:rPr>
        <w:tab/>
        <w:t>13857</w:t>
      </w:r>
      <w:r w:rsidRPr="007224C3">
        <w:rPr>
          <w:rFonts w:ascii="Times New Roman" w:hAnsi="Times New Roman"/>
          <w:color w:val="0070C0"/>
          <w:sz w:val="16"/>
          <w:szCs w:val="16"/>
        </w:rPr>
        <w:tab/>
        <w:t>346,7</w:t>
      </w:r>
      <w:r w:rsidRPr="007224C3">
        <w:rPr>
          <w:rFonts w:ascii="Times New Roman" w:hAnsi="Times New Roman"/>
          <w:color w:val="0070C0"/>
          <w:sz w:val="16"/>
          <w:szCs w:val="16"/>
        </w:rPr>
        <w:tab/>
        <w:t>141,9</w:t>
      </w:r>
    </w:p>
    <w:p w14:paraId="5F34B91B" w14:textId="77777777" w:rsidR="00EB5F81" w:rsidRPr="007224C3" w:rsidRDefault="00EB5F81"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Директор завода</w:t>
      </w:r>
      <w:r w:rsidRPr="007224C3">
        <w:rPr>
          <w:rFonts w:ascii="Times New Roman" w:hAnsi="Times New Roman"/>
          <w:color w:val="0070C0"/>
          <w:sz w:val="16"/>
          <w:szCs w:val="16"/>
        </w:rPr>
        <w:tab/>
        <w:t>Белянский</w:t>
      </w:r>
    </w:p>
    <w:p w14:paraId="04AE1961" w14:textId="77777777" w:rsidR="00EB5F81" w:rsidRPr="007224C3" w:rsidRDefault="00EB5F81"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ГАСО. Ф. P-3454. On. 1. Д. 27. Л. 4-6. Подлинник (20767).</w:t>
      </w:r>
    </w:p>
    <w:p w14:paraId="2610462D" w14:textId="77777777" w:rsidR="00EB5F81" w:rsidRPr="007224C3" w:rsidRDefault="00EB5F81" w:rsidP="007224C3">
      <w:pPr>
        <w:spacing w:after="0" w:line="240" w:lineRule="auto"/>
        <w:jc w:val="both"/>
        <w:rPr>
          <w:rFonts w:ascii="Times New Roman" w:hAnsi="Times New Roman"/>
          <w:color w:val="0070C0"/>
          <w:sz w:val="16"/>
          <w:szCs w:val="16"/>
        </w:rPr>
      </w:pPr>
    </w:p>
    <w:p w14:paraId="648EB8D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январе 1944 года после вы</w:t>
      </w:r>
      <w:r w:rsidRPr="007224C3">
        <w:rPr>
          <w:rFonts w:ascii="Times New Roman" w:hAnsi="Times New Roman"/>
          <w:color w:val="000000" w:themeColor="text1"/>
          <w:sz w:val="16"/>
          <w:szCs w:val="16"/>
        </w:rPr>
        <w:softHyphen/>
        <w:t>полнения рулежек и пробежек Су-8 были выявлены и затем устранены дефек</w:t>
      </w:r>
      <w:r w:rsidRPr="007224C3">
        <w:rPr>
          <w:rFonts w:ascii="Times New Roman" w:hAnsi="Times New Roman"/>
          <w:color w:val="000000" w:themeColor="text1"/>
          <w:sz w:val="16"/>
          <w:szCs w:val="16"/>
        </w:rPr>
        <w:softHyphen/>
        <w:t>ты системы тормозов и механизмов створок маслорадиаторов. В феврале из-за подтекания мас</w:t>
      </w:r>
      <w:r w:rsidRPr="007224C3">
        <w:rPr>
          <w:rFonts w:ascii="Times New Roman" w:hAnsi="Times New Roman"/>
          <w:color w:val="000000" w:themeColor="text1"/>
          <w:sz w:val="16"/>
          <w:szCs w:val="16"/>
        </w:rPr>
        <w:softHyphen/>
        <w:t>ла возникла необходимость заме</w:t>
      </w:r>
      <w:r w:rsidRPr="007224C3">
        <w:rPr>
          <w:rFonts w:ascii="Times New Roman" w:hAnsi="Times New Roman"/>
          <w:color w:val="000000" w:themeColor="text1"/>
          <w:sz w:val="16"/>
          <w:szCs w:val="16"/>
        </w:rPr>
        <w:softHyphen/>
        <w:t>ны кожухов толкателей, а повышен</w:t>
      </w:r>
      <w:r w:rsidRPr="007224C3">
        <w:rPr>
          <w:rFonts w:ascii="Times New Roman" w:hAnsi="Times New Roman"/>
          <w:color w:val="000000" w:themeColor="text1"/>
          <w:sz w:val="16"/>
          <w:szCs w:val="16"/>
        </w:rPr>
        <w:softHyphen/>
        <w:t>ная температура головок цилинд</w:t>
      </w:r>
      <w:r w:rsidRPr="007224C3">
        <w:rPr>
          <w:rFonts w:ascii="Times New Roman" w:hAnsi="Times New Roman"/>
          <w:color w:val="000000" w:themeColor="text1"/>
          <w:sz w:val="16"/>
          <w:szCs w:val="16"/>
        </w:rPr>
        <w:softHyphen/>
        <w:t>ров была устранена путем продле</w:t>
      </w:r>
      <w:r w:rsidRPr="007224C3">
        <w:rPr>
          <w:rFonts w:ascii="Times New Roman" w:hAnsi="Times New Roman"/>
          <w:color w:val="000000" w:themeColor="text1"/>
          <w:sz w:val="16"/>
          <w:szCs w:val="16"/>
        </w:rPr>
        <w:softHyphen/>
        <w:t>ния профилированных частей лопа</w:t>
      </w:r>
      <w:r w:rsidRPr="007224C3">
        <w:rPr>
          <w:rFonts w:ascii="Times New Roman" w:hAnsi="Times New Roman"/>
          <w:color w:val="000000" w:themeColor="text1"/>
          <w:sz w:val="16"/>
          <w:szCs w:val="16"/>
        </w:rPr>
        <w:softHyphen/>
        <w:t>стей воздушных винтов до втулок с помощью наклейки специальных деревянных накладок (11853).</w:t>
      </w:r>
    </w:p>
    <w:p w14:paraId="52560D4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497D8B" w14:textId="77777777" w:rsidR="00792F77" w:rsidRPr="007224C3" w:rsidRDefault="00792F77"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В январе 1944 г. после выполнения рулежек и пробежек на Су-8 вновь были выявлены дефекты системы тормозов и механических створок маслорадиаторов. В следующем месяце гоняли мотор на земле, вновь «рулили» и «бегали» по аэродрому. Обнару</w:t>
      </w:r>
      <w:r w:rsidRPr="007224C3">
        <w:rPr>
          <w:color w:val="000000" w:themeColor="text1"/>
          <w:sz w:val="16"/>
          <w:szCs w:val="16"/>
        </w:rPr>
        <w:softHyphen/>
        <w:t>жилась течь масла из-под уплотнителей кожухов толкателей моторов. Кроме этого, «вследствие плохого обдува» головки цилиндров мотора после рулежки имели чрезмерно высокую темпе</w:t>
      </w:r>
      <w:r w:rsidRPr="007224C3">
        <w:rPr>
          <w:color w:val="000000" w:themeColor="text1"/>
          <w:sz w:val="16"/>
          <w:szCs w:val="16"/>
        </w:rPr>
        <w:softHyphen/>
        <w:t>ратуру.</w:t>
      </w:r>
    </w:p>
    <w:p w14:paraId="00622247" w14:textId="77777777" w:rsidR="00792F77" w:rsidRPr="007224C3" w:rsidRDefault="00792F77"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Пришлось вызывать из Молотова представи</w:t>
      </w:r>
      <w:r w:rsidRPr="007224C3">
        <w:rPr>
          <w:color w:val="000000" w:themeColor="text1"/>
          <w:sz w:val="16"/>
          <w:szCs w:val="16"/>
        </w:rPr>
        <w:softHyphen/>
        <w:t>телей моторного завода № 19. Заменили кожухи толкателей. Продлили профилированную часть лопастей воздушных винтов до втулок с помощью наклейки специальных деревянных накладок. Де</w:t>
      </w:r>
      <w:r w:rsidRPr="007224C3">
        <w:rPr>
          <w:color w:val="000000" w:themeColor="text1"/>
          <w:sz w:val="16"/>
          <w:szCs w:val="16"/>
        </w:rPr>
        <w:softHyphen/>
        <w:t>фекты больше не проявлялись (17500).</w:t>
      </w:r>
    </w:p>
    <w:p w14:paraId="4FC9BD08" w14:textId="77777777" w:rsidR="00792F77" w:rsidRPr="007224C3" w:rsidRDefault="00792F77" w:rsidP="007224C3">
      <w:pPr>
        <w:pStyle w:val="123"/>
        <w:shd w:val="clear" w:color="auto" w:fill="auto"/>
        <w:spacing w:after="0" w:line="240" w:lineRule="auto"/>
        <w:jc w:val="both"/>
        <w:rPr>
          <w:color w:val="000000" w:themeColor="text1"/>
          <w:sz w:val="16"/>
          <w:szCs w:val="16"/>
        </w:rPr>
      </w:pPr>
    </w:p>
    <w:p w14:paraId="0965C170" w14:textId="77777777" w:rsidR="00282955" w:rsidRPr="007224C3" w:rsidRDefault="0028295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ян</w:t>
      </w:r>
      <w:r w:rsidRPr="007224C3">
        <w:rPr>
          <w:rFonts w:ascii="Times New Roman" w:hAnsi="Times New Roman"/>
          <w:color w:val="000000" w:themeColor="text1"/>
          <w:sz w:val="16"/>
          <w:szCs w:val="16"/>
        </w:rPr>
        <w:softHyphen/>
        <w:t>варе 1944 г. представители ВВС КА выехали на заводы и установили:</w:t>
      </w:r>
    </w:p>
    <w:p w14:paraId="1FBAAC46" w14:textId="77777777" w:rsidR="00282955" w:rsidRPr="007224C3" w:rsidRDefault="00282955" w:rsidP="007224C3">
      <w:pPr>
        <w:pStyle w:val="7"/>
        <w:shd w:val="clear" w:color="auto" w:fill="auto"/>
        <w:spacing w:line="240" w:lineRule="auto"/>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«а) Завод №233 НКПСМ никаких работ по стеклу БС не проводил, хотя и имел на то зада</w:t>
      </w:r>
      <w:r w:rsidRPr="007224C3">
        <w:rPr>
          <w:rFonts w:ascii="Times New Roman" w:cs="Times New Roman"/>
          <w:color w:val="000000" w:themeColor="text1"/>
          <w:spacing w:val="0"/>
          <w:sz w:val="16"/>
          <w:szCs w:val="16"/>
        </w:rPr>
        <w:softHyphen/>
        <w:t>ния от НКПСМ.</w:t>
      </w:r>
    </w:p>
    <w:p w14:paraId="576FB0F3" w14:textId="77777777" w:rsidR="00282955" w:rsidRPr="007224C3" w:rsidRDefault="00282955" w:rsidP="007224C3">
      <w:pPr>
        <w:pStyle w:val="7"/>
        <w:shd w:val="clear" w:color="auto" w:fill="auto"/>
        <w:tabs>
          <w:tab w:val="left" w:pos="481"/>
        </w:tabs>
        <w:spacing w:line="240" w:lineRule="auto"/>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б) Заводом №25 НКПСМ в 1943 г. было от</w:t>
      </w:r>
      <w:r w:rsidRPr="007224C3">
        <w:rPr>
          <w:rFonts w:ascii="Times New Roman" w:cs="Times New Roman"/>
          <w:color w:val="000000" w:themeColor="text1"/>
          <w:spacing w:val="0"/>
          <w:sz w:val="16"/>
          <w:szCs w:val="16"/>
        </w:rPr>
        <w:softHyphen/>
        <w:t>прессовано 736 таблеток стекла БС, которые оказались непригодными вследствие низких оптических качеств и неудовлетворительного состояния поверхностей.</w:t>
      </w:r>
    </w:p>
    <w:p w14:paraId="72E44AF7" w14:textId="77777777" w:rsidR="00282955" w:rsidRPr="007224C3" w:rsidRDefault="00282955" w:rsidP="007224C3">
      <w:pPr>
        <w:pStyle w:val="7"/>
        <w:shd w:val="clear" w:color="auto" w:fill="auto"/>
        <w:tabs>
          <w:tab w:val="left" w:pos="476"/>
        </w:tabs>
        <w:spacing w:line="240" w:lineRule="auto"/>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в) До настоящего времени отработанной технологии по производству стекла БС и подо</w:t>
      </w:r>
      <w:r w:rsidRPr="007224C3">
        <w:rPr>
          <w:rFonts w:ascii="Times New Roman" w:cs="Times New Roman"/>
          <w:color w:val="000000" w:themeColor="text1"/>
          <w:spacing w:val="0"/>
          <w:sz w:val="16"/>
          <w:szCs w:val="16"/>
        </w:rPr>
        <w:softHyphen/>
        <w:t>бранного материала для прессформ не имеет</w:t>
      </w:r>
      <w:r w:rsidRPr="007224C3">
        <w:rPr>
          <w:rFonts w:ascii="Times New Roman" w:cs="Times New Roman"/>
          <w:color w:val="000000" w:themeColor="text1"/>
          <w:spacing w:val="0"/>
          <w:sz w:val="16"/>
          <w:szCs w:val="16"/>
        </w:rPr>
        <w:softHyphen/>
        <w:t>ся. Также не решены вопросы получения без- свильных прессованных таблеток БС».</w:t>
      </w:r>
    </w:p>
    <w:p w14:paraId="3B1CED20" w14:textId="77777777" w:rsidR="00282955" w:rsidRPr="007224C3" w:rsidRDefault="0028295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результатам поездки срочно подгото</w:t>
      </w:r>
      <w:r w:rsidRPr="007224C3">
        <w:rPr>
          <w:rFonts w:ascii="Times New Roman" w:hAnsi="Times New Roman"/>
          <w:color w:val="000000" w:themeColor="text1"/>
          <w:sz w:val="16"/>
          <w:szCs w:val="16"/>
        </w:rPr>
        <w:softHyphen/>
        <w:t>вили и направили Г.И. Маленкову, курировав</w:t>
      </w:r>
      <w:r w:rsidRPr="007224C3">
        <w:rPr>
          <w:rFonts w:ascii="Times New Roman" w:hAnsi="Times New Roman"/>
          <w:color w:val="000000" w:themeColor="text1"/>
          <w:sz w:val="16"/>
          <w:szCs w:val="16"/>
        </w:rPr>
        <w:softHyphen/>
        <w:t>шему вопросы авиации, справку «О выпол</w:t>
      </w:r>
      <w:r w:rsidRPr="007224C3">
        <w:rPr>
          <w:rFonts w:ascii="Times New Roman" w:hAnsi="Times New Roman"/>
          <w:color w:val="000000" w:themeColor="text1"/>
          <w:sz w:val="16"/>
          <w:szCs w:val="16"/>
        </w:rPr>
        <w:softHyphen/>
        <w:t>нении НКСМ и НКАП постановлений ГОКО по отработке для ВВС КА новых образцов про</w:t>
      </w:r>
      <w:r w:rsidRPr="007224C3">
        <w:rPr>
          <w:rFonts w:ascii="Times New Roman" w:hAnsi="Times New Roman"/>
          <w:color w:val="000000" w:themeColor="text1"/>
          <w:sz w:val="16"/>
          <w:szCs w:val="16"/>
        </w:rPr>
        <w:softHyphen/>
        <w:t xml:space="preserve">зрачной брони». В ней констатировалось:«... </w:t>
      </w:r>
      <w:r w:rsidRPr="007224C3">
        <w:rPr>
          <w:rStyle w:val="aff7"/>
          <w:rFonts w:ascii="Times New Roman" w:hAnsi="Times New Roman" w:cs="Times New Roman"/>
          <w:i w:val="0"/>
          <w:color w:val="000000" w:themeColor="text1"/>
        </w:rPr>
        <w:t>Выпускаемая в серийном производстве за</w:t>
      </w:r>
      <w:r w:rsidRPr="007224C3">
        <w:rPr>
          <w:rStyle w:val="aff7"/>
          <w:rFonts w:ascii="Times New Roman" w:hAnsi="Times New Roman" w:cs="Times New Roman"/>
          <w:i w:val="0"/>
          <w:color w:val="000000" w:themeColor="text1"/>
        </w:rPr>
        <w:softHyphen/>
        <w:t>водами СССР прозрачная броня не удовлет</w:t>
      </w:r>
      <w:r w:rsidRPr="007224C3">
        <w:rPr>
          <w:rStyle w:val="aff7"/>
          <w:rFonts w:ascii="Times New Roman" w:hAnsi="Times New Roman" w:cs="Times New Roman"/>
          <w:i w:val="0"/>
          <w:color w:val="000000" w:themeColor="text1"/>
        </w:rPr>
        <w:softHyphen/>
        <w:t>воряет ПТ ВВС КА. По тактико-техническим требованиям ВВС КА на 1944 г. искажения оп</w:t>
      </w:r>
      <w:r w:rsidRPr="007224C3">
        <w:rPr>
          <w:rStyle w:val="aff7"/>
          <w:rFonts w:ascii="Times New Roman" w:hAnsi="Times New Roman" w:cs="Times New Roman"/>
          <w:i w:val="0"/>
          <w:color w:val="000000" w:themeColor="text1"/>
        </w:rPr>
        <w:softHyphen/>
        <w:t>тического изображения в прицельном поле не должно превышать 6 минут, тогда как серийно выпускаемая прозрачная броня имеет искаже</w:t>
      </w:r>
      <w:r w:rsidRPr="007224C3">
        <w:rPr>
          <w:rStyle w:val="aff7"/>
          <w:rFonts w:ascii="Times New Roman" w:hAnsi="Times New Roman" w:cs="Times New Roman"/>
          <w:i w:val="0"/>
          <w:color w:val="000000" w:themeColor="text1"/>
        </w:rPr>
        <w:softHyphen/>
        <w:t>ние больше 18 минут».</w:t>
      </w:r>
    </w:p>
    <w:p w14:paraId="5FC1C727" w14:textId="77777777" w:rsidR="00282955" w:rsidRPr="007224C3" w:rsidRDefault="0028295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 сложившейся ситуации Маленков до</w:t>
      </w:r>
      <w:r w:rsidRPr="007224C3">
        <w:rPr>
          <w:rFonts w:ascii="Times New Roman" w:hAnsi="Times New Roman"/>
          <w:color w:val="000000" w:themeColor="text1"/>
          <w:sz w:val="16"/>
          <w:szCs w:val="16"/>
        </w:rPr>
        <w:softHyphen/>
        <w:t>ложил И.В. Сталину, после чего 12 февраля 1944 г. вышло постановление ГОКО, обязыва</w:t>
      </w:r>
      <w:r w:rsidRPr="007224C3">
        <w:rPr>
          <w:rFonts w:ascii="Times New Roman" w:hAnsi="Times New Roman"/>
          <w:color w:val="000000" w:themeColor="text1"/>
          <w:sz w:val="16"/>
          <w:szCs w:val="16"/>
        </w:rPr>
        <w:softHyphen/>
        <w:t>ющее наркома химической промышленности Первухина и наркома промышленности стро</w:t>
      </w:r>
      <w:r w:rsidRPr="007224C3">
        <w:rPr>
          <w:rFonts w:ascii="Times New Roman" w:hAnsi="Times New Roman"/>
          <w:color w:val="000000" w:themeColor="text1"/>
          <w:sz w:val="16"/>
          <w:szCs w:val="16"/>
        </w:rPr>
        <w:softHyphen/>
        <w:t>ительных материалов Соснина в трехмесяч</w:t>
      </w:r>
      <w:r w:rsidRPr="007224C3">
        <w:rPr>
          <w:rFonts w:ascii="Times New Roman" w:hAnsi="Times New Roman"/>
          <w:color w:val="000000" w:themeColor="text1"/>
          <w:sz w:val="16"/>
          <w:szCs w:val="16"/>
        </w:rPr>
        <w:softHyphen/>
        <w:t>ный срок обеспечить соответствие серийной прозрачной брони для боевых самолетов ВВС КА техническим условиям ВВС на 1944 г. (17481).</w:t>
      </w:r>
    </w:p>
    <w:p w14:paraId="28021DE7" w14:textId="77777777" w:rsidR="00282955" w:rsidRPr="007224C3" w:rsidRDefault="00282955" w:rsidP="007224C3">
      <w:pPr>
        <w:spacing w:after="0" w:line="240" w:lineRule="auto"/>
        <w:jc w:val="both"/>
        <w:rPr>
          <w:rFonts w:ascii="Times New Roman" w:hAnsi="Times New Roman"/>
          <w:color w:val="000000" w:themeColor="text1"/>
          <w:sz w:val="16"/>
          <w:szCs w:val="16"/>
        </w:rPr>
      </w:pPr>
    </w:p>
    <w:p w14:paraId="7441EE9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январе 1944 И.В.С. поддержал инициативу С.В.И. по созданию пассажирского самолета Ил-12 на 29 мест (3846,19).</w:t>
      </w:r>
    </w:p>
    <w:p w14:paraId="206C437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6445A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январе 1944-го утвердили проект Ил-12. Первый вариант будущего Ил-12 с гермокабинами предусматривал крейсерский полет на высотах около 7000 м (в субстратосфере). Самолет рассчитывался на 29 пассажиров, а его дальность ожидалась до 5000 км, но с меньшей нагрузкой. Подобной машине потребовалась мощная силовая установка из четырех высотных двигателей М-88В. Его вскоре пришлось переделывать под входившие в моду дизели с водяным охлаждением. Ставка на два АЧ-31 взлетной мощностью по 2000 л.с. привела как к изменению топливной системы, так и к отказу от гермокабины и перекомпоновке салона. Изменились обводы носовой части фюзеляжа, ранее рассчитывавшегося на избыточное давление и остекление кабины экипажа. Теперь машина могла вмещать до 27 пассажиров, для чего в салоне, более просторном чем у флагмана "Аэрофлота" Ли-2, предполагалось девять рядов кресел, по три в каждом. Особое внимание при проектировании уделялось созданию высокоэффективных противообледенительных (с использованием выхлопных газов) двигателей, и противопожарных устройств, а также возможности длительного полета на одном моторе. Сохранению управляемости машины, в этом случае, способствовала установка на руле поворота сервотриммера, работавшего как в режиме сервокомпенсатора, так и регулируемого пилотами триммера. Особенностью Ил-12 стало трехопорное шасси с носовой стойкой, позволившее не только упростить пилотирование машины на таких ответственных этапах полета, как взлет и посадка, но и улучшить комфорт пассажирам, поскольку пол кабины стал параллелен земле. Для транспортного варианта самолета это упрощало погрузочно-раз-грузочные работы (3248,20).</w:t>
      </w:r>
    </w:p>
    <w:p w14:paraId="45D0FE5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B963E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В январе 1944 состоялся доклад о четырехдвигательном самолете Ил-12 И.В.Сталину, который одобрил его, и машина получила право на жизнь. Однако ее облик при дальнейшем конструировании претерпел серьезные изменения (5156).</w:t>
      </w:r>
    </w:p>
    <w:p w14:paraId="4C3BA0F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9BE9B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январе 1944 г. в 15-х стационарных авиаремонтных мастерских (сам) ВВС Северного флота (СФ) была фронтовая переделка Як-1 № 4353 в Як-16, но проведенная. В мемуарах А.С. Яковлева упоминается еше один самолет с наименованием Як-1б - фронтовая переделка Як-1 в модификацию с новым фонарем кабины и пониженным гаргротом, проведенная в полку майора Ф.И. Шинкаренко. Как удалось в последнее время установить, подобные работы имели место в 42-м иап в 1942 г., но объектом для модификации был не Як-1, а Як-7Б. Таким образом, приоритет в создании новой модификации Як-1 принадлежит ОКБ (12048).</w:t>
      </w:r>
    </w:p>
    <w:p w14:paraId="4663041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5FA035E0"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январе 1944 на Саратовском авиазаводе начато серийное производство истребителя Як-3 (6395).</w:t>
      </w:r>
    </w:p>
    <w:p w14:paraId="203FBE93"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87ECBF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январе 1944 после коротких заводских испытаний на гос. испытания поступил второй Як-3 с ВК-107А с 2хБС-20 и сдвинутой на 400 мм назад кабиной. Военнные сочли лучшим из лучших, но в серию не рекомендовали из-за ненадежности ВК-107А (1728,35).</w:t>
      </w:r>
    </w:p>
    <w:p w14:paraId="4363B64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54525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январе 1944 ЦИАМ проверил впрыск воды в М-105ПД для охлаждения воздуха на всасывании (1824,18).</w:t>
      </w:r>
    </w:p>
    <w:p w14:paraId="34E8260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06D00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январе 1944 на заводе 21 был выпущен эталонный Ла-7 и в течение января-апреля 1944 он прошел гос. испытания и стал выпускаться массово (4,235).</w:t>
      </w:r>
    </w:p>
    <w:p w14:paraId="25666F7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CEC513" w14:textId="77777777" w:rsidR="003C231F" w:rsidRPr="007224C3" w:rsidRDefault="003C231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январе 1944 г. был построен самолет Ла-5 эталон 1944 г., на котором учли все рекомендации ЦАГИ: была проведена внешняя и внутренняя герметизация винтомоторной группы и планера, установлены щитки, полностью закрывающие ниши шасси, маслорадиатор перенесен под фюзеляж, а всасывающие патрубки нагнетателя — в носок центроплана, улучшена форма зализов между крылом и фюзеляжем, сокращено количество крышек капота и уменьшен размер подвижных боковых створок; за счет установки аэродинамических компенсаторов на рулях высоты удалось уменьшить усилия на ручке управления на 20—23%. Первоначально собирались использовать усовершенствованный мотор М-82ФНА с новым нагнетателем. Он был чуть-чуть длиннее мотора М-82ФН. Однако вскоре выяснилось, что этот двигатель не будет готов в срок. Пришлось вернуться к М-82ФН, но его поставили на другую мотораму и несколько иначе закапотировали: боковые створки укоротили по высоте, уменьшили количество различных крышек, поставили индивидуальные (вместо спаренных и строенных) выхлопные патрубки на все цилиндры мотора. Кроме того, деревянные лонжероны крыла заменили металлическими, но внедрение в серию этого мероприятия отложили до марта 1944 г., когда завод № 21 получил необходимое металлорежущее оборудование. С металлическими лонжеронами построили также 89 истребителей Ла-5ФН и самолет Ла-7 получил их, так сказать, по наследству. В 1944—1945 гг. было построено 5658 истребителей Ла-7 и 213 самолетов Ла-7УТИ (18727).</w:t>
      </w:r>
    </w:p>
    <w:p w14:paraId="486B677B" w14:textId="77777777" w:rsidR="003C231F" w:rsidRPr="007224C3" w:rsidRDefault="003C231F" w:rsidP="007224C3">
      <w:pPr>
        <w:spacing w:after="0" w:line="240" w:lineRule="auto"/>
        <w:jc w:val="both"/>
        <w:rPr>
          <w:rFonts w:ascii="Times New Roman" w:hAnsi="Times New Roman"/>
          <w:color w:val="000000" w:themeColor="text1"/>
          <w:sz w:val="16"/>
          <w:szCs w:val="16"/>
        </w:rPr>
      </w:pPr>
    </w:p>
    <w:p w14:paraId="5B6DC40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январе 1944 на 21 заводе был оборудован Ла-5 с ТК и несколько увеличенными несущими поверхностями (1824,19).</w:t>
      </w:r>
    </w:p>
    <w:p w14:paraId="1D0550E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FD6F0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январе 1944 самолет ЛА-5 с АШ-82ФН и 2ТК-3 был закончен производством. Задержка произошла из-за загрузки опытного цеха работами по самолету Ла-7. В феврале полетов не производилось из-за отсутствия летной погоды. Из-за появления стружки в маслосистеме при опробовании мотора на земле, произведена смена мотора. В марте произведено два контрольных полета до высоты 3000 м, винто-моторная группа работала нормально (1825,208).</w:t>
      </w:r>
    </w:p>
    <w:p w14:paraId="689959D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17DE4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январе 1944 был построен Ла-5 с М-82ФН с 3 синхронными пушками Б-20 (2902,3).</w:t>
      </w:r>
    </w:p>
    <w:p w14:paraId="54B70F7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D9925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январе 1944 г. был построен самолете "Ла-5 эталон 1944 г.", на котором учли все рекомендации ЦАГИ: была проведена внешняя и внутренняя герметизация винто-мотор-ной группы и планера, установлены щитки, полностью закрывающие ниши шасси, маслорадиатор перенесен под фюзеляж, а всасывающие патрубки нагнетателя - в носок центроплана, улучшена форма зализов между крылом и фюзеляжем, сокращено количество крышек капота и уменьшен размер подвижных боковых створок; за счет установки аэродинамических компенсаторов на рулях высоты удалось уменьшить усилия на ручке управления на 20-23%. "Эталон" получил усиленное вооружение из трех 20-мм пушек Березина УБ-20 с боезапасом по 150 снарядов на ствол (4707).</w:t>
      </w:r>
    </w:p>
    <w:p w14:paraId="6ECEDC7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ED373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январе 1944 года вышла на аэродром опытная ма</w:t>
      </w:r>
      <w:r w:rsidRPr="007224C3">
        <w:rPr>
          <w:rFonts w:ascii="Times New Roman" w:hAnsi="Times New Roman"/>
          <w:color w:val="000000" w:themeColor="text1"/>
          <w:sz w:val="16"/>
          <w:szCs w:val="16"/>
        </w:rPr>
        <w:softHyphen/>
        <w:t>шина «3Б», также называемой «эта</w:t>
      </w:r>
      <w:r w:rsidRPr="007224C3">
        <w:rPr>
          <w:rFonts w:ascii="Times New Roman" w:hAnsi="Times New Roman"/>
          <w:color w:val="000000" w:themeColor="text1"/>
          <w:sz w:val="16"/>
          <w:szCs w:val="16"/>
        </w:rPr>
        <w:softHyphen/>
        <w:t>лон Ла-5 1944 года».. Пер</w:t>
      </w:r>
      <w:r w:rsidRPr="007224C3">
        <w:rPr>
          <w:rFonts w:ascii="Times New Roman" w:hAnsi="Times New Roman"/>
          <w:color w:val="000000" w:themeColor="text1"/>
          <w:sz w:val="16"/>
          <w:szCs w:val="16"/>
        </w:rPr>
        <w:softHyphen/>
        <w:t>воначально эта машина проектиро</w:t>
      </w:r>
      <w:r w:rsidRPr="007224C3">
        <w:rPr>
          <w:rFonts w:ascii="Times New Roman" w:hAnsi="Times New Roman"/>
          <w:color w:val="000000" w:themeColor="text1"/>
          <w:sz w:val="16"/>
          <w:szCs w:val="16"/>
        </w:rPr>
        <w:softHyphen/>
        <w:t>валась в двух вариантах: с серийным М-82ФН и с улучшенным М-82ФНА (последний был длиннее на 30 мм). Но вскоре стало ясно, что рассчиты</w:t>
      </w:r>
      <w:r w:rsidRPr="007224C3">
        <w:rPr>
          <w:rFonts w:ascii="Times New Roman" w:hAnsi="Times New Roman"/>
          <w:color w:val="000000" w:themeColor="text1"/>
          <w:sz w:val="16"/>
          <w:szCs w:val="16"/>
        </w:rPr>
        <w:softHyphen/>
        <w:t>вать можно лишь на серийный мо</w:t>
      </w:r>
      <w:r w:rsidRPr="007224C3">
        <w:rPr>
          <w:rFonts w:ascii="Times New Roman" w:hAnsi="Times New Roman"/>
          <w:color w:val="000000" w:themeColor="text1"/>
          <w:sz w:val="16"/>
          <w:szCs w:val="16"/>
        </w:rPr>
        <w:softHyphen/>
        <w:t>тор (10714).</w:t>
      </w:r>
    </w:p>
    <w:p w14:paraId="776C45C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BD7C06" w14:textId="77777777" w:rsidR="00D86EA0" w:rsidRPr="007224C3" w:rsidRDefault="00D86E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январе 1944 г. опытной машине «ЗБ», также называемой «эталон Ла-5 1944 года», вышел на аэродром. Первоначально эту машину проектировали в двух вариантах: с се</w:t>
      </w:r>
      <w:r w:rsidRPr="007224C3">
        <w:rPr>
          <w:rFonts w:ascii="Times New Roman" w:hAnsi="Times New Roman"/>
          <w:color w:val="000000" w:themeColor="text1"/>
          <w:sz w:val="16"/>
          <w:szCs w:val="16"/>
        </w:rPr>
        <w:softHyphen/>
        <w:t>рийным М-82ФН и с улучшенным М-82ФНА (последний был длиннее на 30 мм). Но вскоре стало ясно, что рассчитывать можно лишь на серийный мотор (15829).</w:t>
      </w:r>
    </w:p>
    <w:p w14:paraId="734BA38E" w14:textId="77777777" w:rsidR="00D86EA0" w:rsidRPr="007224C3" w:rsidRDefault="00D86E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Принято считать, повышение лётных данных нового истребителя достигалось только за счёт изменения кон</w:t>
      </w:r>
      <w:r w:rsidRPr="007224C3">
        <w:rPr>
          <w:rFonts w:ascii="Times New Roman" w:hAnsi="Times New Roman"/>
          <w:color w:val="000000" w:themeColor="text1"/>
          <w:sz w:val="16"/>
          <w:szCs w:val="16"/>
        </w:rPr>
        <w:softHyphen/>
        <w:t>струкции самого само</w:t>
      </w:r>
      <w:r w:rsidRPr="007224C3">
        <w:rPr>
          <w:rFonts w:ascii="Times New Roman" w:hAnsi="Times New Roman"/>
          <w:color w:val="000000" w:themeColor="text1"/>
          <w:sz w:val="16"/>
          <w:szCs w:val="16"/>
        </w:rPr>
        <w:softHyphen/>
        <w:t>лёта, то есть улучшени</w:t>
      </w:r>
      <w:r w:rsidRPr="007224C3">
        <w:rPr>
          <w:rFonts w:ascii="Times New Roman" w:hAnsi="Times New Roman"/>
          <w:color w:val="000000" w:themeColor="text1"/>
          <w:sz w:val="16"/>
          <w:szCs w:val="16"/>
        </w:rPr>
        <w:softHyphen/>
        <w:t>ем аэродинамики и сни</w:t>
      </w:r>
      <w:r w:rsidRPr="007224C3">
        <w:rPr>
          <w:rFonts w:ascii="Times New Roman" w:hAnsi="Times New Roman"/>
          <w:color w:val="000000" w:themeColor="text1"/>
          <w:sz w:val="16"/>
          <w:szCs w:val="16"/>
        </w:rPr>
        <w:softHyphen/>
        <w:t>жением веса. Это так и не совсем так.</w:t>
      </w:r>
    </w:p>
    <w:p w14:paraId="37CE7353" w14:textId="77777777" w:rsidR="00D86EA0" w:rsidRPr="007224C3" w:rsidRDefault="00D86E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Как уже указывалось, снижение веса путём замены деревянных лон</w:t>
      </w:r>
      <w:r w:rsidRPr="007224C3">
        <w:rPr>
          <w:rFonts w:ascii="Times New Roman" w:hAnsi="Times New Roman"/>
          <w:color w:val="000000" w:themeColor="text1"/>
          <w:sz w:val="16"/>
          <w:szCs w:val="16"/>
        </w:rPr>
        <w:softHyphen/>
        <w:t>жеронов крыла на ме</w:t>
      </w:r>
      <w:r w:rsidRPr="007224C3">
        <w:rPr>
          <w:rFonts w:ascii="Times New Roman" w:hAnsi="Times New Roman"/>
          <w:color w:val="000000" w:themeColor="text1"/>
          <w:sz w:val="16"/>
          <w:szCs w:val="16"/>
        </w:rPr>
        <w:softHyphen/>
        <w:t>таллические ОКБ осу</w:t>
      </w:r>
      <w:r w:rsidRPr="007224C3">
        <w:rPr>
          <w:rFonts w:ascii="Times New Roman" w:hAnsi="Times New Roman"/>
          <w:color w:val="000000" w:themeColor="text1"/>
          <w:sz w:val="16"/>
          <w:szCs w:val="16"/>
        </w:rPr>
        <w:softHyphen/>
        <w:t>ществило ещё в начале 1943 г. на опытном Ла- 5ФН «Дублер». Но вне</w:t>
      </w:r>
      <w:r w:rsidRPr="007224C3">
        <w:rPr>
          <w:rFonts w:ascii="Times New Roman" w:hAnsi="Times New Roman"/>
          <w:color w:val="000000" w:themeColor="text1"/>
          <w:sz w:val="16"/>
          <w:szCs w:val="16"/>
        </w:rPr>
        <w:softHyphen/>
        <w:t>дрение в серию этого мероприятия отложили до весны 1944 г., так как только в это время завод № 21 полу</w:t>
      </w:r>
      <w:r w:rsidRPr="007224C3">
        <w:rPr>
          <w:rFonts w:ascii="Times New Roman" w:hAnsi="Times New Roman"/>
          <w:color w:val="000000" w:themeColor="text1"/>
          <w:sz w:val="16"/>
          <w:szCs w:val="16"/>
        </w:rPr>
        <w:softHyphen/>
        <w:t>чил необходимое металлорежущее оборудование. Металлические лонжероны пошли в серию в марте 1944 г. ещё на Ла-5ФН тип 41, их той весной построили 89 штук. Так что металлические лонжероны будущий Ла-7 получил, так сказать, по наследству.</w:t>
      </w:r>
    </w:p>
    <w:p w14:paraId="062B10FF" w14:textId="77777777" w:rsidR="00D86EA0" w:rsidRPr="007224C3" w:rsidRDefault="00D86E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вот на аэродинамических улучшениях следует остановиться поподробнее. Ещё в начале 1943 г., после проведения тщательных исследований Ла-5 в аэродинамических трубах, ЦАГИ выдал ОКБ Лавочкина целый ряд рекомендаций по неиспользованным резервам в области аэродинамики. Часть из них успели внедрить в серию тогда же на Ла-5ФН: это улучшенные всасывающий и выхлопные патрубки. Но на самом деле ре</w:t>
      </w:r>
      <w:r w:rsidRPr="007224C3">
        <w:rPr>
          <w:rFonts w:ascii="Times New Roman" w:hAnsi="Times New Roman"/>
          <w:color w:val="000000" w:themeColor="text1"/>
          <w:sz w:val="16"/>
          <w:szCs w:val="16"/>
        </w:rPr>
        <w:softHyphen/>
        <w:t>комендации ЦАГИ оказались гораздо шире. Так, учёные показали, что расположение маслорадиатора под фюзеляжем (за 5-м шпангоутом) в специально спрофилированном туннеле снижает его лобовое сопротивление в 2 раза и обеспечивает расход воздуха через радиатор на 25-30% больший, чем при серийном варианте.</w:t>
      </w:r>
    </w:p>
    <w:p w14:paraId="3D37B1F2" w14:textId="77777777" w:rsidR="00D86EA0" w:rsidRPr="007224C3" w:rsidRDefault="00D86E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Кроме того, для устранения преждевременного срыва обтекания с центроплана и улучшения маневренных качеств самолёта ЦАГИ рекомендовал изменить конструкцию боковых створок капота, восстановить ранее принятый при проектировании профиль </w:t>
      </w:r>
      <w:r w:rsidRPr="007224C3">
        <w:rPr>
          <w:rFonts w:ascii="Times New Roman" w:hAnsi="Times New Roman"/>
          <w:color w:val="000000" w:themeColor="text1"/>
          <w:sz w:val="16"/>
          <w:szCs w:val="16"/>
          <w:lang w:val="en-US"/>
        </w:rPr>
        <w:t>NACA</w:t>
      </w:r>
      <w:r w:rsidRPr="007224C3">
        <w:rPr>
          <w:rFonts w:ascii="Times New Roman" w:hAnsi="Times New Roman"/>
          <w:color w:val="000000" w:themeColor="text1"/>
          <w:sz w:val="16"/>
          <w:szCs w:val="16"/>
        </w:rPr>
        <w:t>-230 в центроплане путём спрямления носка и улучшить сопряжение крыла с фю</w:t>
      </w:r>
      <w:r w:rsidRPr="007224C3">
        <w:rPr>
          <w:rFonts w:ascii="Times New Roman" w:hAnsi="Times New Roman"/>
          <w:color w:val="000000" w:themeColor="text1"/>
          <w:sz w:val="16"/>
          <w:szCs w:val="16"/>
        </w:rPr>
        <w:softHyphen/>
        <w:t>зеляжем увеличением зализа. При изменении створок капота требовалось увеличить расстояние между створками и верхней поверхностью крыла. Поскольку эти изменения вызывали большие переделки, весной 1943 г. их отложили на будущее (15829).</w:t>
      </w:r>
    </w:p>
    <w:p w14:paraId="1CB26A4E" w14:textId="77777777" w:rsidR="00D86EA0" w:rsidRPr="007224C3" w:rsidRDefault="00D86EA0" w:rsidP="007224C3">
      <w:pPr>
        <w:spacing w:after="0" w:line="240" w:lineRule="auto"/>
        <w:jc w:val="both"/>
        <w:rPr>
          <w:rFonts w:ascii="Times New Roman" w:hAnsi="Times New Roman"/>
          <w:color w:val="000000" w:themeColor="text1"/>
          <w:sz w:val="16"/>
          <w:szCs w:val="16"/>
        </w:rPr>
      </w:pPr>
    </w:p>
    <w:p w14:paraId="03A5009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январе 1944 г. был построен «Дублер» Ла-5ТК, но мотор ока</w:t>
      </w:r>
      <w:r w:rsidRPr="007224C3">
        <w:rPr>
          <w:rFonts w:ascii="Times New Roman" w:hAnsi="Times New Roman"/>
          <w:color w:val="000000" w:themeColor="text1"/>
          <w:sz w:val="16"/>
          <w:szCs w:val="16"/>
        </w:rPr>
        <w:softHyphen/>
        <w:t>зался с браком — полеты еще не начались, а в нем нашли стружку. Пока с завода прибыл новый высотный М-82ФН, испортилась пого</w:t>
      </w:r>
      <w:r w:rsidRPr="007224C3">
        <w:rPr>
          <w:rFonts w:ascii="Times New Roman" w:hAnsi="Times New Roman"/>
          <w:color w:val="000000" w:themeColor="text1"/>
          <w:sz w:val="16"/>
          <w:szCs w:val="16"/>
        </w:rPr>
        <w:softHyphen/>
        <w:t>да. Лишь в марте сделали 2 полета на проверку устойчивости и уп</w:t>
      </w:r>
      <w:r w:rsidRPr="007224C3">
        <w:rPr>
          <w:rFonts w:ascii="Times New Roman" w:hAnsi="Times New Roman"/>
          <w:color w:val="000000" w:themeColor="text1"/>
          <w:sz w:val="16"/>
          <w:szCs w:val="16"/>
        </w:rPr>
        <w:softHyphen/>
        <w:t>равляемости, не подымаясь выше 3000 м. Основную программу ис</w:t>
      </w:r>
      <w:r w:rsidRPr="007224C3">
        <w:rPr>
          <w:rFonts w:ascii="Times New Roman" w:hAnsi="Times New Roman"/>
          <w:color w:val="000000" w:themeColor="text1"/>
          <w:sz w:val="16"/>
          <w:szCs w:val="16"/>
        </w:rPr>
        <w:softHyphen/>
        <w:t>пытаний Шиянов начал 17 марта. Новая силовая установка оказа</w:t>
      </w:r>
      <w:r w:rsidRPr="007224C3">
        <w:rPr>
          <w:rFonts w:ascii="Times New Roman" w:hAnsi="Times New Roman"/>
          <w:color w:val="000000" w:themeColor="text1"/>
          <w:sz w:val="16"/>
          <w:szCs w:val="16"/>
        </w:rPr>
        <w:softHyphen/>
        <w:t>лась хуже старой. Температура головок цилиндров доходила до 240-260'С при подъеме выше 2 км, на 5 км резко падало давление в топливной системе, а ТК начинали дымить так, что нечем было дышать в кабине. Происходило много других неприятностей. После доработок с большим трудом удалось забраться на 12750 м. Чтобы подняться выше, следовало заменить серийный винт ВИШ-105В на специальный высотный и снизить нагрузку на крыло. Приказом № 208с от 22 марта 1944 г. НКАП выделил часть завода № 381 в са</w:t>
      </w:r>
      <w:r w:rsidRPr="007224C3">
        <w:rPr>
          <w:rFonts w:ascii="Times New Roman" w:hAnsi="Times New Roman"/>
          <w:color w:val="000000" w:themeColor="text1"/>
          <w:sz w:val="16"/>
          <w:szCs w:val="16"/>
        </w:rPr>
        <w:softHyphen/>
        <w:t>мостоятельный завод № 81, ставший филиалом ОКБ-21. Там прош</w:t>
      </w:r>
      <w:r w:rsidRPr="007224C3">
        <w:rPr>
          <w:rFonts w:ascii="Times New Roman" w:hAnsi="Times New Roman"/>
          <w:color w:val="000000" w:themeColor="text1"/>
          <w:sz w:val="16"/>
          <w:szCs w:val="16"/>
        </w:rPr>
        <w:softHyphen/>
        <w:t>ли работы по многим опытным Ла-5, в том числе и летно-доводоч-ные испытания Ла-5ТК (11123). Тем временем разведка докладывала, что, кроме высотного разведчика Ю86Р, совершавшего полеты над Москвой на высоте 12-13 км, противник уже испытывает бомбардировщики и истре</w:t>
      </w:r>
      <w:r w:rsidRPr="007224C3">
        <w:rPr>
          <w:rFonts w:ascii="Times New Roman" w:hAnsi="Times New Roman"/>
          <w:color w:val="000000" w:themeColor="text1"/>
          <w:sz w:val="16"/>
          <w:szCs w:val="16"/>
        </w:rPr>
        <w:softHyphen/>
        <w:t>бители с высотностью 15-17 км и разрабатывает самолеты, спо</w:t>
      </w:r>
      <w:r w:rsidRPr="007224C3">
        <w:rPr>
          <w:rFonts w:ascii="Times New Roman" w:hAnsi="Times New Roman"/>
          <w:color w:val="000000" w:themeColor="text1"/>
          <w:sz w:val="16"/>
          <w:szCs w:val="16"/>
        </w:rPr>
        <w:softHyphen/>
        <w:t>собные длительно летать на 18-20 км. Работы по высотным истребителям взял на контроль член ГКО Г.М. Маленков. В наркомате за эту тему отвечал начальник 7-го главка Алексеев. С середины мая он отчитывался о ходе ис</w:t>
      </w:r>
      <w:r w:rsidRPr="007224C3">
        <w:rPr>
          <w:rFonts w:ascii="Times New Roman" w:hAnsi="Times New Roman"/>
          <w:color w:val="000000" w:themeColor="text1"/>
          <w:sz w:val="16"/>
          <w:szCs w:val="16"/>
        </w:rPr>
        <w:softHyphen/>
        <w:t>пытаний высотных вариантов Ла-5 и Як-9, а также са</w:t>
      </w:r>
      <w:r w:rsidRPr="007224C3">
        <w:rPr>
          <w:rFonts w:ascii="Times New Roman" w:hAnsi="Times New Roman"/>
          <w:color w:val="000000" w:themeColor="text1"/>
          <w:sz w:val="16"/>
          <w:szCs w:val="16"/>
        </w:rPr>
        <w:softHyphen/>
        <w:t>молета И-222 конструкции Микояна ежедневно, но дело не двигалось. Мало того, участились отказы. 27 мая пришлось прервать полет Ла-5ТК на высоте 10500 м, т.к. из суфлера начало бить масло. 11 июня масло потекло на высоте 11000 м, а через два дня — на 9500 м. Полеты прерывали для доработок. Но и после них 4 июля удалось достичь только 7800 м, при этом потеря масла за 33 минуты составила 15 кг (11123). Завершить заводские испытания «дублера» Ла-5ТК надо было к 15 июля. Но прошел июль, затем август, а добиться надежной работы двигателя на вы</w:t>
      </w:r>
      <w:r w:rsidRPr="007224C3">
        <w:rPr>
          <w:rFonts w:ascii="Times New Roman" w:hAnsi="Times New Roman"/>
          <w:color w:val="000000" w:themeColor="text1"/>
          <w:sz w:val="16"/>
          <w:szCs w:val="16"/>
        </w:rPr>
        <w:softHyphen/>
        <w:t>соте все не удавалось, причем сам ТК-3 нареканий не вызывал. Становилась очевидной необходимость специального высотного мотора (11123).</w:t>
      </w:r>
    </w:p>
    <w:p w14:paraId="6C13601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59382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январе 1944 г. построили второй Ла-5ФН с ТК-3 и крылом увеличенной площади 17 марта летчик Г.М. Шия- нов начал его летные испытания. Но и на этой машине встретились с теми же дефектами, что у первого перехватчика. В 1944 году все работы по самолету Ла-5ФН с турбокомпрессорами прекратились, поскольку уже появился более скоростной Ла-7 аналогичного назначения (12032).</w:t>
      </w:r>
    </w:p>
    <w:p w14:paraId="7FCC113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52BCB3F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В январе 1944 г. начались испытания в ЛИИ доработанного Ла-5ФН № 39210206. Модернизацией этой машины руководил С.М. Алексеев. Самолёт отличался от серийных полной герметизацией капота двигателя, индивидуальными выхлопными патрубками, перекомпонованным центропланом и размещённым за пятым шпангоутом фюзеляжа маслорадиатором. Максимальная скорость выросла до 684 км/ч - на 34 км/ч больше, чем у серийного Ла-5ФН. Но жизнь машины оказалась недолгой. 10 февраля она потерпела аварию. На самолёте, пилотируемом Н.В. Адамовичем, в воздухе из-под капота мотора вырвалось пламя, и лётчику пришлось покинуть горящую "летающую лабораторию" на парашюте (11986).</w:t>
      </w:r>
    </w:p>
    <w:p w14:paraId="2C51981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Основные данные истребителей семейства Jla-7</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5106D0" w:rsidRPr="007224C3" w14:paraId="5670FC00" w14:textId="77777777">
        <w:tc>
          <w:tcPr>
            <w:tcW w:w="2802" w:type="dxa"/>
            <w:tcBorders>
              <w:top w:val="single" w:sz="12" w:space="0" w:color="auto"/>
            </w:tcBorders>
          </w:tcPr>
          <w:p w14:paraId="5144D0D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Borders>
              <w:top w:val="single" w:sz="12" w:space="0" w:color="auto"/>
            </w:tcBorders>
          </w:tcPr>
          <w:p w14:paraId="580CDF8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Ла-7</w:t>
            </w:r>
          </w:p>
        </w:tc>
        <w:tc>
          <w:tcPr>
            <w:tcW w:w="2802" w:type="dxa"/>
            <w:tcBorders>
              <w:top w:val="single" w:sz="12" w:space="0" w:color="auto"/>
            </w:tcBorders>
          </w:tcPr>
          <w:p w14:paraId="00E8684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УТИЛа-7</w:t>
            </w:r>
          </w:p>
        </w:tc>
        <w:tc>
          <w:tcPr>
            <w:tcW w:w="2802" w:type="dxa"/>
            <w:tcBorders>
              <w:top w:val="single" w:sz="12" w:space="0" w:color="auto"/>
            </w:tcBorders>
          </w:tcPr>
          <w:p w14:paraId="6EF5600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Ла-7Р</w:t>
            </w:r>
          </w:p>
        </w:tc>
      </w:tr>
      <w:tr w:rsidR="005106D0" w:rsidRPr="007224C3" w14:paraId="48CE3A43" w14:textId="77777777">
        <w:tc>
          <w:tcPr>
            <w:tcW w:w="2802" w:type="dxa"/>
          </w:tcPr>
          <w:p w14:paraId="4780781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Заводской номер</w:t>
            </w:r>
          </w:p>
        </w:tc>
        <w:tc>
          <w:tcPr>
            <w:tcW w:w="2802" w:type="dxa"/>
          </w:tcPr>
          <w:p w14:paraId="268D1B3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45210203</w:t>
            </w:r>
          </w:p>
        </w:tc>
        <w:tc>
          <w:tcPr>
            <w:tcW w:w="2802" w:type="dxa"/>
          </w:tcPr>
          <w:p w14:paraId="0E5A2B0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2802" w:type="dxa"/>
          </w:tcPr>
          <w:p w14:paraId="3430A24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22439AA9" w14:textId="77777777">
        <w:tc>
          <w:tcPr>
            <w:tcW w:w="2802" w:type="dxa"/>
          </w:tcPr>
          <w:p w14:paraId="2A9DE63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Двигатель</w:t>
            </w:r>
          </w:p>
        </w:tc>
        <w:tc>
          <w:tcPr>
            <w:tcW w:w="2802" w:type="dxa"/>
          </w:tcPr>
          <w:p w14:paraId="0695CFE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АШ-82ФН</w:t>
            </w:r>
          </w:p>
        </w:tc>
        <w:tc>
          <w:tcPr>
            <w:tcW w:w="2802" w:type="dxa"/>
          </w:tcPr>
          <w:p w14:paraId="3C56B24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АШ-82ФН</w:t>
            </w:r>
          </w:p>
        </w:tc>
        <w:tc>
          <w:tcPr>
            <w:tcW w:w="2802" w:type="dxa"/>
          </w:tcPr>
          <w:p w14:paraId="65023F4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АШ-82Ф</w:t>
            </w:r>
          </w:p>
        </w:tc>
      </w:tr>
      <w:tr w:rsidR="005106D0" w:rsidRPr="007224C3" w14:paraId="6603B7DF" w14:textId="77777777">
        <w:tc>
          <w:tcPr>
            <w:tcW w:w="2802" w:type="dxa"/>
          </w:tcPr>
          <w:p w14:paraId="1690FA8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Мощность, л.с.:</w:t>
            </w:r>
          </w:p>
        </w:tc>
        <w:tc>
          <w:tcPr>
            <w:tcW w:w="2802" w:type="dxa"/>
          </w:tcPr>
          <w:p w14:paraId="52E791D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Pr>
          <w:p w14:paraId="18D2B09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Pr>
          <w:p w14:paraId="65CC346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B64D405" w14:textId="77777777">
        <w:tc>
          <w:tcPr>
            <w:tcW w:w="2802" w:type="dxa"/>
          </w:tcPr>
          <w:p w14:paraId="37B1DF6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взлётная</w:t>
            </w:r>
          </w:p>
        </w:tc>
        <w:tc>
          <w:tcPr>
            <w:tcW w:w="2802" w:type="dxa"/>
          </w:tcPr>
          <w:p w14:paraId="3DD4096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1850</w:t>
            </w:r>
          </w:p>
        </w:tc>
        <w:tc>
          <w:tcPr>
            <w:tcW w:w="2802" w:type="dxa"/>
          </w:tcPr>
          <w:p w14:paraId="0A7A450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1850</w:t>
            </w:r>
          </w:p>
        </w:tc>
        <w:tc>
          <w:tcPr>
            <w:tcW w:w="2802" w:type="dxa"/>
          </w:tcPr>
          <w:p w14:paraId="0FB6303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1850</w:t>
            </w:r>
          </w:p>
        </w:tc>
      </w:tr>
      <w:tr w:rsidR="005106D0" w:rsidRPr="007224C3" w14:paraId="0E27B646" w14:textId="77777777">
        <w:tc>
          <w:tcPr>
            <w:tcW w:w="2802" w:type="dxa"/>
          </w:tcPr>
          <w:p w14:paraId="4626B17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первой границе высотности, м</w:t>
            </w:r>
          </w:p>
        </w:tc>
        <w:tc>
          <w:tcPr>
            <w:tcW w:w="2802" w:type="dxa"/>
          </w:tcPr>
          <w:p w14:paraId="5571E58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1630/1650</w:t>
            </w:r>
          </w:p>
        </w:tc>
        <w:tc>
          <w:tcPr>
            <w:tcW w:w="2802" w:type="dxa"/>
          </w:tcPr>
          <w:p w14:paraId="0D8090E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1630/1650</w:t>
            </w:r>
          </w:p>
        </w:tc>
        <w:tc>
          <w:tcPr>
            <w:tcW w:w="2802" w:type="dxa"/>
          </w:tcPr>
          <w:p w14:paraId="1844456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1630/1650</w:t>
            </w:r>
          </w:p>
        </w:tc>
      </w:tr>
      <w:tr w:rsidR="005106D0" w:rsidRPr="007224C3" w14:paraId="4377ED37" w14:textId="77777777">
        <w:tc>
          <w:tcPr>
            <w:tcW w:w="2802" w:type="dxa"/>
          </w:tcPr>
          <w:p w14:paraId="248848D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второй границе высотности, м</w:t>
            </w:r>
          </w:p>
        </w:tc>
        <w:tc>
          <w:tcPr>
            <w:tcW w:w="2802" w:type="dxa"/>
          </w:tcPr>
          <w:p w14:paraId="1B5F166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1430/4650</w:t>
            </w:r>
          </w:p>
        </w:tc>
        <w:tc>
          <w:tcPr>
            <w:tcW w:w="2802" w:type="dxa"/>
          </w:tcPr>
          <w:p w14:paraId="29EC47E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1430/4650</w:t>
            </w:r>
          </w:p>
        </w:tc>
        <w:tc>
          <w:tcPr>
            <w:tcW w:w="2802" w:type="dxa"/>
          </w:tcPr>
          <w:p w14:paraId="688EA5B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1430/4650</w:t>
            </w:r>
          </w:p>
        </w:tc>
      </w:tr>
      <w:tr w:rsidR="005106D0" w:rsidRPr="007224C3" w14:paraId="54F2E973" w14:textId="77777777">
        <w:tc>
          <w:tcPr>
            <w:tcW w:w="2802" w:type="dxa"/>
          </w:tcPr>
          <w:p w14:paraId="6AD4365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Ускоритель</w:t>
            </w:r>
          </w:p>
        </w:tc>
        <w:tc>
          <w:tcPr>
            <w:tcW w:w="2802" w:type="dxa"/>
          </w:tcPr>
          <w:p w14:paraId="6A36706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2802" w:type="dxa"/>
          </w:tcPr>
          <w:p w14:paraId="458287A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2802" w:type="dxa"/>
          </w:tcPr>
          <w:p w14:paraId="3B9B6EB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РД-1ХЗ</w:t>
            </w:r>
          </w:p>
        </w:tc>
      </w:tr>
      <w:tr w:rsidR="005106D0" w:rsidRPr="007224C3" w14:paraId="2AC5F666" w14:textId="77777777">
        <w:tc>
          <w:tcPr>
            <w:tcW w:w="2802" w:type="dxa"/>
          </w:tcPr>
          <w:p w14:paraId="05F2B68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Тяга, кг</w:t>
            </w:r>
          </w:p>
        </w:tc>
        <w:tc>
          <w:tcPr>
            <w:tcW w:w="2802" w:type="dxa"/>
          </w:tcPr>
          <w:p w14:paraId="4B4FF82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2802" w:type="dxa"/>
          </w:tcPr>
          <w:p w14:paraId="55F0F8F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2802" w:type="dxa"/>
          </w:tcPr>
          <w:p w14:paraId="188B158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300</w:t>
            </w:r>
          </w:p>
        </w:tc>
      </w:tr>
      <w:tr w:rsidR="005106D0" w:rsidRPr="007224C3" w14:paraId="298255AE" w14:textId="77777777">
        <w:tc>
          <w:tcPr>
            <w:tcW w:w="2802" w:type="dxa"/>
          </w:tcPr>
          <w:p w14:paraId="078A616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Взлётный вес, кг</w:t>
            </w:r>
          </w:p>
        </w:tc>
        <w:tc>
          <w:tcPr>
            <w:tcW w:w="2802" w:type="dxa"/>
          </w:tcPr>
          <w:p w14:paraId="62C8592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3232</w:t>
            </w:r>
          </w:p>
        </w:tc>
        <w:tc>
          <w:tcPr>
            <w:tcW w:w="2802" w:type="dxa"/>
          </w:tcPr>
          <w:p w14:paraId="3B12179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2802" w:type="dxa"/>
          </w:tcPr>
          <w:p w14:paraId="402012E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3523</w:t>
            </w:r>
          </w:p>
        </w:tc>
      </w:tr>
      <w:tr w:rsidR="005106D0" w:rsidRPr="007224C3" w14:paraId="7742C4D1" w14:textId="77777777">
        <w:tc>
          <w:tcPr>
            <w:tcW w:w="2802" w:type="dxa"/>
          </w:tcPr>
          <w:p w14:paraId="081DB04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 горючего, кг</w:t>
            </w:r>
          </w:p>
        </w:tc>
        <w:tc>
          <w:tcPr>
            <w:tcW w:w="2802" w:type="dxa"/>
          </w:tcPr>
          <w:p w14:paraId="76016DB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2802" w:type="dxa"/>
          </w:tcPr>
          <w:p w14:paraId="2FDBB77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2802" w:type="dxa"/>
          </w:tcPr>
          <w:p w14:paraId="1B1B095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545</w:t>
            </w:r>
          </w:p>
        </w:tc>
      </w:tr>
      <w:tr w:rsidR="005106D0" w:rsidRPr="007224C3" w14:paraId="07C2E091" w14:textId="77777777">
        <w:tc>
          <w:tcPr>
            <w:tcW w:w="2802" w:type="dxa"/>
          </w:tcPr>
          <w:p w14:paraId="5785812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 скорость, км/ч:</w:t>
            </w:r>
          </w:p>
        </w:tc>
        <w:tc>
          <w:tcPr>
            <w:tcW w:w="2802" w:type="dxa"/>
          </w:tcPr>
          <w:p w14:paraId="37B9BA4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Pr>
          <w:p w14:paraId="6B2BCCD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Pr>
          <w:p w14:paraId="0A5F5EC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937DC1F" w14:textId="77777777">
        <w:tc>
          <w:tcPr>
            <w:tcW w:w="2802" w:type="dxa"/>
          </w:tcPr>
          <w:p w14:paraId="5A2DD4F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 земли</w:t>
            </w:r>
          </w:p>
        </w:tc>
        <w:tc>
          <w:tcPr>
            <w:tcW w:w="2802" w:type="dxa"/>
          </w:tcPr>
          <w:p w14:paraId="2B50141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552/592</w:t>
            </w:r>
          </w:p>
        </w:tc>
        <w:tc>
          <w:tcPr>
            <w:tcW w:w="2802" w:type="dxa"/>
          </w:tcPr>
          <w:p w14:paraId="3A1ED88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2802" w:type="dxa"/>
          </w:tcPr>
          <w:p w14:paraId="4C663CD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4FF1D4FB" w14:textId="77777777">
        <w:tc>
          <w:tcPr>
            <w:tcW w:w="2802" w:type="dxa"/>
          </w:tcPr>
          <w:p w14:paraId="3F043B9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высоте, м</w:t>
            </w:r>
          </w:p>
        </w:tc>
        <w:tc>
          <w:tcPr>
            <w:tcW w:w="2802" w:type="dxa"/>
          </w:tcPr>
          <w:p w14:paraId="206F281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652/ -</w:t>
            </w:r>
          </w:p>
        </w:tc>
        <w:tc>
          <w:tcPr>
            <w:tcW w:w="2802" w:type="dxa"/>
          </w:tcPr>
          <w:p w14:paraId="6362979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2802" w:type="dxa"/>
          </w:tcPr>
          <w:p w14:paraId="585F028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657-747/3000</w:t>
            </w:r>
          </w:p>
        </w:tc>
      </w:tr>
      <w:tr w:rsidR="005106D0" w:rsidRPr="007224C3" w14:paraId="7C296AB3" w14:textId="77777777">
        <w:tc>
          <w:tcPr>
            <w:tcW w:w="2802" w:type="dxa"/>
          </w:tcPr>
          <w:p w14:paraId="0B84816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Время набора высоты 5000 м, мин</w:t>
            </w:r>
          </w:p>
        </w:tc>
        <w:tc>
          <w:tcPr>
            <w:tcW w:w="2802" w:type="dxa"/>
          </w:tcPr>
          <w:p w14:paraId="7564BBD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tc>
        <w:tc>
          <w:tcPr>
            <w:tcW w:w="2802" w:type="dxa"/>
          </w:tcPr>
          <w:p w14:paraId="3487BB4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2802" w:type="dxa"/>
          </w:tcPr>
          <w:p w14:paraId="5628F41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C0CAB87" w14:textId="77777777">
        <w:tc>
          <w:tcPr>
            <w:tcW w:w="2802" w:type="dxa"/>
          </w:tcPr>
          <w:p w14:paraId="5BEF4C6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Практический потолок, м</w:t>
            </w:r>
          </w:p>
        </w:tc>
        <w:tc>
          <w:tcPr>
            <w:tcW w:w="2802" w:type="dxa"/>
          </w:tcPr>
          <w:p w14:paraId="0652597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11 300</w:t>
            </w:r>
          </w:p>
        </w:tc>
        <w:tc>
          <w:tcPr>
            <w:tcW w:w="2802" w:type="dxa"/>
          </w:tcPr>
          <w:p w14:paraId="203E17F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2802" w:type="dxa"/>
          </w:tcPr>
          <w:p w14:paraId="092A6FB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766E800D" w14:textId="77777777">
        <w:tc>
          <w:tcPr>
            <w:tcW w:w="2802" w:type="dxa"/>
          </w:tcPr>
          <w:p w14:paraId="4D1D310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 дальность, км</w:t>
            </w:r>
          </w:p>
        </w:tc>
        <w:tc>
          <w:tcPr>
            <w:tcW w:w="2802" w:type="dxa"/>
          </w:tcPr>
          <w:p w14:paraId="73EEFBA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820</w:t>
            </w:r>
          </w:p>
        </w:tc>
        <w:tc>
          <w:tcPr>
            <w:tcW w:w="2802" w:type="dxa"/>
          </w:tcPr>
          <w:p w14:paraId="323A6B7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2802" w:type="dxa"/>
          </w:tcPr>
          <w:p w14:paraId="0639E76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4E259052" w14:textId="77777777">
        <w:tc>
          <w:tcPr>
            <w:tcW w:w="2802" w:type="dxa"/>
          </w:tcPr>
          <w:p w14:paraId="083370A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Разбег, м</w:t>
            </w:r>
          </w:p>
        </w:tc>
        <w:tc>
          <w:tcPr>
            <w:tcW w:w="2802" w:type="dxa"/>
          </w:tcPr>
          <w:p w14:paraId="387683B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340</w:t>
            </w:r>
          </w:p>
        </w:tc>
        <w:tc>
          <w:tcPr>
            <w:tcW w:w="2802" w:type="dxa"/>
          </w:tcPr>
          <w:p w14:paraId="35A8391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2802" w:type="dxa"/>
          </w:tcPr>
          <w:p w14:paraId="11A3A60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070419F0" w14:textId="77777777">
        <w:tc>
          <w:tcPr>
            <w:tcW w:w="2802" w:type="dxa"/>
          </w:tcPr>
          <w:p w14:paraId="121E669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Пробег, м</w:t>
            </w:r>
          </w:p>
        </w:tc>
        <w:tc>
          <w:tcPr>
            <w:tcW w:w="2802" w:type="dxa"/>
          </w:tcPr>
          <w:p w14:paraId="33528FA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530</w:t>
            </w:r>
          </w:p>
        </w:tc>
        <w:tc>
          <w:tcPr>
            <w:tcW w:w="2802" w:type="dxa"/>
          </w:tcPr>
          <w:p w14:paraId="015E3A5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2802" w:type="dxa"/>
          </w:tcPr>
          <w:p w14:paraId="16EFC27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767EBFBA" w14:textId="77777777">
        <w:tc>
          <w:tcPr>
            <w:tcW w:w="2802" w:type="dxa"/>
            <w:tcBorders>
              <w:bottom w:val="single" w:sz="12" w:space="0" w:color="auto"/>
            </w:tcBorders>
          </w:tcPr>
          <w:p w14:paraId="4363CED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Вооружение, количествохкалибр, мм</w:t>
            </w:r>
          </w:p>
        </w:tc>
        <w:tc>
          <w:tcPr>
            <w:tcW w:w="2802" w:type="dxa"/>
            <w:tcBorders>
              <w:bottom w:val="single" w:sz="12" w:space="0" w:color="auto"/>
            </w:tcBorders>
          </w:tcPr>
          <w:p w14:paraId="6702C43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2x20</w:t>
            </w:r>
          </w:p>
        </w:tc>
        <w:tc>
          <w:tcPr>
            <w:tcW w:w="2802" w:type="dxa"/>
            <w:tcBorders>
              <w:bottom w:val="single" w:sz="12" w:space="0" w:color="auto"/>
            </w:tcBorders>
          </w:tcPr>
          <w:p w14:paraId="702F4E3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2802" w:type="dxa"/>
            <w:tcBorders>
              <w:bottom w:val="single" w:sz="12" w:space="0" w:color="auto"/>
            </w:tcBorders>
          </w:tcPr>
          <w:p w14:paraId="61D9AAE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2x20</w:t>
            </w:r>
          </w:p>
        </w:tc>
      </w:tr>
    </w:tbl>
    <w:p w14:paraId="778E31E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Примечание: Для всех самолётов: размах крыла 9,8; длина самолёта в линии полёта - 8,31 м (у Jla-7P - 8,6 м); площадь крыла - 17,62 м:</w:t>
      </w:r>
    </w:p>
    <w:p w14:paraId="251DB4D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ТЕХНИЧЕСКОЕ ОПИСАНИЕ </w:t>
      </w:r>
    </w:p>
    <w:p w14:paraId="7FAFD6C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Ла-7 - деревянный низкоплан. Конструкция его планера в значительной мере повторяла Ла-5ФН последних серий. Основной конструкционный материал - сосна. Полки лонжеронов крыла изготавливали из стали ЗОХГСА, некоторые шпангоуты - из дельта-дре- весины. Деревянные детали планёра склеивались смоляным ВИАМ-Б-3 или карбамидным клеем КМ-1.</w:t>
      </w:r>
    </w:p>
    <w:p w14:paraId="17CE6F8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Крыло - двухлонжеронное, набиралось из профилей NACA-23016 и</w:t>
      </w:r>
    </w:p>
    <w:p w14:paraId="65983CC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NACA-23010 относительной толщиной 16% и 10% соответственно; технологически делилось на центроплан и консоли. Форма крыла в плане - трапециевидная, с округлыми законцовка- ми. Между лонжеронами центроплана находились выклеенные из фанеры два кессона для бензобаков. Снизу в центроплане имелся люк для установки центрального бака. </w:t>
      </w:r>
    </w:p>
    <w:p w14:paraId="1C601F0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Лонжероны - металлические, таврового сечения, со стальными полками и стенками из алюминиевого сплава. Нервюры в центроплане - смешанной конструкции, с дюралюминиевыми полками и ферменной частью из деревянных брусков. У торцевых нервюр средняя часть - ферма из стальных труб. Эти нервюры включали связывавшую оба лонжерона трубу, проходившую сквозь передний лонжерон и предназначавшуюся для крепления основных опор шасси. В вырезы носков нервюр центроплана закладывались желоба под стойки шасси, выгнутые из бакелитовой фанеры. Носки и хвостовики всех нервюр связывались деревянными брусками. Стрингеры - сосновые рейки. Обшивка - бакелитовая фанера толщиной от 3 до 5 мм.</w:t>
      </w:r>
    </w:p>
    <w:p w14:paraId="2E93BBC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конструкции каркаса консоли были подобны центроплану, но все нервюры в них выполнялись деревянными. Консоли крепились к центроплану через стыковые узлы на лонжеронах стальными болтами. Стык закрывался дюралюминиевыми лентами. Угол поперечного V - постоянный, равный 5°.</w:t>
      </w:r>
    </w:p>
    <w:p w14:paraId="7498299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К консолям крепились автоматические предкрылки и элероны типа "Фрайз". Элероны имели дюралюминиевый каркас и полотняную обтяжку. </w:t>
      </w:r>
    </w:p>
    <w:p w14:paraId="0C7FA32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левом элероне стоял триммер в виде металлической пластинки, отгибаемой для регулировки на земле. Предкрылки - цельнометаллической конструкции, из алюминиевых сплавов. При необходимости они автоматически, под воздействием перепада давления, выдвигались вперёд.</w:t>
      </w:r>
    </w:p>
    <w:p w14:paraId="17A3C6C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Закрылки делились на четыре секции - две на центроплане и две на консолях. В убранном положении они заподлицо уходили в нижнюю поверхность крыла. Конструкция закрылков - цельнометаллическая.</w:t>
      </w:r>
    </w:p>
    <w:p w14:paraId="010E449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Фюзеляж технологически делился на металлическую переднюю ферму (лафет) и деревянный монокок, выполненный за одно целое с килем. Его каркас состоял из четырёх лонжеронов и 15 шпангоутов. Фюзеляж наглухо соединён с центропланом крыла четырьмя стальными узлами.</w:t>
      </w:r>
    </w:p>
    <w:p w14:paraId="1B6A55C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Кабина пилота закрывалась фонарём, состоявшим из козырька, неподвижной задней и сдвижной средней частей. Каркас фонаря - из стальных труб. В козырёк монтировалось бронестекло толщиной 55 мм. Средняя часть в аварийной ситуации сбрасывалась вместе с направляющими одним движением ручки, расположенной на правом борту кабины. В задней части слева имелся лючок для доступа к радиоаппаратуре. Регулируемое по высоте кресло пилота имело мягкую спинку и чашку под парашют. За кабиной лётчика была установлена бронеплита толщиной 8,5 мм, за его головой - 66-мм бронестекло (11986).</w:t>
      </w:r>
    </w:p>
    <w:p w14:paraId="596AB0D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Хвостовое оперение Ла-7 - свобод- нонесущее. Деревянный киль, обшитый фанерой, изготовлялся за одно целое с фюзеляжем. Руль направления имел металлический набор с лонжероном из трубы и штампованными нервюрами и полотняную обтяжку. Стабилизатор - двухлонжеронный, цельнодеревянный, с фанерной несущей обшивкой. Он состоял из двух половин, крепившихся к силовым элементам хвостовой части фюзеляжа. Руль высоты также состоял из двух половин, имел дюралюминиевый каркас, обшитый полотном, и триммеры.</w:t>
      </w:r>
    </w:p>
    <w:p w14:paraId="6D0E970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Шасси - убирающееся, трёхопор- ное, с хвостовым колесом. Основные опоры имели масляно-пневматические амортизаторы, а их колёса размером 650x200 мм - пневматические тормоза. Тормозной рычаг располагался на ручке управления самолётом. Дифференцированное управление тормозами правого и левого колёс осуществлялось педалями. При уборке стойки и колёса укладывались в крыло по направлению к оси машины и полностью закрывались щитками. Хвостовая свободно ориентирующаяся опора с колесом размером 300x125 мм убиралась в фюзеляж и тоже закрывалась створками. В убранном и выпущенном положении шасси фиксировалось замками. Уборка и выпуск шасси - гидроприводом. Сигнализация о положении колёс - лампочками на приборной доске.</w:t>
      </w:r>
    </w:p>
    <w:p w14:paraId="63C5FB1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Управление самолётом - смешанное: элеронами - с помощью жёстких тяг, рулями высоты и поворота - тросовое. Выпуск и уборка щитков-за- крылков - с помощью гидропривода.</w:t>
      </w:r>
    </w:p>
    <w:p w14:paraId="3D3F20F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Силовая установка состояла из двухрядного звездообразного 14-цилиндрового двигателя воздушного охлаждения АШ-82ФН и трёхлопастного винта-автомата ВИШ-105В-4 диаметром 3,1 м с центробежным регулятором оборотов Р-7. Втулка винта закрывалась коком. В отличие от Ла-5ФН на последнем не было храповика для запуска двигателя автостартёром.</w:t>
      </w:r>
    </w:p>
    <w:p w14:paraId="39DF60C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Моторама - ферма, сваренная из стальных труб. Для регулировки температуры мотора служили лобовые жалюзи, располагавшиеся в переднем кольце капота, и две створки по бокам капота за двигателем. Выхлоп осуществлялся через индивидуальные патрубки. Сотовый маслорадиатор размещался снизу за пятым шпангоутом фюзеляжа, а его воздухозаборник - под центропланом. На выходе туннель имел регулируемую заслонку. Мотор запускался сжатым воздухом с помощью пневмопуска.</w:t>
      </w:r>
    </w:p>
    <w:p w14:paraId="4990274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Горючее находилось в трёх центро- планных баках общей ёмкостью 466 л. Два крайних имели объём по 148 л, центральный - 170 л. Все баки - сварные из алюминиевого сплава. Они протестированы снизу слоем бензо- стойкой резины, слоем набухающей резины, двумя слоями плотной ткани и ещё одним слоем бензостойкой резины; сверху - двумя слоями бензостойкой резины со слоем ткани между ними. Все три бака монтировались через люк, расположенный под центральным баком.</w:t>
      </w:r>
    </w:p>
    <w:p w14:paraId="3A3FB41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Маслобак, по конструкции аналогичный бензиновым, но без протектора, имел ёмкость 58 л. Он стоял на деревянном седле за двигателем возле патронных коробок. Радиатор ОП-293 - сотовый, подковообразной формы, подвешивался на двух лентах под фюзеляжем за шпангоутом №5. Радиатор помещался в обтекатель из алюминиевого сплава.</w:t>
      </w:r>
    </w:p>
    <w:p w14:paraId="38ECECB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состав оборудования, кроме стандартного набора пилотажно-навигаци- онных и контролирующих приборов, входили коротковолновые радиопередатчик РСИ-ЗМ "Орёл" и радиоприёмник РСИ-4Д "Малютка", устанавливавшиеся за бронеспинкой лётчика. Двухлучевая антенна натягивалась между наклонённой вперед мачтой за пилотской кабиной и короткой мачтой на киле. Обе мачты - деревянные.</w:t>
      </w:r>
    </w:p>
    <w:p w14:paraId="7442D75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Кислородное оборудование включало прибор КП-12, маску КМ-10 и баллон, расположенный на правом борту фюзеляжа.</w:t>
      </w:r>
    </w:p>
    <w:p w14:paraId="434C05C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 электрооборудование входили генератор ГС-10-350 и аккумуляторная батарея 12А-5. Генератор приводился от двигателя. Аккумулятор размещался в контейнере, установленном в фюзеляже между шпангоутами № 9 и № 10. Схема электропроводки - смешанная, преимущественно двухпроводная. Самолёт имел стандартный </w:t>
      </w:r>
      <w:r w:rsidRPr="007224C3">
        <w:rPr>
          <w:rFonts w:ascii="Times New Roman" w:hAnsi="Times New Roman"/>
          <w:color w:val="000000" w:themeColor="text1"/>
          <w:sz w:val="16"/>
          <w:szCs w:val="16"/>
        </w:rPr>
        <w:lastRenderedPageBreak/>
        <w:t>комплект навигационных огней и посадочную фару ФС-155 мощностью 300 Вт, смонтированную в консоли левого крыла. Трубка ПВД на правом крыле оснащалась электрообогревом.</w:t>
      </w:r>
    </w:p>
    <w:p w14:paraId="5686E07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Вооружение большинства Ла-7 соответствовало стандарту, принятому ранее для Ла-5ФН, и состояло из двух синхронных пушек ШВАК (СП-20) калибра 20 мм (общий боекомплект 340 патронов). Часть машин московского производства вооружалась тремя пушками Б-20 с боезапасом по 130 патронов на ствол. Эти пушки стояли асимметрично - две слева и одна справа. В обоих случаях стреляные гильзы выводились под центроплан и выбрасывались наружу. Звенья разъёмной ленты собирались в патронные ящики, разделённые внутри гибкой лентой. Перезарядка оружия - пневматическая, управление огнём - электрическое. Коллиматорный прицел ПБП-1Б(В) устанавливался в кабине перед козырьком. Предусматривалась возможность подвески под крылом на держателях ДЗ-40 двух бомб калибром от 8 до 100 кг. Сброс - механическим сбрасывателем АСИ-140 (11986).</w:t>
      </w:r>
    </w:p>
    <w:p w14:paraId="0F5EE78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46E5619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январе 1944 начались испытания И-220 МиГ с АМ-38Ф и была достигнута скорость 622 км/ч на 2600 м (4,249). По другим данным - 652 км/ч и летал Якимов (671,568).</w:t>
      </w:r>
    </w:p>
    <w:p w14:paraId="68DDAA2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другим данным в январе 1944 продолжились испытания И-220А МиГ N 1, оборудованного АМ-39, которые шли с июля или 3 июня по август 1943. Испытания шли до августа 1944 (1084,41).</w:t>
      </w:r>
    </w:p>
    <w:p w14:paraId="1AD4B0B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8D536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январе 1944 согласно журнала наблюдения за проектированием, постройкой и испытаниями высотного истребителя МиГ-1 за 28 января 1941 на И-221 было произведено 7 полетов: первый до высоты 1000 м на 1 и 2 ск. Нагнетателя. ВМГ работала нормально. Заменен нагнетатель - усиление перьев.</w:t>
      </w:r>
    </w:p>
    <w:p w14:paraId="04C62D6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И-222 в заготовительных цехаха продолжалось изготовление деталей и агрегатов.зготавливалось 2 экз. гермокабины - один для ЛИИ НКАП, второй - на самолет. Самолет предполагалось передать в ЛЭС к концу марта (991,11).</w:t>
      </w:r>
    </w:p>
    <w:p w14:paraId="41C79F4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22374E9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январе 1944 в ЛИИ закончились летные испытания Пе-2 N 19/205, модифицированного в ЦАГИ, которые шачались в октябре 1943 -. Летали М.Галлай, С.Машковский, Н.Рыбко (1077,326).</w:t>
      </w:r>
    </w:p>
    <w:p w14:paraId="3ECF269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073A2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январе 1944 возобновились испытания Пе-2 2М-105РА № 15/185 с РУ-1. Теперь свеча выдерживала до 20 запусков, в полете зажигание работало нормально до высоты 7000 м, однако устранить все дефекты не удалось. В июне при очередном пробном пуске произошел взрыв, был полностью разрушен двигатель и хвостовое оперение самолета, а инженер-экспериментатор (это был С.П. Королев) получил травмы и чудом остался жив. После восстановления машины и изготовления нового реактивного двигателя опыты продолжались (4476).</w:t>
      </w:r>
    </w:p>
    <w:p w14:paraId="2C4DD95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97677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периоде января по март 1944 г. серийный самолет Пе-2 с М-82 испытывался в НИИ ВВС, причем это был не зав. № 1/226 (на нем входе заводских испытаний на одном из моторов оборвался шатун, и самолет вышел из строя), а машина зав. № 1/232. Из-за неудовлетворительной работы карбюраторов и высотных корректоров двигатели на высоте более 3000-4000 м не развивали полную мощность, поэтому максимальная скорость самолета на второй границе высотности оказалась меньше, чем на первой границе (526 км/ч). Летчик-испытатель генерал- майор авиации П.М. Стефановский в донесении об облете серийного Пе-2 с М-82 написал:</w:t>
      </w:r>
    </w:p>
    <w:p w14:paraId="68686AE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"Положительным качеством данного самолета является возможность производить полеты на одном моторе с полетным весом 8300 кг как с убранными, так и с выпущенными шасси... Глиссада планирования за счет больших оборотов моторов с убранным газом несколько более пологая... В остальном самолет остается таким же сложным и неудобным для экипажа, как и серийные самолеты Пе-2 с М-105ПФ".</w:t>
      </w:r>
    </w:p>
    <w:p w14:paraId="08D9649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Основными причинами, сдерживавшими серийный выпуск Пе-2 с моторами воздушного охлаждения, оказались очень низкое качество маслорадиаторов и дефицитность самих двигателей, прежний резерв которых "съели" истребители Ла-5. Остается загадкой, как мог Государственный Комитет Обороны планировать массовый выпуск "пешек" с М-82, если их не хватало даже для самолетов Лавочкина (12042).</w:t>
      </w:r>
    </w:p>
    <w:p w14:paraId="16F43AA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327A53E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январе 1944 г. приказом НКАП № 22 была задана постройка третьего экземпляра Пе-2И в варианте тяжелого истребителя. Предусматривалось применение весьма мощного наступательного вооружения: в подфюзеляжной батарее планировали установить две пушки НС-45 с запасом по 45 снарядов на ствол (4476).</w:t>
      </w:r>
    </w:p>
    <w:p w14:paraId="19F0E8A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1B446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январе 1944 г. приказом НКАП №22 задавалась постройка третьего экземпляра Пе- 2И в варианте тяжелого истребителя. Предусматривалось применение весьма мощного наступательного вооружения: две пушки НС-45 с запасом по 45 снарядов на ствол в подфюзеляжной батарее. В ноябре 1944 г. пушечный лафет и стенд для отладки всей установки были изготовлены и отправлены в Москву на завод № 482. Главный конструктор принял решение не строить третий опытный самолет, а смонтировать батарею на головном серийном Пе-2И. Однако сразу после изготовления эта машина стала объектом придирчивого внимания военпредов завода № 22, которые выявили у нее массу дефектов и потребовали их устранения. Ни один из выпущенных Пе-2И не был доведен до боеготового состояния вплоть до июня 1945 г. и не был оплачен ВВС, поэтому все дальнейшие работы по истребительному варианту постепенно зашли в тупик (12042).</w:t>
      </w:r>
    </w:p>
    <w:p w14:paraId="131C4AE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3F7198A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январе 1944 года для отработки мероприятий по устранению раскрутки винта АВ-5-167А в НИИ ВВС на самолете Ту-2 N 716 были проведены гос. испытая винтов прямой схемы АВ-5В-167А. Винты прямой схемы показали хорошие результаты, дефект раскрутки винта на пикировании был устранен и данные винты были рекомендованы для срочной установки на самолеты Ту-2, как на заводе, так и в частях ВВС (1821).</w:t>
      </w:r>
    </w:p>
    <w:p w14:paraId="03FAA66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CF4FF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январе 1944 г. из цехов стали выходить первые Ту-2, полностью сделанные в Москве. Производство постепенно налаживалось. В июле первый раз удалось выполнить месячный план, в августе его перевыполнили. Далее процесс шел по нарастающей; в декабре завод сдал 52 самолета - 173% плана. Это, правда, не спасло от упреков из наркомата за срыв годового плана (вместо 453 машин сделали 378, а сдали 360).</w:t>
      </w:r>
    </w:p>
    <w:p w14:paraId="493B31D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По-прежнему шло много брака, но наиболее серьезные недостатки постепенно исправлялись. С середины 1944 г. завод совместно с ОКБ Туполева начал вносить в серийные машины различные усовершенствования.</w:t>
      </w:r>
    </w:p>
    <w:p w14:paraId="7EF4A62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 конструкторское бюро к этому времени уже перебралось в Москву, разместившись в старом здании на улице Радио. Завод № 156 выполнял функции опытного производства ОКБ, производя необходимые доработки, которые затем опробовались летчиками-испытателями.</w:t>
      </w:r>
    </w:p>
    <w:p w14:paraId="0A9803B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серийных машинах улучшили герметизацию планера, крыло стали шпаклевать и оклеивать полотном. Последнее немного подняло вес, но улучшило аэродинамику, скрыв часть огрехов изготовления. Как уже говорилось, путевую устойчивость Ту-2 в НИИ ВВС оценивали как неудовлетворительную. Поэтому в феврале 1944 г. на самолете № 100716 смонтировали кили с увеличенной площадью верхней части. Устойчивость действительно улучшилась. По результатам испытаний в марте новое оперение рекомендовали к внедрению на серийных бомбардировщиках.</w:t>
      </w:r>
    </w:p>
    <w:p w14:paraId="04D31E3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Ввели усиленные коки винтов, немного изменили раскрой обшивки на консолях, применили новые выхлопные коллекторы. Улучшение снабжения легкими сплавами позволило уже с 3-й серии заменить часть шпона на обшивке носа фюзеляжа металлическим листом. Теперь деревянным остался только участок между 1-ми 3-м шпангоутами. С 8-й серии откидную створку люковой установки заменили неподвижным козырьком. С 11-й серии сферический гидроаккумулятор (большей емкости) пришел на смену цилиндрическому. Усилили задние подкосы шасси. Изменили всасывающие патрубки моторов, что несколько повысило реально развиваемую ими мощность. Внедрили более толстую обтяжку на рулях поворота. Смонтировали новые кислородные приборы КП-12 вместо КП-Збис (с самолета N° 3/20), вернули назад посадочную фару на левом крыле, ранее сочтенную ненужной роскошью. На одном самолете поставили даже две фары, на другом обеспечили отопление кабин теплым воздухом (11988).</w:t>
      </w:r>
    </w:p>
    <w:p w14:paraId="323B915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Серийное производство Ту-2 в годы войны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2242"/>
        <w:gridCol w:w="2242"/>
        <w:gridCol w:w="2242"/>
        <w:gridCol w:w="2242"/>
      </w:tblGrid>
      <w:tr w:rsidR="005106D0" w:rsidRPr="007224C3" w14:paraId="50CACBC5" w14:textId="77777777">
        <w:tc>
          <w:tcPr>
            <w:tcW w:w="2242" w:type="dxa"/>
            <w:tcBorders>
              <w:top w:val="single" w:sz="12" w:space="0" w:color="auto"/>
            </w:tcBorders>
          </w:tcPr>
          <w:p w14:paraId="3244145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Borders>
              <w:top w:val="single" w:sz="12" w:space="0" w:color="auto"/>
            </w:tcBorders>
          </w:tcPr>
          <w:p w14:paraId="78CC537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1942</w:t>
            </w:r>
          </w:p>
        </w:tc>
        <w:tc>
          <w:tcPr>
            <w:tcW w:w="2242" w:type="dxa"/>
            <w:tcBorders>
              <w:top w:val="single" w:sz="12" w:space="0" w:color="auto"/>
            </w:tcBorders>
          </w:tcPr>
          <w:p w14:paraId="51AB1FF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1943</w:t>
            </w:r>
          </w:p>
        </w:tc>
        <w:tc>
          <w:tcPr>
            <w:tcW w:w="2242" w:type="dxa"/>
            <w:tcBorders>
              <w:top w:val="single" w:sz="12" w:space="0" w:color="auto"/>
            </w:tcBorders>
          </w:tcPr>
          <w:p w14:paraId="2CF582C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1944</w:t>
            </w:r>
          </w:p>
        </w:tc>
        <w:tc>
          <w:tcPr>
            <w:tcW w:w="2242" w:type="dxa"/>
            <w:tcBorders>
              <w:top w:val="single" w:sz="12" w:space="0" w:color="auto"/>
            </w:tcBorders>
          </w:tcPr>
          <w:p w14:paraId="61A6A31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1945</w:t>
            </w:r>
          </w:p>
        </w:tc>
      </w:tr>
      <w:tr w:rsidR="005106D0" w:rsidRPr="007224C3" w14:paraId="74D7FE04" w14:textId="77777777">
        <w:tc>
          <w:tcPr>
            <w:tcW w:w="2242" w:type="dxa"/>
          </w:tcPr>
          <w:p w14:paraId="0EF8236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 166 (Омск)</w:t>
            </w:r>
          </w:p>
        </w:tc>
        <w:tc>
          <w:tcPr>
            <w:tcW w:w="2242" w:type="dxa"/>
          </w:tcPr>
          <w:p w14:paraId="6073E4C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68</w:t>
            </w:r>
          </w:p>
        </w:tc>
        <w:tc>
          <w:tcPr>
            <w:tcW w:w="2242" w:type="dxa"/>
          </w:tcPr>
          <w:p w14:paraId="591CEB3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12 1)</w:t>
            </w:r>
          </w:p>
        </w:tc>
        <w:tc>
          <w:tcPr>
            <w:tcW w:w="2242" w:type="dxa"/>
          </w:tcPr>
          <w:p w14:paraId="4578113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2242" w:type="dxa"/>
          </w:tcPr>
          <w:p w14:paraId="2A39575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73FF78A3" w14:textId="77777777">
        <w:tc>
          <w:tcPr>
            <w:tcW w:w="2242" w:type="dxa"/>
            <w:tcBorders>
              <w:bottom w:val="single" w:sz="12" w:space="0" w:color="auto"/>
            </w:tcBorders>
          </w:tcPr>
          <w:p w14:paraId="1D38CAC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 23 (Москва)</w:t>
            </w:r>
          </w:p>
        </w:tc>
        <w:tc>
          <w:tcPr>
            <w:tcW w:w="2242" w:type="dxa"/>
            <w:tcBorders>
              <w:bottom w:val="single" w:sz="12" w:space="0" w:color="auto"/>
            </w:tcBorders>
          </w:tcPr>
          <w:p w14:paraId="26C705C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2242" w:type="dxa"/>
            <w:tcBorders>
              <w:bottom w:val="single" w:sz="12" w:space="0" w:color="auto"/>
            </w:tcBorders>
          </w:tcPr>
          <w:p w14:paraId="3C35C84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25 3)</w:t>
            </w:r>
          </w:p>
        </w:tc>
        <w:tc>
          <w:tcPr>
            <w:tcW w:w="2242" w:type="dxa"/>
            <w:tcBorders>
              <w:bottom w:val="single" w:sz="12" w:space="0" w:color="auto"/>
            </w:tcBorders>
          </w:tcPr>
          <w:p w14:paraId="7651714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378 4)</w:t>
            </w:r>
          </w:p>
        </w:tc>
        <w:tc>
          <w:tcPr>
            <w:tcW w:w="2242" w:type="dxa"/>
            <w:tcBorders>
              <w:bottom w:val="single" w:sz="12" w:space="0" w:color="auto"/>
            </w:tcBorders>
          </w:tcPr>
          <w:p w14:paraId="2D74C6E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742 2)</w:t>
            </w:r>
          </w:p>
        </w:tc>
      </w:tr>
    </w:tbl>
    <w:p w14:paraId="2AC3F48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 включая доработанные заводом № 156; 2) - сдано 736; 3) - из задела завода № 166; сдано 3; 4) - сдано 360 (11988).</w:t>
      </w:r>
    </w:p>
    <w:p w14:paraId="3A89E8C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60FBF5E9" w14:textId="77777777" w:rsidR="00C04AE1" w:rsidRPr="007224C3" w:rsidRDefault="00C04AE1" w:rsidP="007224C3">
      <w:pPr>
        <w:spacing w:after="0" w:line="240" w:lineRule="auto"/>
        <w:jc w:val="both"/>
        <w:rPr>
          <w:rFonts w:ascii="Times New Roman" w:hAnsi="Times New Roman"/>
          <w:color w:val="0070C0"/>
          <w:sz w:val="16"/>
          <w:szCs w:val="16"/>
          <w:lang w:eastAsia="ru-RU" w:bidi="ru-RU"/>
        </w:rPr>
      </w:pPr>
      <w:r w:rsidRPr="007224C3">
        <w:rPr>
          <w:rFonts w:ascii="Times New Roman" w:hAnsi="Times New Roman"/>
          <w:color w:val="0070C0"/>
          <w:sz w:val="16"/>
          <w:szCs w:val="16"/>
          <w:lang w:eastAsia="ru-RU" w:bidi="ru-RU"/>
        </w:rPr>
        <w:t>В январе 1944 г. из цехов стали вы</w:t>
      </w:r>
      <w:r w:rsidRPr="007224C3">
        <w:rPr>
          <w:rFonts w:ascii="Times New Roman" w:hAnsi="Times New Roman"/>
          <w:color w:val="0070C0"/>
          <w:sz w:val="16"/>
          <w:szCs w:val="16"/>
          <w:lang w:eastAsia="ru-RU" w:bidi="ru-RU"/>
        </w:rPr>
        <w:softHyphen/>
        <w:t>ходить первые Ту-2, полностью сделан</w:t>
      </w:r>
      <w:r w:rsidRPr="007224C3">
        <w:rPr>
          <w:rFonts w:ascii="Times New Roman" w:hAnsi="Times New Roman"/>
          <w:color w:val="0070C0"/>
          <w:sz w:val="16"/>
          <w:szCs w:val="16"/>
          <w:lang w:eastAsia="ru-RU" w:bidi="ru-RU"/>
        </w:rPr>
        <w:softHyphen/>
        <w:t>ные в Москве на заводе № 23. Производство постепенно налаживалось. В июле первый раз уда</w:t>
      </w:r>
      <w:r w:rsidRPr="007224C3">
        <w:rPr>
          <w:rFonts w:ascii="Times New Roman" w:hAnsi="Times New Roman"/>
          <w:color w:val="0070C0"/>
          <w:sz w:val="16"/>
          <w:szCs w:val="16"/>
          <w:lang w:eastAsia="ru-RU" w:bidi="ru-RU"/>
        </w:rPr>
        <w:softHyphen/>
        <w:t>лось выполнить месячный план, в августе его перевыполнили. Далее процесс шел по нарастающей; в декабре завод сдал 52 самолета - 173% плана. Это, правда, не спасло от упреков из наркомата за срыв годового плана (вместо 453 ма</w:t>
      </w:r>
      <w:r w:rsidRPr="007224C3">
        <w:rPr>
          <w:rFonts w:ascii="Times New Roman" w:hAnsi="Times New Roman"/>
          <w:color w:val="0070C0"/>
          <w:sz w:val="16"/>
          <w:szCs w:val="16"/>
          <w:lang w:eastAsia="ru-RU" w:bidi="ru-RU"/>
        </w:rPr>
        <w:softHyphen/>
        <w:t>шин сделали 378, а сдали 360). По-прежнему шло много брака, но на</w:t>
      </w:r>
      <w:r w:rsidRPr="007224C3">
        <w:rPr>
          <w:rFonts w:ascii="Times New Roman" w:hAnsi="Times New Roman"/>
          <w:color w:val="0070C0"/>
          <w:sz w:val="16"/>
          <w:szCs w:val="16"/>
          <w:lang w:eastAsia="ru-RU" w:bidi="ru-RU"/>
        </w:rPr>
        <w:softHyphen/>
        <w:t>иболее серьезные недостатки постепенно исправлялись (21060).</w:t>
      </w:r>
    </w:p>
    <w:p w14:paraId="3D15E51B" w14:textId="77777777" w:rsidR="00C04AE1" w:rsidRPr="007224C3" w:rsidRDefault="00C04AE1" w:rsidP="007224C3">
      <w:pPr>
        <w:spacing w:after="0" w:line="240" w:lineRule="auto"/>
        <w:jc w:val="both"/>
        <w:rPr>
          <w:rFonts w:ascii="Times New Roman" w:hAnsi="Times New Roman"/>
          <w:color w:val="0070C0"/>
          <w:sz w:val="16"/>
          <w:szCs w:val="16"/>
          <w:lang w:eastAsia="ru-RU" w:bidi="ru-RU"/>
        </w:rPr>
      </w:pPr>
    </w:p>
    <w:p w14:paraId="57B47B3A" w14:textId="77777777" w:rsidR="003C231F" w:rsidRPr="007224C3" w:rsidRDefault="003C231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января 1944 г. начали выпускаться бомбардировщики Ту-2С и весной того же года появились на фронте. До конца 1945 гг. было построено 1163 бомбардировщика Ту-2, 20 разведчиков Ту-2Р и 33 самолета Ту-2У, серийное производство продолжалось до 1952 г. (19727).</w:t>
      </w:r>
    </w:p>
    <w:p w14:paraId="41E844D9" w14:textId="77777777" w:rsidR="003C231F" w:rsidRPr="007224C3" w:rsidRDefault="003C231F" w:rsidP="007224C3">
      <w:pPr>
        <w:spacing w:after="0" w:line="240" w:lineRule="auto"/>
        <w:jc w:val="both"/>
        <w:rPr>
          <w:rFonts w:ascii="Times New Roman" w:hAnsi="Times New Roman"/>
          <w:color w:val="000000" w:themeColor="text1"/>
          <w:sz w:val="16"/>
          <w:szCs w:val="16"/>
        </w:rPr>
      </w:pPr>
    </w:p>
    <w:p w14:paraId="06A61E7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В январе 1944 первый иркутский Ер-2/АЧ-30Б был сдан по сборке и поднялся в воздух 15 февраля 1944 г. Испытания новой машины проводили заводские летчики-испытатели Н.С. Бушкевич, А.А. Холодов, П.И. Тихонов, В.М. Токарев. Самолет принимала государственная комиссия во главе с летчиком-испытателем ПИИ ВВС Кокориным, который отметил в своем рапорте, что руководство и коллектив завода с заданием ГКО справились и головная машина показала удовлетворительные результаты по летным и боевым качествам, а также по прочности конструкции.</w:t>
      </w:r>
    </w:p>
    <w:p w14:paraId="2DEA6DD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построили десять Ер-2 и 20 Ил-4, в марте - восемнадцать Ер-2 и пятнадцать Ил-4. В июле 1944 г. было построено тридцать Ер-2 параллельно с последними десятью Ил-4.</w:t>
      </w:r>
    </w:p>
    <w:p w14:paraId="158522C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сравнению со своим предшественником, дизельный образец Ер-2 внешне отличался более вытянутыми обводами фюзеляжа, роговой компенсацией рулей поворота, большими колесами, несколько измененной конструкцией жалюзей тоннельных радиаторов и, соответственно, крыла (на носках консолей появились характерные "стаканчики").</w:t>
      </w:r>
    </w:p>
    <w:p w14:paraId="2F9328C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Иркутский вариант Ер-2 имел увеличенную взлетную массу и площадь крыла, усиленное оборонительное вооружение, состоявшее из двух крупнокалиберных пулеметов УБТ и УБК, а также пушки ШВАК на ту- рельной установке ТУМ-5. Максимальная бомбовая нагрузка возросла до 5000 кг, сделав Ер-2 самым мощным двухмоторным бомбардировщиком отечественной постройки.</w:t>
      </w:r>
    </w:p>
    <w:p w14:paraId="3B90D60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Строившиеся серийные самолеты отнюдь не были "близнецами" и между собой. Так длительная и сложная технология изготовления эллипсовидной носовой части и, соответственно, жесткие требования к сборочной оснастке и геометрическим контурам, побудили конструкторов изменить обводы штурманской кабины.</w:t>
      </w:r>
    </w:p>
    <w:p w14:paraId="3E70968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Был разработан вариант "со спрямленным носом", позволявший, в частности, упростить и ускорить изготовление остекления. Аэродинамика при этом не ухудшилась. Комплект упрощенных стапелей запустили в производство параллельно с уже использующейся старой оснасткой. Самолет, в зависимости от того, на какую линию сборки он попадал, мог получить разные носовые части. Таким образом, различия в иркутских машинах, которые можно видеть на сохранившихся фотоснимках, объясняются этой причиной, а не временем выпуска и серией машины. Например, уже среди первых 22 иркутских Ер-2 с симметричной кабиной пилота, часть самолетов имела новую носовую часть.</w:t>
      </w:r>
    </w:p>
    <w:p w14:paraId="004C734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Поскольку еще в начале войны опыт использования самолетов ДБ-3, Ил-4 и Ер-2 в составе АДД выявил необходимость иметь в составе экипажа дальнего бомбардировщика второго летчика, возобновление производства Ер-2 дало благоприятную возможность реализовать это требование. Ранее были разработаны два варианта двухместной кабины: в первом - летчики сидели друг за другом по схеме "таtщем ", под доработа11 - ным ассиметричным фонарем, во втором - их кресла стояли рядом, боковое обзорное остекление правого борта устранялось и самолет оснащался классическим фонарем (этот вариант В.Г. Ермолаев и утвердил 18 ноября 1943 г.).</w:t>
      </w:r>
    </w:p>
    <w:p w14:paraId="0FEFD67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Варианты самолета имели, соответственно, наименования Ер-1 и Ер-2, что вносило путаницу в директивную конструкторско-тех- нологическую документацию. В производстве еще находился исходный "одноместный" бомбардировщик Ер-2, а службам подготовки уже стала поступать документация на "двухместный" Ер-1, потом на "двухместный" Ер-2!</w:t>
      </w:r>
    </w:p>
    <w:p w14:paraId="7F0290D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Когда же дошла директива "о приостановке работ над самолетом "Ер-1", руководство завода, для наведения ясности "в обозначении производимых изделий", временно ввело для "внутреннего пользования" свои индексы. Исходный "одноместный" бомбардировщик с асимметричной кабиной именовался Ер-2/1, новый, "двухместный" - Ер-2/2. Позже, когда в производстве остался только самолет с двумя летчиками, надобность в этих индексах отпала и вернулись к первоначальному обозначению Ер-2.</w:t>
      </w:r>
    </w:p>
    <w:p w14:paraId="207C07A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Бомбардировщик нравился строевым летчикам за его удобную кабину с отличным обзором, хорошую устойчивость и легкость в управлении, высокую живучесть, значительно возросшие возможности стрелкового и бомбового вооружения. Иркутские "Ермошки" интенсивно использовались на северо-западном и прибалтийском направлениях. В частности, своими крупнокалиберными бомбами они внесли существенный вклад в успех штурма Кенигсберга.</w:t>
      </w:r>
    </w:p>
    <w:p w14:paraId="513EFC9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Дизельные двигатели АЧ-ЗОБ, официально считавшимися вполне надежными для серии, не переставали подбрасывать проблемы. Выходила из строя масляная система, прогорали поршневые кольца и т.п. Но зачастую причинами отказов были отнюдь не конструктивные дефекты. Для многих двигателей использовался металл, содержащий некачественные заменители дефицитных легирующих добавок, доставлявшихся из-за рубежа. "Эрзац" не выдерживал иногда даже штатной "напряженной" работы, не говоря уже о форсированных режимах... Это явилось причиной некоторых аварий на перегонах Ер-2 в строевые части, а также ряда вынужденных посадок на заводских испытаниях.</w:t>
      </w:r>
    </w:p>
    <w:p w14:paraId="786C318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Например, на опытной машине, оснащенной флюгерными винтами, предполагалось проверить их работу при отключаемых двигателях. Новый вариант Ер-2 испытывал экипаж завода № 39 - летчик И.П. Яшин, контрольный бортмеханик П.Ф. Крейсик и бортрадист В.И. Кишкин. В воздухе левый дизель "решил играть честно" - масляная система вышла из строя и флюгировать винт пришлось в реальной аварийной ситуации. С одним работающим двигателем возникла резкая тряска и экипажу была дана команда покинуть самолет, но Яшин и Крейсик, предупредив радиста, дотянули все-таки до заводского аэродрома (12037).</w:t>
      </w:r>
    </w:p>
    <w:p w14:paraId="69B4BC4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55A76DC5" w14:textId="77777777" w:rsidR="00D86EA0" w:rsidRPr="007224C3" w:rsidRDefault="00D86EA0" w:rsidP="007224C3">
      <w:pPr>
        <w:shd w:val="clear" w:color="auto" w:fill="FFFFFF"/>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январе 1944 года головной бомбардировщик Ер-2 № 7013901 иркутской серии с двумя дизелями М-30Б вышел на заводские испытания. От самолетов воронежской серии Ер-2 с двигателями М-105, иркутская машина имела существенные отличия. Для размещения второго пилота рядом с первым, кабина летчиков была расширена. Возросли площади крыла, вертикального и горизонтального оперения. Дизельные двигатели для обеспечения центровки были вынесены вперед на 145 мм. На них установили винты ВИШ-24. Изменилась форма мотогондол. Значительно улучшилось оборонительное вооружение. Носовую стрелковую установку Торопова под пулемет Березина с ленточным питанием заменили на установку НУ-134 под пулемет Березина с магазинным питанием. Вместо верхней оборонительной турели ТУМ-2 установили сначала турель ТУМ-5, а затем модифицированную ТУМ-5М с электроприводом по горизонту и пушкой ШВАК. В люковой установке вместо пулемета БТ с ручной перезарядкой появился УБК с пневматической перезарядкой. Усовершенствовали и бомбардировочное вооружение. Вместо одного прицела ПС-1 поставили два, из них ОПБ-1 для дневного и НКПБ-7 - для ночного бомбометания. Была увеличена емкость топливных баков до 6420 литров и внедрена система их заполнения нейтральным газом. Бронирование самолета было также усилено. Кресла пилотов оборудовали бронеспинкой толщиной 12 мм. и заголовником толщиной 15 мм. На дверь стрелка установили броню толщиной 12 мм. В связи с возросшим взлетным весом, машину оснастили новыми пневматиками размером 1325 х 485 мм. для основных стоек и 700 х 300 – для костыльной установки.</w:t>
      </w:r>
    </w:p>
    <w:p w14:paraId="132AFC14" w14:textId="77777777" w:rsidR="00D86EA0" w:rsidRPr="007224C3" w:rsidRDefault="00D86EA0" w:rsidP="007224C3">
      <w:pPr>
        <w:shd w:val="clear" w:color="auto" w:fill="FFFFFF"/>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Наземную отработку машины осуществляла бригада в составе ведущего инженера по испытаниям Н.М. Кокорина, начальника ЛЭГа В.Х. Отченашенко, зам. начальника ОТК Л.М. Малышева, контрольного бортмеханика Л.М. Лосева, бортмеханика Д.И. Кирюхина с привлечением специалистов по электрорадиоприборному оборудованию и вооружению. 15-го февраля головной Ер-2 летчиками завода № 39 был поднят в воздух. В экипаж входил первый летчик Н.С. Бушкевич, второй летчик А.А. Холодов, штурман В.В. Цветков, стрелок-радист В.В. Селиверстов. Заводские испытания, в которых принимала участие бригада ОКБ, руководимая главным конструктором В.Г. Ермолаевым, завершились с удовлетворительным результатом.</w:t>
      </w:r>
    </w:p>
    <w:p w14:paraId="7315591D" w14:textId="77777777" w:rsidR="00D86EA0" w:rsidRPr="007224C3" w:rsidRDefault="00D86EA0" w:rsidP="007224C3">
      <w:pPr>
        <w:shd w:val="clear" w:color="auto" w:fill="FFFFFF"/>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Государственные испытания головной машины также начались в Иркутске. В них принимал участие экипаж в составе летчика-испытателя ОКБ В.В. Лисицина, летчика-испытателя завода Н.С. Бушкевича, штурмана И.С. Литвинчука, стрелка-радиста П.К. Шмелева. В испытательной зоне завода было выполнено 10 полетов. В начале апреля 1944 года был совершен перелет Иркутск – Москва (Чкаловская) с промежуточными посадками в Красноярске, Новосибирске, Омске, Свердловске. Из-за многочисленных дефектов испытания проходили тяжело и шесть раз прерывались для доработки самолетных систем и двигателей. Устранение возникающих отказов проводила бригада бортмеханика Д.И. Кирюхина, представителей моторостроительного завода № 500, которые сопровождали дальний перелет Ер-2 на транспортном самолете Ли-2. Испытания Ер-2 № 7013901, продолженные в НИИ ВВС, также проходили нелегко. За время испытаний было совершено 66 вылетов, 15 из которых прекращались из-за отказов материальной части. В Акте по результатам Государственных испытаний отмечалось, что головной серийный модифицированный самолет Ер-2 № 7013901 испытания не выдержал из-за «наличия большого количества производственных дефектов на моторах АЧ-30Б, резкого ухудшения взлетных качеств, неудовлетворительной работы бомбардировочного вооружения, плохого производственного выполнения планера самолета и его агрегатов, невозможности выполнения горизонтального полета на одном работающем моторе с полетным весом 14850 кг».</w:t>
      </w:r>
    </w:p>
    <w:p w14:paraId="1508A32D" w14:textId="77777777" w:rsidR="00D86EA0" w:rsidRPr="007224C3" w:rsidRDefault="00D86EA0" w:rsidP="007224C3">
      <w:pPr>
        <w:shd w:val="clear" w:color="auto" w:fill="FFFFFF"/>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числу наиболее серьезных претензий к дизельному двигателю АЧ-30Б военные относили «…зависание плунжера топливного насоса, разрушение труб турбокомпрессора, течь воды и масла». Хватало дефектов и по планеру. Изогнутое остекление фонаря кабины пилотов вносило сильные искажения и затрудняло выполнение взлета и посадки, отказывали системы выпуска и уборки шасси, донимали течи гидросистемы. Однако основными недостатками бомбардировщика считались большая длина разбега и малая скороподъемность, затрудняющие выполнение взлета, а также неспособность его лететь без снижения на одном двигателе.</w:t>
      </w:r>
    </w:p>
    <w:p w14:paraId="0768AFB8" w14:textId="77777777" w:rsidR="00D86EA0" w:rsidRPr="007224C3" w:rsidRDefault="00D86EA0" w:rsidP="007224C3">
      <w:pPr>
        <w:shd w:val="clear" w:color="auto" w:fill="FFFFFF"/>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Ознакомившись с актом Государственных испытаний, Нарком авиационной промышленности А.И. Шахурин приказывает главному конструктору А.Д. Чаромскому и директору завода № 500 Петрову, директору завода № 39 В.И. Абрамову и главному конструктору Ер-2 В.Г. Ермолаеву немедленно устранить все выявленные дефекты по двигателю и планеру. Для принятия решения по дизельным двигателям на месте, в Иркутск прибыли представители наркомата авиапромышленности, Военно-Воздушных сил и моторостроительного завода № 500. Двигатели были признаны непригодными к эксплуатации и подлежали замене на кондиционные улучшенной конструкции. После доработки дефектных АЧ-30Б выездной бригадой завода № 500, серийное производство бомбардировщиков было продолжено. В 1944 году, наряду с продолжающимся выпуском Ил-4, заводу № 39 предстояло построить 225 новых бомбардировщиков Ер-2 (15223).</w:t>
      </w:r>
    </w:p>
    <w:p w14:paraId="5629EC6D" w14:textId="77777777" w:rsidR="00D86EA0" w:rsidRPr="007224C3" w:rsidRDefault="00D86EA0" w:rsidP="007224C3">
      <w:pPr>
        <w:shd w:val="clear" w:color="auto" w:fill="FFFFFF"/>
        <w:spacing w:after="0" w:line="240" w:lineRule="auto"/>
        <w:jc w:val="both"/>
        <w:rPr>
          <w:rFonts w:ascii="Times New Roman" w:hAnsi="Times New Roman"/>
          <w:color w:val="000000" w:themeColor="text1"/>
          <w:sz w:val="16"/>
          <w:szCs w:val="16"/>
        </w:rPr>
      </w:pPr>
    </w:p>
    <w:p w14:paraId="215FEF7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январе 1944 обсуждался вопрос о пассажирском экспрессе на 10-12 пассажиров, способным покрыть 5 тыс. км без посадки. Хотели приспособить Ер-2 и некоторые другие, а С.В.И. предложил Ил-12 с дизелями, который уже строился и Ер-2 переделывать не стали (85,86).</w:t>
      </w:r>
    </w:p>
    <w:p w14:paraId="7873325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606DE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В январе 1944 г. эскизный проект У-2ШС подготовили и представили для рассмотрения. Указывалось, что данный многоме</w:t>
      </w:r>
      <w:r w:rsidRPr="007224C3">
        <w:rPr>
          <w:rFonts w:ascii="Times New Roman" w:hAnsi="Times New Roman"/>
          <w:color w:val="000000" w:themeColor="text1"/>
          <w:sz w:val="16"/>
          <w:szCs w:val="16"/>
        </w:rPr>
        <w:softHyphen/>
        <w:t>стный штабной самолет имеет расширен</w:t>
      </w:r>
      <w:r w:rsidRPr="007224C3">
        <w:rPr>
          <w:rFonts w:ascii="Times New Roman" w:hAnsi="Times New Roman"/>
          <w:color w:val="000000" w:themeColor="text1"/>
          <w:sz w:val="16"/>
          <w:szCs w:val="16"/>
        </w:rPr>
        <w:softHyphen/>
        <w:t>ный на 400 мм фюзеляж с закрытой каби</w:t>
      </w:r>
      <w:r w:rsidRPr="007224C3">
        <w:rPr>
          <w:rFonts w:ascii="Times New Roman" w:hAnsi="Times New Roman"/>
          <w:color w:val="000000" w:themeColor="text1"/>
          <w:sz w:val="16"/>
          <w:szCs w:val="16"/>
        </w:rPr>
        <w:softHyphen/>
        <w:t>ной, позволяющий перевозить с комфортом четырех пассажиров, или трех раненых (два в лежачем положении), или груз большого объема весом до 350 кг (например, двига</w:t>
      </w:r>
      <w:r w:rsidRPr="007224C3">
        <w:rPr>
          <w:rFonts w:ascii="Times New Roman" w:hAnsi="Times New Roman"/>
          <w:color w:val="000000" w:themeColor="text1"/>
          <w:sz w:val="16"/>
          <w:szCs w:val="16"/>
        </w:rPr>
        <w:softHyphen/>
        <w:t>тель). Верхнее крыло для сохранения нор</w:t>
      </w:r>
      <w:r w:rsidRPr="007224C3">
        <w:rPr>
          <w:rFonts w:ascii="Times New Roman" w:hAnsi="Times New Roman"/>
          <w:color w:val="000000" w:themeColor="text1"/>
          <w:sz w:val="16"/>
          <w:szCs w:val="16"/>
        </w:rPr>
        <w:softHyphen/>
        <w:t>мальной полетной центровки сдвигалось назад на 200 мм. Двигатель М-11Ф имел хо</w:t>
      </w:r>
      <w:r w:rsidRPr="007224C3">
        <w:rPr>
          <w:rFonts w:ascii="Times New Roman" w:hAnsi="Times New Roman"/>
          <w:color w:val="000000" w:themeColor="text1"/>
          <w:sz w:val="16"/>
          <w:szCs w:val="16"/>
        </w:rPr>
        <w:softHyphen/>
        <w:t>рошее капотирование, на рулях высоты и элеронах устанавливалась аэродинамиче</w:t>
      </w:r>
      <w:r w:rsidRPr="007224C3">
        <w:rPr>
          <w:rFonts w:ascii="Times New Roman" w:hAnsi="Times New Roman"/>
          <w:color w:val="000000" w:themeColor="text1"/>
          <w:sz w:val="16"/>
          <w:szCs w:val="16"/>
        </w:rPr>
        <w:softHyphen/>
        <w:t>ская компенсация. Строить самолет пред</w:t>
      </w:r>
      <w:r w:rsidRPr="007224C3">
        <w:rPr>
          <w:rFonts w:ascii="Times New Roman" w:hAnsi="Times New Roman"/>
          <w:color w:val="000000" w:themeColor="text1"/>
          <w:sz w:val="16"/>
          <w:szCs w:val="16"/>
        </w:rPr>
        <w:softHyphen/>
        <w:t>полагалось при полном сохранении серий</w:t>
      </w:r>
      <w:r w:rsidRPr="007224C3">
        <w:rPr>
          <w:rFonts w:ascii="Times New Roman" w:hAnsi="Times New Roman"/>
          <w:color w:val="000000" w:themeColor="text1"/>
          <w:sz w:val="16"/>
          <w:szCs w:val="16"/>
        </w:rPr>
        <w:softHyphen/>
        <w:t>ной технологической оснастки. По сравне</w:t>
      </w:r>
      <w:r w:rsidRPr="007224C3">
        <w:rPr>
          <w:rFonts w:ascii="Times New Roman" w:hAnsi="Times New Roman"/>
          <w:color w:val="000000" w:themeColor="text1"/>
          <w:sz w:val="16"/>
          <w:szCs w:val="16"/>
        </w:rPr>
        <w:softHyphen/>
        <w:t>нию с базовым экземпляром трудоемкость изготовления «штабного лимузина» увели</w:t>
      </w:r>
      <w:r w:rsidRPr="007224C3">
        <w:rPr>
          <w:rFonts w:ascii="Times New Roman" w:hAnsi="Times New Roman"/>
          <w:color w:val="000000" w:themeColor="text1"/>
          <w:sz w:val="16"/>
          <w:szCs w:val="16"/>
        </w:rPr>
        <w:softHyphen/>
        <w:t>чивалась всего на 138 часов или на 4,6% (11085).</w:t>
      </w:r>
    </w:p>
    <w:p w14:paraId="6C653FC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4DE303" w14:textId="77777777" w:rsidR="003C231F" w:rsidRPr="007224C3" w:rsidRDefault="003C231F" w:rsidP="007224C3">
      <w:pPr>
        <w:pStyle w:val="ae"/>
        <w:shd w:val="clear" w:color="auto" w:fill="FFFFFF"/>
        <w:spacing w:before="0" w:after="0"/>
        <w:jc w:val="both"/>
        <w:rPr>
          <w:color w:val="000000" w:themeColor="text1"/>
          <w:sz w:val="16"/>
          <w:szCs w:val="16"/>
        </w:rPr>
      </w:pPr>
      <w:r w:rsidRPr="007224C3">
        <w:rPr>
          <w:color w:val="000000" w:themeColor="text1"/>
          <w:sz w:val="16"/>
          <w:szCs w:val="16"/>
        </w:rPr>
        <w:t>В январе 1944 г. в ОКБ П.О. Сухого по своей инициативе приступили к эскизному про ектированию одноместного истребителя с комбинированной си ловой установкой конструкции А.А. Фадеева и К.В. Холщев никова.</w:t>
      </w:r>
    </w:p>
    <w:p w14:paraId="5E0A927A" w14:textId="77777777" w:rsidR="003C231F" w:rsidRPr="007224C3" w:rsidRDefault="003C231F" w:rsidP="007224C3">
      <w:pPr>
        <w:pStyle w:val="ae"/>
        <w:shd w:val="clear" w:color="auto" w:fill="FFFFFF"/>
        <w:spacing w:before="0" w:after="0"/>
        <w:jc w:val="both"/>
        <w:rPr>
          <w:color w:val="000000" w:themeColor="text1"/>
          <w:sz w:val="16"/>
          <w:szCs w:val="16"/>
        </w:rPr>
      </w:pPr>
      <w:r w:rsidRPr="007224C3">
        <w:rPr>
          <w:color w:val="000000" w:themeColor="text1"/>
          <w:sz w:val="16"/>
          <w:szCs w:val="16"/>
        </w:rPr>
        <w:t>К середине февраля был готов 1-й вариант проекта. Само лет по схеме представлял собой свободнонесущий моноплан, цельнометаллической конструкции с однокилевым хвостовым оперением и убирающимся в полете шасси.</w:t>
      </w:r>
    </w:p>
    <w:p w14:paraId="56A2287D" w14:textId="77777777" w:rsidR="003C231F" w:rsidRPr="007224C3" w:rsidRDefault="003C231F" w:rsidP="007224C3">
      <w:pPr>
        <w:pStyle w:val="ae"/>
        <w:shd w:val="clear" w:color="auto" w:fill="FFFFFF"/>
        <w:spacing w:before="0" w:after="0"/>
        <w:jc w:val="both"/>
        <w:rPr>
          <w:color w:val="000000" w:themeColor="text1"/>
          <w:sz w:val="16"/>
          <w:szCs w:val="16"/>
        </w:rPr>
      </w:pPr>
      <w:r w:rsidRPr="007224C3">
        <w:rPr>
          <w:color w:val="000000" w:themeColor="text1"/>
          <w:sz w:val="16"/>
          <w:szCs w:val="16"/>
        </w:rPr>
        <w:t>КДУ состояла из основного поршневого двигателя М-107А конструкции ОКБ В.Я. Климова с воздушным вин том и дополнительного ВРДК, выполнявшего функцию уско рителя. Компрессор приводился во вращение двигателем М-107А при помощи двух валов и промежуточного редукто ра. Забор воздуха для ВРДК осуществлялся двумя воздухо заборниками, расположенными в носках центроплана кры ла. Воздушные каналы пролегали внутри центроплана, за тем входили в фюзеляж и объединялись в один общий канал, который подводил воздух к осевому одноступенчатому комп рессору, затем сжатый воздух поступал к передней части ка меры сгорания с установленными в ней форсунками. Задняя часть камеры сгорания переходила в нерегулируемое реак тивное сопло (19586).</w:t>
      </w:r>
    </w:p>
    <w:p w14:paraId="25F82FE9" w14:textId="77777777" w:rsidR="003C231F" w:rsidRPr="007224C3" w:rsidRDefault="003C231F" w:rsidP="007224C3">
      <w:pPr>
        <w:pStyle w:val="ae"/>
        <w:shd w:val="clear" w:color="auto" w:fill="FFFFFF"/>
        <w:spacing w:before="0" w:after="0"/>
        <w:jc w:val="both"/>
        <w:rPr>
          <w:color w:val="000000" w:themeColor="text1"/>
          <w:sz w:val="16"/>
          <w:szCs w:val="16"/>
        </w:rPr>
      </w:pPr>
    </w:p>
    <w:p w14:paraId="3D52B1B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январе 1944 в НИИ ВВС М.Л.Галлай, А.Н.Гринчик и В.Л.Расторгуев в ЛИИ испытывался плененный 12 июля 1943 у Невеля Fw 190F-4 - черная шестерка, N 142362 (2466,77).</w:t>
      </w:r>
    </w:p>
    <w:p w14:paraId="2878C2E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D9D05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январе 1944 г. проходил испытания - М-88Ф-НВ, опытный образец с непосредственным впрыском топлива (11852).</w:t>
      </w:r>
    </w:p>
    <w:p w14:paraId="2E1A6AD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811CF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января 1944 года вновь организованный завод № 489 в Днепропетровске не имел профиля и делал различные работы и только 25 августа приказом НКАП за № 529с заводу был указан профиль и установлена номенклатура выпускаемых изделий: автоматы переключения скоростей нагнетателя 8-67 и гидравлических агрегатов объединенного управления винтов и газом, ВГЦИАМ-1744 для авиамоторов АН-38Ф и АШ-42. В 1946 году окончательно был установлен профиль завода как завода агрегатостроения. Директор – В. Еременко. Производственный профиль – агрегатный (9857).</w:t>
      </w:r>
    </w:p>
    <w:p w14:paraId="6240C9F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90858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январе 1944 г. пришла директива - приказ Наркома авиапромышленности, согласно которому винтовое ОКБ №35, совместно с винтовым ОКБ московского завода №28 и регуляторным ОКБ химкинского завода №132 возвращались из эвакуации на промышленные площади бывшего винтового производства авиакомбината №150 в г. Ступино. На базе этих ОКБ был создан опытный винтовой завод под № 25. Директором завода был назначен М.С. Бондалетов, Главным конструктором К.И.Жданов, Главным инженером Д.М.Дубровский. Предстоял новый этап жизни и плодотворной работы, поскольку теперь винтовики и регуляторщики были объединены в единый творческий коллектив, что позволило теперь осуществлять проектирование на предприятии регуляторов постоянных оборотов для совместной работы с автоматическими воздушными винтами отечественной конструкции. В апреле 1945 г. опытный завод №25 был реорганизован в ОКБ авиакомбината №150 с целью укрепления материальной базы, использования жилого фонда и производственных мощностей более экономически сильного предприятия (11415).</w:t>
      </w:r>
    </w:p>
    <w:p w14:paraId="455EAD5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5C2C7F4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январе 1944 г. ОКБ тогда уже завода № 35 вместе с винтовым ОКБ завода № 28 и регуляторным ОКБ-132 возвращаются в Ступино на территорию винтового производства авиакомбината № 150 и образуют опытный винтостроительный завод № 25. Директором назначается М.С. Бондалетов, гл. инженером- Д.М. Дубровский. Гл. конструктором остается Жданов.</w:t>
      </w:r>
    </w:p>
    <w:p w14:paraId="321C9C9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приказу № 161с от 20.04.1945 г. завод № 25 реорганизуется в ОКБ комбината № 150.</w:t>
      </w:r>
    </w:p>
    <w:p w14:paraId="0EB1259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приказу № 155с от 25.03.1946 г. ОКБ-150 снова преобразуется в самостоятельный опытный завод № 120. Директором- гл. конструктором назначен Жданов, гл. инженером- Б.А. Пережогин.</w:t>
      </w:r>
    </w:p>
    <w:p w14:paraId="3CFC545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Приказом МАП № 417 от 17.06.1948 г. на базе опытного завода № 120 образованы два самостоятельных предприятия: серийный завод № 120 и ОКБ-120 (11982).</w:t>
      </w:r>
    </w:p>
    <w:p w14:paraId="373D88AB" w14:textId="77777777" w:rsidR="00D86EA0" w:rsidRPr="007224C3" w:rsidRDefault="00D86EA0" w:rsidP="007224C3">
      <w:pPr>
        <w:autoSpaceDE w:val="0"/>
        <w:autoSpaceDN w:val="0"/>
        <w:adjustRightInd w:val="0"/>
        <w:spacing w:after="0" w:line="240" w:lineRule="auto"/>
        <w:jc w:val="both"/>
        <w:rPr>
          <w:rFonts w:ascii="Times New Roman" w:hAnsi="Times New Roman"/>
          <w:color w:val="000000" w:themeColor="text1"/>
          <w:sz w:val="16"/>
          <w:szCs w:val="16"/>
        </w:rPr>
      </w:pPr>
    </w:p>
    <w:p w14:paraId="4EB0DEE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январе 1944 г. для ОКБ Незваля выделили 4 млн. рублей, а также два легковых и два грузовых авто в придачу к 1000 кв. метров жилья в Ленинском районе (12049).</w:t>
      </w:r>
    </w:p>
    <w:p w14:paraId="7263915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70CB9F8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январе 1944 г. ФАБ-100сл чертежа 3-01318 приняли на вооружение с индексом 7-Ф-295. Однако из-за отсутствия производственных мощностей по выплавке сталей с конкретными характеристиками и высококачественного литейного производства до конца войны ее изготовление так и не началось. Таким образом, из всего многообразия проектов ФАБ-100 с литыми из стали корпусами, принятых на вооружение ВВС, реально в строевые части поступали только ФАБ-100сл чертежа 3-01281 из двух продольных половин и ФАБ-100сл конструкции ГСКБ-47 чертежа 3-01318 (7453).</w:t>
      </w:r>
    </w:p>
    <w:p w14:paraId="4EB2FD1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A4447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январе 1944 г. в КБ завода №289 в инициативном порядке при</w:t>
      </w:r>
      <w:r w:rsidRPr="007224C3">
        <w:rPr>
          <w:rFonts w:ascii="Times New Roman" w:hAnsi="Times New Roman"/>
          <w:color w:val="000000" w:themeColor="text1"/>
          <w:sz w:val="16"/>
          <w:szCs w:val="16"/>
        </w:rPr>
        <w:softHyphen/>
        <w:t>ступили к эскизному проектированию одноместного истребителя с комбини</w:t>
      </w:r>
      <w:r w:rsidRPr="007224C3">
        <w:rPr>
          <w:rFonts w:ascii="Times New Roman" w:hAnsi="Times New Roman"/>
          <w:color w:val="000000" w:themeColor="text1"/>
          <w:sz w:val="16"/>
          <w:szCs w:val="16"/>
        </w:rPr>
        <w:softHyphen/>
        <w:t>рованной силовой установкой конст</w:t>
      </w:r>
      <w:r w:rsidRPr="007224C3">
        <w:rPr>
          <w:rFonts w:ascii="Times New Roman" w:hAnsi="Times New Roman"/>
          <w:color w:val="000000" w:themeColor="text1"/>
          <w:sz w:val="16"/>
          <w:szCs w:val="16"/>
        </w:rPr>
        <w:softHyphen/>
        <w:t>рукции А.А.Фадеева и К.В.Холщевникова (10669).</w:t>
      </w:r>
    </w:p>
    <w:p w14:paraId="0FE3F67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729CD4"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42F73EF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23679C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январе 1944 года завод N8 изготовил опытный образец 25-мм одноствольной автоматической АУ, получивший индекс 84-КМ (3861).</w:t>
      </w:r>
    </w:p>
    <w:p w14:paraId="1EEB3D3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97F9A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январе 1944 года ГАУ выдало новые тактико-технические требования на разработку 240-мм миномета усиления (3861).</w:t>
      </w:r>
    </w:p>
    <w:p w14:paraId="7E50C4D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9B87A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январе 1944 года во время прорыва блокады Ленинграда по врагу было выпущено 33 снаряда из пушки Б-37 406/50-мм, предназначавшейся для вооружения линкора типа "Советский Союз" (проект 23) и смонтированной на полигонной установке МП-10. Один из снарядов попал в здание электростанции №8, занятое противником. В результате здание было полностью разрушено. Воронка от 406-мм снаряда была диаметром 12 и глубиной 3 метра. Всего за время осады Ленинграда из МП-10 произвели 81 выстрел. Специально для этой установки было возобновлено производство 406-мм снарядов: так, в 1942 году от промышленности было получено 23 снаряда, а в 1943 году 88 снарядов. В послевоенное время МП-10 использовалась для отстрела новых снарядов и качающихся частей. Эта установка и поныне находится на Ржевке (3861).</w:t>
      </w:r>
    </w:p>
    <w:p w14:paraId="18AEEF2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195F8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ян</w:t>
      </w:r>
      <w:r w:rsidRPr="007224C3">
        <w:rPr>
          <w:rFonts w:ascii="Times New Roman" w:hAnsi="Times New Roman"/>
          <w:color w:val="000000" w:themeColor="text1"/>
          <w:sz w:val="16"/>
          <w:szCs w:val="16"/>
        </w:rPr>
        <w:softHyphen/>
        <w:t>варе 1944 г. по результатам испытаний был принят на вооружение прицел ТШ-1 с 4</w:t>
      </w:r>
      <w:r w:rsidRPr="007224C3">
        <w:rPr>
          <w:rFonts w:ascii="Times New Roman" w:hAnsi="Times New Roman"/>
          <w:color w:val="000000" w:themeColor="text1"/>
          <w:sz w:val="16"/>
          <w:szCs w:val="16"/>
          <w:vertAlign w:val="superscript"/>
        </w:rPr>
        <w:t>х</w:t>
      </w:r>
      <w:r w:rsidRPr="007224C3">
        <w:rPr>
          <w:rFonts w:ascii="Times New Roman" w:hAnsi="Times New Roman"/>
          <w:color w:val="000000" w:themeColor="text1"/>
          <w:sz w:val="16"/>
          <w:szCs w:val="16"/>
        </w:rPr>
        <w:t xml:space="preserve"> увеличением и полем зрения 16°. Этот прицел имел оптический шарнир, состоявший из четырех зеркал. Головная часть прицела жестко крепилась на качающей</w:t>
      </w:r>
      <w:r w:rsidRPr="007224C3">
        <w:rPr>
          <w:rFonts w:ascii="Times New Roman" w:hAnsi="Times New Roman"/>
          <w:color w:val="000000" w:themeColor="text1"/>
          <w:sz w:val="16"/>
          <w:szCs w:val="16"/>
        </w:rPr>
        <w:softHyphen/>
        <w:t>ся части пушки, а окулярная часть была неподвижной, что улучшало ус</w:t>
      </w:r>
      <w:r w:rsidRPr="007224C3">
        <w:rPr>
          <w:rFonts w:ascii="Times New Roman" w:hAnsi="Times New Roman"/>
          <w:color w:val="000000" w:themeColor="text1"/>
          <w:sz w:val="16"/>
          <w:szCs w:val="16"/>
        </w:rPr>
        <w:softHyphen/>
        <w:t>ловия работы наводчика. На испытаниях прицел ТШ-1 показал лучшие результаты. Прицел Имел несколько разновидностей. Прицел ТШ-15 устанавливался в танке Т-34-85 (с пушкой Д-5Т-85), прицел ТШ-16 - в танках Т-34-85 и Т-44 (с пушкой ЗИС-С-53), прицел ТШ-17 - в танках ИС-2 и ИС-3 (с пушкой Д-25Т) (10703).</w:t>
      </w:r>
    </w:p>
    <w:p w14:paraId="0A73301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007A41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январе 1944 г. - 1 сентября 1945 г. было организовано серийное производство танка Т-34-85 ("Объект 135") на заводах №№ 183, 112 и 174, а также выпуск танка Т-44 на заводе № 75 (Харьков) и разработан новый среднийо танк "Объект 137" на заводе № 183 (10703).</w:t>
      </w:r>
    </w:p>
    <w:p w14:paraId="402FBF4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C90ED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январе 1944 г. со всей документацией на Т-34-85 Молоштанов и Набутовский прибыли на завод №183 (3905).</w:t>
      </w:r>
    </w:p>
    <w:p w14:paraId="764AF04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F080A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январе 1944 года на заводе № 112 "Красное Сормово" начался cерийный выпуск Т-34/85 образца 1943 года. В этом же месяце артиллерийские КБ совместными усилиями провели модернизацию ЗИС-53. Получившаяся в результате пушка ЗИС-С-53 ("С" - Савин) успешно выдержала все испытания и была рекомендована к серийному производству (3862).</w:t>
      </w:r>
    </w:p>
    <w:p w14:paraId="2C85562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45C4F9" w14:textId="77777777" w:rsidR="00DF6978" w:rsidRPr="007224C3" w:rsidRDefault="00DF6978" w:rsidP="007224C3">
      <w:pPr>
        <w:pStyle w:val="a3"/>
        <w:rPr>
          <w:color w:val="000000" w:themeColor="text1"/>
          <w:lang w:val="ru-RU"/>
        </w:rPr>
      </w:pPr>
      <w:r w:rsidRPr="007224C3">
        <w:rPr>
          <w:color w:val="000000" w:themeColor="text1"/>
          <w:lang w:val="ru-RU"/>
        </w:rPr>
        <w:t>В январе 1944 года производство Т-34-85 раньше всех начал завод № 112. Причём, до апреля 1944 года он выпускал танки с пушкой Д-5Т. Завод № 183 начал производство Т-34-85 15 марта 1944 года, а завод № 174 - в июне 1944 года. Одновременно с введением новой пушки на танки начали устанавливать прицелы нового типа - шарнирные (иногда называемые ломающимися). Преимущество этих прицелов перед применявшимися ранее состояло в том, что при изменении угла возвышения орудия наводчику не нужно было опускать или поднимать голову, так как обращённая к нему часть прицела оставалась неподвижной. Такой прицел значительно облегчал работу наводчика (12290).</w:t>
      </w:r>
    </w:p>
    <w:p w14:paraId="19A2328A" w14:textId="77777777" w:rsidR="00DF6978" w:rsidRPr="007224C3" w:rsidRDefault="00DF6978" w:rsidP="007224C3">
      <w:pPr>
        <w:pStyle w:val="a3"/>
        <w:rPr>
          <w:color w:val="000000" w:themeColor="text1"/>
          <w:lang w:val="ru-RU"/>
        </w:rPr>
      </w:pPr>
    </w:p>
    <w:p w14:paraId="7E79A6CE" w14:textId="77777777" w:rsidR="00DF6978" w:rsidRPr="007224C3" w:rsidRDefault="00DF697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январе 1944 года в Сормово стали собирать танки, оснащенные увеличенной башней с 85-мм орудием Д5-Т. Правда, их выпуск велся недолго - до апреля месяца, после чего в серию запустили Т-34-85 с пушкой ЗИС-С-53 (12217).</w:t>
      </w:r>
    </w:p>
    <w:p w14:paraId="1C012267" w14:textId="77777777" w:rsidR="00DF6978" w:rsidRPr="007224C3" w:rsidRDefault="00DF6978" w:rsidP="007224C3">
      <w:pPr>
        <w:spacing w:after="0" w:line="240" w:lineRule="auto"/>
        <w:jc w:val="both"/>
        <w:rPr>
          <w:rFonts w:ascii="Times New Roman" w:hAnsi="Times New Roman"/>
          <w:color w:val="000000" w:themeColor="text1"/>
          <w:sz w:val="16"/>
          <w:szCs w:val="16"/>
        </w:rPr>
      </w:pPr>
    </w:p>
    <w:p w14:paraId="72917CBE" w14:textId="77777777" w:rsidR="0035263A" w:rsidRPr="007224C3" w:rsidRDefault="003526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январе 1944 года в пушке С-53 в спешном порядке устраняли недостатки, готовя ее к серийному производству на заводе № 92. Последний внес в ее конструкцию ряд существенных доработок, например, изменил конструкцию противооткатных устройств. В результате, к индексу пушки добавилось и обозначение завода № 92 имени Сталина (ЗИС). Доработанная артсистема после начала ее серийного производства получила обозначение ЗИС-С-53. А 23 января 1944 года постановлением ГКО № 5020сс на вооружение Красной Армии принимается танк Т-34, вооруженный 85-мм пушкой ЗИС-С-53 (12217).</w:t>
      </w:r>
    </w:p>
    <w:p w14:paraId="526B6F1F" w14:textId="77777777" w:rsidR="0035263A" w:rsidRPr="007224C3" w:rsidRDefault="0035263A" w:rsidP="007224C3">
      <w:pPr>
        <w:spacing w:after="0" w:line="240" w:lineRule="auto"/>
        <w:jc w:val="both"/>
        <w:rPr>
          <w:rFonts w:ascii="Times New Roman" w:hAnsi="Times New Roman"/>
          <w:color w:val="000000" w:themeColor="text1"/>
          <w:sz w:val="16"/>
          <w:szCs w:val="16"/>
        </w:rPr>
      </w:pPr>
    </w:p>
    <w:p w14:paraId="7E92D9E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январе 1944 г. прошли испытания прототипа Т-44 и за</w:t>
      </w:r>
      <w:r w:rsidRPr="007224C3">
        <w:rPr>
          <w:rFonts w:ascii="Times New Roman" w:hAnsi="Times New Roman"/>
          <w:color w:val="000000" w:themeColor="text1"/>
          <w:sz w:val="16"/>
          <w:szCs w:val="16"/>
        </w:rPr>
        <w:softHyphen/>
        <w:t>кончились в целом успешно. Машина почти полностью оправдала все ожидания. Лишь скорость движения танка не превысила 52 км/ч (по проекту предусматривалось дос</w:t>
      </w:r>
      <w:r w:rsidRPr="007224C3">
        <w:rPr>
          <w:rFonts w:ascii="Times New Roman" w:hAnsi="Times New Roman"/>
          <w:color w:val="000000" w:themeColor="text1"/>
          <w:sz w:val="16"/>
          <w:szCs w:val="16"/>
        </w:rPr>
        <w:softHyphen/>
        <w:t>тижение скорости движения не менее 56 км/ч). По прохо</w:t>
      </w:r>
      <w:r w:rsidRPr="007224C3">
        <w:rPr>
          <w:rFonts w:ascii="Times New Roman" w:hAnsi="Times New Roman"/>
          <w:color w:val="000000" w:themeColor="text1"/>
          <w:sz w:val="16"/>
          <w:szCs w:val="16"/>
        </w:rPr>
        <w:softHyphen/>
        <w:t>димости же Т-44 не уступал «тридцатьчетверке», а в ряде случаев даже превосходил ее (за счет более мощного дви</w:t>
      </w:r>
      <w:r w:rsidRPr="007224C3">
        <w:rPr>
          <w:rFonts w:ascii="Times New Roman" w:hAnsi="Times New Roman"/>
          <w:color w:val="000000" w:themeColor="text1"/>
          <w:sz w:val="16"/>
          <w:szCs w:val="16"/>
        </w:rPr>
        <w:softHyphen/>
        <w:t>гателя). Испытания корпуса обстрелом показали, что по фронтальной проекции он не пробивается трофейной “75-мм противотанковой пушкой обр. 40” (РаК 40) с дис</w:t>
      </w:r>
      <w:r w:rsidRPr="007224C3">
        <w:rPr>
          <w:rFonts w:ascii="Times New Roman" w:hAnsi="Times New Roman"/>
          <w:color w:val="000000" w:themeColor="text1"/>
          <w:sz w:val="16"/>
          <w:szCs w:val="16"/>
        </w:rPr>
        <w:softHyphen/>
        <w:t>танции от 300 м, а с дистанции 700 м и более (дальность наиболее эффективного огня по немецким танкам) - не</w:t>
      </w:r>
      <w:r w:rsidRPr="007224C3">
        <w:rPr>
          <w:rFonts w:ascii="Times New Roman" w:hAnsi="Times New Roman"/>
          <w:color w:val="000000" w:themeColor="text1"/>
          <w:sz w:val="16"/>
          <w:szCs w:val="16"/>
        </w:rPr>
        <w:softHyphen/>
        <w:t>уязвим и для 88-мм орудия танка «Тигр». Однако борт тан</w:t>
      </w:r>
      <w:r w:rsidRPr="007224C3">
        <w:rPr>
          <w:rFonts w:ascii="Times New Roman" w:hAnsi="Times New Roman"/>
          <w:color w:val="000000" w:themeColor="text1"/>
          <w:sz w:val="16"/>
          <w:szCs w:val="16"/>
        </w:rPr>
        <w:softHyphen/>
        <w:t>ка пробивался и 75-мм и 88-мм орудиями с дистанции со</w:t>
      </w:r>
      <w:r w:rsidRPr="007224C3">
        <w:rPr>
          <w:rFonts w:ascii="Times New Roman" w:hAnsi="Times New Roman"/>
          <w:color w:val="000000" w:themeColor="text1"/>
          <w:sz w:val="16"/>
          <w:szCs w:val="16"/>
        </w:rPr>
        <w:softHyphen/>
        <w:t>ответственно 600 и 900 м. Управление Т-44 стало более удобным, чем Т-34, а надежность трансмиссии повыси</w:t>
      </w:r>
      <w:r w:rsidRPr="007224C3">
        <w:rPr>
          <w:rFonts w:ascii="Times New Roman" w:hAnsi="Times New Roman"/>
          <w:color w:val="000000" w:themeColor="text1"/>
          <w:sz w:val="16"/>
          <w:szCs w:val="16"/>
        </w:rPr>
        <w:softHyphen/>
        <w:t>лась. За время испытаний в январе-марте 1944 г. танк «на</w:t>
      </w:r>
      <w:r w:rsidRPr="007224C3">
        <w:rPr>
          <w:rFonts w:ascii="Times New Roman" w:hAnsi="Times New Roman"/>
          <w:color w:val="000000" w:themeColor="text1"/>
          <w:sz w:val="16"/>
          <w:szCs w:val="16"/>
        </w:rPr>
        <w:softHyphen/>
        <w:t>катал» по заснеженным просторам около 1100 км без се</w:t>
      </w:r>
      <w:r w:rsidRPr="007224C3">
        <w:rPr>
          <w:rFonts w:ascii="Times New Roman" w:hAnsi="Times New Roman"/>
          <w:color w:val="000000" w:themeColor="text1"/>
          <w:sz w:val="16"/>
          <w:szCs w:val="16"/>
        </w:rPr>
        <w:softHyphen/>
        <w:t>рьезных поломок, чем заслужил всеобщую похвалу. После испытаний обстрелом было выдвинуто предло</w:t>
      </w:r>
      <w:r w:rsidRPr="007224C3">
        <w:rPr>
          <w:rFonts w:ascii="Times New Roman" w:hAnsi="Times New Roman"/>
          <w:color w:val="000000" w:themeColor="text1"/>
          <w:sz w:val="16"/>
          <w:szCs w:val="16"/>
        </w:rPr>
        <w:softHyphen/>
        <w:t>жение об увеличении толщины брони бортов танка с 60 до 75 мм, а башни — до 90 мм (11135).</w:t>
      </w:r>
    </w:p>
    <w:p w14:paraId="62BDF3A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39BA11" w14:textId="77777777" w:rsidR="00792F77" w:rsidRPr="007224C3" w:rsidRDefault="00792F77" w:rsidP="007224C3">
      <w:pPr>
        <w:pStyle w:val="ae"/>
        <w:spacing w:before="0" w:after="0"/>
        <w:jc w:val="both"/>
        <w:textAlignment w:val="baseline"/>
        <w:rPr>
          <w:color w:val="000000" w:themeColor="text1"/>
          <w:sz w:val="16"/>
          <w:szCs w:val="16"/>
        </w:rPr>
      </w:pPr>
      <w:r w:rsidRPr="007224C3">
        <w:rPr>
          <w:color w:val="000000" w:themeColor="text1"/>
          <w:sz w:val="16"/>
          <w:szCs w:val="16"/>
        </w:rPr>
        <w:t>В январе 1944 года УЗТМ снова перевыполнил план, сдав 176 СУ-85. В этом месяце смежникам удалось выполнить программу по производству орудий Д-5С-85 — к утру 1 февраля завод №9 сдал 165 орудий. Впрочем, к этим орудиям имелся ряд претензий. Например, в январе с НИБТ Полигона поступила рекламация, связанная с большой качкой ствола. Это приводило к большому рассеиванию снарядов при стрельбе.</w:t>
      </w:r>
    </w:p>
    <w:p w14:paraId="3DA3FAF0" w14:textId="77777777" w:rsidR="00792F77" w:rsidRPr="007224C3" w:rsidRDefault="00792F77" w:rsidP="007224C3">
      <w:pPr>
        <w:pStyle w:val="ae"/>
        <w:spacing w:before="0" w:after="0"/>
        <w:jc w:val="both"/>
        <w:textAlignment w:val="baseline"/>
        <w:rPr>
          <w:color w:val="000000" w:themeColor="text1"/>
          <w:sz w:val="16"/>
          <w:szCs w:val="16"/>
        </w:rPr>
      </w:pPr>
      <w:r w:rsidRPr="007224C3">
        <w:rPr>
          <w:color w:val="000000" w:themeColor="text1"/>
          <w:sz w:val="16"/>
          <w:szCs w:val="16"/>
        </w:rPr>
        <w:t>К слову, в 20-х числах декабря 1943 года задание на выпуск Д-5С-85 получил завод №8, и с января 1944 года пушки для СУ-85 делали два завода. К 1 февраля завод №8 собрал 36 орудий, из которых заказчик принял 12 штук. Посильную помощь в организации производства оказывал завод №9. Завод №8 разработал собственную версию орудия, получившую обозначение Д-5С85А. Первое такое орудие завод №8 построил в конце января.</w:t>
      </w:r>
    </w:p>
    <w:p w14:paraId="56DE9E15" w14:textId="77777777" w:rsidR="00792F77" w:rsidRPr="007224C3" w:rsidRDefault="00792F77" w:rsidP="007224C3">
      <w:pPr>
        <w:pStyle w:val="ae"/>
        <w:spacing w:before="0" w:after="0"/>
        <w:jc w:val="both"/>
        <w:textAlignment w:val="baseline"/>
        <w:rPr>
          <w:color w:val="000000" w:themeColor="text1"/>
          <w:sz w:val="16"/>
          <w:szCs w:val="16"/>
        </w:rPr>
      </w:pPr>
      <w:r w:rsidRPr="007224C3">
        <w:rPr>
          <w:color w:val="000000" w:themeColor="text1"/>
          <w:sz w:val="16"/>
          <w:szCs w:val="16"/>
        </w:rPr>
        <w:t>При этом производство «обычной» пушки Д-5С-85 на заводе №9 не прекращалось. Причины появления модификации были производственные: завод №8 выпускал 85-мм зенитные орудия 52-К. От них взяли затвор и ствол. Орудие Д-5С85А получило также ограждение, отличное от ограждения Д-5С85. Военный представитель Зухер был против такого решения, поскольку оно порождало проблемы с ЗИП и деталями. Тем не менее 28 января Д-5С85Ф прошла успешные испытания в СУ-85, и её производство получило зелёный свет.</w:t>
      </w:r>
    </w:p>
    <w:p w14:paraId="35635DC0" w14:textId="77777777" w:rsidR="00792F77" w:rsidRPr="007224C3" w:rsidRDefault="00792F77" w:rsidP="007224C3">
      <w:pPr>
        <w:pStyle w:val="ae"/>
        <w:spacing w:before="0" w:after="0"/>
        <w:jc w:val="both"/>
        <w:textAlignment w:val="baseline"/>
        <w:rPr>
          <w:color w:val="000000" w:themeColor="text1"/>
          <w:sz w:val="16"/>
          <w:szCs w:val="16"/>
        </w:rPr>
      </w:pPr>
      <w:r w:rsidRPr="007224C3">
        <w:rPr>
          <w:color w:val="000000" w:themeColor="text1"/>
          <w:sz w:val="16"/>
          <w:szCs w:val="16"/>
        </w:rPr>
        <w:t>В январе 1944 года был испытан электроспуск орудия, которым планировать оснащать машины с февраля 1944 года. Ещё одним экспериментом стала установка двух вентиляторов в крыше боевого отделения. В серию это решение не пошло. До 185 000 рублей выросла цена СУ-85 (17719).</w:t>
      </w:r>
    </w:p>
    <w:p w14:paraId="40106B96" w14:textId="77777777" w:rsidR="00792F77" w:rsidRPr="007224C3" w:rsidRDefault="00792F77" w:rsidP="007224C3">
      <w:pPr>
        <w:spacing w:after="0" w:line="240" w:lineRule="auto"/>
        <w:jc w:val="both"/>
        <w:rPr>
          <w:rStyle w:val="77"/>
          <w:rFonts w:eastAsiaTheme="minorHAnsi"/>
          <w:color w:val="000000" w:themeColor="text1"/>
          <w:sz w:val="16"/>
          <w:szCs w:val="16"/>
        </w:rPr>
      </w:pPr>
    </w:p>
    <w:p w14:paraId="2524D492" w14:textId="77777777" w:rsidR="009503FE" w:rsidRPr="007224C3" w:rsidRDefault="009503FE" w:rsidP="007224C3">
      <w:pPr>
        <w:shd w:val="clear" w:color="auto" w:fill="FFFFFF"/>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С января 1944 года пушки для СУ-85 делали уже два завода - № 8 и № 9. К 1 февраля завод №8 собрал 36 орудий, из которых заказчик при</w:t>
      </w:r>
      <w:r w:rsidRPr="007224C3">
        <w:rPr>
          <w:rFonts w:ascii="Times New Roman" w:hAnsi="Times New Roman"/>
          <w:color w:val="0070C0"/>
          <w:sz w:val="16"/>
          <w:szCs w:val="16"/>
        </w:rPr>
        <w:softHyphen/>
        <w:t>нял 12 штук. Посильную помощь в организа</w:t>
      </w:r>
      <w:r w:rsidRPr="007224C3">
        <w:rPr>
          <w:rFonts w:ascii="Times New Roman" w:hAnsi="Times New Roman"/>
          <w:color w:val="0070C0"/>
          <w:sz w:val="16"/>
          <w:szCs w:val="16"/>
        </w:rPr>
        <w:softHyphen/>
        <w:t xml:space="preserve">ции производства новой для предприятия </w:t>
      </w:r>
      <w:r w:rsidRPr="007224C3">
        <w:rPr>
          <w:rStyle w:val="631"/>
          <w:rFonts w:ascii="Times New Roman" w:hAnsi="Times New Roman" w:cs="Times New Roman"/>
          <w:color w:val="0070C0"/>
          <w:sz w:val="16"/>
          <w:szCs w:val="16"/>
        </w:rPr>
        <w:t>буксируемыми орудийными системами - ока</w:t>
      </w:r>
      <w:r w:rsidRPr="007224C3">
        <w:rPr>
          <w:rStyle w:val="631"/>
          <w:rFonts w:ascii="Times New Roman" w:hAnsi="Times New Roman" w:cs="Times New Roman"/>
          <w:color w:val="0070C0"/>
          <w:sz w:val="16"/>
          <w:szCs w:val="16"/>
        </w:rPr>
        <w:softHyphen/>
        <w:t>зывал завод №9. Правда, при этом практиче</w:t>
      </w:r>
      <w:r w:rsidRPr="007224C3">
        <w:rPr>
          <w:rStyle w:val="631"/>
          <w:rFonts w:ascii="Times New Roman" w:hAnsi="Times New Roman" w:cs="Times New Roman"/>
          <w:color w:val="0070C0"/>
          <w:sz w:val="16"/>
          <w:szCs w:val="16"/>
        </w:rPr>
        <w:softHyphen/>
        <w:t>ски сразу специфика производства букси</w:t>
      </w:r>
      <w:r w:rsidRPr="007224C3">
        <w:rPr>
          <w:rStyle w:val="631"/>
          <w:rFonts w:ascii="Times New Roman" w:hAnsi="Times New Roman" w:cs="Times New Roman"/>
          <w:color w:val="0070C0"/>
          <w:sz w:val="16"/>
          <w:szCs w:val="16"/>
        </w:rPr>
        <w:softHyphen/>
        <w:t>руемых систем выплыла наружу. Дело в том, что завод №8 выпускал 85-мм зенитные пушки 52-К, и перестраивать производство под конструкцию орудия завода №9 там не горели особым желанием. В результате кон</w:t>
      </w:r>
      <w:r w:rsidRPr="007224C3">
        <w:rPr>
          <w:rStyle w:val="631"/>
          <w:rFonts w:ascii="Times New Roman" w:hAnsi="Times New Roman" w:cs="Times New Roman"/>
          <w:color w:val="0070C0"/>
          <w:sz w:val="16"/>
          <w:szCs w:val="16"/>
        </w:rPr>
        <w:softHyphen/>
        <w:t>структорское бюро завода №8 разработало собственную версию орудия для самоходной установки, получившую обозначение Д5-С- 85А. Первое такое орудие завод №8 построил в конце января 1944 г.</w:t>
      </w:r>
    </w:p>
    <w:p w14:paraId="10FBBA9D" w14:textId="77777777" w:rsidR="009503FE" w:rsidRPr="007224C3" w:rsidRDefault="009503FE" w:rsidP="007224C3">
      <w:pPr>
        <w:spacing w:after="0" w:line="240" w:lineRule="auto"/>
        <w:jc w:val="both"/>
        <w:rPr>
          <w:rStyle w:val="631"/>
          <w:rFonts w:ascii="Times New Roman" w:hAnsi="Times New Roman" w:cs="Times New Roman"/>
          <w:color w:val="0070C0"/>
          <w:sz w:val="16"/>
          <w:szCs w:val="16"/>
        </w:rPr>
      </w:pPr>
      <w:r w:rsidRPr="007224C3">
        <w:rPr>
          <w:rStyle w:val="631"/>
          <w:rFonts w:ascii="Times New Roman" w:hAnsi="Times New Roman" w:cs="Times New Roman"/>
          <w:color w:val="0070C0"/>
          <w:sz w:val="16"/>
          <w:szCs w:val="16"/>
        </w:rPr>
        <w:t>Для Д5-С-85А от зенитного орудия 52-К были взяты затвор и ствол, что существенно</w:t>
      </w:r>
      <w:r w:rsidRPr="007224C3">
        <w:rPr>
          <w:rStyle w:val="641"/>
          <w:rFonts w:ascii="Times New Roman" w:hAnsi="Times New Roman" w:cs="Times New Roman"/>
          <w:color w:val="0070C0"/>
          <w:sz w:val="16"/>
          <w:szCs w:val="16"/>
        </w:rPr>
        <w:t xml:space="preserve"> упрощало выпуск самоходных артиллерий</w:t>
      </w:r>
      <w:r w:rsidRPr="007224C3">
        <w:rPr>
          <w:rStyle w:val="641"/>
          <w:rFonts w:ascii="Times New Roman" w:hAnsi="Times New Roman" w:cs="Times New Roman"/>
          <w:color w:val="0070C0"/>
          <w:sz w:val="16"/>
          <w:szCs w:val="16"/>
        </w:rPr>
        <w:softHyphen/>
      </w:r>
      <w:r w:rsidRPr="007224C3">
        <w:rPr>
          <w:rStyle w:val="631"/>
          <w:rFonts w:ascii="Times New Roman" w:hAnsi="Times New Roman" w:cs="Times New Roman"/>
          <w:color w:val="0070C0"/>
          <w:sz w:val="16"/>
          <w:szCs w:val="16"/>
        </w:rPr>
        <w:t>ских систем. В связи с использованием иного ствола и затвора, Д5-С-85А получила также и ограждение, отличное от конструкции Д5-С- 85. Внешне эти орудия на самоходках отли</w:t>
      </w:r>
      <w:r w:rsidRPr="007224C3">
        <w:rPr>
          <w:rStyle w:val="631"/>
          <w:rFonts w:ascii="Times New Roman" w:hAnsi="Times New Roman" w:cs="Times New Roman"/>
          <w:color w:val="0070C0"/>
          <w:sz w:val="16"/>
          <w:szCs w:val="16"/>
        </w:rPr>
        <w:softHyphen/>
        <w:t>чаются конусностью стволов. Старший воен</w:t>
      </w:r>
      <w:r w:rsidRPr="007224C3">
        <w:rPr>
          <w:rStyle w:val="631"/>
          <w:rFonts w:ascii="Times New Roman" w:hAnsi="Times New Roman" w:cs="Times New Roman"/>
          <w:color w:val="0070C0"/>
          <w:sz w:val="16"/>
          <w:szCs w:val="16"/>
        </w:rPr>
        <w:softHyphen/>
        <w:t>ный представитель на УЗТМ Г.З. Зухер был против такого решения, поскольку оно порождало проблемы с ЗИП и деталями. Тем не менее, 28 января Д5-С-85А прошла успеш</w:t>
      </w:r>
      <w:r w:rsidRPr="007224C3">
        <w:rPr>
          <w:rStyle w:val="631"/>
          <w:rFonts w:ascii="Times New Roman" w:hAnsi="Times New Roman" w:cs="Times New Roman"/>
          <w:color w:val="0070C0"/>
          <w:sz w:val="16"/>
          <w:szCs w:val="16"/>
        </w:rPr>
        <w:softHyphen/>
        <w:t>ные испытания в СУ-85, после чего приняли решение о запуске орудия в серийное про</w:t>
      </w:r>
      <w:r w:rsidRPr="007224C3">
        <w:rPr>
          <w:rStyle w:val="631"/>
          <w:rFonts w:ascii="Times New Roman" w:hAnsi="Times New Roman" w:cs="Times New Roman"/>
          <w:color w:val="0070C0"/>
          <w:sz w:val="16"/>
          <w:szCs w:val="16"/>
        </w:rPr>
        <w:softHyphen/>
        <w:t>изводство. Первые орудия данного типа завод №8 сдал в феврале 1944 года. За этот месяц завод №9 сдал 139 пушек Д5-С-85, а завод №8 - 42, часть из которых была Д5-С- 85А. Самоходные установки с системами Д5- С-85А получили название СУ-85А, что также отражалось на серийном номере машины. Если машина оснащалась Д5-С-85А, то в конце серийного номера выбивалась буква «А» (19889).</w:t>
      </w:r>
    </w:p>
    <w:p w14:paraId="2432C52C" w14:textId="77777777" w:rsidR="009503FE" w:rsidRPr="007224C3" w:rsidRDefault="009503FE" w:rsidP="007224C3">
      <w:pPr>
        <w:spacing w:after="0" w:line="240" w:lineRule="auto"/>
        <w:jc w:val="both"/>
        <w:rPr>
          <w:rFonts w:ascii="Times New Roman" w:hAnsi="Times New Roman"/>
          <w:color w:val="0070C0"/>
          <w:sz w:val="16"/>
          <w:szCs w:val="16"/>
        </w:rPr>
      </w:pPr>
    </w:p>
    <w:p w14:paraId="4AC2DBEF" w14:textId="77777777" w:rsidR="009503FE" w:rsidRPr="007224C3" w:rsidRDefault="009503FE"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 янва</w:t>
      </w:r>
      <w:r w:rsidRPr="007224C3">
        <w:rPr>
          <w:rFonts w:ascii="Times New Roman" w:hAnsi="Times New Roman"/>
          <w:color w:val="0070C0"/>
          <w:sz w:val="16"/>
          <w:szCs w:val="16"/>
        </w:rPr>
        <w:softHyphen/>
        <w:t>ре 1944 года испытали электроспуск орудия СУ-85, которым планировать оснащать машины с февраля 1944 года. Правда, внед</w:t>
      </w:r>
      <w:r w:rsidRPr="007224C3">
        <w:rPr>
          <w:rFonts w:ascii="Times New Roman" w:hAnsi="Times New Roman"/>
          <w:color w:val="0070C0"/>
          <w:sz w:val="16"/>
          <w:szCs w:val="16"/>
        </w:rPr>
        <w:softHyphen/>
        <w:t>рение этого полезного нововведения на практике растянулось на полгода. Еще одним экспериментом стала установка двух вытяж</w:t>
      </w:r>
      <w:r w:rsidRPr="007224C3">
        <w:rPr>
          <w:rFonts w:ascii="Times New Roman" w:hAnsi="Times New Roman"/>
          <w:color w:val="0070C0"/>
          <w:sz w:val="16"/>
          <w:szCs w:val="16"/>
        </w:rPr>
        <w:softHyphen/>
        <w:t>ных вентиляторов в проемах крыши боевого отделения. Данные работы стали продолже</w:t>
      </w:r>
      <w:r w:rsidRPr="007224C3">
        <w:rPr>
          <w:rFonts w:ascii="Times New Roman" w:hAnsi="Times New Roman"/>
          <w:color w:val="0070C0"/>
          <w:sz w:val="16"/>
          <w:szCs w:val="16"/>
        </w:rPr>
        <w:softHyphen/>
        <w:t>нием программы создания улучшенного СУ- 85 с командирской башенкой, который построили в декабре 1943 года. В ходе испы</w:t>
      </w:r>
      <w:r w:rsidRPr="007224C3">
        <w:rPr>
          <w:rFonts w:ascii="Times New Roman" w:hAnsi="Times New Roman"/>
          <w:color w:val="0070C0"/>
          <w:sz w:val="16"/>
          <w:szCs w:val="16"/>
        </w:rPr>
        <w:softHyphen/>
        <w:t>таний выяснилось, что одного вентилятора недостаточно. Можно представить, что чув</w:t>
      </w:r>
      <w:r w:rsidRPr="007224C3">
        <w:rPr>
          <w:rFonts w:ascii="Times New Roman" w:hAnsi="Times New Roman"/>
          <w:color w:val="0070C0"/>
          <w:sz w:val="16"/>
          <w:szCs w:val="16"/>
        </w:rPr>
        <w:softHyphen/>
        <w:t>ствовали самоходчики внутри серийной машины, где вентиляция осуществлялась через люк в кормовой части боевого отделе</w:t>
      </w:r>
      <w:r w:rsidRPr="007224C3">
        <w:rPr>
          <w:rFonts w:ascii="Times New Roman" w:hAnsi="Times New Roman"/>
          <w:color w:val="0070C0"/>
          <w:sz w:val="16"/>
          <w:szCs w:val="16"/>
        </w:rPr>
        <w:softHyphen/>
        <w:t>ния. Жалобы на недостаточную вентиляцию боевого отделения пошли сразу же после того, как первые СУ-85 попали в войска, поэтому опытным работам по данной теме уделялось много внимания. Несмотря на это, разработанная в начале 1944 года конструк</w:t>
      </w:r>
      <w:r w:rsidRPr="007224C3">
        <w:rPr>
          <w:rFonts w:ascii="Times New Roman" w:hAnsi="Times New Roman"/>
          <w:color w:val="0070C0"/>
          <w:sz w:val="16"/>
          <w:szCs w:val="16"/>
        </w:rPr>
        <w:softHyphen/>
        <w:t>ция с двумя вентиляторами в серию не пошла. Больше того, даже хотя бы одного только вентилятора серийная машина дожда</w:t>
      </w:r>
      <w:r w:rsidRPr="007224C3">
        <w:rPr>
          <w:rFonts w:ascii="Times New Roman" w:hAnsi="Times New Roman"/>
          <w:color w:val="0070C0"/>
          <w:sz w:val="16"/>
          <w:szCs w:val="16"/>
        </w:rPr>
        <w:softHyphen/>
        <w:t>лась уже лишь ближе к окончанию производ</w:t>
      </w:r>
      <w:r w:rsidRPr="007224C3">
        <w:rPr>
          <w:rFonts w:ascii="Times New Roman" w:hAnsi="Times New Roman"/>
          <w:color w:val="0070C0"/>
          <w:sz w:val="16"/>
          <w:szCs w:val="16"/>
        </w:rPr>
        <w:softHyphen/>
        <w:t>ства. Что же касается внешних изменений, то в январе их почти не было. С января 1944 года изменилась конструкция подпятника орудийной установки и чуть улучшили креп</w:t>
      </w:r>
      <w:r w:rsidRPr="007224C3">
        <w:rPr>
          <w:rFonts w:ascii="Times New Roman" w:hAnsi="Times New Roman"/>
          <w:color w:val="0070C0"/>
          <w:sz w:val="16"/>
          <w:szCs w:val="16"/>
        </w:rPr>
        <w:softHyphen/>
        <w:t>ление пилы. Очередной набор улучшений получили топливная система и система охлаждения, внесли правки в конструкцию кривошипа ленивца. С 1 января изменили крепление огнетушителя, тогда же передел</w:t>
      </w:r>
      <w:r w:rsidRPr="007224C3">
        <w:rPr>
          <w:rFonts w:ascii="Times New Roman" w:hAnsi="Times New Roman"/>
          <w:color w:val="0070C0"/>
          <w:sz w:val="16"/>
          <w:szCs w:val="16"/>
        </w:rPr>
        <w:softHyphen/>
        <w:t>кам подверглось размещение внутреннего ЗИПа (19889).</w:t>
      </w:r>
    </w:p>
    <w:p w14:paraId="307C4D72" w14:textId="77777777" w:rsidR="009503FE" w:rsidRPr="007224C3" w:rsidRDefault="009503FE" w:rsidP="007224C3">
      <w:pPr>
        <w:spacing w:after="0" w:line="240" w:lineRule="auto"/>
        <w:jc w:val="both"/>
        <w:rPr>
          <w:rFonts w:ascii="Times New Roman" w:hAnsi="Times New Roman"/>
          <w:color w:val="0070C0"/>
          <w:sz w:val="16"/>
          <w:szCs w:val="16"/>
        </w:rPr>
      </w:pPr>
    </w:p>
    <w:p w14:paraId="2BB3DE4A" w14:textId="77777777" w:rsidR="009503FE" w:rsidRPr="007224C3" w:rsidRDefault="009503FE"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С января 1944 года изменилась конструкция подпятника орудийной установки Су-85 и чуть улучшили креп</w:t>
      </w:r>
      <w:r w:rsidRPr="007224C3">
        <w:rPr>
          <w:rFonts w:ascii="Times New Roman" w:hAnsi="Times New Roman"/>
          <w:color w:val="0070C0"/>
          <w:sz w:val="16"/>
          <w:szCs w:val="16"/>
        </w:rPr>
        <w:softHyphen/>
        <w:t>ление пилы. Очередной набор улучшений получили топливная система и система охлаждения, внесли правки в конструкцию кривошипа ленивца. С 1 января изменили крепление огнетушителя, тогда же передел</w:t>
      </w:r>
      <w:r w:rsidRPr="007224C3">
        <w:rPr>
          <w:rFonts w:ascii="Times New Roman" w:hAnsi="Times New Roman"/>
          <w:color w:val="0070C0"/>
          <w:sz w:val="16"/>
          <w:szCs w:val="16"/>
        </w:rPr>
        <w:softHyphen/>
        <w:t>кам подверглось размещение внутреннего ЗИПа (19889).</w:t>
      </w:r>
    </w:p>
    <w:p w14:paraId="2E63887D" w14:textId="77777777" w:rsidR="009503FE" w:rsidRPr="007224C3" w:rsidRDefault="009503FE" w:rsidP="007224C3">
      <w:pPr>
        <w:spacing w:after="0" w:line="240" w:lineRule="auto"/>
        <w:jc w:val="both"/>
        <w:rPr>
          <w:rFonts w:ascii="Times New Roman" w:hAnsi="Times New Roman"/>
          <w:color w:val="0070C0"/>
          <w:sz w:val="16"/>
          <w:szCs w:val="16"/>
        </w:rPr>
      </w:pPr>
    </w:p>
    <w:p w14:paraId="50FC355B" w14:textId="77777777" w:rsidR="00792F77" w:rsidRPr="007224C3" w:rsidRDefault="00792F77" w:rsidP="007224C3">
      <w:pPr>
        <w:pStyle w:val="ae"/>
        <w:shd w:val="clear" w:color="auto" w:fill="FFFFFF"/>
        <w:spacing w:before="0" w:after="0"/>
        <w:jc w:val="both"/>
        <w:rPr>
          <w:color w:val="000000" w:themeColor="text1"/>
          <w:sz w:val="16"/>
          <w:szCs w:val="16"/>
        </w:rPr>
      </w:pPr>
      <w:r w:rsidRPr="007224C3">
        <w:rPr>
          <w:color w:val="000000" w:themeColor="text1"/>
          <w:sz w:val="16"/>
          <w:szCs w:val="16"/>
        </w:rPr>
        <w:t>В отчёте за январь 1944 года старший военпред Технического управления Главного бронетанкового управления Красной армии (ТУ ГБТУ КА) инженер-полковник Давиденко отмечал, что на ЧКЗ существует масса проблем, прежде всего организационных. По словам военпреда, достаточной борьбы за улучшение качества завод не вёл. Несмотря на наличие ряда протоколов, утверждённых ГБТУ КА и НКТП, конструкторские доработки и переделки в срок не внедрялись.</w:t>
      </w:r>
    </w:p>
    <w:p w14:paraId="7697B20E" w14:textId="77777777" w:rsidR="00792F77" w:rsidRPr="007224C3" w:rsidRDefault="00792F77" w:rsidP="007224C3">
      <w:pPr>
        <w:pStyle w:val="ae"/>
        <w:shd w:val="clear" w:color="auto" w:fill="FFFFFF"/>
        <w:spacing w:before="0" w:after="0"/>
        <w:jc w:val="both"/>
        <w:rPr>
          <w:color w:val="000000" w:themeColor="text1"/>
          <w:sz w:val="16"/>
          <w:szCs w:val="16"/>
        </w:rPr>
      </w:pPr>
      <w:r w:rsidRPr="007224C3">
        <w:rPr>
          <w:color w:val="000000" w:themeColor="text1"/>
          <w:sz w:val="16"/>
          <w:szCs w:val="16"/>
        </w:rPr>
        <w:t>Одной из причин подобного положения вещей назывались ненормальные отношения между ЧКЗ и опытным заводом №100. ЧКЗ не хотел дорабатывать конструкции завода №100, а там, в свою очередь, считали, что серийная доработка танка является обязанностью ЧКЗ (17721).</w:t>
      </w:r>
    </w:p>
    <w:p w14:paraId="3496C6A9" w14:textId="77777777" w:rsidR="00792F77" w:rsidRPr="007224C3" w:rsidRDefault="00792F77" w:rsidP="007224C3">
      <w:pPr>
        <w:pStyle w:val="ae"/>
        <w:shd w:val="clear" w:color="auto" w:fill="FFFFFF"/>
        <w:spacing w:before="0" w:after="0"/>
        <w:jc w:val="both"/>
        <w:rPr>
          <w:color w:val="000000" w:themeColor="text1"/>
          <w:sz w:val="16"/>
          <w:szCs w:val="16"/>
        </w:rPr>
      </w:pPr>
    </w:p>
    <w:p w14:paraId="175019B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январе 1944 г. был изготовлен заводом № 100 опытный образец танка Объект 244 и весной того же года прошел заводские и поли</w:t>
      </w:r>
      <w:r w:rsidRPr="007224C3">
        <w:rPr>
          <w:rFonts w:ascii="Times New Roman" w:hAnsi="Times New Roman"/>
          <w:color w:val="000000" w:themeColor="text1"/>
          <w:sz w:val="16"/>
          <w:szCs w:val="16"/>
        </w:rPr>
        <w:softHyphen/>
        <w:t>гонные испытания на Гороховецком АНИОПе. На вооружение танк не принимался из-за недостаточной прочности ствола орудия. Опытный образец машины был создан на базе первого опытного об</w:t>
      </w:r>
      <w:r w:rsidRPr="007224C3">
        <w:rPr>
          <w:rFonts w:ascii="Times New Roman" w:hAnsi="Times New Roman"/>
          <w:color w:val="000000" w:themeColor="text1"/>
          <w:sz w:val="16"/>
          <w:szCs w:val="16"/>
        </w:rPr>
        <w:softHyphen/>
        <w:t>разца танка "Объект 237" и отличался от него установкой в башне вме</w:t>
      </w:r>
      <w:r w:rsidRPr="007224C3">
        <w:rPr>
          <w:rFonts w:ascii="Times New Roman" w:hAnsi="Times New Roman"/>
          <w:color w:val="000000" w:themeColor="text1"/>
          <w:sz w:val="16"/>
          <w:szCs w:val="16"/>
        </w:rPr>
        <w:softHyphen/>
        <w:t>сто 85-мм танковой пушки Д-5Т-85 опытной 85-мм пушки Д-5Т-85БМ, а также монтажом зенитной пулеметной установки. Экипаж машины состоял из четырех человек (10703).</w:t>
      </w:r>
    </w:p>
    <w:p w14:paraId="76F8210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818F52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январе 1944 г. на ЧКЗ закончился серийный выпуск танка ИС-1, который шел с октября 1943 г. Всего было выпущено 107 машин данной модификации, которые впервые были применены в феврале 1944 г. на завершающем этапе проведения Корсунь-Шевченковской на</w:t>
      </w:r>
      <w:r w:rsidRPr="007224C3">
        <w:rPr>
          <w:rFonts w:ascii="Times New Roman" w:hAnsi="Times New Roman"/>
          <w:color w:val="000000" w:themeColor="text1"/>
          <w:sz w:val="16"/>
          <w:szCs w:val="16"/>
        </w:rPr>
        <w:softHyphen/>
        <w:t>ступательной операции (10703).</w:t>
      </w:r>
    </w:p>
    <w:p w14:paraId="60825FC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4A1BB2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январе 1944 года прошли стрельбовые испытания танка ИС-2 на полигоне в Кубинке и их результаты вкупе с результатами боевого примменения заставили конструкторов искать новые решения. После первых столкновений ИС-2 с тяжелыми танками противника выяснилось, что штатный 122-мм остроголовый бронебойный снаряд БР-471 способен пробить лобовую броню "Пантеры" лишь с дистанции 600 - 700 метров. Более слабая лобовая броня "Тигра" могла быть пробита с расстояния 1200 метров, но попасть с такой дистанции в немецкий танк могли только хорошо подготовленные опытные наводчики. При обстреле немецких танков мощными осколочно-фугасными гранатами ОФ-471, имело место растрескивание сварных швов и даже отрыв лобового листа по сварке. (3862).</w:t>
      </w:r>
    </w:p>
    <w:p w14:paraId="4B966B5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9FBE37" w14:textId="77777777" w:rsidR="00792F77" w:rsidRPr="007224C3" w:rsidRDefault="00792F77" w:rsidP="007224C3">
      <w:pPr>
        <w:pStyle w:val="ae"/>
        <w:shd w:val="clear" w:color="auto" w:fill="FFFFFF"/>
        <w:spacing w:before="0" w:after="0"/>
        <w:jc w:val="both"/>
        <w:rPr>
          <w:color w:val="000000" w:themeColor="text1"/>
          <w:sz w:val="16"/>
          <w:szCs w:val="16"/>
        </w:rPr>
      </w:pPr>
      <w:r w:rsidRPr="007224C3">
        <w:rPr>
          <w:color w:val="000000" w:themeColor="text1"/>
          <w:sz w:val="16"/>
          <w:szCs w:val="16"/>
        </w:rPr>
        <w:t xml:space="preserve">За январь 1944 года завод №200 сдал уже 72 корпуса и столько же башен. Кроме того, с января 1944 года это предприятие перестало быть единственным поставщиком корпусов и башен для ИС-2. С начала 1944 года к корпусному производству вновь подключили Уральский завод тяжёлого машиностроения (УЗТМ). В Свердловске тоже имелись проблемы, связанные с производством Т-34. Правда, там ещё раньше, в августе 1943 года, перестали выпускать эти танки, сконцентрировавшись на </w:t>
      </w:r>
      <w:hyperlink r:id="rId25" w:history="1">
        <w:r w:rsidRPr="007224C3">
          <w:rPr>
            <w:rStyle w:val="a5"/>
            <w:color w:val="000000" w:themeColor="text1"/>
            <w:sz w:val="16"/>
            <w:szCs w:val="16"/>
            <w:u w:val="none"/>
          </w:rPr>
          <w:t>СУ-85</w:t>
        </w:r>
      </w:hyperlink>
      <w:r w:rsidRPr="007224C3">
        <w:rPr>
          <w:color w:val="000000" w:themeColor="text1"/>
          <w:sz w:val="16"/>
          <w:szCs w:val="16"/>
        </w:rPr>
        <w:t>. В январе 1944 года при плане в 14 башен для ИС-2 УЗТМ сдал 16 штук. В этом же месяце УЗТМ сдал 52 носовые детали для корпуса ИС-2.</w:t>
      </w:r>
    </w:p>
    <w:p w14:paraId="5F51423C" w14:textId="77777777" w:rsidR="00792F77" w:rsidRPr="007224C3" w:rsidRDefault="00792F77" w:rsidP="007224C3">
      <w:pPr>
        <w:pStyle w:val="ae"/>
        <w:shd w:val="clear" w:color="auto" w:fill="FFFFFF"/>
        <w:spacing w:before="0" w:after="0"/>
        <w:jc w:val="both"/>
        <w:rPr>
          <w:color w:val="000000" w:themeColor="text1"/>
          <w:sz w:val="16"/>
          <w:szCs w:val="16"/>
        </w:rPr>
      </w:pPr>
      <w:r w:rsidRPr="007224C3">
        <w:rPr>
          <w:color w:val="000000" w:themeColor="text1"/>
          <w:sz w:val="16"/>
          <w:szCs w:val="16"/>
        </w:rPr>
        <w:t xml:space="preserve">С самого начала свердловская продукция немного отличалась от челябинской. Лобовая деталь завода №200 имела литьевой номер с левой стороны, а на нижнем лобовом листе имелись характерные приливы. На стыке верхнего и нижнего лобовых листов УЗТМ имелся срез питателя, а номеров на детали не было. Также отличия </w:t>
      </w:r>
      <w:r w:rsidRPr="007224C3">
        <w:rPr>
          <w:color w:val="000000" w:themeColor="text1"/>
          <w:sz w:val="16"/>
          <w:szCs w:val="16"/>
        </w:rPr>
        <w:lastRenderedPageBreak/>
        <w:t>имелись и в башнях. Особенно хорошо заметны разные формы литьевого шва, а также отсутствие на корме башни УЗТМ литьевого номера. Кроме того, башни отличались друг от друга формой командирской башенки.</w:t>
      </w:r>
    </w:p>
    <w:p w14:paraId="4B66D41C" w14:textId="77777777" w:rsidR="00792F77" w:rsidRPr="007224C3" w:rsidRDefault="00792F77" w:rsidP="007224C3">
      <w:pPr>
        <w:pStyle w:val="ae"/>
        <w:shd w:val="clear" w:color="auto" w:fill="FFFFFF"/>
        <w:spacing w:before="0" w:after="0"/>
        <w:jc w:val="both"/>
        <w:rPr>
          <w:color w:val="000000" w:themeColor="text1"/>
          <w:sz w:val="16"/>
          <w:szCs w:val="16"/>
        </w:rPr>
      </w:pPr>
      <w:r w:rsidRPr="007224C3">
        <w:rPr>
          <w:color w:val="000000" w:themeColor="text1"/>
          <w:sz w:val="16"/>
          <w:szCs w:val="16"/>
        </w:rPr>
        <w:t>Свердловские корпуса и башни стали использоваться ЧКЗ не раньше февраля 1944 года, поскольку у завода имелся задел по продукции завода №200. За февраль ЧКЗ построил 75 ИС-2, при этом ситуация с производством оставалась напряжённой. Даже вместе с ИСУ-152 тяжёлых танков и САУ завод всё равно построил меньше, чем Т-34. Лишь в марте 1944 года, когда НКТП освободил ЧКЗ от производства Т-34, ситуация начала немного выправляться. Правда, теперь завод получил «сюрприз» в виде выросшей программы по производству ИСУ-152 (17721).</w:t>
      </w:r>
    </w:p>
    <w:p w14:paraId="42E4079E" w14:textId="77777777" w:rsidR="00792F77" w:rsidRPr="007224C3" w:rsidRDefault="00792F77" w:rsidP="007224C3">
      <w:pPr>
        <w:pStyle w:val="123"/>
        <w:shd w:val="clear" w:color="auto" w:fill="auto"/>
        <w:spacing w:after="0" w:line="240" w:lineRule="auto"/>
        <w:jc w:val="both"/>
        <w:rPr>
          <w:color w:val="000000" w:themeColor="text1"/>
          <w:sz w:val="16"/>
          <w:szCs w:val="16"/>
        </w:rPr>
      </w:pPr>
    </w:p>
    <w:p w14:paraId="4105233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январе 1944 года цехи ЧКЗ покинули последние 40 ИС-85, после чего из его ворот во все возрастающих количествах выходили только ИС-122, оснащенные уже новым 122-мм орудием Д-25Т с клиновым полуавтоматическим затвором, за счет которого удалось немного повысить скорострельность (с 1 - 1,5 до 1,5-2 выстр/мин). Однако вопрос вооружения танка ИС 2 не был закрыт полностью. Военных не устраивали ни низкая скорострельность ни малый боекомплект - 28 выстрелов раздельного заряжания. Для сравнения: боекомплект ИС-1 состоял из 59 выстрелов, а КВ-1с из 114. (3862).</w:t>
      </w:r>
    </w:p>
    <w:p w14:paraId="7D26027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39CCF3" w14:textId="77777777" w:rsidR="003C231F" w:rsidRPr="007224C3" w:rsidRDefault="003C231F" w:rsidP="007224C3">
      <w:pPr>
        <w:pStyle w:val="ae"/>
        <w:spacing w:before="0" w:after="0"/>
        <w:jc w:val="both"/>
        <w:textAlignment w:val="baseline"/>
        <w:rPr>
          <w:color w:val="000000" w:themeColor="text1"/>
          <w:sz w:val="16"/>
          <w:szCs w:val="16"/>
        </w:rPr>
      </w:pPr>
      <w:r w:rsidRPr="007224C3">
        <w:rPr>
          <w:color w:val="000000" w:themeColor="text1"/>
          <w:sz w:val="16"/>
          <w:szCs w:val="16"/>
        </w:rPr>
        <w:t>В январе 1944 года в Баку прибыло всего 4 танка M4A2(75), в феврале — 64, в марте — 97, а в апреле — 137. Вместе с тем основным маршрутом прибытия M4A2 стал северный. Если за 1944 год через Баку прошло 800 танков, то северными конвоями — 1465. На самом деле не все из них были именно M4A2: уже к концу сентября 1944 года стали поступать первые M4A2(76)W. Поскольку в актах танки не разделяли, точную цифру прибывших M4A2 назвать крайне сложно. Ещё больше путаницы вносит сводная статистика ГБТУ КА, где цифры различаются. Согласно американским источникам, в СССР отправили 1990 танков данного типа. Кроме того, нет разделения между M4A2 и M4A2(75) — их советская приёмка заметила летом 1944 года.</w:t>
      </w:r>
    </w:p>
    <w:p w14:paraId="62785CD1" w14:textId="77777777" w:rsidR="003C231F" w:rsidRPr="007224C3" w:rsidRDefault="003C231F" w:rsidP="007224C3">
      <w:pPr>
        <w:pStyle w:val="ae"/>
        <w:spacing w:before="0" w:after="0"/>
        <w:jc w:val="both"/>
        <w:textAlignment w:val="baseline"/>
        <w:rPr>
          <w:color w:val="000000" w:themeColor="text1"/>
          <w:sz w:val="16"/>
          <w:szCs w:val="16"/>
        </w:rPr>
      </w:pPr>
      <w:r w:rsidRPr="007224C3">
        <w:rPr>
          <w:color w:val="000000" w:themeColor="text1"/>
          <w:sz w:val="16"/>
          <w:szCs w:val="16"/>
        </w:rPr>
        <w:t>Замечала приёмка и изменения в танках, которые прибывали с ноября 1943 года. Среди изменений отмечался новый воздухоочиститель, появление бортовых экранов, цельнометаллические траки, а также исчезновение пистолетов-пулемётов </w:t>
      </w:r>
      <w:hyperlink r:id="rId26" w:history="1">
        <w:r w:rsidRPr="007224C3">
          <w:rPr>
            <w:rStyle w:val="a5"/>
            <w:bCs/>
            <w:iCs/>
            <w:color w:val="000000" w:themeColor="text1"/>
            <w:sz w:val="16"/>
            <w:szCs w:val="16"/>
            <w:u w:val="none"/>
            <w:bdr w:val="none" w:sz="0" w:space="0" w:color="auto" w:frame="1"/>
          </w:rPr>
          <w:t>«Томпсон»</w:t>
        </w:r>
      </w:hyperlink>
      <w:r w:rsidRPr="007224C3">
        <w:rPr>
          <w:color w:val="000000" w:themeColor="text1"/>
          <w:sz w:val="16"/>
          <w:szCs w:val="16"/>
        </w:rPr>
        <w:t> из комплектации. В декабре стали поступать M4A2 с 51-мм казнозарядными миномётами в крыше башни. А ещё в конце апреля 1944 года приёмка в Баку забила тревогу, поскольку прибыли явно «подержанные» танки с большим числом отработанных моточасов. Были ли это английские танки, или американцы решили «спихнуть» учебные машины, неизвестно. Совсем не редкостью являлись жалобы на неполную комплектацию машин. Нередко дело было в инцидентах уже на территории СССР, но ничуть не меньший объём рекламаций касался машин, только прибывших на территорию Советского Союза (19038).</w:t>
      </w:r>
    </w:p>
    <w:p w14:paraId="3E8DB643" w14:textId="77777777" w:rsidR="003C231F" w:rsidRPr="007224C3" w:rsidRDefault="003C231F" w:rsidP="007224C3">
      <w:pPr>
        <w:pStyle w:val="ae"/>
        <w:spacing w:before="0" w:after="0"/>
        <w:jc w:val="both"/>
        <w:textAlignment w:val="baseline"/>
        <w:rPr>
          <w:color w:val="000000" w:themeColor="text1"/>
          <w:sz w:val="16"/>
          <w:szCs w:val="16"/>
        </w:rPr>
      </w:pPr>
    </w:p>
    <w:p w14:paraId="5D95F73D" w14:textId="77777777" w:rsidR="00282955" w:rsidRPr="007224C3" w:rsidRDefault="00282955" w:rsidP="007224C3">
      <w:pPr>
        <w:pStyle w:val="a3"/>
        <w:rPr>
          <w:color w:val="000000" w:themeColor="text1"/>
          <w:lang w:val="ru-RU"/>
        </w:rPr>
      </w:pPr>
      <w:r w:rsidRPr="007224C3">
        <w:rPr>
          <w:color w:val="000000" w:themeColor="text1"/>
          <w:lang w:val="ru-RU"/>
        </w:rPr>
        <w:t>В январе 1944 года начали строить самоходную установку, получившую индекс С-51. В теории, установка Б-4 на шасси КВ-1С требова</w:t>
      </w:r>
      <w:r w:rsidRPr="007224C3">
        <w:rPr>
          <w:color w:val="000000" w:themeColor="text1"/>
          <w:lang w:val="ru-RU"/>
        </w:rPr>
        <w:softHyphen/>
        <w:t>ла удлинения корпуса и добавки дополнительной пары катков, другое дело, что в условиях военного периода городить специальное шасси было равносильно отправке проекта в стол. Поэтому в ЦАКБ приняли решение не вносить в ходовую часть изменений. Метаморфозы, кото</w:t>
      </w:r>
      <w:r w:rsidRPr="007224C3">
        <w:rPr>
          <w:color w:val="000000" w:themeColor="text1"/>
          <w:lang w:val="ru-RU"/>
        </w:rPr>
        <w:softHyphen/>
        <w:t xml:space="preserve">рые претерпел ремонтный </w:t>
      </w:r>
      <w:r w:rsidRPr="007224C3">
        <w:rPr>
          <w:color w:val="000000" w:themeColor="text1"/>
        </w:rPr>
        <w:t>KB</w:t>
      </w:r>
      <w:r w:rsidRPr="007224C3">
        <w:rPr>
          <w:color w:val="000000" w:themeColor="text1"/>
          <w:lang w:val="ru-RU"/>
        </w:rPr>
        <w:t>-1 С, были связаны лишь с установкой на него нового орудия.</w:t>
      </w:r>
    </w:p>
    <w:p w14:paraId="5D3AC343" w14:textId="77777777" w:rsidR="00282955" w:rsidRPr="007224C3" w:rsidRDefault="0028295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Качающаяся часть 203-мм гаубицы Б-4 была взята без изменений. Орудие вынесли далеко вперед, его основание частично нависало над отделением управления. В походном положении ствол гаубицы оттяги</w:t>
      </w:r>
      <w:r w:rsidRPr="007224C3">
        <w:rPr>
          <w:rFonts w:ascii="Times New Roman" w:hAnsi="Times New Roman"/>
          <w:color w:val="000000" w:themeColor="text1"/>
          <w:sz w:val="16"/>
          <w:szCs w:val="16"/>
        </w:rPr>
        <w:softHyphen/>
        <w:t>вался назад. Установили орудие на специальную раму, которая частично перекрывала обзор из смотрового прибора механика-водителя. Изна</w:t>
      </w:r>
      <w:r w:rsidRPr="007224C3">
        <w:rPr>
          <w:rFonts w:ascii="Times New Roman" w:hAnsi="Times New Roman"/>
          <w:color w:val="000000" w:themeColor="text1"/>
          <w:sz w:val="16"/>
          <w:szCs w:val="16"/>
        </w:rPr>
        <w:softHyphen/>
        <w:t>чально система не имела щитового прикрытия. Позже спереди был уста</w:t>
      </w:r>
      <w:r w:rsidRPr="007224C3">
        <w:rPr>
          <w:rFonts w:ascii="Times New Roman" w:hAnsi="Times New Roman"/>
          <w:color w:val="000000" w:themeColor="text1"/>
          <w:sz w:val="16"/>
          <w:szCs w:val="16"/>
        </w:rPr>
        <w:softHyphen/>
        <w:t>новлен орудийный щит толщиной 7 мм, который служил для защиты расчета от осколков. Щит состоял из двух частей, которые для удобства перевода ствола Б-4 из походного положения в боевое откидывались вперед. При этом щит упирался специальными опорами в ходовую часть.</w:t>
      </w:r>
    </w:p>
    <w:p w14:paraId="3261D4F5" w14:textId="77777777" w:rsidR="00282955" w:rsidRPr="007224C3" w:rsidRDefault="00282955" w:rsidP="007224C3">
      <w:pPr>
        <w:pStyle w:val="a3"/>
        <w:rPr>
          <w:color w:val="000000" w:themeColor="text1"/>
          <w:lang w:val="ru-RU"/>
        </w:rPr>
      </w:pPr>
      <w:r w:rsidRPr="007224C3">
        <w:rPr>
          <w:color w:val="000000" w:themeColor="text1"/>
          <w:lang w:val="ru-RU"/>
        </w:rPr>
        <w:t>На надгусеничных полках С-51 была построена платформа, где в бо</w:t>
      </w:r>
      <w:r w:rsidRPr="007224C3">
        <w:rPr>
          <w:color w:val="000000" w:themeColor="text1"/>
          <w:lang w:val="ru-RU"/>
        </w:rPr>
        <w:softHyphen/>
        <w:t>евом положении размещалась часть расчета. Внутренние полости плат</w:t>
      </w:r>
      <w:r w:rsidRPr="007224C3">
        <w:rPr>
          <w:color w:val="000000" w:themeColor="text1"/>
          <w:lang w:val="ru-RU"/>
        </w:rPr>
        <w:softHyphen/>
        <w:t>формы исполняли роль ящиков ЗИП, для предотвращения несчастных случаев платформа получила ограждения. Основной боезапас хранил</w:t>
      </w:r>
      <w:r w:rsidRPr="007224C3">
        <w:rPr>
          <w:color w:val="000000" w:themeColor="text1"/>
          <w:lang w:val="ru-RU"/>
        </w:rPr>
        <w:softHyphen/>
        <w:t>ся в штатных деревянных ящиках, которые в походном положении лежали на настиле платформы и крепились к поручням. Для удобства подъема и спуска на кормовом листе САУ были установлены откиды</w:t>
      </w:r>
      <w:r w:rsidRPr="007224C3">
        <w:rPr>
          <w:color w:val="000000" w:themeColor="text1"/>
          <w:lang w:val="ru-RU"/>
        </w:rPr>
        <w:softHyphen/>
        <w:t>вающиеся лесенки. Между лесенками разместились откидные направ</w:t>
      </w:r>
      <w:r w:rsidRPr="007224C3">
        <w:rPr>
          <w:color w:val="000000" w:themeColor="text1"/>
          <w:lang w:val="ru-RU"/>
        </w:rPr>
        <w:softHyphen/>
        <w:t>ляющие, по которым перемещался кокор. Направляющие нужны были прежде всего для заряжания орудия с земли. Боекомплект С-51 состо</w:t>
      </w:r>
      <w:r w:rsidRPr="007224C3">
        <w:rPr>
          <w:color w:val="000000" w:themeColor="text1"/>
          <w:lang w:val="ru-RU"/>
        </w:rPr>
        <w:softHyphen/>
        <w:t>ял всего из 12 выстрелов, поэтому при стрельбе с закрытых позиций основной расчет делался на подвозимые боеприпасы. Стоит отметить, что в боевом положении часть расчета С-51, состоящего из 10 человек, размещалась не на САУ, а на земле.</w:t>
      </w:r>
    </w:p>
    <w:p w14:paraId="6E3378E4" w14:textId="77777777" w:rsidR="00282955" w:rsidRPr="007224C3" w:rsidRDefault="0028295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активную фазу программа тяжелых самоходных установок откры</w:t>
      </w:r>
      <w:r w:rsidRPr="007224C3">
        <w:rPr>
          <w:rFonts w:ascii="Times New Roman" w:hAnsi="Times New Roman"/>
          <w:color w:val="000000" w:themeColor="text1"/>
          <w:sz w:val="16"/>
          <w:szCs w:val="16"/>
        </w:rPr>
        <w:softHyphen/>
        <w:t>того типа вошла к началу февраля. Стоит отметить, что С-51 продолжа</w:t>
      </w:r>
      <w:r w:rsidRPr="007224C3">
        <w:rPr>
          <w:rFonts w:ascii="Times New Roman" w:hAnsi="Times New Roman"/>
          <w:color w:val="000000" w:themeColor="text1"/>
          <w:sz w:val="16"/>
          <w:szCs w:val="16"/>
        </w:rPr>
        <w:softHyphen/>
        <w:t>ла оставаться в нижних приоритетах, поэтому данная САУ отсутствует в списке первоочередных программ, о которых докладывали наверх. Впервые самоходная установка была упомянута в письме Устинова Яковлеву от 15 февраля 1944 года, причем речь шла уже о готовой ма</w:t>
      </w:r>
      <w:r w:rsidRPr="007224C3">
        <w:rPr>
          <w:rFonts w:ascii="Times New Roman" w:hAnsi="Times New Roman"/>
          <w:color w:val="000000" w:themeColor="text1"/>
          <w:sz w:val="16"/>
          <w:szCs w:val="16"/>
        </w:rPr>
        <w:softHyphen/>
        <w:t>шине (17484).</w:t>
      </w:r>
    </w:p>
    <w:p w14:paraId="47B1C461" w14:textId="77777777" w:rsidR="00282955" w:rsidRPr="007224C3" w:rsidRDefault="00282955" w:rsidP="007224C3">
      <w:pPr>
        <w:spacing w:after="0" w:line="240" w:lineRule="auto"/>
        <w:jc w:val="both"/>
        <w:rPr>
          <w:rFonts w:ascii="Times New Roman" w:hAnsi="Times New Roman"/>
          <w:color w:val="000000" w:themeColor="text1"/>
          <w:sz w:val="16"/>
          <w:szCs w:val="16"/>
        </w:rPr>
      </w:pPr>
    </w:p>
    <w:p w14:paraId="09C79954" w14:textId="77777777" w:rsidR="00792F77" w:rsidRPr="007224C3" w:rsidRDefault="00792F77" w:rsidP="007224C3">
      <w:pPr>
        <w:pStyle w:val="ae"/>
        <w:shd w:val="clear" w:color="auto" w:fill="FFFFFF"/>
        <w:spacing w:before="0" w:after="0"/>
        <w:jc w:val="both"/>
        <w:rPr>
          <w:color w:val="000000" w:themeColor="text1"/>
          <w:sz w:val="16"/>
          <w:szCs w:val="16"/>
        </w:rPr>
      </w:pPr>
      <w:r w:rsidRPr="007224C3">
        <w:rPr>
          <w:color w:val="000000" w:themeColor="text1"/>
          <w:sz w:val="16"/>
          <w:szCs w:val="16"/>
        </w:rPr>
        <w:t>В январе 1944 года в ЦАКБ начали строить самоходную установку, получившую заводской индекс С-51. При её создании ЦАКБ пришлось делать сложный выбор. В теории для установки Б-4 на шасси КВ-1с нужно было удлинять корпус и добавить дополнительную пару катков. Но в условиях военного времени необходимость создания специального шасси отправляла проект в стол. По этой причине в ЦАКБ приняли решение не вносить в ходовую часть изменений. На крыльях ремонтного КВ-1с соорудили платформу, на которой в боевом положении размещалась часть расчёта. Внутренние полости платформы выполняли роль ящиков ЗИП, для предотвращения несчастных случаев платформа получила ограждения. Основная часть боезапаса хранилась в штатных деревянных ящиках, которые в походном положении лежали на настиле платформы и крепились к поручням.</w:t>
      </w:r>
    </w:p>
    <w:p w14:paraId="4951E80F" w14:textId="77777777" w:rsidR="00792F77" w:rsidRPr="007224C3" w:rsidRDefault="00792F77" w:rsidP="007224C3">
      <w:pPr>
        <w:pStyle w:val="ae"/>
        <w:shd w:val="clear" w:color="auto" w:fill="FFFFFF"/>
        <w:spacing w:before="0" w:after="0"/>
        <w:jc w:val="both"/>
        <w:rPr>
          <w:color w:val="000000" w:themeColor="text1"/>
          <w:sz w:val="16"/>
          <w:szCs w:val="16"/>
        </w:rPr>
      </w:pPr>
      <w:r w:rsidRPr="007224C3">
        <w:rPr>
          <w:color w:val="000000" w:themeColor="text1"/>
          <w:sz w:val="16"/>
          <w:szCs w:val="16"/>
        </w:rPr>
        <w:t>Для удобства подъёма и спуска на кормовом листе САУ были установлены откидывающиеся лесенки. Между лесенками разместились откидные направляющие, по которым перемещался кокор. Направляющие были нужны прежде всего для заряжания орудия с земли. В боевом положении часть расчёта С-51, состоящего из 10 человек, размещалась не на САУ, а на земле.</w:t>
      </w:r>
    </w:p>
    <w:p w14:paraId="6640584B" w14:textId="77777777" w:rsidR="00792F77" w:rsidRPr="007224C3" w:rsidRDefault="00792F77" w:rsidP="007224C3">
      <w:pPr>
        <w:pStyle w:val="ae"/>
        <w:shd w:val="clear" w:color="auto" w:fill="FFFFFF"/>
        <w:spacing w:before="0" w:after="0"/>
        <w:jc w:val="both"/>
        <w:rPr>
          <w:color w:val="000000" w:themeColor="text1"/>
          <w:sz w:val="16"/>
          <w:szCs w:val="16"/>
        </w:rPr>
      </w:pPr>
      <w:r w:rsidRPr="007224C3">
        <w:rPr>
          <w:color w:val="000000" w:themeColor="text1"/>
          <w:sz w:val="16"/>
          <w:szCs w:val="16"/>
        </w:rPr>
        <w:t>Качающаяся часть 203-мм гаубицы Б-4 была взята без изменений. Орудие конструкторы вынесли далеко вперёд, его основание частично нависало над отделением управления. В походном положении ствол гаубицы оттягивался назад. Орудие было установлено на специальную раму, которая частично перекрывала сектор обзора смотрового прибора механика-водителя.</w:t>
      </w:r>
    </w:p>
    <w:p w14:paraId="4D883513" w14:textId="77777777" w:rsidR="00792F77" w:rsidRPr="007224C3" w:rsidRDefault="00792F77" w:rsidP="007224C3">
      <w:pPr>
        <w:pStyle w:val="ae"/>
        <w:shd w:val="clear" w:color="auto" w:fill="FFFFFF"/>
        <w:spacing w:before="0" w:after="0"/>
        <w:jc w:val="both"/>
        <w:rPr>
          <w:color w:val="000000" w:themeColor="text1"/>
          <w:sz w:val="16"/>
          <w:szCs w:val="16"/>
        </w:rPr>
      </w:pPr>
      <w:r w:rsidRPr="007224C3">
        <w:rPr>
          <w:color w:val="000000" w:themeColor="text1"/>
          <w:sz w:val="16"/>
          <w:szCs w:val="16"/>
        </w:rPr>
        <w:t>Изначально система не имела щитового прикрытия. Позже спереди был установлен орудийный щит толщиной 7 мм, который служил для защиты расчёта от осколков. Щит состоял из двух частей, которые для удобства перевода ствола Б-4 из походного положения в боевое откидывались вперёд. При этом щит упирался специальными опорами в ходовую часть (18075).</w:t>
      </w:r>
    </w:p>
    <w:p w14:paraId="7D68EF18" w14:textId="77777777" w:rsidR="00792F77" w:rsidRPr="007224C3" w:rsidRDefault="00792F77" w:rsidP="007224C3">
      <w:pPr>
        <w:shd w:val="clear" w:color="auto" w:fill="FFFFFF"/>
        <w:spacing w:after="0" w:line="240" w:lineRule="auto"/>
        <w:jc w:val="both"/>
        <w:rPr>
          <w:rFonts w:ascii="Times New Roman" w:hAnsi="Times New Roman"/>
          <w:noProof/>
          <w:color w:val="000000" w:themeColor="text1"/>
          <w:sz w:val="16"/>
          <w:szCs w:val="16"/>
          <w:lang w:eastAsia="ru-RU"/>
        </w:rPr>
      </w:pPr>
    </w:p>
    <w:p w14:paraId="3DA959B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январе 1944 успешно прошли гос. испытая разработанного в декабре 1944 на Уралмашзаводе опытного образеца Су-85БМ с пушкой Д5-С85БМ со стволом, удлиненным на 1068 мм и скоростью снаряда 900 м/сек (4406).</w:t>
      </w:r>
    </w:p>
    <w:p w14:paraId="24E38DD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C501B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январе 1944 г. Управлением Самоходной артиллерии были выдвинуты уточненные ТТТ к устройству СУ-100. В основу их было положено:</w:t>
      </w:r>
    </w:p>
    <w:p w14:paraId="48E095F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для самохода используется шасси и МТО СУ-85;</w:t>
      </w:r>
    </w:p>
    <w:p w14:paraId="6AE4EFB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вооружением служит специальная 100-мм самоходная пушка Д-10С завода № 9;</w:t>
      </w:r>
    </w:p>
    <w:p w14:paraId="6BCCAC3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вес самохода допускается на 1,5 тонны выше, чем серий</w:t>
      </w:r>
      <w:r w:rsidRPr="007224C3">
        <w:rPr>
          <w:rFonts w:ascii="Times New Roman" w:hAnsi="Times New Roman"/>
          <w:color w:val="000000" w:themeColor="text1"/>
          <w:sz w:val="16"/>
          <w:szCs w:val="16"/>
        </w:rPr>
        <w:softHyphen/>
        <w:t>ный СУ-85, то есть не свыше 31 тонны;</w:t>
      </w:r>
    </w:p>
    <w:p w14:paraId="25F7ECD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увеличение толщины брони лобового листа корпуса преду</w:t>
      </w:r>
      <w:r w:rsidRPr="007224C3">
        <w:rPr>
          <w:rFonts w:ascii="Times New Roman" w:hAnsi="Times New Roman"/>
          <w:color w:val="000000" w:themeColor="text1"/>
          <w:sz w:val="16"/>
          <w:szCs w:val="16"/>
        </w:rPr>
        <w:softHyphen/>
        <w:t>смотрено до 75мм;</w:t>
      </w:r>
    </w:p>
    <w:p w14:paraId="3345976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обзорность увеличивается применением смотровых при</w:t>
      </w:r>
      <w:r w:rsidRPr="007224C3">
        <w:rPr>
          <w:rFonts w:ascii="Times New Roman" w:hAnsi="Times New Roman"/>
          <w:color w:val="000000" w:themeColor="text1"/>
          <w:sz w:val="16"/>
          <w:szCs w:val="16"/>
        </w:rPr>
        <w:softHyphen/>
        <w:t>боров типа МК-1Уи смотровой командирской башенки;</w:t>
      </w:r>
    </w:p>
    <w:p w14:paraId="0FCDECB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ввидуЪерегрузки передних опорных катков ввести усиле</w:t>
      </w:r>
      <w:r w:rsidRPr="007224C3">
        <w:rPr>
          <w:rFonts w:ascii="Times New Roman" w:hAnsi="Times New Roman"/>
          <w:color w:val="000000" w:themeColor="text1"/>
          <w:sz w:val="16"/>
          <w:szCs w:val="16"/>
        </w:rPr>
        <w:softHyphen/>
        <w:t>ние передней подвески увеличением диаметра проволоки пружин с 30мм до 34мм...»</w:t>
      </w:r>
    </w:p>
    <w:p w14:paraId="69FFC97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Однако вскоре выяснилось, что 100-мм универсальная морская пушка Б-34, принятая в качестве прототипа само</w:t>
      </w:r>
      <w:r w:rsidRPr="007224C3">
        <w:rPr>
          <w:rFonts w:ascii="Times New Roman" w:hAnsi="Times New Roman"/>
          <w:color w:val="000000" w:themeColor="text1"/>
          <w:sz w:val="16"/>
          <w:szCs w:val="16"/>
        </w:rPr>
        <w:softHyphen/>
        <w:t>ходного орудия, имеет в боекомплекте только осколочно-фу</w:t>
      </w:r>
      <w:r w:rsidRPr="007224C3">
        <w:rPr>
          <w:rFonts w:ascii="Times New Roman" w:hAnsi="Times New Roman"/>
          <w:color w:val="000000" w:themeColor="text1"/>
          <w:sz w:val="16"/>
          <w:szCs w:val="16"/>
        </w:rPr>
        <w:softHyphen/>
        <w:t>гасные и дистанционные гранаты, а разработка бронебойно</w:t>
      </w:r>
      <w:r w:rsidRPr="007224C3">
        <w:rPr>
          <w:rFonts w:ascii="Times New Roman" w:hAnsi="Times New Roman"/>
          <w:color w:val="000000" w:themeColor="text1"/>
          <w:sz w:val="16"/>
          <w:szCs w:val="16"/>
        </w:rPr>
        <w:softHyphen/>
        <w:t>го снаряда может быть реализована не ранее второго полуго</w:t>
      </w:r>
      <w:r w:rsidRPr="007224C3">
        <w:rPr>
          <w:rFonts w:ascii="Times New Roman" w:hAnsi="Times New Roman"/>
          <w:color w:val="000000" w:themeColor="text1"/>
          <w:sz w:val="16"/>
          <w:szCs w:val="16"/>
        </w:rPr>
        <w:softHyphen/>
        <w:t>дия 1944 г. Это позволило начальнику ЦАКБ ВТ. Грабину в жесткой форме потребовать, чтобы конструкторы приспособили свою боевую машину к его пушке. Пока велась не впол</w:t>
      </w:r>
      <w:r w:rsidRPr="007224C3">
        <w:rPr>
          <w:rFonts w:ascii="Times New Roman" w:hAnsi="Times New Roman"/>
          <w:color w:val="000000" w:themeColor="text1"/>
          <w:sz w:val="16"/>
          <w:szCs w:val="16"/>
        </w:rPr>
        <w:softHyphen/>
        <w:t>не вежливая переписка КБ Уралмашзавода с ЦАКБ, завод № 9 изготовил опытный образец своего варианта 100-мм са</w:t>
      </w:r>
      <w:r w:rsidRPr="007224C3">
        <w:rPr>
          <w:rFonts w:ascii="Times New Roman" w:hAnsi="Times New Roman"/>
          <w:color w:val="000000" w:themeColor="text1"/>
          <w:sz w:val="16"/>
          <w:szCs w:val="16"/>
        </w:rPr>
        <w:softHyphen/>
        <w:t>моходной пушки, получившей индекс Д10-С, отличавшейся от С-34 значительно меньшими габаритами и весом. При этом были учтены некоторые «проколы» с Д5, и новое орудие оказалось даже немного проще и надежнее (11414).</w:t>
      </w:r>
    </w:p>
    <w:p w14:paraId="14E13DB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20095AA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январе 1944 г. на</w:t>
      </w:r>
      <w:r w:rsidRPr="007224C3">
        <w:rPr>
          <w:rFonts w:ascii="Times New Roman" w:hAnsi="Times New Roman"/>
          <w:color w:val="000000" w:themeColor="text1"/>
          <w:sz w:val="16"/>
          <w:szCs w:val="16"/>
        </w:rPr>
        <w:softHyphen/>
        <w:t>чальник ОГК Бер пишет своему шефу:</w:t>
      </w:r>
    </w:p>
    <w:p w14:paraId="21E7122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«Пока нет четкого понимания, какой легкий танк нужен Главный вопрос — тип двигателя решен в пользу амер. Джи-Эм-Си мощностью 180-200 л.с., что позволит танку массой около 12-14 тн. иметь хорошую подвижность.»</w:t>
      </w:r>
    </w:p>
    <w:p w14:paraId="38B0546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Трудно «казать, как развивались события далее, но КБ завода № 38;.(М. Щукин) в 1944 г. получило задание на проектирование легкого танка со следующими ТТХ: «1). Боевой вес танка — 11-13 тн;</w:t>
      </w:r>
    </w:p>
    <w:p w14:paraId="5FA4003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Габаритные размеры — не превышающие СУ-38;</w:t>
      </w:r>
    </w:p>
    <w:p w14:paraId="31A9FCC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Вооружение установить во вращающейся башне с воз</w:t>
      </w:r>
      <w:r w:rsidRPr="007224C3">
        <w:rPr>
          <w:rFonts w:ascii="Times New Roman" w:hAnsi="Times New Roman"/>
          <w:color w:val="000000" w:themeColor="text1"/>
          <w:sz w:val="16"/>
          <w:szCs w:val="16"/>
        </w:rPr>
        <w:softHyphen/>
        <w:t>можностью наведения до 70 град. По вертикали.</w:t>
      </w:r>
    </w:p>
    <w:p w14:paraId="615419B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Состав вооружения: 82-мм казнозарядный миномет, спа</w:t>
      </w:r>
      <w:r w:rsidRPr="007224C3">
        <w:rPr>
          <w:rFonts w:ascii="Times New Roman" w:hAnsi="Times New Roman"/>
          <w:color w:val="000000" w:themeColor="text1"/>
          <w:sz w:val="16"/>
          <w:szCs w:val="16"/>
        </w:rPr>
        <w:softHyphen/>
        <w:t>ренный с 12,7-мм пулеметом, либо 76-мм полк, пушка обр. 1943, спаренная с 7,62-м пулеметом, либо миномет в строенной установке с 12,7-мм пулеметом и 7,62-мм пу</w:t>
      </w:r>
      <w:r w:rsidRPr="007224C3">
        <w:rPr>
          <w:rFonts w:ascii="Times New Roman" w:hAnsi="Times New Roman"/>
          <w:color w:val="000000" w:themeColor="text1"/>
          <w:sz w:val="16"/>
          <w:szCs w:val="16"/>
        </w:rPr>
        <w:softHyphen/>
        <w:t>леметом...</w:t>
      </w:r>
    </w:p>
    <w:p w14:paraId="726C5C9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5). Двигатель — дизель ярославского завода в 200л.с.</w:t>
      </w:r>
    </w:p>
    <w:p w14:paraId="422A2E5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Трансмиссия — КПП ЗИС автомобильного типа.</w:t>
      </w:r>
    </w:p>
    <w:p w14:paraId="674136C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Ходовая часть и подвеска — по типу СУ- 76М.</w:t>
      </w:r>
    </w:p>
    <w:p w14:paraId="4BDFEC8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Скоростные данные — до 45 км/ч по шоссе, 30 км/ч на мес</w:t>
      </w:r>
      <w:r w:rsidRPr="007224C3">
        <w:rPr>
          <w:rFonts w:ascii="Times New Roman" w:hAnsi="Times New Roman"/>
          <w:color w:val="000000" w:themeColor="text1"/>
          <w:sz w:val="16"/>
          <w:szCs w:val="16"/>
        </w:rPr>
        <w:softHyphen/>
        <w:t>тности.</w:t>
      </w:r>
    </w:p>
    <w:p w14:paraId="6880D3C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Запас хода — не менее 250 клм на внутренних баках.»</w:t>
      </w:r>
    </w:p>
    <w:p w14:paraId="314934A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Срок исполнения проекта оговаривался до 1 марта. Но фактически проектировщики смогли приступить к работе только в середине февраля, предоставив 1 марта следующее:</w:t>
      </w:r>
    </w:p>
    <w:p w14:paraId="607525A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Схема компоновки МТО танка;</w:t>
      </w:r>
    </w:p>
    <w:p w14:paraId="0932931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Схема установки вооружения из 76-мм полк, пушки обр. 1942 и пулемета в башне;</w:t>
      </w:r>
    </w:p>
    <w:p w14:paraId="7440E8B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Чертеж бронекорпуса с указанием толщин брони;</w:t>
      </w:r>
    </w:p>
    <w:p w14:paraId="792D744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Развернутые ТТХ танка.</w:t>
      </w:r>
    </w:p>
    <w:p w14:paraId="5FD2848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сожалению, более никакой информации по легкому танку 1944-1945 гг. автор не имеет (11135).</w:t>
      </w:r>
    </w:p>
    <w:p w14:paraId="2A3447C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2B2715D" w14:textId="77777777" w:rsidR="00DF41EB" w:rsidRPr="007224C3" w:rsidRDefault="00DF41E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январе 1944 завод № 200 отметил перевыполнение плана: помимо 50 ИС-152, завод сдал ещё две СУ-152 сверх плана. При этом в январе отправили 65 машин, в том числе 15 из задела прошлого года. На заводе происходила серьёзная реорганизация производства. В Челябинске начали готовиться к переходу на конвейерное производство САУ. Это внесло свои коррективы в работу завода, но уже в январе отмечались и первые положительные результаты. Время на сборку машины у некоторых бригад сократилось с 3 суток до 24–30 часов. Улучшилось и качество выпускаемых машин. Семь САУ приняли вообще без дефектов, с одним дефектом было 9 машин, с двумя 18, с тремя 9.</w:t>
      </w:r>
    </w:p>
    <w:p w14:paraId="02B3CEFC" w14:textId="77777777" w:rsidR="00DF41EB" w:rsidRPr="007224C3" w:rsidRDefault="00DF41E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Тем не менее с качеством не всё было гладко, что подтверждали отзывы из частей. На заводе об этом знали, работы по улучшению качества продолжались. Также вносились небольшие изменения в конструкцию, в частности, были улучшены соединения трубопроводов, а тросы приборов получили металлические кожухи (18171).</w:t>
      </w:r>
    </w:p>
    <w:p w14:paraId="471856FD" w14:textId="77777777" w:rsidR="00DF41EB" w:rsidRPr="007224C3" w:rsidRDefault="00DF41EB" w:rsidP="007224C3">
      <w:pPr>
        <w:spacing w:after="0" w:line="240" w:lineRule="auto"/>
        <w:jc w:val="both"/>
        <w:rPr>
          <w:rFonts w:ascii="Times New Roman" w:hAnsi="Times New Roman"/>
          <w:color w:val="000000" w:themeColor="text1"/>
          <w:sz w:val="16"/>
          <w:szCs w:val="16"/>
        </w:rPr>
      </w:pPr>
    </w:p>
    <w:p w14:paraId="0BCDFFA8" w14:textId="77777777" w:rsidR="00DF41EB" w:rsidRPr="007224C3" w:rsidRDefault="00DF41E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января 1944 года на УЗТМ началась работа по переделке цехов под выпуск бронекорпусов ИС-152. Ведь на фоне увеличения производства корпусов для ИС-2 завод №200 в январе 1944 года сдал 70 комплектов корпусов и рубок для ИСУ-152, в феврале их было 56 штук, в марте 35 штук, а в апреле и вовсе ни одного. В конце концов УЗТМ, выпускавший корпуса ИСУ-152 с февраля 1944 года, стал их единственным производителем.</w:t>
      </w:r>
    </w:p>
    <w:p w14:paraId="78D58F0B" w14:textId="77777777" w:rsidR="00DF41EB" w:rsidRPr="007224C3" w:rsidRDefault="00DF41E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января по март 1944 года завод №178 выпускал подвижную часть бронировки системы. Завод №264 занимался изготовлением рубок.</w:t>
      </w:r>
    </w:p>
    <w:p w14:paraId="33DD8FFC" w14:textId="77777777" w:rsidR="00DF41EB" w:rsidRPr="007224C3" w:rsidRDefault="00DF41E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Благодаря сборке корпусов на одном заводе самоходная установка на базе ИС-2, в отличие от самого танка, разнообразием внешнего вида не отличалась. Корпуса выпуска УЗТМ отличались характерным следом от «литника» на лобовой детали корпуса, а также конструкцией поручней. Как и на башнях ИС-2, вместо длинных планок использовались отдельные поручни (по два с левой и с правой сторон рубки). С июня 1944 года крепления траков перенесли с нижней кормовой детали корпуса на лобовую деталь (18171).</w:t>
      </w:r>
    </w:p>
    <w:p w14:paraId="55E97B1B" w14:textId="77777777" w:rsidR="00DF41EB" w:rsidRPr="007224C3" w:rsidRDefault="00DF41EB" w:rsidP="007224C3">
      <w:pPr>
        <w:spacing w:after="0" w:line="240" w:lineRule="auto"/>
        <w:jc w:val="both"/>
        <w:rPr>
          <w:rFonts w:ascii="Times New Roman" w:hAnsi="Times New Roman"/>
          <w:color w:val="000000" w:themeColor="text1"/>
          <w:sz w:val="16"/>
          <w:szCs w:val="16"/>
        </w:rPr>
      </w:pPr>
    </w:p>
    <w:p w14:paraId="79249C5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январе 1944 г. на артполигоне УЗТМ производил</w:t>
      </w:r>
      <w:r w:rsidRPr="007224C3">
        <w:rPr>
          <w:rFonts w:ascii="Times New Roman" w:hAnsi="Times New Roman"/>
          <w:color w:val="000000" w:themeColor="text1"/>
          <w:sz w:val="16"/>
          <w:szCs w:val="16"/>
        </w:rPr>
        <w:softHyphen/>
        <w:t>ся обстрел же по комплектным образ</w:t>
      </w:r>
      <w:r w:rsidRPr="007224C3">
        <w:rPr>
          <w:rFonts w:ascii="Times New Roman" w:hAnsi="Times New Roman"/>
          <w:color w:val="000000" w:themeColor="text1"/>
          <w:sz w:val="16"/>
          <w:szCs w:val="16"/>
        </w:rPr>
        <w:softHyphen/>
        <w:t>цам трофейных танков из серийного ИС-122 и показал, что лобовую броню танка «Пантера» штатный 122-мм снаряд легко пробивает с расстояния 600—700 м, тогда как улуч</w:t>
      </w:r>
      <w:r w:rsidRPr="007224C3">
        <w:rPr>
          <w:rFonts w:ascii="Times New Roman" w:hAnsi="Times New Roman"/>
          <w:color w:val="000000" w:themeColor="text1"/>
          <w:sz w:val="16"/>
          <w:szCs w:val="16"/>
        </w:rPr>
        <w:softHyphen/>
        <w:t>шенный бронебойно-трассирующий снаряд с разрывной каморой (изготовленный по чертежу № 2-2868 А) мог по</w:t>
      </w:r>
      <w:r w:rsidRPr="007224C3">
        <w:rPr>
          <w:rFonts w:ascii="Times New Roman" w:hAnsi="Times New Roman"/>
          <w:color w:val="000000" w:themeColor="text1"/>
          <w:sz w:val="16"/>
          <w:szCs w:val="16"/>
        </w:rPr>
        <w:softHyphen/>
        <w:t>ражать ее с 1200-1400 м, почему НКБ с 15 января 1944 г. начал выпуск бронебойных снарядов калибра 122-мм именно данного типа.</w:t>
      </w:r>
    </w:p>
    <w:p w14:paraId="0C8F88A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«Тигр» оказался вполне «по зубам» новой 122-мм пушке — его лоб свободно пробивался штатным бронебойным сна</w:t>
      </w:r>
      <w:r w:rsidRPr="007224C3">
        <w:rPr>
          <w:rFonts w:ascii="Times New Roman" w:hAnsi="Times New Roman"/>
          <w:color w:val="000000" w:themeColor="text1"/>
          <w:sz w:val="16"/>
          <w:szCs w:val="16"/>
        </w:rPr>
        <w:softHyphen/>
        <w:t>рядом с 1200—1500 м, а улучшенным — с 1800 м и далее, но с таких расстояний вести прицельную стрельбу из ИС могли только хорошо подготовленные экипажи, так как качество оптического стекла первых прицелов танка ИС было еще не</w:t>
      </w:r>
      <w:r w:rsidRPr="007224C3">
        <w:rPr>
          <w:rFonts w:ascii="Times New Roman" w:hAnsi="Times New Roman"/>
          <w:color w:val="000000" w:themeColor="text1"/>
          <w:sz w:val="16"/>
          <w:szCs w:val="16"/>
        </w:rPr>
        <w:softHyphen/>
        <w:t>достаточным. К тому же взметавшееся с земли во время пер</w:t>
      </w:r>
      <w:r w:rsidRPr="007224C3">
        <w:rPr>
          <w:rFonts w:ascii="Times New Roman" w:hAnsi="Times New Roman"/>
          <w:color w:val="000000" w:themeColor="text1"/>
          <w:sz w:val="16"/>
          <w:szCs w:val="16"/>
        </w:rPr>
        <w:softHyphen/>
        <w:t>вого выстрела облако пьши (снега, воды из луж) полностью закрывало цель на 2-30 с, иногда совершенно загрязняя объ</w:t>
      </w:r>
      <w:r w:rsidRPr="007224C3">
        <w:rPr>
          <w:rFonts w:ascii="Times New Roman" w:hAnsi="Times New Roman"/>
          <w:color w:val="000000" w:themeColor="text1"/>
          <w:sz w:val="16"/>
          <w:szCs w:val="16"/>
        </w:rPr>
        <w:softHyphen/>
        <w:t>ектив прицела. Это было следствием применения дульного тормоза и потребовало оснастить объектив прицела специ</w:t>
      </w:r>
      <w:r w:rsidRPr="007224C3">
        <w:rPr>
          <w:rFonts w:ascii="Times New Roman" w:hAnsi="Times New Roman"/>
          <w:color w:val="000000" w:themeColor="text1"/>
          <w:sz w:val="16"/>
          <w:szCs w:val="16"/>
        </w:rPr>
        <w:softHyphen/>
        <w:t>альной блендой (11135).</w:t>
      </w:r>
    </w:p>
    <w:p w14:paraId="797A6C0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E5577EF" w14:textId="77777777" w:rsidR="009503FE" w:rsidRPr="007224C3" w:rsidRDefault="009503FE"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 январе 1944 вступил в строй Алтайский тракторный завод им. М.И. Калинина. На нем начался выпуск тракторов СТЗ-НАТИ под маркой АТЗ-НАТИ (22518).</w:t>
      </w:r>
    </w:p>
    <w:p w14:paraId="3FE6EBF6" w14:textId="77777777" w:rsidR="009503FE" w:rsidRPr="007224C3" w:rsidRDefault="009503FE" w:rsidP="007224C3">
      <w:pPr>
        <w:spacing w:after="0" w:line="240" w:lineRule="auto"/>
        <w:jc w:val="both"/>
        <w:rPr>
          <w:rFonts w:ascii="Times New Roman" w:hAnsi="Times New Roman"/>
          <w:color w:val="0070C0"/>
          <w:sz w:val="16"/>
          <w:szCs w:val="16"/>
        </w:rPr>
      </w:pPr>
    </w:p>
    <w:p w14:paraId="688EF799" w14:textId="77777777" w:rsidR="00792F77" w:rsidRPr="007224C3" w:rsidRDefault="00792F77" w:rsidP="007224C3">
      <w:pPr>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hAnsi="Times New Roman"/>
          <w:color w:val="000000" w:themeColor="text1"/>
          <w:sz w:val="16"/>
          <w:szCs w:val="16"/>
        </w:rPr>
        <w:t xml:space="preserve">За январь 1944 года завод №40 сдал положенные 75 машин, а завод №38 и ГАЗ снова перевыполнили план, сдав 141 и 316 машин соответственно. </w:t>
      </w:r>
    </w:p>
    <w:p w14:paraId="4FBD851E" w14:textId="77777777" w:rsidR="00792F77" w:rsidRPr="007224C3" w:rsidRDefault="00792F77" w:rsidP="007224C3">
      <w:pPr>
        <w:pStyle w:val="ae"/>
        <w:shd w:val="clear" w:color="auto" w:fill="FFFFFF"/>
        <w:spacing w:before="0" w:after="0"/>
        <w:jc w:val="both"/>
        <w:rPr>
          <w:color w:val="000000" w:themeColor="text1"/>
          <w:sz w:val="16"/>
          <w:szCs w:val="16"/>
        </w:rPr>
      </w:pPr>
      <w:r w:rsidRPr="007224C3">
        <w:rPr>
          <w:color w:val="000000" w:themeColor="text1"/>
          <w:sz w:val="16"/>
          <w:szCs w:val="16"/>
        </w:rPr>
        <w:t>Несмотря на недопоставки двигателей, темпы выпуска СУ-76М выглядели неплохо. В феврале в Мытищах, Горьком и Кирове сдали 85, 141 и 341 СУ-76, в марте — 87, 176 и 365 штук. Перевыполнение планов требовало от заводов невероятных усилий. В начале 1944 года появились перебои с поставками орудий, которые теперь вместо завода №92 поступали с завода №235. Масса нареканий имелась к радиостанциям 12-РТ. Имелись проблемы с трещинами в корпусах САУ (17728).</w:t>
      </w:r>
    </w:p>
    <w:p w14:paraId="34A8B640" w14:textId="77777777" w:rsidR="00792F77" w:rsidRPr="007224C3" w:rsidRDefault="00792F77" w:rsidP="007224C3">
      <w:pPr>
        <w:spacing w:after="0" w:line="240" w:lineRule="auto"/>
        <w:jc w:val="both"/>
        <w:rPr>
          <w:rFonts w:ascii="Times New Roman" w:eastAsia="Times New Roman" w:hAnsi="Times New Roman"/>
          <w:color w:val="000000" w:themeColor="text1"/>
          <w:sz w:val="16"/>
          <w:szCs w:val="16"/>
          <w:lang w:eastAsia="ru-RU"/>
        </w:rPr>
      </w:pPr>
    </w:p>
    <w:p w14:paraId="476493BC" w14:textId="77777777" w:rsidR="00792F77" w:rsidRPr="007224C3" w:rsidRDefault="00792F77" w:rsidP="007224C3">
      <w:pPr>
        <w:pStyle w:val="ae"/>
        <w:shd w:val="clear" w:color="auto" w:fill="FFFFFF"/>
        <w:spacing w:before="0" w:after="0"/>
        <w:jc w:val="both"/>
        <w:rPr>
          <w:color w:val="000000" w:themeColor="text1"/>
          <w:sz w:val="16"/>
          <w:szCs w:val="16"/>
        </w:rPr>
      </w:pPr>
      <w:r w:rsidRPr="007224C3">
        <w:rPr>
          <w:color w:val="000000" w:themeColor="text1"/>
          <w:sz w:val="16"/>
          <w:szCs w:val="16"/>
        </w:rPr>
        <w:t>В январе 1944 года проблемы с качеством КПП оказались настолько серьёзными, что их выпуск в Миассе фактически остановился. Для решения этой проблемы на заводе срочно была организована военная приёмка. Тем не менее проблемы с коробками передач ещё долго преследовали самоходные установки. По состоянию на 8 февраля 1944 года на ГАЗ имелось 97 СУ-76М, которые не могли отправить в войска из-за проблем с КПП (17728).</w:t>
      </w:r>
    </w:p>
    <w:p w14:paraId="78846F02" w14:textId="77777777" w:rsidR="00792F77" w:rsidRPr="007224C3" w:rsidRDefault="00792F77" w:rsidP="007224C3">
      <w:pPr>
        <w:spacing w:after="0" w:line="240" w:lineRule="auto"/>
        <w:jc w:val="both"/>
        <w:rPr>
          <w:rFonts w:ascii="Times New Roman" w:eastAsia="Times New Roman" w:hAnsi="Times New Roman"/>
          <w:color w:val="000000" w:themeColor="text1"/>
          <w:sz w:val="16"/>
          <w:szCs w:val="16"/>
          <w:lang w:eastAsia="ru-RU"/>
        </w:rPr>
      </w:pPr>
    </w:p>
    <w:p w14:paraId="0BA3862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январе 1944 г. руководителем МФ ЦНИИ-48 назначается Засецкий Георгий Федорович. МФ ЦНИИ-48 переезжает в пустующее здание Химико-фармацевтического института (Зубовская пл.,д.7) (9835).</w:t>
      </w:r>
    </w:p>
    <w:p w14:paraId="1B5E6BB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566A3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январе 1944 года собрали первую машину БА-64 с двигателем С.С.Неждановского, получившую обозначение БА-64З (буква "З" - зимний). На машине отсутствовал тормоз, раздаточная коробка, передний привод, карданные валы, амортизаторы, запасное колесо. Размеры новой машины увеличились: длина - до 4560 мм, ширина - до 2280 мм, высота - до 2020 мм. Полная масса возросла до 2980 кг (3862).</w:t>
      </w:r>
    </w:p>
    <w:p w14:paraId="5E35EF6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2D8B4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январе 1944 года выпустили модернизированный ГАЗ-67Б, проходивший испытания по июнь. На нем были изменены подшипники переднего моста (старые ограничивали ресурс), усилены передняя подвеска, диски колес, в конце года введен новый распределитель зажигания Р-15 (9638).</w:t>
      </w:r>
    </w:p>
    <w:p w14:paraId="2C44BBE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63E9144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январе 1944 года были представлены разведданне, согласно которым Эрнест Лоуренс на электромагнитной разделительной установке в США получил несколько граммов U-235. При этом ожидалось, что к марту 1945 года производство U-235 составит приблизительно 450 граммов в сутки. Этот метод был ранее неизвестен в СССР и сильно заинтересовал И.В. Курчатова, который поручил провести исследования по этому вопросу М.Г. Мещерякову. При этом в материалах отмечалось, что основное внимание в США уделяется газодиффузионному методу, и началось строительство большого завода производительностью до 1 кг U-235 в сутки в городе Ноксвилл (10549).</w:t>
      </w:r>
    </w:p>
    <w:p w14:paraId="7FBB208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48DC0B9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январе 1944 г. новый тральщик пр. 253Л был включен в состав Балтийского флота. Корабль в целом удовлетворял требованиям моряков и соот</w:t>
      </w:r>
      <w:r w:rsidRPr="007224C3">
        <w:rPr>
          <w:rFonts w:ascii="Times New Roman" w:hAnsi="Times New Roman"/>
          <w:color w:val="000000" w:themeColor="text1"/>
          <w:sz w:val="16"/>
          <w:szCs w:val="16"/>
        </w:rPr>
        <w:softHyphen/>
        <w:t>ветствовал проекту, хотя оказался несколько перегруженным. Ко</w:t>
      </w:r>
      <w:r w:rsidRPr="007224C3">
        <w:rPr>
          <w:rFonts w:ascii="Times New Roman" w:hAnsi="Times New Roman"/>
          <w:color w:val="000000" w:themeColor="text1"/>
          <w:sz w:val="16"/>
          <w:szCs w:val="16"/>
        </w:rPr>
        <w:softHyphen/>
        <w:t>миссия признала необходимым установить камбузную плиту, электрическую тральную лебедку, удлинить на 30 см дымовую тру</w:t>
      </w:r>
      <w:r w:rsidRPr="007224C3">
        <w:rPr>
          <w:rFonts w:ascii="Times New Roman" w:hAnsi="Times New Roman"/>
          <w:color w:val="000000" w:themeColor="text1"/>
          <w:sz w:val="16"/>
          <w:szCs w:val="16"/>
        </w:rPr>
        <w:softHyphen/>
        <w:t>бу и увеличить ее наклон (3898).</w:t>
      </w:r>
    </w:p>
    <w:p w14:paraId="3CB4DE2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BAFFD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январе 1944 г. на ос</w:t>
      </w:r>
      <w:r w:rsidRPr="007224C3">
        <w:rPr>
          <w:rFonts w:ascii="Times New Roman" w:hAnsi="Times New Roman"/>
          <w:color w:val="000000" w:themeColor="text1"/>
          <w:sz w:val="16"/>
          <w:szCs w:val="16"/>
        </w:rPr>
        <w:softHyphen/>
        <w:t>нове изучения пяти различных вариантов, предложенных ЦКБ-18, нарком ВМФ утвердил Тактико-техническое задание на большую подводную лодку (пр. 611). Дальнейшее проектирование показало необходимость увеличения водоизмещения, но сам пр. 611 не вышел из начальной стадии до окончания войны, когда задание было откорректировано с учетом опыта германского подводного кораблестроения. Впоследствии оно бьыо реализовано в проекте под тем же номером, но уже с другими элементами (3898).</w:t>
      </w:r>
    </w:p>
    <w:p w14:paraId="7DF4CE9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A74723" w14:textId="77777777" w:rsidR="00345338" w:rsidRPr="007224C3" w:rsidRDefault="0034533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январе 1944 г. ВМФ на основе разработок ЦКБ-18 было выдано ТТЗ на ПЛ с номером пр.611. Предполагалось создание ПЛ надводным водоизмещением 1100т, с глубиной погружения 150м, скоростями хода 22,0/9,0-10,0уз, дальностями плавания 15000/200миль, вооруженной 6ТА (4 носовыми и 2 кормовыми) с боезапасом 24 торпеды или 48мин, и 3-мя АУ (1-100мм и 2х2-25мм). Однако проектирование этой ПЛ не вышло из начальной стадии и после войны было существенно переработано на основе опыта немецких ПЛ XXIсерии. Большая океанская торпедная подводная лодка пр.611 создавалась для замены ПЛ XIVсерии, которые в рамках программы кораблестроения 1946-1955гг. уже не совсем удовлетворяла требованиям к кораблям этого класса. Программой предусматривалась постройка 40 больших ПЛ, 17 из которых предполагалось сдать флоту в 1947-1950гг. (19843)</w:t>
      </w:r>
    </w:p>
    <w:p w14:paraId="3360DC10" w14:textId="77777777" w:rsidR="00345338" w:rsidRPr="007224C3" w:rsidRDefault="00345338" w:rsidP="007224C3">
      <w:pPr>
        <w:spacing w:after="0" w:line="240" w:lineRule="auto"/>
        <w:jc w:val="both"/>
        <w:rPr>
          <w:rFonts w:ascii="Times New Roman" w:hAnsi="Times New Roman"/>
          <w:color w:val="000000" w:themeColor="text1"/>
          <w:sz w:val="16"/>
          <w:szCs w:val="16"/>
        </w:rPr>
      </w:pPr>
    </w:p>
    <w:p w14:paraId="25E71D31"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2E57B04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513491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В январе 1944 в ходе Ленинградской операции по ликвидации блокады фотографирование обороны противника проводилось в подготовительный период с сентября 1943 года по январь 1944 года, передние линии обороны фотографировались в масштабы 80-90 м в 1 см, тыловые рубежи в - в масштабе 100-120 м в 1 см, широко применено ночное фотографирование для разведки железнодорожных станций, населенных пунктов и т.п., репродукциями с фотосхем обороны противника обеспечены пехотные части до батальона, бронетанковые - до роты, весь рубеж обороны на Карельском перешейке сфотографирован перспективно длиннофокусным аэрофотоаппаратом с фронта и тыла (8983).</w:t>
      </w:r>
    </w:p>
    <w:p w14:paraId="7FE816B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BCC4E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январе 1944 г. 650-й бап сдал несколько уцелевших машин Су-2, и через два месяца завершил перевооружение на Пе-2. Символично, что полк вошел в состав 188-й бад полковника А.И. Пушкина, внесшего значительный вклад в освоение и успешное применение самолетов Сухого.</w:t>
      </w:r>
    </w:p>
    <w:p w14:paraId="35DA719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Возглавляемый майором А.С. Куценко 650-й бап, стал последним полком, который сражался на самолетах Сухого. (Кроме того, на Су-2 действовали, по крайней мере, 12 разведывательных и корректировочных эскадрилий и 18 звеньев; отдельные машины использовались в 90-й и 91-й раэ, 8-м орап, 232-м иап, 205-й иад, штабом 6-й ВА, другими подразделениями и частями.) За эффективные и самоотверженные вылеты в ходе боев на Кубани, часть в августе 1943 г. была награждена орденом Красного Знамени, после чего две эскадрильи из трех перевооружили на Су-2. В сражении над "Голубой линией" в сентябре - октябре особенно отличились экипажи Н.Н. Ма- леги и Г.П. Лепаева, с успехом применявшие потрепанные, но грозные машины ночью. С аэродрома Славянская полк поддерживал наших моряков в ходе Керчинско- Эльгигенской десантной операции, нанеся заметный урон транспортным перевозкам противника в Крыму.</w:t>
      </w:r>
    </w:p>
    <w:p w14:paraId="1845678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Скажем несколько слов о других героях, воевавших на Су-2. Навсегда запомнил М.П. Одинцов, впоследствии генерал-полковник авиации, восьмой боевой вылет. После атаки гитлеровской переправы 3 июля 1941 г. вражеские истребители "не оставили на самолете ни одного живого места", получили серьезные ранения летчик и штурман. Самолет кое-как держался в воздухе, но Одинцов смог благополучно посадить его на своем аэродроме. Михаил Петрович рассказывал, что понадобилось 11 бинтов, чтобы его перевязать. После двукратного налета эскадрилий 210-го бап, возглавляемых лейтенантом И.Л. Карабутом, на передний край противника 29 сентября, командир оборонявшейся здесь 96-й стрелковой дивизии оценил действия летчиков словами: "Выше всяких похвал" (12028).</w:t>
      </w:r>
    </w:p>
    <w:p w14:paraId="39A0A70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6335090A" w14:textId="77777777" w:rsidR="003C231F" w:rsidRPr="007224C3" w:rsidRDefault="003C231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январе 1944 года было решено сформировать третий авиаполк, вооруженный бомбардировщиками Пе-8. Он также вошел в состав 45-й авиационной дивизии дальнего действия и получил номер 562. Тогда же из состава 25-го гв. АПДД и 890-го АПДД были выведены и переданы в 562-й АПДД четыре Пе-8 с заводскими номерами 4221,42099,42510 и 42610, для обучения личного состава нового палка. Однако позже, весной 1944 года, в связи с прекращением производства Пе-8, вооружение полка бомбардировщиками Пе-8 отменили, а пере</w:t>
      </w:r>
      <w:r w:rsidRPr="007224C3">
        <w:rPr>
          <w:rFonts w:ascii="Times New Roman" w:hAnsi="Times New Roman"/>
          <w:color w:val="000000" w:themeColor="text1"/>
          <w:sz w:val="16"/>
          <w:szCs w:val="16"/>
        </w:rPr>
        <w:softHyphen/>
        <w:t>данные бомбардировщики вернули прежним владельцам. Полк решили вооружить бомбардировщиками 8-25. На переданных четырех Пе-8 полк боевых вылетов не совершал (19559).</w:t>
      </w:r>
    </w:p>
    <w:p w14:paraId="04A8BFBE" w14:textId="77777777" w:rsidR="003C231F" w:rsidRPr="007224C3" w:rsidRDefault="003C231F" w:rsidP="007224C3">
      <w:pPr>
        <w:spacing w:after="0" w:line="240" w:lineRule="auto"/>
        <w:jc w:val="both"/>
        <w:rPr>
          <w:rFonts w:ascii="Times New Roman" w:hAnsi="Times New Roman"/>
          <w:color w:val="000000" w:themeColor="text1"/>
          <w:sz w:val="16"/>
          <w:szCs w:val="16"/>
        </w:rPr>
      </w:pPr>
    </w:p>
    <w:p w14:paraId="58D0A03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январе 1944 г. первые АМД-500 были выставлены на Балтике (на Севере из-за больших глубин донные мины не применялись вовсе). АМД-1000 применялись только на Балтийском море начиная с июля 1944 г. В ходе производства новые мины получили приборы срочности и кратности, существенно улучшавшие их противотральные свойства. Ил-4 мог нести до трех АМД-500 или одну АМД-1000, "Бостон" - две мины независимо от калибра. Количество произведенных мин несколько разнится в документах и составляет для АМД-500 1080 штук, для АМД-1000 - 625 штук (по другим данным, до октября 1945 г. произвели 2066 мин обоих типов) (12002).</w:t>
      </w:r>
    </w:p>
    <w:p w14:paraId="569EF65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2B5CF5F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январе 1944 г. первый комплект "Гнейс-2" появился на флоте. Торпедоносец А-20, пилотируемый самим командиром полка И.И. Борзовым. в ночь на 7.4.1944 в крейсерском полете в Рижский залив сумел обнаружить и потопить (по донесению) вражеский танкер в 12 000 т. Конвой противника был обнаружен сначала при помощи РЛС, а затем визуально на лунной дорожке, что и позволило осуществить атаку. 15 октября того же года тот же экипаж, по-видимому, на том же самолете продемонстрировал возможность успешного применения станции днем в сложных метеоусловиях (облачность 10 баллов, высота нижней кромки - 50-100 м, видимость от 100 до 500 м). Тем не менее, широкого распространения эти станции не получили - видимо, сказывались трудности с промышленным освоением, а также надежды, связанные с разработкой новой, более совершенной станции "Гнейс-5". К этому надо добавить, что даже те станции, которые имелись, в частях практически не использовались. Так, ни одна другая, кроме двух вышеописанных атак Борзова в 1944 г., не проводилась с использованием РЛС. Летчик 5-го гмтап ВВС ЧФ лейтенант В.И. Минаков перед ночным вылетом на "охоту" 8.6.1944 на Ил-4 распорядился снять с самолета антенну станции, чтобы она не создавала лишних проблем. Все это говорит о том, что, помимо конструирования и производства нового оружия и технических средств, командование должно еще распорядиться и о переподготовке летного состава. Кстати, и самому командованию необходимо ознакомиться с новой аппаратурой, чтобы представлять ее боевые возможности и особенности применения. Ведь если оно не будет ставить задачи летчикам с упором на использование возможностей новой техники, те так и будут воевать по старинке (12002).</w:t>
      </w:r>
    </w:p>
    <w:p w14:paraId="2855E65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0271917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январе 1944 года снятие блокады Ленинграда стало последней крупной операцией, в которой использовались Т-60. Так, в числе 88 танков 1-й танковой бригады Ленинградского фронта находился 21 танк Т-60, в 220-й танковой бригаде их было 18, а в 124-м танковом полку Волховского фронта к началу операции 16 января 1944 года имелось в наличии лишь 10 боевых машин два Т-34, два Т-70, пять Т-60 и даже один Т-40 (3862).</w:t>
      </w:r>
    </w:p>
    <w:p w14:paraId="59E716A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последующем сохранялось применение Т-60 как машин сопровождения войск на марше, охранения и связи, для разведки боем, борьбы с диверсантами, в качестве арттягачей для буксировки противотанковых пушек ЗИС-2 и дивизионных ЗИС-3, как командирских и учебных танков. В таком виде Т-60 использовались в действующей армии до конца Великой Отечественной войны, а как арттягачи - еще и в войне с Японией (3862).</w:t>
      </w:r>
    </w:p>
    <w:p w14:paraId="115C6E3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Танки Т-60, кроме Красной Армии, встречались только в Войске Польском (3 танка в 1945 году) (3862).</w:t>
      </w:r>
    </w:p>
    <w:p w14:paraId="21FC2BC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сожалению, немало машин Т-60 оказалось "в плену". Немцы чаще всего применяли их как быстроходные бронированные тягачи для противотанковой артиллерии, иногда даже без башен. Некоторое количество захваченных Т-60 они передали своему союзнику - Румынии. Там на их базе построили партию вполне удачных самоходных артиллерийских установок "Такам" с советской 76,2-мм пушкой Ф-22, размещенной в открытой рубке. Бронекорпус и ходовая часть нареканий не вызывали и были оставлены без изменений, за исключением увеличения жесткости подвески. Есть сведения о постройке румынами еще двух типов закрытых артиллерийских установок, в том числе со 105-мм гаубицей, на шасси танка Т-60 (3862).</w:t>
      </w:r>
    </w:p>
    <w:p w14:paraId="6227A92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окончании войны уцелевшие Т-60 быстро списали. До наших дней сохранились всего один полноценный экземпляр в Музее бронетанковой техники в Кубинке (3862).</w:t>
      </w:r>
    </w:p>
    <w:p w14:paraId="269080A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Танк Т-60 оказался отличной базой для проведения различных экспериментальных работ и создания на его основе новых боевых модификаций. Для противовоздушной обороны танковых соединений, стационарных объектов, а также штабов требовалась бронированная зенитно-пулеметная установка, подвижность которой не уступала бы танкам (3862).</w:t>
      </w:r>
    </w:p>
    <w:p w14:paraId="10A35CF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31ECE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январе 1944 на Балтике впервые были использованы отечественные АМД-500, в июле - английские А-5, в сентябре - наши АМД-1000 (одновременно прекратилось использование А-4 - с июля и АМГ-1 -с сентября). Все три типа были донными неконтактными, сбрасываемыми с высот не менее 300 м (для АМД-1000 не менее 600 м) на парашютах. Английская имела общий вес 455 кг и вес ВВ 280 - 290 кг, наши 500/300 и 1000/700 кг соответственно. Несмотря на разницу в размерах и массе взрывчатки, особенности конструкции магнитного взрывателя делали наши мины невосприимчивыми к магнитному полю корабля, проходящего над местами постановок с глубиной более 30 м. Для гораздо более скромной английской мины этот показатель уменьшался до 22 м. На наших минах прибор срочности мог устанавливаться на срок до 10 суток, прибор кратности - до 12 проходов. Новые английские мины прибора кратности не имели. Ил-4 мог поднимать одну АМД-1000 либо три АМД-500 или А-5 (9965).</w:t>
      </w:r>
    </w:p>
    <w:p w14:paraId="245977B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17516FC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январе 1944 г. погодные условия еще более ухудшились. Несмотря на энергичные попытки, в течение месяца торпедоносцам удалось вылетать лишь четырежды. Как правило, все завершалось уже на этапе предварительной разведки погоды, которая в ту зиму изобиловала низкой облачностью и туманами (9965).</w:t>
      </w:r>
    </w:p>
    <w:p w14:paraId="2A3930A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6F0B717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января 1944 года Локхид PV-1, базировавшиеся на Алеутах, начали бомбить северокурильские острова Шумшу и Парамушир. Основными целями являлись японские объекты в Катаоке (ныне Байково) и Касивабаре (Северо-Курильске), а также аэродромы. Эти передовые балы хорошо прикрывались зенитной артиллерией и истребительной авиацией. Немало самолетов получало повреждения, после которых не могли рассчитывать на возвращение домой. Тогда подбитые PV-1 (впрочем, как и самолеты других типов) разворачивались к Камчатке и садились на тамошних аэродромах или просто в тундре (3457,123).</w:t>
      </w:r>
    </w:p>
    <w:p w14:paraId="250BFDE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18588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январе 1944-го из прилетевшей из России эскадрильи образовали на базе Удетфельд в Германии специальный 26-й испытательный отряд по проверке новых видов вооружения, стреляя по трофейным советским танкам. Отряду пришлось испытать целую гамму разнообразного оружия: реактивные снаряды Wfr.Gr.21 и Wfr.Gr.28 калибра 210 мм и 280 мм соответственно, 70-мм ракету "Панцерб-литц 1" и 50-мм "Панцерблитц 2", авиационную мортиру SG 11 ЗА и даже 300-литровые баки с зажигательной смесью. Все это вооружение оказалось либо малоэффективным, либо недоведенным (3039,31).</w:t>
      </w:r>
    </w:p>
    <w:p w14:paraId="3908926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E43F3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январе 1944 г. началось формирование легких самоходно-артиллерийских бригад РВГК по штату № 010/508 (1122 человека, 60 СУ-76, 5 танков Т-70 и 3 БТР МЗА1 «Скаут») (11417).</w:t>
      </w:r>
    </w:p>
    <w:p w14:paraId="075A391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B4CD07E" w14:textId="77777777" w:rsidR="00792F77" w:rsidRPr="007224C3" w:rsidRDefault="00792F77"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В январе 1944 года было последнее упоминание о «Тетрархах» в Красной армии. В сводке бронетанкового ремонтного завода №66 (г. Тбилиси) указывались 3 танка МК-7. За 1943 год на завод было привезено 6 таких машин, но к январю 3 из них уже списали. Та же участь ожидала и оставшиеся танки, поскольку запчастей для их ремонта так и не нашлось (17648).</w:t>
      </w:r>
    </w:p>
    <w:p w14:paraId="3CE740E6" w14:textId="77777777" w:rsidR="00792F77" w:rsidRPr="007224C3" w:rsidRDefault="00792F77" w:rsidP="007224C3">
      <w:pPr>
        <w:spacing w:after="0" w:line="240" w:lineRule="auto"/>
        <w:jc w:val="both"/>
        <w:rPr>
          <w:rStyle w:val="77"/>
          <w:rFonts w:eastAsiaTheme="minorHAnsi"/>
          <w:color w:val="000000" w:themeColor="text1"/>
          <w:sz w:val="16"/>
          <w:szCs w:val="16"/>
        </w:rPr>
      </w:pPr>
    </w:p>
    <w:p w14:paraId="0EB18A3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январе 1944 года были расформированы ЦШПД, Центральная школа подготовки партизанских кадров и Центральная радиошкола (8983).</w:t>
      </w:r>
    </w:p>
    <w:p w14:paraId="4C0FADC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8A90A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январе 1944 года была переброшена югославская группа (8983).</w:t>
      </w:r>
    </w:p>
    <w:p w14:paraId="2EDCE71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9AE1BB" w14:textId="77777777" w:rsidR="003C231F" w:rsidRPr="007224C3" w:rsidRDefault="003C231F"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Жизнь и внутренняя политика:</w:t>
      </w:r>
    </w:p>
    <w:p w14:paraId="2FD2A47E" w14:textId="77777777" w:rsidR="003C231F" w:rsidRPr="007224C3" w:rsidRDefault="003C231F"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EFD3C6E" w14:textId="77777777" w:rsidR="003C231F" w:rsidRPr="007224C3" w:rsidRDefault="003C231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Январь 1944. В Москве открылись коммерческие рестораны "Астория", "Аврора" и другие (18692).</w:t>
      </w:r>
    </w:p>
    <w:p w14:paraId="14042CD1" w14:textId="77777777" w:rsidR="003C231F" w:rsidRPr="007224C3" w:rsidRDefault="003C231F" w:rsidP="007224C3">
      <w:pPr>
        <w:spacing w:after="0" w:line="240" w:lineRule="auto"/>
        <w:jc w:val="both"/>
        <w:rPr>
          <w:rFonts w:ascii="Times New Roman" w:hAnsi="Times New Roman"/>
          <w:color w:val="000000" w:themeColor="text1"/>
          <w:sz w:val="16"/>
          <w:szCs w:val="16"/>
        </w:rPr>
      </w:pPr>
    </w:p>
    <w:p w14:paraId="7F381421"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25693DC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E129DDB" w14:textId="77777777" w:rsidR="00A22EFE" w:rsidRPr="007224C3" w:rsidRDefault="00A22EFE"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 январе 1944 компания Douglas Aircraft Company представляет ВВС США предложение на исследовательский самолет с двигателем, способным достичь 1 Мах (20373).</w:t>
      </w:r>
    </w:p>
    <w:p w14:paraId="4B3EA8DC" w14:textId="77777777" w:rsidR="00A22EFE" w:rsidRPr="007224C3" w:rsidRDefault="00A22EFE" w:rsidP="007224C3">
      <w:pPr>
        <w:spacing w:after="0" w:line="240" w:lineRule="auto"/>
        <w:jc w:val="both"/>
        <w:rPr>
          <w:rFonts w:ascii="Times New Roman" w:hAnsi="Times New Roman"/>
          <w:color w:val="0070C0"/>
          <w:sz w:val="16"/>
          <w:szCs w:val="16"/>
        </w:rPr>
      </w:pPr>
    </w:p>
    <w:p w14:paraId="0C715B06" w14:textId="77777777" w:rsidR="00A22EFE" w:rsidRPr="007224C3" w:rsidRDefault="00A22EFE"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 январе 1944 в попытке убедить немцев в том, что следующая высадка союзников будет в этом районе, а не в Анцио, истребители союзников атакуют цели в районе Чивитавеккья, Италия, а бомбардировщики союзников атакуют цели в северной Италии вплоть до итальянской границы с Францией (20373).</w:t>
      </w:r>
    </w:p>
    <w:p w14:paraId="73BDBAEF" w14:textId="77777777" w:rsidR="00A22EFE" w:rsidRPr="007224C3" w:rsidRDefault="00A22EFE" w:rsidP="007224C3">
      <w:pPr>
        <w:spacing w:after="0" w:line="240" w:lineRule="auto"/>
        <w:jc w:val="both"/>
        <w:rPr>
          <w:rFonts w:ascii="Times New Roman" w:hAnsi="Times New Roman"/>
          <w:color w:val="0070C0"/>
          <w:sz w:val="16"/>
          <w:szCs w:val="16"/>
        </w:rPr>
      </w:pPr>
    </w:p>
    <w:p w14:paraId="51731A69" w14:textId="77777777" w:rsidR="000D2529" w:rsidRPr="007224C3" w:rsidRDefault="000D252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января 1944 г. по 18 марта 1945 г. Нордаузен выпустил 5789 ракет (по другим данным - 5946). Кроме того, не менее 314 «Фау-2» собрали в Пенемюнде. Максимум производства на подземном заводе (690 ракет) был достигнут в январе 1945 г. Мощности предприятия и численность рабочих-заключенных вполне обеспечивала и выпуск намного большего числа «Фау-2», но изготовление бортовой аппаратуры постоянно срывалось из-за налетов авиации союзников на открыто расположенные заводы в нескольких городах Германии (19629).</w:t>
      </w:r>
    </w:p>
    <w:p w14:paraId="47C90D4E" w14:textId="77777777" w:rsidR="000D2529" w:rsidRPr="007224C3" w:rsidRDefault="000D2529" w:rsidP="007224C3">
      <w:pPr>
        <w:spacing w:after="0" w:line="240" w:lineRule="auto"/>
        <w:jc w:val="both"/>
        <w:rPr>
          <w:rFonts w:ascii="Times New Roman" w:hAnsi="Times New Roman"/>
          <w:color w:val="000000" w:themeColor="text1"/>
          <w:sz w:val="16"/>
          <w:szCs w:val="16"/>
        </w:rPr>
      </w:pPr>
    </w:p>
    <w:p w14:paraId="0710370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январе 1944 вертолет Сикорского HNS-1 работал по сопровождению конвоев на британском корабле Daghestan (4082).</w:t>
      </w:r>
    </w:p>
    <w:p w14:paraId="141C3BF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B95F96" w14:textId="77777777" w:rsidR="00A22EFE" w:rsidRPr="007224C3" w:rsidRDefault="00A22EFE"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 январе 1944 пилот Береговой охраны США - лейтенант, младший класс, Стюарт Грэм выполняет первый полет на вертолете с торгового судна в конвое в северной части Атлантического океана. Это часть программы развития с вертолетом в качестве противолодочной платформы (20373).</w:t>
      </w:r>
    </w:p>
    <w:p w14:paraId="4A94C233" w14:textId="77777777" w:rsidR="00A22EFE" w:rsidRPr="007224C3" w:rsidRDefault="00A22EFE" w:rsidP="007224C3">
      <w:pPr>
        <w:spacing w:after="0" w:line="240" w:lineRule="auto"/>
        <w:jc w:val="both"/>
        <w:rPr>
          <w:rFonts w:ascii="Times New Roman" w:hAnsi="Times New Roman"/>
          <w:color w:val="0070C0"/>
          <w:sz w:val="16"/>
          <w:szCs w:val="16"/>
        </w:rPr>
      </w:pPr>
    </w:p>
    <w:p w14:paraId="47EB0E05" w14:textId="77777777" w:rsidR="00A22EFE" w:rsidRPr="007224C3" w:rsidRDefault="00A22EFE"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 течение января 1944 американские самолеты наземного базирования сбросили около 200 тонн (181 438 кг) бомб каждая на атолл Мили, Малоэлап, Вотье и Рой-Намюр. Мили подвергается нападениям почти каждый день, и больше всего бомбят Малоэлап и Вотье (20373).</w:t>
      </w:r>
    </w:p>
    <w:p w14:paraId="1F85BA73" w14:textId="77777777" w:rsidR="00A22EFE" w:rsidRPr="007224C3" w:rsidRDefault="00A22EFE" w:rsidP="007224C3">
      <w:pPr>
        <w:spacing w:after="0" w:line="240" w:lineRule="auto"/>
        <w:jc w:val="both"/>
        <w:rPr>
          <w:rFonts w:ascii="Times New Roman" w:hAnsi="Times New Roman"/>
          <w:color w:val="0070C0"/>
          <w:sz w:val="16"/>
          <w:szCs w:val="16"/>
        </w:rPr>
      </w:pPr>
    </w:p>
    <w:p w14:paraId="1A3581E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январе 1944 года в Японии группа Такеути подготовила к испытаниям опытный образец сепаратора для разделения изотопов урана методом газовой диффузии. По подсчетам Иосико Нисины, чтобы получить достаточное количество урана-235, только для одной бомбы потребовалась бы десятая часть всей электроэнергии, производимой в Японии. Нужно было построить тысячи подобных сепараторов, а главное, обеспечить их нужным количеством урана. Урана в Японии не было (11457).</w:t>
      </w:r>
    </w:p>
    <w:p w14:paraId="11C5F2A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71F9F7A8"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1D9EDAD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23D8E9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января по март 1944 в НИИ ВВС П.Стефановский проводил гос. испытания серийного Пе-2 М-82 N 1/232 (2205,41).</w:t>
      </w:r>
    </w:p>
    <w:p w14:paraId="3E95258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6A0714" w14:textId="77777777" w:rsidR="00A22EFE" w:rsidRPr="007224C3" w:rsidRDefault="00A22EFE"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Государственные испытания головного Пе-4 № 1/226 провел с января по март 1944 г. ведущий летчик П. М. Стефановский. Из-за неудовлетворительной работы карбюраторов и высотных корректоров двигатели на высоте более 3 000–4 000 м не давали полной мощности, и максимальная скорость самолета на второй границе высотности оказалась меньше, чем на первой, где она получилась 526 км/ч — не выше, чем с дешевыми и экономичными моторами М-105ПФ. Всего было построено 32 «Пешки» с М-82Ф, из которых принято военной приемкой 24. Поставки самолетов начались весной 1944 г. — по нескольку штук получили 48-й гвардейский ОДРАП Главного командования Красной Армии, 11-й ОРАП и 99-й гвардейский ОРАП ВВС, а также звено управления 4-й гвардейской БАД. Эксплуатация показала низкое качество изготовления маслорадиаторов, снятие курсового пулемета ШКАС и бортовых огневых установок также не получило одобрения экипажей. Производство Пе-2 2М-82 на заводе № 22 было прекращено Постановлением ГКО № 4552 от 12 ноября 1943 г. и приказом по НКАП № 685сс от 16 ноября формально в связи с запуском в серию многоцелевых Пе-3, а на деле потому, что не был получен ожидаемый прирост скорости. Что касается ненадежности моторов М-82 на Пе-2, то на многих других самолетах, к примеру, истребителях Ла-5 и Ла-7, бомбардировщиках Ту-2, Ил-4 и Пе-8, они работали нормально, следовательно, причину надо искать в дефектах всей силовой установки, спроектированной Л. Л. Селяковым для Пе-2, а не в моторах (22828).</w:t>
      </w:r>
    </w:p>
    <w:p w14:paraId="699E73FD" w14:textId="77777777" w:rsidR="00A22EFE" w:rsidRPr="007224C3" w:rsidRDefault="00A22EFE" w:rsidP="007224C3">
      <w:pPr>
        <w:spacing w:after="0" w:line="240" w:lineRule="auto"/>
        <w:jc w:val="both"/>
        <w:rPr>
          <w:rFonts w:ascii="Times New Roman" w:hAnsi="Times New Roman"/>
          <w:color w:val="0070C0"/>
          <w:sz w:val="16"/>
          <w:szCs w:val="16"/>
        </w:rPr>
      </w:pPr>
    </w:p>
    <w:p w14:paraId="7ACE90A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январе-феврале 1944 проходили наземные гос. испытания УБ-20 (759,3).</w:t>
      </w:r>
    </w:p>
    <w:p w14:paraId="618F345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D9103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Весь январь и часть февраля 1944 г. на заводе 39 в Иркутске продолжалась доводка двух первых серийных Ер-2 2М-30Б, и лишь во второй половине месяца появилась возможность передачи машины зав. N 7013901 специалистам НИИ ВВС для проведения государственных испытаний. Вначале испытания проходили в Иркутске, а в апреле самолет перегнали в Чкаловскую. И вот тогда началось... (3322,41).</w:t>
      </w:r>
    </w:p>
    <w:p w14:paraId="1B507A9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7C579C" w14:textId="77777777" w:rsidR="00051986" w:rsidRPr="007224C3" w:rsidRDefault="0005198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январе-феврале 1944 г. на заводском аэродроме завода № 21 проводились испытания Ла-5ФН с тремя пушками УБ-20. Но это орудие, как и ШВАК, представляло собой «перестволеный» пулемет УБ-12,7 с тупоносым коротким снарядом, заимствованным у пушки Б.Г. Шпитального. Из-за недостаточной надежности пушки УБ-20, отличавшейся частыми поломками и задержками в стрельбе, перейти на «трехточечный» вариант вооружения для Ла-5ФН не решились. А военные настаивали. Так, командир 2-го иак генерал А.С Благовещенский заявил на конференции, в работе которой принимали представители самолетостроительных предприятий: «Не может такой хороший самолет иметь такой малый огонь» (18999).</w:t>
      </w:r>
    </w:p>
    <w:p w14:paraId="3239EA91" w14:textId="77777777" w:rsidR="00051986" w:rsidRPr="007224C3" w:rsidRDefault="00051986" w:rsidP="007224C3">
      <w:pPr>
        <w:spacing w:after="0" w:line="240" w:lineRule="auto"/>
        <w:jc w:val="both"/>
        <w:rPr>
          <w:rFonts w:ascii="Times New Roman" w:hAnsi="Times New Roman"/>
          <w:color w:val="000000" w:themeColor="text1"/>
          <w:sz w:val="16"/>
          <w:szCs w:val="16"/>
        </w:rPr>
      </w:pPr>
    </w:p>
    <w:p w14:paraId="72E88FE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январе-феврале 1944 г. вышел Сборник материалов по изучению опыта войны. Выпуск 10, Военное издательство народного комиссариата обороны, Москва – 1944.</w:t>
      </w:r>
    </w:p>
    <w:p w14:paraId="5EE6230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ЭФФЕКТИВНОСТЬ ДЕЙСТВИЙ АВИАЦИИ ПО ЖИВОЙ СИЛЕ И ТЕХНИЧЕСКИМ СРЕДСТВАМ БОРЬБЫ</w:t>
      </w:r>
    </w:p>
    <w:p w14:paraId="3DD9C84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Действия по живой силе и техническим средствам борьбы на поле боя, на подходах к полю боя, а также в местах их скопления являются наиболее частыми задачами для авиации. При этом типовыми целями обычно бывают: – живая сила в укрытиях и вне их; – артиллерия и миномёты на огневых позициях и в движении.</w:t>
      </w:r>
    </w:p>
    <w:p w14:paraId="66E57A1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танки и самоходные орудия в боевых порядках, на исходных рубежах для атаки, у мест заправки и в движении к полю боя; – автомашины с войсками и грузами в местах сосредоточения и в движении.</w:t>
      </w:r>
    </w:p>
    <w:p w14:paraId="0C8917C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Степень поражения авиацией перечисленных выше целей в каждом отдельном случае различна. Она зависит от ряда условий, из которых чрезвычайно важное значение имеют средства поражения, применяемые самолётами, и положение атакуемых войск.</w:t>
      </w:r>
    </w:p>
    <w:p w14:paraId="0261DDD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Как известно, очень часто действия авиации крупными фугасными бомбами по рассредоточившимся и особенно по хорошо окопавшимся войскам дают сильный внешний эффект, но не наносят более или менее значительных поражений живой силе и техническим средствам борьбы. Такие удары авиации с воздуха обычно оказывают на наземные войска лишь моральное воздействие, причём особенно сильным оказывается воздействие на необстрелянные и слабо обученные войска. Опытные и хорошо подготовленные части и подразделения при атаках авиации с воздуха широко используют не только меры пассивной защиты, но и свои огневые средства для отражения атакующих самолётов, сохраняя при этом почти полную боеспособность.</w:t>
      </w:r>
    </w:p>
    <w:p w14:paraId="7F889C4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Как показывает боевой опыт, живая сила и технические средства борьбы наиболее эффективно поражаются осколочными авиабомбами преимущество этих бомб перед фугасными состоит в том, что одновременно может быть применено большое количество осколочных бомб, вследствие чего облегчается накрытие цели и повышается вероятность прямого попадания.</w:t>
      </w:r>
    </w:p>
    <w:p w14:paraId="36E056D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Однако эффективность поражения осколочными бомбами является недостаточной при действиях авиации по танкам, а также по войскам противника, находящимся в фортификационных сооружениях. В этих случаях авиация вынуждена использовать другие средства поражения, применение которых в наибольшей степени соответствует уязвимости объектов.</w:t>
      </w:r>
    </w:p>
    <w:p w14:paraId="576F669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Цель настоящей статьи – на конкретных .примерах показать эффективность действия различных боевых средств, применяемых авиацией по войскам и техническим средствам борьбы, и таким образом помочь авиационным командирам правильно выбирать средства поражения, а наземным войскам принимать меры, обеспечивающие минимальные потери от атак самолётов противника с воздуха.</w:t>
      </w:r>
    </w:p>
    <w:p w14:paraId="67C09B4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Эффективность действий авиации по живой силе Результаты воздействия авиации по живой силе противника зависят от степени укрытия и рассредоточения войск.</w:t>
      </w:r>
    </w:p>
    <w:p w14:paraId="6312EC5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Действия по войскам в укрытиях. Простые ячейки для стрельбы с колена а также естественные неровности почвы, .используемые в качестве укрытий, значительно снижают потери живой силы от авиации сравнительно с потерями войск, находящихся вне всяких укрытой.</w:t>
      </w:r>
    </w:p>
    <w:p w14:paraId="680243E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Боевой опыт показывает, что живая сила и легкая боевая техника несут основные потери от действий авиации на поле боя в результате поражения осколками авиабомб, так как радиус поражающего действия взрывной волны значительно меньше, чем осколков, а пулеметно-пушечный огонь эффективен только при стрельбе на малых дальностях по плотному скоплению войск. Однако осколки задерживаются различными естественными препятствиями и возводимыми войсками инженерными сооружениями. Поэтому живая сила, находящаяся в легких фортификационных сооружениях, поражается осколочными бомбами лишь при прямом попадании или при взрыве бомб в непосредственной близости от укрытия.</w:t>
      </w:r>
    </w:p>
    <w:p w14:paraId="39F42E3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Действия фугасных авиабомб по фортификационным сооружениям лёгкого типа выражаются обычно в разрушении сооружений и поражении находящейся в них живой силы. Однако величина радиуса разрушения окопов и других лёгких фортификационных укрытий от фугасных бомб не превышает полутора- двух радиусов воронки, т.е. в несколько раз меньше радиуса убойного действия осколков при взрыве бомбы на поверхности земли. В отдельных случаях разрушение сооружений и поражение живой силы, находящейся в них, достигается в том случае, когда край воронки захватывает окоп или другое лёгкое укрытие. Ниже приводятся примеры, характеризующие степень разрушения фортификационных сооружений в результате взрыва различных авиационных снарядов и бомб.</w:t>
      </w:r>
    </w:p>
    <w:p w14:paraId="679DD56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Осколочные бомбы АО-2.5 и близкие к ним по эффективности реактивные снаряды РС-82 поражают живую силу, находящуюся в окопах, ходах сообщении, одиночных стрелковых ячейках и тому подобных укрытиях только при прямом попадании. Взрыв бомбы (или РС-82) в 0.5 м от укрытия поражения живой силе, как правило, не наносит.</w:t>
      </w:r>
    </w:p>
    <w:p w14:paraId="2D1015E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штурмовке самолётами Ил-2 переднего края обороны немцев 2 км западнее Мал. Песочня (район Кирова) одни снаряд РС-82 попал в бруствер хода сообщения на расстоянии 0.5 м от его крутости. В результате взрыва снаряда на бруствере образовалась воронка диаметром около 1.0 и глубиной 0.2 м.</w:t>
      </w:r>
    </w:p>
    <w:p w14:paraId="5D24F7B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Никаких других разрушении ходу сообщения взрыв снаряда не причинил. Другой снаряд РС-82 взорвался на бруствере хода сообщения, отрытого в глинистом грунте, на расстоянии 0.3 м от его крутости. Взрыв снаряда не вызвал разрушение хода сообщения или осыпи его стенок.</w:t>
      </w:r>
    </w:p>
    <w:p w14:paraId="6E3FF52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Осколочные бомбы АО-10 поражают живую силу в окопах при попадании в бруствер окопа на удалении до 0.5 м от крутостей или при прямом попадании в лёгкое противоосколочное перекрытие. Так, при атаке немецкой авиацией Орловского аэродрома 25 августа 1943 г. одна из бомб АО-10 разорвалась на бруствере щели-убежища в 0.3 – 0.4 от её края. Щель была отрыта в чернозёмном грунте не имела одежды стенок и противоосколочного перекрытия. В результате взрыва бомбы в бруствере образовалась воронка диаметром 0.7 м и глубиной 0.3 м; стенка щели со стороны взрыва осыпалась на участке, равном 1.2 м.</w:t>
      </w:r>
    </w:p>
    <w:p w14:paraId="26ADCD6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Характер разрушения щели показывает, что если бы в ней находились люди, поражение их было бы неизбежно.</w:t>
      </w:r>
    </w:p>
    <w:p w14:paraId="74AE1DF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другом случае осколочная 10-кг немецкая бомба попала в противоосколочное убежище-землянку, рассчитанное на укрытие 4-5 человек. Перекрытие землянки состояло из 20-мм досок и насыпного слоя земли толщиной 20-30 см; стенки имели обшивку из таких же досок. Бомба пробила перекрытие и взорвалась в момент удара, о пол из дощатого настила. Большинство осколков бомбы пробило одежду стенок из досок и лишь незначительная часть, проникнув в них на глубину в 1.5 см, застряла в досках. Полного разрушения землянки бомба не вызвала.</w:t>
      </w:r>
    </w:p>
    <w:p w14:paraId="56C0915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Фугасные бомбы ФАБ-50 с взрывателями мгновенного действия при действиях по живой силе, укрытой в окопах, наносят поражение лишь при разрыве в непосредственной близости от укрытия. Так в районе Мал. Песочня одна ФАБ-50 с взрывателем мгновенного действия разорвалась в 0.8 м от хода сообщения. От взрыва бомбы образовалась воронка диаметром 1.6 м и глубиной 0.3 м. Осколками бомбы был взрыхлен насыпной бруствер на противоположной стороне хода сообщения; каких-либо других разрушений, а частности обвала стенок взрыв бомбы не вызвал.</w:t>
      </w:r>
    </w:p>
    <w:p w14:paraId="3495170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Одиночная стрелковая ячейка, находившаяся в придорожной канаве в системе немецких укреплений на железнодорожной станции Хотынец была разрушена в результате прямого попадания в нее ФАБ-50 с взрывателем мгновенного действия. Радиус сплошного разрушения был около 0.8-0.9 м. Соседняя одиночная ячейка, находившаяся также в канаве, на расстоянии 1,4 м от первой, разрушений не имела.</w:t>
      </w:r>
    </w:p>
    <w:p w14:paraId="56A0CED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Несколько лучшие результаты дают бомбы ФАБ-50 с взрывателями, установленными на замедление.</w:t>
      </w:r>
    </w:p>
    <w:p w14:paraId="722B040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упомянутой выше атаке Орловского аэродрома 25 августа 1943 г. 50-килограммовая бомба SС-50 взорвалась на расстоянии 2 м от щели убежища, имевшей противоосколочное перекрытие из 10-см жердей и насыпного слоя земли толщиной от 30 до 50 см. В результате взрыва ближайшая стенка щели осыпалась, а накат перекрытия спустился в месте осыпи на 0.5 м. Другая бомба SС-50 взорвалась в 3 м от щели убежища, отрытой в лёгком грунте и не имевшей одежды стенок и перекрытия. В результате действия взрывной волны стенка щели со стороны взрыва осыпалась на участке 0.6 – 0.7 м.</w:t>
      </w:r>
    </w:p>
    <w:p w14:paraId="7745C9F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Пулемётная ДЗОТ, входившая в состав немецкой оборонительной полосы в районе Мценска, имевшая одежду стенок из досок и перекрытие из двух накатов брёвен толщиной 20 см, была разрушена в результате прямого попадания ФАБ-50. Людские потери не установлены, но по характеру разрушений можно предполагать, что гарнизон ДЗОТ был уничтожен.</w:t>
      </w:r>
    </w:p>
    <w:p w14:paraId="4B630C7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Орловском аэродроме во время немецкой авиации прямым попаданием SС-50 с взрывателем, установленным на замедление, разрушена землянка, имевшая одежду стенок и двухрядное перекрытие из 20- мм досок, поверх которых был насыпан слой земли толщиной 0.4 м. Приведенные примеры показывают, что при прямом попадании ФАБ-50 разрушает не только окопы, ходы сообщения, щели-убежища с противоосколочными перекрытиями, но и ДЗОТ, имеющие более мощное перекрытие (два ряда 20-см бревен).</w:t>
      </w:r>
    </w:p>
    <w:p w14:paraId="31E2CA9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В тех случаях, когда ФАБ-50 взрывается рядом с окопом или другим лёгким фортификационным сооружением без одежды крутостей, радиус разрушения от взрыва не превосходит 1.5 радиуса воронки, величина которой, в свою очередь, зависит от характера грунта и замедления взрывателя.</w:t>
      </w:r>
    </w:p>
    <w:p w14:paraId="6482B8A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Обследованием ряда случаев действий фугасных бомб установлено, что вывод, сделанный в отношении радиуса разрушения ФАБ-50, справедлив и для бомбы ФАБ-100.</w:t>
      </w:r>
    </w:p>
    <w:p w14:paraId="05F2C88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Фугасные бомбы крупных калибров. Радиус разрушения от взрыва этих авиабомб вблизи лёгких фортификационных сооружений превосходит радиус воронки более чем в полтора раза, а для ФАБ-500 и ФАБ-1000 примерно равен двум радиусам воронки.</w:t>
      </w:r>
    </w:p>
    <w:p w14:paraId="4E04493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 от взрыва, по-видимому, ФАБ-1000, сброшенной со взрывателем, установленным на замедление, и попавший в район расположения лёгких открытых щелей-убежищ, имеющих только противоосколочное перекрытие из 20-30-мм досок и слоя земли толщиной 0.3-0.4 м, отрытых в супесчаном грунте, образовалась воронка глубиной 5,5 м и диаметром 22 м; при этом произведены следующие разрушения: а) щели, удалённые от центра взрыва на 16 м, были полностью разрушены, часть личного состава, находившаяся в них, была убита и часть тяжело ранена; б) открытые щели, удаленные от центра взрыва на 25 м, имели трещины в крутостях шириной до 5 см; обвала крутостей или других каких-либо разрушений взрывом бомбы вызвано не было; в) щели, удаленные на 31 м от центра взрыва, никаких признаков разрушений не имели.</w:t>
      </w:r>
    </w:p>
    <w:p w14:paraId="1579E98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Эти примеры показывают, что радиус разрушения при действии по лёгким фортификационным сооружениям даже для фугасных авиабомб крупного калибра (ФАБ-500, ФАБ-1000) не превосходят двух радиусов воронки. Более прочные фортификационные сооружения, имеющие одежду крутостей или стены, срубленные из бревен, и прочные перекрытия, разрушаются гораздо меньше.</w:t>
      </w:r>
    </w:p>
    <w:p w14:paraId="0101718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Разрушение фортификационных сооружений, являющихся точечными или узкими линейными целями, рассредоточенными на площади, представляет для авиации значительные трудности, так как прицельное бомбометание по отдельному фортификационному сооружению дает ничтожно малую вероятность попаданий, при бомбометании же по группе рассредоточенных сооружений вероятность попадания также не велика, ибо большинство бомб падает между объектами.</w:t>
      </w:r>
    </w:p>
    <w:p w14:paraId="2F6D47C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примера приведем результаты действия нашей авиации по немецким укреплениям в районе ст. Хотынец.</w:t>
      </w:r>
    </w:p>
    <w:p w14:paraId="0E682B5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восьми обследованных участках немецкой обороны размерами от 300х200 до 150х6 м находилось 666 малоразмерных укрытий (одиночные стрелковые ячейки, миномётные и пулемётные гнёзда, окопы батарей малокалиберной зенитной артиллерии и укрытия для автомашин). Из них разрывами бомб были накрыты шесть участков, на которых располагалось 509 мелких сооружений со средней плотностью одно сооружение на площади около 223 кв. м. Эти участки были перекрыты разрывами 42 бомб ФАБ-50 и АО-25, из которых только одна в результате прямого попадания разрушила стрелковую ячейку, остальные попали между укрытий, не вызвав их разрушения.</w:t>
      </w:r>
    </w:p>
    <w:p w14:paraId="4D53597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Вследствие трудности поражения отдельных малоразмерных фортификационных сооружений и укрытой в них живой силы и боевой техники требуется большой расход авиабомб для того чтобы создать достаточную плотность разрывов, при которой прямые попадания в укрытия не являются случайными. Чтобы нанести наибольшие потери противнику малыми силами, целесообразно действовать по фортификационным сооружениям, не имеющим противоосколочных перекрытий, мелкими осколочными бомбами до АО-2.5 включительно. Как показал опыт, в этом случае можно рассчитывать на значительное число прямых попаданий бомб, в результате взрыва которых поражается живая сила и материальная часть вооружения.</w:t>
      </w:r>
    </w:p>
    <w:p w14:paraId="119D37C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 по показаниям пленного солдата 292 пехотной немецкой дивизии Людвига Махчевского, в первый день наступления немцев на орловско-курском направлении около 50 наших бомбардировщиков нанесли удар по живой силе и боевой технике противника, сосредоточенным для атаки в траншеях и ходах сообщения полностью развитой линии обороны немцев. Бомбометание производилось осколочными бомбами с высоты 900 м, с заходом вдоль переднего края обороны. Полоса разрывов бомб накрыла первую траншею немецкой обороны на участке длинной около 2 км. Много бомб попало непосредственно в окопы, остальные рвались на брустверах, нанося поражение осколками живой силе, укрывавшейся в траншеях и ходах сообщения.</w:t>
      </w:r>
    </w:p>
    <w:p w14:paraId="5771151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В результате удара бомбардировщиков только в одном батальоне, занимавшем по фронту около 600- 700 м, было убито 23 человека и 57 ранено; не меньшие потери имели и соседние батальоны.</w:t>
      </w:r>
    </w:p>
    <w:p w14:paraId="2843311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Летом 1943 г. авиация противника также широко применяла мелкие (2-килограммовые) осколочные бомбы и 55-мм мины, сбрасывая их на боевые порядки наших войск и огневые позиции артиллерии. По единогласному заявлению офицеров .наземных частей, мелкие осколочные бомбы оказывались более эффективными, чем фугасные, так как они сбрасывались в большом количестве и, как правило, наносили поражение в результате прямых попаданий в фортификационные сооружения.</w:t>
      </w:r>
    </w:p>
    <w:p w14:paraId="34BEB3A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Так, 17 августа 1943 г. в районе деревни Кривая Верста (Брянский фронт) одна из зенитных батарей была атакована четырьмя Ю-87, сбросившими с пикирования фугасные и 2-килограммовые осколочные бомбы. На позицию батареи, расположенной на площади 120х80 м, упало 2 ФАБ-250 с взрывателями с замедлением, 6 ФАБ-250 с взрывателями мгновенного действия и около 300 штук 2-килограммовых осколочных бомб. В результате бомбёжки на батарее были полностью выведены из строя два орудийных расчета, причем 8 человек было убито и 12 ранено; осколки бомб повредили ПУАЗО-3 и принимающие приборы двух орудий; фугасными бомбами были перебиты два кабеля электропроводки. Все потери живой силы и материальной части были причинены осколочными бомбами, разорвавшимися на бруствере и в котловане двух орудий.</w:t>
      </w:r>
    </w:p>
    <w:p w14:paraId="12FF741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тех случаях, когда живая сила расположена в ДЗОТ и других фортификационных сооружениях, усиленных противоосколочными перекрытиями, эффективность действий авиации резко снижается. В этих случаях осколочные бомбы неприменимы. Реальные результаты .могут быть достигнуты только при сбрасывании большого количества фугасных бомб калибра от 50 кг и выше, что требует выделения крупных сил бомбардировщиков или штурмовиков.</w:t>
      </w:r>
    </w:p>
    <w:p w14:paraId="6D14C54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широко использующие для обороны населённых пунктов прочные каменные здания, приспосабливая их наземную часть для ведения огня из всех видов оружия, а подвалы в качестве убежищ для живой силы, несут от действия авиации незначительные потери. Разрушение таких укрытий возможно лишь при прямом попадают фугасных бомб калибром не менее 250 кг.</w:t>
      </w:r>
    </w:p>
    <w:p w14:paraId="50E146D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Несмотря на то, что уничтожение живой силы и технических средств борьбы, укрытых в прочных городских зданиях, требует большого расхода самолётов, действия авиации по таким целям следует считать целесообразными. Эти действия, не нанося войскам серьезного материального ущерба, оказывают на них огромное моральное воздействие. Моральный эффект по сравнению с действиями авиации по фортификационным сооружениям, усиливается вследствие разрушения больших городских зданий, завалов подвалов-убежищ и выходов из них. Характерным примером действий авиации по войскам, оборонявшимся в городе является атака самолетами 1 бомбардировочного авиакорпуса крепости Великие Луки 15 января 1943 г. Непосредственно перед началом штурма этой крепости нашими войсками 12 самолетов Пе-2 под прикрытием истребителей нанесли одновременный удар по важнейшим опорным пунктам противника с применением бомб ФАБ-250. Несмотря на небольшое количество самолетов, участвовавших в атаке, удар с воздуха сыграл большую роль в успешном штурме крепости. Захваченный в плен командир немецкого артиллерийского дивизиона, входившего в состав гарнизона Великие Луки, майор Генрих Ульрих показал, что бомбардировка крепости хотя и не нанесла значительного материального ущерба, но зато оказала сильное моральное воздействие на гарнизон, в результате чего резко понизилась его способность к сопротивлению.</w:t>
      </w:r>
    </w:p>
    <w:p w14:paraId="6D670D9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Действия по войскам вне укрытий. Несравненно большие потерн в результате действий авиации несут войска, находящиеся вне укрытий на походе, в местах сосредоточения резервов в эшелонах и при выгрузке из них, на железнодорожных станциях, у переправ и, наконец, в местах расквартирования.</w:t>
      </w:r>
    </w:p>
    <w:p w14:paraId="2581BDF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Эффективность бомбардировочных и штурмовых ударов авиации в этих случаях также зависит от возможности использования войсками естественных укрытий, неровностей почвы, воронок от авиабомб и т.п.</w:t>
      </w:r>
    </w:p>
    <w:p w14:paraId="7D6076B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внезапном нападении авиации, когда войска не успевают рассредоточиться и использовать укрытия, результаты удара увеличиваются.</w:t>
      </w:r>
    </w:p>
    <w:p w14:paraId="78B7B5E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Наиболее эффективным средствам поражения живой силы противника, находящейся вне укрытия, являются осколочные бомбы, особенно АО-2.5, а при действии по смешанным колоннам или группам войск, состоящим из автомашин, артиллерии, специального автотранспорта и т. п. – АО-8 и АО-10.</w:t>
      </w:r>
    </w:p>
    <w:p w14:paraId="3ACA545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Приведем некоторые примеры успешных действий авиации по скоплениям войск противника.</w:t>
      </w:r>
    </w:p>
    <w:p w14:paraId="7F120CA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прорыве нашими войсками немецкой обороны в районе Севска противник сосредоточил в лесу, что севернее дер. Шведчиковы (9 км северо-восточнее Севска), крупные силы и, опираясь на выгодный естественный рубеж, усиленный прочными фортификационными сооружениями, оказывал упорное сопротивление. По показаниям местных жителей, численность войск противника в указанном районе достигала 5 тысяч человек.</w:t>
      </w:r>
    </w:p>
    <w:p w14:paraId="727B6ED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Перед авиацией 16 воздушной армии на 27 августа 1943 г. была поставлена задача: в целях содействия наступлению наших войск нанести сильный удар по живой силе и боевой технике противника в районе Шведчиковы. Сосредоточенный удар, в котором принимало участие большое количество самолётов всех видов авиации, нанёс противнику исключительно большие потери в боевой технике и живой силе, в результате чего этот район был занят нашими войсками.</w:t>
      </w:r>
    </w:p>
    <w:p w14:paraId="04579C0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Комиссией штаба 16 воздушной армии, специально назначенной для проверки эффективности действия авиации, было установлено, что после воздушной атаки только в близлежащих деревнях противником было похоронено до 500 трупов; раненых, по заявлениям местных жителей, было еще больше.</w:t>
      </w:r>
    </w:p>
    <w:p w14:paraId="300A5AE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Кроме того, большое количество трупов было оставлено противником не убранным.</w:t>
      </w:r>
    </w:p>
    <w:p w14:paraId="184DB13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17 января 1943 г. три самолёта Пе-2 3 сак нанесли удар по скоплению войск противника на улицах Беловодска. После занятия этого города нашими войсками проверкой на месте было установлено, что в результате атаки самолётов было убито 7 офицеров, 108 солдат и 23 лошади; кроме того, уничтожено 19 автомашин и 12 повозок, а также причинены разрушения военному городку, занятому итальянскими и немецкими войсками.</w:t>
      </w:r>
    </w:p>
    <w:p w14:paraId="7793B93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Особенно большие потери в живой силе поиска несут в результате штурмовых действий по отходящим колоннам и скоплениям войск в населённых пунктах и у переправ.</w:t>
      </w:r>
    </w:p>
    <w:p w14:paraId="7936061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 по показаниям очевидцев, в результате действий наших штурмовиков 15 и 16 сентября 1943 г. в районе населенного пункта Славянка (35 км западнее Красноармейское) было уничтожено 12 танков и 16 автомашин с войсками; при этом потери противника в живой силе только убитыми достигали 500 человек.</w:t>
      </w:r>
    </w:p>
    <w:p w14:paraId="2895862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Создавшаяся при налёте штурмовиков паника в рядах противника способствовала увеличению потерь; она позволила нашим самолётам безнаказанно производить по нескольку заходов на цель до полного израсходовался боеприпасов.</w:t>
      </w:r>
    </w:p>
    <w:p w14:paraId="0B47D37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действиях бомбардировщиков и штурмовиков по скоплениям войск на дорогах, в населённых пунктах и в оврагах целесообразно применять осколочные бомбы от АО-2.5 до АО-10; сбрасывание более крупных бомб, особенно фугасных, при малом составе группы не обеспечивает необходимого числа прямых попаданий в цель.</w:t>
      </w:r>
    </w:p>
    <w:p w14:paraId="5D87710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Выводы. 1. Действия авиации по окопавшейся живой силе наносят ей ничтожно малые потери.</w:t>
      </w:r>
    </w:p>
    <w:p w14:paraId="30076D9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Особенно незначительны эти потери при атаке с больших высот, когда бомбометание по фортификационным сооружениям сводится к бомбометанию по площади. Причиной незначительных потерь является малый радиус поражения бомб, в том числе и крупного калибра.</w:t>
      </w:r>
    </w:p>
    <w:p w14:paraId="2802EF4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Эффективность действия авиации по окопавшейся живой силе повышается в результате применения мелких осколочных бомб, сбрасывание которых в большом количестве даёт значительное число прямых попаданий.</w:t>
      </w:r>
    </w:p>
    <w:p w14:paraId="13A13E1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При действиях по фортификационным сооружениям с противоосколочными перекрытиями наибольший эффект дают бомбы ФАБ-50 и ФАБ-100 с взрывателем, установленным на замедление; при этом разрушение подобных сооружении происходит только в результате прямого попадания или взрыва в непосредственной близости – не далее половины радиуса воронки.</w:t>
      </w:r>
    </w:p>
    <w:p w14:paraId="2BD8026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Наибольшие потери в результате действий авиации несёт живая сила, находящаяся вне укрытий, в местах скопления, на походе, у переправ и т. п. В этих случаях наибольший успех достигается применением пулемётно-пушечного огня и осколочных бомб малого калибра, которые даже при действии небольших групп бомбардировщиков или штурмовиков вызывают в войсках существенные потери вследствие большого числа очагов поражения.</w:t>
      </w:r>
    </w:p>
    <w:p w14:paraId="18DFE6A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Во всех случаях боевой деятельности наземные войска должны широко использовать меры пассивной защиты от нападений авиации (рассредоточение и укрытие), а также быть в постоянной готовности к широкому применению своих огневых средств для отражения самолётов противника, атакующих с малых высот.</w:t>
      </w:r>
    </w:p>
    <w:p w14:paraId="60A177D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Эффективность действий авиации по артиллерии Действия авиации по артиллерии обычно имеют целью подавление ее огня или уничтожение материальной части.</w:t>
      </w:r>
    </w:p>
    <w:p w14:paraId="2D7ED8F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Подавление огня артиллерии достигается сравнительно легко, особенно если оно необходимо на короткое время. В этом случае сильный пулемётно-пушечный обстрел и бомбометание по огневым позициям артиллерии обычно приводят к тому, что орудийные расчёты прекращают ведение огня и укрываются на период воздушной атаки в ровиках.</w:t>
      </w:r>
    </w:p>
    <w:p w14:paraId="7655F9C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Более длительное подавление огня артиллерии достигается нанесением потерь личному составу и выводом из строя орудий.</w:t>
      </w:r>
    </w:p>
    <w:p w14:paraId="5B5C522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Потери артиллерии в личном составе и в материальной части в результате действий авиации также в значительной мере зависят от степени укрытия её в фортификационных сооружениях. Материальная часть нормально окопавшейся артиллерии на огневых позициях несет потери лишь при попадании авиабомб в орудийные ровики, при этом: – мелкие осколочные бомбы типа АО-2.5 наносят поражения прицельным приспособлениям, а в отдельных случаях и противооткатным механизмам орудий; – осколочные бомбы калибра 8-10 кг обычно выводят орудие из строя, пробивая осколками цилиндры компрессора, гидравлические тормозы пружины накатника, стволы и прицельные приспособления; 10 – фугасные авиабомбы с взрывателем мгновенного действия при прямом попадании полностью уничтожают материальную часть; попадания крупных осколочных бомб (20-25 кг) или осколочно фугасных (типа ФАБ-50-М9) непосредственно в орудийные ровики также накосят трудно поправимые повреждения или безвозвратно выводят орудие из строя. Так, например, при взрыве 50-кг осколочно фугасной бомбы в орудийном ровике в 3 м от зенитной пушки среднего калибра образовалась воронка диаметром 2.5 м, глубиной 0.6 м; осколками; бомбы был убит весь орудийный расчёт, а пушка на долгое время выведена из строя.</w:t>
      </w:r>
    </w:p>
    <w:p w14:paraId="7FC7D28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22 июля 1943 г. в районе Золотарево (Брянский фронт) одна из зенитных батарей была атакована с пикирования с высоты 1500 м тремя Ю-87, сбросившими толстостенные фугасные 50-кг бомбы SD с взрывателем, установленным на малое замедление. Во время атаки батарея вела огонь по пикирующим самолётам и сбила </w:t>
      </w:r>
      <w:r w:rsidRPr="007224C3">
        <w:rPr>
          <w:rFonts w:ascii="Times New Roman" w:hAnsi="Times New Roman"/>
          <w:color w:val="000000" w:themeColor="text1"/>
          <w:sz w:val="16"/>
          <w:szCs w:val="16"/>
        </w:rPr>
        <w:lastRenderedPageBreak/>
        <w:t>два Ю-87. Всего по батарее было сброшено семь бомб SD-50, из них три разорвались на огневой позиции и четыре – на удалении около 100 м. Батарея имела укрытия нормального профиля, отрытые на глубину 1,10—1.20 м. Из упавших на позиции батареи трёх бомб одна взорвалась в 4, вторая – в 5 и третья – в 7 м от 88-мм орудий. В результате взрыва бомб были выведены из строя три пушки, дальномер, ПУАЗО-3 и орудийные расчёты. Материальная часть, за исключением одного орудия, получившего пробоину в стволе, имела легко исправимые повреждения.</w:t>
      </w:r>
    </w:p>
    <w:p w14:paraId="2FE40EE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Взрыв осколочных, а также бомб с взрывателем мгновенного действия в непосредственной близости от укрытий наносит поражения лишь материальной части, выступающей из укрытий (стволы орудия, приборы и т. л.}.</w:t>
      </w:r>
    </w:p>
    <w:p w14:paraId="5B1DBFC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Взрыв фугасных авиабомб с нормальным замедлением взрывателя имеет небольшой радиус действия, так как осколки и взрывная волна бомбы, взорвавшейся в земле, направлены вверх и способны наносить поражение в объёме конуса с вершиной в точке взрыва и с раствором угла между образующей и осью конуса в пределах 45—60°. Поэтому взрыв даже крупных фугасных бомб наносит незначительные поражения материальной части артиллерии. Так, на позицию полевой артиллерии упала 250-кг фугасная авиабомба в 7 м от орудия, расчёт которого находился на своих боевых местах. В результате взрыва бомбы образовалась воронка глубиной 1,8 м и диаметром 6 и осколками бомбы был ранен только один боец из расчета и поцарапаны некоторые детали пушки; царапины эти не повлияли на боеспособность пушки.</w:t>
      </w:r>
    </w:p>
    <w:p w14:paraId="1F528CF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Еще меньше сказывается на материальной части артиллерии действие взрывной волны. Даже хрупкие приборы в ряде случаев получали только исправимые повреждения, хотя фугасные бомбы взрывались на небольшом расстоянии от них. Так, при налёте немецкой авиации на железнодорожный узел Курск 2 июня 1943 г. две 250-кг фугасные бомбы взорвались в 7 м от ровика ПУАЗО, образовав воронки диаметром 8 м и глубиной 2.5 м. Прибор возвышался над уровнем земли на 0.3 м. Ударной волной взрыва прибор был опрокинут и получил при этом повреждения, требующие лишь заводского ремонта.</w:t>
      </w:r>
    </w:p>
    <w:p w14:paraId="3CF75DA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Таким образом, наибольшие потери артиллерия, так же как и живая сила, несет от осколочных бомб, так как поражение орудий прямыми попаданиями фугасных бомб маловероятно из-за малого числа точек поражения. Вероятность попадания авиабомб в позицию артиллерийской батареи и в орудийные ровики несколько больше, чем в стрелковые окопы, но все же она не столь велика, чтобы обеспечивать поражение артиллерии при малом числе сбрасываемых бомб; поэтому в практике боевой деятельности авиации нередки случаи, когда серии бомб перекрывают артиллерийские позиции и, разрываясь вне ровиков, временно подавляют огонь атакуемых батарей, не нанося поражения материальной части и прислуге, находящемся в укрытиях.</w:t>
      </w:r>
    </w:p>
    <w:p w14:paraId="78D10C7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Показательны в этом отношении действия трёх групп самолётов Ил-2 по артиллерийской батарее среднего калибра в районе Новосиль 12 ноября 1943 г. По данной цели были сброшены 37 самолётами бомбы ФАБ-100; кроме того, батарея была обстреляна пушечным огнем и РС. Непосредственно на позиции батареи было 7 попаданий ФАБ-100, однако материальная часть и расчёт потерь не имели.</w:t>
      </w:r>
    </w:p>
    <w:p w14:paraId="06D8E71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Результаты действии авиации по артиллерийским батареям, находящимся на огневых позициях, сильно снижаются, когда объекты атаки хорошо прикрываются зенитным огнём. Так, в районе Золотарево (Брянский фронт) четыре зенитных батареи девять раз подвергались ударам авиации противника, действовавшей в группах из 3-27 самолётов Ю-87. Во всех случаях бомбометание производилось с пикирования. Из девяти случаев нападения только в одном авиации противника удалось подавить одну батарею; в остальных случаях все батареи вели огонь по самолётам противника и потерь не имели.</w:t>
      </w:r>
    </w:p>
    <w:p w14:paraId="4A25079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Артиллерия, находящаяся вне укрытий (в местах сосредоточений и на походе), несет несравненно большие потери, так как в этих случаях осколками бомб цель поражается на расстоянии до 20—30 м. от очага взрыва; кроме того, артиллерия вне укрытий уязвима и для пушечно-пулемётного огня самолётов. Так, 3 августа 1943 г. восемь самолётов Пе-2 нанесли удар по батарее противника в районе хутора Березов.</w:t>
      </w:r>
    </w:p>
    <w:p w14:paraId="09A0D6D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Бомбометание производилось с горизонтального полета с высоты 3000 м фугасными осколочными бомбами. Всего было сброшено 44 ФАБ-100, 8 ФАБ-50 и 42 бомбы АО-10. Батарея не успела окопаться и потому представляла легко уязвимую цель. После занятия хутора Березов нашими войсками проверкой было установлено, что серии бомб точно перекрыли огневую позицию батареи. Одно орудие было уничтожено в результате прямого попадания бомбы; взрывами других бомб было опрокинуто второе орудие и два зарядных ящика, а также выведены из строя остальные орудия батареи, разрушен командный пункт противника и уничтожены орудийные расчеты.</w:t>
      </w:r>
    </w:p>
    <w:p w14:paraId="7A5FC02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июля 1943 г. две группы самолетов противника (33 и 22 Ю-87) в районе железнодорожной станции Моховое (Брянский фронт) нанесли удар по двум полкам артиллерии, один из них – тяжёлый артиллерийский полк – занял огневые позиции, но не успел оборудовать на них укрытий для материальной части и личного состава, а другой – полк 76-мм пушек – только что подошел к намеченным позициям и к моменту атаки самолетов противника не успел даже рассредоточиться. Атака производилась фугасными и осколочными бомбами, сбрасываемыми с пикирования. Противодействия с земли и в воздухе атакующим самолетам противника оказано не было. В результате атаки полки понесли большие потери в материальной части; в тяжёлом артиллерийском полку было выведено из строя 6 орудий, 4 трактора-тягача и несколько автомашин, в полку 76-мм пушек – вся материальная часть. Личный состав также имел потери, особенно большие потери в личном составе были в полку 76-м м пушек.</w:t>
      </w:r>
    </w:p>
    <w:p w14:paraId="465BE9F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Выводы. 1. Артиллерия на огневых позициях, нормально оборудованных укрытиями, несёт потери от действий авиации лишь в результате попадания бомб в укрытия или в результате их падения в непосредственной близости от укрытий: при этом наиболее часто бывают поражены приборы управлении огнем, дальномеры и прицельные приспособления орудий, которые выводятся из строя не только осколками, но и взрывной волной фугасных бомб.</w:t>
      </w:r>
    </w:p>
    <w:p w14:paraId="4F2B995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Артиллерийские орудия выходят из строя в результате взрыва фугасных бомб в котловане окопа или на его бруствере; при взрыве в тех же условиях осколочных бомб калибра 8—35 кг орудия выходят из строя в результате поражения осколками прицельных и противооткатных устройств, а также стволов пушек.</w:t>
      </w:r>
    </w:p>
    <w:p w14:paraId="56A6C56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Личный состав несёт потери при прямом попадании бомб в орудийные ровики, а также в тех случаях, когда батарея ведёт огонь во время атаки самолетов противника.</w:t>
      </w:r>
    </w:p>
    <w:p w14:paraId="56EF9A4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Вне укрытий (в местах сосредоточений, на походе) артиллерия представляет хорошую цель и несёт большие потери как в материальной части, так и в личном составе от осколочных бомб и пулеметно- пушечного огня авиации.</w:t>
      </w:r>
    </w:p>
    <w:p w14:paraId="40FE161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Для поражения материальной части окопавшейся артиллерии на огневых позициях наилучший результат дают осколочные бомбы калибра 8-25 кг. Более крупные калибры бомб могут быть необходимы только при действиях авиации по тяжелой артиллерии.</w:t>
      </w:r>
    </w:p>
    <w:p w14:paraId="6EA2661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Эффективность действий авиации по танкам</w:t>
      </w:r>
    </w:p>
    <w:p w14:paraId="673281B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поражения, танков авиация использует 20-25-кг осколочные бомбы, 50-кг осколочно фугасные (переделанные из снарядов), ФАБ-50 и ФАБ-100, специальные противотанковые бомбы ПТАБ-2.5-1.5, а также огонь 23-мм пушек ВЯ и 37-мм – системы ОКБ-16.</w:t>
      </w:r>
    </w:p>
    <w:p w14:paraId="17A7979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 всех этих средств поражения только ПТАБ-2.5-1.5 является универсальной: бомбой, обладающей достаточной мощностью для поражения всех типов танков и других подвижных бронированных целей, встречающихся на поле боя (самоходные пушки, бронемашины, бронетранспортёры). Остальные бомбы поражают преимущественно только легкие и частично средние танки; тяжёлые танки поражаются фугасными бомбами в результате прямого попадания и осколочно фугасными при попадании в наиболее уязвимые места.</w:t>
      </w:r>
    </w:p>
    <w:p w14:paraId="137009C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Осколочные бомбы АО-20 и АО-25 поражают легкие танки на расстоянии 2.0-3.0 м, а средние на расстоянии 0.3-0.5 м. При этом надёжное поражение средних танков может быть достигнуто лишь в результате прямого попадания бомбы в крышу или в гусеницы. Тяжёлые танки иногда выводятся яз строя осколочными бомбами в результате прямого попадания в гусеницы и в некоторые части крыши. Однако вероятность попадания в такие места ничтожно мала вследствие незначительных размеров поражаемой площади цели.</w:t>
      </w:r>
    </w:p>
    <w:p w14:paraId="4C32C89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Осколочно фугасные 50-килограммовые бомбы поражают лёгкие танки на расстоянии до 3-4 м и средние до 2.0-2.5 м. Средние и тяжёлые танки надёжно поражаются этими бомбами только при попадании в крышу или в ходовую часть танка.</w:t>
      </w:r>
    </w:p>
    <w:p w14:paraId="534536E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Фугасные бомбы ФАБ-50 и ФАБ-100 с мгновенно действующим взрывателем поражают осколками лёгкие танки на расстоянии не больше 3 и 5 м, средние на расстоянии 1.5-2.0 и 2.5-3.0 м, тяжёлые – при прямом попадании в танк или при падении бомбы не далее 0.5 м от гусеницы. При взрыве фугасной бомбы около гусеницы тяжёлых танков поражение наносится только их ходовой части.</w:t>
      </w:r>
    </w:p>
    <w:p w14:paraId="2157CF5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Взрывная волна фугасных бомб ФАБ-50 и ФАБ-100 разрушает броню корпуса танков только в результате прямого попадания. При взрыве ФАБ-100 с взрывателем, установленным на замедление, в непосредственной близости от лёгких танков, последние опрокидываются от действия взрывной волны. При этом обычно разрушается ходовая часть танка и сбрасывается орудийная башня, корпус же танка взрывной волной разрушается в редких случаях. Так, в районе деревня Грачики один, из наших танков Т-70 был перевёрнут через корму взрывом бомбы калибра 50-100 кг, разорвавшейся в 0.5 м от танка. В результате взрыва бомбы с танка была сорвана правая гусеница и в нескольких местах пробита осколками бомбы броня корпуса.</w:t>
      </w:r>
    </w:p>
    <w:p w14:paraId="40B97EB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Крупные фугасные бомбы с взрывателем, установленным на мгновенное действие, уничтожают легкие и средине танки при взрыве в непосредственной близости от танка и накосят поражения на расстоянии около 5 м.Фугасные бомбы крупного калибра с взрывателем, установленным на замедление, уничтожают или выводят средние и тяжёлые танки из строя только в тех случаях, когда очаг взрыва и воронка находятся под танком.</w:t>
      </w:r>
    </w:p>
    <w:p w14:paraId="273F0AF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районе деревни Грачики немецкая 1000-кг фугасная бомба с взрывателем замедленного действия упала около среднего танка Т-34. От взрыва бомбы образовалась воронка диаметром 18 м и глубиной 5,5.</w:t>
      </w:r>
    </w:p>
    <w:p w14:paraId="3894B9C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Танк был полностью уничтожен, башня его оказалась на краю воронки, а остальные разбитые части и целые агрегаты были разбросаны вокруг воронки на расстоянии до 15 м от её краёв.</w:t>
      </w:r>
    </w:p>
    <w:p w14:paraId="3CA8513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Малые размеры и большая прочность танков, благодаря которым для их поражения требуется прямое попадание или взрыв бомб в непосредственной близости от танков, обусловливают низкую вероятность попадания и вследствие этого малую эффективность бомбардировочных действий авиации. В большинстве случаев действиями авиации по танкам осколочными фугасными бомбами достигается моральное воздействие, временная дезорганизация боевых порядков танков, поражение </w:t>
      </w:r>
      <w:r w:rsidRPr="007224C3">
        <w:rPr>
          <w:rFonts w:ascii="Times New Roman" w:hAnsi="Times New Roman"/>
          <w:color w:val="000000" w:themeColor="text1"/>
          <w:sz w:val="16"/>
          <w:szCs w:val="16"/>
        </w:rPr>
        <w:lastRenderedPageBreak/>
        <w:t>поддерживающей мотопехоты, уничтожение тылов, питающих танковые части, и ремонтных баз, а также нарушение управления вследствие вывода из строя средств связи (радиостанций). Боевая материальная часть, особенно тяжёлые и средние танки, несут при этом ничтожно малые потери.</w:t>
      </w:r>
    </w:p>
    <w:p w14:paraId="2040E58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Применение авиационных пушек для борьбы с танками увеличивает эффективность действий авиации, однако возможности этого вида оружия также невелики.</w:t>
      </w:r>
    </w:p>
    <w:p w14:paraId="74B3370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Стрельба из 23-мм пушек ВЯ эффективна только по легким танкам и бронемашинам с толщиной брони до 20 мм. Средние танки, как правило, они не поражают, 37-мм пушки системы ОКБ-16 успешно поражают средние танки, а при отличной стрелковой подготовке и высоком лётном мастерстве экипажей, ведущих огонь на малых дальностях по уязвимым местам, – тяжелые танки типа Т-V («Пантера»).</w:t>
      </w:r>
    </w:p>
    <w:p w14:paraId="1A51E09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Однако возможности борьбы с танками для самолётов, вооружённых 37-мм пушками, ограничены, так как боекомплект их состоит из 30-80 патронов, а вероятность попадания в танк, представляющий собой точечную цель, даже при стрельбе из редукторной пушки в полигонных условиях не превышают в среднем 6 %.</w:t>
      </w:r>
    </w:p>
    <w:p w14:paraId="5222597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Эффективность стрельбы из 37-мм пушки штурмовика Ил-2 значительно ниже, чем истребителя, так как большая сила отдачи пушек, установленных в крыльях, увеличивает рассеивание снарядов.</w:t>
      </w:r>
    </w:p>
    <w:p w14:paraId="0ACF558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Наиболее эффективным средством борьбы с танками являются специальные противотанковые бомбы ПТАБ-2.5-1.5, впервые применённые нашей авиацией в летних операциях 1943 г, Несмотря на малый вес (1.5-1.6 кг), эта бомба при прямом попадании под углом 0° от нормали прожигает броню толщиной до 60 мм. Одновременно с этим при попадании в корпус танка она воспламеняет бензиновые баки, поражает взрывной волной и осколками брони экипаж танка и в некоторых случаях вызывает взрыв боеприпасов.</w:t>
      </w:r>
    </w:p>
    <w:p w14:paraId="4F108BA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Высокая эффективность этой бомбы объясняется направленным действием взрывной волны, скорость которой достигает 11 000 м/сек. Боевое .применение ПТАБ показало их высокую эффективность при действиях по танкам и самоходным орудиям, по автотранспорту, бронепоездам и другим целям.</w:t>
      </w:r>
    </w:p>
    <w:p w14:paraId="48C9A82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Изучение эффективности действия ПТАБ по танкам и самоходным пушкам, уничтоженным нашими штурмовиками и оставленным противником при его отступлении, показывает, что в результате прямого попадания в танк (самоходную пушку) последний уничтожается или выводится из строя. Попадание бомбы в башню или корпус вызывает воспламенение танка или взрыв его боеприпасов, приводящий, как правило, к полному уничтожению танка. При этом ПТАБ-2.5-1.5 с одинаковым успехом уничтожает лёгкие и тяжёлые танки. Так, на поле боя в районе Поныри была обнаружена немецкая самоходная пушка «Фердинанд», уничтоженная ПТАБ. Бомба топала в броневую крышку левого бензобака, прожгла 20-мм броню, взрывной волной разрушила бензиновый бак и воспламенила бензин. Пожаром было уничтожено всё оборудование и взорваны боеприпасы.</w:t>
      </w:r>
    </w:p>
    <w:p w14:paraId="7B44EC5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районе ст. Хотынец остался немецкий тяжелый танк Т-V («Пантера»), разрушенный прямыми попаданиями трех ПТАБ. Бомбы, попавшие в наклонный броневой пояс корпуса танка под основанием башни, прожгли 45-мм браню и вызвали .пожар танка.</w:t>
      </w:r>
    </w:p>
    <w:p w14:paraId="1E2C597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районе деревни Драгунская (10 км севернее Томаровка) противник оставил на поле боя шесть танков Т-V, разрушенных бомбами ПТАБ-2.5-1.5. Все они сгорели; в четырёх из них произошёл взрыв боеприпасов.</w:t>
      </w:r>
    </w:p>
    <w:p w14:paraId="2672091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Бомбометание ПТАБ повысило эффективность действий авиации по танкам противника.</w:t>
      </w:r>
    </w:p>
    <w:p w14:paraId="7FD4B5A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Применение ПТАБ-2.5-1.5 во много раз увеличило вероятность прямого попадания в танк, так как большое количество бомб, сброшенных с одного самолёта, покрывает большую площадь, создавая на ней достаточную плотность разрывов. Полоса разлёта бомб нередко перекрывает 2-3 танка, удаленных один от другого на 60—75 м; поэтому в результате действий авиации по рассредоточенным боевым порядкам и колоннам танков противника последние обычно несут большие потери. Это подтверждается следующими примерами.</w:t>
      </w:r>
    </w:p>
    <w:p w14:paraId="1E49241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июля 1943 г четыре Ил-2 614 шап атаковали в районе Подмаслово (Брянский фронт) группу наступающих танков противника в составе 25 машин, среди которых было до 10 «Тигров». Атака производилась с горизонтального полета с высот 130-150 м; при этом экипажами было сброшено 1190 ПТАБ- 2.5-1.5. В результате было сожжено 7 танков, в том числе 4 тяжёлых.</w:t>
      </w:r>
    </w:p>
    <w:p w14:paraId="76F9E27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июля 1943 г. 23 самолёта Ил-2 810 шап атаковали скопление танков и автомашин в районе Подмаслово, Федоровка, Филатово. На танки противника было сброшено 2700 ПТАБ. В результате атаки было уничтожено, по наблюдению экипажей, 17 танков и до 40 автомашин.</w:t>
      </w:r>
    </w:p>
    <w:p w14:paraId="6B71C8D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июля 1943 г. две восьмерки штурмовиков 291 шад атаковали колонну противника, движущуюся в составе около 400 танков по дороге от Томаровка на Черкасское. Каждая группа штурмовиков сделала по два захода на цель, сбросив противотанковые бомбы с высоты 300-200 м. В результате удара было сожжено до 20 танков; движение колонны было нарушено, так как противник свернул с дороги и поспешил рассредоточиться в окружающих лесах и лощинах.</w:t>
      </w:r>
    </w:p>
    <w:p w14:paraId="0732E99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Опыт применения ПТАБ-2.5-1.5 показал, что наилучшие результаты достигаются при сбрасывании их с высоты 400—300 м на выходе из планирования или с высот 120-150 м с горизонтального полёта.</w:t>
      </w:r>
    </w:p>
    <w:p w14:paraId="4738786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Бомбометание с высот 500 м и выше давало большой разнос бомб, в результате чего плотность очагов поражение оказывалась недостаточной, так как бомбы падали на расстоянии 30-40 м одна от другой. В отдельных случаях применялись противотанковые бомбы по танкам, укрывавшимся в лесу, что также не давало должного эффекта, так как ПТАБ взрывались при ударе о вершины и сучья деревьев и не могли поразить танки.</w:t>
      </w:r>
    </w:p>
    <w:p w14:paraId="5C70283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Выводы. </w:t>
      </w:r>
    </w:p>
    <w:p w14:paraId="55C3982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Эффективность действий авиации по танкам с применением осколочных и фугасных бомб а также авиационных пушек слабая.</w:t>
      </w:r>
    </w:p>
    <w:p w14:paraId="4BB1DA2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Танковые части и соединения, широко применяющие меры маскировки и рассредоточения, обычно несут незначительные потери.</w:t>
      </w:r>
    </w:p>
    <w:p w14:paraId="010AE1E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Наиболее эффективным средством поражения танков являются специальные противотанковые бомбы ПТАБ-2.5-1.5 которые при прямом попадавши в танк (самоходную пушку) любого типа, как правило, выводят его из строя или полностью уничтожают в результате возникающего пожара и взрыва боеприпасов.</w:t>
      </w:r>
    </w:p>
    <w:p w14:paraId="1989760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Применение ПТАБ сильно увеличило вероятность прямого попадания в малые бронированные цели, так как бомбы, сброшенные одним самолётом, покрывают большую площадь, создавая плотность разрывов, вполне достаточную для поражения малоразмерной цели.</w:t>
      </w:r>
    </w:p>
    <w:p w14:paraId="4981778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Эффективность ПТАБ сильно уменьшается при действиях по танкам, укрытым в густом лесу, так как взрыв бомб происходит вверху и не поражает танки. В подобных случаях следует применять для борьбы с танками фугасные бомбы ФАБ-100, а в сухую погоду АЖ-2 с КС; с целью создания пожара в лесу и «выкуривания» противника из него.</w:t>
      </w:r>
    </w:p>
    <w:p w14:paraId="06D2857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Эффективность действий авиации по живой силе и техническим средствам борьбы в значительной мере зависит от применяемых авиацией средств поражения. При этом наиболее эффективным средством поражения живой силы и боевой техники являются главным образом осколочные авиабомбы различных типов. Исключением являются действия по &lt;неразборчиво&gt; и узлам сопротивления противника, состоящим из системы ДЗОТ или ДОТ полевого типа, для разрушения которых обычно требуется прямое попадание фугасных авиабомб калибра от 50 до 500 кг. Примеры из боевой деятельности войск наглядно доказывают, что эффективность действий авиации по живой силе и техническим средствам борьбы зависит не только от подготовленности летного состава и применяемых средств поражения, но и от положения, занимаемого наземными войсками в момент атаки самолетов противника. Как правило войска, широко применяющие меры пассивной зашиты от нападения с воздуха (рассредоточение, укрытие, маскировка) несут незначительные потери даже в условиях неподготовленной для укрытия войск местности Когда же войска укрыты в фортификационных сооружениях (щели, окопы, блиндажи и т. д.), потери от действия авиации ничтожно малы.</w:t>
      </w:r>
    </w:p>
    <w:p w14:paraId="5556F01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ЭФФЕКТИВНОСТЬ ФУГАСНЫХ И ОСКОЛОЧНЫХ АВИАБОМБ (ПО ОПЫТУ ВЕЛИКОЙ ОТЕЧЕСТВЕННОЙ ВОЙНЫ)</w:t>
      </w:r>
    </w:p>
    <w:p w14:paraId="03463FC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Владимир Бойченко </w:t>
      </w:r>
    </w:p>
    <w:p w14:paraId="3908CA4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(Продолжение. Начало в «АКО» №5 2005 г.)</w:t>
      </w:r>
    </w:p>
    <w:p w14:paraId="214590C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бронетехнике</w:t>
      </w:r>
    </w:p>
    <w:p w14:paraId="04CF80C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началом Великой Отечественной, против танков советская авиация применяла в основном штатные фугасные и осколочные авиабомбы. Однако принятие на вооружение специализированных противотанковых авиабомб не исключало прежних алгоритмов работы авиации по целям этого типа. Комиссия ВВС обследовала в основном образцы бронетехники противника, выведенной из строя «фугасками».</w:t>
      </w:r>
    </w:p>
    <w:p w14:paraId="278D0AE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Они констатировали в своём отчёте, что одна из ФАБ-50 взорвалась в 0,3 м позади немецкой САУ «Артштурм» в капонире, отрытом в торфянистом грунте. Толщина её кормовых броневых листов была 13-14 мм. Взрывом разрушило броню моторно трансмиссионнного отделения, сбросило верхние бронелисты боевой рубки, сорвало гусеницы и оторвало оба направляющих катка.</w:t>
      </w:r>
    </w:p>
    <w:p w14:paraId="68E7C58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То, что немцы не гнушались использовать советскую бронетехнику, вроде перестало в кругах историков претендовать на сенсацию. Удивительно другое - как нашим авиаторам удавалось разглядеть с высоты кресты на башнях. Хотя, возможно, бомбили просто танки в районах, где наши сухопутные войска ещё не могли появиться. К примеру, одна из ФАБ-100 угодила в полуметре от трофейного Т-34, образовав воронку диаметром 4,0 м и глубиной 0,9 м, разорвав гусеницу и деформировав ближайший к месту взрыва опорный каток. В итоге наша бригада из трёх ремонтников восстановила машину за 3,5 ч и передала её танкистам проходившего мимо полка.</w:t>
      </w:r>
    </w:p>
    <w:p w14:paraId="1E920A8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Зато второму трофейному Т34 повезло меньше ФАБ-250 попала ему под левую гусеницу, образовав в болотистом грунте воронку диаметром 8 м. Взрывом сорвало башню и отбросило её на 12 м, вырванный двигатель улетел на 18 м, отдельные крупные агрегаты разметало в радиусе до 30 м.</w:t>
      </w:r>
    </w:p>
    <w:p w14:paraId="63AA131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Ещё одна ФАБ-250 с взрывателем, установленным на замедление, попала в 1,5 м от 75мм САУ «Артштурм», образовав воронку диаметром 5,7 м и глубиной 1,2 м. Установка сгорела полностью, боеприпасы взорвались, верхний бронелист боевой рубки отбросило на 10 м, соединение бронелистов корпуса нарушилось, и машина восстановлению не подлежала.</w:t>
      </w:r>
    </w:p>
    <w:p w14:paraId="0EAB287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По паре тяжёлых немецких «Тигров» авиаторы отбомбились фугасными ФАБ-250, ФАБ100, ФАБ-50 с взрывателями, установленными на замедление, и бронебойными БРАБ. При этом один танк был на ходу и буксировал вторую машину на гибкой сцепке. Одна из ФАБ250 взорвалась в 4,6 м от </w:t>
      </w:r>
    </w:p>
    <w:p w14:paraId="573CC95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 xml:space="preserve"> кормы первой машины, образовав в суглинке воронку диаметром 6,8 м и глубиной 1,9 м. Взрывной волной и осколками пробило и помяло все внешние узлы конструкции, выполненные из неброневой стали. Иных существенных повреждений машина не получила. А одна из ФАБ-50 попала в 0,4 м от второго танка, образовав воронку диаметром 1,5 м и глубиной 0,4 м, наполовину перебив одно звено гусеницы. Ещё одна из ФАБ-250 взорвалась в 5,1 м от танка. Воронка от неё составила 7,3 м в диаметре и 1,7 м глубиной, но это также не причинило машине повреждений.</w:t>
      </w:r>
    </w:p>
    <w:p w14:paraId="520482C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ФАБ-100 с взрывателем, установленным на замедление, угодила в 6,2 м от тяжёлой немецкой «Пантеры», образовав воронку диаметром 4,3 м и глубиной 1,0 м. Осколками пробило дульный тормоз её 75-мм пушки, но, тем не менее, экипаж покинул вполне исправную и заправленную машину. Ну что ж, говорят, на войне не обязательно убивать противника, бывает достаточно напугать его до смерти...</w:t>
      </w:r>
    </w:p>
    <w:p w14:paraId="12197E9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Единственная ФАБ-250 с взрывателем мгновенного действия попала в 1,8 м от 150-мм САУ «Насхорн» с корпусом из бронеплит толщиной 20-30 мм, образовав воронку диаметром 3,5 м и глубиной 0,6 м, пробив корпус боевой рубки и вызвав детонацию боезапаса. САУ, естественно, была уничтожена.</w:t>
      </w:r>
    </w:p>
    <w:p w14:paraId="7719EAC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Таким образом, комиссия признала, что бомбардировка средней и тяжёлой бронетехники 50 и 100-кг фугасными авиабомбами практически бесполезна. Попадание ФАБ-250 в непосредственной близи от танка уничтожает машину, а радиус действия их по средним и тяжёлым машинам не превышает радиуса воронки. Вероятность попадания осколков ФАБ-50 и ФАБ-100 в боекомплект танков и САУ невелика, а применение «фугасок» по танкам нецелесообразно.</w:t>
      </w:r>
    </w:p>
    <w:p w14:paraId="384FB2A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автотранспорту</w:t>
      </w:r>
    </w:p>
    <w:p w14:paraId="6486521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бомбометания по автотранспорту (в колоннах и местах его сосредоточения) в Великую Отечественную применяли в основном осколочные авиабомбы. Кроме того, по целям этого типа в штурмовой и истребительной авиации куда чаще и с неменьшим успехом использовали стрелково-пушечное и ракетное вооружение. Однако комиссия ВВС уделила внимание лишь результатам бомбардировки автомашин и небронированных транспортёров именно фугасными авиабомбами.</w:t>
      </w:r>
    </w:p>
    <w:p w14:paraId="1009166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примеру, ФАБ-50м9 взорвалась между гусеницами самоходной полевой кухни, образовав в чернозёме воронку диаметром 2,5 м и глубиной 0,3 м. Ходовую часть машины сильно деформировало, а сама она полностью сгорела. Солдаты противника остались голодными.</w:t>
      </w:r>
    </w:p>
    <w:p w14:paraId="47AC33A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ФАБ-100 угодила в 14,8 м от грузовика с пиротехникой и ёмкостями с горючим, образовав в чернозёме воронку диаметром 4,0 м и глубиной 0,8 м. Осколками боеприпаса пробило баки с нефтепродуктами и вызвало детонацию пиротехники. Машина сгорела полностью.</w:t>
      </w:r>
    </w:p>
    <w:p w14:paraId="34471C4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Другая ФАБ-100 упала в 4,6 м от легковой автомашины на открытой местности, образовав в чернозёме воронку диаметром 4,2 м и глубиной 1,0 м. Авто полностью сгорело.</w:t>
      </w:r>
    </w:p>
    <w:p w14:paraId="2715DFD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ФАБ-50М (но, скорее всего, это была АО-50-100 с взрывателем мгновенного действия), угодив в угол сарая, взорвалась на высоте 3,5 м в 5 м от полугусеничного БТР и в 7 м от легковой автомашины. Осколки боеприпаса встретились с горизонтальными бронеплитами толщиной 6 мм под углом 50° к нормали, без труда пробив её во многих местах и выведя двигатель машины из строя. БТР прикрыл собой легковушку, и у неё лишь посекло осколками ветровое стекло и кузов. Таким образом, осколками ФАБ-50 было признано возможным пробивать бронезащиту легкобронированной техники. А действие ФАБ-100 по автомобилям посчитали чрезвычайно эффективным и на расстоянии до 15 м. О нормальной статистике здесь речи и не шло. Зачастую выводы об эффективности боеприпасов делали по 1-2 выборкам, что во все времена считалось не совсем корректным.</w:t>
      </w:r>
    </w:p>
    <w:p w14:paraId="0D38E61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железнодорожным путям и транспорту</w:t>
      </w:r>
    </w:p>
    <w:p w14:paraId="5AE0CA6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Бомбометание по железнодорожным станциям, узлам и перегонам советские авиаторы выполняли в Великую Отечественную войну для дезорганизации перевозок противника. И то, что цели этого типа оказались живучими, а восстанавливали их зачастую очень быстро, подтверждает, что в России из-за недостаточно развитой дорожной сети немцы также уделяли большое внимание железнодорожным перевозкам.</w:t>
      </w:r>
    </w:p>
    <w:p w14:paraId="7CC2233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Цели эти довольно крупные, в сравнении с зоной действия фугасной авиабомбы, состоят из простейших дискретных элементов и не требуют для ремонта высокой квалификации персонала.</w:t>
      </w:r>
    </w:p>
    <w:p w14:paraId="3ECDE59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Кстати, сегодня в России железным дорогам военные уделяют внимания не меньше, а скорость восстановления путей нашими желдорвойсками превышает «мыслимую скорость их выведения из строя».</w:t>
      </w:r>
    </w:p>
    <w:p w14:paraId="7BEDF8B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Иное дело живучесть отдельных объектов на станциях... Ведь каждый состав не сделать бронепоездом. ФАБ250 с взрывателем, установленным на замедление, взорвалась между колеями путей, образовала воронку диаметром 7,5 м и глубиной 2,0 м, перебив у одной колеи семь шпал, погнув рельс и сбросив с них два вагона. У другой колеи шпалы вздыблены и разбросаны, один рельс разорван в месте стыка, второй деформирован. В семи метрах осколками пробило стенки вагона с боеприпасами, и ...пошло поехало.</w:t>
      </w:r>
    </w:p>
    <w:p w14:paraId="736B986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Другая ФАБ-250 взорвалась в 0,7 м от передних бегунков паровоза, осколками пробило его тендер и бункер, многие агрегаты, в результате чего котёл взорвался. Рядом ФАБ-100 угодила в 1,7 м от состава, обломав конец шпалы и погнув рельс. Но её силы хватило, чтобы опрокинуть пустой двухосный пульман. У вагона проломлен пол, сорвана металлическая дверь, но рама и колёса повреждений не получили. ФАБ-100 с взрывателем, установленным на замедление, попала в 4 м от товарного вагона и посекла его осколками. Шпалы, рельсы, ходовая часть вагона повреждений не получили.</w:t>
      </w:r>
    </w:p>
    <w:p w14:paraId="01C1FD6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Таким образом, желдорпути возможно разрушать «фугасками» всех калибров, но эффект от боеприпасов со взрывателями, установленными на замедление, получается только при их попадании не далее, чем в радиусе воронки. При этом поражение различной степени тяжести получают также 1-2 находящихся рядом вагона. Паровозы с разведёнными парами были признаны взрывоопасным транспортным средством и легкоуязвимыми целями.</w:t>
      </w:r>
    </w:p>
    <w:p w14:paraId="0A22765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шоссе и дорогам</w:t>
      </w:r>
    </w:p>
    <w:p w14:paraId="6722A3F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Разрушать автодороги путём бомбометания в Великую Отечественную не приходило в голову никому. Армейскую автотехнику и так отличала от гражданских аналогов повышенная проходимость, так что объехать </w:t>
      </w:r>
    </w:p>
    <w:p w14:paraId="36FA6DE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 воронку им было затруднительно только в распутицу. Таким образом, большие воронки от «фугасок» скорее играли роль нынешних «лежачих полицейских», снижая скорость передвижения. Но и разогнаться по военным дорогам было невозможно разбитые гусеницами танков и колёсами тяжёлых орудий, неухоженные шоссе быстро превращались в «грунтовые натоптыши».</w:t>
      </w:r>
    </w:p>
    <w:p w14:paraId="405726A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Немцы к автомобильным коммуникациям относились более трепетно (их боевая техника, особенно в начале войны, не была рассчитана на русское бездорожье), и советские военнопленные под руководством их сапёров регулярно восстанавливали движение, засыпая воронки на дорогах. В основном, воронки на дорогах результат бомбардировки осколочными боеприпасами колонн автотехники или живой силы на марше. Однако в Красной Армии сапёры редко восстанавливали тыловые дороги, и потому считалось, что в некоторых случаях применение ФАБ способно существенно затруднить и дезорганизовать перевозки.</w:t>
      </w:r>
    </w:p>
    <w:p w14:paraId="6A720E6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примеру, когда ФАБ-100 попала практически в центр просёлочной дороги шириной 6,7 м, она образовала в чернозёме воронку диаметром 4,7 м и глубиной 1,0 м, что вынудило организовать объезд.</w:t>
      </w:r>
    </w:p>
    <w:p w14:paraId="349EB74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Другая 100-килограммовка в городе угодила в мостовую с полотном из забетонированного камня толщиной 30 см, уложенное на супесчаный грунт, образовав воронку диаметром 4,8 м и глубиной 0,7 м. Трещины в покрытии от неё разбежались в радиусе 9,5 м. ФАБ-250 в таком же дорожном покрытии шириной 7 м образовала воронку диаметром 6,9 м и глубиной 1,05 м, полностью прервав движение. Зато взрыв ФАБ-500 создал воронку диаметром 9 м. и глубиной 2 м. Объезд в этом случае организовать не удалось мешали дома, стоящие по сторонам шоссе.</w:t>
      </w:r>
    </w:p>
    <w:p w14:paraId="47E99A9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Таким образом, большего эффекта при бомбёжке «фугасками» шоссе и дорог можно было добиться, «укладывая» их строго по разделительной полосе. В этом случае, даже если диаметр воронки меньше ширины проезжей части, объезд приходилось устраивать по обочине, через кюветы. Ещё большего эффекта можно было добиться на участках шоссе, проходящих через естественные теснины или по высоким насыпям.</w:t>
      </w:r>
    </w:p>
    <w:p w14:paraId="67DCB2D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гатям и деревянным мостам</w:t>
      </w:r>
    </w:p>
    <w:p w14:paraId="18C5414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великую Отечественную боевые действия проходили по многим участкам, покрытым топями и болотами. Например, в Белоруссии движение было возможно в основном по гатям, мостам, эстакадам и прочим искусственным транспортным сооружениям. Их разрушение или вывод из строя серьёзно нарушал и дезорганизовывал передислокацию живой силы и особенно техники. Гати, как правило, состояли из поперечного бревенчатого настила, уложенного на продольные лежни или фашины. Деревянные мостки на шоссейных и грунтовых дорогах - либо на свайных опорах, либо на опорах из брёвен на лежнях.</w:t>
      </w:r>
    </w:p>
    <w:p w14:paraId="6266784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ФАБ-50 взорвалась в 2 м от деревянного двухпролётного моста длиной 6,8 м и шириной 4,6 м, связывающего просёлочную дорогу. Средняя опора моста из трёх брёвен на лежнях, береговыми устоями также служили лежни. Толщина балок 40 см, настила 21 см, крепление скобами. После взрыва в песчаном грунте образовалась воронка диаметром 3,0 м и глубиной 1,5 м, крайнюю балку сдвинуло на 1,2 м, а настил поднялся на 0,3 м, но движение по мосту не прекратилось.</w:t>
      </w:r>
    </w:p>
    <w:p w14:paraId="1021A8D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ФАБ-100 угодила в 4,5 м от гати с бревенчатым настилом на лежнях из разобранных сельских построек, образовав воронку в болотистом грунте диаметром 7 м. Но транспортная коммуникация не пострадала. В 0,5 м от той же гати упали и три ФАБ-50, образовав воронки диаметром 5,5 м и нарушив проезд на протяжении 15 м. Правда, затем коммуникацию быстро восстановили из обломков тех же брёвен. Одной из ФАБ-50 удалось попасть точно в гать. Взрывом разрушило пять брёвен и порвало гусеницу двигавшейся по переправе 75-мм САУ. Движение прекратилось, и немцам оказалось проще построить для объезда дополнительную гать, чем сбросить САУ в топь.</w:t>
      </w:r>
    </w:p>
    <w:p w14:paraId="76581B6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Очевидно, в ходе ее постройки авиаторы начали бомбить скопление боевой техники у переправы. Во всяком случае, множество воронок от авиабомб обнаружено по обе стороны от гати на участках дороги протяжённостью 300-350 м. В итоге немцы бросили три 37-мм зенитные автоматические пушки в транспортном положении (с передками), одну 5-см полевую противотанковую пушку, четыре 15-см гаубицы с передками, два зарядных ящика и повозку.</w:t>
      </w:r>
    </w:p>
    <w:p w14:paraId="2D1FEE3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 деревни Карааки в Крыму немцы построили из фашин (диаметром 0,4 м и длиной 6-8 м) гать длиной 710 м и шириной 5,5 м через пролив Сиваш (про</w:t>
      </w:r>
    </w:p>
    <w:p w14:paraId="3D02D65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 езжая часть шириной 3 м), которая возвышалась над водой на высоту 0,4-0,5 м. Боковые фашины ограждались анкерными кольями, а проезжая часть была выполнена из уложенных поперёк металлических брусьев штатного имущества понтонного парка. По этой переправе авиаторы применяли 50-, 100-, 250-и 500-кг «фугаски» </w:t>
      </w:r>
      <w:r w:rsidRPr="007224C3">
        <w:rPr>
          <w:rFonts w:ascii="Times New Roman" w:hAnsi="Times New Roman"/>
          <w:color w:val="000000" w:themeColor="text1"/>
          <w:sz w:val="16"/>
          <w:szCs w:val="16"/>
        </w:rPr>
        <w:lastRenderedPageBreak/>
        <w:t>(комиссия ВВС насчитала 60 бомбовых воронок). Прямое попадание было одно 100-кг авиабомбой, последствия от взрыва которой сапёры ликвидировали за 30-40 мин.</w:t>
      </w:r>
    </w:p>
    <w:p w14:paraId="30E605C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Таким образом, для разрушения гатей и небольших деревянных мостов требовалось прямое попадание ФАБ-50 или ФАБ-100, либо ими же, но не далее радиуса воронки. Прямое попадание авиабомбами даже не очень крупного калибра вызывало перерыв в движении по переправе на 30-40 мин., так как при наличии ремкомплекта её исправление не вызывало затруднений. Признано целесообразным бомбить не сами переправы «фугасками», а скопление живой силы, транспорта и боевой техники возле них осколочными и противотанковыми авиабомбами. </w:t>
      </w:r>
    </w:p>
    <w:p w14:paraId="037856E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Такую искусственную «долговременную пробку» в городе нынешние московские водители объехали бы даже по забору...</w:t>
      </w:r>
    </w:p>
    <w:p w14:paraId="3AAB54F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По жилым домам и «постройкам гражданского типа» </w:t>
      </w:r>
    </w:p>
    <w:p w14:paraId="59E7F25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Всемерно стремясь задержать наступление советских войск, противник широко использовал населённые пункты сельского и городского типа в качестве опорных пунктов обороны. Особенно ярко это проявилось в Германии, где наличие большого количества каменных и кирпичных построек, плотность застройки и густота расположения населённых пунктов благоприятствовали организации в них обороны. Поэтому действие авиации и артиллерии по ним имела большое значение для поддержки наступления пехоты. </w:t>
      </w:r>
    </w:p>
    <w:p w14:paraId="324875D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попадании 50-кг «фугаски» с взрывателем мгновенного действия в крышу кирпичного сарая с черепичной крышей и стенами толщиной 25 см, как правило, взрывом разрушало крышу на площади 4 м2 и обваливало стену сверху на высоту 0,5 м. А при попадании ФАБ-50 с взрывателем мгновенного действия в 4-этажный кирпичный дом с черепичной крышей, перебивало до трёх балок стропил сечением 15x15 см и крышу разрушало на площади 15 м2. Ударной волной потолок верхнего этажа обваливало на площади 12 м2, хотя стены и пол в комнате повреждений не получали.</w:t>
      </w:r>
    </w:p>
    <w:p w14:paraId="20DE174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При ведении боевых действий бомбардировке подвергались городские кварталы из типовых для того времени двухэтажных кирпичных жилых домов. У немцев это были двухэтажные коттеджи, крытые черепицей. Причём, стены первого этажа толщиной в два кирпича, второго в один. При попадании в подобные сооружения сразу двух ФАБ-50 с взрывателями, установленными на мгновенное действие, к примеру, край крыши над торцевой стеной разрушало на площади 18 м2. Стена до потолка первого этажа повреждений не получала. Вторая авиабомба, попадая в центр крыши, разрушала её на площади до 25 м2. Потолок и стены комнаты под ней, как правило, повреждений не получали. </w:t>
      </w:r>
    </w:p>
    <w:p w14:paraId="032F7B3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При попадании 100-кг «фугаски» с взрывателем мгновенного действия в деревянный одноэтажный дом под оцинкованной металлической крышей, взрывом уничтожало всю крышу и образовывало пролом в потолочном перекрытии, а весь дом (на каменном фундаменте) перекашивало. Бомбардировка такими же боеприпасами 3-этажных жилых домов под металлической крышей приводила к подрыву авиабомбы в чердачном помещении, крышу срывало на площади 110-120 м2, перебивало до четырёх балок потолочного перекрытия сечением 20x25 см, в перекрытии образовывалась пробоина диаметром от 2,4 до 5,0 м и разрушался простенок толщиной в 0,5 кирпича. Аналогичное попадание ФАБ-100 в черепичную крышу 4-этажного кирпичного дома приводило к разрушению крыши на площади 60 м2 и проламывало потолок на площади 8 м2, хотя стены и пол комнат верхнего этажа повреждений не получали. </w:t>
      </w:r>
    </w:p>
    <w:p w14:paraId="4F9611C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Благодаря взрывателю мгновенного действия, другая ФАБ-100 сработала на крыше 4-этажного жилого дома. В результате чердачная крыша разрушилась на площади 120 м2, а потолочное перекрытие на площади 90 м2. Следующая ФАБ-100, попав в 2-этажный кирпичный дом с толщиной стен в 1,5 кирпича, снесла черепичную крышу на площади 50 м2 и пробила потолочное перекрытие на площади 10 м2. Стены здания не пострадали. Аналогичный подрыв 100-кг «фугаски» на черепичной крыше 3-этажного дома с толщиной стен в 2,5 кирпича «снимал» черепицу на площади 150 м2, проламывал потолочное перекрытие в двух местах общей площадью 25 м2 и незначительно разрушал фасад сооружения. Нижние этажи при этом не страдали. </w:t>
      </w:r>
    </w:p>
    <w:p w14:paraId="4B35706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Не менее любопытны были последствия попадания фугасных авиабомб рядом с временными и капитальными сооружениями. К примеру, угодив в метре от угла здания, авиабомба образовывала воронку диаметром 4 м и глубиной 0,8 м, край которой находился под фундаментом. Из него взрывом были выбиты камни и разрушен угол дома. Другая ФАБ-100, угодив в 1,5 м от одноэтажного кирпичного дома, образовала воронку диаметром 4,3 м. Однако стена сооружения толщиной 1,5 кирпича обвалилась наружу, а внутренние стены и потолок в доме остались нетронутыми. Следующая ФАБ-100 упала в 2,2 м от одноэтажного жилого дома с толщиной стен в 1,5 кирпича, разрушила угол сооружения, не повредив внутренние стены и потолок. </w:t>
      </w:r>
    </w:p>
    <w:p w14:paraId="5C2670E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При попадании ФАБ-100 в 3,5 м от стены одноэтажного кирпичного дома размерами 18x8x 2 м с толщиной стен 2,5 кирпича и чердаком в 1,5 кирпича, образовывалась воронка диаметром 2,5 м и глубиной 1,2 м. В результате взрывной волной продавило стену чердака, посекло её осколками и разрушило верхний угол черепичной крыши. Что удивительно, рамы в доме остались целыми. В аналогичной ситуации, когда ФАБ-100 попала в 2,5 м от деревянного одноэтажного дома на кирпичном фундаменте, разрушив угол фундамента толщиной в 1,5 кирпича, дом сгорел полностью. </w:t>
      </w:r>
    </w:p>
    <w:p w14:paraId="49C6BC1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Попадание 100-кг «фугасок» в 4,5 м от одноэтажного кирпичного дома с толщиной стен в два кирпича образовывало воронку диаметром 5,6 м и глубиной 1,5 м и, как правило, лишь выбивало стёкла (рамы оставались целыми), секло осколками стены и «взъерошивало» черепицу на крыше. И хотя действие ударной волны на расстоянии угасает по экспоненциальному закону, на менее прочные сооружения она эффективно воздействует и на большем удалении от точки подрыва. К примеру, аналогичное попадание ФАБ-100 в 6 м от стены (толщиной в кирпич) каменного сарая образовало воронку диаметром 4,6 м и глубиной 1,2 м. Секция сооружения 4,8x2,4 м полностью разрушалась, а заднюю его стену продавливало. </w:t>
      </w:r>
    </w:p>
    <w:p w14:paraId="682B8F1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Как правило, сотых долей секунды в замедлениях различных типов взрывателей мгновенного действия (к примеру, АМ-А и АПУВ) было достаточно для проникания боеприпаса сквозь крышу, чердачное и потолочное перекрытия здания. При этом подрыв авиабомбы наносил куда более существенный ущерб сооружениям. Так, ФАБ-100, попав в 2-этажный дом с толщиной стен в 1,5 кирпича, взорвалась внутри сооружения и обрушила переднюю и заднюю его стены на протяжении 9 м по ширине. </w:t>
      </w:r>
    </w:p>
    <w:p w14:paraId="6A1CFDB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Попадание ФАБ-100 в середину кирпичного сарая размерами 30x10 м с высотой стен 2 м обрушивало черепичную крышу на площади 80 м2 и частично повреждало верхнюю часть одной из стен. При аналогичном попадании ФАБ-100 в деревянный сарай размерами 10x12 м, она разметала его полностью. При этом в 8 м от него в жилом доме выбивало стену и разрушало всю черепицу на крыше. </w:t>
      </w:r>
    </w:p>
    <w:p w14:paraId="753DE3D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 сих пор мы рассматривали примеры применения ФАБ-100 с взрывателями мгновенного действия. При использовании взрывателей, установленных на замедление, эффект был иной. К примеру, ФАБ-100 угодила в 4,4 м от станционного деревянного киоска под черепичной крышей на кирпичном фундаменте, образовав воронку диаметром 3,8 м и глубиной 1,5 м. В результате разрушилась часть фундамента соо-ружения, сорвало угол крыши и выбило все стёкла, хотя переплёты оконных рам остались целы. При попадании такого боеприпаса в барак площадью 30x12 м, его полностью разрушало на протяжении 24 м, хотя остальная часть сооружения существенных повреждений не получала.</w:t>
      </w:r>
    </w:p>
    <w:p w14:paraId="625B90B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Ещё одна ФАБ-100 «с замедлением» при попадании в одноэтажный кирпичный дом площадью 10x20 м полностью разрушила половину его и образовала в стенах оставшейся половины здания сквозные трещины. Более солидной целью «для работы» ФАБ-100 оказался старинный сарай с толщиной стен в два кирпича, сводчатым потолком с толщиной кладки в кирпич и черепичной крышей. Авиабомба пробила свод и взорвалась в центре сооружения, уничтожив крышу на площади 60 м2, потолок на площади 10 м2 и стену 2-метровой высоты на протяжении 6 м. </w:t>
      </w:r>
    </w:p>
    <w:p w14:paraId="6DCAB66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Попав в 2-этажный дом с толщиной стен в 1,5 кирпича, ФАБ-100 взорвалась на уровне первого этажа. Точка подрыва находилась в 2 и 3 м от угловых стен сооружения. В результате в углу дома образовалась пробоина размерами 8x3 м, а одна стена обрела сквозную трещину. При залповом бомбометании с небольших высот, зачастую по две авиабомбы попадали в одно сооружение. К примеру, одна из таких «парочек» угодила в кирпичный сарай размерами 8x10 м с крышей из 20-мм досок и крытый тёсом. Сработали они практически одновременно на расстоянии 5 м друг от друга и в 1,5 и 2 м от стены, полностью разрушив её, а также крышу. Противоположная стена сооружения при этом сильно растрескалась. </w:t>
      </w:r>
    </w:p>
    <w:p w14:paraId="14C59BE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Иначе вели себя 250-кг «фугаски» с взрывателями, установленными на замедление. К примеру, ФАБ-250 попав в одноэтажный дом размерами 18x10 м с толщиной стен в 2,5 кирпича, полностью разрушила его. При этом в подвале погибло шесть человек. Прямое попадание ФАБ-250 в аналогичное здание привело к её подрыву в подвале, который использовали под пекарню. Дом был разрушен полностью, а из под его обломков извлекли 18 трупов немецких солдат. </w:t>
      </w:r>
    </w:p>
    <w:p w14:paraId="7BFA2C1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Две ФАБ-250 при попадании в 2-этажное здание с мезонином и стенами толщиной в 2,5 кирпича, как правило, пробивали два межэтажных перекрытия и взрывом обрушивали их. Кроме того, полностью разрушались внутренние стены толщиной в 1,5 кирпича, а наружные капитальные стены сильно деформировались. Площадь сплошного разрушения кирпичных стен достигала 145 м2, а радиус сплошного разрушения деревянных (из 18-20-см брёвен) 12 м. Объём сплошного разрушения около 900 м3. </w:t>
      </w:r>
    </w:p>
    <w:p w14:paraId="477ADD1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ФАБ-250 угодила в 4-этажный дом с толщиной стен в 2,5 кирпича. Стена, возле которой авиабомба сработала, обрушилась наружу, а внутренние сте-ны остались практически целыми. Другая «фугаска» того же калибра, попав в 3-этажный дом со стенами толщиной в два кирпича, разрушила центральную часть здания площадью 200 м2. Попадание ещё одной ФАБ-250 пришлось аккурат в центр 2-этажного кирпичного дома площадью 48x12 м. Она прошила его насквозь и взорвалась в подвале. Взрывом разрушило всю центральную часть здания (18x12 м) и в подвале убило двух человек. </w:t>
      </w:r>
    </w:p>
    <w:p w14:paraId="4F80170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Ещё одна ФАБ-250 взорвалась в подвале 2-этажного дома с мезонином с толщиной стен первого этажа в два кирпича, второго в 1,5 кирпича и мезонина в кирпич. В результате полностью разрушилась часть дома на площади 10x10 м и внутренняя стена, дом загорелся, и от этого пожара занялось соседнее здание. Другая ФАБ-250 угодила в 3-этажный дом со стенами первых двух этажей в два кирпича и третьего этажа в кирпич. Точка её подрыва находилась на первом этаже у пола в 2,5 м от стены, которую авиабомба полностью разрушила. В остальных стенах образовались сквозные трещины и проломило полуметровый кирпичный свод подвала. </w:t>
      </w:r>
    </w:p>
    <w:p w14:paraId="7FFFCA9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Очередную ФАБ-250 авиаторы уложили точно в 4-этажный дом с толщиной стен первых трёх этажей в два кирпича и четвёртого этажа в кирпич. Точка подрыва оказалась на уровне потолка первого этажа в 2-3 м от стены, которая полностью обрушилась на протяжении 15 м, внутренние стены разрушило на глубину 10 м. Дом загорелся, что произвело дополнительные разрушения. </w:t>
      </w:r>
    </w:p>
    <w:p w14:paraId="130D0B4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 xml:space="preserve">Не менее любопытно действие 250-кг «фугасок» при попадании рядом с целью. Так, две ФАБ-250 взорвались возле одноэтажного дома с толщиной стен в 1,5 кирпича. Первая в 1,8 м (воронка глубиной 1,2 м) от здания обвалила стену на протяжении 7,6 м, частично разрушила черепичную крышу и внутреннюю кирпичную перегородку, вторая в 4,5 м от другой стены дома (воронка глубиной 1,2 м), проломив свод над окном и образовав в ней несколько сквозных трещин. В 12 м от второй воронки располагался другой одноэтажный дом, в котором выбило часть стены и «взъерошило» черепицу на крыше. </w:t>
      </w:r>
    </w:p>
    <w:p w14:paraId="7675A03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Ещё одна ФАБ-250 упала в 1,2 м от стены деревянного барака, выстроенного на кирпичном фундаменте. За счёт запаздывания в срабатывании взрывателя, она максимально углубилась в промёрзший на толщину 0,7 м грунт, а воронка получилась диаметром 6,5 м и глубиной 1,2 м. Всё это сильно ослабило фугасное действие боеприпаса, взрывом разрушившего лишь угол дома. </w:t>
      </w:r>
    </w:p>
    <w:p w14:paraId="198F610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Другая ФАБ-250 в 3,2 м от одноэтажного дома с толщиной стен в кирпич образовала воронку диаметром 7,7 м и глубиной 2,2 м, в стене дома образовался пролом шириной 6 м, участок стены получил сквозные трещины, а внутренние стены остались нетронутыми. В стене, обращенной к взрыву, вылетели все стёкла, но рамы и оконные переплёты уцелели. </w:t>
      </w:r>
    </w:p>
    <w:p w14:paraId="2C8917B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Очередная ФАБ-250 взорвалась в метре от 3-этажного дома с толщиной стен первых двух этажей в 1,5 кирпича и третьего этажа в кирпич, образовав воронку диаметром 7,9 м и раз</w:t>
      </w:r>
    </w:p>
    <w:p w14:paraId="2260863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 рушив часть фасада двух этажей на ширине 8 м, а также внутренние кирпичные перегородки и кирпичный сводчатый потолок. Другая 250-кг «фугаска» угодила в 3-этажный кирпичный дом с толщиной стен первых двух этажей в 1,5 кирпича и третьего в кирпич. Точка подрыва пришлась на уровне потолка первого этажа в 2-3 м от стены, которая в итоге обрушилась на протяжении 17 м. Прилегающая к ней угловая и внутренние стены разрушились на глубину 10 м. </w:t>
      </w:r>
    </w:p>
    <w:p w14:paraId="6C0A2D5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ФАБ-250 угодила возле угла 3-этажного дома с толщиной стен первого этажа в два кирпича, второго в 1,5 и третьего в кирпич. Угол здания обрушился на площади более 40 м2. Другая аналогичная «фугаска» упала в 2,5 м от стены 2-этажного дома толщиной в 1,5 кирпича, образовав воронку диаметром 7,2 м и глубиной 2,2 м. Её взрывом также обрушило угол дома на площади 18 м2, а потолок завис на уцелевших частях стен. Другая ФАБ-250 сработала в 4 м от глинобитного дома под соломенной крышей, образовав воронку диаметром 11 м и глубиной 4 м. Дом просто сдуло. </w:t>
      </w:r>
    </w:p>
    <w:p w14:paraId="5D7B683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Как уже упоминалось в книге, в отличие от ФАБ-100, «фугаски» калибром 250 и 500 кг в Великую Отечественную в ВВС Красной Армии комплектовали в основном взрывателями (головным и донным), установленными на замедление. Это было обусловлено огневой мощью таких боеприпасов (средних калибров) при небольшой высоте их применения. Данные отчёта также подтверждают это. Однако в нём присутствует пара эпизодов использования ФАБ-250 с взрывателями мгновенного действия. </w:t>
      </w:r>
    </w:p>
    <w:p w14:paraId="625A8DA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Попав в 4-этажное здание с толщиной стен в 2,5 кирпича, где размещались казармы артиллеристов, ФАБ-250 взорвалась на чердаке. На площади 15x12 м она снесла черепичную крышу, продавила перекрытие из армированного (прутья сечением 10 мм) бетона толщиной 20 см и выбила все стёкла. Между тем в помещении под точкой подрыва пол и стены повреждений практически не получили. Аналогично снаряженная ФАБ-250 взорвалась возле 2-этажного кирпичного дома с толщиной стен в два кирпича, обрушив угол здания площадью 24 м2, а также внутренние каменные перегородки. Потолок повис на уцелевших конструкциях. </w:t>
      </w:r>
    </w:p>
    <w:p w14:paraId="46F920E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Возле домика, сложенного из саманного кирпича, высотой 1,8 м и с толщиной стен 0,5 м взорвались две «фугаски»: в 6 м от его угла 250-кг (воронка диаметром 5,2 м глубиной 1,5 м) и в 14 м от стены 500-кг (воронка диаметром 8,5 м и глубиной 2,6 м). От подрыва первой в стенах образовались трещины шириной 5 см. Взрыв второй не причинил сооружению ни малейшего ущерба. Зато, стоявший возле дома грузовик с патронами загорелся, воспламенив крышу сооружения. </w:t>
      </w:r>
    </w:p>
    <w:p w14:paraId="5E70F51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Намного реже по зданиям и сооружениям применяли 500кг «фугаски». Анализ их боевого применения проиллюстрирован всего парой случаев. Кстати, эти боеприпасы практически всегда окончательно снаряжали взрывателями, установленными на замедление. Так, одна из ФАБ-500 взорвалась в 8,7 м от глинобитного деревенского дома и в 8,8 м от деревянного сарая под соломенными крышами. Воронка получилась диаметром 15,5 м и глубиной 6,0 м. В результате сейсмического эффекта разрушилась стена дома, а выброшенным грунтом переломало деревянные стропила сарая. Вторая ФАБ-500 угодила в 6,2 м от одноэтажного дома с толщиной стен в два и фундамента в три кирпича, образовав воронку диаметром 12,4 м и глубиной 4,0 м. Взрывом оголило часть фундамента, деформировало кирпичные стены, сейсмическим эффектом обрушило часть одной из стен, выброшенным грунтом помяло и засыпало крышу из оцинкованного железа, вся внешняя и внутренняя штукатурка осыпалась, все стёкла и часть оконных переплётов вылетели. </w:t>
      </w:r>
    </w:p>
    <w:p w14:paraId="2E77811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Таким образом, фугасные авиабомбы калибром 50 кг при мгновенном действии взрывателя и прямом попадании в жилые и постройки и промышленного типа разрушали крыши на площади до 15-20 м2 и были способны частично разрушить лишь потолочные перекрытия. </w:t>
      </w:r>
    </w:p>
    <w:p w14:paraId="39A14F3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«Фугаски» калибром 100 кг при замедленном действии взрывателя и прямом попадании полностью или частично разрушали крышу на площади до 100 м2. При этом стены зданий разрушались при попадании боеприпасов в 2 м, да и то, </w:t>
      </w:r>
    </w:p>
    <w:p w14:paraId="7C68B95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 если точка подрыва боеприпаса находилась внутри здания. В этих же условиях деревянные постройки барачного типа разрушались на площади до 200 м2, а кирпичные на площади до 100 м2. Снаружи зданий удаление точки подрыва более чем на 2 м вызывало лишь лёгкие повреждения. </w:t>
      </w:r>
    </w:p>
    <w:p w14:paraId="589BEA1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ФАБ-100 с взрывателями мгновенного действия срабатывали, как правило, на кровле построек, разрушая металлические листы на площади до 120 м2 и черепичное покрытие на площади до 60 м2. При этом потолочные перекрытия обваливались на площади до 12 м2, а стены существенных повреждений не получали. При подрывах авиабомб рядом со зданиями на удалении до 2,5 м, их кирпичные стены обваливались, обретали сквозные трещины и пр. В случае удаления точки подрыва на расстояние более 3 м дома повреждало лишь незначительно. </w:t>
      </w:r>
    </w:p>
    <w:p w14:paraId="7070754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ФАБ-250 с взрывателями, установленными на замедление, при прямом попадании полностью разрушала одноэтажные дома, а многоэтажные дома на площади до 200 м2. Остальная часть здания получала значительные повреждения. Радиус сплошного разрушения при этом составлял не менее 7 м. Часто после взрыва возникал пожар, увеличивая разрушение. При срабатывании авиабомб вне зданий на расстоянии не более 4,5 м, сооружения получали значительные повреждения. </w:t>
      </w:r>
    </w:p>
    <w:p w14:paraId="2551225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Если ФАБ-250 были оснащены взрывателями мгновенного действия, площадь разрушения крыши здания составляла не менее 200 м2, разрушалось и потолочное перекрытие, а также частично стены. </w:t>
      </w:r>
    </w:p>
    <w:p w14:paraId="349EC70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По одноэтажным домам можно было и не очень точно применять ФАБ-500 с взрывателем, установленным на замедление они полностью разрушались и при удалении точки попадания не более чем на 4 м. В 6 м взрыв такого боеприпаса деформировал и частично разрушал их. На ещё большем удалении кирпичные стены получали лишь незначительные повреждения. Судя по форме воронки, ударная волна от взрыва ФАБ-500 была малоэффективной для нанесения сколько-нибудь серьёзного ущерба наземным объектам. Поэтому применять подобные боеприпасы по зданиям и сооружениям рекомендовалось лишь с взрывателями мгновенного действия. </w:t>
      </w:r>
    </w:p>
    <w:p w14:paraId="4A475C6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 итоге ФАБ-50 и ФАБ-100 из-за их малой огневой мощи по целям подобного типа рекомендовалось применять лишь по глинобитным и деревянным домам. ФАБ-250 была признана основным боеприпасом для действия по зданиям жилого и фабрично-заводского типа. </w:t>
      </w:r>
    </w:p>
    <w:p w14:paraId="2EB16A2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По мостам повышенной прочности </w:t>
      </w:r>
    </w:p>
    <w:p w14:paraId="67417E7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 ходе боевых действий авиаторам часто приходилось бомбить такие стратегически важные объекты, как одноили двухколейные мосты, для чего применяли ФАБ калибрами от 250 кг и более. Правда, в самом начале войны с этой целью применяли специализированные мостовые авиабомбы МАБ-250. Но затем их незначительный запас закончился, а возобновлять производство в особый период не стали, поскольку боевое применение МАБ требовало весьма жёстких и невыгодных условий бомбометания (с высот не более 100 м). Плюс к этому сказались и конструктивные недостатки при скорости носителя более 300 км/ч прочность купола и строп тормозного парашюта оказались недостаточны. </w:t>
      </w:r>
    </w:p>
    <w:p w14:paraId="569D1BC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Достоверных сведений об эффективности ФАБ при прямом попадании в ходе их применения по нормальным желдормостам получить не удалось со средних и больших высот это удавалось крайне редко. С малых высот и с бреющего полёта точно уложить «фугаску» удавалось ещё реже авиабомбы рикошетировали и взрывались вне досягаемости мостовых ферм. Между тем доподлинно известно, что подрыв боеприпасов в некотором удалении от ферм приводил к частичным и легкоисправимым повреждениям. </w:t>
      </w:r>
    </w:p>
    <w:p w14:paraId="643E9F5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Интересный материал удалось получить по итогам бомбардировок «фугасками» калибрами 100 и 250 кг четырёх городских мостов повышенной прочности в Будапеште. Это были сооружения с металлическими каркасами цепной (подвесной) конструкции с железобетонным покрытием (типа крымского моста в Москве). Для их разрушения выполнили 227 самолёто-вылетов и сбросили 325 штук ФАБ-250 и 386 штук ФАБ-100. Последние применяли из-за нехватки более мощных боеприпасов. </w:t>
      </w:r>
    </w:p>
    <w:p w14:paraId="5174B45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На первый мост размерами 12x375 м, высотой 6-8 м над водой (глубина реки 7-9 м) сбросили 140 штук ФАБ-250 и 96 штук ФАБ-100. При этом отмечено 21 прямое попадание, из которых 10 авиабомб рикошетировали. На второй мост размерами 17x310 м, высотой 8-10 м над водой (глубина реки 12-18 м) сбросили также 140 штук ФАБ-250 и 96 штук ФАБ-100. Зафиксировано 26 прямых попаданий, из которых 16 авиабомб рикошетировали. </w:t>
      </w:r>
    </w:p>
    <w:p w14:paraId="0537234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Третий мост был размерами 15x320 м, высотой 7-9 м над водой (глубина реки 9-12 м). Ему досталась 21 штука ФАБ-250 и 116 штук ФАБ-100. Отмечено семь прямых попаданий, из них три рикошета. Четвёртый мост размерами 8-280 м, высотой 6-8 м над водой (глубина реки 7-9 м) получил 8 прямых попаданий (из них три рикошета) после сброса на него 24 штук ФАБ-250 и 78 штук ФАБ-100. </w:t>
      </w:r>
    </w:p>
    <w:p w14:paraId="2F50508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 результате столь методичной обработки целей прочность переправ существенно не пострадала, и при отступлении немцы их сами взорвали. После взятия Будапешта комиссия прибыла специально осмотреть столь «крепкие орешки» и на невзорванных частях мостов обнаружили следы «работы» своих авиаторов: на первом 7 попаданий, на втором 2-4, на третьем 3-5 и на четвёртом 3-4 попадания. </w:t>
      </w:r>
    </w:p>
    <w:p w14:paraId="372F063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Общие выводы по применению фугасных авиабомб: ФАБ-250 с взрывателем, установленным на 22-секундное замедление, при попадании в железобетонный настил моста либо рикошетировали, либо пробивали его, образуя пролом диаметром 0,8-1,0 м и затем взрывались, разрушая 2-4 балки фермы (двутавр №20). При оснащении боеприпасов взрывателями мгновенного действия, в настиле или у береговых устоев моста образовывался прогиб или воронка диаметром 3-4 м и глубиной 0,5-0,6 м, а повреждения ферм оказывались незначительными. В этих же условиях ФАБ-100 с взрывателем, установленным на замедление, при попадании в железобетонный </w:t>
      </w:r>
      <w:r w:rsidRPr="007224C3">
        <w:rPr>
          <w:rFonts w:ascii="Times New Roman" w:hAnsi="Times New Roman"/>
          <w:color w:val="000000" w:themeColor="text1"/>
          <w:sz w:val="16"/>
          <w:szCs w:val="16"/>
        </w:rPr>
        <w:lastRenderedPageBreak/>
        <w:t xml:space="preserve">настил моста пробивали его, образуя пролом диаметром 0,5-0,7 м и затем взрывались, не нанося объекту повреждений. При взрыве на настиле моста образовывалась воронка диаметром 1,5 м и разрушались 1-2 балки (двутавр №20). </w:t>
      </w:r>
    </w:p>
    <w:p w14:paraId="220D5EE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Таким образом, при бомбометании с пикирования с высот около 400 м вероятность попадания в мосты была около 0,05-0,11. Рикошетировало из них 38-62% боеприпасов. Огневой мощи ФАБ-250 по таким целям явно не хватало. Взрыватели ФАБ, установленные на замедление, создают минимум разрушений даже при прямом попадании в цель. Для разрушения железнодорожных мостов требуются более эффективные специализированные авиабомбы. </w:t>
      </w:r>
    </w:p>
    <w:p w14:paraId="75FE298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складам боеприпасов</w:t>
      </w:r>
    </w:p>
    <w:p w14:paraId="328C95B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Столь специфические цели, как склады боеприпасов, всегда считались у авиаторов желанным объектом поражения. Ведь всего одного точного попадания было достаточно, чтобы вывести такую крупноразмерную площадную распределённую цель, лишить противника на какое-то время средств ведения войны, а также вывести из строя немалое число его живой силы. Понимали это и немцы, поэтому склады боеприпасов обе воюющие стороны строили таким образом, чтобы минимизировать ущерб атаки противником подобной цели. </w:t>
      </w:r>
    </w:p>
    <w:p w14:paraId="565917D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Один из немецких складов авиабомб (в штатной деревянной укупорке) располагался на площади 250x700 м. Расстояние между открытыми штабелями (по 66-78 авиабомб калибром 250 кг или по 440-540 авиабомб калибром 50 кг) 40-100 м. Кроме того, имелось и небольшое количество авиабомб калибром 500 кг. Всего на складе было 48-50 (по 11-19 т) штабелей авиабомб общей ёмкостью 50 вагонов. </w:t>
      </w:r>
    </w:p>
    <w:p w14:paraId="32F4D5C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Помимо авиаторов, по складу работала и наша артиллерия. Вместе им удалось взорвать 14 штабелей. При этом образовывалась воронки диаметром 15-18 м и глубиной 1,0-1,7 м, на дне которой едва угадывались следы взрывов отдельных боеприпасов. Между тем взрыв штабеля не вызывал детонации соседнего, а ударной волной его взрыва лишь разбрасывало боеприпасы соседнего штабеля, разрушало их укупорку и отрывало стабилизаторы. </w:t>
      </w:r>
    </w:p>
    <w:p w14:paraId="75B9BCA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Даже в начале войны с СССР немцы уже снаряжали свои авиабомбы обеднёнными амматолами и аммоналами, поэтому прямые попадания осколочных авиабомб, а также разрывы «фугасок» вблизи штабелей с большим трудом вызывали детонацию таких боеприпасов. К примеру, прямое попадание ракетно-осколочного снаряда РОС-132 (стартовая масса 23 кг) в штабель с немецкими 500-кг «фугасками» напрочь разрушило одну из авиабомб, но она так и не сдетонировала.</w:t>
      </w:r>
    </w:p>
    <w:p w14:paraId="71876DE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Более солидный ракетно-осколочно-фугасный снаряд РОФС-132 (стартовая масса 47 кг) угодил в 2 м от штабеля с авиабомбами калибром 50 кг, образовав воронку диаметром 1,4 м и глубиной 0,5 м. При этом взрывом был разворочен один ряд боеприпасов в штабеле и разбита укупорка в двух рядах, а также помяты стабилизаторы авиабомб, но штабель также не взорвался. Одна из наших ФАБ-50 попала в 0,6 м от штабеля с немецкими 50-кг авиабомбами, пробив осколками корпуса и стабилизаторы боеприпасов, но штабель взорвать ей также не удалось. </w:t>
      </w:r>
    </w:p>
    <w:p w14:paraId="7390B7F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ФАБ-100, взорвавшись в 5 м от штабеля с авиабомбами калибром 250 кг, разбила укупорку, сорвала стабилизаторы и разбросала боеприпасы одного ряда, но штабель не взорвался. Две 25-кг осколочные авиабомбы сработали в 0,5 м от такого же штабеля. Результат аналогичный. </w:t>
      </w:r>
    </w:p>
    <w:p w14:paraId="11EF939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Между тем все 14 штабелей сдетонировали при попадании в них 1,5-кг кумулятивных противотанковых авиабомб ПТАБ-2,5-1,5. К примеру, когда авиаторы применили их только в одном налёте со строго определённого направления, в зону бомбового удара попало 11 штабелей боеприпасов, из которых сдетонировало три. Остальные восемь уцелели лишь благодаря рассредоточению штабелей и малой плотности попаданий ПТАБ. Проверить свою гипотезу авиаторы решили контрольным подрывом ПТАБ возле ФАБ-50. </w:t>
      </w:r>
    </w:p>
    <w:p w14:paraId="2EFD0B1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Для этого испытуемую авиабомбу положили вниз взрывателем, посчитав это положение наиболее невыгодным, на неё уложили доску, на которую установили ПТАБ, чтобы срез её кумулятивной воронки находился в 6 см от преграды. Вместо взрывателя ПТАБ снарядили штатным сапёрным детонатором и бикфордовым шнуром. Такого подрыва оказалось достаточно для детонации ФАБ-50. Правда, опыт был не совсем корректным, поскольку в штабелях немцы хранили авиабомбы однозначно без взрывателей и, возможно даже, без дополнительных детонаторов. </w:t>
      </w:r>
    </w:p>
    <w:p w14:paraId="3C9FADB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По живой силе </w:t>
      </w:r>
    </w:p>
    <w:p w14:paraId="54D884C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Установить в ходе боевых действий радиус действия осколочных авиабомб по живой силе оказалось довольно проблематично -за редким исключением немцы вывозили с поля боя не только раненых, но и убитых. Пришлось воспользоваться показаниями специально опрошенных военнопленных. Они показали, что потери в живой силе при бомбово-штурмовых ударах ВВС Красной Армии по колоннам могут достигать 50% убитыми и ранеными. А основные потери войска несут именно от осколочных авиабомб. </w:t>
      </w:r>
    </w:p>
    <w:p w14:paraId="116A6F5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Вполне естественно, живая сила несла меньше потерь при нахождении в лёгких укрытиях полевого типа, нежели на открытой местности. В данном случае требуются только прямые попадания в эти фортсооружения. Между тем в полевых укрытиях открытого типа больший урон пехота несла именно от осколочных авиабомб, а сильно деморализовало её воздействие фугасных. </w:t>
      </w:r>
    </w:p>
    <w:p w14:paraId="3B3EBE3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Однако точно отбомбиться по окопам, траншеям и щелям редко удавалось и пилотам Геринга, и «Сталинским Соколам». К примеру, на участке немецкой обороны в районе оз.Сиваш первую линию окопов и траншей подвергли артиллерийскому и миномётному обстрелам, а также бомбометанию. Вскоре позиции были взяты, и комиссия скрупулёзно подсчитала воронки от различных боеприпасов в полосе шириной 120 м и глубиной 2 км, специально заострив внимание на прямых попаданиях в окопы и траншеи. </w:t>
      </w:r>
    </w:p>
    <w:p w14:paraId="71141AB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Из зафиксированных 657 воронок лишь 22 (3,4%) оказались требуемыми. А с учётом того, что миномётный и артиллерийский огонь считается более точным, нежели бомбометание, авиаторы согласились, что при одном лишь бомбовом ударе результаты будут куда скромнее, чем 3,4%. </w:t>
      </w:r>
    </w:p>
    <w:p w14:paraId="2B52F84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Осколочные и противотанковые авиабомбы по полевым фортсооружениям </w:t>
      </w:r>
    </w:p>
    <w:p w14:paraId="290B0B5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Применяли осколочные авиабомбы по закрытым фортсооружениям полевого типа только с целью поражения укрытой в них живой силы. Так, даже самые мелкие 2,5-кг осколочные авиабомбы А0-2,5 при прямом попадании в противоосколочное перекрытие траншеи, отрытое в песчаном грунте и состоящее из 3-см сосновых досок и земляной засыпки толщиной 15 см, образовывали в досках отверстие 0,22x0,55 м и сбрасывали засыпку на площади одного кв. м. </w:t>
      </w:r>
    </w:p>
    <w:p w14:paraId="27BDE84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С очень большой долей вероятности находящаяся за такими укрытиями живая сила несла урон. </w:t>
      </w:r>
    </w:p>
    <w:p w14:paraId="3B8410E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При подрыве 25-кг осколочной АО-25 на бруствере в 0,5 м от окопа полностью уничтожало бруствер на протяжении 2 м и заваливало окоп на высоту 0,5 м. Следов осколочного действия при этом обнаружить не удавалось. Вывод комиссии о том, что живая сила в окопах от таких боеприпасов не несёт потерь не совсем корректен. Для однозначного заключения было бы нелишним провести бомбометание по траншеям с установленными в них коробчатыми макетами или деревянными силуэтами. </w:t>
      </w:r>
    </w:p>
    <w:p w14:paraId="5489617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АО-10 и АО-25 при попадании в 1,8 м от окопа для стрельбы с колена размером 0,5x1,3 м, отрытом в чернозёме, создавали воронки диаметром 1,0 и 1,5 м соответственно и глубиной по 0,2 м. С учётом углов подхода авиабомб к преграде, распределения осколочного поля боеприпаса и мягкости грунта, глупо было бы искать при этом в стенках окопа следы от убойных осколков авиабомб, но комиссия не поленилась его обследовать... </w:t>
      </w:r>
    </w:p>
    <w:p w14:paraId="356CA2C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Между тем при прямом попадании противотанковых авиабомб в перекрытые жердями толщиной 4-6 см, соломой и засыпанные 30-см слоем грунта щели, в перекрытиях образовывались воронки и сквозные отверстия. Невероятно, но при оставшихся совершенно целыми жердях два человека из шести в укрытии получили ожоги второй степени. </w:t>
      </w:r>
    </w:p>
    <w:p w14:paraId="23ADFEB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Осколочные и противотанковые авиабомбы по автотранспорту </w:t>
      </w:r>
    </w:p>
    <w:p w14:paraId="6510A7F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Современники признавали наиболее эффективными для бомбометания по этим целям осколочные АО-2,5 и противотанковые ПТАБ-2,5-1,5. При попадании последних в БТР с десантом, они поражали плотно расположенную живую силу осколками корпуса боеприпаса и ударной волной. Далеко не каждый БТР при этом загорался требовалось попадание в определённые места машины. Единственно, что выручало, так это залповое бомбометание из контейнеров мелких бомб. На одиночную цель расходовался полный контейнер. Варьируя высотой бомбометания, можно было изменять и плотность поражения, и размеры площади, подвергнутой бомбовому удару. </w:t>
      </w:r>
    </w:p>
    <w:p w14:paraId="4B0781A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К примеру, одна их ПТАБ-2,5-1,5 угодила точно в гусеничный БТР, возник пожар, а затем взорвался бензобак, пламя поднялось до 10 м, опалив сучья рядом стоящего дерева. В машине осталось пять обгоревших трупов немецких солдат. В принципе, прочный корпус открытого сверху БТР усилил осколочное действие авиабомб, поражая живую силу в десантном отделении и вторичным действием рикошетирующих от стен осколков. Следующая ПТАБ попала в крыло другого БТР, взорвалась и осколками разбила бензопровод, радиатор, блок цилиндров, но машина не загорелась. </w:t>
      </w:r>
    </w:p>
    <w:p w14:paraId="7A05808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Осколочная АО-10, угодив рядом с кабиной грузовика, смяла ударной волной крыло и капот машины, пробила осколками кабину и бензобаки, машина сгорела. В другом случае авиаторы отбомбились осколочными АО-10 по автоколонне. Несмотря на то, что с точки зрения статистики, цель была протяженной и дискретной (обобщённой её трудно считать при скоростях самолётов тех времён), авиаторы повредили и уничтожили более 60 штабных машин и грузовиков. </w:t>
      </w:r>
    </w:p>
    <w:p w14:paraId="40201F2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Не менее любопытен и вариант смешанного применения осколочных АО-10 и противотанковых ПТАБ-2,5-1,5 по скоплению автотехники из 50 разнотипных машин, рассредоточенных на дистанции в среднем 2,5 м. Несмотря на то, что точки разрывов авиабомб находились на расстоянии 1-5 м друг от друга, повреждёнными и сожжёнными оказались 80% машин. Вариант применения осколочных авиабомб различных калибров (2,5,10 и 25 кг) тоже давал неплохой эффект. К примеру, на площади 200x600 м в одном налёте удавалось вывести из строя и уничтожить около 70 (80%) автомобилей. </w:t>
      </w:r>
    </w:p>
    <w:p w14:paraId="2B589EF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Осколочные авиабомбы по артиллерии </w:t>
      </w:r>
    </w:p>
    <w:p w14:paraId="01D67A1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Взрывы осколочных авиабомб любого калибра на некотором удалении от орудий приводили к повреждениям, легко устранимым в полевых условиях, и потому повреждённые артсистемы противник не бросал. Другое дело в окружении и при спешном отступлении... </w:t>
      </w:r>
    </w:p>
    <w:p w14:paraId="1C16857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Трёхорудийная немецкая батарея 37-мм зениток на позиции была подвергнута бомбардировке осколочными АО-2,5. Орудийные дворики типовые, квадратные 6x6 м с высотой бруствера 1 м. В бруствер позиции первого орудия попало четыре авиабомбы, пробив осколками кожух откатников и поцарапав ствол. В бруствер позиции второго орудия угодило также четыре авиабомбы, осколками посекло орудийный дворик, а зенитный автомат, вне сомнения, был повреждён. Однако немцы его </w:t>
      </w:r>
      <w:r w:rsidRPr="007224C3">
        <w:rPr>
          <w:rFonts w:ascii="Times New Roman" w:hAnsi="Times New Roman"/>
          <w:color w:val="000000" w:themeColor="text1"/>
          <w:sz w:val="16"/>
          <w:szCs w:val="16"/>
        </w:rPr>
        <w:lastRenderedPageBreak/>
        <w:t xml:space="preserve">отбуксировали. В бруствер позиции третьего орудия попало три авиабомбы, а четвёртая угодила в казённую часть орудия, пробив осколками откатник, прицел, сидение наводчика, станину лафета и крепления щита. </w:t>
      </w:r>
    </w:p>
    <w:p w14:paraId="270B208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Несколько прямых попаданий АО-10 комиссия обследовала на батарее 8-дюймовых орудий с железобетонными открытыми орудийными двориками. После бомбардировки на всех орудиях остались лишь незначительные царапины. Такими же боеприпасами лётчики отбомбились по артсистеме на марше. Одна из авиабомб угодила в моторное отделение тягача, буксировавшего 75-мм противотанковую пушку. Повреждения получили и тягач, и орудие. </w:t>
      </w:r>
    </w:p>
    <w:p w14:paraId="70EB433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Всего одной осколочной авиабомбы оказалось достаточно, чтобы уничтожить упряжку и расчёт немецкого 10,5-см полевого орудия на марше. Она попала в 2,5 м с краю от цели, образовав в чернозёме воронку диаметром 2,0 м и глубиной 0,4 м. Множественными осколками пробило люльку, спицы и обод колеса, а на казённой части ствола образовались вмятины глубиной до 4 мм. Все шесть лошадей были убиты. </w:t>
      </w:r>
    </w:p>
    <w:p w14:paraId="0C7E77F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Современники о бомбовом вооружении ВВС Красной Армии </w:t>
      </w:r>
    </w:p>
    <w:p w14:paraId="6ACCF04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Система бомбового вооружения ВВС в Великую Отечественную войну в основном достаточно эффективно поражала и уничтожала цели, однако технические характеристики поражающих факторов, продекларированные на основе полигонных испытаний и приведённые в довоенных руководствах и описаниях, в ряде случаев оказались завышенными, по сравнению с зафиксированными в реальных боевых условиях. </w:t>
      </w:r>
    </w:p>
    <w:p w14:paraId="5329F04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Это можно частично объяснить:</w:t>
      </w:r>
    </w:p>
    <w:p w14:paraId="0AF4185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-снаряжанием боеприпасов в годы войны суррогатированными взрывчатыми веществами;</w:t>
      </w:r>
    </w:p>
    <w:p w14:paraId="5156395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-попаданием авиабомб в случайные места цели и в произвольных ракурсах относительно неё, а не в наиболее благоприятные для её уничтожения; </w:t>
      </w:r>
    </w:p>
    <w:p w14:paraId="73E37F5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-использованием войсками в реальных условиях естественных укрытий складок местности, канав, леса и пр. </w:t>
      </w:r>
    </w:p>
    <w:p w14:paraId="799A508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существенным недостаткам бомбового вооружения ВВС Красной Армии современники относили недостаточно продуманные габариты боеприпасов, что позволяло далеко не во всех вариантах загрузки самолёта достичь максимума его грузоподъёмности и неудобства эксплуатации мелких осколочных авиабомб, отнимающих при подготовке самолёта к боевому вылету несоизмеримо большего времени. С горечью в интонации авиаторы отметили не оправдавшие надежд специализированные мостовые авиабомбы и недостаточную огневую мощь 250-кг «фугасок» при действии по мостам (11062).</w:t>
      </w:r>
    </w:p>
    <w:p w14:paraId="300F3B6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366D6D4"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2B4C58E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AFAB61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янва</w:t>
      </w:r>
      <w:r w:rsidRPr="007224C3">
        <w:rPr>
          <w:rFonts w:ascii="Times New Roman" w:hAnsi="Times New Roman"/>
          <w:color w:val="000000" w:themeColor="text1"/>
          <w:sz w:val="16"/>
          <w:szCs w:val="16"/>
        </w:rPr>
        <w:softHyphen/>
        <w:t>ре - феврале 1944 г. были выпущены три танка Т-44 первой модификации. Первые два танка имели массу 30,4 т и были вооружены 85-мм пушкой Д-5Т-85 и двумя 7,62-мм пулеметами ДТ. Броневая защита верхнего ло</w:t>
      </w:r>
      <w:r w:rsidRPr="007224C3">
        <w:rPr>
          <w:rFonts w:ascii="Times New Roman" w:hAnsi="Times New Roman"/>
          <w:color w:val="000000" w:themeColor="text1"/>
          <w:sz w:val="16"/>
          <w:szCs w:val="16"/>
        </w:rPr>
        <w:softHyphen/>
        <w:t>бового листа корпуса достигала 75 мм, верхний бортовой лист, располо</w:t>
      </w:r>
      <w:r w:rsidRPr="007224C3">
        <w:rPr>
          <w:rFonts w:ascii="Times New Roman" w:hAnsi="Times New Roman"/>
          <w:color w:val="000000" w:themeColor="text1"/>
          <w:sz w:val="16"/>
          <w:szCs w:val="16"/>
        </w:rPr>
        <w:softHyphen/>
        <w:t>женный вертикально, имел толщину 45 мм и дополнительно был защи</w:t>
      </w:r>
      <w:r w:rsidRPr="007224C3">
        <w:rPr>
          <w:rFonts w:ascii="Times New Roman" w:hAnsi="Times New Roman"/>
          <w:color w:val="000000" w:themeColor="text1"/>
          <w:sz w:val="16"/>
          <w:szCs w:val="16"/>
        </w:rPr>
        <w:softHyphen/>
        <w:t>щен накладным броневым листом толщиной 30 мм. Лоб башни имел толщину 90 мм. На танке был установлен дизель В-2ИС мощностью 500 л.с. (368 кВт). Один из этих танков прошел испытания в феврале - марте 1944 г. на НИБТ полигоне, в результате которых было выявлено много конструктивных недостатков новой машины. Третий опытный танк Т-44-122 был вооружен 122-мм пушкой Д-25-44 (10703).</w:t>
      </w:r>
    </w:p>
    <w:p w14:paraId="6F28379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EA8921" w14:textId="77777777" w:rsidR="0035263A" w:rsidRPr="007224C3" w:rsidRDefault="0035263A" w:rsidP="007224C3">
      <w:pPr>
        <w:pStyle w:val="a3"/>
        <w:rPr>
          <w:color w:val="000000" w:themeColor="text1"/>
          <w:lang w:val="ru-RU"/>
        </w:rPr>
      </w:pPr>
      <w:r w:rsidRPr="007224C3">
        <w:rPr>
          <w:color w:val="000000" w:themeColor="text1"/>
          <w:lang w:val="ru-RU"/>
        </w:rPr>
        <w:t>В январе-феврале 1944 прошли испытания Т-44. Главным преимуществом нового танка перед Т-34 была более мощная бронезащита. Толщина лобового листа корпуса составляла 75 мм, а лоб башни достигал 90-мм толщины. На испытаниях эта броня оказалась достаточной для защиты от самого распространённого немецкого средства ПТО, 75-мм противотанковой пушки РаК- 40, на дистанции от 300 метров. Бронепробиваемость большинства немецких средних танков и САУ находилась на этом же уровне. Танк вооружался 85</w:t>
      </w:r>
      <w:r w:rsidRPr="007224C3">
        <w:rPr>
          <w:color w:val="000000" w:themeColor="text1"/>
          <w:lang w:val="ru-RU"/>
        </w:rPr>
        <w:softHyphen/>
        <w:t>мм, или 122-мм пушками. Затем появился вариант с более мощным 100-мм орудием. Вес танка возрос по сравнению с Т-34 незначительно, а высота уменьшилась на 30 сантиметров. Т-44 продемонстрировал высокую надёжность, пройдя на испытаниях свыше 1000 километров без серьёзных поломок (Свирин М. Стальной кулак Сталина. История советского танка 1943-1955. С. 179).</w:t>
      </w:r>
    </w:p>
    <w:p w14:paraId="649BA402" w14:textId="77777777" w:rsidR="0035263A" w:rsidRPr="007224C3" w:rsidRDefault="0035263A" w:rsidP="007224C3">
      <w:pPr>
        <w:pStyle w:val="a3"/>
        <w:rPr>
          <w:color w:val="000000" w:themeColor="text1"/>
          <w:lang w:val="ru-RU"/>
        </w:rPr>
      </w:pPr>
      <w:r w:rsidRPr="007224C3">
        <w:rPr>
          <w:color w:val="000000" w:themeColor="text1"/>
          <w:lang w:val="ru-RU"/>
        </w:rPr>
        <w:t>Весной-летом 1944 года опытные образцы Т-44 активно испытывались на полигонах, но принимать танк на вооружение и начинать производство танка не спешили. Был создан новый, улучшенный вариант танка, с ещё более сильной бронёй. Толщину лобового листа корпуса довели до 90 мм, а лоб башни - до 110 мм. Теперь лобовая проекция танка стала полностью неуязвимой для самых распространённых немецких противотанковых и танковых пушек, хотя по- прежнему не могла защитить от тяжелых танков.</w:t>
      </w:r>
    </w:p>
    <w:p w14:paraId="41EFC5A8" w14:textId="77777777" w:rsidR="0035263A" w:rsidRPr="007224C3" w:rsidRDefault="0035263A" w:rsidP="007224C3">
      <w:pPr>
        <w:pStyle w:val="a3"/>
        <w:rPr>
          <w:color w:val="000000" w:themeColor="text1"/>
          <w:lang w:val="ru-RU"/>
        </w:rPr>
      </w:pPr>
      <w:r w:rsidRPr="007224C3">
        <w:rPr>
          <w:color w:val="000000" w:themeColor="text1"/>
          <w:lang w:val="ru-RU"/>
        </w:rPr>
        <w:t xml:space="preserve">Серийное производство танка началось только в </w:t>
      </w:r>
      <w:r w:rsidRPr="007224C3">
        <w:rPr>
          <w:color w:val="000000" w:themeColor="text1"/>
        </w:rPr>
        <w:t>IV</w:t>
      </w:r>
      <w:r w:rsidRPr="007224C3">
        <w:rPr>
          <w:color w:val="000000" w:themeColor="text1"/>
          <w:lang w:val="ru-RU"/>
        </w:rPr>
        <w:t xml:space="preserve"> квартале 1944 года. Изготавливать Т-44 поручили восстанавливаемому танковому заводу № 75 в Харькове, который не мог выпускать его в существенных количествах. По сути такое решение означало отказ от производства танка. Почему это произошло? Ведь И. В. Сталин неоднократно говорил с В. А. Малышевым о важности быстрейшей разработки Т-44. Об этом свидетельствует несколько записей в дневнике народного комиссара. Первый раз Малышев сообщает Сталину о новом танке 27 декабря. Сталин заинтересовался новым танком и просил ускорить его испытания и производство («Пройдёт десяток лет, и этих встреч не восстановишь уже в памяти»//Источник. №5. 1997. С. 124.). Далее он не упускал Т-44 из виду. Проследить за развитием событий можно по дневнику Малышева. 15 января Сталин вновь подробно расспросил Малышева о характеристиках Т-44 и сказал: «Так это будет очень хороший танк. Вы держите меня в курсе дела». 3 февраля Сталин просил Малышева ускорить испытания танка и подготовить предложения по его производству. 13 февраля Сталин от просьб перешёл к обвинениям: «тов. Сталин сказал, что мы затягиваем дело с этим танком, и предложил ускорить испытания и начать производство танков Т-44. Исключительно тяжелые задачи. Не знаю даже, как их можно выполнить. Сейчас буду советоваться с директорами заводов» («Пройдёт десяток лет, и этих встреч не восстановишь уже в памяти»//Источник. №5. 1997. С. 125).</w:t>
      </w:r>
    </w:p>
    <w:p w14:paraId="267E8B36" w14:textId="77777777" w:rsidR="0035263A" w:rsidRPr="007224C3" w:rsidRDefault="0035263A" w:rsidP="007224C3">
      <w:pPr>
        <w:pStyle w:val="a3"/>
        <w:rPr>
          <w:color w:val="000000" w:themeColor="text1"/>
          <w:lang w:val="ru-RU"/>
        </w:rPr>
      </w:pPr>
      <w:r w:rsidRPr="007224C3">
        <w:rPr>
          <w:color w:val="000000" w:themeColor="text1"/>
          <w:lang w:val="ru-RU"/>
        </w:rPr>
        <w:t>Но, когда танк был готов, Сталин и Малышев, видимо, так и не решились перестраивать для его производства основные танкостроительные предприятия (12290).</w:t>
      </w:r>
    </w:p>
    <w:p w14:paraId="5FAF4D8A" w14:textId="77777777" w:rsidR="0035263A" w:rsidRPr="007224C3" w:rsidRDefault="0035263A" w:rsidP="007224C3">
      <w:pPr>
        <w:pStyle w:val="a3"/>
        <w:rPr>
          <w:color w:val="000000" w:themeColor="text1"/>
          <w:lang w:val="ru-RU"/>
        </w:rPr>
      </w:pPr>
    </w:p>
    <w:p w14:paraId="5FB5FB64" w14:textId="77777777" w:rsidR="00A22EFE" w:rsidRPr="007224C3" w:rsidRDefault="00A22EFE"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 январе-феврале 1944 года на заводе № 183 собирались три первых прототипа Т-44. Первый (Т-44 №1) был окончен 23 января - на него устано</w:t>
      </w:r>
      <w:r w:rsidRPr="007224C3">
        <w:rPr>
          <w:rFonts w:ascii="Times New Roman" w:hAnsi="Times New Roman"/>
          <w:color w:val="0070C0"/>
          <w:sz w:val="16"/>
          <w:szCs w:val="16"/>
        </w:rPr>
        <w:softHyphen/>
        <w:t>вили «штатную» башню с 85-мм пушкой Д-5Т и погоном диаметром 1800 мм. Второй (Т-44 №2), оконченный только 31 января из-за про</w:t>
      </w:r>
      <w:r w:rsidRPr="007224C3">
        <w:rPr>
          <w:rFonts w:ascii="Times New Roman" w:hAnsi="Times New Roman"/>
          <w:color w:val="0070C0"/>
          <w:sz w:val="16"/>
          <w:szCs w:val="16"/>
        </w:rPr>
        <w:softHyphen/>
        <w:t>блем с изготовлением башен, должен был получить опытную башню с 85-мм орудием и погоном 1600 мм, позаимствованную отТ-43. Однако с целью скорейшего проведения испытаний Т-44 с усиленным вооружением на него временно установили башню со 122- мм орудием и погоном 1800 мм, которая предназначалась для прототипа №3. Сборка прототипа №3 началась только 8 февраля.</w:t>
      </w:r>
    </w:p>
    <w:p w14:paraId="637A1D11" w14:textId="77777777" w:rsidR="00A22EFE" w:rsidRPr="007224C3" w:rsidRDefault="00A22EFE"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 xml:space="preserve">Так как специально спроектированный для установки на Т-44 двигатель В-2-44 был еще не готов, то первый прототип получил двигатель В-2-34, а второй и третий </w:t>
      </w:r>
      <w:r w:rsidRPr="007224C3">
        <w:rPr>
          <w:rStyle w:val="279"/>
          <w:rFonts w:ascii="Times New Roman" w:hAnsi="Times New Roman" w:cs="Times New Roman"/>
          <w:color w:val="0070C0"/>
          <w:spacing w:val="0"/>
          <w:sz w:val="16"/>
          <w:szCs w:val="16"/>
        </w:rPr>
        <w:t>-</w:t>
      </w:r>
      <w:r w:rsidRPr="007224C3">
        <w:rPr>
          <w:rStyle w:val="286"/>
          <w:rFonts w:ascii="Times New Roman" w:hAnsi="Times New Roman" w:cs="Times New Roman"/>
          <w:color w:val="0070C0"/>
          <w:spacing w:val="0"/>
          <w:sz w:val="16"/>
          <w:szCs w:val="16"/>
          <w:lang w:val="ru"/>
        </w:rPr>
        <w:t xml:space="preserve"> </w:t>
      </w:r>
      <w:r w:rsidRPr="007224C3">
        <w:rPr>
          <w:rFonts w:ascii="Times New Roman" w:hAnsi="Times New Roman"/>
          <w:color w:val="0070C0"/>
          <w:sz w:val="16"/>
          <w:szCs w:val="16"/>
        </w:rPr>
        <w:t xml:space="preserve">несколько более мощные </w:t>
      </w:r>
      <w:r w:rsidRPr="007224C3">
        <w:rPr>
          <w:rStyle w:val="279"/>
          <w:rFonts w:ascii="Times New Roman" w:hAnsi="Times New Roman" w:cs="Times New Roman"/>
          <w:color w:val="0070C0"/>
          <w:spacing w:val="0"/>
          <w:sz w:val="16"/>
          <w:szCs w:val="16"/>
        </w:rPr>
        <w:t xml:space="preserve">- </w:t>
      </w:r>
      <w:r w:rsidRPr="007224C3">
        <w:rPr>
          <w:rFonts w:ascii="Times New Roman" w:hAnsi="Times New Roman"/>
          <w:color w:val="0070C0"/>
          <w:sz w:val="16"/>
          <w:szCs w:val="16"/>
        </w:rPr>
        <w:t>В-2ИС.</w:t>
      </w:r>
    </w:p>
    <w:p w14:paraId="5EBA0B09" w14:textId="77777777" w:rsidR="00A22EFE" w:rsidRPr="007224C3" w:rsidRDefault="00A22EFE" w:rsidP="007224C3">
      <w:pPr>
        <w:shd w:val="clear" w:color="auto" w:fill="FFFFFF"/>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Корпус Т-44 по длине был близок к корпу</w:t>
      </w:r>
      <w:r w:rsidRPr="007224C3">
        <w:rPr>
          <w:rFonts w:ascii="Times New Roman" w:hAnsi="Times New Roman"/>
          <w:color w:val="0070C0"/>
          <w:sz w:val="16"/>
          <w:szCs w:val="16"/>
        </w:rPr>
        <w:softHyphen/>
        <w:t xml:space="preserve">су Т-34, но за счет поперечной установки двигателя удалось увеличить длину боевого отделения на 430 мм. Ширина корпуса была выбрана из расчета установки башни с погоном 1800 мм (на Т-34-76 диаметр погона </w:t>
      </w:r>
      <w:r w:rsidRPr="007224C3">
        <w:rPr>
          <w:rStyle w:val="294"/>
          <w:rFonts w:ascii="Times New Roman" w:hAnsi="Times New Roman" w:cs="Times New Roman"/>
          <w:color w:val="0070C0"/>
          <w:spacing w:val="0"/>
          <w:sz w:val="16"/>
          <w:szCs w:val="16"/>
          <w:lang w:val="ru"/>
        </w:rPr>
        <w:t>-</w:t>
      </w:r>
      <w:r w:rsidRPr="007224C3">
        <w:rPr>
          <w:rStyle w:val="307"/>
          <w:rFonts w:ascii="Times New Roman" w:hAnsi="Times New Roman" w:cs="Times New Roman"/>
          <w:color w:val="0070C0"/>
          <w:spacing w:val="0"/>
          <w:sz w:val="16"/>
          <w:szCs w:val="16"/>
          <w:lang w:val="ru"/>
        </w:rPr>
        <w:t xml:space="preserve"> </w:t>
      </w:r>
      <w:r w:rsidRPr="007224C3">
        <w:rPr>
          <w:rFonts w:ascii="Times New Roman" w:hAnsi="Times New Roman"/>
          <w:color w:val="0070C0"/>
          <w:sz w:val="16"/>
          <w:szCs w:val="16"/>
        </w:rPr>
        <w:t>1420 мм, на Т-34-85 - 1600 мм). Высота кор</w:t>
      </w:r>
      <w:r w:rsidRPr="007224C3">
        <w:rPr>
          <w:rFonts w:ascii="Times New Roman" w:hAnsi="Times New Roman"/>
          <w:color w:val="0070C0"/>
          <w:sz w:val="16"/>
          <w:szCs w:val="16"/>
        </w:rPr>
        <w:softHyphen/>
        <w:t>пуса была максимально сокращена: в перед</w:t>
      </w:r>
      <w:r w:rsidRPr="007224C3">
        <w:rPr>
          <w:rFonts w:ascii="Times New Roman" w:hAnsi="Times New Roman"/>
          <w:color w:val="0070C0"/>
          <w:sz w:val="16"/>
          <w:szCs w:val="16"/>
        </w:rPr>
        <w:softHyphen/>
        <w:t>ней части (отделение управление и боевое) она составляла всего 830 мм, что было достигнуто благодаря отказу от размещения боеукладки на полу боевого отделения и «выносу головы водителя в специальную башенку», выступающую над крышей корпу</w:t>
      </w:r>
      <w:r w:rsidRPr="007224C3">
        <w:rPr>
          <w:rFonts w:ascii="Times New Roman" w:hAnsi="Times New Roman"/>
          <w:color w:val="0070C0"/>
          <w:sz w:val="16"/>
          <w:szCs w:val="16"/>
        </w:rPr>
        <w:softHyphen/>
        <w:t xml:space="preserve">са. В кормовой части высота равнялась 965 мм </w:t>
      </w:r>
      <w:r w:rsidRPr="007224C3">
        <w:rPr>
          <w:rStyle w:val="328"/>
          <w:rFonts w:ascii="Times New Roman" w:eastAsia="Calibri" w:hAnsi="Times New Roman" w:cs="Times New Roman"/>
          <w:color w:val="0070C0"/>
          <w:sz w:val="16"/>
          <w:szCs w:val="16"/>
        </w:rPr>
        <w:t xml:space="preserve">- </w:t>
      </w:r>
      <w:r w:rsidRPr="007224C3">
        <w:rPr>
          <w:rFonts w:ascii="Times New Roman" w:hAnsi="Times New Roman"/>
          <w:color w:val="0070C0"/>
          <w:sz w:val="16"/>
          <w:szCs w:val="16"/>
        </w:rPr>
        <w:t>эта величина была обусловлена габа</w:t>
      </w:r>
      <w:r w:rsidRPr="007224C3">
        <w:rPr>
          <w:rFonts w:ascii="Times New Roman" w:hAnsi="Times New Roman"/>
          <w:color w:val="0070C0"/>
          <w:sz w:val="16"/>
          <w:szCs w:val="16"/>
        </w:rPr>
        <w:softHyphen/>
        <w:t xml:space="preserve">ритной высотой двигателя В-2-44. Для справки </w:t>
      </w:r>
      <w:r w:rsidRPr="007224C3">
        <w:rPr>
          <w:rStyle w:val="334"/>
          <w:rFonts w:ascii="Times New Roman" w:hAnsi="Times New Roman" w:cs="Times New Roman"/>
          <w:color w:val="0070C0"/>
          <w:sz w:val="16"/>
          <w:szCs w:val="16"/>
        </w:rPr>
        <w:t xml:space="preserve">- </w:t>
      </w:r>
      <w:r w:rsidRPr="007224C3">
        <w:rPr>
          <w:rFonts w:ascii="Times New Roman" w:hAnsi="Times New Roman"/>
          <w:color w:val="0070C0"/>
          <w:sz w:val="16"/>
          <w:szCs w:val="16"/>
        </w:rPr>
        <w:t>высота корпуса Т-34 составляла 1150мм.</w:t>
      </w:r>
    </w:p>
    <w:p w14:paraId="22464DC2" w14:textId="77777777" w:rsidR="00A22EFE" w:rsidRPr="007224C3" w:rsidRDefault="00A22EFE"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Верхний наклонный лобовой лист корпу</w:t>
      </w:r>
      <w:r w:rsidRPr="007224C3">
        <w:rPr>
          <w:rFonts w:ascii="Times New Roman" w:hAnsi="Times New Roman"/>
          <w:color w:val="0070C0"/>
          <w:sz w:val="16"/>
          <w:szCs w:val="16"/>
        </w:rPr>
        <w:softHyphen/>
        <w:t>са толщиной 75 мм имел наклон в 60 граду</w:t>
      </w:r>
      <w:r w:rsidRPr="007224C3">
        <w:rPr>
          <w:rFonts w:ascii="Times New Roman" w:hAnsi="Times New Roman"/>
          <w:color w:val="0070C0"/>
          <w:sz w:val="16"/>
          <w:szCs w:val="16"/>
        </w:rPr>
        <w:softHyphen/>
        <w:t>сов. С левой стороны в него была вварена выступающая литая бронерубка механика- водителя с толщиной стенок 75 мм. В крыше бронерубки механика-водителя имелся посадочный люк, а в передней стенке - смот</w:t>
      </w:r>
      <w:r w:rsidRPr="007224C3">
        <w:rPr>
          <w:rFonts w:ascii="Times New Roman" w:hAnsi="Times New Roman"/>
          <w:color w:val="0070C0"/>
          <w:sz w:val="16"/>
          <w:szCs w:val="16"/>
        </w:rPr>
        <w:softHyphen/>
        <w:t>ровой. Позади его сиденья в днище корпуса был сделан люк для аварийного покидания машины. Механизмы натяжения гусениц, установленные в носовой части корпуса, при</w:t>
      </w:r>
      <w:r w:rsidRPr="007224C3">
        <w:rPr>
          <w:rFonts w:ascii="Times New Roman" w:hAnsi="Times New Roman"/>
          <w:color w:val="0070C0"/>
          <w:sz w:val="16"/>
          <w:szCs w:val="16"/>
        </w:rPr>
        <w:softHyphen/>
        <w:t>крывались защитными кожухами, выступав</w:t>
      </w:r>
      <w:r w:rsidRPr="007224C3">
        <w:rPr>
          <w:rFonts w:ascii="Times New Roman" w:hAnsi="Times New Roman"/>
          <w:color w:val="0070C0"/>
          <w:sz w:val="16"/>
          <w:szCs w:val="16"/>
        </w:rPr>
        <w:softHyphen/>
        <w:t>шими по краям лобового листа. Боковые стенки корпуса установили вертикально, их толщина была переменной - 75 мм в верхней части и 45 мм в нижней. Кормовой лист также стоял вертикально.</w:t>
      </w:r>
    </w:p>
    <w:p w14:paraId="7E21DE1E" w14:textId="77777777" w:rsidR="00A22EFE" w:rsidRPr="007224C3" w:rsidRDefault="00A22EFE"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На крыше боевого отделения устанавли</w:t>
      </w:r>
      <w:r w:rsidRPr="007224C3">
        <w:rPr>
          <w:rFonts w:ascii="Times New Roman" w:hAnsi="Times New Roman"/>
          <w:color w:val="0070C0"/>
          <w:sz w:val="16"/>
          <w:szCs w:val="16"/>
        </w:rPr>
        <w:softHyphen/>
        <w:t xml:space="preserve">валась башня с толщиной стенок 90 мм в лобовой части, и 75 мм </w:t>
      </w:r>
      <w:r w:rsidRPr="007224C3">
        <w:rPr>
          <w:rStyle w:val="328"/>
          <w:rFonts w:ascii="Times New Roman" w:eastAsia="Calibri" w:hAnsi="Times New Roman" w:cs="Times New Roman"/>
          <w:color w:val="0070C0"/>
          <w:sz w:val="16"/>
          <w:szCs w:val="16"/>
        </w:rPr>
        <w:t xml:space="preserve">- </w:t>
      </w:r>
      <w:r w:rsidRPr="007224C3">
        <w:rPr>
          <w:rFonts w:ascii="Times New Roman" w:hAnsi="Times New Roman"/>
          <w:color w:val="0070C0"/>
          <w:sz w:val="16"/>
          <w:szCs w:val="16"/>
        </w:rPr>
        <w:t>в бортовой и кормо</w:t>
      </w:r>
      <w:r w:rsidRPr="007224C3">
        <w:rPr>
          <w:rFonts w:ascii="Times New Roman" w:hAnsi="Times New Roman"/>
          <w:color w:val="0070C0"/>
          <w:sz w:val="16"/>
          <w:szCs w:val="16"/>
        </w:rPr>
        <w:softHyphen/>
        <w:t>вой. Лобовая и кормовая детали башни были литыми и соединялись между собой вварны- ми бортовыми вставками из катаной брони и крышей. За счет использования вставок из катаной брони конструкторы надеялись повысить стойкость башни при обстреле бро</w:t>
      </w:r>
      <w:r w:rsidRPr="007224C3">
        <w:rPr>
          <w:rFonts w:ascii="Times New Roman" w:hAnsi="Times New Roman"/>
          <w:color w:val="0070C0"/>
          <w:sz w:val="16"/>
          <w:szCs w:val="16"/>
        </w:rPr>
        <w:softHyphen/>
        <w:t>небойными снарядами. На крыше башни устанавливалась неподвижная командир</w:t>
      </w:r>
      <w:r w:rsidRPr="007224C3">
        <w:rPr>
          <w:rFonts w:ascii="Times New Roman" w:hAnsi="Times New Roman"/>
          <w:color w:val="0070C0"/>
          <w:sz w:val="16"/>
          <w:szCs w:val="16"/>
        </w:rPr>
        <w:softHyphen/>
        <w:t>ская башенка с одностворчатым посадочным люком, справа от нее имелся второй посадоч</w:t>
      </w:r>
      <w:r w:rsidRPr="007224C3">
        <w:rPr>
          <w:rFonts w:ascii="Times New Roman" w:hAnsi="Times New Roman"/>
          <w:color w:val="0070C0"/>
          <w:sz w:val="16"/>
          <w:szCs w:val="16"/>
        </w:rPr>
        <w:softHyphen/>
        <w:t>ный люк. В кормовой части крыши распола</w:t>
      </w:r>
      <w:r w:rsidRPr="007224C3">
        <w:rPr>
          <w:rFonts w:ascii="Times New Roman" w:hAnsi="Times New Roman"/>
          <w:color w:val="0070C0"/>
          <w:sz w:val="16"/>
          <w:szCs w:val="16"/>
        </w:rPr>
        <w:softHyphen/>
        <w:t>гался броневой колпак выхода вентилятора боевого отделения.</w:t>
      </w:r>
    </w:p>
    <w:p w14:paraId="74533283" w14:textId="77777777" w:rsidR="00A22EFE" w:rsidRPr="007224C3" w:rsidRDefault="00A22EFE"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 башне монтировалась 85-мм пушка Д-5Т спаренная с пулеметом ДТ. Большая часть ее боекомплекта из 54 артиллерийских выстре</w:t>
      </w:r>
      <w:r w:rsidRPr="007224C3">
        <w:rPr>
          <w:rFonts w:ascii="Times New Roman" w:hAnsi="Times New Roman"/>
          <w:color w:val="0070C0"/>
          <w:sz w:val="16"/>
          <w:szCs w:val="16"/>
        </w:rPr>
        <w:softHyphen/>
        <w:t>лов размещалась в специальном стеллаже в передней части корпуса справа от механика- водителя. 16 выстрелов находились в башне (12 - в кормовой нише,4- на правом борту).</w:t>
      </w:r>
    </w:p>
    <w:p w14:paraId="36C5B11E" w14:textId="77777777" w:rsidR="00A22EFE" w:rsidRPr="007224C3" w:rsidRDefault="00A22EFE"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122-мм орудие Д-25Т-44, разработанное для установки в Т-44 на заводе №9 НКВ, отличалось от обычного Д-25-Т несколько уменьшенной длиной ствола и массой откат</w:t>
      </w:r>
      <w:r w:rsidRPr="007224C3">
        <w:rPr>
          <w:rFonts w:ascii="Times New Roman" w:hAnsi="Times New Roman"/>
          <w:color w:val="0070C0"/>
          <w:sz w:val="16"/>
          <w:szCs w:val="16"/>
        </w:rPr>
        <w:softHyphen/>
        <w:t>ных частей. Для него был разработан унитар</w:t>
      </w:r>
      <w:r w:rsidRPr="007224C3">
        <w:rPr>
          <w:rFonts w:ascii="Times New Roman" w:hAnsi="Times New Roman"/>
          <w:color w:val="0070C0"/>
          <w:sz w:val="16"/>
          <w:szCs w:val="16"/>
        </w:rPr>
        <w:softHyphen/>
        <w:t>ный выстрел с уменьшенным примерно на 3% пороховым зарядом. Предполагалось, что отказ от раздельного заряжания повысит скорострельность орудия в танке.</w:t>
      </w:r>
    </w:p>
    <w:p w14:paraId="5928AA88" w14:textId="77777777" w:rsidR="00A22EFE" w:rsidRPr="007224C3" w:rsidRDefault="00A22EFE" w:rsidP="007224C3">
      <w:pPr>
        <w:shd w:val="clear" w:color="auto" w:fill="FFFFFF"/>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 моторно-трансмиссионном отделении (</w:t>
      </w:r>
      <w:r w:rsidRPr="007224C3">
        <w:rPr>
          <w:rFonts w:ascii="Times New Roman" w:hAnsi="Times New Roman"/>
          <w:color w:val="0070C0"/>
          <w:sz w:val="16"/>
          <w:szCs w:val="16"/>
          <w:lang w:val="en-US"/>
        </w:rPr>
        <w:t>MT</w:t>
      </w:r>
      <w:r w:rsidRPr="007224C3">
        <w:rPr>
          <w:rFonts w:ascii="Times New Roman" w:hAnsi="Times New Roman"/>
          <w:color w:val="0070C0"/>
          <w:sz w:val="16"/>
          <w:szCs w:val="16"/>
        </w:rPr>
        <w:t>О), расположенном в корме танка, разме</w:t>
      </w:r>
      <w:r w:rsidRPr="007224C3">
        <w:rPr>
          <w:rFonts w:ascii="Times New Roman" w:hAnsi="Times New Roman"/>
          <w:color w:val="0070C0"/>
          <w:sz w:val="16"/>
          <w:szCs w:val="16"/>
        </w:rPr>
        <w:softHyphen/>
        <w:t>щались двигатель (поперек корпуса), сило</w:t>
      </w:r>
      <w:r w:rsidRPr="007224C3">
        <w:rPr>
          <w:rFonts w:ascii="Times New Roman" w:hAnsi="Times New Roman"/>
          <w:color w:val="0070C0"/>
          <w:sz w:val="16"/>
          <w:szCs w:val="16"/>
        </w:rPr>
        <w:softHyphen/>
        <w:t xml:space="preserve">вая передача (входной шестеренчатый редуктор </w:t>
      </w:r>
      <w:r w:rsidRPr="007224C3">
        <w:rPr>
          <w:rStyle w:val="328"/>
          <w:rFonts w:ascii="Times New Roman" w:eastAsia="Calibri" w:hAnsi="Times New Roman" w:cs="Times New Roman"/>
          <w:color w:val="0070C0"/>
          <w:sz w:val="16"/>
          <w:szCs w:val="16"/>
        </w:rPr>
        <w:t xml:space="preserve">- </w:t>
      </w:r>
      <w:r w:rsidRPr="007224C3">
        <w:rPr>
          <w:rFonts w:ascii="Times New Roman" w:hAnsi="Times New Roman"/>
          <w:color w:val="0070C0"/>
          <w:sz w:val="16"/>
          <w:szCs w:val="16"/>
        </w:rPr>
        <w:t>гитара, главный и бортовые фрик</w:t>
      </w:r>
      <w:r w:rsidRPr="007224C3">
        <w:rPr>
          <w:rFonts w:ascii="Times New Roman" w:hAnsi="Times New Roman"/>
          <w:color w:val="0070C0"/>
          <w:sz w:val="16"/>
          <w:szCs w:val="16"/>
        </w:rPr>
        <w:softHyphen/>
        <w:t>ционы, пятискоростная КПП и бортовые редукторы), водяной и масляный радиаторы, вентилятор системы охлаждения и топлив</w:t>
      </w:r>
      <w:r w:rsidRPr="007224C3">
        <w:rPr>
          <w:rFonts w:ascii="Times New Roman" w:hAnsi="Times New Roman"/>
          <w:color w:val="0070C0"/>
          <w:sz w:val="16"/>
          <w:szCs w:val="16"/>
        </w:rPr>
        <w:softHyphen/>
        <w:t>ные баки. За счет применения новой компо</w:t>
      </w:r>
      <w:r w:rsidRPr="007224C3">
        <w:rPr>
          <w:rFonts w:ascii="Times New Roman" w:hAnsi="Times New Roman"/>
          <w:color w:val="0070C0"/>
          <w:sz w:val="16"/>
          <w:szCs w:val="16"/>
        </w:rPr>
        <w:softHyphen/>
        <w:t xml:space="preserve">новки </w:t>
      </w:r>
      <w:r w:rsidRPr="007224C3">
        <w:rPr>
          <w:rFonts w:ascii="Times New Roman" w:hAnsi="Times New Roman"/>
          <w:color w:val="0070C0"/>
          <w:sz w:val="16"/>
          <w:szCs w:val="16"/>
          <w:lang w:val="en-US"/>
        </w:rPr>
        <w:t>MT</w:t>
      </w:r>
      <w:r w:rsidRPr="007224C3">
        <w:rPr>
          <w:rFonts w:ascii="Times New Roman" w:hAnsi="Times New Roman"/>
          <w:color w:val="0070C0"/>
          <w:sz w:val="16"/>
          <w:szCs w:val="16"/>
        </w:rPr>
        <w:t>0 был значительно облегчен монтаж и демонтаж основных агрегатов трансмис</w:t>
      </w:r>
      <w:r w:rsidRPr="007224C3">
        <w:rPr>
          <w:rFonts w:ascii="Times New Roman" w:hAnsi="Times New Roman"/>
          <w:color w:val="0070C0"/>
          <w:sz w:val="16"/>
          <w:szCs w:val="16"/>
        </w:rPr>
        <w:softHyphen/>
        <w:t>сии. Планировавшийся для установки на Т-44 двигатель В-2-44 (доработанный дизель В- 2ИС) должен был иметь минимально возмож</w:t>
      </w:r>
      <w:r w:rsidRPr="007224C3">
        <w:rPr>
          <w:rFonts w:ascii="Times New Roman" w:hAnsi="Times New Roman"/>
          <w:color w:val="0070C0"/>
          <w:sz w:val="16"/>
          <w:szCs w:val="16"/>
        </w:rPr>
        <w:softHyphen/>
        <w:t>ную высоту. Для этого на нем изменили рас</w:t>
      </w:r>
      <w:r w:rsidRPr="007224C3">
        <w:rPr>
          <w:rFonts w:ascii="Times New Roman" w:hAnsi="Times New Roman"/>
          <w:color w:val="0070C0"/>
          <w:sz w:val="16"/>
          <w:szCs w:val="16"/>
        </w:rPr>
        <w:softHyphen/>
        <w:t>положение водяного и масляного насосов, которые ранее монтировались снизу двига</w:t>
      </w:r>
      <w:r w:rsidRPr="007224C3">
        <w:rPr>
          <w:rFonts w:ascii="Times New Roman" w:hAnsi="Times New Roman"/>
          <w:color w:val="0070C0"/>
          <w:sz w:val="16"/>
          <w:szCs w:val="16"/>
        </w:rPr>
        <w:softHyphen/>
        <w:t>теля и существенно выходили за габариты картера. Так как изготовить В-2-44 не успели, то на первых прототипах Т-44 устанавлива</w:t>
      </w:r>
      <w:r w:rsidRPr="007224C3">
        <w:rPr>
          <w:rFonts w:ascii="Times New Roman" w:hAnsi="Times New Roman"/>
          <w:color w:val="0070C0"/>
          <w:sz w:val="16"/>
          <w:szCs w:val="16"/>
        </w:rPr>
        <w:softHyphen/>
        <w:t>лись двигатели В-2-34 и В-2ИС. Чтобы поме</w:t>
      </w:r>
      <w:r w:rsidRPr="007224C3">
        <w:rPr>
          <w:rFonts w:ascii="Times New Roman" w:hAnsi="Times New Roman"/>
          <w:color w:val="0070C0"/>
          <w:sz w:val="16"/>
          <w:szCs w:val="16"/>
        </w:rPr>
        <w:softHyphen/>
        <w:t>стить их в МТО, в днище пришлось делать спе</w:t>
      </w:r>
      <w:r w:rsidRPr="007224C3">
        <w:rPr>
          <w:rFonts w:ascii="Times New Roman" w:hAnsi="Times New Roman"/>
          <w:color w:val="0070C0"/>
          <w:sz w:val="16"/>
          <w:szCs w:val="16"/>
        </w:rPr>
        <w:softHyphen/>
        <w:t>циальный проем, закрывавшийся выступаю</w:t>
      </w:r>
      <w:r w:rsidRPr="007224C3">
        <w:rPr>
          <w:rFonts w:ascii="Times New Roman" w:hAnsi="Times New Roman"/>
          <w:color w:val="0070C0"/>
          <w:sz w:val="16"/>
          <w:szCs w:val="16"/>
        </w:rPr>
        <w:softHyphen/>
        <w:t>щей крышкой.</w:t>
      </w:r>
    </w:p>
    <w:p w14:paraId="08230D0F" w14:textId="77777777" w:rsidR="00A22EFE" w:rsidRPr="007224C3" w:rsidRDefault="00A22EFE"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lastRenderedPageBreak/>
        <w:t>Т-44 получил торсионную подвеску. В ходовой части использовались сдвоенные опорные катки, аналогичные каткам Т-34. Такими же, как на Т-34, остались и гусенич</w:t>
      </w:r>
      <w:r w:rsidRPr="007224C3">
        <w:rPr>
          <w:rFonts w:ascii="Times New Roman" w:hAnsi="Times New Roman"/>
          <w:color w:val="0070C0"/>
          <w:sz w:val="16"/>
          <w:szCs w:val="16"/>
        </w:rPr>
        <w:softHyphen/>
        <w:t>ные ленты с гребневым зацеплением (19935).</w:t>
      </w:r>
    </w:p>
    <w:p w14:paraId="43B8B045" w14:textId="77777777" w:rsidR="00A22EFE" w:rsidRPr="007224C3" w:rsidRDefault="00A22EFE" w:rsidP="007224C3">
      <w:pPr>
        <w:spacing w:after="0" w:line="240" w:lineRule="auto"/>
        <w:jc w:val="both"/>
        <w:rPr>
          <w:rFonts w:ascii="Times New Roman" w:hAnsi="Times New Roman"/>
          <w:color w:val="0070C0"/>
          <w:sz w:val="16"/>
          <w:szCs w:val="16"/>
        </w:rPr>
      </w:pPr>
    </w:p>
    <w:p w14:paraId="633E867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январе - феврале 1944 г. три опытных образца (№ 1, 2 и 3) Т-44 (первой модификации) были изготовлены и один из них (№ 2) с 19 фе</w:t>
      </w:r>
      <w:r w:rsidRPr="007224C3">
        <w:rPr>
          <w:rFonts w:ascii="Times New Roman" w:hAnsi="Times New Roman"/>
          <w:color w:val="000000" w:themeColor="text1"/>
          <w:sz w:val="16"/>
          <w:szCs w:val="16"/>
        </w:rPr>
        <w:softHyphen/>
        <w:t>враля по 5 марта того же года прошел испытания на НИБТ полигоне, в результате которых было выявлено много конструктивных недостатков машины. Па вооружение танк не принимался и в серийном производстве не состоял. Явился прототипом танка Т-44 (второй модификации) (10703).</w:t>
      </w:r>
    </w:p>
    <w:p w14:paraId="70B878A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FFAD76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январе-феврале 1944 г. были вы</w:t>
      </w:r>
      <w:r w:rsidRPr="007224C3">
        <w:rPr>
          <w:rFonts w:ascii="Times New Roman" w:hAnsi="Times New Roman"/>
          <w:color w:val="000000" w:themeColor="text1"/>
          <w:sz w:val="16"/>
          <w:szCs w:val="16"/>
        </w:rPr>
        <w:softHyphen/>
        <w:t>пущены три танка Т-44 первой модификации. Пер</w:t>
      </w:r>
      <w:r w:rsidRPr="007224C3">
        <w:rPr>
          <w:rFonts w:ascii="Times New Roman" w:hAnsi="Times New Roman"/>
          <w:color w:val="000000" w:themeColor="text1"/>
          <w:sz w:val="16"/>
          <w:szCs w:val="16"/>
        </w:rPr>
        <w:softHyphen/>
        <w:t>вые два имели массу 30,4 т и были вооруже</w:t>
      </w:r>
      <w:r w:rsidRPr="007224C3">
        <w:rPr>
          <w:rFonts w:ascii="Times New Roman" w:hAnsi="Times New Roman"/>
          <w:color w:val="000000" w:themeColor="text1"/>
          <w:sz w:val="16"/>
          <w:szCs w:val="16"/>
        </w:rPr>
        <w:softHyphen/>
        <w:t>ны 85-мм пушкой Д-5Т-85 и двумя 7,62-мм пулеметами ДТ. Броневая защита верхнего лобового листа корпуса достигала 75 мм, вер</w:t>
      </w:r>
      <w:r w:rsidRPr="007224C3">
        <w:rPr>
          <w:rFonts w:ascii="Times New Roman" w:hAnsi="Times New Roman"/>
          <w:color w:val="000000" w:themeColor="text1"/>
          <w:sz w:val="16"/>
          <w:szCs w:val="16"/>
        </w:rPr>
        <w:softHyphen/>
        <w:t>хний бортовой лист, расположенный верти</w:t>
      </w:r>
      <w:r w:rsidRPr="007224C3">
        <w:rPr>
          <w:rFonts w:ascii="Times New Roman" w:hAnsi="Times New Roman"/>
          <w:color w:val="000000" w:themeColor="text1"/>
          <w:sz w:val="16"/>
          <w:szCs w:val="16"/>
        </w:rPr>
        <w:softHyphen/>
        <w:t>кально, имел толщину 45 мм и дополнительно был защищен накладным броневым листом толщиной 30 мм. Толщина лобовой брони баш</w:t>
      </w:r>
      <w:r w:rsidRPr="007224C3">
        <w:rPr>
          <w:rFonts w:ascii="Times New Roman" w:hAnsi="Times New Roman"/>
          <w:color w:val="000000" w:themeColor="text1"/>
          <w:sz w:val="16"/>
          <w:szCs w:val="16"/>
        </w:rPr>
        <w:softHyphen/>
        <w:t>ни составляла 90 мм. На танке установили ди</w:t>
      </w:r>
      <w:r w:rsidRPr="007224C3">
        <w:rPr>
          <w:rFonts w:ascii="Times New Roman" w:hAnsi="Times New Roman"/>
          <w:color w:val="000000" w:themeColor="text1"/>
          <w:sz w:val="16"/>
          <w:szCs w:val="16"/>
        </w:rPr>
        <w:softHyphen/>
        <w:t>зель В-2ИС мощностью 500 л.с. (367,6 кВт) (11468).</w:t>
      </w:r>
    </w:p>
    <w:p w14:paraId="0526276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3C2F2B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января по апрель 1944 г. до принятия на вооружение танка Т-34-85 с пушкой ЗИС-С-53, за</w:t>
      </w:r>
      <w:r w:rsidRPr="007224C3">
        <w:rPr>
          <w:rFonts w:ascii="Times New Roman" w:hAnsi="Times New Roman"/>
          <w:color w:val="000000" w:themeColor="text1"/>
          <w:sz w:val="16"/>
          <w:szCs w:val="16"/>
        </w:rPr>
        <w:softHyphen/>
        <w:t>вод № 112 выпускал танки Т-34-85, оснащен</w:t>
      </w:r>
      <w:r w:rsidRPr="007224C3">
        <w:rPr>
          <w:rFonts w:ascii="Times New Roman" w:hAnsi="Times New Roman"/>
          <w:color w:val="000000" w:themeColor="text1"/>
          <w:sz w:val="16"/>
          <w:szCs w:val="16"/>
        </w:rPr>
        <w:softHyphen/>
        <w:t>ные 85-мм пушкой Д-5Т-85. Всего было выпущено 255 таких машин, включая 5 командирских ганков, оснащенных радиостанциями РСБ-Ф. С февраля 1944 г. завод начал постепенный переход на выпуск танков Т-34-85, вооруженный пушками ЗИС-С-53. В 1944 г. заседал военным представителе 8695 танков Т-34-85, оснащенных радиостанцией 9Р (линейные танки), 129 - радиостанцией РСБ-Ф (командир</w:t>
      </w:r>
      <w:r w:rsidRPr="007224C3">
        <w:rPr>
          <w:rFonts w:ascii="Times New Roman" w:hAnsi="Times New Roman"/>
          <w:color w:val="000000" w:themeColor="text1"/>
          <w:sz w:val="16"/>
          <w:szCs w:val="16"/>
        </w:rPr>
        <w:softHyphen/>
        <w:t>ские) и 255 танков без установки радиостанций. 30 линейных танков из общего числа выпущенных танков были оснащены автоматической си</w:t>
      </w:r>
      <w:r w:rsidRPr="007224C3">
        <w:rPr>
          <w:rFonts w:ascii="Times New Roman" w:hAnsi="Times New Roman"/>
          <w:color w:val="000000" w:themeColor="text1"/>
          <w:sz w:val="16"/>
          <w:szCs w:val="16"/>
        </w:rPr>
        <w:softHyphen/>
        <w:t>стемой ППО (10703).</w:t>
      </w:r>
    </w:p>
    <w:p w14:paraId="08E6FF5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DEC62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январе — феврале 1944 г. опытный образец установки СУ-85БМ-1 (СУ-85БМ-Н) успешно прошел заводские и полигонные испытания. Однако в связи с решением установить в серийную самоходную уста</w:t>
      </w:r>
      <w:r w:rsidRPr="007224C3">
        <w:rPr>
          <w:rFonts w:ascii="Times New Roman" w:hAnsi="Times New Roman"/>
          <w:color w:val="000000" w:themeColor="text1"/>
          <w:sz w:val="16"/>
          <w:szCs w:val="16"/>
        </w:rPr>
        <w:softHyphen/>
        <w:t>новку СУ-85 100-мм пушку Д-10С, превосходившую по огневой мощи пушку Д-5С-85БМ, работы по СУ-85БМ-1 были прекращены. Машина была создана на базе серийной самоходной установки СУ-85 и отличалась от нее вооружением. Экипаж машины состоял из четырех человек (10703).</w:t>
      </w:r>
    </w:p>
    <w:p w14:paraId="1D63E72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CA7DD7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января по март 1944 года САУ СУ-85БМ, вооруженная пушкой Д-5С-85БМ проходила полигонные испытания и по их результатам на вооружение не была принята (3862).</w:t>
      </w:r>
    </w:p>
    <w:p w14:paraId="6EE7382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63076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январе—апреле 1944 г. проект С-51 силами ЦАКБ совместно с КБ опытно</w:t>
      </w:r>
      <w:r w:rsidRPr="007224C3">
        <w:rPr>
          <w:rFonts w:ascii="Times New Roman" w:hAnsi="Times New Roman"/>
          <w:color w:val="000000" w:themeColor="text1"/>
          <w:sz w:val="16"/>
          <w:szCs w:val="16"/>
        </w:rPr>
        <w:softHyphen/>
        <w:t>го завода № 100 был переведен на шасси танка ИС.</w:t>
      </w:r>
    </w:p>
    <w:p w14:paraId="6D204B1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Поскольку выпуск 203-мм гаубиц Б-4 не возобновлялся, было принято решение о создании на шасси танка ИС само</w:t>
      </w:r>
      <w:r w:rsidRPr="007224C3">
        <w:rPr>
          <w:rFonts w:ascii="Times New Roman" w:hAnsi="Times New Roman"/>
          <w:color w:val="000000" w:themeColor="text1"/>
          <w:sz w:val="16"/>
          <w:szCs w:val="16"/>
        </w:rPr>
        <w:softHyphen/>
        <w:t>ходной версии дальнобойной 152-мм пушки БР-2. В мае-июне 1944 г. новая САУ, получившая индекс С-59 (сна</w:t>
      </w:r>
      <w:r w:rsidRPr="007224C3">
        <w:rPr>
          <w:rFonts w:ascii="Times New Roman" w:hAnsi="Times New Roman"/>
          <w:color w:val="000000" w:themeColor="text1"/>
          <w:sz w:val="16"/>
          <w:szCs w:val="16"/>
        </w:rPr>
        <w:softHyphen/>
        <w:t>чала проект шел под индексом С-56), была изготовлена и пе</w:t>
      </w:r>
      <w:r w:rsidRPr="007224C3">
        <w:rPr>
          <w:rFonts w:ascii="Times New Roman" w:hAnsi="Times New Roman"/>
          <w:color w:val="000000" w:themeColor="text1"/>
          <w:sz w:val="16"/>
          <w:szCs w:val="16"/>
        </w:rPr>
        <w:softHyphen/>
        <w:t>редана для проведения полигонных испытаний. Конструк</w:t>
      </w:r>
      <w:r w:rsidRPr="007224C3">
        <w:rPr>
          <w:rFonts w:ascii="Times New Roman" w:hAnsi="Times New Roman"/>
          <w:color w:val="000000" w:themeColor="text1"/>
          <w:sz w:val="16"/>
          <w:szCs w:val="16"/>
        </w:rPr>
        <w:softHyphen/>
        <w:t>тивно С-59 в целом повторяла С-51, но создавалась на шасси танка ИС-85 (здесь имеется разночтение данных ЦАКБ с данными полигона, так как в материалах по испытанию ука</w:t>
      </w:r>
      <w:r w:rsidRPr="007224C3">
        <w:rPr>
          <w:rFonts w:ascii="Times New Roman" w:hAnsi="Times New Roman"/>
          <w:color w:val="000000" w:themeColor="text1"/>
          <w:sz w:val="16"/>
          <w:szCs w:val="16"/>
        </w:rPr>
        <w:softHyphen/>
        <w:t>зано «улучшенное шасси тяжелого танка КВ»). Не вполне понятно, почему установка даже на этапе эскизного проекта не была дополнена откидным сошником, как то рекомендо</w:t>
      </w:r>
      <w:r w:rsidRPr="007224C3">
        <w:rPr>
          <w:rFonts w:ascii="Times New Roman" w:hAnsi="Times New Roman"/>
          <w:color w:val="000000" w:themeColor="text1"/>
          <w:sz w:val="16"/>
          <w:szCs w:val="16"/>
        </w:rPr>
        <w:softHyphen/>
        <w:t>валось по результатам предварительных испытаний С-51.</w:t>
      </w:r>
    </w:p>
    <w:p w14:paraId="0AEDAC8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проведении полигонных испытаний на АНИОП были выявлены недостатки, аналогичные тем, что были об</w:t>
      </w:r>
      <w:r w:rsidRPr="007224C3">
        <w:rPr>
          <w:rFonts w:ascii="Times New Roman" w:hAnsi="Times New Roman"/>
          <w:color w:val="000000" w:themeColor="text1"/>
          <w:sz w:val="16"/>
          <w:szCs w:val="16"/>
        </w:rPr>
        <w:softHyphen/>
        <w:t>наружены при испытании С-51, причем отдача при стрельбе полным зарядом из 152-мм пушки оказалась еще большей. Но на вооружение САУ не рекомендовалась, и дальнейшие работы по данному типу САУ были прекращены (11417).</w:t>
      </w:r>
    </w:p>
    <w:p w14:paraId="5B00F54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ECED27A" w14:textId="77777777" w:rsidR="00051986" w:rsidRPr="007224C3" w:rsidRDefault="0005198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Ни в январе, ни в феврале 1944 года по машине Объектом 242 не наблюдалось никакой активности (опытный образец в последний раз упоминался в сводках завода №100 за январь 1944 года). Более того, речь шла об испытаниях на Гороховецком АНИОП — что же касается заводских испытаний, то они вовсе не проводились, а позже машину переделали в ИСУ-130. Столь странная ситуация объясняется несколькими причинами. Во-первых, испытатели требовали установки на машину 122-мм орудия А-19 с клиновым затвором. Как раз в начале 1944 года работы по такому орудию с клиновым затвором шли для </w:t>
      </w:r>
      <w:hyperlink r:id="rId27" w:history="1">
        <w:r w:rsidRPr="007224C3">
          <w:rPr>
            <w:rStyle w:val="a5"/>
            <w:rFonts w:ascii="Times New Roman" w:hAnsi="Times New Roman"/>
            <w:color w:val="000000" w:themeColor="text1"/>
            <w:sz w:val="16"/>
            <w:szCs w:val="16"/>
            <w:u w:val="none"/>
          </w:rPr>
          <w:t>ИС-2</w:t>
        </w:r>
      </w:hyperlink>
      <w:r w:rsidRPr="007224C3">
        <w:rPr>
          <w:rFonts w:ascii="Times New Roman" w:hAnsi="Times New Roman"/>
          <w:color w:val="000000" w:themeColor="text1"/>
          <w:sz w:val="16"/>
          <w:szCs w:val="16"/>
        </w:rPr>
        <w:t>, такое же орудие ждали для самоходной установки. Во-вторых, орудие А-19 с начальной скоростью снаряда 800 м/с ещё осенью 1943 года считалось недостаточным и для танка, и для САУ (18335).</w:t>
      </w:r>
    </w:p>
    <w:p w14:paraId="6F6D6DCE" w14:textId="77777777" w:rsidR="00051986" w:rsidRPr="007224C3" w:rsidRDefault="00051986" w:rsidP="007224C3">
      <w:pPr>
        <w:spacing w:after="0" w:line="240" w:lineRule="auto"/>
        <w:jc w:val="both"/>
        <w:rPr>
          <w:rFonts w:ascii="Times New Roman" w:hAnsi="Times New Roman"/>
          <w:color w:val="000000" w:themeColor="text1"/>
          <w:sz w:val="16"/>
          <w:szCs w:val="16"/>
        </w:rPr>
      </w:pPr>
    </w:p>
    <w:p w14:paraId="541A6FB8"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153CD7A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A2A44D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январь и февраль 1944 г. обе дивизии - «молодая» 311-я шад и 233-я шад 1-й ВА потеряли 34 самолета и 27 летчиков, что составляет одну потерю Ил-2 на 30,7 боевых вылетов и одного летчика на 39 вылетов. По опыту штурмовых частей и соединений 2-й воздушной армии на одну боевую потерю самолета Ил-2 в среднем приходилось: 33 боевых вылета - в 1943 г., 49 - в 1944 г., 75 - в 1945 г. При этом в ходе Львовско-Сандомирской наступательной операции налет на одну боевую потерю самолета Ил-2 составлял 62 боевых вылета (67 ч налета), а в Берлинской операции — 97 вылетов (101 ч налета). По опыту 15-й воздушной армии на каждые 100 самолетов Ил-2, получивших повреждения от огня зенитной артиллерии и истребительной авиации противника, приходилось всего: в 1943 г. - 1,34, в 1944 г. - 4,9, в 1945 г. — 3,25 боевых потерь Ил-2. Для сравнения, на каждую сотню поврежденных истребителей Як-9 приходилось 18 боевых потерь в 1943 г., 24 - в 1944 г. и 54 - в 1945 г., а истребителей Ла-5 — 23 в 1943 г. и 65 в 1944 г. (11921).</w:t>
      </w:r>
    </w:p>
    <w:p w14:paraId="22A09D4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06BEF2E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январе-феврале 1944 г. командиры батарей истребительно-противотанковых самоходных пол</w:t>
      </w:r>
      <w:r w:rsidRPr="007224C3">
        <w:rPr>
          <w:rFonts w:ascii="Times New Roman" w:hAnsi="Times New Roman"/>
          <w:color w:val="000000" w:themeColor="text1"/>
          <w:sz w:val="16"/>
          <w:szCs w:val="16"/>
        </w:rPr>
        <w:softHyphen/>
        <w:t>ков, которые начали формироваться по штату № 010/483 (230 человек, 16 СУ-85 и 1 «командирский» Т-34) получили свою машину каждый и были переведены на новые штаты с пя</w:t>
      </w:r>
      <w:r w:rsidRPr="007224C3">
        <w:rPr>
          <w:rFonts w:ascii="Times New Roman" w:hAnsi="Times New Roman"/>
          <w:color w:val="000000" w:themeColor="text1"/>
          <w:sz w:val="16"/>
          <w:szCs w:val="16"/>
        </w:rPr>
        <w:softHyphen/>
        <w:t>тью САУ в батарее, доведя таким образом численность САУ в полку до 20 (4 батареи по 5 СУ-85). Весной 1944 г. вновь была увеличена численность личного состава полка СУ-85 до 318 чел. при численности машин 21 шт. (11417).</w:t>
      </w:r>
    </w:p>
    <w:p w14:paraId="66796BA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B239013"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7E5B21C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92B0F2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1944 г. с внедрением в серийное производство Ил-2 с крылом увеличенной по передней кромке крыла стреловидностью появилась возможность улучшить и защиту воздушного стрелка. К 1 июня 1944 г. были разработаны удлиненный бронекорпус с перераспределенной толщиной брони, включающий кабину стрелка, и ремонтный комплект дополнительной брони стрелка. Ремкомплект предполагалось устанавливать на уже выпущенные Ил-2 «крыло со стрелкой» с обычным бронекорпусом силами техсостава строевых частей.</w:t>
      </w:r>
    </w:p>
    <w:p w14:paraId="53F138C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Верхняя передняя часть нового бронекорпуса выполнялась из дюралюминовых листов, поскольку, как показал боевой опыт, она практически не поражалась в воздушных боях. Вертикальная бронеплита под капотом и бронедиск за втулкой винта заменялись дюралевыми. Толщина нижних боковых стенок капота мотора увеличивалась до 6 и 8 мм, а толщина боковых стенок кабины пилота, наоборот, уменьшалась до 4 и 5 мм. Кабина стрелка целиком имела 5-мм броню. Передняя и средняя части бронекорпуса, как и ранее, выполнялись из броневых листов толщиной от 4 до 6 мм. В сравнении с серийным Ил-2 общий вес металлической брони увеличился на 55 кг.</w:t>
      </w:r>
    </w:p>
    <w:p w14:paraId="681C6D4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Ремкомплект включал в себя девять бронеплит толщиной по 5 мм каждая, соединенных между собой уголками и болтами. Их сборка проводилась по заранее просверленным отверстиям. Два подготовленных техника монтировали кабину стрелка за два дня. Вес бронедеталей с креплением не превышал 41 кг.</w:t>
      </w:r>
    </w:p>
    <w:p w14:paraId="2598489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установке удлиненного бронекорпуса деревянная часть фюзеляжа укорачивалась на 1135 мм. Монтаж дополнительной брони изменений в конструкции самолета не требовал.</w:t>
      </w:r>
    </w:p>
    <w:p w14:paraId="5E253A2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Вооружение в целом соответствовало серийным вариантам Ил-2 с обычным бронекорпусом, но бомбовая нагрузка ограничивалась 400 кг (11921).</w:t>
      </w:r>
    </w:p>
    <w:p w14:paraId="55356CB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7D99AF27" w14:textId="77777777" w:rsidR="00792F77" w:rsidRPr="007224C3" w:rsidRDefault="00792F77"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В начале 1944 вопрос о серийном производстве самолетов Ил-2 с пушками 11П вновь встал на повестку дня. От ГКО им занимался член Военного совета ВВС КА и одновременно заведующий авиационным от</w:t>
      </w:r>
      <w:r w:rsidRPr="007224C3">
        <w:rPr>
          <w:color w:val="000000" w:themeColor="text1"/>
          <w:sz w:val="16"/>
          <w:szCs w:val="16"/>
        </w:rPr>
        <w:softHyphen/>
        <w:t>делом ЦК ВКП(б) генерал-лейтенант Н. С. Шиманов. Оперативному управлению штаба ВВС поручили подготовить развернутый анализ эффективности боевого применения самолетов, вооруженных 37-мм пушками.</w:t>
      </w:r>
    </w:p>
    <w:p w14:paraId="0BE16E39" w14:textId="77777777" w:rsidR="00792F77" w:rsidRPr="007224C3" w:rsidRDefault="00792F77"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Основательно проработав этот вопрос, специ</w:t>
      </w:r>
      <w:r w:rsidRPr="007224C3">
        <w:rPr>
          <w:color w:val="000000" w:themeColor="text1"/>
          <w:sz w:val="16"/>
          <w:szCs w:val="16"/>
        </w:rPr>
        <w:softHyphen/>
        <w:t>алисты штаба ВВС пришли к выводу, что вместо Ил-2 с 11П на вооружении ВВС КА целесообразно иметь 30% тяжелых истребителей Як-9т с такой же пушкой, основной задачей которых являлась бы борьба с танками противника. Кроме этого, Як-9т привлекались бы как «охотники» для уничтожения ж.-д. эшелонов на перегонах и автомашин, а также самолетов на аэродромах. Массовое применение Як-9т непосредственно на поле боя не предусма</w:t>
      </w:r>
      <w:r w:rsidRPr="007224C3">
        <w:rPr>
          <w:color w:val="000000" w:themeColor="text1"/>
          <w:sz w:val="16"/>
          <w:szCs w:val="16"/>
        </w:rPr>
        <w:softHyphen/>
        <w:t>тривалось по причине низкой боевой живучести мотора жидкостного охлаждения.</w:t>
      </w:r>
    </w:p>
    <w:p w14:paraId="624E2858" w14:textId="77777777" w:rsidR="00792F77" w:rsidRPr="007224C3" w:rsidRDefault="00792F77"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В обоснование этой позиции приводилась ста</w:t>
      </w:r>
      <w:r w:rsidRPr="007224C3">
        <w:rPr>
          <w:color w:val="000000" w:themeColor="text1"/>
          <w:sz w:val="16"/>
          <w:szCs w:val="16"/>
        </w:rPr>
        <w:softHyphen/>
        <w:t>тистика потерь И-16 и И-153, применявшихся в ка</w:t>
      </w:r>
      <w:r w:rsidRPr="007224C3">
        <w:rPr>
          <w:color w:val="000000" w:themeColor="text1"/>
          <w:sz w:val="16"/>
          <w:szCs w:val="16"/>
        </w:rPr>
        <w:softHyphen/>
        <w:t>честве штурмовиков, из которой следовало, что ис</w:t>
      </w:r>
      <w:r w:rsidRPr="007224C3">
        <w:rPr>
          <w:color w:val="000000" w:themeColor="text1"/>
          <w:sz w:val="16"/>
          <w:szCs w:val="16"/>
        </w:rPr>
        <w:softHyphen/>
        <w:t>требители могут с успехом применяться для штур</w:t>
      </w:r>
      <w:r w:rsidRPr="007224C3">
        <w:rPr>
          <w:color w:val="000000" w:themeColor="text1"/>
          <w:sz w:val="16"/>
          <w:szCs w:val="16"/>
        </w:rPr>
        <w:softHyphen/>
        <w:t>мовых действий по наземным целям благодаря большой скорости и высокой маневренности. По подсчетам Оперативного управления штаба ВВС, их боевая живучесть была в 2—3 раза выше, чем штурмовиков Ил-2.</w:t>
      </w:r>
    </w:p>
    <w:p w14:paraId="6B6E952D" w14:textId="77777777" w:rsidR="00792F77" w:rsidRPr="007224C3" w:rsidRDefault="00792F77"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lastRenderedPageBreak/>
        <w:t>Кроме того, способность истребителей пикиро</w:t>
      </w:r>
      <w:r w:rsidRPr="007224C3">
        <w:rPr>
          <w:color w:val="000000" w:themeColor="text1"/>
          <w:sz w:val="16"/>
          <w:szCs w:val="16"/>
        </w:rPr>
        <w:softHyphen/>
        <w:t>вать почти отвесно позволяет использовать воз</w:t>
      </w:r>
      <w:r w:rsidRPr="007224C3">
        <w:rPr>
          <w:color w:val="000000" w:themeColor="text1"/>
          <w:sz w:val="16"/>
          <w:szCs w:val="16"/>
        </w:rPr>
        <w:softHyphen/>
        <w:t>можности пушки 11П более полно для поражения танков. То есть поражать танки противника в го</w:t>
      </w:r>
      <w:r w:rsidRPr="007224C3">
        <w:rPr>
          <w:color w:val="000000" w:themeColor="text1"/>
          <w:sz w:val="16"/>
          <w:szCs w:val="16"/>
        </w:rPr>
        <w:softHyphen/>
        <w:t>ризонтальную броню, имеющую небольшую тол</w:t>
      </w:r>
      <w:r w:rsidRPr="007224C3">
        <w:rPr>
          <w:color w:val="000000" w:themeColor="text1"/>
          <w:sz w:val="16"/>
          <w:szCs w:val="16"/>
        </w:rPr>
        <w:softHyphen/>
        <w:t>щину. При этом, поскольку установка пушки 11П ухудшала летные данные Як-9т, предлагалось при</w:t>
      </w:r>
      <w:r w:rsidRPr="007224C3">
        <w:rPr>
          <w:color w:val="000000" w:themeColor="text1"/>
          <w:sz w:val="16"/>
          <w:szCs w:val="16"/>
        </w:rPr>
        <w:softHyphen/>
        <w:t>менять этот истребитель только совместно с бо</w:t>
      </w:r>
      <w:r w:rsidRPr="007224C3">
        <w:rPr>
          <w:color w:val="000000" w:themeColor="text1"/>
          <w:sz w:val="16"/>
          <w:szCs w:val="16"/>
        </w:rPr>
        <w:softHyphen/>
        <w:t>лее маневренными самолетами Як-9 и Ла-5, а в со</w:t>
      </w:r>
      <w:r w:rsidRPr="007224C3">
        <w:rPr>
          <w:color w:val="000000" w:themeColor="text1"/>
          <w:sz w:val="16"/>
          <w:szCs w:val="16"/>
        </w:rPr>
        <w:softHyphen/>
        <w:t>став смешанной эскадрильи вводить одно зве</w:t>
      </w:r>
      <w:r w:rsidRPr="007224C3">
        <w:rPr>
          <w:color w:val="000000" w:themeColor="text1"/>
          <w:sz w:val="16"/>
          <w:szCs w:val="16"/>
        </w:rPr>
        <w:softHyphen/>
        <w:t>но Як-9т.</w:t>
      </w:r>
    </w:p>
    <w:p w14:paraId="0C5DDE0E" w14:textId="77777777" w:rsidR="00792F77" w:rsidRPr="007224C3" w:rsidRDefault="00792F77"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В то же время «в силу своих низких летно-так- тических данных (в частности, малого угла пикиро</w:t>
      </w:r>
      <w:r w:rsidRPr="007224C3">
        <w:rPr>
          <w:color w:val="000000" w:themeColor="text1"/>
          <w:sz w:val="16"/>
          <w:szCs w:val="16"/>
        </w:rPr>
        <w:softHyphen/>
        <w:t>вания) самолет Ил-2 не в состоянии использовать высокие боевые качества пушки ОКБ-16, а потому с точки зрения борьбы с немецкими тяжелыми танками уступает Ил-2 с ВЯ. Поражение из пушек ОКБ-16 средних и тяжелых танков «Пантера» воз</w:t>
      </w:r>
      <w:r w:rsidRPr="007224C3">
        <w:rPr>
          <w:color w:val="000000" w:themeColor="text1"/>
          <w:sz w:val="16"/>
          <w:szCs w:val="16"/>
        </w:rPr>
        <w:softHyphen/>
        <w:t>можно лишь после многократных атак, то есть при действии по деморализованному противнику, со</w:t>
      </w:r>
      <w:r w:rsidRPr="007224C3">
        <w:rPr>
          <w:color w:val="000000" w:themeColor="text1"/>
          <w:sz w:val="16"/>
          <w:szCs w:val="16"/>
        </w:rPr>
        <w:softHyphen/>
        <w:t>противление которого подавлено».</w:t>
      </w:r>
    </w:p>
    <w:p w14:paraId="081C788F" w14:textId="77777777" w:rsidR="00792F77" w:rsidRPr="007224C3" w:rsidRDefault="00792F77"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Действительно, учитывая, что около полови</w:t>
      </w:r>
      <w:r w:rsidRPr="007224C3">
        <w:rPr>
          <w:color w:val="000000" w:themeColor="text1"/>
          <w:sz w:val="16"/>
          <w:szCs w:val="16"/>
        </w:rPr>
        <w:softHyphen/>
        <w:t xml:space="preserve">ны попавших в танк </w:t>
      </w:r>
      <w:r w:rsidRPr="007224C3">
        <w:rPr>
          <w:color w:val="000000" w:themeColor="text1"/>
          <w:sz w:val="16"/>
          <w:szCs w:val="16"/>
          <w:lang w:val="en-US"/>
        </w:rPr>
        <w:t>Pz</w:t>
      </w:r>
      <w:r w:rsidRPr="007224C3">
        <w:rPr>
          <w:color w:val="000000" w:themeColor="text1"/>
          <w:sz w:val="16"/>
          <w:szCs w:val="16"/>
        </w:rPr>
        <w:t>.</w:t>
      </w:r>
      <w:r w:rsidRPr="007224C3">
        <w:rPr>
          <w:color w:val="000000" w:themeColor="text1"/>
          <w:sz w:val="16"/>
          <w:szCs w:val="16"/>
          <w:lang w:val="en-US"/>
        </w:rPr>
        <w:t>V</w:t>
      </w:r>
      <w:r w:rsidRPr="007224C3">
        <w:rPr>
          <w:color w:val="000000" w:themeColor="text1"/>
          <w:sz w:val="16"/>
          <w:szCs w:val="16"/>
        </w:rPr>
        <w:t xml:space="preserve"> снарядов дают рикошет или непробитие (углы встречи с броней 25—30° и выше), а часть снарядов после пробития брони попадает в малоуязвимые места танка, то для вы</w:t>
      </w:r>
      <w:r w:rsidRPr="007224C3">
        <w:rPr>
          <w:color w:val="000000" w:themeColor="text1"/>
          <w:sz w:val="16"/>
          <w:szCs w:val="16"/>
        </w:rPr>
        <w:softHyphen/>
        <w:t>ведения из строя одной «Пантеры» требовалось не менее 3—4 попаданий. Следовательно, для пора</w:t>
      </w:r>
      <w:r w:rsidRPr="007224C3">
        <w:rPr>
          <w:color w:val="000000" w:themeColor="text1"/>
          <w:sz w:val="16"/>
          <w:szCs w:val="16"/>
        </w:rPr>
        <w:softHyphen/>
        <w:t xml:space="preserve">жения </w:t>
      </w:r>
      <w:r w:rsidRPr="007224C3">
        <w:rPr>
          <w:color w:val="000000" w:themeColor="text1"/>
          <w:sz w:val="16"/>
          <w:szCs w:val="16"/>
          <w:lang w:val="en-US"/>
        </w:rPr>
        <w:t>Pz</w:t>
      </w:r>
      <w:r w:rsidRPr="007224C3">
        <w:rPr>
          <w:color w:val="000000" w:themeColor="text1"/>
          <w:sz w:val="16"/>
          <w:szCs w:val="16"/>
        </w:rPr>
        <w:t>.</w:t>
      </w:r>
      <w:r w:rsidRPr="007224C3">
        <w:rPr>
          <w:color w:val="000000" w:themeColor="text1"/>
          <w:sz w:val="16"/>
          <w:szCs w:val="16"/>
          <w:lang w:val="en-US"/>
        </w:rPr>
        <w:t>V</w:t>
      </w:r>
      <w:r w:rsidRPr="007224C3">
        <w:rPr>
          <w:color w:val="000000" w:themeColor="text1"/>
          <w:sz w:val="16"/>
          <w:szCs w:val="16"/>
        </w:rPr>
        <w:t xml:space="preserve"> необходимо было израсходовать около 100—125 снарядов, то есть выделить 2 самолета Ил-2 с 11П, которые выполнят по 6—8 заходов каж</w:t>
      </w:r>
      <w:r w:rsidRPr="007224C3">
        <w:rPr>
          <w:color w:val="000000" w:themeColor="text1"/>
          <w:sz w:val="16"/>
          <w:szCs w:val="16"/>
        </w:rPr>
        <w:softHyphen/>
        <w:t>дый. Принимая в расчет 100 кг противотанковых авиабомб ПТАБ-2,5-1,5, входящих в боевую заряд</w:t>
      </w:r>
      <w:r w:rsidRPr="007224C3">
        <w:rPr>
          <w:color w:val="000000" w:themeColor="text1"/>
          <w:sz w:val="16"/>
          <w:szCs w:val="16"/>
        </w:rPr>
        <w:softHyphen/>
        <w:t>ку Ил-2 с 11П, получается, что один «Ил-2 с 37-мм пушками имеет возможность огнем пушек и ПТАБ в среднем поразить один танк».</w:t>
      </w:r>
    </w:p>
    <w:p w14:paraId="4749C5A3" w14:textId="77777777" w:rsidR="00792F77" w:rsidRPr="007224C3" w:rsidRDefault="00792F77"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Поскольку, «по данным полков и боевого опы</w:t>
      </w:r>
      <w:r w:rsidRPr="007224C3">
        <w:rPr>
          <w:color w:val="000000" w:themeColor="text1"/>
          <w:sz w:val="16"/>
          <w:szCs w:val="16"/>
        </w:rPr>
        <w:softHyphen/>
        <w:t>та, при атаке скопления танков процент попада</w:t>
      </w:r>
      <w:r w:rsidRPr="007224C3">
        <w:rPr>
          <w:color w:val="000000" w:themeColor="text1"/>
          <w:sz w:val="16"/>
          <w:szCs w:val="16"/>
        </w:rPr>
        <w:softHyphen/>
        <w:t>ний в танк в 1,5 раза выше, чем при стрельбе по одиночному танку», то Ил-2 «с пушками ОКБ-16, используя огонь пушек и ПТАБы, может в среднем уничтожить 1,5—2 танка».</w:t>
      </w:r>
    </w:p>
    <w:p w14:paraId="742FE730" w14:textId="77777777" w:rsidR="00792F77" w:rsidRPr="007224C3" w:rsidRDefault="00792F77"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Между тем для уничтожения ПТАБами одиноч</w:t>
      </w:r>
      <w:r w:rsidRPr="007224C3">
        <w:rPr>
          <w:color w:val="000000" w:themeColor="text1"/>
          <w:sz w:val="16"/>
          <w:szCs w:val="16"/>
        </w:rPr>
        <w:softHyphen/>
        <w:t>ного танка любого типа требовалось в среднем 2 самолета Ил-2 с ВЯ, а «при действиях по плотно</w:t>
      </w:r>
      <w:r w:rsidRPr="007224C3">
        <w:rPr>
          <w:color w:val="000000" w:themeColor="text1"/>
          <w:sz w:val="16"/>
          <w:szCs w:val="16"/>
        </w:rPr>
        <w:softHyphen/>
        <w:t>му скоплению танков у мест заправки, в теснинах, у переправ, на погрузке и т.д. . бомбовая зарядка одного самолета обеспечивает поражение ПТАБами 2—3 танков».</w:t>
      </w:r>
    </w:p>
    <w:p w14:paraId="6CC508A2" w14:textId="77777777" w:rsidR="00792F77" w:rsidRPr="007224C3" w:rsidRDefault="00792F77"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При этом Ил-2 с пушками ВЯ имели одно очень важное тактическое преимущество перед Ил-2 с 37-мм пушками — во всех случаях «ПТАБы сбра</w:t>
      </w:r>
      <w:r w:rsidRPr="007224C3">
        <w:rPr>
          <w:color w:val="000000" w:themeColor="text1"/>
          <w:sz w:val="16"/>
          <w:szCs w:val="16"/>
        </w:rPr>
        <w:softHyphen/>
        <w:t>сываются с одного-двух заходов».</w:t>
      </w:r>
    </w:p>
    <w:p w14:paraId="5DE913C7" w14:textId="77777777" w:rsidR="00792F77" w:rsidRPr="007224C3" w:rsidRDefault="00792F77"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Важным обстоятельством в пользу ПТАБ яв</w:t>
      </w:r>
      <w:r w:rsidRPr="007224C3">
        <w:rPr>
          <w:color w:val="000000" w:themeColor="text1"/>
          <w:sz w:val="16"/>
          <w:szCs w:val="16"/>
        </w:rPr>
        <w:softHyphen/>
        <w:t>лялось и то, что в производстве бомба была про</w:t>
      </w:r>
      <w:r w:rsidRPr="007224C3">
        <w:rPr>
          <w:color w:val="000000" w:themeColor="text1"/>
          <w:sz w:val="16"/>
          <w:szCs w:val="16"/>
        </w:rPr>
        <w:softHyphen/>
        <w:t>ста и ее изготовление было очень дешево. Это позволяло выпускать их в большом количестве и массово применять на поле боя. К тому же бом</w:t>
      </w:r>
      <w:r w:rsidRPr="007224C3">
        <w:rPr>
          <w:color w:val="000000" w:themeColor="text1"/>
          <w:sz w:val="16"/>
          <w:szCs w:val="16"/>
        </w:rPr>
        <w:softHyphen/>
        <w:t>ба оказалась довольно универсальной — эффек</w:t>
      </w:r>
      <w:r w:rsidRPr="007224C3">
        <w:rPr>
          <w:color w:val="000000" w:themeColor="text1"/>
          <w:sz w:val="16"/>
          <w:szCs w:val="16"/>
        </w:rPr>
        <w:softHyphen/>
        <w:t>тивно поражала не только танки, но и другую бо</w:t>
      </w:r>
      <w:r w:rsidRPr="007224C3">
        <w:rPr>
          <w:color w:val="000000" w:themeColor="text1"/>
          <w:sz w:val="16"/>
          <w:szCs w:val="16"/>
        </w:rPr>
        <w:softHyphen/>
        <w:t>евую технику (автомашины, артиллерию, паровозы, легкие плавсредства и т.д.), уверенно подрывала склады боеприпасов, зажигала цистерны с го</w:t>
      </w:r>
      <w:r w:rsidRPr="007224C3">
        <w:rPr>
          <w:color w:val="000000" w:themeColor="text1"/>
          <w:sz w:val="16"/>
          <w:szCs w:val="16"/>
        </w:rPr>
        <w:softHyphen/>
        <w:t>рючим.</w:t>
      </w:r>
    </w:p>
    <w:p w14:paraId="51A8ACE8" w14:textId="77777777" w:rsidR="00792F77" w:rsidRPr="007224C3" w:rsidRDefault="00792F77"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Доводы офицеров штаба ВВС сочли вполне убе</w:t>
      </w:r>
      <w:r w:rsidRPr="007224C3">
        <w:rPr>
          <w:color w:val="000000" w:themeColor="text1"/>
          <w:sz w:val="16"/>
          <w:szCs w:val="16"/>
        </w:rPr>
        <w:softHyphen/>
        <w:t>дительными. Вопрос о восстановлении производ</w:t>
      </w:r>
      <w:r w:rsidRPr="007224C3">
        <w:rPr>
          <w:color w:val="000000" w:themeColor="text1"/>
          <w:sz w:val="16"/>
          <w:szCs w:val="16"/>
        </w:rPr>
        <w:softHyphen/>
        <w:t>ства Ил-2 с 11П с повестки дня был снят.</w:t>
      </w:r>
    </w:p>
    <w:p w14:paraId="4EFE2489" w14:textId="77777777" w:rsidR="00792F77" w:rsidRPr="007224C3" w:rsidRDefault="00792F77"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Отметим, что решение о прекращении выпу</w:t>
      </w:r>
      <w:r w:rsidRPr="007224C3">
        <w:rPr>
          <w:color w:val="000000" w:themeColor="text1"/>
          <w:sz w:val="16"/>
          <w:szCs w:val="16"/>
        </w:rPr>
        <w:softHyphen/>
        <w:t>ска Ил-2 с пушками 11П все же нельзя признать правильным. Учитывая, что к этому времени про</w:t>
      </w:r>
      <w:r w:rsidRPr="007224C3">
        <w:rPr>
          <w:color w:val="000000" w:themeColor="text1"/>
          <w:sz w:val="16"/>
          <w:szCs w:val="16"/>
        </w:rPr>
        <w:softHyphen/>
        <w:t>мышленность освоила массовое производство ракетных снарядов РБС-82, РБС-132, РОФС-132 и М-13, то эффективность действий Ил-2 с 11П по танкам могла быть повышена за счет увеличения на штурмовике числа ракетных орудий — с 4 до 6—8 или 10—12 (в зависимости от типа ракетных сна</w:t>
      </w:r>
      <w:r w:rsidRPr="007224C3">
        <w:rPr>
          <w:color w:val="000000" w:themeColor="text1"/>
          <w:sz w:val="16"/>
          <w:szCs w:val="16"/>
        </w:rPr>
        <w:softHyphen/>
        <w:t>рядов).</w:t>
      </w:r>
    </w:p>
    <w:p w14:paraId="06CC76F6" w14:textId="77777777" w:rsidR="00792F77" w:rsidRPr="007224C3" w:rsidRDefault="00792F77"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Напрашивалась очевидная переделка Ил-2 в чистый противотанковый самолет с мощным ра- кетно-пушечным вооружением и формирование на его основе отдельных противотанковых авиапол</w:t>
      </w:r>
      <w:r w:rsidRPr="007224C3">
        <w:rPr>
          <w:color w:val="000000" w:themeColor="text1"/>
          <w:sz w:val="16"/>
          <w:szCs w:val="16"/>
        </w:rPr>
        <w:softHyphen/>
        <w:t>ков, летный состав которых прошел бы специаль</w:t>
      </w:r>
      <w:r w:rsidRPr="007224C3">
        <w:rPr>
          <w:color w:val="000000" w:themeColor="text1"/>
          <w:sz w:val="16"/>
          <w:szCs w:val="16"/>
        </w:rPr>
        <w:softHyphen/>
        <w:t>ную подготовку по борьбе с бронетехникой. При этом имело смысл рассматривать противотанковые авиаполки как резерв Ставки ВГК и придавать их воздушным армиям для действий на танкоопас</w:t>
      </w:r>
      <w:r w:rsidRPr="007224C3">
        <w:rPr>
          <w:color w:val="000000" w:themeColor="text1"/>
          <w:sz w:val="16"/>
          <w:szCs w:val="16"/>
        </w:rPr>
        <w:softHyphen/>
        <w:t>ных направлениях и на направлении главного уда</w:t>
      </w:r>
      <w:r w:rsidRPr="007224C3">
        <w:rPr>
          <w:color w:val="000000" w:themeColor="text1"/>
          <w:sz w:val="16"/>
          <w:szCs w:val="16"/>
        </w:rPr>
        <w:softHyphen/>
        <w:t>ра при сопровождении подвижных групп фронта, а также для срыва ж.-д. перевозок на коммуника</w:t>
      </w:r>
      <w:r w:rsidRPr="007224C3">
        <w:rPr>
          <w:color w:val="000000" w:themeColor="text1"/>
          <w:sz w:val="16"/>
          <w:szCs w:val="16"/>
        </w:rPr>
        <w:softHyphen/>
        <w:t>циях противника. Выпуск противотанковых Ил-2 следовало ограничить количеством, достаточным для формирования, обучения и восполнения убыли самолетов в противотанковых полках.</w:t>
      </w:r>
    </w:p>
    <w:p w14:paraId="6CFC7103" w14:textId="77777777" w:rsidR="00792F77" w:rsidRPr="007224C3" w:rsidRDefault="00792F77"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Учитывая, что устойчивость оперативных по</w:t>
      </w:r>
      <w:r w:rsidRPr="007224C3">
        <w:rPr>
          <w:color w:val="000000" w:themeColor="text1"/>
          <w:sz w:val="16"/>
          <w:szCs w:val="16"/>
        </w:rPr>
        <w:softHyphen/>
        <w:t>рядков войск во многом определяется плотностью бронетехники на 1 км фронта, то противотанковые авиаполки сильно пригодились бы при отражении танковых контрударов вермахта и при прорыве укрепленных районов. Выводя из строя бронетех</w:t>
      </w:r>
      <w:r w:rsidRPr="007224C3">
        <w:rPr>
          <w:color w:val="000000" w:themeColor="text1"/>
          <w:sz w:val="16"/>
          <w:szCs w:val="16"/>
        </w:rPr>
        <w:softHyphen/>
        <w:t>нику противника, было возможным снизить устой</w:t>
      </w:r>
      <w:r w:rsidRPr="007224C3">
        <w:rPr>
          <w:color w:val="000000" w:themeColor="text1"/>
          <w:sz w:val="16"/>
          <w:szCs w:val="16"/>
        </w:rPr>
        <w:softHyphen/>
        <w:t>чивость оперативных порядков войск и решить ис</w:t>
      </w:r>
      <w:r w:rsidRPr="007224C3">
        <w:rPr>
          <w:color w:val="000000" w:themeColor="text1"/>
          <w:sz w:val="16"/>
          <w:szCs w:val="16"/>
        </w:rPr>
        <w:softHyphen/>
        <w:t>ход боя в свою пользу.</w:t>
      </w:r>
    </w:p>
    <w:p w14:paraId="2B888264" w14:textId="77777777" w:rsidR="00792F77" w:rsidRPr="007224C3" w:rsidRDefault="00792F77"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Особенно важным было поражение с воздуха танков, САУ и противотанковых СУ в обороне, «вры</w:t>
      </w:r>
      <w:r w:rsidRPr="007224C3">
        <w:rPr>
          <w:color w:val="000000" w:themeColor="text1"/>
          <w:sz w:val="16"/>
          <w:szCs w:val="16"/>
        </w:rPr>
        <w:softHyphen/>
        <w:t>тых» в землю и действующих из засад. Находясь в укрытиях, немецкие танкисты могли на больших дистанциях поражать атакующие советские танки и самоходки, оставаясь практически неуязвимыми от их огня. Являясь, по сути, ключевыми элементами системы противотанковой обороны, танки обеспе</w:t>
      </w:r>
      <w:r w:rsidRPr="007224C3">
        <w:rPr>
          <w:color w:val="000000" w:themeColor="text1"/>
          <w:sz w:val="16"/>
          <w:szCs w:val="16"/>
        </w:rPr>
        <w:softHyphen/>
        <w:t>чивали и повышенную устойчивость всей войско</w:t>
      </w:r>
      <w:r w:rsidRPr="007224C3">
        <w:rPr>
          <w:color w:val="000000" w:themeColor="text1"/>
          <w:sz w:val="16"/>
          <w:szCs w:val="16"/>
        </w:rPr>
        <w:softHyphen/>
        <w:t>вой обороны.</w:t>
      </w:r>
    </w:p>
    <w:p w14:paraId="2EFF0B60" w14:textId="77777777" w:rsidR="00792F77" w:rsidRPr="007224C3" w:rsidRDefault="00792F77"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В то же время наступающие советские войска для борьбы с немецкими танками и САУ противо</w:t>
      </w:r>
      <w:r w:rsidRPr="007224C3">
        <w:rPr>
          <w:color w:val="000000" w:themeColor="text1"/>
          <w:sz w:val="16"/>
          <w:szCs w:val="16"/>
        </w:rPr>
        <w:softHyphen/>
        <w:t>танковой обороны не имели в своих боевых по</w:t>
      </w:r>
      <w:r w:rsidRPr="007224C3">
        <w:rPr>
          <w:color w:val="000000" w:themeColor="text1"/>
          <w:sz w:val="16"/>
          <w:szCs w:val="16"/>
        </w:rPr>
        <w:softHyphen/>
        <w:t>рядках эффективных огневых средств — орудия ПТО и тяжелая артиллерия обычно не поспевали за ушедшими вперед танками и пехотой. Остава</w:t>
      </w:r>
      <w:r w:rsidRPr="007224C3">
        <w:rPr>
          <w:color w:val="000000" w:themeColor="text1"/>
          <w:sz w:val="16"/>
          <w:szCs w:val="16"/>
        </w:rPr>
        <w:softHyphen/>
        <w:t>лось уничтожать немецкие танки силами самих танкистов и «самоходов» и нести большие по</w:t>
      </w:r>
      <w:r w:rsidRPr="007224C3">
        <w:rPr>
          <w:color w:val="000000" w:themeColor="text1"/>
          <w:sz w:val="16"/>
          <w:szCs w:val="16"/>
        </w:rPr>
        <w:softHyphen/>
        <w:t>тери (17500).</w:t>
      </w:r>
    </w:p>
    <w:p w14:paraId="09641B93" w14:textId="77777777" w:rsidR="00792F77" w:rsidRPr="007224C3" w:rsidRDefault="00792F77" w:rsidP="007224C3">
      <w:pPr>
        <w:spacing w:after="0" w:line="240" w:lineRule="auto"/>
        <w:jc w:val="both"/>
        <w:rPr>
          <w:rStyle w:val="77"/>
          <w:rFonts w:eastAsiaTheme="minorHAnsi"/>
          <w:color w:val="000000" w:themeColor="text1"/>
          <w:sz w:val="16"/>
          <w:szCs w:val="16"/>
        </w:rPr>
      </w:pPr>
    </w:p>
    <w:p w14:paraId="608284A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начала 1944 г., двигатель запустили в серию на заводе № 24. АМ-42 изготовлялся в больших количествах до 1948 г., затем его сняли с производства. В начале 1951 г. выпуск мотора восстановили в усовершенствованном варианте с ресурсом 400 ч., но снова прекратили в 1954 г. Всего на заводе № 24 было изготовлено 10 232 экз. С весны 1952 г. АМ-42 изготовлялся по лицензии в Чехословакии на заводе им. Димитрова как М-42. Количество моторов, выпущенных там, неизвестно.</w:t>
      </w:r>
    </w:p>
    <w:p w14:paraId="0A27177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АМ-42 экспортировался в Польшу, Венгрию, Румынию, Чехословакию, Китай, Северную Корею. </w:t>
      </w:r>
    </w:p>
    <w:p w14:paraId="18BBF73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Характеристики:</w:t>
      </w:r>
    </w:p>
    <w:p w14:paraId="7E06C6C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12-цилиндровый рядный У-образный, четырехтактный, водяного охлаждения, редукторный, с односкоростным ПЦН;</w:t>
      </w:r>
    </w:p>
    <w:p w14:paraId="6505828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диаметр цилиндра/ход поршня 160/190 мм (в цилиндрах с прицепными шатунами 196,8 мм);</w:t>
      </w:r>
    </w:p>
    <w:p w14:paraId="1F6E8AE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объем 46,66 л;</w:t>
      </w:r>
    </w:p>
    <w:p w14:paraId="6ED4A44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 степень сжатия 5,5; </w:t>
      </w:r>
      <w:r w:rsidRPr="007224C3">
        <w:rPr>
          <w:rFonts w:ascii="Times New Roman" w:hAnsi="Times New Roman"/>
          <w:color w:val="000000" w:themeColor="text1"/>
          <w:sz w:val="16"/>
          <w:szCs w:val="16"/>
          <w:vertAlign w:val="subscript"/>
        </w:rPr>
        <w:t>4</w:t>
      </w:r>
    </w:p>
    <w:p w14:paraId="6EAF0D2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мощность и вес в зависимости от модификации;</w:t>
      </w:r>
    </w:p>
    <w:p w14:paraId="4C97CD5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запуск сжатым воздухом. Известны модификации:</w:t>
      </w:r>
    </w:p>
    <w:p w14:paraId="76AE0D9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АМ-42, единственный вариант, находившийся в массовом производ</w:t>
      </w:r>
      <w:r w:rsidRPr="007224C3">
        <w:rPr>
          <w:rFonts w:ascii="Times New Roman" w:hAnsi="Times New Roman"/>
          <w:color w:val="000000" w:themeColor="text1"/>
          <w:sz w:val="16"/>
          <w:szCs w:val="16"/>
        </w:rPr>
        <w:softHyphen/>
        <w:t>стве, 1750/2000 л.с., вес 980 кг (поздние серии 996 кг).</w:t>
      </w:r>
    </w:p>
    <w:p w14:paraId="0E4BA15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АМ-42 с форкамерным зажиганием и степенью сжатия 7,0. Опытный образец испытывался на стенде в 1944 г.</w:t>
      </w:r>
    </w:p>
    <w:p w14:paraId="067A221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АМ-42Б (АМ-42ТК, АМ-42Б-ТК), вариант 1943 г. с переделанным ПЦН, новыми всасывающими патрубками и воздухо-воздушным интеркулером. Комплектовался турбонагнетателями ТК-ЗООБ. Мощность 1750/2000 л.с. Был изготовлен в марте 1943 г. Испытывался на опыт</w:t>
      </w:r>
      <w:r w:rsidRPr="007224C3">
        <w:rPr>
          <w:rFonts w:ascii="Times New Roman" w:hAnsi="Times New Roman"/>
          <w:color w:val="000000" w:themeColor="text1"/>
          <w:sz w:val="16"/>
          <w:szCs w:val="16"/>
        </w:rPr>
        <w:softHyphen/>
        <w:t>ном истребителе «5А» конструкции А.И. Микояна. АМ-42ФНВ с непосредственным впрыском топлива, 1650/2000 л.с., вес 1000 кг. Испытания опытного образца на стенде завершены 22 августа 1945 г.</w:t>
      </w:r>
    </w:p>
    <w:p w14:paraId="167978E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АМ-42ФБ-ТК с двумя турбонагнетателями ТК-1А. Двигатели АМ-42 устанавливались на серийных штурмовиках Ил-10 и Ил-ЮМ. Чехословацкие М-42 монтировались на самолетах В-33 (мест</w:t>
      </w:r>
      <w:r w:rsidRPr="007224C3">
        <w:rPr>
          <w:rFonts w:ascii="Times New Roman" w:hAnsi="Times New Roman"/>
          <w:color w:val="000000" w:themeColor="text1"/>
          <w:sz w:val="16"/>
          <w:szCs w:val="16"/>
        </w:rPr>
        <w:softHyphen/>
        <w:t>ный вариант Ил-10). АМ-42 устанавливались также на опытные машины Ил-8, Ил-16, И-225 (5А), Су-6. Применение их предусматривалось про</w:t>
      </w:r>
      <w:r w:rsidRPr="007224C3">
        <w:rPr>
          <w:rFonts w:ascii="Times New Roman" w:hAnsi="Times New Roman"/>
          <w:color w:val="000000" w:themeColor="text1"/>
          <w:sz w:val="16"/>
          <w:szCs w:val="16"/>
        </w:rPr>
        <w:softHyphen/>
        <w:t>ектом Ту-8Б (11852).</w:t>
      </w:r>
    </w:p>
    <w:p w14:paraId="4D2045D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6A24B9C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самого начала 1944 г., двигатель запустили в серию на заводе No 24. Эти моторы ставили на штурмовики Ил- 10. АМ-42 изготовлялся в больших количествах. С 1947 г. усилили картер, щеки коленчатого вала, шатуны, шестерни редуктора.э увеличило вес сухого двигателя на 10 кг (до 1030 кг). Попробовали вариант с непосредственным впрыском, но внедрение его на Ил-10 потребовало бы внесения значительных изменений в винтомоторную установку, и от серийного производства отказались.</w:t>
      </w:r>
    </w:p>
    <w:p w14:paraId="1DF7CB4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1948 г. АМ-42 сняли с производства, но в начале 1951 г. выпуск мотора восстановили в усовершенствованном варианте с ресурсом 400 часов (за счет нового увеличения веса) для Ил- 10М, но снова прекратили в 1954 г. Масштаб производства в 50-е годы был не сравним, с тем, что имел место во время войны - делали чуть более 300 моторов в год. Всего на заводе № 24 было изготовлено 10 232 двигателей АМ-42.</w:t>
      </w:r>
    </w:p>
    <w:p w14:paraId="463D4CC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весны 1952 г. АМ-42 также делали по лицензии в Чехословакии на заводе им. Димитрова как М-42 для штурмовиков В-33 (это был местный вариант Ил-10). Количество моторов, выпущенных там, неизвестно. AJM-42 экспортировался в Польшу, Венгрию, Румынию, Чехословакию, Китай и Северную Корею.</w:t>
      </w:r>
    </w:p>
    <w:p w14:paraId="38B7A27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Существовало несколько опытных вариантов АМ-42. Например, имелась модификация с форкамер- ным зажиганием и степенью сжатия 7,0. Опытный образец ее испытывался на стенде в 1944 г. АМ-42Б (он же АМ-42ТК или АМ-42Б-ТК) - это вариант 1943 г. с переделанным ПЦН, новыми всасывающими патрубками и воздухо-воздушным интеркулером. Он комплектовался двумя турбонагнетателями ТК-300Б.</w:t>
      </w:r>
    </w:p>
    <w:p w14:paraId="77E1B60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Мощность была на уровне серийного типа, но номинальную мощность можно было удерживать до гораздо большей высоты. Такой двигатель изготовили в марте 1943 г., он испытывался на опытном истребителе "5А" конструкции А.И. Микояна. Был и еще один вариант с турбонаддувом - АМ-42ФБ-ТК с двумя турбонагнетателями ТК-1А.</w:t>
      </w:r>
    </w:p>
    <w:p w14:paraId="291221B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АМ-42ФНВ отличался непосредственным впрыском топлива. Он получился тяжелее карбюраторного "собрата" - вес дошел до 1000 кг. Испытания опытного образца АМ-42ФНВ на стенде были завершены 22 августа 1945 г., но серийно этот вариант строить не стали (11934).</w:t>
      </w:r>
    </w:p>
    <w:p w14:paraId="37A408E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2AF5575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1944 проведенные исследования в ЛИИ НКАП и НИСО НКАП показали, что основными причинами, нарушающими нор</w:t>
      </w:r>
      <w:r w:rsidRPr="007224C3">
        <w:rPr>
          <w:rFonts w:ascii="Times New Roman" w:hAnsi="Times New Roman"/>
          <w:color w:val="000000" w:themeColor="text1"/>
          <w:sz w:val="16"/>
          <w:szCs w:val="16"/>
        </w:rPr>
        <w:softHyphen/>
        <w:t>мальную работу связи, являются высокий уровень акустиче</w:t>
      </w:r>
      <w:r w:rsidRPr="007224C3">
        <w:rPr>
          <w:rFonts w:ascii="Times New Roman" w:hAnsi="Times New Roman"/>
          <w:color w:val="000000" w:themeColor="text1"/>
          <w:sz w:val="16"/>
          <w:szCs w:val="16"/>
        </w:rPr>
        <w:softHyphen/>
        <w:t>ских шумов в кабинах самолета, а также помехи, создаваемые системой зажигания мотора, и взаимное влияние друг на друга цепей приемника РСИ-4 и радиополукомпаса РПК-10, кото</w:t>
      </w:r>
      <w:r w:rsidRPr="007224C3">
        <w:rPr>
          <w:rFonts w:ascii="Times New Roman" w:hAnsi="Times New Roman"/>
          <w:color w:val="000000" w:themeColor="text1"/>
          <w:sz w:val="16"/>
          <w:szCs w:val="16"/>
        </w:rPr>
        <w:softHyphen/>
        <w:t>рые работали от одной приемной антенны (11474,378).</w:t>
      </w:r>
    </w:p>
    <w:p w14:paraId="21244F8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0C3E0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w:t>
      </w:r>
      <w:r w:rsidRPr="007224C3">
        <w:rPr>
          <w:rFonts w:ascii="Times New Roman" w:hAnsi="Times New Roman"/>
          <w:color w:val="000000" w:themeColor="text1"/>
          <w:sz w:val="16"/>
          <w:szCs w:val="16"/>
        </w:rPr>
        <w:softHyphen/>
        <w:t>чале 1944 г. в ЛИИ ВВС ВМФ по указанию начальника ВВС ВМФ мар</w:t>
      </w:r>
      <w:r w:rsidRPr="007224C3">
        <w:rPr>
          <w:rFonts w:ascii="Times New Roman" w:hAnsi="Times New Roman"/>
          <w:color w:val="000000" w:themeColor="text1"/>
          <w:sz w:val="16"/>
          <w:szCs w:val="16"/>
        </w:rPr>
        <w:softHyphen/>
        <w:t>шала авиации С.Ф.Жаворонкова были проведены полигонные испытания, которые показали, что наилучшими рикошетирующими и поражающими свойствами при дей</w:t>
      </w:r>
      <w:r w:rsidRPr="007224C3">
        <w:rPr>
          <w:rFonts w:ascii="Times New Roman" w:hAnsi="Times New Roman"/>
          <w:color w:val="000000" w:themeColor="text1"/>
          <w:sz w:val="16"/>
          <w:szCs w:val="16"/>
        </w:rPr>
        <w:softHyphen/>
        <w:t>ствии по транспортам водоизмещени</w:t>
      </w:r>
      <w:r w:rsidRPr="007224C3">
        <w:rPr>
          <w:rFonts w:ascii="Times New Roman" w:hAnsi="Times New Roman"/>
          <w:color w:val="000000" w:themeColor="text1"/>
          <w:sz w:val="16"/>
          <w:szCs w:val="16"/>
        </w:rPr>
        <w:softHyphen/>
        <w:t>ем 5000-10000 т обладали авиабомбы ФАБ-250 с перьевым стабилизатором и бомбы большего калибра при снабже</w:t>
      </w:r>
      <w:r w:rsidRPr="007224C3">
        <w:rPr>
          <w:rFonts w:ascii="Times New Roman" w:hAnsi="Times New Roman"/>
          <w:color w:val="000000" w:themeColor="text1"/>
          <w:sz w:val="16"/>
          <w:szCs w:val="16"/>
        </w:rPr>
        <w:softHyphen/>
        <w:t xml:space="preserve">нии их взрывателями АВ-87 в головном очке и АВ-1 в донном. Однако ФАБ-250 Ил-2 мог взять не </w:t>
      </w:r>
      <w:r w:rsidRPr="007224C3">
        <w:rPr>
          <w:rFonts w:ascii="Times New Roman" w:hAnsi="Times New Roman"/>
          <w:color w:val="000000" w:themeColor="text1"/>
          <w:sz w:val="16"/>
          <w:szCs w:val="16"/>
        </w:rPr>
        <w:lastRenderedPageBreak/>
        <w:t>более двух, что не по</w:t>
      </w:r>
      <w:r w:rsidRPr="007224C3">
        <w:rPr>
          <w:rFonts w:ascii="Times New Roman" w:hAnsi="Times New Roman"/>
          <w:color w:val="000000" w:themeColor="text1"/>
          <w:sz w:val="16"/>
          <w:szCs w:val="16"/>
        </w:rPr>
        <w:softHyphen/>
        <w:t>зволяло обеспечивать приемлемые для боевого применения вероятности попа</w:t>
      </w:r>
      <w:r w:rsidRPr="007224C3">
        <w:rPr>
          <w:rFonts w:ascii="Times New Roman" w:hAnsi="Times New Roman"/>
          <w:color w:val="000000" w:themeColor="text1"/>
          <w:sz w:val="16"/>
          <w:szCs w:val="16"/>
        </w:rPr>
        <w:softHyphen/>
        <w:t>дания в цель. В этой связи Илы вынуж</w:t>
      </w:r>
      <w:r w:rsidRPr="007224C3">
        <w:rPr>
          <w:rFonts w:ascii="Times New Roman" w:hAnsi="Times New Roman"/>
          <w:color w:val="000000" w:themeColor="text1"/>
          <w:sz w:val="16"/>
          <w:szCs w:val="16"/>
        </w:rPr>
        <w:softHyphen/>
        <w:t>денно использовали ФАБ-100 - летчик с хорошей летной и стрелковой подго</w:t>
      </w:r>
      <w:r w:rsidRPr="007224C3">
        <w:rPr>
          <w:rFonts w:ascii="Times New Roman" w:hAnsi="Times New Roman"/>
          <w:color w:val="000000" w:themeColor="text1"/>
          <w:sz w:val="16"/>
          <w:szCs w:val="16"/>
        </w:rPr>
        <w:softHyphen/>
        <w:t>товкой при топмачтовом бомбометании в полигонных условиях серией из четы</w:t>
      </w:r>
      <w:r w:rsidRPr="007224C3">
        <w:rPr>
          <w:rFonts w:ascii="Times New Roman" w:hAnsi="Times New Roman"/>
          <w:color w:val="000000" w:themeColor="text1"/>
          <w:sz w:val="16"/>
          <w:szCs w:val="16"/>
        </w:rPr>
        <w:softHyphen/>
        <w:t>рех "соток" вполне мог обеспечить ве</w:t>
      </w:r>
      <w:r w:rsidRPr="007224C3">
        <w:rPr>
          <w:rFonts w:ascii="Times New Roman" w:hAnsi="Times New Roman"/>
          <w:color w:val="000000" w:themeColor="text1"/>
          <w:sz w:val="16"/>
          <w:szCs w:val="16"/>
        </w:rPr>
        <w:softHyphen/>
        <w:t>роятность попадания в цель хотя бы од</w:t>
      </w:r>
      <w:r w:rsidRPr="007224C3">
        <w:rPr>
          <w:rFonts w:ascii="Times New Roman" w:hAnsi="Times New Roman"/>
          <w:color w:val="000000" w:themeColor="text1"/>
          <w:sz w:val="16"/>
          <w:szCs w:val="16"/>
        </w:rPr>
        <w:softHyphen/>
        <w:t>ной бомбой 0,6-0,7 (6767).</w:t>
      </w:r>
    </w:p>
    <w:p w14:paraId="35B50ED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Опыт боевого применения Ил-2-топ-мачтовиков показал, что оптимальным, с точки зрения лучшей маневренности и управляемости, являлся состав группы топмачтовиков из 5-6 Ил-2, принадле</w:t>
      </w:r>
      <w:r w:rsidRPr="007224C3">
        <w:rPr>
          <w:rFonts w:ascii="Times New Roman" w:hAnsi="Times New Roman"/>
          <w:color w:val="000000" w:themeColor="text1"/>
          <w:sz w:val="16"/>
          <w:szCs w:val="16"/>
        </w:rPr>
        <w:softHyphen/>
        <w:t>жащей одной авиаэскадрилье. Группа же истребителей непосредственного при</w:t>
      </w:r>
      <w:r w:rsidRPr="007224C3">
        <w:rPr>
          <w:rFonts w:ascii="Times New Roman" w:hAnsi="Times New Roman"/>
          <w:color w:val="000000" w:themeColor="text1"/>
          <w:sz w:val="16"/>
          <w:szCs w:val="16"/>
        </w:rPr>
        <w:softHyphen/>
        <w:t>крытия должна была быть в составе не менее 10 самолетов.</w:t>
      </w:r>
    </w:p>
    <w:p w14:paraId="7E06A4E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Отношение летчиков-штурмовиков флотов к новому методу поражения плавсредств противника наиболее точ</w:t>
      </w:r>
      <w:r w:rsidRPr="007224C3">
        <w:rPr>
          <w:rFonts w:ascii="Times New Roman" w:hAnsi="Times New Roman"/>
          <w:color w:val="000000" w:themeColor="text1"/>
          <w:sz w:val="16"/>
          <w:szCs w:val="16"/>
        </w:rPr>
        <w:softHyphen/>
        <w:t>но выразил в своих воспоминаниях ве</w:t>
      </w:r>
      <w:r w:rsidRPr="007224C3">
        <w:rPr>
          <w:rFonts w:ascii="Times New Roman" w:hAnsi="Times New Roman"/>
          <w:color w:val="000000" w:themeColor="text1"/>
          <w:sz w:val="16"/>
          <w:szCs w:val="16"/>
        </w:rPr>
        <w:softHyphen/>
        <w:t xml:space="preserve">теран 47-го </w:t>
      </w:r>
      <w:r w:rsidRPr="007224C3">
        <w:rPr>
          <w:rFonts w:ascii="Times New Roman" w:hAnsi="Times New Roman"/>
          <w:iCs/>
          <w:color w:val="000000" w:themeColor="text1"/>
          <w:sz w:val="16"/>
          <w:szCs w:val="16"/>
        </w:rPr>
        <w:t>шап</w:t>
      </w:r>
      <w:r w:rsidRPr="007224C3">
        <w:rPr>
          <w:rFonts w:ascii="Times New Roman" w:hAnsi="Times New Roman"/>
          <w:color w:val="000000" w:themeColor="text1"/>
          <w:sz w:val="16"/>
          <w:szCs w:val="16"/>
        </w:rPr>
        <w:t xml:space="preserve"> В.П.Остапенко: </w:t>
      </w:r>
      <w:r w:rsidRPr="007224C3">
        <w:rPr>
          <w:rFonts w:ascii="Times New Roman" w:hAnsi="Times New Roman"/>
          <w:iCs/>
          <w:color w:val="000000" w:themeColor="text1"/>
          <w:sz w:val="16"/>
          <w:szCs w:val="16"/>
        </w:rPr>
        <w:t>"Топмачтовое бомбометание - это игра со смер</w:t>
      </w:r>
      <w:r w:rsidRPr="007224C3">
        <w:rPr>
          <w:rFonts w:ascii="Times New Roman" w:hAnsi="Times New Roman"/>
          <w:iCs/>
          <w:color w:val="000000" w:themeColor="text1"/>
          <w:sz w:val="16"/>
          <w:szCs w:val="16"/>
        </w:rPr>
        <w:softHyphen/>
        <w:t>тью, если узнаешь на отлично, - будет польза, а так - это сильно опасно, смерть".</w:t>
      </w:r>
    </w:p>
    <w:p w14:paraId="5FF0C2C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 это действительно было так. Дело в том, что высота полета штурмовика при топмачтовом бомбометании в 20-30 м не давала возможности экипажам "Илов" выполнять эффективный противозенит</w:t>
      </w:r>
      <w:r w:rsidRPr="007224C3">
        <w:rPr>
          <w:rFonts w:ascii="Times New Roman" w:hAnsi="Times New Roman"/>
          <w:color w:val="000000" w:themeColor="text1"/>
          <w:sz w:val="16"/>
          <w:szCs w:val="16"/>
        </w:rPr>
        <w:softHyphen/>
        <w:t>ный маневр, вследствие чего вероятность поражения огнем зенитной артиллерии, в сравнении с бомбометанием с гори</w:t>
      </w:r>
      <w:r w:rsidRPr="007224C3">
        <w:rPr>
          <w:rFonts w:ascii="Times New Roman" w:hAnsi="Times New Roman"/>
          <w:color w:val="000000" w:themeColor="text1"/>
          <w:sz w:val="16"/>
          <w:szCs w:val="16"/>
        </w:rPr>
        <w:softHyphen/>
        <w:t>зонтального полета, была все же высо</w:t>
      </w:r>
      <w:r w:rsidRPr="007224C3">
        <w:rPr>
          <w:rFonts w:ascii="Times New Roman" w:hAnsi="Times New Roman"/>
          <w:color w:val="000000" w:themeColor="text1"/>
          <w:sz w:val="16"/>
          <w:szCs w:val="16"/>
        </w:rPr>
        <w:softHyphen/>
        <w:t>кой, даже несмотря на то, что Ил-2 нахо</w:t>
      </w:r>
      <w:r w:rsidRPr="007224C3">
        <w:rPr>
          <w:rFonts w:ascii="Times New Roman" w:hAnsi="Times New Roman"/>
          <w:color w:val="000000" w:themeColor="text1"/>
          <w:sz w:val="16"/>
          <w:szCs w:val="16"/>
        </w:rPr>
        <w:softHyphen/>
        <w:t>дился на боевом курсе в зоне действия корабельной ПВО всего 10-12 сек (при бомбометании с горизонтального поле</w:t>
      </w:r>
      <w:r w:rsidRPr="007224C3">
        <w:rPr>
          <w:rFonts w:ascii="Times New Roman" w:hAnsi="Times New Roman"/>
          <w:color w:val="000000" w:themeColor="text1"/>
          <w:sz w:val="16"/>
          <w:szCs w:val="16"/>
        </w:rPr>
        <w:softHyphen/>
        <w:t>та боевой курс у экипажей с хорошей подготовкой занимал не менее 40-60 сек).</w:t>
      </w:r>
    </w:p>
    <w:p w14:paraId="326D213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Кроме того, немцы при отражении атак Ил-2-топмачтовиков применяли специальные мины (аналоги, применяв</w:t>
      </w:r>
      <w:r w:rsidRPr="007224C3">
        <w:rPr>
          <w:rFonts w:ascii="Times New Roman" w:hAnsi="Times New Roman"/>
          <w:color w:val="000000" w:themeColor="text1"/>
          <w:sz w:val="16"/>
          <w:szCs w:val="16"/>
        </w:rPr>
        <w:softHyphen/>
        <w:t>шихся в ВВС КА авиационных гранат АГ-1 и АГ-2), которые выбрасывались, се</w:t>
      </w:r>
      <w:r w:rsidRPr="007224C3">
        <w:rPr>
          <w:rFonts w:ascii="Times New Roman" w:hAnsi="Times New Roman"/>
          <w:color w:val="000000" w:themeColor="text1"/>
          <w:sz w:val="16"/>
          <w:szCs w:val="16"/>
        </w:rPr>
        <w:softHyphen/>
        <w:t>рией по несколько штук, вверх прямо по курсу полета Ил-2 и спускались затем вниз на парашютиках, создавая пилотам штурмовиков серьезную "помеху" во время прицеливания и атаки цели. От</w:t>
      </w:r>
      <w:r w:rsidRPr="007224C3">
        <w:rPr>
          <w:rFonts w:ascii="Times New Roman" w:hAnsi="Times New Roman"/>
          <w:color w:val="000000" w:themeColor="text1"/>
          <w:sz w:val="16"/>
          <w:szCs w:val="16"/>
        </w:rPr>
        <w:softHyphen/>
        <w:t>мечались случаи гибели штурмовиков в результате подрыва таких мин...</w:t>
      </w:r>
    </w:p>
    <w:p w14:paraId="1F9F009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Справедливости ради необходимо все же отметить, что, как следует из ана</w:t>
      </w:r>
      <w:r w:rsidRPr="007224C3">
        <w:rPr>
          <w:rFonts w:ascii="Times New Roman" w:hAnsi="Times New Roman"/>
          <w:color w:val="000000" w:themeColor="text1"/>
          <w:sz w:val="16"/>
          <w:szCs w:val="16"/>
        </w:rPr>
        <w:softHyphen/>
        <w:t>лиза условий боев на морском театре военных действий, боевых возможностей штурмовика Ил-2 со всеми вариантами вооружения и характеристик поражаемости типовых морских целей, по кото</w:t>
      </w:r>
      <w:r w:rsidRPr="007224C3">
        <w:rPr>
          <w:rFonts w:ascii="Times New Roman" w:hAnsi="Times New Roman"/>
          <w:color w:val="000000" w:themeColor="text1"/>
          <w:sz w:val="16"/>
          <w:szCs w:val="16"/>
        </w:rPr>
        <w:softHyphen/>
        <w:t>рым в основном приходилось действо</w:t>
      </w:r>
      <w:r w:rsidRPr="007224C3">
        <w:rPr>
          <w:rFonts w:ascii="Times New Roman" w:hAnsi="Times New Roman"/>
          <w:color w:val="000000" w:themeColor="text1"/>
          <w:sz w:val="16"/>
          <w:szCs w:val="16"/>
        </w:rPr>
        <w:softHyphen/>
        <w:t>вать Ил-2, последний не в полной мере отвечал требованиям войны на море.</w:t>
      </w:r>
    </w:p>
    <w:p w14:paraId="31E54AC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Применение штурмовиками авиабомб типа ФАБ-100 как при бомбометании с планирования, так и при топмачтовом бомбометании не гарантировало потоп</w:t>
      </w:r>
      <w:r w:rsidRPr="007224C3">
        <w:rPr>
          <w:rFonts w:ascii="Times New Roman" w:hAnsi="Times New Roman"/>
          <w:color w:val="000000" w:themeColor="text1"/>
          <w:sz w:val="16"/>
          <w:szCs w:val="16"/>
        </w:rPr>
        <w:softHyphen/>
        <w:t>ление крупных судов и кораблей.</w:t>
      </w:r>
    </w:p>
    <w:p w14:paraId="4472DCE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Мощность реактивных снарядов PC-82 и РОФС-132 была также недостаточ</w:t>
      </w:r>
      <w:r w:rsidRPr="007224C3">
        <w:rPr>
          <w:rFonts w:ascii="Times New Roman" w:hAnsi="Times New Roman"/>
          <w:color w:val="000000" w:themeColor="text1"/>
          <w:sz w:val="16"/>
          <w:szCs w:val="16"/>
        </w:rPr>
        <w:softHyphen/>
        <w:t>ной для эффективного поражения мор</w:t>
      </w:r>
      <w:r w:rsidRPr="007224C3">
        <w:rPr>
          <w:rFonts w:ascii="Times New Roman" w:hAnsi="Times New Roman"/>
          <w:color w:val="000000" w:themeColor="text1"/>
          <w:sz w:val="16"/>
          <w:szCs w:val="16"/>
        </w:rPr>
        <w:softHyphen/>
        <w:t>ских целей. Применение же РСов в бою осложнялось и большим их рассеивани</w:t>
      </w:r>
      <w:r w:rsidRPr="007224C3">
        <w:rPr>
          <w:rFonts w:ascii="Times New Roman" w:hAnsi="Times New Roman"/>
          <w:color w:val="000000" w:themeColor="text1"/>
          <w:sz w:val="16"/>
          <w:szCs w:val="16"/>
        </w:rPr>
        <w:softHyphen/>
        <w:t>ем при стрельбе. Соответственно четы</w:t>
      </w:r>
      <w:r w:rsidRPr="007224C3">
        <w:rPr>
          <w:rFonts w:ascii="Times New Roman" w:hAnsi="Times New Roman"/>
          <w:color w:val="000000" w:themeColor="text1"/>
          <w:sz w:val="16"/>
          <w:szCs w:val="16"/>
        </w:rPr>
        <w:softHyphen/>
        <w:t>рех PC, имеющихся в распоряжении лет</w:t>
      </w:r>
      <w:r w:rsidRPr="007224C3">
        <w:rPr>
          <w:rFonts w:ascii="Times New Roman" w:hAnsi="Times New Roman"/>
          <w:color w:val="000000" w:themeColor="text1"/>
          <w:sz w:val="16"/>
          <w:szCs w:val="16"/>
        </w:rPr>
        <w:softHyphen/>
        <w:t>чика Ил-2, было мало для обеспечения надежного подавления цели.</w:t>
      </w:r>
    </w:p>
    <w:p w14:paraId="0590981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Самое же точное оружие Ил-2 - пу</w:t>
      </w:r>
      <w:r w:rsidRPr="007224C3">
        <w:rPr>
          <w:rFonts w:ascii="Times New Roman" w:hAnsi="Times New Roman"/>
          <w:color w:val="000000" w:themeColor="text1"/>
          <w:sz w:val="16"/>
          <w:szCs w:val="16"/>
        </w:rPr>
        <w:softHyphen/>
        <w:t>шечное вооружение, включая 37-мм авиапушки НС-37, было все же не настолько эффективным против кораблей и судов противника, как этого хотелось бы, главным образом из-за низкого фу</w:t>
      </w:r>
      <w:r w:rsidRPr="007224C3">
        <w:rPr>
          <w:rFonts w:ascii="Times New Roman" w:hAnsi="Times New Roman"/>
          <w:color w:val="000000" w:themeColor="text1"/>
          <w:sz w:val="16"/>
          <w:szCs w:val="16"/>
        </w:rPr>
        <w:softHyphen/>
        <w:t>гасного действия снарядов калибра 20-37 мм.</w:t>
      </w:r>
    </w:p>
    <w:p w14:paraId="1727FAA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Кроме этого, недостаточная дальность полета и отсутствие совершенных аэро</w:t>
      </w:r>
      <w:r w:rsidRPr="007224C3">
        <w:rPr>
          <w:rFonts w:ascii="Times New Roman" w:hAnsi="Times New Roman"/>
          <w:color w:val="000000" w:themeColor="text1"/>
          <w:sz w:val="16"/>
          <w:szCs w:val="16"/>
        </w:rPr>
        <w:softHyphen/>
        <w:t>навигационных средств самолетовожде</w:t>
      </w:r>
      <w:r w:rsidRPr="007224C3">
        <w:rPr>
          <w:rFonts w:ascii="Times New Roman" w:hAnsi="Times New Roman"/>
          <w:color w:val="000000" w:themeColor="text1"/>
          <w:sz w:val="16"/>
          <w:szCs w:val="16"/>
        </w:rPr>
        <w:softHyphen/>
        <w:t>ния существенно снижали боевую цен</w:t>
      </w:r>
      <w:r w:rsidRPr="007224C3">
        <w:rPr>
          <w:rFonts w:ascii="Times New Roman" w:hAnsi="Times New Roman"/>
          <w:color w:val="000000" w:themeColor="text1"/>
          <w:sz w:val="16"/>
          <w:szCs w:val="16"/>
        </w:rPr>
        <w:softHyphen/>
        <w:t>ность Ил-2 как самолета морской авиа</w:t>
      </w:r>
      <w:r w:rsidRPr="007224C3">
        <w:rPr>
          <w:rFonts w:ascii="Times New Roman" w:hAnsi="Times New Roman"/>
          <w:color w:val="000000" w:themeColor="text1"/>
          <w:sz w:val="16"/>
          <w:szCs w:val="16"/>
        </w:rPr>
        <w:softHyphen/>
        <w:t>ции - глубина действия "Илов" ограни</w:t>
      </w:r>
      <w:r w:rsidRPr="007224C3">
        <w:rPr>
          <w:rFonts w:ascii="Times New Roman" w:hAnsi="Times New Roman"/>
          <w:color w:val="000000" w:themeColor="text1"/>
          <w:sz w:val="16"/>
          <w:szCs w:val="16"/>
        </w:rPr>
        <w:softHyphen/>
        <w:t>чивалась прибрежными районами.</w:t>
      </w:r>
    </w:p>
    <w:p w14:paraId="73C7D75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результате Ил-2 на протяжении всей войны все же не могли в должной мере обеспечивать необходимые даль</w:t>
      </w:r>
      <w:r w:rsidRPr="007224C3">
        <w:rPr>
          <w:rFonts w:ascii="Times New Roman" w:hAnsi="Times New Roman"/>
          <w:color w:val="000000" w:themeColor="text1"/>
          <w:sz w:val="16"/>
          <w:szCs w:val="16"/>
        </w:rPr>
        <w:softHyphen/>
        <w:t>ний перехват крупных морских судов и боевых кораблей противника и их устой</w:t>
      </w:r>
      <w:r w:rsidRPr="007224C3">
        <w:rPr>
          <w:rFonts w:ascii="Times New Roman" w:hAnsi="Times New Roman"/>
          <w:color w:val="000000" w:themeColor="text1"/>
          <w:sz w:val="16"/>
          <w:szCs w:val="16"/>
        </w:rPr>
        <w:softHyphen/>
        <w:t>чивое поражение...(6467).</w:t>
      </w:r>
    </w:p>
    <w:p w14:paraId="549E374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Боевая статистика показывает, что во время ударов Ил-2 флотов по немец</w:t>
      </w:r>
      <w:r w:rsidRPr="007224C3">
        <w:rPr>
          <w:rFonts w:ascii="Times New Roman" w:hAnsi="Times New Roman"/>
          <w:color w:val="000000" w:themeColor="text1"/>
          <w:sz w:val="16"/>
          <w:szCs w:val="16"/>
        </w:rPr>
        <w:softHyphen/>
        <w:t>ким ВМБ и конвоям на переходе морем в среднем около 30% Ил-2 из состава групп, участвующих в ударе, сбивалось, либо огнем зенитной артиллерии (при</w:t>
      </w:r>
      <w:r w:rsidRPr="007224C3">
        <w:rPr>
          <w:rFonts w:ascii="Times New Roman" w:hAnsi="Times New Roman"/>
          <w:color w:val="000000" w:themeColor="text1"/>
          <w:sz w:val="16"/>
          <w:szCs w:val="16"/>
        </w:rPr>
        <w:softHyphen/>
        <w:t>мерно 70% из этого числа), либо истре</w:t>
      </w:r>
      <w:r w:rsidRPr="007224C3">
        <w:rPr>
          <w:rFonts w:ascii="Times New Roman" w:hAnsi="Times New Roman"/>
          <w:color w:val="000000" w:themeColor="text1"/>
          <w:sz w:val="16"/>
          <w:szCs w:val="16"/>
        </w:rPr>
        <w:softHyphen/>
        <w:t>бителями Люфтваффе. Кроме этого, око</w:t>
      </w:r>
      <w:r w:rsidRPr="007224C3">
        <w:rPr>
          <w:rFonts w:ascii="Times New Roman" w:hAnsi="Times New Roman"/>
          <w:color w:val="000000" w:themeColor="text1"/>
          <w:sz w:val="16"/>
          <w:szCs w:val="16"/>
        </w:rPr>
        <w:softHyphen/>
        <w:t>ло 50-60% "Илов" из состава групп по</w:t>
      </w:r>
      <w:r w:rsidRPr="007224C3">
        <w:rPr>
          <w:rFonts w:ascii="Times New Roman" w:hAnsi="Times New Roman"/>
          <w:color w:val="000000" w:themeColor="text1"/>
          <w:sz w:val="16"/>
          <w:szCs w:val="16"/>
        </w:rPr>
        <w:softHyphen/>
        <w:t>лучали повреждения. Другими словами, в среднем 80-90% от состава групп "Ильюшиных", участвующих в бомбоштурмовых ударах по немецким военно-морс</w:t>
      </w:r>
      <w:r w:rsidRPr="007224C3">
        <w:rPr>
          <w:rFonts w:ascii="Times New Roman" w:hAnsi="Times New Roman"/>
          <w:color w:val="000000" w:themeColor="text1"/>
          <w:sz w:val="16"/>
          <w:szCs w:val="16"/>
        </w:rPr>
        <w:softHyphen/>
        <w:t>ким базам и конвоям, либо сбивались, либо получали повреждения.</w:t>
      </w:r>
    </w:p>
    <w:p w14:paraId="54BB314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1944 был подготовлен отчет по итогам работы ОКБ А.Н.Т. за 1943 отмечалось: “на основе опыта работы ту-2 в разведовательных полках ГК и по требованию ВВС ОКБ разработало специальные разведовательные варианты... Самолет-разведчик отличается от строящегося в серии большей дальностью (за счет добавочного подвесного бака) и установкой для специального фотоаппаратаю</w:t>
      </w:r>
    </w:p>
    <w:p w14:paraId="2C5F2BA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настоящее время один Ту-2 разведчик (с двумя АФА-3) прошел гос. испытая в НИИ спецслужбы ВВС и рекомендован к серийной постройке. Два ту-2, оборудованные специальной качающейся установкой под АФА-33, проходят войсковые испытания в 47 гапдр ГК...</w:t>
      </w:r>
    </w:p>
    <w:p w14:paraId="5A1A162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ОКБ разработаны установки для серийного ту-2 дополнительного пушечноговооружения (двух пушек Нудельмана-Суранова калибра 45 мм) и РЛС. В настоящее время на заводе оборудуются два ту-2С: первый с РЛС ПНБ-4 конструкции Спецотдела НКВД и двумя ВЯ 23 мм, второй - с РЛС Гнейс-5 конструкции НИИ-20 с 2х45 мм...” (4407,5).</w:t>
      </w:r>
    </w:p>
    <w:p w14:paraId="35D0E5B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0A11A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1944 на Ил-8-1 был установлен новый мотор АМ-42 и самолет после завершения заводских испытаний был досрочно 26 февраля 1944 вместо 1 марта 1944 сдан га гос. сипытания, закончившиеся в течение месяца 30 марта 1944.</w:t>
      </w:r>
    </w:p>
    <w:p w14:paraId="5F54CC0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1944 ОКБ А.Н.Т. начало ОКР по освоению первых советских РЛС и аппаратуру установили на двух серийных Ту-2 с одновременным усилением артиллерийского вооружения. В дальнейшем для создания полноценного перехватчика с РЛС использовали машину 68/2 с 2АМ-39ФНВ (1835,58).</w:t>
      </w:r>
    </w:p>
    <w:p w14:paraId="5324DD0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4001E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1944 был подготовлен отчет завода 18 за 1943:</w:t>
      </w:r>
    </w:p>
    <w:p w14:paraId="5A95C2C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год на заводе были проведены увязки, конструирование, запуск и отработка чертежей по опытному самолету Ш, по самолету Ил-1 одноместному и двухместному, по самолету Ил-2 2М-42.</w:t>
      </w:r>
    </w:p>
    <w:p w14:paraId="3E5E073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Разработка конструкции стрельчатого крыла и убирающегося костыля для самолета Ил-2 с М-42 произведена также силами заводского коллектива конструкторов.</w:t>
      </w:r>
    </w:p>
    <w:p w14:paraId="38468D7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Один экз. модернизированного Ил-2 с М-42 был изготовлен на заводе.</w:t>
      </w:r>
    </w:p>
    <w:p w14:paraId="05ACC2B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Серия самолета Ил-10 началась в 1944 на заводе 1, однако, поставка заводом 24 недоработанного мотора АМ-42 лишила завод возможности выполнить задание по выпуску самолета Ил-10." (1352).</w:t>
      </w:r>
    </w:p>
    <w:p w14:paraId="4FB7268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4DAB10" w14:textId="77777777" w:rsidR="007F1907" w:rsidRPr="007224C3" w:rsidRDefault="007F1907"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 xml:space="preserve">В начале 1944 в дополнение к 28 самолетом «Харрикейн» </w:t>
      </w:r>
      <w:r w:rsidRPr="007224C3">
        <w:rPr>
          <w:color w:val="000000" w:themeColor="text1"/>
          <w:sz w:val="16"/>
          <w:szCs w:val="16"/>
          <w:lang w:val="en-US"/>
        </w:rPr>
        <w:t>IID</w:t>
      </w:r>
      <w:r w:rsidRPr="007224C3">
        <w:rPr>
          <w:color w:val="000000" w:themeColor="text1"/>
          <w:sz w:val="16"/>
          <w:szCs w:val="16"/>
        </w:rPr>
        <w:t>, поступившим к концу 1943, в Советский Союз прибыли еще 20 машин этого типа и несколь</w:t>
      </w:r>
      <w:r w:rsidRPr="007224C3">
        <w:rPr>
          <w:color w:val="000000" w:themeColor="text1"/>
          <w:sz w:val="16"/>
          <w:szCs w:val="16"/>
        </w:rPr>
        <w:softHyphen/>
        <w:t xml:space="preserve">ко десятков «Харрикейн» IV со сменным составом вооружения, включавшим пушки калибра 40 мм по типу варианта </w:t>
      </w:r>
      <w:r w:rsidRPr="007224C3">
        <w:rPr>
          <w:color w:val="000000" w:themeColor="text1"/>
          <w:sz w:val="16"/>
          <w:szCs w:val="16"/>
          <w:lang w:val="en-US"/>
        </w:rPr>
        <w:t>Mk</w:t>
      </w:r>
      <w:r w:rsidRPr="007224C3">
        <w:rPr>
          <w:color w:val="000000" w:themeColor="text1"/>
          <w:sz w:val="16"/>
          <w:szCs w:val="16"/>
        </w:rPr>
        <w:t>.</w:t>
      </w:r>
      <w:r w:rsidRPr="007224C3">
        <w:rPr>
          <w:color w:val="000000" w:themeColor="text1"/>
          <w:sz w:val="16"/>
          <w:szCs w:val="16"/>
          <w:lang w:val="en-US"/>
        </w:rPr>
        <w:t>IID</w:t>
      </w:r>
      <w:r w:rsidRPr="007224C3">
        <w:rPr>
          <w:color w:val="000000" w:themeColor="text1"/>
          <w:sz w:val="16"/>
          <w:szCs w:val="16"/>
        </w:rPr>
        <w:t>.</w:t>
      </w:r>
    </w:p>
    <w:p w14:paraId="7EA84A1E" w14:textId="77777777" w:rsidR="007F1907" w:rsidRPr="007224C3" w:rsidRDefault="007F1907"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 xml:space="preserve">На противотанковые «Харрикейны» </w:t>
      </w:r>
      <w:r w:rsidRPr="007224C3">
        <w:rPr>
          <w:color w:val="000000" w:themeColor="text1"/>
          <w:sz w:val="16"/>
          <w:szCs w:val="16"/>
          <w:lang w:val="en-US"/>
        </w:rPr>
        <w:t>IID</w:t>
      </w:r>
      <w:r w:rsidRPr="007224C3">
        <w:rPr>
          <w:color w:val="000000" w:themeColor="text1"/>
          <w:sz w:val="16"/>
          <w:szCs w:val="16"/>
        </w:rPr>
        <w:t xml:space="preserve"> и </w:t>
      </w:r>
      <w:r w:rsidRPr="007224C3">
        <w:rPr>
          <w:color w:val="000000" w:themeColor="text1"/>
          <w:sz w:val="16"/>
          <w:szCs w:val="16"/>
          <w:lang w:val="en-US"/>
        </w:rPr>
        <w:t>IV</w:t>
      </w:r>
      <w:r w:rsidRPr="007224C3">
        <w:rPr>
          <w:color w:val="000000" w:themeColor="text1"/>
          <w:sz w:val="16"/>
          <w:szCs w:val="16"/>
        </w:rPr>
        <w:t xml:space="preserve"> с осени 1943 г. начали переучиваться 441-й иап ПВО страны и 246-й иап фронтовой авиации ВВС КА.</w:t>
      </w:r>
    </w:p>
    <w:p w14:paraId="193061C7" w14:textId="77777777" w:rsidR="007F1907" w:rsidRPr="007224C3" w:rsidRDefault="007F1907"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Почти одновременно с освоением противотан</w:t>
      </w:r>
      <w:r w:rsidRPr="007224C3">
        <w:rPr>
          <w:color w:val="000000" w:themeColor="text1"/>
          <w:sz w:val="16"/>
          <w:szCs w:val="16"/>
        </w:rPr>
        <w:softHyphen/>
        <w:t>ковых «англичан» в частях ВВС КА 2 самолета «Хар</w:t>
      </w:r>
      <w:r w:rsidRPr="007224C3">
        <w:rPr>
          <w:color w:val="000000" w:themeColor="text1"/>
          <w:sz w:val="16"/>
          <w:szCs w:val="16"/>
        </w:rPr>
        <w:softHyphen/>
        <w:t xml:space="preserve">рикейн» </w:t>
      </w:r>
      <w:r w:rsidRPr="007224C3">
        <w:rPr>
          <w:color w:val="000000" w:themeColor="text1"/>
          <w:sz w:val="16"/>
          <w:szCs w:val="16"/>
          <w:lang w:val="en-US"/>
        </w:rPr>
        <w:t>IID</w:t>
      </w:r>
      <w:r w:rsidRPr="007224C3">
        <w:rPr>
          <w:color w:val="000000" w:themeColor="text1"/>
          <w:sz w:val="16"/>
          <w:szCs w:val="16"/>
        </w:rPr>
        <w:t xml:space="preserve"> зав. № КХ-171 и № КХ-305 поступили в НИИ ВВС и затем в НИИ АВ ВВС, где провели все</w:t>
      </w:r>
      <w:r w:rsidRPr="007224C3">
        <w:rPr>
          <w:color w:val="000000" w:themeColor="text1"/>
          <w:sz w:val="16"/>
          <w:szCs w:val="16"/>
        </w:rPr>
        <w:softHyphen/>
        <w:t>сторонние исследования их летно-боевых качеств и вооружения (17500).</w:t>
      </w:r>
    </w:p>
    <w:p w14:paraId="7023D2F3" w14:textId="77777777" w:rsidR="007F1907" w:rsidRPr="007224C3" w:rsidRDefault="007F1907" w:rsidP="007224C3">
      <w:pPr>
        <w:spacing w:after="0" w:line="240" w:lineRule="auto"/>
        <w:jc w:val="both"/>
        <w:rPr>
          <w:rFonts w:ascii="Times New Roman" w:eastAsia="Times New Roman" w:hAnsi="Times New Roman"/>
          <w:color w:val="000000" w:themeColor="text1"/>
          <w:sz w:val="16"/>
          <w:szCs w:val="16"/>
          <w:lang w:eastAsia="ru-RU"/>
        </w:rPr>
      </w:pPr>
    </w:p>
    <w:p w14:paraId="2960B54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1944 был подготов Отчетный доклад Нач. 10 ГУ НКАП за 1943: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84"/>
        <w:gridCol w:w="1708"/>
        <w:gridCol w:w="1010"/>
        <w:gridCol w:w="1010"/>
        <w:gridCol w:w="1010"/>
        <w:gridCol w:w="1010"/>
        <w:gridCol w:w="1214"/>
        <w:gridCol w:w="908"/>
        <w:gridCol w:w="1345"/>
      </w:tblGrid>
      <w:tr w:rsidR="005106D0" w:rsidRPr="007224C3" w14:paraId="4A52AF85" w14:textId="77777777">
        <w:tc>
          <w:tcPr>
            <w:tcW w:w="1384" w:type="dxa"/>
          </w:tcPr>
          <w:p w14:paraId="7E18431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w:t>
            </w:r>
          </w:p>
        </w:tc>
        <w:tc>
          <w:tcPr>
            <w:tcW w:w="1708" w:type="dxa"/>
          </w:tcPr>
          <w:p w14:paraId="03D25CF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Тип</w:t>
            </w:r>
          </w:p>
        </w:tc>
        <w:tc>
          <w:tcPr>
            <w:tcW w:w="1010" w:type="dxa"/>
          </w:tcPr>
          <w:p w14:paraId="3846202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План</w:t>
            </w:r>
          </w:p>
        </w:tc>
        <w:tc>
          <w:tcPr>
            <w:tcW w:w="1010" w:type="dxa"/>
          </w:tcPr>
          <w:p w14:paraId="754CC55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сборке</w:t>
            </w:r>
          </w:p>
        </w:tc>
        <w:tc>
          <w:tcPr>
            <w:tcW w:w="1010" w:type="dxa"/>
          </w:tcPr>
          <w:p w14:paraId="1D3AC15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0" w:type="dxa"/>
          </w:tcPr>
          <w:p w14:paraId="7219003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4" w:type="dxa"/>
          </w:tcPr>
          <w:p w14:paraId="442B6D9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гот. к бою</w:t>
            </w:r>
          </w:p>
        </w:tc>
        <w:tc>
          <w:tcPr>
            <w:tcW w:w="908" w:type="dxa"/>
          </w:tcPr>
          <w:p w14:paraId="5117371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45" w:type="dxa"/>
          </w:tcPr>
          <w:p w14:paraId="02A9E21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1360432" w14:textId="77777777">
        <w:tc>
          <w:tcPr>
            <w:tcW w:w="1384" w:type="dxa"/>
          </w:tcPr>
          <w:p w14:paraId="6124592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08" w:type="dxa"/>
          </w:tcPr>
          <w:p w14:paraId="4A7C59B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0" w:type="dxa"/>
          </w:tcPr>
          <w:p w14:paraId="1F89F48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0" w:type="dxa"/>
          </w:tcPr>
          <w:p w14:paraId="0A76CA5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Факт</w:t>
            </w:r>
          </w:p>
        </w:tc>
        <w:tc>
          <w:tcPr>
            <w:tcW w:w="1010" w:type="dxa"/>
          </w:tcPr>
          <w:p w14:paraId="0A3D49A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к пл.</w:t>
            </w:r>
          </w:p>
        </w:tc>
        <w:tc>
          <w:tcPr>
            <w:tcW w:w="1010" w:type="dxa"/>
          </w:tcPr>
          <w:p w14:paraId="6C3EF0D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к 1942</w:t>
            </w:r>
          </w:p>
        </w:tc>
        <w:tc>
          <w:tcPr>
            <w:tcW w:w="1214" w:type="dxa"/>
          </w:tcPr>
          <w:p w14:paraId="45AA674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Факт</w:t>
            </w:r>
          </w:p>
        </w:tc>
        <w:tc>
          <w:tcPr>
            <w:tcW w:w="908" w:type="dxa"/>
          </w:tcPr>
          <w:p w14:paraId="3548324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к пл.</w:t>
            </w:r>
          </w:p>
        </w:tc>
        <w:tc>
          <w:tcPr>
            <w:tcW w:w="1345" w:type="dxa"/>
          </w:tcPr>
          <w:p w14:paraId="2DBCDB4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к 1942</w:t>
            </w:r>
          </w:p>
        </w:tc>
      </w:tr>
      <w:tr w:rsidR="005106D0" w:rsidRPr="007224C3" w14:paraId="3347FB93" w14:textId="77777777">
        <w:tc>
          <w:tcPr>
            <w:tcW w:w="1384" w:type="dxa"/>
          </w:tcPr>
          <w:p w14:paraId="504BC93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tc>
        <w:tc>
          <w:tcPr>
            <w:tcW w:w="1708" w:type="dxa"/>
          </w:tcPr>
          <w:p w14:paraId="0673B8D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Штурмовики</w:t>
            </w:r>
          </w:p>
        </w:tc>
        <w:tc>
          <w:tcPr>
            <w:tcW w:w="1010" w:type="dxa"/>
          </w:tcPr>
          <w:p w14:paraId="208628B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0" w:type="dxa"/>
          </w:tcPr>
          <w:p w14:paraId="55D4681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0" w:type="dxa"/>
          </w:tcPr>
          <w:p w14:paraId="50AB21D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0" w:type="dxa"/>
          </w:tcPr>
          <w:p w14:paraId="503EE26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4" w:type="dxa"/>
          </w:tcPr>
          <w:p w14:paraId="177FFEA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8" w:type="dxa"/>
          </w:tcPr>
          <w:p w14:paraId="24583A5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45" w:type="dxa"/>
          </w:tcPr>
          <w:p w14:paraId="67C2B28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6F8676E" w14:textId="77777777">
        <w:tc>
          <w:tcPr>
            <w:tcW w:w="1384" w:type="dxa"/>
          </w:tcPr>
          <w:p w14:paraId="6B8B0D0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tc>
        <w:tc>
          <w:tcPr>
            <w:tcW w:w="1708" w:type="dxa"/>
          </w:tcPr>
          <w:p w14:paraId="507F51C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Ил-2 АМ-38Ф</w:t>
            </w:r>
          </w:p>
        </w:tc>
        <w:tc>
          <w:tcPr>
            <w:tcW w:w="1010" w:type="dxa"/>
          </w:tcPr>
          <w:p w14:paraId="3F704A5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4169</w:t>
            </w:r>
          </w:p>
        </w:tc>
        <w:tc>
          <w:tcPr>
            <w:tcW w:w="1010" w:type="dxa"/>
          </w:tcPr>
          <w:p w14:paraId="51E063F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4257</w:t>
            </w:r>
          </w:p>
        </w:tc>
        <w:tc>
          <w:tcPr>
            <w:tcW w:w="1010" w:type="dxa"/>
          </w:tcPr>
          <w:p w14:paraId="2867C05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102.1</w:t>
            </w:r>
          </w:p>
        </w:tc>
        <w:tc>
          <w:tcPr>
            <w:tcW w:w="1010" w:type="dxa"/>
          </w:tcPr>
          <w:p w14:paraId="2F4A99A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142.3</w:t>
            </w:r>
          </w:p>
        </w:tc>
        <w:tc>
          <w:tcPr>
            <w:tcW w:w="1214" w:type="dxa"/>
          </w:tcPr>
          <w:p w14:paraId="5BF48F0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4462</w:t>
            </w:r>
          </w:p>
        </w:tc>
        <w:tc>
          <w:tcPr>
            <w:tcW w:w="908" w:type="dxa"/>
          </w:tcPr>
          <w:p w14:paraId="501FDBB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107</w:t>
            </w:r>
          </w:p>
        </w:tc>
        <w:tc>
          <w:tcPr>
            <w:tcW w:w="1345" w:type="dxa"/>
          </w:tcPr>
          <w:p w14:paraId="713C724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162.3</w:t>
            </w:r>
          </w:p>
        </w:tc>
      </w:tr>
      <w:tr w:rsidR="005106D0" w:rsidRPr="007224C3" w14:paraId="18B88A9F" w14:textId="77777777">
        <w:tc>
          <w:tcPr>
            <w:tcW w:w="1384" w:type="dxa"/>
          </w:tcPr>
          <w:p w14:paraId="72A4C0C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w:t>
            </w:r>
          </w:p>
        </w:tc>
        <w:tc>
          <w:tcPr>
            <w:tcW w:w="1708" w:type="dxa"/>
          </w:tcPr>
          <w:p w14:paraId="35854A2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Ил-2 АМ-38Ф</w:t>
            </w:r>
          </w:p>
        </w:tc>
        <w:tc>
          <w:tcPr>
            <w:tcW w:w="1010" w:type="dxa"/>
          </w:tcPr>
          <w:p w14:paraId="557A46F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4541</w:t>
            </w:r>
          </w:p>
        </w:tc>
        <w:tc>
          <w:tcPr>
            <w:tcW w:w="1010" w:type="dxa"/>
          </w:tcPr>
          <w:p w14:paraId="4F01E75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4702</w:t>
            </w:r>
          </w:p>
        </w:tc>
        <w:tc>
          <w:tcPr>
            <w:tcW w:w="1010" w:type="dxa"/>
          </w:tcPr>
          <w:p w14:paraId="171504D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103.5</w:t>
            </w:r>
          </w:p>
        </w:tc>
        <w:tc>
          <w:tcPr>
            <w:tcW w:w="1010" w:type="dxa"/>
          </w:tcPr>
          <w:p w14:paraId="1C679F3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119.3</w:t>
            </w:r>
          </w:p>
        </w:tc>
        <w:tc>
          <w:tcPr>
            <w:tcW w:w="1214" w:type="dxa"/>
          </w:tcPr>
          <w:p w14:paraId="4E531B0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4764</w:t>
            </w:r>
          </w:p>
        </w:tc>
        <w:tc>
          <w:tcPr>
            <w:tcW w:w="908" w:type="dxa"/>
          </w:tcPr>
          <w:p w14:paraId="653FC70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104.9</w:t>
            </w:r>
          </w:p>
        </w:tc>
        <w:tc>
          <w:tcPr>
            <w:tcW w:w="1345" w:type="dxa"/>
          </w:tcPr>
          <w:p w14:paraId="5AC37DA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124.2</w:t>
            </w:r>
          </w:p>
        </w:tc>
      </w:tr>
      <w:tr w:rsidR="005106D0" w:rsidRPr="007224C3" w14:paraId="16E2BD3C" w14:textId="77777777">
        <w:tc>
          <w:tcPr>
            <w:tcW w:w="1384" w:type="dxa"/>
          </w:tcPr>
          <w:p w14:paraId="7AAAC18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w:t>
            </w:r>
          </w:p>
        </w:tc>
        <w:tc>
          <w:tcPr>
            <w:tcW w:w="1708" w:type="dxa"/>
          </w:tcPr>
          <w:p w14:paraId="03CEB0E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Ил-2 АМ-38Ф</w:t>
            </w:r>
          </w:p>
        </w:tc>
        <w:tc>
          <w:tcPr>
            <w:tcW w:w="1010" w:type="dxa"/>
          </w:tcPr>
          <w:p w14:paraId="2B667B7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2271</w:t>
            </w:r>
          </w:p>
        </w:tc>
        <w:tc>
          <w:tcPr>
            <w:tcW w:w="1010" w:type="dxa"/>
          </w:tcPr>
          <w:p w14:paraId="159C733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2234</w:t>
            </w:r>
          </w:p>
        </w:tc>
        <w:tc>
          <w:tcPr>
            <w:tcW w:w="1010" w:type="dxa"/>
          </w:tcPr>
          <w:p w14:paraId="2DFD6BD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98.4</w:t>
            </w:r>
          </w:p>
        </w:tc>
        <w:tc>
          <w:tcPr>
            <w:tcW w:w="1010" w:type="dxa"/>
          </w:tcPr>
          <w:p w14:paraId="6E1EBC9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212.2</w:t>
            </w:r>
          </w:p>
        </w:tc>
        <w:tc>
          <w:tcPr>
            <w:tcW w:w="1214" w:type="dxa"/>
          </w:tcPr>
          <w:p w14:paraId="2C34FFF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2426</w:t>
            </w:r>
          </w:p>
        </w:tc>
        <w:tc>
          <w:tcPr>
            <w:tcW w:w="908" w:type="dxa"/>
          </w:tcPr>
          <w:p w14:paraId="084D436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106.8</w:t>
            </w:r>
          </w:p>
        </w:tc>
        <w:tc>
          <w:tcPr>
            <w:tcW w:w="1345" w:type="dxa"/>
          </w:tcPr>
          <w:p w14:paraId="171EE27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299.1</w:t>
            </w:r>
          </w:p>
        </w:tc>
      </w:tr>
      <w:tr w:rsidR="005106D0" w:rsidRPr="007224C3" w14:paraId="5F5BA573" w14:textId="77777777">
        <w:tc>
          <w:tcPr>
            <w:tcW w:w="1384" w:type="dxa"/>
          </w:tcPr>
          <w:p w14:paraId="13825DA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tc>
        <w:tc>
          <w:tcPr>
            <w:tcW w:w="1708" w:type="dxa"/>
          </w:tcPr>
          <w:p w14:paraId="0B4F5B4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Бомбардировщики</w:t>
            </w:r>
          </w:p>
        </w:tc>
        <w:tc>
          <w:tcPr>
            <w:tcW w:w="1010" w:type="dxa"/>
          </w:tcPr>
          <w:p w14:paraId="7E6DB8E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0" w:type="dxa"/>
          </w:tcPr>
          <w:p w14:paraId="525BC81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0" w:type="dxa"/>
          </w:tcPr>
          <w:p w14:paraId="2618078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0" w:type="dxa"/>
          </w:tcPr>
          <w:p w14:paraId="02E5927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4" w:type="dxa"/>
          </w:tcPr>
          <w:p w14:paraId="3C30E9E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8" w:type="dxa"/>
          </w:tcPr>
          <w:p w14:paraId="3B8AE4E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45" w:type="dxa"/>
          </w:tcPr>
          <w:p w14:paraId="5A7BEDB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F05A738" w14:textId="77777777">
        <w:tc>
          <w:tcPr>
            <w:tcW w:w="1384" w:type="dxa"/>
          </w:tcPr>
          <w:p w14:paraId="59E7256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w:t>
            </w:r>
          </w:p>
        </w:tc>
        <w:tc>
          <w:tcPr>
            <w:tcW w:w="1708" w:type="dxa"/>
          </w:tcPr>
          <w:p w14:paraId="139317E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Пе-2 2М-105ПФ</w:t>
            </w:r>
          </w:p>
        </w:tc>
        <w:tc>
          <w:tcPr>
            <w:tcW w:w="1010" w:type="dxa"/>
          </w:tcPr>
          <w:p w14:paraId="0D0965F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2371</w:t>
            </w:r>
          </w:p>
        </w:tc>
        <w:tc>
          <w:tcPr>
            <w:tcW w:w="1010" w:type="dxa"/>
          </w:tcPr>
          <w:p w14:paraId="3C9A900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2423</w:t>
            </w:r>
          </w:p>
        </w:tc>
        <w:tc>
          <w:tcPr>
            <w:tcW w:w="1010" w:type="dxa"/>
          </w:tcPr>
          <w:p w14:paraId="10940C5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102.2</w:t>
            </w:r>
          </w:p>
        </w:tc>
        <w:tc>
          <w:tcPr>
            <w:tcW w:w="1010" w:type="dxa"/>
          </w:tcPr>
          <w:p w14:paraId="1AAA87D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125.1</w:t>
            </w:r>
          </w:p>
        </w:tc>
        <w:tc>
          <w:tcPr>
            <w:tcW w:w="1214" w:type="dxa"/>
          </w:tcPr>
          <w:p w14:paraId="1B298D2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2450</w:t>
            </w:r>
          </w:p>
        </w:tc>
        <w:tc>
          <w:tcPr>
            <w:tcW w:w="908" w:type="dxa"/>
          </w:tcPr>
          <w:p w14:paraId="241919C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103.3</w:t>
            </w:r>
          </w:p>
        </w:tc>
        <w:tc>
          <w:tcPr>
            <w:tcW w:w="1345" w:type="dxa"/>
          </w:tcPr>
          <w:p w14:paraId="71FE2CB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131</w:t>
            </w:r>
          </w:p>
        </w:tc>
      </w:tr>
      <w:tr w:rsidR="005106D0" w:rsidRPr="007224C3" w14:paraId="50826E3B" w14:textId="77777777">
        <w:tc>
          <w:tcPr>
            <w:tcW w:w="1384" w:type="dxa"/>
          </w:tcPr>
          <w:p w14:paraId="56ECE13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08" w:type="dxa"/>
          </w:tcPr>
          <w:p w14:paraId="5889CF7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 М-82</w:t>
            </w:r>
          </w:p>
        </w:tc>
        <w:tc>
          <w:tcPr>
            <w:tcW w:w="1010" w:type="dxa"/>
          </w:tcPr>
          <w:p w14:paraId="39E87D5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0" w:type="dxa"/>
          </w:tcPr>
          <w:p w14:paraId="271E4C0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0" w:type="dxa"/>
          </w:tcPr>
          <w:p w14:paraId="505769F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0" w:type="dxa"/>
          </w:tcPr>
          <w:p w14:paraId="4488A56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4" w:type="dxa"/>
          </w:tcPr>
          <w:p w14:paraId="493F6D7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8" w:type="dxa"/>
          </w:tcPr>
          <w:p w14:paraId="2157356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45" w:type="dxa"/>
          </w:tcPr>
          <w:p w14:paraId="29A8EC6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8BFD2EB" w14:textId="77777777">
        <w:tc>
          <w:tcPr>
            <w:tcW w:w="1384" w:type="dxa"/>
          </w:tcPr>
          <w:p w14:paraId="36CBB17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08" w:type="dxa"/>
          </w:tcPr>
          <w:p w14:paraId="3F63E88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Пе-8 4М-82</w:t>
            </w:r>
          </w:p>
        </w:tc>
        <w:tc>
          <w:tcPr>
            <w:tcW w:w="1010" w:type="dxa"/>
          </w:tcPr>
          <w:p w14:paraId="76DBD1F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32</w:t>
            </w:r>
          </w:p>
        </w:tc>
        <w:tc>
          <w:tcPr>
            <w:tcW w:w="1010" w:type="dxa"/>
          </w:tcPr>
          <w:p w14:paraId="6A12CB8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w:t>
            </w:r>
          </w:p>
        </w:tc>
        <w:tc>
          <w:tcPr>
            <w:tcW w:w="1010" w:type="dxa"/>
          </w:tcPr>
          <w:p w14:paraId="6E17730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90.6</w:t>
            </w:r>
          </w:p>
        </w:tc>
        <w:tc>
          <w:tcPr>
            <w:tcW w:w="1010" w:type="dxa"/>
          </w:tcPr>
          <w:p w14:paraId="14A4C41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131.8</w:t>
            </w:r>
          </w:p>
        </w:tc>
        <w:tc>
          <w:tcPr>
            <w:tcW w:w="1214" w:type="dxa"/>
          </w:tcPr>
          <w:p w14:paraId="1003533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w:t>
            </w:r>
          </w:p>
        </w:tc>
        <w:tc>
          <w:tcPr>
            <w:tcW w:w="908" w:type="dxa"/>
          </w:tcPr>
          <w:p w14:paraId="6A9D1D6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97</w:t>
            </w:r>
          </w:p>
        </w:tc>
        <w:tc>
          <w:tcPr>
            <w:tcW w:w="1345" w:type="dxa"/>
          </w:tcPr>
          <w:p w14:paraId="287EEFB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182.1</w:t>
            </w:r>
          </w:p>
        </w:tc>
      </w:tr>
      <w:tr w:rsidR="005106D0" w:rsidRPr="007224C3" w14:paraId="747EDF40" w14:textId="77777777">
        <w:tc>
          <w:tcPr>
            <w:tcW w:w="1384" w:type="dxa"/>
          </w:tcPr>
          <w:p w14:paraId="620B501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Итого</w:t>
            </w:r>
          </w:p>
        </w:tc>
        <w:tc>
          <w:tcPr>
            <w:tcW w:w="1708" w:type="dxa"/>
          </w:tcPr>
          <w:p w14:paraId="670D8B6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0" w:type="dxa"/>
          </w:tcPr>
          <w:p w14:paraId="0DAAD07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2403</w:t>
            </w:r>
          </w:p>
        </w:tc>
        <w:tc>
          <w:tcPr>
            <w:tcW w:w="1010" w:type="dxa"/>
          </w:tcPr>
          <w:p w14:paraId="6D0BD5A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2452</w:t>
            </w:r>
          </w:p>
        </w:tc>
        <w:tc>
          <w:tcPr>
            <w:tcW w:w="1010" w:type="dxa"/>
          </w:tcPr>
          <w:p w14:paraId="7A0FFD2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102</w:t>
            </w:r>
          </w:p>
        </w:tc>
        <w:tc>
          <w:tcPr>
            <w:tcW w:w="1010" w:type="dxa"/>
          </w:tcPr>
          <w:p w14:paraId="52705FE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12572</w:t>
            </w:r>
          </w:p>
        </w:tc>
        <w:tc>
          <w:tcPr>
            <w:tcW w:w="1214" w:type="dxa"/>
          </w:tcPr>
          <w:p w14:paraId="3C1C999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2481</w:t>
            </w:r>
          </w:p>
        </w:tc>
        <w:tc>
          <w:tcPr>
            <w:tcW w:w="908" w:type="dxa"/>
          </w:tcPr>
          <w:p w14:paraId="303DA3F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103.2</w:t>
            </w:r>
          </w:p>
        </w:tc>
        <w:tc>
          <w:tcPr>
            <w:tcW w:w="1345" w:type="dxa"/>
          </w:tcPr>
          <w:p w14:paraId="47C8916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131.5</w:t>
            </w:r>
          </w:p>
        </w:tc>
      </w:tr>
      <w:tr w:rsidR="005106D0" w:rsidRPr="007224C3" w14:paraId="23701AD2" w14:textId="77777777">
        <w:tc>
          <w:tcPr>
            <w:tcW w:w="1384" w:type="dxa"/>
          </w:tcPr>
          <w:p w14:paraId="42479B5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w:t>
            </w:r>
          </w:p>
        </w:tc>
        <w:tc>
          <w:tcPr>
            <w:tcW w:w="1708" w:type="dxa"/>
          </w:tcPr>
          <w:p w14:paraId="501FA45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Ил-4 2М-88Б</w:t>
            </w:r>
          </w:p>
        </w:tc>
        <w:tc>
          <w:tcPr>
            <w:tcW w:w="1010" w:type="dxa"/>
          </w:tcPr>
          <w:p w14:paraId="68F04C8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240</w:t>
            </w:r>
          </w:p>
        </w:tc>
        <w:tc>
          <w:tcPr>
            <w:tcW w:w="1010" w:type="dxa"/>
          </w:tcPr>
          <w:p w14:paraId="65B40C3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257</w:t>
            </w:r>
          </w:p>
        </w:tc>
        <w:tc>
          <w:tcPr>
            <w:tcW w:w="1010" w:type="dxa"/>
          </w:tcPr>
          <w:p w14:paraId="47447C0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107</w:t>
            </w:r>
          </w:p>
        </w:tc>
        <w:tc>
          <w:tcPr>
            <w:tcW w:w="1010" w:type="dxa"/>
          </w:tcPr>
          <w:p w14:paraId="29571CA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233.6</w:t>
            </w:r>
          </w:p>
        </w:tc>
        <w:tc>
          <w:tcPr>
            <w:tcW w:w="1214" w:type="dxa"/>
          </w:tcPr>
          <w:p w14:paraId="0DF2A25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264</w:t>
            </w:r>
          </w:p>
        </w:tc>
        <w:tc>
          <w:tcPr>
            <w:tcW w:w="908" w:type="dxa"/>
          </w:tcPr>
          <w:p w14:paraId="304A802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110</w:t>
            </w:r>
          </w:p>
        </w:tc>
        <w:tc>
          <w:tcPr>
            <w:tcW w:w="1345" w:type="dxa"/>
          </w:tcPr>
          <w:p w14:paraId="352339E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261.4</w:t>
            </w:r>
          </w:p>
        </w:tc>
      </w:tr>
      <w:tr w:rsidR="005106D0" w:rsidRPr="007224C3" w14:paraId="3F6BADF4" w14:textId="77777777">
        <w:tc>
          <w:tcPr>
            <w:tcW w:w="1384" w:type="dxa"/>
          </w:tcPr>
          <w:p w14:paraId="1EC1B8F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08" w:type="dxa"/>
          </w:tcPr>
          <w:p w14:paraId="08E1AAE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Ту-2 2М-82ФН</w:t>
            </w:r>
          </w:p>
        </w:tc>
        <w:tc>
          <w:tcPr>
            <w:tcW w:w="1010" w:type="dxa"/>
          </w:tcPr>
          <w:p w14:paraId="5467461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32</w:t>
            </w:r>
          </w:p>
        </w:tc>
        <w:tc>
          <w:tcPr>
            <w:tcW w:w="1010" w:type="dxa"/>
          </w:tcPr>
          <w:p w14:paraId="18F82A0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w:t>
            </w:r>
          </w:p>
        </w:tc>
        <w:tc>
          <w:tcPr>
            <w:tcW w:w="1010" w:type="dxa"/>
          </w:tcPr>
          <w:p w14:paraId="03715AA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w:t>
            </w:r>
          </w:p>
        </w:tc>
        <w:tc>
          <w:tcPr>
            <w:tcW w:w="1010" w:type="dxa"/>
          </w:tcPr>
          <w:p w14:paraId="2EAFD27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214" w:type="dxa"/>
          </w:tcPr>
          <w:p w14:paraId="2A2B287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tc>
        <w:tc>
          <w:tcPr>
            <w:tcW w:w="908" w:type="dxa"/>
          </w:tcPr>
          <w:p w14:paraId="54BBCD9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9.4</w:t>
            </w:r>
          </w:p>
        </w:tc>
        <w:tc>
          <w:tcPr>
            <w:tcW w:w="1345" w:type="dxa"/>
          </w:tcPr>
          <w:p w14:paraId="43CA354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4A800F1A" w14:textId="77777777">
        <w:tc>
          <w:tcPr>
            <w:tcW w:w="1384" w:type="dxa"/>
          </w:tcPr>
          <w:p w14:paraId="20FD417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Итого</w:t>
            </w:r>
          </w:p>
        </w:tc>
        <w:tc>
          <w:tcPr>
            <w:tcW w:w="1708" w:type="dxa"/>
          </w:tcPr>
          <w:p w14:paraId="2EC4FAD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0" w:type="dxa"/>
          </w:tcPr>
          <w:p w14:paraId="55D82C6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272</w:t>
            </w:r>
          </w:p>
        </w:tc>
        <w:tc>
          <w:tcPr>
            <w:tcW w:w="1010" w:type="dxa"/>
          </w:tcPr>
          <w:p w14:paraId="612C2F8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273</w:t>
            </w:r>
          </w:p>
        </w:tc>
        <w:tc>
          <w:tcPr>
            <w:tcW w:w="1010" w:type="dxa"/>
          </w:tcPr>
          <w:p w14:paraId="77282C2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100.4</w:t>
            </w:r>
          </w:p>
        </w:tc>
        <w:tc>
          <w:tcPr>
            <w:tcW w:w="1010" w:type="dxa"/>
          </w:tcPr>
          <w:p w14:paraId="5B32B36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248.2</w:t>
            </w:r>
          </w:p>
        </w:tc>
        <w:tc>
          <w:tcPr>
            <w:tcW w:w="1214" w:type="dxa"/>
          </w:tcPr>
          <w:p w14:paraId="43194B2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267</w:t>
            </w:r>
          </w:p>
        </w:tc>
        <w:tc>
          <w:tcPr>
            <w:tcW w:w="908" w:type="dxa"/>
          </w:tcPr>
          <w:p w14:paraId="3C654E7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98.2</w:t>
            </w:r>
          </w:p>
        </w:tc>
        <w:tc>
          <w:tcPr>
            <w:tcW w:w="1345" w:type="dxa"/>
          </w:tcPr>
          <w:p w14:paraId="157F2A2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242.7</w:t>
            </w:r>
          </w:p>
        </w:tc>
      </w:tr>
      <w:tr w:rsidR="005106D0" w:rsidRPr="007224C3" w14:paraId="5B32F343" w14:textId="77777777">
        <w:tc>
          <w:tcPr>
            <w:tcW w:w="1384" w:type="dxa"/>
          </w:tcPr>
          <w:p w14:paraId="2DD02D7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39</w:t>
            </w:r>
          </w:p>
        </w:tc>
        <w:tc>
          <w:tcPr>
            <w:tcW w:w="1708" w:type="dxa"/>
          </w:tcPr>
          <w:p w14:paraId="266DF47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Ил-4 2М-88Б</w:t>
            </w:r>
          </w:p>
        </w:tc>
        <w:tc>
          <w:tcPr>
            <w:tcW w:w="1010" w:type="dxa"/>
          </w:tcPr>
          <w:p w14:paraId="6348743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667</w:t>
            </w:r>
          </w:p>
        </w:tc>
        <w:tc>
          <w:tcPr>
            <w:tcW w:w="1010" w:type="dxa"/>
          </w:tcPr>
          <w:p w14:paraId="6D9E320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698</w:t>
            </w:r>
          </w:p>
        </w:tc>
        <w:tc>
          <w:tcPr>
            <w:tcW w:w="1010" w:type="dxa"/>
          </w:tcPr>
          <w:p w14:paraId="68F2E3A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104.6</w:t>
            </w:r>
          </w:p>
        </w:tc>
        <w:tc>
          <w:tcPr>
            <w:tcW w:w="1010" w:type="dxa"/>
          </w:tcPr>
          <w:p w14:paraId="491564A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214" w:type="dxa"/>
          </w:tcPr>
          <w:p w14:paraId="54C3175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697</w:t>
            </w:r>
          </w:p>
        </w:tc>
        <w:tc>
          <w:tcPr>
            <w:tcW w:w="908" w:type="dxa"/>
          </w:tcPr>
          <w:p w14:paraId="5B64033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104.5</w:t>
            </w:r>
          </w:p>
        </w:tc>
        <w:tc>
          <w:tcPr>
            <w:tcW w:w="1345" w:type="dxa"/>
          </w:tcPr>
          <w:p w14:paraId="26DBD97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415CD189" w14:textId="77777777">
        <w:tc>
          <w:tcPr>
            <w:tcW w:w="1384" w:type="dxa"/>
          </w:tcPr>
          <w:p w14:paraId="4CAB384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08" w:type="dxa"/>
          </w:tcPr>
          <w:p w14:paraId="5F9B5EC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Пе-2 2М-105Р</w:t>
            </w:r>
          </w:p>
        </w:tc>
        <w:tc>
          <w:tcPr>
            <w:tcW w:w="1010" w:type="dxa"/>
          </w:tcPr>
          <w:p w14:paraId="668ECCD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010" w:type="dxa"/>
          </w:tcPr>
          <w:p w14:paraId="0F55D6F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w:t>
            </w:r>
          </w:p>
        </w:tc>
        <w:tc>
          <w:tcPr>
            <w:tcW w:w="1010" w:type="dxa"/>
          </w:tcPr>
          <w:p w14:paraId="6B254AD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010" w:type="dxa"/>
          </w:tcPr>
          <w:p w14:paraId="10B4733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214" w:type="dxa"/>
          </w:tcPr>
          <w:p w14:paraId="75B4FAD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32</w:t>
            </w:r>
          </w:p>
        </w:tc>
        <w:tc>
          <w:tcPr>
            <w:tcW w:w="908" w:type="dxa"/>
          </w:tcPr>
          <w:p w14:paraId="3B07FF9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345" w:type="dxa"/>
          </w:tcPr>
          <w:p w14:paraId="3CE53CD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75C16F10" w14:textId="77777777">
        <w:tc>
          <w:tcPr>
            <w:tcW w:w="1384" w:type="dxa"/>
          </w:tcPr>
          <w:p w14:paraId="20DF5A2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08" w:type="dxa"/>
          </w:tcPr>
          <w:p w14:paraId="3392346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 Пе-3бис</w:t>
            </w:r>
          </w:p>
        </w:tc>
        <w:tc>
          <w:tcPr>
            <w:tcW w:w="1010" w:type="dxa"/>
          </w:tcPr>
          <w:p w14:paraId="0AF2248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0" w:type="dxa"/>
          </w:tcPr>
          <w:p w14:paraId="066FE3E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0" w:type="dxa"/>
          </w:tcPr>
          <w:p w14:paraId="0D85CEE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0" w:type="dxa"/>
          </w:tcPr>
          <w:p w14:paraId="615E8B0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4" w:type="dxa"/>
          </w:tcPr>
          <w:p w14:paraId="03080D4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8" w:type="dxa"/>
          </w:tcPr>
          <w:p w14:paraId="66F1CA5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45" w:type="dxa"/>
          </w:tcPr>
          <w:p w14:paraId="64ED116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2322D1E" w14:textId="77777777">
        <w:tc>
          <w:tcPr>
            <w:tcW w:w="1384" w:type="dxa"/>
          </w:tcPr>
          <w:p w14:paraId="18CEA01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08" w:type="dxa"/>
          </w:tcPr>
          <w:p w14:paraId="49DF6B5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Ер-2 2М-30Б</w:t>
            </w:r>
          </w:p>
        </w:tc>
        <w:tc>
          <w:tcPr>
            <w:tcW w:w="1010" w:type="dxa"/>
          </w:tcPr>
          <w:p w14:paraId="1B25C72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tc>
        <w:tc>
          <w:tcPr>
            <w:tcW w:w="1010" w:type="dxa"/>
          </w:tcPr>
          <w:p w14:paraId="135678F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tc>
        <w:tc>
          <w:tcPr>
            <w:tcW w:w="1010" w:type="dxa"/>
          </w:tcPr>
          <w:p w14:paraId="776A717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w:t>
            </w:r>
          </w:p>
        </w:tc>
        <w:tc>
          <w:tcPr>
            <w:tcW w:w="1010" w:type="dxa"/>
          </w:tcPr>
          <w:p w14:paraId="4990D49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214" w:type="dxa"/>
          </w:tcPr>
          <w:p w14:paraId="5438EC1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908" w:type="dxa"/>
          </w:tcPr>
          <w:p w14:paraId="26C6078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345" w:type="dxa"/>
          </w:tcPr>
          <w:p w14:paraId="161B590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7F0000C4" w14:textId="77777777">
        <w:tc>
          <w:tcPr>
            <w:tcW w:w="1384" w:type="dxa"/>
          </w:tcPr>
          <w:p w14:paraId="49F9A2C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Итого</w:t>
            </w:r>
          </w:p>
        </w:tc>
        <w:tc>
          <w:tcPr>
            <w:tcW w:w="1708" w:type="dxa"/>
          </w:tcPr>
          <w:p w14:paraId="08E58B3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0" w:type="dxa"/>
          </w:tcPr>
          <w:p w14:paraId="6919E92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669</w:t>
            </w:r>
          </w:p>
        </w:tc>
        <w:tc>
          <w:tcPr>
            <w:tcW w:w="1010" w:type="dxa"/>
          </w:tcPr>
          <w:p w14:paraId="2211B3B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718</w:t>
            </w:r>
          </w:p>
        </w:tc>
        <w:tc>
          <w:tcPr>
            <w:tcW w:w="1010" w:type="dxa"/>
          </w:tcPr>
          <w:p w14:paraId="1C29333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107.3</w:t>
            </w:r>
          </w:p>
        </w:tc>
        <w:tc>
          <w:tcPr>
            <w:tcW w:w="1010" w:type="dxa"/>
          </w:tcPr>
          <w:p w14:paraId="739E07B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112.2</w:t>
            </w:r>
          </w:p>
        </w:tc>
        <w:tc>
          <w:tcPr>
            <w:tcW w:w="1214" w:type="dxa"/>
          </w:tcPr>
          <w:p w14:paraId="1099D4D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729</w:t>
            </w:r>
          </w:p>
        </w:tc>
        <w:tc>
          <w:tcPr>
            <w:tcW w:w="908" w:type="dxa"/>
          </w:tcPr>
          <w:p w14:paraId="7885FC5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109.2</w:t>
            </w:r>
          </w:p>
        </w:tc>
        <w:tc>
          <w:tcPr>
            <w:tcW w:w="1345" w:type="dxa"/>
          </w:tcPr>
          <w:p w14:paraId="472F5C9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118.2</w:t>
            </w:r>
          </w:p>
        </w:tc>
      </w:tr>
      <w:tr w:rsidR="005106D0" w:rsidRPr="007224C3" w14:paraId="03F429E4" w14:textId="77777777">
        <w:tc>
          <w:tcPr>
            <w:tcW w:w="1384" w:type="dxa"/>
          </w:tcPr>
          <w:p w14:paraId="3E2A5F5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126</w:t>
            </w:r>
          </w:p>
        </w:tc>
        <w:tc>
          <w:tcPr>
            <w:tcW w:w="1708" w:type="dxa"/>
          </w:tcPr>
          <w:p w14:paraId="7A980AB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Ил-4 2М-88Б</w:t>
            </w:r>
          </w:p>
        </w:tc>
        <w:tc>
          <w:tcPr>
            <w:tcW w:w="1010" w:type="dxa"/>
          </w:tcPr>
          <w:p w14:paraId="35E0936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604</w:t>
            </w:r>
          </w:p>
        </w:tc>
        <w:tc>
          <w:tcPr>
            <w:tcW w:w="1010" w:type="dxa"/>
          </w:tcPr>
          <w:p w14:paraId="0382DC5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613</w:t>
            </w:r>
          </w:p>
        </w:tc>
        <w:tc>
          <w:tcPr>
            <w:tcW w:w="1010" w:type="dxa"/>
          </w:tcPr>
          <w:p w14:paraId="4E4C936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101.5</w:t>
            </w:r>
          </w:p>
        </w:tc>
        <w:tc>
          <w:tcPr>
            <w:tcW w:w="1010" w:type="dxa"/>
          </w:tcPr>
          <w:p w14:paraId="6ABEE7E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88.2</w:t>
            </w:r>
          </w:p>
        </w:tc>
        <w:tc>
          <w:tcPr>
            <w:tcW w:w="1214" w:type="dxa"/>
          </w:tcPr>
          <w:p w14:paraId="38D33F7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658</w:t>
            </w:r>
          </w:p>
        </w:tc>
        <w:tc>
          <w:tcPr>
            <w:tcW w:w="908" w:type="dxa"/>
          </w:tcPr>
          <w:p w14:paraId="1B369B1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108.9</w:t>
            </w:r>
          </w:p>
        </w:tc>
        <w:tc>
          <w:tcPr>
            <w:tcW w:w="1345" w:type="dxa"/>
          </w:tcPr>
          <w:p w14:paraId="18E77EB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102.8</w:t>
            </w:r>
          </w:p>
        </w:tc>
      </w:tr>
      <w:tr w:rsidR="005106D0" w:rsidRPr="007224C3" w14:paraId="7C120A93" w14:textId="77777777">
        <w:tc>
          <w:tcPr>
            <w:tcW w:w="1384" w:type="dxa"/>
          </w:tcPr>
          <w:p w14:paraId="48F7BE4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3. Транспортные </w:t>
            </w:r>
            <w:r w:rsidRPr="007224C3">
              <w:rPr>
                <w:rFonts w:ascii="Times New Roman" w:hAnsi="Times New Roman"/>
                <w:color w:val="000000" w:themeColor="text1"/>
                <w:sz w:val="16"/>
                <w:szCs w:val="16"/>
              </w:rPr>
              <w:lastRenderedPageBreak/>
              <w:t>и прочие</w:t>
            </w:r>
          </w:p>
        </w:tc>
        <w:tc>
          <w:tcPr>
            <w:tcW w:w="1708" w:type="dxa"/>
          </w:tcPr>
          <w:p w14:paraId="634BC1A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0" w:type="dxa"/>
          </w:tcPr>
          <w:p w14:paraId="6C51C47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0" w:type="dxa"/>
          </w:tcPr>
          <w:p w14:paraId="17E9FE8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0" w:type="dxa"/>
          </w:tcPr>
          <w:p w14:paraId="06D6C5B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0" w:type="dxa"/>
          </w:tcPr>
          <w:p w14:paraId="786C695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4" w:type="dxa"/>
          </w:tcPr>
          <w:p w14:paraId="72129A6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8" w:type="dxa"/>
          </w:tcPr>
          <w:p w14:paraId="4EBA533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45" w:type="dxa"/>
          </w:tcPr>
          <w:p w14:paraId="5D17FB5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D8C75BF" w14:textId="77777777">
        <w:tc>
          <w:tcPr>
            <w:tcW w:w="1384" w:type="dxa"/>
          </w:tcPr>
          <w:p w14:paraId="5B2C9EA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84</w:t>
            </w:r>
          </w:p>
        </w:tc>
        <w:tc>
          <w:tcPr>
            <w:tcW w:w="1708" w:type="dxa"/>
          </w:tcPr>
          <w:p w14:paraId="59CFC3F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Ли-2 2М-62ИР</w:t>
            </w:r>
          </w:p>
        </w:tc>
        <w:tc>
          <w:tcPr>
            <w:tcW w:w="1010" w:type="dxa"/>
          </w:tcPr>
          <w:p w14:paraId="129CA26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584</w:t>
            </w:r>
          </w:p>
        </w:tc>
        <w:tc>
          <w:tcPr>
            <w:tcW w:w="1010" w:type="dxa"/>
          </w:tcPr>
          <w:p w14:paraId="1E0F4FE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618</w:t>
            </w:r>
          </w:p>
        </w:tc>
        <w:tc>
          <w:tcPr>
            <w:tcW w:w="1010" w:type="dxa"/>
          </w:tcPr>
          <w:p w14:paraId="4C799F9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105.8</w:t>
            </w:r>
          </w:p>
        </w:tc>
        <w:tc>
          <w:tcPr>
            <w:tcW w:w="1010" w:type="dxa"/>
          </w:tcPr>
          <w:p w14:paraId="70EB7C8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146.1</w:t>
            </w:r>
          </w:p>
        </w:tc>
        <w:tc>
          <w:tcPr>
            <w:tcW w:w="1214" w:type="dxa"/>
          </w:tcPr>
          <w:p w14:paraId="151534B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641</w:t>
            </w:r>
          </w:p>
        </w:tc>
        <w:tc>
          <w:tcPr>
            <w:tcW w:w="908" w:type="dxa"/>
          </w:tcPr>
          <w:p w14:paraId="69950D8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109.8</w:t>
            </w:r>
          </w:p>
        </w:tc>
        <w:tc>
          <w:tcPr>
            <w:tcW w:w="1345" w:type="dxa"/>
          </w:tcPr>
          <w:p w14:paraId="1633D55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166.1</w:t>
            </w:r>
          </w:p>
        </w:tc>
      </w:tr>
      <w:tr w:rsidR="005106D0" w:rsidRPr="007224C3" w14:paraId="2997B3F2" w14:textId="77777777">
        <w:tc>
          <w:tcPr>
            <w:tcW w:w="1384" w:type="dxa"/>
          </w:tcPr>
          <w:p w14:paraId="708E05F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477</w:t>
            </w:r>
          </w:p>
        </w:tc>
        <w:tc>
          <w:tcPr>
            <w:tcW w:w="1708" w:type="dxa"/>
          </w:tcPr>
          <w:p w14:paraId="1388A07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Бе-4 М-62</w:t>
            </w:r>
          </w:p>
        </w:tc>
        <w:tc>
          <w:tcPr>
            <w:tcW w:w="1010" w:type="dxa"/>
          </w:tcPr>
          <w:p w14:paraId="7B7FC75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010" w:type="dxa"/>
          </w:tcPr>
          <w:p w14:paraId="700E7E6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w:t>
            </w:r>
          </w:p>
        </w:tc>
        <w:tc>
          <w:tcPr>
            <w:tcW w:w="1010" w:type="dxa"/>
          </w:tcPr>
          <w:p w14:paraId="77156D0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010" w:type="dxa"/>
          </w:tcPr>
          <w:p w14:paraId="0C044D0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214" w:type="dxa"/>
          </w:tcPr>
          <w:p w14:paraId="1C0BFB4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tc>
        <w:tc>
          <w:tcPr>
            <w:tcW w:w="908" w:type="dxa"/>
          </w:tcPr>
          <w:p w14:paraId="12B2D42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345" w:type="dxa"/>
          </w:tcPr>
          <w:p w14:paraId="71822A2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62E79557" w14:textId="77777777">
        <w:tc>
          <w:tcPr>
            <w:tcW w:w="1384" w:type="dxa"/>
          </w:tcPr>
          <w:p w14:paraId="3BDF10F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Бронедетали</w:t>
            </w:r>
          </w:p>
        </w:tc>
        <w:tc>
          <w:tcPr>
            <w:tcW w:w="1708" w:type="dxa"/>
          </w:tcPr>
          <w:p w14:paraId="779AF3E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0" w:type="dxa"/>
          </w:tcPr>
          <w:p w14:paraId="0E8CB24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0" w:type="dxa"/>
          </w:tcPr>
          <w:p w14:paraId="46A005E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0" w:type="dxa"/>
          </w:tcPr>
          <w:p w14:paraId="040FBDB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0" w:type="dxa"/>
          </w:tcPr>
          <w:p w14:paraId="6AEE224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4" w:type="dxa"/>
          </w:tcPr>
          <w:p w14:paraId="4CA5968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8" w:type="dxa"/>
          </w:tcPr>
          <w:p w14:paraId="078C441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45" w:type="dxa"/>
          </w:tcPr>
          <w:p w14:paraId="2B1BC1D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6EF8381" w14:textId="77777777">
        <w:tc>
          <w:tcPr>
            <w:tcW w:w="1384" w:type="dxa"/>
          </w:tcPr>
          <w:p w14:paraId="695914B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125</w:t>
            </w:r>
          </w:p>
        </w:tc>
        <w:tc>
          <w:tcPr>
            <w:tcW w:w="1708" w:type="dxa"/>
          </w:tcPr>
          <w:p w14:paraId="197C1F0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Бронекорп. Ил-2</w:t>
            </w:r>
          </w:p>
        </w:tc>
        <w:tc>
          <w:tcPr>
            <w:tcW w:w="1010" w:type="dxa"/>
          </w:tcPr>
          <w:p w14:paraId="49BEF6A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0" w:type="dxa"/>
          </w:tcPr>
          <w:p w14:paraId="3E095DD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3050</w:t>
            </w:r>
          </w:p>
        </w:tc>
        <w:tc>
          <w:tcPr>
            <w:tcW w:w="1010" w:type="dxa"/>
          </w:tcPr>
          <w:p w14:paraId="08615CD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0" w:type="dxa"/>
          </w:tcPr>
          <w:p w14:paraId="1A33813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4" w:type="dxa"/>
          </w:tcPr>
          <w:p w14:paraId="44F1F8E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3195</w:t>
            </w:r>
          </w:p>
        </w:tc>
        <w:tc>
          <w:tcPr>
            <w:tcW w:w="908" w:type="dxa"/>
          </w:tcPr>
          <w:p w14:paraId="11E64D1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45" w:type="dxa"/>
          </w:tcPr>
          <w:p w14:paraId="4B278A4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D2663D9" w14:textId="77777777">
        <w:tc>
          <w:tcPr>
            <w:tcW w:w="1384" w:type="dxa"/>
          </w:tcPr>
          <w:p w14:paraId="6D94C5E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207</w:t>
            </w:r>
          </w:p>
        </w:tc>
        <w:tc>
          <w:tcPr>
            <w:tcW w:w="1708" w:type="dxa"/>
          </w:tcPr>
          <w:p w14:paraId="7F79FBA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Бронекорп. Ил-2</w:t>
            </w:r>
          </w:p>
        </w:tc>
        <w:tc>
          <w:tcPr>
            <w:tcW w:w="1010" w:type="dxa"/>
          </w:tcPr>
          <w:p w14:paraId="05B8E8F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0" w:type="dxa"/>
          </w:tcPr>
          <w:p w14:paraId="21CD88A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6650</w:t>
            </w:r>
          </w:p>
        </w:tc>
        <w:tc>
          <w:tcPr>
            <w:tcW w:w="1010" w:type="dxa"/>
          </w:tcPr>
          <w:p w14:paraId="6500F28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0" w:type="dxa"/>
          </w:tcPr>
          <w:p w14:paraId="7064AF7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4" w:type="dxa"/>
          </w:tcPr>
          <w:p w14:paraId="61ABFED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7058</w:t>
            </w:r>
          </w:p>
        </w:tc>
        <w:tc>
          <w:tcPr>
            <w:tcW w:w="908" w:type="dxa"/>
          </w:tcPr>
          <w:p w14:paraId="1E5D125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45" w:type="dxa"/>
          </w:tcPr>
          <w:p w14:paraId="73966ED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74D17BE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самолету ил-2 в течение 1943 были произведены следующие работы:</w:t>
      </w:r>
    </w:p>
    <w:p w14:paraId="238A774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Освоена в производстве модифицированная машина в варианте корректировщика (заводы 1 и 30) и учебном варианте с двойным управлением 9завод 18).</w:t>
      </w:r>
    </w:p>
    <w:p w14:paraId="120EA11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Осуществлекн переход на ВЯ и 11-П, вместо ШВАК (заводы 1 и 30).</w:t>
      </w:r>
    </w:p>
    <w:p w14:paraId="5647592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Увеличена дальность полета за счет подвески доп. бака (заводы 1, 18, 30).</w:t>
      </w:r>
    </w:p>
    <w:p w14:paraId="0A333C6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Освоена установка контрбалансиров в системе управления РВ (заводы 1, 18, 30).</w:t>
      </w:r>
    </w:p>
    <w:p w14:paraId="6AA1071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Кроме того, на заводах был проведен ряд опытных работ с подготовкой к запуску в серию с 1944:</w:t>
      </w:r>
    </w:p>
    <w:p w14:paraId="3E9A0F1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Отработана и подготовлена к запуску в серию в 1944 Ил-2 с АМ-42 с улучшенной аэродинамикой (завод 18).</w:t>
      </w:r>
    </w:p>
    <w:p w14:paraId="3741CA5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Отработана и подготовлена к запуску в серию в 1944 Ил-2 с металлическим крылом стрельчатой конструкции, взамен деревянного.</w:t>
      </w:r>
    </w:p>
    <w:p w14:paraId="71FCFF9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Отработана на 100 машинах система холодного запуска для войсковых испытаний и проведена подготовка к запуску в серию, в случае положительных результатов испытания (заводы 1, 18 и 30).</w:t>
      </w:r>
    </w:p>
    <w:p w14:paraId="11E536D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Подготовлен переход в 1944 на фибровые баки (завод 18).</w:t>
      </w:r>
    </w:p>
    <w:p w14:paraId="2175B5F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самолету Ил-4</w:t>
      </w:r>
    </w:p>
    <w:p w14:paraId="3BD19E3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Отработаны и внедрены в серийное производство пламягасители ГАМ-9.</w:t>
      </w:r>
    </w:p>
    <w:p w14:paraId="73B0732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Отработаны и внедрены в серийное производство пылефильтры</w:t>
      </w:r>
    </w:p>
    <w:p w14:paraId="533DCB8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Отработана и внедрена в производство машина со стрельчатым крылом и наружной компенсацией РВ</w:t>
      </w:r>
    </w:p>
    <w:p w14:paraId="04B69EC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Отработан и внедрен в производство пружинный компенсатор для уменьшения трения в органах управления.</w:t>
      </w:r>
    </w:p>
    <w:p w14:paraId="6CF6788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Проведен ряд лдругих работ по усилению отдельных агрегатов и повышению качества самолета (усиление крыла, фюзеляжа, УФО, металлизация и др.) (2522).</w:t>
      </w:r>
    </w:p>
    <w:p w14:paraId="467BE33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C9542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началу 1944 г. многие недостатки Ил-4 уже были в значительной мере устранены и, хотя самолет к этому времени устарел, замены ему пока не было. В АДД эти машины по численности значительно превосходили В-25 и Ли-2 (последними, переоборудованными в бомбардировщики, был вооружен целый авиакорпус!) (7666).</w:t>
      </w:r>
    </w:p>
    <w:p w14:paraId="5BAF4B5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E93DC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1944 г. проект "Т" несколько раз корректировался и на первом этапе был одобрен в Наркомате авиапромышленности. Еще до принятия окончательного решения по самолету на авиазаводе в Казани начиная с декабря 1943 г. велась его конструктивная проработка и подготовка оснастки для изготовления. Однако, при дальнейшем обсуждении проекта в высшем руководстве решили, что новая модификация потребует значительной перестройки производства и от реализации самолета "Т" отказались. Это решение совпало с постановлением Государственного Комитета Обороны от 5 марта 1944 г. о прекращении выпуска Пе-8 на заводе №22.</w:t>
      </w:r>
    </w:p>
    <w:p w14:paraId="04F34BC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Еше одной причиной отказа от создания коренной модификации Пе-8, стало решение в середине 1943 г. строить значительно более мощный четырехмоторный бомбардировщик. 7 сентября 1943 г. КБ, возглавляемое А.Н.Туполевым, получило задание на разработку эскизного проекта 4-х моторного высотного бомбардировщика, способного транспортировать внутри бомбоотсека две 5-тонные бомбы. С двигателями М-71 этот самолет должен был развивать на высоте 10 км максимальную скорость 500 км/ч и обладать дальностью полета не менее 5000 км. Новый бомбардировщик создавался под обозначением "самолет 64" ("64"), его взлетный вес превышал вес Пе-8 более чем в два раза. Проект "64" разрабатывался до середины 1945 г. Затем высшее руководство решило задачу упростить и скопировать американский Б-29. Так появился стратегический бомбардировщик Ту-4 (12025).</w:t>
      </w:r>
    </w:p>
    <w:p w14:paraId="04AF583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55D88CB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1944 в отчете завода № 156 по итогам работы за 1943-й год отмечалось, что "на основе опыта работы Ту-2 в разведывательных полках Главного Командования и по требованию ВВС ОКБ разработало специальные разведывательные варианты... Самолет-развед- чик отличается от строящегося в серии большей дальностью за счет добавочного подвесного бака и установкой для (подвески - прим. авт.) специального аэрофотоаппарата.</w:t>
      </w:r>
    </w:p>
    <w:p w14:paraId="6F9B855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настоящее время один Ту-2 разведчик (с двумя АФА-3) прошел государственные испытания в НИИ спецслужбы ВВС и рекомендован к серийной постройке. Два Ту-2, оборудованные специальной качающейся установкой под АФА-33, проходят войсковые испытания в 47-м гвардейском апдр Главного командования...".</w:t>
      </w:r>
    </w:p>
    <w:p w14:paraId="3C588A7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1946 году на заводе № 23 переоборудовали первый серийный Ту-2 № 1/36 в вариант разведчика Ту-6, согласно документации, разработанной в ОКБ-156. В отличие от бомбардировщика в задней части грузового Опытный разведчик "65". отсека разместили неподвижный аэрофото- Лето 1946 г. аппараты АФА-33/20 и на качающейся установке - АФА-33/50,75,Ю0. В кабине стрелка-радиста расположили ночной аэрофотоаппарат НАФА-Зс/50. Объем топлива увеличили за счет дополнительного 650-литрового бензобака.</w:t>
      </w:r>
    </w:p>
    <w:p w14:paraId="2BC5DCB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Кроме этого установили радиокомпас СЦР-269Ж и четыре дополнительных кислородных баллона. Одновременно сняли командную радиостанцию РСИ-6 и автомат пикирования.</w:t>
      </w:r>
    </w:p>
    <w:p w14:paraId="60B1234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26 декабря 1946 года по 9 апреля 1947-го разведчик успешно прошел государственные испытания и согласно августовскому постановлению Совета Министров СССР Ту-2Ф (Ту-6) был принят на вооружение под обозначением Ту-6 и запущен в серийное производство.</w:t>
      </w:r>
    </w:p>
    <w:p w14:paraId="06A27F7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Контрольные испытания Ту-6 №14/58 с моторами АШ-82ФН и винтами АВ-5В-167А, проведенные со 2 марта по 13 апреля 1948 года, показали, что полетный вес машины возрос до 11 277 кг, скорость на высоте 5500 метров составила 545 км/ч, потолок - 9050 метров и дальность - 2780 км. Самолет поднимался на высоту 5000 метров за 10,3 минуты.</w:t>
      </w:r>
    </w:p>
    <w:p w14:paraId="2300753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1948 году завод № 23 оборудовал пять машин Ту-2 для ночного фотографирования, оснастив их электроосветительными установками "Явор-2". Однако государственные испытания она не выдержала и была снята со снабжения ВВС (12035).</w:t>
      </w:r>
    </w:p>
    <w:p w14:paraId="639E4E7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Основные данные самолетов Ту-2 завода № 23 по результатам государственных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5106D0" w:rsidRPr="007224C3" w14:paraId="5DBA4C20" w14:textId="77777777">
        <w:tc>
          <w:tcPr>
            <w:tcW w:w="1868" w:type="dxa"/>
            <w:tcBorders>
              <w:top w:val="single" w:sz="12" w:space="0" w:color="auto"/>
            </w:tcBorders>
          </w:tcPr>
          <w:p w14:paraId="4B34487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Тип самолета</w:t>
            </w:r>
          </w:p>
        </w:tc>
        <w:tc>
          <w:tcPr>
            <w:tcW w:w="1868" w:type="dxa"/>
            <w:tcBorders>
              <w:top w:val="single" w:sz="12" w:space="0" w:color="auto"/>
            </w:tcBorders>
          </w:tcPr>
          <w:p w14:paraId="2FCD3AB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Ту-2С5)</w:t>
            </w:r>
          </w:p>
        </w:tc>
        <w:tc>
          <w:tcPr>
            <w:tcW w:w="1868" w:type="dxa"/>
            <w:tcBorders>
              <w:top w:val="single" w:sz="12" w:space="0" w:color="auto"/>
            </w:tcBorders>
          </w:tcPr>
          <w:p w14:paraId="6F52B33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Ту-2С</w:t>
            </w:r>
          </w:p>
        </w:tc>
        <w:tc>
          <w:tcPr>
            <w:tcW w:w="1868" w:type="dxa"/>
            <w:tcBorders>
              <w:top w:val="single" w:sz="12" w:space="0" w:color="auto"/>
            </w:tcBorders>
          </w:tcPr>
          <w:p w14:paraId="52B1D69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Ту-2С</w:t>
            </w:r>
          </w:p>
        </w:tc>
        <w:tc>
          <w:tcPr>
            <w:tcW w:w="1868" w:type="dxa"/>
            <w:tcBorders>
              <w:top w:val="single" w:sz="12" w:space="0" w:color="auto"/>
            </w:tcBorders>
          </w:tcPr>
          <w:p w14:paraId="0B822CB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Ту-2</w:t>
            </w:r>
          </w:p>
        </w:tc>
        <w:tc>
          <w:tcPr>
            <w:tcW w:w="1868" w:type="dxa"/>
            <w:tcBorders>
              <w:top w:val="single" w:sz="12" w:space="0" w:color="auto"/>
            </w:tcBorders>
          </w:tcPr>
          <w:p w14:paraId="1BF9EB0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Ту2С</w:t>
            </w:r>
          </w:p>
        </w:tc>
      </w:tr>
      <w:tr w:rsidR="005106D0" w:rsidRPr="007224C3" w14:paraId="4C23E799" w14:textId="77777777">
        <w:tc>
          <w:tcPr>
            <w:tcW w:w="1868" w:type="dxa"/>
          </w:tcPr>
          <w:p w14:paraId="4F0746A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52D9AF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№16/7</w:t>
            </w:r>
          </w:p>
        </w:tc>
        <w:tc>
          <w:tcPr>
            <w:tcW w:w="1868" w:type="dxa"/>
          </w:tcPr>
          <w:p w14:paraId="219F58C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№18/11</w:t>
            </w:r>
          </w:p>
        </w:tc>
        <w:tc>
          <w:tcPr>
            <w:tcW w:w="1868" w:type="dxa"/>
          </w:tcPr>
          <w:p w14:paraId="791D18E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№24/32</w:t>
            </w:r>
          </w:p>
        </w:tc>
        <w:tc>
          <w:tcPr>
            <w:tcW w:w="1868" w:type="dxa"/>
          </w:tcPr>
          <w:p w14:paraId="6C51AE4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№23/35</w:t>
            </w:r>
          </w:p>
        </w:tc>
        <w:tc>
          <w:tcPr>
            <w:tcW w:w="1868" w:type="dxa"/>
          </w:tcPr>
          <w:p w14:paraId="1498FCB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№31/54</w:t>
            </w:r>
          </w:p>
        </w:tc>
      </w:tr>
      <w:tr w:rsidR="005106D0" w:rsidRPr="007224C3" w14:paraId="372B924B" w14:textId="77777777">
        <w:tc>
          <w:tcPr>
            <w:tcW w:w="1868" w:type="dxa"/>
          </w:tcPr>
          <w:p w14:paraId="1878C0B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Двигатель</w:t>
            </w:r>
          </w:p>
        </w:tc>
        <w:tc>
          <w:tcPr>
            <w:tcW w:w="1868" w:type="dxa"/>
          </w:tcPr>
          <w:p w14:paraId="6B86B23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АШ-82ФН</w:t>
            </w:r>
          </w:p>
        </w:tc>
        <w:tc>
          <w:tcPr>
            <w:tcW w:w="1868" w:type="dxa"/>
          </w:tcPr>
          <w:p w14:paraId="296F60C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АШ-82ФН</w:t>
            </w:r>
          </w:p>
        </w:tc>
        <w:tc>
          <w:tcPr>
            <w:tcW w:w="1868" w:type="dxa"/>
          </w:tcPr>
          <w:p w14:paraId="30E0EE7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АШ-82ФН</w:t>
            </w:r>
          </w:p>
        </w:tc>
        <w:tc>
          <w:tcPr>
            <w:tcW w:w="1868" w:type="dxa"/>
          </w:tcPr>
          <w:p w14:paraId="40281C5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АШ-82ФН-312Т</w:t>
            </w:r>
          </w:p>
        </w:tc>
        <w:tc>
          <w:tcPr>
            <w:tcW w:w="1868" w:type="dxa"/>
          </w:tcPr>
          <w:p w14:paraId="5DD45E1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АШ-82ФН</w:t>
            </w:r>
          </w:p>
        </w:tc>
      </w:tr>
      <w:tr w:rsidR="005106D0" w:rsidRPr="007224C3" w14:paraId="7A65830A" w14:textId="77777777">
        <w:tc>
          <w:tcPr>
            <w:tcW w:w="1868" w:type="dxa"/>
          </w:tcPr>
          <w:p w14:paraId="1D98289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Взлетная мощность, л.с.</w:t>
            </w:r>
          </w:p>
        </w:tc>
        <w:tc>
          <w:tcPr>
            <w:tcW w:w="1868" w:type="dxa"/>
          </w:tcPr>
          <w:p w14:paraId="71598DB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2x1850"</w:t>
            </w:r>
          </w:p>
        </w:tc>
        <w:tc>
          <w:tcPr>
            <w:tcW w:w="1868" w:type="dxa"/>
          </w:tcPr>
          <w:p w14:paraId="139F223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2x1850</w:t>
            </w:r>
          </w:p>
        </w:tc>
        <w:tc>
          <w:tcPr>
            <w:tcW w:w="1868" w:type="dxa"/>
          </w:tcPr>
          <w:p w14:paraId="5AF0656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2x1850</w:t>
            </w:r>
          </w:p>
        </w:tc>
        <w:tc>
          <w:tcPr>
            <w:tcW w:w="1868" w:type="dxa"/>
          </w:tcPr>
          <w:p w14:paraId="536E2C6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2x1830"</w:t>
            </w:r>
          </w:p>
        </w:tc>
        <w:tc>
          <w:tcPr>
            <w:tcW w:w="1868" w:type="dxa"/>
          </w:tcPr>
          <w:p w14:paraId="44AB4AE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2x1850</w:t>
            </w:r>
          </w:p>
        </w:tc>
      </w:tr>
      <w:tr w:rsidR="005106D0" w:rsidRPr="007224C3" w14:paraId="7516DBDA" w14:textId="77777777">
        <w:tc>
          <w:tcPr>
            <w:tcW w:w="1868" w:type="dxa"/>
          </w:tcPr>
          <w:p w14:paraId="236111E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Размах крыла, м</w:t>
            </w:r>
          </w:p>
        </w:tc>
        <w:tc>
          <w:tcPr>
            <w:tcW w:w="1868" w:type="dxa"/>
          </w:tcPr>
          <w:p w14:paraId="5DF82A0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18,52</w:t>
            </w:r>
          </w:p>
        </w:tc>
        <w:tc>
          <w:tcPr>
            <w:tcW w:w="1868" w:type="dxa"/>
          </w:tcPr>
          <w:p w14:paraId="14710BF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18,52</w:t>
            </w:r>
          </w:p>
        </w:tc>
        <w:tc>
          <w:tcPr>
            <w:tcW w:w="1868" w:type="dxa"/>
          </w:tcPr>
          <w:p w14:paraId="4FE59A4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18,52</w:t>
            </w:r>
          </w:p>
        </w:tc>
        <w:tc>
          <w:tcPr>
            <w:tcW w:w="1868" w:type="dxa"/>
          </w:tcPr>
          <w:p w14:paraId="365CD74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18,52</w:t>
            </w:r>
          </w:p>
        </w:tc>
        <w:tc>
          <w:tcPr>
            <w:tcW w:w="1868" w:type="dxa"/>
          </w:tcPr>
          <w:p w14:paraId="22BAD8A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18,52</w:t>
            </w:r>
          </w:p>
        </w:tc>
      </w:tr>
      <w:tr w:rsidR="005106D0" w:rsidRPr="007224C3" w14:paraId="3A6B8F95" w14:textId="77777777">
        <w:tc>
          <w:tcPr>
            <w:tcW w:w="1868" w:type="dxa"/>
          </w:tcPr>
          <w:p w14:paraId="08FD423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Длина, м</w:t>
            </w:r>
          </w:p>
        </w:tc>
        <w:tc>
          <w:tcPr>
            <w:tcW w:w="1868" w:type="dxa"/>
          </w:tcPr>
          <w:p w14:paraId="76E11F5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13,8</w:t>
            </w:r>
          </w:p>
        </w:tc>
        <w:tc>
          <w:tcPr>
            <w:tcW w:w="1868" w:type="dxa"/>
          </w:tcPr>
          <w:p w14:paraId="357C997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13,8</w:t>
            </w:r>
          </w:p>
        </w:tc>
        <w:tc>
          <w:tcPr>
            <w:tcW w:w="1868" w:type="dxa"/>
          </w:tcPr>
          <w:p w14:paraId="08180EB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13,8</w:t>
            </w:r>
          </w:p>
        </w:tc>
        <w:tc>
          <w:tcPr>
            <w:tcW w:w="1868" w:type="dxa"/>
          </w:tcPr>
          <w:p w14:paraId="1DF9944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13,8</w:t>
            </w:r>
          </w:p>
        </w:tc>
        <w:tc>
          <w:tcPr>
            <w:tcW w:w="1868" w:type="dxa"/>
          </w:tcPr>
          <w:p w14:paraId="0ABAC6D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13,7</w:t>
            </w:r>
          </w:p>
        </w:tc>
      </w:tr>
      <w:tr w:rsidR="005106D0" w:rsidRPr="007224C3" w14:paraId="7914BFD8" w14:textId="77777777">
        <w:tc>
          <w:tcPr>
            <w:tcW w:w="1868" w:type="dxa"/>
          </w:tcPr>
          <w:p w14:paraId="4B7020A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Площадь крыла, м2</w:t>
            </w:r>
          </w:p>
        </w:tc>
        <w:tc>
          <w:tcPr>
            <w:tcW w:w="1868" w:type="dxa"/>
          </w:tcPr>
          <w:p w14:paraId="27A21C4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48,8</w:t>
            </w:r>
          </w:p>
        </w:tc>
        <w:tc>
          <w:tcPr>
            <w:tcW w:w="1868" w:type="dxa"/>
          </w:tcPr>
          <w:p w14:paraId="1123E00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48,8</w:t>
            </w:r>
          </w:p>
        </w:tc>
        <w:tc>
          <w:tcPr>
            <w:tcW w:w="1868" w:type="dxa"/>
          </w:tcPr>
          <w:p w14:paraId="28565FA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48,8</w:t>
            </w:r>
          </w:p>
        </w:tc>
        <w:tc>
          <w:tcPr>
            <w:tcW w:w="1868" w:type="dxa"/>
          </w:tcPr>
          <w:p w14:paraId="149FA3B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48,8</w:t>
            </w:r>
          </w:p>
        </w:tc>
        <w:tc>
          <w:tcPr>
            <w:tcW w:w="1868" w:type="dxa"/>
          </w:tcPr>
          <w:p w14:paraId="4B578EF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48,8</w:t>
            </w:r>
          </w:p>
        </w:tc>
      </w:tr>
      <w:tr w:rsidR="005106D0" w:rsidRPr="007224C3" w14:paraId="3F9D5A1A" w14:textId="77777777">
        <w:tc>
          <w:tcPr>
            <w:tcW w:w="1868" w:type="dxa"/>
          </w:tcPr>
          <w:p w14:paraId="2C10B60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 взлетный, кг</w:t>
            </w:r>
          </w:p>
        </w:tc>
        <w:tc>
          <w:tcPr>
            <w:tcW w:w="1868" w:type="dxa"/>
          </w:tcPr>
          <w:p w14:paraId="1825293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4AA7BD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B5ED48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00C39E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0170EB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C92E4FA" w14:textId="77777777">
        <w:tc>
          <w:tcPr>
            <w:tcW w:w="1868" w:type="dxa"/>
          </w:tcPr>
          <w:p w14:paraId="12967F3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нормальный</w:t>
            </w:r>
          </w:p>
        </w:tc>
        <w:tc>
          <w:tcPr>
            <w:tcW w:w="1868" w:type="dxa"/>
          </w:tcPr>
          <w:p w14:paraId="329B772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10700</w:t>
            </w:r>
          </w:p>
        </w:tc>
        <w:tc>
          <w:tcPr>
            <w:tcW w:w="1868" w:type="dxa"/>
          </w:tcPr>
          <w:p w14:paraId="113653D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10500</w:t>
            </w:r>
          </w:p>
        </w:tc>
        <w:tc>
          <w:tcPr>
            <w:tcW w:w="1868" w:type="dxa"/>
          </w:tcPr>
          <w:p w14:paraId="6C3BBFB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10575</w:t>
            </w:r>
          </w:p>
        </w:tc>
        <w:tc>
          <w:tcPr>
            <w:tcW w:w="1868" w:type="dxa"/>
          </w:tcPr>
          <w:p w14:paraId="4B37A4E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10540</w:t>
            </w:r>
          </w:p>
        </w:tc>
        <w:tc>
          <w:tcPr>
            <w:tcW w:w="1868" w:type="dxa"/>
          </w:tcPr>
          <w:p w14:paraId="30BF0E4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10990</w:t>
            </w:r>
          </w:p>
        </w:tc>
      </w:tr>
      <w:tr w:rsidR="005106D0" w:rsidRPr="007224C3" w14:paraId="5B2B0C24" w14:textId="77777777">
        <w:tc>
          <w:tcPr>
            <w:tcW w:w="1868" w:type="dxa"/>
          </w:tcPr>
          <w:p w14:paraId="1A670CF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перегрузочный</w:t>
            </w:r>
          </w:p>
        </w:tc>
        <w:tc>
          <w:tcPr>
            <w:tcW w:w="1868" w:type="dxa"/>
          </w:tcPr>
          <w:p w14:paraId="7E69E1E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11720</w:t>
            </w:r>
          </w:p>
        </w:tc>
        <w:tc>
          <w:tcPr>
            <w:tcW w:w="1868" w:type="dxa"/>
          </w:tcPr>
          <w:p w14:paraId="3F0D651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11520</w:t>
            </w:r>
          </w:p>
        </w:tc>
        <w:tc>
          <w:tcPr>
            <w:tcW w:w="1868" w:type="dxa"/>
          </w:tcPr>
          <w:p w14:paraId="7FECFAE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11600</w:t>
            </w:r>
          </w:p>
        </w:tc>
        <w:tc>
          <w:tcPr>
            <w:tcW w:w="1868" w:type="dxa"/>
          </w:tcPr>
          <w:p w14:paraId="416242F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11565</w:t>
            </w:r>
          </w:p>
        </w:tc>
        <w:tc>
          <w:tcPr>
            <w:tcW w:w="1868" w:type="dxa"/>
          </w:tcPr>
          <w:p w14:paraId="71AED4E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12300</w:t>
            </w:r>
          </w:p>
        </w:tc>
      </w:tr>
      <w:tr w:rsidR="005106D0" w:rsidRPr="007224C3" w14:paraId="6011A9A6" w14:textId="77777777">
        <w:tc>
          <w:tcPr>
            <w:tcW w:w="1868" w:type="dxa"/>
          </w:tcPr>
          <w:p w14:paraId="1D7DBA1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 пустого, кг</w:t>
            </w:r>
          </w:p>
        </w:tc>
        <w:tc>
          <w:tcPr>
            <w:tcW w:w="1868" w:type="dxa"/>
          </w:tcPr>
          <w:p w14:paraId="7B58C53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7760</w:t>
            </w:r>
          </w:p>
        </w:tc>
        <w:tc>
          <w:tcPr>
            <w:tcW w:w="1868" w:type="dxa"/>
          </w:tcPr>
          <w:p w14:paraId="1793C0E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7603</w:t>
            </w:r>
          </w:p>
        </w:tc>
        <w:tc>
          <w:tcPr>
            <w:tcW w:w="1868" w:type="dxa"/>
          </w:tcPr>
          <w:p w14:paraId="1A5C2E9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7622</w:t>
            </w:r>
          </w:p>
        </w:tc>
        <w:tc>
          <w:tcPr>
            <w:tcW w:w="1868" w:type="dxa"/>
          </w:tcPr>
          <w:p w14:paraId="5D752EE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7613</w:t>
            </w:r>
          </w:p>
        </w:tc>
        <w:tc>
          <w:tcPr>
            <w:tcW w:w="1868" w:type="dxa"/>
          </w:tcPr>
          <w:p w14:paraId="7396178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464464F7" w14:textId="77777777">
        <w:tc>
          <w:tcPr>
            <w:tcW w:w="1868" w:type="dxa"/>
          </w:tcPr>
          <w:p w14:paraId="20A63F3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 топлива</w:t>
            </w:r>
          </w:p>
        </w:tc>
        <w:tc>
          <w:tcPr>
            <w:tcW w:w="1868" w:type="dxa"/>
          </w:tcPr>
          <w:p w14:paraId="24D3E8C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0955B2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CD5D61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283B0D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123D23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34E6068" w14:textId="77777777">
        <w:tc>
          <w:tcPr>
            <w:tcW w:w="1868" w:type="dxa"/>
          </w:tcPr>
          <w:p w14:paraId="48E2418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(нормальный/максимальный), кг</w:t>
            </w:r>
          </w:p>
        </w:tc>
        <w:tc>
          <w:tcPr>
            <w:tcW w:w="1868" w:type="dxa"/>
          </w:tcPr>
          <w:p w14:paraId="2AF8C42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980/1960</w:t>
            </w:r>
          </w:p>
        </w:tc>
        <w:tc>
          <w:tcPr>
            <w:tcW w:w="1868" w:type="dxa"/>
          </w:tcPr>
          <w:p w14:paraId="248A5D3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1970</w:t>
            </w:r>
          </w:p>
        </w:tc>
        <w:tc>
          <w:tcPr>
            <w:tcW w:w="1868" w:type="dxa"/>
          </w:tcPr>
          <w:p w14:paraId="6B26FEA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985/1970</w:t>
            </w:r>
          </w:p>
        </w:tc>
        <w:tc>
          <w:tcPr>
            <w:tcW w:w="1868" w:type="dxa"/>
          </w:tcPr>
          <w:p w14:paraId="5203B67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985/1970</w:t>
            </w:r>
          </w:p>
        </w:tc>
        <w:tc>
          <w:tcPr>
            <w:tcW w:w="1868" w:type="dxa"/>
          </w:tcPr>
          <w:p w14:paraId="737CBC3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39AAB7B9" w14:textId="77777777">
        <w:tc>
          <w:tcPr>
            <w:tcW w:w="1868" w:type="dxa"/>
          </w:tcPr>
          <w:p w14:paraId="40D52D2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Скорость макс., км/ч</w:t>
            </w:r>
          </w:p>
        </w:tc>
        <w:tc>
          <w:tcPr>
            <w:tcW w:w="1868" w:type="dxa"/>
          </w:tcPr>
          <w:p w14:paraId="4D3213E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5332E0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778E46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3E04AC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EA1363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2D286FB" w14:textId="77777777">
        <w:tc>
          <w:tcPr>
            <w:tcW w:w="1868" w:type="dxa"/>
          </w:tcPr>
          <w:p w14:paraId="65570DE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 земли</w:t>
            </w:r>
          </w:p>
        </w:tc>
        <w:tc>
          <w:tcPr>
            <w:tcW w:w="1868" w:type="dxa"/>
          </w:tcPr>
          <w:p w14:paraId="57BCF44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5162&gt;</w:t>
            </w:r>
          </w:p>
        </w:tc>
        <w:tc>
          <w:tcPr>
            <w:tcW w:w="1868" w:type="dxa"/>
          </w:tcPr>
          <w:p w14:paraId="06F49C8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4889)</w:t>
            </w:r>
          </w:p>
        </w:tc>
        <w:tc>
          <w:tcPr>
            <w:tcW w:w="1868" w:type="dxa"/>
          </w:tcPr>
          <w:p w14:paraId="7125416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505</w:t>
            </w:r>
          </w:p>
        </w:tc>
        <w:tc>
          <w:tcPr>
            <w:tcW w:w="1868" w:type="dxa"/>
          </w:tcPr>
          <w:p w14:paraId="3D4BEBC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502</w:t>
            </w:r>
          </w:p>
        </w:tc>
        <w:tc>
          <w:tcPr>
            <w:tcW w:w="1868" w:type="dxa"/>
          </w:tcPr>
          <w:p w14:paraId="24A0406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4763)</w:t>
            </w:r>
          </w:p>
        </w:tc>
      </w:tr>
      <w:tr w:rsidR="005106D0" w:rsidRPr="007224C3" w14:paraId="4F974BD4" w14:textId="77777777">
        <w:tc>
          <w:tcPr>
            <w:tcW w:w="1868" w:type="dxa"/>
          </w:tcPr>
          <w:p w14:paraId="5191186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1-й гр. высотности</w:t>
            </w:r>
          </w:p>
        </w:tc>
        <w:tc>
          <w:tcPr>
            <w:tcW w:w="1868" w:type="dxa"/>
          </w:tcPr>
          <w:p w14:paraId="46633E9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541/2600</w:t>
            </w:r>
          </w:p>
        </w:tc>
        <w:tc>
          <w:tcPr>
            <w:tcW w:w="1868" w:type="dxa"/>
          </w:tcPr>
          <w:p w14:paraId="68648EF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868" w:type="dxa"/>
          </w:tcPr>
          <w:p w14:paraId="74CD02A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527/2600</w:t>
            </w:r>
          </w:p>
        </w:tc>
        <w:tc>
          <w:tcPr>
            <w:tcW w:w="1868" w:type="dxa"/>
          </w:tcPr>
          <w:p w14:paraId="77EB9C9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526/2600</w:t>
            </w:r>
          </w:p>
        </w:tc>
        <w:tc>
          <w:tcPr>
            <w:tcW w:w="1868" w:type="dxa"/>
          </w:tcPr>
          <w:p w14:paraId="24E3BB5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6D169D6C" w14:textId="77777777">
        <w:tc>
          <w:tcPr>
            <w:tcW w:w="1868" w:type="dxa"/>
          </w:tcPr>
          <w:p w14:paraId="7A44DF9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2-й гр. высотности</w:t>
            </w:r>
          </w:p>
        </w:tc>
        <w:tc>
          <w:tcPr>
            <w:tcW w:w="1868" w:type="dxa"/>
          </w:tcPr>
          <w:p w14:paraId="3F42094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559/5775"</w:t>
            </w:r>
          </w:p>
        </w:tc>
        <w:tc>
          <w:tcPr>
            <w:tcW w:w="1868" w:type="dxa"/>
          </w:tcPr>
          <w:p w14:paraId="6369F06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549</w:t>
            </w:r>
          </w:p>
        </w:tc>
        <w:tc>
          <w:tcPr>
            <w:tcW w:w="1868" w:type="dxa"/>
          </w:tcPr>
          <w:p w14:paraId="7237BD6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543/5700</w:t>
            </w:r>
          </w:p>
        </w:tc>
        <w:tc>
          <w:tcPr>
            <w:tcW w:w="1868" w:type="dxa"/>
          </w:tcPr>
          <w:p w14:paraId="5F6A4ED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536/4300</w:t>
            </w:r>
          </w:p>
        </w:tc>
        <w:tc>
          <w:tcPr>
            <w:tcW w:w="1868" w:type="dxa"/>
          </w:tcPr>
          <w:p w14:paraId="0C607FE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545/5700</w:t>
            </w:r>
          </w:p>
        </w:tc>
      </w:tr>
      <w:tr w:rsidR="005106D0" w:rsidRPr="007224C3" w14:paraId="694A7D0C" w14:textId="77777777">
        <w:tc>
          <w:tcPr>
            <w:tcW w:w="1868" w:type="dxa"/>
          </w:tcPr>
          <w:p w14:paraId="17A22B6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3-й границе высотности</w:t>
            </w:r>
          </w:p>
        </w:tc>
        <w:tc>
          <w:tcPr>
            <w:tcW w:w="1868" w:type="dxa"/>
          </w:tcPr>
          <w:p w14:paraId="4367C8F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868" w:type="dxa"/>
          </w:tcPr>
          <w:p w14:paraId="7F9473B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868" w:type="dxa"/>
          </w:tcPr>
          <w:p w14:paraId="7D27BC6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868" w:type="dxa"/>
          </w:tcPr>
          <w:p w14:paraId="7873603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540/5600</w:t>
            </w:r>
          </w:p>
        </w:tc>
        <w:tc>
          <w:tcPr>
            <w:tcW w:w="1868" w:type="dxa"/>
          </w:tcPr>
          <w:p w14:paraId="7D3EB24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5F233830" w14:textId="77777777">
        <w:tc>
          <w:tcPr>
            <w:tcW w:w="1868" w:type="dxa"/>
          </w:tcPr>
          <w:p w14:paraId="69AC302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посадочная</w:t>
            </w:r>
          </w:p>
        </w:tc>
        <w:tc>
          <w:tcPr>
            <w:tcW w:w="1868" w:type="dxa"/>
          </w:tcPr>
          <w:p w14:paraId="0DC0B04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148</w:t>
            </w:r>
          </w:p>
        </w:tc>
        <w:tc>
          <w:tcPr>
            <w:tcW w:w="1868" w:type="dxa"/>
          </w:tcPr>
          <w:p w14:paraId="343822C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868" w:type="dxa"/>
          </w:tcPr>
          <w:p w14:paraId="689C38D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150</w:t>
            </w:r>
          </w:p>
        </w:tc>
        <w:tc>
          <w:tcPr>
            <w:tcW w:w="1868" w:type="dxa"/>
          </w:tcPr>
          <w:p w14:paraId="4C3C66B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147</w:t>
            </w:r>
          </w:p>
        </w:tc>
        <w:tc>
          <w:tcPr>
            <w:tcW w:w="1868" w:type="dxa"/>
          </w:tcPr>
          <w:p w14:paraId="443C7A0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0B778CD0" w14:textId="77777777">
        <w:tc>
          <w:tcPr>
            <w:tcW w:w="1868" w:type="dxa"/>
          </w:tcPr>
          <w:p w14:paraId="652F5FC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Практический потолок, м</w:t>
            </w:r>
          </w:p>
        </w:tc>
        <w:tc>
          <w:tcPr>
            <w:tcW w:w="1868" w:type="dxa"/>
          </w:tcPr>
          <w:p w14:paraId="6579528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9650</w:t>
            </w:r>
          </w:p>
        </w:tc>
        <w:tc>
          <w:tcPr>
            <w:tcW w:w="1868" w:type="dxa"/>
          </w:tcPr>
          <w:p w14:paraId="7A6079C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9600</w:t>
            </w:r>
          </w:p>
        </w:tc>
        <w:tc>
          <w:tcPr>
            <w:tcW w:w="1868" w:type="dxa"/>
          </w:tcPr>
          <w:p w14:paraId="622BEA7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9650</w:t>
            </w:r>
          </w:p>
        </w:tc>
        <w:tc>
          <w:tcPr>
            <w:tcW w:w="1868" w:type="dxa"/>
          </w:tcPr>
          <w:p w14:paraId="49CE626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9750</w:t>
            </w:r>
          </w:p>
        </w:tc>
        <w:tc>
          <w:tcPr>
            <w:tcW w:w="1868" w:type="dxa"/>
          </w:tcPr>
          <w:p w14:paraId="0DA1990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9200</w:t>
            </w:r>
          </w:p>
        </w:tc>
      </w:tr>
      <w:tr w:rsidR="005106D0" w:rsidRPr="007224C3" w14:paraId="3735392D" w14:textId="77777777">
        <w:tc>
          <w:tcPr>
            <w:tcW w:w="1868" w:type="dxa"/>
          </w:tcPr>
          <w:p w14:paraId="0461CC0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Время набора высоты, мин.</w:t>
            </w:r>
          </w:p>
        </w:tc>
        <w:tc>
          <w:tcPr>
            <w:tcW w:w="1868" w:type="dxa"/>
          </w:tcPr>
          <w:p w14:paraId="36DDC2F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48CAEE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41ED0D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D3E00B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EADA8E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1833557" w14:textId="77777777">
        <w:tc>
          <w:tcPr>
            <w:tcW w:w="1868" w:type="dxa"/>
          </w:tcPr>
          <w:p w14:paraId="0FDF40F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5000 м</w:t>
            </w:r>
          </w:p>
        </w:tc>
        <w:tc>
          <w:tcPr>
            <w:tcW w:w="1868" w:type="dxa"/>
          </w:tcPr>
          <w:p w14:paraId="02CC713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9,3</w:t>
            </w:r>
          </w:p>
        </w:tc>
        <w:tc>
          <w:tcPr>
            <w:tcW w:w="1868" w:type="dxa"/>
          </w:tcPr>
          <w:p w14:paraId="781F2B6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9,3</w:t>
            </w:r>
          </w:p>
        </w:tc>
        <w:tc>
          <w:tcPr>
            <w:tcW w:w="1868" w:type="dxa"/>
          </w:tcPr>
          <w:p w14:paraId="5ED02C7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9,3</w:t>
            </w:r>
          </w:p>
        </w:tc>
        <w:tc>
          <w:tcPr>
            <w:tcW w:w="1868" w:type="dxa"/>
          </w:tcPr>
          <w:p w14:paraId="734798B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9,6</w:t>
            </w:r>
          </w:p>
        </w:tc>
        <w:tc>
          <w:tcPr>
            <w:tcW w:w="1868" w:type="dxa"/>
          </w:tcPr>
          <w:p w14:paraId="1CBB88F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10,8</w:t>
            </w:r>
          </w:p>
        </w:tc>
      </w:tr>
      <w:tr w:rsidR="005106D0" w:rsidRPr="007224C3" w14:paraId="74A56955" w14:textId="77777777">
        <w:tc>
          <w:tcPr>
            <w:tcW w:w="1868" w:type="dxa"/>
          </w:tcPr>
          <w:p w14:paraId="01A225D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практического потолка</w:t>
            </w:r>
          </w:p>
        </w:tc>
        <w:tc>
          <w:tcPr>
            <w:tcW w:w="1868" w:type="dxa"/>
          </w:tcPr>
          <w:p w14:paraId="449398A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868" w:type="dxa"/>
          </w:tcPr>
          <w:p w14:paraId="6D53304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868" w:type="dxa"/>
          </w:tcPr>
          <w:p w14:paraId="2B71012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868" w:type="dxa"/>
          </w:tcPr>
          <w:p w14:paraId="2945B5F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868" w:type="dxa"/>
          </w:tcPr>
          <w:p w14:paraId="7263AB0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41,4</w:t>
            </w:r>
          </w:p>
        </w:tc>
      </w:tr>
      <w:tr w:rsidR="005106D0" w:rsidRPr="007224C3" w14:paraId="224CF6EE" w14:textId="77777777">
        <w:tc>
          <w:tcPr>
            <w:tcW w:w="1868" w:type="dxa"/>
          </w:tcPr>
          <w:p w14:paraId="08C6E5D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Дальность макс., км</w:t>
            </w:r>
          </w:p>
        </w:tc>
        <w:tc>
          <w:tcPr>
            <w:tcW w:w="1868" w:type="dxa"/>
          </w:tcPr>
          <w:p w14:paraId="516BCAE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2065</w:t>
            </w:r>
          </w:p>
        </w:tc>
        <w:tc>
          <w:tcPr>
            <w:tcW w:w="1868" w:type="dxa"/>
          </w:tcPr>
          <w:p w14:paraId="2F541EC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2050</w:t>
            </w:r>
          </w:p>
        </w:tc>
        <w:tc>
          <w:tcPr>
            <w:tcW w:w="1868" w:type="dxa"/>
          </w:tcPr>
          <w:p w14:paraId="492D220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2160</w:t>
            </w:r>
          </w:p>
        </w:tc>
        <w:tc>
          <w:tcPr>
            <w:tcW w:w="1868" w:type="dxa"/>
          </w:tcPr>
          <w:p w14:paraId="637FB57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2160</w:t>
            </w:r>
          </w:p>
        </w:tc>
        <w:tc>
          <w:tcPr>
            <w:tcW w:w="1868" w:type="dxa"/>
          </w:tcPr>
          <w:p w14:paraId="3562972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261 081</w:t>
            </w:r>
          </w:p>
        </w:tc>
      </w:tr>
      <w:tr w:rsidR="005106D0" w:rsidRPr="007224C3" w14:paraId="30B85E89" w14:textId="77777777">
        <w:tc>
          <w:tcPr>
            <w:tcW w:w="1868" w:type="dxa"/>
          </w:tcPr>
          <w:p w14:paraId="7DA9BA6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Разбег/пробег, м</w:t>
            </w:r>
          </w:p>
        </w:tc>
        <w:tc>
          <w:tcPr>
            <w:tcW w:w="1868" w:type="dxa"/>
          </w:tcPr>
          <w:p w14:paraId="73623A7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510/590</w:t>
            </w:r>
          </w:p>
        </w:tc>
        <w:tc>
          <w:tcPr>
            <w:tcW w:w="1868" w:type="dxa"/>
          </w:tcPr>
          <w:p w14:paraId="1A6906A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425/510</w:t>
            </w:r>
          </w:p>
        </w:tc>
        <w:tc>
          <w:tcPr>
            <w:tcW w:w="1868" w:type="dxa"/>
          </w:tcPr>
          <w:p w14:paraId="4A30E30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440/590</w:t>
            </w:r>
          </w:p>
        </w:tc>
        <w:tc>
          <w:tcPr>
            <w:tcW w:w="1868" w:type="dxa"/>
          </w:tcPr>
          <w:p w14:paraId="50832DE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430/690</w:t>
            </w:r>
          </w:p>
        </w:tc>
        <w:tc>
          <w:tcPr>
            <w:tcW w:w="1868" w:type="dxa"/>
          </w:tcPr>
          <w:p w14:paraId="5385025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470-580/500</w:t>
            </w:r>
          </w:p>
        </w:tc>
      </w:tr>
      <w:tr w:rsidR="005106D0" w:rsidRPr="007224C3" w14:paraId="1661FC99" w14:textId="77777777">
        <w:tc>
          <w:tcPr>
            <w:tcW w:w="1868" w:type="dxa"/>
            <w:tcBorders>
              <w:bottom w:val="single" w:sz="12" w:space="0" w:color="auto"/>
            </w:tcBorders>
          </w:tcPr>
          <w:p w14:paraId="2C0F82D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Экипаж, чел</w:t>
            </w:r>
          </w:p>
        </w:tc>
        <w:tc>
          <w:tcPr>
            <w:tcW w:w="1868" w:type="dxa"/>
            <w:tcBorders>
              <w:bottom w:val="single" w:sz="12" w:space="0" w:color="auto"/>
            </w:tcBorders>
          </w:tcPr>
          <w:p w14:paraId="6A1A459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w:t>
            </w:r>
          </w:p>
        </w:tc>
        <w:tc>
          <w:tcPr>
            <w:tcW w:w="1868" w:type="dxa"/>
            <w:tcBorders>
              <w:bottom w:val="single" w:sz="12" w:space="0" w:color="auto"/>
            </w:tcBorders>
          </w:tcPr>
          <w:p w14:paraId="0CEDB95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w:t>
            </w:r>
          </w:p>
        </w:tc>
        <w:tc>
          <w:tcPr>
            <w:tcW w:w="1868" w:type="dxa"/>
            <w:tcBorders>
              <w:bottom w:val="single" w:sz="12" w:space="0" w:color="auto"/>
            </w:tcBorders>
          </w:tcPr>
          <w:p w14:paraId="16ECB4A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w:t>
            </w:r>
          </w:p>
        </w:tc>
        <w:tc>
          <w:tcPr>
            <w:tcW w:w="1868" w:type="dxa"/>
            <w:tcBorders>
              <w:bottom w:val="single" w:sz="12" w:space="0" w:color="auto"/>
            </w:tcBorders>
          </w:tcPr>
          <w:p w14:paraId="11DBF17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w:t>
            </w:r>
          </w:p>
        </w:tc>
        <w:tc>
          <w:tcPr>
            <w:tcW w:w="1868" w:type="dxa"/>
            <w:tcBorders>
              <w:bottom w:val="single" w:sz="12" w:space="0" w:color="auto"/>
            </w:tcBorders>
          </w:tcPr>
          <w:p w14:paraId="3DCA566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w:t>
            </w:r>
          </w:p>
        </w:tc>
      </w:tr>
    </w:tbl>
    <w:p w14:paraId="4824362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Номинальная мощность на высоте 1550 м- 1670 л.с.,на высоте 4600м- 1460 л.с.</w:t>
      </w:r>
    </w:p>
    <w:p w14:paraId="303D3A7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На форсаже, на номинальном режиме - 488 км/ч.</w:t>
      </w:r>
    </w:p>
    <w:p w14:paraId="37F90D6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Скорость 330 км/м, высота 1000 м. Продолжительность полета 6 часов 20 минут.</w:t>
      </w:r>
    </w:p>
    <w:p w14:paraId="6884BD6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1650 л.с. - на 1-й границе высотности 1575 м, 1515 л.с. - на 2-й границе высотности 3250 м, 1425 л.с. - на 3-й границе высотности 4750 м.</w:t>
      </w:r>
    </w:p>
    <w:p w14:paraId="4763EC9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С опытными винтами АВ-5В-21А.</w:t>
      </w:r>
    </w:p>
    <w:p w14:paraId="5F784F9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С серийными винтами AB-5B-I67A.</w:t>
      </w:r>
    </w:p>
    <w:p w14:paraId="2591716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На максимальном режиме, на номинальном - 544 км/ч на высоте 5700 м.</w:t>
      </w:r>
    </w:p>
    <w:p w14:paraId="57B83C5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На высоте 1000 м, на наивыгоднейшей скорости с 1000 кг бомб.</w:t>
      </w:r>
    </w:p>
    <w:p w14:paraId="51EF606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На номинальном режиме (12035).</w:t>
      </w:r>
    </w:p>
    <w:p w14:paraId="6751E28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4B6C14B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1944 г. А.Д. Чаромский получил задание на разработку нового мощного дизеля, названного АЧ-31. В соответствии с ТТТ, этот двигатель должен был иметь взлетную мощность 1900 л.с. и номинальную - 1500 л.с. на высоте 6000 м. Отличия этой модели от "тридцатки", по замыслу конструкторов, должны были заключаться в новом коленвале и др. Этот вариант дизеля довольно заметно отличался от предшественника (8984).</w:t>
      </w:r>
    </w:p>
    <w:p w14:paraId="0C6432E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7B01DA79" w14:textId="77777777" w:rsidR="007F1907" w:rsidRPr="007224C3" w:rsidRDefault="007F1907" w:rsidP="007224C3">
      <w:pPr>
        <w:pStyle w:val="a3"/>
        <w:rPr>
          <w:color w:val="000000" w:themeColor="text1"/>
          <w:lang w:val="ru-RU"/>
        </w:rPr>
      </w:pPr>
      <w:r w:rsidRPr="007224C3">
        <w:rPr>
          <w:color w:val="000000" w:themeColor="text1"/>
          <w:lang w:val="ru-RU"/>
        </w:rPr>
        <w:t>В начале 1944 г. на завод № 482 прибыли из Перми М-71Ф ТК-3. Два на самолет и один на стенд отработки системы авто</w:t>
      </w:r>
      <w:r w:rsidRPr="007224C3">
        <w:rPr>
          <w:color w:val="000000" w:themeColor="text1"/>
          <w:lang w:val="ru-RU"/>
        </w:rPr>
        <w:softHyphen/>
        <w:t>матического управления наддувом (17739).</w:t>
      </w:r>
    </w:p>
    <w:p w14:paraId="11275F40" w14:textId="77777777" w:rsidR="007F1907" w:rsidRPr="007224C3" w:rsidRDefault="007F1907" w:rsidP="007224C3">
      <w:pPr>
        <w:spacing w:after="0" w:line="240" w:lineRule="auto"/>
        <w:jc w:val="both"/>
        <w:rPr>
          <w:rStyle w:val="77"/>
          <w:rFonts w:eastAsiaTheme="minorHAnsi"/>
          <w:color w:val="000000" w:themeColor="text1"/>
          <w:sz w:val="16"/>
          <w:szCs w:val="16"/>
        </w:rPr>
      </w:pPr>
    </w:p>
    <w:p w14:paraId="2E7DE78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1944 г. ОКБ-155 в инициативном порядке провело модификацию истребителя И-220 №02 под опытный мотор АМ-42Б с турбокомпрессором ТК-ЗООБ. На самолете, получившем название И-225 и шифр "5А", также установили воздухо-воздушный радиатор для охлаждения воздуха, поступающего в карбюратор двигателя, и трехлопастный винт АВ-5ЛВ-22А диаметром 3.6 м. Истребитель И-225 был выпущен из производства 9 мая 1944 г. и передан на ЛЭС завода №155 (5852,40).</w:t>
      </w:r>
    </w:p>
    <w:p w14:paraId="2F26FDC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E1B04E" w14:textId="77777777" w:rsidR="00D86EA0" w:rsidRPr="007224C3" w:rsidRDefault="00D86E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началу 1944 г. немцы выпустили небольшую серию высотных истре</w:t>
      </w:r>
      <w:r w:rsidRPr="007224C3">
        <w:rPr>
          <w:rFonts w:ascii="Times New Roman" w:hAnsi="Times New Roman"/>
          <w:color w:val="000000" w:themeColor="text1"/>
          <w:sz w:val="16"/>
          <w:szCs w:val="16"/>
        </w:rPr>
        <w:softHyphen/>
        <w:t xml:space="preserve">бителей </w:t>
      </w:r>
      <w:r w:rsidRPr="007224C3">
        <w:rPr>
          <w:rFonts w:ascii="Times New Roman" w:hAnsi="Times New Roman"/>
          <w:color w:val="000000" w:themeColor="text1"/>
          <w:sz w:val="16"/>
          <w:szCs w:val="16"/>
          <w:lang w:val="en-US"/>
        </w:rPr>
        <w:t>Bf</w:t>
      </w:r>
      <w:r w:rsidRPr="007224C3">
        <w:rPr>
          <w:rFonts w:ascii="Times New Roman" w:hAnsi="Times New Roman"/>
          <w:color w:val="000000" w:themeColor="text1"/>
          <w:sz w:val="16"/>
          <w:szCs w:val="16"/>
        </w:rPr>
        <w:t xml:space="preserve"> 109Н-1, оборудованных гермокабинами и имеющих потолок 14500 м, и пе</w:t>
      </w:r>
      <w:r w:rsidRPr="007224C3">
        <w:rPr>
          <w:rFonts w:ascii="Times New Roman" w:hAnsi="Times New Roman"/>
          <w:color w:val="000000" w:themeColor="text1"/>
          <w:sz w:val="16"/>
          <w:szCs w:val="16"/>
        </w:rPr>
        <w:softHyphen/>
        <w:t>редали их на вооружение частей, базирующихся возле Парижа. Как водится в таких случаях, вновь начались поиски крайнего. В начале апреля 1944 г. А.С. Яковлев буквально таки потребовал применения экстраординарных мер, включая установления неимоверно больших премий для самолетостроителей и мотористов за будущие работы и наложение взысканий на мотористов за то, что уже было сделано (орфография и пунктуация сохранены):</w:t>
      </w:r>
    </w:p>
    <w:p w14:paraId="3E3555FC" w14:textId="77777777" w:rsidR="00D86EA0" w:rsidRPr="007224C3" w:rsidRDefault="00D86E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«Дело создания высотных истребителей обстоит исключительно плохо.</w:t>
      </w:r>
    </w:p>
    <w:p w14:paraId="1F30807C" w14:textId="77777777" w:rsidR="00D86EA0" w:rsidRPr="007224C3" w:rsidRDefault="00D86E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 самолёты этого типа, строящиеся конструкторами ЯКОВЛЕВЫМ, ЛАВОЧКИНЫМ и МИКОЯНОМ, находятся в состоянии застоя и при существующем положении дел не будут готовы к лету даже в опытных экземплярах.</w:t>
      </w:r>
    </w:p>
    <w:p w14:paraId="22BDEA05" w14:textId="77777777" w:rsidR="00D86EA0" w:rsidRPr="007224C3" w:rsidRDefault="00D86E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Основной причиной такого недопустимого положения с решением важнейшей обо</w:t>
      </w:r>
      <w:r w:rsidRPr="007224C3">
        <w:rPr>
          <w:rFonts w:ascii="Times New Roman" w:hAnsi="Times New Roman"/>
          <w:color w:val="000000" w:themeColor="text1"/>
          <w:sz w:val="16"/>
          <w:szCs w:val="16"/>
        </w:rPr>
        <w:softHyphen/>
        <w:t>ронной проблемы является полное бездействие опытно-моторного Главка, конструк</w:t>
      </w:r>
      <w:r w:rsidRPr="007224C3">
        <w:rPr>
          <w:rFonts w:ascii="Times New Roman" w:hAnsi="Times New Roman"/>
          <w:color w:val="000000" w:themeColor="text1"/>
          <w:sz w:val="16"/>
          <w:szCs w:val="16"/>
        </w:rPr>
        <w:softHyphen/>
        <w:t xml:space="preserve">торов-мотористов и ЦИАМ... </w:t>
      </w:r>
      <w:r w:rsidRPr="007224C3">
        <w:rPr>
          <w:rStyle w:val="59"/>
          <w:rFonts w:ascii="Times New Roman" w:hAnsi="Times New Roman" w:cs="Times New Roman"/>
          <w:color w:val="000000" w:themeColor="text1"/>
          <w:sz w:val="16"/>
          <w:szCs w:val="16"/>
        </w:rPr>
        <w:t>В результате</w:t>
      </w:r>
      <w:r w:rsidRPr="007224C3">
        <w:rPr>
          <w:rFonts w:ascii="Times New Roman" w:hAnsi="Times New Roman"/>
          <w:color w:val="000000" w:themeColor="text1"/>
          <w:sz w:val="16"/>
          <w:szCs w:val="16"/>
        </w:rPr>
        <w:t>:</w:t>
      </w:r>
    </w:p>
    <w:p w14:paraId="6AC7748A" w14:textId="77777777" w:rsidR="00D86EA0" w:rsidRPr="007224C3" w:rsidRDefault="00D86E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самолёт т. ЯКОВЛЕВА с мотором 105ПД стоит в ожидании доработки моторной группы по увеличению её высотности;</w:t>
      </w:r>
    </w:p>
    <w:p w14:paraId="00CED137" w14:textId="77777777" w:rsidR="00D86EA0" w:rsidRPr="007224C3" w:rsidRDefault="00D86E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самолёт т. ЛАВОЧКИНА не может достичь заданной высоты из-за перегрева мотора на высотах. Рекомендованный ЦИАМ в прошлом году впрыск воды работает неудов</w:t>
      </w:r>
      <w:r w:rsidRPr="007224C3">
        <w:rPr>
          <w:rFonts w:ascii="Times New Roman" w:hAnsi="Times New Roman"/>
          <w:color w:val="000000" w:themeColor="text1"/>
          <w:sz w:val="16"/>
          <w:szCs w:val="16"/>
        </w:rPr>
        <w:softHyphen/>
        <w:t>летворительно, но ЦИАМом не доводится.</w:t>
      </w:r>
    </w:p>
    <w:p w14:paraId="193CE0DB" w14:textId="77777777" w:rsidR="00D86EA0" w:rsidRPr="007224C3" w:rsidRDefault="00D86E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самолёт т. МИКОЯНА с мотором АМ-39 с ТК ожидает мотора, все сроки подачи ко</w:t>
      </w:r>
      <w:r w:rsidRPr="007224C3">
        <w:rPr>
          <w:rFonts w:ascii="Times New Roman" w:hAnsi="Times New Roman"/>
          <w:color w:val="000000" w:themeColor="text1"/>
          <w:sz w:val="16"/>
          <w:szCs w:val="16"/>
        </w:rPr>
        <w:softHyphen/>
        <w:t>торого по постановлению ГОКО давно истекли.</w:t>
      </w:r>
    </w:p>
    <w:p w14:paraId="4F8AFC0A" w14:textId="77777777" w:rsidR="00D86EA0" w:rsidRPr="007224C3" w:rsidRDefault="00D86E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Таким образом, вследствие непонятной бездеятельности мотористов мы оказыва</w:t>
      </w:r>
      <w:r w:rsidRPr="007224C3">
        <w:rPr>
          <w:rFonts w:ascii="Times New Roman" w:hAnsi="Times New Roman"/>
          <w:color w:val="000000" w:themeColor="text1"/>
          <w:sz w:val="16"/>
          <w:szCs w:val="16"/>
        </w:rPr>
        <w:softHyphen/>
        <w:t xml:space="preserve">емся безоружными перед лицом высотных самолётов врага. </w:t>
      </w:r>
      <w:r w:rsidRPr="007224C3">
        <w:rPr>
          <w:rStyle w:val="59"/>
          <w:rFonts w:ascii="Times New Roman" w:hAnsi="Times New Roman" w:cs="Times New Roman"/>
          <w:color w:val="000000" w:themeColor="text1"/>
          <w:sz w:val="16"/>
          <w:szCs w:val="16"/>
        </w:rPr>
        <w:t>Необходимо</w:t>
      </w:r>
      <w:r w:rsidRPr="007224C3">
        <w:rPr>
          <w:rFonts w:ascii="Times New Roman" w:hAnsi="Times New Roman"/>
          <w:color w:val="000000" w:themeColor="text1"/>
          <w:sz w:val="16"/>
          <w:szCs w:val="16"/>
        </w:rPr>
        <w:t>:</w:t>
      </w:r>
    </w:p>
    <w:p w14:paraId="21F3DFBE" w14:textId="77777777" w:rsidR="00D86EA0" w:rsidRPr="007224C3" w:rsidRDefault="00D86EA0" w:rsidP="007224C3">
      <w:pPr>
        <w:tabs>
          <w:tab w:val="left" w:pos="438"/>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Войти в Правительство с прилагаемым проектом постановления, в котором наме</w:t>
      </w:r>
      <w:r w:rsidRPr="007224C3">
        <w:rPr>
          <w:rFonts w:ascii="Times New Roman" w:hAnsi="Times New Roman"/>
          <w:color w:val="000000" w:themeColor="text1"/>
          <w:sz w:val="16"/>
          <w:szCs w:val="16"/>
        </w:rPr>
        <w:softHyphen/>
        <w:t>чены экстраординарные мероприятия по поощрению отработки высотных самолётов.</w:t>
      </w:r>
    </w:p>
    <w:p w14:paraId="23DB3E90" w14:textId="77777777" w:rsidR="00D86EA0" w:rsidRPr="007224C3" w:rsidRDefault="00D86EA0" w:rsidP="007224C3">
      <w:pPr>
        <w:tabs>
          <w:tab w:val="left" w:pos="440"/>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Наложить строгие взыскания на виновников задержки:</w:t>
      </w:r>
    </w:p>
    <w:p w14:paraId="2CFBD92E" w14:textId="77777777" w:rsidR="00D86EA0" w:rsidRPr="007224C3" w:rsidRDefault="00D86EA0" w:rsidP="007224C3">
      <w:pPr>
        <w:tabs>
          <w:tab w:val="left" w:pos="430"/>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отработки и развития мотора 105ПД,</w:t>
      </w:r>
    </w:p>
    <w:p w14:paraId="54C77C65" w14:textId="77777777" w:rsidR="00D86EA0" w:rsidRPr="007224C3" w:rsidRDefault="00D86EA0" w:rsidP="007224C3">
      <w:pPr>
        <w:tabs>
          <w:tab w:val="left" w:pos="454"/>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мотора АМ-39 с ТК,</w:t>
      </w:r>
    </w:p>
    <w:p w14:paraId="03FC21DC" w14:textId="77777777" w:rsidR="00D86EA0" w:rsidRPr="007224C3" w:rsidRDefault="00D86EA0" w:rsidP="007224C3">
      <w:pPr>
        <w:tabs>
          <w:tab w:val="left" w:pos="445"/>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отработки впрыска воды и системы ТК к мотору АШ-82ФН,</w:t>
      </w:r>
    </w:p>
    <w:p w14:paraId="7AABAF5D" w14:textId="77777777" w:rsidR="00D86EA0" w:rsidRPr="007224C3" w:rsidRDefault="00D86EA0" w:rsidP="007224C3">
      <w:pPr>
        <w:tabs>
          <w:tab w:val="left" w:pos="450"/>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серийного выпуска ТК.</w:t>
      </w:r>
    </w:p>
    <w:p w14:paraId="277376B3" w14:textId="77777777" w:rsidR="00D86EA0" w:rsidRPr="007224C3" w:rsidRDefault="00D86EA0" w:rsidP="007224C3">
      <w:pPr>
        <w:tabs>
          <w:tab w:val="left" w:pos="428"/>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Обязать 8 Главк и ЦИАМ бросить все силы на доводку моторных групп высотных истребителей т.т. ЯКОВЛЕВА, ЛАВОЧКИНА и МИКОЯНА.</w:t>
      </w:r>
    </w:p>
    <w:p w14:paraId="139D8ADF" w14:textId="77777777" w:rsidR="00D86EA0" w:rsidRPr="007224C3" w:rsidRDefault="00D86EA0" w:rsidP="007224C3">
      <w:pPr>
        <w:tabs>
          <w:tab w:val="left" w:pos="445"/>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Немедленно начать выпуск небольшой серии моторов М-105ПД».</w:t>
      </w:r>
    </w:p>
    <w:p w14:paraId="1DE53853" w14:textId="77777777" w:rsidR="00D86EA0" w:rsidRPr="007224C3" w:rsidRDefault="00D86E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общем, во всём виноваты мотористы — их всех надо наказать. Совершенно неспра</w:t>
      </w:r>
      <w:r w:rsidRPr="007224C3">
        <w:rPr>
          <w:rFonts w:ascii="Times New Roman" w:hAnsi="Times New Roman"/>
          <w:color w:val="000000" w:themeColor="text1"/>
          <w:sz w:val="16"/>
          <w:szCs w:val="16"/>
        </w:rPr>
        <w:softHyphen/>
        <w:t>ведливый вывод, но, с «аппаратной» точки зрения, абсолютно разумный: убрать из-под топора свою голову и подставить чужую. Тем более что поощрение, действительно, пред</w:t>
      </w:r>
      <w:r w:rsidRPr="007224C3">
        <w:rPr>
          <w:rFonts w:ascii="Times New Roman" w:hAnsi="Times New Roman"/>
          <w:color w:val="000000" w:themeColor="text1"/>
          <w:sz w:val="16"/>
          <w:szCs w:val="16"/>
        </w:rPr>
        <w:softHyphen/>
        <w:t>полагалось экстраординарное: «Установить первую премию в 1 миллион рублей опытно</w:t>
      </w:r>
      <w:r w:rsidRPr="007224C3">
        <w:rPr>
          <w:rFonts w:ascii="Times New Roman" w:hAnsi="Times New Roman"/>
          <w:color w:val="000000" w:themeColor="text1"/>
          <w:sz w:val="16"/>
          <w:szCs w:val="16"/>
        </w:rPr>
        <w:softHyphen/>
        <w:t>му самолётному конструкторскому бюро, которое первым даст самолёт-истребитель с потолком 14000 мт. На высоте 13000 мт самолёт должен иметь вертикальную скорость 2,5 мт в секунду и иметь продолжительность полёта не менее 30 минут. Самолёт должен нести не менее одной пушки калибра 20 мм с боезапасом 60 снарядов. Потолок, верти</w:t>
      </w:r>
      <w:r w:rsidRPr="007224C3">
        <w:rPr>
          <w:rFonts w:ascii="Times New Roman" w:hAnsi="Times New Roman"/>
          <w:color w:val="000000" w:themeColor="text1"/>
          <w:sz w:val="16"/>
          <w:szCs w:val="16"/>
        </w:rPr>
        <w:softHyphen/>
        <w:t>кальная скорость и продолжительность полёта должны быть определены государствен</w:t>
      </w:r>
      <w:r w:rsidRPr="007224C3">
        <w:rPr>
          <w:rFonts w:ascii="Times New Roman" w:hAnsi="Times New Roman"/>
          <w:color w:val="000000" w:themeColor="text1"/>
          <w:sz w:val="16"/>
          <w:szCs w:val="16"/>
        </w:rPr>
        <w:softHyphen/>
        <w:t>ным испытанием. Из указанной премии в 1 миллион рублей, 50% выдается лично глав</w:t>
      </w:r>
      <w:r w:rsidRPr="007224C3">
        <w:rPr>
          <w:rFonts w:ascii="Times New Roman" w:hAnsi="Times New Roman"/>
          <w:color w:val="000000" w:themeColor="text1"/>
          <w:sz w:val="16"/>
          <w:szCs w:val="16"/>
        </w:rPr>
        <w:softHyphen/>
        <w:t>ному конструктору самолёта и 50% — коллективу ОКБ». Премия в 500 тыс. руб. устанав</w:t>
      </w:r>
      <w:r w:rsidRPr="007224C3">
        <w:rPr>
          <w:rFonts w:ascii="Times New Roman" w:hAnsi="Times New Roman"/>
          <w:color w:val="000000" w:themeColor="text1"/>
          <w:sz w:val="16"/>
          <w:szCs w:val="16"/>
        </w:rPr>
        <w:softHyphen/>
        <w:t>ливалась за самолёт с потолком 13500 м, премии 1 млн. и 500 тыс. руб. выплачивались опытно-моторным КБ, в зависимости от того, в решении какой из задач использовался разработанный ими мотор. Половина премии во всех случаях выдавалась лично главно</w:t>
      </w:r>
      <w:r w:rsidRPr="007224C3">
        <w:rPr>
          <w:rFonts w:ascii="Times New Roman" w:hAnsi="Times New Roman"/>
          <w:color w:val="000000" w:themeColor="text1"/>
          <w:sz w:val="16"/>
          <w:szCs w:val="16"/>
        </w:rPr>
        <w:softHyphen/>
        <w:t>му конструктору самолёта или мотора. Помимо денежных премий, главных конструкто</w:t>
      </w:r>
      <w:r w:rsidRPr="007224C3">
        <w:rPr>
          <w:rFonts w:ascii="Times New Roman" w:hAnsi="Times New Roman"/>
          <w:color w:val="000000" w:themeColor="text1"/>
          <w:sz w:val="16"/>
          <w:szCs w:val="16"/>
        </w:rPr>
        <w:softHyphen/>
        <w:t>ров, первыми решившими поставленную задачу, и лучших работников их коллективов Наркомавиапром представлял к правительственным наградам (15830).</w:t>
      </w:r>
    </w:p>
    <w:p w14:paraId="7DAE7B2D" w14:textId="77777777" w:rsidR="00D86EA0" w:rsidRPr="007224C3" w:rsidRDefault="00D86EA0" w:rsidP="007224C3">
      <w:pPr>
        <w:spacing w:after="0" w:line="240" w:lineRule="auto"/>
        <w:jc w:val="both"/>
        <w:rPr>
          <w:rFonts w:ascii="Times New Roman" w:hAnsi="Times New Roman"/>
          <w:color w:val="000000" w:themeColor="text1"/>
          <w:sz w:val="16"/>
          <w:szCs w:val="16"/>
        </w:rPr>
      </w:pPr>
    </w:p>
    <w:p w14:paraId="29B861F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1944 года заводу № 31 в Тбилиси было поручено наладить выпуск новых истребителей ЯК-3 с мотором ВК-105ПФ. С апреля 1944 года завод приступил к серийному выпуску этого самолета. В 1944 году директор Саладзе В.Е. В начале 1945 года завод получил новое задание подготовиться к выпуску новой машины ЯК-3 с мотором ВК-107А с металлическими крыльями (директор Саладзе).</w:t>
      </w:r>
    </w:p>
    <w:p w14:paraId="2191FFF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Ввиду того. Что самолет ЯК-3 с ВК-107А не был доработан оказалось много конструктивных недостатков, приходилось несколько раз переделывать агрегаты, а иногда браковать готовые изделия.</w:t>
      </w:r>
    </w:p>
    <w:p w14:paraId="79148C8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Постановлением СМ от 12 сентября 1946 года за № 2049-846 заводу было дано новое задание: сдать до 20-го октября 1946 года 15 самолетов ЯК-15 с реактивными двигателями (директор Саладзе). С 1 января 1947 года завод полностью переключился на серийный выпуск самолетов ЯК-15 с реактивным двигателем РД-10.</w:t>
      </w:r>
    </w:p>
    <w:p w14:paraId="245FF7E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Согласно постановлению СМ за № 3284-1071с от 17 сентября 1947 года дается новое задание по выпуску 2-х местных учебно-тренировочных истребителей ЯК-17 с реактивным двигателем РД-10 (директор Саладзе), серийный выпуск которых заводом был налажен в кратчайший срок, а производство самолетов ЯК-15 прекращено. В марте 1948 года по постановлению СМ за № 878-220с завод приступает к запуску в производство истребителей ЯК-17 боевой с реактивным двигателем РД-10 (директор Саладзе, а с июля 1948 года директором назначен Хведилиани Я.Р.), а выпускаемый заводом учебно-тренировочный истребитель получает наименование УТИ ЯК-17.</w:t>
      </w:r>
    </w:p>
    <w:p w14:paraId="10B713B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Постепенно самолет УТИ ЯК-17 с производства снимается и завод полностью переключается на выпуск боевых машин ЯК-17 боевой. В декабре 1948 года завод получает новое правительственное задание начать выпуск самолета ЯК-23 с двигателем РД-500 (директор Хведелиани). В июле 1949 года завод получает новое Правительственное задание приступить к выпуску одноместных боевых реактивных истребителей МИГ-15. Однако в дальнейшем завод получил распоряжение запуск машины МИГ-15 прекратить и продолжить выпуск самолетов ЯК-23, которые завод выпускал до конца 1950 года. В начале 1951 года завод получает распоряжение Правительства прекратить производство самолетов ЯК-23 и приступить к запуску самолетов МИГ-15бис (директор Хведелиани).</w:t>
      </w:r>
    </w:p>
    <w:p w14:paraId="5A7B49E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Согласно Постановлению СМ за № 3143-1481сс от 25 августа 1951 года и приказа МАП за № 851сс от 1 сентября 1951 года, завод получает задание подготовиться к выпуску нового самолета МИГ-17 и обеспечить его выпуск с декабря 1952 года.</w:t>
      </w:r>
    </w:p>
    <w:p w14:paraId="46CF5CF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завода Хведелиани</w:t>
      </w:r>
    </w:p>
    <w:p w14:paraId="1C2E4A1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Адрес: Тбилиси, п/я 51</w:t>
      </w:r>
    </w:p>
    <w:p w14:paraId="36DD56C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июля 1956 года завод приступил к освоению нового самолета МИГ-21 (9821).</w:t>
      </w:r>
    </w:p>
    <w:p w14:paraId="6457FFB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FAECE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1944 г. часть оборудования завода № 1 была передана для формирования нового завода № 473 НКАП (11982).</w:t>
      </w:r>
    </w:p>
    <w:p w14:paraId="1B5E007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00451D85" w14:textId="77777777" w:rsidR="00D86EA0" w:rsidRPr="007224C3" w:rsidRDefault="00D86E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В начале 1944 г. ЛИИ НКАП исследовал причины выхода из строя анероидов. Иссле</w:t>
      </w:r>
      <w:r w:rsidRPr="007224C3">
        <w:rPr>
          <w:rFonts w:ascii="Times New Roman" w:hAnsi="Times New Roman"/>
          <w:color w:val="000000" w:themeColor="text1"/>
          <w:sz w:val="16"/>
          <w:szCs w:val="16"/>
        </w:rPr>
        <w:softHyphen/>
        <w:t>дования показали, что причиной этого массового дефекта являлись тяжёлые вибраци</w:t>
      </w:r>
      <w:r w:rsidRPr="007224C3">
        <w:rPr>
          <w:rFonts w:ascii="Times New Roman" w:hAnsi="Times New Roman"/>
          <w:color w:val="000000" w:themeColor="text1"/>
          <w:sz w:val="16"/>
          <w:szCs w:val="16"/>
        </w:rPr>
        <w:softHyphen/>
        <w:t>онные условия работы анероидов, вызываемые неудачной компоновкой автомата РС-2 на насосе НБ-ЗУ (15829).</w:t>
      </w:r>
    </w:p>
    <w:p w14:paraId="768A1895" w14:textId="77777777" w:rsidR="00D86EA0" w:rsidRPr="007224C3" w:rsidRDefault="00D86EA0" w:rsidP="007224C3">
      <w:pPr>
        <w:pStyle w:val="5b"/>
        <w:shd w:val="clear" w:color="auto" w:fill="auto"/>
        <w:spacing w:before="0" w:line="240" w:lineRule="auto"/>
        <w:rPr>
          <w:color w:val="000000" w:themeColor="text1"/>
          <w:sz w:val="16"/>
          <w:szCs w:val="16"/>
        </w:rPr>
      </w:pPr>
    </w:p>
    <w:p w14:paraId="2ADDFED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1944 года ЛИИ НКАП исследовал причины выхода из строя анероидов, вызывавших нестабильную работу регулятора сме</w:t>
      </w:r>
      <w:r w:rsidRPr="007224C3">
        <w:rPr>
          <w:rFonts w:ascii="Times New Roman" w:hAnsi="Times New Roman"/>
          <w:color w:val="000000" w:themeColor="text1"/>
          <w:sz w:val="16"/>
          <w:szCs w:val="16"/>
        </w:rPr>
        <w:softHyphen/>
        <w:t>си РС-2 насоса НБ-ЗУ, которая стала другим дефектом двигателя М-82ФН, долго досаждавшим в эксплуатации. Было установ</w:t>
      </w:r>
      <w:r w:rsidRPr="007224C3">
        <w:rPr>
          <w:rFonts w:ascii="Times New Roman" w:hAnsi="Times New Roman"/>
          <w:color w:val="000000" w:themeColor="text1"/>
          <w:sz w:val="16"/>
          <w:szCs w:val="16"/>
        </w:rPr>
        <w:softHyphen/>
        <w:t>лено, что автомат смеси РС-2 с се</w:t>
      </w:r>
      <w:r w:rsidRPr="007224C3">
        <w:rPr>
          <w:rFonts w:ascii="Times New Roman" w:hAnsi="Times New Roman"/>
          <w:color w:val="000000" w:themeColor="text1"/>
          <w:sz w:val="16"/>
          <w:szCs w:val="16"/>
        </w:rPr>
        <w:softHyphen/>
        <w:t>рийными анероидами после 15-30 часов работы мотора самопроизволь</w:t>
      </w:r>
      <w:r w:rsidRPr="007224C3">
        <w:rPr>
          <w:rFonts w:ascii="Times New Roman" w:hAnsi="Times New Roman"/>
          <w:color w:val="000000" w:themeColor="text1"/>
          <w:sz w:val="16"/>
          <w:szCs w:val="16"/>
        </w:rPr>
        <w:softHyphen/>
        <w:t>но обогащал смесь, о чем свидетель</w:t>
      </w:r>
      <w:r w:rsidRPr="007224C3">
        <w:rPr>
          <w:rFonts w:ascii="Times New Roman" w:hAnsi="Times New Roman"/>
          <w:color w:val="000000" w:themeColor="text1"/>
          <w:sz w:val="16"/>
          <w:szCs w:val="16"/>
        </w:rPr>
        <w:softHyphen/>
        <w:t>ствовало дымление мотора. Расход горючего возрастал, а скорость и даль</w:t>
      </w:r>
      <w:r w:rsidRPr="007224C3">
        <w:rPr>
          <w:rFonts w:ascii="Times New Roman" w:hAnsi="Times New Roman"/>
          <w:color w:val="000000" w:themeColor="text1"/>
          <w:sz w:val="16"/>
          <w:szCs w:val="16"/>
        </w:rPr>
        <w:softHyphen/>
        <w:t>ность полета снижались, и требова</w:t>
      </w:r>
      <w:r w:rsidRPr="007224C3">
        <w:rPr>
          <w:rFonts w:ascii="Times New Roman" w:hAnsi="Times New Roman"/>
          <w:color w:val="000000" w:themeColor="text1"/>
          <w:sz w:val="16"/>
          <w:szCs w:val="16"/>
        </w:rPr>
        <w:softHyphen/>
        <w:t>лась значительная подрегулировка смеси шайбой анероидов в сторону забеднения. Исследования показали, что причиной этого массового дефек</w:t>
      </w:r>
      <w:r w:rsidRPr="007224C3">
        <w:rPr>
          <w:rFonts w:ascii="Times New Roman" w:hAnsi="Times New Roman"/>
          <w:color w:val="000000" w:themeColor="text1"/>
          <w:sz w:val="16"/>
          <w:szCs w:val="16"/>
        </w:rPr>
        <w:softHyphen/>
        <w:t>та являлись тяжелые вибрационные условия работы анероидов, вызывае</w:t>
      </w:r>
      <w:r w:rsidRPr="007224C3">
        <w:rPr>
          <w:rFonts w:ascii="Times New Roman" w:hAnsi="Times New Roman"/>
          <w:color w:val="000000" w:themeColor="text1"/>
          <w:sz w:val="16"/>
          <w:szCs w:val="16"/>
        </w:rPr>
        <w:softHyphen/>
        <w:t>мые неудачной компоновкой автома</w:t>
      </w:r>
      <w:r w:rsidRPr="007224C3">
        <w:rPr>
          <w:rFonts w:ascii="Times New Roman" w:hAnsi="Times New Roman"/>
          <w:color w:val="000000" w:themeColor="text1"/>
          <w:sz w:val="16"/>
          <w:szCs w:val="16"/>
        </w:rPr>
        <w:softHyphen/>
        <w:t>та РС-2 на насосе НБ-ЗУ. Для устранения этого дефекта ЦИАМ предложил вариант равновы-сотных или равнонаполненных ане</w:t>
      </w:r>
      <w:r w:rsidRPr="007224C3">
        <w:rPr>
          <w:rFonts w:ascii="Times New Roman" w:hAnsi="Times New Roman"/>
          <w:color w:val="000000" w:themeColor="text1"/>
          <w:sz w:val="16"/>
          <w:szCs w:val="16"/>
        </w:rPr>
        <w:softHyphen/>
        <w:t>роидов, отличающийся от серийных тем, что в трех газонаполненных ане</w:t>
      </w:r>
      <w:r w:rsidRPr="007224C3">
        <w:rPr>
          <w:rFonts w:ascii="Times New Roman" w:hAnsi="Times New Roman"/>
          <w:color w:val="000000" w:themeColor="text1"/>
          <w:sz w:val="16"/>
          <w:szCs w:val="16"/>
        </w:rPr>
        <w:softHyphen/>
        <w:t>роидах при их запайке оставлялось остаточное давление воздуха 600-650 мм рт.ст. вместо 400-550 мм у се</w:t>
      </w:r>
      <w:r w:rsidRPr="007224C3">
        <w:rPr>
          <w:rFonts w:ascii="Times New Roman" w:hAnsi="Times New Roman"/>
          <w:color w:val="000000" w:themeColor="text1"/>
          <w:sz w:val="16"/>
          <w:szCs w:val="16"/>
        </w:rPr>
        <w:softHyphen/>
        <w:t>рийных анероидов, что делало анеро</w:t>
      </w:r>
      <w:r w:rsidRPr="007224C3">
        <w:rPr>
          <w:rFonts w:ascii="Times New Roman" w:hAnsi="Times New Roman"/>
          <w:color w:val="000000" w:themeColor="text1"/>
          <w:sz w:val="16"/>
          <w:szCs w:val="16"/>
        </w:rPr>
        <w:softHyphen/>
        <w:t>иды более упругими и равнонапол-ненными или равновысотными по от</w:t>
      </w:r>
      <w:r w:rsidRPr="007224C3">
        <w:rPr>
          <w:rFonts w:ascii="Times New Roman" w:hAnsi="Times New Roman"/>
          <w:color w:val="000000" w:themeColor="text1"/>
          <w:sz w:val="16"/>
          <w:szCs w:val="16"/>
        </w:rPr>
        <w:softHyphen/>
        <w:t>ношению друг к другу. В то же время ЦЗЛ завода №133 была предложена новая конструкция комплектов анероидов автомата сме</w:t>
      </w:r>
      <w:r w:rsidRPr="007224C3">
        <w:rPr>
          <w:rFonts w:ascii="Times New Roman" w:hAnsi="Times New Roman"/>
          <w:color w:val="000000" w:themeColor="text1"/>
          <w:sz w:val="16"/>
          <w:szCs w:val="16"/>
        </w:rPr>
        <w:softHyphen/>
        <w:t>си РС-2 - малогабаритные анероиды. Опытные анероиды автомата сме</w:t>
      </w:r>
      <w:r w:rsidRPr="007224C3">
        <w:rPr>
          <w:rFonts w:ascii="Times New Roman" w:hAnsi="Times New Roman"/>
          <w:color w:val="000000" w:themeColor="text1"/>
          <w:sz w:val="16"/>
          <w:szCs w:val="16"/>
        </w:rPr>
        <w:softHyphen/>
        <w:t>си РС-2 (малогабаритные и равновысотные) были установлены вместо се</w:t>
      </w:r>
      <w:r w:rsidRPr="007224C3">
        <w:rPr>
          <w:rFonts w:ascii="Times New Roman" w:hAnsi="Times New Roman"/>
          <w:color w:val="000000" w:themeColor="text1"/>
          <w:sz w:val="16"/>
          <w:szCs w:val="16"/>
        </w:rPr>
        <w:softHyphen/>
        <w:t>рийных на самолетах Ла-5 с АШ-82ФН и прошли войсковые испыта</w:t>
      </w:r>
      <w:r w:rsidRPr="007224C3">
        <w:rPr>
          <w:rFonts w:ascii="Times New Roman" w:hAnsi="Times New Roman"/>
          <w:color w:val="000000" w:themeColor="text1"/>
          <w:sz w:val="16"/>
          <w:szCs w:val="16"/>
        </w:rPr>
        <w:softHyphen/>
        <w:t>ния в условиях учебно-боевой и бо</w:t>
      </w:r>
      <w:r w:rsidRPr="007224C3">
        <w:rPr>
          <w:rFonts w:ascii="Times New Roman" w:hAnsi="Times New Roman"/>
          <w:color w:val="000000" w:themeColor="text1"/>
          <w:sz w:val="16"/>
          <w:szCs w:val="16"/>
        </w:rPr>
        <w:softHyphen/>
        <w:t>евой работы 161 и 609 ИАП 330 Островской ИАД 14 ВА на 3-м При</w:t>
      </w:r>
      <w:r w:rsidRPr="007224C3">
        <w:rPr>
          <w:rFonts w:ascii="Times New Roman" w:hAnsi="Times New Roman"/>
          <w:color w:val="000000" w:themeColor="text1"/>
          <w:sz w:val="16"/>
          <w:szCs w:val="16"/>
        </w:rPr>
        <w:softHyphen/>
        <w:t>балтийском фронте в период с 5 мая по 5 сентября 1944 года (10714).</w:t>
      </w:r>
    </w:p>
    <w:p w14:paraId="2186904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25A4F5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1944 г. ОКБ—155 в инициативном порядке модифицировало истребитель И—220 зав. № 02. На самолете, получив</w:t>
      </w:r>
      <w:r w:rsidRPr="007224C3">
        <w:rPr>
          <w:rFonts w:ascii="Times New Roman" w:hAnsi="Times New Roman"/>
          <w:color w:val="000000" w:themeColor="text1"/>
          <w:sz w:val="16"/>
          <w:szCs w:val="16"/>
        </w:rPr>
        <w:softHyphen/>
        <w:t>шем название И—225 и шифр «5А», помимо нового мотора АМ-42 и турбокомпрессора смонтировали воздухо-воздушный радиатор для охлаждения воздуха, посту</w:t>
      </w:r>
      <w:r w:rsidRPr="007224C3">
        <w:rPr>
          <w:rFonts w:ascii="Times New Roman" w:hAnsi="Times New Roman"/>
          <w:color w:val="000000" w:themeColor="text1"/>
          <w:sz w:val="16"/>
          <w:szCs w:val="16"/>
        </w:rPr>
        <w:softHyphen/>
        <w:t>пающего в карбюраторы двигателя, и трехлопастный винт АВ—5ЛВ—22А диаметром 3,6 м. Форси</w:t>
      </w:r>
      <w:r w:rsidRPr="007224C3">
        <w:rPr>
          <w:rFonts w:ascii="Times New Roman" w:hAnsi="Times New Roman"/>
          <w:color w:val="000000" w:themeColor="text1"/>
          <w:sz w:val="16"/>
          <w:szCs w:val="16"/>
        </w:rPr>
        <w:softHyphen/>
        <w:t>рованный вариант мотора АМ—42 (буква Ф в названии) был дополнен односкоростным привод</w:t>
      </w:r>
      <w:r w:rsidRPr="007224C3">
        <w:rPr>
          <w:rFonts w:ascii="Times New Roman" w:hAnsi="Times New Roman"/>
          <w:color w:val="000000" w:themeColor="text1"/>
          <w:sz w:val="16"/>
          <w:szCs w:val="16"/>
        </w:rPr>
        <w:softHyphen/>
        <w:t>ным центробежным нагнетателем (буква Б), сопря</w:t>
      </w:r>
      <w:r w:rsidRPr="007224C3">
        <w:rPr>
          <w:rFonts w:ascii="Times New Roman" w:hAnsi="Times New Roman"/>
          <w:color w:val="000000" w:themeColor="text1"/>
          <w:sz w:val="16"/>
          <w:szCs w:val="16"/>
        </w:rPr>
        <w:softHyphen/>
        <w:t>женным с турбокомпрессором. В основу конструк</w:t>
      </w:r>
      <w:r w:rsidRPr="007224C3">
        <w:rPr>
          <w:rFonts w:ascii="Times New Roman" w:hAnsi="Times New Roman"/>
          <w:color w:val="000000" w:themeColor="text1"/>
          <w:sz w:val="16"/>
          <w:szCs w:val="16"/>
        </w:rPr>
        <w:softHyphen/>
        <w:t>ции турбокомпрессора легли два изобретения Микулина:</w:t>
      </w:r>
    </w:p>
    <w:p w14:paraId="1DA251A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постановка турбокомпрессора на один блок мо</w:t>
      </w:r>
      <w:r w:rsidRPr="007224C3">
        <w:rPr>
          <w:rFonts w:ascii="Times New Roman" w:hAnsi="Times New Roman"/>
          <w:color w:val="000000" w:themeColor="text1"/>
          <w:sz w:val="16"/>
          <w:szCs w:val="16"/>
        </w:rPr>
        <w:softHyphen/>
        <w:t>тора при сохранении реактивного выхлопа с другого блока, что позволяло увеличить скорость самолета и отказаться от ручной регулировки, увеличивало по</w:t>
      </w:r>
      <w:r w:rsidRPr="007224C3">
        <w:rPr>
          <w:rFonts w:ascii="Times New Roman" w:hAnsi="Times New Roman"/>
          <w:color w:val="000000" w:themeColor="text1"/>
          <w:sz w:val="16"/>
          <w:szCs w:val="16"/>
        </w:rPr>
        <w:softHyphen/>
        <w:t>лезную мощность мотора и заметно снижало темпе</w:t>
      </w:r>
      <w:r w:rsidRPr="007224C3">
        <w:rPr>
          <w:rFonts w:ascii="Times New Roman" w:hAnsi="Times New Roman"/>
          <w:color w:val="000000" w:themeColor="text1"/>
          <w:sz w:val="16"/>
          <w:szCs w:val="16"/>
        </w:rPr>
        <w:softHyphen/>
        <w:t>ратуру газа на лопатках турбины;</w:t>
      </w:r>
    </w:p>
    <w:p w14:paraId="77239BC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применение широкохордных лопаток турбины, изготовленных методом фрезерования с приданием эллиптической формы поверхностям, что позволило уменьшить стоимость изготовления и повысило прочность лопаток (9984).</w:t>
      </w:r>
    </w:p>
    <w:p w14:paraId="2C1D1EC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31A1C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1944 г. в инициативном по</w:t>
      </w:r>
      <w:r w:rsidRPr="007224C3">
        <w:rPr>
          <w:rFonts w:ascii="Times New Roman" w:hAnsi="Times New Roman"/>
          <w:color w:val="000000" w:themeColor="text1"/>
          <w:sz w:val="16"/>
          <w:szCs w:val="16"/>
        </w:rPr>
        <w:softHyphen/>
        <w:t>рядке Н.Н.П. был разработан эскизный проект истребителя с комбинированной сило</w:t>
      </w:r>
      <w:r w:rsidRPr="007224C3">
        <w:rPr>
          <w:rFonts w:ascii="Times New Roman" w:hAnsi="Times New Roman"/>
          <w:color w:val="000000" w:themeColor="text1"/>
          <w:sz w:val="16"/>
          <w:szCs w:val="16"/>
        </w:rPr>
        <w:softHyphen/>
        <w:t>вой установкой, которая состояла из од</w:t>
      </w:r>
      <w:r w:rsidRPr="007224C3">
        <w:rPr>
          <w:rFonts w:ascii="Times New Roman" w:hAnsi="Times New Roman"/>
          <w:color w:val="000000" w:themeColor="text1"/>
          <w:sz w:val="16"/>
          <w:szCs w:val="16"/>
        </w:rPr>
        <w:softHyphen/>
        <w:t>ного поршневого двигателя М-105А с воздушным винтом и дополнительного компрессорного воздушно-реактивного двигателя (ВРДК), выполнявшего функ</w:t>
      </w:r>
      <w:r w:rsidRPr="007224C3">
        <w:rPr>
          <w:rFonts w:ascii="Times New Roman" w:hAnsi="Times New Roman"/>
          <w:color w:val="000000" w:themeColor="text1"/>
          <w:sz w:val="16"/>
          <w:szCs w:val="16"/>
        </w:rPr>
        <w:softHyphen/>
        <w:t>цию ускорителя. Компрессор приводился во вращение двигателем М-105А при помощи вала и двухскоростной передачи (10719).</w:t>
      </w:r>
    </w:p>
    <w:p w14:paraId="2F1792E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66B727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1944 вышел доклад нач. ПГУ за 1943:</w:t>
      </w:r>
    </w:p>
    <w:p w14:paraId="53135B8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"Перед ПГУ были поставлены на 1943 следующие основные задачи:</w:t>
      </w:r>
    </w:p>
    <w:p w14:paraId="28AB468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Увеличение выпуска самолетов-истребителей типа Яковлев и Лавочкин</w:t>
      </w:r>
    </w:p>
    <w:p w14:paraId="4DBC6B0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Всемерное улучшение их ЛТД, а также обеспечение выпуска новых модификаций.</w:t>
      </w:r>
    </w:p>
    <w:p w14:paraId="5062ACC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...Основными, проведенными в 1943 конструктивными изменениями самолетов-истребителей, улучшающими их ЛТ и БД явились:</w:t>
      </w:r>
    </w:p>
    <w:p w14:paraId="748C3CB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Улучшение аэродинамики за счет проведения тщательной герметизацуии отдельных агрегатов и придания им лучшей аэродинамики.</w:t>
      </w:r>
    </w:p>
    <w:p w14:paraId="430134A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Улучшение обзора задней полусферы из кабины л снижением гаргрота фюзеляжа и переоборудованием фонаря.</w:t>
      </w:r>
    </w:p>
    <w:p w14:paraId="204EE41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Переход на изготовление самолетов Як-9 с металлическими лонжеронами крыла, что позволило облегчить конструкцию и увеличить запас горючего для достижения большей дальности</w:t>
      </w:r>
    </w:p>
    <w:p w14:paraId="0D90D08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Оборудование прозрачной бронезащиты козырька и задней части фонаря кабины л на Як-1, Як-9 и Ла-5</w:t>
      </w:r>
    </w:p>
    <w:p w14:paraId="079D595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Улучшение системы ведения и управления огнем с применением электропусков ЭЛС, пневмоэлектропусков ПЭС-1 и спец. ручек управления взамен механического способа</w:t>
      </w:r>
    </w:p>
    <w:p w14:paraId="3A780C5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Устройство блокированного управления винтом совместно с газом и кнопки управления радиосвязью на ручке кетора газа взамен тумблера на доске, облегчающих ведение огня л</w:t>
      </w:r>
    </w:p>
    <w:p w14:paraId="2A7EE50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Устранение неравномерной выработки горючег, изменением схемы бензопроводки и улучшением сземы нейтрального газа." (1959).</w:t>
      </w:r>
    </w:p>
    <w:p w14:paraId="61256C4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B7A9BF" w14:textId="77777777" w:rsidR="00903E13" w:rsidRPr="007224C3" w:rsidRDefault="00903E13" w:rsidP="007224C3">
      <w:pPr>
        <w:pStyle w:val="27"/>
        <w:shd w:val="clear" w:color="auto" w:fill="auto"/>
        <w:spacing w:after="0" w:line="240" w:lineRule="auto"/>
        <w:ind w:firstLine="0"/>
        <w:rPr>
          <w:rFonts w:ascii="Times New Roman" w:cs="Times New Roman"/>
          <w:color w:val="000000" w:themeColor="text1"/>
          <w:spacing w:val="0"/>
        </w:rPr>
      </w:pPr>
      <w:r w:rsidRPr="007224C3">
        <w:rPr>
          <w:rFonts w:ascii="Times New Roman" w:cs="Times New Roman"/>
          <w:color w:val="000000" w:themeColor="text1"/>
          <w:spacing w:val="0"/>
        </w:rPr>
        <w:t>В начале 1944 г. первые прототипы Як-9У попали на испытания только и... закономерно их не выдержали. Более того, первый прототип Як-9У раз</w:t>
      </w:r>
      <w:r w:rsidRPr="007224C3">
        <w:rPr>
          <w:rFonts w:ascii="Times New Roman" w:cs="Times New Roman"/>
          <w:color w:val="000000" w:themeColor="text1"/>
          <w:spacing w:val="0"/>
        </w:rPr>
        <w:softHyphen/>
        <w:t>бился из-за пожара двигателя в апреле 1944 г., при этом погиб летчик-испы- татель А. Кокин. На втором прототипе Як-9У в феврале 1944 г., после всего 9 часов работы разрушились подшип</w:t>
      </w:r>
      <w:r w:rsidRPr="007224C3">
        <w:rPr>
          <w:rFonts w:ascii="Times New Roman" w:cs="Times New Roman"/>
          <w:color w:val="000000" w:themeColor="text1"/>
          <w:spacing w:val="0"/>
        </w:rPr>
        <w:softHyphen/>
        <w:t>ники нагнетателя, и двигатель заклинило. Летчик-испытатель А. Прошаков с боль</w:t>
      </w:r>
      <w:r w:rsidRPr="007224C3">
        <w:rPr>
          <w:rFonts w:ascii="Times New Roman" w:cs="Times New Roman"/>
          <w:color w:val="000000" w:themeColor="text1"/>
          <w:spacing w:val="0"/>
        </w:rPr>
        <w:softHyphen/>
        <w:t>шим трудом посадил аварийную машину. В отчете о дальнейших испытаниях акку</w:t>
      </w:r>
      <w:r w:rsidRPr="007224C3">
        <w:rPr>
          <w:rFonts w:ascii="Times New Roman" w:cs="Times New Roman"/>
          <w:color w:val="000000" w:themeColor="text1"/>
          <w:spacing w:val="0"/>
        </w:rPr>
        <w:softHyphen/>
        <w:t>ратно говорилось о том, что, хотя Як-9У, по идее, должен превосходить основные немецкие истребители (была достигнута максимальная скорость 700 км/ч), все же «большое количество серьезных дефек</w:t>
      </w:r>
      <w:r w:rsidRPr="007224C3">
        <w:rPr>
          <w:rFonts w:ascii="Times New Roman" w:cs="Times New Roman"/>
          <w:color w:val="000000" w:themeColor="text1"/>
          <w:spacing w:val="0"/>
        </w:rPr>
        <w:softHyphen/>
        <w:t>тов, особенно по винтомоторной группе, не позволяет нормально эксплуатировать этот самолет на всем диапазоне высот».</w:t>
      </w:r>
    </w:p>
    <w:p w14:paraId="67F7E8F0" w14:textId="77777777" w:rsidR="00903E13" w:rsidRPr="007224C3" w:rsidRDefault="00903E13" w:rsidP="007224C3">
      <w:pPr>
        <w:pStyle w:val="27"/>
        <w:shd w:val="clear" w:color="auto" w:fill="auto"/>
        <w:spacing w:after="0" w:line="240" w:lineRule="auto"/>
        <w:ind w:firstLine="0"/>
        <w:rPr>
          <w:rFonts w:ascii="Times New Roman" w:cs="Times New Roman"/>
          <w:color w:val="000000" w:themeColor="text1"/>
          <w:spacing w:val="0"/>
        </w:rPr>
      </w:pPr>
      <w:r w:rsidRPr="007224C3">
        <w:rPr>
          <w:rFonts w:ascii="Times New Roman" w:cs="Times New Roman"/>
          <w:color w:val="000000" w:themeColor="text1"/>
          <w:spacing w:val="0"/>
        </w:rPr>
        <w:t>Однако ожидаемые боевые возможно</w:t>
      </w:r>
      <w:r w:rsidRPr="007224C3">
        <w:rPr>
          <w:rFonts w:ascii="Times New Roman" w:cs="Times New Roman"/>
          <w:color w:val="000000" w:themeColor="text1"/>
          <w:spacing w:val="0"/>
        </w:rPr>
        <w:softHyphen/>
        <w:t>сти самолета были столь высоки, что уже в мае 1944 г. его запустили в массовое про</w:t>
      </w:r>
      <w:r w:rsidRPr="007224C3">
        <w:rPr>
          <w:rFonts w:ascii="Times New Roman" w:cs="Times New Roman"/>
          <w:color w:val="000000" w:themeColor="text1"/>
          <w:spacing w:val="0"/>
        </w:rPr>
        <w:softHyphen/>
        <w:t>изводство (12741).</w:t>
      </w:r>
    </w:p>
    <w:p w14:paraId="2CB03666" w14:textId="77777777" w:rsidR="00903E13" w:rsidRPr="007224C3" w:rsidRDefault="00903E13" w:rsidP="007224C3">
      <w:pPr>
        <w:pStyle w:val="27"/>
        <w:shd w:val="clear" w:color="auto" w:fill="auto"/>
        <w:spacing w:after="0" w:line="240" w:lineRule="auto"/>
        <w:ind w:firstLine="0"/>
        <w:rPr>
          <w:rFonts w:ascii="Times New Roman" w:cs="Times New Roman"/>
          <w:color w:val="000000" w:themeColor="text1"/>
          <w:spacing w:val="0"/>
        </w:rPr>
      </w:pPr>
    </w:p>
    <w:p w14:paraId="7F23C08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началу 1944 года были выполнены первые проработки по теме модифицированного тяжелого дальнего бомбардировщика Пе-8 с увеличенной бомбовой нагрузкой, с двигателями АШ-82ФН ТК-3. По самолету был подготовлен эскизный проект. По сравнению с серийным Пе-8 проект предусматривал следующие изменения:</w:t>
      </w:r>
    </w:p>
    <w:p w14:paraId="199D838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Новую компоновку передней части фюзеляжа с целью расположения обоих летчиков рядом, с одновременным выносом их кабины вперед для улучшения обзора в стороны. Этим создавались лучшие условия для совместной работы летчиков, значительно упрощались монтаж управления самолетом и моторами, сокращалось количество приборов и некоторого оборудования. В связи с выносом летчиков вперед, изменялась также кабина штурманов. Сокращалась ее длина, штурманы были приближены к носу самолета, что значительно улучшило обзор. В носу фюзеляжа был установлен крупнокалиберный пулемет 12,7 мм на шаровой опоре, с конусом обстрела в 60 градусов, обслуживаемый помощником штурмана.</w:t>
      </w:r>
    </w:p>
    <w:p w14:paraId="4ACB004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2.Увеличение длины бомбового отсека до размеров, обеспечивающих размещение: 1 бомбы ФАБ-5000, 2 бомб ФАБ-2000, 6 бомб ФАБ-1000, 9 бомб ФАБ-500, 16 бомб ФАБ-250, 32 бомб ФАБ-100. Увеличение емкости бомбового отсека достигалось за счет удлинения его вперед и в сторону хвостовой части фюзеляжа, с добавлением соответствующего количества балок с бомбодержателями. В связи с этим изменялось место радиста, его разместили позади первого пилота, рядом с бортмехаником.</w:t>
      </w:r>
    </w:p>
    <w:p w14:paraId="68D736E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3.Улучшение аэродинамики самолета за счет:</w:t>
      </w:r>
    </w:p>
    <w:p w14:paraId="236321B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уменьшения миделя фюзеляжа;</w:t>
      </w:r>
    </w:p>
    <w:p w14:paraId="2D10B6A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уменьшения миделя туннелей во-дорадиаторов и обтекателей шасси,</w:t>
      </w:r>
    </w:p>
    <w:p w14:paraId="753D053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полного убирания шасси и хвостового колеса;</w:t>
      </w:r>
    </w:p>
    <w:p w14:paraId="40FD8D7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 понижения уровня спинной турели;</w:t>
      </w:r>
    </w:p>
    <w:p w14:paraId="5A298F9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 потайной клепки по всему планеру самолета;</w:t>
      </w:r>
    </w:p>
    <w:p w14:paraId="07772B0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е) герметизации планера (не путать с герметическим фюзеляжем).</w:t>
      </w:r>
    </w:p>
    <w:p w14:paraId="01BAF08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4.Увеличение прочности лонжеронов центроплана, консолей крыла, фюзеляжа и шасси из расчета полетной массы 37500 кг, что позволяло перевозить вдвое большое количество бомб по сравнению с Пе-8 (4000 кг на 5000 км).</w:t>
      </w:r>
    </w:p>
    <w:p w14:paraId="7BAA595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проектировании ОКБ закладывалось на использование двух типов двигателей: бензиновых с непосредственным впрыском типа АШ-82ФН с турбокомпрессором ТК-3 или дизельных двигателей М-31 (проект дальнейшего развития М-30). С этими двигателями модифицированный Пе-8 должен был обладать следующими летно-тактическими данными при полетной массе 30000 кг:</w:t>
      </w:r>
    </w:p>
    <w:p w14:paraId="5132207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двигателями М-31 при полетной массе 37500 кг с 1000 кг бомб, при запасе топлива 11800 кг дальность самолета равнялась 7500 кг; с 8000 кг бомб и запасом топлива 4800 кг -2700 км. С двигателями АШ-82ФН с ТК-3 дальность при тех же бомбовых нагрузках и запасами топлива 11000 кг при полетной массе 33500 кг и 8000 кг при полетной массе 37500 кг равнялась соответственно 5300 км и 3150 км.</w:t>
      </w:r>
    </w:p>
    <w:p w14:paraId="0B147F7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составу и размещению оборонительное пулеметно-пушечное вооружение самолета соответствовало Пе-8 4М-82.</w:t>
      </w:r>
    </w:p>
    <w:p w14:paraId="2C6B23A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Проведенная модернизация, по сравнению с серийным Пе-8 4М-82 выпуска 1943 года, давала следующие преимущества:</w:t>
      </w:r>
    </w:p>
    <w:p w14:paraId="2544216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При равной бомбовой нагрузке один модифицированный Пе-8 мог заменять два серийных.</w:t>
      </w:r>
    </w:p>
    <w:p w14:paraId="41C139F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-Размещение основной части бомб внутри фюзеляжа, а также другие улучшения аэродинамики снизили километровые расходы топлива на 10%.</w:t>
      </w:r>
    </w:p>
    <w:p w14:paraId="2CD892C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Увеличение максимальной скорости на 13% дает возможность самолету решать ряд новых тактических задач.</w:t>
      </w:r>
    </w:p>
    <w:p w14:paraId="0B83363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Расположение основного экипажа впереди двигателей, помимо улучшения обзора, намного улучшало условия его работы в полете (7685).</w:t>
      </w:r>
    </w:p>
    <w:p w14:paraId="43C444C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8F943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 начале 1944 на 39 сделали головной серийный Ер-2 N 7013901 - сильно отличался - перекомпоновали кабины пилота и ш и увеличили рахмах центроплана на 290 </w:t>
      </w:r>
      <w:r w:rsidRPr="007224C3">
        <w:rPr>
          <w:rFonts w:ascii="Times New Roman" w:hAnsi="Times New Roman"/>
          <w:color w:val="000000" w:themeColor="text1"/>
          <w:sz w:val="16"/>
          <w:szCs w:val="16"/>
        </w:rPr>
        <w:lastRenderedPageBreak/>
        <w:t>мм. Двигатели вынесли вперед на 145 мм и изменили формы мотогондол. Колеса - 1350х485 и костыль 700х300. Носовая установка Тороповы НУ-134 с магазинным питанием (5х39 патронов), наверху ТУМ-5 под ШВАК вместо ТУМ-2 под УБ. Увеличили бомболюк (2391,11).</w:t>
      </w:r>
    </w:p>
    <w:p w14:paraId="2E35902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E79B9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1944 ли Гаврилов в Москве поднял в воздух НБ Н.Н.П. После смерти Н.Н.П. машину уничтожили (2863,134).</w:t>
      </w:r>
    </w:p>
    <w:p w14:paraId="6B48692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F829E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начала 1944 Ту-2С с 2АШ-82ФН стал поступать в части (4,180).</w:t>
      </w:r>
    </w:p>
    <w:p w14:paraId="726C909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F476A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1944-го достроили второй экземп</w:t>
      </w:r>
      <w:r w:rsidRPr="007224C3">
        <w:rPr>
          <w:rFonts w:ascii="Times New Roman" w:hAnsi="Times New Roman"/>
          <w:color w:val="000000" w:themeColor="text1"/>
          <w:sz w:val="16"/>
          <w:szCs w:val="16"/>
        </w:rPr>
        <w:softHyphen/>
        <w:t>ляр машины ДВБ-102, который ориентировали под двига</w:t>
      </w:r>
      <w:r w:rsidRPr="007224C3">
        <w:rPr>
          <w:rFonts w:ascii="Times New Roman" w:hAnsi="Times New Roman"/>
          <w:color w:val="000000" w:themeColor="text1"/>
          <w:sz w:val="16"/>
          <w:szCs w:val="16"/>
        </w:rPr>
        <w:softHyphen/>
        <w:t>тели АШ-72. Между тем, именно в этот период активизировались работы по созданию четырех</w:t>
      </w:r>
      <w:r w:rsidRPr="007224C3">
        <w:rPr>
          <w:rFonts w:ascii="Times New Roman" w:hAnsi="Times New Roman"/>
          <w:color w:val="000000" w:themeColor="text1"/>
          <w:sz w:val="16"/>
          <w:szCs w:val="16"/>
        </w:rPr>
        <w:softHyphen/>
        <w:t>моторных тяжелых бомбардировщиков нового поколения («64» - А.Н.Туполева, ДВБ-202 - В.М.Мясищева и др.). Расчетные характеристики этих машин заметно превосходили данные ДВБ-102, задуманного еще до войны. Летом 1945 г. оба экземпляра высотного бомбардиров</w:t>
      </w:r>
      <w:r w:rsidRPr="007224C3">
        <w:rPr>
          <w:rFonts w:ascii="Times New Roman" w:hAnsi="Times New Roman"/>
          <w:color w:val="000000" w:themeColor="text1"/>
          <w:sz w:val="16"/>
          <w:szCs w:val="16"/>
        </w:rPr>
        <w:softHyphen/>
        <w:t>щика законсервировали до лучших времен, кото</w:t>
      </w:r>
      <w:r w:rsidRPr="007224C3">
        <w:rPr>
          <w:rFonts w:ascii="Times New Roman" w:hAnsi="Times New Roman"/>
          <w:color w:val="000000" w:themeColor="text1"/>
          <w:sz w:val="16"/>
          <w:szCs w:val="16"/>
        </w:rPr>
        <w:softHyphen/>
        <w:t>рые, впрочем, никогда не наступили.</w:t>
      </w:r>
    </w:p>
    <w:p w14:paraId="4278D7A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Среди многочисленных вариантов модерни</w:t>
      </w:r>
      <w:r w:rsidRPr="007224C3">
        <w:rPr>
          <w:rFonts w:ascii="Times New Roman" w:hAnsi="Times New Roman"/>
          <w:color w:val="000000" w:themeColor="text1"/>
          <w:sz w:val="16"/>
          <w:szCs w:val="16"/>
        </w:rPr>
        <w:softHyphen/>
        <w:t>зации машины значился дальний высотный бомбардировщик ДВБ-102 №15 с двигателями АШ-73ТК. Для этого самолета спроектировали новые отъемные части крыла, с которыми пол</w:t>
      </w:r>
      <w:r w:rsidRPr="007224C3">
        <w:rPr>
          <w:rFonts w:ascii="Times New Roman" w:hAnsi="Times New Roman"/>
          <w:color w:val="000000" w:themeColor="text1"/>
          <w:sz w:val="16"/>
          <w:szCs w:val="16"/>
        </w:rPr>
        <w:softHyphen/>
        <w:t>ный размах крыла составлял 35,6 м. Длина фю</w:t>
      </w:r>
      <w:r w:rsidRPr="007224C3">
        <w:rPr>
          <w:rFonts w:ascii="Times New Roman" w:hAnsi="Times New Roman"/>
          <w:color w:val="000000" w:themeColor="text1"/>
          <w:sz w:val="16"/>
          <w:szCs w:val="16"/>
        </w:rPr>
        <w:softHyphen/>
        <w:t>зеляжа за счет дополнительной секции в хво</w:t>
      </w:r>
      <w:r w:rsidRPr="007224C3">
        <w:rPr>
          <w:rFonts w:ascii="Times New Roman" w:hAnsi="Times New Roman"/>
          <w:color w:val="000000" w:themeColor="text1"/>
          <w:sz w:val="16"/>
          <w:szCs w:val="16"/>
        </w:rPr>
        <w:softHyphen/>
        <w:t>стовой части увеличилась до 20,85 м. Заднюю гермокабину в этой машине упразднили, а свер</w:t>
      </w:r>
      <w:r w:rsidRPr="007224C3">
        <w:rPr>
          <w:rFonts w:ascii="Times New Roman" w:hAnsi="Times New Roman"/>
          <w:color w:val="000000" w:themeColor="text1"/>
          <w:sz w:val="16"/>
          <w:szCs w:val="16"/>
        </w:rPr>
        <w:softHyphen/>
        <w:t>ху фюзеляжа нарастили заметный «горб» для размещения топливных баков. С весьма солид</w:t>
      </w:r>
      <w:r w:rsidRPr="007224C3">
        <w:rPr>
          <w:rFonts w:ascii="Times New Roman" w:hAnsi="Times New Roman"/>
          <w:color w:val="000000" w:themeColor="text1"/>
          <w:sz w:val="16"/>
          <w:szCs w:val="16"/>
        </w:rPr>
        <w:softHyphen/>
        <w:t>ным запасом топлива 17200 кг взлетный вес дальнего аппарата оценивался в 31300 кг, а ма</w:t>
      </w:r>
      <w:r w:rsidRPr="007224C3">
        <w:rPr>
          <w:rFonts w:ascii="Times New Roman" w:hAnsi="Times New Roman"/>
          <w:color w:val="000000" w:themeColor="text1"/>
          <w:sz w:val="16"/>
          <w:szCs w:val="16"/>
        </w:rPr>
        <w:softHyphen/>
        <w:t>ксимальная дальность - 12400 км.</w:t>
      </w:r>
    </w:p>
    <w:p w14:paraId="30F7277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Одновременно прорабатывался рекордный вариант под обозначением ВМ-4д с дизельны</w:t>
      </w:r>
      <w:r w:rsidRPr="007224C3">
        <w:rPr>
          <w:rFonts w:ascii="Times New Roman" w:hAnsi="Times New Roman"/>
          <w:color w:val="000000" w:themeColor="text1"/>
          <w:sz w:val="16"/>
          <w:szCs w:val="16"/>
        </w:rPr>
        <w:softHyphen/>
        <w:t>ми двигателями АЧ-30Б конструкции Чаром- ского. Максимальная дальность полета оцени</w:t>
      </w:r>
      <w:r w:rsidRPr="007224C3">
        <w:rPr>
          <w:rFonts w:ascii="Times New Roman" w:hAnsi="Times New Roman"/>
          <w:color w:val="000000" w:themeColor="text1"/>
          <w:sz w:val="16"/>
          <w:szCs w:val="16"/>
        </w:rPr>
        <w:softHyphen/>
        <w:t>валась в 20 тысяч километров, что позволяло рассчитывать на реальное достижение мирово</w:t>
      </w:r>
      <w:r w:rsidRPr="007224C3">
        <w:rPr>
          <w:rFonts w:ascii="Times New Roman" w:hAnsi="Times New Roman"/>
          <w:color w:val="000000" w:themeColor="text1"/>
          <w:sz w:val="16"/>
          <w:szCs w:val="16"/>
        </w:rPr>
        <w:softHyphen/>
        <w:t>го рекорда. Впрочем, тема рекордных переле</w:t>
      </w:r>
      <w:r w:rsidRPr="007224C3">
        <w:rPr>
          <w:rFonts w:ascii="Times New Roman" w:hAnsi="Times New Roman"/>
          <w:color w:val="000000" w:themeColor="text1"/>
          <w:sz w:val="16"/>
          <w:szCs w:val="16"/>
        </w:rPr>
        <w:softHyphen/>
        <w:t>тов в послевоенный период не была столь акту</w:t>
      </w:r>
      <w:r w:rsidRPr="007224C3">
        <w:rPr>
          <w:rFonts w:ascii="Times New Roman" w:hAnsi="Times New Roman"/>
          <w:color w:val="000000" w:themeColor="text1"/>
          <w:sz w:val="16"/>
          <w:szCs w:val="16"/>
        </w:rPr>
        <w:softHyphen/>
        <w:t>альной, поэтому от ее реализации отказались (11941).</w:t>
      </w:r>
    </w:p>
    <w:p w14:paraId="14B1163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68ADC84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1944 ОКБ Н.Н.П. передало в ЦАГИ модель Малютки, задание на которую за подписью И.В.С., было получено в конце 1943 (2863,136).</w:t>
      </w:r>
    </w:p>
    <w:p w14:paraId="6DE8D0D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9F9BE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1944 в НИИ ВВС состоялись повторные контрольные испытания У-2ВС с новой шкворневой установкой под пулемет ДТ, который мог использоваться в том числе и по наземным целям (217,23).</w:t>
      </w:r>
    </w:p>
    <w:p w14:paraId="612D76F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3AA1F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1944 на Авиарембазе 402 был выпущен санитарный самолет У-2 С - модификация СП с М-11 Г, в котором использовался объем фюзеляжа и машина брала трех раненых - 1 сидячего и 2 лежачих. На испытаниях признали неудачным (1076,720).</w:t>
      </w:r>
    </w:p>
    <w:p w14:paraId="6C64B40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5B8A4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1944 был закончен эскизный проект и прошла макетная комиссия по ЛЛ-143 Г.М.Б. По компоновке машина повторяла МДР-10, имел 2хАШ-72 и 6хУБ (3939,4).</w:t>
      </w:r>
    </w:p>
    <w:p w14:paraId="48D554F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2922A1" w14:textId="3C1162CA"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1944 г. работы по М-90 были прекращены</w:t>
      </w:r>
      <w:r w:rsidR="00024386" w:rsidRPr="007224C3">
        <w:rPr>
          <w:rFonts w:ascii="Times New Roman" w:hAnsi="Times New Roman"/>
          <w:color w:val="000000" w:themeColor="text1"/>
          <w:sz w:val="16"/>
          <w:szCs w:val="16"/>
        </w:rPr>
        <w:t>.</w:t>
      </w:r>
      <w:r w:rsidRPr="007224C3">
        <w:rPr>
          <w:rFonts w:ascii="Times New Roman" w:hAnsi="Times New Roman"/>
          <w:color w:val="000000" w:themeColor="text1"/>
          <w:sz w:val="16"/>
          <w:szCs w:val="16"/>
        </w:rPr>
        <w:t xml:space="preserve"> В общей сложности изготовлено более 20 экземпляров. В документах упо</w:t>
      </w:r>
      <w:r w:rsidRPr="007224C3">
        <w:rPr>
          <w:rFonts w:ascii="Times New Roman" w:hAnsi="Times New Roman"/>
          <w:color w:val="000000" w:themeColor="text1"/>
          <w:sz w:val="16"/>
          <w:szCs w:val="16"/>
        </w:rPr>
        <w:softHyphen/>
        <w:t>минаются модификации М-90Б и М-90Ж, но отличия их неизвестны.</w:t>
      </w:r>
    </w:p>
    <w:p w14:paraId="34225C5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Характеристики:</w:t>
      </w:r>
    </w:p>
    <w:p w14:paraId="253D7E5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18-цилиндровый, двухрядный звездообразный, четырехтактный, воз</w:t>
      </w:r>
      <w:r w:rsidRPr="007224C3">
        <w:rPr>
          <w:rFonts w:ascii="Times New Roman" w:hAnsi="Times New Roman"/>
          <w:color w:val="000000" w:themeColor="text1"/>
          <w:sz w:val="16"/>
          <w:szCs w:val="16"/>
        </w:rPr>
        <w:softHyphen/>
        <w:t>душного охлаждения, редукторный, с двухскоростнъш ПЦН;</w:t>
      </w:r>
    </w:p>
    <w:p w14:paraId="4325092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мощность по заданию 1500/1950 л.с., проектная 2000 л.с., фактиче</w:t>
      </w:r>
      <w:r w:rsidRPr="007224C3">
        <w:rPr>
          <w:rFonts w:ascii="Times New Roman" w:hAnsi="Times New Roman"/>
          <w:color w:val="000000" w:themeColor="text1"/>
          <w:sz w:val="16"/>
          <w:szCs w:val="16"/>
        </w:rPr>
        <w:softHyphen/>
        <w:t>ски 1550/1750 л.с.;</w:t>
      </w:r>
    </w:p>
    <w:p w14:paraId="7EDC06E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вес первых экземпляров 950 кг, поздних — 1070 кг (при 850 кг по заданию);</w:t>
      </w:r>
    </w:p>
    <w:p w14:paraId="5A02F7C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диаметр цилиндра/ход поршня 146/165 мм.</w:t>
      </w:r>
    </w:p>
    <w:p w14:paraId="3EE7ADE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Был еще проект 1943 г. М-92, развитие М-90 с трехклапанной головкой и трехскоростным ПЦН. Должен был проходить совместные испытания с декабря 1943 г. Опытный образец не изготовлялся.</w:t>
      </w:r>
    </w:p>
    <w:p w14:paraId="590794B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Характеристики:</w:t>
      </w:r>
    </w:p>
    <w:p w14:paraId="12E11ED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18-цилиндровый, двухрядный звездообразный, четырехтактный, воз</w:t>
      </w:r>
      <w:r w:rsidRPr="007224C3">
        <w:rPr>
          <w:rFonts w:ascii="Times New Roman" w:hAnsi="Times New Roman"/>
          <w:color w:val="000000" w:themeColor="text1"/>
          <w:sz w:val="16"/>
          <w:szCs w:val="16"/>
        </w:rPr>
        <w:softHyphen/>
        <w:t>душного охлаждения, редукторный, с двухскоростным ПЦН;</w:t>
      </w:r>
    </w:p>
    <w:p w14:paraId="61695A0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мощность по заданию 1850/2150 л.с.;</w:t>
      </w:r>
    </w:p>
    <w:p w14:paraId="21AF874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диаметр цилиндра/ход поршня 146/165 мм. (11852).</w:t>
      </w:r>
    </w:p>
    <w:p w14:paraId="65E656C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9B3CB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начала 1944 г. АЧ-30Б с мотокомпрессорным воздушно-реактивным двигателем про</w:t>
      </w:r>
      <w:r w:rsidRPr="007224C3">
        <w:rPr>
          <w:rFonts w:ascii="Times New Roman" w:hAnsi="Times New Roman"/>
          <w:color w:val="000000" w:themeColor="text1"/>
          <w:sz w:val="16"/>
          <w:szCs w:val="16"/>
        </w:rPr>
        <w:softHyphen/>
        <w:t>ектировался под руководством Толстова в ЦИАМ В основе имел серийный АЧ-ЗОБ с переделанной системой наддува. Привод компрессора ВРДК осуществлялся выхлопными газами от турбин, без механической связи дизеля и реактивного двигателя. Про</w:t>
      </w:r>
      <w:r w:rsidRPr="007224C3">
        <w:rPr>
          <w:rFonts w:ascii="Times New Roman" w:hAnsi="Times New Roman"/>
          <w:color w:val="000000" w:themeColor="text1"/>
          <w:sz w:val="16"/>
          <w:szCs w:val="16"/>
        </w:rPr>
        <w:softHyphen/>
        <w:t>ходил заводские стендовые испытания в июне 1944 г. — мае 1945 г. Серийно не выпускался, на самолетах не устанавливался. Тяга ВРДК 873 кг, вес всей установки 1700 кг, суммарная мощность при вклю</w:t>
      </w:r>
      <w:r w:rsidRPr="007224C3">
        <w:rPr>
          <w:rFonts w:ascii="Times New Roman" w:hAnsi="Times New Roman"/>
          <w:color w:val="000000" w:themeColor="text1"/>
          <w:sz w:val="16"/>
          <w:szCs w:val="16"/>
        </w:rPr>
        <w:softHyphen/>
        <w:t>ченном ВРДК 4500 э.л.с. (11852).</w:t>
      </w:r>
    </w:p>
    <w:p w14:paraId="6E76574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FF549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1944 в 4 отд. НИИ ВВС была подготовлена Сводная таблица по выполнению планов опытного строительства с-тов ВВС КА за 1938-43 гг. (765,8):</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05"/>
        <w:gridCol w:w="805"/>
        <w:gridCol w:w="805"/>
        <w:gridCol w:w="805"/>
        <w:gridCol w:w="805"/>
        <w:gridCol w:w="805"/>
        <w:gridCol w:w="805"/>
        <w:gridCol w:w="805"/>
        <w:gridCol w:w="805"/>
        <w:gridCol w:w="805"/>
        <w:gridCol w:w="805"/>
        <w:gridCol w:w="805"/>
        <w:gridCol w:w="805"/>
        <w:gridCol w:w="805"/>
      </w:tblGrid>
      <w:tr w:rsidR="005106D0" w:rsidRPr="007224C3" w14:paraId="1079E2F1" w14:textId="77777777">
        <w:tc>
          <w:tcPr>
            <w:tcW w:w="805" w:type="dxa"/>
          </w:tcPr>
          <w:p w14:paraId="7A5C692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63A467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4AE530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EB3B01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E777B4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8C16F0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FCCE20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2078D1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6BBA84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8349E1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5A1A57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5554FD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4E40EB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C15841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82BD0F8" w14:textId="77777777">
        <w:tc>
          <w:tcPr>
            <w:tcW w:w="805" w:type="dxa"/>
          </w:tcPr>
          <w:p w14:paraId="2F03F70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Годы</w:t>
            </w:r>
          </w:p>
        </w:tc>
        <w:tc>
          <w:tcPr>
            <w:tcW w:w="805" w:type="dxa"/>
          </w:tcPr>
          <w:p w14:paraId="4628288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DA76EE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плану строительства</w:t>
            </w:r>
          </w:p>
        </w:tc>
        <w:tc>
          <w:tcPr>
            <w:tcW w:w="805" w:type="dxa"/>
          </w:tcPr>
          <w:p w14:paraId="6B556B2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6FD9B7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A417F9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DC8A48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55C1B9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99A6BA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421E28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Принято на вооружение</w:t>
            </w:r>
          </w:p>
        </w:tc>
        <w:tc>
          <w:tcPr>
            <w:tcW w:w="805" w:type="dxa"/>
          </w:tcPr>
          <w:p w14:paraId="32FC399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13A734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A655CB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DA1830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5202AC4" w14:textId="77777777">
        <w:tc>
          <w:tcPr>
            <w:tcW w:w="805" w:type="dxa"/>
          </w:tcPr>
          <w:p w14:paraId="73FCB40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Опытные самолеты</w:t>
            </w:r>
          </w:p>
        </w:tc>
        <w:tc>
          <w:tcPr>
            <w:tcW w:w="805" w:type="dxa"/>
          </w:tcPr>
          <w:p w14:paraId="4092522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8662FE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347ADC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Модификации</w:t>
            </w:r>
          </w:p>
        </w:tc>
        <w:tc>
          <w:tcPr>
            <w:tcW w:w="805" w:type="dxa"/>
          </w:tcPr>
          <w:p w14:paraId="3FE3238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7D6E9A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ACD9B6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CD0B1E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Опытные самолеты</w:t>
            </w:r>
          </w:p>
        </w:tc>
        <w:tc>
          <w:tcPr>
            <w:tcW w:w="805" w:type="dxa"/>
          </w:tcPr>
          <w:p w14:paraId="0D46278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766ADB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9226F1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Модификации</w:t>
            </w:r>
          </w:p>
        </w:tc>
        <w:tc>
          <w:tcPr>
            <w:tcW w:w="805" w:type="dxa"/>
          </w:tcPr>
          <w:p w14:paraId="590C8EA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1C8CF6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FCA0B4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38D7146" w14:textId="77777777">
        <w:tc>
          <w:tcPr>
            <w:tcW w:w="805" w:type="dxa"/>
          </w:tcPr>
          <w:p w14:paraId="5E1577F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8A84BF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B7751F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B91628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37CB19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1B71AE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88FA00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8FB086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17E4BC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52E14F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3E640D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353138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522346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C41635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FDB30EE" w14:textId="77777777">
        <w:tc>
          <w:tcPr>
            <w:tcW w:w="805" w:type="dxa"/>
          </w:tcPr>
          <w:p w14:paraId="743F74C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Ист.</w:t>
            </w:r>
          </w:p>
        </w:tc>
        <w:tc>
          <w:tcPr>
            <w:tcW w:w="805" w:type="dxa"/>
          </w:tcPr>
          <w:p w14:paraId="416EE04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Бомб.</w:t>
            </w:r>
          </w:p>
        </w:tc>
        <w:tc>
          <w:tcPr>
            <w:tcW w:w="805" w:type="dxa"/>
          </w:tcPr>
          <w:p w14:paraId="559F382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Штурм.</w:t>
            </w:r>
          </w:p>
        </w:tc>
        <w:tc>
          <w:tcPr>
            <w:tcW w:w="805" w:type="dxa"/>
          </w:tcPr>
          <w:p w14:paraId="5839C54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Истр.</w:t>
            </w:r>
          </w:p>
        </w:tc>
        <w:tc>
          <w:tcPr>
            <w:tcW w:w="805" w:type="dxa"/>
          </w:tcPr>
          <w:p w14:paraId="3B52D6F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Бомб</w:t>
            </w:r>
          </w:p>
        </w:tc>
        <w:tc>
          <w:tcPr>
            <w:tcW w:w="805" w:type="dxa"/>
          </w:tcPr>
          <w:p w14:paraId="740E94B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Штурм.</w:t>
            </w:r>
          </w:p>
        </w:tc>
        <w:tc>
          <w:tcPr>
            <w:tcW w:w="805" w:type="dxa"/>
          </w:tcPr>
          <w:p w14:paraId="6E6BB3B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w:t>
            </w:r>
          </w:p>
        </w:tc>
        <w:tc>
          <w:tcPr>
            <w:tcW w:w="805" w:type="dxa"/>
          </w:tcPr>
          <w:p w14:paraId="34D9D30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Ист.</w:t>
            </w:r>
          </w:p>
        </w:tc>
        <w:tc>
          <w:tcPr>
            <w:tcW w:w="805" w:type="dxa"/>
          </w:tcPr>
          <w:p w14:paraId="2381E79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Бомб.</w:t>
            </w:r>
          </w:p>
        </w:tc>
        <w:tc>
          <w:tcPr>
            <w:tcW w:w="805" w:type="dxa"/>
          </w:tcPr>
          <w:p w14:paraId="499E9E9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Штурм.</w:t>
            </w:r>
          </w:p>
        </w:tc>
        <w:tc>
          <w:tcPr>
            <w:tcW w:w="805" w:type="dxa"/>
          </w:tcPr>
          <w:p w14:paraId="6535ED2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Истр.</w:t>
            </w:r>
          </w:p>
        </w:tc>
        <w:tc>
          <w:tcPr>
            <w:tcW w:w="805" w:type="dxa"/>
          </w:tcPr>
          <w:p w14:paraId="60D8C2A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Бомб</w:t>
            </w:r>
          </w:p>
        </w:tc>
        <w:tc>
          <w:tcPr>
            <w:tcW w:w="805" w:type="dxa"/>
          </w:tcPr>
          <w:p w14:paraId="76B011F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Штурм.</w:t>
            </w:r>
          </w:p>
        </w:tc>
        <w:tc>
          <w:tcPr>
            <w:tcW w:w="805" w:type="dxa"/>
          </w:tcPr>
          <w:p w14:paraId="5BAE7C1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w:t>
            </w:r>
          </w:p>
        </w:tc>
      </w:tr>
      <w:tr w:rsidR="005106D0" w:rsidRPr="007224C3" w14:paraId="40DC286E" w14:textId="77777777">
        <w:tc>
          <w:tcPr>
            <w:tcW w:w="805" w:type="dxa"/>
          </w:tcPr>
          <w:p w14:paraId="26F10B9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1938</w:t>
            </w:r>
          </w:p>
        </w:tc>
        <w:tc>
          <w:tcPr>
            <w:tcW w:w="805" w:type="dxa"/>
          </w:tcPr>
          <w:p w14:paraId="0856F76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B5EDA5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0EA982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2DC605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B67F43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E0FE3C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2A30DC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4558BF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0E7BE2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575B65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FE0932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57A027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4BCFA5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E6D39A8" w14:textId="77777777">
        <w:tc>
          <w:tcPr>
            <w:tcW w:w="805" w:type="dxa"/>
          </w:tcPr>
          <w:p w14:paraId="5907DB7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w:t>
            </w:r>
          </w:p>
        </w:tc>
        <w:tc>
          <w:tcPr>
            <w:tcW w:w="805" w:type="dxa"/>
          </w:tcPr>
          <w:p w14:paraId="1D7BB72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w:t>
            </w:r>
          </w:p>
        </w:tc>
        <w:tc>
          <w:tcPr>
            <w:tcW w:w="805" w:type="dxa"/>
          </w:tcPr>
          <w:p w14:paraId="2E2E393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w:t>
            </w:r>
          </w:p>
        </w:tc>
        <w:tc>
          <w:tcPr>
            <w:tcW w:w="805" w:type="dxa"/>
          </w:tcPr>
          <w:p w14:paraId="3E56025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tc>
        <w:tc>
          <w:tcPr>
            <w:tcW w:w="805" w:type="dxa"/>
          </w:tcPr>
          <w:p w14:paraId="04A3C9A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w:t>
            </w:r>
          </w:p>
        </w:tc>
        <w:tc>
          <w:tcPr>
            <w:tcW w:w="805" w:type="dxa"/>
          </w:tcPr>
          <w:p w14:paraId="1A7ABDB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05" w:type="dxa"/>
          </w:tcPr>
          <w:p w14:paraId="71CBFC7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w:t>
            </w:r>
          </w:p>
        </w:tc>
        <w:tc>
          <w:tcPr>
            <w:tcW w:w="805" w:type="dxa"/>
          </w:tcPr>
          <w:p w14:paraId="39A1B19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tc>
        <w:tc>
          <w:tcPr>
            <w:tcW w:w="805" w:type="dxa"/>
          </w:tcPr>
          <w:p w14:paraId="0B2766B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tc>
        <w:tc>
          <w:tcPr>
            <w:tcW w:w="805" w:type="dxa"/>
          </w:tcPr>
          <w:p w14:paraId="019B76E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05" w:type="dxa"/>
          </w:tcPr>
          <w:p w14:paraId="442D7D9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tc>
        <w:tc>
          <w:tcPr>
            <w:tcW w:w="805" w:type="dxa"/>
          </w:tcPr>
          <w:p w14:paraId="2039005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tc>
        <w:tc>
          <w:tcPr>
            <w:tcW w:w="805" w:type="dxa"/>
          </w:tcPr>
          <w:p w14:paraId="45CF357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05" w:type="dxa"/>
          </w:tcPr>
          <w:p w14:paraId="3943F07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w:t>
            </w:r>
          </w:p>
        </w:tc>
      </w:tr>
      <w:tr w:rsidR="005106D0" w:rsidRPr="007224C3" w14:paraId="5163D1FD" w14:textId="77777777">
        <w:tc>
          <w:tcPr>
            <w:tcW w:w="805" w:type="dxa"/>
          </w:tcPr>
          <w:p w14:paraId="3F49CAD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CF811E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3D34BF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C16316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A71FAC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1ADC31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222F2E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1CD205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И-153</w:t>
            </w:r>
          </w:p>
        </w:tc>
        <w:tc>
          <w:tcPr>
            <w:tcW w:w="805" w:type="dxa"/>
          </w:tcPr>
          <w:p w14:paraId="055EC90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Пе-8</w:t>
            </w:r>
          </w:p>
        </w:tc>
        <w:tc>
          <w:tcPr>
            <w:tcW w:w="805" w:type="dxa"/>
          </w:tcPr>
          <w:p w14:paraId="2053B7F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6C4F72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И-16</w:t>
            </w:r>
          </w:p>
        </w:tc>
        <w:tc>
          <w:tcPr>
            <w:tcW w:w="805" w:type="dxa"/>
          </w:tcPr>
          <w:p w14:paraId="0D4B8AC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Ил-4</w:t>
            </w:r>
          </w:p>
        </w:tc>
        <w:tc>
          <w:tcPr>
            <w:tcW w:w="805" w:type="dxa"/>
          </w:tcPr>
          <w:p w14:paraId="26180A2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34A387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C3C9C74" w14:textId="77777777">
        <w:tc>
          <w:tcPr>
            <w:tcW w:w="805" w:type="dxa"/>
          </w:tcPr>
          <w:p w14:paraId="7D7BC4A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0353C0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54C92E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5ACE19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4573BB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19BB25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D1607B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1334D1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М-25В</w:t>
            </w:r>
          </w:p>
        </w:tc>
        <w:tc>
          <w:tcPr>
            <w:tcW w:w="805" w:type="dxa"/>
          </w:tcPr>
          <w:p w14:paraId="3821B2E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АМ-34</w:t>
            </w:r>
          </w:p>
        </w:tc>
        <w:tc>
          <w:tcPr>
            <w:tcW w:w="805" w:type="dxa"/>
          </w:tcPr>
          <w:p w14:paraId="7FD8A38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5055B1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М-25В</w:t>
            </w:r>
          </w:p>
        </w:tc>
        <w:tc>
          <w:tcPr>
            <w:tcW w:w="805" w:type="dxa"/>
          </w:tcPr>
          <w:p w14:paraId="29834E8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М-86</w:t>
            </w:r>
          </w:p>
        </w:tc>
        <w:tc>
          <w:tcPr>
            <w:tcW w:w="805" w:type="dxa"/>
          </w:tcPr>
          <w:p w14:paraId="2D676E9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40AC53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D799692" w14:textId="77777777">
        <w:tc>
          <w:tcPr>
            <w:tcW w:w="805" w:type="dxa"/>
          </w:tcPr>
          <w:p w14:paraId="1C4B077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1939</w:t>
            </w:r>
          </w:p>
        </w:tc>
        <w:tc>
          <w:tcPr>
            <w:tcW w:w="805" w:type="dxa"/>
          </w:tcPr>
          <w:p w14:paraId="0569A38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0B3BA0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9F470A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193069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070D11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311E0A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FE35DB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08E745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41319E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BD5B88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11474A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8CADB5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94D81C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B0B3B09" w14:textId="77777777">
        <w:tc>
          <w:tcPr>
            <w:tcW w:w="805" w:type="dxa"/>
          </w:tcPr>
          <w:p w14:paraId="3C925DF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w:t>
            </w:r>
          </w:p>
        </w:tc>
        <w:tc>
          <w:tcPr>
            <w:tcW w:w="805" w:type="dxa"/>
          </w:tcPr>
          <w:p w14:paraId="562BC18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tc>
        <w:tc>
          <w:tcPr>
            <w:tcW w:w="805" w:type="dxa"/>
          </w:tcPr>
          <w:p w14:paraId="67ACD22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tc>
        <w:tc>
          <w:tcPr>
            <w:tcW w:w="805" w:type="dxa"/>
          </w:tcPr>
          <w:p w14:paraId="6C07082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w:t>
            </w:r>
          </w:p>
        </w:tc>
        <w:tc>
          <w:tcPr>
            <w:tcW w:w="805" w:type="dxa"/>
          </w:tcPr>
          <w:p w14:paraId="64D0557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w:t>
            </w:r>
          </w:p>
        </w:tc>
        <w:tc>
          <w:tcPr>
            <w:tcW w:w="805" w:type="dxa"/>
          </w:tcPr>
          <w:p w14:paraId="276AE6B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05" w:type="dxa"/>
          </w:tcPr>
          <w:p w14:paraId="4B22787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59</w:t>
            </w:r>
          </w:p>
        </w:tc>
        <w:tc>
          <w:tcPr>
            <w:tcW w:w="805" w:type="dxa"/>
          </w:tcPr>
          <w:p w14:paraId="0475241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05" w:type="dxa"/>
          </w:tcPr>
          <w:p w14:paraId="1CF711B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tc>
        <w:tc>
          <w:tcPr>
            <w:tcW w:w="805" w:type="dxa"/>
          </w:tcPr>
          <w:p w14:paraId="4D6EDD7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05" w:type="dxa"/>
          </w:tcPr>
          <w:p w14:paraId="3132E51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w:t>
            </w:r>
          </w:p>
        </w:tc>
        <w:tc>
          <w:tcPr>
            <w:tcW w:w="805" w:type="dxa"/>
          </w:tcPr>
          <w:p w14:paraId="088C5CE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tc>
        <w:tc>
          <w:tcPr>
            <w:tcW w:w="805" w:type="dxa"/>
          </w:tcPr>
          <w:p w14:paraId="0BD5F6A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05" w:type="dxa"/>
          </w:tcPr>
          <w:p w14:paraId="2A64E0A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w:t>
            </w:r>
          </w:p>
        </w:tc>
      </w:tr>
      <w:tr w:rsidR="005106D0" w:rsidRPr="007224C3" w14:paraId="5F9EF83D" w14:textId="77777777">
        <w:tc>
          <w:tcPr>
            <w:tcW w:w="805" w:type="dxa"/>
          </w:tcPr>
          <w:p w14:paraId="78E4B65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933FAF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A310F4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72426B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0EEAB2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F28BB2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89FB12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15C595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EDD656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Як-2</w:t>
            </w:r>
          </w:p>
        </w:tc>
        <w:tc>
          <w:tcPr>
            <w:tcW w:w="805" w:type="dxa"/>
          </w:tcPr>
          <w:p w14:paraId="6E89179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C5A9B2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И-153</w:t>
            </w:r>
          </w:p>
        </w:tc>
        <w:tc>
          <w:tcPr>
            <w:tcW w:w="805" w:type="dxa"/>
          </w:tcPr>
          <w:p w14:paraId="5AFFE47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СБ</w:t>
            </w:r>
          </w:p>
        </w:tc>
        <w:tc>
          <w:tcPr>
            <w:tcW w:w="805" w:type="dxa"/>
          </w:tcPr>
          <w:p w14:paraId="25ED72C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1589D8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65E6B95" w14:textId="77777777">
        <w:tc>
          <w:tcPr>
            <w:tcW w:w="805" w:type="dxa"/>
          </w:tcPr>
          <w:p w14:paraId="70A6139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E4AD3D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7AC968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31762D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3382CA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D16966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694EF0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AA35BF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80C5DA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М-103</w:t>
            </w:r>
          </w:p>
        </w:tc>
        <w:tc>
          <w:tcPr>
            <w:tcW w:w="805" w:type="dxa"/>
          </w:tcPr>
          <w:p w14:paraId="4D710B8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4D5428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М-62</w:t>
            </w:r>
          </w:p>
        </w:tc>
        <w:tc>
          <w:tcPr>
            <w:tcW w:w="805" w:type="dxa"/>
          </w:tcPr>
          <w:p w14:paraId="0465AC6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М-103</w:t>
            </w:r>
          </w:p>
        </w:tc>
        <w:tc>
          <w:tcPr>
            <w:tcW w:w="805" w:type="dxa"/>
          </w:tcPr>
          <w:p w14:paraId="4B94AFB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22591F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A847C90" w14:textId="77777777">
        <w:tc>
          <w:tcPr>
            <w:tcW w:w="805" w:type="dxa"/>
          </w:tcPr>
          <w:p w14:paraId="3F51F05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57E492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8C9D15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1718EF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C874E3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DD0405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941117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047BD3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B32257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Су-2</w:t>
            </w:r>
          </w:p>
        </w:tc>
        <w:tc>
          <w:tcPr>
            <w:tcW w:w="805" w:type="dxa"/>
          </w:tcPr>
          <w:p w14:paraId="3DD5360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787846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И-152</w:t>
            </w:r>
          </w:p>
        </w:tc>
        <w:tc>
          <w:tcPr>
            <w:tcW w:w="805" w:type="dxa"/>
          </w:tcPr>
          <w:p w14:paraId="64EF9B5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Ил-4</w:t>
            </w:r>
          </w:p>
        </w:tc>
        <w:tc>
          <w:tcPr>
            <w:tcW w:w="805" w:type="dxa"/>
          </w:tcPr>
          <w:p w14:paraId="57283C3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D9AE65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9745C53" w14:textId="77777777">
        <w:tc>
          <w:tcPr>
            <w:tcW w:w="805" w:type="dxa"/>
          </w:tcPr>
          <w:p w14:paraId="47AB870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A6865A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211459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BA6632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935BD3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DA87A6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36C038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1D02A8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9FC911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М-87А</w:t>
            </w:r>
          </w:p>
        </w:tc>
        <w:tc>
          <w:tcPr>
            <w:tcW w:w="805" w:type="dxa"/>
          </w:tcPr>
          <w:p w14:paraId="3957694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96F035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М-62</w:t>
            </w:r>
          </w:p>
        </w:tc>
        <w:tc>
          <w:tcPr>
            <w:tcW w:w="805" w:type="dxa"/>
          </w:tcPr>
          <w:p w14:paraId="62E0EB9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М-87А</w:t>
            </w:r>
          </w:p>
        </w:tc>
        <w:tc>
          <w:tcPr>
            <w:tcW w:w="805" w:type="dxa"/>
          </w:tcPr>
          <w:p w14:paraId="69B9D8E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9C36E8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260B467" w14:textId="77777777">
        <w:tc>
          <w:tcPr>
            <w:tcW w:w="805" w:type="dxa"/>
          </w:tcPr>
          <w:p w14:paraId="0006E53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393918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F436E4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8EB10D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CF1904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A389F8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94DC11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6F4385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221231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C4AFA0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366908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И-153</w:t>
            </w:r>
          </w:p>
        </w:tc>
        <w:tc>
          <w:tcPr>
            <w:tcW w:w="805" w:type="dxa"/>
          </w:tcPr>
          <w:p w14:paraId="20C31E1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8659DF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D6AB9A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C7B3864" w14:textId="77777777">
        <w:tc>
          <w:tcPr>
            <w:tcW w:w="805" w:type="dxa"/>
          </w:tcPr>
          <w:p w14:paraId="42F5959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278378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8F69A3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7882DD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E5276F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CAB3CA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043630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43B0DF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892767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5D7D05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361091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п/баки</w:t>
            </w:r>
          </w:p>
        </w:tc>
        <w:tc>
          <w:tcPr>
            <w:tcW w:w="805" w:type="dxa"/>
          </w:tcPr>
          <w:p w14:paraId="7CA60BD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920630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A8431E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D6641EE" w14:textId="77777777">
        <w:tc>
          <w:tcPr>
            <w:tcW w:w="805" w:type="dxa"/>
          </w:tcPr>
          <w:p w14:paraId="1E2F4D7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7BC835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60651C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B7D191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938453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EC55D1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4907DF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63E35E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BA643B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480C62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B3EBDF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И-16</w:t>
            </w:r>
          </w:p>
        </w:tc>
        <w:tc>
          <w:tcPr>
            <w:tcW w:w="805" w:type="dxa"/>
          </w:tcPr>
          <w:p w14:paraId="410B0AA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FA51CB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C4B3CB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FA4D369" w14:textId="77777777">
        <w:tc>
          <w:tcPr>
            <w:tcW w:w="805" w:type="dxa"/>
          </w:tcPr>
          <w:p w14:paraId="66FC196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068863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4F21CC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74824D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5B923E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AA2C3F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145729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049CEB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A8D183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1E754A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2A7F7A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М-62</w:t>
            </w:r>
          </w:p>
        </w:tc>
        <w:tc>
          <w:tcPr>
            <w:tcW w:w="805" w:type="dxa"/>
          </w:tcPr>
          <w:p w14:paraId="70D522E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BA8D23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695107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63860A9" w14:textId="77777777">
        <w:tc>
          <w:tcPr>
            <w:tcW w:w="805" w:type="dxa"/>
          </w:tcPr>
          <w:p w14:paraId="614F2F7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5DDF88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F93066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669E80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7F70E0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BE16F2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271A10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C3C5BE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29F2B4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F4D0D2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9FE656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И-16</w:t>
            </w:r>
          </w:p>
        </w:tc>
        <w:tc>
          <w:tcPr>
            <w:tcW w:w="805" w:type="dxa"/>
          </w:tcPr>
          <w:p w14:paraId="3F84671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57405A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F09636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2172AAC" w14:textId="77777777">
        <w:tc>
          <w:tcPr>
            <w:tcW w:w="805" w:type="dxa"/>
          </w:tcPr>
          <w:p w14:paraId="3BE0E3E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D92CFD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43CE95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FD06DD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A12DD0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0B5014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AFE9DB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4F553A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29786F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A215BE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CD003F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М-63</w:t>
            </w:r>
          </w:p>
        </w:tc>
        <w:tc>
          <w:tcPr>
            <w:tcW w:w="805" w:type="dxa"/>
          </w:tcPr>
          <w:p w14:paraId="2334DA0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D9DC47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887F03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3AF2EDE" w14:textId="77777777">
        <w:tc>
          <w:tcPr>
            <w:tcW w:w="805" w:type="dxa"/>
          </w:tcPr>
          <w:p w14:paraId="0DCCE74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8D1134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7DDD3D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4142C9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4FFFFD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C05AFB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133FC6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2675A0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1F5B19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9A98DE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8B566F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И-16</w:t>
            </w:r>
          </w:p>
        </w:tc>
        <w:tc>
          <w:tcPr>
            <w:tcW w:w="805" w:type="dxa"/>
          </w:tcPr>
          <w:p w14:paraId="323B8A8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13E993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987A41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4950927" w14:textId="77777777">
        <w:tc>
          <w:tcPr>
            <w:tcW w:w="805" w:type="dxa"/>
          </w:tcPr>
          <w:p w14:paraId="22A5E80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1C3CF5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FF5A17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D40CEF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A50A70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325AF4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7C340C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8987B9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CCA284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277C5C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7EBD7C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п/баки</w:t>
            </w:r>
          </w:p>
        </w:tc>
        <w:tc>
          <w:tcPr>
            <w:tcW w:w="805" w:type="dxa"/>
          </w:tcPr>
          <w:p w14:paraId="2DC2082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7C044D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61DE98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773CA79" w14:textId="77777777">
        <w:tc>
          <w:tcPr>
            <w:tcW w:w="805" w:type="dxa"/>
          </w:tcPr>
          <w:p w14:paraId="148D1C0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1940</w:t>
            </w:r>
          </w:p>
        </w:tc>
        <w:tc>
          <w:tcPr>
            <w:tcW w:w="805" w:type="dxa"/>
          </w:tcPr>
          <w:p w14:paraId="0478D99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B402D4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816CCB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DB7ADD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A940D0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CC3D6B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0115E9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56753A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7FFE98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FADE58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D4B934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75E1B2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0458E6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8895E8E" w14:textId="77777777">
        <w:tc>
          <w:tcPr>
            <w:tcW w:w="805" w:type="dxa"/>
          </w:tcPr>
          <w:p w14:paraId="202B566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w:t>
            </w:r>
          </w:p>
        </w:tc>
        <w:tc>
          <w:tcPr>
            <w:tcW w:w="805" w:type="dxa"/>
          </w:tcPr>
          <w:p w14:paraId="399D999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w:t>
            </w:r>
          </w:p>
        </w:tc>
        <w:tc>
          <w:tcPr>
            <w:tcW w:w="805" w:type="dxa"/>
          </w:tcPr>
          <w:p w14:paraId="6E19DAD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tc>
        <w:tc>
          <w:tcPr>
            <w:tcW w:w="805" w:type="dxa"/>
          </w:tcPr>
          <w:p w14:paraId="70EE6C8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w:t>
            </w:r>
          </w:p>
        </w:tc>
        <w:tc>
          <w:tcPr>
            <w:tcW w:w="805" w:type="dxa"/>
          </w:tcPr>
          <w:p w14:paraId="05C5ACC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tc>
        <w:tc>
          <w:tcPr>
            <w:tcW w:w="805" w:type="dxa"/>
          </w:tcPr>
          <w:p w14:paraId="0B829B1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05" w:type="dxa"/>
          </w:tcPr>
          <w:p w14:paraId="2C83EBA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37</w:t>
            </w:r>
          </w:p>
        </w:tc>
        <w:tc>
          <w:tcPr>
            <w:tcW w:w="805" w:type="dxa"/>
          </w:tcPr>
          <w:p w14:paraId="5BF3ADD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tc>
        <w:tc>
          <w:tcPr>
            <w:tcW w:w="805" w:type="dxa"/>
          </w:tcPr>
          <w:p w14:paraId="2E612B4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tc>
        <w:tc>
          <w:tcPr>
            <w:tcW w:w="805" w:type="dxa"/>
          </w:tcPr>
          <w:p w14:paraId="60C7487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05" w:type="dxa"/>
          </w:tcPr>
          <w:p w14:paraId="5834FEF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tc>
        <w:tc>
          <w:tcPr>
            <w:tcW w:w="805" w:type="dxa"/>
          </w:tcPr>
          <w:p w14:paraId="0426008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tc>
        <w:tc>
          <w:tcPr>
            <w:tcW w:w="805" w:type="dxa"/>
          </w:tcPr>
          <w:p w14:paraId="40EE263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05" w:type="dxa"/>
          </w:tcPr>
          <w:p w14:paraId="0B3DAFA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w:t>
            </w:r>
          </w:p>
        </w:tc>
      </w:tr>
      <w:tr w:rsidR="005106D0" w:rsidRPr="007224C3" w14:paraId="6196844F" w14:textId="77777777">
        <w:tc>
          <w:tcPr>
            <w:tcW w:w="805" w:type="dxa"/>
          </w:tcPr>
          <w:p w14:paraId="28FD5E3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B13CAF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15DD93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863065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9F839D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2D0947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6DCC0D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DDF04F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Як-1</w:t>
            </w:r>
          </w:p>
        </w:tc>
        <w:tc>
          <w:tcPr>
            <w:tcW w:w="805" w:type="dxa"/>
          </w:tcPr>
          <w:p w14:paraId="5FCEA18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Ер-2</w:t>
            </w:r>
          </w:p>
        </w:tc>
        <w:tc>
          <w:tcPr>
            <w:tcW w:w="805" w:type="dxa"/>
          </w:tcPr>
          <w:p w14:paraId="151735B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674BBD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И-153</w:t>
            </w:r>
          </w:p>
        </w:tc>
        <w:tc>
          <w:tcPr>
            <w:tcW w:w="805" w:type="dxa"/>
          </w:tcPr>
          <w:p w14:paraId="37572BC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СБ</w:t>
            </w:r>
          </w:p>
        </w:tc>
        <w:tc>
          <w:tcPr>
            <w:tcW w:w="805" w:type="dxa"/>
          </w:tcPr>
          <w:p w14:paraId="26384B9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8B98E5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C91FA61" w14:textId="77777777">
        <w:tc>
          <w:tcPr>
            <w:tcW w:w="805" w:type="dxa"/>
          </w:tcPr>
          <w:p w14:paraId="665EA95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8930B8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C2E183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F644F4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64200F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D2C5AC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9A3439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7657DC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М-105</w:t>
            </w:r>
          </w:p>
        </w:tc>
        <w:tc>
          <w:tcPr>
            <w:tcW w:w="805" w:type="dxa"/>
          </w:tcPr>
          <w:p w14:paraId="2B98224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М-105</w:t>
            </w:r>
          </w:p>
        </w:tc>
        <w:tc>
          <w:tcPr>
            <w:tcW w:w="805" w:type="dxa"/>
          </w:tcPr>
          <w:p w14:paraId="0667BA7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46A05D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М-63</w:t>
            </w:r>
          </w:p>
        </w:tc>
        <w:tc>
          <w:tcPr>
            <w:tcW w:w="805" w:type="dxa"/>
          </w:tcPr>
          <w:p w14:paraId="026E8D9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М103</w:t>
            </w:r>
          </w:p>
        </w:tc>
        <w:tc>
          <w:tcPr>
            <w:tcW w:w="805" w:type="dxa"/>
          </w:tcPr>
          <w:p w14:paraId="663B22E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5B6456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913298A" w14:textId="77777777">
        <w:tc>
          <w:tcPr>
            <w:tcW w:w="805" w:type="dxa"/>
          </w:tcPr>
          <w:p w14:paraId="473F334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E9F150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7F7103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C35601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6B57F2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BDC82D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594535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64EE7C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ЛаГГ-3</w:t>
            </w:r>
          </w:p>
        </w:tc>
        <w:tc>
          <w:tcPr>
            <w:tcW w:w="805" w:type="dxa"/>
          </w:tcPr>
          <w:p w14:paraId="2C1ECB2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463AB4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EAE60B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2C02BF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СБ-РК</w:t>
            </w:r>
          </w:p>
        </w:tc>
        <w:tc>
          <w:tcPr>
            <w:tcW w:w="805" w:type="dxa"/>
          </w:tcPr>
          <w:p w14:paraId="116439B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D05F84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E8C528C" w14:textId="77777777">
        <w:tc>
          <w:tcPr>
            <w:tcW w:w="805" w:type="dxa"/>
          </w:tcPr>
          <w:p w14:paraId="6F2D7A3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EB7273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369281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434383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25DC73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2AF462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923AF4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907C72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М-105</w:t>
            </w:r>
          </w:p>
        </w:tc>
        <w:tc>
          <w:tcPr>
            <w:tcW w:w="805" w:type="dxa"/>
          </w:tcPr>
          <w:p w14:paraId="0A6F1E6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3EDE7A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8DBC44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205F23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М-105</w:t>
            </w:r>
          </w:p>
        </w:tc>
        <w:tc>
          <w:tcPr>
            <w:tcW w:w="805" w:type="dxa"/>
          </w:tcPr>
          <w:p w14:paraId="192A360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3682CD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10BF5A3" w14:textId="77777777">
        <w:tc>
          <w:tcPr>
            <w:tcW w:w="805" w:type="dxa"/>
          </w:tcPr>
          <w:p w14:paraId="7847B20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185A95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FBE063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801017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9A2D0E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6352C7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0F7EFC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2B68CA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МиГ-3</w:t>
            </w:r>
          </w:p>
        </w:tc>
        <w:tc>
          <w:tcPr>
            <w:tcW w:w="805" w:type="dxa"/>
          </w:tcPr>
          <w:p w14:paraId="303D75B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0DAECE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9BEC2C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642AE2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Як-4</w:t>
            </w:r>
          </w:p>
        </w:tc>
        <w:tc>
          <w:tcPr>
            <w:tcW w:w="805" w:type="dxa"/>
          </w:tcPr>
          <w:p w14:paraId="1720A71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AB65C9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981F382" w14:textId="77777777">
        <w:tc>
          <w:tcPr>
            <w:tcW w:w="805" w:type="dxa"/>
          </w:tcPr>
          <w:p w14:paraId="62DB38B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F1ACD4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241AA4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C2E5A4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94B4D7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8E85E4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57651B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728C34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АМ-35</w:t>
            </w:r>
          </w:p>
        </w:tc>
        <w:tc>
          <w:tcPr>
            <w:tcW w:w="805" w:type="dxa"/>
          </w:tcPr>
          <w:p w14:paraId="61D740D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9DE989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B90028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EBE386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М-105</w:t>
            </w:r>
          </w:p>
        </w:tc>
        <w:tc>
          <w:tcPr>
            <w:tcW w:w="805" w:type="dxa"/>
          </w:tcPr>
          <w:p w14:paraId="5285CFA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27D3C5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69492E4" w14:textId="77777777">
        <w:tc>
          <w:tcPr>
            <w:tcW w:w="805" w:type="dxa"/>
          </w:tcPr>
          <w:p w14:paraId="1967AAC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90E708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9FEB5C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B90F7A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37A73E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BBD266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277342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2199EB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BEB337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9232E2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5AE960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5BDD6F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Ил-2</w:t>
            </w:r>
          </w:p>
        </w:tc>
        <w:tc>
          <w:tcPr>
            <w:tcW w:w="805" w:type="dxa"/>
          </w:tcPr>
          <w:p w14:paraId="1EEDA95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E85302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42502D8" w14:textId="77777777">
        <w:tc>
          <w:tcPr>
            <w:tcW w:w="805" w:type="dxa"/>
          </w:tcPr>
          <w:p w14:paraId="3CD42F6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32BAF4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DF0125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DFD058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ECAB98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23D536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5B66A7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21E55D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0CF8B9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52C11E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6B88FA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16C0E3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М-88</w:t>
            </w:r>
          </w:p>
        </w:tc>
        <w:tc>
          <w:tcPr>
            <w:tcW w:w="805" w:type="dxa"/>
          </w:tcPr>
          <w:p w14:paraId="496A1EA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727FD1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94F0537" w14:textId="77777777">
        <w:tc>
          <w:tcPr>
            <w:tcW w:w="805" w:type="dxa"/>
          </w:tcPr>
          <w:p w14:paraId="3AEAE7B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0C9449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459CD5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426828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46B4B2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32F725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E420C4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6DD109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9D2A88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1973E6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2427BB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B91FF0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Су-2</w:t>
            </w:r>
          </w:p>
        </w:tc>
        <w:tc>
          <w:tcPr>
            <w:tcW w:w="805" w:type="dxa"/>
          </w:tcPr>
          <w:p w14:paraId="0AF111E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D47748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10B714D" w14:textId="77777777">
        <w:tc>
          <w:tcPr>
            <w:tcW w:w="805" w:type="dxa"/>
          </w:tcPr>
          <w:p w14:paraId="0787C71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EEE0C2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D5540F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AA9DC8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17E2BF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069856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B2FEF7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902001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CC97E9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90A4EB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B7A462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CE21C3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М-88Б</w:t>
            </w:r>
          </w:p>
        </w:tc>
        <w:tc>
          <w:tcPr>
            <w:tcW w:w="805" w:type="dxa"/>
          </w:tcPr>
          <w:p w14:paraId="596024F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878100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3FB4FBF" w14:textId="77777777">
        <w:tc>
          <w:tcPr>
            <w:tcW w:w="805" w:type="dxa"/>
          </w:tcPr>
          <w:p w14:paraId="7F06568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1941</w:t>
            </w:r>
          </w:p>
        </w:tc>
        <w:tc>
          <w:tcPr>
            <w:tcW w:w="805" w:type="dxa"/>
          </w:tcPr>
          <w:p w14:paraId="3131BAA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BD180A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F40D85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5B937E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DA1B99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05A6DB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82FC97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C4FC44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B2A860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96596E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95A471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766729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0478D0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DD58DBD" w14:textId="77777777">
        <w:tc>
          <w:tcPr>
            <w:tcW w:w="805" w:type="dxa"/>
          </w:tcPr>
          <w:p w14:paraId="5B2EF70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w:t>
            </w:r>
          </w:p>
        </w:tc>
        <w:tc>
          <w:tcPr>
            <w:tcW w:w="805" w:type="dxa"/>
          </w:tcPr>
          <w:p w14:paraId="33C79A9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w:t>
            </w:r>
          </w:p>
        </w:tc>
        <w:tc>
          <w:tcPr>
            <w:tcW w:w="805" w:type="dxa"/>
          </w:tcPr>
          <w:p w14:paraId="0B816A0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tc>
        <w:tc>
          <w:tcPr>
            <w:tcW w:w="805" w:type="dxa"/>
          </w:tcPr>
          <w:p w14:paraId="7ECDF8C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tc>
        <w:tc>
          <w:tcPr>
            <w:tcW w:w="805" w:type="dxa"/>
          </w:tcPr>
          <w:p w14:paraId="3ECD701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w:t>
            </w:r>
          </w:p>
        </w:tc>
        <w:tc>
          <w:tcPr>
            <w:tcW w:w="805" w:type="dxa"/>
          </w:tcPr>
          <w:p w14:paraId="6A50EF3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tc>
        <w:tc>
          <w:tcPr>
            <w:tcW w:w="805" w:type="dxa"/>
          </w:tcPr>
          <w:p w14:paraId="3DF56C1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41</w:t>
            </w:r>
          </w:p>
        </w:tc>
        <w:tc>
          <w:tcPr>
            <w:tcW w:w="805" w:type="dxa"/>
          </w:tcPr>
          <w:p w14:paraId="0B4186A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05" w:type="dxa"/>
          </w:tcPr>
          <w:p w14:paraId="6BD780A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tc>
        <w:tc>
          <w:tcPr>
            <w:tcW w:w="805" w:type="dxa"/>
          </w:tcPr>
          <w:p w14:paraId="456F1AD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tc>
        <w:tc>
          <w:tcPr>
            <w:tcW w:w="805" w:type="dxa"/>
          </w:tcPr>
          <w:p w14:paraId="5264E53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tc>
        <w:tc>
          <w:tcPr>
            <w:tcW w:w="805" w:type="dxa"/>
          </w:tcPr>
          <w:p w14:paraId="03BB7E8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tc>
        <w:tc>
          <w:tcPr>
            <w:tcW w:w="805" w:type="dxa"/>
          </w:tcPr>
          <w:p w14:paraId="4AF0BB7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05" w:type="dxa"/>
          </w:tcPr>
          <w:p w14:paraId="105451D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tc>
      </w:tr>
      <w:tr w:rsidR="005106D0" w:rsidRPr="007224C3" w14:paraId="06950079" w14:textId="77777777">
        <w:tc>
          <w:tcPr>
            <w:tcW w:w="805" w:type="dxa"/>
          </w:tcPr>
          <w:p w14:paraId="54AB483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9FDC3B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74B032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3C3B7D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66FBAE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762BC1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1D6755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B60E3F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F169F0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Пе-2</w:t>
            </w:r>
          </w:p>
        </w:tc>
        <w:tc>
          <w:tcPr>
            <w:tcW w:w="805" w:type="dxa"/>
          </w:tcPr>
          <w:p w14:paraId="01E0762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Ил-2</w:t>
            </w:r>
          </w:p>
        </w:tc>
        <w:tc>
          <w:tcPr>
            <w:tcW w:w="805" w:type="dxa"/>
          </w:tcPr>
          <w:p w14:paraId="1B21E4D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Як-7</w:t>
            </w:r>
          </w:p>
        </w:tc>
        <w:tc>
          <w:tcPr>
            <w:tcW w:w="805" w:type="dxa"/>
          </w:tcPr>
          <w:p w14:paraId="7E545C0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Пе-8</w:t>
            </w:r>
          </w:p>
        </w:tc>
        <w:tc>
          <w:tcPr>
            <w:tcW w:w="805" w:type="dxa"/>
          </w:tcPr>
          <w:p w14:paraId="055A6BA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8E1B97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A680683" w14:textId="77777777">
        <w:tc>
          <w:tcPr>
            <w:tcW w:w="805" w:type="dxa"/>
          </w:tcPr>
          <w:p w14:paraId="1D3FC75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2CF6D4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AA1509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99D38A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F930DF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78AEE6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7E9D2E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04D5CD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2F0357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М-105</w:t>
            </w:r>
          </w:p>
        </w:tc>
        <w:tc>
          <w:tcPr>
            <w:tcW w:w="805" w:type="dxa"/>
          </w:tcPr>
          <w:p w14:paraId="043F21D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АМ-39</w:t>
            </w:r>
          </w:p>
        </w:tc>
        <w:tc>
          <w:tcPr>
            <w:tcW w:w="805" w:type="dxa"/>
          </w:tcPr>
          <w:p w14:paraId="0503183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М-105</w:t>
            </w:r>
          </w:p>
        </w:tc>
        <w:tc>
          <w:tcPr>
            <w:tcW w:w="805" w:type="dxa"/>
          </w:tcPr>
          <w:p w14:paraId="62C3E1C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АМ-37А</w:t>
            </w:r>
          </w:p>
        </w:tc>
        <w:tc>
          <w:tcPr>
            <w:tcW w:w="805" w:type="dxa"/>
          </w:tcPr>
          <w:p w14:paraId="0FB937D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F9FA41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D14D2F7" w14:textId="77777777">
        <w:tc>
          <w:tcPr>
            <w:tcW w:w="805" w:type="dxa"/>
          </w:tcPr>
          <w:p w14:paraId="43CEB3D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BD640A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57B490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5AE06E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04CD3C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E65EBD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715498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6B2C99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3ED526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27EB5A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20C5E2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Пе-3</w:t>
            </w:r>
          </w:p>
        </w:tc>
        <w:tc>
          <w:tcPr>
            <w:tcW w:w="805" w:type="dxa"/>
          </w:tcPr>
          <w:p w14:paraId="0F85C44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9C6DEA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D57D1B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2D214CB" w14:textId="77777777">
        <w:tc>
          <w:tcPr>
            <w:tcW w:w="805" w:type="dxa"/>
          </w:tcPr>
          <w:p w14:paraId="12EE08D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0D652B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930D15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0DB9E5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4556D9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C5AA79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CDCA60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7DAF1C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57B1E5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F47B36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CBAD21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М-105</w:t>
            </w:r>
          </w:p>
        </w:tc>
        <w:tc>
          <w:tcPr>
            <w:tcW w:w="805" w:type="dxa"/>
          </w:tcPr>
          <w:p w14:paraId="761B458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F471F3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6854C6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CDCC8A1" w14:textId="77777777">
        <w:tc>
          <w:tcPr>
            <w:tcW w:w="805" w:type="dxa"/>
          </w:tcPr>
          <w:p w14:paraId="40747AC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1942</w:t>
            </w:r>
          </w:p>
        </w:tc>
        <w:tc>
          <w:tcPr>
            <w:tcW w:w="805" w:type="dxa"/>
          </w:tcPr>
          <w:p w14:paraId="4F95EAC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55C6B4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58D136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02D691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925BD6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7DFB94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CD501E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2B81FF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CAE2C8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0EF181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F7B735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E055DD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EED337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FBE61B2" w14:textId="77777777">
        <w:tc>
          <w:tcPr>
            <w:tcW w:w="805" w:type="dxa"/>
          </w:tcPr>
          <w:p w14:paraId="2D09A54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w:t>
            </w:r>
          </w:p>
        </w:tc>
        <w:tc>
          <w:tcPr>
            <w:tcW w:w="805" w:type="dxa"/>
          </w:tcPr>
          <w:p w14:paraId="66155D2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tc>
        <w:tc>
          <w:tcPr>
            <w:tcW w:w="805" w:type="dxa"/>
          </w:tcPr>
          <w:p w14:paraId="5CA3269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tc>
        <w:tc>
          <w:tcPr>
            <w:tcW w:w="805" w:type="dxa"/>
          </w:tcPr>
          <w:p w14:paraId="7A0B3F2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tc>
        <w:tc>
          <w:tcPr>
            <w:tcW w:w="805" w:type="dxa"/>
          </w:tcPr>
          <w:p w14:paraId="1C8270A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w:t>
            </w:r>
          </w:p>
        </w:tc>
        <w:tc>
          <w:tcPr>
            <w:tcW w:w="805" w:type="dxa"/>
          </w:tcPr>
          <w:p w14:paraId="53291E4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tc>
        <w:tc>
          <w:tcPr>
            <w:tcW w:w="805" w:type="dxa"/>
          </w:tcPr>
          <w:p w14:paraId="6B7B283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37</w:t>
            </w:r>
          </w:p>
        </w:tc>
        <w:tc>
          <w:tcPr>
            <w:tcW w:w="805" w:type="dxa"/>
          </w:tcPr>
          <w:p w14:paraId="6EC2961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05" w:type="dxa"/>
          </w:tcPr>
          <w:p w14:paraId="3A045DD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tc>
        <w:tc>
          <w:tcPr>
            <w:tcW w:w="805" w:type="dxa"/>
          </w:tcPr>
          <w:p w14:paraId="54912CE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tc>
        <w:tc>
          <w:tcPr>
            <w:tcW w:w="805" w:type="dxa"/>
          </w:tcPr>
          <w:p w14:paraId="6074FA1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w:t>
            </w:r>
          </w:p>
        </w:tc>
        <w:tc>
          <w:tcPr>
            <w:tcW w:w="805" w:type="dxa"/>
          </w:tcPr>
          <w:p w14:paraId="02ABA34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w:t>
            </w:r>
          </w:p>
        </w:tc>
        <w:tc>
          <w:tcPr>
            <w:tcW w:w="805" w:type="dxa"/>
          </w:tcPr>
          <w:p w14:paraId="0DA3502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tc>
        <w:tc>
          <w:tcPr>
            <w:tcW w:w="805" w:type="dxa"/>
          </w:tcPr>
          <w:p w14:paraId="4D46C9F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w:t>
            </w:r>
          </w:p>
        </w:tc>
      </w:tr>
      <w:tr w:rsidR="005106D0" w:rsidRPr="007224C3" w14:paraId="5182F095" w14:textId="77777777">
        <w:tc>
          <w:tcPr>
            <w:tcW w:w="805" w:type="dxa"/>
          </w:tcPr>
          <w:p w14:paraId="35B6AB2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BD0C79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384DBB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AED033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1A1671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7FCBED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631FDA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6DC7DF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3D9D44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Ту-2</w:t>
            </w:r>
          </w:p>
        </w:tc>
        <w:tc>
          <w:tcPr>
            <w:tcW w:w="805" w:type="dxa"/>
          </w:tcPr>
          <w:p w14:paraId="26B0CC2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(тр.)</w:t>
            </w:r>
          </w:p>
        </w:tc>
        <w:tc>
          <w:tcPr>
            <w:tcW w:w="805" w:type="dxa"/>
          </w:tcPr>
          <w:p w14:paraId="6794EEC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Як-1</w:t>
            </w:r>
          </w:p>
        </w:tc>
        <w:tc>
          <w:tcPr>
            <w:tcW w:w="805" w:type="dxa"/>
          </w:tcPr>
          <w:p w14:paraId="57981BE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Пе-2</w:t>
            </w:r>
          </w:p>
        </w:tc>
        <w:tc>
          <w:tcPr>
            <w:tcW w:w="805" w:type="dxa"/>
          </w:tcPr>
          <w:p w14:paraId="017288A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Ил-2</w:t>
            </w:r>
          </w:p>
        </w:tc>
        <w:tc>
          <w:tcPr>
            <w:tcW w:w="805" w:type="dxa"/>
          </w:tcPr>
          <w:p w14:paraId="21F1BA4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55107EA" w14:textId="77777777">
        <w:tc>
          <w:tcPr>
            <w:tcW w:w="805" w:type="dxa"/>
          </w:tcPr>
          <w:p w14:paraId="2754667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BEC061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8B3CF1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51D957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AFC528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CF6930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A7458A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C79CCF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7B918D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М-82</w:t>
            </w:r>
          </w:p>
        </w:tc>
        <w:tc>
          <w:tcPr>
            <w:tcW w:w="805" w:type="dxa"/>
          </w:tcPr>
          <w:p w14:paraId="62F9D1C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Як-6</w:t>
            </w:r>
          </w:p>
        </w:tc>
        <w:tc>
          <w:tcPr>
            <w:tcW w:w="805" w:type="dxa"/>
          </w:tcPr>
          <w:p w14:paraId="24F1C6E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М-105</w:t>
            </w:r>
          </w:p>
        </w:tc>
        <w:tc>
          <w:tcPr>
            <w:tcW w:w="805" w:type="dxa"/>
          </w:tcPr>
          <w:p w14:paraId="6A68D00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М-105</w:t>
            </w:r>
          </w:p>
        </w:tc>
        <w:tc>
          <w:tcPr>
            <w:tcW w:w="805" w:type="dxa"/>
          </w:tcPr>
          <w:p w14:paraId="52009DC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(двух)</w:t>
            </w:r>
          </w:p>
        </w:tc>
        <w:tc>
          <w:tcPr>
            <w:tcW w:w="805" w:type="dxa"/>
          </w:tcPr>
          <w:p w14:paraId="7CB1352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5E25450" w14:textId="77777777">
        <w:tc>
          <w:tcPr>
            <w:tcW w:w="805" w:type="dxa"/>
          </w:tcPr>
          <w:p w14:paraId="00A9617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D0CFAA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5F9C6F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A53E54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F908B8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745514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94BA9B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6BBCA9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D580AA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59C7B1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М-11Д</w:t>
            </w:r>
          </w:p>
        </w:tc>
        <w:tc>
          <w:tcPr>
            <w:tcW w:w="805" w:type="dxa"/>
          </w:tcPr>
          <w:p w14:paraId="5F29CD9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ЛаГГ-3</w:t>
            </w:r>
          </w:p>
        </w:tc>
        <w:tc>
          <w:tcPr>
            <w:tcW w:w="805" w:type="dxa"/>
          </w:tcPr>
          <w:p w14:paraId="61C1A75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Ли-2</w:t>
            </w:r>
          </w:p>
        </w:tc>
        <w:tc>
          <w:tcPr>
            <w:tcW w:w="805" w:type="dxa"/>
          </w:tcPr>
          <w:p w14:paraId="5D3ECF3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Ил-2</w:t>
            </w:r>
          </w:p>
        </w:tc>
        <w:tc>
          <w:tcPr>
            <w:tcW w:w="805" w:type="dxa"/>
          </w:tcPr>
          <w:p w14:paraId="4DA0337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20ED768" w14:textId="77777777">
        <w:tc>
          <w:tcPr>
            <w:tcW w:w="805" w:type="dxa"/>
          </w:tcPr>
          <w:p w14:paraId="26C947D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2D7027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D85670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1CDE69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314C69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F125EA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EC4F19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47458E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E82D70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C80FEB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BB8890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М-105</w:t>
            </w:r>
          </w:p>
        </w:tc>
        <w:tc>
          <w:tcPr>
            <w:tcW w:w="805" w:type="dxa"/>
          </w:tcPr>
          <w:p w14:paraId="116D7D2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М-62</w:t>
            </w:r>
          </w:p>
        </w:tc>
        <w:tc>
          <w:tcPr>
            <w:tcW w:w="805" w:type="dxa"/>
          </w:tcPr>
          <w:p w14:paraId="3067101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АМ-38Ф</w:t>
            </w:r>
          </w:p>
        </w:tc>
        <w:tc>
          <w:tcPr>
            <w:tcW w:w="805" w:type="dxa"/>
          </w:tcPr>
          <w:p w14:paraId="7CE0404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F9A0FB5" w14:textId="77777777">
        <w:tc>
          <w:tcPr>
            <w:tcW w:w="805" w:type="dxa"/>
          </w:tcPr>
          <w:p w14:paraId="4E6A951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9E7355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5F5AF6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D57051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E6B3B2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2C9A51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CCFD76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C872EA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916C61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9BB3EF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F6A9FC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Ла-5</w:t>
            </w:r>
          </w:p>
        </w:tc>
        <w:tc>
          <w:tcPr>
            <w:tcW w:w="805" w:type="dxa"/>
          </w:tcPr>
          <w:p w14:paraId="08809BA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8DFB03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8779B9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C43290C" w14:textId="77777777">
        <w:tc>
          <w:tcPr>
            <w:tcW w:w="805" w:type="dxa"/>
          </w:tcPr>
          <w:p w14:paraId="445970A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6430DE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5795E5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C24058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CF48CB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CC73AA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222AB6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71777C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A5BA8F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96E3D7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538500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М-82</w:t>
            </w:r>
          </w:p>
        </w:tc>
        <w:tc>
          <w:tcPr>
            <w:tcW w:w="805" w:type="dxa"/>
          </w:tcPr>
          <w:p w14:paraId="4C63570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A0D888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43ABBC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713C037" w14:textId="77777777">
        <w:tc>
          <w:tcPr>
            <w:tcW w:w="805" w:type="dxa"/>
          </w:tcPr>
          <w:p w14:paraId="278A841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7F9E17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84C334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E59085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8A18C4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88F731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23FC1A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2F409C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7277A9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097039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C729B8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Як-9</w:t>
            </w:r>
          </w:p>
        </w:tc>
        <w:tc>
          <w:tcPr>
            <w:tcW w:w="805" w:type="dxa"/>
          </w:tcPr>
          <w:p w14:paraId="43C5E07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941EFB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195B37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94B298A" w14:textId="77777777">
        <w:tc>
          <w:tcPr>
            <w:tcW w:w="805" w:type="dxa"/>
          </w:tcPr>
          <w:p w14:paraId="0BC1D6D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65C06A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377AA2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0C8701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4800F5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FD994A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927F9D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DA7C79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8A04DE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8D8BE2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E02C87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М-105</w:t>
            </w:r>
          </w:p>
        </w:tc>
        <w:tc>
          <w:tcPr>
            <w:tcW w:w="805" w:type="dxa"/>
          </w:tcPr>
          <w:p w14:paraId="4BD133D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3BF1C1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5A4AB4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E187588" w14:textId="77777777">
        <w:tc>
          <w:tcPr>
            <w:tcW w:w="805" w:type="dxa"/>
          </w:tcPr>
          <w:p w14:paraId="33858B2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538CA0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EAAA35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348262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1ED7EB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F2206D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76C7AC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7B02CD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CB5258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C6E45D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D7A757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Як-9Т</w:t>
            </w:r>
          </w:p>
        </w:tc>
        <w:tc>
          <w:tcPr>
            <w:tcW w:w="805" w:type="dxa"/>
          </w:tcPr>
          <w:p w14:paraId="2DF8413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7EA108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987E99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AA37A56" w14:textId="77777777">
        <w:tc>
          <w:tcPr>
            <w:tcW w:w="805" w:type="dxa"/>
          </w:tcPr>
          <w:p w14:paraId="1B61C70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11D7BF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3286D9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1013E0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7B57C4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86D21D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DB8B0A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15D548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47F92E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D34ABE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8B35E9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М-105</w:t>
            </w:r>
          </w:p>
        </w:tc>
        <w:tc>
          <w:tcPr>
            <w:tcW w:w="805" w:type="dxa"/>
          </w:tcPr>
          <w:p w14:paraId="543F832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396EB3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FC9C55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812C226" w14:textId="77777777">
        <w:tc>
          <w:tcPr>
            <w:tcW w:w="805" w:type="dxa"/>
          </w:tcPr>
          <w:p w14:paraId="5C98FAD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3DC4D3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58B36E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8C5585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5DACC1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5D4309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85937C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1BE5B4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EBFDE2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1B941E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B20F67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Ла-5</w:t>
            </w:r>
          </w:p>
        </w:tc>
        <w:tc>
          <w:tcPr>
            <w:tcW w:w="805" w:type="dxa"/>
          </w:tcPr>
          <w:p w14:paraId="0A9BB64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2AD92F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7EC1C9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162AE84" w14:textId="77777777">
        <w:tc>
          <w:tcPr>
            <w:tcW w:w="805" w:type="dxa"/>
          </w:tcPr>
          <w:p w14:paraId="72AF031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F16A10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22BBC2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2DD98E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A40B2D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F1A77F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578201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C74978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FE7041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C93E61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0EE684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М-82Ф</w:t>
            </w:r>
          </w:p>
        </w:tc>
        <w:tc>
          <w:tcPr>
            <w:tcW w:w="805" w:type="dxa"/>
          </w:tcPr>
          <w:p w14:paraId="7524466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BAE0E5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F685A7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C0BBB7C" w14:textId="77777777">
        <w:tc>
          <w:tcPr>
            <w:tcW w:w="805" w:type="dxa"/>
          </w:tcPr>
          <w:p w14:paraId="51CDD56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0805C8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76B9DC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690041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DF93C9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D9772E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621062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BF4E89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D8BE96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B87157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84FAE1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Як-7Б</w:t>
            </w:r>
          </w:p>
        </w:tc>
        <w:tc>
          <w:tcPr>
            <w:tcW w:w="805" w:type="dxa"/>
          </w:tcPr>
          <w:p w14:paraId="13D711E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CD6D1C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83B0A6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1E98A1A" w14:textId="77777777">
        <w:tc>
          <w:tcPr>
            <w:tcW w:w="805" w:type="dxa"/>
          </w:tcPr>
          <w:p w14:paraId="59244D4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0B47BD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700076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727DC0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F30861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3958EE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B99011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7CCF91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D7D111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204A2F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6ED169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М-105</w:t>
            </w:r>
          </w:p>
        </w:tc>
        <w:tc>
          <w:tcPr>
            <w:tcW w:w="805" w:type="dxa"/>
          </w:tcPr>
          <w:p w14:paraId="008809B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DE9F60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38FE24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0FC1670" w14:textId="77777777">
        <w:tc>
          <w:tcPr>
            <w:tcW w:w="805" w:type="dxa"/>
          </w:tcPr>
          <w:p w14:paraId="4763D10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B56BB4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95A91E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29CAE0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FCD0B3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8346AE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DF576D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CDD9B1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C93413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8395A2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B448A7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Як-1</w:t>
            </w:r>
          </w:p>
        </w:tc>
        <w:tc>
          <w:tcPr>
            <w:tcW w:w="805" w:type="dxa"/>
          </w:tcPr>
          <w:p w14:paraId="7F80100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EF4BE5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E3777C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9D14035" w14:textId="77777777">
        <w:tc>
          <w:tcPr>
            <w:tcW w:w="805" w:type="dxa"/>
          </w:tcPr>
          <w:p w14:paraId="11F5C98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D40862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F6643C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14408E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A177D2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2295A8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7837FB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AC7FEB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584159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73CAE8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E0029C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М-105</w:t>
            </w:r>
          </w:p>
        </w:tc>
        <w:tc>
          <w:tcPr>
            <w:tcW w:w="805" w:type="dxa"/>
          </w:tcPr>
          <w:p w14:paraId="174F0B0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E663E9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37C122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B460A82" w14:textId="77777777">
        <w:tc>
          <w:tcPr>
            <w:tcW w:w="805" w:type="dxa"/>
          </w:tcPr>
          <w:p w14:paraId="3B98E32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34F4E5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47C82F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7BA36F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DDC9D9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3978D3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8124B0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0D44A2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B2D2CC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F1AD4B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35E1EF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Як-7</w:t>
            </w:r>
          </w:p>
        </w:tc>
        <w:tc>
          <w:tcPr>
            <w:tcW w:w="805" w:type="dxa"/>
          </w:tcPr>
          <w:p w14:paraId="3CD7621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DDBF80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AC8252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4661E31" w14:textId="77777777">
        <w:tc>
          <w:tcPr>
            <w:tcW w:w="805" w:type="dxa"/>
          </w:tcPr>
          <w:p w14:paraId="690DDFB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44B413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611085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67997A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1BC5F7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2A6A0E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D78C8D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DBEB08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78740F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AD47C0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4A7F8A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М-105</w:t>
            </w:r>
          </w:p>
        </w:tc>
        <w:tc>
          <w:tcPr>
            <w:tcW w:w="805" w:type="dxa"/>
          </w:tcPr>
          <w:p w14:paraId="4AFA26A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9A8EF2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0EB0D3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DED9633" w14:textId="77777777">
        <w:tc>
          <w:tcPr>
            <w:tcW w:w="805" w:type="dxa"/>
          </w:tcPr>
          <w:p w14:paraId="4CA10E4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9AD706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DBE7C4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FB3A87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A526E8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7677C6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81C2DD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C179AC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098851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636152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3D543B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ЛаГГ-3</w:t>
            </w:r>
          </w:p>
        </w:tc>
        <w:tc>
          <w:tcPr>
            <w:tcW w:w="805" w:type="dxa"/>
          </w:tcPr>
          <w:p w14:paraId="3792B9B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2EA6D5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671FC6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3F599AC" w14:textId="77777777">
        <w:tc>
          <w:tcPr>
            <w:tcW w:w="805" w:type="dxa"/>
          </w:tcPr>
          <w:p w14:paraId="3EA7E9A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ABAD42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C69B00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D9246B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FB0D75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E42093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6691A8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92BEE9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56CAAD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4E3A6D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C85708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М-105</w:t>
            </w:r>
          </w:p>
        </w:tc>
        <w:tc>
          <w:tcPr>
            <w:tcW w:w="805" w:type="dxa"/>
          </w:tcPr>
          <w:p w14:paraId="263B021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0CC5A1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AA9ECF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2D4D719" w14:textId="77777777">
        <w:tc>
          <w:tcPr>
            <w:tcW w:w="805" w:type="dxa"/>
          </w:tcPr>
          <w:p w14:paraId="60154DC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C5498A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4718A6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2D7405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6CB7EC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7CA7A5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DC45FB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1985F2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D86F7B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DDA093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09F4AE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Ла-5</w:t>
            </w:r>
          </w:p>
        </w:tc>
        <w:tc>
          <w:tcPr>
            <w:tcW w:w="805" w:type="dxa"/>
          </w:tcPr>
          <w:p w14:paraId="0A088EC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55A377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10FB66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6BB23D7" w14:textId="77777777">
        <w:tc>
          <w:tcPr>
            <w:tcW w:w="805" w:type="dxa"/>
          </w:tcPr>
          <w:p w14:paraId="3A4C998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7AB63E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5258AA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C45502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A2000F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8D2E58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DBCD41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0218B5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1EA59C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683C9D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8E40C8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М-82</w:t>
            </w:r>
          </w:p>
        </w:tc>
        <w:tc>
          <w:tcPr>
            <w:tcW w:w="805" w:type="dxa"/>
          </w:tcPr>
          <w:p w14:paraId="0FC2ABA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A40207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92AB6F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CE7C855" w14:textId="77777777">
        <w:tc>
          <w:tcPr>
            <w:tcW w:w="805" w:type="dxa"/>
          </w:tcPr>
          <w:p w14:paraId="545AA25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413603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65DF73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DE0DFE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6FA773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1BD1C3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EF0B86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3DF57B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A358BA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33A928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91331B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Як-7в</w:t>
            </w:r>
          </w:p>
        </w:tc>
        <w:tc>
          <w:tcPr>
            <w:tcW w:w="805" w:type="dxa"/>
          </w:tcPr>
          <w:p w14:paraId="5067CF1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9807E5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17CD44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E8AA879" w14:textId="77777777">
        <w:tc>
          <w:tcPr>
            <w:tcW w:w="805" w:type="dxa"/>
          </w:tcPr>
          <w:p w14:paraId="62FD555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BC0038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0546E3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2143C5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D5AEC8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431F8D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C2480F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F73447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41560F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334D8B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D6BA6B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М-105</w:t>
            </w:r>
          </w:p>
        </w:tc>
        <w:tc>
          <w:tcPr>
            <w:tcW w:w="805" w:type="dxa"/>
          </w:tcPr>
          <w:p w14:paraId="35E8D05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F8E7DF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883421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B28D4A4" w14:textId="77777777">
        <w:tc>
          <w:tcPr>
            <w:tcW w:w="805" w:type="dxa"/>
          </w:tcPr>
          <w:p w14:paraId="686DEE1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1943</w:t>
            </w:r>
          </w:p>
        </w:tc>
        <w:tc>
          <w:tcPr>
            <w:tcW w:w="805" w:type="dxa"/>
          </w:tcPr>
          <w:p w14:paraId="5C52E04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2732FC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7FBD3C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2F8836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2D53DB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9AE4E2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EF92DD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860A51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EAA334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27F09E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EABE99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42C22D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C4055C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55FE171" w14:textId="77777777">
        <w:tc>
          <w:tcPr>
            <w:tcW w:w="805" w:type="dxa"/>
          </w:tcPr>
          <w:p w14:paraId="68728DE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w:t>
            </w:r>
          </w:p>
        </w:tc>
        <w:tc>
          <w:tcPr>
            <w:tcW w:w="805" w:type="dxa"/>
          </w:tcPr>
          <w:p w14:paraId="0DBA367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BC8A73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tc>
        <w:tc>
          <w:tcPr>
            <w:tcW w:w="805" w:type="dxa"/>
          </w:tcPr>
          <w:p w14:paraId="1BC381A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tc>
        <w:tc>
          <w:tcPr>
            <w:tcW w:w="805" w:type="dxa"/>
          </w:tcPr>
          <w:p w14:paraId="3650F47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w:t>
            </w:r>
          </w:p>
        </w:tc>
        <w:tc>
          <w:tcPr>
            <w:tcW w:w="805" w:type="dxa"/>
          </w:tcPr>
          <w:p w14:paraId="5ABFB0E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w:t>
            </w:r>
          </w:p>
        </w:tc>
        <w:tc>
          <w:tcPr>
            <w:tcW w:w="805" w:type="dxa"/>
          </w:tcPr>
          <w:p w14:paraId="06F1894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tc>
        <w:tc>
          <w:tcPr>
            <w:tcW w:w="805" w:type="dxa"/>
          </w:tcPr>
          <w:p w14:paraId="7B2CEF1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32</w:t>
            </w:r>
          </w:p>
        </w:tc>
        <w:tc>
          <w:tcPr>
            <w:tcW w:w="805" w:type="dxa"/>
          </w:tcPr>
          <w:p w14:paraId="05DE28D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05" w:type="dxa"/>
          </w:tcPr>
          <w:p w14:paraId="36D0A86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Ще-2</w:t>
            </w:r>
          </w:p>
        </w:tc>
        <w:tc>
          <w:tcPr>
            <w:tcW w:w="805" w:type="dxa"/>
          </w:tcPr>
          <w:p w14:paraId="7DD84B8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Як-9</w:t>
            </w:r>
          </w:p>
        </w:tc>
        <w:tc>
          <w:tcPr>
            <w:tcW w:w="805" w:type="dxa"/>
          </w:tcPr>
          <w:p w14:paraId="6DD6866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Ту-2</w:t>
            </w:r>
          </w:p>
        </w:tc>
        <w:tc>
          <w:tcPr>
            <w:tcW w:w="805" w:type="dxa"/>
          </w:tcPr>
          <w:p w14:paraId="59EE3FA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Ил-2</w:t>
            </w:r>
          </w:p>
        </w:tc>
        <w:tc>
          <w:tcPr>
            <w:tcW w:w="805" w:type="dxa"/>
          </w:tcPr>
          <w:p w14:paraId="240DED9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w:t>
            </w:r>
          </w:p>
        </w:tc>
      </w:tr>
      <w:tr w:rsidR="005106D0" w:rsidRPr="007224C3" w14:paraId="55E01F2B" w14:textId="77777777">
        <w:tc>
          <w:tcPr>
            <w:tcW w:w="805" w:type="dxa"/>
          </w:tcPr>
          <w:p w14:paraId="0A58790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F26E3B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1FBDBB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628164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AEA863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22CCF1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C10912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29D2DB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2EF367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E0A736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(дес)</w:t>
            </w:r>
          </w:p>
        </w:tc>
        <w:tc>
          <w:tcPr>
            <w:tcW w:w="805" w:type="dxa"/>
          </w:tcPr>
          <w:p w14:paraId="11F9813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М-107</w:t>
            </w:r>
          </w:p>
        </w:tc>
        <w:tc>
          <w:tcPr>
            <w:tcW w:w="805" w:type="dxa"/>
          </w:tcPr>
          <w:p w14:paraId="2BDF1C8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М-82</w:t>
            </w:r>
          </w:p>
        </w:tc>
        <w:tc>
          <w:tcPr>
            <w:tcW w:w="805" w:type="dxa"/>
          </w:tcPr>
          <w:p w14:paraId="2956696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(37мм)</w:t>
            </w:r>
          </w:p>
        </w:tc>
        <w:tc>
          <w:tcPr>
            <w:tcW w:w="805" w:type="dxa"/>
          </w:tcPr>
          <w:p w14:paraId="731709C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1CCB295" w14:textId="77777777">
        <w:tc>
          <w:tcPr>
            <w:tcW w:w="805" w:type="dxa"/>
          </w:tcPr>
          <w:p w14:paraId="12188DD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307179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220366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8D3B24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C6B5C1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DB868F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6A0D08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26CDFB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5CEBE4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765907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М-11Д</w:t>
            </w:r>
          </w:p>
        </w:tc>
        <w:tc>
          <w:tcPr>
            <w:tcW w:w="805" w:type="dxa"/>
          </w:tcPr>
          <w:p w14:paraId="4E64F32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Як-9</w:t>
            </w:r>
          </w:p>
        </w:tc>
        <w:tc>
          <w:tcPr>
            <w:tcW w:w="805" w:type="dxa"/>
          </w:tcPr>
          <w:p w14:paraId="11D241D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Ер-2</w:t>
            </w:r>
          </w:p>
        </w:tc>
        <w:tc>
          <w:tcPr>
            <w:tcW w:w="805" w:type="dxa"/>
          </w:tcPr>
          <w:p w14:paraId="4A35BBC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УИл-2</w:t>
            </w:r>
          </w:p>
        </w:tc>
        <w:tc>
          <w:tcPr>
            <w:tcW w:w="805" w:type="dxa"/>
          </w:tcPr>
          <w:p w14:paraId="0A71FB9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A64E480" w14:textId="77777777">
        <w:tc>
          <w:tcPr>
            <w:tcW w:w="805" w:type="dxa"/>
          </w:tcPr>
          <w:p w14:paraId="34EBCDD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545083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4595F5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3ABE81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4F2D55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2EFBD3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23B4AB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7AD1C0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718129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18D84C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D2C2F1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М-106</w:t>
            </w:r>
          </w:p>
        </w:tc>
        <w:tc>
          <w:tcPr>
            <w:tcW w:w="805" w:type="dxa"/>
          </w:tcPr>
          <w:p w14:paraId="3317934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М-30</w:t>
            </w:r>
          </w:p>
        </w:tc>
        <w:tc>
          <w:tcPr>
            <w:tcW w:w="805" w:type="dxa"/>
          </w:tcPr>
          <w:p w14:paraId="2A7998F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АМ-38Ф</w:t>
            </w:r>
          </w:p>
        </w:tc>
        <w:tc>
          <w:tcPr>
            <w:tcW w:w="805" w:type="dxa"/>
          </w:tcPr>
          <w:p w14:paraId="15EDAF2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D8D5FAE" w14:textId="77777777">
        <w:tc>
          <w:tcPr>
            <w:tcW w:w="805" w:type="dxa"/>
          </w:tcPr>
          <w:p w14:paraId="6B9ED5F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783724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8C39F8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3CCBFF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0EC1A4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CB7EEB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74D46F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AA8FD9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015BE6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D3778B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41F273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Як-3</w:t>
            </w:r>
          </w:p>
        </w:tc>
        <w:tc>
          <w:tcPr>
            <w:tcW w:w="805" w:type="dxa"/>
          </w:tcPr>
          <w:p w14:paraId="1A30A3A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Пе-2</w:t>
            </w:r>
          </w:p>
        </w:tc>
        <w:tc>
          <w:tcPr>
            <w:tcW w:w="805" w:type="dxa"/>
          </w:tcPr>
          <w:p w14:paraId="57021CD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71A787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21A9AF2" w14:textId="77777777">
        <w:tc>
          <w:tcPr>
            <w:tcW w:w="805" w:type="dxa"/>
          </w:tcPr>
          <w:p w14:paraId="539C4AE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DF1B48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CA7F65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2A12F4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C9FBD4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72D9B7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BB13CE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97A579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57FF8E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97B973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565242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М-105</w:t>
            </w:r>
          </w:p>
        </w:tc>
        <w:tc>
          <w:tcPr>
            <w:tcW w:w="805" w:type="dxa"/>
          </w:tcPr>
          <w:p w14:paraId="14279ED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М-82</w:t>
            </w:r>
          </w:p>
        </w:tc>
        <w:tc>
          <w:tcPr>
            <w:tcW w:w="805" w:type="dxa"/>
          </w:tcPr>
          <w:p w14:paraId="4F0669D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4162F1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34F9315" w14:textId="77777777">
        <w:tc>
          <w:tcPr>
            <w:tcW w:w="805" w:type="dxa"/>
          </w:tcPr>
          <w:p w14:paraId="71B6F1D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269446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B715E1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734315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855901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5850F0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C9E6F7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527D04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36DDA4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85CCA1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AC283F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Ла-5</w:t>
            </w:r>
          </w:p>
        </w:tc>
        <w:tc>
          <w:tcPr>
            <w:tcW w:w="805" w:type="dxa"/>
          </w:tcPr>
          <w:p w14:paraId="734D74D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D89563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8BC853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7A85F8A" w14:textId="77777777">
        <w:tc>
          <w:tcPr>
            <w:tcW w:w="805" w:type="dxa"/>
          </w:tcPr>
          <w:p w14:paraId="6ECA490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1602E1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1D50A2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4F2BC2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F28088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DDC8C1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0F664A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77F696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DFA6F8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B94635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6B47C7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М-82</w:t>
            </w:r>
          </w:p>
        </w:tc>
        <w:tc>
          <w:tcPr>
            <w:tcW w:w="805" w:type="dxa"/>
          </w:tcPr>
          <w:p w14:paraId="0516C17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50981F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8CCE63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638A6F2" w14:textId="77777777">
        <w:tc>
          <w:tcPr>
            <w:tcW w:w="805" w:type="dxa"/>
          </w:tcPr>
          <w:p w14:paraId="3165F44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F58CB5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C7CAA8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5A60D0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E4E8A4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61AA8B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7C865A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DF08F5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0B79DA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F27C73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4116D2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УЛа-5</w:t>
            </w:r>
          </w:p>
        </w:tc>
        <w:tc>
          <w:tcPr>
            <w:tcW w:w="805" w:type="dxa"/>
          </w:tcPr>
          <w:p w14:paraId="7B946C0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800DE4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45BF0F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721C991" w14:textId="77777777">
        <w:tc>
          <w:tcPr>
            <w:tcW w:w="805" w:type="dxa"/>
          </w:tcPr>
          <w:p w14:paraId="766982F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8D2B4C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66DBE7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B3086F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FB774C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C069F3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518284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ACCFC7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4FE133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233B80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5272A5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М-82</w:t>
            </w:r>
          </w:p>
        </w:tc>
        <w:tc>
          <w:tcPr>
            <w:tcW w:w="805" w:type="dxa"/>
          </w:tcPr>
          <w:p w14:paraId="6A8F86D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F3409D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A6B72D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663EBE9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230EC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началу 1944 г. ВВС Советской Армии были уже хорошо оснащены всей необходимой боевой техникой основных классов. Поэтому командование ВВС и руководство авиационной промышленности СССР смогли обратить внимание и на освоение принципиально новых видов авиационной техники. Руководство Наркомата авиационной промышленности решило принять ОКБ-3 в свою систему и разместить его на «Территории №2» бывшей мебельной фабрики между 2-й и 3-й Рыбинскими улицами (11242).</w:t>
      </w:r>
    </w:p>
    <w:p w14:paraId="2BFA092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323D435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 начале 1944 г. прямоточные двигатели Д-4МС стали значительно надежнее, они не требовали размещения на самолете агрессивной азотной кислоты, поэтому первоначально ставка была сделана на них. Для установки двух двигателей под крылом выделили серийный самолет Як-7Б. Первый полет на этой машине с включением "прямоточников" выполнил 15 мая 1944 г. ведущий летчик С.Н. Анохин. </w:t>
      </w:r>
    </w:p>
    <w:p w14:paraId="734CCF8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Испытания показали, что максимальная скорость полета Як-7Б с неработающими двигателями Д-4МС у земли составила 460 км/ч, в то время как без подвешенных под крылом ПВРД она достигала 494 км/ч. С работающими Д-4МС скорость машины у земли возрастала до 513 км/ч, то есть всего на 19 км/ч больше по сравнению с "нормальным" Як-7Б. С увеличением высоты выигрыш в скорости должен был заметно возрасти. Кроме того, конструктор двигателей Меркулов предлагал повысить расход топлива до 30 кг/мин, тогда на расчетной высоте 6000…7000 м самолет имел бы максимальную скорость порядка 635…640 км/ч. Напомним однако, что в указанный период времени у серийного Як-3 с поршневым двигателем ВК-105ПФ2 максимальная скорость на высоте 4100 м составляла 646 км/ч… Таким образом, меркуловские ПВРД не давали особых преимуществ истребителю с подобной комбинированной силовой установкой (11407).</w:t>
      </w:r>
    </w:p>
    <w:p w14:paraId="64C211A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042B587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1944 г. начали монтаж «УС» в кры</w:t>
      </w:r>
      <w:r w:rsidRPr="007224C3">
        <w:rPr>
          <w:rFonts w:ascii="Times New Roman" w:hAnsi="Times New Roman"/>
          <w:color w:val="000000" w:themeColor="text1"/>
          <w:sz w:val="16"/>
          <w:szCs w:val="16"/>
        </w:rPr>
        <w:softHyphen/>
        <w:t>ло Пе-2 для продува и испытаний в большой аэродинамической тру</w:t>
      </w:r>
      <w:r w:rsidRPr="007224C3">
        <w:rPr>
          <w:rFonts w:ascii="Times New Roman" w:hAnsi="Times New Roman"/>
          <w:color w:val="000000" w:themeColor="text1"/>
          <w:sz w:val="16"/>
          <w:szCs w:val="16"/>
        </w:rPr>
        <w:softHyphen/>
        <w:t>бе ЦАРИ. Однако все, кто занимался «УС», были заключенными и организация их работы в ЦАРИ включала создание для них «лагер</w:t>
      </w:r>
      <w:r w:rsidRPr="007224C3">
        <w:rPr>
          <w:rFonts w:ascii="Times New Roman" w:hAnsi="Times New Roman"/>
          <w:color w:val="000000" w:themeColor="text1"/>
          <w:sz w:val="16"/>
          <w:szCs w:val="16"/>
        </w:rPr>
        <w:softHyphen/>
        <w:t>ной зоны». Для НКВД это была достаточно нестандартная задача, и чекисты не спешили с переездом в подмосковный ЦАРИ. Микулин со Стечкиным обсудили создавшееся положение и на всякий случай об</w:t>
      </w:r>
      <w:r w:rsidRPr="007224C3">
        <w:rPr>
          <w:rFonts w:ascii="Times New Roman" w:hAnsi="Times New Roman"/>
          <w:color w:val="000000" w:themeColor="text1"/>
          <w:sz w:val="16"/>
          <w:szCs w:val="16"/>
        </w:rPr>
        <w:softHyphen/>
        <w:t>ратились к руководству 4-го спецотдела НКВД с просьбой выслать на завод № 300 техдокументацию группы Стечкина, включая черте</w:t>
      </w:r>
      <w:r w:rsidRPr="007224C3">
        <w:rPr>
          <w:rFonts w:ascii="Times New Roman" w:hAnsi="Times New Roman"/>
          <w:color w:val="000000" w:themeColor="text1"/>
          <w:sz w:val="16"/>
          <w:szCs w:val="16"/>
        </w:rPr>
        <w:softHyphen/>
        <w:t>жи ВРД «УС» (10781).</w:t>
      </w:r>
    </w:p>
    <w:p w14:paraId="0DEE3E5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07DACA1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1944 г. на фронте произошло в общем малоприметное со</w:t>
      </w:r>
      <w:r w:rsidRPr="007224C3">
        <w:rPr>
          <w:rFonts w:ascii="Times New Roman" w:hAnsi="Times New Roman"/>
          <w:color w:val="000000" w:themeColor="text1"/>
          <w:sz w:val="16"/>
          <w:szCs w:val="16"/>
        </w:rPr>
        <w:softHyphen/>
        <w:t>бытие, которое оказалось в какой-то степени судьбоносным для со</w:t>
      </w:r>
      <w:r w:rsidRPr="007224C3">
        <w:rPr>
          <w:rFonts w:ascii="Times New Roman" w:hAnsi="Times New Roman"/>
          <w:color w:val="000000" w:themeColor="text1"/>
          <w:sz w:val="16"/>
          <w:szCs w:val="16"/>
        </w:rPr>
        <w:softHyphen/>
        <w:t>ветского двигателестроения. На шоссе Витебск-Орша в районе Старобобылье был захвачен в плен немецкий ефрейтор Франц Варм-брунн. Оказалось, что после окончания инженерной школы в декаб</w:t>
      </w:r>
      <w:r w:rsidRPr="007224C3">
        <w:rPr>
          <w:rFonts w:ascii="Times New Roman" w:hAnsi="Times New Roman"/>
          <w:color w:val="000000" w:themeColor="text1"/>
          <w:sz w:val="16"/>
          <w:szCs w:val="16"/>
        </w:rPr>
        <w:softHyphen/>
        <w:t>ре 1941 г. он работал на фирме Хейнкеля в группе доктора Охайна, занимавшейся разработкой компрессорного ВРД с центробежным компрессором и одноступенчатой турбиной. Вармбрунн работал в этой группе до мобилизации в вермахт в апреле 1942 г. Попавший в плен ефрейтор в группе Охайна занимался конструи</w:t>
      </w:r>
      <w:r w:rsidRPr="007224C3">
        <w:rPr>
          <w:rFonts w:ascii="Times New Roman" w:hAnsi="Times New Roman"/>
          <w:color w:val="000000" w:themeColor="text1"/>
          <w:sz w:val="16"/>
          <w:szCs w:val="16"/>
        </w:rPr>
        <w:softHyphen/>
        <w:t>рованием и испытаниями сначала камеры сгорания, а затем узла подшипника. Вармбрунн сообщил, что двигатель тягой 600 кгс был испытан на двухмоторном истребителе Хе-280. В ходе допроса он нарисовал схемы самолета и двигателя и добавил, что создание ана</w:t>
      </w:r>
      <w:r w:rsidRPr="007224C3">
        <w:rPr>
          <w:rFonts w:ascii="Times New Roman" w:hAnsi="Times New Roman"/>
          <w:color w:val="000000" w:themeColor="text1"/>
          <w:sz w:val="16"/>
          <w:szCs w:val="16"/>
        </w:rPr>
        <w:softHyphen/>
        <w:t xml:space="preserve">логичного самолета с газотурбинными </w:t>
      </w:r>
      <w:r w:rsidRPr="007224C3">
        <w:rPr>
          <w:rFonts w:ascii="Times New Roman" w:hAnsi="Times New Roman"/>
          <w:color w:val="000000" w:themeColor="text1"/>
          <w:sz w:val="16"/>
          <w:szCs w:val="16"/>
        </w:rPr>
        <w:lastRenderedPageBreak/>
        <w:t>двигателями ведется на фир</w:t>
      </w:r>
      <w:r w:rsidRPr="007224C3">
        <w:rPr>
          <w:rFonts w:ascii="Times New Roman" w:hAnsi="Times New Roman"/>
          <w:color w:val="000000" w:themeColor="text1"/>
          <w:sz w:val="16"/>
          <w:szCs w:val="16"/>
        </w:rPr>
        <w:softHyphen/>
        <w:t>ме «Мессершмитт». 24 января 1944 г. на допросе пленного присутствовали генералы Левин и Болховитинов, а позднее — Стечкин, свободно владевший немецким, и Люлька. Выходило, что обе</w:t>
      </w:r>
      <w:r w:rsidRPr="007224C3">
        <w:rPr>
          <w:rFonts w:ascii="Times New Roman" w:hAnsi="Times New Roman"/>
          <w:color w:val="000000" w:themeColor="text1"/>
          <w:sz w:val="16"/>
          <w:szCs w:val="16"/>
        </w:rPr>
        <w:softHyphen/>
        <w:t>щание Гитлера бросить в бой новое чудо-оружие имело под собой основание (10781).</w:t>
      </w:r>
    </w:p>
    <w:p w14:paraId="6F88254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550A1856" w14:textId="77777777" w:rsidR="0035263A" w:rsidRPr="007224C3" w:rsidRDefault="003526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1944 г. заключенного В П. Глушко вызвал к себе в Москву Сталин. Более часа Глушко рассказывал ему о своих ускорителях. Сталин приказал Берии освободить главного конструктора и его наиболее отличившихся работников (12129).</w:t>
      </w:r>
    </w:p>
    <w:p w14:paraId="7F548077" w14:textId="77777777" w:rsidR="0035263A" w:rsidRPr="007224C3" w:rsidRDefault="0035263A" w:rsidP="007224C3">
      <w:pPr>
        <w:spacing w:after="0" w:line="240" w:lineRule="auto"/>
        <w:jc w:val="both"/>
        <w:rPr>
          <w:rFonts w:ascii="Times New Roman" w:hAnsi="Times New Roman"/>
          <w:color w:val="000000" w:themeColor="text1"/>
          <w:sz w:val="16"/>
          <w:szCs w:val="16"/>
        </w:rPr>
      </w:pPr>
    </w:p>
    <w:p w14:paraId="67D164A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1944 г. появилось решение о разработке самоле</w:t>
      </w:r>
      <w:r w:rsidRPr="007224C3">
        <w:rPr>
          <w:rFonts w:ascii="Times New Roman" w:hAnsi="Times New Roman"/>
          <w:color w:val="000000" w:themeColor="text1"/>
          <w:sz w:val="16"/>
          <w:szCs w:val="16"/>
        </w:rPr>
        <w:softHyphen/>
        <w:t>та-снаряда по типу немецкого Fi-103 (V-1). Отсюда сле</w:t>
      </w:r>
      <w:r w:rsidRPr="007224C3">
        <w:rPr>
          <w:rFonts w:ascii="Times New Roman" w:hAnsi="Times New Roman"/>
          <w:color w:val="000000" w:themeColor="text1"/>
          <w:sz w:val="16"/>
          <w:szCs w:val="16"/>
        </w:rPr>
        <w:softHyphen/>
        <w:t>дует, что какие-то описания конструкции и чертежи уже были добыты нашей разведкой. В.Н.Челомей должен был создать пульсирующий двигатель на базе немецко</w:t>
      </w:r>
      <w:r w:rsidRPr="007224C3">
        <w:rPr>
          <w:rFonts w:ascii="Times New Roman" w:hAnsi="Times New Roman"/>
          <w:color w:val="000000" w:themeColor="text1"/>
          <w:sz w:val="16"/>
          <w:szCs w:val="16"/>
        </w:rPr>
        <w:softHyphen/>
        <w:t>го фирмы «Аргус», а Н.Н.Поликарпов - спроектировать планер; соответствующие организации подключались для производства бортового оборудования. Николай Николаевич выделил группу инженеров, которые работали над полученным заданием изолиро</w:t>
      </w:r>
      <w:r w:rsidRPr="007224C3">
        <w:rPr>
          <w:rFonts w:ascii="Times New Roman" w:hAnsi="Times New Roman"/>
          <w:color w:val="000000" w:themeColor="text1"/>
          <w:sz w:val="16"/>
          <w:szCs w:val="16"/>
        </w:rPr>
        <w:softHyphen/>
        <w:t>ванно, в отдельном помещении на территории ОТБ ЦИАМ. Впрочем, сам Николай Николаевич по состоя</w:t>
      </w:r>
      <w:r w:rsidRPr="007224C3">
        <w:rPr>
          <w:rFonts w:ascii="Times New Roman" w:hAnsi="Times New Roman"/>
          <w:color w:val="000000" w:themeColor="text1"/>
          <w:sz w:val="16"/>
          <w:szCs w:val="16"/>
        </w:rPr>
        <w:softHyphen/>
        <w:t>нию здоровья уделял этому направлению относительно мало внимания. Однако труд оказался не напрасным и в итоге привел к созданию первой в СССР крылатой раке</w:t>
      </w:r>
      <w:r w:rsidRPr="007224C3">
        <w:rPr>
          <w:rFonts w:ascii="Times New Roman" w:hAnsi="Times New Roman"/>
          <w:color w:val="000000" w:themeColor="text1"/>
          <w:sz w:val="16"/>
          <w:szCs w:val="16"/>
        </w:rPr>
        <w:softHyphen/>
        <w:t>ты 10Х (10667).</w:t>
      </w:r>
    </w:p>
    <w:p w14:paraId="670EDAE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FF04B9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1944 В.Н.Челомей начал работы над нашим аналогом V-1 в ЦИАМе (1086,29).</w:t>
      </w:r>
    </w:p>
    <w:p w14:paraId="00900BB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07AC1D" w14:textId="77777777" w:rsidR="00024386" w:rsidRPr="007224C3" w:rsidRDefault="00024386"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 начале 1944 г. Правительством СССР было принято решение о разработке отечественного самолета-снаряда типа немецкого Fi-103 (планер фирмы «Физлер», пульсирующий воздушно-реактивный двигатель AS109-014 фирмы «Аргус»). Впоследствии Fi-103 стал широко известен как Фау-1—широкоразрекламированное Геббельсом оружие возмездия. Немцы успели запустить в сторону Англии более 8тыс. Фау-1, из которых около 2500 долетели до Лондона и его окрестностей, произведя большие разрушения и жертвы среди мирного населения. В соответствии с принятым решением главному авиаконструктору Н.Н.Поликарпову поручалось проектировать планер самолета-снаряда, В.Н.Челомею — создать пульсирующий двигатель на базе двигателя фирмы «Аргус». Однако руководитель завода №51 Н.Н.Поликарпов, Герой Социалистического Труда, трижды лауреат Сталинской премии, скончался 30июля1944г. в возрасте 52 лет после тяжелой непродолжительной болезни и связанной с ней операции (19823).</w:t>
      </w:r>
    </w:p>
    <w:p w14:paraId="7B628802" w14:textId="77777777" w:rsidR="00024386" w:rsidRPr="007224C3" w:rsidRDefault="00024386" w:rsidP="007224C3">
      <w:pPr>
        <w:spacing w:after="0" w:line="240" w:lineRule="auto"/>
        <w:jc w:val="both"/>
        <w:rPr>
          <w:rFonts w:ascii="Times New Roman" w:hAnsi="Times New Roman"/>
          <w:color w:val="0070C0"/>
          <w:sz w:val="16"/>
          <w:szCs w:val="16"/>
        </w:rPr>
      </w:pPr>
    </w:p>
    <w:p w14:paraId="311E1FA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1944 была создана специальная комиссия по проверке ГИРТ во главе с А.С.Я. и Костикова признали виновным в срыве задания ГОКО по 302 машине и вскоре он был репрессирован, а ГИРТ перевели в НКАП и собрали там Л.С.Душкина, В.П.Глушко, А.И.Исаева, группу М.М.Бондарюка. А.М.Люлька был переведен из ЦИАМ в НИИ-1 и получил задание на разработку ТРД с тякой 1250 кг. В ЦИАМ А.А.Фадеев, К.В.Холщевников и А.И.Толстов занялись разработкой ВРДК, а В.В.Уваров - ТВРД (2168,5).</w:t>
      </w:r>
    </w:p>
    <w:p w14:paraId="6BB04D8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9A80C1" w14:textId="77777777" w:rsidR="0018364B" w:rsidRPr="007224C3" w:rsidRDefault="0018364B" w:rsidP="007224C3">
      <w:pPr>
        <w:pStyle w:val="ae"/>
        <w:shd w:val="clear" w:color="auto" w:fill="FFFFFF"/>
        <w:spacing w:before="0" w:after="0"/>
        <w:jc w:val="both"/>
        <w:rPr>
          <w:color w:val="000000" w:themeColor="text1"/>
          <w:sz w:val="16"/>
          <w:szCs w:val="16"/>
        </w:rPr>
      </w:pPr>
      <w:r w:rsidRPr="007224C3">
        <w:rPr>
          <w:color w:val="000000" w:themeColor="text1"/>
          <w:sz w:val="16"/>
          <w:szCs w:val="16"/>
        </w:rPr>
        <w:t>В начале 1944 г. двигатель РД-1 A.M. Исаева был установ лен на самолет БИ № 7. 24 января и 9 марта Б.Н. Кудрин со вершил на нем два полета продолжительностью по 33 мин.</w:t>
      </w:r>
    </w:p>
    <w:p w14:paraId="734A4C65" w14:textId="77777777" w:rsidR="0018364B" w:rsidRPr="007224C3" w:rsidRDefault="0018364B" w:rsidP="007224C3">
      <w:pPr>
        <w:pStyle w:val="ae"/>
        <w:shd w:val="clear" w:color="auto" w:fill="FFFFFF"/>
        <w:spacing w:before="0" w:after="0"/>
        <w:jc w:val="both"/>
        <w:rPr>
          <w:color w:val="000000" w:themeColor="text1"/>
          <w:sz w:val="16"/>
          <w:szCs w:val="16"/>
        </w:rPr>
      </w:pPr>
      <w:r w:rsidRPr="007224C3">
        <w:rPr>
          <w:color w:val="000000" w:themeColor="text1"/>
          <w:sz w:val="16"/>
          <w:szCs w:val="16"/>
        </w:rPr>
        <w:t>На этом самолете, как и на всех оставшихся после отказа от Двигателя Л.С. Душкина, вооружение было заменено весовы ми имитаторами. Все они отличались от первой партии само летов БИ увеличенным рулем поворота и уменьшенной пло Щ подфюзеляжного фальшкиля.</w:t>
      </w:r>
    </w:p>
    <w:p w14:paraId="0461A832" w14:textId="77777777" w:rsidR="0018364B" w:rsidRPr="007224C3" w:rsidRDefault="0018364B" w:rsidP="007224C3">
      <w:pPr>
        <w:pStyle w:val="ae"/>
        <w:shd w:val="clear" w:color="auto" w:fill="FFFFFF"/>
        <w:spacing w:before="0" w:after="0"/>
        <w:jc w:val="both"/>
        <w:rPr>
          <w:color w:val="000000" w:themeColor="text1"/>
          <w:sz w:val="16"/>
          <w:szCs w:val="16"/>
        </w:rPr>
      </w:pPr>
      <w:r w:rsidRPr="007224C3">
        <w:rPr>
          <w:color w:val="000000" w:themeColor="text1"/>
          <w:sz w:val="16"/>
          <w:szCs w:val="16"/>
        </w:rPr>
        <w:t>В результате переделок хвостового оперения и снятия рас чалок во время полетов на БИ № 7 наблюдалась тряска хвос товой части фюзеляжа при скорости 250...270 км/ч. Этот самолет временно отстранили от полетов. Опыты по определе нию причин тряски продолжались на БИ № 5</w:t>
      </w:r>
    </w:p>
    <w:p w14:paraId="317E300D" w14:textId="77777777" w:rsidR="0018364B" w:rsidRPr="007224C3" w:rsidRDefault="0018364B" w:rsidP="007224C3">
      <w:pPr>
        <w:pStyle w:val="ae"/>
        <w:shd w:val="clear" w:color="auto" w:fill="FFFFFF"/>
        <w:spacing w:before="0" w:after="0"/>
        <w:jc w:val="both"/>
        <w:rPr>
          <w:color w:val="000000" w:themeColor="text1"/>
          <w:sz w:val="16"/>
          <w:szCs w:val="16"/>
        </w:rPr>
      </w:pPr>
      <w:r w:rsidRPr="007224C3">
        <w:rPr>
          <w:color w:val="000000" w:themeColor="text1"/>
          <w:sz w:val="16"/>
          <w:szCs w:val="16"/>
        </w:rPr>
        <w:t>Этот самолет привели в полное соответствие с БИ № 7: ус тановили имитаторы убранных лыж (прижатых к корпусу) и зализы крыла с корпусом, снятые с самолета БИ № 7. Под фюзеляжем прикрепили имитаторы обтекателей дуговых за пальных устройств ЖРД A.M. Исаева РД-1 и сняли кок хвос тового обтекателя. В шести полетах тряска не была обнару жена, но из-за того, что все же выяснить причину не удалось, полеты на БИ № 7 прекратили (19586).</w:t>
      </w:r>
    </w:p>
    <w:p w14:paraId="51062ACE" w14:textId="77777777" w:rsidR="0018364B" w:rsidRPr="007224C3" w:rsidRDefault="0018364B" w:rsidP="007224C3">
      <w:pPr>
        <w:pStyle w:val="ae"/>
        <w:shd w:val="clear" w:color="auto" w:fill="FFFFFF"/>
        <w:spacing w:before="0" w:after="0"/>
        <w:jc w:val="both"/>
        <w:rPr>
          <w:color w:val="000000" w:themeColor="text1"/>
          <w:sz w:val="16"/>
          <w:szCs w:val="16"/>
        </w:rPr>
      </w:pPr>
    </w:p>
    <w:p w14:paraId="74A4F0A2" w14:textId="77777777" w:rsidR="0018364B" w:rsidRPr="007224C3" w:rsidRDefault="0018364B" w:rsidP="007224C3">
      <w:pPr>
        <w:pStyle w:val="ae"/>
        <w:shd w:val="clear" w:color="auto" w:fill="FFFFFF"/>
        <w:spacing w:before="0" w:after="0"/>
        <w:jc w:val="both"/>
        <w:rPr>
          <w:color w:val="000000" w:themeColor="text1"/>
          <w:sz w:val="16"/>
          <w:szCs w:val="16"/>
        </w:rPr>
      </w:pPr>
      <w:r w:rsidRPr="007224C3">
        <w:rPr>
          <w:color w:val="000000" w:themeColor="text1"/>
          <w:sz w:val="16"/>
          <w:szCs w:val="16"/>
        </w:rPr>
        <w:t>В начале 1944 г. второй экземпляр самолета «302П» про шел испытания в натурной аэродинамической трубе Т- ЦАГИ и был готов к полетам с работающим ЖРД, но до этого не дошло. В момент полной готовности к установке ЖРД на облетанный планер в НКАП было принято крайне недальновидное решение о закрытии темы «302». Мотиви ровалось это наличием малой серии самолетов БИ, а также отсутствием потребности фронтовой авиации и авиации ПВО в ракетном перехватчике с малым радиусом действия.</w:t>
      </w:r>
    </w:p>
    <w:p w14:paraId="76B061D9" w14:textId="77777777" w:rsidR="0018364B" w:rsidRPr="007224C3" w:rsidRDefault="0018364B" w:rsidP="007224C3">
      <w:pPr>
        <w:pStyle w:val="ae"/>
        <w:shd w:val="clear" w:color="auto" w:fill="FFFFFF"/>
        <w:spacing w:before="0" w:after="0"/>
        <w:jc w:val="both"/>
        <w:rPr>
          <w:color w:val="000000" w:themeColor="text1"/>
          <w:sz w:val="16"/>
          <w:szCs w:val="16"/>
        </w:rPr>
      </w:pPr>
      <w:r w:rsidRPr="007224C3">
        <w:rPr>
          <w:color w:val="000000" w:themeColor="text1"/>
          <w:sz w:val="16"/>
          <w:szCs w:val="16"/>
        </w:rPr>
        <w:t>Тактические возможности «302», как и БИ, были крайне малы, но эти самолеты являлись первой ступенькой к на турным исследованиям аэродинамики высоких дозвуковых скоростей и могли стать экспериментальной платформой для отработки новых ЖРД. Тем более что ЖРД-ускорители были поставлены на истребители Ла-7 и Як-3, а ОКБ Н.Н. Поли карпова в мае 1944 г. получило задание на ракетный пере хватчик «Малютка» с ЖРД РД-2М-3. Кроме того, удалось довести и ПВРД, которые прошли испытания на БИ (19586).</w:t>
      </w:r>
    </w:p>
    <w:p w14:paraId="67A6AA5B" w14:textId="77777777" w:rsidR="0018364B" w:rsidRPr="007224C3" w:rsidRDefault="0018364B" w:rsidP="007224C3">
      <w:pPr>
        <w:pStyle w:val="ae"/>
        <w:shd w:val="clear" w:color="auto" w:fill="FFFFFF"/>
        <w:spacing w:before="0" w:after="0"/>
        <w:jc w:val="both"/>
        <w:rPr>
          <w:color w:val="000000" w:themeColor="text1"/>
          <w:sz w:val="16"/>
          <w:szCs w:val="16"/>
        </w:rPr>
      </w:pPr>
    </w:p>
    <w:p w14:paraId="7FE24DE1" w14:textId="77777777" w:rsidR="0018364B" w:rsidRPr="007224C3" w:rsidRDefault="0018364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1944 г. произошел ряд случаев разрушения в воздухе горизонтального оперения истребителей «Эракобра». Проведенные в ЦАГИ испытания показали недостаточную прочность опреения и хвостовой части самолета. Статическими испытаниями было установлено, что фактическая прочность горизонтального оперения составляет 71% от расчетных нагрузок, вертикального оперения и фюзеляжа — 80%. Основной причиной этого стала заниженность нагрузок на оперение в американских нормах прочности. Это признала фирма «Белл» и прислала в СССР рекомендации по усилению оперения. Опасность возникновения больших нагрузок на оперение усугублялось спецификой компоновки самолета. Недоста - точный запас продольной и путевой устойчивости при значительной компенсации рулей создавал возможность получения больших нагрузок на оперение при небольших усилиях на ручке. ЦАГИ выполнил и проверил усиление оперения и хвостовой части фюзеляжа до требований норм прочности СССР, их внедрили и в ВВС КА, но в конце 1944 г. на некоторых самолетах обнаружились остаточные деформации обшивки хвостовой части, а в одном случае произошло разрушение ее в воздухе. Расчеты, проведенные институтом, показали, что причиной этого является недостаточная путевая устойчивость самолета. Было рекомендовано «в эксплоатации тщательно следить за появлением остаточных деформаций и в случае их обнаружения проводить дополнительные усиления фюзеляжа, проект которого был передан ВВС КА». В лаборатории прочности произвели также ряд экспериментальных исследований по усилению самолета «Кингкобра», в результате которых прочность хвостовой части фюзеляжа довели до 100% требуемой (19727).</w:t>
      </w:r>
    </w:p>
    <w:p w14:paraId="27D2B55D" w14:textId="77777777" w:rsidR="0018364B" w:rsidRPr="007224C3" w:rsidRDefault="0018364B" w:rsidP="007224C3">
      <w:pPr>
        <w:spacing w:after="0" w:line="240" w:lineRule="auto"/>
        <w:jc w:val="both"/>
        <w:rPr>
          <w:rFonts w:ascii="Times New Roman" w:hAnsi="Times New Roman"/>
          <w:color w:val="000000" w:themeColor="text1"/>
          <w:sz w:val="16"/>
          <w:szCs w:val="16"/>
        </w:rPr>
      </w:pPr>
    </w:p>
    <w:p w14:paraId="598477BE" w14:textId="77777777" w:rsidR="0092480E" w:rsidRPr="007224C3" w:rsidRDefault="0092480E" w:rsidP="007224C3">
      <w:pPr>
        <w:pStyle w:val="rtejustify"/>
        <w:shd w:val="clear" w:color="auto" w:fill="FFFFFF"/>
        <w:spacing w:before="0" w:after="0"/>
        <w:rPr>
          <w:color w:val="000000" w:themeColor="text1"/>
          <w:sz w:val="16"/>
          <w:szCs w:val="16"/>
        </w:rPr>
      </w:pPr>
      <w:r w:rsidRPr="007224C3">
        <w:rPr>
          <w:color w:val="000000" w:themeColor="text1"/>
          <w:sz w:val="16"/>
          <w:szCs w:val="16"/>
        </w:rPr>
        <w:t>В начале 1944 года, когда стало очевидным, что разрушительная мощь 37-мм снаряда не компенсирует чудовищные нагрузки, воздействующие на планер носителя при стрельбе, делавшие, в общем-то, прекрасное оружие, невостребованным в авиации, в ОКБ-16стартовали работы по проекту 120-П. Пути снижение нагрузок были достаточно очевидными. Первый – это принесение в жертву баллистики путем уменьшения длины ствола и уменьшения энергетики патрона. Второй – введение в конструкцию пушки гидравлического буфера вместо пружинного, позволявшего исключить пиковые нагрузки в конце хода подвижных частей автоматики.</w:t>
      </w:r>
    </w:p>
    <w:p w14:paraId="49F28E63" w14:textId="77777777" w:rsidR="0092480E" w:rsidRPr="007224C3" w:rsidRDefault="0092480E" w:rsidP="007224C3">
      <w:pPr>
        <w:pStyle w:val="rtejustify"/>
        <w:shd w:val="clear" w:color="auto" w:fill="FFFFFF"/>
        <w:spacing w:before="0" w:after="0"/>
        <w:rPr>
          <w:color w:val="000000" w:themeColor="text1"/>
          <w:sz w:val="16"/>
          <w:szCs w:val="16"/>
        </w:rPr>
      </w:pPr>
      <w:r w:rsidRPr="007224C3">
        <w:rPr>
          <w:color w:val="000000" w:themeColor="text1"/>
          <w:sz w:val="16"/>
          <w:szCs w:val="16"/>
        </w:rPr>
        <w:t>В пушке 120-П Нудельману удалось реализовать все эти моменты. Длина ствола была уменьшена на метр, соответственно почти на 70 кг снизилась масса. Весьма существенно для авиации! Введен гидравлический буфер. Кроме того, по сравнению с НС-37 в новой пушке был переработан узел отката ствола. Возвратная пружина из казенной части ствольной коробки была перемещена вперед, и расположена открыто вокруг ствола, что также способствовало уменьшению габаритов и массы системы, а также способствовало повышению темпа стрельбы, который довели до 400 выстр/мин.</w:t>
      </w:r>
    </w:p>
    <w:p w14:paraId="794D480C" w14:textId="77777777" w:rsidR="0092480E" w:rsidRPr="007224C3" w:rsidRDefault="0092480E" w:rsidP="007224C3">
      <w:pPr>
        <w:pStyle w:val="rtejustify"/>
        <w:shd w:val="clear" w:color="auto" w:fill="FFFFFF"/>
        <w:spacing w:before="0" w:after="0"/>
        <w:rPr>
          <w:color w:val="000000" w:themeColor="text1"/>
          <w:sz w:val="16"/>
          <w:szCs w:val="16"/>
        </w:rPr>
      </w:pPr>
      <w:r w:rsidRPr="007224C3">
        <w:rPr>
          <w:color w:val="000000" w:themeColor="text1"/>
          <w:sz w:val="16"/>
          <w:szCs w:val="16"/>
        </w:rPr>
        <w:t>В апреле 1944 г. был изготовлен первый экземпляр пушки 120-П, а в августе 1944 г. были завершены наземные государственные испытания патрона и пушки, после чего пушка получила наименование Н-37. После завершения наземных испытаний, не дожидаясь завершения лётных испытаний, по инициативе наркома Д. Ф. Устинова было решено начать серийное производство пушки Н-37 на заводе № 74. </w:t>
      </w:r>
    </w:p>
    <w:p w14:paraId="24D1FDA1" w14:textId="77777777" w:rsidR="0092480E" w:rsidRPr="007224C3" w:rsidRDefault="0092480E" w:rsidP="007224C3">
      <w:pPr>
        <w:pStyle w:val="rtejustify"/>
        <w:shd w:val="clear" w:color="auto" w:fill="FFFFFF"/>
        <w:spacing w:before="0" w:after="0"/>
        <w:rPr>
          <w:color w:val="000000" w:themeColor="text1"/>
          <w:sz w:val="16"/>
          <w:szCs w:val="16"/>
        </w:rPr>
      </w:pPr>
      <w:r w:rsidRPr="007224C3">
        <w:rPr>
          <w:color w:val="000000" w:themeColor="text1"/>
          <w:sz w:val="16"/>
          <w:szCs w:val="16"/>
        </w:rPr>
        <w:t>Первые летные испытания проводились на Як-9Т и Як-9УТ в марте 1945 г. Пушка была установлена в моторе. В дальнейшем летные испытания проводились на МиГ-9. В МиГ-9 пушка была установлена так, что ствол оказался в центре воздухозаборника двигателя. Из-за этого при стрельбе на высоте 7000- 8000 м происходила остановка двигателя. Для устранения этого явления было создано специальное дульное устройство – локализатор. Тем не менее, применение локализатора не предотвратило остановки двигателя при высотных стрельбах. Вскоре применение МиГ-9 с пушкой Н-37 в войсках было ограничено на высоте 3000 м, поскольку до этой высоты стрельба не влияла на работу двигателя (19170).</w:t>
      </w:r>
    </w:p>
    <w:p w14:paraId="26FBDA56" w14:textId="77777777" w:rsidR="0092480E" w:rsidRPr="007224C3" w:rsidRDefault="0092480E" w:rsidP="007224C3">
      <w:pPr>
        <w:spacing w:after="0" w:line="240" w:lineRule="auto"/>
        <w:jc w:val="both"/>
        <w:rPr>
          <w:rFonts w:ascii="Times New Roman" w:hAnsi="Times New Roman"/>
          <w:color w:val="000000" w:themeColor="text1"/>
          <w:sz w:val="16"/>
          <w:szCs w:val="16"/>
        </w:rPr>
      </w:pPr>
    </w:p>
    <w:p w14:paraId="26F3EEB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1944 г. новый запальный стакан и его снаряжание детонаторами специально под взрыватель АМ-А с постоянными переходными втулками из стали или цинкового сплава. В итоге ФАБ-50сч чертежа 3-01254 восстановили на вооружении, а чертежа 3-01294 сняли с производства. Эта “рокировка” прошла ускоренно и сопровождалась большим количеством рационализаторских предложений заводчан по упрощению конструкции “новой старой” авиабомбы. По заданию ГУАС ВВС в ГСКБ-47 обобщили предложенные новшества и вскоре утвердили их в модели чертежа 3-01254а (7453).</w:t>
      </w:r>
    </w:p>
    <w:p w14:paraId="77196AF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28B3E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1944 г. полностью отказались ФАБ-100 с взрывателями АМ-А и на вооружении авиабомбы данной модели состояли менее года (7453).</w:t>
      </w:r>
    </w:p>
    <w:p w14:paraId="258ABE0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A7BCF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 начале 1944 г. состоялись контрольные испытания ФАБ-250сч. По мерзлому грунту ими бомбил самолет Ил-4 с высоты 2000-5000 м при скорости 300 км/ч для определения их | устойчивости на траектории и прочности корпусов в связи с изменением крепления стабилизаторов. Дело в том, что надежного крепления </w:t>
      </w:r>
      <w:r w:rsidRPr="007224C3">
        <w:rPr>
          <w:rFonts w:ascii="Times New Roman" w:hAnsi="Times New Roman"/>
          <w:color w:val="000000" w:themeColor="text1"/>
          <w:sz w:val="16"/>
          <w:szCs w:val="16"/>
        </w:rPr>
        <w:lastRenderedPageBreak/>
        <w:t>стабилизаторов к чугунным корпусам при помоги сварки отработать так и не удалось - металл растрескивался. В итоге способ их крепления унифицировали с ФАБ-50М43. Всего было сброшено 15 авиабомб (7453).</w:t>
      </w:r>
    </w:p>
    <w:p w14:paraId="7C0A68E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67B086"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42EBE48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EAA5BA4" w14:textId="77777777" w:rsidR="00D86EA0" w:rsidRPr="007224C3" w:rsidRDefault="00D86E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1944 года с фронта был доставлен образец немецкой прыгающей мины. Выпрыгивая из земли, она разрывалась, создавая осколочное поле не только за счет разрушения корпуса, но и с помощью бракованных шариков от подшипников, насыпанных внутрь образца. Управлением инженерных войск был объявлен конкурс на лучший вариант прыгающей мины. Лучшей была признана конструкция группы, в которую входили Ф. И. Сидоров, Б. М. Ульянов и др. Отработка этого образца была поручена Н. А. Котову (15794).</w:t>
      </w:r>
    </w:p>
    <w:p w14:paraId="188A8B8E" w14:textId="77777777" w:rsidR="00D86EA0" w:rsidRPr="007224C3" w:rsidRDefault="00D86EA0" w:rsidP="007224C3">
      <w:pPr>
        <w:spacing w:after="0" w:line="240" w:lineRule="auto"/>
        <w:jc w:val="both"/>
        <w:rPr>
          <w:rFonts w:ascii="Times New Roman" w:hAnsi="Times New Roman"/>
          <w:color w:val="000000" w:themeColor="text1"/>
          <w:sz w:val="16"/>
          <w:szCs w:val="16"/>
        </w:rPr>
      </w:pPr>
    </w:p>
    <w:p w14:paraId="16188C7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1944 года в ОКБ-172 была спроектирована 152-мм пушка БЛ-7. Первоначальный индекс системы БМ-43. БЛ-7 представляла собой наложение измененного ствола Бр-2 на модернизированный лафет МЛ-20. Ствол пушки с дульным тормозом активного действия (60%). Затвор поршневой (3861).</w:t>
      </w:r>
    </w:p>
    <w:p w14:paraId="46D2A9A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C3F48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началу 1944 г. коллектив трудящихся завода № 188 увеличился до 9741 человека, объем валовой продукции ориентировались увеличить в 1944 г. до 200 млн руб. Крупный завод производил миллионы так необходимых для фронта патронов (11511).</w:t>
      </w:r>
    </w:p>
    <w:p w14:paraId="6A892FC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2BFB5A8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1944 г. ЧКЗ выпустил еще 40 ИС-85, и с 1 марта 1944 г. производство этого тяжелого танка было пре</w:t>
      </w:r>
      <w:r w:rsidRPr="007224C3">
        <w:rPr>
          <w:rFonts w:ascii="Times New Roman" w:hAnsi="Times New Roman"/>
          <w:color w:val="000000" w:themeColor="text1"/>
          <w:sz w:val="16"/>
          <w:szCs w:val="16"/>
        </w:rPr>
        <w:softHyphen/>
        <w:t>кращено. Несмотря на то что к этому моменту прошел испытания танк КВ-122 и завод настаивал на его выпуске взамен КВ-85, на вооружение он принят не был (11135).</w:t>
      </w:r>
    </w:p>
    <w:p w14:paraId="64CD00C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7A499C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1944 года бронестойкость корпуса ИС-2 пытались повысить, закаливая его на очень высокую твердость, но на практике это привело к резкому увеличению корпусных деталей и удорожанию производственного процесса в целом..</w:t>
      </w:r>
    </w:p>
    <w:p w14:paraId="70AD4BC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обстреле на полигоне танка ИС выпуска марта 1944 года из 76-мм пушки ЗИС-3 с дистанции 500 - 600 м его броня проламывалась со всех сторон, причем основная часть бронебойных снарядов за броню не проникала, но вызывала образование больших масс вторичных осколков. Этим фактом также во многом объясняются значительные потери танков ИС-85 и ИС-122 в боях зимы - весны 1944 года. (3862).</w:t>
      </w:r>
    </w:p>
    <w:p w14:paraId="4341DAC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71EB8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1944 г. зам. начальника бронетанкового управ</w:t>
      </w:r>
      <w:r w:rsidRPr="007224C3">
        <w:rPr>
          <w:rFonts w:ascii="Times New Roman" w:hAnsi="Times New Roman"/>
          <w:color w:val="000000" w:themeColor="text1"/>
          <w:sz w:val="16"/>
          <w:szCs w:val="16"/>
        </w:rPr>
        <w:softHyphen/>
        <w:t>ления Красной Армии с горечью констатировал: «...к сожа</w:t>
      </w:r>
      <w:r w:rsidRPr="007224C3">
        <w:rPr>
          <w:rFonts w:ascii="Times New Roman" w:hAnsi="Times New Roman"/>
          <w:color w:val="000000" w:themeColor="text1"/>
          <w:sz w:val="16"/>
          <w:szCs w:val="16"/>
        </w:rPr>
        <w:softHyphen/>
        <w:t>лению, бронирование нового тяжелого танка ИС не делает его непоражаемым от огня известных в настоящее время ка</w:t>
      </w:r>
      <w:r w:rsidRPr="007224C3">
        <w:rPr>
          <w:rFonts w:ascii="Times New Roman" w:hAnsi="Times New Roman"/>
          <w:color w:val="000000" w:themeColor="text1"/>
          <w:sz w:val="16"/>
          <w:szCs w:val="16"/>
        </w:rPr>
        <w:softHyphen/>
        <w:t>либров немецкой танковой и противотанковой артиллерии... Тогда как требование непоражаемости тяжелого танка с фронтального направления должно быть сохранено хотя бы до дальности 300-400 м при движении под углом ±30°...»</w:t>
      </w:r>
    </w:p>
    <w:p w14:paraId="3D64F2C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вот с разрешением этого требования было все не так просто... Дело в том, что особенность бронекорпуса ИС была в том, что он состоял из двух массивных литых броне</w:t>
      </w:r>
      <w:r w:rsidRPr="007224C3">
        <w:rPr>
          <w:rFonts w:ascii="Times New Roman" w:hAnsi="Times New Roman"/>
          <w:color w:val="000000" w:themeColor="text1"/>
          <w:sz w:val="16"/>
          <w:szCs w:val="16"/>
        </w:rPr>
        <w:softHyphen/>
        <w:t>вых узлов (носа и подбашенной коробки) и сварной броне-коробки из катаных листов на бортах, корме, днище и кры</w:t>
      </w:r>
      <w:r w:rsidRPr="007224C3">
        <w:rPr>
          <w:rFonts w:ascii="Times New Roman" w:hAnsi="Times New Roman"/>
          <w:color w:val="000000" w:themeColor="text1"/>
          <w:sz w:val="16"/>
          <w:szCs w:val="16"/>
        </w:rPr>
        <w:softHyphen/>
        <w:t>ше. Литой нос теоретически был очень мощным, но на практике пробивался, причем не только из 88-мм танковой и противотанковой пушек обр. 1943 г.</w:t>
      </w:r>
    </w:p>
    <w:p w14:paraId="64C2B59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Опасными были для него и 88-мм пушка танка «Тигр» и 75-мм танка «Пантера». Эта 2,5-тонная деталь седло-винной формы имела ряд уязвимых мест, где могла проби</w:t>
      </w:r>
      <w:r w:rsidRPr="007224C3">
        <w:rPr>
          <w:rFonts w:ascii="Times New Roman" w:hAnsi="Times New Roman"/>
          <w:color w:val="000000" w:themeColor="text1"/>
          <w:sz w:val="16"/>
          <w:szCs w:val="16"/>
        </w:rPr>
        <w:softHyphen/>
        <w:t>ваться указанными артсистемами с дистанции 500-700 м, а 75-мм пушкой танка Рг IV,и штурмового орудия 8шО 40 - с дистанции 200-300 м.</w:t>
      </w:r>
    </w:p>
    <w:p w14:paraId="1CBDB1B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Кроме того, литая подбашенная коробка, равно как и башня, протыкались с дистанции около 500 м и с курсовых углов около 40°. Как говорил в ответ на результаты обстрела Я. Федоренко: «Это обстоятельство никуда не годится!» и потому с марта 1944 г. вопросу усиления броневой защиты танка ИС было уделено самое пристальное внимание (11135).</w:t>
      </w:r>
    </w:p>
    <w:p w14:paraId="345741A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27E4F6E" w14:textId="77777777" w:rsidR="00D51E3B" w:rsidRPr="007224C3" w:rsidRDefault="00D51E3B" w:rsidP="007224C3">
      <w:pPr>
        <w:pStyle w:val="ae"/>
        <w:shd w:val="clear" w:color="auto" w:fill="FFFFFF"/>
        <w:spacing w:before="0" w:after="0"/>
        <w:jc w:val="both"/>
        <w:rPr>
          <w:color w:val="000000" w:themeColor="text1"/>
          <w:sz w:val="16"/>
          <w:szCs w:val="16"/>
        </w:rPr>
      </w:pPr>
      <w:r w:rsidRPr="007224C3">
        <w:rPr>
          <w:color w:val="000000" w:themeColor="text1"/>
          <w:sz w:val="16"/>
          <w:szCs w:val="16"/>
        </w:rPr>
        <w:t>Начало 1944 года Танкоград встретил, строя 3 типа танков и 1 тип САУ. Кроме того, перед заводом маячила перспектива производства второй САУ — ИСУ-122. Но постепенно эта непростая ситуация выправлялась. Снижалась загрузка по Т-34: если в декабре 1943 года завод сдал 360 «тридцатьчетвёрок», то в январе 1944 года было 185 таких машин. Произошло такое снижение объёмов после подписания Сталиным 27 декабря 1943 года постановления Государственного комитета обороны (ГКО) №4850сс «Об увеличении производства тяжёлых танков, артиллерийских самоходных установок типа ИС и об обеспечении их артиллерийским вооружением».</w:t>
      </w:r>
    </w:p>
    <w:p w14:paraId="12B9E570" w14:textId="77777777" w:rsidR="00D51E3B" w:rsidRPr="007224C3" w:rsidRDefault="00D51E3B" w:rsidP="007224C3">
      <w:pPr>
        <w:pStyle w:val="ae"/>
        <w:shd w:val="clear" w:color="auto" w:fill="FFFFFF"/>
        <w:spacing w:before="0" w:after="0"/>
        <w:jc w:val="both"/>
        <w:rPr>
          <w:color w:val="000000" w:themeColor="text1"/>
          <w:sz w:val="16"/>
          <w:szCs w:val="16"/>
        </w:rPr>
      </w:pPr>
      <w:r w:rsidRPr="007224C3">
        <w:rPr>
          <w:color w:val="000000" w:themeColor="text1"/>
          <w:sz w:val="16"/>
          <w:szCs w:val="16"/>
        </w:rPr>
        <w:t>Впрочем, нарастить производство ИС-2 в первом месяце 1944 года всё равно не удалось: из 75 танков ИС, выпущенных за январь 1944 года, 40 были ИС-85. Тем не менее в январе Танкоград начал готовиться к массовому поточному производству тяжёлых танков. Рабочие обучались и готовились к конвейерной сборке ИС и ИСУ.</w:t>
      </w:r>
    </w:p>
    <w:p w14:paraId="00A3AF31" w14:textId="77777777" w:rsidR="00D51E3B" w:rsidRPr="007224C3" w:rsidRDefault="00D51E3B" w:rsidP="007224C3">
      <w:pPr>
        <w:pStyle w:val="ae"/>
        <w:shd w:val="clear" w:color="auto" w:fill="FFFFFF"/>
        <w:spacing w:before="0" w:after="0"/>
        <w:jc w:val="both"/>
        <w:rPr>
          <w:color w:val="000000" w:themeColor="text1"/>
          <w:sz w:val="16"/>
          <w:szCs w:val="16"/>
        </w:rPr>
      </w:pPr>
      <w:r w:rsidRPr="007224C3">
        <w:rPr>
          <w:color w:val="000000" w:themeColor="text1"/>
          <w:sz w:val="16"/>
          <w:szCs w:val="16"/>
        </w:rPr>
        <w:t>Параллельно продолжались работы по улучшению качества, здесь ЧКЗ достиг определённых успехов. Впрочем, в отчёте за январь 1944 года старший военпред Технического управления Главного бронетанкового управления Красной армии (ТУ ГБТУ КА) инженер-полковник Давиденко отмечал, что существует масса проблем, прежде всего организационных. По словам военпреда, достаточной борьбы за улучшение качества завод не вёл. Несмотря на наличие ряда протоколов, утверждённых ГБТУ КА и НКТП, конструкторские доработки и переделки в срок не внедрялись.</w:t>
      </w:r>
    </w:p>
    <w:p w14:paraId="22849271" w14:textId="77777777" w:rsidR="00D51E3B" w:rsidRPr="007224C3" w:rsidRDefault="00D51E3B" w:rsidP="007224C3">
      <w:pPr>
        <w:pStyle w:val="ae"/>
        <w:shd w:val="clear" w:color="auto" w:fill="FFFFFF"/>
        <w:spacing w:before="0" w:after="0"/>
        <w:jc w:val="both"/>
        <w:rPr>
          <w:color w:val="000000" w:themeColor="text1"/>
          <w:sz w:val="16"/>
          <w:szCs w:val="16"/>
        </w:rPr>
      </w:pPr>
      <w:r w:rsidRPr="007224C3">
        <w:rPr>
          <w:color w:val="000000" w:themeColor="text1"/>
          <w:sz w:val="16"/>
          <w:szCs w:val="16"/>
        </w:rPr>
        <w:t>Одной из причин подобного положения вещей назывались ненормальные отношения между ЧКЗ и опытным заводом №100. ЧКЗ не хотел дорабатывать конструкции завода №100, а там, в свою очередь, считали, что серийная доработка танка является обязанностью ЧКЗ (17721).</w:t>
      </w:r>
    </w:p>
    <w:p w14:paraId="52F2AFE6" w14:textId="77777777" w:rsidR="00D51E3B" w:rsidRPr="007224C3" w:rsidRDefault="00D51E3B" w:rsidP="007224C3">
      <w:pPr>
        <w:spacing w:after="0" w:line="240" w:lineRule="auto"/>
        <w:jc w:val="both"/>
        <w:rPr>
          <w:rFonts w:ascii="Times New Roman" w:eastAsia="Times New Roman" w:hAnsi="Times New Roman"/>
          <w:color w:val="000000" w:themeColor="text1"/>
          <w:sz w:val="16"/>
          <w:szCs w:val="16"/>
          <w:lang w:eastAsia="ru-RU"/>
        </w:rPr>
      </w:pPr>
    </w:p>
    <w:p w14:paraId="4352EE66" w14:textId="77777777" w:rsidR="0035263A" w:rsidRPr="007224C3" w:rsidRDefault="0035263A" w:rsidP="007224C3">
      <w:pPr>
        <w:pStyle w:val="a3"/>
        <w:rPr>
          <w:color w:val="000000" w:themeColor="text1"/>
          <w:lang w:val="ru-RU"/>
        </w:rPr>
      </w:pPr>
      <w:r w:rsidRPr="007224C3">
        <w:rPr>
          <w:color w:val="000000" w:themeColor="text1"/>
          <w:lang w:val="ru-RU"/>
        </w:rPr>
        <w:t>В начале 1944 года директор УЗТМ Б. Г. Музруков создал на заводе «группу завтрашнего дня», задачей которой была подготовка к послевоенному переходу к мирной продукции. В эту группу были включены все основные руководители завода: заместитель директора В. Н. Соловьёв, главный технолог С. И. Самойлов, начальник производства И. С. Исаев, начальник планового отдела В. М. Пескаревич, главный металлург Н. Н. Покалов и другие. Не дожидаясь, пока для завода будет спущен сверху новый план, они готовили свои встречные предложения. Будущая реконверсия промышленности открывала для них уникальные возможности самостоятельно определить будущее своего завода.</w:t>
      </w:r>
    </w:p>
    <w:p w14:paraId="5F908722" w14:textId="77777777" w:rsidR="0035263A" w:rsidRPr="007224C3" w:rsidRDefault="0035263A" w:rsidP="007224C3">
      <w:pPr>
        <w:pStyle w:val="a3"/>
        <w:rPr>
          <w:color w:val="000000" w:themeColor="text1"/>
          <w:lang w:val="ru-RU"/>
        </w:rPr>
      </w:pPr>
      <w:r w:rsidRPr="007224C3">
        <w:rPr>
          <w:color w:val="000000" w:themeColor="text1"/>
          <w:lang w:val="ru-RU"/>
        </w:rPr>
        <w:t>Для реализации этих планов были созданы конструкторские бюро по разработке гражданской продукции.</w:t>
      </w:r>
    </w:p>
    <w:p w14:paraId="469D1983" w14:textId="77777777" w:rsidR="0035263A" w:rsidRPr="007224C3" w:rsidRDefault="0035263A" w:rsidP="007224C3">
      <w:pPr>
        <w:pStyle w:val="a3"/>
        <w:rPr>
          <w:color w:val="000000" w:themeColor="text1"/>
          <w:lang w:val="ru-RU"/>
        </w:rPr>
      </w:pPr>
      <w:r w:rsidRPr="007224C3">
        <w:rPr>
          <w:color w:val="000000" w:themeColor="text1"/>
          <w:lang w:val="ru-RU"/>
        </w:rPr>
        <w:t>Некоторые пункты будущих планов не вызывали никаких сомнений. До войны основной специализацией завода было производство уникального металлургического оборудования. В послевоенный период оно должно было возобновиться. Но вместе с тем руководству завода хотелось использовать свой полученный во время войны опыт серийного производства техники и сохранить полученное во время войны оборудование, которое не могло полностью вписаться в довоенную производственную структуру завода. Возвращаться к довоенной ситуации, когда на заводе производилось 457 типоразмеров различных машин, никому не хотелось. Необходимо было сосредоточиться на более узкой номенклатуре продукции, отдавая предпочтение тем её видам, которые были бы одновременно достаточно сложными, достойными уникальной производственной базы завода, и в то же время - достаточно массовыми. Это должна была быть сложная крупная техника, необходимая в больших количествах.</w:t>
      </w:r>
    </w:p>
    <w:p w14:paraId="13E8A197" w14:textId="77777777" w:rsidR="0035263A" w:rsidRPr="007224C3" w:rsidRDefault="0035263A" w:rsidP="007224C3">
      <w:pPr>
        <w:pStyle w:val="a3"/>
        <w:rPr>
          <w:color w:val="000000" w:themeColor="text1"/>
          <w:lang w:val="ru-RU"/>
        </w:rPr>
      </w:pPr>
      <w:r w:rsidRPr="007224C3">
        <w:rPr>
          <w:color w:val="000000" w:themeColor="text1"/>
          <w:lang w:val="ru-RU"/>
        </w:rPr>
        <w:t>Но что это могло бы быть помимо металлургического оборудования? Нарком В. А. Малышев дал Б. Г. Музрукову совет: заняться проектированием и производством установок глубокого бурения. Он предвидел, что после войны будет начата масштабная программа расширения нефтедобычи. Между тем, установки глубокого бурения в СССР не производились. Их закупки за границей потребуют большого расхода валюты. УЗТМ вполне мог бы производить такую продукцию. В начале 1945 года работники УЗТМ посетили столицу советской нефтедобычи - Баку, где ознакомились с работой буровых установок, и начали готовить собственный проект, максимальная глубина сверления которого достигнет 3 километров.</w:t>
      </w:r>
    </w:p>
    <w:p w14:paraId="5E8BE004" w14:textId="77777777" w:rsidR="0035263A" w:rsidRPr="007224C3" w:rsidRDefault="0035263A" w:rsidP="007224C3">
      <w:pPr>
        <w:pStyle w:val="a3"/>
        <w:rPr>
          <w:color w:val="000000" w:themeColor="text1"/>
          <w:lang w:val="ru-RU"/>
        </w:rPr>
      </w:pPr>
      <w:r w:rsidRPr="007224C3">
        <w:rPr>
          <w:color w:val="000000" w:themeColor="text1"/>
          <w:lang w:val="ru-RU"/>
        </w:rPr>
        <w:t>Нашлась и другая, подходящая с точки зрения новой стратегии руководства завода продукция: сверхмощные экскаваторы для добычи угля и руды. Эти машины тоже закупались до войны за рубежом. Теперь на заводе началось проектирование экскаватора СЭ-3 (скального экскаватора с объёмом ковша 3 кубических метра).</w:t>
      </w:r>
    </w:p>
    <w:p w14:paraId="371DE234" w14:textId="77777777" w:rsidR="0035263A" w:rsidRPr="007224C3" w:rsidRDefault="0035263A" w:rsidP="007224C3">
      <w:pPr>
        <w:pStyle w:val="a3"/>
        <w:rPr>
          <w:color w:val="000000" w:themeColor="text1"/>
          <w:lang w:val="ru-RU"/>
        </w:rPr>
      </w:pPr>
      <w:r w:rsidRPr="007224C3">
        <w:rPr>
          <w:color w:val="000000" w:themeColor="text1"/>
          <w:lang w:val="ru-RU"/>
        </w:rPr>
        <w:t>В результате, когда в конце 1945 года началось формирование единого плана реконструкции промышленности, Музруков смог выступить с собственными обоснованными и продуманными предложениями. Он хотел, чтобы производственная программа завода включала в себя 6 комплектов оборудования для доменных печей, два прокатных стана, 100 скальных экскаваторов, 25 комплектов нефтебуровых установок. Хотя не у всех его предложение встретило тёплый приём, но Музрукову удалось преодолеть негативное отношение к своим проектам и отстоять свою точку зрения на развитие завода (12290).</w:t>
      </w:r>
    </w:p>
    <w:p w14:paraId="107BBC2F" w14:textId="77777777" w:rsidR="0035263A" w:rsidRPr="007224C3" w:rsidRDefault="0035263A" w:rsidP="007224C3">
      <w:pPr>
        <w:spacing w:after="0" w:line="240" w:lineRule="auto"/>
        <w:jc w:val="both"/>
        <w:rPr>
          <w:rFonts w:ascii="Times New Roman" w:hAnsi="Times New Roman"/>
          <w:color w:val="000000" w:themeColor="text1"/>
          <w:sz w:val="16"/>
          <w:szCs w:val="16"/>
        </w:rPr>
      </w:pPr>
    </w:p>
    <w:p w14:paraId="75EF220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1944 г. КБ завода № 9 проработало установку 85-мм танко</w:t>
      </w:r>
      <w:r w:rsidRPr="007224C3">
        <w:rPr>
          <w:rFonts w:ascii="Times New Roman" w:hAnsi="Times New Roman"/>
          <w:color w:val="000000" w:themeColor="text1"/>
          <w:sz w:val="16"/>
          <w:szCs w:val="16"/>
        </w:rPr>
        <w:softHyphen/>
        <w:t>вой пушки большой мощности Д-5Т-85БМ в опытный тяжелый танк "Объект 244". В связи с появлением 100-мм и 122-мм орудий, предназ</w:t>
      </w:r>
      <w:r w:rsidRPr="007224C3">
        <w:rPr>
          <w:rFonts w:ascii="Times New Roman" w:hAnsi="Times New Roman"/>
          <w:color w:val="000000" w:themeColor="text1"/>
          <w:sz w:val="16"/>
          <w:szCs w:val="16"/>
        </w:rPr>
        <w:softHyphen/>
        <w:t>начавшихся для установки в тяжелый танк, работы по пушке калибра 85 мм для тяжелых танков были прекращены (10703).</w:t>
      </w:r>
    </w:p>
    <w:p w14:paraId="71F84C6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98666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1944 года при полигонных испытаниях выявились существенные дефекты противооткатных устройств 85-мм танковой пушки С-53. Объединенными усилиями завода № 92 и ЦАКБ пушка была доработана и поставлена на валовое производство под индексом ЗИС-С-53.("С" - индекс ЦАКБ, "ЗИС" - индекс завода № 92 им. Сталина). Пушка ЗИС-С-53 была установлена на большинстве танков Т-34-85, а также на танках Т-44 (3861).</w:t>
      </w:r>
    </w:p>
    <w:p w14:paraId="3A9E87C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CB431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 начале 1944 года выпуск ИСУ-152 стал сдерживаться нехваткой орудий МЛ-20. Предвидя такую ситуацию, на артиллерийском заводе № 9 в Свердловске наложили ствол 122-мм корпусной пушки А-19 на люльку орудия МЛ-20С и в результате получили тяжелый артсамоход ИСУ-122 (объект 242). Опытный образец установки в </w:t>
      </w:r>
      <w:r w:rsidRPr="007224C3">
        <w:rPr>
          <w:rFonts w:ascii="Times New Roman" w:hAnsi="Times New Roman"/>
          <w:color w:val="000000" w:themeColor="text1"/>
          <w:sz w:val="16"/>
          <w:szCs w:val="16"/>
        </w:rPr>
        <w:lastRenderedPageBreak/>
        <w:t xml:space="preserve">декабре 1943 года проходил испытания на Горо-ховецком полигоне. Постановлением ГКО от 12 марта 1944 года ИСУ-122 была принята на вооружение Красной Армии. Серийное производство машины началось на ЧКЗ с апреля 1944 года и продолжалось до сентября 1945-го. </w:t>
      </w:r>
    </w:p>
    <w:p w14:paraId="06D8CD5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ИСУ-122 представляла собой вариант САУ ИСУ-152, в котором 152-мм гаубица-пушка МЛ-20С была заменена на 122-мм пушку А-19 обр. 1931/37 г. При этом пришлось несколько изменить и подвижную бронировку орудия. Высота линии огня составляла 1790 мм. В мае 1944 года в конструкцию ствола пушки А-19 были внесены изменения, которые нарушили взаимозаменяемость новых стволов с ранее выпущенными. Модернизированное орудие получило наименование «122-мм самоходная пушка обр. 1931/44 г». Оба орудия имели поршневой затвор. Длина ствола составляла 46,3 калибра. Устройство пушки А-19 во многом было одинаково с МЛ-20С. Она отличалась от последней стволом меньшего калибра с увеличенной на 730 мм длиной, отсутствием дульного тормоза и меньшим числом нарезов. Для наведения орудия использовались подъемный механизм секторного типа и поворотный механизм винтового типа. Углы вертикальной наводки составляли от -3° до +22°, по горизонтали — в секторе 10°. Для предохранения подъемного механизма от инерционных нагрузок в его конструкцию было введено сдающее звено в виде конусной фрикционной муфты, размещенной между червячным колесом и шестерней подъемного механизма. При стрельбе использовались телескопический прицел СТ-18, который отличался от прицела СТ-10 только нарезкой шкал, и панорамный прицел с полунезависимой или с независимой линией прицеливания (панорама Герца). Дальность стрельбы прямой наводкой составляла 5000 м, наибольшая — 14 300 м. Скорострельность — 2 — 3 выстр./мин. </w:t>
      </w:r>
    </w:p>
    <w:p w14:paraId="464AB80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 боекомплект установки входили 30 выстрелов раздельно-гильзового заря¬жания с бронебойно-трассирующим остроголовым снарядом БР-471 и бронебойно-трассирующим снарядом с баллистическим наконечником БР-471 Б, а также осколочно-фугасными пушечными гранатами: цельнокорпусной короткой ОФ-471Н, с привинтной головкой и длинной — ОФ-471. Начальная скорость бронебойного снаряда при массе 25 кг составляла 800 м/с. Дополнительно в боевом отделении укладывались два пистолета-пулемета ППШ (ППС) с боекомплектом 1491 патрон (21 диск) и 25 ручных гранат Ф-1. С октября 1944 года на части машин устанавливался зенитный пулемет ДШК с боекомплектом 250 патронов. В апреле 1944 года в КБ завода № 100 была создана самоходно-артиллерий-ская установка ИСУ-122С (ИСУ-122-2, объект 249), представлявшая собой модернизированный вариант ИСУ-122. В июне установка прошла испытания на АНИОПе в Гороховце, а 22 августа 1944 года была принята на вооружение. В том же месяце начали ее серийное производство на ЧКЗ параллельно с ИСУ-122 и ИСУ-152, которое продолжалось до сентября 1945 года. </w:t>
      </w:r>
    </w:p>
    <w:p w14:paraId="3B81F50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ИСУ-122С была создана на базе ИСУ-122 и отличалась от нее установкой пушки Д-25С обр. 1944 г. с горизонтальным клиновым полуавтоматическим затвором и дульным тормозом. Высота линии огня составляла 1795 мм. Длина ствола — 48 калибров. За счет более компактных противооткатных устройств и казенной части пушки удалось повысить скорострельность — 6 выстр./мин. Углы вертикальной наводки составляли от -3° до +20°, по горизонтали — в секторе 10° (7°— вправо и 3° — влево). Прицелы пушки — телескопический ТШ-17 и панорама Герца. Дальность стрельбы прямой наводкой — 5000 м, максимальная — до 15 000 м. Боекомплект — такой же, как у пушки А-19. Внешне СУ-122С отличалась от СУ-122 стволом орудия и новой литой маской толщиной 120 — 150 мм. </w:t>
      </w:r>
    </w:p>
    <w:p w14:paraId="03A2C2C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1944 по 1947 год было изготовлено 2790 самоходных установок ИСУ-152, 1735 — ИСУ-122 и 675 — ИСУ-122С. Таким образом, суммарный выпуск тяжелых артсамоходов — 5200 штук — превысил число изготовленных тяжелых танков ИС — 4499 единиц. Следует отметить, что, как и в случае с ИС-2, к выпуску самоходных орудий на его базе должен был подключиться Ленинградский Кировский завод. До 9 мая 1945 года там собрали первые пять ИСУ-152, а до конца года — еще сто. В 1946 и 1947 годах производство ИСУ-152 осуществлялось только на ЛКЗ (11638).</w:t>
      </w:r>
    </w:p>
    <w:p w14:paraId="1616F19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093FB2A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1944-го лишь 15—20% литых башен Т-34 имели нормальные вязкость, хрупкость и внешний вид (утяжины глубиной более 6 мм, раковины, выкрашивание острых граней отливок), то к концу года от 90 до 95% башен уже полностью отвечали требованиям ОТК (11135).</w:t>
      </w:r>
    </w:p>
    <w:p w14:paraId="6BB6A23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879EC2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начала 1944 г. против ожидания, и до конца войны танк Т-34-85 претерпел довольно большие изменения, кото</w:t>
      </w:r>
      <w:r w:rsidRPr="007224C3">
        <w:rPr>
          <w:rFonts w:ascii="Times New Roman" w:hAnsi="Times New Roman"/>
          <w:color w:val="000000" w:themeColor="text1"/>
          <w:sz w:val="16"/>
          <w:szCs w:val="16"/>
        </w:rPr>
        <w:softHyphen/>
        <w:t>рые, может быть, не так заметны, но существенны. Во-пер</w:t>
      </w:r>
      <w:r w:rsidRPr="007224C3">
        <w:rPr>
          <w:rFonts w:ascii="Times New Roman" w:hAnsi="Times New Roman"/>
          <w:color w:val="000000" w:themeColor="text1"/>
          <w:sz w:val="16"/>
          <w:szCs w:val="16"/>
        </w:rPr>
        <w:softHyphen/>
        <w:t>вых, в июле 1944 г. произошла попытка унифицировать от</w:t>
      </w:r>
      <w:r w:rsidRPr="007224C3">
        <w:rPr>
          <w:rFonts w:ascii="Times New Roman" w:hAnsi="Times New Roman"/>
          <w:color w:val="000000" w:themeColor="text1"/>
          <w:sz w:val="16"/>
          <w:szCs w:val="16"/>
        </w:rPr>
        <w:softHyphen/>
        <w:t>ливки башен танков Т-34-85, разработанных на заводах № 183 (для танка Т-43) и № 112. Попытка увенчалась успе</w:t>
      </w:r>
      <w:r w:rsidRPr="007224C3">
        <w:rPr>
          <w:rFonts w:ascii="Times New Roman" w:hAnsi="Times New Roman"/>
          <w:color w:val="000000" w:themeColor="text1"/>
          <w:sz w:val="16"/>
          <w:szCs w:val="16"/>
        </w:rPr>
        <w:softHyphen/>
        <w:t>хом, и в серию на заводе № 183, а позднее и для остальных производителей, была принята башня с литой маской тол</w:t>
      </w:r>
      <w:r w:rsidRPr="007224C3">
        <w:rPr>
          <w:rFonts w:ascii="Times New Roman" w:hAnsi="Times New Roman"/>
          <w:color w:val="000000" w:themeColor="text1"/>
          <w:sz w:val="16"/>
          <w:szCs w:val="16"/>
        </w:rPr>
        <w:softHyphen/>
        <w:t>щиной 90 мм, плавно сбегающей вверху, внизу, справа и сле</w:t>
      </w:r>
      <w:r w:rsidRPr="007224C3">
        <w:rPr>
          <w:rFonts w:ascii="Times New Roman" w:hAnsi="Times New Roman"/>
          <w:color w:val="000000" w:themeColor="text1"/>
          <w:sz w:val="16"/>
          <w:szCs w:val="16"/>
        </w:rPr>
        <w:softHyphen/>
        <w:t>ва к толщине 52-мм. Остальные изменения в башню были внесены по типу ранее введенных на заводе № 112. Во-вторых, в августе 1944 г. для унификации с танком Т-44А в тан</w:t>
      </w:r>
      <w:r w:rsidRPr="007224C3">
        <w:rPr>
          <w:rFonts w:ascii="Times New Roman" w:hAnsi="Times New Roman"/>
          <w:color w:val="000000" w:themeColor="text1"/>
          <w:sz w:val="16"/>
          <w:szCs w:val="16"/>
        </w:rPr>
        <w:softHyphen/>
        <w:t>ке Т-34-85 была введена командирская башенка с толщи</w:t>
      </w:r>
      <w:r w:rsidRPr="007224C3">
        <w:rPr>
          <w:rFonts w:ascii="Times New Roman" w:hAnsi="Times New Roman"/>
          <w:color w:val="000000" w:themeColor="text1"/>
          <w:sz w:val="16"/>
          <w:szCs w:val="16"/>
        </w:rPr>
        <w:softHyphen/>
        <w:t>ной стенок 75-мм вместо 52-мм (11135).</w:t>
      </w:r>
    </w:p>
    <w:p w14:paraId="586460D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DE4E4F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1944 г. на опытном среднем танке Т-44 была установлена 122-мм пушка Д-25Т-44, которая отличалась от 122-мм пушки Д-25Т тяжелого танка ИС-2 меньшей массой откатных частей и возможностью стрельбы унитарным выстрелом с уменьшенным зарядом. Неудачные результаты испытаний орудия, малый боекомплект (24 выстрела) и стесненные условия работы заряжающего в боевом отделении привели к отказу от установки 122-мм пушки в средний танк (10703).</w:t>
      </w:r>
    </w:p>
    <w:p w14:paraId="712F9F2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FA994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1944 г. вышло распоряжение начальника ГАБТУ Федоренко о передаче всех СУ-76И из боевых подразделений в учебные и о замене их на СУ-76М.В учебных подразделениях эти боевые машины встречались до конца 1945 г., после чего были сданы на металлолом. В Кубинке действующий образец СУ-76И просуществовал довольно долго и был списан в 1968 г. До наших дней уцелел единственный образец СУ-76И. Почти 30 лет он пролежал на дне реки Случь, затем был поднят и установлен как памятник в городе Сарны Ровенской области на Украине, где и находится до сих пор (9695).</w:t>
      </w:r>
    </w:p>
    <w:p w14:paraId="0AD806E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8D7CEC" w14:textId="77777777" w:rsidR="00D86EA0" w:rsidRPr="007224C3" w:rsidRDefault="00D86EA0" w:rsidP="007224C3">
      <w:pPr>
        <w:pStyle w:val="book"/>
        <w:ind w:firstLine="0"/>
        <w:jc w:val="both"/>
        <w:rPr>
          <w:color w:val="000000" w:themeColor="text1"/>
          <w:sz w:val="16"/>
          <w:szCs w:val="16"/>
        </w:rPr>
      </w:pPr>
      <w:r w:rsidRPr="007224C3">
        <w:rPr>
          <w:color w:val="000000" w:themeColor="text1"/>
          <w:sz w:val="16"/>
          <w:szCs w:val="16"/>
        </w:rPr>
        <w:t>В начале 1944 г. вышло распоряжение начальника ГАБТУ Федоренко о передаче всех СУ-76И из боевых подразделений в учебные и о замене их на СУ-76М. В учебных подразделениях эти боевые машины встречались до конца 1945 г., после чего были сданы на металлолом. На полигоне в Кубинке действующий образец СУ-76И просуществовал довольно долго и был списан в 1968 г. До наших дней уцелели лишь два экземпляра СУ-76И. Первый почти 30 лет пролежал на дне реки Случь, затем был поднят и установлен как памятник в городе Сарны Ровенской области на Украине, а второй находится в музее Великой Отечественной войны на Поклонной горе в Москве (15225).</w:t>
      </w:r>
    </w:p>
    <w:p w14:paraId="7AFE3BA1" w14:textId="77777777" w:rsidR="00D86EA0" w:rsidRPr="007224C3" w:rsidRDefault="00D86EA0" w:rsidP="007224C3">
      <w:pPr>
        <w:pStyle w:val="book"/>
        <w:ind w:firstLine="0"/>
        <w:jc w:val="both"/>
        <w:rPr>
          <w:color w:val="000000" w:themeColor="text1"/>
          <w:sz w:val="16"/>
          <w:szCs w:val="16"/>
        </w:rPr>
      </w:pPr>
    </w:p>
    <w:p w14:paraId="06427DC9" w14:textId="77777777" w:rsidR="0035263A" w:rsidRPr="007224C3" w:rsidRDefault="003526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 начале 1944 г. вышло распоряжение начальника ГАБТУ Федоре нко о передаче всех СУ-76И из боевых подразделений в учебные и о замене их на СУ-76М. В учебных подразделениях эти боевые машины встречались до конца 1945 г., после чего были сданы на металлолом. На полигоне в Кубинке действующий образец СУ-76И просуществовал довольно долго и был списан в 1968 г. До наших дней уцелели лишь два экземпляра СУ-76И. Первый почти 30 лет пролежал на дне реки Случь, затем был поднят и установлен как памятник в городе Сарны Ровенской области на Украине, а второй находится в музее Великой Отечественной войны на Поклонной горе в Москве. 16 марта 1943 г. в боях под Балатоном в составе 366-го гвардейского тяжелою самоходно-артиллерийского полка имелось 12 трофейных САУ и две «Пантеры». Замечу, что писать об использовании германского трофейного имущества в Красной армии в 1941—1945 гг. непросто. И дело не только в том, что значительная часть документов войны в Подольском и иных архивах до сих нор хранится под грифом «секретно». </w:t>
      </w:r>
      <w:r w:rsidRPr="007224C3">
        <w:rPr>
          <w:rStyle w:val="a7"/>
          <w:rFonts w:ascii="Times New Roman" w:hAnsi="Times New Roman"/>
          <w:b w:val="0"/>
          <w:color w:val="000000" w:themeColor="text1"/>
          <w:sz w:val="16"/>
          <w:szCs w:val="16"/>
        </w:rPr>
        <w:t>Еще хуже, что советские, равно как и германские, командиры тщательно скрывали наличие трофеев в своих частях. Причем ни у них, ни у нас это не было связано с какой-либо идеологией (12687).</w:t>
      </w:r>
    </w:p>
    <w:p w14:paraId="3FE049E2" w14:textId="77777777" w:rsidR="0035263A" w:rsidRPr="007224C3" w:rsidRDefault="0035263A" w:rsidP="007224C3">
      <w:pPr>
        <w:spacing w:after="0" w:line="240" w:lineRule="auto"/>
        <w:jc w:val="both"/>
        <w:rPr>
          <w:rFonts w:ascii="Times New Roman" w:hAnsi="Times New Roman"/>
          <w:color w:val="000000" w:themeColor="text1"/>
          <w:sz w:val="16"/>
          <w:szCs w:val="16"/>
        </w:rPr>
      </w:pPr>
    </w:p>
    <w:p w14:paraId="1A7F2FF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началу 1944 г. практически все производители легких танков типа Т-70 (ГАЗ, завод № 38 в Кирове и завод № 40 в Мытищах) были переведены на выпуск легких СУ-76 (СУ-15М), а поскольку генеральный конструктор указанной САУ М.Н. Щукин назначался главным конструктором восстанав</w:t>
      </w:r>
      <w:r w:rsidRPr="007224C3">
        <w:rPr>
          <w:rFonts w:ascii="Times New Roman" w:hAnsi="Times New Roman"/>
          <w:color w:val="000000" w:themeColor="text1"/>
          <w:sz w:val="16"/>
          <w:szCs w:val="16"/>
        </w:rPr>
        <w:softHyphen/>
        <w:t>ливаемого в Харькове танкового завода № 75 (бывший ХПЗ им. Коминтерна), головным предприятием по СУ-76 с 1 ян</w:t>
      </w:r>
      <w:r w:rsidRPr="007224C3">
        <w:rPr>
          <w:rFonts w:ascii="Times New Roman" w:hAnsi="Times New Roman"/>
          <w:color w:val="000000" w:themeColor="text1"/>
          <w:sz w:val="16"/>
          <w:szCs w:val="16"/>
        </w:rPr>
        <w:softHyphen/>
        <w:t>варя 1944 г. становился Горьковский автозавод, и главным конструктором по данной САУ был назначен Н.А. Астров.</w:t>
      </w:r>
    </w:p>
    <w:p w14:paraId="1C60719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Здесь еще в конце 1943 г. велись множественные доработ</w:t>
      </w:r>
      <w:r w:rsidRPr="007224C3">
        <w:rPr>
          <w:rFonts w:ascii="Times New Roman" w:hAnsi="Times New Roman"/>
          <w:color w:val="000000" w:themeColor="text1"/>
          <w:sz w:val="16"/>
          <w:szCs w:val="16"/>
        </w:rPr>
        <w:softHyphen/>
        <w:t>ки конструкции машины, направленные на улучшение ее ра</w:t>
      </w:r>
      <w:r w:rsidRPr="007224C3">
        <w:rPr>
          <w:rFonts w:ascii="Times New Roman" w:hAnsi="Times New Roman"/>
          <w:color w:val="000000" w:themeColor="text1"/>
          <w:sz w:val="16"/>
          <w:szCs w:val="16"/>
        </w:rPr>
        <w:softHyphen/>
        <w:t>ботоспособности, упрощение трудоемкости изготовления, снижения цены. В частности, были доработаны системы пи</w:t>
      </w:r>
      <w:r w:rsidRPr="007224C3">
        <w:rPr>
          <w:rFonts w:ascii="Times New Roman" w:hAnsi="Times New Roman"/>
          <w:color w:val="000000" w:themeColor="text1"/>
          <w:sz w:val="16"/>
          <w:szCs w:val="16"/>
        </w:rPr>
        <w:softHyphen/>
        <w:t>тания и охлаждения двигателя, немного изменена компонов</w:t>
      </w:r>
      <w:r w:rsidRPr="007224C3">
        <w:rPr>
          <w:rFonts w:ascii="Times New Roman" w:hAnsi="Times New Roman"/>
          <w:color w:val="000000" w:themeColor="text1"/>
          <w:sz w:val="16"/>
          <w:szCs w:val="16"/>
        </w:rPr>
        <w:softHyphen/>
        <w:t>ка боевого отделения, увеличен объем топливного бака, уве</w:t>
      </w:r>
      <w:r w:rsidRPr="007224C3">
        <w:rPr>
          <w:rFonts w:ascii="Times New Roman" w:hAnsi="Times New Roman"/>
          <w:color w:val="000000" w:themeColor="text1"/>
          <w:sz w:val="16"/>
          <w:szCs w:val="16"/>
        </w:rPr>
        <w:softHyphen/>
        <w:t>личен возимый боекомплект. Такая доработанная машина получила войсковой индекс СУ-76М и была принята на во</w:t>
      </w:r>
      <w:r w:rsidRPr="007224C3">
        <w:rPr>
          <w:rFonts w:ascii="Times New Roman" w:hAnsi="Times New Roman"/>
          <w:color w:val="000000" w:themeColor="text1"/>
          <w:sz w:val="16"/>
          <w:szCs w:val="16"/>
        </w:rPr>
        <w:softHyphen/>
        <w:t>оружение еще до завершения приемочных испытаний.</w:t>
      </w:r>
    </w:p>
    <w:p w14:paraId="3AF2C40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Новая модификация оказалась проще предшествующей, что позволило примерно на четверть поднять удельный вы</w:t>
      </w:r>
      <w:r w:rsidRPr="007224C3">
        <w:rPr>
          <w:rFonts w:ascii="Times New Roman" w:hAnsi="Times New Roman"/>
          <w:color w:val="000000" w:themeColor="text1"/>
          <w:sz w:val="16"/>
          <w:szCs w:val="16"/>
        </w:rPr>
        <w:softHyphen/>
        <w:t>пуск легких САУ. Машины шли на оснащение не только лег</w:t>
      </w:r>
      <w:r w:rsidRPr="007224C3">
        <w:rPr>
          <w:rFonts w:ascii="Times New Roman" w:hAnsi="Times New Roman"/>
          <w:color w:val="000000" w:themeColor="text1"/>
          <w:sz w:val="16"/>
          <w:szCs w:val="16"/>
        </w:rPr>
        <w:softHyphen/>
        <w:t>ких САП, но также истребительно-противотанковых подраз</w:t>
      </w:r>
      <w:r w:rsidRPr="007224C3">
        <w:rPr>
          <w:rFonts w:ascii="Times New Roman" w:hAnsi="Times New Roman"/>
          <w:color w:val="000000" w:themeColor="text1"/>
          <w:sz w:val="16"/>
          <w:szCs w:val="16"/>
        </w:rPr>
        <w:softHyphen/>
        <w:t>делений и частей. В эксплуатации они были очень неприхот</w:t>
      </w:r>
      <w:r w:rsidRPr="007224C3">
        <w:rPr>
          <w:rFonts w:ascii="Times New Roman" w:hAnsi="Times New Roman"/>
          <w:color w:val="000000" w:themeColor="text1"/>
          <w:sz w:val="16"/>
          <w:szCs w:val="16"/>
        </w:rPr>
        <w:softHyphen/>
        <w:t>ливы, просты в освоении личным составом, подвижны и ма-невренны во время маршей. Несмотря на то, что максималь</w:t>
      </w:r>
      <w:r w:rsidRPr="007224C3">
        <w:rPr>
          <w:rFonts w:ascii="Times New Roman" w:hAnsi="Times New Roman"/>
          <w:color w:val="000000" w:themeColor="text1"/>
          <w:sz w:val="16"/>
          <w:szCs w:val="16"/>
        </w:rPr>
        <w:softHyphen/>
        <w:t>ная скорость СУ-76М была ниже, чем у Т-34, благодаря бо</w:t>
      </w:r>
      <w:r w:rsidRPr="007224C3">
        <w:rPr>
          <w:rFonts w:ascii="Times New Roman" w:hAnsi="Times New Roman"/>
          <w:color w:val="000000" w:themeColor="text1"/>
          <w:sz w:val="16"/>
          <w:szCs w:val="16"/>
        </w:rPr>
        <w:softHyphen/>
        <w:t>лее удачному распределению передач подвижность полков СУ-76 была выше, чем большинства иных танков и САУ.</w:t>
      </w:r>
    </w:p>
    <w:p w14:paraId="0E56813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Несмотря на то, что разрабатывались СУ-76 и СУ-76М как самоходные дивизионные орудия поддержки, исполь</w:t>
      </w:r>
      <w:r w:rsidRPr="007224C3">
        <w:rPr>
          <w:rFonts w:ascii="Times New Roman" w:hAnsi="Times New Roman"/>
          <w:color w:val="000000" w:themeColor="text1"/>
          <w:sz w:val="16"/>
          <w:szCs w:val="16"/>
        </w:rPr>
        <w:softHyphen/>
        <w:t>зовались они, особенно первое время, преимущественно, как танки без башни. Большинство командиров танковых соединений, получив для поддержки САПы, не имели представления о тактике использования самоходных орудий и часто посылали эти части на убой. СУ-76 проводили фронтальные атаки немецких укреплений, броней при</w:t>
      </w:r>
      <w:r w:rsidRPr="007224C3">
        <w:rPr>
          <w:rFonts w:ascii="Times New Roman" w:hAnsi="Times New Roman"/>
          <w:color w:val="000000" w:themeColor="text1"/>
          <w:sz w:val="16"/>
          <w:szCs w:val="16"/>
        </w:rPr>
        <w:softHyphen/>
        <w:t>крывая атакующую пехоту, использовались и для противо</w:t>
      </w:r>
      <w:r w:rsidRPr="007224C3">
        <w:rPr>
          <w:rFonts w:ascii="Times New Roman" w:hAnsi="Times New Roman"/>
          <w:color w:val="000000" w:themeColor="text1"/>
          <w:sz w:val="16"/>
          <w:szCs w:val="16"/>
        </w:rPr>
        <w:softHyphen/>
        <w:t>танковой обороны на совершенно неприспособленных участках, контратаковали немецкие танки (!) и т.д.</w:t>
      </w:r>
    </w:p>
    <w:p w14:paraId="27A87B9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Малограмотная тактика применения САП вызывала негативное отношение к машине и у воевавших на ней. На языке солдат за СУ-76М закрепились весьма нелестные прозвища: «сучка», «пукалка», «старая девка», «братская могила», «голозадый Фердинанд» и т.п. Многие танкисты не любили свои боевые машины, мечтая пересесть куда-нибудь, где броня покрепче, но и пересаживаясь на СУ-85, не чувствовали облегчения.</w:t>
      </w:r>
    </w:p>
    <w:p w14:paraId="059B254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Автор беседовал с многими ветеранами и в очередной раз убедился, что все, ругавшие СУ-76, были танкистами, мало воевавшими в ней или подбитыми в первых боях и пере</w:t>
      </w:r>
      <w:r w:rsidRPr="007224C3">
        <w:rPr>
          <w:rFonts w:ascii="Times New Roman" w:hAnsi="Times New Roman"/>
          <w:color w:val="000000" w:themeColor="text1"/>
          <w:sz w:val="16"/>
          <w:szCs w:val="16"/>
        </w:rPr>
        <w:softHyphen/>
        <w:t>севшими на другие боевые машины. Их критика отличалась некоей огульностью. «Машина — дерьмо!»— говорили они и переводили разговор на другие темы. А из конкретики приводили тривиальные доводы: броня тонкая, крыши нет, питается бензином, пушка слабая. И все!</w:t>
      </w:r>
    </w:p>
    <w:p w14:paraId="2BF2F11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Но те, кто имел честь длительное время воевать на СУ-76 (особенно механики-водители), неизменно отзыва</w:t>
      </w:r>
      <w:r w:rsidRPr="007224C3">
        <w:rPr>
          <w:rFonts w:ascii="Times New Roman" w:hAnsi="Times New Roman"/>
          <w:color w:val="000000" w:themeColor="text1"/>
          <w:sz w:val="16"/>
          <w:szCs w:val="16"/>
        </w:rPr>
        <w:softHyphen/>
        <w:t>лись о своей машине положительно. И клички машине дава</w:t>
      </w:r>
      <w:r w:rsidRPr="007224C3">
        <w:rPr>
          <w:rFonts w:ascii="Times New Roman" w:hAnsi="Times New Roman"/>
          <w:color w:val="000000" w:themeColor="text1"/>
          <w:sz w:val="16"/>
          <w:szCs w:val="16"/>
        </w:rPr>
        <w:softHyphen/>
        <w:t>ли ласковые: «Ласточка», «Сухарик», «Снежинка», «Колом</w:t>
      </w:r>
      <w:r w:rsidRPr="007224C3">
        <w:rPr>
          <w:rFonts w:ascii="Times New Roman" w:hAnsi="Times New Roman"/>
          <w:color w:val="000000" w:themeColor="text1"/>
          <w:sz w:val="16"/>
          <w:szCs w:val="16"/>
        </w:rPr>
        <w:softHyphen/>
        <w:t>бина», и даже «Суворочка». Это не считая массы женских имен, которыми нарекали свои боевые машины их коман</w:t>
      </w:r>
      <w:r w:rsidRPr="007224C3">
        <w:rPr>
          <w:rFonts w:ascii="Times New Roman" w:hAnsi="Times New Roman"/>
          <w:color w:val="000000" w:themeColor="text1"/>
          <w:sz w:val="16"/>
          <w:szCs w:val="16"/>
        </w:rPr>
        <w:softHyphen/>
        <w:t>диры и механики-водители во все времена.</w:t>
      </w:r>
    </w:p>
    <w:p w14:paraId="2216B07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вот их аргументация в защиту СУ-76М выглядит куда. более убедительной. Во-первых, условия обитаемости экипа</w:t>
      </w:r>
      <w:r w:rsidRPr="007224C3">
        <w:rPr>
          <w:rFonts w:ascii="Times New Roman" w:hAnsi="Times New Roman"/>
          <w:color w:val="000000" w:themeColor="text1"/>
          <w:sz w:val="16"/>
          <w:szCs w:val="16"/>
        </w:rPr>
        <w:softHyphen/>
        <w:t>жа. Отсутствие крыши они не считали недостатком. Ведь в закрытой рубке и в башне танка вентилятор не справлялся с очисткой воздуха и потому вести интенсивную стрельбу бы</w:t>
      </w:r>
      <w:r w:rsidRPr="007224C3">
        <w:rPr>
          <w:rFonts w:ascii="Times New Roman" w:hAnsi="Times New Roman"/>
          <w:color w:val="000000" w:themeColor="text1"/>
          <w:sz w:val="16"/>
          <w:szCs w:val="16"/>
        </w:rPr>
        <w:softHyphen/>
        <w:t>ло невозможно (особенно ярко это проявилось на Курской дуге в САПах, оснащенных СУ-76(и) и СУ-76М (СУ-12М), имевшими крышу. Тогда как в СУ-76М стрельба ничем не от</w:t>
      </w:r>
      <w:r w:rsidRPr="007224C3">
        <w:rPr>
          <w:rFonts w:ascii="Times New Roman" w:hAnsi="Times New Roman"/>
          <w:color w:val="000000" w:themeColor="text1"/>
          <w:sz w:val="16"/>
          <w:szCs w:val="16"/>
        </w:rPr>
        <w:softHyphen/>
        <w:t>личалась от ведения огня из полевого орудия, да к тому же расчет прикрыт с бортов и частично со спины от пуль и ос</w:t>
      </w:r>
      <w:r w:rsidRPr="007224C3">
        <w:rPr>
          <w:rFonts w:ascii="Times New Roman" w:hAnsi="Times New Roman"/>
          <w:color w:val="000000" w:themeColor="text1"/>
          <w:sz w:val="16"/>
          <w:szCs w:val="16"/>
        </w:rPr>
        <w:softHyphen/>
        <w:t>колков. В случае загорания машины экипаж чаще всего успевал выпрыгнуть из боевого отделения (и это несмотря на то, что САУ питалась бензином). Если при загорании СУ-85 из нее спасались в лучшем случае двое, то в СУ-76М иногда по</w:t>
      </w:r>
      <w:r w:rsidRPr="007224C3">
        <w:rPr>
          <w:rFonts w:ascii="Times New Roman" w:hAnsi="Times New Roman"/>
          <w:color w:val="000000" w:themeColor="text1"/>
          <w:sz w:val="16"/>
          <w:szCs w:val="16"/>
        </w:rPr>
        <w:softHyphen/>
        <w:t>гибал только водитель, а чаще спасались все. Далее — у СУ-85, да и у Т-34, имелась довольно обширная «мертвая зона», непросматриваемая даже из башенки, а здесь было видно все. Во-вторых, управлять машиной было не в пример легче, чем Т-34, где до середины 1943 г. (а фактически — до осени 1944 г.) переключить передачу в движении мог только водитель недюжинной силы. Да и ход СУ-76М был очень плавным и тихим. Т-34 издавал в движении такой лязг и гул, что предупреждал о своем появлении за несколько сотен ме</w:t>
      </w:r>
      <w:r w:rsidRPr="007224C3">
        <w:rPr>
          <w:rFonts w:ascii="Times New Roman" w:hAnsi="Times New Roman"/>
          <w:color w:val="000000" w:themeColor="text1"/>
          <w:sz w:val="16"/>
          <w:szCs w:val="16"/>
        </w:rPr>
        <w:softHyphen/>
        <w:t>тров, а СУ-76М могла внезапно выскочить из-за поворота, произвести выстрел и скрыться незамеченной. Ведь в движе</w:t>
      </w:r>
      <w:r w:rsidRPr="007224C3">
        <w:rPr>
          <w:rFonts w:ascii="Times New Roman" w:hAnsi="Times New Roman"/>
          <w:color w:val="000000" w:themeColor="text1"/>
          <w:sz w:val="16"/>
          <w:szCs w:val="16"/>
        </w:rPr>
        <w:softHyphen/>
        <w:t>нии она была не громче грузового автомобиля. Была эта ма</w:t>
      </w:r>
      <w:r w:rsidRPr="007224C3">
        <w:rPr>
          <w:rFonts w:ascii="Times New Roman" w:hAnsi="Times New Roman"/>
          <w:color w:val="000000" w:themeColor="text1"/>
          <w:sz w:val="16"/>
          <w:szCs w:val="16"/>
        </w:rPr>
        <w:softHyphen/>
        <w:t>шина хорошей и по проходимости, так как имела маленькое удельное давление на грунт, а уж о надежности и говорить не приходится. Моторный агрегат ГАЗ-203 порой свободно «на</w:t>
      </w:r>
      <w:r w:rsidRPr="007224C3">
        <w:rPr>
          <w:rFonts w:ascii="Times New Roman" w:hAnsi="Times New Roman"/>
          <w:color w:val="000000" w:themeColor="text1"/>
          <w:sz w:val="16"/>
          <w:szCs w:val="16"/>
        </w:rPr>
        <w:softHyphen/>
        <w:t>рабатывал» 350 моточасов и более и при этом часто не требо</w:t>
      </w:r>
      <w:r w:rsidRPr="007224C3">
        <w:rPr>
          <w:rFonts w:ascii="Times New Roman" w:hAnsi="Times New Roman"/>
          <w:color w:val="000000" w:themeColor="text1"/>
          <w:sz w:val="16"/>
          <w:szCs w:val="16"/>
        </w:rPr>
        <w:softHyphen/>
        <w:t>вал ремонта, а В-2 чаще всего с трудом преодолевал 150 моточасов. Трансмиссия СУ-76М работала в менее нагружен</w:t>
      </w:r>
      <w:r w:rsidRPr="007224C3">
        <w:rPr>
          <w:rFonts w:ascii="Times New Roman" w:hAnsi="Times New Roman"/>
          <w:color w:val="000000" w:themeColor="text1"/>
          <w:sz w:val="16"/>
          <w:szCs w:val="16"/>
        </w:rPr>
        <w:softHyphen/>
        <w:t>ном режиме, чем трансмиссия Т-34 и КВ, и потому тоже от</w:t>
      </w:r>
      <w:r w:rsidRPr="007224C3">
        <w:rPr>
          <w:rFonts w:ascii="Times New Roman" w:hAnsi="Times New Roman"/>
          <w:color w:val="000000" w:themeColor="text1"/>
          <w:sz w:val="16"/>
          <w:szCs w:val="16"/>
        </w:rPr>
        <w:softHyphen/>
        <w:t>личалась хорошей надежностью.</w:t>
      </w:r>
    </w:p>
    <w:p w14:paraId="5B7D24F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 главное преимущество «сучки» было в том, что она позволяла решать практически все задачи, которые только можно было придумать для дивизионной пушки, обладая при этом более устойчивой базой. В умелых руках СУ-76М на Днепре, под Кенигсбергом, в Берлине и на Карельском пере</w:t>
      </w:r>
      <w:r w:rsidRPr="007224C3">
        <w:rPr>
          <w:rFonts w:ascii="Times New Roman" w:hAnsi="Times New Roman"/>
          <w:color w:val="000000" w:themeColor="text1"/>
          <w:sz w:val="16"/>
          <w:szCs w:val="16"/>
        </w:rPr>
        <w:softHyphen/>
        <w:t>шейке двумя-тремя выстрелами прямой наводкой попадали снарядом в амбразуру ДОТ и ДЗОТ. На «линии Кароля» в Ру</w:t>
      </w:r>
      <w:r w:rsidRPr="007224C3">
        <w:rPr>
          <w:rFonts w:ascii="Times New Roman" w:hAnsi="Times New Roman"/>
          <w:color w:val="000000" w:themeColor="text1"/>
          <w:sz w:val="16"/>
          <w:szCs w:val="16"/>
        </w:rPr>
        <w:softHyphen/>
        <w:t>мынии СУ-76 проявили себя как прекрасные «кочующие ба</w:t>
      </w:r>
      <w:r w:rsidRPr="007224C3">
        <w:rPr>
          <w:rFonts w:ascii="Times New Roman" w:hAnsi="Times New Roman"/>
          <w:color w:val="000000" w:themeColor="text1"/>
          <w:sz w:val="16"/>
          <w:szCs w:val="16"/>
        </w:rPr>
        <w:softHyphen/>
        <w:t>тареи» для проведения артналетов и контрбатарейной борь</w:t>
      </w:r>
      <w:r w:rsidRPr="007224C3">
        <w:rPr>
          <w:rFonts w:ascii="Times New Roman" w:hAnsi="Times New Roman"/>
          <w:color w:val="000000" w:themeColor="text1"/>
          <w:sz w:val="16"/>
          <w:szCs w:val="16"/>
        </w:rPr>
        <w:softHyphen/>
        <w:t>бы, так как СУ-76 могла вести огонь даже с закрытых пози</w:t>
      </w:r>
      <w:r w:rsidRPr="007224C3">
        <w:rPr>
          <w:rFonts w:ascii="Times New Roman" w:hAnsi="Times New Roman"/>
          <w:color w:val="000000" w:themeColor="text1"/>
          <w:sz w:val="16"/>
          <w:szCs w:val="16"/>
        </w:rPr>
        <w:softHyphen/>
        <w:t>ций по установкам полевой артиллерии, причем командиры легких САУ имели в среднем лучшую артиллерийскую под</w:t>
      </w:r>
      <w:r w:rsidRPr="007224C3">
        <w:rPr>
          <w:rFonts w:ascii="Times New Roman" w:hAnsi="Times New Roman"/>
          <w:color w:val="000000" w:themeColor="text1"/>
          <w:sz w:val="16"/>
          <w:szCs w:val="16"/>
        </w:rPr>
        <w:softHyphen/>
        <w:t>готовку, чем командиры СУ-85, которых учили «по-танково</w:t>
      </w:r>
      <w:r w:rsidRPr="007224C3">
        <w:rPr>
          <w:rFonts w:ascii="Times New Roman" w:hAnsi="Times New Roman"/>
          <w:color w:val="000000" w:themeColor="text1"/>
          <w:sz w:val="16"/>
          <w:szCs w:val="16"/>
        </w:rPr>
        <w:softHyphen/>
        <w:t>му». В Венгрии, за Тиссой СУ-76М прикрывали плацдарм от яростных атак мадьярской пехоты и конницы, ведя губитель</w:t>
      </w:r>
      <w:r w:rsidRPr="007224C3">
        <w:rPr>
          <w:rFonts w:ascii="Times New Roman" w:hAnsi="Times New Roman"/>
          <w:color w:val="000000" w:themeColor="text1"/>
          <w:sz w:val="16"/>
          <w:szCs w:val="16"/>
        </w:rPr>
        <w:softHyphen/>
        <w:t>ный огонь шрапнелями, поставленными «на картечь». А уж в навыке сбивать немецкие пулеметы, обстреле живой силы и т.д. равных ей не было (11417).</w:t>
      </w:r>
    </w:p>
    <w:p w14:paraId="6B00001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7A10E69E" w14:textId="77777777" w:rsidR="0018364B" w:rsidRPr="007224C3" w:rsidRDefault="0018364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начала 1944 года из разных частей начали поступать сведения об изготовлении кустарных крыш:</w:t>
      </w:r>
    </w:p>
    <w:p w14:paraId="756C414B" w14:textId="77777777" w:rsidR="0018364B" w:rsidRPr="007224C3" w:rsidRDefault="0018364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«Старший инспектор НКТП при УК БТ и МВ Отдельной приморской армии тов. Свечкин в своем письме от 26.01.44 г. за №0510 доносит:</w:t>
      </w:r>
    </w:p>
    <w:p w14:paraId="5511CADD" w14:textId="77777777" w:rsidR="0018364B" w:rsidRPr="007224C3" w:rsidRDefault="0018364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«Сообщаю, что по инициативе полка на одной из машин СУ-76М произведена замена брезента бронёй из котельного железа толщиной 10 мм (и принимаются меры в отношении остальных машин), так как в боевой обстановке полка, имевшем ранее СУ-76, вышло из строя до 40 человек из числа экипажей, главным образом, от осколков снарядов, или бомб и взрывной волы.</w:t>
      </w:r>
    </w:p>
    <w:p w14:paraId="26A05A6D" w14:textId="77777777" w:rsidR="0018364B" w:rsidRPr="007224C3" w:rsidRDefault="0018364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Прошу сообщить, по каким соображениям завод №38 продолжает практику постановки брезентов вместо крыши».</w:t>
      </w:r>
    </w:p>
    <w:p w14:paraId="70B9CEC7" w14:textId="77777777" w:rsidR="0018364B" w:rsidRPr="007224C3" w:rsidRDefault="0018364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данном письме говорится о машинах СУ-76М (СУ-15) № 310430, 58411, 310402, 310434, 310436, 58428, 310403 с двигателями ГАЗ мод.203, выпущенными заводом №38 в первой половине октября 1943 года.</w:t>
      </w:r>
    </w:p>
    <w:p w14:paraId="233E9790" w14:textId="77777777" w:rsidR="0018364B" w:rsidRPr="007224C3" w:rsidRDefault="0018364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Случай этот был не единичным. Самодельные крыши могли быть самой разной формы и типа. Одни прикрывали боевое отделение только сверху, другие варианты обеспечивали защиту и сзади. ГБТУ КА было против таких переделок, поскольку они перегружали машины, но в войсках думали иначе. В результате весной 1944 года всё же были запущены проектные работы по улучшению защиты боевого отделения (18172).</w:t>
      </w:r>
    </w:p>
    <w:p w14:paraId="33493F1D" w14:textId="77777777" w:rsidR="0018364B" w:rsidRPr="007224C3" w:rsidRDefault="0018364B" w:rsidP="007224C3">
      <w:pPr>
        <w:spacing w:after="0" w:line="240" w:lineRule="auto"/>
        <w:jc w:val="both"/>
        <w:rPr>
          <w:rFonts w:ascii="Times New Roman" w:hAnsi="Times New Roman"/>
          <w:color w:val="000000" w:themeColor="text1"/>
          <w:sz w:val="16"/>
          <w:szCs w:val="16"/>
        </w:rPr>
      </w:pPr>
    </w:p>
    <w:p w14:paraId="1C07002C" w14:textId="77777777" w:rsidR="00D86EA0" w:rsidRPr="007224C3" w:rsidRDefault="00D86EA0" w:rsidP="007224C3">
      <w:pPr>
        <w:widowControl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К началу 1944 года практически все производители легких танков типа Т-70 (ГАЗ, завод №38 в Кирове и завод №40 в Мытищах) были переведены на выпуск легких СУ-76 (СУ-15М), а поскольку генеральный конструктор указанной САУ М.Н. Щукин назначался главным конструктором восстанавливаемого в Харькове танкового завода №75 (бывший ХПЗ им. Коминтерна), головным предприятием по СУ-76 с 1 января </w:t>
      </w:r>
      <w:smartTag w:uri="urn:schemas-microsoft-com:office:smarttags" w:element="metricconverter">
        <w:smartTagPr>
          <w:attr w:name="ProductID" w:val="1945 г"/>
        </w:smartTagPr>
        <w:r w:rsidRPr="007224C3">
          <w:rPr>
            <w:rFonts w:ascii="Times New Roman" w:hAnsi="Times New Roman"/>
            <w:color w:val="000000" w:themeColor="text1"/>
            <w:sz w:val="16"/>
            <w:szCs w:val="16"/>
          </w:rPr>
          <w:t>1944 г</w:t>
        </w:r>
      </w:smartTag>
      <w:r w:rsidRPr="007224C3">
        <w:rPr>
          <w:rFonts w:ascii="Times New Roman" w:hAnsi="Times New Roman"/>
          <w:color w:val="000000" w:themeColor="text1"/>
          <w:sz w:val="16"/>
          <w:szCs w:val="16"/>
        </w:rPr>
        <w:t>. становился Горьковский автозавод, и главным конструктором по данной САУ был назначен Н.А. Астров (15218).</w:t>
      </w:r>
    </w:p>
    <w:p w14:paraId="539E5A25" w14:textId="77777777" w:rsidR="00D86EA0" w:rsidRPr="007224C3" w:rsidRDefault="00D86EA0" w:rsidP="007224C3">
      <w:pPr>
        <w:widowControl w:val="0"/>
        <w:spacing w:after="0" w:line="240" w:lineRule="auto"/>
        <w:jc w:val="both"/>
        <w:rPr>
          <w:rFonts w:ascii="Times New Roman" w:hAnsi="Times New Roman"/>
          <w:color w:val="000000" w:themeColor="text1"/>
          <w:sz w:val="16"/>
          <w:szCs w:val="16"/>
        </w:rPr>
      </w:pPr>
    </w:p>
    <w:p w14:paraId="7CF5263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1944 г. работы над отечественными противотан</w:t>
      </w:r>
      <w:r w:rsidRPr="007224C3">
        <w:rPr>
          <w:rFonts w:ascii="Times New Roman" w:hAnsi="Times New Roman"/>
          <w:color w:val="000000" w:themeColor="text1"/>
          <w:sz w:val="16"/>
          <w:szCs w:val="16"/>
        </w:rPr>
        <w:softHyphen/>
        <w:t>ковыми «гробиками», вспыхивающими в разное время в раз</w:t>
      </w:r>
      <w:r w:rsidRPr="007224C3">
        <w:rPr>
          <w:rFonts w:ascii="Times New Roman" w:hAnsi="Times New Roman"/>
          <w:color w:val="000000" w:themeColor="text1"/>
          <w:sz w:val="16"/>
          <w:szCs w:val="16"/>
        </w:rPr>
        <w:softHyphen/>
        <w:t>личных КБ, подошли к своему логическому концу. Это по</w:t>
      </w:r>
      <w:r w:rsidRPr="007224C3">
        <w:rPr>
          <w:rFonts w:ascii="Times New Roman" w:hAnsi="Times New Roman"/>
          <w:color w:val="000000" w:themeColor="text1"/>
          <w:sz w:val="16"/>
          <w:szCs w:val="16"/>
        </w:rPr>
        <w:softHyphen/>
        <w:t>нятно, так как на вооружении уже стояли танки с 85-мм пуш</w:t>
      </w:r>
      <w:r w:rsidRPr="007224C3">
        <w:rPr>
          <w:rFonts w:ascii="Times New Roman" w:hAnsi="Times New Roman"/>
          <w:color w:val="000000" w:themeColor="text1"/>
          <w:sz w:val="16"/>
          <w:szCs w:val="16"/>
        </w:rPr>
        <w:softHyphen/>
        <w:t>кой, обладавшей и большой бронепробиваемостью и сравни</w:t>
      </w:r>
      <w:r w:rsidRPr="007224C3">
        <w:rPr>
          <w:rFonts w:ascii="Times New Roman" w:hAnsi="Times New Roman"/>
          <w:color w:val="000000" w:themeColor="text1"/>
          <w:sz w:val="16"/>
          <w:szCs w:val="16"/>
        </w:rPr>
        <w:softHyphen/>
        <w:t>тельно мощным разрывным действием. А главное — острая потребность в мобилизационных машинах уже прошла.</w:t>
      </w:r>
    </w:p>
    <w:p w14:paraId="63C6FD1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 под занавес этой истории горьковчане успели создать противотанковую САУ ГАЗ-75, ставшую последним аккор</w:t>
      </w:r>
      <w:r w:rsidRPr="007224C3">
        <w:rPr>
          <w:rFonts w:ascii="Times New Roman" w:hAnsi="Times New Roman"/>
          <w:color w:val="000000" w:themeColor="text1"/>
          <w:sz w:val="16"/>
          <w:szCs w:val="16"/>
        </w:rPr>
        <w:softHyphen/>
        <w:t>дом - венцом среди советских «Хетцеров». Интересно было то, что при боевой массе около 18 т ГАЗ-75 несла лобовую броню толщиной в 60-75 мм (тогда как серийная СУ-85 -лишь 45-мм) и была вооружена таким же 85-мм орудием, как и Т-34-85. Расположение боевого отделения в середине САУ улучшало распределение массы на опорные катки и улучша</w:t>
      </w:r>
      <w:r w:rsidRPr="007224C3">
        <w:rPr>
          <w:rFonts w:ascii="Times New Roman" w:hAnsi="Times New Roman"/>
          <w:color w:val="000000" w:themeColor="text1"/>
          <w:sz w:val="16"/>
          <w:szCs w:val="16"/>
        </w:rPr>
        <w:softHyphen/>
        <w:t>ло проходимость на пересеченной местности. Машина была подвижной как на шоссе, так и на пересеченной местности. Производство отечественных дизелей ОМС началось в янва</w:t>
      </w:r>
      <w:r w:rsidRPr="007224C3">
        <w:rPr>
          <w:rFonts w:ascii="Times New Roman" w:hAnsi="Times New Roman"/>
          <w:color w:val="000000" w:themeColor="text1"/>
          <w:sz w:val="16"/>
          <w:szCs w:val="16"/>
        </w:rPr>
        <w:softHyphen/>
        <w:t>ре 1945 г., но принятие ГАЗ-75 на вооружение весной 1945 г. уже ничего не решало, и она осталась в опытном образце (11417).</w:t>
      </w:r>
    </w:p>
    <w:p w14:paraId="63E84CB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D4283A" w14:textId="77777777" w:rsidR="00D51E3B" w:rsidRPr="007224C3" w:rsidRDefault="00D51E3B" w:rsidP="007224C3">
      <w:pPr>
        <w:pStyle w:val="ae"/>
        <w:shd w:val="clear" w:color="auto" w:fill="FFFFFF"/>
        <w:spacing w:before="0" w:after="0"/>
        <w:jc w:val="both"/>
        <w:rPr>
          <w:color w:val="000000" w:themeColor="text1"/>
          <w:sz w:val="16"/>
          <w:szCs w:val="16"/>
        </w:rPr>
      </w:pPr>
      <w:r w:rsidRPr="007224C3">
        <w:rPr>
          <w:color w:val="000000" w:themeColor="text1"/>
          <w:sz w:val="16"/>
          <w:szCs w:val="16"/>
        </w:rPr>
        <w:t>В начале 1944 года СУ-76М, выпускавшиеся разными заводами, стали отличаться друг от друга. Особенно это касается САУ, выпускавшихся на ГАЗ им. Молотова. За январь-февраль здесь были введены такие изменения, как водоотводные желобки над воздухопритком, утолщённый кормовой лист, переделанные кронштейны балансиров и изменения в установке бонок для крепления различных элементов. Также велись работы по созданию полного ограждения двигателя, новых задних крюков, улучшенных снарядных укладок и переделанной защёлки задней двери. Упоминавшиеся кронштейны крепления орудия по-походному у горьковских машин тоже отличались.</w:t>
      </w:r>
    </w:p>
    <w:p w14:paraId="23181CCD" w14:textId="77777777" w:rsidR="00D51E3B" w:rsidRPr="007224C3" w:rsidRDefault="00D51E3B" w:rsidP="007224C3">
      <w:pPr>
        <w:pStyle w:val="ae"/>
        <w:shd w:val="clear" w:color="auto" w:fill="FFFFFF"/>
        <w:spacing w:before="0" w:after="0"/>
        <w:jc w:val="both"/>
        <w:rPr>
          <w:color w:val="000000" w:themeColor="text1"/>
          <w:sz w:val="16"/>
          <w:szCs w:val="16"/>
        </w:rPr>
      </w:pPr>
      <w:r w:rsidRPr="007224C3">
        <w:rPr>
          <w:color w:val="000000" w:themeColor="text1"/>
          <w:sz w:val="16"/>
          <w:szCs w:val="16"/>
        </w:rPr>
        <w:t>Наиболее заметным отличием машин из Мытищ стала поперечная перекладина, которая упрощала установку тента.</w:t>
      </w:r>
    </w:p>
    <w:p w14:paraId="6F15B53E" w14:textId="77777777" w:rsidR="00D51E3B" w:rsidRPr="007224C3" w:rsidRDefault="00D51E3B" w:rsidP="007224C3">
      <w:pPr>
        <w:pStyle w:val="ae"/>
        <w:shd w:val="clear" w:color="auto" w:fill="FFFFFF"/>
        <w:spacing w:before="0" w:after="0"/>
        <w:jc w:val="both"/>
        <w:rPr>
          <w:color w:val="000000" w:themeColor="text1"/>
          <w:sz w:val="16"/>
          <w:szCs w:val="16"/>
        </w:rPr>
      </w:pPr>
      <w:r w:rsidRPr="007224C3">
        <w:rPr>
          <w:color w:val="000000" w:themeColor="text1"/>
          <w:sz w:val="16"/>
          <w:szCs w:val="16"/>
        </w:rPr>
        <w:t>На самодеятельность с внесением изменений в конструкцию САУ обратили внимание в ГБТУ КА. В середине апреля 1944 года в ходе совещаний на заводах №38 и ГАЗ был утверждён список изменений из 24 пунктов. Помимо упоминавшихся выше переделок, в этот список попала переделка стопора по-походному. Задний стопор убирался, а передний теперь можно было снимать с водительского места. Появлялся гильзоулавливатель, но на практике его ставили только на заводе №38.</w:t>
      </w:r>
    </w:p>
    <w:p w14:paraId="2ED70462" w14:textId="77777777" w:rsidR="00D51E3B" w:rsidRPr="007224C3" w:rsidRDefault="00D51E3B" w:rsidP="007224C3">
      <w:pPr>
        <w:pStyle w:val="ae"/>
        <w:shd w:val="clear" w:color="auto" w:fill="FFFFFF"/>
        <w:spacing w:before="0" w:after="0"/>
        <w:jc w:val="both"/>
        <w:rPr>
          <w:color w:val="000000" w:themeColor="text1"/>
          <w:sz w:val="16"/>
          <w:szCs w:val="16"/>
        </w:rPr>
      </w:pPr>
      <w:r w:rsidRPr="007224C3">
        <w:rPr>
          <w:color w:val="000000" w:themeColor="text1"/>
          <w:sz w:val="16"/>
          <w:szCs w:val="16"/>
        </w:rPr>
        <w:t>Переделки планировалось вводить с мая 1944 года, но фактически появились они уже в июне. СУ-76М получила ленивцы с резиновыми бандажами, новые буферы балансиров, трёхцветную сигнализацию. Впрочем, различия между машинами разных заводов всё равно сохранялись. Каждое предприятие оснащало САУ стопорами по-походному своей конструкции. А завод №40 вносил изменения как по своему списку, так и по чертежам ГАЗ им. Молотова (17728).</w:t>
      </w:r>
    </w:p>
    <w:p w14:paraId="09CFFCFF" w14:textId="77777777" w:rsidR="00D51E3B" w:rsidRPr="007224C3" w:rsidRDefault="00D51E3B" w:rsidP="007224C3">
      <w:pPr>
        <w:spacing w:after="0" w:line="240" w:lineRule="auto"/>
        <w:jc w:val="both"/>
        <w:rPr>
          <w:rFonts w:ascii="Times New Roman" w:eastAsia="Times New Roman" w:hAnsi="Times New Roman"/>
          <w:color w:val="000000" w:themeColor="text1"/>
          <w:sz w:val="16"/>
          <w:szCs w:val="16"/>
          <w:lang w:eastAsia="ru-RU"/>
        </w:rPr>
      </w:pPr>
    </w:p>
    <w:p w14:paraId="0B296A8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1944 г. рассматривался проект установки на Су-76 85мм орудия, затем в сентябре, но был забракован по причине отсутствия двига</w:t>
      </w:r>
      <w:r w:rsidRPr="007224C3">
        <w:rPr>
          <w:rFonts w:ascii="Times New Roman" w:hAnsi="Times New Roman"/>
          <w:color w:val="000000" w:themeColor="text1"/>
          <w:sz w:val="16"/>
          <w:szCs w:val="16"/>
        </w:rPr>
        <w:softHyphen/>
        <w:t>телей и неудачной конструкции дульного тормоза, значи</w:t>
      </w:r>
      <w:r w:rsidRPr="007224C3">
        <w:rPr>
          <w:rFonts w:ascii="Times New Roman" w:hAnsi="Times New Roman"/>
          <w:color w:val="000000" w:themeColor="text1"/>
          <w:sz w:val="16"/>
          <w:szCs w:val="16"/>
        </w:rPr>
        <w:softHyphen/>
        <w:t>тельно демаскирующего машину (11417).</w:t>
      </w:r>
    </w:p>
    <w:p w14:paraId="4EE77C4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96959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1944 г. был изготовлен опытный образец ма</w:t>
      </w:r>
      <w:r w:rsidRPr="007224C3">
        <w:rPr>
          <w:rFonts w:ascii="Times New Roman" w:hAnsi="Times New Roman"/>
          <w:color w:val="000000" w:themeColor="text1"/>
          <w:sz w:val="16"/>
          <w:szCs w:val="16"/>
        </w:rPr>
        <w:softHyphen/>
        <w:t>шины ЗСУ-37 завода № 40. ЗСУ была принята на вооруже</w:t>
      </w:r>
      <w:r w:rsidRPr="007224C3">
        <w:rPr>
          <w:rFonts w:ascii="Times New Roman" w:hAnsi="Times New Roman"/>
          <w:color w:val="000000" w:themeColor="text1"/>
          <w:sz w:val="16"/>
          <w:szCs w:val="16"/>
        </w:rPr>
        <w:softHyphen/>
        <w:t>ние и в 1945 - 1948 гг. производилась на заводе № 40 в г. Мытищи Мос</w:t>
      </w:r>
      <w:r w:rsidRPr="007224C3">
        <w:rPr>
          <w:rFonts w:ascii="Times New Roman" w:hAnsi="Times New Roman"/>
          <w:color w:val="000000" w:themeColor="text1"/>
          <w:sz w:val="16"/>
          <w:szCs w:val="16"/>
        </w:rPr>
        <w:softHyphen/>
        <w:t>ковской области. В 1945 г. было изготовлено 12 машин, а всего за годы серийного производства было выпущено 75 самоходных установок ЗСУ-37 (10703).</w:t>
      </w:r>
    </w:p>
    <w:p w14:paraId="28F5A2B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71012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начала 1944 г. машины М-48 стали поступать на оснащение разведывательных рот танковых и механизированных бри</w:t>
      </w:r>
      <w:r w:rsidRPr="007224C3">
        <w:rPr>
          <w:rFonts w:ascii="Times New Roman" w:hAnsi="Times New Roman"/>
          <w:color w:val="000000" w:themeColor="text1"/>
          <w:sz w:val="16"/>
          <w:szCs w:val="16"/>
        </w:rPr>
        <w:softHyphen/>
        <w:t>гад, а позже и для формирования некоторых самоходно-ар-тиллерийских бригад танковых армий. Несмотря на то, что после войны в отношении СУ-57 распространялись преиму</w:t>
      </w:r>
      <w:r w:rsidRPr="007224C3">
        <w:rPr>
          <w:rFonts w:ascii="Times New Roman" w:hAnsi="Times New Roman"/>
          <w:color w:val="000000" w:themeColor="text1"/>
          <w:sz w:val="16"/>
          <w:szCs w:val="16"/>
        </w:rPr>
        <w:softHyphen/>
        <w:t>щественно отрицательные отзывы, при грамотном исполь</w:t>
      </w:r>
      <w:r w:rsidRPr="007224C3">
        <w:rPr>
          <w:rFonts w:ascii="Times New Roman" w:hAnsi="Times New Roman"/>
          <w:color w:val="000000" w:themeColor="text1"/>
          <w:sz w:val="16"/>
          <w:szCs w:val="16"/>
        </w:rPr>
        <w:softHyphen/>
        <w:t>зовании они показывали себя очень эффективно (11417).</w:t>
      </w:r>
    </w:p>
    <w:p w14:paraId="7447175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657C93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1944 г. первые образцы М10 поступи</w:t>
      </w:r>
      <w:r w:rsidRPr="007224C3">
        <w:rPr>
          <w:rFonts w:ascii="Times New Roman" w:hAnsi="Times New Roman"/>
          <w:color w:val="000000" w:themeColor="text1"/>
          <w:sz w:val="16"/>
          <w:szCs w:val="16"/>
        </w:rPr>
        <w:softHyphen/>
        <w:t>ли в СССР, но, после получения полусот</w:t>
      </w:r>
      <w:r w:rsidRPr="007224C3">
        <w:rPr>
          <w:rFonts w:ascii="Times New Roman" w:hAnsi="Times New Roman"/>
          <w:color w:val="000000" w:themeColor="text1"/>
          <w:sz w:val="16"/>
          <w:szCs w:val="16"/>
        </w:rPr>
        <w:softHyphen/>
        <w:t>ни указанных машин, было принято решение отказаться от их дальнейшего получения, так как никакого явного выигрыша по сравнению с танками М4А2 «Генерал Шерман» они не давали. 22 марта 1944 г. два отдельных танко</w:t>
      </w:r>
      <w:r w:rsidRPr="007224C3">
        <w:rPr>
          <w:rFonts w:ascii="Times New Roman" w:hAnsi="Times New Roman"/>
          <w:color w:val="000000" w:themeColor="text1"/>
          <w:sz w:val="16"/>
          <w:szCs w:val="16"/>
        </w:rPr>
        <w:softHyphen/>
        <w:t>вых батальона № 1223 и 1239 директивой начальника Ге</w:t>
      </w:r>
      <w:r w:rsidRPr="007224C3">
        <w:rPr>
          <w:rFonts w:ascii="Times New Roman" w:hAnsi="Times New Roman"/>
          <w:color w:val="000000" w:themeColor="text1"/>
          <w:sz w:val="16"/>
          <w:szCs w:val="16"/>
        </w:rPr>
        <w:softHyphen/>
        <w:t>нерального штаба Красной Армии № 3/306747 были пе</w:t>
      </w:r>
      <w:r w:rsidRPr="007224C3">
        <w:rPr>
          <w:rFonts w:ascii="Times New Roman" w:hAnsi="Times New Roman"/>
          <w:color w:val="000000" w:themeColor="text1"/>
          <w:sz w:val="16"/>
          <w:szCs w:val="16"/>
        </w:rPr>
        <w:softHyphen/>
        <w:t>реформированы в самоходно-артиллерийские полки тех же номеров и получили на вооружение САУ М-10 (по 21 машине на полк). Практика применения указанных полков показала, что САУ «Вульверин» проявили себя в боях как довольно удачное противотанковое средство, способное успешно бороться с немецкими танками, на малых растояниях и с тяжелыми. Но наиболее похвальными были отзывы о полученных по программе ленд-лиза зенитных самоходных установках М15 и М17. Обе были смонтированы на шасси полугусенич</w:t>
      </w:r>
      <w:r w:rsidRPr="007224C3">
        <w:rPr>
          <w:rFonts w:ascii="Times New Roman" w:hAnsi="Times New Roman"/>
          <w:color w:val="000000" w:themeColor="text1"/>
          <w:sz w:val="16"/>
          <w:szCs w:val="16"/>
        </w:rPr>
        <w:softHyphen/>
        <w:t>ных бронетранспортеров соответственно МЗ и М5 и вооруж-ны комбинированной установкой 37-мм автоматической пушки М1А2 и двух 12,7-мм пулеметов Браунинг М2, либо счетверенной установкой 12,7-мм пулеметов М2 соответственно. Эти САУ показали себя очень эффективным средством защиты танковых часией и соеди</w:t>
      </w:r>
      <w:r w:rsidRPr="007224C3">
        <w:rPr>
          <w:rFonts w:ascii="Times New Roman" w:hAnsi="Times New Roman"/>
          <w:color w:val="000000" w:themeColor="text1"/>
          <w:sz w:val="16"/>
          <w:szCs w:val="16"/>
        </w:rPr>
        <w:softHyphen/>
        <w:t>нений на марше от воздушного нападения. Кроме того, М15 и М17 успешно использовались о время боев в городах, ведя плотный огонь по верхним этажам зданий. Нелишне заметить, что указанные машины были един</w:t>
      </w:r>
      <w:r w:rsidRPr="007224C3">
        <w:rPr>
          <w:rFonts w:ascii="Times New Roman" w:hAnsi="Times New Roman"/>
          <w:color w:val="000000" w:themeColor="text1"/>
          <w:sz w:val="16"/>
          <w:szCs w:val="16"/>
        </w:rPr>
        <w:softHyphen/>
        <w:t>ственными специальными зенитными САУ, поступавшими на вооружении частей Красной Армии в ходе войны, если не считать 25-мм автоматов 72К в кузове грузовых автомо</w:t>
      </w:r>
      <w:r w:rsidRPr="007224C3">
        <w:rPr>
          <w:rFonts w:ascii="Times New Roman" w:hAnsi="Times New Roman"/>
          <w:color w:val="000000" w:themeColor="text1"/>
          <w:sz w:val="16"/>
          <w:szCs w:val="16"/>
        </w:rPr>
        <w:softHyphen/>
        <w:t>билей, выпускавшихся в 1941—1944 гг. (11417).</w:t>
      </w:r>
    </w:p>
    <w:p w14:paraId="50CEFDA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Тактико-технические характеристики штурмовых и противотанковых САУ особой мощности</w:t>
      </w:r>
    </w:p>
    <w:p w14:paraId="2FE5ABC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8D55F3" w14:textId="77777777" w:rsidR="00417D90" w:rsidRPr="007224C3" w:rsidRDefault="00417D90"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 начале 1944 года конструктор ЦАКБ А.С. Часовников, вместе с С.Д. Казариным, выходили с предложением перевооружать зарубежные танки. Вместо штатной башни ставилась башня Т-34 вместе с 85-мм пушкой. Как раз такая башня с орудием С-53 испытывалась в конце 1943 года. Среди объектов для переделки была и "Матильда". Впрочем, тогда проект даже не вышел за стадию предложения. Тем не менее, Часовников был совсем не безумным изобретателем. В ЦАКБ, которое возглавлял Грабин, этот инженер-конструктор отвечал за перевооружение танков. Так что идея была не совсем чтобы инициативной (22545).</w:t>
      </w:r>
    </w:p>
    <w:p w14:paraId="3C270FB0" w14:textId="77777777" w:rsidR="00417D90" w:rsidRPr="007224C3" w:rsidRDefault="00417D90" w:rsidP="007224C3">
      <w:pPr>
        <w:spacing w:after="0" w:line="240" w:lineRule="auto"/>
        <w:jc w:val="both"/>
        <w:rPr>
          <w:rFonts w:ascii="Times New Roman" w:hAnsi="Times New Roman"/>
          <w:color w:val="0070C0"/>
          <w:sz w:val="16"/>
          <w:szCs w:val="16"/>
        </w:rPr>
      </w:pPr>
    </w:p>
    <w:p w14:paraId="18FB253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1944 быда подготовлена справка:</w:t>
      </w:r>
    </w:p>
    <w:p w14:paraId="75D0875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 выполнении производственного плана промышленностью города за 1943 год</w:t>
      </w:r>
    </w:p>
    <w:p w14:paraId="5BE55AA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 справки Красноярского горкома ВКП (б)</w:t>
      </w:r>
    </w:p>
    <w:p w14:paraId="08D3226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 Красноярск [1943 г. ]</w:t>
      </w:r>
    </w:p>
    <w:p w14:paraId="26DC185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[…]Начатое по инициативе передовых предприятий страны Всесоюзное социалистическое соревнование охватило все предприятия и нашего города. Установление переходящего Красного Знамени исполкома горсовета и горкома ВКП (б) передовому предприятию и учреждению, городской Доски Почета придало социалистическому соревнованию еще больший размах и большую значимость.</w:t>
      </w:r>
    </w:p>
    <w:p w14:paraId="649FC28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Переходящее Красное Знамя ГКО с выдачей первых премий Наркоматов были вручены таким предприятиям города, как ПРЗ, ОСМЧ-26.</w:t>
      </w:r>
    </w:p>
    <w:p w14:paraId="5FF5F8C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Периодически получали вторые и третьи премии своих Наркоматов такие предприятия как заводы: № 703, № 863, № 4 им. Ворошилова, завод № 327, «Красный Профинтерн».</w:t>
      </w:r>
    </w:p>
    <w:p w14:paraId="7A56A8C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Начиная с мая месяца 1942 года переходящее Красное Знамя исполкома горсовета и горкома ВКП (б) присуждалось таким заводам, как: № 703, № 863, № 360, № 4 им. Ворошилова.</w:t>
      </w:r>
    </w:p>
    <w:p w14:paraId="6997135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Выполнение производственного плана всей промышленностью города за 1943 год характеризуется следующими данными: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55" w:type="dxa"/>
          <w:right w:w="55" w:type="dxa"/>
        </w:tblCellMar>
        <w:tblLook w:val="0000" w:firstRow="0" w:lastRow="0" w:firstColumn="0" w:lastColumn="0" w:noHBand="0" w:noVBand="0"/>
      </w:tblPr>
      <w:tblGrid>
        <w:gridCol w:w="645"/>
        <w:gridCol w:w="2202"/>
        <w:gridCol w:w="807"/>
        <w:gridCol w:w="807"/>
        <w:gridCol w:w="807"/>
        <w:gridCol w:w="892"/>
        <w:gridCol w:w="1187"/>
      </w:tblGrid>
      <w:tr w:rsidR="005106D0" w:rsidRPr="007224C3" w14:paraId="59DC8250" w14:textId="77777777">
        <w:tc>
          <w:tcPr>
            <w:tcW w:w="642" w:type="dxa"/>
            <w:tcBorders>
              <w:top w:val="single" w:sz="12" w:space="0" w:color="auto"/>
            </w:tcBorders>
          </w:tcPr>
          <w:p w14:paraId="63CD1005" w14:textId="77777777" w:rsidR="003712D9" w:rsidRPr="007224C3" w:rsidRDefault="003712D9" w:rsidP="007224C3">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пп</w:t>
            </w:r>
          </w:p>
        </w:tc>
        <w:tc>
          <w:tcPr>
            <w:tcW w:w="2201" w:type="dxa"/>
            <w:tcBorders>
              <w:top w:val="single" w:sz="12" w:space="0" w:color="auto"/>
            </w:tcBorders>
          </w:tcPr>
          <w:p w14:paraId="4CEC8AD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Наименование пром[ышленно]</w:t>
            </w:r>
          </w:p>
          <w:p w14:paraId="29978A6A" w14:textId="77777777" w:rsidR="003712D9" w:rsidRPr="007224C3" w:rsidRDefault="003712D9" w:rsidP="007224C3">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-сти</w:t>
            </w:r>
          </w:p>
        </w:tc>
        <w:tc>
          <w:tcPr>
            <w:tcW w:w="806" w:type="dxa"/>
            <w:tcBorders>
              <w:top w:val="single" w:sz="12" w:space="0" w:color="auto"/>
            </w:tcBorders>
          </w:tcPr>
          <w:p w14:paraId="35A5C75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I квар-т[ал]</w:t>
            </w:r>
          </w:p>
          <w:p w14:paraId="33DD55B5" w14:textId="77777777" w:rsidR="003712D9" w:rsidRPr="007224C3" w:rsidRDefault="003712D9" w:rsidP="007224C3">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p>
        </w:tc>
        <w:tc>
          <w:tcPr>
            <w:tcW w:w="806" w:type="dxa"/>
            <w:tcBorders>
              <w:top w:val="single" w:sz="12" w:space="0" w:color="auto"/>
            </w:tcBorders>
          </w:tcPr>
          <w:p w14:paraId="4D2DD952" w14:textId="77777777" w:rsidR="003712D9" w:rsidRPr="007224C3" w:rsidRDefault="003712D9" w:rsidP="007224C3">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II квар-т[ал]</w:t>
            </w:r>
          </w:p>
        </w:tc>
        <w:tc>
          <w:tcPr>
            <w:tcW w:w="806" w:type="dxa"/>
            <w:tcBorders>
              <w:top w:val="single" w:sz="12" w:space="0" w:color="auto"/>
            </w:tcBorders>
          </w:tcPr>
          <w:p w14:paraId="72F6ED16" w14:textId="77777777" w:rsidR="003712D9" w:rsidRPr="007224C3" w:rsidRDefault="003712D9" w:rsidP="007224C3">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III квар-</w:t>
            </w:r>
          </w:p>
          <w:p w14:paraId="05F25E15" w14:textId="77777777" w:rsidR="003712D9" w:rsidRPr="007224C3" w:rsidRDefault="003712D9" w:rsidP="007224C3">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т[ал]</w:t>
            </w:r>
          </w:p>
        </w:tc>
        <w:tc>
          <w:tcPr>
            <w:tcW w:w="891" w:type="dxa"/>
            <w:tcBorders>
              <w:top w:val="single" w:sz="12" w:space="0" w:color="auto"/>
            </w:tcBorders>
          </w:tcPr>
          <w:p w14:paraId="3E0FED1F" w14:textId="77777777" w:rsidR="003712D9" w:rsidRPr="007224C3" w:rsidRDefault="003712D9" w:rsidP="007224C3">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месяц</w:t>
            </w:r>
          </w:p>
        </w:tc>
        <w:tc>
          <w:tcPr>
            <w:tcW w:w="1187" w:type="dxa"/>
            <w:tcBorders>
              <w:top w:val="single" w:sz="12" w:space="0" w:color="auto"/>
            </w:tcBorders>
          </w:tcPr>
          <w:p w14:paraId="04089F86" w14:textId="77777777" w:rsidR="003712D9" w:rsidRPr="007224C3" w:rsidRDefault="003712D9" w:rsidP="007224C3">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Годового</w:t>
            </w:r>
          </w:p>
        </w:tc>
      </w:tr>
      <w:tr w:rsidR="005106D0" w:rsidRPr="007224C3" w14:paraId="579186EA" w14:textId="77777777">
        <w:tc>
          <w:tcPr>
            <w:tcW w:w="645" w:type="dxa"/>
          </w:tcPr>
          <w:p w14:paraId="7B801E76" w14:textId="77777777" w:rsidR="003712D9" w:rsidRPr="007224C3" w:rsidRDefault="003712D9" w:rsidP="007224C3">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tc>
        <w:tc>
          <w:tcPr>
            <w:tcW w:w="2202" w:type="dxa"/>
          </w:tcPr>
          <w:p w14:paraId="7D1D882E" w14:textId="77777777" w:rsidR="003712D9" w:rsidRPr="007224C3" w:rsidRDefault="003712D9" w:rsidP="007224C3">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Оборонная</w:t>
            </w:r>
          </w:p>
        </w:tc>
        <w:tc>
          <w:tcPr>
            <w:tcW w:w="807" w:type="dxa"/>
          </w:tcPr>
          <w:p w14:paraId="70FE3B87" w14:textId="77777777" w:rsidR="003712D9" w:rsidRPr="007224C3" w:rsidRDefault="003712D9" w:rsidP="007224C3">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88,2</w:t>
            </w:r>
          </w:p>
        </w:tc>
        <w:tc>
          <w:tcPr>
            <w:tcW w:w="807" w:type="dxa"/>
          </w:tcPr>
          <w:p w14:paraId="643E9CC2" w14:textId="77777777" w:rsidR="003712D9" w:rsidRPr="007224C3" w:rsidRDefault="003712D9" w:rsidP="007224C3">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102,8</w:t>
            </w:r>
          </w:p>
        </w:tc>
        <w:tc>
          <w:tcPr>
            <w:tcW w:w="807" w:type="dxa"/>
          </w:tcPr>
          <w:p w14:paraId="51109BE9" w14:textId="77777777" w:rsidR="003712D9" w:rsidRPr="007224C3" w:rsidRDefault="003712D9" w:rsidP="007224C3">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104,4</w:t>
            </w:r>
          </w:p>
        </w:tc>
        <w:tc>
          <w:tcPr>
            <w:tcW w:w="892" w:type="dxa"/>
          </w:tcPr>
          <w:p w14:paraId="053A26E5" w14:textId="77777777" w:rsidR="003712D9" w:rsidRPr="007224C3" w:rsidRDefault="003712D9" w:rsidP="007224C3">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102,4</w:t>
            </w:r>
          </w:p>
        </w:tc>
        <w:tc>
          <w:tcPr>
            <w:tcW w:w="1179" w:type="dxa"/>
          </w:tcPr>
          <w:p w14:paraId="22F2CC3A" w14:textId="77777777" w:rsidR="003712D9" w:rsidRPr="007224C3" w:rsidRDefault="003712D9" w:rsidP="007224C3">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92,6</w:t>
            </w:r>
          </w:p>
        </w:tc>
      </w:tr>
      <w:tr w:rsidR="005106D0" w:rsidRPr="007224C3" w14:paraId="0087094A" w14:textId="77777777">
        <w:tc>
          <w:tcPr>
            <w:tcW w:w="645" w:type="dxa"/>
          </w:tcPr>
          <w:p w14:paraId="04F1A18B" w14:textId="77777777" w:rsidR="003712D9" w:rsidRPr="007224C3" w:rsidRDefault="003712D9" w:rsidP="007224C3">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tc>
        <w:tc>
          <w:tcPr>
            <w:tcW w:w="2202" w:type="dxa"/>
          </w:tcPr>
          <w:p w14:paraId="44CEFF81" w14:textId="77777777" w:rsidR="003712D9" w:rsidRPr="007224C3" w:rsidRDefault="003712D9" w:rsidP="007224C3">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Союзная</w:t>
            </w:r>
          </w:p>
        </w:tc>
        <w:tc>
          <w:tcPr>
            <w:tcW w:w="807" w:type="dxa"/>
          </w:tcPr>
          <w:p w14:paraId="542CBF92" w14:textId="77777777" w:rsidR="003712D9" w:rsidRPr="007224C3" w:rsidRDefault="003712D9" w:rsidP="007224C3">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90,0</w:t>
            </w:r>
          </w:p>
        </w:tc>
        <w:tc>
          <w:tcPr>
            <w:tcW w:w="807" w:type="dxa"/>
          </w:tcPr>
          <w:p w14:paraId="53BE175C" w14:textId="77777777" w:rsidR="003712D9" w:rsidRPr="007224C3" w:rsidRDefault="003712D9" w:rsidP="007224C3">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95,0</w:t>
            </w:r>
          </w:p>
        </w:tc>
        <w:tc>
          <w:tcPr>
            <w:tcW w:w="807" w:type="dxa"/>
          </w:tcPr>
          <w:p w14:paraId="3E92FDA9" w14:textId="77777777" w:rsidR="003712D9" w:rsidRPr="007224C3" w:rsidRDefault="003712D9" w:rsidP="007224C3">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101,4</w:t>
            </w:r>
          </w:p>
        </w:tc>
        <w:tc>
          <w:tcPr>
            <w:tcW w:w="892" w:type="dxa"/>
          </w:tcPr>
          <w:p w14:paraId="281A230C" w14:textId="77777777" w:rsidR="003712D9" w:rsidRPr="007224C3" w:rsidRDefault="003712D9" w:rsidP="007224C3">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97,4</w:t>
            </w:r>
          </w:p>
        </w:tc>
        <w:tc>
          <w:tcPr>
            <w:tcW w:w="1179" w:type="dxa"/>
          </w:tcPr>
          <w:p w14:paraId="0DBF575B" w14:textId="77777777" w:rsidR="003712D9" w:rsidRPr="007224C3" w:rsidRDefault="003712D9" w:rsidP="007224C3">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87,3</w:t>
            </w:r>
          </w:p>
        </w:tc>
      </w:tr>
      <w:tr w:rsidR="005106D0" w:rsidRPr="007224C3" w14:paraId="1E7EAE0E" w14:textId="77777777">
        <w:tc>
          <w:tcPr>
            <w:tcW w:w="645" w:type="dxa"/>
          </w:tcPr>
          <w:p w14:paraId="577C1D72" w14:textId="77777777" w:rsidR="003712D9" w:rsidRPr="007224C3" w:rsidRDefault="003712D9" w:rsidP="007224C3">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tc>
        <w:tc>
          <w:tcPr>
            <w:tcW w:w="2202" w:type="dxa"/>
          </w:tcPr>
          <w:p w14:paraId="4F8275C8" w14:textId="77777777" w:rsidR="003712D9" w:rsidRPr="007224C3" w:rsidRDefault="003712D9" w:rsidP="007224C3">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Республиканская</w:t>
            </w:r>
          </w:p>
        </w:tc>
        <w:tc>
          <w:tcPr>
            <w:tcW w:w="807" w:type="dxa"/>
          </w:tcPr>
          <w:p w14:paraId="5AED5704" w14:textId="77777777" w:rsidR="003712D9" w:rsidRPr="007224C3" w:rsidRDefault="003712D9" w:rsidP="007224C3">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107,9</w:t>
            </w:r>
          </w:p>
        </w:tc>
        <w:tc>
          <w:tcPr>
            <w:tcW w:w="807" w:type="dxa"/>
          </w:tcPr>
          <w:p w14:paraId="5E301ABB" w14:textId="77777777" w:rsidR="003712D9" w:rsidRPr="007224C3" w:rsidRDefault="003712D9" w:rsidP="007224C3">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89,7</w:t>
            </w:r>
          </w:p>
        </w:tc>
        <w:tc>
          <w:tcPr>
            <w:tcW w:w="807" w:type="dxa"/>
          </w:tcPr>
          <w:p w14:paraId="767E4F72" w14:textId="77777777" w:rsidR="003712D9" w:rsidRPr="007224C3" w:rsidRDefault="003712D9" w:rsidP="007224C3">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109,3</w:t>
            </w:r>
          </w:p>
        </w:tc>
        <w:tc>
          <w:tcPr>
            <w:tcW w:w="892" w:type="dxa"/>
          </w:tcPr>
          <w:p w14:paraId="66BACE9C" w14:textId="77777777" w:rsidR="003712D9" w:rsidRPr="007224C3" w:rsidRDefault="003712D9" w:rsidP="007224C3">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101,1</w:t>
            </w:r>
          </w:p>
        </w:tc>
        <w:tc>
          <w:tcPr>
            <w:tcW w:w="1179" w:type="dxa"/>
          </w:tcPr>
          <w:p w14:paraId="27951CCD" w14:textId="77777777" w:rsidR="003712D9" w:rsidRPr="007224C3" w:rsidRDefault="003712D9" w:rsidP="007224C3">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94,6</w:t>
            </w:r>
          </w:p>
        </w:tc>
      </w:tr>
      <w:tr w:rsidR="005106D0" w:rsidRPr="007224C3" w14:paraId="4608E1D9" w14:textId="77777777">
        <w:tc>
          <w:tcPr>
            <w:tcW w:w="645" w:type="dxa"/>
          </w:tcPr>
          <w:p w14:paraId="7CE810CB" w14:textId="77777777" w:rsidR="003712D9" w:rsidRPr="007224C3" w:rsidRDefault="003712D9" w:rsidP="007224C3">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w:t>
            </w:r>
          </w:p>
        </w:tc>
        <w:tc>
          <w:tcPr>
            <w:tcW w:w="2202" w:type="dxa"/>
          </w:tcPr>
          <w:p w14:paraId="6DD94769" w14:textId="77777777" w:rsidR="003712D9" w:rsidRPr="007224C3" w:rsidRDefault="003712D9" w:rsidP="007224C3">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Краевая</w:t>
            </w:r>
          </w:p>
        </w:tc>
        <w:tc>
          <w:tcPr>
            <w:tcW w:w="807" w:type="dxa"/>
          </w:tcPr>
          <w:p w14:paraId="4395772A" w14:textId="77777777" w:rsidR="003712D9" w:rsidRPr="007224C3" w:rsidRDefault="003712D9" w:rsidP="007224C3">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82,7</w:t>
            </w:r>
          </w:p>
        </w:tc>
        <w:tc>
          <w:tcPr>
            <w:tcW w:w="807" w:type="dxa"/>
          </w:tcPr>
          <w:p w14:paraId="58094F03" w14:textId="77777777" w:rsidR="003712D9" w:rsidRPr="007224C3" w:rsidRDefault="003712D9" w:rsidP="007224C3">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101,1</w:t>
            </w:r>
          </w:p>
        </w:tc>
        <w:tc>
          <w:tcPr>
            <w:tcW w:w="807" w:type="dxa"/>
          </w:tcPr>
          <w:p w14:paraId="78290E3D" w14:textId="77777777" w:rsidR="003712D9" w:rsidRPr="007224C3" w:rsidRDefault="003712D9" w:rsidP="007224C3">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86,8</w:t>
            </w:r>
          </w:p>
        </w:tc>
        <w:tc>
          <w:tcPr>
            <w:tcW w:w="892" w:type="dxa"/>
          </w:tcPr>
          <w:p w14:paraId="5A14266E" w14:textId="77777777" w:rsidR="003712D9" w:rsidRPr="007224C3" w:rsidRDefault="003712D9" w:rsidP="007224C3">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95,9</w:t>
            </w:r>
          </w:p>
        </w:tc>
        <w:tc>
          <w:tcPr>
            <w:tcW w:w="1179" w:type="dxa"/>
          </w:tcPr>
          <w:p w14:paraId="521335EF" w14:textId="77777777" w:rsidR="003712D9" w:rsidRPr="007224C3" w:rsidRDefault="003712D9" w:rsidP="007224C3">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88,1</w:t>
            </w:r>
          </w:p>
        </w:tc>
      </w:tr>
      <w:tr w:rsidR="005106D0" w:rsidRPr="007224C3" w14:paraId="0D0ED2D4" w14:textId="77777777">
        <w:tc>
          <w:tcPr>
            <w:tcW w:w="645" w:type="dxa"/>
          </w:tcPr>
          <w:p w14:paraId="5DCD1B5F" w14:textId="77777777" w:rsidR="003712D9" w:rsidRPr="007224C3" w:rsidRDefault="003712D9" w:rsidP="007224C3">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tc>
        <w:tc>
          <w:tcPr>
            <w:tcW w:w="2202" w:type="dxa"/>
          </w:tcPr>
          <w:p w14:paraId="209FE7AD" w14:textId="77777777" w:rsidR="003712D9" w:rsidRPr="007224C3" w:rsidRDefault="003712D9" w:rsidP="007224C3">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Городская</w:t>
            </w:r>
          </w:p>
        </w:tc>
        <w:tc>
          <w:tcPr>
            <w:tcW w:w="807" w:type="dxa"/>
          </w:tcPr>
          <w:p w14:paraId="31879B5C" w14:textId="77777777" w:rsidR="003712D9" w:rsidRPr="007224C3" w:rsidRDefault="003712D9" w:rsidP="007224C3">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91,3</w:t>
            </w:r>
          </w:p>
        </w:tc>
        <w:tc>
          <w:tcPr>
            <w:tcW w:w="807" w:type="dxa"/>
          </w:tcPr>
          <w:p w14:paraId="3A5FE526" w14:textId="77777777" w:rsidR="003712D9" w:rsidRPr="007224C3" w:rsidRDefault="003712D9" w:rsidP="007224C3">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111,1</w:t>
            </w:r>
          </w:p>
        </w:tc>
        <w:tc>
          <w:tcPr>
            <w:tcW w:w="807" w:type="dxa"/>
          </w:tcPr>
          <w:p w14:paraId="0BE6BCA6" w14:textId="77777777" w:rsidR="003712D9" w:rsidRPr="007224C3" w:rsidRDefault="003712D9" w:rsidP="007224C3">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114,8</w:t>
            </w:r>
          </w:p>
        </w:tc>
        <w:tc>
          <w:tcPr>
            <w:tcW w:w="892" w:type="dxa"/>
          </w:tcPr>
          <w:p w14:paraId="2DDFD79D" w14:textId="77777777" w:rsidR="003712D9" w:rsidRPr="007224C3" w:rsidRDefault="003712D9" w:rsidP="007224C3">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100,5</w:t>
            </w:r>
          </w:p>
        </w:tc>
        <w:tc>
          <w:tcPr>
            <w:tcW w:w="1179" w:type="dxa"/>
          </w:tcPr>
          <w:p w14:paraId="7F5F7B6C" w14:textId="77777777" w:rsidR="003712D9" w:rsidRPr="007224C3" w:rsidRDefault="003712D9" w:rsidP="007224C3">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95,2</w:t>
            </w:r>
          </w:p>
        </w:tc>
      </w:tr>
      <w:tr w:rsidR="005106D0" w:rsidRPr="007224C3" w14:paraId="5B64DD91" w14:textId="77777777">
        <w:tc>
          <w:tcPr>
            <w:tcW w:w="645" w:type="dxa"/>
            <w:tcBorders>
              <w:bottom w:val="single" w:sz="12" w:space="0" w:color="auto"/>
            </w:tcBorders>
          </w:tcPr>
          <w:p w14:paraId="0CBAB469" w14:textId="77777777" w:rsidR="003712D9" w:rsidRPr="007224C3" w:rsidRDefault="003712D9" w:rsidP="007224C3">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p>
        </w:tc>
        <w:tc>
          <w:tcPr>
            <w:tcW w:w="2202" w:type="dxa"/>
            <w:tcBorders>
              <w:bottom w:val="single" w:sz="12" w:space="0" w:color="auto"/>
            </w:tcBorders>
          </w:tcPr>
          <w:p w14:paraId="71A7C5C1" w14:textId="77777777" w:rsidR="003712D9" w:rsidRPr="007224C3" w:rsidRDefault="003712D9" w:rsidP="007224C3">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Вся промышленность</w:t>
            </w:r>
          </w:p>
        </w:tc>
        <w:tc>
          <w:tcPr>
            <w:tcW w:w="807" w:type="dxa"/>
            <w:tcBorders>
              <w:bottom w:val="single" w:sz="12" w:space="0" w:color="auto"/>
            </w:tcBorders>
          </w:tcPr>
          <w:p w14:paraId="4C5A845C" w14:textId="77777777" w:rsidR="003712D9" w:rsidRPr="007224C3" w:rsidRDefault="003712D9" w:rsidP="007224C3">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88,5</w:t>
            </w:r>
          </w:p>
        </w:tc>
        <w:tc>
          <w:tcPr>
            <w:tcW w:w="807" w:type="dxa"/>
            <w:tcBorders>
              <w:bottom w:val="single" w:sz="12" w:space="0" w:color="auto"/>
            </w:tcBorders>
          </w:tcPr>
          <w:p w14:paraId="47949204" w14:textId="77777777" w:rsidR="003712D9" w:rsidRPr="007224C3" w:rsidRDefault="003712D9" w:rsidP="007224C3">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101,8</w:t>
            </w:r>
          </w:p>
        </w:tc>
        <w:tc>
          <w:tcPr>
            <w:tcW w:w="807" w:type="dxa"/>
            <w:tcBorders>
              <w:bottom w:val="single" w:sz="12" w:space="0" w:color="auto"/>
            </w:tcBorders>
          </w:tcPr>
          <w:p w14:paraId="29B28011" w14:textId="77777777" w:rsidR="003712D9" w:rsidRPr="007224C3" w:rsidRDefault="003712D9" w:rsidP="007224C3">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103,9</w:t>
            </w:r>
          </w:p>
        </w:tc>
        <w:tc>
          <w:tcPr>
            <w:tcW w:w="892" w:type="dxa"/>
            <w:tcBorders>
              <w:bottom w:val="single" w:sz="12" w:space="0" w:color="auto"/>
            </w:tcBorders>
          </w:tcPr>
          <w:p w14:paraId="3FE7D322" w14:textId="77777777" w:rsidR="003712D9" w:rsidRPr="007224C3" w:rsidRDefault="003712D9" w:rsidP="007224C3">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102,0</w:t>
            </w:r>
          </w:p>
        </w:tc>
        <w:tc>
          <w:tcPr>
            <w:tcW w:w="1179" w:type="dxa"/>
            <w:tcBorders>
              <w:bottom w:val="single" w:sz="12" w:space="0" w:color="auto"/>
            </w:tcBorders>
          </w:tcPr>
          <w:p w14:paraId="3B9B99B7" w14:textId="77777777" w:rsidR="003712D9" w:rsidRPr="007224C3" w:rsidRDefault="003712D9" w:rsidP="007224C3">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92,1</w:t>
            </w:r>
          </w:p>
        </w:tc>
      </w:tr>
    </w:tbl>
    <w:p w14:paraId="4794E695" w14:textId="77777777" w:rsidR="003712D9" w:rsidRPr="007224C3" w:rsidRDefault="003712D9" w:rsidP="007224C3">
      <w:pPr>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Cs/>
          <w:color w:val="000000" w:themeColor="text1"/>
          <w:sz w:val="16"/>
          <w:szCs w:val="16"/>
        </w:rPr>
        <w:t>ГАКК. Ф.П-17. Оп.1. Д.736. Л.5. Подлинник. Машинопись (11836).</w:t>
      </w:r>
    </w:p>
    <w:p w14:paraId="365EB2FA" w14:textId="77777777" w:rsidR="003712D9" w:rsidRPr="007224C3" w:rsidRDefault="003712D9" w:rsidP="007224C3">
      <w:pPr>
        <w:tabs>
          <w:tab w:val="left" w:pos="684"/>
        </w:tabs>
        <w:autoSpaceDE w:val="0"/>
        <w:autoSpaceDN w:val="0"/>
        <w:adjustRightInd w:val="0"/>
        <w:spacing w:after="0" w:line="240" w:lineRule="auto"/>
        <w:jc w:val="both"/>
        <w:rPr>
          <w:rFonts w:ascii="Times New Roman" w:hAnsi="Times New Roman"/>
          <w:color w:val="000000" w:themeColor="text1"/>
          <w:sz w:val="16"/>
          <w:szCs w:val="16"/>
        </w:rPr>
      </w:pPr>
    </w:p>
    <w:p w14:paraId="6A04FA4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1944 ЗИС построил опытный 12 местный БТР Б-3 (АТ-5) с макетным бронированием (котельная сталь 6-16 мм), вооруженный ДШК на открытой турели на полугусеничном шасси. Испытывался на НИБТ полигоне дало отрицательные результаты из-за низкой надежности агрегатов (9624).</w:t>
      </w:r>
    </w:p>
    <w:p w14:paraId="5C0297B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830F1C" w14:textId="77777777" w:rsidR="00D86EA0" w:rsidRPr="007224C3" w:rsidRDefault="00D86E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 начале 1944 г. в СССР прибыла миссия США во главе с м-р Эллисом. Совет по радиолокации организовывал его ознакомление с рядом советских предприятий, что видно из следующего письма: </w:t>
      </w:r>
      <w:r w:rsidRPr="007224C3">
        <w:rPr>
          <w:rFonts w:ascii="Times New Roman" w:hAnsi="Times New Roman"/>
          <w:iCs/>
          <w:color w:val="000000" w:themeColor="text1"/>
          <w:sz w:val="16"/>
          <w:szCs w:val="16"/>
        </w:rPr>
        <w:t>«Совет по радиолокации при ГКО</w:t>
      </w:r>
    </w:p>
    <w:p w14:paraId="40E797E3" w14:textId="77777777" w:rsidR="00D86EA0" w:rsidRPr="007224C3" w:rsidRDefault="00D86E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iCs/>
          <w:color w:val="000000" w:themeColor="text1"/>
          <w:sz w:val="16"/>
          <w:szCs w:val="16"/>
        </w:rPr>
        <w:t>30 апреля 1944, №№ 0448, 0449, 0450, 0451, 0452, 0453, 0454, 0455</w:t>
      </w:r>
    </w:p>
    <w:p w14:paraId="0FBABCD4" w14:textId="77777777" w:rsidR="00D86EA0" w:rsidRPr="007224C3" w:rsidRDefault="00D86E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iCs/>
          <w:color w:val="000000" w:themeColor="text1"/>
          <w:sz w:val="16"/>
          <w:szCs w:val="16"/>
        </w:rPr>
        <w:t>Народному комиссару электропромышленности КАБАНОВУ</w:t>
      </w:r>
    </w:p>
    <w:p w14:paraId="09EAD0EF" w14:textId="77777777" w:rsidR="00D86EA0" w:rsidRPr="007224C3" w:rsidRDefault="00D86E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iCs/>
          <w:color w:val="000000" w:themeColor="text1"/>
          <w:sz w:val="16"/>
          <w:szCs w:val="16"/>
        </w:rPr>
        <w:t>Направляется:</w:t>
      </w:r>
    </w:p>
    <w:p w14:paraId="105E11FB" w14:textId="77777777" w:rsidR="00D86EA0" w:rsidRPr="007224C3" w:rsidRDefault="00D86E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iCs/>
          <w:color w:val="000000" w:themeColor="text1"/>
          <w:sz w:val="16"/>
          <w:szCs w:val="16"/>
        </w:rPr>
        <w:t>а) Докладная записка о пребывании м-ра Эллиса.</w:t>
      </w:r>
    </w:p>
    <w:p w14:paraId="03E483A8" w14:textId="77777777" w:rsidR="00D86EA0" w:rsidRPr="007224C3" w:rsidRDefault="00D86E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iCs/>
          <w:color w:val="000000" w:themeColor="text1"/>
          <w:sz w:val="16"/>
          <w:szCs w:val="16"/>
        </w:rPr>
        <w:t>б) Докладная записка о посещении м-ром Эллисом НИИ-10 в Москве.</w:t>
      </w:r>
    </w:p>
    <w:p w14:paraId="709B83B8" w14:textId="77777777" w:rsidR="00D86EA0" w:rsidRPr="007224C3" w:rsidRDefault="00D86E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iCs/>
          <w:color w:val="000000" w:themeColor="text1"/>
          <w:sz w:val="16"/>
          <w:szCs w:val="16"/>
        </w:rPr>
        <w:t>в) Краткое содержание сообщения м-ра Эллиса по радиолокационной аппаратуре во время переговоров на заводе № 339.</w:t>
      </w:r>
    </w:p>
    <w:p w14:paraId="191912D2" w14:textId="77777777" w:rsidR="00D86EA0" w:rsidRPr="007224C3" w:rsidRDefault="00D86E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iCs/>
          <w:color w:val="000000" w:themeColor="text1"/>
          <w:sz w:val="16"/>
          <w:szCs w:val="16"/>
        </w:rPr>
        <w:t>г) Краткое содержание доклада на тему «История развития и современного военные приложения радиолокации».</w:t>
      </w:r>
    </w:p>
    <w:p w14:paraId="71F3C832" w14:textId="77777777" w:rsidR="00D86EA0" w:rsidRPr="007224C3" w:rsidRDefault="00D86E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iCs/>
          <w:color w:val="000000" w:themeColor="text1"/>
          <w:sz w:val="16"/>
          <w:szCs w:val="16"/>
        </w:rPr>
        <w:t>д) Краткое содержание доклада на тему «Радиопромышленность США, ее история и состояние в мирное и военное время».</w:t>
      </w:r>
    </w:p>
    <w:p w14:paraId="30541210" w14:textId="77777777" w:rsidR="00D86EA0" w:rsidRPr="007224C3" w:rsidRDefault="00D86E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iCs/>
          <w:color w:val="000000" w:themeColor="text1"/>
          <w:sz w:val="16"/>
          <w:szCs w:val="16"/>
        </w:rPr>
        <w:t>е) Краткое содержание доклада на тему «Обзор общего размаха военного производства в США».</w:t>
      </w:r>
    </w:p>
    <w:p w14:paraId="2445B8DF" w14:textId="77777777" w:rsidR="00D86EA0" w:rsidRPr="007224C3" w:rsidRDefault="00D86E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iCs/>
          <w:color w:val="000000" w:themeColor="text1"/>
          <w:sz w:val="16"/>
          <w:szCs w:val="16"/>
        </w:rPr>
        <w:t>ж) Отчет о посещении м-ром Эллисом завода № 617.</w:t>
      </w:r>
    </w:p>
    <w:p w14:paraId="21D1FA50" w14:textId="77777777" w:rsidR="00D86EA0" w:rsidRPr="007224C3" w:rsidRDefault="00D86E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iCs/>
          <w:color w:val="000000" w:themeColor="text1"/>
          <w:sz w:val="16"/>
          <w:szCs w:val="16"/>
        </w:rPr>
        <w:t>г) Протокол совещания на заводе № 208 с м-ром Эллисом.</w:t>
      </w:r>
    </w:p>
    <w:p w14:paraId="0F7C847D" w14:textId="77777777" w:rsidR="00D86EA0" w:rsidRPr="007224C3" w:rsidRDefault="00D86E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iCs/>
          <w:color w:val="000000" w:themeColor="text1"/>
          <w:sz w:val="16"/>
          <w:szCs w:val="16"/>
        </w:rPr>
        <w:t>Заместитель председателя Совета инженер-вице-адмирал БЕРГ».</w:t>
      </w:r>
    </w:p>
    <w:p w14:paraId="36F37671" w14:textId="77777777" w:rsidR="00D86EA0" w:rsidRPr="007224C3" w:rsidRDefault="00D86E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Делегацию сопровождал И.С. Джигит, и перечисленные в письме документы составлены им. В НИИ-10. Были продемонстрированы образцы отечественных магнетронов, на заводе № 339 НКАП – производство радиолокационных станций «Пегматит» (15736).</w:t>
      </w:r>
    </w:p>
    <w:p w14:paraId="3513AE62" w14:textId="77777777" w:rsidR="00D86EA0" w:rsidRPr="007224C3" w:rsidRDefault="00D86EA0" w:rsidP="007224C3">
      <w:pPr>
        <w:spacing w:after="0" w:line="240" w:lineRule="auto"/>
        <w:jc w:val="both"/>
        <w:rPr>
          <w:rFonts w:ascii="Times New Roman" w:hAnsi="Times New Roman"/>
          <w:color w:val="000000" w:themeColor="text1"/>
          <w:sz w:val="16"/>
          <w:szCs w:val="16"/>
        </w:rPr>
      </w:pPr>
    </w:p>
    <w:p w14:paraId="4F15BD9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1944 года А.И. Алиханов, по-видимому, впервые в СССР рассмотрел вопрос о возможности создания средств противодействия атомному оружию. В записке от 4 января 1944 года, представленной И.В. Курчатову, в качестве такого способа он предлагал облучение атомного заряда, работающего на принципе сближения, сильным потоком нейтронов, что вызовет преждевременное нейтронное инициирование заряда и снижение его энерговыделения на несколько порядков. В записке отмечается, что в атомной бомбе могут быть предприняты специальные меры защиты от такого воздействия - в виде окружения бомбы слоем богатого водородом вещества или при нахождении бомбы в грунте на глубине нескольких метров (10549).</w:t>
      </w:r>
    </w:p>
    <w:p w14:paraId="101646F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41ACF25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1944 года предполагалось ускорение работ по производству металлического урана (до 500 кг к концу года) (10549).</w:t>
      </w:r>
    </w:p>
    <w:p w14:paraId="22D96BB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0A0708B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1944 были разработаны рабочие чертежи и к началу навигации на Волге на бронекатере проекта 1124 было установлено устройство для воздушной смазки К.К.Федяевского. В обшивке днища в плоскости одного из носовых шпангоутов прорезали щели и подавали по ним сжатый воздух. Скорость - снизилась, т.к. винты работали в водо-воздушной смеси (4305,36).</w:t>
      </w:r>
    </w:p>
    <w:p w14:paraId="4AE6A3F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0D2CC66C"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09C4DD9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076118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1944 г. советские войска вышли на южном участке фронта к границе с Румынией, но в конце апреля наступление 5-й и 7-й гвардей</w:t>
      </w:r>
      <w:r w:rsidRPr="007224C3">
        <w:rPr>
          <w:rFonts w:ascii="Times New Roman" w:hAnsi="Times New Roman"/>
          <w:color w:val="000000" w:themeColor="text1"/>
          <w:sz w:val="16"/>
          <w:szCs w:val="16"/>
        </w:rPr>
        <w:softHyphen/>
        <w:t>ских танковых армий было остановлено. Этому способствовали и действия люфтваффе, значи</w:t>
      </w:r>
      <w:r w:rsidRPr="007224C3">
        <w:rPr>
          <w:rFonts w:ascii="Times New Roman" w:hAnsi="Times New Roman"/>
          <w:color w:val="000000" w:themeColor="text1"/>
          <w:sz w:val="16"/>
          <w:szCs w:val="16"/>
        </w:rPr>
        <w:softHyphen/>
        <w:t>тельные силы которых противник сосредоточил на угрожающем направлении. Ежесуточно немцы выполняли вдвое больше самолето-вылетов, чем противостоявшая им 5-я ВА. Советское командо</w:t>
      </w:r>
      <w:r w:rsidRPr="007224C3">
        <w:rPr>
          <w:rFonts w:ascii="Times New Roman" w:hAnsi="Times New Roman"/>
          <w:color w:val="000000" w:themeColor="text1"/>
          <w:sz w:val="16"/>
          <w:szCs w:val="16"/>
        </w:rPr>
        <w:softHyphen/>
        <w:t>вание, стремясь изменить создавшееся положе</w:t>
      </w:r>
      <w:r w:rsidRPr="007224C3">
        <w:rPr>
          <w:rFonts w:ascii="Times New Roman" w:hAnsi="Times New Roman"/>
          <w:color w:val="000000" w:themeColor="text1"/>
          <w:sz w:val="16"/>
          <w:szCs w:val="16"/>
        </w:rPr>
        <w:softHyphen/>
        <w:t>ние, провело пополнение частей этой армии, а также приданных ей 4-го и 7-го ИАК РВГК. При</w:t>
      </w:r>
      <w:r w:rsidRPr="007224C3">
        <w:rPr>
          <w:rFonts w:ascii="Times New Roman" w:hAnsi="Times New Roman"/>
          <w:color w:val="000000" w:themeColor="text1"/>
          <w:sz w:val="16"/>
          <w:szCs w:val="16"/>
        </w:rPr>
        <w:softHyphen/>
        <w:t>чем процент самолетов типа Ла-5 увеличился. Так, на 1 мая в полках 7-го ИАК было 71 Як-1/Як-7 и 50 Ла-5, а 1 июня уже 91 Як-1/Як-7 и 118 Ла-5 (11123).</w:t>
      </w:r>
    </w:p>
    <w:p w14:paraId="2C8BEEF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5B620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1944 две ФАБ-5000 сбросили с Пе-8 (ТБ-7) на Хельсинки (1103,118).</w:t>
      </w:r>
    </w:p>
    <w:p w14:paraId="3FCCA0C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3FC968" w14:textId="77777777" w:rsidR="0018364B" w:rsidRPr="007224C3" w:rsidRDefault="0018364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начало 1944 года бомбардировщики Пе-8 состояли на вооружении в 25-м гв. АПДД (гвардейский авиационный полк дальнего действия), бывший 746-й АПДД, и в 890-м АПДД. Оба полка входили в состав 45-ой авиационной дивизии даль</w:t>
      </w:r>
      <w:r w:rsidRPr="007224C3">
        <w:rPr>
          <w:rFonts w:ascii="Times New Roman" w:hAnsi="Times New Roman"/>
          <w:color w:val="000000" w:themeColor="text1"/>
          <w:sz w:val="16"/>
          <w:szCs w:val="16"/>
        </w:rPr>
        <w:softHyphen/>
        <w:t>него действия. Полки базировались на подмосковном аэродроме Кратово. В январе 1944 года было решено сформировать третий авиаполк, вооруженный бомбардировщиками Пе-8. Он также вошел в состав 45-й авиационной дивизии дальнего действия и получил номер 562. Тогда же из состава 25-го гв. АПДД и 890-го АПДД были выведены и переданы в 562-й АПДД четыре Пе-8 с заводскими номерами 4221,42099,42510 и 42610, для обучения личного состава нового палка. Однако позже, весной 1944 года, в связи с прекращением производства Пе-8, вооружение полка бомбардировщиками Пе-8 отменили, а пере</w:t>
      </w:r>
      <w:r w:rsidRPr="007224C3">
        <w:rPr>
          <w:rFonts w:ascii="Times New Roman" w:hAnsi="Times New Roman"/>
          <w:color w:val="000000" w:themeColor="text1"/>
          <w:sz w:val="16"/>
          <w:szCs w:val="16"/>
        </w:rPr>
        <w:softHyphen/>
        <w:t>данные бомбардировщики вернули прежним владельцам. Полк решили вооружить бомбардировщиками 8-25. На переданных четырех Пе-8 полк боевых вылетов не совершал (19559).</w:t>
      </w:r>
    </w:p>
    <w:p w14:paraId="321E6496" w14:textId="77777777" w:rsidR="0018364B" w:rsidRPr="007224C3" w:rsidRDefault="0018364B" w:rsidP="007224C3">
      <w:pPr>
        <w:spacing w:after="0" w:line="240" w:lineRule="auto"/>
        <w:jc w:val="both"/>
        <w:rPr>
          <w:rFonts w:ascii="Times New Roman" w:hAnsi="Times New Roman"/>
          <w:color w:val="000000" w:themeColor="text1"/>
          <w:sz w:val="16"/>
          <w:szCs w:val="16"/>
        </w:rPr>
      </w:pPr>
    </w:p>
    <w:p w14:paraId="5305A51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началу 1944 г. в "ведомстве" Голованова - АДД на Ли-2 воевали 5-й авиакорпус, одна дивизия 6-го и две дивизии 7-го корпусов - в общей сложности 10 полков. Доля Ли-2 среди "дальников" осталась значительной и после того, как 6 декабря 1944 г. АДД была реорганизована в 18-ю воздушную армию, которую вернули в ВВС (3772).</w:t>
      </w:r>
    </w:p>
    <w:p w14:paraId="1A9BFC1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23AF5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1944 г. в 25-й ЗИАП (запасной истребительный авиаполк) поступили "Харрикейны"IID КХ140, 167, 169, 231, 233, 293, 297, 300, 415, 420, 461, 462. 468, 864, HW722, 724, KW773, 777 и PS444, 790. Все полученные истребители были оснащены моторами "Мерлин"ХХ с противопылевыми фильтрами и 40-мм пушками "Виккерс" S. Таким образом, из 60 обещанных "Харрикейнов"1Ю в строевые части советских ВВС поступили только 46 самолетов. [СССР получил несколько десятков самолетов "Харрикейн" MK.IV, в состав альтернативного (сменного) вооружения которых также входили 40-мм пушки]. Кроме того, один или два экземпляра испытывались в НИИ ВВС. К моменту прибытия "Харрикейнов" IID в 25-й ЗИАП изменилась система подготовки кадров для ВВС Вместо целых полков, отзывавшихся с фронта, стали готовить лишь отдельные экипажи для пополнения. Но "чудо-оружие" для пущего эффекта решено было применить массированно, а не распылять по разным частям. Перст судьбы явственно указывал на последний, случайно задержавшийся в 25-м истребительный авиаполк. 246-й ИАП имел биографию честную, но запутанную, как жизнь побочного сына августейшей особы. Даже местный "особист" отчаялся разобраться во всех поворотах его судьбы и согласился, что "полк имеет документы только с 27.10.1941 г." Именно тогда полк, сформированный вначале как 295-й ИАП, по устному приказу начальника Учебно-тренировочного центра ВВС Южного фронта полковника Комлева обменялся номером, печатью и штампами с 246-м ИАП [246-й ИАП был сформирован как учебный в апреле 1940 г. в г. Кировограде - Одесский ВО - на самолетах И-16 (по воспоминаниям одного из бывших начштаба полка, зафиксированных в документах Центрального архива Минобороны). (Происходили, оказывается, и такие чудеса). В июне 1942 г. 246-й (бывший 295) ИАП отбыл в 25-й ЗИАП, где освоил ЛаГГ-3. Учили полк на совесть, хотя и по устаревшей методике: индивидуальной и групповой (до 9 сам.), пилотаж, стрельба по наземным и воздушным целям, бомбометание. 3 октября 1942 г. полк, сформированный по штату 015/174 (20 экипажей), под командованием подполковника Кудряшова убыл на фронт в 235-ю ИАД 5-й ВА ВВС Закавказского фронта. Хорошая подготовка сказалась на боевых успехах: с 5.10 по 17 декабря 1942 г. в 32 воздушных боях полк сбил 38 самолетов противника: 26 Me-109, 8 Ме-110, 1 He-113 и З Ju-52. Причем воевать пришлось в экстремальных условиях: с неудобных горных аэродромов, в сезон дождей, под непрерывными бомбежками и при численном превосходстве немцев. В полку появились асы - комзвена л-т П.М.Камозин сбил в одном бою 3 немецких самолета (и довел личный счет до 12 побед, был представлен к званию Героя, а 1 июля 1944 г. стал дважды Героем Советского Союза). В интенсивных боях с опытным противником полк быстро "таял": через два месяца осталось 5 самолетов: 14 ЛаГГ-3 были сбиты в воздушных боях, один уничтожен на аэродроме, три разбиты в авариях, не вернулись с заданий 9 летчиков. 17 декабря 1942 г. полк, передав 70% летного, половину техсостава и оставшиеся ЛаГГ-3, убыл на переформирование в 25-й ЗИАП (г. Аджи-Кабул, Азербайджан), где с 25 января 1943 г. начал обучение на самолетах "Аэрокобра" и "Киттихаук". Несмотря на быстрое пополнение полка до нового штата 015/284 (3 эскадрильи, 32 пилота) и интенсивное обучение, пребывание его в ЗАПе растянулось на полтора года. Летом 1943 г. П.М.Камозин, сдав на "пятерку" воздушную стрельбу, убыл в 66-й ИАП, ушли на фронт и некоторые другие опытные пилоты. Остальные еще год несли нелегкую службу в полных соблазнов условиях кавказских минеральных вод. На 1 января 1944 г. 246-й ИАП был укомплектован 37 самолетами "Харрикейн" IID (сер. номера КХ140, 165, 167. 169. 173, 175, 181, 230-233, 248, 250, 293, 294, 297-301, 303, 415, 418, 420, 462, 463, 465, 466, 468, 864-866, HW722, 724, KW773, 777 и PS790), из них 5 неисправных (КХ169, 173, 181, 299, 465). Переучивание на несложный в пилотировании и обслуживании самолет тянулось почти семь месяцев (при норме в два месяца) и сопровождалось обильными авариями, отказами и оргвыводами. Первым "открыл счет" сам комполка майор А.И. Попрыкин, совершивший 29 декабря 1943 г. вынужденную посадку на КХ169 из-за отказа мотора. 8 января 1944 г. трагично закончился полет мл. л-та П.М.Горева на КХ173 - самолет врезался в землю, летчик погиб. Правда, это была единственная катастрофа за весь период пребывания "Харрикейнов" IID в советских ВВС. Всего же в процессе обучения произошло 13 аварий в январе (6 - по вине матчасти, 7 - по вине пилотов), 3 аварии в феврале (соответственно 2 и 1), по одной в марте и апреле (отказы моторов). По докладу старшего инженера полка, отказы двигателя "Мерлин" ХХ спровоцировали значительное число аварий - 7 случаев на земле и в воздухе с октября 43-го по 18 апреля 1944 г. (3187).</w:t>
      </w:r>
    </w:p>
    <w:p w14:paraId="0D09748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C8C24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1944 года для перегонки самолетов л/л "Номад" из США сформировали специальную авиагруппу под командованием полковника В.Н.Васильева. В нее вошли по десять экипажей с Северного и Тихоокеанского флотов и шесть-с Черноморского. Перед отправкой летчиков потренировали на гидросамолетах, ведь многие из них из-за нехватки техники долго летали па сухопутных машинах и в какой-то степени утратили специфические навыки. Сдачу летающих лодок предполагалось организовать на военно-морской базе Элизабет-сити недалеко от Нового Орлеана. Первыми на место прибыли тихоокеанцы, переброшенные по трассе АЛСИБа (3457,127).</w:t>
      </w:r>
    </w:p>
    <w:p w14:paraId="36D2DA9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18ABC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целом в начале 1944 года В-25 составляли около 10% авиапарка АДД. К концу того же года все корпуса АДД, кроме 2-го гвардейского, имели В-25, а в 4-м гвардейском корпусе он являлся основным типом. С 1944 года B-25J у нас начал постепенно сменять В-25С и B-25D. Всего в СССР но программе ленд-лиза было отправлено 870 В-25, из которых до места дошел 861. Еще некоторое количество машин интернировали после вынужденных посадок на Дальнем Востоке. В 1943-1944 годах "Митчеллы" поступили па вооружение еще нескольких полков дальней авиации - 337-го, 362-го, 747-го и других. Ими были полностью укомплектованы 4-я, 5-я и 15-я гвардейские дивизии (3457,92).</w:t>
      </w:r>
    </w:p>
    <w:p w14:paraId="17837BE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3497F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1944 г. на Балтике, где 1-й МТАП (с 19.01.42 г. - 1-й гвардейский МТАП), имевший на вооружении ДБ-3 и ДБ-3Ф, который до 1944 г. он оставался единственным на флоте (причем количество боеспособных машин полка редко превышало 20-30 самолетов), после получения достаточного количества американских A-20G и A-20DO был сформирован 51-й МТАП, который в мае того же года развернул боевые действия в Финском заливе и водах Центральной Балтики. Такая структура торпедоносной авиации сохранилась на флоте до конца войны. Обычно самолеты действовали небольшими группами по 4-12 машин, причем половину из них составляли торпедоносцы, а половину - топмачтовики. Всего торпедоносцы-балтийцы выполнили 1588 боевых вылетов, израсходовали 675 торпед, на базы не вернулись 97 самолетов (2867,31).</w:t>
      </w:r>
    </w:p>
    <w:p w14:paraId="3EB5E8A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AAD19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1944 в ЛИИ морской авиации и некоторых частях ВВС ЧФ исследовали топмачтовое бомбометание. Вероятность поражения при сбросе с 150-250 м - 0.8-0.9 на полигоне и в 2-3 раза ниже в бою. Лучшие рикошетирующие свойства у ФАБ-250 с АВ-87 в головном и АВ-1 в хвостовом очке (1085,170).</w:t>
      </w:r>
    </w:p>
    <w:p w14:paraId="2B376AE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Интересно, что англичане советовали нам еще в 1941</w:t>
      </w:r>
    </w:p>
    <w:p w14:paraId="080D83C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9852AE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началу 1944 г. был принят новый штат танковой бригады. В связи с началом массового выпуска танка Т-34-85, экипаж которого состоял из пяти человек (что, впрочем, не всегда соблюда</w:t>
      </w:r>
      <w:r w:rsidRPr="007224C3">
        <w:rPr>
          <w:rFonts w:ascii="Times New Roman" w:hAnsi="Times New Roman"/>
          <w:color w:val="000000" w:themeColor="text1"/>
          <w:sz w:val="16"/>
          <w:szCs w:val="16"/>
        </w:rPr>
        <w:softHyphen/>
        <w:t>лось), в апреле 1944 г. ввиду практической бесполезности ПТР в борьбе с немецкими средними и тяжелыми танками рота противотанковых ружей мотострелкового батальона была обращена на доукомплектование экипажей новых тан</w:t>
      </w:r>
      <w:r w:rsidRPr="007224C3">
        <w:rPr>
          <w:rFonts w:ascii="Times New Roman" w:hAnsi="Times New Roman"/>
          <w:color w:val="000000" w:themeColor="text1"/>
          <w:sz w:val="16"/>
          <w:szCs w:val="16"/>
        </w:rPr>
        <w:softHyphen/>
        <w:t>ков. На этот штат прежде других переводились танковые бригады, входившие в состав танковых и механизированных корпусов. В дальнейшем, вплоть до конца войны, организа</w:t>
      </w:r>
      <w:r w:rsidRPr="007224C3">
        <w:rPr>
          <w:rFonts w:ascii="Times New Roman" w:hAnsi="Times New Roman"/>
          <w:color w:val="000000" w:themeColor="text1"/>
          <w:sz w:val="16"/>
          <w:szCs w:val="16"/>
        </w:rPr>
        <w:softHyphen/>
        <w:t>ция танковой бригады уже практически не менялась (11135).</w:t>
      </w:r>
    </w:p>
    <w:p w14:paraId="54CCCAC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F8CC1E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1944 г. был утвержден штат № 04/434 отдельно</w:t>
      </w:r>
      <w:r w:rsidRPr="007224C3">
        <w:rPr>
          <w:rFonts w:ascii="Times New Roman" w:hAnsi="Times New Roman"/>
          <w:color w:val="000000" w:themeColor="text1"/>
          <w:sz w:val="16"/>
          <w:szCs w:val="16"/>
        </w:rPr>
        <w:softHyphen/>
        <w:t>го самоходно-артиллерийского дивизиона стрелковой диви</w:t>
      </w:r>
      <w:r w:rsidRPr="007224C3">
        <w:rPr>
          <w:rFonts w:ascii="Times New Roman" w:hAnsi="Times New Roman"/>
          <w:color w:val="000000" w:themeColor="text1"/>
          <w:sz w:val="16"/>
          <w:szCs w:val="16"/>
        </w:rPr>
        <w:softHyphen/>
        <w:t>зии в составе трех батарей (184 человека, 12 СУ-76). Отдель</w:t>
      </w:r>
      <w:r w:rsidRPr="007224C3">
        <w:rPr>
          <w:rFonts w:ascii="Times New Roman" w:hAnsi="Times New Roman"/>
          <w:color w:val="000000" w:themeColor="text1"/>
          <w:sz w:val="16"/>
          <w:szCs w:val="16"/>
        </w:rPr>
        <w:softHyphen/>
        <w:t>ные дивизионы, сформированные по этому штату, включа</w:t>
      </w:r>
      <w:r w:rsidRPr="007224C3">
        <w:rPr>
          <w:rFonts w:ascii="Times New Roman" w:hAnsi="Times New Roman"/>
          <w:color w:val="000000" w:themeColor="text1"/>
          <w:sz w:val="16"/>
          <w:szCs w:val="16"/>
        </w:rPr>
        <w:softHyphen/>
        <w:t>лись в состав стрелковых и воздушно-десантных дивизий вместо отдельных истребительно-противотанковых дивизи</w:t>
      </w:r>
      <w:r w:rsidRPr="007224C3">
        <w:rPr>
          <w:rFonts w:ascii="Times New Roman" w:hAnsi="Times New Roman"/>
          <w:color w:val="000000" w:themeColor="text1"/>
          <w:sz w:val="16"/>
          <w:szCs w:val="16"/>
        </w:rPr>
        <w:softHyphen/>
        <w:t>онов. Причем за самоходно-артиллерийскими дивизионами сохранялись номера расформированных истребительно-противотанковых дивизионов. Чуть позже, в связи с перехо</w:t>
      </w:r>
      <w:r w:rsidRPr="007224C3">
        <w:rPr>
          <w:rFonts w:ascii="Times New Roman" w:hAnsi="Times New Roman"/>
          <w:color w:val="000000" w:themeColor="text1"/>
          <w:sz w:val="16"/>
          <w:szCs w:val="16"/>
        </w:rPr>
        <w:softHyphen/>
        <w:t>дом батарей самоходной артиллерии на пятиорудийный со</w:t>
      </w:r>
      <w:r w:rsidRPr="007224C3">
        <w:rPr>
          <w:rFonts w:ascii="Times New Roman" w:hAnsi="Times New Roman"/>
          <w:color w:val="000000" w:themeColor="text1"/>
          <w:sz w:val="16"/>
          <w:szCs w:val="16"/>
        </w:rPr>
        <w:softHyphen/>
        <w:t>став, а также недостатком кадров, штат дивизиона был изме</w:t>
      </w:r>
      <w:r w:rsidRPr="007224C3">
        <w:rPr>
          <w:rFonts w:ascii="Times New Roman" w:hAnsi="Times New Roman"/>
          <w:color w:val="000000" w:themeColor="text1"/>
          <w:sz w:val="16"/>
          <w:szCs w:val="16"/>
        </w:rPr>
        <w:softHyphen/>
        <w:t>нен на штат № 04/568 (152 человека и 16 СУ-76) (11417).</w:t>
      </w:r>
    </w:p>
    <w:p w14:paraId="65F6E9C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730F45"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751DA8B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DDDC4A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1944 г. Ме328В проходил испытания, которые в принципе подтвердили возможность достижения этой скорости. Из-за того что вибрация ПуВРД передавалась от двигателей на конструкцию самолета, в ходе испытаний произошло несколько катастроф. Это и заставило свернуть программу создания штурмовика с ПуВРД.</w:t>
      </w:r>
    </w:p>
    <w:p w14:paraId="0FCEFF3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1942 г. фирма «Мессершмитт» разработала планер-истребитель Ме328, который должен был устанавливаться по схеме «Мистель» над фюзеляжем самолета-носителя Ю88 или До217.</w:t>
      </w:r>
    </w:p>
    <w:p w14:paraId="13207BD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Сцепка поднималась на большую высоту, а после расцепления Ме328 в режиме пологого пикирования атаковал объекты противника реактивными снарядами (об этом более подробно говорится ниже). В конце 1943 г. Ме328 было решено переделать в скоростной штурмовик, который при необходимости мог бы использоваться в качестве истребителя. Первая модификация самолета – Ме328А – проходила испытания в качестве пилотируемой планирующей бомбы по образцу японских камикадзе (Шунков В.Н. Авиация люфтваффе. Минск: ХАРВЕСТ; М.: АСТ, 2000.). В носовой части самолета был размещен заряд взрывчатки весом 500 кг.</w:t>
      </w:r>
    </w:p>
    <w:p w14:paraId="603C228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базе Ме328А был создан штурмовик Ме328В. Он представлял собой низкоплан смешанной конструкции, был изготовлен в основном из дерева и других недефицитных материалов. Взлет самолета производился со сбрасывающейся колесной тележки, а посадка осуществлялась на выдвижную посадочную лыжу. Силовая установка самолета состояла из двух ПуВРД Аргус – такого же типа, как и на V1. Двигатели размещались под консолями крыла и развивали тягу 350 кг. Экипаж самолета состоял из одного человека. Максимальная взлетная масса составляла 4500 кг, длина фюзеляжа – 7,18 м, размах крыльев – 8,6 м, практический потолок – 10–15 км, радиус действия на высоте 10000 м – 500 км. По расчетам самолет должен был развивать очень большую по тем временам скорость – 800 км/ч (11686).</w:t>
      </w:r>
    </w:p>
    <w:p w14:paraId="7E046D3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0ADE4287" w14:textId="77777777" w:rsidR="0035263A" w:rsidRPr="007224C3" w:rsidRDefault="0035263A" w:rsidP="007224C3">
      <w:pPr>
        <w:pStyle w:val="92"/>
        <w:shd w:val="clear" w:color="auto" w:fill="auto"/>
        <w:spacing w:after="0" w:line="240" w:lineRule="auto"/>
        <w:ind w:firstLine="0"/>
        <w:jc w:val="both"/>
        <w:rPr>
          <w:color w:val="000000" w:themeColor="text1"/>
          <w:sz w:val="16"/>
          <w:szCs w:val="16"/>
        </w:rPr>
      </w:pPr>
      <w:r w:rsidRPr="007224C3">
        <w:rPr>
          <w:color w:val="000000" w:themeColor="text1"/>
          <w:sz w:val="16"/>
          <w:szCs w:val="16"/>
        </w:rPr>
        <w:lastRenderedPageBreak/>
        <w:t xml:space="preserve">В начале 1944 года к выпуску В-29 подключили предприятие «Белл Эйркрафт Корпорейшн» в Мариетте (штат Джорджия), </w:t>
      </w:r>
      <w:r w:rsidRPr="007224C3">
        <w:rPr>
          <w:rStyle w:val="ArialUnicodeMS"/>
          <w:rFonts w:ascii="Times New Roman"/>
          <w:b w:val="0"/>
          <w:color w:val="000000" w:themeColor="text1"/>
          <w:szCs w:val="16"/>
        </w:rPr>
        <w:t>и</w:t>
      </w:r>
      <w:r w:rsidRPr="007224C3">
        <w:rPr>
          <w:color w:val="000000" w:themeColor="text1"/>
          <w:sz w:val="16"/>
          <w:szCs w:val="16"/>
        </w:rPr>
        <w:t xml:space="preserve"> в феврале с конвейера завода сошел пер</w:t>
      </w:r>
      <w:r w:rsidRPr="007224C3">
        <w:rPr>
          <w:color w:val="000000" w:themeColor="text1"/>
          <w:sz w:val="16"/>
          <w:szCs w:val="16"/>
        </w:rPr>
        <w:softHyphen/>
        <w:t>вый серийный В-29. Выпускавшиеся «Бел- том» самолеты обозначались В-29ВА.</w:t>
      </w:r>
    </w:p>
    <w:p w14:paraId="0BAAF868" w14:textId="77777777" w:rsidR="0035263A" w:rsidRPr="007224C3" w:rsidRDefault="0035263A" w:rsidP="007224C3">
      <w:pPr>
        <w:pStyle w:val="92"/>
        <w:shd w:val="clear" w:color="auto" w:fill="auto"/>
        <w:spacing w:after="0" w:line="240" w:lineRule="auto"/>
        <w:ind w:firstLine="0"/>
        <w:jc w:val="both"/>
        <w:rPr>
          <w:color w:val="000000" w:themeColor="text1"/>
          <w:sz w:val="16"/>
          <w:szCs w:val="16"/>
        </w:rPr>
      </w:pPr>
      <w:r w:rsidRPr="007224C3">
        <w:rPr>
          <w:color w:val="000000" w:themeColor="text1"/>
          <w:sz w:val="16"/>
          <w:szCs w:val="16"/>
        </w:rPr>
        <w:t>Затем выпуск В-29 освоили заводы ком</w:t>
      </w:r>
      <w:r w:rsidRPr="007224C3">
        <w:rPr>
          <w:color w:val="000000" w:themeColor="text1"/>
          <w:sz w:val="16"/>
          <w:szCs w:val="16"/>
        </w:rPr>
        <w:softHyphen/>
        <w:t>пании «Гленн Мартин» в Омахе (штат Не</w:t>
      </w:r>
      <w:r w:rsidRPr="007224C3">
        <w:rPr>
          <w:color w:val="000000" w:themeColor="text1"/>
          <w:sz w:val="16"/>
          <w:szCs w:val="16"/>
        </w:rPr>
        <w:softHyphen/>
        <w:t xml:space="preserve">браска), ее самолеты получили обозначение </w:t>
      </w:r>
      <w:r w:rsidRPr="007224C3">
        <w:rPr>
          <w:rStyle w:val="ArialUnicodeMS"/>
          <w:rFonts w:ascii="Times New Roman"/>
          <w:b w:val="0"/>
          <w:color w:val="000000" w:themeColor="text1"/>
          <w:szCs w:val="16"/>
        </w:rPr>
        <w:t>3</w:t>
      </w:r>
      <w:r w:rsidRPr="007224C3">
        <w:rPr>
          <w:color w:val="000000" w:themeColor="text1"/>
          <w:sz w:val="16"/>
          <w:szCs w:val="16"/>
        </w:rPr>
        <w:t>-29-МО. В середине 1944 года на заводе компании построили первую машину.</w:t>
      </w:r>
    </w:p>
    <w:p w14:paraId="39086C92" w14:textId="77777777" w:rsidR="0035263A" w:rsidRPr="007224C3" w:rsidRDefault="0035263A" w:rsidP="007224C3">
      <w:pPr>
        <w:pStyle w:val="92"/>
        <w:shd w:val="clear" w:color="auto" w:fill="auto"/>
        <w:spacing w:after="0" w:line="240" w:lineRule="auto"/>
        <w:ind w:firstLine="0"/>
        <w:jc w:val="both"/>
        <w:rPr>
          <w:color w:val="000000" w:themeColor="text1"/>
          <w:sz w:val="16"/>
          <w:szCs w:val="16"/>
        </w:rPr>
      </w:pPr>
      <w:r w:rsidRPr="007224C3">
        <w:rPr>
          <w:color w:val="000000" w:themeColor="text1"/>
          <w:sz w:val="16"/>
          <w:szCs w:val="16"/>
        </w:rPr>
        <w:t>Планировалось организовать выпуск В-29 на заводе фирмы «Норт Америкен» в Ингл- вуде (штат Калифорния) под обозначением В-29^А, но от этого замысла отказались.</w:t>
      </w:r>
    </w:p>
    <w:p w14:paraId="1339FF20" w14:textId="77777777" w:rsidR="0035263A" w:rsidRPr="007224C3" w:rsidRDefault="0035263A" w:rsidP="007224C3">
      <w:pPr>
        <w:pStyle w:val="92"/>
        <w:shd w:val="clear" w:color="auto" w:fill="auto"/>
        <w:spacing w:after="0" w:line="240" w:lineRule="auto"/>
        <w:ind w:firstLine="0"/>
        <w:jc w:val="both"/>
        <w:rPr>
          <w:color w:val="000000" w:themeColor="text1"/>
          <w:sz w:val="16"/>
          <w:szCs w:val="16"/>
        </w:rPr>
      </w:pPr>
      <w:r w:rsidRPr="007224C3">
        <w:rPr>
          <w:color w:val="000000" w:themeColor="text1"/>
          <w:sz w:val="16"/>
          <w:szCs w:val="16"/>
        </w:rPr>
        <w:t>Последний В-29 производства завода «Бо</w:t>
      </w:r>
      <w:r w:rsidRPr="007224C3">
        <w:rPr>
          <w:color w:val="000000" w:themeColor="text1"/>
          <w:sz w:val="16"/>
          <w:szCs w:val="16"/>
        </w:rPr>
        <w:softHyphen/>
        <w:t>инг» в Уичите покинул сборочный цех в октя</w:t>
      </w:r>
      <w:r w:rsidRPr="007224C3">
        <w:rPr>
          <w:color w:val="000000" w:themeColor="text1"/>
          <w:sz w:val="16"/>
          <w:szCs w:val="16"/>
        </w:rPr>
        <w:softHyphen/>
        <w:t>бре 1945 года. Компания «Белл» собрала по</w:t>
      </w:r>
      <w:r w:rsidRPr="007224C3">
        <w:rPr>
          <w:color w:val="000000" w:themeColor="text1"/>
          <w:sz w:val="16"/>
          <w:szCs w:val="16"/>
        </w:rPr>
        <w:softHyphen/>
        <w:t>следний В-29 в январе 1945 года, после чего переключилась на выпуск В-29В. Послед</w:t>
      </w:r>
      <w:r w:rsidRPr="007224C3">
        <w:rPr>
          <w:color w:val="000000" w:themeColor="text1"/>
          <w:sz w:val="16"/>
          <w:szCs w:val="16"/>
        </w:rPr>
        <w:softHyphen/>
        <w:t>ний В-29 сошел с поточной линии завода «Гленн Мартин» в сентябре 1945 года.</w:t>
      </w:r>
    </w:p>
    <w:p w14:paraId="32FD192F" w14:textId="77777777" w:rsidR="0035263A" w:rsidRPr="007224C3" w:rsidRDefault="0035263A" w:rsidP="007224C3">
      <w:pPr>
        <w:pStyle w:val="92"/>
        <w:shd w:val="clear" w:color="auto" w:fill="auto"/>
        <w:spacing w:after="0" w:line="240" w:lineRule="auto"/>
        <w:ind w:firstLine="0"/>
        <w:jc w:val="both"/>
        <w:rPr>
          <w:color w:val="000000" w:themeColor="text1"/>
          <w:sz w:val="16"/>
          <w:szCs w:val="16"/>
        </w:rPr>
      </w:pPr>
      <w:r w:rsidRPr="007224C3">
        <w:rPr>
          <w:color w:val="000000" w:themeColor="text1"/>
          <w:sz w:val="16"/>
          <w:szCs w:val="16"/>
        </w:rPr>
        <w:t>О количестве построенных В-29 всех ва</w:t>
      </w:r>
      <w:r w:rsidRPr="007224C3">
        <w:rPr>
          <w:color w:val="000000" w:themeColor="text1"/>
          <w:sz w:val="16"/>
          <w:szCs w:val="16"/>
        </w:rPr>
        <w:softHyphen/>
        <w:t>риантов в зарубежной печати встречаются разные цифры, при этом часто упоминается 3627 и 3965 самолетов. В то же время иссле</w:t>
      </w:r>
      <w:r w:rsidRPr="007224C3">
        <w:rPr>
          <w:color w:val="000000" w:themeColor="text1"/>
          <w:sz w:val="16"/>
          <w:szCs w:val="16"/>
        </w:rPr>
        <w:softHyphen/>
        <w:t>дователи из США утверждают, что с 1943 по 1944 год в Уичите собрали 1620 В-29, в Ма</w:t>
      </w:r>
      <w:r w:rsidRPr="007224C3">
        <w:rPr>
          <w:color w:val="000000" w:themeColor="text1"/>
          <w:sz w:val="16"/>
          <w:szCs w:val="16"/>
        </w:rPr>
        <w:softHyphen/>
        <w:t>риетте (фирма «Белл») - 357 (по другим дан</w:t>
      </w:r>
      <w:r w:rsidRPr="007224C3">
        <w:rPr>
          <w:color w:val="000000" w:themeColor="text1"/>
          <w:sz w:val="16"/>
          <w:szCs w:val="16"/>
        </w:rPr>
        <w:softHyphen/>
        <w:t>ным - 536 машин), в Омахе («Мартин») - 204, вРентоне- 1119В-29А.</w:t>
      </w:r>
    </w:p>
    <w:p w14:paraId="32BC0082" w14:textId="77777777" w:rsidR="0035263A" w:rsidRPr="007224C3" w:rsidRDefault="0035263A" w:rsidP="007224C3">
      <w:pPr>
        <w:pStyle w:val="92"/>
        <w:shd w:val="clear" w:color="auto" w:fill="auto"/>
        <w:spacing w:after="0" w:line="240" w:lineRule="auto"/>
        <w:ind w:firstLine="0"/>
        <w:jc w:val="both"/>
        <w:rPr>
          <w:color w:val="000000" w:themeColor="text1"/>
          <w:sz w:val="16"/>
          <w:szCs w:val="16"/>
        </w:rPr>
      </w:pPr>
      <w:r w:rsidRPr="007224C3">
        <w:rPr>
          <w:color w:val="000000" w:themeColor="text1"/>
          <w:sz w:val="16"/>
          <w:szCs w:val="16"/>
        </w:rPr>
        <w:t>В ходе серийного выпуска В-29 в его кон</w:t>
      </w:r>
      <w:r w:rsidRPr="007224C3">
        <w:rPr>
          <w:color w:val="000000" w:themeColor="text1"/>
          <w:sz w:val="16"/>
          <w:szCs w:val="16"/>
        </w:rPr>
        <w:softHyphen/>
        <w:t>струкцию вносились усовершенствования, облегчавшие сборку, упрощавшие эксплу</w:t>
      </w:r>
      <w:r w:rsidRPr="007224C3">
        <w:rPr>
          <w:color w:val="000000" w:themeColor="text1"/>
          <w:sz w:val="16"/>
          <w:szCs w:val="16"/>
        </w:rPr>
        <w:softHyphen/>
        <w:t>атацию и повышающие боевые качест</w:t>
      </w:r>
      <w:r w:rsidRPr="007224C3">
        <w:rPr>
          <w:color w:val="000000" w:themeColor="text1"/>
          <w:sz w:val="16"/>
          <w:szCs w:val="16"/>
        </w:rPr>
        <w:softHyphen/>
        <w:t>ва самолета. Производители внедряли эти изменения в разные сроки, поэтому маши</w:t>
      </w:r>
      <w:r w:rsidRPr="007224C3">
        <w:rPr>
          <w:color w:val="000000" w:themeColor="text1"/>
          <w:sz w:val="16"/>
          <w:szCs w:val="16"/>
        </w:rPr>
        <w:softHyphen/>
        <w:t>ны, выпушенные разными фирмами, от</w:t>
      </w:r>
      <w:r w:rsidRPr="007224C3">
        <w:rPr>
          <w:color w:val="000000" w:themeColor="text1"/>
          <w:sz w:val="16"/>
          <w:szCs w:val="16"/>
        </w:rPr>
        <w:softHyphen/>
        <w:t>личались друг от друга. Серийные В-29 сначала оснащались двигателями «Райт К- 3350-23»,-23А или -41. Позднее появились двигатели К-3350-57 и -57А.</w:t>
      </w:r>
    </w:p>
    <w:p w14:paraId="716C4C4C" w14:textId="77777777" w:rsidR="0035263A" w:rsidRPr="007224C3" w:rsidRDefault="0035263A" w:rsidP="007224C3">
      <w:pPr>
        <w:pStyle w:val="92"/>
        <w:shd w:val="clear" w:color="auto" w:fill="auto"/>
        <w:spacing w:after="0" w:line="240" w:lineRule="auto"/>
        <w:ind w:firstLine="0"/>
        <w:jc w:val="both"/>
        <w:rPr>
          <w:color w:val="000000" w:themeColor="text1"/>
          <w:sz w:val="16"/>
          <w:szCs w:val="16"/>
        </w:rPr>
      </w:pPr>
      <w:r w:rsidRPr="007224C3">
        <w:rPr>
          <w:color w:val="000000" w:themeColor="text1"/>
          <w:sz w:val="16"/>
          <w:szCs w:val="16"/>
        </w:rPr>
        <w:t>Первоначально оборонительное воору</w:t>
      </w:r>
      <w:r w:rsidRPr="007224C3">
        <w:rPr>
          <w:color w:val="000000" w:themeColor="text1"/>
          <w:sz w:val="16"/>
          <w:szCs w:val="16"/>
        </w:rPr>
        <w:softHyphen/>
        <w:t>жение самолета размешалось в четырех пу</w:t>
      </w:r>
      <w:r w:rsidRPr="007224C3">
        <w:rPr>
          <w:color w:val="000000" w:themeColor="text1"/>
          <w:sz w:val="16"/>
          <w:szCs w:val="16"/>
        </w:rPr>
        <w:softHyphen/>
        <w:t>леметных турелях. В каждой турели стояло по спаренному 12,7-мм пулемету. Управля</w:t>
      </w:r>
      <w:r w:rsidRPr="007224C3">
        <w:rPr>
          <w:color w:val="000000" w:themeColor="text1"/>
          <w:sz w:val="16"/>
          <w:szCs w:val="16"/>
        </w:rPr>
        <w:softHyphen/>
        <w:t>лись пулеметы дистанционно, места стрел</w:t>
      </w:r>
      <w:r w:rsidRPr="007224C3">
        <w:rPr>
          <w:color w:val="000000" w:themeColor="text1"/>
          <w:sz w:val="16"/>
          <w:szCs w:val="16"/>
        </w:rPr>
        <w:softHyphen/>
        <w:t>ков находились в гермокабинах. В кормовой огневой точке кроме двух 12,7-мм пулеме</w:t>
      </w:r>
      <w:r w:rsidRPr="007224C3">
        <w:rPr>
          <w:color w:val="000000" w:themeColor="text1"/>
          <w:sz w:val="16"/>
          <w:szCs w:val="16"/>
        </w:rPr>
        <w:softHyphen/>
        <w:t>тов стояла 20-мм пушка. Позднее вооруже</w:t>
      </w:r>
      <w:r w:rsidRPr="007224C3">
        <w:rPr>
          <w:color w:val="000000" w:themeColor="text1"/>
          <w:sz w:val="16"/>
          <w:szCs w:val="16"/>
        </w:rPr>
        <w:softHyphen/>
        <w:t>ние изменилось. В передней верхней турели установили счетверенные пулеметы калибра 12,7 мм, так как японские пилоты чаше все</w:t>
      </w:r>
      <w:r w:rsidRPr="007224C3">
        <w:rPr>
          <w:color w:val="000000" w:themeColor="text1"/>
          <w:sz w:val="16"/>
          <w:szCs w:val="16"/>
        </w:rPr>
        <w:softHyphen/>
        <w:t>го практикован! лобовую атаку. Из хвосто</w:t>
      </w:r>
      <w:r w:rsidRPr="007224C3">
        <w:rPr>
          <w:color w:val="000000" w:themeColor="text1"/>
          <w:sz w:val="16"/>
          <w:szCs w:val="16"/>
        </w:rPr>
        <w:softHyphen/>
        <w:t>вого отсека убрали 20-мм орудие, поскольку баллистика пуль и снарядов была различ</w:t>
      </w:r>
      <w:r w:rsidRPr="007224C3">
        <w:rPr>
          <w:color w:val="000000" w:themeColor="text1"/>
          <w:sz w:val="16"/>
          <w:szCs w:val="16"/>
        </w:rPr>
        <w:softHyphen/>
        <w:t>ной, и это усложняло ведение прицельного огня. На заводе в Уичите это новшество вне</w:t>
      </w:r>
      <w:r w:rsidRPr="007224C3">
        <w:rPr>
          <w:color w:val="000000" w:themeColor="text1"/>
          <w:sz w:val="16"/>
          <w:szCs w:val="16"/>
        </w:rPr>
        <w:softHyphen/>
        <w:t>дрили с 55-й серии, на предприятиях «Мар</w:t>
      </w:r>
      <w:r w:rsidRPr="007224C3">
        <w:rPr>
          <w:color w:val="000000" w:themeColor="text1"/>
          <w:sz w:val="16"/>
          <w:szCs w:val="16"/>
        </w:rPr>
        <w:softHyphen/>
        <w:t>тин» и «Белл» это орудие перестали ставить с 25-х серий. На самолетах В-29А и В-29В пушку никогда не ставили.</w:t>
      </w:r>
    </w:p>
    <w:p w14:paraId="62B7EDFA" w14:textId="77777777" w:rsidR="0035263A" w:rsidRPr="007224C3" w:rsidRDefault="0035263A" w:rsidP="007224C3">
      <w:pPr>
        <w:pStyle w:val="92"/>
        <w:shd w:val="clear" w:color="auto" w:fill="auto"/>
        <w:spacing w:after="0" w:line="240" w:lineRule="auto"/>
        <w:ind w:firstLine="0"/>
        <w:jc w:val="both"/>
        <w:rPr>
          <w:color w:val="000000" w:themeColor="text1"/>
          <w:sz w:val="16"/>
          <w:szCs w:val="16"/>
        </w:rPr>
      </w:pPr>
      <w:r w:rsidRPr="007224C3">
        <w:rPr>
          <w:color w:val="000000" w:themeColor="text1"/>
          <w:sz w:val="16"/>
          <w:szCs w:val="16"/>
        </w:rPr>
        <w:t>На заводе в Уичите передняя надфюзе- ляжная турельная установка оснащалась четырьмя 12,7-мм пулеметами «Браунинг» 42, начиная с 40-й серии. На предприятии • Белл» это нововведение появилось с 10-й серии, а на «Мартине» такую установку по</w:t>
      </w:r>
      <w:r w:rsidRPr="007224C3">
        <w:rPr>
          <w:color w:val="000000" w:themeColor="text1"/>
          <w:sz w:val="16"/>
          <w:szCs w:val="16"/>
        </w:rPr>
        <w:softHyphen/>
        <w:t>лучили все самолеты.</w:t>
      </w:r>
    </w:p>
    <w:p w14:paraId="45317F17" w14:textId="77777777" w:rsidR="0035263A" w:rsidRPr="007224C3" w:rsidRDefault="0035263A" w:rsidP="007224C3">
      <w:pPr>
        <w:pStyle w:val="92"/>
        <w:shd w:val="clear" w:color="auto" w:fill="auto"/>
        <w:spacing w:after="0" w:line="240" w:lineRule="auto"/>
        <w:ind w:firstLine="0"/>
        <w:jc w:val="both"/>
        <w:rPr>
          <w:color w:val="000000" w:themeColor="text1"/>
          <w:sz w:val="16"/>
          <w:szCs w:val="16"/>
        </w:rPr>
      </w:pPr>
      <w:r w:rsidRPr="007224C3">
        <w:rPr>
          <w:color w:val="000000" w:themeColor="text1"/>
          <w:sz w:val="16"/>
          <w:szCs w:val="16"/>
        </w:rPr>
        <w:t>Сомнения относительно достоинств и эффективности системы защитного воору</w:t>
      </w:r>
      <w:r w:rsidRPr="007224C3">
        <w:rPr>
          <w:color w:val="000000" w:themeColor="text1"/>
          <w:sz w:val="16"/>
          <w:szCs w:val="16"/>
        </w:rPr>
        <w:softHyphen/>
        <w:t>жения с дистанционным управлением при- зели к оснащению одного В-29-25-В\У (се</w:t>
      </w:r>
      <w:r w:rsidRPr="007224C3">
        <w:rPr>
          <w:color w:val="000000" w:themeColor="text1"/>
          <w:sz w:val="16"/>
          <w:szCs w:val="16"/>
        </w:rPr>
        <w:softHyphen/>
        <w:t>рийный номер 42-2444) оборонительными установками со стрелками внутри них. Са</w:t>
      </w:r>
      <w:r w:rsidRPr="007224C3">
        <w:rPr>
          <w:color w:val="000000" w:themeColor="text1"/>
          <w:sz w:val="16"/>
          <w:szCs w:val="16"/>
        </w:rPr>
        <w:softHyphen/>
        <w:t>молет имел две надфюзеляжные и две ша</w:t>
      </w:r>
      <w:r w:rsidRPr="007224C3">
        <w:rPr>
          <w:color w:val="000000" w:themeColor="text1"/>
          <w:sz w:val="16"/>
          <w:szCs w:val="16"/>
        </w:rPr>
        <w:softHyphen/>
        <w:t>ровые подфюзеляжные пулеметные уста</w:t>
      </w:r>
      <w:r w:rsidRPr="007224C3">
        <w:rPr>
          <w:color w:val="000000" w:themeColor="text1"/>
          <w:sz w:val="16"/>
          <w:szCs w:val="16"/>
        </w:rPr>
        <w:softHyphen/>
        <w:t>новки. В каждой из них размешалось два пулемета «Браунинг» М2. В носовой ча</w:t>
      </w:r>
      <w:r w:rsidRPr="007224C3">
        <w:rPr>
          <w:color w:val="000000" w:themeColor="text1"/>
          <w:sz w:val="16"/>
          <w:szCs w:val="16"/>
        </w:rPr>
        <w:softHyphen/>
        <w:t>сти фюзеляжа в блистерах с каждой сторо</w:t>
      </w:r>
      <w:r w:rsidRPr="007224C3">
        <w:rPr>
          <w:color w:val="000000" w:themeColor="text1"/>
          <w:sz w:val="16"/>
          <w:szCs w:val="16"/>
        </w:rPr>
        <w:softHyphen/>
        <w:t>ны находилось по два таких же пулемета и еще столько же располагалось по бокам са</w:t>
      </w:r>
      <w:r w:rsidRPr="007224C3">
        <w:rPr>
          <w:color w:val="000000" w:themeColor="text1"/>
          <w:sz w:val="16"/>
          <w:szCs w:val="16"/>
        </w:rPr>
        <w:softHyphen/>
        <w:t>молета. Но испытания показали явное пре</w:t>
      </w:r>
      <w:r w:rsidRPr="007224C3">
        <w:rPr>
          <w:color w:val="000000" w:themeColor="text1"/>
          <w:sz w:val="16"/>
          <w:szCs w:val="16"/>
        </w:rPr>
        <w:softHyphen/>
        <w:t>имущество системы оборонительного воо</w:t>
      </w:r>
      <w:r w:rsidRPr="007224C3">
        <w:rPr>
          <w:color w:val="000000" w:themeColor="text1"/>
          <w:sz w:val="16"/>
          <w:szCs w:val="16"/>
        </w:rPr>
        <w:softHyphen/>
        <w:t>ружения с дистанционным управлением по сравнению с предложенной.</w:t>
      </w:r>
    </w:p>
    <w:p w14:paraId="16E56515" w14:textId="77777777" w:rsidR="0035263A" w:rsidRPr="007224C3" w:rsidRDefault="0035263A" w:rsidP="007224C3">
      <w:pPr>
        <w:pStyle w:val="92"/>
        <w:shd w:val="clear" w:color="auto" w:fill="auto"/>
        <w:spacing w:after="0" w:line="240" w:lineRule="auto"/>
        <w:ind w:firstLine="0"/>
        <w:jc w:val="both"/>
        <w:rPr>
          <w:color w:val="000000" w:themeColor="text1"/>
          <w:sz w:val="16"/>
          <w:szCs w:val="16"/>
        </w:rPr>
      </w:pPr>
      <w:r w:rsidRPr="007224C3">
        <w:rPr>
          <w:color w:val="000000" w:themeColor="text1"/>
          <w:sz w:val="16"/>
          <w:szCs w:val="16"/>
        </w:rPr>
        <w:t>На самолетах В-29 серий 1-20, выпушен</w:t>
      </w:r>
      <w:r w:rsidRPr="007224C3">
        <w:rPr>
          <w:color w:val="000000" w:themeColor="text1"/>
          <w:sz w:val="16"/>
          <w:szCs w:val="16"/>
        </w:rPr>
        <w:softHyphen/>
        <w:t>ных заводами в Уичите и фирмой «Белл», устанавливались двигатели К-3350-23, разви</w:t>
      </w:r>
      <w:r w:rsidRPr="007224C3">
        <w:rPr>
          <w:color w:val="000000" w:themeColor="text1"/>
          <w:sz w:val="16"/>
          <w:szCs w:val="16"/>
        </w:rPr>
        <w:softHyphen/>
        <w:t>вавшие на боевом режиме по 2439 л.с. (взлет</w:t>
      </w:r>
      <w:r w:rsidRPr="007224C3">
        <w:rPr>
          <w:color w:val="000000" w:themeColor="text1"/>
          <w:sz w:val="16"/>
          <w:szCs w:val="16"/>
        </w:rPr>
        <w:softHyphen/>
        <w:t>ная - 2200 л.с.), а на самолетах с 25 по 90 серию (по другим данным - с 50-й серии), строившихся в Уичите, — К-3350-41 анало</w:t>
      </w:r>
      <w:r w:rsidRPr="007224C3">
        <w:rPr>
          <w:color w:val="000000" w:themeColor="text1"/>
          <w:sz w:val="16"/>
          <w:szCs w:val="16"/>
        </w:rPr>
        <w:softHyphen/>
        <w:t>гичной мощности, нос новыми глушителями и масляными каналами увеличенного сечения для улучшения охлаждения. Компании «Мартин» и «Белл» стали устанавливать такие дви</w:t>
      </w:r>
      <w:r w:rsidRPr="007224C3">
        <w:rPr>
          <w:color w:val="000000" w:themeColor="text1"/>
          <w:sz w:val="16"/>
          <w:szCs w:val="16"/>
        </w:rPr>
        <w:softHyphen/>
        <w:t>гатели, начиная с 20 серии. На последних се</w:t>
      </w:r>
      <w:r w:rsidRPr="007224C3">
        <w:rPr>
          <w:color w:val="000000" w:themeColor="text1"/>
          <w:sz w:val="16"/>
          <w:szCs w:val="16"/>
        </w:rPr>
        <w:softHyphen/>
        <w:t>риях все три производителя стати применять усовершенствованный двигатель К-3350-57.</w:t>
      </w:r>
    </w:p>
    <w:p w14:paraId="7963944B" w14:textId="77777777" w:rsidR="0035263A" w:rsidRPr="007224C3" w:rsidRDefault="0035263A" w:rsidP="007224C3">
      <w:pPr>
        <w:pStyle w:val="92"/>
        <w:shd w:val="clear" w:color="auto" w:fill="auto"/>
        <w:spacing w:after="0" w:line="240" w:lineRule="auto"/>
        <w:ind w:firstLine="0"/>
        <w:jc w:val="both"/>
        <w:rPr>
          <w:color w:val="000000" w:themeColor="text1"/>
          <w:sz w:val="16"/>
          <w:szCs w:val="16"/>
        </w:rPr>
      </w:pPr>
      <w:r w:rsidRPr="007224C3">
        <w:rPr>
          <w:color w:val="000000" w:themeColor="text1"/>
          <w:sz w:val="16"/>
          <w:szCs w:val="16"/>
        </w:rPr>
        <w:t>Первые машины В-29 постройки завода в Уичита поставлялись в стандартном камуф</w:t>
      </w:r>
      <w:r w:rsidRPr="007224C3">
        <w:rPr>
          <w:color w:val="000000" w:themeColor="text1"/>
          <w:sz w:val="16"/>
          <w:szCs w:val="16"/>
        </w:rPr>
        <w:softHyphen/>
        <w:t>ляже и15ААР. Остальные самолеты сохрани</w:t>
      </w:r>
      <w:r w:rsidRPr="007224C3">
        <w:rPr>
          <w:color w:val="000000" w:themeColor="text1"/>
          <w:sz w:val="16"/>
          <w:szCs w:val="16"/>
        </w:rPr>
        <w:softHyphen/>
        <w:t>ли «естественный» цвет алюминия.</w:t>
      </w:r>
    </w:p>
    <w:p w14:paraId="7C3CEDE4" w14:textId="77777777" w:rsidR="0035263A" w:rsidRPr="007224C3" w:rsidRDefault="0035263A" w:rsidP="007224C3">
      <w:pPr>
        <w:pStyle w:val="92"/>
        <w:shd w:val="clear" w:color="auto" w:fill="auto"/>
        <w:spacing w:after="0" w:line="240" w:lineRule="auto"/>
        <w:ind w:firstLine="0"/>
        <w:jc w:val="both"/>
        <w:rPr>
          <w:color w:val="000000" w:themeColor="text1"/>
          <w:sz w:val="16"/>
          <w:szCs w:val="16"/>
        </w:rPr>
      </w:pPr>
      <w:r w:rsidRPr="007224C3">
        <w:rPr>
          <w:color w:val="000000" w:themeColor="text1"/>
          <w:sz w:val="16"/>
          <w:szCs w:val="16"/>
        </w:rPr>
        <w:t>Начиная с 25-й серии на заводе в Уичита максимальный запас топлива на борту уве</w:t>
      </w:r>
      <w:r w:rsidRPr="007224C3">
        <w:rPr>
          <w:color w:val="000000" w:themeColor="text1"/>
          <w:sz w:val="16"/>
          <w:szCs w:val="16"/>
        </w:rPr>
        <w:softHyphen/>
        <w:t>личили до 9438 американских галлонов. Та</w:t>
      </w:r>
      <w:r w:rsidRPr="007224C3">
        <w:rPr>
          <w:color w:val="000000" w:themeColor="text1"/>
          <w:sz w:val="16"/>
          <w:szCs w:val="16"/>
        </w:rPr>
        <w:softHyphen/>
        <w:t>кие баки устанавливали на заводе «Белл», начиная с 5-й серии.</w:t>
      </w:r>
    </w:p>
    <w:p w14:paraId="487F2C5A" w14:textId="77777777" w:rsidR="0035263A" w:rsidRPr="007224C3" w:rsidRDefault="0035263A" w:rsidP="007224C3">
      <w:pPr>
        <w:pStyle w:val="92"/>
        <w:shd w:val="clear" w:color="auto" w:fill="auto"/>
        <w:spacing w:after="0" w:line="240" w:lineRule="auto"/>
        <w:ind w:firstLine="0"/>
        <w:jc w:val="both"/>
        <w:rPr>
          <w:color w:val="000000" w:themeColor="text1"/>
          <w:sz w:val="16"/>
          <w:szCs w:val="16"/>
        </w:rPr>
      </w:pPr>
      <w:r w:rsidRPr="007224C3">
        <w:rPr>
          <w:color w:val="000000" w:themeColor="text1"/>
          <w:sz w:val="16"/>
          <w:szCs w:val="16"/>
        </w:rPr>
        <w:t>Все произведенные «Мартин» В-29 име</w:t>
      </w:r>
      <w:r w:rsidRPr="007224C3">
        <w:rPr>
          <w:color w:val="000000" w:themeColor="text1"/>
          <w:sz w:val="16"/>
          <w:szCs w:val="16"/>
        </w:rPr>
        <w:softHyphen/>
        <w:t>ли дополнительные крыльевые топливные баки (12292).</w:t>
      </w:r>
    </w:p>
    <w:p w14:paraId="51D56185" w14:textId="77777777" w:rsidR="0035263A" w:rsidRPr="007224C3" w:rsidRDefault="0035263A" w:rsidP="007224C3">
      <w:pPr>
        <w:spacing w:after="0" w:line="240" w:lineRule="auto"/>
        <w:jc w:val="both"/>
        <w:rPr>
          <w:rFonts w:ascii="Times New Roman" w:hAnsi="Times New Roman"/>
          <w:color w:val="000000" w:themeColor="text1"/>
          <w:sz w:val="16"/>
          <w:szCs w:val="16"/>
        </w:rPr>
      </w:pPr>
    </w:p>
    <w:p w14:paraId="408153B4" w14:textId="77777777" w:rsidR="00417D90" w:rsidRPr="007224C3" w:rsidRDefault="00417D90"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 начале 1944 года модификация с Jumo 213 получила индекс Не.111Н-20 и пошла в серию, но поставки новых моторов шли с перебоями, да и надежность ее была низкой, потому первые He.111H-20/R1 и R2 строились как транспортные со старыми моторами, и лишь малая доля из 550-ти построенных были бомбардировщиками с Jumo 213, часть из них имела возможность нести 20 бомб калибра 50 кг («беспокоящий» ночной бомбардировщик для Восточного фронта). Еще 586 Не.111Н-20 было переоборудовано из старых самолетов Н-6 с Jumo 211F-2 и тоже шли как транспортные. На серии Не.111Н21 моторы Jumo 213E-1 были перерегулированы на меньшие высоты, и потолок несколько снизился, зато скорость достигла величины 475-480 км/ч на 7000 м. На Jumo 213E-1 (1750 л.с. на взлете) вместо обычного одноступенчатого ПЦН с приводом через турбомуфту на нем поставили 2-ступенчатый центробежный нагнетатель, приводимый в движение 3-скоростной механической передачей, работавшей автоматически от высотного корректора, и на высоте 10000 м сохранялась мощность 1320 л.с. (потолок серийного Не.111Н с моторами Jumo 211F-2 не превышал 8000-8500 м).</w:t>
      </w:r>
    </w:p>
    <w:p w14:paraId="3C74E70C" w14:textId="77777777" w:rsidR="00417D90" w:rsidRPr="007224C3" w:rsidRDefault="00417D90"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Летом 1944 года поставки Jumo 213E-1 были запрещены на все самолеты, кроме истребителей FW.190D, и выпуск Не.111Н-21 был ограничен 22-мя экземплярами (22822).</w:t>
      </w:r>
    </w:p>
    <w:p w14:paraId="6BD09C36" w14:textId="77777777" w:rsidR="00417D90" w:rsidRPr="007224C3" w:rsidRDefault="00417D90" w:rsidP="007224C3">
      <w:pPr>
        <w:spacing w:after="0" w:line="240" w:lineRule="auto"/>
        <w:jc w:val="both"/>
        <w:rPr>
          <w:rFonts w:ascii="Times New Roman" w:hAnsi="Times New Roman"/>
          <w:color w:val="0070C0"/>
          <w:sz w:val="16"/>
          <w:szCs w:val="16"/>
        </w:rPr>
      </w:pPr>
    </w:p>
    <w:p w14:paraId="3D05B030" w14:textId="77777777" w:rsidR="00417D90" w:rsidRPr="007224C3" w:rsidRDefault="00417D90"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 начале 1944 года заказ на тяжелый бомбардировщик дали и фирме «Юнкерс». В проекте Ju488 было решено использовать агрегаты уже строившихся машин: нижняя стрелковая установка была идентичной самолету Ju88A-15, средняя и хвостовая часть фюзеляжа, а также оперение — Ju188E, нос с гермокабиной — Ju388K. Планер усилили под больший полетный вес и скорость полета. Оригинально была решена проблема прочности основных стоек шасси, также заимствованных с другого самолета, — вместо двух «ног» поставили четыре. Cиловая установка в составе четырех моторов BMW 891TJ (1800 л.с. на взлете, 1710 л.с. на высоте 9000 м с турбокомпрессорами) была унифицирована с двухмоторным Ju388. Такое заимствование позволило уже к июлю 1944 года на реквизированном немцами заводе «Латекоер» во французском городе Тулуза изготовить все основные агрегаты первых двух опытных образцов Ju488V401 и 402 — фюзеляжи с центропланами. На главном заводе фирмы «Юнкерс» в Дессау делали только оперение, используя оснастку, созданную для двухмоторного многоцелевого самолета Ju288. Окончательно собирать и облетывать Ju488 планировали на заводе «Юнкерс» в Бернбурге, и туда к концу июля 1944 года должен был из Франции прибыть литерным эшелоном ценный груз. Но в ночь на 17 июля подготовленные к отправке фюзеляжи были взорваны прямо в цехе — механик завода «Латекоер» Элиссаль смог провести на охраняемую территорию бойцов Сопротивления, которые нарушили планы немцев. Ремонт был невозможен (22883).</w:t>
      </w:r>
    </w:p>
    <w:p w14:paraId="1E4502EC" w14:textId="77777777" w:rsidR="00417D90" w:rsidRPr="007224C3" w:rsidRDefault="00417D90" w:rsidP="007224C3">
      <w:pPr>
        <w:spacing w:after="0" w:line="240" w:lineRule="auto"/>
        <w:jc w:val="both"/>
        <w:rPr>
          <w:rFonts w:ascii="Times New Roman" w:hAnsi="Times New Roman"/>
          <w:color w:val="0070C0"/>
          <w:sz w:val="16"/>
          <w:szCs w:val="16"/>
        </w:rPr>
      </w:pPr>
    </w:p>
    <w:p w14:paraId="588DD746" w14:textId="77777777" w:rsidR="00417D90" w:rsidRPr="007224C3" w:rsidRDefault="00417D90"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 начале 1944 г. немцам стали известны подробности разработки английского реактивного самолета. Гитлер срочно вызвал Мильха для обсуждения ответных мер. Исходя из того, что Геринг был не в состоянии разбомбить заводы и аэродромы, где развивалась реактивная авиация Великобритании, оставалось форсировать производство своих реактивных самолетов. Мильх доложил о начале серийного производства первой партии из 23 Me 262А-0 и передаче первого из них Люфтваффе в варианте истребителя. Гитлер был взбешен — он очень опасался вторжения союзных войск во Францию и требовал реактивных бомбардировщиков. Доклад Мильха о том, что бомбодержатели будут установлены на Me 262V-10 только в мае, поставил на его карьере крест. Однако благодаря генерал-фельдмаршалу в Германии уже имелось два типа реактивных самолетов, готовых к серийному производству, — истребитель Ме 262 и разведчик Аr 234. Несмотря на первоначальное предназначение, обе машины за свою короткую карьеру успели побыть бомбардировщиками, штурмовиками, разведчиками, ночными перехватчиками и даже ракетоносцами. Третий тип, появившийся позднее, реактивное творение Хейнкеля под обозначением Не 162, промелькнуло в истории «чистым истребителем» (22776).</w:t>
      </w:r>
    </w:p>
    <w:p w14:paraId="54887377" w14:textId="77777777" w:rsidR="00417D90" w:rsidRPr="007224C3" w:rsidRDefault="00417D90" w:rsidP="007224C3">
      <w:pPr>
        <w:spacing w:after="0" w:line="240" w:lineRule="auto"/>
        <w:jc w:val="both"/>
        <w:rPr>
          <w:rFonts w:ascii="Times New Roman" w:hAnsi="Times New Roman"/>
          <w:color w:val="0070C0"/>
          <w:sz w:val="16"/>
          <w:szCs w:val="16"/>
        </w:rPr>
      </w:pPr>
    </w:p>
    <w:p w14:paraId="11C290AC" w14:textId="77777777" w:rsidR="00417D90" w:rsidRPr="007224C3" w:rsidRDefault="00417D90"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 начале 1944 года по результатам защиты проекта дальнего четырехмоторного бомбардировщика с ламинарным крылом большого удлинения, обтекаемого фюзеляжа, звездообразными 14-цилиндровыми двигателями Накадзима NK9K-L «Гомаре» 24 с турбокомпрессорами Хитачи тип 92, которые развивали на взлете мощность по 2000 л.с., а на границе высотности 8000 м — по 1850 л.с., фирме «Накадзима» было заказано 16 опытных и предсерийных бомбардировщиков G8N1 «Рензан» (в переводе — «горный хребет») и 32 серийных самолета. Поставки в строевые части должны были начаться в сентябре 1945 года (22873).</w:t>
      </w:r>
    </w:p>
    <w:p w14:paraId="7034D44C" w14:textId="77777777" w:rsidR="00417D90" w:rsidRPr="007224C3" w:rsidRDefault="00417D90" w:rsidP="007224C3">
      <w:pPr>
        <w:spacing w:after="0" w:line="240" w:lineRule="auto"/>
        <w:jc w:val="both"/>
        <w:rPr>
          <w:rFonts w:ascii="Times New Roman" w:hAnsi="Times New Roman"/>
          <w:color w:val="0070C0"/>
          <w:sz w:val="16"/>
          <w:szCs w:val="16"/>
        </w:rPr>
      </w:pPr>
    </w:p>
    <w:p w14:paraId="35C16231" w14:textId="77777777" w:rsidR="00417D90" w:rsidRPr="007224C3" w:rsidRDefault="00417D90"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С начала 1944 г. серийно строился вариант Bf-110 с локатором FuG 220 «Lichtenstein SN-2c» — Bf-110G-4c. На него также ставились комплекты R3, R6 и R7 плюс дополнительный R4 с заменой пушек MK-108 на пару 20-мм MG-151. Последним выпускавшимся вариантом серии «G» стал Bf-110G-4d/R3. От Bf-110G-4c/R3 отличался установкой РЛС FuG 220 «Lichtenstein SN-2d» (22894).</w:t>
      </w:r>
    </w:p>
    <w:p w14:paraId="56E0D1EF" w14:textId="77777777" w:rsidR="00417D90" w:rsidRPr="007224C3" w:rsidRDefault="00417D90" w:rsidP="007224C3">
      <w:pPr>
        <w:spacing w:after="0" w:line="240" w:lineRule="auto"/>
        <w:jc w:val="both"/>
        <w:rPr>
          <w:rFonts w:ascii="Times New Roman" w:hAnsi="Times New Roman"/>
          <w:color w:val="0070C0"/>
          <w:sz w:val="16"/>
          <w:szCs w:val="16"/>
        </w:rPr>
      </w:pPr>
    </w:p>
    <w:p w14:paraId="09E29964" w14:textId="77777777" w:rsidR="00417D90" w:rsidRPr="007224C3" w:rsidRDefault="00417D90"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 начале 1944 г. завод в Котбусе сдал последние четыре FW 200C-8, прекратив производство «кондоров», которых было построено 267 штук (по другим данным — 263), из них 245 имели ударное вооружение (22969).</w:t>
      </w:r>
    </w:p>
    <w:p w14:paraId="55234374" w14:textId="77777777" w:rsidR="00417D90" w:rsidRPr="007224C3" w:rsidRDefault="00417D90" w:rsidP="007224C3">
      <w:pPr>
        <w:spacing w:after="0" w:line="240" w:lineRule="auto"/>
        <w:jc w:val="both"/>
        <w:rPr>
          <w:rFonts w:ascii="Times New Roman" w:hAnsi="Times New Roman"/>
          <w:color w:val="0070C0"/>
          <w:sz w:val="16"/>
          <w:szCs w:val="16"/>
        </w:rPr>
      </w:pPr>
    </w:p>
    <w:p w14:paraId="300ADFFA" w14:textId="77777777" w:rsidR="00417D90" w:rsidRPr="007224C3" w:rsidRDefault="00417D90"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 начале 1944 г. самолет ХВ-39 со сдвоенными двигателями водяного охлаждения вышел на испытания. Под новые моторы был переоборудован первый самолет YB-29, который получил новый индекс ХВ-39 и название «Спирит оф Линкольн». Фирма гарантировала рост скорости на 100 км/ч и предложила сократить экипаж до 6-ти человек, поручив управление стрелковыми установками бортинженеру, штурману и радисту, оружие из хвостовой турели демонтировалось. Если ожидалось противодействие истребителей, его снова ставили, добавлялись верхний, один боковой и хвостовой стрелки. При полетах на максимальную дальность на борт брали двух сменных членов экипажа, которые размещались, дожидаясь своей вахты, на койках во 2-й гермокабине, в остальных случаях койки демонтировались.</w:t>
      </w:r>
    </w:p>
    <w:p w14:paraId="2C3F383D" w14:textId="77777777" w:rsidR="00417D90" w:rsidRPr="007224C3" w:rsidRDefault="00417D90"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lastRenderedPageBreak/>
        <w:t>ХВ-39 оказался самым быстрым в семействе «сверхкрепостей», разгоняясь на высоте 7620 м до 652 км/ч. Начальная скороподъемность этой машины с нормальным весом выросла с 14,4 м/с до 20 м/с, что было сравнимо с истребителями того времени. ХВ-39 летал до середины 1944 г., превзойдя серийный В-29 также и по дальности, и потолку. Но заказа не последовало (23012).</w:t>
      </w:r>
    </w:p>
    <w:p w14:paraId="105D3B67" w14:textId="77777777" w:rsidR="00417D90" w:rsidRPr="007224C3" w:rsidRDefault="00417D90" w:rsidP="007224C3">
      <w:pPr>
        <w:spacing w:after="0" w:line="240" w:lineRule="auto"/>
        <w:jc w:val="both"/>
        <w:rPr>
          <w:rFonts w:ascii="Times New Roman" w:hAnsi="Times New Roman"/>
          <w:color w:val="0070C0"/>
          <w:sz w:val="16"/>
          <w:szCs w:val="16"/>
        </w:rPr>
      </w:pPr>
    </w:p>
    <w:p w14:paraId="1D1DCB38" w14:textId="77777777" w:rsidR="00417D90" w:rsidRPr="007224C3" w:rsidRDefault="00417D90"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 начале 1944 г. в Германии была создана торпеда LT1B4 «Пфау» (павлин) с акустическим самонаведением, но скорость хода и надежность ее сенсоров были недостаточны, и она осталась опытной. Не удалось довести и сверхскоростную торпеду LT1000 со сплюснутым по бокам «рыбообразным» корпусом и газотурбинным двигателем, LT1500 с ракетной силовой установкой и ряд других проектов (22902).</w:t>
      </w:r>
    </w:p>
    <w:p w14:paraId="1B09F76A" w14:textId="77777777" w:rsidR="00417D90" w:rsidRPr="007224C3" w:rsidRDefault="00417D90" w:rsidP="007224C3">
      <w:pPr>
        <w:spacing w:after="0" w:line="240" w:lineRule="auto"/>
        <w:jc w:val="both"/>
        <w:rPr>
          <w:rFonts w:ascii="Times New Roman" w:hAnsi="Times New Roman"/>
          <w:color w:val="0070C0"/>
          <w:sz w:val="16"/>
          <w:szCs w:val="16"/>
        </w:rPr>
      </w:pPr>
    </w:p>
    <w:p w14:paraId="020B099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1944 года, когда ситуация в Северной Атлантике уже полностью контролировалась флотами союзников, было принято решение перебросить дирижабли в Северную Африку. Все воздушные корабли добрались до Африки своим ходом, при этом был установлен мировой рекорд дальности полета над водой для полужестких конструкции, равный 1881 миле. На начальном этапе боевых действий главной задачей дирижаблей стал контроль Гибралтарского пролива. В 1944 году интенсивность использования дирижаблей достигла максимума. На службе флота воздушных кораблей из числа летного состава состояло 1500 офицеров и 3000 завербованных членов экипажей. Наземный технический персонал насчитывал 700 офицеров и 7200 военнослужащих рядового и сержантского состава. В время войны американские морские дирижабли провели около 89 000 судов без потерь от вражеских подводных лодок, и это было весомым вкладом в общую победу (11324).</w:t>
      </w:r>
    </w:p>
    <w:p w14:paraId="7C7B399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1E5C88D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Начавшаяся в начале 1944 операция по освобождению Бирмы протекала вяло и неудачно во многом из-за сохранявшихся между союзниками разногласий. Напротив, осознав потерю преимущества на море, Япония активизировала наступление на материке, имея в виду компенсировать утрату морских коммуникаций установлением контроля над железнодорожными путями от Шанхая до Сингапура. В течение весны 1944 г. эта задача была в основном выполнена, и войска Чан Кайши были оттеснены от побережья еще глубже в материковые районы. Создание сквозной коммуникационной линии позволяло Японии рассчитывать на длительное ведение боевых действий на континенте (3871).</w:t>
      </w:r>
    </w:p>
    <w:p w14:paraId="5EFA286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ED974B"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5ED1ECD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677D0B8" w14:textId="77777777" w:rsidR="00D86EA0" w:rsidRPr="007224C3" w:rsidRDefault="00D86EA0" w:rsidP="007224C3">
      <w:pPr>
        <w:pStyle w:val="a3"/>
        <w:rPr>
          <w:color w:val="000000" w:themeColor="text1"/>
          <w:lang w:val="ru-RU"/>
        </w:rPr>
      </w:pPr>
      <w:r w:rsidRPr="007224C3">
        <w:rPr>
          <w:color w:val="000000" w:themeColor="text1"/>
          <w:lang w:val="ru-RU"/>
        </w:rPr>
        <w:t xml:space="preserve">К </w:t>
      </w:r>
      <w:r w:rsidRPr="007224C3">
        <w:rPr>
          <w:rStyle w:val="7TimesNewRoman1"/>
          <w:rFonts w:eastAsia="Arial Unicode MS"/>
          <w:bCs/>
          <w:strike w:val="0"/>
          <w:color w:val="000000" w:themeColor="text1"/>
          <w:spacing w:val="0"/>
          <w:lang w:val="ru-RU"/>
        </w:rPr>
        <w:t>февралю 1944</w:t>
      </w:r>
      <w:r w:rsidRPr="007224C3">
        <w:rPr>
          <w:color w:val="000000" w:themeColor="text1"/>
          <w:lang w:val="ru-RU"/>
        </w:rPr>
        <w:t xml:space="preserve"> г.</w:t>
      </w:r>
      <w:r w:rsidRPr="007224C3">
        <w:rPr>
          <w:rStyle w:val="7TimesNewRoman1"/>
          <w:rFonts w:eastAsia="Arial Unicode MS"/>
          <w:bCs/>
          <w:strike w:val="0"/>
          <w:color w:val="000000" w:themeColor="text1"/>
          <w:spacing w:val="0"/>
          <w:lang w:val="ru-RU"/>
        </w:rPr>
        <w:t xml:space="preserve"> завод № 589 НКВ</w:t>
      </w:r>
      <w:r w:rsidRPr="007224C3">
        <w:rPr>
          <w:color w:val="000000" w:themeColor="text1"/>
          <w:lang w:val="ru-RU"/>
        </w:rPr>
        <w:t>модернизировал ВМШ-2, учтя все пожелания фронтовых лётчиков. Постановлением ГКО от 6 апреля 1944 г. ВМШ-2 был официально запущен в серийное производство и стал устанав</w:t>
      </w:r>
      <w:r w:rsidRPr="007224C3">
        <w:rPr>
          <w:color w:val="000000" w:themeColor="text1"/>
          <w:lang w:val="ru-RU"/>
        </w:rPr>
        <w:softHyphen/>
        <w:t>ливаться на всех выпускаемых штурмовиках Ил-2.</w:t>
      </w:r>
    </w:p>
    <w:p w14:paraId="2D8EE9CD" w14:textId="77777777" w:rsidR="00D86EA0" w:rsidRPr="007224C3" w:rsidRDefault="00D86EA0" w:rsidP="007224C3">
      <w:pPr>
        <w:pStyle w:val="a3"/>
        <w:rPr>
          <w:color w:val="000000" w:themeColor="text1"/>
          <w:lang w:val="ru-RU"/>
        </w:rPr>
      </w:pPr>
      <w:r w:rsidRPr="007224C3">
        <w:rPr>
          <w:color w:val="000000" w:themeColor="text1"/>
          <w:lang w:val="ru-RU"/>
        </w:rPr>
        <w:t>Несмотря на столь длительную доводку, ВМШ-2 всё же не нашел широкого применения в частях штурмовой авиации ВВС КА. Как ни старались привить уважение лётчиков к этому при</w:t>
      </w:r>
      <w:r w:rsidRPr="007224C3">
        <w:rPr>
          <w:color w:val="000000" w:themeColor="text1"/>
          <w:lang w:val="ru-RU"/>
        </w:rPr>
        <w:softHyphen/>
        <w:t>бору и заставить пользоваться и'м, ничего из этого не получилось, хотя временной механизм и просуществовал на вооружении Ил-2 до самого окончания войны.</w:t>
      </w:r>
    </w:p>
    <w:p w14:paraId="5EAC37D6" w14:textId="77777777" w:rsidR="00D86EA0" w:rsidRPr="007224C3" w:rsidRDefault="00D86EA0" w:rsidP="007224C3">
      <w:pPr>
        <w:pStyle w:val="a3"/>
        <w:rPr>
          <w:color w:val="000000" w:themeColor="text1"/>
          <w:lang w:val="ru-RU"/>
        </w:rPr>
      </w:pPr>
      <w:r w:rsidRPr="007224C3">
        <w:rPr>
          <w:color w:val="000000" w:themeColor="text1"/>
          <w:lang w:val="ru-RU"/>
        </w:rPr>
        <w:t>Основным недостатком ВМШ-2, из-за которого его и не любили лётчики, был ограниченный диапазон высот боевого применения и дискретность их выбора.</w:t>
      </w:r>
    </w:p>
    <w:p w14:paraId="0FE6E8D5" w14:textId="77777777" w:rsidR="00D86EA0" w:rsidRPr="007224C3" w:rsidRDefault="00D86EA0" w:rsidP="007224C3">
      <w:pPr>
        <w:pStyle w:val="a3"/>
        <w:rPr>
          <w:color w:val="000000" w:themeColor="text1"/>
          <w:lang w:val="ru-RU"/>
        </w:rPr>
      </w:pPr>
      <w:r w:rsidRPr="007224C3">
        <w:rPr>
          <w:color w:val="000000" w:themeColor="text1"/>
          <w:lang w:val="ru-RU"/>
        </w:rPr>
        <w:t>Бомбометание с горизонтального полёта при помощи ВМШ-2 могло производиться с высот 70, 100, 200, 300 м и выше (всё кратно 100 м), а бомбометание на выходе из пикирования только с высоты 400 м, хотя ввод в пикирование осуществлялся с различных высот: от 600 м до 1 200 м. К тому же, использование ВМШ-2 требовало длительного нахождения над целью без противозенитного манёвра. Всё это приводило к излишнему однообразию тактических при</w:t>
      </w:r>
      <w:r w:rsidRPr="007224C3">
        <w:rPr>
          <w:color w:val="000000" w:themeColor="text1"/>
          <w:lang w:val="ru-RU"/>
        </w:rPr>
        <w:softHyphen/>
        <w:t>ёмов над целью, и противник наносил Ил-2 тяжелые потери, в основном огнём малокалиберной зенитной артиллерии и крупнокалиберных зенитных пулемётов (15978).</w:t>
      </w:r>
    </w:p>
    <w:p w14:paraId="287EEFEC" w14:textId="77777777" w:rsidR="00D86EA0" w:rsidRPr="007224C3" w:rsidRDefault="00D86EA0" w:rsidP="007224C3">
      <w:pPr>
        <w:pStyle w:val="a3"/>
        <w:rPr>
          <w:color w:val="000000" w:themeColor="text1"/>
          <w:lang w:val="ru-RU"/>
        </w:rPr>
      </w:pPr>
    </w:p>
    <w:p w14:paraId="28C7019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февралю 1944 г. штурмовик Су-6 АМ-42 был построен и прошел сначала заводские испытания, а затем начал проходить государственные испытания (9649).</w:t>
      </w:r>
    </w:p>
    <w:p w14:paraId="75948A9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отличие от Су-б М-71Ф консоли крыла Су-б АМ-42 выполнялись металлическими с увеличенной до 28,6 м2 площадью.</w:t>
      </w:r>
    </w:p>
    <w:p w14:paraId="5E95BE6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Кроме того, была увеличена компенсация рулей высоты и элеронов, поставлено хвостовое колесо 400х150 мм вместо 300х125 мм, установлены прицел ПБП-16 (вместо ВВ-1) и четырехлопастный винт АВ-9Л-172 диаметром 3,4 м.</w:t>
      </w:r>
    </w:p>
    <w:p w14:paraId="31B6B03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Из-за необходимости бронирования мотора АМ-42 со всех сторон вес брони увеличился на 252 кг (толщина бронекапота 4 мм).</w:t>
      </w:r>
    </w:p>
    <w:p w14:paraId="4893014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 пустого самолета составил 4370 кг, вес боевой нагрузки - 1375 кг.</w:t>
      </w:r>
    </w:p>
    <w:p w14:paraId="4AA5C03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Стрелково-пушечное вооружение штурмовика осталось прежним: две крыльевых пушки НС-37 (те же 11П-37 в серии) с боекомплектом 90 снарядов, два крыльевых пулемета ШКАС (1400 патронов) и один пулемет УБТ в блистере (196 патронов).</w:t>
      </w:r>
    </w:p>
    <w:p w14:paraId="53CBBE4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Бомбовая нагрузка увеличена до 400 кг (в перегрузку).</w:t>
      </w:r>
    </w:p>
    <w:p w14:paraId="4A4F311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процессе отработки программы государственных летных испытаний был выявлен ряд серьезных конструктивных и производственных дефектов установленного на самолете экземпляра АМ-42 (возгорание смеси во всасывающих патрубках, повышенный в 4-5 раз расход масла), порожденных скоростным проектированием мотора в условиях военного времени.</w:t>
      </w:r>
    </w:p>
    <w:p w14:paraId="5B19FE0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этой связи полностью снять летные характеристики Су-б АМ-42 с пушками НС-37 не удалось.</w:t>
      </w:r>
    </w:p>
    <w:p w14:paraId="0F33AD9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 скорость штурмовика на высоте 1000 м составила 508 км/ч, на высоте 2000 м - 519 км/ч. На высоту 1000 м самолет забирался за две мин., а на 3000 м - за шесть мин.</w:t>
      </w:r>
    </w:p>
    <w:p w14:paraId="4C961E5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ходе испытаний крупнокалиберные пушки НС-37 были заменены на стандартные пушки штурмовой авиации Красной армии - ВЯ-23 (240 снарядов). Предельный вес бомбовой нагрузки вырос до 600 кг. Вес пустого самолета стал - 4366 кг (9649).</w:t>
      </w:r>
    </w:p>
    <w:p w14:paraId="3615DB5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8BC714" w14:textId="77777777" w:rsidR="00282955" w:rsidRPr="007224C3" w:rsidRDefault="0028295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К февралю 1944 г. на Константиновском стеклозаводе начались восстановительные работы. Уже с начала </w:t>
      </w:r>
      <w:r w:rsidRPr="007224C3">
        <w:rPr>
          <w:rFonts w:ascii="Times New Roman" w:hAnsi="Times New Roman"/>
          <w:color w:val="000000" w:themeColor="text1"/>
          <w:sz w:val="16"/>
          <w:szCs w:val="16"/>
          <w:lang w:val="en-US"/>
        </w:rPr>
        <w:t>III</w:t>
      </w:r>
      <w:r w:rsidRPr="007224C3">
        <w:rPr>
          <w:rFonts w:ascii="Times New Roman" w:hAnsi="Times New Roman"/>
          <w:color w:val="000000" w:themeColor="text1"/>
          <w:sz w:val="16"/>
          <w:szCs w:val="16"/>
        </w:rPr>
        <w:t xml:space="preserve"> квартала завод начал выпускать сталинит по довоенной технологии. Планировалось, что с выходом на проектную мощность он будет производить до 2000 ком</w:t>
      </w:r>
      <w:r w:rsidRPr="007224C3">
        <w:rPr>
          <w:rFonts w:ascii="Times New Roman" w:hAnsi="Times New Roman"/>
          <w:color w:val="000000" w:themeColor="text1"/>
          <w:sz w:val="16"/>
          <w:szCs w:val="16"/>
        </w:rPr>
        <w:softHyphen/>
        <w:t>плектов таблеток сталинита в месяц (17481).</w:t>
      </w:r>
    </w:p>
    <w:p w14:paraId="306158DB" w14:textId="77777777" w:rsidR="00282955" w:rsidRPr="007224C3" w:rsidRDefault="00282955" w:rsidP="007224C3">
      <w:pPr>
        <w:spacing w:after="0" w:line="240" w:lineRule="auto"/>
        <w:jc w:val="both"/>
        <w:rPr>
          <w:rFonts w:ascii="Times New Roman" w:hAnsi="Times New Roman"/>
          <w:color w:val="000000" w:themeColor="text1"/>
          <w:sz w:val="16"/>
          <w:szCs w:val="16"/>
        </w:rPr>
      </w:pPr>
    </w:p>
    <w:p w14:paraId="219A968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февралю 1944 г. на ДДБШ 2М-71Ф (Су-8) пушки НС-37 были заменены на пушки НС-45 ОКБ-16 калибра 45 мм (200 снарядов).</w:t>
      </w:r>
    </w:p>
    <w:p w14:paraId="428CE7F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Это решение обуславливалось тем, что разрушающее действие, используемого в НС-45, штатного фугасно-ос-колочного снаряда (масса 1065 г.) от 45-мм противотанковой пушки было вдвое выше, чем у снаряда к пушке НС-37. Последнее требовалось для гарантированного поражения тяжелых немецких танков.</w:t>
      </w:r>
    </w:p>
    <w:p w14:paraId="32AC00C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Стрелковое вооружение осталось прежним: восемь пулеметов ШКАС (по четыре на каждой консоли крыла) с боезапасом 4800 патронов, два подвижных оборонительных пулемета в кабине стрелка-радиста - УБТ (200 патронов) на верхней турели УТК-1 и пулемет ШКАС (700 патронов) на нижней люковой турели ЛУ-100.</w:t>
      </w:r>
    </w:p>
    <w:p w14:paraId="0BA639B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Ракетное вооружение включало б реактивных снарядов PC-82 или РОФС-132 (в перегрузку 10).</w:t>
      </w:r>
    </w:p>
    <w:p w14:paraId="03010B8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Бомбы размещались в шести бом-боотсеках, расположенных в центроплане. Каждый отсек вмещал в себя одну бомбу весом в 100 кг (всего 600 кг), или несколько авиабомб меньшего калибра от 1 до 25 кг (всего 900 кг).</w:t>
      </w:r>
    </w:p>
    <w:p w14:paraId="5A232E8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Под фюзеляжем предусматривалась возможность подвески трех бомб калибра 100 кг (300 кг) или 250 кг (750 кг), либо двух бомб калибра 500 кг, либо двух ВАП-500.</w:t>
      </w:r>
    </w:p>
    <w:p w14:paraId="12BCC2A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перегрузочном полетном весе самолета 13 381 кг предельный вес бомбовой нагрузки составлял 1400 кг.</w:t>
      </w:r>
    </w:p>
    <w:p w14:paraId="6E83F70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 пустого самолета составлял 9168 кг. Нормальный вес полезной нагрузки равнялся 3045 кг.</w:t>
      </w:r>
    </w:p>
    <w:p w14:paraId="57A7AAA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нормальном полетном весе 12213 кг максимальная скорость у земли Су-8 2М-71ф составила 485 км/ч (на форсаже 515 км/ч), на высоте 4600 м - 550 км/ч. Время подъема на высоту 4000 м - 7,26 мин. Посадочная скорость 138 км/ч.</w:t>
      </w:r>
    </w:p>
    <w:p w14:paraId="564A484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 дальность полета на высоте 1000 м при перегрузочном полетном весе (600 кг бомб) на скорости 335 км/ч составляла 1500 км, а при нормальном полетном весе (600 кг бомб) в тех же условиях - 1000 км.</w:t>
      </w:r>
    </w:p>
    <w:p w14:paraId="7AC4429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Анализ боевых возможностей тяжелого штурмовика ОКБ Сухого показывает, что Су-8 мог успешно осуществлять как авиационную поддержку своих войск на этапе прорыва обороны противника, уничтожая хорошо защищенные наземные цели противника, в том числе и танки, так и авиационное сопровождение танковых и моторизованных соединений Красной армии на всех этапах ввода последних в прорыв.</w:t>
      </w:r>
    </w:p>
    <w:p w14:paraId="563C1A9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 кроме этого, мог эффективно действовать в оперативной зоне и войсковых тылах противника по резервам на марше и в местах их сосредоточения, по танковым и моторизованным колоннам, по самолетам на аэродромах, по железнодорожным составам и станциям, и т. д.</w:t>
      </w:r>
    </w:p>
    <w:p w14:paraId="5AD4C41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То есть, двухмоторный бронированный “сухой” накрывал абсолютно все боевые задачи авиационной поддержки наземных войск при проведении последними как глубокой наступательной, так и оборонительной операций.</w:t>
      </w:r>
    </w:p>
    <w:p w14:paraId="2F73406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Оценки показывают, что в типовых условиях боев летчик с хорошей летной и стрелковой подготовкой на штурмовике Су-8 2М-71ф с противотанковым вариантом вооружения (4 НС-45, 6-10 РОФС-132 или PC-82) уже в первой атаке мог обеспечить вероятность поражения немецкого среднего танка типа Pz. IV Ausf G (атака сбоку, угол планирования 25-30°, дистанция открытия огня 300-400 м) порядка 0,55-0,36, а бронетранспортера типа Sd Kfz 250 - 0,95-0,9.</w:t>
      </w:r>
    </w:p>
    <w:p w14:paraId="737B9DE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Если еще учесть 6-10 реактивных снарядов и 600-1400 кг авиабомб, то Су-8 в каждом боевом вылете мог гарантированно поражать один-два средних или тяжелых танков вермахта, конечно, при наличие таковых на поле боя.</w:t>
      </w:r>
    </w:p>
    <w:p w14:paraId="68651D2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сожалению, пассивная позиция Наркомата авиапромышленности в вопросе налаживания крупносерийного производства моторов М-71Ф ре-шило судьбу суховского тяжелого штурмовика - также как и Су-б М-71Ф, в серии Су-8 не строился.</w:t>
      </w:r>
    </w:p>
    <w:p w14:paraId="0A1D302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К тому же, шел 1944 г. и у руководства страны, ВВС и НКАП к этому времени сложилось устойчивое мнение, что войну можно выиграть и без столь дорогой и сложной машины, как Су-8, пусть даже значительно более эффективной, чем дешевые одномоторные штурмовики.</w:t>
      </w:r>
    </w:p>
    <w:p w14:paraId="1CCDE63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Очевидно, что постановка этой машины на вооружение штурмовых авиадивизий или авиакорпусов РВГК Красной армии, например, из расчета один полк Су-8-х на два-три полка более дешевых одномоторных штурмовиков типа Су-6 М-71Ф, Ил-2 АМ-38Ф или Ил-10 АМ-42, существенно повысила бы пробивную мощь подвижных танковых и конно-механизированных групп прорыва Красной армии и устойчивость противотанковой обороны войск, что уменьшило бы потери войск.</w:t>
      </w:r>
    </w:p>
    <w:p w14:paraId="2206C5B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Кроме того, как показывает анализ боевого опыта применения Ил-2 на флоте, Су-8-й вполне мог претендовать на роль оптимального морского штурмовика 2-й Мировой войны, обладая всеми необходимыми для этого качествами: сильным бронированием, мощным вооружением и достаточной дальностью полета...</w:t>
      </w:r>
    </w:p>
    <w:p w14:paraId="78DB0A1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Пытаясь спасти штурмовик, П.О.Сухой перепроектирует Су-8 (практически без изменений в аэродинамической компоновке и конструкции уже летавшего самолета) под мотор АМ-42 с взлетной мощностью 2000 л. с.</w:t>
      </w:r>
    </w:p>
    <w:p w14:paraId="061EF8B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 пустого самолета увеличился до 9728 кг. Вес полезной нагрузки -3046 кг. Нормальный полетный вес -12 774 кг. Винты четырехлопастные диаметром 4 м.</w:t>
      </w:r>
    </w:p>
    <w:p w14:paraId="6D3733C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 скорость у земли на номинальном режиме работы мотора составляла 485 км/ч, на высоте 2500 м - 525 км/ч. Время подъема на высоту 4000 м - 8,5 мин. Максимальная скоростная дальность (на 0,9Vmax) полета на высоте 1000 м - 620 км.</w:t>
      </w:r>
    </w:p>
    <w:p w14:paraId="79CB44B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Развития этот проект не получил...(9649).</w:t>
      </w:r>
    </w:p>
    <w:p w14:paraId="0617390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F2BB32" w14:textId="77777777" w:rsidR="00D86EA0"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52045337" w14:textId="77777777" w:rsidR="00D86EA0" w:rsidRPr="007224C3" w:rsidRDefault="00D86EA0"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AF94DF5" w14:textId="77777777" w:rsidR="0018364B" w:rsidRPr="007224C3" w:rsidRDefault="0018364B" w:rsidP="007224C3">
      <w:pPr>
        <w:pStyle w:val="rtejustify"/>
        <w:shd w:val="clear" w:color="auto" w:fill="FFFFFF"/>
        <w:spacing w:before="0" w:after="0"/>
        <w:rPr>
          <w:color w:val="000000" w:themeColor="text1"/>
          <w:sz w:val="16"/>
          <w:szCs w:val="16"/>
        </w:rPr>
      </w:pPr>
      <w:r w:rsidRPr="007224C3">
        <w:rPr>
          <w:color w:val="000000" w:themeColor="text1"/>
          <w:sz w:val="16"/>
          <w:szCs w:val="16"/>
        </w:rPr>
        <w:t>В начале 1944 года пошла в серию очередная бомбардировочная модификация F-8, сделанная на основе планера А-8 с крупнокалиберными пулеметами под капотом. На ней опять появился подфюзеляжный пилон ЕТС-501 в комплекте с четырьмя подкрыльевыми бомбодержателями ЕТС-50 или более новыми ЕТС-71.</w:t>
      </w:r>
    </w:p>
    <w:p w14:paraId="193075D7" w14:textId="77777777" w:rsidR="0018364B" w:rsidRPr="007224C3" w:rsidRDefault="0018364B" w:rsidP="007224C3">
      <w:pPr>
        <w:pStyle w:val="rtejustify"/>
        <w:shd w:val="clear" w:color="auto" w:fill="FFFFFF"/>
        <w:spacing w:before="0" w:after="0"/>
        <w:rPr>
          <w:color w:val="000000" w:themeColor="text1"/>
          <w:sz w:val="16"/>
          <w:szCs w:val="16"/>
        </w:rPr>
      </w:pPr>
      <w:r w:rsidRPr="007224C3">
        <w:rPr>
          <w:color w:val="000000" w:themeColor="text1"/>
          <w:sz w:val="16"/>
          <w:szCs w:val="16"/>
        </w:rPr>
        <w:t>Параллельно с фронтовыми истребителями-бомбардировщиками серии F на базе «Фокке-Вульфа» выпускались дальние истребители-бомбардировщики серии G. У них еще более облегчили стрелковое вооружение, убрав синхронные пулеметы и оставив только две пушки MG-151 в центроплане. Впрочем, даже такое «очень слабое», по немецким меркам, вооружение по огневой мощи не уступало Ла-5.</w:t>
      </w:r>
    </w:p>
    <w:p w14:paraId="732577AB" w14:textId="77777777" w:rsidR="0018364B" w:rsidRPr="007224C3" w:rsidRDefault="0018364B" w:rsidP="007224C3">
      <w:pPr>
        <w:pStyle w:val="rtejustify"/>
        <w:shd w:val="clear" w:color="auto" w:fill="FFFFFF"/>
        <w:spacing w:before="0" w:after="0"/>
        <w:rPr>
          <w:color w:val="000000" w:themeColor="text1"/>
          <w:sz w:val="16"/>
          <w:szCs w:val="16"/>
        </w:rPr>
      </w:pPr>
      <w:r w:rsidRPr="007224C3">
        <w:rPr>
          <w:color w:val="000000" w:themeColor="text1"/>
          <w:sz w:val="16"/>
          <w:szCs w:val="16"/>
        </w:rPr>
        <w:t>FW 190G были оборудованы подфюзеляжным бомбовым пилоном ЕТС-501 и двумя подкрыльевыми ЕТС-250. Таким образом, они могли нести 500-килограммовую бомбу и два 300-литровых подвесных бака. При «работе» на малую дальность на подкрыльевые пилоны иногда вешали 250-килограммовые бомбы, в результате чего масса боевой нагрузки достигала тонны.</w:t>
      </w:r>
    </w:p>
    <w:p w14:paraId="7F6CCEA8" w14:textId="77777777" w:rsidR="0018364B" w:rsidRPr="007224C3" w:rsidRDefault="0018364B" w:rsidP="007224C3">
      <w:pPr>
        <w:pStyle w:val="rtejustify"/>
        <w:shd w:val="clear" w:color="auto" w:fill="FFFFFF"/>
        <w:spacing w:before="0" w:after="0"/>
        <w:rPr>
          <w:color w:val="000000" w:themeColor="text1"/>
          <w:sz w:val="16"/>
          <w:szCs w:val="16"/>
        </w:rPr>
      </w:pPr>
      <w:r w:rsidRPr="007224C3">
        <w:rPr>
          <w:color w:val="000000" w:themeColor="text1"/>
          <w:sz w:val="16"/>
          <w:szCs w:val="16"/>
        </w:rPr>
        <w:t>Рассматривать ТТХ нагруженного подобным образом «Фокке-Вульфа» в сравнении с «яками» и «лавочкиными» бессмысленно, поскольку это уже не истребитель, а бомбардировщик. Но, освободившись от бомб, он в принципе мог вступить в воздушный бой, и в этом случае его характеристики примерно соответствовали летным данным «Фокке-Вульфа» серии «А», так как увеличение веса из-за дополнительного бронирования и ухудшение аэродинамики за счет бомбовых пилонов компенсировалось облегчением стрелкового вооружения (19178).</w:t>
      </w:r>
    </w:p>
    <w:p w14:paraId="0C4106D5" w14:textId="77777777" w:rsidR="0018364B" w:rsidRPr="007224C3" w:rsidRDefault="0018364B" w:rsidP="007224C3">
      <w:pPr>
        <w:pStyle w:val="rtejustify"/>
        <w:shd w:val="clear" w:color="auto" w:fill="FFFFFF"/>
        <w:spacing w:before="0" w:after="0"/>
        <w:rPr>
          <w:color w:val="000000" w:themeColor="text1"/>
          <w:sz w:val="16"/>
          <w:szCs w:val="16"/>
        </w:rPr>
      </w:pPr>
    </w:p>
    <w:p w14:paraId="35AFE056" w14:textId="77777777" w:rsidR="00D86EA0" w:rsidRPr="007224C3" w:rsidRDefault="00D86E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февралю 1944 года, со значительным отставанием от графика, ракеты Вассерфаль были переданы на полигон на острове Грефсвальдер. К марту 1945 года ракета достигала высот 18-20 км и скорости 760 км/ч. Старт производился вертикально вверх со специального пускового станка, и уже в воздухе поворачивалась на цель. К концу войны "Вассерфаль" была настолько готова, что могла быть развернута для боевого дежурства, но война закончилась поражением Третьего Рейха.</w:t>
      </w:r>
    </w:p>
    <w:p w14:paraId="373E1D9B" w14:textId="77777777" w:rsidR="00D86EA0" w:rsidRPr="007224C3" w:rsidRDefault="00D86EA0" w:rsidP="007224C3">
      <w:pPr>
        <w:spacing w:after="0" w:line="240" w:lineRule="auto"/>
        <w:jc w:val="both"/>
        <w:rPr>
          <w:rFonts w:ascii="Times New Roman" w:hAnsi="Times New Roman"/>
          <w:color w:val="000000" w:themeColor="text1"/>
          <w:sz w:val="16"/>
          <w:szCs w:val="16"/>
        </w:rPr>
      </w:pPr>
    </w:p>
    <w:p w14:paraId="65029F65" w14:textId="77777777" w:rsidR="0018364B" w:rsidRPr="007224C3" w:rsidRDefault="0018364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1944 года на Ferand and Delorme Ltd начался выпуск бронированных снегоходов (до марта 1945 года построили 410 единиц). Из них в Канаде осталось 11 единиц, 396 попало в Англию, а 3 — в СССР (18251).</w:t>
      </w:r>
    </w:p>
    <w:p w14:paraId="30A9C899" w14:textId="77777777" w:rsidR="0018364B" w:rsidRPr="007224C3" w:rsidRDefault="0018364B" w:rsidP="007224C3">
      <w:pPr>
        <w:spacing w:after="0" w:line="240" w:lineRule="auto"/>
        <w:jc w:val="both"/>
        <w:rPr>
          <w:rFonts w:ascii="Times New Roman" w:hAnsi="Times New Roman"/>
          <w:color w:val="000000" w:themeColor="text1"/>
          <w:sz w:val="16"/>
          <w:szCs w:val="16"/>
        </w:rPr>
      </w:pPr>
    </w:p>
    <w:p w14:paraId="7C81666D" w14:textId="77777777" w:rsidR="0018364B" w:rsidRPr="007224C3" w:rsidRDefault="0018364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0B43636E" w14:textId="77777777" w:rsidR="0018364B" w:rsidRPr="007224C3" w:rsidRDefault="0018364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34A21F1" w14:textId="77777777" w:rsidR="0018364B" w:rsidRPr="007224C3" w:rsidRDefault="0018364B" w:rsidP="007224C3">
      <w:pPr>
        <w:pStyle w:val="ae"/>
        <w:shd w:val="clear" w:color="auto" w:fill="FFFFFF"/>
        <w:spacing w:before="0" w:after="0"/>
        <w:jc w:val="both"/>
        <w:textAlignment w:val="baseline"/>
        <w:rPr>
          <w:color w:val="000000" w:themeColor="text1"/>
          <w:sz w:val="16"/>
          <w:szCs w:val="16"/>
        </w:rPr>
      </w:pPr>
      <w:r w:rsidRPr="007224C3">
        <w:rPr>
          <w:color w:val="000000" w:themeColor="text1"/>
          <w:sz w:val="16"/>
          <w:szCs w:val="16"/>
        </w:rPr>
        <w:t>К февралю 1944 г. Су-6 с мотором жидкостного охлаждения АМ-42 был построен и прошел сначала заводские испытания, а затем начал проходить государственные испытания.</w:t>
      </w:r>
    </w:p>
    <w:p w14:paraId="3E04F01F" w14:textId="77777777" w:rsidR="0018364B" w:rsidRPr="007224C3" w:rsidRDefault="0018364B" w:rsidP="007224C3">
      <w:pPr>
        <w:pStyle w:val="ae"/>
        <w:shd w:val="clear" w:color="auto" w:fill="FFFFFF"/>
        <w:spacing w:before="0" w:after="0"/>
        <w:jc w:val="both"/>
        <w:textAlignment w:val="baseline"/>
        <w:rPr>
          <w:color w:val="000000" w:themeColor="text1"/>
          <w:sz w:val="16"/>
          <w:szCs w:val="16"/>
        </w:rPr>
      </w:pPr>
      <w:r w:rsidRPr="007224C3">
        <w:rPr>
          <w:color w:val="000000" w:themeColor="text1"/>
          <w:sz w:val="16"/>
          <w:szCs w:val="16"/>
        </w:rPr>
        <w:t>В отличие от Су-6 М-71Ф консоли крыла Су-6 АМ-42 выполнялись металлическими с увеличенной до 28,6 кв. м площадью.</w:t>
      </w:r>
    </w:p>
    <w:p w14:paraId="5E7C995F" w14:textId="77777777" w:rsidR="0018364B" w:rsidRPr="007224C3" w:rsidRDefault="0018364B" w:rsidP="007224C3">
      <w:pPr>
        <w:pStyle w:val="ae"/>
        <w:shd w:val="clear" w:color="auto" w:fill="FFFFFF"/>
        <w:spacing w:before="0" w:after="0"/>
        <w:jc w:val="both"/>
        <w:textAlignment w:val="baseline"/>
        <w:rPr>
          <w:color w:val="000000" w:themeColor="text1"/>
          <w:sz w:val="16"/>
          <w:szCs w:val="16"/>
        </w:rPr>
      </w:pPr>
      <w:r w:rsidRPr="007224C3">
        <w:rPr>
          <w:color w:val="000000" w:themeColor="text1"/>
          <w:sz w:val="16"/>
          <w:szCs w:val="16"/>
        </w:rPr>
        <w:t>Кроме того, была увеличена компенсация рулей высоты и элеронов, поставлено хвостовое колесо 400×150 мм вместо 300×125 мм, установлены прицел ПБП-16 (вместо ВВ-1) и четырехлопастный винт АВ-9Л-172 диаметром 3,4 м.</w:t>
      </w:r>
    </w:p>
    <w:p w14:paraId="6D14AF9F" w14:textId="77777777" w:rsidR="0018364B" w:rsidRPr="007224C3" w:rsidRDefault="0018364B" w:rsidP="007224C3">
      <w:pPr>
        <w:pStyle w:val="ae"/>
        <w:shd w:val="clear" w:color="auto" w:fill="FFFFFF"/>
        <w:spacing w:before="0" w:after="0"/>
        <w:jc w:val="both"/>
        <w:textAlignment w:val="baseline"/>
        <w:rPr>
          <w:color w:val="000000" w:themeColor="text1"/>
          <w:sz w:val="16"/>
          <w:szCs w:val="16"/>
        </w:rPr>
      </w:pPr>
      <w:r w:rsidRPr="007224C3">
        <w:rPr>
          <w:color w:val="000000" w:themeColor="text1"/>
          <w:sz w:val="16"/>
          <w:szCs w:val="16"/>
        </w:rPr>
        <w:t>Из-за необходимости бронирования мотора АМ-42 со всех сторон вес брони увеличился на 252 кг (толщина бронекапота 4 мм).</w:t>
      </w:r>
    </w:p>
    <w:p w14:paraId="4DA245FF" w14:textId="77777777" w:rsidR="0018364B" w:rsidRPr="007224C3" w:rsidRDefault="0018364B" w:rsidP="007224C3">
      <w:pPr>
        <w:pStyle w:val="ae"/>
        <w:shd w:val="clear" w:color="auto" w:fill="FFFFFF"/>
        <w:spacing w:before="0" w:after="0"/>
        <w:jc w:val="both"/>
        <w:textAlignment w:val="baseline"/>
        <w:rPr>
          <w:color w:val="000000" w:themeColor="text1"/>
          <w:sz w:val="16"/>
          <w:szCs w:val="16"/>
        </w:rPr>
      </w:pPr>
      <w:r w:rsidRPr="007224C3">
        <w:rPr>
          <w:color w:val="000000" w:themeColor="text1"/>
          <w:sz w:val="16"/>
          <w:szCs w:val="16"/>
        </w:rPr>
        <w:t>Вес пустого самолета составил 4370 кг, вес боевой нагрузки — 1375 кг.</w:t>
      </w:r>
    </w:p>
    <w:p w14:paraId="65641C61" w14:textId="77777777" w:rsidR="0018364B" w:rsidRPr="007224C3" w:rsidRDefault="0018364B" w:rsidP="007224C3">
      <w:pPr>
        <w:pStyle w:val="ae"/>
        <w:shd w:val="clear" w:color="auto" w:fill="FFFFFF"/>
        <w:spacing w:before="0" w:after="0"/>
        <w:jc w:val="both"/>
        <w:textAlignment w:val="baseline"/>
        <w:rPr>
          <w:color w:val="000000" w:themeColor="text1"/>
          <w:sz w:val="16"/>
          <w:szCs w:val="16"/>
        </w:rPr>
      </w:pPr>
      <w:r w:rsidRPr="007224C3">
        <w:rPr>
          <w:color w:val="000000" w:themeColor="text1"/>
          <w:sz w:val="16"/>
          <w:szCs w:val="16"/>
        </w:rPr>
        <w:t>Стрелково-пушечное вооружение штурмовика осталось прежним: две крыльевых пушки НС-37 (те же 11П-37 в серии) с боекомплектом 90 снарядов, два крыльевых пулемета ШКАС (1400 патронов) и один пулемет УБТ в блистере (196 патронов).</w:t>
      </w:r>
    </w:p>
    <w:p w14:paraId="4CA19FC9" w14:textId="77777777" w:rsidR="0018364B" w:rsidRPr="007224C3" w:rsidRDefault="0018364B" w:rsidP="007224C3">
      <w:pPr>
        <w:pStyle w:val="ae"/>
        <w:shd w:val="clear" w:color="auto" w:fill="FFFFFF"/>
        <w:spacing w:before="0" w:after="0"/>
        <w:jc w:val="both"/>
        <w:textAlignment w:val="baseline"/>
        <w:rPr>
          <w:color w:val="000000" w:themeColor="text1"/>
          <w:sz w:val="16"/>
          <w:szCs w:val="16"/>
        </w:rPr>
      </w:pPr>
      <w:r w:rsidRPr="007224C3">
        <w:rPr>
          <w:color w:val="000000" w:themeColor="text1"/>
          <w:sz w:val="16"/>
          <w:szCs w:val="16"/>
        </w:rPr>
        <w:t>Бомбовая нагрузка увеличена до 400 кг (в перегрузку).</w:t>
      </w:r>
    </w:p>
    <w:p w14:paraId="6F7BC718" w14:textId="77777777" w:rsidR="0018364B" w:rsidRPr="007224C3" w:rsidRDefault="0018364B" w:rsidP="007224C3">
      <w:pPr>
        <w:pStyle w:val="ae"/>
        <w:shd w:val="clear" w:color="auto" w:fill="FFFFFF"/>
        <w:spacing w:before="0" w:after="0"/>
        <w:jc w:val="both"/>
        <w:textAlignment w:val="baseline"/>
        <w:rPr>
          <w:color w:val="000000" w:themeColor="text1"/>
          <w:sz w:val="16"/>
          <w:szCs w:val="16"/>
        </w:rPr>
      </w:pPr>
      <w:r w:rsidRPr="007224C3">
        <w:rPr>
          <w:color w:val="000000" w:themeColor="text1"/>
          <w:sz w:val="16"/>
          <w:szCs w:val="16"/>
        </w:rPr>
        <w:t>В процессе отработки программы государственных летных испытаний был выявлен ряд серьезных конструктивных и производственных дефектов установленного на самолете экземпляра АМ-42 (возгорание смеси во всасывающих патрубках, повышенный в 4–5 раз расход масла), порожденных скоростным проектированием мотора в условиях военного времени.</w:t>
      </w:r>
    </w:p>
    <w:p w14:paraId="7A91E531" w14:textId="77777777" w:rsidR="0018364B" w:rsidRPr="007224C3" w:rsidRDefault="0018364B" w:rsidP="007224C3">
      <w:pPr>
        <w:pStyle w:val="ae"/>
        <w:shd w:val="clear" w:color="auto" w:fill="FFFFFF"/>
        <w:spacing w:before="0" w:after="0"/>
        <w:jc w:val="both"/>
        <w:textAlignment w:val="baseline"/>
        <w:rPr>
          <w:color w:val="000000" w:themeColor="text1"/>
          <w:sz w:val="16"/>
          <w:szCs w:val="16"/>
        </w:rPr>
      </w:pPr>
      <w:r w:rsidRPr="007224C3">
        <w:rPr>
          <w:color w:val="000000" w:themeColor="text1"/>
          <w:sz w:val="16"/>
          <w:szCs w:val="16"/>
        </w:rPr>
        <w:t>В этой связи полностью снять летные характеристики Су-6 АМ-42 с пушками НС-37 не удалось.</w:t>
      </w:r>
    </w:p>
    <w:p w14:paraId="4A128435" w14:textId="77777777" w:rsidR="0018364B" w:rsidRPr="007224C3" w:rsidRDefault="0018364B" w:rsidP="007224C3">
      <w:pPr>
        <w:pStyle w:val="ae"/>
        <w:shd w:val="clear" w:color="auto" w:fill="FFFFFF"/>
        <w:spacing w:before="0" w:after="0"/>
        <w:jc w:val="both"/>
        <w:textAlignment w:val="baseline"/>
        <w:rPr>
          <w:color w:val="000000" w:themeColor="text1"/>
          <w:sz w:val="16"/>
          <w:szCs w:val="16"/>
        </w:rPr>
      </w:pPr>
      <w:r w:rsidRPr="007224C3">
        <w:rPr>
          <w:color w:val="000000" w:themeColor="text1"/>
          <w:sz w:val="16"/>
          <w:szCs w:val="16"/>
        </w:rPr>
        <w:t>Максимальная скорость штурмовика на высоте 1000 м составила 508 км/ч, на высоте 2000 м — 519 км/ч. На высоту 1000 м самолет забирался за две мин., а на 3000 м — за шесть мин.</w:t>
      </w:r>
    </w:p>
    <w:p w14:paraId="4366C563" w14:textId="77777777" w:rsidR="0018364B" w:rsidRPr="007224C3" w:rsidRDefault="0018364B" w:rsidP="007224C3">
      <w:pPr>
        <w:pStyle w:val="ae"/>
        <w:shd w:val="clear" w:color="auto" w:fill="FFFFFF"/>
        <w:spacing w:before="0" w:after="0"/>
        <w:jc w:val="both"/>
        <w:textAlignment w:val="baseline"/>
        <w:rPr>
          <w:color w:val="000000" w:themeColor="text1"/>
          <w:sz w:val="16"/>
          <w:szCs w:val="16"/>
        </w:rPr>
      </w:pPr>
      <w:r w:rsidRPr="007224C3">
        <w:rPr>
          <w:color w:val="000000" w:themeColor="text1"/>
          <w:sz w:val="16"/>
          <w:szCs w:val="16"/>
        </w:rPr>
        <w:t>В ходе испытаний крупнокалиберные пушки НС-37 были заменены на стандартные пушки штурмовой авиации Красной армии — ВЯ-23 (240 снарядов). Предельный вес бомбовой нагрузки вырос до 600 кг. Вес пустого самолета стал — 4366 кг (19188).</w:t>
      </w:r>
    </w:p>
    <w:p w14:paraId="58AF4287" w14:textId="77777777" w:rsidR="0018364B" w:rsidRPr="007224C3" w:rsidRDefault="0018364B" w:rsidP="007224C3">
      <w:pPr>
        <w:pStyle w:val="ae"/>
        <w:shd w:val="clear" w:color="auto" w:fill="FFFFFF"/>
        <w:spacing w:before="0" w:after="0"/>
        <w:jc w:val="both"/>
        <w:textAlignment w:val="baseline"/>
        <w:rPr>
          <w:color w:val="000000" w:themeColor="text1"/>
          <w:sz w:val="16"/>
          <w:szCs w:val="16"/>
        </w:rPr>
      </w:pPr>
    </w:p>
    <w:p w14:paraId="56980D88" w14:textId="77777777" w:rsidR="0018364B" w:rsidRPr="007224C3" w:rsidRDefault="0018364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224C081A" w14:textId="77777777" w:rsidR="0018364B" w:rsidRPr="007224C3" w:rsidRDefault="0018364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9DFA449" w14:textId="77777777" w:rsidR="0018364B" w:rsidRPr="007224C3" w:rsidRDefault="0018364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февралю 1944 года англичане подготовили довольно внушительный предварительный доклад о танке Т-34. Тем временем ошибочная информация о танке всё ещё находилась в обороте. Например, разведывательный отдел 8-й армии уже в декабре 1943 года получил информацию из немецких источников о том, что лобовая броня имеет толщину 55 мм и установлена под углом 70° от вертикали.</w:t>
      </w:r>
    </w:p>
    <w:p w14:paraId="73AE725D" w14:textId="77777777" w:rsidR="0018364B" w:rsidRPr="007224C3" w:rsidRDefault="0018364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отчёте из Чертси отмечалось, что танк эволюционировал из машин Кристи, но советская ветка развития пошла в другую сторону. По словам британцев, в основу концепции Т-34 легли «простота конструкции, большая универсальная пушка, крепкая броня и, самое главное, возможность массового выпуска в условиях дефицита ресурсов, оборудования и высококвалифицированной рабочей силы». По словам британских специалистов, некоторые детали танка не получили должного внимания по сравнению с британскими машинами, но советские конструкторы трезво оценили самые важные качества машины.</w:t>
      </w:r>
    </w:p>
    <w:p w14:paraId="06663E91" w14:textId="77777777" w:rsidR="0018364B" w:rsidRPr="007224C3" w:rsidRDefault="0018364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Британцы оценили сварной корпус и литую башню танка как отличные с баллистической точки зрения, отметив, что корпус в основном собирается из катаных листов всего трёх толщин (15, 20 и 45 мм). Причин для подозрения в низком качестве брони найдено не было, но было отмечено, что твёрдость литых и катаных деталей брони была выше, чем у американских и британских машин. Поверхности литых деталей были признаны отличными. Обработка катаных деталей была грубой, но это ничего не говорило об их качестве. Сварные швы, как и сама броня, были грубыми, но трещин швов или брони в местах сварки обнаружено не было. Рационально расположенную лобовую плиту британцы оценили весьма высоко, но им не понравилось наличие в ней люка механика-водителя.</w:t>
      </w:r>
    </w:p>
    <w:p w14:paraId="1B7AFFFE" w14:textId="77777777" w:rsidR="0018364B" w:rsidRPr="007224C3" w:rsidRDefault="0018364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Британцам также не понравилось отсутствие защиты башенного погона от заклинивания и отсутствие места, куда можно было бы приварить экраны для этой цели.</w:t>
      </w:r>
    </w:p>
    <w:p w14:paraId="58BB7968" w14:textId="77777777" w:rsidR="0018364B" w:rsidRPr="007224C3" w:rsidRDefault="0018364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Изнутри танк не понравился британцам в такой же степени, что и снаружи. Башня была тесной и затрудняла работу с пушкой, хотя испытатели до проведения полных испытаний стрельбой и не решились сказать насколько. Агрегаты, нужные для ведения боя (прицел, топливный насос и т.д.), были выполнены отлично, но остальные детали признали достаточно грубо обработанными. Автор доклада полагал, что боевые качества танка из-за недостаточной обработки деталей не снижались, но при производстве танка на британских заводах можно было получить более эстетичные изделия без дополнительной затраты человеко-часов.</w:t>
      </w:r>
    </w:p>
    <w:p w14:paraId="2B2D6539" w14:textId="77777777" w:rsidR="0018364B" w:rsidRPr="007224C3" w:rsidRDefault="0018364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пушкой ситуация не вполне понятна. Инструкция по эксплуатации упоминала типы танковых пушек образца 1940, 1941 и 1942 годов. В описи, заполненной в Бакарице, орудие описано как «76-мм пушка Ф-34 образца 1940 года», но, похоже, в Чертси её не получили, так как британцы решили, что это пушка образца 1942 года. По мнению автора доклада, механизм полуавтоматики был похож на аналогичный от американской 75-миллиметровой пушки М3. Британцам понравился большой, до 30°, угол возвышения пушки, но угол склонения в −3° был признан недостаточным. Однако испытатели отметили, что для большего склонения пришлось бы увеличить высоту башни. Дополнительные противовесы на люльке орудия не полностью его уравновешивали, и оставался некоторый перевес в сторону ствола.</w:t>
      </w:r>
    </w:p>
    <w:p w14:paraId="0790F867" w14:textId="77777777" w:rsidR="0018364B" w:rsidRPr="007224C3" w:rsidRDefault="0018364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Испытателям не понравилась рукоятка ручного поворота башни. Из-за того, что она не поворачивалась вокруг своей оси, быстро вращать её было неудобно. Для полного поворота башни требовалось 390 поворотов маховика. Люфт в механизме затруднял наведение на цель. Из жалоб на механизм вертикальной наводки была только одна: при работе с ним наводчик задевал рукой за колени. Для покрытия полного вертикального диапазона пушки требовалось 24 неполных оборота маховика. Электрический мотор поворачивал башню со скоростью около 26° в секунду: для полного поворота башни влево требовалось 13,6–13,8 секунд.</w:t>
      </w:r>
    </w:p>
    <w:p w14:paraId="5F963FD6" w14:textId="77777777" w:rsidR="0018364B" w:rsidRPr="007224C3" w:rsidRDefault="0018364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В танке не нашли ни пистолетов-пулемётов ППШ, ни укладки к ним, но наличие бойниц в танке привело британцев к выводу, что какое-нибудь личное оружие у советских танкистов должно было быть. Магазины для пулемёта ДТ оценили как «простые и эффективные», но британцам явно не понравился лёгкий ствол пулемёта и невозможность быстро сменить его в бою. В отличие от пушки, курсовой пулемёт был хорошо сбалансирован.</w:t>
      </w:r>
    </w:p>
    <w:p w14:paraId="221BEC54" w14:textId="77777777" w:rsidR="0018364B" w:rsidRPr="007224C3" w:rsidRDefault="0018364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Изучение перископического прицела ПТ-4-7 показало светопрозрачность на уровне 26,3%. Телескопический прицел был несколько лучше, пропуская 39,2% входящего света. Для сравнения, немецкий прицел TZF5b, осмотренный британцами, пропускал 20,1%. Резиновые накладки прицелов не полностью блокировали внешний свет, но британцам понравилось, что их можно было подстраивать под правый или левый глаз.</w:t>
      </w:r>
    </w:p>
    <w:p w14:paraId="24462876" w14:textId="77777777" w:rsidR="0018364B" w:rsidRPr="007224C3" w:rsidRDefault="0018364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прицелами произошло ещё одно замешательство. В руководстве был описан клинометр, но его британцы в танке не нашли. Испытатели пришли к выводу, что огонь с закрытых позиций был возможным, если приложить переносной клинометр к казённику пушки. В руководстве также упоминался прицел ПТК-5 в люке на крыше, но и этот прицел британцы не нашли.</w:t>
      </w:r>
    </w:p>
    <w:p w14:paraId="328AF775" w14:textId="77777777" w:rsidR="0018364B" w:rsidRPr="007224C3" w:rsidRDefault="0018364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Видимость из башни с закрытыми люками была оценена как «ограниченная», при этом открытие башенного люка помогало не сильно. Большой люк защищал экипаж спереди, но одновременно затруднял наблюдение. Жалоб на обзор с места механика-водителя не было.</w:t>
      </w:r>
    </w:p>
    <w:p w14:paraId="18440D03" w14:textId="77777777" w:rsidR="0018364B" w:rsidRPr="007224C3" w:rsidRDefault="0018364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Боеукладки были простыми, скомпонованными для вмещения максимального количества патронов, без учёта удобства их вынимания. Британцы хотели бы снять резиновые прокладки на полу, так как те затрудняли доступ к снарядам в ящиках на полу, но боялись без них повредить снаряды, погнув крышки ящиков. Британцы были хорошо знакомы с советскими осколочно-фугасными снарядами, так как те использовались немцами для трофейных пушек 7.62 cm F.K. 295(r).</w:t>
      </w:r>
    </w:p>
    <w:p w14:paraId="05B3E6D6" w14:textId="77777777" w:rsidR="0018364B" w:rsidRPr="007224C3" w:rsidRDefault="0018364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Осматривая двигатель В-2, британцы догадались о его авиационных корнях. Детали отличались друг от друга качеством обработки. Самые важные из них не уступали по качеству аналогичным британским деталям, но литьё было очень грубым. Тем не менее как отметили британцы, не было знаков пористости или низкого качества отливки. Исследователи отметили большое количество штампов, что свидетельствовало о тщательном процессе приёмки.</w:t>
      </w:r>
    </w:p>
    <w:p w14:paraId="61AB62CD" w14:textId="77777777" w:rsidR="0018364B" w:rsidRPr="007224C3" w:rsidRDefault="0018364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 воздушном фильтре было написано очень мало. Отмечалось, что он был выполнен достаточно грубо, как и множество деталей в танке, но особой критике эту конструкцию не подвергли. Нельзя сказать, что британцам было наплевать на воздушные фильтры: например, аналогичный агрегат на «Тигре» </w:t>
      </w:r>
      <w:hyperlink r:id="rId28" w:history="1">
        <w:r w:rsidRPr="007224C3">
          <w:rPr>
            <w:rStyle w:val="a5"/>
            <w:rFonts w:ascii="Times New Roman" w:hAnsi="Times New Roman"/>
            <w:color w:val="000000" w:themeColor="text1"/>
            <w:sz w:val="16"/>
            <w:szCs w:val="16"/>
            <w:u w:val="none"/>
          </w:rPr>
          <w:t>оценили откровенно отрицательно</w:t>
        </w:r>
      </w:hyperlink>
      <w:r w:rsidRPr="007224C3">
        <w:rPr>
          <w:rFonts w:ascii="Times New Roman" w:hAnsi="Times New Roman"/>
          <w:color w:val="000000" w:themeColor="text1"/>
          <w:sz w:val="16"/>
          <w:szCs w:val="16"/>
        </w:rPr>
        <w:t>.</w:t>
      </w:r>
    </w:p>
    <w:p w14:paraId="06FA421F" w14:textId="77777777" w:rsidR="0018364B" w:rsidRPr="007224C3" w:rsidRDefault="0018364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Доступ к трансмиссии был оценён как достаточно простой, но до двигателя было не так легко добраться. Из-за тяжёлой кормовой плиты (864 кг), британцы решили, что для её открытия нужна механическая помощь. Возможность добраться к трансмиссии через откидную кормовую деталь британцы оценили как очень интересную инновацию. Работе самой трансмиссии и коробки передач британцы посвятили множество страниц, но критики в них мало, если не считать обычных замечаний о грубо изготовленных деталях.</w:t>
      </w:r>
    </w:p>
    <w:p w14:paraId="49C7451A" w14:textId="77777777" w:rsidR="0018364B" w:rsidRPr="007224C3" w:rsidRDefault="0018364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целом конструкция танка британцам понравилась. По их мнению, Т-34 был сконструирован людьми, которые отлично представляли реалии войны, возможности отечественной промышленности и особенности русского солдата. Автор доклада посчитал выпуск такого танка, особенно в то время, когда враг лишил советскую промышленность довоенных заводов и рабочих, «первоклассным инженерным достижением» (18249).</w:t>
      </w:r>
    </w:p>
    <w:p w14:paraId="7CB2C5DE" w14:textId="77777777" w:rsidR="0018364B" w:rsidRPr="007224C3" w:rsidRDefault="0018364B" w:rsidP="007224C3">
      <w:pPr>
        <w:spacing w:after="0" w:line="240" w:lineRule="auto"/>
        <w:jc w:val="both"/>
        <w:rPr>
          <w:rFonts w:ascii="Times New Roman" w:hAnsi="Times New Roman"/>
          <w:color w:val="000000" w:themeColor="text1"/>
          <w:sz w:val="16"/>
          <w:szCs w:val="16"/>
        </w:rPr>
      </w:pPr>
    </w:p>
    <w:p w14:paraId="715DC42A"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353B7C7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622A8C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1 февраля 1944 на заводе 1 было изготовлено 2 комплекта деталей металлического крыла Ил-2 с увеличенной стреловидностью, но к сборке крыла не приступали (462,44).</w:t>
      </w:r>
    </w:p>
    <w:p w14:paraId="3AB212C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86CAA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февраля 1944 г. испытатель ЛИИ Г.М. Шиянов поднял в воздух усовершенствованный истребитель Ла-5, "эталон 1944 г.". На нём в полной мере реализовали рекомендации ЦАГИ и добавили кое-что ещё.</w:t>
      </w:r>
    </w:p>
    <w:p w14:paraId="3A1A817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Планер в основном соответствовал "типу 41" с металлическими лонжеронами крыла. Маслорадиатор, как и на предыдущих опытных машинах, перенесли под фюзеляж. Но воздух для нагнетателя теперь забирался через два отверстия в носке центроплана.</w:t>
      </w:r>
    </w:p>
    <w:p w14:paraId="25E6005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Первоначально на "эталоне 1944 г." собирались использовать усовершенствованный мотор М-82ФНА с новым нагнетателем. Он был чуть-чуть длиннее М-82ФН. Однако вскоре выяснилось, что этот двигатель не будет готов в срок. Пришлось вернуться к М-82ФН, но его поставили на другую мотораму и несколько иначе закапо- тировали. Боковые створки укоротили по высоте. На капоте уменьшили количество различных крышек. Поставили индивидуальные (вместо спаренных и строенных) выхлопные патрубки на все цилиндры мотора.</w:t>
      </w:r>
    </w:p>
    <w:p w14:paraId="03A8978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отличие от предшественников на истребителе установили винт ВИШ-105-В4 с профилем лопастей ЦАГИ В-4, рассчитанным на околозвуковые скорости. Он обеспечил более полное использование мощности, отдаваемой двигателем.</w:t>
      </w:r>
    </w:p>
    <w:p w14:paraId="75C8C75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Вместо двух пушек СП-20 асимметрично установили три облегчённые синхронные Б-20. Из-за нового вооружения самолёт иногда именовался "ЗБ". 20-мм пушка Б-20 была разработана на базе популярного крупнокалиберного пулемёта УБ. При той же начальной скорости снаряда и скорострельности она была почти вдвое легче. Таким образом, секундный залп истребителя возрос в полтора раза. Боезапас на каждую пушку составлял 150 патронов.</w:t>
      </w:r>
    </w:p>
    <w:p w14:paraId="329342A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"эталоне" усовершенствовали зализы между крылом и фюзеляжем и увеличили на 3% аэродинамическую компенсацию руля высоты. Последнее почти на четверть снизило нагрузку на ручке управления.</w:t>
      </w:r>
    </w:p>
    <w:p w14:paraId="5670941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 стойки шасси укоротили на 80 мм. Сдвинули назад баллон сжатого воздуха, предназначавшийся для запуска двигателя. Радиоприёмник и передатчик переместили в хвост фюзеляжа, обеспечив их дистанционным управлением. Электросеть стала однопро- водной. Были и другие, более мелкие доработки. В итоге вес пустого самолёта снизился на 71 кг, а полётный - на 55 кг, но центровка сдвинулась назад, снизив запас продольной устойчивости, что особенно сказывалось при наборе высоты.</w:t>
      </w:r>
    </w:p>
    <w:p w14:paraId="37ED787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таком виде "эталон 1944 г." с 16 февраля 1944 г. проходил государственные испытания в НИИ ВВС. Ведущими по машине были инженер В.И. Апексеенко и лётчик А.Г. Кубыш- кин. Максимальная скорость у земли возросла до 597 км/ч, на первой границе высотности (3250 м) - до 670 км/ч, а на второй -до 680 км/ч. Вертикальная скорость у земли составила 21 м/с.</w:t>
      </w:r>
    </w:p>
    <w:p w14:paraId="2C3345B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Подъём на высоту 4000 м занимал 3,4 мин.</w:t>
      </w:r>
    </w:p>
    <w:p w14:paraId="4606918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 испытания пришлось прервать, едва начав. 20 февраля, в девятом полёте, оборвался шатун в моторе. Кубышкину удалось сесть. На ремонт ушло свыше двух недель, полёты возобновились 8 марта. А 22 марта из-за заводского брака (плохой склейки) на рулении разрушился 12-й шпангоут. Но основная программа испытаний к этому времени уже была отработана.</w:t>
      </w:r>
    </w:p>
    <w:p w14:paraId="050A31F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мнению Кубышкина, управлять самолётом стало легче, и решили, что такое состояние вполне приемлемо, за исключением руля поворота, нагрузки от которого заметно ощущались при изменении режима работы мотора. Из- за отсутствия триммера на этом руле лётчику приходилось прикладывать значительные усилия, чтобы на взлёте удержать истребитель от разворота. Температура в кабине, доходившая позднее в жару до 40°С, приносила, конечно, пилоту неудобства. Из-за плохой вентиляции в кабине постоянно чувствовалось присутствие отработанных газов и запах горелой резины. Но в целом самолёт по своим данным мог считаться одним из лучших истребителей своего времени.</w:t>
      </w:r>
    </w:p>
    <w:p w14:paraId="732C0B4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выводах отчёта по государственным испытаниям отмечалось: "Модифицированный самолёт Ла-5 эталон 1944 г.... по максимальной скорости, скороподъёмности стоит на уровне лучших современных истребительных самолётов, находящихся на вооружении ВВС КА и иностранных государств". Специалисты НИИ ВВС знали, что говорили, - ведь через их руки проходили не только советские боевые машины, но и трофейные немецкие, а также самолёты, поступавшие из Великобритании и США.</w:t>
      </w:r>
    </w:p>
    <w:p w14:paraId="7BBA6DB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заключении того же отчёта было записано: "Заданные постановлением ГКО № 5404 от 15 марта 1944 г. для улучшенного Ла-5 максимальная скорость 685 км/ч на высоте 6000 м и полётный вес 3250 кг... практически достигнуты. Рекомендовать в серийное производство самолёт Ла-5 эталон 1944 г. (Ла-7), как имеющий значительные преимущества в лётных данных над... Ла-5, с устранением отмеченных дефектов. Так как на самолёте... установлены опытные пушки УБ-20, испытания которых не закончены в НИИ АВ ВВС, считать целесообразным выпускать самолёты с серийным вооружением, т.е. две пушки СП-20 с боезапасом 340 патронов" (11986).</w:t>
      </w:r>
    </w:p>
    <w:p w14:paraId="3A11446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437AF62B" w14:textId="77777777" w:rsidR="004B3057" w:rsidRPr="007224C3" w:rsidRDefault="004B3057"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 февраля</w:t>
      </w:r>
      <w:r w:rsidRPr="007224C3">
        <w:rPr>
          <w:rFonts w:ascii="Times New Roman" w:hAnsi="Times New Roman"/>
          <w:color w:val="000000" w:themeColor="text1"/>
          <w:sz w:val="16"/>
          <w:szCs w:val="16"/>
        </w:rPr>
        <w:t xml:space="preserve"> в 1944 году первый полёт переходного опытного самолёта от «Ла-5» к «Ла-7», усовершенствованного истребителя </w:t>
      </w:r>
      <w:hyperlink r:id="rId29" w:tgtFrame="_blank" w:history="1">
        <w:r w:rsidRPr="007224C3">
          <w:rPr>
            <w:rFonts w:ascii="Times New Roman" w:hAnsi="Times New Roman"/>
            <w:color w:val="000000" w:themeColor="text1"/>
            <w:sz w:val="16"/>
            <w:szCs w:val="16"/>
          </w:rPr>
          <w:t xml:space="preserve">«Ла-5» "эталон 1944 г.". </w:t>
        </w:r>
      </w:hyperlink>
      <w:r w:rsidRPr="007224C3">
        <w:rPr>
          <w:rFonts w:ascii="Times New Roman" w:hAnsi="Times New Roman"/>
          <w:color w:val="000000" w:themeColor="text1"/>
          <w:sz w:val="16"/>
          <w:szCs w:val="16"/>
        </w:rPr>
        <w:t>Полёт выполнял летчик-испытатель ЛИИ Г.М.Шиянов (15027).</w:t>
      </w:r>
    </w:p>
    <w:p w14:paraId="5F42B107" w14:textId="77777777" w:rsidR="004B3057" w:rsidRPr="007224C3" w:rsidRDefault="004B3057" w:rsidP="007224C3">
      <w:pPr>
        <w:spacing w:after="0" w:line="240" w:lineRule="auto"/>
        <w:jc w:val="both"/>
        <w:rPr>
          <w:rFonts w:ascii="Times New Roman" w:hAnsi="Times New Roman"/>
          <w:color w:val="000000" w:themeColor="text1"/>
          <w:sz w:val="16"/>
          <w:szCs w:val="16"/>
        </w:rPr>
      </w:pPr>
    </w:p>
    <w:p w14:paraId="1C8E387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февраля 1944 года гл. конструктор завода N 240 С.В.И. писал письмо Шахурину.</w:t>
      </w:r>
    </w:p>
    <w:p w14:paraId="17197F7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Представляя при сем список работников Опытно-конструкторского бюро завода N 240 прошу Вас представить их к награждению вместе с представляемыми Вами к правительственным нагарадам работниками заводов NN 1 и 30.</w:t>
      </w:r>
    </w:p>
    <w:p w14:paraId="483C5F6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Коллектив КБ завода N 240 за этот период вместе с работниками заводов N 18, 39 и 126 уже ранее награжденными и с работниками заводов NN 1 и 30, ныне представляемыми к наградам проделал большую работу и вместе с ними переносит все трудности тяжелого военного периода изо всех сил помогая серийным заводам выходить из трудных положений - есть полный список (2562,25).</w:t>
      </w:r>
    </w:p>
    <w:p w14:paraId="4F241A4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11E4C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1 февраля 1944 года N 0106. Гл. инженеру ВВС генерал-полковнику Репину А.К., Шахурину, управление кадров ЦК ВКП(б) генерал лейтенанту авиации Шиманову </w:t>
      </w:r>
      <w:r w:rsidRPr="007224C3">
        <w:rPr>
          <w:rFonts w:ascii="Times New Roman" w:hAnsi="Times New Roman"/>
          <w:color w:val="000000" w:themeColor="text1"/>
          <w:sz w:val="16"/>
          <w:szCs w:val="16"/>
        </w:rPr>
        <w:lastRenderedPageBreak/>
        <w:t>Н.С., гл. конструктору генерал-лейтенанту ИАС Яковлеву.</w:t>
      </w:r>
    </w:p>
    <w:p w14:paraId="4483445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Докладываю о ходе испытаний самолета Як-9у с М-107А.</w:t>
      </w:r>
    </w:p>
    <w:p w14:paraId="7AE2B75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прибыл в НИИ ВВС 14 января 1944 года. До 31 января 1944 года произведено 7 полетов, продолжительностью 3 часа 50 минут, из которых:</w:t>
      </w:r>
    </w:p>
    <w:p w14:paraId="669F913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один полет - для проверки работы ВМГ;</w:t>
      </w:r>
    </w:p>
    <w:p w14:paraId="1292CF5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два полета - для тарировки указателя скорости на мерной базе (километраж);</w:t>
      </w:r>
    </w:p>
    <w:p w14:paraId="2527EBD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один полет - для определения наивыгоднейшей скорости на бора (зубцы);</w:t>
      </w:r>
    </w:p>
    <w:p w14:paraId="0790087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один полет - для определения высоты переключения скоростей нагнетателя и II границы высотности;</w:t>
      </w:r>
    </w:p>
    <w:p w14:paraId="3BA1001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два полета - для определения приемистости самолета на Н=1000 м (разгон и торможение) (1821).</w:t>
      </w:r>
    </w:p>
    <w:p w14:paraId="2A8D43C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6EFA5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1 февраля 1944 состояние опытного строительства на 21 заводе было следующим:</w:t>
      </w:r>
    </w:p>
    <w:p w14:paraId="2485F66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Ла-5 трехточечный (3Б). Произведен пробный полет. Высота - 2000 м, скорость 587. Полетный вес 3246.</w:t>
      </w:r>
    </w:p>
    <w:p w14:paraId="4249B1D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5 февраля все выявленные дефекты будут устранены, с-т полностью готов к испытаниям.</w:t>
      </w:r>
    </w:p>
    <w:p w14:paraId="2039683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Ла-5 3Б дублер - к 23 февраля будет закончено строительство с-та</w:t>
      </w:r>
    </w:p>
    <w:p w14:paraId="555EF1C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Ла-5 М-71 дублер. Работа на с-те не проводится.</w:t>
      </w:r>
    </w:p>
    <w:p w14:paraId="366E07D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Доводки серийных с-тов:</w:t>
      </w:r>
    </w:p>
    <w:p w14:paraId="362F341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Переданы в серию чертежи на изменение системы дренажирования масла. Будет выполнено на 10 с-тах.</w:t>
      </w:r>
    </w:p>
    <w:p w14:paraId="4BEF568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Запущена в производство новая компоновка приборной доски, значительно уменьшающей девиацию магнитного компаса (738,13).</w:t>
      </w:r>
    </w:p>
    <w:p w14:paraId="37D6C3D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2410A8"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139FD90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65656E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период с 1 по 6 февраля 1944 г. пушку Д-25 с телескопическим шарнирным прицелом ТШ-17 установили на опытном танке "Объект 240". Кроме того, заменили подмоторную раму и двигатель.(10703).</w:t>
      </w:r>
    </w:p>
    <w:p w14:paraId="6951E3C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979419A" w14:textId="77777777" w:rsidR="00A9700D" w:rsidRPr="007224C3" w:rsidRDefault="00A9700D" w:rsidP="007224C3">
      <w:pPr>
        <w:shd w:val="clear" w:color="auto" w:fill="FFFFFF"/>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К 1 февраля 1944 завод №8 собрал 36 орудий для Су-86, из которых заказчик при</w:t>
      </w:r>
      <w:r w:rsidRPr="007224C3">
        <w:rPr>
          <w:rFonts w:ascii="Times New Roman" w:hAnsi="Times New Roman"/>
          <w:color w:val="0070C0"/>
          <w:sz w:val="16"/>
          <w:szCs w:val="16"/>
        </w:rPr>
        <w:softHyphen/>
        <w:t>нял 12 штук. Посильную помощь в организа</w:t>
      </w:r>
      <w:r w:rsidRPr="007224C3">
        <w:rPr>
          <w:rFonts w:ascii="Times New Roman" w:hAnsi="Times New Roman"/>
          <w:color w:val="0070C0"/>
          <w:sz w:val="16"/>
          <w:szCs w:val="16"/>
        </w:rPr>
        <w:softHyphen/>
        <w:t xml:space="preserve">ции производства новой для предприятия </w:t>
      </w:r>
      <w:r w:rsidRPr="007224C3">
        <w:rPr>
          <w:rStyle w:val="631"/>
          <w:rFonts w:ascii="Times New Roman" w:hAnsi="Times New Roman" w:cs="Times New Roman"/>
          <w:color w:val="0070C0"/>
          <w:sz w:val="16"/>
          <w:szCs w:val="16"/>
        </w:rPr>
        <w:t>буксируемыми орудийными системами - ока</w:t>
      </w:r>
      <w:r w:rsidRPr="007224C3">
        <w:rPr>
          <w:rStyle w:val="631"/>
          <w:rFonts w:ascii="Times New Roman" w:hAnsi="Times New Roman" w:cs="Times New Roman"/>
          <w:color w:val="0070C0"/>
          <w:sz w:val="16"/>
          <w:szCs w:val="16"/>
        </w:rPr>
        <w:softHyphen/>
        <w:t>зывал завод №9. Правда, при этом практиче</w:t>
      </w:r>
      <w:r w:rsidRPr="007224C3">
        <w:rPr>
          <w:rStyle w:val="631"/>
          <w:rFonts w:ascii="Times New Roman" w:hAnsi="Times New Roman" w:cs="Times New Roman"/>
          <w:color w:val="0070C0"/>
          <w:sz w:val="16"/>
          <w:szCs w:val="16"/>
        </w:rPr>
        <w:softHyphen/>
        <w:t>ски сразу специфика производства букси</w:t>
      </w:r>
      <w:r w:rsidRPr="007224C3">
        <w:rPr>
          <w:rStyle w:val="631"/>
          <w:rFonts w:ascii="Times New Roman" w:hAnsi="Times New Roman" w:cs="Times New Roman"/>
          <w:color w:val="0070C0"/>
          <w:sz w:val="16"/>
          <w:szCs w:val="16"/>
        </w:rPr>
        <w:softHyphen/>
        <w:t>руемых систем выплыла наружу. Дело в том, что завод №8 выпускал 85-мм зенитные пушки 52-К, и перестраивать производство под конструкцию орудия завода №9 там не горели особым желанием. В результате кон</w:t>
      </w:r>
      <w:r w:rsidRPr="007224C3">
        <w:rPr>
          <w:rStyle w:val="631"/>
          <w:rFonts w:ascii="Times New Roman" w:hAnsi="Times New Roman" w:cs="Times New Roman"/>
          <w:color w:val="0070C0"/>
          <w:sz w:val="16"/>
          <w:szCs w:val="16"/>
        </w:rPr>
        <w:softHyphen/>
        <w:t>структорское бюро завода №8 разработало собственную версию орудия для самоходной установки, получившую обозначение Д5-С- 85А. Первое такое орудие завод №8 построил в конце января 1944 г.</w:t>
      </w:r>
    </w:p>
    <w:p w14:paraId="3BD6993F" w14:textId="77777777" w:rsidR="00A9700D" w:rsidRPr="007224C3" w:rsidRDefault="00A9700D" w:rsidP="007224C3">
      <w:pPr>
        <w:spacing w:after="0" w:line="240" w:lineRule="auto"/>
        <w:jc w:val="both"/>
        <w:rPr>
          <w:rStyle w:val="631"/>
          <w:rFonts w:ascii="Times New Roman" w:hAnsi="Times New Roman" w:cs="Times New Roman"/>
          <w:color w:val="0070C0"/>
          <w:sz w:val="16"/>
          <w:szCs w:val="16"/>
        </w:rPr>
      </w:pPr>
      <w:r w:rsidRPr="007224C3">
        <w:rPr>
          <w:rStyle w:val="631"/>
          <w:rFonts w:ascii="Times New Roman" w:hAnsi="Times New Roman" w:cs="Times New Roman"/>
          <w:color w:val="0070C0"/>
          <w:sz w:val="16"/>
          <w:szCs w:val="16"/>
        </w:rPr>
        <w:t>Для Д5-С-85А от зенитного орудия 52-К были взяты затвор и ствол, что существенно</w:t>
      </w:r>
      <w:r w:rsidRPr="007224C3">
        <w:rPr>
          <w:rStyle w:val="641"/>
          <w:rFonts w:ascii="Times New Roman" w:hAnsi="Times New Roman" w:cs="Times New Roman"/>
          <w:color w:val="0070C0"/>
          <w:sz w:val="16"/>
          <w:szCs w:val="16"/>
        </w:rPr>
        <w:t xml:space="preserve"> упрощало выпуск самоходных артиллерий</w:t>
      </w:r>
      <w:r w:rsidRPr="007224C3">
        <w:rPr>
          <w:rStyle w:val="641"/>
          <w:rFonts w:ascii="Times New Roman" w:hAnsi="Times New Roman" w:cs="Times New Roman"/>
          <w:color w:val="0070C0"/>
          <w:sz w:val="16"/>
          <w:szCs w:val="16"/>
        </w:rPr>
        <w:softHyphen/>
      </w:r>
      <w:r w:rsidRPr="007224C3">
        <w:rPr>
          <w:rStyle w:val="631"/>
          <w:rFonts w:ascii="Times New Roman" w:hAnsi="Times New Roman" w:cs="Times New Roman"/>
          <w:color w:val="0070C0"/>
          <w:sz w:val="16"/>
          <w:szCs w:val="16"/>
        </w:rPr>
        <w:t>ских систем. В связи с использованием иного ствола и затвора, Д5-С-85А получила также и ограждение, отличное от конструкции Д5-С- 85. Внешне эти орудия на самоходках отли</w:t>
      </w:r>
      <w:r w:rsidRPr="007224C3">
        <w:rPr>
          <w:rStyle w:val="631"/>
          <w:rFonts w:ascii="Times New Roman" w:hAnsi="Times New Roman" w:cs="Times New Roman"/>
          <w:color w:val="0070C0"/>
          <w:sz w:val="16"/>
          <w:szCs w:val="16"/>
        </w:rPr>
        <w:softHyphen/>
        <w:t>чаются конусностью стволов. Старший воен</w:t>
      </w:r>
      <w:r w:rsidRPr="007224C3">
        <w:rPr>
          <w:rStyle w:val="631"/>
          <w:rFonts w:ascii="Times New Roman" w:hAnsi="Times New Roman" w:cs="Times New Roman"/>
          <w:color w:val="0070C0"/>
          <w:sz w:val="16"/>
          <w:szCs w:val="16"/>
        </w:rPr>
        <w:softHyphen/>
        <w:t>ный представитель на УЗТМ Г.З. Зухер был против такого решения, поскольку оно порождало проблемы с ЗИП и деталями. Тем не менее, 28 января Д5-С-85А прошла успеш</w:t>
      </w:r>
      <w:r w:rsidRPr="007224C3">
        <w:rPr>
          <w:rStyle w:val="631"/>
          <w:rFonts w:ascii="Times New Roman" w:hAnsi="Times New Roman" w:cs="Times New Roman"/>
          <w:color w:val="0070C0"/>
          <w:sz w:val="16"/>
          <w:szCs w:val="16"/>
        </w:rPr>
        <w:softHyphen/>
        <w:t>ные испытания в СУ-85, после чего приняли решение о запуске орудия в серийное про</w:t>
      </w:r>
      <w:r w:rsidRPr="007224C3">
        <w:rPr>
          <w:rStyle w:val="631"/>
          <w:rFonts w:ascii="Times New Roman" w:hAnsi="Times New Roman" w:cs="Times New Roman"/>
          <w:color w:val="0070C0"/>
          <w:sz w:val="16"/>
          <w:szCs w:val="16"/>
        </w:rPr>
        <w:softHyphen/>
        <w:t>изводство. Первые орудия данного типа завод №8 сдал в феврале 1944 года. За этот месяц завод №9 сдал 139 пушек Д5-С-85, а завод №8 - 42, часть из которых была Д5-С- 85А. Самоходные установки с системами Д5- С-85А получили название СУ-85А, что также отражалось на серийном номере машины. Если машина оснащалась Д5-С-85А, то в конце серийного номера выбивалась буква «А» (19889).</w:t>
      </w:r>
    </w:p>
    <w:p w14:paraId="32C1D9BC" w14:textId="77777777" w:rsidR="00A9700D" w:rsidRPr="007224C3" w:rsidRDefault="00A9700D" w:rsidP="007224C3">
      <w:pPr>
        <w:spacing w:after="0" w:line="240" w:lineRule="auto"/>
        <w:jc w:val="both"/>
        <w:rPr>
          <w:rFonts w:ascii="Times New Roman" w:hAnsi="Times New Roman"/>
          <w:color w:val="0070C0"/>
          <w:sz w:val="16"/>
          <w:szCs w:val="16"/>
        </w:rPr>
      </w:pPr>
    </w:p>
    <w:p w14:paraId="059CBBFD" w14:textId="77777777" w:rsidR="00DC6B61" w:rsidRPr="007224C3" w:rsidRDefault="00DC6B61"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1 февраля 1944 года транспор конвоя JW-56A вышедшего 12 января 1944 года из залива Лох-Эве (Шотландия) к берегам СССР, благополучно прибыл в Мурманск, доставив в Советский Союз 11 танков M4A2 и запчасти к ним. Также на борту SS Thorstein Veblen находились три «самоходные пушки Т-70», к каждой из которых имелось по 2 комплекта ЗИП (17673).</w:t>
      </w:r>
    </w:p>
    <w:p w14:paraId="68E49932" w14:textId="77777777" w:rsidR="00DC6B61" w:rsidRPr="007224C3" w:rsidRDefault="00DC6B61"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24D60D86"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февраля 1944 вышло Распоряжение ГКО № 5083 [О выделении 25 автомобилей ГАЗ-67 Госплану СССР для уполномоченных.] (7181, 148).</w:t>
      </w:r>
    </w:p>
    <w:p w14:paraId="42D198E8"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DE3E43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февраля 1944 г. был подготовлен ПЛАН ПРОИЗВОДСТВА УЧЕБНЫХ КИНОФИЛЬМОВ ДЛЯ БРОНЕТАНКОВЫХ И МЕХАНИЗИРОВАННЫХ ВОЙСК КРАСНОЙ АРМИИ, УТВЕРЖДЕННЫЙ ГЛАВПУРККА НА 1944 г.</w:t>
      </w:r>
    </w:p>
    <w:tbl>
      <w:tblPr>
        <w:tblW w:w="0" w:type="auto"/>
        <w:tblInd w:w="40" w:type="dxa"/>
        <w:tblLayout w:type="fixed"/>
        <w:tblCellMar>
          <w:left w:w="40" w:type="dxa"/>
          <w:right w:w="40" w:type="dxa"/>
        </w:tblCellMar>
        <w:tblLook w:val="0000" w:firstRow="0" w:lastRow="0" w:firstColumn="0" w:lastColumn="0" w:noHBand="0" w:noVBand="0"/>
      </w:tblPr>
      <w:tblGrid>
        <w:gridCol w:w="518"/>
        <w:gridCol w:w="6384"/>
        <w:gridCol w:w="1133"/>
        <w:gridCol w:w="1171"/>
      </w:tblGrid>
      <w:tr w:rsidR="005106D0" w:rsidRPr="007224C3" w14:paraId="0AA48CC8" w14:textId="77777777">
        <w:trPr>
          <w:trHeight w:val="432"/>
        </w:trPr>
        <w:tc>
          <w:tcPr>
            <w:tcW w:w="518" w:type="dxa"/>
            <w:tcBorders>
              <w:top w:val="single" w:sz="6" w:space="0" w:color="auto"/>
              <w:left w:val="single" w:sz="6" w:space="0" w:color="auto"/>
              <w:bottom w:val="single" w:sz="6" w:space="0" w:color="auto"/>
              <w:right w:val="single" w:sz="6" w:space="0" w:color="auto"/>
            </w:tcBorders>
          </w:tcPr>
          <w:p w14:paraId="2AB69C9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п. п.</w:t>
            </w:r>
          </w:p>
          <w:p w14:paraId="3AA351C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84" w:type="dxa"/>
            <w:tcBorders>
              <w:top w:val="single" w:sz="6" w:space="0" w:color="auto"/>
              <w:left w:val="single" w:sz="6" w:space="0" w:color="auto"/>
              <w:bottom w:val="single" w:sz="6" w:space="0" w:color="auto"/>
              <w:right w:val="single" w:sz="6" w:space="0" w:color="auto"/>
            </w:tcBorders>
          </w:tcPr>
          <w:p w14:paraId="2686481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Наименование фильмов</w:t>
            </w:r>
          </w:p>
          <w:p w14:paraId="0887942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544BB68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Количество частей</w:t>
            </w:r>
          </w:p>
          <w:p w14:paraId="77A5ED0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3383D24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Стоимость фильма</w:t>
            </w:r>
          </w:p>
          <w:p w14:paraId="6327D85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F566096" w14:textId="77777777">
        <w:trPr>
          <w:trHeight w:val="278"/>
        </w:trPr>
        <w:tc>
          <w:tcPr>
            <w:tcW w:w="518" w:type="dxa"/>
            <w:tcBorders>
              <w:top w:val="single" w:sz="6" w:space="0" w:color="auto"/>
              <w:left w:val="single" w:sz="6" w:space="0" w:color="auto"/>
              <w:bottom w:val="single" w:sz="6" w:space="0" w:color="auto"/>
              <w:right w:val="single" w:sz="6" w:space="0" w:color="auto"/>
            </w:tcBorders>
          </w:tcPr>
          <w:p w14:paraId="65B9871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p w14:paraId="198013D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84" w:type="dxa"/>
            <w:tcBorders>
              <w:top w:val="single" w:sz="6" w:space="0" w:color="auto"/>
              <w:left w:val="single" w:sz="6" w:space="0" w:color="auto"/>
              <w:bottom w:val="single" w:sz="6" w:space="0" w:color="auto"/>
              <w:right w:val="single" w:sz="6" w:space="0" w:color="auto"/>
            </w:tcBorders>
          </w:tcPr>
          <w:p w14:paraId="6185BF1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«Вождение танков в зимних условиях»</w:t>
            </w:r>
          </w:p>
          <w:p w14:paraId="6301116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3B06594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Зч.</w:t>
            </w:r>
          </w:p>
          <w:p w14:paraId="7D9C4BC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7014716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210т.</w:t>
            </w:r>
          </w:p>
          <w:p w14:paraId="5B4F615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02AA3A6" w14:textId="77777777">
        <w:trPr>
          <w:trHeight w:val="269"/>
        </w:trPr>
        <w:tc>
          <w:tcPr>
            <w:tcW w:w="518" w:type="dxa"/>
            <w:tcBorders>
              <w:top w:val="single" w:sz="6" w:space="0" w:color="auto"/>
              <w:left w:val="single" w:sz="6" w:space="0" w:color="auto"/>
              <w:bottom w:val="single" w:sz="6" w:space="0" w:color="auto"/>
              <w:right w:val="single" w:sz="6" w:space="0" w:color="auto"/>
            </w:tcBorders>
          </w:tcPr>
          <w:p w14:paraId="7FC4186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p w14:paraId="20E842C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84" w:type="dxa"/>
            <w:tcBorders>
              <w:top w:val="single" w:sz="6" w:space="0" w:color="auto"/>
              <w:left w:val="single" w:sz="6" w:space="0" w:color="auto"/>
              <w:bottom w:val="single" w:sz="6" w:space="0" w:color="auto"/>
              <w:right w:val="single" w:sz="6" w:space="0" w:color="auto"/>
            </w:tcBorders>
          </w:tcPr>
          <w:p w14:paraId="09571B7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«Регулировка основных механизмов танка ИС»</w:t>
            </w:r>
          </w:p>
          <w:p w14:paraId="6DC5AD7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539DD85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Зч.</w:t>
            </w:r>
          </w:p>
          <w:p w14:paraId="6981A7D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2E11F22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210т.</w:t>
            </w:r>
          </w:p>
          <w:p w14:paraId="01846BD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AA8FDEE" w14:textId="77777777">
        <w:trPr>
          <w:trHeight w:val="278"/>
        </w:trPr>
        <w:tc>
          <w:tcPr>
            <w:tcW w:w="518" w:type="dxa"/>
            <w:tcBorders>
              <w:top w:val="single" w:sz="6" w:space="0" w:color="auto"/>
              <w:left w:val="single" w:sz="6" w:space="0" w:color="auto"/>
              <w:bottom w:val="single" w:sz="6" w:space="0" w:color="auto"/>
              <w:right w:val="single" w:sz="6" w:space="0" w:color="auto"/>
            </w:tcBorders>
          </w:tcPr>
          <w:p w14:paraId="0ED4F12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p w14:paraId="1A33F59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84" w:type="dxa"/>
            <w:tcBorders>
              <w:top w:val="single" w:sz="6" w:space="0" w:color="auto"/>
              <w:left w:val="single" w:sz="6" w:space="0" w:color="auto"/>
              <w:bottom w:val="single" w:sz="6" w:space="0" w:color="auto"/>
              <w:right w:val="single" w:sz="6" w:space="0" w:color="auto"/>
            </w:tcBorders>
          </w:tcPr>
          <w:p w14:paraId="5661002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«Борьба с пожарами танков» (Т-34, КВ и ИС)</w:t>
            </w:r>
          </w:p>
          <w:p w14:paraId="624F229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10EEFFE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2ч.</w:t>
            </w:r>
          </w:p>
          <w:p w14:paraId="3BDD17B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2BE3A18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140т.</w:t>
            </w:r>
          </w:p>
          <w:p w14:paraId="56B9381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7F7176D" w14:textId="77777777">
        <w:trPr>
          <w:trHeight w:val="278"/>
        </w:trPr>
        <w:tc>
          <w:tcPr>
            <w:tcW w:w="518" w:type="dxa"/>
            <w:tcBorders>
              <w:top w:val="single" w:sz="6" w:space="0" w:color="auto"/>
              <w:left w:val="single" w:sz="6" w:space="0" w:color="auto"/>
              <w:bottom w:val="single" w:sz="6" w:space="0" w:color="auto"/>
              <w:right w:val="single" w:sz="6" w:space="0" w:color="auto"/>
            </w:tcBorders>
          </w:tcPr>
          <w:p w14:paraId="602262C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w:t>
            </w:r>
          </w:p>
          <w:p w14:paraId="223586C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84" w:type="dxa"/>
            <w:tcBorders>
              <w:top w:val="single" w:sz="6" w:space="0" w:color="auto"/>
              <w:left w:val="single" w:sz="6" w:space="0" w:color="auto"/>
              <w:bottom w:val="single" w:sz="6" w:space="0" w:color="auto"/>
              <w:right w:val="single" w:sz="6" w:space="0" w:color="auto"/>
            </w:tcBorders>
          </w:tcPr>
          <w:p w14:paraId="7A7F4EA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«Топливная система танкового двигателя В-2»</w:t>
            </w:r>
          </w:p>
          <w:p w14:paraId="00F8A9B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5E93BDE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Зч.</w:t>
            </w:r>
          </w:p>
          <w:p w14:paraId="64E91A6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5DA63A9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210т.</w:t>
            </w:r>
          </w:p>
          <w:p w14:paraId="4D2322B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1A11E6A" w14:textId="77777777">
        <w:trPr>
          <w:trHeight w:val="278"/>
        </w:trPr>
        <w:tc>
          <w:tcPr>
            <w:tcW w:w="518" w:type="dxa"/>
            <w:tcBorders>
              <w:top w:val="single" w:sz="6" w:space="0" w:color="auto"/>
              <w:left w:val="single" w:sz="6" w:space="0" w:color="auto"/>
              <w:bottom w:val="single" w:sz="6" w:space="0" w:color="auto"/>
              <w:right w:val="single" w:sz="6" w:space="0" w:color="auto"/>
            </w:tcBorders>
          </w:tcPr>
          <w:p w14:paraId="3D4A87B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p w14:paraId="6F46410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84" w:type="dxa"/>
            <w:tcBorders>
              <w:top w:val="single" w:sz="6" w:space="0" w:color="auto"/>
              <w:left w:val="single" w:sz="6" w:space="0" w:color="auto"/>
              <w:bottom w:val="single" w:sz="6" w:space="0" w:color="auto"/>
              <w:right w:val="single" w:sz="6" w:space="0" w:color="auto"/>
            </w:tcBorders>
          </w:tcPr>
          <w:p w14:paraId="75390AB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«Система смазки двигателя В-2»</w:t>
            </w:r>
          </w:p>
          <w:p w14:paraId="285E289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3F46FAC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2ч.</w:t>
            </w:r>
          </w:p>
          <w:p w14:paraId="21103FD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076D41B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140т.</w:t>
            </w:r>
          </w:p>
          <w:p w14:paraId="057EEEF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8DD18CA" w14:textId="77777777">
        <w:trPr>
          <w:trHeight w:val="278"/>
        </w:trPr>
        <w:tc>
          <w:tcPr>
            <w:tcW w:w="518" w:type="dxa"/>
            <w:tcBorders>
              <w:top w:val="single" w:sz="6" w:space="0" w:color="auto"/>
              <w:left w:val="single" w:sz="6" w:space="0" w:color="auto"/>
              <w:bottom w:val="single" w:sz="6" w:space="0" w:color="auto"/>
              <w:right w:val="single" w:sz="6" w:space="0" w:color="auto"/>
            </w:tcBorders>
          </w:tcPr>
          <w:p w14:paraId="4D18AF4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w:t>
            </w:r>
          </w:p>
          <w:p w14:paraId="470A4BA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84" w:type="dxa"/>
            <w:tcBorders>
              <w:top w:val="single" w:sz="6" w:space="0" w:color="auto"/>
              <w:left w:val="single" w:sz="6" w:space="0" w:color="auto"/>
              <w:bottom w:val="single" w:sz="6" w:space="0" w:color="auto"/>
              <w:right w:val="single" w:sz="6" w:space="0" w:color="auto"/>
            </w:tcBorders>
          </w:tcPr>
          <w:p w14:paraId="710448D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«Основы танковой электротехники»</w:t>
            </w:r>
          </w:p>
          <w:p w14:paraId="4C6B226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4514334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Зч.</w:t>
            </w:r>
          </w:p>
          <w:p w14:paraId="32FFB41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16AC778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210т.</w:t>
            </w:r>
          </w:p>
          <w:p w14:paraId="7173219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550A286" w14:textId="77777777">
        <w:trPr>
          <w:trHeight w:val="278"/>
        </w:trPr>
        <w:tc>
          <w:tcPr>
            <w:tcW w:w="518" w:type="dxa"/>
            <w:tcBorders>
              <w:top w:val="single" w:sz="6" w:space="0" w:color="auto"/>
              <w:left w:val="single" w:sz="6" w:space="0" w:color="auto"/>
              <w:bottom w:val="single" w:sz="6" w:space="0" w:color="auto"/>
              <w:right w:val="single" w:sz="6" w:space="0" w:color="auto"/>
            </w:tcBorders>
          </w:tcPr>
          <w:p w14:paraId="050CE35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w:t>
            </w:r>
          </w:p>
          <w:p w14:paraId="5A7B226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84" w:type="dxa"/>
            <w:tcBorders>
              <w:top w:val="single" w:sz="6" w:space="0" w:color="auto"/>
              <w:left w:val="single" w:sz="6" w:space="0" w:color="auto"/>
              <w:bottom w:val="single" w:sz="6" w:space="0" w:color="auto"/>
              <w:right w:val="single" w:sz="6" w:space="0" w:color="auto"/>
            </w:tcBorders>
          </w:tcPr>
          <w:p w14:paraId="40E49FE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«Приемы устранения неисправностей электрооборудования танков»</w:t>
            </w:r>
          </w:p>
          <w:p w14:paraId="1DD7B89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77D03D0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2ч.</w:t>
            </w:r>
          </w:p>
          <w:p w14:paraId="0AC1679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38B0F5D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140т.</w:t>
            </w:r>
          </w:p>
          <w:p w14:paraId="77D3D99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13DCC78" w14:textId="77777777">
        <w:trPr>
          <w:trHeight w:val="269"/>
        </w:trPr>
        <w:tc>
          <w:tcPr>
            <w:tcW w:w="518" w:type="dxa"/>
            <w:tcBorders>
              <w:top w:val="single" w:sz="6" w:space="0" w:color="auto"/>
              <w:left w:val="single" w:sz="6" w:space="0" w:color="auto"/>
              <w:bottom w:val="single" w:sz="6" w:space="0" w:color="auto"/>
              <w:right w:val="single" w:sz="6" w:space="0" w:color="auto"/>
            </w:tcBorders>
          </w:tcPr>
          <w:p w14:paraId="5177A89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w:t>
            </w:r>
          </w:p>
          <w:p w14:paraId="768BDF1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84" w:type="dxa"/>
            <w:tcBorders>
              <w:top w:val="single" w:sz="6" w:space="0" w:color="auto"/>
              <w:left w:val="single" w:sz="6" w:space="0" w:color="auto"/>
              <w:bottom w:val="single" w:sz="6" w:space="0" w:color="auto"/>
              <w:right w:val="single" w:sz="6" w:space="0" w:color="auto"/>
            </w:tcBorders>
          </w:tcPr>
          <w:p w14:paraId="6EF9F8E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«Эксплуатация аккумуляторных батарей и зарядка батарей ПЗС»</w:t>
            </w:r>
          </w:p>
          <w:p w14:paraId="06CD97E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1849030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4ч.</w:t>
            </w:r>
          </w:p>
          <w:p w14:paraId="440637C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3D95A58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140т.</w:t>
            </w:r>
          </w:p>
          <w:p w14:paraId="30FC11A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AE5A7DD" w14:textId="77777777">
        <w:trPr>
          <w:trHeight w:val="278"/>
        </w:trPr>
        <w:tc>
          <w:tcPr>
            <w:tcW w:w="518" w:type="dxa"/>
            <w:tcBorders>
              <w:top w:val="single" w:sz="6" w:space="0" w:color="auto"/>
              <w:left w:val="single" w:sz="6" w:space="0" w:color="auto"/>
              <w:bottom w:val="single" w:sz="6" w:space="0" w:color="auto"/>
              <w:right w:val="single" w:sz="6" w:space="0" w:color="auto"/>
            </w:tcBorders>
          </w:tcPr>
          <w:p w14:paraId="4AD9F62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w:t>
            </w:r>
          </w:p>
          <w:p w14:paraId="26C518D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84" w:type="dxa"/>
            <w:tcBorders>
              <w:top w:val="single" w:sz="6" w:space="0" w:color="auto"/>
              <w:left w:val="single" w:sz="6" w:space="0" w:color="auto"/>
              <w:bottom w:val="single" w:sz="6" w:space="0" w:color="auto"/>
              <w:right w:val="single" w:sz="6" w:space="0" w:color="auto"/>
            </w:tcBorders>
          </w:tcPr>
          <w:p w14:paraId="72571F2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«Действия ГПЗ»</w:t>
            </w:r>
          </w:p>
          <w:p w14:paraId="1352678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5B5B13A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2ч.</w:t>
            </w:r>
          </w:p>
          <w:p w14:paraId="500D53B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2A527FB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140т.</w:t>
            </w:r>
          </w:p>
          <w:p w14:paraId="39FA1AD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846B7EF" w14:textId="77777777">
        <w:trPr>
          <w:trHeight w:val="278"/>
        </w:trPr>
        <w:tc>
          <w:tcPr>
            <w:tcW w:w="518" w:type="dxa"/>
            <w:tcBorders>
              <w:top w:val="single" w:sz="6" w:space="0" w:color="auto"/>
              <w:left w:val="single" w:sz="6" w:space="0" w:color="auto"/>
              <w:bottom w:val="single" w:sz="6" w:space="0" w:color="auto"/>
              <w:right w:val="single" w:sz="6" w:space="0" w:color="auto"/>
            </w:tcBorders>
          </w:tcPr>
          <w:p w14:paraId="6765B4B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w:t>
            </w:r>
          </w:p>
          <w:p w14:paraId="43D355E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84" w:type="dxa"/>
            <w:tcBorders>
              <w:top w:val="single" w:sz="6" w:space="0" w:color="auto"/>
              <w:left w:val="single" w:sz="6" w:space="0" w:color="auto"/>
              <w:bottom w:val="single" w:sz="6" w:space="0" w:color="auto"/>
              <w:right w:val="single" w:sz="6" w:space="0" w:color="auto"/>
            </w:tcBorders>
          </w:tcPr>
          <w:p w14:paraId="1D93754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«Действия танкового взвода при атаке населенного пункта»</w:t>
            </w:r>
          </w:p>
          <w:p w14:paraId="3D080AE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78960F8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Зч.</w:t>
            </w:r>
          </w:p>
          <w:p w14:paraId="2FDEE4A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14F65AB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210т.</w:t>
            </w:r>
          </w:p>
          <w:p w14:paraId="4A040BD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687D301" w14:textId="77777777">
        <w:trPr>
          <w:trHeight w:val="278"/>
        </w:trPr>
        <w:tc>
          <w:tcPr>
            <w:tcW w:w="518" w:type="dxa"/>
            <w:tcBorders>
              <w:top w:val="single" w:sz="6" w:space="0" w:color="auto"/>
              <w:left w:val="single" w:sz="6" w:space="0" w:color="auto"/>
              <w:bottom w:val="single" w:sz="6" w:space="0" w:color="auto"/>
              <w:right w:val="single" w:sz="6" w:space="0" w:color="auto"/>
            </w:tcBorders>
          </w:tcPr>
          <w:p w14:paraId="6C0AFF3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w:t>
            </w:r>
          </w:p>
          <w:p w14:paraId="7CEE1EC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84" w:type="dxa"/>
            <w:tcBorders>
              <w:top w:val="single" w:sz="6" w:space="0" w:color="auto"/>
              <w:left w:val="single" w:sz="6" w:space="0" w:color="auto"/>
              <w:bottom w:val="single" w:sz="6" w:space="0" w:color="auto"/>
              <w:right w:val="single" w:sz="6" w:space="0" w:color="auto"/>
            </w:tcBorders>
          </w:tcPr>
          <w:p w14:paraId="561F6F8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«Переправы через речные преграды танковыми подразделениями»</w:t>
            </w:r>
          </w:p>
          <w:p w14:paraId="0F05EFD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71CF29F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4ч.</w:t>
            </w:r>
          </w:p>
          <w:p w14:paraId="3389527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362DEE4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280т.</w:t>
            </w:r>
          </w:p>
          <w:p w14:paraId="1B1A2EF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134AD3F" w14:textId="77777777">
        <w:trPr>
          <w:trHeight w:val="470"/>
        </w:trPr>
        <w:tc>
          <w:tcPr>
            <w:tcW w:w="518" w:type="dxa"/>
            <w:tcBorders>
              <w:top w:val="single" w:sz="6" w:space="0" w:color="auto"/>
              <w:left w:val="single" w:sz="6" w:space="0" w:color="auto"/>
              <w:bottom w:val="single" w:sz="6" w:space="0" w:color="auto"/>
              <w:right w:val="single" w:sz="6" w:space="0" w:color="auto"/>
            </w:tcBorders>
          </w:tcPr>
          <w:p w14:paraId="33B6A61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w:t>
            </w:r>
          </w:p>
          <w:p w14:paraId="010E298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84" w:type="dxa"/>
            <w:tcBorders>
              <w:top w:val="single" w:sz="6" w:space="0" w:color="auto"/>
              <w:left w:val="single" w:sz="6" w:space="0" w:color="auto"/>
              <w:bottom w:val="single" w:sz="6" w:space="0" w:color="auto"/>
              <w:right w:val="single" w:sz="6" w:space="0" w:color="auto"/>
            </w:tcBorders>
          </w:tcPr>
          <w:p w14:paraId="175B045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«Действия самоходной артиллерии в борьбе с танками и СУ противника в насту</w:t>
            </w:r>
            <w:r w:rsidRPr="007224C3">
              <w:rPr>
                <w:rFonts w:ascii="Times New Roman" w:hAnsi="Times New Roman"/>
                <w:color w:val="000000" w:themeColor="text1"/>
                <w:sz w:val="16"/>
                <w:szCs w:val="16"/>
              </w:rPr>
              <w:softHyphen/>
              <w:t>плении»</w:t>
            </w:r>
          </w:p>
          <w:p w14:paraId="19C26C9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52CC291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Зч.</w:t>
            </w:r>
          </w:p>
          <w:p w14:paraId="7D5240B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5788D84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210т.</w:t>
            </w:r>
          </w:p>
          <w:p w14:paraId="37DD55E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5648F57" w14:textId="77777777">
        <w:trPr>
          <w:trHeight w:val="278"/>
        </w:trPr>
        <w:tc>
          <w:tcPr>
            <w:tcW w:w="518" w:type="dxa"/>
            <w:tcBorders>
              <w:top w:val="single" w:sz="6" w:space="0" w:color="auto"/>
              <w:left w:val="single" w:sz="6" w:space="0" w:color="auto"/>
              <w:bottom w:val="single" w:sz="6" w:space="0" w:color="auto"/>
              <w:right w:val="single" w:sz="6" w:space="0" w:color="auto"/>
            </w:tcBorders>
          </w:tcPr>
          <w:p w14:paraId="1CE7242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w:t>
            </w:r>
          </w:p>
          <w:p w14:paraId="6A63A77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84" w:type="dxa"/>
            <w:tcBorders>
              <w:top w:val="single" w:sz="6" w:space="0" w:color="auto"/>
              <w:left w:val="single" w:sz="6" w:space="0" w:color="auto"/>
              <w:bottom w:val="single" w:sz="6" w:space="0" w:color="auto"/>
              <w:right w:val="single" w:sz="6" w:space="0" w:color="auto"/>
            </w:tcBorders>
          </w:tcPr>
          <w:p w14:paraId="0C1C674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«Устройство и действие основных механизмов танковой пушки»</w:t>
            </w:r>
          </w:p>
          <w:p w14:paraId="38B21F7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246D5BC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Зч.</w:t>
            </w:r>
          </w:p>
          <w:p w14:paraId="126631A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758B265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210т.</w:t>
            </w:r>
          </w:p>
          <w:p w14:paraId="764A8F3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6CFE38A" w14:textId="77777777">
        <w:trPr>
          <w:trHeight w:val="278"/>
        </w:trPr>
        <w:tc>
          <w:tcPr>
            <w:tcW w:w="518" w:type="dxa"/>
            <w:tcBorders>
              <w:top w:val="single" w:sz="6" w:space="0" w:color="auto"/>
              <w:left w:val="single" w:sz="6" w:space="0" w:color="auto"/>
              <w:bottom w:val="single" w:sz="6" w:space="0" w:color="auto"/>
              <w:right w:val="single" w:sz="6" w:space="0" w:color="auto"/>
            </w:tcBorders>
          </w:tcPr>
          <w:p w14:paraId="1DDBC12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w:t>
            </w:r>
          </w:p>
          <w:p w14:paraId="128E49D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84" w:type="dxa"/>
            <w:tcBorders>
              <w:top w:val="single" w:sz="6" w:space="0" w:color="auto"/>
              <w:left w:val="single" w:sz="6" w:space="0" w:color="auto"/>
              <w:bottom w:val="single" w:sz="6" w:space="0" w:color="auto"/>
              <w:right w:val="single" w:sz="6" w:space="0" w:color="auto"/>
            </w:tcBorders>
          </w:tcPr>
          <w:p w14:paraId="77B29D6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«Правила стрельбы из танка и действие снарядов танковой артиллерии»</w:t>
            </w:r>
          </w:p>
          <w:p w14:paraId="1A4E823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50E752F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Зч.</w:t>
            </w:r>
          </w:p>
          <w:p w14:paraId="5566FB1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6ABC6D8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210т.</w:t>
            </w:r>
          </w:p>
          <w:p w14:paraId="59C21C9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5E3BBC7" w14:textId="77777777">
        <w:trPr>
          <w:trHeight w:val="278"/>
        </w:trPr>
        <w:tc>
          <w:tcPr>
            <w:tcW w:w="518" w:type="dxa"/>
            <w:tcBorders>
              <w:top w:val="single" w:sz="6" w:space="0" w:color="auto"/>
              <w:left w:val="single" w:sz="6" w:space="0" w:color="auto"/>
              <w:bottom w:val="single" w:sz="6" w:space="0" w:color="auto"/>
              <w:right w:val="single" w:sz="6" w:space="0" w:color="auto"/>
            </w:tcBorders>
          </w:tcPr>
          <w:p w14:paraId="7058E35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w:t>
            </w:r>
          </w:p>
          <w:p w14:paraId="1D15B7D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84" w:type="dxa"/>
            <w:tcBorders>
              <w:top w:val="single" w:sz="6" w:space="0" w:color="auto"/>
              <w:left w:val="single" w:sz="6" w:space="0" w:color="auto"/>
              <w:bottom w:val="single" w:sz="6" w:space="0" w:color="auto"/>
              <w:right w:val="single" w:sz="6" w:space="0" w:color="auto"/>
            </w:tcBorders>
          </w:tcPr>
          <w:p w14:paraId="653AF1C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«Вождение мотоциклов»</w:t>
            </w:r>
          </w:p>
          <w:p w14:paraId="215B038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3BA2A1B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Зч.</w:t>
            </w:r>
          </w:p>
          <w:p w14:paraId="6922BD4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74C31CE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210т.</w:t>
            </w:r>
          </w:p>
          <w:p w14:paraId="7C39F11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83A5587" w14:textId="77777777">
        <w:trPr>
          <w:trHeight w:val="269"/>
        </w:trPr>
        <w:tc>
          <w:tcPr>
            <w:tcW w:w="518" w:type="dxa"/>
            <w:tcBorders>
              <w:top w:val="single" w:sz="6" w:space="0" w:color="auto"/>
              <w:left w:val="single" w:sz="6" w:space="0" w:color="auto"/>
              <w:bottom w:val="single" w:sz="6" w:space="0" w:color="auto"/>
              <w:right w:val="single" w:sz="6" w:space="0" w:color="auto"/>
            </w:tcBorders>
          </w:tcPr>
          <w:p w14:paraId="1CA79DD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w:t>
            </w:r>
          </w:p>
          <w:p w14:paraId="655EB45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84" w:type="dxa"/>
            <w:tcBorders>
              <w:top w:val="single" w:sz="6" w:space="0" w:color="auto"/>
              <w:left w:val="single" w:sz="6" w:space="0" w:color="auto"/>
              <w:bottom w:val="single" w:sz="6" w:space="0" w:color="auto"/>
              <w:right w:val="single" w:sz="6" w:space="0" w:color="auto"/>
            </w:tcBorders>
          </w:tcPr>
          <w:p w14:paraId="7D3A58A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«Мотоциклетный взвод в наступлении»</w:t>
            </w:r>
          </w:p>
          <w:p w14:paraId="42671A9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0872ECB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2ч.</w:t>
            </w:r>
          </w:p>
          <w:p w14:paraId="3BF0F41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25D1D42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140т.</w:t>
            </w:r>
          </w:p>
          <w:p w14:paraId="7DC3B66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C1EE4FD" w14:textId="77777777">
        <w:trPr>
          <w:trHeight w:val="298"/>
        </w:trPr>
        <w:tc>
          <w:tcPr>
            <w:tcW w:w="518" w:type="dxa"/>
            <w:tcBorders>
              <w:top w:val="single" w:sz="6" w:space="0" w:color="auto"/>
              <w:left w:val="single" w:sz="6" w:space="0" w:color="auto"/>
              <w:bottom w:val="single" w:sz="6" w:space="0" w:color="auto"/>
              <w:right w:val="single" w:sz="6" w:space="0" w:color="auto"/>
            </w:tcBorders>
          </w:tcPr>
          <w:p w14:paraId="50F0057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30E95E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84" w:type="dxa"/>
            <w:tcBorders>
              <w:top w:val="single" w:sz="6" w:space="0" w:color="auto"/>
              <w:left w:val="single" w:sz="6" w:space="0" w:color="auto"/>
              <w:bottom w:val="single" w:sz="6" w:space="0" w:color="auto"/>
              <w:right w:val="single" w:sz="6" w:space="0" w:color="auto"/>
            </w:tcBorders>
          </w:tcPr>
          <w:p w14:paraId="01987E9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w:t>
            </w:r>
          </w:p>
          <w:p w14:paraId="523CC33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0018F6F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43 части</w:t>
            </w:r>
          </w:p>
          <w:p w14:paraId="58C6F73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640797A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ЗОЮ т.</w:t>
            </w:r>
          </w:p>
          <w:p w14:paraId="1251EDD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7843B67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5-го отдела УБП БТ и МВ КА подполковник Парчинский</w:t>
      </w:r>
    </w:p>
    <w:p w14:paraId="58BBFD7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38. Оп. 11351. Д. 229. Л. 55. Копия (11403).</w:t>
      </w:r>
    </w:p>
    <w:p w14:paraId="3EF7E9B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7CEEF3F" w14:textId="77777777" w:rsidR="00CC0EB7" w:rsidRPr="007224C3" w:rsidRDefault="00CC0E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 ранее 1 февраля — не позднее 28 февраля 1944 г.ИЗ ПЛАНА АГЕНТУРНО-ОПЕРАТИВНЫХ МЕРОПРИЯТИЙ ПО АГЕНТУРНОЙ РАЗРАБОТКЕ «ЭНОРМОЗ», ПОДГОТОВЛЕННОГО 1-м УПРАВЛЕНИЕМ НКГБ СССР</w:t>
      </w:r>
    </w:p>
    <w:p w14:paraId="68BD19D4" w14:textId="77777777" w:rsidR="00CC0EB7" w:rsidRPr="007224C3" w:rsidRDefault="00CC0E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Общее положение</w:t>
      </w:r>
    </w:p>
    <w:p w14:paraId="3994C0F8" w14:textId="77777777" w:rsidR="00CC0EB7" w:rsidRPr="007224C3" w:rsidRDefault="00CC0E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Агентурная разработка «Энормоз» возникла в конце 1941 года на основании поступивших агентурных донесений о том, что крупные науч</w:t>
      </w:r>
      <w:r w:rsidRPr="007224C3">
        <w:rPr>
          <w:rFonts w:ascii="Times New Roman" w:hAnsi="Times New Roman"/>
          <w:color w:val="000000" w:themeColor="text1"/>
          <w:sz w:val="16"/>
          <w:szCs w:val="16"/>
        </w:rPr>
        <w:softHyphen/>
        <w:t>ные и материальные силы Англии и США брошены на разрешение но</w:t>
      </w:r>
      <w:r w:rsidRPr="007224C3">
        <w:rPr>
          <w:rFonts w:ascii="Times New Roman" w:hAnsi="Times New Roman"/>
          <w:color w:val="000000" w:themeColor="text1"/>
          <w:sz w:val="16"/>
          <w:szCs w:val="16"/>
        </w:rPr>
        <w:softHyphen/>
        <w:t>вейшей научной проблемы использования внутренней энергии атомного ядра урана, в частности, использования ее в военных целях — для изго</w:t>
      </w:r>
      <w:r w:rsidRPr="007224C3">
        <w:rPr>
          <w:rFonts w:ascii="Times New Roman" w:hAnsi="Times New Roman"/>
          <w:color w:val="000000" w:themeColor="text1"/>
          <w:sz w:val="16"/>
          <w:szCs w:val="16"/>
        </w:rPr>
        <w:softHyphen/>
        <w:t>товления урановой бомбы огромной разрушительной силы.</w:t>
      </w:r>
    </w:p>
    <w:p w14:paraId="1ABBB39A" w14:textId="77777777" w:rsidR="00CC0EB7" w:rsidRPr="007224C3" w:rsidRDefault="00CC0E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Практически проблема в ее первой и основной части в настоящее время сводится к получению активной части урана — урана-235 в чис</w:t>
      </w:r>
      <w:r w:rsidRPr="007224C3">
        <w:rPr>
          <w:rFonts w:ascii="Times New Roman" w:hAnsi="Times New Roman"/>
          <w:color w:val="000000" w:themeColor="text1"/>
          <w:sz w:val="16"/>
          <w:szCs w:val="16"/>
        </w:rPr>
        <w:softHyphen/>
        <w:t>тим виде, т. е. отделению его от неактивной части — урана-238, в смеси, с которой он встречается в природе в количестве около 0,7%. Учеными предложены несколько методов разделения изотопа U-235 от изотопа U-238, в том числе: диффузионный, магнетический3, центробежный.</w:t>
      </w:r>
    </w:p>
    <w:p w14:paraId="2DE5D5B1" w14:textId="77777777" w:rsidR="00CC0EB7" w:rsidRPr="007224C3" w:rsidRDefault="00CC0E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США для разрешения данной проблемы привлечено свыше 500 научных работников и среди них крупнейшие ученые: Комптон, Ферми, Лоуренс, Урей4, Даннинг, Оппенгеймер, Мак-Миллан, О'Ниер и т. д. На</w:t>
      </w:r>
      <w:r w:rsidRPr="007224C3">
        <w:rPr>
          <w:rFonts w:ascii="Times New Roman" w:hAnsi="Times New Roman"/>
          <w:color w:val="000000" w:themeColor="text1"/>
          <w:sz w:val="16"/>
          <w:szCs w:val="16"/>
        </w:rPr>
        <w:softHyphen/>
        <w:t>учные работы сосредоточены в лабораториях ведущих университетов США: Колумбийском, Калифорнийском, Чикагском и др. Для вспомо</w:t>
      </w:r>
      <w:r w:rsidRPr="007224C3">
        <w:rPr>
          <w:rFonts w:ascii="Times New Roman" w:hAnsi="Times New Roman"/>
          <w:color w:val="000000" w:themeColor="text1"/>
          <w:sz w:val="16"/>
          <w:szCs w:val="16"/>
        </w:rPr>
        <w:softHyphen/>
        <w:t>гательных работ (разработка аппаратуры, снабжение сырьевыми матери</w:t>
      </w:r>
      <w:r w:rsidRPr="007224C3">
        <w:rPr>
          <w:rFonts w:ascii="Times New Roman" w:hAnsi="Times New Roman"/>
          <w:color w:val="000000" w:themeColor="text1"/>
          <w:sz w:val="16"/>
          <w:szCs w:val="16"/>
        </w:rPr>
        <w:softHyphen/>
        <w:t>алами, проектные и строительные работы и проч.) привлекаются извест</w:t>
      </w:r>
      <w:r w:rsidRPr="007224C3">
        <w:rPr>
          <w:rFonts w:ascii="Times New Roman" w:hAnsi="Times New Roman"/>
          <w:color w:val="000000" w:themeColor="text1"/>
          <w:sz w:val="16"/>
          <w:szCs w:val="16"/>
        </w:rPr>
        <w:softHyphen/>
        <w:t>ные промышленные фирмы: Дюпон, Карбон энд Карбайд Ко, Форд, Кел-лог, Дж. Джонс Констракшн и др.</w:t>
      </w:r>
    </w:p>
    <w:p w14:paraId="6543AA5C" w14:textId="77777777" w:rsidR="00CC0EB7" w:rsidRPr="007224C3" w:rsidRDefault="00CC0E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последним сведениям, ученому Лоуренсу удалось получить не</w:t>
      </w:r>
      <w:r w:rsidRPr="007224C3">
        <w:rPr>
          <w:rFonts w:ascii="Times New Roman" w:hAnsi="Times New Roman"/>
          <w:color w:val="000000" w:themeColor="text1"/>
          <w:sz w:val="16"/>
          <w:szCs w:val="16"/>
        </w:rPr>
        <w:softHyphen/>
        <w:t>сколько грамм урана-235 магнетическим методом, что считается выдаю</w:t>
      </w:r>
      <w:r w:rsidRPr="007224C3">
        <w:rPr>
          <w:rFonts w:ascii="Times New Roman" w:hAnsi="Times New Roman"/>
          <w:color w:val="000000" w:themeColor="text1"/>
          <w:sz w:val="16"/>
          <w:szCs w:val="16"/>
        </w:rPr>
        <w:softHyphen/>
        <w:t>щимся достижением. Основное же внимание уделяется разработке диф</w:t>
      </w:r>
      <w:r w:rsidRPr="007224C3">
        <w:rPr>
          <w:rFonts w:ascii="Times New Roman" w:hAnsi="Times New Roman"/>
          <w:color w:val="000000" w:themeColor="text1"/>
          <w:sz w:val="16"/>
          <w:szCs w:val="16"/>
        </w:rPr>
        <w:softHyphen/>
        <w:t>фузионного метода, теоретическая часть которого разработана настоль</w:t>
      </w:r>
      <w:r w:rsidRPr="007224C3">
        <w:rPr>
          <w:rFonts w:ascii="Times New Roman" w:hAnsi="Times New Roman"/>
          <w:color w:val="000000" w:themeColor="text1"/>
          <w:sz w:val="16"/>
          <w:szCs w:val="16"/>
        </w:rPr>
        <w:softHyphen/>
        <w:t>ко, что позволила приступить к строительству большого завода произ</w:t>
      </w:r>
      <w:r w:rsidRPr="007224C3">
        <w:rPr>
          <w:rFonts w:ascii="Times New Roman" w:hAnsi="Times New Roman"/>
          <w:color w:val="000000" w:themeColor="text1"/>
          <w:sz w:val="16"/>
          <w:szCs w:val="16"/>
        </w:rPr>
        <w:softHyphen/>
        <w:t>водительностью 1 кг урана-235 в день. Срок окончания строительства этого завода — сентябрь 1944 года. Место строительства — Теннессий-ская долина, в 25 милях от г. Ноксвилл, штат Теннесси. Проектные рабо</w:t>
      </w:r>
      <w:r w:rsidRPr="007224C3">
        <w:rPr>
          <w:rFonts w:ascii="Times New Roman" w:hAnsi="Times New Roman"/>
          <w:color w:val="000000" w:themeColor="text1"/>
          <w:sz w:val="16"/>
          <w:szCs w:val="16"/>
        </w:rPr>
        <w:softHyphen/>
        <w:t>ты выполняет фирма Келлекс в г. Нью-Йорке. Договор на строительство выдан инженерным отделом армии США фирме «Дж. Джонс Конст-ракшн».</w:t>
      </w:r>
    </w:p>
    <w:p w14:paraId="6FEB7B10" w14:textId="77777777" w:rsidR="00CC0EB7" w:rsidRPr="007224C3" w:rsidRDefault="00CC0E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Англии также ведутся большие работы по проблеме «Энормоз», сосредоточенные в Кембриджском, Оксфордском, Ливерпульском и Бирмингемском университетах, силами ведущим физиков, к которым в конце 1943 года присоединился известный датский ученый Нильс Бор. В экспериментальной части разработки принимают участие крупный химический концерн «Империал Кемикал Индастриес» и Вульвичский арсенал.</w:t>
      </w:r>
    </w:p>
    <w:p w14:paraId="37DD0761" w14:textId="77777777" w:rsidR="00CC0EB7" w:rsidRPr="007224C3" w:rsidRDefault="00CC0E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начала 1943 года работа англичан по «Энормозу» стала перено</w:t>
      </w:r>
      <w:r w:rsidRPr="007224C3">
        <w:rPr>
          <w:rFonts w:ascii="Times New Roman" w:hAnsi="Times New Roman"/>
          <w:color w:val="000000" w:themeColor="text1"/>
          <w:sz w:val="16"/>
          <w:szCs w:val="16"/>
        </w:rPr>
        <w:softHyphen/>
        <w:t>ситься в Канаду, куда переехало большое количество научных работни</w:t>
      </w:r>
      <w:r w:rsidRPr="007224C3">
        <w:rPr>
          <w:rFonts w:ascii="Times New Roman" w:hAnsi="Times New Roman"/>
          <w:color w:val="000000" w:themeColor="text1"/>
          <w:sz w:val="16"/>
          <w:szCs w:val="16"/>
        </w:rPr>
        <w:softHyphen/>
        <w:t>ков во главе с Хальбаном вместе с частью оборудования английских ла</w:t>
      </w:r>
      <w:r w:rsidRPr="007224C3">
        <w:rPr>
          <w:rFonts w:ascii="Times New Roman" w:hAnsi="Times New Roman"/>
          <w:color w:val="000000" w:themeColor="text1"/>
          <w:sz w:val="16"/>
          <w:szCs w:val="16"/>
        </w:rPr>
        <w:softHyphen/>
        <w:t>бораторий и запасом тяжелой воды. Перенесение работ было вызвано опасностью ведения их в условиях воздушных налетов, необходимос</w:t>
      </w:r>
      <w:r w:rsidRPr="007224C3">
        <w:rPr>
          <w:rFonts w:ascii="Times New Roman" w:hAnsi="Times New Roman"/>
          <w:color w:val="000000" w:themeColor="text1"/>
          <w:sz w:val="16"/>
          <w:szCs w:val="16"/>
        </w:rPr>
        <w:softHyphen/>
        <w:t>тью приближения к месту добычи урановой руды (в Канаде) и в целях большего сближения с американскими работами.</w:t>
      </w:r>
    </w:p>
    <w:p w14:paraId="3570E3BD" w14:textId="77777777" w:rsidR="00CC0EB7" w:rsidRPr="007224C3" w:rsidRDefault="00CC0E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Согласно достигнутому между англичанами и американцами согла</w:t>
      </w:r>
      <w:r w:rsidRPr="007224C3">
        <w:rPr>
          <w:rFonts w:ascii="Times New Roman" w:hAnsi="Times New Roman"/>
          <w:color w:val="000000" w:themeColor="text1"/>
          <w:sz w:val="16"/>
          <w:szCs w:val="16"/>
        </w:rPr>
        <w:softHyphen/>
        <w:t>шению о сотрудничестве в ведении работ по «Энормозу» в Америку вы</w:t>
      </w:r>
      <w:r w:rsidRPr="007224C3">
        <w:rPr>
          <w:rFonts w:ascii="Times New Roman" w:hAnsi="Times New Roman"/>
          <w:color w:val="000000" w:themeColor="text1"/>
          <w:sz w:val="16"/>
          <w:szCs w:val="16"/>
        </w:rPr>
        <w:softHyphen/>
        <w:t>ехали наиболее авторитетные ученые Англии2 [...]</w:t>
      </w:r>
    </w:p>
    <w:p w14:paraId="46DD98C9" w14:textId="77777777" w:rsidR="00CC0EB7" w:rsidRPr="007224C3" w:rsidRDefault="00CC0E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Заместитель] нач[альника] 1-го Управления НКГБ СССР комиссар госбезопасности</w:t>
      </w:r>
    </w:p>
    <w:p w14:paraId="3E3B29AA" w14:textId="77777777" w:rsidR="00CC0EB7" w:rsidRPr="007224C3" w:rsidRDefault="00CC0E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3 отдела 1-го Управления] НКГБ СССР подполковник госбезопасности</w:t>
      </w:r>
    </w:p>
    <w:p w14:paraId="7EBA4601" w14:textId="77777777" w:rsidR="00CC0EB7" w:rsidRPr="007224C3" w:rsidRDefault="00CC0E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Согласен</w:t>
      </w:r>
    </w:p>
    <w:p w14:paraId="4B1CA01B" w14:textId="77777777" w:rsidR="00CC0EB7" w:rsidRPr="007224C3" w:rsidRDefault="00CC0E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1-го Управления] НКГБ СССР комиссар госбезопасности] 3 ранга Фитин</w:t>
      </w:r>
    </w:p>
    <w:p w14:paraId="2436FC82" w14:textId="77777777" w:rsidR="00CC0EB7" w:rsidRPr="007224C3" w:rsidRDefault="00CC0E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...февраля 1944 г.</w:t>
      </w:r>
    </w:p>
    <w:p w14:paraId="6C81D2C0" w14:textId="77777777" w:rsidR="00CC0EB7" w:rsidRPr="007224C3" w:rsidRDefault="00CC0E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Опубликовано: Атомный проект СССР. Документы и материалы. В 3-х томах. Т. 1. 1938-1945. Ч. 2. М., Изд. МФТИ, 2002. С. 31-32.</w:t>
      </w:r>
    </w:p>
    <w:p w14:paraId="4B7F138C" w14:textId="77777777" w:rsidR="00CC0EB7" w:rsidRPr="007224C3" w:rsidRDefault="00CC0E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Речь идет о термодиффузионном заводе, пущенном в Клинтоне осенью 1944 года (Смит Г. Д. Атомная энергия для военных целей. М.: ГТЖИ. 1946. С. 214).</w:t>
      </w:r>
    </w:p>
    <w:p w14:paraId="651DCF2E" w14:textId="77777777" w:rsidR="00CC0EB7" w:rsidRPr="007224C3" w:rsidRDefault="00CC0E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Следующая далее часть текста не рассекречена.</w:t>
      </w:r>
    </w:p>
    <w:p w14:paraId="43A1F213" w14:textId="77777777" w:rsidR="00CC0EB7" w:rsidRPr="007224C3" w:rsidRDefault="00CC0E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Подпись отсутствует. Начальником научно-технической разведки НКВД (НКГБ) в 1938-1943 гг. был Л. Р. Квасников (15493).</w:t>
      </w:r>
    </w:p>
    <w:p w14:paraId="36D09EFD" w14:textId="77777777" w:rsidR="00CC0EB7" w:rsidRPr="007224C3" w:rsidRDefault="00CC0EB7" w:rsidP="007224C3">
      <w:pPr>
        <w:spacing w:after="0" w:line="240" w:lineRule="auto"/>
        <w:jc w:val="both"/>
        <w:rPr>
          <w:rFonts w:ascii="Times New Roman" w:hAnsi="Times New Roman"/>
          <w:color w:val="000000" w:themeColor="text1"/>
          <w:sz w:val="16"/>
          <w:szCs w:val="16"/>
        </w:rPr>
      </w:pPr>
    </w:p>
    <w:p w14:paraId="7C7032D0" w14:textId="77777777" w:rsidR="00CC0EB7"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775A4CC5" w14:textId="77777777" w:rsidR="00CC0EB7" w:rsidRPr="007224C3" w:rsidRDefault="00CC0EB7"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E402178" w14:textId="77777777" w:rsidR="00CC0EB7" w:rsidRPr="007224C3" w:rsidRDefault="00CC0E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 февраля</w:t>
      </w:r>
      <w:r w:rsidRPr="007224C3">
        <w:rPr>
          <w:rFonts w:ascii="Times New Roman" w:hAnsi="Times New Roman"/>
          <w:color w:val="000000" w:themeColor="text1"/>
          <w:sz w:val="16"/>
          <w:szCs w:val="16"/>
        </w:rPr>
        <w:t xml:space="preserve"> в 1944 году оперативная сводка Совинформбюро:</w:t>
      </w:r>
    </w:p>
    <w:p w14:paraId="5D50D4D4" w14:textId="77777777" w:rsidR="00CC0EB7" w:rsidRPr="007224C3" w:rsidRDefault="00CC0E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Ленинградского фронта, сломив сопротивление противника, 1 февраля овладели городом Кингисепп и, продолжая развивать наступление севернее и южнее Кингисепп, с боями заняли более 50 населённыхпунктов, в том числе Старое Горколово, Ново-Горколово, Колгомпя, Репина, Залесье, Ручьи, Дубки, Слободка 1-я и 2-я, Косколово, Нижние Лужицы, Пески, Верхние Лужицы, Получье, Куровицы, Орлы, Кейкино, Дальняя Поляна, Манновка, Горелово, Ложголово, Замошье, Старополье, Хатило, Валово, Поречье, Усадище, Глазова Горка, Осьмино, Луговское и железнодорожные станции Валговицы, Косколово, Летняя, Туганы.</w:t>
      </w:r>
    </w:p>
    <w:p w14:paraId="0101B9DD" w14:textId="77777777" w:rsidR="00CC0EB7" w:rsidRPr="007224C3" w:rsidRDefault="00CC0E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и южнее города Любань наши войска, преодолевая инженерные заграждения противника на лесных дорогах, с боями продвигались вперёд и заняли населённые пункты Посёлок Новинка, Глубочка, Апраксин Бор, Червинская Лука, Червино, Крапивно, Крутик, Кривино, Ольховские и железнодорожную станцию Новинка.</w:t>
      </w:r>
    </w:p>
    <w:p w14:paraId="3A43F587" w14:textId="77777777" w:rsidR="00CC0EB7" w:rsidRPr="007224C3" w:rsidRDefault="00CC0E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Новгорода наши войска продолжали вести наступательные бои, в ходе которых заняли более 30 населённых пунктов, в том числе Белое, Холомцы, Почап, Хлупино, Костронь, Вельяшева Гора, Жили, Курино, Горошино (4 км. севернее Батецкая), Княжья Гора, Речка, Бор, Малые Торошковичи, Лихарева Горка, Новое Село, Лунец, Югостицы, Большое Конезерье, Тетеревино, Перецкие, Высокое.</w:t>
      </w:r>
    </w:p>
    <w:p w14:paraId="5C2F1642" w14:textId="77777777" w:rsidR="00CC0EB7" w:rsidRPr="007224C3" w:rsidRDefault="00CC0E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Новосокольники наши войска вели наступательные бои и заняли несколько населённых пунктов.</w:t>
      </w:r>
    </w:p>
    <w:p w14:paraId="1575BB98" w14:textId="77777777" w:rsidR="00CC0EB7" w:rsidRPr="007224C3" w:rsidRDefault="00CC0E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31 января наши войска на всех фронтах подбили и уничтожили 74 немецких танка. В воздушных боях и огнём зенитной артиллерии сбито 19 самолётов противника.</w:t>
      </w:r>
    </w:p>
    <w:p w14:paraId="60AA72FC" w14:textId="77777777" w:rsidR="00CC0EB7" w:rsidRPr="007224C3" w:rsidRDefault="00CC0E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Ленинградского фронта продолжали успешное наступление. Части Н-ского соединения переправились через реку Луга южнее и северо-западнее города Кингисепп. В результате умелого обходного манёвра наши войска сломили сопротивление противника и сегодня овладели городом Кингисепп. Захвачены большие трофеи, которые подсчитываются. Части другого нашего соединения, быстро продвигаясь вдоль побережья Финского залива, заняли ряд населённых пунктов и вышли к устью реки Луга. Южнее Кингисеппа наши войска вышли к озеру Самро. За день боёв уничтожено свыше 2 тысяч солдат и офицеров противника. Автоматчики под командованием старшего лейтенанта Корычева уничтожили штабной автобус, в котором ехала группа немецких офицеров во главе с полковником. Бойцы подразделения лейтенанта Замяткина ворвались на одну железнодорожную станцию, перебили немецкий гарнизон и захватили 12 складов с продовольствием, снарядами, военным имуществом и другие трофеи.</w:t>
      </w:r>
    </w:p>
    <w:p w14:paraId="060A134E" w14:textId="77777777" w:rsidR="00CC0EB7" w:rsidRPr="007224C3" w:rsidRDefault="00CC0E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и южнее города Любань наши войска с боями продвигались вперёд. Действуя в чрезвычайно трудных условиях лесисто-болотистой местности, советские бойцы обходными манёврами отрезают противнику пути отхода и уничтожают его живую силу и технику. Н-ская часть в деревне Апраксин Бор окружила и разгромила артиллерийский полк 121 немецкой пехотной дивизии. Наши бойцы захватили 30 орудий, более 70 автомашин и 150 лошадей. Взято в плен значительное число немецких артиллеристов.</w:t>
      </w:r>
    </w:p>
    <w:p w14:paraId="4B933E13" w14:textId="77777777" w:rsidR="00CC0EB7" w:rsidRPr="007224C3" w:rsidRDefault="00CC0E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Новгорода наши войска продолжали наступление и заняли более 30 населённых пунктов. Советские части, наступающие западнее железной дороги Батецкая-Дно, отбили несколько контратак только что прибывших на этот участок немецких резервных частей. Контрударом наши бойцы вновь отбросили противника. В этих боях уничтожено свыше 800 гитлеровцев. Захвачены 16 орудий, 78 пулемётов и три склада боеприпасов. Взяты пленные.</w:t>
      </w:r>
    </w:p>
    <w:p w14:paraId="6AC13538" w14:textId="77777777" w:rsidR="00CC0EB7" w:rsidRPr="007224C3" w:rsidRDefault="00CC0E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Новосокольники наши войска овладели рядом населённых пунктов, в боях за которые уничтожено до полка пехоты противника. Захвачено у немцев 23 орудия, 32 пулемёта и другие трофеи.</w:t>
      </w:r>
    </w:p>
    <w:p w14:paraId="112388C7" w14:textId="77777777" w:rsidR="00CC0EB7" w:rsidRPr="007224C3" w:rsidRDefault="00CC0E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Председатель исполкома Новгородского городского Совета депутатов трудящихся т. Юдин сообщил о преступлениях немецко-фашистских мерзавцев в городе Новгороде: «Немцы, питающие звериную ненависть ко всему русскому, опустошили и разрушили древний русский город Новгород. Из 2.300 домов в городе уцелело всего лишь 40 домов. Немецкие варвары превратили в руины и пепел исторические памятники русского народа. Уничтожены Рюриково городище с постройками ХIV века, а также церковь Спаса Нередицы, построенная в XII веке. Полностью разрушены Зверин монастырь, Юрьев монастырь, церковь Флора и Лавра, построенные в XIV веке. Гитлеровские бандиты сожгли дворец Марфы Посадницы. Здание Духова монастыря сожжено, а церковь разрушена. Также разрушены церкви Фёдора Стратилата, Андрея Стратилата, Знаменский собор, памятник Тысячелетия России, исторический музей и другие памятники старины. Немцы надругались над величайшим памятником русского зодчества — Софийским собором, построенным в XI веке. Фашистские дикари, потерявшие человеческий облик, превратили Софийский собор в склад. Главный купол собора, крытый червонным золотом, разрушен, а кровля похищена. Многие наиболее ценные памятники старины и украшения немецко-фашистские оккупанты увезли в Германию» (15027).</w:t>
      </w:r>
    </w:p>
    <w:p w14:paraId="1B42EF32" w14:textId="77777777" w:rsidR="00CC0EB7" w:rsidRPr="007224C3" w:rsidRDefault="00CC0EB7" w:rsidP="007224C3">
      <w:pPr>
        <w:spacing w:after="0" w:line="240" w:lineRule="auto"/>
        <w:jc w:val="both"/>
        <w:rPr>
          <w:rFonts w:ascii="Times New Roman" w:hAnsi="Times New Roman"/>
          <w:color w:val="000000" w:themeColor="text1"/>
          <w:sz w:val="16"/>
          <w:szCs w:val="16"/>
        </w:rPr>
      </w:pPr>
    </w:p>
    <w:p w14:paraId="71DF0DC7" w14:textId="77777777" w:rsidR="00CC0EB7" w:rsidRPr="007224C3" w:rsidRDefault="00CC0E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 февраля</w:t>
      </w:r>
      <w:r w:rsidRPr="007224C3">
        <w:rPr>
          <w:rFonts w:ascii="Times New Roman" w:hAnsi="Times New Roman"/>
          <w:color w:val="000000" w:themeColor="text1"/>
          <w:sz w:val="16"/>
          <w:szCs w:val="16"/>
        </w:rPr>
        <w:t xml:space="preserve"> в 1944 году в расположение немецких войск, окруженных под Корсунь-Шевченковском, советским командованием направлены агитаторы из числа немецких солдат, ранее добровольно перешедших на сторону Советской Армии (15027).</w:t>
      </w:r>
    </w:p>
    <w:p w14:paraId="1520897A" w14:textId="77777777" w:rsidR="00CC0EB7" w:rsidRPr="007224C3" w:rsidRDefault="00CC0EB7" w:rsidP="007224C3">
      <w:pPr>
        <w:spacing w:after="0" w:line="240" w:lineRule="auto"/>
        <w:jc w:val="both"/>
        <w:rPr>
          <w:rFonts w:ascii="Times New Roman" w:hAnsi="Times New Roman"/>
          <w:color w:val="000000" w:themeColor="text1"/>
          <w:sz w:val="16"/>
          <w:szCs w:val="16"/>
        </w:rPr>
      </w:pPr>
    </w:p>
    <w:p w14:paraId="1C46BC4E" w14:textId="77777777" w:rsidR="0018364B" w:rsidRPr="007224C3" w:rsidRDefault="0018364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Жизнь и внутренняя политика:</w:t>
      </w:r>
    </w:p>
    <w:p w14:paraId="60B2AB8A" w14:textId="77777777" w:rsidR="0018364B" w:rsidRPr="007224C3" w:rsidRDefault="0018364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16BB79B" w14:textId="77777777" w:rsidR="0018364B" w:rsidRPr="007224C3" w:rsidRDefault="0018364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1 февраля 1944 г. на 10-й сессии Верховного Совета СССР 1-го созыва был принят Закон о государственном бюджете страны на 1944 г. Одновременно Законом утверждались отчеты об исполнении госбюджета за 1940, 1941 и 1942 гг. Предусматривалось, что общая сумма расходов по финансированию двух Наркоматов составит в 1944 г. 128,4 млрд. руб. &lt;1&gt;.</w:t>
      </w:r>
    </w:p>
    <w:p w14:paraId="5C6F936B" w14:textId="77777777" w:rsidR="0018364B" w:rsidRPr="007224C3" w:rsidRDefault="0018364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действительности расходы на оборону государства оказались еще более значительными. Они увеличились с 83 млрд. руб. в 1941 г. до 125 млрд. руб. в 1943 г. и 137,8 млрд. руб. в 1944 г. Однако удельный вес этих расходов снизился с 59,3% в 1942 г. до 52,2% в 1944 г. В государственном бюджете на 1945 г., утвержденном 11-й сессией Верховного Совета СССР в апреле 1945 г., расходы по сметам Наркоматов обороны и Военно-Морского Флота были предусмотрены на уровне 1944 г. - 137,8 млрд. руб. из общей суммы расходов в 307,7 млрд. руб. (однако реальные расходы на оборону, по словам наркома финансов тех лет А. Г. Зверева, с учетом выплаченных денежных вознаграждений демобилизованным составили 128,2 млрд. руб. &lt;1&gt;), в связи с чем их удельный вес понизился до 45% &lt;2&gt;. Утвержденный как бюджет военного времени, государственный бюджет 1945 г. по-прежнему предусматривал крупные поступления в порядке обложения военным налогом, а также от реализации новой денежно-вещевой лотереи (18390).</w:t>
      </w:r>
    </w:p>
    <w:p w14:paraId="3F774F1B" w14:textId="77777777" w:rsidR="0018364B" w:rsidRPr="007224C3" w:rsidRDefault="0018364B" w:rsidP="007224C3">
      <w:pPr>
        <w:spacing w:after="0" w:line="240" w:lineRule="auto"/>
        <w:jc w:val="both"/>
        <w:rPr>
          <w:rFonts w:ascii="Times New Roman" w:hAnsi="Times New Roman"/>
          <w:color w:val="000000" w:themeColor="text1"/>
          <w:sz w:val="16"/>
          <w:szCs w:val="16"/>
        </w:rPr>
      </w:pPr>
    </w:p>
    <w:p w14:paraId="5F22937A"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Внешняя политика:</w:t>
      </w:r>
    </w:p>
    <w:p w14:paraId="4C8092E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B906AC0"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февраля 1944 в СССР союзным республикам предоставлено право вступать в непосредственные контакты с иностранными государствами (4962).</w:t>
      </w:r>
    </w:p>
    <w:p w14:paraId="6E5C48D9"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563ABD5"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3BC4061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A38CC7B" w14:textId="77777777" w:rsidR="00061A93" w:rsidRPr="007224C3" w:rsidRDefault="00061A9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 февраля 1944 ВМС США заказывают два вертолета Piasecki XHRP-1. Это первые американские вертолеты, созданные по военному контракту (20373).</w:t>
      </w:r>
    </w:p>
    <w:p w14:paraId="10093D1D" w14:textId="77777777" w:rsidR="00061A93" w:rsidRPr="007224C3" w:rsidRDefault="00061A93" w:rsidP="007224C3">
      <w:pPr>
        <w:spacing w:after="0" w:line="240" w:lineRule="auto"/>
        <w:jc w:val="both"/>
        <w:rPr>
          <w:rFonts w:ascii="Times New Roman" w:hAnsi="Times New Roman"/>
          <w:color w:val="0070C0"/>
          <w:sz w:val="16"/>
          <w:szCs w:val="16"/>
        </w:rPr>
      </w:pPr>
    </w:p>
    <w:p w14:paraId="4D7A3E60" w14:textId="77777777" w:rsidR="00061A93" w:rsidRPr="007224C3" w:rsidRDefault="00061A9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 февраля 1944 основание компании Southern Airways (20373).</w:t>
      </w:r>
    </w:p>
    <w:p w14:paraId="65B7D598" w14:textId="77777777" w:rsidR="00061A93" w:rsidRPr="007224C3" w:rsidRDefault="00061A93" w:rsidP="007224C3">
      <w:pPr>
        <w:spacing w:after="0" w:line="240" w:lineRule="auto"/>
        <w:jc w:val="both"/>
        <w:rPr>
          <w:rFonts w:ascii="Times New Roman" w:hAnsi="Times New Roman"/>
          <w:color w:val="0070C0"/>
          <w:sz w:val="16"/>
          <w:szCs w:val="16"/>
        </w:rPr>
      </w:pPr>
    </w:p>
    <w:p w14:paraId="6A2A4F8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февраля 1944 Немецкие войска развернули крупное наступление против освобожденных районов НОАА из р-на г.Эльбасан в направлении албано-греческой границы (7594).</w:t>
      </w:r>
    </w:p>
    <w:p w14:paraId="743B0B6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320C59"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февраля 1944 польскими партизанами убит шеф варшавского гестапо генерал Франц Кучера (4962).</w:t>
      </w:r>
    </w:p>
    <w:p w14:paraId="53106B34"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7ED7E8F"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февраля 1944 фашистами обнаружены в Англии приготовления массового вторжения во Францию первой американской группы войск (на самом деле немцы были введены в заблуждение) (4962).</w:t>
      </w:r>
    </w:p>
    <w:p w14:paraId="2D1D1788"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01C7F3E"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февраля 1944 французскими партизанами создан единый штаб антифашистского Сопротивления (4962).</w:t>
      </w:r>
    </w:p>
    <w:p w14:paraId="704A4842"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CC30AE7" w14:textId="77777777" w:rsidR="004B3057" w:rsidRPr="007224C3" w:rsidRDefault="004B3057"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 февраля</w:t>
      </w:r>
      <w:r w:rsidRPr="007224C3">
        <w:rPr>
          <w:rFonts w:ascii="Times New Roman" w:hAnsi="Times New Roman"/>
          <w:color w:val="000000" w:themeColor="text1"/>
          <w:sz w:val="16"/>
          <w:szCs w:val="16"/>
        </w:rPr>
        <w:t xml:space="preserve"> в 1944 году на Тихом океане американские войска вступают в ожесточенное сражение (до 7 февраля), в котором они отобьют у японцев атолл Кваджалейн (Маршалловы острова) (15027).</w:t>
      </w:r>
    </w:p>
    <w:p w14:paraId="118634BC" w14:textId="77777777" w:rsidR="004B3057" w:rsidRPr="007224C3" w:rsidRDefault="004B3057" w:rsidP="007224C3">
      <w:pPr>
        <w:spacing w:after="0" w:line="240" w:lineRule="auto"/>
        <w:jc w:val="both"/>
        <w:rPr>
          <w:rFonts w:ascii="Times New Roman" w:hAnsi="Times New Roman"/>
          <w:color w:val="000000" w:themeColor="text1"/>
          <w:sz w:val="16"/>
          <w:szCs w:val="16"/>
        </w:rPr>
      </w:pPr>
    </w:p>
    <w:p w14:paraId="64A1CAAA"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2DE8C8B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6687F4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февраля 1944 года директор и гл. конструктор завода N 115 А. Яковлев писал письмо N 96с Шахурину.</w:t>
      </w:r>
    </w:p>
    <w:p w14:paraId="01E7912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Вашему приказу N 523сс от 31/VIII-43 года завод N 115 обязан изготовить и предъявить на гос. испытания один экземпляр высотного истребителя ЯК-9 с мотором М-105ПД с боевой высотой 13,5 тыс. м.</w:t>
      </w:r>
    </w:p>
    <w:p w14:paraId="2BB7334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Изучение вопроса о возможности повышения потолка до 13,5 тыс. м показывает, что достигнутая высота - 13 тыс. м для серийного самолета ЯК-9 с мотором М-105ПД является почти предельной.</w:t>
      </w:r>
    </w:p>
    <w:p w14:paraId="2E37A6B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Задача дальнейшего повышения потолка до 13,5 тыс. м потребует весьма значительного изменения конструкции и займет большой период времени на проектирование и постройку самолета.</w:t>
      </w:r>
    </w:p>
    <w:p w14:paraId="28032BC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Прошу снять с плана завода N 115 изготовление высотного самолета ЯК-9 с мотором М-105ПД по приказу N 523сс (2562,52).</w:t>
      </w:r>
    </w:p>
    <w:p w14:paraId="1CB3F3D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9F85C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февраля 1944 года Як-3 ВК-107А №2 предъявили в НИИ ВВС.</w:t>
      </w:r>
    </w:p>
    <w:p w14:paraId="08DC265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января 1944 года, на аэродром выкатили второй прототип Як-3 ВК-107А "Дублер", как тогда было принято называть такие машины. На этом самолете изначально, еще на стадии проектирования и постройки, применили все технические решения, ставшие основой для переделок первого опытного экземпляра машины. Радикальным изменениям подверглись только фонарь кабины пилота, которому придали более обтекаемую форму, и установка вооружения с двумя опытными синхронными пушками Б-20. При этом полетный вес второго прототипа по сравнению с предшественником практически не изменился - 2932 кг. Соответственно одинаковыми были и летные данные. Максимальная скорость у земли Як-3 ВК-107А № 1 до модификации была равной 611 км/ч, а у №2 - 610 км/ч (из-за неблагоприятных метеоусловий "Дублер" был облетан и проверен только на малых высотах). Заводские испытания, проведенные с 25 по 29 января 1944 года, показали, что основные дефекты, выявленные на первом прототипе, устранены и самолет может быть предъявлен на государственные испытания.</w:t>
      </w:r>
    </w:p>
    <w:p w14:paraId="00B7CBE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же февраля заводской пилот выполнил два полета на проверку работы винта ВИШ-107 (во время заводских испытаний была отмечена тряска винта на полных оборотах мотора). Характеристика винтомоторной группы осталась неизменной, и в НИИ ВВС самолет поступил с винтом АВ-10п-20. Государственные испытания начались 7 февраля и продолжались по 15 мая 1944 года. Ведущими по машине были инженер Г.А. Седов, летчики Ю.А. Антипов и А.Г. Про- шаков.</w:t>
      </w:r>
    </w:p>
    <w:p w14:paraId="2615E67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Несмотря на несколько возросший полетный вес (как за счет установки нового винта, так и введения в крыло проти- вофлаттерных грузов), летные данные машины остались неизменными. При боевой мощности мотора (допускалось 3200 оборотов в минуту в течение получаса) максимальная скорость горизонтального полета на второй границе высотности мотора 5750 метров составила 720 км/ч (717 км/ч на высоте 6000 метров у первого прототипа). Если горизонтальная маневренность машины осталась на уровне серийных образцов Як-3, то на вертикалях самолету не стало равных среди отечественных и среди зарубежных истребителей. Достаточно сказать, что за боевой разворот второй опытный экземпляр Як-3 ВК-107А поднимался на 1400-1500 метров.</w:t>
      </w:r>
    </w:p>
    <w:p w14:paraId="31360CC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Таким образом, цель создания истребителя завоевания господства в воздухе можно было бы считать достигнутой, если бы не два обстоятельства. Первое из них - крайне ненадежная работа двигателя ВК- 107А. За время испытаний сменили три мотора из-за разрушения коренных подшипников. При назначенном ресурсе в 50 часов первые два двигателя 337-й и 347-й серий отработали лишь 15 часов 20 минут и 9 часов 20 минут соответственно. Третий мотор 347-й серии с назначенным ресурсом 100 часов, наработал с начала эксплуатации лишь четыре часа (!), из которых в воздухе - 40 минут. Четвертый двигатель успел наработать только 23 часа 34 минуты, прошел в процессе испытаний ремонт с заменой блока и тоже был снят по причине разрушения коренных подшипников. Сильная тряска на пониженных оборотах мотора при его дросселировании выше границы высотности, течь масла через переднее уплотнение редуктора, падение давления масла ниже допустимого на высотах более 8000 метров, перегрев воды и масла в наборе высоты при температуре наружного воздуха у земли +30°С, а в горизонтальном полете - при температуре + 15°С. В полетах отмечалось также самопроизвольное изменение наддува в наборе высоты выше установленных для мотора значений (1090 мм рт.ст. на первой и 1120 мм рт. ст. на второй границе высотности против разрешенных 1060 мм рт. ст.) не повлиявшего тем не менее на его нормальную работу.</w:t>
      </w:r>
    </w:p>
    <w:p w14:paraId="019565E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Следует заметить, что двигатель ВК- 107А, как и ВК-105ПФ2, работал на бензинах 4Б-78 и 1 Б-95 с октановыми числами 95 и 96.</w:t>
      </w:r>
    </w:p>
    <w:p w14:paraId="5B73402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Вторым существенным недостатком явилась неудовлетворительная работа опытных пушек Б-20 и низкая прочность их креплений (были использованы серийные узлы для пулеметов УБС).</w:t>
      </w:r>
    </w:p>
    <w:p w14:paraId="6F71B3B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Як-3 "Дублер" с двигателем ВК-107А, выпуска зав. №115, проходил государственные испытания с винтами АВ- 10п-20 и ВИШ-107ЛО с февраля по май 1944 г.</w:t>
      </w:r>
    </w:p>
    <w:p w14:paraId="7809158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 своем заключении специалисты НИИ ВВС отметили необходимость доводки самолета, и прежде всего силовой установки, до внедрения его в серийное производство. В противном случае исключалась нормальная эксплуатация самолета с поддержанием необходимого уровня боеготовности в строевых частях. </w:t>
      </w:r>
    </w:p>
    <w:p w14:paraId="0F8BBAF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Доводку второго прототипа завершили силами ОКБ и облетали 3 июля 1944 года. Однако на дополнительные государственные испытания, проходившие с 13 июля по 20 августа 1944 года, предъявили модифицированный по типу второй машины Як-3 ВК-107А№1. Принятыми мерами удалось устранить ряд дефектов. Однако основные недостатки: перегрев воды и масла, течь масла из переднего уплотнения редуктора мотора, большие нагрузки на ручку управления от элеронов и руля высоты, недостаточный противокапотажный угол (смещением кабины пилота добились увеличения противокапотажного угла с 19,5 до 23 градусов при требуемых ВВС 26 градусов) и недостаточная дальность радиопередачи с самолета остались неустраненными. Входе испытаний мотор417-й серии из-за ненадежной работы на высоте более 3000 метров заменили двигателем 427-й серии, который работал практически без перебоев, но выше 7700 метров давление топлива на нем падало ниже допустимого уровня.</w:t>
      </w:r>
    </w:p>
    <w:p w14:paraId="7E90E80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К моменту окончания испытаний опытного Як-3 В К- 107А еще только-только удалось наладить серийное производство его базовой модели с мотором ВК-105ПФ-2. Не меньшие трудности испытывали и заводы, приступившие к серийному выпуску Як-9У с ВК-107А. Поэтому решение о запуске новой модификации в серийное производство было отложено до конца года (12047).</w:t>
      </w:r>
    </w:p>
    <w:p w14:paraId="182335C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19D210D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февраля 1944 года вышел приказ НКАП</w:t>
      </w:r>
    </w:p>
    <w:p w14:paraId="2ADCFF3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Утвердить директором завода № 447 Наджаряна В.А. (8925)</w:t>
      </w:r>
    </w:p>
    <w:p w14:paraId="7B38C00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февраля 1944 г. летчик-испытатель Георгий Михайлович Шиянов совершил первый полет на модернизированном истребителе Ла-5, на котором учли все рекомендации ЦАГИ: была проведена внешняя и внутренняя герметизация винто-мотор-ной группы и планера, установлены щитки, полностью закрывающие ниши шасси, маслорадиатор перенесен под фюзеляж, а всасывающие патрубки нагнетателя - в носок центроплана, улучшена форма зализов между крылом и фюзеляжем, сокращено количество крышек капота и уменьшен размер подвижных боковых створок; за счет установки аэродинамических компенсаторов на рулях высоты удалось уменьшить усилия на ручке управления на 20-23%. "Эталон" получил усиленное вооружение из трех 20-мм пушек Березина УБ-20 с боезапасом по 150 снарядов на ствол. Всего через две недели -16 февраля - самолет передали на государственные испытания (4707).</w:t>
      </w:r>
    </w:p>
    <w:p w14:paraId="4B2B592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07349B"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047A148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A730A7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февраля 1944 г. было подготовлено СООБЩЕНИЕ НАЧАЛЬНИКА УЭТ ГБТУ КА НАЧАЛЬНИКУ ТУ ГБТУ КА ПО УЛУЧШЕНИЮ КОНСТРУКЦИИ ТАНКА Т-34 И ЕГО ВООРУЖЕНИЯ № 542098</w:t>
      </w:r>
    </w:p>
    <w:p w14:paraId="0A65354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сем препровождаю выписки предложений по улучшению конструкции танка Т-34 и его вооружения из отчетов отделов эксплуатации УК БТ и МВ 3-го Украинского и 2-го Украинского фронтов за декабрь месяц 1943 года.</w:t>
      </w:r>
    </w:p>
    <w:p w14:paraId="67B9813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I. Из отчета ОЭ УК БТ и МВ 3-го Украинского фронта:</w:t>
      </w:r>
    </w:p>
    <w:p w14:paraId="529E089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По конструкции командирской башенки, установленной в танке Т-34.</w:t>
      </w:r>
    </w:p>
    <w:p w14:paraId="13BBA5B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Командирская башенка, установленная на танке Т-34, не обеспечивает кругового обзора командиру машины ввиду того, что смотровые щели расположены слишком высоко и при закры</w:t>
      </w:r>
      <w:r w:rsidRPr="007224C3">
        <w:rPr>
          <w:rFonts w:ascii="Times New Roman" w:hAnsi="Times New Roman"/>
          <w:color w:val="000000" w:themeColor="text1"/>
          <w:sz w:val="16"/>
          <w:szCs w:val="16"/>
        </w:rPr>
        <w:softHyphen/>
        <w:t>том люке совершенно лишают возможности вести наблюдение из башни (зрачки глаз оказывают</w:t>
      </w:r>
      <w:r w:rsidRPr="007224C3">
        <w:rPr>
          <w:rFonts w:ascii="Times New Roman" w:hAnsi="Times New Roman"/>
          <w:color w:val="000000" w:themeColor="text1"/>
          <w:sz w:val="16"/>
          <w:szCs w:val="16"/>
        </w:rPr>
        <w:softHyphen/>
        <w:t>ся много ниже щелей). С другой стороны, наличие башенки мешает вести круговое наблюдение через ПТ-4-7. Кроме того, смотровые щели узки.</w:t>
      </w:r>
    </w:p>
    <w:p w14:paraId="20D19E7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Предлагается: в командирской башенке Т-34 установить зеркальные перископы по типу танка КВ-1с. Это даст возможность уменьшить размер башни и улучшить наблюдение.</w:t>
      </w:r>
    </w:p>
    <w:p w14:paraId="24BA446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Крышка люка командирской башенки, состоящая из двух половин, тяжела и неудобна, кроме того, имеет неудачный и трудно открываемый запор. На открывание запора и крышки башенки тра</w:t>
      </w:r>
      <w:r w:rsidRPr="007224C3">
        <w:rPr>
          <w:rFonts w:ascii="Times New Roman" w:hAnsi="Times New Roman"/>
          <w:color w:val="000000" w:themeColor="text1"/>
          <w:sz w:val="16"/>
          <w:szCs w:val="16"/>
        </w:rPr>
        <w:softHyphen/>
        <w:t>тится много времени. В случае ранения командира машины, это ведет почти всегда к его гибели.</w:t>
      </w:r>
    </w:p>
    <w:p w14:paraId="18DE19B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Необходимо сделать крышку из одной половины и легко открываемую.</w:t>
      </w:r>
    </w:p>
    <w:p w14:paraId="1B8CC76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Имеются случаи пробивания командирской башенки с самолетов противника, так как башенка не имеет достаточно удобной формы для рикошетирования пуль и имеет недостаточную толщину брони.</w:t>
      </w:r>
    </w:p>
    <w:p w14:paraId="02CAE9C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Введение зеркальных перископов даст возможность уменьшить высоту башни и сделать ее обте</w:t>
      </w:r>
      <w:r w:rsidRPr="007224C3">
        <w:rPr>
          <w:rFonts w:ascii="Times New Roman" w:hAnsi="Times New Roman"/>
          <w:color w:val="000000" w:themeColor="text1"/>
          <w:sz w:val="16"/>
          <w:szCs w:val="16"/>
        </w:rPr>
        <w:softHyphen/>
        <w:t>каемой формы.</w:t>
      </w:r>
    </w:p>
    <w:p w14:paraId="3D76461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Десантный люк танка Т-34 неудобен тем, что открывается вниз путем отворачивания гаек кре</w:t>
      </w:r>
      <w:r w:rsidRPr="007224C3">
        <w:rPr>
          <w:rFonts w:ascii="Times New Roman" w:hAnsi="Times New Roman"/>
          <w:color w:val="000000" w:themeColor="text1"/>
          <w:sz w:val="16"/>
          <w:szCs w:val="16"/>
        </w:rPr>
        <w:softHyphen/>
        <w:t>пления его к днищу. Необходимо, чтобы десантный люк открывался во внутрь машины и откидывал</w:t>
      </w:r>
      <w:r w:rsidRPr="007224C3">
        <w:rPr>
          <w:rFonts w:ascii="Times New Roman" w:hAnsi="Times New Roman"/>
          <w:color w:val="000000" w:themeColor="text1"/>
          <w:sz w:val="16"/>
          <w:szCs w:val="16"/>
        </w:rPr>
        <w:softHyphen/>
        <w:t>ся вправо, имея простой, удобный и легко открываемый замок, учитывая при конструировании люка возможность срыва его взрывной волной, а также и его герметичность (не пропускал бы воду).</w:t>
      </w:r>
    </w:p>
    <w:p w14:paraId="7D6BA3F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Спусковые механизмы, установленные на наших машинах, слишком медленны в действии, что влечет потерю цели при движении танков. Кроме того, они часто отказывают в своей работе.</w:t>
      </w:r>
    </w:p>
    <w:p w14:paraId="257D3F4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Желательно установление на наших пушках спусковых механизмов электроспуска по типу немецкого танка «Артштурм» или английских танков «Матильда» и «Валентин».</w:t>
      </w:r>
    </w:p>
    <w:p w14:paraId="50F046E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крайнем случае, установить на подъемном и поворотном механизмах ручные спусковые меха</w:t>
      </w:r>
      <w:r w:rsidRPr="007224C3">
        <w:rPr>
          <w:rFonts w:ascii="Times New Roman" w:hAnsi="Times New Roman"/>
          <w:color w:val="000000" w:themeColor="text1"/>
          <w:sz w:val="16"/>
          <w:szCs w:val="16"/>
        </w:rPr>
        <w:softHyphen/>
        <w:t>низмы, по типу немецких танков Т-4.</w:t>
      </w:r>
    </w:p>
    <w:p w14:paraId="2CDCDEC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Прицельные приспособления. Существующий диоптрический прицел у пулеметчика-радиста дает очень малый угол зрения. Отыскивание целей через него затруднено и опытные стрелки-ради</w:t>
      </w:r>
      <w:r w:rsidRPr="007224C3">
        <w:rPr>
          <w:rFonts w:ascii="Times New Roman" w:hAnsi="Times New Roman"/>
          <w:color w:val="000000" w:themeColor="text1"/>
          <w:sz w:val="16"/>
          <w:szCs w:val="16"/>
        </w:rPr>
        <w:softHyphen/>
        <w:t>сты ими не пользуются, ведут наблюдение и корректирование огня через верхний, имеющийся у механика-водителя, зеркальный перископ по разрывам пуль (КБ-1с).</w:t>
      </w:r>
    </w:p>
    <w:p w14:paraId="305BC12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танке Т-34 стрелок-радист находится в еще более тяжелом положении.</w:t>
      </w:r>
    </w:p>
    <w:p w14:paraId="4B0EB45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Необходимо изменить прицел пулеметчика-радиста, установить либо снайперский оптический прицел, либо перископический прицел. Во всех перископических прицелах необходимо ввести при</w:t>
      </w:r>
      <w:r w:rsidRPr="007224C3">
        <w:rPr>
          <w:rFonts w:ascii="Times New Roman" w:hAnsi="Times New Roman"/>
          <w:color w:val="000000" w:themeColor="text1"/>
          <w:sz w:val="16"/>
          <w:szCs w:val="16"/>
        </w:rPr>
        <w:softHyphen/>
        <w:t>бор очистки защитного стекла в непогоду и снегопад.</w:t>
      </w:r>
    </w:p>
    <w:p w14:paraId="0E2A258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Запасные траки на танке Т-34 расположены на крыльях. Опыт боев показал, что крылья сби</w:t>
      </w:r>
      <w:r w:rsidRPr="007224C3">
        <w:rPr>
          <w:rFonts w:ascii="Times New Roman" w:hAnsi="Times New Roman"/>
          <w:color w:val="000000" w:themeColor="text1"/>
          <w:sz w:val="16"/>
          <w:szCs w:val="16"/>
        </w:rPr>
        <w:softHyphen/>
        <w:t>вают в первом же бою, вместе с ними сбивают и траки. Подбитый в бою танк из-за неверного раз</w:t>
      </w:r>
      <w:r w:rsidRPr="007224C3">
        <w:rPr>
          <w:rFonts w:ascii="Times New Roman" w:hAnsi="Times New Roman"/>
          <w:color w:val="000000" w:themeColor="text1"/>
          <w:sz w:val="16"/>
          <w:szCs w:val="16"/>
        </w:rPr>
        <w:softHyphen/>
        <w:t>мещения траков в нужный момент остается без них.</w:t>
      </w:r>
    </w:p>
    <w:p w14:paraId="01EEB2C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Необходимо траки располагать на задней наклонной броне, т.е. в месте наименее подверженном воздействию огня противника.</w:t>
      </w:r>
    </w:p>
    <w:p w14:paraId="3D4CD34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Запасные баки, установленные на заднем листе танка Т-34 заводом №184, неудобны для их дальнейшего использования. После снятия с танка их выбрасывают, ввиду неудобной угловатой формы. Наиболее удобные баки устанавливаются Кировским заводом, которые и необходимо при</w:t>
      </w:r>
      <w:r w:rsidRPr="007224C3">
        <w:rPr>
          <w:rFonts w:ascii="Times New Roman" w:hAnsi="Times New Roman"/>
          <w:color w:val="000000" w:themeColor="text1"/>
          <w:sz w:val="16"/>
          <w:szCs w:val="16"/>
        </w:rPr>
        <w:softHyphen/>
        <w:t>нять для изготовления всем заводам. На баках желательно для быстрого опознания сделать надписи: «масло», «топливо».</w:t>
      </w:r>
    </w:p>
    <w:p w14:paraId="475349D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Для обеспечения маскировки подбитого танка и выхода из него экипажа, необходимо на тан</w:t>
      </w:r>
      <w:r w:rsidRPr="007224C3">
        <w:rPr>
          <w:rFonts w:ascii="Times New Roman" w:hAnsi="Times New Roman"/>
          <w:color w:val="000000" w:themeColor="text1"/>
          <w:sz w:val="16"/>
          <w:szCs w:val="16"/>
        </w:rPr>
        <w:softHyphen/>
        <w:t>ках последующих выпусков установить мортиры с дымовыми шашками.</w:t>
      </w:r>
    </w:p>
    <w:p w14:paraId="6144297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Выбрасывание дымовых шашек обеспечит выход экипажа из подбитого танка. Кроме того, дымовая завеса сыграет большую роль после прорыва укрепленной полосы противника в момент углубления в его оборону, маскируя танк от глаз расчета уже прошедших огневых точек.</w:t>
      </w:r>
    </w:p>
    <w:p w14:paraId="0EF7F08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Желательно на танках Т-34 ввести дополнительную экранировку бортов с воздушными про</w:t>
      </w:r>
      <w:r w:rsidRPr="007224C3">
        <w:rPr>
          <w:rFonts w:ascii="Times New Roman" w:hAnsi="Times New Roman"/>
          <w:color w:val="000000" w:themeColor="text1"/>
          <w:sz w:val="16"/>
          <w:szCs w:val="16"/>
        </w:rPr>
        <w:softHyphen/>
        <w:t>межутками. Эту экранировку расположить по наклонным местам подбашенной коробки.</w:t>
      </w:r>
    </w:p>
    <w:p w14:paraId="58D3689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Необходимо на танках Т-34 установить пушку Д-5 85 мм. В дальнейшем обязательно примене</w:t>
      </w:r>
      <w:r w:rsidRPr="007224C3">
        <w:rPr>
          <w:rFonts w:ascii="Times New Roman" w:hAnsi="Times New Roman"/>
          <w:color w:val="000000" w:themeColor="text1"/>
          <w:sz w:val="16"/>
          <w:szCs w:val="16"/>
        </w:rPr>
        <w:softHyphen/>
        <w:t>ние пушки с увеличенной начальной скоростью. При установке пушки Д-5 учесть:</w:t>
      </w:r>
    </w:p>
    <w:p w14:paraId="4161861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Исключение возможности утыкания ствола пушки при движении танка по пересеченной местности;</w:t>
      </w:r>
    </w:p>
    <w:p w14:paraId="5561CA2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Необходимость обязательной экранировки ствола пушки.</w:t>
      </w:r>
    </w:p>
    <w:p w14:paraId="239594B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Зеркальные стеклянные перископы необходимо заменить на металлические.</w:t>
      </w:r>
    </w:p>
    <w:p w14:paraId="3C77C43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 Из отчета ОЭ УК БТ и МВ 2-го Украинского фронта:</w:t>
      </w:r>
    </w:p>
    <w:p w14:paraId="59AF5C9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«Командирская башенка танка Т-34 до сего времени себя не оправдывает, так как она легко про</w:t>
      </w:r>
      <w:r w:rsidRPr="007224C3">
        <w:rPr>
          <w:rFonts w:ascii="Times New Roman" w:hAnsi="Times New Roman"/>
          <w:color w:val="000000" w:themeColor="text1"/>
          <w:sz w:val="16"/>
          <w:szCs w:val="16"/>
        </w:rPr>
        <w:softHyphen/>
        <w:t>бивается даже мелкокалиберной артиллерией противника, люк ее часто заклинивается в бою, что ведет к выводу из строя и изоляции командира танка».</w:t>
      </w:r>
    </w:p>
    <w:p w14:paraId="37806BF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«Более удобным и значительно облегчающим пользование надо считать открытие люка коман</w:t>
      </w:r>
      <w:r w:rsidRPr="007224C3">
        <w:rPr>
          <w:rFonts w:ascii="Times New Roman" w:hAnsi="Times New Roman"/>
          <w:color w:val="000000" w:themeColor="text1"/>
          <w:sz w:val="16"/>
          <w:szCs w:val="16"/>
        </w:rPr>
        <w:softHyphen/>
        <w:t>дирской башенки танка Т-34 не вверх на горизонтальных шарнирах, а в сторону на вертикальном шарнире (по примеру люков немецкого танка «Пантера»)».</w:t>
      </w:r>
    </w:p>
    <w:p w14:paraId="54BBC64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указанные предложения прошу дать Ваше заключение и выслать его на имя помощников командующих БТ и МВ 3-го Украинского и 2-го Украинского фронтов, копию — в УЭТ ГБТУ КА.</w:t>
      </w:r>
    </w:p>
    <w:p w14:paraId="42B1F41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УЭТ ГБТУ КА генерал-майор инженерно-танковой службы Печеникин</w:t>
      </w:r>
    </w:p>
    <w:p w14:paraId="3FEF25C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Врид. начальника 1 -го отдела УЭТ ГБТУ КА инженер-майор Маслий</w:t>
      </w:r>
    </w:p>
    <w:p w14:paraId="5489E97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38. Оп. 11355. Д. 2282. Л. 2 - 3. Подлинник (11403).</w:t>
      </w:r>
    </w:p>
    <w:p w14:paraId="49CE325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66E826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февраля 1944 г. была подготовлена ДОКЛАДНАЯ ЗАПИСКА ЗАМЕСТИТЕЛЯ НАЧАЛЬНИКА ГБТУ КА НАРОДНОМУ КОМИССАРУ ТАНКОВОЙ ПРОМЫШЛЕННОСТИ СССР МАЛЫШЕВУ ПО ИСПЫТАНИЮ НА ГАРАНТИЙНЫЙ КИЛОМЕТРАЖ ТАНКА ИС № 520493</w:t>
      </w:r>
    </w:p>
    <w:p w14:paraId="588DB63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испытании на гарантийный километраж танка ИС, выпуска декабря месяца 1943 года, вышли из строя ряд деталей и агрегатов, которые необходимо заменить.</w:t>
      </w:r>
    </w:p>
    <w:p w14:paraId="4F93F4B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Прошу Вашего распоряжения директору Кировского завода т. Зальцман выслать НИБТ поли</w:t>
      </w:r>
      <w:r w:rsidRPr="007224C3">
        <w:rPr>
          <w:rFonts w:ascii="Times New Roman" w:hAnsi="Times New Roman"/>
          <w:color w:val="000000" w:themeColor="text1"/>
          <w:sz w:val="16"/>
          <w:szCs w:val="16"/>
        </w:rPr>
        <w:softHyphen/>
        <w:t>гону ГБТУ КА комплект планетарных механизмов поворота в сборе и ротный комплект запасных частей для восстановления танка ИС, выпуска декабря месяца 1943 г., и танков намеченных к испы</w:t>
      </w:r>
      <w:r w:rsidRPr="007224C3">
        <w:rPr>
          <w:rFonts w:ascii="Times New Roman" w:hAnsi="Times New Roman"/>
          <w:color w:val="000000" w:themeColor="text1"/>
          <w:sz w:val="16"/>
          <w:szCs w:val="16"/>
        </w:rPr>
        <w:softHyphen/>
        <w:t>таниям в 1944 году.</w:t>
      </w:r>
    </w:p>
    <w:p w14:paraId="7A1F9B5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Одновременно, прошу Вас дать распоряжение директорам заводов о высылке в адрес НИБТ полигона ГБТУ КА по одному полному экземпляру чертежей и технических условий на танк Т-34 и ИС для правильной оценки и более точного определения причин выхода из строя деталей при испы</w:t>
      </w:r>
      <w:r w:rsidRPr="007224C3">
        <w:rPr>
          <w:rFonts w:ascii="Times New Roman" w:hAnsi="Times New Roman"/>
          <w:color w:val="000000" w:themeColor="text1"/>
          <w:sz w:val="16"/>
          <w:szCs w:val="16"/>
        </w:rPr>
        <w:softHyphen/>
        <w:t>тании танков на гарантийный километраж.</w:t>
      </w:r>
    </w:p>
    <w:p w14:paraId="299765C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 принятом Вами решении прошу сообщить.</w:t>
      </w:r>
    </w:p>
    <w:p w14:paraId="3028188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Заместитель начальника ГБТУ КА генерал-лейтенант инженерно-танковой службы Лебедев</w:t>
      </w:r>
    </w:p>
    <w:p w14:paraId="0D40A97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38. Оп. 11355. Д. 2201. Л. 3. Копия (11403).</w:t>
      </w:r>
    </w:p>
    <w:p w14:paraId="04B2E2B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5DB0A38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2 февраля 1944 г. была подготовлена СПРАВКА УСА ГБТУ КА О ХОДЕ ВЫПОЛНЕНИЯ ПОСТАНОВЛЕНИЙ ГКО ЗА ЯНВАРь 1944 г. № 555287</w:t>
      </w:r>
    </w:p>
    <w:tbl>
      <w:tblPr>
        <w:tblW w:w="0" w:type="auto"/>
        <w:tblInd w:w="40" w:type="dxa"/>
        <w:tblLayout w:type="fixed"/>
        <w:tblCellMar>
          <w:left w:w="40" w:type="dxa"/>
          <w:right w:w="40" w:type="dxa"/>
        </w:tblCellMar>
        <w:tblLook w:val="0000" w:firstRow="0" w:lastRow="0" w:firstColumn="0" w:lastColumn="0" w:noHBand="0" w:noVBand="0"/>
      </w:tblPr>
      <w:tblGrid>
        <w:gridCol w:w="4954"/>
        <w:gridCol w:w="4666"/>
      </w:tblGrid>
      <w:tr w:rsidR="005106D0" w:rsidRPr="007224C3" w14:paraId="1870A7DF" w14:textId="77777777">
        <w:trPr>
          <w:trHeight w:val="269"/>
        </w:trPr>
        <w:tc>
          <w:tcPr>
            <w:tcW w:w="4954" w:type="dxa"/>
            <w:tcBorders>
              <w:top w:val="single" w:sz="6" w:space="0" w:color="auto"/>
              <w:left w:val="single" w:sz="6" w:space="0" w:color="auto"/>
              <w:bottom w:val="single" w:sz="6" w:space="0" w:color="auto"/>
              <w:right w:val="single" w:sz="6" w:space="0" w:color="auto"/>
            </w:tcBorders>
          </w:tcPr>
          <w:p w14:paraId="5C7E677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постановлений и содержание</w:t>
            </w:r>
          </w:p>
          <w:p w14:paraId="7853BF2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666" w:type="dxa"/>
            <w:tcBorders>
              <w:top w:val="single" w:sz="6" w:space="0" w:color="auto"/>
              <w:left w:val="single" w:sz="6" w:space="0" w:color="auto"/>
              <w:bottom w:val="single" w:sz="6" w:space="0" w:color="auto"/>
              <w:right w:val="single" w:sz="6" w:space="0" w:color="auto"/>
            </w:tcBorders>
          </w:tcPr>
          <w:p w14:paraId="3FDA331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Выполнение</w:t>
            </w:r>
          </w:p>
          <w:p w14:paraId="30E691B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A184122" w14:textId="77777777">
        <w:trPr>
          <w:trHeight w:val="307"/>
        </w:trPr>
        <w:tc>
          <w:tcPr>
            <w:tcW w:w="4954" w:type="dxa"/>
            <w:tcBorders>
              <w:top w:val="single" w:sz="6" w:space="0" w:color="auto"/>
              <w:left w:val="single" w:sz="6" w:space="0" w:color="auto"/>
              <w:bottom w:val="single" w:sz="6" w:space="0" w:color="auto"/>
              <w:right w:val="single" w:sz="6" w:space="0" w:color="auto"/>
            </w:tcBorders>
          </w:tcPr>
          <w:p w14:paraId="34E4C4B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№ГОКО-3826 от 28.07.1943 г.</w:t>
            </w:r>
          </w:p>
          <w:p w14:paraId="475A9A5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666" w:type="dxa"/>
            <w:tcBorders>
              <w:top w:val="single" w:sz="6" w:space="0" w:color="auto"/>
              <w:left w:val="single" w:sz="6" w:space="0" w:color="auto"/>
              <w:bottom w:val="single" w:sz="6" w:space="0" w:color="auto"/>
              <w:right w:val="single" w:sz="6" w:space="0" w:color="auto"/>
            </w:tcBorders>
          </w:tcPr>
          <w:p w14:paraId="79E0900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01C61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BE93A2C" w14:textId="77777777">
        <w:trPr>
          <w:trHeight w:val="1277"/>
        </w:trPr>
        <w:tc>
          <w:tcPr>
            <w:tcW w:w="4954" w:type="dxa"/>
            <w:tcBorders>
              <w:top w:val="single" w:sz="6" w:space="0" w:color="auto"/>
              <w:left w:val="single" w:sz="6" w:space="0" w:color="auto"/>
              <w:bottom w:val="single" w:sz="6" w:space="0" w:color="auto"/>
              <w:right w:val="single" w:sz="6" w:space="0" w:color="auto"/>
            </w:tcBorders>
          </w:tcPr>
          <w:p w14:paraId="6F878FB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СКВ (Специальное конструкторское бюро) НКСП обязано изготовить: 1 . Опытный образец стабилизатора к пушке Ф-34 танка Т-34 к 15.10.1943 г. 2. Опытный образец стабилизатора к 85-мм пушке танка ИС к 15.11.1943 г.</w:t>
            </w:r>
          </w:p>
          <w:p w14:paraId="3EA13B9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666" w:type="dxa"/>
            <w:tcBorders>
              <w:top w:val="single" w:sz="6" w:space="0" w:color="auto"/>
              <w:left w:val="single" w:sz="6" w:space="0" w:color="auto"/>
              <w:bottom w:val="single" w:sz="6" w:space="0" w:color="auto"/>
              <w:right w:val="single" w:sz="6" w:space="0" w:color="auto"/>
            </w:tcBorders>
          </w:tcPr>
          <w:p w14:paraId="4A770CA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 Образец изготовлен и смонтирован в танк Т-34. На испытание ожидается 4.02.1944 г. 2. Технический проект выполнен, изготавливаются отдельные узлы стабилизатора. Доложено в ГОКО 8.01.1944 г. письмом № 555059с.</w:t>
            </w:r>
          </w:p>
          <w:p w14:paraId="542D60D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020A626" w14:textId="77777777">
        <w:trPr>
          <w:trHeight w:val="278"/>
        </w:trPr>
        <w:tc>
          <w:tcPr>
            <w:tcW w:w="4954" w:type="dxa"/>
            <w:tcBorders>
              <w:top w:val="single" w:sz="6" w:space="0" w:color="auto"/>
              <w:left w:val="single" w:sz="6" w:space="0" w:color="auto"/>
              <w:bottom w:val="single" w:sz="6" w:space="0" w:color="auto"/>
              <w:right w:val="single" w:sz="6" w:space="0" w:color="auto"/>
            </w:tcBorders>
          </w:tcPr>
          <w:p w14:paraId="6D69A5E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№ГОКО-4479сс от 31.10.1943 г.</w:t>
            </w:r>
          </w:p>
          <w:p w14:paraId="090EECA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666" w:type="dxa"/>
            <w:tcBorders>
              <w:top w:val="single" w:sz="6" w:space="0" w:color="auto"/>
              <w:left w:val="single" w:sz="6" w:space="0" w:color="auto"/>
              <w:bottom w:val="single" w:sz="6" w:space="0" w:color="auto"/>
              <w:right w:val="single" w:sz="6" w:space="0" w:color="auto"/>
            </w:tcBorders>
          </w:tcPr>
          <w:p w14:paraId="1C98C89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54E6A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BABDF88" w14:textId="77777777">
        <w:trPr>
          <w:trHeight w:val="1277"/>
        </w:trPr>
        <w:tc>
          <w:tcPr>
            <w:tcW w:w="4954" w:type="dxa"/>
            <w:tcBorders>
              <w:top w:val="single" w:sz="6" w:space="0" w:color="auto"/>
              <w:left w:val="single" w:sz="6" w:space="0" w:color="auto"/>
              <w:bottom w:val="single" w:sz="6" w:space="0" w:color="auto"/>
              <w:right w:val="single" w:sz="6" w:space="0" w:color="auto"/>
            </w:tcBorders>
          </w:tcPr>
          <w:p w14:paraId="0F92DCB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Обязать НКВ т. Устинова, директора завода № 9 т. Гонор и главного конструктора завода № 9 т. Петрова спроектировать и изготовить к 1 января 1944 г. к пушке Д-25 122-мм клиновой полуавтоматический затвор и совместно с НКТП, ГАУ КА и ГБТУ КА к 15 января 1944 г. провести испытания пушки на полигоне в танке ИС-2.</w:t>
            </w:r>
          </w:p>
          <w:p w14:paraId="102A3B5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666" w:type="dxa"/>
            <w:tcBorders>
              <w:top w:val="single" w:sz="6" w:space="0" w:color="auto"/>
              <w:left w:val="single" w:sz="6" w:space="0" w:color="auto"/>
              <w:bottom w:val="single" w:sz="6" w:space="0" w:color="auto"/>
              <w:right w:val="single" w:sz="6" w:space="0" w:color="auto"/>
            </w:tcBorders>
          </w:tcPr>
          <w:p w14:paraId="3F3235F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Пушка с клиновым затвором изготовлена, прошла завод</w:t>
            </w:r>
            <w:r w:rsidRPr="007224C3">
              <w:rPr>
                <w:rFonts w:ascii="Times New Roman" w:hAnsi="Times New Roman"/>
                <w:color w:val="000000" w:themeColor="text1"/>
                <w:sz w:val="16"/>
                <w:szCs w:val="16"/>
              </w:rPr>
              <w:softHyphen/>
              <w:t>ские испытания и отправлена на завод № 100 для установ</w:t>
            </w:r>
            <w:r w:rsidRPr="007224C3">
              <w:rPr>
                <w:rFonts w:ascii="Times New Roman" w:hAnsi="Times New Roman"/>
                <w:color w:val="000000" w:themeColor="text1"/>
                <w:sz w:val="16"/>
                <w:szCs w:val="16"/>
              </w:rPr>
              <w:softHyphen/>
              <w:t>ки в танке ИС-2 и последующих испытаний. Доложено ГОКО о невыполнении сроков представления системы на испытание письмом №5551 30с от 17.01.1944 г.</w:t>
            </w:r>
          </w:p>
          <w:p w14:paraId="044C3C2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E63A1F1" w14:textId="77777777">
        <w:trPr>
          <w:trHeight w:val="278"/>
        </w:trPr>
        <w:tc>
          <w:tcPr>
            <w:tcW w:w="4954" w:type="dxa"/>
            <w:tcBorders>
              <w:top w:val="single" w:sz="6" w:space="0" w:color="auto"/>
              <w:left w:val="single" w:sz="6" w:space="0" w:color="auto"/>
              <w:bottom w:val="single" w:sz="6" w:space="0" w:color="auto"/>
              <w:right w:val="single" w:sz="6" w:space="0" w:color="auto"/>
            </w:tcBorders>
          </w:tcPr>
          <w:p w14:paraId="0BAB55E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ГОКО-4581СС от 27.12.1943 г.</w:t>
            </w:r>
          </w:p>
          <w:p w14:paraId="470C1FC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666" w:type="dxa"/>
            <w:tcBorders>
              <w:top w:val="single" w:sz="6" w:space="0" w:color="auto"/>
              <w:left w:val="single" w:sz="6" w:space="0" w:color="auto"/>
              <w:bottom w:val="single" w:sz="6" w:space="0" w:color="auto"/>
              <w:right w:val="single" w:sz="6" w:space="0" w:color="auto"/>
            </w:tcBorders>
          </w:tcPr>
          <w:p w14:paraId="372B84A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8D14C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C536D77" w14:textId="77777777">
        <w:trPr>
          <w:trHeight w:val="2880"/>
        </w:trPr>
        <w:tc>
          <w:tcPr>
            <w:tcW w:w="4954" w:type="dxa"/>
            <w:tcBorders>
              <w:top w:val="single" w:sz="6" w:space="0" w:color="auto"/>
              <w:left w:val="single" w:sz="6" w:space="0" w:color="auto"/>
              <w:bottom w:val="single" w:sz="6" w:space="0" w:color="auto"/>
              <w:right w:val="single" w:sz="6" w:space="0" w:color="auto"/>
            </w:tcBorders>
          </w:tcPr>
          <w:p w14:paraId="1F48472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Государственный комитет обороны постановляет: 1 . Обязать начальника ГАУ КА т. Яковлеа и командующего БТ и МВ КА т. Федоренко до 30.12.1943 г. провести полигонные испытания 85-мм пушки С-53 и С-50, конструкции ЦАКБ НКВ (т. Грабина), для Т-34 с нормальным и расширенным погоном и 85-мм пушки ЛБ-1 завода № 92 на Т-34 с расширенным погоном. 2. Обязать: а) НКВ (т. Устинова) и ЦАКБ НКВ (т. Грабина) к 1.01.1944 г. представить на полигонные испытания 100-мм пушку С-34, конструкции ЦАКБ НКВ. б) Начальника ГАУ КА т. Яковлева и командующего БТ и МВ КА т. Федоренко к 5.01 1944 г. провести полигонные испытания. Результаты испытаний доложить в ГОКО 7.01.1944 г.</w:t>
            </w:r>
          </w:p>
          <w:p w14:paraId="32DDC01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666" w:type="dxa"/>
            <w:tcBorders>
              <w:top w:val="single" w:sz="6" w:space="0" w:color="auto"/>
              <w:left w:val="single" w:sz="6" w:space="0" w:color="auto"/>
              <w:bottom w:val="single" w:sz="6" w:space="0" w:color="auto"/>
              <w:right w:val="single" w:sz="6" w:space="0" w:color="auto"/>
            </w:tcBorders>
          </w:tcPr>
          <w:p w14:paraId="001FED6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Испытания проведены и закончены 31.12.1943 г. Постановлением ГОКО №4873сс от 1.01.1944 г. для танка Т-34 принята 85-мм танковая пушка образца 1944 г. (С-53), конструкции ЦАКБ НКВ. Производится испытание двух образцов из установочной партии в Гороховце. Испытания закончены 1.02.1944 г. Результаты удовлетво</w:t>
            </w:r>
            <w:r w:rsidRPr="007224C3">
              <w:rPr>
                <w:rFonts w:ascii="Times New Roman" w:hAnsi="Times New Roman"/>
                <w:color w:val="000000" w:themeColor="text1"/>
                <w:sz w:val="16"/>
                <w:szCs w:val="16"/>
              </w:rPr>
              <w:softHyphen/>
              <w:t>рительные. 2. а) Испытания проведены в период с 22 по 27 января 1944 г. Пушка испытывалась в танке КВ с башней ИС - испы</w:t>
            </w:r>
            <w:r w:rsidRPr="007224C3">
              <w:rPr>
                <w:rFonts w:ascii="Times New Roman" w:hAnsi="Times New Roman"/>
                <w:color w:val="000000" w:themeColor="text1"/>
                <w:sz w:val="16"/>
                <w:szCs w:val="16"/>
              </w:rPr>
              <w:softHyphen/>
              <w:t>тания выдержала. Отчет представлен, б) Опоздание в испытании вызвано несвоевременной поставкой пушки ЦАКБ НКВ. О задержке в подаче системы на испытание доложено в ГОКО 5.01.1944 г. в письме № 555043 г.</w:t>
            </w:r>
          </w:p>
          <w:p w14:paraId="63E4671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6F1A133" w14:textId="77777777">
        <w:trPr>
          <w:trHeight w:val="278"/>
        </w:trPr>
        <w:tc>
          <w:tcPr>
            <w:tcW w:w="4954" w:type="dxa"/>
            <w:tcBorders>
              <w:top w:val="single" w:sz="6" w:space="0" w:color="auto"/>
              <w:left w:val="single" w:sz="6" w:space="0" w:color="auto"/>
              <w:bottom w:val="single" w:sz="6" w:space="0" w:color="auto"/>
              <w:right w:val="single" w:sz="6" w:space="0" w:color="auto"/>
            </w:tcBorders>
          </w:tcPr>
          <w:p w14:paraId="379B587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№ГОКО-4841сс от 27.12.1943 г.</w:t>
            </w:r>
          </w:p>
          <w:p w14:paraId="5D9E2FE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666" w:type="dxa"/>
            <w:tcBorders>
              <w:top w:val="single" w:sz="6" w:space="0" w:color="auto"/>
              <w:left w:val="single" w:sz="6" w:space="0" w:color="auto"/>
              <w:bottom w:val="single" w:sz="6" w:space="0" w:color="auto"/>
              <w:right w:val="single" w:sz="6" w:space="0" w:color="auto"/>
            </w:tcBorders>
          </w:tcPr>
          <w:p w14:paraId="18A0031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A2505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D0921BA" w14:textId="77777777">
        <w:trPr>
          <w:trHeight w:val="1085"/>
        </w:trPr>
        <w:tc>
          <w:tcPr>
            <w:tcW w:w="4954" w:type="dxa"/>
            <w:tcBorders>
              <w:top w:val="single" w:sz="6" w:space="0" w:color="auto"/>
              <w:left w:val="single" w:sz="6" w:space="0" w:color="auto"/>
              <w:bottom w:val="single" w:sz="6" w:space="0" w:color="auto"/>
              <w:right w:val="single" w:sz="6" w:space="0" w:color="auto"/>
            </w:tcBorders>
          </w:tcPr>
          <w:p w14:paraId="5EC2222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 мероприятиях по увеличению производства танковых призм на заводах Наркомстройматериалов) План поставки для ГБТУ КА в I квартале 1944 г. Призм Т-34 - 2500 шт. Призм Т-70 - 2500 шт.</w:t>
            </w:r>
          </w:p>
          <w:p w14:paraId="58A613D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666" w:type="dxa"/>
            <w:tcBorders>
              <w:top w:val="single" w:sz="6" w:space="0" w:color="auto"/>
              <w:left w:val="single" w:sz="6" w:space="0" w:color="auto"/>
              <w:bottom w:val="single" w:sz="6" w:space="0" w:color="auto"/>
              <w:right w:val="single" w:sz="6" w:space="0" w:color="auto"/>
            </w:tcBorders>
          </w:tcPr>
          <w:p w14:paraId="7653930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январе, в счет IV квартала, 1943 г. отгружено призм Т-34 - 500 шт. и призм Т-70 - 800 шт. В счет I квартала сдача на производилась.</w:t>
            </w:r>
          </w:p>
          <w:p w14:paraId="7F3CDD7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425FD46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УСА ГБТУ КА генерал-майор инженерно-танковой службы Алымов</w:t>
      </w:r>
    </w:p>
    <w:p w14:paraId="7163781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38. Оп. 11369. Д. 404. Л. 7-8. Копия (11403).</w:t>
      </w:r>
    </w:p>
    <w:p w14:paraId="1002BE9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545624D5"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февраля 1944 вышло Постановление ГКО № 5084 О сформировании автомобильного полка для вывоза угля с шахт Донбасса, не имеющих подъездных железнодорожных путей. (7181, 149-150).</w:t>
      </w:r>
    </w:p>
    <w:p w14:paraId="07CFDCE5"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C59E4AE"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2FA6B67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9B393A2" w14:textId="77777777" w:rsidR="004B3057" w:rsidRPr="007224C3" w:rsidRDefault="004B3057"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 февраля</w:t>
      </w:r>
      <w:r w:rsidRPr="007224C3">
        <w:rPr>
          <w:rFonts w:ascii="Times New Roman" w:hAnsi="Times New Roman"/>
          <w:color w:val="000000" w:themeColor="text1"/>
          <w:sz w:val="16"/>
          <w:szCs w:val="16"/>
        </w:rPr>
        <w:t xml:space="preserve"> в 1944 году оперативная сводка Совинформбюро:</w:t>
      </w:r>
    </w:p>
    <w:p w14:paraId="6933667F" w14:textId="77777777" w:rsidR="004B3057" w:rsidRPr="007224C3" w:rsidRDefault="004B305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2 февраля на Нарвском направлении наши войска продолжали успешно развивать наступление и заняли более 40 населённых пунктов, в том числе Усть-Луга, Межники, Краколье, Новая Деревня, Волково, Вана-Кюла,Фёдоровка, Дубровка, Монастырёк, Вороново, Черно, Кривая Лука, Боровня, Малая Поля, Никольщина.</w:t>
      </w:r>
    </w:p>
    <w:p w14:paraId="73EFFC43" w14:textId="77777777" w:rsidR="004B3057" w:rsidRPr="007224C3" w:rsidRDefault="004B305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Южнее Сиверский наши войска вели наступательные бои, в результате которых заняли ряд населённых пунктов.</w:t>
      </w:r>
    </w:p>
    <w:p w14:paraId="58AD8648" w14:textId="77777777" w:rsidR="004B3057" w:rsidRPr="007224C3" w:rsidRDefault="004B305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и южнее Любань наши войска с боями продвигались вперёд и заняли населённые пункты Тигода, Новая Деревня, Нанежно, Ольховка.</w:t>
      </w:r>
    </w:p>
    <w:p w14:paraId="14056062" w14:textId="77777777" w:rsidR="004B3057" w:rsidRPr="007224C3" w:rsidRDefault="004B305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и юго-западнее Новгорода наши войска, преодолевая сопротивление и контратаки противника, продолжали вести наступательные бои, в ходе которых заняли несколько населённых пунктов.</w:t>
      </w:r>
    </w:p>
    <w:p w14:paraId="2D4F5C7B" w14:textId="77777777" w:rsidR="004B3057" w:rsidRPr="007224C3" w:rsidRDefault="004B305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Новосокольники наши войска с боями продвигались вперёд и заняли населённые пункты Метальниково, Вашково, Горы, Тумаши, Борщово, Терешково, Булавина.</w:t>
      </w:r>
    </w:p>
    <w:p w14:paraId="589B9C18" w14:textId="77777777" w:rsidR="004B3057" w:rsidRPr="007224C3" w:rsidRDefault="004B305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 февраля наши войска на всех фронтах подбили и уничтожили 85 немецких танков. В воздушных боях и огнём зенитной артиллерии сбито 64 самолёта противника.</w:t>
      </w:r>
    </w:p>
    <w:p w14:paraId="64C03483" w14:textId="77777777" w:rsidR="004B3057" w:rsidRPr="007224C3" w:rsidRDefault="004B305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Нарвском направлении наши войска продолжали успешное наступление и заняли более 40 населённых пунктов. Части Н-ского соединения за день боёв истребили 1.200 немецких солдат и офицеров. Артиллерия, поддерживающая действия пехотных частей, уничтожила 9 немецких танков, 6 артиллерийских батарей и 2 батареи шестиствольных миномётов. Советские артиллеристы, кроме того, обстреляли отступавшие колонны немцев и уничтожили 60 автомашин с вражеской пехотой.</w:t>
      </w:r>
    </w:p>
    <w:p w14:paraId="3CAB5FBB" w14:textId="77777777" w:rsidR="004B3057" w:rsidRPr="007224C3" w:rsidRDefault="004B305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Южнее станции Сиверский наши войска вели наступательные бои и заняли ряд населённых пунктов. Овладев одним сильно укреплённым узлом вражеской обороны, наши бойцы захватили 30 орудий, из них 4 самоходных типа «Фердинанд», 150 автомашин, 50 мотоциклов, 30 тягачей с прицепами, 13 радиостанций, 15 складов с боеприпасами, горючим и военными материалами, свыше 4 тысяч авиабомб и другие трофеи.</w:t>
      </w:r>
    </w:p>
    <w:p w14:paraId="1584501E" w14:textId="77777777" w:rsidR="004B3057" w:rsidRPr="007224C3" w:rsidRDefault="004B305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и южнее города Любань наши войска с боями продвигались вперёд. Бойцы Н-ской части, пробравшись через болота, вышли в тыл немцев и разгромили отступавшую колонну противника. На поле боя осталось до 500 вражеских трупов. Захвачено несколько шестиствольных миномётов, много пулемётов, автоматов и до 200 повозок с военными грузами. В другом районе взята в плен значительная группа гитлеровцев, скрывавшаяся в лесах.</w:t>
      </w:r>
    </w:p>
    <w:p w14:paraId="100257CF" w14:textId="77777777" w:rsidR="004B3057" w:rsidRPr="007224C3" w:rsidRDefault="004B305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и юго-западнее Новгорода немцы, подтянув крупные подкрепления, неоднократно переходили в контратаки. Части Н-ского соединения отразили контратаки гитлеровцев и, с боями продвигаясь вперёд, заняли несколько населённых пунктов. Уничтожено до 600 немецких солдат и офицеров. На другом участке наши подвижные отряды внезапной атакой овладели опорным пунктом противника и захватили 11 орудий и другие трофеи.</w:t>
      </w:r>
    </w:p>
    <w:p w14:paraId="44EF498F" w14:textId="77777777" w:rsidR="004B3057" w:rsidRPr="007224C3" w:rsidRDefault="004B305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Новосокольники наши войска вели наступательные бои и, преодолевая упорное сопротивление противника, овладели несколькими населёнными пунктами. На другом участке советские подразделения перерезали шоссейную дорогу, имеющую для немцев важное значение. За день боёв уничтожено до полка пехоты противника. Захвачены у немцев 8 исправных 105-мм орудий, 3 автоматические пушки, склад с боеприпасами, вещевой склад и другие трофеи.</w:t>
      </w:r>
    </w:p>
    <w:p w14:paraId="2AE5D6FB" w14:textId="77777777" w:rsidR="004B3057" w:rsidRPr="007224C3" w:rsidRDefault="004B305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Советские лётчики крупными силами совершили налёты на ближние тылы противникаи уничтожили 9 танков, до 40 орудий и 150 автомашин с пехотой и грузами. Прямым попаданием бомб взорвано пять складов противника с боеприпасами и горючим.</w:t>
      </w:r>
    </w:p>
    <w:p w14:paraId="4E752177" w14:textId="77777777" w:rsidR="004B3057" w:rsidRPr="007224C3" w:rsidRDefault="004B305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Белорусские партизанские отряды с 18 по 21 января пустили под откос 19 железнодорожных эшелонов противника. Разбито 14 паровозов и 160 вагонов и платформ. За это же время советские патриоты огнём из противотанковых ружей вывели из строя 13 немецких паровозов, взорвали 3 железнодорожных моста, 80 мостов на грунтовых дорогах и уничтожили более 106 автомашин противника. Группа белорусских партизан совершила налёт на немецкий аэродром. На аэродроме взорвано два бомбардировщика, склад с бензином и уничтожено 29 немецких лётчиков и 96 гитлеровцев из состава аэродромной службы.</w:t>
      </w:r>
    </w:p>
    <w:p w14:paraId="7E91BA9A" w14:textId="77777777" w:rsidR="004B3057" w:rsidRPr="007224C3" w:rsidRDefault="004B305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штабах немецких дивизий, разгромленных на Ленинградском фронте, захвачено большое количество трофейных документов. Эти документы свидетельствуют о том,что успешное наступление советских войск опрокинуло все планы немецкого командования и вызвало среди гитлеровцев смятение и панику. 15 января командующий Северной группой немецких армий генерал-фельдмаршал фон Кюхлер разослал командирам соединений секретную телеграмму за № 598/44, в которой говорится: «На Северном фронте противник начал наступать одновременно в нескольких местах. Наш фронт должен выиграть эту оборонительную битву. Он это может сделать, если армии с ещё большей решимостью, чем это было до сих пор, бросят в бой все свои силы до последнего человека...» Несколько дней спустятакие же приказы издали командиры немецких дивизий. Так, например, командир 11 немецкой пехотной дивизии обратился к солдатам со следующим воззванием: «Солдаты! Тяжёлые дни пришлось пережить всем частям, которые участвуют в боях сначала этой битвы южнее Ленинграда. Советы хотят осуществить прорыв на Гатчину. Это их намерение должно быть сорвано. Занятая сейчас линия фронта должна удерживаться во что бы то ни стало».</w:t>
      </w:r>
    </w:p>
    <w:p w14:paraId="37B0A71F" w14:textId="77777777" w:rsidR="004B3057" w:rsidRPr="007224C3" w:rsidRDefault="004B305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Немецкое командование прилагало все усилия к тому, чтобы помешать советским войскам прорваться на Гатчину. Однако Красная Армия успешно прорвала оборону немцев, и теперь Гатчина осталась далеко позади линии фронта.</w:t>
      </w:r>
    </w:p>
    <w:p w14:paraId="0F082FCC" w14:textId="77777777" w:rsidR="004B3057" w:rsidRPr="007224C3" w:rsidRDefault="004B305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Немецкие войска под Ленинградом разгромлены и понесли огромные потери в людяхи технике. Солдат Хорст Гринберг из 13 роты 540 штрафного батальона сообщил: «Наш батальон утром 16 января в составе 800 человек прибыл в деревню Гладино.Через два дня в батальоне осталось только 70 человек. Все остальные убиты, ранены или попали в плен». Фельдфебель Макс Хайдекер, командир взвода 12 роты 391 полка 170 дивизии, показал: «Артиллерия русских била два часа по нашим позициям. Мы сидели в землянках и с ужасом ждали, когда всё это кончится. Офицеры под угрозой расстрела погнали нас в бой. Из общего состава полка вернулось обратно только несколько десятков человек». Старший вахмистр 2 зенитного полка 2 зенитной дивизии Отто Зайдль рассказал: «Наш полк был окружён русскими. Побросав все орудия, мы пытались бежать, но утром снова попали в котёл, из которого уже не было выхода. Немецкая армия потерпела под Ленинградом ужасную катастрофу». Подобных показаний можно было бы приводить огромное количество. Немецкое командование по приказу фон Кюхлера бросало в бой все свои силы до последнего человека. Однако все попытки немцев удержаться под Ленинградом потерпели полный крах.» (15028).</w:t>
      </w:r>
    </w:p>
    <w:p w14:paraId="481E6F4A" w14:textId="77777777" w:rsidR="004B3057" w:rsidRPr="007224C3" w:rsidRDefault="004B3057" w:rsidP="007224C3">
      <w:pPr>
        <w:spacing w:after="0" w:line="240" w:lineRule="auto"/>
        <w:jc w:val="both"/>
        <w:rPr>
          <w:rFonts w:ascii="Times New Roman" w:hAnsi="Times New Roman"/>
          <w:color w:val="000000" w:themeColor="text1"/>
          <w:sz w:val="16"/>
          <w:szCs w:val="16"/>
        </w:rPr>
      </w:pPr>
    </w:p>
    <w:p w14:paraId="52A03CFA" w14:textId="77777777" w:rsidR="004B3057" w:rsidRPr="007224C3" w:rsidRDefault="004B3057"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 февраля</w:t>
      </w:r>
      <w:r w:rsidRPr="007224C3">
        <w:rPr>
          <w:rFonts w:ascii="Times New Roman" w:hAnsi="Times New Roman"/>
          <w:color w:val="000000" w:themeColor="text1"/>
          <w:sz w:val="16"/>
          <w:szCs w:val="16"/>
        </w:rPr>
        <w:t xml:space="preserve"> в 1944 году советские войска начинают освобождение Эстонии от фашистов (15028).</w:t>
      </w:r>
    </w:p>
    <w:p w14:paraId="68502D84" w14:textId="77777777" w:rsidR="004B3057" w:rsidRPr="007224C3" w:rsidRDefault="004B3057" w:rsidP="007224C3">
      <w:pPr>
        <w:spacing w:after="0" w:line="240" w:lineRule="auto"/>
        <w:jc w:val="both"/>
        <w:rPr>
          <w:rFonts w:ascii="Times New Roman" w:hAnsi="Times New Roman"/>
          <w:color w:val="000000" w:themeColor="text1"/>
          <w:sz w:val="16"/>
          <w:szCs w:val="16"/>
        </w:rPr>
      </w:pPr>
    </w:p>
    <w:p w14:paraId="66EF13F7"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февраля 1944 Луцк и Ровно освобождены от фашистов (4962).</w:t>
      </w:r>
    </w:p>
    <w:p w14:paraId="7CDDE3F6"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77F508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February 2, 1944: In the Ukraine, the Red Army recaptures Luzk and Rovno (3819).</w:t>
      </w:r>
    </w:p>
    <w:p w14:paraId="1A40FDC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A54474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февраля 1944 в ходе Ровно-луцкой наступательной операции 1УФ (Н.Ф.Ватутин) освободили Ровно и Луцк (3398,57).</w:t>
      </w:r>
    </w:p>
    <w:p w14:paraId="1E3F716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EDFA2D"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февраля 1944 советские войска начали освобождение Эстонии от фашистов (4962).</w:t>
      </w:r>
    </w:p>
    <w:p w14:paraId="7EA33296"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5D8A51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февраля 1944 советские войска вошли в Эстонию и Латвию (2247,1).</w:t>
      </w:r>
    </w:p>
    <w:p w14:paraId="734188C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28B041"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Внешняя политика:</w:t>
      </w:r>
    </w:p>
    <w:p w14:paraId="17FE7A9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8B0D50F"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февраля 1944 Сталин дал согласие на использование американской авиацией шести советских авиабаз для бомбежек в Европе (4962).</w:t>
      </w:r>
    </w:p>
    <w:p w14:paraId="52EA65C2"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54E9DF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2 февраля 1944 года во время беседы с американским послом Авереллом Гарриманом Сталин сказал: </w:t>
      </w:r>
    </w:p>
    <w:p w14:paraId="340FDCE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"Мы имеем с японцами договор о нейтралитете, который был заключен около трех лет назад. Этот договор был опубликован. Но кроме этого договора состоялся обмен письмами, которые японцы просили нас не публиковать. В этих письмах шла речь о том, что японцы обязуются отказаться до окончания срока от своих концессий на Сахалине: от угольной и от нефтяной. Нас особенно интересуют нефтяные концессии, так как на Сахалине много нефти. При обмене письмами японцы обязались отказаться от концессий в течение шести месяцев, т. е. до октября 1941 года. Но они этого не сделали до настоящего времени, несмотря на то, что мы несколько раз ставили перед ними этот вопрос. А теперь японцы сами обратились к нам и говорят, что они хотели бы урегулировать это дело" (12066).</w:t>
      </w:r>
    </w:p>
    <w:p w14:paraId="5F9B977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6F0F6801"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3D15E72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C516F28" w14:textId="77777777" w:rsidR="004B3057" w:rsidRPr="007224C3" w:rsidRDefault="004B3057"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 февраля</w:t>
      </w:r>
      <w:r w:rsidRPr="007224C3">
        <w:rPr>
          <w:rFonts w:ascii="Times New Roman" w:hAnsi="Times New Roman"/>
          <w:color w:val="000000" w:themeColor="text1"/>
          <w:sz w:val="16"/>
          <w:szCs w:val="16"/>
        </w:rPr>
        <w:t xml:space="preserve"> в 1944 году поднялся в воздух первый серийный </w:t>
      </w:r>
      <w:hyperlink r:id="rId30" w:tgtFrame="_blank" w:history="1">
        <w:r w:rsidRPr="007224C3">
          <w:rPr>
            <w:rFonts w:ascii="Times New Roman" w:hAnsi="Times New Roman"/>
            <w:color w:val="000000" w:themeColor="text1"/>
            <w:sz w:val="16"/>
            <w:szCs w:val="16"/>
          </w:rPr>
          <w:t xml:space="preserve">«Мессершмитт» «Me.163В». </w:t>
        </w:r>
      </w:hyperlink>
      <w:r w:rsidRPr="007224C3">
        <w:rPr>
          <w:rFonts w:ascii="Times New Roman" w:hAnsi="Times New Roman"/>
          <w:color w:val="000000" w:themeColor="text1"/>
          <w:sz w:val="16"/>
          <w:szCs w:val="16"/>
        </w:rPr>
        <w:t xml:space="preserve">Первые серийные </w:t>
      </w:r>
      <w:hyperlink r:id="rId31" w:tgtFrame="_blank" w:history="1">
        <w:r w:rsidRPr="007224C3">
          <w:rPr>
            <w:rFonts w:ascii="Times New Roman" w:hAnsi="Times New Roman"/>
            <w:color w:val="000000" w:themeColor="text1"/>
            <w:sz w:val="16"/>
            <w:szCs w:val="16"/>
          </w:rPr>
          <w:t xml:space="preserve">«Ме.163В-1а» </w:t>
        </w:r>
      </w:hyperlink>
      <w:r w:rsidRPr="007224C3">
        <w:rPr>
          <w:rFonts w:ascii="Times New Roman" w:hAnsi="Times New Roman"/>
          <w:color w:val="000000" w:themeColor="text1"/>
          <w:sz w:val="16"/>
          <w:szCs w:val="16"/>
        </w:rPr>
        <w:t>доставляли испытателям сплошную головную боль, так как субподрядчики никак не могли добиться необходимого качества поставляемых узлов. В результате после необходимых доработок первый «Ме.163В-1а» был облетан в Лечфельде только в феврале 1944 г. Серийные «Ме.163В-1а» отличались от опытных «Ме.163В» установкой 30 мм пушек «МК-108» с 60 снарядами на ствол, магазины которых размещались под съемными панелями за антенной радиостанции FuG 16zy. Баллоны со сжатым воздухом для перезарядки пушек размещались над и под пушкой. Прицел был «Реви 16В», крепящийся к 90 мм лобовому бронестеклу. Пилот защищался 15 мм бронеплитой в носу, 13 мм заголовником и 8 мм бронеспинкой. Кроме радиостанции «FuG 16zy» самолет нес ответчик «FuG 25a», антенна которого была под левым крылом (15028).</w:t>
      </w:r>
    </w:p>
    <w:p w14:paraId="2B21F68C" w14:textId="77777777" w:rsidR="004B3057" w:rsidRPr="007224C3" w:rsidRDefault="004B3057" w:rsidP="007224C3">
      <w:pPr>
        <w:spacing w:after="0" w:line="240" w:lineRule="auto"/>
        <w:jc w:val="both"/>
        <w:rPr>
          <w:rFonts w:ascii="Times New Roman" w:hAnsi="Times New Roman"/>
          <w:color w:val="000000" w:themeColor="text1"/>
          <w:sz w:val="16"/>
          <w:szCs w:val="16"/>
        </w:rPr>
      </w:pPr>
    </w:p>
    <w:p w14:paraId="3C6840A1" w14:textId="77777777" w:rsidR="00255719" w:rsidRPr="007224C3" w:rsidRDefault="00255719"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 февраля 1944 - Поднялся в воздух первый серийный Мессершмитт Me.163 - немецкий ракетный истребитель-перехватчик времён Второй мировой. Выпускался небольшой серией. К концу 1944-го был поставлен 91 самолёт. Они произвели лишь несколько вылетов, при этом было потеряно 11 машин, в то время как смогли уничтожить лишь 9 самолётов союзников (по другим источникам было сбито 16 самолётов союзников при 10 потерянных машинах). Из-за малого количества топлива самолёт не мог совершить повторный заход на цель (22636).</w:t>
      </w:r>
    </w:p>
    <w:p w14:paraId="06844160" w14:textId="77777777" w:rsidR="00255719" w:rsidRPr="007224C3" w:rsidRDefault="00255719" w:rsidP="007224C3">
      <w:pPr>
        <w:spacing w:after="0" w:line="240" w:lineRule="auto"/>
        <w:jc w:val="both"/>
        <w:rPr>
          <w:rFonts w:ascii="Times New Roman" w:hAnsi="Times New Roman"/>
          <w:color w:val="0070C0"/>
          <w:sz w:val="16"/>
          <w:szCs w:val="16"/>
        </w:rPr>
      </w:pPr>
    </w:p>
    <w:p w14:paraId="50FC285C" w14:textId="77777777" w:rsidR="004B3057" w:rsidRPr="007224C3" w:rsidRDefault="004B3057"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 февраля</w:t>
      </w:r>
      <w:r w:rsidRPr="007224C3">
        <w:rPr>
          <w:rFonts w:ascii="Times New Roman" w:hAnsi="Times New Roman"/>
          <w:color w:val="000000" w:themeColor="text1"/>
          <w:sz w:val="16"/>
          <w:szCs w:val="16"/>
        </w:rPr>
        <w:t xml:space="preserve"> в 1944 году первый полет истребителя </w:t>
      </w:r>
      <w:hyperlink r:id="rId32" w:tgtFrame="_blank" w:history="1">
        <w:r w:rsidRPr="007224C3">
          <w:rPr>
            <w:rFonts w:ascii="Times New Roman" w:hAnsi="Times New Roman"/>
            <w:color w:val="000000" w:themeColor="text1"/>
            <w:sz w:val="16"/>
            <w:szCs w:val="16"/>
          </w:rPr>
          <w:t xml:space="preserve">«Republic» «P-72» («ХР-72»). </w:t>
        </w:r>
      </w:hyperlink>
      <w:r w:rsidRPr="007224C3">
        <w:rPr>
          <w:rFonts w:ascii="Times New Roman" w:hAnsi="Times New Roman"/>
          <w:color w:val="000000" w:themeColor="text1"/>
          <w:sz w:val="16"/>
          <w:szCs w:val="16"/>
        </w:rPr>
        <w:t>XP-72 представлял прямое прогрессивное развитие «P-47» «Thunderbolt. Фактически это и был обычный Thunderbolt, оснащенный новым 28-цилиндровым четырехрядным звездообразным двигателем воздушного охлаждения «Pratt&amp;Whitney» «R-4360-13» «Wasp Major» взлетной мощностью 3000 л.с. (2240 кВт) - наиболее мощным поршневым двигателем, изготовленным во время Второй мировой войны. Двигатель был закрыт очень плотно облегавшим капотом и охлаждался вентилятором. Двигатель «Wasp Major» предполагалось оснастить двумя трехлопастными пропеллерами противоположного вращения «Aeroproducts». Стандартные крылья и хвост от «P-47D» оставались без изменения, а фюзеляж был увеличен в размерах и усилен (15028).</w:t>
      </w:r>
    </w:p>
    <w:p w14:paraId="74A5208B" w14:textId="77777777" w:rsidR="004B3057" w:rsidRPr="007224C3" w:rsidRDefault="004B3057" w:rsidP="007224C3">
      <w:pPr>
        <w:spacing w:after="0" w:line="240" w:lineRule="auto"/>
        <w:jc w:val="both"/>
        <w:rPr>
          <w:rFonts w:ascii="Times New Roman" w:hAnsi="Times New Roman"/>
          <w:color w:val="000000" w:themeColor="text1"/>
          <w:sz w:val="16"/>
          <w:szCs w:val="16"/>
        </w:rPr>
      </w:pPr>
    </w:p>
    <w:p w14:paraId="61143AEF" w14:textId="77777777" w:rsidR="00255719" w:rsidRPr="007224C3" w:rsidRDefault="00255719"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 февраля1944 первый полет Republic XP-72 (20373).</w:t>
      </w:r>
    </w:p>
    <w:p w14:paraId="6025CF8B" w14:textId="77777777" w:rsidR="00255719" w:rsidRPr="007224C3" w:rsidRDefault="00255719" w:rsidP="007224C3">
      <w:pPr>
        <w:spacing w:after="0" w:line="240" w:lineRule="auto"/>
        <w:jc w:val="both"/>
        <w:rPr>
          <w:rFonts w:ascii="Times New Roman" w:hAnsi="Times New Roman"/>
          <w:color w:val="0070C0"/>
          <w:sz w:val="16"/>
          <w:szCs w:val="16"/>
        </w:rPr>
      </w:pPr>
    </w:p>
    <w:p w14:paraId="2597F6D7" w14:textId="77777777" w:rsidR="00255719" w:rsidRPr="007224C3" w:rsidRDefault="00255719"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 февраля 1944 года — первый полёт опытного поршневого истребителя Republic XP-72.</w:t>
      </w:r>
    </w:p>
    <w:p w14:paraId="51E56CCC" w14:textId="77777777" w:rsidR="00255719" w:rsidRPr="007224C3" w:rsidRDefault="00255719"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Являлся попыткой «прокачать» успешный Republic P-47 Thunderbolt. Самое главное изменение коснулось двигателя. Был установлен самый мощный поршневой мотор того времени — 28-цилиндровый Pratt &amp; Whitney R-4360-13. Крылья и хвостовое оперение оставили от P-47, а фюзеляж увеличили в размерах.</w:t>
      </w:r>
    </w:p>
    <w:p w14:paraId="698BAE04" w14:textId="77777777" w:rsidR="00255719" w:rsidRPr="007224C3" w:rsidRDefault="00255719"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Вооружить новый истребитель конструкторы предложили 6 × 12,7 мм пулемётами (у Thunderbolt их было аж 8) или 4 × 37 мм пушками. Имелась возможность подвесить 2 бомбы по 500 килограммов.</w:t>
      </w:r>
    </w:p>
    <w:p w14:paraId="2E9FBC7A" w14:textId="77777777" w:rsidR="00255719" w:rsidRPr="007224C3" w:rsidRDefault="00255719"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Во время испытаний XP-72 показал максимальную скорость 788 км/ч и хорошие лётные характеристики. К сожалению, во время испытательных полётов был потерян 1 из 2 построенных самолётов. Но причиной прекращения проекта стала не авария. К 1944 году ВВС США уже не нуждались в таких самолётах (22300).</w:t>
      </w:r>
    </w:p>
    <w:p w14:paraId="410E52D0" w14:textId="77777777" w:rsidR="00255719" w:rsidRPr="007224C3" w:rsidRDefault="00255719" w:rsidP="007224C3">
      <w:pPr>
        <w:spacing w:after="0" w:line="240" w:lineRule="auto"/>
        <w:jc w:val="both"/>
        <w:rPr>
          <w:rFonts w:ascii="Times New Roman" w:hAnsi="Times New Roman"/>
          <w:color w:val="0070C0"/>
          <w:sz w:val="16"/>
          <w:szCs w:val="16"/>
        </w:rPr>
      </w:pPr>
    </w:p>
    <w:p w14:paraId="7D95724C" w14:textId="77777777" w:rsidR="00255719" w:rsidRPr="007224C3" w:rsidRDefault="00255719"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 февраля 1944 110 бомбардировщиков Восьмой армии ВВС США B-24 Liberator в сопровождении 183 истребителей P-47 Thunderbolt атакуют позиции немецких летающих бомб V-1, строящиеся в Сен-Поль-сюр-Тернуаз / Сиракур , Франция, и позиции баллистической ракеты V-2, которые строятся в Ваттене, Франция. Два B-24 потеряны (20373).</w:t>
      </w:r>
    </w:p>
    <w:p w14:paraId="694ECDF6" w14:textId="77777777" w:rsidR="00255719" w:rsidRPr="007224C3" w:rsidRDefault="00255719" w:rsidP="007224C3">
      <w:pPr>
        <w:spacing w:after="0" w:line="240" w:lineRule="auto"/>
        <w:jc w:val="both"/>
        <w:rPr>
          <w:rFonts w:ascii="Times New Roman" w:hAnsi="Times New Roman"/>
          <w:color w:val="0070C0"/>
          <w:sz w:val="16"/>
          <w:szCs w:val="16"/>
        </w:rPr>
      </w:pPr>
    </w:p>
    <w:p w14:paraId="7DDE6D80"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февраля 1944 в Варшаве гестаповцами казнены 300 поляков за убийство шефа местного гестапо Франца Кучеры (4962).</w:t>
      </w:r>
    </w:p>
    <w:p w14:paraId="591BD530"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BCE7ED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февраля 1944 американцы захватили острова Рио, Намур и Квазиленд, Маршалловы острова (2247,1).</w:t>
      </w:r>
    </w:p>
    <w:p w14:paraId="5BE5916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079082"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февраля 1944 американские войска высадились на Маршалловых островах (первая высадка американцев на территорию, принадлежавшую до войны Японии) (4962).</w:t>
      </w:r>
    </w:p>
    <w:p w14:paraId="6A3F8345"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19BE92D"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754D278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BF2717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февраля 1944 года директор ОКБ-15 НКВ Шпитальный писал письмо N 78с наркому вооружения Устинову и Шахурину.</w:t>
      </w:r>
    </w:p>
    <w:p w14:paraId="0EF87D3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номер N НВ-22/577с от 29 января 1944 года ОКБ-15 сообщает, что причинами задержки выполнения постановлений ГОКО по 45 мм, 57 мм и 76 мм авиационным пушкам являются следующие обстоятельства:</w:t>
      </w:r>
    </w:p>
    <w:p w14:paraId="6DE942C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Директор завода N 74 Иванов в течении 6-ти месяцев саботировал постановление ГОКО по авиапушкам, наотрез отказавшись выполнить ряд пунктов, обязывавших его содействовать ОКБ-15 по поставке деталей к пушкам.</w:t>
      </w:r>
    </w:p>
    <w:p w14:paraId="28B4DB2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Вследствие этого, ОКБ-15 вынуждено было проделать огромную работу, вместо завода N 74, своими силами, что автоматически передвинуло на несколько месяцев сроки окончания работ и по другим пушкам.</w:t>
      </w:r>
    </w:p>
    <w:p w14:paraId="3D47A2C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ОКБ-15 до сего времени не имеет возможности спроектировать, рассчитать и испытать ряд механизмов к пушкам из-за отсутствия снарядов и выстрела, изготовляемых НКБ.</w:t>
      </w:r>
    </w:p>
    <w:p w14:paraId="003BCC8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По пушке 76 мм до сего времени завод N 92 не поставляет нам стволов и поковок, что в свою очередь не дает возможности ОКБ-15 проводить экспериментальные и опытные работы в надлежащие сроки.</w:t>
      </w:r>
    </w:p>
    <w:p w14:paraId="1122785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Баллистический ствол для пушки 57 мм нам не нужен, т.к. НКБ согласилось предоставить нам для подбора заряда штатную пушку "ЗИС-2" (письмо НКБ N 200 от 2 февраля 1944 года).</w:t>
      </w:r>
    </w:p>
    <w:p w14:paraId="7270646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Что касается баллистического ствола 76 мм, то отсутствие стволов и боеприпасов не позволяет провести соответствующие работы по изготовлению баллистической системы.</w:t>
      </w:r>
    </w:p>
    <w:p w14:paraId="5CC8726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Как показал опыт - одних расчетных данных и одних испытаний на полигоне недостаточно для практического применения артиллерийских систем на самолетах.</w:t>
      </w:r>
    </w:p>
    <w:p w14:paraId="10D8D0A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особенности это касается вопросов отдачи, т.к. данные в отчетах полигона НИИ АВ ВВС не соответствуют практическим результатам войсковой эксплуатации (поломки креплений, крыльев и т.д.).</w:t>
      </w:r>
    </w:p>
    <w:p w14:paraId="68CA43B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связи с вышеизложенным ОКБ-15 считает, что для надлежащего выполнения постановлений ГОКО по пушкам 45 мм, 57 мм, 76 мм со стороны всех КБ, которым поручено это дело необходимо самое тщательное изучение всего вопроса в целом и выполнение сроков поставок полуфабрикатов заводами- поставщиками Наркомата вооружения и НКБ.</w:t>
      </w:r>
    </w:p>
    <w:p w14:paraId="3295305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Учитывая недостатки вооружения для самолетов выпущенных различными КБ; ОКБ-15 хочет не просто сделать и сдать авиапушки, - а поставило себе задачу выпустить системы пригодные для установки на наших самолетах.</w:t>
      </w:r>
    </w:p>
    <w:p w14:paraId="206BE6B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Несмотря на все усиливающийся административный нажим со стороны аппарата НКВ, ОКБ-15 не согласно выпускать авиапушки с большим усилием отдачи (1821).</w:t>
      </w:r>
    </w:p>
    <w:p w14:paraId="667F29B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710C0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февраля 1944 года Приказом ГУ ИАС КА была назначена Макетная комиссия под председательством генерала ИАС А.А.Лапина для рассмотрения проекта и макета модифицированного Пе-8 4М-82ФН ТК-3. Он рассмотрела макет и соответствующим протоколом от 8 фераля 1944 года утвердила основное оборудование и его размещение. Конкретные требования комиссии по перекомпоновке оборудования выполнялись в присутствии макетной комиссии (7685).</w:t>
      </w:r>
    </w:p>
    <w:p w14:paraId="06E7569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F2985A" w14:textId="77777777" w:rsidR="00903E13" w:rsidRPr="007224C3" w:rsidRDefault="00903E1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февраля 1944 года Макетная комиссия, назначенная Приказом ГУ НАС К А, под председательством генерала НАС А.А.Лапина рассмотрела макет и соответствующим протоколом от 8 февраля 1944 года утвердила основное оборудование и его размещение.</w:t>
      </w:r>
    </w:p>
    <w:p w14:paraId="3CCBB44C" w14:textId="77777777" w:rsidR="00903E13" w:rsidRPr="007224C3" w:rsidRDefault="00903E1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Конкретные требования комиссии по перекомпоновке оборудования выполнялись в присутствии макетной комиссии.</w:t>
      </w:r>
    </w:p>
    <w:p w14:paraId="6DD0AE55" w14:textId="77777777" w:rsidR="00903E13" w:rsidRPr="007224C3" w:rsidRDefault="00903E1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Рассмотрение проекта модифицированного Пе-8 4М-82ФН ТК-3 в НКАП и последовавшее за ним постановление ГОКО от 20 февраля 1944 года потребовало дальнейших доработок проекта. В частности после обсуждения НКАП окончательно решено было ставить ТК, добавилось требование к увеличению огневой защиты спереди- снизу (по предложению Незваля) (21726).</w:t>
      </w:r>
    </w:p>
    <w:p w14:paraId="79BCF434" w14:textId="77777777" w:rsidR="00903E13" w:rsidRPr="007224C3" w:rsidRDefault="00903E13" w:rsidP="007224C3">
      <w:pPr>
        <w:pStyle w:val="ae"/>
        <w:spacing w:before="0" w:after="0"/>
        <w:jc w:val="both"/>
        <w:rPr>
          <w:color w:val="000000" w:themeColor="text1"/>
          <w:sz w:val="16"/>
          <w:szCs w:val="16"/>
        </w:rPr>
      </w:pPr>
    </w:p>
    <w:p w14:paraId="60F15C82" w14:textId="77777777" w:rsidR="0035263A" w:rsidRPr="007224C3" w:rsidRDefault="0035263A" w:rsidP="007224C3">
      <w:pPr>
        <w:pStyle w:val="ae"/>
        <w:shd w:val="clear" w:color="auto" w:fill="FFFFFF"/>
        <w:spacing w:before="0" w:after="0"/>
        <w:jc w:val="both"/>
        <w:rPr>
          <w:color w:val="000000" w:themeColor="text1"/>
          <w:sz w:val="16"/>
          <w:szCs w:val="16"/>
        </w:rPr>
      </w:pPr>
      <w:r w:rsidRPr="007224C3">
        <w:rPr>
          <w:color w:val="000000" w:themeColor="text1"/>
          <w:sz w:val="16"/>
          <w:szCs w:val="16"/>
        </w:rPr>
        <w:t>3 февраля 1944 года была назначена Приказом ГУ ИАС КА макетная комиссия под председательством генерала ИАС А.А.Лапина, которая рассмотрела макет Пе-8 и соответствующим протоколом от 8 февраля 1944 года утвердила основное оборудование и его размещение. Конкретные требования комиссии по перекомпоновке оборудования выполнялись в присутствии макетной комиссии (12187).</w:t>
      </w:r>
    </w:p>
    <w:p w14:paraId="2676DD8A" w14:textId="77777777" w:rsidR="0035263A" w:rsidRPr="007224C3" w:rsidRDefault="0035263A" w:rsidP="007224C3">
      <w:pPr>
        <w:pStyle w:val="ae"/>
        <w:shd w:val="clear" w:color="auto" w:fill="FFFFFF"/>
        <w:spacing w:before="0" w:after="0"/>
        <w:jc w:val="both"/>
        <w:rPr>
          <w:color w:val="000000" w:themeColor="text1"/>
          <w:sz w:val="16"/>
          <w:szCs w:val="16"/>
        </w:rPr>
      </w:pPr>
    </w:p>
    <w:p w14:paraId="391DC9B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февраля 1944 вышло постановление ГКО N 50-89сс об организации ремонтного завода на базе бывшего 35 в Смоленске (1630,3).</w:t>
      </w:r>
    </w:p>
    <w:p w14:paraId="46CFDEA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9E55F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февраля 1944 вышло Постановление ГКО № 5089 О ремонте самолетов, авиационных моторов и материально-техническом обеспечении ВВС КА, АДД, ВВС ВМФ и ГВФ в I квартале 1944 года. РГАНИР, Фонд ГКО, д. 202, лл. 3-9,10-166 (11012).</w:t>
      </w:r>
    </w:p>
    <w:p w14:paraId="685574C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316E7E3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февраля 1944 г. в соответствии с постановлением ГОКО № 5089сс и приказом № 181с от 10.03.1944 г. на месте эвакуированного в 1941 г. завода № 35 НКАП был образован Завод № 475 НКАП в системе 6ГУ. Старый завод был полностью разрушен. Фактически восстановление завода началось с осени 1943 г., после освобождения города. Штат формировался из резервов, небольшое количество специалистов переведено с заводов № 30, № 1, № 477, № 145.</w:t>
      </w:r>
    </w:p>
    <w:p w14:paraId="76EBED9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Ремонт Ил-2, Ла-5, Ла-7, Як-7, затем- Як-3, Як-9, Як-11. В 1945-47 г. отремонтировано около 400 машин. В 1949 г. ремонт прекращен. Работы по переоборудованию По-2 в сельскохозяйственный вариант.</w:t>
      </w:r>
    </w:p>
    <w:p w14:paraId="5406F19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С 1.03.1946 г. передан в 11ГУ НКАП, с 1.03.1951 г.- в 1ГУ. </w:t>
      </w:r>
    </w:p>
    <w:p w14:paraId="296EA34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С 03.1946 г. организация производства аэродромного оборудования (стремянок, колодок, установок для проверки гидросистем, подъемников, обогревателей, ) и самолетных кабин. </w:t>
      </w:r>
    </w:p>
    <w:p w14:paraId="147B36A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приказу МАП № 352 от 3.06.1954 г. заводу поручен выпуск ракетной техники (КР). С 1.07.1954 г. завод передан в 6ГУ. В 1954 г. построены новые цеха: плазово-шаблонный, стапельный, агрегатно-сборочный, заготовительно-штамповочный. В 1960 г. на заводе организуется специализированное электротехническое производство - выпускаются автоматические установки и наземные комплексы, системы электропитания и автоматического контроля, счетно-решающие устройства. В дальнейшем оно выделилось в самостоятельное предприятие (завод "Измеритель").</w:t>
      </w:r>
    </w:p>
    <w:p w14:paraId="55EBBC2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1967 г. завод № 475 МАП получил название Смоленский машиностроительный завод МАП, в 1974 г. переименован в СмАЗ МАП. 1.07.1993 г. завод акционирован и преобразован в АООТ «СмАЗ», с 1996 г.- ОАО «СмАЗ». По решению правительства № 22-р от 9.01.2004 г. вошло в перечень стратегических предприятий.</w:t>
      </w:r>
    </w:p>
    <w:p w14:paraId="4F9DA25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1970-х г. возобновлено производство самолетов. Планировалось производство Як-41М.</w:t>
      </w:r>
    </w:p>
    <w:p w14:paraId="6D6AE29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1972 г. на заводе действовал филиал МКБ «Радуга».</w:t>
      </w:r>
    </w:p>
    <w:p w14:paraId="3882962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Работы (2004 г.): производство самолетов; модернизация Як-40; изготовление VIP- салонов.</w:t>
      </w:r>
    </w:p>
    <w:p w14:paraId="04C799C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Численность персонала (1.10.2002 г.)- 2874 чел.</w:t>
      </w:r>
    </w:p>
    <w:p w14:paraId="786457C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(-1944-03.1946 г.-)- М.А. Филатов. Гендиректор (-2002-05 г.-)- А.М. Мирошкин.</w:t>
      </w:r>
    </w:p>
    <w:p w14:paraId="3C88C61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Гендиректора: по маркетингу, планированию и экономике (-2002-05 г.-)- В.С. Ломовских; по ресурсам и финансам (2002 г.)- В.Д. Бавченков; по производству (2002 г.)- Г.А. Коробков.</w:t>
      </w:r>
    </w:p>
    <w:p w14:paraId="66231A0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Гл. инженер (-2002-05 г.-)- Ю.М. Литвинов.69 </w:t>
      </w:r>
    </w:p>
    <w:p w14:paraId="6BAA133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Производство: планеры А-2 (1950-51)- более 200, ВА-3/48, планер-мишень ПМ; Як-18, Як-42 (1976-83), Як-18Т (1973-88; 1993-2005-), М-17 (1986-), М-17РМ (М-55) (2004), СМ-92 «Финист» (-2004-05-), GM-17 “Viper” (2004), СМ-2000 (-2004-05-), Су-38Л (2004); модернизация Як-40 (2004); капремонт Як-18Т, Як-52 (2004); БПЛА: Ла-17Р (1963-), "Ястреб", «Пчела»; УРВП: "КС" (1956-), ФКР-1 (1959-), КСР-2 (1961-), КСР-11 (1961-), Х-59М, Х-55; лыжи и запчасти к По-2; детали для Ил-62, крыло и оперение Як-36, крылья Як-40 (1965-2004), крылья Як-50 (1973-74), крыло, оперение и мотогондолы Як-42 (1975-), детали Як-130, Як-18Т, орбитального самолета «Буран» (1980-е г.); стартовые тележки для запуска ТРД (1950-65), кузова для прожекторных установок «Луч-1» (1950-53 г.), сельскохозяйственные машины (1954 г.); аэросани-амфибии (1966-68); сувенирная продукция (1967-).</w:t>
      </w:r>
    </w:p>
    <w:p w14:paraId="76B050A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 475 НКАП, МАП, Смоленский машиностроительный завод МАП, Смоленский авиационный завод (СмАЗ), ОАО «СмАЗ»</w:t>
      </w:r>
    </w:p>
    <w:p w14:paraId="651282C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214006 г. Смоленск, ул. Фрунзе, 74 тел. 22-93-07 www.smaz.ru</w:t>
      </w:r>
    </w:p>
    <w:p w14:paraId="12313A4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ОАО «Измеритель» </w:t>
      </w:r>
    </w:p>
    <w:p w14:paraId="0596ACE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513579 г. Смоленск, ул. Бабушкина, 5 тел. 51-30-88, 51-07-03</w:t>
      </w:r>
    </w:p>
    <w:p w14:paraId="00733F2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1960 г. на заводе № 475 МАП организуется специализированное электротехническое производство - автоматических установок и наземных комплексов, систем электропитания и автоматического контроля, счетно-решающих устройств. В 1968 г. оно выделилось в самостоятельное предприятие (завод "Измеритель"). Производство ночных прицелов для ПЗРК.ВП- 3/02 Разработка и производство (2003 г.): прицельно-навигационных комплексов, систем единой индикации и целеуказания, аварийной регистрации полетной информации; источников вторичного электропитания; многослойных печатных плат; трансформаторов и дросселей.</w:t>
      </w:r>
    </w:p>
    <w:p w14:paraId="604BA2D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50B24DB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Гендиректор (-2002-03 г.-)- В.В. Лысенко.</w:t>
      </w:r>
    </w:p>
    <w:p w14:paraId="635B912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Технический директор (2002 г.)- С.Н. Андреев. Коммерческий директор (2002 г.)- А.В. Гришутин. Директор по качеству (2002 г.)- В.В. Прохоров (10776).</w:t>
      </w:r>
    </w:p>
    <w:p w14:paraId="4ADDAB0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34F6845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3 февраля 1944 г. в соответствии с постановлением ГОКО №5089 и приказом №181с от 10.03.1944 г. на месте эвакуированного в 1941 г. завода №35 НКАП образован завод №475 НКАП в системе 6ГУ. Старый завод был полностью разрушен. Фактически восстановление его началось с осени 1943 г., после освобождения города. Штат формировался из резервов, небольшое количество специалистов переведено с заводов №30, №1, №477, №145. Ремонт Ил-2, Ла-5, Ла-7, Як-7, затем- Як-3, Як-9, Як-11. В 1945-47 г. отремонтировано около 400 машин. В 1949 г. ремонт прекращен. Работы по переоборудованию По-2 в сельскохозяйственный вариант. </w:t>
      </w:r>
    </w:p>
    <w:p w14:paraId="704070F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С 1.03.1946 г. передан в 11ГУ НКАП, с 1.03.1951 г.- в 1ГУ. </w:t>
      </w:r>
    </w:p>
    <w:p w14:paraId="733AD91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С 03.1946 г. организация производства аэродромного оборудования (стремянок, колодок, установок для проверки гидросистем, подъемников, обогревателей, ) и самолетных кабин. </w:t>
      </w:r>
    </w:p>
    <w:p w14:paraId="33A7696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приказу МАП №352 от 3.06.1954 г. заводу поручен выпуск ракетной техники. С 1.07.1954 г. завод передан в 6ГУ. Перешел на производство КР. В 1954 г. построены новые цеха: плазово-шаблонный, стапельный, агрегатно-сборочный, заготовительно-штамповочный. В 1960 г. на заводе организуется специализированное электротехническое производство - выпускаются автоматические установки и наземные комплексы, системы электропитания и автоматического контроля, счетно-решающие устройства. В дальнейшем оно выделилось в самостоятельное предприятие (завод "Измеритель").</w:t>
      </w:r>
    </w:p>
    <w:p w14:paraId="3884503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С 1967 г. завод №475 МАП получил название Смоленский машиностроительный завод МАП, в 1974 г. переименован в СмАЗ МАП. 1.07.1993 г. завод акционирован и преобразован в АООТ "СмАЗ", с 1996 г. - ОАО "СмАЗ". </w:t>
      </w:r>
    </w:p>
    <w:p w14:paraId="4707259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 1970-х г. возобновлено производство самолетов. Планировалось производство Як-41М. </w:t>
      </w:r>
    </w:p>
    <w:p w14:paraId="783A5EE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Работы (2004 г.): производство самолетов; модернизация Як-40; изготовление VIP- салонов. </w:t>
      </w:r>
    </w:p>
    <w:p w14:paraId="7258D66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Численность персонала (1.10.2002 г.) - 2874 чел.</w:t>
      </w:r>
    </w:p>
    <w:p w14:paraId="5527317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(1944-46 г.) - М.А. Филатов. Гендиректор (наст.вр.) - А.М. Мирошкин.</w:t>
      </w:r>
    </w:p>
    <w:p w14:paraId="5BA1BE0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Производство: Р-5 (1937-38), планеры А-2 (1949-51), ВА-3/48, планер-мишень ПМ; Як-18, Як-42 (1976-83), Як-18Т (1973-83), М-17 (с 1986), М-17РМ (М-55), СМ-92 "Финист", GM-17 “Viper”, СМ-2000, Су-38Л; модернизация Як-40; капремонт Як-18Т, Як-52; БПЛА: Ла-17Р (с 1963), "Ястреб", "Пчела"; УРВП: "КС" (с 1956), ФКР-1 (с 1959), КСР-2 (с 1961), КСР-11 (с 1961), Х-59М, Х-55СМ; лыжи и запчасти к По-2; детали для Ил-62, крыло и оперение Як-36, крылья Як-40 (1965-2004), крылья Як-50 (1973-74), крыло, оперение и мотогондолы Як-42 (с 1975), детали Як-130, Як-18Т, орбитального самолета "Буран" (1980-е гг.); стартовые тележки для запуска ТРД (1950-65), кузова для прожекторных установок "Луч-1" (1950-53 г.). </w:t>
      </w:r>
    </w:p>
    <w:p w14:paraId="67031E6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Смоленский авиационный завод, ОАО (ОАО "СмАЗ") </w:t>
      </w:r>
    </w:p>
    <w:p w14:paraId="7DB240C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ранее: завод "Ремвоздух №3", Завод №35 НКАП, Завод №475 НКАП, МАП, Смоленский машиностроительный завод МАП, Смоленский авиационный завод (СмАЗ) МАП </w:t>
      </w:r>
    </w:p>
    <w:p w14:paraId="3A6C6A6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214006, г. Смоленск, ул. Фрунзе, 74, тел. 22-93-07, http://www.smaz.ru (10777).</w:t>
      </w:r>
    </w:p>
    <w:p w14:paraId="6C3A2C1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0EBB0757"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38154E1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46114F5" w14:textId="77777777" w:rsidR="00A042EC" w:rsidRPr="007224C3" w:rsidRDefault="00A042EC"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3 февраля 1944 конвой JW-56B, вышедший 22 января 1944 года из Лох-Эве, прибывший в Молотовск (Северодвинск). В его составе на еще одном транспорте типа «Либерти», SS Albert C. Ritchie, находились 12 танков M4A2, а также две «самоходные установки 76 мм».</w:t>
      </w:r>
    </w:p>
    <w:p w14:paraId="3B6DBD9E" w14:textId="77777777" w:rsidR="00A042EC" w:rsidRPr="007224C3" w:rsidRDefault="00A042EC"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Для полигонных испытаний был выделен один экземпляр САУ с регистрационным номером U.S.A. 40108549. Машина являлась 446-й в серии, изготовили ее на Buick в конце 1943 года. Установленную на истребителе танков 76-мм пушку M1A1 №1272 изготовили на Oldsmobile, еще одном автомобильном заводе концерна General Motors. В отличие от GMC M10, документов с которой просто не пришло, на сей раз с материалами был полный порядок. Значительную часть иллюстраций для технического описания самоходной установки специалисты Научно-испытательного бронетанкового полигона ГБТУ КА взяли из американского руководства. Это касалось и общих видов машины.</w:t>
      </w:r>
    </w:p>
    <w:p w14:paraId="7C101C3A" w14:textId="77777777" w:rsidR="00A042EC" w:rsidRPr="007224C3" w:rsidRDefault="00A042EC"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Большой интерес у специалистов полигона вызвала трансмиссия самоходной установки. Ее двигатель был соединен с передаточной коробкой, которая через карданный вал сообщалась с трехступенчатым гидротрансформатором. От него крутящий момент передавался на планетарную коробку передач, затем на дифференциал, а дальше на бортовые передачи. Трансформатор, коробка передач и дифференциал были сблокированы. Для их демонтажа в лобовой части корпуса имелся большой люк, крепившийся на болтах.</w:t>
      </w:r>
    </w:p>
    <w:p w14:paraId="1117E85D" w14:textId="77777777" w:rsidR="00A042EC" w:rsidRPr="007224C3" w:rsidRDefault="00A042EC"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С точки зрения бронестойкости такой люк вызывал, мягко говоря, некоторое недоумение. Но оно пропадало, когда становились известны данные по толщине брони. Наибольшей толщиной (51 мм) отличалась орудийная маска, корма башни (40 мм) и ее лобовая деталь (35 мм). Столь странное распределение брони на башне объяснялось тем, что здесь она выполняла дополнительную функцию противовеса. На остальных же поверхностях САУ толщина брони не превышала 12,7 мм. Такой оказалась плата за высокую скорость и удельную мощность в 23,5 л.с. на тонну.</w:t>
      </w:r>
    </w:p>
    <w:p w14:paraId="5D3A0509" w14:textId="77777777" w:rsidR="00A042EC" w:rsidRPr="007224C3" w:rsidRDefault="00A042EC"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В отличие от GMC M10, расчет САУ Т-70 должен был работать в сидячем положении, и вот здесь возник ряд вопросов. Больше всего их оказалось к условиям работы заряжающего. Его сиденье было не откидным и размещалось очень низко по отношению к полу, что делало работу зараяжающего крайне неудобной. Если же этот член экипажа стоял, то было неудобно вынимать выстрелы из укладки. Такой промах с эргономикой стал причиной того, что боевая скорострельность орудия САУ ограничивалась не быстротой его наводки на цель, а скоростью заряжания.</w:t>
      </w:r>
    </w:p>
    <w:p w14:paraId="15E00E87" w14:textId="77777777" w:rsidR="00A042EC" w:rsidRPr="007224C3" w:rsidRDefault="00A042EC"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Немало вопросов имелось и к месту командира. В отличие от заряжающего, он должен был стоять, выполняя, одновременно, функции пулеметчика. Место командира испытатели назвали неполноценным и опасным. Никаких приборов наблюдения, кроме собственных глаз, командир не имел, зато шансы получить пулю в лоб оказались высокими. Единственным, кто из расчета башни чувствовал себя нормально, оказался наводчик. К его месту никаких претензий со стороны испытателей не было.</w:t>
      </w:r>
    </w:p>
    <w:p w14:paraId="4F9A05DE" w14:textId="77777777" w:rsidR="00A042EC" w:rsidRPr="007224C3" w:rsidRDefault="00A042EC"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Немало вопросов возникло и к обзорности. Более-менее нормально в этом плане складывалась ситуация для наводчика, имевшего телескопический и перископический приборы. Командир, как уже говорилось выше, кроме своих глаз никаких приборов наблюдения не имел, да и смещенное назад место его размещения не способствовало улучшению его обзора на местность непосредственно перед машиной. Обзорность с мест механика-водителя и его помощника тоже нельзя было назвать хорошей. Хотя полный сектор обзора составлял 180–200 градусов, перископы оказались несколько смещены в сторону, что усложняло их использование.</w:t>
      </w:r>
    </w:p>
    <w:p w14:paraId="62DFF1A9" w14:textId="77777777" w:rsidR="00A042EC" w:rsidRPr="007224C3" w:rsidRDefault="00A042EC"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Как и в случае с GMC M10, огневые испытания самоходной установки T70 не задались по причине отсутствия снарядов для ее орудия. Поэтому после изучения конструкции машины настал черед ходовых испытаний. Согласно типовой программе, машина должна была пройти 1000 километров. На практике километраж оказался даже чуть большим и составил 1022 километров, из них 172 по булыжному и 214 по асфальтовому шоссе, 530 по проселочной дороге и 132 – по снежной целине.</w:t>
      </w:r>
    </w:p>
    <w:p w14:paraId="4446BC55" w14:textId="77777777" w:rsidR="00A042EC" w:rsidRPr="007224C3" w:rsidRDefault="00A042EC"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До расчетных 55 миль в час (88 км/ч) на испытаниях машина так и не смогла разогнаться. В ходе четырех попыток ее удалось разогнать лишь до 75,6 км/ч. С места до 70 км/ч машина разгонялась за 64 секунды, преодолевая при этом расстояние в 700 метров. При торможении со скорости 50 км/ч и более высокой самоходную установку заносило. При плавном торможении заносы прекращались, но при этом дистанция, преодолеваемая САУ до полной остановки, достигала 70–80 метров.</w:t>
      </w:r>
    </w:p>
    <w:p w14:paraId="68B3DDD8" w14:textId="77777777" w:rsidR="00A042EC" w:rsidRPr="007224C3" w:rsidRDefault="00A042EC"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Средняя скорость чистого движения по булыжному шоссе составила 38,4 км/ч, а по асфальтовому шоссе 47,6 км/ч. Скорость по шоссе ограничивалась недостаточной устойчивостью машины. Особенно это ощущалось при езде по обледенелой дороге. На скоростях 60–70 км/ч машину начинало заносить.</w:t>
      </w:r>
    </w:p>
    <w:p w14:paraId="5752A6EC" w14:textId="77777777" w:rsidR="00A042EC" w:rsidRPr="007224C3" w:rsidRDefault="00A042EC"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При всем при этом машина потребляла очень много топлива – 203 литра на 100 километров. Использование двойного дифференциала увеличило радиус поворота до 12,3 метров. С другой стороны, очень хорошо вела себя подвеска. Благодаря дополнительным упругим элементам (гидравлические амортизаторы и вертикальные рессоры) удалось добиться очень высокой плавности хода при движении по хорошим дорогам.</w:t>
      </w:r>
    </w:p>
    <w:p w14:paraId="18DA8474" w14:textId="77777777" w:rsidR="00A042EC" w:rsidRPr="007224C3" w:rsidRDefault="00A042EC"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Гораздо более неприятная картина стала вырисовываться во время движения по проселочной дороге. Сорвин оказался прав, когда говорил, что концепция легкого танка-истребителя окажется оправданной только на ровной местности. На проселке средняя скорость движения САУ снизилась до 23,8 км/ч. Для сравнения, легкий танк М3Л на проселке развивал среднюю скорость 29 км/ч, а немецкий Pz.Kpfw.III Ausf.H – 25 км/ч. Ехать приходилось на 2-й передаче. Движение на 3-й передаче оказалось лимитировано недостаточным крутящим моментом, передаваемым гидротрансформатором. Также особенности работы гидротрансформатора стали причиной того, что по проселку с глубокими выбоинами машина двигаться не могла. Недостаточный крутящий момент не позволял преодолевать и придорожные канавы глубиной 0,75 метров.</w:t>
      </w:r>
    </w:p>
    <w:p w14:paraId="12180C04" w14:textId="77777777" w:rsidR="00A042EC" w:rsidRPr="007224C3" w:rsidRDefault="00A042EC"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При этом на проселке американская САУ потребляла совершенно неприличные объемы топлива. На 100 километров пути ей требовалось 357 литров бензина и 11,3 литров масла. Также выявилось, что гусеничные ленты машины имели недостаточное сцепление с грунтом.</w:t>
      </w:r>
    </w:p>
    <w:p w14:paraId="3F91BFEF" w14:textId="77777777" w:rsidR="00A042EC" w:rsidRPr="007224C3" w:rsidRDefault="00A042EC"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Наибольшие же проблемы возникли у «автострадного» истребителя танков при езде по заснеженной целине. Выше первой передачи гидротрансформатор подниматься не позволял. Попытка перейти на вторую передачу приводила к проскальзыванию гидротрансформатора и потери тяги. Средняя скорость движения составляла 19,4 км/ч. Снежный покров высотой более полуметра оказался для машины непреодолимым, виной тому был все тот же гидротрансформатор. Расход топлива при этом становился и вовсе чудовищным. На 100 километров пути требовалось 708 (!) литров бензина и 20,2 литров масла. Столько не потребляли даже иные тяжелые танки.</w:t>
      </w:r>
    </w:p>
    <w:p w14:paraId="557CFC6E" w14:textId="77777777" w:rsidR="00A042EC" w:rsidRPr="007224C3" w:rsidRDefault="00A042EC"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lastRenderedPageBreak/>
        <w:t>Причиной столь высокой прожорливости стало то, что двигатель работал на постоянных оборотах, соответствующих максимальной мощности. Гидротрансформатор на бездорожье автоматически менял передаточное отношение, при этом обороты двигателя оставались прежними. Одним словом, механическая коробка передач в этих условиях была куда более правильным решением.</w:t>
      </w:r>
    </w:p>
    <w:p w14:paraId="36ECE22D" w14:textId="77777777" w:rsidR="00A042EC" w:rsidRPr="007224C3" w:rsidRDefault="00A042EC"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Не лучшим образом обстояло дело и с преодолением естественных препятствий. В ходе испытаний на подъем с хода удалось преодолеть вершину крутизной 16 градусов. Более крутой подъем оказался непреодолимым из-за недостаточного сцепления гусениц с грунтом. С разгоном на 2-й передаче удалось преодолеть подъем крутизной 18 градусов. Далее ограничивающим фактором снова стал все тот же гидротрансформатор.</w:t>
      </w:r>
    </w:p>
    <w:p w14:paraId="38ADA680" w14:textId="77777777" w:rsidR="00A042EC" w:rsidRPr="007224C3" w:rsidRDefault="00A042EC"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На спуске максимальным углом, на котором гусеницы не проскальзывали, стал угол в 24 градуса. В ходе испытаний на косогоре при движении по снегу максимальным углом, на котором машина ехала без сползания, оказался угол в 18 градусов. При активной работе рычагами для выравнивания машины движение было возможно при угле крена в 18–22 градуса.</w:t>
      </w:r>
    </w:p>
    <w:p w14:paraId="78D94148" w14:textId="77777777" w:rsidR="00A042EC" w:rsidRPr="007224C3" w:rsidRDefault="00A042EC"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Последним ходовым испытанием стало преодоление брода. В его ходе выяснилось, что максимальная глубина, которую может преодолеть самоходная установка, составляет 1,55 метра. Затем вода через жалюзи попадала в моторное отделение. Показатель этот оказался очень неплохим. К примеру, для немецкого Pz.Kpfw.III брод глубиной 1,4 метра был непреодолим.</w:t>
      </w:r>
    </w:p>
    <w:p w14:paraId="41AA5D9E" w14:textId="77777777" w:rsidR="00A042EC" w:rsidRPr="007224C3" w:rsidRDefault="00A042EC"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Испытания стрельбой проводились одними из последних. Поскольку ТТХ пушки М1А1 полностью совпадали с 76-мм орудием М7, установленным на САУ М10, ее пробиваемость не проверяли. Исследования проводилось на кучность стрельбы. Сравнивалась она с кучностью оружия советской легкой САУ СУ-76М. Как показали стрельбы, при использовании телескопического прицела американская самоходная установка превосходила по кучности советскую машину. При использовании перископического прицела рассеивание снарядов увеличивалось в 2 раза.</w:t>
      </w:r>
    </w:p>
    <w:p w14:paraId="3FD656FB" w14:textId="77777777" w:rsidR="00A042EC" w:rsidRPr="007224C3" w:rsidRDefault="00A042EC"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Стрельба с коротки остановок дала отличные результаты – 10 попаданий из 10. Совсем иная картина складывалась при стрельбе с хода. На дистанции 1000–700 метров из 8 выстрелов ни один не попал по цели, то же самое случилось и в ходе второй попытки. Наконец, исследование скорострельности показало следующие результаты: прицельная скорострельность САУ составила 7,7–9,7 выстрелов в минуту, максимальная – 11,4 выстрела в минуту.</w:t>
      </w:r>
    </w:p>
    <w:p w14:paraId="1CD3BA32" w14:textId="77777777" w:rsidR="00A042EC" w:rsidRPr="007224C3" w:rsidRDefault="00A042EC"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В целом как истребитель танков GMC T70 оказалась вполне неплохой машиной с точки зрения вооружения. Шасси же советские испытатели забраковали:</w:t>
      </w:r>
    </w:p>
    <w:p w14:paraId="019ACFEF" w14:textId="77777777" w:rsidR="00A042EC" w:rsidRPr="007224C3" w:rsidRDefault="00A042EC"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iCs/>
          <w:color w:val="000000" w:themeColor="text1"/>
          <w:sz w:val="16"/>
          <w:szCs w:val="16"/>
          <w:lang w:eastAsia="ru-RU"/>
        </w:rPr>
        <w:t>«Американская самоходная артиллерийская установка Т-70 не может быть рекомендована для импорта по следующим причинам:</w:t>
      </w:r>
    </w:p>
    <w:p w14:paraId="2B27A70B" w14:textId="77777777" w:rsidR="00A042EC" w:rsidRPr="007224C3" w:rsidRDefault="00A042EC"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iCs/>
          <w:color w:val="000000" w:themeColor="text1"/>
          <w:sz w:val="16"/>
          <w:szCs w:val="16"/>
          <w:lang w:eastAsia="ru-RU"/>
        </w:rPr>
        <w:t>1. Слабая бронировка, обеспечивающая защиту только от ружейно-пулеметного огня и мелких осколков снарядов.</w:t>
      </w:r>
    </w:p>
    <w:p w14:paraId="2B4012B6" w14:textId="77777777" w:rsidR="00A042EC" w:rsidRPr="007224C3" w:rsidRDefault="00A042EC"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iCs/>
          <w:color w:val="000000" w:themeColor="text1"/>
          <w:sz w:val="16"/>
          <w:szCs w:val="16"/>
          <w:lang w:eastAsia="ru-RU"/>
        </w:rPr>
        <w:t>2. Большой расход топлива, который в несколько раз превышает расход топлива для самоходных установок данного класса в этих же условиях.</w:t>
      </w:r>
    </w:p>
    <w:p w14:paraId="541A9A8F" w14:textId="77777777" w:rsidR="00A042EC" w:rsidRPr="007224C3" w:rsidRDefault="00A042EC"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iCs/>
          <w:color w:val="000000" w:themeColor="text1"/>
          <w:sz w:val="16"/>
          <w:szCs w:val="16"/>
          <w:lang w:eastAsia="ru-RU"/>
        </w:rPr>
        <w:t>3. Применение в качестве топлива высокосортного бензина, делающего самоходную установку опасной в пожарном отношении.</w:t>
      </w:r>
    </w:p>
    <w:p w14:paraId="1BA83841" w14:textId="77777777" w:rsidR="00A042EC" w:rsidRPr="007224C3" w:rsidRDefault="00A042EC"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iCs/>
          <w:color w:val="000000" w:themeColor="text1"/>
          <w:sz w:val="16"/>
          <w:szCs w:val="16"/>
          <w:lang w:eastAsia="ru-RU"/>
        </w:rPr>
        <w:t>4. Плохая проходимость самоходной установки».</w:t>
      </w:r>
    </w:p>
    <w:p w14:paraId="1F82DEBF" w14:textId="77777777" w:rsidR="00A042EC" w:rsidRPr="007224C3" w:rsidRDefault="00A042EC"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Как уже упоминалось, после стандартизации GMC T70 в GMC M18 старые машины были модернизированы. Вероятно, что американцы столкнулись при их эксплуатации с очень похожими проблемами. Но небольшая модернизация не могла кардинально изменить характеристики машины, особенно в том, что касалось ее проходимости. Кроме того, испытания американского танка T26E3, который также имел гидротрансформатор, выявили похожие проблемы. Да и бензина он потреблял с не меньшим аппетитом.</w:t>
      </w:r>
    </w:p>
    <w:p w14:paraId="7AA803A6" w14:textId="77777777" w:rsidR="00A042EC" w:rsidRPr="007224C3" w:rsidRDefault="00A042EC"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Несмотря на такой разгромный вердикт, для американской самоходной установки нашлась работа на полигоне в Кубинке. Она участвовала в испытании обстрелом бортов корпуса и башни немецкого тяжелого танка Pz.Kpfw.Tiger Ausf.B. Выяснилось, что 76-мм снаряд M62 пробивает борт немецкого тяжелого танка на дистанции два километра. Таким образом, сама по себе идея «автострадной САУ» была вполне здравой (17673).</w:t>
      </w:r>
    </w:p>
    <w:p w14:paraId="1AA0F556" w14:textId="77777777" w:rsidR="00A042EC" w:rsidRPr="007224C3" w:rsidRDefault="00A042EC" w:rsidP="007224C3">
      <w:pPr>
        <w:spacing w:after="0" w:line="240" w:lineRule="auto"/>
        <w:jc w:val="both"/>
        <w:rPr>
          <w:rFonts w:ascii="Times New Roman" w:eastAsia="Times New Roman" w:hAnsi="Times New Roman"/>
          <w:color w:val="000000" w:themeColor="text1"/>
          <w:sz w:val="16"/>
          <w:szCs w:val="16"/>
          <w:lang w:eastAsia="ru-RU"/>
        </w:rPr>
      </w:pPr>
    </w:p>
    <w:p w14:paraId="2BF0ABCD"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февраля 1944 вышло Постановление ГКО № 5085 Об общем плане перевозок народнохозяйственных и воинских грузов по железнодорожному и водному транспорту на февраль 1944 г. (7181, 151).</w:t>
      </w:r>
    </w:p>
    <w:p w14:paraId="4AFB9CDB"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1BD5F0B"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февраля 1944 вышло Постановление ГКО № 5086 О плане перевозок народнохозяйственных грузов по железнодорожному и водному транспорту на февраль 1944 г. (7182, 1-7,8-187).</w:t>
      </w:r>
    </w:p>
    <w:p w14:paraId="48F3E889"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02CAAC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февраля 1944 вышло Распоряжение ГКО № 5087. О выделении заводу "Севкабель" НКЭП 100 военнообязанных, не годных к строевой службе. РГАНИР, Фонд ГКО, д. 202, лл. 1 (11012).</w:t>
      </w:r>
    </w:p>
    <w:p w14:paraId="5CA1954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3DE8829C"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февраля 1944 вышло Распоряжение ГКО № 5088 [О передаче HКсобесу РСФСР эвакогоспиталя № 4634 в Москве для организации на его базе госпиталя-клиники Московского HИИ протезирования.] (7183, 2).</w:t>
      </w:r>
    </w:p>
    <w:p w14:paraId="1BE76EE5"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89600F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февраля 1944 вышло Постановление ГКО № 5090 О мерах по обеспечению бесперебойной работы предприятий Наркомата черной металлургии в I квартале 1944 года. РГАНИР, Фонд ГКО, д. 203, лл. 1-3,4-229 (11012).</w:t>
      </w:r>
    </w:p>
    <w:p w14:paraId="4DAFB8E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69565AF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февраля 1944 вышло Постановление ГКО № 5091 О производстве запасных частей для проведения в 1944 году капитального ремонта оборудования электростанций и сетей и мерах улучшения их эксплуатации. РГАНИР, Фонд ГКО, д. 204, лл. 1-5,6-302 (11012).</w:t>
      </w:r>
    </w:p>
    <w:p w14:paraId="30EC09F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6A476C4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февраля 1944 года была подготовлена справка:</w:t>
      </w:r>
    </w:p>
    <w:p w14:paraId="51128D7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Заводы № 612 НКБ, №№ 9 и 8 НКВ, ГПЗ-6, № 76 НКТП – Свердловск (9277).</w:t>
      </w:r>
    </w:p>
    <w:p w14:paraId="4FC97FE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3D3FFA"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48CC18F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8E75A1B" w14:textId="77777777" w:rsidR="004B3057" w:rsidRPr="007224C3" w:rsidRDefault="004B3057"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3 февраля</w:t>
      </w:r>
      <w:r w:rsidRPr="007224C3">
        <w:rPr>
          <w:rFonts w:ascii="Times New Roman" w:hAnsi="Times New Roman"/>
          <w:color w:val="000000" w:themeColor="text1"/>
          <w:sz w:val="16"/>
          <w:szCs w:val="16"/>
        </w:rPr>
        <w:t xml:space="preserve"> в 1944 году оперативная сводка Совинформбюро:</w:t>
      </w:r>
    </w:p>
    <w:p w14:paraId="3E78AEE0" w14:textId="77777777" w:rsidR="004B3057" w:rsidRPr="007224C3" w:rsidRDefault="004B305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3 февраля на Нарвском направлении наши войска продолжали вести наступательные бои, в ходе которых заняли более 50 населённых пунктов и среди них Калливаре, Венекюла, Тырвала, Усть-Чернова, Суржердянка,Большая Поля, Сланцы, Замощье, Залесье, Малая и Большая Выскатка, Рудно, Гусева Гора, Перницы, Великое Село и железнодорожные станции Преображенка, Сланцы, Ищево.</w:t>
      </w:r>
    </w:p>
    <w:p w14:paraId="36D9A4E3" w14:textId="77777777" w:rsidR="004B3057" w:rsidRPr="007224C3" w:rsidRDefault="004B305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Южнее Сиверский наши войска с боями продвигались вперёд и заняли населённыепункты Беково, Красный Холм, Покровка, Кемск, Ящера, Низовка, Луги.</w:t>
      </w:r>
    </w:p>
    <w:p w14:paraId="56976650" w14:textId="77777777" w:rsidR="004B3057" w:rsidRPr="007224C3" w:rsidRDefault="004B305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и южнее Любань наши войска, преодолевая инженерные загражденияпротивника на лесных дорогах, с боями продвигались вперёд и заняли населённыепункты Погорели, Вдицко, Нивки, Финев Луг, Тесовстрой, Восход, Слепцы, Пятилипы, Гузи и железнодорожные станции Рогавка, Кересть.</w:t>
      </w:r>
    </w:p>
    <w:p w14:paraId="093D00B4" w14:textId="77777777" w:rsidR="004B3057" w:rsidRPr="007224C3" w:rsidRDefault="004B305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и юго-западнее Новгорода наши войска, преодолевая сопротивление иконтратаки противника, продолжали вести наступательные бои, в ходе которыхзаняли несколько населённых пунктов.</w:t>
      </w:r>
    </w:p>
    <w:p w14:paraId="0450B39D" w14:textId="77777777" w:rsidR="004B3057" w:rsidRPr="007224C3" w:rsidRDefault="004B305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Новосокольники наши войска продолжали наступление и заняли населённые пункты Малые Сокольники, Саньки, Спичино, Красногорье, Корнилово, Ананкино и железнодорожную станцию Абово.</w:t>
      </w:r>
    </w:p>
    <w:p w14:paraId="270746AF" w14:textId="77777777" w:rsidR="004B3057" w:rsidRPr="007224C3" w:rsidRDefault="004B305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Несколько дней назад войска 2-го Украинского фронта, перейдя в наступление из района севернее Кировограда в западном направлении, и войска 1-го Украинского фронта, — из района юго-восточнее Белая Церковь в восточном направлении, прорвали сильно укреплённую оборону немцев и за 5 дней наступательных боёв продвинулись навстречу друг другу на каждом направлении от 50 до 75 километров и расширили прорыв на каждом участке наступления до 160-175 километров по фронту.</w:t>
      </w:r>
    </w:p>
    <w:p w14:paraId="5D2F6756" w14:textId="77777777" w:rsidR="004B3057" w:rsidRPr="007224C3" w:rsidRDefault="004B305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результате проведённой операции войска 2-го и 1-го Украинских фронтов соединились в районе Звенигородка, Шпола и тем самым замкнули кольцо окружения группировки противника, действующей севернее этой линии, в составе девяти пехотных и одной танковой дивизий.</w:t>
      </w:r>
    </w:p>
    <w:p w14:paraId="7E9C3E2E" w14:textId="77777777" w:rsidR="004B3057" w:rsidRPr="007224C3" w:rsidRDefault="004B305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Нашими войсками освобождено более 300 населённых пунктов, в том числе город Смела, город Шпола, город Звенигородка, город Канев, город Богуслав, районные центры Киевской области Ротмистровка, Лисянка, Мироновка, крупные железнодорожные узлы Бобринская, Цветково, Мироновка, крупные населённые пункты Константиновка, Балаклея, Ковалиха, Поповка, Лозановка, Телепино, Пасторское, Оситняжка, Рейментаровка, Каниж, Калиновка, Мельниковка, Носачёв, Ташлык, Куцовка, Сам-Городок, Макеевка, Капитановка, Журовка, Турия, Матусов, Сигнаевка, Лебедин, Липянка, Надточаевка, Водяное, Толмач, Терешки, Толстая, Топильно, Казацкое, Богачёвка, Стецовка, Юрковка, Виноград, Каменный Брод, Медвин, Исайки, Дыбницы, Яблоновка, Бужанка, Щербашенцы, Сидоровка, Биевцы, Мисайловка, Чижовка, Рыжановка, Мурзинцы, Поповка, Тарасовка, Шевченково, Моренцы, Квитки, Селище, Николаевка, Карапыши, Зеленки, Россава, Поток, Македоны, Козин, Масловка, Степанцы, Яблонов и железнодорожные станции Перегоновка, Владимировка, Носачёв, Сигнаевка, Шпола, Искренное, Карапыши, Темпы, Лазурцы, Трощин.</w:t>
      </w:r>
    </w:p>
    <w:p w14:paraId="4B0A7926" w14:textId="77777777" w:rsidR="004B3057" w:rsidRPr="007224C3" w:rsidRDefault="004B305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2 февраля наши войска на всех фронтах подбили и уничтожили 77 немецких танков. В воздушных боях и огнём зенитной артиллерии сбито 40 самолётов противника.</w:t>
      </w:r>
    </w:p>
    <w:p w14:paraId="6BD68C2E" w14:textId="77777777" w:rsidR="004B3057" w:rsidRPr="007224C3" w:rsidRDefault="004B305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На Нарвском направлении наши войска продолжали наступление и заняли более 50 населённых пунктов. На одном участке немцы, пытаясь удержать в своих руках узел важных дорог, сосредоточили крупные силы. Наши бойцы нанесли одновременные удары с трёх сторон, и под угрозой окружения противник поспешно отступил. </w:t>
      </w:r>
      <w:r w:rsidRPr="007224C3">
        <w:rPr>
          <w:rFonts w:ascii="Times New Roman" w:hAnsi="Times New Roman"/>
          <w:color w:val="000000" w:themeColor="text1"/>
          <w:sz w:val="16"/>
          <w:szCs w:val="16"/>
        </w:rPr>
        <w:lastRenderedPageBreak/>
        <w:t>В этом бою подбито 8 немецких танков и самоходных орудий и уничтожено до двух батальонов гитлеровцев. Части Н-ского соединения, стремительно продвигаясь вперёд, форсировали реку Плюсса и, действуя совместно с партизанами, овладели железнодорожной станцией и населённым пунктом Сланцы. Захвачены пленные и трофеи.</w:t>
      </w:r>
    </w:p>
    <w:p w14:paraId="20CCB7B3" w14:textId="77777777" w:rsidR="004B3057" w:rsidRPr="007224C3" w:rsidRDefault="004B305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и южнее города Любань наши войска с боями продвигались вперёд. Бойцы Н-ского соединения, преследуя разгромленные части противника, захватили их обозы. Около населённого пункта Новая Деревня захвачено более 200 повозок с грузами. В Новой Деревне захвачены 5 складов с боеприпасами и один склад с инженерным имуществом.</w:t>
      </w:r>
    </w:p>
    <w:p w14:paraId="68B01296" w14:textId="77777777" w:rsidR="004B3057" w:rsidRPr="007224C3" w:rsidRDefault="004B305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другом районе наши войска окружили в лесах разрозненные группы противника и ведут бои по их ликвидации.</w:t>
      </w:r>
    </w:p>
    <w:p w14:paraId="45C5E60C" w14:textId="77777777" w:rsidR="004B3057" w:rsidRPr="007224C3" w:rsidRDefault="004B305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Новгорода наши войска вели наступательные бои. Противник оказывает упорное сопротивление и, подбрасывая резервы, предпринимает контратаки силами пехоты и танков. В течение дня части Н-ского соединения отбили до двадцати вражеских атак и уничтожили свыше 800 гитлеровцев, а также 13 танков и самоходных орудий. Советские лётчики наносили удары по войскам и транспортным колоннам немцев и уничтожили до 100 автомашин с пехотой и военными грузами.</w:t>
      </w:r>
    </w:p>
    <w:p w14:paraId="5417473B" w14:textId="77777777" w:rsidR="004B3057" w:rsidRPr="007224C3" w:rsidRDefault="004B305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Новосокольники наши войска продолжали наступление. Противник подтянул новые силы и утром предпринял несколько ожесточённых контратак. Советские части не только отбили атаки гитлеровцев, но контрударом сломили сопротивление врага и заняли несколько населённых пунктов. За три дня боёв в этом районе уничтожено свыше 5 тысяч немецких солдат и офицеров. Захвачены у немцев 136 орудий, 50 миномётов, до 2.000 автоматов и винтовок, 16 складов с боеприпасами, продовольственный склад, 5 вещевых складов и 7 складов с инженерным имуществом. Взято значительное количество пленных.</w:t>
      </w:r>
    </w:p>
    <w:p w14:paraId="1C14795A" w14:textId="77777777" w:rsidR="004B3057" w:rsidRPr="007224C3" w:rsidRDefault="004B305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2-го Украинского фронта, перейдя в наступление из района севернее города Кировоград, и войска 1-го Украинского фронта, — из района юго-восточнее города Белая Церковь, прорвали сильно укреплённую оборону немцев и, успешно продвигаясь навстречу друг другу, соединились в районе городов Звенигородка и Шпола. За пять дней наступления наши войска заняли более 300 населённых пунктов, в том числе город Смела, город Звенигородка, город Шпола, город Богуслав, город Канев, районные центры Киевской области Ротмистровка, Лисянка, Мироновка и железнодорожные узлы Бобринская, Цветково, Мироновка. В результате этой операции наши войска окружили крупную группировку противника в составе девяти пехотных и одной танковой дивизий. Противник предпринимает на различных участках отчаянные попытки вырваться из окружения, но встречает решительный отпор и несёт огромные потери. Одно наше соединение за три дня боёв уничтожило 2 тысячи немецких солдат и офицеров, 40 танков и самоходных орудий. Бойцы другого соединения истребили до 4.000 гитлеровцев и захватили 18 исправных танков, 52 полевых и 6 самоходных орудий, а также много других трофеев.</w:t>
      </w:r>
    </w:p>
    <w:p w14:paraId="58804025" w14:textId="77777777" w:rsidR="004B3057" w:rsidRPr="007224C3" w:rsidRDefault="004B305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Сегодня утром противник, сосредоточив на узком участке крупные силы, вновь пытался прорвать кольцо советских войск. В течение всего дня происходил ожесточённый бой. В результате этого боя советские пехотинцы и артиллеристы уничтожили не менее полка немецкой пехоты, 42 танка, 6 самоходных орудий и 11 бронетранспортёров. Гитлеровцы отброшены на исходные рубежи. На других участках наши части наносили удары окружённой группировке противника и с боями продвигались вперёд.</w:t>
      </w:r>
    </w:p>
    <w:p w14:paraId="4B29AC19" w14:textId="77777777" w:rsidR="004B3057" w:rsidRPr="007224C3" w:rsidRDefault="004B305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Украинские партизанские отряды совершили смелый налёт на крупный немецкий гарнизон, расположенный в районном центре Волынской области. В шестичасовом бою партизаны разгромили вражеский гарнизон и уничтожили более 200 гитлеровцев. Захвачено много винтовок, автоматов, боеприпасов и обоз с продовольствием. Группа гитлеровцев, убежавшая из села на автомашинах, была перехвачена на дороге и ликвидирована.» (15029).</w:t>
      </w:r>
    </w:p>
    <w:p w14:paraId="18BC2110" w14:textId="77777777" w:rsidR="004B3057" w:rsidRPr="007224C3" w:rsidRDefault="004B3057" w:rsidP="007224C3">
      <w:pPr>
        <w:spacing w:after="0" w:line="240" w:lineRule="auto"/>
        <w:jc w:val="both"/>
        <w:rPr>
          <w:rFonts w:ascii="Times New Roman" w:hAnsi="Times New Roman"/>
          <w:color w:val="000000" w:themeColor="text1"/>
          <w:sz w:val="16"/>
          <w:szCs w:val="16"/>
        </w:rPr>
      </w:pPr>
    </w:p>
    <w:p w14:paraId="044D1E76" w14:textId="77777777" w:rsidR="004B3057" w:rsidRPr="007224C3" w:rsidRDefault="004B3057"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3 февраля</w:t>
      </w:r>
      <w:r w:rsidRPr="007224C3">
        <w:rPr>
          <w:rFonts w:ascii="Times New Roman" w:hAnsi="Times New Roman"/>
          <w:color w:val="000000" w:themeColor="text1"/>
          <w:sz w:val="16"/>
          <w:szCs w:val="16"/>
        </w:rPr>
        <w:t xml:space="preserve"> в 1944 году войска Ленинградского фронта форсировали реку Нарва, захватили плацдармы на её левом берегу. Началось освобождение от немецко-фашистских захватчиков Эстонской ССР. Войска 3-го Украинского фронта освободили город Апостолово и рассекли немецкую 6-ю армию на две части (15029).</w:t>
      </w:r>
    </w:p>
    <w:p w14:paraId="1D963876" w14:textId="77777777" w:rsidR="004B3057" w:rsidRPr="007224C3" w:rsidRDefault="004B3057" w:rsidP="007224C3">
      <w:pPr>
        <w:spacing w:after="0" w:line="240" w:lineRule="auto"/>
        <w:jc w:val="both"/>
        <w:rPr>
          <w:rFonts w:ascii="Times New Roman" w:hAnsi="Times New Roman"/>
          <w:color w:val="000000" w:themeColor="text1"/>
          <w:sz w:val="16"/>
          <w:szCs w:val="16"/>
        </w:rPr>
      </w:pPr>
    </w:p>
    <w:p w14:paraId="2700C50F" w14:textId="77777777" w:rsidR="004B3057" w:rsidRPr="007224C3" w:rsidRDefault="004B3057"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3 февраля</w:t>
      </w:r>
      <w:r w:rsidRPr="007224C3">
        <w:rPr>
          <w:rFonts w:ascii="Times New Roman" w:hAnsi="Times New Roman"/>
          <w:color w:val="000000" w:themeColor="text1"/>
          <w:sz w:val="16"/>
          <w:szCs w:val="16"/>
        </w:rPr>
        <w:t xml:space="preserve"> в 1944 году вступление советских войск на территорию Эстонской ССР (15029).</w:t>
      </w:r>
    </w:p>
    <w:p w14:paraId="6394A125" w14:textId="77777777" w:rsidR="004B3057" w:rsidRPr="007224C3" w:rsidRDefault="004B3057" w:rsidP="007224C3">
      <w:pPr>
        <w:spacing w:after="0" w:line="240" w:lineRule="auto"/>
        <w:jc w:val="both"/>
        <w:rPr>
          <w:rFonts w:ascii="Times New Roman" w:hAnsi="Times New Roman"/>
          <w:color w:val="000000" w:themeColor="text1"/>
          <w:sz w:val="16"/>
          <w:szCs w:val="16"/>
        </w:rPr>
      </w:pPr>
    </w:p>
    <w:p w14:paraId="57F6FA55" w14:textId="77777777" w:rsidR="004B3057" w:rsidRPr="007224C3" w:rsidRDefault="004B3057"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3 февраля</w:t>
      </w:r>
      <w:r w:rsidRPr="007224C3">
        <w:rPr>
          <w:rFonts w:ascii="Times New Roman" w:hAnsi="Times New Roman"/>
          <w:color w:val="000000" w:themeColor="text1"/>
          <w:sz w:val="16"/>
          <w:szCs w:val="16"/>
        </w:rPr>
        <w:t xml:space="preserve"> в 1944 году под Корсунем Красной армией окружается до 60 тысяч немецких солдат (15029).</w:t>
      </w:r>
    </w:p>
    <w:p w14:paraId="38EE6C51" w14:textId="77777777" w:rsidR="004B3057" w:rsidRPr="007224C3" w:rsidRDefault="004B3057" w:rsidP="007224C3">
      <w:pPr>
        <w:spacing w:after="0" w:line="240" w:lineRule="auto"/>
        <w:jc w:val="both"/>
        <w:rPr>
          <w:rFonts w:ascii="Times New Roman" w:hAnsi="Times New Roman"/>
          <w:color w:val="000000" w:themeColor="text1"/>
          <w:sz w:val="16"/>
          <w:szCs w:val="16"/>
        </w:rPr>
      </w:pPr>
    </w:p>
    <w:p w14:paraId="2DBE264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февраля 1944 г. была подготовлена СПРАВКА О НАЛИЧИИ АВТОМОБИЛЕЙ ИНОМАРОК В ВОЙСКАХ КРАСНОЙ АРМИИ ПО СОСТОЯНИЮ НА 1 ЯНВАРЯ 1944 г.</w:t>
      </w:r>
    </w:p>
    <w:tbl>
      <w:tblPr>
        <w:tblW w:w="0" w:type="auto"/>
        <w:tblInd w:w="40" w:type="dxa"/>
        <w:tblLayout w:type="fixed"/>
        <w:tblCellMar>
          <w:left w:w="40" w:type="dxa"/>
          <w:right w:w="40" w:type="dxa"/>
        </w:tblCellMar>
        <w:tblLook w:val="0000" w:firstRow="0" w:lastRow="0" w:firstColumn="0" w:lastColumn="0" w:noHBand="0" w:noVBand="0"/>
      </w:tblPr>
      <w:tblGrid>
        <w:gridCol w:w="2362"/>
        <w:gridCol w:w="1450"/>
        <w:gridCol w:w="970"/>
        <w:gridCol w:w="970"/>
        <w:gridCol w:w="950"/>
        <w:gridCol w:w="998"/>
        <w:gridCol w:w="979"/>
        <w:gridCol w:w="931"/>
      </w:tblGrid>
      <w:tr w:rsidR="005106D0" w:rsidRPr="007224C3" w14:paraId="0245CA39" w14:textId="77777777">
        <w:trPr>
          <w:trHeight w:val="230"/>
        </w:trPr>
        <w:tc>
          <w:tcPr>
            <w:tcW w:w="2362" w:type="dxa"/>
            <w:tcBorders>
              <w:top w:val="single" w:sz="6" w:space="0" w:color="auto"/>
              <w:left w:val="single" w:sz="6" w:space="0" w:color="auto"/>
              <w:bottom w:val="nil"/>
              <w:right w:val="single" w:sz="6" w:space="0" w:color="auto"/>
            </w:tcBorders>
          </w:tcPr>
          <w:p w14:paraId="72D0781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Наименование фронта</w:t>
            </w:r>
          </w:p>
          <w:p w14:paraId="429C10E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nil"/>
              <w:right w:val="single" w:sz="6" w:space="0" w:color="auto"/>
            </w:tcBorders>
          </w:tcPr>
          <w:p w14:paraId="784236A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 иномарок на 1.01.1944 г.</w:t>
            </w:r>
          </w:p>
          <w:p w14:paraId="1F3692D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98" w:type="dxa"/>
            <w:gridSpan w:val="6"/>
            <w:tcBorders>
              <w:top w:val="single" w:sz="6" w:space="0" w:color="auto"/>
              <w:left w:val="single" w:sz="6" w:space="0" w:color="auto"/>
              <w:bottom w:val="single" w:sz="6" w:space="0" w:color="auto"/>
              <w:right w:val="single" w:sz="6" w:space="0" w:color="auto"/>
            </w:tcBorders>
          </w:tcPr>
          <w:p w14:paraId="0BACC9C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том числе по маркам</w:t>
            </w:r>
          </w:p>
          <w:p w14:paraId="7EC5B88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26A9F31" w14:textId="77777777">
        <w:trPr>
          <w:trHeight w:val="211"/>
        </w:trPr>
        <w:tc>
          <w:tcPr>
            <w:tcW w:w="2362" w:type="dxa"/>
            <w:tcBorders>
              <w:top w:val="nil"/>
              <w:left w:val="single" w:sz="6" w:space="0" w:color="auto"/>
              <w:bottom w:val="single" w:sz="6" w:space="0" w:color="auto"/>
              <w:right w:val="single" w:sz="6" w:space="0" w:color="auto"/>
            </w:tcBorders>
          </w:tcPr>
          <w:p w14:paraId="4A6BADD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1FF8253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nil"/>
              <w:left w:val="single" w:sz="6" w:space="0" w:color="auto"/>
              <w:bottom w:val="single" w:sz="6" w:space="0" w:color="auto"/>
              <w:right w:val="single" w:sz="6" w:space="0" w:color="auto"/>
            </w:tcBorders>
          </w:tcPr>
          <w:p w14:paraId="0DB863E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75DC91B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9CF17A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Виллис</w:t>
            </w:r>
          </w:p>
          <w:p w14:paraId="08CB83B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289BF3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Форд-6</w:t>
            </w:r>
          </w:p>
          <w:p w14:paraId="7979FE8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826F89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Додж</w:t>
            </w:r>
          </w:p>
          <w:p w14:paraId="6A1C489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5A1ACE5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Студебекер</w:t>
            </w:r>
          </w:p>
          <w:p w14:paraId="516A732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7BD0D56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Шевроле</w:t>
            </w:r>
          </w:p>
          <w:p w14:paraId="159753F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697C0CB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Прочие</w:t>
            </w:r>
          </w:p>
          <w:p w14:paraId="5700528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E5CC9C1" w14:textId="77777777">
        <w:trPr>
          <w:trHeight w:val="230"/>
        </w:trPr>
        <w:tc>
          <w:tcPr>
            <w:tcW w:w="2362" w:type="dxa"/>
            <w:tcBorders>
              <w:top w:val="single" w:sz="6" w:space="0" w:color="auto"/>
              <w:left w:val="single" w:sz="6" w:space="0" w:color="auto"/>
              <w:bottom w:val="single" w:sz="6" w:space="0" w:color="auto"/>
              <w:right w:val="single" w:sz="6" w:space="0" w:color="auto"/>
            </w:tcBorders>
          </w:tcPr>
          <w:p w14:paraId="0F6A03B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Карельский</w:t>
            </w:r>
          </w:p>
          <w:p w14:paraId="711CCF4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7947D9A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195</w:t>
            </w:r>
          </w:p>
          <w:p w14:paraId="54761BB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211DD9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w:t>
            </w:r>
          </w:p>
          <w:p w14:paraId="126E1CA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54F159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w:t>
            </w:r>
          </w:p>
          <w:p w14:paraId="65FC9F5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2779CA1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p w14:paraId="064B778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18354A5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4F71AC5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56ED836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p w14:paraId="70D72C0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09C032E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125</w:t>
            </w:r>
          </w:p>
          <w:p w14:paraId="2D6D8A3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3119FFD" w14:textId="77777777">
        <w:trPr>
          <w:trHeight w:val="230"/>
        </w:trPr>
        <w:tc>
          <w:tcPr>
            <w:tcW w:w="2362" w:type="dxa"/>
            <w:tcBorders>
              <w:top w:val="single" w:sz="6" w:space="0" w:color="auto"/>
              <w:left w:val="single" w:sz="6" w:space="0" w:color="auto"/>
              <w:bottom w:val="single" w:sz="6" w:space="0" w:color="auto"/>
              <w:right w:val="single" w:sz="6" w:space="0" w:color="auto"/>
            </w:tcBorders>
          </w:tcPr>
          <w:p w14:paraId="28B4E68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Ленинградский</w:t>
            </w:r>
          </w:p>
          <w:p w14:paraId="3EFC94B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7AE2423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1213</w:t>
            </w:r>
          </w:p>
          <w:p w14:paraId="55131CF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94BC3B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252</w:t>
            </w:r>
          </w:p>
          <w:p w14:paraId="4A9F367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8F952E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73</w:t>
            </w:r>
          </w:p>
          <w:p w14:paraId="6FEEB31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335A9D7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w:t>
            </w:r>
          </w:p>
          <w:p w14:paraId="36583CD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7222F70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403</w:t>
            </w:r>
          </w:p>
          <w:p w14:paraId="426C534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50C30B5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w:t>
            </w:r>
          </w:p>
          <w:p w14:paraId="6596751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58181DC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458</w:t>
            </w:r>
          </w:p>
          <w:p w14:paraId="303B03E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FCEB500" w14:textId="77777777">
        <w:trPr>
          <w:trHeight w:val="230"/>
        </w:trPr>
        <w:tc>
          <w:tcPr>
            <w:tcW w:w="2362" w:type="dxa"/>
            <w:tcBorders>
              <w:top w:val="single" w:sz="6" w:space="0" w:color="auto"/>
              <w:left w:val="single" w:sz="6" w:space="0" w:color="auto"/>
              <w:bottom w:val="single" w:sz="6" w:space="0" w:color="auto"/>
              <w:right w:val="single" w:sz="6" w:space="0" w:color="auto"/>
            </w:tcBorders>
          </w:tcPr>
          <w:p w14:paraId="36339C6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Волховский</w:t>
            </w:r>
          </w:p>
          <w:p w14:paraId="7504000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3582A40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675</w:t>
            </w:r>
          </w:p>
          <w:p w14:paraId="6FDB681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F3572D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237</w:t>
            </w:r>
          </w:p>
          <w:p w14:paraId="508310A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F227DC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103</w:t>
            </w:r>
          </w:p>
          <w:p w14:paraId="7940347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2F2914F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97</w:t>
            </w:r>
          </w:p>
          <w:p w14:paraId="561624D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2A912A0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73</w:t>
            </w:r>
          </w:p>
          <w:p w14:paraId="1E05E5B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6349BC5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74</w:t>
            </w:r>
          </w:p>
          <w:p w14:paraId="1ECC792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254FC10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91</w:t>
            </w:r>
          </w:p>
          <w:p w14:paraId="7FADF64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645DB29" w14:textId="77777777">
        <w:trPr>
          <w:trHeight w:val="221"/>
        </w:trPr>
        <w:tc>
          <w:tcPr>
            <w:tcW w:w="2362" w:type="dxa"/>
            <w:tcBorders>
              <w:top w:val="single" w:sz="6" w:space="0" w:color="auto"/>
              <w:left w:val="single" w:sz="6" w:space="0" w:color="auto"/>
              <w:bottom w:val="single" w:sz="6" w:space="0" w:color="auto"/>
              <w:right w:val="single" w:sz="6" w:space="0" w:color="auto"/>
            </w:tcBorders>
          </w:tcPr>
          <w:p w14:paraId="4802905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1-й Прибалтийский</w:t>
            </w:r>
          </w:p>
          <w:p w14:paraId="25688DE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3717F1F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6250</w:t>
            </w:r>
          </w:p>
          <w:p w14:paraId="2CAB5D6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52B719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599</w:t>
            </w:r>
          </w:p>
          <w:p w14:paraId="2EB09B2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83CC19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1467</w:t>
            </w:r>
          </w:p>
          <w:p w14:paraId="5DDCA8C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7544E1F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718</w:t>
            </w:r>
          </w:p>
          <w:p w14:paraId="6E9CC51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0F42355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2038</w:t>
            </w:r>
          </w:p>
          <w:p w14:paraId="7A0400D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06A0726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506</w:t>
            </w:r>
          </w:p>
          <w:p w14:paraId="5452761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7A886C6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922</w:t>
            </w:r>
          </w:p>
          <w:p w14:paraId="5EB3796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3931D02" w14:textId="77777777">
        <w:trPr>
          <w:trHeight w:val="240"/>
        </w:trPr>
        <w:tc>
          <w:tcPr>
            <w:tcW w:w="2362" w:type="dxa"/>
            <w:tcBorders>
              <w:top w:val="single" w:sz="6" w:space="0" w:color="auto"/>
              <w:left w:val="single" w:sz="6" w:space="0" w:color="auto"/>
              <w:bottom w:val="single" w:sz="6" w:space="0" w:color="auto"/>
              <w:right w:val="single" w:sz="6" w:space="0" w:color="auto"/>
            </w:tcBorders>
          </w:tcPr>
          <w:p w14:paraId="60F56CD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2-й Прибалтийский</w:t>
            </w:r>
          </w:p>
          <w:p w14:paraId="425D4FB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10C90B7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4171</w:t>
            </w:r>
          </w:p>
          <w:p w14:paraId="0BCA574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C82563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657</w:t>
            </w:r>
          </w:p>
          <w:p w14:paraId="5F31801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90D1BE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479</w:t>
            </w:r>
          </w:p>
          <w:p w14:paraId="56F3287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963E04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313</w:t>
            </w:r>
          </w:p>
          <w:p w14:paraId="17A0D4F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1017169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1897</w:t>
            </w:r>
          </w:p>
          <w:p w14:paraId="60CB942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7CFF4D1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348</w:t>
            </w:r>
          </w:p>
          <w:p w14:paraId="693D830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77D7D62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477</w:t>
            </w:r>
          </w:p>
          <w:p w14:paraId="2E3F0AE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B12ADD5" w14:textId="77777777">
        <w:trPr>
          <w:trHeight w:val="230"/>
        </w:trPr>
        <w:tc>
          <w:tcPr>
            <w:tcW w:w="2362" w:type="dxa"/>
            <w:tcBorders>
              <w:top w:val="single" w:sz="6" w:space="0" w:color="auto"/>
              <w:left w:val="single" w:sz="6" w:space="0" w:color="auto"/>
              <w:bottom w:val="single" w:sz="6" w:space="0" w:color="auto"/>
              <w:right w:val="single" w:sz="6" w:space="0" w:color="auto"/>
            </w:tcBorders>
          </w:tcPr>
          <w:p w14:paraId="7DCCB9A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Западный</w:t>
            </w:r>
          </w:p>
          <w:p w14:paraId="31FC2DE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32794A0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5001</w:t>
            </w:r>
          </w:p>
          <w:p w14:paraId="721A1CA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ECAF7C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760</w:t>
            </w:r>
          </w:p>
          <w:p w14:paraId="7B9092E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460099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859</w:t>
            </w:r>
          </w:p>
          <w:p w14:paraId="235C10A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1DF80F8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403</w:t>
            </w:r>
          </w:p>
          <w:p w14:paraId="507818E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2A609A4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1515</w:t>
            </w:r>
          </w:p>
          <w:p w14:paraId="570C7F3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157A76B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558</w:t>
            </w:r>
          </w:p>
          <w:p w14:paraId="16293AB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46BEA8C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906</w:t>
            </w:r>
          </w:p>
          <w:p w14:paraId="1B5E489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1410F1C" w14:textId="77777777">
        <w:trPr>
          <w:trHeight w:val="230"/>
        </w:trPr>
        <w:tc>
          <w:tcPr>
            <w:tcW w:w="2362" w:type="dxa"/>
            <w:tcBorders>
              <w:top w:val="single" w:sz="6" w:space="0" w:color="auto"/>
              <w:left w:val="single" w:sz="6" w:space="0" w:color="auto"/>
              <w:bottom w:val="single" w:sz="6" w:space="0" w:color="auto"/>
              <w:right w:val="single" w:sz="6" w:space="0" w:color="auto"/>
            </w:tcBorders>
          </w:tcPr>
          <w:p w14:paraId="66A37EF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Белорусский</w:t>
            </w:r>
          </w:p>
          <w:p w14:paraId="294AF1F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3B30A27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7800</w:t>
            </w:r>
          </w:p>
          <w:p w14:paraId="53D46E2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792318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1263</w:t>
            </w:r>
          </w:p>
          <w:p w14:paraId="5E8392D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8A5FB4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1289</w:t>
            </w:r>
          </w:p>
          <w:p w14:paraId="12A6C31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2296340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781</w:t>
            </w:r>
          </w:p>
          <w:p w14:paraId="7756A3A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51D0C62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2432</w:t>
            </w:r>
          </w:p>
          <w:p w14:paraId="514DF46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36A6A68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1239</w:t>
            </w:r>
          </w:p>
          <w:p w14:paraId="32506ED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52B87B4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796</w:t>
            </w:r>
          </w:p>
          <w:p w14:paraId="0A5F335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C9EB628" w14:textId="77777777">
        <w:trPr>
          <w:trHeight w:val="221"/>
        </w:trPr>
        <w:tc>
          <w:tcPr>
            <w:tcW w:w="2362" w:type="dxa"/>
            <w:tcBorders>
              <w:top w:val="single" w:sz="6" w:space="0" w:color="auto"/>
              <w:left w:val="single" w:sz="6" w:space="0" w:color="auto"/>
              <w:bottom w:val="single" w:sz="6" w:space="0" w:color="auto"/>
              <w:right w:val="single" w:sz="6" w:space="0" w:color="auto"/>
            </w:tcBorders>
          </w:tcPr>
          <w:p w14:paraId="37ED66B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1-й Украинский</w:t>
            </w:r>
          </w:p>
          <w:p w14:paraId="298B11A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5731841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9540</w:t>
            </w:r>
          </w:p>
          <w:p w14:paraId="21A6592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5B7EAD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1228</w:t>
            </w:r>
          </w:p>
          <w:p w14:paraId="7BBA001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9A364F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2222</w:t>
            </w:r>
          </w:p>
          <w:p w14:paraId="7C64A76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3C76EE3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670</w:t>
            </w:r>
          </w:p>
          <w:p w14:paraId="399C844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448B4D4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3116</w:t>
            </w:r>
          </w:p>
          <w:p w14:paraId="2F21043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20ACC21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1050</w:t>
            </w:r>
          </w:p>
          <w:p w14:paraId="1E9F116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576C3BF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1254</w:t>
            </w:r>
          </w:p>
          <w:p w14:paraId="6E465E5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07AECB3" w14:textId="77777777">
        <w:trPr>
          <w:trHeight w:val="240"/>
        </w:trPr>
        <w:tc>
          <w:tcPr>
            <w:tcW w:w="2362" w:type="dxa"/>
            <w:tcBorders>
              <w:top w:val="single" w:sz="6" w:space="0" w:color="auto"/>
              <w:left w:val="single" w:sz="6" w:space="0" w:color="auto"/>
              <w:bottom w:val="single" w:sz="6" w:space="0" w:color="auto"/>
              <w:right w:val="single" w:sz="6" w:space="0" w:color="auto"/>
            </w:tcBorders>
          </w:tcPr>
          <w:p w14:paraId="0FBEE1F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2-й Украинский</w:t>
            </w:r>
          </w:p>
          <w:p w14:paraId="28F08F5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2FB89E3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7868</w:t>
            </w:r>
          </w:p>
          <w:p w14:paraId="589A0C4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8D6D6E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1144</w:t>
            </w:r>
          </w:p>
          <w:p w14:paraId="54FEB86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AF51D8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1339</w:t>
            </w:r>
          </w:p>
          <w:p w14:paraId="3879F91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3A56B52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405</w:t>
            </w:r>
          </w:p>
          <w:p w14:paraId="2B70C7C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20ABF32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2664</w:t>
            </w:r>
          </w:p>
          <w:p w14:paraId="7F9B25C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7E055FF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881</w:t>
            </w:r>
          </w:p>
          <w:p w14:paraId="2F3F7FB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32145CF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1435</w:t>
            </w:r>
          </w:p>
          <w:p w14:paraId="52401BE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BFD6F19" w14:textId="77777777">
        <w:trPr>
          <w:trHeight w:val="221"/>
        </w:trPr>
        <w:tc>
          <w:tcPr>
            <w:tcW w:w="2362" w:type="dxa"/>
            <w:tcBorders>
              <w:top w:val="single" w:sz="6" w:space="0" w:color="auto"/>
              <w:left w:val="single" w:sz="6" w:space="0" w:color="auto"/>
              <w:bottom w:val="single" w:sz="6" w:space="0" w:color="auto"/>
              <w:right w:val="single" w:sz="6" w:space="0" w:color="auto"/>
            </w:tcBorders>
          </w:tcPr>
          <w:p w14:paraId="06D72D9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3-й Украинский</w:t>
            </w:r>
          </w:p>
          <w:p w14:paraId="07FD249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1572A52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3627</w:t>
            </w:r>
          </w:p>
          <w:p w14:paraId="6A3723B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061474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656</w:t>
            </w:r>
          </w:p>
          <w:p w14:paraId="0EF86EA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BB89EF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665</w:t>
            </w:r>
          </w:p>
          <w:p w14:paraId="24B6E4A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176E0D9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347</w:t>
            </w:r>
          </w:p>
          <w:p w14:paraId="740B510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7130AC8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1072</w:t>
            </w:r>
          </w:p>
          <w:p w14:paraId="73584E7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1DC678A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601</w:t>
            </w:r>
          </w:p>
          <w:p w14:paraId="620F87A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08D38AC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286</w:t>
            </w:r>
          </w:p>
          <w:p w14:paraId="367FB2D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20364E4" w14:textId="77777777">
        <w:trPr>
          <w:trHeight w:val="230"/>
        </w:trPr>
        <w:tc>
          <w:tcPr>
            <w:tcW w:w="2362" w:type="dxa"/>
            <w:tcBorders>
              <w:top w:val="single" w:sz="6" w:space="0" w:color="auto"/>
              <w:left w:val="single" w:sz="6" w:space="0" w:color="auto"/>
              <w:bottom w:val="single" w:sz="6" w:space="0" w:color="auto"/>
              <w:right w:val="single" w:sz="6" w:space="0" w:color="auto"/>
            </w:tcBorders>
          </w:tcPr>
          <w:p w14:paraId="249BEF5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4-й Украинский</w:t>
            </w:r>
          </w:p>
          <w:p w14:paraId="0D3AC87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23290C2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6445</w:t>
            </w:r>
          </w:p>
          <w:p w14:paraId="78C3A08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3F2915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753</w:t>
            </w:r>
          </w:p>
          <w:p w14:paraId="0BBEB44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E16394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1559</w:t>
            </w:r>
          </w:p>
          <w:p w14:paraId="259FD81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0032DEC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608</w:t>
            </w:r>
          </w:p>
          <w:p w14:paraId="3A983C2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7D4853D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2188</w:t>
            </w:r>
          </w:p>
          <w:p w14:paraId="5AC49B9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4391FD3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624</w:t>
            </w:r>
          </w:p>
          <w:p w14:paraId="52AD2A5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583EE86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713</w:t>
            </w:r>
          </w:p>
          <w:p w14:paraId="0066C79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B9C8206" w14:textId="77777777">
        <w:trPr>
          <w:trHeight w:val="230"/>
        </w:trPr>
        <w:tc>
          <w:tcPr>
            <w:tcW w:w="2362" w:type="dxa"/>
            <w:tcBorders>
              <w:top w:val="single" w:sz="6" w:space="0" w:color="auto"/>
              <w:left w:val="single" w:sz="6" w:space="0" w:color="auto"/>
              <w:bottom w:val="single" w:sz="6" w:space="0" w:color="auto"/>
              <w:right w:val="single" w:sz="6" w:space="0" w:color="auto"/>
            </w:tcBorders>
          </w:tcPr>
          <w:p w14:paraId="5742366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Закавказский</w:t>
            </w:r>
          </w:p>
          <w:p w14:paraId="222ED34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796BD64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3637</w:t>
            </w:r>
          </w:p>
          <w:p w14:paraId="390773C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DF2406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96</w:t>
            </w:r>
          </w:p>
          <w:p w14:paraId="019ECEA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46B692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526</w:t>
            </w:r>
          </w:p>
          <w:p w14:paraId="67AD369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7B13F9B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338</w:t>
            </w:r>
          </w:p>
          <w:p w14:paraId="48610BB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4E0C85D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1814</w:t>
            </w:r>
          </w:p>
          <w:p w14:paraId="5178433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0DB70C8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84</w:t>
            </w:r>
          </w:p>
          <w:p w14:paraId="4267E9A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277AE93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779</w:t>
            </w:r>
          </w:p>
          <w:p w14:paraId="31516BA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2A7C7C9" w14:textId="77777777">
        <w:trPr>
          <w:trHeight w:val="230"/>
        </w:trPr>
        <w:tc>
          <w:tcPr>
            <w:tcW w:w="2362" w:type="dxa"/>
            <w:tcBorders>
              <w:top w:val="single" w:sz="6" w:space="0" w:color="auto"/>
              <w:left w:val="single" w:sz="6" w:space="0" w:color="auto"/>
              <w:bottom w:val="single" w:sz="6" w:space="0" w:color="auto"/>
              <w:right w:val="single" w:sz="6" w:space="0" w:color="auto"/>
            </w:tcBorders>
          </w:tcPr>
          <w:p w14:paraId="5E34E02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Резервные армии</w:t>
            </w:r>
          </w:p>
          <w:p w14:paraId="2D88B01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6FD8D78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10555</w:t>
            </w:r>
          </w:p>
          <w:p w14:paraId="6CD0EFB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68A318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521</w:t>
            </w:r>
          </w:p>
          <w:p w14:paraId="1E9BCCD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A0ED73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1012</w:t>
            </w:r>
          </w:p>
          <w:p w14:paraId="0662EA7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1BC8B0E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669</w:t>
            </w:r>
          </w:p>
          <w:p w14:paraId="7D36EB5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3EF0A5D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554</w:t>
            </w:r>
          </w:p>
          <w:p w14:paraId="31169BD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4B65818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350</w:t>
            </w:r>
          </w:p>
          <w:p w14:paraId="10275D5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5134435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7449</w:t>
            </w:r>
          </w:p>
          <w:p w14:paraId="5D07788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D4F8886" w14:textId="77777777">
        <w:trPr>
          <w:trHeight w:val="432"/>
        </w:trPr>
        <w:tc>
          <w:tcPr>
            <w:tcW w:w="2362" w:type="dxa"/>
            <w:tcBorders>
              <w:top w:val="single" w:sz="6" w:space="0" w:color="auto"/>
              <w:left w:val="single" w:sz="6" w:space="0" w:color="auto"/>
              <w:bottom w:val="single" w:sz="6" w:space="0" w:color="auto"/>
              <w:right w:val="single" w:sz="6" w:space="0" w:color="auto"/>
            </w:tcBorders>
          </w:tcPr>
          <w:p w14:paraId="79A81D5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Итого по фронтам Итого по округам</w:t>
            </w:r>
          </w:p>
          <w:p w14:paraId="417AA31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18CEBBE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66977 9879</w:t>
            </w:r>
          </w:p>
          <w:p w14:paraId="4E0ABED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D4833F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8191 1087</w:t>
            </w:r>
          </w:p>
          <w:p w14:paraId="25FE803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F89B6F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11633 2435</w:t>
            </w:r>
          </w:p>
          <w:p w14:paraId="513DEF2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00CDD4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5364 1355</w:t>
            </w:r>
          </w:p>
          <w:p w14:paraId="1891970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245CB8A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19766 2278</w:t>
            </w:r>
          </w:p>
          <w:p w14:paraId="1424738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556FBC0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6332 601</w:t>
            </w:r>
          </w:p>
          <w:p w14:paraId="3A8C6FA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38A3DB6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15691 2123</w:t>
            </w:r>
          </w:p>
          <w:p w14:paraId="01246BF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9CACDA4" w14:textId="77777777">
        <w:trPr>
          <w:trHeight w:val="250"/>
        </w:trPr>
        <w:tc>
          <w:tcPr>
            <w:tcW w:w="2362" w:type="dxa"/>
            <w:tcBorders>
              <w:top w:val="single" w:sz="6" w:space="0" w:color="auto"/>
              <w:left w:val="single" w:sz="6" w:space="0" w:color="auto"/>
              <w:bottom w:val="single" w:sz="6" w:space="0" w:color="auto"/>
              <w:right w:val="single" w:sz="6" w:space="0" w:color="auto"/>
            </w:tcBorders>
          </w:tcPr>
          <w:p w14:paraId="1F355EB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Итого по Красной Армии</w:t>
            </w:r>
          </w:p>
          <w:p w14:paraId="5D7E5B6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53866E7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76856</w:t>
            </w:r>
          </w:p>
          <w:p w14:paraId="6748AD7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A3366B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9278</w:t>
            </w:r>
          </w:p>
          <w:p w14:paraId="50F8C5C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2C79BA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14068</w:t>
            </w:r>
          </w:p>
          <w:p w14:paraId="6EAB89B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5CF444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6719</w:t>
            </w:r>
          </w:p>
          <w:p w14:paraId="3B7AB84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6DFB370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22044</w:t>
            </w:r>
          </w:p>
          <w:p w14:paraId="597B083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5FF63B5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6933</w:t>
            </w:r>
          </w:p>
          <w:p w14:paraId="0450000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0C1EE57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17814</w:t>
            </w:r>
          </w:p>
          <w:p w14:paraId="1854D70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443FBDB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2 отдела РУ ГАВТУ КА инженер-полковник Васильев</w:t>
      </w:r>
    </w:p>
    <w:p w14:paraId="5C5E8EC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41. Оп. 11580. Д. 148. Л. 38. Подлинник (11403).</w:t>
      </w:r>
    </w:p>
    <w:p w14:paraId="3297DB4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06C33597"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февраля 1944 под Корсунем Красной армией окружено до 60 тыс. немецких солдат (4962).</w:t>
      </w:r>
    </w:p>
    <w:p w14:paraId="09EBA7B1"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08CEFD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3 февраля 1944 1 и 2УФ завершили окружение 10 немецких дивизий и одной бригады под Корсунь-Шевченковским. Соединились под Звенигородкой и создали внутренний и внешний фронты окружения. Авиация действовала в трудных погодных условиях. Оттепель вывела из строя аэродромы. В ВА осталось по 2-3 действующих с 50-100 машинами. Тем не менее, с 29 января по 3 февраля выполнили 2800 вылета, а немцы вдвое меньше. Ил-2 широко применяли ПТАБ. Летали и </w:t>
      </w:r>
      <w:r w:rsidRPr="007224C3">
        <w:rPr>
          <w:rFonts w:ascii="Times New Roman" w:hAnsi="Times New Roman"/>
          <w:color w:val="000000" w:themeColor="text1"/>
          <w:sz w:val="16"/>
          <w:szCs w:val="16"/>
        </w:rPr>
        <w:lastRenderedPageBreak/>
        <w:t>У-2 (340,163).</w:t>
      </w:r>
    </w:p>
    <w:p w14:paraId="29DAE4D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894FF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февраля 1944 мл-л А.Д.Шурганов, который штурмовал скопление танков и автомашин в районе Таганча, был подбит и направил горящую машину в это скопление (430,187).</w:t>
      </w:r>
    </w:p>
    <w:p w14:paraId="27CC898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C3A8C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rPr>
        <w:t>3 февраля 1944 ст-л Суриков в ходе свободной охоты в паре с ведомым обнаружил 2 группы - 16 транспортных самолетов в сопровождении 6-10 и, которые уже садились. Вызвалипорадиоииуничтожили</w:t>
      </w:r>
      <w:r w:rsidRPr="007224C3">
        <w:rPr>
          <w:rFonts w:ascii="Times New Roman" w:hAnsi="Times New Roman"/>
          <w:color w:val="000000" w:themeColor="text1"/>
          <w:sz w:val="16"/>
          <w:szCs w:val="16"/>
          <w:lang w:val="en-US"/>
        </w:rPr>
        <w:t xml:space="preserve"> 9 </w:t>
      </w:r>
      <w:r w:rsidRPr="007224C3">
        <w:rPr>
          <w:rFonts w:ascii="Times New Roman" w:hAnsi="Times New Roman"/>
          <w:color w:val="000000" w:themeColor="text1"/>
          <w:sz w:val="16"/>
          <w:szCs w:val="16"/>
        </w:rPr>
        <w:t>транспортныхи</w:t>
      </w:r>
      <w:r w:rsidRPr="007224C3">
        <w:rPr>
          <w:rFonts w:ascii="Times New Roman" w:hAnsi="Times New Roman"/>
          <w:color w:val="000000" w:themeColor="text1"/>
          <w:sz w:val="16"/>
          <w:szCs w:val="16"/>
          <w:lang w:val="en-US"/>
        </w:rPr>
        <w:t xml:space="preserve"> 6 </w:t>
      </w:r>
      <w:r w:rsidRPr="007224C3">
        <w:rPr>
          <w:rFonts w:ascii="Times New Roman" w:hAnsi="Times New Roman"/>
          <w:color w:val="000000" w:themeColor="text1"/>
          <w:sz w:val="16"/>
          <w:szCs w:val="16"/>
        </w:rPr>
        <w:t>и</w:t>
      </w:r>
      <w:r w:rsidRPr="007224C3">
        <w:rPr>
          <w:rFonts w:ascii="Times New Roman" w:hAnsi="Times New Roman"/>
          <w:color w:val="000000" w:themeColor="text1"/>
          <w:sz w:val="16"/>
          <w:szCs w:val="16"/>
          <w:lang w:val="en-US"/>
        </w:rPr>
        <w:t xml:space="preserve"> (430,186).</w:t>
      </w:r>
    </w:p>
    <w:p w14:paraId="292E936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AD926A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February 3, 1944: In the East, the beginning of renewed defensive battles against Soviet forces in the area of Vitebsk (3819).</w:t>
      </w:r>
    </w:p>
    <w:p w14:paraId="77AE131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C1F3B9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февраля 1944 возобновились оборонительные бои немецких частей под Витебском (3819).</w:t>
      </w:r>
    </w:p>
    <w:p w14:paraId="053DC86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3EDCD5"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Внешняя политика:</w:t>
      </w:r>
    </w:p>
    <w:p w14:paraId="3CAAAC0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A972BF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февраля 1944 Ф.Д.Р. сообщил, что итальянский флот будет разделен между США, Великобританией и СССР (1064).</w:t>
      </w:r>
    </w:p>
    <w:p w14:paraId="147D7F6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8CD3B4"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0EA278F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A071D4F" w14:textId="77777777" w:rsidR="00DA3A86" w:rsidRPr="007224C3" w:rsidRDefault="00DA3A86"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3 февраля</w:t>
      </w:r>
      <w:r w:rsidRPr="007224C3">
        <w:rPr>
          <w:rFonts w:ascii="Times New Roman" w:hAnsi="Times New Roman"/>
          <w:color w:val="000000" w:themeColor="text1"/>
          <w:sz w:val="16"/>
          <w:szCs w:val="16"/>
        </w:rPr>
        <w:t xml:space="preserve"> в 1944 году проведены первые стрельбы экзотического оружия - револьверной, вращающейся пусковой установки для 210-мм ракет «Wurf Granat 210» на легком бомбардировщике </w:t>
      </w:r>
      <w:hyperlink r:id="rId33" w:tgtFrame="_blank" w:history="1">
        <w:r w:rsidRPr="007224C3">
          <w:rPr>
            <w:rFonts w:ascii="Times New Roman" w:hAnsi="Times New Roman"/>
            <w:color w:val="000000" w:themeColor="text1"/>
            <w:sz w:val="16"/>
            <w:szCs w:val="16"/>
          </w:rPr>
          <w:t xml:space="preserve">«Ме-410А-1» (W.Nr.1050). </w:t>
        </w:r>
      </w:hyperlink>
      <w:r w:rsidRPr="007224C3">
        <w:rPr>
          <w:rFonts w:ascii="Times New Roman" w:hAnsi="Times New Roman"/>
          <w:color w:val="000000" w:themeColor="text1"/>
          <w:sz w:val="16"/>
          <w:szCs w:val="16"/>
        </w:rPr>
        <w:t>Одна из пусковых установок выступала за контур фюзеляжа. За счет быстрого поворота барабана все шесть ракет можно было выпустить за один заход. Стрельбы оказались неудачными - планер получил серьезные повреждения. Правда, доводка этого образца продолжилась. Ее удалось поставить еще на нескольких самолетах для проведения войсковых испытаний (15029).</w:t>
      </w:r>
    </w:p>
    <w:p w14:paraId="4DFC0C0E" w14:textId="77777777" w:rsidR="00DA3A86" w:rsidRPr="007224C3" w:rsidRDefault="00DA3A86" w:rsidP="007224C3">
      <w:pPr>
        <w:spacing w:after="0" w:line="240" w:lineRule="auto"/>
        <w:jc w:val="both"/>
        <w:rPr>
          <w:rFonts w:ascii="Times New Roman" w:hAnsi="Times New Roman"/>
          <w:color w:val="000000" w:themeColor="text1"/>
          <w:sz w:val="16"/>
          <w:szCs w:val="16"/>
        </w:rPr>
      </w:pPr>
    </w:p>
    <w:p w14:paraId="5967634E" w14:textId="77777777" w:rsidR="00DA3A86" w:rsidRPr="007224C3" w:rsidRDefault="00DA3A86"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3 февраля</w:t>
      </w:r>
      <w:r w:rsidRPr="007224C3">
        <w:rPr>
          <w:rFonts w:ascii="Times New Roman" w:hAnsi="Times New Roman"/>
          <w:color w:val="000000" w:themeColor="text1"/>
          <w:sz w:val="16"/>
          <w:szCs w:val="16"/>
        </w:rPr>
        <w:t xml:space="preserve"> в 1944 году первый полёт третьего прототипа ночного всепогодного истребителя </w:t>
      </w:r>
      <w:hyperlink r:id="rId34" w:tgtFrame="_blank" w:history="1">
        <w:r w:rsidRPr="007224C3">
          <w:rPr>
            <w:rFonts w:ascii="Times New Roman" w:hAnsi="Times New Roman"/>
            <w:color w:val="000000" w:themeColor="text1"/>
            <w:sz w:val="16"/>
            <w:szCs w:val="16"/>
          </w:rPr>
          <w:t xml:space="preserve">«Ta-154V-3» </w:t>
        </w:r>
      </w:hyperlink>
      <w:r w:rsidRPr="007224C3">
        <w:rPr>
          <w:rFonts w:ascii="Times New Roman" w:hAnsi="Times New Roman"/>
          <w:color w:val="000000" w:themeColor="text1"/>
          <w:sz w:val="16"/>
          <w:szCs w:val="16"/>
        </w:rPr>
        <w:t>(сер. № 0003, бортовой код TE+FG), (компания «Focke-Wulf», Германия). В качестве силовой установки сохранили «Jumo211F», а позднее их сменили на 1500-сильные «Jumo211N». На самолёте установили пламегасители, РЛС «FuG212» и четыре 20-мм пушки 2MG151/20E» с боекомплектом. Установка оружия привела к увеличению взлетной массы до 8700 кг, что очень быстро выявили заводские испытания. Помимо оружия "тройка" отличалась от предыдущих прототипов новым килем большей площади, потребовавшимся для компенсации потери устойчивости, вызванной установкой антенной системы типа Hirschgewein (оленьи рога) РЛС «FuG220» "Лихтенштейн SN-2", которую смонтировали вместо «FuG212» в первых числах февраля 1944 года (15029).</w:t>
      </w:r>
    </w:p>
    <w:p w14:paraId="6E598897" w14:textId="77777777" w:rsidR="00DA3A86" w:rsidRPr="007224C3" w:rsidRDefault="00DA3A86" w:rsidP="007224C3">
      <w:pPr>
        <w:spacing w:after="0" w:line="240" w:lineRule="auto"/>
        <w:jc w:val="both"/>
        <w:rPr>
          <w:rFonts w:ascii="Times New Roman" w:hAnsi="Times New Roman"/>
          <w:color w:val="000000" w:themeColor="text1"/>
          <w:sz w:val="16"/>
          <w:szCs w:val="16"/>
        </w:rPr>
      </w:pPr>
    </w:p>
    <w:p w14:paraId="30428092" w14:textId="77777777" w:rsidR="00D8403C" w:rsidRPr="007224C3" w:rsidRDefault="00D8403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3 февраля 1944 864 бомбардировщика 8-й воздушной армии совершили налет на портовый район Вильгельмсхафена, Германия, и цели в Эмдене , Германия, в сопровождении 632 истребителя. Четыре бомбардировщика и девять истребителей потеряны. Вместе бомбардировщики и истребители утверждают, что восемь немецких самолетов сбиты, один, вероятно, сбит и три повреждены (20373).</w:t>
      </w:r>
    </w:p>
    <w:p w14:paraId="024B356A" w14:textId="77777777" w:rsidR="00D8403C" w:rsidRPr="007224C3" w:rsidRDefault="00D8403C" w:rsidP="007224C3">
      <w:pPr>
        <w:spacing w:after="0" w:line="240" w:lineRule="auto"/>
        <w:jc w:val="both"/>
        <w:rPr>
          <w:rFonts w:ascii="Times New Roman" w:hAnsi="Times New Roman"/>
          <w:color w:val="0070C0"/>
          <w:sz w:val="16"/>
          <w:szCs w:val="16"/>
        </w:rPr>
      </w:pPr>
    </w:p>
    <w:p w14:paraId="096597C7" w14:textId="77777777" w:rsidR="00D8403C" w:rsidRPr="007224C3" w:rsidRDefault="00D8403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3 февраля 1944 оперативная группа 58 ВМС США завершает поддержку наземных операций на острове Кваджалейн и Рой-Намюр (20373).</w:t>
      </w:r>
    </w:p>
    <w:p w14:paraId="197C6B7C" w14:textId="77777777" w:rsidR="00D8403C" w:rsidRPr="007224C3" w:rsidRDefault="00D8403C" w:rsidP="007224C3">
      <w:pPr>
        <w:spacing w:after="0" w:line="240" w:lineRule="auto"/>
        <w:jc w:val="both"/>
        <w:rPr>
          <w:rFonts w:ascii="Times New Roman" w:hAnsi="Times New Roman"/>
          <w:color w:val="0070C0"/>
          <w:sz w:val="16"/>
          <w:szCs w:val="16"/>
        </w:rPr>
      </w:pPr>
    </w:p>
    <w:p w14:paraId="7BDA003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февраля 1944 американцы впервые вступили на японскую землю, высадившись на Курилах (2100).</w:t>
      </w:r>
    </w:p>
    <w:p w14:paraId="7547257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74CD8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February 03 Fri. 1944 President announces that the Italian Fleet will be distributed among the United States, Great Britain, and Russia (1064).</w:t>
      </w:r>
    </w:p>
    <w:p w14:paraId="2CFC72C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BCD115D"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3520166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B07F30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февраля 1944 года вышел приказ № 67 НКАП</w:t>
      </w:r>
    </w:p>
    <w:p w14:paraId="6B03920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Директору завода № 153 в Новосибирске принять здание, оборудование и инвентарь филиала ЦАГИ в Новосибирске, использовав его под лабораторный корпус (8938).</w:t>
      </w:r>
    </w:p>
    <w:p w14:paraId="03054C9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580C0D"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35D34EB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67F233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февраля 1944 г. вышло ПРИКАЗАНИЕ НАЧАЛЬНИКА ШТАБА ГАВТУ КА НАЧАЛЬНИКАМ УПРАВЛЕНИЙ О ПОПУЛЯРИЗАЦИИ АВТОМОБИЛЬНОЙ СЛУЖБЫ № 223-а</w:t>
      </w:r>
    </w:p>
    <w:p w14:paraId="5677987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целях пропаганды и правильного понимания основ автомобильной службы, вопросов пра</w:t>
      </w:r>
      <w:r w:rsidRPr="007224C3">
        <w:rPr>
          <w:rFonts w:ascii="Times New Roman" w:hAnsi="Times New Roman"/>
          <w:color w:val="000000" w:themeColor="text1"/>
          <w:sz w:val="16"/>
          <w:szCs w:val="16"/>
        </w:rPr>
        <w:softHyphen/>
        <w:t>вильной эксплуатации, профилактики, порядка и методов ремонта, способов устранения неисправ</w:t>
      </w:r>
      <w:r w:rsidRPr="007224C3">
        <w:rPr>
          <w:rFonts w:ascii="Times New Roman" w:hAnsi="Times New Roman"/>
          <w:color w:val="000000" w:themeColor="text1"/>
          <w:sz w:val="16"/>
          <w:szCs w:val="16"/>
        </w:rPr>
        <w:softHyphen/>
        <w:t>ности автомашин, а также организации и перевозки грузов и войск и методики подготовки автомо</w:t>
      </w:r>
      <w:r w:rsidRPr="007224C3">
        <w:rPr>
          <w:rFonts w:ascii="Times New Roman" w:hAnsi="Times New Roman"/>
          <w:color w:val="000000" w:themeColor="text1"/>
          <w:sz w:val="16"/>
          <w:szCs w:val="16"/>
        </w:rPr>
        <w:softHyphen/>
        <w:t>бильно-технических кадров начальник Главного автомобильного управления Красной Армии гене</w:t>
      </w:r>
      <w:r w:rsidRPr="007224C3">
        <w:rPr>
          <w:rFonts w:ascii="Times New Roman" w:hAnsi="Times New Roman"/>
          <w:color w:val="000000" w:themeColor="text1"/>
          <w:sz w:val="16"/>
          <w:szCs w:val="16"/>
        </w:rPr>
        <w:softHyphen/>
        <w:t>рал-лейтенант т. Тягунов ПРИКАЗАЛ:</w:t>
      </w:r>
    </w:p>
    <w:p w14:paraId="452063F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Проработать и составить статьи в периодическую печать (газеты «Правда», «Красная звезда» и журналы «Автомобиль», «Бронетанковый» и «Тыл и снабжение»), по вопросам функциональных работ вверенного вам отдела, по вашему усмотрению.</w:t>
      </w:r>
    </w:p>
    <w:p w14:paraId="06A7118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К составлению статьи привлекать также ваших помощников.</w:t>
      </w:r>
    </w:p>
    <w:p w14:paraId="5258675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Статью передать зам. начальника штаба ГАВТУ КА в феврале-марте 1944 года.</w:t>
      </w:r>
    </w:p>
    <w:p w14:paraId="24818C1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Название выбранной темы для статьи и сроки представления ее доложить пом. начальника штаба ГАВТУ КА не позднее 10 февраля 1944 года.</w:t>
      </w:r>
    </w:p>
    <w:p w14:paraId="18E8F2A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штаба ГАВТУ КА генерал-майор Мизонов</w:t>
      </w:r>
    </w:p>
    <w:p w14:paraId="3BB1BA6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41. Оп, 11583. Д. 22. Л. 6. Подлинник (11420).</w:t>
      </w:r>
    </w:p>
    <w:p w14:paraId="2C48AAB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C9987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февраля 1944 Заложен 21-й БМО (10671).</w:t>
      </w:r>
    </w:p>
    <w:p w14:paraId="22EA648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15201093"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0A28965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21C779F" w14:textId="77777777" w:rsidR="00B862BC" w:rsidRPr="007224C3" w:rsidRDefault="00B862BC"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4 февраля</w:t>
      </w:r>
      <w:r w:rsidRPr="007224C3">
        <w:rPr>
          <w:rFonts w:ascii="Times New Roman" w:hAnsi="Times New Roman"/>
          <w:color w:val="000000" w:themeColor="text1"/>
          <w:sz w:val="16"/>
          <w:szCs w:val="16"/>
        </w:rPr>
        <w:t xml:space="preserve"> в 1944 году оперативная сводка Совинформбюро:</w:t>
      </w:r>
    </w:p>
    <w:p w14:paraId="2925FDCF" w14:textId="77777777" w:rsidR="00B862BC" w:rsidRPr="007224C3" w:rsidRDefault="00B862B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4 февраля на Нарвском направлении наши войска продолжали наступление и заняли несколько населённых пунктов. Нашими войсками полностью очищено от немцев побережье Финского залива до устья реки Нарва.</w:t>
      </w:r>
    </w:p>
    <w:p w14:paraId="3186A905" w14:textId="77777777" w:rsidR="00B862BC" w:rsidRPr="007224C3" w:rsidRDefault="00B862B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Наши войска, наступающие вдоль побережья Чудского озера и к востоку от него, заняли ряд населённых пунктов.</w:t>
      </w:r>
    </w:p>
    <w:p w14:paraId="160EEED9" w14:textId="77777777" w:rsidR="00B862BC" w:rsidRPr="007224C3" w:rsidRDefault="00B862B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Южнее Сиверский наши войска с боями продвигались вперёд и заняли населённые пункты Мхи, Владычкино, Лужки и железнодорожные станции Низовский, Мшинская.</w:t>
      </w:r>
    </w:p>
    <w:p w14:paraId="55EDBFFD" w14:textId="77777777" w:rsidR="00B862BC" w:rsidRPr="007224C3" w:rsidRDefault="00B862B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Любань наши войска, преодолевая инженерные заграждения противника на лесных дорогах, с боями продвигались вперёд и заняли населённые пункты Поддубье, Язвинка, Куболово, Пустое Рыдно, Замежье, Березницы, Заручье, Веряжино, Замостье, Березно, Вольные Кусони. Нашими войсками полностью очищенаот противника железная дорога Новгород—Ленинград.</w:t>
      </w:r>
    </w:p>
    <w:p w14:paraId="1CEB3FDA" w14:textId="77777777" w:rsidR="00B862BC" w:rsidRPr="007224C3" w:rsidRDefault="00B862B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Новгорода наши войска, преодолевая сопротивление и контратаки противника, продолжали вести наступательные бои и заняли несколько населённых пунктов.</w:t>
      </w:r>
    </w:p>
    <w:p w14:paraId="07FD5A1A" w14:textId="77777777" w:rsidR="00B862BC" w:rsidRPr="007224C3" w:rsidRDefault="00B862B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Севернее Звенигородка и Шпола наши войска продолжали вести бои по уничтожению окружённой группировки противника и заняли населённые пункты Малый Ржавец, Гамарня, Кононочь, Хмельна, Михайловка, Мошны, Вороновка. Наша авиация на этом участке фронта вела успешную борьбу с транспортными самолётами противника, сбив при этом в воздухе 13 и уничтожив на посадочных площадках 60 трехмоторный транспортных самолётов «Ю-52».</w:t>
      </w:r>
    </w:p>
    <w:p w14:paraId="1D764B00" w14:textId="77777777" w:rsidR="00B862BC" w:rsidRPr="007224C3" w:rsidRDefault="00B862B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3 февраля наши войска на всех фронтах подбили и уничтожили 78 немецких танков. В воздушных боях и огнём зенитной артиллерии сбито 43 самолёта противника и, кроме этого, 60 самолётов уничтожено на посадочных площадках.</w:t>
      </w:r>
    </w:p>
    <w:p w14:paraId="5E27F146" w14:textId="77777777" w:rsidR="00B862BC" w:rsidRPr="007224C3" w:rsidRDefault="00B862B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Нарвском направлении наши войска, продвигаясь вперёд, полностью очистили от немцев побережье Финского залива до устья реки Нарва. Бойцы Н-ской части смелым обходным манёвром блокировали опорный пункт противника и в ожесточённом бою уничтожили батальон немецкой пехоты. Захвачены трофеи, в числе которых 4 исправных танка. В этом же районе наши бойцы освободили группу жителей Эстонской Советской республики, насильно мобилизованных немцами на строительство оборонительных рубежей.</w:t>
      </w:r>
    </w:p>
    <w:p w14:paraId="3D600610" w14:textId="77777777" w:rsidR="00B862BC" w:rsidRPr="007224C3" w:rsidRDefault="00B862B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Наши войска, наступающие вдоль побережья Чудского озера и к востоку от него, овладели рядом населённых пунктов. Советские части, действуя совместно с партизанами, громят вражеские опорные пункты и наносят немцам большой урон. За день боёв истреблено 1.200 солдат и офицеров противника. Овладев одним населённым пунктом, советские бойцы взяли в плен свыше 300 немецких солдат и офицеров.</w:t>
      </w:r>
    </w:p>
    <w:p w14:paraId="27D5626A" w14:textId="77777777" w:rsidR="00B862BC" w:rsidRPr="007224C3" w:rsidRDefault="00B862B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Южнее станции Сиверский наши войска с боями заняли несколько населенных пунктов и железнодорожные станции Низовский и Мшинская. Н-ская танковая часть, быстро продвигаясь вперёд, атаковала вражескую автоколонну. Советские танкисты уничтожили 40 автомашин с военными грузами и истребили роту немецких автоматчиков, сопровождавших эту колонну. На другом участке наши бойцы вышли в тыл отступавшим гитлеровцам. Ружейно-пулемётным огнём противник был рассеян, оставив на дороге 220 трупов своих солдат и офицеров. Немцы бросили 7 орудий и несколько тяжёлых миномётов с полным комплектом боеприпасов.</w:t>
      </w:r>
    </w:p>
    <w:p w14:paraId="402D44BD" w14:textId="77777777" w:rsidR="00B862BC" w:rsidRPr="007224C3" w:rsidRDefault="00B862B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Новгорода противник, стремясь задержать наступление советских частей, предпринял несколько контратак. Наши части отбили контратаки гитлеровцев и, продвигаясь вперёд, заняли несколько населённых пунктов. Уничтожено 600 вражеских солдат и офицеров, сожжено и подбито 9 немецких танков и самоходных орудий.</w:t>
      </w:r>
    </w:p>
    <w:p w14:paraId="23B2E466" w14:textId="77777777" w:rsidR="00B862BC" w:rsidRPr="007224C3" w:rsidRDefault="00B862B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Севернее городов Звенигородка и Шпола наши войска вели бои по уничтожению окружённой группировки противника. Немцы контратаками пытаются нащупать слабое место и вырваться из окружения. Наши войска отбили все контратаки гитлеровцев и нанесли им большие потери в живой силе и технике. Части Н-ского соединения, сжимая кольцо окружения, выбили противника из ряда населённых пунктов. Уничтожено до 2 тысяч немецких солдат и офицеров. Другое наше соединение за день боёв уничтожило 26 танков и самоходных орудий и более 800 гитлеровцев. Немцы пытались извне оказать помощь своим окружённым войскам и предприняли танковую атаку. Советские артиллеристы и бронебойщики сожгли и подбили 32 немецких танкаи отбросили противника.</w:t>
      </w:r>
    </w:p>
    <w:p w14:paraId="20F0D973" w14:textId="77777777" w:rsidR="00B862BC" w:rsidRPr="007224C3" w:rsidRDefault="00B862B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Наша авиация блокирует с воздуха аэродромы и посадочные площадки в районе расположения окруженных немецких войск. Советские штурмовики и истребители 2 февраля встретили 16 транспортных самолётов «Юнкерс-52». В воздушном бою наши лётчики сбили 11 вражеских самолётов. Сегодня наша авиация перехватила большую группу немецких транспортных самолётов, летевших под охраной истребителей. Советские лётчики атаковали врага и в воздушном бою сбили 13 транспортных самолётов и 10 истребителей противника. Сегодня же в течение дня в районе окружённой группировки противника уничтожено на земле 60 немецких трехмоторных транспортных самолётов.</w:t>
      </w:r>
    </w:p>
    <w:p w14:paraId="52D2D3B0" w14:textId="77777777" w:rsidR="00B862BC" w:rsidRPr="007224C3" w:rsidRDefault="00B862B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Авиация Черноморского флота нанесла удар по караванам вражеских судов. Прямым попаданием бомб потоплены три транспорта общим водоизмещением в 4 тысячи тонн, одна баржа водоизмещением в тысячу тонн, одна десантная и две сухогрузных баржи противника.</w:t>
      </w:r>
    </w:p>
    <w:p w14:paraId="7D0FE8A4" w14:textId="77777777" w:rsidR="00B862BC" w:rsidRPr="007224C3" w:rsidRDefault="00B862B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Ленинградские партизанские отрады в течение одной ночи захватили несколько железнодорожных станций и разъездов в тылу противника. Советские патриоты взорвали 4.500 рельсов, 3 железнодорожных моста и вырезали десятки километров телеграфно-телефонной линии связи. В ходе этой операции партизаны взорвали 3немецких эшелона с техникой и военным имуществом и истребили свыше 400 гитлеровцев. Партизаны держат два железнодорожных участка под своим контролем и не дают немцам восстановить движение поездов.» (15030).</w:t>
      </w:r>
    </w:p>
    <w:p w14:paraId="665CD662" w14:textId="77777777" w:rsidR="00B862BC" w:rsidRPr="007224C3" w:rsidRDefault="00B862BC" w:rsidP="007224C3">
      <w:pPr>
        <w:spacing w:after="0" w:line="240" w:lineRule="auto"/>
        <w:jc w:val="both"/>
        <w:rPr>
          <w:rFonts w:ascii="Times New Roman" w:hAnsi="Times New Roman"/>
          <w:color w:val="000000" w:themeColor="text1"/>
          <w:sz w:val="16"/>
          <w:szCs w:val="16"/>
        </w:rPr>
      </w:pPr>
    </w:p>
    <w:p w14:paraId="129962B8" w14:textId="77777777" w:rsidR="00B862BC" w:rsidRPr="007224C3" w:rsidRDefault="00B862BC"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4 февраля</w:t>
      </w:r>
      <w:r w:rsidRPr="007224C3">
        <w:rPr>
          <w:rFonts w:ascii="Times New Roman" w:hAnsi="Times New Roman"/>
          <w:color w:val="000000" w:themeColor="text1"/>
          <w:sz w:val="16"/>
          <w:szCs w:val="16"/>
        </w:rPr>
        <w:t xml:space="preserve"> в 1944 году Ивану Никитовичу Кожедубу, лётчику-асу, присвоено звание Героя Советского Союза (первое) (15030).</w:t>
      </w:r>
    </w:p>
    <w:p w14:paraId="216CDCA6" w14:textId="77777777" w:rsidR="00B862BC" w:rsidRPr="007224C3" w:rsidRDefault="00B862BC" w:rsidP="007224C3">
      <w:pPr>
        <w:spacing w:after="0" w:line="240" w:lineRule="auto"/>
        <w:jc w:val="both"/>
        <w:rPr>
          <w:rFonts w:ascii="Times New Roman" w:hAnsi="Times New Roman"/>
          <w:color w:val="000000" w:themeColor="text1"/>
          <w:sz w:val="16"/>
          <w:szCs w:val="16"/>
        </w:rPr>
      </w:pPr>
    </w:p>
    <w:p w14:paraId="6859A1C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февраля 1944, когда под Корсунь-Шевченковским н танки вклинились во внешнюю оборону 53А 2УФ ш и артиллерия сорвали наступление. Это была 2ВА и она нанесла 2 удара. Немцы пробились в Лисянку, а окруженные войска - в Шендеровку. осталось всего 12 км (340,164).</w:t>
      </w:r>
    </w:p>
    <w:p w14:paraId="51A0F29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88534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февраля 1944 вышло Постановление ГКО № 5092 О строительстве командного пункта-убежища в районе гор. Киева. РГАНИР, Фонд ГКО, д. 205, лл. 1-2,3-5 (11012).</w:t>
      </w:r>
    </w:p>
    <w:p w14:paraId="56EF369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320D0A8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февраля, 23 мая и 28 июля 1944 Шпеер трижды посылал командованию Люфтваффе специальные меморандумы, снова и снова объясняя необходимость ударов по советским электростанциям. К Шпееру присоединился и один из лучших пилотов бомбардировочной авиации, оберет-лейтенант Вернер Баумбах, возглавивший в ноябре 1944 г. эскадру KG200. И наконец, в январе 1945 г. Гитлер отдал приказ о подготовке к операции, получившей кодовое наименование «Железный молот».</w:t>
      </w:r>
    </w:p>
    <w:p w14:paraId="3958C8B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План массированного удара по советским электростанциям в районе Москвы и Верхней Волги с помощью «чудо-оружия» созрел еще в 1944 г. Его активно продвигали профессор электротехники Штайнманн и рейхсминистр вооружений Альберт Шпеер. В качестве целей были выбраны 11 станций, работавших на угле и торфе и вырабатывавших электроэнергию и тепло: в Ярославле (две станции), в г. Комсомольске, в 40 км западнее Иваново, в Алексине, в Туле, в Кашире, в Шатуре, в Сталиногорске (ныне г. Новомосковск), в Балахне, в Горьком (Автозаводская ТЭЦ) и в Дзержинске (Игумновская ТЭЦ). Атаке также должны были подвергнуться две гидроэлектростанции в Рыбинске и Угличе. Общая мощность всех этих станций составляла около 1,5 млн кВт, или 60% от мощности всех электростанций Центрально-промышленного района СССР. Их разрушение привело бы к остановке большинства предприятий региона.</w:t>
      </w:r>
    </w:p>
    <w:p w14:paraId="1E17C8E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Германская авиация не имела стратегических бомбардировщиков, способных преодолевать расстояние в несколько тысяч километров и при этом нести достаточную бомбовую нагрузку. Поэтому для атаки советских электростанций Шпеер и Баумбах предложили использовать новое «чудо-оружие» – авиационный ударный комплекс «Мистел-2». Это был необычный летательный аппарат, представлявший собой связку двух самолетов. На фюзеляже беспилотного бомбардировщика Ju-88 на специальных стойках был закреплен истребитель FW-190, пилот которого при помощи электродистанционной системы управлял всем комплексом. «Мистел» имел ряд преимуществ по сравнению с обычным бомбардировщиком. Его пилоту не нужно было пролетать непосредственно над целью. Подойдя на дистанцию три-четыре километра, он на высоте 3000 м переводил комплекс в пологое пикирование. Поймав цель в прицел, летчик включал автопилот, удерживавший самолет-снаряд на выбранном курсе, а затем при помощи пиропатронов производил расцепку и уходил из зоны зенитного огня. В носовой части Ju-88 вместо кабины экипажа была установлена кумулятивная боеголовка с 1700 кг взрывчатки, пробивавшая броню толщиной 50 см или слой железобетона толщиной до 18 м и тем самым гарантировавшая уничтожение любых целей. В завершение пилот выполнял обратный полет на FW-190 и имел хорошие шансы уйти от вражеских истребителей. Каждую электростанцию должны были атаковать от трех до шести «Мистелов», главной целью которых были здания турбинных залов. В распоряжении летчиков были аэрофотоснимки и детальные трехмерные модели электростанций и окружающей местности. Кроме того, Штайнманн имел множество фотографий зданий турбинных залов, которые были сделаны с земли в различных погодных условиях и при различной освещенности. Их предоставила фирма «Сименс», которая в свое время изготавливала турбины для советских электростанций и чьи специалисты затем монтировали их, попутно снимая «на память» результаты своей работы. Не менее тщательно был разработан и маршрут полета к целям. В операции планировалось использовать 80 «Мистелов-2» и 150 цельфиндеров и разведчиков Ju-88, Ju-188, а также четырехмоторных Ju-290. Вся эта армада должна была взлететь с шести аэродромов в Северо-Восточной Германии в интервале между 16.00 и 19.00 в один из трех дней в конце марта, приходившихся на период полнолуния. Последнее обстоятельство было крайне важным, поскольку большая часть полета проходила в ночное время и яркая луна значительно облегчала ориентировку пилотов. Пройдя над Балтийским морем, Прибалтикой и Белоруссией, самолеты должны были достичь Смоленска. Дальше одна группа отворачивала на восток, чтобы атаковать электростанции в Алексине, Туле, Кашире и Сталиногорске, а оставшаяся и большая часть продолжала полет прежним курсом. Северо-западнее Москвы она разделялась еще на три группы: одна шла к Рыбинску, Ярославлю и Угличу, вторая – к Шатуре, а третья – к Горькому, Балахне и Дзержинску. По всей трассе самолеты-цельфиндеры в специальных контрольных точках должны были выстреливать сигнальные ракеты, облегчавшие пилотам «Мистелов» ориентировку. Общая протяженность перелета от аэродромов в районе Берлина до Горького составляла около 2250 км, и летчикам предстояло потратить восемь часов, чтобы преодолеть их. Самолеты должны были выйти к целям на рассвете. Предполагалось, что будут разрушены восемь из тринадцати электростанций. Это вызвало бы снижение объемов производства промышленности Центрально-промышленного района СССР на 40%.</w:t>
      </w:r>
    </w:p>
    <w:p w14:paraId="11830BE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 После атаки пилотам «Мистелов» теперь уже только на одних FW-190, а также экипажам цельфиндеров предстояло пролететь еще 1200 км до аэродромов в Латвии, где узкая 150-км полоса берега удерживалась группой армий «Курляндия». Запаса топлива едва хватало, и была высокая вероятность, что кому-то придется возвращаться пешком (11744).</w:t>
      </w:r>
    </w:p>
    <w:p w14:paraId="6B6C696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3915192B"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797364A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AE9594C" w14:textId="77777777" w:rsidR="00B862BC" w:rsidRPr="007224C3" w:rsidRDefault="00B862BC"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4 февраля</w:t>
      </w:r>
      <w:r w:rsidRPr="007224C3">
        <w:rPr>
          <w:rFonts w:ascii="Times New Roman" w:hAnsi="Times New Roman"/>
          <w:color w:val="000000" w:themeColor="text1"/>
          <w:sz w:val="16"/>
          <w:szCs w:val="16"/>
        </w:rPr>
        <w:t xml:space="preserve"> в 1944 году состоялся первый полет прототипа «ХВ-25Е», созданного на базе стандартного «North American» «B-25C/D» «Mitchell» (В-25С-10 № 42-32281) с дополнительной системой антиобледенения. Дело в том, что фронтовые машины постоянно сталкивались с обледенением машин. Проблема стояла так остро, что ее пришлось решать на уровне командования ВВС. Работы над прототипом начались зимой 1943 года в экспериментальном отделе NAA в Инглвуде (Калифорния). В верхней передней части кожухов двигателей установили стандартные воздухозаборники для карбюраторов. В нижней части капота поместили воздухозаборник системы антиобледенения. Внутри каждой гондолы находилась трубопровод, который направлял теплый воздух от двигателя в крылья, хвостовое оперение и фюзеляж. В некоторых местах крыльев и фюзеляжа установили дополнительные обогреватели, которые расположили так, чтобы теплопотери были минимальны. Теплый воздух циркулировал под обшивкой самолета, предотвращая ее обледенение. Самолет, получивший название "Flamin' Maimie", был готов к испытаниям в начале 1944 года. 4 февраля состоялся первый полет. Самолет управлял Джо Бартон. Программа предусматривала набор высоты до 20000 футов с контрольными замерами через каждые 1000 футов (15030).</w:t>
      </w:r>
    </w:p>
    <w:p w14:paraId="4513918D" w14:textId="77777777" w:rsidR="00B862BC" w:rsidRPr="007224C3" w:rsidRDefault="00B862BC" w:rsidP="007224C3">
      <w:pPr>
        <w:spacing w:after="0" w:line="240" w:lineRule="auto"/>
        <w:jc w:val="both"/>
        <w:rPr>
          <w:rFonts w:ascii="Times New Roman" w:hAnsi="Times New Roman"/>
          <w:color w:val="000000" w:themeColor="text1"/>
          <w:sz w:val="16"/>
          <w:szCs w:val="16"/>
        </w:rPr>
      </w:pPr>
    </w:p>
    <w:p w14:paraId="61BD6E96" w14:textId="77777777" w:rsidR="00BE4FA3" w:rsidRPr="007224C3" w:rsidRDefault="00BE4FA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4 февраля 1944 - Первый полет опытного бомбардировщика ХВ-25Е «Flamin’ Maimie», оснащенного дополнительной системой антиобледенения. Летчик Джо Бартон (22634).</w:t>
      </w:r>
    </w:p>
    <w:p w14:paraId="3B484A1B" w14:textId="77777777" w:rsidR="00BE4FA3" w:rsidRPr="007224C3" w:rsidRDefault="00BE4FA3" w:rsidP="007224C3">
      <w:pPr>
        <w:spacing w:after="0" w:line="240" w:lineRule="auto"/>
        <w:jc w:val="both"/>
        <w:rPr>
          <w:rFonts w:ascii="Times New Roman" w:hAnsi="Times New Roman"/>
          <w:color w:val="0070C0"/>
          <w:sz w:val="16"/>
          <w:szCs w:val="16"/>
        </w:rPr>
      </w:pPr>
    </w:p>
    <w:p w14:paraId="5F4FD0F0" w14:textId="77777777" w:rsidR="00BE4FA3" w:rsidRPr="007224C3" w:rsidRDefault="00BE4FA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4 февраля 1944 Армейские B-24 Liberator ВВС США впервые летит на фоторазведку Truk Атолла, Япония - главной базы в южной части Тихого океане и покрывает 1,700- морских миль (3148 км) из Бугенвиля (29373).</w:t>
      </w:r>
    </w:p>
    <w:p w14:paraId="140F6CF1" w14:textId="77777777" w:rsidR="00BE4FA3" w:rsidRPr="007224C3" w:rsidRDefault="00BE4FA3" w:rsidP="007224C3">
      <w:pPr>
        <w:spacing w:after="0" w:line="240" w:lineRule="auto"/>
        <w:jc w:val="both"/>
        <w:rPr>
          <w:rFonts w:ascii="Times New Roman" w:hAnsi="Times New Roman"/>
          <w:color w:val="0070C0"/>
          <w:sz w:val="16"/>
          <w:szCs w:val="16"/>
        </w:rPr>
      </w:pPr>
    </w:p>
    <w:p w14:paraId="2ED326A7" w14:textId="77777777" w:rsidR="00BE4FA3" w:rsidRPr="007224C3" w:rsidRDefault="00BE4FA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4 февраля 1944 748 бомбардировщиков Восьмлй армии ВВС в сопровождении 637 истребителей атакуют промышленные и железнодорожные цели во Франкфурте-на-Майне, Германия, и цели в Гиссене, Висбадене, Трире и Арлоффе, Германия. Погибли двадцать бомбардировщиков и один истребитель. Бомбардировщики и истребители заявляют, что 12 немецких самолетов сбитых и четыреъ поврежденых (20373).</w:t>
      </w:r>
    </w:p>
    <w:p w14:paraId="757EAAFC" w14:textId="77777777" w:rsidR="00BE4FA3" w:rsidRPr="007224C3" w:rsidRDefault="00BE4FA3" w:rsidP="007224C3">
      <w:pPr>
        <w:spacing w:after="0" w:line="240" w:lineRule="auto"/>
        <w:jc w:val="both"/>
        <w:rPr>
          <w:rFonts w:ascii="Times New Roman" w:hAnsi="Times New Roman"/>
          <w:color w:val="0070C0"/>
          <w:sz w:val="16"/>
          <w:szCs w:val="16"/>
        </w:rPr>
      </w:pPr>
    </w:p>
    <w:p w14:paraId="1AC3990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февраля 1944 Тирана. Кровавая расправа немецких войск СС с населением албанской столицы (7594).</w:t>
      </w:r>
    </w:p>
    <w:p w14:paraId="5CD1797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2E2D69" w14:textId="77777777" w:rsidR="00B862BC" w:rsidRPr="007224C3" w:rsidRDefault="00B862BC"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4 февраля</w:t>
      </w:r>
      <w:r w:rsidRPr="007224C3">
        <w:rPr>
          <w:rFonts w:ascii="Times New Roman" w:hAnsi="Times New Roman"/>
          <w:color w:val="000000" w:themeColor="text1"/>
          <w:sz w:val="16"/>
          <w:szCs w:val="16"/>
        </w:rPr>
        <w:t xml:space="preserve"> в 1944 году Черчилль настаивает на высадке десанта на северном побережье Адриатического моря с целью овладения Северной Италией, Австрией и Югославией вместо высадки на средиземноморском побережье Франции (15030).</w:t>
      </w:r>
    </w:p>
    <w:p w14:paraId="65910B28" w14:textId="77777777" w:rsidR="00B862BC" w:rsidRPr="007224C3" w:rsidRDefault="00B862BC" w:rsidP="007224C3">
      <w:pPr>
        <w:spacing w:after="0" w:line="240" w:lineRule="auto"/>
        <w:jc w:val="both"/>
        <w:rPr>
          <w:rFonts w:ascii="Times New Roman" w:hAnsi="Times New Roman"/>
          <w:color w:val="000000" w:themeColor="text1"/>
          <w:sz w:val="16"/>
          <w:szCs w:val="16"/>
        </w:rPr>
      </w:pPr>
    </w:p>
    <w:p w14:paraId="0865DAAC" w14:textId="77777777" w:rsidR="00B862BC" w:rsidRPr="007224C3" w:rsidRDefault="00B862BC"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4 февраля</w:t>
      </w:r>
      <w:r w:rsidRPr="007224C3">
        <w:rPr>
          <w:rFonts w:ascii="Times New Roman" w:hAnsi="Times New Roman"/>
          <w:color w:val="000000" w:themeColor="text1"/>
          <w:sz w:val="16"/>
          <w:szCs w:val="16"/>
        </w:rPr>
        <w:t xml:space="preserve"> в 1944 году английское командование известило американский комитет начальников штабов о своем сомнении в возможности эффективного проведения высадки на средиземноморском побережье Франции (15030).</w:t>
      </w:r>
    </w:p>
    <w:p w14:paraId="4682A37E" w14:textId="77777777" w:rsidR="00B862BC" w:rsidRPr="007224C3" w:rsidRDefault="00B862BC" w:rsidP="007224C3">
      <w:pPr>
        <w:spacing w:after="0" w:line="240" w:lineRule="auto"/>
        <w:jc w:val="both"/>
        <w:rPr>
          <w:rFonts w:ascii="Times New Roman" w:hAnsi="Times New Roman"/>
          <w:color w:val="000000" w:themeColor="text1"/>
          <w:sz w:val="16"/>
          <w:szCs w:val="16"/>
        </w:rPr>
      </w:pPr>
    </w:p>
    <w:p w14:paraId="1CC6FCA8" w14:textId="77777777" w:rsidR="00B862BC" w:rsidRPr="007224C3" w:rsidRDefault="00B862BC"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4 февраля</w:t>
      </w:r>
      <w:r w:rsidRPr="007224C3">
        <w:rPr>
          <w:rFonts w:ascii="Times New Roman" w:hAnsi="Times New Roman"/>
          <w:color w:val="000000" w:themeColor="text1"/>
          <w:sz w:val="16"/>
          <w:szCs w:val="16"/>
        </w:rPr>
        <w:t xml:space="preserve"> в 1944 году в СЩА увидел свет номер «The Journal of Experimental Medicine» со статьей об одном из важнейших открытий в биологии. Освальд Эйвери (1877–1955) и его сотрудники Колин Маклауд и Маклин Маккарти в исследованиях, проведенных в лаборатории Рокфеллеровского медицинского института (Нью-Йорк), неопровержимо доказали, что носителем наследственной информации, «материалом» генов, является дезоксирибонуклеиновая кислота (ДНК). Девять лет спустя американец Джеймс Уотсон и англичанин Фрэнсис Крик установили, что молекула ДНК имеет структуру двойной спирали (15030).</w:t>
      </w:r>
    </w:p>
    <w:p w14:paraId="18D77161" w14:textId="77777777" w:rsidR="00B862BC" w:rsidRPr="007224C3" w:rsidRDefault="00B862BC" w:rsidP="007224C3">
      <w:pPr>
        <w:spacing w:after="0" w:line="240" w:lineRule="auto"/>
        <w:jc w:val="both"/>
        <w:rPr>
          <w:rFonts w:ascii="Times New Roman" w:hAnsi="Times New Roman"/>
          <w:color w:val="000000" w:themeColor="text1"/>
          <w:sz w:val="16"/>
          <w:szCs w:val="16"/>
        </w:rPr>
      </w:pPr>
    </w:p>
    <w:p w14:paraId="1C25607F"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60F39BD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CAE475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февраля 1944 года А.И.Шахурину было направлено Предварительное заключение по результатам испытаний самолета Ла-5ФН N 39210206, улучшенного ЦАГИ.</w:t>
      </w:r>
    </w:p>
    <w:p w14:paraId="44F2E1D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ЦАГИ был предъявлен для испытания в ЛИИ самолет Ла-5ФН N 39210206, на котором, согласно приказу наркома Авиапрома N 650 сс, были произведены улучшения с целью увеличения максимальной скорости.</w:t>
      </w:r>
    </w:p>
    <w:p w14:paraId="34CDDE4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Основные изменения, произведенные на самолете по сравнению с серийными самолетами Ла-5 ФН, сводятся к следующему:</w:t>
      </w:r>
    </w:p>
    <w:p w14:paraId="58D50AF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Всасывающий патрубок перенесен под капот мотора и улучшена его форма.</w:t>
      </w:r>
    </w:p>
    <w:p w14:paraId="00131A1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Маслорадиатор перенесен под фюзеляж на 5 шпангоут и улучшена форма туннеля.</w:t>
      </w:r>
    </w:p>
    <w:p w14:paraId="77DC0B0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Изменено дефлектирование цилиндров мотора и форма внутреннего капота.</w:t>
      </w:r>
    </w:p>
    <w:p w14:paraId="4FA06B0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Установлены индивидуальные выхлопные патрубки на все цилиндры.</w:t>
      </w:r>
    </w:p>
    <w:p w14:paraId="5837D94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Изменена компоновка створок капота.</w:t>
      </w:r>
    </w:p>
    <w:p w14:paraId="7196F61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Произведено спрямление носка центроплана путем образования переднего зализа; улучшена отделка поверхности крыла.</w:t>
      </w:r>
    </w:p>
    <w:p w14:paraId="476BE23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Произведены тщательная герметизация самолета и мелкие работы, улучшению аэродинамики самолета.</w:t>
      </w:r>
    </w:p>
    <w:p w14:paraId="10D3312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настоящему времени произведено 13 полетов, из которых большинство, вследствие неудовлетворительной работы мотора, вызванной неустойчивой работой автомата РС-2 и свечей, не могло быть использовано для определения летных характеристик. За время испытаний для улучшения работы мотора два раза менялись анероидные коробки РС-2, были сменены автомат РС-2 и форсунки Ф-10 во всех цилиндрах мотора. Вследствие обгорания проводников зажигания были приклепаны экраны на дефлекторах свечей 7-го, 9-го и 14-го цилиндров.</w:t>
      </w:r>
    </w:p>
    <w:p w14:paraId="11125E3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основании проведенных испытаний можно сделать следующие предварительные выводы (1821).</w:t>
      </w:r>
    </w:p>
    <w:p w14:paraId="08B5602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35F7B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февраля 1944 года директор и гл. конструктор завода N 115 А. Яковлев писал письмо N 119с Шахурину.</w:t>
      </w:r>
    </w:p>
    <w:p w14:paraId="7E6D92A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исполнение постановления ГОКО за N 4428сс от 26/Х-1943 года, НКАП, приказом N 657сс от 2/XI-43 г., обязал завод N 115 изготовить к 1/I-44 г. двухместный учебный самолет ЯК-9 в двух экземплярах.</w:t>
      </w:r>
    </w:p>
    <w:p w14:paraId="4CA0FD9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Предполагалось, что учебно-тренировочные самолеты типа ЯК-9 будут изготовляться на заводе N 153.</w:t>
      </w:r>
    </w:p>
    <w:p w14:paraId="572C944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связи с последующими решениями НКАП о прекращении выпуска учебно-тренировочных самолетов типа ЯК-7 на заводе N 153 и о развертывании производства этих самолетов на заводе N 87, вариант изготовления учебно-тренировочных самолетов типа ЯК-9 на заводе N 153 - отпал.</w:t>
      </w:r>
    </w:p>
    <w:p w14:paraId="6441DB4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сложившихся условиях постройку опытных образцов учебных самолетов на базе ЯК-9, считаю не целесообразной.</w:t>
      </w:r>
    </w:p>
    <w:p w14:paraId="4D874C4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Прошу возбудить ходатайство перед ГОКО о снятии с завода N 115 задания на изготовление 2-х экземпляров в учебных самолетах ЯК-9 (2562,50).</w:t>
      </w:r>
    </w:p>
    <w:p w14:paraId="5A860CD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A6A3A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февраля 1944 года приказом НКАП за № 12сс на базе объединения опытно-конструкторских бюро заводов №№ 28, 35 и 132 был создан в г. Ступино Московской области на производственных площадях бывш. Винтового производства комбината № 150 был создан опытный завод № 25.</w:t>
      </w:r>
    </w:p>
    <w:p w14:paraId="0AE08BC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Перебазировка была начата в январе 1944 года. Монтаж и установка оборудования были закончены к 1 июня 1944 года.</w:t>
      </w:r>
    </w:p>
    <w:p w14:paraId="635EB91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улучшения материально-технической базы, приказом НКАП за № 151сс от 20 апреля 1945 года завод № 25 был реорганизован в ОКБ завода № 150.</w:t>
      </w:r>
    </w:p>
    <w:p w14:paraId="43EF8DD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конструктором ОКБ завода № 150 был назначен Жданов К.И.</w:t>
      </w:r>
    </w:p>
    <w:p w14:paraId="5821F6F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заводе № 150 ОКБ находилось всего 11 месяцев, так как ввиду возросшего объема опытных работ – необходимости создания воздушных винтов к мощным моторам для самолетов дальнего действия, нужно было создать самостоятельную современную производственную экспериментальную базу отечественного винтостроения.</w:t>
      </w:r>
    </w:p>
    <w:p w14:paraId="2A0CCEA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базе ОКБ завода № 150 приказом МАП за № 155сс от 25 марта 1946 года ОКБ было реорганизовано в опытный завод № 120. Директором и гл. конструктором опытного завода № 120 был назначен Жданов К.И.</w:t>
      </w:r>
    </w:p>
    <w:p w14:paraId="4860C3D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Согласно приказа МАП № 417сс от 17 июня 1946 года, на базе опытного завода № 120 были созданы серийный завод № 120 по изготовлению воздушных винтов и ОКБ завода № 120 по проектированию и изготовлению новых опытных образцов воздушных винтов. Гл. конструктором ОКБ завода № 120 был назначен Жданов К.И.</w:t>
      </w:r>
    </w:p>
    <w:p w14:paraId="434613E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соответствии с Постановлением СМ от 26 июня 1957 года № 713-342 и приказа МАП от 20 августа 1957 года № 544 ОКБ завода № 120 реорганизовано в самостоятельную уставную организацию и является Государственным союзным ОКБ № 120 ГК СМ по авиационной технике.</w:t>
      </w:r>
    </w:p>
    <w:p w14:paraId="7275737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период существования с 1 августа 1938 года до 1 января 1959 года ОКБ № 120 были созданы и переданы в серийное производство следующие основные образцы воздушных винтов: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68"/>
        <w:gridCol w:w="3868"/>
        <w:gridCol w:w="3868"/>
      </w:tblGrid>
      <w:tr w:rsidR="005106D0" w:rsidRPr="007224C3" w14:paraId="2C12EA5E" w14:textId="77777777">
        <w:tc>
          <w:tcPr>
            <w:tcW w:w="3868" w:type="dxa"/>
          </w:tcPr>
          <w:p w14:paraId="1EDC203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Наименование самолета</w:t>
            </w:r>
          </w:p>
        </w:tc>
        <w:tc>
          <w:tcPr>
            <w:tcW w:w="3868" w:type="dxa"/>
          </w:tcPr>
          <w:p w14:paraId="7DCD5CA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Шифр винта</w:t>
            </w:r>
          </w:p>
        </w:tc>
        <w:tc>
          <w:tcPr>
            <w:tcW w:w="3868" w:type="dxa"/>
          </w:tcPr>
          <w:p w14:paraId="4A68A87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Год передачи в серийное производство</w:t>
            </w:r>
          </w:p>
        </w:tc>
      </w:tr>
      <w:tr w:rsidR="005106D0" w:rsidRPr="007224C3" w14:paraId="69DD7E2A" w14:textId="77777777">
        <w:tc>
          <w:tcPr>
            <w:tcW w:w="3868" w:type="dxa"/>
          </w:tcPr>
          <w:p w14:paraId="6CB5E08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И-15</w:t>
            </w:r>
          </w:p>
        </w:tc>
        <w:tc>
          <w:tcPr>
            <w:tcW w:w="3868" w:type="dxa"/>
          </w:tcPr>
          <w:p w14:paraId="187386B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АВ-1</w:t>
            </w:r>
          </w:p>
        </w:tc>
        <w:tc>
          <w:tcPr>
            <w:tcW w:w="3868" w:type="dxa"/>
          </w:tcPr>
          <w:p w14:paraId="2303F51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1939</w:t>
            </w:r>
          </w:p>
        </w:tc>
      </w:tr>
      <w:tr w:rsidR="005106D0" w:rsidRPr="007224C3" w14:paraId="6531B9CC" w14:textId="77777777">
        <w:tc>
          <w:tcPr>
            <w:tcW w:w="3868" w:type="dxa"/>
          </w:tcPr>
          <w:p w14:paraId="713E0E2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И-16</w:t>
            </w:r>
          </w:p>
        </w:tc>
        <w:tc>
          <w:tcPr>
            <w:tcW w:w="3868" w:type="dxa"/>
          </w:tcPr>
          <w:p w14:paraId="74B2333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АВ-1</w:t>
            </w:r>
          </w:p>
        </w:tc>
        <w:tc>
          <w:tcPr>
            <w:tcW w:w="3868" w:type="dxa"/>
          </w:tcPr>
          <w:p w14:paraId="73642D7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1939</w:t>
            </w:r>
          </w:p>
        </w:tc>
      </w:tr>
      <w:tr w:rsidR="005106D0" w:rsidRPr="007224C3" w14:paraId="2072FADB" w14:textId="77777777">
        <w:tc>
          <w:tcPr>
            <w:tcW w:w="3868" w:type="dxa"/>
          </w:tcPr>
          <w:p w14:paraId="3FB1B98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Ил-4</w:t>
            </w:r>
          </w:p>
        </w:tc>
        <w:tc>
          <w:tcPr>
            <w:tcW w:w="3868" w:type="dxa"/>
          </w:tcPr>
          <w:p w14:paraId="2027318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ВИШ-23</w:t>
            </w:r>
          </w:p>
        </w:tc>
        <w:tc>
          <w:tcPr>
            <w:tcW w:w="3868" w:type="dxa"/>
          </w:tcPr>
          <w:p w14:paraId="1AA3FEC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1939</w:t>
            </w:r>
          </w:p>
        </w:tc>
      </w:tr>
      <w:tr w:rsidR="005106D0" w:rsidRPr="007224C3" w14:paraId="74C8ACDB" w14:textId="77777777">
        <w:tc>
          <w:tcPr>
            <w:tcW w:w="3868" w:type="dxa"/>
          </w:tcPr>
          <w:p w14:paraId="760E6B1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Ли-2</w:t>
            </w:r>
          </w:p>
        </w:tc>
        <w:tc>
          <w:tcPr>
            <w:tcW w:w="3868" w:type="dxa"/>
          </w:tcPr>
          <w:p w14:paraId="2230234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ВИШ-21</w:t>
            </w:r>
          </w:p>
        </w:tc>
        <w:tc>
          <w:tcPr>
            <w:tcW w:w="3868" w:type="dxa"/>
          </w:tcPr>
          <w:p w14:paraId="2BC662C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1939</w:t>
            </w:r>
          </w:p>
        </w:tc>
      </w:tr>
      <w:tr w:rsidR="005106D0" w:rsidRPr="007224C3" w14:paraId="7EF50F3C" w14:textId="77777777">
        <w:tc>
          <w:tcPr>
            <w:tcW w:w="3868" w:type="dxa"/>
          </w:tcPr>
          <w:p w14:paraId="519C46B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Миг-3</w:t>
            </w:r>
          </w:p>
        </w:tc>
        <w:tc>
          <w:tcPr>
            <w:tcW w:w="3868" w:type="dxa"/>
          </w:tcPr>
          <w:p w14:paraId="7351CFB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АВ-5Л-123</w:t>
            </w:r>
          </w:p>
        </w:tc>
        <w:tc>
          <w:tcPr>
            <w:tcW w:w="3868" w:type="dxa"/>
          </w:tcPr>
          <w:p w14:paraId="249B902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1940</w:t>
            </w:r>
          </w:p>
        </w:tc>
      </w:tr>
      <w:tr w:rsidR="005106D0" w:rsidRPr="007224C3" w14:paraId="2C21D092" w14:textId="77777777">
        <w:tc>
          <w:tcPr>
            <w:tcW w:w="3868" w:type="dxa"/>
          </w:tcPr>
          <w:p w14:paraId="1A567B6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Пе-2</w:t>
            </w:r>
          </w:p>
        </w:tc>
        <w:tc>
          <w:tcPr>
            <w:tcW w:w="3868" w:type="dxa"/>
          </w:tcPr>
          <w:p w14:paraId="02C96CD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АВ-5Л-139</w:t>
            </w:r>
          </w:p>
        </w:tc>
        <w:tc>
          <w:tcPr>
            <w:tcW w:w="3868" w:type="dxa"/>
          </w:tcPr>
          <w:p w14:paraId="0461846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1940</w:t>
            </w:r>
          </w:p>
        </w:tc>
      </w:tr>
      <w:tr w:rsidR="005106D0" w:rsidRPr="007224C3" w14:paraId="19764874" w14:textId="77777777">
        <w:tc>
          <w:tcPr>
            <w:tcW w:w="3868" w:type="dxa"/>
          </w:tcPr>
          <w:p w14:paraId="284B376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Ер-2</w:t>
            </w:r>
          </w:p>
        </w:tc>
        <w:tc>
          <w:tcPr>
            <w:tcW w:w="3868" w:type="dxa"/>
          </w:tcPr>
          <w:p w14:paraId="6898B10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АВ-5Л-116</w:t>
            </w:r>
          </w:p>
        </w:tc>
        <w:tc>
          <w:tcPr>
            <w:tcW w:w="3868" w:type="dxa"/>
          </w:tcPr>
          <w:p w14:paraId="44CD77B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1940</w:t>
            </w:r>
          </w:p>
        </w:tc>
      </w:tr>
      <w:tr w:rsidR="005106D0" w:rsidRPr="007224C3" w14:paraId="747D57A6" w14:textId="77777777">
        <w:tc>
          <w:tcPr>
            <w:tcW w:w="3868" w:type="dxa"/>
          </w:tcPr>
          <w:p w14:paraId="69C63A9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Ил-2</w:t>
            </w:r>
          </w:p>
        </w:tc>
        <w:tc>
          <w:tcPr>
            <w:tcW w:w="3868" w:type="dxa"/>
          </w:tcPr>
          <w:p w14:paraId="74C3AD3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ВИШ-22Т</w:t>
            </w:r>
          </w:p>
        </w:tc>
        <w:tc>
          <w:tcPr>
            <w:tcW w:w="3868" w:type="dxa"/>
          </w:tcPr>
          <w:p w14:paraId="11DA084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1941</w:t>
            </w:r>
          </w:p>
        </w:tc>
      </w:tr>
      <w:tr w:rsidR="005106D0" w:rsidRPr="007224C3" w14:paraId="1D64CFF7" w14:textId="77777777">
        <w:tc>
          <w:tcPr>
            <w:tcW w:w="3868" w:type="dxa"/>
          </w:tcPr>
          <w:p w14:paraId="079867C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Ту-2</w:t>
            </w:r>
          </w:p>
        </w:tc>
        <w:tc>
          <w:tcPr>
            <w:tcW w:w="3868" w:type="dxa"/>
          </w:tcPr>
          <w:p w14:paraId="7CD2FDE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АВ-5В-167</w:t>
            </w:r>
          </w:p>
        </w:tc>
        <w:tc>
          <w:tcPr>
            <w:tcW w:w="3868" w:type="dxa"/>
          </w:tcPr>
          <w:p w14:paraId="4563B6B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1942</w:t>
            </w:r>
          </w:p>
        </w:tc>
      </w:tr>
      <w:tr w:rsidR="005106D0" w:rsidRPr="007224C3" w14:paraId="0AB67509" w14:textId="77777777">
        <w:tc>
          <w:tcPr>
            <w:tcW w:w="3868" w:type="dxa"/>
          </w:tcPr>
          <w:p w14:paraId="3F8AEF8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Ил-2</w:t>
            </w:r>
          </w:p>
        </w:tc>
        <w:tc>
          <w:tcPr>
            <w:tcW w:w="3868" w:type="dxa"/>
          </w:tcPr>
          <w:p w14:paraId="5013DBB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АВ-5Л-158</w:t>
            </w:r>
          </w:p>
        </w:tc>
        <w:tc>
          <w:tcPr>
            <w:tcW w:w="3868" w:type="dxa"/>
          </w:tcPr>
          <w:p w14:paraId="24E1EFB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1942</w:t>
            </w:r>
          </w:p>
        </w:tc>
      </w:tr>
      <w:tr w:rsidR="005106D0" w:rsidRPr="007224C3" w14:paraId="5774B44B" w14:textId="77777777">
        <w:tc>
          <w:tcPr>
            <w:tcW w:w="3868" w:type="dxa"/>
          </w:tcPr>
          <w:p w14:paraId="14B4922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Ли-2</w:t>
            </w:r>
          </w:p>
        </w:tc>
        <w:tc>
          <w:tcPr>
            <w:tcW w:w="3868" w:type="dxa"/>
          </w:tcPr>
          <w:p w14:paraId="6E58426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АВ-7НЕ-161</w:t>
            </w:r>
          </w:p>
        </w:tc>
        <w:tc>
          <w:tcPr>
            <w:tcW w:w="3868" w:type="dxa"/>
          </w:tcPr>
          <w:p w14:paraId="4AF9426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1947</w:t>
            </w:r>
          </w:p>
        </w:tc>
      </w:tr>
      <w:tr w:rsidR="005106D0" w:rsidRPr="007224C3" w14:paraId="079A998A" w14:textId="77777777">
        <w:tc>
          <w:tcPr>
            <w:tcW w:w="3868" w:type="dxa"/>
          </w:tcPr>
          <w:p w14:paraId="3335836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Ту-2</w:t>
            </w:r>
          </w:p>
        </w:tc>
        <w:tc>
          <w:tcPr>
            <w:tcW w:w="3868" w:type="dxa"/>
          </w:tcPr>
          <w:p w14:paraId="26FEDE5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АВ-9ВФ-21К</w:t>
            </w:r>
          </w:p>
        </w:tc>
        <w:tc>
          <w:tcPr>
            <w:tcW w:w="3868" w:type="dxa"/>
          </w:tcPr>
          <w:p w14:paraId="1AA3590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1947</w:t>
            </w:r>
          </w:p>
        </w:tc>
      </w:tr>
      <w:tr w:rsidR="005106D0" w:rsidRPr="007224C3" w14:paraId="2B1B0AAD" w14:textId="77777777">
        <w:tc>
          <w:tcPr>
            <w:tcW w:w="3868" w:type="dxa"/>
          </w:tcPr>
          <w:p w14:paraId="5101079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Ли-2</w:t>
            </w:r>
          </w:p>
        </w:tc>
        <w:tc>
          <w:tcPr>
            <w:tcW w:w="3868" w:type="dxa"/>
          </w:tcPr>
          <w:p w14:paraId="2F8E12F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АВ-7Н-161</w:t>
            </w:r>
          </w:p>
        </w:tc>
        <w:tc>
          <w:tcPr>
            <w:tcW w:w="3868" w:type="dxa"/>
          </w:tcPr>
          <w:p w14:paraId="787B3E8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1948</w:t>
            </w:r>
          </w:p>
        </w:tc>
      </w:tr>
      <w:tr w:rsidR="005106D0" w:rsidRPr="007224C3" w14:paraId="27513207" w14:textId="77777777">
        <w:tc>
          <w:tcPr>
            <w:tcW w:w="3868" w:type="dxa"/>
          </w:tcPr>
          <w:p w14:paraId="477560E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Ил-12</w:t>
            </w:r>
          </w:p>
        </w:tc>
        <w:tc>
          <w:tcPr>
            <w:tcW w:w="3868" w:type="dxa"/>
          </w:tcPr>
          <w:p w14:paraId="7D13070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АВ-9В-91</w:t>
            </w:r>
          </w:p>
        </w:tc>
        <w:tc>
          <w:tcPr>
            <w:tcW w:w="3868" w:type="dxa"/>
          </w:tcPr>
          <w:p w14:paraId="5E02AA6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1949</w:t>
            </w:r>
          </w:p>
        </w:tc>
      </w:tr>
      <w:tr w:rsidR="005106D0" w:rsidRPr="007224C3" w14:paraId="02258B16" w14:textId="77777777">
        <w:tc>
          <w:tcPr>
            <w:tcW w:w="3868" w:type="dxa"/>
          </w:tcPr>
          <w:p w14:paraId="70F8F7E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Ил-12</w:t>
            </w:r>
          </w:p>
        </w:tc>
        <w:tc>
          <w:tcPr>
            <w:tcW w:w="3868" w:type="dxa"/>
          </w:tcPr>
          <w:p w14:paraId="1A4A5B9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АВ-9Е-91</w:t>
            </w:r>
          </w:p>
        </w:tc>
        <w:tc>
          <w:tcPr>
            <w:tcW w:w="3868" w:type="dxa"/>
          </w:tcPr>
          <w:p w14:paraId="31A781A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1949</w:t>
            </w:r>
          </w:p>
        </w:tc>
      </w:tr>
      <w:tr w:rsidR="005106D0" w:rsidRPr="007224C3" w14:paraId="48427CAA" w14:textId="77777777">
        <w:tc>
          <w:tcPr>
            <w:tcW w:w="3868" w:type="dxa"/>
          </w:tcPr>
          <w:p w14:paraId="75556CE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Ил-12</w:t>
            </w:r>
          </w:p>
        </w:tc>
        <w:tc>
          <w:tcPr>
            <w:tcW w:w="3868" w:type="dxa"/>
          </w:tcPr>
          <w:p w14:paraId="6940F18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АВ-9-91</w:t>
            </w:r>
          </w:p>
        </w:tc>
        <w:tc>
          <w:tcPr>
            <w:tcW w:w="3868" w:type="dxa"/>
          </w:tcPr>
          <w:p w14:paraId="7B7EBDC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1949</w:t>
            </w:r>
          </w:p>
        </w:tc>
      </w:tr>
      <w:tr w:rsidR="005106D0" w:rsidRPr="007224C3" w14:paraId="5547A4E8" w14:textId="77777777">
        <w:tc>
          <w:tcPr>
            <w:tcW w:w="3868" w:type="dxa"/>
          </w:tcPr>
          <w:p w14:paraId="39B560C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Ил-14</w:t>
            </w:r>
          </w:p>
        </w:tc>
        <w:tc>
          <w:tcPr>
            <w:tcW w:w="3868" w:type="dxa"/>
          </w:tcPr>
          <w:p w14:paraId="7E4F402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АВ-50</w:t>
            </w:r>
          </w:p>
        </w:tc>
        <w:tc>
          <w:tcPr>
            <w:tcW w:w="3868" w:type="dxa"/>
          </w:tcPr>
          <w:p w14:paraId="415E2F4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1952</w:t>
            </w:r>
          </w:p>
        </w:tc>
      </w:tr>
      <w:tr w:rsidR="005106D0" w:rsidRPr="007224C3" w14:paraId="136CE219" w14:textId="77777777">
        <w:tc>
          <w:tcPr>
            <w:tcW w:w="3868" w:type="dxa"/>
          </w:tcPr>
          <w:p w14:paraId="388E3F6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Ту-95</w:t>
            </w:r>
          </w:p>
        </w:tc>
        <w:tc>
          <w:tcPr>
            <w:tcW w:w="3868" w:type="dxa"/>
          </w:tcPr>
          <w:p w14:paraId="44226A0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АВ-60</w:t>
            </w:r>
          </w:p>
        </w:tc>
        <w:tc>
          <w:tcPr>
            <w:tcW w:w="3868" w:type="dxa"/>
          </w:tcPr>
          <w:p w14:paraId="774B00D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1954</w:t>
            </w:r>
          </w:p>
        </w:tc>
      </w:tr>
      <w:tr w:rsidR="005106D0" w:rsidRPr="007224C3" w14:paraId="4EB4BA8A" w14:textId="77777777">
        <w:tc>
          <w:tcPr>
            <w:tcW w:w="3868" w:type="dxa"/>
          </w:tcPr>
          <w:p w14:paraId="532A9B6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Ан-10</w:t>
            </w:r>
          </w:p>
        </w:tc>
        <w:tc>
          <w:tcPr>
            <w:tcW w:w="3868" w:type="dxa"/>
          </w:tcPr>
          <w:p w14:paraId="2498420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АВ-68</w:t>
            </w:r>
          </w:p>
        </w:tc>
        <w:tc>
          <w:tcPr>
            <w:tcW w:w="3868" w:type="dxa"/>
          </w:tcPr>
          <w:p w14:paraId="0029628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1956</w:t>
            </w:r>
          </w:p>
        </w:tc>
      </w:tr>
      <w:tr w:rsidR="005106D0" w:rsidRPr="007224C3" w14:paraId="3F3CFFFE" w14:textId="77777777">
        <w:tc>
          <w:tcPr>
            <w:tcW w:w="3868" w:type="dxa"/>
          </w:tcPr>
          <w:p w14:paraId="06652B8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Ан-12</w:t>
            </w:r>
          </w:p>
        </w:tc>
        <w:tc>
          <w:tcPr>
            <w:tcW w:w="3868" w:type="dxa"/>
          </w:tcPr>
          <w:p w14:paraId="7242E74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АВ-68И сер. 02</w:t>
            </w:r>
          </w:p>
        </w:tc>
        <w:tc>
          <w:tcPr>
            <w:tcW w:w="3868" w:type="dxa"/>
          </w:tcPr>
          <w:p w14:paraId="0BAE77F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1958</w:t>
            </w:r>
          </w:p>
        </w:tc>
      </w:tr>
      <w:tr w:rsidR="005106D0" w:rsidRPr="007224C3" w14:paraId="63442ADC" w14:textId="77777777">
        <w:tc>
          <w:tcPr>
            <w:tcW w:w="3868" w:type="dxa"/>
          </w:tcPr>
          <w:p w14:paraId="2235952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Ту-114</w:t>
            </w:r>
          </w:p>
        </w:tc>
        <w:tc>
          <w:tcPr>
            <w:tcW w:w="3868" w:type="dxa"/>
          </w:tcPr>
          <w:p w14:paraId="7CA6F55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АВ-60Н сер. 03</w:t>
            </w:r>
          </w:p>
        </w:tc>
        <w:tc>
          <w:tcPr>
            <w:tcW w:w="3868" w:type="dxa"/>
          </w:tcPr>
          <w:p w14:paraId="2C2003F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1958</w:t>
            </w:r>
          </w:p>
        </w:tc>
      </w:tr>
      <w:tr w:rsidR="005106D0" w:rsidRPr="007224C3" w14:paraId="41EDFA8F" w14:textId="77777777">
        <w:tc>
          <w:tcPr>
            <w:tcW w:w="3868" w:type="dxa"/>
          </w:tcPr>
          <w:p w14:paraId="492D32D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Ил-18</w:t>
            </w:r>
          </w:p>
        </w:tc>
        <w:tc>
          <w:tcPr>
            <w:tcW w:w="3868" w:type="dxa"/>
          </w:tcPr>
          <w:p w14:paraId="6604DBD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АВ-68 сер. 02</w:t>
            </w:r>
          </w:p>
        </w:tc>
        <w:tc>
          <w:tcPr>
            <w:tcW w:w="3868" w:type="dxa"/>
          </w:tcPr>
          <w:p w14:paraId="6372B09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1958</w:t>
            </w:r>
          </w:p>
        </w:tc>
      </w:tr>
    </w:tbl>
    <w:p w14:paraId="61B2080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(9381)</w:t>
      </w:r>
    </w:p>
    <w:p w14:paraId="05EAEAB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03AE664"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0EA54C7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674402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февраля 1944 г. была подготовлена СПРАВКА ТУ ГБТУ КА О ВОЗМОЖНОСТЯХ ТАНКОВЫХ ЗАВОДОВ ПО ВЫПУСКУ ТАНКОВ В 1944 ГОДУ (ПО МАТЕРИАЛАМ ВОЕНПРЕДОВ)</w:t>
      </w:r>
    </w:p>
    <w:tbl>
      <w:tblPr>
        <w:tblW w:w="0" w:type="auto"/>
        <w:tblInd w:w="40" w:type="dxa"/>
        <w:tblLayout w:type="fixed"/>
        <w:tblCellMar>
          <w:left w:w="40" w:type="dxa"/>
          <w:right w:w="40" w:type="dxa"/>
        </w:tblCellMar>
        <w:tblLook w:val="0000" w:firstRow="0" w:lastRow="0" w:firstColumn="0" w:lastColumn="0" w:noHBand="0" w:noVBand="0"/>
      </w:tblPr>
      <w:tblGrid>
        <w:gridCol w:w="1805"/>
        <w:gridCol w:w="1248"/>
        <w:gridCol w:w="1046"/>
        <w:gridCol w:w="1046"/>
        <w:gridCol w:w="1056"/>
        <w:gridCol w:w="1046"/>
        <w:gridCol w:w="1046"/>
        <w:gridCol w:w="1066"/>
      </w:tblGrid>
      <w:tr w:rsidR="005106D0" w:rsidRPr="007224C3" w14:paraId="7656AD4D" w14:textId="77777777">
        <w:trPr>
          <w:trHeight w:val="230"/>
        </w:trPr>
        <w:tc>
          <w:tcPr>
            <w:tcW w:w="1805" w:type="dxa"/>
            <w:tcBorders>
              <w:top w:val="single" w:sz="6" w:space="0" w:color="auto"/>
              <w:left w:val="single" w:sz="6" w:space="0" w:color="auto"/>
              <w:bottom w:val="single" w:sz="6" w:space="0" w:color="auto"/>
              <w:right w:val="single" w:sz="6" w:space="0" w:color="auto"/>
            </w:tcBorders>
          </w:tcPr>
          <w:p w14:paraId="64CE3C2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w:t>
            </w:r>
          </w:p>
          <w:p w14:paraId="56E7C87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15016A1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Тип танка</w:t>
            </w:r>
          </w:p>
          <w:p w14:paraId="724F184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F62DFD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январь</w:t>
            </w:r>
          </w:p>
          <w:p w14:paraId="6F320DC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E46660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февраль</w:t>
            </w:r>
          </w:p>
          <w:p w14:paraId="1DC3F38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016260A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март</w:t>
            </w:r>
          </w:p>
          <w:p w14:paraId="3623B67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31D045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апрель</w:t>
            </w:r>
          </w:p>
          <w:p w14:paraId="5B3BAF7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BC6E40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май</w:t>
            </w:r>
          </w:p>
          <w:p w14:paraId="3827008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4B4B9A3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w:t>
            </w:r>
          </w:p>
          <w:p w14:paraId="2E68677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E9D66F2" w14:textId="77777777">
        <w:trPr>
          <w:trHeight w:val="250"/>
        </w:trPr>
        <w:tc>
          <w:tcPr>
            <w:tcW w:w="1805" w:type="dxa"/>
            <w:tcBorders>
              <w:top w:val="single" w:sz="6" w:space="0" w:color="auto"/>
              <w:left w:val="single" w:sz="6" w:space="0" w:color="auto"/>
              <w:bottom w:val="single" w:sz="6" w:space="0" w:color="auto"/>
              <w:right w:val="single" w:sz="6" w:space="0" w:color="auto"/>
            </w:tcBorders>
          </w:tcPr>
          <w:p w14:paraId="7643581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Танки</w:t>
            </w:r>
          </w:p>
          <w:p w14:paraId="10971A3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0FD64C5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B3B3F3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AF598E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AF84B1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2654B0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FD3D8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482EAEB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F1ED0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91E36F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2EDE3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C0FF15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AAB99F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743F35A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FB4BF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D2BAE03" w14:textId="77777777">
        <w:trPr>
          <w:trHeight w:val="240"/>
        </w:trPr>
        <w:tc>
          <w:tcPr>
            <w:tcW w:w="1805" w:type="dxa"/>
            <w:tcBorders>
              <w:top w:val="single" w:sz="6" w:space="0" w:color="auto"/>
              <w:left w:val="single" w:sz="6" w:space="0" w:color="auto"/>
              <w:bottom w:val="single" w:sz="6" w:space="0" w:color="auto"/>
              <w:right w:val="single" w:sz="6" w:space="0" w:color="auto"/>
            </w:tcBorders>
          </w:tcPr>
          <w:p w14:paraId="3783183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Кировский</w:t>
            </w:r>
          </w:p>
          <w:p w14:paraId="3B441E8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3F546EF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ИС-2</w:t>
            </w:r>
          </w:p>
          <w:p w14:paraId="2531197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7AA1AF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75</w:t>
            </w:r>
          </w:p>
          <w:p w14:paraId="03D8FC1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64C35C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150</w:t>
            </w:r>
          </w:p>
          <w:p w14:paraId="24B8064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42D6D79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200</w:t>
            </w:r>
          </w:p>
          <w:p w14:paraId="4718D1D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E36B16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250</w:t>
            </w:r>
          </w:p>
          <w:p w14:paraId="3340417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31B460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275</w:t>
            </w:r>
          </w:p>
          <w:p w14:paraId="085B047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26C7155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950</w:t>
            </w:r>
          </w:p>
          <w:p w14:paraId="3E8B32E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DAC61D1" w14:textId="77777777">
        <w:trPr>
          <w:trHeight w:val="221"/>
        </w:trPr>
        <w:tc>
          <w:tcPr>
            <w:tcW w:w="1805" w:type="dxa"/>
            <w:tcBorders>
              <w:top w:val="single" w:sz="6" w:space="0" w:color="auto"/>
              <w:left w:val="single" w:sz="6" w:space="0" w:color="auto"/>
              <w:bottom w:val="single" w:sz="6" w:space="0" w:color="auto"/>
              <w:right w:val="single" w:sz="6" w:space="0" w:color="auto"/>
            </w:tcBorders>
          </w:tcPr>
          <w:p w14:paraId="0FBFA5D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Кировский</w:t>
            </w:r>
          </w:p>
          <w:p w14:paraId="464A39F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289DB0A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Т-34</w:t>
            </w:r>
          </w:p>
          <w:p w14:paraId="448F22A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2304F2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185</w:t>
            </w:r>
          </w:p>
          <w:p w14:paraId="5259951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1BA3C5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70AAE33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66DCE6D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438FAE6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A21798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71403C6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8595DA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276BD39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6EA06F7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185</w:t>
            </w:r>
          </w:p>
          <w:p w14:paraId="1BE00F0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A055B27" w14:textId="77777777">
        <w:trPr>
          <w:trHeight w:val="230"/>
        </w:trPr>
        <w:tc>
          <w:tcPr>
            <w:tcW w:w="1805" w:type="dxa"/>
            <w:tcBorders>
              <w:top w:val="single" w:sz="6" w:space="0" w:color="auto"/>
              <w:left w:val="single" w:sz="6" w:space="0" w:color="auto"/>
              <w:bottom w:val="single" w:sz="6" w:space="0" w:color="auto"/>
              <w:right w:val="single" w:sz="6" w:space="0" w:color="auto"/>
            </w:tcBorders>
          </w:tcPr>
          <w:p w14:paraId="5931819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№183</w:t>
            </w:r>
          </w:p>
          <w:p w14:paraId="5B446E3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6B452C5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Т-34</w:t>
            </w:r>
          </w:p>
          <w:p w14:paraId="57C1EE5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5E0CA5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650</w:t>
            </w:r>
          </w:p>
          <w:p w14:paraId="5BBEF31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780E63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700</w:t>
            </w:r>
          </w:p>
          <w:p w14:paraId="370CA78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B8457F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725</w:t>
            </w:r>
          </w:p>
          <w:p w14:paraId="1F304C3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AE9BD5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750</w:t>
            </w:r>
          </w:p>
          <w:p w14:paraId="141286A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5C3B34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800</w:t>
            </w:r>
          </w:p>
          <w:p w14:paraId="5FC11D4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0E8E1ED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3625</w:t>
            </w:r>
          </w:p>
          <w:p w14:paraId="7D42E2D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B1583A0" w14:textId="77777777">
        <w:trPr>
          <w:trHeight w:val="230"/>
        </w:trPr>
        <w:tc>
          <w:tcPr>
            <w:tcW w:w="1805" w:type="dxa"/>
            <w:tcBorders>
              <w:top w:val="single" w:sz="6" w:space="0" w:color="auto"/>
              <w:left w:val="single" w:sz="6" w:space="0" w:color="auto"/>
              <w:bottom w:val="single" w:sz="6" w:space="0" w:color="auto"/>
              <w:right w:val="single" w:sz="6" w:space="0" w:color="auto"/>
            </w:tcBorders>
          </w:tcPr>
          <w:p w14:paraId="0A86A33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№112</w:t>
            </w:r>
          </w:p>
          <w:p w14:paraId="6A2F2ED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2F25F0F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Т-34</w:t>
            </w:r>
          </w:p>
          <w:p w14:paraId="5D99DFF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330DA7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265</w:t>
            </w:r>
          </w:p>
          <w:p w14:paraId="343A171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394C3F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300</w:t>
            </w:r>
          </w:p>
          <w:p w14:paraId="6D2EC92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36E8932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325</w:t>
            </w:r>
          </w:p>
          <w:p w14:paraId="1361DD8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C7BDA1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350</w:t>
            </w:r>
          </w:p>
          <w:p w14:paraId="266A3C4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49687A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375</w:t>
            </w:r>
          </w:p>
          <w:p w14:paraId="2DDE8C5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4DBB102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1615</w:t>
            </w:r>
          </w:p>
          <w:p w14:paraId="1C671EC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0CD99EB" w14:textId="77777777">
        <w:trPr>
          <w:trHeight w:val="230"/>
        </w:trPr>
        <w:tc>
          <w:tcPr>
            <w:tcW w:w="1805" w:type="dxa"/>
            <w:tcBorders>
              <w:top w:val="single" w:sz="6" w:space="0" w:color="auto"/>
              <w:left w:val="single" w:sz="6" w:space="0" w:color="auto"/>
              <w:bottom w:val="single" w:sz="6" w:space="0" w:color="auto"/>
              <w:right w:val="single" w:sz="6" w:space="0" w:color="auto"/>
            </w:tcBorders>
          </w:tcPr>
          <w:p w14:paraId="4367733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№174</w:t>
            </w:r>
          </w:p>
          <w:p w14:paraId="72BB892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1F8A63C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Т-34</w:t>
            </w:r>
          </w:p>
          <w:p w14:paraId="1B22C0C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F4B6DD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150</w:t>
            </w:r>
          </w:p>
          <w:p w14:paraId="2BC0894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45F0B9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180</w:t>
            </w:r>
          </w:p>
          <w:p w14:paraId="1D4B519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6D85726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200</w:t>
            </w:r>
          </w:p>
          <w:p w14:paraId="3383D3B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35E8AD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225</w:t>
            </w:r>
          </w:p>
          <w:p w14:paraId="3D00649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320E26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250</w:t>
            </w:r>
          </w:p>
          <w:p w14:paraId="2F9B786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7A676E4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1005</w:t>
            </w:r>
          </w:p>
          <w:p w14:paraId="6CFE3F4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50B4974" w14:textId="77777777">
        <w:trPr>
          <w:trHeight w:val="230"/>
        </w:trPr>
        <w:tc>
          <w:tcPr>
            <w:tcW w:w="1805" w:type="dxa"/>
            <w:tcBorders>
              <w:top w:val="single" w:sz="6" w:space="0" w:color="auto"/>
              <w:left w:val="single" w:sz="6" w:space="0" w:color="auto"/>
              <w:bottom w:val="single" w:sz="6" w:space="0" w:color="auto"/>
              <w:right w:val="single" w:sz="6" w:space="0" w:color="auto"/>
            </w:tcBorders>
          </w:tcPr>
          <w:p w14:paraId="1A96CF9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w:t>
            </w:r>
          </w:p>
          <w:p w14:paraId="26A5EFF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46F41EC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Т-34</w:t>
            </w:r>
          </w:p>
          <w:p w14:paraId="1E4E047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20E6EA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1250</w:t>
            </w:r>
          </w:p>
          <w:p w14:paraId="6EB898B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AC7BBB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1180</w:t>
            </w:r>
          </w:p>
          <w:p w14:paraId="1B7817B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6931C97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1250</w:t>
            </w:r>
          </w:p>
          <w:p w14:paraId="360A2D0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F6F114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1325</w:t>
            </w:r>
          </w:p>
          <w:p w14:paraId="22F5DA0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CBA429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1425</w:t>
            </w:r>
          </w:p>
          <w:p w14:paraId="2098907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17EAEC4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6430</w:t>
            </w:r>
          </w:p>
          <w:p w14:paraId="2A76A7A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874E19B" w14:textId="77777777">
        <w:trPr>
          <w:trHeight w:val="230"/>
        </w:trPr>
        <w:tc>
          <w:tcPr>
            <w:tcW w:w="1805" w:type="dxa"/>
            <w:tcBorders>
              <w:top w:val="single" w:sz="6" w:space="0" w:color="auto"/>
              <w:left w:val="single" w:sz="6" w:space="0" w:color="auto"/>
              <w:bottom w:val="single" w:sz="6" w:space="0" w:color="auto"/>
              <w:right w:val="single" w:sz="6" w:space="0" w:color="auto"/>
            </w:tcBorders>
          </w:tcPr>
          <w:p w14:paraId="3D0DA40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 танков:</w:t>
            </w:r>
          </w:p>
          <w:p w14:paraId="4F5BA0C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0933B72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062A3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78F1C2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1325</w:t>
            </w:r>
          </w:p>
          <w:p w14:paraId="38390F7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014152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1330</w:t>
            </w:r>
          </w:p>
          <w:p w14:paraId="1D7BBAA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2EB56C5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1450</w:t>
            </w:r>
          </w:p>
          <w:p w14:paraId="0109555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E1CA6E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1575</w:t>
            </w:r>
          </w:p>
          <w:p w14:paraId="0C3AD44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7EE016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1700</w:t>
            </w:r>
          </w:p>
          <w:p w14:paraId="10B9B2C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3F0D342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7380</w:t>
            </w:r>
          </w:p>
          <w:p w14:paraId="789648D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C21C067" w14:textId="77777777">
        <w:trPr>
          <w:trHeight w:val="230"/>
        </w:trPr>
        <w:tc>
          <w:tcPr>
            <w:tcW w:w="1805" w:type="dxa"/>
            <w:tcBorders>
              <w:top w:val="single" w:sz="6" w:space="0" w:color="auto"/>
              <w:left w:val="single" w:sz="6" w:space="0" w:color="auto"/>
              <w:bottom w:val="single" w:sz="6" w:space="0" w:color="auto"/>
              <w:right w:val="single" w:sz="6" w:space="0" w:color="auto"/>
            </w:tcBorders>
          </w:tcPr>
          <w:p w14:paraId="76FFC30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Самоходы</w:t>
            </w:r>
          </w:p>
          <w:p w14:paraId="4CEB08C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6FBD0E6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2DEDAF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A83034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21BAE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C0CBA9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F5EF7F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695A9E2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725AE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216C2E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4040C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20308B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971FAE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34B3EA2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52BCB4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FD0AAC5" w14:textId="77777777">
        <w:trPr>
          <w:trHeight w:val="230"/>
        </w:trPr>
        <w:tc>
          <w:tcPr>
            <w:tcW w:w="1805" w:type="dxa"/>
            <w:tcBorders>
              <w:top w:val="single" w:sz="6" w:space="0" w:color="auto"/>
              <w:left w:val="single" w:sz="6" w:space="0" w:color="auto"/>
              <w:bottom w:val="single" w:sz="6" w:space="0" w:color="auto"/>
              <w:right w:val="single" w:sz="6" w:space="0" w:color="auto"/>
            </w:tcBorders>
          </w:tcPr>
          <w:p w14:paraId="25DEFB0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Кировский</w:t>
            </w:r>
          </w:p>
          <w:p w14:paraId="7650D33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15C3F47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ИС-152</w:t>
            </w:r>
          </w:p>
          <w:p w14:paraId="1986737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607735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w:t>
            </w:r>
          </w:p>
          <w:p w14:paraId="76E0C0C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750428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w:t>
            </w:r>
          </w:p>
          <w:p w14:paraId="4D15CDC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5884FC4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150</w:t>
            </w:r>
          </w:p>
          <w:p w14:paraId="00CE07B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B0B5AA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200</w:t>
            </w:r>
          </w:p>
          <w:p w14:paraId="7DA1FB6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A36AD7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225</w:t>
            </w:r>
          </w:p>
          <w:p w14:paraId="2EA931E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2BEC40F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725</w:t>
            </w:r>
          </w:p>
          <w:p w14:paraId="2183FEB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F570A2D" w14:textId="77777777">
        <w:trPr>
          <w:trHeight w:val="230"/>
        </w:trPr>
        <w:tc>
          <w:tcPr>
            <w:tcW w:w="1805" w:type="dxa"/>
            <w:tcBorders>
              <w:top w:val="single" w:sz="6" w:space="0" w:color="auto"/>
              <w:left w:val="single" w:sz="6" w:space="0" w:color="auto"/>
              <w:bottom w:val="single" w:sz="6" w:space="0" w:color="auto"/>
              <w:right w:val="single" w:sz="6" w:space="0" w:color="auto"/>
            </w:tcBorders>
          </w:tcPr>
          <w:p w14:paraId="6334290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Уралмашзавод</w:t>
            </w:r>
          </w:p>
          <w:p w14:paraId="6317974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1B12C06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СУ-85</w:t>
            </w:r>
          </w:p>
          <w:p w14:paraId="396B175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C6A3C3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175</w:t>
            </w:r>
          </w:p>
          <w:p w14:paraId="7295EAB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C5B5B2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200</w:t>
            </w:r>
          </w:p>
          <w:p w14:paraId="57C4E92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3831F62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225</w:t>
            </w:r>
          </w:p>
          <w:p w14:paraId="6FBD26B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682E73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250</w:t>
            </w:r>
          </w:p>
          <w:p w14:paraId="26ECED6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A5BE8F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250</w:t>
            </w:r>
          </w:p>
          <w:p w14:paraId="6304810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3ED6BFB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1100</w:t>
            </w:r>
          </w:p>
          <w:p w14:paraId="4F857E9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BB996A1" w14:textId="77777777">
        <w:trPr>
          <w:trHeight w:val="230"/>
        </w:trPr>
        <w:tc>
          <w:tcPr>
            <w:tcW w:w="1805" w:type="dxa"/>
            <w:tcBorders>
              <w:top w:val="single" w:sz="6" w:space="0" w:color="auto"/>
              <w:left w:val="single" w:sz="6" w:space="0" w:color="auto"/>
              <w:bottom w:val="single" w:sz="6" w:space="0" w:color="auto"/>
              <w:right w:val="single" w:sz="6" w:space="0" w:color="auto"/>
            </w:tcBorders>
          </w:tcPr>
          <w:p w14:paraId="592E429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Дизельмоторы</w:t>
            </w:r>
          </w:p>
          <w:p w14:paraId="5EBD06A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14B4005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87CF53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CD9593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94058F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4A1C83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8B6AB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388A65F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076B35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4CBA93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275FD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593E80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638841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212F7D3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5E4205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F65A003" w14:textId="77777777">
        <w:trPr>
          <w:trHeight w:val="230"/>
        </w:trPr>
        <w:tc>
          <w:tcPr>
            <w:tcW w:w="1805" w:type="dxa"/>
            <w:tcBorders>
              <w:top w:val="single" w:sz="6" w:space="0" w:color="auto"/>
              <w:left w:val="single" w:sz="6" w:space="0" w:color="auto"/>
              <w:bottom w:val="single" w:sz="6" w:space="0" w:color="auto"/>
              <w:right w:val="single" w:sz="6" w:space="0" w:color="auto"/>
            </w:tcBorders>
          </w:tcPr>
          <w:p w14:paraId="69D45CF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Кировский</w:t>
            </w:r>
          </w:p>
          <w:p w14:paraId="12FFCF6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7AC410B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В-2</w:t>
            </w:r>
          </w:p>
          <w:p w14:paraId="4EC2DB3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46145A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1270</w:t>
            </w:r>
          </w:p>
          <w:p w14:paraId="42BA85C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8AB79F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1270</w:t>
            </w:r>
          </w:p>
          <w:p w14:paraId="3572BB9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0D92846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1350</w:t>
            </w:r>
          </w:p>
          <w:p w14:paraId="48EEAF1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7BF3A3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1500</w:t>
            </w:r>
          </w:p>
          <w:p w14:paraId="4E28AF9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9E5E1E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1600</w:t>
            </w:r>
          </w:p>
          <w:p w14:paraId="5317C91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528A21F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6990</w:t>
            </w:r>
          </w:p>
          <w:p w14:paraId="1846CE5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34DBB4B" w14:textId="77777777">
        <w:trPr>
          <w:trHeight w:val="230"/>
        </w:trPr>
        <w:tc>
          <w:tcPr>
            <w:tcW w:w="1805" w:type="dxa"/>
            <w:tcBorders>
              <w:top w:val="single" w:sz="6" w:space="0" w:color="auto"/>
              <w:left w:val="single" w:sz="6" w:space="0" w:color="auto"/>
              <w:bottom w:val="single" w:sz="6" w:space="0" w:color="auto"/>
              <w:right w:val="single" w:sz="6" w:space="0" w:color="auto"/>
            </w:tcBorders>
          </w:tcPr>
          <w:p w14:paraId="28B881D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№76</w:t>
            </w:r>
          </w:p>
          <w:p w14:paraId="4959B43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1162F0F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В-2</w:t>
            </w:r>
          </w:p>
          <w:p w14:paraId="1BC3889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75C575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635</w:t>
            </w:r>
          </w:p>
          <w:p w14:paraId="6C902EF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266FC6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650</w:t>
            </w:r>
          </w:p>
          <w:p w14:paraId="73ED84E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A11A15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700</w:t>
            </w:r>
          </w:p>
          <w:p w14:paraId="11682CD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48D665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750</w:t>
            </w:r>
          </w:p>
          <w:p w14:paraId="1F9CB5F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9FE40D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800</w:t>
            </w:r>
          </w:p>
          <w:p w14:paraId="0A0B409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6CB9C6A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3535</w:t>
            </w:r>
          </w:p>
          <w:p w14:paraId="2E07FBA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1670736" w14:textId="77777777">
        <w:trPr>
          <w:trHeight w:val="230"/>
        </w:trPr>
        <w:tc>
          <w:tcPr>
            <w:tcW w:w="1805" w:type="dxa"/>
            <w:tcBorders>
              <w:top w:val="single" w:sz="6" w:space="0" w:color="auto"/>
              <w:left w:val="single" w:sz="6" w:space="0" w:color="auto"/>
              <w:bottom w:val="single" w:sz="6" w:space="0" w:color="auto"/>
              <w:right w:val="single" w:sz="6" w:space="0" w:color="auto"/>
            </w:tcBorders>
          </w:tcPr>
          <w:p w14:paraId="5816D14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№77</w:t>
            </w:r>
          </w:p>
          <w:p w14:paraId="7E66C6D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47E70C3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В-2</w:t>
            </w:r>
          </w:p>
          <w:p w14:paraId="05CD237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9D5E1D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325</w:t>
            </w:r>
          </w:p>
          <w:p w14:paraId="0D45167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E7BE9F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430</w:t>
            </w:r>
          </w:p>
          <w:p w14:paraId="62CC541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53C2031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460</w:t>
            </w:r>
          </w:p>
          <w:p w14:paraId="54FE61C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DFACF6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480</w:t>
            </w:r>
          </w:p>
          <w:p w14:paraId="59F2E19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5C5CC9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500</w:t>
            </w:r>
          </w:p>
          <w:p w14:paraId="2046185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3C21966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2195</w:t>
            </w:r>
          </w:p>
          <w:p w14:paraId="6F92E4F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6758649" w14:textId="77777777">
        <w:trPr>
          <w:trHeight w:val="230"/>
        </w:trPr>
        <w:tc>
          <w:tcPr>
            <w:tcW w:w="1805" w:type="dxa"/>
            <w:tcBorders>
              <w:top w:val="single" w:sz="6" w:space="0" w:color="auto"/>
              <w:left w:val="single" w:sz="6" w:space="0" w:color="auto"/>
              <w:bottom w:val="single" w:sz="6" w:space="0" w:color="auto"/>
              <w:right w:val="single" w:sz="6" w:space="0" w:color="auto"/>
            </w:tcBorders>
          </w:tcPr>
          <w:p w14:paraId="188C8C0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w:t>
            </w:r>
          </w:p>
          <w:p w14:paraId="62E54B5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11888ED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В-2</w:t>
            </w:r>
          </w:p>
          <w:p w14:paraId="3EDDA5F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8344A2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2230</w:t>
            </w:r>
          </w:p>
          <w:p w14:paraId="690E4D3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4B5A2B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2350</w:t>
            </w:r>
          </w:p>
          <w:p w14:paraId="272FBE2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6D9F24E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2510</w:t>
            </w:r>
          </w:p>
          <w:p w14:paraId="0D569A7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E7183A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2730</w:t>
            </w:r>
          </w:p>
          <w:p w14:paraId="73D47A2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95E235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2900</w:t>
            </w:r>
          </w:p>
          <w:p w14:paraId="6B7FD63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2248F81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12720</w:t>
            </w:r>
          </w:p>
          <w:p w14:paraId="646309A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ACBD793" w14:textId="77777777">
        <w:trPr>
          <w:trHeight w:val="221"/>
        </w:trPr>
        <w:tc>
          <w:tcPr>
            <w:tcW w:w="1805" w:type="dxa"/>
            <w:tcBorders>
              <w:top w:val="single" w:sz="6" w:space="0" w:color="auto"/>
              <w:left w:val="single" w:sz="6" w:space="0" w:color="auto"/>
              <w:bottom w:val="single" w:sz="6" w:space="0" w:color="auto"/>
              <w:right w:val="single" w:sz="6" w:space="0" w:color="auto"/>
            </w:tcBorders>
          </w:tcPr>
          <w:p w14:paraId="25AD70B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Корпуса</w:t>
            </w:r>
          </w:p>
          <w:p w14:paraId="09CA004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2579C84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0480B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3CAC62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52149B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915F97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B108AD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44AC66C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EFAB2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98595E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D4117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6ADC5B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86B0A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3133F93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EBB6A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644821D" w14:textId="77777777">
        <w:trPr>
          <w:trHeight w:val="240"/>
        </w:trPr>
        <w:tc>
          <w:tcPr>
            <w:tcW w:w="1805" w:type="dxa"/>
            <w:tcBorders>
              <w:top w:val="single" w:sz="6" w:space="0" w:color="auto"/>
              <w:left w:val="single" w:sz="6" w:space="0" w:color="auto"/>
              <w:bottom w:val="single" w:sz="6" w:space="0" w:color="auto"/>
              <w:right w:val="single" w:sz="6" w:space="0" w:color="auto"/>
            </w:tcBorders>
          </w:tcPr>
          <w:p w14:paraId="3919FC3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Уралмашзавод</w:t>
            </w:r>
          </w:p>
          <w:p w14:paraId="34EEA83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42B75F8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СУ-85</w:t>
            </w:r>
          </w:p>
          <w:p w14:paraId="0FD998D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9C82F5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175</w:t>
            </w:r>
          </w:p>
          <w:p w14:paraId="7FCC026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0850A4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200</w:t>
            </w:r>
          </w:p>
          <w:p w14:paraId="1AE9009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7C7974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225</w:t>
            </w:r>
          </w:p>
          <w:p w14:paraId="3F03B8D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CD6EA8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250</w:t>
            </w:r>
          </w:p>
          <w:p w14:paraId="2BF0B98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D0B350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250</w:t>
            </w:r>
          </w:p>
          <w:p w14:paraId="41FD5EF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3030663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1100</w:t>
            </w:r>
          </w:p>
          <w:p w14:paraId="4BCE594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D17A314" w14:textId="77777777">
        <w:trPr>
          <w:trHeight w:val="221"/>
        </w:trPr>
        <w:tc>
          <w:tcPr>
            <w:tcW w:w="1805" w:type="dxa"/>
            <w:tcBorders>
              <w:top w:val="single" w:sz="6" w:space="0" w:color="auto"/>
              <w:left w:val="single" w:sz="6" w:space="0" w:color="auto"/>
              <w:bottom w:val="single" w:sz="6" w:space="0" w:color="auto"/>
              <w:right w:val="single" w:sz="6" w:space="0" w:color="auto"/>
            </w:tcBorders>
          </w:tcPr>
          <w:p w14:paraId="4D4073A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Уралмашзавод</w:t>
            </w:r>
          </w:p>
          <w:p w14:paraId="3CA1440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11BAA3A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ИС-152</w:t>
            </w:r>
          </w:p>
          <w:p w14:paraId="4024BD2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C7903D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w:t>
            </w:r>
          </w:p>
          <w:p w14:paraId="299623C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FE86C9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w:t>
            </w:r>
          </w:p>
          <w:p w14:paraId="129B36D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6792FF4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150</w:t>
            </w:r>
          </w:p>
          <w:p w14:paraId="0D57998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4AA01B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200</w:t>
            </w:r>
          </w:p>
          <w:p w14:paraId="390FFD3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571915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250</w:t>
            </w:r>
          </w:p>
          <w:p w14:paraId="60E10A6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3458BE7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700</w:t>
            </w:r>
          </w:p>
          <w:p w14:paraId="4B8F21F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E87F4CA" w14:textId="77777777">
        <w:trPr>
          <w:trHeight w:val="259"/>
        </w:trPr>
        <w:tc>
          <w:tcPr>
            <w:tcW w:w="1805" w:type="dxa"/>
            <w:tcBorders>
              <w:top w:val="single" w:sz="6" w:space="0" w:color="auto"/>
              <w:left w:val="single" w:sz="6" w:space="0" w:color="auto"/>
              <w:bottom w:val="single" w:sz="6" w:space="0" w:color="auto"/>
              <w:right w:val="single" w:sz="6" w:space="0" w:color="auto"/>
            </w:tcBorders>
          </w:tcPr>
          <w:p w14:paraId="1ED80AA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№200</w:t>
            </w:r>
          </w:p>
          <w:p w14:paraId="611CD6E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2A6DEF0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 и ИС-152</w:t>
            </w:r>
          </w:p>
          <w:p w14:paraId="5678C55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236E7C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125</w:t>
            </w:r>
          </w:p>
          <w:p w14:paraId="3F679DD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51EBFB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175</w:t>
            </w:r>
          </w:p>
          <w:p w14:paraId="07AC651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BAF900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200</w:t>
            </w:r>
          </w:p>
          <w:p w14:paraId="19363B5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08FFCF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220</w:t>
            </w:r>
          </w:p>
          <w:p w14:paraId="3EE90AB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D4DE18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220</w:t>
            </w:r>
          </w:p>
          <w:p w14:paraId="7FD1F55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34BD3F9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340</w:t>
            </w:r>
          </w:p>
          <w:p w14:paraId="5B3DD7A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70C6EDA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1 отдела ТУ ГБТУ КА инженер-подполковник Егоров</w:t>
      </w:r>
    </w:p>
    <w:p w14:paraId="1A972A4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38. Оп. 11355. Д. 2515. Л. 218. Подлинник (11403).</w:t>
      </w:r>
    </w:p>
    <w:p w14:paraId="343CE7B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91303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февраля 1944 г. было подготовлено СООБЩЕНИЕ НАЧАЛЬНИКА УЭТ НАЧАЛЬНИКУ УПРАВЛЕНИЯ САМОХОДНОЙ АРТИЛЛЕРИИ ГБТУ КА ПО ВОПРОСУ УКЛАДКИ БОЕКОМПЛЕКТА И ДОПОЛНИТЕЛЬНОГО ИМУЩЕСТВА, НЕ ПРЕДУСМОТРЕННОГО ЗАВОДСКОЙ УКЛАДКОЙ, КАТАНКИ И САМОХОДНЫЕ УСТАНОВКИ №542119</w:t>
      </w:r>
    </w:p>
    <w:p w14:paraId="1FF4842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приказанию зам. командующего БТ и МВ КА гвардии генерал-лейтенанта танковых войск т. Вольского разработана и сдана в печать краткая инструкция по укладке боекомплекта и дополни</w:t>
      </w:r>
      <w:r w:rsidRPr="007224C3">
        <w:rPr>
          <w:rFonts w:ascii="Times New Roman" w:hAnsi="Times New Roman"/>
          <w:color w:val="000000" w:themeColor="text1"/>
          <w:sz w:val="16"/>
          <w:szCs w:val="16"/>
        </w:rPr>
        <w:softHyphen/>
        <w:t>тельного имущества, не предусмотренного заводской укладкой, на танки и самоходные установки.</w:t>
      </w:r>
    </w:p>
    <w:p w14:paraId="027FA16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соответствии с указанной инструкцией необходимо произвести работы по дооборудованию мест укладки и крепления дополнительного имущества.</w:t>
      </w:r>
    </w:p>
    <w:p w14:paraId="755F5A8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Прошу поставить вопрос перед Наркоматом танковой промышленности о производстве следую</w:t>
      </w:r>
      <w:r w:rsidRPr="007224C3">
        <w:rPr>
          <w:rFonts w:ascii="Times New Roman" w:hAnsi="Times New Roman"/>
          <w:color w:val="000000" w:themeColor="text1"/>
          <w:sz w:val="16"/>
          <w:szCs w:val="16"/>
        </w:rPr>
        <w:softHyphen/>
        <w:t>щих работ по танкам и самоходным установкам:</w:t>
      </w:r>
    </w:p>
    <w:p w14:paraId="66201D9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По танку Т-34</w:t>
      </w:r>
    </w:p>
    <w:p w14:paraId="791D38F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Крепление 2-х вещевых мешков с продовольствием в носовой части (рис.</w:t>
      </w:r>
      <w:r w:rsidRPr="007224C3">
        <w:rPr>
          <w:rFonts w:ascii="Times New Roman" w:hAnsi="Times New Roman"/>
          <w:color w:val="000000" w:themeColor="text1"/>
          <w:sz w:val="16"/>
          <w:szCs w:val="16"/>
          <w:vertAlign w:val="superscript"/>
        </w:rPr>
        <w:t>1</w:t>
      </w:r>
      <w:r w:rsidRPr="007224C3">
        <w:rPr>
          <w:rFonts w:ascii="Times New Roman" w:hAnsi="Times New Roman"/>
          <w:color w:val="000000" w:themeColor="text1"/>
          <w:sz w:val="16"/>
          <w:szCs w:val="16"/>
        </w:rPr>
        <w:t>, обозначение 17).</w:t>
      </w:r>
    </w:p>
    <w:p w14:paraId="71207F7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Изготовить съемный железный ящик для укладки вещевого имущества — 4 пары сапог, 4 шинели в скатках и 4 пары белья. Ящик крепить на левом крыле танка (рис. 5, обозначение 14).</w:t>
      </w:r>
    </w:p>
    <w:p w14:paraId="06C75A7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Крепление ППШ (ремешками) на правом фальшборте в боевом отделении (рис. 2, обозначение 10).</w:t>
      </w:r>
    </w:p>
    <w:p w14:paraId="28E562E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Крепление бревен для самовытаскивания на крыльях танка по одному с каждой стороны (рис. 5, обозначение 15).</w:t>
      </w:r>
    </w:p>
    <w:p w14:paraId="031077E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Крепление танковой печи на корме танка (рис. 5, обозначение 16).</w:t>
      </w:r>
    </w:p>
    <w:p w14:paraId="29D400E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Нанести отличительные полосы окраски на гнездах, стеллажах и кассетах:</w:t>
      </w:r>
    </w:p>
    <w:p w14:paraId="4532812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для бронебойных снарядов — красная;</w:t>
      </w:r>
    </w:p>
    <w:p w14:paraId="3D923FC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для осколочно-фугасных гранат — зеленая;</w:t>
      </w:r>
    </w:p>
    <w:p w14:paraId="2EA5005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для пулеметных дисков с патронами бронебойно-трассирующей пули — красная;</w:t>
      </w:r>
    </w:p>
    <w:p w14:paraId="0B0A138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 для пулеметных дисков с патронами легкой и трассирующей пули — зеленая.</w:t>
      </w:r>
    </w:p>
    <w:p w14:paraId="1C9BA4F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По СУ-76</w:t>
      </w:r>
    </w:p>
    <w:p w14:paraId="1A1474C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Сделать гнезда для ручных гранат (9 шт.) на днище танка в боевом отделении с левой стороны (рис. 1 и 2, обозначение 8).</w:t>
      </w:r>
    </w:p>
    <w:p w14:paraId="1DD15A2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Крепление ППШ (ремешками) на бортах боевого отделения по одному с каждой стороны (рис. 1 и 2, обозначение 10).</w:t>
      </w:r>
    </w:p>
    <w:p w14:paraId="037C4BC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Сделать кронштейны для крепления бревен для самовытаскивания на корме снаружи.</w:t>
      </w:r>
    </w:p>
    <w:p w14:paraId="5274FC2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По СУ-85</w:t>
      </w:r>
    </w:p>
    <w:p w14:paraId="6CFAF1C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Крепление ППШ (ремешками) в правой нише башни (рис. 2, обозначение 10).</w:t>
      </w:r>
    </w:p>
    <w:p w14:paraId="72198E2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Изготовить съемный железный ящик для укладки вещевого имущества — 4 пары сапог, 4 шине</w:t>
      </w:r>
      <w:r w:rsidRPr="007224C3">
        <w:rPr>
          <w:rFonts w:ascii="Times New Roman" w:hAnsi="Times New Roman"/>
          <w:color w:val="000000" w:themeColor="text1"/>
          <w:sz w:val="16"/>
          <w:szCs w:val="16"/>
        </w:rPr>
        <w:softHyphen/>
        <w:t>ли в скатках и 4 пары белья. Ящик крепить на правом крыле установки (рис. 5, обозначение 14).</w:t>
      </w:r>
    </w:p>
    <w:p w14:paraId="596F063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3. Крепление танковой печи на корме установки (рис. 5, обозначение 16).</w:t>
      </w:r>
    </w:p>
    <w:p w14:paraId="134E780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По СУ-152</w:t>
      </w:r>
    </w:p>
    <w:p w14:paraId="445F445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Оборудовать место крепления удлинителя корзинки панорамы (ремешками) на левом борту боевого отделения (рис. 1, обозначение 21).</w:t>
      </w:r>
    </w:p>
    <w:p w14:paraId="15CC8B8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Крепление ППШ (ремешками): два на заднем броневом листке башни, один на правом борту (рис. 2 и 4, обозначение 10).</w:t>
      </w:r>
    </w:p>
    <w:p w14:paraId="6310908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Изготовить съемный железный ящик для укладки вещевого имущества — 5 пар сапог, 5 шине</w:t>
      </w:r>
      <w:r w:rsidRPr="007224C3">
        <w:rPr>
          <w:rFonts w:ascii="Times New Roman" w:hAnsi="Times New Roman"/>
          <w:color w:val="000000" w:themeColor="text1"/>
          <w:sz w:val="16"/>
          <w:szCs w:val="16"/>
        </w:rPr>
        <w:softHyphen/>
        <w:t>лей в скатках и 5 пар белья. Ящик крепить на правом крыле установки (рис. 6, обозначение 14).</w:t>
      </w:r>
    </w:p>
    <w:p w14:paraId="0D86766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Крепление бревен для самовытаскивания на корме перпендикулярно продольной оси уста</w:t>
      </w:r>
      <w:r w:rsidRPr="007224C3">
        <w:rPr>
          <w:rFonts w:ascii="Times New Roman" w:hAnsi="Times New Roman"/>
          <w:color w:val="000000" w:themeColor="text1"/>
          <w:sz w:val="16"/>
          <w:szCs w:val="16"/>
        </w:rPr>
        <w:softHyphen/>
        <w:t>новки (рис. 6, обозначение 15).</w:t>
      </w:r>
    </w:p>
    <w:p w14:paraId="7A77EBB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Крепление танковой печи на левом крыле за запасными топливными баками (рис. 6, обо</w:t>
      </w:r>
      <w:r w:rsidRPr="007224C3">
        <w:rPr>
          <w:rFonts w:ascii="Times New Roman" w:hAnsi="Times New Roman"/>
          <w:color w:val="000000" w:themeColor="text1"/>
          <w:sz w:val="16"/>
          <w:szCs w:val="16"/>
        </w:rPr>
        <w:softHyphen/>
        <w:t>значение 16).</w:t>
      </w:r>
    </w:p>
    <w:p w14:paraId="659B613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всех самоходных установках нанести отличительные полосы окраски на гнездах, стеллажах и кассетах:</w:t>
      </w:r>
    </w:p>
    <w:p w14:paraId="14EE483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для бронебойных снарядов — красная;</w:t>
      </w:r>
    </w:p>
    <w:p w14:paraId="145429E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для осколочно-фугасных снарядов — зеленая.</w:t>
      </w:r>
    </w:p>
    <w:p w14:paraId="7BD8ACA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УЭТ ГБТУ КА генерал-майор инженерно-танковой службы Печенкин</w:t>
      </w:r>
    </w:p>
    <w:p w14:paraId="4263864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38. Оп. 11369. Д. 268. Л. 26, 26 об. Копия (11403).</w:t>
      </w:r>
    </w:p>
    <w:p w14:paraId="7F238AA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118A938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февраля 1944 вышло Постановление ГКО № 5093 О плане производства танков, самоходных установок, дизелей, запасных частей и ремонта танков, самоходных установок и дизелей на февраль 1944 года. РГАНИР, Фонд ГКО, д. 205, лл. 6-15,16 (11012).</w:t>
      </w:r>
    </w:p>
    <w:p w14:paraId="0C4AE69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307CA69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февраля 1944 вышло Постановление ГКО № 5094 О плане производства и поставок НКО и НКВМФ артиллерийского, минометного и стрелкового вооружения и военных приборов на февраль 1944 года. РГАНИР, Фонд ГКО, д. 205, лл. 17-33,34-49 (11012).</w:t>
      </w:r>
    </w:p>
    <w:p w14:paraId="3910AFA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502E57C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февраля 1944 вышло Постановление ГКО № 5095 О плане производства и поставок пулеметов-пистолетов Шпагина и ПП-43 в феврале 1944 года. РГАНИР, Фонд ГКО, д. 205, лл. 50-54,55-61 (11012).</w:t>
      </w:r>
    </w:p>
    <w:p w14:paraId="1CE95DA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3FBAC80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февраля 1944 вышло Постановление ГКО № 5096 О поставке НКО и НКВМФ боеприпасов в феврале 1944 года. РГАНИР, Фонд ГКО, д. 205, лл. 62-80,81-109 (11012).</w:t>
      </w:r>
    </w:p>
    <w:p w14:paraId="7B979D4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0278F77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февраля 1944 вышло Постановление ГКО № 5097 О плане производства и поставок патронов и звеньев Наркоматом вооружения в феврале 1944 г. РГАНИР, Фонд ГКО, д. 205, лл. 110-114,115-119 (11012).</w:t>
      </w:r>
    </w:p>
    <w:p w14:paraId="75B99DA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6CE26703" w14:textId="77777777" w:rsidR="00B862BC"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февраля 1944 вышло Постановление ГКО № 5098 Об организации производства 82 мм реактивных противотанковых ружей и мин к ним. РГАНИР, Фонд ГКО, д. 205, лл. 120-123,124-127 (11012).</w:t>
      </w:r>
    </w:p>
    <w:p w14:paraId="4496D05B" w14:textId="77777777" w:rsidR="00B862BC"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февраля 1944 вышло:</w:t>
      </w:r>
    </w:p>
    <w:p w14:paraId="68C40D0C" w14:textId="77777777" w:rsidR="00B862BC"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ПОСТАНОВЛЕНИЕ ГОСУДАРСТВЕННОГО КОМИТЕТА ОБОРОНЫ № 5098сс</w:t>
      </w:r>
    </w:p>
    <w:p w14:paraId="443564F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Об организации производства 82 мм реактивных противотанковых ружей и мин к ним </w:t>
      </w:r>
    </w:p>
    <w:p w14:paraId="4F6F4F3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Государственный Комитет Обороны ПОСТАНОВЛЯЕТ:</w:t>
      </w:r>
    </w:p>
    <w:p w14:paraId="7C3FCC7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Обязать Наркомминвооружения (т. Паршина) изготовить на заводе № 808 г. Рыбинск партию 82 мм реактивных противотанковых ружей в количестве 250 штук, со сроком поставки их ГАУ КА: к 20 марта 1944 г. - 50 штук и к 15 апреля 1944 г. - 200 штук.</w:t>
      </w:r>
    </w:p>
    <w:p w14:paraId="36950F3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Обязать Наркомбоеприпасов (т. Ванникова):</w:t>
      </w:r>
    </w:p>
    <w:p w14:paraId="0F7553D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сдать ГАУ КА к 1 апреля 1944 г. 10000 штук комплектных выстрелов к 82 мм реактивному противотанковому ружью "ПТР-82", в том числе до 15 марта 2000 штук;</w:t>
      </w:r>
    </w:p>
    <w:p w14:paraId="231D8AE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организовать на своих заводах производство взрывателей "ЦВ-44", запалов "ЗП-44", пороховых зарядов с воспламенителями и снаряжение корпусов 82 мм реактивных противотанковых мин по чертежам ГАУ КА с выпуском:</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705"/>
        <w:gridCol w:w="2670"/>
        <w:gridCol w:w="1470"/>
        <w:gridCol w:w="1470"/>
      </w:tblGrid>
      <w:tr w:rsidR="005106D0" w:rsidRPr="007224C3" w14:paraId="2ABF62E4" w14:textId="77777777">
        <w:trPr>
          <w:jc w:val="center"/>
        </w:trPr>
        <w:tc>
          <w:tcPr>
            <w:tcW w:w="3705" w:type="dxa"/>
            <w:tcBorders>
              <w:top w:val="single" w:sz="12" w:space="0" w:color="auto"/>
            </w:tcBorders>
          </w:tcPr>
          <w:p w14:paraId="3F65FA0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заводе №398 (г. Москва)</w:t>
            </w:r>
          </w:p>
        </w:tc>
        <w:tc>
          <w:tcPr>
            <w:tcW w:w="2670" w:type="dxa"/>
            <w:tcBorders>
              <w:top w:val="single" w:sz="12" w:space="0" w:color="auto"/>
            </w:tcBorders>
          </w:tcPr>
          <w:p w14:paraId="46350CD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взрывателей и запалов</w:t>
            </w:r>
          </w:p>
        </w:tc>
        <w:tc>
          <w:tcPr>
            <w:tcW w:w="1470" w:type="dxa"/>
            <w:tcBorders>
              <w:top w:val="single" w:sz="12" w:space="0" w:color="auto"/>
            </w:tcBorders>
          </w:tcPr>
          <w:p w14:paraId="7C3BA14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Февраль</w:t>
            </w:r>
          </w:p>
          <w:p w14:paraId="16A7DC1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2000</w:t>
            </w:r>
          </w:p>
        </w:tc>
        <w:tc>
          <w:tcPr>
            <w:tcW w:w="1470" w:type="dxa"/>
            <w:tcBorders>
              <w:top w:val="single" w:sz="12" w:space="0" w:color="auto"/>
            </w:tcBorders>
          </w:tcPr>
          <w:p w14:paraId="40B3456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Март</w:t>
            </w:r>
          </w:p>
          <w:p w14:paraId="3879911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9000</w:t>
            </w:r>
          </w:p>
        </w:tc>
      </w:tr>
      <w:tr w:rsidR="005106D0" w:rsidRPr="007224C3" w14:paraId="2CC7D9B7" w14:textId="77777777">
        <w:trPr>
          <w:jc w:val="center"/>
        </w:trPr>
        <w:tc>
          <w:tcPr>
            <w:tcW w:w="3705" w:type="dxa"/>
          </w:tcPr>
          <w:p w14:paraId="0B41884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заводе № 562</w:t>
            </w:r>
          </w:p>
        </w:tc>
        <w:tc>
          <w:tcPr>
            <w:tcW w:w="2670" w:type="dxa"/>
          </w:tcPr>
          <w:p w14:paraId="6C155E7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пороховых зарядов с воспламенителем</w:t>
            </w:r>
          </w:p>
        </w:tc>
        <w:tc>
          <w:tcPr>
            <w:tcW w:w="1470" w:type="dxa"/>
          </w:tcPr>
          <w:p w14:paraId="0AD5B2D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2000</w:t>
            </w:r>
          </w:p>
        </w:tc>
        <w:tc>
          <w:tcPr>
            <w:tcW w:w="1470" w:type="dxa"/>
          </w:tcPr>
          <w:p w14:paraId="433A407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9000</w:t>
            </w:r>
          </w:p>
        </w:tc>
      </w:tr>
      <w:tr w:rsidR="005106D0" w:rsidRPr="007224C3" w14:paraId="1C690456" w14:textId="77777777">
        <w:trPr>
          <w:jc w:val="center"/>
        </w:trPr>
        <w:tc>
          <w:tcPr>
            <w:tcW w:w="3705" w:type="dxa"/>
            <w:tcBorders>
              <w:bottom w:val="single" w:sz="12" w:space="0" w:color="auto"/>
            </w:tcBorders>
          </w:tcPr>
          <w:p w14:paraId="09F81C1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заводе № 12</w:t>
            </w:r>
          </w:p>
        </w:tc>
        <w:tc>
          <w:tcPr>
            <w:tcW w:w="2670" w:type="dxa"/>
            <w:tcBorders>
              <w:bottom w:val="single" w:sz="12" w:space="0" w:color="auto"/>
            </w:tcBorders>
          </w:tcPr>
          <w:p w14:paraId="0E59A92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снаряжение</w:t>
            </w:r>
          </w:p>
        </w:tc>
        <w:tc>
          <w:tcPr>
            <w:tcW w:w="1470" w:type="dxa"/>
            <w:tcBorders>
              <w:bottom w:val="single" w:sz="12" w:space="0" w:color="auto"/>
            </w:tcBorders>
          </w:tcPr>
          <w:p w14:paraId="20BBAD2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470" w:type="dxa"/>
            <w:tcBorders>
              <w:bottom w:val="single" w:sz="12" w:space="0" w:color="auto"/>
            </w:tcBorders>
          </w:tcPr>
          <w:p w14:paraId="5AEEF63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10000</w:t>
            </w:r>
          </w:p>
        </w:tc>
      </w:tr>
    </w:tbl>
    <w:p w14:paraId="03D814F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Обязать Наркомместпром РСФСР (т. Семиряева):</w:t>
      </w:r>
    </w:p>
    <w:p w14:paraId="13A9D4C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а) организовать на заводе "Красный Штамповщик" производство корпусов к 82 мм реактивному противотанковому ружью "ПТР-82": с выпуском в феврале-марте 1944 г. 15000 шт., в том числе до 15 марта 5000 шт, и поставить их заводу № 12 НКБ на снаряжение; </w:t>
      </w:r>
    </w:p>
    <w:p w14:paraId="75557A5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изготовить на заводах"Красный Штамповщик" и электроарматурном заводе все штампованные детали к минам "РПМ-82" в количествах, необходимых для сборки корпусов;</w:t>
      </w:r>
    </w:p>
    <w:p w14:paraId="6B441CF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изготовить на ДОЗ'е №5 (г.Москва) для завода "Красный Штамповщик" в феврале - марте 1944 г. 4000 шт. спецукупорки для мин "РПМ-82" за счёт соответствующего сокращения, поставки этому заводу спецукупорки по заводскому чертежу.</w:t>
      </w:r>
    </w:p>
    <w:p w14:paraId="2F18588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Обязать Наркомстанкостроения (т. Ефремова) организовать производство деталей корпусов реактивных противотанковых мин на заводах "Фрезер" и "Красный Пролетарий" (г. Москва) и обеспечить их выпуск в феврале-марте 1944 г.</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7740"/>
        <w:gridCol w:w="1260"/>
        <w:gridCol w:w="1005"/>
      </w:tblGrid>
      <w:tr w:rsidR="005106D0" w:rsidRPr="007224C3" w14:paraId="3790E405" w14:textId="77777777">
        <w:trPr>
          <w:jc w:val="center"/>
        </w:trPr>
        <w:tc>
          <w:tcPr>
            <w:tcW w:w="7740" w:type="dxa"/>
            <w:tcBorders>
              <w:top w:val="single" w:sz="12" w:space="0" w:color="auto"/>
            </w:tcBorders>
          </w:tcPr>
          <w:p w14:paraId="5409AF7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260" w:type="dxa"/>
            <w:tcBorders>
              <w:top w:val="single" w:sz="12" w:space="0" w:color="auto"/>
            </w:tcBorders>
          </w:tcPr>
          <w:p w14:paraId="129DB32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февраль</w:t>
            </w:r>
          </w:p>
        </w:tc>
        <w:tc>
          <w:tcPr>
            <w:tcW w:w="1005" w:type="dxa"/>
            <w:tcBorders>
              <w:top w:val="single" w:sz="12" w:space="0" w:color="auto"/>
            </w:tcBorders>
          </w:tcPr>
          <w:p w14:paraId="46EE1B0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март</w:t>
            </w:r>
          </w:p>
        </w:tc>
      </w:tr>
      <w:tr w:rsidR="005106D0" w:rsidRPr="007224C3" w14:paraId="6F87C514" w14:textId="77777777">
        <w:trPr>
          <w:jc w:val="center"/>
        </w:trPr>
        <w:tc>
          <w:tcPr>
            <w:tcW w:w="7740" w:type="dxa"/>
          </w:tcPr>
          <w:p w14:paraId="4C8857E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заводе "Фрезер" деталей № 13(крышка)</w:t>
            </w:r>
          </w:p>
        </w:tc>
        <w:tc>
          <w:tcPr>
            <w:tcW w:w="1260" w:type="dxa"/>
          </w:tcPr>
          <w:p w14:paraId="25A1FD3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7000</w:t>
            </w:r>
          </w:p>
        </w:tc>
        <w:tc>
          <w:tcPr>
            <w:tcW w:w="1005" w:type="dxa"/>
          </w:tcPr>
          <w:p w14:paraId="527BB97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10000</w:t>
            </w:r>
          </w:p>
        </w:tc>
      </w:tr>
      <w:tr w:rsidR="005106D0" w:rsidRPr="007224C3" w14:paraId="5D7C8A60" w14:textId="77777777">
        <w:trPr>
          <w:jc w:val="center"/>
        </w:trPr>
        <w:tc>
          <w:tcPr>
            <w:tcW w:w="7740" w:type="dxa"/>
            <w:tcBorders>
              <w:bottom w:val="single" w:sz="12" w:space="0" w:color="auto"/>
            </w:tcBorders>
          </w:tcPr>
          <w:p w14:paraId="46A073D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на заводе "Красный Пролетарий" деталей № 17(крышка) и № 1 (корпус) по </w:t>
            </w:r>
          </w:p>
        </w:tc>
        <w:tc>
          <w:tcPr>
            <w:tcW w:w="1260" w:type="dxa"/>
            <w:tcBorders>
              <w:bottom w:val="single" w:sz="12" w:space="0" w:color="auto"/>
            </w:tcBorders>
          </w:tcPr>
          <w:p w14:paraId="14890EB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7000</w:t>
            </w:r>
          </w:p>
        </w:tc>
        <w:tc>
          <w:tcPr>
            <w:tcW w:w="1005" w:type="dxa"/>
            <w:tcBorders>
              <w:bottom w:val="single" w:sz="12" w:space="0" w:color="auto"/>
            </w:tcBorders>
          </w:tcPr>
          <w:p w14:paraId="690770B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10000</w:t>
            </w:r>
          </w:p>
        </w:tc>
      </w:tr>
    </w:tbl>
    <w:p w14:paraId="0DD579E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Детали поставлять заводу "Красный штамповщик" НКМП РСФСР.</w:t>
      </w:r>
    </w:p>
    <w:p w14:paraId="51B2D53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Обязать Наркомхимпром (т. Первухина) изготовить в научно- исследовательском институте пластмасс (г. Москва) пластмассовых деталей № 3 (корпус взрывателя), № 4 (ниппель взрывателя) № 6 (втулка) и № 15 (пробка крышки) в феврале 1944 г. 5000 комплектов и в марте 1944 г. 10000 комплектов с поставкой деталей №№ 3,4 - заводу № 398 НКБ, №№ 6,15 - заводу "Красный штамповщик" НКМП РСФСР.</w:t>
      </w:r>
    </w:p>
    <w:p w14:paraId="54AA2BD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Обязать Наркомбоеприпасов (т. Ванникова) изготовить на заводе № 48 (г. Москва) штамповок деталей № 13 (крышка) к корпусам реактивных противотанковых мин с поставкой их заводу "Фрезер" НКСС в феврале и марте 1944 г. по 10000 шт. : за счёт производства штамповок деталей № 4 (сопло) к снарядам М-8, поставляемых заводу "Красный Пролетарий" НКСС.</w:t>
      </w:r>
    </w:p>
    <w:p w14:paraId="1F61C6C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В связи с организацией производства корпусов и деталей реактивных противотанковых мин " РПМ-82":</w:t>
      </w:r>
    </w:p>
    <w:p w14:paraId="0513A60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уменьшить заводу "Фрезер" НКСС план производства деталей № 1 (сопло) к снарядам М-13 в январе 1944 г. до 9000 шт., освободив его от производства этих деталей полностью в феврале и марте 1944 г. с сохранением на заводе всей оснастки и инструмента для производства этих деталей;</w:t>
      </w:r>
    </w:p>
    <w:p w14:paraId="5DD5E77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уменьшить заводу "Красный Пролетарий" НКСС план производства деталей № 7 (камера) к снарядам М-8 на февраль и март 1944 г.</w:t>
      </w:r>
    </w:p>
    <w:p w14:paraId="721D702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 10000 шт. 1 месяц, освободив его полностью в феврале-марте 1944 г, от производства деталей № 4 (сопло) к снарядам, М-8; в) СНК РСФСР (т.Чеснокову) освободить завод "Красный штамповщик" НКМП РСФСР в феврале и марте 1944 г. от производства армейских котелков и разместить их производство на других предприятиях местной промышленности и промкооперации РСФСР.</w:t>
      </w:r>
    </w:p>
    <w:p w14:paraId="6E659E8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Обязать ГАУ КА (т. Яковлева):</w:t>
      </w:r>
    </w:p>
    <w:p w14:paraId="4B7E963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к 1 февраля 1944 г. обеспечить заводы изготовители чертежами и техническими условиями на изготовление и приёмку 82 мм реактивных противотанковых ружей, мин к ним и спецукупорки; .</w:t>
      </w:r>
    </w:p>
    <w:p w14:paraId="52550C8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в апреле 1944 г. провести войсковые испытания 82 мм реактивного противотанкового ружья и дать свои предложения о дальнейшем их производстве.</w:t>
      </w:r>
    </w:p>
    <w:p w14:paraId="23CF57E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Обязать Наркомнефть (т. Седина), Наркомбоеприпасов (т.Банникова) и НИИ-3 при СНК СССР (т.Костикова) продолжить совместные работы спецгруппы Наркомнефти, НИИ-6 и НИИ-3 в направлении дальнейшего усовершенствования конструкции, увеличения бронепробивной способности и улучшения кучности боя реактивного противотанкового ружья.</w:t>
      </w:r>
    </w:p>
    <w:p w14:paraId="646B710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Обязать Наркомбоеприпасов (т.Ванникова):</w:t>
      </w:r>
    </w:p>
    <w:p w14:paraId="08DD453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представить в Совнарком СССР к 15 февраля 1944 г. предложения об организации во II квартале 1944 г. на заводе № 568 производства деталей № 4 (сопло) к снарядам М-8 с расчетом выпуска по 20 т.шт. в месяц;</w:t>
      </w:r>
    </w:p>
    <w:p w14:paraId="2BB5E12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отгрузить в феврале-марте 1944 г. заводу № 568 (г.Москва) с завода № 42 (из наличия) - 20. т.шт. деталей № 4 (сопло) к снарядам М-8.</w:t>
      </w:r>
    </w:p>
    <w:p w14:paraId="7B8B13D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Обязать Наркомминвооружения (т. Паршина) увеличить план производства деталей № 1 (сопло) к снарядам М-13 на заводе № 755 с марта 1944 г. до 10 т.шт. в месяц, проведя в. феврале необходимые мероприятия для обеспечения этого задания.</w:t>
      </w:r>
    </w:p>
    <w:p w14:paraId="21842EC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12. Утвердить прилагаемые мероприятия по материально-техническому обеспечению производства 82 мм реактивных противотанковых ружей и мин к ним.</w:t>
      </w:r>
    </w:p>
    <w:p w14:paraId="6703CA9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ПРЕДСЕДАТЕЛЬ ГОСУДАРСТВЕННОГО КОМИТЕТА ОБОРОНЫ (И. Сталин) (11813).</w:t>
      </w:r>
    </w:p>
    <w:p w14:paraId="177F8FB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сов.секретно</w:t>
      </w:r>
    </w:p>
    <w:p w14:paraId="13BA4F2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Приложение к постановлению ГОКО от "5" февраля 1944 г. № 5098сс</w:t>
      </w:r>
    </w:p>
    <w:p w14:paraId="6D7B70E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Мероприятия по материально-техническому обеспечению производства 82 мм реактивных противотанковых ружей и мин к ним.</w:t>
      </w:r>
    </w:p>
    <w:p w14:paraId="33A7DAD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Обязать Наркометанкостроения (т. Ефремова) изготовить, до 15 февраля 1944 г. на московских заводах для завода "Красный штамповщик" НКМП РСФСР по его чертежам 3 комплекта штампов для штамповки деталей № 3 (конус), № 5 (баллистический наконечник) и СБ-9 (диафрагма) к реактивным противотанковым минам и для Московского института пластмасс НКХП по его спецификации мерительного и режущего инструмента на тысячу рублей.</w:t>
      </w:r>
    </w:p>
    <w:p w14:paraId="49831A2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2.Обязать Главное Управление Трудовых Резервов при Совнаркоме СССР (т.Москатова) направить на завод"Красный Пролетарий" НКСС 50 человек выпускников ремесленных училищ ближайшего выпуска в счёт плана по Наркомстанкостроению.</w:t>
      </w:r>
    </w:p>
    <w:p w14:paraId="458E74C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Обязать Наркомвлектростанций (т.Жимерина) обеспечить бесперебойное снабжение электроэнергией завода "Красный штамповщик" НКМП РСФСР (г.Москва) в соответствии с его потребностью на производство 82 мм реактивных противотанковых мин.</w:t>
      </w:r>
    </w:p>
    <w:p w14:paraId="0521C0E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Выделить в распоряжение наркоматов, привлекаемых к изготовлению реактивных противотанковых ружей и мин к ним 400 тыс. рублей на премирование рабочих, ИТР и служащих за выполнение установленного задания, в том числе: Наркомату Боеприпасов - 100 тыс. рублей, Наркомминвооружения - 50 тыс. рублей, Наркомместпрому РСФСР -125 тыс. рублей, Наркемстанкостроения -.100 тыс.рублей, Наркомхимпром - 25 тыс.рублей.</w:t>
      </w:r>
    </w:p>
    <w:p w14:paraId="7AF1CE2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Обязать НКПП (т. Зотова) выдать в 1 квартале 1944 г. заводам, привлечённым к производству реактивных противотанковых ружей и мин</w:t>
      </w:r>
    </w:p>
    <w:p w14:paraId="297FB55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ним для продажи рабочим табаку и водки, в т.ч. НКБ, НКМВ, НКМП РСФСР, НКСС по 50 кг табаку и по 500 литров водки, НКХП - 20 кг.табаку и 75 литров водки.</w:t>
      </w:r>
    </w:p>
    <w:p w14:paraId="235DBE5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Обязать, Наркомсрелмаш .(т. Акопова) и НКО (т.Хрулева) поставить в феврале 1944 г. заводам "Красный Пролетарий" НКСС и "Красный штамповщик" НКМП РСФСР по 2 шт. грузовых автомашин марки ГАЗ-АА за счёт фондов НКО.</w:t>
      </w:r>
    </w:p>
    <w:p w14:paraId="5E5B548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Обязать Наркомхимпром (т.Первухина) и Наркомсрелмаш (т.Акопова) поставить Наркомминвооружения детали для 82 мм реактивных противотанковых ружей в количествах, и сроки, согласно приложению № 1.</w:t>
      </w:r>
    </w:p>
    <w:p w14:paraId="70C7ED0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Обязать Наркомчермет (т.Тевосяна) и Главметаллосбыт - т.Цыренъ поставить в феврале 1944 г. заводам, привлечённым к изготовлению 82 мм реактивных противотанковых ружей и мин к ним впереди других потребителей и преимущественно из наличия на Московской базе Главметаллосбыта металл в количествах и сроки согласно приложению № 2.</w:t>
      </w:r>
    </w:p>
    <w:p w14:paraId="40DE1CA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Председатель Государственного Комитета Обороны (И.В. Сталин) (11813).</w:t>
      </w:r>
    </w:p>
    <w:p w14:paraId="23FD581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Секретно</w:t>
      </w:r>
    </w:p>
    <w:p w14:paraId="4928E05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Приложение№1</w:t>
      </w:r>
    </w:p>
    <w:p w14:paraId="4032503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постановлению ГОКО от "5" февраля 1944 г. № 5098сс</w:t>
      </w:r>
    </w:p>
    <w:p w14:paraId="653CA1E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Ведомость поставки Наркомминвооружения деталей для 82 мм реактивных противотанковых ружей.</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240"/>
        <w:gridCol w:w="1800"/>
        <w:gridCol w:w="1395"/>
        <w:gridCol w:w="2565"/>
        <w:gridCol w:w="1365"/>
      </w:tblGrid>
      <w:tr w:rsidR="005106D0" w:rsidRPr="007224C3" w14:paraId="2A32475E" w14:textId="77777777">
        <w:trPr>
          <w:jc w:val="center"/>
        </w:trPr>
        <w:tc>
          <w:tcPr>
            <w:tcW w:w="3240" w:type="dxa"/>
            <w:tcBorders>
              <w:top w:val="single" w:sz="12" w:space="0" w:color="auto"/>
            </w:tcBorders>
          </w:tcPr>
          <w:p w14:paraId="621B024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Наименование</w:t>
            </w:r>
          </w:p>
        </w:tc>
        <w:tc>
          <w:tcPr>
            <w:tcW w:w="1800" w:type="dxa"/>
            <w:tcBorders>
              <w:top w:val="single" w:sz="12" w:space="0" w:color="auto"/>
            </w:tcBorders>
          </w:tcPr>
          <w:p w14:paraId="4133AAA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Единица измерения</w:t>
            </w:r>
          </w:p>
        </w:tc>
        <w:tc>
          <w:tcPr>
            <w:tcW w:w="1395" w:type="dxa"/>
            <w:tcBorders>
              <w:top w:val="single" w:sz="12" w:space="0" w:color="auto"/>
            </w:tcBorders>
          </w:tcPr>
          <w:p w14:paraId="76266D0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Количество</w:t>
            </w:r>
          </w:p>
        </w:tc>
        <w:tc>
          <w:tcPr>
            <w:tcW w:w="2565" w:type="dxa"/>
            <w:tcBorders>
              <w:top w:val="single" w:sz="12" w:space="0" w:color="auto"/>
            </w:tcBorders>
          </w:tcPr>
          <w:p w14:paraId="3B30C33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Поставщик</w:t>
            </w:r>
          </w:p>
        </w:tc>
        <w:tc>
          <w:tcPr>
            <w:tcW w:w="1365" w:type="dxa"/>
            <w:tcBorders>
              <w:top w:val="single" w:sz="12" w:space="0" w:color="auto"/>
            </w:tcBorders>
          </w:tcPr>
          <w:p w14:paraId="58BEC90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Срок поставки</w:t>
            </w:r>
          </w:p>
        </w:tc>
      </w:tr>
      <w:tr w:rsidR="005106D0" w:rsidRPr="007224C3" w14:paraId="1B8692B6" w14:textId="77777777">
        <w:trPr>
          <w:jc w:val="center"/>
        </w:trPr>
        <w:tc>
          <w:tcPr>
            <w:tcW w:w="3240" w:type="dxa"/>
          </w:tcPr>
          <w:p w14:paraId="65E89B5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Боевая пружина д.38</w:t>
            </w:r>
          </w:p>
        </w:tc>
        <w:tc>
          <w:tcPr>
            <w:tcW w:w="1800" w:type="dxa"/>
          </w:tcPr>
          <w:p w14:paraId="279D442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w:t>
            </w:r>
          </w:p>
        </w:tc>
        <w:tc>
          <w:tcPr>
            <w:tcW w:w="1395" w:type="dxa"/>
          </w:tcPr>
          <w:p w14:paraId="574C98A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400</w:t>
            </w:r>
          </w:p>
        </w:tc>
        <w:tc>
          <w:tcPr>
            <w:tcW w:w="2565" w:type="dxa"/>
          </w:tcPr>
          <w:p w14:paraId="308954F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З-д им. Буденного Наркомсредмаша</w:t>
            </w:r>
          </w:p>
        </w:tc>
        <w:tc>
          <w:tcPr>
            <w:tcW w:w="1365" w:type="dxa"/>
          </w:tcPr>
          <w:p w14:paraId="1F8DBC8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марта 1944</w:t>
            </w:r>
          </w:p>
        </w:tc>
      </w:tr>
      <w:tr w:rsidR="005106D0" w:rsidRPr="007224C3" w14:paraId="30FB4508" w14:textId="77777777">
        <w:trPr>
          <w:jc w:val="center"/>
        </w:trPr>
        <w:tc>
          <w:tcPr>
            <w:tcW w:w="3240" w:type="dxa"/>
          </w:tcPr>
          <w:p w14:paraId="14B719C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Пружина шептало д.37 </w:t>
            </w:r>
          </w:p>
        </w:tc>
        <w:tc>
          <w:tcPr>
            <w:tcW w:w="1800" w:type="dxa"/>
          </w:tcPr>
          <w:p w14:paraId="4F64899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w:t>
            </w:r>
          </w:p>
        </w:tc>
        <w:tc>
          <w:tcPr>
            <w:tcW w:w="1395" w:type="dxa"/>
          </w:tcPr>
          <w:p w14:paraId="5F0006D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400</w:t>
            </w:r>
          </w:p>
        </w:tc>
        <w:tc>
          <w:tcPr>
            <w:tcW w:w="2565" w:type="dxa"/>
          </w:tcPr>
          <w:p w14:paraId="1F13C99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З-д им. Буденного Наркомсредмаша</w:t>
            </w:r>
          </w:p>
        </w:tc>
        <w:tc>
          <w:tcPr>
            <w:tcW w:w="1365" w:type="dxa"/>
          </w:tcPr>
          <w:p w14:paraId="55296B0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марта 1944</w:t>
            </w:r>
          </w:p>
        </w:tc>
      </w:tr>
      <w:tr w:rsidR="005106D0" w:rsidRPr="007224C3" w14:paraId="011F9020" w14:textId="77777777">
        <w:trPr>
          <w:jc w:val="center"/>
        </w:trPr>
        <w:tc>
          <w:tcPr>
            <w:tcW w:w="3240" w:type="dxa"/>
          </w:tcPr>
          <w:p w14:paraId="32940FC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Деталь № 115 из пластиглаза</w:t>
            </w:r>
          </w:p>
        </w:tc>
        <w:tc>
          <w:tcPr>
            <w:tcW w:w="1800" w:type="dxa"/>
          </w:tcPr>
          <w:p w14:paraId="752F521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w:t>
            </w:r>
          </w:p>
        </w:tc>
        <w:tc>
          <w:tcPr>
            <w:tcW w:w="1395" w:type="dxa"/>
          </w:tcPr>
          <w:p w14:paraId="336DFB2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750</w:t>
            </w:r>
          </w:p>
        </w:tc>
        <w:tc>
          <w:tcPr>
            <w:tcW w:w="2565" w:type="dxa"/>
          </w:tcPr>
          <w:p w14:paraId="1D49C2B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Наркомхимпромk</w:t>
            </w:r>
          </w:p>
        </w:tc>
        <w:tc>
          <w:tcPr>
            <w:tcW w:w="1365" w:type="dxa"/>
          </w:tcPr>
          <w:p w14:paraId="31BED5D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марта 1944</w:t>
            </w:r>
          </w:p>
        </w:tc>
      </w:tr>
      <w:tr w:rsidR="005106D0" w:rsidRPr="007224C3" w14:paraId="2DAF34CE" w14:textId="77777777">
        <w:trPr>
          <w:jc w:val="center"/>
        </w:trPr>
        <w:tc>
          <w:tcPr>
            <w:tcW w:w="3240" w:type="dxa"/>
          </w:tcPr>
          <w:p w14:paraId="32E8D35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Пластмассовые детали:Накладки дет. 44</w:t>
            </w:r>
          </w:p>
        </w:tc>
        <w:tc>
          <w:tcPr>
            <w:tcW w:w="1800" w:type="dxa"/>
          </w:tcPr>
          <w:p w14:paraId="2901C2C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w:t>
            </w:r>
          </w:p>
        </w:tc>
        <w:tc>
          <w:tcPr>
            <w:tcW w:w="1395" w:type="dxa"/>
          </w:tcPr>
          <w:p w14:paraId="4398F98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250</w:t>
            </w:r>
          </w:p>
        </w:tc>
        <w:tc>
          <w:tcPr>
            <w:tcW w:w="2565" w:type="dxa"/>
          </w:tcPr>
          <w:p w14:paraId="5EAAAED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Наркомхимпромk</w:t>
            </w:r>
          </w:p>
        </w:tc>
        <w:tc>
          <w:tcPr>
            <w:tcW w:w="1365" w:type="dxa"/>
          </w:tcPr>
          <w:p w14:paraId="55014B3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марта 1944</w:t>
            </w:r>
          </w:p>
        </w:tc>
      </w:tr>
      <w:tr w:rsidR="005106D0" w:rsidRPr="007224C3" w14:paraId="2157306A" w14:textId="77777777">
        <w:trPr>
          <w:jc w:val="center"/>
        </w:trPr>
        <w:tc>
          <w:tcPr>
            <w:tcW w:w="3240" w:type="dxa"/>
          </w:tcPr>
          <w:p w14:paraId="358982A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Накладка под узел № 2</w:t>
            </w:r>
          </w:p>
        </w:tc>
        <w:tc>
          <w:tcPr>
            <w:tcW w:w="1800" w:type="dxa"/>
          </w:tcPr>
          <w:p w14:paraId="7766F76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w:t>
            </w:r>
          </w:p>
        </w:tc>
        <w:tc>
          <w:tcPr>
            <w:tcW w:w="1395" w:type="dxa"/>
          </w:tcPr>
          <w:p w14:paraId="442DC1A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250</w:t>
            </w:r>
          </w:p>
        </w:tc>
        <w:tc>
          <w:tcPr>
            <w:tcW w:w="2565" w:type="dxa"/>
          </w:tcPr>
          <w:p w14:paraId="2A6ABCC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Наркомхимпромk'</w:t>
            </w:r>
          </w:p>
        </w:tc>
        <w:tc>
          <w:tcPr>
            <w:tcW w:w="1365" w:type="dxa"/>
          </w:tcPr>
          <w:p w14:paraId="5BD8A5A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марта 1944</w:t>
            </w:r>
          </w:p>
        </w:tc>
      </w:tr>
      <w:tr w:rsidR="005106D0" w:rsidRPr="007224C3" w14:paraId="07E451DD" w14:textId="77777777">
        <w:trPr>
          <w:jc w:val="center"/>
        </w:trPr>
        <w:tc>
          <w:tcPr>
            <w:tcW w:w="3240" w:type="dxa"/>
            <w:tcBorders>
              <w:bottom w:val="single" w:sz="12" w:space="0" w:color="auto"/>
            </w:tcBorders>
          </w:tcPr>
          <w:p w14:paraId="28E90FF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Ручка дет. 130</w:t>
            </w:r>
          </w:p>
        </w:tc>
        <w:tc>
          <w:tcPr>
            <w:tcW w:w="1800" w:type="dxa"/>
            <w:tcBorders>
              <w:bottom w:val="single" w:sz="12" w:space="0" w:color="auto"/>
            </w:tcBorders>
          </w:tcPr>
          <w:p w14:paraId="1015B50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w:t>
            </w:r>
          </w:p>
        </w:tc>
        <w:tc>
          <w:tcPr>
            <w:tcW w:w="1395" w:type="dxa"/>
            <w:tcBorders>
              <w:bottom w:val="single" w:sz="12" w:space="0" w:color="auto"/>
            </w:tcBorders>
          </w:tcPr>
          <w:p w14:paraId="2BCE4F3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500</w:t>
            </w:r>
          </w:p>
        </w:tc>
        <w:tc>
          <w:tcPr>
            <w:tcW w:w="2565" w:type="dxa"/>
            <w:tcBorders>
              <w:bottom w:val="single" w:sz="12" w:space="0" w:color="auto"/>
            </w:tcBorders>
          </w:tcPr>
          <w:p w14:paraId="24C0E47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Наркомхимпромk'</w:t>
            </w:r>
          </w:p>
        </w:tc>
        <w:tc>
          <w:tcPr>
            <w:tcW w:w="1365" w:type="dxa"/>
            <w:tcBorders>
              <w:bottom w:val="single" w:sz="12" w:space="0" w:color="auto"/>
            </w:tcBorders>
          </w:tcPr>
          <w:p w14:paraId="170A798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марта 1944</w:t>
            </w:r>
          </w:p>
        </w:tc>
      </w:tr>
    </w:tbl>
    <w:p w14:paraId="5D25326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Секретно</w:t>
      </w:r>
    </w:p>
    <w:p w14:paraId="770B45D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Приложение№1 к постановлению ГОКО от</w:t>
      </w:r>
    </w:p>
    <w:p w14:paraId="06838B0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февраля 1944 г. № 5098сс</w:t>
      </w:r>
    </w:p>
    <w:p w14:paraId="7F791BF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План поставки Наркомчерметом металла для производства 82 мм реактивнкх противотанковых ружей и мин к ним. </w:t>
      </w:r>
    </w:p>
    <w:p w14:paraId="6432310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 тоннах)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600"/>
        <w:gridCol w:w="1245"/>
        <w:gridCol w:w="1275"/>
        <w:gridCol w:w="3060"/>
        <w:gridCol w:w="1800"/>
      </w:tblGrid>
      <w:tr w:rsidR="005106D0" w:rsidRPr="007224C3" w14:paraId="435679F8" w14:textId="77777777" w:rsidTr="003712D9">
        <w:trPr>
          <w:jc w:val="center"/>
        </w:trPr>
        <w:tc>
          <w:tcPr>
            <w:tcW w:w="3600" w:type="dxa"/>
            <w:tcBorders>
              <w:top w:val="single" w:sz="12" w:space="0" w:color="auto"/>
            </w:tcBorders>
          </w:tcPr>
          <w:p w14:paraId="748F241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Наименование деталей</w:t>
            </w:r>
          </w:p>
        </w:tc>
        <w:tc>
          <w:tcPr>
            <w:tcW w:w="1245" w:type="dxa"/>
            <w:gridSpan w:val="2"/>
            <w:tcBorders>
              <w:top w:val="single" w:sz="12" w:space="0" w:color="auto"/>
            </w:tcBorders>
          </w:tcPr>
          <w:p w14:paraId="32697F8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Количество</w:t>
            </w:r>
          </w:p>
        </w:tc>
        <w:tc>
          <w:tcPr>
            <w:tcW w:w="3060" w:type="dxa"/>
            <w:tcBorders>
              <w:top w:val="single" w:sz="12" w:space="0" w:color="auto"/>
            </w:tcBorders>
          </w:tcPr>
          <w:p w14:paraId="144EE00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Кому поставляется</w:t>
            </w:r>
          </w:p>
        </w:tc>
        <w:tc>
          <w:tcPr>
            <w:tcW w:w="1800" w:type="dxa"/>
            <w:tcBorders>
              <w:top w:val="single" w:sz="12" w:space="0" w:color="auto"/>
            </w:tcBorders>
          </w:tcPr>
          <w:p w14:paraId="30F5089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Источник покрытия</w:t>
            </w:r>
          </w:p>
        </w:tc>
      </w:tr>
      <w:tr w:rsidR="005106D0" w:rsidRPr="007224C3" w14:paraId="0C42EBE3" w14:textId="77777777">
        <w:trPr>
          <w:jc w:val="center"/>
        </w:trPr>
        <w:tc>
          <w:tcPr>
            <w:tcW w:w="3600" w:type="dxa"/>
          </w:tcPr>
          <w:p w14:paraId="6791EA0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63CBB43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Февраль</w:t>
            </w:r>
          </w:p>
        </w:tc>
        <w:tc>
          <w:tcPr>
            <w:tcW w:w="1275" w:type="dxa"/>
          </w:tcPr>
          <w:p w14:paraId="18CE234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Март</w:t>
            </w:r>
          </w:p>
        </w:tc>
        <w:tc>
          <w:tcPr>
            <w:tcW w:w="3060" w:type="dxa"/>
          </w:tcPr>
          <w:p w14:paraId="372C77E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00" w:type="dxa"/>
          </w:tcPr>
          <w:p w14:paraId="4001486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0BCF4F6" w14:textId="77777777">
        <w:trPr>
          <w:jc w:val="center"/>
        </w:trPr>
        <w:tc>
          <w:tcPr>
            <w:tcW w:w="3600" w:type="dxa"/>
          </w:tcPr>
          <w:p w14:paraId="7E6028D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Панцирная сталь лист. 1 мм</w:t>
            </w:r>
          </w:p>
        </w:tc>
        <w:tc>
          <w:tcPr>
            <w:tcW w:w="1245" w:type="dxa"/>
          </w:tcPr>
          <w:p w14:paraId="4A0BEE5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tc>
        <w:tc>
          <w:tcPr>
            <w:tcW w:w="1275" w:type="dxa"/>
          </w:tcPr>
          <w:p w14:paraId="46C2590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3060" w:type="dxa"/>
          </w:tcPr>
          <w:p w14:paraId="28DEB6A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Наркомминвооружение</w:t>
            </w:r>
          </w:p>
        </w:tc>
        <w:tc>
          <w:tcPr>
            <w:tcW w:w="1800" w:type="dxa"/>
          </w:tcPr>
          <w:p w14:paraId="03117B8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фонды НКМВ</w:t>
            </w:r>
          </w:p>
        </w:tc>
      </w:tr>
      <w:tr w:rsidR="005106D0" w:rsidRPr="007224C3" w14:paraId="2A1A04F9" w14:textId="77777777">
        <w:trPr>
          <w:jc w:val="center"/>
        </w:trPr>
        <w:tc>
          <w:tcPr>
            <w:tcW w:w="3600" w:type="dxa"/>
          </w:tcPr>
          <w:p w14:paraId="7C0E521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Декапированное железо 0,5 мм</w:t>
            </w:r>
          </w:p>
        </w:tc>
        <w:tc>
          <w:tcPr>
            <w:tcW w:w="1245" w:type="dxa"/>
          </w:tcPr>
          <w:p w14:paraId="4C6F38B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tc>
        <w:tc>
          <w:tcPr>
            <w:tcW w:w="1275" w:type="dxa"/>
          </w:tcPr>
          <w:p w14:paraId="61DF4C3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tc>
        <w:tc>
          <w:tcPr>
            <w:tcW w:w="3060" w:type="dxa"/>
          </w:tcPr>
          <w:p w14:paraId="4E7B0F3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НКМП РСФСР</w:t>
            </w:r>
          </w:p>
        </w:tc>
        <w:tc>
          <w:tcPr>
            <w:tcW w:w="1800" w:type="dxa"/>
          </w:tcPr>
          <w:p w14:paraId="62030D1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фонды НКБ </w:t>
            </w:r>
          </w:p>
        </w:tc>
      </w:tr>
      <w:tr w:rsidR="005106D0" w:rsidRPr="007224C3" w14:paraId="0651E9AB" w14:textId="77777777">
        <w:trPr>
          <w:jc w:val="center"/>
        </w:trPr>
        <w:tc>
          <w:tcPr>
            <w:tcW w:w="3600" w:type="dxa"/>
          </w:tcPr>
          <w:p w14:paraId="433D813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Декапированное железо 0,9 мм</w:t>
            </w:r>
          </w:p>
        </w:tc>
        <w:tc>
          <w:tcPr>
            <w:tcW w:w="1245" w:type="dxa"/>
          </w:tcPr>
          <w:p w14:paraId="29934D7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tc>
        <w:tc>
          <w:tcPr>
            <w:tcW w:w="1275" w:type="dxa"/>
          </w:tcPr>
          <w:p w14:paraId="130F74F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tc>
        <w:tc>
          <w:tcPr>
            <w:tcW w:w="3060" w:type="dxa"/>
          </w:tcPr>
          <w:p w14:paraId="5307246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НКМП РСФСР</w:t>
            </w:r>
          </w:p>
        </w:tc>
        <w:tc>
          <w:tcPr>
            <w:tcW w:w="1800" w:type="dxa"/>
          </w:tcPr>
          <w:p w14:paraId="540CB39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фонды НКБ</w:t>
            </w:r>
          </w:p>
        </w:tc>
      </w:tr>
      <w:tr w:rsidR="005106D0" w:rsidRPr="007224C3" w14:paraId="778BC31F" w14:textId="77777777">
        <w:trPr>
          <w:jc w:val="center"/>
        </w:trPr>
        <w:tc>
          <w:tcPr>
            <w:tcW w:w="3600" w:type="dxa"/>
          </w:tcPr>
          <w:p w14:paraId="0F7E01B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Листовое железо 1,5мм</w:t>
            </w:r>
          </w:p>
        </w:tc>
        <w:tc>
          <w:tcPr>
            <w:tcW w:w="1245" w:type="dxa"/>
          </w:tcPr>
          <w:p w14:paraId="7015877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tc>
        <w:tc>
          <w:tcPr>
            <w:tcW w:w="1275" w:type="dxa"/>
          </w:tcPr>
          <w:p w14:paraId="04FB28A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tc>
        <w:tc>
          <w:tcPr>
            <w:tcW w:w="3060" w:type="dxa"/>
          </w:tcPr>
          <w:p w14:paraId="3253D76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НКМП РСФСР</w:t>
            </w:r>
          </w:p>
        </w:tc>
        <w:tc>
          <w:tcPr>
            <w:tcW w:w="1800" w:type="dxa"/>
          </w:tcPr>
          <w:p w14:paraId="557B557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фонды НКМВ</w:t>
            </w:r>
          </w:p>
        </w:tc>
      </w:tr>
      <w:tr w:rsidR="005106D0" w:rsidRPr="007224C3" w14:paraId="60EFB2F8" w14:textId="77777777">
        <w:trPr>
          <w:jc w:val="center"/>
        </w:trPr>
        <w:tc>
          <w:tcPr>
            <w:tcW w:w="3600" w:type="dxa"/>
          </w:tcPr>
          <w:p w14:paraId="47C9823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Листовое железо 2,2мм</w:t>
            </w:r>
          </w:p>
        </w:tc>
        <w:tc>
          <w:tcPr>
            <w:tcW w:w="1245" w:type="dxa"/>
          </w:tcPr>
          <w:p w14:paraId="189608F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tc>
        <w:tc>
          <w:tcPr>
            <w:tcW w:w="1275" w:type="dxa"/>
          </w:tcPr>
          <w:p w14:paraId="4EE1FAE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tc>
        <w:tc>
          <w:tcPr>
            <w:tcW w:w="3060" w:type="dxa"/>
          </w:tcPr>
          <w:p w14:paraId="4E62C18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НКМП РСФСР</w:t>
            </w:r>
          </w:p>
        </w:tc>
        <w:tc>
          <w:tcPr>
            <w:tcW w:w="1800" w:type="dxa"/>
          </w:tcPr>
          <w:p w14:paraId="3DA7944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фонды НКМВ</w:t>
            </w:r>
          </w:p>
        </w:tc>
      </w:tr>
      <w:tr w:rsidR="005106D0" w:rsidRPr="007224C3" w14:paraId="1F71EAFB" w14:textId="77777777">
        <w:trPr>
          <w:jc w:val="center"/>
        </w:trPr>
        <w:tc>
          <w:tcPr>
            <w:tcW w:w="3600" w:type="dxa"/>
          </w:tcPr>
          <w:p w14:paraId="66B1ABC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Сортовое железо СТ-40 85 мм.</w:t>
            </w:r>
          </w:p>
        </w:tc>
        <w:tc>
          <w:tcPr>
            <w:tcW w:w="1245" w:type="dxa"/>
          </w:tcPr>
          <w:p w14:paraId="49171F3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w:t>
            </w:r>
          </w:p>
        </w:tc>
        <w:tc>
          <w:tcPr>
            <w:tcW w:w="1275" w:type="dxa"/>
          </w:tcPr>
          <w:p w14:paraId="171691B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3060" w:type="dxa"/>
          </w:tcPr>
          <w:p w14:paraId="57E0436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Наркомстанкостроение</w:t>
            </w:r>
          </w:p>
        </w:tc>
        <w:tc>
          <w:tcPr>
            <w:tcW w:w="1800" w:type="dxa"/>
          </w:tcPr>
          <w:p w14:paraId="5186121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Фонды НКБ</w:t>
            </w:r>
          </w:p>
        </w:tc>
      </w:tr>
      <w:tr w:rsidR="005106D0" w:rsidRPr="007224C3" w14:paraId="14939DE6" w14:textId="77777777">
        <w:trPr>
          <w:jc w:val="center"/>
        </w:trPr>
        <w:tc>
          <w:tcPr>
            <w:tcW w:w="3600" w:type="dxa"/>
            <w:tcBorders>
              <w:bottom w:val="single" w:sz="12" w:space="0" w:color="auto"/>
            </w:tcBorders>
          </w:tcPr>
          <w:p w14:paraId="7050701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Сортовое железо СТ-40</w:t>
            </w:r>
          </w:p>
        </w:tc>
        <w:tc>
          <w:tcPr>
            <w:tcW w:w="1245" w:type="dxa"/>
            <w:tcBorders>
              <w:bottom w:val="single" w:sz="12" w:space="0" w:color="auto"/>
            </w:tcBorders>
          </w:tcPr>
          <w:p w14:paraId="58E99C3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w:t>
            </w:r>
          </w:p>
        </w:tc>
        <w:tc>
          <w:tcPr>
            <w:tcW w:w="1275" w:type="dxa"/>
            <w:tcBorders>
              <w:bottom w:val="single" w:sz="12" w:space="0" w:color="auto"/>
            </w:tcBorders>
          </w:tcPr>
          <w:p w14:paraId="151BC7A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w:t>
            </w:r>
          </w:p>
        </w:tc>
        <w:tc>
          <w:tcPr>
            <w:tcW w:w="3060" w:type="dxa"/>
            <w:tcBorders>
              <w:bottom w:val="single" w:sz="12" w:space="0" w:color="auto"/>
            </w:tcBorders>
          </w:tcPr>
          <w:p w14:paraId="65C7E07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НКБ</w:t>
            </w:r>
          </w:p>
        </w:tc>
        <w:tc>
          <w:tcPr>
            <w:tcW w:w="1800" w:type="dxa"/>
            <w:tcBorders>
              <w:bottom w:val="single" w:sz="12" w:space="0" w:color="auto"/>
            </w:tcBorders>
          </w:tcPr>
          <w:p w14:paraId="3FFAD39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Фонды НКБ по снарядной заготовке.</w:t>
            </w:r>
          </w:p>
        </w:tc>
      </w:tr>
    </w:tbl>
    <w:p w14:paraId="7E1D3ED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(11813).</w:t>
      </w:r>
    </w:p>
    <w:p w14:paraId="42FFD5F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6BBFDF8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февраля 1944 вышло Постановление ГКО № 5099 Об увеличении производства бронепрожигающих (кумулятивных) снарядов. РГАНИР, Фонд ГКО, д. 205, лл. 128-131 (11012).</w:t>
      </w:r>
    </w:p>
    <w:p w14:paraId="3AF05CB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3220FA4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февраля 1944 вышло Постановление ГКО № 5100 О добыче нефти и выработке нефтепродуктов в феврале 1944 года. РГАНИР, Фонд ГКО, д. 205, лл. 132-138,139-140 (11012).</w:t>
      </w:r>
    </w:p>
    <w:p w14:paraId="362F031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449635C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февраля 1944 вышло Постановление ГКО № 5101 О плане добычи угля на февраль 1944 года по Наркомуглю. РГАНИР, Фонд ГКО, д. 205, лл. 141-150,151-155 (11012).</w:t>
      </w:r>
    </w:p>
    <w:p w14:paraId="519A553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28C3AF6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февраля 1944 вышло Постановление ГКО № 5102 О материально-техническом снабжении нефтяной промышленности в I квартале 1944 года. РГАНИР, Фонд ГКО, д. 205, лл. 156-166,167-178 (11012).</w:t>
      </w:r>
    </w:p>
    <w:p w14:paraId="762C60B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1F8696E9"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февраля 1944 вышло Распоряжение ГКО № 5103 [Об остановке на ремонт турбогeнератора на Омской ТЭЦ № 2 и увеличении нагрузки на Омскую ТЭЦ № 1.] (7184, 179).</w:t>
      </w:r>
    </w:p>
    <w:p w14:paraId="09582112"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4F95A6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февраля 1944 вышло Постановление ГКО № 5104 О восстановлении производства пирометрических фарфоровых труб и технического фарфора на Ленинградском фарфоровом заводе им. Ломоносова. РГАНИР, Фонд ГКО, д. 205, лл. 180-182 (11012).</w:t>
      </w:r>
    </w:p>
    <w:p w14:paraId="3D0DD0F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5617AD96"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февраля 1944 вышло Распоряжение ГКО № 5105 Об изготовлении и испытании пневматической углеразмольной мельницы. (7184, 183-184).</w:t>
      </w:r>
    </w:p>
    <w:p w14:paraId="656B435C"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F04018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февраля 1944 вышло Постановление ГКО № 5106 О восстановлении электростанций г. Мелитополя. РГАНИР, Фонд ГКО, д. 205, лл. 185-187,188-192 (11012).</w:t>
      </w:r>
    </w:p>
    <w:p w14:paraId="37BB817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2F62A1E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февраля 1944 вышло Постановление ГКО № 5107 О строительстве высоковольтной линии электропередачи Егоршино-Алапаевск для Алапаевского завода револьверных станков Наркомcтанкостроения. РГАНИР, Фонд ГКО, д. 205, лл. 192-193,194-195 (11012).</w:t>
      </w:r>
    </w:p>
    <w:p w14:paraId="75E8DA9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01162F3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февраля 1944 вышло Постановление ГКО № 5108 О восстановлении московских автоматических телефонных станций Наркомсвязи. РГАНИР, Фонд ГКО, д. 205, лл. 196-199,200-205 (11012).</w:t>
      </w:r>
    </w:p>
    <w:p w14:paraId="4B1D32F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3A38B7C6"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февраля 1944 вышло Постановление ГКО № 5109 Об увеличении производства литейных концентратов на заводах Главлесоспирта при Совнаркоме СССР и Наркомлегпрома СССР. (7185, 1-8,9-15).</w:t>
      </w:r>
    </w:p>
    <w:p w14:paraId="2CEEF2E9"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5E98F2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февраля 1944 вышло Постановление ГКО № 5110 О материально-техническом снабжении предприятий целлюлозно-бумажной промышленности в I квартале 1944 г. РГАНИР, Фонд ГКО, д. 206, лл. 16-20,21-35 (11012).</w:t>
      </w:r>
    </w:p>
    <w:p w14:paraId="4C2612C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6BAB31EF"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21A78F4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42FFDD8" w14:textId="77777777" w:rsidR="00B862BC" w:rsidRPr="007224C3" w:rsidRDefault="00B862BC"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5 февраля</w:t>
      </w:r>
      <w:r w:rsidRPr="007224C3">
        <w:rPr>
          <w:rFonts w:ascii="Times New Roman" w:hAnsi="Times New Roman"/>
          <w:color w:val="000000" w:themeColor="text1"/>
          <w:sz w:val="16"/>
          <w:szCs w:val="16"/>
        </w:rPr>
        <w:t xml:space="preserve"> в 1944 году оперативная сводка Совинформбюро:</w:t>
      </w:r>
    </w:p>
    <w:p w14:paraId="302A0EA7" w14:textId="77777777" w:rsidR="00B862BC" w:rsidRPr="007224C3" w:rsidRDefault="00B862B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5 февраля на Нарвском направлении наши войска вели бои по очищению от отдельных групп противника восточного берега реки Нарва и заняли несколько населённых пунктов.</w:t>
      </w:r>
    </w:p>
    <w:p w14:paraId="5880E592" w14:textId="77777777" w:rsidR="00B862BC" w:rsidRPr="007224C3" w:rsidRDefault="00B862B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Наши войска, наступающие вдоль побережья Чудского озера и к востоку от него,продвинулись вперёд и заняли несколько населённых пунктов.</w:t>
      </w:r>
    </w:p>
    <w:p w14:paraId="63F40820" w14:textId="77777777" w:rsidR="00B862BC" w:rsidRPr="007224C3" w:rsidRDefault="00B862B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и южнее Сиверский наши войска с боями продвигались вперёд изаняли населённые пункты Селище, Сосново, Гусинка, Подледье, Малые Корячи, Верест, Твердять, Старица, Пожни, Пехенец, Малая Ящера и железнодорожные станции Сосницы, Верест, Липовец.</w:t>
      </w:r>
    </w:p>
    <w:p w14:paraId="23E897A8" w14:textId="77777777" w:rsidR="00B862BC" w:rsidRPr="007224C3" w:rsidRDefault="00B862B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города Любань наши войска продолжали наступление и заняли населённые пункты Никулкино, Бор, Волкино, Филипповичи, Загорье, Загородицы, Вяжище.</w:t>
      </w:r>
    </w:p>
    <w:p w14:paraId="2D0ECE51" w14:textId="77777777" w:rsidR="00B862BC" w:rsidRPr="007224C3" w:rsidRDefault="00B862B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1-го Украинского фронта в результате стремительного удара подвижныхсоединений и пехоты и умело проведённого обходного манёвра овладели областными центрами Украины городами Луцк и Ровно, городом и крупным железнодорожным узлом Здолбунов, а также с боями заняли более 200 других населённых пунктов и срединих районные центры Ровенской области город Острог, Александрия, Деражно, Рафаловка, Клевань, Олыка, районный центр Волынской области Колки и железнодорожные станции Кривин, Могиляны, Остров, Иванково, Квасилов, Шпанов, Обаров, Оржев, Клевань, Новостав, Цумань, Олыка, Армантюв, Киверцы, Любомирск,Волошки, Решуцк, Галлы, Рафаловка. В боях захвачено более двух тысяч пленных и среди них пленные, принадлежащие к разбитым в боях 18 и 19 венгерским пехотным дивизиям.</w:t>
      </w:r>
    </w:p>
    <w:p w14:paraId="2C0DBB70" w14:textId="77777777" w:rsidR="00B862BC" w:rsidRPr="007224C3" w:rsidRDefault="00B862B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Севернее Звенигородка и Шпола наши войска продолжали вести успешные бои поуничтожению окружённой группировки противника и, сжимая кольцо окружения, овладели районным центром Киевской области Ольшана, крупными населенными пунктами Семигоры, Копновато, Мартыновка, Дарьевка, Крещатик, Шелепухи, Березняги, Плеваки, Тубольцы, Кумейки, Белозёрье, Байбузы, Вербовка.Одновременно западнее Звенигородка и южнее Шпола наши войска успешно отражали контратаки крупных сил пехоты и танков противника, стремившихся пробиться на помощь окружённой группе войск.</w:t>
      </w:r>
    </w:p>
    <w:p w14:paraId="25DC9281" w14:textId="77777777" w:rsidR="00B862BC" w:rsidRPr="007224C3" w:rsidRDefault="00B862B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4 февраля наши войска на всех фронтах подбили и уничтожили 109 немецких танков. В воздушных боях и огнём зенитной артиллерии уничтожено 46 самолётов противника, из них 22 трехмоторный транспортных самолёта «Ю-52».</w:t>
      </w:r>
    </w:p>
    <w:p w14:paraId="19ED1809" w14:textId="77777777" w:rsidR="00B862BC" w:rsidRPr="007224C3" w:rsidRDefault="00B862B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Нарвском направлении наши войска очищали от отдельных групп противника восточный берег реки Нарва. Части Н-ского соединения занят несколько населенных пунктов, уничтожив при этом до 600 немецких солдат и офицеров. В одном районе наши бойцы прорвались вперёд и стремительной атакой разгромили гарнизон опорного пункта противника. Захвачены 7 орудий, 4 шестиствольных миномёта, склад боеприпасов и значительное число пленных.</w:t>
      </w:r>
    </w:p>
    <w:p w14:paraId="37BFDB73" w14:textId="77777777" w:rsidR="00B862BC" w:rsidRPr="007224C3" w:rsidRDefault="00B862B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Наши войска, наступающие вдоль побережья Чудского озера и к востоку от него, успешно продвигались вперёд. В одном районе советские части окружили два батальона противника. Ввиду отказа сложить оружие, оба батальона гитлеровцев ликвидированы. Захвачены у немцев три тяжёлых танка, 14 орудий, много пулемётов,автоматов, повозки с грузами и другие трофеи.</w:t>
      </w:r>
    </w:p>
    <w:p w14:paraId="56529DDF" w14:textId="77777777" w:rsidR="00B862BC" w:rsidRPr="007224C3" w:rsidRDefault="00B862B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и южнее станции Сиверский наши войска с боями продвигались вперёд и заняли ряд населённых пунктов. Овладев железнодорожными станциями Сосницы, Верест и Липовец, части Н-ского соединения полностью очистили от противника железную дорогу Волосово-Мшинская. В течение дня истреблено более 800 гитлеровцев. На одном участке немецкие танки, самоходные орудия и автоматчики пытались преградить путь нашей пехоте. Советские бойцы огнём из противотанковыхорудий и ружей подбили 4 немецких танка «Тигр» и 2 самоходных орудия «Фердинанд». Кроме того, один тяжёлый немецкий танк и одно самоходное орудие завязли в болоте. Их экипажи уничтожены.</w:t>
      </w:r>
    </w:p>
    <w:p w14:paraId="3A7F5EB6" w14:textId="77777777" w:rsidR="00B862BC" w:rsidRPr="007224C3" w:rsidRDefault="00B862B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Несколько дней тому назад войска 1-го Украинского фронта в результате стремительного удара прорвали оборону противника по реке Горынь. Наши подвижные соединения устремились в образовавшуюся брешь, вышли к городу Ровно и завязали бои на его окраинах. Одновременно были перерезаны шоссейные дороги из Ровно в Клевань, Млынов и Дубно. Подоспевшие пехотные части ворвались в город с востока. В ожесточённых уличных боях наши войска разгромили противника и овладели областным центром Украины — городом Ровно. Остатки разбитого немецкого гарнизона бежали по единственной оставшейся у них дороге на юг, в сторону города Здолбунов. Тем временем советские части, наступавшие южнее, умелым обходнымманёвром заняли город и железнодорожный узел Здолбунов и нанесли внезапный удар по вражеским колоннам, отступавшим из Ровно. После непродолжительного боя противник был уничтожен и частью пленён.</w:t>
      </w:r>
    </w:p>
    <w:p w14:paraId="436138C5" w14:textId="77777777" w:rsidR="00B862BC" w:rsidRPr="007224C3" w:rsidRDefault="00B862B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Наши войска, действующие северо-западнее Ровно, в трудных условиях бездорожья, лесов и болот, быстро продвинулись вперёд, уничтожая встречающиеся на пути части противника. Выйдя к городу Луцку, советские части стремительным ударом разгромили находившиеся в нём немецкие войска. Овладев областным центром Украины городом Луцк, наши войска захватили огромные трофеи, в том числе 30 армейских складов с боеприпасами, продовольствием и военным имуществом. В ходе наступления занято более 200 других населённых пунктов, в том числе районные центры Ровенской области город Острог, Александрия, Деражно, Рафаловка, Клевань,Олыка, районный центр Волынской области Колки и целый ряд железнодорожных станций. Взято в плен более 2.000 немецких и венгерских солдат и офицеров. В ходе боёв активную помощь нашим наступающим войскам оказывали партизаны Ровенской и Волынской областей Украинской Советской Республики.</w:t>
      </w:r>
    </w:p>
    <w:p w14:paraId="03CBB071" w14:textId="77777777" w:rsidR="00B862BC" w:rsidRPr="007224C3" w:rsidRDefault="00B862B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Севернее Звенигородки и Шполы наши войска продолжали вести успешные бои по ликвидации окружённой группировки противника. Сжимая кольцо окружения, советские части овладели районным центром Киевской области Ольшана, а также заняли ряд других населённых пунктов. Последовательными ударами наши войска наносят окружённым немецким дивизиям тяжёлый урон в живой силе и технике. Немцы крупными силами пехоты и танков пытались пробиться на помощь окружённой группе войск. Западнее Звенигородки противник бросил в атаку 4 полка мотопехоты и более сотни танков. Советские бойцы отбили эту контратаку гитлеровцев и отбросили их на исходные позиции. На поле боя осталось 65 сгоревших и подбитых немецких танков и свыше 1.500 вражеских трупов. Южнее Шполы советские артиллеристы, пехотинцы и танкисты в ожесточённом бою уничтожили 30 танков, 7 самоходных орудий и до полка пехоты противника.</w:t>
      </w:r>
    </w:p>
    <w:p w14:paraId="383C8E7B" w14:textId="77777777" w:rsidR="00B862BC" w:rsidRPr="007224C3" w:rsidRDefault="00B862B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Наша авиация, блокируя с воздуха район расположения окружённой немецкой группировки, сбила 22 немецких транспортных самолёта, перевозивших боеприпасы и горючее. На одном из сбитых самолётов находилось 15 немецких офицеров, пытавшихся выбраться из окружения. Советские лётчики нанесли удар по одному вражескому аэродрому, с которого немецкие самолёты вылетали в район окружённойгруппировки. В результате внезапной и энергичной атаки нашей авиации уничтожено на земле 29 немецких самолётов. Кроме того, во время налёта на аэродром повреждено большое число самолётов противника.</w:t>
      </w:r>
    </w:p>
    <w:p w14:paraId="0632DDB4" w14:textId="77777777" w:rsidR="00B862BC" w:rsidRPr="007224C3" w:rsidRDefault="00B862B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Партизанский отряд, действующий в Одесской области, в течение двух дней вёл бой с карательной экспедицией немцев. Гитлеровцам удалось окружить партизан. Советские патриоты заняли круговую оборону, огнём из всех видов оружия отбили несколько ожесточённых атак врага и истребили до 400 немцев. Ночью партизаны прорвали вражеское кольцо и вышли из окружения.» (15031).</w:t>
      </w:r>
    </w:p>
    <w:p w14:paraId="686FEDC6" w14:textId="77777777" w:rsidR="00B862BC" w:rsidRPr="007224C3" w:rsidRDefault="00B862BC" w:rsidP="007224C3">
      <w:pPr>
        <w:spacing w:after="0" w:line="240" w:lineRule="auto"/>
        <w:jc w:val="both"/>
        <w:rPr>
          <w:rFonts w:ascii="Times New Roman" w:hAnsi="Times New Roman"/>
          <w:color w:val="000000" w:themeColor="text1"/>
          <w:sz w:val="16"/>
          <w:szCs w:val="16"/>
        </w:rPr>
      </w:pPr>
    </w:p>
    <w:p w14:paraId="2901A54A"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февраля 1944 советские войска освободили Гдов, Ровно и Луцк (4962).</w:t>
      </w:r>
    </w:p>
    <w:p w14:paraId="3F2ED1FD"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23AA30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февраля 1944 И.Павлов узнал, что стал ГСС. Нашел склад боеприпасов, организовал разгром 2-х встречных эшелонов на ст. Рудня, разбомбил бронепоезд (3044,143).</w:t>
      </w:r>
    </w:p>
    <w:p w14:paraId="1E8D7F1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5161A3"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Жизнь и внутренняя политика:</w:t>
      </w:r>
    </w:p>
    <w:p w14:paraId="0E1B714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DD45F38"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февраля 1944 вышло Постановление ГКО № 5111 О завозе зерна, муки, крупы и продовольственных товаров в г. Москву и Московскую область в феврале 1944 г. (7185, 36-39,40-48).</w:t>
      </w:r>
    </w:p>
    <w:p w14:paraId="6755BF4F"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F991CFA"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февраля 1944 председателем Совнаркома Украины назначен Н. Хрущев (4962).</w:t>
      </w:r>
    </w:p>
    <w:p w14:paraId="0FF99683"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50FE47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февраля 1944 Президиум ВС принял Указ об утверждении нового образца Красного знамени и Гвардейского КЗ (3398,60).</w:t>
      </w:r>
    </w:p>
    <w:p w14:paraId="7DBBE6D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93C902"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Внешняя политика:</w:t>
      </w:r>
    </w:p>
    <w:p w14:paraId="3C9311C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11E57D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февраля 1944 года в Нью-Йорке состоялась встреча агента-связника Г. Голда с К. Фуксом, а 25 февраля он передал копии своих теоретических работ по «Энормозу». За время командировки К. Фукса в США его работой на внешнюю разведку руководили С. Семенов, а затем А. Яцков, о чем ученый, естественно, не догадывался. В 1943—1944 годах К. Фукс передал через Г. Голда (Раймонд) следующие материалы: об опытной промышленной установке в Ок-Ридже; о мембранах, используемых в газодиффузионном процессе, и их композиционном составе. А также копии всех докладов, подготовленных британской научной миссией в США (Соловьева В. Инженер, который мог спасти «Титаник» // Секретные материалы. — 2000. — № 21 (40)). За это Голд был награжден орденом Красного Знамени. Правда, сам источник (Фукс) боевой награды так и не получил.</w:t>
      </w:r>
    </w:p>
    <w:p w14:paraId="341C845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 ценности и важности переданных К. Фуксом в тот период материалов свидетельствует секретный меморандум директора ФБР Д. Э. Гувера:</w:t>
      </w:r>
    </w:p>
    <w:p w14:paraId="450D97C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«…В апреле 1945 года в Санта-Фе передал русскому агенту детальный доклад, который заранее подготовил в Лос-Аламосе, имея доступ ко всем соответствующим документам и проверяя на месте правильность проводимых им расчетов и формул.</w:t>
      </w:r>
    </w:p>
    <w:p w14:paraId="3583B00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Этот второй доклад содержал полное физико-математическое описание плутониевой бомбы, которую предполагалось испытать… Он передал русским чертежи бомбы, ее отдельные компоненты и сообщил все наиболее важные параметры…» (Сопряков В. Н. Восток — дело тонкое: Исповедь разведчика. — М.: Современник, 1999. — 238 с.).</w:t>
      </w:r>
    </w:p>
    <w:p w14:paraId="1804485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период с сентября 1947 по 1949 год К. Фукс передал сотруднику советской внешней разведки А. Феклисову: детальные данные о реакторах и химическом заводе по производству плутония в Уидскейле; сравнительный анализ урановых котлов с воздушным и водяным охлаждением; планы строительства завода по разделению изотопов; принципиальную схему водородной бомбы и теоретические данные по ее созданию, которая была разработана учеными США и Великобритании в 1948 году; результаты испытаний американской ураново-плутониевой бомбы на атолле Эниветок; справку о состоянии англо-американского сотрудничества в области производства атомного оружия и другие материалы.</w:t>
      </w:r>
    </w:p>
    <w:p w14:paraId="7757347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 важности переданной К. Фуксом секретной информации можно судить по следующему отзыву Центра: «Полученные материалы очень ценные и позволяют сэкономить 200—250 млн. рублей и сократить сроки освоения проблемы» (Суворов В. «Аквариум». — М.: Демократическая Россия, 1991. — 304 с.).</w:t>
      </w:r>
    </w:p>
    <w:p w14:paraId="6784F91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1950 года был арестован Г. Голд, поддерживавший контакт с К. Фуксом во время его поездок в США. 3 февраля того же года лондонская резидентура на основании газетных сообщений проинформировала Центр об аресте К. Фукса, которому было предъявлено обвинение в «передаче врагу» информации по «Энормозу». Эта информация была доложена непосредственно Сталину.</w:t>
      </w:r>
    </w:p>
    <w:p w14:paraId="7355FB2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Анализируя причины провала, работники Центра Л. Квасников и А. Раина пришли к выводу, что он связан с пребыванием К. Фукса в США. В дальнейшем было установлено, что после испытания 29 августа 1949 года советской атомной бомбы ФБР начало интенсивные поиски лиц, причастных к утечке атомных секретов. Связник Г. Голд вновь был вызван на допрос. Несмотря на то, что он отрицал свое знакомство с К. Фуксом, ФБР произвело негласный обыск в его квартире, где агенты обнаружили план города Санта-Фе, на котором карандашом было помечено место встречи Голда с Фуксом.</w:t>
      </w:r>
    </w:p>
    <w:p w14:paraId="44908EF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очередном допросе, используя неопровержимые улики, сотрудники ФБР заставили Г. Голда сознаться в сотрудничестве с советской разведкой и контакте с К. Фуксом. Директор ФБР Д. Э. Гувер доложил президенту Трумэну, что источником утечки атомных секретов является английский ученый Клаус Фукс, который во время его командировок в США передавал советским агентам секретные материалы по «Энормозу».</w:t>
      </w:r>
    </w:p>
    <w:p w14:paraId="78C9490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Эти сведения были переданы британской контрразведке МИ-5. В сентябре 1949 года премьер-министр Великобритании К. Эттли дал указание приступить к допросам ученого, не отстраняя его от работы в Харуэлле. Ставка делалась на то, что коллеги К. Фукса окажут на него психологическое воздействие. Этот расчет оказался правильным. Находясь в тяжелом морально-психологическом состоянии и понимая, что Г. Голд его выдал, К. Фукс подтвердил свое сотрудничество с советской внешней разведкой и факт передачи ей секретных материалов по «Энормозу». После письменного признания 2 февраля 1950 года он был арестован. 1 марта 1950 года в центральном уголовном суде Олд-Бейли состоялся судебный процесс над К. Фуксом. В последнем слове К. Фукс признал свою вину. Суд приговорил его к 14 годам тюремного заключения.</w:t>
      </w:r>
    </w:p>
    <w:p w14:paraId="5D02C32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После суда комиссия конгресса США по атомной энергии поручила Гуверу представить ей полные тексты признаний К. Фукса. После их тщательного анализа комиссия пришла к выводу о том, что он передал Советскому Союзу не только результаты научно-исследовательских работ, но и подробные сведения по практическому созданию урановой и плутониевой бомб.</w:t>
      </w:r>
    </w:p>
    <w:p w14:paraId="4E0622C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оценке американских ученых, информация К. Фукса помогла Советскому Союзу сократить срок создания атомного оружия от трех до десяти лет и опередить США по созданию водородного оружия (11765).</w:t>
      </w:r>
    </w:p>
    <w:p w14:paraId="5C705A0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5D3A6115"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февраля 1944 создан Наркомат иностранных дел Украины (4962).</w:t>
      </w:r>
    </w:p>
    <w:p w14:paraId="23AB58B8"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F774882"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1E258FE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20D468A" w14:textId="77777777" w:rsidR="00B862BC" w:rsidRPr="007224C3" w:rsidRDefault="00B862BC"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5 февраля</w:t>
      </w:r>
      <w:r w:rsidRPr="007224C3">
        <w:rPr>
          <w:rFonts w:ascii="Times New Roman" w:hAnsi="Times New Roman"/>
          <w:color w:val="000000" w:themeColor="text1"/>
          <w:sz w:val="16"/>
          <w:szCs w:val="16"/>
        </w:rPr>
        <w:t xml:space="preserve"> в 1944 году в Мюроке провели сравнительные полеты реактивного "Аэрокомета" «YP-59A» «Airacomet» и серийных поршневых истребителей «Р-47Д» "Тандерболт" ("Thunderbolt") и «P-38J» "Лайтнинг" ("Lightning"). Реактивный первенец вчистую проигрывал своим поршневым конкурентам по всем параметрам - маневренности, дальности, надежности и даже скорости. Поэтому доклад командованию ВВС содержал неутешительный отзыв. В нем говорилось, что «YP-59A» не представляет интереса в качестве боевого истребителя. Правда, тут же отмечалось, что "Аэрокомет" является отличным самолетом для испытания различных реактивных двигателей и оборудования, легок в пилотировании и может служить эффективной учебной машиной при переходе на реактивную технику. К тому же два двигателя делают его более надежным по сравнению с одномоторными реактивными самолетами. Летные испытания в Мюроке не прекращались. К концу февраля 1944 г. три «ХР-59А» и шесть «YР-59А» налетали в общей сложности 242,5 часа без серьезных происшествий. Первая авария произошла в июне 1944-го, когда во время пикирования на «YP-59A» от перегрузки выпали и разрушились стойки шасси. Летчику Джеку Вуламсу пришлось посадить машину на фюзеляж. В конце года все тому же Вуламсу уже пришлось бросить самолет и воспользоваться парашютом, когда при пикировании разрушилось хвостовое оперение. В марте 1944 г. был подписан контракт на выпуск ста «Р-59А». Поставки первых серийных «Р-59А» начались осенью 1944 г., но на конвейере "Аэрокомет" продержался недолго. Военные все больше разочаровывались в новом реактивном истребителе, на который когда-то возлагали большие надежды, и 10 октября серийный выпуск прекратили, построив 39 самолетов.Поскольку на фирме остался большой задел запчастей и почти готовых фюзеляжей, их не стали уничтожать, а собрали еще ряд машин. Общее количество серийных «Р-59» достигло пятидесяти, из них двадцать составлял вариант «Р-59А» (15031).</w:t>
      </w:r>
    </w:p>
    <w:p w14:paraId="7257DE84" w14:textId="77777777" w:rsidR="00B862BC" w:rsidRPr="007224C3" w:rsidRDefault="00B862BC" w:rsidP="007224C3">
      <w:pPr>
        <w:spacing w:after="0" w:line="240" w:lineRule="auto"/>
        <w:jc w:val="both"/>
        <w:rPr>
          <w:rFonts w:ascii="Times New Roman" w:hAnsi="Times New Roman"/>
          <w:color w:val="000000" w:themeColor="text1"/>
          <w:sz w:val="16"/>
          <w:szCs w:val="16"/>
        </w:rPr>
      </w:pPr>
    </w:p>
    <w:p w14:paraId="66758CE4" w14:textId="77777777" w:rsidR="005879AB" w:rsidRPr="007224C3" w:rsidRDefault="005879AB"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5 февраля 1944 509 бомбардировщиков 8-й воздушной армии в сопровождении 634 истребителей атакуют различные аэродромы Франции. Два бомбардировщика и два истребителя потеряны. В воздушном бою бомбардировщики и истребители заявили, что 11 немецких самолетов были сбитых и девяти поврежденых (20373).</w:t>
      </w:r>
    </w:p>
    <w:p w14:paraId="46AB035C" w14:textId="77777777" w:rsidR="005879AB" w:rsidRPr="007224C3" w:rsidRDefault="005879AB" w:rsidP="007224C3">
      <w:pPr>
        <w:spacing w:after="0" w:line="240" w:lineRule="auto"/>
        <w:jc w:val="both"/>
        <w:rPr>
          <w:rFonts w:ascii="Times New Roman" w:hAnsi="Times New Roman"/>
          <w:color w:val="0070C0"/>
          <w:sz w:val="16"/>
          <w:szCs w:val="16"/>
        </w:rPr>
      </w:pPr>
    </w:p>
    <w:p w14:paraId="30006B9C"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февраля 1944 гестаповцами во Франции арестован английский разведчик Мишель Оллар, передавший Англии чертежи ракеты ФАУ-1 (4962).</w:t>
      </w:r>
    </w:p>
    <w:p w14:paraId="1B2D0AAD"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9FF61DF"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455A656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7F00B0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февраля 1944 года Начальник 3 от</w:t>
      </w:r>
      <w:r w:rsidRPr="007224C3">
        <w:rPr>
          <w:rFonts w:ascii="Times New Roman" w:hAnsi="Times New Roman"/>
          <w:color w:val="000000" w:themeColor="text1"/>
          <w:sz w:val="16"/>
          <w:szCs w:val="16"/>
        </w:rPr>
        <w:softHyphen/>
        <w:t>дела Управления заказов самолетов и моторов ВВС КА инженер-полков</w:t>
      </w:r>
      <w:r w:rsidRPr="007224C3">
        <w:rPr>
          <w:rFonts w:ascii="Times New Roman" w:hAnsi="Times New Roman"/>
          <w:color w:val="000000" w:themeColor="text1"/>
          <w:sz w:val="16"/>
          <w:szCs w:val="16"/>
        </w:rPr>
        <w:softHyphen/>
        <w:t>ник Смирнов отмечал:</w:t>
      </w:r>
    </w:p>
    <w:p w14:paraId="0EE3449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«Постановлением ГКО №3587 за</w:t>
      </w:r>
      <w:r w:rsidRPr="007224C3">
        <w:rPr>
          <w:rFonts w:ascii="Times New Roman" w:hAnsi="Times New Roman"/>
          <w:color w:val="000000" w:themeColor="text1"/>
          <w:sz w:val="16"/>
          <w:szCs w:val="16"/>
        </w:rPr>
        <w:softHyphen/>
        <w:t>вод был обязан довести выпуск мото</w:t>
      </w:r>
      <w:r w:rsidRPr="007224C3">
        <w:rPr>
          <w:rFonts w:ascii="Times New Roman" w:hAnsi="Times New Roman"/>
          <w:color w:val="000000" w:themeColor="text1"/>
          <w:sz w:val="16"/>
          <w:szCs w:val="16"/>
        </w:rPr>
        <w:softHyphen/>
        <w:t>ров М-82ФН до 30 шт. в сутки, т.е. полностью перейти на выпуск указан</w:t>
      </w:r>
      <w:r w:rsidRPr="007224C3">
        <w:rPr>
          <w:rFonts w:ascii="Times New Roman" w:hAnsi="Times New Roman"/>
          <w:color w:val="000000" w:themeColor="text1"/>
          <w:sz w:val="16"/>
          <w:szCs w:val="16"/>
        </w:rPr>
        <w:softHyphen/>
        <w:t>ных моторов. Данное постановление завод не выполнил вследствие:</w:t>
      </w:r>
    </w:p>
    <w:p w14:paraId="3FCB07C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отсутствия насосов НВ,</w:t>
      </w:r>
    </w:p>
    <w:p w14:paraId="6AF7577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отсутствия оснастки по головке цилиндра в литейном цехе и необхо</w:t>
      </w:r>
      <w:r w:rsidRPr="007224C3">
        <w:rPr>
          <w:rFonts w:ascii="Times New Roman" w:hAnsi="Times New Roman"/>
          <w:color w:val="000000" w:themeColor="text1"/>
          <w:sz w:val="16"/>
          <w:szCs w:val="16"/>
        </w:rPr>
        <w:softHyphen/>
        <w:t>димости монтажа воздушной магист</w:t>
      </w:r>
      <w:r w:rsidRPr="007224C3">
        <w:rPr>
          <w:rFonts w:ascii="Times New Roman" w:hAnsi="Times New Roman"/>
          <w:color w:val="000000" w:themeColor="text1"/>
          <w:sz w:val="16"/>
          <w:szCs w:val="16"/>
        </w:rPr>
        <w:softHyphen/>
        <w:t>рали для формовочных машин с дав</w:t>
      </w:r>
      <w:r w:rsidRPr="007224C3">
        <w:rPr>
          <w:rFonts w:ascii="Times New Roman" w:hAnsi="Times New Roman"/>
          <w:color w:val="000000" w:themeColor="text1"/>
          <w:sz w:val="16"/>
          <w:szCs w:val="16"/>
        </w:rPr>
        <w:softHyphen/>
        <w:t>лением 6 атм вместо 4-х,</w:t>
      </w:r>
    </w:p>
    <w:p w14:paraId="2DE2F36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сложности в сдаче моторов на испытательной станции по отладке и наличию дефектов, и продолжает вы</w:t>
      </w:r>
      <w:r w:rsidRPr="007224C3">
        <w:rPr>
          <w:rFonts w:ascii="Times New Roman" w:hAnsi="Times New Roman"/>
          <w:color w:val="000000" w:themeColor="text1"/>
          <w:sz w:val="16"/>
          <w:szCs w:val="16"/>
        </w:rPr>
        <w:softHyphen/>
        <w:t>пускать больше моторов М-82Ф.</w:t>
      </w:r>
    </w:p>
    <w:p w14:paraId="769F9BF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к 1 апреля полностью пе</w:t>
      </w:r>
      <w:r w:rsidRPr="007224C3">
        <w:rPr>
          <w:rFonts w:ascii="Times New Roman" w:hAnsi="Times New Roman"/>
          <w:color w:val="000000" w:themeColor="text1"/>
          <w:sz w:val="16"/>
          <w:szCs w:val="16"/>
        </w:rPr>
        <w:softHyphen/>
        <w:t>рейдет на изготовление М-82ФН.</w:t>
      </w:r>
    </w:p>
    <w:p w14:paraId="64302B4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наличию производственных пло</w:t>
      </w:r>
      <w:r w:rsidRPr="007224C3">
        <w:rPr>
          <w:rFonts w:ascii="Times New Roman" w:hAnsi="Times New Roman"/>
          <w:color w:val="000000" w:themeColor="text1"/>
          <w:sz w:val="16"/>
          <w:szCs w:val="16"/>
        </w:rPr>
        <w:softHyphen/>
        <w:t>щадей, при удовлетворении неболь</w:t>
      </w:r>
      <w:r w:rsidRPr="007224C3">
        <w:rPr>
          <w:rFonts w:ascii="Times New Roman" w:hAnsi="Times New Roman"/>
          <w:color w:val="000000" w:themeColor="text1"/>
          <w:sz w:val="16"/>
          <w:szCs w:val="16"/>
        </w:rPr>
        <w:softHyphen/>
        <w:t>шой потребности в рабочей силе и оборудовании, завод сможет давать 30 моторов в сутки» (10714).</w:t>
      </w:r>
    </w:p>
    <w:p w14:paraId="26F8174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6A2079D"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610ADF6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92A9783"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февраля 1944 вышло Постановление ГКО № 5112 О развитии лесозаготовок НКПС в Марийской АССР. (7185, 49-53).</w:t>
      </w:r>
    </w:p>
    <w:p w14:paraId="720375E5"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9CED565"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февраля 1944 вышло Распоряжение ГКО № 5113 [О закреплении на работах "Ижлеса" (Удмуртская АССР) всех освобождаемых заключенных и предоставлении им отсрочек от призыва до 1 января 1945 г.] (7185, 54).</w:t>
      </w:r>
    </w:p>
    <w:p w14:paraId="5EDD3943"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7EABAAB"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февраля 1944 вышло Распоряжение ГКО № 5114 [О мерах по обеспечению производства электрооборудования и приборов зажигания на заводах НКСМ для автотракторной и танковой промышленности в I кв. 1944 г.] (7185, 55-56).</w:t>
      </w:r>
    </w:p>
    <w:p w14:paraId="33083193"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C62AD1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февраля 1944 вышло Распоряжение ГКО № 5115. О дополнительных поставках угля НКМФ. РГАНИР, Фонд ГКО, д. 206, лл. 57-58 (11012).</w:t>
      </w:r>
    </w:p>
    <w:p w14:paraId="5098342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7A14ED3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февраля 1944 вышло Распоряжение ГКО № 5116. О сборе и возврате спецукупорки из-под дымовых шашек. РГАНИР, Фонд ГКО, д. 206, лл. 59 (11012).</w:t>
      </w:r>
    </w:p>
    <w:p w14:paraId="0FDC5FC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1452E2DC"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6 февраля 1944 вышло Распоряжение ГКО № 5117 [О перевозке технического йода воздушным путем из Баку в Москву в I и II кв. 1944 г. для нужд промышленности </w:t>
      </w:r>
      <w:r w:rsidRPr="007224C3">
        <w:rPr>
          <w:rFonts w:ascii="Times New Roman" w:hAnsi="Times New Roman"/>
          <w:color w:val="000000" w:themeColor="text1"/>
          <w:sz w:val="16"/>
          <w:szCs w:val="16"/>
        </w:rPr>
        <w:lastRenderedPageBreak/>
        <w:t>НКздрава СССР.] (7185, 60).</w:t>
      </w:r>
    </w:p>
    <w:p w14:paraId="4AD5C0AD"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54D93E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февраля 1944 вышло Распоряжение ГКО № 5118. О передислокации авторемонтного завода № 11 ГАВТУ КА из Саратова в Киев. РГАНИР, Фонд ГКО, д. 206, лл. 61 (11012).</w:t>
      </w:r>
    </w:p>
    <w:p w14:paraId="0C2EC8D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79DC09D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февраля 1944 вышло Распоряжение ГКО № 5119. Об изготовлении НКлесом и поставке для НКВМФ сборно-разборных утепленных домиков и казарм и холодных складов. РГАНИР, Фонд ГКО, д. 206, лл. 62,63 (11012).</w:t>
      </w:r>
    </w:p>
    <w:p w14:paraId="097180B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62642554"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февраля 1944 вышло Постановление ГКО № 5121 Об обеспечении отгрузки импортных грузов из Архангельского и Мурманского портов в феврале и марте 1944 г. (7185, 65-67).</w:t>
      </w:r>
    </w:p>
    <w:p w14:paraId="36F8E57A"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5884A9F"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февраля 1944 вышло Постановление ГКО № 5122 об освоении артиллерийских тягачей на з-де № 75 в Харькове (7382, 45).</w:t>
      </w:r>
    </w:p>
    <w:p w14:paraId="58A36C4F"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07EF588" w14:textId="77777777" w:rsidR="0035263A" w:rsidRPr="007224C3" w:rsidRDefault="0035263A" w:rsidP="007224C3">
      <w:pPr>
        <w:pStyle w:val="a3"/>
        <w:rPr>
          <w:color w:val="000000" w:themeColor="text1"/>
          <w:lang w:val="ru-RU"/>
        </w:rPr>
      </w:pPr>
      <w:r w:rsidRPr="007224C3">
        <w:rPr>
          <w:color w:val="000000" w:themeColor="text1"/>
          <w:lang w:val="ru-RU"/>
        </w:rPr>
        <w:t>6 февраля 1944 года постановлением ГКО № 5122сс заводу ХПЗ было поручено изготовление тяжелых артиллерийских тягачей на основе танка Т- 34 (РГАСПИ. Ф. 644. Оп. 1. Д. 206. л. 68). С этой целью заводу предполагалось передать в первом полугодии 1944 года 200 советских и 566 импортных станков и пополнить его состав тысячей человек из числа местного неработающего населения и полутора тысячами негодных к строевой службе красноармейцев. Большое внимание постановление уделяло поддержке работников восстанавливаемого завода. Для работников завода было выделено товаров народного потребления (тканей, мыла, табака и т.д.) на 152 тысячи рублей, дополнительное второе горячее питание на 1000 человек, литерные обеды "Б" с сухим пайком для 16 человек, 50 обедов для руководящих работников, дополнительное диетическое питание для 300 человек, карточки туберкулезным больным на 100 человек и 2 млн. руб. кредитов работникам завода на «хозяйственное обзаведение».</w:t>
      </w:r>
    </w:p>
    <w:p w14:paraId="719E2C48" w14:textId="77777777" w:rsidR="0035263A" w:rsidRPr="007224C3" w:rsidRDefault="0035263A" w:rsidP="007224C3">
      <w:pPr>
        <w:pStyle w:val="a3"/>
        <w:rPr>
          <w:color w:val="000000" w:themeColor="text1"/>
          <w:lang w:val="ru-RU"/>
        </w:rPr>
      </w:pPr>
      <w:r w:rsidRPr="007224C3">
        <w:rPr>
          <w:color w:val="000000" w:themeColor="text1"/>
          <w:lang w:val="ru-RU"/>
        </w:rPr>
        <w:t>Постепенно стало ясно, что на базе сохранившегося в Харькове оборудования невозможно будет наладить производство. Неоднократный переход города из одних рук в другие, а также преднамеренное разрушение немцами того, что ещё осталось от заводов - всё это причинило слишком большой ущерб. Тогда было решено подкрепить харьковские заводы оборудованием и кадрами ещё одного предприятия НКТП, находящегося в восточных районах страны. Выбор пал на завод № 38 в городе Кирове, производивший легкие самоходки СУ-76 и занимавший в производственной структуре танкостроения второстепенное место. Завод № 38 было решено использовать в качестве ядра, вокруг которого в Харькове будет создаваться новое танкостроительное предприятие. В кратчайшие сроки осенью 1944 года была организована отправка оборудования и кадров завода в город Харьков, где они тут же использовались в ходе восстановительных работ. Эти работы шли быстрыми темпами. Площадь основных цехов завода возросла к 1 января 1945 года до 128 тысяч квадратных метров. К 1 июля 1945 года завод имел 2062 металлорежущих станка.</w:t>
      </w:r>
    </w:p>
    <w:p w14:paraId="5C15CA1B" w14:textId="77777777" w:rsidR="0035263A" w:rsidRPr="007224C3" w:rsidRDefault="0035263A" w:rsidP="007224C3">
      <w:pPr>
        <w:pStyle w:val="a3"/>
        <w:rPr>
          <w:color w:val="000000" w:themeColor="text1"/>
          <w:lang w:val="ru-RU"/>
        </w:rPr>
      </w:pPr>
      <w:r w:rsidRPr="007224C3">
        <w:rPr>
          <w:color w:val="000000" w:themeColor="text1"/>
          <w:lang w:val="ru-RU"/>
        </w:rPr>
        <w:t>Возросшие мощности завода позволили ему начать производство танков. Завод должен был освоить новую передовую разработку советских конструкторов - Т-44. К сожалению, завод № 75 так и остался единственным производителем этого нового танка. Мощностей завода не хватило для его выпуска в достаточных количествах. В 1944 году завод произвёл всего 25 этих танков, а в первом полугодии 1945 года - 325 штук. Хотя для восстановленного завода это было большим достижением, но всё же такое количество танков не могло иметь серьёзного значения для огромной Красной Армии. Настоящий расцвет завода приходится уже на послевоенный период, когда он вновь стал одним из основных производителей танков в СССР (12290).</w:t>
      </w:r>
    </w:p>
    <w:p w14:paraId="4AF742B4" w14:textId="77777777" w:rsidR="0035263A" w:rsidRPr="007224C3" w:rsidRDefault="0035263A" w:rsidP="007224C3">
      <w:pPr>
        <w:pStyle w:val="a3"/>
        <w:rPr>
          <w:color w:val="000000" w:themeColor="text1"/>
          <w:lang w:val="ru-RU"/>
        </w:rPr>
      </w:pPr>
    </w:p>
    <w:p w14:paraId="0AC6C584" w14:textId="77777777" w:rsidR="00B862BC" w:rsidRPr="007224C3" w:rsidRDefault="00B862BC" w:rsidP="007224C3">
      <w:pPr>
        <w:pStyle w:val="a3"/>
        <w:rPr>
          <w:color w:val="000000" w:themeColor="text1"/>
          <w:lang w:val="ru-RU"/>
        </w:rPr>
      </w:pPr>
      <w:r w:rsidRPr="007224C3">
        <w:rPr>
          <w:color w:val="000000" w:themeColor="text1"/>
          <w:lang w:val="ru-RU"/>
        </w:rPr>
        <w:t>6 февраля 1944 г. ГОКО постановлением №5122 обязал завод № 75 выпустить опытную партию из шести АТ-45 с условием представления первой ма</w:t>
      </w:r>
      <w:r w:rsidRPr="007224C3">
        <w:rPr>
          <w:color w:val="000000" w:themeColor="text1"/>
          <w:lang w:val="ru-RU"/>
        </w:rPr>
        <w:softHyphen/>
        <w:t>шины не позднее мая того же года. То есть срок был установлен предельно жесткий. Конструкторы завода под руководством Н.Г. Зубарева блестяще справились с по</w:t>
      </w:r>
      <w:r w:rsidRPr="007224C3">
        <w:rPr>
          <w:color w:val="000000" w:themeColor="text1"/>
          <w:lang w:val="ru-RU"/>
        </w:rPr>
        <w:softHyphen/>
        <w:t>ставленной задачей, завершив в рекордно ко</w:t>
      </w:r>
      <w:r w:rsidRPr="007224C3">
        <w:rPr>
          <w:color w:val="000000" w:themeColor="text1"/>
          <w:lang w:val="ru-RU"/>
        </w:rPr>
        <w:softHyphen/>
        <w:t>роткий срок доработку технического проекта АТ-45, и выдали чертежи и техдокументацию в производство. То, что в мирных довоенных условиях заняло бы месяцы, было выполнено в течение нескольких недель или даже дней. Правда, трудились порой не выходя с тер</w:t>
      </w:r>
      <w:r w:rsidRPr="007224C3">
        <w:rPr>
          <w:color w:val="000000" w:themeColor="text1"/>
          <w:lang w:val="ru-RU"/>
        </w:rPr>
        <w:softHyphen/>
        <w:t>ритории завода по несколько суток. В марте приступили к изготовлению опытной партии из шести единиц. По сравнению с первона</w:t>
      </w:r>
      <w:r w:rsidRPr="007224C3">
        <w:rPr>
          <w:color w:val="000000" w:themeColor="text1"/>
          <w:lang w:val="ru-RU"/>
        </w:rPr>
        <w:softHyphen/>
        <w:t>чальными проработками конструктивные осо</w:t>
      </w:r>
      <w:r w:rsidRPr="007224C3">
        <w:rPr>
          <w:color w:val="000000" w:themeColor="text1"/>
          <w:lang w:val="ru-RU"/>
        </w:rPr>
        <w:softHyphen/>
        <w:t>бенности и^внешний вид тягача изменились незначительно. Но машину не удалось осна</w:t>
      </w:r>
      <w:r w:rsidRPr="007224C3">
        <w:rPr>
          <w:color w:val="000000" w:themeColor="text1"/>
          <w:lang w:val="ru-RU"/>
        </w:rPr>
        <w:softHyphen/>
        <w:t>стить лебедкой (в условиях тотального де</w:t>
      </w:r>
      <w:r w:rsidRPr="007224C3">
        <w:rPr>
          <w:color w:val="000000" w:themeColor="text1"/>
          <w:lang w:val="ru-RU"/>
        </w:rPr>
        <w:softHyphen/>
        <w:t>фицита военного времени), а «классические» деревянные борта платформы уступили место металлическим.</w:t>
      </w:r>
    </w:p>
    <w:p w14:paraId="06940F6E" w14:textId="77777777" w:rsidR="00B862BC" w:rsidRPr="007224C3" w:rsidRDefault="00B862BC" w:rsidP="007224C3">
      <w:pPr>
        <w:pStyle w:val="a3"/>
        <w:rPr>
          <w:color w:val="000000" w:themeColor="text1"/>
          <w:lang w:val="ru-RU"/>
        </w:rPr>
      </w:pPr>
      <w:r w:rsidRPr="007224C3">
        <w:rPr>
          <w:color w:val="000000" w:themeColor="text1"/>
          <w:lang w:val="ru-RU"/>
        </w:rPr>
        <w:t xml:space="preserve">В </w:t>
      </w:r>
      <w:r w:rsidRPr="007224C3">
        <w:rPr>
          <w:color w:val="000000" w:themeColor="text1"/>
        </w:rPr>
        <w:t>I</w:t>
      </w:r>
      <w:r w:rsidRPr="007224C3">
        <w:rPr>
          <w:color w:val="000000" w:themeColor="text1"/>
          <w:lang w:val="ru-RU"/>
        </w:rPr>
        <w:t xml:space="preserve"> квартале 1944 г. началась подготов</w:t>
      </w:r>
      <w:r w:rsidRPr="007224C3">
        <w:rPr>
          <w:color w:val="000000" w:themeColor="text1"/>
          <w:lang w:val="ru-RU"/>
        </w:rPr>
        <w:softHyphen/>
        <w:t>ка производства для изготовления опытной партии АТ-45. Учитывал слабое техническое оснащение завода №75 и сжатые сроки для выпуска тягачей, Наркомат обязал другие предприятия изготовить для первых тягачей сложные узлы и детали (коробка скоростей, бортовые передачи, задние мосты корпуса, узлы и детали торсионных подвесок, кардан</w:t>
      </w:r>
      <w:r w:rsidRPr="007224C3">
        <w:rPr>
          <w:color w:val="000000" w:themeColor="text1"/>
          <w:lang w:val="ru-RU"/>
        </w:rPr>
        <w:softHyphen/>
        <w:t>ные валы и др.), так как для их выпуска тре</w:t>
      </w:r>
      <w:r w:rsidRPr="007224C3">
        <w:rPr>
          <w:color w:val="000000" w:themeColor="text1"/>
          <w:lang w:val="ru-RU"/>
        </w:rPr>
        <w:softHyphen/>
        <w:t>бовалось специальное оборудование. За за</w:t>
      </w:r>
      <w:r w:rsidRPr="007224C3">
        <w:rPr>
          <w:color w:val="000000" w:themeColor="text1"/>
          <w:lang w:val="ru-RU"/>
        </w:rPr>
        <w:softHyphen/>
        <w:t>водом №75 оставили только металлические конструкции и несложные детали, которые можно было изготовить на простом универ</w:t>
      </w:r>
      <w:r w:rsidRPr="007224C3">
        <w:rPr>
          <w:color w:val="000000" w:themeColor="text1"/>
          <w:lang w:val="ru-RU"/>
        </w:rPr>
        <w:softHyphen/>
        <w:t>сальном оборудовании.</w:t>
      </w:r>
    </w:p>
    <w:p w14:paraId="7920A475" w14:textId="77777777" w:rsidR="00B862BC" w:rsidRPr="007224C3" w:rsidRDefault="00B862BC" w:rsidP="007224C3">
      <w:pPr>
        <w:pStyle w:val="a3"/>
        <w:rPr>
          <w:color w:val="000000" w:themeColor="text1"/>
          <w:lang w:val="ru-RU"/>
        </w:rPr>
      </w:pPr>
      <w:r w:rsidRPr="007224C3">
        <w:rPr>
          <w:color w:val="000000" w:themeColor="text1"/>
          <w:lang w:val="ru-RU"/>
        </w:rPr>
        <w:t>Однако время шло, а заводы-поставщики своих обязательств не выполнили. В резуль</w:t>
      </w:r>
      <w:r w:rsidRPr="007224C3">
        <w:rPr>
          <w:color w:val="000000" w:themeColor="text1"/>
          <w:lang w:val="ru-RU"/>
        </w:rPr>
        <w:softHyphen/>
        <w:t>тате сроки, установленные правительством, оказались под угрозой срыва. Тогда руко</w:t>
      </w:r>
      <w:r w:rsidRPr="007224C3">
        <w:rPr>
          <w:color w:val="000000" w:themeColor="text1"/>
          <w:lang w:val="ru-RU"/>
        </w:rPr>
        <w:softHyphen/>
        <w:t>водство завода №75, после консультаций с технологами и инструментальщиками, при</w:t>
      </w:r>
      <w:r w:rsidRPr="007224C3">
        <w:rPr>
          <w:color w:val="000000" w:themeColor="text1"/>
          <w:lang w:val="ru-RU"/>
        </w:rPr>
        <w:softHyphen/>
        <w:t>няло непростое решение - обеспечить изго</w:t>
      </w:r>
      <w:r w:rsidRPr="007224C3">
        <w:rPr>
          <w:color w:val="000000" w:themeColor="text1"/>
          <w:lang w:val="ru-RU"/>
        </w:rPr>
        <w:softHyphen/>
        <w:t>товление всех необходимых сложных узлов на имеющемся универсальном оборудова</w:t>
      </w:r>
      <w:r w:rsidRPr="007224C3">
        <w:rPr>
          <w:color w:val="000000" w:themeColor="text1"/>
          <w:lang w:val="ru-RU"/>
        </w:rPr>
        <w:softHyphen/>
        <w:t>нии, обеспечив сдачу готовых машин в июне 1944 г., не надеясь на помощь смежников. Ряд сложнейших и трудоемких операций предстояло выполнить с использованием станочного парка, совершенно не приспосо</w:t>
      </w:r>
      <w:r w:rsidRPr="007224C3">
        <w:rPr>
          <w:color w:val="000000" w:themeColor="text1"/>
          <w:lang w:val="ru-RU"/>
        </w:rPr>
        <w:softHyphen/>
        <w:t>бленного для этих целей (ни по типажу, ни по габаритам), с применением инструмента, не соответствующего характеру операций. Мно</w:t>
      </w:r>
      <w:r w:rsidRPr="007224C3">
        <w:rPr>
          <w:color w:val="000000" w:themeColor="text1"/>
          <w:lang w:val="ru-RU"/>
        </w:rPr>
        <w:softHyphen/>
        <w:t>гие вопросы приходилось решать примитив</w:t>
      </w:r>
      <w:r w:rsidRPr="007224C3">
        <w:rPr>
          <w:color w:val="000000" w:themeColor="text1"/>
          <w:lang w:val="ru-RU"/>
        </w:rPr>
        <w:softHyphen/>
        <w:t>ными и даже кустарными способами.</w:t>
      </w:r>
    </w:p>
    <w:p w14:paraId="745210DD" w14:textId="77777777" w:rsidR="00B862BC" w:rsidRPr="007224C3" w:rsidRDefault="00B862BC" w:rsidP="007224C3">
      <w:pPr>
        <w:pStyle w:val="a3"/>
        <w:rPr>
          <w:color w:val="000000" w:themeColor="text1"/>
          <w:lang w:val="ru-RU"/>
        </w:rPr>
      </w:pPr>
      <w:r w:rsidRPr="007224C3">
        <w:rPr>
          <w:color w:val="000000" w:themeColor="text1"/>
          <w:lang w:val="ru-RU"/>
        </w:rPr>
        <w:t>Информация о том, каких усилий стои</w:t>
      </w:r>
      <w:r w:rsidRPr="007224C3">
        <w:rPr>
          <w:color w:val="000000" w:themeColor="text1"/>
          <w:lang w:val="ru-RU"/>
        </w:rPr>
        <w:softHyphen/>
        <w:t>ло коллективу завода выполнить поставлен</w:t>
      </w:r>
      <w:r w:rsidRPr="007224C3">
        <w:rPr>
          <w:color w:val="000000" w:themeColor="text1"/>
          <w:lang w:val="ru-RU"/>
        </w:rPr>
        <w:softHyphen/>
        <w:t>ную Задачу, приведена в рапорте наркому В.Л. Малышеву, подписанном директором за</w:t>
      </w:r>
      <w:r w:rsidRPr="007224C3">
        <w:rPr>
          <w:color w:val="000000" w:themeColor="text1"/>
          <w:lang w:val="ru-RU"/>
        </w:rPr>
        <w:softHyphen/>
        <w:t>вода Н.В. Барыковым и главным инженером П.М. Кривичем 28 июня 1944 г. (15748).</w:t>
      </w:r>
    </w:p>
    <w:p w14:paraId="0B5DF1F0" w14:textId="77777777" w:rsidR="00B862BC" w:rsidRPr="007224C3" w:rsidRDefault="00B862BC" w:rsidP="007224C3">
      <w:pPr>
        <w:pStyle w:val="a3"/>
        <w:rPr>
          <w:color w:val="000000" w:themeColor="text1"/>
          <w:lang w:val="ru-RU"/>
        </w:rPr>
      </w:pPr>
    </w:p>
    <w:p w14:paraId="2E173D3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февраля 1944 вышло Постановление ГКО № 5122 О восстановлении завода № 75 Наркомтанкопрома в г. Харькове и об организации на этом заводе производства тяжелых артиллерийских тягачей. РГАНИР, Фонд ГКО, д. 206, лл. 68-76,77-89 (11012).</w:t>
      </w:r>
    </w:p>
    <w:p w14:paraId="4C93FCD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64585F4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февраля 1944 вышло Постановление ГКО № 5123 О мероприятиях по обеспечению топливом горьковских электростанций Наркомэлектростанций в I полугодии 1944 г. РГАНИР, Фонд ГКО, д. 206, лл. 90-93 (11012).</w:t>
      </w:r>
    </w:p>
    <w:p w14:paraId="2D4B50E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3D6C67C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февраля 1944 вышло Постановление ГКО № 5124 О восстановлении Днепродзержинского завода имени газеты "Правда" Наркомсредмаша и организации на нем производства вагонов узкой колеи. РГАНИР, Фонд ГКО, д. 206, лл. 94-100,101-110 (11012).</w:t>
      </w:r>
    </w:p>
    <w:p w14:paraId="02D6AC7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00A32348" w14:textId="77777777" w:rsidR="0018364B" w:rsidRPr="007224C3" w:rsidRDefault="0018364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0D8D30AB" w14:textId="77777777" w:rsidR="0018364B" w:rsidRPr="007224C3" w:rsidRDefault="0018364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C90BA5F" w14:textId="77777777" w:rsidR="00B862BC" w:rsidRPr="007224C3" w:rsidRDefault="00B862BC"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6 февраля</w:t>
      </w:r>
      <w:r w:rsidRPr="007224C3">
        <w:rPr>
          <w:rFonts w:ascii="Times New Roman" w:hAnsi="Times New Roman"/>
          <w:color w:val="000000" w:themeColor="text1"/>
          <w:sz w:val="16"/>
          <w:szCs w:val="16"/>
        </w:rPr>
        <w:t xml:space="preserve"> в 1944 году оперативная сводка Совинформбюро:</w:t>
      </w:r>
    </w:p>
    <w:p w14:paraId="574ACCAC" w14:textId="77777777" w:rsidR="00B862BC" w:rsidRPr="007224C3" w:rsidRDefault="00B862B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6 февраля на Нарвском направлении наши войскаполностью очистили от противника восточный берег реки НарвА севернее и южнеегорода Нарва.</w:t>
      </w:r>
    </w:p>
    <w:p w14:paraId="6B9ABFC5" w14:textId="77777777" w:rsidR="00B862BC" w:rsidRPr="007224C3" w:rsidRDefault="00B862B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Южнее Сиверский наши войска с боями продвигались вперёд и заняли несколько населённых пунктов.</w:t>
      </w:r>
    </w:p>
    <w:p w14:paraId="2ABBC7E0" w14:textId="77777777" w:rsidR="00B862BC" w:rsidRPr="007224C3" w:rsidRDefault="00B862B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и юго-западнее Ровно наши войска овладели районными центрами Ровенской области Острожец, Млынов, Мизочь, а также с боями заняли несколько других населённых пунктов.</w:t>
      </w:r>
    </w:p>
    <w:p w14:paraId="00EFB804" w14:textId="77777777" w:rsidR="00B862BC" w:rsidRPr="007224C3" w:rsidRDefault="00B862B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Севернее Звенигородка и Шпола наши войска продолжали вести бои по уничтожению окружённой группировки противника и, сжимая кольцо окружения, овладели населёнными пунктами Драбовка, Бурты, Петропавловка, Ольховец, Беркозовка, Ключники. Одновременно, к западу от Звенигородка, наши войска успешно отбивали атаки танков и пехоты противника, стремившихся пробиться на помощь окружённой группировке.</w:t>
      </w:r>
    </w:p>
    <w:p w14:paraId="07732A8D" w14:textId="77777777" w:rsidR="00B862BC" w:rsidRPr="007224C3" w:rsidRDefault="00B862B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Несколько дней назад войска 3-го Украинского фронта, перейдя в наступление из районов северо-восточнее Кривой Рог и северо-восточнее Никополя, прорвали сильноукреплённую оборону немцев, продвинулись вперёд за четыре дня наступательныхбоёв от 45 до 60 километров и расширили прорыв до 170 километров по фронту. Входе наступления войска фронта разбили четыре пехотных и три танковых дивизии немцев, овладели городом и крупным железнодорожным узлом Апостолово, железнодорожной станцией Марганец и вышли к нижнему Днепру недалеко от города Никополь. Тем самым наши войска отрезали пути отхода на запад группировке немцев, в составе более пяти пехотных дивизий, действующей в районе Никополь. Кроме того, наши войска заняли более 250 других населённых пунктов и среди них районный центр Днепропетровской области Софиевка, крупные населённые пункты Зелено-Поле, Князь-Ивановка, Ново-Витебск, Златоустовка, Екатериновка, Михайловка, Мало-Воронцовка, Каменка, Большая Костромка, Шолохово, Хмельницкий, Александрополь, Высокая, Дмитриевка, Борисовка, Городище и железнодорожные станции Спокойствие, Девладово, Павлополье, Жёлто-Каменка, Мировая, Марганец. В этих боях нашими войсками уничтожено: немецких танков — 128, орудий разного калибра — 160, пулемётов — 245. Противник оставил на поле боя более 12.000 трупов солдат и офицеров. За это же время нашими войсками, по предварительным данным, захвачены следующие трофеи: танков — 65, орудий разного калибра — 435, миномётов — 156, пулемётов — 390, автомашин — 5.312, тракторов и тягачей — 49, повозок с военными грузами — 655, складов разных — 16. Из перечисленных трофеев только в районе Апостолово нашими войсками захвачено: танков — 45, орудий разного калибра — 130, самоходных орудий — 15, из них 4 орудия «Фердинанд», зенитных орудий — 25, </w:t>
      </w:r>
      <w:r w:rsidRPr="007224C3">
        <w:rPr>
          <w:rFonts w:ascii="Times New Roman" w:hAnsi="Times New Roman"/>
          <w:color w:val="000000" w:themeColor="text1"/>
          <w:sz w:val="16"/>
          <w:szCs w:val="16"/>
        </w:rPr>
        <w:lastRenderedPageBreak/>
        <w:t>автомашин — 3.000, паровозов — 14, много вагонов и большие склады с боеприпасами, продовольствием и вещевым имуществом. Взято в плен до 2 тысяч немецких солдат и офицеров.</w:t>
      </w:r>
    </w:p>
    <w:p w14:paraId="6834266F" w14:textId="77777777" w:rsidR="00B862BC" w:rsidRPr="007224C3" w:rsidRDefault="00B862B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 разведка, артиллерийско-миномётная перестрелка и в ряде пунктов бои местного значения.</w:t>
      </w:r>
    </w:p>
    <w:p w14:paraId="33B3530B" w14:textId="77777777" w:rsidR="00B862BC" w:rsidRPr="007224C3" w:rsidRDefault="00B862B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5 февраля наши войска на всех фронтах подбили и уничтожили 92 немецких танка. В воздушных боях и огнём зенитной артиллерии сбито 30 самолётов противника, из них 17 трехмоторных транспортных самолётов «Ю-52».</w:t>
      </w:r>
    </w:p>
    <w:p w14:paraId="01859F92" w14:textId="77777777" w:rsidR="00B862BC" w:rsidRPr="007224C3" w:rsidRDefault="00B862B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Нарвском направлении немцы, пытаясь сохранить предмостные укрепления на восточном берегу реки Нарва, предпринимали неоднократные контратаки. Наши войска выбили врага из опорных пунктов и сегодня полностью очистили от немцев восточныйберег реки как севернее, так и южнее города Нарва. При отступлении через реку Нарва противник понёс большие потери. Только в одном районе пулемётным огнём уничтожено до 400 гитлеровцев. На другом участке наши бойцы разгромили батальон вражеской пехоты и захватили пленных.</w:t>
      </w:r>
    </w:p>
    <w:p w14:paraId="7E475DF5" w14:textId="77777777" w:rsidR="00B862BC" w:rsidRPr="007224C3" w:rsidRDefault="00B862B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и юго-западнее города Ровно наши войска с боями овладели районными центрами Ровенской области Острожец, Млынов, Мизочь и заняли несколько других населённых пунктов. В боях за эти пункты наши подвижные части захватили 15 бронетранспортёров, 2 самоходных и 28 полевых орудий, 23 миномёта, 87 пулемётов и 970 лошадей. Противник потерял только убитыми 1.200 солдат и офицеров. В местечке Млынов взята в плен большая группа немецких и венгерских солдат.</w:t>
      </w:r>
    </w:p>
    <w:p w14:paraId="12EC6982" w14:textId="77777777" w:rsidR="00B862BC" w:rsidRPr="007224C3" w:rsidRDefault="00B862B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Севернее городов Звенигородка и Шпола наши войска продолжали вести бои по ликвидации окружённой группировки противника. Советские подвижные части дезорганизуют немецкую оборону, прорываются между опорными пунктами и фланговыми ударами наносят противнику большие потери. Части Н-ского соединения ночью атаковали немцев и выбили их из нескольких населённых пунктов. Разгромлено до полка пехоты противника и взято в плен свыше 800 немецких солдат и офицеров. Наши войска, овладевшие вчера районным центром Ольшана, захватили унемцев 26 орудий, 8 бронетранспортёров, более 100 пулемётов, 160 автомашин,склады с боеприпасами, продовольствием и другие трофеи. В бою за Ольшаны уничтожено 23 немецких танка и 2 самоходных орудия. На улицах села подсчитано 1.660 вражеских трупов. К западу от города Звенигородка противник продолжал свои безуспешные попытки пробиться к окружённой группировке. Наши войска отбили все атаки немцев и нанесли им тяжёлый урон. Всего на этом участке противник за день потерял 80 танков и самоходных орудий.</w:t>
      </w:r>
    </w:p>
    <w:p w14:paraId="129855A7" w14:textId="77777777" w:rsidR="00B862BC" w:rsidRPr="007224C3" w:rsidRDefault="00B862B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3-го Украинского фронта несколько дней тому назад перешли в наступление и прорвали оборону немцев северо-восточнее города Кривой Рог и северо-восточнее города Никополь. Развивая успех, наши войска овладели городом и крупным железнодорожным узлом Апостолово и заняли более 250 других населённых пунктов. Удар наших войск был настолько стремительным, что разгромленные немецкие дивизии, отступая, бросали всю свою артиллерию, боеприпасы и тысячи автомашин. В районе населённого пункта Шолохово захвачено 15 немецких танков, 37 орудий, 900 автомашин и другие трофеи. На другом участке бойцы Н-ского соединения, прорвавшись в тылы противника, истребили более 2.000 гитлеровцев и захватили 140 орудий, свыше 300 пулемётов и 1.000 автомашин. Захвачено также много складов с продовольствием, горючим и другим военным имуществом. Наши войска, быстро продвигаясь вперёд, вышли к нижнему Днепру, недалеко от города Никополь и тем самым отрезали пути отхода на запад группировке противника в составе более пяти пехотных дивизий.</w:t>
      </w:r>
    </w:p>
    <w:p w14:paraId="791AAEB2" w14:textId="77777777" w:rsidR="00B862BC" w:rsidRPr="007224C3" w:rsidRDefault="00B862B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Партизаны отряда, действующего в Ровенской области, организовали засаду у дороги. Когда по этой дороге проходила колонна отступавших немцев, советские патриоты открыли огонь из пулемётов и автоматов. Среди гитлеровцев началась паника. Партизаны перешли в атаку и в рукопашном бою истребили 170 немецкихсолдат и офицеров. Захвачено несколько орудий, 200 автоматов и винтовок и 30 подвод с боеприпасами.</w:t>
      </w:r>
    </w:p>
    <w:p w14:paraId="0FACEA5D" w14:textId="77777777" w:rsidR="00B862BC" w:rsidRPr="007224C3" w:rsidRDefault="00B862B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сообщении Совинформбюро от 10-го января приводились показания пленного обер-ефрейтора Карла Буккем о том, что командир 106 немецкой пехотной дивизии генерал-лейтенант Форст лично поджигал на Украине жилые дома, в которых находились женщины и дети. Недавно наши войска захватили дневник генерала Форста и его приказы по 106 пехотной дивизии. В приказе об отношении к мирному населению оккупированных немцами советских районов Форст требует от солдат «беспощадного применения оружия...». Он поучает своих подручных: «Быстрые действия чаще приводят к успеху, чем долгие размышления и запросы. Обычно нужно немедленно расстреливать... Не нужно быть мягкосердечным... Необходимо угрожать населению наказаниями и брать заложников... Немецкий солдат, независимо от своего чина, должен себя чувствовать по отношению к русскому населению господином и соответственно с этим держать себя и действовать».</w:t>
      </w:r>
    </w:p>
    <w:p w14:paraId="77A7A376" w14:textId="77777777" w:rsidR="00B862BC" w:rsidRPr="007224C3" w:rsidRDefault="00B862B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Форст несомненно опытный палач, но никудышный генерал. Он растерял свою дивизию и удрал с такой поспешностью, что бросил штабные документы и даже личный дневник. На этот раз Форсту удалось бежать. Однако этому людоеду в форме немецкого генерала не миновать скамьи подсудимых. Ему придётся нести ответственность за все преступления, которые он совершил на советской земле.» (15032).</w:t>
      </w:r>
    </w:p>
    <w:p w14:paraId="7536D01D" w14:textId="77777777" w:rsidR="00B862BC" w:rsidRPr="007224C3" w:rsidRDefault="00B862BC" w:rsidP="007224C3">
      <w:pPr>
        <w:spacing w:after="0" w:line="240" w:lineRule="auto"/>
        <w:jc w:val="both"/>
        <w:rPr>
          <w:rFonts w:ascii="Times New Roman" w:hAnsi="Times New Roman"/>
          <w:color w:val="000000" w:themeColor="text1"/>
          <w:sz w:val="16"/>
          <w:szCs w:val="16"/>
        </w:rPr>
      </w:pPr>
    </w:p>
    <w:p w14:paraId="52DAD841" w14:textId="77777777" w:rsidR="0018364B" w:rsidRPr="007224C3" w:rsidRDefault="0018364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ночь с 6 на 7 февраля 1944 45-я АДДД совершила первый боевой вылет в 1944 году. Целью были промышленные объекты Хельсинки. Это был первый из трех налетов на столицу Финляндии, совершенных авиацией дальнего действия в феврале 1944 года. Целью этих налетов было вывести Финляндию из войны. Оба полка 45-й АДДД уча</w:t>
      </w:r>
      <w:r w:rsidRPr="007224C3">
        <w:rPr>
          <w:rFonts w:ascii="Times New Roman" w:hAnsi="Times New Roman"/>
          <w:color w:val="000000" w:themeColor="text1"/>
          <w:sz w:val="16"/>
          <w:szCs w:val="16"/>
        </w:rPr>
        <w:softHyphen/>
        <w:t>ствовали в первом и третьем налетах на Хельсинки.</w:t>
      </w:r>
    </w:p>
    <w:p w14:paraId="30A708DC" w14:textId="77777777" w:rsidR="0018364B" w:rsidRPr="007224C3" w:rsidRDefault="0018364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 боевой вылет совершили 16 кораблей, по восемь из каждого полка. Первый взлетел в 17 ч. 08 мин., последний в 17 ч. 49 мин. Пятнадцать кораблей бомбили основную цель в период с 21 ч. 10 мин. по 21 ч. 55 мин., а Пе-8 № 42311 (ко</w:t>
      </w:r>
      <w:r w:rsidRPr="007224C3">
        <w:rPr>
          <w:rFonts w:ascii="Times New Roman" w:hAnsi="Times New Roman"/>
          <w:color w:val="000000" w:themeColor="text1"/>
          <w:sz w:val="16"/>
          <w:szCs w:val="16"/>
        </w:rPr>
        <w:softHyphen/>
        <w:t>мандир корабля Зеленский, штурман Легкоступ), из 25-го гв. АПДД, из-за отказа матчасти бомбил запасную цель - желез</w:t>
      </w:r>
      <w:r w:rsidRPr="007224C3">
        <w:rPr>
          <w:rFonts w:ascii="Times New Roman" w:hAnsi="Times New Roman"/>
          <w:color w:val="000000" w:themeColor="text1"/>
          <w:sz w:val="16"/>
          <w:szCs w:val="16"/>
        </w:rPr>
        <w:softHyphen/>
        <w:t>нодорожный узел Сонда (в 20 ч. 47 мин). На цели в Хельсинки было сброшено 2 ФАБ-5000тга, 6 ФАБ-2000тга, 6 ФАб-2000. 4 ФАБ-1000тга, 22 ФАБ-500тга, 22 ФАБ-250тга, И ЗАБ-ЮОцк, 2 САБ-100. На запасную цель было сброшено 4 ФАБ-500тга, 4 ФАБ-250тга, 1 ЗАБ-ЮОцк.</w:t>
      </w:r>
    </w:p>
    <w:p w14:paraId="130BB232" w14:textId="77777777" w:rsidR="0018364B" w:rsidRPr="007224C3" w:rsidRDefault="0018364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 состава 25-го гв. АПДД основную цель бомбили Пе-8 с заводскими номерами: 42076 (командир корабля Ада</w:t>
      </w:r>
      <w:r w:rsidRPr="007224C3">
        <w:rPr>
          <w:rFonts w:ascii="Times New Roman" w:hAnsi="Times New Roman"/>
          <w:color w:val="000000" w:themeColor="text1"/>
          <w:sz w:val="16"/>
          <w:szCs w:val="16"/>
        </w:rPr>
        <w:softHyphen/>
        <w:t>мов), 42028 (командир корабля Симонов), 42088 (командир корабля Сугак), 42210 (командир корабля Шатров), 42410 (командир корабля Ищенко), 421010 (командир корабля Уг</w:t>
      </w:r>
      <w:r w:rsidRPr="007224C3">
        <w:rPr>
          <w:rFonts w:ascii="Times New Roman" w:hAnsi="Times New Roman"/>
          <w:color w:val="000000" w:themeColor="text1"/>
          <w:sz w:val="16"/>
          <w:szCs w:val="16"/>
        </w:rPr>
        <w:softHyphen/>
        <w:t>рюмое), 42611 (командир корабля Каминский). Из состава 890-го АПДД основную цель бомбили Пе-8 с заводскими номерами: 4202 (второй прототип Пе-8, который в докумен</w:t>
      </w:r>
      <w:r w:rsidRPr="007224C3">
        <w:rPr>
          <w:rFonts w:ascii="Times New Roman" w:hAnsi="Times New Roman"/>
          <w:color w:val="000000" w:themeColor="text1"/>
          <w:sz w:val="16"/>
          <w:szCs w:val="16"/>
        </w:rPr>
        <w:softHyphen/>
        <w:t>тах проходит под номером № 385Д), командир корабля Су- коркин, 42078 (командир корабля Белков), 42098 (командир корабля Откидач), 42810 (командир корабля Олейников), 42910 (командир корабля Шамрай), 42211(командир корабля Невенчанный), 42411 (командир корабля Романов), 421011 (командир корабля Кондратьев). Потерь не было. После выполнения задания 15 кораблей приземлились на своем аэродроме в период с 23 ч. 45 мин. по 00 ч. 50 мин., а Пе-8 № 421010 из-за отказа навигационных приборов произвёл посадку на аэродроме Иваново (19559).</w:t>
      </w:r>
    </w:p>
    <w:p w14:paraId="42BFEC93" w14:textId="77777777" w:rsidR="0018364B" w:rsidRPr="007224C3" w:rsidRDefault="0018364B" w:rsidP="007224C3">
      <w:pPr>
        <w:spacing w:after="0" w:line="240" w:lineRule="auto"/>
        <w:jc w:val="both"/>
        <w:rPr>
          <w:rFonts w:ascii="Times New Roman" w:hAnsi="Times New Roman"/>
          <w:color w:val="000000" w:themeColor="text1"/>
          <w:sz w:val="16"/>
          <w:szCs w:val="16"/>
        </w:rPr>
      </w:pPr>
    </w:p>
    <w:p w14:paraId="57E3970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February 6 1944 Soviet offensive in the Ukraine makes great progress near Nikopol (1037).</w:t>
      </w:r>
    </w:p>
    <w:p w14:paraId="51258FE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90F73A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февраля 1944 наступление на Украине принесло успех (1037).</w:t>
      </w:r>
    </w:p>
    <w:p w14:paraId="50D3BCF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05CCB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февраля 1944 отбили Луцк и Ровно (2100).</w:t>
      </w:r>
    </w:p>
    <w:p w14:paraId="078A5E2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4B767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ночь с 6 на 7 февраля 1944 началась серия налетов АДД на Хельсинки, которые проходили с 10 дневными перерывами. Потом были с 16 на 17 и с 26 на 27. АДД провела 773, 497 и 850 самолето-вылетов. В первом налете приняло участие 16 Пе-8, 2 из которых несли по 5000 кг бомбе и 15 долетели, а в основном - Ли-2, Ил-4, В-25. Это была одна из первых стратегических операций советских АДД. Не хватало опыта и финны считают, что операция была неудачной (2107,25).</w:t>
      </w:r>
    </w:p>
    <w:p w14:paraId="040D24E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97B038" w14:textId="77777777" w:rsidR="002B4053" w:rsidRPr="007224C3" w:rsidRDefault="002B405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6 февраля 1944 - В ночь на 7 февраля советская авиация провела бомбардировку Хельсинки 728 бомбардировщиками (910 тонн бомб). Разрушено 434 здания. Погибло 83 и ранено 322 жителя города. Сбито 5 советских бомбардировщиков (22632).</w:t>
      </w:r>
    </w:p>
    <w:p w14:paraId="7F501B13" w14:textId="77777777" w:rsidR="002B4053" w:rsidRPr="007224C3" w:rsidRDefault="002B4053" w:rsidP="007224C3">
      <w:pPr>
        <w:spacing w:after="0" w:line="240" w:lineRule="auto"/>
        <w:jc w:val="both"/>
        <w:rPr>
          <w:rFonts w:ascii="Times New Roman" w:hAnsi="Times New Roman"/>
          <w:color w:val="0070C0"/>
          <w:sz w:val="16"/>
          <w:szCs w:val="16"/>
        </w:rPr>
      </w:pPr>
    </w:p>
    <w:p w14:paraId="074C7733"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Жизнь и внутренняя политика:</w:t>
      </w:r>
    </w:p>
    <w:p w14:paraId="1B85A07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06AC7C1"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февраля 1944 вышло Постановление ГКО № 5120 [О возвращении зданий Институту Маркса - Энгельса - Ленина.] (7185, 64).</w:t>
      </w:r>
    </w:p>
    <w:p w14:paraId="4B7E29FA"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21D4731"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февраля 1944 принято постановление о возвращении из эвакуации украинской Академии Наук в Киев (4962).</w:t>
      </w:r>
    </w:p>
    <w:p w14:paraId="784107CD"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DE50BCA" w14:textId="1CD9A14E" w:rsidR="002B4053" w:rsidRPr="007224C3" w:rsidRDefault="002B4053" w:rsidP="007224C3">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7224C3">
        <w:rPr>
          <w:rFonts w:ascii="Times New Roman" w:hAnsi="Times New Roman"/>
          <w:i/>
          <w:iCs/>
          <w:color w:val="000000" w:themeColor="text1"/>
          <w:sz w:val="16"/>
          <w:szCs w:val="16"/>
        </w:rPr>
        <w:t>За рубежом:</w:t>
      </w:r>
    </w:p>
    <w:p w14:paraId="108330A0" w14:textId="77777777" w:rsidR="002B4053" w:rsidRPr="007224C3" w:rsidRDefault="002B4053" w:rsidP="007224C3">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640DED19" w14:textId="77777777" w:rsidR="002B4053" w:rsidRPr="007224C3" w:rsidRDefault="002B405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6 февраля 1944 американские войска завершают завоевание и оккупацию атолла Кваджалейн (20373).</w:t>
      </w:r>
    </w:p>
    <w:p w14:paraId="054DC807" w14:textId="77777777" w:rsidR="002B4053" w:rsidRPr="007224C3" w:rsidRDefault="002B4053" w:rsidP="007224C3">
      <w:pPr>
        <w:spacing w:after="0" w:line="240" w:lineRule="auto"/>
        <w:jc w:val="both"/>
        <w:rPr>
          <w:rFonts w:ascii="Times New Roman" w:hAnsi="Times New Roman"/>
          <w:color w:val="0070C0"/>
          <w:sz w:val="16"/>
          <w:szCs w:val="16"/>
        </w:rPr>
      </w:pPr>
    </w:p>
    <w:p w14:paraId="13FF7642" w14:textId="77777777" w:rsidR="002B4053" w:rsidRPr="007224C3" w:rsidRDefault="002B405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6 февраля 1944 642 бомбардировщика Восьмлй армии ВВС в сопровождении 638 истребителей атакуют различные аэродромы во Франции; Погода вынуждает более 400 бомбардировщиков прервать свои миссии. Четыре бомбардировщика и четыре истребителя потеряны. Вместе бомбардировщики и истребители заявляют, что 14 немецких самолетов были сбитых, пяти вероятно сбитых и трех поврежденых в воздушном бою, истребители утверждают, что еще два немецких самолета уничтожены и семь повреждены на земле (20373).</w:t>
      </w:r>
    </w:p>
    <w:p w14:paraId="4A6880EB" w14:textId="77777777" w:rsidR="002B4053" w:rsidRPr="007224C3" w:rsidRDefault="002B4053" w:rsidP="007224C3">
      <w:pPr>
        <w:spacing w:after="0" w:line="240" w:lineRule="auto"/>
        <w:jc w:val="both"/>
        <w:rPr>
          <w:rFonts w:ascii="Times New Roman" w:hAnsi="Times New Roman"/>
          <w:color w:val="0070C0"/>
          <w:sz w:val="16"/>
          <w:szCs w:val="16"/>
        </w:rPr>
      </w:pPr>
    </w:p>
    <w:p w14:paraId="71D53DFA" w14:textId="2701F0E4"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1CB79F6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B6BD8F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февраля 1944 г. ответственный представитель ОКБ на 18-м авиазаводе В.Н.Бугайский смог доложить С.В.Ильюшину:</w:t>
      </w:r>
    </w:p>
    <w:p w14:paraId="036F305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"Наконец, можно рапортовать, машину закончили. Отправку в Москву намечаем к 15 февраля Мотор заменить не сумели, та как его нам не дали до сих пор. Машина получилась хорошая во всех отношениях, исключительно перспективная и многообещающая, а главное, ясная во всех элементах. Хорошо бы к лету запустить в серию Прошу Вас дать указание, чтобы прибывшую в Москву машину Ил-1 наш народ проверил самым тщательным образом" (7442).</w:t>
      </w:r>
    </w:p>
    <w:p w14:paraId="5B9DF3F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A5F2D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февраля 1944 г. ответственный представитель ОКБ на 18-м авиазаводе В.Н.Бугайский смог доложить С.В.Ильюшину: “Наконец, можно рапортовать, машину закончили. Отправку в Москву намечаем к 15 февраля... Мотор заменить не сумели, та как его нам не дали до сих пор.</w:t>
      </w:r>
    </w:p>
    <w:p w14:paraId="5A6242A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Машина получилась хорошая во всех отношениях... исключительно перспективная и многообещающая, а главное, ясная во всех элементах. Хорошо бы к лету запустить в серию...</w:t>
      </w:r>
    </w:p>
    <w:p w14:paraId="06A4CA8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Прошу Вас дать указание, чтобы прибывшую в Москву машину Ил-1 наш народ проверил самым тщательным образом...”. Окончательная сборка новой машины проводилась на московском авиазаводе № 240 (9649).</w:t>
      </w:r>
    </w:p>
    <w:p w14:paraId="7AF980A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C9F6B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февраля 1944 г. ответственный представитель ильюшинского ОКБ на заводе № 18 В.Н. Бугайский смог доложить главному конст</w:t>
      </w:r>
      <w:r w:rsidRPr="007224C3">
        <w:rPr>
          <w:rFonts w:ascii="Times New Roman" w:hAnsi="Times New Roman"/>
          <w:color w:val="000000" w:themeColor="text1"/>
          <w:sz w:val="16"/>
          <w:szCs w:val="16"/>
        </w:rPr>
        <w:softHyphen/>
        <w:t>руктору: «Наконец, можно рапортовать, машину закончили. Отправку в Москву намечаем к 15 февраля... Мотор заме</w:t>
      </w:r>
      <w:r w:rsidRPr="007224C3">
        <w:rPr>
          <w:rFonts w:ascii="Times New Roman" w:hAnsi="Times New Roman"/>
          <w:color w:val="000000" w:themeColor="text1"/>
          <w:sz w:val="16"/>
          <w:szCs w:val="16"/>
        </w:rPr>
        <w:softHyphen/>
        <w:t>нить не сумели, так как его нам не дали до сих пор. Машина получилась хорошая во всех отношениях... исключительно перспективная и многообещающая, а главное, ясная во всех элементах. Хоро</w:t>
      </w:r>
      <w:r w:rsidRPr="007224C3">
        <w:rPr>
          <w:rFonts w:ascii="Times New Roman" w:hAnsi="Times New Roman"/>
          <w:color w:val="000000" w:themeColor="text1"/>
          <w:sz w:val="16"/>
          <w:szCs w:val="16"/>
        </w:rPr>
        <w:softHyphen/>
        <w:t>шо бы к лету запустить в серию... Про</w:t>
      </w:r>
      <w:r w:rsidRPr="007224C3">
        <w:rPr>
          <w:rFonts w:ascii="Times New Roman" w:hAnsi="Times New Roman"/>
          <w:color w:val="000000" w:themeColor="text1"/>
          <w:sz w:val="16"/>
          <w:szCs w:val="16"/>
        </w:rPr>
        <w:softHyphen/>
        <w:t>шу Вас дать указание, чтобы прибывшую в Москву машину Ил-1 наш народ про</w:t>
      </w:r>
      <w:r w:rsidRPr="007224C3">
        <w:rPr>
          <w:rFonts w:ascii="Times New Roman" w:hAnsi="Times New Roman"/>
          <w:color w:val="000000" w:themeColor="text1"/>
          <w:sz w:val="16"/>
          <w:szCs w:val="16"/>
        </w:rPr>
        <w:softHyphen/>
        <w:t>верил самым тщательным образом...» (10680).</w:t>
      </w:r>
    </w:p>
    <w:p w14:paraId="6F0B899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8AAA3BA" w14:textId="77777777" w:rsidR="00CB5754" w:rsidRPr="007224C3" w:rsidRDefault="00CB5754" w:rsidP="007224C3">
      <w:pPr>
        <w:spacing w:after="0" w:line="240" w:lineRule="auto"/>
        <w:jc w:val="both"/>
        <w:rPr>
          <w:rStyle w:val="77"/>
          <w:rFonts w:eastAsiaTheme="minorHAnsi"/>
          <w:color w:val="000000" w:themeColor="text1"/>
          <w:sz w:val="16"/>
          <w:szCs w:val="16"/>
        </w:rPr>
      </w:pPr>
      <w:r w:rsidRPr="007224C3">
        <w:rPr>
          <w:rStyle w:val="77"/>
          <w:rFonts w:eastAsiaTheme="minorHAnsi"/>
          <w:color w:val="000000" w:themeColor="text1"/>
          <w:sz w:val="16"/>
          <w:szCs w:val="16"/>
        </w:rPr>
        <w:t>В начале февраля 1944 года начальник СКО завода № 18 и ответственный представитель ОКБ-240 на заводе В. Н. Бугайский смог доложить главному конструктору: «Наконец можно рапортовать, машину (Ил-1 в варианте штурмовика) закончили. Отправку в Москву намечаем к 15 февраля./.../Мотор заменить не сумели, так как его нам не дали до сих пор. Машина получилась хорошая во всех отношениях/.. ./исключительно перспективная и многообещающая, а главное, ясная во всех элементах. Хорошо бы к лету запустить в серию./. ../Прошу Вас дать указание, чтобы прибывшую в Москву машину Ил-1 наш народ проверил самым тщательным образом».</w:t>
      </w:r>
    </w:p>
    <w:p w14:paraId="3557D4D6" w14:textId="77777777" w:rsidR="00CB5754" w:rsidRPr="007224C3" w:rsidRDefault="00CB5754"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Однако закончить сборку и устранить все дефекты заводчанам удалось лишь в следующем месяце. Согласно сводке по опытному самолетостроению, двухместный вариант Ил-1 с АМ-42 10 марта был отправлен в Москву на авиазавод № 240 для дальнейшей доводки и проведения испытаний. Вместе с самолетом в столицу выехала заводская бригада во главе с ведущим инженером А. Соболевым и заместителем начальника отдела эксплуатации и ремонта С. Малышевым (17490).</w:t>
      </w:r>
    </w:p>
    <w:p w14:paraId="058CED6A" w14:textId="77777777" w:rsidR="00CB5754" w:rsidRPr="007224C3" w:rsidRDefault="00CB5754" w:rsidP="007224C3">
      <w:pPr>
        <w:spacing w:after="0" w:line="240" w:lineRule="auto"/>
        <w:jc w:val="both"/>
        <w:rPr>
          <w:rFonts w:ascii="Times New Roman" w:hAnsi="Times New Roman"/>
          <w:color w:val="000000" w:themeColor="text1"/>
          <w:sz w:val="16"/>
          <w:szCs w:val="16"/>
        </w:rPr>
      </w:pPr>
    </w:p>
    <w:p w14:paraId="0A7C9C8E" w14:textId="77777777" w:rsidR="00777EFD" w:rsidRPr="007224C3" w:rsidRDefault="00777EF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февраля 1944 г.  в своём письме на имя А.И. Шахурина Ф.С.Я. пи</w:t>
      </w:r>
      <w:r w:rsidRPr="007224C3">
        <w:rPr>
          <w:rFonts w:ascii="Times New Roman" w:hAnsi="Times New Roman"/>
          <w:color w:val="000000" w:themeColor="text1"/>
          <w:sz w:val="16"/>
          <w:szCs w:val="16"/>
        </w:rPr>
        <w:softHyphen/>
        <w:t>сал: «Изучение вопроса о возможности повышения потолка до 13,5 тыс. м показывает, что достигнутая Н=13 тыс. м для серийного самолёта Як-9 с мотором М-105ПД явля</w:t>
      </w:r>
      <w:r w:rsidRPr="007224C3">
        <w:rPr>
          <w:rFonts w:ascii="Times New Roman" w:hAnsi="Times New Roman"/>
          <w:color w:val="000000" w:themeColor="text1"/>
          <w:sz w:val="16"/>
          <w:szCs w:val="16"/>
        </w:rPr>
        <w:softHyphen/>
        <w:t>ется предельной. Задача дальнейшего повышения потолка до 13,5 тыс. м потребует весьма значительного изменения конструкции и займёт большой период времени на проектирование и постройку самолёта. Прошу снять с плана завода 115 изготовление высотного самолёта Як-9 с мотором М-105ПД по приказу № 523» (15830).</w:t>
      </w:r>
    </w:p>
    <w:p w14:paraId="698EAB08" w14:textId="77777777" w:rsidR="00777EFD" w:rsidRPr="007224C3" w:rsidRDefault="00777EFD" w:rsidP="007224C3">
      <w:pPr>
        <w:spacing w:after="0" w:line="240" w:lineRule="auto"/>
        <w:jc w:val="both"/>
        <w:rPr>
          <w:rFonts w:ascii="Times New Roman" w:hAnsi="Times New Roman"/>
          <w:color w:val="000000" w:themeColor="text1"/>
          <w:sz w:val="16"/>
          <w:szCs w:val="16"/>
        </w:rPr>
      </w:pPr>
    </w:p>
    <w:p w14:paraId="21443BA2" w14:textId="77777777" w:rsidR="003712D9" w:rsidRPr="007224C3" w:rsidRDefault="00694509" w:rsidP="007224C3">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51B074A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797799A8" w14:textId="77777777" w:rsidR="00CB5754" w:rsidRPr="007224C3" w:rsidRDefault="00CB5754" w:rsidP="007224C3">
      <w:pPr>
        <w:pStyle w:val="ae"/>
        <w:shd w:val="clear" w:color="auto" w:fill="FFFFFF"/>
        <w:spacing w:before="0" w:after="0"/>
        <w:jc w:val="both"/>
        <w:rPr>
          <w:color w:val="000000" w:themeColor="text1"/>
          <w:sz w:val="16"/>
          <w:szCs w:val="16"/>
        </w:rPr>
      </w:pPr>
      <w:r w:rsidRPr="007224C3">
        <w:rPr>
          <w:color w:val="000000" w:themeColor="text1"/>
          <w:sz w:val="16"/>
          <w:szCs w:val="16"/>
        </w:rPr>
        <w:t>В начале февраля 1944 завод №9 начал производство Д-25 с дульным тормозом нового типа и клиновым затвором. По вине завода №9 произошла задержка с отправкой опытной системы, и её установка в ИС-2 затянулась. При монтаже системы с клиновым затвором на заводе №100 была увеличена высота амбразуры башни с 590 до 610 мм. Это позволило установить пушку без съёма ограждения. Для уравновешенности системы пришлось установить дополнительный груз массой 80 кг (17721).</w:t>
      </w:r>
    </w:p>
    <w:p w14:paraId="7C4EB950" w14:textId="77777777" w:rsidR="00CB5754" w:rsidRPr="007224C3" w:rsidRDefault="00CB5754" w:rsidP="007224C3">
      <w:pPr>
        <w:spacing w:after="0" w:line="240" w:lineRule="auto"/>
        <w:jc w:val="both"/>
        <w:rPr>
          <w:rFonts w:ascii="Times New Roman" w:hAnsi="Times New Roman"/>
          <w:color w:val="000000" w:themeColor="text1"/>
          <w:sz w:val="16"/>
          <w:szCs w:val="16"/>
        </w:rPr>
      </w:pPr>
    </w:p>
    <w:p w14:paraId="732838D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февраля 1944 г. на Гороховецком АНИОПе в присутствии специальной комиссии были проведены испытания двух головных образцов 85-мм танковой пушки С-53 серийного производства завода №92.</w:t>
      </w:r>
    </w:p>
    <w:p w14:paraId="691A211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Одна пушка была установлена в танк Т-34 со штатной башней, а другая в танк Т-34 с расширен</w:t>
      </w:r>
      <w:r w:rsidRPr="007224C3">
        <w:rPr>
          <w:rFonts w:ascii="Times New Roman" w:hAnsi="Times New Roman"/>
          <w:color w:val="000000" w:themeColor="text1"/>
          <w:sz w:val="16"/>
          <w:szCs w:val="16"/>
        </w:rPr>
        <w:softHyphen/>
        <w:t>ной башней.</w:t>
      </w:r>
    </w:p>
    <w:p w14:paraId="2A737E9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результате полигонных испытаний комиссия пришла к заключению, что пушка испытания выдержала.</w:t>
      </w:r>
    </w:p>
    <w:p w14:paraId="2BCC328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Кроме того, на испытаниях было установлено, что серийные пушки С-53 и установка этих пушек в башнях танков Т-34 имеет дефекты, которые необходимо устранить при изготовлении пушек и танков Т-34-85, вооруженных пушками С-53.</w:t>
      </w:r>
    </w:p>
    <w:p w14:paraId="53BB76C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Одновременно комиссия отметила преимущества размещения пушки С-53 в расширенной башне по сравнению с размещением этой пушки в старой башне.</w:t>
      </w:r>
    </w:p>
    <w:p w14:paraId="59C8954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Расширенная башня позволяет удобно разместить командира, освобожденного от обязанностей наводчика, осуществляющего круговое наблюдение и корректировку огня. Скорострельность из пушки С-53, установленной в расширенной башне, значительно выше.</w:t>
      </w:r>
    </w:p>
    <w:p w14:paraId="7F1458C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целях обеспечения надежной работы 85-мм танковых пушек С-53 необходимо обязать НКВ (т. Устинова) и НКТП (т. Малышева) в ближайшее время, при выпуске первой партии пушек С-53 и танков Т-34-85, вооруженных этой пушкой, устранить дефекты, указанные в заключении комиссии по испытаниям.</w:t>
      </w:r>
    </w:p>
    <w:p w14:paraId="4A9DBD4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Перечень мероприятий по устранению выявленных дефектов сообщен тт. Устинову и Малышеву.</w:t>
      </w:r>
    </w:p>
    <w:p w14:paraId="20732CA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38. Оп. 11369. Д. 496. Л. 7. Копия (11403).</w:t>
      </w:r>
    </w:p>
    <w:p w14:paraId="7D83DC2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46A29352" w14:textId="77777777" w:rsidR="0035263A" w:rsidRPr="007224C3" w:rsidRDefault="0035263A" w:rsidP="007224C3">
      <w:pPr>
        <w:pStyle w:val="a3"/>
        <w:rPr>
          <w:color w:val="000000" w:themeColor="text1"/>
          <w:lang w:val="ru-RU"/>
        </w:rPr>
      </w:pPr>
      <w:r w:rsidRPr="007224C3">
        <w:rPr>
          <w:color w:val="000000" w:themeColor="text1"/>
          <w:lang w:val="ru-RU"/>
        </w:rPr>
        <w:t>В начале февраля 1944 сравнительные испытания танков с расширенной и обычной башнями, вооруженных 85-мм пушкой, были проведены и показали, что танк со старой башней значительно уступает по скорострельности орудия. Переход к производству танков с увеличенной башней был необходим и неизбежен (12290).</w:t>
      </w:r>
    </w:p>
    <w:p w14:paraId="65FA9D0F" w14:textId="77777777" w:rsidR="0035263A" w:rsidRPr="007224C3" w:rsidRDefault="0035263A" w:rsidP="007224C3">
      <w:pPr>
        <w:pStyle w:val="a3"/>
        <w:rPr>
          <w:color w:val="000000" w:themeColor="text1"/>
          <w:lang w:val="ru-RU"/>
        </w:rPr>
      </w:pPr>
    </w:p>
    <w:p w14:paraId="5A683458"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6AAD036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A67CAA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февраля 1944 года В. Кузнецов писал письмо N Н-35/613 гл. конструктору завода N 300 А.А. Микулину.</w:t>
      </w:r>
    </w:p>
    <w:p w14:paraId="4AD537E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летном испытании самолета Ил-2 с мотором АМ-42 за последнее время было отмечено два случая перегрева всасывающих патрубков и один случай пожара вследствие сильного перегрева всасывающих патрубков. Пламя было нарушено применением огнетушителя.</w:t>
      </w:r>
    </w:p>
    <w:p w14:paraId="70CED30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Считая этот случай аварийным предлагаю:</w:t>
      </w:r>
    </w:p>
    <w:p w14:paraId="498307F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Тщательно обследовать этот случай и дать свои мероприятия по устранению возможных подобных случаев.</w:t>
      </w:r>
    </w:p>
    <w:p w14:paraId="42D566C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Снять всасывающие патрубки с мотора Ам-42, потерпевшего аварию и произвести проверку их на заводе, а также произвести тщательный технический осмотр мотора.</w:t>
      </w:r>
    </w:p>
    <w:p w14:paraId="0FD47DD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 исполнении сообщить.</w:t>
      </w:r>
    </w:p>
    <w:p w14:paraId="65EB842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Акт заключения комиссии прилагаю (2562,34).</w:t>
      </w:r>
    </w:p>
    <w:p w14:paraId="1738D19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CD3B0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7 февраля по 15 мая 1944 бригада НИИ ВВС (Ю.А.Антипов и А.Г.Прошаков и др.) проводила гос. испытания Як-3-2 с ВК107А смешанной конструкции. Ви был Е.Г.Адлер, м - М.М.Щипанов. Выполнили 5 полетов. После перерыва из-за поломки они были продолжены с 13 июля по 29 августа 1944 (65,187).</w:t>
      </w:r>
    </w:p>
    <w:p w14:paraId="515EB66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3988DAF2" w14:textId="77777777" w:rsidR="00E370BB" w:rsidRPr="007224C3" w:rsidRDefault="00E370BB"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7 февраля</w:t>
      </w:r>
      <w:r w:rsidRPr="007224C3">
        <w:rPr>
          <w:rFonts w:ascii="Times New Roman" w:hAnsi="Times New Roman"/>
          <w:color w:val="000000" w:themeColor="text1"/>
          <w:sz w:val="16"/>
          <w:szCs w:val="16"/>
        </w:rPr>
        <w:t xml:space="preserve"> в 1944 году начался (по 15 мая) основной этап испытаний </w:t>
      </w:r>
      <w:hyperlink r:id="rId35" w:tgtFrame="_blank" w:history="1">
        <w:r w:rsidRPr="007224C3">
          <w:rPr>
            <w:rFonts w:ascii="Times New Roman" w:hAnsi="Times New Roman"/>
            <w:color w:val="000000" w:themeColor="text1"/>
            <w:sz w:val="16"/>
            <w:szCs w:val="16"/>
          </w:rPr>
          <w:t xml:space="preserve">Як-3» «ВК-107» "Дублер" </w:t>
        </w:r>
      </w:hyperlink>
      <w:r w:rsidRPr="007224C3">
        <w:rPr>
          <w:rFonts w:ascii="Times New Roman" w:hAnsi="Times New Roman"/>
          <w:color w:val="000000" w:themeColor="text1"/>
          <w:sz w:val="16"/>
          <w:szCs w:val="16"/>
        </w:rPr>
        <w:t>после устранения дефектов, выявленных на экземпляре N1. Производство "Дублера" закончено 22 января 1944 г., он проходил заводские испытания с 25 по 29 января 1944 г. (летчик П.Я.Федрови, ведущий инженер Е.Г.Адлер, механик М.М.Щипанов). Произведено пять полетов общей продолжительностью 1 ч 45 мин. Государственные испытания, которые проходил "Дублер", проводились в два этапа: основные - с 7 февраля по 15 мая 1944 г. и дополнительные (после устранения дефектов) - с 13 июля по 29 августа 1944 г. По результатам госиспытаний было сделано следующее заключение: «Як-З» с двигателем «ВК-107А» по основным летно-тактическим данным в диапазоне высот от земли до практического потолка 11 800 м является лучшим из известных отечественных и иностранных истребителей. Самолет с такими данными необходим для вооружения ВВС СА.</w:t>
      </w:r>
    </w:p>
    <w:p w14:paraId="524458F8" w14:textId="77777777" w:rsidR="00E370BB" w:rsidRPr="007224C3" w:rsidRDefault="00E370B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 работы по цельнометаллическому «Як-З» в конце 1946 г. были прекращены. Было решено двигатель «ВК-107А» ставить лишь на более приспособленный для этого «Як-9У» (15033).</w:t>
      </w:r>
    </w:p>
    <w:p w14:paraId="231600E1" w14:textId="77777777" w:rsidR="00E370BB" w:rsidRPr="007224C3" w:rsidRDefault="00E370BB" w:rsidP="007224C3">
      <w:pPr>
        <w:spacing w:after="0" w:line="240" w:lineRule="auto"/>
        <w:jc w:val="both"/>
        <w:rPr>
          <w:rFonts w:ascii="Times New Roman" w:hAnsi="Times New Roman"/>
          <w:color w:val="000000" w:themeColor="text1"/>
          <w:sz w:val="16"/>
          <w:szCs w:val="16"/>
        </w:rPr>
      </w:pPr>
    </w:p>
    <w:p w14:paraId="1E2C88F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февраля 1944 начались и продолжались по 15 мая 1944 года госиспытания Як-3 ВК-107А №2. Ведущими по машине были инженер Г.А. Седов, летчики Ю.А. Антипов и А.Г. Прошаков.</w:t>
      </w:r>
    </w:p>
    <w:p w14:paraId="2D8F1B5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2 февраля 1944 года предъявили в НИИ ВВС. 2 же февраля заводской пилот выполнил два полета на проверку работы винта ВИШ-107 (во время заводских испытаний была отмечена тряска винта на полных оборотах мотора). Характеристика винтомоторной группы осталась неизменной, и в НИИ ВВС самолет поступил с винтом АВ-10п-20. Эту машину 22 января 1944 года выкатили на аэродром. На самолете изначально, еще на стадии проектирования и постройки, применили все технические решения, ставшие основой для переделок первого опытного экземпляра машины. Радикальным изменениям подверглись только фонарь кабины пилота, которому придали более обтекаемую форму, и установка вооружения с двумя опытными синхронными пушками Б-20. При этом полетный вес второго прототипа по сравнению с предшественником практически не изменился - 2932 кг. Соответственно одинаковыми были и летные данные. Максимальная скорость у земли Як-3 ВК-107А № 1 </w:t>
      </w:r>
      <w:r w:rsidRPr="007224C3">
        <w:rPr>
          <w:rFonts w:ascii="Times New Roman" w:hAnsi="Times New Roman"/>
          <w:color w:val="000000" w:themeColor="text1"/>
          <w:sz w:val="16"/>
          <w:szCs w:val="16"/>
        </w:rPr>
        <w:lastRenderedPageBreak/>
        <w:t>до модификации была равной 611 км/ч, а у №2 - 610 км/ч (из-за неблагоприятных метеоусловий "Дублер" был облетан и проверен только на малых высотах). Заводские испытания, проведенные с 25 по 29 января 1944 года, показали, что основные дефекты, выявленные на первом прототипе, устранены и самолет может быть предъявлен на государственные испытания.</w:t>
      </w:r>
    </w:p>
    <w:p w14:paraId="66178CA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Несмотря на несколько возросший полетный вес (как за счет установки нового винта, так и введения в крыло проти- вофлаттерных грузов), летные данные машины остались неизменными. При боевой мощности мотора (допускалось 3200 оборотов в минуту в течение получаса) максимальная скорость горизонтального полета на второй границе высотности мотора 5750 метров составила 720 км/ч (717 км/ч на высоте 6000 метров у первого прототипа). Если горизонтальная маневренность машины осталась на уровне серийных образцов Як-3, то на вертикалях самолету не стало равных среди отечественных и среди зарубежных истребителей. Достаточно сказать, что за боевой разворот второй опытный экземпляр Як-3 ВК-107А поднимался на 1400-1500 метров.</w:t>
      </w:r>
    </w:p>
    <w:p w14:paraId="307BAC2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Таким образом, цель создания истребителя завоевания господства в воздухе можно было бы считать достигнутой, если бы не два обстоятельства. Первое из них - крайне ненадежная работа двигателя ВК- 107А. За время испытаний сменили три мотора из-за разрушения коренных подшипников. При назначенном ресурсе в 50 часов первые два двигателя 337-й и 347-й серий отработали лишь 15 часов 20 минут и 9 часов 20 минут соответственно. Третий мотор 347-й серии с назначенным ресурсом 100 часов, наработал с начала эксплуатации лишь четыре часа (!), из которых в воздухе - 40 минут. Четвертый двигатель успел наработать только 23 часа 34 минуты, прошел в процессе испытаний ремонт с заменой блока и тоже был снят по причине разрушения коренных подшипников. Сильная тряска на пониженных оборотах мотора при его дросселировании выше границы высотности, течь масла через переднее уплотнение редуктора, падение давления масла ниже допустимого на высотах более 8000 метров, перегрев воды и масла в наборе высоты при температуре наружного воздуха у земли +30°С, а в горизонтальном полете - при температуре + 15°С. В полетах отмечалось также самопроизвольное изменение наддува в наборе высоты выше установленных для мотора значений (1090 мм рт.ст. на первой и 1120 мм рт. ст. на второй границе высотности против разрешенных 1060 мм рт. ст.) не повлиявшего тем не менее на его нормальную работу.</w:t>
      </w:r>
    </w:p>
    <w:p w14:paraId="1388F51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Следует заметить, что двигатель ВК- 107А, как и ВК-105ПФ2, работал на бензинах 4Б-78 и 1 Б-95 с октановыми числами 95 и 96.</w:t>
      </w:r>
    </w:p>
    <w:p w14:paraId="082F5CC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Вторым существенным недостатком явилась неудовлетворительная работа опытных пушек Б-20 и низкая прочность их креплений (были использованы серийные узлы для пулеметов УБС).</w:t>
      </w:r>
    </w:p>
    <w:p w14:paraId="1C072DF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Як-3 "Дублер" с двигателем ВК-107А, выпуска зав. №115, проходил государственные испытания с винтами АВ- 10п-20 и ВИШ-107ЛО с февраля по май 1944 г.</w:t>
      </w:r>
    </w:p>
    <w:p w14:paraId="5A7A1C6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 своем заключении специалисты НИИ ВВС отметили необходимость доводки самолета, и прежде всего силовой установки, до внедрения его в серийное производство. В противном случае исключалась нормальная эксплуатация самолета с поддержанием необходимого уровня боеготовности в строевых частях. </w:t>
      </w:r>
    </w:p>
    <w:p w14:paraId="199FF7C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Доводку второго прототипа завершили силами ОКБ и облетали 3 июля 1944 года. Однако на дополнительные государственные испытания, проходившие с 13 июля по 20 августа 1944 года, предъявили модифицированный по типу второй машины Як-3 ВК-107А№1. Принятыми мерами удалось устранить ряд дефектов. Однако основные недостатки: перегрев воды и масла, течь масла из переднего уплотнения редуктора мотора, большие нагрузки на ручку управления от элеронов и руля высоты, недостаточный противокапотажный угол (смещением кабины пилота добились увеличения противокапотажного угла с 19,5 до 23 градусов при требуемых ВВС 26 градусов) и недостаточная дальность радиопередачи с самолета остались неустраненными. Входе испытаний мотор417-й серии из-за ненадежной работы на высоте более 3000 метров заменили двигателем 427-й серии, который работал практически без перебоев, но выше 7700 метров давление топлива на нем падало ниже допустимого уровня.</w:t>
      </w:r>
    </w:p>
    <w:p w14:paraId="28F06F4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моменту окончания испытаний опытного Як-3 В К- 107А еще только-только удалось наладить серийное производство его базовой модели с мотором ВК-105ПФ-2. Не меньшие трудности испытывали и заводы, приступившие к серийному выпуску Як-9У с ВК-107А. Поэтому решение о запуске новой модификации в серийное производство было отложено до конца года (12047).</w:t>
      </w:r>
    </w:p>
    <w:p w14:paraId="2AE980D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5B00524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февраля 1944 И-221 потерпел аварию и был полностью разбит, так как летчик неправильно оценил обстановку, решил, что начался пожар и выбросился (991,11). Это была машина с АМ-39А с водо-воздушным радиатором. Выполнил 9 полетов, в т.ч. 2 высотных на 8000-9000 м (1824,21).</w:t>
      </w:r>
    </w:p>
    <w:p w14:paraId="3660708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C936D2" w14:textId="77777777" w:rsidR="00E370BB" w:rsidRPr="007224C3" w:rsidRDefault="00E370BB"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7 февраля</w:t>
      </w:r>
      <w:r w:rsidRPr="007224C3">
        <w:rPr>
          <w:rFonts w:ascii="Times New Roman" w:hAnsi="Times New Roman"/>
          <w:color w:val="000000" w:themeColor="text1"/>
          <w:sz w:val="16"/>
          <w:szCs w:val="16"/>
        </w:rPr>
        <w:t xml:space="preserve"> в 1944 году разбился самолет </w:t>
      </w:r>
      <w:hyperlink r:id="rId36" w:tgtFrame="_blank" w:history="1">
        <w:r w:rsidRPr="007224C3">
          <w:rPr>
            <w:rFonts w:ascii="Times New Roman" w:hAnsi="Times New Roman"/>
            <w:color w:val="000000" w:themeColor="text1"/>
            <w:sz w:val="16"/>
            <w:szCs w:val="16"/>
          </w:rPr>
          <w:t xml:space="preserve">«И-221» </w:t>
        </w:r>
      </w:hyperlink>
      <w:r w:rsidRPr="007224C3">
        <w:rPr>
          <w:rFonts w:ascii="Times New Roman" w:hAnsi="Times New Roman"/>
          <w:color w:val="000000" w:themeColor="text1"/>
          <w:sz w:val="16"/>
          <w:szCs w:val="16"/>
        </w:rPr>
        <w:t>ОКБ Микояна, пилотируемый П.А.Журавлевым, выполнявший высотный полет. «И-221»- истребитель-перехватчик с высотой боевого применения 14000 м путем установки на мотор турбокомпрессора. Для ускорения работ было принято решение строить самолет на базе истребителя «И-220». К разработке проекта истребителя, получившего название «И-221» и шифр "2А", приступили в середине июня 1943 г., а через два месяца начали сборку новой машины. Однако из-за несвоевременной поставки двигателя самолет был закончен в производстве только 28 октября. Во время испытаний 7февраля 1944 года на высоте 9000 м машина загорелась, и летчик принял решение покинуть ее на парашюте. «И-221» упал в районе Монино - станция Кудиново, а летчик благополучно приземлился (15033).</w:t>
      </w:r>
    </w:p>
    <w:p w14:paraId="3E48D8FA" w14:textId="77777777" w:rsidR="00E370BB" w:rsidRPr="007224C3" w:rsidRDefault="00E370BB" w:rsidP="007224C3">
      <w:pPr>
        <w:spacing w:after="0" w:line="240" w:lineRule="auto"/>
        <w:jc w:val="both"/>
        <w:rPr>
          <w:rFonts w:ascii="Times New Roman" w:hAnsi="Times New Roman"/>
          <w:color w:val="000000" w:themeColor="text1"/>
          <w:sz w:val="16"/>
          <w:szCs w:val="16"/>
        </w:rPr>
      </w:pPr>
    </w:p>
    <w:p w14:paraId="0BB8BBA0" w14:textId="77777777" w:rsidR="00B862BC" w:rsidRPr="007224C3" w:rsidRDefault="00B862B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февраля 1944 разбился И-221 ОКБ-155. Пилотировавший его летчик 12-го ГИАП П.А. Жу</w:t>
      </w:r>
      <w:r w:rsidRPr="007224C3">
        <w:rPr>
          <w:rFonts w:ascii="Times New Roman" w:hAnsi="Times New Roman"/>
          <w:color w:val="000000" w:themeColor="text1"/>
          <w:sz w:val="16"/>
          <w:szCs w:val="16"/>
        </w:rPr>
        <w:softHyphen/>
        <w:t>равлев принял факеление из выхлопных патрубков и дым в кабине за начавшийся по</w:t>
      </w:r>
      <w:r w:rsidRPr="007224C3">
        <w:rPr>
          <w:rFonts w:ascii="Times New Roman" w:hAnsi="Times New Roman"/>
          <w:color w:val="000000" w:themeColor="text1"/>
          <w:sz w:val="16"/>
          <w:szCs w:val="16"/>
        </w:rPr>
        <w:softHyphen/>
        <w:t>жар, и на высоте 9000 м покинул самолёт (15830).</w:t>
      </w:r>
    </w:p>
    <w:p w14:paraId="4902A392" w14:textId="77777777" w:rsidR="00B862BC" w:rsidRPr="007224C3" w:rsidRDefault="00B862BC" w:rsidP="007224C3">
      <w:pPr>
        <w:spacing w:after="0" w:line="240" w:lineRule="auto"/>
        <w:jc w:val="both"/>
        <w:rPr>
          <w:rFonts w:ascii="Times New Roman" w:hAnsi="Times New Roman"/>
          <w:color w:val="000000" w:themeColor="text1"/>
          <w:sz w:val="16"/>
          <w:szCs w:val="16"/>
        </w:rPr>
      </w:pPr>
    </w:p>
    <w:p w14:paraId="0549E59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февраля 1944 г. в одном из первых полетов И-221 (изд. 2А) с мотором АМ-39 и двумя турбокомпрессорами из-за разрушения шатуна летчику пришлось покинуть горящую машину с парашютом. Специально для высотных истребителей "МиГ" в 1944 г. Микулин отрабатывал двигатели АМ-39Б и АМ-42Б, приспособленные для работы с турбокомпрессорами. Они отличались от обычных моторов АМ-39 и АМ-42 способом установки нагнетателя, применением вместо водо-воздушного радиатора большого воздухо-воздушного радиатора (кстати, переход на воздухо-воздушный радиатор - это еще одно из принципиальных достижений Микулина).</w:t>
      </w:r>
    </w:p>
    <w:p w14:paraId="7EF9AB9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39BD7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февраля 1944 г. самолет И-221, пилотируемый П.А.Журавлевым, вылетел в высотный полет. На высоте 9000 м машина загорелась, и летчик принял решение покинуть ее на парашюте. И-221 упал в районе Монино-ст.Кудиново, а летчик благополучно приземлился. Как потом установила комиссия, созданная для расследования аварии, ее причиной явилась неправильная оценка обстановки летчиком П.А. Журавлевым, которым за начавшийся пожар было принято появление дыма в кабине и длинных факелов пламени из выхлопных патрубков ТК (5852,38).</w:t>
      </w:r>
    </w:p>
    <w:p w14:paraId="01265BD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9D35B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февра</w:t>
      </w:r>
      <w:r w:rsidRPr="007224C3">
        <w:rPr>
          <w:rFonts w:ascii="Times New Roman" w:hAnsi="Times New Roman"/>
          <w:color w:val="000000" w:themeColor="text1"/>
          <w:sz w:val="16"/>
          <w:szCs w:val="16"/>
        </w:rPr>
        <w:softHyphen/>
        <w:t>ля 1944 г. самолет И-221 под управлением П.А.Журавлева поднялся в воздух в десятый раз. Летчик доложил, что высоте 9000 м машина загорелась и он был вы</w:t>
      </w:r>
      <w:r w:rsidRPr="007224C3">
        <w:rPr>
          <w:rFonts w:ascii="Times New Roman" w:hAnsi="Times New Roman"/>
          <w:color w:val="000000" w:themeColor="text1"/>
          <w:sz w:val="16"/>
          <w:szCs w:val="16"/>
        </w:rPr>
        <w:softHyphen/>
        <w:t>нужден прыгнуть с парашютом. Впоследствии ко</w:t>
      </w:r>
      <w:r w:rsidRPr="007224C3">
        <w:rPr>
          <w:rFonts w:ascii="Times New Roman" w:hAnsi="Times New Roman"/>
          <w:color w:val="000000" w:themeColor="text1"/>
          <w:sz w:val="16"/>
          <w:szCs w:val="16"/>
        </w:rPr>
        <w:softHyphen/>
        <w:t>миссия, созданная для расследования аварии, уста</w:t>
      </w:r>
      <w:r w:rsidRPr="007224C3">
        <w:rPr>
          <w:rFonts w:ascii="Times New Roman" w:hAnsi="Times New Roman"/>
          <w:color w:val="000000" w:themeColor="text1"/>
          <w:sz w:val="16"/>
          <w:szCs w:val="16"/>
        </w:rPr>
        <w:softHyphen/>
        <w:t>новила, что ее причиной явилась неправильная оценка обстановки летчиком, который принял появ</w:t>
      </w:r>
      <w:r w:rsidRPr="007224C3">
        <w:rPr>
          <w:rFonts w:ascii="Times New Roman" w:hAnsi="Times New Roman"/>
          <w:color w:val="000000" w:themeColor="text1"/>
          <w:sz w:val="16"/>
          <w:szCs w:val="16"/>
        </w:rPr>
        <w:softHyphen/>
        <w:t>ление длинных факелов пламени, истекавших из выхлопных патрубков ТК, и дыма в кабине за начав</w:t>
      </w:r>
      <w:r w:rsidRPr="007224C3">
        <w:rPr>
          <w:rFonts w:ascii="Times New Roman" w:hAnsi="Times New Roman"/>
          <w:color w:val="000000" w:themeColor="text1"/>
          <w:sz w:val="16"/>
          <w:szCs w:val="16"/>
        </w:rPr>
        <w:softHyphen/>
        <w:t>шийся пожар. Опытный самолет был безвоз</w:t>
      </w:r>
      <w:r w:rsidRPr="007224C3">
        <w:rPr>
          <w:rFonts w:ascii="Times New Roman" w:hAnsi="Times New Roman"/>
          <w:color w:val="000000" w:themeColor="text1"/>
          <w:sz w:val="16"/>
          <w:szCs w:val="16"/>
        </w:rPr>
        <w:softHyphen/>
        <w:t>вратно потерян. Пришлось быстро строить новый. Этот вариант высотного истребителя отличался от предшествен</w:t>
      </w:r>
      <w:r w:rsidRPr="007224C3">
        <w:rPr>
          <w:rFonts w:ascii="Times New Roman" w:hAnsi="Times New Roman"/>
          <w:color w:val="000000" w:themeColor="text1"/>
          <w:sz w:val="16"/>
          <w:szCs w:val="16"/>
        </w:rPr>
        <w:softHyphen/>
        <w:t xml:space="preserve">ника, в основном, наличием герметической кабины. Машину, получившую обозначение </w:t>
      </w:r>
      <w:r w:rsidRPr="007224C3">
        <w:rPr>
          <w:rFonts w:ascii="Times New Roman" w:hAnsi="Times New Roman"/>
          <w:iCs/>
          <w:color w:val="000000" w:themeColor="text1"/>
          <w:sz w:val="16"/>
          <w:szCs w:val="16"/>
        </w:rPr>
        <w:t xml:space="preserve">И—222 </w:t>
      </w:r>
      <w:r w:rsidRPr="007224C3">
        <w:rPr>
          <w:rFonts w:ascii="Times New Roman" w:hAnsi="Times New Roman"/>
          <w:color w:val="000000" w:themeColor="text1"/>
          <w:sz w:val="16"/>
          <w:szCs w:val="16"/>
        </w:rPr>
        <w:t>и шифр «ЗА», закончили в производстве 23 апреля 1944 г. По конструкции самолет в целом повторял И—221. Его оснастили опытным мотором АМ—39Б, отличав</w:t>
      </w:r>
      <w:r w:rsidRPr="007224C3">
        <w:rPr>
          <w:rFonts w:ascii="Times New Roman" w:hAnsi="Times New Roman"/>
          <w:color w:val="000000" w:themeColor="text1"/>
          <w:sz w:val="16"/>
          <w:szCs w:val="16"/>
        </w:rPr>
        <w:softHyphen/>
        <w:t>шимся от прототипа «перевернутым» нагнетателем, обеспечивавшим более удобное подключение турбо</w:t>
      </w:r>
      <w:r w:rsidRPr="007224C3">
        <w:rPr>
          <w:rFonts w:ascii="Times New Roman" w:hAnsi="Times New Roman"/>
          <w:color w:val="000000" w:themeColor="text1"/>
          <w:sz w:val="16"/>
          <w:szCs w:val="16"/>
        </w:rPr>
        <w:softHyphen/>
        <w:t>компрессоров ТК—2Б, а также измененной маслоси-стемой. Кроме того, в системе охлаждения воздуха, подаваемого в карбюратор двигателя, применили воздухо-воздушный радиатор взамен водо-воздуш-ного. Оболочку гермокабины изготовили из алюми</w:t>
      </w:r>
      <w:r w:rsidRPr="007224C3">
        <w:rPr>
          <w:rFonts w:ascii="Times New Roman" w:hAnsi="Times New Roman"/>
          <w:color w:val="000000" w:themeColor="text1"/>
          <w:sz w:val="16"/>
          <w:szCs w:val="16"/>
        </w:rPr>
        <w:softHyphen/>
        <w:t>ниевого сплава АМЦ. Максимальная расчетная ско</w:t>
      </w:r>
      <w:r w:rsidRPr="007224C3">
        <w:rPr>
          <w:rFonts w:ascii="Times New Roman" w:hAnsi="Times New Roman"/>
          <w:color w:val="000000" w:themeColor="text1"/>
          <w:sz w:val="16"/>
          <w:szCs w:val="16"/>
        </w:rPr>
        <w:softHyphen/>
        <w:t>рость должна была составить 689 км/ч на высоте 12500 м, а практический потолок — 13000—14000 м. Вооружение включало две синхронные 20-мм пушки СШ—20 с боезапасом по 100 патронов (9984).</w:t>
      </w:r>
    </w:p>
    <w:p w14:paraId="2523AB8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478B98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февраля 1944 согласно журнала наблюдения за проектированием, постройкой и испытаниями высотного истребителя МиГ-1 за 20 февраля 1941 И-221 потерпел аварию - разбит полностью. Л заявил о наличии пожара. Аварийная комиссия сделала вывод: пожара на самолете не было. Длинные языки пламени из выхлопа и наличие едкого дыма не могут служить оправданием к покиданию с-та л.</w:t>
      </w:r>
    </w:p>
    <w:p w14:paraId="0673500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...Комиссия не считает возможной работу мотора в теч. 1-2 минут (на боевой высоте) с давл. 1140 мм с убраным газом, выключенным зажиганием и перекрытым пожарным краном, как на то указывал л.</w:t>
      </w:r>
    </w:p>
    <w:p w14:paraId="10D3104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первом полете на 8000 м обнаружено:</w:t>
      </w:r>
    </w:p>
    <w:p w14:paraId="0C23B8C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падение давления масла основной сист. Мотора до 3,5 а вместо 5,5</w:t>
      </w:r>
    </w:p>
    <w:p w14:paraId="5173727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падение давления масла в ТК до 0,5 вместо 2-2,5 а</w:t>
      </w:r>
    </w:p>
    <w:p w14:paraId="54FC365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появляется дым в кабине.</w:t>
      </w:r>
    </w:p>
    <w:p w14:paraId="6ABCCCD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ТК включались на высоте 1500 м. На высоте 8000 ТК давал 28000 об./мин.</w:t>
      </w:r>
    </w:p>
    <w:p w14:paraId="680C3BC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втором полете на 8000 м при обор. ТК 19000.</w:t>
      </w:r>
    </w:p>
    <w:p w14:paraId="385D7CE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Расчетные данные высотности мотора с ТК подтвердилис. Всего произвели 8 полетов с налетом 3:00 (991,11).</w:t>
      </w:r>
    </w:p>
    <w:p w14:paraId="758CCA2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35345B7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февраля 1944 г. под управлением П.А. Журавлева И-221 поднялся в воздух в десятый раз. Летчик доложил, что на высоте 9000 м машина загорелась, и он был вынужден покинуть ее с парашютом. Впоследствии комиссия, созданная для расследования аварии, установила, что причиной явилась неправильная оценка обстановки летчиком, который принял появление длинных факелов пламени из выхлопных патрубков турбокомпрессоров и дыма в кабине за начавшийся пожар. Увы, опытный самолет был безвозвратно потерян.</w:t>
      </w:r>
    </w:p>
    <w:p w14:paraId="34A6A71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Пришлось быстро построить новый. Этот вариант высотного истребителя отличался от предшественника наличием герметической кабины. Машину, получившую обозначение И-222 и шифр "ЗА", закончили в производстве 23 апреля 1944 г. Самолет оснастили опытным мотором АМ-39Б, отличавшимся от прототипа иным способом подключения турбокомпрессоров ТК-2Б, а также измененной маслосистемой. Кроме того, в системе охлаждения воздуха, подаваемого в карбюратор двигателя, применили воздухо-воздушный радиатор вместо водо- воздушного. Максимальная расчетная скорость должна была составить 689 км/ч на высоте 12 500 м, а практический потолок - 13 000-14 000 м. Вооружение включало две синхронные 20-мм пушки СШ-20 с боезапасом по 100 патронов (12045).</w:t>
      </w:r>
    </w:p>
    <w:p w14:paraId="7865380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5E227AF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февраля 1944 ВС ВВС обсудил ход работ по созданию новой авиатехники и принял решение о представлении НКО плана опытного строительства самолетов и вооружения на 1944-1945 (340,160).</w:t>
      </w:r>
    </w:p>
    <w:p w14:paraId="6BD458A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58FED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февраля 1944 Военный совет ВВС обсудил ход работ по созданию новой авиационной техники и принял решение о представлении НКО плана опытного строительства самолетов и вооружения на 1944-1945 (340,160).</w:t>
      </w:r>
    </w:p>
    <w:p w14:paraId="0D355CB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33A84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февраля 1944 Нач. ЛИИ Чесалов писал Дементьеву письмо N 90с с отчетом о выполненных работах ЛИИ за январь 1944:</w:t>
      </w:r>
    </w:p>
    <w:p w14:paraId="7FCCBCE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самолету Пе-2.</w:t>
      </w:r>
    </w:p>
    <w:p w14:paraId="6C77104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Испытания с-та Пе-2 N 19/205, модифицированного ЦАГИ.</w:t>
      </w:r>
    </w:p>
    <w:p w14:paraId="2EB950E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результате проведенных испытаний с-та Пе-2 N 19/205, модифицированного ЦАГИ, получены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tblGrid>
      <w:tr w:rsidR="005106D0" w:rsidRPr="007224C3" w14:paraId="3A7306E2" w14:textId="77777777">
        <w:tc>
          <w:tcPr>
            <w:tcW w:w="2818" w:type="dxa"/>
          </w:tcPr>
          <w:p w14:paraId="1660D22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1B6A28A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опытными</w:t>
            </w:r>
          </w:p>
        </w:tc>
        <w:tc>
          <w:tcPr>
            <w:tcW w:w="2818" w:type="dxa"/>
          </w:tcPr>
          <w:p w14:paraId="52A5B73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серийными</w:t>
            </w:r>
          </w:p>
        </w:tc>
      </w:tr>
      <w:tr w:rsidR="005106D0" w:rsidRPr="007224C3" w14:paraId="7F67D0B7" w14:textId="77777777">
        <w:tc>
          <w:tcPr>
            <w:tcW w:w="2818" w:type="dxa"/>
          </w:tcPr>
          <w:p w14:paraId="69DBEBA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34EB966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винтами</w:t>
            </w:r>
          </w:p>
        </w:tc>
        <w:tc>
          <w:tcPr>
            <w:tcW w:w="2818" w:type="dxa"/>
          </w:tcPr>
          <w:p w14:paraId="4CF573C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винтами</w:t>
            </w:r>
          </w:p>
        </w:tc>
      </w:tr>
      <w:tr w:rsidR="005106D0" w:rsidRPr="007224C3" w14:paraId="2D5D2939" w14:textId="77777777">
        <w:tc>
          <w:tcPr>
            <w:tcW w:w="2818" w:type="dxa"/>
          </w:tcPr>
          <w:p w14:paraId="4CBEEF7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53F6AE1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ВИШ-61-Ц1</w:t>
            </w:r>
          </w:p>
        </w:tc>
        <w:tc>
          <w:tcPr>
            <w:tcW w:w="2818" w:type="dxa"/>
          </w:tcPr>
          <w:p w14:paraId="3981386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ВИШ-61-П</w:t>
            </w:r>
          </w:p>
        </w:tc>
      </w:tr>
      <w:tr w:rsidR="005106D0" w:rsidRPr="007224C3" w14:paraId="5462C673" w14:textId="77777777">
        <w:tc>
          <w:tcPr>
            <w:tcW w:w="2818" w:type="dxa"/>
          </w:tcPr>
          <w:p w14:paraId="6A0341D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1A013ED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(Д=2,8 м)</w:t>
            </w:r>
          </w:p>
        </w:tc>
        <w:tc>
          <w:tcPr>
            <w:tcW w:w="2818" w:type="dxa"/>
          </w:tcPr>
          <w:p w14:paraId="3CD50D0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(Д=3,0 м)</w:t>
            </w:r>
          </w:p>
        </w:tc>
      </w:tr>
      <w:tr w:rsidR="005106D0" w:rsidRPr="007224C3" w14:paraId="0E9BB6AF" w14:textId="77777777">
        <w:tc>
          <w:tcPr>
            <w:tcW w:w="2818" w:type="dxa"/>
          </w:tcPr>
          <w:p w14:paraId="6C6406F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 скорость у земли</w:t>
            </w:r>
          </w:p>
        </w:tc>
        <w:tc>
          <w:tcPr>
            <w:tcW w:w="2818" w:type="dxa"/>
          </w:tcPr>
          <w:p w14:paraId="546CF04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498 км/час</w:t>
            </w:r>
          </w:p>
        </w:tc>
        <w:tc>
          <w:tcPr>
            <w:tcW w:w="2818" w:type="dxa"/>
          </w:tcPr>
          <w:p w14:paraId="7249A71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493 км/час</w:t>
            </w:r>
          </w:p>
        </w:tc>
      </w:tr>
      <w:tr w:rsidR="005106D0" w:rsidRPr="007224C3" w14:paraId="3902844B" w14:textId="77777777">
        <w:tc>
          <w:tcPr>
            <w:tcW w:w="2818" w:type="dxa"/>
          </w:tcPr>
          <w:p w14:paraId="06BC1A5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 скорость на 2-й</w:t>
            </w:r>
          </w:p>
        </w:tc>
        <w:tc>
          <w:tcPr>
            <w:tcW w:w="2818" w:type="dxa"/>
          </w:tcPr>
          <w:p w14:paraId="794B290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537134C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164BC27" w14:textId="77777777">
        <w:tc>
          <w:tcPr>
            <w:tcW w:w="2818" w:type="dxa"/>
          </w:tcPr>
          <w:p w14:paraId="309A0E7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границе высотности (Н=3700 м)</w:t>
            </w:r>
          </w:p>
        </w:tc>
        <w:tc>
          <w:tcPr>
            <w:tcW w:w="2818" w:type="dxa"/>
          </w:tcPr>
          <w:p w14:paraId="212976D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555 км/час</w:t>
            </w:r>
          </w:p>
        </w:tc>
        <w:tc>
          <w:tcPr>
            <w:tcW w:w="2818" w:type="dxa"/>
          </w:tcPr>
          <w:p w14:paraId="4EC11C3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551 км/час</w:t>
            </w:r>
          </w:p>
        </w:tc>
      </w:tr>
      <w:tr w:rsidR="005106D0" w:rsidRPr="007224C3" w14:paraId="22C3259F" w14:textId="77777777">
        <w:tc>
          <w:tcPr>
            <w:tcW w:w="2818" w:type="dxa"/>
          </w:tcPr>
          <w:p w14:paraId="7093114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Время набора высоты 5000 м</w:t>
            </w:r>
          </w:p>
        </w:tc>
        <w:tc>
          <w:tcPr>
            <w:tcW w:w="2818" w:type="dxa"/>
          </w:tcPr>
          <w:p w14:paraId="550A232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8,8 мин.</w:t>
            </w:r>
          </w:p>
        </w:tc>
        <w:tc>
          <w:tcPr>
            <w:tcW w:w="2818" w:type="dxa"/>
          </w:tcPr>
          <w:p w14:paraId="00F3C46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9,1 мин.</w:t>
            </w:r>
          </w:p>
        </w:tc>
      </w:tr>
    </w:tbl>
    <w:p w14:paraId="33871C0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Длина разбега самолета Пе-2 с винтами ВИШ-61-Ц1 больше, чем с винтами ВИШ-61-П на 100 м (на 18%). Такое увеличение длины разбега самолета Пе-2 является недопустимым и поэтому новые лопасти винта ВИШ-61 - Д=2,8 м не могут быть рекомендованы для установки на самолет Пе-2. В результате модификации самолета значительно улучшились его пилотажные свойства по сравнению с серийными самолетами, управление самолетом стало проще и меньше загружает внимание летчика, безопасность полета увеличилась.</w:t>
      </w:r>
    </w:p>
    <w:p w14:paraId="614C1B8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Улучшение продольной устойчивости со свободным рулем высоты и продольной управляемости на маневре с-та Пе-2 с моторами М-105ПФ.</w:t>
      </w:r>
    </w:p>
    <w:p w14:paraId="3FC871A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Проведены испытания самолета Пе-2 N 4/189 производства завода N 22 с целью улучшения продольной устойчивости со свободным рулем высоты и его продольной управляемости на маневре при помощи включения в проводку управления рулем высоты пружины и балансира.</w:t>
      </w:r>
    </w:p>
    <w:p w14:paraId="07BCFBF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Контрольные испытания системы НГ на самолете Пе-2 N 12/275.</w:t>
      </w:r>
    </w:p>
    <w:p w14:paraId="781B2CE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Контрольные испытания системы заполнения бензобаков выхлопными газами на серийном самолете Пе-2 N 12/275 проведены с целью определения ее пригодности к эксплуатации в зимних условиях.</w:t>
      </w:r>
    </w:p>
    <w:p w14:paraId="4597D6D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Оценка пригодности системы к зимней эксплуатации произведена по температурам газа в районе фильтра-отстойника, по давлению газов в бензобаках, по количеству конденсата воды.</w:t>
      </w:r>
    </w:p>
    <w:p w14:paraId="6D19E66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самолету Як-1.</w:t>
      </w:r>
    </w:p>
    <w:p w14:paraId="15A9A1C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Контрольные испытания системы НГ на самолете Як-1.</w:t>
      </w:r>
    </w:p>
    <w:p w14:paraId="27B0933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Контрольные испытания системы НГ на самолете Як-1 N 33156 с мотором М-105 ПФ проведены с целью определения ее пригодности к зимней эксплуатации.</w:t>
      </w:r>
    </w:p>
    <w:p w14:paraId="3C0D17E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Оценка работоспособности системы проведена по температурам газа в районе фильтра-отстойника, по количеству конденсата и по давлению газа в бензобаках.</w:t>
      </w:r>
    </w:p>
    <w:p w14:paraId="5D5AA7B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вновь выпускаемых самолетах Як-1 рекомендуется в систему НГ устанавливать трехходовой кран для переключения дренажа бензобаков или на атмосферу или на систему НГ.</w:t>
      </w:r>
    </w:p>
    <w:p w14:paraId="79E2386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самолету Як-9.</w:t>
      </w:r>
    </w:p>
    <w:p w14:paraId="7699D3F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Контрольные испытания серийных самолетов Як-9.</w:t>
      </w:r>
    </w:p>
    <w:p w14:paraId="0665151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Проведены контрольные испытания самолета Як-9Т N 1028 производства завода N 153 выпуска января 1944 г.</w:t>
      </w:r>
    </w:p>
    <w:p w14:paraId="6EE6673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Получены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5106D0" w:rsidRPr="007224C3" w14:paraId="393A82C6" w14:textId="77777777">
        <w:tc>
          <w:tcPr>
            <w:tcW w:w="5636" w:type="dxa"/>
          </w:tcPr>
          <w:p w14:paraId="1812D01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 скорость у земли</w:t>
            </w:r>
          </w:p>
        </w:tc>
        <w:tc>
          <w:tcPr>
            <w:tcW w:w="5636" w:type="dxa"/>
          </w:tcPr>
          <w:p w14:paraId="24C51EC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537 км/час</w:t>
            </w:r>
          </w:p>
        </w:tc>
      </w:tr>
      <w:tr w:rsidR="005106D0" w:rsidRPr="007224C3" w14:paraId="1C666CB3" w14:textId="77777777">
        <w:tc>
          <w:tcPr>
            <w:tcW w:w="5636" w:type="dxa"/>
          </w:tcPr>
          <w:p w14:paraId="14B7AE8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 скорость на 2-й</w:t>
            </w:r>
          </w:p>
        </w:tc>
        <w:tc>
          <w:tcPr>
            <w:tcW w:w="5636" w:type="dxa"/>
          </w:tcPr>
          <w:p w14:paraId="65AF97F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D530DE7" w14:textId="77777777">
        <w:tc>
          <w:tcPr>
            <w:tcW w:w="5636" w:type="dxa"/>
          </w:tcPr>
          <w:p w14:paraId="2064D3D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границе высотности (Н=3700 м)</w:t>
            </w:r>
          </w:p>
        </w:tc>
        <w:tc>
          <w:tcPr>
            <w:tcW w:w="5636" w:type="dxa"/>
          </w:tcPr>
          <w:p w14:paraId="571EA2A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598 км/час</w:t>
            </w:r>
          </w:p>
        </w:tc>
      </w:tr>
      <w:tr w:rsidR="005106D0" w:rsidRPr="007224C3" w14:paraId="226F21D2" w14:textId="77777777">
        <w:tc>
          <w:tcPr>
            <w:tcW w:w="5636" w:type="dxa"/>
          </w:tcPr>
          <w:p w14:paraId="06492EF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Время набора высоты 5000 м</w:t>
            </w:r>
          </w:p>
        </w:tc>
        <w:tc>
          <w:tcPr>
            <w:tcW w:w="5636" w:type="dxa"/>
          </w:tcPr>
          <w:p w14:paraId="409B574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5,8 мин.</w:t>
            </w:r>
          </w:p>
        </w:tc>
      </w:tr>
    </w:tbl>
    <w:p w14:paraId="1C713A8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Проведены контрольные испытания самолета Як-9 N 1088 производства завода N 153 выпуска января 1944 г.</w:t>
      </w:r>
    </w:p>
    <w:p w14:paraId="3EDEFA3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Получены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5106D0" w:rsidRPr="007224C3" w14:paraId="5D84D52A" w14:textId="77777777">
        <w:tc>
          <w:tcPr>
            <w:tcW w:w="5636" w:type="dxa"/>
          </w:tcPr>
          <w:p w14:paraId="0B324AD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 скорость у земли</w:t>
            </w:r>
          </w:p>
        </w:tc>
        <w:tc>
          <w:tcPr>
            <w:tcW w:w="5636" w:type="dxa"/>
          </w:tcPr>
          <w:p w14:paraId="236E677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537 км/час</w:t>
            </w:r>
          </w:p>
        </w:tc>
      </w:tr>
      <w:tr w:rsidR="005106D0" w:rsidRPr="007224C3" w14:paraId="5E501842" w14:textId="77777777">
        <w:tc>
          <w:tcPr>
            <w:tcW w:w="5636" w:type="dxa"/>
          </w:tcPr>
          <w:p w14:paraId="4BF2934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 скорость на 2-й</w:t>
            </w:r>
          </w:p>
        </w:tc>
        <w:tc>
          <w:tcPr>
            <w:tcW w:w="5636" w:type="dxa"/>
          </w:tcPr>
          <w:p w14:paraId="340927F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BA875B0" w14:textId="77777777">
        <w:tc>
          <w:tcPr>
            <w:tcW w:w="5636" w:type="dxa"/>
          </w:tcPr>
          <w:p w14:paraId="41BF85C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границе высотности (Н=3700 м)</w:t>
            </w:r>
          </w:p>
        </w:tc>
        <w:tc>
          <w:tcPr>
            <w:tcW w:w="5636" w:type="dxa"/>
          </w:tcPr>
          <w:p w14:paraId="6B7BE90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595 км/час</w:t>
            </w:r>
          </w:p>
        </w:tc>
      </w:tr>
      <w:tr w:rsidR="005106D0" w:rsidRPr="007224C3" w14:paraId="14D20259" w14:textId="77777777">
        <w:tc>
          <w:tcPr>
            <w:tcW w:w="5636" w:type="dxa"/>
          </w:tcPr>
          <w:p w14:paraId="58B78C0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Время набора высоты 5000 м</w:t>
            </w:r>
          </w:p>
        </w:tc>
        <w:tc>
          <w:tcPr>
            <w:tcW w:w="5636" w:type="dxa"/>
          </w:tcPr>
          <w:p w14:paraId="148386A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мин.</w:t>
            </w:r>
          </w:p>
        </w:tc>
      </w:tr>
    </w:tbl>
    <w:p w14:paraId="57B0DAF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самолету Ла-5.</w:t>
      </w:r>
    </w:p>
    <w:p w14:paraId="36CCE5E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Определение влияния состава смеси на максимальную скорость самолета Ла-5 ФН.</w:t>
      </w:r>
    </w:p>
    <w:p w14:paraId="6D9CED9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серийном самолете Ла-5 ФН N 39210319 в полете определена максимальная скорость на трех высотах Н=1100 м, Н=2900 м/ Н=5900 м при различных составах смеси (1821,57).</w:t>
      </w:r>
    </w:p>
    <w:p w14:paraId="3854954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самолету Ил-2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02"/>
        <w:gridCol w:w="8470"/>
      </w:tblGrid>
      <w:tr w:rsidR="005106D0" w:rsidRPr="007224C3" w14:paraId="080BB115" w14:textId="77777777">
        <w:tc>
          <w:tcPr>
            <w:tcW w:w="2802" w:type="dxa"/>
          </w:tcPr>
          <w:p w14:paraId="1FF068C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Испытания самолета Ил-2</w:t>
            </w:r>
          </w:p>
        </w:tc>
        <w:tc>
          <w:tcPr>
            <w:tcW w:w="8470" w:type="dxa"/>
          </w:tcPr>
          <w:p w14:paraId="64F0E19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Проведены летные испытания самолета Ил-2 N 302786 с разбалансированным</w:t>
            </w:r>
          </w:p>
        </w:tc>
      </w:tr>
      <w:tr w:rsidR="005106D0" w:rsidRPr="007224C3" w14:paraId="6089EA8E" w14:textId="77777777">
        <w:tc>
          <w:tcPr>
            <w:tcW w:w="2802" w:type="dxa"/>
          </w:tcPr>
          <w:p w14:paraId="439527D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разбалансированным РВ на</w:t>
            </w:r>
          </w:p>
        </w:tc>
        <w:tc>
          <w:tcPr>
            <w:tcW w:w="8470" w:type="dxa"/>
          </w:tcPr>
          <w:p w14:paraId="4C25C88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РН. В полете при выполнении пикирования до скорости 490 км/час по прибору</w:t>
            </w:r>
          </w:p>
        </w:tc>
      </w:tr>
      <w:tr w:rsidR="005106D0" w:rsidRPr="007224C3" w14:paraId="38F612DA" w14:textId="77777777">
        <w:tc>
          <w:tcPr>
            <w:tcW w:w="2802" w:type="dxa"/>
          </w:tcPr>
          <w:p w14:paraId="25F846C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флаттер</w:t>
            </w:r>
          </w:p>
        </w:tc>
        <w:tc>
          <w:tcPr>
            <w:tcW w:w="8470" w:type="dxa"/>
          </w:tcPr>
          <w:p w14:paraId="40C0A13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никаких вибраций не ощущалось. При осмотре самолета после полета на земле</w:t>
            </w:r>
          </w:p>
        </w:tc>
      </w:tr>
      <w:tr w:rsidR="005106D0" w:rsidRPr="007224C3" w14:paraId="7BBA28C0" w14:textId="77777777">
        <w:tc>
          <w:tcPr>
            <w:tcW w:w="2802" w:type="dxa"/>
          </w:tcPr>
          <w:p w14:paraId="533DF46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70" w:type="dxa"/>
          </w:tcPr>
          <w:p w14:paraId="0AD72BD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никаких повреждений не обнаружено.</w:t>
            </w:r>
          </w:p>
        </w:tc>
      </w:tr>
      <w:tr w:rsidR="005106D0" w:rsidRPr="007224C3" w14:paraId="1C2C946C" w14:textId="77777777">
        <w:tc>
          <w:tcPr>
            <w:tcW w:w="2802" w:type="dxa"/>
          </w:tcPr>
          <w:p w14:paraId="2FBA56C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70" w:type="dxa"/>
          </w:tcPr>
          <w:p w14:paraId="1AA08C2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окончательного решения вопроса о возможности снятия балансира с РН</w:t>
            </w:r>
          </w:p>
        </w:tc>
      </w:tr>
      <w:tr w:rsidR="005106D0" w:rsidRPr="007224C3" w14:paraId="33B0FE60" w14:textId="77777777">
        <w:tc>
          <w:tcPr>
            <w:tcW w:w="2802" w:type="dxa"/>
          </w:tcPr>
          <w:p w14:paraId="7546C32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70" w:type="dxa"/>
          </w:tcPr>
          <w:p w14:paraId="36BAB4A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рекомендовано провести испытания 5 самолетов на серийном заводе (1821,55)</w:t>
            </w:r>
          </w:p>
        </w:tc>
      </w:tr>
    </w:tbl>
    <w:p w14:paraId="281B79F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222749"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5649E45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BCA197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февраля 1944 г. вышел ПРИКАЗ НАЧАЛЬНИКА ГБТУ КА О ПЕРЕДИСЛОКАЦИИ БРОНЕТАНКОВЫХ РЕМОНТНЫХ ЗАВОДОВ №7 И №8 В г. КИЕВ №07</w:t>
      </w:r>
    </w:p>
    <w:p w14:paraId="433F38E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целях приближения стационарных рем. средств к фронтам и лучшему обслуживанию ремон</w:t>
      </w:r>
      <w:r w:rsidRPr="007224C3">
        <w:rPr>
          <w:rFonts w:ascii="Times New Roman" w:hAnsi="Times New Roman"/>
          <w:color w:val="000000" w:themeColor="text1"/>
          <w:sz w:val="16"/>
          <w:szCs w:val="16"/>
        </w:rPr>
        <w:softHyphen/>
        <w:t>том действующих частей Красной Армии ПРИКАЗЫВАЮ:</w:t>
      </w:r>
    </w:p>
    <w:p w14:paraId="6B77C88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Передислоцировать к 15 марта 1944 г. БТ ремзавод №7 из г. Саратова в г. Киев и временно рас</w:t>
      </w:r>
      <w:r w:rsidRPr="007224C3">
        <w:rPr>
          <w:rFonts w:ascii="Times New Roman" w:hAnsi="Times New Roman"/>
          <w:color w:val="000000" w:themeColor="text1"/>
          <w:sz w:val="16"/>
          <w:szCs w:val="16"/>
        </w:rPr>
        <w:softHyphen/>
        <w:t>положить его на производственных площадях бывшего завода «Арсенал» №393 Наркомата вооруже</w:t>
      </w:r>
      <w:r w:rsidRPr="007224C3">
        <w:rPr>
          <w:rFonts w:ascii="Times New Roman" w:hAnsi="Times New Roman"/>
          <w:color w:val="000000" w:themeColor="text1"/>
          <w:sz w:val="16"/>
          <w:szCs w:val="16"/>
        </w:rPr>
        <w:softHyphen/>
        <w:t>ния СССР.</w:t>
      </w:r>
    </w:p>
    <w:p w14:paraId="6D5469C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г. Саратове оставить филиал ремзавода, обеспечивающий ремонтом 25% производственной программы завода.</w:t>
      </w:r>
    </w:p>
    <w:p w14:paraId="5A6B2B5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Передислоцировать к 15 марта 1944 г. БТ ремзавод №8 из г. Казани в г. Киев и расположить его на производственных площадях, занимаемых этим заводом до его эвакуации.</w:t>
      </w:r>
    </w:p>
    <w:p w14:paraId="5C6ABB6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г. Казани оставить филиал ремзавода, обеспечивающий ремонтом 25% производственной про</w:t>
      </w:r>
      <w:r w:rsidRPr="007224C3">
        <w:rPr>
          <w:rFonts w:ascii="Times New Roman" w:hAnsi="Times New Roman"/>
          <w:color w:val="000000" w:themeColor="text1"/>
          <w:sz w:val="16"/>
          <w:szCs w:val="16"/>
        </w:rPr>
        <w:softHyphen/>
        <w:t>граммы завода.</w:t>
      </w:r>
    </w:p>
    <w:p w14:paraId="05A3BEC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Начальнику УРТ генерал-майору т. Сосенкову:</w:t>
      </w:r>
    </w:p>
    <w:p w14:paraId="75DB7F4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обеспечить своевременную передислокацию ремзаводов №7 и №8 в г. Киев;</w:t>
      </w:r>
    </w:p>
    <w:p w14:paraId="00AEF1E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определить производственный профиль работы оставшихся филиалов и передислоцированных ремзаводов, скорректировать им производственные задания в соответствии с установленным профилем;</w:t>
      </w:r>
    </w:p>
    <w:p w14:paraId="52840C3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в) представить к 1.03.1943 г. план развертывания работы ремзаводов на новых местах дислока</w:t>
      </w:r>
      <w:r w:rsidRPr="007224C3">
        <w:rPr>
          <w:rFonts w:ascii="Times New Roman" w:hAnsi="Times New Roman"/>
          <w:color w:val="000000" w:themeColor="text1"/>
          <w:sz w:val="16"/>
          <w:szCs w:val="16"/>
        </w:rPr>
        <w:softHyphen/>
        <w:t>ции, с указанием в нем сроков перехода заводов на полную производственную мощность.</w:t>
      </w:r>
    </w:p>
    <w:p w14:paraId="2ED5117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Главного бронетанкового управления Красной Армии генерал-лейтенант танковых войск Вершинин</w:t>
      </w:r>
    </w:p>
    <w:p w14:paraId="3F0AE63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38. Оп. 11377. Д. 117. Л. 10-11. Подлинник (11403).</w:t>
      </w:r>
    </w:p>
    <w:p w14:paraId="202F388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4E987DBE"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февраля 1944 вышло Распоряжение ГКО № 5125 [О предоставлении вагонов для обеспечения предприятий НКРП в феврале 1944 г. синтетическим каучуком.] (7185, 111).</w:t>
      </w:r>
    </w:p>
    <w:p w14:paraId="4B1CAEAD"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665F5B8" w14:textId="77777777" w:rsidR="00E370BB" w:rsidRPr="007224C3" w:rsidRDefault="00E370B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февраля 1944 г. вышел Приказ наркома электропромышленности СССР № М-3-67 в соответствии с которымна базе Ленинградского телефонного завода «Сигнал» и структурных подразделений завода имени А.А. Кулакова (Электромеханического завода и Центрального конструкторского бюро с опытным производством, которое было основано в 1935 г. как «Комбинат техники особой секретности»), было образовано новое предприятие (15736).</w:t>
      </w:r>
    </w:p>
    <w:p w14:paraId="309069A3" w14:textId="77777777" w:rsidR="00E370BB" w:rsidRPr="007224C3" w:rsidRDefault="00E370BB" w:rsidP="007224C3">
      <w:pPr>
        <w:spacing w:after="0" w:line="240" w:lineRule="auto"/>
        <w:jc w:val="both"/>
        <w:rPr>
          <w:rFonts w:ascii="Times New Roman" w:hAnsi="Times New Roman"/>
          <w:color w:val="000000" w:themeColor="text1"/>
          <w:sz w:val="16"/>
          <w:szCs w:val="16"/>
        </w:rPr>
      </w:pPr>
    </w:p>
    <w:p w14:paraId="2F316B3B"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февраля 1944 вышло Распоряжение ГКО № 5126 [Об организации при НКСП Научно-исследовательского минно-торпедо-трального института (НИИ-400) в г. Ленинграде.] (7185, 112).</w:t>
      </w:r>
    </w:p>
    <w:p w14:paraId="15EB882F"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7D42D1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февраля 1944 г. соответствии с постановлениями ГКО № 5126 и № 4133 от 15 сентября 1943 г. был образован НИИ морского оружия и морских боеприпасов, получивший название НИИ-400 НКСП (предполагалось организовать его в Москве, но из-за отсутствия помещения разместили в Ленинграде).</w:t>
      </w:r>
      <w:r w:rsidRPr="007224C3">
        <w:rPr>
          <w:rFonts w:ascii="Times New Roman" w:hAnsi="Times New Roman"/>
          <w:color w:val="000000" w:themeColor="text1"/>
          <w:sz w:val="16"/>
          <w:szCs w:val="16"/>
          <w:vertAlign w:val="superscript"/>
        </w:rPr>
        <w:t>61</w:t>
      </w:r>
      <w:r w:rsidRPr="007224C3">
        <w:rPr>
          <w:rFonts w:ascii="Times New Roman" w:hAnsi="Times New Roman"/>
          <w:color w:val="000000" w:themeColor="text1"/>
          <w:sz w:val="16"/>
          <w:szCs w:val="16"/>
        </w:rPr>
        <w:t xml:space="preserve"> Разместился на площадях бывшего опытного завода № 231 НКСП и катерного ЦКБ-36 НКСП. Основу коллектива составили специалисты бывшего Остехбюро, ЦКБ-36, ЦКБ-39 (возможно, завод № 231 НКСП реэвакуирован из Уральска и влит в состав НИИ- 400). Работы по модернизации и разработке новых образцов торпедного, минного и противоминного оружия.</w:t>
      </w:r>
    </w:p>
    <w:p w14:paraId="71D1D5A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1947 г. на территории института создано (дочернее предприятие) ЦКБ-145 для обеспечения серийного производства минно-трального оружия. В 1948 г. образован филиал института в  г. Ломоносове для разработки торпед с тепловыми двигателями.</w:t>
      </w:r>
    </w:p>
    <w:p w14:paraId="19FDE71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конце 1945 г. начата разработка первой реактивной скоростной торпеды РТ-45-2 с ЖРД (В.А. Калитаев, Ф.Л. Якайтис), испытана в 1948-51 г. На ее базе создана авиационная реактивная торпеда РАТ-52.</w:t>
      </w:r>
    </w:p>
    <w:p w14:paraId="3C9665F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1950 г. создана первая отечественная протвокорабельная самонаводящаяся торпеда САЭТ-50; в 1955 г. сюда переданы из НИМТИ работы по противолодочной торпеде САЭТ-53. Создана первая в мире реактивно- всплывающая мина «Камбала». Велись работы в области поисковых систем на телевизионном, электромагнитном принципах.</w:t>
      </w:r>
    </w:p>
    <w:p w14:paraId="70D3B3E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соответствии с ПСМ № 1395-627сс от 9.07.1954 г. мина ТУМ пнв и запущена в серию; пост. № 32-16сс от 10.01.1955 г. мина АПМ пнв; пост. № 35-16 от 14.01.1957 г. мины КАМ и ГМ пнв; пост. № 150-81 от 13.02.1957 г. мина КСМ пнв; пост. № 151-82 от 13.02.1957 г. пнв мина «Серпей»; пост. № 152-83 от 13.02.1957 г. пнв мина КРМ.</w:t>
      </w:r>
    </w:p>
    <w:p w14:paraId="04A9EE6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соответствии с ПСМ № 49-17 от 21.01.1961 г. мина УДМ пнв, мины АМД-2М и АБМ сняты с вооружения, и прекращено производство мин ИГДМ и «Серпей».</w:t>
      </w:r>
    </w:p>
    <w:p w14:paraId="062BA98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1950-х  г. институт имел мощное опытное производство, флот опытовых судов. Были созданы филиалы: в  г. Уральске (1972 г.), «Касатка» в  г. Гагры (1974 г.), в  г. Ломоносове; отделы в  г. Каспийске, Петропавловске, Феодосии и Пржевальске.</w:t>
      </w:r>
    </w:p>
    <w:p w14:paraId="54137E2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1954 г. - в подчинении МТиТМ, в 1956 г.- МСП, с 1958 г.- ГКС. В 1966 г. НИИ-400 переименован в НИИ «Гидроприбор», к нему в качестве опытного производства присоединен завод «Двигатель». В 1969 г. в состав института включено ЦКБ-145, и он преобразован в ЦНИИ «Гидроприбор». В 1973 г. на базе ЦНИИ (головной) создано НПО «Уран».</w:t>
      </w:r>
    </w:p>
    <w:p w14:paraId="0ADB7D6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1970-е-80-е  г. создано новое поколение подводного оружия: самая мощная в мире дальноходная торпеда калибра 650 мм; минно-ракетные комплексы; буксируемые и самоходные подводные аппараты с поисковыми системами; комплексы гидроакустического противодействия подводному оружию. Конверсионные разработки: системы: контроля и освещения подводной обстановки; поиска и разработки полезных ископаемых на морском дне; обеспечения безопасности буровых платформ, нефтепроводов.</w:t>
      </w:r>
    </w:p>
    <w:p w14:paraId="2166AD1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1991 г. ЦНИИ вышел из состава НПО и стал самостоятельным. В соответствии с Указом Президента РФ № 939 от 22.06.1993 г. и пост. Правительства № 649 от 5.06.1994 г. институту присвоен статус ГНЦ РФ. По указу Президента РФ № 133 от 3.02.2004 г. на базе ЦНИИ «Гидроприбор» образован Концерн «Морское подводное оружие-Гидроприбор».</w:t>
      </w:r>
    </w:p>
    <w:p w14:paraId="7B0B089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Разработка различного подводного вооружения, средств наблюдения и обнаружения. К 2005 г. создано 180 образцов подводного оружия.</w:t>
      </w:r>
    </w:p>
    <w:p w14:paraId="7154B23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(1943-; 1945-46 г.)- А.П. Алехин, (1944-45; 1951-72 г.)- A.M. Борушко, (1946-51 г.)- К.В. Грудницкий, (1972-83 г.)- Р.В. Исаков, (1983-91 г.)-  Г.П. Корсаков. Гендиректор (1991-96 г.)- А.С. Захарченко, (1996-2005 г.)- С. Г. Прошкин; и.о. директора (2005 г.)- С. Г. Прошкин; (2005 г.-)- В.А. Осипов.</w:t>
      </w:r>
    </w:p>
    <w:p w14:paraId="5946A8E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Ген. конструктор (2005 г.)- С. Г. Прошкин.</w:t>
      </w:r>
    </w:p>
    <w:p w14:paraId="06CA583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1-й зам. директора (-07.2006 г.)- А. Шадрин. Зам. директора по технологии- А.А. Зыков.</w:t>
      </w:r>
    </w:p>
    <w:p w14:paraId="1BA64B6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инженер- А.Т. Скоробогатов.</w:t>
      </w:r>
    </w:p>
    <w:p w14:paraId="55A8AFE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отделения (2002 г.)-  Г. Тихонов.</w:t>
      </w:r>
    </w:p>
    <w:p w14:paraId="4371DF5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конструкторы: (1955 г.)- В.А. Поликарпов (САЭТ-53), Л.П. Матвеев, В.М. Павлов; направления (2002 г.)- А. Кабанов.</w:t>
      </w:r>
    </w:p>
    <w:p w14:paraId="0291774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Начальники отделов: (1946-51 г.)-  Г.В. Петров.</w:t>
      </w:r>
    </w:p>
    <w:p w14:paraId="2198B502" w14:textId="77777777" w:rsidR="00E370BB"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iCs/>
          <w:color w:val="000000" w:themeColor="text1"/>
          <w:sz w:val="16"/>
          <w:szCs w:val="16"/>
        </w:rPr>
        <w:t>Создано: торпеды:</w:t>
      </w:r>
      <w:r w:rsidRPr="007224C3">
        <w:rPr>
          <w:rFonts w:ascii="Times New Roman" w:hAnsi="Times New Roman"/>
          <w:color w:val="000000" w:themeColor="text1"/>
          <w:sz w:val="16"/>
          <w:szCs w:val="16"/>
        </w:rPr>
        <w:t xml:space="preserve"> реактивная РТ-45-2 (1948); авиационные: противокорабельная САЭТ-50 (1950), экспериментальная «АСТ», противолодочная СЭТ-53 (пнв в 1958 г.), СЭТ-53М (пнв в 1964 г.); телеуправляемая ТЭСТ-71, ТЭ-2-02; корабельная 65-76 «Кит»;</w:t>
      </w:r>
      <w:r w:rsidRPr="007224C3">
        <w:rPr>
          <w:rFonts w:ascii="Times New Roman" w:hAnsi="Times New Roman"/>
          <w:iCs/>
          <w:color w:val="000000" w:themeColor="text1"/>
          <w:sz w:val="16"/>
          <w:szCs w:val="16"/>
        </w:rPr>
        <w:t xml:space="preserve"> мины:</w:t>
      </w:r>
      <w:r w:rsidRPr="007224C3">
        <w:rPr>
          <w:rFonts w:ascii="Times New Roman" w:hAnsi="Times New Roman"/>
          <w:color w:val="000000" w:themeColor="text1"/>
          <w:sz w:val="16"/>
          <w:szCs w:val="16"/>
        </w:rPr>
        <w:t xml:space="preserve"> донные неконтактные: АМД-2 (1945), АМД-2М (1954), АМД-4, авиационная «Серпей» (пнв 13.02.1957 г.), ИГДМ (1954), ИГДМ-500 (пнв в 1957 г.), трубная МДТ (пнв в 1959 г.), УДМ (пнв 21.01.1961 г.), УДМ-500 (1965), УДМ-2 (1979), ДМ-1, УДМ-3, АПДМ; якорные: КРАБ-М, ПДМ-ЗЯ, ТУМ (пнв 9.07.1954 г.), «Лира», КПМ, корабельная акустическая КАМ (пнв 14.01.1957 г.), корабельная глубоководная ГМ (пнв 14.01.1957 г.), акустическая ПМ-1 (пнв в 1959 г.), УГМ, УКСМ; антенные противолодочные: неконтактная средняя КСМ (пнв 13.02.1957 г.), ПМ-2 пнв в 1965 г.); плавающие: ПЛТ-5, авиационная АПМ (пнв 10.01.1955 г.), ПЛТ-4М, МНП; реактивно-всплывающие: КРМ (пнв 13.02.1957 г.), РМ-1 (1961), РМ-2 (1963), ПРМ (1968), «Камбала»; диверсионные: МКМ-100, ПКМ-25, МНП; лодочная ПЛТ-6; самотранспортирующиеся МДС, СМДМ-1, СМДМ-2;</w:t>
      </w:r>
      <w:r w:rsidRPr="007224C3">
        <w:rPr>
          <w:rFonts w:ascii="Times New Roman" w:hAnsi="Times New Roman"/>
          <w:iCs/>
          <w:color w:val="000000" w:themeColor="text1"/>
          <w:sz w:val="16"/>
          <w:szCs w:val="16"/>
        </w:rPr>
        <w:t xml:space="preserve"> комплексы:</w:t>
      </w:r>
      <w:r w:rsidRPr="007224C3">
        <w:rPr>
          <w:rFonts w:ascii="Times New Roman" w:hAnsi="Times New Roman"/>
          <w:color w:val="000000" w:themeColor="text1"/>
          <w:sz w:val="16"/>
          <w:szCs w:val="16"/>
        </w:rPr>
        <w:t xml:space="preserve"> минно-ракетные ПМР-1, ПМР-2 (1970-е), ПМР- 2М, МРПК-1; минно-торпедные: ПМТ-1, МТПК-1, МТТТК-2;</w:t>
      </w:r>
      <w:r w:rsidRPr="007224C3">
        <w:rPr>
          <w:rFonts w:ascii="Times New Roman" w:hAnsi="Times New Roman"/>
          <w:iCs/>
          <w:color w:val="000000" w:themeColor="text1"/>
          <w:sz w:val="16"/>
          <w:szCs w:val="16"/>
        </w:rPr>
        <w:t xml:space="preserve"> тралы:</w:t>
      </w:r>
      <w:r w:rsidRPr="007224C3">
        <w:rPr>
          <w:rFonts w:ascii="Times New Roman" w:hAnsi="Times New Roman"/>
          <w:color w:val="000000" w:themeColor="text1"/>
          <w:sz w:val="16"/>
          <w:szCs w:val="16"/>
        </w:rPr>
        <w:t xml:space="preserve"> контактные МТ, БКТ, глубоководный ГКТ- ЗМ; неконтактные ПЭМТ-4, СЭМТ-1, БГАТ, АТ-2; охранители кораблей БОКА-ДУ, шнуровые заряды ШЗ-1 (пнв в 1956 г.), ШЗ-2;</w:t>
      </w:r>
      <w:r w:rsidRPr="007224C3">
        <w:rPr>
          <w:rFonts w:ascii="Times New Roman" w:hAnsi="Times New Roman"/>
          <w:color w:val="000000" w:themeColor="text1"/>
          <w:sz w:val="16"/>
          <w:szCs w:val="16"/>
          <w:vertAlign w:val="superscript"/>
        </w:rPr>
        <w:t>101</w:t>
      </w:r>
      <w:r w:rsidRPr="007224C3">
        <w:rPr>
          <w:rFonts w:ascii="Times New Roman" w:hAnsi="Times New Roman"/>
          <w:color w:val="000000" w:themeColor="text1"/>
          <w:sz w:val="16"/>
          <w:szCs w:val="16"/>
        </w:rPr>
        <w:t xml:space="preserve"> взрыватели: неконтактные: акустический «КБ» (1944), торпедный НИВ-36 (1945);</w:t>
      </w:r>
      <w:r w:rsidRPr="007224C3">
        <w:rPr>
          <w:rFonts w:ascii="Times New Roman" w:hAnsi="Times New Roman"/>
          <w:color w:val="000000" w:themeColor="text1"/>
          <w:sz w:val="16"/>
          <w:szCs w:val="16"/>
          <w:vertAlign w:val="superscript"/>
        </w:rPr>
        <w:t>61</w:t>
      </w:r>
      <w:r w:rsidRPr="007224C3">
        <w:rPr>
          <w:rFonts w:ascii="Times New Roman" w:hAnsi="Times New Roman"/>
          <w:iCs/>
          <w:color w:val="000000" w:themeColor="text1"/>
          <w:sz w:val="16"/>
          <w:szCs w:val="16"/>
        </w:rPr>
        <w:t xml:space="preserve"> искатели мин:</w:t>
      </w:r>
      <w:r w:rsidRPr="007224C3">
        <w:rPr>
          <w:rFonts w:ascii="Times New Roman" w:hAnsi="Times New Roman"/>
          <w:color w:val="000000" w:themeColor="text1"/>
          <w:sz w:val="16"/>
          <w:szCs w:val="16"/>
        </w:rPr>
        <w:t xml:space="preserve"> обозначители: телевизионные ИТ-1, ИТ-3 (пнв в 1957 г.), электромагнитный И-2 (пнв в 1966 г.); электромагнитный уничтожитель ИУ-1 (пнв в 1959 г.); приборы гидроакустического противодействия МГ-74, МГ- 74МЭ; аппаратурно-приборный модуль для модернизации донных мин АПМ; акустический концентратор рыбы МАКР; устройство для бездоковой очистки подводной части судов «Ёж».</w:t>
      </w:r>
    </w:p>
    <w:p w14:paraId="7A64D0A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НПО «Уран»</w:t>
      </w:r>
    </w:p>
    <w:p w14:paraId="08A4F5E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Создано 15.10.1973 г. на базе ЦНИИ «Гидроприбор». В него вошли также филиалы института и завод «Двигатель». В 1991 г. НПО распалось на самостоятельные предприятия.</w:t>
      </w:r>
      <w:r w:rsidRPr="007224C3">
        <w:rPr>
          <w:rFonts w:ascii="Times New Roman" w:hAnsi="Times New Roman"/>
          <w:color w:val="000000" w:themeColor="text1"/>
          <w:sz w:val="16"/>
          <w:szCs w:val="16"/>
          <w:vertAlign w:val="superscript"/>
        </w:rPr>
        <w:t>101</w:t>
      </w:r>
    </w:p>
    <w:p w14:paraId="3B7B508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Создана малогабаритная самонаводящаяся торпеда (гл. конструктор- В.А. Осипов).</w:t>
      </w:r>
    </w:p>
    <w:p w14:paraId="04CE07B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Руководитель (1973 г.-)- Р.В. Исаков.</w:t>
      </w:r>
    </w:p>
    <w:p w14:paraId="6F09DC4D" w14:textId="77777777" w:rsidR="00E370BB"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конструктор- В.А. Левин.</w:t>
      </w:r>
    </w:p>
    <w:p w14:paraId="68556F5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Филиал НИИ «Гидроприбор» МСП, ФГУП, ОАО «НИИ Морской теплотехники» /188512 (189510)  г. Санкт-Петербург  г. Ломоносов Верхний парк, 1 тел. 422-45-64/</w:t>
      </w:r>
    </w:p>
    <w:p w14:paraId="309DD9C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Филиал НИИ-400 образован в 1948 г. для разработки торпед с тепловыми двигателями (парогазовых).</w:t>
      </w:r>
    </w:p>
    <w:p w14:paraId="32B8EB2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1970-80 г. разработаны энергосиловые установки (ЭСУ) торпед на перспективных жидких, твердых и пастообразных топливах, в т.ч. гидрореагирующих.</w:t>
      </w:r>
    </w:p>
    <w:p w14:paraId="7B22300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Разрабатывалось также полигонное оборудование для испытания торпед. Были созданы стационарные полигоны с ГАК «Сигнал» на Черном море и «Сигнал-2» на оз. Иссык-Куль. Позднее создан мобильный гидроакустический полигон (МГП) для контроля и записи траектории движения торпед.</w:t>
      </w:r>
    </w:p>
    <w:p w14:paraId="699955D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1991 г. филиал ЦНИИ «Гидроприбор» вышел из состава НПО «Уран» и преобразован в самостоятельный НИИ мортеплотехники. По Указу Президента РФ № 1009 от 4.08.2004 г. вошло в число стратегических оборонных предприятий.</w:t>
      </w:r>
    </w:p>
    <w:p w14:paraId="3A7FA02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составе института (2005 г.) испытательный комплекс с имитацией натурных тректорий движения.</w:t>
      </w:r>
    </w:p>
    <w:p w14:paraId="4D30D49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2007 г. предприятие акционировано и вошло в состав концерна «Морское подводное оружие».</w:t>
      </w:r>
    </w:p>
    <w:p w14:paraId="65584A1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(1948-70 г.)- М.П. Максимов, (1970-86 г.)- А.А. Панов, (1987-2001 г.)- Л.М. Жуков, (2002-05 г.-&gt; B.C. Четко,</w:t>
      </w:r>
      <w:r w:rsidRPr="007224C3">
        <w:rPr>
          <w:rFonts w:ascii="Times New Roman" w:hAnsi="Times New Roman"/>
          <w:color w:val="000000" w:themeColor="text1"/>
          <w:sz w:val="16"/>
          <w:szCs w:val="16"/>
          <w:vertAlign w:val="superscript"/>
        </w:rPr>
        <w:t>101</w:t>
      </w:r>
      <w:r w:rsidRPr="007224C3">
        <w:rPr>
          <w:rFonts w:ascii="Times New Roman" w:hAnsi="Times New Roman"/>
          <w:color w:val="000000" w:themeColor="text1"/>
          <w:sz w:val="16"/>
          <w:szCs w:val="16"/>
        </w:rPr>
        <w:t xml:space="preserve"> (2007 г.)- А. Кабанов.</w:t>
      </w:r>
    </w:p>
    <w:p w14:paraId="071F5F2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инженер (2000 г.)- Б. Новиков.</w:t>
      </w:r>
    </w:p>
    <w:p w14:paraId="5991116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конструкторы: (2000 г.)- Ю. Санников; направления (2000 г.)- Б. Новиков.</w:t>
      </w:r>
    </w:p>
    <w:p w14:paraId="2D54D6B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Начальники отделов: маркетинга (2000 г.)- С. Чекулаев; (2000 г.)- 3. Залманов.</w:t>
      </w:r>
    </w:p>
    <w:p w14:paraId="2ABEC6F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iCs/>
          <w:color w:val="000000" w:themeColor="text1"/>
          <w:sz w:val="16"/>
          <w:szCs w:val="16"/>
        </w:rPr>
        <w:t>Создано: торпеды:</w:t>
      </w:r>
      <w:r w:rsidRPr="007224C3">
        <w:rPr>
          <w:rFonts w:ascii="Times New Roman" w:hAnsi="Times New Roman"/>
          <w:color w:val="000000" w:themeColor="text1"/>
          <w:sz w:val="16"/>
          <w:szCs w:val="16"/>
        </w:rPr>
        <w:t xml:space="preserve"> тепловые противокорабельные 53-57 (пнв в 1957 г.), 53-61 (пнв в 1961 г.), 53-65 (пнв в 1965 г.), 53-65М (1969), 53-65А (1973); универсальная глубоководная самонаводящаяся УГСТ (2002), УГСТ-М; малогабаритная ПЛ калибра 324 мм с поршневым двигателем на жидком топливе;</w:t>
      </w:r>
      <w:r w:rsidRPr="007224C3">
        <w:rPr>
          <w:rFonts w:ascii="Times New Roman" w:hAnsi="Times New Roman"/>
          <w:iCs/>
          <w:color w:val="000000" w:themeColor="text1"/>
          <w:sz w:val="16"/>
          <w:szCs w:val="16"/>
        </w:rPr>
        <w:t xml:space="preserve"> торпедные двигатели: </w:t>
      </w:r>
      <w:r w:rsidRPr="007224C3">
        <w:rPr>
          <w:rFonts w:ascii="Times New Roman" w:hAnsi="Times New Roman"/>
          <w:color w:val="000000" w:themeColor="text1"/>
          <w:sz w:val="16"/>
          <w:szCs w:val="16"/>
        </w:rPr>
        <w:lastRenderedPageBreak/>
        <w:t>турбинные: Т для 53-57, 2ТФ для 53-61, 2ДТ для 53-65 (1963), экспериментальные ЗДТ (1967), 5ДТ (1970), 7ДТ (1976), 8ДТ (1977), 14ДТ (1980), 16ДТ (1984), 18ДТ (1993); 19ДТ для УГСТ-М; аксиально-поршневой АПД для УГСТ (1995); малогабаритная автоматизированная котельная установка АМКУ.</w:t>
      </w:r>
    </w:p>
    <w:p w14:paraId="73E47F7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ОАО «Концерн «Морское подводное оружие-Гидроприбор» /194044  г. Санкт-Петербург Б. Сампсониевский пр., 24 тел. 542-96-59/</w:t>
      </w:r>
    </w:p>
    <w:p w14:paraId="1FFB1B3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Концерн образован по Указу Президента РФ № 133 от 3.02.2004 г. на базе ЦНИИ «Гидроприбор». По Указу Президента РФ № 1009 от 4.08.2004 г. вошло в число стратегических оборонных предприятий. В его состав входили (2007 г.): ЦНИИ «Гидроприбор», «Уралэлемент», Завод «Двигатель», НИИ морской теплотехники, «Дагдизель».</w:t>
      </w:r>
    </w:p>
    <w:p w14:paraId="7F4F500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Гендиректор (2007 г.)- В.А. Осипов.</w:t>
      </w:r>
    </w:p>
    <w:p w14:paraId="20BF5C2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гендиректора (2007 г.)- С. Прошкин (11982).</w:t>
      </w:r>
    </w:p>
    <w:p w14:paraId="683F95E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6A66357A"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февраля 1944 вышло Постановление ГКО № 5127 [О направлении 8 тыс. бойцов запасных полков в Распоряжение ГКО Комиссии СНК СССР по приему имущества спецпереселенцев, а также 80 военных ветеринарных врачей и фельдшеров для обслуживания принимаемого от них скота.] (7185, 113).</w:t>
      </w:r>
    </w:p>
    <w:p w14:paraId="6E1E6781"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F75A61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февраля 1944 вышло Распоряжение ГКО № 5128. О снятии с бывшего зам. наркома боеприпасов Фрезерова Г.Р. взыскания "строгий выговор". РГАНИР, Фонд ГКО, д. 206, лл. 114 (11012).</w:t>
      </w:r>
    </w:p>
    <w:p w14:paraId="7F70AAB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20525F2A"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13198DB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65EC647" w14:textId="77777777" w:rsidR="00E370BB" w:rsidRPr="007224C3" w:rsidRDefault="00E370BB"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7 февраля</w:t>
      </w:r>
      <w:r w:rsidRPr="007224C3">
        <w:rPr>
          <w:rFonts w:ascii="Times New Roman" w:hAnsi="Times New Roman"/>
          <w:color w:val="000000" w:themeColor="text1"/>
          <w:sz w:val="16"/>
          <w:szCs w:val="16"/>
        </w:rPr>
        <w:t xml:space="preserve"> в 1944 году оперативная сводка Совинформбюро:</w:t>
      </w:r>
    </w:p>
    <w:p w14:paraId="0CE963FE" w14:textId="77777777" w:rsidR="00E370BB" w:rsidRPr="007224C3" w:rsidRDefault="00E370B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7 февраля южнее Сиверский наши войска с боями продвигались вперёд и заняли населённые пункты Натальино, Пелково, Черемна, Посёлок Чолово, Песочный Мох, Шупоголово, Моровино, Бутково, Ерышево и железнодорожную станцию Чолово.</w:t>
      </w:r>
    </w:p>
    <w:p w14:paraId="70ADC4B6" w14:textId="77777777" w:rsidR="00E370BB" w:rsidRPr="007224C3" w:rsidRDefault="00E370B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Севернее и северо-западнее Новосокольники наши войска вели наступательные бои, в ходе которых заняли более 80 населённых пунктов, в том числе населённые пункты Зенцово, Артимоново, Фетинино, Вашки, Гостилово, Семёново, Рыкшино.</w:t>
      </w:r>
    </w:p>
    <w:p w14:paraId="55607838" w14:textId="77777777" w:rsidR="00E370BB" w:rsidRPr="007224C3" w:rsidRDefault="00E370B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Севернее Звенигородка и Шпола наши войска продолжали вести бои по уничтожению окружённой группировки противника и, сжимая кольцо окружения, овладели населёнными пунктами Поповка, Межиричь, Большое Староселье, Вязовок, Кличково.</w:t>
      </w:r>
    </w:p>
    <w:p w14:paraId="70F0F127" w14:textId="77777777" w:rsidR="00E370BB" w:rsidRPr="007224C3" w:rsidRDefault="00E370B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излучине Днепра наши войска продолжали вести бои по уничтожению группировки противника, отрезанной в районе Никополь, и с боями заняли населённые пункты Ново-Ивановка, Максимовский, Красногригорьевка, Ново-Павловка, Довгалевка. Наши войска вплотную подошли с востока к городу Никополь и завязали бои на окраине города.</w:t>
      </w:r>
    </w:p>
    <w:p w14:paraId="66606C30" w14:textId="77777777" w:rsidR="00E370BB" w:rsidRPr="007224C3" w:rsidRDefault="00E370B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 разведка, артиллерийско-миномётная перестрелка и в ряде пунктов бои местного значения.</w:t>
      </w:r>
    </w:p>
    <w:p w14:paraId="1C235391" w14:textId="77777777" w:rsidR="00E370BB" w:rsidRPr="007224C3" w:rsidRDefault="00E370B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6 февраля наши войска на всех фронтах подбили и уничтожили 53 немецких танка. В воздушных боях и огнём зенитной артиллерии сбит 71 самолёт противника.</w:t>
      </w:r>
    </w:p>
    <w:p w14:paraId="1249AB42" w14:textId="77777777" w:rsidR="00E370BB" w:rsidRPr="007224C3" w:rsidRDefault="00E370B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Массированный налёт наших самолётов на город Хельсинки</w:t>
      </w:r>
    </w:p>
    <w:p w14:paraId="2F3BC4B1" w14:textId="77777777" w:rsidR="00E370BB" w:rsidRPr="007224C3" w:rsidRDefault="00E370B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ночь с 6 на 7 февраля большая группа наших бомбардировщиков произвела массированный налёт на город Хельсинки. Бомбардировке в городе Хельсинки были подвергнуты военно-промышленные объекты противника, железнодорожный узел, порт и центральная часть города.</w:t>
      </w:r>
    </w:p>
    <w:p w14:paraId="22F5793E" w14:textId="77777777" w:rsidR="00E370BB" w:rsidRPr="007224C3" w:rsidRDefault="00E370B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результате бомбардировки по наблюдению экипажей наших самолётов возникло более 30 пожаров, сопровождавшихся сильными взрывами. Крупные пожары отмечены врайоне газохранилища, воинских казарм, электромеханического завода, в районе вокзала, на территории станции и депо. В районе судостроительного завода и сухого дока, а также на территории автосборочного завода наблюдались взрывы большой силы. Пламя пожаров наши лётчики наблюдали при уходе от цели с расстояния в 250 километров.</w:t>
      </w:r>
    </w:p>
    <w:p w14:paraId="3E39092E" w14:textId="77777777" w:rsidR="00E370BB" w:rsidRPr="007224C3" w:rsidRDefault="00E370B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Воздушной разведкой днём 7 февраля установлено, что возникшие в Хельсинки пожары не ликвидированы: город продолжает гореть и находится в дыму. Четыренаших самолёта не вернулись на свои базы.</w:t>
      </w:r>
    </w:p>
    <w:p w14:paraId="2D21F265" w14:textId="77777777" w:rsidR="00E370BB" w:rsidRPr="007224C3" w:rsidRDefault="00E370B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Южнее станции Сиверский наши войска с боями продвигались вперёд. На одном участке бойцы Н-ской части совершили смелый обходный манёвр и выбили противникаиз трёх населённых пунктов. Уничтожено до батальона гитлеровцев. Захвачены 2 бронемашины, 7 орудий, миномётная батарея, 24 автомашины и 6 складов с боеприпасами. В другом районе противник предпринял контратаку, пытаясь вернуть утерянные им позиции. Часть наших бойцов ружейно-пулеметным огнём прижала гитлеровцев к земле и сдерживала их продвижение. В это время другие подразделения зашли во фланг немцам и стремительным ударом опрокинули их. На поле боя осталось до 300 вражеских трупов.</w:t>
      </w:r>
    </w:p>
    <w:p w14:paraId="0A5CC784" w14:textId="77777777" w:rsidR="00E370BB" w:rsidRPr="007224C3" w:rsidRDefault="00E370B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Наша авиация наносила удары по немецким войскам, двигающимся по дорогам. В течение дня советские лётчики уничтожили несколько танков и орудий, до 200 автомашин с войсками и грузами, разбили железнодорожный состав, рассеяли и частью истребили до батальона пехоты противника.</w:t>
      </w:r>
    </w:p>
    <w:p w14:paraId="245EB69F" w14:textId="77777777" w:rsidR="00E370BB" w:rsidRPr="007224C3" w:rsidRDefault="00E370B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Севернее и северо-западнее города Новосокольники части Н-ского соединения нанесли немцам внезапный удар и прорвали их оборону. Развивая успех, наши войска заняли более 80 населённых пунктов. В ходе боёв уничтожено до 3 тысяч вражеских солдат и офицеров. Захвачены у противника 57 орудий, 15 миномётов, 118 пулемётов, 11 огнемётов, 8 радиостанций, 22 разных склада и другие трофеи. Водном населённом пункте наши подразделения разгромили штаб немецкого артиллерийского полка и захватили восемь 150-мм орудий, а также крупный склад боеприпасов. Взято значительное число пленных.</w:t>
      </w:r>
    </w:p>
    <w:p w14:paraId="6090B6EB" w14:textId="77777777" w:rsidR="00E370BB" w:rsidRPr="007224C3" w:rsidRDefault="00E370B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Севернее городов Звенигородка и Шпола наши войска вели бои по ликвидации окружённой группировки противника. Части Н-ского соединения, сжимая кольцо окружения, выбили немцев из трёх населённых пунктов. В бою за эти пункты уничтожено 600 гитлеровцев. Захвачено 2 самоходных и 20 полевых орудий, склад боеприпасов и 40 автомашин. Части другого нашего соединения окружили немецкий гарнизон в населённом пункте Вязовок и в результате короткого боя уничтожили его. Остатки разгромленного гарнизона в количестве 200 немецких солдат взяты в плен. К западу от города Звенигородка противник подтянул резервы и снова предпринял попытку прорваться на помощь своей окружённой группировке. Контрударом наши войска отбросили гитлеровцев. На поле боя осталось до 800 вражеских трупов. Сожжено и подбито 32 немецких танка. Отступая, немцы бросили 22 противотанковых орудия, 4 тягача, много пулемётов и автоматов.</w:t>
      </w:r>
    </w:p>
    <w:p w14:paraId="2AC64850" w14:textId="77777777" w:rsidR="00E370BB" w:rsidRPr="007224C3" w:rsidRDefault="00E370B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3-го Украинского фронта развивали успешное наступление. Южнее города Апостолово части Н-ского соединения с боями овладели рядом населённых пунктов. Разбитые и дезорганизованные немецкие части отступают, бросая технику и вооружение. Наши гвардейцы, занявшие населённые пункты Большая Костромка, Первомайск и Ново-Семёновка, захватили 306 автомашин, 22 мотоцикла, 200 лошадей с повозками, 215 пулемётов, 2 бензохранилища, 7 бронетранспортёров и 6 складов. Бойцы Н-ского соединения сегодня захватили у немцев 41 орудие, 5 тягачей, 203 автомашины, 3 радиостанции и другие трофеи. Много немцев взято в плен. В районе города Никополь наши войска, отрезав противнику пути отхода на запад, вели бои по ликвидации вражеской группировки. Немцы стремятся любой ценой задержать советские войска на подступах к Никополю, зарывают в землю танки, самоходные орудия и используют их в качестве неподвижных огневых точек. Умелыми манёврами наши части охватывают противника с флангов и в упорных боях уничтожают его живую силу и технику. Сегодня наши войска вплотную подошли к Никополю и ведут бои на окраинах города.</w:t>
      </w:r>
    </w:p>
    <w:p w14:paraId="13D0F0F8" w14:textId="77777777" w:rsidR="00E370BB" w:rsidRPr="007224C3" w:rsidRDefault="00E370B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Партизанский отряд, действующий в Каменец-Подольской области, ночью совершил нападение на крупную железнодорожную станцию противника. Советские патриоты взорвали и повредили 20 паровозов, разрушили все входные и выходные стрелки, сожгли 13 цистерн с горючим и узел связи. Группа партизан другого каменец-подольского отряда пустила под откос немецкий бронепоезд.» (15033).</w:t>
      </w:r>
    </w:p>
    <w:p w14:paraId="51B90DA5" w14:textId="77777777" w:rsidR="00E370BB" w:rsidRPr="007224C3" w:rsidRDefault="00E370BB" w:rsidP="007224C3">
      <w:pPr>
        <w:spacing w:after="0" w:line="240" w:lineRule="auto"/>
        <w:jc w:val="both"/>
        <w:rPr>
          <w:rFonts w:ascii="Times New Roman" w:hAnsi="Times New Roman"/>
          <w:color w:val="000000" w:themeColor="text1"/>
          <w:sz w:val="16"/>
          <w:szCs w:val="16"/>
        </w:rPr>
      </w:pPr>
    </w:p>
    <w:p w14:paraId="1DB46ABF" w14:textId="77777777" w:rsidR="000227A2" w:rsidRPr="007224C3" w:rsidRDefault="000227A2" w:rsidP="007224C3">
      <w:pPr>
        <w:shd w:val="clear" w:color="auto" w:fill="FFFFFF"/>
        <w:spacing w:after="0" w:line="240" w:lineRule="auto"/>
        <w:jc w:val="both"/>
        <w:rPr>
          <w:rFonts w:ascii="Times New Roman" w:hAnsi="Times New Roman"/>
          <w:color w:val="0070C0"/>
          <w:sz w:val="16"/>
          <w:szCs w:val="16"/>
          <w:shd w:val="clear" w:color="auto" w:fill="FFFFFF"/>
        </w:rPr>
      </w:pPr>
      <w:r w:rsidRPr="007224C3">
        <w:rPr>
          <w:rFonts w:ascii="Times New Roman" w:hAnsi="Times New Roman"/>
          <w:color w:val="0070C0"/>
          <w:sz w:val="16"/>
          <w:szCs w:val="16"/>
          <w:shd w:val="clear" w:color="auto" w:fill="FFFFFF"/>
        </w:rPr>
        <w:t>7 февраля 1944 года группа 8 Ил-2 312 шап, из них два экипажа с установками РС-82-40...</w:t>
      </w:r>
    </w:p>
    <w:p w14:paraId="2D6FDE3B" w14:textId="77777777" w:rsidR="000227A2" w:rsidRPr="007224C3" w:rsidRDefault="000227A2" w:rsidP="007224C3">
      <w:pPr>
        <w:shd w:val="clear" w:color="auto" w:fill="FFFFFF"/>
        <w:spacing w:after="0" w:line="240" w:lineRule="auto"/>
        <w:jc w:val="both"/>
        <w:rPr>
          <w:rFonts w:ascii="Times New Roman" w:hAnsi="Times New Roman"/>
          <w:color w:val="0070C0"/>
          <w:sz w:val="16"/>
          <w:szCs w:val="16"/>
          <w:shd w:val="clear" w:color="auto" w:fill="FFFFFF"/>
        </w:rPr>
      </w:pPr>
      <w:r w:rsidRPr="007224C3">
        <w:rPr>
          <w:rFonts w:ascii="Times New Roman" w:hAnsi="Times New Roman"/>
          <w:color w:val="0070C0"/>
          <w:sz w:val="16"/>
          <w:szCs w:val="16"/>
          <w:shd w:val="clear" w:color="auto" w:fill="FFFFFF"/>
        </w:rPr>
        <w:t>При атаке цели два самолета Ил-2 с установками РС-82-40 мл. лейтенант Коваленко и лейтенант Мочалов атаковали зенитные батареи. которые противодействовали штурмовикам, ведя заградительный огонь при подходе последних к цели. Экипажи по вспышкам засекли расположение зенитных батарей, ведущий группы по радио приказал: "На опушке леса у реки огонь ЗА - подавить". Два экипажа с установками РС-82-40 на самолетах залпами по 10-20 РС штук атаковали зенитные средства. которые сразу же прекратили огонь...</w:t>
      </w:r>
    </w:p>
    <w:p w14:paraId="37AD43CB" w14:textId="77777777" w:rsidR="000227A2" w:rsidRPr="007224C3" w:rsidRDefault="000227A2" w:rsidP="007224C3">
      <w:pPr>
        <w:shd w:val="clear" w:color="auto" w:fill="FFFFFF"/>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shd w:val="clear" w:color="auto" w:fill="FFFFFF"/>
        </w:rPr>
        <w:t>Использование самолета Ил-2 с установкой РС-82-40 (штук) и их эффективность ... (19914).</w:t>
      </w:r>
    </w:p>
    <w:p w14:paraId="0D0E8BBB" w14:textId="77777777" w:rsidR="000227A2" w:rsidRPr="007224C3" w:rsidRDefault="000227A2" w:rsidP="007224C3">
      <w:pPr>
        <w:shd w:val="clear" w:color="auto" w:fill="FFFFFF"/>
        <w:spacing w:after="0" w:line="240" w:lineRule="auto"/>
        <w:jc w:val="both"/>
        <w:rPr>
          <w:rFonts w:ascii="Times New Roman" w:hAnsi="Times New Roman"/>
          <w:color w:val="0070C0"/>
          <w:sz w:val="16"/>
          <w:szCs w:val="16"/>
        </w:rPr>
      </w:pPr>
    </w:p>
    <w:p w14:paraId="434D4B95" w14:textId="77777777" w:rsidR="00E370BB" w:rsidRPr="007224C3" w:rsidRDefault="00E370BB"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7 февраля</w:t>
      </w:r>
      <w:r w:rsidRPr="007224C3">
        <w:rPr>
          <w:rFonts w:ascii="Times New Roman" w:hAnsi="Times New Roman"/>
          <w:color w:val="000000" w:themeColor="text1"/>
          <w:sz w:val="16"/>
          <w:szCs w:val="16"/>
        </w:rPr>
        <w:t xml:space="preserve"> в 1944 году впервые с 1941 года </w:t>
      </w:r>
      <w:hyperlink r:id="rId37" w:tgtFrame="_blank" w:history="1">
        <w:r w:rsidRPr="007224C3">
          <w:rPr>
            <w:rFonts w:ascii="Times New Roman" w:hAnsi="Times New Roman"/>
            <w:color w:val="000000" w:themeColor="text1"/>
            <w:sz w:val="16"/>
            <w:szCs w:val="16"/>
          </w:rPr>
          <w:t xml:space="preserve">советские самолеты бомбили Хельсинки </w:t>
        </w:r>
      </w:hyperlink>
      <w:r w:rsidRPr="007224C3">
        <w:rPr>
          <w:rFonts w:ascii="Times New Roman" w:hAnsi="Times New Roman"/>
          <w:color w:val="000000" w:themeColor="text1"/>
          <w:sz w:val="16"/>
          <w:szCs w:val="16"/>
        </w:rPr>
        <w:t>. В ночь с 6 на 7 февраля 1944 года 728 советских бомбардировщиков сбросили 910 тонн бомб на Хельсинки. Среди них были и экзотические гостинцы, как, например, четыре бомбы ФАБ-1000, шесть ФАБ-2000 и две ФАБ-5000. В городе возникло свыше 30 крупных пожаров. Горели военные склады и казармы, электромеханический завод "Стрельберг", газохранилище и многое другое. Всего было разрушено или серьезно повреждено 434 здания. Финны успели оповестить население Хельсинки за 5 минут до начала налета, поэтому потери мирного населения были невелики: 83 убитых и 322 раненых. Потери среди военнослужащих не опубликованы до сих пор (15033).</w:t>
      </w:r>
    </w:p>
    <w:p w14:paraId="07596867" w14:textId="77777777" w:rsidR="00E370BB" w:rsidRPr="007224C3" w:rsidRDefault="00E370BB" w:rsidP="007224C3">
      <w:pPr>
        <w:spacing w:after="0" w:line="240" w:lineRule="auto"/>
        <w:jc w:val="both"/>
        <w:rPr>
          <w:rFonts w:ascii="Times New Roman" w:hAnsi="Times New Roman"/>
          <w:color w:val="000000" w:themeColor="text1"/>
          <w:sz w:val="16"/>
          <w:szCs w:val="16"/>
        </w:rPr>
      </w:pPr>
    </w:p>
    <w:p w14:paraId="0C06DFA8"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февраля 1944 впервые с 1941 г. советские самолеты бомбили Хельсинки (4962).</w:t>
      </w:r>
    </w:p>
    <w:p w14:paraId="7EBEF842"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F47001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17 и 27 февраля 1944 проводилась самостоятельная воздушная операция АДД против Финляндии и выполнили 2120 вылетов (518,249).</w:t>
      </w:r>
    </w:p>
    <w:p w14:paraId="61DABBB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60E54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7 февраля 1944 дважды бомбили Хельсинки (2100).</w:t>
      </w:r>
    </w:p>
    <w:p w14:paraId="6347ACC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BD2B8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ночь на 7 февраля 1944 был массированный налет 16 Пе-8 (ТБ-7) на Хельсинки и с Пе-8 N 42410 под управлением Н.А.Ищенко и какого то другого - Шамрая (1564,11) сбрасывали 2хФАБ-5000тга по кабельному заводу и ж/д станции. Кроме того сбросили 6хФАБ-2000тга и 6хФАБ-2000 (1103,134).</w:t>
      </w:r>
    </w:p>
    <w:p w14:paraId="273BF24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CB2B0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 ночь на 7 февраля 1944 г. в первом налете на финскую столицу, предпринятом участвовало свыше 200 дальних бомбардировщиков. Из Кратово в эту ночь стартовали 16 Пе-8. Два из них доставили по 5-тонной бомбе, которые сбросили на кабельный завод, железнодорожные склады и бараки. Остальные четырехмоторные бомбовозы высыпали на финскую столицу 75 бомб калибром от 100 до 2000 кг. </w:t>
      </w:r>
    </w:p>
    <w:p w14:paraId="2A3F323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557747EB"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февраля 1944 Гитлер приказал прорвать окружение немецких войск под Корсунем (4962).</w:t>
      </w:r>
    </w:p>
    <w:p w14:paraId="5C0EE294"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49C4C93" w14:textId="211696DE" w:rsidR="000227A2" w:rsidRPr="007224C3" w:rsidRDefault="000227A2" w:rsidP="007224C3">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7224C3">
        <w:rPr>
          <w:rFonts w:ascii="Times New Roman" w:hAnsi="Times New Roman"/>
          <w:i/>
          <w:iCs/>
          <w:color w:val="000000" w:themeColor="text1"/>
          <w:sz w:val="16"/>
          <w:szCs w:val="16"/>
        </w:rPr>
        <w:t>За рубежом:</w:t>
      </w:r>
    </w:p>
    <w:p w14:paraId="1BBC1C88" w14:textId="77777777" w:rsidR="000227A2" w:rsidRPr="007224C3" w:rsidRDefault="000227A2" w:rsidP="007224C3">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7AA68B1A" w14:textId="77777777" w:rsidR="000227A2" w:rsidRPr="007224C3" w:rsidRDefault="000227A2"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7 февраля 1944 американские самолеты авианосцев оперативной группы 58 наносят последний из девяти дней подряд удары по Эниветоку (20373).</w:t>
      </w:r>
    </w:p>
    <w:p w14:paraId="62335715" w14:textId="77777777" w:rsidR="000227A2" w:rsidRPr="007224C3" w:rsidRDefault="000227A2" w:rsidP="007224C3">
      <w:pPr>
        <w:spacing w:after="0" w:line="240" w:lineRule="auto"/>
        <w:jc w:val="both"/>
        <w:rPr>
          <w:rFonts w:ascii="Times New Roman" w:hAnsi="Times New Roman"/>
          <w:color w:val="0070C0"/>
          <w:sz w:val="16"/>
          <w:szCs w:val="16"/>
        </w:rPr>
      </w:pPr>
    </w:p>
    <w:p w14:paraId="42172A4C" w14:textId="3B328243"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0DBE79F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F5A59E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февраля 1944 г. закончились госиспытания опытного экземпляр самолета Ил-2 АМ-38ф с двумя крыльевыми пушками А.Э. Нудельмана и А.С. Суранова НС-45 с боезапасом по 50 снарядов на ствол, которые проходили с 10 сентября 1943 в НИИ ВВС КА. Ввиду сложностей с доводкой автоматики пушки и проведения некоторых доработок на самолете испытания новой машины затя</w:t>
      </w:r>
      <w:r w:rsidRPr="007224C3">
        <w:rPr>
          <w:rFonts w:ascii="Times New Roman" w:hAnsi="Times New Roman"/>
          <w:color w:val="000000" w:themeColor="text1"/>
          <w:sz w:val="16"/>
          <w:szCs w:val="16"/>
        </w:rPr>
        <w:softHyphen/>
        <w:t>нулись. Полигонные испытания Ил-2 с НС-45 показали неудовлетвори</w:t>
      </w:r>
      <w:r w:rsidRPr="007224C3">
        <w:rPr>
          <w:rFonts w:ascii="Times New Roman" w:hAnsi="Times New Roman"/>
          <w:color w:val="000000" w:themeColor="text1"/>
          <w:sz w:val="16"/>
          <w:szCs w:val="16"/>
        </w:rPr>
        <w:softHyphen/>
        <w:t>тельную эффективность стрельбы из них в воздухе по малоразмер</w:t>
      </w:r>
      <w:r w:rsidRPr="007224C3">
        <w:rPr>
          <w:rFonts w:ascii="Times New Roman" w:hAnsi="Times New Roman"/>
          <w:color w:val="000000" w:themeColor="text1"/>
          <w:sz w:val="16"/>
          <w:szCs w:val="16"/>
        </w:rPr>
        <w:softHyphen/>
        <w:t>ным целям. Главным образом из-за сильной отдачи пушек при стрельбе — максимальная сила отдачи авиапушки на наземном станке достигала 7000 кг. В результате было принято решение ма</w:t>
      </w:r>
      <w:r w:rsidRPr="007224C3">
        <w:rPr>
          <w:rFonts w:ascii="Times New Roman" w:hAnsi="Times New Roman"/>
          <w:color w:val="000000" w:themeColor="text1"/>
          <w:sz w:val="16"/>
          <w:szCs w:val="16"/>
        </w:rPr>
        <w:softHyphen/>
        <w:t>шину в серию не запускать. Необходимо было уменьшить силу от</w:t>
      </w:r>
      <w:r w:rsidRPr="007224C3">
        <w:rPr>
          <w:rFonts w:ascii="Times New Roman" w:hAnsi="Times New Roman"/>
          <w:color w:val="000000" w:themeColor="text1"/>
          <w:sz w:val="16"/>
          <w:szCs w:val="16"/>
        </w:rPr>
        <w:softHyphen/>
        <w:t>дачи пушек, по крайней мере, до 4000 кг. Позже для уменьшения отдачи при стрельбе ствол НС-45 был снабжен мощным дульным тормозом, поглощавшим до 85% энер</w:t>
      </w:r>
      <w:r w:rsidRPr="007224C3">
        <w:rPr>
          <w:rFonts w:ascii="Times New Roman" w:hAnsi="Times New Roman"/>
          <w:color w:val="000000" w:themeColor="text1"/>
          <w:sz w:val="16"/>
          <w:szCs w:val="16"/>
        </w:rPr>
        <w:softHyphen/>
        <w:t>гии отдачи пушки (модификация НС-45М). Был установлен дуль</w:t>
      </w:r>
      <w:r w:rsidRPr="007224C3">
        <w:rPr>
          <w:rFonts w:ascii="Times New Roman" w:hAnsi="Times New Roman"/>
          <w:color w:val="000000" w:themeColor="text1"/>
          <w:sz w:val="16"/>
          <w:szCs w:val="16"/>
        </w:rPr>
        <w:softHyphen/>
        <w:t>ный тормоз и на пушку НС-37 (вариант НС-37М). Энергия отдачи поглощалась на 40%. Однако попыток установки таких пушек на Ил-2 не делалось. Кроме НС-45, на Ил-2 АМ-38ф планировалась установка 45-мм пушек Ш-45 конструкции Б.Г. Шпитального, разработанной в ОКБ-15. Пушка Ш-45 испытывалась на Як-9Т, но поскольку испытания Ил-2 с НС-45 дали отрицательный результат, пушки Ш-45 на Ил-2 устанавливать не стали (10695).</w:t>
      </w:r>
    </w:p>
    <w:p w14:paraId="2837532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7DB20B" w14:textId="77777777" w:rsidR="00CB5754" w:rsidRPr="007224C3" w:rsidRDefault="00CB5754"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8 февраля 1944 г. завончилась наземная часть про</w:t>
      </w:r>
      <w:r w:rsidRPr="007224C3">
        <w:rPr>
          <w:color w:val="000000" w:themeColor="text1"/>
          <w:sz w:val="16"/>
          <w:szCs w:val="16"/>
        </w:rPr>
        <w:softHyphen/>
        <w:t>граммы государственных испытаний 111П на Ил-2 № 303124, кльлрые шли период с 7 по 14 января и с 31 января. Перерывы в испытаниях были связаны с несвоевременной подачей боеприпасов и необходимостью доводки автоматики пушки. В заключении отчета по резуль</w:t>
      </w:r>
      <w:r w:rsidRPr="007224C3">
        <w:rPr>
          <w:color w:val="000000" w:themeColor="text1"/>
          <w:sz w:val="16"/>
          <w:szCs w:val="16"/>
        </w:rPr>
        <w:softHyphen/>
        <w:t>татам испытаний отмечалось, что «пушки 45 мм /.../ конструкции Нудельмана—Суранова (ОКБ-16 НКВ), установленные под крылом самолета Ил-2 зав. № 303124, наземные госиспытания выдержа</w:t>
      </w:r>
      <w:r w:rsidRPr="007224C3">
        <w:rPr>
          <w:color w:val="000000" w:themeColor="text1"/>
          <w:sz w:val="16"/>
          <w:szCs w:val="16"/>
        </w:rPr>
        <w:softHyphen/>
        <w:t>ли». Предлагалось «просить ОКБ-16 НКВ провести работу по уменьшению реакции на цапфы 45 мм до 4000 кг. 2 крыльевые пушки с уменьшенной реак</w:t>
      </w:r>
      <w:r w:rsidRPr="007224C3">
        <w:rPr>
          <w:color w:val="000000" w:themeColor="text1"/>
          <w:sz w:val="16"/>
          <w:szCs w:val="16"/>
        </w:rPr>
        <w:softHyphen/>
        <w:t>цией на цапфы представить в НИИ АВ на государ</w:t>
      </w:r>
      <w:r w:rsidRPr="007224C3">
        <w:rPr>
          <w:color w:val="000000" w:themeColor="text1"/>
          <w:sz w:val="16"/>
          <w:szCs w:val="16"/>
        </w:rPr>
        <w:softHyphen/>
        <w:t>ственные воздушные испытания на самолете Ил-2». К этому времени на самолете было выполнено все</w:t>
      </w:r>
      <w:r w:rsidRPr="007224C3">
        <w:rPr>
          <w:color w:val="000000" w:themeColor="text1"/>
          <w:sz w:val="16"/>
          <w:szCs w:val="16"/>
        </w:rPr>
        <w:softHyphen/>
        <w:t>го 3 полета с суммарным налетом 1 ч 10 мин. По</w:t>
      </w:r>
      <w:r w:rsidRPr="007224C3">
        <w:rPr>
          <w:color w:val="000000" w:themeColor="text1"/>
          <w:sz w:val="16"/>
          <w:szCs w:val="16"/>
        </w:rPr>
        <w:softHyphen/>
        <w:t>летов со стрельбой из пушек НС-45 «ни на заводе № 240, ни в НИИ АВ не производилось».</w:t>
      </w:r>
    </w:p>
    <w:p w14:paraId="0A2436A7" w14:textId="77777777" w:rsidR="00CB5754" w:rsidRPr="007224C3" w:rsidRDefault="00CB5754"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Здесь следует сказать, что С. В. Ильюшин не давал своего согласия «на проведение испытаний 45-мм пушек ОКБ-15 и 16 на самолете Ил-2 (стрель</w:t>
      </w:r>
      <w:r w:rsidRPr="007224C3">
        <w:rPr>
          <w:color w:val="000000" w:themeColor="text1"/>
          <w:sz w:val="16"/>
          <w:szCs w:val="16"/>
        </w:rPr>
        <w:softHyphen/>
        <w:t>бой в воздухе</w:t>
      </w:r>
      <w:r w:rsidRPr="007224C3">
        <w:rPr>
          <w:rStyle w:val="BodytextItalic"/>
          <w:i w:val="0"/>
          <w:color w:val="000000" w:themeColor="text1"/>
          <w:sz w:val="16"/>
          <w:szCs w:val="16"/>
        </w:rPr>
        <w:t>),</w:t>
      </w:r>
      <w:r w:rsidRPr="007224C3">
        <w:rPr>
          <w:color w:val="000000" w:themeColor="text1"/>
          <w:sz w:val="16"/>
          <w:szCs w:val="16"/>
        </w:rPr>
        <w:t xml:space="preserve"> мотивируя это увеличенной силой отдачи по сравнению с ТТТ ВВС КА».</w:t>
      </w:r>
    </w:p>
    <w:p w14:paraId="2A515273" w14:textId="77777777" w:rsidR="00CB5754" w:rsidRPr="007224C3" w:rsidRDefault="00CB5754"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Учитывая результаты длительных ресурсных ис</w:t>
      </w:r>
      <w:r w:rsidRPr="007224C3">
        <w:rPr>
          <w:color w:val="000000" w:themeColor="text1"/>
          <w:sz w:val="16"/>
          <w:szCs w:val="16"/>
        </w:rPr>
        <w:softHyphen/>
        <w:t>пытаний пушек 11П стрельбой на самолете Ил-2, имелись опасения, что серийное крыло (без тща</w:t>
      </w:r>
      <w:r w:rsidRPr="007224C3">
        <w:rPr>
          <w:color w:val="000000" w:themeColor="text1"/>
          <w:sz w:val="16"/>
          <w:szCs w:val="16"/>
        </w:rPr>
        <w:softHyphen/>
        <w:t>тельного контроля в производстве) может не вы</w:t>
      </w:r>
      <w:r w:rsidRPr="007224C3">
        <w:rPr>
          <w:color w:val="000000" w:themeColor="text1"/>
          <w:sz w:val="16"/>
          <w:szCs w:val="16"/>
        </w:rPr>
        <w:softHyphen/>
        <w:t>держать нагрузок при стрельбе из более мощных пушек 111П и разрушиться.</w:t>
      </w:r>
    </w:p>
    <w:p w14:paraId="0CD4DEF2" w14:textId="77777777" w:rsidR="00CB5754" w:rsidRPr="007224C3" w:rsidRDefault="00CB5754"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Дискуссия специалистов НИИ АВ ВВС и ОКБ-240 по этому вопросу положительных результатов не дала. Обе стороны остались при своем мнении. «Главный конструктор самолета тов. Ильюшин» так и не дал разрешение на полеты Ил-2 со стрельбой в воздухе из пушек калибра 45 мм.</w:t>
      </w:r>
    </w:p>
    <w:p w14:paraId="5D79A33C" w14:textId="77777777" w:rsidR="00CB5754" w:rsidRPr="007224C3" w:rsidRDefault="00CB5754"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К этому времени пришло понимание, что повы</w:t>
      </w:r>
      <w:r w:rsidRPr="007224C3">
        <w:rPr>
          <w:color w:val="000000" w:themeColor="text1"/>
          <w:sz w:val="16"/>
          <w:szCs w:val="16"/>
        </w:rPr>
        <w:softHyphen/>
        <w:t>шение могущества бронебойного снаряда к ави</w:t>
      </w:r>
      <w:r w:rsidRPr="007224C3">
        <w:rPr>
          <w:color w:val="000000" w:themeColor="text1"/>
          <w:sz w:val="16"/>
          <w:szCs w:val="16"/>
        </w:rPr>
        <w:softHyphen/>
        <w:t>ационным пушкам калибра 45 мм Ш-45 и 111П может быть обеспечено лишь при использовании твердосплавного металлокерамического сердечни</w:t>
      </w:r>
      <w:r w:rsidRPr="007224C3">
        <w:rPr>
          <w:color w:val="000000" w:themeColor="text1"/>
          <w:sz w:val="16"/>
          <w:szCs w:val="16"/>
        </w:rPr>
        <w:softHyphen/>
        <w:t>ка из карбида вольфрама, что по экономическим соображениям было неприемлемо. В то же время Ил-2 с пушками калибра 45 мм и боекомплектом, состоящим только из осколочно-зажигательных снарядов, по всему комплексу летно-боевых ка</w:t>
      </w:r>
      <w:r w:rsidRPr="007224C3">
        <w:rPr>
          <w:color w:val="000000" w:themeColor="text1"/>
          <w:sz w:val="16"/>
          <w:szCs w:val="16"/>
        </w:rPr>
        <w:softHyphen/>
        <w:t>честв не имеет явных преимуществ в бою перед Ил-2 с 11П при наличии проблем, связанных с по</w:t>
      </w:r>
      <w:r w:rsidRPr="007224C3">
        <w:rPr>
          <w:color w:val="000000" w:themeColor="text1"/>
          <w:sz w:val="16"/>
          <w:szCs w:val="16"/>
        </w:rPr>
        <w:softHyphen/>
        <w:t>вышенной отдачей при стрельбе из «главного ка</w:t>
      </w:r>
      <w:r w:rsidRPr="007224C3">
        <w:rPr>
          <w:color w:val="000000" w:themeColor="text1"/>
          <w:sz w:val="16"/>
          <w:szCs w:val="16"/>
        </w:rPr>
        <w:softHyphen/>
        <w:t>либра».</w:t>
      </w:r>
    </w:p>
    <w:p w14:paraId="1E780CEA" w14:textId="77777777" w:rsidR="00CB5754" w:rsidRPr="007224C3" w:rsidRDefault="00CB5754"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Следствием этого стало решение о прекра</w:t>
      </w:r>
      <w:r w:rsidRPr="007224C3">
        <w:rPr>
          <w:color w:val="000000" w:themeColor="text1"/>
          <w:sz w:val="16"/>
          <w:szCs w:val="16"/>
        </w:rPr>
        <w:softHyphen/>
        <w:t>щении всех работ по самолетам Ил-2 с крупнока</w:t>
      </w:r>
      <w:r w:rsidRPr="007224C3">
        <w:rPr>
          <w:color w:val="000000" w:themeColor="text1"/>
          <w:sz w:val="16"/>
          <w:szCs w:val="16"/>
        </w:rPr>
        <w:softHyphen/>
        <w:t>либерными пушками. В этой связи не был прояв</w:t>
      </w:r>
      <w:r w:rsidRPr="007224C3">
        <w:rPr>
          <w:color w:val="000000" w:themeColor="text1"/>
          <w:sz w:val="16"/>
          <w:szCs w:val="16"/>
        </w:rPr>
        <w:softHyphen/>
        <w:t>лен интерес и к модернизированной пушке 11ПМ (НС-37М), показавшей при испытаниях «на крылье</w:t>
      </w:r>
      <w:r w:rsidRPr="007224C3">
        <w:rPr>
          <w:color w:val="000000" w:themeColor="text1"/>
          <w:sz w:val="16"/>
          <w:szCs w:val="16"/>
        </w:rPr>
        <w:softHyphen/>
        <w:t>вой установке самолета Ил-2» почти на 40% мень</w:t>
      </w:r>
      <w:r w:rsidRPr="007224C3">
        <w:rPr>
          <w:color w:val="000000" w:themeColor="text1"/>
          <w:sz w:val="16"/>
          <w:szCs w:val="16"/>
        </w:rPr>
        <w:softHyphen/>
        <w:t>шее усилие отдачи при откате и на 20% при накате по сравнению с серийными пушками (17500).</w:t>
      </w:r>
    </w:p>
    <w:p w14:paraId="7E9437DC" w14:textId="77777777" w:rsidR="00CB5754" w:rsidRPr="007224C3" w:rsidRDefault="00CB5754" w:rsidP="007224C3">
      <w:pPr>
        <w:pStyle w:val="123"/>
        <w:shd w:val="clear" w:color="auto" w:fill="auto"/>
        <w:spacing w:after="0" w:line="240" w:lineRule="auto"/>
        <w:jc w:val="both"/>
        <w:rPr>
          <w:color w:val="000000" w:themeColor="text1"/>
          <w:sz w:val="16"/>
          <w:szCs w:val="16"/>
        </w:rPr>
      </w:pPr>
    </w:p>
    <w:p w14:paraId="172FDE5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февраля 1944 г. закончились испытания пушки НС-45 на Ил-2. Испытания показали неудовлетворительную точность стрельбы из НС-45 в воздухе — вновь из-за сильной отдачи пу</w:t>
      </w:r>
      <w:r w:rsidRPr="007224C3">
        <w:rPr>
          <w:rFonts w:ascii="Times New Roman" w:hAnsi="Times New Roman"/>
          <w:color w:val="000000" w:themeColor="text1"/>
          <w:sz w:val="16"/>
          <w:szCs w:val="16"/>
        </w:rPr>
        <w:softHyphen/>
        <w:t>шек при стрельбе. По данным НИИ АВ, максимальная сила отдачи пушки на наземном станке достигала 7000 кг при среднем значении не более 2800 кг. В то же время при настреле свыше 2000 выстрелов на каждую пушку нарушение прочности пушеч</w:t>
      </w:r>
      <w:r w:rsidRPr="007224C3">
        <w:rPr>
          <w:rFonts w:ascii="Times New Roman" w:hAnsi="Times New Roman"/>
          <w:color w:val="000000" w:themeColor="text1"/>
          <w:sz w:val="16"/>
          <w:szCs w:val="16"/>
        </w:rPr>
        <w:softHyphen/>
        <w:t>ных установок и силовых элементов крыла самолета обнаруже</w:t>
      </w:r>
      <w:r w:rsidRPr="007224C3">
        <w:rPr>
          <w:rFonts w:ascii="Times New Roman" w:hAnsi="Times New Roman"/>
          <w:color w:val="000000" w:themeColor="text1"/>
          <w:sz w:val="16"/>
          <w:szCs w:val="16"/>
        </w:rPr>
        <w:softHyphen/>
        <w:t>но не было. В выводах отчета указывалось, что пушки НС-45 на самолете Ил-2 государственные испытания выдержали. Требо</w:t>
      </w:r>
      <w:r w:rsidRPr="007224C3">
        <w:rPr>
          <w:rFonts w:ascii="Times New Roman" w:hAnsi="Times New Roman"/>
          <w:color w:val="000000" w:themeColor="text1"/>
          <w:sz w:val="16"/>
          <w:szCs w:val="16"/>
        </w:rPr>
        <w:softHyphen/>
        <w:t>валось уменьшить силу отдачи пушек и установить их ближе к оси самолета.</w:t>
      </w:r>
    </w:p>
    <w:p w14:paraId="2272A84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этому времени уже было принято окончательное реше</w:t>
      </w:r>
      <w:r w:rsidRPr="007224C3">
        <w:rPr>
          <w:rFonts w:ascii="Times New Roman" w:hAnsi="Times New Roman"/>
          <w:color w:val="000000" w:themeColor="text1"/>
          <w:sz w:val="16"/>
          <w:szCs w:val="16"/>
        </w:rPr>
        <w:softHyphen/>
        <w:t>ние о прекращении всех работ по самолетам Ил-2 с крупнока</w:t>
      </w:r>
      <w:r w:rsidRPr="007224C3">
        <w:rPr>
          <w:rFonts w:ascii="Times New Roman" w:hAnsi="Times New Roman"/>
          <w:color w:val="000000" w:themeColor="text1"/>
          <w:sz w:val="16"/>
          <w:szCs w:val="16"/>
        </w:rPr>
        <w:softHyphen/>
        <w:t>либерными пушками. В этой связи не был проявлен интерес и к модернизированным пушкам НС-37М и НС-45М, имевшим почти вдвое меньшее усилие отдачи «на крыльевой установке самолета Ил-2».</w:t>
      </w:r>
    </w:p>
    <w:p w14:paraId="23AE3D0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Таким образом, основным средством борьбы штурмовиков Ил-2 с немецкими танками фактически стала ПТАБ-2,5-1,5. Высокую эффективность ПТАБ показывали и при действии по открытым складам боеприпасов и скоплениям боевой техни</w:t>
      </w:r>
      <w:r w:rsidRPr="007224C3">
        <w:rPr>
          <w:rFonts w:ascii="Times New Roman" w:hAnsi="Times New Roman"/>
          <w:color w:val="000000" w:themeColor="text1"/>
          <w:sz w:val="16"/>
          <w:szCs w:val="16"/>
        </w:rPr>
        <w:softHyphen/>
        <w:t>ки вследствие большого числа прямых попаданий. При этом автомашины, тягачи и бронетранспортеры, как правило, пол</w:t>
      </w:r>
      <w:r w:rsidRPr="007224C3">
        <w:rPr>
          <w:rFonts w:ascii="Times New Roman" w:hAnsi="Times New Roman"/>
          <w:color w:val="000000" w:themeColor="text1"/>
          <w:sz w:val="16"/>
          <w:szCs w:val="16"/>
        </w:rPr>
        <w:softHyphen/>
        <w:t>ностью сгорали, а боеприпасы в штабелях подрывались не только при прямом попадании ПТАБ в их корпуса, но и через укупорку (11474,359).</w:t>
      </w:r>
    </w:p>
    <w:p w14:paraId="6E6806D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DB430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 8 февраля 1944 г. затянулись доводка автоматики пушки и проведение некоторых доработок на самом самолете Ил-2 зав. №303124, который поначалу был построен на заводе № 30 с НС-37, а затем переоборудован под НС-45  (50 снарядов на ствол).</w:t>
      </w:r>
    </w:p>
    <w:p w14:paraId="21A6D34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1 ноября 1943 на серийном двухместном самолете, отстреляли вооружение в заводском тире и перегнали в НИИ АВ для завершения заводских и проведения государственных испытаний.</w:t>
      </w:r>
    </w:p>
    <w:p w14:paraId="1804616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Испытания показали неудовлетворительную точность стрельбы из НС-45 в воздухе. Вновь, из-за сильной отдачи пушек при стрельбе. Тем не менее, в выводах отчета указывалось, что пушки НС-45 государственные испытания на самолете Ил-2 выдержали. Требовалось уменьшить силу отдачи пушек и установить их ближе к оси самолета.</w:t>
      </w:r>
    </w:p>
    <w:p w14:paraId="7B1963A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связи с отказом от установки на Ил-2 крупнокалиберных пушек не был проявлен интерес и к модернизированным пушкам НС-37М и НС-45М, имевшим почти вдвое меньшее усилие отдачи "на крыльевой установке самолета Ил-2" (12020).</w:t>
      </w:r>
    </w:p>
    <w:p w14:paraId="18105F6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47289735" w14:textId="77777777" w:rsidR="00777EFD" w:rsidRPr="007224C3" w:rsidRDefault="00777EFD"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8 февраля</w:t>
      </w:r>
      <w:r w:rsidRPr="007224C3">
        <w:rPr>
          <w:rFonts w:ascii="Times New Roman" w:hAnsi="Times New Roman"/>
          <w:color w:val="000000" w:themeColor="text1"/>
          <w:sz w:val="16"/>
          <w:szCs w:val="16"/>
        </w:rPr>
        <w:t xml:space="preserve"> в 1944 году завершились полигонные испытания </w:t>
      </w:r>
      <w:hyperlink r:id="rId38" w:tgtFrame="_blank" w:history="1">
        <w:r w:rsidRPr="007224C3">
          <w:rPr>
            <w:rFonts w:ascii="Times New Roman" w:hAnsi="Times New Roman"/>
            <w:color w:val="000000" w:themeColor="text1"/>
            <w:sz w:val="16"/>
            <w:szCs w:val="16"/>
          </w:rPr>
          <w:t xml:space="preserve">«Ил-2 с «НС-45». </w:t>
        </w:r>
      </w:hyperlink>
      <w:r w:rsidRPr="007224C3">
        <w:rPr>
          <w:rFonts w:ascii="Times New Roman" w:hAnsi="Times New Roman"/>
          <w:color w:val="000000" w:themeColor="text1"/>
          <w:sz w:val="16"/>
          <w:szCs w:val="16"/>
        </w:rPr>
        <w:t xml:space="preserve">Испытания показали неудовлетворительную эффективность стрельбы. Кроме «НС-45», на «Ил-2» «АМ-38ф» планировалась установка 45-мм пушек «ОКБ-15» конструкции Б.Г.Шпитального – «Ш-45». Последние испытывались на «Як-9Т». Но поскольку испытания </w:t>
      </w:r>
      <w:hyperlink r:id="rId39" w:tgtFrame="_blank" w:history="1">
        <w:r w:rsidRPr="007224C3">
          <w:rPr>
            <w:rFonts w:ascii="Times New Roman" w:hAnsi="Times New Roman"/>
            <w:color w:val="000000" w:themeColor="text1"/>
            <w:sz w:val="16"/>
            <w:szCs w:val="16"/>
          </w:rPr>
          <w:t xml:space="preserve">«Ил-2» с «НС-45» </w:t>
        </w:r>
      </w:hyperlink>
      <w:r w:rsidRPr="007224C3">
        <w:rPr>
          <w:rFonts w:ascii="Times New Roman" w:hAnsi="Times New Roman"/>
          <w:color w:val="000000" w:themeColor="text1"/>
          <w:sz w:val="16"/>
          <w:szCs w:val="16"/>
        </w:rPr>
        <w:t>дали отрицательный результат, пушки «Ш-45» на «Ил-2» устанавливать не стали (15034).</w:t>
      </w:r>
    </w:p>
    <w:p w14:paraId="7B3DAD35" w14:textId="77777777" w:rsidR="00777EFD" w:rsidRPr="007224C3" w:rsidRDefault="00777EFD" w:rsidP="007224C3">
      <w:pPr>
        <w:spacing w:after="0" w:line="240" w:lineRule="auto"/>
        <w:jc w:val="both"/>
        <w:rPr>
          <w:rFonts w:ascii="Times New Roman" w:hAnsi="Times New Roman"/>
          <w:color w:val="000000" w:themeColor="text1"/>
          <w:sz w:val="16"/>
          <w:szCs w:val="16"/>
        </w:rPr>
      </w:pPr>
    </w:p>
    <w:p w14:paraId="082ACC1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февраля 1944 Нач. ЛИИ проф. А.В.Чесалов писал А.И.Ш. письмо N 91с (вход. 1743-1л от 10 февраля 1944):</w:t>
      </w:r>
    </w:p>
    <w:p w14:paraId="6CE4F96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"Прошу Вашего указания об отпуске ЛИИ одного самолета Ил-2 с АМ-38Ф для проведения испытаний флюгерных винтов к мотору АМ-42.</w:t>
      </w:r>
    </w:p>
    <w:p w14:paraId="2740DD3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 имеющихся в ЛИИ 2-х самолетов Ил-2 один самолет, согласно Вашему приказу N 64с от 27 января 1944, передан на 300 завод, а второй занят важнейшими работами по радиосвязи." (1821).</w:t>
      </w:r>
    </w:p>
    <w:p w14:paraId="7E72E63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F77D8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февраля 1944 Нач. 1 отдела НИИ ВВС Рудинцев письмом N 1/044 направил в Секретариат НКАП А.И.Ш. для включения в Альбом по самолетам 1943 дополнительно карточки, составленные по результатам испытаний самолетов:</w:t>
      </w:r>
    </w:p>
    <w:p w14:paraId="6997E6C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ЛаГГ-3 с М-105ПФ</w:t>
      </w:r>
    </w:p>
    <w:p w14:paraId="037D63B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Ту-2 2М-82ФН</w:t>
      </w:r>
    </w:p>
    <w:p w14:paraId="7C67543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Ил-2 с АМ-38Ф и 37 мм пушками</w:t>
      </w:r>
    </w:p>
    <w:p w14:paraId="2317DCE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А-20 G-20-DO с 2Райт R-2600-23 (1821).</w:t>
      </w:r>
    </w:p>
    <w:p w14:paraId="6581CEC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E75C4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8 февраля 1944 нач. НИИ ВВС гмиас Лосюков утвердил Акт по гос. испытаниям экземпляра улучшенного МиГ-3 № 01 с АМ-35А и винтом АВ-5Л126А производства 155 завода), которые проходили с 27 июля по 6 августа 1943</w:t>
      </w:r>
    </w:p>
    <w:p w14:paraId="29CACB8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Виза:</w:t>
      </w:r>
    </w:p>
    <w:p w14:paraId="63EFEB4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Сафронову </w:t>
      </w:r>
    </w:p>
    <w:p w14:paraId="0622548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Исправить отчет, перепечатать и готовить к рассылке</w:t>
      </w:r>
    </w:p>
    <w:p w14:paraId="6E11359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февраля 1944</w:t>
      </w:r>
    </w:p>
    <w:p w14:paraId="2542332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Отчет был у Лосюкова с 18 августа 1943 по 8 сентября 1944</w:t>
      </w:r>
    </w:p>
    <w:p w14:paraId="77B05F4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Отв. исполнители:</w:t>
      </w:r>
    </w:p>
    <w:p w14:paraId="44438B3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вед. инж. А.С.Рузанов</w:t>
      </w:r>
    </w:p>
    <w:p w14:paraId="6E40C32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вед. л п/п В.И.Хомяков</w:t>
      </w:r>
    </w:p>
    <w:p w14:paraId="458C7B6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27 июля по 6 августа 1943 было выполнено 23 полета с налетом 15:26</w:t>
      </w:r>
    </w:p>
    <w:p w14:paraId="3966E12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Цель испытаний:</w:t>
      </w:r>
    </w:p>
    <w:p w14:paraId="3AD9757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Определить лтд, оценить эксплуатационные свойства с-та, работу ВМГ, спецоборудования, органов ... и управления. Оценить конструктивное и производственное выполнение с-та</w:t>
      </w:r>
    </w:p>
    <w:p w14:paraId="437CCC5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Объект испытаний:</w:t>
      </w:r>
    </w:p>
    <w:p w14:paraId="25B9267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Предъявленный на испытания экземпляр улучшенного МиГ-3 с АМ-35А конструкции Микояна и Гуревича построенного на з-де № 155 согласно постановлению ГОКО от 26 февраля 1943 № 2946. Улучшенный с-т представляет собой значительную модификацию с-та МиГ-3. По своим геометрическим размерам он не отличается от серийного МиГ-3 с АМ-35А. Внесенные изменения и технологические упрощения создали улучшуенную аэродинамику и снизили полетный вес с-та.</w:t>
      </w:r>
    </w:p>
    <w:p w14:paraId="4B046CE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Конструкция с-та</w:t>
      </w:r>
    </w:p>
    <w:p w14:paraId="03D3C2E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Основное отличие конструкции улучшенного МиГ-3 с АМ-35А по сравнению с серийным с-том МиГ-3 заключаются в:</w:t>
      </w:r>
    </w:p>
    <w:p w14:paraId="6DE9B71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улучшена и облегчена конструкция фюзеляжа, который представляет собой цельнодеревянный монокок со съемным дюралевым килем, взамен смашанной конструкции: сварной фермы и с деревянной частью фюзеляжа</w:t>
      </w:r>
    </w:p>
    <w:p w14:paraId="3A22DC8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незначительно изменен главный лонжерон центроплана: в месте прохода через туннели водорадиатора стенка лонжерона заменена фермой. Главный лонжерон консолей выполнен не из дельтадревесины, а из дюралевой стенки.</w:t>
      </w:r>
    </w:p>
    <w:p w14:paraId="66721C3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несколько сдвинута назад, расширена и улучшена кабина л. В связи с этим изменен обзор и конструкция фонаря кабины</w:t>
      </w:r>
    </w:p>
    <w:p w14:paraId="42B0BA7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В связи с переделкой кинематики уборки костыля стабилизатор поднят на 200 мм и выполнен с новыми узлами крепления к фюзеляжу</w:t>
      </w:r>
    </w:p>
    <w:p w14:paraId="10EEAE0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установлены замки посадочных щитков в положении убрано</w:t>
      </w:r>
    </w:p>
    <w:p w14:paraId="2F96A52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изменена установка замка подъема шасси</w:t>
      </w:r>
    </w:p>
    <w:p w14:paraId="414B5B0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механизм аварийного выпуска шасси и костыля заменен пневматическим</w:t>
      </w:r>
    </w:p>
    <w:p w14:paraId="02F017C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установлены колеса размером 600х180 вместо 650 на 200</w:t>
      </w:r>
    </w:p>
    <w:p w14:paraId="4FCCE6E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костыль сделан ориентирующимся со стопором, управляемым из кабины</w:t>
      </w:r>
    </w:p>
    <w:p w14:paraId="02C36CA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ВМГ</w:t>
      </w:r>
    </w:p>
    <w:p w14:paraId="1E2B7A9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на улучшенном с-те установлен мотор АМ-35А выпуска 1943 с редукцией 0,732, собранный с использованием некоторых-38Ф, а винт АВ-5Л-126А диаметром 3,2 м</w:t>
      </w:r>
    </w:p>
    <w:p w14:paraId="050AB06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ГК завода № 300 т. Туманским (письмо от 10 августа 1938) данный мотор в отличие оти серийных АМ-35А было разрешено эксплуатировать во время летных испытаний на оборотах 2250. Этот режим допускает продолжительность не более 5 минут и только на высотах выше границы высотности. Макс. темп. При этом допускается: выходной воды 120, входного масла 85 (на номинале допускается 110 и 85).</w:t>
      </w:r>
    </w:p>
    <w:p w14:paraId="061D223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Бензосистема</w:t>
      </w:r>
    </w:p>
    <w:p w14:paraId="26B6CC4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Вместо 4-х металлических б/б, имеющихся на серийном с-те общей емкостью 500 л, на улучшенном установлен один мягкий емкостью 440 л в фюзеляже впереди л в спецконтейнере с подводом в нему нейтральных газов от выхлопа мотора.</w:t>
      </w:r>
    </w:p>
    <w:p w14:paraId="4DC6DAD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Маслосистема</w:t>
      </w:r>
    </w:p>
    <w:p w14:paraId="60C736C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Вместо 2-х девятидюймовых радиаторов на Миг-3 по внешним сотороным бдоков мотора на улучшенном установлен один м/р типа 33 в тоннеле под фюзеляжем</w:t>
      </w:r>
    </w:p>
    <w:p w14:paraId="558DA97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Продувка маслорадиатора регулируется заслонкой с механическим управлением. Заслонка установлена на выходе</w:t>
      </w:r>
    </w:p>
    <w:p w14:paraId="36AA278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Задний маслобак емкостью 25 л установлен с внешней стороны у правого блока мотора</w:t>
      </w:r>
    </w:p>
    <w:p w14:paraId="38BB007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Передний м/б по емкости и расположению такой же, как на МиГ-23 (емкостью 53 л).</w:t>
      </w:r>
    </w:p>
    <w:p w14:paraId="790EC02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Водосистема</w:t>
      </w:r>
    </w:p>
    <w:p w14:paraId="45EF9FD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Радиатор расположен в том же месте, что и на МиГ-3, но поднят выше. Воздух для продувки радиатора поступает через два заборника, расположенных в носовой части цп с обеих сторон фюзеляжа.</w:t>
      </w:r>
    </w:p>
    <w:p w14:paraId="14D2FF8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регулировки температуры воды на с-те установлен агрегат УР-2, связанный с заслонкой туннеля водорадиатора и управляемый или автоматом АРТ-41 или вручную посредством переключателя МП-1</w:t>
      </w:r>
    </w:p>
    <w:p w14:paraId="7DA289E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Входная часть всасявающего патрубка мотора выведена внутрб туннеля радиатора. На с-те установлена, но не подключена система расжижения масла бензином.</w:t>
      </w:r>
    </w:p>
    <w:p w14:paraId="5F91604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Вооружение</w:t>
      </w:r>
    </w:p>
    <w:p w14:paraId="672732E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Состоит из 2хШВАК какл. 20 мм, установленных над мотором с запасом патронов по 150 шт.</w:t>
      </w:r>
    </w:p>
    <w:p w14:paraId="65D96B3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Спецоборудование значительно отиличается от спецоборудования серийного МиГ-3. Возможно производство дневных и ночных полетов. Но отсутствуют АГ и РПК. Особенностью является наличие автоматического электрорегулятора температуры воды (АРТ-41).</w:t>
      </w:r>
    </w:p>
    <w:p w14:paraId="60F3E56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Электрооборудование выполнено по однопроводной схеме с частичной экранизацией (экранированп система зажигания мотора и проводка от генератора до электрорегулятора). Источник питания: 1 генератор ГС-350 с акумуляторной батареей 12-А-5. Система защиты - централизованная (в кабине) плавкими предохранителями.</w:t>
      </w:r>
    </w:p>
    <w:p w14:paraId="07B40C3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Вооружение работает при помощи пневмоспусков ПЭС-1. Освещение приборов в кабине осуществляется двумя кабинными лампами и двумя лампами УФО. Для ночных полетов установлена посадочная фара ФС-155 и АНО. Имеется обогрев трубки Пито и часов.</w:t>
      </w:r>
    </w:p>
    <w:p w14:paraId="214465A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Средства связи</w:t>
      </w:r>
    </w:p>
    <w:p w14:paraId="57FBA34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Приемопередатчик РСИ-4, управление настройкой - дистанционное Включение - кнопкой на ручке управления. Антенна - наружная, однолучевая с мачтой высотой 900 мм. Дополнительных фильтров в цепи зажигания и бортсети нет.</w:t>
      </w:r>
    </w:p>
    <w:p w14:paraId="6BB4F50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Кислородное оборудование состоит из ксилородного прибора типа КПА-3бис и 4-х литрового баллона, также штуцера бортовой зарядки.</w:t>
      </w:r>
    </w:p>
    <w:p w14:paraId="1828D38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Вспомогательное оборудование: согнальный пистолет КП-3, патронташ к нему и аптечка малая. Фотооборудование не предусмотрено.</w:t>
      </w:r>
    </w:p>
    <w:p w14:paraId="7147AEB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Компоновка приборов выполнена в соответствии со стандартной кабиной и приборной доской истребителя</w:t>
      </w:r>
    </w:p>
    <w:p w14:paraId="6605B58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Результаты испытаний:</w:t>
      </w:r>
    </w:p>
    <w:p w14:paraId="04121EB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 поступил для испытаний в НИИ 27 июля. Испытания начаты 28 июля и закончены 6 августа 1943. 23 полета с налетом 15:26 из них 10 - высотные</w:t>
      </w:r>
    </w:p>
    <w:p w14:paraId="4631131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 пустого 2627, 13,8% САХ, угол капотирования 23</w:t>
      </w:r>
    </w:p>
    <w:p w14:paraId="63B5630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полетный вес - 3260, 19% САХ, угол капотирования 26</w:t>
      </w:r>
    </w:p>
    <w:p w14:paraId="40A57E1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Нагрузка</w:t>
      </w:r>
    </w:p>
    <w:p w14:paraId="27E394D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пилот - 90</w:t>
      </w:r>
    </w:p>
    <w:p w14:paraId="60D2F84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горючее (уд. Вес 0,737) - 324</w:t>
      </w:r>
    </w:p>
    <w:p w14:paraId="188C217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масло - 58</w:t>
      </w:r>
    </w:p>
    <w:p w14:paraId="52EC083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вооружение - 80, боеприпасы 64</w:t>
      </w:r>
    </w:p>
    <w:p w14:paraId="44037B0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оборудование - 17</w:t>
      </w:r>
    </w:p>
    <w:p w14:paraId="5494522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Итого 633</w:t>
      </w:r>
    </w:p>
    <w:p w14:paraId="591F7C8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Основные лд</w:t>
      </w:r>
    </w:p>
    <w:p w14:paraId="27F8236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 скорость у земли на номинале 505, с форсажем (на взлетном режиме, 2020 и Рк 1220) - 526</w:t>
      </w:r>
    </w:p>
    <w:p w14:paraId="7572E54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Максю скорость на взлетном на 300 м - 600</w:t>
      </w:r>
    </w:p>
    <w:p w14:paraId="53D2E43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 скорость на 5000 - 622</w:t>
      </w:r>
    </w:p>
    <w:p w14:paraId="5C89923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 скорость на гр. высотности (7000) - 656</w:t>
      </w:r>
    </w:p>
    <w:p w14:paraId="24BAC3A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 скорость на 9000 м - 639, Рк 830</w:t>
      </w:r>
    </w:p>
    <w:p w14:paraId="2BF0098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Время набора 5000 м 6,2</w:t>
      </w:r>
    </w:p>
    <w:p w14:paraId="32AA343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Время набора 7000 м 8,9</w:t>
      </w:r>
    </w:p>
    <w:p w14:paraId="46A125D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Время набора 9000 м 12,8</w:t>
      </w:r>
    </w:p>
    <w:p w14:paraId="2F34EA5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Практический потолок 11500, с форсажем 11900 м</w:t>
      </w:r>
    </w:p>
    <w:p w14:paraId="1C0DF70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Скороподъемность</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59"/>
        <w:gridCol w:w="1417"/>
        <w:gridCol w:w="1418"/>
        <w:gridCol w:w="1276"/>
      </w:tblGrid>
      <w:tr w:rsidR="005106D0" w:rsidRPr="007224C3" w14:paraId="460E7753" w14:textId="77777777">
        <w:tc>
          <w:tcPr>
            <w:tcW w:w="959" w:type="dxa"/>
            <w:tcBorders>
              <w:top w:val="single" w:sz="12" w:space="0" w:color="auto"/>
            </w:tcBorders>
          </w:tcPr>
          <w:p w14:paraId="5ECA739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Borders>
              <w:top w:val="single" w:sz="12" w:space="0" w:color="auto"/>
            </w:tcBorders>
          </w:tcPr>
          <w:p w14:paraId="17C1AD4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Верт. скорость</w:t>
            </w:r>
          </w:p>
        </w:tc>
        <w:tc>
          <w:tcPr>
            <w:tcW w:w="1418" w:type="dxa"/>
            <w:tcBorders>
              <w:top w:val="single" w:sz="12" w:space="0" w:color="auto"/>
            </w:tcBorders>
          </w:tcPr>
          <w:p w14:paraId="7C21E19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Рк</w:t>
            </w:r>
          </w:p>
        </w:tc>
        <w:tc>
          <w:tcPr>
            <w:tcW w:w="1276" w:type="dxa"/>
            <w:tcBorders>
              <w:top w:val="single" w:sz="12" w:space="0" w:color="auto"/>
            </w:tcBorders>
          </w:tcPr>
          <w:p w14:paraId="3AD986A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Гор. Скорость</w:t>
            </w:r>
          </w:p>
        </w:tc>
      </w:tr>
      <w:tr w:rsidR="005106D0" w:rsidRPr="007224C3" w14:paraId="44648DF5" w14:textId="77777777">
        <w:tc>
          <w:tcPr>
            <w:tcW w:w="959" w:type="dxa"/>
          </w:tcPr>
          <w:p w14:paraId="340484C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w:t>
            </w:r>
          </w:p>
        </w:tc>
        <w:tc>
          <w:tcPr>
            <w:tcW w:w="1417" w:type="dxa"/>
          </w:tcPr>
          <w:p w14:paraId="2C66365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13,8</w:t>
            </w:r>
          </w:p>
        </w:tc>
        <w:tc>
          <w:tcPr>
            <w:tcW w:w="1418" w:type="dxa"/>
          </w:tcPr>
          <w:p w14:paraId="683F40A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1060</w:t>
            </w:r>
          </w:p>
        </w:tc>
        <w:tc>
          <w:tcPr>
            <w:tcW w:w="1276" w:type="dxa"/>
          </w:tcPr>
          <w:p w14:paraId="5D9F53F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260</w:t>
            </w:r>
          </w:p>
        </w:tc>
      </w:tr>
      <w:tr w:rsidR="005106D0" w:rsidRPr="007224C3" w14:paraId="5B238F24" w14:textId="77777777">
        <w:tc>
          <w:tcPr>
            <w:tcW w:w="959" w:type="dxa"/>
          </w:tcPr>
          <w:p w14:paraId="60A6D36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6500</w:t>
            </w:r>
          </w:p>
        </w:tc>
        <w:tc>
          <w:tcPr>
            <w:tcW w:w="1417" w:type="dxa"/>
          </w:tcPr>
          <w:p w14:paraId="7B0A249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12,5</w:t>
            </w:r>
          </w:p>
        </w:tc>
        <w:tc>
          <w:tcPr>
            <w:tcW w:w="1418" w:type="dxa"/>
          </w:tcPr>
          <w:p w14:paraId="4F2A717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1060</w:t>
            </w:r>
          </w:p>
        </w:tc>
        <w:tc>
          <w:tcPr>
            <w:tcW w:w="1276" w:type="dxa"/>
          </w:tcPr>
          <w:p w14:paraId="2A5006D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256</w:t>
            </w:r>
          </w:p>
        </w:tc>
      </w:tr>
      <w:tr w:rsidR="005106D0" w:rsidRPr="007224C3" w14:paraId="5336F3EF" w14:textId="77777777">
        <w:tc>
          <w:tcPr>
            <w:tcW w:w="959" w:type="dxa"/>
          </w:tcPr>
          <w:p w14:paraId="7E374FE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8000</w:t>
            </w:r>
          </w:p>
        </w:tc>
        <w:tc>
          <w:tcPr>
            <w:tcW w:w="1417" w:type="dxa"/>
          </w:tcPr>
          <w:p w14:paraId="2B00A25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9,0</w:t>
            </w:r>
          </w:p>
        </w:tc>
        <w:tc>
          <w:tcPr>
            <w:tcW w:w="1418" w:type="dxa"/>
          </w:tcPr>
          <w:p w14:paraId="525FB1C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890</w:t>
            </w:r>
          </w:p>
        </w:tc>
        <w:tc>
          <w:tcPr>
            <w:tcW w:w="1276" w:type="dxa"/>
          </w:tcPr>
          <w:p w14:paraId="3C34DE0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248</w:t>
            </w:r>
          </w:p>
        </w:tc>
      </w:tr>
      <w:tr w:rsidR="005106D0" w:rsidRPr="007224C3" w14:paraId="08E37E54" w14:textId="77777777">
        <w:tc>
          <w:tcPr>
            <w:tcW w:w="959" w:type="dxa"/>
            <w:tcBorders>
              <w:bottom w:val="single" w:sz="12" w:space="0" w:color="auto"/>
            </w:tcBorders>
          </w:tcPr>
          <w:p w14:paraId="7E38EA8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9000</w:t>
            </w:r>
          </w:p>
        </w:tc>
        <w:tc>
          <w:tcPr>
            <w:tcW w:w="1417" w:type="dxa"/>
            <w:tcBorders>
              <w:bottom w:val="single" w:sz="12" w:space="0" w:color="auto"/>
            </w:tcBorders>
          </w:tcPr>
          <w:p w14:paraId="688AC4B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6,6</w:t>
            </w:r>
          </w:p>
        </w:tc>
        <w:tc>
          <w:tcPr>
            <w:tcW w:w="1418" w:type="dxa"/>
            <w:tcBorders>
              <w:bottom w:val="single" w:sz="12" w:space="0" w:color="auto"/>
            </w:tcBorders>
          </w:tcPr>
          <w:p w14:paraId="2EA981D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780</w:t>
            </w:r>
          </w:p>
        </w:tc>
        <w:tc>
          <w:tcPr>
            <w:tcW w:w="1276" w:type="dxa"/>
            <w:tcBorders>
              <w:bottom w:val="single" w:sz="12" w:space="0" w:color="auto"/>
            </w:tcBorders>
          </w:tcPr>
          <w:p w14:paraId="37E5E08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240</w:t>
            </w:r>
          </w:p>
        </w:tc>
      </w:tr>
    </w:tbl>
    <w:p w14:paraId="1A72037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Скороподъемность на взлетном режиме не определялась из-за перегрева мотора</w:t>
      </w:r>
    </w:p>
    <w:p w14:paraId="22FC4A8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Скороподъемность опреджелялась при полностью открытой заслонке водо и маслорадиаторов с площадками для охлаждения мотора</w:t>
      </w:r>
    </w:p>
    <w:p w14:paraId="43C48D9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Маневренность на 8000 м</w:t>
      </w:r>
    </w:p>
    <w:p w14:paraId="6677A9B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Вираж однократный левый на 330-330 37 сек.</w:t>
      </w:r>
    </w:p>
    <w:p w14:paraId="17B6107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Правый на 330-330 35 без изменения высоты</w:t>
      </w:r>
    </w:p>
    <w:p w14:paraId="3EA1A5C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боевой разворот левый 370-230 - 22 с набором 400-500</w:t>
      </w:r>
    </w:p>
    <w:p w14:paraId="5A619E4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правый 22</w:t>
      </w:r>
    </w:p>
    <w:p w14:paraId="6E01111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Летали также п Сафонов, п/п Кочетков, м Антипов, к Кубышкин</w:t>
      </w:r>
    </w:p>
    <w:p w14:paraId="39F93AE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планировании без закрылков возникает значительный бафтинг хвостового оперения, что свидетельствует о неправильном его расположении по высоте.</w:t>
      </w:r>
    </w:p>
    <w:p w14:paraId="2956904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посадке в момент приземления с-т теряет управляемость в продольном отношении.</w:t>
      </w:r>
    </w:p>
    <w:p w14:paraId="78EAE3F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пробеге есть тенденция к прыганью в трехточечном положении.</w:t>
      </w:r>
    </w:p>
    <w:p w14:paraId="6639511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рулежке вода перегревается</w:t>
      </w:r>
    </w:p>
    <w:p w14:paraId="3FE842F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даче форсажа после 1000 м мотор ьтрясет</w:t>
      </w:r>
    </w:p>
    <w:p w14:paraId="4C5D90E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Стефановский 10 августа 1943</w:t>
      </w:r>
    </w:p>
    <w:p w14:paraId="3C8D27A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Управление с-том РП легкое, элеронами - тяжелое, РВ весьма тяжелое. Перекладывание из виража в вираж медленное и тяжелое. Воевать на такой машине тяжело. Посадку производить сложно. В начале посадки велика нагрузка на ручку, после ввыбирания ручки управление нагрузка совершенно пропадает и эффективность РВ теряется. На пробеге с-т устойчив.</w:t>
      </w:r>
    </w:p>
    <w:p w14:paraId="0E37899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полете обзор в строны - хорош, вперед и назад - плохой. В полете с закрытым фонарем в кабине жарко, а при открытом - сильное задувание в кабину.</w:t>
      </w:r>
    </w:p>
    <w:p w14:paraId="03A7123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Кубышкин 11 августа 1943</w:t>
      </w:r>
    </w:p>
    <w:p w14:paraId="3B73B5E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Сравнительная таблица лтд истребительных с-тов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917"/>
        <w:gridCol w:w="992"/>
        <w:gridCol w:w="993"/>
        <w:gridCol w:w="992"/>
        <w:gridCol w:w="992"/>
        <w:gridCol w:w="992"/>
      </w:tblGrid>
      <w:tr w:rsidR="005106D0" w:rsidRPr="007224C3" w14:paraId="6AE58E7E" w14:textId="77777777">
        <w:tc>
          <w:tcPr>
            <w:tcW w:w="1601" w:type="dxa"/>
            <w:tcBorders>
              <w:top w:val="single" w:sz="12" w:space="0" w:color="auto"/>
            </w:tcBorders>
          </w:tcPr>
          <w:p w14:paraId="61174A6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7" w:type="dxa"/>
            <w:tcBorders>
              <w:top w:val="single" w:sz="12" w:space="0" w:color="auto"/>
            </w:tcBorders>
          </w:tcPr>
          <w:p w14:paraId="558DE3D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МиГ-3 улучшенный</w:t>
            </w:r>
          </w:p>
        </w:tc>
        <w:tc>
          <w:tcPr>
            <w:tcW w:w="992" w:type="dxa"/>
            <w:tcBorders>
              <w:top w:val="single" w:sz="12" w:space="0" w:color="auto"/>
            </w:tcBorders>
          </w:tcPr>
          <w:p w14:paraId="3F6AEFE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МиГ-3 серийный № 3943, август 1941</w:t>
            </w:r>
          </w:p>
        </w:tc>
        <w:tc>
          <w:tcPr>
            <w:tcW w:w="993" w:type="dxa"/>
            <w:tcBorders>
              <w:top w:val="single" w:sz="12" w:space="0" w:color="auto"/>
            </w:tcBorders>
          </w:tcPr>
          <w:p w14:paraId="04820BE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Ла-5ФН апрель 1943</w:t>
            </w:r>
          </w:p>
        </w:tc>
        <w:tc>
          <w:tcPr>
            <w:tcW w:w="992" w:type="dxa"/>
            <w:tcBorders>
              <w:top w:val="single" w:sz="12" w:space="0" w:color="auto"/>
            </w:tcBorders>
          </w:tcPr>
          <w:p w14:paraId="0C0F12A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Спитфайр 56 май 1943</w:t>
            </w:r>
          </w:p>
        </w:tc>
        <w:tc>
          <w:tcPr>
            <w:tcW w:w="992" w:type="dxa"/>
            <w:tcBorders>
              <w:top w:val="single" w:sz="12" w:space="0" w:color="auto"/>
            </w:tcBorders>
          </w:tcPr>
          <w:p w14:paraId="394B6EE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Ме-109Gрель 1943 (3-х точечный)</w:t>
            </w:r>
          </w:p>
        </w:tc>
        <w:tc>
          <w:tcPr>
            <w:tcW w:w="992" w:type="dxa"/>
            <w:tcBorders>
              <w:top w:val="single" w:sz="12" w:space="0" w:color="auto"/>
            </w:tcBorders>
          </w:tcPr>
          <w:p w14:paraId="1DEB674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Як-7 М-105ПД сентябрь 1942</w:t>
            </w:r>
          </w:p>
        </w:tc>
      </w:tr>
      <w:tr w:rsidR="005106D0" w:rsidRPr="007224C3" w14:paraId="21C5A3AD" w14:textId="77777777">
        <w:tc>
          <w:tcPr>
            <w:tcW w:w="1601" w:type="dxa"/>
          </w:tcPr>
          <w:p w14:paraId="03985C1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Полетный вес</w:t>
            </w:r>
          </w:p>
        </w:tc>
        <w:tc>
          <w:tcPr>
            <w:tcW w:w="917" w:type="dxa"/>
          </w:tcPr>
          <w:p w14:paraId="071233A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3260</w:t>
            </w:r>
          </w:p>
        </w:tc>
        <w:tc>
          <w:tcPr>
            <w:tcW w:w="992" w:type="dxa"/>
          </w:tcPr>
          <w:p w14:paraId="605552B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3299</w:t>
            </w:r>
          </w:p>
        </w:tc>
        <w:tc>
          <w:tcPr>
            <w:tcW w:w="993" w:type="dxa"/>
          </w:tcPr>
          <w:p w14:paraId="4452C1F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3168</w:t>
            </w:r>
          </w:p>
        </w:tc>
        <w:tc>
          <w:tcPr>
            <w:tcW w:w="992" w:type="dxa"/>
          </w:tcPr>
          <w:p w14:paraId="35E732B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2920</w:t>
            </w:r>
          </w:p>
        </w:tc>
        <w:tc>
          <w:tcPr>
            <w:tcW w:w="992" w:type="dxa"/>
          </w:tcPr>
          <w:p w14:paraId="01923DA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3023</w:t>
            </w:r>
          </w:p>
        </w:tc>
        <w:tc>
          <w:tcPr>
            <w:tcW w:w="992" w:type="dxa"/>
          </w:tcPr>
          <w:p w14:paraId="6252E91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2904</w:t>
            </w:r>
          </w:p>
        </w:tc>
      </w:tr>
      <w:tr w:rsidR="005106D0" w:rsidRPr="007224C3" w14:paraId="4B8B3C09" w14:textId="77777777">
        <w:tc>
          <w:tcPr>
            <w:tcW w:w="1601" w:type="dxa"/>
          </w:tcPr>
          <w:p w14:paraId="3624F43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 скорость у земли</w:t>
            </w:r>
          </w:p>
        </w:tc>
        <w:tc>
          <w:tcPr>
            <w:tcW w:w="917" w:type="dxa"/>
          </w:tcPr>
          <w:p w14:paraId="42BAEAE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505/526</w:t>
            </w:r>
          </w:p>
        </w:tc>
        <w:tc>
          <w:tcPr>
            <w:tcW w:w="992" w:type="dxa"/>
          </w:tcPr>
          <w:p w14:paraId="17D28DD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466</w:t>
            </w:r>
          </w:p>
        </w:tc>
        <w:tc>
          <w:tcPr>
            <w:tcW w:w="993" w:type="dxa"/>
          </w:tcPr>
          <w:p w14:paraId="0398367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562/595</w:t>
            </w:r>
          </w:p>
        </w:tc>
        <w:tc>
          <w:tcPr>
            <w:tcW w:w="992" w:type="dxa"/>
          </w:tcPr>
          <w:p w14:paraId="016F3AE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450</w:t>
            </w:r>
          </w:p>
        </w:tc>
        <w:tc>
          <w:tcPr>
            <w:tcW w:w="992" w:type="dxa"/>
          </w:tcPr>
          <w:p w14:paraId="233322B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524</w:t>
            </w:r>
          </w:p>
        </w:tc>
        <w:tc>
          <w:tcPr>
            <w:tcW w:w="992" w:type="dxa"/>
          </w:tcPr>
          <w:p w14:paraId="7BC83AF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500</w:t>
            </w:r>
          </w:p>
        </w:tc>
      </w:tr>
      <w:tr w:rsidR="005106D0" w:rsidRPr="007224C3" w14:paraId="262A8264" w14:textId="77777777">
        <w:tc>
          <w:tcPr>
            <w:tcW w:w="1601" w:type="dxa"/>
          </w:tcPr>
          <w:p w14:paraId="378AF1C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 скорость на 5000 м</w:t>
            </w:r>
          </w:p>
        </w:tc>
        <w:tc>
          <w:tcPr>
            <w:tcW w:w="917" w:type="dxa"/>
          </w:tcPr>
          <w:p w14:paraId="6869FDD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622</w:t>
            </w:r>
          </w:p>
        </w:tc>
        <w:tc>
          <w:tcPr>
            <w:tcW w:w="992" w:type="dxa"/>
          </w:tcPr>
          <w:p w14:paraId="453CE55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569</w:t>
            </w:r>
          </w:p>
        </w:tc>
        <w:tc>
          <w:tcPr>
            <w:tcW w:w="993" w:type="dxa"/>
          </w:tcPr>
          <w:p w14:paraId="4C36530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622</w:t>
            </w:r>
          </w:p>
        </w:tc>
        <w:tc>
          <w:tcPr>
            <w:tcW w:w="992" w:type="dxa"/>
          </w:tcPr>
          <w:p w14:paraId="5B1D18E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646</w:t>
            </w:r>
          </w:p>
        </w:tc>
        <w:tc>
          <w:tcPr>
            <w:tcW w:w="992" w:type="dxa"/>
          </w:tcPr>
          <w:p w14:paraId="06502C9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610</w:t>
            </w:r>
          </w:p>
        </w:tc>
        <w:tc>
          <w:tcPr>
            <w:tcW w:w="992" w:type="dxa"/>
          </w:tcPr>
          <w:p w14:paraId="4CCB167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577</w:t>
            </w:r>
          </w:p>
        </w:tc>
      </w:tr>
      <w:tr w:rsidR="005106D0" w:rsidRPr="007224C3" w14:paraId="694A3E88" w14:textId="77777777">
        <w:tc>
          <w:tcPr>
            <w:tcW w:w="1601" w:type="dxa"/>
          </w:tcPr>
          <w:p w14:paraId="47D90D0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 скорость на гр. высотности</w:t>
            </w:r>
          </w:p>
        </w:tc>
        <w:tc>
          <w:tcPr>
            <w:tcW w:w="917" w:type="dxa"/>
          </w:tcPr>
          <w:p w14:paraId="6CD558B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656/7000</w:t>
            </w:r>
          </w:p>
        </w:tc>
        <w:tc>
          <w:tcPr>
            <w:tcW w:w="992" w:type="dxa"/>
          </w:tcPr>
          <w:p w14:paraId="4FB99E3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615/7800</w:t>
            </w:r>
          </w:p>
        </w:tc>
        <w:tc>
          <w:tcPr>
            <w:tcW w:w="993" w:type="dxa"/>
          </w:tcPr>
          <w:p w14:paraId="1EF7FC0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648/6500</w:t>
            </w:r>
          </w:p>
        </w:tc>
        <w:tc>
          <w:tcPr>
            <w:tcW w:w="992" w:type="dxa"/>
          </w:tcPr>
          <w:p w14:paraId="2A8B592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578/6700</w:t>
            </w:r>
          </w:p>
        </w:tc>
        <w:tc>
          <w:tcPr>
            <w:tcW w:w="992" w:type="dxa"/>
          </w:tcPr>
          <w:p w14:paraId="3EE8F0A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666/7000</w:t>
            </w:r>
          </w:p>
        </w:tc>
        <w:tc>
          <w:tcPr>
            <w:tcW w:w="992" w:type="dxa"/>
          </w:tcPr>
          <w:p w14:paraId="0964562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611/7600</w:t>
            </w:r>
          </w:p>
        </w:tc>
      </w:tr>
      <w:tr w:rsidR="005106D0" w:rsidRPr="007224C3" w14:paraId="730B21CE" w14:textId="77777777">
        <w:tc>
          <w:tcPr>
            <w:tcW w:w="1601" w:type="dxa"/>
          </w:tcPr>
          <w:p w14:paraId="604DC6D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 скорость на 8000 м</w:t>
            </w:r>
          </w:p>
        </w:tc>
        <w:tc>
          <w:tcPr>
            <w:tcW w:w="917" w:type="dxa"/>
          </w:tcPr>
          <w:p w14:paraId="22D2F5D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648</w:t>
            </w:r>
          </w:p>
        </w:tc>
        <w:tc>
          <w:tcPr>
            <w:tcW w:w="992" w:type="dxa"/>
          </w:tcPr>
          <w:p w14:paraId="122ED02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615</w:t>
            </w:r>
          </w:p>
        </w:tc>
        <w:tc>
          <w:tcPr>
            <w:tcW w:w="993" w:type="dxa"/>
          </w:tcPr>
          <w:p w14:paraId="28F3B90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628</w:t>
            </w:r>
          </w:p>
        </w:tc>
        <w:tc>
          <w:tcPr>
            <w:tcW w:w="992" w:type="dxa"/>
          </w:tcPr>
          <w:p w14:paraId="290E84C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573</w:t>
            </w:r>
          </w:p>
        </w:tc>
        <w:tc>
          <w:tcPr>
            <w:tcW w:w="992" w:type="dxa"/>
          </w:tcPr>
          <w:p w14:paraId="2D09BA5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660</w:t>
            </w:r>
          </w:p>
        </w:tc>
        <w:tc>
          <w:tcPr>
            <w:tcW w:w="992" w:type="dxa"/>
          </w:tcPr>
          <w:p w14:paraId="693D62F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608</w:t>
            </w:r>
          </w:p>
        </w:tc>
      </w:tr>
      <w:tr w:rsidR="005106D0" w:rsidRPr="007224C3" w14:paraId="0E326C6D" w14:textId="77777777">
        <w:tc>
          <w:tcPr>
            <w:tcW w:w="1601" w:type="dxa"/>
          </w:tcPr>
          <w:p w14:paraId="0D1CC7E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Практ. потолок</w:t>
            </w:r>
          </w:p>
        </w:tc>
        <w:tc>
          <w:tcPr>
            <w:tcW w:w="917" w:type="dxa"/>
          </w:tcPr>
          <w:p w14:paraId="242D003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11900</w:t>
            </w:r>
          </w:p>
        </w:tc>
        <w:tc>
          <w:tcPr>
            <w:tcW w:w="992" w:type="dxa"/>
          </w:tcPr>
          <w:p w14:paraId="6D6F2DE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10600</w:t>
            </w:r>
          </w:p>
        </w:tc>
        <w:tc>
          <w:tcPr>
            <w:tcW w:w="993" w:type="dxa"/>
          </w:tcPr>
          <w:p w14:paraId="5D3FE50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11200</w:t>
            </w:r>
          </w:p>
        </w:tc>
        <w:tc>
          <w:tcPr>
            <w:tcW w:w="992" w:type="dxa"/>
          </w:tcPr>
          <w:p w14:paraId="77424B1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11500</w:t>
            </w:r>
          </w:p>
        </w:tc>
        <w:tc>
          <w:tcPr>
            <w:tcW w:w="992" w:type="dxa"/>
          </w:tcPr>
          <w:p w14:paraId="4547430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11900</w:t>
            </w:r>
          </w:p>
        </w:tc>
        <w:tc>
          <w:tcPr>
            <w:tcW w:w="992" w:type="dxa"/>
          </w:tcPr>
          <w:p w14:paraId="59E3AB6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11300</w:t>
            </w:r>
          </w:p>
        </w:tc>
      </w:tr>
      <w:tr w:rsidR="005106D0" w:rsidRPr="007224C3" w14:paraId="52737270" w14:textId="77777777">
        <w:tc>
          <w:tcPr>
            <w:tcW w:w="1601" w:type="dxa"/>
          </w:tcPr>
          <w:p w14:paraId="3F76505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Время набора 5000 м</w:t>
            </w:r>
          </w:p>
        </w:tc>
        <w:tc>
          <w:tcPr>
            <w:tcW w:w="917" w:type="dxa"/>
          </w:tcPr>
          <w:p w14:paraId="38F3E82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6,2</w:t>
            </w:r>
          </w:p>
        </w:tc>
        <w:tc>
          <w:tcPr>
            <w:tcW w:w="992" w:type="dxa"/>
          </w:tcPr>
          <w:p w14:paraId="001EDB6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7,1</w:t>
            </w:r>
          </w:p>
        </w:tc>
        <w:tc>
          <w:tcPr>
            <w:tcW w:w="993" w:type="dxa"/>
          </w:tcPr>
          <w:p w14:paraId="3AD36B6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4,7</w:t>
            </w:r>
          </w:p>
        </w:tc>
        <w:tc>
          <w:tcPr>
            <w:tcW w:w="992" w:type="dxa"/>
          </w:tcPr>
          <w:p w14:paraId="5BCB898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7,1</w:t>
            </w:r>
          </w:p>
        </w:tc>
        <w:tc>
          <w:tcPr>
            <w:tcW w:w="992" w:type="dxa"/>
          </w:tcPr>
          <w:p w14:paraId="2A691DF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4,4</w:t>
            </w:r>
          </w:p>
        </w:tc>
        <w:tc>
          <w:tcPr>
            <w:tcW w:w="992" w:type="dxa"/>
          </w:tcPr>
          <w:p w14:paraId="1DAEB57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5,4</w:t>
            </w:r>
          </w:p>
        </w:tc>
      </w:tr>
      <w:tr w:rsidR="005106D0" w:rsidRPr="007224C3" w14:paraId="07BBE62C" w14:textId="77777777">
        <w:tc>
          <w:tcPr>
            <w:tcW w:w="1601" w:type="dxa"/>
          </w:tcPr>
          <w:p w14:paraId="31FA09F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Запас горючего (кг)</w:t>
            </w:r>
          </w:p>
        </w:tc>
        <w:tc>
          <w:tcPr>
            <w:tcW w:w="917" w:type="dxa"/>
          </w:tcPr>
          <w:p w14:paraId="605DAD1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324</w:t>
            </w:r>
          </w:p>
        </w:tc>
        <w:tc>
          <w:tcPr>
            <w:tcW w:w="992" w:type="dxa"/>
          </w:tcPr>
          <w:p w14:paraId="04C6FD9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335</w:t>
            </w:r>
          </w:p>
        </w:tc>
        <w:tc>
          <w:tcPr>
            <w:tcW w:w="993" w:type="dxa"/>
          </w:tcPr>
          <w:p w14:paraId="60FB4B5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341</w:t>
            </w:r>
          </w:p>
        </w:tc>
        <w:tc>
          <w:tcPr>
            <w:tcW w:w="992" w:type="dxa"/>
          </w:tcPr>
          <w:p w14:paraId="23863F5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288</w:t>
            </w:r>
          </w:p>
        </w:tc>
        <w:tc>
          <w:tcPr>
            <w:tcW w:w="992" w:type="dxa"/>
          </w:tcPr>
          <w:p w14:paraId="7039CF2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300</w:t>
            </w:r>
          </w:p>
        </w:tc>
        <w:tc>
          <w:tcPr>
            <w:tcW w:w="992" w:type="dxa"/>
          </w:tcPr>
          <w:p w14:paraId="74CD6C2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305</w:t>
            </w:r>
          </w:p>
        </w:tc>
      </w:tr>
      <w:tr w:rsidR="005106D0" w:rsidRPr="007224C3" w14:paraId="7D0AD303" w14:textId="77777777">
        <w:tc>
          <w:tcPr>
            <w:tcW w:w="1601" w:type="dxa"/>
            <w:tcBorders>
              <w:bottom w:val="single" w:sz="12" w:space="0" w:color="auto"/>
            </w:tcBorders>
          </w:tcPr>
          <w:p w14:paraId="4E79E82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 залпа (кг/сек)</w:t>
            </w:r>
          </w:p>
        </w:tc>
        <w:tc>
          <w:tcPr>
            <w:tcW w:w="917" w:type="dxa"/>
            <w:tcBorders>
              <w:bottom w:val="single" w:sz="12" w:space="0" w:color="auto"/>
            </w:tcBorders>
          </w:tcPr>
          <w:p w14:paraId="35CBBC3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2,404</w:t>
            </w:r>
          </w:p>
        </w:tc>
        <w:tc>
          <w:tcPr>
            <w:tcW w:w="992" w:type="dxa"/>
            <w:tcBorders>
              <w:bottom w:val="single" w:sz="12" w:space="0" w:color="auto"/>
            </w:tcBorders>
          </w:tcPr>
          <w:p w14:paraId="63FF7B1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w:t>
            </w:r>
          </w:p>
        </w:tc>
        <w:tc>
          <w:tcPr>
            <w:tcW w:w="993" w:type="dxa"/>
            <w:tcBorders>
              <w:bottom w:val="single" w:sz="12" w:space="0" w:color="auto"/>
            </w:tcBorders>
          </w:tcPr>
          <w:p w14:paraId="5B2212A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1,76</w:t>
            </w:r>
          </w:p>
        </w:tc>
        <w:tc>
          <w:tcPr>
            <w:tcW w:w="992" w:type="dxa"/>
            <w:tcBorders>
              <w:bottom w:val="single" w:sz="12" w:space="0" w:color="auto"/>
            </w:tcBorders>
          </w:tcPr>
          <w:p w14:paraId="4532365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3,54</w:t>
            </w:r>
          </w:p>
        </w:tc>
        <w:tc>
          <w:tcPr>
            <w:tcW w:w="992" w:type="dxa"/>
            <w:tcBorders>
              <w:bottom w:val="single" w:sz="12" w:space="0" w:color="auto"/>
            </w:tcBorders>
          </w:tcPr>
          <w:p w14:paraId="325C28E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1,674</w:t>
            </w:r>
          </w:p>
        </w:tc>
        <w:tc>
          <w:tcPr>
            <w:tcW w:w="992" w:type="dxa"/>
            <w:tcBorders>
              <w:bottom w:val="single" w:sz="12" w:space="0" w:color="auto"/>
            </w:tcBorders>
          </w:tcPr>
          <w:p w14:paraId="149A430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1,277</w:t>
            </w:r>
          </w:p>
        </w:tc>
      </w:tr>
    </w:tbl>
    <w:p w14:paraId="234E080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Эксполуатационная оценка</w:t>
      </w:r>
    </w:p>
    <w:p w14:paraId="0396208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 в эксплуатации значительно сложнее МиГ-3 серийного завода № 1. Моторные капоты не имеют люков для проверки зарядки с-та маслом и воддой. Для проверки необходимо снимать весь верхний мотокапот, что требует много времени и обязательно двух лиц</w:t>
      </w:r>
    </w:p>
    <w:p w14:paraId="316B835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После полета с-т прилетает весь в масле от кока винта до костыля. Масло выбивает через уплотнение между носком вала редуктора и картером. Мал хвостовой лючек, что не позволяет тщательно осмотреть хвостовую часть и костыль</w:t>
      </w:r>
    </w:p>
    <w:p w14:paraId="04994F7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Подписал ст т-л Безбатенко 11 августа 1943</w:t>
      </w:r>
    </w:p>
    <w:p w14:paraId="088AFD1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Вычеркнуто Лосюковым:</w:t>
      </w:r>
    </w:p>
    <w:p w14:paraId="571C72A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 выполнено постановление ГКО № 2946 от 26 февраля 1943</w:t>
      </w:r>
    </w:p>
    <w:p w14:paraId="7966A6C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 скорость - 670 км/час - получено 656</w:t>
      </w:r>
    </w:p>
    <w:p w14:paraId="7219697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Практический потолок - 12500 - получено 11900</w:t>
      </w:r>
    </w:p>
    <w:p w14:paraId="53F03BE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Время набора 10000 - 13 - получено 15,7</w:t>
      </w:r>
    </w:p>
    <w:p w14:paraId="4237950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Полетный вес 3100 - получено 3260</w:t>
      </w:r>
    </w:p>
    <w:p w14:paraId="695D855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Вместо этого написал:</w:t>
      </w:r>
    </w:p>
    <w:p w14:paraId="43D112E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 заключения:</w:t>
      </w:r>
    </w:p>
    <w:p w14:paraId="46CE050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Полученные данные испытаний э-ра с-та МиГ-3 с АМ-35А (улучшенного) и выявленные при испытаниях дефекты не дают основания для постановки вопроса о возобновлении серийной постройки этого с-та</w:t>
      </w:r>
    </w:p>
    <w:p w14:paraId="68A3955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вычеркнул: о недоведенности темп. Режима, наличии вибрации ХО и потери эффективности рулей на посадке</w:t>
      </w:r>
    </w:p>
    <w:p w14:paraId="66A5F6F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Акт разослать: ГИ ВВС, ГК А.И.М.</w:t>
      </w:r>
    </w:p>
    <w:p w14:paraId="0801187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Выводы подписаны 11 августа Кочетковым, Хомяковым</w:t>
      </w:r>
    </w:p>
    <w:p w14:paraId="2D14247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Выводы (от руки Лосюковым):</w:t>
      </w:r>
    </w:p>
    <w:p w14:paraId="78C7822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Испытанный экз. с-та дали следующие отступления от цифр, заданных Постановлением ГОКО</w:t>
      </w:r>
    </w:p>
    <w:p w14:paraId="18DA0B3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 скорость - 670 км/час - получено 656</w:t>
      </w:r>
    </w:p>
    <w:p w14:paraId="7FECCAB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Практический потолок - 12500 - получено 11900</w:t>
      </w:r>
    </w:p>
    <w:p w14:paraId="3A28CB5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Время набора 10000 - 13 - получено 15,7</w:t>
      </w:r>
    </w:p>
    <w:p w14:paraId="4A0E40F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Полетный вес 3100 - получено 3260</w:t>
      </w:r>
    </w:p>
    <w:p w14:paraId="1FE02F6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Отзывы л и техн. Состава 12 гиап, эксплуатирующих улучшенные МиГ-3 с АМ-35А</w:t>
      </w:r>
    </w:p>
    <w:p w14:paraId="7688830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С-ты МиГ-3Д постройки завода № 155 № 01, 0,3, 04 и 06 прибыли в эксплуатацию в августе 1943. Оценки отрицательные (не в боевых условиях) (798,3).</w:t>
      </w:r>
    </w:p>
    <w:p w14:paraId="6E1764E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85F49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февраля 1944 г. после возвращения из НИИ ВВС на И-220 №01 провели специальные испытания с целью определения незначительный бафтинг хвостового оперения и явление сваливания на крыло при полетах на больших углах атаки - недостатков, выявленных на гос. испытаниях (5669).</w:t>
      </w:r>
    </w:p>
    <w:p w14:paraId="380416A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E5AC1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фераля 1944 года Макетная комиссия под председательством генерала ИАС А.А.Лапина, назначенная приказом ГУ ИАС КА 3 февраля 1944 для рассмотрения проекта и макета модифицированного Пе-8 4М-82ФН ТК-3, утвердила основное оборудование и его размещение. Конкретные требования комиссии по перекомпоновке оборудования выполнялись в присутствии макетной комиссии (7685).</w:t>
      </w:r>
    </w:p>
    <w:p w14:paraId="790769E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77DA8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8 февраля 1944 Макетная комиссия под председательством генерала А.А. Лапина протоколом утвердила комплектацию оборудования и его размещение в новой носовой и средней частей фюзеляжа Пе-8, макет которой был закончен к 15 января 1944 г. Рассмотрение проекта в НКАП и последовавшее за ним постановление ГКО от 20 февраля 1944 г. потребовало его дальнейших доработок. В частности, окончательно остановились на мотоустановке с ТК-3, кроме того, добавилось требование к усилению огневой защиты спереди-снизу (по предложению самого Незваля) (11996).</w:t>
      </w:r>
    </w:p>
    <w:p w14:paraId="0D074BA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6BEF157F" w14:textId="77777777" w:rsidR="0035263A" w:rsidRPr="007224C3" w:rsidRDefault="0035263A" w:rsidP="007224C3">
      <w:pPr>
        <w:pStyle w:val="ae"/>
        <w:shd w:val="clear" w:color="auto" w:fill="FFFFFF"/>
        <w:spacing w:before="0" w:after="0"/>
        <w:jc w:val="both"/>
        <w:rPr>
          <w:color w:val="000000" w:themeColor="text1"/>
          <w:sz w:val="16"/>
          <w:szCs w:val="16"/>
        </w:rPr>
      </w:pPr>
      <w:r w:rsidRPr="007224C3">
        <w:rPr>
          <w:color w:val="000000" w:themeColor="text1"/>
          <w:sz w:val="16"/>
          <w:szCs w:val="16"/>
        </w:rPr>
        <w:t>8 февраля 1944 года назначенная 3 февраля 1944 года Приказом ГУ ИАС КА макетная комиссия под председательством генерала ИАС А.А.Лапина, которая рассмотрела макет Пе-8, соответствующим протоколом от утвердила основное оборудование и его размещение. Конкретные требования комиссии по перекомпоновке оборудования выполнялись в присутствии макетной комиссии (12187).</w:t>
      </w:r>
    </w:p>
    <w:p w14:paraId="4E188752" w14:textId="77777777" w:rsidR="0035263A" w:rsidRPr="007224C3" w:rsidRDefault="0035263A" w:rsidP="007224C3">
      <w:pPr>
        <w:pStyle w:val="ae"/>
        <w:shd w:val="clear" w:color="auto" w:fill="FFFFFF"/>
        <w:spacing w:before="0" w:after="0"/>
        <w:jc w:val="both"/>
        <w:rPr>
          <w:color w:val="000000" w:themeColor="text1"/>
          <w:sz w:val="16"/>
          <w:szCs w:val="16"/>
        </w:rPr>
      </w:pPr>
    </w:p>
    <w:p w14:paraId="1E0C3B1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февраля 1944 года вышел приказ НКАП</w:t>
      </w:r>
    </w:p>
    <w:p w14:paraId="5642D2B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Утвердить директором завода № 213 Гоцеридзе М.С. (директора завода № 122), освободить Березина М.Д. (8925)</w:t>
      </w:r>
    </w:p>
    <w:p w14:paraId="5C99B02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06EE6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февраля 1944 года Постановлением ГОКО № 5201сс и 28 февраля 1944 года приказом по НКАП № 149сс от НИИ-3 при СНК передан в систему НКАП и перенаименован НИИ-1 НКАП (8947).</w:t>
      </w:r>
    </w:p>
    <w:p w14:paraId="17F4CE6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9EBE87"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55FFFF9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8FDD0D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февраля 1944 г. была подготовлена ДОКЛАДНАЯ ЗАПИСКА КОМАНДУЮЩЕГО БТ и МВ КА ПРЕДСЕДАТЕЛЮ ГКО МАРШАЛУ СОВЕТСКОГО СОЮЗА И.В. СТАЛИНУ ПО ВОПРОСУ ПЕРЕВООРУЖЕНИЯ ТАНКОВ Т-34</w:t>
      </w:r>
    </w:p>
    <w:p w14:paraId="1C41F21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Проведенными, согласно Постановления ГОКО №4776 от 15.12.1943 г. в период с 27 по 31 дека</w:t>
      </w:r>
      <w:r w:rsidRPr="007224C3">
        <w:rPr>
          <w:rFonts w:ascii="Times New Roman" w:hAnsi="Times New Roman"/>
          <w:color w:val="000000" w:themeColor="text1"/>
          <w:sz w:val="16"/>
          <w:szCs w:val="16"/>
        </w:rPr>
        <w:softHyphen/>
        <w:t>бря 1943 г. на Гороховецком АНИОПе, испытаниями опытных образцов 85-мм танковых пушек ЛБ-1, С-50 и С-53, определена возможность установки 85-мм пушки С-53 в серийном танке Т-34.</w:t>
      </w:r>
    </w:p>
    <w:p w14:paraId="28F2483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своем заключении комиссия совершенно правильно отмечает, что установка 85-мм пушки в танке Т-34 со штатным погоном (диаметр погона 1420 мм) возможна лишь как временная мера, так как условия работы экипажа в танке с этой пушкой значительно затруднены.</w:t>
      </w:r>
    </w:p>
    <w:p w14:paraId="71C8F4E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Кроме того, при этой пушке в башне танка могут стесненно работать только два человека, следо</w:t>
      </w:r>
      <w:r w:rsidRPr="007224C3">
        <w:rPr>
          <w:rFonts w:ascii="Times New Roman" w:hAnsi="Times New Roman"/>
          <w:color w:val="000000" w:themeColor="text1"/>
          <w:sz w:val="16"/>
          <w:szCs w:val="16"/>
        </w:rPr>
        <w:softHyphen/>
        <w:t>вательно, разместить там третьего человека — командира танка невозможно.</w:t>
      </w:r>
    </w:p>
    <w:p w14:paraId="4567AE4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Отсутствие командира танка в башне, который обычно ведет наблюдение за полем боя и кор</w:t>
      </w:r>
      <w:r w:rsidRPr="007224C3">
        <w:rPr>
          <w:rFonts w:ascii="Times New Roman" w:hAnsi="Times New Roman"/>
          <w:color w:val="000000" w:themeColor="text1"/>
          <w:sz w:val="16"/>
          <w:szCs w:val="16"/>
        </w:rPr>
        <w:softHyphen/>
        <w:t>ректировку огня, неизбежно отразится на том, что мощное вооружение танка не будет полностью использовано.</w:t>
      </w:r>
    </w:p>
    <w:p w14:paraId="3596103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Дальнейшие работы по повышению меткости стрельбы из танка Т-34 (установка стабилизаторов пушек и механизмов поворота башен, позволяющих получить плавную наводку), при штатном диа</w:t>
      </w:r>
      <w:r w:rsidRPr="007224C3">
        <w:rPr>
          <w:rFonts w:ascii="Times New Roman" w:hAnsi="Times New Roman"/>
          <w:color w:val="000000" w:themeColor="text1"/>
          <w:sz w:val="16"/>
          <w:szCs w:val="16"/>
        </w:rPr>
        <w:softHyphen/>
        <w:t>метре погона башни, проводить невозможно.</w:t>
      </w:r>
    </w:p>
    <w:p w14:paraId="58F9FFA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Считаю необходимым, параллельно с установкой 85-мм пушек в башни танков Т-34 со штатным погоном, немедленно приступить к организации производства танков Т-34 с расширенной башней, имеющей диаметр погона в свету минимум 1600 мм. Причем, расширенные башни должны позво</w:t>
      </w:r>
      <w:r w:rsidRPr="007224C3">
        <w:rPr>
          <w:rFonts w:ascii="Times New Roman" w:hAnsi="Times New Roman"/>
          <w:color w:val="000000" w:themeColor="text1"/>
          <w:sz w:val="16"/>
          <w:szCs w:val="16"/>
        </w:rPr>
        <w:softHyphen/>
        <w:t>лять одновременную работу в них 3-х человек.</w:t>
      </w:r>
    </w:p>
    <w:p w14:paraId="09D271E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Производство этих танков необходимо организовать так, чтобы не позднее 1 мая 1944 года все танковые заводы НКТП выпускали танки только с расширенным погоном башни.</w:t>
      </w:r>
    </w:p>
    <w:p w14:paraId="6969886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вооружения 85-мм пушкой танков Т-34 со штатным погоном (до полного перехода на про</w:t>
      </w:r>
      <w:r w:rsidRPr="007224C3">
        <w:rPr>
          <w:rFonts w:ascii="Times New Roman" w:hAnsi="Times New Roman"/>
          <w:color w:val="000000" w:themeColor="text1"/>
          <w:sz w:val="16"/>
          <w:szCs w:val="16"/>
        </w:rPr>
        <w:softHyphen/>
        <w:t>изводство башен с расширенным погоном), прошу Ваших указаний Наркомату вооружения об обе</w:t>
      </w:r>
      <w:r w:rsidRPr="007224C3">
        <w:rPr>
          <w:rFonts w:ascii="Times New Roman" w:hAnsi="Times New Roman"/>
          <w:color w:val="000000" w:themeColor="text1"/>
          <w:sz w:val="16"/>
          <w:szCs w:val="16"/>
        </w:rPr>
        <w:softHyphen/>
        <w:t>спечении этих танков прицелами ломающегося типа, так как работа стреляющего, при наличии существующего прицела «ТОП», значительно затруднена.</w:t>
      </w:r>
    </w:p>
    <w:p w14:paraId="10A1F80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Прилагаю копию заключения Государственной комиссии по испытанию 85-мм танковых пушек.</w:t>
      </w:r>
    </w:p>
    <w:p w14:paraId="30B5425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Прошу Ваших указаний.</w:t>
      </w:r>
    </w:p>
    <w:p w14:paraId="34BEF1F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Генерал-полковник танковых войск Федоренко</w:t>
      </w:r>
    </w:p>
    <w:p w14:paraId="1C55CCA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Генерал-лейтенант танковых войск Бирюков</w:t>
      </w:r>
    </w:p>
    <w:p w14:paraId="2298EB6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38. Оп. 11355. Д. 2224. Л. 42. Копия (11403).</w:t>
      </w:r>
    </w:p>
    <w:p w14:paraId="5F8C766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AA679E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февраля 1944 г. была подготовлена СПРАВКА-ДОКЛАД НАЧАЛЬНИКА 1 -го ОТДЕЛА НАЧАЛЬНИКУ ШТАБА ГАВТУ КА ПО ВОПРОСУ ВЫДЕЛЕНИЯ АВТОБЕНЗИНА</w:t>
      </w:r>
    </w:p>
    <w:p w14:paraId="4F9E4BE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Управлением снабжения горючим КА на январь 1944 года для всех фронтов выделено 97480 тонн автобензина, что в среднем составляет 350 килограмм или 8,3 заправки горючего на одну исправную автомашину.</w:t>
      </w:r>
    </w:p>
    <w:p w14:paraId="06D2F2B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подсчете по отдельным фронтам, количество отпущенного горючего составляет:</w:t>
      </w:r>
    </w:p>
    <w:tbl>
      <w:tblPr>
        <w:tblW w:w="0" w:type="auto"/>
        <w:tblInd w:w="40" w:type="dxa"/>
        <w:tblLayout w:type="fixed"/>
        <w:tblCellMar>
          <w:left w:w="40" w:type="dxa"/>
          <w:right w:w="40" w:type="dxa"/>
        </w:tblCellMar>
        <w:tblLook w:val="0000" w:firstRow="0" w:lastRow="0" w:firstColumn="0" w:lastColumn="0" w:noHBand="0" w:noVBand="0"/>
      </w:tblPr>
      <w:tblGrid>
        <w:gridCol w:w="2554"/>
        <w:gridCol w:w="1286"/>
        <w:gridCol w:w="1286"/>
        <w:gridCol w:w="1277"/>
        <w:gridCol w:w="1306"/>
      </w:tblGrid>
      <w:tr w:rsidR="005106D0" w:rsidRPr="007224C3" w14:paraId="214010A0" w14:textId="77777777">
        <w:trPr>
          <w:trHeight w:val="221"/>
        </w:trPr>
        <w:tc>
          <w:tcPr>
            <w:tcW w:w="2554" w:type="dxa"/>
            <w:tcBorders>
              <w:top w:val="single" w:sz="6" w:space="0" w:color="auto"/>
              <w:left w:val="single" w:sz="6" w:space="0" w:color="auto"/>
              <w:bottom w:val="single" w:sz="6" w:space="0" w:color="auto"/>
              <w:right w:val="single" w:sz="6" w:space="0" w:color="auto"/>
            </w:tcBorders>
          </w:tcPr>
          <w:p w14:paraId="65B59AB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FC2DB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1F72FF9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Карельский</w:t>
            </w:r>
          </w:p>
          <w:p w14:paraId="19C4984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2612CAC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2-й Украинский</w:t>
            </w:r>
          </w:p>
          <w:p w14:paraId="39F9750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320C683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Белорусский</w:t>
            </w:r>
          </w:p>
          <w:p w14:paraId="2107B0F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3F1C040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1-й Украинский</w:t>
            </w:r>
          </w:p>
          <w:p w14:paraId="30D2C79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B5BE180" w14:textId="77777777">
        <w:trPr>
          <w:trHeight w:val="451"/>
        </w:trPr>
        <w:tc>
          <w:tcPr>
            <w:tcW w:w="2554" w:type="dxa"/>
            <w:tcBorders>
              <w:top w:val="single" w:sz="6" w:space="0" w:color="auto"/>
              <w:left w:val="single" w:sz="6" w:space="0" w:color="auto"/>
              <w:bottom w:val="single" w:sz="6" w:space="0" w:color="auto"/>
              <w:right w:val="single" w:sz="6" w:space="0" w:color="auto"/>
            </w:tcBorders>
          </w:tcPr>
          <w:p w14:paraId="31CA8E0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Количество отпущенных заправок на январь 1944 г.</w:t>
            </w:r>
          </w:p>
          <w:p w14:paraId="42B6D24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7AAE72D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w:t>
            </w:r>
          </w:p>
          <w:p w14:paraId="11789C0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5B060D4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9,5</w:t>
            </w:r>
          </w:p>
          <w:p w14:paraId="123970F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40AF380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10,5</w:t>
            </w:r>
          </w:p>
          <w:p w14:paraId="1D043F6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47011F5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w:t>
            </w:r>
          </w:p>
          <w:p w14:paraId="111D47E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7EE6C60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Исходя из указанных отпущенных лимитов, машины на приведенном примере для основных отечественных марок могут эксплуатироваться в январе месяце:</w:t>
      </w:r>
    </w:p>
    <w:tbl>
      <w:tblPr>
        <w:tblW w:w="0" w:type="auto"/>
        <w:tblInd w:w="40" w:type="dxa"/>
        <w:tblLayout w:type="fixed"/>
        <w:tblCellMar>
          <w:left w:w="40" w:type="dxa"/>
          <w:right w:w="40" w:type="dxa"/>
        </w:tblCellMar>
        <w:tblLook w:val="0000" w:firstRow="0" w:lastRow="0" w:firstColumn="0" w:lastColumn="0" w:noHBand="0" w:noVBand="0"/>
      </w:tblPr>
      <w:tblGrid>
        <w:gridCol w:w="1853"/>
        <w:gridCol w:w="1402"/>
        <w:gridCol w:w="1402"/>
        <w:gridCol w:w="1402"/>
        <w:gridCol w:w="1411"/>
      </w:tblGrid>
      <w:tr w:rsidR="005106D0" w:rsidRPr="007224C3" w14:paraId="07399EF4" w14:textId="77777777">
        <w:trPr>
          <w:trHeight w:val="221"/>
        </w:trPr>
        <w:tc>
          <w:tcPr>
            <w:tcW w:w="1853" w:type="dxa"/>
            <w:tcBorders>
              <w:top w:val="single" w:sz="6" w:space="0" w:color="auto"/>
              <w:left w:val="single" w:sz="6" w:space="0" w:color="auto"/>
              <w:bottom w:val="nil"/>
              <w:right w:val="single" w:sz="6" w:space="0" w:color="auto"/>
            </w:tcBorders>
          </w:tcPr>
          <w:p w14:paraId="76474B1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Марки и тип машин</w:t>
            </w:r>
          </w:p>
          <w:p w14:paraId="2819724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17" w:type="dxa"/>
            <w:gridSpan w:val="4"/>
            <w:tcBorders>
              <w:top w:val="single" w:sz="6" w:space="0" w:color="auto"/>
              <w:left w:val="single" w:sz="6" w:space="0" w:color="auto"/>
              <w:bottom w:val="single" w:sz="6" w:space="0" w:color="auto"/>
              <w:right w:val="single" w:sz="6" w:space="0" w:color="auto"/>
            </w:tcBorders>
          </w:tcPr>
          <w:p w14:paraId="7341C01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Запас хода в километрах на:</w:t>
            </w:r>
          </w:p>
          <w:p w14:paraId="3C7247C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CF0EBBC" w14:textId="77777777">
        <w:trPr>
          <w:trHeight w:val="221"/>
        </w:trPr>
        <w:tc>
          <w:tcPr>
            <w:tcW w:w="1853" w:type="dxa"/>
            <w:tcBorders>
              <w:top w:val="nil"/>
              <w:left w:val="single" w:sz="6" w:space="0" w:color="auto"/>
              <w:bottom w:val="single" w:sz="6" w:space="0" w:color="auto"/>
              <w:right w:val="single" w:sz="6" w:space="0" w:color="auto"/>
            </w:tcBorders>
          </w:tcPr>
          <w:p w14:paraId="4893A67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636538E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3D44FFC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заправки</w:t>
            </w:r>
          </w:p>
          <w:p w14:paraId="1B15A44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284B0A1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8,3 заправки</w:t>
            </w:r>
          </w:p>
          <w:p w14:paraId="61CFAC5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77143D9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10,5 заправки</w:t>
            </w:r>
          </w:p>
          <w:p w14:paraId="5E8C4AA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4718154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заправок</w:t>
            </w:r>
          </w:p>
          <w:p w14:paraId="01F4F1E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107161C" w14:textId="77777777">
        <w:trPr>
          <w:trHeight w:val="230"/>
        </w:trPr>
        <w:tc>
          <w:tcPr>
            <w:tcW w:w="1853" w:type="dxa"/>
            <w:tcBorders>
              <w:top w:val="single" w:sz="6" w:space="0" w:color="auto"/>
              <w:left w:val="single" w:sz="6" w:space="0" w:color="auto"/>
              <w:bottom w:val="single" w:sz="6" w:space="0" w:color="auto"/>
              <w:right w:val="single" w:sz="6" w:space="0" w:color="auto"/>
            </w:tcBorders>
          </w:tcPr>
          <w:p w14:paraId="3190435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ГАЗ-АА</w:t>
            </w:r>
          </w:p>
          <w:p w14:paraId="067472B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3C61B7F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400</w:t>
            </w:r>
          </w:p>
          <w:p w14:paraId="0BDB3E4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74F0B81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1460</w:t>
            </w:r>
          </w:p>
          <w:p w14:paraId="51D3B1E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415C0F6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1850</w:t>
            </w:r>
          </w:p>
          <w:p w14:paraId="03C8D11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4A0B43C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2100</w:t>
            </w:r>
          </w:p>
          <w:p w14:paraId="2D3478B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C43E2B3" w14:textId="77777777">
        <w:trPr>
          <w:trHeight w:val="250"/>
        </w:trPr>
        <w:tc>
          <w:tcPr>
            <w:tcW w:w="1853" w:type="dxa"/>
            <w:tcBorders>
              <w:top w:val="single" w:sz="6" w:space="0" w:color="auto"/>
              <w:left w:val="single" w:sz="6" w:space="0" w:color="auto"/>
              <w:bottom w:val="single" w:sz="6" w:space="0" w:color="auto"/>
              <w:right w:val="single" w:sz="6" w:space="0" w:color="auto"/>
            </w:tcBorders>
          </w:tcPr>
          <w:p w14:paraId="17E81B0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ЗИС-5</w:t>
            </w:r>
          </w:p>
          <w:p w14:paraId="3E61696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3A15856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360</w:t>
            </w:r>
          </w:p>
          <w:p w14:paraId="66ABE3A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6B4AA8E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1320</w:t>
            </w:r>
          </w:p>
          <w:p w14:paraId="2A3EC18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4493D5A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1680</w:t>
            </w:r>
          </w:p>
          <w:p w14:paraId="7679221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201CC65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1900</w:t>
            </w:r>
          </w:p>
          <w:p w14:paraId="0AF0A05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635CD69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Следовательно, лимитированного горючего далеко недостаточно для того, чтобы эксплуати</w:t>
      </w:r>
      <w:r w:rsidRPr="007224C3">
        <w:rPr>
          <w:rFonts w:ascii="Times New Roman" w:hAnsi="Times New Roman"/>
          <w:color w:val="000000" w:themeColor="text1"/>
          <w:sz w:val="16"/>
          <w:szCs w:val="16"/>
        </w:rPr>
        <w:softHyphen/>
        <w:t>ровать автомашины хотя бы в пределах 100 километров в сутки, т.е. 2700 километров в месяц при условии выведения 3 полных дней на проведение профилактического технического обслуживания (смотры №1,2).</w:t>
      </w:r>
    </w:p>
    <w:p w14:paraId="7BA1A92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Таким образом, несмотря на некомплект автотранспорта во фронтах, по количеству отпускае</w:t>
      </w:r>
      <w:r w:rsidRPr="007224C3">
        <w:rPr>
          <w:rFonts w:ascii="Times New Roman" w:hAnsi="Times New Roman"/>
          <w:color w:val="000000" w:themeColor="text1"/>
          <w:sz w:val="16"/>
          <w:szCs w:val="16"/>
        </w:rPr>
        <w:softHyphen/>
        <w:t>мого горючего автомобильный парк не может быть эффективно использован и на запланированных количествах горючего может эксплуатироваться значительно меньшее количество автомашин (в среднем 50-60 % наличного парка исправных машин).</w:t>
      </w:r>
    </w:p>
    <w:p w14:paraId="03E3743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1 отдела ГАВТУ КА инженер-полковник</w:t>
      </w:r>
    </w:p>
    <w:p w14:paraId="47EE589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41. Оп. 11584. Д. 115. Л. 121. Подлинник (11403).</w:t>
      </w:r>
    </w:p>
    <w:p w14:paraId="1DC9874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5864C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февраля 1944 вышло Распоряжение ГКО № 5129. О поставке и перевозке мела, талька, каолина и асбеста для предприятий НКРП. РГАНИР, Фонд ГКО, д. 206, лл. 115-116 (11012).</w:t>
      </w:r>
    </w:p>
    <w:p w14:paraId="751EC49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3867B0D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февраля 1944 вышло Постановление ГКО № 5130 О мероприятиях по развитию добычи угля в Печорском угольном бассейне в 1944 г. РГАНИР, Фонд ГКО, д. 206, лл. 117-123,124-139 (11012).</w:t>
      </w:r>
    </w:p>
    <w:p w14:paraId="7CF7EA9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4DEE9AEF"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февраля 1944 года приказ № 69с НКВ</w:t>
      </w:r>
    </w:p>
    <w:p w14:paraId="55BAB025"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 исполнение распоряжения СНК за № 2324-рс от 6 февраля 1944 года о передаче завода № 352 в систему НКПС (6418, 47).</w:t>
      </w:r>
    </w:p>
    <w:p w14:paraId="760455CD"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F5C9BED"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3ED68FB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854374C" w14:textId="77777777" w:rsidR="00777EFD" w:rsidRPr="007224C3" w:rsidRDefault="00777EFD"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8 февраля</w:t>
      </w:r>
      <w:r w:rsidRPr="007224C3">
        <w:rPr>
          <w:rFonts w:ascii="Times New Roman" w:hAnsi="Times New Roman"/>
          <w:color w:val="000000" w:themeColor="text1"/>
          <w:sz w:val="16"/>
          <w:szCs w:val="16"/>
        </w:rPr>
        <w:t xml:space="preserve"> в 1944 году оперативная сводка Совинформбюро:</w:t>
      </w:r>
    </w:p>
    <w:p w14:paraId="61DA33F3" w14:textId="77777777" w:rsidR="00777EFD" w:rsidRPr="007224C3" w:rsidRDefault="00777EF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8 февраля южнее Сиверский наши войска с боями продвигались вперёд и заняли несколько населённых пунктов, в том числе Молосово, Петрушина Гора, Торковичи, Овиновичи, Борщёво, Кашицы и железнодорожную станцию Торковичи.</w:t>
      </w:r>
    </w:p>
    <w:p w14:paraId="0B07ED36" w14:textId="77777777" w:rsidR="00777EFD" w:rsidRPr="007224C3" w:rsidRDefault="00777EF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Севернее и северо-западнее города Новосокольники наши войска продолжали вестинаступательные бои, в ходе которых заняли несколько населённых пунктов.</w:t>
      </w:r>
    </w:p>
    <w:p w14:paraId="4A23F4BA" w14:textId="77777777" w:rsidR="00777EFD" w:rsidRPr="007224C3" w:rsidRDefault="00777EF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Севернее Звенигородка и Шпола наши войска продолжали вести бои по уничтожению окружённой группировки противника и, сжимая кольцо окружения, овладели населёнными пунктами Орловец, Ксаверовка, Заводянка, Хлыстуновка, Валява, Емчиха, Лозки, Воробиевка, Слобода Мироновка. Одновременно западнее Звенигородканаши войска успешно отражали атаки танков и пехоты противника, стремившихся пробиться на помощь к окружённой группировке.</w:t>
      </w:r>
    </w:p>
    <w:p w14:paraId="607061AE" w14:textId="77777777" w:rsidR="00777EFD" w:rsidRPr="007224C3" w:rsidRDefault="00777EF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3-го Украинского фронта при содействии с фланга войск 4-го Украинского фронта, развивая наступление, разбили Никопольскую группировку немцев и 8 февраля штурмом овладели городом Никополь — важным промышленным центром Украины.</w:t>
      </w:r>
    </w:p>
    <w:p w14:paraId="52602F72" w14:textId="77777777" w:rsidR="00777EFD" w:rsidRPr="007224C3" w:rsidRDefault="00777EF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4-го Украинского фронта, прорвав сильно укреплённую оборону немцев на их плацдарме южнее города Никополь, на левом берегу Днепра, за четыре дня наступательных боёв нанесли тяжёлое поражение семи пехотным дивизиям противникаи вышли к реке Днепр на всём протяжении плацдарма. В результате этой операции наши войска полностью ликвидировали оперативно важный плацдарм немцев на левом берегу Днепра протяжением 120 километров по фронту и 35 километров в глубину. В ходе наступления наши войска овладели районными центрами Запорожской областигородом Каменка, Большая Лепетиха и заняли более 40 других населённых пунктов, среди которых крупные населённые пункты Ивановское, Новая Днепровка, Новоеводяное, Днепровка, Водяное, Большая Знаменка, Верхний Рогачик, Карай-Дубина,Ушкалка, Бабино, Нижний Рогачик, Малая Лепетиха. В этих боях нашими войсками уничтожено: танков — 53, орудий разного калибра — 217, миномётов — 118,пулемётов — 370, автомашин — 1.277, повозок с военным имуществом — 570. Противник оставил на поле боя свыше 15.000 трупов солдат и офицеров. Нашими войсками захвачены следующие трофеи: танков — 24, орудий разного калибра — 392, миномётов — 180, пулемётов — 473, винтовок и автоматов — более 4.000, автомашин— 1.686, тракторов и тягачей — 86, мотоциклов — 181, радиостанций — 18, повозок с грузами военного имущества — 1.018, складов с боеприпасами, продовольствием и другим военным имуществом — 20. Взято в плен более 2.000 немецких солдат и офицеров.</w:t>
      </w:r>
    </w:p>
    <w:p w14:paraId="4F08FD15" w14:textId="77777777" w:rsidR="00777EFD" w:rsidRPr="007224C3" w:rsidRDefault="00777EF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7 февраля наши войска на всех фронтах подбили и уничтожили 51 немецкий танк. В воздушных боях и огнём зенитной артиллерии сбито 66 самолётов противника.</w:t>
      </w:r>
    </w:p>
    <w:p w14:paraId="26E1F236" w14:textId="77777777" w:rsidR="00777EFD" w:rsidRPr="007224C3" w:rsidRDefault="00777EF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Южнее станции Сиверский ваши войска с боями заняли несколько населённых пунктов. Части Н-ского соединения, преодолевая сопротивление противника, овладели железнодорожной станцией и населённым пунктом Торковичи. За день боёв уничтожено более 800 немецких солдат и офицеров.</w:t>
      </w:r>
    </w:p>
    <w:p w14:paraId="4515C474" w14:textId="77777777" w:rsidR="00777EFD" w:rsidRPr="007224C3" w:rsidRDefault="00777EF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Наша авиация наносила бомбо-штурмовые удары по войскам и коммуникациям противника. Советские лётчики уничтожили до 200 автомашин и много повозок сгрузами, взорвали два железнодорожных эшелона, из них один эшелон с горючим, рассеяли и частью истребили до двух батальонов гитлеровцев.</w:t>
      </w:r>
    </w:p>
    <w:p w14:paraId="6F1E70E0" w14:textId="77777777" w:rsidR="00777EFD" w:rsidRPr="007224C3" w:rsidRDefault="00777EF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Севернее и северо-западнее города Новосокольники наши войска с боями продвигались вперёд. На одном участке немцы бросили в контратаку до полкапехоты. Гвардейцы Н-ского соединения отбили контратаку противника и, преследуя гитлеровцев, заняли несколько населённых пунктов. Уничтожено свыше батальона немецкой пехоты. Захвачены 2 танка, много винтовок и автоматов и 11 разных складов. Взяты пленные.</w:t>
      </w:r>
    </w:p>
    <w:p w14:paraId="7DDD404D" w14:textId="77777777" w:rsidR="00777EFD" w:rsidRPr="007224C3" w:rsidRDefault="00777EF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Севернее городов Звенигородка и Шпола наши войска продолжали сжимать кольцо окружения группировки войск противника. Части Н-ского соединения в результате ожесточённого боя выбили немцев из нескольких населённых пунктов. Уничтожено не менее 600 вражеских солдат и офицеров. Захвачены трофеи, в числе которых 28 орудий разного калибра. На другом участке советские бойцы в результате ночной атаки овладели одним сильно укреплённым населённым пунктом. Западнее Звенигородка немецкие танки и пехота вновь предприняли попытки пробиться к окружённой группировке. Наши войска отбросили противника, уничтожив при этом 34 танка и самоходных орудия.</w:t>
      </w:r>
    </w:p>
    <w:p w14:paraId="2BF8BECA" w14:textId="77777777" w:rsidR="00777EFD" w:rsidRPr="007224C3" w:rsidRDefault="00777EF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3-го Украинского фронта, развивая успешное наступление, ночью ворвались в город Никополь. Действуя штурмовыми отрядами, советские бойцы очищали от гитлеровцев улицу за улицей. Тем временем войска 4-го Украинскогофронта переправились через реку Днепр и нанесли немцам, оборонявшим Никополь, удар с тыла и фланга. Умелыми и энергичными действиями советские войска разгромили никопольскую группировку немцев и сегодня штурмом овладели городом Никополь. Захвачены большие трофеи, которые учитываются. В результате одержанной победы Красная Армия возвратила советской стране крупнейший промышленный центр Украины — Никопольский марганцевый район. Южнее города Апостолово наши войска продолжали вести наступательные бои и заняли несколько населённых пунктов. Захвачено у немцев 34 орудия, 75 автомашин, 3 крупных склада и другие трофеи.</w:t>
      </w:r>
    </w:p>
    <w:p w14:paraId="00BC05C2" w14:textId="77777777" w:rsidR="00777EFD" w:rsidRPr="007224C3" w:rsidRDefault="00777EF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4-го Украинского фронта несколько дней тому назад перешли в наступление и в результате ожесточённых боёв ликвидировали плацдарм противникана левом берегу Днепра, южнее города Никополь. Захваченные в плен немецкие солдаты сообщают, что недавно во всех ротах был зачитан приказ Гитлера, вкотором он требовал любой ценой удержать никопольский плацдарм. В приказе говорилось, что выполнение этой задачи будет иметь большое влияние на исход боёв на других участках Восточного фронта. Но случайно немцы построили в этом районе сильные укрепления. Оборонительный рубеж имел три ряда траншей и окопов, опоясанных проволочными заграждениями и минными полями. Особенно сильно были укреплены высоты и населённые пункты в районах, примыкающих к переправам черезДнепр.</w:t>
      </w:r>
    </w:p>
    <w:p w14:paraId="483583B2" w14:textId="77777777" w:rsidR="00777EFD" w:rsidRPr="007224C3" w:rsidRDefault="00777EF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Наши войска в ходе наступления прорвали оборону немцев, расчленили вражескиевойска на части и в ожесточённых боях разгромили семь пехотных дивизий противника. Большая группа немцев была загнана в Днепровские плавни и полностью уничтожена. Разбитые части противника устремились к переправам в район МалойЛепетихи и Большой Лепетихи. На переправах немцы были накрыты огнём нашей артиллерии и миномётов. Советские лётчики непрерывно бомбили и обстреливали из пулемётов гитлеровцев, пытавшихся перебраться на правый берег Днепра. Тысячи немецких солдат и офицеров утонули в реке. Сегодня утром наши войска заняли районный центр Запорожской области село Большая Лепетиха и тем самым завершили ликвидацию никопольского плацдарма немцев. Противник бросил много техники и военного имущества. Взято более 2 тысяч пленных.</w:t>
      </w:r>
    </w:p>
    <w:p w14:paraId="480A218D" w14:textId="77777777" w:rsidR="00777EFD" w:rsidRPr="007224C3" w:rsidRDefault="00777EF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Партизанский отряд, действующий в одном из районов Ленинградской области, совершил налёт на немецкий гарнизон в одном селе. Партизаны уничтожили 120 вражеских солдат и офицеров и освободили три тысячи советских граждан, которых немцы собирались угнать на каторгу в Германию.» (15034).</w:t>
      </w:r>
    </w:p>
    <w:p w14:paraId="47B5F404" w14:textId="77777777" w:rsidR="00777EFD" w:rsidRPr="007224C3" w:rsidRDefault="00777EFD" w:rsidP="007224C3">
      <w:pPr>
        <w:spacing w:after="0" w:line="240" w:lineRule="auto"/>
        <w:jc w:val="both"/>
        <w:rPr>
          <w:rFonts w:ascii="Times New Roman" w:hAnsi="Times New Roman"/>
          <w:color w:val="000000" w:themeColor="text1"/>
          <w:sz w:val="16"/>
          <w:szCs w:val="16"/>
        </w:rPr>
      </w:pPr>
    </w:p>
    <w:p w14:paraId="2A5F1678" w14:textId="77777777" w:rsidR="00777EFD" w:rsidRPr="007224C3" w:rsidRDefault="00777EFD"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8 февраля</w:t>
      </w:r>
      <w:r w:rsidRPr="007224C3">
        <w:rPr>
          <w:rFonts w:ascii="Times New Roman" w:hAnsi="Times New Roman"/>
          <w:color w:val="000000" w:themeColor="text1"/>
          <w:sz w:val="16"/>
          <w:szCs w:val="16"/>
        </w:rPr>
        <w:t xml:space="preserve"> в 1944 году советское командование предъявило немецким войскам, окруженным под Корсунь-Шевченковском, ультиматум с требованием капитуляции. Офицерам и солдатам, прекратившим сопротивление, гарантировалась жизнь и безопасность, а после войны – возвращение в Германию или любую иную страну по их желанию. Сдавшимся разрешалось сохранить военную форму, знаки различия, награды, личную собственность и ценности, а старшим офицерам – холодное оружие. Немецкое командование блокированных частей отвергло ультиматум (15034).</w:t>
      </w:r>
    </w:p>
    <w:p w14:paraId="1CEDCB58" w14:textId="77777777" w:rsidR="00777EFD" w:rsidRPr="007224C3" w:rsidRDefault="00777EFD" w:rsidP="007224C3">
      <w:pPr>
        <w:spacing w:after="0" w:line="240" w:lineRule="auto"/>
        <w:jc w:val="both"/>
        <w:rPr>
          <w:rFonts w:ascii="Times New Roman" w:hAnsi="Times New Roman"/>
          <w:color w:val="000000" w:themeColor="text1"/>
          <w:sz w:val="16"/>
          <w:szCs w:val="16"/>
        </w:rPr>
      </w:pPr>
    </w:p>
    <w:p w14:paraId="699EA8F6"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февраля 1944 советские войска освободили от фашистов Никополь (4962).</w:t>
      </w:r>
    </w:p>
    <w:p w14:paraId="06C4D5D7"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84C3ED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февраля 1944 ночным штурмом был освобожден Никополь (430,187).</w:t>
      </w:r>
    </w:p>
    <w:p w14:paraId="3014B97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1BFCD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February 8, 1944: German roops evacuate Nikopol in the Ukraine (3819).</w:t>
      </w:r>
    </w:p>
    <w:p w14:paraId="1AC0CD6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194D2D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февраля 1944 немцы, окруженные в Корсунь-Шевченковском котле, отвергли ультиматум и за 10 дней были уничтожены (2070,178).</w:t>
      </w:r>
    </w:p>
    <w:p w14:paraId="7568731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13369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8 по 16 февраля 1944 326 нбад 2ВА перевезла на По-2 для 2 и 6 ТА 49 т бензина, 65 т боеприпасов, 525 снаряда для Катюш совершив 822 вылета (518,167).</w:t>
      </w:r>
    </w:p>
    <w:p w14:paraId="5322B3A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52AAE3" w14:textId="77777777" w:rsidR="00777EFD"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7F72C085" w14:textId="77777777" w:rsidR="00777EFD" w:rsidRPr="007224C3" w:rsidRDefault="00777EFD"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D7A1710" w14:textId="77777777" w:rsidR="000227A2" w:rsidRPr="007224C3" w:rsidRDefault="000227A2"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8 февраля 1944 127 B-24 Liberators Восьмой армии ВВС в сопровождении 89 P-47 Thunderbolts Восьмой и Девятой армий ВВС атакуют место размещения ФАУ-1 оружия в Сиракуре и место запуска баллистических ракет V-2 в Ваттене, Франция (20373).</w:t>
      </w:r>
    </w:p>
    <w:p w14:paraId="6FD3702A" w14:textId="77777777" w:rsidR="000227A2" w:rsidRPr="007224C3" w:rsidRDefault="000227A2" w:rsidP="007224C3">
      <w:pPr>
        <w:spacing w:after="0" w:line="240" w:lineRule="auto"/>
        <w:jc w:val="both"/>
        <w:rPr>
          <w:rFonts w:ascii="Times New Roman" w:hAnsi="Times New Roman"/>
          <w:color w:val="0070C0"/>
          <w:sz w:val="16"/>
          <w:szCs w:val="16"/>
        </w:rPr>
      </w:pPr>
    </w:p>
    <w:p w14:paraId="1D82FF2C" w14:textId="77777777" w:rsidR="000227A2" w:rsidRPr="007224C3" w:rsidRDefault="000227A2"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8 февраля 1944 236 B-17 Flying Fortress Восьмой армии ВВС в сопровождении 77 истребителей P-38 Lightning, 435 P-47 и 41 P-51 Mustang атакуют железнодорожные сортировочные станции во Франкфурте-на-Майне, Германия, с потерей 13 B- 17, двух Р-38, трех Р-47 и четырех Р-51. Вместе бомбардировщики и истребители утверждают, что 17 немецких самолетов были сбиты, четыре, вероятно, сбиты и восемь повреждены в воздушном бою (20373).</w:t>
      </w:r>
    </w:p>
    <w:p w14:paraId="4583F940" w14:textId="77777777" w:rsidR="000227A2" w:rsidRPr="007224C3" w:rsidRDefault="000227A2" w:rsidP="007224C3">
      <w:pPr>
        <w:spacing w:after="0" w:line="240" w:lineRule="auto"/>
        <w:jc w:val="both"/>
        <w:rPr>
          <w:rFonts w:ascii="Times New Roman" w:hAnsi="Times New Roman"/>
          <w:color w:val="0070C0"/>
          <w:sz w:val="16"/>
          <w:szCs w:val="16"/>
        </w:rPr>
      </w:pPr>
    </w:p>
    <w:p w14:paraId="72FDE3EA" w14:textId="77777777" w:rsidR="000227A2" w:rsidRPr="007224C3" w:rsidRDefault="000227A2"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8-9 февраля (ночь) 1944 12 Ланкастеров Squadron No. 617 RAF Bomber Command стали пионерами низкого бомбометания в рейде на завод авиадвигателей Gnome и Рон в Лиможе, Франция. После выполнения трех пролетов над заводои, чтобы предупредить французских рабочиъ о необходимости разбежаться, Wing Commander Leonard Cheshire сьросил зажигательные бомбв с высоты от 50 до 100 футов (от 15 до 30 метров), чтобы пометить цели а остальные 11 бомбардировщиков сбрасывают по одной 12 000 фунтов (5443 кг) бомбе, 10 из которых попали в цель. RAF Pathfinder никогда не использует тахнику маркировки с низкой высоты (20373).</w:t>
      </w:r>
    </w:p>
    <w:p w14:paraId="111D75C8" w14:textId="77777777" w:rsidR="000227A2" w:rsidRPr="007224C3" w:rsidRDefault="000227A2" w:rsidP="007224C3">
      <w:pPr>
        <w:spacing w:after="0" w:line="240" w:lineRule="auto"/>
        <w:jc w:val="both"/>
        <w:rPr>
          <w:rFonts w:ascii="Times New Roman" w:hAnsi="Times New Roman"/>
          <w:color w:val="0070C0"/>
          <w:sz w:val="16"/>
          <w:szCs w:val="16"/>
        </w:rPr>
      </w:pPr>
    </w:p>
    <w:p w14:paraId="7050AA78" w14:textId="77777777" w:rsidR="00777EFD" w:rsidRPr="007224C3" w:rsidRDefault="00777EFD"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8 февраля</w:t>
      </w:r>
      <w:r w:rsidRPr="007224C3">
        <w:rPr>
          <w:rFonts w:ascii="Times New Roman" w:hAnsi="Times New Roman"/>
          <w:color w:val="000000" w:themeColor="text1"/>
          <w:sz w:val="16"/>
          <w:szCs w:val="16"/>
        </w:rPr>
        <w:t xml:space="preserve"> в 1944 году в заливе Сула (Крит) британской субмариной «HMS Sportsman» потоплено судно «Petrella» (1923 года постройки, 4785 брт, 115 м, 10 уз) - бывшее французское грузопассажирское судно «Aveyron». На борту находилось 3173 итальянских пленных. Судно тонуло медленно, но немцы-охранники заблокировали помещения, где находились пленные и расстреливали тех из них, кто пытался спастись. Покинуть судно удалось примерно 500 итальянцам, остальные погибли (были ли потери среди экипажа и охраны неизвестно) (15034).</w:t>
      </w:r>
    </w:p>
    <w:p w14:paraId="61A8BD0C" w14:textId="77777777" w:rsidR="00777EFD" w:rsidRPr="007224C3" w:rsidRDefault="00777EFD" w:rsidP="007224C3">
      <w:pPr>
        <w:spacing w:after="0" w:line="240" w:lineRule="auto"/>
        <w:jc w:val="both"/>
        <w:rPr>
          <w:rFonts w:ascii="Times New Roman" w:hAnsi="Times New Roman"/>
          <w:color w:val="000000" w:themeColor="text1"/>
          <w:sz w:val="16"/>
          <w:szCs w:val="16"/>
        </w:rPr>
      </w:pPr>
    </w:p>
    <w:p w14:paraId="21694E27"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lastRenderedPageBreak/>
        <w:t>Авиапромышленность:</w:t>
      </w:r>
    </w:p>
    <w:p w14:paraId="5FE7EB0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F2F987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февраля 1944 года начальник ЛИИ проф. Чесалов А.В. писал письмо N 95с зам. наркома Авиапрома Дементьеву П.В.</w:t>
      </w:r>
    </w:p>
    <w:p w14:paraId="3FF83CC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Направляю Вам отчет "О летных испытаниях серийного самолета Ла-5 ФН N 39210319 для определения влияния состава смеси на максимальную скорость.</w:t>
      </w:r>
    </w:p>
    <w:p w14:paraId="313FB52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Приложение: упомянутое на 17 листах маш. N 179.</w:t>
      </w:r>
    </w:p>
    <w:p w14:paraId="7416128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Отв. исполнители:</w:t>
      </w:r>
    </w:p>
    <w:p w14:paraId="0DD1B21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вед. инженер 1-й лаборатории Славов В.А.</w:t>
      </w:r>
    </w:p>
    <w:p w14:paraId="40A8F4B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вед. инженер 3-й лаборатории Кривенко В.А.</w:t>
      </w:r>
    </w:p>
    <w:p w14:paraId="2CC1EA3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вед. летчик Герой Советского Союза Машковский С.</w:t>
      </w:r>
    </w:p>
    <w:p w14:paraId="264283D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Цель испытаний</w:t>
      </w:r>
    </w:p>
    <w:p w14:paraId="60C7A1D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Определение влияния состава смеси на максимальные скорости полета самолета Ла-5 ФН.</w:t>
      </w:r>
    </w:p>
    <w:p w14:paraId="6599C3A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Объект испытаний</w:t>
      </w:r>
    </w:p>
    <w:p w14:paraId="56F396C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Испытания проводились на серийном самолете Ла-5 ФН N 39210319 производства завода N 21 июньского выпуска 1943 года с мотором М-82 ФН и винтом ВИШ-105 В диаметром 3,1 м (1821,68).</w:t>
      </w:r>
    </w:p>
    <w:p w14:paraId="59EBA06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75D9B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февраля 1944 был утвержден отчет по испытаниям У-2 лимузина 3ВА, сделанного в мастерских 3ВА по проекту Н.Н.П. ви Л.Н.Марьин и л А.В.Синельников (4542, 21).</w:t>
      </w:r>
    </w:p>
    <w:p w14:paraId="272E788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D2C994" w14:textId="77777777" w:rsidR="00777EFD" w:rsidRPr="007224C3" w:rsidRDefault="00777EFD" w:rsidP="007224C3">
      <w:pPr>
        <w:pStyle w:val="a3"/>
        <w:rPr>
          <w:color w:val="000000" w:themeColor="text1"/>
          <w:lang w:val="ru-RU"/>
        </w:rPr>
      </w:pPr>
      <w:r w:rsidRPr="007224C3">
        <w:rPr>
          <w:color w:val="000000" w:themeColor="text1"/>
          <w:lang w:val="ru-RU"/>
        </w:rPr>
        <w:t>9 февраля 1944 г., состоялось заседание Президиума емии Наук, на котором вопрос окончательно решили не в пользу авиационного крыла Отделения технических наук.</w:t>
      </w:r>
    </w:p>
    <w:p w14:paraId="7D8C1A3D" w14:textId="77777777" w:rsidR="00777EFD" w:rsidRPr="007224C3" w:rsidRDefault="00777EFD" w:rsidP="007224C3">
      <w:pPr>
        <w:pStyle w:val="a3"/>
        <w:rPr>
          <w:color w:val="000000" w:themeColor="text1"/>
          <w:lang w:val="ru-RU"/>
        </w:rPr>
      </w:pPr>
      <w:r w:rsidRPr="007224C3">
        <w:rPr>
          <w:color w:val="000000" w:themeColor="text1"/>
          <w:lang w:val="ru-RU"/>
        </w:rPr>
        <w:t>Ниже приведём выписки из стенограммы заседания Президиума:</w:t>
      </w:r>
    </w:p>
    <w:p w14:paraId="02D79072" w14:textId="77777777" w:rsidR="00777EFD" w:rsidRPr="007224C3" w:rsidRDefault="00777EFD" w:rsidP="007224C3">
      <w:pPr>
        <w:pStyle w:val="a3"/>
        <w:rPr>
          <w:color w:val="000000" w:themeColor="text1"/>
          <w:lang w:val="ru-RU"/>
        </w:rPr>
      </w:pPr>
      <w:r w:rsidRPr="007224C3">
        <w:rPr>
          <w:color w:val="000000" w:themeColor="text1"/>
          <w:lang w:val="ru-RU"/>
        </w:rPr>
        <w:t>«Акад. ЮРЬЕВ — По вопросу об организации в Академии Наук секции</w:t>
      </w:r>
      <w:r w:rsidRPr="007224C3">
        <w:rPr>
          <w:rStyle w:val="2d"/>
          <w:rFonts w:ascii="Times New Roman" w:hAnsi="Times New Roman" w:cs="Times New Roman"/>
          <w:i w:val="0"/>
          <w:color w:val="000000" w:themeColor="text1"/>
          <w:sz w:val="16"/>
          <w:szCs w:val="16"/>
          <w:lang w:val="ru-RU"/>
        </w:rPr>
        <w:t xml:space="preserve"> авиации</w:t>
      </w:r>
      <w:r w:rsidRPr="007224C3">
        <w:rPr>
          <w:color w:val="000000" w:themeColor="text1"/>
          <w:lang w:val="ru-RU"/>
        </w:rPr>
        <w:t xml:space="preserve"> проведено около 14 заседаний. Так что с точки зрения целесообразности организации такой секции больше высказываться не приходится — дело ясное, такая организация необходима. Вопрос другой, ей быть, — быть ли ей в АН, или, по примеру заграничных стран, при правительстве. Этот вопрос выходит за пределы компетенции АН. Но нам, непосредственным работникам в области авиации, казалось, что Академия должна была бы быть застрельщиком в гом деле, хотя бы начать работу, которая затем перешла бы в другое место. Тут беда наша заключается именно в организационной стороне дела, как это правиль- отметил Н.Г. [Бруевич]. У нас чересчур сильны центробежные стремления. Даже те товарищи, которые вначале поддерживали эту идею, потом, столкнувшись более реально с планами, начинают подчиняться все-таки центробежному стремлению: ВВС предл</w:t>
      </w:r>
      <w:r w:rsidRPr="007224C3">
        <w:rPr>
          <w:color w:val="000000" w:themeColor="text1"/>
        </w:rPr>
        <w:t>ar</w:t>
      </w:r>
      <w:r w:rsidRPr="007224C3">
        <w:rPr>
          <w:color w:val="000000" w:themeColor="text1"/>
          <w:lang w:val="ru-RU"/>
        </w:rPr>
        <w:t xml:space="preserve">ает у себя организовать, Наркомат авиационной промышленности предполагает лругую организацию и т.д. Сейчас назрел вопрос, чтобы всё это объединилось. Я думаю, </w:t>
      </w:r>
      <w:r w:rsidRPr="007224C3">
        <w:rPr>
          <w:rStyle w:val="2d"/>
          <w:rFonts w:ascii="Times New Roman" w:hAnsi="Times New Roman" w:cs="Times New Roman"/>
          <w:i w:val="0"/>
          <w:color w:val="000000" w:themeColor="text1"/>
          <w:sz w:val="16"/>
          <w:szCs w:val="16"/>
          <w:lang w:val="ru-RU"/>
        </w:rPr>
        <w:t>поскольку</w:t>
      </w:r>
      <w:r w:rsidRPr="007224C3">
        <w:rPr>
          <w:color w:val="000000" w:themeColor="text1"/>
          <w:lang w:val="ru-RU"/>
        </w:rPr>
        <w:t xml:space="preserve"> всё это направлено в Правительство, материалы там имеются, очевидно, рос должен решиться там. Но я считаю, как правильно сказал </w:t>
      </w:r>
      <w:r w:rsidRPr="007224C3">
        <w:rPr>
          <w:color w:val="000000" w:themeColor="text1"/>
        </w:rPr>
        <w:t>A</w:t>
      </w:r>
      <w:r w:rsidRPr="007224C3">
        <w:rPr>
          <w:color w:val="000000" w:themeColor="text1"/>
          <w:lang w:val="ru-RU"/>
        </w:rPr>
        <w:t>.</w:t>
      </w:r>
      <w:r w:rsidRPr="007224C3">
        <w:rPr>
          <w:color w:val="000000" w:themeColor="text1"/>
        </w:rPr>
        <w:t>M</w:t>
      </w:r>
      <w:r w:rsidRPr="007224C3">
        <w:rPr>
          <w:color w:val="000000" w:themeColor="text1"/>
          <w:lang w:val="ru-RU"/>
        </w:rPr>
        <w:t>. [Терпигорев], что т</w:t>
      </w:r>
      <w:r w:rsidRPr="007224C3">
        <w:rPr>
          <w:rStyle w:val="2d"/>
          <w:rFonts w:ascii="Times New Roman" w:hAnsi="Times New Roman" w:cs="Times New Roman"/>
          <w:i w:val="0"/>
          <w:color w:val="000000" w:themeColor="text1"/>
          <w:sz w:val="16"/>
          <w:szCs w:val="16"/>
          <w:lang w:val="ru-RU"/>
        </w:rPr>
        <w:t xml:space="preserve"> вопрос</w:t>
      </w:r>
      <w:r w:rsidRPr="007224C3">
        <w:rPr>
          <w:color w:val="000000" w:themeColor="text1"/>
          <w:lang w:val="ru-RU"/>
        </w:rPr>
        <w:t xml:space="preserve"> Академией Наук не снимается, несмотря на то, что ряд институтов занимается этими вопросами, это требует внима- </w:t>
      </w:r>
      <w:r w:rsidRPr="007224C3">
        <w:rPr>
          <w:rStyle w:val="2d"/>
          <w:rFonts w:ascii="Times New Roman" w:hAnsi="Times New Roman" w:cs="Times New Roman"/>
          <w:i w:val="0"/>
          <w:color w:val="000000" w:themeColor="text1"/>
          <w:sz w:val="16"/>
          <w:szCs w:val="16"/>
          <w:lang w:val="ru-RU"/>
        </w:rPr>
        <w:t>и</w:t>
      </w:r>
      <w:r w:rsidRPr="007224C3">
        <w:rPr>
          <w:color w:val="000000" w:themeColor="text1"/>
          <w:lang w:val="ru-RU"/>
        </w:rPr>
        <w:t xml:space="preserve"> увязки, потому здесь ставятся отдельные</w:t>
      </w:r>
      <w:r w:rsidRPr="007224C3">
        <w:rPr>
          <w:rStyle w:val="2d"/>
          <w:rFonts w:ascii="Times New Roman" w:hAnsi="Times New Roman" w:cs="Times New Roman"/>
          <w:i w:val="0"/>
          <w:color w:val="000000" w:themeColor="text1"/>
          <w:sz w:val="16"/>
          <w:szCs w:val="16"/>
          <w:lang w:val="ru-RU"/>
        </w:rPr>
        <w:t xml:space="preserve"> авиационные ра</w:t>
      </w:r>
      <w:r w:rsidRPr="007224C3">
        <w:rPr>
          <w:color w:val="000000" w:themeColor="text1"/>
          <w:lang w:val="ru-RU"/>
        </w:rPr>
        <w:t>боты, все</w:t>
      </w:r>
      <w:r w:rsidRPr="007224C3">
        <w:rPr>
          <w:rStyle w:val="2d"/>
          <w:rFonts w:ascii="Times New Roman" w:hAnsi="Times New Roman" w:cs="Times New Roman"/>
          <w:i w:val="0"/>
          <w:color w:val="000000" w:themeColor="text1"/>
          <w:sz w:val="16"/>
          <w:szCs w:val="16"/>
          <w:lang w:val="ru-RU"/>
        </w:rPr>
        <w:t xml:space="preserve"> наши</w:t>
      </w:r>
      <w:r w:rsidRPr="007224C3">
        <w:rPr>
          <w:color w:val="000000" w:themeColor="text1"/>
          <w:lang w:val="ru-RU"/>
        </w:rPr>
        <w:t xml:space="preserve"> проб</w:t>
      </w:r>
      <w:r w:rsidRPr="007224C3">
        <w:rPr>
          <w:color w:val="000000" w:themeColor="text1"/>
          <w:lang w:val="ru-RU"/>
        </w:rPr>
        <w:softHyphen/>
        <w:t>ны чересчур комплексные и без такой уязки не обойтись. Поэтому я считаю, что этот вопрос снимается только временно и нему, очевидно, придется вернуться. Сейчас вопрос будет очевидно решён в правительстве, может быть будет создана друг организация, более мощная, но в Академии необходима такая ячейка.</w:t>
      </w:r>
    </w:p>
    <w:p w14:paraId="22CD29AD" w14:textId="77777777" w:rsidR="00777EFD" w:rsidRPr="007224C3" w:rsidRDefault="00777EFD" w:rsidP="007224C3">
      <w:pPr>
        <w:pStyle w:val="a3"/>
        <w:rPr>
          <w:color w:val="000000" w:themeColor="text1"/>
          <w:lang w:val="ru-RU"/>
        </w:rPr>
      </w:pPr>
      <w:r w:rsidRPr="007224C3">
        <w:rPr>
          <w:color w:val="000000" w:themeColor="text1"/>
          <w:lang w:val="ru-RU"/>
        </w:rPr>
        <w:t>Акад. ХРИСТИАНОВИЧ — Мне кажется, что вопрос достаточно разъяснён, и я хоте бы добавить только два слова.</w:t>
      </w:r>
    </w:p>
    <w:p w14:paraId="33C49789" w14:textId="77777777" w:rsidR="00777EFD" w:rsidRPr="007224C3" w:rsidRDefault="00777EFD" w:rsidP="007224C3">
      <w:pPr>
        <w:pStyle w:val="a3"/>
        <w:rPr>
          <w:color w:val="000000" w:themeColor="text1"/>
          <w:lang w:val="ru-RU"/>
        </w:rPr>
      </w:pPr>
      <w:r w:rsidRPr="007224C3">
        <w:rPr>
          <w:color w:val="000000" w:themeColor="text1"/>
          <w:lang w:val="ru-RU"/>
        </w:rPr>
        <w:t>Тут есть два вопроса. Первый вопрос о координации научно-исследовательских бот в области авиации, вопрос, который неоднократно ставится и, второй — конкретный вопрос о секции авиации.</w:t>
      </w:r>
    </w:p>
    <w:p w14:paraId="17F62A67" w14:textId="77777777" w:rsidR="00777EFD" w:rsidRPr="007224C3" w:rsidRDefault="00777EFD" w:rsidP="007224C3">
      <w:pPr>
        <w:pStyle w:val="a3"/>
        <w:rPr>
          <w:color w:val="000000" w:themeColor="text1"/>
          <w:lang w:val="ru-RU"/>
        </w:rPr>
      </w:pPr>
      <w:r w:rsidRPr="007224C3">
        <w:rPr>
          <w:color w:val="000000" w:themeColor="text1"/>
          <w:lang w:val="ru-RU"/>
        </w:rPr>
        <w:t>Надо сказать, что вопрос о координации научно-исследовательских работ в облас авиации — это больной вопрос. Нельзя сказать, чтобы мы от этого не страдали. Но</w:t>
      </w:r>
      <w:r w:rsidRPr="007224C3">
        <w:rPr>
          <w:rStyle w:val="SegoeUI1"/>
          <w:rFonts w:ascii="Times New Roman" w:hAnsi="Times New Roman" w:cs="Times New Roman"/>
          <w:i w:val="0"/>
          <w:color w:val="000000" w:themeColor="text1"/>
          <w:sz w:val="16"/>
          <w:szCs w:val="16"/>
          <w:lang w:val="ru-RU"/>
        </w:rPr>
        <w:t xml:space="preserve"> вместе с </w:t>
      </w:r>
      <w:r w:rsidRPr="007224C3">
        <w:rPr>
          <w:color w:val="000000" w:themeColor="text1"/>
          <w:lang w:val="ru-RU"/>
        </w:rPr>
        <w:t>сте с тем, мне кажется, что высказанная Н.Г. мысль, что Академии Наук такая коордик ция не под силу, совершенно правильна. Ясно, что Академия Наук не может коор/з нировать работу наркоматских институтов, чрезвычайно мощных институтов. Но вме с тем сейчас, на опыте войны, мы все почувствовали, что недостает одного звена, т.е организующего центра в области военных наук. Поэтому мне кажется, что наличие большой комиссии под председательством В.М. Молотова или тов. Маленкова, котор решала бы важнейшие вопросы в области авиации, &lt;...&gt; целесообразно».</w:t>
      </w:r>
    </w:p>
    <w:p w14:paraId="59C57DC5" w14:textId="77777777" w:rsidR="00777EFD" w:rsidRPr="007224C3" w:rsidRDefault="00777EFD" w:rsidP="007224C3">
      <w:pPr>
        <w:pStyle w:val="a3"/>
        <w:rPr>
          <w:color w:val="000000" w:themeColor="text1"/>
          <w:lang w:val="ru-RU"/>
        </w:rPr>
      </w:pPr>
      <w:r w:rsidRPr="007224C3">
        <w:rPr>
          <w:color w:val="000000" w:themeColor="text1"/>
          <w:lang w:val="ru-RU"/>
        </w:rPr>
        <w:t>Итоги обсуждения подвел Академик-секретарь АН Н.Г. Бруевич:</w:t>
      </w:r>
    </w:p>
    <w:p w14:paraId="0876CBEE" w14:textId="77777777" w:rsidR="00777EFD" w:rsidRPr="007224C3" w:rsidRDefault="00777EFD" w:rsidP="007224C3">
      <w:pPr>
        <w:pStyle w:val="a3"/>
        <w:rPr>
          <w:color w:val="000000" w:themeColor="text1"/>
          <w:lang w:val="ru-RU"/>
        </w:rPr>
      </w:pPr>
      <w:r w:rsidRPr="007224C3">
        <w:rPr>
          <w:color w:val="000000" w:themeColor="text1"/>
          <w:lang w:val="ru-RU"/>
        </w:rPr>
        <w:t>«Отделение технических наук внесло в Президиум предложение об организации секи авиационных проблем. Секция авиации должна &lt;...&gt; в основном состоять из трех частей:</w:t>
      </w:r>
    </w:p>
    <w:p w14:paraId="507A2960" w14:textId="77777777" w:rsidR="00777EFD" w:rsidRPr="007224C3" w:rsidRDefault="00777EFD" w:rsidP="007224C3">
      <w:pPr>
        <w:pStyle w:val="a3"/>
        <w:tabs>
          <w:tab w:val="left" w:pos="435"/>
        </w:tabs>
        <w:rPr>
          <w:color w:val="000000" w:themeColor="text1"/>
          <w:lang w:val="ru-RU"/>
        </w:rPr>
      </w:pPr>
      <w:r w:rsidRPr="007224C3">
        <w:rPr>
          <w:color w:val="000000" w:themeColor="text1"/>
          <w:lang w:val="ru-RU"/>
        </w:rPr>
        <w:t>1) координация научно-исследовательской деятельности в области авиации в Совет-, ском Союзе в академических и внеакадемических учреждениях;</w:t>
      </w:r>
    </w:p>
    <w:p w14:paraId="79921F63" w14:textId="77777777" w:rsidR="00777EFD" w:rsidRPr="007224C3" w:rsidRDefault="00777EFD" w:rsidP="007224C3">
      <w:pPr>
        <w:pStyle w:val="a3"/>
        <w:tabs>
          <w:tab w:val="left" w:pos="478"/>
        </w:tabs>
        <w:rPr>
          <w:color w:val="000000" w:themeColor="text1"/>
          <w:lang w:val="ru-RU"/>
        </w:rPr>
      </w:pPr>
      <w:r w:rsidRPr="007224C3">
        <w:rPr>
          <w:color w:val="000000" w:themeColor="text1"/>
          <w:lang w:val="ru-RU"/>
        </w:rPr>
        <w:t>2) участие в составлении плана научно-исследовательских работ в области авиации по Советскому Союзу и</w:t>
      </w:r>
    </w:p>
    <w:p w14:paraId="75CB1F29" w14:textId="77777777" w:rsidR="00777EFD" w:rsidRPr="007224C3" w:rsidRDefault="00777EFD" w:rsidP="007224C3">
      <w:pPr>
        <w:pStyle w:val="a3"/>
        <w:tabs>
          <w:tab w:val="left" w:pos="488"/>
        </w:tabs>
        <w:rPr>
          <w:color w:val="000000" w:themeColor="text1"/>
          <w:lang w:val="ru-RU"/>
        </w:rPr>
      </w:pPr>
      <w:r w:rsidRPr="007224C3">
        <w:rPr>
          <w:color w:val="000000" w:themeColor="text1"/>
          <w:lang w:val="ru-RU"/>
        </w:rPr>
        <w:t>3) выполнение научно-исследовательских работ в области авиации как непосредст</w:t>
      </w:r>
      <w:r w:rsidRPr="007224C3">
        <w:rPr>
          <w:color w:val="000000" w:themeColor="text1"/>
          <w:lang w:val="ru-RU"/>
        </w:rPr>
        <w:softHyphen/>
        <w:t>венно секцией, так и руководство научно-исследовательской работой.</w:t>
      </w:r>
    </w:p>
    <w:p w14:paraId="0C774E06" w14:textId="77777777" w:rsidR="00777EFD" w:rsidRPr="007224C3" w:rsidRDefault="00777EFD" w:rsidP="007224C3">
      <w:pPr>
        <w:pStyle w:val="a3"/>
        <w:rPr>
          <w:color w:val="000000" w:themeColor="text1"/>
          <w:lang w:val="ru-RU"/>
        </w:rPr>
      </w:pPr>
      <w:r w:rsidRPr="007224C3">
        <w:rPr>
          <w:color w:val="000000" w:themeColor="text1"/>
          <w:lang w:val="ru-RU"/>
        </w:rPr>
        <w:t>Предложение об организации секции рассматривалось на распорядительном засе</w:t>
      </w:r>
      <w:r w:rsidRPr="007224C3">
        <w:rPr>
          <w:color w:val="000000" w:themeColor="text1"/>
          <w:lang w:val="ru-RU"/>
        </w:rPr>
        <w:softHyphen/>
        <w:t>дании Президиума Академии Наук. Это предложение докладывалось акад. Б.Н. Юрье</w:t>
      </w:r>
      <w:r w:rsidRPr="007224C3">
        <w:rPr>
          <w:color w:val="000000" w:themeColor="text1"/>
          <w:lang w:val="ru-RU"/>
        </w:rPr>
        <w:softHyphen/>
        <w:t xml:space="preserve">вым, поддерживалось академиком </w:t>
      </w:r>
      <w:r w:rsidRPr="007224C3">
        <w:rPr>
          <w:color w:val="000000" w:themeColor="text1"/>
        </w:rPr>
        <w:t>B</w:t>
      </w:r>
      <w:r w:rsidRPr="007224C3">
        <w:rPr>
          <w:color w:val="000000" w:themeColor="text1"/>
          <w:lang w:val="ru-RU"/>
        </w:rPr>
        <w:t>.</w:t>
      </w:r>
      <w:r w:rsidRPr="007224C3">
        <w:rPr>
          <w:color w:val="000000" w:themeColor="text1"/>
        </w:rPr>
        <w:t>C</w:t>
      </w:r>
      <w:r w:rsidRPr="007224C3">
        <w:rPr>
          <w:color w:val="000000" w:themeColor="text1"/>
          <w:lang w:val="ru-RU"/>
        </w:rPr>
        <w:t>. Кулебакиным и вызвало на заседании очень оживленные прения. Сущность этих прений заключалась в следующем.</w:t>
      </w:r>
    </w:p>
    <w:p w14:paraId="57F905D5" w14:textId="77777777" w:rsidR="00777EFD" w:rsidRPr="007224C3" w:rsidRDefault="00777EFD" w:rsidP="007224C3">
      <w:pPr>
        <w:pStyle w:val="a3"/>
        <w:rPr>
          <w:color w:val="000000" w:themeColor="text1"/>
          <w:lang w:val="ru-RU"/>
        </w:rPr>
      </w:pPr>
      <w:r w:rsidRPr="007224C3">
        <w:rPr>
          <w:color w:val="000000" w:themeColor="text1"/>
          <w:lang w:val="ru-RU"/>
        </w:rPr>
        <w:t>Первая задача секции — организация научно-исследовательской деятельности в обла</w:t>
      </w:r>
      <w:r w:rsidRPr="007224C3">
        <w:rPr>
          <w:color w:val="000000" w:themeColor="text1"/>
          <w:lang w:val="ru-RU"/>
        </w:rPr>
        <w:softHyphen/>
        <w:t>сти авиации и планирование научно-исследовательской деятельности в области авиации в Советском Союзе. Эти задачи являются научно-организационными и могут быть выпол</w:t>
      </w:r>
      <w:r w:rsidRPr="007224C3">
        <w:rPr>
          <w:color w:val="000000" w:themeColor="text1"/>
          <w:lang w:val="ru-RU"/>
        </w:rPr>
        <w:softHyphen/>
        <w:t>нены в том случае, если организация, которая принимается за эту работу, имеет соот</w:t>
      </w:r>
      <w:r w:rsidRPr="007224C3">
        <w:rPr>
          <w:color w:val="000000" w:themeColor="text1"/>
          <w:lang w:val="ru-RU"/>
        </w:rPr>
        <w:softHyphen/>
        <w:t>ветствующую власть и может оказать соответствующее влияние. В прениях выступал член-корреспондент АН Келдыш, который напомнил, что такая комиссия существовала в старые годы, примерно от 1935 г. до 1939 г., под председательством члена-корреспон</w:t>
      </w:r>
      <w:r w:rsidRPr="007224C3">
        <w:rPr>
          <w:color w:val="000000" w:themeColor="text1"/>
          <w:lang w:val="ru-RU"/>
        </w:rPr>
        <w:softHyphen/>
        <w:t>дента АН Некрасова, что эта комиссия пошла по пути организации научно-исследова</w:t>
      </w:r>
      <w:r w:rsidRPr="007224C3">
        <w:rPr>
          <w:color w:val="000000" w:themeColor="text1"/>
          <w:lang w:val="ru-RU"/>
        </w:rPr>
        <w:softHyphen/>
        <w:t xml:space="preserve">тельской деятельности в области авиации'таким же образом, и результаты деятельности этой комиссии получились ничтожные: комиссия умерла, причём смерть её никто даже </w:t>
      </w:r>
      <w:r w:rsidRPr="007224C3">
        <w:rPr>
          <w:rStyle w:val="SegoeUI"/>
          <w:rFonts w:ascii="Times New Roman" w:hAnsi="Times New Roman" w:cs="Times New Roman"/>
          <w:i w:val="0"/>
          <w:color w:val="000000" w:themeColor="text1"/>
          <w:lang w:val="ru-RU"/>
        </w:rPr>
        <w:t>и</w:t>
      </w:r>
      <w:r w:rsidRPr="007224C3">
        <w:rPr>
          <w:color w:val="000000" w:themeColor="text1"/>
          <w:lang w:val="ru-RU"/>
        </w:rPr>
        <w:t xml:space="preserve"> не обнаружил, потому что жизнь её была подобна смерти. В настоящий момент поло</w:t>
      </w:r>
      <w:r w:rsidRPr="007224C3">
        <w:rPr>
          <w:color w:val="000000" w:themeColor="text1"/>
          <w:lang w:val="ru-RU"/>
        </w:rPr>
        <w:softHyphen/>
        <w:t>жение не изменилось, поэтому вновь организуемая комиссия могла бы дать такие же результаты, как и раньше существовавшая комиссия.</w:t>
      </w:r>
    </w:p>
    <w:p w14:paraId="0761AB6D" w14:textId="77777777" w:rsidR="00777EFD" w:rsidRPr="007224C3" w:rsidRDefault="00777EFD" w:rsidP="007224C3">
      <w:pPr>
        <w:pStyle w:val="a3"/>
        <w:rPr>
          <w:color w:val="000000" w:themeColor="text1"/>
          <w:lang w:val="ru-RU"/>
        </w:rPr>
      </w:pPr>
      <w:r w:rsidRPr="007224C3">
        <w:rPr>
          <w:color w:val="000000" w:themeColor="text1"/>
          <w:lang w:val="ru-RU"/>
        </w:rPr>
        <w:t>К проекту положения о секции авиационных проблем был приложен проект плана на</w:t>
      </w:r>
      <w:r w:rsidRPr="007224C3">
        <w:rPr>
          <w:color w:val="000000" w:themeColor="text1"/>
          <w:lang w:val="ru-RU"/>
        </w:rPr>
        <w:softHyphen/>
        <w:t>учно-исследовательской деятельности секции, из которого видно, что в 1944 г. секция авиационных проблем будет заниматься не непосредственно выполнением научно-ис</w:t>
      </w:r>
      <w:r w:rsidRPr="007224C3">
        <w:rPr>
          <w:color w:val="000000" w:themeColor="text1"/>
          <w:lang w:val="ru-RU"/>
        </w:rPr>
        <w:softHyphen/>
        <w:t>следовательских работ самой этой секцией, а будет руководить научно-исследователь- ской деятельностью других организаций или будет выполнять научно-исследовательскую работу через другие организации. Передо мной лежит план. В этом плане имеется все</w:t>
      </w:r>
      <w:r w:rsidRPr="007224C3">
        <w:rPr>
          <w:color w:val="000000" w:themeColor="text1"/>
          <w:lang w:val="ru-RU"/>
        </w:rPr>
        <w:softHyphen/>
        <w:t>го 9 проблем, и когда я смотрю, кто же выполняет эти научно-исследовательские рабо</w:t>
      </w:r>
      <w:r w:rsidRPr="007224C3">
        <w:rPr>
          <w:color w:val="000000" w:themeColor="text1"/>
          <w:lang w:val="ru-RU"/>
        </w:rPr>
        <w:softHyphen/>
      </w:r>
      <w:r w:rsidRPr="007224C3">
        <w:rPr>
          <w:rStyle w:val="SegoeUI"/>
          <w:rFonts w:ascii="Times New Roman" w:hAnsi="Times New Roman" w:cs="Times New Roman"/>
          <w:i w:val="0"/>
          <w:color w:val="000000" w:themeColor="text1"/>
          <w:lang w:val="ru-RU"/>
        </w:rPr>
        <w:t>ты,</w:t>
      </w:r>
      <w:r w:rsidRPr="007224C3">
        <w:rPr>
          <w:color w:val="000000" w:themeColor="text1"/>
          <w:lang w:val="ru-RU"/>
        </w:rPr>
        <w:t xml:space="preserve"> то видно, что все они комплексные, что все они выполняются различными органи</w:t>
      </w:r>
      <w:r w:rsidRPr="007224C3">
        <w:rPr>
          <w:color w:val="000000" w:themeColor="text1"/>
          <w:lang w:val="ru-RU"/>
        </w:rPr>
        <w:softHyphen/>
        <w:t>зациями, главным образом неакадемическими. &lt;...&gt;». Доказывая, что АН не может брать на себя несвойственные ей задачи, Бруевич говорил: «Академия Наук почти не имеет конструкторских кадров, а конструкторские кадры при решении задач, связанных с постройкой новых приборов, являются чрезвычайно важны</w:t>
      </w:r>
      <w:r w:rsidRPr="007224C3">
        <w:rPr>
          <w:color w:val="000000" w:themeColor="text1"/>
          <w:lang w:val="ru-RU"/>
        </w:rPr>
        <w:softHyphen/>
        <w:t>ми. Академия Наук не имеет специального оборудования, очень сложного оборудования, совершенно необходимого для разрешения актуальных специальных задач в области авиации. Труб у Академии нет, а без труб, конечно, невозможно вести исследования во</w:t>
      </w:r>
      <w:r w:rsidRPr="007224C3">
        <w:rPr>
          <w:color w:val="000000" w:themeColor="text1"/>
          <w:lang w:val="ru-RU"/>
        </w:rPr>
        <w:softHyphen/>
        <w:t>просов, связанных с авиацией. Двигателей нет.</w:t>
      </w:r>
    </w:p>
    <w:p w14:paraId="48FA2F6B" w14:textId="77777777" w:rsidR="00777EFD" w:rsidRPr="007224C3" w:rsidRDefault="00777EFD" w:rsidP="007224C3">
      <w:pPr>
        <w:pStyle w:val="a3"/>
        <w:rPr>
          <w:color w:val="000000" w:themeColor="text1"/>
          <w:lang w:val="ru-RU"/>
        </w:rPr>
      </w:pPr>
      <w:r w:rsidRPr="007224C3">
        <w:rPr>
          <w:color w:val="000000" w:themeColor="text1"/>
          <w:lang w:val="ru-RU"/>
        </w:rPr>
        <w:t>Таким образом, мы, имея научные кадры, но, не имея инженерных кадров, констру</w:t>
      </w:r>
      <w:r w:rsidRPr="007224C3">
        <w:rPr>
          <w:color w:val="000000" w:themeColor="text1"/>
          <w:lang w:val="ru-RU"/>
        </w:rPr>
        <w:softHyphen/>
        <w:t>кторских кадров, не имея оборудования, должны говорить, что Академия может и обя</w:t>
      </w:r>
      <w:r w:rsidRPr="007224C3">
        <w:rPr>
          <w:color w:val="000000" w:themeColor="text1"/>
          <w:lang w:val="ru-RU"/>
        </w:rPr>
        <w:softHyphen/>
        <w:t>зана решать крупные научные вопросы, связанные с авиацией и техникой авиации, но теоретического порядка. &lt;...&gt; Вот почему в результате этого обсуждения выяснилось, что имеются две точки зрения. Первая точка зрения заключается в том, что желательна организация секции авиаци</w:t>
      </w:r>
      <w:r w:rsidRPr="007224C3">
        <w:rPr>
          <w:color w:val="000000" w:themeColor="text1"/>
          <w:lang w:val="ru-RU"/>
        </w:rPr>
        <w:softHyphen/>
        <w:t xml:space="preserve">онных проблем с этими тремя задачами: увязка научно-исследовательской деятельности </w:t>
      </w:r>
      <w:r w:rsidRPr="007224C3">
        <w:rPr>
          <w:rStyle w:val="SegoeUI"/>
          <w:rFonts w:ascii="Times New Roman" w:hAnsi="Times New Roman" w:cs="Times New Roman"/>
          <w:i w:val="0"/>
          <w:color w:val="000000" w:themeColor="text1"/>
          <w:lang w:val="ru-RU"/>
        </w:rPr>
        <w:t>в</w:t>
      </w:r>
      <w:r w:rsidRPr="007224C3">
        <w:rPr>
          <w:color w:val="000000" w:themeColor="text1"/>
          <w:lang w:val="ru-RU"/>
        </w:rPr>
        <w:t xml:space="preserve"> области авиации во всем Союзе, планирование научно-исследовательской деятельно</w:t>
      </w:r>
      <w:r w:rsidRPr="007224C3">
        <w:rPr>
          <w:color w:val="000000" w:themeColor="text1"/>
          <w:lang w:val="ru-RU"/>
        </w:rPr>
        <w:softHyphen/>
        <w:t>сти во всем Союзе и непосредственное проведение научно-исследовательских работ.</w:t>
      </w:r>
    </w:p>
    <w:p w14:paraId="40F9E5E7" w14:textId="77777777" w:rsidR="00777EFD" w:rsidRPr="007224C3" w:rsidRDefault="00777EFD" w:rsidP="007224C3">
      <w:pPr>
        <w:pStyle w:val="a3"/>
        <w:rPr>
          <w:color w:val="000000" w:themeColor="text1"/>
          <w:lang w:val="ru-RU"/>
        </w:rPr>
      </w:pPr>
      <w:r w:rsidRPr="007224C3">
        <w:rPr>
          <w:color w:val="000000" w:themeColor="text1"/>
          <w:lang w:val="ru-RU"/>
        </w:rPr>
        <w:t>И вторая точка зрения заключается в том, что первые две задачи не являются компе</w:t>
      </w:r>
      <w:r w:rsidRPr="007224C3">
        <w:rPr>
          <w:color w:val="000000" w:themeColor="text1"/>
          <w:lang w:val="ru-RU"/>
        </w:rPr>
        <w:softHyphen/>
        <w:t xml:space="preserve">тенцией Академии Наук, что АН может по этому поводу представлять свои соображения </w:t>
      </w:r>
      <w:r w:rsidRPr="007224C3">
        <w:rPr>
          <w:rStyle w:val="SegoeUI"/>
          <w:rFonts w:ascii="Times New Roman" w:hAnsi="Times New Roman" w:cs="Times New Roman"/>
          <w:i w:val="0"/>
          <w:color w:val="000000" w:themeColor="text1"/>
          <w:lang w:val="ru-RU"/>
        </w:rPr>
        <w:t>в</w:t>
      </w:r>
      <w:r w:rsidRPr="007224C3">
        <w:rPr>
          <w:color w:val="000000" w:themeColor="text1"/>
          <w:lang w:val="ru-RU"/>
        </w:rPr>
        <w:t xml:space="preserve"> Правительство об организации такого органа, но уже в качестве правительственного, а </w:t>
      </w:r>
      <w:r w:rsidRPr="007224C3">
        <w:rPr>
          <w:rStyle w:val="SegoeUI"/>
          <w:rFonts w:ascii="Times New Roman" w:hAnsi="Times New Roman" w:cs="Times New Roman"/>
          <w:i w:val="0"/>
          <w:color w:val="000000" w:themeColor="text1"/>
          <w:lang w:val="ru-RU"/>
        </w:rPr>
        <w:t>не</w:t>
      </w:r>
      <w:r w:rsidRPr="007224C3">
        <w:rPr>
          <w:color w:val="000000" w:themeColor="text1"/>
          <w:lang w:val="ru-RU"/>
        </w:rPr>
        <w:t xml:space="preserve"> академического, но в АН создавать такой орган без поручения правительства нельзя».</w:t>
      </w:r>
    </w:p>
    <w:p w14:paraId="4DF59414" w14:textId="77777777" w:rsidR="00777EFD" w:rsidRPr="007224C3" w:rsidRDefault="00777EFD" w:rsidP="007224C3">
      <w:pPr>
        <w:pStyle w:val="a3"/>
        <w:rPr>
          <w:color w:val="000000" w:themeColor="text1"/>
          <w:lang w:val="ru-RU"/>
        </w:rPr>
      </w:pPr>
      <w:r w:rsidRPr="007224C3">
        <w:rPr>
          <w:color w:val="000000" w:themeColor="text1"/>
          <w:lang w:val="ru-RU"/>
        </w:rPr>
        <w:t>Результатом заседания стало принятое решение о нецелесообразности создания Секции авиационных проблем в Академии наук (15789).</w:t>
      </w:r>
    </w:p>
    <w:p w14:paraId="613E8FD7" w14:textId="77777777" w:rsidR="00777EFD" w:rsidRPr="007224C3" w:rsidRDefault="00777EFD" w:rsidP="007224C3">
      <w:pPr>
        <w:pStyle w:val="a3"/>
        <w:rPr>
          <w:color w:val="000000" w:themeColor="text1"/>
          <w:lang w:val="ru-RU"/>
        </w:rPr>
      </w:pPr>
    </w:p>
    <w:p w14:paraId="38211D5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февраля 1944 С.П.К. завершил подготовку отчета "Реактивная установка с двигателем РД-1. Стартовый вариант" (Там же, № 25) (10676).</w:t>
      </w:r>
    </w:p>
    <w:p w14:paraId="69709F6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20A0F13D"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5953866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458F88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февраля 1944 вышло Постановление ГКО № 5132 О неотложных мероприятиях по обеспечению снабжения населения продовольственными товарами в I квартале 1944 года. РГАНИР, Фонд ГКО, д. 206, лл. 141-145,146-158 (11012).</w:t>
      </w:r>
    </w:p>
    <w:p w14:paraId="1444748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2137D63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февраля 1944 вышло Постановление ГКО № 5134 О мероприятиях по восстановлению и пуску в эксплуатацию предприятий сахарной, спиртовой, маслобойно-жировой и соляной промышленности Наркомпищепрома СССР в освобожденных районах левобережья Украины. РГАНИР, Фонд ГКО, д. 206, лл. 175-188,189-218 (11012).</w:t>
      </w:r>
    </w:p>
    <w:p w14:paraId="7622783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2369B2B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9 февраля 1944 вышло Постановление ГКО № 5135 Об отпуске продовольственных, госпитальных и фуражных пайков для Красной Армии, Военно-Морского Флота и войск НКВД в феврале 1944 г. РГАНИР, Фонд ГКО, д. 207, лл. 1-4,5-6 (11012).</w:t>
      </w:r>
    </w:p>
    <w:p w14:paraId="28F9D1E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12F63FF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февраля 1944 вышло Постановление ГКО № 5136 О формировании для ИА ПВО Красной Армии одного Управления истребительной авиационной дивизии по штату 015.145. РГАНИР, Фонд ГКО, д. 207, лл. 7 (11012).</w:t>
      </w:r>
    </w:p>
    <w:p w14:paraId="0C00D7A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175DCAE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февраля 1944 вышло Постановление ГКО № 5137 О плане снабжения горюче-смазочными материалами и каменноугольным топливом Красной Армии и Военно-Морского Флота на февраль 1944 года. РГАНИР, Фонд ГКО, д. 207, лл. 8-9,10-47 (11012).</w:t>
      </w:r>
    </w:p>
    <w:p w14:paraId="043CEFD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30C98CE8"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февраля 1944 вышло Постановление ГКО № 5138 О дальнейшем увеличении мощностей по производству алюминия и магния. (7186, 48-54,55-156).</w:t>
      </w:r>
    </w:p>
    <w:p w14:paraId="3F2F618B"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7BDF35B"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6D2DA61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B4913B4" w14:textId="77777777" w:rsidR="00777EFD" w:rsidRPr="007224C3" w:rsidRDefault="00777EFD"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9 февраля</w:t>
      </w:r>
      <w:r w:rsidRPr="007224C3">
        <w:rPr>
          <w:rFonts w:ascii="Times New Roman" w:hAnsi="Times New Roman"/>
          <w:color w:val="000000" w:themeColor="text1"/>
          <w:sz w:val="16"/>
          <w:szCs w:val="16"/>
        </w:rPr>
        <w:t xml:space="preserve"> в 1944 году оперативная сводка Совинформбюро:</w:t>
      </w:r>
    </w:p>
    <w:p w14:paraId="0D8589FB" w14:textId="77777777" w:rsidR="00777EFD" w:rsidRPr="007224C3" w:rsidRDefault="00777EF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9 февраля на Лужском направлении наши войска,продолжая наступление, овладели районным центром Ленинградской области и крупной железнодорожной станцией Оредеж, а также с боями заняли более 30 других населённых пунктов, в том числе населённые пункты Туровка, Волок, Красные Горы, Кемка, Долговка, Малое Замошье, Большое Замошье, Гобжицы, Баньково, Хабалинка, Великое Село, Малые и Большие Влешковичи и железнодорожную станцию Зазлинье.</w:t>
      </w:r>
    </w:p>
    <w:p w14:paraId="570B0E64" w14:textId="77777777" w:rsidR="00777EFD" w:rsidRPr="007224C3" w:rsidRDefault="00777EF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и юго-западнее Новгорода наши войска, преодолевая сопротивление и контратаки противника, вели наступательные бои, в ходе которых заняли несколько населённых пунктов и среди них: Радоли, Озерево, Новые Гусины, Илемцы, Самокража, Раджа, Змиева Гора, Воронино и железнодорожная станция Мойка.</w:t>
      </w:r>
    </w:p>
    <w:p w14:paraId="5E33F29C" w14:textId="77777777" w:rsidR="00777EFD" w:rsidRPr="007224C3" w:rsidRDefault="00777EF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Севернее Звенигородка и Шпола наши войска продолжали вести бои по уничтожению окружённой группировки противника и, сжимая кольцо окружения, овладели районным центром Киевской области Городище и населёнными пунктами Москаленки, Выграев, Будковка, Дердень, Руденков, Сахновка, Бровахи, Кирилловка.</w:t>
      </w:r>
    </w:p>
    <w:p w14:paraId="09EF342D" w14:textId="77777777" w:rsidR="00777EFD" w:rsidRPr="007224C3" w:rsidRDefault="00777EF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Апостолово наши войска с боями продвигались вперёд и заняли более 40 населённых пунктов, в том числе Радушное, Александровка, Владимировка, Малая Костромочка, Андреевка, Мережино, Зелёный Луг.</w:t>
      </w:r>
    </w:p>
    <w:p w14:paraId="38B14C3C" w14:textId="77777777" w:rsidR="00777EFD" w:rsidRPr="007224C3" w:rsidRDefault="00777EF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Северо-западнее и западнее города Никополь наши войска овладели районным центром Днепропетровской области Чкалово, а также заняли населённые пункты Лапинка, Сулицкое, Алексеевка, Капуловка, Покровское, Перевизские и железнодорожные станции Сирко, Чертомлык.</w:t>
      </w:r>
    </w:p>
    <w:p w14:paraId="04C661E2" w14:textId="77777777" w:rsidR="00777EFD" w:rsidRPr="007224C3" w:rsidRDefault="00777EF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8 февраля наши войска на всех фронтах подбили и уничтожили 90 немецких танков. В воздушных боях и огнём зенитной артиллерии сбито 19 самолётов противника.</w:t>
      </w:r>
    </w:p>
    <w:p w14:paraId="49A5C489" w14:textId="77777777" w:rsidR="00777EFD" w:rsidRPr="007224C3" w:rsidRDefault="00777EF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Лужском направлении наши войска продолжали наступление и овладели районным центром Ленинградской области и крупной железнодорожной станцией Оредеж. В этом районе немцы, укрепившись на выгодных позициях, оказывали упорное сопротивление. Наши бойцы перерезали железную дорогу Оредеж—Батецкая и усилили нажим на правый фланг противника. Другие наши части, наступавшие вдоль реки Оредеж, охватили немцев с севера. Решительными ударами с различных направлений советские войска разгромили противника и заняли Оредеж. Захвачены большие трофеи. В течение дня нашими частями освобождено от немецких захватчиков более 30 других населённых пунктов. В ходе боёв уничтожено до 1.200 солдат и офицеров противника.</w:t>
      </w:r>
    </w:p>
    <w:p w14:paraId="7771A6C4" w14:textId="77777777" w:rsidR="00777EFD" w:rsidRPr="007224C3" w:rsidRDefault="00777EF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и юго-западнее Новгорода наши войска с боями продвигались вперёд. Противник оказывал упорное сопротивление и несколько раз переходил в контратаки. Части Н-ского соединения сломили сопротивление немцев, заняли железнодорожную станцию Мойка и несколько других населённых пунктов. Уничтожено до батальона гитлеровцев. Захвачены у немцев 18 орудий, 70 пулемётов и другие трофеи.</w:t>
      </w:r>
    </w:p>
    <w:p w14:paraId="5E1795BA" w14:textId="77777777" w:rsidR="00777EFD" w:rsidRPr="007224C3" w:rsidRDefault="00777EF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Севернее городов Звенигородка и Шпола наши войска продолжали вести бои по уничтожению окружённой группировки противника. Части Н-ского соединения, сжимая кольцо окружения, в результате ожесточённого боя овладели сильно укреплённым узлом обороны немцев — районным центром Киевской области Городище. На поле боя остались сотни вражеских трупов. Захвачено много трофеев, в том числе 26 орудий. На другом участке советские бойцы, несмотря на крайне неблагоприятные условия погоды, переправились через водный рубеж и заняли несколько населённых пунктов. В боях за эти пункты уничтожено до 1.000 гитлеровцев и взято значительное число пленных. Западнее Звенигородки наши войска вели успешные бои с танками и пехотой противника, пытавшимися пробиться на помощь окружённой группировке. В этих боях уничтожено 42 немецких танка, 6 бронетранспортёров и 90 автомашин. Захвачены у немцев несколько исправных танков и другие трофеи.</w:t>
      </w:r>
    </w:p>
    <w:p w14:paraId="49D7E965" w14:textId="77777777" w:rsidR="00777EFD" w:rsidRPr="007224C3" w:rsidRDefault="00777EF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Северо-западнее и западнее города Никополь наши войска, продолжая наступление, овладели районным центром Днепропетровской области Чкалово. В бою за Чкалово уничтожено свыше 800 немецких солдат и офицеров. Захвачено 18 орудий, 10 тягачей, 60 пулемётов, 200 автомашин, крупный склад с зерном и другие трофеи. Бойцы другого нашего соединения заняли несколько населённых пунктов и взяли в плен две роты гитлеровцев.</w:t>
      </w:r>
    </w:p>
    <w:p w14:paraId="7B21A5F3" w14:textId="77777777" w:rsidR="00777EFD" w:rsidRPr="007224C3" w:rsidRDefault="00777EF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Наши корабли в Баренцовом море потопили транспорт противника водоизмещением в 4 тысячи тонн.</w:t>
      </w:r>
    </w:p>
    <w:p w14:paraId="54E84872" w14:textId="77777777" w:rsidR="00777EFD" w:rsidRPr="007224C3" w:rsidRDefault="00777EF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Несколько групп белорусских партизан проникли в один город Минской области и взорвали офицерскую гостиницу. Убито 32 немецких офицера. Другая группа партизан взорвала два ресторана. В ресторанах убито и ранено более 100 гитлеровцев. Барановичские партизаны пустили под откос немецкий воинский эшелон. В результате крушения разбиты паровоз, 8 цистерн с бензином, 6 платформ с автомашинами и 2 платформы с танками.</w:t>
      </w:r>
    </w:p>
    <w:p w14:paraId="6E303047" w14:textId="77777777" w:rsidR="00777EFD" w:rsidRPr="007224C3" w:rsidRDefault="00777EF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На-днях на одном из участков фронта на сторону Красной Армии перешли четыре немецких солдата. Перебежчики привели с собой фельдфебеля и ефрейтора. Перебежчик Арнольд К. сообщил: «Мы уже давно находимся на фронте, не раз участвовали в тяжёлых боях и привыкли смотреть смерти в глаза. Однако умирать за Гитлера, который навлёк на Германию столько горя и страданий, у нас не было никакого желания. Решив перейти на сторону русских, мы разработали подробный план. Выбрав удобный момент, мы ворвались в блиндаж, где находились фельдфебельи ефрейтор, и предложили им пойти с нами. Фельдфебель пытался оказать сопротивление, но был обезоружен. Ему связали руки. Ефрейтор выразил желание добровольно следовать за нами». Перебежчики принесли с собой пулемет и несколько винтовок.» (15035).</w:t>
      </w:r>
    </w:p>
    <w:p w14:paraId="49B8FF17" w14:textId="77777777" w:rsidR="00777EFD" w:rsidRPr="007224C3" w:rsidRDefault="00777EFD" w:rsidP="007224C3">
      <w:pPr>
        <w:spacing w:after="0" w:line="240" w:lineRule="auto"/>
        <w:jc w:val="both"/>
        <w:rPr>
          <w:rFonts w:ascii="Times New Roman" w:hAnsi="Times New Roman"/>
          <w:color w:val="000000" w:themeColor="text1"/>
          <w:sz w:val="16"/>
          <w:szCs w:val="16"/>
        </w:rPr>
      </w:pPr>
    </w:p>
    <w:p w14:paraId="591EF364" w14:textId="77777777" w:rsidR="00777EFD" w:rsidRPr="007224C3" w:rsidRDefault="00777EFD"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9 февраля</w:t>
      </w:r>
      <w:r w:rsidRPr="007224C3">
        <w:rPr>
          <w:rFonts w:ascii="Times New Roman" w:hAnsi="Times New Roman"/>
          <w:color w:val="000000" w:themeColor="text1"/>
          <w:sz w:val="16"/>
          <w:szCs w:val="16"/>
        </w:rPr>
        <w:t xml:space="preserve"> в 1944 году возобновление боевых действий в районе Корсунь-Шевченковского (15035).</w:t>
      </w:r>
    </w:p>
    <w:p w14:paraId="136C1B99" w14:textId="77777777" w:rsidR="00777EFD" w:rsidRPr="007224C3" w:rsidRDefault="00777EFD" w:rsidP="007224C3">
      <w:pPr>
        <w:spacing w:after="0" w:line="240" w:lineRule="auto"/>
        <w:jc w:val="both"/>
        <w:rPr>
          <w:rFonts w:ascii="Times New Roman" w:hAnsi="Times New Roman"/>
          <w:color w:val="000000" w:themeColor="text1"/>
          <w:sz w:val="16"/>
          <w:szCs w:val="16"/>
        </w:rPr>
      </w:pPr>
    </w:p>
    <w:p w14:paraId="356B6F02"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февраля 1944 вышло Постановление ГКО № 5131 О возвращении на свои стационарные аэродромы Ивановской и Pязанской высших школ штурманов и летчиков авиации ДД [дальнего действия]. (7185, 140).</w:t>
      </w:r>
    </w:p>
    <w:p w14:paraId="758E82EE"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741D12E"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февраля 1944 вышло Постановление ГКО № 5133 Об усилении и техническом оснащении аварийно-спасательной службы Военно-Морского Флота. (7185, 159-164,165-174).</w:t>
      </w:r>
    </w:p>
    <w:p w14:paraId="3302C121"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BB7ECBA"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2A0157F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09861A5"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февраля 1944 английская королевская семья провела обед в йоркширтской шахте вместе с горняками (4962).</w:t>
      </w:r>
    </w:p>
    <w:p w14:paraId="40E6B249"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D526EF6"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февраля 1944 английский епископ Джордж Белл, выступая в парламенте, осудил массовые бомбардировки авиацией союзников гражданских объектов Германии (4962).</w:t>
      </w:r>
    </w:p>
    <w:p w14:paraId="0E77C869"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4500D22" w14:textId="77777777" w:rsidR="00583EED" w:rsidRPr="007224C3" w:rsidRDefault="00583EED"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9 февраля</w:t>
      </w:r>
      <w:r w:rsidRPr="007224C3">
        <w:rPr>
          <w:rFonts w:ascii="Times New Roman" w:hAnsi="Times New Roman"/>
          <w:color w:val="000000" w:themeColor="text1"/>
          <w:sz w:val="16"/>
          <w:szCs w:val="16"/>
        </w:rPr>
        <w:t xml:space="preserve"> в 1944 году в палате общин британского парламента бомбардировка британскими ВВС Берлина 20 января 1944 стала причиной протестов по поводу бомбардировок немецких городов (15035).</w:t>
      </w:r>
    </w:p>
    <w:p w14:paraId="2E14928A" w14:textId="77777777" w:rsidR="00583EED" w:rsidRPr="007224C3" w:rsidRDefault="00583EED" w:rsidP="007224C3">
      <w:pPr>
        <w:spacing w:after="0" w:line="240" w:lineRule="auto"/>
        <w:jc w:val="both"/>
        <w:rPr>
          <w:rFonts w:ascii="Times New Roman" w:hAnsi="Times New Roman"/>
          <w:color w:val="000000" w:themeColor="text1"/>
          <w:sz w:val="16"/>
          <w:szCs w:val="16"/>
        </w:rPr>
      </w:pPr>
    </w:p>
    <w:p w14:paraId="66469305"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3C830D5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AA2C8D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февраля 1944 Дир. завода 240 С.В.И. писал письмо N 8/181с НКАП А.И.Ш.:</w:t>
      </w:r>
    </w:p>
    <w:p w14:paraId="2200004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"Докладываю Вам, что оборудовать Ил-2 системой впрыска воды в цилиндры мотора, согласно Вашего приказа N 681с, технически не представляется возможным, ввиду отсутствия места для размещения дополнительного водяного бака емкостью 80 л.</w:t>
      </w:r>
    </w:p>
    <w:p w14:paraId="7518712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Ил-2, оборудованный системой впрыска воды в НИИ ВВС КА и там же проходивший испытания, имел водяной бак в кабине стрелка. Бак занимал место стрелка и стрелок в кабине отсутствовал. для боевых самолетов такая установка водяного бака - недопустима." (2562,54).</w:t>
      </w:r>
    </w:p>
    <w:p w14:paraId="45B99D3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D11BB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февраля 1944 вышел приказ НКАП N 115 о поломке Ил-10 Исаковым (985,38).</w:t>
      </w:r>
    </w:p>
    <w:p w14:paraId="7D2172C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3C3B5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10 февраля 1944 закончились летные испытания Ла-5ФН N 39210206 модифицированного ЦАГИ, которые начались 14 декабря 1943 (752,1).</w:t>
      </w:r>
    </w:p>
    <w:p w14:paraId="2CBD61B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Вед. Инженер В.Я.Молочаев</w:t>
      </w:r>
    </w:p>
    <w:p w14:paraId="785B16B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Вед. Л-к Н.В.Адамович</w:t>
      </w:r>
    </w:p>
    <w:p w14:paraId="5982D41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Было выполнено 17 полетов с налетов 7:45.</w:t>
      </w:r>
    </w:p>
    <w:p w14:paraId="0B0ED14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Трижды заменяли свечи, дважды РС-2</w:t>
      </w:r>
    </w:p>
    <w:p w14:paraId="527EFAE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с-те № 206 согласно приказы НКАП № 650 от 29 октября 1943 были произведены улучшания в целях увеличения максимальной скорости. Основные изменения:</w:t>
      </w:r>
    </w:p>
    <w:p w14:paraId="6C6CBB5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всасывающий патрубок перенесен под капот мотора и улучшена его аэродинамика</w:t>
      </w:r>
    </w:p>
    <w:p w14:paraId="225C251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маслорадиатор перенесен под фюзеляж рядом с 5-м шпангоутом и улучшена форма рукава</w:t>
      </w:r>
    </w:p>
    <w:p w14:paraId="4407C29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изменено дефлектирование цилиндров мотра и форма внутреннего капота</w:t>
      </w:r>
    </w:p>
    <w:p w14:paraId="78C0EF8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установлены индивидуальные выхлопные патрубки на все цилиндры</w:t>
      </w:r>
    </w:p>
    <w:p w14:paraId="1CB1CB4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изменена компоновка створок шасси</w:t>
      </w:r>
    </w:p>
    <w:p w14:paraId="6BCF8C4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произведено спрямление носка центроплана путем образования переднего зализа, улучшена отделка самолета</w:t>
      </w:r>
    </w:p>
    <w:p w14:paraId="144454F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увеличен и облагорожен задний зализ центроплана</w:t>
      </w:r>
    </w:p>
    <w:p w14:paraId="1C7C0F7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проведена тщательная герметизация с-та т мелкие работы по улучшению аэродинамики</w:t>
      </w:r>
    </w:p>
    <w:p w14:paraId="5E697D7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установлен винт ВИШ-105В-4 диаметром 3,1 м (лопасть ЦАГИ).</w:t>
      </w:r>
    </w:p>
    <w:p w14:paraId="0FFE9A5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результате получены следующие данные:</w:t>
      </w:r>
    </w:p>
    <w:p w14:paraId="3573D53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 скорость у земли (Рк 1195 при 2500 об.) - 630 км/час</w:t>
      </w:r>
    </w:p>
    <w:p w14:paraId="37C7A87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 скорость на 1000 м - 652 км/час</w:t>
      </w:r>
    </w:p>
    <w:p w14:paraId="01970FB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 скорость на 1900 (форсаж) - 672 км/час</w:t>
      </w:r>
    </w:p>
    <w:p w14:paraId="1B42863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 скорость на 4000 (форсаж) - 641 км/час</w:t>
      </w:r>
    </w:p>
    <w:p w14:paraId="6223E8A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 скорость на 5000 - 661 км/час</w:t>
      </w:r>
    </w:p>
    <w:p w14:paraId="16A18A5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 скорость на 6150 (2 гр., Рк 1000, 2400 об.) - 684 км/час</w:t>
      </w:r>
    </w:p>
    <w:p w14:paraId="4E447C1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 скорость на 7000 - 676 км/час</w:t>
      </w:r>
    </w:p>
    <w:p w14:paraId="3459C52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 скорость на 8000 - 662 км/час</w:t>
      </w:r>
    </w:p>
    <w:p w14:paraId="72ECCBC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Время набора 5000 м - 5,2 мин.</w:t>
      </w:r>
    </w:p>
    <w:p w14:paraId="0153232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Гор. Скорость у земли 17 м/с</w:t>
      </w:r>
    </w:p>
    <w:p w14:paraId="6D788B7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Полетный вес - 3445 кг</w:t>
      </w:r>
    </w:p>
    <w:p w14:paraId="448B87E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Экипаж - 90</w:t>
      </w:r>
    </w:p>
    <w:p w14:paraId="37E9CAB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Горючее - 345</w:t>
      </w:r>
    </w:p>
    <w:p w14:paraId="1F11A1F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Масло 50</w:t>
      </w:r>
    </w:p>
    <w:p w14:paraId="0280883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Вооружение - 2хСП-20 - 80</w:t>
      </w:r>
    </w:p>
    <w:p w14:paraId="17F71C0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б/п - 180</w:t>
      </w:r>
    </w:p>
    <w:p w14:paraId="7DFBBF5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броня - 45</w:t>
      </w:r>
    </w:p>
    <w:p w14:paraId="3DE777C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п-к РСИ-4 - 13</w:t>
      </w:r>
    </w:p>
    <w:p w14:paraId="73EB79D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Т.о. за счет произведенных ЦАГИ и заводом № 21 изменений с-та полетный вес увеличен на 125 кг (всасявающие патрубки, перенос малорадиатора, герметизация, спрямление цп, отделка поверхности, металлические жалюзи)</w:t>
      </w:r>
    </w:p>
    <w:p w14:paraId="2BAE17C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входе в маслогондолу между поваерхностью фюзеляжа и верхней кромкой входного отверсти туннеля м/р осуществлен специальный желоб для отвода затерможенного воздуха от входа в туннель.</w:t>
      </w:r>
    </w:p>
    <w:p w14:paraId="50D4067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Стенки входной части туннеля сделаны утолщенными, чтобы создать плавное обтекание и избежать срыва на входе. Улучшена герметизация выходной части туннеля.</w:t>
      </w:r>
    </w:p>
    <w:p w14:paraId="7109BC4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Патрубки расположены по шесть с каждой стороны под подвижными створками капота и по одному в неподвижных отсеках.</w:t>
      </w:r>
    </w:p>
    <w:p w14:paraId="1D88EBF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Установлены новые герметизированные дефлекторы с уменьшенными зазорами между дефлекторами и цилиндрами.</w:t>
      </w:r>
    </w:p>
    <w:p w14:paraId="28D0A25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Профиль центроплана соответствует NACA-230.</w:t>
      </w:r>
    </w:p>
    <w:p w14:paraId="66F1C8D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герметизации ВМГ</w:t>
      </w:r>
    </w:p>
    <w:p w14:paraId="64B3A28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Герметизированы:</w:t>
      </w:r>
    </w:p>
    <w:p w14:paraId="5A6EB92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капот редуктора в месте расположения механизма жалюзи</w:t>
      </w:r>
    </w:p>
    <w:p w14:paraId="64C2228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внутренний капот мотора, дефлекторное кольцо мотора</w:t>
      </w:r>
    </w:p>
    <w:p w14:paraId="06B262B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моторный капот, вызлопные патрубки, створки капота</w:t>
      </w:r>
    </w:p>
    <w:p w14:paraId="0481D4A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заслонка маслорадиатора</w:t>
      </w:r>
    </w:p>
    <w:p w14:paraId="03C70FA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отделке поверхности</w:t>
      </w:r>
    </w:p>
    <w:p w14:paraId="06AFB05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проведены работы по уменьшение волнистости поверхности крыла и устранение неровностей на кольце капота и фюзеляжа путем нанесения нитрошпаклевки. Шероховатость поверхности ждоведена до 6-8 микрон. С-т отполирован</w:t>
      </w:r>
    </w:p>
    <w:p w14:paraId="1D0BCD9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з-м № 21 установлены щитки для полного закрытия куполов шасси. Поставлена у образная безмачтовая антенна. Улучшены обводы желобов пушки. Посталены обтиекатели на крепление трубки Пито к крылу. Уменьшены размеры обтекателей на различных выступающих деталях. Снят храповик с втулки вина., на кок поставлен плавный обтекатель. Газоотведные трубки обрезаны заподлицо с поверхностью.</w:t>
      </w:r>
    </w:p>
    <w:p w14:paraId="68DA321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Проведена тщательная герметизация противопожарной перегогодки, передней и задней перегородок кабины пилота, вооружения, капотов, масло и бензофильтров, тяг управления элеронами и щитками, стенок лонжеронов и разъемов крыла и по первой нервюре консоли крыла.</w:t>
      </w:r>
    </w:p>
    <w:p w14:paraId="15C0138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Кроме перечисленных были проведены и мелкие работы как по планеру, так и по ВМГ.</w:t>
      </w:r>
    </w:p>
    <w:p w14:paraId="04B9782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Температурный режим на макс. скорости при полностью открытых створках заслонки м/р были в пределах допустимого (245 гр при допускаемых 250), но тем. Входящего масла на том же режиме на 6000 м достигала 95 гр, что превышает на 120 предельно допустимую температуру.</w:t>
      </w:r>
    </w:p>
    <w:p w14:paraId="5A43822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горизонтальном полете тем. Входящего и выходящего масла ниже допустимой.</w:t>
      </w:r>
    </w:p>
    <w:p w14:paraId="6AE3FF8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Проверка работы р/с с измененной антенной на производилась.</w:t>
      </w:r>
    </w:p>
    <w:p w14:paraId="47CEF28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Заключение:</w:t>
      </w:r>
    </w:p>
    <w:p w14:paraId="693BE5A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Улучшения, осуществляющие рекомендации ЦАГИ, рекомендованы для внедрения в серийное производство при условии устранения обнаруженных в процессе испытания эксплуатационных дефектов, и улучшения системы охлаждения масла.</w:t>
      </w:r>
    </w:p>
    <w:p w14:paraId="39E6677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Считать необходимым при внедрении в серийное пр-во обеспечить снижение полетного веса с-та.</w:t>
      </w:r>
    </w:p>
    <w:p w14:paraId="571B859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 Лаб. № 1 М.А.Тайц</w:t>
      </w:r>
    </w:p>
    <w:p w14:paraId="55DFB68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 1-го отд. Лаб. № 1 Н.С.Строев (752,1).</w:t>
      </w:r>
    </w:p>
    <w:p w14:paraId="026A7BB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18DC1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февраля 1944 г. летчик-испытатель Н.В.Адамович закончил испытания доработанного Ла-5 (заводской № 39210206), которые проходили с 16 декабря 1943. На этом самолете оценивалась эффективность мероприятий по аэродинамике, выданных работниками ЦАГИ. Доработанный Лавочкин показал скорость на 34 км/ч большую, чем серийная машина (684 км/ч на высоте 6150 м), причем мероприятия по улучшению аэродинамики были реализованы не в полном объеме. Модернизация самолета №39210206 проводилась на заводе № 21 под руководством С.М.Алексеева (4707).</w:t>
      </w:r>
    </w:p>
    <w:p w14:paraId="36BF680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07661B" w14:textId="77777777" w:rsidR="00583EED" w:rsidRPr="007224C3" w:rsidRDefault="00583EED"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10 февраля</w:t>
      </w:r>
      <w:r w:rsidRPr="007224C3">
        <w:rPr>
          <w:rFonts w:ascii="Times New Roman" w:hAnsi="Times New Roman"/>
          <w:color w:val="000000" w:themeColor="text1"/>
          <w:sz w:val="16"/>
          <w:szCs w:val="16"/>
        </w:rPr>
        <w:t xml:space="preserve"> в 1944 году закончились испытания истребителя </w:t>
      </w:r>
      <w:hyperlink r:id="rId40" w:tgtFrame="_blank" w:history="1">
        <w:r w:rsidRPr="007224C3">
          <w:rPr>
            <w:rFonts w:ascii="Times New Roman" w:hAnsi="Times New Roman"/>
            <w:color w:val="000000" w:themeColor="text1"/>
            <w:sz w:val="16"/>
            <w:szCs w:val="16"/>
          </w:rPr>
          <w:t xml:space="preserve">«Ла-5» </w:t>
        </w:r>
      </w:hyperlink>
      <w:r w:rsidRPr="007224C3">
        <w:rPr>
          <w:rFonts w:ascii="Times New Roman" w:hAnsi="Times New Roman"/>
          <w:color w:val="000000" w:themeColor="text1"/>
          <w:sz w:val="16"/>
          <w:szCs w:val="16"/>
        </w:rPr>
        <w:t>(№206), ОКБ Лавочкина, на котором был выполнен комплекс доработок по улучшению аэродинамики самолёта. Продувки «Ла-5» в натурной трубе позволили определить основные направления улучшения внешней и внутренней аэродинамики самолёта: раз нет более мощного мотора, значит надо "вылизывать" самолёт и облегчать конструкцию. Выяснилось, что внутренняя герметизация самолёта дает прирост скорости в 24 км/ч, полное закрытие куполов шасси - еще б км/ч; перенос маслорадиатора из-под капота двигателя под фюзеляж позволял снизить поперечное сечение радиатора за счет увеличения прохождения воздуха через него. Также благотворно влияло на аэродинамику истребителя удаление от поверхности центроплана нижней части боковых створок капота двигателя. Еще несколько километров скорости давал перенос воздухозаборника двигателя с крыши капота в корневую часть центроплана. С облегчением планера возникли трудности - все, что с машины можно было снять безболезненно - уже сняли, жертвовать прочностью конструкции, как это сделал Яковлев, Лавочкин не стал (15036).</w:t>
      </w:r>
    </w:p>
    <w:p w14:paraId="7EE4FA2A" w14:textId="77777777" w:rsidR="00583EED" w:rsidRPr="007224C3" w:rsidRDefault="00583EED" w:rsidP="007224C3">
      <w:pPr>
        <w:spacing w:after="0" w:line="240" w:lineRule="auto"/>
        <w:jc w:val="both"/>
        <w:rPr>
          <w:rFonts w:ascii="Times New Roman" w:hAnsi="Times New Roman"/>
          <w:color w:val="000000" w:themeColor="text1"/>
          <w:sz w:val="16"/>
          <w:szCs w:val="16"/>
        </w:rPr>
      </w:pPr>
    </w:p>
    <w:p w14:paraId="315E0DB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февраля 1944 года нарком ВМФ адмирал кузнецов писал письмо N 100сс Маленкову.</w:t>
      </w:r>
    </w:p>
    <w:p w14:paraId="004164C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Дополнительно к ранее представленному мною письму N 1100 лт 15 сентября 1943 года с проектом постановления ГОКО об оборудовании самолета Ли-2 под опытный магнитный трал докладываю:</w:t>
      </w:r>
    </w:p>
    <w:p w14:paraId="67C3CF5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Проект самолета-тральщика разработан конструкторским бюро завода N 89 НКАП еще в 1943 году со следующими тактико-техническими данными:</w:t>
      </w:r>
    </w:p>
    <w:p w14:paraId="5DF69E3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Самолет тральщик предназначается для определения наличия минных полей, состоящих как из магнитных, так и индукционных мин, выставленных противником на морских театрах.</w:t>
      </w:r>
    </w:p>
    <w:p w14:paraId="5920892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Высота полета самолета при тралении мин над уровнем моря - 20 метров;</w:t>
      </w:r>
    </w:p>
    <w:p w14:paraId="5039BF6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Скорость траления - 200 км/час;</w:t>
      </w:r>
    </w:p>
    <w:p w14:paraId="5271D63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Ширина полосы траления - 45 метров;</w:t>
      </w:r>
    </w:p>
    <w:p w14:paraId="74350F5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Глубина места траления до 30 метров.</w:t>
      </w:r>
    </w:p>
    <w:p w14:paraId="32998DD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изготовлению одного опытного самолета-тральщика, что мною и испрашивалось в письме N 1100, на полигонных испытаниях должны быть окончательно установлены тактико-технические данные самолета при тралении и на основании данных испытаний принято решение о дальнейшем обеспечении ВМФ самолетами указанного выше типа.</w:t>
      </w:r>
    </w:p>
    <w:p w14:paraId="47E41F7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Использование самолетов как тральщиков, для очистки водных районов от магнитных мин в современной войне нашло широкое применение как в Германии, так и в Англии.</w:t>
      </w:r>
    </w:p>
    <w:p w14:paraId="159708D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Однако при попытке разместить заказ на поставку ВМФ десяти самолетов типа "Веллингтон", оборудованных специальным устройством для траления магнитных мин, Англией было отказано.</w:t>
      </w:r>
    </w:p>
    <w:p w14:paraId="5E3A20C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Учитывая, что разработка и оборудование одного опытного самолета ЛИ-2 как тральщика, для ВМФ представляет актуальный вопрос, прошу ускорить решение по ранее представленному и согласованному с НКАП Шахуриным и НКЭП Кабановым, проекту постановления ГОКО (1825,34).</w:t>
      </w:r>
    </w:p>
    <w:p w14:paraId="7709415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1DBEBE"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452B41C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7878FC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февраля 1944 г. была подготовлена ДОКЛАДНАЯ ЗАПИСКА НАЧАЛЬНИКА ГБТУ КА НАРОДНОМУ КОМИССАРУ ТАНКОВОЙ ПРОМЫШЛЕННОСТИ СССР В. МАЛЫШЕВУ ПО РЕЗУЛЬТАТАМ ИСПЫТАНИЙ ТАНКОВ Т-34 № 520642</w:t>
      </w:r>
    </w:p>
    <w:p w14:paraId="16A4151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испытании на гарантийный километраж танков Т-34 (с пушками 85-мм Д-5) завода №112, обнаружены следующие дефекты:</w:t>
      </w:r>
    </w:p>
    <w:p w14:paraId="2FC9217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танке №Г4010163 поломался валик механизма поворота башни (дет. №43-34.003) на 191 км про</w:t>
      </w:r>
      <w:r w:rsidRPr="007224C3">
        <w:rPr>
          <w:rFonts w:ascii="Times New Roman" w:hAnsi="Times New Roman"/>
          <w:color w:val="000000" w:themeColor="text1"/>
          <w:sz w:val="16"/>
          <w:szCs w:val="16"/>
        </w:rPr>
        <w:softHyphen/>
        <w:t>бега и разрушилась пружина передней правой подвески на 284 км пробега.</w:t>
      </w:r>
    </w:p>
    <w:p w14:paraId="5215A87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танке №Г4010171 поломался такой же валик на 378 км пробега.</w:t>
      </w:r>
    </w:p>
    <w:p w14:paraId="23ED066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Причиной разрушения валиков механизмов поворота башни, по предварительному заключе</w:t>
      </w:r>
      <w:r w:rsidRPr="007224C3">
        <w:rPr>
          <w:rFonts w:ascii="Times New Roman" w:hAnsi="Times New Roman"/>
          <w:color w:val="000000" w:themeColor="text1"/>
          <w:sz w:val="16"/>
          <w:szCs w:val="16"/>
        </w:rPr>
        <w:softHyphen/>
        <w:t>нию НИБТ полигона, является наличие подреза в месте перехода тела валика к хвостовику.</w:t>
      </w:r>
    </w:p>
    <w:p w14:paraId="571C164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Прошу Вашего распоряжения директору завода №112 т. Рубинчик:</w:t>
      </w:r>
    </w:p>
    <w:p w14:paraId="6B8E9E3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Проверить качество изготовления валиков на всех установленных в танках и собранных меха</w:t>
      </w:r>
      <w:r w:rsidRPr="007224C3">
        <w:rPr>
          <w:rFonts w:ascii="Times New Roman" w:hAnsi="Times New Roman"/>
          <w:color w:val="000000" w:themeColor="text1"/>
          <w:sz w:val="16"/>
          <w:szCs w:val="16"/>
        </w:rPr>
        <w:softHyphen/>
        <w:t>низмах поворота башни и негодные заменить.</w:t>
      </w:r>
    </w:p>
    <w:p w14:paraId="5958A5A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В 2-дневный срок выслать в распоряжение ТУ ГБТУ КА 26 валиков и бригаду специалистов, для замены валиков в механизмах поворота башни в гарантийных танках и танках, отправленных в войсковую часть.</w:t>
      </w:r>
    </w:p>
    <w:p w14:paraId="38D8EE3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 Вашем решении прошу поставить меня в известность.</w:t>
      </w:r>
    </w:p>
    <w:p w14:paraId="75384E7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ГБТУ Красной Армии генерал-лейтенант танковых войск Вершинин</w:t>
      </w:r>
    </w:p>
    <w:p w14:paraId="0C26D67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начальника ТУ ГБТУ Красной Армии инженер-подполковник Муравич</w:t>
      </w:r>
    </w:p>
    <w:p w14:paraId="48FE65B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38. Оп. 11355. Д. 2218. Л. 12. Копия (11403).</w:t>
      </w:r>
    </w:p>
    <w:p w14:paraId="629169E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7F97F0B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февраля 1944 г. была подготовлена ДОКЛАДНАЯ ЗАПИСКА ЗАМЕСТИТЕЛЯ НАЧАЛЬНИКА ГБТУ КА ЗАМЕСТИТЕЛЮ НАРКОМА ВНЕШНЕЙ ТОРГОВЛИ СССР И.О. СЕМИЧАСТНОВУ ОБ ОБЕСПЕЧЕНИИ ИМПОРТНОЙ БРОНЕТЕХНИКИ НАСТАВЛЕНИЯМИ, ПАМЯТКАМИ И ИНСТРУКЦИЯМИ НА РУССКОМ ЯЗЫКЕ № 520641</w:t>
      </w:r>
    </w:p>
    <w:p w14:paraId="02FAB91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Вместе с бронетанковой материальной частью, поступающей на вооружение Красной Армии из Англии и Америки, прибывает техническая литература только на английском языке, вследствие этого использовать ее экипажами не представляется возможным.</w:t>
      </w:r>
    </w:p>
    <w:p w14:paraId="679B266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Организация перевода технической литературы и ее издание на русский язык занимает очень продолжительное время.</w:t>
      </w:r>
    </w:p>
    <w:p w14:paraId="461C499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Отсутствие указанной литературы сильно затрудняет организацию технически правильной экс</w:t>
      </w:r>
      <w:r w:rsidRPr="007224C3">
        <w:rPr>
          <w:rFonts w:ascii="Times New Roman" w:hAnsi="Times New Roman"/>
          <w:color w:val="000000" w:themeColor="text1"/>
          <w:sz w:val="16"/>
          <w:szCs w:val="16"/>
        </w:rPr>
        <w:softHyphen/>
        <w:t>плуатации боевой техники.</w:t>
      </w:r>
    </w:p>
    <w:p w14:paraId="463FAAA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Прошу поставить вопрос перед соответствующими организациями в Англии и Америке о следующем:</w:t>
      </w:r>
    </w:p>
    <w:p w14:paraId="1382942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Обеспечивать каждую боевую единицу (танк М4-А2, «Валентин», СУ-57, СУ-37, М-10, Т-70, бро</w:t>
      </w:r>
      <w:r w:rsidRPr="007224C3">
        <w:rPr>
          <w:rFonts w:ascii="Times New Roman" w:hAnsi="Times New Roman"/>
          <w:color w:val="000000" w:themeColor="text1"/>
          <w:sz w:val="16"/>
          <w:szCs w:val="16"/>
        </w:rPr>
        <w:softHyphen/>
        <w:t>нетранспортеры М-2, МЗ-А1, МК-1) наставлением, памяткой и инструкциями на русском языке.</w:t>
      </w:r>
    </w:p>
    <w:p w14:paraId="13793FB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В дальнейшем высылать (на русском языке) на каждую новую марку машин 300-400 экземпля</w:t>
      </w:r>
      <w:r w:rsidRPr="007224C3">
        <w:rPr>
          <w:rFonts w:ascii="Times New Roman" w:hAnsi="Times New Roman"/>
          <w:color w:val="000000" w:themeColor="text1"/>
          <w:sz w:val="16"/>
          <w:szCs w:val="16"/>
        </w:rPr>
        <w:softHyphen/>
        <w:t>ров наглядных пособий (схем, плакатов) для облегчения изучения материальной части.</w:t>
      </w:r>
    </w:p>
    <w:p w14:paraId="2D8EB3F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начальника ГБТУ Красной Армии генерал-лейтенант инженерно-танковой службы Лебедев</w:t>
      </w:r>
    </w:p>
    <w:p w14:paraId="5699D13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начальника отдела ТУ ГБТУ Красной Армии инженер-подполковник Муравич</w:t>
      </w:r>
    </w:p>
    <w:p w14:paraId="65FBC1F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38. Оп. 11355. Д. 2190. Л. 12. Копия (11403).</w:t>
      </w:r>
    </w:p>
    <w:p w14:paraId="064DB15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1BAADE5" w14:textId="77777777" w:rsidR="000227A2" w:rsidRPr="007224C3" w:rsidRDefault="000227A2" w:rsidP="007224C3">
      <w:pPr>
        <w:spacing w:after="0" w:line="240" w:lineRule="auto"/>
        <w:jc w:val="both"/>
        <w:rPr>
          <w:rFonts w:ascii="Times New Roman" w:hAnsi="Times New Roman"/>
          <w:color w:val="0070C0"/>
          <w:sz w:val="16"/>
          <w:szCs w:val="16"/>
        </w:rPr>
      </w:pPr>
      <w:bookmarkStart w:id="3" w:name="bookmark55"/>
      <w:r w:rsidRPr="007224C3">
        <w:rPr>
          <w:rFonts w:ascii="Times New Roman" w:hAnsi="Times New Roman"/>
          <w:color w:val="0070C0"/>
          <w:sz w:val="16"/>
          <w:szCs w:val="16"/>
        </w:rPr>
        <w:t>10 февраля 1944 первый и второй прототипы Т- 44 (на последнем башню со 122-мм орудием заменили опытной башней от Т-43 с 85-мм орудием Д-5Т) отправили в НИИБТ для про</w:t>
      </w:r>
      <w:r w:rsidRPr="007224C3">
        <w:rPr>
          <w:rFonts w:ascii="Times New Roman" w:hAnsi="Times New Roman"/>
          <w:color w:val="0070C0"/>
          <w:sz w:val="16"/>
          <w:szCs w:val="16"/>
        </w:rPr>
        <w:softHyphen/>
        <w:t>ведения полигонных испытаний. Как обычно бывает, они выявили целый букет конструк</w:t>
      </w:r>
      <w:r w:rsidRPr="007224C3">
        <w:rPr>
          <w:rFonts w:ascii="Times New Roman" w:hAnsi="Times New Roman"/>
          <w:color w:val="0070C0"/>
          <w:sz w:val="16"/>
          <w:szCs w:val="16"/>
        </w:rPr>
        <w:softHyphen/>
        <w:t>тивных недостатков, которые, однако, каза</w:t>
      </w:r>
      <w:r w:rsidRPr="007224C3">
        <w:rPr>
          <w:rFonts w:ascii="Times New Roman" w:hAnsi="Times New Roman"/>
          <w:color w:val="0070C0"/>
          <w:sz w:val="16"/>
          <w:szCs w:val="16"/>
        </w:rPr>
        <w:softHyphen/>
        <w:t>лись вполне исправимыми. Так, отмечалась необходимость улучшения температурного режима работы двигателя, повышение надежности привода вентилятора и редукто</w:t>
      </w:r>
      <w:r w:rsidRPr="007224C3">
        <w:rPr>
          <w:rFonts w:ascii="Times New Roman" w:hAnsi="Times New Roman"/>
          <w:color w:val="0070C0"/>
          <w:sz w:val="16"/>
          <w:szCs w:val="16"/>
        </w:rPr>
        <w:softHyphen/>
        <w:t>ра трансмиссии, была рекомендована уста</w:t>
      </w:r>
      <w:r w:rsidRPr="007224C3">
        <w:rPr>
          <w:rFonts w:ascii="Times New Roman" w:hAnsi="Times New Roman"/>
          <w:color w:val="0070C0"/>
          <w:sz w:val="16"/>
          <w:szCs w:val="16"/>
        </w:rPr>
        <w:softHyphen/>
        <w:t>новка новой планетарной трансмиссии, но, главное, военные потребовали усилить бро</w:t>
      </w:r>
      <w:r w:rsidRPr="007224C3">
        <w:rPr>
          <w:rFonts w:ascii="Times New Roman" w:hAnsi="Times New Roman"/>
          <w:color w:val="0070C0"/>
          <w:sz w:val="16"/>
          <w:szCs w:val="16"/>
        </w:rPr>
        <w:softHyphen/>
        <w:t>нирование лобовой части корпуса до 90 мм.</w:t>
      </w:r>
    </w:p>
    <w:p w14:paraId="01AE06CF" w14:textId="77777777" w:rsidR="000227A2" w:rsidRPr="007224C3" w:rsidRDefault="000227A2"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Учесть эти замечания, доработав кон</w:t>
      </w:r>
      <w:r w:rsidRPr="007224C3">
        <w:rPr>
          <w:rFonts w:ascii="Times New Roman" w:hAnsi="Times New Roman"/>
          <w:color w:val="0070C0"/>
          <w:sz w:val="16"/>
          <w:szCs w:val="16"/>
        </w:rPr>
        <w:softHyphen/>
        <w:t>струкцию машины, предполагалась на сле</w:t>
      </w:r>
      <w:r w:rsidRPr="007224C3">
        <w:rPr>
          <w:rFonts w:ascii="Times New Roman" w:hAnsi="Times New Roman"/>
          <w:color w:val="0070C0"/>
          <w:sz w:val="16"/>
          <w:szCs w:val="16"/>
        </w:rPr>
        <w:softHyphen/>
        <w:t>дующей партии прототипов, которые должны были быть построены к 15 апреля 1944 года (в литературе их называют - Т-44 второго варианта или второй модификации). Однако машины удалось окончить только в мае и июне (соответственно, первая и вторая). Ответственность за срыв сроков завод №183 разделил со смежниками, которые задержи</w:t>
      </w:r>
      <w:r w:rsidRPr="007224C3">
        <w:rPr>
          <w:rFonts w:ascii="Times New Roman" w:hAnsi="Times New Roman"/>
          <w:color w:val="0070C0"/>
          <w:sz w:val="16"/>
          <w:szCs w:val="16"/>
        </w:rPr>
        <w:softHyphen/>
        <w:t>вали поставки необходимых комплектующих (например, торсионы с Кировского завода не были получены до 22 апреля 1944 года). Кроме комплектных машин по требованию военных был также изготовлен броневой корпус с башней для испытания их обстре</w:t>
      </w:r>
      <w:r w:rsidRPr="007224C3">
        <w:rPr>
          <w:rFonts w:ascii="Times New Roman" w:hAnsi="Times New Roman"/>
          <w:color w:val="0070C0"/>
          <w:sz w:val="16"/>
          <w:szCs w:val="16"/>
        </w:rPr>
        <w:softHyphen/>
        <w:t>лом.</w:t>
      </w:r>
    </w:p>
    <w:p w14:paraId="0C47D3CC" w14:textId="77777777" w:rsidR="000227A2" w:rsidRPr="007224C3" w:rsidRDefault="000227A2"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Т-44 второго варианта получили новую литую башню. По форме башня была близка к башням, устанавливавшимся на Т-34-85. По сравнению со старой башней ее высота уменьшилась на 75 мм. Толщина брони в передней части доходила до 115 мм, борта имели толщину до 90 мм, толщина литой маски пушки была доведена до 120 мм. В башне устанавливалось 85-мм орудие ЗиС-С- 53, которое с 15 января 1944 года было запу</w:t>
      </w:r>
      <w:r w:rsidRPr="007224C3">
        <w:rPr>
          <w:rFonts w:ascii="Times New Roman" w:hAnsi="Times New Roman"/>
          <w:color w:val="0070C0"/>
          <w:sz w:val="16"/>
          <w:szCs w:val="16"/>
        </w:rPr>
        <w:softHyphen/>
        <w:t>щено в серийное производство и было гораз</w:t>
      </w:r>
      <w:r w:rsidRPr="007224C3">
        <w:rPr>
          <w:rFonts w:ascii="Times New Roman" w:hAnsi="Times New Roman"/>
          <w:color w:val="0070C0"/>
          <w:sz w:val="16"/>
          <w:szCs w:val="16"/>
        </w:rPr>
        <w:softHyphen/>
        <w:t>до дешевле и проще, чем Д-5Т. По сравнению с первыми прототипами боекомплект умень</w:t>
      </w:r>
      <w:r w:rsidRPr="007224C3">
        <w:rPr>
          <w:rFonts w:ascii="Times New Roman" w:hAnsi="Times New Roman"/>
          <w:color w:val="0070C0"/>
          <w:sz w:val="16"/>
          <w:szCs w:val="16"/>
        </w:rPr>
        <w:softHyphen/>
        <w:t>шился до 51 выстрела.</w:t>
      </w:r>
    </w:p>
    <w:p w14:paraId="3A94ED1D" w14:textId="77777777" w:rsidR="000227A2" w:rsidRPr="007224C3" w:rsidRDefault="000227A2" w:rsidP="007224C3">
      <w:pPr>
        <w:pStyle w:val="30a"/>
        <w:framePr w:w="122" w:h="160" w:wrap="around" w:hAnchor="margin" w:x="3875" w:y="1994"/>
        <w:shd w:val="clear" w:color="auto" w:fill="auto"/>
        <w:spacing w:line="240" w:lineRule="auto"/>
        <w:jc w:val="both"/>
        <w:rPr>
          <w:rFonts w:ascii="Times New Roman" w:hAnsi="Times New Roman" w:cs="Times New Roman"/>
          <w:color w:val="0070C0"/>
        </w:rPr>
      </w:pPr>
      <w:r w:rsidRPr="007224C3">
        <w:rPr>
          <w:rFonts w:ascii="Times New Roman" w:hAnsi="Times New Roman" w:cs="Times New Roman"/>
          <w:color w:val="0070C0"/>
          <w:lang w:val="ru"/>
        </w:rPr>
        <w:t>-</w:t>
      </w:r>
      <w:r w:rsidRPr="007224C3">
        <w:rPr>
          <w:rFonts w:ascii="Times New Roman" w:hAnsi="Times New Roman" w:cs="Times New Roman"/>
          <w:color w:val="0070C0"/>
          <w:lang w:val="en-US"/>
        </w:rPr>
        <w:t>s</w:t>
      </w:r>
    </w:p>
    <w:p w14:paraId="7E593E40" w14:textId="77777777" w:rsidR="000227A2" w:rsidRPr="007224C3" w:rsidRDefault="000227A2" w:rsidP="007224C3">
      <w:pPr>
        <w:pStyle w:val="48"/>
        <w:framePr w:w="25" w:h="120" w:wrap="around" w:hAnchor="margin" w:x="8389" w:y="748"/>
        <w:shd w:val="clear" w:color="auto" w:fill="auto"/>
        <w:spacing w:line="240" w:lineRule="auto"/>
        <w:jc w:val="both"/>
        <w:rPr>
          <w:rFonts w:ascii="Times New Roman" w:hAnsi="Times New Roman" w:cs="Times New Roman"/>
          <w:color w:val="0070C0"/>
          <w:sz w:val="16"/>
          <w:szCs w:val="16"/>
        </w:rPr>
      </w:pPr>
      <w:r w:rsidRPr="007224C3">
        <w:rPr>
          <w:rFonts w:ascii="Times New Roman" w:hAnsi="Times New Roman" w:cs="Times New Roman"/>
          <w:color w:val="0070C0"/>
          <w:sz w:val="16"/>
          <w:szCs w:val="16"/>
        </w:rPr>
        <w:t>I</w:t>
      </w:r>
    </w:p>
    <w:p w14:paraId="40B60E2B" w14:textId="77777777" w:rsidR="000227A2" w:rsidRPr="007224C3" w:rsidRDefault="000227A2" w:rsidP="007224C3">
      <w:pPr>
        <w:shd w:val="clear" w:color="auto" w:fill="FFFFFF"/>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Конструкция корпуса изменилась мало. Для повышения бронестойкости существен</w:t>
      </w:r>
      <w:r w:rsidRPr="007224C3">
        <w:rPr>
          <w:rFonts w:ascii="Times New Roman" w:hAnsi="Times New Roman"/>
          <w:color w:val="0070C0"/>
          <w:sz w:val="16"/>
          <w:szCs w:val="16"/>
        </w:rPr>
        <w:softHyphen/>
        <w:t>но понизили бронерубку механика-водителя и нарастили ее стенки до 100 мм, но толщина лобовых листов осталась прежней - 75 мм, правда, увеличили наклон нижнего лобового листа до 45 градусов. Были забронированы натяжные механизмы гусениц. Толщина бор</w:t>
      </w:r>
      <w:r w:rsidRPr="007224C3">
        <w:rPr>
          <w:rFonts w:ascii="Times New Roman" w:hAnsi="Times New Roman"/>
          <w:color w:val="0070C0"/>
          <w:sz w:val="16"/>
          <w:szCs w:val="16"/>
        </w:rPr>
        <w:softHyphen/>
        <w:t>тов корпуса на двух прототипах второго варианта различалась. Один имел борта тол</w:t>
      </w:r>
      <w:r w:rsidRPr="007224C3">
        <w:rPr>
          <w:rFonts w:ascii="Times New Roman" w:hAnsi="Times New Roman"/>
          <w:color w:val="0070C0"/>
          <w:sz w:val="16"/>
          <w:szCs w:val="16"/>
        </w:rPr>
        <w:softHyphen/>
        <w:t>щиной 60 мм, другой - 75 мм, однако в обоих случаях, в отличие от первых прототипов, толщина борта была одинаковой по всей высоте. Интересно, что бронекорпус, предна</w:t>
      </w:r>
      <w:r w:rsidRPr="007224C3">
        <w:rPr>
          <w:rFonts w:ascii="Times New Roman" w:hAnsi="Times New Roman"/>
          <w:color w:val="0070C0"/>
          <w:sz w:val="16"/>
          <w:szCs w:val="16"/>
        </w:rPr>
        <w:softHyphen/>
        <w:t>значенный для обстрела, имел борта еще переменной толщины - 75 мм в верхней части и 40 мм - в нижней.</w:t>
      </w:r>
    </w:p>
    <w:p w14:paraId="234A5746" w14:textId="77777777" w:rsidR="000227A2" w:rsidRPr="007224C3" w:rsidRDefault="000227A2"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Предназначавшийся специально для Т-44 двигатель В-2-44 так и не был готов, поэтому обе машины получили дизели В-2-ИС, как и первые прототипы. Подверглась некоторым изменениям ходовая часть: для оптимально</w:t>
      </w:r>
      <w:r w:rsidRPr="007224C3">
        <w:rPr>
          <w:rFonts w:ascii="Times New Roman" w:hAnsi="Times New Roman"/>
          <w:color w:val="0070C0"/>
          <w:sz w:val="16"/>
          <w:szCs w:val="16"/>
        </w:rPr>
        <w:softHyphen/>
        <w:t>го распределения нагрузки первый опорный каток сместили вперед, а два последних - к корме танка. Сами катки имели пониженный резиновый массив. Правда, на испытаниях эти катки показали себя неважно - резино</w:t>
      </w:r>
      <w:r w:rsidRPr="007224C3">
        <w:rPr>
          <w:rFonts w:ascii="Times New Roman" w:hAnsi="Times New Roman"/>
          <w:color w:val="0070C0"/>
          <w:sz w:val="16"/>
          <w:szCs w:val="16"/>
        </w:rPr>
        <w:softHyphen/>
        <w:t>вые бандажи неоднократно разрушались и катки выходили из строя. Поэтому рекомен</w:t>
      </w:r>
      <w:r w:rsidRPr="007224C3">
        <w:rPr>
          <w:rFonts w:ascii="Times New Roman" w:hAnsi="Times New Roman"/>
          <w:color w:val="0070C0"/>
          <w:sz w:val="16"/>
          <w:szCs w:val="16"/>
        </w:rPr>
        <w:softHyphen/>
        <w:t>довалось вернуться к серийным опорным каткам с резиновым массивом нормальной высоты (19935).</w:t>
      </w:r>
    </w:p>
    <w:p w14:paraId="7602CF20" w14:textId="77777777" w:rsidR="000227A2" w:rsidRPr="007224C3" w:rsidRDefault="000227A2" w:rsidP="007224C3">
      <w:pPr>
        <w:spacing w:after="0" w:line="240" w:lineRule="auto"/>
        <w:jc w:val="both"/>
        <w:rPr>
          <w:rFonts w:ascii="Times New Roman" w:hAnsi="Times New Roman"/>
          <w:color w:val="0070C0"/>
          <w:sz w:val="16"/>
          <w:szCs w:val="16"/>
        </w:rPr>
      </w:pPr>
    </w:p>
    <w:bookmarkEnd w:id="3"/>
    <w:p w14:paraId="6D98694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февраля 1944 г. руководство Главмотовелопрома издало приказ № 7, предусматривавший следующие технические мероприятия:</w:t>
      </w:r>
    </w:p>
    <w:p w14:paraId="0B0BEED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к 1 марта 1944 г. - усиление передней шпильки крепления мотора, а также увеличение диаметра колесных спиц до 4 мм;</w:t>
      </w:r>
    </w:p>
    <w:p w14:paraId="63D64EF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к 15 марта 1944 г. - установление хомутика на всасывающем патрубке;</w:t>
      </w:r>
    </w:p>
    <w:p w14:paraId="2FA182E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к 1 мая 1944 г. - использование поковки для изготовления рычага пуска;</w:t>
      </w:r>
    </w:p>
    <w:p w14:paraId="622696F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к 1 июня 1944 г. - применение двухдискового сцепления [5.81].</w:t>
      </w:r>
    </w:p>
    <w:p w14:paraId="7D7AD93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результатам полигонных испытаний М-72, проводившихся в ГБТУ, от ГМЗ, помимо перечисленного, военные специалисты требовали:</w:t>
      </w:r>
    </w:p>
    <w:p w14:paraId="6CEC48D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замены металла крышки задней передачи АЛ-5 на АЛ-9;</w:t>
      </w:r>
    </w:p>
    <w:p w14:paraId="3FB2E73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повышения упругости пружин передней вилки;</w:t>
      </w:r>
    </w:p>
    <w:p w14:paraId="4D5D597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повышения передаточного отношения редуктора заднего колеса с 3,86 до 4,62;</w:t>
      </w:r>
    </w:p>
    <w:p w14:paraId="113CEE7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 устранения влияния причин, снижавших мощность двига</w:t>
      </w:r>
      <w:r w:rsidRPr="007224C3">
        <w:rPr>
          <w:rFonts w:ascii="Times New Roman" w:hAnsi="Times New Roman"/>
          <w:color w:val="000000" w:themeColor="text1"/>
          <w:sz w:val="16"/>
          <w:szCs w:val="16"/>
        </w:rPr>
        <w:softHyphen/>
        <w:t>тель с 20-22 л.с. до 16-18 л.с.;</w:t>
      </w:r>
    </w:p>
    <w:p w14:paraId="6994F75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крепления к багажнику кожаной сумки от мотоцикла «Хар-лей-Дэвидсон»</w:t>
      </w:r>
    </w:p>
    <w:p w14:paraId="12E2841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испытаниях выяснилось, что М-72, сделанные на ГМЗ, выдержали гарантированный пробег 15 тыс. км с незначительны</w:t>
      </w:r>
      <w:r w:rsidRPr="007224C3">
        <w:rPr>
          <w:rFonts w:ascii="Times New Roman" w:hAnsi="Times New Roman"/>
          <w:color w:val="000000" w:themeColor="text1"/>
          <w:sz w:val="16"/>
          <w:szCs w:val="16"/>
        </w:rPr>
        <w:softHyphen/>
        <w:t>ми отказами и поломками [5.82]. Это свидетельствовало об ус</w:t>
      </w:r>
      <w:r w:rsidRPr="007224C3">
        <w:rPr>
          <w:rFonts w:ascii="Times New Roman" w:hAnsi="Times New Roman"/>
          <w:color w:val="000000" w:themeColor="text1"/>
          <w:sz w:val="16"/>
          <w:szCs w:val="16"/>
        </w:rPr>
        <w:softHyphen/>
        <w:t>пешной работе ГМЗ в деле повышения качества М-72 (11429).</w:t>
      </w:r>
    </w:p>
    <w:p w14:paraId="16F2A0B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750BE943" w14:textId="77777777" w:rsidR="009D1B58" w:rsidRPr="007224C3" w:rsidRDefault="009D1B5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10 февраля 1944 завод сдал 23 машины ИСУ-152, ещё за 20 дней — 45 штук, а всего за данный месяц — 75 машин: влияние перестройки производства стало ещё более заметным.</w:t>
      </w:r>
    </w:p>
    <w:p w14:paraId="6500A14E" w14:textId="77777777" w:rsidR="009D1B58" w:rsidRPr="007224C3" w:rsidRDefault="009D1B5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начала февраля новые САУ получили название ИСУ-152, что позволило не путать танки и САУ (18171).</w:t>
      </w:r>
    </w:p>
    <w:p w14:paraId="643911D0" w14:textId="77777777" w:rsidR="009D1B58" w:rsidRPr="007224C3" w:rsidRDefault="009D1B58" w:rsidP="007224C3">
      <w:pPr>
        <w:spacing w:after="0" w:line="240" w:lineRule="auto"/>
        <w:jc w:val="both"/>
        <w:rPr>
          <w:rFonts w:ascii="Times New Roman" w:hAnsi="Times New Roman"/>
          <w:color w:val="000000" w:themeColor="text1"/>
          <w:sz w:val="16"/>
          <w:szCs w:val="16"/>
        </w:rPr>
      </w:pPr>
    </w:p>
    <w:p w14:paraId="7C6D48A7"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февраля 1944 вышло Распоряжение ГКО № 5139 [О включении в 75-й автополк двух автобатальонов, работающих на вывозе угля, и уменьшении мобилизации на нужды армии автомашин и шоферов комбината "Сталинуголь".] (7186, 157).</w:t>
      </w:r>
    </w:p>
    <w:p w14:paraId="078924AF"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351045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февраля 1944 вышло Постановление ГКО № 5140 Об утверждении программы военного судостроения на 1944 год и I квартал 1944 года. РГАНИР, Фонд ГКО, д. 207, лл. 158-172,173-212 (11012).</w:t>
      </w:r>
    </w:p>
    <w:p w14:paraId="46209BB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6C022C45"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2A6931C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0A7698D" w14:textId="77777777" w:rsidR="00583EED" w:rsidRPr="007224C3" w:rsidRDefault="00583EED"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10 февраля</w:t>
      </w:r>
      <w:r w:rsidRPr="007224C3">
        <w:rPr>
          <w:rFonts w:ascii="Times New Roman" w:hAnsi="Times New Roman"/>
          <w:color w:val="000000" w:themeColor="text1"/>
          <w:sz w:val="16"/>
          <w:szCs w:val="16"/>
        </w:rPr>
        <w:t xml:space="preserve"> в 1944 году оперативная сводка Совинформбюро:</w:t>
      </w:r>
    </w:p>
    <w:p w14:paraId="5188F9EC" w14:textId="77777777" w:rsidR="00583EED" w:rsidRPr="007224C3" w:rsidRDefault="00583EE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10 февраля на Лужском направлении наши войска, продолжая наступление, овладели населёнными пунктами Замостье, Ветчины, Заозерье, Крестьянский Труд, Толмачёво, Жельцы, Плосково и железнодорожной станцией Толмачёво.</w:t>
      </w:r>
    </w:p>
    <w:p w14:paraId="0EE8B951" w14:textId="77777777" w:rsidR="00583EED" w:rsidRPr="007224C3" w:rsidRDefault="00583EE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и юго-западнее Новгорода наши войска продолжали вести наступательные бои, в ходе которых заняли несколько населённых пунктов.</w:t>
      </w:r>
    </w:p>
    <w:p w14:paraId="1119FF18" w14:textId="77777777" w:rsidR="00583EED" w:rsidRPr="007224C3" w:rsidRDefault="00583EE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Севернее Звенигородка и Шпола наши войска продолжали вести бои по уничтожению окружённой группировки противника и, сжимая кольцо окружения, овладели населёнными пунктами Яновка, Нехворощь, Завадовка, Набоков Хутор, Середин Яр, Яхнов, Млеев, Грузька и железнодорожными станциями Валява, Завадовка.</w:t>
      </w:r>
    </w:p>
    <w:p w14:paraId="2D5BE4B5" w14:textId="77777777" w:rsidR="00583EED" w:rsidRPr="007224C3" w:rsidRDefault="00583EE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Апостолово наши войска вели наступательные бои и заняли несколько населённых пунктов.</w:t>
      </w:r>
    </w:p>
    <w:p w14:paraId="3961B4F1" w14:textId="77777777" w:rsidR="00583EED" w:rsidRPr="007224C3" w:rsidRDefault="00583EE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 разведка, артиллерийско-миномётная перестрелка и в ряде пунктов бои местного значения.</w:t>
      </w:r>
    </w:p>
    <w:p w14:paraId="74675C70" w14:textId="77777777" w:rsidR="00583EED" w:rsidRPr="007224C3" w:rsidRDefault="00583EE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9 февраля наши войска на всех фронтах подбили и уничтожили 43 немецких танка. В воздушных боях и огнём зенитной артиллерии сбито 29 самолётов противника.</w:t>
      </w:r>
    </w:p>
    <w:p w14:paraId="3C521B31" w14:textId="77777777" w:rsidR="00583EED" w:rsidRPr="007224C3" w:rsidRDefault="00583EE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Лужском направлении наши войска продолжали наступление. Части Н-ского соединения, совершив обходный манёвр, перехватили пути отхода противника и уничтожили до 400 гитлеровцев. В этом же районе захвачено у немцев 10 орудий, 20 крупнокалиберных пулемётов и 70 повозок с грузами. Сегодня наши войска, с боями продвигаясь вперёд, овладели несколькими населёнными пунктами и железнодорожной станцией Толмачёво, имеющей важное значение.</w:t>
      </w:r>
    </w:p>
    <w:p w14:paraId="34E9ECDC" w14:textId="77777777" w:rsidR="00583EED" w:rsidRPr="007224C3" w:rsidRDefault="00583EE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и юго-западнее города Новгорода наши войска вели наступательные бои и заняли несколько населённых пунктов. В боях за эти пункты уничтожено свыше 500 немецких солдат и офицеров, подбито 3 танка и 2 самоходных орудия.</w:t>
      </w:r>
    </w:p>
    <w:p w14:paraId="0D308765" w14:textId="77777777" w:rsidR="00583EED" w:rsidRPr="007224C3" w:rsidRDefault="00583EE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Советская авиация бомбила и штурмовала войска противника. В течение дня наши лётчики взорвали 3 немецких железнодорожных эшелона, уничтожили 8 полевых и самоходных орудий, 60 автомашин, склад боеприпасов, рассеяли и частью истребили до батальона пехоты противника.</w:t>
      </w:r>
    </w:p>
    <w:p w14:paraId="19C6EE82" w14:textId="77777777" w:rsidR="00583EED" w:rsidRPr="007224C3" w:rsidRDefault="00583EE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Севернее городов Звенигородка и Шпола наши войска вели бои по уничтожению окружённой группировки противника. Части Н-ского соединения, сломив сопротивление немцев, заняли крупный опорный пункт — село Яновку. Бойцы другого нашего соединения овладели населёнными пунктами Завадовка, Набоков Хутор, Середин Яр, Яхнов и Млеев. На этом участке наши войска отрезали несколько немецких подразделений от основной вражеской группировки и уничтожают их. На подступах и на улицах занятого вчера советскими войсками районного центра Киевской области Городище подсчитано свыше 1.000 трупов гитлеровцев. Захвачено унемцев 24 орудия, 65 пулемётов и более 1.000 автомашин.</w:t>
      </w:r>
    </w:p>
    <w:p w14:paraId="7FB8A945" w14:textId="77777777" w:rsidR="00583EED" w:rsidRPr="007224C3" w:rsidRDefault="00583EE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Наши лётчики срывают попытки противника доставить грузы окружённым немецким дивизиям. В воздушных боях за день сбито 10 трехмоторный транспортных самолётов«Ю-52» и 4 немецких истребителя.</w:t>
      </w:r>
    </w:p>
    <w:p w14:paraId="6A42B72C" w14:textId="77777777" w:rsidR="00583EED" w:rsidRPr="007224C3" w:rsidRDefault="00583EE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города Апостолово наши войска с боями заняли несколько населённых пунктов. В одном районе бойцы Н-ской части зашли в тыл противника и атаковали отступавшую немецкую часть. В ходе боя уничтожено до 700 гитлеровцев. Взята вплен значительная группа немецких солдат и офицеров. На другом участке советские бойцы, продвигаясь вперёд, истребили три роты гитлеровцев, уничтожили 15 орудий и захватили 95 автомашин с грузами.</w:t>
      </w:r>
    </w:p>
    <w:p w14:paraId="1C79FD9C" w14:textId="77777777" w:rsidR="00583EED" w:rsidRPr="007224C3" w:rsidRDefault="00583EE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Партизанский отряд, действующий в одном из районов Волынской области, из засады напал на колонну противника. Партизаны уничтожили 17 автомашин, в том числе одну легковую автомашину с четырьмя немецкими офицерами. Убито и ранено 90 гитлеровцев. Партизаны другого отряда пустили под откос немецкий бронепоезд.</w:t>
      </w:r>
    </w:p>
    <w:p w14:paraId="0F030F5C" w14:textId="77777777" w:rsidR="00583EED" w:rsidRPr="007224C3" w:rsidRDefault="00583EE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Советское информбюро 31 января сообщило, что венгерские войска продолжают принимать самое активное участие в войне против Советского Союза на стороне немцев. Венгерское телеграфное агентство решило отрицать неопровержимые факты и, ссылаясь на авторитетные венгерские круги, заявило, что «венгерские войска не принимают участия в боях на передовой линии Восточного фронта».</w:t>
      </w:r>
    </w:p>
    <w:p w14:paraId="0370ED0E" w14:textId="77777777" w:rsidR="00583EED" w:rsidRPr="007224C3" w:rsidRDefault="00583EE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Участие венгерских войск на передовой линии фронта на стороне немцев проверено в боях. Сотни венгерских солдат и офицеров за последнее время взяты вплен. Законно встаёт вопрос о том, что же они делали на поле боя и притом не в одиночку, а целыми соединениями?</w:t>
      </w:r>
    </w:p>
    <w:p w14:paraId="1E42E125" w14:textId="77777777" w:rsidR="00583EED" w:rsidRPr="007224C3" w:rsidRDefault="00583EE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 факт пленения венгров опровергает лживые заявления Венгерского телеграфного агентства. Только на-днях советские войска захватили в плен большое количество солдат 18 и 19 венгерских дивизий и других соединений. Пленный младший сержант 2 батареи 89 венгерского артдивизиона Добоши Ферену заявил: «89-й артдивизион придан 35 пехотному полку 19 лёгкой пехотной дивизии. Я прибылна фронт весной 1943 года с большим транспортом венгерских войск. Нас прислали на смену 2-й венгерской армии, разбитой на Дону. Наша дивизия уже продолжительное время участвует в боях. Она понесла большие потери. Многие солдаты, не желая воевать, спрашивали офицеров: «Зачем нас сюда пригнали?» Недавно группа солдат дезертировала. Беглецов поймали и предали военно-полевомусуду. Они были приговорены к смертной казни и расстреляны в районе расположения 105 венгерского госпиталя».</w:t>
      </w:r>
    </w:p>
    <w:p w14:paraId="06C3FE9E" w14:textId="77777777" w:rsidR="00583EED" w:rsidRPr="007224C3" w:rsidRDefault="00583EE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угоду Гитлеру правящие круги Венгрии гонят венгерских солдат на убой и в тоже время лицемерно заявляют, что венгерские войска не воюют на советско-германском фронте. Но правду не скроешь. Показания пленных венгерских солдат ещё и ещё раз разоблачают венгерских гитлеровцев.» (15036).</w:t>
      </w:r>
    </w:p>
    <w:p w14:paraId="280BB364" w14:textId="77777777" w:rsidR="00583EED" w:rsidRPr="007224C3" w:rsidRDefault="00583EED" w:rsidP="007224C3">
      <w:pPr>
        <w:spacing w:after="0" w:line="240" w:lineRule="auto"/>
        <w:jc w:val="both"/>
        <w:rPr>
          <w:rFonts w:ascii="Times New Roman" w:hAnsi="Times New Roman"/>
          <w:color w:val="000000" w:themeColor="text1"/>
          <w:sz w:val="16"/>
          <w:szCs w:val="16"/>
        </w:rPr>
      </w:pPr>
    </w:p>
    <w:p w14:paraId="63EDBB7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февраля 1944 года пилоты 6го ГИАП и 25-го ИАП совершили 123 боевых вылета и в 24 боях сбили 19 вражеских машин. Советская сторона также понесла потери. В тот день не повезло асу шестого полка, капитану М. Грибу, который совершил вынужденную посадку на территории, занятой противником (2691).</w:t>
      </w:r>
    </w:p>
    <w:p w14:paraId="323D067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2ECFD6" w14:textId="77777777" w:rsidR="00BD6B74" w:rsidRPr="007224C3" w:rsidRDefault="00BD6B74" w:rsidP="007224C3">
      <w:pPr>
        <w:pStyle w:val="ae"/>
        <w:shd w:val="clear" w:color="auto" w:fill="FFFFFF"/>
        <w:spacing w:before="0" w:after="0"/>
        <w:jc w:val="both"/>
        <w:rPr>
          <w:color w:val="000000" w:themeColor="text1"/>
          <w:sz w:val="16"/>
          <w:szCs w:val="16"/>
        </w:rPr>
      </w:pPr>
      <w:r w:rsidRPr="007224C3">
        <w:rPr>
          <w:color w:val="000000" w:themeColor="text1"/>
          <w:sz w:val="16"/>
          <w:szCs w:val="16"/>
        </w:rPr>
        <w:t>10 февраля 1944 на фронт отправился 13-й гв. ттп на ИС-1. 15 числа эшелон с танками прибыл на станцию Фастов, где их заправили. Выгружались машины на станции Белая Церковь. К 7 часам утра машины были сосредоточены на южной окраине деревни Джурженцы. Туда добрались не все танки: 5 машин отстало из-за различных технических неисправностей. У трёх машин заглохли двигатели в связи с попаданием в топливную систему воздуха, ещё у двух случились другие неполадки с моторами. Хотя неисправности не были критичными, к началу боя полк оказался не в полном составе.</w:t>
      </w:r>
    </w:p>
    <w:p w14:paraId="20E82A33" w14:textId="77777777" w:rsidR="00BD6B74" w:rsidRPr="007224C3" w:rsidRDefault="00BD6B74" w:rsidP="007224C3">
      <w:pPr>
        <w:pStyle w:val="ae"/>
        <w:shd w:val="clear" w:color="auto" w:fill="FFFFFF"/>
        <w:spacing w:before="0" w:after="0"/>
        <w:jc w:val="both"/>
        <w:rPr>
          <w:color w:val="000000" w:themeColor="text1"/>
          <w:sz w:val="16"/>
          <w:szCs w:val="16"/>
        </w:rPr>
      </w:pPr>
      <w:r w:rsidRPr="007224C3">
        <w:rPr>
          <w:color w:val="000000" w:themeColor="text1"/>
          <w:sz w:val="16"/>
          <w:szCs w:val="16"/>
        </w:rPr>
        <w:t>Боевой дебют ИС-85 состоялся 19 февраля. В этот день 1-я рота (5 танков) поддерживала наступление 109-й танковой бригады в направлении на Лисянку. Дебют этот оказался неудачным: подбив Т-34 из состава 109-й тбр, «Пантеры» подпустили ИС-85 на дистанцию 600-800 метров, после чего открыли огонь. 2 советских тяжёлых танка сгорели и 3 были подбиты. Причиной полной потери 1-й роты стало неправильное применение: вместо того, чтобы пускать тяжёлые танки вторым эшелоном, их, как обычно и поступали с тяжёлыми танками, использовали в качестве тарана (17715).</w:t>
      </w:r>
    </w:p>
    <w:p w14:paraId="05A797C2" w14:textId="77777777" w:rsidR="00BD6B74" w:rsidRPr="007224C3" w:rsidRDefault="00BD6B74" w:rsidP="007224C3">
      <w:pPr>
        <w:pStyle w:val="123"/>
        <w:shd w:val="clear" w:color="auto" w:fill="auto"/>
        <w:spacing w:after="0" w:line="240" w:lineRule="auto"/>
        <w:jc w:val="both"/>
        <w:rPr>
          <w:color w:val="000000" w:themeColor="text1"/>
          <w:sz w:val="16"/>
          <w:szCs w:val="16"/>
        </w:rPr>
      </w:pPr>
    </w:p>
    <w:p w14:paraId="0975ADE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февраля 1944 г. были подготовлены КРАТКИЕ УКАЗАНИЯ ПО БОЕВОМУ ПРИМЕНЕНИЮ ТЯЖЕЛЫХ ПОЛКОВ САМОХОДНОЙ АРТИЛЛЕРИИ ИСУ-152</w:t>
      </w:r>
    </w:p>
    <w:p w14:paraId="029DCBF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Впредь до выхода наставления по боевому применению тяжелых полков самоходной артилле</w:t>
      </w:r>
      <w:r w:rsidRPr="007224C3">
        <w:rPr>
          <w:rFonts w:ascii="Times New Roman" w:hAnsi="Times New Roman"/>
          <w:color w:val="000000" w:themeColor="text1"/>
          <w:sz w:val="16"/>
          <w:szCs w:val="16"/>
        </w:rPr>
        <w:softHyphen/>
        <w:t>рии ИСУ -152 принять к руководству следующее:</w:t>
      </w:r>
    </w:p>
    <w:p w14:paraId="7AA59F8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Общие положения</w:t>
      </w:r>
    </w:p>
    <w:p w14:paraId="3EE6337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Тяжелая самоходная установка ИСУ-152 обладает:</w:t>
      </w:r>
    </w:p>
    <w:p w14:paraId="205083B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сильной броней, защищающей ее с 1500 метров от поражения бронебойными снарядами всех танковых и противотанковых орудий противника;</w:t>
      </w:r>
    </w:p>
    <w:p w14:paraId="4BDAD60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мощной 152-мм гаубицей-пушкой, способной уничтожать огневые точки противника, находя</w:t>
      </w:r>
      <w:r w:rsidRPr="007224C3">
        <w:rPr>
          <w:rFonts w:ascii="Times New Roman" w:hAnsi="Times New Roman"/>
          <w:color w:val="000000" w:themeColor="text1"/>
          <w:sz w:val="16"/>
          <w:szCs w:val="16"/>
        </w:rPr>
        <w:softHyphen/>
        <w:t>щиеся в дотах и дзотах, пробивать бронебойным снарядом броню всех тяжелых танков и самоход</w:t>
      </w:r>
      <w:r w:rsidRPr="007224C3">
        <w:rPr>
          <w:rFonts w:ascii="Times New Roman" w:hAnsi="Times New Roman"/>
          <w:color w:val="000000" w:themeColor="text1"/>
          <w:sz w:val="16"/>
          <w:szCs w:val="16"/>
        </w:rPr>
        <w:softHyphen/>
        <w:t>ных орудий на дальностях до 2000 метров.</w:t>
      </w:r>
    </w:p>
    <w:p w14:paraId="2550D73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Тяжелые самоходные установки ИСУ-152 предназначаются:</w:t>
      </w:r>
    </w:p>
    <w:p w14:paraId="295DB75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в наступлении для уничтожения огневых точек, находящихся в дотах и дзотах, живой силы, артиллерии противника, а также для борьбы с танками и самоходными орудиями;</w:t>
      </w:r>
    </w:p>
    <w:p w14:paraId="0B506F3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в обороне в основном для борьбы с тяжелыми танками и самоходными орудиями противника.</w:t>
      </w:r>
    </w:p>
    <w:p w14:paraId="27C6365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3. Тяжелые полки самоходной артиллерии ИСУ-152 являются резервом Главного командования и при</w:t>
      </w:r>
      <w:r w:rsidRPr="007224C3">
        <w:rPr>
          <w:rFonts w:ascii="Times New Roman" w:hAnsi="Times New Roman"/>
          <w:color w:val="000000" w:themeColor="text1"/>
          <w:sz w:val="16"/>
          <w:szCs w:val="16"/>
        </w:rPr>
        <w:softHyphen/>
        <w:t>даются преимущественно танковым и механизированным корпусам из расчета один, два полка на корпус.</w:t>
      </w:r>
    </w:p>
    <w:p w14:paraId="7A1F806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наступательном бою они применяются на направлении главного удара и там, где наиболее вероятна встреча с тяжелыми танками противника.</w:t>
      </w:r>
    </w:p>
    <w:p w14:paraId="258D85E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Применению тяжелых полков самоходной артиллерии должно предшествовать тщательное изучение противника, местности и инженерных заграждений, для чего используются данные обще</w:t>
      </w:r>
      <w:r w:rsidRPr="007224C3">
        <w:rPr>
          <w:rFonts w:ascii="Times New Roman" w:hAnsi="Times New Roman"/>
          <w:color w:val="000000" w:themeColor="text1"/>
          <w:sz w:val="16"/>
          <w:szCs w:val="16"/>
        </w:rPr>
        <w:softHyphen/>
        <w:t>войсковой, инженерной, артиллерийской и танковой разведки.</w:t>
      </w:r>
    </w:p>
    <w:p w14:paraId="41568EE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Особое внимание должно быть обращено на разведку минных полей и расчистку проходов к ним.</w:t>
      </w:r>
    </w:p>
    <w:p w14:paraId="30B56FF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Тяжелые полки самоходной артиллерии выполняют боевые задачи в полном своем составе, но в зависимости от обстановки могут быть применены и побатарейно. Дробление батарей допускать нецелесообразно.</w:t>
      </w:r>
    </w:p>
    <w:p w14:paraId="3B96139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Боевой порядок тяжелого полка самоходной артиллерии состоит из боевого эшелона и резерва. Боевой порядок батарей «Линия». Состав резерва одна батарея.</w:t>
      </w:r>
    </w:p>
    <w:p w14:paraId="077ADAD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В бою командир тяжелого полка самоходной артиллерии следует в своей самоходной установ</w:t>
      </w:r>
      <w:r w:rsidRPr="007224C3">
        <w:rPr>
          <w:rFonts w:ascii="Times New Roman" w:hAnsi="Times New Roman"/>
          <w:color w:val="000000" w:themeColor="text1"/>
          <w:sz w:val="16"/>
          <w:szCs w:val="16"/>
        </w:rPr>
        <w:softHyphen/>
        <w:t>ке в боевых порядках полка, лично наблюдая за полем боя, управляет им и поддерживает связь по радио с командиром, которому подчинен, и своими подразделениями.</w:t>
      </w:r>
    </w:p>
    <w:p w14:paraId="0F2ACA3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Для наиболее целесообразного и полного использования своей огневой мощи тяжелые само</w:t>
      </w:r>
      <w:r w:rsidRPr="007224C3">
        <w:rPr>
          <w:rFonts w:ascii="Times New Roman" w:hAnsi="Times New Roman"/>
          <w:color w:val="000000" w:themeColor="text1"/>
          <w:sz w:val="16"/>
          <w:szCs w:val="16"/>
        </w:rPr>
        <w:softHyphen/>
        <w:t>ходные установки ИСУ-152 ведут огонь прямой наводкой с остановок продолжительностью [до] 2-х минут на дальностях до 3-х километров и с места при действии в обороне.</w:t>
      </w:r>
    </w:p>
    <w:p w14:paraId="779C84D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встрече сильного сопротивления в глубине обороны противника тяжелый полк самоходной артиллерии может быть привлечен для короткой артподготовки с закрытых или полузакрытых огне</w:t>
      </w:r>
      <w:r w:rsidRPr="007224C3">
        <w:rPr>
          <w:rFonts w:ascii="Times New Roman" w:hAnsi="Times New Roman"/>
          <w:color w:val="000000" w:themeColor="text1"/>
          <w:sz w:val="16"/>
          <w:szCs w:val="16"/>
        </w:rPr>
        <w:softHyphen/>
        <w:t>вых позиций.</w:t>
      </w:r>
    </w:p>
    <w:p w14:paraId="4AA0CBF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При ведении огня из тяжелой самоходной установки необходимо соблюдать экономию в сна</w:t>
      </w:r>
      <w:r w:rsidRPr="007224C3">
        <w:rPr>
          <w:rFonts w:ascii="Times New Roman" w:hAnsi="Times New Roman"/>
          <w:color w:val="000000" w:themeColor="text1"/>
          <w:sz w:val="16"/>
          <w:szCs w:val="16"/>
        </w:rPr>
        <w:softHyphen/>
        <w:t>рядах, расходуя их в основном для уничтожения огневых точек, находящихся в дотах и дзотах и для борьбы с тяжелыми танками и самоходными орудиями противника.</w:t>
      </w:r>
    </w:p>
    <w:p w14:paraId="15BD0AC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Саперный взвод тяжелого полка самоходной артиллерии предназначается для помощи тяже</w:t>
      </w:r>
      <w:r w:rsidRPr="007224C3">
        <w:rPr>
          <w:rFonts w:ascii="Times New Roman" w:hAnsi="Times New Roman"/>
          <w:color w:val="000000" w:themeColor="text1"/>
          <w:sz w:val="16"/>
          <w:szCs w:val="16"/>
        </w:rPr>
        <w:softHyphen/>
        <w:t>лым самоходным установкам в преодолении естественных и искусственных препятствий, особенно при преодолении минных полей.</w:t>
      </w:r>
    </w:p>
    <w:p w14:paraId="10529A6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Непосредственно охранение и защиту от противотанковых групп противника выполняет рота автоматчиков полка.</w:t>
      </w:r>
    </w:p>
    <w:p w14:paraId="4BF9564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Взводы, роты автоматчиков закрепляются за батареями, а отделения за самоходными установ</w:t>
      </w:r>
      <w:r w:rsidRPr="007224C3">
        <w:rPr>
          <w:rFonts w:ascii="Times New Roman" w:hAnsi="Times New Roman"/>
          <w:color w:val="000000" w:themeColor="text1"/>
          <w:sz w:val="16"/>
          <w:szCs w:val="16"/>
        </w:rPr>
        <w:softHyphen/>
        <w:t>ками и, как правило, постоянно несут службу при них. В бою автоматчики всегда находятся в готов</w:t>
      </w:r>
      <w:r w:rsidRPr="007224C3">
        <w:rPr>
          <w:rFonts w:ascii="Times New Roman" w:hAnsi="Times New Roman"/>
          <w:color w:val="000000" w:themeColor="text1"/>
          <w:sz w:val="16"/>
          <w:szCs w:val="16"/>
        </w:rPr>
        <w:softHyphen/>
        <w:t>ности оказать помощь своей самоходной установке и батарее.</w:t>
      </w:r>
    </w:p>
    <w:p w14:paraId="376FAFD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Применение тяжелых полков самоходной артиллерии в наступлении</w:t>
      </w:r>
    </w:p>
    <w:p w14:paraId="52BABBD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Основная задача тяжелого полка самоходной артиллерии ИСУ-152 состоит в том, чтобы своим внезапным и мощным огнем уничтожать тяжелые танки, самоходные орудия, огневые точки, нахо</w:t>
      </w:r>
      <w:r w:rsidRPr="007224C3">
        <w:rPr>
          <w:rFonts w:ascii="Times New Roman" w:hAnsi="Times New Roman"/>
          <w:color w:val="000000" w:themeColor="text1"/>
          <w:sz w:val="16"/>
          <w:szCs w:val="16"/>
        </w:rPr>
        <w:softHyphen/>
        <w:t>дящиеся в дотах и дзотах и артиллерию противника.</w:t>
      </w:r>
    </w:p>
    <w:p w14:paraId="60C4883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Тяжелые полки самоходной артиллерии используются массированно, на направлении главного удара для совместных действий с танковыми и механизированными соединениями и применяются:</w:t>
      </w:r>
    </w:p>
    <w:p w14:paraId="6EAB45E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для огневого сопровождения атаки танков и мотопехоты;</w:t>
      </w:r>
    </w:p>
    <w:p w14:paraId="3BA6970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как подвижный огневой резерв командира танкового (механизированного) соединения, когда расположение основной группы танков противника неопределенно и действия их неясны;</w:t>
      </w:r>
    </w:p>
    <w:p w14:paraId="00FC99D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для короткой артиллерийской обработки промежуточного оборонительного рубежа при недо</w:t>
      </w:r>
      <w:r w:rsidRPr="007224C3">
        <w:rPr>
          <w:rFonts w:ascii="Times New Roman" w:hAnsi="Times New Roman"/>
          <w:color w:val="000000" w:themeColor="text1"/>
          <w:sz w:val="16"/>
          <w:szCs w:val="16"/>
        </w:rPr>
        <w:softHyphen/>
        <w:t>статках для этого артиллерии соответствующих калибров;</w:t>
      </w:r>
    </w:p>
    <w:p w14:paraId="75A5E28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 для действия в составе штурмовых групп по уничтожению дотов.</w:t>
      </w:r>
    </w:p>
    <w:p w14:paraId="77F1568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При отражении танковой атаки тяжелые самоходные установки в первую очередь уничтожа</w:t>
      </w:r>
      <w:r w:rsidRPr="007224C3">
        <w:rPr>
          <w:rFonts w:ascii="Times New Roman" w:hAnsi="Times New Roman"/>
          <w:color w:val="000000" w:themeColor="text1"/>
          <w:sz w:val="16"/>
          <w:szCs w:val="16"/>
        </w:rPr>
        <w:softHyphen/>
        <w:t>ют тяжелые танки и самоходные орудия противника.</w:t>
      </w:r>
    </w:p>
    <w:p w14:paraId="0092331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В наступлении боевой порядок тяжелого полка самоходной артиллерии составляет по фронту 900-1200 метров и в глубину 500 метров, с интервалами между батареями 100-150 метров. Боевой порядок батареи «линия» с интервалами между самоходными установками 50-75 метров. Резерв одна батарея.</w:t>
      </w:r>
    </w:p>
    <w:p w14:paraId="03BDF6E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При постановке задач тяжелому полку самоходной артиллерии ИСУ-152 должно быть указано:</w:t>
      </w:r>
    </w:p>
    <w:p w14:paraId="29B5F30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объекты уничтожения и район расположения или возможные направления движения основ</w:t>
      </w:r>
      <w:r w:rsidRPr="007224C3">
        <w:rPr>
          <w:rFonts w:ascii="Times New Roman" w:hAnsi="Times New Roman"/>
          <w:color w:val="000000" w:themeColor="text1"/>
          <w:sz w:val="16"/>
          <w:szCs w:val="16"/>
        </w:rPr>
        <w:softHyphen/>
        <w:t>ной группы танков и самоходных орудий противника, особенно тяжелых;</w:t>
      </w:r>
    </w:p>
    <w:p w14:paraId="443A3E1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задача соединения и поддерживающей артиллерии;</w:t>
      </w:r>
    </w:p>
    <w:p w14:paraId="096C659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место в боевом порядке соединения;</w:t>
      </w:r>
    </w:p>
    <w:p w14:paraId="1E82054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исходные позиции, первые огневые позиции и время их занятия;</w:t>
      </w:r>
    </w:p>
    <w:p w14:paraId="7D107FA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ориентиры и способы целеуказания от поддерживаемых войск;</w:t>
      </w:r>
    </w:p>
    <w:p w14:paraId="7CFF13B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командный или наблюдательный пункт командира танкового или механизированного соединения;</w:t>
      </w:r>
    </w:p>
    <w:p w14:paraId="60A46E0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сборный район и порядок пополнения в бою боеприпасами и горючим.</w:t>
      </w:r>
    </w:p>
    <w:p w14:paraId="1F1F04C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В наступлении батареи тяжелого полка самоходной артиллерии, двигаясь в 300-700 м за пер</w:t>
      </w:r>
      <w:r w:rsidRPr="007224C3">
        <w:rPr>
          <w:rFonts w:ascii="Times New Roman" w:hAnsi="Times New Roman"/>
          <w:color w:val="000000" w:themeColor="text1"/>
          <w:sz w:val="16"/>
          <w:szCs w:val="16"/>
        </w:rPr>
        <w:softHyphen/>
        <w:t>вым боевым эшелоном поддерживаемого соединения, должны искусно использовать складки мест</w:t>
      </w:r>
      <w:r w:rsidRPr="007224C3">
        <w:rPr>
          <w:rFonts w:ascii="Times New Roman" w:hAnsi="Times New Roman"/>
          <w:color w:val="000000" w:themeColor="text1"/>
          <w:sz w:val="16"/>
          <w:szCs w:val="16"/>
        </w:rPr>
        <w:softHyphen/>
        <w:t>ности и укрытия. Стремясь как можно меньше задерживаться на одной огневой позиции.</w:t>
      </w:r>
    </w:p>
    <w:p w14:paraId="0407EDA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Применение тяжелых полков самоходной артиллерии ИСУ-152 в обороне</w:t>
      </w:r>
    </w:p>
    <w:p w14:paraId="3F35474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В обороне тяжелый полк самоходной артиллерии может быть придан бронетанковым и обще</w:t>
      </w:r>
      <w:r w:rsidRPr="007224C3">
        <w:rPr>
          <w:rFonts w:ascii="Times New Roman" w:hAnsi="Times New Roman"/>
          <w:color w:val="000000" w:themeColor="text1"/>
          <w:sz w:val="16"/>
          <w:szCs w:val="16"/>
        </w:rPr>
        <w:softHyphen/>
        <w:t>войсковым соединениям и применяется:</w:t>
      </w:r>
    </w:p>
    <w:p w14:paraId="79FC7BA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для борьбы с прорвавшимися танками и самоходными орудиями противника;</w:t>
      </w:r>
    </w:p>
    <w:p w14:paraId="6620C87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как подвижный огневой резерв в общей системе противотанковой обороны на наиболее веро</w:t>
      </w:r>
      <w:r w:rsidRPr="007224C3">
        <w:rPr>
          <w:rFonts w:ascii="Times New Roman" w:hAnsi="Times New Roman"/>
          <w:color w:val="000000" w:themeColor="text1"/>
          <w:sz w:val="16"/>
          <w:szCs w:val="16"/>
        </w:rPr>
        <w:softHyphen/>
        <w:t>ятных направлениях атаки танков противника;</w:t>
      </w:r>
    </w:p>
    <w:p w14:paraId="12B6DDB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для огневого сопротивления контратаки танков из глубины;</w:t>
      </w:r>
    </w:p>
    <w:p w14:paraId="0C6370B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 для действий из засад по отражению перед передним краем обороны танковых атак противника. 2. При действии из засад самоходные установки располагаются в 400-600 метров. Засады открывают огонь только по танкам и в первую очередь по тяжелым с дистанции 300-500 метров.</w:t>
      </w:r>
    </w:p>
    <w:p w14:paraId="5DE81D2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Ведение огня</w:t>
      </w:r>
    </w:p>
    <w:p w14:paraId="2CB2767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Стрельба ведется:</w:t>
      </w:r>
    </w:p>
    <w:p w14:paraId="5577C09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отдельными самоходными установками для уничтожения тяжелых танков и самоходных ору</w:t>
      </w:r>
      <w:r w:rsidRPr="007224C3">
        <w:rPr>
          <w:rFonts w:ascii="Times New Roman" w:hAnsi="Times New Roman"/>
          <w:color w:val="000000" w:themeColor="text1"/>
          <w:sz w:val="16"/>
          <w:szCs w:val="16"/>
        </w:rPr>
        <w:softHyphen/>
        <w:t>дий противника, уничтожения огневых точек, находящихся в дот и дзот;</w:t>
      </w:r>
    </w:p>
    <w:p w14:paraId="6E25643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батареей для уничтожения или разрушения неподвижных целей, когда обстановка требует решения задачи в кратчайший срок;</w:t>
      </w:r>
    </w:p>
    <w:p w14:paraId="2B832EC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группой батарей или полком на подавление наиболее важных и крупных целей (артиллерий</w:t>
      </w:r>
      <w:r w:rsidRPr="007224C3">
        <w:rPr>
          <w:rFonts w:ascii="Times New Roman" w:hAnsi="Times New Roman"/>
          <w:color w:val="000000" w:themeColor="text1"/>
          <w:sz w:val="16"/>
          <w:szCs w:val="16"/>
        </w:rPr>
        <w:softHyphen/>
        <w:t>ские батареи, колонны), требующие массового и кратковременного воздействия, в таких случаях массированный огонь может вестись как с открытых, так и с закрытых огневых позиций.</w:t>
      </w:r>
    </w:p>
    <w:p w14:paraId="62A6988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остальном командирам тяжелых полков самоходной артиллерии руководствоваться уставами, наставлениями, пособиями и инструкциями БТ и МБ КА.</w:t>
      </w:r>
    </w:p>
    <w:p w14:paraId="2C36662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Командующий БТ и МВ КА маршал бронетанковых войск Федоренко</w:t>
      </w:r>
    </w:p>
    <w:p w14:paraId="3DF9003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38. Оп. 11351. Д. 214. Л. 140-142 с об. Копия (11403).</w:t>
      </w:r>
    </w:p>
    <w:p w14:paraId="1489297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6D08E058"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Внешняя политика:</w:t>
      </w:r>
    </w:p>
    <w:p w14:paraId="0893849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E512DB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февраля 1944 года</w:t>
      </w:r>
    </w:p>
    <w:p w14:paraId="2B531E5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МАРШАЛУ И. В. СТАЛИНУ</w:t>
      </w:r>
    </w:p>
    <w:p w14:paraId="2EC0DD0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Уважаемый Маршал Сталин,</w:t>
      </w:r>
    </w:p>
    <w:p w14:paraId="37EC506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 получил от Советского Посла текст и ноты Советского Государственного Гимна, которые Вы соблаговолили послать по моей просьбе.</w:t>
      </w:r>
    </w:p>
    <w:p w14:paraId="7FD63B3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Волнующая музыка этого Гимна несколько раз передавалась Британской Радиовещательной Корпорацией и будет и в дальнейшем передаваться в ознаменование русских побед. Поэтому я не сомневаюсь, что британский народ в скором времени очень хорошо будет знать Гимн. Я горжусь тем, что являюсь обладателем экземпляра этого Гимна.</w:t>
      </w:r>
    </w:p>
    <w:p w14:paraId="58AB849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Искренне Ваш</w:t>
      </w:r>
    </w:p>
    <w:p w14:paraId="470AE21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Уинстон ЧЕРЧИЛЛЬ (7430).</w:t>
      </w:r>
    </w:p>
    <w:p w14:paraId="07902D2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21E041" w14:textId="77777777" w:rsidR="00583EED"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4BA4ED56" w14:textId="77777777" w:rsidR="00583EED" w:rsidRPr="007224C3" w:rsidRDefault="00583EED"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A5E3264" w14:textId="77777777" w:rsidR="001E2282" w:rsidRPr="007224C3" w:rsidRDefault="001E2282"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10 февраля 1944 169 B-17 Flying Fortress в сопровождении 64 истребителей P-38, 357 P-47 и 45 истребителей P-51 атаковали промышленный район Брауншвейга, Германия, потеряв 29 B-17, пять P-38, и четыре P-47. Бомбардировщики и истребители заявляют, что 98 немецких самолетов сбиты, 31 вероятно сбиты и 101 поврежден в воздушном бою (20373).</w:t>
      </w:r>
    </w:p>
    <w:p w14:paraId="5ABFD0BC" w14:textId="77777777" w:rsidR="001E2282" w:rsidRPr="007224C3" w:rsidRDefault="001E2282" w:rsidP="007224C3">
      <w:pPr>
        <w:spacing w:after="0" w:line="240" w:lineRule="auto"/>
        <w:jc w:val="both"/>
        <w:rPr>
          <w:rFonts w:ascii="Times New Roman" w:hAnsi="Times New Roman"/>
          <w:color w:val="0070C0"/>
          <w:sz w:val="16"/>
          <w:szCs w:val="16"/>
        </w:rPr>
      </w:pPr>
    </w:p>
    <w:p w14:paraId="1131E046" w14:textId="77777777" w:rsidR="00583EED" w:rsidRPr="007224C3" w:rsidRDefault="00583EED"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10 февраля</w:t>
      </w:r>
      <w:r w:rsidRPr="007224C3">
        <w:rPr>
          <w:rFonts w:ascii="Times New Roman" w:hAnsi="Times New Roman"/>
          <w:color w:val="000000" w:themeColor="text1"/>
          <w:sz w:val="16"/>
          <w:szCs w:val="16"/>
        </w:rPr>
        <w:t xml:space="preserve"> в 1944 году (10–17 февраля) неудачное наступление союзных войск в Центральной Италии под Римом. Американские войска несут большие потери под Кассино и отступают (15036).</w:t>
      </w:r>
    </w:p>
    <w:p w14:paraId="4175A3B6" w14:textId="77777777" w:rsidR="00583EED" w:rsidRPr="007224C3" w:rsidRDefault="00583EED" w:rsidP="007224C3">
      <w:pPr>
        <w:spacing w:after="0" w:line="240" w:lineRule="auto"/>
        <w:jc w:val="both"/>
        <w:rPr>
          <w:rFonts w:ascii="Times New Roman" w:hAnsi="Times New Roman"/>
          <w:color w:val="000000" w:themeColor="text1"/>
          <w:sz w:val="16"/>
          <w:szCs w:val="16"/>
        </w:rPr>
      </w:pPr>
    </w:p>
    <w:p w14:paraId="5916657E"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4B406D9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1B8F30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февраля 1944 Нач. ЛИИ А.В.Чесалов утвердил отчет по летным испытаниям Ла-5ФН N 39210206 модифицированного ЦАГИ, которые состоялись с 14 декабря 1943 по 10 февраля 1944 (752,1).</w:t>
      </w:r>
    </w:p>
    <w:p w14:paraId="2F501DB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Было выполнено 17 полетов с налетов 7:45.</w:t>
      </w:r>
    </w:p>
    <w:p w14:paraId="2F91154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Трижды заменяли свечи, дважды РС-2</w:t>
      </w:r>
    </w:p>
    <w:p w14:paraId="6BEB2CA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Вед. И В.Я.Молочаев</w:t>
      </w:r>
    </w:p>
    <w:p w14:paraId="381DAC6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Вед. Л Н.В.Адамович</w:t>
      </w:r>
    </w:p>
    <w:p w14:paraId="656CF22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с-те № 206 согласно приказы НКАП № 650 от 29 октября 1943 были произведены улучшания в целях увеличения максимальной скорости. Основные изменения:</w:t>
      </w:r>
    </w:p>
    <w:p w14:paraId="1F933F4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всасывающий патрубок перенесен под капот мотора и улучшена его аэродинамика</w:t>
      </w:r>
    </w:p>
    <w:p w14:paraId="6EEF509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маслорадиатор перенесен под фюзеляж рядом с 5-м шпангоутом и улучшена форма рукава</w:t>
      </w:r>
    </w:p>
    <w:p w14:paraId="6DF3D43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изменено дефлектирование цилиндров мотра и форма внутреннего капота</w:t>
      </w:r>
    </w:p>
    <w:p w14:paraId="3E20817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установлены индивидуальные выхлопные патрубки на все цилиндры</w:t>
      </w:r>
    </w:p>
    <w:p w14:paraId="0013A37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изменена компоновка створок шасси</w:t>
      </w:r>
    </w:p>
    <w:p w14:paraId="0C7237D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произведено спрямление носка центроплана путем образования переднего зализа, улучшена отделка самолета</w:t>
      </w:r>
    </w:p>
    <w:p w14:paraId="14D5DEE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увеличен и облагорожен задний зализ центроплана</w:t>
      </w:r>
    </w:p>
    <w:p w14:paraId="6BD4D4D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проведена тщательная герметизация с-та т мелкие работы по улучшению аэродинамики</w:t>
      </w:r>
    </w:p>
    <w:p w14:paraId="5EF742F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установлен винт ВИШ-105В-4 диаметром 3,1 м (лопасть ЦАГИ).</w:t>
      </w:r>
    </w:p>
    <w:p w14:paraId="4ED0471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результате получены следующие данные:</w:t>
      </w:r>
    </w:p>
    <w:p w14:paraId="2744C70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 скорость у земли (Рк 1195 при 2500 об.) - 630 км/час</w:t>
      </w:r>
    </w:p>
    <w:p w14:paraId="14951B5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 скорость на 1000 м - 652 км/час</w:t>
      </w:r>
    </w:p>
    <w:p w14:paraId="37457A8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 скорость на 1900 (форсаж) - 672 км/час</w:t>
      </w:r>
    </w:p>
    <w:p w14:paraId="7F7A0B7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 скорость на 4000 (форсаж) - 641 км/час</w:t>
      </w:r>
    </w:p>
    <w:p w14:paraId="0816DB8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 скорость на 5000 - 661 км/час</w:t>
      </w:r>
    </w:p>
    <w:p w14:paraId="6FF18BD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 скорость на 6150 (2 гр., Рк 1000, 2400 об.) - 684 км/час</w:t>
      </w:r>
    </w:p>
    <w:p w14:paraId="208F566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 скорость на 7000 - 676 км/час</w:t>
      </w:r>
    </w:p>
    <w:p w14:paraId="35F1B0F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 скорость на 8000 - 662 км/час</w:t>
      </w:r>
    </w:p>
    <w:p w14:paraId="141EB28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Время набора 5000 м - 5,2 мин.</w:t>
      </w:r>
    </w:p>
    <w:p w14:paraId="78B37A6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Гор. Скррость у земли 17 м/с</w:t>
      </w:r>
    </w:p>
    <w:p w14:paraId="186B6BF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Полетный вес - 3445 кг</w:t>
      </w:r>
    </w:p>
    <w:p w14:paraId="6C1A364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Экипаж - 90</w:t>
      </w:r>
    </w:p>
    <w:p w14:paraId="44A02CB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Горючее - 345</w:t>
      </w:r>
    </w:p>
    <w:p w14:paraId="4FDF241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Масло 50</w:t>
      </w:r>
    </w:p>
    <w:p w14:paraId="3E78837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Вооружение - 2хСП-20 - 80</w:t>
      </w:r>
    </w:p>
    <w:p w14:paraId="305912E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б/п - 180</w:t>
      </w:r>
    </w:p>
    <w:p w14:paraId="6437D0A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броня - 45</w:t>
      </w:r>
    </w:p>
    <w:p w14:paraId="4C4BBC1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п-к РСИ-4 - 13</w:t>
      </w:r>
    </w:p>
    <w:p w14:paraId="107B345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Т.о. за счет произведенных ЦАГИ и заводом № 21 изменений с-та полетный вес увеличен на 125 кг (всасявающие патрубки, перенос малорадиатора, герметизация, спрямление цп, отделка поверхности, металлические жалюзи)</w:t>
      </w:r>
    </w:p>
    <w:p w14:paraId="6192D43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входе в маслогондолу между поваерхностью фюзеляжа и верхней кромкой входного отверсти туннеля м/р осуществлен специальный желоб для отвода затерможенного воздуха от входа в туннель.</w:t>
      </w:r>
    </w:p>
    <w:p w14:paraId="58E495E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Стенки входной части туннеля сделаны утолщенными, чтобы создать плавное обтекание и избежать срыва на входе. Улучшена герметизация выходной части туннеля.</w:t>
      </w:r>
    </w:p>
    <w:p w14:paraId="5456A64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Патрубки расположены по шесть с каждой стороны под подвижными створками капота и по одному в неподвижных отсеках.</w:t>
      </w:r>
    </w:p>
    <w:p w14:paraId="1B363EA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Установлены новые герметизированные дефлекторы с уменьшенными зазорами между дефлекторами и цилиндрами.</w:t>
      </w:r>
    </w:p>
    <w:p w14:paraId="0B0E310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Профиль центроплана соответствует NACA-230.</w:t>
      </w:r>
    </w:p>
    <w:p w14:paraId="3A7AF73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герметизации ВМГ</w:t>
      </w:r>
    </w:p>
    <w:p w14:paraId="1A6BAD0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Герметизированы:</w:t>
      </w:r>
    </w:p>
    <w:p w14:paraId="2FD91B5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капот редуктора в месте расположения механизма жалюзи</w:t>
      </w:r>
    </w:p>
    <w:p w14:paraId="36FB9F5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внутренний капот мотора, дефлекторное кольцо мотора</w:t>
      </w:r>
    </w:p>
    <w:p w14:paraId="6E1DB82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моторный капот, вызлопные патрубки, створки капота</w:t>
      </w:r>
    </w:p>
    <w:p w14:paraId="052EBCA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заслонка маслорадиатора</w:t>
      </w:r>
    </w:p>
    <w:p w14:paraId="6D08690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отделке поверхности</w:t>
      </w:r>
    </w:p>
    <w:p w14:paraId="76B2E06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проведены работы по уменьшение волнистости поверхности крыла и устранение неровностей на кольце капота и фюзеляжа путем нанесения нитрошпаклевки. Шероховатость поверхности ждоведена до 6-8 микрон. С-т отполирован</w:t>
      </w:r>
    </w:p>
    <w:p w14:paraId="4757B0C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з-м № 21 установлены щитки для полного закрытия куполов шасси. Поставлена у образная безмачтовая антенна. Улучшены обводы желобов пушки. Посталены обтиекатели на крепление трубки Пито к крылу. Уменьшены размеры обтекателей на различных выступающих деталях. Снят храповик с втулки вина., на кок поставлен плавный обтекатель. Газоотведные трубки обрезаны заподлицо с поверхностью.</w:t>
      </w:r>
    </w:p>
    <w:p w14:paraId="0A248DC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Проведена тщательная герметизация противопожарной перегогодки, передней и задней перегородок кабины пилота, вооружения, капотов, масло и бензофильтров, тяг управления элеронами и щитками, стенок лонжеронов и разъемов крыла и по первой нервюре консоли крыла.</w:t>
      </w:r>
    </w:p>
    <w:p w14:paraId="376068A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Кроме перечисленных были проведены и мелкие работы как по планеру, так и по ВМГ.</w:t>
      </w:r>
    </w:p>
    <w:p w14:paraId="089AD80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Температурный режим на макс. скорости при полностью открытых створках заслонки м/р были в пределах допустимого (245 гр при допускаемых 250), но тем. Входящего масла на том же режиме на 6000 м достигала 95 гр, что превышает на 120 предельно допустимую температуру.</w:t>
      </w:r>
    </w:p>
    <w:p w14:paraId="375F7CA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горизонтальном полете тем. Входящего и выходящего масла ниже допустимой.</w:t>
      </w:r>
    </w:p>
    <w:p w14:paraId="653F191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Проверка работы р/с с измененной антенной на производилась.</w:t>
      </w:r>
    </w:p>
    <w:p w14:paraId="40B3820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Заключение:</w:t>
      </w:r>
    </w:p>
    <w:p w14:paraId="4190BA4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Улучшения, осуществляющие рекомендации ЦАГИ, рекомендованы для внедрения в серийное производство при условии устранения обнаруженных в процессе испытания эксплуатационных дефектов, и улучшения системы охлаждения масла.</w:t>
      </w:r>
    </w:p>
    <w:p w14:paraId="684757A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Считать необходимым при внедрении в серийное пр-во обеспечить снижение полетного веса с-та.</w:t>
      </w:r>
    </w:p>
    <w:p w14:paraId="13F9EF3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 Лаб. № 1 М.А.Тайц</w:t>
      </w:r>
    </w:p>
    <w:p w14:paraId="765BEDF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 1-го отд. Лаб. № 1 Н.С.Строев (752,1).</w:t>
      </w:r>
    </w:p>
    <w:p w14:paraId="3FC62CA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AAB9A3" w14:textId="77777777" w:rsidR="00355805" w:rsidRPr="007224C3" w:rsidRDefault="00355805"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11 февраля</w:t>
      </w:r>
      <w:r w:rsidRPr="007224C3">
        <w:rPr>
          <w:rFonts w:ascii="Times New Roman" w:hAnsi="Times New Roman"/>
          <w:color w:val="000000" w:themeColor="text1"/>
          <w:sz w:val="16"/>
          <w:szCs w:val="16"/>
        </w:rPr>
        <w:t xml:space="preserve"> в 1944 году на летно-испытательной базе завода № 21 завершились контрольные испытания (начались 30 января) серийного </w:t>
      </w:r>
      <w:hyperlink r:id="rId41" w:tgtFrame="_blank" w:history="1">
        <w:r w:rsidRPr="007224C3">
          <w:rPr>
            <w:rFonts w:ascii="Times New Roman" w:hAnsi="Times New Roman"/>
            <w:color w:val="000000" w:themeColor="text1"/>
            <w:sz w:val="16"/>
            <w:szCs w:val="16"/>
          </w:rPr>
          <w:t xml:space="preserve">«Ла-5ФН» </w:t>
        </w:r>
      </w:hyperlink>
      <w:r w:rsidRPr="007224C3">
        <w:rPr>
          <w:rFonts w:ascii="Times New Roman" w:hAnsi="Times New Roman"/>
          <w:color w:val="000000" w:themeColor="text1"/>
          <w:sz w:val="16"/>
          <w:szCs w:val="16"/>
        </w:rPr>
        <w:t>с тремя пушками «УБ-20» (15037).</w:t>
      </w:r>
    </w:p>
    <w:p w14:paraId="20A06EF2" w14:textId="77777777" w:rsidR="00355805" w:rsidRPr="007224C3" w:rsidRDefault="00355805" w:rsidP="007224C3">
      <w:pPr>
        <w:spacing w:after="0" w:line="240" w:lineRule="auto"/>
        <w:jc w:val="both"/>
        <w:rPr>
          <w:rFonts w:ascii="Times New Roman" w:hAnsi="Times New Roman"/>
          <w:color w:val="000000" w:themeColor="text1"/>
          <w:sz w:val="16"/>
          <w:szCs w:val="16"/>
        </w:rPr>
      </w:pPr>
    </w:p>
    <w:p w14:paraId="45CCED6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февраля 1944 года письмо Фирсаеву И.Г.</w:t>
      </w:r>
    </w:p>
    <w:p w14:paraId="61BBE70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Направляю Вам по указанию зам. наркома Яковлева А.С. просмотренный им проект постановления ГОКО по самолету тральщику.</w:t>
      </w:r>
    </w:p>
    <w:p w14:paraId="0099C46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Кроме того прилагаю 5 листов материала полученного Яковлевым из ЦК и 2 фотографии, также по его указанию.</w:t>
      </w:r>
    </w:p>
    <w:p w14:paraId="260FFE8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Постановление ГКО</w:t>
      </w:r>
    </w:p>
    <w:p w14:paraId="4EA5595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 разработке технического проекта и оборудовании</w:t>
      </w:r>
    </w:p>
    <w:p w14:paraId="3861361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опытного самолета-тральщика"</w:t>
      </w:r>
    </w:p>
    <w:p w14:paraId="0464B32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В целях создания опытного самолета-тральщика для уничтожения магнитных мин, ГКО постановляет:</w:t>
      </w:r>
    </w:p>
    <w:p w14:paraId="263890E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Нарокмавиапрому - Шахурину, директору завода N 456 Филимончуку Т.Х. и гл. конструктору Голубкову А.П. разработать технический проект переоборудования самолета Ли-2 под самолет-тральщик, произвести переоборудование самолета и предъявить его на летные испытания 1 июня 1944 года.</w:t>
      </w:r>
    </w:p>
    <w:p w14:paraId="631B527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Выделить для проведения указанной работы один самолет Ли-2 за счет плана производства текущего месяца (1825,27).</w:t>
      </w:r>
    </w:p>
    <w:p w14:paraId="2A38998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ПОСТАНОВЛЕНИЕ ГОСУДАРСТВЕННОГО КОМИТЕТА ОБОРОНЫ</w:t>
      </w:r>
    </w:p>
    <w:p w14:paraId="5867474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 разработке технического проекта и оборудовании опытного самолета-тральщика"</w:t>
      </w:r>
    </w:p>
    <w:p w14:paraId="0D27651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В целях создания опытного самолета-тральщика для уничтожения магнитных мин, Государственна Комитет Обороны ПОСТАНОВЛЯЕТ:</w:t>
      </w:r>
    </w:p>
    <w:p w14:paraId="3B5CD59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Нарномавиапрому - т. ШАХУРИНУ А.И., Директору завода № 456 т. ФИЛИМОНЧУКУ Т.Х. и Главному конструктору т. ГОЛУБКОВУ разработать технический проект переоборудования самолета Ли-2 под самолет-тральщик, произвести, переоборудование самолета и предъявить его на летные испытания 1.У1 1944 г.</w:t>
      </w:r>
    </w:p>
    <w:p w14:paraId="737B570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Выделить для проведения указанной работы один самолет Ли-2 за счет плана производства текущего месяца.</w:t>
      </w:r>
    </w:p>
    <w:p w14:paraId="5DC6787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Наркомэлектропрому - т. КАБАНОВУ И.Г.и Директору з-да № 627 т. ИОСИФЬЯНУ А.Г.:</w:t>
      </w:r>
    </w:p>
    <w:p w14:paraId="22084DA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Разработать к 15-Ш 1944 г.технический проект монтажа электрооборудования на самолете-тральщике, в соответствии с эскизным проектом самолета-тральщика и также-техническими требованиями НКВМФ. Проектирование вести согласованно с конструктором т. ГОЛУБКОВЫМ А.П.</w:t>
      </w:r>
    </w:p>
    <w:p w14:paraId="339843D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Поставить заводу № 456 два генератора типа ПСТ-3 и 5000 метров алюминиевого кабеля сечением 1x95 кв.ми в облегченной изоляция к 15.Ш 1944 г.</w:t>
      </w:r>
    </w:p>
    <w:p w14:paraId="736F0A6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Произвести монтах электрического оборудования на самолете-тральщике к 15.У 1944 г.</w:t>
      </w:r>
    </w:p>
    <w:p w14:paraId="05EE40C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 Разработать технический проект мощной центральной электростанции на самолете-тральщике и изготовить опытный образец облегченного генератора мощностью не менее 150 квт.</w:t>
      </w:r>
    </w:p>
    <w:p w14:paraId="20389AD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Наркомвоенморфлоту - т. КУЗНЕЦОВУ Н.Г. провести, испытания опытного самолета-тралыщика к 1.УП 1944 г.Результаты испытаний и предложения представить ГОКО к 15.УП 1944 г.</w:t>
      </w:r>
    </w:p>
    <w:p w14:paraId="3699F87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Наркомцветмету т. - ЛОМАКО к 1 марта 1944 г. поставить заводу № 330 НКЭП, для изготовления алюминииевого кабеля, 10 тонн алюминия в вайербарсах, за счет фондов Наркомэлектропрома.</w:t>
      </w:r>
    </w:p>
    <w:p w14:paraId="4BDCA69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Наркомфину СССР - т. ЗВЕРЕВУ выделить из резервнного фонда СНК Союза ССР на проведение работ по самолету-тральщику: Наркомавиапрому 2000 тыс.рублей и Наркомэлектропрому 750 тыс. руб., в том числе для премирования отличившихся при этом работников: Наркомавиапрому 200 тыс.рублей и Наркомэлектропрому 100 тыс. руб. (1825,28).</w:t>
      </w:r>
    </w:p>
    <w:p w14:paraId="6AF0011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67A4F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февраля 1944 года вышел приказ НКАП</w:t>
      </w:r>
    </w:p>
    <w:p w14:paraId="6730026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Утвердить директором завода № 122 Ребенко С.Л. (8925)</w:t>
      </w:r>
    </w:p>
    <w:p w14:paraId="37D7FFA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476ACC2"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07CE968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B724D4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11 по 13 февраля 1944 122-мм пушка Д-25 с клиновым затвором, уста</w:t>
      </w:r>
      <w:r w:rsidRPr="007224C3">
        <w:rPr>
          <w:rFonts w:ascii="Times New Roman" w:hAnsi="Times New Roman"/>
          <w:color w:val="000000" w:themeColor="text1"/>
          <w:sz w:val="16"/>
          <w:szCs w:val="16"/>
        </w:rPr>
        <w:softHyphen/>
        <w:t>новленная в опытном танке "Объект 240", прошла заводские испытания отстрелом на Копейском полигоне (10703).</w:t>
      </w:r>
    </w:p>
    <w:p w14:paraId="0B0C780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864DA49" w14:textId="77777777" w:rsidR="00BD6B74" w:rsidRPr="007224C3" w:rsidRDefault="00BD6B74" w:rsidP="007224C3">
      <w:pPr>
        <w:pStyle w:val="ae"/>
        <w:shd w:val="clear" w:color="auto" w:fill="FFFFFF"/>
        <w:spacing w:before="0" w:after="0"/>
        <w:jc w:val="both"/>
        <w:rPr>
          <w:color w:val="000000" w:themeColor="text1"/>
          <w:sz w:val="16"/>
          <w:szCs w:val="16"/>
        </w:rPr>
      </w:pPr>
      <w:r w:rsidRPr="007224C3">
        <w:rPr>
          <w:color w:val="000000" w:themeColor="text1"/>
          <w:sz w:val="16"/>
          <w:szCs w:val="16"/>
        </w:rPr>
        <w:t>С 11 по 13 февраля 1944 переделанный танк ИС-2 с Д-25 с клиновым затвором, получивший прицел ТШ-17, был испытан на Копейском полигоне. При монтаже системы с клиновым затвором на заводе №100 была увеличена высота амбразуры башни с 590 до 610 мм. Это позволило установить пушку без съёма ограждения. Для уравновешенности системы пришлось установить дополнительный груз массой 80 кг. Было произведено 50 выстрелов. С новым орудием работа заряжающего стала более удобной. За счёт того, что клиновый затвор был меньше поршневого, увеличился свободный объём. Правда, в ходе испытаний затвор работал не очень надёжно из-за использования бывших в употреблении гильз и гильз с вмятинами. Из 34 выстрелов, сделанных 11 февраля, затвор закрылся только в 5 случаях. На 34-м выстреле случилась поломка, и танк пришлось вернуть на завод.</w:t>
      </w:r>
    </w:p>
    <w:p w14:paraId="5017227F" w14:textId="77777777" w:rsidR="00BD6B74" w:rsidRPr="007224C3" w:rsidRDefault="00BD6B74" w:rsidP="007224C3">
      <w:pPr>
        <w:pStyle w:val="ae"/>
        <w:shd w:val="clear" w:color="auto" w:fill="FFFFFF"/>
        <w:spacing w:before="0" w:after="0"/>
        <w:jc w:val="both"/>
        <w:rPr>
          <w:color w:val="000000" w:themeColor="text1"/>
          <w:sz w:val="16"/>
          <w:szCs w:val="16"/>
        </w:rPr>
      </w:pPr>
      <w:r w:rsidRPr="007224C3">
        <w:rPr>
          <w:color w:val="000000" w:themeColor="text1"/>
          <w:sz w:val="16"/>
          <w:szCs w:val="16"/>
        </w:rPr>
        <w:t>Д-25 с клиновым затвором устанавливались на танки с начала марта 1944 года. Орудиями с поршневым затвором успели вооружить 145 танков. Проблемы, выявленные у новых пушек, оперативно решались заводом №9. Установка клинового затвора явно пошла на пользу. Испытания серийного танка №40398 показали, что скорострельность орудия выросла до 2-2,5 выстрелов в минуту. И такой показатель считался недостаточным, велись работы по танковым орудиям калибра 100 мм. Впрочем, реальных альтернатив для Д-25 на тот момент не было. Это орудие обладало хорошей точностью, а также превосходило 100-мм пушки по бронепробиваемости (17721).</w:t>
      </w:r>
    </w:p>
    <w:p w14:paraId="22934545" w14:textId="77777777" w:rsidR="00BD6B74" w:rsidRPr="007224C3" w:rsidRDefault="00BD6B74" w:rsidP="007224C3">
      <w:pPr>
        <w:pStyle w:val="123"/>
        <w:shd w:val="clear" w:color="auto" w:fill="auto"/>
        <w:spacing w:after="0" w:line="240" w:lineRule="auto"/>
        <w:jc w:val="both"/>
        <w:rPr>
          <w:color w:val="000000" w:themeColor="text1"/>
          <w:sz w:val="16"/>
          <w:szCs w:val="16"/>
        </w:rPr>
      </w:pPr>
    </w:p>
    <w:p w14:paraId="06D5277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февраля 1944 вышло Постановление ГКО № 5141 О неотложных мерах помощи углем казанским электростанциям. РГАНИР, Фонд ГКО, д. 208, лл. 1 (11012).</w:t>
      </w:r>
    </w:p>
    <w:p w14:paraId="3A57809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49ED90A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февраля 1944 вышло Постановление ГКО № 5142 О строительстве Андижанского газопровода для снабжения природным газом предприятий г. Андижана. РГАНИР, Фонд ГКО, д. 208, лл. 2-5,6-9 (11012).</w:t>
      </w:r>
    </w:p>
    <w:p w14:paraId="39D22D8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4F2A7BD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февраля 1944 вышло Постановление ГКО № 5143 О плане распределения природного газа на I квартал 1944 г. по трестам Главгазтоппрома при Совнаркоме СССР. РГАНИР, Фонд ГКО, д. 208, лл. 10,11-13 (11012).</w:t>
      </w:r>
    </w:p>
    <w:p w14:paraId="2BDE16D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021E016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февраля 1944 вышло Постановление ГКО № 5144 О плане производства и распределения древесины специального назначения на 1944 гоРГАНИР, Фонд ГКО, д. РГАНИР, Фонд ГКО, д. 208, лл. 14-18,19-28 (11012).</w:t>
      </w:r>
    </w:p>
    <w:p w14:paraId="5427BB9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135418B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февраля 1944 вышло Распоряжение ГКО № 5145. Об обеспечении топливом Саратовской ТЭЦ в I кв. 1944 г. РГАНИР, Фонд ГКО, д. 208, лл. 29 (11012).</w:t>
      </w:r>
    </w:p>
    <w:p w14:paraId="1C44662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070F482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февраля 1944 вышло Распоряжение ГКО № 5146. О мерах неотложной помощи Саранской ТЭЦ Наркомтекстиля РСФСР. РГАНИР, Фонд ГКО, д. 208, лл. 30-31 (11012).</w:t>
      </w:r>
    </w:p>
    <w:p w14:paraId="704EAD5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155BF76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февраля 1944 вышло Постановление ГКО № 5147 О сокращении поставок дизель-моторов с копрами и лебедками для НКО. РГАНИР, Фонд ГКО, д. 208, лл. 32 (11012).</w:t>
      </w:r>
    </w:p>
    <w:p w14:paraId="042E474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7E71AFC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февраля 1944 вышло Распоряжение ГКО № 5148. О мерах по расширению Ткварчельской ГРЭС и передаче ей импортного оборудования. РГАНИР, Фонд ГКО, д. 208, лл. 33 (11012).</w:t>
      </w:r>
    </w:p>
    <w:p w14:paraId="6A726E7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4303C19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февраля 1944 вышло Распоряжение ГКО № 5149. О передаче 500 проверенных окруженцев на постоянную работу на завод "Красный котельщик" НКТМ (Подольск). РГАНИР, Фонд ГКО, д. 208, лл. 34 (11012).</w:t>
      </w:r>
    </w:p>
    <w:p w14:paraId="02267DD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19B6A5F5"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февраля 1944 вышло Постановление ГКО № 5150 [Об отмене п.11 постановления ГКО № 4933 от 12 января 1944 г. О мероприятиях по обеспечению работы Марийского целлюлозно-бумажного комбината Наркомбумпрома.] (7187, 35).</w:t>
      </w:r>
    </w:p>
    <w:p w14:paraId="0F095D5C"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54F431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февраля 1944 вышло Постановление ГКО № 5151 О передаче Наркомречфлоту Балаковского завода № 661 Наркомсудпрома. РГАНИР, Фонд ГКО, д. 208, лл. 36-37,38-44 (11012).</w:t>
      </w:r>
    </w:p>
    <w:p w14:paraId="7CCEFF0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2C19EE9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февраля 1944 г. в соответствии с пост. ГКО № 5151 завод № 661 НКСП (Завод № 661 НКСП, НКРФ, Балаковская судоверфь НКРФ, Балаковский судоремонтный завод (СРЗ), ОАО «Балаковский СРЗ» /413850  г. Балаково Саратовской обл. ул. Коммунистическая, 20/) был возвращен в РЖ Речфлота и переименован в Балаковский СРЗ Волжского объединенного пароходства.</w:t>
      </w:r>
    </w:p>
    <w:p w14:paraId="79E2918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1950-е и начале 1960-х  г. завод выпускал баржи грузоподъемностью 150-600 т, понтоны под плавучие краны, затем до 1970 г. судостроением не занимался. Основная специализация - судоремонт.</w:t>
      </w:r>
    </w:p>
    <w:p w14:paraId="03F6129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1957 г. Балаковский затон попал под строительство плотины Саратовской ГЭС, и в 1958 г. место отстоя судов перенесено в соседний Канинский затон, который был углублен и расчищен. Здесь были установлены: двухэтажная плавмастерская, баржа с оборудованием, теплоход «Борис Щукин», в котором размещены лесозаготовительный и электромеханический цехи, компрессорный участок, караванная служба. Списанный теплоход «П. Старостин» разрезали на несколько секций, из которых сделали пожарное депо, котловую, малярный склад. В затоне были сооружены склизы из бревен, по которым лебедками спускались на воду построенные баржи. Канинский затон просуществовал до 1967 г., когда попал под затопление Саратовским водохранилищем. Зимой 1967-68 г. база отстоя судов перемещена в район шлюзов судоходного канала, а с 1968 г.- в новую бухту. В 1968 г. была построена наклонная часть слипа (горизонтальная часть строилась до 1977 г.). В 1967 г. была закрыта в связи с затоплением Алексеевсая РЭБ по обслуживанию флота и часть судов от нее была передана на Балаковский СРЗ. 24.07.1962 г. было согласовано проектное задание на строительство новых корпусов, в 1966 г. в соответствии с пост, правительства начато строительство без перерыва работ в основных цехах завода.</w:t>
      </w:r>
    </w:p>
    <w:p w14:paraId="1233A17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Пост. № 5413 от 17.05.1993 г. Комитетом по имуществу Саратовской обл. было зарегистрировано АООТ «Балаковский СРЗ».</w:t>
      </w:r>
    </w:p>
    <w:p w14:paraId="61C71D9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Численность персонала (1940 г.)- около 1000 чел.</w:t>
      </w:r>
    </w:p>
    <w:p w14:paraId="2EC5FF6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Директор (-1942 г.)- Иванников, (1942 г.-)-  Г.А. Задорожный, (1944-57 г.)- Ф. Г. Коченин, (1957-67 г.)- А.Р. Баштовенко, (1967-77 г.)- Н.И. Царев, (1977-90 г.)-  Г.А. Манжосов. Гендиректор (1990 г.-)- В.А. Горынцев.</w:t>
      </w:r>
    </w:p>
    <w:p w14:paraId="7CE3969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инженер (1948 г.-)- С.И. Основин.</w:t>
      </w:r>
    </w:p>
    <w:p w14:paraId="4215E57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Производство: грузовые теплоходы: типа «Большая Данилиха» и «малая Данилиха» (1930-е); лодка-волокуша (ВОВ)- более 7000; малый охотник пр. 164 МО-6 (1943)- 4;</w:t>
      </w:r>
      <w:r w:rsidRPr="007224C3">
        <w:rPr>
          <w:rFonts w:ascii="Times New Roman" w:hAnsi="Times New Roman"/>
          <w:color w:val="000000" w:themeColor="text1"/>
          <w:sz w:val="16"/>
          <w:szCs w:val="16"/>
          <w:vertAlign w:val="superscript"/>
        </w:rPr>
        <w:t>61</w:t>
      </w:r>
      <w:r w:rsidRPr="007224C3">
        <w:rPr>
          <w:rFonts w:ascii="Times New Roman" w:hAnsi="Times New Roman"/>
          <w:color w:val="000000" w:themeColor="text1"/>
          <w:sz w:val="16"/>
          <w:szCs w:val="16"/>
        </w:rPr>
        <w:t xml:space="preserve"> баржи (1950-е-60-е); понтоны</w:t>
      </w:r>
    </w:p>
    <w:p w14:paraId="5D10FDB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(1960-е); 5-тонные грейферы (1965); переоборудование лихтеров (1960-е)- 2; достройка причальных дебаркадеров (11982).</w:t>
      </w:r>
    </w:p>
    <w:p w14:paraId="6FE330F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79DB91B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февраля 1944 вышло Распоряжение ГКО № 5152. О мерах по сокращению расхода газа на заводе № 58 НКБ. РГАНИР, Фонд ГКО, д. 208, лл. 45 (11012).</w:t>
      </w:r>
    </w:p>
    <w:p w14:paraId="7771BC5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61528176"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февраля 1944 вышло Распоряжение ГКО № 5153 [О поставках автомобильных запасных частей ГУВВР НКПС.] (7187, 46).</w:t>
      </w:r>
    </w:p>
    <w:p w14:paraId="353D6675"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F90612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февраля 1944 вышло Постановление ГКО № 5154 Об изготовлении специальных конвейерных тележек для спеццехов заводов № 103 и 395 Наркомхимпрома. РГАНИР, Фонд ГКО, д. 208, лл. 47-49,50 (11012).</w:t>
      </w:r>
    </w:p>
    <w:p w14:paraId="30EB2BE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48FFC22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февраля 1944 вышло Распоряжение ГКО № 5155. О мерах по бесперебойному снабжению Чагодощенского стекольного завода дровами в период весенней распутицы и летний сезон 1944 г. РГАНИР, Фонд ГКО, д. 208, лл. 51 (11012).</w:t>
      </w:r>
    </w:p>
    <w:p w14:paraId="16C8942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27E8A6A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февраля 1944 вышло Распоряжение ГКО № 5156. Об организации в 1944 г. на заводах НКМВ производства стальной кованой арматуры. РГАНИР, Фонд ГКО, д. 208, лл. 52-53,54 (11012).</w:t>
      </w:r>
    </w:p>
    <w:p w14:paraId="234D887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7079217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февраля 1944 вышло Постановление ГКО № 5157 О восстановлении линии электропередачи Славянск-Изюм. РГАНИР, Фонд ГКО, д. 208, лл. 55-57,58-59 (11012).</w:t>
      </w:r>
    </w:p>
    <w:p w14:paraId="72066D3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7B9972E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февраля 1944 вышло Постановление ГКО № 5158 О восстановлении Сенежского целлюлозно-бумажного комбината Наркомбумпрома. РГАНИР, Фонд ГКО, д. 208, лл. 60-62,63 (11012).</w:t>
      </w:r>
    </w:p>
    <w:p w14:paraId="48D92B1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4E569C85"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февраля 1944 вышло Распоряжение ГКО № 5159 [О мерах по обеспечению надежной телефонно-телеграфной связи республик Кавказа с республиками Средней Азии и с Москвой.] (7187, 64-66,67).</w:t>
      </w:r>
    </w:p>
    <w:p w14:paraId="6BBF76A0"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B36CFF0"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февраля 1944 вышло Постановление ГКО № 5160 О возобновлении строительства Невинномысского канала и Свистухинской ГЭС в Ставропольском крае. (7187, 68-69,70-75).</w:t>
      </w:r>
    </w:p>
    <w:p w14:paraId="70D3EEBF"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D7AF6F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февраля 1944 вышло Постановление ГКО № 5161 Об обеспечении Балахнинского целлюлозно-бумажного комбината Наркомбумпрома балансами и дровами в навигацию 1944 года. РГАНИР, Фонд ГКО, д. 208, лл. 76-81,82-84 (11012).</w:t>
      </w:r>
    </w:p>
    <w:p w14:paraId="4160689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2A988DE5"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февраля 1944 вышло Постановление ГКО № 5162 Об изготовлении мостовых ферм для НКПС в первом полугодии 1944 г. (7187, 85-90,91-92).</w:t>
      </w:r>
    </w:p>
    <w:p w14:paraId="39885066"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813A7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февраля 1944 г. началась сборка поточных линий на ХПЗ (3905).</w:t>
      </w:r>
    </w:p>
    <w:p w14:paraId="21AC9FC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7B5AA1" w14:textId="77777777" w:rsidR="00355805" w:rsidRPr="007224C3" w:rsidRDefault="00355805"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11 февраля</w:t>
      </w:r>
      <w:r w:rsidRPr="007224C3">
        <w:rPr>
          <w:rFonts w:ascii="Times New Roman" w:hAnsi="Times New Roman"/>
          <w:color w:val="000000" w:themeColor="text1"/>
          <w:sz w:val="16"/>
          <w:szCs w:val="16"/>
        </w:rPr>
        <w:t xml:space="preserve"> в 1944 году по распоряжению ГКО в Ленинграде образован Научно-исследовательский минно-торпедный институт № 400, ныне ЦНИИ «Гидроприбор» (15037).</w:t>
      </w:r>
    </w:p>
    <w:p w14:paraId="7550C68D" w14:textId="77777777" w:rsidR="00355805" w:rsidRPr="007224C3" w:rsidRDefault="00355805" w:rsidP="007224C3">
      <w:pPr>
        <w:spacing w:after="0" w:line="240" w:lineRule="auto"/>
        <w:jc w:val="both"/>
        <w:rPr>
          <w:rFonts w:ascii="Times New Roman" w:hAnsi="Times New Roman"/>
          <w:color w:val="000000" w:themeColor="text1"/>
          <w:sz w:val="16"/>
          <w:szCs w:val="16"/>
        </w:rPr>
      </w:pPr>
    </w:p>
    <w:p w14:paraId="36DDF700" w14:textId="77777777" w:rsidR="00355805"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7C598480" w14:textId="77777777" w:rsidR="00355805" w:rsidRPr="007224C3" w:rsidRDefault="00355805"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13D29F9" w14:textId="77777777" w:rsidR="00355805" w:rsidRPr="007224C3" w:rsidRDefault="00355805"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11 февраля</w:t>
      </w:r>
      <w:r w:rsidRPr="007224C3">
        <w:rPr>
          <w:rFonts w:ascii="Times New Roman" w:hAnsi="Times New Roman"/>
          <w:color w:val="000000" w:themeColor="text1"/>
          <w:sz w:val="16"/>
          <w:szCs w:val="16"/>
        </w:rPr>
        <w:t xml:space="preserve"> в 1944 году оперативная сводка Совинформбюро:</w:t>
      </w:r>
    </w:p>
    <w:p w14:paraId="727FF884" w14:textId="77777777" w:rsidR="00355805" w:rsidRPr="007224C3" w:rsidRDefault="0035580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11 февраля на Лужском направлении наши войска продолжали вести наступательные бои, в ходе которых заняли несколько населённых пунктов.</w:t>
      </w:r>
    </w:p>
    <w:p w14:paraId="326DCF99" w14:textId="77777777" w:rsidR="00355805" w:rsidRPr="007224C3" w:rsidRDefault="0035580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1-го Украинского фронта, в результате обходного манёвра и атаки сфронта, 11 февраля овладели городом и крупным железнодорожным узлом Шепетовка.</w:t>
      </w:r>
    </w:p>
    <w:p w14:paraId="39C1ECEF" w14:textId="77777777" w:rsidR="00355805" w:rsidRPr="007224C3" w:rsidRDefault="0035580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Севернее Звенигородка и Шпола наши войска продолжали вести бои по уничтожению окружённой группировки противника и, сжимая кольцо окружения, овладели населёнными пунктами Глушки, Черепин, Ольховчик, Мирополье, Поташня, Таганча, Паточино, Ново-Павловка, Пешковский и железнодорожной станцией Таганча.Одновременно западнее Звенигородка наши войска отбивали атаки крупных сил пехоты и танков противника, стремившихся пробиться на помощь к окружённой группировке.</w:t>
      </w:r>
    </w:p>
    <w:p w14:paraId="5FAB6A2F" w14:textId="77777777" w:rsidR="00355805" w:rsidRPr="007224C3" w:rsidRDefault="0035580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 разведка, артиллерийско-миномётная перестрелка и в ряде пунктов бои местного значения.</w:t>
      </w:r>
    </w:p>
    <w:p w14:paraId="4E15735A" w14:textId="77777777" w:rsidR="00355805" w:rsidRPr="007224C3" w:rsidRDefault="0035580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10 февраля наши войска на всех фронтах подбили и уничтожили 89 немецких танков. В воздушных боях и огнём зенитной артиллерии сбиты 62 самолёта противника.</w:t>
      </w:r>
    </w:p>
    <w:p w14:paraId="27F71B37" w14:textId="77777777" w:rsidR="00355805" w:rsidRPr="007224C3" w:rsidRDefault="0035580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Массированный налёт наших самолётов на финский город Котка</w:t>
      </w:r>
    </w:p>
    <w:p w14:paraId="4DDBC673" w14:textId="77777777" w:rsidR="00355805" w:rsidRPr="007224C3" w:rsidRDefault="0035580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ночь на 11 февраля большая группа наших самолетов произвела массированный налёт на финский портовый город Котка и подвергла бомбардировке военно-промышленные объекты этого города. В результате бомбардировки возникли пожары. По наблюдению экипажей наших самолётов, наиболее крупные пожары отмечены на территории целлюлозного завода, на путях железнодорожной станции, в районе штаба шюцкора, телеграфа и управления морской сторожевой охраны. Пожары сопровождались сильными взрывами. Один наш самолёт не вернулся на свою базу.</w:t>
      </w:r>
    </w:p>
    <w:p w14:paraId="03590FD5" w14:textId="77777777" w:rsidR="00355805" w:rsidRPr="007224C3" w:rsidRDefault="0035580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Объявленные не вернувшимися на свои базы при налёте на город Хельсинки в ночь на 7 февраля 4 наших бомбардировщика приземлились на других аэродромах на советской территории.</w:t>
      </w:r>
    </w:p>
    <w:p w14:paraId="0AC120FE" w14:textId="77777777" w:rsidR="00355805" w:rsidRPr="007224C3" w:rsidRDefault="0035580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Сообщение шведской газеты «Стокгольме тиднинген» о том, что советские самолёты будто бы бомбардировали 8 февраля город Ригу, не соответствует действительности. «Стокгольмс тиднинген» просто наврала.</w:t>
      </w:r>
    </w:p>
    <w:p w14:paraId="2E1B761C" w14:textId="77777777" w:rsidR="00355805" w:rsidRPr="007224C3" w:rsidRDefault="0035580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Лужском направлении наши войска, преодолевая сопротивление противника, продвинулись вперёд и заняли несколько населённых пунктов. Части Н-ского соединения в результате ожесточённого боя овладели сильно укреплённым опорным пунктом и уничтожили до батальона немецкой пехоты. Захвачены две артиллерийские батареи, 32 пулемёта, много винтовок и автоматов. В другом районе наши подразделения освободили 300 советских граждан, которых немцы пытались угнать на каторжные работы в Германию.</w:t>
      </w:r>
    </w:p>
    <w:p w14:paraId="6E8ECEBC" w14:textId="77777777" w:rsidR="00355805" w:rsidRPr="007224C3" w:rsidRDefault="0035580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1-го Украинского фронта, сломив упорное сопротивление противника, вышли на подступы к городу Шепетовка. Немцы пытались любой ценой удержать в своих руках этот крупный железнодорожный узел и важный опорный пункт своей обороны. Они сильно укрепили все ближайшие населённые пункты и оказывали ожесточённое сопротивление. Наши пехотинцы и танкисты совершили обходный манёвр и отрезали противнику пути отхода. Другие наши части атаковали немцев с фронта. В результате упорных уличных боёв наши войска сегодня завершили разгром гарнизона противника и овладели городом Шепетовка. Захвачены большие трофеи и взято много пленных.</w:t>
      </w:r>
    </w:p>
    <w:p w14:paraId="779DF5D5" w14:textId="77777777" w:rsidR="00355805" w:rsidRPr="007224C3" w:rsidRDefault="0035580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Севернее городов Звенигородка и Шпола наши войска вели бои по уничтожению окружённой группировки противника. Советские части, овладевшие вчера опорным пунктом немцев Завадовка, уничтожили свыше 1.000 вражеских солдат и офицеров и взяли много пленных. Захвачены большие трофеи, в том числе 123 орудия разных калибров, 35 миномётов, 10 бронемашин, 970 автомашин и 6 складов с военным имуществом. Сжимая кольцо окружения, наши войска сегодня овладели рядом населённых пунктов и железнодорожной станцией Таганча. Бойцы Н-ской части, выбив гитлеровцев из населённого пункта Глушки, захватили 9 исправных танков, 27 орудий и более 100 автомашин. В другом районе наши войска ночью окружили два немецких батальона и уничтожили их. Западнее Звенигородки противник подтянул крупные силы пехоты и танков и предпринял новую попытку прорваться на помощь своей окружённой группировке. В ожесточённом бою советские артиллеристы, танкисты и бронебойщики нанесли гитлеровцам тяжёлый урон и отбили все их атаки. На поле боя осталось свыше 70 сгоревших и подбитых немецких танков и самоходных орудий.</w:t>
      </w:r>
    </w:p>
    <w:p w14:paraId="01ECF02F" w14:textId="77777777" w:rsidR="00355805" w:rsidRPr="007224C3" w:rsidRDefault="0035580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Советская авиация блокирует район окруженной группировки противника. Наши лётчики в течение дня сбили 25 вражеских самолётов, пытавшихся доставить грузы окружённым немецким дивизиям.</w:t>
      </w:r>
    </w:p>
    <w:p w14:paraId="79C6DBAA" w14:textId="77777777" w:rsidR="00355805" w:rsidRPr="007224C3" w:rsidRDefault="0035580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Группа литовских партизан проникла в город Вильнюс и подожгла большой военный склад противника. Партизаны, действующие в районе города Каунас, пустили под откос 4 немецких воинских эшелона, взорвали 5 складов и в ряде мест разрушили железнодорожное полотно. Советские патриоты убили коменданта полиции и несколько других немецких офицеров.</w:t>
      </w:r>
    </w:p>
    <w:p w14:paraId="5CE6097C" w14:textId="77777777" w:rsidR="00355805" w:rsidRPr="007224C3" w:rsidRDefault="0035580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Взятый в плен в районе Никополя пленный офицер штаба 123 немецкой пехотной дивизии капитан Макс Шенбек рассказал: «Когда русские перешли в наступление, командир дивизии приказал мне принять командование 416 полком. За два дня полк был обескровлен. Спасаясь от артиллерийского огня русских, я с остатками своего полка отошёл, не имея на то приказа, за что получил суровое предупреждение. Командование дивизии приказало мне вновь вернуться на прежние позиции, но уже было поздно. Ночью мы узнали, что находившаяся на правом фланге 16 мотодивизия разгромлена, а её остатки оставили занимаемые позиции. В районе одной высоты собралась большая толпа солдат и офицеров. Все сбились в кучу и не знали, чтоделать. Со всех сторон к высоте приближались русские танки и автоматчики. О сопротивлении нечего было думать. Мы все, как один, словно по команде, бросили оружие и сдались в плен» (15037).</w:t>
      </w:r>
    </w:p>
    <w:p w14:paraId="0006CD37" w14:textId="77777777" w:rsidR="00355805" w:rsidRPr="007224C3" w:rsidRDefault="00355805" w:rsidP="007224C3">
      <w:pPr>
        <w:spacing w:after="0" w:line="240" w:lineRule="auto"/>
        <w:jc w:val="both"/>
        <w:rPr>
          <w:rFonts w:ascii="Times New Roman" w:hAnsi="Times New Roman"/>
          <w:color w:val="000000" w:themeColor="text1"/>
          <w:sz w:val="16"/>
          <w:szCs w:val="16"/>
        </w:rPr>
      </w:pPr>
    </w:p>
    <w:p w14:paraId="1FFB716D" w14:textId="77777777" w:rsidR="00355805" w:rsidRPr="007224C3" w:rsidRDefault="00355805"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11 февраля</w:t>
      </w:r>
      <w:r w:rsidRPr="007224C3">
        <w:rPr>
          <w:rFonts w:ascii="Times New Roman" w:hAnsi="Times New Roman"/>
          <w:color w:val="000000" w:themeColor="text1"/>
          <w:sz w:val="16"/>
          <w:szCs w:val="16"/>
        </w:rPr>
        <w:t xml:space="preserve"> в 1944 году завершилась Ровно-Луцкая операция: войска правого крыла 1-го Украинского фронта продвинулись на запад до 80 км, заняли выгодное положение для удара с севера во фланг и тыл группы армий «Юг» (15037).</w:t>
      </w:r>
    </w:p>
    <w:p w14:paraId="0C3B3027" w14:textId="77777777" w:rsidR="00355805" w:rsidRPr="007224C3" w:rsidRDefault="00355805" w:rsidP="007224C3">
      <w:pPr>
        <w:spacing w:after="0" w:line="240" w:lineRule="auto"/>
        <w:jc w:val="both"/>
        <w:rPr>
          <w:rFonts w:ascii="Times New Roman" w:hAnsi="Times New Roman"/>
          <w:color w:val="000000" w:themeColor="text1"/>
          <w:sz w:val="16"/>
          <w:szCs w:val="16"/>
        </w:rPr>
      </w:pPr>
    </w:p>
    <w:p w14:paraId="55B30934" w14:textId="77777777" w:rsidR="00355805" w:rsidRPr="007224C3" w:rsidRDefault="00355805"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11 февраля</w:t>
      </w:r>
      <w:r w:rsidRPr="007224C3">
        <w:rPr>
          <w:rFonts w:ascii="Times New Roman" w:hAnsi="Times New Roman"/>
          <w:color w:val="000000" w:themeColor="text1"/>
          <w:sz w:val="16"/>
          <w:szCs w:val="16"/>
        </w:rPr>
        <w:t xml:space="preserve"> в 1944 году немецкире войска предприняли наступление в районе Звенигородки с целью деблокировать окруженную под Корсунь-Шевченковским группировку (15037).</w:t>
      </w:r>
    </w:p>
    <w:p w14:paraId="50750334" w14:textId="77777777" w:rsidR="00355805" w:rsidRPr="007224C3" w:rsidRDefault="00355805" w:rsidP="007224C3">
      <w:pPr>
        <w:spacing w:after="0" w:line="240" w:lineRule="auto"/>
        <w:jc w:val="both"/>
        <w:rPr>
          <w:rFonts w:ascii="Times New Roman" w:hAnsi="Times New Roman"/>
          <w:color w:val="000000" w:themeColor="text1"/>
          <w:sz w:val="16"/>
          <w:szCs w:val="16"/>
        </w:rPr>
      </w:pPr>
    </w:p>
    <w:p w14:paraId="3408D0A3" w14:textId="77777777" w:rsidR="00355805" w:rsidRPr="007224C3" w:rsidRDefault="00355805"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11 февраля</w:t>
      </w:r>
      <w:r w:rsidRPr="007224C3">
        <w:rPr>
          <w:rFonts w:ascii="Times New Roman" w:hAnsi="Times New Roman"/>
          <w:color w:val="000000" w:themeColor="text1"/>
          <w:sz w:val="16"/>
          <w:szCs w:val="16"/>
        </w:rPr>
        <w:t xml:space="preserve"> в 1944 году немецкое контрнаступление в районе Апостолово (15037).</w:t>
      </w:r>
    </w:p>
    <w:p w14:paraId="5138C286" w14:textId="77777777" w:rsidR="00355805" w:rsidRPr="007224C3" w:rsidRDefault="00355805" w:rsidP="007224C3">
      <w:pPr>
        <w:spacing w:after="0" w:line="240" w:lineRule="auto"/>
        <w:jc w:val="both"/>
        <w:rPr>
          <w:rFonts w:ascii="Times New Roman" w:hAnsi="Times New Roman"/>
          <w:color w:val="000000" w:themeColor="text1"/>
          <w:sz w:val="16"/>
          <w:szCs w:val="16"/>
        </w:rPr>
      </w:pPr>
    </w:p>
    <w:p w14:paraId="098B6932"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Жизнь и внутренняя политика:</w:t>
      </w:r>
    </w:p>
    <w:p w14:paraId="444F66D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5288751"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февраля 1944 Совнарком Украины призвал бандеровцев прекратить войну против собственного народа (4962).</w:t>
      </w:r>
    </w:p>
    <w:p w14:paraId="6EDC0005"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8F9B89B" w14:textId="77777777" w:rsidR="00355805"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Внешняя политика:</w:t>
      </w:r>
    </w:p>
    <w:p w14:paraId="6F2BBE4A" w14:textId="77777777" w:rsidR="00355805" w:rsidRPr="007224C3" w:rsidRDefault="00355805"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C300E9F" w14:textId="77777777" w:rsidR="00355805" w:rsidRPr="007224C3" w:rsidRDefault="00355805" w:rsidP="007224C3">
      <w:pPr>
        <w:spacing w:after="0" w:line="240" w:lineRule="auto"/>
        <w:jc w:val="both"/>
        <w:rPr>
          <w:rFonts w:ascii="Times New Roman" w:hAnsi="Times New Roman"/>
          <w:bCs/>
          <w:color w:val="000000" w:themeColor="text1"/>
          <w:sz w:val="16"/>
          <w:szCs w:val="16"/>
        </w:rPr>
      </w:pPr>
      <w:r w:rsidRPr="007224C3">
        <w:rPr>
          <w:rFonts w:ascii="Times New Roman" w:hAnsi="Times New Roman"/>
          <w:bCs/>
          <w:color w:val="000000" w:themeColor="text1"/>
          <w:sz w:val="16"/>
          <w:szCs w:val="16"/>
        </w:rPr>
        <w:t>11 февраля</w:t>
      </w:r>
      <w:r w:rsidRPr="007224C3">
        <w:rPr>
          <w:rFonts w:ascii="Times New Roman" w:hAnsi="Times New Roman"/>
          <w:color w:val="000000" w:themeColor="text1"/>
          <w:sz w:val="16"/>
          <w:szCs w:val="16"/>
        </w:rPr>
        <w:t xml:space="preserve"> в 1944 году в Оттаве подписано Соглашение о принципах предоставления Канадой военных поставок Советскому Союзу (15037).</w:t>
      </w:r>
    </w:p>
    <w:p w14:paraId="5AADDFC6" w14:textId="77777777" w:rsidR="00355805" w:rsidRPr="007224C3" w:rsidRDefault="00355805" w:rsidP="007224C3">
      <w:pPr>
        <w:spacing w:after="0" w:line="240" w:lineRule="auto"/>
        <w:jc w:val="both"/>
        <w:rPr>
          <w:rFonts w:ascii="Times New Roman" w:hAnsi="Times New Roman"/>
          <w:bCs/>
          <w:color w:val="000000" w:themeColor="text1"/>
          <w:sz w:val="16"/>
          <w:szCs w:val="16"/>
        </w:rPr>
      </w:pPr>
    </w:p>
    <w:p w14:paraId="5B6E8C10" w14:textId="77777777" w:rsidR="00355805"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3B00398C" w14:textId="77777777" w:rsidR="00355805" w:rsidRPr="007224C3" w:rsidRDefault="00355805"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2AC93BE" w14:textId="77777777" w:rsidR="00355805" w:rsidRPr="007224C3" w:rsidRDefault="00355805"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11 февраля</w:t>
      </w:r>
      <w:r w:rsidRPr="007224C3">
        <w:rPr>
          <w:rFonts w:ascii="Times New Roman" w:hAnsi="Times New Roman"/>
          <w:color w:val="000000" w:themeColor="text1"/>
          <w:sz w:val="16"/>
          <w:szCs w:val="16"/>
        </w:rPr>
        <w:t xml:space="preserve"> в 1944 году, был облетан единственный прототип турецкого многоцелевого транспортного самолета </w:t>
      </w:r>
      <w:hyperlink r:id="rId42" w:tgtFrame="_blank" w:history="1">
        <w:r w:rsidRPr="007224C3">
          <w:rPr>
            <w:rFonts w:ascii="Times New Roman" w:hAnsi="Times New Roman"/>
            <w:color w:val="000000" w:themeColor="text1"/>
            <w:sz w:val="16"/>
            <w:szCs w:val="16"/>
          </w:rPr>
          <w:t xml:space="preserve">«NuD.38». </w:t>
        </w:r>
      </w:hyperlink>
      <w:r w:rsidRPr="007224C3">
        <w:rPr>
          <w:rFonts w:ascii="Times New Roman" w:hAnsi="Times New Roman"/>
          <w:color w:val="000000" w:themeColor="text1"/>
          <w:sz w:val="16"/>
          <w:szCs w:val="16"/>
        </w:rPr>
        <w:t>Проектирование и постройка затянулась на несколько лет, и самолёт успел морально устареть. Серийно «NuD.38» не выпускался (15037).</w:t>
      </w:r>
    </w:p>
    <w:p w14:paraId="01AC9860" w14:textId="77777777" w:rsidR="00355805" w:rsidRPr="007224C3" w:rsidRDefault="00355805" w:rsidP="007224C3">
      <w:pPr>
        <w:spacing w:after="0" w:line="240" w:lineRule="auto"/>
        <w:jc w:val="both"/>
        <w:rPr>
          <w:rFonts w:ascii="Times New Roman" w:hAnsi="Times New Roman"/>
          <w:color w:val="000000" w:themeColor="text1"/>
          <w:sz w:val="16"/>
          <w:szCs w:val="16"/>
        </w:rPr>
      </w:pPr>
    </w:p>
    <w:p w14:paraId="555E3EC4" w14:textId="77777777" w:rsidR="00355805" w:rsidRPr="007224C3" w:rsidRDefault="00355805"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11 февраля</w:t>
      </w:r>
      <w:r w:rsidRPr="007224C3">
        <w:rPr>
          <w:rFonts w:ascii="Times New Roman" w:hAnsi="Times New Roman"/>
          <w:color w:val="000000" w:themeColor="text1"/>
          <w:sz w:val="16"/>
          <w:szCs w:val="16"/>
        </w:rPr>
        <w:t xml:space="preserve"> в 1944 году USAAF выдали заказ на два прототипа дальнего эскортного истребителя «ХР-81», заранее присвоив им серийные номера 44-91000 и 44-91001. Не прошло и нескольких месяцев, как вышло новое требование - заказ на прототипы не отменялся, но вместе с ними следовало построить 13 предсерийных истребителей «YP-81». В отличии от опытный образцов, они должны были оснащаться более легкими реактивными двигателями «TG-110», крыло перемещалось на 20,5 см назад и обязательной была установка вооружения - предполагалось, что «YP-81» будет нести шесть 12,7-мм пулеметов или шесть 20-мм пушек. Детальная проработка проекта началась 5 января 1944 года (15037).</w:t>
      </w:r>
    </w:p>
    <w:p w14:paraId="1B9ABF46" w14:textId="77777777" w:rsidR="00355805" w:rsidRPr="007224C3" w:rsidRDefault="00355805" w:rsidP="007224C3">
      <w:pPr>
        <w:spacing w:after="0" w:line="240" w:lineRule="auto"/>
        <w:jc w:val="both"/>
        <w:rPr>
          <w:rFonts w:ascii="Times New Roman" w:hAnsi="Times New Roman"/>
          <w:color w:val="000000" w:themeColor="text1"/>
          <w:sz w:val="16"/>
          <w:szCs w:val="16"/>
        </w:rPr>
      </w:pPr>
    </w:p>
    <w:p w14:paraId="2D15528A" w14:textId="77777777" w:rsidR="001E2282" w:rsidRPr="007224C3" w:rsidRDefault="001E2282"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11 февраля1944 первый полет Vultee XA-41 (20373).</w:t>
      </w:r>
    </w:p>
    <w:p w14:paraId="260C45AF" w14:textId="77777777" w:rsidR="001E2282" w:rsidRPr="007224C3" w:rsidRDefault="001E2282" w:rsidP="007224C3">
      <w:pPr>
        <w:spacing w:after="0" w:line="240" w:lineRule="auto"/>
        <w:jc w:val="both"/>
        <w:rPr>
          <w:rFonts w:ascii="Times New Roman" w:hAnsi="Times New Roman"/>
          <w:color w:val="0070C0"/>
          <w:sz w:val="16"/>
          <w:szCs w:val="16"/>
        </w:rPr>
      </w:pPr>
    </w:p>
    <w:p w14:paraId="53CCFC35" w14:textId="77777777" w:rsidR="001E2282" w:rsidRPr="007224C3" w:rsidRDefault="001E2282"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11 февраля 1944 - Был облетан единственный прототип турецкого многоцелевого транспортного самолета NuD.38. Проектирование и постройка затянулась на несколько лет, и самолёт успел морально устареть. Серийно NuD.38 не выпускался (22601).</w:t>
      </w:r>
    </w:p>
    <w:p w14:paraId="79F47177" w14:textId="77777777" w:rsidR="001E2282" w:rsidRPr="007224C3" w:rsidRDefault="001E2282" w:rsidP="007224C3">
      <w:pPr>
        <w:spacing w:after="0" w:line="240" w:lineRule="auto"/>
        <w:jc w:val="both"/>
        <w:rPr>
          <w:rFonts w:ascii="Times New Roman" w:hAnsi="Times New Roman"/>
          <w:color w:val="0070C0"/>
          <w:sz w:val="16"/>
          <w:szCs w:val="16"/>
        </w:rPr>
      </w:pPr>
    </w:p>
    <w:p w14:paraId="5A5D2202" w14:textId="77777777" w:rsidR="001E2282" w:rsidRPr="007224C3" w:rsidRDefault="001E2282"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11 февраля 1944 авианосец оперативной группы 58 ВМС США наносит удар по Эниветоку. Поддерживая американские операции на Маршалловых островах, авианосцы оперативной группы 58 ВМС США с 29 января совершили 6232 самолето-пролета и сбросили 1156,6 тонны (1 049 261 кг) бомб, потеряв 22 самолета в бою и 27 по другим причинам (20373).</w:t>
      </w:r>
    </w:p>
    <w:p w14:paraId="41EE9745" w14:textId="77777777" w:rsidR="001E2282" w:rsidRPr="007224C3" w:rsidRDefault="001E2282" w:rsidP="007224C3">
      <w:pPr>
        <w:spacing w:after="0" w:line="240" w:lineRule="auto"/>
        <w:jc w:val="both"/>
        <w:rPr>
          <w:rFonts w:ascii="Times New Roman" w:hAnsi="Times New Roman"/>
          <w:color w:val="0070C0"/>
          <w:sz w:val="16"/>
          <w:szCs w:val="16"/>
        </w:rPr>
      </w:pPr>
    </w:p>
    <w:p w14:paraId="792E0529" w14:textId="77777777" w:rsidR="001E2282" w:rsidRPr="007224C3" w:rsidRDefault="001E2282"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11 февраля 1944 223 B-17 Flying Fortress в сопровождении 82 истребителей P-38, 436 P-47 и 38 P-51 атакуют железнодорожную сортировочную станцию во Франкфурте-на-Майне, Германия, а также альтернативные цели в Людвигсхафене и Саарбрюккене с потерей пяти B-17, восьми P-38, четырех P-47 и двух P-51. Бомбардировщики и истребители вместе заявляют, что 32 немецких самолета сбиты, два вероятно сбиты и 30 повреждены в воздушном бою, истребители также утверждают, что два немецких самолета уничтожены, один, вероятно, уничтожен и два повреждены на земле (20373).</w:t>
      </w:r>
    </w:p>
    <w:p w14:paraId="7588E097" w14:textId="77777777" w:rsidR="001E2282" w:rsidRPr="007224C3" w:rsidRDefault="001E2282" w:rsidP="007224C3">
      <w:pPr>
        <w:spacing w:after="0" w:line="240" w:lineRule="auto"/>
        <w:jc w:val="both"/>
        <w:rPr>
          <w:rFonts w:ascii="Times New Roman" w:hAnsi="Times New Roman"/>
          <w:color w:val="0070C0"/>
          <w:sz w:val="16"/>
          <w:szCs w:val="16"/>
        </w:rPr>
      </w:pPr>
    </w:p>
    <w:p w14:paraId="1F1CF3DF" w14:textId="77777777" w:rsidR="001E2282" w:rsidRPr="007224C3" w:rsidRDefault="001E2282"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11 февраля 1944 201 B-24 Liberator Восьмой армии ВВС в сопровождении 85 истребителей P-47 и 41 истребителя P-51 атакуют место размещения Фау-1 в Сиракуре, Франция, и другие цели, потеряв один B-24 (20373).</w:t>
      </w:r>
    </w:p>
    <w:p w14:paraId="34C484F5" w14:textId="77777777" w:rsidR="001E2282" w:rsidRPr="007224C3" w:rsidRDefault="001E2282" w:rsidP="007224C3">
      <w:pPr>
        <w:spacing w:after="0" w:line="240" w:lineRule="auto"/>
        <w:jc w:val="both"/>
        <w:rPr>
          <w:rFonts w:ascii="Times New Roman" w:hAnsi="Times New Roman"/>
          <w:color w:val="0070C0"/>
          <w:sz w:val="16"/>
          <w:szCs w:val="16"/>
        </w:rPr>
      </w:pPr>
    </w:p>
    <w:p w14:paraId="1AA89149"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4FDA617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7DA7BD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февраля 1944 года те же полки на Як-9 и ЛаГГ-3 завязали 19 сражений и сбили 4 Ю-87 и 4 Вf109. Командир 25-го ИАП одержал свою 19-го победу, к командир 6-го гвардейского, М. Авдеев - свою 15-ю победу. За два дня оба полка потеряли в обще сложности более 10 машин. В тот же день один из пилотов заявил победу над Вf109 с белым носом, что послужило почвой для очередной легенды, поскольку советские пропагандисты сразу решили, что сбитый самолет принадлежал части с названием "Белая Роза"! (2691).</w:t>
      </w:r>
    </w:p>
    <w:p w14:paraId="63CE680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79F53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февраля 1944 вышло Постановление ГКО № 5166 Об улучшении качества прозрачной авиационной брони и увеличении выпуска сталинита. РГАНИР, Фонд ГКО, д. 208, лл. 122-128,129-133 (11012).</w:t>
      </w:r>
    </w:p>
    <w:p w14:paraId="61C01D0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2227B480" w14:textId="77777777" w:rsidR="00EE343A" w:rsidRPr="007224C3" w:rsidRDefault="00EE34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февраля 1944 вышло Постановление ГКО № 5166 Об улучшении качества прозрачной авиационной брони и увеличении выпуска сталинита</w:t>
      </w:r>
    </w:p>
    <w:p w14:paraId="68444E97" w14:textId="77777777" w:rsidR="00EE343A" w:rsidRPr="007224C3" w:rsidRDefault="00EE34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Государственный Комитет Обороны постановляет:</w:t>
      </w:r>
    </w:p>
    <w:p w14:paraId="1F87EA9F" w14:textId="77777777" w:rsidR="00EE343A" w:rsidRPr="007224C3" w:rsidRDefault="00EE34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В целях дальнейшего улучшения качества проз</w:t>
      </w:r>
      <w:r w:rsidRPr="007224C3">
        <w:rPr>
          <w:rFonts w:ascii="Times New Roman" w:hAnsi="Times New Roman"/>
          <w:color w:val="000000" w:themeColor="text1"/>
          <w:sz w:val="16"/>
          <w:szCs w:val="16"/>
        </w:rPr>
        <w:softHyphen/>
        <w:t>рачной авиационной брони, выпускаемой заводами "К-4" и № 48 Наркомхимпрома и удовлетворения требований ВВС Красной Армии к оптическим свойствам ее, обязать Наркомхимпром - т.Первухина и Наркомстройматериалов СССР - т.Соснина:</w:t>
      </w:r>
    </w:p>
    <w:p w14:paraId="3C40A197" w14:textId="77777777" w:rsidR="00EE343A" w:rsidRPr="007224C3" w:rsidRDefault="00EE343A" w:rsidP="007224C3">
      <w:pPr>
        <w:tabs>
          <w:tab w:val="left" w:pos="1178"/>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обеспечить улучшение качества бронекозырьков и сталинита,з соответствии с новыми техническими усло</w:t>
      </w:r>
      <w:r w:rsidRPr="007224C3">
        <w:rPr>
          <w:rFonts w:ascii="Times New Roman" w:hAnsi="Times New Roman"/>
          <w:color w:val="000000" w:themeColor="text1"/>
          <w:sz w:val="16"/>
          <w:szCs w:val="16"/>
        </w:rPr>
        <w:softHyphen/>
        <w:t>виями на эти изделия, на 1944 год;</w:t>
      </w:r>
    </w:p>
    <w:p w14:paraId="1683F0CE" w14:textId="77777777" w:rsidR="00EE343A" w:rsidRPr="007224C3" w:rsidRDefault="00EE343A" w:rsidP="007224C3">
      <w:pPr>
        <w:tabs>
          <w:tab w:val="left" w:pos="1190"/>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б) ввести с 1 марта </w:t>
      </w:r>
      <w:r w:rsidRPr="007224C3">
        <w:rPr>
          <w:rStyle w:val="2pt"/>
          <w:rFonts w:ascii="Times New Roman" w:hAnsi="Times New Roman" w:cs="Times New Roman"/>
          <w:color w:val="000000" w:themeColor="text1"/>
          <w:spacing w:val="0"/>
          <w:sz w:val="16"/>
          <w:szCs w:val="16"/>
        </w:rPr>
        <w:t>с.г.</w:t>
      </w:r>
      <w:r w:rsidRPr="007224C3">
        <w:rPr>
          <w:rFonts w:ascii="Times New Roman" w:hAnsi="Times New Roman"/>
          <w:color w:val="000000" w:themeColor="text1"/>
          <w:sz w:val="16"/>
          <w:szCs w:val="16"/>
        </w:rPr>
        <w:t xml:space="preserve"> двухстороннюю полировку плиток сталинита бронекозырьков К-01 для самолетов Ил-2 наравне с бронекозырьками К-04 и К-05 для истре</w:t>
      </w:r>
      <w:r w:rsidRPr="007224C3">
        <w:rPr>
          <w:rFonts w:ascii="Times New Roman" w:hAnsi="Times New Roman"/>
          <w:color w:val="000000" w:themeColor="text1"/>
          <w:sz w:val="16"/>
          <w:szCs w:val="16"/>
        </w:rPr>
        <w:softHyphen/>
        <w:t>бителей.</w:t>
      </w:r>
    </w:p>
    <w:p w14:paraId="5EB9C53B" w14:textId="77777777" w:rsidR="00EE343A" w:rsidRPr="007224C3" w:rsidRDefault="00EE34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Обязать ВВС Красной Армии - т.Селезнева с фев</w:t>
      </w:r>
      <w:r w:rsidRPr="007224C3">
        <w:rPr>
          <w:rFonts w:ascii="Times New Roman" w:hAnsi="Times New Roman"/>
          <w:color w:val="000000" w:themeColor="text1"/>
          <w:sz w:val="16"/>
          <w:szCs w:val="16"/>
        </w:rPr>
        <w:softHyphen/>
        <w:t xml:space="preserve">раля </w:t>
      </w:r>
      <w:r w:rsidRPr="007224C3">
        <w:rPr>
          <w:rStyle w:val="2pt"/>
          <w:rFonts w:ascii="Times New Roman" w:hAnsi="Times New Roman" w:cs="Times New Roman"/>
          <w:color w:val="000000" w:themeColor="text1"/>
          <w:spacing w:val="0"/>
          <w:sz w:val="16"/>
          <w:szCs w:val="16"/>
        </w:rPr>
        <w:t>с.г.</w:t>
      </w:r>
      <w:r w:rsidRPr="007224C3">
        <w:rPr>
          <w:rFonts w:ascii="Times New Roman" w:hAnsi="Times New Roman"/>
          <w:color w:val="000000" w:themeColor="text1"/>
          <w:sz w:val="16"/>
          <w:szCs w:val="16"/>
        </w:rPr>
        <w:t xml:space="preserve"> установить на стеклозаводах им-Горького,  №25 (дублер) и № 233 Наркомстройматериалов СССР воен</w:t>
      </w:r>
      <w:r w:rsidRPr="007224C3">
        <w:rPr>
          <w:rFonts w:ascii="Times New Roman" w:hAnsi="Times New Roman"/>
          <w:color w:val="000000" w:themeColor="text1"/>
          <w:sz w:val="16"/>
          <w:szCs w:val="16"/>
        </w:rPr>
        <w:softHyphen/>
        <w:t>ную приемку сталинита и силикатного стекла, идущих на изготовление авиаброни; увеличить для этого штат воен</w:t>
      </w:r>
      <w:r w:rsidRPr="007224C3">
        <w:rPr>
          <w:rFonts w:ascii="Times New Roman" w:hAnsi="Times New Roman"/>
          <w:color w:val="000000" w:themeColor="text1"/>
          <w:sz w:val="16"/>
          <w:szCs w:val="16"/>
        </w:rPr>
        <w:softHyphen/>
        <w:t>ных представителей ГУЗ КА на 15 человек.</w:t>
      </w:r>
    </w:p>
    <w:p w14:paraId="17D063B2" w14:textId="77777777" w:rsidR="00EE343A" w:rsidRPr="007224C3" w:rsidRDefault="00EE343A" w:rsidP="007224C3">
      <w:pPr>
        <w:pStyle w:val="36"/>
        <w:shd w:val="clear" w:color="auto" w:fill="auto"/>
        <w:tabs>
          <w:tab w:val="left" w:pos="960"/>
        </w:tabs>
        <w:spacing w:after="0"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3. Обязать Наркомстройматериалов СССР - т.Соснина:</w:t>
      </w:r>
    </w:p>
    <w:p w14:paraId="308D4F6C" w14:textId="77777777" w:rsidR="00EE343A" w:rsidRPr="007224C3" w:rsidRDefault="00EE343A" w:rsidP="007224C3">
      <w:pPr>
        <w:pStyle w:val="36"/>
        <w:shd w:val="clear" w:color="auto" w:fill="auto"/>
        <w:tabs>
          <w:tab w:val="left" w:pos="938"/>
        </w:tabs>
        <w:spacing w:after="0"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 xml:space="preserve">а) обеспечить поставку в 1 квартале </w:t>
      </w:r>
      <w:r w:rsidRPr="007224C3">
        <w:rPr>
          <w:rStyle w:val="0pt"/>
          <w:rFonts w:ascii="Times New Roman" w:cs="Times New Roman"/>
          <w:color w:val="000000" w:themeColor="text1"/>
          <w:spacing w:val="0"/>
          <w:sz w:val="16"/>
          <w:szCs w:val="16"/>
        </w:rPr>
        <w:t>с.г.</w:t>
      </w:r>
      <w:r w:rsidRPr="007224C3">
        <w:rPr>
          <w:rFonts w:ascii="Times New Roman" w:cs="Times New Roman"/>
          <w:color w:val="000000" w:themeColor="text1"/>
          <w:spacing w:val="0"/>
          <w:sz w:val="16"/>
          <w:szCs w:val="16"/>
        </w:rPr>
        <w:t xml:space="preserve"> заводам </w:t>
      </w:r>
      <w:r w:rsidRPr="007224C3">
        <w:rPr>
          <w:rStyle w:val="0pt"/>
          <w:rFonts w:ascii="Times New Roman" w:cs="Times New Roman"/>
          <w:color w:val="000000" w:themeColor="text1"/>
          <w:spacing w:val="0"/>
          <w:sz w:val="16"/>
          <w:szCs w:val="16"/>
        </w:rPr>
        <w:t>№ 148 и "К-4</w:t>
      </w:r>
      <w:r w:rsidRPr="007224C3">
        <w:rPr>
          <w:rFonts w:ascii="Times New Roman" w:cs="Times New Roman"/>
          <w:color w:val="000000" w:themeColor="text1"/>
          <w:spacing w:val="0"/>
          <w:sz w:val="16"/>
          <w:szCs w:val="16"/>
        </w:rPr>
        <w:t xml:space="preserve"> Наркомхимпрома </w:t>
      </w:r>
      <w:r w:rsidRPr="007224C3">
        <w:rPr>
          <w:rStyle w:val="0pt"/>
          <w:rFonts w:ascii="Times New Roman" w:cs="Times New Roman"/>
          <w:color w:val="000000" w:themeColor="text1"/>
          <w:spacing w:val="0"/>
          <w:sz w:val="16"/>
          <w:szCs w:val="16"/>
        </w:rPr>
        <w:t>11000</w:t>
      </w:r>
      <w:r w:rsidRPr="007224C3">
        <w:rPr>
          <w:rFonts w:ascii="Times New Roman" w:cs="Times New Roman"/>
          <w:color w:val="000000" w:themeColor="text1"/>
          <w:spacing w:val="0"/>
          <w:sz w:val="16"/>
          <w:szCs w:val="16"/>
        </w:rPr>
        <w:t xml:space="preserve"> комплектов сталинита, в том числе </w:t>
      </w:r>
      <w:r w:rsidRPr="007224C3">
        <w:rPr>
          <w:rStyle w:val="0pt"/>
          <w:rFonts w:ascii="Times New Roman" w:cs="Times New Roman"/>
          <w:color w:val="000000" w:themeColor="text1"/>
          <w:spacing w:val="0"/>
          <w:sz w:val="16"/>
          <w:szCs w:val="16"/>
        </w:rPr>
        <w:t>К-01-4600</w:t>
      </w:r>
      <w:r w:rsidRPr="007224C3">
        <w:rPr>
          <w:rFonts w:ascii="Times New Roman" w:cs="Times New Roman"/>
          <w:color w:val="000000" w:themeColor="text1"/>
          <w:spacing w:val="0"/>
          <w:sz w:val="16"/>
          <w:szCs w:val="16"/>
        </w:rPr>
        <w:t xml:space="preserve"> комплектов, </w:t>
      </w:r>
      <w:r w:rsidRPr="007224C3">
        <w:rPr>
          <w:rStyle w:val="0pt"/>
          <w:rFonts w:ascii="Times New Roman" w:cs="Times New Roman"/>
          <w:color w:val="000000" w:themeColor="text1"/>
          <w:spacing w:val="0"/>
          <w:sz w:val="16"/>
          <w:szCs w:val="16"/>
        </w:rPr>
        <w:t>К-04 - 4100</w:t>
      </w:r>
      <w:r w:rsidRPr="007224C3">
        <w:rPr>
          <w:rFonts w:ascii="Times New Roman" w:cs="Times New Roman"/>
          <w:color w:val="000000" w:themeColor="text1"/>
          <w:spacing w:val="0"/>
          <w:sz w:val="16"/>
          <w:szCs w:val="16"/>
        </w:rPr>
        <w:t xml:space="preserve"> комплектов </w:t>
      </w:r>
      <w:r w:rsidRPr="007224C3">
        <w:rPr>
          <w:rStyle w:val="0pt"/>
          <w:rFonts w:ascii="Times New Roman" w:cs="Times New Roman"/>
          <w:color w:val="000000" w:themeColor="text1"/>
          <w:spacing w:val="0"/>
          <w:sz w:val="16"/>
          <w:szCs w:val="16"/>
        </w:rPr>
        <w:t xml:space="preserve">и </w:t>
      </w:r>
      <w:r w:rsidRPr="007224C3">
        <w:rPr>
          <w:rStyle w:val="0pt"/>
          <w:rFonts w:ascii="Times New Roman" w:cs="Times New Roman"/>
          <w:color w:val="000000" w:themeColor="text1"/>
          <w:spacing w:val="0"/>
          <w:sz w:val="16"/>
          <w:szCs w:val="16"/>
          <w:lang w:val="en-US"/>
        </w:rPr>
        <w:t>K</w:t>
      </w:r>
      <w:r w:rsidRPr="007224C3">
        <w:rPr>
          <w:rStyle w:val="0pt"/>
          <w:rFonts w:ascii="Times New Roman" w:cs="Times New Roman"/>
          <w:color w:val="000000" w:themeColor="text1"/>
          <w:spacing w:val="0"/>
          <w:sz w:val="16"/>
          <w:szCs w:val="16"/>
        </w:rPr>
        <w:t>-05 - 2300</w:t>
      </w:r>
      <w:r w:rsidRPr="007224C3">
        <w:rPr>
          <w:rFonts w:ascii="Times New Roman" w:cs="Times New Roman"/>
          <w:color w:val="000000" w:themeColor="text1"/>
          <w:spacing w:val="0"/>
          <w:sz w:val="16"/>
          <w:szCs w:val="16"/>
        </w:rPr>
        <w:t xml:space="preserve"> комплектов, а также </w:t>
      </w:r>
      <w:r w:rsidRPr="007224C3">
        <w:rPr>
          <w:rStyle w:val="0pt"/>
          <w:rFonts w:ascii="Times New Roman" w:cs="Times New Roman"/>
          <w:color w:val="000000" w:themeColor="text1"/>
          <w:spacing w:val="0"/>
          <w:sz w:val="16"/>
          <w:szCs w:val="16"/>
        </w:rPr>
        <w:t>105000</w:t>
      </w:r>
      <w:r w:rsidRPr="007224C3">
        <w:rPr>
          <w:rFonts w:ascii="Times New Roman" w:cs="Times New Roman"/>
          <w:color w:val="000000" w:themeColor="text1"/>
          <w:spacing w:val="0"/>
          <w:sz w:val="16"/>
          <w:szCs w:val="16"/>
        </w:rPr>
        <w:t xml:space="preserve"> кв.мт. силикат</w:t>
      </w:r>
      <w:r w:rsidRPr="007224C3">
        <w:rPr>
          <w:rFonts w:ascii="Times New Roman" w:cs="Times New Roman"/>
          <w:color w:val="000000" w:themeColor="text1"/>
          <w:spacing w:val="0"/>
          <w:sz w:val="16"/>
          <w:szCs w:val="16"/>
        </w:rPr>
        <w:softHyphen/>
        <w:t>ного стекла. Поставку производить равномерно по месяцам.</w:t>
      </w:r>
    </w:p>
    <w:p w14:paraId="382CBF12" w14:textId="77777777" w:rsidR="00EE343A" w:rsidRPr="007224C3" w:rsidRDefault="00EE343A" w:rsidP="007224C3">
      <w:pPr>
        <w:pStyle w:val="36"/>
        <w:shd w:val="clear" w:color="auto" w:fill="auto"/>
        <w:tabs>
          <w:tab w:val="left" w:pos="943"/>
        </w:tabs>
        <w:spacing w:after="0"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б) провести работы по расширению производства проз</w:t>
      </w:r>
      <w:r w:rsidRPr="007224C3">
        <w:rPr>
          <w:rFonts w:ascii="Times New Roman" w:cs="Times New Roman"/>
          <w:color w:val="000000" w:themeColor="text1"/>
          <w:spacing w:val="0"/>
          <w:sz w:val="16"/>
          <w:szCs w:val="16"/>
        </w:rPr>
        <w:softHyphen/>
        <w:t xml:space="preserve">рачной авиационной брони на заводе № </w:t>
      </w:r>
      <w:r w:rsidRPr="007224C3">
        <w:rPr>
          <w:rStyle w:val="0pt"/>
          <w:rFonts w:ascii="Times New Roman" w:cs="Times New Roman"/>
          <w:color w:val="000000" w:themeColor="text1"/>
          <w:spacing w:val="0"/>
          <w:sz w:val="16"/>
          <w:szCs w:val="16"/>
        </w:rPr>
        <w:t>233,</w:t>
      </w:r>
      <w:r w:rsidRPr="007224C3">
        <w:rPr>
          <w:rFonts w:ascii="Times New Roman" w:cs="Times New Roman"/>
          <w:color w:val="000000" w:themeColor="text1"/>
          <w:spacing w:val="0"/>
          <w:sz w:val="16"/>
          <w:szCs w:val="16"/>
        </w:rPr>
        <w:t xml:space="preserve"> доведя выпуск сталинита в Ш квартале </w:t>
      </w:r>
      <w:r w:rsidRPr="007224C3">
        <w:rPr>
          <w:rStyle w:val="16"/>
          <w:rFonts w:ascii="Times New Roman" w:cs="Times New Roman"/>
          <w:color w:val="000000" w:themeColor="text1"/>
          <w:spacing w:val="0"/>
          <w:u w:val="none"/>
        </w:rPr>
        <w:t>с.г.</w:t>
      </w:r>
      <w:r w:rsidRPr="007224C3">
        <w:rPr>
          <w:rStyle w:val="0pt"/>
          <w:rFonts w:ascii="Times New Roman" w:cs="Times New Roman"/>
          <w:color w:val="000000" w:themeColor="text1"/>
          <w:spacing w:val="0"/>
          <w:sz w:val="16"/>
          <w:szCs w:val="16"/>
        </w:rPr>
        <w:t xml:space="preserve"> </w:t>
      </w:r>
      <w:r w:rsidRPr="007224C3">
        <w:rPr>
          <w:rFonts w:ascii="Times New Roman" w:cs="Times New Roman"/>
          <w:color w:val="000000" w:themeColor="text1"/>
          <w:spacing w:val="0"/>
          <w:sz w:val="16"/>
          <w:szCs w:val="16"/>
        </w:rPr>
        <w:t>до</w:t>
      </w:r>
      <w:r w:rsidRPr="007224C3">
        <w:rPr>
          <w:rStyle w:val="0pt"/>
          <w:rFonts w:ascii="Times New Roman" w:cs="Times New Roman"/>
          <w:color w:val="000000" w:themeColor="text1"/>
          <w:spacing w:val="0"/>
          <w:sz w:val="16"/>
          <w:szCs w:val="16"/>
        </w:rPr>
        <w:t xml:space="preserve"> 2000</w:t>
      </w:r>
      <w:r w:rsidRPr="007224C3">
        <w:rPr>
          <w:rFonts w:ascii="Times New Roman" w:cs="Times New Roman"/>
          <w:color w:val="000000" w:themeColor="text1"/>
          <w:spacing w:val="0"/>
          <w:sz w:val="16"/>
          <w:szCs w:val="16"/>
        </w:rPr>
        <w:t xml:space="preserve"> комплектов в месяц.</w:t>
      </w:r>
    </w:p>
    <w:p w14:paraId="27AAF167" w14:textId="77777777" w:rsidR="00EE343A" w:rsidRPr="007224C3" w:rsidRDefault="00EE343A" w:rsidP="007224C3">
      <w:pPr>
        <w:pStyle w:val="36"/>
        <w:shd w:val="clear" w:color="auto" w:fill="auto"/>
        <w:tabs>
          <w:tab w:val="left" w:pos="958"/>
        </w:tabs>
        <w:spacing w:after="0"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4. Отметить, что заводы Наркомстройматериалов недоснабжаются кальцинированной содой, необходимой для из</w:t>
      </w:r>
      <w:r w:rsidRPr="007224C3">
        <w:rPr>
          <w:rFonts w:ascii="Times New Roman" w:cs="Times New Roman"/>
          <w:color w:val="000000" w:themeColor="text1"/>
          <w:spacing w:val="0"/>
          <w:sz w:val="16"/>
          <w:szCs w:val="16"/>
        </w:rPr>
        <w:softHyphen/>
        <w:t>готовления сталинита и силикатного стекла.</w:t>
      </w:r>
    </w:p>
    <w:p w14:paraId="63FBCA6B" w14:textId="77777777" w:rsidR="00EE343A" w:rsidRPr="007224C3" w:rsidRDefault="00EE343A" w:rsidP="007224C3">
      <w:pPr>
        <w:pStyle w:val="36"/>
        <w:shd w:val="clear" w:color="auto" w:fill="auto"/>
        <w:spacing w:after="0"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 xml:space="preserve">Обязать Наркомхимпром - т.Первухина обеспечить в 1 квартале </w:t>
      </w:r>
      <w:r w:rsidRPr="007224C3">
        <w:rPr>
          <w:rStyle w:val="16"/>
          <w:rFonts w:ascii="Times New Roman" w:cs="Times New Roman"/>
          <w:color w:val="000000" w:themeColor="text1"/>
          <w:spacing w:val="0"/>
          <w:u w:val="none"/>
        </w:rPr>
        <w:t>с.г.</w:t>
      </w:r>
      <w:r w:rsidRPr="007224C3">
        <w:rPr>
          <w:rFonts w:ascii="Times New Roman" w:cs="Times New Roman"/>
          <w:color w:val="000000" w:themeColor="text1"/>
          <w:spacing w:val="0"/>
          <w:sz w:val="16"/>
          <w:szCs w:val="16"/>
        </w:rPr>
        <w:t xml:space="preserve"> поставку кальцинированной соды заводам имени Горького, им.Дзержинского, № 25 (дублер) и № </w:t>
      </w:r>
      <w:r w:rsidRPr="007224C3">
        <w:rPr>
          <w:rStyle w:val="0pt"/>
          <w:rFonts w:ascii="Times New Roman" w:cs="Times New Roman"/>
          <w:color w:val="000000" w:themeColor="text1"/>
          <w:spacing w:val="0"/>
          <w:sz w:val="16"/>
          <w:szCs w:val="16"/>
        </w:rPr>
        <w:t xml:space="preserve">233 </w:t>
      </w:r>
      <w:r w:rsidRPr="007224C3">
        <w:rPr>
          <w:rFonts w:ascii="Times New Roman" w:cs="Times New Roman"/>
          <w:color w:val="000000" w:themeColor="text1"/>
          <w:spacing w:val="0"/>
          <w:sz w:val="16"/>
          <w:szCs w:val="16"/>
        </w:rPr>
        <w:t xml:space="preserve">Наркомстройматериалов СССР, вырабатывающим сталинит и силикатное стекло, по выделенным им фондам в количестве </w:t>
      </w:r>
      <w:r w:rsidRPr="007224C3">
        <w:rPr>
          <w:rStyle w:val="0pt"/>
          <w:rFonts w:ascii="Times New Roman" w:cs="Times New Roman"/>
          <w:color w:val="000000" w:themeColor="text1"/>
          <w:spacing w:val="0"/>
          <w:sz w:val="16"/>
          <w:szCs w:val="16"/>
        </w:rPr>
        <w:t>2600</w:t>
      </w:r>
      <w:r w:rsidRPr="007224C3">
        <w:rPr>
          <w:rFonts w:ascii="Times New Roman" w:cs="Times New Roman"/>
          <w:color w:val="000000" w:themeColor="text1"/>
          <w:spacing w:val="0"/>
          <w:sz w:val="16"/>
          <w:szCs w:val="16"/>
        </w:rPr>
        <w:t xml:space="preserve"> тонн равномерно по месяцам, наравне с поставками алюминиевой промышленности.</w:t>
      </w:r>
    </w:p>
    <w:p w14:paraId="4D914815" w14:textId="77777777" w:rsidR="00EE343A" w:rsidRPr="007224C3" w:rsidRDefault="00EE343A" w:rsidP="007224C3">
      <w:pPr>
        <w:pStyle w:val="36"/>
        <w:shd w:val="clear" w:color="auto" w:fill="auto"/>
        <w:tabs>
          <w:tab w:val="left" w:pos="958"/>
        </w:tabs>
        <w:spacing w:after="0"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5. Обязать Наркомчермет - т.Тевосяна, Наркомстанкостроения - т.Ефремова, Наркомпищепром СССР - т.Зотова, Наркомбумпром - т.Чеботарева, Наркомлес СССР - т.Салты</w:t>
      </w:r>
      <w:r w:rsidRPr="007224C3">
        <w:rPr>
          <w:rFonts w:ascii="Times New Roman" w:cs="Times New Roman"/>
          <w:color w:val="000000" w:themeColor="text1"/>
          <w:spacing w:val="0"/>
          <w:sz w:val="16"/>
          <w:szCs w:val="16"/>
        </w:rPr>
        <w:softHyphen/>
        <w:t xml:space="preserve">кова, Наркомбоеприпасов - т.Ванникова, Нар «;омтекс тиль СССР - т.Акимова, Наркомлегпром СССР - т.Лукина и Нар- комместпром </w:t>
      </w:r>
      <w:r w:rsidRPr="007224C3">
        <w:rPr>
          <w:rStyle w:val="0pt"/>
          <w:rFonts w:ascii="Times New Roman" w:cs="Times New Roman"/>
          <w:color w:val="000000" w:themeColor="text1"/>
          <w:spacing w:val="0"/>
          <w:sz w:val="16"/>
          <w:szCs w:val="16"/>
          <w:lang w:val="en-US"/>
        </w:rPr>
        <w:t>PCiCP</w:t>
      </w:r>
      <w:r w:rsidRPr="007224C3">
        <w:rPr>
          <w:rStyle w:val="0pt"/>
          <w:rFonts w:ascii="Times New Roman" w:cs="Times New Roman"/>
          <w:color w:val="000000" w:themeColor="text1"/>
          <w:spacing w:val="0"/>
          <w:sz w:val="16"/>
          <w:szCs w:val="16"/>
        </w:rPr>
        <w:t xml:space="preserve"> -</w:t>
      </w:r>
      <w:r w:rsidRPr="007224C3">
        <w:rPr>
          <w:rFonts w:ascii="Times New Roman" w:cs="Times New Roman"/>
          <w:color w:val="000000" w:themeColor="text1"/>
          <w:spacing w:val="0"/>
          <w:sz w:val="16"/>
          <w:szCs w:val="16"/>
        </w:rPr>
        <w:t xml:space="preserve"> т.Смиряева поставить Наркомхимпрому для заводов № </w:t>
      </w:r>
      <w:r w:rsidRPr="007224C3">
        <w:rPr>
          <w:rStyle w:val="0pt"/>
          <w:rFonts w:ascii="Times New Roman" w:cs="Times New Roman"/>
          <w:color w:val="000000" w:themeColor="text1"/>
          <w:spacing w:val="0"/>
          <w:sz w:val="16"/>
          <w:szCs w:val="16"/>
        </w:rPr>
        <w:t>148 и "К-4"</w:t>
      </w:r>
      <w:r w:rsidRPr="007224C3">
        <w:rPr>
          <w:rFonts w:ascii="Times New Roman" w:cs="Times New Roman"/>
          <w:color w:val="000000" w:themeColor="text1"/>
          <w:spacing w:val="0"/>
          <w:sz w:val="16"/>
          <w:szCs w:val="16"/>
        </w:rPr>
        <w:t xml:space="preserve"> и Наркомстройматериалов СССР для заводов № 25 (дублер),</w:t>
      </w:r>
      <w:r w:rsidRPr="007224C3">
        <w:rPr>
          <w:rStyle w:val="0pt"/>
          <w:rFonts w:ascii="Times New Roman" w:cs="Times New Roman"/>
          <w:color w:val="000000" w:themeColor="text1"/>
          <w:spacing w:val="0"/>
          <w:sz w:val="16"/>
          <w:szCs w:val="16"/>
        </w:rPr>
        <w:t xml:space="preserve"> № 233</w:t>
      </w:r>
      <w:r w:rsidRPr="007224C3">
        <w:rPr>
          <w:rFonts w:ascii="Times New Roman" w:cs="Times New Roman"/>
          <w:color w:val="000000" w:themeColor="text1"/>
          <w:spacing w:val="0"/>
          <w:sz w:val="16"/>
          <w:szCs w:val="16"/>
        </w:rPr>
        <w:t xml:space="preserve"> и имени Горького, в счет их фондов, материалы и оборудование, согласно приложениям № 1 и 2 целевым назначением для обеспечения поставки Наркомавиапрому бронекозырьков и оргстекла.</w:t>
      </w:r>
    </w:p>
    <w:p w14:paraId="598725F8" w14:textId="77777777" w:rsidR="00EE343A" w:rsidRPr="007224C3" w:rsidRDefault="00EE34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Отгрузку материалов и оборудования заводам Нарком- химпрома и Наркомстройматериалов СССР, изготовляющим сталинит и авиационную броню, производить наравне с поставками Наркомавиапрому.</w:t>
      </w:r>
    </w:p>
    <w:p w14:paraId="30C87ADA" w14:textId="77777777" w:rsidR="00EE343A" w:rsidRPr="007224C3" w:rsidRDefault="00EE343A" w:rsidP="007224C3">
      <w:pPr>
        <w:tabs>
          <w:tab w:val="left" w:pos="781"/>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6. Обязать Наркомстанкостроения - т.Ефремова:</w:t>
      </w:r>
    </w:p>
    <w:p w14:paraId="161DDC48" w14:textId="77777777" w:rsidR="00EE343A" w:rsidRPr="007224C3" w:rsidRDefault="00EE343A" w:rsidP="007224C3">
      <w:pPr>
        <w:tabs>
          <w:tab w:val="left" w:pos="3482"/>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йзготовить по чертежам Наркометройматериалов СССР и поставить зазоду</w:t>
      </w:r>
      <w:r w:rsidRPr="007224C3">
        <w:rPr>
          <w:rFonts w:ascii="Times New Roman" w:hAnsi="Times New Roman"/>
          <w:color w:val="000000" w:themeColor="text1"/>
          <w:sz w:val="16"/>
          <w:szCs w:val="16"/>
        </w:rPr>
        <w:tab/>
        <w:t>во П квартале с.г. 15 специальных станков типа СП-2000 для шлифовки броне</w:t>
      </w:r>
      <w:r w:rsidRPr="007224C3">
        <w:rPr>
          <w:rFonts w:ascii="Times New Roman" w:hAnsi="Times New Roman"/>
          <w:color w:val="000000" w:themeColor="text1"/>
          <w:sz w:val="16"/>
          <w:szCs w:val="16"/>
        </w:rPr>
        <w:softHyphen/>
        <w:t>стекла,</w:t>
      </w:r>
      <w:r w:rsidRPr="007224C3">
        <w:rPr>
          <w:rStyle w:val="16"/>
          <w:rFonts w:ascii="Times New Roman" w:hAnsi="Times New Roman" w:cs="Times New Roman"/>
          <w:color w:val="000000" w:themeColor="text1"/>
          <w:spacing w:val="0"/>
          <w:u w:val="none"/>
        </w:rPr>
        <w:t xml:space="preserve"> без</w:t>
      </w:r>
      <w:r w:rsidRPr="007224C3">
        <w:rPr>
          <w:rFonts w:ascii="Times New Roman" w:hAnsi="Times New Roman"/>
          <w:color w:val="000000" w:themeColor="text1"/>
          <w:sz w:val="16"/>
          <w:szCs w:val="16"/>
        </w:rPr>
        <w:t xml:space="preserve"> механической обработки столов этих станков, а также поставить заводу шесть станков типа "372-</w:t>
      </w:r>
      <w:r w:rsidRPr="007224C3">
        <w:rPr>
          <w:rFonts w:ascii="Times New Roman" w:hAnsi="Times New Roman"/>
          <w:color w:val="000000" w:themeColor="text1"/>
          <w:sz w:val="16"/>
          <w:szCs w:val="16"/>
          <w:lang w:val="en-US"/>
        </w:rPr>
        <w:t>A</w:t>
      </w:r>
      <w:r w:rsidRPr="007224C3">
        <w:rPr>
          <w:rFonts w:ascii="Times New Roman" w:hAnsi="Times New Roman"/>
          <w:color w:val="000000" w:themeColor="text1"/>
          <w:sz w:val="16"/>
          <w:szCs w:val="16"/>
        </w:rPr>
        <w:t>М", выделенных ему постановлением ГОКО № 3218 от 21 апреля 1943 года;</w:t>
      </w:r>
    </w:p>
    <w:p w14:paraId="12987CE4" w14:textId="77777777" w:rsidR="00EE343A" w:rsidRPr="007224C3" w:rsidRDefault="00EE34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поставить Наркомхимпрому во II квартале с.г. це</w:t>
      </w:r>
      <w:r w:rsidRPr="007224C3">
        <w:rPr>
          <w:rFonts w:ascii="Times New Roman" w:hAnsi="Times New Roman"/>
          <w:color w:val="000000" w:themeColor="text1"/>
          <w:sz w:val="16"/>
          <w:szCs w:val="16"/>
        </w:rPr>
        <w:softHyphen/>
        <w:t>левым назначением для заводов № 148 и "К-4" четыре стан</w:t>
      </w:r>
      <w:r w:rsidRPr="007224C3">
        <w:rPr>
          <w:rFonts w:ascii="Times New Roman" w:hAnsi="Times New Roman"/>
          <w:color w:val="000000" w:themeColor="text1"/>
          <w:sz w:val="16"/>
          <w:szCs w:val="16"/>
        </w:rPr>
        <w:softHyphen/>
        <w:t>ка ДИП-300 упрощенной конструкции для обработки оргподушки броиекозырьков.</w:t>
      </w:r>
    </w:p>
    <w:p w14:paraId="7EFBFC48" w14:textId="77777777" w:rsidR="00EE343A" w:rsidRPr="007224C3" w:rsidRDefault="00EE34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Госплану СССР предусмотреть целевое выделение ука</w:t>
      </w:r>
      <w:r w:rsidRPr="007224C3">
        <w:rPr>
          <w:rFonts w:ascii="Times New Roman" w:hAnsi="Times New Roman"/>
          <w:color w:val="000000" w:themeColor="text1"/>
          <w:sz w:val="16"/>
          <w:szCs w:val="16"/>
        </w:rPr>
        <w:softHyphen/>
        <w:t>занного оборудования во П квартале с.г.</w:t>
      </w:r>
    </w:p>
    <w:p w14:paraId="240A64F9" w14:textId="77777777" w:rsidR="00EE343A" w:rsidRPr="007224C3" w:rsidRDefault="00EE343A" w:rsidP="007224C3">
      <w:pPr>
        <w:tabs>
          <w:tab w:val="left" w:pos="796"/>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7. Обязать Главвоенпромстрой при </w:t>
      </w:r>
      <w:r w:rsidRPr="007224C3">
        <w:rPr>
          <w:rFonts w:ascii="Times New Roman" w:hAnsi="Times New Roman"/>
          <w:color w:val="000000" w:themeColor="text1"/>
          <w:sz w:val="16"/>
          <w:szCs w:val="16"/>
          <w:lang w:val="en-US"/>
        </w:rPr>
        <w:t>C</w:t>
      </w:r>
      <w:r w:rsidRPr="007224C3">
        <w:rPr>
          <w:rFonts w:ascii="Times New Roman" w:hAnsi="Times New Roman"/>
          <w:color w:val="000000" w:themeColor="text1"/>
          <w:sz w:val="16"/>
          <w:szCs w:val="16"/>
        </w:rPr>
        <w:t>Н</w:t>
      </w:r>
      <w:r w:rsidRPr="007224C3">
        <w:rPr>
          <w:rFonts w:ascii="Times New Roman" w:hAnsi="Times New Roman"/>
          <w:color w:val="000000" w:themeColor="text1"/>
          <w:sz w:val="16"/>
          <w:szCs w:val="16"/>
          <w:lang w:val="en-US"/>
        </w:rPr>
        <w:t>K</w:t>
      </w:r>
      <w:r w:rsidRPr="007224C3">
        <w:rPr>
          <w:rFonts w:ascii="Times New Roman" w:hAnsi="Times New Roman"/>
          <w:color w:val="000000" w:themeColor="text1"/>
          <w:sz w:val="16"/>
          <w:szCs w:val="16"/>
        </w:rPr>
        <w:t xml:space="preserve"> СССР - т.Про</w:t>
      </w:r>
      <w:r w:rsidRPr="007224C3">
        <w:rPr>
          <w:rFonts w:ascii="Times New Roman" w:hAnsi="Times New Roman"/>
          <w:color w:val="000000" w:themeColor="text1"/>
          <w:sz w:val="16"/>
          <w:szCs w:val="16"/>
        </w:rPr>
        <w:softHyphen/>
        <w:t>кофьева при всех условиях выполнить в 1 и П кварталах с.г. на заводе № 233 Наркомстройматериалов СССР все строительно-монтажные, сантехнические и электротехни</w:t>
      </w:r>
      <w:r w:rsidRPr="007224C3">
        <w:rPr>
          <w:rFonts w:ascii="Times New Roman" w:hAnsi="Times New Roman"/>
          <w:color w:val="000000" w:themeColor="text1"/>
          <w:sz w:val="16"/>
          <w:szCs w:val="16"/>
        </w:rPr>
        <w:softHyphen/>
        <w:t>ческие работы, работы по газопроводу, устройству фунда</w:t>
      </w:r>
      <w:r w:rsidRPr="007224C3">
        <w:rPr>
          <w:rFonts w:ascii="Times New Roman" w:hAnsi="Times New Roman"/>
          <w:color w:val="000000" w:themeColor="text1"/>
          <w:sz w:val="16"/>
          <w:szCs w:val="16"/>
        </w:rPr>
        <w:softHyphen/>
        <w:t>ментов под технологическое оборудование и кладку печей первоочередных объектов строительства завода № 233 в об"еме и сроки, согласно приложёнию № 3.</w:t>
      </w:r>
    </w:p>
    <w:p w14:paraId="3DD06007" w14:textId="77777777" w:rsidR="00EE343A" w:rsidRPr="007224C3" w:rsidRDefault="00EE34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Наркомстройматериалов СССР обеспечить Главвоенпром</w:t>
      </w:r>
      <w:r w:rsidRPr="007224C3">
        <w:rPr>
          <w:rFonts w:ascii="Times New Roman" w:hAnsi="Times New Roman"/>
          <w:color w:val="000000" w:themeColor="text1"/>
          <w:sz w:val="16"/>
          <w:szCs w:val="16"/>
        </w:rPr>
        <w:softHyphen/>
        <w:t>строй необходимой технической документацией по согласо</w:t>
      </w:r>
      <w:r w:rsidRPr="007224C3">
        <w:rPr>
          <w:rFonts w:ascii="Times New Roman" w:hAnsi="Times New Roman"/>
          <w:color w:val="000000" w:themeColor="text1"/>
          <w:sz w:val="16"/>
          <w:szCs w:val="16"/>
        </w:rPr>
        <w:softHyphen/>
        <w:t>ванным с ним графикам.</w:t>
      </w:r>
    </w:p>
    <w:p w14:paraId="7E00AF87" w14:textId="77777777" w:rsidR="00EE343A" w:rsidRPr="007224C3" w:rsidRDefault="00EE343A" w:rsidP="007224C3">
      <w:pPr>
        <w:tabs>
          <w:tab w:val="left" w:pos="796"/>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Обязать Наркомстройматериалов СССР « т.Соснина обеспечить строительство завода № 233 всеми необходимыми строительными, сантехническими и электротехническими ма</w:t>
      </w:r>
      <w:r w:rsidRPr="007224C3">
        <w:rPr>
          <w:rFonts w:ascii="Times New Roman" w:hAnsi="Times New Roman"/>
          <w:color w:val="000000" w:themeColor="text1"/>
          <w:sz w:val="16"/>
          <w:szCs w:val="16"/>
        </w:rPr>
        <w:softHyphen/>
        <w:t>териалами и оборудованием, в'количествах и сроки, сог</w:t>
      </w:r>
      <w:r w:rsidRPr="007224C3">
        <w:rPr>
          <w:rFonts w:ascii="Times New Roman" w:hAnsi="Times New Roman"/>
          <w:color w:val="000000" w:themeColor="text1"/>
          <w:sz w:val="16"/>
          <w:szCs w:val="16"/>
        </w:rPr>
        <w:softHyphen/>
        <w:t>ласно приложению 4.</w:t>
      </w:r>
    </w:p>
    <w:p w14:paraId="7B5AB6B7" w14:textId="77777777" w:rsidR="00EE343A" w:rsidRPr="007224C3" w:rsidRDefault="00EE34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Ввиду важности окончания строительства завода № 233 изготовляющего сталинит для авиационной брони, обязать Наркомчермет - т.Тевосяна, Наркомавиапром - т.Шахурина, Наркомтанкопром - т.Малышева, Главснаблес при СНК СССР - т. Лопухов, Наркомстройматериалов СССР - т.Соснина, Наркомминвооружения - т.Паршина, Наркомпище- пром СССР - т.Зотова, Наркомхимпром - т.Первухина, Главнефтеснаб при СНК СССР - т.Широкова, Наркомтяжмаш - т.Казакова, Мособлисполком - т.Тарасова поставку матери</w:t>
      </w:r>
      <w:r w:rsidRPr="007224C3">
        <w:rPr>
          <w:rFonts w:ascii="Times New Roman" w:hAnsi="Times New Roman"/>
          <w:color w:val="000000" w:themeColor="text1"/>
          <w:sz w:val="16"/>
          <w:szCs w:val="16"/>
        </w:rPr>
        <w:softHyphen/>
        <w:t xml:space="preserve">алов и оборудования для строительства завода № </w:t>
      </w:r>
      <w:r w:rsidRPr="007224C3">
        <w:rPr>
          <w:rStyle w:val="0pt"/>
          <w:rFonts w:ascii="Times New Roman" w:hAnsi="Times New Roman" w:cs="Times New Roman"/>
          <w:color w:val="000000" w:themeColor="text1"/>
          <w:spacing w:val="0"/>
          <w:sz w:val="16"/>
          <w:szCs w:val="16"/>
        </w:rPr>
        <w:t>233</w:t>
      </w:r>
      <w:r w:rsidRPr="007224C3">
        <w:rPr>
          <w:rFonts w:ascii="Times New Roman" w:hAnsi="Times New Roman"/>
          <w:color w:val="000000" w:themeColor="text1"/>
          <w:sz w:val="16"/>
          <w:szCs w:val="16"/>
        </w:rPr>
        <w:t xml:space="preserve"> НКПСМ СССР, перечисленного в приложении № 4, производить впе</w:t>
      </w:r>
      <w:r w:rsidRPr="007224C3">
        <w:rPr>
          <w:rFonts w:ascii="Times New Roman" w:hAnsi="Times New Roman"/>
          <w:color w:val="000000" w:themeColor="text1"/>
          <w:sz w:val="16"/>
          <w:szCs w:val="16"/>
        </w:rPr>
        <w:softHyphen/>
        <w:t>реди других потребителей, наравне с обеспечением важней</w:t>
      </w:r>
      <w:r w:rsidRPr="007224C3">
        <w:rPr>
          <w:rFonts w:ascii="Times New Roman" w:hAnsi="Times New Roman"/>
          <w:color w:val="000000" w:themeColor="text1"/>
          <w:sz w:val="16"/>
          <w:szCs w:val="16"/>
        </w:rPr>
        <w:softHyphen/>
        <w:t>ших строек Наркомчермета.</w:t>
      </w:r>
    </w:p>
    <w:p w14:paraId="6220813D" w14:textId="77777777" w:rsidR="00EE343A" w:rsidRPr="007224C3" w:rsidRDefault="00EE343A" w:rsidP="007224C3">
      <w:pPr>
        <w:spacing w:after="0" w:line="240" w:lineRule="auto"/>
        <w:jc w:val="both"/>
        <w:rPr>
          <w:rFonts w:ascii="Times New Roman" w:hAnsi="Times New Roman"/>
          <w:color w:val="000000" w:themeColor="text1"/>
          <w:sz w:val="16"/>
          <w:szCs w:val="16"/>
        </w:rPr>
      </w:pPr>
      <w:r w:rsidRPr="007224C3">
        <w:rPr>
          <w:rStyle w:val="0pt"/>
          <w:rFonts w:ascii="Times New Roman" w:hAnsi="Times New Roman" w:cs="Times New Roman"/>
          <w:color w:val="000000" w:themeColor="text1"/>
          <w:spacing w:val="0"/>
          <w:sz w:val="16"/>
          <w:szCs w:val="16"/>
        </w:rPr>
        <w:t>10.</w:t>
      </w:r>
      <w:r w:rsidRPr="007224C3">
        <w:rPr>
          <w:rFonts w:ascii="Times New Roman" w:hAnsi="Times New Roman"/>
          <w:color w:val="000000" w:themeColor="text1"/>
          <w:sz w:val="16"/>
          <w:szCs w:val="16"/>
        </w:rPr>
        <w:t xml:space="preserve"> Обяэать Госплан </w:t>
      </w:r>
      <w:r w:rsidRPr="007224C3">
        <w:rPr>
          <w:rStyle w:val="0pt"/>
          <w:rFonts w:ascii="Times New Roman" w:hAnsi="Times New Roman" w:cs="Times New Roman"/>
          <w:color w:val="000000" w:themeColor="text1"/>
          <w:spacing w:val="0"/>
          <w:sz w:val="16"/>
          <w:szCs w:val="16"/>
          <w:lang w:val="en-US"/>
        </w:rPr>
        <w:t>C</w:t>
      </w:r>
      <w:r w:rsidRPr="007224C3">
        <w:rPr>
          <w:rStyle w:val="0pt"/>
          <w:rFonts w:ascii="Times New Roman" w:hAnsi="Times New Roman" w:cs="Times New Roman"/>
          <w:color w:val="000000" w:themeColor="text1"/>
          <w:spacing w:val="0"/>
          <w:sz w:val="16"/>
          <w:szCs w:val="16"/>
        </w:rPr>
        <w:t>С</w:t>
      </w:r>
      <w:r w:rsidRPr="007224C3">
        <w:rPr>
          <w:rStyle w:val="0pt"/>
          <w:rFonts w:ascii="Times New Roman" w:hAnsi="Times New Roman" w:cs="Times New Roman"/>
          <w:color w:val="000000" w:themeColor="text1"/>
          <w:spacing w:val="0"/>
          <w:sz w:val="16"/>
          <w:szCs w:val="16"/>
          <w:lang w:val="en-US"/>
        </w:rPr>
        <w:t>CP</w:t>
      </w:r>
      <w:r w:rsidRPr="007224C3">
        <w:rPr>
          <w:rStyle w:val="0pt"/>
          <w:rFonts w:ascii="Times New Roman" w:hAnsi="Times New Roman" w:cs="Times New Roman"/>
          <w:color w:val="000000" w:themeColor="text1"/>
          <w:spacing w:val="0"/>
          <w:sz w:val="16"/>
          <w:szCs w:val="16"/>
        </w:rPr>
        <w:t xml:space="preserve"> -</w:t>
      </w:r>
      <w:r w:rsidRPr="007224C3">
        <w:rPr>
          <w:rFonts w:ascii="Times New Roman" w:hAnsi="Times New Roman"/>
          <w:color w:val="000000" w:themeColor="text1"/>
          <w:sz w:val="16"/>
          <w:szCs w:val="16"/>
        </w:rPr>
        <w:t xml:space="preserve"> т. Вознесенскоро предусмотреть во П квартале </w:t>
      </w:r>
      <w:r w:rsidRPr="007224C3">
        <w:rPr>
          <w:rStyle w:val="16"/>
          <w:rFonts w:ascii="Times New Roman" w:hAnsi="Times New Roman" w:cs="Times New Roman"/>
          <w:color w:val="000000" w:themeColor="text1"/>
          <w:spacing w:val="0"/>
          <w:u w:val="none"/>
        </w:rPr>
        <w:t>с.г.</w:t>
      </w:r>
      <w:r w:rsidRPr="007224C3">
        <w:rPr>
          <w:rFonts w:ascii="Times New Roman" w:hAnsi="Times New Roman"/>
          <w:color w:val="000000" w:themeColor="text1"/>
          <w:sz w:val="16"/>
          <w:szCs w:val="16"/>
        </w:rPr>
        <w:t xml:space="preserve"> целевое выделение материалов и оборудования, обеспечивающих окончание строительства об"ектов завода № </w:t>
      </w:r>
      <w:r w:rsidRPr="007224C3">
        <w:rPr>
          <w:rStyle w:val="0pt"/>
          <w:rFonts w:ascii="Times New Roman" w:hAnsi="Times New Roman" w:cs="Times New Roman"/>
          <w:color w:val="000000" w:themeColor="text1"/>
          <w:spacing w:val="0"/>
          <w:sz w:val="16"/>
          <w:szCs w:val="16"/>
        </w:rPr>
        <w:t>233</w:t>
      </w:r>
      <w:r w:rsidRPr="007224C3">
        <w:rPr>
          <w:rFonts w:ascii="Times New Roman" w:hAnsi="Times New Roman"/>
          <w:color w:val="000000" w:themeColor="text1"/>
          <w:sz w:val="16"/>
          <w:szCs w:val="16"/>
        </w:rPr>
        <w:t xml:space="preserve"> Наркомстройматериалов СССР, пре</w:t>
      </w:r>
      <w:r w:rsidRPr="007224C3">
        <w:rPr>
          <w:rFonts w:ascii="Times New Roman" w:hAnsi="Times New Roman"/>
          <w:color w:val="000000" w:themeColor="text1"/>
          <w:sz w:val="16"/>
          <w:szCs w:val="16"/>
        </w:rPr>
        <w:softHyphen/>
        <w:t>дусмотренных настоящим постановлением.</w:t>
      </w:r>
    </w:p>
    <w:p w14:paraId="140AFD9E" w14:textId="77777777" w:rsidR="00EE343A" w:rsidRPr="007224C3" w:rsidRDefault="00EE34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Подтвердить к выполнению постановление ГОКО №</w:t>
      </w:r>
      <w:r w:rsidRPr="007224C3">
        <w:rPr>
          <w:rStyle w:val="0pt"/>
          <w:rFonts w:ascii="Times New Roman" w:hAnsi="Times New Roman" w:cs="Times New Roman"/>
          <w:color w:val="000000" w:themeColor="text1"/>
          <w:spacing w:val="0"/>
          <w:sz w:val="16"/>
          <w:szCs w:val="16"/>
        </w:rPr>
        <w:t xml:space="preserve"> 3218</w:t>
      </w:r>
      <w:r w:rsidRPr="007224C3">
        <w:rPr>
          <w:rStyle w:val="0pt"/>
          <w:rFonts w:ascii="Times New Roman" w:hAnsi="Times New Roman" w:cs="Times New Roman"/>
          <w:color w:val="000000" w:themeColor="text1"/>
          <w:spacing w:val="0"/>
          <w:sz w:val="16"/>
          <w:szCs w:val="16"/>
          <w:lang w:val="en-US"/>
        </w:rPr>
        <w:t>c</w:t>
      </w:r>
      <w:r w:rsidRPr="007224C3">
        <w:rPr>
          <w:rFonts w:ascii="Times New Roman" w:hAnsi="Times New Roman"/>
          <w:color w:val="000000" w:themeColor="text1"/>
          <w:sz w:val="16"/>
          <w:szCs w:val="16"/>
        </w:rPr>
        <w:t xml:space="preserve"> от </w:t>
      </w:r>
      <w:r w:rsidRPr="007224C3">
        <w:rPr>
          <w:rStyle w:val="0pt"/>
          <w:rFonts w:ascii="Times New Roman" w:hAnsi="Times New Roman" w:cs="Times New Roman"/>
          <w:color w:val="000000" w:themeColor="text1"/>
          <w:spacing w:val="0"/>
          <w:sz w:val="16"/>
          <w:szCs w:val="16"/>
        </w:rPr>
        <w:t>21</w:t>
      </w:r>
      <w:r w:rsidRPr="007224C3">
        <w:rPr>
          <w:rFonts w:ascii="Times New Roman" w:hAnsi="Times New Roman"/>
          <w:color w:val="000000" w:themeColor="text1"/>
          <w:sz w:val="16"/>
          <w:szCs w:val="16"/>
        </w:rPr>
        <w:t xml:space="preserve"> апреля </w:t>
      </w:r>
      <w:r w:rsidRPr="007224C3">
        <w:rPr>
          <w:rStyle w:val="0pt"/>
          <w:rFonts w:ascii="Times New Roman" w:hAnsi="Times New Roman" w:cs="Times New Roman"/>
          <w:color w:val="000000" w:themeColor="text1"/>
          <w:spacing w:val="0"/>
          <w:sz w:val="16"/>
          <w:szCs w:val="16"/>
        </w:rPr>
        <w:t>1943</w:t>
      </w:r>
      <w:r w:rsidRPr="007224C3">
        <w:rPr>
          <w:rFonts w:ascii="Times New Roman" w:hAnsi="Times New Roman"/>
          <w:color w:val="000000" w:themeColor="text1"/>
          <w:sz w:val="16"/>
          <w:szCs w:val="16"/>
        </w:rPr>
        <w:t xml:space="preserve"> года по строительству завода </w:t>
      </w:r>
      <w:r w:rsidRPr="007224C3">
        <w:rPr>
          <w:rStyle w:val="0pt"/>
          <w:rFonts w:ascii="Times New Roman" w:hAnsi="Times New Roman" w:cs="Times New Roman"/>
          <w:color w:val="000000" w:themeColor="text1"/>
          <w:spacing w:val="0"/>
          <w:sz w:val="16"/>
          <w:szCs w:val="16"/>
        </w:rPr>
        <w:t>№ 233</w:t>
      </w:r>
      <w:r w:rsidRPr="007224C3">
        <w:rPr>
          <w:rFonts w:ascii="Times New Roman" w:hAnsi="Times New Roman"/>
          <w:color w:val="000000" w:themeColor="text1"/>
          <w:sz w:val="16"/>
          <w:szCs w:val="16"/>
        </w:rPr>
        <w:t xml:space="preserve"> Наркомстройматериалов </w:t>
      </w:r>
      <w:r w:rsidRPr="007224C3">
        <w:rPr>
          <w:rFonts w:ascii="Times New Roman" w:hAnsi="Times New Roman"/>
          <w:color w:val="000000" w:themeColor="text1"/>
          <w:sz w:val="16"/>
          <w:szCs w:val="16"/>
          <w:lang w:val="en-US"/>
        </w:rPr>
        <w:t>C</w:t>
      </w:r>
      <w:r w:rsidRPr="007224C3">
        <w:rPr>
          <w:rFonts w:ascii="Times New Roman" w:hAnsi="Times New Roman"/>
          <w:color w:val="000000" w:themeColor="text1"/>
          <w:sz w:val="16"/>
          <w:szCs w:val="16"/>
        </w:rPr>
        <w:t>С</w:t>
      </w:r>
      <w:r w:rsidRPr="007224C3">
        <w:rPr>
          <w:rFonts w:ascii="Times New Roman" w:hAnsi="Times New Roman"/>
          <w:color w:val="000000" w:themeColor="text1"/>
          <w:sz w:val="16"/>
          <w:szCs w:val="16"/>
          <w:lang w:val="en-US"/>
        </w:rPr>
        <w:t>CP</w:t>
      </w:r>
      <w:r w:rsidRPr="007224C3">
        <w:rPr>
          <w:rFonts w:ascii="Times New Roman" w:hAnsi="Times New Roman"/>
          <w:color w:val="000000" w:themeColor="text1"/>
          <w:sz w:val="16"/>
          <w:szCs w:val="16"/>
        </w:rPr>
        <w:t xml:space="preserve"> и обязать:</w:t>
      </w:r>
    </w:p>
    <w:p w14:paraId="04B064ED" w14:textId="77777777" w:rsidR="00EE343A" w:rsidRPr="007224C3" w:rsidRDefault="00EE343A" w:rsidP="007224C3">
      <w:pPr>
        <w:spacing w:after="0" w:line="240" w:lineRule="auto"/>
        <w:jc w:val="both"/>
        <w:rPr>
          <w:rFonts w:ascii="Times New Roman" w:hAnsi="Times New Roman"/>
          <w:color w:val="000000" w:themeColor="text1"/>
          <w:sz w:val="16"/>
          <w:szCs w:val="16"/>
        </w:rPr>
      </w:pPr>
      <w:r w:rsidRPr="007224C3">
        <w:rPr>
          <w:rStyle w:val="Garamond85pt"/>
          <w:rFonts w:ascii="Times New Roman" w:hAnsi="Times New Roman" w:cs="Times New Roman"/>
          <w:color w:val="000000" w:themeColor="text1"/>
          <w:spacing w:val="0"/>
          <w:sz w:val="16"/>
          <w:szCs w:val="16"/>
          <w:lang w:val="ru-RU"/>
        </w:rPr>
        <w:t>а)</w:t>
      </w:r>
      <w:r w:rsidRPr="007224C3">
        <w:rPr>
          <w:rFonts w:ascii="Times New Roman" w:hAnsi="Times New Roman"/>
          <w:color w:val="000000" w:themeColor="text1"/>
          <w:sz w:val="16"/>
          <w:szCs w:val="16"/>
        </w:rPr>
        <w:t xml:space="preserve"> Наркомвнешторг - т.Микояна ускорить закупку в США и поставку заводу № </w:t>
      </w:r>
      <w:r w:rsidRPr="007224C3">
        <w:rPr>
          <w:rStyle w:val="0pt"/>
          <w:rFonts w:ascii="Times New Roman" w:hAnsi="Times New Roman" w:cs="Times New Roman"/>
          <w:color w:val="000000" w:themeColor="text1"/>
          <w:spacing w:val="0"/>
          <w:sz w:val="16"/>
          <w:szCs w:val="16"/>
        </w:rPr>
        <w:t>233</w:t>
      </w:r>
      <w:r w:rsidRPr="007224C3">
        <w:rPr>
          <w:rFonts w:ascii="Times New Roman" w:hAnsi="Times New Roman"/>
          <w:color w:val="000000" w:themeColor="text1"/>
          <w:sz w:val="16"/>
          <w:szCs w:val="16"/>
        </w:rPr>
        <w:t xml:space="preserve"> в возможно короткий срок оборудования для производства зеркального стекла непре</w:t>
      </w:r>
      <w:r w:rsidRPr="007224C3">
        <w:rPr>
          <w:rFonts w:ascii="Times New Roman" w:hAnsi="Times New Roman"/>
          <w:color w:val="000000" w:themeColor="text1"/>
          <w:sz w:val="16"/>
          <w:szCs w:val="16"/>
        </w:rPr>
        <w:softHyphen/>
        <w:t>рывным способом: прокатной машины типа Бишеру, механи</w:t>
      </w:r>
      <w:r w:rsidRPr="007224C3">
        <w:rPr>
          <w:rFonts w:ascii="Times New Roman" w:hAnsi="Times New Roman"/>
          <w:color w:val="000000" w:themeColor="text1"/>
          <w:sz w:val="16"/>
          <w:szCs w:val="16"/>
        </w:rPr>
        <w:softHyphen/>
        <w:t>ческой части Лера для отжига стекла и шлифовально-полировального конвейера для обработки стекла;</w:t>
      </w:r>
    </w:p>
    <w:p w14:paraId="7E1C995B" w14:textId="77777777" w:rsidR="00EE343A" w:rsidRPr="007224C3" w:rsidRDefault="00EE343A" w:rsidP="007224C3">
      <w:pPr>
        <w:pStyle w:val="36"/>
        <w:shd w:val="clear" w:color="auto" w:fill="auto"/>
        <w:spacing w:after="0"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б) НКПС - т.Кагановича - обеспечить в феврале-мар</w:t>
      </w:r>
      <w:r w:rsidRPr="007224C3">
        <w:rPr>
          <w:rFonts w:ascii="Times New Roman" w:cs="Times New Roman"/>
          <w:color w:val="000000" w:themeColor="text1"/>
          <w:spacing w:val="0"/>
          <w:sz w:val="16"/>
          <w:szCs w:val="16"/>
        </w:rPr>
        <w:softHyphen/>
      </w:r>
      <w:r w:rsidRPr="007224C3">
        <w:rPr>
          <w:rStyle w:val="16"/>
          <w:rFonts w:ascii="Times New Roman" w:cs="Times New Roman"/>
          <w:color w:val="000000" w:themeColor="text1"/>
          <w:spacing w:val="0"/>
          <w:u w:val="none"/>
        </w:rPr>
        <w:t>те с.г.</w:t>
      </w:r>
      <w:r w:rsidRPr="007224C3">
        <w:rPr>
          <w:rFonts w:ascii="Times New Roman" w:cs="Times New Roman"/>
          <w:color w:val="000000" w:themeColor="text1"/>
          <w:spacing w:val="0"/>
          <w:sz w:val="16"/>
          <w:szCs w:val="16"/>
        </w:rPr>
        <w:t xml:space="preserve"> перевозку на завод № </w:t>
      </w:r>
      <w:r w:rsidRPr="007224C3">
        <w:rPr>
          <w:rStyle w:val="0pt"/>
          <w:rFonts w:ascii="Times New Roman" w:cs="Times New Roman"/>
          <w:color w:val="000000" w:themeColor="text1"/>
          <w:spacing w:val="0"/>
          <w:sz w:val="16"/>
          <w:szCs w:val="16"/>
        </w:rPr>
        <w:t>233 по 5,000</w:t>
      </w:r>
      <w:r w:rsidRPr="007224C3">
        <w:rPr>
          <w:rFonts w:ascii="Times New Roman" w:cs="Times New Roman"/>
          <w:color w:val="000000" w:themeColor="text1"/>
          <w:spacing w:val="0"/>
          <w:sz w:val="16"/>
          <w:szCs w:val="16"/>
        </w:rPr>
        <w:t xml:space="preserve"> тонн торфа ежемесячно, специально организованными для этой цели вертушками со ст.Торфродукт Казанской дороги до </w:t>
      </w:r>
      <w:r w:rsidRPr="007224C3">
        <w:rPr>
          <w:rStyle w:val="16"/>
          <w:rFonts w:ascii="Times New Roman" w:cs="Times New Roman"/>
          <w:color w:val="000000" w:themeColor="text1"/>
          <w:spacing w:val="0"/>
          <w:u w:val="none"/>
        </w:rPr>
        <w:t xml:space="preserve">ст. </w:t>
      </w:r>
      <w:r w:rsidRPr="007224C3">
        <w:rPr>
          <w:rFonts w:ascii="Times New Roman" w:cs="Times New Roman"/>
          <w:color w:val="000000" w:themeColor="text1"/>
          <w:spacing w:val="0"/>
          <w:sz w:val="16"/>
          <w:szCs w:val="16"/>
        </w:rPr>
        <w:t>Мальчики Ленинской дороги.</w:t>
      </w:r>
    </w:p>
    <w:p w14:paraId="2A344048" w14:textId="77777777" w:rsidR="00EE343A" w:rsidRPr="007224C3" w:rsidRDefault="00EE34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Подтвердить к выполнению постановление ГОКО № 3-218с от 21 апреля года, разрешающее командиро</w:t>
      </w:r>
      <w:r w:rsidRPr="007224C3">
        <w:rPr>
          <w:rFonts w:ascii="Times New Roman" w:hAnsi="Times New Roman"/>
          <w:color w:val="000000" w:themeColor="text1"/>
          <w:sz w:val="16"/>
          <w:szCs w:val="16"/>
        </w:rPr>
        <w:softHyphen/>
        <w:t>вать в США 10 человек специалистов Наркомстройматериалов СССР для приемки закупаемого оборудования и изучения производства бронестекла и 3 специалистов от Наркомхимпрома - для изучения производства бронестекла.</w:t>
      </w:r>
    </w:p>
    <w:p w14:paraId="3192C653" w14:textId="77777777" w:rsidR="00EE343A" w:rsidRPr="007224C3" w:rsidRDefault="00EE343A" w:rsidP="007224C3">
      <w:pPr>
        <w:tabs>
          <w:tab w:val="left" w:pos="821"/>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Разрешить Наркомстройматериалов, впредь до окончания строительства газогенераторной станции на заводе № 233, расходовать ежемесячно по 600 тонн мазута для технологических нужд завода.</w:t>
      </w:r>
    </w:p>
    <w:p w14:paraId="66CF3285" w14:textId="77777777" w:rsidR="00EE343A" w:rsidRPr="007224C3" w:rsidRDefault="00EE34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Главнефтеснабу при СНК СССР поставлять заводу № 233 в счет фондов Наркомстройматериалов СССР, указанное количество мазута, начиная с февраля 1944 года.</w:t>
      </w:r>
    </w:p>
    <w:p w14:paraId="35D20663" w14:textId="77777777" w:rsidR="00EE343A" w:rsidRPr="007224C3" w:rsidRDefault="00EE343A" w:rsidP="007224C3">
      <w:pPr>
        <w:tabs>
          <w:tab w:val="left" w:pos="832"/>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Обязать Наркомстройматериалов СССР г т.Соснина довести в 1944 году добычу торфа на Мезинском торфопредприятии до 150 тыс.тонн, запретив использование его на другие нужды, кроме завода №</w:t>
      </w:r>
      <w:r w:rsidRPr="007224C3">
        <w:rPr>
          <w:rStyle w:val="75pt0"/>
          <w:rFonts w:ascii="Times New Roman" w:hAnsi="Times New Roman" w:cs="Times New Roman"/>
          <w:color w:val="000000" w:themeColor="text1"/>
          <w:sz w:val="16"/>
          <w:szCs w:val="16"/>
        </w:rPr>
        <w:t xml:space="preserve"> 233</w:t>
      </w:r>
    </w:p>
    <w:p w14:paraId="554BD749" w14:textId="77777777" w:rsidR="00EE343A" w:rsidRPr="007224C3" w:rsidRDefault="00EE343A" w:rsidP="007224C3">
      <w:pPr>
        <w:tabs>
          <w:tab w:val="left" w:pos="821"/>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В соответствии с постановлением ГОКО № 3218с от 21 апреля 1943 года обязать НКВД СССР т.Круглова к 15 февраля довести выход на работу заключенных в отдельном Лагерном пункте при заводе № 233 НКПСМ до 800 человек, за счет замены больных, находящихся в атом лаге ре.</w:t>
      </w:r>
    </w:p>
    <w:p w14:paraId="598EE4C2" w14:textId="77777777" w:rsidR="00EE343A" w:rsidRPr="007224C3" w:rsidRDefault="00EE343A" w:rsidP="007224C3">
      <w:pPr>
        <w:tabs>
          <w:tab w:val="left" w:pos="821"/>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Разрешить Главвоенпромстрою при ОНК СССР организовать при УВСР № 14, занятом строительством завода №233 НКПСМ, отдел рабочего снабжения (ОРС),</w:t>
      </w:r>
    </w:p>
    <w:p w14:paraId="59EACD21" w14:textId="77777777" w:rsidR="00EE343A" w:rsidRPr="007224C3" w:rsidRDefault="00EE34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Обязать Наркомторг - т.Любимова обеспечивать ОРС при УВСР № 14 Главвоенпромстроя всеми продуктами, в том числе крупяными изделиями, овощами и картофелем на весь контингент рабочих, ИТР и служащих, наравне с важнейши</w:t>
      </w:r>
      <w:r w:rsidRPr="007224C3">
        <w:rPr>
          <w:rFonts w:ascii="Times New Roman" w:hAnsi="Times New Roman"/>
          <w:color w:val="000000" w:themeColor="text1"/>
          <w:sz w:val="16"/>
          <w:szCs w:val="16"/>
        </w:rPr>
        <w:softHyphen/>
        <w:t>ми стройками оборонной промышленности и черной металлур</w:t>
      </w:r>
      <w:r w:rsidRPr="007224C3">
        <w:rPr>
          <w:rFonts w:ascii="Times New Roman" w:hAnsi="Times New Roman"/>
          <w:color w:val="000000" w:themeColor="text1"/>
          <w:sz w:val="16"/>
          <w:szCs w:val="16"/>
        </w:rPr>
        <w:softHyphen/>
        <w:t>гии.</w:t>
      </w:r>
    </w:p>
    <w:p w14:paraId="1FCC3EFC" w14:textId="77777777" w:rsidR="00EE343A" w:rsidRPr="007224C3" w:rsidRDefault="00EE343A" w:rsidP="007224C3">
      <w:pPr>
        <w:tabs>
          <w:tab w:val="left" w:pos="794"/>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Обяэать НКПС - т.Кагановича:</w:t>
      </w:r>
    </w:p>
    <w:p w14:paraId="799914C6" w14:textId="77777777" w:rsidR="00EE343A" w:rsidRPr="007224C3" w:rsidRDefault="00EE343A" w:rsidP="007224C3">
      <w:pPr>
        <w:tabs>
          <w:tab w:val="left" w:pos="1166"/>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обеспечить первоочередное предоставление вагонов заводу № 233 НКПСМ СССР под перевозку материалов и обо</w:t>
      </w:r>
      <w:r w:rsidRPr="007224C3">
        <w:rPr>
          <w:rFonts w:ascii="Times New Roman" w:hAnsi="Times New Roman"/>
          <w:color w:val="000000" w:themeColor="text1"/>
          <w:sz w:val="16"/>
          <w:szCs w:val="16"/>
        </w:rPr>
        <w:softHyphen/>
        <w:t>рудования для строительства завода;</w:t>
      </w:r>
    </w:p>
    <w:p w14:paraId="00BED7DC" w14:textId="77777777" w:rsidR="00EE343A" w:rsidRPr="007224C3" w:rsidRDefault="00EE343A" w:rsidP="007224C3">
      <w:pPr>
        <w:tabs>
          <w:tab w:val="left" w:pos="740"/>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выделить в феврале-марте с.г. вагоны целевым наз</w:t>
      </w:r>
      <w:r w:rsidRPr="007224C3">
        <w:rPr>
          <w:rFonts w:ascii="Times New Roman" w:hAnsi="Times New Roman"/>
          <w:color w:val="000000" w:themeColor="text1"/>
          <w:sz w:val="16"/>
          <w:szCs w:val="16"/>
        </w:rPr>
        <w:softHyphen/>
        <w:t>начением для перевозки комплектующего оборудования заво</w:t>
      </w:r>
      <w:r w:rsidRPr="007224C3">
        <w:rPr>
          <w:rFonts w:ascii="Times New Roman" w:hAnsi="Times New Roman"/>
          <w:color w:val="000000" w:themeColor="text1"/>
          <w:sz w:val="16"/>
          <w:szCs w:val="16"/>
        </w:rPr>
        <w:softHyphen/>
        <w:t>ду № 233 НКПСМ СССР с других заводов Нзркомстройматери алов, в том числе: 5 вагонов с завода № 25 (ст.Ирбит, Свердловской дороги), 4 вагона с дублера завода № 233 (ст.Кунара, Свердловской дороги), 12 вагонов с Константиновского завода (ст.Константинова, Южно-Донецкой до</w:t>
      </w:r>
      <w:r w:rsidRPr="007224C3">
        <w:rPr>
          <w:rFonts w:ascii="Times New Roman" w:hAnsi="Times New Roman"/>
          <w:color w:val="000000" w:themeColor="text1"/>
          <w:sz w:val="16"/>
          <w:szCs w:val="16"/>
        </w:rPr>
        <w:softHyphen/>
        <w:t>роги) и 15 вагонов для других заводов, по заявке Нарком- стройматериалов ;</w:t>
      </w:r>
    </w:p>
    <w:p w14:paraId="346BC400" w14:textId="77777777" w:rsidR="00EE343A" w:rsidRPr="007224C3" w:rsidRDefault="00EE343A" w:rsidP="007224C3">
      <w:pPr>
        <w:tabs>
          <w:tab w:val="left" w:pos="728"/>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принимать от заводов № 148 и "К-4"Наркомхимпрома перевозку грузов багажом весом до 2-х тоны в.адреса за</w:t>
      </w:r>
      <w:r w:rsidRPr="007224C3">
        <w:rPr>
          <w:rFonts w:ascii="Times New Roman" w:hAnsi="Times New Roman"/>
          <w:color w:val="000000" w:themeColor="text1"/>
          <w:sz w:val="16"/>
          <w:szCs w:val="16"/>
        </w:rPr>
        <w:softHyphen/>
        <w:t>водов № 233, 25 (дублер) и им"Горькогого" НКПСМ</w:t>
      </w:r>
    </w:p>
    <w:p w14:paraId="254B0CDE" w14:textId="77777777" w:rsidR="00EE343A" w:rsidRPr="007224C3" w:rsidRDefault="00EE343A" w:rsidP="007224C3">
      <w:pPr>
        <w:tabs>
          <w:tab w:val="left" w:pos="826"/>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Обязать начальника инженерных войск Красной Ар</w:t>
      </w:r>
      <w:r w:rsidRPr="007224C3">
        <w:rPr>
          <w:rFonts w:ascii="Times New Roman" w:hAnsi="Times New Roman"/>
          <w:color w:val="000000" w:themeColor="text1"/>
          <w:sz w:val="16"/>
          <w:szCs w:val="16"/>
        </w:rPr>
        <w:softHyphen/>
        <w:t>мии - т.Воробьева не позднее 10 марта с.г. освободить производственный корпус, бытовые и другие помещения за</w:t>
      </w:r>
      <w:r w:rsidRPr="007224C3">
        <w:rPr>
          <w:rFonts w:ascii="Times New Roman" w:hAnsi="Times New Roman"/>
          <w:color w:val="000000" w:themeColor="text1"/>
          <w:sz w:val="16"/>
          <w:szCs w:val="16"/>
        </w:rPr>
        <w:softHyphen/>
        <w:t>вода № 233 НКПСМ СССР, временно занятые ремонтно-механическим заводом Управления оборонительных сооружений.</w:t>
      </w:r>
    </w:p>
    <w:p w14:paraId="4B396FF6" w14:textId="77777777" w:rsidR="00EE343A" w:rsidRPr="007224C3" w:rsidRDefault="00EE34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Разрешить Главвоенпромстрою при СНК СССР соз</w:t>
      </w:r>
      <w:r w:rsidRPr="007224C3">
        <w:rPr>
          <w:rFonts w:ascii="Times New Roman" w:hAnsi="Times New Roman"/>
          <w:color w:val="000000" w:themeColor="text1"/>
          <w:sz w:val="16"/>
          <w:szCs w:val="16"/>
        </w:rPr>
        <w:softHyphen/>
        <w:t>дать премиальный фонд в размене 2% от выполненных работ, для премирования рабочих, ИТР и служащих, отличившихся на строительстве завода № 233, с отнесением расходов на премирование за счет сметы производства.</w:t>
      </w:r>
    </w:p>
    <w:p w14:paraId="75890140" w14:textId="77777777" w:rsidR="00EE343A" w:rsidRPr="007224C3" w:rsidRDefault="00EE34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Обязать Наркомминвооружения - т.Паршина:</w:t>
      </w:r>
    </w:p>
    <w:p w14:paraId="2401E458" w14:textId="77777777" w:rsidR="00EE343A" w:rsidRPr="007224C3" w:rsidRDefault="00EE343A" w:rsidP="007224C3">
      <w:pPr>
        <w:tabs>
          <w:tab w:val="left" w:pos="740"/>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изготовить и поставить во П квартале с.г. заво</w:t>
      </w:r>
      <w:r w:rsidRPr="007224C3">
        <w:rPr>
          <w:rFonts w:ascii="Times New Roman" w:hAnsi="Times New Roman"/>
          <w:color w:val="000000" w:themeColor="text1"/>
          <w:sz w:val="16"/>
          <w:szCs w:val="16"/>
        </w:rPr>
        <w:softHyphen/>
        <w:t>ду № 148 Наркомхимпрома по его чертежам - два реактора;</w:t>
      </w:r>
    </w:p>
    <w:p w14:paraId="77A1D39D" w14:textId="77777777" w:rsidR="00EE343A" w:rsidRPr="007224C3" w:rsidRDefault="00EE343A" w:rsidP="007224C3">
      <w:pPr>
        <w:tabs>
          <w:tab w:val="left" w:pos="734"/>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поставить в первом квартале с.г. заводу "К-4" за счет фондов Наркомхимпрома один воздушный компрессор производительностью 120 кбм/час, один вакуум-насос, про</w:t>
      </w:r>
      <w:r w:rsidRPr="007224C3">
        <w:rPr>
          <w:rFonts w:ascii="Times New Roman" w:hAnsi="Times New Roman"/>
          <w:color w:val="000000" w:themeColor="text1"/>
          <w:sz w:val="16"/>
          <w:szCs w:val="16"/>
        </w:rPr>
        <w:softHyphen/>
        <w:t xml:space="preserve">изводительностью </w:t>
      </w:r>
      <w:r w:rsidRPr="007224C3">
        <w:rPr>
          <w:rStyle w:val="16"/>
          <w:rFonts w:ascii="Times New Roman" w:hAnsi="Times New Roman" w:cs="Times New Roman"/>
          <w:color w:val="000000" w:themeColor="text1"/>
          <w:spacing w:val="0"/>
          <w:u w:val="none"/>
        </w:rPr>
        <w:t>150 м</w:t>
      </w:r>
    </w:p>
    <w:p w14:paraId="16403176" w14:textId="77777777" w:rsidR="00EE343A" w:rsidRPr="007224C3" w:rsidRDefault="00EE34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21. Обязать </w:t>
      </w:r>
      <w:r w:rsidRPr="007224C3">
        <w:rPr>
          <w:rFonts w:ascii="Times New Roman" w:hAnsi="Times New Roman"/>
          <w:color w:val="000000" w:themeColor="text1"/>
          <w:sz w:val="16"/>
          <w:szCs w:val="16"/>
          <w:lang w:val="en-US"/>
        </w:rPr>
        <w:t>H</w:t>
      </w:r>
      <w:r w:rsidRPr="007224C3">
        <w:rPr>
          <w:rFonts w:ascii="Times New Roman" w:hAnsi="Times New Roman"/>
          <w:color w:val="000000" w:themeColor="text1"/>
          <w:sz w:val="16"/>
          <w:szCs w:val="16"/>
        </w:rPr>
        <w:t>К</w:t>
      </w:r>
      <w:r w:rsidRPr="007224C3">
        <w:rPr>
          <w:rFonts w:ascii="Times New Roman" w:hAnsi="Times New Roman"/>
          <w:color w:val="000000" w:themeColor="text1"/>
          <w:sz w:val="16"/>
          <w:szCs w:val="16"/>
          <w:lang w:val="en-US"/>
        </w:rPr>
        <w:t>O</w:t>
      </w:r>
      <w:r w:rsidRPr="007224C3">
        <w:rPr>
          <w:rFonts w:ascii="Times New Roman" w:hAnsi="Times New Roman"/>
          <w:color w:val="000000" w:themeColor="text1"/>
          <w:sz w:val="16"/>
          <w:szCs w:val="16"/>
        </w:rPr>
        <w:t xml:space="preserve"> - т.Смородинова:</w:t>
      </w:r>
    </w:p>
    <w:p w14:paraId="37B6466C" w14:textId="77777777" w:rsidR="00EE343A" w:rsidRPr="007224C3" w:rsidRDefault="00EE343A" w:rsidP="007224C3">
      <w:pPr>
        <w:tabs>
          <w:tab w:val="left" w:pos="758"/>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направить до 1 апреля с.г. на завод №</w:t>
      </w:r>
      <w:r w:rsidRPr="007224C3">
        <w:rPr>
          <w:rStyle w:val="8pt-1pt"/>
          <w:rFonts w:ascii="Times New Roman" w:hAnsi="Times New Roman" w:cs="Times New Roman"/>
          <w:color w:val="000000" w:themeColor="text1"/>
          <w:spacing w:val="0"/>
        </w:rPr>
        <w:t xml:space="preserve"> 233</w:t>
      </w:r>
      <w:r w:rsidRPr="007224C3">
        <w:rPr>
          <w:rFonts w:ascii="Times New Roman" w:hAnsi="Times New Roman"/>
          <w:color w:val="000000" w:themeColor="text1"/>
          <w:sz w:val="16"/>
          <w:szCs w:val="16"/>
        </w:rPr>
        <w:t xml:space="preserve"> Наркомстройматериалов 130 человек из числа военнообязанных, не годных к строевой службе, но годных к физическому труду;</w:t>
      </w:r>
    </w:p>
    <w:p w14:paraId="66B86CCE" w14:textId="77777777" w:rsidR="00EE343A" w:rsidRPr="007224C3" w:rsidRDefault="00EE343A" w:rsidP="007224C3">
      <w:pPr>
        <w:tabs>
          <w:tab w:val="left" w:pos="770"/>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направить Главвоенпромстрою в течение первого по</w:t>
      </w:r>
      <w:r w:rsidRPr="007224C3">
        <w:rPr>
          <w:rFonts w:ascii="Times New Roman" w:hAnsi="Times New Roman"/>
          <w:color w:val="000000" w:themeColor="text1"/>
          <w:sz w:val="16"/>
          <w:szCs w:val="16"/>
        </w:rPr>
        <w:softHyphen/>
        <w:t>лугодия 1944 года целевым назначением для строительства завода № 233 Наркомстройматериалов СССР 600 человек из числа военнообязанных, не годных к строевой службе, но годных к физическому труду, в том числе: в марте с.г. - 300 человек и в апреле-мае - 300 человек.</w:t>
      </w:r>
    </w:p>
    <w:p w14:paraId="4C33174B" w14:textId="77777777" w:rsidR="00EE343A" w:rsidRPr="007224C3" w:rsidRDefault="00EE34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Запретить Главвоенпромстрою при СНК СССР использо</w:t>
      </w:r>
      <w:r w:rsidRPr="007224C3">
        <w:rPr>
          <w:rFonts w:ascii="Times New Roman" w:hAnsi="Times New Roman"/>
          <w:color w:val="000000" w:themeColor="text1"/>
          <w:sz w:val="16"/>
          <w:szCs w:val="16"/>
        </w:rPr>
        <w:softHyphen/>
        <w:t>вать выделенных настоящим решением рабочих на каких бы то ни было других стройках.</w:t>
      </w:r>
    </w:p>
    <w:p w14:paraId="5F1166C5" w14:textId="77777777" w:rsidR="00EE343A" w:rsidRPr="007224C3" w:rsidRDefault="00EE34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Обяэать Наркомередмаш - т.Акопова и директора завода имени Сталина т.Лихачева выделить з феврале с.г. заводу "К-4" Наркомхимпрома 2 автоашины ЗИС-5.</w:t>
      </w:r>
    </w:p>
    <w:p w14:paraId="39A07B31" w14:textId="77777777" w:rsidR="00EE343A" w:rsidRPr="007224C3" w:rsidRDefault="00EE34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В целях экономии органического стекла и химика</w:t>
      </w:r>
      <w:r w:rsidRPr="007224C3">
        <w:rPr>
          <w:rFonts w:ascii="Times New Roman" w:hAnsi="Times New Roman"/>
          <w:color w:val="000000" w:themeColor="text1"/>
          <w:sz w:val="16"/>
          <w:szCs w:val="16"/>
        </w:rPr>
        <w:softHyphen/>
        <w:t>тов, обязать Наркомхимпром - т.Первухина и Наркомстройма</w:t>
      </w:r>
      <w:r w:rsidRPr="007224C3">
        <w:rPr>
          <w:rFonts w:ascii="Times New Roman" w:hAnsi="Times New Roman"/>
          <w:color w:val="000000" w:themeColor="text1"/>
          <w:sz w:val="16"/>
          <w:szCs w:val="16"/>
        </w:rPr>
        <w:softHyphen/>
        <w:t>териалов СССР - т.Соснина, совместно с Наркомавиапромом и ВВС КА в двухмесячный срок представить ГОКО предложения по производству авиационной брони для самолетов из сили</w:t>
      </w:r>
      <w:r w:rsidRPr="007224C3">
        <w:rPr>
          <w:rFonts w:ascii="Times New Roman" w:hAnsi="Times New Roman"/>
          <w:color w:val="000000" w:themeColor="text1"/>
          <w:sz w:val="16"/>
          <w:szCs w:val="16"/>
        </w:rPr>
        <w:softHyphen/>
        <w:t>катного стекла без применения органической, подушки, по типу американского бронестекла.</w:t>
      </w:r>
    </w:p>
    <w:p w14:paraId="5CA2E8A8" w14:textId="77777777" w:rsidR="00EE343A" w:rsidRPr="007224C3" w:rsidRDefault="00EE343A" w:rsidP="007224C3">
      <w:pPr>
        <w:tabs>
          <w:tab w:val="left" w:pos="1778"/>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Обязать Московский обком ВКП(б) - т.Черноусова оказать необходимую помощь заводу № 233 Наркомстройматери</w:t>
      </w:r>
      <w:r w:rsidRPr="007224C3">
        <w:rPr>
          <w:rFonts w:ascii="Times New Roman" w:hAnsi="Times New Roman"/>
          <w:color w:val="000000" w:themeColor="text1"/>
          <w:sz w:val="16"/>
          <w:szCs w:val="16"/>
        </w:rPr>
        <w:softHyphen/>
        <w:t>алов СССР в окончании строительства первоочередных об"ектов,установленных настоящим постановлением (19439).</w:t>
      </w:r>
    </w:p>
    <w:p w14:paraId="70C45769" w14:textId="77777777" w:rsidR="00526822" w:rsidRPr="007224C3" w:rsidRDefault="00526822" w:rsidP="007224C3">
      <w:pPr>
        <w:autoSpaceDE w:val="0"/>
        <w:autoSpaceDN w:val="0"/>
        <w:adjustRightInd w:val="0"/>
        <w:spacing w:after="0" w:line="240" w:lineRule="auto"/>
        <w:jc w:val="both"/>
        <w:rPr>
          <w:rFonts w:ascii="Times New Roman" w:hAnsi="Times New Roman"/>
          <w:color w:val="000000" w:themeColor="text1"/>
          <w:sz w:val="16"/>
          <w:szCs w:val="16"/>
        </w:rPr>
      </w:pPr>
    </w:p>
    <w:p w14:paraId="375A43F1" w14:textId="77777777" w:rsidR="00282955" w:rsidRPr="007224C3" w:rsidRDefault="0028295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февраля 1944 г. вышло постановление ГОКО, обязыва</w:t>
      </w:r>
      <w:r w:rsidRPr="007224C3">
        <w:rPr>
          <w:rFonts w:ascii="Times New Roman" w:hAnsi="Times New Roman"/>
          <w:color w:val="000000" w:themeColor="text1"/>
          <w:sz w:val="16"/>
          <w:szCs w:val="16"/>
        </w:rPr>
        <w:softHyphen/>
        <w:t>ющее наркома химической промышленности Первухина и наркома промышленности стро</w:t>
      </w:r>
      <w:r w:rsidRPr="007224C3">
        <w:rPr>
          <w:rFonts w:ascii="Times New Roman" w:hAnsi="Times New Roman"/>
          <w:color w:val="000000" w:themeColor="text1"/>
          <w:sz w:val="16"/>
          <w:szCs w:val="16"/>
        </w:rPr>
        <w:softHyphen/>
        <w:t>ительных материалов Соснина в трехмесяч</w:t>
      </w:r>
      <w:r w:rsidRPr="007224C3">
        <w:rPr>
          <w:rFonts w:ascii="Times New Roman" w:hAnsi="Times New Roman"/>
          <w:color w:val="000000" w:themeColor="text1"/>
          <w:sz w:val="16"/>
          <w:szCs w:val="16"/>
        </w:rPr>
        <w:softHyphen/>
        <w:t>ный срок обеспечить соответствие серийной прозрачной брони для боевых самолетов ВВС КА техническим условиям ВВС на 1944 г. (17481).</w:t>
      </w:r>
    </w:p>
    <w:p w14:paraId="1CED4480" w14:textId="77777777" w:rsidR="00282955" w:rsidRPr="007224C3" w:rsidRDefault="00282955" w:rsidP="007224C3">
      <w:pPr>
        <w:spacing w:after="0" w:line="240" w:lineRule="auto"/>
        <w:jc w:val="both"/>
        <w:rPr>
          <w:rFonts w:ascii="Times New Roman" w:hAnsi="Times New Roman"/>
          <w:color w:val="000000" w:themeColor="text1"/>
          <w:sz w:val="16"/>
          <w:szCs w:val="16"/>
        </w:rPr>
      </w:pPr>
    </w:p>
    <w:p w14:paraId="5569B512"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535453D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52088C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февраля 1944 вышло Постановление ГКО № 5163 О мероприятиях по обеспечению выполнения программы подрядных работ Главвоенпромстроя при Совнаркоме СССР в I квартале 1944 года. РГАНИР, Фонд ГКО, д. 208, лл. 93-103,104-109 (11012).</w:t>
      </w:r>
    </w:p>
    <w:p w14:paraId="2C2C7DA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41DC77E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февраля 1944 вышло Постановление ГКО № 5164 О строительстве суперфосфатного цеха на Алавердском сернокислотном заводе. РГАНИР, Фонд ГКО, д. 208, лл. 110-113,114-118 (11012).</w:t>
      </w:r>
    </w:p>
    <w:p w14:paraId="41F1DBA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76834DC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февраля 1944 вышло Постановление ГКО № 5165 О Кироваканском химическом заводе Наркомхимпрома. РГАНИР, Фонд ГКО, д. 208, лл. 119-121 (11012).</w:t>
      </w:r>
    </w:p>
    <w:p w14:paraId="264AF40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247F8CD4"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4C4A58E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B41CFD0" w14:textId="77777777" w:rsidR="00355805" w:rsidRPr="007224C3" w:rsidRDefault="00355805"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12 февраля</w:t>
      </w:r>
      <w:r w:rsidRPr="007224C3">
        <w:rPr>
          <w:rFonts w:ascii="Times New Roman" w:hAnsi="Times New Roman"/>
          <w:color w:val="000000" w:themeColor="text1"/>
          <w:sz w:val="16"/>
          <w:szCs w:val="16"/>
        </w:rPr>
        <w:t xml:space="preserve"> 1944 году оперативная сводка Совинформбюро:</w:t>
      </w:r>
    </w:p>
    <w:p w14:paraId="06CE515B" w14:textId="77777777" w:rsidR="00355805" w:rsidRPr="007224C3" w:rsidRDefault="0035580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 течение 12 февраля на Лужском направлении наши войска, сломив сопротивление противника, овладели районным центром Ленинградской областии железнодорожным узлом Батецкая, а также с боями заняли более 40 других населённых пунктов и среди них Островенка, Ситенка, Толкова, Шалово, Турово, Жеребут, </w:t>
      </w:r>
      <w:r w:rsidRPr="007224C3">
        <w:rPr>
          <w:rFonts w:ascii="Times New Roman" w:hAnsi="Times New Roman"/>
          <w:color w:val="000000" w:themeColor="text1"/>
          <w:sz w:val="16"/>
          <w:szCs w:val="16"/>
        </w:rPr>
        <w:lastRenderedPageBreak/>
        <w:t>Выбор, Велеши, Глухово, Столбец, Черновицы. Наши войска полностью очистили от противника железную дорогу Ленинград-Батецкая-Новгород и вплотную подошли к городу Луга, где завязали бои на окраинах города.</w:t>
      </w:r>
    </w:p>
    <w:p w14:paraId="3413CE06" w14:textId="77777777" w:rsidR="00355805" w:rsidRPr="007224C3" w:rsidRDefault="0035580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Севернее Звенигородка и Шпола наши войска продолжали вести бои по уничтожению окружённой группировки противника и овладели населёнными пунктами Пешки, Голяки, Мельники, Нетеребка, Набутов, Деренковец, Карашин. Одновременно северо-западнее Звенигородка наши войска отбивали атаки крупных сил танков и пехоты противника, стремившихся пробиться на помощь к окруженной группировке, и нанесли ему большие потери в живой силе и технике.</w:t>
      </w:r>
    </w:p>
    <w:p w14:paraId="76D39E55" w14:textId="77777777" w:rsidR="00355805" w:rsidRPr="007224C3" w:rsidRDefault="0035580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 разведка, артиллерийско-миномётная перестрелка и в ряде пунктов бои местного значения.</w:t>
      </w:r>
    </w:p>
    <w:p w14:paraId="2F6E2122" w14:textId="77777777" w:rsidR="00355805" w:rsidRPr="007224C3" w:rsidRDefault="0035580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11 февраля наши войска на всех фронтах подбили и уничтожили 81 немецкий танк. В воздушных боях и огнём зенитной артиллерии уничтожено 58 самолётов противника, из них 33 трехмоторный транспортных самолета «Ю-52».</w:t>
      </w:r>
    </w:p>
    <w:p w14:paraId="2EF9F1BD" w14:textId="77777777" w:rsidR="00355805" w:rsidRPr="007224C3" w:rsidRDefault="0035580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Лужском направлении наши войска продолжали наступление. Части Н-ского соединения, сломив сопротивление противника, овладели районным центром Ленинградской области и железнодорожным узлом Батецкая и заняли более 40 других населённых пунктов. Противник понёс большие потери в людях и технике. Части другого нашего соединения, с боями продвигаясь вперёд, вышли на подступы кгороду Луга и завязали бои на окраинах этого города. В одном районе наши бойцы внезапным ударом разгромили немецкий гарнизон опорного пункта. Уничтожены три роты гитлеровцев. Захвачены у противника 5 дальнобойных орудий калибра 210 и 305 мм, 5 зенитных орудии, 3 радиостанции, 16 автомашин, крупный склад с продовольствием и другие трофеи. Советские бойцы и командиры героически борются против немецко-фашистских захватчиков. Лейтенант Дмитриев в одном бою огнём из противотанкового орудия подбил 3 немецких танка. Пять разведчиков во главе состаршим сержантом Клименко скрытно проникли в тыл противника. Разведчики истребили 40 гитлеровцев и, захватив 6 крупнокалиберных пулемётов и 30 автоматов, вернулись в свою часть.</w:t>
      </w:r>
    </w:p>
    <w:p w14:paraId="45BBB813" w14:textId="77777777" w:rsidR="00355805" w:rsidRPr="007224C3" w:rsidRDefault="0035580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боях за город Шепетовка войска 1-го Украинского фронта разгромили крупные силы противника. Только на улицах города подсчитано 3.200 вражеских трупов, 47 сгоревших танков и 12 самоходных орудий. Наши войска захватили у немцев 67 орудий, 83 миномёта, 140 пулемётов, крупные склады с военным имуществом и другие трофеи.</w:t>
      </w:r>
    </w:p>
    <w:p w14:paraId="4D9197A1" w14:textId="77777777" w:rsidR="00355805" w:rsidRPr="007224C3" w:rsidRDefault="0035580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Севернее городов Звенигородка и Шпола наши войска продолжали вести бои по уничтожению окружённой группировки противника. Советские части вклиниваются между опорными пунктами противника и отвоёвывают у немцев одну позицию за другой. Части Н-ского соединения, с боями продвигаясь вперёд, уничтожили два батальона пехоты противника, 7 танков и 12 полевых орудий. Захвачено 15 орудий, 45 пулемётов, 55 автомашин и другие трофеи. Взято значительное число пленных. На другом участке наши бойцы решительной атакой выбили немцев из населённых пунктов Набутов и Деренковец. В окопах и траншеях осталось до 600 вражеских трупов и много оружия, брошенного гитлеровцами при отступлении. Северо-западнее Звенигородки противник бросил в бой крупные силы танков и пехоты, пытаясь прорваться на помощь своей окружённой группировке. Сражение носило крайне ожесточённый характер. Наши части мощным артиллерийским огнём и контратаками отбили атаки противника и нанесли ему большие потери. Сожжено и подбито не менее 70 немецких танков и самоходных орудий, 11 бронемашин и 18 бронетранспортёров. В ходе боя уничтожено свыше 2.000 немецких солдат и офицеров.</w:t>
      </w:r>
    </w:p>
    <w:p w14:paraId="6572D673" w14:textId="77777777" w:rsidR="00355805" w:rsidRPr="007224C3" w:rsidRDefault="0035580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Чёрном море потоплены быстроходная десантная баржа и сухогрузная баржа противника водоизмещением в 800 тонн. Транспорту противника водоизмещением в 3 тысячи тонн нанесены серьёзные повреждения.</w:t>
      </w:r>
    </w:p>
    <w:p w14:paraId="0199E740" w14:textId="77777777" w:rsidR="00355805" w:rsidRPr="007224C3" w:rsidRDefault="0035580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Партизанский отряд, действующий в Винницкой области, в конце января разгромил немецкий гарнизон на железнодорожной станции. Советские патриоты разрушили станционные сооружения и взорвали стрелки.</w:t>
      </w:r>
    </w:p>
    <w:p w14:paraId="08494431" w14:textId="77777777" w:rsidR="00355805" w:rsidRPr="007224C3" w:rsidRDefault="0035580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Отряд имени Котовского, действующий в Ровенской области, вступил в бой с батальоном гитлеровцев. Не выдержав натиска партизан, немцы бежали, потеряв убитыми до 100 солдат и офицеров. Партизаны отряда имени Кирова подорвали немецкий воинский эшелон, следовавший к линии фронта. В результате крушения разбиты паровоз и 11 вагонов с военными грузами.</w:t>
      </w:r>
    </w:p>
    <w:p w14:paraId="7DC9B948" w14:textId="77777777" w:rsidR="00355805" w:rsidRPr="007224C3" w:rsidRDefault="0035580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районе города Звенигородка наши зенитчики сбили венгерский самолёт-истребитель. Лётчик лейтенант 2 венгерского истребительного отряда Миклош Кеньереш взят в плен. Пленный сообщил: «2 отряд входит в состав 102 венгерской авиационной бригады, сформированной в прошлом году. С тех пор мы непрерывно находимся на Восточном фронте и выполняем задания немецкого командования. 1 разведывательный отряд и 2 истребительный отряд приданы 4 группе 51 немецкой истребительной эскадры Мельдерс».</w:t>
      </w:r>
    </w:p>
    <w:p w14:paraId="3ED5EE50" w14:textId="77777777" w:rsidR="00355805" w:rsidRPr="007224C3" w:rsidRDefault="0035580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Правящая клика Венгрии опять оскандалилась. Пленение венгерского лётчика свидетельствует о том, что на советско-германском фронте на стороне немцев сражаются не только венгерские наземные войска, но и венгерские воздушные силы. Венгерский лётчик Миклош Кеньереш взят в плен как раз в такое время, когда венгерские гитлеровцы стряпают одно за другим неуклюжие и лживые опровержения.Они из кожи лезут вон, стараясь скрыть участие венгерских войск в боях на советско-германском фронте на стороне немцев. Показания только что взятого вплен венгерского лётчика вновь разоблачают перед всем миром жульническую игру будапештских лакеев Гитлера. Эти показания бьют их не в бровь, а прямо в глаз.» (15038).</w:t>
      </w:r>
    </w:p>
    <w:p w14:paraId="30244B8E" w14:textId="77777777" w:rsidR="00355805" w:rsidRPr="007224C3" w:rsidRDefault="00355805" w:rsidP="007224C3">
      <w:pPr>
        <w:spacing w:after="0" w:line="240" w:lineRule="auto"/>
        <w:jc w:val="both"/>
        <w:rPr>
          <w:rFonts w:ascii="Times New Roman" w:hAnsi="Times New Roman"/>
          <w:color w:val="000000" w:themeColor="text1"/>
          <w:sz w:val="16"/>
          <w:szCs w:val="16"/>
        </w:rPr>
      </w:pPr>
    </w:p>
    <w:p w14:paraId="7B734DEA" w14:textId="77777777" w:rsidR="00355805" w:rsidRPr="007224C3" w:rsidRDefault="00355805"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12 февраля</w:t>
      </w:r>
      <w:r w:rsidRPr="007224C3">
        <w:rPr>
          <w:rFonts w:ascii="Times New Roman" w:hAnsi="Times New Roman"/>
          <w:color w:val="000000" w:themeColor="text1"/>
          <w:sz w:val="16"/>
          <w:szCs w:val="16"/>
        </w:rPr>
        <w:t xml:space="preserve"> в 1944 году Совнарком Украины призывает бандеровцев прекратить войну против собственного народа (15038).</w:t>
      </w:r>
    </w:p>
    <w:p w14:paraId="11810737" w14:textId="77777777" w:rsidR="00355805" w:rsidRPr="007224C3" w:rsidRDefault="00355805" w:rsidP="007224C3">
      <w:pPr>
        <w:spacing w:after="0" w:line="240" w:lineRule="auto"/>
        <w:jc w:val="both"/>
        <w:rPr>
          <w:rFonts w:ascii="Times New Roman" w:hAnsi="Times New Roman"/>
          <w:color w:val="000000" w:themeColor="text1"/>
          <w:sz w:val="16"/>
          <w:szCs w:val="16"/>
        </w:rPr>
      </w:pPr>
    </w:p>
    <w:p w14:paraId="1DFE908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February 12, 1944: The Red Army recaptures Luga (3819).</w:t>
      </w:r>
    </w:p>
    <w:p w14:paraId="49FBC38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A88806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февраля 1944 КА освободила Лугу (3819).</w:t>
      </w:r>
    </w:p>
    <w:p w14:paraId="41B4083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AC741C" w14:textId="77777777" w:rsidR="00355805"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1CEF2440" w14:textId="77777777" w:rsidR="00355805" w:rsidRPr="007224C3" w:rsidRDefault="00355805"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D4E6911" w14:textId="77777777" w:rsidR="00355805" w:rsidRPr="007224C3" w:rsidRDefault="00355805"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12 февраля</w:t>
      </w:r>
      <w:r w:rsidRPr="007224C3">
        <w:rPr>
          <w:rFonts w:ascii="Times New Roman" w:hAnsi="Times New Roman"/>
          <w:color w:val="000000" w:themeColor="text1"/>
          <w:sz w:val="16"/>
          <w:szCs w:val="16"/>
        </w:rPr>
        <w:t xml:space="preserve"> в 1944 году взлетел первый серийный </w:t>
      </w:r>
      <w:hyperlink r:id="rId43" w:tgtFrame="_blank" w:history="1">
        <w:r w:rsidRPr="007224C3">
          <w:rPr>
            <w:rFonts w:ascii="Times New Roman" w:hAnsi="Times New Roman"/>
            <w:color w:val="000000" w:themeColor="text1"/>
            <w:sz w:val="16"/>
            <w:szCs w:val="16"/>
          </w:rPr>
          <w:t xml:space="preserve">"Бакингэм" </w:t>
        </w:r>
      </w:hyperlink>
      <w:r w:rsidRPr="007224C3">
        <w:rPr>
          <w:rFonts w:ascii="Times New Roman" w:hAnsi="Times New Roman"/>
          <w:color w:val="000000" w:themeColor="text1"/>
          <w:sz w:val="16"/>
          <w:szCs w:val="16"/>
        </w:rPr>
        <w:t>с двигателями "Центаурус" VII и XI мощностью 2400 л.с, но со значительно сниженной высотностью по сравнению с опытными прототипами (15038).</w:t>
      </w:r>
    </w:p>
    <w:p w14:paraId="64218565" w14:textId="77777777" w:rsidR="00355805" w:rsidRPr="007224C3" w:rsidRDefault="00355805" w:rsidP="007224C3">
      <w:pPr>
        <w:spacing w:after="0" w:line="240" w:lineRule="auto"/>
        <w:jc w:val="both"/>
        <w:rPr>
          <w:rFonts w:ascii="Times New Roman" w:hAnsi="Times New Roman"/>
          <w:color w:val="000000" w:themeColor="text1"/>
          <w:sz w:val="16"/>
          <w:szCs w:val="16"/>
        </w:rPr>
      </w:pPr>
    </w:p>
    <w:p w14:paraId="7E80F128" w14:textId="77777777" w:rsidR="003A1B4B" w:rsidRPr="007224C3" w:rsidRDefault="003A1B4B"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12 февраля 1944 - Взлетел первый серийный Bristol Type 163 Buckingham с двигателями "Центаурус" VII и XI мощностью 2400 л.с, но со значительно сниженной высотностью по сравнению с опытными прототипами (22600).</w:t>
      </w:r>
    </w:p>
    <w:p w14:paraId="33B096F9" w14:textId="77777777" w:rsidR="003A1B4B" w:rsidRPr="007224C3" w:rsidRDefault="003A1B4B" w:rsidP="007224C3">
      <w:pPr>
        <w:spacing w:after="0" w:line="240" w:lineRule="auto"/>
        <w:jc w:val="both"/>
        <w:rPr>
          <w:rFonts w:ascii="Times New Roman" w:hAnsi="Times New Roman"/>
          <w:color w:val="0070C0"/>
          <w:sz w:val="16"/>
          <w:szCs w:val="16"/>
        </w:rPr>
      </w:pPr>
    </w:p>
    <w:p w14:paraId="750753D2" w14:textId="77777777" w:rsidR="00355805" w:rsidRPr="007224C3" w:rsidRDefault="00355805"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12 февраля</w:t>
      </w:r>
      <w:r w:rsidRPr="007224C3">
        <w:rPr>
          <w:rFonts w:ascii="Times New Roman" w:hAnsi="Times New Roman"/>
          <w:color w:val="000000" w:themeColor="text1"/>
          <w:sz w:val="16"/>
          <w:szCs w:val="16"/>
        </w:rPr>
        <w:t xml:space="preserve"> в 1944 году директива Объединенного командования начальников штабов США и Великобритании о вторжении во Францию. В ней говорилось: «Независимо от установленной даты вторжения вам надлежит быть готовым в любое время использовать такие благоприятные условия как отход противника перед вашим фронтом для того, чтобы вторгнуться на континент с теми силами, которые к тому времени будут в вашем распоряжении». В случае неожиданного краха правящего режима Германии намечалось занять территории Западной Европы ранее прихода Советской Армии или установления над ними контроля национальными силами сопротивления (15038).</w:t>
      </w:r>
    </w:p>
    <w:p w14:paraId="3527A137" w14:textId="77777777" w:rsidR="00355805" w:rsidRPr="007224C3" w:rsidRDefault="00355805" w:rsidP="007224C3">
      <w:pPr>
        <w:spacing w:after="0" w:line="240" w:lineRule="auto"/>
        <w:jc w:val="both"/>
        <w:rPr>
          <w:rFonts w:ascii="Times New Roman" w:hAnsi="Times New Roman"/>
          <w:color w:val="000000" w:themeColor="text1"/>
          <w:sz w:val="16"/>
          <w:szCs w:val="16"/>
        </w:rPr>
      </w:pPr>
    </w:p>
    <w:p w14:paraId="62D25C06" w14:textId="77777777" w:rsidR="00D5636F" w:rsidRPr="007224C3" w:rsidRDefault="00D5636F"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12 февраля 1944 99 B-24 в сопровождении 84 истребителей P-47 и 41 истребителя P-51 без потерь атакуют место расположения ФАУ-1 в Сен-Поль-сюр-Тернуаз / Сиракур, Франция (20373).</w:t>
      </w:r>
    </w:p>
    <w:p w14:paraId="3B214220" w14:textId="77777777" w:rsidR="00D5636F" w:rsidRPr="007224C3" w:rsidRDefault="00D5636F" w:rsidP="007224C3">
      <w:pPr>
        <w:spacing w:after="0" w:line="240" w:lineRule="auto"/>
        <w:jc w:val="both"/>
        <w:rPr>
          <w:rFonts w:ascii="Times New Roman" w:hAnsi="Times New Roman"/>
          <w:color w:val="0070C0"/>
          <w:sz w:val="16"/>
          <w:szCs w:val="16"/>
        </w:rPr>
      </w:pPr>
    </w:p>
    <w:p w14:paraId="4C60939F"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300C100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9CFD18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февраля 1944 при контрольном испытании Ил-2 завода 18 N 1878790 были достигнуты скорости 398 км/час у земли и 415 к/час на границе высотности (1823,28).</w:t>
      </w:r>
    </w:p>
    <w:p w14:paraId="14A5307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40D63E"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7267C4E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1FA2E49" w14:textId="77777777" w:rsidR="0035263A" w:rsidRPr="007224C3" w:rsidRDefault="0035263A" w:rsidP="007224C3">
      <w:pPr>
        <w:pStyle w:val="a3"/>
        <w:rPr>
          <w:color w:val="000000" w:themeColor="text1"/>
          <w:lang w:val="ru-RU"/>
        </w:rPr>
      </w:pPr>
      <w:r w:rsidRPr="007224C3">
        <w:rPr>
          <w:color w:val="000000" w:themeColor="text1"/>
          <w:lang w:val="ru-RU"/>
        </w:rPr>
        <w:t>13 февраля 1944 Сталин от просьб перешёл к обвинениям: «тов. Сталин сказал, что мы затягиваем дело с этим танком, и предложил ускорить испытания и начать производство танков Т-44. Исключительно тяжелые задачи. Не знаю даже, как их можно выполнить. Сейчас буду советоваться с директорами заводов» («Пройдёт десяток лет, и этих встреч не восстановишь уже в памяти»//Источник. №5. 1997. С. 125).</w:t>
      </w:r>
    </w:p>
    <w:p w14:paraId="45CE61F0" w14:textId="77777777" w:rsidR="0035263A" w:rsidRPr="007224C3" w:rsidRDefault="0035263A" w:rsidP="007224C3">
      <w:pPr>
        <w:pStyle w:val="a3"/>
        <w:rPr>
          <w:color w:val="000000" w:themeColor="text1"/>
          <w:lang w:val="ru-RU"/>
        </w:rPr>
      </w:pPr>
      <w:r w:rsidRPr="007224C3">
        <w:rPr>
          <w:color w:val="000000" w:themeColor="text1"/>
          <w:lang w:val="ru-RU"/>
        </w:rPr>
        <w:t>Но, когда танк был готов, Сталин и Малышев, видимо, так и не решились перестраивать для его производства основные танкостроительные предприятия (12290).</w:t>
      </w:r>
    </w:p>
    <w:p w14:paraId="19900F9A" w14:textId="77777777" w:rsidR="0035263A" w:rsidRPr="007224C3" w:rsidRDefault="0035263A" w:rsidP="007224C3">
      <w:pPr>
        <w:pStyle w:val="a3"/>
        <w:rPr>
          <w:color w:val="000000" w:themeColor="text1"/>
          <w:lang w:val="ru-RU"/>
        </w:rPr>
      </w:pPr>
    </w:p>
    <w:p w14:paraId="46B35180" w14:textId="77777777" w:rsidR="009D1B58" w:rsidRPr="007224C3" w:rsidRDefault="009D1B58" w:rsidP="007224C3">
      <w:pPr>
        <w:pStyle w:val="ae"/>
        <w:spacing w:before="0" w:after="0"/>
        <w:jc w:val="both"/>
        <w:textAlignment w:val="baseline"/>
        <w:rPr>
          <w:color w:val="000000" w:themeColor="text1"/>
          <w:sz w:val="16"/>
          <w:szCs w:val="16"/>
        </w:rPr>
      </w:pPr>
      <w:r w:rsidRPr="007224C3">
        <w:rPr>
          <w:color w:val="000000" w:themeColor="text1"/>
          <w:sz w:val="16"/>
          <w:szCs w:val="16"/>
        </w:rPr>
        <w:t>13 февраля 1944 на совещании Сталин поднял тему серийного производства Т-44, предложив ускорить испытания (18950).</w:t>
      </w:r>
    </w:p>
    <w:p w14:paraId="684A6B12" w14:textId="77777777" w:rsidR="009D1B58" w:rsidRPr="007224C3" w:rsidRDefault="009D1B58" w:rsidP="007224C3">
      <w:pPr>
        <w:spacing w:after="0" w:line="240" w:lineRule="auto"/>
        <w:jc w:val="both"/>
        <w:textAlignment w:val="baseline"/>
        <w:rPr>
          <w:rFonts w:ascii="Times New Roman" w:hAnsi="Times New Roman"/>
          <w:color w:val="000000" w:themeColor="text1"/>
          <w:sz w:val="16"/>
          <w:szCs w:val="16"/>
        </w:rPr>
      </w:pPr>
    </w:p>
    <w:p w14:paraId="09FA8E0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февраля 1944 вышло Постановление ГКО № 5167 О проектировании и изготовлении в НИИ-10 Наркомсудпрома опытных образцов радиолокационных станций и приборов точной наводки артиллерии для кораблей Военно-Морского Флота. РГАНИР, Фонд ГКО, д. 208, лл. 134-143,144-148 (11012).</w:t>
      </w:r>
    </w:p>
    <w:p w14:paraId="6C263E2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122B928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февраля 1944 г. вышло постановление ГКО № 5167 о проектировании и изготовлении в институте (ГС НИИ-10 НКОП, НКСП, МСП, ГКРЭ, МРП, п/я 2435, Всесоюзный государственный институт телемеханики и связи (ВГИТиС) НКТП, Всесоюзный НИИ радиоэлектронники (ВНИИРЭ) МСП, ВНИИ, НПО «Альтаир», А-</w:t>
      </w:r>
      <w:r w:rsidRPr="007224C3">
        <w:rPr>
          <w:rFonts w:ascii="Times New Roman" w:hAnsi="Times New Roman"/>
          <w:color w:val="000000" w:themeColor="text1"/>
          <w:sz w:val="16"/>
          <w:szCs w:val="16"/>
        </w:rPr>
        <w:lastRenderedPageBreak/>
        <w:t>1586, ГосНПО «Альтаир», ФГУП «НТК «Альтаир», ОАО «Морской НИИ радиоэлектроники (МНИИРЭ) «Альтаир» ФАП /111024 г. Москва ул. Авиамоторная, 57 тел. 673-14-32/) опытных РЛС и приборов точной наводки артиллерии для кораблей ВМФ. 8.05.1945 г. вышло постановление ГКО № 8454 о проектировании и изготовлении опытных образцов радиолокатора «Юпитер-Ill» и электрического ПУАЗО (11982).</w:t>
      </w:r>
    </w:p>
    <w:p w14:paraId="2CA0DA4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31E18C3D" w14:textId="77777777" w:rsidR="00355805" w:rsidRPr="007224C3" w:rsidRDefault="0035580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февраля 1944 г. вышло Постановление ГКО за № 5167 «О проектировании и изготовлении в НИИ-10 Наркомсудпрома опытных образцов радиолокационных станций и приборов точной наводки артиллерии для кораблей Военно-Морского Флота» (15736).</w:t>
      </w:r>
    </w:p>
    <w:p w14:paraId="34CDC279" w14:textId="77777777" w:rsidR="00355805" w:rsidRPr="007224C3" w:rsidRDefault="00355805" w:rsidP="007224C3">
      <w:pPr>
        <w:spacing w:after="0" w:line="240" w:lineRule="auto"/>
        <w:jc w:val="both"/>
        <w:rPr>
          <w:rFonts w:ascii="Times New Roman" w:hAnsi="Times New Roman"/>
          <w:color w:val="000000" w:themeColor="text1"/>
          <w:sz w:val="16"/>
          <w:szCs w:val="16"/>
        </w:rPr>
      </w:pPr>
    </w:p>
    <w:p w14:paraId="54AA6C47"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февраля 1944 вышло Постановление ГКО № 5168 Об организации специализированных ремесленных училищ авиационной промышленности в г.г. Москве и Куйбышеве. (7187, 149-152,153-154).</w:t>
      </w:r>
    </w:p>
    <w:p w14:paraId="2908D535"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2E81DE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февраля 1944 вышло Распоряжение ГКО № 5169. Об обеспечении водородом аэростатных частей КА. РГАНИР, Фонд ГКО, д. 208, лл. 155-157 (11012).</w:t>
      </w:r>
    </w:p>
    <w:p w14:paraId="2DD11ED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4A98B66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февраля 1944 вышло Распоряжение ГКО № 5170. О мерах по бесперебойному снабжению паром Уральского алюминиевого завода НКЦМ. РГАНИР, Фонд ГКО, д. 208, лл. 158 (11012).</w:t>
      </w:r>
    </w:p>
    <w:p w14:paraId="5F99A1B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23DEF58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февраля 1944 г. вышло Распоряжение ГКО № 5171 «Об изменениях в плане производства и поставок средств химвооружения на I кв. 1944 г.» (Д. 284. Л. 176).</w:t>
      </w:r>
    </w:p>
    <w:p w14:paraId="3B7F01E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1278F966"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февраля 1944 вышло Распоряжение ГКО № 5172 [О мобилизации на лесозаготовительные работы пеших рабочих и возчиков с лошадьми по Красноярскому краю.] (7187, 160-161).</w:t>
      </w:r>
    </w:p>
    <w:p w14:paraId="460488E8"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70517BB"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февраля 1944 вышло Распоряжение ГКО № 5173 [Об оставлении совхоза им. Ворошилова в ведении треста пригородных совхозов Сталинского облисполкома.] (7187, 162).</w:t>
      </w:r>
    </w:p>
    <w:p w14:paraId="596C268A"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50F728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февраля 1944 вышло Распоряжение ГКО № 5174. Телеграмма ГКО секретарям обкомов, крайкомов, ЦК КП(б) союзных республик и председателям совнаркомов союзных и автономных республик, обл (край)исполкомов о выполнении плана лесозаготовок. РГАНИР, Фонд ГКО, д. 208, лл. 163-164 (11012).</w:t>
      </w:r>
    </w:p>
    <w:p w14:paraId="5CA931D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61EA7AB8"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февраля 1944 вышло Постановление ГКО № 5175 О сформировании шести строительных железнодорожных батальонов. (7187, 165).</w:t>
      </w:r>
    </w:p>
    <w:p w14:paraId="7B72CEB7"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E71359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февраля 1944 вышло Постановление ГКО № 5176 Об оказании срочной помощи угольным комбинатом Кузнецкого бассейна по отгрузке крепежного леса в феврале и марте 1944 года. РГАНИР, Фонд ГКО, д. 208, лл. 166-171 (11012).</w:t>
      </w:r>
    </w:p>
    <w:p w14:paraId="5820FBE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046BB87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февраля 1944 вышло Постановление ГКО № 5177 О выработке конструкций и изготовлении опытных образцов новых пехотных противотанковых средств. РГАНИР, Фонд ГКО, д. 208, лл. 172-174,175 (11012).</w:t>
      </w:r>
    </w:p>
    <w:p w14:paraId="33914D6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685358E2"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февраля 1944 вышло Постановление ГКО № 5178 О мерах по обеспечению дальнейшего роста добычи нефти на промыслах Куйбышевнефтекомбината. (7187, 176-181,182-184).</w:t>
      </w:r>
    </w:p>
    <w:p w14:paraId="6085C897"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76D37AE" w14:textId="77777777" w:rsidR="00355805"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03FDB421" w14:textId="77777777" w:rsidR="00355805" w:rsidRPr="007224C3" w:rsidRDefault="00355805"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6F40605" w14:textId="77777777" w:rsidR="00355805" w:rsidRPr="007224C3" w:rsidRDefault="00355805"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13 ФЕВРАЛЯ 1944 СООБЩЕНИЕ Совинформбюро:</w:t>
      </w:r>
    </w:p>
    <w:p w14:paraId="4A97B1DA" w14:textId="77777777" w:rsidR="00355805" w:rsidRPr="007224C3" w:rsidRDefault="0035580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ЛЕНИНГРАДСКОГО фронта, развивая наступление, врезультате умелого обходного манёвра и последующего затем штурма вчера, 12февраля, овладели городом и железнодорожным узлом ЛУГА. Войска этого же фронта,наступающие вдоль побережья ЧУДСКОГО ОЗЕРА и к востоку от него, за пять днейнаступательных боёв овладели районными центрами Ленинградской области городомГДОВ, ПОЛНА, ЛЯДЫ, а также заняли более 800 других населённых пунктов, в томчисле крупные населённые пункты МЕЛГОВЩИНА, БОГДАНОВЩИНА, ЛАПТОВИЦЫ, ВЕТВЕННИК,БРАТУХНОВО, ОСТРОВЦЫ, ЧЕРНЕВО, ЗАЯНЬЕ, СЕРБИНО, МАЛОЕ ЗАПОЛЬЕ, ЗАРУДИНЬЕ,ДОЛЖИЦЫ, УСАДИЩЕ и железнодорожные станции ЮШКИНСКАЯ, ЗАМОГИЛЬЕ, ЯЗБЫ. Нашимивойсками полностью очищено от противника восточное побережье озера ЧУДСКОЕ.</w:t>
      </w:r>
    </w:p>
    <w:p w14:paraId="388ECF56" w14:textId="77777777" w:rsidR="00355805" w:rsidRPr="007224C3" w:rsidRDefault="0035580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и юго-западнее БАТЕЦКАЯ наши войска с боями продвигались вперёд изаняли населённые пункты РОПТИ, БОР, РУСЫНЯ, ЛУЖА, ЗАУПОРА.</w:t>
      </w:r>
    </w:p>
    <w:p w14:paraId="59B4F999" w14:textId="77777777" w:rsidR="00355805" w:rsidRPr="007224C3" w:rsidRDefault="0035580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Севернее ЗВЕНИГОРОДКА и ШПОЛА наши войска продолжали вести бои по уничтожениюокружённой группировки противника и овладели населёнными пунктами СИТНИКИ,СОТНИКИ, АРБУЗИНО и железнодорожной станцией СОТНИКИ. Одновременносеверо-западнее ЗВЕНИГОРОДКА наши войска отбивали контратаки крупных сил танкови пехоты противника, стремившихся пробиться на помощь к окружённой группировке,и нанесли ему большие потери в живой силе и технике.</w:t>
      </w:r>
    </w:p>
    <w:p w14:paraId="0ED836E1" w14:textId="77777777" w:rsidR="00355805" w:rsidRPr="007224C3" w:rsidRDefault="0035580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 разведка, артиллерийско-миномётная перестрелка ив ряде пунктов бои местного значения.</w:t>
      </w:r>
    </w:p>
    <w:p w14:paraId="17BE167B" w14:textId="77777777" w:rsidR="00355805" w:rsidRPr="007224C3" w:rsidRDefault="0035580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12 февраля наши войска на всех фронтах подбили и уничтожили 102немецких танка. В воздушных боях и огнём зенитной артиллерии сбито 36 самолётовпротивника.</w:t>
      </w:r>
    </w:p>
    <w:p w14:paraId="72711DC2" w14:textId="77777777" w:rsidR="00355805" w:rsidRPr="007224C3" w:rsidRDefault="0035580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Объявленный не вернувшимся на свою базу при налёте на финский город Котка вночь на 11 февраля один наш бомбардировщик приземлился на другом аэродроме насоветской территории.</w:t>
      </w:r>
    </w:p>
    <w:p w14:paraId="788F9AB4" w14:textId="77777777" w:rsidR="00355805" w:rsidRPr="007224C3" w:rsidRDefault="0035580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Ленинградского фронта продолжали успешное наступление. Части Н-скогосоединения, выйдя на подступы к городу Луга, завязали уличные бои с противником.Немцы сильно укрепили город. Они превратили каменные здания в опорные пункты,построили большое количество дотов и, опираясь на них, оказывали упорноесопротивление. Тем временем другие наши части обошли город с востока и запада.Не давая противнику перегруппировать свои силы, советские войска штурмомовладели важным узлом железных дорог и мощным опорным пунктом обороны немцевгородом Луга. В боях на подступах к городу и на его улицах противник понёстяжёлые потери. Нашими войсками захвачены трофеи и значительное число пленных.Развивая наступление, наши войска заняли также ряд других населённых пунктов. Водном из этих пунктов подразделения Н-ской части захватили 18 орудий, 46пулемётов, 5 тяжёлых миномётов, склад боеприпасов, два склада с продовольствиеми 6 радиостанций.</w:t>
      </w:r>
    </w:p>
    <w:p w14:paraId="382ED5B7" w14:textId="77777777" w:rsidR="00355805" w:rsidRPr="007224C3" w:rsidRDefault="0035580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Ленинградского фронта, наступающие вдоль побережья Чудского озера и квостоку от него, за пять дней боёв овладели районными центрами Ленинградскойобласти городом Гдов, Полна и Ляды, а также заняли более 800 других населённыхпунктов. Партизанские отряды Ленинградской области оказывали активное содействиеКрасной Армии. Действуя в сложных условиях лесисто-болотистой местности, нашивойска широко применяли обходные манёвры. Советские подвижные отряды врывались врасположение врага, блокировали его гарнизоны в опорных пунктах и уничтожали их.Противник понёс большие потери в людях и технике. Только одно наше соединение запять дней боёв истребило свыше 2.000 немецких солдат и офицеров, уничтожило 48орудий, из них 5 самоходных. Захвачено у немцев много вооружения и военныхматериалов.</w:t>
      </w:r>
    </w:p>
    <w:p w14:paraId="77C99DBA" w14:textId="77777777" w:rsidR="00355805" w:rsidRPr="007224C3" w:rsidRDefault="0035580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Севернее городов Звенигородка и Шпола наши войска продолжали вести бои поуничтожению окружённой группировки противника. Советские артиллеристы мощнымогнём громят узлы вражеской обороны и активно поддерживают пехотинцев. ЧастиН-ского соединения, сломив сопротивление противника, заняли железнодорожнуюстанцию Сотники. На поле боя осталось 600 вражеских трупов. Захвачены трофеи, вчисле которых 13 орудий, а также несколько повреждённых танков и бронемашин. Надругом участке наши подвижные отряды отрезали группу противника в уничтожают её.Северо-западнее Звенигородки на узком участке фронта немцы ввели в действиекрупные силы пехоты и танков и неоднократно пытались пробиться на помощь своейокружённой группировке. Всю ночь и весь день шли ожесточённые бои. Одна нашачасть отбила семь вражеских атак. Подступы к советским позициям усеяны трупаминемецких солдат и офицеров и разбитой техникой противника. Отражая контратакигитлеровцев, советские войска уничтожили 60 немецких танков, 15 самоходныхорудий и 21 бронетранспортёр. Кроме того, более 20 танков противника вывели изстроя советские лётчики.</w:t>
      </w:r>
    </w:p>
    <w:p w14:paraId="0CB4D705" w14:textId="77777777" w:rsidR="00355805" w:rsidRPr="007224C3" w:rsidRDefault="0035580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Партизанский отряд, действующий в Ленинградской области, с 27 января по 6февраля пустил под откос 6 воинских эшелонов и бронепоезд противника. За это жевремя партизаны взорвали две тысячи рельсов и железнодорожный мост. Советскиепатриоты на шоссейных дорогах уничтожили 60 автомашин, 8 автоцистерн с бензиноми более 200 повозок с грузами. Ружейно-пулемётным огнём сбито 4 немецкихсамолёта.</w:t>
      </w:r>
    </w:p>
    <w:p w14:paraId="10A98468" w14:textId="77777777" w:rsidR="00355805" w:rsidRPr="007224C3" w:rsidRDefault="0035580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Пленный обер-ефрейтор 708 артиллерийского дивизиона Ганс Кернер рассказал:«Орудия нашего дивизиона обстреливали Ленинград. Командир дивизиона капитанХартель говорил солдатам: «По приказу немецкого командования город должен бытьразрушен. Непрерывный обстрел Ленинграда деморализует население и неизбежноприведёт к капитуляции города». В отдельные дни орудия батареи выпускали до 200снарядов. Сводки немецкого командования регулярно сообщали об успешном обстреле«военных объектов» Ленинграда. Но о военных объектах говорилось лишь для отводаглаз. Мы отлично знали, что каждый снаряд, выпущенный по огромному городу,обязательно угодит в какое-нибудь здание. Мы понимали, что разрушаем жилища,убиваем женщин и детей. Русское наступление застало нас </w:t>
      </w:r>
      <w:r w:rsidRPr="007224C3">
        <w:rPr>
          <w:rFonts w:ascii="Times New Roman" w:hAnsi="Times New Roman"/>
          <w:color w:val="000000" w:themeColor="text1"/>
          <w:sz w:val="16"/>
          <w:szCs w:val="16"/>
        </w:rPr>
        <w:lastRenderedPageBreak/>
        <w:t>врасплох. В дивизионеначалась форменная паника. Офицеры убежали на автомашинах, а солдат бросили напроизвол судьбы. Многие из нас сдались в плен, а орудия в исправном состояниипопали в руки русских» (15039).</w:t>
      </w:r>
    </w:p>
    <w:p w14:paraId="524935FD" w14:textId="77777777" w:rsidR="00355805" w:rsidRPr="007224C3" w:rsidRDefault="00355805" w:rsidP="007224C3">
      <w:pPr>
        <w:spacing w:after="0" w:line="240" w:lineRule="auto"/>
        <w:jc w:val="both"/>
        <w:rPr>
          <w:rFonts w:ascii="Times New Roman" w:hAnsi="Times New Roman"/>
          <w:color w:val="000000" w:themeColor="text1"/>
          <w:sz w:val="16"/>
          <w:szCs w:val="16"/>
        </w:rPr>
      </w:pPr>
    </w:p>
    <w:p w14:paraId="74087D4E" w14:textId="4C0638BD" w:rsidR="004D7B45" w:rsidRPr="007224C3" w:rsidRDefault="004D7B45" w:rsidP="007224C3">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7224C3">
        <w:rPr>
          <w:rFonts w:ascii="Times New Roman" w:hAnsi="Times New Roman"/>
          <w:i/>
          <w:iCs/>
          <w:color w:val="000000" w:themeColor="text1"/>
          <w:sz w:val="16"/>
          <w:szCs w:val="16"/>
        </w:rPr>
        <w:t>За рубежом:</w:t>
      </w:r>
    </w:p>
    <w:p w14:paraId="3F51F320" w14:textId="77777777" w:rsidR="004D7B45" w:rsidRPr="007224C3" w:rsidRDefault="004D7B45" w:rsidP="007224C3">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7569B96C" w14:textId="77777777" w:rsidR="004D7B45" w:rsidRPr="007224C3" w:rsidRDefault="004D7B45"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13 февраля 1944 469 бомбардировщиков Восьмой армии ВВС - 277 B-17 и 192 B-24 - в сопровождении 189 истребителей P-47 и 41 истребителя P-51 поразили объекты ФАУ-1 в районе Па-де-Кале во Франции, потеряв четыре B-17 и один P-51. Вместе бомбардировщики и истребители заявляют, что шесть немецких самолетов сбиты, два, вероятно, сбиты и четыре повреждены в воздушном бою, а также истребители заявляют, что четыре немецких самолета повреждены на земле (20373).</w:t>
      </w:r>
    </w:p>
    <w:p w14:paraId="73FB548D" w14:textId="77777777" w:rsidR="004D7B45" w:rsidRPr="007224C3" w:rsidRDefault="004D7B45" w:rsidP="007224C3">
      <w:pPr>
        <w:spacing w:after="0" w:line="240" w:lineRule="auto"/>
        <w:jc w:val="both"/>
        <w:rPr>
          <w:rFonts w:ascii="Times New Roman" w:hAnsi="Times New Roman"/>
          <w:color w:val="0070C0"/>
          <w:sz w:val="16"/>
          <w:szCs w:val="16"/>
        </w:rPr>
      </w:pPr>
    </w:p>
    <w:p w14:paraId="2437F01A" w14:textId="77777777" w:rsidR="004D7B45" w:rsidRPr="007224C3" w:rsidRDefault="004D7B45"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13 февраля 1944 авианосец оперативной группы 58 ВМС США наносит удар по Эниветоку (20373).</w:t>
      </w:r>
    </w:p>
    <w:p w14:paraId="1102D0B7" w14:textId="77777777" w:rsidR="004D7B45" w:rsidRPr="007224C3" w:rsidRDefault="004D7B45" w:rsidP="007224C3">
      <w:pPr>
        <w:spacing w:after="0" w:line="240" w:lineRule="auto"/>
        <w:jc w:val="both"/>
        <w:rPr>
          <w:rFonts w:ascii="Times New Roman" w:hAnsi="Times New Roman"/>
          <w:color w:val="0070C0"/>
          <w:sz w:val="16"/>
          <w:szCs w:val="16"/>
        </w:rPr>
      </w:pPr>
    </w:p>
    <w:p w14:paraId="5DA90B31" w14:textId="04BC1A84"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391F404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EF29A3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февраля 1944 г. двухместный вариант бронированного истребителя с мотором АМ-42 был отправлен на завод № 240 для окончательной доводки" (7442).</w:t>
      </w:r>
    </w:p>
    <w:p w14:paraId="3C1344C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42C95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февраля 1944 Зам. главного арбитра писал А.И.Ш. письмо N 500с:</w:t>
      </w:r>
    </w:p>
    <w:p w14:paraId="7F32947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конце 1943 и в первые месяцы 1944 Госарбитражем рассмотрено значительное количество споров, возникших в связи с поставками предприятиями НКАП недоброкачественных самолетов и моторов:</w:t>
      </w:r>
    </w:p>
    <w:p w14:paraId="5275E00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8 августа 1943 из-за дефектов производственного характера потерпел катастрофу самолет Ил-2 N 301511 выпуска завода 30.</w:t>
      </w:r>
    </w:p>
    <w:p w14:paraId="0F21890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Этот самолет налетал с начала эксплуатации всего 9 час. 10 мин.</w:t>
      </w:r>
    </w:p>
    <w:p w14:paraId="1492826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53A1470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2 августа 1943 потерпел аварию из-за разрушения верхней конической шестерни вертикальной передачи самолет Ил-2 N 302317 с двигателем, поставленным заводом 45.</w:t>
      </w:r>
    </w:p>
    <w:p w14:paraId="6D2E34A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вине того же завода произошла аварию самолета Ил-2 N 301441, имевшая место вследствие обрыва шатуна. Этот самолет с начала эксплуатации наработал всего 6 час. 20 мин." (1815,33).</w:t>
      </w:r>
    </w:p>
    <w:p w14:paraId="20A5C59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9A78F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февраля 1944 летчик-испытатель А.П.Якимов приступил к выполнению намеченной программы дополнительных заводских испытания И-220 № 01. В процессе испытаний было установлено, что бафтинг, выражающийся в легких ударах по оперению, возникал на посадке при парашютировании на приборной скорости 180-175 км/ч. Кроме того, бафтинг появлялся и в горизонтальном полете на приборной скорости 250-260 км/ч и ниже при полностью открытых заслонках водорадиатора. Для изучения бафтинга при парашютировании также был сделан ряд исследовательских полетов на И-220 №02. где это явление было выражено более ярко. После переделки на машине зализов центроплана бафтинг больше не возникал. Сваливание на правое крыло в обязательном порядке происходило при резком добирании ручки управления на посадке. При плавном доборе ручки стремление к сваливанию выражалось значительно меньше. После снятия центральной части посадочных щитков тенденция к сваливанию значительно уменьшилась, а при посадке без перетягивания ручки управления совершенно отсутствовала (5669).</w:t>
      </w:r>
    </w:p>
    <w:p w14:paraId="4B1E80C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3F3A37"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50A94DB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A17112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февраля 1944 г. была подготовлена ДОКЛАДНАЯ ЗАПИСКА ЗАМЕСТИТЕЛЯ НАЧАЛЬНИКА ГБТУ КА НАЧАЛЬНИКУ УФ и БП БТ и МВ КА О НЕОБХОДИМОСТИ ИЗДАНИЯ КАТАЛОГОВ ДЕТАЛЕЙ ИМПОРТНЫХ ТАНКОВ И БРОНЕТРАНСПОРТЕРОВ № 520737</w:t>
      </w:r>
    </w:p>
    <w:p w14:paraId="31FA4E2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настоящее время из Америки на вооружение Красной Армии в основном поступают танки М4-А2, бронетранспортеры МЗ-А1 и СУ-57 (на базе М-2).</w:t>
      </w:r>
    </w:p>
    <w:p w14:paraId="6A94019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указанные марки машин каталогов, изданных на русском, языке не имеется.</w:t>
      </w:r>
    </w:p>
    <w:p w14:paraId="4B0E8B4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Отсутствие этих каталогов сильно тормозит правильную организацию полевого ремонта в войсковых частях.</w:t>
      </w:r>
    </w:p>
    <w:p w14:paraId="0802C35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настоящее время НИБТ полигоном подготовлены к изданию эти каталоги.</w:t>
      </w:r>
    </w:p>
    <w:p w14:paraId="6D0CCD8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Прошу Вашего распоряжения об издании каталогов деталей танков, бронетранспортеров следу</w:t>
      </w:r>
      <w:r w:rsidRPr="007224C3">
        <w:rPr>
          <w:rFonts w:ascii="Times New Roman" w:hAnsi="Times New Roman"/>
          <w:color w:val="000000" w:themeColor="text1"/>
          <w:sz w:val="16"/>
          <w:szCs w:val="16"/>
        </w:rPr>
        <w:softHyphen/>
        <w:t>ющим тиражом:</w:t>
      </w:r>
    </w:p>
    <w:p w14:paraId="1F36781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1.М4-А2 - 1500 экз.</w:t>
      </w:r>
    </w:p>
    <w:p w14:paraId="07AA949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МЗ-А1 - 1000 экз.</w:t>
      </w:r>
    </w:p>
    <w:p w14:paraId="3612B36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М-2 - 1000 экз.</w:t>
      </w:r>
    </w:p>
    <w:p w14:paraId="067954C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Приложение: упомянутые каталоги.</w:t>
      </w:r>
      <w:r w:rsidRPr="007224C3">
        <w:rPr>
          <w:rFonts w:ascii="Times New Roman" w:hAnsi="Times New Roman"/>
          <w:color w:val="000000" w:themeColor="text1"/>
          <w:sz w:val="16"/>
          <w:szCs w:val="16"/>
          <w:vertAlign w:val="superscript"/>
        </w:rPr>
        <w:t>1</w:t>
      </w:r>
    </w:p>
    <w:p w14:paraId="77B53DE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начальника Главного бронетанкового управления Красной Армии генерал-лейтенант инженерно-танковой службы Лебедев</w:t>
      </w:r>
    </w:p>
    <w:p w14:paraId="7F141C2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38. Оп. 11355. Д. 2190. Л. 11. Копия.</w:t>
      </w:r>
    </w:p>
    <w:p w14:paraId="4188292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№586 ОТЧЕТ О РАБОТЕ ТЕХНИЧЕСКОГО ОТДЕЛА ГАВТУ КА</w:t>
      </w:r>
    </w:p>
    <w:p w14:paraId="1F9EBCA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февраля 1944 г.</w:t>
      </w:r>
    </w:p>
    <w:p w14:paraId="27B8B24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Технический отдел ГАВТУ КА был организован в декабре 1942 г., одновременно с организацией ГАВТУ КА. В это время отдел состоял из 3-х человек.</w:t>
      </w:r>
    </w:p>
    <w:p w14:paraId="739B420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первой половины 1943 г. происходило расширение отдела, который окончательно сформировался в штатном составе 7 офицеров и 8 вольнонаемных.</w:t>
      </w:r>
    </w:p>
    <w:p w14:paraId="2641CFC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Работа технического отдела охватывает научно-технические вопросы и касается многих техниче</w:t>
      </w:r>
      <w:r w:rsidRPr="007224C3">
        <w:rPr>
          <w:rFonts w:ascii="Times New Roman" w:hAnsi="Times New Roman"/>
          <w:color w:val="000000" w:themeColor="text1"/>
          <w:sz w:val="16"/>
          <w:szCs w:val="16"/>
        </w:rPr>
        <w:softHyphen/>
        <w:t>ских проблем, связанных с работой автомобильных войск Красной Армии и управлений ГАВТУ КА.</w:t>
      </w:r>
    </w:p>
    <w:p w14:paraId="45CCE43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Техническим отделом были проведены следующие наиболее важные работы с привлечением в отдельных случаях квалифицированных специалистов:</w:t>
      </w:r>
    </w:p>
    <w:p w14:paraId="605C643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Разработаны технические условия на выбраковку деталей и ремонт автомобиля Додж ШР-32.</w:t>
      </w:r>
    </w:p>
    <w:p w14:paraId="537DF92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Составлено и издано руководство по применению карбинольного клея для ремонта автодеталей.</w:t>
      </w:r>
    </w:p>
    <w:p w14:paraId="22CB750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Составлены сборники технических условий на ремонт, выбраковку, сборку и испытания авто</w:t>
      </w:r>
      <w:r w:rsidRPr="007224C3">
        <w:rPr>
          <w:rFonts w:ascii="Times New Roman" w:hAnsi="Times New Roman"/>
          <w:color w:val="000000" w:themeColor="text1"/>
          <w:sz w:val="16"/>
          <w:szCs w:val="16"/>
        </w:rPr>
        <w:softHyphen/>
        <w:t>мобилей ГАЗ-АА и Форд-б (2С8Т).</w:t>
      </w:r>
    </w:p>
    <w:p w14:paraId="72565C8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Составлена и издана инструкция по применению специального путевого клея ЦНИИАТа для ремонта в пути металлических, пластмассовых и стеклянных деталей автомобиля.</w:t>
      </w:r>
    </w:p>
    <w:p w14:paraId="7629451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Составлены и изданы технологические карты на ремонт деталей автомобилей ЗИС-5, ГАЗ-АА и М-1, экспонированных на выставке ГБТУ КА.</w:t>
      </w:r>
      <w:r w:rsidRPr="007224C3">
        <w:rPr>
          <w:rFonts w:ascii="Times New Roman" w:hAnsi="Times New Roman"/>
          <w:color w:val="000000" w:themeColor="text1"/>
          <w:sz w:val="16"/>
          <w:szCs w:val="16"/>
          <w:vertAlign w:val="superscript"/>
        </w:rPr>
        <w:t>2</w:t>
      </w:r>
    </w:p>
    <w:p w14:paraId="284D7D3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Проведена работа по центробежной заливке тонкостенных вкладышей подшипников при их ремонте.</w:t>
      </w:r>
    </w:p>
    <w:p w14:paraId="3FC9A7C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Проведен ряд работ по увеличению срока службы импортных автомобилей в армейских усло</w:t>
      </w:r>
      <w:r w:rsidRPr="007224C3">
        <w:rPr>
          <w:rFonts w:ascii="Times New Roman" w:hAnsi="Times New Roman"/>
          <w:color w:val="000000" w:themeColor="text1"/>
          <w:sz w:val="16"/>
          <w:szCs w:val="16"/>
        </w:rPr>
        <w:softHyphen/>
        <w:t>виях, за счет повышения антидетонационных качеств отечественных автобензинов.</w:t>
      </w:r>
    </w:p>
    <w:p w14:paraId="363686B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Проведена экспериментально-испытательная работа по повышению экономики отечествен</w:t>
      </w:r>
      <w:r w:rsidRPr="007224C3">
        <w:rPr>
          <w:rFonts w:ascii="Times New Roman" w:hAnsi="Times New Roman"/>
          <w:color w:val="000000" w:themeColor="text1"/>
          <w:sz w:val="16"/>
          <w:szCs w:val="16"/>
        </w:rPr>
        <w:softHyphen/>
        <w:t>ных автодвигателей за счет повышения степени сжатия.</w:t>
      </w:r>
    </w:p>
    <w:p w14:paraId="64DAD2E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Проведен ряд работ по улучшению качества автобензина и масла, применяемого для автомо</w:t>
      </w:r>
      <w:r w:rsidRPr="007224C3">
        <w:rPr>
          <w:rFonts w:ascii="Times New Roman" w:hAnsi="Times New Roman"/>
          <w:color w:val="000000" w:themeColor="text1"/>
          <w:sz w:val="16"/>
          <w:szCs w:val="16"/>
        </w:rPr>
        <w:softHyphen/>
        <w:t>бильного парка Красной Армии.</w:t>
      </w:r>
    </w:p>
    <w:p w14:paraId="39D9B92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Разработаны конструкции жестких сцепок для импортных автомобилей Форд-6 (2С8Т), Шевроле-3116 и Додж \\Ф-32.</w:t>
      </w:r>
    </w:p>
    <w:p w14:paraId="70A0700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Проведены предварительные испытания и составлен отчет спаренных жесткой сцепкой автомобилей при периодической параллельной работе их двигателей.</w:t>
      </w:r>
    </w:p>
    <w:p w14:paraId="55F656C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Разработана конструкция, позволяющая питать генераторным газом двигатели двух автомо</w:t>
      </w:r>
      <w:r w:rsidRPr="007224C3">
        <w:rPr>
          <w:rFonts w:ascii="Times New Roman" w:hAnsi="Times New Roman"/>
          <w:color w:val="000000" w:themeColor="text1"/>
          <w:sz w:val="16"/>
          <w:szCs w:val="16"/>
        </w:rPr>
        <w:softHyphen/>
        <w:t>билей от одной газогенераторной установки.</w:t>
      </w:r>
    </w:p>
    <w:p w14:paraId="666B8D3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Разработана конструкция автоматической жесткой сцепки для автомобиля ГАЗ-АА.</w:t>
      </w:r>
    </w:p>
    <w:p w14:paraId="47158C6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Проведено испытание газогенераторных автомобилей ЗИС-5 и ГАЗ-АА с головками блока цилиндров и задними мостами бензиновых автомобилей. Техническим отделом были подготовлены к печати:</w:t>
      </w:r>
    </w:p>
    <w:p w14:paraId="20B7932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Справочник по тактико-техническим характеристикам автомобилей Германской армии.</w:t>
      </w:r>
    </w:p>
    <w:p w14:paraId="3D94E2D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Справочник — «Технические характеристики советских и импортных автомобилей».</w:t>
      </w:r>
    </w:p>
    <w:p w14:paraId="13CEF0E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Краткое руководство по хранению и применению этиловой жидкости В-20 и этилированных автомобильных бензинов (совместно с УСГ КА).</w:t>
      </w:r>
    </w:p>
    <w:p w14:paraId="04FC9A8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Инструкция по подготовке автомобилей Красной Армии к весенне-летней эксплуатации (совместно с УЭА).</w:t>
      </w:r>
    </w:p>
    <w:p w14:paraId="69BFC60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Инструкция по подготовке автомобилей Красной Армии к осенне-зимней эксплуатации (совместно с УЭА).</w:t>
      </w:r>
    </w:p>
    <w:p w14:paraId="7D1D478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Инструкция по объему технических осмотров импортных автомобилей (совместно с УЭА). По заказу технического отдела и при его консультации и участии были выпущены Воентехфильмом следующие кинофильмы:</w:t>
      </w:r>
    </w:p>
    <w:p w14:paraId="674E9E7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Гидравлические тормоза и вакуумные усилители.</w:t>
      </w:r>
    </w:p>
    <w:p w14:paraId="4E2369D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Вождение автомобиля (в летних условиях).</w:t>
      </w:r>
    </w:p>
    <w:p w14:paraId="3FA0590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Два киножурнала, посвященные газогенераторным автомобилям.</w:t>
      </w:r>
    </w:p>
    <w:p w14:paraId="058498B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связи с работами, проведенными по заданию и при участии технического отдела, приняты следующие постановления и решения, значительно улучшающие качество автобензинов и автолов и увеличивающие срок службы импортных автомобилей:</w:t>
      </w:r>
    </w:p>
    <w:p w14:paraId="4AE48F2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1. Постановление ГОКО №3146-сс от 8.04.1943 г. за подписью т. Сталина И.В., о переводе с 25.04.1943 г. импортного автопарка Красной Армии на снабжение этилированным автобензином. На основе этого постановления ГОКО был издан Приказ НКО №0279 от 18.04.1943 г.</w:t>
      </w:r>
    </w:p>
    <w:p w14:paraId="3D53EA9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Распоряжение СНК СССР №15205-рс от 10.08.1943 г. за подписью т. Берия Л.П., обязывающее НКНефть начиная с августа 1943 г. вырабатывать и сдавать УСГ КА для импортных автомобилей автобензин с концом кипения не выше 220°С.</w:t>
      </w:r>
    </w:p>
    <w:p w14:paraId="575B512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Распоряжение СНК СССР №16384-рс от 26.08.1943 г. за подписью т. Берия Л.П. об улучшении качества автолов с запрещением производства и применения для автопарка Красной Армии омылен-ных автолов и выпуске НКНефтью для Красной Армии автолов только сернокислотной очистки.</w:t>
      </w:r>
    </w:p>
    <w:p w14:paraId="6545757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наиболее эффективной работы отдела необходимо было создать экспериментальную и испытательную базу, которая могла бы временно, впредь до организации научно-испытательного института ГАВТУ КА и полигона, заниматься научно-испытательной работой по изучению автомо</w:t>
      </w:r>
      <w:r w:rsidRPr="007224C3">
        <w:rPr>
          <w:rFonts w:ascii="Times New Roman" w:hAnsi="Times New Roman"/>
          <w:color w:val="000000" w:themeColor="text1"/>
          <w:sz w:val="16"/>
          <w:szCs w:val="16"/>
        </w:rPr>
        <w:softHyphen/>
        <w:t>бильной материальной части, поступающей на снабжение Красной Армии.</w:t>
      </w:r>
    </w:p>
    <w:p w14:paraId="34B88C2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этой целью техническим отделом была организована экспериментально-испытательная база — 203 научно-испытательный батальон ГАВТУ КА и испытательная группа технического отдела при 59 ОАТР, в которых ведется научно-испытательная работа.</w:t>
      </w:r>
    </w:p>
    <w:p w14:paraId="26E5B54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Испытательная группа технического отдела при 59 ОАТР проводит работу с различными марками импортных автомобилей в количестве около 70, поступивших на снабжение Красной Армии. На этих автомобилях проводятся планомерные систематические дорожно-эксплуатационные испытания в обычных армейских условиях с целью выявления надежности и прочности конструкций импортных автомобилей, их приспособленности к работе в наших дорожных условиях, для определения техниче</w:t>
      </w:r>
      <w:r w:rsidRPr="007224C3">
        <w:rPr>
          <w:rFonts w:ascii="Times New Roman" w:hAnsi="Times New Roman"/>
          <w:color w:val="000000" w:themeColor="text1"/>
          <w:sz w:val="16"/>
          <w:szCs w:val="16"/>
        </w:rPr>
        <w:softHyphen/>
        <w:t>ских и эксплуатационных характеристик машин, особенностей их обслуживания, причин характер</w:t>
      </w:r>
      <w:r w:rsidRPr="007224C3">
        <w:rPr>
          <w:rFonts w:ascii="Times New Roman" w:hAnsi="Times New Roman"/>
          <w:color w:val="000000" w:themeColor="text1"/>
          <w:sz w:val="16"/>
          <w:szCs w:val="16"/>
        </w:rPr>
        <w:softHyphen/>
        <w:t>ных неисправностей и поломок и установления норм расхода ГСМ и запасных частей.</w:t>
      </w:r>
    </w:p>
    <w:p w14:paraId="5567F0A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 числа наиболее важных работ, проведенных испытательной группой технического отдела, необходимо отметить следующие:</w:t>
      </w:r>
    </w:p>
    <w:p w14:paraId="0F87452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Испытание автомобиля Форд СР\У.</w:t>
      </w:r>
    </w:p>
    <w:p w14:paraId="5374BBE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Испытание автомобиля Додж \УС-51.</w:t>
      </w:r>
    </w:p>
    <w:p w14:paraId="4058E1A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Испытание автомобиля Додж Т-110-Ь-5.</w:t>
      </w:r>
    </w:p>
    <w:p w14:paraId="2CD6D7D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Испытание автомобилей Форд-6 (2С8Т), Додж \\Ф-32, Шевроле С-7107, Студебекер Ш-6 и СМС ССКЛ/У-352 при работе их на автобензине 2 сорта с примесью этиловой жидкости и без примеси.</w:t>
      </w:r>
    </w:p>
    <w:p w14:paraId="4922D76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Испытание автомобилей Форд 2С8Т и Додж М\ГР-32 на сжиженном газе.</w:t>
      </w:r>
    </w:p>
    <w:p w14:paraId="58AD654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Определение износов двигателей импортных автомобилей.</w:t>
      </w:r>
    </w:p>
    <w:p w14:paraId="0F1321B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Определение емкостей гидравлических тормозных систем импортных автомобилей.</w:t>
      </w:r>
    </w:p>
    <w:p w14:paraId="6C0264C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Испытание заменителей импортных тормозных жидкостей (1-Л, 2-Л, Б СК).</w:t>
      </w:r>
    </w:p>
    <w:p w14:paraId="32E09EE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Испытание мероприятий по уменьшению разжижения масла в картерах импортных двигателей.</w:t>
      </w:r>
    </w:p>
    <w:p w14:paraId="6E3BD1F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Испытание рессор отечественного производства для импортных автомобилей.</w:t>
      </w:r>
    </w:p>
    <w:p w14:paraId="07F2BB5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Испытание антифризов для импортных автомобилей. 203 НИБ обладает экспериментальной базой, состоящей из:</w:t>
      </w:r>
    </w:p>
    <w:p w14:paraId="060A8EF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Лаборатории двигателей с 6 стендами.</w:t>
      </w:r>
    </w:p>
    <w:p w14:paraId="5E1B6BB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Лаборатории ГСМ.</w:t>
      </w:r>
    </w:p>
    <w:p w14:paraId="5CFFA74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Карбюраторной лаборатории.</w:t>
      </w:r>
    </w:p>
    <w:p w14:paraId="56C1A5F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Лаборатории электрооборудования. (Лаборатории мало оснащены, требуют расширения).</w:t>
      </w:r>
    </w:p>
    <w:p w14:paraId="5E09A82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Экспериментальные мастерские.</w:t>
      </w:r>
    </w:p>
    <w:p w14:paraId="3385112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 числа наиболее важных научно-испытательных работ, проведенных батальоном, необходимо отметить следующие:</w:t>
      </w:r>
    </w:p>
    <w:p w14:paraId="12EFB9F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Повышение экономики двигателей ГАЗ, за счет повышения степени сжатия.</w:t>
      </w:r>
    </w:p>
    <w:p w14:paraId="11BF214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Перевод автомобилей и обкатка двигателей после капитального ремонта на сжиженный газ.</w:t>
      </w:r>
    </w:p>
    <w:p w14:paraId="6C6CC97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Применение нефтяного и сжиженного газов для сварки и резки металлов вместо карбида кальция.</w:t>
      </w:r>
    </w:p>
    <w:p w14:paraId="2479627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Испытание автомобилей повышенной проходимости.</w:t>
      </w:r>
    </w:p>
    <w:p w14:paraId="5FC3953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Изготовление и испытание регенераторов для отвержденного бензина.</w:t>
      </w:r>
    </w:p>
    <w:p w14:paraId="6D3F85D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Сравнительные испытания двигателей Форд и ЗИС-5 по определению степени разжижения топливом картерного масла.</w:t>
      </w:r>
    </w:p>
    <w:p w14:paraId="38FD76E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Испытание двигателя Форд С8Т (1943 года).</w:t>
      </w:r>
    </w:p>
    <w:p w14:paraId="6EC8070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Испытания двигателя Форд 2С8Т (1942 года).</w:t>
      </w:r>
    </w:p>
    <w:p w14:paraId="0AC2D32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Перевод двигателей лебедок аэростатной защиты ПВО на питание загрязненным водородом.</w:t>
      </w:r>
    </w:p>
    <w:p w14:paraId="6F2BC58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Испытание трофейного автомобиля Хорьх.</w:t>
      </w:r>
    </w:p>
    <w:p w14:paraId="7D44B82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Приспособление газогенераторных автомобилей ЗИС-21 и ГАЗ-42 для работы на сырой древесине.</w:t>
      </w:r>
    </w:p>
    <w:p w14:paraId="5058DB4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решения ряда актуальных научно-технических вопросов автомобильной службы техниче</w:t>
      </w:r>
      <w:r w:rsidRPr="007224C3">
        <w:rPr>
          <w:rFonts w:ascii="Times New Roman" w:hAnsi="Times New Roman"/>
          <w:color w:val="000000" w:themeColor="text1"/>
          <w:sz w:val="16"/>
          <w:szCs w:val="16"/>
        </w:rPr>
        <w:softHyphen/>
        <w:t>ский отдел привлекал также НИБТ полигон ГБТУ КА и другие научно-исследовательские и произ</w:t>
      </w:r>
      <w:r w:rsidRPr="007224C3">
        <w:rPr>
          <w:rFonts w:ascii="Times New Roman" w:hAnsi="Times New Roman"/>
          <w:color w:val="000000" w:themeColor="text1"/>
          <w:sz w:val="16"/>
          <w:szCs w:val="16"/>
        </w:rPr>
        <w:softHyphen/>
        <w:t>водственные организации, в частности НАТИ, МВТУ, ЗИС, ГАЗ.</w:t>
      </w:r>
    </w:p>
    <w:p w14:paraId="7BE0EE0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виде примера можно привести следующие работы, проведенные указанными выше организа</w:t>
      </w:r>
      <w:r w:rsidRPr="007224C3">
        <w:rPr>
          <w:rFonts w:ascii="Times New Roman" w:hAnsi="Times New Roman"/>
          <w:color w:val="000000" w:themeColor="text1"/>
          <w:sz w:val="16"/>
          <w:szCs w:val="16"/>
        </w:rPr>
        <w:softHyphen/>
        <w:t>циями по заданию технического отдела:</w:t>
      </w:r>
    </w:p>
    <w:p w14:paraId="7F19A94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Определение влияния отечественного автомобильного бензина на состояние смазки в карте</w:t>
      </w:r>
      <w:r w:rsidRPr="007224C3">
        <w:rPr>
          <w:rFonts w:ascii="Times New Roman" w:hAnsi="Times New Roman"/>
          <w:color w:val="000000" w:themeColor="text1"/>
          <w:sz w:val="16"/>
          <w:szCs w:val="16"/>
        </w:rPr>
        <w:softHyphen/>
        <w:t>рах импортных двигателей и испытание мероприятий по борьбе с разжижением смазки в двигате</w:t>
      </w:r>
      <w:r w:rsidRPr="007224C3">
        <w:rPr>
          <w:rFonts w:ascii="Times New Roman" w:hAnsi="Times New Roman"/>
          <w:color w:val="000000" w:themeColor="text1"/>
          <w:sz w:val="16"/>
          <w:szCs w:val="16"/>
        </w:rPr>
        <w:softHyphen/>
        <w:t>лях импортных автомобилей.</w:t>
      </w:r>
    </w:p>
    <w:p w14:paraId="16804ED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Сравнительные испытания автомобилей ГАЗ-67 и Виллис МВ.</w:t>
      </w:r>
    </w:p>
    <w:p w14:paraId="535CF7D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Испытания двигателей ГАЗ и ЗИС с повышенной степенью сжатия на этилированном бензине.</w:t>
      </w:r>
    </w:p>
    <w:p w14:paraId="309D420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Стендовые испытания двигателей автомобилей: Интернационал, Додж, СМС, Студебекер, Форд, Шевроле и Виллис.</w:t>
      </w:r>
    </w:p>
    <w:p w14:paraId="1BFC077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техническом отделе организована техническая библиотека, насчитывающая к настоящему времени около 3000 книг по различным вопросам автомобильной техники.</w:t>
      </w:r>
    </w:p>
    <w:p w14:paraId="2EB6A3F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соответствии с постановлением ГОКО, ГАВТУ КА закончена организация постоянно действу</w:t>
      </w:r>
      <w:r w:rsidRPr="007224C3">
        <w:rPr>
          <w:rFonts w:ascii="Times New Roman" w:hAnsi="Times New Roman"/>
          <w:color w:val="000000" w:themeColor="text1"/>
          <w:sz w:val="16"/>
          <w:szCs w:val="16"/>
        </w:rPr>
        <w:softHyphen/>
        <w:t>ющей выставки по ремонту и эксплуатации автомобилей. Основная работа по организации выстав</w:t>
      </w:r>
      <w:r w:rsidRPr="007224C3">
        <w:rPr>
          <w:rFonts w:ascii="Times New Roman" w:hAnsi="Times New Roman"/>
          <w:color w:val="000000" w:themeColor="text1"/>
          <w:sz w:val="16"/>
          <w:szCs w:val="16"/>
        </w:rPr>
        <w:softHyphen/>
        <w:t>ки была выполнена техническим отделом, которому выставка до 20 января 1944 г. непосредственно подчинялась, а затем приказом начальника ГАВТУ КА была передана в подчинение ремонтному управлению ГАВТУ КА.</w:t>
      </w:r>
    </w:p>
    <w:p w14:paraId="2FBDF94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технического отдела ГАВТУ КА инженер-полковник Лавров</w:t>
      </w:r>
    </w:p>
    <w:p w14:paraId="260FEC0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41. Оп. 11584. Д. 443. Л. 20-26. Подлинник (11403).</w:t>
      </w:r>
    </w:p>
    <w:p w14:paraId="4BDDE7C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1B12DD4C" w14:textId="77777777" w:rsidR="009D1B58" w:rsidRPr="007224C3" w:rsidRDefault="009D1B5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14–15 февраля 1944 года прошли первые испытания опытной системы Д-10С, всего было сделано 108 выстрелов. Что же касается заводских испытаний самой САУ-100, то они начались ближе к концу февраля. При взвешивании выяснилось, что боевая масса составляет 30 960 кг. Машина прошла 100 км со средней скоростью 24,2 км/ч. После устранения небольших неполадок машину допустили до полигонных испытаний, при этом комиссия составила список из десяти позиций по улучшению, в случае постановки СУ-100 в серию. Дополнительно комиссия подняла вопрос об улучшении вентиляции боевого отделения (18252).</w:t>
      </w:r>
    </w:p>
    <w:p w14:paraId="3DC07212" w14:textId="77777777" w:rsidR="009D1B58" w:rsidRPr="007224C3" w:rsidRDefault="009D1B58" w:rsidP="007224C3">
      <w:pPr>
        <w:spacing w:after="0" w:line="240" w:lineRule="auto"/>
        <w:jc w:val="both"/>
        <w:rPr>
          <w:rFonts w:ascii="Times New Roman" w:hAnsi="Times New Roman"/>
          <w:color w:val="000000" w:themeColor="text1"/>
          <w:sz w:val="16"/>
          <w:szCs w:val="16"/>
        </w:rPr>
      </w:pPr>
    </w:p>
    <w:p w14:paraId="1AE4DEA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февраля 1944 вышло Постановление ГКО № 5179 Об установке 3-го котла на ТЭЦ Московского автозавода им. Сталина Наркомсредмаша. РГАНИР, Фонд ГКО, д. 209, лл. 1-3,4-6 (11012).</w:t>
      </w:r>
    </w:p>
    <w:p w14:paraId="593D81E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27AD7CB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февраля 1944 вышло Постановление ГКО № 5180 О материально-техническом обеспечении производства автомобилей, запасных частей к ним, артиллерийских тягачей и автомобильных прицепов в I квартале 1944 года. РГАНИР, Фонд ГКО, д. 209, лл. 7-19,20-36 (11012).</w:t>
      </w:r>
    </w:p>
    <w:p w14:paraId="4595833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13D7CAE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февраля 1944 вышло Постановление ГКО № 5181 О завозе хлебофуража в Свердловскую область в феврале и марте 1944 года. РГАНИР, Фонд ГКО, д. 209, лл. 37-38,39-40 (11012).</w:t>
      </w:r>
    </w:p>
    <w:p w14:paraId="58906F7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3810F6C2" w14:textId="77777777" w:rsidR="00B41B6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7DD731BC" w14:textId="77777777" w:rsidR="00B41B6B" w:rsidRPr="007224C3" w:rsidRDefault="00B41B6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39C0184" w14:textId="77777777" w:rsidR="00B41B6B" w:rsidRPr="007224C3" w:rsidRDefault="00B41B6B"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14 февраля</w:t>
      </w:r>
      <w:r w:rsidRPr="007224C3">
        <w:rPr>
          <w:rFonts w:ascii="Times New Roman" w:hAnsi="Times New Roman"/>
          <w:color w:val="000000" w:themeColor="text1"/>
          <w:sz w:val="16"/>
          <w:szCs w:val="16"/>
        </w:rPr>
        <w:t xml:space="preserve"> в 1944 году оперативная сводка Совинформбюро:</w:t>
      </w:r>
    </w:p>
    <w:p w14:paraId="52F3077C" w14:textId="77777777" w:rsidR="00B41B6B" w:rsidRPr="007224C3" w:rsidRDefault="00B41B6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14 февраля южнее и юго-восточнее города Гдов наши войска продолжали наступление и заняли несколько населённых пунктов.</w:t>
      </w:r>
    </w:p>
    <w:p w14:paraId="5072F46A" w14:textId="77777777" w:rsidR="00B41B6B" w:rsidRPr="007224C3" w:rsidRDefault="00B41B6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Южнее города Луга наши войска вели наступательные бои, в ходе которых овладели населёнными пунктами Бараново, Заполье, Смерди, Пустошка, Дубровка, Кут, Раковичи, Наволок.</w:t>
      </w:r>
    </w:p>
    <w:p w14:paraId="65177493" w14:textId="77777777" w:rsidR="00B41B6B" w:rsidRPr="007224C3" w:rsidRDefault="00B41B6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Севернее Звенигородка и Шпола наши войска продолжали вести бои по уничтожению окружённой группировки противника и, сломив его сопротивление, овладели районнымцентром Киевской области городом Корсунь-Шевченковский и населёнными пунктами Кошмак, Листвена, Петрушки, Туркенцы, Самородня. </w:t>
      </w:r>
      <w:r w:rsidRPr="007224C3">
        <w:rPr>
          <w:rFonts w:ascii="Times New Roman" w:hAnsi="Times New Roman"/>
          <w:color w:val="000000" w:themeColor="text1"/>
          <w:sz w:val="16"/>
          <w:szCs w:val="16"/>
        </w:rPr>
        <w:lastRenderedPageBreak/>
        <w:t>Одновременно северо-западнее Звенигородка наши войска вели ожесточённые бои с крупными силами танков и пехоты противника, стремившимися пробиться на помощь к окружённой группировке. Ценой больших потерь в живой силе и технике противнику удалось незначительно вклиниться в нашу оборону.</w:t>
      </w:r>
    </w:p>
    <w:p w14:paraId="4FE02516" w14:textId="77777777" w:rsidR="00B41B6B" w:rsidRPr="007224C3" w:rsidRDefault="00B41B6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 разведка, артиллерийско-миномётная перестрелка и в ряде пунктов бои местного значения.</w:t>
      </w:r>
    </w:p>
    <w:p w14:paraId="64FB963B" w14:textId="77777777" w:rsidR="00B41B6B" w:rsidRPr="007224C3" w:rsidRDefault="00B41B6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13 февраля наши войска на всех фронтах подбили и уничтожили 95 немецких танков. В воздушных боях и огнём зенитной артиллерии уничтожено 38 самолётов противника.</w:t>
      </w:r>
    </w:p>
    <w:p w14:paraId="22BF3C16" w14:textId="77777777" w:rsidR="00B41B6B" w:rsidRPr="007224C3" w:rsidRDefault="00B41B6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Южнее и юго-восточнее города Гдов наши войска продолжали наступление и заняли несколько населённых пунктов. В районе населённого пункта Зарудинье частиН-ского соединения окружили группу войск противника и в результате ожесточённого боя ликвидировали её. Захвачено у немцев 72 орудия, из них 3 тяжёлых на гусеничной тяге, 350 автомашин, 80 повозок с грузами, 1.500 лошадей и другие трофеи. Взято значительное количество пленных. Группа наших разведчиков в составе сержанта Кабанова, ефрейтора Денисенко, старшего сержанта Шадского, сержанта Терехова, красноармейцев Фёдорова и Швеца внезапно ворвалась в один опорный пункт противника. Немцы, застигнутые врасплох, без сопротивления сложили оружие. Разведчики захватили в плен 36 гитлеровцев и доставили их в свою часть.</w:t>
      </w:r>
    </w:p>
    <w:p w14:paraId="1D70EBFD" w14:textId="77777777" w:rsidR="00B41B6B" w:rsidRPr="007224C3" w:rsidRDefault="00B41B6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Южнее города Луга наши войска вели наступательные бои. Части Н-ского соединения выбили противника из населённых пунктов Раковичи и Наволок, уничтожив при этом 300 гитлеровцев. На другом участке советские войска, продвигаясь вперёд, заняли несколько населённых пунктов, в боях за которые истребили до батальона немецкой пехоты.</w:t>
      </w:r>
    </w:p>
    <w:p w14:paraId="101A1424" w14:textId="77777777" w:rsidR="00B41B6B" w:rsidRPr="007224C3" w:rsidRDefault="00B41B6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Наши войска, овладевшие городом Луга, захватили у немцев 42 орудия, 61 миномёт, до 2.000 винтовок и автоматов, 4 танка, 2 бронемашины, 170 автомашин, 80 повозок, свыше миллиона патронов, 6 тысяч снарядов и авиабомб, 50 складов с боеприпасами, горючим и продовольствием.</w:t>
      </w:r>
    </w:p>
    <w:p w14:paraId="53836AA4" w14:textId="77777777" w:rsidR="00B41B6B" w:rsidRPr="007224C3" w:rsidRDefault="00B41B6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Севернее городов Звенигородка и Шпола наши войска продолжали вести бои по уничтожению окружённой группировки противника. Части Н-ского соединения, сломив упорное сопротивление немцев, заняли несколько населённых пунктов. Развивая успех, советские бойцы нанесли удар по вражеским частям, оборонявшим опорны йпункт окружённой группировки — город Корсунь-Шевченковский. В результате ожесточённых боёв наши войска сегодня разгромили немецкий гарнизон и овладели районным центром Киевской области — городом Корсунь-Шевченковский. Одна немецкая часть предприняла попытку вырваться из окружения. Наши войска отрезали эту группу противника и уничтожили свыше 1.000 немецких солдат и офицеров. Северо-западнее города Звенигородка наши войска продолжали вести бои с крупными силами танков и пехоты противника, стремившимися пробиться на помощь к окружённой группировке. Бои носили крайне ожесточённый характер. Отдельные пункты по нескольку раз переходили из рук в руки. Советские артиллеристы, миномётчики и пехотинцы сосредоточенным огнём расстреливали наступающие колонны гитлеровцев. Ценой больших потерь немцам удалось незначительно вклиниться в нашу оборону. В ходе боя истреблено не менее 2.000 немецких солдат и офицеров, сожжено и подбито 73 танка и свыше 20 самоходных орудий противника.</w:t>
      </w:r>
    </w:p>
    <w:p w14:paraId="739EECF1" w14:textId="77777777" w:rsidR="00B41B6B" w:rsidRPr="007224C3" w:rsidRDefault="00B41B6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Советские лётчики совершили налёт на вражеский аэродром и уничтожили на земле 12 немецких трехмоторных транспортных самолётов.</w:t>
      </w:r>
    </w:p>
    <w:p w14:paraId="32F4D1D0" w14:textId="77777777" w:rsidR="00B41B6B" w:rsidRPr="007224C3" w:rsidRDefault="00B41B6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Группа литовских партизан из отрядов «Жальгирис» и «Вильнюс» взорвала железнодорожный мост и пустила под откос немецкий воинский эшелон, следовавший к линии фронта. Весь состав разбит. Уничтожено более 200 солдат и офицеров противника. В другом районе советские патриоты подорвали три немецких воинских поезда и вырезали 20 километров телефонно-телеграфной линии связи.</w:t>
      </w:r>
    </w:p>
    <w:p w14:paraId="7521E091" w14:textId="77777777" w:rsidR="00B41B6B" w:rsidRPr="007224C3" w:rsidRDefault="00B41B6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Ленинградском фронте захвачен в плен военный корреспондент инженерного отдела штаба главного немецкого командования сухопутных сил Рудольф Хариг. Пленный рассказал: «Осенью прошлого года я, будучи в Берлине, получил новое назначение. Меня направили в район Ленинграда, где я должен был ознакомиться с работой немецких сапёров. В ноябре я прибыл на фронт. В штабе 50 армейского корпуса у начальника сапёрных войск полковника Дюринга я получил необходимые сведения и побывал у Лиговского канала, а также около города Пушкин. Я имел полную возможность осмотреть укрепления, возведённые под Ленинградом, и нашёл их в прекрасном состоянии. Такого же мнения придерживались военные специалисты в Берлине и на фронте. Все были в полной уверенности, что наши укрепления неприступны и выдержат любой натиск советских войск. Однако последние события показали, что мы недооценили способности русских. Огонь русской артиллерии буквально смешал с землёй всё, даже самые мощные инженерные укрепления, которыемы строили и совершенствовали в течение двух лет» (15040).</w:t>
      </w:r>
    </w:p>
    <w:p w14:paraId="2FB109DF" w14:textId="77777777" w:rsidR="00B41B6B" w:rsidRPr="007224C3" w:rsidRDefault="00B41B6B" w:rsidP="007224C3">
      <w:pPr>
        <w:spacing w:after="0" w:line="240" w:lineRule="auto"/>
        <w:jc w:val="both"/>
        <w:rPr>
          <w:rFonts w:ascii="Times New Roman" w:hAnsi="Times New Roman"/>
          <w:color w:val="000000" w:themeColor="text1"/>
          <w:sz w:val="16"/>
          <w:szCs w:val="16"/>
        </w:rPr>
      </w:pPr>
    </w:p>
    <w:p w14:paraId="35D478C5" w14:textId="77777777" w:rsidR="00B41B6B" w:rsidRPr="007224C3" w:rsidRDefault="00B41B6B"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14 февраля</w:t>
      </w:r>
      <w:r w:rsidRPr="007224C3">
        <w:rPr>
          <w:rFonts w:ascii="Times New Roman" w:hAnsi="Times New Roman"/>
          <w:color w:val="000000" w:themeColor="text1"/>
          <w:sz w:val="16"/>
          <w:szCs w:val="16"/>
        </w:rPr>
        <w:t xml:space="preserve"> в 1944 году высадка силами Краснознаменного Балтийского флота десанта в районе Мерекюла (15040).</w:t>
      </w:r>
    </w:p>
    <w:p w14:paraId="3329DF5B" w14:textId="77777777" w:rsidR="00B41B6B" w:rsidRPr="007224C3" w:rsidRDefault="00B41B6B" w:rsidP="007224C3">
      <w:pPr>
        <w:spacing w:after="0" w:line="240" w:lineRule="auto"/>
        <w:jc w:val="both"/>
        <w:rPr>
          <w:rFonts w:ascii="Times New Roman" w:hAnsi="Times New Roman"/>
          <w:color w:val="000000" w:themeColor="text1"/>
          <w:sz w:val="16"/>
          <w:szCs w:val="16"/>
        </w:rPr>
      </w:pPr>
    </w:p>
    <w:p w14:paraId="686A6BF7" w14:textId="77777777" w:rsidR="00B41B6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Жизнь и внутренняя политика:</w:t>
      </w:r>
    </w:p>
    <w:p w14:paraId="55BCCEA0" w14:textId="77777777" w:rsidR="00B41B6B" w:rsidRPr="007224C3" w:rsidRDefault="00B41B6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74FBF8B" w14:textId="77777777" w:rsidR="00B41B6B" w:rsidRPr="007224C3" w:rsidRDefault="00B41B6B"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14 февраля</w:t>
      </w:r>
      <w:r w:rsidRPr="007224C3">
        <w:rPr>
          <w:rFonts w:ascii="Times New Roman" w:hAnsi="Times New Roman"/>
          <w:color w:val="000000" w:themeColor="text1"/>
          <w:sz w:val="16"/>
          <w:szCs w:val="16"/>
        </w:rPr>
        <w:t xml:space="preserve"> в 1944 году (14–17 февраля) общее собрание Академии наук СССР в Москве (15040).</w:t>
      </w:r>
    </w:p>
    <w:p w14:paraId="59741528" w14:textId="77777777" w:rsidR="00B41B6B" w:rsidRPr="007224C3" w:rsidRDefault="00B41B6B" w:rsidP="007224C3">
      <w:pPr>
        <w:spacing w:after="0" w:line="240" w:lineRule="auto"/>
        <w:jc w:val="both"/>
        <w:rPr>
          <w:rFonts w:ascii="Times New Roman" w:hAnsi="Times New Roman"/>
          <w:color w:val="000000" w:themeColor="text1"/>
          <w:sz w:val="16"/>
          <w:szCs w:val="16"/>
        </w:rPr>
      </w:pPr>
    </w:p>
    <w:p w14:paraId="555C7B51"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57F3BFD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D12BC9F" w14:textId="77777777" w:rsidR="00B41B6B" w:rsidRPr="007224C3" w:rsidRDefault="00B41B6B"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14 февраля</w:t>
      </w:r>
      <w:r w:rsidRPr="007224C3">
        <w:rPr>
          <w:rFonts w:ascii="Times New Roman" w:hAnsi="Times New Roman"/>
          <w:color w:val="000000" w:themeColor="text1"/>
          <w:sz w:val="16"/>
          <w:szCs w:val="16"/>
        </w:rPr>
        <w:t xml:space="preserve"> в 1944 году поднялся в воздух под управлением Боба Чилтона (Bob Chilton) первый прототип </w:t>
      </w:r>
      <w:hyperlink r:id="rId44" w:tgtFrame="_blank" w:history="1">
        <w:r w:rsidRPr="007224C3">
          <w:rPr>
            <w:rFonts w:ascii="Times New Roman" w:hAnsi="Times New Roman"/>
            <w:color w:val="000000" w:themeColor="text1"/>
            <w:sz w:val="16"/>
            <w:szCs w:val="16"/>
          </w:rPr>
          <w:t>«XP-51F» (15040).</w:t>
        </w:r>
      </w:hyperlink>
    </w:p>
    <w:p w14:paraId="12DAF7BB" w14:textId="77777777" w:rsidR="00B41B6B" w:rsidRPr="007224C3" w:rsidRDefault="00B41B6B" w:rsidP="007224C3">
      <w:pPr>
        <w:spacing w:after="0" w:line="240" w:lineRule="auto"/>
        <w:jc w:val="both"/>
        <w:rPr>
          <w:rFonts w:ascii="Times New Roman" w:hAnsi="Times New Roman"/>
          <w:color w:val="000000" w:themeColor="text1"/>
          <w:sz w:val="16"/>
          <w:szCs w:val="16"/>
        </w:rPr>
      </w:pPr>
    </w:p>
    <w:p w14:paraId="0748C9C0" w14:textId="77777777" w:rsidR="004D7B45" w:rsidRPr="007224C3" w:rsidRDefault="004D7B45"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14 февраля 1944 - Поднялся в воздух под управлением Боба Чилтона (Bob Chilton) первый прототип XP-51F.</w:t>
      </w:r>
    </w:p>
    <w:p w14:paraId="0E7075C3" w14:textId="77777777" w:rsidR="004D7B45" w:rsidRPr="007224C3" w:rsidRDefault="004D7B45"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Прототип XP-51F имел лишь внешнее сходство со всеми предыдущими моделями Mustang и ни одна деталь от конструкции прежних машин не подходила к новой. Большинство изменений преследовало одну цель - снижение взлетного веса. Изменениям подверглись основные стойки шасси, колеса и покрышки получили меньшую размерность. Новые колеса потребовали установки новых дисковых тормозов. Крыло имело немного большую площадь и прямую переднюю кромку, без характерного для ранних версий Mustang изгиба. Крыло получило несколько измененный ламинарный профиль со сниженным лобовым сопротивлением. Два внутренних пулемета были сняты и вооружение XP-51F состояло из четырех 12,7 мм пулеметов Browning MG53-2 с боекомплектом по 440 патронов. Объем каждого крыльевого топливного бака был снижен до 102 американских галлонов, а фюзеляжный бак за кабиной пилота был снят (22598).</w:t>
      </w:r>
    </w:p>
    <w:p w14:paraId="0B62775C" w14:textId="77777777" w:rsidR="004D7B45" w:rsidRPr="007224C3" w:rsidRDefault="004D7B45" w:rsidP="007224C3">
      <w:pPr>
        <w:spacing w:after="0" w:line="240" w:lineRule="auto"/>
        <w:jc w:val="both"/>
        <w:rPr>
          <w:rFonts w:ascii="Times New Roman" w:hAnsi="Times New Roman"/>
          <w:color w:val="0070C0"/>
          <w:sz w:val="16"/>
          <w:szCs w:val="16"/>
        </w:rPr>
      </w:pPr>
    </w:p>
    <w:p w14:paraId="755E7DD9"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февраля 1944 немецкие фашисты взяли под контроль средиземноморское побережье вишисткой Франции (4962).</w:t>
      </w:r>
    </w:p>
    <w:p w14:paraId="450EE185"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6EE9689"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февраля 1944 приказом Гитлера ликвидирован абвер (отдел военной разведки) (4962).</w:t>
      </w:r>
    </w:p>
    <w:p w14:paraId="6A120332"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01197EA" w14:textId="77777777" w:rsidR="00B41B6B" w:rsidRPr="007224C3" w:rsidRDefault="00B41B6B"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14 февраля</w:t>
      </w:r>
      <w:r w:rsidRPr="007224C3">
        <w:rPr>
          <w:rFonts w:ascii="Times New Roman" w:hAnsi="Times New Roman"/>
          <w:color w:val="000000" w:themeColor="text1"/>
          <w:sz w:val="16"/>
          <w:szCs w:val="16"/>
        </w:rPr>
        <w:t xml:space="preserve"> в 1944 году крейсер Сен-Луи получает попадание бомбы. 23 человека погибли, 20 ранены (15040) (15040).</w:t>
      </w:r>
    </w:p>
    <w:p w14:paraId="4DFDC46C" w14:textId="77777777" w:rsidR="00B41B6B" w:rsidRPr="007224C3" w:rsidRDefault="00B41B6B" w:rsidP="007224C3">
      <w:pPr>
        <w:spacing w:after="0" w:line="240" w:lineRule="auto"/>
        <w:jc w:val="both"/>
        <w:rPr>
          <w:rFonts w:ascii="Times New Roman" w:hAnsi="Times New Roman"/>
          <w:color w:val="000000" w:themeColor="text1"/>
          <w:sz w:val="16"/>
          <w:szCs w:val="16"/>
        </w:rPr>
      </w:pPr>
    </w:p>
    <w:p w14:paraId="1B6549F7"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17D33D5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DE4ACF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февраля 1944 (5,122) опытный образец Ил-10 был готов. Согласно В.Н.Бугайскому - ответственному представителю ОКБ С.В.И. на заводе - он был оснащен еще АМ-38Ф, так как АМ-42 еще не поступили (5,122).</w:t>
      </w:r>
    </w:p>
    <w:p w14:paraId="68CD27D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1772E8" w14:textId="77777777" w:rsidR="00D5636F" w:rsidRPr="007224C3" w:rsidRDefault="00D5636F"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15 февраля 1944 уда</w:t>
      </w:r>
      <w:r w:rsidRPr="007224C3">
        <w:rPr>
          <w:rFonts w:ascii="Times New Roman" w:hAnsi="Times New Roman"/>
          <w:color w:val="0070C0"/>
          <w:sz w:val="16"/>
          <w:szCs w:val="16"/>
        </w:rPr>
        <w:softHyphen/>
        <w:t>лось выполнить повторное опробование мотора АМ-42 на Су-6. Мо</w:t>
      </w:r>
      <w:r w:rsidRPr="007224C3">
        <w:rPr>
          <w:rFonts w:ascii="Times New Roman" w:hAnsi="Times New Roman"/>
          <w:color w:val="0070C0"/>
          <w:sz w:val="16"/>
          <w:szCs w:val="16"/>
        </w:rPr>
        <w:softHyphen/>
        <w:t>тор работал нормально, но водяной ра</w:t>
      </w:r>
      <w:r w:rsidRPr="007224C3">
        <w:rPr>
          <w:rFonts w:ascii="Times New Roman" w:hAnsi="Times New Roman"/>
          <w:color w:val="0070C0"/>
          <w:sz w:val="16"/>
          <w:szCs w:val="16"/>
        </w:rPr>
        <w:softHyphen/>
        <w:t>диатор вновь дал течь. Причина - чрез</w:t>
      </w:r>
      <w:r w:rsidRPr="007224C3">
        <w:rPr>
          <w:rFonts w:ascii="Times New Roman" w:hAnsi="Times New Roman"/>
          <w:color w:val="0070C0"/>
          <w:sz w:val="16"/>
          <w:szCs w:val="16"/>
        </w:rPr>
        <w:softHyphen/>
        <w:t>мерно большое давление в водяной системе (4 атм вместо 2-2,5 атм). Для снижения давления в ра</w:t>
      </w:r>
      <w:r w:rsidRPr="007224C3">
        <w:rPr>
          <w:rFonts w:ascii="Times New Roman" w:hAnsi="Times New Roman"/>
          <w:color w:val="0070C0"/>
          <w:sz w:val="16"/>
          <w:szCs w:val="16"/>
        </w:rPr>
        <w:softHyphen/>
        <w:t>диаторе в водяную систему «временно до изготовления главным конструктором мо</w:t>
      </w:r>
      <w:r w:rsidRPr="007224C3">
        <w:rPr>
          <w:rFonts w:ascii="Times New Roman" w:hAnsi="Times New Roman"/>
          <w:color w:val="0070C0"/>
          <w:sz w:val="16"/>
          <w:szCs w:val="16"/>
        </w:rPr>
        <w:softHyphen/>
        <w:t>тора Микулиным водопомпы нормальной прокачки» включили специальные дрос</w:t>
      </w:r>
      <w:r w:rsidRPr="007224C3">
        <w:rPr>
          <w:rFonts w:ascii="Times New Roman" w:hAnsi="Times New Roman"/>
          <w:color w:val="0070C0"/>
          <w:sz w:val="16"/>
          <w:szCs w:val="16"/>
        </w:rPr>
        <w:softHyphen/>
        <w:t>сельные заслонки перед входом в водо- радиатор, понижающие давление в водя</w:t>
      </w:r>
      <w:r w:rsidRPr="007224C3">
        <w:rPr>
          <w:rFonts w:ascii="Times New Roman" w:hAnsi="Times New Roman"/>
          <w:color w:val="0070C0"/>
          <w:sz w:val="16"/>
          <w:szCs w:val="16"/>
        </w:rPr>
        <w:softHyphen/>
        <w:t>ной системе до требуемых норм». Кроме этого поставили радиатор «повышенной прочности». И все заработало. Самолет сочли полностью подготовленным к пере</w:t>
      </w:r>
      <w:r w:rsidRPr="007224C3">
        <w:rPr>
          <w:rFonts w:ascii="Times New Roman" w:hAnsi="Times New Roman"/>
          <w:color w:val="0070C0"/>
          <w:sz w:val="16"/>
          <w:szCs w:val="16"/>
        </w:rPr>
        <w:softHyphen/>
        <w:t>даче на ЛИС завода (19853).</w:t>
      </w:r>
    </w:p>
    <w:p w14:paraId="559FE3C7" w14:textId="77777777" w:rsidR="00D5636F" w:rsidRPr="007224C3" w:rsidRDefault="00D5636F" w:rsidP="007224C3">
      <w:pPr>
        <w:spacing w:after="0" w:line="240" w:lineRule="auto"/>
        <w:jc w:val="both"/>
        <w:rPr>
          <w:rFonts w:ascii="Times New Roman" w:hAnsi="Times New Roman"/>
          <w:color w:val="0070C0"/>
          <w:sz w:val="16"/>
          <w:szCs w:val="16"/>
        </w:rPr>
      </w:pPr>
    </w:p>
    <w:p w14:paraId="217E83A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февраля 1944 в воздух поднялся первый серийный Ер-2/АЧ-30Б 39 завода в Иркутске N 7013901 и испытания проводили Н.С.Бушкевич, А.А.Холодов, П.И.Тихонов, В.М.Токарев, И.П.Яшин. Испытания шли до 5 октября 1944. Сначала хотели испытывать 2-й - N 7013903, но на нем сразу сдали двигатели (2391,14). Потом на заводе было два стапеля с эллипсовидной и упрощенной носовой частью фюзеляжа. Использовались одновременно. Всего сделали 391 машину (1724,55).</w:t>
      </w:r>
    </w:p>
    <w:p w14:paraId="0D8E678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Это была машина, изготовленная в соответствии с макетом, утвержденным АДД 3 сентября 1943. Первые серийные появились еще в декабре 1943. Двигатели вынесли на 145 мм вперед, расширили кабину и посадили л рядом, увеличили площадь крыла на 1.62 м, ВО на 1.38 м, ГО на 0.62 м. Размах центроплана вырос на 290 мм, а бомбоотсек был удлинен на 102 мм. Сначала ставили ВИШ-24, а затем АВ-5ЛВ-116. Носовую установку Торопова под 12.7 мм с 220 патронами заменили на НУ-134 шарового типа под 5 магазинов по 65 патронов. На фюзеляже сначала поставили ТКУМ-5, а потом ТУМ-5М с электроприводом по горизонту под ШВАК и боезапас 200 снарядов и ОПТ-3. В ЛУ вместо БТ с ручной перезарядкой поставили УБК с пневмоперезарядкой на 275 патронов. Вместо ПС-1 в качестве бомбардировочного прицела поставили ОПБ-1Р и ночной НКПБ-7. Баки довели до 6420 л керосина. Колеса поставили 1325х485 мм и 700х300 м (2865,10).</w:t>
      </w:r>
    </w:p>
    <w:p w14:paraId="2B2589A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Ви был Н.М.Кокорин, вл - В.В.Лисицын, а ш - Литвинчук (2865,10).</w:t>
      </w:r>
    </w:p>
    <w:p w14:paraId="5A1F3BB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439A99"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февраля 1944 г. был выполнен первый полет бомбардировщика Ер-2 с авиадвигателями АЧ-30Б на Иркутском авиазаводе (6395).</w:t>
      </w:r>
    </w:p>
    <w:p w14:paraId="6B8ED0B9"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0EA2DD6" w14:textId="77777777" w:rsidR="00B41B6B" w:rsidRPr="007224C3" w:rsidRDefault="00B41B6B"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15 февраля</w:t>
      </w:r>
      <w:r w:rsidRPr="007224C3">
        <w:rPr>
          <w:rFonts w:ascii="Times New Roman" w:hAnsi="Times New Roman"/>
          <w:color w:val="000000" w:themeColor="text1"/>
          <w:sz w:val="16"/>
          <w:szCs w:val="16"/>
        </w:rPr>
        <w:t xml:space="preserve"> 1944 году первый полет бомбардировщика Ер-2 с авиадизелями АЧ-30Б на Иркутском авиазаводе (15041).</w:t>
      </w:r>
    </w:p>
    <w:p w14:paraId="12ED427C" w14:textId="77777777" w:rsidR="00B41B6B" w:rsidRPr="007224C3" w:rsidRDefault="00B41B6B" w:rsidP="007224C3">
      <w:pPr>
        <w:spacing w:after="0" w:line="240" w:lineRule="auto"/>
        <w:jc w:val="both"/>
        <w:rPr>
          <w:rFonts w:ascii="Times New Roman" w:hAnsi="Times New Roman"/>
          <w:color w:val="000000" w:themeColor="text1"/>
          <w:sz w:val="16"/>
          <w:szCs w:val="16"/>
        </w:rPr>
      </w:pPr>
    </w:p>
    <w:p w14:paraId="331C5D6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февраля 1944 г. первый иркутский Ер-2/АЧ-30Б, сданный по сборке в январе 1944, поднялся в воздух. Испытания новой машины проводили заводские летчики-испытатели Н.С. Бушкевич, А.А. Холодов, П.И. Тихонов, В.М. Токарев. Самолет принимала государственная комиссия во главе с летчиком-испытателем ПИИ ВВС Кокориным, который отметил в своем рапорте, что руководство и коллектив завода с заданием ГКО справились и головная машина показала удовлетворительные результаты по летным и боевым качествам, а также по прочности конструкции.</w:t>
      </w:r>
    </w:p>
    <w:p w14:paraId="6238D1E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построили десять Ер-2 и 20 Ил-4, в марте - восемнадцать Ер-2 и пятнадцать Ил-4. В июле 1944 г. было построено тридцать Ер-2 параллельно с последними десятью Ил-4.</w:t>
      </w:r>
    </w:p>
    <w:p w14:paraId="38DA34D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сравнению со своим предшественником, дизельный образец Ер-2 внешне отличался более вытянутыми обводами фюзеляжа, роговой компенсацией рулей поворота, большими колесами, несколько измененной конструкцией жалюзей тоннельных радиаторов и, соответственно, крыла (на носках консолей появились характерные "стаканчики").</w:t>
      </w:r>
    </w:p>
    <w:p w14:paraId="2629B10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Иркутский вариант Ер-2 имел увеличенную взлетную массу и площадь крыла, усиленное оборонительное вооружение, состоявшее из двух крупнокалиберных пулеметов УБТ и УБК, а также пушки ШВАК на ту- рельной установке ТУМ-5. Максимальная бомбовая нагрузка возросла до 5000 кг, сделав Ер-2 самым мощным двухмоторным бомбардировщиком отечественной постройки.</w:t>
      </w:r>
    </w:p>
    <w:p w14:paraId="28788D9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Строившиеся серийные самолеты отнюдь не были "близнецами" и между собой. Так длительная и сложная технология изготовления эллипсовидной носовой части и, соответственно, жесткие требования к сборочной оснастке и геометрическим контурам, побудили конструкторов изменить обводы штурманской кабины.</w:t>
      </w:r>
    </w:p>
    <w:p w14:paraId="33DBC67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Был разработан вариант "со спрямленным носом", позволявший, в частности, упростить и ускорить изготовление остекления. Аэродинамика при этом не ухудшилась. Комплект упрощенных стапелей запустили в производство параллельно с уже использующейся старой оснасткой. Самолет, в зависимости от того, на какую линию сборки он попадал, мог получить разные носовые части. Таким образом, различия в иркутских машинах, которые можно видеть на сохранившихся фотоснимках, объясняются этой причиной, а не временем выпуска и серией машины. Например, уже среди первых 22 иркутских Ер-2 с симметричной кабиной пилота, часть самолетов имела новую носовую часть.</w:t>
      </w:r>
    </w:p>
    <w:p w14:paraId="1159DEC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Поскольку еще в начале войны опыт использования самолетов ДБ-3, Ил-4 и Ер-2 в составе АДД выявил необходимость иметь в составе экипажа дальнего бомбардировщика второго летчика, возобновление производства Ер-2 дало благоприятную возможность реализовать это требование. Ранее были разработаны два варианта двухместной кабины: в первом - летчики сидели друг за другом по схеме "таtщем ", под доработа11 - ным ассиметричным фонарем, во втором - их кресла стояли рядом, боковое обзорное остекление правого борта устранялось и самолет оснащался классическим фонарем (этот вариант В.Г. Ермолаев и утвердил 18 ноября 1943 г.).</w:t>
      </w:r>
    </w:p>
    <w:p w14:paraId="3FC47BC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Варианты самолета имели, соответственно, наименования Ер-1 и Ер-2, что вносило путаницу в директивную конструкторско-тех- нологическую документацию. В производстве еще находился исходный "одноместный" бомбардировщик Ер-2, а службам подготовки уже стала поступать документация на "двухместный" Ер-1, потом на "двухместный" Ер-2!</w:t>
      </w:r>
    </w:p>
    <w:p w14:paraId="6FCDEC1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Когда же дошла директива "о приостановке работ над самолетом "Ер-1", руководство завода, для наведения ясности "в обозначении производимых изделий", временно ввело для "внутреннего пользования" свои индексы. Исходный "одноместный" бомбардировщик с асимметричной кабиной именовался Ер-2/1, новый, "двухместный" - Ер-2/2. Позже, когда в производстве остался только самолет с двумя летчиками, надобность в этих индексах отпала и вернулись к первоначальному обозначению Ер-2.</w:t>
      </w:r>
    </w:p>
    <w:p w14:paraId="49E81EC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Бомбардировщик нравился строевым летчикам за его удобную кабину с отличным обзором, хорошую устойчивость и легкость в управлении, высокую живучесть, значительно возросшие возможности стрелкового и бомбового вооружения. Иркутские "Ермошки" интенсивно использовались на северо-западном и прибалтийском направлениях. В частности, своими крупнокалиберными бомбами они внесли существенный вклад в успех штурма Кенигсберга.</w:t>
      </w:r>
    </w:p>
    <w:p w14:paraId="68F1971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Дизельные двигатели АЧ-ЗОБ, официально считавшимися вполне надежными для серии, не переставали подбрасывать проблемы. Выходила из строя масляная система, прогорали поршневые кольца и т.п. Но зачастую причинами отказов были отнюдь не конструктивные дефекты. Для многих двигателей использовался металл, содержащий некачественные заменители дефицитных легирующих добавок, доставлявшихся из-за рубежа. "Эрзац" не выдерживал иногда даже штатной "напряженной" работы, не говоря уже о форсированных режимах... Это явилось причиной некоторых аварий на перегонах Ер-2 в строевые части, а также ряда вынужденных посадок на заводских испытаниях.</w:t>
      </w:r>
    </w:p>
    <w:p w14:paraId="173DAB7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Например, на опытной машине, оснащенной флюгерными винтами, предполагалось проверить их работу при отключаемых двигателях. Новый вариант Ер-2 испытывал экипаж завода № 39 - летчик И.П. Яшин, контрольный бортмеханик П.Ф. Крейсик и бортрадист В.И. Кишкин. В воздухе левый дизель "решил играть честно" - масляная система вышла из строя и флюгировать винт пришлось в реальной аварийной ситуации. С одним работающим двигателем возникла резкая тряска и экипажу была дана команда покинуть самолет, но Яшин и Крейсик, предупредив радиста, дотянули все-таки до заводского аэродрома (12037).</w:t>
      </w:r>
    </w:p>
    <w:p w14:paraId="33E8B05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00C253A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февраля 1944 на заводские испытания поступил Ла-5 с М-82ФН и 3 20 мм пушками Б-20 (2902,30</w:t>
      </w:r>
    </w:p>
    <w:p w14:paraId="3A0FD0CF"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BCA765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февраля 1944 начали стрельбы в воздухе на трехточечном Ла-5. Через 4 дня машину приняли в НИИ ВВС, где летчики А.Г. Кубышкин и Г.А. Модестов приступили к Госиспытани</w:t>
      </w:r>
      <w:r w:rsidRPr="007224C3">
        <w:rPr>
          <w:rFonts w:ascii="Times New Roman" w:hAnsi="Times New Roman"/>
          <w:color w:val="000000" w:themeColor="text1"/>
          <w:sz w:val="16"/>
          <w:szCs w:val="16"/>
        </w:rPr>
        <w:softHyphen/>
        <w:t>ям. Акт по их итогам подписали в первой декаде мар</w:t>
      </w:r>
      <w:r w:rsidRPr="007224C3">
        <w:rPr>
          <w:rFonts w:ascii="Times New Roman" w:hAnsi="Times New Roman"/>
          <w:color w:val="000000" w:themeColor="text1"/>
          <w:sz w:val="16"/>
          <w:szCs w:val="16"/>
        </w:rPr>
        <w:softHyphen/>
        <w:t>та. Постановление ГКО № 5404с по «трехточечному» Ла-5 вышло 15 марта, когда нужды в нем уже не было. С тремя Б-20 серийно выпускались лишь Ла-7, да и то не все (11123).</w:t>
      </w:r>
    </w:p>
    <w:p w14:paraId="7129833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9C0955" w14:textId="77777777" w:rsidR="00B41B6B" w:rsidRPr="007224C3" w:rsidRDefault="00B41B6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февраля 1944 г. самолёт «3Б» (т.е. вооружённый тремя новыми 20-мм синхронными пушками Б-20), или «эталон 1944 года» поступил в НИИ ВВС, где показал прекрасные лётные характеристики: максимальную скорость у земли на номинале — 597 км/ч, на 2-й границе высотности 6000 м — 680 км/ч, время набора 5000 м — 4,45 мин.</w:t>
      </w:r>
    </w:p>
    <w:p w14:paraId="5D1EE3CF" w14:textId="77777777" w:rsidR="00B41B6B" w:rsidRPr="007224C3" w:rsidRDefault="00B41B6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Тем самым было доказано, что и при серийном АШ-82ФН можно иметь такие же лёт</w:t>
      </w:r>
      <w:r w:rsidRPr="007224C3">
        <w:rPr>
          <w:rFonts w:ascii="Times New Roman" w:hAnsi="Times New Roman"/>
          <w:color w:val="000000" w:themeColor="text1"/>
          <w:sz w:val="16"/>
          <w:szCs w:val="16"/>
        </w:rPr>
        <w:softHyphen/>
        <w:t>ные данные, как и у И-185 с более мощным М-71 и меньшей площадью крыла. Тем бо</w:t>
      </w:r>
      <w:r w:rsidRPr="007224C3">
        <w:rPr>
          <w:rFonts w:ascii="Times New Roman" w:hAnsi="Times New Roman"/>
          <w:color w:val="000000" w:themeColor="text1"/>
          <w:sz w:val="16"/>
          <w:szCs w:val="16"/>
        </w:rPr>
        <w:softHyphen/>
        <w:t>лее, что к 1944 г. работы завода № 19 по форсированному М-71Ф, получившему наименование АШ-72, сильно затянулись. Из-за поломок коленвала этот мотор никак не мог выйти за пределы 50-часовых испытаний (15829).</w:t>
      </w:r>
    </w:p>
    <w:p w14:paraId="0516658D" w14:textId="77777777" w:rsidR="00B41B6B" w:rsidRPr="007224C3" w:rsidRDefault="00B41B6B" w:rsidP="007224C3">
      <w:pPr>
        <w:spacing w:after="0" w:line="240" w:lineRule="auto"/>
        <w:jc w:val="both"/>
        <w:rPr>
          <w:rFonts w:ascii="Times New Roman" w:hAnsi="Times New Roman"/>
          <w:color w:val="000000" w:themeColor="text1"/>
          <w:sz w:val="16"/>
          <w:szCs w:val="16"/>
        </w:rPr>
      </w:pPr>
    </w:p>
    <w:p w14:paraId="4742948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15 февраля 1944 состояние опытного строительства на 21 заводе было следующим:</w:t>
      </w:r>
    </w:p>
    <w:p w14:paraId="60491C1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Внедрение металлических лонжеронов:</w:t>
      </w:r>
    </w:p>
    <w:p w14:paraId="6FC793C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Пущены в ход продольно-строгальный и фрезеные станки “Ньютон”. Начата строжка и фрезеровка полок лонжеронов из поковок завода “Серп и молот”. Собрано 4 комплекта консолей крыла из деталей завода № 381. Сборка лонжеронов идет медленно из-за большого количества технологических неувязок.</w:t>
      </w:r>
    </w:p>
    <w:p w14:paraId="567CB83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 стороны руководства завода внимания к внедрению металлических лонжеронов недостаточно. Цех за месяц не собрал ни одного лонжерона.</w:t>
      </w:r>
    </w:p>
    <w:p w14:paraId="09B50E0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Эталон 1944 дублер. М-83 еще не прибыл.ю Будет установлен М-82ФНА. Ведутся работы по облегчению на 100 кг. Облегчается средняя часть фюзеляжа от мотора до 5 шпангоута и устанавливается металлическая клетка - 35 кг., облегчается моторама - 10 кг. Облегчаются капоты - 15 кг.</w:t>
      </w:r>
    </w:p>
    <w:p w14:paraId="01E8AEF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Ла-7 М-71 дублер.. Начата подготовительные работы к переделкам. Заборник в/радиатора будет перенесен в носки центроплана. Будет установлена специальная заслонка на всасывающий патрубок, которые будут открываться при уборке шасси.</w:t>
      </w:r>
    </w:p>
    <w:p w14:paraId="568BF91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Доводки серийных с-тов:</w:t>
      </w:r>
    </w:p>
    <w:p w14:paraId="52DFC14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целью устранения вываливания костыляв полете испытавается ограничитель на поворот кардана шторок.</w:t>
      </w:r>
    </w:p>
    <w:p w14:paraId="6D0663B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Начата разработка серийных чертежей на эталон 1944 г. Срок выпуска чертежей - 1 марта.</w:t>
      </w:r>
    </w:p>
    <w:p w14:paraId="292C095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Проведение статиспытания. В ЦАГИ испытывался Ла-5 ФН № 0206 эталон 1944 дублерю Установлен мотор М-82ФНА, т.к. мотор М-83 не прибыл</w:t>
      </w:r>
    </w:p>
    <w:p w14:paraId="196E5E4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Ла-5 М-71 - начата переделка с-та по типу эталона 1944. Срок - к 1 апреля (738,15).</w:t>
      </w:r>
    </w:p>
    <w:p w14:paraId="3A240C0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ED7B6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февраля 1944 года самолет Ла-5 «3Б» (т.е. вооруженнный тремя новыми 20 мм синхронными пушками Б-20), или «эта</w:t>
      </w:r>
      <w:r w:rsidRPr="007224C3">
        <w:rPr>
          <w:rFonts w:ascii="Times New Roman" w:hAnsi="Times New Roman"/>
          <w:color w:val="000000" w:themeColor="text1"/>
          <w:sz w:val="16"/>
          <w:szCs w:val="16"/>
        </w:rPr>
        <w:softHyphen/>
        <w:t>лон 1944 года» поступил в НИИ ВВС, где показал пре</w:t>
      </w:r>
      <w:r w:rsidRPr="007224C3">
        <w:rPr>
          <w:rFonts w:ascii="Times New Roman" w:hAnsi="Times New Roman"/>
          <w:color w:val="000000" w:themeColor="text1"/>
          <w:sz w:val="16"/>
          <w:szCs w:val="16"/>
        </w:rPr>
        <w:softHyphen/>
        <w:t>красные летные характеристики: мак</w:t>
      </w:r>
      <w:r w:rsidRPr="007224C3">
        <w:rPr>
          <w:rFonts w:ascii="Times New Roman" w:hAnsi="Times New Roman"/>
          <w:color w:val="000000" w:themeColor="text1"/>
          <w:sz w:val="16"/>
          <w:szCs w:val="16"/>
        </w:rPr>
        <w:softHyphen/>
        <w:t>симальную скорость у земли на но</w:t>
      </w:r>
      <w:r w:rsidRPr="007224C3">
        <w:rPr>
          <w:rFonts w:ascii="Times New Roman" w:hAnsi="Times New Roman"/>
          <w:color w:val="000000" w:themeColor="text1"/>
          <w:sz w:val="16"/>
          <w:szCs w:val="16"/>
        </w:rPr>
        <w:softHyphen/>
        <w:t>минале - 597 км/ч, на 2-й границе высотности 6000 м - 680 км/ч, время набора 5000 м - 4,45 мин. Еще в начале 1943 года, пос</w:t>
      </w:r>
      <w:r w:rsidRPr="007224C3">
        <w:rPr>
          <w:rFonts w:ascii="Times New Roman" w:hAnsi="Times New Roman"/>
          <w:color w:val="000000" w:themeColor="text1"/>
          <w:sz w:val="16"/>
          <w:szCs w:val="16"/>
        </w:rPr>
        <w:softHyphen/>
        <w:t>ле проведения тщательных исследо</w:t>
      </w:r>
      <w:r w:rsidRPr="007224C3">
        <w:rPr>
          <w:rFonts w:ascii="Times New Roman" w:hAnsi="Times New Roman"/>
          <w:color w:val="000000" w:themeColor="text1"/>
          <w:sz w:val="16"/>
          <w:szCs w:val="16"/>
        </w:rPr>
        <w:softHyphen/>
        <w:t>ваний Ла-5 в аэродинамических тру</w:t>
      </w:r>
      <w:r w:rsidRPr="007224C3">
        <w:rPr>
          <w:rFonts w:ascii="Times New Roman" w:hAnsi="Times New Roman"/>
          <w:color w:val="000000" w:themeColor="text1"/>
          <w:sz w:val="16"/>
          <w:szCs w:val="16"/>
        </w:rPr>
        <w:softHyphen/>
        <w:t>бах, ЦАГИ выдал ОКБ Лавочкина це</w:t>
      </w:r>
      <w:r w:rsidRPr="007224C3">
        <w:rPr>
          <w:rFonts w:ascii="Times New Roman" w:hAnsi="Times New Roman"/>
          <w:color w:val="000000" w:themeColor="text1"/>
          <w:sz w:val="16"/>
          <w:szCs w:val="16"/>
        </w:rPr>
        <w:softHyphen/>
        <w:t>лый ряд рекомендаций по неисполь</w:t>
      </w:r>
      <w:r w:rsidRPr="007224C3">
        <w:rPr>
          <w:rFonts w:ascii="Times New Roman" w:hAnsi="Times New Roman"/>
          <w:color w:val="000000" w:themeColor="text1"/>
          <w:sz w:val="16"/>
          <w:szCs w:val="16"/>
        </w:rPr>
        <w:softHyphen/>
        <w:t>зованным резервам в области аэро</w:t>
      </w:r>
      <w:r w:rsidRPr="007224C3">
        <w:rPr>
          <w:rFonts w:ascii="Times New Roman" w:hAnsi="Times New Roman"/>
          <w:color w:val="000000" w:themeColor="text1"/>
          <w:sz w:val="16"/>
          <w:szCs w:val="16"/>
        </w:rPr>
        <w:softHyphen/>
        <w:t>динамики. Часть из них успели вне</w:t>
      </w:r>
      <w:r w:rsidRPr="007224C3">
        <w:rPr>
          <w:rFonts w:ascii="Times New Roman" w:hAnsi="Times New Roman"/>
          <w:color w:val="000000" w:themeColor="text1"/>
          <w:sz w:val="16"/>
          <w:szCs w:val="16"/>
        </w:rPr>
        <w:softHyphen/>
        <w:t>дрить в серию тогда же на Ла-5ФН: это улучшенные всасывающий и вых</w:t>
      </w:r>
      <w:r w:rsidRPr="007224C3">
        <w:rPr>
          <w:rFonts w:ascii="Times New Roman" w:hAnsi="Times New Roman"/>
          <w:color w:val="000000" w:themeColor="text1"/>
          <w:sz w:val="16"/>
          <w:szCs w:val="16"/>
        </w:rPr>
        <w:softHyphen/>
        <w:t>лопные патрубки. Но на самом деле рекомендации ЦАГИ были го</w:t>
      </w:r>
      <w:r w:rsidRPr="007224C3">
        <w:rPr>
          <w:rFonts w:ascii="Times New Roman" w:hAnsi="Times New Roman"/>
          <w:color w:val="000000" w:themeColor="text1"/>
          <w:sz w:val="16"/>
          <w:szCs w:val="16"/>
        </w:rPr>
        <w:softHyphen/>
        <w:t>раздо шире. Так было показа</w:t>
      </w:r>
      <w:r w:rsidRPr="007224C3">
        <w:rPr>
          <w:rFonts w:ascii="Times New Roman" w:hAnsi="Times New Roman"/>
          <w:color w:val="000000" w:themeColor="text1"/>
          <w:sz w:val="16"/>
          <w:szCs w:val="16"/>
        </w:rPr>
        <w:softHyphen/>
        <w:t>но, что расположение маслора-диатора под фюзеляжем (за 5-м шпангоутом) в специально спрофилированном туннеле снижает его лобовое сопротив</w:t>
      </w:r>
      <w:r w:rsidRPr="007224C3">
        <w:rPr>
          <w:rFonts w:ascii="Times New Roman" w:hAnsi="Times New Roman"/>
          <w:color w:val="000000" w:themeColor="text1"/>
          <w:sz w:val="16"/>
          <w:szCs w:val="16"/>
        </w:rPr>
        <w:softHyphen/>
        <w:t>ление в 2 раза и обеспечива</w:t>
      </w:r>
      <w:r w:rsidRPr="007224C3">
        <w:rPr>
          <w:rFonts w:ascii="Times New Roman" w:hAnsi="Times New Roman"/>
          <w:color w:val="000000" w:themeColor="text1"/>
          <w:sz w:val="16"/>
          <w:szCs w:val="16"/>
        </w:rPr>
        <w:softHyphen/>
        <w:t>ет расход воздуха через ради</w:t>
      </w:r>
      <w:r w:rsidRPr="007224C3">
        <w:rPr>
          <w:rFonts w:ascii="Times New Roman" w:hAnsi="Times New Roman"/>
          <w:color w:val="000000" w:themeColor="text1"/>
          <w:sz w:val="16"/>
          <w:szCs w:val="16"/>
        </w:rPr>
        <w:softHyphen/>
        <w:t>атор на 25-30% больший, чем при серийном варианте. Кроме того, для устранения преждевременного срыва обте</w:t>
      </w:r>
      <w:r w:rsidRPr="007224C3">
        <w:rPr>
          <w:rFonts w:ascii="Times New Roman" w:hAnsi="Times New Roman"/>
          <w:color w:val="000000" w:themeColor="text1"/>
          <w:sz w:val="16"/>
          <w:szCs w:val="16"/>
        </w:rPr>
        <w:softHyphen/>
        <w:t>кания с центроплана и улуч</w:t>
      </w:r>
      <w:r w:rsidRPr="007224C3">
        <w:rPr>
          <w:rFonts w:ascii="Times New Roman" w:hAnsi="Times New Roman"/>
          <w:color w:val="000000" w:themeColor="text1"/>
          <w:sz w:val="16"/>
          <w:szCs w:val="16"/>
        </w:rPr>
        <w:softHyphen/>
        <w:t>шения маневренных качеств самолета было рекомендовано изменить конструкцию боковых створок капота, восстановить ранее принятый при проекти</w:t>
      </w:r>
      <w:r w:rsidRPr="007224C3">
        <w:rPr>
          <w:rFonts w:ascii="Times New Roman" w:hAnsi="Times New Roman"/>
          <w:color w:val="000000" w:themeColor="text1"/>
          <w:sz w:val="16"/>
          <w:szCs w:val="16"/>
        </w:rPr>
        <w:softHyphen/>
        <w:t>ровании профиль NАСА-230 в центроплане путем спрямления носка и улучшить сопряжение крыла с фюзеляжем увеличе</w:t>
      </w:r>
      <w:r w:rsidRPr="007224C3">
        <w:rPr>
          <w:rFonts w:ascii="Times New Roman" w:hAnsi="Times New Roman"/>
          <w:color w:val="000000" w:themeColor="text1"/>
          <w:sz w:val="16"/>
          <w:szCs w:val="16"/>
        </w:rPr>
        <w:softHyphen/>
        <w:t>нием зализа. При изменении створок капота необходимо было увеличить расстояние между створками и верхней поверхностью крыла. Посколь</w:t>
      </w:r>
      <w:r w:rsidRPr="007224C3">
        <w:rPr>
          <w:rFonts w:ascii="Times New Roman" w:hAnsi="Times New Roman"/>
          <w:color w:val="000000" w:themeColor="text1"/>
          <w:sz w:val="16"/>
          <w:szCs w:val="16"/>
        </w:rPr>
        <w:softHyphen/>
        <w:t>ку эти изменения требовали больших переделок, весной 1943 года их оставили на будущее. В течение 1943 года ОКБ получи</w:t>
      </w:r>
      <w:r w:rsidRPr="007224C3">
        <w:rPr>
          <w:rFonts w:ascii="Times New Roman" w:hAnsi="Times New Roman"/>
          <w:color w:val="000000" w:themeColor="text1"/>
          <w:sz w:val="16"/>
          <w:szCs w:val="16"/>
        </w:rPr>
        <w:softHyphen/>
        <w:t>ло дополнительные «посылы» для улуч</w:t>
      </w:r>
      <w:r w:rsidRPr="007224C3">
        <w:rPr>
          <w:rFonts w:ascii="Times New Roman" w:hAnsi="Times New Roman"/>
          <w:color w:val="000000" w:themeColor="text1"/>
          <w:sz w:val="16"/>
          <w:szCs w:val="16"/>
        </w:rPr>
        <w:softHyphen/>
        <w:t>шения конструкции. Так, при испыта</w:t>
      </w:r>
      <w:r w:rsidRPr="007224C3">
        <w:rPr>
          <w:rFonts w:ascii="Times New Roman" w:hAnsi="Times New Roman"/>
          <w:color w:val="000000" w:themeColor="text1"/>
          <w:sz w:val="16"/>
          <w:szCs w:val="16"/>
        </w:rPr>
        <w:softHyphen/>
        <w:t>ниях Ла-5ФН в ЛИИ и НИИ ВВС, а также и при войсковых испытаниях на фронте было отмечено, что тепло</w:t>
      </w:r>
      <w:r w:rsidRPr="007224C3">
        <w:rPr>
          <w:rFonts w:ascii="Times New Roman" w:hAnsi="Times New Roman"/>
          <w:color w:val="000000" w:themeColor="text1"/>
          <w:sz w:val="16"/>
          <w:szCs w:val="16"/>
        </w:rPr>
        <w:softHyphen/>
        <w:t>вой режим мотора М-82ФН заметно ниже, благодаря испарению топлива непосредственно в цилиндрах, по срав</w:t>
      </w:r>
      <w:r w:rsidRPr="007224C3">
        <w:rPr>
          <w:rFonts w:ascii="Times New Roman" w:hAnsi="Times New Roman"/>
          <w:color w:val="000000" w:themeColor="text1"/>
          <w:sz w:val="16"/>
          <w:szCs w:val="16"/>
        </w:rPr>
        <w:softHyphen/>
        <w:t xml:space="preserve">нению с М-82Ф, а </w:t>
      </w:r>
      <w:r w:rsidRPr="007224C3">
        <w:rPr>
          <w:rFonts w:ascii="Times New Roman" w:hAnsi="Times New Roman"/>
          <w:color w:val="000000" w:themeColor="text1"/>
          <w:sz w:val="16"/>
          <w:szCs w:val="16"/>
        </w:rPr>
        <w:lastRenderedPageBreak/>
        <w:t>также и предельно допустимыми температурами головок и масла. Боковые створки на Ла-5ФН летчиками в полетах даже летом по</w:t>
      </w:r>
      <w:r w:rsidRPr="007224C3">
        <w:rPr>
          <w:rFonts w:ascii="Times New Roman" w:hAnsi="Times New Roman"/>
          <w:color w:val="000000" w:themeColor="text1"/>
          <w:sz w:val="16"/>
          <w:szCs w:val="16"/>
        </w:rPr>
        <w:softHyphen/>
        <w:t>чти не открывались. Естественным выводом из этого стало решение уменьшить эти боковые створки, од</w:t>
      </w:r>
      <w:r w:rsidRPr="007224C3">
        <w:rPr>
          <w:rFonts w:ascii="Times New Roman" w:hAnsi="Times New Roman"/>
          <w:color w:val="000000" w:themeColor="text1"/>
          <w:sz w:val="16"/>
          <w:szCs w:val="16"/>
        </w:rPr>
        <w:softHyphen/>
        <w:t>новременно отодвинув их от поверх</w:t>
      </w:r>
      <w:r w:rsidRPr="007224C3">
        <w:rPr>
          <w:rFonts w:ascii="Times New Roman" w:hAnsi="Times New Roman"/>
          <w:color w:val="000000" w:themeColor="text1"/>
          <w:sz w:val="16"/>
          <w:szCs w:val="16"/>
        </w:rPr>
        <w:softHyphen/>
        <w:t>ности крыла. Критерием уменьшения стала предельно допустимая темпе</w:t>
      </w:r>
      <w:r w:rsidRPr="007224C3">
        <w:rPr>
          <w:rFonts w:ascii="Times New Roman" w:hAnsi="Times New Roman"/>
          <w:color w:val="000000" w:themeColor="text1"/>
          <w:sz w:val="16"/>
          <w:szCs w:val="16"/>
        </w:rPr>
        <w:softHyphen/>
        <w:t>ратура головок цилиндров - 250 °С. Вместо сдвоенных и строенных вых</w:t>
      </w:r>
      <w:r w:rsidRPr="007224C3">
        <w:rPr>
          <w:rFonts w:ascii="Times New Roman" w:hAnsi="Times New Roman"/>
          <w:color w:val="000000" w:themeColor="text1"/>
          <w:sz w:val="16"/>
          <w:szCs w:val="16"/>
        </w:rPr>
        <w:softHyphen/>
        <w:t>лопных патрубков были применены индивидуальные - на каждый цилиндр свой патрубок. Патрубки выходили по 7 с каждой стороны. Таким образом, наряду с улучше</w:t>
      </w:r>
      <w:r w:rsidRPr="007224C3">
        <w:rPr>
          <w:rFonts w:ascii="Times New Roman" w:hAnsi="Times New Roman"/>
          <w:color w:val="000000" w:themeColor="text1"/>
          <w:sz w:val="16"/>
          <w:szCs w:val="16"/>
        </w:rPr>
        <w:softHyphen/>
        <w:t>нием аэродинамики были выбраны и все остающиеся резервы ВМГ: сни</w:t>
      </w:r>
      <w:r w:rsidRPr="007224C3">
        <w:rPr>
          <w:rFonts w:ascii="Times New Roman" w:hAnsi="Times New Roman"/>
          <w:color w:val="000000" w:themeColor="text1"/>
          <w:sz w:val="16"/>
          <w:szCs w:val="16"/>
        </w:rPr>
        <w:softHyphen/>
        <w:t>жен расход воздуха на охлаждение мотора и уменьшены до минимума потери мощности на выхлопе. Кроме этого, был установлен винт ВИШ-105 с лопастями В-4, имеющими новый «махоустойчивый» профиль и повы</w:t>
      </w:r>
      <w:r w:rsidRPr="007224C3">
        <w:rPr>
          <w:rFonts w:ascii="Times New Roman" w:hAnsi="Times New Roman"/>
          <w:color w:val="000000" w:themeColor="text1"/>
          <w:sz w:val="16"/>
          <w:szCs w:val="16"/>
        </w:rPr>
        <w:softHyphen/>
        <w:t>шенный КПД. Наконец, по требованию летчиков вместо одного всасывающего патруб</w:t>
      </w:r>
      <w:r w:rsidRPr="007224C3">
        <w:rPr>
          <w:rFonts w:ascii="Times New Roman" w:hAnsi="Times New Roman"/>
          <w:color w:val="000000" w:themeColor="text1"/>
          <w:sz w:val="16"/>
          <w:szCs w:val="16"/>
        </w:rPr>
        <w:softHyphen/>
        <w:t>ка сверху капота, мешающего обзору, были установлены два всасывающих патрубка в носках центроплана, хотя это мероприятие и повышало потери давления на всасывании. Таким образом было доказано, что и при серийном моторе АШ-82ФН можно иметь такие же летные дан</w:t>
      </w:r>
      <w:r w:rsidRPr="007224C3">
        <w:rPr>
          <w:rFonts w:ascii="Times New Roman" w:hAnsi="Times New Roman"/>
          <w:color w:val="000000" w:themeColor="text1"/>
          <w:sz w:val="16"/>
          <w:szCs w:val="16"/>
        </w:rPr>
        <w:softHyphen/>
        <w:t>ные, как и у И-185 с более мощным М-71 и меньшей площадью крыла. Тем более, что к 1944 году работы завода №19 по форсированному М-71Ф, получившему наименование АШ-72, сильно затянулись. Из-за по</w:t>
      </w:r>
      <w:r w:rsidRPr="007224C3">
        <w:rPr>
          <w:rFonts w:ascii="Times New Roman" w:hAnsi="Times New Roman"/>
          <w:color w:val="000000" w:themeColor="text1"/>
          <w:sz w:val="16"/>
          <w:szCs w:val="16"/>
        </w:rPr>
        <w:softHyphen/>
        <w:t>ломок коленвала этот мотор никак не мог выйти за пределы 50-часовых испытаний (10714).</w:t>
      </w:r>
    </w:p>
    <w:p w14:paraId="18A2D2C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7C6838" w14:textId="77777777" w:rsidR="00B41B6B" w:rsidRPr="007224C3" w:rsidRDefault="00B41B6B"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15 февраля</w:t>
      </w:r>
      <w:r w:rsidRPr="007224C3">
        <w:rPr>
          <w:rFonts w:ascii="Times New Roman" w:hAnsi="Times New Roman"/>
          <w:color w:val="000000" w:themeColor="text1"/>
          <w:sz w:val="16"/>
          <w:szCs w:val="16"/>
        </w:rPr>
        <w:t xml:space="preserve"> в 1944 году на государственные испытания в НИИ ВВС поступил </w:t>
      </w:r>
      <w:hyperlink r:id="rId45" w:tgtFrame="_blank" w:history="1">
        <w:r w:rsidRPr="007224C3">
          <w:rPr>
            <w:rFonts w:ascii="Times New Roman" w:hAnsi="Times New Roman"/>
            <w:color w:val="000000" w:themeColor="text1"/>
            <w:sz w:val="16"/>
            <w:szCs w:val="16"/>
          </w:rPr>
          <w:t xml:space="preserve">«Ла-5» </w:t>
        </w:r>
      </w:hyperlink>
      <w:r w:rsidRPr="007224C3">
        <w:rPr>
          <w:rFonts w:ascii="Times New Roman" w:hAnsi="Times New Roman"/>
          <w:color w:val="000000" w:themeColor="text1"/>
          <w:sz w:val="16"/>
          <w:szCs w:val="16"/>
        </w:rPr>
        <w:t>"эталон 1944 г." с мотором «М-82ФН» и тремя синхронными пушками конструкции М.Е.Березина «Б-20» калибра 20 мм с боекомплектом 450 снарядов. Ведущими по машине были инженер В.П.Алексеенко и летчик-испытатель А.Г.Кубышкин. Ичпытания, начавшиеся 16 февраля показали, что максимальная скорость у земли возросла до 597 км/ч, на первой границе высотности (3250 м) - до 670 км/ч, а на второй (6000 м) - до 680 км/ч. Вертикальная скорость у земли составила 21 м/с, подъём на высоту 4000 м занимал 3,4 минуты. Управлять самолётом стало легче, хотя из-за отсутствия триммера руля поворота лётчику приходилось прикладывать значительные усилия, чтобы удержать истребитель от разворота. Температура в кабине пилота, доходившая порой до 40ОС, приносила немалые неудобства. Из-за плохой вентиляции постоянно чувствовалось присутствие отработанных газов и запах горелой резины (15041).</w:t>
      </w:r>
    </w:p>
    <w:p w14:paraId="74B6FCF7" w14:textId="77777777" w:rsidR="00B41B6B" w:rsidRPr="007224C3" w:rsidRDefault="00B41B6B" w:rsidP="007224C3">
      <w:pPr>
        <w:spacing w:after="0" w:line="240" w:lineRule="auto"/>
        <w:jc w:val="both"/>
        <w:rPr>
          <w:rFonts w:ascii="Times New Roman" w:hAnsi="Times New Roman"/>
          <w:color w:val="000000" w:themeColor="text1"/>
          <w:sz w:val="16"/>
          <w:szCs w:val="16"/>
        </w:rPr>
      </w:pPr>
    </w:p>
    <w:p w14:paraId="2B137AA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февраля 1944 года вышел приказ НКАП</w:t>
      </w:r>
    </w:p>
    <w:p w14:paraId="25553A4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Утвердить директором завода № 33 Вигура Г.Т. (8925)</w:t>
      </w:r>
    </w:p>
    <w:p w14:paraId="51AA697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февраля 1944 года на базе разрушенного во время оккупации завода № 35 МАП в Смоленске в соответствии с приказом НКАП был организован завод № 475.</w:t>
      </w:r>
    </w:p>
    <w:p w14:paraId="119C339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Оборудование и рабочая сила завода № 35 в июле 1941 года были эвакуированы в Куйбышев и влиты в завод № 1 МАП.</w:t>
      </w:r>
    </w:p>
    <w:p w14:paraId="30735D3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1944 года по 1948 год завод занимался ремонтом самолетов типа Ла-7, ЯК-10.</w:t>
      </w:r>
    </w:p>
    <w:p w14:paraId="54CC573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1948 году завод освоил и начал серийный выпуск аэродромного оборудования (тормозные колодки, стремянки).</w:t>
      </w:r>
    </w:p>
    <w:p w14:paraId="3E3A5DA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1949 году завод освоил серийное производство планеров А-2 конструкции Антонова.</w:t>
      </w:r>
    </w:p>
    <w:p w14:paraId="6026A70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1950 году завод полностью перешел на выпуск изделий аэродромного оборудования.</w:t>
      </w:r>
    </w:p>
    <w:p w14:paraId="45E1B01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мая 1954 года СМ выпустил распоряжение № 5472рс об изменении производственного профиля завода и переоборудовании его под выпуск самолетов-снарядов.</w:t>
      </w:r>
    </w:p>
    <w:p w14:paraId="7E2C932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Согласно приказа МАП № 352 от 3 июня 1954 года заводу было дано задание по подготовке производства изделия “10ХН” гл. конструктора Челомея (9610).</w:t>
      </w:r>
    </w:p>
    <w:p w14:paraId="0F163F9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9290F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февраля 1944 года ГУВ ГМЧ КА выдало СКБ при московским заводе “Компрессор” ТТТ на разработку подвижной установки для стрельбы снарядами М-31. Опытный образец был разработан в феврале-марте 1944 года. В качестве базы 12-зарядной установка БМ-31 было выбрано шасси грузового автомобиля повышенной проходимости серии Studebaker. В конструкции метательной установки были использованы узлы и детали нормализованной установки М-13Н, кроме направляющих и фермы. В качестве направляющих использовались укупорки снарядов М-31, которые укладывались на специальную ферму. После проведения успешных полигонных и ходовых испытаний установка была принята на вооружение Красной Армии. В дальнейшем она была заменена более совершенной установкой БМ-31-12 с сотовыми направляющими на модифицированном шасси грузового автомобиля серии Studebaker, разработанной в феврале-марте 1944 года по инициативе главного конструктора Бармина В.П. За исключением моноблока направляющих и электрооборудования остальные узлы установки были унифицированы с узлами боевой нормализованной установки М-13Н. Испытания, в частности, проводились на Софринском полигоне [70].</w:t>
      </w:r>
    </w:p>
    <w:p w14:paraId="08CF6EE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Преимуществами установки БМ-31-12 по сравнению со станками М30 и М31 были:</w:t>
      </w:r>
    </w:p>
    <w:p w14:paraId="18DD74D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дальнейшем установка использовалась для пуска реактивных снарядов М-13УК калибра 132 мм. В октябре 1944 года в соответствии с ТТТ ГУВ ГМЧ КА специалисты СКБ разработали вставку для стрельбы трофейными немецкими снарядами калибра 300 мм с помощью установок БМ-31-12. вставка надевалась на снаряд и легко вставлялась вместе со снарядом в направляющую через ее казенную часть. Вставки были предохранены стопорными устройствами от перемещения при стрельбе и от выпадения после заряжания (11772).</w:t>
      </w:r>
    </w:p>
    <w:p w14:paraId="02D86AC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4384DB69" w14:textId="77777777" w:rsidR="00B41B6B" w:rsidRPr="007224C3" w:rsidRDefault="00B41B6B" w:rsidP="007224C3">
      <w:pPr>
        <w:spacing w:after="0" w:line="240" w:lineRule="auto"/>
        <w:jc w:val="both"/>
        <w:rPr>
          <w:rFonts w:ascii="Times New Roman" w:hAnsi="Times New Roman"/>
          <w:color w:val="000000" w:themeColor="text1"/>
          <w:sz w:val="16"/>
          <w:szCs w:val="16"/>
        </w:rPr>
      </w:pPr>
      <w:r w:rsidRPr="007224C3">
        <w:rPr>
          <w:rFonts w:ascii="Times New Roman" w:eastAsia="Times New Roman" w:hAnsi="Times New Roman"/>
          <w:color w:val="000000" w:themeColor="text1"/>
          <w:sz w:val="16"/>
          <w:szCs w:val="16"/>
        </w:rPr>
        <w:t>15 февраля 1944 года ГУВ ГМЧ КА выдало СКБ при московским заводе “Компрессор” ТТТ на разработку подвижной установки для стрельбы снарядами М-31. Опытный образец был разработан в феврале-марте 1944 года. В качестве базы 12-зарядной установка БМ-31 было выбрано шасси грузового автомобиля повышенной проходимости серии Studebaker. В конструкции метательной установки были использованы узлы и детали нормализованной установки М-13Н, кроме направляющих и фермы. В качестве направляющих использовались укупорки снарядов М-31, которые укладывались на специальную ферму. После проведения успешных полигонных и ходовых испытаний установка была принята на вооружение Красной Армии. В дальнейшем она была заменена более совершенной установкой БМ-31-12 с сотовыми направляющими на доработанном шасси грузового автомобиля серии Studebaker, разработанной в феврале-марте 1944 года по инициативе главного конструктора Бармина В.П. За исключением моноблока направляющих и электрооборудования остальные узлы установки были унифицированы с узлами боевой нормализованной установки М-13Н. Испытания, в частности, проводились на Софринском полигоне. Постановлением ГОКО</w:t>
      </w:r>
      <w:r w:rsidRPr="007224C3">
        <w:rPr>
          <w:rFonts w:ascii="Times New Roman" w:hAnsi="Times New Roman"/>
          <w:color w:val="000000" w:themeColor="text1"/>
          <w:sz w:val="16"/>
          <w:szCs w:val="16"/>
        </w:rPr>
        <w:t xml:space="preserve"> от 9 июня 1944 года "О принятии на вооружение Красной Армии боевых установок М-31 и перевооружении 12-ти дивизионов М-31" на вооружение Гвардейских минометных частей Красной Армии была принята двенадцатизарядная установка М-31 конструкции Бармина, смонтированная на автошасси для стрельбы снарядами М-31 улучшенной кучности. Постановлением также устанавливался план производства боевых установок М-31 на 2-й квартал 1944 года в количестве 250 штук. В приложении к постановлению указывается ее марка - БМ-31-12.</w:t>
      </w:r>
    </w:p>
    <w:p w14:paraId="5AE22ECD" w14:textId="77777777" w:rsidR="00B41B6B" w:rsidRPr="007224C3" w:rsidRDefault="00B41B6B" w:rsidP="007224C3">
      <w:pPr>
        <w:spacing w:after="0" w:line="240" w:lineRule="auto"/>
        <w:jc w:val="both"/>
        <w:rPr>
          <w:rFonts w:ascii="Times New Roman" w:eastAsia="Times New Roman" w:hAnsi="Times New Roman"/>
          <w:color w:val="000000" w:themeColor="text1"/>
          <w:sz w:val="16"/>
          <w:szCs w:val="16"/>
        </w:rPr>
      </w:pPr>
      <w:r w:rsidRPr="007224C3">
        <w:rPr>
          <w:rFonts w:ascii="Times New Roman" w:eastAsia="Times New Roman" w:hAnsi="Times New Roman"/>
          <w:color w:val="000000" w:themeColor="text1"/>
          <w:sz w:val="16"/>
          <w:szCs w:val="16"/>
        </w:rPr>
        <w:t>Преимуществами установки БМ-31-12 по сравнению со станками М30 и М31 были:</w:t>
      </w:r>
    </w:p>
    <w:p w14:paraId="322A4F48" w14:textId="77777777" w:rsidR="00B41B6B" w:rsidRPr="007224C3" w:rsidRDefault="00B41B6B" w:rsidP="007224C3">
      <w:pPr>
        <w:spacing w:after="0" w:line="240" w:lineRule="auto"/>
        <w:jc w:val="both"/>
        <w:rPr>
          <w:rFonts w:ascii="Times New Roman" w:eastAsia="Times New Roman" w:hAnsi="Times New Roman"/>
          <w:color w:val="000000" w:themeColor="text1"/>
          <w:sz w:val="16"/>
          <w:szCs w:val="16"/>
        </w:rPr>
      </w:pPr>
      <w:r w:rsidRPr="007224C3">
        <w:rPr>
          <w:rFonts w:ascii="Times New Roman" w:eastAsia="Times New Roman" w:hAnsi="Times New Roman"/>
          <w:color w:val="000000" w:themeColor="text1"/>
          <w:sz w:val="16"/>
          <w:szCs w:val="16"/>
        </w:rPr>
        <w:t>- маневренность (возможность пережвижения);</w:t>
      </w:r>
    </w:p>
    <w:p w14:paraId="1C304AB6" w14:textId="77777777" w:rsidR="00B41B6B" w:rsidRPr="007224C3" w:rsidRDefault="00B41B6B" w:rsidP="007224C3">
      <w:pPr>
        <w:spacing w:after="0" w:line="240" w:lineRule="auto"/>
        <w:jc w:val="both"/>
        <w:rPr>
          <w:rFonts w:ascii="Times New Roman" w:eastAsia="Times New Roman" w:hAnsi="Times New Roman"/>
          <w:color w:val="000000" w:themeColor="text1"/>
          <w:sz w:val="16"/>
          <w:szCs w:val="16"/>
        </w:rPr>
      </w:pPr>
      <w:r w:rsidRPr="007224C3">
        <w:rPr>
          <w:rFonts w:ascii="Times New Roman" w:eastAsia="Times New Roman" w:hAnsi="Times New Roman"/>
          <w:color w:val="000000" w:themeColor="text1"/>
          <w:sz w:val="16"/>
          <w:szCs w:val="16"/>
        </w:rPr>
        <w:t>- возможность стрельбы в диапазоне углов возвышения от +10 до +45°;</w:t>
      </w:r>
    </w:p>
    <w:p w14:paraId="03AEDB86" w14:textId="77777777" w:rsidR="00B41B6B" w:rsidRPr="007224C3" w:rsidRDefault="00B41B6B" w:rsidP="007224C3">
      <w:pPr>
        <w:spacing w:after="0" w:line="240" w:lineRule="auto"/>
        <w:jc w:val="both"/>
        <w:rPr>
          <w:rFonts w:ascii="Times New Roman" w:eastAsia="Times New Roman" w:hAnsi="Times New Roman"/>
          <w:color w:val="000000" w:themeColor="text1"/>
          <w:sz w:val="16"/>
          <w:szCs w:val="16"/>
        </w:rPr>
      </w:pPr>
      <w:r w:rsidRPr="007224C3">
        <w:rPr>
          <w:rFonts w:ascii="Times New Roman" w:eastAsia="Times New Roman" w:hAnsi="Times New Roman"/>
          <w:color w:val="000000" w:themeColor="text1"/>
          <w:sz w:val="16"/>
          <w:szCs w:val="16"/>
        </w:rPr>
        <w:t>- лучшая кучность стрельбы;</w:t>
      </w:r>
    </w:p>
    <w:p w14:paraId="66284805" w14:textId="77777777" w:rsidR="00B41B6B" w:rsidRPr="007224C3" w:rsidRDefault="00B41B6B" w:rsidP="007224C3">
      <w:pPr>
        <w:spacing w:after="0" w:line="240" w:lineRule="auto"/>
        <w:jc w:val="both"/>
        <w:rPr>
          <w:rFonts w:ascii="Times New Roman" w:eastAsia="Times New Roman" w:hAnsi="Times New Roman"/>
          <w:color w:val="000000" w:themeColor="text1"/>
          <w:sz w:val="16"/>
          <w:szCs w:val="16"/>
        </w:rPr>
      </w:pPr>
      <w:r w:rsidRPr="007224C3">
        <w:rPr>
          <w:rFonts w:ascii="Times New Roman" w:eastAsia="Times New Roman" w:hAnsi="Times New Roman"/>
          <w:color w:val="000000" w:themeColor="text1"/>
          <w:sz w:val="16"/>
          <w:szCs w:val="16"/>
        </w:rPr>
        <w:t>- возможность выезда на позицию заряженной;</w:t>
      </w:r>
    </w:p>
    <w:p w14:paraId="325FC554" w14:textId="77777777" w:rsidR="00B41B6B" w:rsidRPr="007224C3" w:rsidRDefault="00B41B6B" w:rsidP="007224C3">
      <w:pPr>
        <w:spacing w:after="0" w:line="240" w:lineRule="auto"/>
        <w:jc w:val="both"/>
        <w:rPr>
          <w:rFonts w:ascii="Times New Roman" w:eastAsia="Times New Roman" w:hAnsi="Times New Roman"/>
          <w:color w:val="000000" w:themeColor="text1"/>
          <w:sz w:val="16"/>
          <w:szCs w:val="16"/>
        </w:rPr>
      </w:pPr>
      <w:r w:rsidRPr="007224C3">
        <w:rPr>
          <w:rFonts w:ascii="Times New Roman" w:eastAsia="Times New Roman" w:hAnsi="Times New Roman"/>
          <w:color w:val="000000" w:themeColor="text1"/>
          <w:sz w:val="16"/>
          <w:szCs w:val="16"/>
        </w:rPr>
        <w:t>- более удобное и быстрое заряжание при меньшем числе номеров расчета;</w:t>
      </w:r>
    </w:p>
    <w:p w14:paraId="1F21F55E" w14:textId="77777777" w:rsidR="00B41B6B" w:rsidRPr="007224C3" w:rsidRDefault="00B41B6B" w:rsidP="007224C3">
      <w:pPr>
        <w:spacing w:after="0" w:line="240" w:lineRule="auto"/>
        <w:jc w:val="both"/>
        <w:rPr>
          <w:rFonts w:ascii="Times New Roman" w:eastAsia="Times New Roman" w:hAnsi="Times New Roman"/>
          <w:color w:val="000000" w:themeColor="text1"/>
          <w:sz w:val="16"/>
          <w:szCs w:val="16"/>
        </w:rPr>
      </w:pPr>
      <w:r w:rsidRPr="007224C3">
        <w:rPr>
          <w:rFonts w:ascii="Times New Roman" w:eastAsia="Times New Roman" w:hAnsi="Times New Roman"/>
          <w:color w:val="000000" w:themeColor="text1"/>
          <w:sz w:val="16"/>
          <w:szCs w:val="16"/>
        </w:rPr>
        <w:t>- исключение схода снаряда с увлечением за собой направляющих укупорок [102].</w:t>
      </w:r>
    </w:p>
    <w:p w14:paraId="74CEE66B" w14:textId="77777777" w:rsidR="00B41B6B" w:rsidRPr="007224C3" w:rsidRDefault="00B41B6B" w:rsidP="007224C3">
      <w:pPr>
        <w:spacing w:after="0" w:line="240" w:lineRule="auto"/>
        <w:jc w:val="both"/>
        <w:rPr>
          <w:rFonts w:ascii="Times New Roman" w:eastAsia="Times New Roman" w:hAnsi="Times New Roman"/>
          <w:color w:val="000000" w:themeColor="text1"/>
          <w:sz w:val="16"/>
          <w:szCs w:val="16"/>
        </w:rPr>
      </w:pPr>
      <w:r w:rsidRPr="007224C3">
        <w:rPr>
          <w:rFonts w:ascii="Times New Roman" w:eastAsia="Times New Roman" w:hAnsi="Times New Roman"/>
          <w:color w:val="000000" w:themeColor="text1"/>
          <w:sz w:val="16"/>
          <w:szCs w:val="16"/>
        </w:rPr>
        <w:t>В дальнейшем установка использовалась для пуска реактивных снарядов М-13УК калибра 132 мм (15981).</w:t>
      </w:r>
    </w:p>
    <w:p w14:paraId="406A9DD1" w14:textId="77777777" w:rsidR="00B41B6B" w:rsidRPr="007224C3" w:rsidRDefault="00B41B6B" w:rsidP="007224C3">
      <w:pPr>
        <w:spacing w:after="0" w:line="240" w:lineRule="auto"/>
        <w:jc w:val="both"/>
        <w:rPr>
          <w:rFonts w:ascii="Times New Roman" w:eastAsia="Times New Roman" w:hAnsi="Times New Roman"/>
          <w:color w:val="000000" w:themeColor="text1"/>
          <w:sz w:val="16"/>
          <w:szCs w:val="16"/>
        </w:rPr>
      </w:pPr>
    </w:p>
    <w:p w14:paraId="55353A02"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75FF4BD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E0CA31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февраля 1944 г. вышел ПРИКАЗ НКТП, НАРОДНОГО КОМИССАРА ВООРУЖЕНИЯ, КОМАНДУЮЩЕГО БТ и МВ КА И НАЧАЛЬНИКА ГАУ КА О ПОЛИГОННЫХ ИСПЫТАНИЯХ ПУШКИ Д-25 С КЛИНОВЫМ ЗАТВОРОМ В ТАНКЕ ИС-2 №022</w:t>
      </w:r>
    </w:p>
    <w:p w14:paraId="25DA51B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целях проверки надежности конструкции пушки Д-25 с клиновым затвором, изготовленной в соответствии с Постановлением ГОКО №4479 от 31.10.1943 г., ПРИКАЗЫВАЕМ:</w:t>
      </w:r>
    </w:p>
    <w:p w14:paraId="437D026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Провести полигонные испытания опытного образца 122-мм пушки Д-25, установленной в танк ИС.</w:t>
      </w:r>
    </w:p>
    <w:p w14:paraId="2DD273C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Для проведения испытаний назначаем комиссию в составе: Председатель</w:t>
      </w:r>
    </w:p>
    <w:p w14:paraId="7DB14A6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ст. помощник начальника 1 отдела УСА ГБТУ КА инженер-подполковник т. Куприянов С.Е. Члены:</w:t>
      </w:r>
    </w:p>
    <w:p w14:paraId="15801D7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от ГБТУ КА — инженер-майор т. Афанасенков</w:t>
      </w:r>
    </w:p>
    <w:p w14:paraId="6EF76C8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от ГАУ КА — ст. инженер 2 отдела АК ГАУ КА инженер-капитан т. Коновалов П.В.</w:t>
      </w:r>
    </w:p>
    <w:p w14:paraId="250B01A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от НКТП — инженер т. Рыбин, инженер т. Шнейдман</w:t>
      </w:r>
    </w:p>
    <w:p w14:paraId="324C689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от НКВ — инженер-майор т. Сергеев И.А.</w:t>
      </w:r>
    </w:p>
    <w:p w14:paraId="385671A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Испытания стрельбой провести на Гороховецком АНИОПе по программе АК ГАУ. В програм</w:t>
      </w:r>
      <w:r w:rsidRPr="007224C3">
        <w:rPr>
          <w:rFonts w:ascii="Times New Roman" w:hAnsi="Times New Roman"/>
          <w:color w:val="000000" w:themeColor="text1"/>
          <w:sz w:val="16"/>
          <w:szCs w:val="16"/>
        </w:rPr>
        <w:softHyphen/>
        <w:t>ме предусмотреть стрельбы с места и с хода.</w:t>
      </w:r>
    </w:p>
    <w:p w14:paraId="67520D7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Организацию испытаний возложить на начальника Гороховецкого АНИОПа.</w:t>
      </w:r>
    </w:p>
    <w:p w14:paraId="51DBA89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Полигонные испытания провести в течение 5 суток по прибытию танка ИС-2 с пушкой Д-25 на полигон.</w:t>
      </w:r>
    </w:p>
    <w:p w14:paraId="72DF3CD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Начальнику УСА ГБТУ КА обеспечить испытания:</w:t>
      </w:r>
    </w:p>
    <w:p w14:paraId="792EB0D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горючесмазочными материалами из расчета на 200 км пробега.</w:t>
      </w:r>
    </w:p>
    <w:p w14:paraId="0F4412B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доставку танка на ГАНИОП.</w:t>
      </w:r>
    </w:p>
    <w:p w14:paraId="418D9BE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Начальнику УСБ ГАУ обеспечить артиллерийские испытания 122-мм выстрелами согласно программы испытаний.</w:t>
      </w:r>
    </w:p>
    <w:p w14:paraId="70A33FC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7. Отчет и заключение по результатам испытаний председателю комиссии представить в 3-х дневный срок после окончания испытаний в 6 экземплярах для ГОКО, командующего БТ и МВ КА, НКТП, НКВ, ГАУ КА и ГБТУ КА.</w:t>
      </w:r>
    </w:p>
    <w:p w14:paraId="41D2214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Народный комиссар танковой промышленности Малышев</w:t>
      </w:r>
    </w:p>
    <w:p w14:paraId="3553DAB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Народный комиссар вооружения СССР Устинов</w:t>
      </w:r>
    </w:p>
    <w:p w14:paraId="6CF984B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Командующий БТ и МВ КА генерал-полковник танковых войск Федоренко</w:t>
      </w:r>
    </w:p>
    <w:p w14:paraId="3B65B7E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ГАУ КА генерал-полковник артиллерии Яковлев</w:t>
      </w:r>
    </w:p>
    <w:p w14:paraId="484CD4C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38. Оп. 11369. Д. 483. Л. 36-37. Копия (11403).</w:t>
      </w:r>
    </w:p>
    <w:p w14:paraId="468C01E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0430ECEF" w14:textId="77777777" w:rsidR="00282955" w:rsidRPr="007224C3" w:rsidRDefault="0028295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февраля 1944 года самоходная установка С-51 впервые была упомянута в письме Устинова Яковлеву, причем речь шла уже о готовой ма</w:t>
      </w:r>
      <w:r w:rsidRPr="007224C3">
        <w:rPr>
          <w:rFonts w:ascii="Times New Roman" w:hAnsi="Times New Roman"/>
          <w:color w:val="000000" w:themeColor="text1"/>
          <w:sz w:val="16"/>
          <w:szCs w:val="16"/>
        </w:rPr>
        <w:softHyphen/>
        <w:t>шине:</w:t>
      </w:r>
    </w:p>
    <w:p w14:paraId="63FE3848" w14:textId="77777777" w:rsidR="00282955" w:rsidRPr="007224C3" w:rsidRDefault="00282955" w:rsidP="007224C3">
      <w:pPr>
        <w:pStyle w:val="Bodytext141"/>
        <w:shd w:val="clear" w:color="auto" w:fill="auto"/>
        <w:spacing w:line="240" w:lineRule="auto"/>
        <w:ind w:firstLine="0"/>
        <w:jc w:val="both"/>
        <w:rPr>
          <w:i w:val="0"/>
          <w:color w:val="000000" w:themeColor="text1"/>
          <w:sz w:val="16"/>
          <w:szCs w:val="16"/>
        </w:rPr>
      </w:pPr>
      <w:r w:rsidRPr="007224C3">
        <w:rPr>
          <w:i w:val="0"/>
          <w:color w:val="000000" w:themeColor="text1"/>
          <w:sz w:val="16"/>
          <w:szCs w:val="16"/>
        </w:rPr>
        <w:t>«Сообщаю, что в ЦАКБ НКВ изготовлена самоходная установ</w:t>
      </w:r>
      <w:r w:rsidRPr="007224C3">
        <w:rPr>
          <w:i w:val="0"/>
          <w:color w:val="000000" w:themeColor="text1"/>
          <w:sz w:val="16"/>
          <w:szCs w:val="16"/>
        </w:rPr>
        <w:softHyphen/>
        <w:t xml:space="preserve">ка 203-мм гаубицы Б-4 на шасси танка </w:t>
      </w:r>
      <w:r w:rsidRPr="007224C3">
        <w:rPr>
          <w:i w:val="0"/>
          <w:color w:val="000000" w:themeColor="text1"/>
          <w:sz w:val="16"/>
          <w:szCs w:val="16"/>
          <w:lang w:val="en-US"/>
        </w:rPr>
        <w:t>KB</w:t>
      </w:r>
      <w:r w:rsidRPr="007224C3">
        <w:rPr>
          <w:i w:val="0"/>
          <w:color w:val="000000" w:themeColor="text1"/>
          <w:sz w:val="16"/>
          <w:szCs w:val="16"/>
        </w:rPr>
        <w:t xml:space="preserve"> (система С-51). Система «С-51» прошла заводские испытания стрельбою на полигоне завода №88 (при малых углах возвышения) и на Софринском артиллерийском полигоне НКБ (при больших углах возвышения). На заводских испы</w:t>
      </w:r>
      <w:r w:rsidRPr="007224C3">
        <w:rPr>
          <w:i w:val="0"/>
          <w:color w:val="000000" w:themeColor="text1"/>
          <w:sz w:val="16"/>
          <w:szCs w:val="16"/>
        </w:rPr>
        <w:softHyphen/>
        <w:t>таниях сделано 49 выстрелов. Система «С-51» заводские испытания стрельбой, а также пробегом, связанным с проведением испытаний, выдержала. При испытаниях скорострельность получена на 30% выше, нежели в системе «Б-4» на ее штатном лафете.</w:t>
      </w:r>
    </w:p>
    <w:p w14:paraId="2AC2097C" w14:textId="77777777" w:rsidR="00282955" w:rsidRPr="007224C3" w:rsidRDefault="00282955" w:rsidP="007224C3">
      <w:pPr>
        <w:pStyle w:val="Bodytext141"/>
        <w:shd w:val="clear" w:color="auto" w:fill="auto"/>
        <w:spacing w:line="240" w:lineRule="auto"/>
        <w:ind w:firstLine="0"/>
        <w:jc w:val="both"/>
        <w:rPr>
          <w:i w:val="0"/>
          <w:color w:val="000000" w:themeColor="text1"/>
          <w:sz w:val="16"/>
          <w:szCs w:val="16"/>
        </w:rPr>
      </w:pPr>
      <w:r w:rsidRPr="007224C3">
        <w:rPr>
          <w:i w:val="0"/>
          <w:color w:val="000000" w:themeColor="text1"/>
          <w:sz w:val="16"/>
          <w:szCs w:val="16"/>
        </w:rPr>
        <w:t>Перед подачей системы «С-51» на полигонные испытания ЦАКБ НКВ вносит в эту систему добавление, согласно указаний, полученных от Пред</w:t>
      </w:r>
      <w:r w:rsidRPr="007224C3">
        <w:rPr>
          <w:i w:val="0"/>
          <w:color w:val="000000" w:themeColor="text1"/>
          <w:sz w:val="16"/>
          <w:szCs w:val="16"/>
        </w:rPr>
        <w:softHyphen/>
        <w:t>седателя Артиллерийского Комитета — Генерал-лейтенанта Артилле</w:t>
      </w:r>
      <w:r w:rsidRPr="007224C3">
        <w:rPr>
          <w:i w:val="0"/>
          <w:color w:val="000000" w:themeColor="text1"/>
          <w:sz w:val="16"/>
          <w:szCs w:val="16"/>
        </w:rPr>
        <w:softHyphen/>
        <w:t>рии тов. Хохлова В. И. (устанавливается противопульный броневой щит).</w:t>
      </w:r>
    </w:p>
    <w:p w14:paraId="70F2A007" w14:textId="77777777" w:rsidR="00282955" w:rsidRPr="007224C3" w:rsidRDefault="00282955" w:rsidP="007224C3">
      <w:pPr>
        <w:pStyle w:val="Bodytext141"/>
        <w:shd w:val="clear" w:color="auto" w:fill="auto"/>
        <w:spacing w:line="240" w:lineRule="auto"/>
        <w:ind w:firstLine="0"/>
        <w:jc w:val="both"/>
        <w:rPr>
          <w:i w:val="0"/>
          <w:color w:val="000000" w:themeColor="text1"/>
          <w:sz w:val="16"/>
          <w:szCs w:val="16"/>
        </w:rPr>
      </w:pPr>
      <w:r w:rsidRPr="007224C3">
        <w:rPr>
          <w:i w:val="0"/>
          <w:color w:val="000000" w:themeColor="text1"/>
          <w:sz w:val="16"/>
          <w:szCs w:val="16"/>
        </w:rPr>
        <w:t>Прошу Вашего указания о проведении полигонных испытаний систе</w:t>
      </w:r>
      <w:r w:rsidRPr="007224C3">
        <w:rPr>
          <w:i w:val="0"/>
          <w:color w:val="000000" w:themeColor="text1"/>
          <w:sz w:val="16"/>
          <w:szCs w:val="16"/>
        </w:rPr>
        <w:softHyphen/>
        <w:t>мы С-51. Эти полигонные испытания желательно провести на Софрин- ском артиллерийском полигоне НКБ ввиду отсутствия на Гороховецком АНИОПе подъемных средств, необходимых для разборки системы перед испытаниями и после испытаний.</w:t>
      </w:r>
    </w:p>
    <w:p w14:paraId="26F21F69" w14:textId="77777777" w:rsidR="00282955" w:rsidRPr="007224C3" w:rsidRDefault="00282955" w:rsidP="007224C3">
      <w:pPr>
        <w:pStyle w:val="Bodytext141"/>
        <w:shd w:val="clear" w:color="auto" w:fill="auto"/>
        <w:spacing w:line="240" w:lineRule="auto"/>
        <w:ind w:firstLine="0"/>
        <w:jc w:val="both"/>
        <w:rPr>
          <w:i w:val="0"/>
          <w:color w:val="000000" w:themeColor="text1"/>
          <w:sz w:val="16"/>
          <w:szCs w:val="16"/>
        </w:rPr>
      </w:pPr>
      <w:r w:rsidRPr="007224C3">
        <w:rPr>
          <w:i w:val="0"/>
          <w:color w:val="000000" w:themeColor="text1"/>
          <w:sz w:val="16"/>
          <w:szCs w:val="16"/>
        </w:rPr>
        <w:t>Таковая разборка может быть проведена в цехах ЦАКБ НКВ.</w:t>
      </w:r>
    </w:p>
    <w:p w14:paraId="31ABC428" w14:textId="77777777" w:rsidR="00282955" w:rsidRPr="007224C3" w:rsidRDefault="00282955" w:rsidP="007224C3">
      <w:pPr>
        <w:pStyle w:val="Bodytext141"/>
        <w:shd w:val="clear" w:color="auto" w:fill="auto"/>
        <w:spacing w:line="240" w:lineRule="auto"/>
        <w:ind w:firstLine="0"/>
        <w:jc w:val="both"/>
        <w:rPr>
          <w:i w:val="0"/>
          <w:color w:val="000000" w:themeColor="text1"/>
          <w:sz w:val="16"/>
          <w:szCs w:val="16"/>
        </w:rPr>
      </w:pPr>
      <w:r w:rsidRPr="007224C3">
        <w:rPr>
          <w:i w:val="0"/>
          <w:color w:val="000000" w:themeColor="text1"/>
          <w:sz w:val="16"/>
          <w:szCs w:val="16"/>
        </w:rPr>
        <w:t>Программу полигонных испытаний, а также порядок проведения этих испытаний, который будет намечен Вами, просим сообщить.</w:t>
      </w:r>
    </w:p>
    <w:p w14:paraId="2590F12C" w14:textId="77777777" w:rsidR="00282955" w:rsidRPr="007224C3" w:rsidRDefault="00282955" w:rsidP="007224C3">
      <w:pPr>
        <w:pStyle w:val="Bodytext141"/>
        <w:shd w:val="clear" w:color="auto" w:fill="auto"/>
        <w:spacing w:line="240" w:lineRule="auto"/>
        <w:ind w:firstLine="0"/>
        <w:jc w:val="both"/>
        <w:rPr>
          <w:i w:val="0"/>
          <w:color w:val="000000" w:themeColor="text1"/>
          <w:sz w:val="16"/>
          <w:szCs w:val="16"/>
        </w:rPr>
      </w:pPr>
      <w:r w:rsidRPr="007224C3">
        <w:rPr>
          <w:i w:val="0"/>
          <w:color w:val="000000" w:themeColor="text1"/>
          <w:sz w:val="16"/>
          <w:szCs w:val="16"/>
        </w:rPr>
        <w:t>Дополнительно сообщаю, что при разработке проект самохода С-51 ЦАКБ НКВ предусматривало также установку на этом же шасси 152-мм пушки БР-2.</w:t>
      </w:r>
    </w:p>
    <w:p w14:paraId="4480F921" w14:textId="77777777" w:rsidR="00282955" w:rsidRPr="007224C3" w:rsidRDefault="0028295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Согласно договоренности с Вами, мы ожидаем получение системы БР-2 в ЦАКБ для изготовления опытного образца самоходной установки этой пушки. Танк </w:t>
      </w:r>
      <w:r w:rsidRPr="007224C3">
        <w:rPr>
          <w:rFonts w:ascii="Times New Roman" w:hAnsi="Times New Roman"/>
          <w:color w:val="000000" w:themeColor="text1"/>
          <w:sz w:val="16"/>
          <w:szCs w:val="16"/>
          <w:lang w:val="en-US"/>
        </w:rPr>
        <w:t>KB</w:t>
      </w:r>
      <w:r w:rsidRPr="007224C3">
        <w:rPr>
          <w:rFonts w:ascii="Times New Roman" w:hAnsi="Times New Roman"/>
          <w:color w:val="000000" w:themeColor="text1"/>
          <w:sz w:val="16"/>
          <w:szCs w:val="16"/>
        </w:rPr>
        <w:t xml:space="preserve"> для изготовления этого самохода в ЦАКБ НКВ име</w:t>
      </w:r>
      <w:r w:rsidRPr="007224C3">
        <w:rPr>
          <w:rFonts w:ascii="Times New Roman" w:hAnsi="Times New Roman"/>
          <w:color w:val="000000" w:themeColor="text1"/>
          <w:sz w:val="16"/>
          <w:szCs w:val="16"/>
        </w:rPr>
        <w:softHyphen/>
        <w:t>ется» (17484).</w:t>
      </w:r>
    </w:p>
    <w:p w14:paraId="22E24028" w14:textId="77777777" w:rsidR="00282955" w:rsidRPr="007224C3" w:rsidRDefault="00282955" w:rsidP="007224C3">
      <w:pPr>
        <w:spacing w:after="0" w:line="240" w:lineRule="auto"/>
        <w:jc w:val="both"/>
        <w:rPr>
          <w:rFonts w:ascii="Times New Roman" w:hAnsi="Times New Roman"/>
          <w:color w:val="000000" w:themeColor="text1"/>
          <w:sz w:val="16"/>
          <w:szCs w:val="16"/>
        </w:rPr>
      </w:pPr>
    </w:p>
    <w:p w14:paraId="5CC3F7D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ФЕВРАЛЯ 1944 ГОДА ЗАКОНЧИЛИСЬ ВОЙСКОВЫЕ ИСПЫТАНИя ДЕСАНТНЫХ БРОНЕАВТОМОБИЛЕЙ БА-64 И БА-64 Б, КОТОРЫЕ ПРОХОДИЛИ С 20 ЯНВАРЯ ПО</w:t>
      </w:r>
    </w:p>
    <w:p w14:paraId="65083E4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основании распоряжения начальника ГБТУ КА за №1167348с от 12 ноября 1943 года в 7-м гвардейском Нежинском механизированном корпусе проведены войсковые испытания десант</w:t>
      </w:r>
      <w:r w:rsidRPr="007224C3">
        <w:rPr>
          <w:rFonts w:ascii="Times New Roman" w:hAnsi="Times New Roman"/>
          <w:color w:val="000000" w:themeColor="text1"/>
          <w:sz w:val="16"/>
          <w:szCs w:val="16"/>
        </w:rPr>
        <w:softHyphen/>
        <w:t>ных бронеавтомобилей БА-64 с целью:</w:t>
      </w:r>
    </w:p>
    <w:p w14:paraId="084B4DE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Проверить удобство размещения экипажа, прочность и надежность работы бронетранспорте</w:t>
      </w:r>
      <w:r w:rsidRPr="007224C3">
        <w:rPr>
          <w:rFonts w:ascii="Times New Roman" w:hAnsi="Times New Roman"/>
          <w:color w:val="000000" w:themeColor="text1"/>
          <w:sz w:val="16"/>
          <w:szCs w:val="16"/>
        </w:rPr>
        <w:softHyphen/>
        <w:t>ра и способность его буксировать 45-мм противотанковую пушку.</w:t>
      </w:r>
    </w:p>
    <w:p w14:paraId="4BF8F57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Выяснить целесообразность принятия на вооружение Красной Армии десантного бронеавто</w:t>
      </w:r>
      <w:r w:rsidRPr="007224C3">
        <w:rPr>
          <w:rFonts w:ascii="Times New Roman" w:hAnsi="Times New Roman"/>
          <w:color w:val="000000" w:themeColor="text1"/>
          <w:sz w:val="16"/>
          <w:szCs w:val="16"/>
        </w:rPr>
        <w:softHyphen/>
        <w:t>мобиля БА-64.</w:t>
      </w:r>
    </w:p>
    <w:p w14:paraId="28ED4F1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войсковые испытания были представлены три десантных бронеавтомобиля, из них два БА-64 (с узкой колеей) и один БА-64-Б (с широкой колеей).</w:t>
      </w:r>
    </w:p>
    <w:p w14:paraId="3300DB8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Испытания</w:t>
      </w:r>
    </w:p>
    <w:p w14:paraId="42F3D67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Десантные бронеавтомобили были испытаны пробегом на 500 км, из которых 200 км по шоссе и 300 км по проселку плохого качества (начало февраля - ранняя весна). Испытания про</w:t>
      </w:r>
      <w:r w:rsidRPr="007224C3">
        <w:rPr>
          <w:rFonts w:ascii="Times New Roman" w:hAnsi="Times New Roman"/>
          <w:color w:val="000000" w:themeColor="text1"/>
          <w:sz w:val="16"/>
          <w:szCs w:val="16"/>
        </w:rPr>
        <w:softHyphen/>
        <w:t>водились с экипажем 5 человек (водитель и четыре автоматчика) в зимнем обмундировании и полном боевом снаряжении. Каждая машина буксировала 45-мм противотанковую пушку без зарядного ящика на расстояние 200 км (100 км по шоссе и 100 км по проселку).</w:t>
      </w:r>
    </w:p>
    <w:p w14:paraId="1F78559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боевых действиях десантные бронеавтомобили не были, так как корпус находится в резерве.</w:t>
      </w:r>
    </w:p>
    <w:p w14:paraId="6677ABE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Результаты испытания</w:t>
      </w:r>
    </w:p>
    <w:p w14:paraId="180AFCB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За все время пробега, как по шоссе, так и по проселку, десантный бронеавтомобиль с широкой колеей шел лучше десантного бронеавтомобиля с узкой колеей. На неровностях и косогорах, а также при поворо</w:t>
      </w:r>
      <w:r w:rsidRPr="007224C3">
        <w:rPr>
          <w:rFonts w:ascii="Times New Roman" w:hAnsi="Times New Roman"/>
          <w:color w:val="000000" w:themeColor="text1"/>
          <w:sz w:val="16"/>
          <w:szCs w:val="16"/>
        </w:rPr>
        <w:softHyphen/>
        <w:t>тах на проселке ширококолейный бронеавтомобиль вел себя устойчивее узкоколейного. При наличии глу</w:t>
      </w:r>
      <w:r w:rsidRPr="007224C3">
        <w:rPr>
          <w:rFonts w:ascii="Times New Roman" w:hAnsi="Times New Roman"/>
          <w:color w:val="000000" w:themeColor="text1"/>
          <w:sz w:val="16"/>
          <w:szCs w:val="16"/>
        </w:rPr>
        <w:softHyphen/>
        <w:t>бокой дорожной колеи или дорожных выбоин, а также на косогорах узкоколейный бронеавтомобиль имел опасность опрокидывания, поэтому замедлял скорость или делал остановки. Ширококолейный десантный бронеавтомобиль этих недостатков относительно узкоколейного десантного бронеавтомобиля не имел.</w:t>
      </w:r>
    </w:p>
    <w:p w14:paraId="788E922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Буксировка 45-мм противотанковой пушки без зарядного ящика десантным бронеавтомоби</w:t>
      </w:r>
      <w:r w:rsidRPr="007224C3">
        <w:rPr>
          <w:rFonts w:ascii="Times New Roman" w:hAnsi="Times New Roman"/>
          <w:color w:val="000000" w:themeColor="text1"/>
          <w:sz w:val="16"/>
          <w:szCs w:val="16"/>
        </w:rPr>
        <w:softHyphen/>
        <w:t>лем БА-64 Б по шоссе вполне удовлетворительна. Бронеавтомобиль шел на 3-4 передаче и редко на 1-2 передаче. Буксировка же пушки по проселку затруднительна, движение совершалось на 1-2 передаче и редко на 3-й передаче. Из-за низкого расположения прицепного крюка на бронеавтомо</w:t>
      </w:r>
      <w:r w:rsidRPr="007224C3">
        <w:rPr>
          <w:rFonts w:ascii="Times New Roman" w:hAnsi="Times New Roman"/>
          <w:color w:val="000000" w:themeColor="text1"/>
          <w:sz w:val="16"/>
          <w:szCs w:val="16"/>
        </w:rPr>
        <w:softHyphen/>
        <w:t>биле были случаи, что пушка сошниками задевала за грунт, в результате чего получались рывки.</w:t>
      </w:r>
    </w:p>
    <w:p w14:paraId="10891A6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Размещение автоматчиков в корпусе десантного бронеавтомобиля неудовлетворительное. При посадке 4-х человек в зимнем обмундировании и полном боевом снаряжении, бойцы не в состоянии даже повернуться. Выход перевозимой команды автоматчиков через боковые дверцы до выхода води</w:t>
      </w:r>
      <w:r w:rsidRPr="007224C3">
        <w:rPr>
          <w:rFonts w:ascii="Times New Roman" w:hAnsi="Times New Roman"/>
          <w:color w:val="000000" w:themeColor="text1"/>
          <w:sz w:val="16"/>
          <w:szCs w:val="16"/>
        </w:rPr>
        <w:softHyphen/>
        <w:t>теля из машины невозможен и даже при выходе водителя из машины очень неудобен и занимает много времени. Выход команды автоматчиков через верх корпуса также неудобен и кроме того автоматчики во время выхода через верх корпуса подвержены опасности пулеметного огня или снайпера противника.</w:t>
      </w:r>
    </w:p>
    <w:p w14:paraId="76C6218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ранении команды в корпусе, раненых очень трудно удалять из корпуса в обстановке обстрела.</w:t>
      </w:r>
    </w:p>
    <w:p w14:paraId="2A002E0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Расположение бензобака в задней части корпуса на половине его высоты очень опасно в пожар</w:t>
      </w:r>
      <w:r w:rsidRPr="007224C3">
        <w:rPr>
          <w:rFonts w:ascii="Times New Roman" w:hAnsi="Times New Roman"/>
          <w:color w:val="000000" w:themeColor="text1"/>
          <w:sz w:val="16"/>
          <w:szCs w:val="16"/>
        </w:rPr>
        <w:softHyphen/>
        <w:t>ном отношении. При попадании пули или осколка в бензобак и при возникновении пожара команда не в состоянии будет выйти из машины.</w:t>
      </w:r>
    </w:p>
    <w:p w14:paraId="63F2863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сравнении десантного бронеавтомобиля БА-64 Б с бронеавтомобилем БА-64 (с башней) и учиты</w:t>
      </w:r>
      <w:r w:rsidRPr="007224C3">
        <w:rPr>
          <w:rFonts w:ascii="Times New Roman" w:hAnsi="Times New Roman"/>
          <w:color w:val="000000" w:themeColor="text1"/>
          <w:sz w:val="16"/>
          <w:szCs w:val="16"/>
        </w:rPr>
        <w:softHyphen/>
        <w:t>вая опыт боевых действий корпуса нужно отметить, что БА-64 (с башней) для переброски автоматчиков непригоден. За время боевых действий 7-го гвардейского Нежинского мех. корпуса БА-64 (с башней) как боевые машины не использовались, а служили лишь средством связи офицеров командования. Для целей же разведки и связи десантный БА-64 Б более удобен по сравнению с БА-64 (с башней), так как в нем кроме офицера связи могут быть помещены два автоматчика или при необходимости перевезены боеприпасы.</w:t>
      </w:r>
    </w:p>
    <w:p w14:paraId="6A13538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Требования к десантному бронеавтомобилю (бронетранспортеру)</w:t>
      </w:r>
    </w:p>
    <w:p w14:paraId="0279403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Бронетранспортер, смонтированный на шасси ГАЗ-67 для целей разведки, связи, перевозки команды автоматчиков и боеприпасов в зоне ружейно-пулеметного огня и эвакуации раненых с поля боя, должен иметь следующую конструкцию: сидение водителя и управление должно быть слева. Рядом с водителем должно быть сидение командира машины. У командира машины должен быть смотровой прибор, как и у водителя. Корпус бронетранспортера должен быть прямым по типу американского бронетранспортера МЗ-А-1 или ромбовидный по типу немецкого бронетранспортера. Высота борта должна закрывать сидящего в корпусе человека среднего роста. В корпусе должны быть откидывающиеся сидения на 4 человека вдоль машины по два человека на сторону. Бронетранспортер должен иметь дверцы по бокам для входа водите</w:t>
      </w:r>
      <w:r w:rsidRPr="007224C3">
        <w:rPr>
          <w:rFonts w:ascii="Times New Roman" w:hAnsi="Times New Roman"/>
          <w:color w:val="000000" w:themeColor="text1"/>
          <w:sz w:val="16"/>
          <w:szCs w:val="16"/>
        </w:rPr>
        <w:softHyphen/>
        <w:t>ля и командира машины и дверцы сзади для выхода команды. Задние дверцы должны быть сделаны так, чтобы водитель мог закрыть их, не вставая с сидения. Бензобак должен быть установлен по типу автомобиля «Виллис». Дифференциалы переднего и заднего мостов должны быть защищены броневыми листами.</w:t>
      </w:r>
    </w:p>
    <w:p w14:paraId="00A01D8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десантном отделении должен быть установлен ручной пулемет с возможностью кругового обстрела и обстрела зенитных целей. Спинка сидения командира машины должна быть откидывающейся. Броня бронетранспортера должна защищать от простых пуль ружейно-пулеметного огня. Вес бронетранспор</w:t>
      </w:r>
      <w:r w:rsidRPr="007224C3">
        <w:rPr>
          <w:rFonts w:ascii="Times New Roman" w:hAnsi="Times New Roman"/>
          <w:color w:val="000000" w:themeColor="text1"/>
          <w:sz w:val="16"/>
          <w:szCs w:val="16"/>
        </w:rPr>
        <w:softHyphen/>
        <w:t>тера должен быть, возможно, меньшим и не превышать веса десантного бронеавтомобиля БА-64 Б.</w:t>
      </w:r>
    </w:p>
    <w:p w14:paraId="1998637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Выводы:</w:t>
      </w:r>
    </w:p>
    <w:p w14:paraId="062D6E6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Десантный бронеавтомобиль БА-64 Б (с широкой колеей) по сравнению с десантным броне</w:t>
      </w:r>
      <w:r w:rsidRPr="007224C3">
        <w:rPr>
          <w:rFonts w:ascii="Times New Roman" w:hAnsi="Times New Roman"/>
          <w:color w:val="000000" w:themeColor="text1"/>
          <w:sz w:val="16"/>
          <w:szCs w:val="16"/>
        </w:rPr>
        <w:softHyphen/>
        <w:t>автомобилем БА-64 (с узкой колеей) имеет лучшую проходимость, устойчивость на ходу и при пово</w:t>
      </w:r>
      <w:r w:rsidRPr="007224C3">
        <w:rPr>
          <w:rFonts w:ascii="Times New Roman" w:hAnsi="Times New Roman"/>
          <w:color w:val="000000" w:themeColor="text1"/>
          <w:sz w:val="16"/>
          <w:szCs w:val="16"/>
        </w:rPr>
        <w:softHyphen/>
        <w:t>ротах. Средняя скорость ширококолейного бронеавтомобиля по проселку выше.</w:t>
      </w:r>
    </w:p>
    <w:p w14:paraId="17F1FEE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Буксировать 45-мм противотанковую пушку без зарядного ящика десантным бронеавто</w:t>
      </w:r>
      <w:r w:rsidRPr="007224C3">
        <w:rPr>
          <w:rFonts w:ascii="Times New Roman" w:hAnsi="Times New Roman"/>
          <w:color w:val="000000" w:themeColor="text1"/>
          <w:sz w:val="16"/>
          <w:szCs w:val="16"/>
        </w:rPr>
        <w:softHyphen/>
        <w:t>мобилем БА-64 Б можно по шоссе, по разбитому проселку можно только в исключительных слу</w:t>
      </w:r>
      <w:r w:rsidRPr="007224C3">
        <w:rPr>
          <w:rFonts w:ascii="Times New Roman" w:hAnsi="Times New Roman"/>
          <w:color w:val="000000" w:themeColor="text1"/>
          <w:sz w:val="16"/>
          <w:szCs w:val="16"/>
        </w:rPr>
        <w:softHyphen/>
        <w:t>чаях на небольшие дистанции.</w:t>
      </w:r>
    </w:p>
    <w:p w14:paraId="39CCD5D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Десантный бронеавтомобиль БА-64 Б может быть использован для целей разведки, связи, может быть использован также для переброски автоматчиков и боеприпасов в зоне ружейно-пулеметного огня, но для этих целей он не отвечает и не удовлетворяет всем предъявляемым к нему требованиям.</w:t>
      </w:r>
    </w:p>
    <w:p w14:paraId="02356B8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Десантный бронеавтомобиль БА-64 Б для целей связи и разведки более удобен по сравнению с бронеавтомобилем БА-64 (с башней).</w:t>
      </w:r>
    </w:p>
    <w:p w14:paraId="566B5A8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Заключение</w:t>
      </w:r>
    </w:p>
    <w:p w14:paraId="6F7D059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Десантный бронеавтомобиль БА-64 Б в представленном виде принять на вооружение Красной Армии нецелесообразно.</w:t>
      </w:r>
    </w:p>
    <w:p w14:paraId="2A4CA88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Бронетранспортер на базе автомобиля ГАЗ-67 необходим такой, как указано в требованиях к бронетранспортеру.</w:t>
      </w:r>
    </w:p>
    <w:p w14:paraId="59EA3D4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Кроме того Красной Армии необходим бронетранспортер более мощный и с более повышен</w:t>
      </w:r>
      <w:r w:rsidRPr="007224C3">
        <w:rPr>
          <w:rFonts w:ascii="Times New Roman" w:hAnsi="Times New Roman"/>
          <w:color w:val="000000" w:themeColor="text1"/>
          <w:sz w:val="16"/>
          <w:szCs w:val="16"/>
        </w:rPr>
        <w:softHyphen/>
        <w:t>ной проходимостью по типу американского бронетранспортера М-2 и МЗ-А-1.</w:t>
      </w:r>
    </w:p>
    <w:p w14:paraId="0A3CA3E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Для окончательной дачи заключения о прочности предъявленного к войсковым испытаниям бронеавтомобиля необходимо произвести испытания машин в боевых условиях и испытать пробе</w:t>
      </w:r>
      <w:r w:rsidRPr="007224C3">
        <w:rPr>
          <w:rFonts w:ascii="Times New Roman" w:hAnsi="Times New Roman"/>
          <w:color w:val="000000" w:themeColor="text1"/>
          <w:sz w:val="16"/>
          <w:szCs w:val="16"/>
        </w:rPr>
        <w:softHyphen/>
        <w:t>гом на 10-15 тысяч километров, с последующим замером изношенных деталей.</w:t>
      </w:r>
    </w:p>
    <w:p w14:paraId="5368C51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Приложение: эскизы двух вариантов формы корпуса бронетранспортера на 4-х листах</w:t>
      </w:r>
      <w:r w:rsidRPr="007224C3">
        <w:rPr>
          <w:rFonts w:ascii="Times New Roman" w:hAnsi="Times New Roman"/>
          <w:color w:val="000000" w:themeColor="text1"/>
          <w:sz w:val="16"/>
          <w:szCs w:val="16"/>
          <w:vertAlign w:val="superscript"/>
        </w:rPr>
        <w:t>1</w:t>
      </w:r>
    </w:p>
    <w:p w14:paraId="755DB39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Комиссия:</w:t>
      </w:r>
    </w:p>
    <w:p w14:paraId="26C0409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Пом. командира 7 гвардейского Нежинского МК по технической части гвардии инженер-подполковник Колесников</w:t>
      </w:r>
    </w:p>
    <w:p w14:paraId="387B91E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Пом. начальника технического отдела 7 гвардейского Нежинского МК гвардии инженер-майор Хейфман</w:t>
      </w:r>
    </w:p>
    <w:p w14:paraId="77989CE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Представитель УБП и БМ ГБТУ КА инженер-капитан Яшин</w:t>
      </w:r>
    </w:p>
    <w:p w14:paraId="34C8829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ЦАМО. Ф. 38. Оп. 11358. Д. 211. Л. 34-36. Подлинник (11403).</w:t>
      </w:r>
    </w:p>
    <w:p w14:paraId="0B47B78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595763A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февраля 1944 вышло Постановление ГКО № 5182 О неотложных мерах по улучшению энергоснабжения предприятий Урала. РГАНИР, Фонд ГКО, д. 209, лл. 41-43 (11012).</w:t>
      </w:r>
    </w:p>
    <w:p w14:paraId="089688F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1211EF6F"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551B3E8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13AACA5" w14:textId="77777777" w:rsidR="00B41B6B" w:rsidRPr="007224C3" w:rsidRDefault="00B41B6B"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15 февраля</w:t>
      </w:r>
      <w:r w:rsidRPr="007224C3">
        <w:rPr>
          <w:rFonts w:ascii="Times New Roman" w:hAnsi="Times New Roman"/>
          <w:color w:val="000000" w:themeColor="text1"/>
          <w:sz w:val="16"/>
          <w:szCs w:val="16"/>
        </w:rPr>
        <w:t xml:space="preserve"> в 1944 году оперативная сводка Совинформбюро:</w:t>
      </w:r>
    </w:p>
    <w:p w14:paraId="12FDE320" w14:textId="77777777" w:rsidR="00B41B6B" w:rsidRPr="007224C3" w:rsidRDefault="00B41B6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15 февраля южнее и юго-восточнее города Гдов наши войска с боями продвигались вперёд и заняли несколько населённых пунктов.</w:t>
      </w:r>
    </w:p>
    <w:p w14:paraId="30FF0A68" w14:textId="77777777" w:rsidR="00B41B6B" w:rsidRPr="007224C3" w:rsidRDefault="00B41B6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Южнее города Луга наши войска, продолжая наступление, заняли более 40 населённых пунктов, в том числе Клабутицы, Новоселье, Шильцево, Ретюнь, Городец, Малый и Большой Брод, Горка-Петровская и железнодорожная станция серебрянка.</w:t>
      </w:r>
    </w:p>
    <w:p w14:paraId="433F1212" w14:textId="77777777" w:rsidR="00B41B6B" w:rsidRPr="007224C3" w:rsidRDefault="00B41B6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Севернее Звенигородка и Шпола наши войска продолжали вести бои по уничтожению окружённой группировки противника и, сжимая кольцо окружения, овладели несколькими сильно укреплёнными опорными пунктами противника. Одновременно северо-западнее Звенигородка наши войска успешно отбили атаки танков и пехоты противника, стремившихся прорваться на помощь окружённой группировке.</w:t>
      </w:r>
    </w:p>
    <w:p w14:paraId="65A511A8" w14:textId="77777777" w:rsidR="00B41B6B" w:rsidRPr="007224C3" w:rsidRDefault="00B41B6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 разведка, артиллерийско-миномётная перестрелка ив ряде пунктов бои местного значения.</w:t>
      </w:r>
    </w:p>
    <w:p w14:paraId="08A34110" w14:textId="77777777" w:rsidR="00B41B6B" w:rsidRPr="007224C3" w:rsidRDefault="00B41B6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14 февраля наши войска на всех фронтах подбили и уничтожили 71 немецкий танк. В воздушных боях и огнём зенитной артиллерии сбито 32 самолёта противника.</w:t>
      </w:r>
    </w:p>
    <w:p w14:paraId="7A03ACEB" w14:textId="77777777" w:rsidR="00B41B6B" w:rsidRPr="007224C3" w:rsidRDefault="00B41B6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Южнее и юго-восточнее города Гдов наши войска с боями заняли несколько населённых пунктов. Части Н-ского соединения захватили у немцев 11 полевых и 3 самоходных орудия, 18 миномётов, 67 пулемётов, 2 склада боеприпасов, 3 склада с продовольствием и склад с горючим. Бойцы другого нашего соединения блокировал икрупный опорный пункт противника и разгромили его гарнизон. Разгромлен 154 полк 58 немецкой пехотной дивизии. Захвачено большое число пленных, много вооружения и военных материалов.</w:t>
      </w:r>
    </w:p>
    <w:p w14:paraId="7A0DB6B8" w14:textId="77777777" w:rsidR="00B41B6B" w:rsidRPr="007224C3" w:rsidRDefault="00B41B6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Южнее города Луга наши войска продолжали вести наступательные бои и заняли более 40 населённых пунктов. Немцы, опираясь на заранее подготовленные оборонительные рубежи, пытались задержать наступление советских частей. Наши бойцы, прорываясь между узлами сопротивления противника, окружают и ликвидируют вражеские гарнизоны. Части Н-ского соединения за день боёв истребили свыше 600 немецких солдат и офицеров, подбили 4 танка и захватили трофеи. В одном районе наши подразделения оседлали шоссе и тем самым отрезали путь отступления противнику. Немцы с большим трудом начали переправлять свои обозы по просёлочной дороге. Создалась большая пробка. Советские артиллеристы успешно обстреляли эту дорогу и нанесли противнику большие потери.</w:t>
      </w:r>
    </w:p>
    <w:p w14:paraId="7B279AB7" w14:textId="77777777" w:rsidR="00B41B6B" w:rsidRPr="007224C3" w:rsidRDefault="00B41B6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Наши лётчики наносили удары по коммуникациям немецких войск и уничтожили 350 автомашин и 80 повозок с грузами, 11 автобусов и до батальона пехоты противника.</w:t>
      </w:r>
    </w:p>
    <w:p w14:paraId="396751A5" w14:textId="77777777" w:rsidR="00B41B6B" w:rsidRPr="007224C3" w:rsidRDefault="00B41B6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Севернее городов Звенигородка и Шпола наши войска продолжали вести бои по уничтожению окружённой группировки противника. Части Н-ского соединения ночью предприняли атаку и выбили немцев из нескольких сильно укреплённых опорных пунктов. Утром противник, стремясь вернуть потерянные позиции, перешёл в контратаку, но был отброшен артиллерийским и ружейно-пулемётным огнём. На поле боя осталось до 800 вражеских трупов. Захвачены трофеи, в числе которых 26 орудий разных калибров. Северо-западнее Звенигородки немцы продолжали свои попытки прорваться на помощь окружённой группировке. На одном участке пехота и танки противника семь раз переходили в атаку, но не добились никакого результата. Уничтожено свыше 1.000 немецких солдат и офицеров. Всего в течение дня на разных участках подбито и уничтожено до 60 немецких танков и самоходных орудий.</w:t>
      </w:r>
    </w:p>
    <w:p w14:paraId="4BB407D3" w14:textId="77777777" w:rsidR="00B41B6B" w:rsidRPr="007224C3" w:rsidRDefault="00B41B6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Баренцовом море потоплен транспорт противника водоизмещением в 6.000 тонн.</w:t>
      </w:r>
    </w:p>
    <w:p w14:paraId="549CFE2C" w14:textId="77777777" w:rsidR="00B41B6B" w:rsidRPr="007224C3" w:rsidRDefault="00B41B6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Партизанский отряд, действующий в одном из районов Винницкой области, подорвал немецкий бронепоезд. Групповым ружейно-пулемётным огнём партизаны сбили немецкий бомбардировщик. Другой винницкий отряд атаковал вражескую колонну и истребил до роты гитлеровцев. Партизаны освободили много советских граждан, которых немцы насильно угоняли на каторгу в Германию.</w:t>
      </w:r>
    </w:p>
    <w:p w14:paraId="25CFB3A1" w14:textId="77777777" w:rsidR="00B41B6B" w:rsidRPr="007224C3" w:rsidRDefault="00B41B6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Ленинградском фронте захвачена в плен большая группа немецких офицеров. Пленный лейтенант 19 полка 10 немецкой авиаполевой дивизии Альфред Берке рассказал: «Наше отступление носило беспорядочный характер. Целые подразделенияв панике бросали оружие и отходили без приказа командования. Для ловли солдат, бежавших с поля боя, были созданы заградительные команды. Но они были бессильны что-либо сделать. Часто заградительные команды сами убегали вместе с отступавшими солдатами. Командир полка возложил на меня учёт потерь. Однако гораздо проще было подсчитать не то, что мы потеряли, а то, что уцелело в полку. Только за два дня батальоны потеряли 60 процентов личного состава. Из строя выбыло более половины офицеров».</w:t>
      </w:r>
    </w:p>
    <w:p w14:paraId="2C2AF291" w14:textId="77777777" w:rsidR="00B41B6B" w:rsidRPr="007224C3" w:rsidRDefault="00B41B6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Пленный лейтенант Бернгард Шольброк рассказал: «Я пробыл на Восточном фронте только один день. У меня было направление в 126 пехотную дивизию. На станцииВолосово меня высадили из поезда и назначили командиром сводной группы, наспех сколоченной из солдат, отбившихся от своих частей. Не успел я разобраться в обстановке, как появились русские танки и рассеяли мою боевую группу».</w:t>
      </w:r>
    </w:p>
    <w:p w14:paraId="06A87EAB" w14:textId="77777777" w:rsidR="00B41B6B" w:rsidRPr="007224C3" w:rsidRDefault="00B41B6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Пленный командир 2 роты сапёрного батальона 11 немецкой пехотной дивизиилейтенант Вильгельм Шарф заявил: «Ввиду больших потерь, понесённых дивизией, командование бросило в бой сапёр. Все наши попытки организовать оборону неувенчались успехом. Считая сопротивление бесцельным, я приказал оставшимся солдатам сложить оружие».</w:t>
      </w:r>
    </w:p>
    <w:p w14:paraId="09101F5F" w14:textId="77777777" w:rsidR="00B41B6B" w:rsidRPr="007224C3" w:rsidRDefault="00B41B6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Немецко-фашистские оккупанты производят массовую насильственную эвакуацию мирного населения Эстонии. Специальные отряды немецких солдат и эсэсовцев загоняют эстонцев в вагоны и под усиленной охраной увозят в неизвестном направлении. Гитлеровцы жестоко расправляются с каждым, кто пытается уклонятьсяот эвакуации. 5 февраля в город Ригу прибыл переполненный эшелон с мирными гражданами из Эстонии. По распоряжению немецких военных властей всех эстонцев загнали в бараки и напоили отравленным кофе. Около двух тысяч эстонцев, в том числе много женщин и детей, после страшных мучений умерли. Жители Риги наблюдали, как 6 февраля гитлеровцы на подводах вывозили за город трупы своих жертв.» (15041).</w:t>
      </w:r>
    </w:p>
    <w:p w14:paraId="4A902A4C" w14:textId="77777777" w:rsidR="00B41B6B" w:rsidRPr="007224C3" w:rsidRDefault="00B41B6B" w:rsidP="007224C3">
      <w:pPr>
        <w:spacing w:after="0" w:line="240" w:lineRule="auto"/>
        <w:jc w:val="both"/>
        <w:rPr>
          <w:rFonts w:ascii="Times New Roman" w:hAnsi="Times New Roman"/>
          <w:color w:val="000000" w:themeColor="text1"/>
          <w:sz w:val="16"/>
          <w:szCs w:val="16"/>
        </w:rPr>
      </w:pPr>
    </w:p>
    <w:p w14:paraId="17B37496" w14:textId="77777777" w:rsidR="00B41B6B" w:rsidRPr="007224C3" w:rsidRDefault="00B41B6B"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15 февраля</w:t>
      </w:r>
      <w:r w:rsidRPr="007224C3">
        <w:rPr>
          <w:rFonts w:ascii="Times New Roman" w:hAnsi="Times New Roman"/>
          <w:color w:val="000000" w:themeColor="text1"/>
          <w:sz w:val="16"/>
          <w:szCs w:val="16"/>
        </w:rPr>
        <w:t xml:space="preserve"> в 1944 году войска Ленинградского и Волховского фронтов в ходе Новгородско-Лужской операции разгромили 8 пехотных и 1 танковую дивизию противника, продвинулись на запад до 150 км, вышли на рубеж реки Нарва, Шимск (15041).</w:t>
      </w:r>
    </w:p>
    <w:p w14:paraId="5A8C6333" w14:textId="77777777" w:rsidR="00B41B6B" w:rsidRPr="007224C3" w:rsidRDefault="00B41B6B" w:rsidP="007224C3">
      <w:pPr>
        <w:spacing w:after="0" w:line="240" w:lineRule="auto"/>
        <w:jc w:val="both"/>
        <w:rPr>
          <w:rFonts w:ascii="Times New Roman" w:hAnsi="Times New Roman"/>
          <w:color w:val="000000" w:themeColor="text1"/>
          <w:sz w:val="16"/>
          <w:szCs w:val="16"/>
        </w:rPr>
      </w:pPr>
    </w:p>
    <w:p w14:paraId="56C68B0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февраля 1944 года три самолета Р-47 прибыли в бухту Аян, в 800 км к югу от Магадана. Ночью началась подвижка льда, который ветер уносил в открытое море вместе с самолетами. Пилоты заняли места в кабинах и срочно взлетели. Успел подняться и самолет-лидер - С-47 Мазурука. Лишь 20 марта три Р-47 приземлились па Центральном аэродроме в Москве (3457,84).</w:t>
      </w:r>
    </w:p>
    <w:p w14:paraId="19D0237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ECA41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февраля 1944 года 13-й Гвардейский тяжелый танковый полк прорыва (ТТПП), имея в своем составе 21 танк ИС-85, прибыл в район Фастов - Белая Церковь. После марша полк получил задачу поддержать атаку 109-й танковой бригады на деревню Лисянка, для чего командиром полка была выделена рота - 5 танков ИС. К моменту вступления ее в бой последние Т-34 109-й танковой бригады, атаковавшие Лисянку в лоб, были подбиты "Пантерами" и противотанковыми штурмовыми орудиями немцев..</w:t>
      </w:r>
    </w:p>
    <w:p w14:paraId="715F810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Подпустив ИСы на расстояние 600-800 метров, немцы открыли шквальный огонь и в течение 10 минут подбили все советские тяжелые машины, при этом две из них сгорели. Каждый танк получил от 3 до 7 попаданий. На следующий день Лисянку окружили и взяли. В ней были захвачены брошенные без горючего 16 "Пантер", два Pz-IV и два штурмовых орудия. (3862).</w:t>
      </w:r>
    </w:p>
    <w:p w14:paraId="77E6141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9D2CF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февраля 1944 г. вышел ПРИКАЗ № 034 ЗАМЕСТИТЕЛЯ НАРОДНОГО КОМИССАРА ОБОРОНЫ О ВВЕДЕНИИ В ДЕЙСТВИЕ “ПРАВИЛ ПО СОХРАНЕНИЮ ВОЕННОЙ ТАЙНЫ В ПЕЧАТИ КРАСНОЙ АРМИИ (НА ВОЕННОЕ ВРЕМЯ)”</w:t>
      </w:r>
    </w:p>
    <w:p w14:paraId="38D3CB2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Ввести в действие объявляемые при сем “Правила по сохранению военной тайны в печати Красной Армии (на военное время)”.</w:t>
      </w:r>
    </w:p>
    <w:p w14:paraId="3024E6C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Cs/>
          <w:color w:val="000000" w:themeColor="text1"/>
          <w:sz w:val="16"/>
          <w:szCs w:val="16"/>
        </w:rPr>
        <w:t>Заместитель Народного комиссара обороны Маршал Советского Союза ВАСИЛЕВСКИЙ</w:t>
      </w:r>
    </w:p>
    <w:p w14:paraId="12B5BA0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февраля 1944 г. Заместитель начальника Генерального штаба Красной Армии</w:t>
      </w:r>
    </w:p>
    <w:p w14:paraId="60AD992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генерал армии </w:t>
      </w:r>
      <w:r w:rsidRPr="007224C3">
        <w:rPr>
          <w:rFonts w:ascii="Times New Roman" w:hAnsi="Times New Roman"/>
          <w:iCs/>
          <w:color w:val="000000" w:themeColor="text1"/>
          <w:sz w:val="16"/>
          <w:szCs w:val="16"/>
        </w:rPr>
        <w:t xml:space="preserve">АНТОНОВ </w:t>
      </w:r>
      <w:r w:rsidRPr="007224C3">
        <w:rPr>
          <w:rFonts w:ascii="Times New Roman" w:hAnsi="Times New Roman"/>
          <w:color w:val="000000" w:themeColor="text1"/>
          <w:sz w:val="16"/>
          <w:szCs w:val="16"/>
        </w:rPr>
        <w:t>утвердил:</w:t>
      </w:r>
    </w:p>
    <w:p w14:paraId="7ED9FA8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ПРАВИЛА ПО СОХРАНЕНИЮ ВОЕННОЙ ТАЙНЫ В ПЕЧАТИ КРАСНОЙ АРМИИ (НА ВОЕННОЕ ВРЕМЯ)</w:t>
      </w:r>
    </w:p>
    <w:p w14:paraId="0B6D338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Общее положение</w:t>
      </w:r>
    </w:p>
    <w:p w14:paraId="775ED99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Сведения, включенные в настоящие Правила, являются специально охраняемой военной и государственной тайной и </w:t>
      </w:r>
      <w:r w:rsidRPr="007224C3">
        <w:rPr>
          <w:rFonts w:ascii="Times New Roman" w:hAnsi="Times New Roman"/>
          <w:b/>
          <w:bCs/>
          <w:color w:val="000000" w:themeColor="text1"/>
          <w:sz w:val="16"/>
          <w:szCs w:val="16"/>
        </w:rPr>
        <w:t xml:space="preserve">не </w:t>
      </w:r>
      <w:r w:rsidRPr="007224C3">
        <w:rPr>
          <w:rFonts w:ascii="Times New Roman" w:hAnsi="Times New Roman"/>
          <w:color w:val="000000" w:themeColor="text1"/>
          <w:sz w:val="16"/>
          <w:szCs w:val="16"/>
        </w:rPr>
        <w:t>подлежат оглашению в открытой печати, передачах по радио открытым текстом, кино, фото, картографических изданиях, на выставках и других видах открытой информации.</w:t>
      </w:r>
    </w:p>
    <w:p w14:paraId="0CCF943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Редактор и военный цензор, разрешая к печати материал, обязаны проявлять большевистскую бдительность и учитывать, не содержит ли предназначенный к печати материал таких сведений, которые могут оказаться полезными для врага и опубликование которых может причинить ущерб обороноспособности нашей страны.</w:t>
      </w:r>
    </w:p>
    <w:p w14:paraId="1275A16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 подлежат оглашению также и те данные, из которых даже косвенным путем могут быть сделаны выводы, раскрывающие военную и государственную тайну.</w:t>
      </w:r>
    </w:p>
    <w:p w14:paraId="45BCBDD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При пользовании Правилами необходимо учитывать, что в них включены основные вопросы, которые подлежат охране от разглашений в печати. Ряд вопросов, возникающих в практической работе, не может быть предусмотрен и объединен в одном документе. В силу этого обязанность военного цензора — систематически и </w:t>
      </w:r>
      <w:r w:rsidRPr="007224C3">
        <w:rPr>
          <w:rFonts w:ascii="Times New Roman" w:hAnsi="Times New Roman"/>
          <w:color w:val="000000" w:themeColor="text1"/>
          <w:sz w:val="16"/>
          <w:szCs w:val="16"/>
        </w:rPr>
        <w:lastRenderedPageBreak/>
        <w:t>неустанно повышать свою военно-политическую и цензорскую подготовку, обобщать опыт своей работы и на основе этого вести свою практическую работу так, чтобы не допускать ни одного разглашения военной тайны.</w:t>
      </w:r>
    </w:p>
    <w:p w14:paraId="74CB8C0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Вместе с тем цензор, руководствуясь настоящими Правилами и принимая решение разрешить или запретить те или иные сведения, не должен подходить к нему механически. Каждое такое решение цензор должен всесторонне и вдумчиво проанализировать, взвесить, обосновать.</w:t>
      </w:r>
    </w:p>
    <w:p w14:paraId="3FC8388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Виновные в разглашении перечисленных в “Правилах” государственных и военных тайн привлекаются к ответственности по законам военного времени и соответствующим статьям Уголовного кодекса союзных республик.</w:t>
      </w:r>
    </w:p>
    <w:p w14:paraId="7F2E0F5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Правилах приведены военные термины: “соединение”, “часть”, “подразделение”.</w:t>
      </w:r>
    </w:p>
    <w:p w14:paraId="250ED36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Под соединением понимается: бригада, дивизия, корпус, армия.</w:t>
      </w:r>
    </w:p>
    <w:p w14:paraId="44D0A76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Частью называется войсковая единица, имеющая самостоятельное хозяйство, постоянное название и присвоенный номер. Типовой войсковой частью является полк, отдельный батальон (отдельный дивизион).</w:t>
      </w:r>
    </w:p>
    <w:p w14:paraId="13B3E35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Подразделением называются единицы, на которые делится часть, а именно: батальон, дивизион, эскадрилья, рота, батарея, эскадрон, взвод, звено, отделение, расчет, экипаж.</w:t>
      </w:r>
    </w:p>
    <w:p w14:paraId="7725DCF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Под правительственным сообщением в Правилах имеются в виду: приказы Верховного Главнокомандующего, приказы Народного комиссара обороны, постановления СНК СССР, выступления руководителей партии и правительства, Указы Президиума Верховного Совета Союза ССР, сообщения и сводки Со-винформбюро, сообщения НКИД и ТАСС.</w:t>
      </w:r>
    </w:p>
    <w:p w14:paraId="029AF7C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Запрещается открыто опубликовывать нижеследующие сведения:</w:t>
      </w:r>
    </w:p>
    <w:p w14:paraId="0E2147E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I. Мобилизация</w:t>
      </w:r>
    </w:p>
    <w:p w14:paraId="2DD0D10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Все сведения о мобилизационных мероприятиях правительства и отдельных наркоматов, предприятий и учреждений в отношении людского и конского состава, стратегического сырья, транспорта, промышленности и сельского хозяйства.</w:t>
      </w:r>
    </w:p>
    <w:p w14:paraId="3EF09F9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Сведения по эвакуации и реэвакуации промышленных предприятий и людских ресурсов, кроме материалов, помещаемых в центральной печати.</w:t>
      </w:r>
    </w:p>
    <w:p w14:paraId="302627D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Сведения о мобилизации в Красную Армию контингентов и лиц, не объявленных в открытых приказах НКО.</w:t>
      </w:r>
    </w:p>
    <w:p w14:paraId="42D406E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Примечание. О лицах этих контингентов разрешается в отдельных случаях публиковать статьи с описанием их учебы и боевой деятельности, не указывая, что они мобилизованы.</w:t>
      </w:r>
    </w:p>
    <w:p w14:paraId="5B18A50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Сведения о мобилизации населения и использования его на оборонительных строительствах.</w:t>
      </w:r>
    </w:p>
    <w:p w14:paraId="5B80D03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 Организация</w:t>
      </w:r>
    </w:p>
    <w:p w14:paraId="77C0CEC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Сведения об организации, штатном, численном составе, некомплекте людей, машин, животных, вооружения и снаряжения в подразделениях, частях, соединениях, учреждениях и заведениях Красной Армии и Всевобуча.</w:t>
      </w:r>
    </w:p>
    <w:p w14:paraId="3AC9B1B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Примечание. Организацию соединений, частей и подразделений разрешается опубликовать в соответствии с приложением № 1* и открытыми уставами и наставлениями.</w:t>
      </w:r>
    </w:p>
    <w:p w14:paraId="66B3720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Изменения в организации и численности подразделений, частей и соединений.</w:t>
      </w:r>
    </w:p>
    <w:p w14:paraId="0D2B3BE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Данные о вновь сформированных и формируемых частях и соединениях.</w:t>
      </w:r>
    </w:p>
    <w:p w14:paraId="4EA51AC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Сведения о количестве (абсолютные и в процентах), национальном составе, сроках прибытия пополнения и уровне его военной подготовки.</w:t>
      </w:r>
    </w:p>
    <w:p w14:paraId="2F02122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Примечание. Об отдельных фактах прибытия пополнения в подразделения, положительные оценки его подготовки и участия в боевой деятельности опубликовывать разрешается.</w:t>
      </w:r>
    </w:p>
    <w:p w14:paraId="7D800AC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Организацию училищ и курсов: число отделов, курсовых групп, численность слушателей, курсантов, преподавателей и обслуживающего состава.</w:t>
      </w:r>
    </w:p>
    <w:p w14:paraId="342B857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Шефские и другие присвоенные наименования, нумерацию войсковых частей и соединений, учреждений и заведений Красной Армии.</w:t>
      </w:r>
    </w:p>
    <w:p w14:paraId="04ABC6D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Примечание. Наименования и нумерацию частей и соединений, объявленных в правительственных сообщениях, упоминать в центральной и фронтовой печати без указания их дислокации разрешается, если эти части и соединения остаются в составе фронта, в котором они были объявлены.</w:t>
      </w:r>
    </w:p>
    <w:p w14:paraId="4CF7670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 Наименование новых фронтов или новые наименования существующих фронтов до опубликования их в правительственных сообщениях.</w:t>
      </w:r>
    </w:p>
    <w:p w14:paraId="4A37E08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Абсолютные и относительные данные о партийном, комсомольском, социальном и национальном составе подразделений, частей и соединений.</w:t>
      </w:r>
    </w:p>
    <w:p w14:paraId="5CADF10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Примечание. Абсолютное число коммунистов и комсомольцев в составе ротных партийных и комсомольских организаций опубликовывать разрешается.</w:t>
      </w:r>
    </w:p>
    <w:p w14:paraId="1804DD7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Число людей, проходящих и прошедших Всевобуч и допризывную подготовку за город, район, область, край, республику.</w:t>
      </w:r>
    </w:p>
    <w:p w14:paraId="0DB1912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Все сведения о заградительных отрядах, штрафных батальонах и ротах.</w:t>
      </w:r>
    </w:p>
    <w:p w14:paraId="701A33F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Фамилии и воинские звания командиров частей и соединений и их заместителей, начальников штабов и начальников политотделов соединений.</w:t>
      </w:r>
    </w:p>
    <w:p w14:paraId="3849ABA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Примечание 1. Фамилии и воинские звания этих лиц во фронтовых (окружных) газетах опубликовывать разрешается, если они упоминались и опубликованы в правительственных сообщениях и не перемещены после этого в другую часть, соединение, фронт, округ.</w:t>
      </w:r>
    </w:p>
    <w:p w14:paraId="7D4A323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Примечание 2. В подписях под статьями начальников политорганов разрешается указывать воинское звание и фамилии авторов (без указания их должности), если эти статьи помещаются в газетах непосредственно руководимых ими соединений (начальника политотдела армии — в армейской газете, начальника политотдела дивизии — в дивизионной).</w:t>
      </w:r>
    </w:p>
    <w:p w14:paraId="2274D24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Примечание 3. Фамилии и воинские звания командующего, члена военного совета, начальника политуправления, начальника штаба фронта (округа) печать открыто можно, для вновь сформированных фронтов (округов) фамилии и воинские звания этих лиц разрешается оглашать только после правительственных сообщений.</w:t>
      </w:r>
    </w:p>
    <w:p w14:paraId="76B2C7A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О перемещениях и назначениях офицерского состава от командира полка (им равного) и выше, а также генералов Красной Армии, кроме правительственных сообщений.</w:t>
      </w:r>
    </w:p>
    <w:p w14:paraId="43A31D4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III. Дислокация</w:t>
      </w:r>
    </w:p>
    <w:p w14:paraId="63A7EAB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Всякого рода данные, по которым можно установить: пункт, район, где находится или будет находиться подразделение, часть, соединение, как на фронте, так и в тылу.</w:t>
      </w:r>
    </w:p>
    <w:p w14:paraId="3BE43CD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Примечание 1. В областных, краевых и республиканских центрах разрешается общее упоминание о наличии гарнизонов без указания величины их и рода войск.</w:t>
      </w:r>
    </w:p>
    <w:p w14:paraId="3DFF774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Примечание 2. Приказы начальников гарнизонов разрешается опубликовывать во всех городах.</w:t>
      </w:r>
    </w:p>
    <w:p w14:paraId="0C8E95F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Примечание 3. Дислокация гарнизонных Домов Красной Армии в областных, краевых и республиканских центрах для печати открыта.</w:t>
      </w:r>
    </w:p>
    <w:p w14:paraId="551CC62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Сведения о передислокации частей и соединений, их передвижение по железным дорогам, автотранспортом, водным и воздушным путями и т. д.</w:t>
      </w:r>
    </w:p>
    <w:p w14:paraId="4BEBA03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Пункты дислокации военно-учебных заведений, подчиненных Главному разведывательному управлению Красной Армии и Разведывательному управлению Генштаба Красной Армии, минометных училищ, курсов младших лейтенантов и ВУЗов ВВС.</w:t>
      </w:r>
    </w:p>
    <w:p w14:paraId="296D243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Примечание. Пункты дислокации остальных военно-учебных заведений, а также Ленинградской и имени Жуковского военно-воздушных академий и Ленинградских военно-авиационных технических курсов усовершенствования для печати открыты.</w:t>
      </w:r>
    </w:p>
    <w:p w14:paraId="5B13E09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Места расположения укрепленных районов, военных складов, воинских лагерей, аэродромов и посадочных площадок, стационарных установок зенитных батарей, аэростатов воздушного заграждения.</w:t>
      </w:r>
    </w:p>
    <w:p w14:paraId="249D10E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 Место печатания бригадных, дивизионных, корпусных, армейских и фронтовых изданий.</w:t>
      </w:r>
    </w:p>
    <w:p w14:paraId="389E18E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IV. Боевая подготовка</w:t>
      </w:r>
    </w:p>
    <w:p w14:paraId="242F1FF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Обобщенные материалы по организации и планированию боевой подготовки, тактическим учениям, военным играм и опытным учениям и маневрам. Примечание. В окружных (фронтовых) и центральных газетах разрешается освещение в печати тактических учений в масштабе не выше отдельной части; в дивизионных, армейских газетах — до подразделения.</w:t>
      </w:r>
    </w:p>
    <w:p w14:paraId="3EEA988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Уровень состояния боевой подготовки и боевой готовности соединений и частей как в целом, так и по отдельным родам войск и видам боевой подготовки.</w:t>
      </w:r>
    </w:p>
    <w:p w14:paraId="48EA63A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Примечание. Статьи и заметки о неудовлетворительной подготовке мелких подразделений (рота, батарея, эскадрон, экипаж), кроме химической и противохимической, печатать разрешается.</w:t>
      </w:r>
    </w:p>
    <w:p w14:paraId="62FE247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Сведения о специальных видах боевой подготовки: подводной, радиоразведки, подслушивания и их практическом использовании в боевой обстановке.</w:t>
      </w:r>
    </w:p>
    <w:p w14:paraId="4AC9831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О сроках подготовки рядового, сержантского и офицерского состава в условиях военного времени.</w:t>
      </w:r>
    </w:p>
    <w:p w14:paraId="2FB689A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Все сведения о досрочных и специальных выпусках из военных академий, училищ, школ, курсов.</w:t>
      </w:r>
    </w:p>
    <w:p w14:paraId="08CBC16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V. Боевые действия</w:t>
      </w:r>
    </w:p>
    <w:p w14:paraId="0BC68DC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Военно-географическое и статистическое описание театра военных действий, сведения по его подготовке, оперативной емкости и описание операционных направлений.</w:t>
      </w:r>
    </w:p>
    <w:p w14:paraId="5B3A594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Прямые, косвенные или частичные данные об общем плане операции или боя, о районах и плане сосредоточения и развертывания войск для предстоящих действий.</w:t>
      </w:r>
    </w:p>
    <w:p w14:paraId="687F929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Наименования населенных пунктов и водных преград, занятых нашими войсками, а также пунктов и водных преград, за которые идут бои, если опубликованием их в какой-либо степени раскрывается замысел операции, задачи войск, их группировка и перегруппировка, коммуникации, разграничительные линии и стыки.</w:t>
      </w:r>
    </w:p>
    <w:p w14:paraId="0126B11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Подготовка специальных номеров газет, опубликование статей, заметок, приказов, обращений, призывов и других материалов, из которых можно сделать вывод, что данная войсковая часть или соединение ведет подготовку к наступлению, обороне, отходу и т. д.</w:t>
      </w:r>
    </w:p>
    <w:p w14:paraId="4464DF8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31. Обобщенные материалы по оперативным и тактическим методам, а также тактическим приемам, связанным с применением нового вида вооружения и боевой техники.</w:t>
      </w:r>
    </w:p>
    <w:p w14:paraId="6CE10B6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32. Операции с применением авиадесантов и рейдов кавалерийских, танковых и мотомехчастей.</w:t>
      </w:r>
    </w:p>
    <w:p w14:paraId="107F31E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Примечание 1. Описание таких операций может быть разрешено к печати только с санкции Генерального штаба Красной Армии.</w:t>
      </w:r>
    </w:p>
    <w:p w14:paraId="7AAB444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Примечание 2. Кавалерийские, танковые и механизированные соединения, действующие в глубине противника, могут описывать в своих газетах тактические действия своих подразделений без указания населенных пунктов.</w:t>
      </w:r>
    </w:p>
    <w:p w14:paraId="17669F2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33. Описания и фотоснимки участков фронта, оборонительных полос, рубежей, минных полей, командных пунктов, газоубежищ, районов предполагаемых затоплений и заболачивания, противотанковых районов, танкоопасных направлений и инженерных сооружений.</w:t>
      </w:r>
    </w:p>
    <w:p w14:paraId="56F4425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34. Суммарные сведения о захваченных трофеях и пленных, потерях противника в живой силе и технике за фронт, участок фронта, за определенный промежуток времени, кроме правительственных сообщений.</w:t>
      </w:r>
    </w:p>
    <w:p w14:paraId="73A276D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Примечание. Сведения о трофеях и пленных, взятых подразделением, опубликовывать разрешается во всех газетах. В центральной и фронтовой печати в отдельных случаях разрешается эти сведения опубликовывать за часть.</w:t>
      </w:r>
    </w:p>
    <w:p w14:paraId="3AB5475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35. Описание боевых действий крупных соединений, участка фронта, кроме правительственных сообщений.</w:t>
      </w:r>
    </w:p>
    <w:p w14:paraId="577F4BA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Примечание 1. Действия бригады и дивизии разрешается опубликовывать во фронтовой печати только с санкции начальника штаба фронта.</w:t>
      </w:r>
    </w:p>
    <w:p w14:paraId="4985CDC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Примечание 2. Материалы о боевых действиях, начиная от корпуса и выше, могут помещаться в открытой печати только с санкции Генерального штаба Красной Армии.</w:t>
      </w:r>
    </w:p>
    <w:p w14:paraId="2D337CF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36. Сведения о наличии и участии в боевых действиях подразделений и частей, состоящих из женщин.</w:t>
      </w:r>
    </w:p>
    <w:p w14:paraId="2B4EFD3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Примечание. Участие в боевых действиях отдельных женщин опубликовывать в печати разрешается без указания на то, что они мобилизованы.</w:t>
      </w:r>
    </w:p>
    <w:p w14:paraId="10559BE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37. Сведения о налетах противника на наши города, железнодорожные станции, о нарушении нормальной жизни крупных населенных пунктов, вызываемом налетами и диверсионными действиями противника, кроме правительственных сообщений.</w:t>
      </w:r>
    </w:p>
    <w:p w14:paraId="3F4B7E4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Примечание. В печати соединений ПВО разрешается опубликовывать материалы об отражении налетов неприятельской авиации без указания пункта, мощности налета и произведенных разрушений.</w:t>
      </w:r>
    </w:p>
    <w:p w14:paraId="4E37756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38. Сведения о налетах нашей авиации на тыловые объекты противника в том случае, если указывается конкретное наименование пункта или района, кроме правительственных сообщений.</w:t>
      </w:r>
    </w:p>
    <w:p w14:paraId="40A0D36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39. Сведения и фотоснимки о разрушениях военных и экономических объектов, происшедших в результате нападения противника.</w:t>
      </w:r>
    </w:p>
    <w:p w14:paraId="74DBEDF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Примечание. В отдельных случаях подобные сведения могут быть опубликованы в соответствии с правительственными сообщениями.</w:t>
      </w:r>
    </w:p>
    <w:p w14:paraId="3444EFC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 Сведения о применении противником и его агентурой бактериальных и химических средств борьбы, кроме правительственных сообщений.</w:t>
      </w:r>
    </w:p>
    <w:p w14:paraId="53AE7C7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41. Об окружении противником наших частей и о методах выхода их из окружения, а также об окружении нашими частями частей противника до сообщений Совинформбюро.</w:t>
      </w:r>
    </w:p>
    <w:p w14:paraId="67EA4B7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Примечание. Отдельные случаи выхода из окружения наших подразделений не выше роты, при наличии поучительного опыта, могут опубликовываться во фронтовой и армейской печати с разрешения начальника штаба фронта или армии.</w:t>
      </w:r>
    </w:p>
    <w:p w14:paraId="225D9A0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42. Сведения о маскировке операций, боевых действий, войск и различных объектов: баз, складов, сооружений, государственного значения и других.</w:t>
      </w:r>
    </w:p>
    <w:p w14:paraId="7BE9CB5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43. Тактику и технику химического нападения и все сведения о подготовке к химической и бактериальной войне.</w:t>
      </w:r>
    </w:p>
    <w:p w14:paraId="5329A9A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44. Все данные о состоянии, подготовке, отдельных мероприятиях по противохимической и противовоздушной, противобактериальной обороне.</w:t>
      </w:r>
    </w:p>
    <w:p w14:paraId="005F6E8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Примечание. В центральной печати материалы о противохимической обороне разрешается опубликовывать с санкции Главного военно-</w:t>
      </w:r>
      <w:r w:rsidRPr="007224C3">
        <w:rPr>
          <w:rFonts w:ascii="Times New Roman" w:hAnsi="Times New Roman"/>
          <w:color w:val="000000" w:themeColor="text1"/>
          <w:sz w:val="16"/>
          <w:szCs w:val="16"/>
        </w:rPr>
        <w:br/>
        <w:t>химического управления Красной Армии.</w:t>
      </w:r>
    </w:p>
    <w:p w14:paraId="681FDD4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 Сведения о неразорвавшихся бомбах, снарядах, минах противника, кроме правительственных сообщений.</w:t>
      </w:r>
    </w:p>
    <w:p w14:paraId="2977C08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Примечание. Разрешается опубликовывать отдельные случаи неразрыва артиллерийских снарядов и мин, если этим не вскрываются</w:t>
      </w:r>
      <w:r w:rsidRPr="007224C3">
        <w:rPr>
          <w:rFonts w:ascii="Times New Roman" w:hAnsi="Times New Roman"/>
          <w:color w:val="000000" w:themeColor="text1"/>
          <w:sz w:val="16"/>
          <w:szCs w:val="16"/>
        </w:rPr>
        <w:br/>
        <w:t>массовый характер неразрыва и их причины.</w:t>
      </w:r>
    </w:p>
    <w:p w14:paraId="7222194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46. Критические статьи и дискуссионные выступления в печати по дейст-' вующим уставам, наставлениям и их проектам.</w:t>
      </w:r>
    </w:p>
    <w:p w14:paraId="21311DB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47. Все сведения в абсолютных цифрах и процентах о людских потерях в боях: убитыми, ранеными, газоотравленными, обмороженными, больными, пропавшими без вести и попавшими в плен, а также о потере боевой техники, за исключением правительственных сообщений.</w:t>
      </w:r>
    </w:p>
    <w:p w14:paraId="744D329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Примечание. О героической смерти бойцов и командиров под разделений в отдельных случаях опубликовывать разрешается.</w:t>
      </w:r>
    </w:p>
    <w:p w14:paraId="5099DD0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Примечание 2. Отдельные факты боевых потерь нашей техники (два—три самолета, танка, орудия, пулемета) опубликовывать разрешается, если при этом экипажами (расчетами) проявлены героизм, военное мастерство и противник понес значительно большие потери.</w:t>
      </w:r>
    </w:p>
    <w:p w14:paraId="39C08B2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48. Сведения о количестве вынесенных с поля боя санитарами раненых бойцов, командиров за один день боя или одну операцию.</w:t>
      </w:r>
    </w:p>
    <w:p w14:paraId="2AA6AFC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49. Сведения о применении оружия в боях медицинским составом, кроме случаев защиты больных, раненых и самозащиты.</w:t>
      </w:r>
    </w:p>
    <w:p w14:paraId="57B16A7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 Сведения о смерти генералов, командиров частей и соединений Красной Армии и Военно-Морского Флота до правительственного сообщения.</w:t>
      </w:r>
    </w:p>
    <w:p w14:paraId="4C4EFC0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VI. Боевые действия партизан</w:t>
      </w:r>
    </w:p>
    <w:p w14:paraId="0D2852D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51. Организацию, численность партизанских отрядов, партизанских частей и соединений, количество и наименование их вооружения.</w:t>
      </w:r>
    </w:p>
    <w:p w14:paraId="5EFFE7D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52. Фотоснимки партизан и их фамилии.</w:t>
      </w:r>
    </w:p>
    <w:p w14:paraId="1A6CF64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Примечание. В отдельных случаях допускается опубликование фотоснимков и фамилии партизан только по специальному разрешению соответствующего штаба партизанского движения или члена военного совета фронта.</w:t>
      </w:r>
    </w:p>
    <w:p w14:paraId="612FA70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53. Все сведения, прямо или косвенно раскрывающие район и место боевых действий партизан.</w:t>
      </w:r>
    </w:p>
    <w:p w14:paraId="7C269C3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Примечание. Разрешается опубликовывать выражения: “партизаны Украины”, “партизаны Белоруссии”, “партизаны Ленинградской области” и т.д.</w:t>
      </w:r>
    </w:p>
    <w:p w14:paraId="7043D56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54. Приемы борьбы партизанских отрядов: методы боевых действий и разведки, сигнализации, система связи между партизанскими отрядами, частями Красной Армии и населением и другие сведения, могущие дать противнику данные для принятия контрмер.</w:t>
      </w:r>
    </w:p>
    <w:p w14:paraId="755FA2B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55. Сводные данные о результатах проведенных партизанами операций за область, республику и сводный отряд</w:t>
      </w:r>
    </w:p>
    <w:p w14:paraId="70F24AE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Примечание. В армейской и дивизионной печати о действии партизан разрешается лишь перепечатка материалов из фронтовых и центральных газет.</w:t>
      </w:r>
    </w:p>
    <w:p w14:paraId="1A2F721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56. О совместных действиях партизанских отрядов с частями Красной Армии, кроме правительственных сообщений.</w:t>
      </w:r>
    </w:p>
    <w:p w14:paraId="2938491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57. О нахождении на службе немецких оккупационных властей лиц, работающих или ранее работавших по заданиям партизанских отрядов или наших органов разведки.</w:t>
      </w:r>
    </w:p>
    <w:p w14:paraId="6F592A2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VII. Вооружение</w:t>
      </w:r>
    </w:p>
    <w:p w14:paraId="4AB2435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58. Описание, тактико-технические данные и маркировка боевых машин и предметов вооружения, не поименованных в приложении № 2*.</w:t>
      </w:r>
    </w:p>
    <w:p w14:paraId="33CDB36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Примечание 1. Все данные по боевой технике иностранных армий, ВВС и флотов, взятые из иностранной открытой печати, опубликовывать разрешается, не упоминая о нахождении ее на вооружении в Красной Армии.</w:t>
      </w:r>
    </w:p>
    <w:p w14:paraId="7569222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Примечание 2. Отдельные случаи использования нашими войсками трофейного вооружения противника без его опознавательных знаков (на самолетах, танках) опубликовывать разрешается.</w:t>
      </w:r>
    </w:p>
    <w:p w14:paraId="5D4F3B6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59. Сведения о степени обеспеченности боевой техникой наших войск, о поступлении на вооружение новых или модернизированных образцов и видов боевой техники как отечественного производства, так и иностранных марок, а также о снятии с вооружения старых образцов.</w:t>
      </w:r>
    </w:p>
    <w:p w14:paraId="43A6E28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 Сведения о вооружении самолетов, танков, бронемашин, бронепоездов: количество пушек и пулеметов, их марки, калибры, наличие снарядов “РС” и химического вооружения, комплект боеприпасов и авиабомб их вес, марки, калибры.</w:t>
      </w:r>
    </w:p>
    <w:p w14:paraId="744CC4B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7224C3">
        <w:rPr>
          <w:rFonts w:ascii="Times New Roman" w:hAnsi="Times New Roman"/>
          <w:color w:val="000000" w:themeColor="text1"/>
          <w:sz w:val="16"/>
          <w:szCs w:val="16"/>
        </w:rPr>
        <w:t>61. Сведения о вооружении системы Костикова.</w:t>
      </w:r>
    </w:p>
    <w:p w14:paraId="40233D0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Примечание. Упоминание этого вооружения под названием “Катюша” и “гвардейские минометы” в печати разрешается без его конструктивного и тактико-технического описания.</w:t>
      </w:r>
    </w:p>
    <w:p w14:paraId="22E9175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62. Все данные о телемеханических приборах и радиолокаторах принятых в Красной Армии.</w:t>
      </w:r>
    </w:p>
    <w:p w14:paraId="6330A69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63. Сведения о химическом вооружении, боевых отравляющих и дегазирующих веществах, кроме перечисленных в приложении № 2.</w:t>
      </w:r>
    </w:p>
    <w:p w14:paraId="5C72D33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64. Об огнеметных средствах и их применении.</w:t>
      </w:r>
    </w:p>
    <w:p w14:paraId="3C1E4E0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Примечание. Описание огнеметных средств разрешается согласно приложению № 2.</w:t>
      </w:r>
    </w:p>
    <w:p w14:paraId="71A378D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65. Сведения о взрывчатых веществах и инженерной технике, кроме перечисленных в приложении № 2.</w:t>
      </w:r>
    </w:p>
    <w:p w14:paraId="275EDED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66. Сведения об изобретениях и рационализаторских предложениях, вносящих новые принципы в боевое вооружение, его усовершенствование или в тактические формы боя, а также об испытании и опытном производстве новых образцов вооружения и технических средств борьбы.</w:t>
      </w:r>
    </w:p>
    <w:p w14:paraId="7D96B92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Примечание. Все остальные изобретения и рационализаторские предложения разрешается опубликовывать с санкции начальника соответствующего рода войск.</w:t>
      </w:r>
    </w:p>
    <w:p w14:paraId="1A4B484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67. Сведения о массовых отрицательных явлениях в производстве, хранении и использовании не по назначению предметов вооружения и боевой техники Красной Армии.</w:t>
      </w:r>
    </w:p>
    <w:p w14:paraId="552147C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68. Сведения об авариях и катастрофах в воздушных, морских, танковых, мотомеханизированных, железнодорожных и других войсках.</w:t>
      </w:r>
    </w:p>
    <w:p w14:paraId="78CB71A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Примечание. Допускается опубликование отдельных единичных случаев аварий и поломок без человеческих жертв с разрешения соответствующего начальника штаба.</w:t>
      </w:r>
    </w:p>
    <w:p w14:paraId="2FD44E7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VIII. Дисциплина и политико-моральное состояние</w:t>
      </w:r>
    </w:p>
    <w:p w14:paraId="7ED2FE9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69. Все сведения о неудовлетворительном состоянии дисциплины и политико-морального состояния подразделения, части и соединения: невыполнение боевых приказов и распоряжений, случаи дезертирства, перехода на сторону врага, членовредительства, проявления недовольства материальным положением, случаи воровства, мародерства, ненормальных взаимоотношений военнослужащих между собою и с населением.</w:t>
      </w:r>
    </w:p>
    <w:p w14:paraId="7F7F205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70. Сведения о воинских преступлениях при несении караульной службы и в боевом охранении: сон на посту, уход с поста, слабая бдительность и т. п.</w:t>
      </w:r>
    </w:p>
    <w:p w14:paraId="4B083F6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Примечание к п.п. 69—70. С разрешения начальников соответствующих штабов в воспитательных целях допускается опубликовывать о случаях недисциплинированности и нарушений правил караульной службы, совершенных отдельными бойцами, — в дивизионных и армейских газетах и сержантами — в фронтовых (окружных) газетах.</w:t>
      </w:r>
    </w:p>
    <w:p w14:paraId="1675739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71. Абсолютные и относительные цифры дисциплинарных проступков в подразделениях, частях, соединениях, а также факты извращения дисциплинарной практики командным составом.</w:t>
      </w:r>
    </w:p>
    <w:p w14:paraId="32E0368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Примечание. В случаях массовых извращений дисциплинарной практики во фронтовых, окружных и армейских газетах допускается с разрешения начальника политоргана опубликование отдельных фактов извращения.</w:t>
      </w:r>
    </w:p>
    <w:p w14:paraId="5E98CE9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72. Все сведения о чрезвычайных происшествиях: обстрелах своих войск и самолетов, убийствах и ранениях военнослужащих, самоубийствах и покушениях на самоубийства, массовых заболеваниях, отравлениях пищей, массовых обмораживаниях и пр.</w:t>
      </w:r>
    </w:p>
    <w:p w14:paraId="273AE9E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73. Сведения о предании суду и о находящихся под следствием генералов и офицерского состава Красной Армии, а также цифровые данные о судимости рядового и сержантского состава.</w:t>
      </w:r>
    </w:p>
    <w:p w14:paraId="1A2CE5D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74. Критика приказов и действий начальника подчиненным.</w:t>
      </w:r>
    </w:p>
    <w:p w14:paraId="477B350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Примечание. В армейских, фронтовых и окружных газетах разрешается критика действий средних и старших офицеров их начальниками или военными корреспондентами в каждом отдельном случае с разрешения члена военного совета армии, фронта, округа. Критика должна быть не грубая и не резкая, а тактичная и товарищеская.</w:t>
      </w:r>
    </w:p>
    <w:p w14:paraId="5CAE8DB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75. Все, без исключения, сведения о противнике, могущие вызвать паническое и упадническое настроение как в действующей армии, так и в тылу: преувеличенные данные о результатах боевых действий противника, его материальных и технических ресурсах, переоценка морального и боевого состояния армии противника и т. д.</w:t>
      </w:r>
    </w:p>
    <w:p w14:paraId="2F803B9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76. Приводить выдержки из листовок, газет, радиопередач и других материалов противника, а также сообщать о фактах чтения военнослужащими и населением печатных материалов, распространяемых противником.</w:t>
      </w:r>
    </w:p>
    <w:p w14:paraId="657BD97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77. Письма и дневники, и показания солдат и офицеров без разрешения начальников штабов.</w:t>
      </w:r>
    </w:p>
    <w:p w14:paraId="5B52857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IX. Материальное и финансовое обеспечение</w:t>
      </w:r>
    </w:p>
    <w:p w14:paraId="07D815C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78. Всякие сведения о военном бюджете и различного рода ассигнованиях на ведение войны и сметах НКО, кроме правительственных сообщений.</w:t>
      </w:r>
    </w:p>
    <w:p w14:paraId="07C764E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79. Сведения по вопросам заготовок и снабжения Красной Армии всеми видами вооружения, имущества, продовольствия и фуража.</w:t>
      </w:r>
    </w:p>
    <w:p w14:paraId="0777D3C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Примечание. В целях более успешного хода заготовок продовольствия и фуража для Красной Армии разрешается опубликование статей без указаний цифровых материалов и районов заготовок.</w:t>
      </w:r>
    </w:p>
    <w:p w14:paraId="1B055B6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80. Сведения о выполнении промышленностью заказов для Красной Армии в абсолютных цифрах и процентах.</w:t>
      </w:r>
    </w:p>
    <w:p w14:paraId="379068E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81. Сведения о ремонтных базах: дислокация, мощность, производственная программа, а также данные о потребности ремонта за часть и соединение.</w:t>
      </w:r>
    </w:p>
    <w:p w14:paraId="3A14D0F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82. Все сведения, дающие отрицательную оценку боевого и хозяйственного снабжения фронта, округа, соединения, части, учреждения.</w:t>
      </w:r>
    </w:p>
    <w:p w14:paraId="4BA0666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83. Сведения о суррогатировании предметов вещевого и продовольственного снабжения в Красной Армии (образцы, технические условия, чертежи, фотоснимки и т. п.).</w:t>
      </w:r>
    </w:p>
    <w:p w14:paraId="638611E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84. Детальная публикация сведений о работе войскового и армейского тыла. Примечание. Разрешается в открытой печати упоминать наименования всех учреждений войскового и армейского тыла, не указывая пункты их дислокации, численность и организацию, нумерацию, объем табельных и переходящих запасов.</w:t>
      </w:r>
    </w:p>
    <w:p w14:paraId="2969AE8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85. Сведения о суммах подписки на госзаймы и лотереи в абсолютных цифрах (можно показывать в процентах к зарплате) за часть, соединение, фронт, округ.</w:t>
      </w:r>
    </w:p>
    <w:p w14:paraId="5658275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X. Пути сообщения</w:t>
      </w:r>
    </w:p>
    <w:p w14:paraId="0EE9E8F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86. Сведения о состоянии действующих и строительстве новых железных и шоссейных дорог и мостов, ремонте и восстановлении старых.</w:t>
      </w:r>
    </w:p>
    <w:p w14:paraId="3E9BBDC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Примечание. В отдельных случаях разрешается опубликовывать в печати статьи о ремонте и строительстве дорог и мостов без указания названия дорог, района и протяженности, если этим не раскрывается характер и направление предстоящих боевых действий.</w:t>
      </w:r>
    </w:p>
    <w:p w14:paraId="77CB3D0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87. Все сведения о прибытии в порты СССР иностранных и отечественных транспортов, их маршрутах, названии, количестве и наименовании доставленных грузов.</w:t>
      </w:r>
    </w:p>
    <w:p w14:paraId="4AF1EE7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88. Схемы, фотопланы железных и шоссейных дорог, железнодорожных узлов, станций, портов и переправ.</w:t>
      </w:r>
    </w:p>
    <w:p w14:paraId="3E55534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89. Сведения об охране, обороне, маскировке путей сообщения и связи.</w:t>
      </w:r>
    </w:p>
    <w:p w14:paraId="6A685F5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90. Сообщения о пропускной способности железных дорог, узловых распорядительных и конечных станций, а также о хотя бы временном закрытии их.</w:t>
      </w:r>
    </w:p>
    <w:p w14:paraId="411DC42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91. Сведения о движении воинских эшелонов, пассажирских и товарных поездов, пароходов и самолетов, о каких бы то ни было нарушениях, изменениях в движении поездов, вызванных войной и экономическим напряжением страны.</w:t>
      </w:r>
    </w:p>
    <w:p w14:paraId="2DFACD3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92. Данные о количестве и техническом состоянии железнодорожного, автомобильного и тракторного парков.</w:t>
      </w:r>
    </w:p>
    <w:p w14:paraId="099F373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XI. Санитарные и ветеринарные вопросы</w:t>
      </w:r>
    </w:p>
    <w:p w14:paraId="3C15B4A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93. Обобщенные сведения и статистические данные о количестве раненых, характере ранения, количестве и процентах смертности в результате ранений, конкретных сроках излечения раненых, газоотравленных и подвергшихся бактериологическим поражениям и о числе лиц, возвращенных в строй, тыловые учреждения и заведения или уволенных из Красной Армии.</w:t>
      </w:r>
    </w:p>
    <w:p w14:paraId="27BF968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Примечание. Общее упоминание в печати о возвращенных в строй более 70% раненых разрешается без приведения абсолютных цифр.</w:t>
      </w:r>
    </w:p>
    <w:p w14:paraId="7BFE6D3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94. Новые методы и средства лечения без санкции Главного санитарного управления Красной Армии.</w:t>
      </w:r>
    </w:p>
    <w:p w14:paraId="6AAFDAD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95. Отрицательные сведения о санитарном и ветеринарном состоянии Красной Армии как на фронте, так и в тылу.</w:t>
      </w:r>
    </w:p>
    <w:p w14:paraId="776AAB6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96. Сведения о снижении медико-санитарных требований к призываемым в Красную Армию.</w:t>
      </w:r>
    </w:p>
    <w:p w14:paraId="523DF3E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97. Сведения об эпидемических, инфекционных и других заразных заболеваниях: тиф, дизентерия, чума, холера, туляремия и др., а также о смертности в войсках.</w:t>
      </w:r>
    </w:p>
    <w:p w14:paraId="2DC266A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98. Сводные данные о количестве обследований (в абсолютных цифрах) на групповую принадлежность крови военнослужащих и призываемых; о количестве доноров в стране, республике, области и в областных центрах.</w:t>
      </w:r>
    </w:p>
    <w:p w14:paraId="15E8823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99. Сведения о научно-исследовательских работах по санитарно-химической защите, профилактике, лечения пораженных ОВ как людского состава, так и животных.</w:t>
      </w:r>
    </w:p>
    <w:p w14:paraId="13D91DC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 Научно-исследовательские работы и статистические данные по заразным и незаразным заболеваниям и ранениям животных.</w:t>
      </w:r>
    </w:p>
    <w:p w14:paraId="0B5816F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101. Сведения о количестве медикаментов и медицинского имущества в частях и соединениях.</w:t>
      </w:r>
    </w:p>
    <w:p w14:paraId="4D74BF2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XII. Оборонительное строительство</w:t>
      </w:r>
    </w:p>
    <w:p w14:paraId="12D5ACA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102. Сведения о техническом состоянии, вооружении, степени оборудован-ности укрепленных районов, укрепленных полос, рубежей, узлов сопротивления, фортов, береговых батарей, береговых оборонительных сооружений, военных портов, морских, речных и авиационных баз и аэродромов.</w:t>
      </w:r>
    </w:p>
    <w:p w14:paraId="2A4C938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103. Проекты, чертежи, описания долговременных фортификационных оборонительных сооружений, командных пунктов ПВО и убежищ специального назначения.</w:t>
      </w:r>
    </w:p>
    <w:p w14:paraId="56C553C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Примечание. Разрешается опубликовывать чертежи и описания полевых оборонительных сооружений, если они не являются опытными и не привязаны к местности.</w:t>
      </w:r>
    </w:p>
    <w:p w14:paraId="6B2ACA2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104. Все сведения о новом военном и казарменном строительстве.</w:t>
      </w:r>
    </w:p>
    <w:p w14:paraId="639B5A5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XIII. Организации, содействующие обороне страны</w:t>
      </w:r>
    </w:p>
    <w:p w14:paraId="59E4CF5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105. Сведения о работе Осоавиахима по заданию правительства, НКО, НКВМФ и о суммах, отпускаемых Осоавиахиму на выполнение этих заданий.</w:t>
      </w:r>
    </w:p>
    <w:p w14:paraId="39F2DE0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106. Сведения о прикомандированном к Осоавиахиму и Всевобучу офицерском составе и суммарные данные о постоянном учебно-строевом составе Осоавиахима.</w:t>
      </w:r>
    </w:p>
    <w:p w14:paraId="353C667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107. Сведения о прикреплении учебных организаций Осоавиахима к войсковым частям.</w:t>
      </w:r>
    </w:p>
    <w:p w14:paraId="6933DEB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108. Суммарные сведения о количестве учебных организаций в Осоавиа-химе: учебно-стрелковых центров, стрелковых клубов, клубов связи, авто-мотоклубов, кавалерийских клубов, военно-морских школ и клубов, школ ПВХО парашютно-планерных клубов, аэродромов, ангаров, их емкости и о запасах горючего.</w:t>
      </w:r>
    </w:p>
    <w:p w14:paraId="05F3D32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109. Суммарные сведения о количестве обучаемых и обученных Всевобучем и Осоавиахимом кадров различных воинских специальностей по СССР, республикам, краям и областям.</w:t>
      </w:r>
    </w:p>
    <w:p w14:paraId="75F802E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110. Суммарные сведения о количестве населения, подготовленного к ПВХО по СССР, республикам, краям и областям.</w:t>
      </w:r>
    </w:p>
    <w:p w14:paraId="4694A7F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111. Сведения о количестве боевой техники в Осоавиахиме и Всевобуче.</w:t>
      </w:r>
    </w:p>
    <w:p w14:paraId="4FFDA52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112. Суммарные сведения о количестве имеющихся в Союзе, республике, крае, области противогазов, дегазационной техники, камер газоокуривания, химгородков, химполигонов, защитных комнат, газоубежищ и мастерских по ремонту противогазов.</w:t>
      </w:r>
    </w:p>
    <w:p w14:paraId="50B56F8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ИЗ. Сведения о количествах подготавливаемых и подготовленных обществом Красного Креста медицинских сестер и санитарных инструкторов по СССР в целом, </w:t>
      </w:r>
      <w:r w:rsidRPr="007224C3">
        <w:rPr>
          <w:rFonts w:ascii="Times New Roman" w:hAnsi="Times New Roman"/>
          <w:color w:val="000000" w:themeColor="text1"/>
          <w:sz w:val="16"/>
          <w:szCs w:val="16"/>
        </w:rPr>
        <w:lastRenderedPageBreak/>
        <w:t>республикам, краям, областям и районам.</w:t>
      </w:r>
    </w:p>
    <w:p w14:paraId="5B848E3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114. Сведения о количестве проходящих военную подготовку в гражданских учебных заведениях по Союзу, республике, краю, области.</w:t>
      </w:r>
    </w:p>
    <w:p w14:paraId="0751D89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XIV. Разные</w:t>
      </w:r>
    </w:p>
    <w:p w14:paraId="69EDBF5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115. Выдержки и цитаты из материалов и изданий, имеющих ограничительные грифы: “Сов.секретно”, “Секретно”, “Для служебного пользования” и ссылки на них.</w:t>
      </w:r>
    </w:p>
    <w:p w14:paraId="60D23AD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116. Сведения о правилах ведения секретной переписки, хранении секретных материалов, документов, о потере и хищении секретных бумаг.</w:t>
      </w:r>
    </w:p>
    <w:p w14:paraId="7C27C92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117. Все сведения о шифрах, шифровальной и дешифровальной работе.</w:t>
      </w:r>
    </w:p>
    <w:p w14:paraId="1D5BE95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118. Сведения о местопребывании Народного комиссара обороны, членов Государственного Комитета Обороны, заместителей Народного комиссара обороны, начальника Генерального штаба Красной Армии и его заместителей, командующих и членов военных советов фронтов, кроме правительственных сообщений.</w:t>
      </w:r>
    </w:p>
    <w:p w14:paraId="6A131C8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119. Какие бы то ни было данные о деятельности наших агентурных разведывательных органов.</w:t>
      </w:r>
    </w:p>
    <w:p w14:paraId="7A3B095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120. Сведения отрицательного характера о Красной Армии и Военно-Мор-ском Флоте, взятые из иностранных источников.</w:t>
      </w:r>
    </w:p>
    <w:p w14:paraId="45E135D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121. Все сведения о шпионской, вредительской и диверсионной деятельности противника, о поимке шпионов, вредителей, диверсантов и о методах борьбы с ними.</w:t>
      </w:r>
    </w:p>
    <w:p w14:paraId="6BDAD1E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Примечание. Отдельные статьи, мобилизующие бдительность с приведением фактов шпионажа и диверсии, без указания фамилий задержанных и районов, опубликовывать разрешается с санкции соответствующего органа контрразведки.</w:t>
      </w:r>
    </w:p>
    <w:p w14:paraId="44B3FE4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122. Номера телефонов войсковых частей, соединений, штабов, учреждений и заведений Красной Армии, Военно-Морского Флота и НКВД, за исключением военно-учебных заведений, комендатур и коммутаторов штабов военных округов.</w:t>
      </w:r>
    </w:p>
    <w:p w14:paraId="482F0F2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123. Сведения, могущие прямо или косвенно раскрыть мощность и дислокацию наших оборонных предприятий.</w:t>
      </w:r>
    </w:p>
    <w:p w14:paraId="50656D2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124. О восстановлении, строительстве новых предприятий наркоматов: вооружения, боеприпасов, авиационной промышленности, танковой промышленности и минометного вооружения на всей территории СССР, кроме правительственных сообщений.</w:t>
      </w:r>
    </w:p>
    <w:p w14:paraId="5E19B2D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125. О восстановлении и строительстве на территории, освобожденной от противника, промышленных предприятий и объектов государственного значения в 200 км от линии фронта.</w:t>
      </w:r>
    </w:p>
    <w:p w14:paraId="1AEF6A2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Примечание. О восстановлении и строительстве предприятий местного значения, а также коммунальных предприятий опубликовывать разрешается.</w:t>
      </w:r>
    </w:p>
    <w:p w14:paraId="6DC837E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126. Сведения и сообщения, связанные с посещением войсковых частей иностранными представителями, кроме правительственных сообщений.</w:t>
      </w:r>
    </w:p>
    <w:p w14:paraId="35157BA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127. Сведения о конфликтах в пограничной полосе с соседними государствами, кроме правительственных сообщений.</w:t>
      </w:r>
    </w:p>
    <w:p w14:paraId="14365EE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128. Сведения о численности, местах нахождения и порядке использования военнопленных и перебежчиков противника.</w:t>
      </w:r>
    </w:p>
    <w:p w14:paraId="04E3D9E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129. Система и методы несения охраны границ, промышленных предприятий и государственных сооружений.</w:t>
      </w:r>
    </w:p>
    <w:p w14:paraId="342C254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130. Сведения о методах борьбы с контрабандой и бандитизмом.</w:t>
      </w:r>
    </w:p>
    <w:p w14:paraId="1C9FCA6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131. Порядок и способы передвижения и конвоирования арестованных и о конвойной службе.</w:t>
      </w:r>
    </w:p>
    <w:p w14:paraId="3924733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132. Сведения о нормах и перебоях в снабжении населения СССР.</w:t>
      </w:r>
    </w:p>
    <w:p w14:paraId="4664B56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133. Разного рода частные объявления.</w:t>
      </w:r>
    </w:p>
    <w:p w14:paraId="208F577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134. Сведения, раскрывающие организацию и методы работы органов военной и гражданской цензуры и контроль иностранной печати, поступающей в СССР.</w:t>
      </w:r>
    </w:p>
    <w:p w14:paraId="361BCC3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135. Рецензии на книги, журналы и другие издания, имеющие ограничительный гриф, и на запрещенные и изъятые органами цензуры.</w:t>
      </w:r>
    </w:p>
    <w:p w14:paraId="6376659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136. Опубликование фамилий семей и родственников военнослужащих с указанием их местожительства, если эти семьи и родственники находятся на территории, оккупированной врагом.</w:t>
      </w:r>
    </w:p>
    <w:p w14:paraId="50237B1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137. Военно-топографические карты и планы с нанесенными военными объектами, карты, описания и планы городов и промышленные пункты, а также карты всех районов СССР масштаба 1:500000 и крупнее.</w:t>
      </w:r>
    </w:p>
    <w:p w14:paraId="7C35EE2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Примечание. Все карты и планы масштаба 1:1 000000 и крупнее, независимо от грифа, могут разрешаться к печати только с санкции Военно-топографического управления Генерального штаба Красной Армии или его органов при штабах фронтов и округов.</w:t>
      </w:r>
    </w:p>
    <w:p w14:paraId="3BFE555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138. Краткосрочные и долгосрочные прогнозы погоды, гидрологические прогнозы.</w:t>
      </w:r>
    </w:p>
    <w:p w14:paraId="271CB82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Примечание. Разрешается опубликование местной информации краткосрочных сведений об изменении погоды.</w:t>
      </w:r>
    </w:p>
    <w:p w14:paraId="13D1B04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139. Нумерацию полевых почт с указанием, к какому роду войск или части, соединению, фронту они относятся.</w:t>
      </w:r>
    </w:p>
    <w:p w14:paraId="6E651E4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140. Сведения о судебных процессах и о приведении в исполнение приговоров судов над военнопленными.</w:t>
      </w:r>
    </w:p>
    <w:p w14:paraId="3848C09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Примечание. В центральной печати разрешается опубликование этих сведений с санкции соответствующих правительственных органов, а в остальных изданиях — лишь перепечатка материалов центральной печати.</w:t>
      </w:r>
    </w:p>
    <w:p w14:paraId="5A10954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iCs/>
          <w:color w:val="000000" w:themeColor="text1"/>
          <w:sz w:val="16"/>
          <w:szCs w:val="16"/>
        </w:rPr>
        <w:t xml:space="preserve">Начальник отдела военной цензуры Генерального штаба Красной Армии полковник БЕРЕЗИН </w:t>
      </w:r>
      <w:r w:rsidRPr="007224C3">
        <w:rPr>
          <w:rFonts w:ascii="Times New Roman" w:hAnsi="Times New Roman"/>
          <w:color w:val="000000" w:themeColor="text1"/>
          <w:sz w:val="16"/>
          <w:szCs w:val="16"/>
        </w:rPr>
        <w:t>(9844).</w:t>
      </w:r>
    </w:p>
    <w:p w14:paraId="493AADE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2DBE0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15 февраля 1944 линия фронта стабилизировалась на рубеже река Нарова - Чудское озеро. Не снижая темпа боевых действий над сушей, Борзов при каждой возможности стремился послать самолеты в море. В течение февраля торпедоносцы произвели 14 атак, пять из которых завершились видимым успехом. На «Илы» пришлось две: 20-го в районе Таллина П.А. Колесник атаковал небольшой конвой и доложил о потоплении «5000-тонного транспорта», а 29-го своей второй победы добился старший лейтенант А.З.Большаков. Ему удалось атаковать небольшое одиночное судно севернее мыса Тахкуна. Подтверждений не на одну из атак нет. Тем не менее, противник серьезно обеспокоился началом нового наступления на свои коммуникации и предпринял эффективные меры противодействия, из которых в первую очередь необходимо отметить патрулирование ночных истребителей с РЛС в районе Таллинна (9965).</w:t>
      </w:r>
    </w:p>
    <w:p w14:paraId="54E0B15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4B014946" w14:textId="77777777" w:rsidR="00B41B6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Жизнь и внутренняя политика:</w:t>
      </w:r>
    </w:p>
    <w:p w14:paraId="0B64F260" w14:textId="77777777" w:rsidR="00B41B6B" w:rsidRPr="007224C3" w:rsidRDefault="00B41B6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AB30E96" w14:textId="77777777" w:rsidR="00B41B6B" w:rsidRPr="007224C3" w:rsidRDefault="00B41B6B"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15 февраля</w:t>
      </w:r>
      <w:r w:rsidRPr="007224C3">
        <w:rPr>
          <w:rFonts w:ascii="Times New Roman" w:hAnsi="Times New Roman"/>
          <w:color w:val="000000" w:themeColor="text1"/>
          <w:sz w:val="16"/>
          <w:szCs w:val="16"/>
        </w:rPr>
        <w:t xml:space="preserve"> в 1944 году руководство Еврейского Антифашистского Комитета СССР обратилось к Сталину с предложением создать Еврейскую Советскую Социалистическую Республику на территории Крыма или в Поволжье на территории, где в прошлом была немецкая республика (15041).</w:t>
      </w:r>
    </w:p>
    <w:p w14:paraId="024375CD" w14:textId="77777777" w:rsidR="00B41B6B" w:rsidRPr="007224C3" w:rsidRDefault="00B41B6B" w:rsidP="007224C3">
      <w:pPr>
        <w:spacing w:after="0" w:line="240" w:lineRule="auto"/>
        <w:jc w:val="both"/>
        <w:rPr>
          <w:rFonts w:ascii="Times New Roman" w:hAnsi="Times New Roman"/>
          <w:color w:val="000000" w:themeColor="text1"/>
          <w:sz w:val="16"/>
          <w:szCs w:val="16"/>
        </w:rPr>
      </w:pPr>
    </w:p>
    <w:p w14:paraId="710ADCC3" w14:textId="77777777" w:rsidR="00B41B6B" w:rsidRPr="007224C3" w:rsidRDefault="00B41B6B"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15 февраля</w:t>
      </w:r>
      <w:r w:rsidRPr="007224C3">
        <w:rPr>
          <w:rFonts w:ascii="Times New Roman" w:hAnsi="Times New Roman"/>
          <w:color w:val="000000" w:themeColor="text1"/>
          <w:sz w:val="16"/>
          <w:szCs w:val="16"/>
        </w:rPr>
        <w:t xml:space="preserve"> в 1944 году польское эмигрантское правительство заявило о своем несогласии установить будущую восточную границу с СССР по линии Керзона. Вопрос о границе должен был быть рассмотрен в послевоенное время, а во время войны предлагалось провести простую демаркационную линию, причем восточнее Львова и Вильнюса (15041).</w:t>
      </w:r>
    </w:p>
    <w:p w14:paraId="48C413E3" w14:textId="77777777" w:rsidR="00B41B6B" w:rsidRPr="007224C3" w:rsidRDefault="00B41B6B" w:rsidP="007224C3">
      <w:pPr>
        <w:spacing w:after="0" w:line="240" w:lineRule="auto"/>
        <w:jc w:val="both"/>
        <w:rPr>
          <w:rFonts w:ascii="Times New Roman" w:hAnsi="Times New Roman"/>
          <w:color w:val="000000" w:themeColor="text1"/>
          <w:sz w:val="16"/>
          <w:szCs w:val="16"/>
        </w:rPr>
      </w:pPr>
    </w:p>
    <w:p w14:paraId="253BBD5D" w14:textId="77777777" w:rsidR="00B41B6B" w:rsidRPr="007224C3" w:rsidRDefault="00B41B6B"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15 февраля</w:t>
      </w:r>
      <w:r w:rsidRPr="007224C3">
        <w:rPr>
          <w:rFonts w:ascii="Times New Roman" w:hAnsi="Times New Roman"/>
          <w:color w:val="000000" w:themeColor="text1"/>
          <w:sz w:val="16"/>
          <w:szCs w:val="16"/>
        </w:rPr>
        <w:t xml:space="preserve"> в 1944 году на заседании Европейской Контрольной Комиссии советские представители предложили органичиться в документе об условиях капитуляции Германии только военными требованиями, не касаясь пока политических и экономических. Представители США настаивали на неограниченном сроке оккупации Германии (15041).</w:t>
      </w:r>
    </w:p>
    <w:p w14:paraId="7FDC60B6" w14:textId="77777777" w:rsidR="00B41B6B" w:rsidRPr="007224C3" w:rsidRDefault="00B41B6B" w:rsidP="007224C3">
      <w:pPr>
        <w:spacing w:after="0" w:line="240" w:lineRule="auto"/>
        <w:jc w:val="both"/>
        <w:rPr>
          <w:rFonts w:ascii="Times New Roman" w:hAnsi="Times New Roman"/>
          <w:color w:val="000000" w:themeColor="text1"/>
          <w:sz w:val="16"/>
          <w:szCs w:val="16"/>
        </w:rPr>
      </w:pPr>
    </w:p>
    <w:p w14:paraId="447734B5"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Внешняя политика:</w:t>
      </w:r>
    </w:p>
    <w:p w14:paraId="2C2DD0B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4AC7822"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февраля 1944 польское правительство в изгнании отвергло предложения СССР считать “линию Керзона” советско-польской границей после войны (4962).</w:t>
      </w:r>
    </w:p>
    <w:p w14:paraId="17899C07"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5336CC5"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70E08C3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16F30B4" w14:textId="77777777" w:rsidR="00B41B6B" w:rsidRPr="007224C3" w:rsidRDefault="00B41B6B"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15 февраля</w:t>
      </w:r>
      <w:r w:rsidRPr="007224C3">
        <w:rPr>
          <w:rFonts w:ascii="Times New Roman" w:hAnsi="Times New Roman"/>
          <w:color w:val="000000" w:themeColor="text1"/>
          <w:sz w:val="16"/>
          <w:szCs w:val="16"/>
        </w:rPr>
        <w:t xml:space="preserve"> в 1944 году состоялся первый полет второго прототипа («DW512») обозначенного «Vickers» «Type 457», английского дальнего бомбардировщика </w:t>
      </w:r>
      <w:hyperlink r:id="rId46" w:tgtFrame="_blank" w:history="1">
        <w:r w:rsidRPr="007224C3">
          <w:rPr>
            <w:rFonts w:ascii="Times New Roman" w:hAnsi="Times New Roman"/>
            <w:color w:val="000000" w:themeColor="text1"/>
            <w:sz w:val="16"/>
            <w:szCs w:val="16"/>
          </w:rPr>
          <w:t xml:space="preserve">«Vickers» «Windsor». </w:t>
        </w:r>
      </w:hyperlink>
      <w:r w:rsidRPr="007224C3">
        <w:rPr>
          <w:rFonts w:ascii="Times New Roman" w:hAnsi="Times New Roman"/>
          <w:color w:val="000000" w:themeColor="text1"/>
          <w:sz w:val="16"/>
          <w:szCs w:val="16"/>
        </w:rPr>
        <w:t>Второй прототип самолета получил двигатели «Merlin» 85 мощностью 1750 л.с. Было так же построен еще один прототип – «Vickers» «Type 461» (рег.номер - NK136, первый полет - 11 июля 1944 год, после установки на него 20-мм пушек получил обозначение Type 480). Работы над самолетом продолжались и после войны. Было предложено еще несколько вариантов самолета, оставшихся на стадии прототипов (15041).</w:t>
      </w:r>
    </w:p>
    <w:p w14:paraId="51AC61CD" w14:textId="77777777" w:rsidR="00B41B6B" w:rsidRPr="007224C3" w:rsidRDefault="00B41B6B" w:rsidP="007224C3">
      <w:pPr>
        <w:spacing w:after="0" w:line="240" w:lineRule="auto"/>
        <w:jc w:val="both"/>
        <w:rPr>
          <w:rFonts w:ascii="Times New Roman" w:hAnsi="Times New Roman"/>
          <w:color w:val="000000" w:themeColor="text1"/>
          <w:sz w:val="16"/>
          <w:szCs w:val="16"/>
        </w:rPr>
      </w:pPr>
    </w:p>
    <w:p w14:paraId="512ED5C0" w14:textId="77777777" w:rsidR="00AD702B" w:rsidRPr="007224C3" w:rsidRDefault="00AD702B"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15 февраля 1944 г. был облетан второй прототип «Виндзор» Тип 457. Первый прототип, Тип 447 «Виндзор» с менее мощными Mk. 65 (по 1315 л.с. на границе высотности), имевший множество дефектов, вскоре списали – свой последний полет он совершил 23 марта, налетав всего 33 часа. Третья машина Тип 461 совершила свой первый полет 11 июля 1944 г. Без вооружения она разгонялась до 510 км/ч на высоте 7010 м.</w:t>
      </w:r>
    </w:p>
    <w:p w14:paraId="0CCAF607" w14:textId="77777777" w:rsidR="00AD702B" w:rsidRPr="007224C3" w:rsidRDefault="00AD702B"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Заказчик разрешил снять хвостовую пулеметную турель, и с двумя стрелковыми точками в мотогондолах самолет получил новое обозначение Тип 480. С перегрузочным весом и 3600 кг бомб он показал дальность 4650 км, что превышало требования на 45%, и был получен заказ на 300 серийных «Виндзор» B Mk. I (Тип 483) с моторами «Грифон». Но до конца войны ни одного самолета достроить не успели. Пирсон предложил ряд способов дальнейшего повышения характеристик машины и прежде всего потолка, который не удовлетворял заказчика совершенно, однако добила проект дороговизна «безопасно-деформируемой конструкции». То, что годилось для военного времени, было слишком расточительно для послевоенного финансового кризиса (23008).</w:t>
      </w:r>
    </w:p>
    <w:p w14:paraId="614D24C3" w14:textId="77777777" w:rsidR="00AD702B" w:rsidRPr="007224C3" w:rsidRDefault="00AD702B" w:rsidP="007224C3">
      <w:pPr>
        <w:spacing w:after="0" w:line="240" w:lineRule="auto"/>
        <w:jc w:val="both"/>
        <w:rPr>
          <w:rFonts w:ascii="Times New Roman" w:hAnsi="Times New Roman"/>
          <w:color w:val="0070C0"/>
          <w:sz w:val="16"/>
          <w:szCs w:val="16"/>
        </w:rPr>
      </w:pPr>
    </w:p>
    <w:p w14:paraId="67882BD9" w14:textId="77777777" w:rsidR="00AD702B" w:rsidRPr="007224C3" w:rsidRDefault="00AD702B" w:rsidP="007224C3">
      <w:pPr>
        <w:spacing w:after="0" w:line="240" w:lineRule="auto"/>
        <w:jc w:val="both"/>
        <w:rPr>
          <w:rFonts w:ascii="Times New Roman" w:hAnsi="Times New Roman"/>
          <w:color w:val="0070C0"/>
          <w:sz w:val="16"/>
          <w:szCs w:val="16"/>
          <w:lang w:val="en-US"/>
        </w:rPr>
      </w:pPr>
      <w:r w:rsidRPr="007224C3">
        <w:rPr>
          <w:rFonts w:ascii="Times New Roman" w:hAnsi="Times New Roman"/>
          <w:color w:val="0070C0"/>
          <w:sz w:val="16"/>
          <w:szCs w:val="16"/>
        </w:rPr>
        <w:lastRenderedPageBreak/>
        <w:t>15–16 февраля (ночь) 1944 две недели отдыха для регулярных бомбардировочных эскадрилий RAF Bomber Command подошли к концу с налетом 891 бомбардировщиков на Берлин - самого большого отряда, когда-либо отправленного в Берлин, и самый крупный на сегодняшний день, за исключением трех рейдов "тысячи бомбардировщиков" 1942 года, а также первый, в котором использовалось более 500 ланкастеров или более 300 галифаксов. Это ьыл последний наоет Bomber Command «битвы за Берлин», и, несмотря на облачный покров, в его ходе удалось поразить некоторые из важных военных объектов промышленности города. Сорок</w:t>
      </w:r>
      <w:r w:rsidRPr="007224C3">
        <w:rPr>
          <w:rFonts w:ascii="Times New Roman" w:hAnsi="Times New Roman"/>
          <w:color w:val="0070C0"/>
          <w:sz w:val="16"/>
          <w:szCs w:val="16"/>
          <w:lang w:val="en-US"/>
        </w:rPr>
        <w:t xml:space="preserve"> </w:t>
      </w:r>
      <w:r w:rsidRPr="007224C3">
        <w:rPr>
          <w:rFonts w:ascii="Times New Roman" w:hAnsi="Times New Roman"/>
          <w:color w:val="0070C0"/>
          <w:sz w:val="16"/>
          <w:szCs w:val="16"/>
        </w:rPr>
        <w:t>три</w:t>
      </w:r>
      <w:r w:rsidRPr="007224C3">
        <w:rPr>
          <w:rFonts w:ascii="Times New Roman" w:hAnsi="Times New Roman"/>
          <w:color w:val="0070C0"/>
          <w:sz w:val="16"/>
          <w:szCs w:val="16"/>
          <w:lang w:val="en-US"/>
        </w:rPr>
        <w:t xml:space="preserve"> </w:t>
      </w:r>
      <w:r w:rsidRPr="007224C3">
        <w:rPr>
          <w:rFonts w:ascii="Times New Roman" w:hAnsi="Times New Roman"/>
          <w:color w:val="0070C0"/>
          <w:sz w:val="16"/>
          <w:szCs w:val="16"/>
        </w:rPr>
        <w:t>бомбардировщика</w:t>
      </w:r>
      <w:r w:rsidRPr="007224C3">
        <w:rPr>
          <w:rFonts w:ascii="Times New Roman" w:hAnsi="Times New Roman"/>
          <w:color w:val="0070C0"/>
          <w:sz w:val="16"/>
          <w:szCs w:val="16"/>
          <w:lang w:val="en-US"/>
        </w:rPr>
        <w:t xml:space="preserve"> (6,7% </w:t>
      </w:r>
      <w:r w:rsidRPr="007224C3">
        <w:rPr>
          <w:rFonts w:ascii="Times New Roman" w:hAnsi="Times New Roman"/>
          <w:color w:val="0070C0"/>
          <w:sz w:val="16"/>
          <w:szCs w:val="16"/>
        </w:rPr>
        <w:t>сил</w:t>
      </w:r>
      <w:r w:rsidRPr="007224C3">
        <w:rPr>
          <w:rFonts w:ascii="Times New Roman" w:hAnsi="Times New Roman"/>
          <w:color w:val="0070C0"/>
          <w:sz w:val="16"/>
          <w:szCs w:val="16"/>
          <w:lang w:val="en-US"/>
        </w:rPr>
        <w:t xml:space="preserve">) </w:t>
      </w:r>
      <w:r w:rsidRPr="007224C3">
        <w:rPr>
          <w:rFonts w:ascii="Times New Roman" w:hAnsi="Times New Roman"/>
          <w:color w:val="0070C0"/>
          <w:sz w:val="16"/>
          <w:szCs w:val="16"/>
        </w:rPr>
        <w:t>не</w:t>
      </w:r>
      <w:r w:rsidRPr="007224C3">
        <w:rPr>
          <w:rFonts w:ascii="Times New Roman" w:hAnsi="Times New Roman"/>
          <w:color w:val="0070C0"/>
          <w:sz w:val="16"/>
          <w:szCs w:val="16"/>
          <w:lang w:val="en-US"/>
        </w:rPr>
        <w:t xml:space="preserve"> </w:t>
      </w:r>
      <w:r w:rsidRPr="007224C3">
        <w:rPr>
          <w:rFonts w:ascii="Times New Roman" w:hAnsi="Times New Roman"/>
          <w:color w:val="0070C0"/>
          <w:sz w:val="16"/>
          <w:szCs w:val="16"/>
        </w:rPr>
        <w:t>возвращаются</w:t>
      </w:r>
      <w:r w:rsidRPr="007224C3">
        <w:rPr>
          <w:rFonts w:ascii="Times New Roman" w:hAnsi="Times New Roman"/>
          <w:color w:val="0070C0"/>
          <w:sz w:val="16"/>
          <w:szCs w:val="16"/>
          <w:lang w:val="en-US"/>
        </w:rPr>
        <w:t xml:space="preserve"> (20373).</w:t>
      </w:r>
    </w:p>
    <w:p w14:paraId="6E0709F5" w14:textId="77777777" w:rsidR="00AD702B" w:rsidRPr="007224C3" w:rsidRDefault="00AD702B" w:rsidP="007224C3">
      <w:pPr>
        <w:spacing w:after="0" w:line="240" w:lineRule="auto"/>
        <w:jc w:val="both"/>
        <w:rPr>
          <w:rFonts w:ascii="Times New Roman" w:hAnsi="Times New Roman"/>
          <w:color w:val="0070C0"/>
          <w:sz w:val="16"/>
          <w:szCs w:val="16"/>
          <w:lang w:val="en-US"/>
        </w:rPr>
      </w:pPr>
    </w:p>
    <w:p w14:paraId="5D30CB6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15 February 1944 Large scale air attack on Berlin by the Allies (270).</w:t>
      </w:r>
    </w:p>
    <w:p w14:paraId="33F8887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097E05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февраля 1944 состоялся большой налет союзников на Берлин (270).</w:t>
      </w:r>
    </w:p>
    <w:p w14:paraId="3D877D9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EAFFD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February 15, 1944: In Italy, bombers of the US 15th Air Force drop thousands of tons of bombs on the monastery located on the top of Monte Cassino. Subsequent attacks by British Commonwealth and Polish forces fail to capture its ruins now occupied and defended by paratroopers (the Green Devils) of 1.Fallschirmjager-Division (Heidrich) (3819).</w:t>
      </w:r>
    </w:p>
    <w:p w14:paraId="7F650AE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2613F06" w14:textId="77777777" w:rsidR="00D4630C" w:rsidRPr="007224C3" w:rsidRDefault="00D4630C" w:rsidP="007224C3">
      <w:pPr>
        <w:pStyle w:val="ae"/>
        <w:shd w:val="clear" w:color="auto" w:fill="FFFFFF"/>
        <w:spacing w:before="0" w:after="0"/>
        <w:jc w:val="both"/>
        <w:rPr>
          <w:color w:val="000000" w:themeColor="text1"/>
          <w:sz w:val="16"/>
          <w:szCs w:val="16"/>
        </w:rPr>
      </w:pPr>
      <w:r w:rsidRPr="007224C3">
        <w:rPr>
          <w:rStyle w:val="a7"/>
          <w:b w:val="0"/>
          <w:color w:val="000000" w:themeColor="text1"/>
          <w:sz w:val="16"/>
          <w:szCs w:val="16"/>
        </w:rPr>
        <w:t>15-16 февраля</w:t>
      </w:r>
      <w:r w:rsidRPr="007224C3">
        <w:rPr>
          <w:color w:val="000000" w:themeColor="text1"/>
          <w:sz w:val="16"/>
          <w:szCs w:val="16"/>
        </w:rPr>
        <w:t xml:space="preserve"> 1944 было два налета на Берлин (891 самолет), </w:t>
      </w:r>
      <w:r w:rsidRPr="007224C3">
        <w:rPr>
          <w:rStyle w:val="a7"/>
          <w:b w:val="0"/>
          <w:color w:val="000000" w:themeColor="text1"/>
          <w:sz w:val="16"/>
          <w:szCs w:val="16"/>
        </w:rPr>
        <w:t>24-25 марта</w:t>
      </w:r>
      <w:r w:rsidRPr="007224C3">
        <w:rPr>
          <w:color w:val="000000" w:themeColor="text1"/>
          <w:sz w:val="16"/>
          <w:szCs w:val="16"/>
        </w:rPr>
        <w:t xml:space="preserve"> (811 самолетов). Оба рейда практически не принесли эффекта (потери на земле – 529 убитых и незначительные разрушения построек), зато стоили в общей сложности 115 сбитых бомбардировщика.</w:t>
      </w:r>
    </w:p>
    <w:p w14:paraId="47BBBF0B" w14:textId="77777777" w:rsidR="00D4630C" w:rsidRPr="007224C3" w:rsidRDefault="00D4630C" w:rsidP="007224C3">
      <w:pPr>
        <w:pStyle w:val="ae"/>
        <w:shd w:val="clear" w:color="auto" w:fill="FFFFFF"/>
        <w:spacing w:before="0" w:after="0"/>
        <w:jc w:val="both"/>
        <w:rPr>
          <w:color w:val="000000" w:themeColor="text1"/>
          <w:sz w:val="16"/>
          <w:szCs w:val="16"/>
        </w:rPr>
      </w:pPr>
      <w:r w:rsidRPr="007224C3">
        <w:rPr>
          <w:color w:val="000000" w:themeColor="text1"/>
          <w:sz w:val="16"/>
          <w:szCs w:val="16"/>
        </w:rPr>
        <w:t>Хотя Берлин был серьезно поврежден, на него (за 41 только крупный вылет) было сброшено 45000 тонн бомб, что повлекло гибель тысяч гражданских лиц и разрушения 326 заводов, до победы было совсем не близко.</w:t>
      </w:r>
    </w:p>
    <w:p w14:paraId="089CD820" w14:textId="77777777" w:rsidR="00D4630C" w:rsidRPr="007224C3" w:rsidRDefault="00D4630C" w:rsidP="007224C3">
      <w:pPr>
        <w:pStyle w:val="ae"/>
        <w:shd w:val="clear" w:color="auto" w:fill="FFFFFF"/>
        <w:spacing w:before="0" w:after="0"/>
        <w:jc w:val="both"/>
        <w:rPr>
          <w:color w:val="000000" w:themeColor="text1"/>
          <w:sz w:val="16"/>
          <w:szCs w:val="16"/>
        </w:rPr>
      </w:pPr>
      <w:r w:rsidRPr="007224C3">
        <w:rPr>
          <w:color w:val="000000" w:themeColor="text1"/>
          <w:sz w:val="16"/>
          <w:szCs w:val="16"/>
        </w:rPr>
        <w:t xml:space="preserve">Общие потери у английской авиации к этому моменту составили </w:t>
      </w:r>
      <w:r w:rsidRPr="007224C3">
        <w:rPr>
          <w:rStyle w:val="a7"/>
          <w:b w:val="0"/>
          <w:color w:val="000000" w:themeColor="text1"/>
          <w:sz w:val="16"/>
          <w:szCs w:val="16"/>
        </w:rPr>
        <w:t>495 самолетов и 2938 членов экипажей</w:t>
      </w:r>
      <w:r w:rsidRPr="007224C3">
        <w:rPr>
          <w:color w:val="000000" w:themeColor="text1"/>
          <w:sz w:val="16"/>
          <w:szCs w:val="16"/>
        </w:rPr>
        <w:t xml:space="preserve"> – намного больше, чем могла себе позволить Англия.</w:t>
      </w:r>
    </w:p>
    <w:p w14:paraId="041BEFE9" w14:textId="77777777" w:rsidR="00D4630C" w:rsidRPr="007224C3" w:rsidRDefault="00D4630C" w:rsidP="007224C3">
      <w:pPr>
        <w:pStyle w:val="ae"/>
        <w:shd w:val="clear" w:color="auto" w:fill="FFFFFF"/>
        <w:spacing w:before="0" w:after="0"/>
        <w:jc w:val="both"/>
        <w:rPr>
          <w:color w:val="000000" w:themeColor="text1"/>
          <w:sz w:val="16"/>
          <w:szCs w:val="16"/>
        </w:rPr>
      </w:pPr>
      <w:r w:rsidRPr="007224C3">
        <w:rPr>
          <w:color w:val="000000" w:themeColor="text1"/>
          <w:sz w:val="16"/>
          <w:szCs w:val="16"/>
        </w:rPr>
        <w:t>Бомбардировки теперь осуществлялись с большой высоты – ночью действовали тяжелые английские бомбардировщики «Либерейтор» В-24, днем подключались американские «Ле</w:t>
      </w:r>
      <w:r w:rsidRPr="007224C3">
        <w:rPr>
          <w:color w:val="000000" w:themeColor="text1"/>
          <w:sz w:val="16"/>
          <w:szCs w:val="16"/>
        </w:rPr>
        <w:softHyphen/>
        <w:t>тающие крепости» В-17.</w:t>
      </w:r>
    </w:p>
    <w:p w14:paraId="3ECF7E88" w14:textId="77777777" w:rsidR="00D4630C" w:rsidRPr="007224C3" w:rsidRDefault="00D4630C" w:rsidP="007224C3">
      <w:pPr>
        <w:pStyle w:val="ae"/>
        <w:shd w:val="clear" w:color="auto" w:fill="FFFFFF"/>
        <w:spacing w:before="0" w:after="0"/>
        <w:jc w:val="both"/>
        <w:rPr>
          <w:color w:val="000000" w:themeColor="text1"/>
          <w:sz w:val="16"/>
          <w:szCs w:val="16"/>
        </w:rPr>
      </w:pPr>
      <w:r w:rsidRPr="007224C3">
        <w:rPr>
          <w:rStyle w:val="a7"/>
          <w:b w:val="0"/>
          <w:color w:val="000000" w:themeColor="text1"/>
          <w:sz w:val="16"/>
          <w:szCs w:val="16"/>
        </w:rPr>
        <w:t>22 марта 1944 года</w:t>
      </w:r>
      <w:r w:rsidRPr="007224C3">
        <w:rPr>
          <w:color w:val="000000" w:themeColor="text1"/>
          <w:sz w:val="16"/>
          <w:szCs w:val="16"/>
        </w:rPr>
        <w:t xml:space="preserve"> Берлин атаковали уже американцы: 460 В-17 и 197 </w:t>
      </w:r>
      <w:hyperlink r:id="rId47" w:history="1">
        <w:r w:rsidRPr="007224C3">
          <w:rPr>
            <w:rStyle w:val="a5"/>
            <w:rFonts w:eastAsia="Times New Roman"/>
            <w:color w:val="000000" w:themeColor="text1"/>
            <w:sz w:val="16"/>
            <w:szCs w:val="16"/>
            <w:u w:val="none"/>
          </w:rPr>
          <w:t xml:space="preserve">B-24 </w:t>
        </w:r>
      </w:hyperlink>
      <w:r w:rsidRPr="007224C3">
        <w:rPr>
          <w:color w:val="000000" w:themeColor="text1"/>
          <w:sz w:val="16"/>
          <w:szCs w:val="16"/>
        </w:rPr>
        <w:t>нанесли удар по авиационным заводам Ораниенбурга и Бадсдорфа. Почти 1,5 миллиона жителей города остались без крова, однако это было только начало. Американцы пока только пробовали силы. До начала мая они потеряли 38</w:t>
      </w:r>
      <w:hyperlink r:id="rId48" w:history="1">
        <w:r w:rsidRPr="007224C3">
          <w:rPr>
            <w:rStyle w:val="a5"/>
            <w:rFonts w:eastAsia="Times New Roman"/>
            <w:color w:val="000000" w:themeColor="text1"/>
            <w:sz w:val="16"/>
            <w:szCs w:val="16"/>
            <w:u w:val="none"/>
          </w:rPr>
          <w:t xml:space="preserve"> «Летающих крепостей» B-17</w:t>
        </w:r>
      </w:hyperlink>
      <w:r w:rsidRPr="007224C3">
        <w:rPr>
          <w:color w:val="000000" w:themeColor="text1"/>
          <w:sz w:val="16"/>
          <w:szCs w:val="16"/>
        </w:rPr>
        <w:t xml:space="preserve"> и 25 </w:t>
      </w:r>
      <w:hyperlink r:id="rId49" w:history="1">
        <w:r w:rsidRPr="007224C3">
          <w:rPr>
            <w:rStyle w:val="a5"/>
            <w:rFonts w:eastAsia="Times New Roman"/>
            <w:color w:val="000000" w:themeColor="text1"/>
            <w:sz w:val="16"/>
            <w:szCs w:val="16"/>
            <w:u w:val="none"/>
          </w:rPr>
          <w:t>B-24</w:t>
        </w:r>
      </w:hyperlink>
      <w:r w:rsidRPr="007224C3">
        <w:rPr>
          <w:color w:val="000000" w:themeColor="text1"/>
          <w:sz w:val="16"/>
          <w:szCs w:val="16"/>
        </w:rPr>
        <w:t>.</w:t>
      </w:r>
    </w:p>
    <w:p w14:paraId="39360CC9" w14:textId="77777777" w:rsidR="00D4630C" w:rsidRPr="007224C3" w:rsidRDefault="00D4630C" w:rsidP="007224C3">
      <w:pPr>
        <w:pStyle w:val="ae"/>
        <w:shd w:val="clear" w:color="auto" w:fill="FFFFFF"/>
        <w:spacing w:before="0" w:after="0"/>
        <w:jc w:val="both"/>
        <w:rPr>
          <w:color w:val="000000" w:themeColor="text1"/>
          <w:sz w:val="16"/>
          <w:szCs w:val="16"/>
        </w:rPr>
      </w:pPr>
      <w:r w:rsidRPr="007224C3">
        <w:rPr>
          <w:rStyle w:val="a7"/>
          <w:b w:val="0"/>
          <w:color w:val="000000" w:themeColor="text1"/>
          <w:sz w:val="16"/>
          <w:szCs w:val="16"/>
        </w:rPr>
        <w:t>7 мая 1944 года</w:t>
      </w:r>
      <w:r w:rsidRPr="007224C3">
        <w:rPr>
          <w:color w:val="000000" w:themeColor="text1"/>
          <w:sz w:val="16"/>
          <w:szCs w:val="16"/>
        </w:rPr>
        <w:t xml:space="preserve"> 600 самоле</w:t>
      </w:r>
      <w:r w:rsidRPr="007224C3">
        <w:rPr>
          <w:color w:val="000000" w:themeColor="text1"/>
          <w:sz w:val="16"/>
          <w:szCs w:val="16"/>
        </w:rPr>
        <w:softHyphen/>
        <w:t xml:space="preserve">тов сбросили 1246 тонн бомб на центр Берлина, потеряв 6 машин. </w:t>
      </w:r>
      <w:r w:rsidRPr="007224C3">
        <w:rPr>
          <w:rStyle w:val="a7"/>
          <w:b w:val="0"/>
          <w:color w:val="000000" w:themeColor="text1"/>
          <w:sz w:val="16"/>
          <w:szCs w:val="16"/>
        </w:rPr>
        <w:t>8 мая</w:t>
      </w:r>
      <w:r w:rsidRPr="007224C3">
        <w:rPr>
          <w:color w:val="000000" w:themeColor="text1"/>
          <w:sz w:val="16"/>
          <w:szCs w:val="16"/>
        </w:rPr>
        <w:t xml:space="preserve"> 386 самолетов (25 сбито), а </w:t>
      </w:r>
      <w:r w:rsidRPr="007224C3">
        <w:rPr>
          <w:rStyle w:val="a7"/>
          <w:b w:val="0"/>
          <w:color w:val="000000" w:themeColor="text1"/>
          <w:sz w:val="16"/>
          <w:szCs w:val="16"/>
        </w:rPr>
        <w:t>19 мая</w:t>
      </w:r>
      <w:r w:rsidRPr="007224C3">
        <w:rPr>
          <w:color w:val="000000" w:themeColor="text1"/>
          <w:sz w:val="16"/>
          <w:szCs w:val="16"/>
        </w:rPr>
        <w:t xml:space="preserve"> 465 самолетов продолжили бомбардировку жилых районов. Всего до </w:t>
      </w:r>
      <w:r w:rsidRPr="007224C3">
        <w:rPr>
          <w:rStyle w:val="a7"/>
          <w:b w:val="0"/>
          <w:color w:val="000000" w:themeColor="text1"/>
          <w:sz w:val="16"/>
          <w:szCs w:val="16"/>
        </w:rPr>
        <w:t>21 июня 1944 года</w:t>
      </w:r>
      <w:r w:rsidRPr="007224C3">
        <w:rPr>
          <w:color w:val="000000" w:themeColor="text1"/>
          <w:sz w:val="16"/>
          <w:szCs w:val="16"/>
        </w:rPr>
        <w:t xml:space="preserve"> они потеряли 113 бомбардировщиков, из них 44 машины были уничтожены на земле, на дозаправке.</w:t>
      </w:r>
    </w:p>
    <w:p w14:paraId="69954BA4" w14:textId="77777777" w:rsidR="00D4630C" w:rsidRPr="007224C3" w:rsidRDefault="00D4630C" w:rsidP="007224C3">
      <w:pPr>
        <w:pStyle w:val="ae"/>
        <w:shd w:val="clear" w:color="auto" w:fill="FFFFFF"/>
        <w:spacing w:before="0" w:after="0"/>
        <w:jc w:val="both"/>
        <w:rPr>
          <w:color w:val="000000" w:themeColor="text1"/>
          <w:sz w:val="16"/>
          <w:szCs w:val="16"/>
        </w:rPr>
      </w:pPr>
      <w:r w:rsidRPr="007224C3">
        <w:rPr>
          <w:color w:val="000000" w:themeColor="text1"/>
          <w:sz w:val="16"/>
          <w:szCs w:val="16"/>
        </w:rPr>
        <w:t>До самой осени продолжалось относительное затишье, вызванное высадкой союзных войск в Нормандии, куда была отвлечена значительная часть бомбардировочной авиации. Немецкая столица все же была атакована:</w:t>
      </w:r>
    </w:p>
    <w:p w14:paraId="1F83BD81" w14:textId="77777777" w:rsidR="00D4630C" w:rsidRPr="007224C3" w:rsidRDefault="00D4630C" w:rsidP="007224C3">
      <w:pPr>
        <w:pStyle w:val="ae"/>
        <w:shd w:val="clear" w:color="auto" w:fill="FFFFFF"/>
        <w:spacing w:before="0" w:after="0"/>
        <w:jc w:val="both"/>
        <w:rPr>
          <w:rStyle w:val="a7"/>
          <w:b w:val="0"/>
          <w:color w:val="000000" w:themeColor="text1"/>
          <w:sz w:val="16"/>
          <w:szCs w:val="16"/>
        </w:rPr>
      </w:pPr>
      <w:r w:rsidRPr="007224C3">
        <w:rPr>
          <w:rStyle w:val="a7"/>
          <w:b w:val="0"/>
          <w:color w:val="000000" w:themeColor="text1"/>
          <w:sz w:val="16"/>
          <w:szCs w:val="16"/>
        </w:rPr>
        <w:t>6 августа 1944 г.</w:t>
      </w:r>
      <w:r w:rsidRPr="007224C3">
        <w:rPr>
          <w:color w:val="000000" w:themeColor="text1"/>
          <w:sz w:val="16"/>
          <w:szCs w:val="16"/>
        </w:rPr>
        <w:t xml:space="preserve">, 128 B-17, а затем </w:t>
      </w:r>
      <w:r w:rsidRPr="007224C3">
        <w:rPr>
          <w:rStyle w:val="a7"/>
          <w:b w:val="0"/>
          <w:color w:val="000000" w:themeColor="text1"/>
          <w:sz w:val="16"/>
          <w:szCs w:val="16"/>
        </w:rPr>
        <w:t>6 октября</w:t>
      </w:r>
      <w:r w:rsidRPr="007224C3">
        <w:rPr>
          <w:color w:val="000000" w:themeColor="text1"/>
          <w:sz w:val="16"/>
          <w:szCs w:val="16"/>
        </w:rPr>
        <w:t xml:space="preserve"> 382 B-17 бомбили Берлин и танковые заводы в Тегеле и Шпандау. За это время было потеряно 17 машин. Ещё раз эти цели и другие заводы подверглись атаке с воздуха </w:t>
      </w:r>
      <w:r w:rsidRPr="007224C3">
        <w:rPr>
          <w:rStyle w:val="a7"/>
          <w:b w:val="0"/>
          <w:color w:val="000000" w:themeColor="text1"/>
          <w:sz w:val="16"/>
          <w:szCs w:val="16"/>
        </w:rPr>
        <w:t>5 декабря (17416).</w:t>
      </w:r>
    </w:p>
    <w:p w14:paraId="1C09B90F" w14:textId="77777777" w:rsidR="00D4630C" w:rsidRPr="007224C3" w:rsidRDefault="00D4630C" w:rsidP="007224C3">
      <w:pPr>
        <w:pStyle w:val="ae"/>
        <w:shd w:val="clear" w:color="auto" w:fill="FFFFFF"/>
        <w:spacing w:before="0" w:after="0"/>
        <w:jc w:val="both"/>
        <w:rPr>
          <w:rStyle w:val="a7"/>
          <w:b w:val="0"/>
          <w:color w:val="000000" w:themeColor="text1"/>
          <w:sz w:val="16"/>
          <w:szCs w:val="16"/>
        </w:rPr>
      </w:pPr>
    </w:p>
    <w:p w14:paraId="11A25DB8" w14:textId="77777777" w:rsidR="00AD702B" w:rsidRPr="007224C3" w:rsidRDefault="00AD702B"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15 февраля 1944 мощные воздушные налеты союзников разрушают бенедиктинский монастырь в Монте-Кассино в Италии, но не выгоняют его немецких защитников (20373).</w:t>
      </w:r>
    </w:p>
    <w:p w14:paraId="1CF224C0" w14:textId="77777777" w:rsidR="00AD702B" w:rsidRPr="007224C3" w:rsidRDefault="00AD702B" w:rsidP="007224C3">
      <w:pPr>
        <w:spacing w:after="0" w:line="240" w:lineRule="auto"/>
        <w:jc w:val="both"/>
        <w:rPr>
          <w:rFonts w:ascii="Times New Roman" w:hAnsi="Times New Roman"/>
          <w:color w:val="0070C0"/>
          <w:sz w:val="16"/>
          <w:szCs w:val="16"/>
        </w:rPr>
      </w:pPr>
    </w:p>
    <w:p w14:paraId="1078A97A" w14:textId="77777777" w:rsidR="00AD702B" w:rsidRPr="007224C3" w:rsidRDefault="00AD702B"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15 февраля 1944 рядом с Анцио немецкая управляемая бомба уничтожает корабль Liberty, разгружающий боеприпасы, и находящийся рядом с ней десантный корабль (20373).</w:t>
      </w:r>
    </w:p>
    <w:p w14:paraId="000A6AFE" w14:textId="77777777" w:rsidR="00AD702B" w:rsidRPr="007224C3" w:rsidRDefault="00AD702B" w:rsidP="007224C3">
      <w:pPr>
        <w:spacing w:after="0" w:line="240" w:lineRule="auto"/>
        <w:jc w:val="both"/>
        <w:rPr>
          <w:rFonts w:ascii="Times New Roman" w:hAnsi="Times New Roman"/>
          <w:color w:val="0070C0"/>
          <w:sz w:val="16"/>
          <w:szCs w:val="16"/>
        </w:rPr>
      </w:pPr>
    </w:p>
    <w:p w14:paraId="3C0D3AF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February 15-18 1944 Allied planes bomb Monte Cassino destroying landmark monastery (1050).</w:t>
      </w:r>
    </w:p>
    <w:p w14:paraId="629B9FE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752EF3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February 15, 1944. The Nazi-occupied Abbey of Monte Cassino, Italy, is destroyed by 254 American B-17 crews, B-25 crews and B-26 crews attacking in two waves (1089).</w:t>
      </w:r>
    </w:p>
    <w:p w14:paraId="13AEBEB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1D7F1E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15-18 февраля 1944 самолеты союзников уничтожили замок Монте Кассино (1050;1089), сбросив 546 т бомб, но не помогло, т.к. немцы были в бункерах (2438,294).</w:t>
      </w:r>
    </w:p>
    <w:p w14:paraId="446859A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44259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15-17 февраля 1944 было второе наступление на Монте-Кассино (3907,248).</w:t>
      </w:r>
    </w:p>
    <w:p w14:paraId="3B64295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91D947" w14:textId="77777777" w:rsidR="00B41B6B" w:rsidRPr="007224C3" w:rsidRDefault="00B41B6B"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15 февраля</w:t>
      </w:r>
      <w:r w:rsidRPr="007224C3">
        <w:rPr>
          <w:rFonts w:ascii="Times New Roman" w:hAnsi="Times New Roman"/>
          <w:color w:val="000000" w:themeColor="text1"/>
          <w:sz w:val="16"/>
          <w:szCs w:val="16"/>
        </w:rPr>
        <w:t xml:space="preserve"> в 1944 году (15-18 февраля) неудачная попытка захвата Кассино новозеландскими и индийскими войсками (15041).</w:t>
      </w:r>
    </w:p>
    <w:p w14:paraId="52492BE5" w14:textId="77777777" w:rsidR="00B41B6B" w:rsidRPr="007224C3" w:rsidRDefault="00B41B6B" w:rsidP="007224C3">
      <w:pPr>
        <w:spacing w:after="0" w:line="240" w:lineRule="auto"/>
        <w:jc w:val="both"/>
        <w:rPr>
          <w:rFonts w:ascii="Times New Roman" w:hAnsi="Times New Roman"/>
          <w:color w:val="000000" w:themeColor="text1"/>
          <w:sz w:val="16"/>
          <w:szCs w:val="16"/>
        </w:rPr>
      </w:pPr>
    </w:p>
    <w:p w14:paraId="5C25C562"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февраля 1944 профашистские офицеры попытались устроить путч в Аргентине (4962).</w:t>
      </w:r>
    </w:p>
    <w:p w14:paraId="30122E99"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4926FEF"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40DD012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9834E5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середине февраля 1944 старший военпред 18-го авиазавода докладывал своему руководству, что &lt;&lt; заводом по чертежам Главного конструктора изготовлен Ил-1 - двухместный вариант бронированного истребителя с мотором АМ-42, и 14.02.44 г. отправлен на завод № 240 для окончательной доводки" (7442).</w:t>
      </w:r>
    </w:p>
    <w:p w14:paraId="3D61AA3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После установки нового мотора АМ-42 и проверки всех систем С.В.Ильюшин направил " Заместителю Народного комиссара Авиационной промышленности товарищу Яковлеву А.С." докладную записку, в которой указывал, что 2-х двухместный бронированный штурмовик Ил-10 с мотором АМ-42 готов к первому вылету, на что и прошу Вашего разрешения" (7442).</w:t>
      </w:r>
    </w:p>
    <w:p w14:paraId="66CBB97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Таким образом, в силу ряда причин, связанных в основном с недоведенностью мотора АМ-42, постройка опытного двухместного Ил-1 затянулась почти на три месяца (7442).</w:t>
      </w:r>
    </w:p>
    <w:p w14:paraId="309656D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8DEBF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середине февраля 1944 в ОКБ П.О.С. был готов 1-й вариант проекта одноместного истребителя с комбини</w:t>
      </w:r>
      <w:r w:rsidRPr="007224C3">
        <w:rPr>
          <w:rFonts w:ascii="Times New Roman" w:hAnsi="Times New Roman"/>
          <w:color w:val="000000" w:themeColor="text1"/>
          <w:sz w:val="16"/>
          <w:szCs w:val="16"/>
        </w:rPr>
        <w:softHyphen/>
        <w:t>рованной силовой установкой конст</w:t>
      </w:r>
      <w:r w:rsidRPr="007224C3">
        <w:rPr>
          <w:rFonts w:ascii="Times New Roman" w:hAnsi="Times New Roman"/>
          <w:color w:val="000000" w:themeColor="text1"/>
          <w:sz w:val="16"/>
          <w:szCs w:val="16"/>
        </w:rPr>
        <w:softHyphen/>
        <w:t>рукции А.А.Фадеева и К.В.Холщевникова. Самолет по схеме пред</w:t>
      </w:r>
      <w:r w:rsidRPr="007224C3">
        <w:rPr>
          <w:rFonts w:ascii="Times New Roman" w:hAnsi="Times New Roman"/>
          <w:color w:val="000000" w:themeColor="text1"/>
          <w:sz w:val="16"/>
          <w:szCs w:val="16"/>
        </w:rPr>
        <w:softHyphen/>
        <w:t>ставлял собой свободнонесущий моно</w:t>
      </w:r>
      <w:r w:rsidRPr="007224C3">
        <w:rPr>
          <w:rFonts w:ascii="Times New Roman" w:hAnsi="Times New Roman"/>
          <w:color w:val="000000" w:themeColor="text1"/>
          <w:sz w:val="16"/>
          <w:szCs w:val="16"/>
        </w:rPr>
        <w:softHyphen/>
        <w:t>план, цельнометаллической конструкции с однокилевым хвостовым оперением и убирающимся в полете шасси. Комбинированная силовая установ</w:t>
      </w:r>
      <w:r w:rsidRPr="007224C3">
        <w:rPr>
          <w:rFonts w:ascii="Times New Roman" w:hAnsi="Times New Roman"/>
          <w:color w:val="000000" w:themeColor="text1"/>
          <w:sz w:val="16"/>
          <w:szCs w:val="16"/>
        </w:rPr>
        <w:softHyphen/>
        <w:t>ка состояла из основного поршневого двигателя М-107А с воздушным вин</w:t>
      </w:r>
      <w:r w:rsidRPr="007224C3">
        <w:rPr>
          <w:rFonts w:ascii="Times New Roman" w:hAnsi="Times New Roman"/>
          <w:color w:val="000000" w:themeColor="text1"/>
          <w:sz w:val="16"/>
          <w:szCs w:val="16"/>
        </w:rPr>
        <w:softHyphen/>
        <w:t>том и дополнительного ВРДК, выполняв</w:t>
      </w:r>
      <w:r w:rsidRPr="007224C3">
        <w:rPr>
          <w:rFonts w:ascii="Times New Roman" w:hAnsi="Times New Roman"/>
          <w:color w:val="000000" w:themeColor="text1"/>
          <w:sz w:val="16"/>
          <w:szCs w:val="16"/>
        </w:rPr>
        <w:softHyphen/>
        <w:t>шего функцию ускорителя. Компрес</w:t>
      </w:r>
      <w:r w:rsidRPr="007224C3">
        <w:rPr>
          <w:rFonts w:ascii="Times New Roman" w:hAnsi="Times New Roman"/>
          <w:color w:val="000000" w:themeColor="text1"/>
          <w:sz w:val="16"/>
          <w:szCs w:val="16"/>
        </w:rPr>
        <w:softHyphen/>
        <w:t>сор приводился во вращение двигате</w:t>
      </w:r>
      <w:r w:rsidRPr="007224C3">
        <w:rPr>
          <w:rFonts w:ascii="Times New Roman" w:hAnsi="Times New Roman"/>
          <w:color w:val="000000" w:themeColor="text1"/>
          <w:sz w:val="16"/>
          <w:szCs w:val="16"/>
        </w:rPr>
        <w:softHyphen/>
        <w:t>лем М-107А при помощи двух валов и промежуточного редуктора. Забор воз</w:t>
      </w:r>
      <w:r w:rsidRPr="007224C3">
        <w:rPr>
          <w:rFonts w:ascii="Times New Roman" w:hAnsi="Times New Roman"/>
          <w:color w:val="000000" w:themeColor="text1"/>
          <w:sz w:val="16"/>
          <w:szCs w:val="16"/>
        </w:rPr>
        <w:softHyphen/>
        <w:t>духа для ВРДК осуществлялся двумя воздухозаборниками, расположенными в носках центроплана крыла. Воздуш</w:t>
      </w:r>
      <w:r w:rsidRPr="007224C3">
        <w:rPr>
          <w:rFonts w:ascii="Times New Roman" w:hAnsi="Times New Roman"/>
          <w:color w:val="000000" w:themeColor="text1"/>
          <w:sz w:val="16"/>
          <w:szCs w:val="16"/>
        </w:rPr>
        <w:softHyphen/>
        <w:t>ные каналы пролегали внутри центроп</w:t>
      </w:r>
      <w:r w:rsidRPr="007224C3">
        <w:rPr>
          <w:rFonts w:ascii="Times New Roman" w:hAnsi="Times New Roman"/>
          <w:color w:val="000000" w:themeColor="text1"/>
          <w:sz w:val="16"/>
          <w:szCs w:val="16"/>
        </w:rPr>
        <w:softHyphen/>
        <w:t>лана, затем входили в фюзеляж и объединялись в один общий канал, который подводил воздух к осевому одноступенчатому компрессору, затем сжатый воздух поступал к передней части камеры сгорания с установлен</w:t>
      </w:r>
      <w:r w:rsidRPr="007224C3">
        <w:rPr>
          <w:rFonts w:ascii="Times New Roman" w:hAnsi="Times New Roman"/>
          <w:color w:val="000000" w:themeColor="text1"/>
          <w:sz w:val="16"/>
          <w:szCs w:val="16"/>
        </w:rPr>
        <w:softHyphen/>
        <w:t>ными в ней форсунками. Задняя часть камеры сгорания переходила в нере</w:t>
      </w:r>
      <w:r w:rsidRPr="007224C3">
        <w:rPr>
          <w:rFonts w:ascii="Times New Roman" w:hAnsi="Times New Roman"/>
          <w:color w:val="000000" w:themeColor="text1"/>
          <w:sz w:val="16"/>
          <w:szCs w:val="16"/>
        </w:rPr>
        <w:softHyphen/>
        <w:t>гулируемое реактивное сопло (10669).</w:t>
      </w:r>
    </w:p>
    <w:p w14:paraId="69A3351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53931BD" w14:textId="77777777" w:rsidR="009D1B58" w:rsidRPr="007224C3" w:rsidRDefault="009D1B58" w:rsidP="007224C3">
      <w:pPr>
        <w:pStyle w:val="ae"/>
        <w:shd w:val="clear" w:color="auto" w:fill="FFFFFF"/>
        <w:spacing w:before="0" w:after="0"/>
        <w:jc w:val="both"/>
        <w:rPr>
          <w:color w:val="000000" w:themeColor="text1"/>
          <w:sz w:val="16"/>
          <w:szCs w:val="16"/>
        </w:rPr>
      </w:pPr>
      <w:r w:rsidRPr="007224C3">
        <w:rPr>
          <w:color w:val="000000" w:themeColor="text1"/>
          <w:sz w:val="16"/>
          <w:szCs w:val="16"/>
        </w:rPr>
        <w:t>К середине февраля 1944 был готов 1-й вариант проекта одноместного истребителя Сухого с комбинированной си ловой установкой конструкции А.А. Фадеева и К.В. Холщев никова. Само лет по схеме представлял собой свободнонесущий моноплан, цельнометаллической конструкции с однокилевым хвостовым оперением и убирающимся в полете шасси.</w:t>
      </w:r>
    </w:p>
    <w:p w14:paraId="6E35ECD5" w14:textId="77777777" w:rsidR="009D1B58" w:rsidRPr="007224C3" w:rsidRDefault="009D1B58" w:rsidP="007224C3">
      <w:pPr>
        <w:pStyle w:val="ae"/>
        <w:shd w:val="clear" w:color="auto" w:fill="FFFFFF"/>
        <w:spacing w:before="0" w:after="0"/>
        <w:jc w:val="both"/>
        <w:rPr>
          <w:color w:val="000000" w:themeColor="text1"/>
          <w:sz w:val="16"/>
          <w:szCs w:val="16"/>
        </w:rPr>
      </w:pPr>
      <w:r w:rsidRPr="007224C3">
        <w:rPr>
          <w:color w:val="000000" w:themeColor="text1"/>
          <w:sz w:val="16"/>
          <w:szCs w:val="16"/>
        </w:rPr>
        <w:t>КДУ состояла из основного поршневого двигателя М-107А конструкции ОКБ В.Я. Климова с воздушным вин том и дополнительного ВРДК, выполнявшего функцию уско рителя. Компрессор приводился во вращение двигателем М-107А при помощи двух валов и промежуточного редукто ра. Забор воздуха для ВРДК осуществлялся двумя воздухо заборниками, расположенными в носках центроплана кры ла. Воздушные каналы пролегали внутри центроплана, за тем входили в фюзеляж и объединялись в один общий канал, который подводил воздух к осевому одноступенчатому комп рессору, затем сжатый воздух поступал к передней части ка меры сгорания с установленными в ней форсунками. Задняя часть камеры сгорания переходила в нерегулируемое реак тивное сопло (19586).</w:t>
      </w:r>
    </w:p>
    <w:p w14:paraId="25CBAB08" w14:textId="77777777" w:rsidR="009D1B58" w:rsidRPr="007224C3" w:rsidRDefault="009D1B58" w:rsidP="007224C3">
      <w:pPr>
        <w:pStyle w:val="ae"/>
        <w:shd w:val="clear" w:color="auto" w:fill="FFFFFF"/>
        <w:spacing w:before="0" w:after="0"/>
        <w:jc w:val="both"/>
        <w:rPr>
          <w:color w:val="000000" w:themeColor="text1"/>
          <w:sz w:val="16"/>
          <w:szCs w:val="16"/>
        </w:rPr>
      </w:pPr>
    </w:p>
    <w:p w14:paraId="116D0AEE" w14:textId="77777777" w:rsidR="009D1B58" w:rsidRPr="007224C3" w:rsidRDefault="009D1B58"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1F4908B5" w14:textId="77777777" w:rsidR="009D1B58" w:rsidRPr="007224C3" w:rsidRDefault="009D1B58"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FDFBCBA" w14:textId="77777777" w:rsidR="009D1B58" w:rsidRPr="007224C3" w:rsidRDefault="009D1B5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середине февраля месяца 1944 подготовили техническую документацию на опытный образец СУ-100. НКТП определял сроком изготовления двух опытных образцов 12 февраля, но на практике построили одну машину. При разработке приоритетом являлась установка системы Д-10С, что же касается СУ-100 с системой С-34, то её планировалось получить не ранее 5 марта. В ходе проектирования боевая масса СУ-100, вооружённой системой Д-10С, рассчитывалась на уровне 31–31,5 т, в финальной редакции масса составила 31,6 т. Боекомплект по сравнению с СУ-85 снизился почти на треть — до 33 выстрелов. Общая конструкция орудийной установки оказалась схожей с СУ-85, при этом толщину подвижной бронировки системы увеличили до 150 мм. Также из боевого отделения убрали левый передний топливный бак, а подвеску передних опорных катков усилили.</w:t>
      </w:r>
    </w:p>
    <w:p w14:paraId="55581585" w14:textId="77777777" w:rsidR="009D1B58" w:rsidRPr="007224C3" w:rsidRDefault="009D1B5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Несговорчивость ЦАКБ и крайне специфичное отношение Грабина к вопросу «что первичнее: орудие или база для него» сыграли в пользу КБ завода №9. В инициативном порядке и в кратчайший срок возглавляемый Ф.Ф. Петровым коллектив конструкторов разработал собственную систему калибра 100 мм. Орудие, </w:t>
      </w:r>
      <w:r w:rsidRPr="007224C3">
        <w:rPr>
          <w:rFonts w:ascii="Times New Roman" w:hAnsi="Times New Roman"/>
          <w:color w:val="000000" w:themeColor="text1"/>
          <w:sz w:val="16"/>
          <w:szCs w:val="16"/>
        </w:rPr>
        <w:lastRenderedPageBreak/>
        <w:t>ведущим конструктором которого являлся М.Е. Безусов, получило обозначение Д-10. Длина ствола составляла те же 56 калибров (5610 мм), что и у С-34-100, одинаковой оказалась и начальная скорость снарядов (900 м/с). Правда, длина отката у Д-10Т оказалась больше, чем у конкурента, и составляла 510–560 мм. Конструктивно система являлась логичным развитием конструкции КБ завода №9, также при её создании достигалась максимальная унификация. Например, от Д-25 брались затвор, люлька, подъёмный и поворотный механизмы.</w:t>
      </w:r>
    </w:p>
    <w:p w14:paraId="2F3E6303" w14:textId="77777777" w:rsidR="009D1B58" w:rsidRPr="007224C3" w:rsidRDefault="009D1B5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Параллельно с разработкой артсистем калибра 100 мм в конструкторском бюро Уральского завода тяжёлого машиностроения (УЗТМ) шли работы по созданию САУ под новые орудия. Разработку машины вела та же группа конструкторов, что и СУ-85, а также </w:t>
      </w:r>
      <w:hyperlink r:id="rId50" w:history="1">
        <w:r w:rsidRPr="007224C3">
          <w:rPr>
            <w:rStyle w:val="a5"/>
            <w:rFonts w:ascii="Times New Roman" w:hAnsi="Times New Roman"/>
            <w:color w:val="000000" w:themeColor="text1"/>
            <w:sz w:val="16"/>
            <w:szCs w:val="16"/>
            <w:u w:val="none"/>
          </w:rPr>
          <w:t>СУ-122</w:t>
        </w:r>
      </w:hyperlink>
      <w:r w:rsidRPr="007224C3">
        <w:rPr>
          <w:rFonts w:ascii="Times New Roman" w:hAnsi="Times New Roman"/>
          <w:color w:val="000000" w:themeColor="text1"/>
          <w:sz w:val="16"/>
          <w:szCs w:val="16"/>
        </w:rPr>
        <w:t>. Работы возглавлял Л.И. Горлицкий, ведущим инженером машины выступал Н.В. Курин.</w:t>
      </w:r>
    </w:p>
    <w:p w14:paraId="07693FD0" w14:textId="77777777" w:rsidR="009D1B58" w:rsidRPr="007224C3" w:rsidRDefault="009D1B5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 многом самоходная установка, получившая обозначение СУ-100, была результатом компромиссных решений. С одной стороны, было очевидно, что необходимо расширять боевое отделение. С другой стороны, над конструкторами дамокловым мечом висело ограничение по массе. Во многом именно проблемы с перегрузкой ходовой части стали главной причиной, почему та же СУ-122М и аналогичные машины так и не стали серийными. В результате боевое отделение по основным геометрическим параметрам оставалось равнозначным СУ-85. Одинаковым оказался и угол наклона верхнего лобового листа рубки — 52 градуса от вертикали.</w:t>
      </w:r>
    </w:p>
    <w:p w14:paraId="6BC1BA3E" w14:textId="77777777" w:rsidR="009D1B58" w:rsidRPr="007224C3" w:rsidRDefault="009D1B5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Фактически СУ-100 была развитием опытного образца модернизированной СУ-85, созданной в конце 1943 года. По сравнению с серийной СУ-85 было внесено некоторое количество улучшений, главным из которых стало появление командирской башенки. Впрочем, простой заменой орудия при разработке СУ-100 не ограничились. Для начала толщина верхнего лобового листа и люка механика-водителя увеличилась до 75 мм. Это позволило заметно увеличить стойкость брони против наиболее распространённых противотанковых орудий (прежде всего 7,5 cm Pak 40). Двухстворчатый люк для панорамы в крыше корпуса сильно изменился, также в его левой створке появился перископический прибор MK-IV. Смотровые перископические приборы по периметру рубки убрали, зато на крышу вернулся вытяжной вентилятор. От наклона кормового листа рубки отказались, что позволило выиграть немного свободного места в боевом отделении (18252).</w:t>
      </w:r>
    </w:p>
    <w:p w14:paraId="0212D8C2" w14:textId="77777777" w:rsidR="009D1B58" w:rsidRPr="007224C3" w:rsidRDefault="009D1B58" w:rsidP="007224C3">
      <w:pPr>
        <w:spacing w:after="0" w:line="240" w:lineRule="auto"/>
        <w:jc w:val="both"/>
        <w:rPr>
          <w:rFonts w:ascii="Times New Roman" w:hAnsi="Times New Roman"/>
          <w:color w:val="000000" w:themeColor="text1"/>
          <w:sz w:val="16"/>
          <w:szCs w:val="16"/>
        </w:rPr>
      </w:pPr>
    </w:p>
    <w:p w14:paraId="28124440"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5FD1007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00B2B4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февраля 1944 передали на государственные испытания модернизированный истребитель Ла-5, на котором учли все рекомендации ЦАГИ: была проведена внешняя и внутренняя герметизация винто-моторной группы и планера, установлены щитки, полностью закрывающие ниши шасси, маслорадиатор перенесен под фюзеляж, а всасывающие патрубки нагнетателя - в носок центроплана, улучшена форма зализов между крылом и фюзеляжем, сокращено количество крышек капота и уменьшен размер подвижных боковых створок; за счет установки аэродинамических компенсаторов на рулях высоты удалось уменьшить усилия на ручке управления на 20-23%. "Эталон" получил усиленное вооружение из трех 20-мм пушек Березина УБ-20 с боезапасом по 150 снарядов на ствол. По программе гос. испытаний намечалось выполнить 44 полета, но в девятом полете, 20 февраля, произошел обрыв шатуна в двигателе, и летчику-испытателю А.Г.Кубышкину с трудом удалось посадить истребитель. Испытания возобновились 8 марта, после ремонта Ла-5. Когда большая часть программы была отработана, из-за производственного дефекта (плохая склейка) в воздухе разрушился 12-й шпангоут фюзеляжа, Кубышкин вновь сумел посадить поврежденный самолет. В отчете по испытаниям майор Кубышкин отметил, что значительно увеличилась горизонтальная скорость и скороподъемность, максимальная скорость достигла значения 680 км/ч на высоте 6250 м - лучший результат среди всех отечественных истребителей того времени. В то же время он указал и на недостатки "эталона 1944 г." - жара в кабине (+40-50° С), скапливание в кабине конденсата влаги, велики усилия на педалях, не предусмотрено быстрое покидание машины, отсутствует автоматика управления винто-моторной группой. Вывод Кубышкин сделал следующий: "Самолет по своим летным данным является одним из лучших истребителей. Необходимо форсировать серийную постройку с одновременным устранением вышеуказанных недостатков." (4707).</w:t>
      </w:r>
    </w:p>
    <w:p w14:paraId="7787DAB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DDB66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16 февраля 1944 г. проходил государственные испытания в НИИ ВВС Да-5ФН "эталон 1944 г." Его 1 февраля 1944 г. испытатель ЛИИ Г.М. Шиянов поднял в воздух.</w:t>
      </w:r>
    </w:p>
    <w:p w14:paraId="21AB823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нём в полной мере реализовали рекомендации ЦАГИ и добавили кое-что ещё.</w:t>
      </w:r>
    </w:p>
    <w:p w14:paraId="4BAFF21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Планер в основном соответствовал "типу 41" с металлическими лонжеронами крыла. Маслорадиатор, как и на предыдущих опытных машинах, перенесли под фюзеляж. Но воздух для нагнетателя теперь забирался через два отверстия в носке центроплана.</w:t>
      </w:r>
    </w:p>
    <w:p w14:paraId="37E7425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Первоначально на "эталоне 1944 г." собирались использовать усовершенствованный мотор М-82ФНА с новым нагнетателем. Он был чуть-чуть длиннее М-82ФН. Однако вскоре выяснилось, что этот двигатель не будет готов в срок. Пришлось вернуться к М-82ФН, но его поставили на другую мотораму и несколько иначе закапо- тировали. Боковые створки укоротили по высоте. На капоте уменьшили количество различных крышек. Поставили индивидуальные (вместо спаренных и строенных) выхлопные патрубки на все цилиндры мотора.</w:t>
      </w:r>
    </w:p>
    <w:p w14:paraId="3DE898E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отличие от предшественников на истребителе установили винт ВИШ-105-В4 с профилем лопастей ЦАГИ В-4, рассчитанным на околозвуковые скорости. Он обеспечил более полное использование мощности, отдаваемой двигателем.</w:t>
      </w:r>
    </w:p>
    <w:p w14:paraId="1F3E066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Вместо двух пушек СП-20 асимметрично установили три облегчённые синхронные Б-20. Из-за нового вооружения самолёт иногда именовался "ЗБ". 20-мм пушка Б-20 была разработана на базе популярного крупнокалиберного пулемёта УБ. При той же начальной скорости снаряда и скорострельности она была почти вдвое легче. Таким образом, секундный залп истребителя возрос в полтора раза. Боезапас на каждую пушку составлял 150 патронов.</w:t>
      </w:r>
    </w:p>
    <w:p w14:paraId="29891B6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"эталоне" усовершенствовали зализы между крылом и фюзеляжем и увеличили на 3% аэродинамическую компенсацию руля высоты. Последнее почти на четверть снизило нагрузку на ручке управления.</w:t>
      </w:r>
    </w:p>
    <w:p w14:paraId="0BEDF54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 стойки шасси укоротили на 80 мм. Сдвинули назад баллон сжатого воздуха, предназначавшийся для запуска двигателя. Радиоприёмник и передатчик переместили в хвост фюзеляжа, обеспечив их дистанционным управлением. Электросеть стала однопро- водной. Были и другие, более мелкие доработки. В итоге вес пустого самолёта снизился на 71 кг, а полётный - на 55 кг, но центровка сдвинулась назад, снизив запас продольной устойчивости, что особенно сказывалось при наборе высоты.</w:t>
      </w:r>
    </w:p>
    <w:p w14:paraId="42E8302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Ведущими по машине были инженер В.И. Апексеенко и лётчик А.Г. Кубыш- кин. Максимальная скорость у земли возросла до 597 км/ч, на первой границе высотности (3250 м) - до 670 км/ч, а на второй -до 680 км/ч. Вертикальная скорость у земли составила 21 м/с.</w:t>
      </w:r>
    </w:p>
    <w:p w14:paraId="608B8C2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Подъём на высоту 4000 м занимал 3,4 мин.</w:t>
      </w:r>
    </w:p>
    <w:p w14:paraId="648C7B0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 испытания пришлось прервать, едва начав. 20 февраля, в девятом полёте, оборвался шатун в моторе. Кубышкину удалось сесть. На ремонт ушло свыше двух недель, полёты возобновились 8 марта. А 22 марта из-за заводского брака (плохой склейки) на рулении разрушился 12-й шпангоут. Но основная программа испытаний к этому времени уже была отработана.</w:t>
      </w:r>
    </w:p>
    <w:p w14:paraId="7C59751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мнению Кубышкина, управлять самолётом стало легче, и решили, что такое состояние вполне приемлемо, за исключением руля поворота, нагрузки от которого заметно ощущались при изменении режима работы мотора. Из- за отсутствия триммера на этом руле лётчику приходилось прикладывать значительные усилия, чтобы на взлёте удержать истребитель от разворота. Температура в кабине, доходившая позднее в жару до 40°С, приносила, конечно, пилоту неудобства. Из-за плохой вентиляции в кабине постоянно чувствовалось присутствие отработанных газов и запах горелой резины. Но в целом самолёт по своим данным мог считаться одним из лучших истребителей своего времени.</w:t>
      </w:r>
    </w:p>
    <w:p w14:paraId="0EEEE01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выводах отчёта по государственным испытаниям отмечалось: "Модифицированный самолёт Ла-5 эталон 1944 г.... по максимальной скорости, скороподъёмности стоит на уровне лучших современных истребительных самолётов, находящихся на вооружении ВВС КА и иностранных государств". Специалисты НИИ ВВС знали, что говорили, - ведь через их руки проходили не только советские боевые машины, но и трофейные немецкие, а также самолёты, поступавшие из Великобритании и США.</w:t>
      </w:r>
    </w:p>
    <w:p w14:paraId="7D184E5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заключении того же отчёта было записано: "Заданные постановлением ГКО № 5404 от 15 марта 1944 г. для улучшенного Ла-5 максимальная скорость 685 км/ч на высоте 6000 м и полётный вес 3250 кг... практически достигнуты. Рекомендовать в серийное производство самолёт Ла-5 эталон 1944 г. (Ла-7), как имеющий значительные преимущества в лётных данных над... Ла-5, с устранением отмеченных дефектов. Так как на самолёте... установлены опытные пушки УБ-20, испытания которых не закончены в НИИ АВ ВВС, считать целесообразным выпускать самолёты с серийным вооружением, т.е. две пушки СП-20 с боезапасом 340 патронов" (11986).</w:t>
      </w:r>
    </w:p>
    <w:p w14:paraId="288233F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2610C5A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февраля 1944 г. началь</w:t>
      </w:r>
      <w:r w:rsidRPr="007224C3">
        <w:rPr>
          <w:rFonts w:ascii="Times New Roman" w:hAnsi="Times New Roman"/>
          <w:color w:val="000000" w:themeColor="text1"/>
          <w:sz w:val="16"/>
          <w:szCs w:val="16"/>
        </w:rPr>
        <w:softHyphen/>
        <w:t>ник 4 спецотдела НКВД СССР под</w:t>
      </w:r>
      <w:r w:rsidRPr="007224C3">
        <w:rPr>
          <w:rFonts w:ascii="Times New Roman" w:hAnsi="Times New Roman"/>
          <w:color w:val="000000" w:themeColor="text1"/>
          <w:sz w:val="16"/>
          <w:szCs w:val="16"/>
        </w:rPr>
        <w:softHyphen/>
        <w:t>полковника госбезопасности В.А.Беке</w:t>
      </w:r>
      <w:r w:rsidRPr="007224C3">
        <w:rPr>
          <w:rFonts w:ascii="Times New Roman" w:hAnsi="Times New Roman"/>
          <w:color w:val="000000" w:themeColor="text1"/>
          <w:sz w:val="16"/>
          <w:szCs w:val="16"/>
        </w:rPr>
        <w:softHyphen/>
        <w:t>това направил начальнику 2 отдела ГУ НАС ВВС КА генерал-майору ИАС Левину докладную записку. В ней сообщалось: «Согласно Вашему зап</w:t>
      </w:r>
      <w:r w:rsidRPr="007224C3">
        <w:rPr>
          <w:rFonts w:ascii="Times New Roman" w:hAnsi="Times New Roman"/>
          <w:color w:val="000000" w:themeColor="text1"/>
          <w:sz w:val="16"/>
          <w:szCs w:val="16"/>
        </w:rPr>
        <w:softHyphen/>
        <w:t>росу направляю предварительные ма</w:t>
      </w:r>
      <w:r w:rsidRPr="007224C3">
        <w:rPr>
          <w:rFonts w:ascii="Times New Roman" w:hAnsi="Times New Roman"/>
          <w:color w:val="000000" w:themeColor="text1"/>
          <w:sz w:val="16"/>
          <w:szCs w:val="16"/>
        </w:rPr>
        <w:softHyphen/>
        <w:t>териалы по установке РД-1 на само</w:t>
      </w:r>
      <w:r w:rsidRPr="007224C3">
        <w:rPr>
          <w:rFonts w:ascii="Times New Roman" w:hAnsi="Times New Roman"/>
          <w:color w:val="000000" w:themeColor="text1"/>
          <w:sz w:val="16"/>
          <w:szCs w:val="16"/>
        </w:rPr>
        <w:softHyphen/>
        <w:t>летах Пе-2, Пе-3 и Пе-2 в высотном варианте с М-82-ТК-3.</w:t>
      </w:r>
    </w:p>
    <w:p w14:paraId="6C7C5F1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Одновременно сообщаю, что конст</w:t>
      </w:r>
      <w:r w:rsidRPr="007224C3">
        <w:rPr>
          <w:rFonts w:ascii="Times New Roman" w:hAnsi="Times New Roman"/>
          <w:color w:val="000000" w:themeColor="text1"/>
          <w:sz w:val="16"/>
          <w:szCs w:val="16"/>
        </w:rPr>
        <w:softHyphen/>
        <w:t>руктор самолета т. Сухой ведет рабо</w:t>
      </w:r>
      <w:r w:rsidRPr="007224C3">
        <w:rPr>
          <w:rFonts w:ascii="Times New Roman" w:hAnsi="Times New Roman"/>
          <w:color w:val="000000" w:themeColor="text1"/>
          <w:sz w:val="16"/>
          <w:szCs w:val="16"/>
        </w:rPr>
        <w:softHyphen/>
        <w:t>ты по установке РД-1 на свой самолет в высотном варианте...» (10668).</w:t>
      </w:r>
    </w:p>
    <w:p w14:paraId="7A595FC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1BD4950" w14:textId="77777777" w:rsidR="009D1B58" w:rsidRPr="007224C3" w:rsidRDefault="009D1B58"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16 февраля 1944 г. док ладная записка заместителя начальника 4 спецотдела НКВД под полковника госбезопасности В.А.Бекетова, направленная начальнику 2 отдела Главного управления истре бятельно-авиационной службы ВВС генерал-майору Левину сообщала:</w:t>
      </w:r>
    </w:p>
    <w:p w14:paraId="65B2560E" w14:textId="77777777" w:rsidR="009D1B58" w:rsidRPr="007224C3" w:rsidRDefault="009D1B58"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 xml:space="preserve"> «Согласно Вашему запросу направляю предвари тельные материалы по установке РД-1 на самолетах Пе-2, Пe-З и Пе-2 в высотном варианте с М-82-ТК-3.</w:t>
      </w:r>
    </w:p>
    <w:p w14:paraId="059C48AE" w14:textId="77777777" w:rsidR="009D1B58" w:rsidRPr="007224C3" w:rsidRDefault="009D1B58"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Одновременно сообщаю, что конструктор самолета т. Сухой ведет работы по установке РД-1 на свой самолет в высот ном варианте...» (19586).</w:t>
      </w:r>
    </w:p>
    <w:p w14:paraId="579CFCC6" w14:textId="77777777" w:rsidR="009D1B58" w:rsidRPr="007224C3" w:rsidRDefault="009D1B58"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3C9A0F4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16 фев</w:t>
      </w:r>
      <w:r w:rsidRPr="007224C3">
        <w:rPr>
          <w:rFonts w:ascii="Times New Roman" w:hAnsi="Times New Roman"/>
          <w:color w:val="000000" w:themeColor="text1"/>
          <w:sz w:val="16"/>
          <w:szCs w:val="16"/>
        </w:rPr>
        <w:softHyphen/>
        <w:t>раля 1944 г. самолет У-2, переоборудованный из серий</w:t>
      </w:r>
      <w:r w:rsidRPr="007224C3">
        <w:rPr>
          <w:rFonts w:ascii="Times New Roman" w:hAnsi="Times New Roman"/>
          <w:color w:val="000000" w:themeColor="text1"/>
          <w:sz w:val="16"/>
          <w:szCs w:val="16"/>
        </w:rPr>
        <w:softHyphen/>
        <w:t>ного № 5842 прибыл на аэродром испытывался в НИИ ВВС КА. В течение двух дней, 17-го и 18-го февраля, произвели 18 полетов, из них 6 полетов ночью. Испытания вел инже</w:t>
      </w:r>
      <w:r w:rsidRPr="007224C3">
        <w:rPr>
          <w:rFonts w:ascii="Times New Roman" w:hAnsi="Times New Roman"/>
          <w:color w:val="000000" w:themeColor="text1"/>
          <w:sz w:val="16"/>
          <w:szCs w:val="16"/>
        </w:rPr>
        <w:softHyphen/>
        <w:t>нер-майор Синельников, кроме него в об</w:t>
      </w:r>
      <w:r w:rsidRPr="007224C3">
        <w:rPr>
          <w:rFonts w:ascii="Times New Roman" w:hAnsi="Times New Roman"/>
          <w:color w:val="000000" w:themeColor="text1"/>
          <w:sz w:val="16"/>
          <w:szCs w:val="16"/>
        </w:rPr>
        <w:softHyphen/>
        <w:t>лете машины участвовал генерал-майор Стефановскнй.</w:t>
      </w:r>
    </w:p>
    <w:p w14:paraId="7D49A88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Общая оценка самолета была вполне благоприятной; особо отмечалось, что из существующих лимузинов этот выполнен наиболее культурно, обладает комфортной закрытой кабиной с хорошим обзором из нее, оборудован связью между летчиком и пассажиром. Одновременно отмечалось, что в кабине нилота задувает через проти</w:t>
      </w:r>
      <w:r w:rsidRPr="007224C3">
        <w:rPr>
          <w:rFonts w:ascii="Times New Roman" w:hAnsi="Times New Roman"/>
          <w:color w:val="000000" w:themeColor="text1"/>
          <w:sz w:val="16"/>
          <w:szCs w:val="16"/>
        </w:rPr>
        <w:softHyphen/>
        <w:t>вопожарную перегородку, при включенном плафоне пассажирской кабины образуются блики на переднем козырьке пилота, плохо закрывается фонарь. П. М. Стефановский, человек высокого роста, отметил, что его голова упирается в потолок.</w:t>
      </w:r>
    </w:p>
    <w:p w14:paraId="0DD24B2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1943 г. инженер-капитан Зусман пред</w:t>
      </w:r>
      <w:r w:rsidRPr="007224C3">
        <w:rPr>
          <w:rFonts w:ascii="Times New Roman" w:hAnsi="Times New Roman"/>
          <w:color w:val="000000" w:themeColor="text1"/>
          <w:sz w:val="16"/>
          <w:szCs w:val="16"/>
        </w:rPr>
        <w:softHyphen/>
        <w:t>ложил переоборудовать несколько стан</w:t>
      </w:r>
      <w:r w:rsidRPr="007224C3">
        <w:rPr>
          <w:rFonts w:ascii="Times New Roman" w:hAnsi="Times New Roman"/>
          <w:color w:val="000000" w:themeColor="text1"/>
          <w:sz w:val="16"/>
          <w:szCs w:val="16"/>
        </w:rPr>
        <w:softHyphen/>
        <w:t>дартных У-2 в комфортабельные 2-х и 3-х местные лимузины для перевозки высшего командного состава и офицеров связи. Из</w:t>
      </w:r>
      <w:r w:rsidRPr="007224C3">
        <w:rPr>
          <w:rFonts w:ascii="Times New Roman" w:hAnsi="Times New Roman"/>
          <w:color w:val="000000" w:themeColor="text1"/>
          <w:sz w:val="16"/>
          <w:szCs w:val="16"/>
        </w:rPr>
        <w:softHyphen/>
        <w:t>вестно, что в том же году два самолета под</w:t>
      </w:r>
      <w:r w:rsidRPr="007224C3">
        <w:rPr>
          <w:rFonts w:ascii="Times New Roman" w:hAnsi="Times New Roman"/>
          <w:color w:val="000000" w:themeColor="text1"/>
          <w:sz w:val="16"/>
          <w:szCs w:val="16"/>
        </w:rPr>
        <w:softHyphen/>
        <w:t>верглись переделкам в 204-х стационарных мастерских 3-й Воздушной армии. Основ</w:t>
      </w:r>
      <w:r w:rsidRPr="007224C3">
        <w:rPr>
          <w:rFonts w:ascii="Times New Roman" w:hAnsi="Times New Roman"/>
          <w:color w:val="000000" w:themeColor="text1"/>
          <w:sz w:val="16"/>
          <w:szCs w:val="16"/>
        </w:rPr>
        <w:softHyphen/>
        <w:t>ные изменения коснулись центральной ча</w:t>
      </w:r>
      <w:r w:rsidRPr="007224C3">
        <w:rPr>
          <w:rFonts w:ascii="Times New Roman" w:hAnsi="Times New Roman"/>
          <w:color w:val="000000" w:themeColor="text1"/>
          <w:sz w:val="16"/>
          <w:szCs w:val="16"/>
        </w:rPr>
        <w:softHyphen/>
        <w:t>сти фюзеляжа: здесь в районе второй каби</w:t>
      </w:r>
      <w:r w:rsidRPr="007224C3">
        <w:rPr>
          <w:rFonts w:ascii="Times New Roman" w:hAnsi="Times New Roman"/>
          <w:color w:val="000000" w:themeColor="text1"/>
          <w:sz w:val="16"/>
          <w:szCs w:val="16"/>
        </w:rPr>
        <w:softHyphen/>
        <w:t>ны по левому борту вырезали верхний лон</w:t>
      </w:r>
      <w:r w:rsidRPr="007224C3">
        <w:rPr>
          <w:rFonts w:ascii="Times New Roman" w:hAnsi="Times New Roman"/>
          <w:color w:val="000000" w:themeColor="text1"/>
          <w:sz w:val="16"/>
          <w:szCs w:val="16"/>
        </w:rPr>
        <w:softHyphen/>
        <w:t>жерон на участке длиной 650 мм и обору</w:t>
      </w:r>
      <w:r w:rsidRPr="007224C3">
        <w:rPr>
          <w:rFonts w:ascii="Times New Roman" w:hAnsi="Times New Roman"/>
          <w:color w:val="000000" w:themeColor="text1"/>
          <w:sz w:val="16"/>
          <w:szCs w:val="16"/>
        </w:rPr>
        <w:softHyphen/>
        <w:t>довали дверную раму с соответствующими усилениями. Обе кабины закрыли обтекае</w:t>
      </w:r>
      <w:r w:rsidRPr="007224C3">
        <w:rPr>
          <w:rFonts w:ascii="Times New Roman" w:hAnsi="Times New Roman"/>
          <w:color w:val="000000" w:themeColor="text1"/>
          <w:sz w:val="16"/>
          <w:szCs w:val="16"/>
        </w:rPr>
        <w:softHyphen/>
        <w:t>мым прозрачным фонарем, установленным на каркасе из стальных труб. В задней пассажирской кабине сняли приборную доску и управление, проводку разместили иод иолом. Саму кабину выполнили в виде са</w:t>
      </w:r>
      <w:r w:rsidRPr="007224C3">
        <w:rPr>
          <w:rFonts w:ascii="Times New Roman" w:hAnsi="Times New Roman"/>
          <w:color w:val="000000" w:themeColor="text1"/>
          <w:sz w:val="16"/>
          <w:szCs w:val="16"/>
        </w:rPr>
        <w:softHyphen/>
        <w:t>лона с мягким креслом, мягкой обивкой бортов и плафоном освещения. В пилот</w:t>
      </w:r>
      <w:r w:rsidRPr="007224C3">
        <w:rPr>
          <w:rFonts w:ascii="Times New Roman" w:hAnsi="Times New Roman"/>
          <w:color w:val="000000" w:themeColor="text1"/>
          <w:sz w:val="16"/>
          <w:szCs w:val="16"/>
        </w:rPr>
        <w:softHyphen/>
        <w:t>ской кабине частично псрекомпоновали приборы летчика, тахометр перенесли на приборную доску. К дополнительным улучшениям следует отнести зализы у сты</w:t>
      </w:r>
      <w:r w:rsidRPr="007224C3">
        <w:rPr>
          <w:rFonts w:ascii="Times New Roman" w:hAnsi="Times New Roman"/>
          <w:color w:val="000000" w:themeColor="text1"/>
          <w:sz w:val="16"/>
          <w:szCs w:val="16"/>
        </w:rPr>
        <w:softHyphen/>
        <w:t>ка нижнего крыла с фюзеляжем, неболь</w:t>
      </w:r>
      <w:r w:rsidRPr="007224C3">
        <w:rPr>
          <w:rFonts w:ascii="Times New Roman" w:hAnsi="Times New Roman"/>
          <w:color w:val="000000" w:themeColor="text1"/>
          <w:sz w:val="16"/>
          <w:szCs w:val="16"/>
        </w:rPr>
        <w:softHyphen/>
        <w:t>шой форкиль, посадочную фару под левым нижним крылом.</w:t>
      </w:r>
    </w:p>
    <w:p w14:paraId="579A25C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сравнении со связным У-2 № 3211, ис</w:t>
      </w:r>
      <w:r w:rsidRPr="007224C3">
        <w:rPr>
          <w:rFonts w:ascii="Times New Roman" w:hAnsi="Times New Roman"/>
          <w:color w:val="000000" w:themeColor="text1"/>
          <w:sz w:val="16"/>
          <w:szCs w:val="16"/>
        </w:rPr>
        <w:softHyphen/>
        <w:t>пытанным в НИИ ВВС в январе 1943 г., «Лимузин» № 5842 показал следующие ха</w:t>
      </w:r>
      <w:r w:rsidRPr="007224C3">
        <w:rPr>
          <w:rFonts w:ascii="Times New Roman" w:hAnsi="Times New Roman"/>
          <w:color w:val="000000" w:themeColor="text1"/>
          <w:sz w:val="16"/>
          <w:szCs w:val="16"/>
        </w:rPr>
        <w:softHyphen/>
        <w:t>рактеристики: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92"/>
        <w:gridCol w:w="3192"/>
        <w:gridCol w:w="3192"/>
      </w:tblGrid>
      <w:tr w:rsidR="005106D0" w:rsidRPr="007224C3" w14:paraId="208A231B" w14:textId="77777777">
        <w:tc>
          <w:tcPr>
            <w:tcW w:w="3192" w:type="dxa"/>
            <w:tcBorders>
              <w:top w:val="single" w:sz="12" w:space="0" w:color="auto"/>
            </w:tcBorders>
            <w:shd w:val="clear" w:color="auto" w:fill="FFFFFF"/>
          </w:tcPr>
          <w:p w14:paraId="4FA7505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3192" w:type="dxa"/>
            <w:tcBorders>
              <w:top w:val="single" w:sz="12" w:space="0" w:color="auto"/>
            </w:tcBorders>
            <w:shd w:val="clear" w:color="auto" w:fill="FFFFFF"/>
          </w:tcPr>
          <w:p w14:paraId="60C2747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Лимузин» № 5842</w:t>
            </w:r>
          </w:p>
        </w:tc>
        <w:tc>
          <w:tcPr>
            <w:tcW w:w="3192" w:type="dxa"/>
            <w:tcBorders>
              <w:top w:val="single" w:sz="12" w:space="0" w:color="auto"/>
            </w:tcBorders>
            <w:shd w:val="clear" w:color="auto" w:fill="FFFFFF"/>
          </w:tcPr>
          <w:p w14:paraId="1EFB0F6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У-2 № 3211</w:t>
            </w:r>
          </w:p>
        </w:tc>
      </w:tr>
      <w:tr w:rsidR="005106D0" w:rsidRPr="007224C3" w14:paraId="7061D839" w14:textId="77777777">
        <w:tc>
          <w:tcPr>
            <w:tcW w:w="3192" w:type="dxa"/>
            <w:shd w:val="clear" w:color="auto" w:fill="FFFFFF"/>
          </w:tcPr>
          <w:p w14:paraId="6E7189F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 пустого (кг)</w:t>
            </w:r>
          </w:p>
        </w:tc>
        <w:tc>
          <w:tcPr>
            <w:tcW w:w="3192" w:type="dxa"/>
            <w:shd w:val="clear" w:color="auto" w:fill="FFFFFF"/>
          </w:tcPr>
          <w:p w14:paraId="14C79E2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829</w:t>
            </w:r>
          </w:p>
        </w:tc>
        <w:tc>
          <w:tcPr>
            <w:tcW w:w="3192" w:type="dxa"/>
            <w:shd w:val="clear" w:color="auto" w:fill="FFFFFF"/>
          </w:tcPr>
          <w:p w14:paraId="490C1A8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773</w:t>
            </w:r>
          </w:p>
        </w:tc>
      </w:tr>
      <w:tr w:rsidR="005106D0" w:rsidRPr="007224C3" w14:paraId="16099BD7" w14:textId="77777777">
        <w:tc>
          <w:tcPr>
            <w:tcW w:w="3192" w:type="dxa"/>
            <w:shd w:val="clear" w:color="auto" w:fill="FFFFFF"/>
          </w:tcPr>
          <w:p w14:paraId="74B0EB3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Полетный вес (кг)</w:t>
            </w:r>
          </w:p>
        </w:tc>
        <w:tc>
          <w:tcPr>
            <w:tcW w:w="3192" w:type="dxa"/>
            <w:shd w:val="clear" w:color="auto" w:fill="FFFFFF"/>
          </w:tcPr>
          <w:p w14:paraId="423D1F4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1182</w:t>
            </w:r>
          </w:p>
        </w:tc>
        <w:tc>
          <w:tcPr>
            <w:tcW w:w="3192" w:type="dxa"/>
            <w:shd w:val="clear" w:color="auto" w:fill="FFFFFF"/>
          </w:tcPr>
          <w:p w14:paraId="3DE5055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1050</w:t>
            </w:r>
          </w:p>
        </w:tc>
      </w:tr>
      <w:tr w:rsidR="005106D0" w:rsidRPr="007224C3" w14:paraId="6DFCE0E0" w14:textId="77777777">
        <w:tc>
          <w:tcPr>
            <w:tcW w:w="3192" w:type="dxa"/>
            <w:shd w:val="clear" w:color="auto" w:fill="FFFFFF"/>
          </w:tcPr>
          <w:p w14:paraId="09AC4F6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 скорость у земли (км/ч)</w:t>
            </w:r>
          </w:p>
        </w:tc>
        <w:tc>
          <w:tcPr>
            <w:tcW w:w="3192" w:type="dxa"/>
            <w:shd w:val="clear" w:color="auto" w:fill="FFFFFF"/>
          </w:tcPr>
          <w:p w14:paraId="326F53D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168</w:t>
            </w:r>
          </w:p>
        </w:tc>
        <w:tc>
          <w:tcPr>
            <w:tcW w:w="3192" w:type="dxa"/>
            <w:shd w:val="clear" w:color="auto" w:fill="FFFFFF"/>
          </w:tcPr>
          <w:p w14:paraId="73F08A7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151</w:t>
            </w:r>
          </w:p>
        </w:tc>
      </w:tr>
      <w:tr w:rsidR="005106D0" w:rsidRPr="007224C3" w14:paraId="6A89C98C" w14:textId="77777777">
        <w:tc>
          <w:tcPr>
            <w:tcW w:w="3192" w:type="dxa"/>
            <w:shd w:val="clear" w:color="auto" w:fill="FFFFFF"/>
          </w:tcPr>
          <w:p w14:paraId="194BF61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Время набора высоты 1000 м (мин)</w:t>
            </w:r>
          </w:p>
        </w:tc>
        <w:tc>
          <w:tcPr>
            <w:tcW w:w="3192" w:type="dxa"/>
            <w:shd w:val="clear" w:color="auto" w:fill="FFFFFF"/>
          </w:tcPr>
          <w:p w14:paraId="122C04C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8,0</w:t>
            </w:r>
          </w:p>
        </w:tc>
        <w:tc>
          <w:tcPr>
            <w:tcW w:w="3192" w:type="dxa"/>
            <w:shd w:val="clear" w:color="auto" w:fill="FFFFFF"/>
          </w:tcPr>
          <w:p w14:paraId="3DBF2F6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9,0</w:t>
            </w:r>
          </w:p>
        </w:tc>
      </w:tr>
      <w:tr w:rsidR="005106D0" w:rsidRPr="007224C3" w14:paraId="6D78F216" w14:textId="77777777">
        <w:tc>
          <w:tcPr>
            <w:tcW w:w="3192" w:type="dxa"/>
            <w:tcBorders>
              <w:bottom w:val="single" w:sz="12" w:space="0" w:color="auto"/>
            </w:tcBorders>
            <w:shd w:val="clear" w:color="auto" w:fill="FFFFFF"/>
          </w:tcPr>
          <w:p w14:paraId="4305DED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Практический потолок (м)</w:t>
            </w:r>
          </w:p>
        </w:tc>
        <w:tc>
          <w:tcPr>
            <w:tcW w:w="3192" w:type="dxa"/>
            <w:tcBorders>
              <w:bottom w:val="single" w:sz="12" w:space="0" w:color="auto"/>
            </w:tcBorders>
            <w:shd w:val="clear" w:color="auto" w:fill="FFFFFF"/>
          </w:tcPr>
          <w:p w14:paraId="5343D0C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2900</w:t>
            </w:r>
          </w:p>
        </w:tc>
        <w:tc>
          <w:tcPr>
            <w:tcW w:w="3192" w:type="dxa"/>
            <w:tcBorders>
              <w:bottom w:val="single" w:sz="12" w:space="0" w:color="auto"/>
            </w:tcBorders>
            <w:shd w:val="clear" w:color="auto" w:fill="FFFFFF"/>
          </w:tcPr>
          <w:p w14:paraId="6BAD2BD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3000</w:t>
            </w:r>
          </w:p>
        </w:tc>
      </w:tr>
    </w:tbl>
    <w:p w14:paraId="53EC1B5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предложили доработать: в ча</w:t>
      </w:r>
      <w:r w:rsidRPr="007224C3">
        <w:rPr>
          <w:rFonts w:ascii="Times New Roman" w:hAnsi="Times New Roman"/>
          <w:color w:val="000000" w:themeColor="text1"/>
          <w:sz w:val="16"/>
          <w:szCs w:val="16"/>
        </w:rPr>
        <w:softHyphen/>
        <w:t>стности, по рекомендации главного конст</w:t>
      </w:r>
      <w:r w:rsidRPr="007224C3">
        <w:rPr>
          <w:rFonts w:ascii="Times New Roman" w:hAnsi="Times New Roman"/>
          <w:color w:val="000000" w:themeColor="text1"/>
          <w:sz w:val="16"/>
          <w:szCs w:val="16"/>
        </w:rPr>
        <w:softHyphen/>
        <w:t>руктора Н. Н. Поликарпова, было решено усилить фюзеляж в районе выреза пасса</w:t>
      </w:r>
      <w:r w:rsidRPr="007224C3">
        <w:rPr>
          <w:rFonts w:ascii="Times New Roman" w:hAnsi="Times New Roman"/>
          <w:color w:val="000000" w:themeColor="text1"/>
          <w:sz w:val="16"/>
          <w:szCs w:val="16"/>
        </w:rPr>
        <w:softHyphen/>
        <w:t>жирской кабины. При проведении дорабо</w:t>
      </w:r>
      <w:r w:rsidRPr="007224C3">
        <w:rPr>
          <w:rFonts w:ascii="Times New Roman" w:hAnsi="Times New Roman"/>
          <w:color w:val="000000" w:themeColor="text1"/>
          <w:sz w:val="16"/>
          <w:szCs w:val="16"/>
        </w:rPr>
        <w:softHyphen/>
        <w:t>ток в числе прочего отрегулировали фо</w:t>
      </w:r>
      <w:r w:rsidRPr="007224C3">
        <w:rPr>
          <w:rFonts w:ascii="Times New Roman" w:hAnsi="Times New Roman"/>
          <w:color w:val="000000" w:themeColor="text1"/>
          <w:sz w:val="16"/>
          <w:szCs w:val="16"/>
        </w:rPr>
        <w:softHyphen/>
        <w:t>нарь кабины пилота, установили стопор от</w:t>
      </w:r>
      <w:r w:rsidRPr="007224C3">
        <w:rPr>
          <w:rFonts w:ascii="Times New Roman" w:hAnsi="Times New Roman"/>
          <w:color w:val="000000" w:themeColor="text1"/>
          <w:sz w:val="16"/>
          <w:szCs w:val="16"/>
        </w:rPr>
        <w:softHyphen/>
        <w:t>крытого положения двери, перенесли элек</w:t>
      </w:r>
      <w:r w:rsidRPr="007224C3">
        <w:rPr>
          <w:rFonts w:ascii="Times New Roman" w:hAnsi="Times New Roman"/>
          <w:color w:val="000000" w:themeColor="text1"/>
          <w:sz w:val="16"/>
          <w:szCs w:val="16"/>
        </w:rPr>
        <w:softHyphen/>
        <w:t>трощиток, произвели более тщательную регулировку коробки крыльев и управле</w:t>
      </w:r>
      <w:r w:rsidRPr="007224C3">
        <w:rPr>
          <w:rFonts w:ascii="Times New Roman" w:hAnsi="Times New Roman"/>
          <w:color w:val="000000" w:themeColor="text1"/>
          <w:sz w:val="16"/>
          <w:szCs w:val="16"/>
        </w:rPr>
        <w:softHyphen/>
        <w:t>ния, окрасили капот двигателя в более тем</w:t>
      </w:r>
      <w:r w:rsidRPr="007224C3">
        <w:rPr>
          <w:rFonts w:ascii="Times New Roman" w:hAnsi="Times New Roman"/>
          <w:color w:val="000000" w:themeColor="text1"/>
          <w:sz w:val="16"/>
          <w:szCs w:val="16"/>
        </w:rPr>
        <w:softHyphen/>
        <w:t>ный цвет. Все эти работы проделали в трех</w:t>
      </w:r>
      <w:r w:rsidRPr="007224C3">
        <w:rPr>
          <w:rFonts w:ascii="Times New Roman" w:hAnsi="Times New Roman"/>
          <w:color w:val="000000" w:themeColor="text1"/>
          <w:sz w:val="16"/>
          <w:szCs w:val="16"/>
        </w:rPr>
        <w:softHyphen/>
        <w:t>дневный срок до 21 февраля 1944 г. в мас</w:t>
      </w:r>
      <w:r w:rsidRPr="007224C3">
        <w:rPr>
          <w:rFonts w:ascii="Times New Roman" w:hAnsi="Times New Roman"/>
          <w:color w:val="000000" w:themeColor="text1"/>
          <w:sz w:val="16"/>
          <w:szCs w:val="16"/>
        </w:rPr>
        <w:softHyphen/>
        <w:t>терских НИИ ВВС, а затем передали само</w:t>
      </w:r>
      <w:r w:rsidRPr="007224C3">
        <w:rPr>
          <w:rFonts w:ascii="Times New Roman" w:hAnsi="Times New Roman"/>
          <w:color w:val="000000" w:themeColor="text1"/>
          <w:sz w:val="16"/>
          <w:szCs w:val="16"/>
        </w:rPr>
        <w:softHyphen/>
        <w:t>лет в 3-ю Воздушную Армию для дальней</w:t>
      </w:r>
      <w:r w:rsidRPr="007224C3">
        <w:rPr>
          <w:rFonts w:ascii="Times New Roman" w:hAnsi="Times New Roman"/>
          <w:color w:val="000000" w:themeColor="text1"/>
          <w:sz w:val="16"/>
          <w:szCs w:val="16"/>
        </w:rPr>
        <w:softHyphen/>
        <w:t>шей эксплуатации (11085).</w:t>
      </w:r>
    </w:p>
    <w:p w14:paraId="23E2DC3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126CF25"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58E59BE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B99CD9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февраля 1944 вышло Постановление ГКО № 5183 О восстановлении Харьковского завода им. Ленина Наркомтяжмаша. РГАНИР, Фонд ГКО, д. 209, лл. 44-50,51-53 (11012).</w:t>
      </w:r>
    </w:p>
    <w:p w14:paraId="5672202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73487ED0"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февраля 1944 вышло Распоряжение ГКО № 5186 [О создании в I полугодии 1944 г. 15 бронеавтомобилей на железнодорожном ходу.] (7189, 61).</w:t>
      </w:r>
    </w:p>
    <w:p w14:paraId="3F35DB10"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021C51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февраля 1944 вышло Распоряжение ГКО № 5187. О выделении 1050 красноармейцев на постоянную работу по производству пороховой целлюлозы. РГАНИР, Фонд ГКО, д. 209, лл. 62 (11012).</w:t>
      </w:r>
    </w:p>
    <w:p w14:paraId="7A91BEE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445526F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февраля 1944 вышло Постановление ГКО № 5188 О ремонте тракторов в подсобных хозяйствах. РГАНИР, Фонд ГКО, д. 209, лл. 63 (11012).</w:t>
      </w:r>
    </w:p>
    <w:p w14:paraId="11C5A2F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660A66A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февраля 1944 вышло Постановление ГКО № 5189 О строительстве Орджоникидзевской гидроэлектростанции на р. Терек. РГАНИР, Фонд ГКО, д. 209, лл. 64-65,66-70 (11012).</w:t>
      </w:r>
    </w:p>
    <w:p w14:paraId="3811DF7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20B722F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февраля 1944 вышло Постановление ГКО № 5190 Об обеспечении энергетическим оборудованием пусковых электростанций НКЭС в I квартале 1944 года. РГАНИР, Фонд ГКО, д. 209, лл. 71-74,75-83 (11012).</w:t>
      </w:r>
    </w:p>
    <w:p w14:paraId="2CC60B5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44AD003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февраля 1944 вышло Постановление ГКО № 5191 Об организации серийного производства приборов управления торпедной стрельбой "Трап" на заводе № 251 Наркомсудпрома. РГАНИР, Фонд ГКО, д. 209, лл. 84-86,87 (11012).</w:t>
      </w:r>
    </w:p>
    <w:p w14:paraId="3BEEE78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5734BE78"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февраля 1944 вышло Постановление ГКО № 5192 Об обеспечении производства пихтового масла в артелях промкооперации РСФСР. (7189, 88-91,92-100).</w:t>
      </w:r>
    </w:p>
    <w:p w14:paraId="1D7BE3AD"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4DA34C5"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февраля 1944 вышло Постановление ГКО № 5193 Об организации производства сельскохозяйственных локомобилей на Людиновском машиностроительном заводе Наркомтяжмаша. (7189, 101-111,112-117).</w:t>
      </w:r>
    </w:p>
    <w:p w14:paraId="32274A00"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84EB31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февраля 1944 вышло Постановление ГКО № 5194 О восстановлении элеваторно-складского хозяйства и мукомольно-крупяной промышленности Наркомзага в районах, освобожденных от немецкой оккупации. РГАНИР, Фонд ГКО, д. 209, лл. 118-125,126-147 (11012).</w:t>
      </w:r>
    </w:p>
    <w:p w14:paraId="6E38A7E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0E8E5E7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февраля 1944 вышло Постановление ГКО № 5195 О восстановлении производства мельнично-элеваторного оборудования на заводах Наркомминвооружения. РГАНИР, Фонд ГКО, д. 209, лл. 148-154,155-169 (11012).</w:t>
      </w:r>
    </w:p>
    <w:p w14:paraId="06CB371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3D0CBC0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февраля 1944 вышло Распоряжение ГКО № 5196. О распространении п. 20 постановления ГКО № 4556 от 13 ноября 1943 г. на работников НКМТП РСФСР, занятых на заготовках деловой древесины для предприятий союзной промышленности и крепежного леса для НКУП. РГАНИР, Фонд ГКО, д. 209, лл. 170 (11012).</w:t>
      </w:r>
    </w:p>
    <w:p w14:paraId="2C972AF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E593E2C"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февраля 1944 вышло Распоряжение ГКО № 5185 [О передаче пожарной охраны Гомеля в ведение НКВД СССР.] (7189, 60).</w:t>
      </w:r>
    </w:p>
    <w:p w14:paraId="00B2E70B"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A56484A" w14:textId="77777777" w:rsidR="009863CA"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0B20410A" w14:textId="77777777" w:rsidR="009863CA" w:rsidRPr="007224C3" w:rsidRDefault="009863CA"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F6BC8C3" w14:textId="77777777" w:rsidR="009863CA" w:rsidRPr="007224C3" w:rsidRDefault="009863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16 февраля</w:t>
      </w:r>
      <w:r w:rsidRPr="007224C3">
        <w:rPr>
          <w:rFonts w:ascii="Times New Roman" w:hAnsi="Times New Roman"/>
          <w:color w:val="000000" w:themeColor="text1"/>
          <w:sz w:val="16"/>
          <w:szCs w:val="16"/>
        </w:rPr>
        <w:t xml:space="preserve"> в 1944 году оперативная сводка Совинформбюро:</w:t>
      </w:r>
    </w:p>
    <w:p w14:paraId="1501E085" w14:textId="77777777" w:rsidR="009863CA" w:rsidRPr="007224C3" w:rsidRDefault="009863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16 февраля южнее и юго-восточнее города Гдов наши войска, преодолевая сопротивление и контратаки противника, продолжали вести наступательные бои, в ходе которых заняли несколько населённых пунктов и среди них Самолва, Чудские Заходы, Люботеж, Дудино, Мошнино, Бараново и железнодорожную станцию Ямм.</w:t>
      </w:r>
    </w:p>
    <w:p w14:paraId="040F1594" w14:textId="77777777" w:rsidR="009863CA" w:rsidRPr="007224C3" w:rsidRDefault="009863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и южнее Луга наши войска с боями продвигались вперёд и заняли более 30 населённых пунктов, в том числе Овинец, Лышницы, Малое Захонье, Борки, Озерцы, Крени, Замошье и железнодорожную станцию Лямцево.</w:t>
      </w:r>
    </w:p>
    <w:p w14:paraId="51BB7846" w14:textId="77777777" w:rsidR="009863CA" w:rsidRPr="007224C3" w:rsidRDefault="009863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Севернее Звенигородка наши войска вели успешные бои по уничтожению окружённой группировки противника и, сжимая кольцо окружения, овладели сильно укреплёнными опорными пунктами его обороны Яблоновка, Дацки, Прутильцы, Тараща. Противник предпринимал неоднократные попытки прорвать кольцо окружения, но был отбит, понеся при этом огромные потери в живой силе. Одновременно наши войска успешно отбивали контратаки пехоты и танков противника, стремившихся пробиться на помощь окружённой группировке в районе юго-западнее Звенигородка.</w:t>
      </w:r>
    </w:p>
    <w:p w14:paraId="20020766" w14:textId="77777777" w:rsidR="009863CA" w:rsidRPr="007224C3" w:rsidRDefault="009863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 разведка, артиллерийско-миномётная перестрелка и в ряде пунктов бои местного значения.</w:t>
      </w:r>
    </w:p>
    <w:p w14:paraId="08E29219" w14:textId="77777777" w:rsidR="009863CA" w:rsidRPr="007224C3" w:rsidRDefault="009863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15 февраля наши войска на всех фронтах подбили и уничтожили 128 немецких танков. В воздушных боях и огнём зенитной артиллерии сбито 23 самолёта противника.</w:t>
      </w:r>
    </w:p>
    <w:p w14:paraId="770B8BD7" w14:textId="77777777" w:rsidR="009863CA" w:rsidRPr="007224C3" w:rsidRDefault="009863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Южнее и юго-восточнее города Гдов наши войска вели наступательные бои и заняли несколько населённых пунктов. Части Н-ского соединения в результате ожесточённых боёв овладели сильно укреплённый опорным пунктом обороны немцев железнодорожной станцией Ямм. Захвачены трофеи и пленные. В другом районе наши войска, продвигаясь вперёд, уничтожили два батальона немецкой пехоты. Захвачено у немцев 18 орудий, несколько десятков пулемётов и 3 склада с боеприпасами и продовольствием. Отряд наших лыжников, преследуя отступающего противника, обходным манёвром перерезал дорогу, по которой двигался большой обоз немцев. Перебив охрану обоза, лыжники захватили до 400 повозок с военными грузами.</w:t>
      </w:r>
    </w:p>
    <w:p w14:paraId="1100B13E" w14:textId="77777777" w:rsidR="009863CA" w:rsidRPr="007224C3" w:rsidRDefault="009863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Юго-западнее и южнее города Луга наши войска продолжали наступление и заняли более 30 населённых пунктов. Противник предпринял несколько контратак, которые были отбиты с большими для него потерями. Части Н-ского соединения за день боёв уничтожили 600 немецких солдат и офицеров, две артиллерийские батареи и захватили 11 орудий, 36 пулемётов, 15 автомашин и 70 повозок с грузами. На другом участке наши подвижные отряды разгромили гарнизон опорного пункта немцев. Уничтожены две роты гитлеровцев. Взяты пленные.</w:t>
      </w:r>
    </w:p>
    <w:p w14:paraId="629C4DFF" w14:textId="77777777" w:rsidR="009863CA" w:rsidRPr="007224C3" w:rsidRDefault="009863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Севернее города Звенигородка наши войска вели успешные бои по ликвидации окружённой группировки противника. Сжимая кольцо окружения, наши войска выбили немцев из населённых пунктов Яблоновка, Дацки, Прутильцы и Тараща. Лишённые возможности свободного манёвра, немцы предприняли отчаянную попытку вырваться из окружения. Мощный артиллерийский огонь преградил дорогу вражеским танкам. Наши бойцы вступили в рукопашную схватку с пехотой противника, следовавшей за танками. Не выдержав удара, немцы поспешно отступили. В этом бою уничтожено свыше 2.500 солдат и офицеров противника. Сожжено и подбито 17 немецких танков. Захвачено большое число пленных. Овладев городом Корсунь-Шевченковский, части Н-ского соединения захватили 18 немецких транспортных самолётов, 20 орудий, 5 танков, 6 складов с боеприпасами и продовольствием. Кроме того, взято несколько десятков парашютов с грузами, сброшенных немецкими самолётами своим окружённым войскам. Юго-западнее Звенигородка наши войска отбивали контратаки противника, пытавшегося пробиться на помощь окружённой группировке. В ходе боёв в течение дня уничтожено до 90 немецких танков и 6 самоходных орудий.</w:t>
      </w:r>
    </w:p>
    <w:p w14:paraId="21690B80" w14:textId="77777777" w:rsidR="009863CA" w:rsidRPr="007224C3" w:rsidRDefault="009863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Авиация Краснознамённого Балтийского флота потопила транспорт противника водоизмещением 2 тысячи тонн. Морские лётчики, содействуя наступающим наземным войскам, уничтожили более 100 автомашин, разбили 3 железнодорожных эшелона и взорвали несколько складов противника с боеприпасами.</w:t>
      </w:r>
    </w:p>
    <w:p w14:paraId="55EAFB80" w14:textId="77777777" w:rsidR="009863CA" w:rsidRPr="007224C3" w:rsidRDefault="009863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Латвийский партизанский отряд за полтора месяца пустил под откос 13 немецких воинских эшелонов. В результате крушений разбиты 10 паровозов, 8 платформ и 74 вагона. В одном районе после крушения воинского эшелона гитлеровцы два дня извлекали из-под обломков вагонов трупы своих солдат и офицеров. Партизаны другого латвийского отряда разгромили несколько немецких команд, грабивших латвийские деревни.</w:t>
      </w:r>
    </w:p>
    <w:p w14:paraId="32BF3AB6" w14:textId="77777777" w:rsidR="009863CA" w:rsidRPr="007224C3" w:rsidRDefault="009863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районе Млынова сдалась в плен в полном составе 7 рота 49 пехотного полка 18 венгерской лёгкой пехотной дивизии в составе 116 солдат и 4 офицеров. Пленный командир роты капитан Михаль Ковач заявил: «Венгерские солдаты и офицеры ненавидят немцев. Мы не хотим проливать кровь за фашистскую Германию, но правительство Каллаи насильно отправило нас на фронт. Поражения немецких войск на Восточном фронте радуют венгерских патриотов. Не только солдаты, но и многиеофицеры открыто высказываются за немедленный разрыв с немцами».</w:t>
      </w:r>
    </w:p>
    <w:p w14:paraId="6D3C3075" w14:textId="77777777" w:rsidR="009863CA" w:rsidRPr="007224C3" w:rsidRDefault="009863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другом участке захвачено в плен несколько солдат 102 отдельной венгерской танковой роты. Пленный солдат Ричман рассказал: «102 отдельная танковая рота сформирована в ноябре 1943 года. В январе 1944 года мы прибыли на передовые позиции с задачей прикрыть отход немецких частей. Рота понесла ужасные потери. Все танки выбыли из строя. Немцы, чтобы спасти себя, бросили нас прямо под огонь русской артиллерии».</w:t>
      </w:r>
    </w:p>
    <w:p w14:paraId="391BD843" w14:textId="77777777" w:rsidR="009863CA" w:rsidRPr="007224C3" w:rsidRDefault="009863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Ниже публикуется акт о чудовищных зверствах немецко-фашистских мерзавцев в селе Никольское, Ленинградской области: «Захватив село, немецкие изверги разгромили известную в Ленинградской области психиатрическую лечебницу имени Кащенко, а всех больных умертвили. В лечебнице находилось свыше 1.500 стариков, женщин и подростков. Вечером 19 ноября 1941 года немецкие военные власти объявили медперсоналу, что больные эвакуируются в город Псков. Утром 20 ноября немецкие врачи произвели больным подкожное впрыскивание яда, погрузили их вмашины и увезли к противотанковому рву, в деревню Ручьи. Яд действовал быстро, и многие больные умерли в дороге. Гитлеровцы бросали в ров не только мёртвых, но и тех, в ком ещё теплилась жизнь. Затем фашистские палачи расстреляли главного врача лечебницы Дуброву, врача Дивельтову и других медицинских работников. Гитлеровцы в последнее время начали заметать следы своих преступлений. В ноябре1943 года немцы пригнали к противотанковому рву группу захваченных в плен красноармейцев, заставили их вскрыть массовые могилы, извлечь трупы советских граждан и сжечь их. Затем фашистские людоеды загнали всех пленных бойцов, производивших раскопки могил, в сарай и живьём сожгли их».</w:t>
      </w:r>
    </w:p>
    <w:p w14:paraId="7C446192" w14:textId="37560CEA" w:rsidR="009863CA" w:rsidRPr="007224C3" w:rsidRDefault="009863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Акт подписали жители села Никольское О.Сафина, П.Карасёва, Е.Евстратова,</w:t>
      </w:r>
      <w:r w:rsidR="00AD702B" w:rsidRPr="007224C3">
        <w:rPr>
          <w:rFonts w:ascii="Times New Roman" w:hAnsi="Times New Roman"/>
          <w:color w:val="000000" w:themeColor="text1"/>
          <w:sz w:val="16"/>
          <w:szCs w:val="16"/>
        </w:rPr>
        <w:t xml:space="preserve"> З</w:t>
      </w:r>
      <w:r w:rsidRPr="007224C3">
        <w:rPr>
          <w:rFonts w:ascii="Times New Roman" w:hAnsi="Times New Roman"/>
          <w:color w:val="000000" w:themeColor="text1"/>
          <w:sz w:val="16"/>
          <w:szCs w:val="16"/>
        </w:rPr>
        <w:t>.Максимова, А.Кузьмина и другие.» (15042).</w:t>
      </w:r>
    </w:p>
    <w:p w14:paraId="66601912" w14:textId="77777777" w:rsidR="009863CA" w:rsidRPr="007224C3" w:rsidRDefault="009863CA" w:rsidP="007224C3">
      <w:pPr>
        <w:spacing w:after="0" w:line="240" w:lineRule="auto"/>
        <w:jc w:val="both"/>
        <w:rPr>
          <w:rFonts w:ascii="Times New Roman" w:hAnsi="Times New Roman"/>
          <w:color w:val="000000" w:themeColor="text1"/>
          <w:sz w:val="16"/>
          <w:szCs w:val="16"/>
        </w:rPr>
      </w:pPr>
    </w:p>
    <w:p w14:paraId="0FAEAB46" w14:textId="77777777" w:rsidR="009863CA"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Внешняя политика:</w:t>
      </w:r>
    </w:p>
    <w:p w14:paraId="3AED46D7" w14:textId="77777777" w:rsidR="009863CA" w:rsidRPr="007224C3" w:rsidRDefault="009863CA"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BC3789A" w14:textId="77777777" w:rsidR="009863CA" w:rsidRPr="007224C3" w:rsidRDefault="009863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16 февраля</w:t>
      </w:r>
      <w:r w:rsidRPr="007224C3">
        <w:rPr>
          <w:rFonts w:ascii="Times New Roman" w:hAnsi="Times New Roman"/>
          <w:color w:val="000000" w:themeColor="text1"/>
          <w:sz w:val="16"/>
          <w:szCs w:val="16"/>
        </w:rPr>
        <w:t xml:space="preserve"> в 1944 году представитель правительства Финляндии Ю.Паасикиви связался с послом СССР в Швеции А.М.Коллонтай с целью обсудить условия прекращения Финляндией военных действий и выхода ее из войны (15042).</w:t>
      </w:r>
    </w:p>
    <w:p w14:paraId="54F68542" w14:textId="77777777" w:rsidR="009863CA" w:rsidRPr="007224C3" w:rsidRDefault="009863CA" w:rsidP="007224C3">
      <w:pPr>
        <w:spacing w:after="0" w:line="240" w:lineRule="auto"/>
        <w:jc w:val="both"/>
        <w:rPr>
          <w:rFonts w:ascii="Times New Roman" w:hAnsi="Times New Roman"/>
          <w:color w:val="000000" w:themeColor="text1"/>
          <w:sz w:val="16"/>
          <w:szCs w:val="16"/>
        </w:rPr>
      </w:pPr>
    </w:p>
    <w:p w14:paraId="1063229A"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7224C3">
        <w:rPr>
          <w:rFonts w:ascii="Times New Roman" w:hAnsi="Times New Roman"/>
          <w:i/>
          <w:iCs/>
          <w:color w:val="000000" w:themeColor="text1"/>
          <w:sz w:val="16"/>
          <w:szCs w:val="16"/>
        </w:rPr>
        <w:t>За</w:t>
      </w:r>
      <w:r w:rsidRPr="007224C3">
        <w:rPr>
          <w:rFonts w:ascii="Times New Roman" w:hAnsi="Times New Roman"/>
          <w:i/>
          <w:iCs/>
          <w:color w:val="000000" w:themeColor="text1"/>
          <w:sz w:val="16"/>
          <w:szCs w:val="16"/>
          <w:lang w:val="en-US"/>
        </w:rPr>
        <w:t xml:space="preserve"> </w:t>
      </w:r>
      <w:r w:rsidRPr="007224C3">
        <w:rPr>
          <w:rFonts w:ascii="Times New Roman" w:hAnsi="Times New Roman"/>
          <w:i/>
          <w:iCs/>
          <w:color w:val="000000" w:themeColor="text1"/>
          <w:sz w:val="16"/>
          <w:szCs w:val="16"/>
        </w:rPr>
        <w:t>рубежом</w:t>
      </w:r>
      <w:r w:rsidRPr="007224C3">
        <w:rPr>
          <w:rFonts w:ascii="Times New Roman" w:hAnsi="Times New Roman"/>
          <w:i/>
          <w:iCs/>
          <w:color w:val="000000" w:themeColor="text1"/>
          <w:sz w:val="16"/>
          <w:szCs w:val="16"/>
          <w:lang w:val="en-US"/>
        </w:rPr>
        <w:t>:</w:t>
      </w:r>
    </w:p>
    <w:p w14:paraId="4633177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3117AF1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February 16 1944 Germans counter-attack against Anzio beachhead (1050).</w:t>
      </w:r>
    </w:p>
    <w:p w14:paraId="74A5833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CA797B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февраля 1944 немцы начали контратаки против американских войск, высадившихся в Анцио (1050).</w:t>
      </w:r>
    </w:p>
    <w:p w14:paraId="147527D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87534D" w14:textId="77777777" w:rsidR="009863CA" w:rsidRPr="007224C3" w:rsidRDefault="009863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16 февраля</w:t>
      </w:r>
      <w:r w:rsidRPr="007224C3">
        <w:rPr>
          <w:rFonts w:ascii="Times New Roman" w:hAnsi="Times New Roman"/>
          <w:color w:val="000000" w:themeColor="text1"/>
          <w:sz w:val="16"/>
          <w:szCs w:val="16"/>
        </w:rPr>
        <w:t xml:space="preserve"> в 1944 году (16-20 февраля) немецкие войска попытались ликвидировать плацдарм англо-американских войск, высадившихся в районе Анцио, оттеснили их на 5 км к морю, но не смогли ликвидировать плацдарм (15042).</w:t>
      </w:r>
    </w:p>
    <w:p w14:paraId="7B93A123" w14:textId="77777777" w:rsidR="009863CA" w:rsidRPr="007224C3" w:rsidRDefault="009863CA" w:rsidP="007224C3">
      <w:pPr>
        <w:spacing w:after="0" w:line="240" w:lineRule="auto"/>
        <w:jc w:val="both"/>
        <w:rPr>
          <w:rFonts w:ascii="Times New Roman" w:hAnsi="Times New Roman"/>
          <w:color w:val="000000" w:themeColor="text1"/>
          <w:sz w:val="16"/>
          <w:szCs w:val="16"/>
        </w:rPr>
      </w:pPr>
    </w:p>
    <w:p w14:paraId="6999B8C5"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февраля 1944 Би-Би-Си объявила о создании первой в мире образовательной радиопрограммы для школьников (4962).</w:t>
      </w:r>
    </w:p>
    <w:p w14:paraId="49523D8D"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31017D8"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4B6FC09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93B415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февраля 1944 вышел приказ НКАП N 99 c</w:t>
      </w:r>
    </w:p>
    <w:p w14:paraId="11463EB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связи с приказом Наркома о серийном выпуске самолетов Ил-2 со стрельчатым металлическим крылом:</w:t>
      </w:r>
    </w:p>
    <w:p w14:paraId="4EE1788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Директорам заводов 1, 18 и 30 Третьякову, Белянскому и Смирнову к 1 марта 1944 провести стат. испытания одного из первых выпускаемых самолетов по программе:</w:t>
      </w:r>
    </w:p>
    <w:p w14:paraId="3AD8CE4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испытание полного размаха крыла с центропланом на случаи А и А'</w:t>
      </w:r>
    </w:p>
    <w:p w14:paraId="2A6E0C0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испытание фюзеляжа на случаи Е1 и В + АР</w:t>
      </w:r>
    </w:p>
    <w:p w14:paraId="5ACF3B2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испытание шасси, установленного на центроплане на случай E,G и E+F</w:t>
      </w:r>
    </w:p>
    <w:p w14:paraId="5B1D619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Испытание самолета завода 1 провести в лаборатории завода 18. Вес самолета 6200 кг (1663,83).</w:t>
      </w:r>
    </w:p>
    <w:p w14:paraId="1135EBE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A87F3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февраля 1944 года Шахурин писал письмо Сталину.</w:t>
      </w:r>
    </w:p>
    <w:p w14:paraId="47247F6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порядке отчета докладываю:</w:t>
      </w:r>
    </w:p>
    <w:p w14:paraId="5E393F6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Опытный самолет-истребитель Миг конструкции Микояна и Гуревича с мотором АМ-38Ф, построенный на опытном заводе Микояна, прошел 7 января 1944 года государственные испытания в НИИ ВВС.</w:t>
      </w:r>
    </w:p>
    <w:p w14:paraId="5542453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при испытании показал максимальную скорость у земли: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5106D0" w:rsidRPr="007224C3" w14:paraId="0FB5FC6A" w14:textId="77777777">
        <w:tc>
          <w:tcPr>
            <w:tcW w:w="5636" w:type="dxa"/>
          </w:tcPr>
          <w:p w14:paraId="6A65E69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номинальной мощности</w:t>
            </w:r>
          </w:p>
        </w:tc>
        <w:tc>
          <w:tcPr>
            <w:tcW w:w="5636" w:type="dxa"/>
          </w:tcPr>
          <w:p w14:paraId="624BC44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572 км/час</w:t>
            </w:r>
          </w:p>
        </w:tc>
      </w:tr>
      <w:tr w:rsidR="005106D0" w:rsidRPr="007224C3" w14:paraId="7386EE1F" w14:textId="77777777">
        <w:tc>
          <w:tcPr>
            <w:tcW w:w="5636" w:type="dxa"/>
          </w:tcPr>
          <w:p w14:paraId="53A1247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максимальной мощности (форсаж)</w:t>
            </w:r>
          </w:p>
        </w:tc>
        <w:tc>
          <w:tcPr>
            <w:tcW w:w="5636" w:type="dxa"/>
          </w:tcPr>
          <w:p w14:paraId="68006DF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608 км/час</w:t>
            </w:r>
          </w:p>
        </w:tc>
      </w:tr>
      <w:tr w:rsidR="005106D0" w:rsidRPr="007224C3" w14:paraId="08F6FB17" w14:textId="77777777">
        <w:tc>
          <w:tcPr>
            <w:tcW w:w="5636" w:type="dxa"/>
          </w:tcPr>
          <w:p w14:paraId="1A6A1C3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 скорость на высоте 2600 метров:</w:t>
            </w:r>
          </w:p>
        </w:tc>
        <w:tc>
          <w:tcPr>
            <w:tcW w:w="5636" w:type="dxa"/>
          </w:tcPr>
          <w:p w14:paraId="73C934A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A443A9A" w14:textId="77777777">
        <w:tc>
          <w:tcPr>
            <w:tcW w:w="5636" w:type="dxa"/>
          </w:tcPr>
          <w:p w14:paraId="060B48D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номинальной мощности</w:t>
            </w:r>
          </w:p>
        </w:tc>
        <w:tc>
          <w:tcPr>
            <w:tcW w:w="5636" w:type="dxa"/>
          </w:tcPr>
          <w:p w14:paraId="79F655B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622 км/час</w:t>
            </w:r>
          </w:p>
        </w:tc>
      </w:tr>
      <w:tr w:rsidR="005106D0" w:rsidRPr="007224C3" w14:paraId="344B62EE" w14:textId="77777777">
        <w:tc>
          <w:tcPr>
            <w:tcW w:w="5636" w:type="dxa"/>
          </w:tcPr>
          <w:p w14:paraId="26892B6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максимальной мощности (форсаж)</w:t>
            </w:r>
          </w:p>
        </w:tc>
        <w:tc>
          <w:tcPr>
            <w:tcW w:w="5636" w:type="dxa"/>
          </w:tcPr>
          <w:p w14:paraId="7752887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652 км/час</w:t>
            </w:r>
          </w:p>
        </w:tc>
      </w:tr>
    </w:tbl>
    <w:p w14:paraId="4B1F026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вооружен 4 пушками Швак.</w:t>
      </w:r>
    </w:p>
    <w:p w14:paraId="7FACF1C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заключении НИИ ВВС самолет Миг с мотором Ам-38Ф по взлетно-посадочным свойствам и по технике пилотирования прост и доступен для освоения летчиками средней квалификации.</w:t>
      </w:r>
    </w:p>
    <w:p w14:paraId="28C3510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Вооружение самолета прошло испытание удовлетворительно.</w:t>
      </w:r>
    </w:p>
    <w:p w14:paraId="68076FB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Такого же типа опытный самолет, оборудованный мотором Ам-39, показал на заводских испытаниях у Микояна скорость у земли, соответствующую скоростям самолета с мотором Ам-38Ф и на высоте 7500 м - 700 км/час.</w:t>
      </w:r>
    </w:p>
    <w:p w14:paraId="0056F12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ближайшее время завод выпускает второй экземпляр этого самолета в варианте высотного истребителя-перехватчика до высоты 14500 м, оборудованный высотной кабиной.</w:t>
      </w:r>
    </w:p>
    <w:p w14:paraId="226EBEF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Приложение: отзывы летчиков испытателей (1825).</w:t>
      </w:r>
    </w:p>
    <w:p w14:paraId="0DA1A48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310B16"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2D83082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6DBE29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17 февраля 1944 г. было подготовлено СООБЩЕНИЕ НАЧАЛЬНИКА ГБТУ КА НАРОДНОМУ КОМИССАРУ ТАНКОВОЙ ПРОМЫШЛЕННОСТИ СССР В. МАЛЫШЕВУ ПО ВОПРОСАМ МОДЕРНИЗАЦИИ ТАНКОВ № 520792</w:t>
      </w:r>
    </w:p>
    <w:p w14:paraId="0C904CF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В июне 1943 г. государственной комиссией испытан и рекомендован на серийное производ</w:t>
      </w:r>
      <w:r w:rsidRPr="007224C3">
        <w:rPr>
          <w:rFonts w:ascii="Times New Roman" w:hAnsi="Times New Roman"/>
          <w:color w:val="000000" w:themeColor="text1"/>
          <w:sz w:val="16"/>
          <w:szCs w:val="16"/>
        </w:rPr>
        <w:softHyphen/>
        <w:t>ство танковый дымовой прибор для применения дымовых шашек МДШ на танках Т-34 с унификаци</w:t>
      </w:r>
      <w:r w:rsidRPr="007224C3">
        <w:rPr>
          <w:rFonts w:ascii="Times New Roman" w:hAnsi="Times New Roman"/>
          <w:color w:val="000000" w:themeColor="text1"/>
          <w:sz w:val="16"/>
          <w:szCs w:val="16"/>
        </w:rPr>
        <w:softHyphen/>
        <w:t>ей креплений этого прибора для установки и транспортировки дополнительных топливных баков.</w:t>
      </w:r>
    </w:p>
    <w:p w14:paraId="16E65E1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Чертежи для серийного производства отработаны заводом №183, утверждены Наркомтанкопромом и ТУ ГБТУ КА и разосланы заводам-изготовителям танков Т-34.</w:t>
      </w:r>
    </w:p>
    <w:p w14:paraId="1EB4DD4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Ваш заместитель т. Зернов в октябре 1943 г. дал указание всем танковым заводам срочно под</w:t>
      </w:r>
      <w:r w:rsidRPr="007224C3">
        <w:rPr>
          <w:rFonts w:ascii="Times New Roman" w:hAnsi="Times New Roman"/>
          <w:color w:val="000000" w:themeColor="text1"/>
          <w:sz w:val="16"/>
          <w:szCs w:val="16"/>
        </w:rPr>
        <w:softHyphen/>
        <w:t>готовиться к серийному изготовлению и монтажу дымовых приборов.</w:t>
      </w:r>
    </w:p>
    <w:p w14:paraId="1B99610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января с.г. я направил Вам проекты письма на имя т. Берия и постановления о принятии на вооружение дымовых приборов.</w:t>
      </w:r>
    </w:p>
    <w:p w14:paraId="662C35E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Этот материал до сих пор Вам не доложен.</w:t>
      </w:r>
    </w:p>
    <w:p w14:paraId="491C385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Прошу Вашего указания отделу главного конструктора НКТП срочно рассмотреть представлен</w:t>
      </w:r>
      <w:r w:rsidRPr="007224C3">
        <w:rPr>
          <w:rFonts w:ascii="Times New Roman" w:hAnsi="Times New Roman"/>
          <w:color w:val="000000" w:themeColor="text1"/>
          <w:sz w:val="16"/>
          <w:szCs w:val="16"/>
        </w:rPr>
        <w:softHyphen/>
        <w:t>ный мною материал и с Вашим решением возвратить мне.</w:t>
      </w:r>
    </w:p>
    <w:p w14:paraId="5AA9D9D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С октября 1943 г. завод № 112 начал выпускать огнеметные танки Т-О34 с увеличенным до 200 л. резервуаром для огнесмеси.</w:t>
      </w:r>
    </w:p>
    <w:p w14:paraId="4115DE9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№174 до сих пор продолжает выпускать танки Т-О34 с резервуарами в 100 л., т.к. не имеет указаний НКТП о сроках ввода в производство увеличенного резервуара по чертежам завода №112.</w:t>
      </w:r>
    </w:p>
    <w:p w14:paraId="7F096BD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Протокол утверждения чертежей танка Т-О34 с увеличенным резервуаром и сроками ввода в производство согласован с представителями ГБТУ КА в начале ноября 1943 г., но до сих пор не под</w:t>
      </w:r>
      <w:r w:rsidRPr="007224C3">
        <w:rPr>
          <w:rFonts w:ascii="Times New Roman" w:hAnsi="Times New Roman"/>
          <w:color w:val="000000" w:themeColor="text1"/>
          <w:sz w:val="16"/>
          <w:szCs w:val="16"/>
        </w:rPr>
        <w:softHyphen/>
        <w:t>писан начальником тех. управления НКТП.</w:t>
      </w:r>
    </w:p>
    <w:p w14:paraId="277B3CA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Прошу Вашего указания заводу № 174 срочно перейти на изготовление танков Т-О34 с увеличен</w:t>
      </w:r>
      <w:r w:rsidRPr="007224C3">
        <w:rPr>
          <w:rFonts w:ascii="Times New Roman" w:hAnsi="Times New Roman"/>
          <w:color w:val="000000" w:themeColor="text1"/>
          <w:sz w:val="16"/>
          <w:szCs w:val="16"/>
        </w:rPr>
        <w:softHyphen/>
        <w:t>ным резервуаром по чертежам завода №112.</w:t>
      </w:r>
    </w:p>
    <w:p w14:paraId="3DD1830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ГБТУ Красной Армии генерал-лейтенант танковых войск Вершинин</w:t>
      </w:r>
    </w:p>
    <w:p w14:paraId="299D0A5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ТУ ГБТУ Красной Армии инженер-подполковник Муравич</w:t>
      </w:r>
    </w:p>
    <w:p w14:paraId="08A1D70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38. Оп. 11355. Д. 2218. Л. 13. Копия (11403).</w:t>
      </w:r>
    </w:p>
    <w:p w14:paraId="43C2652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13AF8BE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февраля 1944 г. был подготовлен ОТЧЕТ О ВОЙСКОВОМ ИСПЫТАНИИ ДЕСАНТНЫХ БРОНЕАВТОМОБИЛЕЙ БА-64 И БА-64 Б В ПЕРИОД С 20 ЯНВАРЯ ПО 15 ФЕВРАЛЯ 1944 ГОДА</w:t>
      </w:r>
    </w:p>
    <w:p w14:paraId="50978EC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основании распоряжения начальника ГБТУ КА за №1167348с от 12 ноября 1943 года в 7-м гвардейском Нежинском механизированном корпусе проведены войсковые испытания десант</w:t>
      </w:r>
      <w:r w:rsidRPr="007224C3">
        <w:rPr>
          <w:rFonts w:ascii="Times New Roman" w:hAnsi="Times New Roman"/>
          <w:color w:val="000000" w:themeColor="text1"/>
          <w:sz w:val="16"/>
          <w:szCs w:val="16"/>
        </w:rPr>
        <w:softHyphen/>
        <w:t>ных бронеавтомобилей БА-64 с целью:</w:t>
      </w:r>
    </w:p>
    <w:p w14:paraId="614D9BB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Проверить удобство размещения экипажа, прочность и надежность работы бронетранспорте</w:t>
      </w:r>
      <w:r w:rsidRPr="007224C3">
        <w:rPr>
          <w:rFonts w:ascii="Times New Roman" w:hAnsi="Times New Roman"/>
          <w:color w:val="000000" w:themeColor="text1"/>
          <w:sz w:val="16"/>
          <w:szCs w:val="16"/>
        </w:rPr>
        <w:softHyphen/>
        <w:t>ра и способность его буксировать 45-мм противотанковую пушку.</w:t>
      </w:r>
    </w:p>
    <w:p w14:paraId="795CC95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Выяснить целесообразность принятия на вооружение Красной Армии десантного бронеавто</w:t>
      </w:r>
      <w:r w:rsidRPr="007224C3">
        <w:rPr>
          <w:rFonts w:ascii="Times New Roman" w:hAnsi="Times New Roman"/>
          <w:color w:val="000000" w:themeColor="text1"/>
          <w:sz w:val="16"/>
          <w:szCs w:val="16"/>
        </w:rPr>
        <w:softHyphen/>
        <w:t>мобиля БА-64.</w:t>
      </w:r>
    </w:p>
    <w:p w14:paraId="77A548C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войсковые испытания были представлены три десантных бронеавтомобиля, из них два БА-64 (с узкой колеей) и один БА-64-Б (с широкой колеей).</w:t>
      </w:r>
    </w:p>
    <w:p w14:paraId="1AE6C8D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Испытания</w:t>
      </w:r>
    </w:p>
    <w:p w14:paraId="22B407B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Десантные бронеавтомобили были испытаны пробегом на 500 км, из которых 200 км по шоссе и 300 км по проселку плохого качества (начало февраля - ранняя весна). Испытания про</w:t>
      </w:r>
      <w:r w:rsidRPr="007224C3">
        <w:rPr>
          <w:rFonts w:ascii="Times New Roman" w:hAnsi="Times New Roman"/>
          <w:color w:val="000000" w:themeColor="text1"/>
          <w:sz w:val="16"/>
          <w:szCs w:val="16"/>
        </w:rPr>
        <w:softHyphen/>
        <w:t>водились с экипажем 5 человек (водитель и четыре автоматчика) в зимнем обмундировании и полном боевом снаряжении. Каждая машина буксировала 45-мм противотанковую пушку без зарядного ящика на расстояние 200 км (100 км по шоссе и 100 км по проселку).</w:t>
      </w:r>
    </w:p>
    <w:p w14:paraId="6F99045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боевых действиях десантные бронеавтомобили не были, так как корпус находится в резерве.</w:t>
      </w:r>
    </w:p>
    <w:p w14:paraId="5C48906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Результаты испытания</w:t>
      </w:r>
    </w:p>
    <w:p w14:paraId="66D81FD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За все время пробега, как по шоссе, так и по проселку, десантный бронеавтомобиль с широкой колеей шел лучше десантного бронеавтомобиля с узкой колеей. На неровностях и косогорах, а также при поворо</w:t>
      </w:r>
      <w:r w:rsidRPr="007224C3">
        <w:rPr>
          <w:rFonts w:ascii="Times New Roman" w:hAnsi="Times New Roman"/>
          <w:color w:val="000000" w:themeColor="text1"/>
          <w:sz w:val="16"/>
          <w:szCs w:val="16"/>
        </w:rPr>
        <w:softHyphen/>
        <w:t>тах на проселке ширококолейный бронеавтомобиль вел себя устойчивее узкоколейного. При наличии глу</w:t>
      </w:r>
      <w:r w:rsidRPr="007224C3">
        <w:rPr>
          <w:rFonts w:ascii="Times New Roman" w:hAnsi="Times New Roman"/>
          <w:color w:val="000000" w:themeColor="text1"/>
          <w:sz w:val="16"/>
          <w:szCs w:val="16"/>
        </w:rPr>
        <w:softHyphen/>
        <w:t>бокой дорожной колеи или дорожных выбоин, а также на косогорах узкоколейный бронеавтомобиль имел опасность опрокидывания, поэтому замедлял скорость или делал остановки. Ширококолейный десантный бронеавтомобиль этих недостатков относительно узкоколейного десантного бронеавтомобиля не имел.</w:t>
      </w:r>
    </w:p>
    <w:p w14:paraId="0C4B9C2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Буксировка 45-мм противотанковой пушки без зарядного ящика десантным бронеавтомоби</w:t>
      </w:r>
      <w:r w:rsidRPr="007224C3">
        <w:rPr>
          <w:rFonts w:ascii="Times New Roman" w:hAnsi="Times New Roman"/>
          <w:color w:val="000000" w:themeColor="text1"/>
          <w:sz w:val="16"/>
          <w:szCs w:val="16"/>
        </w:rPr>
        <w:softHyphen/>
        <w:t>лем БА-64 Б по шоссе вполне удовлетворительна. Бронеавтомобиль шел на 3-4 передаче и редко на 1-2 передаче. Буксировка же пушки по проселку затруднительна, движение совершалось на 1-2 передаче и редко на 3-й передаче. Из-за низкого расположения прицепного крюка на бронеавтомо</w:t>
      </w:r>
      <w:r w:rsidRPr="007224C3">
        <w:rPr>
          <w:rFonts w:ascii="Times New Roman" w:hAnsi="Times New Roman"/>
          <w:color w:val="000000" w:themeColor="text1"/>
          <w:sz w:val="16"/>
          <w:szCs w:val="16"/>
        </w:rPr>
        <w:softHyphen/>
        <w:t>биле были случаи, что пушка сошниками задевала за грунт, в результате чего получались рывки.</w:t>
      </w:r>
    </w:p>
    <w:p w14:paraId="4BB284D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Размещение автоматчиков в корпусе десантного бронеавтомобиля неудовлетворительное. При посадке 4-х человек в зимнем обмундировании и полном боевом снаряжении, бойцы не в состоянии даже повернуться. Выход перевозимой команды автоматчиков через боковые дверцы до выхода води</w:t>
      </w:r>
      <w:r w:rsidRPr="007224C3">
        <w:rPr>
          <w:rFonts w:ascii="Times New Roman" w:hAnsi="Times New Roman"/>
          <w:color w:val="000000" w:themeColor="text1"/>
          <w:sz w:val="16"/>
          <w:szCs w:val="16"/>
        </w:rPr>
        <w:softHyphen/>
        <w:t>теля из машины невозможен и даже при выходе водителя из машины очень неудобен и занимает много времени. Выход команды автоматчиков через верх корпуса также неудобен и кроме того автоматчики во время выхода через верх корпуса подвержены опасности пулеметного огня или снайпера противника.</w:t>
      </w:r>
    </w:p>
    <w:p w14:paraId="1A9E416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ранении команды в корпусе, раненых очень трудно удалять из корпуса в обстановке обстрела.</w:t>
      </w:r>
    </w:p>
    <w:p w14:paraId="444019C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Расположение бензобака в задней части корпуса на половине его высоты очень опасно в пожар</w:t>
      </w:r>
      <w:r w:rsidRPr="007224C3">
        <w:rPr>
          <w:rFonts w:ascii="Times New Roman" w:hAnsi="Times New Roman"/>
          <w:color w:val="000000" w:themeColor="text1"/>
          <w:sz w:val="16"/>
          <w:szCs w:val="16"/>
        </w:rPr>
        <w:softHyphen/>
        <w:t>ном отношении. При попадании пули или осколка в бензобак и при возникновении пожара команда не в состоянии будет выйти из машины.</w:t>
      </w:r>
    </w:p>
    <w:p w14:paraId="6A2AEAA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сравнении десантного бронеавтомобиля БА-64 Б с бронеавтомобилем БА-64 (с башней) и учиты</w:t>
      </w:r>
      <w:r w:rsidRPr="007224C3">
        <w:rPr>
          <w:rFonts w:ascii="Times New Roman" w:hAnsi="Times New Roman"/>
          <w:color w:val="000000" w:themeColor="text1"/>
          <w:sz w:val="16"/>
          <w:szCs w:val="16"/>
        </w:rPr>
        <w:softHyphen/>
        <w:t>вая опыт боевых действий корпуса нужно отметить, что БА-64 (с башней) для переброски автоматчиков непригоден. За время боевых действий 7-го гвардейского Нежинского мех. корпуса БА-64 (с башней) как боевые машины не использовались, а служили лишь средством связи офицеров командования. Для целей же разведки и связи десантный БА-64 Б более удобен по сравнению с БА-64 (с башней), так как в нем кроме офицера связи могут быть помещены два автоматчика или при необходимости перевезены боеприпасы.</w:t>
      </w:r>
    </w:p>
    <w:p w14:paraId="0B79A57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Требования к десантному бронеавтомобилю (бронетранспортеру)</w:t>
      </w:r>
    </w:p>
    <w:p w14:paraId="54CDD66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Бронетранспортер, смонтированный на шасси ГАЗ-67 для целей разведки, связи, перевозки команды автоматчиков и боеприпасов в зоне ружейно-пулеметного огня и эвакуации раненых с поля боя, должен иметь следующую конструкцию: сидение водителя и управление должно быть слева. Рядом с водителем должно быть сидение командира машины. У командира машины должен быть смотровой прибор, как и у водителя. Корпус бронетранспортера должен быть прямым по типу американского бронетранспортера МЗ-А-1 или ромбовидный по типу немецкого бронетранспортера. Высота борта должна закрывать сидящего в корпусе человека среднего роста. В корпусе должны быть откидывающиеся сидения на 4 человека вдоль машины по два человека на сторону. Бронетранспортер должен иметь дверцы по бокам для входа водите</w:t>
      </w:r>
      <w:r w:rsidRPr="007224C3">
        <w:rPr>
          <w:rFonts w:ascii="Times New Roman" w:hAnsi="Times New Roman"/>
          <w:color w:val="000000" w:themeColor="text1"/>
          <w:sz w:val="16"/>
          <w:szCs w:val="16"/>
        </w:rPr>
        <w:softHyphen/>
        <w:t>ля и командира машины и дверцы сзади для выхода команды. Задние дверцы должны быть сделаны так, чтобы водитель мог закрыть их, не вставая с сидения. Бензобак должен быть установлен по типу автомобиля «Виллис». Дифференциалы переднего и заднего мостов должны быть защищены броневыми листами.</w:t>
      </w:r>
    </w:p>
    <w:p w14:paraId="77A6A67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десантном отделении должен быть установлен ручной пулемет с возможностью кругового обстрела и обстрела зенитных целей. Спинка сидения командира машины должна быть откидывающейся. Броня бронетранспортера должна защищать от простых пуль ружейно-пулеметного огня. Вес бронетранспор</w:t>
      </w:r>
      <w:r w:rsidRPr="007224C3">
        <w:rPr>
          <w:rFonts w:ascii="Times New Roman" w:hAnsi="Times New Roman"/>
          <w:color w:val="000000" w:themeColor="text1"/>
          <w:sz w:val="16"/>
          <w:szCs w:val="16"/>
        </w:rPr>
        <w:softHyphen/>
        <w:t>тера должен быть, возможно, меньшим и не превышать веса десантного бронеавтомобиля БА-64 Б.</w:t>
      </w:r>
    </w:p>
    <w:p w14:paraId="4F4C67B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Выводы:</w:t>
      </w:r>
    </w:p>
    <w:p w14:paraId="41348F1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Десантный бронеавтомобиль БА-64 Б (с широкой колеей) по сравнению с десантным броне</w:t>
      </w:r>
      <w:r w:rsidRPr="007224C3">
        <w:rPr>
          <w:rFonts w:ascii="Times New Roman" w:hAnsi="Times New Roman"/>
          <w:color w:val="000000" w:themeColor="text1"/>
          <w:sz w:val="16"/>
          <w:szCs w:val="16"/>
        </w:rPr>
        <w:softHyphen/>
        <w:t>автомобилем БА-64 (с узкой колеей) имеет лучшую проходимость, устойчивость на ходу и при пово</w:t>
      </w:r>
      <w:r w:rsidRPr="007224C3">
        <w:rPr>
          <w:rFonts w:ascii="Times New Roman" w:hAnsi="Times New Roman"/>
          <w:color w:val="000000" w:themeColor="text1"/>
          <w:sz w:val="16"/>
          <w:szCs w:val="16"/>
        </w:rPr>
        <w:softHyphen/>
        <w:t>ротах. Средняя скорость ширококолейного бронеавтомобиля по проселку выше.</w:t>
      </w:r>
    </w:p>
    <w:p w14:paraId="1862E9A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Буксировать 45-мм противотанковую пушку без зарядного ящика десантным бронеавто</w:t>
      </w:r>
      <w:r w:rsidRPr="007224C3">
        <w:rPr>
          <w:rFonts w:ascii="Times New Roman" w:hAnsi="Times New Roman"/>
          <w:color w:val="000000" w:themeColor="text1"/>
          <w:sz w:val="16"/>
          <w:szCs w:val="16"/>
        </w:rPr>
        <w:softHyphen/>
        <w:t>мобилем БА-64 Б можно по шоссе, по разбитому проселку можно только в исключительных слу</w:t>
      </w:r>
      <w:r w:rsidRPr="007224C3">
        <w:rPr>
          <w:rFonts w:ascii="Times New Roman" w:hAnsi="Times New Roman"/>
          <w:color w:val="000000" w:themeColor="text1"/>
          <w:sz w:val="16"/>
          <w:szCs w:val="16"/>
        </w:rPr>
        <w:softHyphen/>
        <w:t>чаях на небольшие дистанции.</w:t>
      </w:r>
    </w:p>
    <w:p w14:paraId="25AAAC9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Десантный бронеавтомобиль БА-64 Б может быть использован для целей разведки, связи, может быть использован также для переброски автоматчиков и боеприпасов в зоне ружейно-пулеметного огня, но для этих целей он не отвечает и не удовлетворяет всем предъявляемым к нему требованиям.</w:t>
      </w:r>
    </w:p>
    <w:p w14:paraId="1FAD1A6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Десантный бронеавтомобиль БА-64 Б для целей связи и разведки более удобен по сравнению с бронеавтомобилем БА-64 (с башней).</w:t>
      </w:r>
    </w:p>
    <w:p w14:paraId="4EDA44D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Заключение</w:t>
      </w:r>
    </w:p>
    <w:p w14:paraId="2690F0F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Десантный бронеавтомобиль БА-64 Б в представленном виде принять на вооружение Красной Армии нецелесообразно.</w:t>
      </w:r>
    </w:p>
    <w:p w14:paraId="2179C27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Бронетранспортер на базе автомобиля ГАЗ-67 необходим такой, как указано в требованиях к бронетранспортеру.</w:t>
      </w:r>
    </w:p>
    <w:p w14:paraId="5725738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Кроме того Красной Армии необходим бронетранспортер более мощный и с более повышен</w:t>
      </w:r>
      <w:r w:rsidRPr="007224C3">
        <w:rPr>
          <w:rFonts w:ascii="Times New Roman" w:hAnsi="Times New Roman"/>
          <w:color w:val="000000" w:themeColor="text1"/>
          <w:sz w:val="16"/>
          <w:szCs w:val="16"/>
        </w:rPr>
        <w:softHyphen/>
        <w:t>ной проходимостью по типу американского бронетранспортера М-2 и МЗ-А-1.</w:t>
      </w:r>
    </w:p>
    <w:p w14:paraId="52CD829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Для окончательной дачи заключения о прочности предъявленного к войсковым испытаниям бронеавтомобиля необходимо произвести испытания машин в боевых условиях и испытать пробе</w:t>
      </w:r>
      <w:r w:rsidRPr="007224C3">
        <w:rPr>
          <w:rFonts w:ascii="Times New Roman" w:hAnsi="Times New Roman"/>
          <w:color w:val="000000" w:themeColor="text1"/>
          <w:sz w:val="16"/>
          <w:szCs w:val="16"/>
        </w:rPr>
        <w:softHyphen/>
        <w:t>гом на 10-15 тысяч километров, с последующим замером изношенных деталей.</w:t>
      </w:r>
    </w:p>
    <w:p w14:paraId="3116D8E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Приложение: эскизы двух вариантов формы корпуса бронетранспортера на 4-х листах</w:t>
      </w:r>
      <w:r w:rsidRPr="007224C3">
        <w:rPr>
          <w:rFonts w:ascii="Times New Roman" w:hAnsi="Times New Roman"/>
          <w:color w:val="000000" w:themeColor="text1"/>
          <w:sz w:val="16"/>
          <w:szCs w:val="16"/>
          <w:vertAlign w:val="superscript"/>
        </w:rPr>
        <w:t>1</w:t>
      </w:r>
    </w:p>
    <w:p w14:paraId="548CFDA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Комиссия:</w:t>
      </w:r>
    </w:p>
    <w:p w14:paraId="3FEBA55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Пом. командира 7 гвардейского Нежинского МК по технической части гвардии инженер-подполковник Колесников</w:t>
      </w:r>
    </w:p>
    <w:p w14:paraId="4E31F05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Пом. начальника технического отдела 7 гвардейского Нежинского МК гвардии инженер-майор Хейфман</w:t>
      </w:r>
    </w:p>
    <w:p w14:paraId="6CDEF4C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Представитель УБП и БМ ГБТУ КА инженер-капитан Яшин</w:t>
      </w:r>
    </w:p>
    <w:p w14:paraId="4060693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38. Оп. 11358. Д. 211. Л. 34-36. Подлинник (11403).</w:t>
      </w:r>
    </w:p>
    <w:p w14:paraId="4DB0C8A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120F9E6B"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февраля 1944 вышло Постановление ГКО № 5197 Об открытии советских воздушных линий в Иране. (7189, 171-172,173-174).</w:t>
      </w:r>
    </w:p>
    <w:p w14:paraId="7C3D353A"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32FE16A"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17 февраля 1944 вышло Постановление ГКО № 5198 [О передаче МЭИ им. В.М. Молотова дома № 14 по Красноказарменной улице в Москве.] (7189, 175).</w:t>
      </w:r>
    </w:p>
    <w:p w14:paraId="6EE77659"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0B4222D"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598FFD4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3F459F9" w14:textId="77777777" w:rsidR="009863CA" w:rsidRPr="007224C3" w:rsidRDefault="009863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17 февраля</w:t>
      </w:r>
      <w:r w:rsidRPr="007224C3">
        <w:rPr>
          <w:rFonts w:ascii="Times New Roman" w:hAnsi="Times New Roman"/>
          <w:color w:val="000000" w:themeColor="text1"/>
          <w:sz w:val="16"/>
          <w:szCs w:val="16"/>
        </w:rPr>
        <w:t xml:space="preserve"> в 1944 году оперативная сводка Совинформбюро:</w:t>
      </w:r>
    </w:p>
    <w:p w14:paraId="502C5C61" w14:textId="77777777" w:rsidR="009863CA" w:rsidRPr="007224C3" w:rsidRDefault="009863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17 февраля юго-западнее и южнее Луга наши войска продолжали вести наступательные бои, в ходе которых заняли несколько населённых пунктов и среди них Щир, Страшево, Машутино, Тушитова, Осмерицы, Большие Ляды, Малый Уторгош.</w:t>
      </w:r>
    </w:p>
    <w:p w14:paraId="50E0D48C" w14:textId="77777777" w:rsidR="009863CA" w:rsidRPr="007224C3" w:rsidRDefault="009863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2-го Украинского фронта, в результате ожесточённых боёв, продолжавшихся непрерывно в течение четырнадцати дней, 17 февраля завершили операцию по уничтожению десяти дивизий и одной бригады немцев, окружённых врайоне Корсунь-Шевченковский. В ходе этой операции немцы оставили на поле боя убитыми 52 тысячи человек. Сдалось в плен 11 тысяч немецких солдат и офицеров. Вся имевшаяся у противника техника захвачена нашими войсками.</w:t>
      </w:r>
    </w:p>
    <w:p w14:paraId="5C46DA7F" w14:textId="77777777" w:rsidR="009863CA" w:rsidRPr="007224C3" w:rsidRDefault="009863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Звенигородка наши войска успешно отбили все контратаки танков и пехоты противника.</w:t>
      </w:r>
    </w:p>
    <w:p w14:paraId="25391999" w14:textId="77777777" w:rsidR="009863CA" w:rsidRPr="007224C3" w:rsidRDefault="009863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 разведка, артиллерийско-миномётная перестрелка и в ряде пунктов бои местного значения.</w:t>
      </w:r>
    </w:p>
    <w:p w14:paraId="1A97C5CC" w14:textId="77777777" w:rsidR="009863CA" w:rsidRPr="007224C3" w:rsidRDefault="009863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16 февраля наши войска на всех фронтах подбили и уничтожили 78 немецких танков. В воздушных боях и огнём зенитной артиллерии сбито 27 самолётов противника.</w:t>
      </w:r>
    </w:p>
    <w:p w14:paraId="4B8BD3F6" w14:textId="77777777" w:rsidR="009863CA" w:rsidRPr="007224C3" w:rsidRDefault="009863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Массированный налёт наших самолетов на город Хельсинки</w:t>
      </w:r>
    </w:p>
    <w:p w14:paraId="4E4F6EB1" w14:textId="77777777" w:rsidR="009863CA" w:rsidRPr="007224C3" w:rsidRDefault="009863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ночь с 16 на 17 февраля большая группа наших самолётов произвела массированный налёт на город Хельсинки и в течение девяти часов бомбардировала военно-промышленные объекты этого города. В результате бомбардировки возникло много пожаров, сопровождавшихся сильными взрывами. Крупные пожары отмечены на территории судостроительной верфи, военных складов, складов торгового порта, воинских казарм и в центральной части города. В районе железнодорожной станции, электростанции и газового завода наблюдались взрывы большой силы. Пламя пожаров наши лётчики наблюдали при уходе от цели с расстояния 200 километров.</w:t>
      </w:r>
    </w:p>
    <w:p w14:paraId="58564C79" w14:textId="77777777" w:rsidR="009863CA" w:rsidRPr="007224C3" w:rsidRDefault="009863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Три наших самолёта не вернулись на свои базы.</w:t>
      </w:r>
    </w:p>
    <w:p w14:paraId="01C0A570" w14:textId="77777777" w:rsidR="009863CA" w:rsidRPr="007224C3" w:rsidRDefault="009863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и южнее города Луга наши войска продолжали вести наступательные бои и заняли несколько населённых пунктов. На одном участке советские бойцы в ожесточённом бою истребили более батальона гитлеровцев.</w:t>
      </w:r>
    </w:p>
    <w:p w14:paraId="5697673E" w14:textId="77777777" w:rsidR="009863CA" w:rsidRPr="007224C3" w:rsidRDefault="009863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Захвачено у немцев 8 танков, 14 орудий, 200 автомашин и повозок. Части Н-ского соединения, стремительно продвинувшись вперёд, овладели населённым пунктом Малый Уторгош и перерезали шоссе, имеющее для противника важное значение. Уничтожено до 600 немецких солдат и офицеров.</w:t>
      </w:r>
    </w:p>
    <w:p w14:paraId="0960A027" w14:textId="77777777" w:rsidR="009863CA" w:rsidRPr="007224C3" w:rsidRDefault="009863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Наши лётчики наносили удары по коммуникациям и боевым порядкам противника. В результате бомбардировки уничтожено более 200 автомашин, разбит железнодорожный эшелон и взорвано 5 складов с боеприпасами.</w:t>
      </w:r>
    </w:p>
    <w:p w14:paraId="5AECAE7D" w14:textId="77777777" w:rsidR="009863CA" w:rsidRPr="007224C3" w:rsidRDefault="009863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2-го Украинского фронта сегодня, 17 февраля, завершили ликвидацию группировки противника, окружённой в районе города Корсунь-Шевченковский. Наши войска, несмотря на сильный снегопад и вьюгу, решительными ударами сломили упорное сопротивление противника и выбили его из последних мощных узлов обороны Стеблев и Шандеровка. Советская авиация, помогая наземным войскам, непрерывно штурмовала колонны немецкой пехоты. Бросив артиллерию и обозы, противник сегодня предпринял последнюю отчаянную попытку вырваться из кольца окружения, сузившегося до предела. Немецкие войска рано утром колоннами двинулись в атаку. Наши войска встретили гитлеровцев мощным артиллерийско-миномётным и ружейно-пулемётным огнём. Разрозненные группы немцев метались из стороны в сторону, но нигде не могли найти выхода из железного кольца. Наши танкисты и пехотинцы, врываясь в толпы врагов, уничтожали гитлеровцев. Многие немцы, видя безнадёжность своего положения, сдались в плен. К исходу дня наши войска полностью уничтожили окруженную группировку немцев в составе 10 дивизий и одной бригады. За две недели боёв уничтожено 52.000 немецких солдат и офицеров. Сдалось в плен 11.000 немцев. Вся имевшаяся у противника техника и вооружение захвачены нашими войсками.</w:t>
      </w:r>
    </w:p>
    <w:p w14:paraId="44EEE5B3" w14:textId="77777777" w:rsidR="009863CA" w:rsidRPr="007224C3" w:rsidRDefault="009863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Звенигородки наши войска успешно отбили все контратаки танков и пехоты противника. За день боёв истреблено 1.800 немецких солдат и офицеров. Сожжено и подбито 54 немецких танка и 8 самоходных орудий.</w:t>
      </w:r>
    </w:p>
    <w:p w14:paraId="1BEEDA46" w14:textId="77777777" w:rsidR="009863CA" w:rsidRPr="007224C3" w:rsidRDefault="009863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Несколько белорусских партизанских отрядов за истекшую неделю пустили под откос 37 немецких воинских эшелонов. В результате крушений разбиты 19 паровозов, 580 вагонов, платформ и цистерн. За это же время советские патриоты взорвали и сожгли три железнодорожных моста, 12 мостов на шоссейных дорогах и вырезали 227 километров телефонно-телеграфной линии связи. Истреблено до двух тысяч вражеских солдат и офицеров. Групповым ружейно-пулемётным огнём партизаны сбили немецкий самолёт.».</w:t>
      </w:r>
    </w:p>
    <w:p w14:paraId="35386587" w14:textId="77777777" w:rsidR="009863CA" w:rsidRPr="007224C3" w:rsidRDefault="009863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Ликвидация окружённых в районе Корсунь-Шевченковский немецко-фашистских войск.</w:t>
      </w:r>
    </w:p>
    <w:p w14:paraId="4F9BCB6D" w14:textId="77777777" w:rsidR="009863CA" w:rsidRPr="007224C3" w:rsidRDefault="009863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2-го Украинского и 1-го Украинского фронтов, в результате наступления из района севернее Кировоград в западном направлении и из района юго-восточнее Белая Церковь в восточном направлении, прорвали в начале февраля сильно укреплённую оборону немцев и смелым искусным манёвром окружили крупную группировку немецко-фашистских войск севернее линии Звенигородка—Шпола. В результате этой операции наши войска зажали в кольцо 11 немецкий армейский корпус генерал-лейтенанта Штеммермана и 42 немецкий армейский корпус генерала пехоты Маттенклота. В состав окружённых армейских корпусов входят: 112 пехотнаядивизия генерал-майора Либа, 88 пехотная дивизия полковника Бермана, 82 пехотная дивизия генерал-майора Гейне, 72 пехотная дивизия полковника Хонна, 167 пехотная дивизия генерал-лейтенанта Трайнберга, 168 пехотная дивизия генерал-майора Шмидт-Гоммера, 57 пехотная дивизия генерал-майора Дарлица, 332 пехотная дивизия генерал-лейтенанта Шеффера, 213 охранная дивизия генерал-лейтенанта Гешена, танковая дивизия СС «Викинг» бригадефюрера (генерал-майора) Гилле и мотобригада СС «Валония» майора Липперта. Личный состав окружённых войск противника достигал 70-80 тысяч солдат и офицеров.</w:t>
      </w:r>
    </w:p>
    <w:p w14:paraId="26D7F735" w14:textId="77777777" w:rsidR="009863CA" w:rsidRPr="007224C3" w:rsidRDefault="009863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Советское командование в лице заместителя Верховного Главнокомандующего Красной Армии Маршала Советского Союза Жукова, командующего 2-м Украинским фронтом генерала армии Конева и командующего 1-м Украинским фронтом генерала армии Ватутина, во избежание напрасного кровопролития и уничтожения окружённых немецких войск, предъявило 8 февраля 1944 года командованию и всему офицерскому составу окружённых в районе Корсуня-Шевченковского немецких войск ультиматум с предложением прекратить сопротивление. В ультиматуме сообщалось:</w:t>
      </w:r>
    </w:p>
    <w:p w14:paraId="4633613A" w14:textId="77777777" w:rsidR="009863CA" w:rsidRPr="007224C3" w:rsidRDefault="009863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 избежание ненужного кровопролития, мы предлагаем Вам принять следующие условия капитуляции:</w:t>
      </w:r>
    </w:p>
    <w:p w14:paraId="3C25D805" w14:textId="77777777" w:rsidR="009863CA" w:rsidRPr="007224C3" w:rsidRDefault="009863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Все окружённые немецкие войска, во главе с Вами и с Вашими штабами, немедленно прекращают боевые действия.</w:t>
      </w:r>
    </w:p>
    <w:p w14:paraId="12DD0B84" w14:textId="77777777" w:rsidR="009863CA" w:rsidRPr="007224C3" w:rsidRDefault="009863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Вы передаёте нам весь личный состав, оружие, всё боевое снаряжение, транспортные средства и всю технику неповреждённой.</w:t>
      </w:r>
    </w:p>
    <w:p w14:paraId="450F764F" w14:textId="77777777" w:rsidR="009863CA" w:rsidRPr="007224C3" w:rsidRDefault="009863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Мы гарантируем всем офицерам и солдатам, прекратившим сопротивление, жизнь и безопасность, а после окончания войны возвращение в Германию или в любую другую страну по личному желанию военнопленных.</w:t>
      </w:r>
    </w:p>
    <w:p w14:paraId="7D3A86BE" w14:textId="77777777" w:rsidR="009863CA" w:rsidRPr="007224C3" w:rsidRDefault="009863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Всему личному составу сдавшихся частей будут сохранены: военная форма, знаки различия и ордена, личная собственность и ценности, а старшему офицерскому составу, кроме того, будет сохранено и холодное оружие.</w:t>
      </w:r>
    </w:p>
    <w:p w14:paraId="49502341" w14:textId="77777777" w:rsidR="009863CA" w:rsidRPr="007224C3" w:rsidRDefault="009863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Всем раненым и больным будет оказана медицинская помощь. Всем сдавшимся офицерам, унтер-офицерам и солдатам будет обеспечено немедленно питание.</w:t>
      </w:r>
    </w:p>
    <w:p w14:paraId="226554C0" w14:textId="77777777" w:rsidR="009863CA" w:rsidRPr="007224C3" w:rsidRDefault="009863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Ваш ответ ожидается к 11.00 9 февраля 1944 года по московскому времени в письменной форме через Ваших личных представителей, которым надлежит ехать легковой машиной с белым флагом по дороге, идущей от Корсунь-Шевченковский через Стеблев на Хировка.</w:t>
      </w:r>
    </w:p>
    <w:p w14:paraId="2470FEF3" w14:textId="77777777" w:rsidR="009863CA" w:rsidRPr="007224C3" w:rsidRDefault="009863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Ваш представитель будет встречен уполномоченным русским офицером в районе восточной окраины Хировка 9 февраля 1944 года в 11 часов 00 минут по московскому времени. Если Вы отклоните наше предложение сложить оружие, то войска Красной Армии и воздушного флота начнут действия по уничтожению окружённых Ваших войск и ответственность за их уничтожение понесёте Вы».</w:t>
      </w:r>
    </w:p>
    <w:p w14:paraId="1DF188C5" w14:textId="77777777" w:rsidR="009863CA" w:rsidRPr="007224C3" w:rsidRDefault="009863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«Среди командиров окружённых немецких войск были генералы и офицеры, которые видели безнадёжность и обречённость окружённых советскими войсками немецких дивизий и хотели принять ультиматум Советского Командования и капитулировать. Но командование и рядовой состав окружённых немецких войск были одурачены Гитлером, который в приказе к окружённым войскам требовал от солдат и офицеров держаться во что бы то ни стало и заверял их, что со стороны верховного командования германской армии приняты меры, гарантирующие спасение немецких войск, попавших в«котёл».</w:t>
      </w:r>
    </w:p>
    <w:p w14:paraId="5618B4E6" w14:textId="77777777" w:rsidR="009863CA" w:rsidRPr="007224C3" w:rsidRDefault="009863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После такого приказа Гитлера командование окружённых немецко-фашистских войск отклонило ультиматум Советского Командования.</w:t>
      </w:r>
    </w:p>
    <w:p w14:paraId="0CE0B266" w14:textId="77777777" w:rsidR="009863CA" w:rsidRPr="007224C3" w:rsidRDefault="009863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Ввиду отклонения ультиматума, наши войска начали генеральную атаку окружённых дивизий противника и решительными действиями стали быстро уничтожать вражескую группировку.</w:t>
      </w:r>
    </w:p>
    <w:p w14:paraId="2328BA8A" w14:textId="77777777" w:rsidR="009863CA" w:rsidRPr="007224C3" w:rsidRDefault="009863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ходе боёв по уничтожению окружённой группировки противника наши войска заняли важные укреплённые узлы обороны Корсунь-Шевченковский, Ольшана, Городище, Вербовка, Петропавловка, Орловец, Млеев, Завадовка, Деренковец, Таганча, Голяки, Яновка, Выграев, Стеблев, Шан-деровка, железнодорожные станции Валява, Завадовка, Таганча, Сотники.</w:t>
      </w:r>
    </w:p>
    <w:p w14:paraId="6C88FE8C" w14:textId="77777777" w:rsidR="009863CA" w:rsidRPr="007224C3" w:rsidRDefault="009863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Остатки окружённых немецких войск — всего 3-4 тысячи человек,— не имея в своих руках ни одного населённого пункта, пытаются спасти жизнь в оврагах и небольшой роще южнее Шандеровки, но они уничтожаются здесь нашими бойцами.</w:t>
      </w:r>
    </w:p>
    <w:p w14:paraId="5E9A2676" w14:textId="77777777" w:rsidR="009863CA" w:rsidRPr="007224C3" w:rsidRDefault="009863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Окружённые войска немцев оставили на поле боя убитыми 52 тысячи человек. Сдалось в плен 11 тысяч человек. Немцам удалось вывезти на транспортных самолётах едва ли больше 2-3 тысяч офицеров из числа окружённых немецких войск.</w:t>
      </w:r>
    </w:p>
    <w:p w14:paraId="5AC26265" w14:textId="77777777" w:rsidR="009863CA" w:rsidRPr="007224C3" w:rsidRDefault="009863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Начиная с 5 февраля немецкое командование, стянув с других участков фронта в район западнее и юго-западнее Звенигородка 8 танковых дивизий, вооружённых, главным образом, танками типа «Тигр», «Пантера» и самоходными орудиями типа «Фердинанд», а также несколько пехотных дивизий, пополнив их значительным количеством войск из резерва главного командования и сосредоточив в районе сражения более 600 бомбардировщиков, истребителей и транспортных самолётов, предпринимало отчаянные попытки ударами извне южнее Звенигородка прорваться к окружённым немецким войскам и вывести их из окружения.</w:t>
      </w:r>
    </w:p>
    <w:p w14:paraId="6E459B40" w14:textId="77777777" w:rsidR="009863CA" w:rsidRPr="007224C3" w:rsidRDefault="009863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Ценой огромных потерь врагу удалось незначительно вклиниться в боевые порядки наших войск южнее Звенигородка. Но, встретив решительное сопротивление советских войск, истощив и обескровив себя в этих боях, немцы не смогли оказать помощь окружённой группировке.</w:t>
      </w:r>
    </w:p>
    <w:p w14:paraId="7F61C8ED" w14:textId="77777777" w:rsidR="009863CA" w:rsidRPr="007224C3" w:rsidRDefault="009863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этих боях немецко-фашистские войска, безуспешно пытавшиеся пробиться на помощь окружённой группировке, с 5 по 18 февраля потеряли только убитыми до 20.000 своих солдат и офицеров. За это же время уничтожено 329 немецких самолётов, из них 179 транспортных трехмоторных самолётов «Ю-52», более 600 танков и 374 орудия. Наши войска захватили у противника 25 танков, 134 орудия.</w:t>
      </w:r>
    </w:p>
    <w:p w14:paraId="656634D7" w14:textId="77777777" w:rsidR="009863CA" w:rsidRPr="007224C3" w:rsidRDefault="009863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Как показывают пленные немецкие офицеры из окружённых войск, Гитлер после провала попыток спасти окружённых немцев дал немецким войскам, попавшим в «мешок», ещё один приказ, в котором требовал, чтобы окружённые немецкие солдаты и офицеры принесли себя в жертву, дабы задержать своим сопротивлением на некоторое время русские дивизии, ибо этого якобы требуют интересы германского фронта. В упомянутом приказе Гитлера содержалась прямая директива о том, чтобы окружённые немецкие солдаты и офицеры кончали жизнь самоубийством, если их положение станет безвыходным. Пленные немцы показывают также, что за последние 3-4 дня среди солдат и офицеров окружённых немецко-фашистских войск наблюдались массовые случаи самоубийства. Раненые солдаты и офицеры по приказу немецкого командования умерщвлялись и сжигались. Так, например, наши войска, захватившие населённые пункты Стеблев и Шандеровку, обнаружили большое количество сгоревших автомашин, наполненных трупами немецких солдат и офицеров.</w:t>
      </w:r>
    </w:p>
    <w:p w14:paraId="1D0608FB" w14:textId="77777777" w:rsidR="009863CA" w:rsidRPr="007224C3" w:rsidRDefault="009863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Операцией по ликвидации окружённых немецких войск руководил генерал армии т. Конев.» (15043).</w:t>
      </w:r>
    </w:p>
    <w:p w14:paraId="0B9335BE" w14:textId="77777777" w:rsidR="009863CA" w:rsidRPr="007224C3" w:rsidRDefault="009863CA" w:rsidP="007224C3">
      <w:pPr>
        <w:spacing w:after="0" w:line="240" w:lineRule="auto"/>
        <w:jc w:val="both"/>
        <w:rPr>
          <w:rFonts w:ascii="Times New Roman" w:hAnsi="Times New Roman"/>
          <w:color w:val="000000" w:themeColor="text1"/>
          <w:sz w:val="16"/>
          <w:szCs w:val="16"/>
        </w:rPr>
      </w:pPr>
    </w:p>
    <w:p w14:paraId="2981621D" w14:textId="77777777" w:rsidR="009863CA" w:rsidRPr="007224C3" w:rsidRDefault="009863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17 февраля</w:t>
      </w:r>
      <w:r w:rsidRPr="007224C3">
        <w:rPr>
          <w:rFonts w:ascii="Times New Roman" w:hAnsi="Times New Roman"/>
          <w:color w:val="000000" w:themeColor="text1"/>
          <w:sz w:val="16"/>
          <w:szCs w:val="16"/>
        </w:rPr>
        <w:t xml:space="preserve"> в 1944 году советские войска 1-го и 2-го Украинских фронтов под командованием генералов армии Н.Ф.Ватутина и И.С.Конева в ходе битвы за правобережную Украину в районе Корсунь-Шевченковского выступа окружают и громят более 10 дивизий немецко-фашистской группы армий "Юг" под командованием генерал-фельдмаршала Манштейна (15043).</w:t>
      </w:r>
    </w:p>
    <w:p w14:paraId="639DACD4" w14:textId="77777777" w:rsidR="009863CA" w:rsidRPr="007224C3" w:rsidRDefault="009863CA" w:rsidP="007224C3">
      <w:pPr>
        <w:spacing w:after="0" w:line="240" w:lineRule="auto"/>
        <w:jc w:val="both"/>
        <w:rPr>
          <w:rFonts w:ascii="Times New Roman" w:hAnsi="Times New Roman"/>
          <w:color w:val="000000" w:themeColor="text1"/>
          <w:sz w:val="16"/>
          <w:szCs w:val="16"/>
        </w:rPr>
      </w:pPr>
    </w:p>
    <w:p w14:paraId="32FC26F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ночь на 17 февраля 1944 немцы построились в колонны и пытались вырваться из Корсунь-Шевченковского кольца в районе Шендеровки. Действовали б 312 нбад п П.Н.Кузнецова. Бомбили одиночно, но непрерывно танковые колонны. Выгнали под удар катюш. Все же часть прорвалась (340,165).</w:t>
      </w:r>
    </w:p>
    <w:p w14:paraId="0E70C04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8D541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февраля 1944 Ли-2 с А.Г.Кочетковым и и Ф.П.Супруном вылетел с ЦА в США по северному маршруту и прилетели в Вашингтон только 16 марта 1944 (172,168).</w:t>
      </w:r>
    </w:p>
    <w:p w14:paraId="46E09AB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9CA24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February 17, 1944: In the Ukraine, German troops encircled in the Tcherkassy pocket achieve a breakout, but at a heavy cost in men and equipment (3819).</w:t>
      </w:r>
    </w:p>
    <w:p w14:paraId="6109FC9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72C30A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февраля 1944 часть немецких войск прорвалась из Корсунь-Шевченковского котла (3819).</w:t>
      </w:r>
    </w:p>
    <w:p w14:paraId="555363E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2CDB6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февраля 1944 КА, отразив контрудар, вновь перешла в наступление на криворожском направлении. Перед наступление АДД выполнила авиационную подготовку в исключительно трудных условиях (430,188).</w:t>
      </w:r>
    </w:p>
    <w:p w14:paraId="02E9DEA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0E82A7"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февраля 1944 пытаясь вырваться из советского окружения под Корсунем, немецкие войска попали в ловушку и были полностью уничтожены (погибло до 30 тысяч немцев) (4962).</w:t>
      </w:r>
    </w:p>
    <w:p w14:paraId="04B73B68"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46EBD22"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февраля 1944 погиб пионер-партизан Валя Котик (4962).</w:t>
      </w:r>
    </w:p>
    <w:p w14:paraId="275A653E"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1EAD59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февраля 1944 в первом же боевом вылете оборвалась карьера испанского летчика-добровольца лейтенанта Эстанислао Сегуролы Гуэрки (Esta-nislao Sequrola Huerka) из состава 15/JG51. В тот момент сплошной линии фронта на данном участке не было. Немцы засели в опорных пунктах, а через многочисленные “бреши” осуществлялась переброска грузов для партизан. Один из таких переходов с запада прикрывала 37-я партизанская бригада имени Пархоменко, а с востока - армейская 37-я гвардейская стрелковая дивизия. Посередине, фактически на нейтральной полосе, в селе Паричи армейцы установили четырехорудийную 37-миллиметровую зенитную батарею. Именно она с первого залпа и подбила Bf 109G-6 незадачливого испанца, севшего на вынужденную у села Моисеевка. Вскоре немцы нашли лежащую на брюхе машину, но тела пилота в ней не было. Гуэрку объявили пропавшим без вести, а между тем, он попал в плен к партизанам. Командование бригады отправило экзотического пленника под конвоем через линию фронта, но до “Большой земли” он так и не дошел. Печальную судьбу пилота, скорее всего, определили три вещи - редкий для Восточного фронта пистолет “Маузер-Астра”, красивый сувенирный кортик, а главное - шелковое белье, ценимое партизанами дороже золота, поскольку считалось, что в нем не заводятся паразиты. Короче, испанец, которого неизвестно какая нелегкая занесла в наши лесные края, “бесследно исчез”. Что ж, на войне бывает всякое...(9974).</w:t>
      </w:r>
    </w:p>
    <w:p w14:paraId="3910C21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52F1F991"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27FFFF0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2E770BC"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февраля 1944 американцами взорван католический монастырь в Италии, итальянский епископ погиб (4962).</w:t>
      </w:r>
    </w:p>
    <w:p w14:paraId="23DC90D3"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FACAEC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февраля 1944 на Тихом океане американцы выбили японцев с атолла Эниветок (3907,248).</w:t>
      </w:r>
    </w:p>
    <w:p w14:paraId="7EBA67C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540B9D" w14:textId="77777777" w:rsidR="00AD702B" w:rsidRPr="007224C3" w:rsidRDefault="00AD702B"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17 февраля 1944 в ходе операции «Кэтчпол» американские войска вторгаются в Эниветок. Авианосцы USS Saratoga (CV-3), USS Sangamon (CVE-26) , USS Suwannee (CVE-27) и USS Chenango (CVE-28) поддерживают высадку (20373).</w:t>
      </w:r>
    </w:p>
    <w:p w14:paraId="2B4E7515" w14:textId="77777777" w:rsidR="00AD702B" w:rsidRPr="007224C3" w:rsidRDefault="00AD702B" w:rsidP="007224C3">
      <w:pPr>
        <w:spacing w:after="0" w:line="240" w:lineRule="auto"/>
        <w:jc w:val="both"/>
        <w:rPr>
          <w:rFonts w:ascii="Times New Roman" w:hAnsi="Times New Roman"/>
          <w:color w:val="0070C0"/>
          <w:sz w:val="16"/>
          <w:szCs w:val="16"/>
        </w:rPr>
      </w:pPr>
    </w:p>
    <w:p w14:paraId="7BEE6172" w14:textId="169F44E8" w:rsidR="00AD702B" w:rsidRPr="007224C3" w:rsidRDefault="00AD702B"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17 февраля 1944 в операции градины авианосцы ВМС США Целевой группы 58 начинают двухдневные удар по Трук Атолл, Япония - основной базе в южной части Тихого океана; это первые авианосные удары по Труку. Первоначальный вылет 72 истребителей F6F Hellcatsспривел к сбитию 30 японских истребителей и уничтожил еще 45 самолетов на земле, в результате чего было потеряно четыре Hellcats Последующий удар 18 TBF Avengers оставил менее 100 из 365 японских самолетов, которые были на Truk на рассвете. Авианосцы также наносят 30 ударов, каждый из которых превышает любую из двух волн японских самолетов, атаковавших Перл-Харбор в декабре 1941 года, по судам в гавани в течение дня. Вечером японский бомбардировщик-торпедоносец повредил авианосец USS Intrepid (CV-11), выведя его из строя на несколько месяцев (20373).</w:t>
      </w:r>
    </w:p>
    <w:p w14:paraId="031D42CF" w14:textId="77777777" w:rsidR="00AD702B" w:rsidRPr="007224C3" w:rsidRDefault="00AD702B" w:rsidP="007224C3">
      <w:pPr>
        <w:spacing w:after="0" w:line="240" w:lineRule="auto"/>
        <w:jc w:val="both"/>
        <w:rPr>
          <w:rFonts w:ascii="Times New Roman" w:hAnsi="Times New Roman"/>
          <w:color w:val="0070C0"/>
          <w:sz w:val="16"/>
          <w:szCs w:val="16"/>
        </w:rPr>
      </w:pPr>
    </w:p>
    <w:p w14:paraId="502D1D4E"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6DCA20A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E53DFB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февраля 1944 Журавлев выбросился из МиГ АМ-39 2ТК на высоте 9 тыс. из-за пожара и благополучно приземлился, а машина разбилась в районе ст. Кудиново (Монино) (2562,35).</w:t>
      </w:r>
    </w:p>
    <w:p w14:paraId="72BB48A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DFE7C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февраля 1944, а затем 29 мая 1944 вышли постановления ГКО N 5201 (2393,23), по которому головным ведомством по созданию РД стал НКАП, а ранее выполнявший эти функции ГИРТ при СНК был упразднен и вместо него был создан НИИ-1 (нач. П.И.Федоров, зам. В.Ф.Болховитинов), куда попала и группа А.М.Люльки и группа Глушко с 16 завода, а также завод 293 (173,229).</w:t>
      </w:r>
    </w:p>
    <w:p w14:paraId="49CC339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Постановлением N 5201 от 18 февраля 1944 ГКО указывает на совершенно недопустимое положение дела с развитием реактивной авиации (1661,80).</w:t>
      </w:r>
    </w:p>
    <w:p w14:paraId="39E3B6F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Гос. Институт Реактивной Техники при СНК ликвидировать.</w:t>
      </w:r>
    </w:p>
    <w:p w14:paraId="6FEFFC4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Придавая исключительно важное значение делу создания реактивной авиации в СССР, возложить решение этой задачи на НКАП.</w:t>
      </w:r>
    </w:p>
    <w:p w14:paraId="64ADE6A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Обязать НКАП - А.И.Ш. и А.С.Я.:</w:t>
      </w:r>
    </w:p>
    <w:p w14:paraId="7E75F9E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собрать все квалифицированные силы по реактивной технике в СССР и организовать НИИ Реактивной Авиации (НИРА), считая основной задачей института создание реактивных двигателей.</w:t>
      </w:r>
    </w:p>
    <w:p w14:paraId="0F018C2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придать новому институту исследовательско-конструкторское направление, с целью обеспечения создания надежных реактивных двигателей и самолетов и практически осуществить полеты первых реактивных самолетов в 1944</w:t>
      </w:r>
    </w:p>
    <w:p w14:paraId="4969AD3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наряду с работой по созданию реактивного самолета в НИРА, поручить проектирование и постройку реактивных самолетов А.С.Я., С.А.Л., А.И.М., П.О.С.</w:t>
      </w:r>
    </w:p>
    <w:p w14:paraId="7627385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 к 15 марта с.г. представить в ГКО конкретные предложения о строительстве реактивных двигателей (1661,80).</w:t>
      </w:r>
    </w:p>
    <w:p w14:paraId="59AA9E7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8DB16B" w14:textId="77777777" w:rsidR="009863CA"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февраля 1944 г. Государственный Комитет Обороны своим Постановлением №5201 ориентировал НКАП на развитие реактивной авиации в СССР (6000).</w:t>
      </w:r>
    </w:p>
    <w:p w14:paraId="33DC1137" w14:textId="77777777" w:rsidR="009863CA" w:rsidRPr="007224C3" w:rsidRDefault="009863CA"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8D3F6E" w14:textId="77777777" w:rsidR="0035263A" w:rsidRPr="007224C3" w:rsidRDefault="0035263A" w:rsidP="007224C3">
      <w:pPr>
        <w:widowControl w:val="0"/>
        <w:autoSpaceDE w:val="0"/>
        <w:autoSpaceDN w:val="0"/>
        <w:adjustRightInd w:val="0"/>
        <w:spacing w:after="0" w:line="240" w:lineRule="auto"/>
        <w:jc w:val="both"/>
        <w:rPr>
          <w:rFonts w:ascii="Times New Roman" w:hAnsi="Times New Roman"/>
          <w:b/>
          <w:color w:val="000000" w:themeColor="text1"/>
          <w:sz w:val="16"/>
          <w:szCs w:val="16"/>
        </w:rPr>
      </w:pPr>
      <w:r w:rsidRPr="007224C3">
        <w:rPr>
          <w:rFonts w:ascii="Times New Roman" w:hAnsi="Times New Roman"/>
          <w:color w:val="000000" w:themeColor="text1"/>
          <w:sz w:val="16"/>
          <w:szCs w:val="16"/>
        </w:rPr>
        <w:t>18 февраля 1944 ГОСУДАРСТВЕННЫЙ КОМИТЕТ ОБОРОНЫ ПОСТАНОВЛЕНИЕ № ГКО-5201сс</w:t>
      </w:r>
    </w:p>
    <w:p w14:paraId="71C712C5" w14:textId="77777777" w:rsidR="0035263A" w:rsidRPr="007224C3" w:rsidRDefault="003526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 Москва, Кремль</w:t>
      </w:r>
    </w:p>
    <w:p w14:paraId="7D2813C6" w14:textId="77777777" w:rsidR="0035263A" w:rsidRPr="007224C3" w:rsidRDefault="003526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О работе Государственного института реактивной техники при СНК СССР и о мероприятиях по развитию реактивной авиации.</w:t>
      </w:r>
    </w:p>
    <w:p w14:paraId="058B9370" w14:textId="77777777" w:rsidR="0035263A" w:rsidRPr="007224C3" w:rsidRDefault="003526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Государственный Комитет Обороны постановляет:</w:t>
      </w:r>
    </w:p>
    <w:p w14:paraId="56A3D094" w14:textId="77777777" w:rsidR="0035263A" w:rsidRPr="007224C3" w:rsidRDefault="003526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Государственный Комитет Обороны отмечает, что Государственный институт реактивной техники при СНК СССР (ГИРТ), руководимый т. Костиковым, не справился с порученной ему задачей создания как реактивного двигателя, так и реактивного самолета, ни по срокам, ни по тактико-техническим данным. За полтора года ГИРТ не сумел приблизить задачу реактивного полета к практическому разрешению. </w:t>
      </w:r>
    </w:p>
    <w:p w14:paraId="6585B400" w14:textId="77777777" w:rsidR="0035263A" w:rsidRPr="007224C3" w:rsidRDefault="003526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Предложенные т. Костиковым Государственному Комитету Обороны данные его реактивных самолетов совершенно не соответствуют получающимся результатам, а сроки создания этих самолетов и двигателей сорваны. Не справившись с работой, т. Костиков принимал все меры к тому, чтобы создать видимость активной и плодотворной работы по вопросу реактивной техники, чем ввел в заблуждение правительство, а создавая ложное впечатление, что порученная ГИРТ'у задача успешно разрешается, нанес крупный ущерб развитию реактивной техники в СССР и затормозил ее развитие. </w:t>
      </w:r>
    </w:p>
    <w:p w14:paraId="555755F7" w14:textId="77777777" w:rsidR="0035263A" w:rsidRPr="007224C3" w:rsidRDefault="003526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Считая такое положение дела с развитием реактивной техники в СССР совершенно нетерпимым, Государственный Комитет Обороны постановляет: </w:t>
      </w:r>
    </w:p>
    <w:p w14:paraId="1289C923" w14:textId="77777777" w:rsidR="0035263A" w:rsidRPr="007224C3" w:rsidRDefault="003526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1. Отстранить т. Костикова А.Г. от работы начальника и главного конструктора института и передать его дело прокурору Союза ССР, а Государственный институт реактивной техники при СНК СССР, как не оправдавший своего назначения, ликвидировать. </w:t>
      </w:r>
    </w:p>
    <w:p w14:paraId="4AF6067A" w14:textId="77777777" w:rsidR="0035263A" w:rsidRPr="007224C3" w:rsidRDefault="003526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2. Придавая исключительно важное значение делу создания реактивной авиации в СССР, возложить решение этой задачи на Наркомат авиационной промышленности. </w:t>
      </w:r>
    </w:p>
    <w:p w14:paraId="5B634A17" w14:textId="77777777" w:rsidR="0035263A" w:rsidRPr="007224C3" w:rsidRDefault="003526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3. Обязать Наркомавиапром т.т. Шахурина и Яковлева: </w:t>
      </w:r>
    </w:p>
    <w:p w14:paraId="0B1E310C" w14:textId="77777777" w:rsidR="0035263A" w:rsidRPr="007224C3" w:rsidRDefault="003526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а) собрать все квалифицированные силы по реактивной технике в СССР и организовать научно-исследовательский институт реактивной авиации (НИРА НКАП) в системе Наркомавиапрома, считая основной задачей института создание реактивных двигателей; </w:t>
      </w:r>
    </w:p>
    <w:p w14:paraId="204C40EC" w14:textId="77777777" w:rsidR="0035263A" w:rsidRPr="007224C3" w:rsidRDefault="003526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б) придать новому институту исследовательско-конструкторское направление с целью обеспечить создание надежных реактивннх двигателей и самолетов и практически осуществить полеты первых реактивных самолетов в 1944 году; </w:t>
      </w:r>
    </w:p>
    <w:p w14:paraId="286373FB" w14:textId="77777777" w:rsidR="0035263A" w:rsidRPr="007224C3" w:rsidRDefault="003526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 наряду с работой по созданию реактивного самолета в институте реактивной авиации, поручить проектирование и постройку реактивных самолетов Лавочкину, Микояну и Сухому; </w:t>
      </w:r>
    </w:p>
    <w:p w14:paraId="0A651A49" w14:textId="77777777" w:rsidR="0035263A" w:rsidRPr="007224C3" w:rsidRDefault="003526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г) к 15 марта с.г. представить в ГОКО конкретные предложения о строительстве реактивных двигателей и реактивных самолетов. </w:t>
      </w:r>
    </w:p>
    <w:p w14:paraId="63AE1B8A" w14:textId="77777777" w:rsidR="0035263A" w:rsidRPr="007224C3" w:rsidRDefault="003526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4. Назначить начальником института реактивной авиации т. Поликовского В.И. </w:t>
      </w:r>
    </w:p>
    <w:p w14:paraId="29635FBD" w14:textId="77777777" w:rsidR="0035263A" w:rsidRPr="007224C3" w:rsidRDefault="003526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Заместителем начальника института назначить т. Абрамовича Г.Н.‚ освободив его от работы в ЦАГИ. </w:t>
      </w:r>
    </w:p>
    <w:p w14:paraId="645CB0FF" w14:textId="77777777" w:rsidR="0035263A" w:rsidRPr="007224C3" w:rsidRDefault="003526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Наркомавиапрому привлечь для работы в институте реактивной авиации профессора Стечкина Б.С., освободив его от работы на заводе № 300 НКАП. </w:t>
      </w:r>
    </w:p>
    <w:p w14:paraId="52FF1096" w14:textId="77777777" w:rsidR="0035263A" w:rsidRPr="007224C3" w:rsidRDefault="003526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Утвердить мероприятия по обеспечению развертывания работ по реактивной авиации (см. приложение).</w:t>
      </w:r>
    </w:p>
    <w:p w14:paraId="1E2C1E31" w14:textId="77777777" w:rsidR="0035263A" w:rsidRPr="007224C3" w:rsidRDefault="003526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ПРЕДСЕДАТЕЛЬ ГОСУДАРСТВЕННОГО КОМИТЕТА ОБОРОНЫ И. СТАЛИН</w:t>
      </w:r>
    </w:p>
    <w:p w14:paraId="1D8EED28" w14:textId="77777777" w:rsidR="0035263A" w:rsidRPr="007224C3" w:rsidRDefault="003526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Послано: </w:t>
      </w:r>
    </w:p>
    <w:p w14:paraId="0F2CE995" w14:textId="77777777" w:rsidR="0035263A" w:rsidRPr="007224C3" w:rsidRDefault="003526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т.т. Маленкову, Шахурину, Яковлеву, Поликовскому, Горшенину, Будникову, Григорьяну, Молотову, Чадаеву(12638).</w:t>
      </w:r>
    </w:p>
    <w:p w14:paraId="4909A8A2" w14:textId="77777777" w:rsidR="0035263A" w:rsidRPr="007224C3" w:rsidRDefault="0035263A" w:rsidP="007224C3">
      <w:pPr>
        <w:spacing w:after="0" w:line="240" w:lineRule="auto"/>
        <w:jc w:val="both"/>
        <w:rPr>
          <w:rFonts w:ascii="Times New Roman" w:hAnsi="Times New Roman"/>
          <w:color w:val="000000" w:themeColor="text1"/>
          <w:sz w:val="16"/>
          <w:szCs w:val="16"/>
        </w:rPr>
      </w:pPr>
    </w:p>
    <w:p w14:paraId="12972ED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февраля 1944 г. Государственный комитет обороны, “...придавая исключительно важное значение делу создания реактивной авиации в СССР...”, принимает важное решение об организации Научно-исследовательского института реактивной авиации в системе НКАП, считая основной задачей института создание реактивных двигателей. Этим же постановлением разработка реактивных боевых самолетов была признана первоочередной задачей советской авиационной промышленности, и к ее решению привлекли коллективы опытно-конструкторских бюро, возглавляемые А.С.Яковлевым, С.А.Лавочкиным, А.И.Микояном, П.О.Сухим.</w:t>
      </w:r>
    </w:p>
    <w:p w14:paraId="4CEC955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короткие сроки в Советском Союзе были развернуты работы по теоретическим, экспериментальным и опытно-конструкторским исследованиям различных направлений развития авиационных реактивных двигателей. Проектировались и строились жидкостные, прямоточные и пульсирующие двигатели, создавалась комбинированная (мотокомпрессорная) силовая установка. Все эти типы двигателей должны были пройти летные испытания на серийных или специально спроектированных опытных самолетах. Велась также разработка турбореактивного двигателя. Практически все работы по авиационным реактивным силовым установкам, проводившиеся в тот период, базировались на научно-техническом заделе, созданном еще в предвоенные и, частично, в военные годы.</w:t>
      </w:r>
    </w:p>
    <w:p w14:paraId="2B2B17E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Одновременно обобщались результаты теоретических и экспериментальных исследований по изучению особенностей полета на больших скоростях, проводившихся в период с 1939 по 1943 гг. Разрабатывались конкретные рекомендации конструкторам по аэродинамической компоновке новых скоростных самолетов с реактивными двигателями, которые основывались на продувках моделей в аэродинамической трубе больших скоростей Т-106, введенной в эксплуатацию в 1943 г.</w:t>
      </w:r>
    </w:p>
    <w:p w14:paraId="2F3FFFA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Результаты этих работ не замедлили сказаться. Уже через год после принятия постановления ГКО на летные испытания вышли экспериментальные самолеты со смешанными силовыми установками (Ла-7Р, Як-ЗРД, И-250, Су-5), завершилось проектирование опытных самолетов с жидкостными реактивными двигателями (И-270, “4302”), начались работы по легким и тяжелым пушечным истребителям с трофейными турбореактивными двигателями, захваченными в побежденной Германии (9528).</w:t>
      </w:r>
    </w:p>
    <w:p w14:paraId="4540BA7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3E0B32" w14:textId="77777777" w:rsidR="0035263A" w:rsidRPr="007224C3" w:rsidRDefault="003526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февраля 1944 г. в постановлении № 5201 Государственный Комитет Обороны (ГКО) указал на нетерпимое положение с развитием реактивной техники в стране. Придавая исключительное значение делу создания в СССР реактивной авиации, решение этой задачи наконец-то было целиком возложено на НКАП. Этим документом был ликвидирован ГИРТ, а А.И. Шахурину и А.С. Яковлеву поручалось собрать все квалифицированные силы и организовать Научно-исследовательский институт реактивной авиации (НИИ-1), считая его основной задачей создание реактивных двигателей. Таким образом, в структуре НКАП стало два основных центра, которым было поручено заниматься проблемами реактивного двигателестроения: НИИ-1 (образован 28 февраля 1944 г. приказом НКАП № 149 на базе ГИРТ и завода № 293) и ЦИАМ.</w:t>
      </w:r>
    </w:p>
    <w:p w14:paraId="6A405E32" w14:textId="77777777" w:rsidR="0035263A" w:rsidRPr="007224C3" w:rsidRDefault="003526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Постановлением предписывалось конкретные предложения по строительству реактивных двигателей представить в ГКО к 15 марта 1944 г. Спустя почти два месяца, 22 мая, постановлением № 5946 ГКО утвердил эти предложения. В последовавшем 30 мая приказе НКАП № 371 всем главным конструкторам, занимавшимся созданием истребителей, были официально выданы следующие задания. А.С. Яковлеву надлежало модифицировать истребитель Як-9 с мотором ВК-105ПФ, оснастив его дополнительным однокамерным ракетным двигателем РД-1 конструкции В.П. Глушко, а также разработать экспериментальный истребитель с таким же, но трехкамерным ракетным двигателем. СА. Лавочкина обязали произвести аналогичную доработку истребителя Ла-5 с мотором АШ-82ФН или АШ-83, а также спроектировать экспериментальный истребитель с реактивным двигателем ТР-1 конструкции A.M. Люльки. Н.Н. Поликарпову приказывали разработать экспериментальный истребитель с двухкамерным реактивным двигателем конструкции Л.С. Душкина, а П.О. Сухому – экспериментальный истребитель с мотором ВК-107А и дополнительным воздушно-реактивным двигателем с компрессором конструкции ЦИАМ, а также модификацию самолета Су-6 под мотор АШ-82ФН 2ТК2 или АШ-82 с дополнительным однокамерным двигателем РД-1. Что касается А.И. Микояна и М.И. Гуревича, то в их задачу входило создание экспериментального истребителя с мотором ВК-107А и дополнительным воздушно-реактивным двигателем с компрессором конструкции ЦИАМ.</w:t>
      </w:r>
    </w:p>
    <w:p w14:paraId="426A869F" w14:textId="77777777" w:rsidR="0035263A" w:rsidRPr="007224C3" w:rsidRDefault="003526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Таким образом, ввиду неясности, какое из направлений в реактивном двигателестроении наиболее перспективно, конструкторам поручили охватить все реально существовавшие на то время типы силовых установок – ЖРД, ТРД и ВДРК.</w:t>
      </w:r>
    </w:p>
    <w:p w14:paraId="0BBB4F2B" w14:textId="77777777" w:rsidR="0035263A" w:rsidRPr="007224C3" w:rsidRDefault="003526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Работа ОКБ-155 над самолетом, получившим название И-250 и заводской шифр «Н», изложена в ряде публикаций</w:t>
      </w:r>
      <w:r w:rsidR="00E60A77" w:rsidRPr="007224C3">
        <w:rPr>
          <w:rFonts w:ascii="Times New Roman" w:hAnsi="Times New Roman"/>
          <w:color w:val="000000" w:themeColor="text1"/>
          <w:sz w:val="16"/>
          <w:szCs w:val="16"/>
        </w:rPr>
        <w:fldChar w:fldCharType="begin"/>
      </w:r>
      <w:r w:rsidR="00E60A77" w:rsidRPr="007224C3">
        <w:rPr>
          <w:rFonts w:ascii="Times New Roman" w:hAnsi="Times New Roman"/>
          <w:color w:val="000000" w:themeColor="text1"/>
          <w:sz w:val="16"/>
          <w:szCs w:val="16"/>
        </w:rPr>
        <w:instrText xml:space="preserve">ref HYPERLINK  \l "n_164" \* MERGEFORMAT </w:instrText>
      </w:r>
      <w:r w:rsidR="00E60A77" w:rsidRPr="007224C3">
        <w:rPr>
          <w:rFonts w:ascii="Times New Roman" w:hAnsi="Times New Roman"/>
          <w:color w:val="000000" w:themeColor="text1"/>
          <w:sz w:val="16"/>
          <w:szCs w:val="16"/>
        </w:rPr>
        <w:fldChar w:fldCharType="separate"/>
      </w:r>
      <w:r w:rsidRPr="007224C3">
        <w:rPr>
          <w:rFonts w:ascii="Times New Roman" w:hAnsi="Times New Roman"/>
          <w:color w:val="000000" w:themeColor="text1"/>
          <w:sz w:val="16"/>
          <w:szCs w:val="16"/>
        </w:rPr>
        <w:t>[164]</w:t>
      </w:r>
      <w:r w:rsidR="00E60A77" w:rsidRPr="007224C3">
        <w:rPr>
          <w:rFonts w:ascii="Times New Roman" w:hAnsi="Times New Roman"/>
          <w:color w:val="000000" w:themeColor="text1"/>
          <w:sz w:val="16"/>
          <w:szCs w:val="16"/>
        </w:rPr>
        <w:fldChar w:fldCharType="end"/>
      </w:r>
      <w:r w:rsidRPr="007224C3">
        <w:rPr>
          <w:rFonts w:ascii="Times New Roman" w:hAnsi="Times New Roman"/>
          <w:color w:val="000000" w:themeColor="text1"/>
          <w:sz w:val="16"/>
          <w:szCs w:val="16"/>
        </w:rPr>
        <w:t>. Нас же в данном случае интересует проблема серийного производства первого реактивного МиГа. Кстати, это был первый цельнометаллический самолет разработки ОКБ Микояна и Гуревича. Ведущим инженером на время его проектирования и постройки назначили А.А. Андреева, а для сотрудников, занятых в проекте, объявили обязательный 10-часовой рабочий день (12207).</w:t>
      </w:r>
    </w:p>
    <w:p w14:paraId="2BD8CA16" w14:textId="77777777" w:rsidR="0035263A" w:rsidRPr="007224C3" w:rsidRDefault="0035263A" w:rsidP="007224C3">
      <w:pPr>
        <w:spacing w:after="0" w:line="240" w:lineRule="auto"/>
        <w:jc w:val="both"/>
        <w:rPr>
          <w:rFonts w:ascii="Times New Roman" w:hAnsi="Times New Roman"/>
          <w:color w:val="000000" w:themeColor="text1"/>
          <w:sz w:val="16"/>
          <w:szCs w:val="16"/>
        </w:rPr>
      </w:pPr>
    </w:p>
    <w:p w14:paraId="36CD80F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фев</w:t>
      </w:r>
      <w:r w:rsidRPr="007224C3">
        <w:rPr>
          <w:rFonts w:ascii="Times New Roman" w:hAnsi="Times New Roman"/>
          <w:color w:val="000000" w:themeColor="text1"/>
          <w:sz w:val="16"/>
          <w:szCs w:val="16"/>
        </w:rPr>
        <w:softHyphen/>
        <w:t>раля 1944 года по решению ГКО СССР в системе НКАП СССР был создан специализированный НИИ-1, объединивший все конструкторские коллективы, работающие над реактив</w:t>
      </w:r>
      <w:r w:rsidRPr="007224C3">
        <w:rPr>
          <w:rFonts w:ascii="Times New Roman" w:hAnsi="Times New Roman"/>
          <w:color w:val="000000" w:themeColor="text1"/>
          <w:sz w:val="16"/>
          <w:szCs w:val="16"/>
        </w:rPr>
        <w:softHyphen/>
        <w:t>ными двигателями (10706).</w:t>
      </w:r>
    </w:p>
    <w:p w14:paraId="04D853F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19662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февраля 1944 г. №5201 ГКО в своем постанов</w:t>
      </w:r>
      <w:r w:rsidRPr="007224C3">
        <w:rPr>
          <w:rFonts w:ascii="Times New Roman" w:hAnsi="Times New Roman"/>
          <w:color w:val="000000" w:themeColor="text1"/>
          <w:sz w:val="16"/>
          <w:szCs w:val="16"/>
        </w:rPr>
        <w:softHyphen/>
        <w:t>лении указал на нетерпимое положение с раз</w:t>
      </w:r>
      <w:r w:rsidRPr="007224C3">
        <w:rPr>
          <w:rFonts w:ascii="Times New Roman" w:hAnsi="Times New Roman"/>
          <w:color w:val="000000" w:themeColor="text1"/>
          <w:sz w:val="16"/>
          <w:szCs w:val="16"/>
        </w:rPr>
        <w:softHyphen/>
        <w:t>витием реактивной техники в стране. Решение этой проблемы было теперь целиком возложено на НКАП. Не спра</w:t>
      </w:r>
      <w:r w:rsidRPr="007224C3">
        <w:rPr>
          <w:rFonts w:ascii="Times New Roman" w:hAnsi="Times New Roman"/>
          <w:color w:val="000000" w:themeColor="text1"/>
          <w:sz w:val="16"/>
          <w:szCs w:val="16"/>
        </w:rPr>
        <w:softHyphen/>
        <w:t>вившийся со своими задачами ГИРТ при СНК СССР был ликвидирован (дирек</w:t>
      </w:r>
      <w:r w:rsidRPr="007224C3">
        <w:rPr>
          <w:rFonts w:ascii="Times New Roman" w:hAnsi="Times New Roman"/>
          <w:color w:val="000000" w:themeColor="text1"/>
          <w:sz w:val="16"/>
          <w:szCs w:val="16"/>
        </w:rPr>
        <w:softHyphen/>
        <w:t>тор института А. Г. Костиков за обман руководства страны был арестован), а НКАП поручалось собрать все квали</w:t>
      </w:r>
      <w:r w:rsidRPr="007224C3">
        <w:rPr>
          <w:rFonts w:ascii="Times New Roman" w:hAnsi="Times New Roman"/>
          <w:color w:val="000000" w:themeColor="text1"/>
          <w:sz w:val="16"/>
          <w:szCs w:val="16"/>
        </w:rPr>
        <w:softHyphen/>
        <w:t>фицированные кадры и организовать Научно-исследовательский институт реактивной авиации (НИИРА) с целью создания реактивных двигателей. Пер</w:t>
      </w:r>
      <w:r w:rsidRPr="007224C3">
        <w:rPr>
          <w:rFonts w:ascii="Times New Roman" w:hAnsi="Times New Roman"/>
          <w:color w:val="000000" w:themeColor="text1"/>
          <w:sz w:val="16"/>
          <w:szCs w:val="16"/>
        </w:rPr>
        <w:softHyphen/>
        <w:t>вым его начальником стал В.И. Поликов-ский, а его заместителем по научной ча</w:t>
      </w:r>
      <w:r w:rsidRPr="007224C3">
        <w:rPr>
          <w:rFonts w:ascii="Times New Roman" w:hAnsi="Times New Roman"/>
          <w:color w:val="000000" w:themeColor="text1"/>
          <w:sz w:val="16"/>
          <w:szCs w:val="16"/>
        </w:rPr>
        <w:softHyphen/>
        <w:t>сти — Г.Н. Абрамович.</w:t>
      </w:r>
    </w:p>
    <w:p w14:paraId="3B71781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Позже, 22 мая 1944 г., постановлени</w:t>
      </w:r>
      <w:r w:rsidRPr="007224C3">
        <w:rPr>
          <w:rFonts w:ascii="Times New Roman" w:hAnsi="Times New Roman"/>
          <w:color w:val="000000" w:themeColor="text1"/>
          <w:sz w:val="16"/>
          <w:szCs w:val="16"/>
        </w:rPr>
        <w:softHyphen/>
        <w:t>ем ГКО №5946 НИИРА переименовыва</w:t>
      </w:r>
      <w:r w:rsidRPr="007224C3">
        <w:rPr>
          <w:rFonts w:ascii="Times New Roman" w:hAnsi="Times New Roman"/>
          <w:color w:val="000000" w:themeColor="text1"/>
          <w:sz w:val="16"/>
          <w:szCs w:val="16"/>
        </w:rPr>
        <w:softHyphen/>
        <w:t>ется в НИИ-1 НКАП. Начальником ин</w:t>
      </w:r>
      <w:r w:rsidRPr="007224C3">
        <w:rPr>
          <w:rFonts w:ascii="Times New Roman" w:hAnsi="Times New Roman"/>
          <w:color w:val="000000" w:themeColor="text1"/>
          <w:sz w:val="16"/>
          <w:szCs w:val="16"/>
        </w:rPr>
        <w:softHyphen/>
        <w:t>ститута назначили генерал-майора авиа</w:t>
      </w:r>
      <w:r w:rsidRPr="007224C3">
        <w:rPr>
          <w:rFonts w:ascii="Times New Roman" w:hAnsi="Times New Roman"/>
          <w:color w:val="000000" w:themeColor="text1"/>
          <w:sz w:val="16"/>
          <w:szCs w:val="16"/>
        </w:rPr>
        <w:softHyphen/>
        <w:t>ции П.И. Федорова. В состав института в качестве филиала № 1 было включено ОКБ-293, разрабатывавшее первые со</w:t>
      </w:r>
      <w:r w:rsidRPr="007224C3">
        <w:rPr>
          <w:rFonts w:ascii="Times New Roman" w:hAnsi="Times New Roman"/>
          <w:color w:val="000000" w:themeColor="text1"/>
          <w:sz w:val="16"/>
          <w:szCs w:val="16"/>
        </w:rPr>
        <w:softHyphen/>
        <w:t>ветские реактивные самолеты БИ-1, а его руководитель В.Ф. Болховитинов стал первым заместите</w:t>
      </w:r>
      <w:r w:rsidRPr="007224C3">
        <w:rPr>
          <w:rFonts w:ascii="Times New Roman" w:hAnsi="Times New Roman"/>
          <w:color w:val="000000" w:themeColor="text1"/>
          <w:sz w:val="16"/>
          <w:szCs w:val="16"/>
        </w:rPr>
        <w:softHyphen/>
        <w:t>лем начальника. Инсти</w:t>
      </w:r>
      <w:r w:rsidRPr="007224C3">
        <w:rPr>
          <w:rFonts w:ascii="Times New Roman" w:hAnsi="Times New Roman"/>
          <w:color w:val="000000" w:themeColor="text1"/>
          <w:sz w:val="16"/>
          <w:szCs w:val="16"/>
        </w:rPr>
        <w:softHyphen/>
        <w:t>тут был переориентиро</w:t>
      </w:r>
      <w:r w:rsidRPr="007224C3">
        <w:rPr>
          <w:rFonts w:ascii="Times New Roman" w:hAnsi="Times New Roman"/>
          <w:color w:val="000000" w:themeColor="text1"/>
          <w:sz w:val="16"/>
          <w:szCs w:val="16"/>
        </w:rPr>
        <w:softHyphen/>
        <w:t>ван на решение задач со</w:t>
      </w:r>
      <w:r w:rsidRPr="007224C3">
        <w:rPr>
          <w:rFonts w:ascii="Times New Roman" w:hAnsi="Times New Roman"/>
          <w:color w:val="000000" w:themeColor="text1"/>
          <w:sz w:val="16"/>
          <w:szCs w:val="16"/>
        </w:rPr>
        <w:softHyphen/>
        <w:t>здания реактивный авиа</w:t>
      </w:r>
      <w:r w:rsidRPr="007224C3">
        <w:rPr>
          <w:rFonts w:ascii="Times New Roman" w:hAnsi="Times New Roman"/>
          <w:color w:val="000000" w:themeColor="text1"/>
          <w:sz w:val="16"/>
          <w:szCs w:val="16"/>
        </w:rPr>
        <w:softHyphen/>
        <w:t>ции, в первую очередь по разработке жидкостных ракетных и воздушно-ре</w:t>
      </w:r>
      <w:r w:rsidRPr="007224C3">
        <w:rPr>
          <w:rFonts w:ascii="Times New Roman" w:hAnsi="Times New Roman"/>
          <w:color w:val="000000" w:themeColor="text1"/>
          <w:sz w:val="16"/>
          <w:szCs w:val="16"/>
        </w:rPr>
        <w:softHyphen/>
        <w:t>активных двигателей. Разработку реактивных снарядов как непрофиль</w:t>
      </w:r>
      <w:r w:rsidRPr="007224C3">
        <w:rPr>
          <w:rFonts w:ascii="Times New Roman" w:hAnsi="Times New Roman"/>
          <w:color w:val="000000" w:themeColor="text1"/>
          <w:sz w:val="16"/>
          <w:szCs w:val="16"/>
        </w:rPr>
        <w:softHyphen/>
        <w:t>ную тематику руковод</w:t>
      </w:r>
      <w:r w:rsidRPr="007224C3">
        <w:rPr>
          <w:rFonts w:ascii="Times New Roman" w:hAnsi="Times New Roman"/>
          <w:color w:val="000000" w:themeColor="text1"/>
          <w:sz w:val="16"/>
          <w:szCs w:val="16"/>
        </w:rPr>
        <w:softHyphen/>
        <w:t>ство Наркомата авиапро-ма стремилось передать из НИИ-1 в другую спе</w:t>
      </w:r>
      <w:r w:rsidRPr="007224C3">
        <w:rPr>
          <w:rFonts w:ascii="Times New Roman" w:hAnsi="Times New Roman"/>
          <w:color w:val="000000" w:themeColor="text1"/>
          <w:sz w:val="16"/>
          <w:szCs w:val="16"/>
        </w:rPr>
        <w:softHyphen/>
        <w:t>циализированную орга</w:t>
      </w:r>
      <w:r w:rsidRPr="007224C3">
        <w:rPr>
          <w:rFonts w:ascii="Times New Roman" w:hAnsi="Times New Roman"/>
          <w:color w:val="000000" w:themeColor="text1"/>
          <w:sz w:val="16"/>
          <w:szCs w:val="16"/>
        </w:rPr>
        <w:softHyphen/>
        <w:t>низацию (11090).</w:t>
      </w:r>
    </w:p>
    <w:p w14:paraId="0B1980A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C6915C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18 февраля 1944 г. Постановлением ГОКО № 5201сс было указано на «нетерпимое положение с реактивной техникой» и ГИРТ был ликвидирован. Одновременно все сооружения и кадры были переданы в НКАП (приказ № 111с от 18.02.1944 г.) и стали основой для образования Научно-исследовательского института реактивной </w:t>
      </w:r>
      <w:r w:rsidRPr="007224C3">
        <w:rPr>
          <w:rFonts w:ascii="Times New Roman" w:hAnsi="Times New Roman"/>
          <w:color w:val="000000" w:themeColor="text1"/>
          <w:sz w:val="16"/>
          <w:szCs w:val="16"/>
        </w:rPr>
        <w:lastRenderedPageBreak/>
        <w:t xml:space="preserve">авиации (НИРА) НКАП. Приказом № 115с от 18.02.1944 г. начальником временно назначен В.И. Поликовский. По приказу № 149сс от 28.02.1944 г. НИРА объединен с заводом № 293 (вместе с ОКБ-293) и преобразован в НИИ-1, в ведении 7ГУ НКАП. </w:t>
      </w:r>
    </w:p>
    <w:p w14:paraId="16764DD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Началось сосредоточение в институте основных кадров по реактивной технике. Сюда переведены: из ОКБ-293 - ЭКБ-3 М.М. Бондарюка (создан отдел ПВРД, далее- КБ-2 НИИ-1, с 10.1950 г.- самостоятельное ОКБ-670); из ЦИАМ - А.М. Люлька (выдано задание на создание ТРД тягой 1250 кг); группа В.П. Глушко; группа Л.С. Душкина; группа А.М. Исаева (ОКО при НИИ-1).</w:t>
      </w:r>
    </w:p>
    <w:p w14:paraId="5394E80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И.Ф. Флоров, работавший в ОКБ-293, в 07.1944 г. назначен начальником самолетного сектора № 43 НИИ-1 по приказу № 370сс от 30.05.1944 г. (с 1948 г.- в ЦИАМ). Здесь же с конца 1944 г. по 02.1945 г. работал А.А. Боровков. Создан самолет «4302» (1946 г.).</w:t>
      </w:r>
    </w:p>
    <w:p w14:paraId="129633D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Приказом № 364с от 29.05.1944 г. начальником НИИ-1 назначен П.И. Федоров, 1-м замом по научно-исследовательской работе- В.Ф. Болховитинов. Приказом № 656с от 11.11.1944 г. НИИ-1 передан в 18ГУ, основное направление- реактивное двигателестроение. В 03.1946 г. в связи с ликвидацией 18ГУ передан в 8ГУ, с 1.10.1951 г.- в 6ГУ.</w:t>
      </w:r>
    </w:p>
    <w:p w14:paraId="27500DD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03.1946 г. из НИИ-1 МАП на завод № 81 МАП переведена группа конструкторов (9 чел.), занимавшаяся установками РС. По приказу № 182сс от 30.03.1946 г. СКБ А.М. Люльки переведено на самостоятельную опытную базу- завод № 165 МАП, в состав его ОКБ передан личный состав отдела № 21 НИИ-1.</w:t>
      </w:r>
    </w:p>
    <w:p w14:paraId="452F83D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1947 г. Келдышем разработан проект ракетного самолета с 2-мя ПВРД и ЖРД.</w:t>
      </w:r>
    </w:p>
    <w:p w14:paraId="4AE1925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1.07.1948 г. НИИ-1 являлся филиалом ЦИАМ (приказ № 440с от 21.06.1948 г.). В соответствии с постановлением СМ СССР от 10.03.1952 г. НИИ-1 МАП стал самостоятельным и получил также название НИИ РД (реактивных двигателей)59.</w:t>
      </w:r>
    </w:p>
    <w:p w14:paraId="4AB704A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 НИИ-88 в институт переведена лаборатория по автоматической астрокоррекции под руководством И.М. Лисовича.</w:t>
      </w:r>
    </w:p>
    <w:p w14:paraId="6A39F1E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С 1950-х г., после выделения всех конструкторских организаций в самостоятельные, институт занимается НИР в ракетно-космической области и двигателестроении. </w:t>
      </w:r>
    </w:p>
    <w:p w14:paraId="4C01FB1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1954 г. создана лаборатория № 6 (руководитель- К.П. Осминин) по динамике КР.</w:t>
      </w:r>
    </w:p>
    <w:p w14:paraId="030A88D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1950-е г. построена стендовая испытательная база в Тураево.</w:t>
      </w:r>
    </w:p>
    <w:p w14:paraId="4630274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1954 г. институт принимает активное участие в работах по МБР Р-7, МКР «Буран» и «Буря».</w:t>
      </w:r>
    </w:p>
    <w:p w14:paraId="4060793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 1955 г. образован филиал по системам управления КР (начальник- Р.Г. Чачикян; гл. конструкторы: по астронавигации- И.М. Лисович, по автопилоту- Г.Н. Толстоусов).59 </w:t>
      </w:r>
    </w:p>
    <w:p w14:paraId="5017CF7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 1956-57 г. построен газодинамический тепловой стенд Ц-12Т для испытаний ракет.59 </w:t>
      </w:r>
    </w:p>
    <w:p w14:paraId="3C7F95F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1950-е г. существовала лаборатория систем управления (руководитель- Б.В. Раушенбах). Разработаны системы ориентации КА на основе солнечных и лунных датчиков (Башкин, Князев). Затем группа Б.В. Раушенбаха переведена в ОКБ-1 ГКОТ.</w:t>
      </w:r>
    </w:p>
    <w:p w14:paraId="05A947B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1965 г. НИИ-1 ГКАТ передан в подчинение 2ГУ МОМ и по приказу от 6.03.1966 г. преобразован в НИИТП (тепловых процессов). В 1990-х г. передан в РКА. В 1995 г. переименован в Исследовательский центр им М.В. Келдыша. По Указу Президента РФ № 1009 от 4.08.2004 г. вошел в число стратегических оборонных предприятий.</w:t>
      </w:r>
    </w:p>
    <w:p w14:paraId="4A307A7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1960-е г.: научное обеспечение разработок ЖРД и теплозащиты головных частей ракет (1954-57 г.- БР Р-7 и МКР «Буря»), решение задач по выводу в космос КА. Проведены первые фундаментальные исследования ядерных ракетных двигателей (с конца 1950-х). Разработаны схемы электрических плазменных двигателей торцевого типа (А.А. Поротников). </w:t>
      </w:r>
    </w:p>
    <w:p w14:paraId="40D7ECC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1965 г. НИИТП- головная научно-исследовательская организация ракетного двигателестроения.</w:t>
      </w:r>
    </w:p>
    <w:p w14:paraId="36A40A5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Принимал участие в программе создания ОК «Буран». </w:t>
      </w:r>
    </w:p>
    <w:p w14:paraId="4E2DFA0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1970-80-е г.- научное обеспечение создания РДТТ для БРК.</w:t>
      </w:r>
    </w:p>
    <w:p w14:paraId="54DDEED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 начале 1980-х г. создан плазмогенератор «Марабу», создающих вокруг движущегося объекта плазменную оболочку, снижающую радиолокационную заметность объекта.63 </w:t>
      </w:r>
    </w:p>
    <w:p w14:paraId="61211B4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Разработана технология создания в ионосфере плазменно-паровых облаков, отражающих РЛ-излучение (работал Ю.А. Уткин). Испытания установки «Мажор» проведены на космической станции «Мир».63 </w:t>
      </w:r>
    </w:p>
    <w:p w14:paraId="4E1F625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2000 г.: работы по ракетно-космическим энергоустановкам, исследования в области термодинамики. </w:t>
      </w:r>
    </w:p>
    <w:p w14:paraId="250C28E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Направления деятельности (2005 г.): исследования и разработки по ракетным двигателям для РКТ (ЖРД нового поколения, электроракетные двигатели); НИОКР по изделиям РКТ, подбор материалов и топлив; НИР по экологически чистым технологиям при производстве и эксплуатации РКТ; разработка технологий для военной, научной и народнохозяйственной техники; разработка энергосберегающих технологий.</w:t>
      </w:r>
    </w:p>
    <w:p w14:paraId="5E8AE1F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Создан отдел «Водородной энергетики» (зам. начальника отдела (2005 г.)- В. Смоляров). Работы по водородным топливным элементам.</w:t>
      </w:r>
    </w:p>
    <w:p w14:paraId="110BA0B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(1933-37 г.)- И.Т. Клейменов (репрессирован), (1937-40 г.)- Б.М. Слонимер, (1941 г.)- Н.А. Монаков, (1941 г.)- А.Н. Фоменко, (1942-02.1944 г.)- генерал-майор А.Г. Костиков (отстранен, затем репрессирован), (02.1944-)- В.И. Поликовский, (05.1944 г.-)- П.И. Федоров, (1945-46 г.)- Я.Л. Бибиков, генерал-майор ИАС, (11.1946 г.-)- М.В. Келдыш, (1948-49 г.)- В.В. Владимиров, (1949-51 г.)- В.А. Окулов, (1951-55 г.)- А.Т. Туманов, (1955-88 г.)- В.Я. Лихушин. Директор (1988-2005 г.-)- академик А.С. Коротеев.</w:t>
      </w:r>
    </w:p>
    <w:p w14:paraId="06215A1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Научный руководитель (1948-61 г.)- академик М.В. Келдыш.</w:t>
      </w:r>
    </w:p>
    <w:p w14:paraId="488A9E8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начальника (1933 г.-)- С.П. Королев; по научной части - В.Ф. Болховитинов (05.1944-46 г.). Зам. директора (2003 г.)- А.М. Губертов; по ВЭС (2005 г.)- А.А. Кленчев.</w:t>
      </w:r>
    </w:p>
    <w:p w14:paraId="08F1011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инженер (1940-41 г.)- А.Г. Костиков. Начальник КБ (1943 г.-)- А.Я. Березняк.</w:t>
      </w:r>
    </w:p>
    <w:p w14:paraId="20C33A2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Работали: (03.1938; 1944 г.) - А.П. Артемьев (РС), А.П. Ваничев, Л.А. Воскресенский, И.И. Гвай (РС), (-1937 г.)-В.П. Глушко (репрессирован, работал в ОТБ НКВД на заводе № 8), (1933- 44 г.-)- Л.С. Душкин, (1941 г.)- В.С. Зуев (ПВРД), (1930-е; 1944-)- А.М. Исаев, (-04.1938 г.)- С.П. Королев (репрессирован), (-1937 г.)- Г.Э. Лангемак (репрессирован), А.М. Люлька, В.П. Мишин, (1936-45; 1958-96 г.)- А.В. Палло (ведущий инженер по ЖРД), Г.И. Петров, Н.А. Пилюгин, Ю.А. Победоносцев (РС для «Катюши»), (-1936-38 г.-)- Б.В. Раушенбах (расчеты), (-1934-41 г.-)- М.К. Тихонравов (затем- в НИИ-4 МО), Б.Е. Черток, (1941 г.)- Е.С. Щетинков (ПВРД). </w:t>
      </w:r>
    </w:p>
    <w:p w14:paraId="7C9AB47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Создано: РС: РС-82 (пнв в 1937 г.), РС-132 (пнв в 1938 г.); М-13 (пнв в 1941 г.), М-13УК (пнв в 1943 г.), М-13ДД (пнв в 1944 г.), М-20 (1941 г.) для БМ-13 «Катюша» ; М-8 (пнв в 1941 г.) для БМ-8 «Катюша»; М-30 (пнв в 1942 г.), М-31 (пнв в 1943 г.), М-31УК (пнв в 1944 г.) для БМ-31;58 самолеты с ЖРД: «302» (1943), «4302» (1946), «4303» (1947); СЭДУ- солнечная энергодвигательная установка с СТРД- солнечным тепловым ракетным двигателем.</w:t>
      </w:r>
    </w:p>
    <w:p w14:paraId="560B4D2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НИИ-1 НКАП, МАП, ГКАТ, РНИИ (ракетный) РККА, НКТП, НИИ-3 НКОП, НКБ, ГИРТ при СНК, НИРА НКАП, НИИ РД МАП, НИИТП (тепловых процессов) МОМ, НИИТП им. М.В. Келдыша РКА, ФГУП «Исследовательский центр им. М.В. Келдыша» РАКА</w:t>
      </w:r>
    </w:p>
    <w:p w14:paraId="0A9C4D2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125438 г. Москва, ул. Онежская, 8/10 тел. 456-46-08, 456-87-56 www.kerc.msk.ru (10776).</w:t>
      </w:r>
    </w:p>
    <w:p w14:paraId="2948A58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КБ-7 РНИИ</w:t>
      </w:r>
    </w:p>
    <w:p w14:paraId="630366D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Создано в 1935 г. на базе бригады ЖРД ГИРДа. Работы по жидкостным ракетам.</w:t>
      </w:r>
    </w:p>
    <w:p w14:paraId="148D196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Построена испытательная станция, в состав которой вошли: башня для огневых испытаний, пультовая, помещение для сборки ракет, электротехническая и керамическая лаборатории.</w:t>
      </w:r>
    </w:p>
    <w:p w14:paraId="041543D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(1935 г.)- Л.К. Корнеев.</w:t>
      </w:r>
    </w:p>
    <w:p w14:paraId="3ED84F6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начальника (08.1935 г.)- А.И. Полярный.</w:t>
      </w:r>
    </w:p>
    <w:p w14:paraId="0B6AA9B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Работали: (1935 г.-)- М.Г. Воробьев, П.И. Иванов (нач. группы аэродинамики), Е.М. Курило (электротехника), А.С. Раецкий, Э.П. Шептицкий (нач. конструкторской группы); (1937 г.)- М.Ю. Голлендер (нач. керамической лаборатории), Ф.Л. Якайтис, В.С. Зуев, А.Б. Ионов.</w:t>
      </w:r>
    </w:p>
    <w:p w14:paraId="15FC902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Создано: ракеты: Р-03, Р-06 (1936 г.), АНИР-5, Р-07, ЭНИР-7, Р-05, Р-10 (1939 г.); порохо-жидкостный двигатель М-17, М-29е для Р-05.</w:t>
      </w:r>
    </w:p>
    <w:p w14:paraId="1533833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Филиал № 1 НИИ-1</w:t>
      </w:r>
    </w:p>
    <w:p w14:paraId="743C797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 Химки Московской обл./</w:t>
      </w:r>
    </w:p>
    <w:p w14:paraId="4F0BB5F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 293 НКАП действовал в составе НИИ-1 по приказу № 149сс от 28.02.1944 г., далее- на правах филиала № 1 (по приказу № 370сс от 30.05.1944 г.). Здесь же работала группа (ОКО) А.М. Исаева по ЖРД.</w:t>
      </w:r>
    </w:p>
    <w:p w14:paraId="0F4FF34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соответствии с постановлением СМ от 31.05.1946 г. и приказами № 361сс от 7.06.1946 г. и № 373с от 14.07.1946 г. в 7ГУ на базе филиала № 1 вновь образован самостоятельный завод № 293 НКАП (в связи с прекращением работ по самолетостроению в НИИ-1 и непригодности для работ по ЖРД) и передан как опытная база гл. конструктору М.Р. Бисновату. Группа А.М. Исаева переведена на основную территорию НИИ-1. Березняк в 12.1946 г. назначен зам. гл. конструктора ОКБ-2 завода № 1 МАП.</w:t>
      </w:r>
    </w:p>
    <w:p w14:paraId="0935005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филиала (01.1946 г.)- Нейман.</w:t>
      </w:r>
    </w:p>
    <w:p w14:paraId="515B457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КБ филиала (06.1946 г.)- А.Я. Березняк.</w:t>
      </w:r>
    </w:p>
    <w:p w14:paraId="358434E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Филиал № 2 НИИ-1</w:t>
      </w:r>
    </w:p>
    <w:p w14:paraId="2BEF545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 Москва Ново-Владыкино/</w:t>
      </w:r>
    </w:p>
    <w:p w14:paraId="1784860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приказу № 655с от 11.11.1944 г. для развития работ по реактивному вооружению на бывшей территории завода № 482 НКАП (которая была передана полностью со всеми зданиями, оставшимся оборудованием и персоналом) во Владыкино образована база НИИ-1 по данной тематике. По приказу № 699с от 27.12.1944 г. база стала филиалом № 2 НИИ-1 по реактивному вооружению.</w:t>
      </w:r>
    </w:p>
    <w:p w14:paraId="5217436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Из НИИ-1 сюда переведены сектора № 5, № 9, лаборатория «Е» и НИХЛ (химлаборатория) со всем личным составом и оборудованием. Продолжены работы по снарядам М-13ДД, М-20.</w:t>
      </w:r>
    </w:p>
    <w:p w14:paraId="6182172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соответствии с постановлением СМ СССР № 1017-419сс от 13.05.1946 г. и приказом МАП/ МСХМ № 318сс/126сс от 24.05.1946 г. для концентрации работ по пороховым РС из системы МАП в ведение МСХМ передан филиал № 2 НИИ-1 МАП (со всеми сооружениями и штатом сотрудников~ 350 чел.) с образованием на его базе КБ-2 МСХМ. В числе переведенных были начальник филиала Победоносцев, начальник отдела Е.А. Печерский и др.</w:t>
      </w:r>
    </w:p>
    <w:p w14:paraId="56BFA86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базе бывшего филиала и ГЦКБ-1 МСХМ образован специализированный НИИ пороховых РС (с 1.04.1947 г. получивший название НИИ-1 МСХМ).</w:t>
      </w:r>
    </w:p>
    <w:p w14:paraId="11AC8B2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филиала (1944-46 г.)- Ю.А. Победоносцев.</w:t>
      </w:r>
    </w:p>
    <w:p w14:paraId="23641EA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начальника/ гл. инженер (1944 г.)- Н.В. Климовицкий.</w:t>
      </w:r>
    </w:p>
    <w:p w14:paraId="52F9D12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КБ-1, ОКБ-1 при НИИ-1 МАП гл. конструктора Л.С. Душкина</w:t>
      </w:r>
    </w:p>
    <w:p w14:paraId="54DA8EA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Л.С. Душкин работал в ГИРДе, с 1933 г.- в РНИИ, в моторной лаборатории. С 01.1938 г. возглавлял в НИИ-3 НКБ отдел по ЖРД. </w:t>
      </w:r>
    </w:p>
    <w:p w14:paraId="5F9E83D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соответствии с приказом НКАП № 433сс/ов от 11.06.1942 г. для ускорения работ по реактивным двигателям планировалось перевести группу Душкина (В.А. Штоколов, А.В. Палло и др.) из НИИ-3 на завод № 293. Однако, по имеющейся информации, группа Душкина не была переведена и продолжала работать в НИИ-3 и затем в НИИ-1.</w:t>
      </w:r>
    </w:p>
    <w:p w14:paraId="5F33ADC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Проводились работы по ускорителю самолета С-155 и ускорителю для Е-50.</w:t>
      </w:r>
    </w:p>
    <w:p w14:paraId="5C9ECF1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Душкин до 04.1946 г.- начальник отдела № 13 НИИ-1. В 04.1946 г.- гл. конструктор КБ-1 при НИИ-1.</w:t>
      </w:r>
    </w:p>
    <w:p w14:paraId="537B5B6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1949 г. ОКБ-1 входило в состав ЦИАМ (вместе с НИИ-1).</w:t>
      </w:r>
    </w:p>
    <w:p w14:paraId="3E6D70A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соответствии с постановлением СМ СССР № 2473-973 от 10.06.1950 г. ОКБ-1 гл. конструктора Л.С. Душкина было ликвидировано, личный состав перевели в ОКБ-456, другие лаборатории НИИ-1.76 В 1955 г. Л.С. Душкин возглавил ОКБ-165-1.</w:t>
      </w:r>
    </w:p>
    <w:p w14:paraId="07879D6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Работали: (1949 г.)- Преображенский, Чурков.</w:t>
      </w:r>
    </w:p>
    <w:p w14:paraId="78AE06A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Создано: ЖРД: ОР-10 («02» для «216»), РД-12К, РДА-1-150 для РП-318, РДК-150, РДА-300, КРД-604 для «604», Д-1-А-1100 для «БИ», Д-1-Т для торпеды РТ-45 (1932-42 г.); РД-КС-1 (1946), РД-КС-3, РД-2М (1945), РД-2М3В для «302», РД-2М3ВФ для самолета «5» (1946), РД-3М, РД-КС-5, УС-2500.</w:t>
      </w:r>
    </w:p>
    <w:p w14:paraId="4742222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КБ-2 при НИИ-1 МАП гл. конструктора М.М. Бондарюка</w:t>
      </w:r>
    </w:p>
    <w:p w14:paraId="4F24811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приказу № 149сс от 28.02.1944 г. ЭКБ-3 НИИ ГВФ М.М. Бондарюка вместе с ОКБ-293 влили в состав НИИ-1. Далее оно преобразовано в отдел прямоточных двигателей, а вскоре- и в КБ-2. Сначала Бондарюк- руководитель и конструктор КБ, а с 08.1947 г.- гл. конструктор КБ-2 (в 1949 г. по совместительству работал в отделе № 5 НИИ-88).</w:t>
      </w:r>
    </w:p>
    <w:p w14:paraId="46792A2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дальнейшего ускорения работ и из-за потребности в собственной экспериментальной базе 1.10.1950 г. КБ-2 выделилось в самостоятельную организацию и получило название ОКБ-670 МАП, гл. конструктор- М.М. Бондарюк.</w:t>
      </w:r>
    </w:p>
    <w:p w14:paraId="3153932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конструктор (08.1947-10.1950 г.)- М.М. Бондарюк.</w:t>
      </w:r>
    </w:p>
    <w:p w14:paraId="6E412FB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гл. конструктора – Г.А. Варшавский.</w:t>
      </w:r>
    </w:p>
    <w:p w14:paraId="55D02C3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Работали: И.М. Вишнепольский, Ю.Н. Глазунов, Е.Я. Губер, Н.Д. Домарев, Ю.К. Ефимов, И.А. Куратов, И.Б. Леванов, А.Ф. Макеев, С.И. Платонов, С.М. Родин.</w:t>
      </w:r>
    </w:p>
    <w:p w14:paraId="2E3CFE6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Создано: ПВРД: РД-430 для Ла-126 и Ла-138 (1948); проект РД-165 для установки на НВ вертолета И.П. Братухина; РД-350; проект РД-007 для «10Х» (1948); РД-700 (РД-1, 1948); первый двухконтурный РД-1А для РС «Шторм»(1949-50), РД-550 для мишени ЛМ-15 (1949).</w:t>
      </w:r>
    </w:p>
    <w:p w14:paraId="74F815F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КБ-3 при НИИ-1 МАП гл. конструктора Г.Я. Диллона</w:t>
      </w:r>
    </w:p>
    <w:p w14:paraId="6C6EDA0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Также- это отдел вооружения № 52 НИИ-1.</w:t>
      </w:r>
    </w:p>
    <w:p w14:paraId="73AF14C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1942 г. под руководством Г.Я. Диллона и его зама В.П. Голикова начаты исследования и разработка реактивной авиационной торпеды РАТ (работали Ю.Б. Гермейер, В.А. Андреев, О.Т. Сазонова, Я.Л. Рудницкий). Закладывалась серия на заводе № 500.</w:t>
      </w:r>
    </w:p>
    <w:p w14:paraId="1EBD3F8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1944 г. Диллон работал в филиале № 2 НИИ-1 по РС.</w:t>
      </w:r>
    </w:p>
    <w:p w14:paraId="5D3C110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1948 г. действовало КБ-3 при НИИ-1. Разработан пороховой ускоритель У-5 для самолетов (1948 г., планировался выпуск на заводе № 500).</w:t>
      </w:r>
    </w:p>
    <w:p w14:paraId="6465858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Видимо, после передачи филиала № 2 НИИ-1 в МСХМ и образования НИИ-1 МСХМ группа Диллона действовала там (по разным сведениям, или из отдела № 52 НИИ-1 МАП, или из НИИ-1 МСХМ, группа Г.Я. Диллона из 16 чел., зам.- В.П. Голиков, к 07.1946 г. переведена с тематикой по РАТ-52 в НИИ-2 МАП).</w:t>
      </w:r>
    </w:p>
    <w:p w14:paraId="25C0FD1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СКБ НИИ-1 МАП гл. конструктора А.М. Люльки</w:t>
      </w:r>
    </w:p>
    <w:p w14:paraId="77BA1BC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 Москва Лихоборы/</w:t>
      </w:r>
    </w:p>
    <w:p w14:paraId="39C91CA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Организовано при институте по приказу № 185с от 13.03.1944 г. для развития работ по ГТД. Одновременно гл. конструктором утвержден А.М. Люлька, группа которого со всем заделом и оборудованием была переведена из ЦИАМ. Работы по ТРД С-18, создан в 1945 г. Затем на его базе создан ТР-1.</w:t>
      </w:r>
    </w:p>
    <w:p w14:paraId="735E024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приказу МАП № 182сс от 30.03.1946 г. для расширения работ СКБ переведено на самостоятельную базу- завод № 165 и получило название ОКБ-165 МАП.</w:t>
      </w:r>
    </w:p>
    <w:p w14:paraId="788A00B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конструктор (03.1944-03.1946 г.)- А.М. Люлька.</w:t>
      </w:r>
    </w:p>
    <w:p w14:paraId="614A127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ОКО при НИИ-1 МАП </w:t>
      </w:r>
    </w:p>
    <w:p w14:paraId="71B3630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 Химки, г. Москва/</w:t>
      </w:r>
    </w:p>
    <w:p w14:paraId="09EAF0C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Опытно-конструкторский отдел сформирован в институте в 1944 г. Проводил работы по ЖРД.</w:t>
      </w:r>
    </w:p>
    <w:p w14:paraId="152448E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Основу отдела составила группа двигателистов бывшего ОКБ-293, влитого в НИИ-1. Создан ЖРД РД-1 для «БИ», У-400-10 для экспериментальных летающих моделей ЛМ-6, ЛМ-9, ЛМ-12 (1946-47 г.), ЖРД-ускоритель СУ-1500; разрабатывался одноразовый РД У-12500 (1946 г.). </w:t>
      </w:r>
    </w:p>
    <w:p w14:paraId="2C0E9A3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отдела (-04.1946 г.)- А.М. Исаев. В 04.1946 г. Исаев возглавил ОТБ-2 в Германии (по некоторым данным, перед поездкой в Германию Исаев работал начальником цеха завода № 500).</w:t>
      </w:r>
    </w:p>
    <w:p w14:paraId="474016D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До 06.1946 г. ОКО располагался на территории филиала № 1 НИИ-1 в Химках. Затем по приказу № 361сс от 7.06.1946 г. ОКО переведен на основную территорию НИИ-1. </w:t>
      </w:r>
    </w:p>
    <w:p w14:paraId="00B7FEA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05.1948 г. в связи с большей перспективностью работ по ЖРД для РКТ ОКО Исаева переведен в НИИ-88 МВ, где образовал отдел № 9.</w:t>
      </w:r>
    </w:p>
    <w:p w14:paraId="2DB2403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Филиал НИИ-1 МАП</w:t>
      </w:r>
    </w:p>
    <w:p w14:paraId="2A5734A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Создан в составе института в 1955 г. для работ по системам управления КР. </w:t>
      </w:r>
    </w:p>
    <w:p w14:paraId="6E8B135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Создана астронавигационная система «Земля» для МКР «Буран» и аналогичная система для МКР «Буря». Гл. конструкторы систем- И.М. Лисович, Г.И. Толстоусов. В связи с прекращением работ по МКР остановлены работы и по астронавигации.</w:t>
      </w:r>
    </w:p>
    <w:p w14:paraId="6871C2B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Руководитель (1955-59 г.)- Р.Г. Чачикян (в 1942-51 г. работал на заводах № 122 НКАП, № 224 НКАП; с 1959 г.- гл. конструктор ОКБ-133 МАП).</w:t>
      </w:r>
    </w:p>
    <w:p w14:paraId="6F46C68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1962 г. в 4ГУ ГКАТ действовал филиал НИИ-1 (начальник- А.В. Ежов).</w:t>
      </w:r>
    </w:p>
    <w:p w14:paraId="093A4AA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Филиал № 2 НИИ-1 МАП, п/я 10, НИИ Машиностроения МОМ, ГУП «НИИ Машиностроения» </w:t>
      </w:r>
    </w:p>
    <w:p w14:paraId="1C4E07C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/624790 г. Нижняя Салда Свердловской обл., ул. Строителей, 72 тел. (34345) 217-03/</w:t>
      </w:r>
    </w:p>
    <w:p w14:paraId="788D892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Создан в соответствии с постановлением правительства № 2132 от 26.12.1956 г. как предприятие п/я 10 для проведения экспериментальных исследований по ЖРД, работающих на специальных топливах. Построен ряд стендов и опытное производство (в 1962 г.- испытательный комплекс 101, в 1963 г.- гидролаборатория, в 1964 г. –механосборочный корпус). Затем, в 1970-х г. созданы испытательные комплексы № 201 и 301. В 1980 г. введен в строй испытательный комплекс для ЖРД, работающих на криогенных компонентах топлива.</w:t>
      </w:r>
    </w:p>
    <w:p w14:paraId="68D4776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Постепенно, кроме сопровождения работ различных ОКБ по ЖРД, в филиале начались самостоятельные ОКР по ЖРД малой тяги, с 1981 г.- головное предприятие в этой области. Принимал участие в программе создания ОК «Буран».</w:t>
      </w:r>
    </w:p>
    <w:p w14:paraId="39F5DEE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1981 г. филиал, п/я 10, преобразован в самостоятельный НИИ Машиностроения и передан в ведение 12ГУ МОМ. Разработка ЖРД, ракетных двигателей малой тяги. Создано более 30 ЖРДМТ.</w:t>
      </w:r>
    </w:p>
    <w:p w14:paraId="2875CD2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Указу Президента РФ № 1009 от 4.08.2004 г. вошел в число стратегических оборонных предприятий.</w:t>
      </w:r>
    </w:p>
    <w:p w14:paraId="4A4C9E6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филиала (1957-66 г.)- М.Г. Миронов.</w:t>
      </w:r>
    </w:p>
    <w:p w14:paraId="7865763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(1981 г.)- В.И. Чепак, (-2000-02 г.-)- Б.А. Некрасов.</w:t>
      </w:r>
    </w:p>
    <w:p w14:paraId="6775CB1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конструктор (2002 г.)- Е.Г. Ларин.</w:t>
      </w:r>
    </w:p>
    <w:p w14:paraId="2CFC1AF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Зам. директора по НИР (2002 г.)- Е.Г. Ларин.69 </w:t>
      </w:r>
    </w:p>
    <w:p w14:paraId="5EA3AD7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Создано: ЖРД: РДМТ-0.8, РДМТ-5 для передвижения космонавтов в открытом космосе, РДМТ-100, РДМТ-12, РДМТ-50, РДМТ-135, РДМТ-200, РДМТ-400.50 </w:t>
      </w:r>
    </w:p>
    <w:p w14:paraId="484223A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КБ «Пламя» при НИИТП МОМ, НПВО «Пламя» МОМ, ЗАО «ОКБ «Пламя»</w:t>
      </w:r>
    </w:p>
    <w:p w14:paraId="2C5F198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КБ «Пламя» образовано при НИИТП в 1978 г. из группы конструкторов ОКБ-670 во главе с И.Б. Левановым, переведенных в 1972 г. в ОКБ-4-300 для продолжения работ по ПВРД.</w:t>
      </w:r>
    </w:p>
    <w:p w14:paraId="5762678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1991 г. КБ преобразовано в самостоятельное НПВО «Пламя» МОМ. Размещалось в помещениях НИИТП. Весной 1994 г. было принято решение о преобразовании НПВО «Пламя» в ОКБ, входящее в состав НИИТП, а в 04.1994 г. НПВО ликвидировано. Коллектив перебазировался на другую территорию, где было образовано ЗАО «ОКБ «Пламя». В 02.1998 г. ОКБ ДУ «Пламя» вошло в состав ГНПЦ «Звезда-Стрела».</w:t>
      </w:r>
    </w:p>
    <w:p w14:paraId="752A243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В конце 1970-х г. велись работы по ядерному ПВРД для низколетящей КР. Работы по СПВРД для ПКР «Яхонт» (испытания- с 1987 г.). Работы по ГПВРД по программе «Орел»</w:t>
      </w:r>
    </w:p>
    <w:p w14:paraId="6CBD50F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Руководитель (1978-99 г.-)- И.Б. Леванов.</w:t>
      </w:r>
    </w:p>
    <w:p w14:paraId="35D6EF1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конструктор (1978-99 г.-)- И.Б. Леванов (10776).</w:t>
      </w:r>
    </w:p>
    <w:p w14:paraId="11A002F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429F09A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февраля 1944 года Постановлением ГОКО за № 211сс в системе НКАП, на базе НИИ-3 при СНК и Опытного самолетостроительного завода № 293 (Химки), организован НИИ реактивной авиации № 1. Завод № 293 по утвержденной структуре института считался филиалом № 1 (9420).</w:t>
      </w:r>
    </w:p>
    <w:p w14:paraId="6A4368B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164FF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февраля 1944 вышло Постановление ГКО № 5201 О работе Государственного института реактивной техники при СНК СССР и о мероприятиях по развитию реактивной авиации. РГАНИР, Фонд ГКО, д. 210, лл. 10-12,13-25 (11012).</w:t>
      </w:r>
    </w:p>
    <w:p w14:paraId="6E07664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2CEB11E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фев</w:t>
      </w:r>
      <w:r w:rsidRPr="007224C3">
        <w:rPr>
          <w:rFonts w:ascii="Times New Roman" w:hAnsi="Times New Roman"/>
          <w:color w:val="000000" w:themeColor="text1"/>
          <w:sz w:val="16"/>
          <w:szCs w:val="16"/>
        </w:rPr>
        <w:softHyphen/>
        <w:t>раля 1944 г. вышло Постановление Государственного комитета обороны СССР № ГОКО-5201сс «О работе Государственного института реактивной техники при СНК СССР и о мероприятиях по развитию реактивной авиации».</w:t>
      </w:r>
    </w:p>
    <w:p w14:paraId="511989D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Государственный комитет обороны отмечает, что Государственный институт реактивной техники при СНК СССР (ГИРТ), руководимый т. Костиковым, не справился с порученной ему задачей создания как реактивного двигателя, так и реактивного самолета ни по срокам, ни по тактико-техническим данным. За полтора года ГИРТ не сумел приблизить задачу ре</w:t>
      </w:r>
      <w:r w:rsidRPr="007224C3">
        <w:rPr>
          <w:rFonts w:ascii="Times New Roman" w:hAnsi="Times New Roman"/>
          <w:color w:val="000000" w:themeColor="text1"/>
          <w:sz w:val="16"/>
          <w:szCs w:val="16"/>
        </w:rPr>
        <w:softHyphen/>
        <w:t>активного полета к практическому разрешению.</w:t>
      </w:r>
    </w:p>
    <w:p w14:paraId="5BC9607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Предложенные т. Костиковым Государственному комитету обороны данные его реактив</w:t>
      </w:r>
      <w:r w:rsidRPr="007224C3">
        <w:rPr>
          <w:rFonts w:ascii="Times New Roman" w:hAnsi="Times New Roman"/>
          <w:color w:val="000000" w:themeColor="text1"/>
          <w:sz w:val="16"/>
          <w:szCs w:val="16"/>
        </w:rPr>
        <w:softHyphen/>
        <w:t>ных самолетов совершенно не соответствуют получающимся результатам, а сроки создания этих самолетов и двигателей сорваны. Не справившись с работой, т. Костиков принимал все меры к тому, чтобы создать видимость активной и плодотворной работы по вопросу реактив</w:t>
      </w:r>
      <w:r w:rsidRPr="007224C3">
        <w:rPr>
          <w:rFonts w:ascii="Times New Roman" w:hAnsi="Times New Roman"/>
          <w:color w:val="000000" w:themeColor="text1"/>
          <w:sz w:val="16"/>
          <w:szCs w:val="16"/>
        </w:rPr>
        <w:softHyphen/>
        <w:t>ной техники, чем ввел в заблуждение правительство, а создавая ложное впечатление, что по</w:t>
      </w:r>
      <w:r w:rsidRPr="007224C3">
        <w:rPr>
          <w:rFonts w:ascii="Times New Roman" w:hAnsi="Times New Roman"/>
          <w:color w:val="000000" w:themeColor="text1"/>
          <w:sz w:val="16"/>
          <w:szCs w:val="16"/>
        </w:rPr>
        <w:softHyphen/>
        <w:t>рученная ГИРТу задача успешно решается, нанес крупный ущерб развитию реактивной тех</w:t>
      </w:r>
      <w:r w:rsidRPr="007224C3">
        <w:rPr>
          <w:rFonts w:ascii="Times New Roman" w:hAnsi="Times New Roman"/>
          <w:color w:val="000000" w:themeColor="text1"/>
          <w:sz w:val="16"/>
          <w:szCs w:val="16"/>
        </w:rPr>
        <w:softHyphen/>
        <w:t>ники в СССР и затормозил ее развитие.</w:t>
      </w:r>
    </w:p>
    <w:p w14:paraId="5787400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Считая такое положение дела с развитием реактивной техники в СССР совершенно не</w:t>
      </w:r>
      <w:r w:rsidRPr="007224C3">
        <w:rPr>
          <w:rFonts w:ascii="Times New Roman" w:hAnsi="Times New Roman"/>
          <w:color w:val="000000" w:themeColor="text1"/>
          <w:sz w:val="16"/>
          <w:szCs w:val="16"/>
        </w:rPr>
        <w:softHyphen/>
        <w:t>терпимым, Государственный комитет обороны постановляет:</w:t>
      </w:r>
    </w:p>
    <w:p w14:paraId="7AB105B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Отстранить т. Костикова А. Г. от работы начальника и главного конструктора институ</w:t>
      </w:r>
      <w:r w:rsidRPr="007224C3">
        <w:rPr>
          <w:rFonts w:ascii="Times New Roman" w:hAnsi="Times New Roman"/>
          <w:color w:val="000000" w:themeColor="text1"/>
          <w:sz w:val="16"/>
          <w:szCs w:val="16"/>
        </w:rPr>
        <w:softHyphen/>
        <w:t>та и передать его дело прокурору Союза ССР, Государственный институт реактивной техни</w:t>
      </w:r>
      <w:r w:rsidRPr="007224C3">
        <w:rPr>
          <w:rFonts w:ascii="Times New Roman" w:hAnsi="Times New Roman"/>
          <w:color w:val="000000" w:themeColor="text1"/>
          <w:sz w:val="16"/>
          <w:szCs w:val="16"/>
        </w:rPr>
        <w:softHyphen/>
        <w:t>ки при СНК СССР, как не оправдавший своего назначения, ликвидировать.</w:t>
      </w:r>
    </w:p>
    <w:p w14:paraId="74362DC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Придавая исключительно важное значение делу создания реактивной авиации в СССР, возложить решение этой задачи на Наркомат авиационной промышленности.</w:t>
      </w:r>
    </w:p>
    <w:p w14:paraId="5D8615F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Обязать Наркомавиапром (тт. Шахурина и Яковлева):</w:t>
      </w:r>
    </w:p>
    <w:p w14:paraId="7C0557E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собрать все квалифицированные силы по реактивной технике в СССР и организовать Научно-исследовательский институт реактивной авиации (НИРА НКАП) в системе Наркомавиапрома, считая основной задачей института создание реактивных двигателей;</w:t>
      </w:r>
    </w:p>
    <w:p w14:paraId="740A3B7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придать новому институту исследовательско-конструкторское направление с целью обеспечить создание надежных реактивных двигателей и самолетов и практически осуще</w:t>
      </w:r>
      <w:r w:rsidRPr="007224C3">
        <w:rPr>
          <w:rFonts w:ascii="Times New Roman" w:hAnsi="Times New Roman"/>
          <w:color w:val="000000" w:themeColor="text1"/>
          <w:sz w:val="16"/>
          <w:szCs w:val="16"/>
        </w:rPr>
        <w:softHyphen/>
        <w:t>ствить полет первых реактивных самолетов в 1944 году;</w:t>
      </w:r>
    </w:p>
    <w:p w14:paraId="4797481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наряду с работой по созданию реактивного самолета в институте реактивной авиации поручить проектирование и постройку реактивных самолетов тт. Яковлеву, Лавочкину, Микояну и Сухому;</w:t>
      </w:r>
    </w:p>
    <w:p w14:paraId="11B4DBA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 к 15 марта с. г. представить в ГОКО конкретные предложения о строительстве реак</w:t>
      </w:r>
      <w:r w:rsidRPr="007224C3">
        <w:rPr>
          <w:rFonts w:ascii="Times New Roman" w:hAnsi="Times New Roman"/>
          <w:color w:val="000000" w:themeColor="text1"/>
          <w:sz w:val="16"/>
          <w:szCs w:val="16"/>
        </w:rPr>
        <w:softHyphen/>
        <w:t>тивных двигателей и реактивных самолетов.</w:t>
      </w:r>
    </w:p>
    <w:p w14:paraId="625AFB2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начальником института реактивной авиации т. Поликовского В.И. За-начальника института назначить т. Абрамовича Г.Н., освободив его от работы в</w:t>
      </w:r>
    </w:p>
    <w:p w14:paraId="576188B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Наркомавиапрому привлечь для работы в институте реактивной авиации профессора Б.С., освободив его от работы на заводе № 300 НКАП.</w:t>
      </w:r>
    </w:p>
    <w:p w14:paraId="53C7B3B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Председатель Государственного комитета обороны</w:t>
      </w:r>
    </w:p>
    <w:p w14:paraId="2F476E3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 Сталин</w:t>
      </w:r>
    </w:p>
    <w:p w14:paraId="625D21C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АПРФ. Ф. 3. Оп. 47. Д. 179. Лл. 22-23.</w:t>
      </w:r>
    </w:p>
    <w:p w14:paraId="29E5C6A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Опубл.: Военно-исторический журнал. — 1996. — № 2. — С. 41-42 (11751).</w:t>
      </w:r>
    </w:p>
    <w:p w14:paraId="6F02DC1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BC16B7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февраля 1944 г. в своем постановле</w:t>
      </w:r>
      <w:r w:rsidRPr="007224C3">
        <w:rPr>
          <w:rFonts w:ascii="Times New Roman" w:hAnsi="Times New Roman"/>
          <w:color w:val="000000" w:themeColor="text1"/>
          <w:sz w:val="16"/>
          <w:szCs w:val="16"/>
        </w:rPr>
        <w:softHyphen/>
        <w:t>нии №5201 Государственный Комитет Обороны (ГКО) указал на нетерпимое положение с развитием реактивной техники в стране. Решение этой задачи было целиком возложено на НКАП. Этим постановлением ликвидировали не справившийся со своими задачами Го</w:t>
      </w:r>
      <w:r w:rsidRPr="007224C3">
        <w:rPr>
          <w:rFonts w:ascii="Times New Roman" w:hAnsi="Times New Roman"/>
          <w:color w:val="000000" w:themeColor="text1"/>
          <w:sz w:val="16"/>
          <w:szCs w:val="16"/>
        </w:rPr>
        <w:softHyphen/>
        <w:t>сударственный институт реактивной техники (ГИРТ) при СНКСССР,а А.И.Шахурину и А.С.Яковлеву поручили со</w:t>
      </w:r>
      <w:r w:rsidRPr="007224C3">
        <w:rPr>
          <w:rFonts w:ascii="Times New Roman" w:hAnsi="Times New Roman"/>
          <w:color w:val="000000" w:themeColor="text1"/>
          <w:sz w:val="16"/>
          <w:szCs w:val="16"/>
        </w:rPr>
        <w:softHyphen/>
        <w:t>брать все квалифицированные кадры и организовать Научно-исследователь</w:t>
      </w:r>
      <w:r w:rsidRPr="007224C3">
        <w:rPr>
          <w:rFonts w:ascii="Times New Roman" w:hAnsi="Times New Roman"/>
          <w:color w:val="000000" w:themeColor="text1"/>
          <w:sz w:val="16"/>
          <w:szCs w:val="16"/>
        </w:rPr>
        <w:softHyphen/>
        <w:t>ский институт реактивной авиации (НИИ-1), считая его основной задачей создание реактивных двигателей. При этом полеты на отечественных реактив</w:t>
      </w:r>
      <w:r w:rsidRPr="007224C3">
        <w:rPr>
          <w:rFonts w:ascii="Times New Roman" w:hAnsi="Times New Roman"/>
          <w:color w:val="000000" w:themeColor="text1"/>
          <w:sz w:val="16"/>
          <w:szCs w:val="16"/>
        </w:rPr>
        <w:softHyphen/>
        <w:t>ных самолетах предписывалось начать уже в 1944 г. Одновременно было дано указание о начале проектирования и постройки реактивных истребителей конструкторским бюро А.С. Яковлева, С.А.Лавочкина, А.И.Микояна и П.0.Су</w:t>
      </w:r>
      <w:r w:rsidRPr="007224C3">
        <w:rPr>
          <w:rFonts w:ascii="Times New Roman" w:hAnsi="Times New Roman"/>
          <w:color w:val="000000" w:themeColor="text1"/>
          <w:sz w:val="16"/>
          <w:szCs w:val="16"/>
        </w:rPr>
        <w:softHyphen/>
        <w:t>хого. В связи с этим к 15 марта в ГКО требовалось представить конкретные предложения о строительстве реак</w:t>
      </w:r>
      <w:r w:rsidRPr="007224C3">
        <w:rPr>
          <w:rFonts w:ascii="Times New Roman" w:hAnsi="Times New Roman"/>
          <w:color w:val="000000" w:themeColor="text1"/>
          <w:sz w:val="16"/>
          <w:szCs w:val="16"/>
        </w:rPr>
        <w:softHyphen/>
        <w:t>тивных двигателей и самолетов (11128).</w:t>
      </w:r>
    </w:p>
    <w:p w14:paraId="2645893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AE68B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февраля 1944 года в Постановлении Государственного Комитета Обороны (ГКО) отмечается, что генерал-майор Андрей Григорьевич Костиков снят с должности директора Государственного института реактивной техники за невыполнение особо важного задания по проектированию и строительству реактивного самолета - перехватчика. Заключение государственной комиссии, возглавляемой заместителем наркома авиационной промышленности А. С. Яковлевым, а также техническая экспертиза, проведенная видными специалистами, позволили сделать вывод, что обещанный Костиковым срок создания реактивного самолета (истребителя-перехватчика) являлся необоснованным и нереальным. Приводится и ссылка на объяснение самого Костикова по этому поводу. Он якобы признался, что данное им поспешное обещание вызвано «желанием прибавить себе славы, завоевать в стране положение конструктора-монополиста в области ракетной техники».</w:t>
      </w:r>
    </w:p>
    <w:p w14:paraId="41F3E48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Именно в тот злополучный для Костикова 1944 год выяснилось, что его авторство в создании «катюши» не совсем правомерно. Подчеркиваем, в 1944 году, а не в послевоенное время, как ныне утверждают некоторые защитники этого авторства, и установлено это было членами экспертной комиссии, а не академиками С. П. Королевым и В. П. Глушко, приобретшими, по утверждению тех же защитников, исключительный авторитет после 1957 года. Приведем выдержки из указанного документа:</w:t>
      </w:r>
    </w:p>
    <w:p w14:paraId="449239A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«ОТВЕТЫ ТЕХНИЧЕСКОЙ ЭКСПЕРТИЗЫ ПО ДЕЛУ КОСТИКОВА А. Г. ОТ 19 АПРЕЛЯ 1944 ГОДА.</w:t>
      </w:r>
    </w:p>
    <w:p w14:paraId="38B9864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Состав экспертизы комиссии.</w:t>
      </w:r>
    </w:p>
    <w:p w14:paraId="4060C20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Председатель, Чесалов Александр Васильевич, заслуженный деятель науки и техники, профессор, кандидат технических наук, начальник летно-технического института...</w:t>
      </w:r>
    </w:p>
    <w:p w14:paraId="5B018DB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Члены: Христианович Сергей Алексеевич, академик, начальник лаборатории № 2 ЦАГИ </w:t>
      </w:r>
      <w:r w:rsidRPr="007224C3">
        <w:rPr>
          <w:rFonts w:ascii="Times New Roman" w:hAnsi="Times New Roman"/>
          <w:color w:val="000000" w:themeColor="text1"/>
          <w:sz w:val="16"/>
          <w:szCs w:val="16"/>
          <w:vertAlign w:val="superscript"/>
        </w:rPr>
        <w:t>4</w:t>
      </w:r>
      <w:r w:rsidRPr="007224C3">
        <w:rPr>
          <w:rFonts w:ascii="Times New Roman" w:hAnsi="Times New Roman"/>
          <w:color w:val="000000" w:themeColor="text1"/>
          <w:sz w:val="16"/>
          <w:szCs w:val="16"/>
        </w:rPr>
        <w:t>;</w:t>
      </w:r>
    </w:p>
    <w:p w14:paraId="65A7991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Ушаков Константин Андреевич, заслуженный деятель науки и техники, профессор, доктор технических наук, начальник отдела № 3, лаборатории № 1 ЦАГИ;</w:t>
      </w:r>
    </w:p>
    <w:p w14:paraId="69AA381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Левин Лев Михайлович, заместитель начальника отдела вооружения лаборатории № 2 ЦАГИ...</w:t>
      </w:r>
    </w:p>
    <w:p w14:paraId="4235BD0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ВОПРОС четвертый:</w:t>
      </w:r>
    </w:p>
    <w:p w14:paraId="22A212C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являются ли КОСТИКОВ, ГВАЙ И AБOРЕНКОВ авторами М-8, М-13 и пусковых устройств к ним? </w:t>
      </w:r>
      <w:r w:rsidRPr="007224C3">
        <w:rPr>
          <w:rFonts w:ascii="Times New Roman" w:hAnsi="Times New Roman"/>
          <w:color w:val="000000" w:themeColor="text1"/>
          <w:sz w:val="16"/>
          <w:szCs w:val="16"/>
          <w:vertAlign w:val="superscript"/>
        </w:rPr>
        <w:t>5</w:t>
      </w:r>
    </w:p>
    <w:p w14:paraId="3EB8517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ОТВЕТ: Костиков, Гвай и Аборенков не могут считаться авторами М-8, М-13 и пусковых устройств к ним.</w:t>
      </w:r>
    </w:p>
    <w:p w14:paraId="4018FF0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Снаряд М-8 отличается незначительными видоизменениями от снаряда PC-82, разработанного в НИИ-3 в период 1934— 1937 гг.</w:t>
      </w:r>
    </w:p>
    <w:p w14:paraId="19FD1C2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Снаряд М-13 является развитием снаряда РС-132, разработанного в НИИ-3 в 1937—1938 гг.</w:t>
      </w:r>
    </w:p>
    <w:p w14:paraId="1E2E68E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разработке снарядов РС-82 и РС-132, представлявших собой оригинальную конструкцию, Костиков, Гвай и Аборенков никакого отношения не имели.</w:t>
      </w:r>
    </w:p>
    <w:p w14:paraId="757C14A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 рациональности установки пусковых устройств PC на легкие боевые машины, в частности на автомашины, указано, например, в книге «Ракеты, их устройство и применение» (ЛАНГЕМАК Г. Э. и ГЛУШКО В. П. ОНТИ, 1935 год, с. 119).</w:t>
      </w:r>
    </w:p>
    <w:p w14:paraId="343037B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Таким образом, идея создания машинной установки для ведения массированного огня реактивными снарядами не может быть приписана Костикову, Гваю и Аборенкову...</w:t>
      </w:r>
    </w:p>
    <w:p w14:paraId="38D6F9A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Подписали: Чесалов, Христианович, Ушаков, Левин» (11912).</w:t>
      </w:r>
    </w:p>
    <w:p w14:paraId="2A33FA5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2716EB4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февраля 1944 ГКО в своем постановлении №5201 впервые указал на нетерпимое положение с развитием реактивной техники в стране. При этом ликвидировался Государственный институт реактивной техники (ГИРТ) при СНК СССР и вся тематика сосредотачивалась во вновь организованном НИИ реактивной авиации (НИИ-1), подчиненном, заместителю наркома авиапромышленности А.С. Яковлеву. Этим же документом конструкторским бюро С.А. Лавочкина, А.И. Микояна, П.О.Сухого и А.С. Яковлева предписывалось приступить к созданию реактивных истребителей.</w:t>
      </w:r>
    </w:p>
    <w:p w14:paraId="354D450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Общий вид самолета Як-ЗРД с комбинированной силовой установкой. Такое решение стало закономерной реакцией на поступавшую из Германии информацию о разработке реактивной техники (12047).</w:t>
      </w:r>
    </w:p>
    <w:p w14:paraId="705D305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421593C3"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18 февраля</w:t>
      </w:r>
      <w:r w:rsidRPr="007224C3">
        <w:rPr>
          <w:rFonts w:ascii="Times New Roman" w:hAnsi="Times New Roman"/>
          <w:color w:val="000000" w:themeColor="text1"/>
          <w:sz w:val="16"/>
          <w:szCs w:val="16"/>
        </w:rPr>
        <w:t xml:space="preserve"> в 1944 году постановлением ГКО №5201 Государственный институт ракетной техники (ГИРТ) был преобразован в Научно-исследовательский институт реактивной авиации (НИИРА) и передан в систему наркомата авиационной промышленности.</w:t>
      </w:r>
    </w:p>
    <w:p w14:paraId="50D2855E"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18 февраля 1944 года, по Постановлению ГКО СССР № 5201 «О работе Государственного института реактивной техники при СНК СССР и о мероприятиях по развитию реактивной авиации» в системе НКАП СССР был создан специализированный НИИ-1 по реактивным двигателям, объединивший все конструкторские коллективы, работающие над реактивными двигателями. Государственный институт ракетной техники (ГИРТ) был преобразован в Научно-исследовательский институт реактивной авиации (НИИРА) и передан в систему наркомата авиационной промышленности.</w:t>
      </w:r>
    </w:p>
    <w:p w14:paraId="375345B5"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Постановлении №5201 Государственный Комитет Обороны (ГКО) указал на нетерпимое положение с развитием реактивной техники в стране. Придавая исключительное значение делу создания в СССР реактивной авиации, решение этой задачи наконец-то было целиком возложено на НКАП. Этим документом был ликвидирован ГИРТ, а А.И.Шахурину и А.С.Яковлеву поручалось собрать все квалифицированные силы и организовать Научно-исследовательский институт реактивной авиации (НИИ-1), считая его основной задачей создание реактивных двигателей. Таким образом, в структуре НКАП стало два основных центра, которым было поручено заниматься проблемами реактивного двигателестроения: НИИ-1 и ЦИАМ. Постановлением предписывалось конкретные предложения по строительству реактивных двигателей и самолетов представить в ГКО к 15 марта 1944 г.</w:t>
      </w:r>
    </w:p>
    <w:p w14:paraId="10A61370"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Постановлением ГКО № 5201 от 18 февраля 1944 г. Институту реактивной техники НИИ-1 (бывший ГИРТА.Г. Костикова), переданному в состав НКАП, поручили заниматься реактивными двигателями. Возглавил НИИ-1 бывший начальник НИИ ВВС П.И. Федоров, а его заместителем стал В.Ф. Болховитинов - создатель самолета "БИ".</w:t>
      </w:r>
    </w:p>
    <w:p w14:paraId="4E446BA1"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Новые руководители НИИ-1 были неравнодушны к самолетостроению. Кроме основных работ по ЖРД Исаева и Душкина, а также ТРД A.M. Люльки, решили строить экспериментальный самолет по проекту Болховитинова и Флорова. Задание было утверждено 18-ым Главным Управлением НКАП, отвечавшим за реактивную технику.</w:t>
      </w:r>
    </w:p>
    <w:p w14:paraId="31E1E551"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Предполагалось построить два варианта: один с двигателем Исаева ("4302"), другой - с двигателем Душкина ("4303"). Самолеты по проекту должны были иметь при полетной массе 2320 кг и 2350 кг соответственно: максимальную скорость у земли 1010(М=0,82)и 1040 км/ч (М=0,85), на высоте 5000 метров - 1015 (М=0,88) и 1050 км/ч (М=0,91), на высоте 15000 метров-1050(М=0,99)и 1090 км/ч(М=1,03), время набора высоты 15000 метров - 2 минуты 22 секунды и 1 минута 42,4 секунды, практический потолок - 18850 и 19750 метров, продолжительность пребывания в воздухе до 46 минут.</w:t>
      </w:r>
    </w:p>
    <w:p w14:paraId="4227287F"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"4302" представлял собой одноместный экспериментальный цельнометаллический моноплан. Крыло прямое, постоянного сечения по размаху, без поперечного V. Для улучшения поперечной устойчивости и с целью уменьшения демпфирующего крена концевые части крыла (ласты) отогнуты вниз на 45°. Профиль крыла ЦАГИ 13145, ламинарный, толщиной 13%. Фюзеляж сигарообразной формы, круглого поперечного сечения, максимальным диаметром 1150 мм. В носовой части снизу установлен буксировочный замок для безмоторного взлета на буксире. Горизонтальное оперение свободнонесущее, на нем установлены круглые шайбы, дополняющие вертикальное оперение. Киль конструктивно составляет одно целое с фюзеляжем. Обшивка всех рулей и элеронов металлическая. Шасси "4302" - наиболее сложное устройство самолета. Для первых полетов использовалось временное неубирающееся шасси (трехстержневая пирамида) с колесами от самолета Ла-5. В дальнейшем "4302" оборудовали посадочной лыжей, хвостовой пяткой и сбрасываемой тележкой.</w:t>
      </w:r>
    </w:p>
    <w:p w14:paraId="73496255"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Полеты проводились в 1947 г., всего выполнили 20 полетов, из них 19 - в варианте планера. Дальнейшего развития эта тема не получила, так как достижение высоких скоростей уже было возможно на самолетах с турбореактивными двигателями.</w:t>
      </w:r>
    </w:p>
    <w:p w14:paraId="614E3AAF"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схеме и снимке экспериментальный самолет "4302":</w:t>
      </w:r>
    </w:p>
    <w:p w14:paraId="112E2352" w14:textId="77777777" w:rsidR="00E32A8C" w:rsidRPr="007224C3" w:rsidRDefault="00E32A8C" w:rsidP="007224C3">
      <w:pPr>
        <w:spacing w:after="0" w:line="240" w:lineRule="auto"/>
        <w:jc w:val="both"/>
        <w:rPr>
          <w:rFonts w:ascii="Times New Roman" w:hAnsi="Times New Roman"/>
          <w:color w:val="000000" w:themeColor="text1"/>
          <w:sz w:val="16"/>
          <w:szCs w:val="16"/>
        </w:rPr>
      </w:pPr>
    </w:p>
    <w:p w14:paraId="320DA8CD" w14:textId="77777777" w:rsidR="00BD6B74" w:rsidRPr="007224C3" w:rsidRDefault="00BD6B74" w:rsidP="007224C3">
      <w:pPr>
        <w:pStyle w:val="Bodytext1"/>
        <w:shd w:val="clear" w:color="auto" w:fill="auto"/>
        <w:spacing w:line="240" w:lineRule="auto"/>
        <w:ind w:firstLine="0"/>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18 февраля 1944 г. вышло Постанов</w:t>
      </w:r>
      <w:r w:rsidRPr="007224C3">
        <w:rPr>
          <w:rFonts w:ascii="Times New Roman" w:hAnsi="Times New Roman" w:cs="Times New Roman"/>
          <w:color w:val="000000" w:themeColor="text1"/>
          <w:sz w:val="16"/>
          <w:szCs w:val="16"/>
        </w:rPr>
        <w:softHyphen/>
        <w:t>ление ГКО №5201, которое указывало на</w:t>
      </w:r>
      <w:r w:rsidRPr="007224C3">
        <w:rPr>
          <w:rStyle w:val="BodytextItalic"/>
          <w:rFonts w:eastAsiaTheme="minorHAnsi"/>
          <w:i w:val="0"/>
          <w:color w:val="000000" w:themeColor="text1"/>
          <w:sz w:val="16"/>
          <w:szCs w:val="16"/>
        </w:rPr>
        <w:t xml:space="preserve"> «совершенно недопустимое положение дела с развитием реактивной авиации». </w:t>
      </w:r>
      <w:r w:rsidRPr="007224C3">
        <w:rPr>
          <w:rFonts w:ascii="Times New Roman" w:hAnsi="Times New Roman" w:cs="Times New Roman"/>
          <w:color w:val="000000" w:themeColor="text1"/>
          <w:sz w:val="16"/>
          <w:szCs w:val="16"/>
        </w:rPr>
        <w:t>Этим документом ликвидировался Госу</w:t>
      </w:r>
      <w:r w:rsidRPr="007224C3">
        <w:rPr>
          <w:rFonts w:ascii="Times New Roman" w:hAnsi="Times New Roman" w:cs="Times New Roman"/>
          <w:color w:val="000000" w:themeColor="text1"/>
          <w:sz w:val="16"/>
          <w:szCs w:val="16"/>
        </w:rPr>
        <w:softHyphen/>
        <w:t>дарственный институт реактивной тех</w:t>
      </w:r>
      <w:r w:rsidRPr="007224C3">
        <w:rPr>
          <w:rFonts w:ascii="Times New Roman" w:hAnsi="Times New Roman" w:cs="Times New Roman"/>
          <w:color w:val="000000" w:themeColor="text1"/>
          <w:sz w:val="16"/>
          <w:szCs w:val="16"/>
        </w:rPr>
        <w:softHyphen/>
        <w:t>ники (НИИ-3) при Совнаркоме СССР, как не справившийся с возложенной на него задачей, а взамен учреждался НИИ реак</w:t>
      </w:r>
      <w:r w:rsidRPr="007224C3">
        <w:rPr>
          <w:rFonts w:ascii="Times New Roman" w:hAnsi="Times New Roman" w:cs="Times New Roman"/>
          <w:color w:val="000000" w:themeColor="text1"/>
          <w:sz w:val="16"/>
          <w:szCs w:val="16"/>
        </w:rPr>
        <w:softHyphen/>
        <w:t>тивной авиации с символическим номе</w:t>
      </w:r>
      <w:r w:rsidRPr="007224C3">
        <w:rPr>
          <w:rFonts w:ascii="Times New Roman" w:hAnsi="Times New Roman" w:cs="Times New Roman"/>
          <w:color w:val="000000" w:themeColor="text1"/>
          <w:sz w:val="16"/>
          <w:szCs w:val="16"/>
        </w:rPr>
        <w:softHyphen/>
        <w:t>ром «1» в системе НКАП. В Постановлении было сказано:</w:t>
      </w:r>
    </w:p>
    <w:p w14:paraId="51119A29" w14:textId="77777777" w:rsidR="00BD6B74" w:rsidRPr="007224C3" w:rsidRDefault="00BD6B74" w:rsidP="007224C3">
      <w:pPr>
        <w:pStyle w:val="Bodytext21"/>
        <w:shd w:val="clear" w:color="auto" w:fill="auto"/>
        <w:spacing w:line="240" w:lineRule="auto"/>
        <w:ind w:firstLine="0"/>
        <w:rPr>
          <w:rFonts w:ascii="Times New Roman" w:hAnsi="Times New Roman" w:cs="Times New Roman"/>
          <w:i w:val="0"/>
          <w:color w:val="000000" w:themeColor="text1"/>
          <w:sz w:val="16"/>
          <w:szCs w:val="16"/>
        </w:rPr>
      </w:pPr>
      <w:r w:rsidRPr="007224C3">
        <w:rPr>
          <w:rFonts w:ascii="Times New Roman" w:hAnsi="Times New Roman" w:cs="Times New Roman"/>
          <w:i w:val="0"/>
          <w:color w:val="000000" w:themeColor="text1"/>
          <w:sz w:val="16"/>
          <w:szCs w:val="16"/>
        </w:rPr>
        <w:t>«...Придавая исключительно важное значение делу создания реактивной авиа</w:t>
      </w:r>
      <w:r w:rsidRPr="007224C3">
        <w:rPr>
          <w:rFonts w:ascii="Times New Roman" w:hAnsi="Times New Roman" w:cs="Times New Roman"/>
          <w:i w:val="0"/>
          <w:color w:val="000000" w:themeColor="text1"/>
          <w:sz w:val="16"/>
          <w:szCs w:val="16"/>
        </w:rPr>
        <w:softHyphen/>
        <w:t>ции в СССР, возложить решение этой за</w:t>
      </w:r>
      <w:r w:rsidRPr="007224C3">
        <w:rPr>
          <w:rFonts w:ascii="Times New Roman" w:hAnsi="Times New Roman" w:cs="Times New Roman"/>
          <w:i w:val="0"/>
          <w:color w:val="000000" w:themeColor="text1"/>
          <w:sz w:val="16"/>
          <w:szCs w:val="16"/>
        </w:rPr>
        <w:softHyphen/>
        <w:t>дачи на НКАП.</w:t>
      </w:r>
    </w:p>
    <w:p w14:paraId="2B5400FF" w14:textId="77777777" w:rsidR="00BD6B74" w:rsidRPr="007224C3" w:rsidRDefault="00BD6B74" w:rsidP="007224C3">
      <w:pPr>
        <w:pStyle w:val="Bodytext21"/>
        <w:shd w:val="clear" w:color="auto" w:fill="auto"/>
        <w:spacing w:line="240" w:lineRule="auto"/>
        <w:ind w:firstLine="0"/>
        <w:rPr>
          <w:rFonts w:ascii="Times New Roman" w:hAnsi="Times New Roman" w:cs="Times New Roman"/>
          <w:i w:val="0"/>
          <w:color w:val="000000" w:themeColor="text1"/>
          <w:sz w:val="16"/>
          <w:szCs w:val="16"/>
        </w:rPr>
      </w:pPr>
      <w:r w:rsidRPr="007224C3">
        <w:rPr>
          <w:rFonts w:ascii="Times New Roman" w:hAnsi="Times New Roman" w:cs="Times New Roman"/>
          <w:i w:val="0"/>
          <w:color w:val="000000" w:themeColor="text1"/>
          <w:sz w:val="16"/>
          <w:szCs w:val="16"/>
        </w:rPr>
        <w:t>3. Обязать НКАП - А.И. Шахурина и А.С. Яковлева:</w:t>
      </w:r>
    </w:p>
    <w:p w14:paraId="50B6F1E8" w14:textId="77777777" w:rsidR="00BD6B74" w:rsidRPr="007224C3" w:rsidRDefault="00BD6B74" w:rsidP="007224C3">
      <w:pPr>
        <w:pStyle w:val="Bodytext21"/>
        <w:shd w:val="clear" w:color="auto" w:fill="auto"/>
        <w:spacing w:line="240" w:lineRule="auto"/>
        <w:ind w:firstLine="0"/>
        <w:rPr>
          <w:rFonts w:ascii="Times New Roman" w:hAnsi="Times New Roman" w:cs="Times New Roman"/>
          <w:i w:val="0"/>
          <w:color w:val="000000" w:themeColor="text1"/>
          <w:sz w:val="16"/>
          <w:szCs w:val="16"/>
        </w:rPr>
      </w:pPr>
      <w:r w:rsidRPr="007224C3">
        <w:rPr>
          <w:rFonts w:ascii="Times New Roman" w:hAnsi="Times New Roman" w:cs="Times New Roman"/>
          <w:i w:val="0"/>
          <w:color w:val="000000" w:themeColor="text1"/>
          <w:sz w:val="16"/>
          <w:szCs w:val="16"/>
        </w:rPr>
        <w:t>а) собрать все квалифицированные силы по реактивной технике в СССР и организовать НИИ Реактивной Авиации (НИИРА), считая основной задачей инсти</w:t>
      </w:r>
      <w:r w:rsidRPr="007224C3">
        <w:rPr>
          <w:rFonts w:ascii="Times New Roman" w:hAnsi="Times New Roman" w:cs="Times New Roman"/>
          <w:i w:val="0"/>
          <w:color w:val="000000" w:themeColor="text1"/>
          <w:sz w:val="16"/>
          <w:szCs w:val="16"/>
        </w:rPr>
        <w:softHyphen/>
        <w:t>тута создание реактивных двигателей.</w:t>
      </w:r>
    </w:p>
    <w:p w14:paraId="156B1EC3" w14:textId="77777777" w:rsidR="00BD6B74" w:rsidRPr="007224C3" w:rsidRDefault="00BD6B74" w:rsidP="007224C3">
      <w:pPr>
        <w:pStyle w:val="ae"/>
        <w:shd w:val="clear" w:color="auto" w:fill="FFFFFF"/>
        <w:spacing w:before="0" w:after="0"/>
        <w:jc w:val="both"/>
        <w:rPr>
          <w:color w:val="000000" w:themeColor="text1"/>
          <w:sz w:val="16"/>
          <w:szCs w:val="16"/>
        </w:rPr>
      </w:pPr>
      <w:r w:rsidRPr="007224C3">
        <w:rPr>
          <w:color w:val="000000" w:themeColor="text1"/>
          <w:sz w:val="16"/>
          <w:szCs w:val="16"/>
        </w:rPr>
        <w:t>б) придать новому институту иссле- довательско-конструкторское направле</w:t>
      </w:r>
      <w:r w:rsidRPr="007224C3">
        <w:rPr>
          <w:color w:val="000000" w:themeColor="text1"/>
          <w:sz w:val="16"/>
          <w:szCs w:val="16"/>
        </w:rPr>
        <w:softHyphen/>
        <w:t>ние, с целью обеспечения создания надеж</w:t>
      </w:r>
      <w:r w:rsidRPr="007224C3">
        <w:rPr>
          <w:color w:val="000000" w:themeColor="text1"/>
          <w:sz w:val="16"/>
          <w:szCs w:val="16"/>
        </w:rPr>
        <w:softHyphen/>
        <w:t>ных реактивных двигателей и самолетов и практически осуществить полеты пер</w:t>
      </w:r>
      <w:r w:rsidRPr="007224C3">
        <w:rPr>
          <w:color w:val="000000" w:themeColor="text1"/>
          <w:sz w:val="16"/>
          <w:szCs w:val="16"/>
        </w:rPr>
        <w:softHyphen/>
        <w:t>вых реактивных самолетов в 1944 г.</w:t>
      </w:r>
    </w:p>
    <w:p w14:paraId="4987CB46" w14:textId="77777777" w:rsidR="00BD6B74" w:rsidRPr="007224C3" w:rsidRDefault="00BD6B74" w:rsidP="007224C3">
      <w:pPr>
        <w:pStyle w:val="Bodytext21"/>
        <w:shd w:val="clear" w:color="auto" w:fill="auto"/>
        <w:tabs>
          <w:tab w:val="left" w:pos="510"/>
        </w:tabs>
        <w:spacing w:line="240" w:lineRule="auto"/>
        <w:ind w:firstLine="0"/>
        <w:rPr>
          <w:rFonts w:ascii="Times New Roman" w:hAnsi="Times New Roman" w:cs="Times New Roman"/>
          <w:i w:val="0"/>
          <w:color w:val="000000" w:themeColor="text1"/>
          <w:sz w:val="16"/>
          <w:szCs w:val="16"/>
        </w:rPr>
      </w:pPr>
      <w:r w:rsidRPr="007224C3">
        <w:rPr>
          <w:rFonts w:ascii="Times New Roman" w:hAnsi="Times New Roman" w:cs="Times New Roman"/>
          <w:i w:val="0"/>
          <w:color w:val="000000" w:themeColor="text1"/>
          <w:sz w:val="16"/>
          <w:szCs w:val="16"/>
        </w:rPr>
        <w:t>в) наряду с работой по созданию ре</w:t>
      </w:r>
      <w:r w:rsidRPr="007224C3">
        <w:rPr>
          <w:rFonts w:ascii="Times New Roman" w:hAnsi="Times New Roman" w:cs="Times New Roman"/>
          <w:i w:val="0"/>
          <w:color w:val="000000" w:themeColor="text1"/>
          <w:sz w:val="16"/>
          <w:szCs w:val="16"/>
        </w:rPr>
        <w:softHyphen/>
        <w:t>активного самолета в НИРА, поручить проектирование и постройку реактивных самолетов А.С. Яковлева, С.А. Лавочкина, А.И. Микояна, П.О. Сухого.</w:t>
      </w:r>
    </w:p>
    <w:p w14:paraId="798E0B40" w14:textId="77777777" w:rsidR="00BD6B74" w:rsidRPr="007224C3" w:rsidRDefault="00BD6B74" w:rsidP="007224C3">
      <w:pPr>
        <w:pStyle w:val="Bodytext21"/>
        <w:shd w:val="clear" w:color="auto" w:fill="auto"/>
        <w:tabs>
          <w:tab w:val="left" w:pos="481"/>
        </w:tabs>
        <w:spacing w:line="240" w:lineRule="auto"/>
        <w:ind w:firstLine="0"/>
        <w:rPr>
          <w:rFonts w:ascii="Times New Roman" w:hAnsi="Times New Roman" w:cs="Times New Roman"/>
          <w:i w:val="0"/>
          <w:color w:val="000000" w:themeColor="text1"/>
          <w:sz w:val="16"/>
          <w:szCs w:val="16"/>
        </w:rPr>
      </w:pPr>
      <w:r w:rsidRPr="007224C3">
        <w:rPr>
          <w:rFonts w:ascii="Times New Roman" w:hAnsi="Times New Roman" w:cs="Times New Roman"/>
          <w:i w:val="0"/>
          <w:color w:val="000000" w:themeColor="text1"/>
          <w:sz w:val="16"/>
          <w:szCs w:val="16"/>
        </w:rPr>
        <w:t>г) к 15 марта с.г. представить в ГКО конкретные предложения о строитель</w:t>
      </w:r>
      <w:r w:rsidRPr="007224C3">
        <w:rPr>
          <w:rFonts w:ascii="Times New Roman" w:hAnsi="Times New Roman" w:cs="Times New Roman"/>
          <w:i w:val="0"/>
          <w:color w:val="000000" w:themeColor="text1"/>
          <w:sz w:val="16"/>
          <w:szCs w:val="16"/>
        </w:rPr>
        <w:softHyphen/>
        <w:t>стве реактивных двигателей».</w:t>
      </w:r>
    </w:p>
    <w:p w14:paraId="595299BF" w14:textId="77777777" w:rsidR="00BD6B74" w:rsidRPr="007224C3" w:rsidRDefault="00BD6B74" w:rsidP="007224C3">
      <w:pPr>
        <w:pStyle w:val="Bodytext1"/>
        <w:shd w:val="clear" w:color="auto" w:fill="auto"/>
        <w:spacing w:line="240" w:lineRule="auto"/>
        <w:ind w:firstLine="0"/>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Заметим, что в перечне конструкторов будущих реактивных самолетов отсутст</w:t>
      </w:r>
      <w:r w:rsidRPr="007224C3">
        <w:rPr>
          <w:rFonts w:ascii="Times New Roman" w:hAnsi="Times New Roman" w:cs="Times New Roman"/>
          <w:color w:val="000000" w:themeColor="text1"/>
          <w:sz w:val="16"/>
          <w:szCs w:val="16"/>
        </w:rPr>
        <w:softHyphen/>
        <w:t>вовали Болховитинов со своим ракетным перехватчиком БИ, а также Костиков с Бисноватом с самолетом «302П». Причем для Костикова история с ПВРД кончилась очень плохо (17742).</w:t>
      </w:r>
    </w:p>
    <w:p w14:paraId="50E12C32" w14:textId="77777777" w:rsidR="00BD6B74" w:rsidRPr="007224C3" w:rsidRDefault="00BD6B74" w:rsidP="007224C3">
      <w:pPr>
        <w:pStyle w:val="ae"/>
        <w:shd w:val="clear" w:color="auto" w:fill="FFFFFF"/>
        <w:spacing w:before="0" w:after="0"/>
        <w:jc w:val="both"/>
        <w:rPr>
          <w:color w:val="000000" w:themeColor="text1"/>
          <w:sz w:val="16"/>
          <w:szCs w:val="16"/>
        </w:rPr>
      </w:pPr>
    </w:p>
    <w:p w14:paraId="6969650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февраля 1944 вышло Постановление ГКО № 5202 О мерах помощи заводу № 500 Наркомавиапрома в расширении производства авиационных дизелей. РГАНИР, Фонд ГКО, д. 210, лл. 26-30,31-51 (11012).</w:t>
      </w:r>
    </w:p>
    <w:p w14:paraId="0B54FEA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56BB23D7" w14:textId="77777777" w:rsidR="00B00019" w:rsidRPr="007224C3" w:rsidRDefault="00B0001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февраля 1944 вышло Постановление ГКО № 5202 О мерах помощи заводу № 500 Наркомавиапрома в расширении производства авиационных дизелей</w:t>
      </w:r>
    </w:p>
    <w:p w14:paraId="645AC5A5" w14:textId="77777777" w:rsidR="00B00019" w:rsidRPr="007224C3" w:rsidRDefault="00B00019" w:rsidP="007224C3">
      <w:pPr>
        <w:pStyle w:val="36"/>
        <w:shd w:val="clear" w:color="auto" w:fill="auto"/>
        <w:spacing w:after="0"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В целях обеспечения расширения производства авиа</w:t>
      </w:r>
      <w:r w:rsidRPr="007224C3">
        <w:rPr>
          <w:rFonts w:ascii="Times New Roman" w:cs="Times New Roman"/>
          <w:color w:val="000000" w:themeColor="text1"/>
          <w:spacing w:val="0"/>
          <w:sz w:val="16"/>
          <w:szCs w:val="16"/>
        </w:rPr>
        <w:softHyphen/>
        <w:t>ционных дизелей на эаводе № 500 Наркомавиапрома,- Госу</w:t>
      </w:r>
      <w:r w:rsidRPr="007224C3">
        <w:rPr>
          <w:rFonts w:ascii="Times New Roman" w:cs="Times New Roman"/>
          <w:color w:val="000000" w:themeColor="text1"/>
          <w:spacing w:val="0"/>
          <w:sz w:val="16"/>
          <w:szCs w:val="16"/>
        </w:rPr>
        <w:softHyphen/>
        <w:t>дарственный Комитет Обороны постановляет:</w:t>
      </w:r>
    </w:p>
    <w:p w14:paraId="095D4348" w14:textId="77777777" w:rsidR="00B00019" w:rsidRPr="007224C3" w:rsidRDefault="00B00019" w:rsidP="007224C3">
      <w:pPr>
        <w:pStyle w:val="36"/>
        <w:shd w:val="clear" w:color="auto" w:fill="auto"/>
        <w:tabs>
          <w:tab w:val="left" w:pos="1025"/>
        </w:tabs>
        <w:spacing w:after="0"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1. Обявать Наркома в иапром - т'.Шахуринй и Управляютцйх трестами № 18 - т.Хайт и № 8 - т.Волынского закончить строительные и монтажные работы по заводу № 500 в сроки, согласно приложения № 1.</w:t>
      </w:r>
    </w:p>
    <w:p w14:paraId="59EAC9B1" w14:textId="77777777" w:rsidR="00B00019" w:rsidRPr="007224C3" w:rsidRDefault="00B00019" w:rsidP="007224C3">
      <w:pPr>
        <w:pStyle w:val="36"/>
        <w:shd w:val="clear" w:color="auto" w:fill="auto"/>
        <w:spacing w:after="0"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Утвердить мероприятия по обеспечению строительства и работы завода № 500 Наркомавиапрома (си.приложение № 2.</w:t>
      </w:r>
    </w:p>
    <w:p w14:paraId="1F486F68" w14:textId="77777777" w:rsidR="00B00019" w:rsidRPr="007224C3" w:rsidRDefault="00B00019" w:rsidP="007224C3">
      <w:pPr>
        <w:pStyle w:val="36"/>
        <w:shd w:val="clear" w:color="auto" w:fill="auto"/>
        <w:tabs>
          <w:tab w:val="left" w:pos="1012"/>
        </w:tabs>
        <w:spacing w:after="0"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2. Учитывая необходимость быстрейшего расширения производства авиационных дизелей, поручить т.Микояну А.И. взять под особое наблюдение выполнение заказов завода</w:t>
      </w:r>
    </w:p>
    <w:p w14:paraId="38E6B608" w14:textId="77777777" w:rsidR="00B00019" w:rsidRPr="007224C3" w:rsidRDefault="00B00019" w:rsidP="007224C3">
      <w:pPr>
        <w:pStyle w:val="36"/>
        <w:shd w:val="clear" w:color="auto" w:fill="auto"/>
        <w:spacing w:after="0"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 500 НКАП на импортное оборудование, предусмотренных постановлениями ГОКО № 3602СС ОТ 19 июня 1943 года и № 4922с от 11 января 1944 года, обеспечив поставку этого оборудования в возможно короткий срок, впереди всех дру</w:t>
      </w:r>
      <w:r w:rsidRPr="007224C3">
        <w:rPr>
          <w:rFonts w:ascii="Times New Roman" w:cs="Times New Roman"/>
          <w:color w:val="000000" w:themeColor="text1"/>
          <w:spacing w:val="0"/>
          <w:sz w:val="16"/>
          <w:szCs w:val="16"/>
        </w:rPr>
        <w:softHyphen/>
        <w:t>гих заказов; кроме того в текущем году дополнительно по</w:t>
      </w:r>
      <w:r w:rsidRPr="007224C3">
        <w:rPr>
          <w:rFonts w:ascii="Times New Roman" w:cs="Times New Roman"/>
          <w:color w:val="000000" w:themeColor="text1"/>
          <w:spacing w:val="0"/>
          <w:sz w:val="16"/>
          <w:szCs w:val="16"/>
        </w:rPr>
        <w:softHyphen/>
        <w:t>ставить заводу № 500 НКАП иЗ импорта оборудование, инстру</w:t>
      </w:r>
      <w:r w:rsidRPr="007224C3">
        <w:rPr>
          <w:rFonts w:ascii="Times New Roman" w:cs="Times New Roman"/>
          <w:color w:val="000000" w:themeColor="text1"/>
          <w:spacing w:val="0"/>
          <w:sz w:val="16"/>
          <w:szCs w:val="16"/>
        </w:rPr>
        <w:softHyphen/>
        <w:t>мент и материалы, согласно приложению № 3.</w:t>
      </w:r>
    </w:p>
    <w:p w14:paraId="05E2352A" w14:textId="77777777" w:rsidR="00B00019" w:rsidRPr="007224C3" w:rsidRDefault="00B00019" w:rsidP="007224C3">
      <w:pPr>
        <w:pStyle w:val="36"/>
        <w:shd w:val="clear" w:color="auto" w:fill="auto"/>
        <w:tabs>
          <w:tab w:val="left" w:pos="1019"/>
        </w:tabs>
        <w:spacing w:after="0"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3. Обязать Наркомстанкоотроения - т.Ефремова поста</w:t>
      </w:r>
      <w:r w:rsidRPr="007224C3">
        <w:rPr>
          <w:rFonts w:ascii="Times New Roman" w:cs="Times New Roman"/>
          <w:color w:val="000000" w:themeColor="text1"/>
          <w:spacing w:val="0"/>
          <w:sz w:val="16"/>
          <w:szCs w:val="16"/>
        </w:rPr>
        <w:softHyphen/>
        <w:t>вить во втором квартале С. .Г. заводам № 500 и 487 НКАП:</w:t>
      </w:r>
    </w:p>
    <w:p w14:paraId="521E4115" w14:textId="77777777" w:rsidR="00B00019" w:rsidRPr="007224C3" w:rsidRDefault="00B00019" w:rsidP="007224C3">
      <w:pPr>
        <w:tabs>
          <w:tab w:val="left" w:pos="790"/>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а) 50 специальных металлорежущих станков, из них заводу № 500 - 42 станка и заводу № 487 - 3 станков, по спецификации, согласованной </w:t>
      </w:r>
      <w:r w:rsidRPr="007224C3">
        <w:rPr>
          <w:rFonts w:ascii="Times New Roman" w:hAnsi="Times New Roman"/>
          <w:color w:val="000000" w:themeColor="text1"/>
          <w:sz w:val="16"/>
          <w:szCs w:val="16"/>
          <w:lang w:val="en-US"/>
        </w:rPr>
        <w:t>q</w:t>
      </w:r>
      <w:r w:rsidRPr="007224C3">
        <w:rPr>
          <w:rFonts w:ascii="Times New Roman" w:hAnsi="Times New Roman"/>
          <w:color w:val="000000" w:themeColor="text1"/>
          <w:sz w:val="16"/>
          <w:szCs w:val="16"/>
        </w:rPr>
        <w:t xml:space="preserve"> Наркомавиапромом (приложение № 4); заказы на указанные станки выдать станкостроительным заводам немедленно;</w:t>
      </w:r>
    </w:p>
    <w:p w14:paraId="6DB39EA3" w14:textId="77777777" w:rsidR="00B00019" w:rsidRPr="007224C3" w:rsidRDefault="00B00019" w:rsidP="007224C3">
      <w:pPr>
        <w:tabs>
          <w:tab w:val="left" w:pos="796"/>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специального режущего и мерительного-инстру</w:t>
      </w:r>
      <w:r w:rsidRPr="007224C3">
        <w:rPr>
          <w:rFonts w:ascii="Times New Roman" w:hAnsi="Times New Roman"/>
          <w:color w:val="000000" w:themeColor="text1"/>
          <w:sz w:val="16"/>
          <w:szCs w:val="16"/>
        </w:rPr>
        <w:softHyphen/>
        <w:t>мента на 650 тыс.рублей, в том числе заводу № 500 на 600 тысяч рублей и заводу № 487 - на 50 тысяч рублей.</w:t>
      </w:r>
    </w:p>
    <w:p w14:paraId="1ED9D584" w14:textId="77777777" w:rsidR="00B00019" w:rsidRPr="007224C3" w:rsidRDefault="00B00019" w:rsidP="007224C3">
      <w:pPr>
        <w:tabs>
          <w:tab w:val="left" w:pos="796"/>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Обязать Главное Управление трудовых резервов при СНК СССР - т.Москатова направить в первом полуго</w:t>
      </w:r>
      <w:r w:rsidRPr="007224C3">
        <w:rPr>
          <w:rFonts w:ascii="Times New Roman" w:hAnsi="Times New Roman"/>
          <w:color w:val="000000" w:themeColor="text1"/>
          <w:sz w:val="16"/>
          <w:szCs w:val="16"/>
        </w:rPr>
        <w:softHyphen/>
        <w:t>дий с.г. из числа оканчивающих ремесленные училища и школы ФЗО: на завод № 500 НКАП - 1500 человек и на завод № 487 НКАП - 300 человек.</w:t>
      </w:r>
    </w:p>
    <w:p w14:paraId="25E0FE00" w14:textId="77777777" w:rsidR="00B00019" w:rsidRPr="007224C3" w:rsidRDefault="00B00019" w:rsidP="007224C3">
      <w:pPr>
        <w:tabs>
          <w:tab w:val="left" w:pos="796"/>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5. Обязать НКО </w:t>
      </w:r>
      <w:r w:rsidRPr="007224C3">
        <w:rPr>
          <w:rFonts w:ascii="Times New Roman" w:hAnsi="Times New Roman"/>
          <w:color w:val="000000" w:themeColor="text1"/>
          <w:sz w:val="16"/>
          <w:szCs w:val="16"/>
          <w:lang w:val="en-US"/>
        </w:rPr>
        <w:t>C</w:t>
      </w:r>
      <w:r w:rsidRPr="007224C3">
        <w:rPr>
          <w:rFonts w:ascii="Times New Roman" w:hAnsi="Times New Roman"/>
          <w:color w:val="000000" w:themeColor="text1"/>
          <w:sz w:val="16"/>
          <w:szCs w:val="16"/>
        </w:rPr>
        <w:t>СС</w:t>
      </w:r>
      <w:r w:rsidRPr="007224C3">
        <w:rPr>
          <w:rFonts w:ascii="Times New Roman" w:hAnsi="Times New Roman"/>
          <w:color w:val="000000" w:themeColor="text1"/>
          <w:sz w:val="16"/>
          <w:szCs w:val="16"/>
          <w:lang w:val="en-US"/>
        </w:rPr>
        <w:t>P</w:t>
      </w:r>
      <w:r w:rsidRPr="007224C3">
        <w:rPr>
          <w:rFonts w:ascii="Times New Roman" w:hAnsi="Times New Roman"/>
          <w:color w:val="000000" w:themeColor="text1"/>
          <w:sz w:val="16"/>
          <w:szCs w:val="16"/>
        </w:rPr>
        <w:t xml:space="preserve"> - т.Смородинова направить до</w:t>
      </w:r>
      <w:r w:rsidRPr="007224C3">
        <w:rPr>
          <w:rStyle w:val="Gulim5pt"/>
          <w:rFonts w:ascii="Times New Roman" w:hAnsi="Times New Roman" w:cs="Times New Roman"/>
          <w:color w:val="000000" w:themeColor="text1"/>
          <w:sz w:val="16"/>
          <w:szCs w:val="16"/>
        </w:rPr>
        <w:t xml:space="preserve"> </w:t>
      </w:r>
      <w:r w:rsidRPr="007224C3">
        <w:rPr>
          <w:rFonts w:ascii="Times New Roman" w:hAnsi="Times New Roman"/>
          <w:color w:val="000000" w:themeColor="text1"/>
          <w:sz w:val="16"/>
          <w:szCs w:val="16"/>
        </w:rPr>
        <w:t xml:space="preserve">1 мая </w:t>
      </w:r>
      <w:r w:rsidRPr="007224C3">
        <w:rPr>
          <w:rStyle w:val="16"/>
          <w:rFonts w:ascii="Times New Roman" w:hAnsi="Times New Roman" w:cs="Times New Roman"/>
          <w:color w:val="000000" w:themeColor="text1"/>
          <w:spacing w:val="0"/>
          <w:u w:val="none"/>
        </w:rPr>
        <w:t>с.г.</w:t>
      </w:r>
      <w:r w:rsidRPr="007224C3">
        <w:rPr>
          <w:rFonts w:ascii="Times New Roman" w:hAnsi="Times New Roman"/>
          <w:color w:val="000000" w:themeColor="text1"/>
          <w:sz w:val="16"/>
          <w:szCs w:val="16"/>
        </w:rPr>
        <w:t xml:space="preserve"> на завод № 500 НКАП, для использования на работе в производственных цехах и на строительстве этого завода - 2000 человек иэ числа военнообязанных,, не годных к строевой службе в Красной Армии, но годных к физическому труду.</w:t>
      </w:r>
    </w:p>
    <w:p w14:paraId="437CFFB2" w14:textId="77777777" w:rsidR="00B00019" w:rsidRPr="007224C3" w:rsidRDefault="00B00019" w:rsidP="007224C3">
      <w:pPr>
        <w:tabs>
          <w:tab w:val="left" w:pos="790"/>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6. Обязать Комитет по делам высшей школы при СНК СССР - т.Кафтанова направить в первом полугодии </w:t>
      </w:r>
      <w:r w:rsidRPr="007224C3">
        <w:rPr>
          <w:rStyle w:val="16"/>
          <w:rFonts w:ascii="Times New Roman" w:hAnsi="Times New Roman" w:cs="Times New Roman"/>
          <w:color w:val="000000" w:themeColor="text1"/>
          <w:spacing w:val="0"/>
          <w:u w:val="none"/>
        </w:rPr>
        <w:t>с.г.</w:t>
      </w:r>
      <w:r w:rsidRPr="007224C3">
        <w:rPr>
          <w:rFonts w:ascii="Times New Roman" w:hAnsi="Times New Roman"/>
          <w:color w:val="000000" w:themeColor="text1"/>
          <w:sz w:val="16"/>
          <w:szCs w:val="16"/>
        </w:rPr>
        <w:t xml:space="preserve"> на завод № 500 НКАП 150 инженеров из числа окан</w:t>
      </w:r>
      <w:r w:rsidRPr="007224C3">
        <w:rPr>
          <w:rFonts w:ascii="Times New Roman" w:hAnsi="Times New Roman"/>
          <w:color w:val="000000" w:themeColor="text1"/>
          <w:sz w:val="16"/>
          <w:szCs w:val="16"/>
        </w:rPr>
        <w:softHyphen/>
        <w:t>чивающих ВТУЗ"ы, в счет плана междуведомственного рас</w:t>
      </w:r>
      <w:r w:rsidRPr="007224C3">
        <w:rPr>
          <w:rFonts w:ascii="Times New Roman" w:hAnsi="Times New Roman"/>
          <w:color w:val="000000" w:themeColor="text1"/>
          <w:sz w:val="16"/>
          <w:szCs w:val="16"/>
        </w:rPr>
        <w:softHyphen/>
        <w:t>пределения молодых специалистов</w:t>
      </w:r>
    </w:p>
    <w:p w14:paraId="2D6A2442" w14:textId="77777777" w:rsidR="00B00019" w:rsidRPr="007224C3" w:rsidRDefault="00B00019" w:rsidP="007224C3">
      <w:pPr>
        <w:tabs>
          <w:tab w:val="left" w:pos="796"/>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Обязать Наркомлегпром СССР - т.Лукина передать заводу № 500 НКАП, расположенный в г.Тушино завод №</w:t>
      </w:r>
      <w:r w:rsidRPr="007224C3">
        <w:rPr>
          <w:rStyle w:val="85pt0pt"/>
          <w:rFonts w:ascii="Times New Roman" w:hAnsi="Times New Roman" w:cs="Times New Roman"/>
          <w:color w:val="000000" w:themeColor="text1"/>
          <w:spacing w:val="0"/>
          <w:sz w:val="16"/>
          <w:szCs w:val="16"/>
        </w:rPr>
        <w:t xml:space="preserve"> 10 </w:t>
      </w:r>
      <w:r w:rsidRPr="007224C3">
        <w:rPr>
          <w:rFonts w:ascii="Times New Roman" w:hAnsi="Times New Roman"/>
          <w:color w:val="000000" w:themeColor="text1"/>
          <w:sz w:val="16"/>
          <w:szCs w:val="16"/>
        </w:rPr>
        <w:t>Наркомлегпрома, со всеми зданиями и сооружениями, жилым фондом и вспомогательными службами, а также кадрами ра</w:t>
      </w:r>
      <w:r w:rsidRPr="007224C3">
        <w:rPr>
          <w:rFonts w:ascii="Times New Roman" w:hAnsi="Times New Roman"/>
          <w:color w:val="000000" w:themeColor="text1"/>
          <w:sz w:val="16"/>
          <w:szCs w:val="16"/>
        </w:rPr>
        <w:softHyphen/>
        <w:t>бочих и служащих.</w:t>
      </w:r>
    </w:p>
    <w:p w14:paraId="5BFDD496" w14:textId="77777777" w:rsidR="00B00019" w:rsidRPr="007224C3" w:rsidRDefault="00B0001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Наркомавиапрому - т.Шадрину взамен завода № 10 пе</w:t>
      </w:r>
      <w:r w:rsidRPr="007224C3">
        <w:rPr>
          <w:rFonts w:ascii="Times New Roman" w:hAnsi="Times New Roman"/>
          <w:color w:val="000000" w:themeColor="text1"/>
          <w:sz w:val="16"/>
          <w:szCs w:val="16"/>
        </w:rPr>
        <w:softHyphen/>
        <w:t>редать Наркомлегпрому СОСР завод № 459 НКАП в Солнечно</w:t>
      </w:r>
      <w:r w:rsidRPr="007224C3">
        <w:rPr>
          <w:rFonts w:ascii="Times New Roman" w:hAnsi="Times New Roman"/>
          <w:color w:val="000000" w:themeColor="text1"/>
          <w:sz w:val="16"/>
          <w:szCs w:val="16"/>
        </w:rPr>
        <w:softHyphen/>
        <w:t>горске, со всеми зданиями и сооружениями, жилым фондом и вспомогательными службами, а также кадры рабочих и служащих.</w:t>
      </w:r>
    </w:p>
    <w:p w14:paraId="33D16BD0" w14:textId="77777777" w:rsidR="00B00019" w:rsidRPr="007224C3" w:rsidRDefault="00B0001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Передачу заводов произвести в месячный срок по состоянию на 1 января 1944 года.</w:t>
      </w:r>
    </w:p>
    <w:p w14:paraId="0421E4EE" w14:textId="77777777" w:rsidR="00B00019" w:rsidRPr="007224C3" w:rsidRDefault="00B0001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Разрешить Наркомлеглроиу СССР и Наркомавиапрому пе</w:t>
      </w:r>
      <w:r w:rsidRPr="007224C3">
        <w:rPr>
          <w:rFonts w:ascii="Times New Roman" w:hAnsi="Times New Roman"/>
          <w:color w:val="000000" w:themeColor="text1"/>
          <w:sz w:val="16"/>
          <w:szCs w:val="16"/>
        </w:rPr>
        <w:softHyphen/>
        <w:t>ревести с передаваемых ааводов № 10 и № 459 на другие свои предприятия специальное оборудование и руководящие кадры.</w:t>
      </w:r>
    </w:p>
    <w:p w14:paraId="23583430" w14:textId="77777777" w:rsidR="00B00019" w:rsidRPr="007224C3" w:rsidRDefault="00B00019" w:rsidP="007224C3">
      <w:pPr>
        <w:tabs>
          <w:tab w:val="left" w:pos="823"/>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Для обеспечения нормальной перевозки из Москвы и подмосковных районов в г.Тушино работников Тушинских авиационных заводов и других промышленных предприятий, обязать НКПС - т.Кагановича электрифицировать пасса</w:t>
      </w:r>
      <w:r w:rsidRPr="007224C3">
        <w:rPr>
          <w:rFonts w:ascii="Times New Roman" w:hAnsi="Times New Roman"/>
          <w:color w:val="000000" w:themeColor="text1"/>
          <w:sz w:val="16"/>
          <w:szCs w:val="16"/>
        </w:rPr>
        <w:softHyphen/>
        <w:t xml:space="preserve">жирское железнодорожное д в ижен </w:t>
      </w:r>
      <w:r w:rsidRPr="007224C3">
        <w:rPr>
          <w:rStyle w:val="1pt"/>
          <w:rFonts w:ascii="Times New Roman" w:hAnsi="Times New Roman" w:cs="Times New Roman"/>
          <w:color w:val="000000" w:themeColor="text1"/>
          <w:spacing w:val="0"/>
          <w:sz w:val="16"/>
          <w:szCs w:val="16"/>
        </w:rPr>
        <w:t>ие н</w:t>
      </w:r>
      <w:r w:rsidRPr="007224C3">
        <w:rPr>
          <w:rFonts w:ascii="Times New Roman" w:hAnsi="Times New Roman"/>
          <w:color w:val="000000" w:themeColor="text1"/>
          <w:sz w:val="16"/>
          <w:szCs w:val="16"/>
        </w:rPr>
        <w:t xml:space="preserve"> а участке, Москва - станция Нахабино, Калининской жёлезной дороги, обеспе</w:t>
      </w:r>
      <w:r w:rsidRPr="007224C3">
        <w:rPr>
          <w:rFonts w:ascii="Times New Roman" w:hAnsi="Times New Roman"/>
          <w:color w:val="000000" w:themeColor="text1"/>
          <w:sz w:val="16"/>
          <w:szCs w:val="16"/>
        </w:rPr>
        <w:softHyphen/>
        <w:t>чив ввод в эксплоатацию электрифицированного участка к 1 ноября 1944 года.</w:t>
      </w:r>
    </w:p>
    <w:p w14:paraId="09D6D1FC" w14:textId="77777777" w:rsidR="00B00019" w:rsidRPr="007224C3" w:rsidRDefault="00B0001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Утвердить план поставки НКПС материалов целевым назначением для электрификации железнодорожного участка Москва - станция Нахабино, Калининской железной дороги (приложение № 5).</w:t>
      </w:r>
    </w:p>
    <w:p w14:paraId="11425B09" w14:textId="77777777" w:rsidR="00B00019" w:rsidRPr="007224C3" w:rsidRDefault="00B00019" w:rsidP="007224C3">
      <w:pPr>
        <w:tabs>
          <w:tab w:val="left" w:pos="823"/>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Обязать Мосгорисполком - т.Пронина построить и до 1 августа с.г. сдать в эксплоатацию трамвайную линию от деревни, Щукино до поселка завода № 82 НКАП.</w:t>
      </w:r>
    </w:p>
    <w:p w14:paraId="39AB1B5F" w14:textId="77777777" w:rsidR="00B00019" w:rsidRPr="007224C3" w:rsidRDefault="00B0001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Финансирование работ по строительству новой трам</w:t>
      </w:r>
      <w:r w:rsidRPr="007224C3">
        <w:rPr>
          <w:rFonts w:ascii="Times New Roman" w:hAnsi="Times New Roman"/>
          <w:color w:val="000000" w:themeColor="text1"/>
          <w:sz w:val="16"/>
          <w:szCs w:val="16"/>
        </w:rPr>
        <w:softHyphen/>
        <w:t>вайной линии возложить на Наркомавиапром.</w:t>
      </w:r>
    </w:p>
    <w:p w14:paraId="7445E0B4" w14:textId="77777777" w:rsidR="00B00019" w:rsidRPr="007224C3" w:rsidRDefault="00B0001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Утвердить план поставок </w:t>
      </w:r>
      <w:r w:rsidRPr="007224C3">
        <w:rPr>
          <w:rFonts w:ascii="Times New Roman" w:hAnsi="Times New Roman"/>
          <w:color w:val="000000" w:themeColor="text1"/>
          <w:sz w:val="16"/>
          <w:szCs w:val="16"/>
          <w:lang w:val="en-US"/>
        </w:rPr>
        <w:t>Mocrop</w:t>
      </w:r>
      <w:r w:rsidRPr="007224C3">
        <w:rPr>
          <w:rFonts w:ascii="Times New Roman" w:hAnsi="Times New Roman"/>
          <w:color w:val="000000" w:themeColor="text1"/>
          <w:sz w:val="16"/>
          <w:szCs w:val="16"/>
        </w:rPr>
        <w:t>исполкому материалов, целевым назначением для строительства трамвайной линии от деревни Щукино до поселка завода № 82 НКАП (приложе</w:t>
      </w:r>
      <w:r w:rsidRPr="007224C3">
        <w:rPr>
          <w:rFonts w:ascii="Times New Roman" w:hAnsi="Times New Roman"/>
          <w:color w:val="000000" w:themeColor="text1"/>
          <w:sz w:val="16"/>
          <w:szCs w:val="16"/>
        </w:rPr>
        <w:softHyphen/>
        <w:t xml:space="preserve">ние № </w:t>
      </w:r>
      <w:r w:rsidRPr="007224C3">
        <w:rPr>
          <w:rStyle w:val="16"/>
          <w:rFonts w:ascii="Times New Roman" w:hAnsi="Times New Roman" w:cs="Times New Roman"/>
          <w:color w:val="000000" w:themeColor="text1"/>
          <w:spacing w:val="0"/>
          <w:u w:val="none"/>
        </w:rPr>
        <w:t>6).</w:t>
      </w:r>
    </w:p>
    <w:p w14:paraId="37CA4763" w14:textId="77777777" w:rsidR="00B00019" w:rsidRPr="007224C3" w:rsidRDefault="00B0001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10. Обязать Госплан СССР - т.Вознесенского преду</w:t>
      </w:r>
      <w:r w:rsidRPr="007224C3">
        <w:rPr>
          <w:rFonts w:ascii="Times New Roman" w:hAnsi="Times New Roman"/>
          <w:color w:val="000000" w:themeColor="text1"/>
          <w:sz w:val="16"/>
          <w:szCs w:val="16"/>
        </w:rPr>
        <w:softHyphen/>
        <w:t>смотреть в квартальных планах в текущем году целевое вы</w:t>
      </w:r>
      <w:r w:rsidRPr="007224C3">
        <w:rPr>
          <w:rFonts w:ascii="Times New Roman" w:hAnsi="Times New Roman"/>
          <w:color w:val="000000" w:themeColor="text1"/>
          <w:sz w:val="16"/>
          <w:szCs w:val="16"/>
        </w:rPr>
        <w:softHyphen/>
        <w:t>деление фондов на оборудование и материалы, предусморенные настоящим постановлением заводу № 500 и стройтреста № 18 НКАП, а также НКПС для электрификации желеанодорожного участка Москва - станция Нахабино и Мосгорисполко</w:t>
      </w:r>
      <w:r w:rsidRPr="007224C3">
        <w:rPr>
          <w:rFonts w:ascii="Times New Roman" w:hAnsi="Times New Roman"/>
          <w:color w:val="000000" w:themeColor="text1"/>
          <w:sz w:val="16"/>
          <w:szCs w:val="16"/>
        </w:rPr>
        <w:softHyphen/>
      </w:r>
      <w:r w:rsidRPr="007224C3">
        <w:rPr>
          <w:rStyle w:val="1pt"/>
          <w:rFonts w:ascii="Times New Roman" w:hAnsi="Times New Roman" w:cs="Times New Roman"/>
          <w:color w:val="000000" w:themeColor="text1"/>
          <w:spacing w:val="0"/>
          <w:sz w:val="16"/>
          <w:szCs w:val="16"/>
        </w:rPr>
        <w:t>му -для</w:t>
      </w:r>
      <w:r w:rsidRPr="007224C3">
        <w:rPr>
          <w:rFonts w:ascii="Times New Roman" w:hAnsi="Times New Roman"/>
          <w:color w:val="000000" w:themeColor="text1"/>
          <w:sz w:val="16"/>
          <w:szCs w:val="16"/>
        </w:rPr>
        <w:t xml:space="preserve"> продления трамвайной линии от деревни Щукино до поселка завода № 82 НКАП.</w:t>
      </w:r>
    </w:p>
    <w:p w14:paraId="66216D51" w14:textId="77777777" w:rsidR="00B00019" w:rsidRPr="007224C3" w:rsidRDefault="00B0001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Для обеспечения электроснабжения завода № 500 НКАП, обязать Наркомэле ктростанций - т. Жимерина расши</w:t>
      </w:r>
      <w:r w:rsidRPr="007224C3">
        <w:rPr>
          <w:rFonts w:ascii="Times New Roman" w:hAnsi="Times New Roman"/>
          <w:color w:val="000000" w:themeColor="text1"/>
          <w:sz w:val="16"/>
          <w:szCs w:val="16"/>
        </w:rPr>
        <w:softHyphen/>
        <w:t xml:space="preserve">рить в первом полугодии </w:t>
      </w:r>
      <w:r w:rsidRPr="007224C3">
        <w:rPr>
          <w:rStyle w:val="1pt"/>
          <w:rFonts w:ascii="Times New Roman" w:hAnsi="Times New Roman" w:cs="Times New Roman"/>
          <w:color w:val="000000" w:themeColor="text1"/>
          <w:spacing w:val="0"/>
          <w:sz w:val="16"/>
          <w:szCs w:val="16"/>
        </w:rPr>
        <w:t>с.г.</w:t>
      </w:r>
      <w:r w:rsidRPr="007224C3">
        <w:rPr>
          <w:rFonts w:ascii="Times New Roman" w:hAnsi="Times New Roman"/>
          <w:color w:val="000000" w:themeColor="text1"/>
          <w:sz w:val="16"/>
          <w:szCs w:val="16"/>
        </w:rPr>
        <w:t xml:space="preserve"> электроподстанцию № 111 Мосэнерго на одну ячейку в 35 киловольт.</w:t>
      </w:r>
    </w:p>
    <w:p w14:paraId="2B6B99CA" w14:textId="77777777" w:rsidR="00B00019" w:rsidRPr="007224C3" w:rsidRDefault="00B0001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Обязать Наркомсредмаш - т.Акопова и директора Московского автозавода - т.Лихачева в двухнедельный срок поставить стройтресту № 16 НКАП - 30 грузовых ав</w:t>
      </w:r>
      <w:r w:rsidRPr="007224C3">
        <w:rPr>
          <w:rFonts w:ascii="Times New Roman" w:hAnsi="Times New Roman"/>
          <w:color w:val="000000" w:themeColor="text1"/>
          <w:sz w:val="16"/>
          <w:szCs w:val="16"/>
        </w:rPr>
        <w:softHyphen/>
        <w:t>томашин, заводу № 500 НКАП - 15 и заводу № 487 НКАП 5 грузовых автомашин, в счет доставок НКО.</w:t>
      </w:r>
    </w:p>
    <w:p w14:paraId="59F79A4C" w14:textId="77777777" w:rsidR="00B00019" w:rsidRPr="007224C3" w:rsidRDefault="00B0001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В связи с тем, что корпус Московского авиаци</w:t>
      </w:r>
      <w:r w:rsidRPr="007224C3">
        <w:rPr>
          <w:rFonts w:ascii="Times New Roman" w:hAnsi="Times New Roman"/>
          <w:color w:val="000000" w:themeColor="text1"/>
          <w:sz w:val="16"/>
          <w:szCs w:val="16"/>
        </w:rPr>
        <w:softHyphen/>
        <w:t>онного технологического института в г.Тушино передан, заводу № 500, обязать Наркомавиапром - т.Шахурина в ча</w:t>
      </w:r>
      <w:r w:rsidRPr="007224C3">
        <w:rPr>
          <w:rFonts w:ascii="Times New Roman" w:hAnsi="Times New Roman"/>
          <w:color w:val="000000" w:themeColor="text1"/>
          <w:sz w:val="16"/>
          <w:szCs w:val="16"/>
        </w:rPr>
        <w:softHyphen/>
        <w:t>стичное изменение постановления ГОКО № 3919с от 13 ав</w:t>
      </w:r>
      <w:r w:rsidRPr="007224C3">
        <w:rPr>
          <w:rFonts w:ascii="Times New Roman" w:hAnsi="Times New Roman"/>
          <w:color w:val="000000" w:themeColor="text1"/>
          <w:sz w:val="16"/>
          <w:szCs w:val="16"/>
        </w:rPr>
        <w:softHyphen/>
        <w:t>густа 1943 года передать МАТИ, для организации учебно- производственных мастерских и лабораторий, помещение бывшего филиала завода № 119 (Щемиловский переулок,дом №16).</w:t>
      </w:r>
    </w:p>
    <w:p w14:paraId="0AE72D21" w14:textId="77777777" w:rsidR="00B00019" w:rsidRPr="007224C3" w:rsidRDefault="00B0001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Распространить на серийные авиационные дизели режим хранения технической до кументацииу, установленный на заводах НКАП для серийных авиационных моторов</w:t>
      </w:r>
    </w:p>
    <w:p w14:paraId="61BB0475" w14:textId="77777777" w:rsidR="00B00019" w:rsidRPr="007224C3" w:rsidRDefault="00B0001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Обязать Наркомфин СССР - т Зверева выделить из резервного фонда СНК СССР:</w:t>
      </w:r>
    </w:p>
    <w:p w14:paraId="5EA6E28E" w14:textId="77777777" w:rsidR="00B00019" w:rsidRPr="007224C3" w:rsidRDefault="00B0001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Наркомавиапрому - 15,5 млн .рублей,- из них: 13 млн</w:t>
      </w:r>
      <w:r w:rsidRPr="007224C3">
        <w:rPr>
          <w:rFonts w:ascii="Times New Roman" w:hAnsi="Times New Roman"/>
          <w:color w:val="000000" w:themeColor="text1"/>
          <w:sz w:val="16"/>
          <w:szCs w:val="16"/>
          <w:lang w:val="en-US"/>
        </w:rPr>
        <w:t>i</w:t>
      </w:r>
      <w:r w:rsidRPr="007224C3">
        <w:rPr>
          <w:rFonts w:ascii="Times New Roman" w:hAnsi="Times New Roman"/>
          <w:color w:val="000000" w:themeColor="text1"/>
          <w:sz w:val="16"/>
          <w:szCs w:val="16"/>
        </w:rPr>
        <w:t>рублей на постановку и расширение серийного про</w:t>
      </w:r>
      <w:r w:rsidRPr="007224C3">
        <w:rPr>
          <w:rFonts w:ascii="Times New Roman" w:hAnsi="Times New Roman"/>
          <w:color w:val="000000" w:themeColor="text1"/>
          <w:sz w:val="16"/>
          <w:szCs w:val="16"/>
        </w:rPr>
        <w:softHyphen/>
        <w:t xml:space="preserve">изводства авиационных дизелей на заводе № 500 2 млн. рублей на премирование работников заводов № 500 и 487. отличившихся при организации производства авиационных дизелей и топливной аппаратуры для- них; - </w:t>
      </w:r>
      <w:r w:rsidRPr="007224C3">
        <w:rPr>
          <w:rStyle w:val="-1pt"/>
          <w:rFonts w:ascii="Times New Roman" w:hAnsi="Times New Roman" w:cs="Times New Roman"/>
          <w:color w:val="000000" w:themeColor="text1"/>
          <w:spacing w:val="0"/>
          <w:sz w:val="16"/>
          <w:szCs w:val="16"/>
        </w:rPr>
        <w:t>500</w:t>
      </w:r>
      <w:r w:rsidRPr="007224C3">
        <w:rPr>
          <w:rFonts w:ascii="Times New Roman" w:hAnsi="Times New Roman"/>
          <w:color w:val="000000" w:themeColor="text1"/>
          <w:sz w:val="16"/>
          <w:szCs w:val="16"/>
        </w:rPr>
        <w:t xml:space="preserve"> тысяч руб</w:t>
      </w:r>
      <w:r w:rsidRPr="007224C3">
        <w:rPr>
          <w:rFonts w:ascii="Times New Roman" w:hAnsi="Times New Roman"/>
          <w:color w:val="000000" w:themeColor="text1"/>
          <w:sz w:val="16"/>
          <w:szCs w:val="16"/>
        </w:rPr>
        <w:softHyphen/>
        <w:t>лей на премирование работников треста №.16, отличившиеся при строительстве завода № 500 НКАП;</w:t>
      </w:r>
    </w:p>
    <w:p w14:paraId="434E4A90" w14:textId="77777777" w:rsidR="00B00019" w:rsidRPr="007224C3" w:rsidRDefault="00B0001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б) Наркомстанкостроению - 500 тысяч рублей на премирование работников, отличившихся при выполнении в срок задания по изготовлению и </w:t>
      </w:r>
      <w:r w:rsidRPr="007224C3">
        <w:rPr>
          <w:rStyle w:val="afff7"/>
          <w:rFonts w:ascii="Times New Roman" w:hAnsi="Times New Roman" w:cs="Times New Roman"/>
          <w:color w:val="000000" w:themeColor="text1"/>
          <w:sz w:val="16"/>
          <w:szCs w:val="16"/>
        </w:rPr>
        <w:t xml:space="preserve"> </w:t>
      </w:r>
      <w:r w:rsidRPr="007224C3">
        <w:rPr>
          <w:rStyle w:val="afff7"/>
          <w:rFonts w:ascii="Times New Roman" w:hAnsi="Times New Roman" w:cs="Times New Roman"/>
          <w:b w:val="0"/>
          <w:color w:val="000000" w:themeColor="text1"/>
          <w:sz w:val="16"/>
          <w:szCs w:val="16"/>
        </w:rPr>
        <w:t>поставке заводам №</w:t>
      </w:r>
      <w:r w:rsidRPr="007224C3">
        <w:rPr>
          <w:rFonts w:ascii="Times New Roman" w:hAnsi="Times New Roman"/>
          <w:color w:val="000000" w:themeColor="text1"/>
          <w:sz w:val="16"/>
          <w:szCs w:val="16"/>
        </w:rPr>
        <w:t xml:space="preserve"> 500 и 487 НКАП </w:t>
      </w:r>
      <w:r w:rsidRPr="007224C3">
        <w:rPr>
          <w:rStyle w:val="16"/>
          <w:rFonts w:ascii="Times New Roman" w:hAnsi="Times New Roman" w:cs="Times New Roman"/>
          <w:color w:val="000000" w:themeColor="text1"/>
          <w:spacing w:val="0"/>
          <w:u w:val="none"/>
        </w:rPr>
        <w:t>специальных м</w:t>
      </w:r>
      <w:r w:rsidRPr="007224C3">
        <w:rPr>
          <w:rFonts w:ascii="Times New Roman" w:hAnsi="Times New Roman"/>
          <w:color w:val="000000" w:themeColor="text1"/>
          <w:sz w:val="16"/>
          <w:szCs w:val="16"/>
        </w:rPr>
        <w:t>еталлорекущих станков.</w:t>
      </w:r>
    </w:p>
    <w:p w14:paraId="2D8F3C26" w14:textId="77777777" w:rsidR="00B00019" w:rsidRPr="007224C3" w:rsidRDefault="00B0001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Учитывая особое значение завода № 500 Наркомавиапрома в деле обеспечения выпуска авиационных дизе</w:t>
      </w:r>
      <w:r w:rsidRPr="007224C3">
        <w:rPr>
          <w:rFonts w:ascii="Times New Roman" w:hAnsi="Times New Roman"/>
          <w:color w:val="000000" w:themeColor="text1"/>
          <w:sz w:val="16"/>
          <w:szCs w:val="16"/>
        </w:rPr>
        <w:softHyphen/>
      </w:r>
      <w:r w:rsidRPr="007224C3">
        <w:rPr>
          <w:rStyle w:val="afff7"/>
          <w:rFonts w:ascii="Times New Roman" w:hAnsi="Times New Roman" w:cs="Times New Roman"/>
          <w:b w:val="0"/>
          <w:color w:val="000000" w:themeColor="text1"/>
          <w:sz w:val="16"/>
          <w:szCs w:val="16"/>
        </w:rPr>
        <w:t>лей</w:t>
      </w:r>
      <w:r w:rsidRPr="007224C3">
        <w:rPr>
          <w:rFonts w:ascii="Times New Roman" w:hAnsi="Times New Roman"/>
          <w:color w:val="000000" w:themeColor="text1"/>
          <w:sz w:val="16"/>
          <w:szCs w:val="16"/>
        </w:rPr>
        <w:t xml:space="preserve"> для новых боевых самолетов - обязать все перечис</w:t>
      </w:r>
      <w:r w:rsidRPr="007224C3">
        <w:rPr>
          <w:rFonts w:ascii="Times New Roman" w:hAnsi="Times New Roman"/>
          <w:color w:val="000000" w:themeColor="text1"/>
          <w:sz w:val="16"/>
          <w:szCs w:val="16"/>
        </w:rPr>
        <w:softHyphen/>
        <w:t>ленные в постановлении наркоматы и ведомства считать выполнение настоящего решения задачей важнейшего военно-хозяйственного значения (19440).</w:t>
      </w:r>
    </w:p>
    <w:p w14:paraId="6B033C5E" w14:textId="77777777" w:rsidR="001D435E" w:rsidRPr="007224C3" w:rsidRDefault="001D435E" w:rsidP="007224C3">
      <w:pPr>
        <w:autoSpaceDE w:val="0"/>
        <w:autoSpaceDN w:val="0"/>
        <w:adjustRightInd w:val="0"/>
        <w:spacing w:after="0" w:line="240" w:lineRule="auto"/>
        <w:jc w:val="both"/>
        <w:rPr>
          <w:rFonts w:ascii="Times New Roman" w:hAnsi="Times New Roman"/>
          <w:color w:val="000000" w:themeColor="text1"/>
          <w:sz w:val="16"/>
          <w:szCs w:val="16"/>
        </w:rPr>
      </w:pPr>
    </w:p>
    <w:p w14:paraId="762FD5A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февраля 1944 г. в соответствии с пост. ГКО № 5202с и приказом № 134с/20с от 25.02.1944 г. завод № 10 НКЛП (г. Тушино) (Завод № 10 НКЛП, 1-й парашютный завод НКО /г. Тушино Московской обл./) со всеми сооружениями и личным составом передан заводу № 500 НКАП как производство № 3. Этим же приказом завод № 459 НКАП со всеми сооружениями и личным составом передан в систему НКЛП и переименован в завод № 10 НКЛП (см. завод № 459).</w:t>
      </w:r>
    </w:p>
    <w:p w14:paraId="24259E6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(1931 г.)- М.А. Савицкий, (1930-е)- Николаев.</w:t>
      </w:r>
    </w:p>
    <w:p w14:paraId="52398FD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конструктор (1931 г.)- М.А. Савицкий (11982) (11982).</w:t>
      </w:r>
    </w:p>
    <w:p w14:paraId="054FB8B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5E6F2D1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февраля 1944 вышло Постановление ГКО № 5203 Об отработке и изготовлении образцов авиационного электрифицированного вооружения. РГАНИР, Фонд ГКО, д. 210, лл. 52-53 (11012).</w:t>
      </w:r>
    </w:p>
    <w:p w14:paraId="6A226E1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45E5C61D" w14:textId="77777777" w:rsidR="00681333" w:rsidRPr="007224C3" w:rsidRDefault="0068133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февраля 1944 вышло Постановление ГКО № 5203 Об отработке и изготовлении образцов авиационного электрифицированного вооружения</w:t>
      </w:r>
    </w:p>
    <w:p w14:paraId="1AEE2001" w14:textId="77777777" w:rsidR="00681333" w:rsidRPr="007224C3" w:rsidRDefault="00681333" w:rsidP="007224C3">
      <w:pPr>
        <w:pStyle w:val="36"/>
        <w:shd w:val="clear" w:color="auto" w:fill="auto"/>
        <w:spacing w:after="0"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В целях повышения огневой мощности истребителей и точности воздушной стрельбы, Государственный Комитет рбороны постановляет: .</w:t>
      </w:r>
    </w:p>
    <w:p w14:paraId="3C4E7532" w14:textId="77777777" w:rsidR="00681333" w:rsidRPr="007224C3" w:rsidRDefault="00681333" w:rsidP="007224C3">
      <w:pPr>
        <w:pStyle w:val="36"/>
        <w:shd w:val="clear" w:color="auto" w:fill="auto"/>
        <w:tabs>
          <w:tab w:val="left" w:pos="1372"/>
        </w:tabs>
        <w:spacing w:after="0"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1. Обязать Наркомбоепрйпасо</w:t>
      </w:r>
      <w:r w:rsidRPr="007224C3">
        <w:rPr>
          <w:rStyle w:val="affa"/>
          <w:rFonts w:ascii="Times New Roman" w:cs="Times New Roman"/>
          <w:b w:val="0"/>
          <w:color w:val="000000" w:themeColor="text1"/>
          <w:spacing w:val="0"/>
          <w:sz w:val="16"/>
          <w:szCs w:val="16"/>
        </w:rPr>
        <w:t>в - т.Ванникова, ди</w:t>
      </w:r>
      <w:r w:rsidRPr="007224C3">
        <w:rPr>
          <w:rStyle w:val="affa"/>
          <w:rFonts w:ascii="Times New Roman" w:cs="Times New Roman"/>
          <w:color w:val="000000" w:themeColor="text1"/>
          <w:spacing w:val="0"/>
          <w:sz w:val="16"/>
          <w:szCs w:val="16"/>
        </w:rPr>
        <w:softHyphen/>
      </w:r>
      <w:r w:rsidRPr="007224C3">
        <w:rPr>
          <w:rFonts w:ascii="Times New Roman" w:cs="Times New Roman"/>
          <w:color w:val="000000" w:themeColor="text1"/>
          <w:spacing w:val="0"/>
          <w:sz w:val="16"/>
          <w:szCs w:val="16"/>
        </w:rPr>
        <w:t>ректора завода № 521 т</w:t>
      </w:r>
      <w:r w:rsidRPr="007224C3">
        <w:rPr>
          <w:rStyle w:val="affa"/>
          <w:rFonts w:ascii="Times New Roman" w:cs="Times New Roman"/>
          <w:color w:val="000000" w:themeColor="text1"/>
          <w:spacing w:val="0"/>
          <w:sz w:val="16"/>
          <w:szCs w:val="16"/>
        </w:rPr>
        <w:t>.</w:t>
      </w:r>
      <w:r w:rsidRPr="007224C3">
        <w:rPr>
          <w:rStyle w:val="affa"/>
          <w:rFonts w:ascii="Times New Roman" w:cs="Times New Roman"/>
          <w:b w:val="0"/>
          <w:color w:val="000000" w:themeColor="text1"/>
          <w:spacing w:val="0"/>
          <w:sz w:val="16"/>
          <w:szCs w:val="16"/>
        </w:rPr>
        <w:t>Борисова, директора</w:t>
      </w:r>
      <w:r w:rsidRPr="007224C3">
        <w:rPr>
          <w:rFonts w:ascii="Times New Roman" w:cs="Times New Roman"/>
          <w:color w:val="000000" w:themeColor="text1"/>
          <w:spacing w:val="0"/>
          <w:sz w:val="16"/>
          <w:szCs w:val="16"/>
        </w:rPr>
        <w:t xml:space="preserve"> завода № 253 т.Костылева и директора НИИ-6 т.Закощикова отработать и изготовить опытную партию электрокапсюлей в количест</w:t>
      </w:r>
      <w:r w:rsidRPr="007224C3">
        <w:rPr>
          <w:rFonts w:ascii="Times New Roman" w:cs="Times New Roman"/>
          <w:color w:val="000000" w:themeColor="text1"/>
          <w:spacing w:val="0"/>
          <w:sz w:val="16"/>
          <w:szCs w:val="16"/>
        </w:rPr>
        <w:softHyphen/>
        <w:t>ве 15.000 шт. к патронам калибров 12,7; 20; 23мм и в количестве 3.000 шт. к патронам калибра 37 мм, по тактико-техническим требованиям ВВС Красной Армии, и по</w:t>
      </w:r>
      <w:r w:rsidRPr="007224C3">
        <w:rPr>
          <w:rFonts w:ascii="Times New Roman" w:cs="Times New Roman"/>
          <w:color w:val="000000" w:themeColor="text1"/>
          <w:spacing w:val="0"/>
          <w:sz w:val="16"/>
          <w:szCs w:val="16"/>
        </w:rPr>
        <w:softHyphen/>
        <w:t>дать патроны с электрокапсюлями к 15 марта 1944 года:</w:t>
      </w:r>
    </w:p>
    <w:p w14:paraId="28F2C6CC" w14:textId="77777777" w:rsidR="00681333" w:rsidRPr="007224C3" w:rsidRDefault="00681333" w:rsidP="007224C3">
      <w:pPr>
        <w:pStyle w:val="36"/>
        <w:shd w:val="clear" w:color="auto" w:fill="auto"/>
        <w:tabs>
          <w:tab w:val="left" w:pos="1359"/>
        </w:tabs>
        <w:spacing w:after="0"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а) по500 шт. калибров 12,7; 20</w:t>
      </w:r>
      <w:r w:rsidRPr="007224C3">
        <w:rPr>
          <w:rStyle w:val="affa"/>
          <w:rFonts w:ascii="Times New Roman" w:cs="Times New Roman"/>
          <w:color w:val="000000" w:themeColor="text1"/>
          <w:spacing w:val="0"/>
          <w:sz w:val="16"/>
          <w:szCs w:val="16"/>
        </w:rPr>
        <w:t xml:space="preserve"> </w:t>
      </w:r>
      <w:r w:rsidRPr="007224C3">
        <w:rPr>
          <w:rStyle w:val="affa"/>
          <w:rFonts w:ascii="Times New Roman" w:cs="Times New Roman"/>
          <w:b w:val="0"/>
          <w:color w:val="000000" w:themeColor="text1"/>
          <w:spacing w:val="0"/>
          <w:sz w:val="16"/>
          <w:szCs w:val="16"/>
        </w:rPr>
        <w:t>и</w:t>
      </w:r>
      <w:r w:rsidRPr="007224C3">
        <w:rPr>
          <w:rFonts w:ascii="Times New Roman" w:cs="Times New Roman"/>
          <w:color w:val="000000" w:themeColor="text1"/>
          <w:spacing w:val="0"/>
          <w:sz w:val="16"/>
          <w:szCs w:val="16"/>
        </w:rPr>
        <w:t xml:space="preserve"> 23мм ОКБ-140 НКАП для отработки электросинхронизатора;</w:t>
      </w:r>
    </w:p>
    <w:p w14:paraId="04C14C77" w14:textId="77777777" w:rsidR="00681333" w:rsidRPr="007224C3" w:rsidRDefault="00681333" w:rsidP="007224C3">
      <w:pPr>
        <w:pStyle w:val="36"/>
        <w:shd w:val="clear" w:color="auto" w:fill="auto"/>
        <w:tabs>
          <w:tab w:val="left" w:pos="1372"/>
        </w:tabs>
        <w:spacing w:after="0"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б) по 1000 шт. каждого калибра НКВ для отработ</w:t>
      </w:r>
      <w:r w:rsidRPr="007224C3">
        <w:rPr>
          <w:rFonts w:ascii="Times New Roman" w:cs="Times New Roman"/>
          <w:color w:val="000000" w:themeColor="text1"/>
          <w:spacing w:val="0"/>
          <w:sz w:val="16"/>
          <w:szCs w:val="16"/>
        </w:rPr>
        <w:softHyphen/>
        <w:t>ки образцов электрифицированного вооружения;</w:t>
      </w:r>
    </w:p>
    <w:p w14:paraId="069F283B" w14:textId="77777777" w:rsidR="00681333" w:rsidRPr="007224C3" w:rsidRDefault="00681333" w:rsidP="007224C3">
      <w:pPr>
        <w:pStyle w:val="36"/>
        <w:shd w:val="clear" w:color="auto" w:fill="auto"/>
        <w:tabs>
          <w:tab w:val="left" w:pos="1365"/>
        </w:tabs>
        <w:spacing w:after="0"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в) по 3.500 шт. калибров 12,7; 20; 23мм и 2.000шт. калибра 37мм НШ АВ ВВС Красной Армии для проведения госиспытаний.</w:t>
      </w:r>
    </w:p>
    <w:p w14:paraId="22D71F59" w14:textId="77777777" w:rsidR="00681333" w:rsidRPr="007224C3" w:rsidRDefault="0068133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Обязать Наркомвооружения - т.Устинова и глав</w:t>
      </w:r>
      <w:r w:rsidRPr="007224C3">
        <w:rPr>
          <w:rFonts w:ascii="Times New Roman" w:hAnsi="Times New Roman"/>
          <w:color w:val="000000" w:themeColor="text1"/>
          <w:sz w:val="16"/>
          <w:szCs w:val="16"/>
        </w:rPr>
        <w:softHyphen/>
        <w:t>ных конструкторов т.т.Березина, Шпитального,Нудельмана, Волкова к Ярцева</w:t>
      </w:r>
      <w:r w:rsidRPr="007224C3">
        <w:rPr>
          <w:rStyle w:val="affa"/>
          <w:rFonts w:ascii="Times New Roman" w:hAnsi="Times New Roman" w:cs="Times New Roman"/>
          <w:color w:val="000000" w:themeColor="text1"/>
          <w:spacing w:val="0"/>
          <w:sz w:val="16"/>
          <w:szCs w:val="16"/>
        </w:rPr>
        <w:t xml:space="preserve"> </w:t>
      </w:r>
      <w:r w:rsidRPr="007224C3">
        <w:rPr>
          <w:rStyle w:val="affa"/>
          <w:rFonts w:ascii="Times New Roman" w:hAnsi="Times New Roman" w:cs="Times New Roman"/>
          <w:b w:val="0"/>
          <w:color w:val="000000" w:themeColor="text1"/>
          <w:spacing w:val="0"/>
          <w:sz w:val="16"/>
          <w:szCs w:val="16"/>
        </w:rPr>
        <w:t>электрифицировать по тактико-техни</w:t>
      </w:r>
      <w:r w:rsidRPr="007224C3">
        <w:rPr>
          <w:rStyle w:val="affa"/>
          <w:rFonts w:ascii="Times New Roman" w:hAnsi="Times New Roman" w:cs="Times New Roman"/>
          <w:color w:val="000000" w:themeColor="text1"/>
          <w:spacing w:val="0"/>
          <w:sz w:val="16"/>
          <w:szCs w:val="16"/>
        </w:rPr>
        <w:softHyphen/>
      </w:r>
      <w:r w:rsidRPr="007224C3">
        <w:rPr>
          <w:rFonts w:ascii="Times New Roman" w:hAnsi="Times New Roman"/>
          <w:color w:val="000000" w:themeColor="text1"/>
          <w:sz w:val="16"/>
          <w:szCs w:val="16"/>
        </w:rPr>
        <w:t>ческим требованиям ВВС Красной Армии:</w:t>
      </w:r>
    </w:p>
    <w:p w14:paraId="31DA70D9" w14:textId="77777777" w:rsidR="00681333" w:rsidRPr="007224C3" w:rsidRDefault="00681333" w:rsidP="007224C3">
      <w:pPr>
        <w:tabs>
          <w:tab w:val="left" w:pos="2422"/>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т.Шпитального - 20 мм пушку "Швак",</w:t>
      </w:r>
    </w:p>
    <w:p w14:paraId="242814AB" w14:textId="77777777" w:rsidR="00681333" w:rsidRPr="007224C3" w:rsidRDefault="00681333" w:rsidP="007224C3">
      <w:pPr>
        <w:tabs>
          <w:tab w:val="left" w:pos="2422"/>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т.Нудельмана - 37 мм пушку "НС",</w:t>
      </w:r>
    </w:p>
    <w:p w14:paraId="30ADA3D0" w14:textId="77777777" w:rsidR="00681333" w:rsidRPr="007224C3" w:rsidRDefault="00681333" w:rsidP="007224C3">
      <w:pPr>
        <w:tabs>
          <w:tab w:val="left" w:pos="3996"/>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т.т.Волкова и Ярцева- 23 мм пушку "ВЯ" и подать к 15 марта 1944 года:</w:t>
      </w:r>
    </w:p>
    <w:p w14:paraId="1072252D" w14:textId="77777777" w:rsidR="00681333" w:rsidRPr="007224C3" w:rsidRDefault="00681333" w:rsidP="007224C3">
      <w:pPr>
        <w:tabs>
          <w:tab w:val="left" w:pos="3639"/>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на госиспытания в НИИ АВ по два образца каждо</w:t>
      </w:r>
      <w:r w:rsidRPr="007224C3">
        <w:rPr>
          <w:rFonts w:ascii="Times New Roman" w:hAnsi="Times New Roman"/>
          <w:color w:val="000000" w:themeColor="text1"/>
          <w:sz w:val="16"/>
          <w:szCs w:val="16"/>
        </w:rPr>
        <w:softHyphen/>
        <w:t>го калибра со станками;</w:t>
      </w:r>
    </w:p>
    <w:p w14:paraId="0608F52F" w14:textId="77777777" w:rsidR="00681333" w:rsidRPr="007224C3" w:rsidRDefault="0068133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ОКБ-140 НКАП по одному образцу пулемета "УБС" к пушек "Швак" и "ВЯ" для отработки электросинхронизатора.</w:t>
      </w:r>
    </w:p>
    <w:p w14:paraId="20B2CAA4" w14:textId="77777777" w:rsidR="00681333" w:rsidRPr="007224C3" w:rsidRDefault="0068133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Обязать главных конструкторов т.т. Нудельмана,Вол</w:t>
      </w:r>
      <w:r w:rsidRPr="007224C3">
        <w:rPr>
          <w:rFonts w:ascii="Times New Roman" w:hAnsi="Times New Roman"/>
          <w:color w:val="000000" w:themeColor="text1"/>
          <w:sz w:val="16"/>
          <w:szCs w:val="16"/>
        </w:rPr>
        <w:softHyphen/>
        <w:t>кова и Ярцева обеспечить в подаваемых на госиспытания образцах возможность одновременной стрельбы пушек при установке их на самолете "Ильюшин-2".</w:t>
      </w:r>
    </w:p>
    <w:p w14:paraId="0614C2C2" w14:textId="77777777" w:rsidR="00681333" w:rsidRPr="007224C3" w:rsidRDefault="00681333" w:rsidP="007224C3">
      <w:pPr>
        <w:tabs>
          <w:tab w:val="left" w:pos="790"/>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Обяаать Наркомавиапром - т.Шахурина и главного конструктора 0КБ-140 т.Энгибаряна отработать и изгото</w:t>
      </w:r>
      <w:r w:rsidRPr="007224C3">
        <w:rPr>
          <w:rFonts w:ascii="Times New Roman" w:hAnsi="Times New Roman"/>
          <w:color w:val="000000" w:themeColor="text1"/>
          <w:sz w:val="16"/>
          <w:szCs w:val="16"/>
        </w:rPr>
        <w:softHyphen/>
        <w:t>вить по тактико-техничебким Требованиям ВВС Красной Ар</w:t>
      </w:r>
      <w:r w:rsidRPr="007224C3">
        <w:rPr>
          <w:rFonts w:ascii="Times New Roman" w:hAnsi="Times New Roman"/>
          <w:color w:val="000000" w:themeColor="text1"/>
          <w:sz w:val="16"/>
          <w:szCs w:val="16"/>
        </w:rPr>
        <w:softHyphen/>
        <w:t>мии электросинхронизатор для синхронной стрельбы из электрифицированного оружия калибров: 12,7; 20 к 23мм при 3-х лопастном винте и подать на наземные полигон</w:t>
      </w:r>
      <w:r w:rsidRPr="007224C3">
        <w:rPr>
          <w:rFonts w:ascii="Times New Roman" w:hAnsi="Times New Roman"/>
          <w:color w:val="000000" w:themeColor="text1"/>
          <w:sz w:val="16"/>
          <w:szCs w:val="16"/>
        </w:rPr>
        <w:softHyphen/>
        <w:t>ные испытания в НИИ АВ к 15 марта 1944 года.</w:t>
      </w:r>
    </w:p>
    <w:p w14:paraId="65804366" w14:textId="77777777" w:rsidR="00681333" w:rsidRPr="007224C3" w:rsidRDefault="00681333" w:rsidP="007224C3">
      <w:pPr>
        <w:tabs>
          <w:tab w:val="left" w:pos="790"/>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Обязать ВВС Красной Армии - т.Репина провести испытания электрифицированных образцов вооружения, пат</w:t>
      </w:r>
      <w:r w:rsidRPr="007224C3">
        <w:rPr>
          <w:rFonts w:ascii="Times New Roman" w:hAnsi="Times New Roman"/>
          <w:color w:val="000000" w:themeColor="text1"/>
          <w:sz w:val="16"/>
          <w:szCs w:val="16"/>
        </w:rPr>
        <w:softHyphen/>
        <w:t xml:space="preserve">ронов с </w:t>
      </w:r>
      <w:r w:rsidRPr="007224C3">
        <w:rPr>
          <w:rStyle w:val="16"/>
          <w:rFonts w:ascii="Times New Roman" w:hAnsi="Times New Roman" w:cs="Times New Roman"/>
          <w:color w:val="000000" w:themeColor="text1"/>
          <w:spacing w:val="0"/>
          <w:u w:val="none"/>
        </w:rPr>
        <w:t>элект</w:t>
      </w:r>
      <w:r w:rsidRPr="007224C3">
        <w:rPr>
          <w:rFonts w:ascii="Times New Roman" w:hAnsi="Times New Roman"/>
          <w:color w:val="000000" w:themeColor="text1"/>
          <w:sz w:val="16"/>
          <w:szCs w:val="16"/>
        </w:rPr>
        <w:t>рокапсюлями и электросинхронизатора и до- ложит результаты испытаний к 1 апреля 1944 года (19441).</w:t>
      </w:r>
    </w:p>
    <w:p w14:paraId="04A67F5E" w14:textId="77777777" w:rsidR="00681333" w:rsidRPr="007224C3" w:rsidRDefault="00681333" w:rsidP="007224C3">
      <w:pPr>
        <w:autoSpaceDE w:val="0"/>
        <w:autoSpaceDN w:val="0"/>
        <w:adjustRightInd w:val="0"/>
        <w:spacing w:after="0" w:line="240" w:lineRule="auto"/>
        <w:jc w:val="both"/>
        <w:rPr>
          <w:rFonts w:ascii="Times New Roman" w:hAnsi="Times New Roman"/>
          <w:color w:val="000000" w:themeColor="text1"/>
          <w:sz w:val="16"/>
          <w:szCs w:val="16"/>
        </w:rPr>
      </w:pPr>
    </w:p>
    <w:p w14:paraId="0270EE6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февраля 1944 вышел приказ НКАП № 106 о присвоении классов ли</w:t>
      </w:r>
    </w:p>
    <w:p w14:paraId="417784B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М.Л.Барановскому;</w:t>
      </w:r>
    </w:p>
    <w:p w14:paraId="212A63E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А.Д.Перелету (952,41).</w:t>
      </w:r>
    </w:p>
    <w:p w14:paraId="7246769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40867B" w14:textId="77777777" w:rsidR="006831ED" w:rsidRPr="007224C3" w:rsidRDefault="006831E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18 февраля 1944 на основании решения комиссии Костиков был снят с должности, ГИРТ ликвидирован и передан в подчинение НКАП, как НИИ-1. 15.03.44. Костиков был арестован дома. /ул. Серафимовича д. 2 кв. 357/. В ходе следствия с 03.44. по 01.45, которое вели от НКГБ Л. Шварцман и Л. Владзимирский /оба расстреляны в 53-54гг./ собрано дело из 8 томов. В камере Костиков находился все время с подсадным агентом, инженером по специальности. В деле собраны сотни страниц, написанных Костиковым по различным техническим вопросам бисерным почерком с текстами решения уравнений в частных производных. /Интересно, мог ли решать такие уравнения «академик и ученый» В.П. Глушко/. Все конкретные технические предложения анонимно передавались на экспертизу через 4-й отдел НКВД соответствующим специалистам ОТБ. В деле имеются их отзывы, в которых отмечается ценность предложенных технических решений. По завершению следствия в </w:t>
      </w:r>
      <w:smartTag w:uri="urn:schemas-microsoft-com:office:smarttags" w:element="metricconverter">
        <w:smartTagPr>
          <w:attr w:name="ProductID" w:val="01.45 г"/>
        </w:smartTagPr>
        <w:r w:rsidRPr="007224C3">
          <w:rPr>
            <w:rFonts w:ascii="Times New Roman" w:hAnsi="Times New Roman"/>
            <w:color w:val="000000" w:themeColor="text1"/>
            <w:sz w:val="16"/>
            <w:szCs w:val="16"/>
          </w:rPr>
          <w:t>01.45 г</w:t>
        </w:r>
      </w:smartTag>
      <w:r w:rsidRPr="007224C3">
        <w:rPr>
          <w:rFonts w:ascii="Times New Roman" w:hAnsi="Times New Roman"/>
          <w:color w:val="000000" w:themeColor="text1"/>
          <w:sz w:val="16"/>
          <w:szCs w:val="16"/>
        </w:rPr>
        <w:t>. указывается, что «по наблюдению специальных агентов Костиков обладает незаурядными способностями конструктора и поглощен разработкой технических проблем, поэтому до окончания решения вопроса целесообразно передать его для работы в 4-й спецотдел НКВД с содержанием в условиях полной изоляции. Ни за время пребывания на свободе, ни в тюрьме, за Костиковым не отмечено антисоветских проявлений или враждебных высказываний».</w:t>
      </w:r>
    </w:p>
    <w:p w14:paraId="0A73C779" w14:textId="77777777" w:rsidR="006831ED" w:rsidRPr="007224C3" w:rsidRDefault="006831E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28.02.45 г. постановлением НКГБ дело прекращено следствием и Костиков освобожден из под стражи. В этом постановлении говорится: «Костиков не обеспечил в определенный правительством срок выпуск самолета. Представил необоснованные преувеличенные данные по продолжительности моторного полета «302П». Убедившись в непригодности к установке на перехватчике воздушно-реактивного двигателя прямоточного типа, Костиков произвольно, без надлежащей санкции, изменил конструкцию самолета и, вместо 2-х двигателей при основном воздушно-реактивном, перешел на изготовление лишь ЖРД. В целях тщательного расследования была создана экспертно-техническая комиссия из квалифицированных специалистов и допрошено до 30 свидетелей, которые показали о существенных недостатках в создании самолета. Однако в полученных дополнительных материалах отсутствуют указания на то, что Костиков действовал в преступных целях. О возможных связях с иноразведками не добыто. Учитывая, что в результате оперативных мероприятий и тщательного расследования, вражеского умысла не установлено, Костикова из под стражи освободить и следственное дело прекратить и сдать на хранение». 28.02.45. поручением наркома Г.Б. Меркулова, с пометкой «срочно», Костиков освобожден (19590). </w:t>
      </w:r>
    </w:p>
    <w:p w14:paraId="16B81592" w14:textId="77777777" w:rsidR="006831ED" w:rsidRPr="007224C3" w:rsidRDefault="006831ED" w:rsidP="007224C3">
      <w:pPr>
        <w:spacing w:after="0" w:line="240" w:lineRule="auto"/>
        <w:jc w:val="both"/>
        <w:rPr>
          <w:rFonts w:ascii="Times New Roman" w:hAnsi="Times New Roman"/>
          <w:color w:val="000000" w:themeColor="text1"/>
          <w:sz w:val="16"/>
          <w:szCs w:val="16"/>
        </w:rPr>
      </w:pPr>
    </w:p>
    <w:p w14:paraId="2F2046C0"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0446FCE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260285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февраля 1944 г. вышел ПРИКАЗ НКТП СССР И КОМАНДУЮЩЕГО БТ и МВ КА О ПРОВЕДЕНИИ ПОЛИГОННЫХ ИСПЫТАНИИ ОПЫТНОГО ОБРАЗЦА ТАНКА Т-44, ИЗГОТОВЛЕННОГО ЗАВОДОМ №183 НКТП №106/020</w:t>
      </w:r>
    </w:p>
    <w:p w14:paraId="2DF975D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определения тактико-технической характеристики и проверки работоспособности агрега</w:t>
      </w:r>
      <w:r w:rsidRPr="007224C3">
        <w:rPr>
          <w:rFonts w:ascii="Times New Roman" w:hAnsi="Times New Roman"/>
          <w:color w:val="000000" w:themeColor="text1"/>
          <w:sz w:val="16"/>
          <w:szCs w:val="16"/>
        </w:rPr>
        <w:softHyphen/>
        <w:t>тов опытного образца танка Т-44 с погоном 1600 мм и пушкой Д-5 — ПРИКАЗЫВАЕМ:</w:t>
      </w:r>
    </w:p>
    <w:p w14:paraId="56299A5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Провести испытания на научно-испытательном полигоне ГБТУ КА опытного образца танка Т-44, изготовленного заводом №183.</w:t>
      </w:r>
    </w:p>
    <w:p w14:paraId="15128CB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Для проведения испытаний назначить комиссию в следующем составе:</w:t>
      </w:r>
    </w:p>
    <w:p w14:paraId="03AC25A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Председатель:</w:t>
      </w:r>
    </w:p>
    <w:p w14:paraId="7E2DA98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Члены:</w:t>
      </w:r>
    </w:p>
    <w:p w14:paraId="38CE41F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 ГБТУ КА</w:t>
      </w:r>
    </w:p>
    <w:p w14:paraId="5BC48B8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гвардии полковник</w:t>
      </w:r>
    </w:p>
    <w:p w14:paraId="1E2A614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 Кульчицкий Е.А.</w:t>
      </w:r>
    </w:p>
    <w:p w14:paraId="5AE2144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 НИБТ полигона ГБТУ КА</w:t>
      </w:r>
    </w:p>
    <w:p w14:paraId="2E3149A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 ГУФ и БП БТМВ КА От ГАУ КА От НКТП</w:t>
      </w:r>
    </w:p>
    <w:p w14:paraId="33E26AC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 завода 183</w:t>
      </w:r>
    </w:p>
    <w:p w14:paraId="1027EEA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 Розенгарт Ю.И. т. Приземнов В.Д. т. Геркевич Е.Е. т. Фоменко П.К. т. Колпаков т. Химичев И.Е. т. Фрезеров Г.Р. т. Юрасов И.В. т. Кучеренко Н.А. т. Гутник Н.С.</w:t>
      </w:r>
    </w:p>
    <w:p w14:paraId="66FA33C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инженер-капитан</w:t>
      </w:r>
    </w:p>
    <w:p w14:paraId="27A180A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инженер-капитан</w:t>
      </w:r>
    </w:p>
    <w:p w14:paraId="79D28B2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подполковник</w:t>
      </w:r>
    </w:p>
    <w:p w14:paraId="1D31E96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инженер-майор</w:t>
      </w:r>
    </w:p>
    <w:p w14:paraId="1ED40D2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подполковник</w:t>
      </w:r>
    </w:p>
    <w:p w14:paraId="4808765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инженер-майор</w:t>
      </w:r>
    </w:p>
    <w:p w14:paraId="07B1C3A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 технического управления НКТП</w:t>
      </w:r>
    </w:p>
    <w:p w14:paraId="49AB866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ведущий инженер ОГК</w:t>
      </w:r>
    </w:p>
    <w:p w14:paraId="5450FC9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главного конструктора</w:t>
      </w:r>
    </w:p>
    <w:p w14:paraId="41F7AD8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опытного отдела</w:t>
      </w:r>
    </w:p>
    <w:p w14:paraId="55CA2C5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Испытания танка Т-44 провести по программе, утвержденной командующим БТМВ КА и НКТП.</w:t>
      </w:r>
    </w:p>
    <w:p w14:paraId="4813632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К испытаниям приступить 20 февраля и закончить 3 марта с.г.</w:t>
      </w:r>
    </w:p>
    <w:p w14:paraId="2ACF20A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Отчет и заключение по испытаниям представить в НКТП и ГБТУ КА 5 марта 1944 г.</w:t>
      </w:r>
    </w:p>
    <w:p w14:paraId="6723EEC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Директору завода № 183 т. Максареву:</w:t>
      </w:r>
    </w:p>
    <w:p w14:paraId="688BE86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представить комиссии отчет по заводским испытаниям и полную техническую документацию опытного образца танка Т-44.</w:t>
      </w:r>
    </w:p>
    <w:p w14:paraId="5A60E79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Начальнику НИБТ полигона ГБТУ КА генерал-майору танковых войск т. Романову:</w:t>
      </w:r>
    </w:p>
    <w:p w14:paraId="52A1F3C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обеспечить опытный образец танка Т-44 горюче-смазочными материалами и техническим обслуживанием на весь период испытаний;</w:t>
      </w:r>
    </w:p>
    <w:p w14:paraId="2A113A2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обеспечить членов комиссии и экипаж танка на время испытаний жилплощадью;</w:t>
      </w:r>
    </w:p>
    <w:p w14:paraId="71F0105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выделить в распоряжение комиссии на время испытаний одну автомашину и обеспечить ее бензином.</w:t>
      </w:r>
    </w:p>
    <w:p w14:paraId="21AF488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Зам. Наркома танковой промышленности т. Мосину обеспечить на время испытаний членов комиссии и экипажи танков продуктами питания.</w:t>
      </w:r>
    </w:p>
    <w:p w14:paraId="5C7E06A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Зам. Наркома танковой промышленности т. Жерехову обеспечить на время испытаний чле</w:t>
      </w:r>
      <w:r w:rsidRPr="007224C3">
        <w:rPr>
          <w:rFonts w:ascii="Times New Roman" w:hAnsi="Times New Roman"/>
          <w:color w:val="000000" w:themeColor="text1"/>
          <w:sz w:val="16"/>
          <w:szCs w:val="16"/>
        </w:rPr>
        <w:softHyphen/>
        <w:t>нов комиссии и экипажи теплым обмундированием (полушубками, валенками, ватными костюмами, шапками, рукавицами).</w:t>
      </w:r>
    </w:p>
    <w:p w14:paraId="69D1596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Народный комиссар танковой промышленности СССР</w:t>
      </w:r>
    </w:p>
    <w:p w14:paraId="1F5FBB7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Малышев</w:t>
      </w:r>
    </w:p>
    <w:p w14:paraId="36A8293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Командующий БТ и МВ КА генерал-полковник танковых войск Федоренко</w:t>
      </w:r>
    </w:p>
    <w:p w14:paraId="6C41DA0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38. Оп. 11355. Д. 2210. Л. 3-4. Копия (11403).</w:t>
      </w:r>
    </w:p>
    <w:p w14:paraId="355711F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68592AA3" w14:textId="77777777" w:rsidR="009D1B58" w:rsidRPr="007224C3" w:rsidRDefault="009D1B58" w:rsidP="007224C3">
      <w:pPr>
        <w:pStyle w:val="ae"/>
        <w:spacing w:before="0" w:after="0"/>
        <w:jc w:val="both"/>
        <w:textAlignment w:val="baseline"/>
        <w:rPr>
          <w:color w:val="000000" w:themeColor="text1"/>
          <w:sz w:val="16"/>
          <w:szCs w:val="16"/>
        </w:rPr>
      </w:pPr>
      <w:r w:rsidRPr="007224C3">
        <w:rPr>
          <w:color w:val="000000" w:themeColor="text1"/>
          <w:sz w:val="16"/>
          <w:szCs w:val="16"/>
        </w:rPr>
        <w:t>18 февраля 1944 последовал приказ НКТП и командующего БТ и МВ КА №106сс/020 о проведении полигонных испытаний Т-44, причём сроком их начала указывалось 20 февраля, а датой окончания — 3 марта. Столь стремительное развитие событий самым прямым образом связано с интересом Сталина к данному танку и его указаниями о форсировании работ. На практике же испытания начались ещё раньше — 19 февраля. За период полигонных испытаний машина преодолела 1022 км. В связи с ускоренным характером испытаний традиционного изучения дефектных агрегатов не производилось, дело ограничилось внешним осмотром. Следует также отметить, что данные по танку брались из заводского отчёта, хотя масса танка с башней, имевшей погон диаметром 1600 мм, была явно меньше, чем у первого опытного образца. Техническое описание машины также базировалось на заводском отчёте.</w:t>
      </w:r>
    </w:p>
    <w:p w14:paraId="3FC59D5C" w14:textId="77777777" w:rsidR="009D1B58" w:rsidRPr="007224C3" w:rsidRDefault="009D1B58" w:rsidP="007224C3">
      <w:pPr>
        <w:pStyle w:val="ae"/>
        <w:spacing w:before="0" w:after="0"/>
        <w:jc w:val="both"/>
        <w:textAlignment w:val="baseline"/>
        <w:rPr>
          <w:color w:val="000000" w:themeColor="text1"/>
          <w:sz w:val="16"/>
          <w:szCs w:val="16"/>
        </w:rPr>
      </w:pPr>
      <w:r w:rsidRPr="007224C3">
        <w:rPr>
          <w:color w:val="000000" w:themeColor="text1"/>
          <w:sz w:val="16"/>
          <w:szCs w:val="16"/>
        </w:rPr>
        <w:t>В ходе полигонных испытаний второй опытный образец прошёл 387 км по шоссе, 520 км по просёлку и 105 км по целине. Ввиду того, что испытания проходили в самом конце зимы, погода способствовала ухудшению дорожных условий. Тем не менее в ходе выявления максимальной скорости было получено среднее значение 52,6 км/ч. Испытатели указывали, что при лучших дорожных условиях максимальная скорость могла быть ещё выше. В ходе езды по шоссе, покрытому снегом, средняя скорость движения составила 35 км/ч и могла быть ещё выше. Ограничивающим фактором стал перегрев масла. Расход топлива при этом составил 208 л на 100 км. Тяжёлые условия на просёлке стали причиной невысокой средней скорости — 16,1 км/ч, а расход топлива вырос до 268 л на 100 км. Наконец, по целине средняя скорость составила 11,4 км/ч, а расход топлива — 520 л на 100 км. Запас топлива в зимне-весенних условиях составил 187, 145 и 73 км соответственно.</w:t>
      </w:r>
    </w:p>
    <w:p w14:paraId="1B32ACB7" w14:textId="77777777" w:rsidR="009D1B58" w:rsidRPr="007224C3" w:rsidRDefault="009D1B58" w:rsidP="007224C3">
      <w:pPr>
        <w:pStyle w:val="ae"/>
        <w:spacing w:before="0" w:after="0"/>
        <w:jc w:val="both"/>
        <w:textAlignment w:val="baseline"/>
        <w:rPr>
          <w:color w:val="000000" w:themeColor="text1"/>
          <w:sz w:val="16"/>
          <w:szCs w:val="16"/>
        </w:rPr>
      </w:pPr>
      <w:r w:rsidRPr="007224C3">
        <w:rPr>
          <w:color w:val="000000" w:themeColor="text1"/>
          <w:sz w:val="16"/>
          <w:szCs w:val="16"/>
        </w:rPr>
        <w:t>Тяжёлые дорожные условия стали причиной не самых успешных результатов при преодолении препятствий. Мёрзлый грунт, покрытый толстой коркой снега со льдом, не позволил преодолеть подъём под углом даже 20 градусов. При установке шпор танк прошёл подъём в 25 градусов, а дальше снова не хватало сцепления с грунтом. Это примерно соответствовало данным Т-34. Максимальный угол преодолеваемого крена при езде по косогорам составил 15-16 градусов, дальше машина начинала сползать. Кроме того, при тяжёлых дорожных условиях возрастали нагрузки на рычаги управления — до 25-30 кг.</w:t>
      </w:r>
    </w:p>
    <w:p w14:paraId="0218973D" w14:textId="77777777" w:rsidR="009D1B58" w:rsidRPr="007224C3" w:rsidRDefault="009D1B58" w:rsidP="007224C3">
      <w:pPr>
        <w:pStyle w:val="ae"/>
        <w:spacing w:before="0" w:after="0"/>
        <w:jc w:val="both"/>
        <w:textAlignment w:val="baseline"/>
        <w:rPr>
          <w:color w:val="000000" w:themeColor="text1"/>
          <w:sz w:val="16"/>
          <w:szCs w:val="16"/>
        </w:rPr>
      </w:pPr>
      <w:r w:rsidRPr="007224C3">
        <w:rPr>
          <w:color w:val="000000" w:themeColor="text1"/>
          <w:sz w:val="16"/>
          <w:szCs w:val="16"/>
        </w:rPr>
        <w:t>Одним из испытаний, которое было дополнительно проведено на НИБТ Полигоне, стало определение центра тяжести машины. И здесь разработчиков ждал неприятный сюрприз. Выяснилось, что центр тяжести сместился назад, причём довольно сильно — это влияло на ходовые качества танка на бездорожье. Кроме того, масса нареканий возникла в отношении системы охлаждения. Обдув двигателя и масляного бака холодным воздухом оказался недостаточен, кроме того, масляный бак находился рядом с выхлопной системой, которая его дополнительно нагревала. В результате температура масла даже в зимне-весенних условиях достигала 110 градусов. В ходе испытаний наблюдались проблемы с приводом вентилятора, который неоднократно ломался. Имелись претензии к надёжности работы гитары (привод от двигателя к КПП) и бортовым редукторам. Никуда не делась и главная проблема машин с ходовой Т-34 — разрушение резиновых бандажей опорных катков.</w:t>
      </w:r>
    </w:p>
    <w:p w14:paraId="046EBFD4" w14:textId="77777777" w:rsidR="009D1B58" w:rsidRPr="007224C3" w:rsidRDefault="009D1B58" w:rsidP="007224C3">
      <w:pPr>
        <w:pStyle w:val="ae"/>
        <w:spacing w:before="0" w:after="0"/>
        <w:jc w:val="both"/>
        <w:textAlignment w:val="baseline"/>
        <w:rPr>
          <w:color w:val="000000" w:themeColor="text1"/>
          <w:sz w:val="16"/>
          <w:szCs w:val="16"/>
        </w:rPr>
      </w:pPr>
      <w:r w:rsidRPr="007224C3">
        <w:rPr>
          <w:color w:val="000000" w:themeColor="text1"/>
          <w:sz w:val="16"/>
          <w:szCs w:val="16"/>
        </w:rPr>
        <w:t>Немало претензий было высказано и к условиям работы экипажа опытного Т-44. В случае с местом командира танка отмечалось слишком низкое расположение сиденья и частичное перекрытие обзора смотровых приборов командирской башенки колпаком вентилятора и перископом наводчика. Не всё гладко оказалось и на месте наводчика. Его сиденье размещалось с сильным наклоном влево, ряд нареканий отмечался к работе электрического привода поворота башни. Не самым удачным решением признали совмещение рукояток ручного и электрического приводов поворота башни. В случае с заряжающим претензией стало отсутствие у него сиденья. Что же касается места механика-водителя, то улучшение обзорности оказалось частичным. При закрытых люках, включая передний смотровой лючок, обзорность резко ухудшалась. Не очень удачной оказалась и установка курсового пулемёта справа от механика-водителя. Отмечалось, что пулемёт мешал переключению передач.</w:t>
      </w:r>
    </w:p>
    <w:p w14:paraId="27C1D221" w14:textId="77777777" w:rsidR="009D1B58" w:rsidRPr="007224C3" w:rsidRDefault="009D1B58" w:rsidP="007224C3">
      <w:pPr>
        <w:pStyle w:val="ae"/>
        <w:spacing w:before="0" w:after="0"/>
        <w:jc w:val="both"/>
        <w:textAlignment w:val="baseline"/>
        <w:rPr>
          <w:color w:val="000000" w:themeColor="text1"/>
          <w:sz w:val="16"/>
          <w:szCs w:val="16"/>
        </w:rPr>
      </w:pPr>
      <w:r w:rsidRPr="007224C3">
        <w:rPr>
          <w:color w:val="000000" w:themeColor="text1"/>
          <w:sz w:val="16"/>
          <w:szCs w:val="16"/>
        </w:rPr>
        <w:t>Вполне удачно прошли испытания стрельбой. Выяснилось, что орудие Д-5Т, установленное в Т-44, обеспечивает хорошую кучность. Кроме того, на практике подтвердилось предположение, что максимальная скорострельность составляет 10 выстрелов в минуту. Именно такую скорострельность получили в ходе полигонных испытаний. Средняя прицельная скорострельность была ниже — 4-5 выстрелов в минуту. Правда, при этом отмечалось, что удобно работать только с башенной укладкой. Размещение унитарных патронов в носовой укладке при определённых поворотах башни оказалось неудобным — впрочем, «чемоданы», которые размещались на полу Т-34, выглядели ещё хуже.</w:t>
      </w:r>
    </w:p>
    <w:p w14:paraId="51A7099B" w14:textId="77777777" w:rsidR="009D1B58" w:rsidRPr="007224C3" w:rsidRDefault="009D1B58" w:rsidP="007224C3">
      <w:pPr>
        <w:pStyle w:val="ae"/>
        <w:spacing w:before="0" w:after="0"/>
        <w:jc w:val="both"/>
        <w:textAlignment w:val="baseline"/>
        <w:rPr>
          <w:color w:val="000000" w:themeColor="text1"/>
          <w:sz w:val="16"/>
          <w:szCs w:val="16"/>
        </w:rPr>
      </w:pPr>
      <w:r w:rsidRPr="007224C3">
        <w:rPr>
          <w:color w:val="000000" w:themeColor="text1"/>
          <w:sz w:val="16"/>
          <w:szCs w:val="16"/>
        </w:rPr>
        <w:t>По итогам испытаний был сделан неоднозначный вывод. Комиссия указала на большое число доработок, которые требовалось внести в конструкцию машины. В их числе был и выступ, который остался под двигателем, поскольку опытный образец так и не получил переделанный двигатель В-2-44. Помимо всего прочего, требовалось внести ряд улучшений, связанных с обслуживанием танка. Несмотря на это, в заключении указывалось, что Т-44 по своим боевым качествам превосходит Т-34. Ввиду высокого интереса к машине заводу №183 дали указание в месячный срок устранить недостатки и предоставить улучшенный танк на испытания (18799)</w:t>
      </w:r>
    </w:p>
    <w:p w14:paraId="102850CC" w14:textId="77777777" w:rsidR="009D1B58" w:rsidRPr="007224C3" w:rsidRDefault="009D1B58" w:rsidP="007224C3">
      <w:pPr>
        <w:pStyle w:val="ae"/>
        <w:spacing w:before="0" w:after="0"/>
        <w:jc w:val="both"/>
        <w:textAlignment w:val="baseline"/>
        <w:rPr>
          <w:color w:val="000000" w:themeColor="text1"/>
          <w:sz w:val="16"/>
          <w:szCs w:val="16"/>
        </w:rPr>
      </w:pPr>
    </w:p>
    <w:p w14:paraId="1A0883FF" w14:textId="77777777" w:rsidR="00A104C0" w:rsidRPr="007224C3" w:rsidRDefault="00A104C0"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18 февраля 1944 г. для проведения полигонных испытаний опытного образца танка Т-44, изготовленного на заводе № 183, совместным приказом НКТП и командующего БТ и МВ КА № 106сс/020 была назначена комиссия под председательством гвардии полковник Е.А. Кульчицкого, а местом проведения испытаний определен НИБТ Полигон в подмосковной Кубинке – тот самый полигон, на котором до войны Е.А. Кульчицкий проходил службу. Испытания танка Т-44 начались 19 февраля 1944 г. и завершились точно в указанный в приказе срок – 3 марта 1944 г. В заключительной части отчета, составленного по итогам проведенных полигонных испытаний и подписанного Е.А. Кульчицким 4 марта 1944 г., было записано:</w:t>
      </w:r>
    </w:p>
    <w:p w14:paraId="53BC9651" w14:textId="77777777" w:rsidR="00A104C0" w:rsidRPr="007224C3" w:rsidRDefault="00A104C0"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«На основании проведенных испытаний комиссия считает:</w:t>
      </w:r>
    </w:p>
    <w:p w14:paraId="04DF829D" w14:textId="77777777" w:rsidR="00A104C0" w:rsidRPr="007224C3" w:rsidRDefault="00A104C0"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 Танк Т-44 по своим боевым качествам превосходит состоящий на вооружении Красной Армии танк Т-34.</w:t>
      </w:r>
    </w:p>
    <w:p w14:paraId="0DA264B4" w14:textId="77777777" w:rsidR="00A104C0" w:rsidRPr="007224C3" w:rsidRDefault="00A104C0"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 Выявленные в процессе испытаний дефекты танка Т-44 могут быть устранены месячный срок.</w:t>
      </w:r>
    </w:p>
    <w:p w14:paraId="29FE128D" w14:textId="77777777" w:rsidR="00A104C0" w:rsidRPr="007224C3" w:rsidRDefault="00A104C0"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Учитывая острую необходимость в вооружении Красной Армии новым средним танком, комиссия считает необходимым обязать НКТП изготовить в месячный срок танк Т-44 с устраненными дефектами и предъявить его на повторные испытания».</w:t>
      </w:r>
    </w:p>
    <w:p w14:paraId="131A77CD" w14:textId="77777777" w:rsidR="00A104C0" w:rsidRPr="007224C3" w:rsidRDefault="00A104C0"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[ЦАМО. Ф. 38. Оп. 11355. Д. 2360. Л. 135] (21209).</w:t>
      </w:r>
    </w:p>
    <w:p w14:paraId="7972BF5F" w14:textId="77777777" w:rsidR="00A104C0" w:rsidRPr="007224C3" w:rsidRDefault="00A104C0" w:rsidP="007224C3">
      <w:pPr>
        <w:spacing w:after="0" w:line="240" w:lineRule="auto"/>
        <w:jc w:val="both"/>
        <w:rPr>
          <w:rFonts w:ascii="Times New Roman" w:hAnsi="Times New Roman"/>
          <w:color w:val="0070C0"/>
          <w:sz w:val="16"/>
          <w:szCs w:val="16"/>
        </w:rPr>
      </w:pPr>
    </w:p>
    <w:p w14:paraId="75B056D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февраля 1944 г. было подготовлено СООБЩЕНИЕ ЗАМЕСТИТЕЛЯ НАЧАЛЬНИКА ТУ ГБТУ КА НАЧАЛЬНИКУ УПРАВЛЕНИЯ САМОХОДНОЙ АРТИЛЛЕРИИ ГБТУ КА ПО ВОПРОСУ ПЕРЕВООРУЖЕНИЯ ТАНКОВ Т-34 №520817</w:t>
      </w:r>
    </w:p>
    <w:p w14:paraId="09010AF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Постановлениями ГОКО №4873 от 1.01.1944 г. предусмотрено перевооружение танков Т-34 85-мм танковыми пушками образца 1944 года (С-53). В настоящее время заводы НКВ изготавливают танковые пушки Д-5 и С-53. Имеются опасения, что при недостаче пушек С-53 на танковые заводы могут быть засланы пушки другой системы, что может сорвать план выпуска танков, т.к. пушки Д-5 и С-53 не взаимозаменяемы. Такое явление имеет уже место на заводе №112. За неимением пушек С-53 завод должен был перестроиться на установку пушек Д-5, и в дальнейшем с получением пушек С-53, должен перестраиваться на установку пушек С-53, причем необходимо заменять не только установочные детали, но и башню.</w:t>
      </w:r>
    </w:p>
    <w:p w14:paraId="080E85D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Прошу вас сообщить для доклада Г.Л. Вершинину план обеспечения танковых заводов №112, 183 и Кировского 85-мм танковыми пушками на программу февраля, марта и апреля месяцев, заданную заводам Постановлением ГОКО №5020с от 23.01.1944 г.</w:t>
      </w:r>
    </w:p>
    <w:p w14:paraId="30324AD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начальника ТУ ГБТУ Красной Армии инженер-подполковник Муравич</w:t>
      </w:r>
    </w:p>
    <w:p w14:paraId="146E3F5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начальника 1 отдела ТУ ГБТУ Красной Армии инженер-майор Мирошников</w:t>
      </w:r>
    </w:p>
    <w:p w14:paraId="64801A7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38. Оп. 11355. Д. 2218. Л. 14. Копия (11403).</w:t>
      </w:r>
    </w:p>
    <w:p w14:paraId="2184DDE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01413B50"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февраля 1944 вышло Постановление ГКО № 5199 О создании машиностроительной базы Наркомата заготовок. (7190, 1-3,4-6).</w:t>
      </w:r>
    </w:p>
    <w:p w14:paraId="3E8D2A7A"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8A36FE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февраля 1944 вышло Постановление ГКО № 5200 О поставках лесоматериалов для восстановления водоснабжения Донбасса и заводов черной металлургии. РГАНИР, Фонд ГКО, д. 210, лл. 7-8,9 (11012).</w:t>
      </w:r>
    </w:p>
    <w:p w14:paraId="4109A1B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298E331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февраля 1944 вышло Постановление ГКО № 5204 О восстановлении производства тракторов СТЗ-3 на Сталинградском тракторном заводе. РГАНИР, Фонд ГКО, д. 210, лл. 54-58,59-104 (11012).</w:t>
      </w:r>
    </w:p>
    <w:p w14:paraId="4F4BB18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25E5972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февраля 1944 вышло Распоряжение ГКО № 5205. Об изготовлении оборудования для мартеновских печей № 3 и 4 на Златоустовском металлургическом заводе НКЧМ. РГАНИР, Фонд ГКО, д. 210, лл. 105 (11012).</w:t>
      </w:r>
    </w:p>
    <w:p w14:paraId="73E38AB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7B4DF52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февраля 1944 года был утвержден Устав завода № 75 НКВ (9279).</w:t>
      </w:r>
    </w:p>
    <w:p w14:paraId="78C3F06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EA81A7"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327C9C3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182AF51" w14:textId="77777777" w:rsidR="009863CA" w:rsidRPr="007224C3" w:rsidRDefault="009863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18 февраля</w:t>
      </w:r>
      <w:r w:rsidRPr="007224C3">
        <w:rPr>
          <w:rFonts w:ascii="Times New Roman" w:hAnsi="Times New Roman"/>
          <w:color w:val="000000" w:themeColor="text1"/>
          <w:sz w:val="16"/>
          <w:szCs w:val="16"/>
        </w:rPr>
        <w:t xml:space="preserve"> в 1944 году оперативная сводка Совинформбюро:</w:t>
      </w:r>
    </w:p>
    <w:p w14:paraId="3D8CAA7D" w14:textId="77777777" w:rsidR="009863CA" w:rsidRPr="007224C3" w:rsidRDefault="009863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18 февраля юго-западнее и южнее города Луга наши войска с боями продвигались вперед и заняли несколько населённых пунктов.</w:t>
      </w:r>
    </w:p>
    <w:p w14:paraId="5875652F" w14:textId="77777777" w:rsidR="009863CA" w:rsidRPr="007224C3" w:rsidRDefault="009863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Новгорода наши войска вели наступательные бои, в ходе которых овладели районным центром Ленинградской области и крупной железнодорожнойстанцией Шимск, а также заняли населённые пункты Нижний Прихон, Вешка, Старый Шимск.</w:t>
      </w:r>
    </w:p>
    <w:p w14:paraId="2AB7ABDE" w14:textId="77777777" w:rsidR="009863CA" w:rsidRPr="007224C3" w:rsidRDefault="009863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Южнее озера Ильмень наши войска, перейдя в наступление, с боями овладели городом и железнодорожным узлом Старая Русса, а также заняли более 40 других населённых пунктов, в том числе населённые пункты Парфеева, Большая Козанка, Чирикова, Пенна, Нагаткино, Ожедово, Великое Село, Лосытина, Соколово, Байнова, Святогорша.</w:t>
      </w:r>
    </w:p>
    <w:p w14:paraId="63493DC9" w14:textId="77777777" w:rsidR="009863CA" w:rsidRPr="007224C3" w:rsidRDefault="009863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Севернее Звенигородка наши войска полностью уничтожили отдельные разрозненные группы противника, скрывавшиеся после ликвидации окружённых немецких войск в оврагах и роще южнее Шандеровка.</w:t>
      </w:r>
    </w:p>
    <w:p w14:paraId="0BD43591" w14:textId="77777777" w:rsidR="009863CA" w:rsidRPr="007224C3" w:rsidRDefault="009863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 разведка, артиллерийско-миномётная перестрелка и в ряде пунктов бои местного значения.</w:t>
      </w:r>
    </w:p>
    <w:p w14:paraId="6717C494" w14:textId="77777777" w:rsidR="009863CA" w:rsidRPr="007224C3" w:rsidRDefault="009863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17 февраля наши войска на всех фронтах подбили и уничтожили 61 немецкий танк. В воздушных боях и огнём зенитной артиллерии сбито 12 самолётов противника.</w:t>
      </w:r>
    </w:p>
    <w:p w14:paraId="15DD57DB" w14:textId="77777777" w:rsidR="009863CA" w:rsidRPr="007224C3" w:rsidRDefault="009863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и южнее города Луга наши войска с боями заняли несколько населённых пунктов. В одном районе советские подразделения, продвигаясь болотами и лесными дорогами, зашли в тыл противнику и разгромили немецкий гарнизон в крупном населённом пункте. Наши бойцы истребили до батальона гитлеровцев и захватили 11 орудий, склад боеприпасов и два склада с военным имуществом. Шесть наших бойцов во главе со старшим сержантом Орловым заметили проходивший по дороге отряд противника. Организовав по обе стороны дороги засаду, советские бойцы подпустили немцев на близкое расстояние, а затем огнём из автоматов убили 26 гитлеровцев. Оставшиеся в живых 30 немецких солдат вместе со своим командиром обер-лейтенантом сложили оружие и сдались в плен.</w:t>
      </w:r>
    </w:p>
    <w:p w14:paraId="67802A39" w14:textId="77777777" w:rsidR="009863CA" w:rsidRPr="007224C3" w:rsidRDefault="009863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Новгорода наши войска сломили сопротивление противника и овладели районным центром Ленинградской области и крупной железнодорожной станцией Шимск. В боях за Шимск уничтожено до двух батальонов немецкой пехоты. Захвачены у немцев артиллерийские батареи, много пулемётов, личного оружия, а также склады боеприпасов.</w:t>
      </w:r>
    </w:p>
    <w:p w14:paraId="3AE0B95B" w14:textId="77777777" w:rsidR="009863CA" w:rsidRPr="007224C3" w:rsidRDefault="009863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Южнее озера Ильмень наши войска после артиллерийской подготовки перешли в наступление. Части Н-ского соединения преодолели сильно укреплённую полосу обороны противника и обошли город Старая Русса с юго-запада. В это же время наши ударные отряды стремительной атакой ворвались в город с востока. Немцы превратили Старую Руссу в крепость. Они построили большое количество дотов и дзотов, прикрыли все подступы минными полями и инженерными заграждениями. В результате ожесточённого боя наши войска овладели городом и железнодорожным узлом Старая Русса. Гитлеровцы предприняли несколько контратак, но были отброшены с большими для них потерями. Развивая успех, наши бойцы заняли свыше 40 других населённых пунктов. Захвачены крупные склады и другие трофеи. Взяты пленные.</w:t>
      </w:r>
    </w:p>
    <w:p w14:paraId="5A339A12" w14:textId="77777777" w:rsidR="009863CA" w:rsidRPr="007224C3" w:rsidRDefault="009863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Севернее города Звенигородка наши войска полностью уничтожили последние разрозненные группы противника, скрывавшиеся после ликвидации окружённых немецких войск. Наши бойцы вылавливали отдельные группы немецких солдат и офицеров, пытавшихся спасти жизнь в оврагах и небольшой роще южнее населённого пункта Шандеровка. В течение ночи и дня советские подразделения прочёсывали рощу и прилегающую к ней местность. Многие группы окоченевших немецких солдат и офицеров, не оказывая сопротивления, сдались в плен. Гитлеровцы, пытавшиеся спастись бегством, уничтожены. Производится сбор и учёт трофеев, захваченных нашими войсками в результате ликвидации окружённых в районе города Корсунь-Шевченковский десяти дивизий и одной бригады противника.</w:t>
      </w:r>
    </w:p>
    <w:p w14:paraId="08AA7F5B" w14:textId="77777777" w:rsidR="009863CA" w:rsidRPr="007224C3" w:rsidRDefault="009863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Крымские партизанские отряды в январе и феврале нанесли ряд ударов немецко-фашистским оккупантам. За это время пущено под откос 6 немецких воинских эшелонов. Партизаны разрушили пути на трех железнодорожных станциях, уничтожили 80 автомашин, взорвали два склада с горючим и склад боеприпасов. 7 февраля крупные силы немцев и румын предприняли наступление против партизан. В пятидневных боях советские патриоты измотали гитлеровцев, а затем нанесли им контрудар. Потеряв в этих боях до 800 человек, противник бежал, оставив на поле боя своих раненых солдат и офицеров.</w:t>
      </w:r>
    </w:p>
    <w:p w14:paraId="0FE47F3B" w14:textId="77777777" w:rsidR="009863CA" w:rsidRPr="007224C3" w:rsidRDefault="009863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Взятый в плен в районе Витебска солдат 2 роты 550 немецкого штрафного батальона Ульрих Гарт рассказал: «Я бывший капитан немецкой армии. Командовал ротой 4 авиаполевой дивизии. В октябре прошлого года на офицерском вечере я имел неосторожность заявить, что военный крах Германии неизбежен. За эти слова военно-полевой суд приговорил меня к 8 месяцам тюремного заключения и лишил офицерского звания. Наказание отбывал в военной тюрьме в городе Борисове, гдевстретил значительную группу немецких офицеров. Соседями по тюремной камере оказались обер-лейтенант Зукау, лейтенант Курт Бауэр, обер-лейтенант Керх и другие. В январе 1944 года меня досрочно освободили из тюрьмы и послали рядовым в 550 штрафной батальон. Внутренне я был уже давно подготовлен к тому, чтобы сдаться в плен. Поэтому, когда русские солдаты приблизились к нашим позициям, я без сопротивления сложил оружие».</w:t>
      </w:r>
    </w:p>
    <w:p w14:paraId="4BF1C49D" w14:textId="77777777" w:rsidR="009863CA" w:rsidRPr="007224C3" w:rsidRDefault="009863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Жители села Вознесенка, Запорожской области, рассказали о зверствах немецко-фашистских мерзавцев: «Гитлеровцы беспощадно и зверски истребляли советских людей. Только за один день они расстреляли свыше ста жителей нашего села. Много трупов женщин, стариков и детей, замученных немцами, теперь обнаружены в колодцах и в оврагах. Накануне отступления фашистские бандиты сожгли восемь средних и начальных школ, больницу, зернохранилище, электростанцию и около 1.300 жилых домов колхозников. Эти чудовищные злодеяния совершили немецкие солдаты во главе с военным комендантом палачом Вирсом. От имени жителей села Вознесенки мы обращаемся к воинам нашей Красной Армии с призывом: «Беспощадно бейте проклятых немцев! Отомстите им за все преступления, которые они совершили на нашей родине!» (15044).</w:t>
      </w:r>
    </w:p>
    <w:p w14:paraId="15108E22" w14:textId="77777777" w:rsidR="009863CA" w:rsidRPr="007224C3" w:rsidRDefault="009863CA" w:rsidP="007224C3">
      <w:pPr>
        <w:spacing w:after="0" w:line="240" w:lineRule="auto"/>
        <w:jc w:val="both"/>
        <w:rPr>
          <w:rFonts w:ascii="Times New Roman" w:hAnsi="Times New Roman"/>
          <w:color w:val="000000" w:themeColor="text1"/>
          <w:sz w:val="16"/>
          <w:szCs w:val="16"/>
        </w:rPr>
      </w:pPr>
    </w:p>
    <w:p w14:paraId="372972B0" w14:textId="77777777" w:rsidR="00B37F6A" w:rsidRPr="007224C3" w:rsidRDefault="00B37F6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ночь с 18 на 19 февраля 1944 целью Пе-8 был железнодорожный узел Псков. К вылету готовилось 19 кораблей, но взлетело 18, так как у Пе-8 №421010 (командир корабля Угрюмов), из 25-го гв. АПДД во время старта обнаружили проблемы с тормозами. Первый корабль взлетел в 17 ч. 41 мин., крайний в 18 ч. 15 мин. Через 13 минут после взлета, из-за от</w:t>
      </w:r>
      <w:r w:rsidRPr="007224C3">
        <w:rPr>
          <w:rFonts w:ascii="Times New Roman" w:hAnsi="Times New Roman"/>
          <w:color w:val="000000" w:themeColor="text1"/>
          <w:sz w:val="16"/>
          <w:szCs w:val="16"/>
        </w:rPr>
        <w:softHyphen/>
        <w:t>каза материальной части вернулся и произвел посадку на своем аэродроме Пе-8 №42059 из 25-го гв. АПДД (командир корабля Шатров, штурман Гладкий). Основную цель бомбили шестнадцать кораблей в период с 20 ч. 20 мин. по 21ч. 15 мин. На цель было сброшено: 16 ФАБ-2000, 2 ФАБ-ЮООтга, 6 ФАБ-1000,12 ФАБ- 500тга, 36 ФАБ-500,12 ФАБ-250тга, 8 ФАБ-250, 27 ЗАБ-ЮОцк, 31 САБ-100, 3 ФОТАБ-Ю0-60.</w:t>
      </w:r>
    </w:p>
    <w:p w14:paraId="4C219697" w14:textId="77777777" w:rsidR="00B37F6A" w:rsidRPr="007224C3" w:rsidRDefault="00B37F6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 состава 25-го гв. АПДД основную цель бомбили Пе-8 с заводскими номерами: 42076 (командир корабля Адамов), 42067 (командир корабля Обухов), 42028 (командир корабля Симо</w:t>
      </w:r>
      <w:r w:rsidRPr="007224C3">
        <w:rPr>
          <w:rFonts w:ascii="Times New Roman" w:hAnsi="Times New Roman"/>
          <w:color w:val="000000" w:themeColor="text1"/>
          <w:sz w:val="16"/>
          <w:szCs w:val="16"/>
        </w:rPr>
        <w:softHyphen/>
        <w:t xml:space="preserve">нов), 42088 (командир корабля Сугак), 42410 (командир корабля Ищенко), 42311 (командир корабля Зеленский), 42611 (командир корабля Лисачёв). Из состава 890-го АПДД бомбили основную цель Пе-8 с заводскими номерами: № 385Д (командир корабля Лавровский), 4214 (командир корабля Откидач), </w:t>
      </w:r>
      <w:r w:rsidRPr="007224C3">
        <w:rPr>
          <w:rFonts w:ascii="Times New Roman" w:hAnsi="Times New Roman"/>
          <w:color w:val="000000" w:themeColor="text1"/>
          <w:sz w:val="16"/>
          <w:szCs w:val="16"/>
        </w:rPr>
        <w:lastRenderedPageBreak/>
        <w:t>42078 (командир корабля Белков), 42098 (командир корабля Кокарев), 42089 (командир корабля Архаров), 42810 (командир корабля Олей</w:t>
      </w:r>
      <w:r w:rsidRPr="007224C3">
        <w:rPr>
          <w:rFonts w:ascii="Times New Roman" w:hAnsi="Times New Roman"/>
          <w:color w:val="000000" w:themeColor="text1"/>
          <w:sz w:val="16"/>
          <w:szCs w:val="16"/>
        </w:rPr>
        <w:softHyphen/>
        <w:t>ников), 42910 (командир корабля Шамрай), 42111 (командир корабля Самохин), 42211(командир корабля Невенчанный). Пе-8 42210 (командир корабля Бездольный) из 25-го гв. АПДД, бомбил запасную цель - железнодорожный узел Дедовичи (в 20 ч.27 мин). На запасную цель было сброшено: 2 ФАБ-2000,2 ФАБ-500, ЗАБ-100цк. После выполнения задания все корабли произвели посадку на своем аэродроме в период с 22 ч. 56 мин. по 00 ч.08 мин. Потерь не было (19559).</w:t>
      </w:r>
    </w:p>
    <w:p w14:paraId="3F9AF1BA" w14:textId="77777777" w:rsidR="00B37F6A" w:rsidRPr="007224C3" w:rsidRDefault="00B37F6A" w:rsidP="007224C3">
      <w:pPr>
        <w:spacing w:after="0" w:line="240" w:lineRule="auto"/>
        <w:jc w:val="both"/>
        <w:rPr>
          <w:rFonts w:ascii="Times New Roman" w:hAnsi="Times New Roman"/>
          <w:color w:val="000000" w:themeColor="text1"/>
          <w:sz w:val="16"/>
          <w:szCs w:val="16"/>
        </w:rPr>
      </w:pPr>
    </w:p>
    <w:p w14:paraId="3638425D" w14:textId="77777777" w:rsidR="009863CA" w:rsidRPr="007224C3" w:rsidRDefault="009863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18 февраля</w:t>
      </w:r>
      <w:r w:rsidRPr="007224C3">
        <w:rPr>
          <w:rFonts w:ascii="Times New Roman" w:hAnsi="Times New Roman"/>
          <w:color w:val="000000" w:themeColor="text1"/>
          <w:sz w:val="16"/>
          <w:szCs w:val="16"/>
        </w:rPr>
        <w:t xml:space="preserve"> в 1944 году город Старая Русса (Новгородская область) освобожден от фашистских захватчиков. В честь знаменательной даты 18 февраля 1994 г. в городе открыт Музей Северо-Западного фронта</w:t>
      </w:r>
    </w:p>
    <w:p w14:paraId="2756C2CD" w14:textId="77777777" w:rsidR="009863CA" w:rsidRPr="007224C3" w:rsidRDefault="009863CA" w:rsidP="007224C3">
      <w:pPr>
        <w:spacing w:after="0" w:line="240" w:lineRule="auto"/>
        <w:jc w:val="both"/>
        <w:rPr>
          <w:rFonts w:ascii="Times New Roman" w:hAnsi="Times New Roman"/>
          <w:color w:val="000000" w:themeColor="text1"/>
          <w:sz w:val="16"/>
          <w:szCs w:val="16"/>
        </w:rPr>
      </w:pPr>
    </w:p>
    <w:p w14:paraId="467C043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февраля 1944 закончилась Корсунь-шевченковская операция, которая началась 25 января 1944 и в которой была велика роль штурмовиков и вообще авиации (340,163).</w:t>
      </w:r>
    </w:p>
    <w:p w14:paraId="1EBAB8B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примеру Сталинграда 2ВА и 10 иак ПВО создали 4 зоны уничтожения вражеских самолетов и бомбили аэродромы Умани, Винницы, Новоукраинки за внешним кольцом окружения. С 31 января по 18 февраля уничтожили в воздухе 257, в т.ч. 31 транспортный и 457 на аэродромах. Поддерживая 6 и 2ТА 326 нбад доставила 49 т бензина, 65 т боеприпасов, 525 РС (340,164).</w:t>
      </w:r>
    </w:p>
    <w:p w14:paraId="7C4C9B7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F6234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февраля 1944 согласно сообщению Совинформбюро большая группа с АДД ночью совершила налет на Псков и разбомбила эшелоны и склады. Возникло 80 пожаров, горело 15 эшелонов. 3 самолета не вернулось (438,895).</w:t>
      </w:r>
    </w:p>
    <w:p w14:paraId="7AB3B02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79E12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rPr>
        <w:t xml:space="preserve">February 18, 1944: The Red Army recaptures Staraja Russa. </w:t>
      </w:r>
      <w:r w:rsidRPr="007224C3">
        <w:rPr>
          <w:rFonts w:ascii="Times New Roman" w:hAnsi="Times New Roman"/>
          <w:color w:val="000000" w:themeColor="text1"/>
          <w:sz w:val="16"/>
          <w:szCs w:val="16"/>
          <w:lang w:val="en-US"/>
        </w:rPr>
        <w:t>Heeresgruppe Nord (Schorner) falls back to the line Narva-Pleskau-Oposhka (3819).</w:t>
      </w:r>
    </w:p>
    <w:p w14:paraId="10C02B8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752AC0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февраля 1944 КА освободила Старую Руссу. Группа Север отступила на линию Нарва-Псков-Опочка (3819).</w:t>
      </w:r>
    </w:p>
    <w:p w14:paraId="799DE45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4E34CD"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февраля 1944 советские войска освободили Старую Руссу (4962).</w:t>
      </w:r>
    </w:p>
    <w:p w14:paraId="084C69BA"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680C275"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февраля 1944 советский генерал Иван Конев произведен в маршалы (4962).</w:t>
      </w:r>
    </w:p>
    <w:p w14:paraId="44B1040E"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5F5692C" w14:textId="77777777" w:rsidR="00B37F6A" w:rsidRPr="007224C3" w:rsidRDefault="00B37F6A"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Жизнь и внутренняя политика:</w:t>
      </w:r>
    </w:p>
    <w:p w14:paraId="42D09FE4" w14:textId="77777777" w:rsidR="00B37F6A" w:rsidRPr="007224C3" w:rsidRDefault="00B37F6A"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892BEAD" w14:textId="77777777" w:rsidR="00B37F6A" w:rsidRPr="007224C3" w:rsidRDefault="00B37F6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февраля 1944. Решение исполкома Моссовета:</w:t>
      </w:r>
    </w:p>
    <w:p w14:paraId="10A9CC51" w14:textId="77777777" w:rsidR="00B37F6A" w:rsidRPr="007224C3" w:rsidRDefault="00B37F6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В общественных местах (театрах, кино, парках, метро, трамвае, на стадионах, катках и т. д.) и на улицах гор. Москвы дети должны строго соблюдать установленный общественный порядокУ а также правила поведения для учащихся.</w:t>
      </w:r>
    </w:p>
    <w:p w14:paraId="5D0FEE41" w14:textId="77777777" w:rsidR="00B37F6A" w:rsidRPr="007224C3" w:rsidRDefault="00B37F6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Запретить индивидуальную продажу билетов в кино, театры и др. зрелищные предприятия детям и подросткам до 16 лет во все дни недели, за исключением воскресений, праздников и дней зимних и весенних каникул.</w:t>
      </w:r>
    </w:p>
    <w:p w14:paraId="4734219C" w14:textId="77777777" w:rsidR="00B37F6A" w:rsidRPr="007224C3" w:rsidRDefault="00B37F6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дни учебных занятий допускать посещение детьми и подростками кино и театров в организованном порядке в сопровождении педагога, воспитателя или пионервожатого.</w:t>
      </w:r>
    </w:p>
    <w:p w14:paraId="35FA2A06" w14:textId="77777777" w:rsidR="00B37F6A" w:rsidRPr="007224C3" w:rsidRDefault="00B37F6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Запретить пребывание детей и подростков до 16 лет в кино, театрах и других зрелищных предприятиях после 20 часов. Вечерние постановки, в детских театрах, сеансы в детских кино и другие зрелищные и увеселительные мероприятия в детских и внешкольных учреждениях заканчивать не позднее 20 часов.</w:t>
      </w:r>
    </w:p>
    <w:p w14:paraId="592B058A" w14:textId="77777777" w:rsidR="00B37F6A" w:rsidRPr="007224C3" w:rsidRDefault="00B37F6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Обязать директоров театров, кино и других зрелищных предприятий на продаваемых детям и подросткам до 16 лет билетах ставить штамп "детский". Запретить впуск взрослых в кино и театры по билетам со штампом "детский" и детей по билетам без соответствующего штампа.</w:t>
      </w:r>
    </w:p>
    <w:p w14:paraId="62806568" w14:textId="77777777" w:rsidR="00B37F6A" w:rsidRPr="007224C3" w:rsidRDefault="00B37F6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Запретить допуск детей и подростков до 16 лет на кинокартины, спектакли и другие зрелищные мероприятия, не предусмотренные репертуарам для детей.</w:t>
      </w:r>
    </w:p>
    <w:p w14:paraId="72BF44A8" w14:textId="77777777" w:rsidR="00B37F6A" w:rsidRPr="007224C3" w:rsidRDefault="00B37F6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Запретить детям до 16 лет:</w:t>
      </w:r>
    </w:p>
    <w:p w14:paraId="2EB9E73B" w14:textId="77777777" w:rsidR="00B37F6A" w:rsidRPr="007224C3" w:rsidRDefault="00B37F6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пребывание на улицах после 10 часов вечера без сопровождения взрослых;</w:t>
      </w:r>
    </w:p>
    <w:p w14:paraId="2CE88233" w14:textId="77777777" w:rsidR="00B37F6A" w:rsidRPr="007224C3" w:rsidRDefault="00B37F6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торговлю папиросами, спичками и др. предметами;</w:t>
      </w:r>
    </w:p>
    <w:p w14:paraId="6ED7A81B" w14:textId="77777777" w:rsidR="00B37F6A" w:rsidRPr="007224C3" w:rsidRDefault="00B37F6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проезд на подножках трамваев, на буферах, а также катанье на коньках и санках по улицам, площадям и тротуарам гор. Москвы</w:t>
      </w:r>
    </w:p>
    <w:p w14:paraId="6258FBE2" w14:textId="77777777" w:rsidR="00B37F6A" w:rsidRPr="007224C3" w:rsidRDefault="00B37F6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Обязать управляющих и комендантов домов и общежитий строго наблюдать за поведением детей во дворах и на прилегающих ко дворам участках, привлекая к ответственности как нарушителей общественного порядка, так и их родителей.</w:t>
      </w:r>
    </w:p>
    <w:p w14:paraId="0AC3F27C" w14:textId="77777777" w:rsidR="00B37F6A" w:rsidRPr="007224C3" w:rsidRDefault="00B37F6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Взрослое население гор. Москвы и общественность обязаны наблюдать за поведением детей и, в случае необходимости, задерживать нарушителей общественного порядка и направлять их к родителям или в органы милиции.</w:t>
      </w:r>
    </w:p>
    <w:p w14:paraId="1A3A294F" w14:textId="77777777" w:rsidR="00B37F6A" w:rsidRPr="007224C3" w:rsidRDefault="00B37F6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Обязать органы милиции гор. Москвы: а) привлекать к уголовной ответственности лиц, толкающих детей на нарушение</w:t>
      </w:r>
    </w:p>
    <w:p w14:paraId="444F8042" w14:textId="77777777" w:rsidR="00B37F6A" w:rsidRPr="007224C3" w:rsidRDefault="00B37F6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в случае нарушения детьми правил поведения в общественных местах и на улице, подвергать родителей штрафу в административном порядке до 200 рублей или привлекать к судебной ответственности.</w:t>
      </w:r>
    </w:p>
    <w:p w14:paraId="38F84589" w14:textId="77777777" w:rsidR="00B37F6A" w:rsidRPr="007224C3" w:rsidRDefault="00B37F6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Контроль за выполнением настоящего решения возложить на органы милиции и народного образования гор. Москвы (18692).</w:t>
      </w:r>
    </w:p>
    <w:p w14:paraId="27905F47" w14:textId="77777777" w:rsidR="00B37F6A" w:rsidRPr="007224C3" w:rsidRDefault="00B37F6A" w:rsidP="007224C3">
      <w:pPr>
        <w:spacing w:after="0" w:line="240" w:lineRule="auto"/>
        <w:jc w:val="both"/>
        <w:rPr>
          <w:rFonts w:ascii="Times New Roman" w:hAnsi="Times New Roman"/>
          <w:color w:val="000000" w:themeColor="text1"/>
          <w:sz w:val="16"/>
          <w:szCs w:val="16"/>
        </w:rPr>
      </w:pPr>
    </w:p>
    <w:p w14:paraId="68A3FDB5"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Внешняя политика:</w:t>
      </w:r>
    </w:p>
    <w:p w14:paraId="7648FD9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934845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февраля 1944 года было получено:</w:t>
      </w:r>
    </w:p>
    <w:p w14:paraId="1EC5970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СЕКРЕТНО И ЛИЧНО ДЛЯ МАРШАЛА СТАЛИНА ОТ ПРЕЗИДЕНТА РУЗВЕЛЬТА</w:t>
      </w:r>
    </w:p>
    <w:p w14:paraId="1D3EF14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 рад сообщить Вам в ответ на Ваше послание от 29 января, что суда Соединенных Штатов, указанные ниже, могут быть предоставлены командованию Военно-Морского Флота СССР во временное пользование до тех пор, пока для замены их в распоряжение Советского Союза не сможет быть предоставлен соответствующий итальянский тоннаж.</w:t>
      </w:r>
    </w:p>
    <w:p w14:paraId="12BC256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Крейсер “Мильвоки” должен прибыть 8 марта в один из портов Соединенного Королевства, который пока еще не выбран.</w:t>
      </w:r>
    </w:p>
    <w:p w14:paraId="56F4127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Торговые суда “Джон Горри” и “Гарри Перси” водоизмещением в 10000 тонн каждое сейчас находятся соответственно в Ливерпуле и Глазго (7430).</w:t>
      </w:r>
    </w:p>
    <w:p w14:paraId="6C748F6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AF5E01"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18 февраля</w:t>
      </w:r>
      <w:r w:rsidRPr="007224C3">
        <w:rPr>
          <w:rFonts w:ascii="Times New Roman" w:hAnsi="Times New Roman"/>
          <w:color w:val="000000" w:themeColor="text1"/>
          <w:sz w:val="16"/>
          <w:szCs w:val="16"/>
        </w:rPr>
        <w:t xml:space="preserve"> в 1944 году польское эмигрантское правительство в Лондоне утвердило план «Буря», согласно которому во время вступления Советской армии на территорию Польши польские части Армии Крайовой выйдут из подполья и постараются захватывать отдельные районы и населенные пункты после ухода оттуда немецких, но до вступления советских войск, устанавливая там администрацию, связанную с лондонским правительством (15044).</w:t>
      </w:r>
    </w:p>
    <w:p w14:paraId="38B62DB2" w14:textId="77777777" w:rsidR="00E32A8C" w:rsidRPr="007224C3" w:rsidRDefault="00E32A8C" w:rsidP="007224C3">
      <w:pPr>
        <w:spacing w:after="0" w:line="240" w:lineRule="auto"/>
        <w:jc w:val="both"/>
        <w:rPr>
          <w:rFonts w:ascii="Times New Roman" w:hAnsi="Times New Roman"/>
          <w:color w:val="000000" w:themeColor="text1"/>
          <w:sz w:val="16"/>
          <w:szCs w:val="16"/>
        </w:rPr>
      </w:pPr>
    </w:p>
    <w:p w14:paraId="4003DDA1"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6F5A4CC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63FEEE4"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февраля 1944 за сутки до назначенного расстрела немцами лидеров французского Сопротивления английской авиацией разрушены стены тюрьмы Амьена (многие лидеры Сопротивления погибли при попытке бежать) (4962).</w:t>
      </w:r>
    </w:p>
    <w:p w14:paraId="0DBC8C0E"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555A5DE"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февраля 1944 немецкой подлодкой у берегов Италии потоплен английский крейсер “Пенелопа” (4962).</w:t>
      </w:r>
    </w:p>
    <w:p w14:paraId="11C8F2A5"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26F61AB" w14:textId="77777777" w:rsidR="00A104C0" w:rsidRPr="007224C3" w:rsidRDefault="00A104C0"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18 февраля 1944 самолеты оперативной группы 58 завершили свои двухдневные удары по Труку, начав в ранние утренние часы с первой авианосной ночной бомбардировки в истории ВМС США - рейда 12 TBF-1C Avengers, который демонстрирует ценность таких налетов т вызвал 13 прямых попаданий бомб и семь попаданий при промахах по японским кораблям в гавани. В остальное время самолеты ВМС США работают над японскими береговыми сооружениями на острове Трук; японские самолеты не поднимаются, чтобы противостоять атакам. К моменту выхода оперативной группы 58 из боя ее самолеты совершили в общей сложности 1250 боевых вылетов за два дня нанесения ударов, сбросив 400 тонн (164 600 кг) бомб и торпед против судов и 94 тонны (85 276 кг) бомб на аэродромы и береговые сооружения, потопив два вспомогательных крейсера, два эсминца, два тендера подводных лодок, авиационный транспорт и 23 торговых судна, включая шесть танкеров и 17 грузовых судов общим объемом 200000 регистровых тонн, и уничтожив или повредив 250-275 японских самолетов в обмен за потерю 17 американских самолетов в бою и 8 по другим причинам (20373).</w:t>
      </w:r>
    </w:p>
    <w:p w14:paraId="6602BB14" w14:textId="77777777" w:rsidR="00A104C0" w:rsidRPr="007224C3" w:rsidRDefault="00A104C0" w:rsidP="007224C3">
      <w:pPr>
        <w:spacing w:after="0" w:line="240" w:lineRule="auto"/>
        <w:jc w:val="both"/>
        <w:rPr>
          <w:rFonts w:ascii="Times New Roman" w:hAnsi="Times New Roman"/>
          <w:color w:val="0070C0"/>
          <w:sz w:val="16"/>
          <w:szCs w:val="16"/>
        </w:rPr>
      </w:pPr>
    </w:p>
    <w:p w14:paraId="11CFE5EE" w14:textId="77777777" w:rsidR="00A104C0" w:rsidRPr="007224C3" w:rsidRDefault="00A104C0"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18 февраля 1944 в операции Иерихон, де Хэвилленд Mosquitos из эскадрильи No. 487 Королевских ВВС Новой Зеландии и № 464 эскадрильи ВВС Австралии, разрушили тюремные стен в Амьене, Франция, позволяя захваченным членам французского Сопротивления бежать (20373).</w:t>
      </w:r>
    </w:p>
    <w:p w14:paraId="6FB49202" w14:textId="77777777" w:rsidR="00A104C0" w:rsidRPr="007224C3" w:rsidRDefault="00A104C0" w:rsidP="007224C3">
      <w:pPr>
        <w:spacing w:after="0" w:line="240" w:lineRule="auto"/>
        <w:jc w:val="both"/>
        <w:rPr>
          <w:rFonts w:ascii="Times New Roman" w:hAnsi="Times New Roman"/>
          <w:color w:val="0070C0"/>
          <w:sz w:val="16"/>
          <w:szCs w:val="16"/>
        </w:rPr>
      </w:pPr>
    </w:p>
    <w:p w14:paraId="651151DF"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lastRenderedPageBreak/>
        <w:t>Авиапромышленность:</w:t>
      </w:r>
    </w:p>
    <w:p w14:paraId="647EBF1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D7692F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февраля 1944 вышел приказ по НИИ ВВС N 041 о проведении гос. испытаний эталона 1944 самолета Ла-5 (3 пушечный) с М-82ФН производства 21 завода. Начала - 18 февраля и хотели закончить за 9 дней и акт еще через 3 дня. Вед. ли А.Г.Кубышкин, В.А.Модестов (987,44).</w:t>
      </w:r>
    </w:p>
    <w:p w14:paraId="78F159A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 проведении госиспытаний эталона 1944 года самолета Ла-5 (3-х пушечный) с мотором М-82ФН, производства ОТК завода № 21</w:t>
      </w:r>
    </w:p>
    <w:p w14:paraId="5E0A78E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Пар. 1</w:t>
      </w:r>
    </w:p>
    <w:p w14:paraId="52CCDFC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 3-го Отд. НИИ провести госиспытания самолета Ла-5 (3-х пушечный) с мотором М-82ФН, производства ОТК завода № 21 по утвержденной летной прорамме</w:t>
      </w:r>
    </w:p>
    <w:p w14:paraId="18B2A9E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Пар. 2</w:t>
      </w:r>
    </w:p>
    <w:p w14:paraId="192D6C2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Испытания начать 18 февраля 1944 и закончить в течение 9 летных дней. Акт по испытаниям представить мне на утверждение через 3 дня после окончания испытаний.</w:t>
      </w:r>
    </w:p>
    <w:p w14:paraId="7E9B989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Пар. 3</w:t>
      </w:r>
    </w:p>
    <w:p w14:paraId="323ACDE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проведения испытаний назначаю:</w:t>
      </w:r>
    </w:p>
    <w:p w14:paraId="14FABF9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Ви ик В.К.Алексеенко</w:t>
      </w:r>
    </w:p>
    <w:p w14:paraId="7293AF3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Вл к А.Г.Кубышкина м л В.А.Модестова</w:t>
      </w:r>
    </w:p>
    <w:p w14:paraId="26B5716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Пом. Ви сттл И.В.Жулева</w:t>
      </w:r>
    </w:p>
    <w:p w14:paraId="19CD2F1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и по ВМГ ик Н.М.Милошевского</w:t>
      </w:r>
    </w:p>
    <w:p w14:paraId="6F94BD6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и по вооружению им В.А.Бердина</w:t>
      </w:r>
    </w:p>
    <w:p w14:paraId="3832104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и по спецоборудованию им Самойлова</w:t>
      </w:r>
    </w:p>
    <w:p w14:paraId="73A725C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техник тл В.А.Федотова</w:t>
      </w:r>
    </w:p>
    <w:p w14:paraId="6E60D65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140B0D6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т по вооружению стл Ф.П.Наумова</w:t>
      </w:r>
    </w:p>
    <w:p w14:paraId="070D63B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т по спецоборудованию тл Н.Д.Маркина</w:t>
      </w:r>
    </w:p>
    <w:p w14:paraId="27B7014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32B9CC0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механика ст Г.К.Бушмакина</w:t>
      </w:r>
    </w:p>
    <w:p w14:paraId="1CD5E9D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55788BC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и по маневренности ик В.А.Булинского</w:t>
      </w:r>
    </w:p>
    <w:p w14:paraId="0C977E1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лл облета Стефановского, Хомякова, Дзюба, Прошакова, Голофастова, Антипова, Гриднева</w:t>
      </w:r>
    </w:p>
    <w:p w14:paraId="2ACC99D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Программа госиспытаний эталона 1944 с-та Ла-5 (3-х пушечный) с мотором М-82ФН, производства ОТК завода № 21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054"/>
        <w:gridCol w:w="2078"/>
        <w:gridCol w:w="2078"/>
      </w:tblGrid>
      <w:tr w:rsidR="005106D0" w:rsidRPr="007224C3" w14:paraId="0E4B2CEA" w14:textId="77777777">
        <w:tc>
          <w:tcPr>
            <w:tcW w:w="7054" w:type="dxa"/>
            <w:tcBorders>
              <w:top w:val="single" w:sz="12" w:space="0" w:color="auto"/>
            </w:tcBorders>
          </w:tcPr>
          <w:p w14:paraId="0637698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2078" w:type="dxa"/>
            <w:tcBorders>
              <w:top w:val="single" w:sz="12" w:space="0" w:color="auto"/>
            </w:tcBorders>
          </w:tcPr>
          <w:p w14:paraId="16D873B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Количество полетов</w:t>
            </w:r>
          </w:p>
        </w:tc>
        <w:tc>
          <w:tcPr>
            <w:tcW w:w="2078" w:type="dxa"/>
            <w:tcBorders>
              <w:top w:val="single" w:sz="12" w:space="0" w:color="auto"/>
            </w:tcBorders>
          </w:tcPr>
          <w:p w14:paraId="08DC80F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Продолжительность</w:t>
            </w:r>
          </w:p>
        </w:tc>
      </w:tr>
      <w:tr w:rsidR="005106D0" w:rsidRPr="007224C3" w14:paraId="6AF8A66D" w14:textId="77777777">
        <w:tc>
          <w:tcPr>
            <w:tcW w:w="7054" w:type="dxa"/>
          </w:tcPr>
          <w:p w14:paraId="7506C98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Испытания на земле...</w:t>
            </w:r>
          </w:p>
        </w:tc>
        <w:tc>
          <w:tcPr>
            <w:tcW w:w="2078" w:type="dxa"/>
          </w:tcPr>
          <w:p w14:paraId="206EF71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2078" w:type="dxa"/>
          </w:tcPr>
          <w:p w14:paraId="5C09471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3F9A412" w14:textId="77777777">
        <w:tc>
          <w:tcPr>
            <w:tcW w:w="7054" w:type="dxa"/>
          </w:tcPr>
          <w:p w14:paraId="60158D7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 Испытания в воздухе</w:t>
            </w:r>
          </w:p>
        </w:tc>
        <w:tc>
          <w:tcPr>
            <w:tcW w:w="2078" w:type="dxa"/>
          </w:tcPr>
          <w:p w14:paraId="35E127C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2078" w:type="dxa"/>
          </w:tcPr>
          <w:p w14:paraId="19BF1E4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F98554B" w14:textId="77777777">
        <w:tc>
          <w:tcPr>
            <w:tcW w:w="7054" w:type="dxa"/>
          </w:tcPr>
          <w:p w14:paraId="2B18204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Ознакомительный полет, эвффективность управления и ..</w:t>
            </w:r>
          </w:p>
        </w:tc>
        <w:tc>
          <w:tcPr>
            <w:tcW w:w="2078" w:type="dxa"/>
          </w:tcPr>
          <w:p w14:paraId="579C1B0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tc>
        <w:tc>
          <w:tcPr>
            <w:tcW w:w="2078" w:type="dxa"/>
          </w:tcPr>
          <w:p w14:paraId="1AC62C2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0:30</w:t>
            </w:r>
          </w:p>
        </w:tc>
      </w:tr>
      <w:tr w:rsidR="005106D0" w:rsidRPr="007224C3" w14:paraId="43591771" w14:textId="77777777">
        <w:tc>
          <w:tcPr>
            <w:tcW w:w="7054" w:type="dxa"/>
          </w:tcPr>
          <w:p w14:paraId="520CED8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Тарировка указателя скорости (километраж)</w:t>
            </w:r>
          </w:p>
        </w:tc>
        <w:tc>
          <w:tcPr>
            <w:tcW w:w="2078" w:type="dxa"/>
          </w:tcPr>
          <w:p w14:paraId="5500E7E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tc>
        <w:tc>
          <w:tcPr>
            <w:tcW w:w="2078" w:type="dxa"/>
          </w:tcPr>
          <w:p w14:paraId="1ECD419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1:30</w:t>
            </w:r>
          </w:p>
        </w:tc>
      </w:tr>
      <w:tr w:rsidR="005106D0" w:rsidRPr="007224C3" w14:paraId="4EED130D" w14:textId="77777777">
        <w:tc>
          <w:tcPr>
            <w:tcW w:w="7054" w:type="dxa"/>
          </w:tcPr>
          <w:p w14:paraId="4BE513A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Определение наивыгоднейшей скрости набора высоты (зубцы)</w:t>
            </w:r>
          </w:p>
        </w:tc>
        <w:tc>
          <w:tcPr>
            <w:tcW w:w="2078" w:type="dxa"/>
          </w:tcPr>
          <w:p w14:paraId="2E2EEF9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tc>
        <w:tc>
          <w:tcPr>
            <w:tcW w:w="2078" w:type="dxa"/>
          </w:tcPr>
          <w:p w14:paraId="59A94C9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1:30</w:t>
            </w:r>
          </w:p>
        </w:tc>
      </w:tr>
      <w:tr w:rsidR="005106D0" w:rsidRPr="007224C3" w14:paraId="1F88C6AB" w14:textId="77777777">
        <w:tc>
          <w:tcPr>
            <w:tcW w:w="7054" w:type="dxa"/>
          </w:tcPr>
          <w:p w14:paraId="7800C8C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Определение скороподъмности до потолка и макс. скор. по высотам</w:t>
            </w:r>
          </w:p>
        </w:tc>
        <w:tc>
          <w:tcPr>
            <w:tcW w:w="2078" w:type="dxa"/>
          </w:tcPr>
          <w:p w14:paraId="5122E86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tc>
        <w:tc>
          <w:tcPr>
            <w:tcW w:w="2078" w:type="dxa"/>
          </w:tcPr>
          <w:p w14:paraId="4339E81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4:00</w:t>
            </w:r>
          </w:p>
        </w:tc>
      </w:tr>
      <w:tr w:rsidR="005106D0" w:rsidRPr="007224C3" w14:paraId="0422C45E" w14:textId="77777777">
        <w:tc>
          <w:tcPr>
            <w:tcW w:w="7054" w:type="dxa"/>
          </w:tcPr>
          <w:p w14:paraId="5D3A569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Определение тепловых режимов ВМН и продувки радиатора</w:t>
            </w:r>
          </w:p>
        </w:tc>
        <w:tc>
          <w:tcPr>
            <w:tcW w:w="2078" w:type="dxa"/>
          </w:tcPr>
          <w:p w14:paraId="2218380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tc>
        <w:tc>
          <w:tcPr>
            <w:tcW w:w="2078" w:type="dxa"/>
          </w:tcPr>
          <w:p w14:paraId="162AD46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1:30</w:t>
            </w:r>
          </w:p>
        </w:tc>
      </w:tr>
      <w:tr w:rsidR="005106D0" w:rsidRPr="007224C3" w14:paraId="609AE86D" w14:textId="77777777">
        <w:tc>
          <w:tcPr>
            <w:tcW w:w="7054" w:type="dxa"/>
          </w:tcPr>
          <w:p w14:paraId="44D3FAE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Определение взлетно посадочных свойств</w:t>
            </w:r>
          </w:p>
        </w:tc>
        <w:tc>
          <w:tcPr>
            <w:tcW w:w="2078" w:type="dxa"/>
          </w:tcPr>
          <w:p w14:paraId="134E397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w:t>
            </w:r>
          </w:p>
        </w:tc>
        <w:tc>
          <w:tcPr>
            <w:tcW w:w="2078" w:type="dxa"/>
          </w:tcPr>
          <w:p w14:paraId="3AFEEB7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w:t>
            </w:r>
          </w:p>
        </w:tc>
      </w:tr>
      <w:tr w:rsidR="005106D0" w:rsidRPr="007224C3" w14:paraId="4C640A4C" w14:textId="77777777">
        <w:tc>
          <w:tcPr>
            <w:tcW w:w="7054" w:type="dxa"/>
          </w:tcPr>
          <w:p w14:paraId="31D3750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Определение характеристик маневренности на 100 м и 5000 м</w:t>
            </w:r>
          </w:p>
        </w:tc>
        <w:tc>
          <w:tcPr>
            <w:tcW w:w="2078" w:type="dxa"/>
          </w:tcPr>
          <w:p w14:paraId="183DD98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tc>
        <w:tc>
          <w:tcPr>
            <w:tcW w:w="2078" w:type="dxa"/>
          </w:tcPr>
          <w:p w14:paraId="17CDC75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2:30</w:t>
            </w:r>
          </w:p>
        </w:tc>
      </w:tr>
      <w:tr w:rsidR="005106D0" w:rsidRPr="007224C3" w14:paraId="782EEC0D" w14:textId="77777777">
        <w:tc>
          <w:tcPr>
            <w:tcW w:w="7054" w:type="dxa"/>
          </w:tcPr>
          <w:p w14:paraId="34EBF55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Определение дальности и продолжительности полета</w:t>
            </w:r>
          </w:p>
        </w:tc>
        <w:tc>
          <w:tcPr>
            <w:tcW w:w="2078" w:type="dxa"/>
          </w:tcPr>
          <w:p w14:paraId="5B2F6AA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tc>
        <w:tc>
          <w:tcPr>
            <w:tcW w:w="2078" w:type="dxa"/>
          </w:tcPr>
          <w:p w14:paraId="451CAD3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4:00</w:t>
            </w:r>
          </w:p>
        </w:tc>
      </w:tr>
      <w:tr w:rsidR="005106D0" w:rsidRPr="007224C3" w14:paraId="2BE5A647" w14:textId="77777777">
        <w:tc>
          <w:tcPr>
            <w:tcW w:w="7054" w:type="dxa"/>
          </w:tcPr>
          <w:p w14:paraId="3B22A85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Определение дальности р/связи (в компл. с зад. п. 8)</w:t>
            </w:r>
          </w:p>
        </w:tc>
        <w:tc>
          <w:tcPr>
            <w:tcW w:w="2078" w:type="dxa"/>
          </w:tcPr>
          <w:p w14:paraId="3BA0973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2078" w:type="dxa"/>
          </w:tcPr>
          <w:p w14:paraId="1AD6577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00F4F8C6" w14:textId="77777777">
        <w:tc>
          <w:tcPr>
            <w:tcW w:w="7054" w:type="dxa"/>
          </w:tcPr>
          <w:p w14:paraId="2428C0E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испытание пушечного вооружения (по спецпрограмме)</w:t>
            </w:r>
          </w:p>
        </w:tc>
        <w:tc>
          <w:tcPr>
            <w:tcW w:w="2078" w:type="dxa"/>
          </w:tcPr>
          <w:p w14:paraId="4A7DCA0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w:t>
            </w:r>
          </w:p>
        </w:tc>
        <w:tc>
          <w:tcPr>
            <w:tcW w:w="2078" w:type="dxa"/>
          </w:tcPr>
          <w:p w14:paraId="56BBE2B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3:00</w:t>
            </w:r>
          </w:p>
        </w:tc>
      </w:tr>
      <w:tr w:rsidR="005106D0" w:rsidRPr="007224C3" w14:paraId="3F1613E8" w14:textId="77777777">
        <w:tc>
          <w:tcPr>
            <w:tcW w:w="7054" w:type="dxa"/>
          </w:tcPr>
          <w:p w14:paraId="50F86E3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Облет самолета другими л</w:t>
            </w:r>
          </w:p>
        </w:tc>
        <w:tc>
          <w:tcPr>
            <w:tcW w:w="2078" w:type="dxa"/>
          </w:tcPr>
          <w:p w14:paraId="65A8125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w:t>
            </w:r>
          </w:p>
        </w:tc>
        <w:tc>
          <w:tcPr>
            <w:tcW w:w="2078" w:type="dxa"/>
          </w:tcPr>
          <w:p w14:paraId="7BD5407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3:30</w:t>
            </w:r>
          </w:p>
        </w:tc>
      </w:tr>
      <w:tr w:rsidR="005106D0" w:rsidRPr="007224C3" w14:paraId="4259987D" w14:textId="77777777">
        <w:tc>
          <w:tcPr>
            <w:tcW w:w="7054" w:type="dxa"/>
          </w:tcPr>
          <w:p w14:paraId="4D0671A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Проверка штопорных свойств (до 2-х витков) и пикирования до скрости 650 км/час по прибору</w:t>
            </w:r>
          </w:p>
        </w:tc>
        <w:tc>
          <w:tcPr>
            <w:tcW w:w="2078" w:type="dxa"/>
          </w:tcPr>
          <w:p w14:paraId="0B42699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tc>
        <w:tc>
          <w:tcPr>
            <w:tcW w:w="2078" w:type="dxa"/>
          </w:tcPr>
          <w:p w14:paraId="0DD869A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1:30</w:t>
            </w:r>
          </w:p>
        </w:tc>
      </w:tr>
      <w:tr w:rsidR="005106D0" w:rsidRPr="007224C3" w14:paraId="792220F1" w14:textId="77777777">
        <w:tc>
          <w:tcPr>
            <w:tcW w:w="7054" w:type="dxa"/>
            <w:tcBorders>
              <w:bottom w:val="single" w:sz="12" w:space="0" w:color="auto"/>
            </w:tcBorders>
          </w:tcPr>
          <w:p w14:paraId="023BBA1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w:t>
            </w:r>
          </w:p>
        </w:tc>
        <w:tc>
          <w:tcPr>
            <w:tcW w:w="2078" w:type="dxa"/>
            <w:tcBorders>
              <w:bottom w:val="single" w:sz="12" w:space="0" w:color="auto"/>
            </w:tcBorders>
          </w:tcPr>
          <w:p w14:paraId="485E030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w:t>
            </w:r>
          </w:p>
        </w:tc>
        <w:tc>
          <w:tcPr>
            <w:tcW w:w="2078" w:type="dxa"/>
            <w:tcBorders>
              <w:bottom w:val="single" w:sz="12" w:space="0" w:color="auto"/>
            </w:tcBorders>
          </w:tcPr>
          <w:p w14:paraId="59A7101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24:30</w:t>
            </w:r>
          </w:p>
        </w:tc>
      </w:tr>
    </w:tbl>
    <w:p w14:paraId="2D56B9C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Примечание: Летные характеристики определяются после перерегулировки агрегата впрыска НБ-3У по ТУ завода № 19 представителем завода № 19</w:t>
      </w:r>
    </w:p>
    <w:p w14:paraId="73220DC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 3 отд. НИИ Сафронов</w:t>
      </w:r>
    </w:p>
    <w:p w14:paraId="7C77D9F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февраля 1944</w:t>
      </w:r>
    </w:p>
    <w:p w14:paraId="1CF0F18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Врид Нач. 2 отделения 3 отдела НИИ Степаненко</w:t>
      </w:r>
    </w:p>
    <w:p w14:paraId="626FA9E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февраля 1944 (987,44).</w:t>
      </w:r>
    </w:p>
    <w:p w14:paraId="70D6E50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1D280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февраля 1944 года был утвержден Устав завода № 355 НКВ</w:t>
      </w:r>
    </w:p>
    <w:p w14:paraId="1C94FFA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 355 является действующим заводом на новой базе. Когда завод находился на старой базе (Загорск) его Устав утвержден еще не был и этот завод до сих пор не зарегистрирован (9279).</w:t>
      </w:r>
    </w:p>
    <w:p w14:paraId="1B1FF67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40174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февраля 1944 вышло Распоряжение ГКО № 5213. О поставке НКВМФ оборудования для аэростатных частей. РГАНИР, Фонд ГКО, д. 210, лл. 139-140,141-142 (11012).</w:t>
      </w:r>
    </w:p>
    <w:p w14:paraId="19CA51B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01ADBF8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февраля 1944 года:</w:t>
      </w:r>
    </w:p>
    <w:p w14:paraId="0199AD6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«ВЫПИСКА управление кадров ЦК ВКП(б).</w:t>
      </w:r>
    </w:p>
    <w:p w14:paraId="7F9D4E6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Совещание о работе научно-исследовательского института-3 при СНК СССР</w:t>
      </w:r>
    </w:p>
    <w:p w14:paraId="50D6F44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февраля 1944 года.</w:t>
      </w:r>
    </w:p>
    <w:p w14:paraId="616512B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АРТЕМЬЕВ:... и вот первый год был приглашен работающий в то время у профессора ФИЛИППОВА ЛАНГЕМАК. Он в качестве подсобного работника работал для помощи во всякого рода вычислениях.</w:t>
      </w:r>
    </w:p>
    <w:p w14:paraId="7D8AE92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БУДНИКОВ: у профессора ФИЛИППОВА он кем работал?</w:t>
      </w:r>
    </w:p>
    <w:p w14:paraId="551FDA6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АРТЕМЬЕВ: он был слушателем артиллерийской академии, он выполнял какую-то тему у профессора ФИЛИППОВА.</w:t>
      </w:r>
    </w:p>
    <w:p w14:paraId="420B96A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ГАЙДУКОВ: когда получились снаряды М-8, М-152?</w:t>
      </w:r>
      <w:r w:rsidRPr="007224C3">
        <w:rPr>
          <w:rFonts w:ascii="Times New Roman" w:hAnsi="Times New Roman"/>
          <w:color w:val="000000" w:themeColor="text1"/>
          <w:sz w:val="16"/>
          <w:szCs w:val="16"/>
          <w:vertAlign w:val="superscript"/>
        </w:rPr>
        <w:t>9</w:t>
      </w:r>
    </w:p>
    <w:p w14:paraId="519EBB8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ГОЛОС: М-13 не было, а первый снаряд, который пошел на вооружение, появился в 1933 году. Это были первые образцы типа 8...</w:t>
      </w:r>
    </w:p>
    <w:p w14:paraId="518D6C2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ГАЙДУКОВ: Лангемак на вращающихся настаивал?</w:t>
      </w:r>
    </w:p>
    <w:p w14:paraId="397C12C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АРТЕМЬЕВ: они настаивали потому, что они считались авторами этого дела, по-видимому, это служило одним из мотивов, они работали над ним около 3 лет,</w:t>
      </w:r>
    </w:p>
    <w:p w14:paraId="67E83B1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ГАЙДУКОВ: кто же в то время (1932 г.) занимался 82-мм снарядами?</w:t>
      </w:r>
    </w:p>
    <w:p w14:paraId="5330F94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ОТВЕТ: ЛАНГЕМАК, ПОЙДА, ШВАРЦ.</w:t>
      </w:r>
    </w:p>
    <w:p w14:paraId="18D779D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ГАЙДУКОВ: какую роль сыграл ЛАНГЕМАК?</w:t>
      </w:r>
    </w:p>
    <w:p w14:paraId="1D6A530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ОТВЕТ: ЛАНГЕМАК сыграл большую роль.</w:t>
      </w:r>
    </w:p>
    <w:p w14:paraId="12FEE05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ГАЙДУКОВ: он был главным инженером?</w:t>
      </w:r>
    </w:p>
    <w:p w14:paraId="56F081E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ОТВЕТ: да, с 1934 года».</w:t>
      </w:r>
    </w:p>
    <w:p w14:paraId="63B46C2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Итак, названы фамилии трех инженеров, вплотную занимавшихся созданием реактивных снарядов. Что касается Федора Николаевича Пойды, то он в дальнейшем или сам устранился от этой темы, или же его другие «отодвинули». По крайней мере, при его допросе (в качестве свидетеля) 26 февраля 1944 года речь шла только о присвоении Костиковым и Аборенковым чужого изобретения. Сам же Пойда к тему времени, судя по протоколу допроса, работал в другом научно-исследовательском институте. Леонид Эмильевич Шварц продолжал работать в НИИ-3 и после ареста И. Т. Клейменова и Г. Э. Лангемака. Хотя в показаниях арестованных, в частности Клейменова, он и назывался участником контрреволюционной группы, но к уголовной ответственности не привлекался. В 1944 году Шварц с группой конструкторов попал в авиакатастрофу и погиб. Участником создания «катюши» в те годы он тоже официально не считался. Точно так же, как и Георгий Эрихович Лангемак, названный первым, и вполне заслуженно, в этой тройке. Он был артиллеристом, можно сказать, профессионалом, имел большой боевой и конструкторский стаж (11912).</w:t>
      </w:r>
    </w:p>
    <w:p w14:paraId="1BA53FC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2D8D6115"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lastRenderedPageBreak/>
        <w:t>Другие оборонные отрасли:</w:t>
      </w:r>
    </w:p>
    <w:p w14:paraId="23D232A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1EE0A3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19 фе</w:t>
      </w:r>
      <w:r w:rsidRPr="007224C3">
        <w:rPr>
          <w:rFonts w:ascii="Times New Roman" w:hAnsi="Times New Roman"/>
          <w:color w:val="000000" w:themeColor="text1"/>
          <w:sz w:val="16"/>
          <w:szCs w:val="16"/>
        </w:rPr>
        <w:softHyphen/>
        <w:t>враля по 5 марта того же года один из трех (№ 2) Т-44 (первой модификации) прошел испытания на НИБТ полигоне, в результате которых было выявлено много конструктивных недостатков машины. Па вооружение танк не принимался и в серийном производстве не состоял. Явился прототипом танка Т-44 (второй модификации) (10703).</w:t>
      </w:r>
    </w:p>
    <w:p w14:paraId="340A6F6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10E208" w14:textId="77777777" w:rsidR="003118D9" w:rsidRPr="007224C3" w:rsidRDefault="003118D9"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С 19 февраля 1944 г. начались и завершились точно в указанный в приказе срок – 3 марта 1944 г. НИБТ Полигон в подмосковной Кубинке полигонные испытания опытного образца танка Т-44, изготовленного на заводе № 183В заключительной части отчета, составленного по итогам проведенных полигонных испытаний и подписанного Е.А. Кульчицким 4 марта 1944 г., было записано:</w:t>
      </w:r>
    </w:p>
    <w:p w14:paraId="10BC18BD" w14:textId="77777777" w:rsidR="003118D9" w:rsidRPr="007224C3" w:rsidRDefault="003118D9"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«На основании проведенных испытаний комиссия считает:</w:t>
      </w:r>
    </w:p>
    <w:p w14:paraId="1B0DB73F" w14:textId="77777777" w:rsidR="003118D9" w:rsidRPr="007224C3" w:rsidRDefault="003118D9"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 Танк Т-44 по своим боевым качествам превосходит состоящий на вооружении Красной Армии танк Т-34.</w:t>
      </w:r>
    </w:p>
    <w:p w14:paraId="783BA248" w14:textId="77777777" w:rsidR="003118D9" w:rsidRPr="007224C3" w:rsidRDefault="003118D9"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 Выявленные в процессе испытаний дефекты танка Т-44 могут быть устранены месячный срок.</w:t>
      </w:r>
    </w:p>
    <w:p w14:paraId="22CD9F6A" w14:textId="77777777" w:rsidR="003118D9" w:rsidRPr="007224C3" w:rsidRDefault="003118D9"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Учитывая острую необходимость в вооружении Красной Армии новым средним танком, комиссия считает необходимым обязать НКТП изготовить в месячный срок танк Т-44 с устраненными дефектами и предъявить его на повторные испытания».</w:t>
      </w:r>
    </w:p>
    <w:p w14:paraId="456977B4" w14:textId="77777777" w:rsidR="003118D9" w:rsidRPr="007224C3" w:rsidRDefault="003118D9"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[ЦАМО. Ф. 38. Оп. 11355. Д. 2360. Л. 135] (21209).</w:t>
      </w:r>
    </w:p>
    <w:p w14:paraId="7A221831" w14:textId="77777777" w:rsidR="003118D9" w:rsidRPr="007224C3" w:rsidRDefault="003118D9" w:rsidP="007224C3">
      <w:pPr>
        <w:spacing w:after="0" w:line="240" w:lineRule="auto"/>
        <w:jc w:val="both"/>
        <w:rPr>
          <w:rFonts w:ascii="Times New Roman" w:hAnsi="Times New Roman"/>
          <w:color w:val="0070C0"/>
          <w:sz w:val="16"/>
          <w:szCs w:val="16"/>
        </w:rPr>
      </w:pPr>
    </w:p>
    <w:p w14:paraId="0F611F6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февраля 1944 г. была подготовлена ДОКЛАДНАЯ ЗАПИСКА КОМАНДУЮЩЕГО БТ и МВ КА И НАЧАЛЬНИКА ГАУ КА В ГОСУДАРСТВЕННЫЙ КОМИТЕТ ОБОРОНЫ О РЕЗУЛЬТАТАХ ИСПЫТАНИЯ 85-мм ТАНКОВЫХ ПУШЕК С-53</w:t>
      </w:r>
    </w:p>
    <w:p w14:paraId="1BFDBF5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Докладываем о результатах испытания 85-мм танковых пушек С-53 серийного изготовления завода №92.</w:t>
      </w:r>
    </w:p>
    <w:p w14:paraId="70A1D35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февраля с.г. на Гороховецком АНИОПе в присутствии специальной комиссии были проведены испытания двух головных образцов 85-мм танковой пушки С-53 серийного производства завода №92.</w:t>
      </w:r>
    </w:p>
    <w:p w14:paraId="0B361BB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Одна пушка была установлена в танк Т-34 со штатной башней, а другая в танк Т-34 с расширен</w:t>
      </w:r>
      <w:r w:rsidRPr="007224C3">
        <w:rPr>
          <w:rFonts w:ascii="Times New Roman" w:hAnsi="Times New Roman"/>
          <w:color w:val="000000" w:themeColor="text1"/>
          <w:sz w:val="16"/>
          <w:szCs w:val="16"/>
        </w:rPr>
        <w:softHyphen/>
        <w:t>ной башней.</w:t>
      </w:r>
    </w:p>
    <w:p w14:paraId="35D2AE7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результате полигонных испытаний комиссия пришла к заключению, что пушка испытания выдержала.</w:t>
      </w:r>
    </w:p>
    <w:p w14:paraId="6E7C341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Кроме того, на испытаниях было установлено, что серийные пушки С-53 и установка этих пушек в башнях танков Т-34 имеет дефекты, которые необходимо устранить при изготовлении пушек и танков Т-34-85, вооруженных пушками С-53.</w:t>
      </w:r>
    </w:p>
    <w:p w14:paraId="2DE84CC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Одновременно комиссия отметила преимущества размещения пушки С-53 в расширенной башне по сравнению с размещением этой пушки в старой башне.</w:t>
      </w:r>
    </w:p>
    <w:p w14:paraId="43D614B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Расширенная башня позволяет удобно разместить командира, освобожденного от обязанностей наводчика, осуществляющего круговое наблюдение и корректировку огня. Скорострельность из пушки С-53, установленной в расширенной башне, значительно выше.</w:t>
      </w:r>
    </w:p>
    <w:p w14:paraId="06E62AB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целях обеспечения надежной работы 85-мм танковых пушек С-53 необходимо обязать НКВ (т. Устинова) и НКТП (т. Малышева) в ближайшее время, при выпуске первой партии пушек С-53 и танков Т-34-85, вооруженных этой пушкой, устранить дефекты, указанные в заключении комиссии по испытаниям.</w:t>
      </w:r>
    </w:p>
    <w:p w14:paraId="4702889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Перечень мероприятий по устранению выявленных дефектов сообщен тт. Устинову и Малышеву.</w:t>
      </w:r>
    </w:p>
    <w:p w14:paraId="473E492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Представляю заключение комиссии по испытаниям.</w:t>
      </w:r>
    </w:p>
    <w:p w14:paraId="3B89C15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Прошу Ваших указаний т. Устинову и т. Малышеву.</w:t>
      </w:r>
    </w:p>
    <w:p w14:paraId="2ECA6AA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Командующий БТ и МВ Красной Армии генерал-полковник танковых войск Федоренко</w:t>
      </w:r>
    </w:p>
    <w:p w14:paraId="266AC99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ГАУ Красной Армии генерал-полковник артиллерии Яковлев</w:t>
      </w:r>
    </w:p>
    <w:p w14:paraId="69C534F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38. Оп. 11369. Д. 496. Л. 7. Копия (11403).</w:t>
      </w:r>
    </w:p>
    <w:p w14:paraId="4D8D087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368BCF2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февраля 1944 вышло Постановление ГКО № 5206 О мероприятиях по обеспечению монтажа и пуска в эксплуатацию турбокислотной установки системы академика Капицы производительностью 2000 литров в час на объекте № 2 в г. Балашихе Глававтогена Наркомтяжмаша. РГАНИР, Фонд ГКО, д. 210, лл. 106-107,108-131 (11012).</w:t>
      </w:r>
    </w:p>
    <w:p w14:paraId="2C96A49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2A343E9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февраля 1944 вышло Распоряжение ГКО № 5207. О мобилизации 600 военнообязанных местных национальностей, не годных к строевой службе, в Узбекской ССР и направлении их на хлопкоочистительные заводы НКсовхозов УзССР. РГАНИР, Фонд ГКО, д. 210, лл. 132 (11012).</w:t>
      </w:r>
    </w:p>
    <w:p w14:paraId="31531B7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5C51D64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февраля 1944 вышло Постановление ГКО № 5208 О выделении НККХ РСФСР 5 грузовых автомашин для подвоза угля Иркутской электростанции. РГАНИР, Фонд ГКО, д. 210, лл. 133 (11012).</w:t>
      </w:r>
    </w:p>
    <w:p w14:paraId="4A9591F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670EAC5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февраля 1944 вышло Постановление ГКО № 5209 Об организации производства древесного креолина на лесохимических предприятиях Наркомлеса СССР. РГАНИР, Фонд ГКО, д. 210, лл. 134 (11012).</w:t>
      </w:r>
    </w:p>
    <w:p w14:paraId="38F5809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3D53AAB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февраля 1944 вышло Распоряжение ГКО № 5210. О проведении изыскательских работ и разработки проекта ГЭС на р. Вятке Татарской АССР. РГАНИР, Фонд ГКО, д. 210, лл. 135 (11012).</w:t>
      </w:r>
    </w:p>
    <w:p w14:paraId="4DC8808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1FF86DCD"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февраля 1944 вышло Распоряжение ГКО № 5211 [Об отнесении расходов по обеспечению всеми видами довольствия офицеров, работающих в Комитете по делам высшей школы при СНК СССР, за счет комитета.] (7190, 136).</w:t>
      </w:r>
    </w:p>
    <w:p w14:paraId="18991D61"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508C5C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февраля 1944 вышло Распоряжение ГКО № 5212. О расширении выпуска сельхозинвентаря и запасных частей к тракторам на Чистопольском заводе НКАТ РСФСР. РГАНИР, Фонд ГКО, д. 210, лл. 137-138 (11012).</w:t>
      </w:r>
    </w:p>
    <w:p w14:paraId="7C98AF0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087F4E7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февраля 1944 вышло Распоряжение ГКО № 5214. О мерах по обеспечению ввода в действие в 1944 г. пусковых объектов Узбекского металлургического завода НКЧМ. РГАНИР, Фонд ГКО, д. 210, лл. 143-146,147-149 (11012).</w:t>
      </w:r>
    </w:p>
    <w:p w14:paraId="16F1608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4510F136"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февраля 1944 вышло Постановление ГКО № 5215 О добыче торфа и подготовке предприятий Наркомата электростанций к торфосезону 1944 г. (7190, 150-159,160-192).</w:t>
      </w:r>
    </w:p>
    <w:p w14:paraId="36027A1C"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81367A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февраля 1944 вышло Постановление ГКО № 5217 О мерах по увеличению ресурсов крепежного леса для каменноугольной и рудной промышленности. РГАНИР, Фонд ГКО, д. 210, лл. 200-201,202-208 (11012).</w:t>
      </w:r>
    </w:p>
    <w:p w14:paraId="3B7D3A1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4E29F020"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39EDD3D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3E3CABF"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19 февраля</w:t>
      </w:r>
      <w:r w:rsidRPr="007224C3">
        <w:rPr>
          <w:rFonts w:ascii="Times New Roman" w:hAnsi="Times New Roman"/>
          <w:color w:val="000000" w:themeColor="text1"/>
          <w:sz w:val="16"/>
          <w:szCs w:val="16"/>
        </w:rPr>
        <w:t xml:space="preserve"> в 1944 году оперативная сводка Совинформбюро:</w:t>
      </w:r>
    </w:p>
    <w:p w14:paraId="04E5E8B7"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19 февраля юго-западнее и южнее города Луга наши войска овладели районным центром Ленинградской области и железнодорожной станцией Плюсса, а также с боями заняли более 30 других населённых пунктов и среди них Петрилово, Бутырки, Окрино, Которска, Любенское, Крица, Скирицы, Дуброво, Александровка.</w:t>
      </w:r>
    </w:p>
    <w:p w14:paraId="031D7A8B"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Южнее озера Ильмень наши войска с боями продвигались вперёд и заняли более100 населённых пунктов, в том числе Большое Вороново, Нагово, Муравьево, Большое Орехово, Заболотье, Григорово, Должицы, Морильница, Речные Котцы, Петрухново, Дорожкино, Харино и железнодорожные станции Наговская, Тулебля.</w:t>
      </w:r>
    </w:p>
    <w:p w14:paraId="1CF2D39B"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 разведка, артиллерийско-миномётная перестрелка и в ряде пунктов бои местного значения.</w:t>
      </w:r>
    </w:p>
    <w:p w14:paraId="2AACA220"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18 февраля наши войска на всех фронтах подбили и уничтожили 47 немецких танков. В воздушных боях и огнём зенитной артиллерии сбито 8 самолётов противника.».</w:t>
      </w:r>
    </w:p>
    <w:p w14:paraId="3BD474AD"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Налёт наших самолётов на железнодорожный узел Псков.</w:t>
      </w:r>
    </w:p>
    <w:p w14:paraId="608CDC86"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ночь на 19 февраля большая группа наших самолётов произвела налёт на железнодорожный узел Псков. Бомбардировке были подвергнуты десятки немецких воинских эшелонов, сгрудившихся на этом узле, и военные склады противника. В результате бомбардировки возникло до 80 пожаров, сопровождавшихся сильными взрывами. Горело не менее 15 железнодорожных эшелонов противника. К концу бомбардировки вся территория железнодорожного узла была охвачена сплошным огнём. Кроме того, крупные пожары и взрывы большой силы наблюдением отмечены в районе военных складов противника и на территории аэродрома.</w:t>
      </w:r>
    </w:p>
    <w:p w14:paraId="16F4EC0E"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Три наших самолёта не вернулись на свои базы.».</w:t>
      </w:r>
    </w:p>
    <w:p w14:paraId="4D1093BA"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«Юго-западнее и южнее города Луга части Н-ского соединения в результате напряжённых боёв разгромили противника и заняли районный центр Ленинградской области и железнодорожную станцию Плюсса. На подступах к посёлку и его улицах остались сотни вражеских трупов. Захвачено много трофеев и пленных. На других участках наши войска вели наступательные бои и заняли более 30 населённых пунктов. Советские артиллеристы, расчищая путь пехоте и танкам, подавили огонь 15 артиллерийских и свыше 20 миномётных батарей противника. Успешно действуют наши мелкие подразделения и отряды. На одном участке 50 советских лыжников внезапно напали на вражеский опорный пункт. Наши бойцы истребили до роты гитлеровцев и взяли 56 пленных. На другом участке наше подразделение совершило обходный манёвр и нанесло противнику удар с тыла. Немцы в панике отступили, оставив на поле боя свыше 200 своих убитых и раненых солдат и офицеров.</w:t>
      </w:r>
    </w:p>
    <w:p w14:paraId="10001AB8"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Южнее озера Ильмень наши войска с боями заняли более ста населённых пунктов. Противник, укрепившись на заранее подготовленных рубежах, пытался остановить наступление советских войск. Бойцы Н-ского соединения стремительным ударом сломили сопротивление немцев и, преследуя их по пятам, заняли ряд населённых пунктов. В этом бою советские части нанесли тяжёлое поражение 21 немецкой авиаполевой дивизии и захватили много трофеев. Другое наше соединение форсировало водный рубеж и, успешно продвигаясь вперёд, уничтожило до 800 немецких солдат и офицеров. Захвачено 19 орудий, 18 миномётов, 60 пулемётов, 2 склада боеприпасов, склады с продовольствием и инженерным имуществом.</w:t>
      </w:r>
    </w:p>
    <w:p w14:paraId="6F0DB7A5"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Немцы направили батальон пехоты против одного партизанского отряда, действующего в Каменец-Подольской области. В течение дня советские патриоты отбивали атаки немцев и уничтожили более 200 вражеских солдат и офицеров. Другой отряд каменец-подольских партизан за несколько дней подорвал на минах 8 вражеских эшелонов. Разбиты 6 паровозов и 70 вагонов. Под обломками вагонов погибло до 300 гитлеровцев.</w:t>
      </w:r>
    </w:p>
    <w:p w14:paraId="7C4B149F"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ликвидации окружённой в районе Корсунь-Шевченковский группировки противника взято в плен большое количество немецких солдат и офицеров из дивизии СС «Викинг». Пленные солдаты Людвиг Райман, Венделин Вейс, Гельмут Фогель, Генрих Мюллер, Иоганн Курц и другие рассказали: «Вначале офицеры всячески скрывали от нас тот факт, что наши дивизии попали в «котёл». Но всем было ясно,что мы очутились в ловушке. Пятого февраля офицеры во всех подразделениях огласили приказ Гитлера, в котором он обещал вызволить нас из окружения и требовал держаться до последнего человека. Командир дивизии сообщил, что на помощь нам идут восемь танковых дивизий. Каждый день солдат широко информировалио том, что танковая армия, действующая извне, одерживает успехи и всё ближе и ближе подходит к нам. Солдатам зачитали радиограмму командира танковой армии генерал-лейтенанта Хубе. В этой радиограмме было всего лишь четыре слова: «Я вас выручу. Хубе». Но мы напрасно ждали спасения. Кольцо с каждым днём сжималось всё теснее.</w:t>
      </w:r>
    </w:p>
    <w:p w14:paraId="67631650"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Наша дивизия, насчитывавшая около 7 тысяч солдат и офицеров, за две недели потеряла более четырёх тысяч человек. Нам приходилось всё время отступать под ураганным огнём русских. Дороги были запружены брошенными машинами и орудиями. Мы были в отчаянии. В ночь на 17 февраля солдатам выдали по усиленной порции водки и разрешили съесть неприкосновенный запас продуктов. В 2 часа был объявлен приказ, в котором говорилось, что на помощь извне больше нечего рассчитывать. На рассвете была предпринята последняя и самая отчаянная попытка вырваться из кольца. Впереди шла дивизия СС «Викинг», за ней мотобригада «Валония». Замыкали колонну штабы и остатки 72 и 112 пехотных дивизий. Этой колонной командовал командир нашей дивизии Гилле. Всего в колонне было около восьми тысяч солдат и офицеров. Пушки, автомашины, всё военное имущество и даже личные вещи приказано было бросить. Едва мы прошли 300 метров, как на нас напали русские танки. Они ворвались в гущу колонны и гусеницами утюжили и давили ряды солдат. За танками появились казаки. Началась такая мясорубка, какой мы ещё нигде и никогда не видели за всё время войны. Вся колонна была уничтожена. Нам удалось спрятаться около разбитых автомашин. На следующий день утром мы сдались в плен».</w:t>
      </w:r>
    </w:p>
    <w:p w14:paraId="5F5BF352"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Потери противника и трофеи наших войск в результате ликвидации немецко-фашистских войск, окруженных в районе Корсунь-Шевченковский.</w:t>
      </w:r>
    </w:p>
    <w:p w14:paraId="65927F15"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время боёв по уничтожению немецко-фашистских войск, окружённых в районе Корсунь-Шевченковский, с 3 по 18 февраля сего года войска 2 Украинского фронта нанесли противнику следующие потери:</w:t>
      </w:r>
    </w:p>
    <w:p w14:paraId="402230DB"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Уничтожено: самолётов — 430, танков — 155, орудий разного калибра — 376, самоходных орудий — 59, миномётов — 269, пулемётов — 900.</w:t>
      </w:r>
    </w:p>
    <w:p w14:paraId="7AB90E6F"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поле боя обнаружено 55.000 трупов немецких солдат и офицеров. Среди убитых обнаружен труп командующего группой немецких войск, окружённых в районе Корсунь-Шевченковский, генерала артиллерии Вильгельма Штеммермана.</w:t>
      </w:r>
    </w:p>
    <w:p w14:paraId="286BA01A"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это же время войска 2 Украинского фронта захватили следующие трофеи: самолётов — 41, танков — 116, бронемашин — 32, орудий разного калибра — 618, самоходных орудий — 51, миномётов — 267, пулемётов — 789, бронетранспортёров —85, автомашин — 10.000, паровозов — 7, вагонов и цистерн — 415, тягачей — 127, повозок с военными грузами — 4.050, лошадей — 6.418, противогазов — 39.200, складов с боеприпасами и различным военным имуществом — 64.</w:t>
      </w:r>
    </w:p>
    <w:p w14:paraId="43E9CEF3"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Взято в плен 18.200 солдат и офицеров противника.» (15045).</w:t>
      </w:r>
    </w:p>
    <w:p w14:paraId="7BB52162" w14:textId="77777777" w:rsidR="00E32A8C" w:rsidRPr="007224C3" w:rsidRDefault="00E32A8C" w:rsidP="007224C3">
      <w:pPr>
        <w:spacing w:after="0" w:line="240" w:lineRule="auto"/>
        <w:jc w:val="both"/>
        <w:rPr>
          <w:rFonts w:ascii="Times New Roman" w:hAnsi="Times New Roman"/>
          <w:color w:val="000000" w:themeColor="text1"/>
          <w:sz w:val="16"/>
          <w:szCs w:val="16"/>
        </w:rPr>
      </w:pPr>
    </w:p>
    <w:p w14:paraId="6ECE960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февраля 1944 состоялся первый вылет В-25 к партизанам Югославии; из шести экипажей только один дотянул обратно до своего аэродрома, остальные сели на запасных - ближе к фронту. Это было первое крупномасштабное привлечение бомбардировщиков В-25 для переброски грузов. В феврале 1944 года с Украины они перевозили оружие, медикаменты, продовольствие для Народно-освободительной армии Югославии. "Митчелл" временами применялся в качестве транспортной машины. Он имел емкий фюзеляж, в который при перебазировании можно было загрузить до 20 человек-техников и оружейников. В-25 мог доставить до 1 тонны груза на расстояние 2240 км. В бомбоотсеках устанавливали дополнительные бензобаки, а груз размещали в кабине. Каждый самолет брал до 12 парашютных мешков по 100 кг, которые сбрасывались через люки. Позже часть груза размещалась в бомбоотсеке. Сперва полеты в Югославию осуществляла специальная группа 15-й гвардейской авиадивизии под командованием майора А.П. Дудника. В феврале 1944 группа совершила 39 самолето-вылетов, перебросив 15 т грузов. С 3 мая на перевозки переключили практически всю дивизию - 44 экипажа. Эти полеты продолжались до освобождения Югославии. В одном из таких полетов летчик А.Каракозов атаковал над побережьем Черного моря и сбил немецкий бомбардировщик, а затем повредил второй (3457,94).</w:t>
      </w:r>
    </w:p>
    <w:p w14:paraId="065E53E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C571CC" w14:textId="77777777" w:rsidR="00BD6B74" w:rsidRPr="007224C3" w:rsidRDefault="00BD6B74"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 xml:space="preserve">19 февраля 1944 года в районе Лисянки атаковавшие населённый пункт танки 13-го гвардейского тяжёлого танкового полка попали под огонь немецких средних танков </w:t>
      </w:r>
      <w:hyperlink r:id="rId51" w:history="1">
        <w:r w:rsidRPr="007224C3">
          <w:rPr>
            <w:rFonts w:ascii="Times New Roman" w:eastAsia="Times New Roman" w:hAnsi="Times New Roman"/>
            <w:color w:val="000000" w:themeColor="text1"/>
            <w:sz w:val="16"/>
            <w:szCs w:val="16"/>
            <w:lang w:eastAsia="ru-RU"/>
          </w:rPr>
          <w:t>Pz.Kpfw.Panther</w:t>
        </w:r>
      </w:hyperlink>
      <w:r w:rsidRPr="007224C3">
        <w:rPr>
          <w:rFonts w:ascii="Times New Roman" w:eastAsia="Times New Roman" w:hAnsi="Times New Roman"/>
          <w:color w:val="000000" w:themeColor="text1"/>
          <w:sz w:val="16"/>
          <w:szCs w:val="16"/>
          <w:lang w:eastAsia="ru-RU"/>
        </w:rPr>
        <w:t>. Рассчитанная на защиту от 88-мм пушки KwK 36 L/56 лобовая броня ИС-1 оказалась пробита 75-мм пушками KwK 42 L/70. Два советских танка сгорели и три были подбиты.</w:t>
      </w:r>
    </w:p>
    <w:p w14:paraId="10AB97BF" w14:textId="77777777" w:rsidR="00BD6B74" w:rsidRPr="007224C3" w:rsidRDefault="00BD6B74"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На подобный результат боя повлияли и дефекты брони. Но главная причина пробитий заключалась в том, что защита была недостаточной. Этот же вывод сделал и инженер-майор А.И. Шамин, старший помощник начальника испытательного отдела НИБТ Полигона, которого прикомандировали к 13-му гв. ттп. Его критике подверглась и форма лобовой части корпуса. Ступенчатая форма и наличие люка-пробки ослабляли броню. Выводы Шамина были включены в общее заключение НИБТ Полигона по испытаниям ИС-1 и ИС-2, выпущенных в январе–феврале 1944 года. Первым же пунктом недостатков, выявленных по итогам испытаний, значилось «несоответствие броневой защиты башни и лобовой части корпуса мощности вооружения»/</w:t>
      </w:r>
    </w:p>
    <w:p w14:paraId="21E93EF3" w14:textId="77777777" w:rsidR="00BD6B74" w:rsidRPr="007224C3" w:rsidRDefault="00BD6B74"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 xml:space="preserve">Для решения проблемы предлагалось усилить защиту башни и лобовой части корпуса за счёт более рациональных углов наклона листов, а также применения брони более высокого качества. Образцом при этом была выбрана лобовая часть корпуса Т-34. НИБТ Полигон предлагал изменить верхний лобовой лист корпуса: при той же толщине в 120 мм его следовало делать из катаной брони, а угол наклона увеличить до 30 градусов от горизонтали. Это должно было обеспечить надёжную защиту от огня 88-мм пушки Pak 43 L/71, установленной на истребителе танков </w:t>
      </w:r>
      <w:hyperlink r:id="rId52" w:history="1">
        <w:r w:rsidRPr="007224C3">
          <w:rPr>
            <w:rFonts w:ascii="Times New Roman" w:eastAsia="Times New Roman" w:hAnsi="Times New Roman"/>
            <w:color w:val="000000" w:themeColor="text1"/>
            <w:sz w:val="16"/>
            <w:szCs w:val="16"/>
            <w:lang w:eastAsia="ru-RU"/>
          </w:rPr>
          <w:t>Ferdinand</w:t>
        </w:r>
      </w:hyperlink>
      <w:r w:rsidRPr="007224C3">
        <w:rPr>
          <w:rFonts w:ascii="Times New Roman" w:eastAsia="Times New Roman" w:hAnsi="Times New Roman"/>
          <w:color w:val="000000" w:themeColor="text1"/>
          <w:sz w:val="16"/>
          <w:szCs w:val="16"/>
          <w:lang w:eastAsia="ru-RU"/>
        </w:rPr>
        <w:t>. Конструкторами учитывались испытания как этой машины, так и результаты обстрела другого трофея с Курской дуги — среднего танка Pz.Kpfw.Panther Ausf.D. При толщине верхнего лобового листа «Пантеры» в 80 мм и угле его наклона в 35 градусов от горизонтали обеспечивался более высокий уровень защиты, чем у ИС-2. 85-мм бронебойный снаряд не пробивал такую плиту даже в упор, а собственная пушка «Пантеры» пробивала верхний лобовой лист на дистанции 200 метров.</w:t>
      </w:r>
    </w:p>
    <w:p w14:paraId="0C20AB79" w14:textId="77777777" w:rsidR="00BD6B74" w:rsidRPr="007224C3" w:rsidRDefault="00BD6B74"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 xml:space="preserve">Интересными оказались результаты обстрела верхнего лобового листа Pz.Kpfw.Panther Ausf.D пушкой Pak 43, установленной на САУ </w:t>
      </w:r>
      <w:hyperlink r:id="rId53" w:history="1">
        <w:r w:rsidRPr="007224C3">
          <w:rPr>
            <w:rFonts w:ascii="Times New Roman" w:eastAsia="Times New Roman" w:hAnsi="Times New Roman"/>
            <w:color w:val="000000" w:themeColor="text1"/>
            <w:sz w:val="16"/>
            <w:szCs w:val="16"/>
            <w:lang w:eastAsia="ru-RU"/>
          </w:rPr>
          <w:t>Hornisse</w:t>
        </w:r>
      </w:hyperlink>
      <w:r w:rsidRPr="007224C3">
        <w:rPr>
          <w:rFonts w:ascii="Times New Roman" w:eastAsia="Times New Roman" w:hAnsi="Times New Roman"/>
          <w:color w:val="000000" w:themeColor="text1"/>
          <w:sz w:val="16"/>
          <w:szCs w:val="16"/>
          <w:lang w:eastAsia="ru-RU"/>
        </w:rPr>
        <w:t>. На дистанции 600 метров её снаряд проделал пролом размером 300×250 мм и рикошетировал.</w:t>
      </w:r>
    </w:p>
    <w:p w14:paraId="5C5F0777" w14:textId="77777777" w:rsidR="00BD6B74" w:rsidRPr="007224C3" w:rsidRDefault="00BD6B74"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В отчёте специалисты НИБТ Полигона предлагали усилить и борта корпуса. Их толщина снижалась с 90 до 75 мм, но должны были использоваться катаные листы, расположенные под углом в 45 градусов. Для этого пришлось бы увеличить ширину корпуса танка. Толщину лба башни предлагалось увеличить до 200 мм, а бортов — до 150 мм. В списке предложений значилась замена 122-мм орудия Д-25 на пушку калибра 100 мм, имеющую более высокую скорострельность. Эти предложения носили инициативный характер (17756).</w:t>
      </w:r>
    </w:p>
    <w:p w14:paraId="44AE3726" w14:textId="77777777" w:rsidR="00BD6B74" w:rsidRPr="007224C3" w:rsidRDefault="00BD6B74" w:rsidP="007224C3">
      <w:pPr>
        <w:pStyle w:val="ae"/>
        <w:shd w:val="clear" w:color="auto" w:fill="FFFFFF"/>
        <w:spacing w:before="0" w:after="0"/>
        <w:jc w:val="both"/>
        <w:rPr>
          <w:color w:val="000000" w:themeColor="text1"/>
          <w:sz w:val="16"/>
          <w:szCs w:val="16"/>
        </w:rPr>
      </w:pPr>
    </w:p>
    <w:p w14:paraId="6A867B41" w14:textId="77777777" w:rsidR="00BD6B74" w:rsidRPr="007224C3" w:rsidRDefault="00BD6B74" w:rsidP="007224C3">
      <w:pPr>
        <w:pStyle w:val="ae"/>
        <w:shd w:val="clear" w:color="auto" w:fill="FFFFFF"/>
        <w:spacing w:before="0" w:after="0"/>
        <w:jc w:val="both"/>
        <w:rPr>
          <w:color w:val="000000" w:themeColor="text1"/>
          <w:sz w:val="16"/>
          <w:szCs w:val="16"/>
        </w:rPr>
      </w:pPr>
      <w:r w:rsidRPr="007224C3">
        <w:rPr>
          <w:color w:val="000000" w:themeColor="text1"/>
          <w:sz w:val="16"/>
          <w:szCs w:val="16"/>
        </w:rPr>
        <w:t>19 февраля 1944 состоялся боевой дебют ИС-85. В этот день 1-я рота (5 танков) поддерживала наступление 109-й танковой бригады в направлении на Лисянку. Дебют этот оказался неудачным: подбив Т-34 из состава 109-й тбр, «Пантеры» подпустили ИС-85 на дистанцию 600-800 метров, после чего открыли огонь. 2 советских тяжёлых танка сгорели и 3 были подбиты. Причиной полной потери 1-й роты стало неправильное применение: вместо того, чтобы пускать тяжёлые танки вторым эшелоном, их, как обычно и поступали с тяжёлыми танками, использовали в качестве тарана.</w:t>
      </w:r>
    </w:p>
    <w:p w14:paraId="44334D45" w14:textId="77777777" w:rsidR="00BD6B74" w:rsidRPr="007224C3" w:rsidRDefault="00BD6B74" w:rsidP="007224C3">
      <w:pPr>
        <w:pStyle w:val="ae"/>
        <w:shd w:val="clear" w:color="auto" w:fill="FFFFFF"/>
        <w:spacing w:before="0" w:after="0"/>
        <w:jc w:val="both"/>
        <w:rPr>
          <w:color w:val="000000" w:themeColor="text1"/>
          <w:sz w:val="16"/>
          <w:szCs w:val="16"/>
        </w:rPr>
      </w:pPr>
      <w:r w:rsidRPr="007224C3">
        <w:rPr>
          <w:color w:val="000000" w:themeColor="text1"/>
          <w:sz w:val="16"/>
          <w:szCs w:val="16"/>
        </w:rPr>
        <w:t xml:space="preserve">Стоит отметить, что ИС-85 создавался в расчёте на то, что в лобовой проекции он будет «держать» бронебойный снаряд 88-мм пушки KwK 36 L/56, установленной на </w:t>
      </w:r>
      <w:hyperlink r:id="rId54" w:history="1">
        <w:r w:rsidRPr="007224C3">
          <w:rPr>
            <w:rStyle w:val="a5"/>
            <w:color w:val="000000" w:themeColor="text1"/>
            <w:sz w:val="16"/>
            <w:szCs w:val="16"/>
            <w:u w:val="none"/>
          </w:rPr>
          <w:t>Pz.Kpfw.Tiger Ausf.E</w:t>
        </w:r>
      </w:hyperlink>
      <w:r w:rsidRPr="007224C3">
        <w:rPr>
          <w:color w:val="000000" w:themeColor="text1"/>
          <w:sz w:val="16"/>
          <w:szCs w:val="16"/>
        </w:rPr>
        <w:t>. Что же касается «Пантер», то эти танки оказались более опасными противниками. Эти машины были быстрее, в лобовой проекции, благодаря рациональным углам наклона корпуса, оказались лучше защищены, а главное — были вооружены 75-мм пушкой KwK 42 L/70, которая имела более высокие показатели пробития. Неудивительно, что на дистанции 600-900 метров пушка «Пантеры» относительно легко пробивала ИС-85.</w:t>
      </w:r>
    </w:p>
    <w:p w14:paraId="7F28360A" w14:textId="77777777" w:rsidR="00BD6B74" w:rsidRPr="007224C3" w:rsidRDefault="00BD6B74" w:rsidP="007224C3">
      <w:pPr>
        <w:pStyle w:val="ae"/>
        <w:shd w:val="clear" w:color="auto" w:fill="FFFFFF"/>
        <w:spacing w:before="0" w:after="0"/>
        <w:jc w:val="both"/>
        <w:rPr>
          <w:color w:val="000000" w:themeColor="text1"/>
          <w:sz w:val="16"/>
          <w:szCs w:val="16"/>
        </w:rPr>
      </w:pPr>
      <w:r w:rsidRPr="007224C3">
        <w:rPr>
          <w:color w:val="000000" w:themeColor="text1"/>
          <w:sz w:val="16"/>
          <w:szCs w:val="16"/>
        </w:rPr>
        <w:t>Вместе с тем часть пробитий оказалась результатом недоработки конструкции корпуса и башни. Два танка были поражены в люк-пробку, причём в одном случае его вышибло рикошетировавшим снарядом. В двух случаях произошло сквозное пробитие передней части корпуса с правой стороны. Неудивительно, что со стороны Шамина форма носовой части корпуса подверглась критике.</w:t>
      </w:r>
    </w:p>
    <w:p w14:paraId="44AE2601" w14:textId="77777777" w:rsidR="00BD6B74" w:rsidRPr="007224C3" w:rsidRDefault="00BD6B74" w:rsidP="007224C3">
      <w:pPr>
        <w:pStyle w:val="ae"/>
        <w:shd w:val="clear" w:color="auto" w:fill="FFFFFF"/>
        <w:spacing w:before="0" w:after="0"/>
        <w:jc w:val="both"/>
        <w:rPr>
          <w:color w:val="000000" w:themeColor="text1"/>
          <w:sz w:val="16"/>
          <w:szCs w:val="16"/>
        </w:rPr>
      </w:pPr>
      <w:r w:rsidRPr="007224C3">
        <w:rPr>
          <w:color w:val="000000" w:themeColor="text1"/>
          <w:sz w:val="16"/>
          <w:szCs w:val="16"/>
        </w:rPr>
        <w:t xml:space="preserve">После неудачного дебюта в боевом использовании ИС-1 последовала пауза до 2 марта. То, что танки неплохо были защищены от огня пушки «Тигра», показали </w:t>
      </w:r>
      <w:r w:rsidRPr="007224C3">
        <w:rPr>
          <w:color w:val="000000" w:themeColor="text1"/>
          <w:sz w:val="16"/>
          <w:szCs w:val="16"/>
        </w:rPr>
        <w:lastRenderedPageBreak/>
        <w:t>результаты последующих боёв. 5 марта машины вновь пошли в бой с задачей выйти к юго-западной окраине города Умань. По машинам с дистанции 600-800 метров открыли огонь замаскированные 88-мм зенитные пушки Flak 18. Один из танков получил 6 снарядных попаданий, при этом лишь одно, пришедшееся на правый угол передней части корпуса, оказалось сквозным. Правда, после попадания одного из снарядов в борт корпуса образовалась сквозная трещина.</w:t>
      </w:r>
    </w:p>
    <w:p w14:paraId="67F4BE51" w14:textId="77777777" w:rsidR="00BD6B74" w:rsidRPr="007224C3" w:rsidRDefault="00BD6B74" w:rsidP="007224C3">
      <w:pPr>
        <w:pStyle w:val="ae"/>
        <w:shd w:val="clear" w:color="auto" w:fill="FFFFFF"/>
        <w:spacing w:before="0" w:after="0"/>
        <w:jc w:val="both"/>
        <w:rPr>
          <w:color w:val="000000" w:themeColor="text1"/>
          <w:sz w:val="16"/>
          <w:szCs w:val="16"/>
        </w:rPr>
      </w:pPr>
      <w:r w:rsidRPr="007224C3">
        <w:rPr>
          <w:color w:val="000000" w:themeColor="text1"/>
          <w:sz w:val="16"/>
          <w:szCs w:val="16"/>
        </w:rPr>
        <w:t xml:space="preserve">Также в бою за Умань один танк получил сквозное пробитие нижнего лобового листа из такого экзотического орудия, как </w:t>
      </w:r>
      <w:hyperlink r:id="rId55" w:history="1">
        <w:r w:rsidRPr="007224C3">
          <w:rPr>
            <w:rStyle w:val="a5"/>
            <w:color w:val="000000" w:themeColor="text1"/>
            <w:sz w:val="16"/>
            <w:szCs w:val="16"/>
            <w:u w:val="none"/>
          </w:rPr>
          <w:t>2,8 cm s.Pz.B. 41</w:t>
        </w:r>
      </w:hyperlink>
      <w:r w:rsidRPr="007224C3">
        <w:rPr>
          <w:color w:val="000000" w:themeColor="text1"/>
          <w:sz w:val="16"/>
          <w:szCs w:val="16"/>
        </w:rPr>
        <w:t>.</w:t>
      </w:r>
    </w:p>
    <w:p w14:paraId="33360DFB" w14:textId="77777777" w:rsidR="00BD6B74" w:rsidRPr="007224C3" w:rsidRDefault="00BD6B74" w:rsidP="007224C3">
      <w:pPr>
        <w:pStyle w:val="ae"/>
        <w:shd w:val="clear" w:color="auto" w:fill="FFFFFF"/>
        <w:spacing w:before="0" w:after="0"/>
        <w:jc w:val="both"/>
        <w:rPr>
          <w:color w:val="000000" w:themeColor="text1"/>
          <w:sz w:val="16"/>
          <w:szCs w:val="16"/>
        </w:rPr>
      </w:pPr>
      <w:r w:rsidRPr="007224C3">
        <w:rPr>
          <w:color w:val="000000" w:themeColor="text1"/>
          <w:sz w:val="16"/>
          <w:szCs w:val="16"/>
        </w:rPr>
        <w:t>После боёв за Умань в строю 13-го гв. ттп осталось 5 танков. Во время марша на Ямполь по техническим причинам из строя вышли 2 танка. Ещё один ИС-85 вышел из строя в боях за Ямполь. Оставшиеся машины дошли до города Бельцы, где также стали жертвами технических неисправностей (17715).</w:t>
      </w:r>
    </w:p>
    <w:p w14:paraId="3BC326E2" w14:textId="77777777" w:rsidR="00BD6B74" w:rsidRPr="007224C3" w:rsidRDefault="00BD6B74" w:rsidP="007224C3">
      <w:pPr>
        <w:pStyle w:val="123"/>
        <w:shd w:val="clear" w:color="auto" w:fill="auto"/>
        <w:spacing w:after="0" w:line="240" w:lineRule="auto"/>
        <w:jc w:val="both"/>
        <w:rPr>
          <w:color w:val="000000" w:themeColor="text1"/>
          <w:sz w:val="16"/>
          <w:szCs w:val="16"/>
        </w:rPr>
      </w:pPr>
    </w:p>
    <w:p w14:paraId="48B777A1"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февраля 1944 вышло Постановление ГКО № 5216 О привлечении организаций Осоавиахима к работам по разминированию и сбору трофейного и отечественного имущества в районах, освобожденных от немецкой оккупации. (7190, 193-198,199).</w:t>
      </w:r>
    </w:p>
    <w:p w14:paraId="417538ED"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915A2F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февраля 1944 ГКО поручил Осоавиахиму разминирование всей освобожденной территории и сбор трофейного оружия и боеприпасов (324,84).</w:t>
      </w:r>
    </w:p>
    <w:p w14:paraId="5E1A4A9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ABEFFA"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19 февраля</w:t>
      </w:r>
      <w:r w:rsidRPr="007224C3">
        <w:rPr>
          <w:rFonts w:ascii="Times New Roman" w:hAnsi="Times New Roman"/>
          <w:color w:val="000000" w:themeColor="text1"/>
          <w:sz w:val="16"/>
          <w:szCs w:val="16"/>
        </w:rPr>
        <w:t xml:space="preserve"> в 1944 году государственный комитет обороны принял постановление «О привлечении организаций ОСОАВИАХИМа к работам по разминированию и сбору трофейного и отечественного имущества в районах, освобожденных от немецкой оккупации». За 1944—1945 гг. команды Общества очистили от боеприпасов 1 600 000 кв. км освобожденной территории, свыше 150 тыс. населенных пунктов, обезвредили более 75 млн. взрывоопасных предметов (15045).</w:t>
      </w:r>
    </w:p>
    <w:p w14:paraId="2C2205FD" w14:textId="77777777" w:rsidR="00E32A8C" w:rsidRPr="007224C3" w:rsidRDefault="00E32A8C" w:rsidP="007224C3">
      <w:pPr>
        <w:spacing w:after="0" w:line="240" w:lineRule="auto"/>
        <w:jc w:val="both"/>
        <w:rPr>
          <w:rFonts w:ascii="Times New Roman" w:hAnsi="Times New Roman"/>
          <w:color w:val="000000" w:themeColor="text1"/>
          <w:sz w:val="16"/>
          <w:szCs w:val="16"/>
        </w:rPr>
      </w:pPr>
    </w:p>
    <w:p w14:paraId="304C8F48" w14:textId="77777777" w:rsidR="00E32A8C"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Внешняя политика:</w:t>
      </w:r>
    </w:p>
    <w:p w14:paraId="042184DE" w14:textId="77777777" w:rsidR="00E32A8C" w:rsidRPr="007224C3" w:rsidRDefault="00E32A8C"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4F2E59C"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19 февраля</w:t>
      </w:r>
      <w:r w:rsidRPr="007224C3">
        <w:rPr>
          <w:rFonts w:ascii="Times New Roman" w:hAnsi="Times New Roman"/>
          <w:color w:val="000000" w:themeColor="text1"/>
          <w:sz w:val="16"/>
          <w:szCs w:val="16"/>
        </w:rPr>
        <w:t xml:space="preserve"> в 1944 году советские представители передали Финляндии условия перемирия: разрыв отношений с Германией, итернирование германских войск и кораблей в Финляндии, восстановление советско-финской границы 1940 года и отвод финских войск на эту линию, немедленное возвращение советских и союзных военнопленных (15045).</w:t>
      </w:r>
    </w:p>
    <w:p w14:paraId="455F448C" w14:textId="77777777" w:rsidR="00E32A8C" w:rsidRPr="007224C3" w:rsidRDefault="00E32A8C" w:rsidP="007224C3">
      <w:pPr>
        <w:spacing w:after="0" w:line="240" w:lineRule="auto"/>
        <w:jc w:val="both"/>
        <w:rPr>
          <w:rFonts w:ascii="Times New Roman" w:hAnsi="Times New Roman"/>
          <w:color w:val="000000" w:themeColor="text1"/>
          <w:sz w:val="16"/>
          <w:szCs w:val="16"/>
        </w:rPr>
      </w:pPr>
    </w:p>
    <w:p w14:paraId="72D59582"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06D5969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AFEC3C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февраля 1944 немецкая авиация совершила самый массированный налет на Лондон, начиная с мая 1940 (3807,368).</w:t>
      </w:r>
    </w:p>
    <w:p w14:paraId="2AAA31A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3F33D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февраля 1944 по распоряжению штаба Люфтваффе на базе Отдельной разведгруппы Верховного главнокомандования Люфтваффе сформировали специальную эскадру KG-200 для Абвера с 20 немецкими и трофейными машинами (в т.ч. В-17 и В-24) на вооружении. Применяли супербомбы системы Мистел и возили О.Скорцени и С.Бандеру. С июня 1944 по март 1945 сбросили 600 диверсантов (1565,17).</w:t>
      </w:r>
    </w:p>
    <w:p w14:paraId="39B3F7E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C34755" w14:textId="77777777" w:rsidR="003118D9" w:rsidRPr="007224C3" w:rsidRDefault="003118D9"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19–20 февраля 1944 в поддержку наступления армии США на плацдарме в Анцио тактические самолеты союзников сбросили 972 тонны (881 793 кг) бомб, а стратегические бомбардировщики союзников атакуют Гроттаферрата , Альбано Лациале, Дженцано ди Рома и Веллетри, Италия (20373).</w:t>
      </w:r>
    </w:p>
    <w:p w14:paraId="41945189" w14:textId="77777777" w:rsidR="003118D9" w:rsidRPr="007224C3" w:rsidRDefault="003118D9" w:rsidP="007224C3">
      <w:pPr>
        <w:spacing w:after="0" w:line="240" w:lineRule="auto"/>
        <w:jc w:val="both"/>
        <w:rPr>
          <w:rFonts w:ascii="Times New Roman" w:hAnsi="Times New Roman"/>
          <w:color w:val="0070C0"/>
          <w:sz w:val="16"/>
          <w:szCs w:val="16"/>
        </w:rPr>
      </w:pPr>
    </w:p>
    <w:p w14:paraId="7208D473" w14:textId="77777777" w:rsidR="003118D9" w:rsidRPr="007224C3" w:rsidRDefault="003118D9"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19–20 февраля (ночь) 1944 823 британских бомбардировщика атакуют Лейпциг, Германия. Ночные истребители перехватывают их над побережьем Нидерландов и атакуют на всем пути к цели, где четыре бомбардировщика теряются при столкновениях и еще 20 сбиты зенитными орудиями. Лейпциг покрыт облаками, и большинство бомб брошено наугад. Семьдесят восемь бомбардировщиков (9,5 процента от силы) не возвращаются. Для Bomber Command это самые высокие потери в одном рейде за время Второй мировой войны. Высокий уровень потерь среди Halifaxes (34 самолетов, или 13,3 процента или 14,9 тех, которые не поворнули назавд) побуждает бомбардировочное командование отозвать Halifax II и Halifax V из дальнейших операций над Германией (20373).</w:t>
      </w:r>
    </w:p>
    <w:p w14:paraId="57CB3E41" w14:textId="77777777" w:rsidR="003118D9" w:rsidRPr="007224C3" w:rsidRDefault="003118D9" w:rsidP="007224C3">
      <w:pPr>
        <w:spacing w:after="0" w:line="240" w:lineRule="auto"/>
        <w:jc w:val="both"/>
        <w:rPr>
          <w:rFonts w:ascii="Times New Roman" w:hAnsi="Times New Roman"/>
          <w:color w:val="0070C0"/>
          <w:sz w:val="16"/>
          <w:szCs w:val="16"/>
        </w:rPr>
      </w:pPr>
    </w:p>
    <w:p w14:paraId="483B0382"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1B0265D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60A049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апреля 1944-го было получено разрешение НКАП и заводские испытания двухместного варианта бронированного истребителя с мотором АМ-42 начались (7442).</w:t>
      </w:r>
    </w:p>
    <w:p w14:paraId="095E9E4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Заключение по испытаниям: “Испытания прошел и подлежит передаче на государственные испытания. Самолет обладает запасом устойчивости по всем трем осям”(7442).</w:t>
      </w:r>
    </w:p>
    <w:p w14:paraId="0DEB9F1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438BF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февраля 1944 вышло Постановление ГКО № 5221 О постройке модернизированного самолета Пе-8 с моторами М-82ФН на заводе № 22. РГАНИР, Фонд ГКО, д. 211, лл. 5-8 (11012).</w:t>
      </w:r>
    </w:p>
    <w:p w14:paraId="715CCB8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0FF81917" w14:textId="77777777" w:rsidR="00F51A95" w:rsidRPr="007224C3" w:rsidRDefault="00F51A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февраля 1944 вышло Постановление ГКО № 5221 О постройке модернизированного самолета Пе-8 с моторами М-82ФН на заводе № 22</w:t>
      </w:r>
    </w:p>
    <w:p w14:paraId="3BE73955" w14:textId="77777777" w:rsidR="00F51A95" w:rsidRPr="007224C3" w:rsidRDefault="00F51A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целях улучшения летно-тактических данных само</w:t>
      </w:r>
      <w:r w:rsidRPr="007224C3">
        <w:rPr>
          <w:rFonts w:ascii="Times New Roman" w:hAnsi="Times New Roman"/>
          <w:color w:val="000000" w:themeColor="text1"/>
          <w:sz w:val="16"/>
          <w:szCs w:val="16"/>
        </w:rPr>
        <w:softHyphen/>
        <w:t>лета Пе-8, Государственный Комитет Обороны постановляет:</w:t>
      </w:r>
    </w:p>
    <w:p w14:paraId="308F51A3" w14:textId="77777777" w:rsidR="00F51A95" w:rsidRPr="007224C3" w:rsidRDefault="00F51A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Обязать Наркомазиапром - т.Шахурина, директора завода № 22 т.Окулова и главного конструктора т.Незваль спроектировать и построить один модернизированный само</w:t>
      </w:r>
      <w:r w:rsidRPr="007224C3">
        <w:rPr>
          <w:rFonts w:ascii="Times New Roman" w:hAnsi="Times New Roman"/>
          <w:color w:val="000000" w:themeColor="text1"/>
          <w:sz w:val="16"/>
          <w:szCs w:val="16"/>
        </w:rPr>
        <w:softHyphen/>
        <w:t>лет Пе-8 с моторами М-82ФН с ТК-3 с улучшенными аэро</w:t>
      </w:r>
      <w:r w:rsidRPr="007224C3">
        <w:rPr>
          <w:rFonts w:ascii="Times New Roman" w:hAnsi="Times New Roman"/>
          <w:color w:val="000000" w:themeColor="text1"/>
          <w:sz w:val="16"/>
          <w:szCs w:val="16"/>
        </w:rPr>
        <w:softHyphen/>
        <w:t>динамическими данными и увеличенной бомбовой нагрузкой. Самолет выпустить, внеся в него следующие изменения:</w:t>
      </w:r>
    </w:p>
    <w:p w14:paraId="053BB94E" w14:textId="77777777" w:rsidR="00F51A95" w:rsidRPr="007224C3" w:rsidRDefault="00F51A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а) установить моторы </w:t>
      </w:r>
      <w:r w:rsidRPr="007224C3">
        <w:rPr>
          <w:rFonts w:ascii="Times New Roman" w:hAnsi="Times New Roman"/>
          <w:color w:val="000000" w:themeColor="text1"/>
          <w:sz w:val="16"/>
          <w:szCs w:val="16"/>
          <w:lang w:val="en-US"/>
        </w:rPr>
        <w:t>M</w:t>
      </w:r>
      <w:r w:rsidRPr="007224C3">
        <w:rPr>
          <w:rFonts w:ascii="Times New Roman" w:hAnsi="Times New Roman"/>
          <w:color w:val="000000" w:themeColor="text1"/>
          <w:sz w:val="16"/>
          <w:szCs w:val="16"/>
        </w:rPr>
        <w:t>-8Ф</w:t>
      </w:r>
      <w:r w:rsidRPr="007224C3">
        <w:rPr>
          <w:rFonts w:ascii="Times New Roman" w:hAnsi="Times New Roman"/>
          <w:color w:val="000000" w:themeColor="text1"/>
          <w:sz w:val="16"/>
          <w:szCs w:val="16"/>
          <w:lang w:val="en-US"/>
        </w:rPr>
        <w:t>QH</w:t>
      </w:r>
      <w:r w:rsidRPr="007224C3">
        <w:rPr>
          <w:rFonts w:ascii="Times New Roman" w:hAnsi="Times New Roman"/>
          <w:color w:val="000000" w:themeColor="text1"/>
          <w:sz w:val="16"/>
          <w:szCs w:val="16"/>
        </w:rPr>
        <w:t xml:space="preserve"> с редукцией 9/16, обо</w:t>
      </w:r>
      <w:r w:rsidRPr="007224C3">
        <w:rPr>
          <w:rFonts w:ascii="Times New Roman" w:hAnsi="Times New Roman"/>
          <w:color w:val="000000" w:themeColor="text1"/>
          <w:sz w:val="16"/>
          <w:szCs w:val="16"/>
        </w:rPr>
        <w:softHyphen/>
        <w:t>рудованные турбокомпрессорами;</w:t>
      </w:r>
    </w:p>
    <w:p w14:paraId="5F4085B4" w14:textId="77777777" w:rsidR="00F51A95" w:rsidRPr="007224C3" w:rsidRDefault="00F51A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6) увеличить бомболюк в фюзеляже для внутренней подвески бомбы калибром 5.000 </w:t>
      </w:r>
      <w:r w:rsidRPr="007224C3">
        <w:rPr>
          <w:rStyle w:val="1pt"/>
          <w:rFonts w:ascii="Times New Roman" w:hAnsi="Times New Roman" w:cs="Times New Roman"/>
          <w:color w:val="000000" w:themeColor="text1"/>
          <w:spacing w:val="0"/>
          <w:sz w:val="16"/>
          <w:szCs w:val="16"/>
        </w:rPr>
        <w:t>кг.</w:t>
      </w:r>
      <w:r w:rsidRPr="007224C3">
        <w:rPr>
          <w:rFonts w:ascii="Times New Roman" w:hAnsi="Times New Roman"/>
          <w:color w:val="000000" w:themeColor="text1"/>
          <w:sz w:val="16"/>
          <w:szCs w:val="16"/>
        </w:rPr>
        <w:t xml:space="preserve"> или 6 бомб по 1.000 </w:t>
      </w:r>
      <w:r w:rsidRPr="007224C3">
        <w:rPr>
          <w:rStyle w:val="1pt"/>
          <w:rFonts w:ascii="Times New Roman" w:hAnsi="Times New Roman" w:cs="Times New Roman"/>
          <w:color w:val="000000" w:themeColor="text1"/>
          <w:spacing w:val="0"/>
          <w:sz w:val="16"/>
          <w:szCs w:val="16"/>
        </w:rPr>
        <w:t>кг.;</w:t>
      </w:r>
    </w:p>
    <w:p w14:paraId="49563636" w14:textId="77777777" w:rsidR="00F51A95" w:rsidRPr="007224C3" w:rsidRDefault="00F51A95" w:rsidP="007224C3">
      <w:pPr>
        <w:tabs>
          <w:tab w:val="left" w:pos="1298"/>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увеличить угол обстрела носовой стрелковой точ</w:t>
      </w:r>
      <w:r w:rsidRPr="007224C3">
        <w:rPr>
          <w:rFonts w:ascii="Times New Roman" w:hAnsi="Times New Roman"/>
          <w:color w:val="000000" w:themeColor="text1"/>
          <w:sz w:val="16"/>
          <w:szCs w:val="16"/>
        </w:rPr>
        <w:softHyphen/>
        <w:t>ки до 110°;</w:t>
      </w:r>
    </w:p>
    <w:p w14:paraId="0B6A9E12" w14:textId="77777777" w:rsidR="00F51A95" w:rsidRPr="007224C3" w:rsidRDefault="00F51A95" w:rsidP="007224C3">
      <w:pPr>
        <w:tabs>
          <w:tab w:val="left" w:pos="1298"/>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 установить дополнительно две бортовые стрелко</w:t>
      </w:r>
      <w:r w:rsidRPr="007224C3">
        <w:rPr>
          <w:rFonts w:ascii="Times New Roman" w:hAnsi="Times New Roman"/>
          <w:color w:val="000000" w:themeColor="text1"/>
          <w:sz w:val="16"/>
          <w:szCs w:val="16"/>
        </w:rPr>
        <w:softHyphen/>
        <w:t>вые течки;</w:t>
      </w:r>
    </w:p>
    <w:p w14:paraId="143ED3F6" w14:textId="77777777" w:rsidR="00F51A95" w:rsidRPr="007224C3" w:rsidRDefault="00F51A95" w:rsidP="007224C3">
      <w:pPr>
        <w:tabs>
          <w:tab w:val="left" w:pos="1298"/>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 уменьшить мидель фюзеляжа, переделать его носо</w:t>
      </w:r>
      <w:r w:rsidRPr="007224C3">
        <w:rPr>
          <w:rFonts w:ascii="Times New Roman" w:hAnsi="Times New Roman"/>
          <w:color w:val="000000" w:themeColor="text1"/>
          <w:sz w:val="16"/>
          <w:szCs w:val="16"/>
        </w:rPr>
        <w:softHyphen/>
        <w:t>вую часть, обеспечив размещение обоих пилотов рядом и более переднее их расположение;</w:t>
      </w:r>
    </w:p>
    <w:p w14:paraId="4956396B" w14:textId="77777777" w:rsidR="00F51A95" w:rsidRPr="007224C3" w:rsidRDefault="00F51A95" w:rsidP="007224C3">
      <w:pPr>
        <w:tabs>
          <w:tab w:val="left" w:pos="1313"/>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е) закапотировать полностью колеса в убранном по</w:t>
      </w:r>
      <w:r w:rsidRPr="007224C3">
        <w:rPr>
          <w:rFonts w:ascii="Times New Roman" w:hAnsi="Times New Roman"/>
          <w:color w:val="000000" w:themeColor="text1"/>
          <w:sz w:val="16"/>
          <w:szCs w:val="16"/>
        </w:rPr>
        <w:softHyphen/>
        <w:t>ложении;</w:t>
      </w:r>
    </w:p>
    <w:p w14:paraId="0BE5886E" w14:textId="77777777" w:rsidR="00F51A95" w:rsidRPr="007224C3" w:rsidRDefault="00F51A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 произвести герметизацию самолет</w:t>
      </w:r>
    </w:p>
    <w:p w14:paraId="7FAF8D2B" w14:textId="77777777" w:rsidR="00F51A95" w:rsidRPr="007224C3" w:rsidRDefault="00F51A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Установить, что модернизированный самолет., по сравнению с серийным самолетом Пе-8, должен обладать следующими преимуществами:</w:t>
      </w:r>
    </w:p>
    <w:p w14:paraId="0CC7A715" w14:textId="77777777" w:rsidR="00F51A95" w:rsidRPr="007224C3" w:rsidRDefault="00F51A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максимальной скорости у земли больше - на 30 км/час</w:t>
      </w:r>
    </w:p>
    <w:p w14:paraId="626178DD" w14:textId="77777777" w:rsidR="00F51A95" w:rsidRPr="007224C3" w:rsidRDefault="00F51A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максимальной скорости на гра</w:t>
      </w:r>
      <w:r w:rsidRPr="007224C3">
        <w:rPr>
          <w:rFonts w:ascii="Times New Roman" w:hAnsi="Times New Roman"/>
          <w:color w:val="000000" w:themeColor="text1"/>
          <w:sz w:val="16"/>
          <w:szCs w:val="16"/>
        </w:rPr>
        <w:softHyphen/>
        <w:t>нице высотности больше - на 80 км/час</w:t>
      </w:r>
    </w:p>
    <w:p w14:paraId="5066A4E1" w14:textId="77777777" w:rsidR="00F51A95" w:rsidRPr="007224C3" w:rsidRDefault="00F51A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практическому потолку выше - на 3000 м</w:t>
      </w:r>
    </w:p>
    <w:p w14:paraId="0CD0297A" w14:textId="77777777" w:rsidR="00F51A95" w:rsidRPr="007224C3" w:rsidRDefault="00F51A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дальности полета с 4.000 кг. бомб дальше - на 500 км</w:t>
      </w:r>
    </w:p>
    <w:p w14:paraId="28D3E9B7" w14:textId="77777777" w:rsidR="00F51A95" w:rsidRPr="007224C3" w:rsidRDefault="00F51A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максимальной бомбовой нагрузке больше - на 2000 кг</w:t>
      </w:r>
    </w:p>
    <w:p w14:paraId="64B9D464" w14:textId="77777777" w:rsidR="00F51A95" w:rsidRPr="007224C3" w:rsidRDefault="00F51A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стрелковому вооружению больше на 2 пулемета УБТ</w:t>
      </w:r>
    </w:p>
    <w:p w14:paraId="4815E209" w14:textId="77777777" w:rsidR="00F51A95" w:rsidRPr="007224C3" w:rsidRDefault="00F51A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пушки и 5 пулеметов вместо 2 пушек и 3 пулеметов).</w:t>
      </w:r>
    </w:p>
    <w:p w14:paraId="0A8D47B8" w14:textId="77777777" w:rsidR="00F51A95" w:rsidRPr="007224C3" w:rsidRDefault="00F51A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Самолет пред"явить на летные испытания к 15 июля 1944 года со следующими летно-тактическими данными при полетном весе 26 тонн:</w:t>
      </w:r>
    </w:p>
    <w:p w14:paraId="69050627" w14:textId="77777777" w:rsidR="00F51A95" w:rsidRPr="007224C3" w:rsidRDefault="00F51A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скорость у земли - 390 км/час</w:t>
      </w:r>
    </w:p>
    <w:p w14:paraId="00C9FBBC" w14:textId="77777777" w:rsidR="00F51A95" w:rsidRPr="007224C3" w:rsidRDefault="00F51A95" w:rsidP="007224C3">
      <w:pPr>
        <w:tabs>
          <w:tab w:val="left" w:pos="2265"/>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 скорость на высоте 9.000 мт - 500 км/час</w:t>
      </w:r>
    </w:p>
    <w:p w14:paraId="5FCB0E8C" w14:textId="77777777" w:rsidR="00F51A95" w:rsidRPr="007224C3" w:rsidRDefault="00F51A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время под"ема на высоту 6.000 мт - 16 минут</w:t>
      </w:r>
    </w:p>
    <w:p w14:paraId="0BF9F3FF" w14:textId="77777777" w:rsidR="00F51A95" w:rsidRPr="007224C3" w:rsidRDefault="00F51A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практический потолок - 11000 м</w:t>
      </w:r>
    </w:p>
    <w:p w14:paraId="0F122221" w14:textId="77777777" w:rsidR="00F51A95" w:rsidRPr="007224C3" w:rsidRDefault="00F51A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техническая дальность по боевому профилю с 2000 кг бомб при весе 35000 кг - 5000 км</w:t>
      </w:r>
    </w:p>
    <w:p w14:paraId="45B41112" w14:textId="77777777" w:rsidR="00F51A95" w:rsidRPr="007224C3" w:rsidRDefault="00F51A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 с дополнительными баками при весе 37.500 кг - 6000 км</w:t>
      </w:r>
    </w:p>
    <w:p w14:paraId="27FFCB83" w14:textId="77777777" w:rsidR="00F51A95" w:rsidRPr="007224C3" w:rsidRDefault="00F51A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техническая дальность по боево</w:t>
      </w:r>
      <w:r w:rsidRPr="007224C3">
        <w:rPr>
          <w:rFonts w:ascii="Times New Roman" w:hAnsi="Times New Roman"/>
          <w:color w:val="000000" w:themeColor="text1"/>
          <w:sz w:val="16"/>
          <w:szCs w:val="16"/>
        </w:rPr>
        <w:softHyphen/>
        <w:t>му профилю с 6.000 кг бомб - 4200 км</w:t>
      </w:r>
    </w:p>
    <w:p w14:paraId="1B2F309E" w14:textId="77777777" w:rsidR="00F51A95" w:rsidRPr="007224C3" w:rsidRDefault="00F51A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техническая дальность по боево</w:t>
      </w:r>
      <w:r w:rsidRPr="007224C3">
        <w:rPr>
          <w:rFonts w:ascii="Times New Roman" w:hAnsi="Times New Roman"/>
          <w:color w:val="000000" w:themeColor="text1"/>
          <w:sz w:val="16"/>
          <w:szCs w:val="16"/>
        </w:rPr>
        <w:softHyphen/>
        <w:t>му профилю с 8000 кг бомб - 3100 км</w:t>
      </w:r>
    </w:p>
    <w:p w14:paraId="7C68D092" w14:textId="77777777" w:rsidR="00F51A95" w:rsidRPr="007224C3" w:rsidRDefault="00F51A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разбег при максимальном полет</w:t>
      </w:r>
      <w:r w:rsidRPr="007224C3">
        <w:rPr>
          <w:rFonts w:ascii="Times New Roman" w:hAnsi="Times New Roman"/>
          <w:color w:val="000000" w:themeColor="text1"/>
          <w:sz w:val="16"/>
          <w:szCs w:val="16"/>
        </w:rPr>
        <w:softHyphen/>
        <w:t>ном весе 37. 500 кг - 800 м</w:t>
      </w:r>
    </w:p>
    <w:p w14:paraId="5C167390" w14:textId="77777777" w:rsidR="00F51A95" w:rsidRPr="007224C3" w:rsidRDefault="00F51A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стрелковое вооружение:</w:t>
      </w:r>
    </w:p>
    <w:p w14:paraId="645C4556" w14:textId="77777777" w:rsidR="00F51A95" w:rsidRPr="007224C3" w:rsidRDefault="00F51A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носовая установке - 1 пулемет калибра</w:t>
      </w:r>
      <w:r w:rsidRPr="007224C3">
        <w:rPr>
          <w:rStyle w:val="Batang95pt1pt"/>
          <w:rFonts w:ascii="Times New Roman" w:hAnsi="Times New Roman" w:cs="Times New Roman"/>
          <w:color w:val="000000" w:themeColor="text1"/>
          <w:spacing w:val="0"/>
          <w:sz w:val="16"/>
          <w:szCs w:val="16"/>
        </w:rPr>
        <w:t xml:space="preserve"> 12.7</w:t>
      </w:r>
      <w:r w:rsidRPr="007224C3">
        <w:rPr>
          <w:rFonts w:ascii="Times New Roman" w:hAnsi="Times New Roman"/>
          <w:color w:val="000000" w:themeColor="text1"/>
          <w:sz w:val="16"/>
          <w:szCs w:val="16"/>
        </w:rPr>
        <w:t xml:space="preserve"> мм с ко</w:t>
      </w:r>
      <w:r w:rsidRPr="007224C3">
        <w:rPr>
          <w:rFonts w:ascii="Times New Roman" w:hAnsi="Times New Roman"/>
          <w:color w:val="000000" w:themeColor="text1"/>
          <w:sz w:val="16"/>
          <w:szCs w:val="16"/>
        </w:rPr>
        <w:softHyphen/>
        <w:t>нусом обстрела до 110® с бое</w:t>
      </w:r>
      <w:r w:rsidRPr="007224C3">
        <w:rPr>
          <w:rFonts w:ascii="Times New Roman" w:hAnsi="Times New Roman"/>
          <w:color w:val="000000" w:themeColor="text1"/>
          <w:sz w:val="16"/>
          <w:szCs w:val="16"/>
        </w:rPr>
        <w:softHyphen/>
        <w:t xml:space="preserve">запасом </w:t>
      </w:r>
      <w:r w:rsidRPr="007224C3">
        <w:rPr>
          <w:rStyle w:val="0pt"/>
          <w:rFonts w:ascii="Times New Roman" w:hAnsi="Times New Roman" w:cs="Times New Roman"/>
          <w:color w:val="000000" w:themeColor="text1"/>
          <w:spacing w:val="0"/>
          <w:sz w:val="16"/>
          <w:szCs w:val="16"/>
        </w:rPr>
        <w:t>200</w:t>
      </w:r>
      <w:r w:rsidRPr="007224C3">
        <w:rPr>
          <w:rFonts w:ascii="Times New Roman" w:hAnsi="Times New Roman"/>
          <w:color w:val="000000" w:themeColor="text1"/>
          <w:sz w:val="16"/>
          <w:szCs w:val="16"/>
        </w:rPr>
        <w:t xml:space="preserve"> патронов</w:t>
      </w:r>
    </w:p>
    <w:p w14:paraId="42DCCEE8" w14:textId="77777777" w:rsidR="00F51A95" w:rsidRPr="007224C3" w:rsidRDefault="00F51A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кормовая установка - 1 пушка калибра 20 ми для обстрела задней полусферы с боезапасом 400 снарядов,</w:t>
      </w:r>
    </w:p>
    <w:p w14:paraId="2BFA6BE1" w14:textId="77777777" w:rsidR="00F51A95" w:rsidRPr="007224C3" w:rsidRDefault="00F51A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верхняя установка т. 1-пушка калибра 20 мм для обстрела верхней полусферы с боезапасов 400 снарядов,</w:t>
      </w:r>
    </w:p>
    <w:p w14:paraId="41096929" w14:textId="77777777" w:rsidR="00F51A95" w:rsidRPr="007224C3" w:rsidRDefault="00F51A95" w:rsidP="007224C3">
      <w:pPr>
        <w:tabs>
          <w:tab w:val="left" w:pos="2574"/>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установка в обтекате- 2 пулемета калибра 12,7 мм лях шасси - для обстрела знпз-назад с боезапасом 800 патронов,</w:t>
      </w:r>
    </w:p>
    <w:p w14:paraId="21141C3E" w14:textId="77777777" w:rsidR="00F51A95" w:rsidRPr="007224C3" w:rsidRDefault="00F51A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бортовая установке - 2 пулемета калибра 12,7 мм</w:t>
      </w:r>
    </w:p>
    <w:p w14:paraId="1B8C41E7" w14:textId="77777777" w:rsidR="00F51A95" w:rsidRPr="007224C3" w:rsidRDefault="00F51A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обстрела вперед-вниз и назад вниз с боезапасом 400 патронов.</w:t>
      </w:r>
    </w:p>
    <w:p w14:paraId="6EC90A6A" w14:textId="77777777" w:rsidR="00F51A95" w:rsidRPr="007224C3" w:rsidRDefault="00F51A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Калибр подвешиваемых бомб от 100 кг до 5,000 кг</w:t>
      </w:r>
    </w:p>
    <w:p w14:paraId="31A179FF" w14:textId="77777777" w:rsidR="00F51A95" w:rsidRPr="007224C3" w:rsidRDefault="00F51A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Наркомфину СССР - т.Звереву выделить НКАП из резервного фонда СНК СССР:</w:t>
      </w:r>
    </w:p>
    <w:p w14:paraId="1AD1FE49" w14:textId="77777777" w:rsidR="00F51A95" w:rsidRPr="007224C3" w:rsidRDefault="00F51A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пять миллионов рублёй на проектирование и по</w:t>
      </w:r>
      <w:r w:rsidRPr="007224C3">
        <w:rPr>
          <w:rFonts w:ascii="Times New Roman" w:hAnsi="Times New Roman"/>
          <w:color w:val="000000" w:themeColor="text1"/>
          <w:sz w:val="16"/>
          <w:szCs w:val="16"/>
        </w:rPr>
        <w:softHyphen/>
        <w:t>стройку модернизированного самолета Пе-8;</w:t>
      </w:r>
    </w:p>
    <w:p w14:paraId="0514F769" w14:textId="77777777" w:rsidR="00F51A95" w:rsidRPr="007224C3" w:rsidRDefault="00F51A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для поощрения работников ОКБ и завода за выпол</w:t>
      </w:r>
      <w:r w:rsidRPr="007224C3">
        <w:rPr>
          <w:rFonts w:ascii="Times New Roman" w:hAnsi="Times New Roman"/>
          <w:color w:val="000000" w:themeColor="text1"/>
          <w:sz w:val="16"/>
          <w:szCs w:val="16"/>
        </w:rPr>
        <w:softHyphen/>
        <w:t>нение задания в установленный срок 500.тыс.рублей.</w:t>
      </w:r>
    </w:p>
    <w:p w14:paraId="1064362A" w14:textId="77777777" w:rsidR="00F51A95" w:rsidRPr="007224C3" w:rsidRDefault="00F51A95" w:rsidP="007224C3">
      <w:pPr>
        <w:tabs>
          <w:tab w:val="left" w:pos="823"/>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Обязать Нарксксредмаш -</w:t>
      </w:r>
      <w:r w:rsidRPr="007224C3">
        <w:rPr>
          <w:rStyle w:val="affa"/>
          <w:rFonts w:ascii="Times New Roman" w:hAnsi="Times New Roman" w:cs="Times New Roman"/>
          <w:color w:val="000000" w:themeColor="text1"/>
          <w:spacing w:val="0"/>
          <w:sz w:val="16"/>
          <w:szCs w:val="16"/>
        </w:rPr>
        <w:t xml:space="preserve"> г.</w:t>
      </w:r>
      <w:r w:rsidRPr="007224C3">
        <w:rPr>
          <w:rFonts w:ascii="Times New Roman" w:hAnsi="Times New Roman"/>
          <w:color w:val="000000" w:themeColor="text1"/>
          <w:sz w:val="16"/>
          <w:szCs w:val="16"/>
        </w:rPr>
        <w:t>Акопова в первом квартале</w:t>
      </w:r>
      <w:r w:rsidRPr="007224C3">
        <w:rPr>
          <w:rStyle w:val="affa"/>
          <w:rFonts w:ascii="Times New Roman" w:hAnsi="Times New Roman" w:cs="Times New Roman"/>
          <w:color w:val="000000" w:themeColor="text1"/>
          <w:spacing w:val="0"/>
          <w:sz w:val="16"/>
          <w:szCs w:val="16"/>
        </w:rPr>
        <w:t xml:space="preserve"> </w:t>
      </w:r>
      <w:r w:rsidRPr="007224C3">
        <w:rPr>
          <w:rStyle w:val="affa"/>
          <w:rFonts w:ascii="Times New Roman" w:hAnsi="Times New Roman" w:cs="Times New Roman"/>
          <w:b w:val="0"/>
          <w:color w:val="000000" w:themeColor="text1"/>
          <w:spacing w:val="0"/>
          <w:sz w:val="16"/>
          <w:szCs w:val="16"/>
        </w:rPr>
        <w:t>1944</w:t>
      </w:r>
      <w:r w:rsidRPr="007224C3">
        <w:rPr>
          <w:rFonts w:ascii="Times New Roman" w:hAnsi="Times New Roman"/>
          <w:color w:val="000000" w:themeColor="text1"/>
          <w:sz w:val="16"/>
          <w:szCs w:val="16"/>
        </w:rPr>
        <w:t xml:space="preserve"> года дополнительно выделить Наркомавиалрому </w:t>
      </w:r>
      <w:r w:rsidRPr="007224C3">
        <w:rPr>
          <w:rStyle w:val="affa"/>
          <w:rFonts w:ascii="Times New Roman" w:hAnsi="Times New Roman" w:cs="Times New Roman"/>
          <w:color w:val="000000" w:themeColor="text1"/>
          <w:spacing w:val="0"/>
          <w:sz w:val="16"/>
          <w:szCs w:val="16"/>
        </w:rPr>
        <w:t>для ОКБ т.Незваль одну</w:t>
      </w:r>
      <w:r w:rsidRPr="007224C3">
        <w:rPr>
          <w:rFonts w:ascii="Times New Roman" w:hAnsi="Times New Roman"/>
          <w:color w:val="000000" w:themeColor="text1"/>
          <w:sz w:val="16"/>
          <w:szCs w:val="16"/>
        </w:rPr>
        <w:t xml:space="preserve"> легковую и</w:t>
      </w:r>
      <w:r w:rsidRPr="007224C3">
        <w:rPr>
          <w:rStyle w:val="affa"/>
          <w:rFonts w:ascii="Times New Roman" w:hAnsi="Times New Roman" w:cs="Times New Roman"/>
          <w:color w:val="000000" w:themeColor="text1"/>
          <w:spacing w:val="0"/>
          <w:sz w:val="16"/>
          <w:szCs w:val="16"/>
        </w:rPr>
        <w:t xml:space="preserve"> одну</w:t>
      </w:r>
      <w:r w:rsidRPr="007224C3">
        <w:rPr>
          <w:rFonts w:ascii="Times New Roman" w:hAnsi="Times New Roman"/>
          <w:color w:val="000000" w:themeColor="text1"/>
          <w:sz w:val="16"/>
          <w:szCs w:val="16"/>
        </w:rPr>
        <w:t xml:space="preserve"> грузовую трех</w:t>
      </w:r>
      <w:r w:rsidRPr="007224C3">
        <w:rPr>
          <w:rFonts w:ascii="Times New Roman" w:hAnsi="Times New Roman"/>
          <w:color w:val="000000" w:themeColor="text1"/>
          <w:sz w:val="16"/>
          <w:szCs w:val="16"/>
        </w:rPr>
        <w:softHyphen/>
        <w:t>тонную автомашины^</w:t>
      </w:r>
    </w:p>
    <w:p w14:paraId="6F7E9384" w14:textId="77777777" w:rsidR="00F51A95" w:rsidRPr="007224C3" w:rsidRDefault="00F51A95" w:rsidP="007224C3">
      <w:pPr>
        <w:tabs>
          <w:tab w:val="left" w:pos="816"/>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Обязать Наркомторг СССР т Любимова выделить для ОКБ т.Незваль, начиная с марта сего года дополни</w:t>
      </w:r>
      <w:r w:rsidRPr="007224C3">
        <w:rPr>
          <w:rFonts w:ascii="Times New Roman" w:hAnsi="Times New Roman"/>
          <w:color w:val="000000" w:themeColor="text1"/>
          <w:sz w:val="16"/>
          <w:szCs w:val="16"/>
        </w:rPr>
        <w:softHyphen/>
        <w:t>тельно 15 литерных пайков, 30 пайков Р-4 и 50 вторых горячих.</w:t>
      </w:r>
    </w:p>
    <w:p w14:paraId="65EE19E0" w14:textId="77777777" w:rsidR="00F51A95" w:rsidRPr="007224C3" w:rsidRDefault="00F51A95" w:rsidP="007224C3">
      <w:pPr>
        <w:tabs>
          <w:tab w:val="left" w:pos="816"/>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Обязать Наркомтекстильпром СССР - т.Акимова выделить ОКБ т. Незваль за счет переходящих остатков промышленности специальным назначением:</w:t>
      </w:r>
    </w:p>
    <w:p w14:paraId="7A638801" w14:textId="77777777" w:rsidR="00F51A95" w:rsidRPr="007224C3" w:rsidRDefault="00F51A95" w:rsidP="007224C3">
      <w:pPr>
        <w:pStyle w:val="34"/>
        <w:shd w:val="clear" w:color="auto" w:fill="auto"/>
        <w:tabs>
          <w:tab w:val="left" w:pos="3382"/>
        </w:tabs>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хлопчатобумажной</w:t>
      </w:r>
      <w:r w:rsidRPr="007224C3">
        <w:rPr>
          <w:rStyle w:val="3d"/>
          <w:rFonts w:eastAsia="Gungsuh"/>
          <w:color w:val="000000" w:themeColor="text1"/>
          <w:spacing w:val="0"/>
          <w:sz w:val="16"/>
          <w:szCs w:val="16"/>
        </w:rPr>
        <w:t xml:space="preserve"> </w:t>
      </w:r>
      <w:r w:rsidRPr="007224C3">
        <w:rPr>
          <w:rStyle w:val="3d"/>
          <w:rFonts w:eastAsia="Gungsuh"/>
          <w:b w:val="0"/>
          <w:color w:val="000000" w:themeColor="text1"/>
          <w:spacing w:val="0"/>
          <w:sz w:val="16"/>
          <w:szCs w:val="16"/>
        </w:rPr>
        <w:t>ткани - на 10000 руб.</w:t>
      </w:r>
    </w:p>
    <w:p w14:paraId="57658234" w14:textId="77777777" w:rsidR="00F51A95" w:rsidRPr="007224C3" w:rsidRDefault="00F51A95" w:rsidP="007224C3">
      <w:pPr>
        <w:tabs>
          <w:tab w:val="left" w:pos="3382"/>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шерстяной ткани - на 50.000 рублей.</w:t>
      </w:r>
    </w:p>
    <w:p w14:paraId="6C40D7D5" w14:textId="77777777" w:rsidR="00F51A95" w:rsidRPr="007224C3" w:rsidRDefault="00F51A95" w:rsidP="007224C3">
      <w:pPr>
        <w:spacing w:after="0" w:line="240" w:lineRule="auto"/>
        <w:jc w:val="both"/>
        <w:rPr>
          <w:rFonts w:ascii="Times New Roman" w:hAnsi="Times New Roman"/>
          <w:color w:val="000000" w:themeColor="text1"/>
          <w:sz w:val="16"/>
          <w:szCs w:val="16"/>
        </w:rPr>
      </w:pPr>
      <w:r w:rsidRPr="007224C3">
        <w:rPr>
          <w:rFonts w:ascii="Times New Roman" w:eastAsia="Times New Roman" w:hAnsi="Times New Roman"/>
          <w:color w:val="000000" w:themeColor="text1"/>
          <w:sz w:val="16"/>
          <w:szCs w:val="16"/>
          <w:lang w:eastAsia="ru-RU"/>
        </w:rPr>
        <w:t>8. Обяэать Нарконлегпром СССР - т.Лукина выде</w:t>
      </w:r>
      <w:r w:rsidRPr="007224C3">
        <w:rPr>
          <w:rFonts w:ascii="Times New Roman" w:eastAsia="Times New Roman" w:hAnsi="Times New Roman"/>
          <w:color w:val="000000" w:themeColor="text1"/>
          <w:sz w:val="16"/>
          <w:szCs w:val="16"/>
          <w:lang w:eastAsia="ru-RU"/>
        </w:rPr>
        <w:softHyphen/>
        <w:t>лить ОКБ т.Незваль за счет переходящих остатков про</w:t>
      </w:r>
      <w:r w:rsidRPr="007224C3">
        <w:rPr>
          <w:rFonts w:ascii="Times New Roman" w:eastAsia="Times New Roman" w:hAnsi="Times New Roman"/>
          <w:color w:val="000000" w:themeColor="text1"/>
          <w:sz w:val="16"/>
          <w:szCs w:val="16"/>
          <w:lang w:eastAsia="ru-RU"/>
        </w:rPr>
        <w:softHyphen/>
        <w:t xml:space="preserve">мышленности целевым назначением обуви - 300 пар </w:t>
      </w:r>
      <w:r w:rsidRPr="007224C3">
        <w:rPr>
          <w:rFonts w:ascii="Times New Roman" w:hAnsi="Times New Roman"/>
          <w:color w:val="000000" w:themeColor="text1"/>
          <w:sz w:val="16"/>
          <w:szCs w:val="16"/>
        </w:rPr>
        <w:t>(19444).</w:t>
      </w:r>
    </w:p>
    <w:p w14:paraId="0EA50982" w14:textId="77777777" w:rsidR="00F51A95" w:rsidRPr="007224C3" w:rsidRDefault="00F51A95" w:rsidP="007224C3">
      <w:pPr>
        <w:autoSpaceDE w:val="0"/>
        <w:autoSpaceDN w:val="0"/>
        <w:adjustRightInd w:val="0"/>
        <w:spacing w:after="0" w:line="240" w:lineRule="auto"/>
        <w:jc w:val="both"/>
        <w:rPr>
          <w:rFonts w:ascii="Times New Roman" w:hAnsi="Times New Roman"/>
          <w:color w:val="000000" w:themeColor="text1"/>
          <w:sz w:val="16"/>
          <w:szCs w:val="16"/>
        </w:rPr>
      </w:pPr>
    </w:p>
    <w:p w14:paraId="6C6A6EE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февраля 1944 года вышло постановление ГКО, которое потребовало дальнейших доработок проекта модифицированного Пе-8 4М-82ФН ТК-3. После обсуждения НКАП окончательно решено было ставить ТК, добавилось требование к увеличению огневой защиты спереди-снизу (по предложению Незваля) (7685).</w:t>
      </w:r>
    </w:p>
    <w:p w14:paraId="4A2D9A5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86D059" w14:textId="77777777" w:rsidR="00673CAB" w:rsidRPr="007224C3" w:rsidRDefault="00673CAB" w:rsidP="007224C3">
      <w:pPr>
        <w:pStyle w:val="ae"/>
        <w:shd w:val="clear" w:color="auto" w:fill="FFFFFF"/>
        <w:spacing w:before="0" w:after="0"/>
        <w:jc w:val="both"/>
        <w:rPr>
          <w:color w:val="000000" w:themeColor="text1"/>
          <w:sz w:val="16"/>
          <w:szCs w:val="16"/>
        </w:rPr>
      </w:pPr>
      <w:r w:rsidRPr="007224C3">
        <w:rPr>
          <w:color w:val="000000" w:themeColor="text1"/>
          <w:sz w:val="16"/>
          <w:szCs w:val="16"/>
        </w:rPr>
        <w:t>20 февраля 1944 года остановлени ГКО потребовало дальнейших доработок проекта Пе-8 4М-82ФН ТК-3. В частности, после обсуждения НКАП окончательно решено было ставить ТК, добавилось требование к увеличению огневой защиты спереди-снизу (по предложению Незваля) (12187).</w:t>
      </w:r>
    </w:p>
    <w:p w14:paraId="18F3D0E2" w14:textId="77777777" w:rsidR="00673CAB" w:rsidRPr="007224C3" w:rsidRDefault="00673CAB" w:rsidP="007224C3">
      <w:pPr>
        <w:pStyle w:val="ae"/>
        <w:shd w:val="clear" w:color="auto" w:fill="FFFFFF"/>
        <w:spacing w:before="0" w:after="0"/>
        <w:jc w:val="both"/>
        <w:rPr>
          <w:color w:val="000000" w:themeColor="text1"/>
          <w:sz w:val="16"/>
          <w:szCs w:val="16"/>
        </w:rPr>
      </w:pPr>
    </w:p>
    <w:p w14:paraId="5CA12CD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февраля 1944 вышло Постановление ГКО № 5219 О переоборудовании самолетов Як-9 в варианте истребителя-бомбардировщика. РГАНИР, Фонд ГКО, д. 211, лл. 2-3 (11012).</w:t>
      </w:r>
    </w:p>
    <w:p w14:paraId="2E41290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14D039AE" w14:textId="77777777" w:rsidR="00B21490" w:rsidRPr="007224C3" w:rsidRDefault="00B2149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февраля 1944 вышло Постановление ГКО № 5220 О выпуске самолетов Як-9 в в варианте истребителя-бомбардировщика</w:t>
      </w:r>
    </w:p>
    <w:p w14:paraId="134181E9" w14:textId="77777777" w:rsidR="00B21490" w:rsidRPr="007224C3" w:rsidRDefault="00B21490" w:rsidP="007224C3">
      <w:pPr>
        <w:pStyle w:val="36"/>
        <w:shd w:val="clear" w:color="auto" w:fill="auto"/>
        <w:spacing w:after="0"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Государственный Комитет Обороны постановляет:</w:t>
      </w:r>
    </w:p>
    <w:p w14:paraId="532175E0" w14:textId="77777777" w:rsidR="00B21490" w:rsidRPr="007224C3" w:rsidRDefault="00B21490" w:rsidP="007224C3">
      <w:pPr>
        <w:pStyle w:val="36"/>
        <w:shd w:val="clear" w:color="auto" w:fill="auto"/>
        <w:spacing w:after="0" w:line="240" w:lineRule="auto"/>
        <w:jc w:val="both"/>
        <w:rPr>
          <w:rFonts w:ascii="Times New Roman" w:cs="Times New Roman"/>
          <w:color w:val="000000" w:themeColor="text1"/>
          <w:spacing w:val="0"/>
          <w:sz w:val="16"/>
          <w:szCs w:val="16"/>
        </w:rPr>
      </w:pPr>
      <w:r w:rsidRPr="007224C3">
        <w:rPr>
          <w:rStyle w:val="affa"/>
          <w:rFonts w:ascii="Times New Roman" w:cs="Times New Roman"/>
          <w:color w:val="000000" w:themeColor="text1"/>
          <w:spacing w:val="0"/>
          <w:sz w:val="16"/>
          <w:szCs w:val="16"/>
        </w:rPr>
        <w:t>1.</w:t>
      </w:r>
      <w:r w:rsidRPr="007224C3">
        <w:rPr>
          <w:rFonts w:ascii="Times New Roman" w:cs="Times New Roman"/>
          <w:color w:val="000000" w:themeColor="text1"/>
          <w:spacing w:val="0"/>
          <w:sz w:val="16"/>
          <w:szCs w:val="16"/>
        </w:rPr>
        <w:t xml:space="preserve"> Обязать Наркомавиапрон - т.Шахурина</w:t>
      </w:r>
      <w:r w:rsidRPr="007224C3">
        <w:rPr>
          <w:rStyle w:val="affa"/>
          <w:rFonts w:ascii="Times New Roman" w:cs="Times New Roman"/>
          <w:color w:val="000000" w:themeColor="text1"/>
          <w:spacing w:val="0"/>
          <w:sz w:val="16"/>
          <w:szCs w:val="16"/>
        </w:rPr>
        <w:t xml:space="preserve"> </w:t>
      </w:r>
      <w:r w:rsidRPr="007224C3">
        <w:rPr>
          <w:rStyle w:val="affa"/>
          <w:rFonts w:ascii="Times New Roman" w:cs="Times New Roman"/>
          <w:b w:val="0"/>
          <w:color w:val="000000" w:themeColor="text1"/>
          <w:spacing w:val="0"/>
          <w:sz w:val="16"/>
          <w:szCs w:val="16"/>
        </w:rPr>
        <w:t>и т.Яковлева</w:t>
      </w:r>
      <w:r w:rsidRPr="007224C3">
        <w:rPr>
          <w:rStyle w:val="affa"/>
          <w:rFonts w:ascii="Times New Roman" w:cs="Times New Roman"/>
          <w:color w:val="000000" w:themeColor="text1"/>
          <w:spacing w:val="0"/>
          <w:sz w:val="16"/>
          <w:szCs w:val="16"/>
        </w:rPr>
        <w:t xml:space="preserve"> </w:t>
      </w:r>
      <w:r w:rsidRPr="007224C3">
        <w:rPr>
          <w:rFonts w:ascii="Times New Roman" w:cs="Times New Roman"/>
          <w:color w:val="000000" w:themeColor="text1"/>
          <w:spacing w:val="0"/>
          <w:sz w:val="16"/>
          <w:szCs w:val="16"/>
        </w:rPr>
        <w:t>переоборудовать и сдать ВВС КА 80 самолетов Як-9 (на два полка)</w:t>
      </w:r>
      <w:r w:rsidRPr="007224C3">
        <w:rPr>
          <w:rStyle w:val="affa"/>
          <w:rFonts w:ascii="Times New Roman" w:cs="Times New Roman"/>
          <w:color w:val="000000" w:themeColor="text1"/>
          <w:spacing w:val="0"/>
          <w:sz w:val="16"/>
          <w:szCs w:val="16"/>
        </w:rPr>
        <w:t xml:space="preserve"> в</w:t>
      </w:r>
      <w:r w:rsidRPr="007224C3">
        <w:rPr>
          <w:rFonts w:ascii="Times New Roman" w:cs="Times New Roman"/>
          <w:color w:val="000000" w:themeColor="text1"/>
          <w:spacing w:val="0"/>
          <w:sz w:val="16"/>
          <w:szCs w:val="16"/>
        </w:rPr>
        <w:t xml:space="preserve"> варианте истребителя-бомбардировщика, с сохране</w:t>
      </w:r>
      <w:r w:rsidRPr="007224C3">
        <w:rPr>
          <w:rFonts w:ascii="Times New Roman" w:cs="Times New Roman"/>
          <w:color w:val="000000" w:themeColor="text1"/>
          <w:spacing w:val="0"/>
          <w:sz w:val="16"/>
          <w:szCs w:val="16"/>
        </w:rPr>
        <w:softHyphen/>
        <w:t>нием максимальных скоростей и дальности серийных самоле</w:t>
      </w:r>
      <w:r w:rsidRPr="007224C3">
        <w:rPr>
          <w:rFonts w:ascii="Times New Roman" w:cs="Times New Roman"/>
          <w:color w:val="000000" w:themeColor="text1"/>
          <w:spacing w:val="0"/>
          <w:sz w:val="16"/>
          <w:szCs w:val="16"/>
        </w:rPr>
        <w:softHyphen/>
        <w:t>тов Як-9.</w:t>
      </w:r>
    </w:p>
    <w:p w14:paraId="45B3EEFD" w14:textId="77777777" w:rsidR="00B21490" w:rsidRPr="007224C3" w:rsidRDefault="00B21490" w:rsidP="007224C3">
      <w:pPr>
        <w:pStyle w:val="36"/>
        <w:shd w:val="clear" w:color="auto" w:fill="auto"/>
        <w:spacing w:after="0"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Вооружение самолета:</w:t>
      </w:r>
    </w:p>
    <w:p w14:paraId="22E426DF" w14:textId="77777777" w:rsidR="00B21490" w:rsidRPr="007224C3" w:rsidRDefault="00B21490" w:rsidP="007224C3">
      <w:pPr>
        <w:pStyle w:val="36"/>
        <w:shd w:val="clear" w:color="auto" w:fill="auto"/>
        <w:tabs>
          <w:tab w:val="left" w:pos="1195"/>
        </w:tabs>
        <w:spacing w:after="0"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а) бомбовое - кассета в задней кабине под 200 кг. противотанковых авиационных бомб;</w:t>
      </w:r>
    </w:p>
    <w:p w14:paraId="25B3ED04" w14:textId="77777777" w:rsidR="00B21490" w:rsidRPr="007224C3" w:rsidRDefault="00B21490" w:rsidP="007224C3">
      <w:pPr>
        <w:pStyle w:val="36"/>
        <w:shd w:val="clear" w:color="auto" w:fill="auto"/>
        <w:tabs>
          <w:tab w:val="left" w:pos="1195"/>
        </w:tabs>
        <w:spacing w:after="0"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 xml:space="preserve">б) </w:t>
      </w:r>
      <w:r w:rsidRPr="007224C3">
        <w:rPr>
          <w:rStyle w:val="affa"/>
          <w:rFonts w:ascii="Times New Roman" w:cs="Times New Roman"/>
          <w:b w:val="0"/>
          <w:color w:val="000000" w:themeColor="text1"/>
          <w:spacing w:val="0"/>
          <w:sz w:val="16"/>
          <w:szCs w:val="16"/>
        </w:rPr>
        <w:t>стрелковое - одна</w:t>
      </w:r>
      <w:r w:rsidRPr="007224C3">
        <w:rPr>
          <w:rFonts w:ascii="Times New Roman" w:cs="Times New Roman"/>
          <w:b/>
          <w:color w:val="000000" w:themeColor="text1"/>
          <w:spacing w:val="0"/>
          <w:sz w:val="16"/>
          <w:szCs w:val="16"/>
        </w:rPr>
        <w:t xml:space="preserve"> </w:t>
      </w:r>
      <w:r w:rsidRPr="007224C3">
        <w:rPr>
          <w:rFonts w:ascii="Times New Roman" w:cs="Times New Roman"/>
          <w:color w:val="000000" w:themeColor="text1"/>
          <w:spacing w:val="0"/>
          <w:sz w:val="16"/>
          <w:szCs w:val="16"/>
        </w:rPr>
        <w:t>пушка</w:t>
      </w:r>
      <w:r w:rsidRPr="007224C3">
        <w:rPr>
          <w:rStyle w:val="affa"/>
          <w:rFonts w:ascii="Times New Roman" w:cs="Times New Roman"/>
          <w:color w:val="000000" w:themeColor="text1"/>
          <w:spacing w:val="0"/>
          <w:sz w:val="16"/>
          <w:szCs w:val="16"/>
        </w:rPr>
        <w:t xml:space="preserve"> </w:t>
      </w:r>
      <w:r w:rsidRPr="007224C3">
        <w:rPr>
          <w:rStyle w:val="affa"/>
          <w:rFonts w:ascii="Times New Roman" w:cs="Times New Roman"/>
          <w:b w:val="0"/>
          <w:color w:val="000000" w:themeColor="text1"/>
          <w:spacing w:val="0"/>
          <w:sz w:val="16"/>
          <w:szCs w:val="16"/>
        </w:rPr>
        <w:t>Швак</w:t>
      </w:r>
      <w:r w:rsidRPr="007224C3">
        <w:rPr>
          <w:rFonts w:ascii="Times New Roman" w:cs="Times New Roman"/>
          <w:color w:val="000000" w:themeColor="text1"/>
          <w:spacing w:val="0"/>
          <w:sz w:val="16"/>
          <w:szCs w:val="16"/>
        </w:rPr>
        <w:t xml:space="preserve"> калибра 20 мм и один пулемет УБС калибра 12,7 мм.</w:t>
      </w:r>
    </w:p>
    <w:p w14:paraId="0298682E" w14:textId="77777777" w:rsidR="00B21490" w:rsidRPr="007224C3" w:rsidRDefault="00B21490" w:rsidP="007224C3">
      <w:pPr>
        <w:pStyle w:val="36"/>
        <w:shd w:val="clear" w:color="auto" w:fill="auto"/>
        <w:spacing w:after="0"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Срок поставки:</w:t>
      </w:r>
    </w:p>
    <w:p w14:paraId="2BE16941" w14:textId="77777777" w:rsidR="00B21490" w:rsidRPr="007224C3" w:rsidRDefault="00B21490" w:rsidP="007224C3">
      <w:pPr>
        <w:pStyle w:val="36"/>
        <w:shd w:val="clear" w:color="auto" w:fill="auto"/>
        <w:spacing w:after="0"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 xml:space="preserve">40 самолетов - к 10 апреля 1944 </w:t>
      </w:r>
      <w:r w:rsidRPr="007224C3">
        <w:rPr>
          <w:rStyle w:val="1pt"/>
          <w:rFonts w:ascii="Times New Roman" w:cs="Times New Roman"/>
          <w:color w:val="000000" w:themeColor="text1"/>
          <w:spacing w:val="0"/>
          <w:sz w:val="16"/>
          <w:szCs w:val="16"/>
        </w:rPr>
        <w:t>г.,</w:t>
      </w:r>
      <w:r w:rsidRPr="007224C3">
        <w:rPr>
          <w:rFonts w:ascii="Times New Roman" w:cs="Times New Roman"/>
          <w:color w:val="000000" w:themeColor="text1"/>
          <w:spacing w:val="0"/>
          <w:sz w:val="16"/>
          <w:szCs w:val="16"/>
        </w:rPr>
        <w:t xml:space="preserve"> </w:t>
      </w:r>
      <w:r w:rsidRPr="007224C3">
        <w:rPr>
          <w:rStyle w:val="1pt"/>
          <w:rFonts w:ascii="Times New Roman" w:cs="Times New Roman"/>
          <w:color w:val="000000" w:themeColor="text1"/>
          <w:spacing w:val="0"/>
          <w:sz w:val="16"/>
          <w:szCs w:val="16"/>
        </w:rPr>
        <w:t>из</w:t>
      </w:r>
      <w:r w:rsidRPr="007224C3">
        <w:rPr>
          <w:rFonts w:ascii="Times New Roman" w:cs="Times New Roman"/>
          <w:color w:val="000000" w:themeColor="text1"/>
          <w:spacing w:val="0"/>
          <w:sz w:val="16"/>
          <w:szCs w:val="16"/>
        </w:rPr>
        <w:t xml:space="preserve"> них 10 самолетов оборудованных радиополукомпасами,</w:t>
      </w:r>
    </w:p>
    <w:p w14:paraId="018FB378" w14:textId="77777777" w:rsidR="00B21490" w:rsidRPr="007224C3" w:rsidRDefault="00B21490" w:rsidP="007224C3">
      <w:pPr>
        <w:pStyle w:val="36"/>
        <w:shd w:val="clear" w:color="auto" w:fill="auto"/>
        <w:spacing w:after="0"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 xml:space="preserve">40 самолетов - к 1 мая 1944 </w:t>
      </w:r>
      <w:r w:rsidRPr="007224C3">
        <w:rPr>
          <w:rStyle w:val="1pt"/>
          <w:rFonts w:ascii="Times New Roman" w:cs="Times New Roman"/>
          <w:color w:val="000000" w:themeColor="text1"/>
          <w:spacing w:val="0"/>
          <w:sz w:val="16"/>
          <w:szCs w:val="16"/>
        </w:rPr>
        <w:t>г.,</w:t>
      </w:r>
      <w:r w:rsidRPr="007224C3">
        <w:rPr>
          <w:rFonts w:ascii="Times New Roman" w:cs="Times New Roman"/>
          <w:color w:val="000000" w:themeColor="text1"/>
          <w:spacing w:val="0"/>
          <w:sz w:val="16"/>
          <w:szCs w:val="16"/>
        </w:rPr>
        <w:t xml:space="preserve"> </w:t>
      </w:r>
      <w:r w:rsidRPr="007224C3">
        <w:rPr>
          <w:rStyle w:val="1pt"/>
          <w:rFonts w:ascii="Times New Roman" w:cs="Times New Roman"/>
          <w:color w:val="000000" w:themeColor="text1"/>
          <w:spacing w:val="0"/>
          <w:sz w:val="16"/>
          <w:szCs w:val="16"/>
        </w:rPr>
        <w:t>из</w:t>
      </w:r>
      <w:r w:rsidRPr="007224C3">
        <w:rPr>
          <w:rFonts w:ascii="Times New Roman" w:cs="Times New Roman"/>
          <w:color w:val="000000" w:themeColor="text1"/>
          <w:spacing w:val="0"/>
          <w:sz w:val="16"/>
          <w:szCs w:val="16"/>
        </w:rPr>
        <w:t xml:space="preserve"> них 10 са</w:t>
      </w:r>
      <w:r w:rsidRPr="007224C3">
        <w:rPr>
          <w:rFonts w:ascii="Times New Roman" w:cs="Times New Roman"/>
          <w:color w:val="000000" w:themeColor="text1"/>
          <w:spacing w:val="0"/>
          <w:sz w:val="16"/>
          <w:szCs w:val="16"/>
        </w:rPr>
        <w:softHyphen/>
        <w:t>молетов оборудованных радиопо</w:t>
      </w:r>
      <w:r w:rsidRPr="007224C3">
        <w:rPr>
          <w:rFonts w:ascii="Times New Roman" w:cs="Times New Roman"/>
          <w:color w:val="000000" w:themeColor="text1"/>
          <w:spacing w:val="0"/>
          <w:sz w:val="16"/>
          <w:szCs w:val="16"/>
        </w:rPr>
        <w:softHyphen/>
        <w:t>лукомпасами.</w:t>
      </w:r>
    </w:p>
    <w:p w14:paraId="00E4A657" w14:textId="77777777" w:rsidR="00B21490" w:rsidRPr="007224C3" w:rsidRDefault="00B21490" w:rsidP="007224C3">
      <w:pPr>
        <w:pStyle w:val="36"/>
        <w:shd w:val="clear" w:color="auto" w:fill="auto"/>
        <w:spacing w:after="0"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2. ВВС КА - т.Новикову передать до 1 марта 1944 года Наркомавиапрому для переоборудования восемьдесят самолетов Як-9, прибывающих на завод № 301.</w:t>
      </w:r>
    </w:p>
    <w:p w14:paraId="5ECDFD5E" w14:textId="77777777" w:rsidR="00B21490" w:rsidRPr="007224C3" w:rsidRDefault="00B2149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Обязать Наркомфин СССР - т.Зверева выделить в рас</w:t>
      </w:r>
      <w:r w:rsidRPr="007224C3">
        <w:rPr>
          <w:rFonts w:ascii="Times New Roman" w:hAnsi="Times New Roman"/>
          <w:color w:val="000000" w:themeColor="text1"/>
          <w:sz w:val="16"/>
          <w:szCs w:val="16"/>
        </w:rPr>
        <w:softHyphen/>
        <w:t>поряжение Наркомавиапрома из резервного фонда СНК:</w:t>
      </w:r>
    </w:p>
    <w:p w14:paraId="1F7DF978" w14:textId="77777777" w:rsidR="00B21490" w:rsidRPr="007224C3" w:rsidRDefault="00B21490" w:rsidP="007224C3">
      <w:pPr>
        <w:tabs>
          <w:tab w:val="left" w:pos="743"/>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заводу № 115 на постройку самолета Як-9 бомбарди</w:t>
      </w:r>
      <w:r w:rsidRPr="007224C3">
        <w:rPr>
          <w:rFonts w:ascii="Times New Roman" w:hAnsi="Times New Roman"/>
          <w:color w:val="000000" w:themeColor="text1"/>
          <w:sz w:val="16"/>
          <w:szCs w:val="16"/>
        </w:rPr>
        <w:softHyphen/>
        <w:t>ровщик - 1,5 млн.рублей, в том числе для премирования ОКБ - т.Яковлева за разработку чертежей истребителя-бомбардировщика к 25 февраля 1944 года 150,0 тысяч рублей;</w:t>
      </w:r>
    </w:p>
    <w:p w14:paraId="3ED8348E" w14:textId="77777777" w:rsidR="00B21490" w:rsidRPr="007224C3" w:rsidRDefault="00B2149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для премирования работников серийного завода за выполнение работ в срок - 150,0 тысяч рублей (19442).</w:t>
      </w:r>
    </w:p>
    <w:p w14:paraId="0764FBC3" w14:textId="77777777" w:rsidR="00B21490" w:rsidRPr="007224C3" w:rsidRDefault="00B21490" w:rsidP="007224C3">
      <w:pPr>
        <w:autoSpaceDE w:val="0"/>
        <w:autoSpaceDN w:val="0"/>
        <w:adjustRightInd w:val="0"/>
        <w:spacing w:after="0" w:line="240" w:lineRule="auto"/>
        <w:jc w:val="both"/>
        <w:rPr>
          <w:rFonts w:ascii="Times New Roman" w:hAnsi="Times New Roman"/>
          <w:color w:val="000000" w:themeColor="text1"/>
          <w:sz w:val="16"/>
          <w:szCs w:val="16"/>
        </w:rPr>
      </w:pPr>
    </w:p>
    <w:p w14:paraId="481B28F4" w14:textId="77777777" w:rsidR="00B21490" w:rsidRPr="007224C3" w:rsidRDefault="00B21490"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февраля 1944 постановление ГКО N 5200 поручило сделать Як-9ДД (65,138) 80 в варианте истребителя сопровождения с дальностью 2000 км. на заводе 153 (953,86).</w:t>
      </w:r>
    </w:p>
    <w:p w14:paraId="54FEEC8F" w14:textId="77777777" w:rsidR="00B21490" w:rsidRPr="007224C3" w:rsidRDefault="00B21490"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C6149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февраля 1944 вышло Постановление ГКО № 5220 О выпуске самолетов Як-9 в варианте истребителей сопровождения с дальностью 2000 км. РГАНИР, Фонд ГКО, д. 211, лл. 4 (11012).</w:t>
      </w:r>
    </w:p>
    <w:p w14:paraId="1410111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476C4FFC" w14:textId="77777777" w:rsidR="00B21490" w:rsidRPr="007224C3" w:rsidRDefault="00B2149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февраля 1944 вышло Постановление ГКО № 5220 О выпуске самолетов Як-9 в варианте истребителей сопровождения с дальностью 2000 км</w:t>
      </w:r>
    </w:p>
    <w:p w14:paraId="21454BF8" w14:textId="77777777" w:rsidR="00B21490" w:rsidRPr="007224C3" w:rsidRDefault="00B21490"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Государственный Комитет Обороны постановляет:</w:t>
      </w:r>
    </w:p>
    <w:p w14:paraId="7A801F43" w14:textId="77777777" w:rsidR="00B21490" w:rsidRPr="007224C3" w:rsidRDefault="00B21490" w:rsidP="007224C3">
      <w:pPr>
        <w:pStyle w:val="47"/>
        <w:shd w:val="clear" w:color="auto" w:fill="auto"/>
        <w:tabs>
          <w:tab w:val="left" w:pos="1630"/>
        </w:tabs>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1. Обязать Наркомавиапром - т.Шахурина, т.Яковлева и директора завода № 153 - т.Лисицына изготовить и сдать ВВС КА восемьдесят самолетов Як-9 (на два полка) в варианте истребителя сопровождения, с сохранением максимальных скоро</w:t>
      </w:r>
      <w:r w:rsidRPr="007224C3">
        <w:rPr>
          <w:rFonts w:ascii="Times New Roman" w:hAnsi="Times New Roman" w:cs="Times New Roman"/>
          <w:color w:val="000000" w:themeColor="text1"/>
          <w:sz w:val="16"/>
          <w:szCs w:val="16"/>
        </w:rPr>
        <w:softHyphen/>
        <w:t>стей серийных самолетов Як-9.</w:t>
      </w:r>
    </w:p>
    <w:p w14:paraId="203C5A0F" w14:textId="77777777" w:rsidR="00B21490" w:rsidRPr="007224C3" w:rsidRDefault="00B21490" w:rsidP="007224C3">
      <w:pPr>
        <w:pStyle w:val="47"/>
        <w:shd w:val="clear" w:color="auto" w:fill="auto"/>
        <w:tabs>
          <w:tab w:val="left" w:pos="5263"/>
        </w:tabs>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Дальность самолета на наивыгоднейшей скорости - 2000 км.</w:t>
      </w:r>
    </w:p>
    <w:p w14:paraId="4657A9B8" w14:textId="77777777" w:rsidR="00B21490" w:rsidRPr="007224C3" w:rsidRDefault="00B21490"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Вооружение: одна пушка Швак калибра 20 мм и один пулемет Березина калибра 12,7 мм.</w:t>
      </w:r>
    </w:p>
    <w:p w14:paraId="2C16E17F" w14:textId="77777777" w:rsidR="00B21490" w:rsidRPr="007224C3" w:rsidRDefault="00B21490"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Срок поставки:</w:t>
      </w:r>
    </w:p>
    <w:p w14:paraId="04D57CF6" w14:textId="77777777" w:rsidR="00B21490" w:rsidRPr="007224C3" w:rsidRDefault="00B21490"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40 самолетов г- к 15 мая 1944 года 4С самолетов - к 15 июня 1944 года ИЗ этого числа 20 самолетов должны быть оборудованы радио</w:t>
      </w:r>
      <w:r w:rsidRPr="007224C3">
        <w:rPr>
          <w:rFonts w:ascii="Times New Roman" w:hAnsi="Times New Roman" w:cs="Times New Roman"/>
          <w:color w:val="000000" w:themeColor="text1"/>
          <w:sz w:val="16"/>
          <w:szCs w:val="16"/>
        </w:rPr>
        <w:softHyphen/>
        <w:t>полукомпасами РПК-10.</w:t>
      </w:r>
    </w:p>
    <w:p w14:paraId="0D27A936" w14:textId="77777777" w:rsidR="00B21490" w:rsidRPr="007224C3" w:rsidRDefault="00B21490" w:rsidP="007224C3">
      <w:pPr>
        <w:pStyle w:val="47"/>
        <w:shd w:val="clear" w:color="auto" w:fill="auto"/>
        <w:tabs>
          <w:tab w:val="left" w:pos="1630"/>
        </w:tabs>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2. Обязать Наркомфин СССР - т.Зверева выделить в распо</w:t>
      </w:r>
      <w:r w:rsidRPr="007224C3">
        <w:rPr>
          <w:rFonts w:ascii="Times New Roman" w:hAnsi="Times New Roman" w:cs="Times New Roman"/>
          <w:color w:val="000000" w:themeColor="text1"/>
          <w:sz w:val="16"/>
          <w:szCs w:val="16"/>
        </w:rPr>
        <w:softHyphen/>
        <w:t>ряжение Наркомавиапрома из резервного фонда СНК заводу № 115 на постройку самолета Як-9 истребитель сопровождения 1,5 млн. рублей, в том числе: для премирования ОКБ т.Яковлева эа раз</w:t>
      </w:r>
      <w:r w:rsidRPr="007224C3">
        <w:rPr>
          <w:rFonts w:ascii="Times New Roman" w:hAnsi="Times New Roman" w:cs="Times New Roman"/>
          <w:color w:val="000000" w:themeColor="text1"/>
          <w:sz w:val="16"/>
          <w:szCs w:val="16"/>
        </w:rPr>
        <w:softHyphen/>
        <w:t>работку чертежей истребителя сопровождения к 25 февраля 1944 года 100,0 тысяч рублей.</w:t>
      </w:r>
    </w:p>
    <w:p w14:paraId="459326CD" w14:textId="77777777" w:rsidR="00B21490" w:rsidRPr="007224C3" w:rsidRDefault="00B2149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премирования работников серийного вавода № 153 за выполнение работ в срок - 200,0 тысяч рублей (19443).</w:t>
      </w:r>
    </w:p>
    <w:p w14:paraId="39446A6D" w14:textId="77777777" w:rsidR="00B21490" w:rsidRPr="007224C3" w:rsidRDefault="00B21490" w:rsidP="007224C3">
      <w:pPr>
        <w:autoSpaceDE w:val="0"/>
        <w:autoSpaceDN w:val="0"/>
        <w:adjustRightInd w:val="0"/>
        <w:spacing w:after="0" w:line="240" w:lineRule="auto"/>
        <w:jc w:val="both"/>
        <w:rPr>
          <w:rFonts w:ascii="Times New Roman" w:hAnsi="Times New Roman"/>
          <w:color w:val="000000" w:themeColor="text1"/>
          <w:sz w:val="16"/>
          <w:szCs w:val="16"/>
        </w:rPr>
      </w:pPr>
    </w:p>
    <w:p w14:paraId="10B3BD4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февраля 1944 А.Г.Кубышкин на Ла-5 ФН эталон 1944 на 2 заходе со стороны Монино почувствовал перебои в работе мотора и еле-еле сел (817).</w:t>
      </w:r>
    </w:p>
    <w:p w14:paraId="5A7112E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EFE88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февраля 1944 у А.Г.Кубышкин Ла-5 М-82ФН "эталон 1944" над аэродромом Чкаловское при заходе со стороны Монино затрясло мотор и он перестал тянуть, но посадил машину благополучно (755).</w:t>
      </w:r>
    </w:p>
    <w:p w14:paraId="14B8B2D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B1277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февраля 1944 к Кубышкин А.Г. на Ла-5 с М-82ФН 2эталон 1944 г.) на аэродроме Чкаловская.</w:t>
      </w:r>
    </w:p>
    <w:p w14:paraId="0342C4E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втором заходе со стороны Монино на скорости 300 км/час почувствовал на слух изменившийся тон в работе мотора. Не доходя до конца базы л дал сектор газа немного вперед. Мотор сразу затрясло, из выхлопных патрубков появился белый дым и мотор почти совсем перестал тянуть. Л-к принял решение садиться. При подходе к земле во время посадки мотор совсем остановился. Посадка произведена благополучно и без пвреждения матчасти. При осмотре обнаружилась поломка шатунов в 2, 4, 6 и 8 цилендрах. В слитом из отстойника масле обнаружины куски метадда и куски поршневых колец.</w:t>
      </w:r>
    </w:p>
    <w:p w14:paraId="3388F49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Виновник: производственный дефект Мотор требует замены и восстановительного ремонта. Мотор передан в мастерские ТОМП для разборки и устранения причин аварии мотора. Отправлено письмо ГИ ИАС т. Репину. Акты разосланы заводам № 21 и 19 (755,3). </w:t>
      </w:r>
    </w:p>
    <w:p w14:paraId="281C057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09C6E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февраля 1944 в ходе гос. испытаний модернизированного Ла-5, произошел обрыв шатуна в двигателе, и летчику-испытателю А.Г.Кубышкину с трудом удалось посадить истребитель. Испытания возобновились 8 марта, после ремонта Ла-5. Когда большая часть программы была отработана, из-за производственного дефекта (плохая склейка) в воздухе разрушился 12-й шпангоут фюзеляжа, Кубышкин вновь сумел посадить поврежденный самолет. В отчете по испытаниям майор Кубышкин отметил, что значительно увеличилась горизонтальная скорость и скороподъемность, максимальная скорость достигла значения 680 км/ч на высоте 6250 м - лучший результат среди всех отечественных истребителей того времени. В то же время он указал и на недостатки "эталона 1944 г." - жара в кабине (+40-50° С), скапливание в кабине конденсата влаги, велики усилия на педалях, не предусмотрено быстрое покидание машины, отсутствует автоматика управления винто-моторной группой. Вывод Кубышкин сделал следующий: "Самолет по своим летным данным является одним из лучших истребителей. Необходимо форсировать серийную постройку с одновременным устранением вышеуказанных недостатков." (4707).</w:t>
      </w:r>
    </w:p>
    <w:p w14:paraId="502123C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664D2E"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20 февраля</w:t>
      </w:r>
      <w:r w:rsidRPr="007224C3">
        <w:rPr>
          <w:rFonts w:ascii="Times New Roman" w:hAnsi="Times New Roman"/>
          <w:color w:val="000000" w:themeColor="text1"/>
          <w:sz w:val="16"/>
          <w:szCs w:val="16"/>
        </w:rPr>
        <w:t xml:space="preserve"> в 1944 году (начало 16.02.44) оборвался один из шатунов мотора у проходившего государственные испытания в НИИ ВВС истребителя Ла-7 "эталон 1944 года". На ремонт ушло свыше двух недель. 22 марта из-за заводского брака на рулежке разрушился второй шпангоут. К этому времени удалось сделать лишь девять полетов, показавших, что максимальная скорость у земли возросла до 597 км/ч, на первой границе высотности (3250 м) - до 670 км/ч, а на второй (6000 м) - до 680 км/ч. Вертикальная скорость у земли составила 21 м/с, подъем на высоту 4000 м занимал 3,4 минуты. Ведущими по машине были инженер В.П.Алексеенко и летчик А.Г.Кубышкин (15046).</w:t>
      </w:r>
    </w:p>
    <w:p w14:paraId="49ABA6EA" w14:textId="77777777" w:rsidR="00E32A8C" w:rsidRPr="007224C3" w:rsidRDefault="00E32A8C" w:rsidP="007224C3">
      <w:pPr>
        <w:spacing w:after="0" w:line="240" w:lineRule="auto"/>
        <w:jc w:val="both"/>
        <w:rPr>
          <w:rFonts w:ascii="Times New Roman" w:hAnsi="Times New Roman"/>
          <w:color w:val="000000" w:themeColor="text1"/>
          <w:sz w:val="16"/>
          <w:szCs w:val="16"/>
        </w:rPr>
      </w:pPr>
    </w:p>
    <w:p w14:paraId="592F4A9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20 февраля 1944, в девятом полёте Ла-5ФН “эталон 1944”, оборвался шатун в моторе. Кубышкину удалось сесть. На ремонт ушло свыше двух недель, полёты возобновились 8 марта. А 22 марта из-за заводского брака (плохой склейки) на рулении разрушился 12-й шпангоут. Но основная программа испытаний к этому времени уже была отработана.</w:t>
      </w:r>
    </w:p>
    <w:p w14:paraId="064DEFD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мнению Кубышкина, управлять самолётом стало легче, и решили, что такое состояние вполне приемлемо, за исключением руля поворота, нагрузки от которого заметно ощущались при изменении режима работы мотора. Из- за отсутствия триммера на этом руле лётчику приходилось прикладывать значительные усилия, чтобы на взлёте удержать истребитель от разворота. Температура в кабине, доходившая позднее в жару до 40°С, приносила, конечно, пилоту неудобства. Из-за плохой вентиляции в кабине постоянно чувствовалось присутствие отработанных газов и запах горелой резины. Но в целом самолёт по своим данным мог считаться одним из лучших истребителей своего времени.</w:t>
      </w:r>
    </w:p>
    <w:p w14:paraId="76F76C5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выводах отчёта по государственным испытаниям отмечалось: "Модифицированный самолёт Ла-5 эталон 1944 г.... по максимальной скорости, скороподъёмности стоит на уровне лучших современных истребительных самолётов, находящихся на вооружении ВВС КА и иностранных государств". Специалисты НИИ ВВС знали, что говорили, - ведь через их руки проходили не только советские боевые машины, но и трофейные немецкие, а также самолёты, поступавшие из Великобритании и США.</w:t>
      </w:r>
    </w:p>
    <w:p w14:paraId="0D041FE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заключении того же отчёта было записано: "Заданные постановлением ГКО № 5404 от 15 марта 1944 г. для улучшенного Ла-5 максимальная скорость 685 км/ч на высоте 6000 м и полётный вес 3250 кг... практически достигнуты. Рекомендовать в серийное производство самолёт Ла-5 эталон 1944 г. (Ла-7), как имеющий значительные преимущества в лётных данных над... Ла-5, с устранением отмеченных дефектов. Так как на самолёте... установлены опытные пушки УБ-20, испытания которых не закончены в НИИ АВ ВВС, считать целесообразным выпускать самолёты с серийным вооружением, т.е. две пушки СП-20 с боезапасом 340 патронов" (11986).</w:t>
      </w:r>
    </w:p>
    <w:p w14:paraId="7248696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5EFFC29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20 февраля 1944 состояние опытного строительства на 21 заводе было следующим:</w:t>
      </w:r>
    </w:p>
    <w:p w14:paraId="14D933F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Ла-5 М-82ФН - истребитель дальнего сопровождения (строится силами серийного пр-ва). Дополнительные баки расположены в консолях - 96 л, за бронеспинкой - 140 л. Емкость крайних баков увеличена на 30 кг. Общее количество горючего - 620 кг. Срок выполнения работ - 1 марта 1944.</w:t>
      </w:r>
    </w:p>
    <w:p w14:paraId="6BAA352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Доводка серийнызх с-тов </w:t>
      </w:r>
    </w:p>
    <w:p w14:paraId="7BC7325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Изготовление чертежей на установку дополнительного бачка в системе дренажирования маслобака. Бачек устанвливается внутьри основного м/б. Он должен устранять выброс масла из системы дренажирования.</w:t>
      </w:r>
    </w:p>
    <w:p w14:paraId="23E37E4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Разрабатываются чертежи для для с-тов 39 типа и типа эталонг 1944 на установку автоматики управления Р-7 и газом. АРТЦ-43 и автомата переключения скоростей нагнетателя. Один комплект автомата переключения скоростей нагнетателя на з-д уже прибыл. </w:t>
      </w:r>
    </w:p>
    <w:p w14:paraId="69709D6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Приступили к изготовлению мягких б/б по ркеомендациям ВИАМа. Изготовление болванок баков и амортизатора. Отсутствие резины для бензостойкого слоя сдерживает сборкук баков.</w:t>
      </w:r>
    </w:p>
    <w:p w14:paraId="2053149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Выпущен с-т Ла-5Ф с индивидуальными выхлопными патрубками. Ожидается прирост скорости на 10-15 км/час</w:t>
      </w:r>
    </w:p>
    <w:p w14:paraId="2E49CA1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Результаты статиспытания6</w:t>
      </w:r>
    </w:p>
    <w:p w14:paraId="5FDA70A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Носки цп выдержали 95% установленной нагрузки.</w:t>
      </w:r>
    </w:p>
    <w:p w14:paraId="5A21900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Ранее она бралась завышенной, т.к. влияниу Су брали с учетом Ре</w:t>
      </w:r>
    </w:p>
    <w:p w14:paraId="549EA3E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Лагг-3 - 31 тип</w:t>
      </w:r>
    </w:p>
    <w:p w14:paraId="65027C1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Ла-7 - 37 тип</w:t>
      </w:r>
    </w:p>
    <w:p w14:paraId="2B5FF19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Ла-5Ф и ФН со срезаным гаргротом - 39 тип</w:t>
      </w:r>
    </w:p>
    <w:p w14:paraId="1AC35F1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Ла-5ФН с металлическими лонжеронами - 41 тип</w:t>
      </w:r>
    </w:p>
    <w:p w14:paraId="54246C5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Ла-7 - 45 тип</w:t>
      </w:r>
    </w:p>
    <w:p w14:paraId="145C53A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Ла-9 48 тип (738,15).</w:t>
      </w:r>
    </w:p>
    <w:p w14:paraId="350189D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1250C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февраля 1944 согласно журнала наблюдения за проектированием, постройкой и испытаниями МиГ-3 - по изд. Д - зам. Нач. 1ВА Московского фронта ПВО гас т. ? отказался принимать 6-й самолет серии “Д”, ссылаясь на недоведенность этой серии:</w:t>
      </w:r>
    </w:p>
    <w:p w14:paraId="34B1C14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с-т не позволяет производить посадку на 3 точки,</w:t>
      </w:r>
    </w:p>
    <w:p w14:paraId="22518D1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температурные режимы мотора не доведены,</w:t>
      </w:r>
    </w:p>
    <w:p w14:paraId="2D9EE80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наблюдается явление дрожания хвостовой части (992,12).</w:t>
      </w:r>
    </w:p>
    <w:p w14:paraId="4438164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36BAA0E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февраля 1944 г. в приказе НКАП описывается случай на заводе № 153. Там, во время испытательного полета на Як-7б летчик Ситников Г.Е. «обстрелял боевыми снарядами территорию железнодорожной станции "Заводская", причем один снаряд попал в здание школы». Подробности неизвестны, но за такую стрельбу пилот Ситников получил всего лишь строгий выговор (12049).</w:t>
      </w:r>
    </w:p>
    <w:p w14:paraId="30BC210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3C4BD239"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43CCB5E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F6AB5DC"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февраля 1944 вышло Распоряжение ГКО № 5218 [О мобилизации в Киевской, Черниговской и Полтавской обл. 2,4 тыс. допризывников для работ на Юго-Западной ж.д.] (7191, 1).</w:t>
      </w:r>
    </w:p>
    <w:p w14:paraId="5BCF7E14"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224B835"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февраля 1944 вышло Распоряжение ГКО № 5222 [О выделении 1050 военнообязанных, не годных к строевой службе, НКМФ СССР.] (7191, 9).</w:t>
      </w:r>
    </w:p>
    <w:p w14:paraId="15BB9529"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855F97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февраля 1944 вышло Постановление ГКО № 5223 Об обеспечении углем Ленинграда. РГАНИР, Фонд ГКО, д. 211, лл. 10 (11012).</w:t>
      </w:r>
    </w:p>
    <w:p w14:paraId="754F630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0197E55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февраля 1944 вышло Постановление ГКО № 5224 О восстановлении первой очереди торфопредприятий "Назия" треста "Ленгосторф" Наркомата электростанций. РГАНИР, Фонд ГКО, д. 211, лл. 11-16,17-20 (11012).</w:t>
      </w:r>
    </w:p>
    <w:p w14:paraId="3B46A2C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1FE0B55F"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0A9AB81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C95BF4B"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20 февраля</w:t>
      </w:r>
      <w:r w:rsidRPr="007224C3">
        <w:rPr>
          <w:rFonts w:ascii="Times New Roman" w:hAnsi="Times New Roman"/>
          <w:color w:val="000000" w:themeColor="text1"/>
          <w:sz w:val="16"/>
          <w:szCs w:val="16"/>
        </w:rPr>
        <w:t xml:space="preserve"> в 1944 году оперативная сводка Совинформбюро:</w:t>
      </w:r>
    </w:p>
    <w:p w14:paraId="47D89822"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20 февраля юго-западнее и южнее города Луга наши войска с боями продвигались вперёд и заняли населённые пункты Погорелово, Полосы, Записенье, Звягино, Милютино, Заполье, Большой и Малый Звад.</w:t>
      </w:r>
    </w:p>
    <w:p w14:paraId="5B511BCE"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Новгорода наши войска вели наступательные бои, в ходе которых овладели районным центром Ленинградской области и железнодорожной станцией Уторгош, а также заняли населённые пункты Медведь, Высоково, Ванец, Плосково, Брянская, Донец, Михалкино, Мшага Воскресенская, Сосницы, Углы.</w:t>
      </w:r>
    </w:p>
    <w:p w14:paraId="51A4844D"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Южнее озера Ильмень наши войска, продолжая развивать наступление, с боями заняли более 100 населённых пунктов, в том числе Ретле, Коростынь, Буреги,Псижа, Бахмутово, Горицы, Сельцо, Михалково, Чудиново, Личино, Шилова Гора, Свистуха, Верехново и железнодорожные станции Перетёрки, Парники.</w:t>
      </w:r>
    </w:p>
    <w:p w14:paraId="2F746F57"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 разведка, артиллерийско-миномётная перестрелка и в ряде пунктов бои местного значения.</w:t>
      </w:r>
    </w:p>
    <w:p w14:paraId="20E02FA1"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19 февраля наши войска на всех фронтах подбили и уничтожили 10 немецких танков. В воздушных боях и огнём зенитной артиллерии сбито 19 самолётов противника.</w:t>
      </w:r>
    </w:p>
    <w:p w14:paraId="538FF0DB"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и южнее города Луга наши войска с боями продвигались вперёд и заняли несколько населённых пунктов. Бойцы Н-ской части, выбив противника из одного населённого пункта, уничтожили 400 немецких солдат и офицеров. Отступая, немцы оставили 50 орудий, много станковых пулемётов и другого вооружения, большой обоз и десятки автомашин с военными грузами. На другом участке наши подразделения истребили до батальона немецкой пехоты и захватили трофеи и пленных.</w:t>
      </w:r>
    </w:p>
    <w:p w14:paraId="5417D255"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Новгорода наши войска, сломив сопротивление противника, овладели районным центром Ленинградской области и железнодорожной станцией Утортош. В бою за Утортош советские бойцы разгромили два полка немецкой пехоты, захватили много трофеев и пленных. Части Н-ского соединения переправились через реку Шелонь и стремительным ударом выбили гитлеровцев из нескольких населённых пунктов. На поле боя осталось свыше 600 вражеских трупов. Захвачены 23 орудия, 2 склада боеприпасов и склад с сапёрным имуществом. В другом районе наш подвижной отряд проник в тыл противника и уничтожил две роты гитлеровцев.</w:t>
      </w:r>
    </w:p>
    <w:p w14:paraId="30ECD960"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Южнее озера Ильмень наши войска, развивая наступление, заняли более 100 населённых пунктов и железнодорожные станции Перетёрки и Парники. Немцы,отступая под ударами советских войск, бросают технику и вооружение. На одном участке немецкие автоматчики, опираясь на сильно укреплённые узлы обороны, пытались задержать наши наступающие части, чтобы дать возможность своим основным силам привести себя в порядок. Советские войска обошли вражеские узлы обороны и </w:t>
      </w:r>
      <w:r w:rsidRPr="007224C3">
        <w:rPr>
          <w:rFonts w:ascii="Times New Roman" w:hAnsi="Times New Roman"/>
          <w:color w:val="000000" w:themeColor="text1"/>
          <w:sz w:val="16"/>
          <w:szCs w:val="16"/>
        </w:rPr>
        <w:lastRenderedPageBreak/>
        <w:t>продолжали продвигаться вперёд. Окружённые немецкие автоматчики общим числом до500 человек ночью были ликвидированы. Захвачено 9 противотанковых орудий, 70пулемётов, много автоматов и патронов.</w:t>
      </w:r>
    </w:p>
    <w:p w14:paraId="095C1131"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Ленинградские партизаны за пять дней взорвали и уничтожили свыше трёх тысяч железнодорожных рельсов, 5 мостов и 140 немецких автомашин и повозок с военными грузами. Из засад и в открытых боях советские патриоты истребили свыше батальона гитлеровцев. Огнём из противотанковых ружей и пулемётов сбито 3 немецких самолёта. Один отряд ленинградских партизан выбил немцев из двух населённых пунктов и удержал их в своих руках до подхода частей Красной Армии.</w:t>
      </w:r>
    </w:p>
    <w:p w14:paraId="2C0C4C0F"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Взятый в плен в районе Корсунь-Шевченковский врач немецкой танковой дивизии СС «Викинг» капитан Вальтер Михль сообщил: «Наш лазарет и перевязочный пункт были расположены в Корсуне. За период с 1 по 14 февраля к нам поступило 440 легко раненых солдат и офицеров. Тяжело раненые в лазарет не поступали. Мне известно, что офицеры, выполняя приказ Гитлера, пристреливали всех тяжелораненых немецких солдат. Немецкое командование пыталось вывезти офицеров из окружения на транспортных самолётах. Однако осуществление этой задачи было в значительной мере сорвано советскими лётчиками. На моих глазах русские истребители сожгли только что оторвавшиеся от земли четыре транспортных самолёта, на которых находилось около ста офицеров. Все они погибли».</w:t>
      </w:r>
    </w:p>
    <w:p w14:paraId="6ECEAB52"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Ниже публикуется акт о чудовищных злодеяниях немецко-фашистских мерзавцев на хуторе Камень, Полесской области: «Восьмого января 1944 года группа немецких солдат и офицеров на двух танках ворвалась в хутор Камень и учинила зверскую расправу над мирными жителями. Этот хутор был полностью сожжён немцами ещё весной 1943 года. Оставшиеся в живых жители ютились в шалашах и землянках. Немецкие танкисты с хода открыли огонь из пушек и пулемётов. Фашистские палачи не пощадили никого — ни стариков, ни старух, ни детей. В одной землянке погибли Акулина Воскевич и четверо детей в возрасте от одного года до 14 лет. В другой землянке были убиты Мария Сланевич, Анастасия Мартынович, Ольга Шевель — 14 лет, Леонид Шевель — 4 лет, Лора Шевель — 2 месяцев и другие. Нескольким жителям удалось убежать из хутора. Они хотели пробраться в лес. Немцы нагнали убегавших и долго мучили беззащитных людей. Всего только трём взрослым жителям хутора, подписавшим этот акт, и двум мальчикам удалось скрыться от немецких людоедов. Советские бойцы и командиры, вступив в Камень, увидели жуткую картину немецких зверств, не поддающихся описанию. Над трупами советских граждан, погибших от рук фашистских палачей, мы поклялись беспощадно мстить немецким извергам».</w:t>
      </w:r>
    </w:p>
    <w:p w14:paraId="098F5AC2"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Акт подписали: гвардии майор Стецюра, гвардии майор Свердликов, гвардии майор Козлов, гвардии красноармеец Шишкин, жители хутора Кузьма Воскевич, Ирина Копылова, Наталия Мастич.» (15046).</w:t>
      </w:r>
    </w:p>
    <w:p w14:paraId="5B998297" w14:textId="77777777" w:rsidR="00E32A8C" w:rsidRPr="007224C3" w:rsidRDefault="00E32A8C" w:rsidP="007224C3">
      <w:pPr>
        <w:spacing w:after="0" w:line="240" w:lineRule="auto"/>
        <w:jc w:val="both"/>
        <w:rPr>
          <w:rFonts w:ascii="Times New Roman" w:hAnsi="Times New Roman"/>
          <w:color w:val="000000" w:themeColor="text1"/>
          <w:sz w:val="16"/>
          <w:szCs w:val="16"/>
        </w:rPr>
      </w:pPr>
    </w:p>
    <w:p w14:paraId="2B33CAF3"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20 февраля</w:t>
      </w:r>
      <w:r w:rsidRPr="007224C3">
        <w:rPr>
          <w:rFonts w:ascii="Times New Roman" w:hAnsi="Times New Roman"/>
          <w:color w:val="000000" w:themeColor="text1"/>
          <w:sz w:val="16"/>
          <w:szCs w:val="16"/>
        </w:rPr>
        <w:t xml:space="preserve"> в 1944 году корабли и авиация Северного флота начали 2-ю комбинированную операцию на морских коммуникациях противника у побережья Северной Норвегии (15046).</w:t>
      </w:r>
    </w:p>
    <w:p w14:paraId="7CFD9BEC" w14:textId="77777777" w:rsidR="00E32A8C" w:rsidRPr="007224C3" w:rsidRDefault="00E32A8C" w:rsidP="007224C3">
      <w:pPr>
        <w:spacing w:after="0" w:line="240" w:lineRule="auto"/>
        <w:jc w:val="both"/>
        <w:rPr>
          <w:rFonts w:ascii="Times New Roman" w:hAnsi="Times New Roman"/>
          <w:color w:val="000000" w:themeColor="text1"/>
          <w:sz w:val="16"/>
          <w:szCs w:val="16"/>
        </w:rPr>
      </w:pPr>
    </w:p>
    <w:p w14:paraId="2853B02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февраля 1944 на аэродроме Гатов, около юго-западной окраины Берлина, сформировали секретную эскадру KG200. Ее штаб был создан на основе опытного подразделения Главного командования Люфтваффе (Versuchsverband Ob.d.E.). Тогда же на аэродроме Финов, в 45 км северо-восточнее Берлина, на базе авиагруппы «Гартенфельд» сформировали 1-ю группу KG200, позднее в мае в Дедельсдорфе была сформирована 2-я группа эскадры. Формально KG200 входила в состав бомбардировочной авиации, однако поскольку эскадра предназначалась для выполнения различных специальных и секретных заданий, то она получила на вооружение самые разные типы самолетов. Ее штабное звено было оснащено двухмоторными Ju-188 и четырехмоторными FW-200 «Кондор». 1-я эскадрилья, предназначавшаяся для полетов на большие расстояния, использовала транспортные самолеты Ju-252, Ju-352, а также «Арадо» Аг-232 и четырехмоторные Ju-290. Аг-232 «Многоножка» был создан еще в 1941 г. специально для действий с неподготовленных грунтовых площадок. Конструкция этого транспортного самолета была поистине уникальной. Помимо основных шасси, он имел в нижней части фюзеляжа 11 пар небольших колес, на которые при необходимости надевались специальные каучуковые гусеницы. При посадке на них транспортник мог преодолевать канавы и ямы шириной до полутора метров, что для других машин того времени заканчивалось неизбежной катастрофой. Основное шасси состояло из полуубираемой носовой стойки и убираемых в крыло основных стоек. Последние имели возможность поджиматься на время погрузочно-разгрузочных работ. При этом самолет опускался на колеса дополнительных шасси, и задний грузовой люк оказывался на уровне кузова грузовика. После окончания работ основные стойки шасси поднимали самолет так, чтобы при взлете дополнительные шасси не касались земли. Фактически «Арадо-232» имел отдельные взлетные и посадочные шасси! Самолет мог перевозить до семи тонн грузов, причем в грузовой отсек могли поместиться несколько мотоциклов и даже легковой автомобиль. Общий взлетный вес машины мог составлять до 20 т при дальности полета 1300 км. НедостаткомАг-232, как и всех транспортников, была низкая скорость – не более 300 км/ч. Поэтому для защиты от истребителей на нем установили один 13-мм пулемет в носовой части, два таких же – в задней кабине и одну 20-мм пушку MG151 – в верхней башне. Первые два опытных экземпляра принимали участие в снабжении 6-й армии в Сталинграде, затем, после ввода в строй еще трех самолетов, они использовались на Восточном фронте в интересах Главного командования Люфтваффе. При этом за весь 1943 г. не было потеряно ни одной машины. И вот в феврале 1944 г. все пять «Многоножек» поступили в распоряжение эскадры KG200. Ju-290 был сконструирован в 1942 г. как модификация бомбардировщика «Юнкерс-90». Огромный самолет длиной 42 м весил 45 т и мог летать со скоростью 440 км/ч. 2-я эскадрилья использовала транспортные Ju-52, бомбардировщики Ju-88, Ju-188 и Do-217, а также трофейные В-17 «Летающая Крепость» и В-24 «Либерейтор». 3-я эскадрилья предназначалась для действий над морем, поэтому ее пилоты летали на гидросамолетах самых разных типов, от допотопного биплана Не-59 до шестимоторной летающей лодки «Блом унд Фосс» BW-222. Это чудище длиной 46 м и размахом крыльев 36 м весило почти 50 т! 4-я эскадрилья была оснащена различными легкими самолетами. И наконец, II./KG200 получила на вооружение старые бомбардировщики Не-111, а также буксировщики планеров He-lllZ, истребители FW-190, планеры Go-242 и др. машины. В общей сложности на вооружении секретной эскадры находилось 26 типов самолетов!</w:t>
      </w:r>
    </w:p>
    <w:p w14:paraId="2D99DF7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Несмотря на то что фронт откатывался все дальше на запад, спецслужбы Третьего рейха продолжали десятками забрасывать шпионов и диверсантов в советский тыл, в т.ч. и в районы Поволжья. Агентам ставились задачи по дестабилизации обстановки в тылу, проведению профашистской пропаганды и распространению соответствующих печатных материалов, созданию бандформирований из числа уголовных элементов и дезертиров.</w:t>
      </w:r>
    </w:p>
    <w:p w14:paraId="031E0E5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После сокращенного курса подготовки шпионов на различных самолетах KG200 по ночам забрасывали в лесные и малонаселенные районы, где им легче было раствориться на местности. Поскольку Поволжье от линии фронта отделяли от 700 до 1000 км, полет транспортного самолета многократно фиксировался постами ВНОС и РЛС, и рассчитывать на полную внезапность, как то бывало ранее, не приходилось. Тем не менее немцы, видимо, полагая, что на дворе по-прежнему 1942 г., продолжали совершать полеты в Поволжье даже в светлое время суток (11774).</w:t>
      </w:r>
    </w:p>
    <w:p w14:paraId="331968C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70D5DBE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20-го февраля 1944 в районе Таллина П.А. Колесник атаковал небольшой конвой и доложил о потоплении «5000-тонного транспорта», а 29-го своей второй победы добился старший лейтенант А.З.Большаков. Ему удалось атаковать небольшое одиночное судно севернее мыса Тахкуна. Подтверждений не на одну из атак нет. Тем не менее, противник серьезно обеспокоился началом нового наступления на свои коммуникации и предпринял эффективные меры противодействия, из которых в первую очередь необходимо отметить патрулирование ночных истребителей с РЛС в районе Таллинна (9965).</w:t>
      </w:r>
    </w:p>
    <w:p w14:paraId="576251E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71ED3095"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Жизнь и внутренняя политика:</w:t>
      </w:r>
    </w:p>
    <w:p w14:paraId="336DB54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2CFFCB3"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февраля 1944 в Киеве состоялся антифашистский митинг (4962).</w:t>
      </w:r>
    </w:p>
    <w:p w14:paraId="501E1054"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C655449" w14:textId="77777777" w:rsidR="00E32A8C"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Внешняя политика:</w:t>
      </w:r>
    </w:p>
    <w:p w14:paraId="465F5254" w14:textId="77777777" w:rsidR="00E32A8C" w:rsidRPr="007224C3" w:rsidRDefault="00E32A8C"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1E64A3D"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20 февраля</w:t>
      </w:r>
      <w:r w:rsidRPr="007224C3">
        <w:rPr>
          <w:rFonts w:ascii="Times New Roman" w:hAnsi="Times New Roman"/>
          <w:color w:val="000000" w:themeColor="text1"/>
          <w:sz w:val="16"/>
          <w:szCs w:val="16"/>
        </w:rPr>
        <w:t xml:space="preserve"> в 1944 году У.Черчилль в личном послании И.В.Сталину добивался согласия отложить вопрос о восточных границах Польши на послевоенное время и признания польского эмигрантского правительства в его текущем составе (15046).</w:t>
      </w:r>
    </w:p>
    <w:p w14:paraId="0ABAEB51" w14:textId="77777777" w:rsidR="00E32A8C" w:rsidRPr="007224C3" w:rsidRDefault="00E32A8C" w:rsidP="007224C3">
      <w:pPr>
        <w:spacing w:after="0" w:line="240" w:lineRule="auto"/>
        <w:jc w:val="both"/>
        <w:rPr>
          <w:rFonts w:ascii="Times New Roman" w:hAnsi="Times New Roman"/>
          <w:color w:val="000000" w:themeColor="text1"/>
          <w:sz w:val="16"/>
          <w:szCs w:val="16"/>
        </w:rPr>
      </w:pPr>
    </w:p>
    <w:p w14:paraId="3FE23E25"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7224C3">
        <w:rPr>
          <w:rFonts w:ascii="Times New Roman" w:hAnsi="Times New Roman"/>
          <w:i/>
          <w:iCs/>
          <w:color w:val="000000" w:themeColor="text1"/>
          <w:sz w:val="16"/>
          <w:szCs w:val="16"/>
        </w:rPr>
        <w:t>За</w:t>
      </w:r>
      <w:r w:rsidRPr="007224C3">
        <w:rPr>
          <w:rFonts w:ascii="Times New Roman" w:hAnsi="Times New Roman"/>
          <w:i/>
          <w:iCs/>
          <w:color w:val="000000" w:themeColor="text1"/>
          <w:sz w:val="16"/>
          <w:szCs w:val="16"/>
          <w:lang w:val="en-US"/>
        </w:rPr>
        <w:t xml:space="preserve"> </w:t>
      </w:r>
      <w:r w:rsidRPr="007224C3">
        <w:rPr>
          <w:rFonts w:ascii="Times New Roman" w:hAnsi="Times New Roman"/>
          <w:i/>
          <w:iCs/>
          <w:color w:val="000000" w:themeColor="text1"/>
          <w:sz w:val="16"/>
          <w:szCs w:val="16"/>
        </w:rPr>
        <w:t>рубежом</w:t>
      </w:r>
      <w:r w:rsidRPr="007224C3">
        <w:rPr>
          <w:rFonts w:ascii="Times New Roman" w:hAnsi="Times New Roman"/>
          <w:i/>
          <w:iCs/>
          <w:color w:val="000000" w:themeColor="text1"/>
          <w:sz w:val="16"/>
          <w:szCs w:val="16"/>
          <w:lang w:val="en-US"/>
        </w:rPr>
        <w:t>:</w:t>
      </w:r>
    </w:p>
    <w:p w14:paraId="6576E25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1CD6EA3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20 February 1944 Major US daylight raids on Germany resumed (270).</w:t>
      </w:r>
    </w:p>
    <w:p w14:paraId="7BE4376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D2ECBE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February 20, 1944: 970 bombers of the US 8th Air Force carry out attacks against Hamburg, Leipzig and Braunschweig (3819).</w:t>
      </w:r>
    </w:p>
    <w:p w14:paraId="07503FA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3E5D6A8" w14:textId="77777777" w:rsidR="00712C09" w:rsidRPr="007224C3" w:rsidRDefault="00712C09"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20 февраля 1944 Восьмая армия ВВС начала операции Аргумент, шестидневную кампания, предполагающую масштабные нападения на немецкую авиационную промышленности и уничтожение самолетов люфтваффе в воздушном бою. Позже операция стала неофициально именоваться «Большая неделя». В первый день 1003 бомбардировщика Восьмой армии ВВС в сопровождении 835 истребителей нанесли удар по целям в Германии, включая аэродром Лейпциг - Моккау, аэродром Тутов, Абнаундорф, Бернбург, Брауншвейг, Гота, Хайтерблик, Нойпетритор, Ошерслебен, Росток и Вильгельмстор. Слюзники потеряли 21 бомбардировщик и четыре истребителя и заявляют, что 126 немецких самолетов сбиты, 40 вероятно сбиты и 66 повреждены в воздушных боях.</w:t>
      </w:r>
    </w:p>
    <w:p w14:paraId="3368CFE3" w14:textId="77777777" w:rsidR="00712C09" w:rsidRPr="007224C3" w:rsidRDefault="00712C09" w:rsidP="007224C3">
      <w:pPr>
        <w:spacing w:after="0" w:line="240" w:lineRule="auto"/>
        <w:jc w:val="both"/>
        <w:rPr>
          <w:rFonts w:ascii="Times New Roman" w:hAnsi="Times New Roman"/>
          <w:color w:val="0070C0"/>
          <w:sz w:val="16"/>
          <w:szCs w:val="16"/>
        </w:rPr>
      </w:pPr>
    </w:p>
    <w:p w14:paraId="4DA659C3" w14:textId="77777777" w:rsidR="00712C09" w:rsidRPr="007224C3" w:rsidRDefault="00712C09"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 xml:space="preserve">20 февраля 1944 - Стал первым из пяти дней скоординированных нападений USAAF и RAF на немецкую авиационную промышленность. Эти налеты историки позже назвали "The Big Week" - "Большая Неделя". В этот день имел место первый налет тысячи самолетов на заводы по производству истребителей в Брунсвике, </w:t>
      </w:r>
      <w:r w:rsidRPr="007224C3">
        <w:rPr>
          <w:rFonts w:ascii="Times New Roman" w:hAnsi="Times New Roman"/>
          <w:color w:val="0070C0"/>
          <w:sz w:val="16"/>
          <w:szCs w:val="16"/>
        </w:rPr>
        <w:lastRenderedPageBreak/>
        <w:t>Oschersleben, Бернберге и Лейпциге. За время Big Week было потеряно 244 тяжелых бомбардировщика В-17 и В-24 и 33 истребителя эскорта. Однако эти набеги сыграли важную роль в сокращении сил Люфтваффе и облегчили высадку союзников в Нормандии. Ухудшившиеся метеорологические условия положили конец Big Week. Но после этих налетов Люфтваффе оправиться уже не смогли (22592).</w:t>
      </w:r>
    </w:p>
    <w:p w14:paraId="01CE6D01" w14:textId="77777777" w:rsidR="00712C09" w:rsidRPr="007224C3" w:rsidRDefault="00712C09" w:rsidP="007224C3">
      <w:pPr>
        <w:spacing w:after="0" w:line="240" w:lineRule="auto"/>
        <w:jc w:val="both"/>
        <w:rPr>
          <w:rFonts w:ascii="Times New Roman" w:hAnsi="Times New Roman"/>
          <w:color w:val="0070C0"/>
          <w:sz w:val="16"/>
          <w:szCs w:val="16"/>
        </w:rPr>
      </w:pPr>
    </w:p>
    <w:p w14:paraId="2CA66CB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February 20, 1944. The first mission of "Big Week" - six days of strikes by Eighth Air Force (based in England) and Fifteenth Air Force (based in Italy) against German aircraft plants--is flown (1089).</w:t>
      </w:r>
    </w:p>
    <w:p w14:paraId="07A679A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6AD03A0" w14:textId="77777777" w:rsidR="00712C09" w:rsidRPr="007224C3" w:rsidRDefault="00712C09"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20–21 февраля (ночь) 1944 598 британских бомбардировщиков наносят удар по Штутгарту, Германия, в результате чего из-за отвлечения немецких ночных истребителей было потеряно только девять самолетов (1,5% сил), хотя еще пять бомбардировщиков разбиваются по возвращении в Англию.</w:t>
      </w:r>
    </w:p>
    <w:p w14:paraId="0670D53D" w14:textId="77777777" w:rsidR="00712C09" w:rsidRPr="007224C3" w:rsidRDefault="00712C09" w:rsidP="007224C3">
      <w:pPr>
        <w:spacing w:after="0" w:line="240" w:lineRule="auto"/>
        <w:jc w:val="both"/>
        <w:rPr>
          <w:rFonts w:ascii="Times New Roman" w:hAnsi="Times New Roman"/>
          <w:color w:val="0070C0"/>
          <w:sz w:val="16"/>
          <w:szCs w:val="16"/>
        </w:rPr>
      </w:pPr>
    </w:p>
    <w:p w14:paraId="18960A8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февраля 1944 возобновились дневные налеты авиации США на Германию (270) и 8ВА из Англии и 15ВА из Италии выполнили удары по немецким авиазаводам (1089).</w:t>
      </w:r>
    </w:p>
    <w:p w14:paraId="4F1FD25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D50489"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20 февраля</w:t>
      </w:r>
      <w:r w:rsidRPr="007224C3">
        <w:rPr>
          <w:rFonts w:ascii="Times New Roman" w:hAnsi="Times New Roman"/>
          <w:color w:val="000000" w:themeColor="text1"/>
          <w:sz w:val="16"/>
          <w:szCs w:val="16"/>
        </w:rPr>
        <w:t xml:space="preserve"> в 1944 году (20–25 февраля) воздушная операция англо-американских стратегических ВВС против авиационных заводов Германии (15046).</w:t>
      </w:r>
    </w:p>
    <w:p w14:paraId="111BC6B3" w14:textId="77777777" w:rsidR="00E32A8C" w:rsidRPr="007224C3" w:rsidRDefault="00E32A8C" w:rsidP="007224C3">
      <w:pPr>
        <w:spacing w:after="0" w:line="240" w:lineRule="auto"/>
        <w:jc w:val="both"/>
        <w:rPr>
          <w:rFonts w:ascii="Times New Roman" w:hAnsi="Times New Roman"/>
          <w:color w:val="000000" w:themeColor="text1"/>
          <w:sz w:val="16"/>
          <w:szCs w:val="16"/>
        </w:rPr>
      </w:pPr>
    </w:p>
    <w:p w14:paraId="71A28D14"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20 февраля</w:t>
      </w:r>
      <w:r w:rsidRPr="007224C3">
        <w:rPr>
          <w:rFonts w:ascii="Times New Roman" w:hAnsi="Times New Roman"/>
          <w:color w:val="000000" w:themeColor="text1"/>
          <w:sz w:val="16"/>
          <w:szCs w:val="16"/>
        </w:rPr>
        <w:t xml:space="preserve"> в 1944 году стал первым из пяти дней скоординированных нападений USAAF и RAF на немецкую авиационную промышленность. Эти налеты историки позже назвали "The Big Week" - "Большая Неделя". В этот день имел место первый налет тысячи самолетов на заводы по производству истребителей в Брунсвике, Oschersleben, Бернберге и Лейпциге. За время «Big Week» было потеряно 244 тяжелых бомбардировщика «В-17» и «В-24» и 33 истребителя эскорта. Однако эти набеги сыграли важную роль в сокращении сил Люфтваффе и облегчили высадку союзников в Нормандии. Ухудшившиеся метеорологические условия положили конец «Big Week». Но после этих налетов Люфтваффе оправиться уже не смогли (15046).</w:t>
      </w:r>
    </w:p>
    <w:p w14:paraId="040B201F" w14:textId="77777777" w:rsidR="00E32A8C" w:rsidRPr="007224C3" w:rsidRDefault="00E32A8C" w:rsidP="007224C3">
      <w:pPr>
        <w:spacing w:after="0" w:line="240" w:lineRule="auto"/>
        <w:jc w:val="both"/>
        <w:rPr>
          <w:rFonts w:ascii="Times New Roman" w:hAnsi="Times New Roman"/>
          <w:color w:val="000000" w:themeColor="text1"/>
          <w:sz w:val="16"/>
          <w:szCs w:val="16"/>
        </w:rPr>
      </w:pPr>
    </w:p>
    <w:p w14:paraId="39DBEF72"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20 февраля</w:t>
      </w:r>
      <w:r w:rsidRPr="007224C3">
        <w:rPr>
          <w:rFonts w:ascii="Times New Roman" w:hAnsi="Times New Roman"/>
          <w:color w:val="000000" w:themeColor="text1"/>
          <w:sz w:val="16"/>
          <w:szCs w:val="16"/>
        </w:rPr>
        <w:t xml:space="preserve"> в 1944 году массированный авианалет британских ВВС на Лейпциг (15046).</w:t>
      </w:r>
    </w:p>
    <w:p w14:paraId="457DCC5E" w14:textId="77777777" w:rsidR="00E32A8C" w:rsidRPr="007224C3" w:rsidRDefault="00E32A8C" w:rsidP="007224C3">
      <w:pPr>
        <w:spacing w:after="0" w:line="240" w:lineRule="auto"/>
        <w:jc w:val="both"/>
        <w:rPr>
          <w:rFonts w:ascii="Times New Roman" w:hAnsi="Times New Roman"/>
          <w:color w:val="000000" w:themeColor="text1"/>
          <w:sz w:val="16"/>
          <w:szCs w:val="16"/>
        </w:rPr>
      </w:pPr>
    </w:p>
    <w:p w14:paraId="061617D4"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20 февраля</w:t>
      </w:r>
      <w:r w:rsidRPr="007224C3">
        <w:rPr>
          <w:rFonts w:ascii="Times New Roman" w:hAnsi="Times New Roman"/>
          <w:color w:val="000000" w:themeColor="text1"/>
          <w:sz w:val="16"/>
          <w:szCs w:val="16"/>
        </w:rPr>
        <w:t xml:space="preserve"> в 1944 году восточным формированиям в составе вермахта предписано носить немецкую форму со знаками различия РОА, УОВ и других национальных легионов (15046).</w:t>
      </w:r>
    </w:p>
    <w:p w14:paraId="189CE627" w14:textId="77777777" w:rsidR="00E32A8C" w:rsidRPr="007224C3" w:rsidRDefault="00E32A8C" w:rsidP="007224C3">
      <w:pPr>
        <w:spacing w:after="0" w:line="240" w:lineRule="auto"/>
        <w:jc w:val="both"/>
        <w:rPr>
          <w:rFonts w:ascii="Times New Roman" w:hAnsi="Times New Roman"/>
          <w:color w:val="000000" w:themeColor="text1"/>
          <w:sz w:val="16"/>
          <w:szCs w:val="16"/>
        </w:rPr>
      </w:pPr>
    </w:p>
    <w:p w14:paraId="56361A3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февраля 1944 диверсанты взорвали мост, по которому в Германию перевозили тяжелую воду (3907,248).</w:t>
      </w:r>
    </w:p>
    <w:p w14:paraId="74999F9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8BCF8D"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20 февраля</w:t>
      </w:r>
      <w:r w:rsidRPr="007224C3">
        <w:rPr>
          <w:rFonts w:ascii="Times New Roman" w:hAnsi="Times New Roman"/>
          <w:color w:val="000000" w:themeColor="text1"/>
          <w:sz w:val="16"/>
          <w:szCs w:val="16"/>
        </w:rPr>
        <w:t xml:space="preserve"> в 1944 году диверсионный отряд на озере Тиннсьё в Норвегии взрывает переправу, по которой перевозили в Германию "тяжелую" воду для атомных исследований (15046).</w:t>
      </w:r>
    </w:p>
    <w:p w14:paraId="42A62585" w14:textId="77777777" w:rsidR="00E32A8C" w:rsidRPr="007224C3" w:rsidRDefault="00E32A8C" w:rsidP="007224C3">
      <w:pPr>
        <w:spacing w:after="0" w:line="240" w:lineRule="auto"/>
        <w:jc w:val="both"/>
        <w:rPr>
          <w:rFonts w:ascii="Times New Roman" w:hAnsi="Times New Roman"/>
          <w:color w:val="000000" w:themeColor="text1"/>
          <w:sz w:val="16"/>
          <w:szCs w:val="16"/>
        </w:rPr>
      </w:pPr>
    </w:p>
    <w:p w14:paraId="7AFA3C39"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6CE55FE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69CEAE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 февраля 1944 вышел приказ НКАП N 121с</w:t>
      </w:r>
    </w:p>
    <w:p w14:paraId="3CEB51A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целях организации агрегатного завода по производству металлического крыла стрельчатой конструкции самолета Ил-2:</w:t>
      </w:r>
    </w:p>
    <w:p w14:paraId="2AA7D83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Завод 64 6 ГУ передать в ведение 10 ГУ</w:t>
      </w:r>
    </w:p>
    <w:p w14:paraId="041FB04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Нач. 10 ГУ, зам. наркома Кузнецову и директору завода 64 Сердюк организовать на заводе 64 в Воронеже производство металлических крыльев самолета Ил-2</w:t>
      </w:r>
    </w:p>
    <w:p w14:paraId="4EBB0B0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Директору завода 64 обеспечить выпуск металлических крыльев самолета Ил-2 в 1944 в след. количестве:</w:t>
      </w:r>
    </w:p>
    <w:p w14:paraId="78A401C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стрельчатой конструкции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5106D0" w:rsidRPr="007224C3" w14:paraId="03F147F6" w14:textId="77777777">
        <w:tc>
          <w:tcPr>
            <w:tcW w:w="5636" w:type="dxa"/>
          </w:tcPr>
          <w:p w14:paraId="46E6475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июнь</w:t>
            </w:r>
          </w:p>
        </w:tc>
        <w:tc>
          <w:tcPr>
            <w:tcW w:w="5636" w:type="dxa"/>
          </w:tcPr>
          <w:p w14:paraId="0B4C29E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комплектов</w:t>
            </w:r>
          </w:p>
        </w:tc>
      </w:tr>
      <w:tr w:rsidR="005106D0" w:rsidRPr="007224C3" w14:paraId="2EF807E0" w14:textId="77777777">
        <w:tc>
          <w:tcPr>
            <w:tcW w:w="5636" w:type="dxa"/>
          </w:tcPr>
          <w:p w14:paraId="5A625A3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июль</w:t>
            </w:r>
          </w:p>
        </w:tc>
        <w:tc>
          <w:tcPr>
            <w:tcW w:w="5636" w:type="dxa"/>
          </w:tcPr>
          <w:p w14:paraId="0A2B01F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w:t>
            </w:r>
          </w:p>
        </w:tc>
      </w:tr>
      <w:tr w:rsidR="005106D0" w:rsidRPr="007224C3" w14:paraId="51E3DC1B" w14:textId="77777777">
        <w:tc>
          <w:tcPr>
            <w:tcW w:w="5636" w:type="dxa"/>
          </w:tcPr>
          <w:p w14:paraId="7C52E25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август</w:t>
            </w:r>
          </w:p>
        </w:tc>
        <w:tc>
          <w:tcPr>
            <w:tcW w:w="5636" w:type="dxa"/>
          </w:tcPr>
          <w:p w14:paraId="12C2AFE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36</w:t>
            </w:r>
          </w:p>
        </w:tc>
      </w:tr>
      <w:tr w:rsidR="005106D0" w:rsidRPr="007224C3" w14:paraId="44CD57EB" w14:textId="77777777">
        <w:tc>
          <w:tcPr>
            <w:tcW w:w="5636" w:type="dxa"/>
          </w:tcPr>
          <w:p w14:paraId="2D7FDCD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сентябрь</w:t>
            </w:r>
          </w:p>
        </w:tc>
        <w:tc>
          <w:tcPr>
            <w:tcW w:w="5636" w:type="dxa"/>
          </w:tcPr>
          <w:p w14:paraId="1D46EBB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66</w:t>
            </w:r>
          </w:p>
        </w:tc>
      </w:tr>
      <w:tr w:rsidR="005106D0" w:rsidRPr="007224C3" w14:paraId="22FFE4BF" w14:textId="77777777">
        <w:tc>
          <w:tcPr>
            <w:tcW w:w="5636" w:type="dxa"/>
          </w:tcPr>
          <w:p w14:paraId="14B2B20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октябрь</w:t>
            </w:r>
          </w:p>
        </w:tc>
        <w:tc>
          <w:tcPr>
            <w:tcW w:w="5636" w:type="dxa"/>
          </w:tcPr>
          <w:p w14:paraId="26659B3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145</w:t>
            </w:r>
          </w:p>
        </w:tc>
      </w:tr>
    </w:tbl>
    <w:p w14:paraId="4DF7387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доведением выпуска крыльев на 1 ноября до 6 комплектов в сутки</w:t>
      </w:r>
    </w:p>
    <w:p w14:paraId="203E3F9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существующей конструкции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5106D0" w:rsidRPr="007224C3" w14:paraId="4F83A7D6" w14:textId="77777777">
        <w:tc>
          <w:tcPr>
            <w:tcW w:w="5636" w:type="dxa"/>
          </w:tcPr>
          <w:p w14:paraId="0F196DB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май</w:t>
            </w:r>
          </w:p>
        </w:tc>
        <w:tc>
          <w:tcPr>
            <w:tcW w:w="5636" w:type="dxa"/>
          </w:tcPr>
          <w:p w14:paraId="5D92459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комплектов</w:t>
            </w:r>
          </w:p>
        </w:tc>
      </w:tr>
      <w:tr w:rsidR="005106D0" w:rsidRPr="007224C3" w14:paraId="3F184D77" w14:textId="77777777">
        <w:tc>
          <w:tcPr>
            <w:tcW w:w="5636" w:type="dxa"/>
          </w:tcPr>
          <w:p w14:paraId="08CAA69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июнь</w:t>
            </w:r>
          </w:p>
        </w:tc>
        <w:tc>
          <w:tcPr>
            <w:tcW w:w="5636" w:type="dxa"/>
          </w:tcPr>
          <w:p w14:paraId="6166C82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w:t>
            </w:r>
          </w:p>
        </w:tc>
      </w:tr>
      <w:tr w:rsidR="005106D0" w:rsidRPr="007224C3" w14:paraId="7B40B6EC" w14:textId="77777777">
        <w:tc>
          <w:tcPr>
            <w:tcW w:w="5636" w:type="dxa"/>
          </w:tcPr>
          <w:p w14:paraId="22609FE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июль</w:t>
            </w:r>
          </w:p>
        </w:tc>
        <w:tc>
          <w:tcPr>
            <w:tcW w:w="5636" w:type="dxa"/>
          </w:tcPr>
          <w:p w14:paraId="6FE33A4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w:t>
            </w:r>
          </w:p>
        </w:tc>
      </w:tr>
      <w:tr w:rsidR="005106D0" w:rsidRPr="007224C3" w14:paraId="26F928D0" w14:textId="77777777">
        <w:tc>
          <w:tcPr>
            <w:tcW w:w="5636" w:type="dxa"/>
          </w:tcPr>
          <w:p w14:paraId="7CB66DD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август</w:t>
            </w:r>
          </w:p>
        </w:tc>
        <w:tc>
          <w:tcPr>
            <w:tcW w:w="5636" w:type="dxa"/>
          </w:tcPr>
          <w:p w14:paraId="7DA1103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w:t>
            </w:r>
          </w:p>
        </w:tc>
      </w:tr>
    </w:tbl>
    <w:p w14:paraId="3F9F8B0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 до конца года по 50 комплектов в месяц</w:t>
      </w:r>
    </w:p>
    <w:p w14:paraId="66A47E3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Производство металлического крыла стрельчатой конструкции самолета Ил-2 на заводе 64 организовать по технологии завода 30 (1662,4).</w:t>
      </w:r>
    </w:p>
    <w:p w14:paraId="4F8B613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1E702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 февраля 1944 завод 64 перевели в разряд агрегатных и он стал делать крылья для Ил-2 (236,42).</w:t>
      </w:r>
    </w:p>
    <w:p w14:paraId="77C044F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23245B" w14:textId="77777777" w:rsidR="0047055E" w:rsidRPr="007224C3" w:rsidRDefault="0047055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 февраля 1944 года Согласно приказа НКАП завод 64 в Воронеже получил задание изготовлять агрегаты (крылья) самолета ИЛ-2, этим же приказом завод переведен в разряд агрегатных заводов второй категории (19829).</w:t>
      </w:r>
    </w:p>
    <w:p w14:paraId="2D368283" w14:textId="77777777" w:rsidR="0047055E" w:rsidRPr="007224C3" w:rsidRDefault="0047055E" w:rsidP="007224C3">
      <w:pPr>
        <w:spacing w:after="0" w:line="240" w:lineRule="auto"/>
        <w:jc w:val="both"/>
        <w:rPr>
          <w:rFonts w:ascii="Times New Roman" w:hAnsi="Times New Roman"/>
          <w:color w:val="000000" w:themeColor="text1"/>
          <w:sz w:val="16"/>
          <w:szCs w:val="16"/>
        </w:rPr>
      </w:pPr>
    </w:p>
    <w:p w14:paraId="1F39B20F" w14:textId="77777777" w:rsidR="00282955" w:rsidRPr="007224C3" w:rsidRDefault="0028295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 февраля 1944 специалисты НИИ ВВС, ВИАМ и Главстройстекло НКПСМ подготовили обсто</w:t>
      </w:r>
      <w:r w:rsidRPr="007224C3">
        <w:rPr>
          <w:rFonts w:ascii="Times New Roman" w:hAnsi="Times New Roman"/>
          <w:color w:val="000000" w:themeColor="text1"/>
          <w:sz w:val="16"/>
          <w:szCs w:val="16"/>
        </w:rPr>
        <w:softHyphen/>
        <w:t>ятельный доклад «О состоянии производства прозрачной брони», в котором делалась оценка возможностей отечественной промышленно</w:t>
      </w:r>
      <w:r w:rsidRPr="007224C3">
        <w:rPr>
          <w:rFonts w:ascii="Times New Roman" w:hAnsi="Times New Roman"/>
          <w:color w:val="000000" w:themeColor="text1"/>
          <w:sz w:val="16"/>
          <w:szCs w:val="16"/>
        </w:rPr>
        <w:softHyphen/>
        <w:t>сти по улучшению качества и повышению объе</w:t>
      </w:r>
      <w:r w:rsidRPr="007224C3">
        <w:rPr>
          <w:rFonts w:ascii="Times New Roman" w:hAnsi="Times New Roman"/>
          <w:color w:val="000000" w:themeColor="text1"/>
          <w:sz w:val="16"/>
          <w:szCs w:val="16"/>
        </w:rPr>
        <w:softHyphen/>
        <w:t>мов выпуска изделий из прозрачной брони.</w:t>
      </w:r>
    </w:p>
    <w:p w14:paraId="0370B475" w14:textId="77777777" w:rsidR="00282955" w:rsidRPr="007224C3" w:rsidRDefault="0028295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Отмечалось, что резко повысить оптиче</w:t>
      </w:r>
      <w:r w:rsidRPr="007224C3">
        <w:rPr>
          <w:rFonts w:ascii="Times New Roman" w:hAnsi="Times New Roman"/>
          <w:color w:val="000000" w:themeColor="text1"/>
          <w:sz w:val="16"/>
          <w:szCs w:val="16"/>
        </w:rPr>
        <w:softHyphen/>
        <w:t>ское качество бронестекла можно лишь с пе</w:t>
      </w:r>
      <w:r w:rsidRPr="007224C3">
        <w:rPr>
          <w:rFonts w:ascii="Times New Roman" w:hAnsi="Times New Roman"/>
          <w:color w:val="000000" w:themeColor="text1"/>
          <w:sz w:val="16"/>
          <w:szCs w:val="16"/>
        </w:rPr>
        <w:softHyphen/>
        <w:t>реходом на зеркальное стекло по довоенной технологии. Однако производство такого сте</w:t>
      </w:r>
      <w:r w:rsidRPr="007224C3">
        <w:rPr>
          <w:rFonts w:ascii="Times New Roman" w:hAnsi="Times New Roman"/>
          <w:color w:val="000000" w:themeColor="text1"/>
          <w:sz w:val="16"/>
          <w:szCs w:val="16"/>
        </w:rPr>
        <w:softHyphen/>
        <w:t>кла было возможным только на двух стеклоза</w:t>
      </w:r>
      <w:r w:rsidRPr="007224C3">
        <w:rPr>
          <w:rFonts w:ascii="Times New Roman" w:hAnsi="Times New Roman"/>
          <w:color w:val="000000" w:themeColor="text1"/>
          <w:sz w:val="16"/>
          <w:szCs w:val="16"/>
        </w:rPr>
        <w:softHyphen/>
        <w:t>водах - Люберецком № 233 и Константиновском № 25 «Автостекло». Для этого требовалось активизировать восстановительные работы на Константиновском заводе, форсировать мон</w:t>
      </w:r>
      <w:r w:rsidRPr="007224C3">
        <w:rPr>
          <w:rFonts w:ascii="Times New Roman" w:hAnsi="Times New Roman"/>
          <w:color w:val="000000" w:themeColor="text1"/>
          <w:sz w:val="16"/>
          <w:szCs w:val="16"/>
        </w:rPr>
        <w:softHyphen/>
        <w:t>таж на Люберецком заводе двух ротационных шлифовально-полировочных станков (площадь стекла - 50 м</w:t>
      </w:r>
      <w:r w:rsidRPr="007224C3">
        <w:rPr>
          <w:rFonts w:ascii="Times New Roman" w:hAnsi="Times New Roman"/>
          <w:color w:val="000000" w:themeColor="text1"/>
          <w:sz w:val="16"/>
          <w:szCs w:val="16"/>
          <w:vertAlign w:val="superscript"/>
        </w:rPr>
        <w:t>2</w:t>
      </w:r>
      <w:r w:rsidRPr="007224C3">
        <w:rPr>
          <w:rFonts w:ascii="Times New Roman" w:hAnsi="Times New Roman"/>
          <w:color w:val="000000" w:themeColor="text1"/>
          <w:sz w:val="16"/>
          <w:szCs w:val="16"/>
        </w:rPr>
        <w:t>), увеличить количество</w:t>
      </w:r>
      <w:r w:rsidRPr="007224C3">
        <w:rPr>
          <w:rStyle w:val="75pt"/>
          <w:rFonts w:ascii="Times New Roman" w:hAnsi="Times New Roman" w:cs="Times New Roman"/>
          <w:b w:val="0"/>
          <w:color w:val="000000" w:themeColor="text1"/>
          <w:sz w:val="16"/>
          <w:szCs w:val="16"/>
        </w:rPr>
        <w:t xml:space="preserve"> Горшко</w:t>
      </w:r>
      <w:r w:rsidRPr="007224C3">
        <w:rPr>
          <w:rStyle w:val="75pt"/>
          <w:rFonts w:ascii="Times New Roman" w:hAnsi="Times New Roman" w:cs="Times New Roman"/>
          <w:b w:val="0"/>
          <w:color w:val="000000" w:themeColor="text1"/>
          <w:sz w:val="16"/>
          <w:szCs w:val="16"/>
        </w:rPr>
        <w:softHyphen/>
      </w:r>
      <w:r w:rsidRPr="007224C3">
        <w:rPr>
          <w:rFonts w:ascii="Times New Roman" w:hAnsi="Times New Roman"/>
          <w:color w:val="000000" w:themeColor="text1"/>
          <w:sz w:val="16"/>
          <w:szCs w:val="16"/>
        </w:rPr>
        <w:t xml:space="preserve">вых печей для плавки стекла, а также ускорить </w:t>
      </w:r>
      <w:r w:rsidRPr="007224C3">
        <w:rPr>
          <w:rStyle w:val="aff7"/>
          <w:rFonts w:ascii="Times New Roman" w:hAnsi="Times New Roman" w:cs="Times New Roman"/>
          <w:i w:val="0"/>
          <w:color w:val="000000" w:themeColor="text1"/>
        </w:rPr>
        <w:t>«закупку в США шлифовально-полировочного конвейера, прокатной машины и механиче</w:t>
      </w:r>
      <w:r w:rsidRPr="007224C3">
        <w:rPr>
          <w:rStyle w:val="aff7"/>
          <w:rFonts w:ascii="Times New Roman" w:hAnsi="Times New Roman" w:cs="Times New Roman"/>
          <w:i w:val="0"/>
          <w:color w:val="000000" w:themeColor="text1"/>
        </w:rPr>
        <w:softHyphen/>
        <w:t>ской части Лера (печи для отжига)»,</w:t>
      </w:r>
      <w:r w:rsidRPr="007224C3">
        <w:rPr>
          <w:rFonts w:ascii="Times New Roman" w:hAnsi="Times New Roman"/>
          <w:color w:val="000000" w:themeColor="text1"/>
          <w:sz w:val="16"/>
          <w:szCs w:val="16"/>
        </w:rPr>
        <w:t xml:space="preserve"> поскольку </w:t>
      </w:r>
      <w:r w:rsidRPr="007224C3">
        <w:rPr>
          <w:rStyle w:val="aff7"/>
          <w:rFonts w:ascii="Times New Roman" w:hAnsi="Times New Roman" w:cs="Times New Roman"/>
          <w:i w:val="0"/>
          <w:color w:val="000000" w:themeColor="text1"/>
        </w:rPr>
        <w:t>«фирма может поставить это оборудование че</w:t>
      </w:r>
      <w:r w:rsidRPr="007224C3">
        <w:rPr>
          <w:rStyle w:val="aff7"/>
          <w:rFonts w:ascii="Times New Roman" w:hAnsi="Times New Roman" w:cs="Times New Roman"/>
          <w:i w:val="0"/>
          <w:color w:val="000000" w:themeColor="text1"/>
        </w:rPr>
        <w:softHyphen/>
        <w:t>рез 12 месяцев со дня заключения договора».</w:t>
      </w:r>
    </w:p>
    <w:p w14:paraId="15C7992A" w14:textId="77777777" w:rsidR="00282955" w:rsidRPr="007224C3" w:rsidRDefault="00282955" w:rsidP="007224C3">
      <w:pPr>
        <w:pStyle w:val="7"/>
        <w:shd w:val="clear" w:color="auto" w:fill="auto"/>
        <w:spacing w:line="240" w:lineRule="auto"/>
        <w:rPr>
          <w:rFonts w:ascii="Times New Roman" w:cs="Times New Roman"/>
          <w:color w:val="000000" w:themeColor="text1"/>
          <w:spacing w:val="0"/>
          <w:sz w:val="16"/>
          <w:szCs w:val="16"/>
        </w:rPr>
      </w:pPr>
      <w:r w:rsidRPr="007224C3">
        <w:rPr>
          <w:rStyle w:val="75"/>
          <w:rFonts w:ascii="Times New Roman" w:hAnsi="Times New Roman" w:cs="Times New Roman"/>
          <w:i w:val="0"/>
          <w:color w:val="000000" w:themeColor="text1"/>
          <w:sz w:val="16"/>
          <w:szCs w:val="16"/>
        </w:rPr>
        <w:t xml:space="preserve">Между тем, в справке указывалось, что </w:t>
      </w:r>
      <w:r w:rsidRPr="007224C3">
        <w:rPr>
          <w:rFonts w:ascii="Times New Roman" w:cs="Times New Roman"/>
          <w:color w:val="000000" w:themeColor="text1"/>
          <w:spacing w:val="0"/>
          <w:sz w:val="16"/>
          <w:szCs w:val="16"/>
        </w:rPr>
        <w:t>«нарком стройматериалов, по-видимому, мало уделяет внимания реализации этого постанов</w:t>
      </w:r>
      <w:r w:rsidRPr="007224C3">
        <w:rPr>
          <w:rFonts w:ascii="Times New Roman" w:cs="Times New Roman"/>
          <w:color w:val="000000" w:themeColor="text1"/>
          <w:spacing w:val="0"/>
          <w:sz w:val="16"/>
          <w:szCs w:val="16"/>
        </w:rPr>
        <w:softHyphen/>
        <w:t xml:space="preserve">ления, так как до сих пор идет лишь переписка </w:t>
      </w:r>
      <w:r w:rsidRPr="007224C3">
        <w:rPr>
          <w:rStyle w:val="76"/>
          <w:rFonts w:ascii="Times New Roman" w:hAnsi="Times New Roman" w:cs="Times New Roman"/>
          <w:b w:val="0"/>
          <w:i w:val="0"/>
          <w:color w:val="000000" w:themeColor="text1"/>
          <w:sz w:val="16"/>
          <w:szCs w:val="16"/>
        </w:rPr>
        <w:t>с</w:t>
      </w:r>
      <w:r w:rsidRPr="007224C3">
        <w:rPr>
          <w:rFonts w:ascii="Times New Roman" w:cs="Times New Roman"/>
          <w:color w:val="000000" w:themeColor="text1"/>
          <w:spacing w:val="0"/>
          <w:sz w:val="16"/>
          <w:szCs w:val="16"/>
        </w:rPr>
        <w:t xml:space="preserve"> фирмами, а намеченные специалисты</w:t>
      </w:r>
      <w:r w:rsidRPr="007224C3">
        <w:rPr>
          <w:rStyle w:val="76"/>
          <w:rFonts w:ascii="Times New Roman" w:hAnsi="Times New Roman" w:cs="Times New Roman"/>
          <w:b w:val="0"/>
          <w:i w:val="0"/>
          <w:color w:val="000000" w:themeColor="text1"/>
          <w:sz w:val="16"/>
          <w:szCs w:val="16"/>
        </w:rPr>
        <w:t xml:space="preserve"> в'</w:t>
      </w:r>
      <w:r w:rsidRPr="007224C3">
        <w:rPr>
          <w:rFonts w:ascii="Times New Roman" w:cs="Times New Roman"/>
          <w:color w:val="000000" w:themeColor="text1"/>
          <w:spacing w:val="0"/>
          <w:sz w:val="16"/>
          <w:szCs w:val="16"/>
        </w:rPr>
        <w:t xml:space="preserve"> США по закупке и освоению этих агрегатов до сих пор не посланы».</w:t>
      </w:r>
    </w:p>
    <w:p w14:paraId="254B9DA0" w14:textId="77777777" w:rsidR="00282955" w:rsidRPr="007224C3" w:rsidRDefault="00282955" w:rsidP="007224C3">
      <w:pPr>
        <w:pStyle w:val="7"/>
        <w:shd w:val="clear" w:color="auto" w:fill="auto"/>
        <w:spacing w:line="240" w:lineRule="auto"/>
        <w:rPr>
          <w:rFonts w:ascii="Times New Roman" w:cs="Times New Roman"/>
          <w:color w:val="000000" w:themeColor="text1"/>
          <w:spacing w:val="0"/>
          <w:sz w:val="16"/>
          <w:szCs w:val="16"/>
        </w:rPr>
      </w:pPr>
      <w:r w:rsidRPr="007224C3">
        <w:rPr>
          <w:rStyle w:val="75"/>
          <w:rFonts w:ascii="Times New Roman" w:hAnsi="Times New Roman" w:cs="Times New Roman"/>
          <w:i w:val="0"/>
          <w:color w:val="000000" w:themeColor="text1"/>
          <w:sz w:val="16"/>
          <w:szCs w:val="16"/>
        </w:rPr>
        <w:t>Вторым направлением улучшения качества бронестекла считался переход</w:t>
      </w:r>
      <w:r w:rsidRPr="007224C3">
        <w:rPr>
          <w:rFonts w:ascii="Times New Roman" w:cs="Times New Roman"/>
          <w:color w:val="000000" w:themeColor="text1"/>
          <w:spacing w:val="0"/>
          <w:sz w:val="16"/>
          <w:szCs w:val="16"/>
        </w:rPr>
        <w:t xml:space="preserve"> «на триплексованный тип брони»,</w:t>
      </w:r>
      <w:r w:rsidRPr="007224C3">
        <w:rPr>
          <w:rStyle w:val="75"/>
          <w:rFonts w:ascii="Times New Roman" w:hAnsi="Times New Roman" w:cs="Times New Roman"/>
          <w:i w:val="0"/>
          <w:color w:val="000000" w:themeColor="text1"/>
          <w:sz w:val="16"/>
          <w:szCs w:val="16"/>
        </w:rPr>
        <w:t xml:space="preserve"> что одновременно снижа</w:t>
      </w:r>
      <w:r w:rsidRPr="007224C3">
        <w:rPr>
          <w:rStyle w:val="75"/>
          <w:rFonts w:ascii="Times New Roman" w:hAnsi="Times New Roman" w:cs="Times New Roman"/>
          <w:i w:val="0"/>
          <w:color w:val="000000" w:themeColor="text1"/>
          <w:sz w:val="16"/>
          <w:szCs w:val="16"/>
        </w:rPr>
        <w:softHyphen/>
        <w:t>ло и стоимость одного комплекта за счет</w:t>
      </w:r>
      <w:r w:rsidRPr="007224C3">
        <w:rPr>
          <w:rFonts w:ascii="Times New Roman" w:cs="Times New Roman"/>
          <w:color w:val="000000" w:themeColor="text1"/>
          <w:spacing w:val="0"/>
          <w:sz w:val="16"/>
          <w:szCs w:val="16"/>
        </w:rPr>
        <w:t xml:space="preserve"> «от</w:t>
      </w:r>
      <w:r w:rsidRPr="007224C3">
        <w:rPr>
          <w:rFonts w:ascii="Times New Roman" w:cs="Times New Roman"/>
          <w:color w:val="000000" w:themeColor="text1"/>
          <w:spacing w:val="0"/>
          <w:sz w:val="16"/>
          <w:szCs w:val="16"/>
        </w:rPr>
        <w:softHyphen/>
        <w:t>сутствия органического стекла и удешевления обработки силикатного стекла (применения механизированной обработки на конвейерах, уменьшение рабочей силы)».</w:t>
      </w:r>
      <w:r w:rsidRPr="007224C3">
        <w:rPr>
          <w:rStyle w:val="75"/>
          <w:rFonts w:ascii="Times New Roman" w:hAnsi="Times New Roman" w:cs="Times New Roman"/>
          <w:i w:val="0"/>
          <w:color w:val="000000" w:themeColor="text1"/>
          <w:sz w:val="16"/>
          <w:szCs w:val="16"/>
        </w:rPr>
        <w:t xml:space="preserve"> Но возможности отечественной промышленности по производ</w:t>
      </w:r>
      <w:r w:rsidRPr="007224C3">
        <w:rPr>
          <w:rStyle w:val="75"/>
          <w:rFonts w:ascii="Times New Roman" w:hAnsi="Times New Roman" w:cs="Times New Roman"/>
          <w:i w:val="0"/>
          <w:color w:val="000000" w:themeColor="text1"/>
          <w:sz w:val="16"/>
          <w:szCs w:val="16"/>
        </w:rPr>
        <w:softHyphen/>
        <w:t>ству триплекса были ограниченными. В част</w:t>
      </w:r>
      <w:r w:rsidRPr="007224C3">
        <w:rPr>
          <w:rStyle w:val="75"/>
          <w:rFonts w:ascii="Times New Roman" w:hAnsi="Times New Roman" w:cs="Times New Roman"/>
          <w:i w:val="0"/>
          <w:color w:val="000000" w:themeColor="text1"/>
          <w:sz w:val="16"/>
          <w:szCs w:val="16"/>
        </w:rPr>
        <w:softHyphen/>
        <w:t>ности, несмотря на то, что в СССР уже</w:t>
      </w:r>
      <w:r w:rsidRPr="007224C3">
        <w:rPr>
          <w:rFonts w:ascii="Times New Roman" w:cs="Times New Roman"/>
          <w:color w:val="000000" w:themeColor="text1"/>
          <w:spacing w:val="0"/>
          <w:sz w:val="16"/>
          <w:szCs w:val="16"/>
        </w:rPr>
        <w:t xml:space="preserve"> «суще</w:t>
      </w:r>
      <w:r w:rsidRPr="007224C3">
        <w:rPr>
          <w:rFonts w:ascii="Times New Roman" w:cs="Times New Roman"/>
          <w:color w:val="000000" w:themeColor="text1"/>
          <w:spacing w:val="0"/>
          <w:sz w:val="16"/>
          <w:szCs w:val="16"/>
        </w:rPr>
        <w:softHyphen/>
        <w:t>ствовало производство автомобильного три</w:t>
      </w:r>
      <w:r w:rsidRPr="007224C3">
        <w:rPr>
          <w:rFonts w:ascii="Times New Roman" w:cs="Times New Roman"/>
          <w:color w:val="000000" w:themeColor="text1"/>
          <w:spacing w:val="0"/>
          <w:sz w:val="16"/>
          <w:szCs w:val="16"/>
        </w:rPr>
        <w:softHyphen/>
        <w:t>плекса на базе целлюлоида»,</w:t>
      </w:r>
      <w:r w:rsidRPr="007224C3">
        <w:rPr>
          <w:rStyle w:val="75"/>
          <w:rFonts w:ascii="Times New Roman" w:hAnsi="Times New Roman" w:cs="Times New Roman"/>
          <w:i w:val="0"/>
          <w:color w:val="000000" w:themeColor="text1"/>
          <w:sz w:val="16"/>
          <w:szCs w:val="16"/>
        </w:rPr>
        <w:t xml:space="preserve"> этот опыт нельзя было перенести</w:t>
      </w:r>
      <w:r w:rsidRPr="007224C3">
        <w:rPr>
          <w:rFonts w:ascii="Times New Roman" w:cs="Times New Roman"/>
          <w:color w:val="000000" w:themeColor="text1"/>
          <w:spacing w:val="0"/>
          <w:sz w:val="16"/>
          <w:szCs w:val="16"/>
        </w:rPr>
        <w:t xml:space="preserve"> «в сколь-нибудь значительной части, на производство триплексной прозрач</w:t>
      </w:r>
      <w:r w:rsidRPr="007224C3">
        <w:rPr>
          <w:rFonts w:ascii="Times New Roman" w:cs="Times New Roman"/>
          <w:color w:val="000000" w:themeColor="text1"/>
          <w:spacing w:val="0"/>
          <w:sz w:val="16"/>
          <w:szCs w:val="16"/>
        </w:rPr>
        <w:softHyphen/>
        <w:t>ной брони, так как целлюлоидный триплекс не является светостойким».</w:t>
      </w:r>
    </w:p>
    <w:p w14:paraId="60EAD3E5" w14:textId="77777777" w:rsidR="00282955" w:rsidRPr="007224C3" w:rsidRDefault="0028295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Кроме организации производства зер</w:t>
      </w:r>
      <w:r w:rsidRPr="007224C3">
        <w:rPr>
          <w:rFonts w:ascii="Times New Roman" w:hAnsi="Times New Roman"/>
          <w:color w:val="000000" w:themeColor="text1"/>
          <w:sz w:val="16"/>
          <w:szCs w:val="16"/>
        </w:rPr>
        <w:softHyphen/>
        <w:t>кального силикатного стекла для изготовления комбинированной и триплексной прозрачной брони, требовалось обеспечить выпуск каче</w:t>
      </w:r>
      <w:r w:rsidRPr="007224C3">
        <w:rPr>
          <w:rFonts w:ascii="Times New Roman" w:hAnsi="Times New Roman"/>
          <w:color w:val="000000" w:themeColor="text1"/>
          <w:sz w:val="16"/>
          <w:szCs w:val="16"/>
        </w:rPr>
        <w:softHyphen/>
        <w:t>ственных склеивающих материалов. Оказа</w:t>
      </w:r>
      <w:r w:rsidRPr="007224C3">
        <w:rPr>
          <w:rFonts w:ascii="Times New Roman" w:hAnsi="Times New Roman"/>
          <w:color w:val="000000" w:themeColor="text1"/>
          <w:sz w:val="16"/>
          <w:szCs w:val="16"/>
        </w:rPr>
        <w:softHyphen/>
        <w:t>лось, что</w:t>
      </w:r>
      <w:r w:rsidRPr="007224C3">
        <w:rPr>
          <w:rStyle w:val="aff7"/>
          <w:rFonts w:ascii="Times New Roman" w:hAnsi="Times New Roman" w:cs="Times New Roman"/>
          <w:i w:val="0"/>
          <w:color w:val="000000" w:themeColor="text1"/>
        </w:rPr>
        <w:t xml:space="preserve"> «опытно-заводские работы по новым видам склеивающих материалов, а именно метилакрилатной пленки и пленок на базе бут- варовиальваров»,</w:t>
      </w:r>
      <w:r w:rsidRPr="007224C3">
        <w:rPr>
          <w:rFonts w:ascii="Times New Roman" w:hAnsi="Times New Roman"/>
          <w:color w:val="000000" w:themeColor="text1"/>
          <w:sz w:val="16"/>
          <w:szCs w:val="16"/>
        </w:rPr>
        <w:t xml:space="preserve"> которые в это время прово</w:t>
      </w:r>
      <w:r w:rsidRPr="007224C3">
        <w:rPr>
          <w:rFonts w:ascii="Times New Roman" w:hAnsi="Times New Roman"/>
          <w:color w:val="000000" w:themeColor="text1"/>
          <w:sz w:val="16"/>
          <w:szCs w:val="16"/>
        </w:rPr>
        <w:softHyphen/>
        <w:t>дил главхимпластмасс НКХП,</w:t>
      </w:r>
      <w:r w:rsidRPr="007224C3">
        <w:rPr>
          <w:rStyle w:val="aff7"/>
          <w:rFonts w:ascii="Times New Roman" w:hAnsi="Times New Roman" w:cs="Times New Roman"/>
          <w:i w:val="0"/>
          <w:color w:val="000000" w:themeColor="text1"/>
        </w:rPr>
        <w:t xml:space="preserve"> «еще далеки от получения практических результатов».</w:t>
      </w:r>
    </w:p>
    <w:p w14:paraId="2BCFF10D" w14:textId="77777777" w:rsidR="00282955" w:rsidRPr="007224C3" w:rsidRDefault="0028295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Поскольку английская прозрачная броня изготавливалась на базе гидрат ацетил-целлюлозы, пластифицированной диметилфтала- том, и отличалась прекрасным качеством, то изучался и этот вопрос. Но и здесь не все было благополучно. Как оказалось, существующая отечественная</w:t>
      </w:r>
      <w:r w:rsidRPr="007224C3">
        <w:rPr>
          <w:rStyle w:val="aff7"/>
          <w:rFonts w:ascii="Times New Roman" w:hAnsi="Times New Roman" w:cs="Times New Roman"/>
          <w:i w:val="0"/>
          <w:color w:val="000000" w:themeColor="text1"/>
        </w:rPr>
        <w:t xml:space="preserve"> «технология склейки на ацетил- целлюлозной пленке в достаточной степени» не разработана»</w:t>
      </w:r>
      <w:r w:rsidRPr="007224C3">
        <w:rPr>
          <w:rFonts w:ascii="Times New Roman" w:hAnsi="Times New Roman"/>
          <w:color w:val="000000" w:themeColor="text1"/>
          <w:sz w:val="16"/>
          <w:szCs w:val="16"/>
        </w:rPr>
        <w:t xml:space="preserve"> и не могла использоваться в серийном производстве.</w:t>
      </w:r>
    </w:p>
    <w:p w14:paraId="635F5909" w14:textId="77777777" w:rsidR="00282955" w:rsidRPr="007224C3" w:rsidRDefault="0028295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оценкам специалистов НИИ ВВС, ВИАМ и НКХП, производство комбинированной про</w:t>
      </w:r>
      <w:r w:rsidRPr="007224C3">
        <w:rPr>
          <w:rFonts w:ascii="Times New Roman" w:hAnsi="Times New Roman"/>
          <w:color w:val="000000" w:themeColor="text1"/>
          <w:sz w:val="16"/>
          <w:szCs w:val="16"/>
        </w:rPr>
        <w:softHyphen/>
        <w:t>зрачной брони на существующих заводах могло быть увеличено в 1,5 раза. В то же вре</w:t>
      </w:r>
      <w:r w:rsidRPr="007224C3">
        <w:rPr>
          <w:rFonts w:ascii="Times New Roman" w:hAnsi="Times New Roman"/>
          <w:color w:val="000000" w:themeColor="text1"/>
          <w:sz w:val="16"/>
          <w:szCs w:val="16"/>
        </w:rPr>
        <w:softHyphen/>
        <w:t>мя изготовление прозрачной брони по типу иностранной могло быть организовано только при условии расширения Люберецкого и вос</w:t>
      </w:r>
      <w:r w:rsidRPr="007224C3">
        <w:rPr>
          <w:rFonts w:ascii="Times New Roman" w:hAnsi="Times New Roman"/>
          <w:color w:val="000000" w:themeColor="text1"/>
          <w:sz w:val="16"/>
          <w:szCs w:val="16"/>
        </w:rPr>
        <w:softHyphen/>
        <w:t>становления Константиновского заводов и не ранее, чем через год.</w:t>
      </w:r>
    </w:p>
    <w:p w14:paraId="5BE79BE3" w14:textId="77777777" w:rsidR="00282955" w:rsidRPr="007224C3" w:rsidRDefault="0028295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Для определения возможности исполь</w:t>
      </w:r>
      <w:r w:rsidRPr="007224C3">
        <w:rPr>
          <w:rFonts w:ascii="Times New Roman" w:hAnsi="Times New Roman"/>
          <w:color w:val="000000" w:themeColor="text1"/>
          <w:sz w:val="16"/>
          <w:szCs w:val="16"/>
        </w:rPr>
        <w:softHyphen/>
        <w:t>зования зарубежного бронестекла на оте</w:t>
      </w:r>
      <w:r w:rsidRPr="007224C3">
        <w:rPr>
          <w:rFonts w:ascii="Times New Roman" w:hAnsi="Times New Roman"/>
          <w:color w:val="000000" w:themeColor="text1"/>
          <w:sz w:val="16"/>
          <w:szCs w:val="16"/>
        </w:rPr>
        <w:softHyphen/>
        <w:t>чественных самолетах по заказу Наркомата авиапромышленности в Англии изготовили и поставили в СССР 50 комплектов передней прозрачной брони для фонаря кабины пило</w:t>
      </w:r>
      <w:r w:rsidRPr="007224C3">
        <w:rPr>
          <w:rFonts w:ascii="Times New Roman" w:hAnsi="Times New Roman"/>
          <w:color w:val="000000" w:themeColor="text1"/>
          <w:sz w:val="16"/>
          <w:szCs w:val="16"/>
        </w:rPr>
        <w:softHyphen/>
        <w:t>та самолета Ил-2. Из них часть комплектов в марте- апреле 1944 г. проходила испытания в ВИАМ и НИИ ВВС.</w:t>
      </w:r>
    </w:p>
    <w:p w14:paraId="5F5449B3" w14:textId="77777777" w:rsidR="00282955" w:rsidRPr="007224C3" w:rsidRDefault="0028295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Толщина бронестекла от детали к детали изменялась незначительно - в пределах 37,6- 38,3 мм. Внешний осмотр показал отсутствие сколько-нибудь значительных дефектов дета</w:t>
      </w:r>
      <w:r w:rsidRPr="007224C3">
        <w:rPr>
          <w:rFonts w:ascii="Times New Roman" w:hAnsi="Times New Roman"/>
          <w:color w:val="000000" w:themeColor="text1"/>
          <w:sz w:val="16"/>
          <w:szCs w:val="16"/>
        </w:rPr>
        <w:softHyphen/>
        <w:t>лей. Как отмечалось в протоколе испытаний, в представленных деталях</w:t>
      </w:r>
      <w:r w:rsidRPr="007224C3">
        <w:rPr>
          <w:rStyle w:val="aff7"/>
          <w:rFonts w:ascii="Times New Roman" w:hAnsi="Times New Roman" w:cs="Times New Roman"/>
          <w:i w:val="0"/>
          <w:color w:val="000000" w:themeColor="text1"/>
        </w:rPr>
        <w:t xml:space="preserve"> «не было обнаруже</w:t>
      </w:r>
      <w:r w:rsidRPr="007224C3">
        <w:rPr>
          <w:rStyle w:val="aff7"/>
          <w:rFonts w:ascii="Times New Roman" w:hAnsi="Times New Roman" w:cs="Times New Roman"/>
          <w:i w:val="0"/>
          <w:color w:val="000000" w:themeColor="text1"/>
        </w:rPr>
        <w:softHyphen/>
        <w:t>но даже мельчайших пузырей в склеивающих слоях или каких-либо видимых дефектов в сте</w:t>
      </w:r>
      <w:r w:rsidRPr="007224C3">
        <w:rPr>
          <w:rStyle w:val="aff7"/>
          <w:rFonts w:ascii="Times New Roman" w:hAnsi="Times New Roman" w:cs="Times New Roman"/>
          <w:i w:val="0"/>
          <w:color w:val="000000" w:themeColor="text1"/>
        </w:rPr>
        <w:softHyphen/>
        <w:t>кломассе».</w:t>
      </w:r>
      <w:r w:rsidRPr="007224C3">
        <w:rPr>
          <w:rFonts w:ascii="Times New Roman" w:hAnsi="Times New Roman"/>
          <w:color w:val="000000" w:themeColor="text1"/>
          <w:sz w:val="16"/>
          <w:szCs w:val="16"/>
        </w:rPr>
        <w:t xml:space="preserve"> Качество механической обработки, особенно фрезерования торцов, аккуратность склейки и герметизации торцевых швов нахо</w:t>
      </w:r>
      <w:r w:rsidRPr="007224C3">
        <w:rPr>
          <w:rFonts w:ascii="Times New Roman" w:hAnsi="Times New Roman"/>
          <w:color w:val="000000" w:themeColor="text1"/>
          <w:sz w:val="16"/>
          <w:szCs w:val="16"/>
        </w:rPr>
        <w:softHyphen/>
        <w:t>дились на высоком уровне.</w:t>
      </w:r>
    </w:p>
    <w:p w14:paraId="3F9C49FE" w14:textId="77777777" w:rsidR="00282955" w:rsidRPr="007224C3" w:rsidRDefault="00282955" w:rsidP="007224C3">
      <w:pPr>
        <w:pStyle w:val="7"/>
        <w:shd w:val="clear" w:color="auto" w:fill="auto"/>
        <w:spacing w:line="240" w:lineRule="auto"/>
        <w:rPr>
          <w:rFonts w:ascii="Times New Roman" w:cs="Times New Roman"/>
          <w:color w:val="000000" w:themeColor="text1"/>
          <w:spacing w:val="0"/>
          <w:sz w:val="16"/>
          <w:szCs w:val="16"/>
        </w:rPr>
      </w:pPr>
      <w:r w:rsidRPr="007224C3">
        <w:rPr>
          <w:rStyle w:val="75"/>
          <w:rFonts w:ascii="Times New Roman" w:hAnsi="Times New Roman" w:cs="Times New Roman"/>
          <w:i w:val="0"/>
          <w:color w:val="000000" w:themeColor="text1"/>
          <w:sz w:val="16"/>
          <w:szCs w:val="16"/>
        </w:rPr>
        <w:t>В отличие от аналогичных отечественных деталей,</w:t>
      </w:r>
      <w:r w:rsidRPr="007224C3">
        <w:rPr>
          <w:rFonts w:ascii="Times New Roman" w:cs="Times New Roman"/>
          <w:color w:val="000000" w:themeColor="text1"/>
          <w:spacing w:val="0"/>
          <w:sz w:val="16"/>
          <w:szCs w:val="16"/>
        </w:rPr>
        <w:t xml:space="preserve"> «состоящих из подушек органическо</w:t>
      </w:r>
      <w:r w:rsidRPr="007224C3">
        <w:rPr>
          <w:rFonts w:ascii="Times New Roman" w:cs="Times New Roman"/>
          <w:color w:val="000000" w:themeColor="text1"/>
          <w:spacing w:val="0"/>
          <w:sz w:val="16"/>
          <w:szCs w:val="16"/>
        </w:rPr>
        <w:softHyphen/>
        <w:t>го стекла и таблеток сталинита, склеенных при помощи пленки БМА, каждая английская де</w:t>
      </w:r>
      <w:r w:rsidRPr="007224C3">
        <w:rPr>
          <w:rFonts w:ascii="Times New Roman" w:cs="Times New Roman"/>
          <w:color w:val="000000" w:themeColor="text1"/>
          <w:spacing w:val="0"/>
          <w:sz w:val="16"/>
          <w:szCs w:val="16"/>
        </w:rPr>
        <w:softHyphen/>
        <w:t>таль представляла собой комплект из 5 слоев сплошных силикатных стекол различных тол</w:t>
      </w:r>
      <w:r w:rsidRPr="007224C3">
        <w:rPr>
          <w:rFonts w:ascii="Times New Roman" w:cs="Times New Roman"/>
          <w:color w:val="000000" w:themeColor="text1"/>
          <w:spacing w:val="0"/>
          <w:sz w:val="16"/>
          <w:szCs w:val="16"/>
        </w:rPr>
        <w:softHyphen/>
        <w:t>щин, разобщенных друг относительно 'друга склеивающей пленкой».</w:t>
      </w:r>
    </w:p>
    <w:p w14:paraId="69CF79AD" w14:textId="77777777" w:rsidR="00282955" w:rsidRPr="007224C3" w:rsidRDefault="0028295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Светопрозрачность образцов находилась в диапазоне 82-84%, что было лучше, чем у отечественного бронестекла. Причем после прохождения всех испытаний (воздействие хо</w:t>
      </w:r>
      <w:r w:rsidRPr="007224C3">
        <w:rPr>
          <w:rFonts w:ascii="Times New Roman" w:hAnsi="Times New Roman"/>
          <w:color w:val="000000" w:themeColor="text1"/>
          <w:sz w:val="16"/>
          <w:szCs w:val="16"/>
        </w:rPr>
        <w:softHyphen/>
        <w:t>лода, нагрева, запыления и воды) светопроз</w:t>
      </w:r>
      <w:r w:rsidRPr="007224C3">
        <w:rPr>
          <w:rFonts w:ascii="Times New Roman" w:hAnsi="Times New Roman"/>
          <w:color w:val="000000" w:themeColor="text1"/>
          <w:sz w:val="16"/>
          <w:szCs w:val="16"/>
        </w:rPr>
        <w:softHyphen/>
        <w:t>рачность деталей не изменилась. Оптическое искажение всех деталей (смещение оптиче</w:t>
      </w:r>
      <w:r w:rsidRPr="007224C3">
        <w:rPr>
          <w:rFonts w:ascii="Times New Roman" w:hAnsi="Times New Roman"/>
          <w:color w:val="000000" w:themeColor="text1"/>
          <w:sz w:val="16"/>
          <w:szCs w:val="16"/>
        </w:rPr>
        <w:softHyphen/>
        <w:t>ского луча) не превышало 6 угловых минут. При этом наблюдалось только угловое смещение, без искажения формы и размеров. Стандарт</w:t>
      </w:r>
      <w:r w:rsidRPr="007224C3">
        <w:rPr>
          <w:rFonts w:ascii="Times New Roman" w:hAnsi="Times New Roman"/>
          <w:color w:val="000000" w:themeColor="text1"/>
          <w:sz w:val="16"/>
          <w:szCs w:val="16"/>
        </w:rPr>
        <w:softHyphen/>
        <w:t>ные испытания на теплостойкость, морозо</w:t>
      </w:r>
      <w:r w:rsidRPr="007224C3">
        <w:rPr>
          <w:rFonts w:ascii="Times New Roman" w:hAnsi="Times New Roman"/>
          <w:color w:val="000000" w:themeColor="text1"/>
          <w:sz w:val="16"/>
          <w:szCs w:val="16"/>
        </w:rPr>
        <w:softHyphen/>
        <w:t>стойкость, термостойкость детали прошли с оценкой хорошо и отлично.</w:t>
      </w:r>
    </w:p>
    <w:p w14:paraId="577BCAF9" w14:textId="77777777" w:rsidR="00282955" w:rsidRPr="007224C3" w:rsidRDefault="00282955" w:rsidP="007224C3">
      <w:pPr>
        <w:pStyle w:val="7"/>
        <w:shd w:val="clear" w:color="auto" w:fill="auto"/>
        <w:spacing w:line="240" w:lineRule="auto"/>
        <w:rPr>
          <w:rStyle w:val="75"/>
          <w:rFonts w:ascii="Times New Roman" w:hAnsi="Times New Roman" w:cs="Times New Roman"/>
          <w:i w:val="0"/>
          <w:color w:val="000000" w:themeColor="text1"/>
          <w:sz w:val="16"/>
          <w:szCs w:val="16"/>
        </w:rPr>
      </w:pPr>
      <w:r w:rsidRPr="007224C3">
        <w:rPr>
          <w:rStyle w:val="75"/>
          <w:rFonts w:ascii="Times New Roman" w:hAnsi="Times New Roman" w:cs="Times New Roman"/>
          <w:i w:val="0"/>
          <w:color w:val="000000" w:themeColor="text1"/>
          <w:sz w:val="16"/>
          <w:szCs w:val="16"/>
        </w:rPr>
        <w:t>Учитывая, что</w:t>
      </w:r>
      <w:r w:rsidRPr="007224C3">
        <w:rPr>
          <w:rFonts w:ascii="Times New Roman" w:cs="Times New Roman"/>
          <w:color w:val="000000" w:themeColor="text1"/>
          <w:spacing w:val="0"/>
          <w:sz w:val="16"/>
          <w:szCs w:val="16"/>
        </w:rPr>
        <w:t xml:space="preserve"> «пулестойкость английской брони хуже отечественной брони равного веса и может быть компенсирована только увели</w:t>
      </w:r>
      <w:r w:rsidRPr="007224C3">
        <w:rPr>
          <w:rFonts w:ascii="Times New Roman" w:cs="Times New Roman"/>
          <w:color w:val="000000" w:themeColor="text1"/>
          <w:spacing w:val="0"/>
          <w:sz w:val="16"/>
          <w:szCs w:val="16"/>
        </w:rPr>
        <w:softHyphen/>
        <w:t>чением толщины стекла и веса»,</w:t>
      </w:r>
      <w:r w:rsidRPr="007224C3">
        <w:rPr>
          <w:rStyle w:val="75"/>
          <w:rFonts w:ascii="Times New Roman" w:hAnsi="Times New Roman" w:cs="Times New Roman"/>
          <w:i w:val="0"/>
          <w:color w:val="000000" w:themeColor="text1"/>
          <w:sz w:val="16"/>
          <w:szCs w:val="16"/>
        </w:rPr>
        <w:t xml:space="preserve"> был сделан вывод о нецелесообразности полного</w:t>
      </w:r>
      <w:r w:rsidRPr="007224C3">
        <w:rPr>
          <w:rFonts w:ascii="Times New Roman" w:cs="Times New Roman"/>
          <w:color w:val="000000" w:themeColor="text1"/>
          <w:spacing w:val="0"/>
          <w:sz w:val="16"/>
          <w:szCs w:val="16"/>
        </w:rPr>
        <w:t xml:space="preserve"> «заим</w:t>
      </w:r>
      <w:r w:rsidRPr="007224C3">
        <w:rPr>
          <w:rFonts w:ascii="Times New Roman" w:cs="Times New Roman"/>
          <w:color w:val="000000" w:themeColor="text1"/>
          <w:spacing w:val="0"/>
          <w:sz w:val="16"/>
          <w:szCs w:val="16"/>
        </w:rPr>
        <w:softHyphen/>
        <w:t>ствования английской брони»</w:t>
      </w:r>
      <w:r w:rsidRPr="007224C3">
        <w:rPr>
          <w:rStyle w:val="75"/>
          <w:rFonts w:ascii="Times New Roman" w:hAnsi="Times New Roman" w:cs="Times New Roman"/>
          <w:i w:val="0"/>
          <w:color w:val="000000" w:themeColor="text1"/>
          <w:sz w:val="16"/>
          <w:szCs w:val="16"/>
        </w:rPr>
        <w:t xml:space="preserve"> в отечественной промышленности (17481).</w:t>
      </w:r>
    </w:p>
    <w:p w14:paraId="4326863A" w14:textId="77777777" w:rsidR="00282955" w:rsidRPr="007224C3" w:rsidRDefault="00282955" w:rsidP="007224C3">
      <w:pPr>
        <w:pStyle w:val="7"/>
        <w:shd w:val="clear" w:color="auto" w:fill="auto"/>
        <w:spacing w:line="240" w:lineRule="auto"/>
        <w:rPr>
          <w:rFonts w:ascii="Times New Roman" w:cs="Times New Roman"/>
          <w:color w:val="000000" w:themeColor="text1"/>
          <w:spacing w:val="0"/>
          <w:sz w:val="16"/>
          <w:szCs w:val="16"/>
        </w:rPr>
      </w:pPr>
    </w:p>
    <w:p w14:paraId="37F83BC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 февраля 1944 г. в мас</w:t>
      </w:r>
      <w:r w:rsidRPr="007224C3">
        <w:rPr>
          <w:rFonts w:ascii="Times New Roman" w:hAnsi="Times New Roman"/>
          <w:color w:val="000000" w:themeColor="text1"/>
          <w:sz w:val="16"/>
          <w:szCs w:val="16"/>
        </w:rPr>
        <w:softHyphen/>
        <w:t>терских НИИ ВВС У-2 Лимузин№ 5842 доработали: в ча</w:t>
      </w:r>
      <w:r w:rsidRPr="007224C3">
        <w:rPr>
          <w:rFonts w:ascii="Times New Roman" w:hAnsi="Times New Roman"/>
          <w:color w:val="000000" w:themeColor="text1"/>
          <w:sz w:val="16"/>
          <w:szCs w:val="16"/>
        </w:rPr>
        <w:softHyphen/>
        <w:t>стности, по рекомендации главного конст</w:t>
      </w:r>
      <w:r w:rsidRPr="007224C3">
        <w:rPr>
          <w:rFonts w:ascii="Times New Roman" w:hAnsi="Times New Roman"/>
          <w:color w:val="000000" w:themeColor="text1"/>
          <w:sz w:val="16"/>
          <w:szCs w:val="16"/>
        </w:rPr>
        <w:softHyphen/>
        <w:t>руктора Н. Н. Поликарпова, было решено усилить фюзеляж в районе выреза пасса</w:t>
      </w:r>
      <w:r w:rsidRPr="007224C3">
        <w:rPr>
          <w:rFonts w:ascii="Times New Roman" w:hAnsi="Times New Roman"/>
          <w:color w:val="000000" w:themeColor="text1"/>
          <w:sz w:val="16"/>
          <w:szCs w:val="16"/>
        </w:rPr>
        <w:softHyphen/>
        <w:t>жирской кабины. При проведении дорабо</w:t>
      </w:r>
      <w:r w:rsidRPr="007224C3">
        <w:rPr>
          <w:rFonts w:ascii="Times New Roman" w:hAnsi="Times New Roman"/>
          <w:color w:val="000000" w:themeColor="text1"/>
          <w:sz w:val="16"/>
          <w:szCs w:val="16"/>
        </w:rPr>
        <w:softHyphen/>
        <w:t>ток в числе прочего отрегулировали фо</w:t>
      </w:r>
      <w:r w:rsidRPr="007224C3">
        <w:rPr>
          <w:rFonts w:ascii="Times New Roman" w:hAnsi="Times New Roman"/>
          <w:color w:val="000000" w:themeColor="text1"/>
          <w:sz w:val="16"/>
          <w:szCs w:val="16"/>
        </w:rPr>
        <w:softHyphen/>
        <w:t>нарь кабины пилота, установили стопор от</w:t>
      </w:r>
      <w:r w:rsidRPr="007224C3">
        <w:rPr>
          <w:rFonts w:ascii="Times New Roman" w:hAnsi="Times New Roman"/>
          <w:color w:val="000000" w:themeColor="text1"/>
          <w:sz w:val="16"/>
          <w:szCs w:val="16"/>
        </w:rPr>
        <w:softHyphen/>
        <w:t>крытого положения двери, перенесли элек</w:t>
      </w:r>
      <w:r w:rsidRPr="007224C3">
        <w:rPr>
          <w:rFonts w:ascii="Times New Roman" w:hAnsi="Times New Roman"/>
          <w:color w:val="000000" w:themeColor="text1"/>
          <w:sz w:val="16"/>
          <w:szCs w:val="16"/>
        </w:rPr>
        <w:softHyphen/>
        <w:t>трощиток, произвели более тщательную регулировку коробки крыльев и управле</w:t>
      </w:r>
      <w:r w:rsidRPr="007224C3">
        <w:rPr>
          <w:rFonts w:ascii="Times New Roman" w:hAnsi="Times New Roman"/>
          <w:color w:val="000000" w:themeColor="text1"/>
          <w:sz w:val="16"/>
          <w:szCs w:val="16"/>
        </w:rPr>
        <w:softHyphen/>
        <w:t>ния, окрасили капот двигателя в более тем</w:t>
      </w:r>
      <w:r w:rsidRPr="007224C3">
        <w:rPr>
          <w:rFonts w:ascii="Times New Roman" w:hAnsi="Times New Roman"/>
          <w:color w:val="000000" w:themeColor="text1"/>
          <w:sz w:val="16"/>
          <w:szCs w:val="16"/>
        </w:rPr>
        <w:softHyphen/>
        <w:t>ный цвет, а затем передали само</w:t>
      </w:r>
      <w:r w:rsidRPr="007224C3">
        <w:rPr>
          <w:rFonts w:ascii="Times New Roman" w:hAnsi="Times New Roman"/>
          <w:color w:val="000000" w:themeColor="text1"/>
          <w:sz w:val="16"/>
          <w:szCs w:val="16"/>
        </w:rPr>
        <w:softHyphen/>
        <w:t>лет в 3-ю Воздушную Армию для дальней</w:t>
      </w:r>
      <w:r w:rsidRPr="007224C3">
        <w:rPr>
          <w:rFonts w:ascii="Times New Roman" w:hAnsi="Times New Roman"/>
          <w:color w:val="000000" w:themeColor="text1"/>
          <w:sz w:val="16"/>
          <w:szCs w:val="16"/>
        </w:rPr>
        <w:softHyphen/>
        <w:t>шей эксплуатации (11085). Первоначально этот самолет именовал</w:t>
      </w:r>
      <w:r w:rsidRPr="007224C3">
        <w:rPr>
          <w:rFonts w:ascii="Times New Roman" w:hAnsi="Times New Roman"/>
          <w:color w:val="000000" w:themeColor="text1"/>
          <w:sz w:val="16"/>
          <w:szCs w:val="16"/>
        </w:rPr>
        <w:softHyphen/>
        <w:t>ся У-2ШС, а с августа 1944 г. - По-2ШС. Его появление напрямую связано с много</w:t>
      </w:r>
      <w:r w:rsidRPr="007224C3">
        <w:rPr>
          <w:rFonts w:ascii="Times New Roman" w:hAnsi="Times New Roman"/>
          <w:color w:val="000000" w:themeColor="text1"/>
          <w:sz w:val="16"/>
          <w:szCs w:val="16"/>
        </w:rPr>
        <w:softHyphen/>
        <w:t>численными попытками различных конст-рукторов переделать У-2 в самолет с закры</w:t>
      </w:r>
      <w:r w:rsidRPr="007224C3">
        <w:rPr>
          <w:rFonts w:ascii="Times New Roman" w:hAnsi="Times New Roman"/>
          <w:color w:val="000000" w:themeColor="text1"/>
          <w:sz w:val="16"/>
          <w:szCs w:val="16"/>
        </w:rPr>
        <w:softHyphen/>
        <w:t>той кабиной. Оказывается, Николай Нико</w:t>
      </w:r>
      <w:r w:rsidRPr="007224C3">
        <w:rPr>
          <w:rFonts w:ascii="Times New Roman" w:hAnsi="Times New Roman"/>
          <w:color w:val="000000" w:themeColor="text1"/>
          <w:sz w:val="16"/>
          <w:szCs w:val="16"/>
        </w:rPr>
        <w:softHyphen/>
        <w:t>лаевич Поликарпов внимательно следил за этими работами, но оценивал их скептиче</w:t>
      </w:r>
      <w:r w:rsidRPr="007224C3">
        <w:rPr>
          <w:rFonts w:ascii="Times New Roman" w:hAnsi="Times New Roman"/>
          <w:color w:val="000000" w:themeColor="text1"/>
          <w:sz w:val="16"/>
          <w:szCs w:val="16"/>
        </w:rPr>
        <w:softHyphen/>
        <w:t>ски как неполномасштабные и даже кустар</w:t>
      </w:r>
      <w:r w:rsidRPr="007224C3">
        <w:rPr>
          <w:rFonts w:ascii="Times New Roman" w:hAnsi="Times New Roman"/>
          <w:color w:val="000000" w:themeColor="text1"/>
          <w:sz w:val="16"/>
          <w:szCs w:val="16"/>
        </w:rPr>
        <w:softHyphen/>
        <w:t>ные. По его мнению, все переделанные ма</w:t>
      </w:r>
      <w:r w:rsidRPr="007224C3">
        <w:rPr>
          <w:rFonts w:ascii="Times New Roman" w:hAnsi="Times New Roman"/>
          <w:color w:val="000000" w:themeColor="text1"/>
          <w:sz w:val="16"/>
          <w:szCs w:val="16"/>
        </w:rPr>
        <w:softHyphen/>
        <w:t>шины имели заднюю центровку, тесную кабину, недостаточную путевую устойчи</w:t>
      </w:r>
      <w:r w:rsidRPr="007224C3">
        <w:rPr>
          <w:rFonts w:ascii="Times New Roman" w:hAnsi="Times New Roman"/>
          <w:color w:val="000000" w:themeColor="text1"/>
          <w:sz w:val="16"/>
          <w:szCs w:val="16"/>
        </w:rPr>
        <w:softHyphen/>
        <w:t>вость. Видимо, терпение у него в какой-то момент закончилось, и он сам решил произ</w:t>
      </w:r>
      <w:r w:rsidRPr="007224C3">
        <w:rPr>
          <w:rFonts w:ascii="Times New Roman" w:hAnsi="Times New Roman"/>
          <w:color w:val="000000" w:themeColor="text1"/>
          <w:sz w:val="16"/>
          <w:szCs w:val="16"/>
        </w:rPr>
        <w:softHyphen/>
        <w:t>вести подобное преобразование одного из самых удачных своих творений (11085).</w:t>
      </w:r>
    </w:p>
    <w:p w14:paraId="49194F6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07F8A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 февраля 1944 года вышел приказ НКАП</w:t>
      </w:r>
    </w:p>
    <w:p w14:paraId="2BDB47D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Утвердить директором завода № 32 Горюнова С.А. (8925)</w:t>
      </w:r>
    </w:p>
    <w:p w14:paraId="16607C1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 февраля 1944 года вышел приказ МАП за № 121, согласно которому завод № 64 был переведен в ведение 10 гл. управления и получил задание изготовлять (крылья) агрегаты самолета ИЛ-2, этим же приказом завод № 64 переведен в разряд агрегатных заводов второй категории. Оснастка была получена с завода № 18 на крыло старой конструкции самолета ИЛ-2.</w:t>
      </w:r>
    </w:p>
    <w:p w14:paraId="0E856EE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Приказом МАП за № 30 от 9 января 1945 года заводу № 64 была утверждена программа по выпуску крыльев самолета ИЛ-2, изготовление которых производилось в 1944 и 1945 гг. Кроме того, в соответствии с договором № 1219 от 13 марта 1945 года с ВВС завод во втором квартале 1945 года приступил к сборке самолета Ил-4 из готовых агрегатов, получаемых с завода № 126.</w:t>
      </w:r>
    </w:p>
    <w:p w14:paraId="2FFC40A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1946 году по приказу МАП за № 15с от 24 января 1946 года заводу было дано задание получить оснастку и техническую документацию самолета ИЛ-10 с завода № 1 им. Сталина и запустить в производство агрегаты самолета Ил-10 с тем, чтобы к концу 1946 года обеспчеить освоение сборки этого самолета.</w:t>
      </w:r>
    </w:p>
    <w:p w14:paraId="7B490B0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1946 и 1947 гг. заводом освоены следующие агрегаты:</w:t>
      </w:r>
    </w:p>
    <w:p w14:paraId="3C37F20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хвостовая часть фюзеляжа;</w:t>
      </w:r>
    </w:p>
    <w:p w14:paraId="494C566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оперение;</w:t>
      </w:r>
    </w:p>
    <w:p w14:paraId="109B63D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шасси. В течение 1948 года была произведена крупная модернизация самолета Ил-10 с переходом на 4-х пушечный вариант, а также освоено изготовление учебного варианта самолета УИЛ-10 с изготовлением всей необходимой оснастки своими силами.</w:t>
      </w:r>
    </w:p>
    <w:p w14:paraId="34511DD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Постановлением СМ за № 1890-700сс от 14 мая 1949 года и приказом министра авиапромышленности за № 374сс/ов от 19 мая 1949 года завод был освобожден от производства самолетов Ил-10 и переключен на переоборудование и капитальный ремонт пассажирского самолета Ил-12 и по подготовке производства к выпуску самолетов Ил-28.</w:t>
      </w:r>
    </w:p>
    <w:p w14:paraId="26F1D36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Постановлением СМ за № 5223-1994сс от 14 ноября 1949 года и приказа МАП за № 913сс от 17 ноября 1949 года завод был переведен на производство самолетов Ил-28. Этим же приказом МАП завод № 64 переведен в разряд самолетостроительных заводов первой категории.</w:t>
      </w:r>
    </w:p>
    <w:p w14:paraId="26483FF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Приказом МАП за № 33сс от 24 мая 1954 года со второго полугодия 1954 года завод переведен на подготовку производства по выпуску самолетов ТУ-16. Чертежи и технология на самолет ТУ-16 были получены с завода № 22.</w:t>
      </w:r>
    </w:p>
    <w:p w14:paraId="3CCB5C0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период с 1943 года по 1958 год коллектив завода № 64 развивал свое производство и набирал мощность по следующим видам работ: 1943 год – ремонт фронтовых самолетов Ил-2 – 218 штук 1943 год – ремонт фронтовых самолетов У-2 – 25 штук 1943 год – ремонт фронтовых самолетов ЯК-1 – 30 штук 1943 год – ремонт фронтовых самолетов ЛА-5 – 14 штук 1943 год – ремонт фронтовых самолетов ПЕ-2 – 4 штуки 1943 год – ремонт фронтовых самолетов Ли-2 – 1 штука 1943 год – ремонт фронтовых самолетов ЯК-6 – 2 штуки 1943 год – ремонт фронтовых самолетов ЯК-9 – 4 штуки 1943 год – ремонт фронтовых самолетов УТ-2 – 1 штука 1944 год – ремонт фронтовых самолетов Ил-2 183 штуки 1944 год – ремонт фронтовых самолетов У-2 – 17 штук 1944 год – ремонт фронтовых самолетов ЯК-1 – 5 штук 1944 год – ремонт фронтовых самолетов ЛА-5 – 14 штук 1944 год – ремонт фронтовых самолетов ЯК-6 – 3 штуки 1944 год – ремонт фронтовых самолетов ЯК-9 – 17 штук 1944 год – ремонт фронтовых самолетов ЛА-7 – 1 штука 1944 год – ремонт фронтовых самолетов Б-25 – 66 штук 1945 год – ремонт штурмовиков разных марок – 110 штук 1945 год – ремонт истребителей разных марок – 34 штуки 1945 год – сборка самолета завода № 126 ИЛ-4 – 151 штука 1945 года – сборка крыла самолета ИЛ-2 – 81 пара 1946 год – ремонт фронтовых самолетов ЯК-9 – 102 штуки 1946 год – ремонт фронтовых самолетов ЛА-7- 11 штук 1946 год – ремонт фронтовых самолетов ЯК-3 – 24 штуки 1946 год – сборка самолета завода № 126 ИЛ-4 – 28 штук 1946 год – сборка крыла самолета ИЛ-2 – 19 штук 1947 год – производство самолета ИЛ-10 – 12 штук 1948 год – производство самолета ИЛ-10 – 155 штук 1949 год – производство самолета ИЛ-10 – 78 штук 1949 год – производство самолета УИЛ-10 – 100 штук 1950 год – производство самолета ИЛ-28 – 4 штуки 1950 год – переоборудование самолета ИЛ-12 – 114 штук 1951 год – производство самолета ИЛ-28 – 75 штук 1952 год – производство самолета ИЛ-28 – 170 штук 1953 год – производство самолета ИЛ-28 – 370 штук 1954 год – производство самолета ИЛ-28 – 303 штук 1954 год – подготовка производства к выпуску самолета ТУ-16 1955 год – производство самолета ТУ-16 – 25 штук 1956 год – производство самолета ТУ-16 – 78 штук 1957 год – производство самолета ТУ-16 – 62 штуки 1957 год – подготовка и выпуск самолета АН-10 – 3 штуки 1958 год - производство самолета АН-10 – 16 штук 1958 год – начата подготовка производства к выпуску самолета ТУ-28</w:t>
      </w:r>
    </w:p>
    <w:p w14:paraId="6097065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 Белявский</w:t>
      </w:r>
    </w:p>
    <w:p w14:paraId="1CDBD4A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Производственный профиль – самолет Ан-10 конструкции Антонова</w:t>
      </w:r>
    </w:p>
    <w:p w14:paraId="3879233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Характеристика аэродрома завода</w:t>
      </w:r>
    </w:p>
    <w:p w14:paraId="1A47EE9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Аэродром расположен в 4-х км от центра восточнее Воронежа на левом берегу реки Воронеж. Аэродром с юга граничит с промплощадкой завода (9836).</w:t>
      </w:r>
    </w:p>
    <w:p w14:paraId="5497C30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21F70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 февраля 1944 года вышло решение ГКО за № 522с и 9 марта 1944 года вышел приказ НКАП за № 178, согласно которым на завод № 65 была возложена задача по организации производства гильз для авиационных заводов. С апреля 1944 года завод приступил к выпуску этой продукции.</w:t>
      </w:r>
    </w:p>
    <w:p w14:paraId="7B0DA6D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удовлетворения самолетных и моторных заводов трубами, профилями и прутками из алюминиевых сплавов приказом НКАП за № 595 от 5 сентября 1945 года заводу № 65 было поручено организовать производство этих полуфабрикатов.</w:t>
      </w:r>
    </w:p>
    <w:p w14:paraId="55C5AEB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основании приказа МАП № 289 от 13 мая 1946 года завод приступил к восстановлению прокатного производства.</w:t>
      </w:r>
    </w:p>
    <w:p w14:paraId="1BCD6A9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приказу МАП за 3 96 от 21 февраля 1955 года при заводе № 65 организовано ОКБ-65 на которое возложена разработка новых технологических процессов производства деталей и полуфабрикатов и создание новой техники для заводов авиапромышленности. 11 августа 1961 года ЦК КПСС и СМ вынесли постановление за № 728-304 об организации ВНИИ технологии легких и специальных сплавов (ВНИИТЛиСС) с опытным заводом на базе ОКБ-65 и завода № 65.</w:t>
      </w:r>
    </w:p>
    <w:p w14:paraId="327F0C3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Начальником филиала завода № 95 с января по 23 декабря 1942 года был И.В. Селихов 23 декабря 1942 года приказом НКАП за № 134-ок директором филиала завода № 95 был назначен Румянцев Б.Ф.</w:t>
      </w:r>
    </w:p>
    <w:p w14:paraId="4F040F9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реорганизации филиала в самостоятельный завод № 65 директором завода № 95 был назначен Румянцев Б.Ф.</w:t>
      </w:r>
    </w:p>
    <w:p w14:paraId="69D5FDF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Приказом НКАП № 254/к от 22 марта 1944 года на должность директора завода назначен Коваль Б.А.</w:t>
      </w:r>
    </w:p>
    <w:p w14:paraId="517E150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Приказом МАП от 17 апреля 1946 года за № 256/к на должность директора завода назначен Виштынецкий И.С. 23 августа 1950 года на должность директора завода назначен Десятков М.Д.</w:t>
      </w:r>
    </w:p>
    <w:p w14:paraId="6CFA5F6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Приказом МАП от 28 июня 1954 года за № 304/К директором завода назначен Шапошников В.А., а приказом МАП за № 468 от 22 октября 1955 года Шапошников В.А. по совместительству утвержден в должности гл. конструктора ОКБ-65. 19 августа 1959 года на должность директора завода назначен Квасов Ф.И., в должности </w:t>
      </w:r>
      <w:r w:rsidRPr="007224C3">
        <w:rPr>
          <w:rFonts w:ascii="Times New Roman" w:hAnsi="Times New Roman"/>
          <w:color w:val="000000" w:themeColor="text1"/>
          <w:sz w:val="16"/>
          <w:szCs w:val="16"/>
        </w:rPr>
        <w:lastRenderedPageBreak/>
        <w:t>гл. конструктора ОКБ-65 оставлен Шапошников В.А.</w:t>
      </w:r>
    </w:p>
    <w:p w14:paraId="5C2AB76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связи с организацией института на базе ОКБ и завода № 65, приказом председателя ГКАТ от 28 октября 1961 года за № 169к на члена Госкомитета Белова М.Ф. возложено исполнение обязанностей начальника ВНИИТЛиСС.</w:t>
      </w:r>
    </w:p>
    <w:p w14:paraId="6DCBB5A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Адрес: Москва, Кунцево, ул. Горбунова, д. 20 (9894).</w:t>
      </w:r>
    </w:p>
    <w:p w14:paraId="3B0588F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641A6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 февраля 1944 вышло Постановление ГКО № 5226 Об организации производства штамповок авиамоторных цилиндров на заводе № 65 Наркомавиапрома. РГАНИР, Фонд ГКО, д. 211, лл. 31-34,35-42 (11012).</w:t>
      </w:r>
    </w:p>
    <w:p w14:paraId="41560E3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1D6BB57D"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481E32A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98A445A"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 февраля 1944 вышло Постановление ГКО № 5225 Об извлечении металла обрушенных ферм железнодорожных мостов и улучшении эксплуатации вновь восстановленных жел.-дор. мостов и судоходства. (7191, 21-24,25-30).</w:t>
      </w:r>
    </w:p>
    <w:p w14:paraId="586D0B0F"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A4E1A89"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 февраля 1944 вышло Постановление ГКО № 5227 Об увеличении выпуска специальных станков для производства авиамоторных цилиндров и снарядов крупных калибров на заводе имени Орджоникидзе Наркомстанкостроения. (7191, 43-45,46-50).</w:t>
      </w:r>
    </w:p>
    <w:p w14:paraId="515CDCAD"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28AA9B1"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 февраля 1944 вышло Постановление ГКО № 5228 О мерах по оказанию помощи азербайджанской нефтяной промышленности. (7191, 51-65,66-75).</w:t>
      </w:r>
    </w:p>
    <w:p w14:paraId="4C9CEB21"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AF52655"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 февраля 1944 вышло Распоряжение ГКО № 5229 Об обеспечении поставки торфа заводам черной металлургии и Наркомтанкопрома на Урале. (7191, 76-77).</w:t>
      </w:r>
    </w:p>
    <w:p w14:paraId="69CC6072"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09CDFE3"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 февраля 1944 вышло Распоряжение ГКО № 5230 [О выделении угля из госрезерва для Забайкальской и Амурской ж.д.] (7191, 78).</w:t>
      </w:r>
    </w:p>
    <w:p w14:paraId="7D45E592"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D8517A2"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 февраля 1944 вышло Постановление ГКО № 5231 [О назначении Афанасьева А.А. уполномоченным ГКО по импортным перевозкам на Дальнем Востоке.] (7191, 79).</w:t>
      </w:r>
    </w:p>
    <w:p w14:paraId="75E89CF5"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7DA4DA0"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0CE0DF4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9E151EC"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21 февраля</w:t>
      </w:r>
      <w:r w:rsidRPr="007224C3">
        <w:rPr>
          <w:rFonts w:ascii="Times New Roman" w:hAnsi="Times New Roman"/>
          <w:color w:val="000000" w:themeColor="text1"/>
          <w:sz w:val="16"/>
          <w:szCs w:val="16"/>
        </w:rPr>
        <w:t xml:space="preserve"> в 1944 году оперативная сводка Совинформбюро:</w:t>
      </w:r>
    </w:p>
    <w:p w14:paraId="4410A300"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21 февраля юго-западнее и южнее города Луга наши войска с боями заняли несколько населённых пунктов и среди них Селище, Воцкая, Кириллково, Килошицы, Вашково, Ивановская, Похонь, Городище.</w:t>
      </w:r>
    </w:p>
    <w:p w14:paraId="4D4A0FCA"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юго-западнее и южнее озера Ильмень наши войска продолжали развивать успешное наступление и овладели районными центрами Ленинградской области городом Сольцы, Волот, Поддорье, районным центром Калининской области городом Холм, атакже с боями заняли более 100 других населённых пунктов, в том числе Большой Уторгош, Низова, Острова, Игнатово, Лопатуха, Большое и Малое Заборовье, Свинорд, Иловенка, Угоща, Ципино, Гущиха, Сухарево и железнодорожные станции Низы, Сольцы, Верещино, Шелонь, Волот.</w:t>
      </w:r>
    </w:p>
    <w:p w14:paraId="2D4C9B97"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Криворожском направлении наши войска, перейдя в наступление, сломили сопротивление противника и овладели узловой железнодорожной станцией Долгинцево, а также с боями заняли более 50 населённых пунктов, в том числе Ново-Ивановка, Божедаровка, Вечерний Кут, Божаново, Ново-Украинка, Полтавцы, Анновка, Ивановка, Новый Кривой Рог и железнодорожные станции Роковатая, Коломойцево, Каганович, Радушная. Наши войска вплотную подошли к городу Кривой Рог и завязали бои на окраинах города.</w:t>
      </w:r>
    </w:p>
    <w:p w14:paraId="6EF9B636"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 разведка, артиллерийско-миномётная перестрелка и в ряде пунктов бои местного значения.</w:t>
      </w:r>
    </w:p>
    <w:p w14:paraId="7CD024F5"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20 февраля наши войска на всех фронтах подбили и уничтожили 40 немецких танков. В воздушных боях и огнём зенитной артиллерии сбито 11 самолётов противника.</w:t>
      </w:r>
    </w:p>
    <w:p w14:paraId="5826C835"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Южнее озера Ильмень наши войска после ожесточённых боёв овладели районным центром Калининской области городом Холм. Немцы в течение длительного времени укрепляли этот город и превратили его в мощный опорный пункт. Наши войска, действуя с юга на север, прорвали оборону противника и, быстро продвигаясь вперёд, перерезали шоссе Холм-Локня, являвшееся основной коммуникацией немцев. Одновременно советские части форсировали реку Ловать севернее и южнее городаХолм и завязали уличные бои. К исходу дня, разгромив противника, наши войска овладели городом Холм. На улицах города немцы оставили более 500 трупов своих солдат и офицеров. Захвачено 20 танков, 32 орудия, 120 пулемётов, свыше 600 автоматов и винтовок, склады с боеприпасами и продовольствием. На аэродроме захвачено 45 немецких самолётов, часть из которых повреждена и разбита. Взято значительное число пленных.</w:t>
      </w:r>
    </w:p>
    <w:p w14:paraId="62DB872C"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и южнее города Луга наши войска освободили от немецко-фашистских захватчиков несколько населённых пунктов. В боях за эти пункты уничтожено до 800 немецких солдат и офицеров, 4 танка, 16 орудий, из них 2 самоходных. Захвачено много трофеев и пленных. На одном участке, отражая контратаку противника, бронебойщики младший сержант Аксентьев и красноармеец Орехов подбили 3 немецких танка и уничтожили вражеских танкистов, пытавшихся спастись бегством.</w:t>
      </w:r>
    </w:p>
    <w:p w14:paraId="1ADD8EBC"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и юго-западнее озера Ильмень наши войска продолжали развивать успешное наступление и овладели районным центром Ленинградской области городом Сольцы. Части другого нашего соединения стремительными ударами овладели районными центрами Ленинградской области Волот и Поддорье, а также заняли много других населённых пунктов. Противник несёт большие потери в живой силе и технике. Бойцы Н-ского соединения в течение дня истребили два батальона гитлеровцев. Захвачены трофеи, в числе которых 30 орудий и миномётов, 52 пулемёта, 5 радиостанций, большой обоз с военными материалами, 9 складов с боеприпасами, горючим и с продовольствием. Взята в плен большая группа немецких солдат и офицеров.</w:t>
      </w:r>
    </w:p>
    <w:p w14:paraId="40B97D6A"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Криворожском направлении наши войска перешли в наступление и, сломив сопротивление противника, штурмом овладели узловой железнодорожной станцией Долгинцево, а также заняли более 50 других населённых пунктов. Развивая успех, наши войска вплотную подошли к городу Кривой Рог и завязали бои на окраинах города. Стремясь любой ценой удержать Кривой Рог в своих руках, немцы спешно подтянули крупные силы пехоты и танков и неоднократно бросались в контратаки. Применяя обходный манёвр, части Н-ского соединения окружили и уничтожили вражеские гарнизоны в ряде крупных населённых пунктов. Истреблено до 1.500 немецких солдат и офицеров. Наши войска, действующие южнее Кривого Рога, отбили ожесточённые контратаки противника и с боями продвигались вперёд. Разгромлено два полка немецкой пехоты. Захвачено 40 орудий, 67 пулемётов, 327 автомашин и другие трофеи.</w:t>
      </w:r>
    </w:p>
    <w:p w14:paraId="270D316A"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Балтийском море потоплен транспорт противника водоизмещением в 5 тысяч тонн.</w:t>
      </w:r>
    </w:p>
    <w:p w14:paraId="402D642F"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Украинский партизанский отряд имени 24 годовщины Красной Армии напал на немецкий гарнизон, расположенный в районном центре Волынской области. Гитлеровцы, укрывшись в каменных зданиях, оказывали упорное сопротивление. Партизаны в течение трёх дней вели бой с противником и уничтожили до 200 вражеских солдат и офицеров. Захвачен обоз с боеприпасами, 160 автоматов и винтовок и другие трофеи. Партизаны другого отряда подорвали на минах эшелон с немецкой жандармерией и полицией. Убито и ранено много гитлеровцев.</w:t>
      </w:r>
    </w:p>
    <w:p w14:paraId="28692D27"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Взятый в плен в районе Корсунь-Шевченковский переводчик штаба 57 немецкой пехотной дивизии лейтенант Винеке рассказал: «В бесплодных попытках прорвать кольцо окружения наша дивизия понесла чудовищные потери. Роты таяли не по дням, а по часам. На 16 февраля в полках осталось по 40-50-человек. Многие офицеры видели всю безнадежность нашего положения и считали дальнейшее сопротивление безумием. Мы надеялись, что после сталинградской катастрофы, которая потрясла всю Германию, Гитлер не решится на новую авантюру. Однако мы ошиблись.Сталинградская трагедия повторилась в Приднепровье. Ради сохранения своего престижа Гитлер снова пожертвовал десятками тысяч жизней солдат и офицеров».</w:t>
      </w:r>
    </w:p>
    <w:p w14:paraId="65F5EEFB"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Итоги месячного наступления войск Ленинградского и Волховского фронтов</w:t>
      </w:r>
    </w:p>
    <w:p w14:paraId="26DE0DC5"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Ленинградского фронта в первой половине января месяца перешли в наступление против немецко-фашистских войск, державших в осаде город Ленинград; одновременно войска Волховского фронта начали наступление на город Новгород.</w:t>
      </w:r>
    </w:p>
    <w:p w14:paraId="2FC2F856"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Ленинградского фронта ударами из районов Пулково и южнее Ораниенбаум прорвали сильно укреплённую, глубоко эшелонированную долговременную оборону немцев к юго-западу от Ленинграда. В то же время войска Волховского фронта, форсировав реку Волхов и верховье озера Ильмень, также успешно прорвали сильно укреплённую долговременную оборону немцев севернее и южнее Новгорода.</w:t>
      </w:r>
    </w:p>
    <w:p w14:paraId="65BDD6CD"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Наши войска, широко применяя обходные манёвры в сочетании с фронтальными ударами, в первые 5-6 дней наступления овладели основными укреплёнными опорными пунктами немецкой обороны городами Красное Село, Ропша, Новгород, гарнизоны которых были окружены и уничтожены. Под ударами наших войск потерпела крушение сильнейшая оборона немцев, которую они сами расценивали, как неприступный и непреодолимый «северный вал», как «стальное кольцо» блокады Ленинграда.</w:t>
      </w:r>
    </w:p>
    <w:p w14:paraId="3EE67554"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Преследуя разбитые части немцев, наши войска в ходе непрерывного наступления последовательно выбили противника с ряда промежуточных укреплённых рубежей на подступах к реке Луга и подошли к этой реке, где немцы пытались остановить наше наступление на заблаговременно построенном сильном оборонительном рубеже. Однако решительными и умелыми действиями наших войск река Луга была форсирована, а немецкие позиции на этой реке были прорваны в районе города Луга и обойдены сфлангов южнее Кингисепп и станции Батецкая.</w:t>
      </w:r>
    </w:p>
    <w:p w14:paraId="2A2FDED9"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В ходе наступления наши войска за месяц боёв продвинулись вперёд на 150-250 километров, очистили от противника побережье Финского залива до устья реки Нарва и всю территорию восточнее реки Нарва и Чудского озера, выйдя на линию Середка, Струги Красные, Плюсса, Уторгош, Шимск. Нашими войсками освобождены города Петергоф, Урицк, Ропша, Красное Село, Пушкин, Павловск, Гатчина, Мга, Тосно, Кингисепп, Гдов, Луга, Любань, Чудово, Новгород, районные центры Ленинградской области Волосово, Осьмино, Ляды, Полна, Плюсса, Оредеж, Батецкая, Уторгош, Шимски около 4.000 других населённых пунктов.</w:t>
      </w:r>
    </w:p>
    <w:p w14:paraId="098501AD"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Освобождена важнейшая железнодорожная магистраль, связывающая Ленинград с Москвой, — Октябрьская железная дорога, а также освобождены железнодорожные линии Ленинград-Вологда, Ленинград-Мга-Рыбинск, Ленинград-Новгород, Ленинград-Батецкая, Ленинград-Луга, Ленинград-Ораниенбаум-Веймарн, Ленинград-Кингисепп, Веймарн-Гдов, Гатчина-Тосно.</w:t>
      </w:r>
    </w:p>
    <w:p w14:paraId="4E9E1154"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месяц боёв нанесено тяжёлое поражение основным силам 18 армии немцев в составе: 11, 21, 24, 58, 61, 121, 126, 170, 212, 215, 225, 227, 290 пехотных, 8 и 28 лёгкопехотных, 1, 9, 10, 12, 13 авиаполевых дивизий, полицейской дивизии СС, испанского легиона; танково-гренадерских дивизий СС «Нидерланды»,«Нордланд», «Фельдхернхалле», а также 12 танковой дивизии. Разгромлена крупная артиллерийская группировка тяжёлой артиллерии главного командования немецкой армии, обстреливавшая Ленинград и имевшая на своём вооружении 320 орудий калибром от 150 до 406 миллиметров.</w:t>
      </w:r>
    </w:p>
    <w:p w14:paraId="210BA84C"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Уничтожено: самолётов — 97, танков — 275, орудий разного калибра — 1.962, в том числе орудий калибра от 150 до 406 мм — 102, миномётов — 2.235, пулемётов —3.642, автомашин — 4.278, складов разных — 460.</w:t>
      </w:r>
    </w:p>
    <w:p w14:paraId="57442AD9"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Противник потерял только убитыми свыше 90.000 солдат и офицеров.</w:t>
      </w:r>
    </w:p>
    <w:p w14:paraId="6D2CAC5C"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Нашими войсками захвачены следующие трофеи: танков — 189, орудий разного калибра — 1.852, в том числе орудий калибра от 150 до 406 мм — 178; миномётов —2.543, пулемётов — 4.660, винтовок и автоматов — 42.000, снарядов разного калибра — более 1.000.000, патронов — 17.000.000, автомашин — 2.648, железнодорожных вагонов — 615, складов с военным имуществом — 353.</w:t>
      </w:r>
    </w:p>
    <w:p w14:paraId="65DD23FB"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Взято в плен 7.200 немецких солдат и офицеров.» (15047).</w:t>
      </w:r>
    </w:p>
    <w:p w14:paraId="6FBA3703" w14:textId="77777777" w:rsidR="00E32A8C" w:rsidRPr="007224C3" w:rsidRDefault="00E32A8C" w:rsidP="007224C3">
      <w:pPr>
        <w:spacing w:after="0" w:line="240" w:lineRule="auto"/>
        <w:jc w:val="both"/>
        <w:rPr>
          <w:rFonts w:ascii="Times New Roman" w:hAnsi="Times New Roman"/>
          <w:color w:val="000000" w:themeColor="text1"/>
          <w:sz w:val="16"/>
          <w:szCs w:val="16"/>
        </w:rPr>
      </w:pPr>
    </w:p>
    <w:p w14:paraId="55DD5E55"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21 февраля</w:t>
      </w:r>
      <w:r w:rsidRPr="007224C3">
        <w:rPr>
          <w:rFonts w:ascii="Times New Roman" w:hAnsi="Times New Roman"/>
          <w:color w:val="000000" w:themeColor="text1"/>
          <w:sz w:val="16"/>
          <w:szCs w:val="16"/>
        </w:rPr>
        <w:t xml:space="preserve"> в 1944 году началась Рогачевско-Жлобинская наступательная операция войск 1-го Белорусского фронта (15047).</w:t>
      </w:r>
    </w:p>
    <w:p w14:paraId="2878C09E" w14:textId="77777777" w:rsidR="00E32A8C" w:rsidRPr="007224C3" w:rsidRDefault="00E32A8C" w:rsidP="007224C3">
      <w:pPr>
        <w:spacing w:after="0" w:line="240" w:lineRule="auto"/>
        <w:jc w:val="both"/>
        <w:rPr>
          <w:rFonts w:ascii="Times New Roman" w:hAnsi="Times New Roman"/>
          <w:color w:val="000000" w:themeColor="text1"/>
          <w:sz w:val="16"/>
          <w:szCs w:val="16"/>
        </w:rPr>
      </w:pPr>
    </w:p>
    <w:p w14:paraId="3B8229C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C 21 по 26 февраля 1944 была Рогачевско-Жлобинская операция. Уничтожили плацдарм немцев на левом берегу Днепра и заняли свой плацдарм на правом берегу. Продвинулись на 25 км на 60 км фронте (2443,80).</w:t>
      </w:r>
    </w:p>
    <w:p w14:paraId="0B8A13A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20F5BD" w14:textId="77777777" w:rsidR="00E32A8C"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Жизнь и внутренняя политика:</w:t>
      </w:r>
    </w:p>
    <w:p w14:paraId="4A80281B" w14:textId="77777777" w:rsidR="00E32A8C" w:rsidRPr="007224C3" w:rsidRDefault="00E32A8C"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18F627C"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21 февраля</w:t>
      </w:r>
      <w:r w:rsidRPr="007224C3">
        <w:rPr>
          <w:rFonts w:ascii="Times New Roman" w:hAnsi="Times New Roman"/>
          <w:color w:val="000000" w:themeColor="text1"/>
          <w:sz w:val="16"/>
          <w:szCs w:val="16"/>
        </w:rPr>
        <w:t xml:space="preserve"> в 1944 году руководство Еврейского Антифашистского Комитета СССР обратилось к В.М.Молотову с предложением создать Еврейскую Советскую Социалистическую Республику на территории Крыма или в Поволжье на территории, где в прошлом была республика немцев. Молотов отрицательно отнесся к идее создания Еврейской автономии на Волге: «евреи — народ городской и нельзя сажать евреев за трактор», а в отношении Крыма предложил написать письмо советскому руководству (15047).</w:t>
      </w:r>
    </w:p>
    <w:p w14:paraId="64C1FE3F" w14:textId="77777777" w:rsidR="00E32A8C" w:rsidRPr="007224C3" w:rsidRDefault="00E32A8C" w:rsidP="007224C3">
      <w:pPr>
        <w:spacing w:after="0" w:line="240" w:lineRule="auto"/>
        <w:jc w:val="both"/>
        <w:rPr>
          <w:rFonts w:ascii="Times New Roman" w:hAnsi="Times New Roman"/>
          <w:color w:val="000000" w:themeColor="text1"/>
          <w:sz w:val="16"/>
          <w:szCs w:val="16"/>
        </w:rPr>
      </w:pPr>
    </w:p>
    <w:p w14:paraId="01439081"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Внешняя политика:</w:t>
      </w:r>
    </w:p>
    <w:p w14:paraId="180B61A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7AD433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 февраля 1944 года</w:t>
      </w:r>
    </w:p>
    <w:p w14:paraId="1CF97A2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ЛИЧНО И СЕКРЕТНО ОТ ПРЕМЬЕРА И. В. СТАЛИНА ПРЕЗИДЕНТУ Ф. Д. РУЗВЕЛЬТУ</w:t>
      </w:r>
    </w:p>
    <w:p w14:paraId="29CF029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Ваше послание от 18 февраля получил. Благодарю за сообщение.</w:t>
      </w:r>
    </w:p>
    <w:p w14:paraId="05A33EB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Оно, однако, не исчерпывает вопроса, поскольку в нем ничего не говорится об англо-американских миноносцах и подводных лодках взамен итальянских (восьми миноносцев и четырех подводных лодок), как это было решено в Тегеране. Я надеюсь получить скорый ответ по этим вопросам, затронутым в моем послании от 29 января (7430).</w:t>
      </w:r>
    </w:p>
    <w:p w14:paraId="62A9211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668F0A"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21 февраля</w:t>
      </w:r>
      <w:r w:rsidRPr="007224C3">
        <w:rPr>
          <w:rFonts w:ascii="Times New Roman" w:hAnsi="Times New Roman"/>
          <w:color w:val="000000" w:themeColor="text1"/>
          <w:sz w:val="16"/>
          <w:szCs w:val="16"/>
        </w:rPr>
        <w:t xml:space="preserve"> в 1944 году германский посланник в Хельсинки В.Блюхер заявил министру иностранных дел Финляндии, что сепаратные переговоры о мире с СССР являются предательством со всеми вытекающими отсюда последствиями (15047).</w:t>
      </w:r>
    </w:p>
    <w:p w14:paraId="328A262F" w14:textId="77777777" w:rsidR="00E32A8C" w:rsidRPr="007224C3" w:rsidRDefault="00E32A8C" w:rsidP="007224C3">
      <w:pPr>
        <w:spacing w:after="0" w:line="240" w:lineRule="auto"/>
        <w:jc w:val="both"/>
        <w:rPr>
          <w:rFonts w:ascii="Times New Roman" w:hAnsi="Times New Roman"/>
          <w:color w:val="000000" w:themeColor="text1"/>
          <w:sz w:val="16"/>
          <w:szCs w:val="16"/>
        </w:rPr>
      </w:pPr>
    </w:p>
    <w:p w14:paraId="78E7B1B6"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6B998EB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302E779" w14:textId="77777777" w:rsidR="003700E8" w:rsidRPr="007224C3" w:rsidRDefault="003700E8"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21 февраля 1941 британский авианосец HMS Chaser присоединяется к эскорту арктического конвоя JW 57, направлявшегося из Лох-Эве, Шотландия, в Кольский залив в Советском Союзе. Это первый раз, когда авианосец сопровождал арктический конвой с февраля 1943 года. К тому времени, когда Чейзер вернется в Скапа-Флоу 9 марта после сопровождения возвращающегося конвоя RA 57, его самолеты потопили или участвовал в потоплении трех немецких подводных лодок. Было потеряно только одно торговое судно (20373).</w:t>
      </w:r>
    </w:p>
    <w:p w14:paraId="017704B2" w14:textId="77777777" w:rsidR="003700E8" w:rsidRPr="007224C3" w:rsidRDefault="003700E8" w:rsidP="007224C3">
      <w:pPr>
        <w:spacing w:after="0" w:line="240" w:lineRule="auto"/>
        <w:jc w:val="both"/>
        <w:rPr>
          <w:rFonts w:ascii="Times New Roman" w:hAnsi="Times New Roman"/>
          <w:color w:val="0070C0"/>
          <w:sz w:val="16"/>
          <w:szCs w:val="16"/>
        </w:rPr>
      </w:pPr>
    </w:p>
    <w:p w14:paraId="4DFBDE2E" w14:textId="77777777" w:rsidR="003700E8" w:rsidRPr="007224C3" w:rsidRDefault="003700E8"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21 февраля 1944 года был облетан головной самолет «Бэкингем» B Mk. 1 с «центаврами» Mk. VII/Mk. XI (правый/левый), весной начались его поставки, но в боевых операциях «Бэкингем» широкого участия так и не принял. Фирма акцентировала внимание на преимуществе в дальности, но Заказчик не внял аргументам и урезал контракт до 119 машин. Штаб Бомбардировочного Командования решил не ломать устоявшуюся тактику и схему разделения боевых задач с американской авиацией. Было решено использовать «Бэкингем» в качестве курьерского, и после сдачи 54-го серийного экземпляра самолет начал поставляться именно в таком варианте под индексом С. Mk 1. Еще до конца года бомбардировщики B Mk. 1 начали передаваться в учебные части, в мае 1945-го их эксплуатация была прекращена, а фирме «Бристоль» в качестве «утешительного приза» поручили создать на его базе учебный самолет и дальний торпедоносец-бомбардировщик, о котором мы поговорим в будущем (22899).</w:t>
      </w:r>
    </w:p>
    <w:p w14:paraId="5287696C" w14:textId="77777777" w:rsidR="003700E8" w:rsidRPr="007224C3" w:rsidRDefault="003700E8" w:rsidP="007224C3">
      <w:pPr>
        <w:spacing w:after="0" w:line="240" w:lineRule="auto"/>
        <w:jc w:val="both"/>
        <w:rPr>
          <w:rFonts w:ascii="Times New Roman" w:hAnsi="Times New Roman"/>
          <w:color w:val="0070C0"/>
          <w:sz w:val="16"/>
          <w:szCs w:val="16"/>
        </w:rPr>
      </w:pPr>
    </w:p>
    <w:p w14:paraId="7D062A7F"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 февраля 1944 г. ПРОТОКОЛЬНАЯ ЗАПИСЬ СОВЕЩАНИЯ ПО ВОПРОСУ ОБ УЧАСТИИ МОНОПОЛИЙ НАЦИСТСКОЙ ГЕРМАНИИ О РАЗДЕЛЕ И ВЫВОЗЕ ПРОМЫШЛЕННЫХ ПРЕДПРИЯТИЙ СОВЕТСКОГО СОЮЗА</w:t>
      </w:r>
    </w:p>
    <w:p w14:paraId="709946BD"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Гор. Берлин</w:t>
      </w:r>
    </w:p>
    <w:p w14:paraId="433BC38F"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Присутствовали господа:</w:t>
      </w:r>
    </w:p>
    <w:p w14:paraId="66CA2B60"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Росскопф и Клинкхард Максхютте</w:t>
      </w:r>
    </w:p>
    <w:p w14:paraId="74EEE753"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Холтей группа Лауххаммер</w:t>
      </w:r>
    </w:p>
    <w:p w14:paraId="0C2D591C"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Маттнер группа Хавель</w:t>
      </w:r>
    </w:p>
    <w:p w14:paraId="42C047AF"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Цикфельдт Ромбах</w:t>
      </w:r>
    </w:p>
    <w:p w14:paraId="658AED79"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Теннхардт концерн Делен</w:t>
      </w:r>
    </w:p>
    <w:p w14:paraId="1DC52030"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Рихтер «Днепросталь»</w:t>
      </w:r>
    </w:p>
    <w:p w14:paraId="2E709420"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Мюллер «Миттельшталь»</w:t>
      </w:r>
    </w:p>
    <w:p w14:paraId="2FEF5C6E"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 вступительном слове д-р Мюллер информирует господ о согла</w:t>
      </w:r>
      <w:r w:rsidRPr="007224C3">
        <w:rPr>
          <w:rFonts w:ascii="Times New Roman" w:hAnsi="Times New Roman"/>
          <w:color w:val="000000" w:themeColor="text1"/>
          <w:sz w:val="16"/>
          <w:szCs w:val="16"/>
        </w:rPr>
        <w:softHyphen/>
        <w:t>шении, которое достигнуто относительно раздела складов.</w:t>
      </w:r>
    </w:p>
    <w:p w14:paraId="0CB9A269"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Общество с ограниченными правами «Днепросталь» передало скла</w:t>
      </w:r>
      <w:r w:rsidRPr="007224C3">
        <w:rPr>
          <w:rFonts w:ascii="Times New Roman" w:hAnsi="Times New Roman"/>
          <w:color w:val="000000" w:themeColor="text1"/>
          <w:sz w:val="16"/>
          <w:szCs w:val="16"/>
        </w:rPr>
        <w:softHyphen/>
        <w:t>ды компании «Бергхютте Ост», причем склады из Торна, Данцига и Ке</w:t>
      </w:r>
      <w:r w:rsidRPr="007224C3">
        <w:rPr>
          <w:rFonts w:ascii="Times New Roman" w:hAnsi="Times New Roman"/>
          <w:color w:val="000000" w:themeColor="text1"/>
          <w:sz w:val="16"/>
          <w:szCs w:val="16"/>
        </w:rPr>
        <w:softHyphen/>
        <w:t>нигсберга тем временем должны быть перевезены в Верхнюю Силезию. Ответственный за управление складами: г-н диплом-инженер Кинне, Гляйвиц, Верхняя Силезия, Бойтнерштрассе, 6 (тел.: Гляйвиц, 36-38), а также г-н д-р Лют, Берлин SO — 16, Копеникерштрассе, 82 (тел.: 67-35-47). Интересы «Рейхсверке Герман Геринг» представляет машинострои</w:t>
      </w:r>
      <w:r w:rsidRPr="007224C3">
        <w:rPr>
          <w:rFonts w:ascii="Times New Roman" w:hAnsi="Times New Roman"/>
          <w:color w:val="000000" w:themeColor="text1"/>
          <w:sz w:val="16"/>
          <w:szCs w:val="16"/>
        </w:rPr>
        <w:softHyphen/>
        <w:t>тельное управление, г-н профессор Биретт, в то время как окончательное решение о распределении складов и приеме имущества, еще подлежаще</w:t>
      </w:r>
      <w:r w:rsidRPr="007224C3">
        <w:rPr>
          <w:rFonts w:ascii="Times New Roman" w:hAnsi="Times New Roman"/>
          <w:color w:val="000000" w:themeColor="text1"/>
          <w:sz w:val="16"/>
          <w:szCs w:val="16"/>
        </w:rPr>
        <w:softHyphen/>
        <w:t>го разделу, остается за г-ном государственным советником Шибером, а также за бюро г-на директора Шликера.</w:t>
      </w:r>
    </w:p>
    <w:p w14:paraId="48983D55"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Задачей совещания было: согласовать между собой требования от</w:t>
      </w:r>
      <w:r w:rsidRPr="007224C3">
        <w:rPr>
          <w:rFonts w:ascii="Times New Roman" w:hAnsi="Times New Roman"/>
          <w:color w:val="000000" w:themeColor="text1"/>
          <w:sz w:val="16"/>
          <w:szCs w:val="16"/>
        </w:rPr>
        <w:softHyphen/>
        <w:t>дельных групп. Достигли единого мнения, что тот концерн, который пред</w:t>
      </w:r>
      <w:r w:rsidRPr="007224C3">
        <w:rPr>
          <w:rFonts w:ascii="Times New Roman" w:hAnsi="Times New Roman"/>
          <w:color w:val="000000" w:themeColor="text1"/>
          <w:sz w:val="16"/>
          <w:szCs w:val="16"/>
        </w:rPr>
        <w:softHyphen/>
        <w:t>ставит лучшие документальные обоснования на металл и сталь, должен получить наибольшие преимущества при распределении, причем, конеч</w:t>
      </w:r>
      <w:r w:rsidRPr="007224C3">
        <w:rPr>
          <w:rFonts w:ascii="Times New Roman" w:hAnsi="Times New Roman"/>
          <w:color w:val="000000" w:themeColor="text1"/>
          <w:sz w:val="16"/>
          <w:szCs w:val="16"/>
        </w:rPr>
        <w:softHyphen/>
        <w:t>но, при определении количества требуемого металла и стали в бюро Шликера будут подходить, согласно опыту, с широких позиций. Что ка</w:t>
      </w:r>
      <w:r w:rsidRPr="007224C3">
        <w:rPr>
          <w:rFonts w:ascii="Times New Roman" w:hAnsi="Times New Roman"/>
          <w:color w:val="000000" w:themeColor="text1"/>
          <w:sz w:val="16"/>
          <w:szCs w:val="16"/>
        </w:rPr>
        <w:softHyphen/>
        <w:t>сается нас, то было бы целесообразнее не указывать на необходимость получения металла и стали, согласно документам; нам ясно, однако, что мы имеем основания требовать, при соответствующем обосновании, спе</w:t>
      </w:r>
      <w:r w:rsidRPr="007224C3">
        <w:rPr>
          <w:rFonts w:ascii="Times New Roman" w:hAnsi="Times New Roman"/>
          <w:color w:val="000000" w:themeColor="text1"/>
          <w:sz w:val="16"/>
          <w:szCs w:val="16"/>
        </w:rPr>
        <w:softHyphen/>
        <w:t>циализированные машины для особой продукции.</w:t>
      </w:r>
    </w:p>
    <w:p w14:paraId="1375BFA5"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Наряду с требованиями на специализированные машины для особо</w:t>
      </w:r>
      <w:r w:rsidRPr="007224C3">
        <w:rPr>
          <w:rFonts w:ascii="Times New Roman" w:hAnsi="Times New Roman"/>
          <w:color w:val="000000" w:themeColor="text1"/>
          <w:sz w:val="16"/>
          <w:szCs w:val="16"/>
        </w:rPr>
        <w:softHyphen/>
        <w:t>го применения концерн может доложить о своей потребности в машинах общего назначения, таких как строгальные станки, сверлильные, шлифо</w:t>
      </w:r>
      <w:r w:rsidRPr="007224C3">
        <w:rPr>
          <w:rFonts w:ascii="Times New Roman" w:hAnsi="Times New Roman"/>
          <w:color w:val="000000" w:themeColor="text1"/>
          <w:sz w:val="16"/>
          <w:szCs w:val="16"/>
        </w:rPr>
        <w:softHyphen/>
        <w:t>вальные, ручные сверлильные, далее — о потребности в электромоторах, а также в складских и электроматериалах, в том числе в химикалиях и в лабораторном оборудовании, в арматуре, проволоке, домкратах, цепях, слесарных инструментах и талях, что можно обосновать как остро необ</w:t>
      </w:r>
      <w:r w:rsidRPr="007224C3">
        <w:rPr>
          <w:rFonts w:ascii="Times New Roman" w:hAnsi="Times New Roman"/>
          <w:color w:val="000000" w:themeColor="text1"/>
          <w:sz w:val="16"/>
          <w:szCs w:val="16"/>
        </w:rPr>
        <w:softHyphen/>
        <w:t>ходимый ремонтный материал.</w:t>
      </w:r>
    </w:p>
    <w:p w14:paraId="2745E7A6"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По этим общим заявкам вначале будет отмечено только количество требуемых заводами материалов, без окончательного распределения, поскольку оказалось бесполезно начинать окончательное распределение, пока не установлено еще, как велики претензии группы Флика на эти материалы и на долю в машинах общего назначения. Так как в справке, представленной в наше распоряжение г-ном Рихтером из «Днепросталь» относительно складов и распределения, ничего не сказано о вывезенном с Украины имуществе, мы с полным основанием считаем, что имеем пра</w:t>
      </w:r>
      <w:r w:rsidRPr="007224C3">
        <w:rPr>
          <w:rFonts w:ascii="Times New Roman" w:hAnsi="Times New Roman"/>
          <w:color w:val="000000" w:themeColor="text1"/>
          <w:sz w:val="16"/>
          <w:szCs w:val="16"/>
        </w:rPr>
        <w:softHyphen/>
        <w:t>во предъявить требование на удовлетворение 100% заявок группы Фли</w:t>
      </w:r>
      <w:r w:rsidRPr="007224C3">
        <w:rPr>
          <w:rFonts w:ascii="Times New Roman" w:hAnsi="Times New Roman"/>
          <w:color w:val="000000" w:themeColor="text1"/>
          <w:sz w:val="16"/>
          <w:szCs w:val="16"/>
        </w:rPr>
        <w:softHyphen/>
        <w:t>ка, так как данное имущество во много раз превышает наши заявки.</w:t>
      </w:r>
    </w:p>
    <w:p w14:paraId="3FD48274"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данным г-на Рихтера, склад в Торне содержит округленно 110 т, склад в Данциге — округленно 100 т, в Кенигсберге — 50 т, Заальбурге — 150 т, в то время как бывший склад в Одерберге, содержавший мелкие материалы, не может оцениваться по весу. В целом, однако, содержимое складов оценивается в 500 т (округленно).</w:t>
      </w:r>
    </w:p>
    <w:p w14:paraId="569D69FD"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 предоставленной нам доли колеблется между 600 и 700 т, после чего мы прежде всего намереваемся потребовать еще складские матери</w:t>
      </w:r>
      <w:r w:rsidRPr="007224C3">
        <w:rPr>
          <w:rFonts w:ascii="Times New Roman" w:hAnsi="Times New Roman"/>
          <w:color w:val="000000" w:themeColor="text1"/>
          <w:sz w:val="16"/>
          <w:szCs w:val="16"/>
        </w:rPr>
        <w:softHyphen/>
        <w:t>алы и электроматериалы, арматуру и т. д. приблизительно на 100-200 т.</w:t>
      </w:r>
    </w:p>
    <w:p w14:paraId="6FF8048C"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Вывезенное с Украины имущество находится в 900 вагонах, каждый по 15 т, что ориентировочно дает около 1300 т веса. Из этого количества мы также должны не упустить определенные требования для нашей груп</w:t>
      </w:r>
      <w:r w:rsidRPr="007224C3">
        <w:rPr>
          <w:rFonts w:ascii="Times New Roman" w:hAnsi="Times New Roman"/>
          <w:color w:val="000000" w:themeColor="text1"/>
          <w:sz w:val="16"/>
          <w:szCs w:val="16"/>
        </w:rPr>
        <w:softHyphen/>
        <w:t>пы, как, например, уже сделала компания Линке — Гофман насчет дос</w:t>
      </w:r>
      <w:r w:rsidRPr="007224C3">
        <w:rPr>
          <w:rFonts w:ascii="Times New Roman" w:hAnsi="Times New Roman"/>
          <w:color w:val="000000" w:themeColor="text1"/>
          <w:sz w:val="16"/>
          <w:szCs w:val="16"/>
        </w:rPr>
        <w:softHyphen/>
        <w:t>тавленных туда паровозов, требующих ремонта.</w:t>
      </w:r>
    </w:p>
    <w:p w14:paraId="18D34F72"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заключение нужно указать, что мы имеем особое, предпочтитель</w:t>
      </w:r>
      <w:r w:rsidRPr="007224C3">
        <w:rPr>
          <w:rFonts w:ascii="Times New Roman" w:hAnsi="Times New Roman"/>
          <w:color w:val="000000" w:themeColor="text1"/>
          <w:sz w:val="16"/>
          <w:szCs w:val="16"/>
        </w:rPr>
        <w:softHyphen/>
        <w:t>ное право на возвращение части поставленных нашими заводами машин (ср. склад в Заальбурге, ст. 6., склад в Данциге, ст. 11).</w:t>
      </w:r>
    </w:p>
    <w:p w14:paraId="7D9B8122"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Относительно наших требований мы договорились о следующем (склад в Торне не успели запросить за недостатком времени).</w:t>
      </w:r>
    </w:p>
    <w:p w14:paraId="51B5E272"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Машины специального назначения</w:t>
      </w:r>
    </w:p>
    <w:p w14:paraId="49BD1B3C"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этого требуется точное обоснование предприятий, в случае не</w:t>
      </w:r>
      <w:r w:rsidRPr="007224C3">
        <w:rPr>
          <w:rFonts w:ascii="Times New Roman" w:hAnsi="Times New Roman"/>
          <w:color w:val="000000" w:themeColor="text1"/>
          <w:sz w:val="16"/>
          <w:szCs w:val="16"/>
        </w:rPr>
        <w:softHyphen/>
        <w:t>обходимости приложение удостоверений о разрешении заявок или за</w:t>
      </w:r>
      <w:r w:rsidRPr="007224C3">
        <w:rPr>
          <w:rFonts w:ascii="Times New Roman" w:hAnsi="Times New Roman"/>
          <w:color w:val="000000" w:themeColor="text1"/>
          <w:sz w:val="16"/>
          <w:szCs w:val="16"/>
        </w:rPr>
        <w:softHyphen/>
        <w:t>казов на машины.</w:t>
      </w:r>
    </w:p>
    <w:p w14:paraId="76CAB53E"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а) Машины общего назначения;</w:t>
      </w:r>
    </w:p>
    <w:p w14:paraId="599813AB"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детали машины;</w:t>
      </w:r>
    </w:p>
    <w:p w14:paraId="3A37629C"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машины, которые должны быть предоставлены группе Флика. По пунктам 2а и 26 может понадобиться наряду с обоснованием прило</w:t>
      </w:r>
      <w:r w:rsidRPr="007224C3">
        <w:rPr>
          <w:rFonts w:ascii="Times New Roman" w:hAnsi="Times New Roman"/>
          <w:color w:val="000000" w:themeColor="text1"/>
          <w:sz w:val="16"/>
          <w:szCs w:val="16"/>
        </w:rPr>
        <w:softHyphen/>
        <w:t>жение документов на железо и металл.</w:t>
      </w:r>
    </w:p>
    <w:p w14:paraId="79CECC31"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Моторы.</w:t>
      </w:r>
    </w:p>
    <w:p w14:paraId="0D7C659F"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Точно так же нужны обоснования, документы на металл и железо.</w:t>
      </w:r>
    </w:p>
    <w:p w14:paraId="785334F0"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а) Материалы складские (в общем);</w:t>
      </w:r>
    </w:p>
    <w:p w14:paraId="2B22D386"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электроматериалы (в общем);</w:t>
      </w:r>
    </w:p>
    <w:p w14:paraId="72198ABA"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химикалии и лабораторное оборудование;</w:t>
      </w:r>
    </w:p>
    <w:p w14:paraId="58EBF39C"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 арматура;</w:t>
      </w:r>
    </w:p>
    <w:p w14:paraId="6EED9331"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 инструменты;</w:t>
      </w:r>
    </w:p>
    <w:p w14:paraId="2B34B1BE"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е) проволока и цепи;</w:t>
      </w:r>
    </w:p>
    <w:p w14:paraId="1F939214"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ж) толь и домкраты.</w:t>
      </w:r>
    </w:p>
    <w:p w14:paraId="7B57CAC0"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Фотомножительные аппараты.</w:t>
      </w:r>
    </w:p>
    <w:p w14:paraId="720A1E82"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этим предметам, наряду с общим обоснованием и при необходи</w:t>
      </w:r>
      <w:r w:rsidRPr="007224C3">
        <w:rPr>
          <w:rFonts w:ascii="Times New Roman" w:hAnsi="Times New Roman"/>
          <w:color w:val="000000" w:themeColor="text1"/>
          <w:sz w:val="16"/>
          <w:szCs w:val="16"/>
        </w:rPr>
        <w:softHyphen/>
        <w:t>мости, приложением документов на железо и металл, целесообразно предъявить принятые ранее основные положения о том, в каком размере должна участвовать в разделе группа Флика.</w:t>
      </w:r>
    </w:p>
    <w:p w14:paraId="09415DB0"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статьям 1-4 должно быть распределено все:</w:t>
      </w:r>
    </w:p>
    <w:p w14:paraId="2BB3D12D"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I. По спискам складов, т. е. согласно наличию.</w:t>
      </w:r>
    </w:p>
    <w:p w14:paraId="2C6C7394"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II. По заказам, которые должны быть приняты от нас.</w:t>
      </w:r>
    </w:p>
    <w:p w14:paraId="579AD280"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Мюллер</w:t>
      </w:r>
    </w:p>
    <w:p w14:paraId="698A5B41" w14:textId="77777777" w:rsidR="00E32A8C" w:rsidRPr="007224C3" w:rsidRDefault="00E3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Печатается по: Преступные цели — преступные средства. М., 1985. С. 293-295.</w:t>
      </w:r>
    </w:p>
    <w:p w14:paraId="7BDBB5E2" w14:textId="77777777" w:rsidR="00E32A8C" w:rsidRPr="007224C3" w:rsidRDefault="00E32A8C" w:rsidP="007224C3">
      <w:pPr>
        <w:spacing w:after="0" w:line="240" w:lineRule="auto"/>
        <w:jc w:val="both"/>
        <w:rPr>
          <w:rFonts w:ascii="Times New Roman" w:hAnsi="Times New Roman"/>
          <w:color w:val="000000" w:themeColor="text1"/>
          <w:sz w:val="16"/>
          <w:szCs w:val="16"/>
        </w:rPr>
      </w:pPr>
    </w:p>
    <w:p w14:paraId="36DDA72C"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 февраля 1944 США потребовали от Ирландии высылки из Дублина немецких и японских дипломатов (4962).</w:t>
      </w:r>
    </w:p>
    <w:p w14:paraId="7063176D"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486A5A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 февраля 1944 в США на NBC состоялась первая регулярная еженедельная телепрограмма War as it happens (3263,92).</w:t>
      </w:r>
    </w:p>
    <w:p w14:paraId="5C8D2D9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19D4DD"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0D07FD2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688677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февраля 1944 закончились заводские испытания тяжелого ш Ил-8 с АМ-42, которые начались 10 мая 1943 (3846,19).</w:t>
      </w:r>
    </w:p>
    <w:p w14:paraId="39F6EC7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DA8B1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22 февраля 1944 г. с 10 мая 1943 г. на Ил-АМ-42 (экз. № 1) в общей сложности в период было выпол</w:t>
      </w:r>
      <w:r w:rsidRPr="007224C3">
        <w:rPr>
          <w:rFonts w:ascii="Times New Roman" w:hAnsi="Times New Roman"/>
          <w:color w:val="000000" w:themeColor="text1"/>
          <w:sz w:val="16"/>
          <w:szCs w:val="16"/>
        </w:rPr>
        <w:softHyphen/>
        <w:t>нено 40 полетов с суммарным нале</w:t>
      </w:r>
      <w:r w:rsidRPr="007224C3">
        <w:rPr>
          <w:rFonts w:ascii="Times New Roman" w:hAnsi="Times New Roman"/>
          <w:color w:val="000000" w:themeColor="text1"/>
          <w:sz w:val="16"/>
          <w:szCs w:val="16"/>
        </w:rPr>
        <w:softHyphen/>
        <w:t>том 21 час 9 минут.</w:t>
      </w:r>
    </w:p>
    <w:p w14:paraId="6B15CBF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полетном весе 7200 кг с вин</w:t>
      </w:r>
      <w:r w:rsidRPr="007224C3">
        <w:rPr>
          <w:rFonts w:ascii="Times New Roman" w:hAnsi="Times New Roman"/>
          <w:color w:val="000000" w:themeColor="text1"/>
          <w:sz w:val="16"/>
          <w:szCs w:val="16"/>
        </w:rPr>
        <w:softHyphen/>
        <w:t>том АВ-5л-18Б была получена до</w:t>
      </w:r>
      <w:r w:rsidRPr="007224C3">
        <w:rPr>
          <w:rFonts w:ascii="Times New Roman" w:hAnsi="Times New Roman"/>
          <w:color w:val="000000" w:themeColor="text1"/>
          <w:sz w:val="16"/>
          <w:szCs w:val="16"/>
        </w:rPr>
        <w:softHyphen/>
        <w:t>вольно высокая скорость горизонтального полета: 470 км/ч - на вы</w:t>
      </w:r>
      <w:r w:rsidRPr="007224C3">
        <w:rPr>
          <w:rFonts w:ascii="Times New Roman" w:hAnsi="Times New Roman"/>
          <w:color w:val="000000" w:themeColor="text1"/>
          <w:sz w:val="16"/>
          <w:szCs w:val="16"/>
        </w:rPr>
        <w:softHyphen/>
        <w:t>соте 2240 м и 434,5 км/ч - у земли. Вертикальная скорость у земли со</w:t>
      </w:r>
      <w:r w:rsidRPr="007224C3">
        <w:rPr>
          <w:rFonts w:ascii="Times New Roman" w:hAnsi="Times New Roman"/>
          <w:color w:val="000000" w:themeColor="text1"/>
          <w:sz w:val="16"/>
          <w:szCs w:val="16"/>
        </w:rPr>
        <w:softHyphen/>
        <w:t>ставила 8,32 м/с, а время подъема на высоту 1000 м - 1,97 мин. Это были неплохие результаты. Как от</w:t>
      </w:r>
      <w:r w:rsidRPr="007224C3">
        <w:rPr>
          <w:rFonts w:ascii="Times New Roman" w:hAnsi="Times New Roman"/>
          <w:color w:val="000000" w:themeColor="text1"/>
          <w:sz w:val="16"/>
          <w:szCs w:val="16"/>
        </w:rPr>
        <w:softHyphen/>
        <w:t>мечал Коккинаки, "...на всех режи</w:t>
      </w:r>
      <w:r w:rsidRPr="007224C3">
        <w:rPr>
          <w:rFonts w:ascii="Times New Roman" w:hAnsi="Times New Roman"/>
          <w:color w:val="000000" w:themeColor="text1"/>
          <w:sz w:val="16"/>
          <w:szCs w:val="16"/>
        </w:rPr>
        <w:softHyphen/>
        <w:t>мах полета чувствуется большой за</w:t>
      </w:r>
      <w:r w:rsidRPr="007224C3">
        <w:rPr>
          <w:rFonts w:ascii="Times New Roman" w:hAnsi="Times New Roman"/>
          <w:color w:val="000000" w:themeColor="text1"/>
          <w:sz w:val="16"/>
          <w:szCs w:val="16"/>
        </w:rPr>
        <w:softHyphen/>
        <w:t>пас мощности".</w:t>
      </w:r>
    </w:p>
    <w:p w14:paraId="3E3F875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имел удовлетворитель</w:t>
      </w:r>
      <w:r w:rsidRPr="007224C3">
        <w:rPr>
          <w:rFonts w:ascii="Times New Roman" w:hAnsi="Times New Roman"/>
          <w:color w:val="000000" w:themeColor="text1"/>
          <w:sz w:val="16"/>
          <w:szCs w:val="16"/>
        </w:rPr>
        <w:softHyphen/>
        <w:t>ную устойчивость по всем направ</w:t>
      </w:r>
      <w:r w:rsidRPr="007224C3">
        <w:rPr>
          <w:rFonts w:ascii="Times New Roman" w:hAnsi="Times New Roman"/>
          <w:color w:val="000000" w:themeColor="text1"/>
          <w:sz w:val="16"/>
          <w:szCs w:val="16"/>
        </w:rPr>
        <w:softHyphen/>
        <w:t>лениям. При соответствующей балан</w:t>
      </w:r>
      <w:r w:rsidRPr="007224C3">
        <w:rPr>
          <w:rFonts w:ascii="Times New Roman" w:hAnsi="Times New Roman"/>
          <w:color w:val="000000" w:themeColor="text1"/>
          <w:sz w:val="16"/>
          <w:szCs w:val="16"/>
        </w:rPr>
        <w:softHyphen/>
        <w:t>сировке триммером самолет позво</w:t>
      </w:r>
      <w:r w:rsidRPr="007224C3">
        <w:rPr>
          <w:rFonts w:ascii="Times New Roman" w:hAnsi="Times New Roman"/>
          <w:color w:val="000000" w:themeColor="text1"/>
          <w:sz w:val="16"/>
          <w:szCs w:val="16"/>
        </w:rPr>
        <w:softHyphen/>
        <w:t>лял полет с брошенной ручкой уп</w:t>
      </w:r>
      <w:r w:rsidRPr="007224C3">
        <w:rPr>
          <w:rFonts w:ascii="Times New Roman" w:hAnsi="Times New Roman"/>
          <w:color w:val="000000" w:themeColor="text1"/>
          <w:sz w:val="16"/>
          <w:szCs w:val="16"/>
        </w:rPr>
        <w:softHyphen/>
        <w:t>равления. Виражил и пикировал ус</w:t>
      </w:r>
      <w:r w:rsidRPr="007224C3">
        <w:rPr>
          <w:rFonts w:ascii="Times New Roman" w:hAnsi="Times New Roman"/>
          <w:color w:val="000000" w:themeColor="text1"/>
          <w:sz w:val="16"/>
          <w:szCs w:val="16"/>
        </w:rPr>
        <w:softHyphen/>
        <w:t>тойчиво, без рысканий. Это обеспе</w:t>
      </w:r>
      <w:r w:rsidRPr="007224C3">
        <w:rPr>
          <w:rFonts w:ascii="Times New Roman" w:hAnsi="Times New Roman"/>
          <w:color w:val="000000" w:themeColor="text1"/>
          <w:sz w:val="16"/>
          <w:szCs w:val="16"/>
        </w:rPr>
        <w:softHyphen/>
        <w:t>чивало лучшие условия для прицели</w:t>
      </w:r>
      <w:r w:rsidRPr="007224C3">
        <w:rPr>
          <w:rFonts w:ascii="Times New Roman" w:hAnsi="Times New Roman"/>
          <w:color w:val="000000" w:themeColor="text1"/>
          <w:sz w:val="16"/>
          <w:szCs w:val="16"/>
        </w:rPr>
        <w:softHyphen/>
        <w:t>вания и стрельбы.</w:t>
      </w:r>
    </w:p>
    <w:p w14:paraId="2637298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пилотировании Ил-АМ-42 ни</w:t>
      </w:r>
      <w:r w:rsidRPr="007224C3">
        <w:rPr>
          <w:rFonts w:ascii="Times New Roman" w:hAnsi="Times New Roman"/>
          <w:color w:val="000000" w:themeColor="text1"/>
          <w:sz w:val="16"/>
          <w:szCs w:val="16"/>
        </w:rPr>
        <w:softHyphen/>
        <w:t>чем не отличается от Ил-2. Для вы</w:t>
      </w:r>
      <w:r w:rsidRPr="007224C3">
        <w:rPr>
          <w:rFonts w:ascii="Times New Roman" w:hAnsi="Times New Roman"/>
          <w:color w:val="000000" w:themeColor="text1"/>
          <w:sz w:val="16"/>
          <w:szCs w:val="16"/>
        </w:rPr>
        <w:softHyphen/>
        <w:t>лета на Ил-АМ-42 обучение и вы</w:t>
      </w:r>
      <w:r w:rsidRPr="007224C3">
        <w:rPr>
          <w:rFonts w:ascii="Times New Roman" w:hAnsi="Times New Roman"/>
          <w:color w:val="000000" w:themeColor="text1"/>
          <w:sz w:val="16"/>
          <w:szCs w:val="16"/>
        </w:rPr>
        <w:softHyphen/>
        <w:t>возка излишни", — указывалось в от</w:t>
      </w:r>
      <w:r w:rsidRPr="007224C3">
        <w:rPr>
          <w:rFonts w:ascii="Times New Roman" w:hAnsi="Times New Roman"/>
          <w:color w:val="000000" w:themeColor="text1"/>
          <w:sz w:val="16"/>
          <w:szCs w:val="16"/>
        </w:rPr>
        <w:softHyphen/>
        <w:t>чете по испытаниям.</w:t>
      </w:r>
    </w:p>
    <w:p w14:paraId="2D4130F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Было решено готовить машину к государственным испытаниям. В этой связи 22 февраля на самолете был установлен винт диаметром 4,0 м и изменена компенсация элеронов с целью снижения нагрузок на ручку управления. Пробный полет показал, что новый винт "погоды не делает". Его срочно заменили "старым" про</w:t>
      </w:r>
      <w:r w:rsidRPr="007224C3">
        <w:rPr>
          <w:rFonts w:ascii="Times New Roman" w:hAnsi="Times New Roman"/>
          <w:color w:val="000000" w:themeColor="text1"/>
          <w:sz w:val="16"/>
          <w:szCs w:val="16"/>
        </w:rPr>
        <w:softHyphen/>
        <w:t>веренным винтом АВ-5л-18Б, с кото</w:t>
      </w:r>
      <w:r w:rsidRPr="007224C3">
        <w:rPr>
          <w:rFonts w:ascii="Times New Roman" w:hAnsi="Times New Roman"/>
          <w:color w:val="000000" w:themeColor="text1"/>
          <w:sz w:val="16"/>
          <w:szCs w:val="16"/>
        </w:rPr>
        <w:softHyphen/>
        <w:t>рым Ил-АМ-42 (экз. № 1) 26 февра</w:t>
      </w:r>
      <w:r w:rsidRPr="007224C3">
        <w:rPr>
          <w:rFonts w:ascii="Times New Roman" w:hAnsi="Times New Roman"/>
          <w:color w:val="000000" w:themeColor="text1"/>
          <w:sz w:val="16"/>
          <w:szCs w:val="16"/>
        </w:rPr>
        <w:softHyphen/>
        <w:t>ля перелетел на аэродром НИИ ВВС, где официально был передан воен</w:t>
      </w:r>
      <w:r w:rsidRPr="007224C3">
        <w:rPr>
          <w:rFonts w:ascii="Times New Roman" w:hAnsi="Times New Roman"/>
          <w:color w:val="000000" w:themeColor="text1"/>
          <w:sz w:val="16"/>
          <w:szCs w:val="16"/>
        </w:rPr>
        <w:softHyphen/>
        <w:t>ным специалистам для производства государственных летных испытаний (11427).</w:t>
      </w:r>
    </w:p>
    <w:p w14:paraId="38FFE5B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1C9EF5"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22 февраля 1944 несмотря на неустойчивую работу мотора АМ-42, опытный разведчик-корректировщик Ил-АМ-42 (экз. № 1) все же сумел успешно завершить программу заводских испытаний. Летал начальник ЛИС завода № 240 генерал-майор В. К. Коккинаки. Испытания обеспечивались бригадой в составе ведущего инженера по испытаниям А. П. Виноградова, инженера по винтомоторной группе В. В. Семенова и бортмеханика самолета И. Б. Кюсса. В общей сложности в период с 10 мая 1943 года по 22 февраля 1944-го было выполнено 40 полетов с суммарным налетом 21 ч 9 мин.</w:t>
      </w:r>
    </w:p>
    <w:p w14:paraId="010AF20D"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полетном весе 7200 кг с винтом АВ-5 л-18Б была получена довольно высокая скорость горизонтального полета: 470 км/ч – на высоте 2240 м и 434,5 км/ч – у земли. Вертикальная скорость у земли составила 8,32 м/с, а время подъема на высоту 1000 м – 1,97 мин. Это были неплохие результаты. Как отмечал Коккинаки, «на всех режимах полета чувствуется большой запас мощности».</w:t>
      </w:r>
    </w:p>
    <w:p w14:paraId="1BF4966C"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имел удовлетворительную устойчивость по всем направлениям. При соответствующей балансировке триммером самолет позволял полет с брошенной ручкой управления. Виражил и пикировал устойчиво, без рысканий. Это обеспечивало лучшие условия для прицеливания и стрельбы.</w:t>
      </w:r>
    </w:p>
    <w:p w14:paraId="113B5B78"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пилотировании Ил-АМ-42 ничем не отличается от Ил-2. Для вылета на Ил-АМ-42 обучение и вывозка излишни», – указывалось в отчете по испытаниям.</w:t>
      </w:r>
    </w:p>
    <w:p w14:paraId="2D30CC58"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Было решено готовить машину к государственным испытаниям. В этой связи 22 февраля на самолете установили винт диаметром 4,0 м, а также изменили компенсацию элеронов с целью снижения нагрузок на ручку управления. Пробный полет показал, что новый винт «погоды не делает». Его срочно заменили «старым» проверенным винтом АВ-5 л-18Б, с которым Ил-АМ-42 (экз. № 1) 26 февраля перелетел на аэродром НИИ ВВС.</w:t>
      </w:r>
    </w:p>
    <w:p w14:paraId="441C2193"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Приказом начальника НИИ ВВС для производства государственных летных испытаний Ил-АМ-42 (экз. № 1) ведущим летчиком по самолету был назначен летчик-испытатель подполковник А. К. Долгов, а ведущим инженером – инженер-майор П. Т. Аброщенко. В состав испытательной бригады вошли также инженер-капитан И. М. Наливкин (по винтомоторной группе), старший техник-лейтенант С. Е. Матвеев (по спецоборудованию) и инженер-майор К. И. Романов (по вооружению) (17490).</w:t>
      </w:r>
    </w:p>
    <w:p w14:paraId="0640DF2F" w14:textId="77777777" w:rsidR="005C20A0" w:rsidRPr="007224C3" w:rsidRDefault="005C20A0" w:rsidP="007224C3">
      <w:pPr>
        <w:spacing w:after="0" w:line="240" w:lineRule="auto"/>
        <w:jc w:val="both"/>
        <w:rPr>
          <w:rFonts w:ascii="Times New Roman" w:hAnsi="Times New Roman"/>
          <w:color w:val="000000" w:themeColor="text1"/>
          <w:sz w:val="16"/>
          <w:szCs w:val="16"/>
        </w:rPr>
      </w:pPr>
    </w:p>
    <w:p w14:paraId="01BEB08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22 февраля 1944 несмотря на неустойчивую работу мотора АМ-42, разведчик-корректировщик Ил-АМ-42 экз. №1 сумел успешно завершить программу заводских испытаний. Через четыре дня самолет перелетел на аэродром НИИ ВВС, где до 8 апреля проходил государственные испытания.</w:t>
      </w:r>
    </w:p>
    <w:p w14:paraId="0B878D4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первую очередь определялись летно-технические данные в варианте штурмовика-бомбардировщика и только затем - в варианте разведчика-корректировщика. Как показали полеты, основные данные Ил-АМ-42 заметно превосходили Ил-2 АМ-38ф, хотя, по мнению военных, уже не отвечали в полном объеме требованиям.</w:t>
      </w:r>
    </w:p>
    <w:p w14:paraId="6A42B86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Ил-АМ-42 имел удовлетворительную устойчивость по всем направлениям. Самолет позволял полет с брошенной ручкой управления. Виражил и пикировал устойчиво, без рысканий. Это обеспечивало лучшие условия для прицеливания и стрельбы.</w:t>
      </w:r>
    </w:p>
    <w:p w14:paraId="1CA9245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тоже время указывались и ряд серьезных недостатков. В частности, не доведена система заполнения бензобаков нейтральным газом. Заднюю бронеперегородку штурмана предлагалось сделать экранированной - две бронеплиты по 8 мм, и обеспечить защиту его головы бронестеклом.</w:t>
      </w:r>
    </w:p>
    <w:p w14:paraId="1FE3315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Оказалось, что при посадке на фюзеляж штурман выбраться из своей кабины не сможет, "так как фонарь летчика при открытии надвигается на фонарь штурмана".</w:t>
      </w:r>
    </w:p>
    <w:p w14:paraId="69E8780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Кроме этого, ни летчик, ни штурман не могли прицельно сбросить бомбы. Из-за плохого обзора передней полусферы штурман без помощи летчика "не может вывести самолет на нехарактерную цель" (объект удара), то есть "заранее найти цель, опознать ее, а затем осуществить наводку". Как отмечалось в отчете, "выполнить все это через прицел не представляется возможным". В свою очередь, "вследствие неудовлетворительного качества прицельных устройств" летчик мог прицеливаться и бомбить "с горизонта" лишь по наитию. Фактически получалось так, что при бомбометании с горизонтального полета наводку на цель и выход на боевой курс должен был выполнять непосредственно летчик, а прицеливание - штурман, "что требует соответствующей методической проработки".</w:t>
      </w:r>
    </w:p>
    <w:p w14:paraId="1651587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дополнение к этому, бомбовый прицел штурмана в полете нещадно забрызгивался маслом, которое выбивалось из-под уплот- нительного кольца втулки винта и носка коленчатого вала мотора. Установка маслоотражателей проблемы не решило.</w:t>
      </w:r>
    </w:p>
    <w:p w14:paraId="49BBC8B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Работой оборонительной установки ВУ-8 с пулеметом УБК и ее возможностями в бою военные испытатели остались недовольны.</w:t>
      </w:r>
    </w:p>
    <w:p w14:paraId="440FD52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Предъявлялись претензии и к спецоборудованию самолета. Отмечалась плохая конструктивная проработка экранировки системы зажигания мотора, вследствие чего "уровень помех радиоприема вырастает до недопустимых величин". Схема коммутации средств радио- и внутрисамолетной связи не учитывала особенности работы экипажа на данном самолете - "летчик и штурман совмещают лишние функции".</w:t>
      </w:r>
    </w:p>
    <w:p w14:paraId="2E70BCE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Несмотря на недостатки, Ил-АМ-42 был рекомендован для постановки в серийное производство. При этом в сопроводительной записке к Акту по госиспытаниям от 12 апреля самолет уже именовался как Ил-8 АМ-42.</w:t>
      </w:r>
    </w:p>
    <w:p w14:paraId="360C39F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Надо сказать, к этому времени сложилась весьма непростая ситуация. Очевидно, что результаты испытаний Ил-8 не могли удовлетворить военных в полном объеме - ни штурмовик, ни бомбардировщик. В то же время испытания штурмовика Су-6 проходили очень сложно по причине плохой работы, установленного на самолете экземпляра мотора АМ-42.</w:t>
      </w:r>
    </w:p>
    <w:p w14:paraId="0E19AF1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сложившейся обстановке ВВС сделали попытку вернуться к первоначальной цельнометаллической конструкции Ил-2. Это позволяло улучшить боевые и эксплуатационные качества самолета и несколько разрядить напряженность в вопросе постановки на вооружение штурмовика, отвечающего современным требованиям (12020).</w:t>
      </w:r>
    </w:p>
    <w:p w14:paraId="0A5E31A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5AA3FE5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февраля 1944 на самолете Ил-АМ-42 был установлен винт диаметром 4,0 м и изменена компенсация элеронов с целью снижения нагрузок на ручку управления. Пробный полет показал, что новый винт "погоды не делает". Его срочно заменили "старым" про</w:t>
      </w:r>
      <w:r w:rsidRPr="007224C3">
        <w:rPr>
          <w:rFonts w:ascii="Times New Roman" w:hAnsi="Times New Roman"/>
          <w:color w:val="000000" w:themeColor="text1"/>
          <w:sz w:val="16"/>
          <w:szCs w:val="16"/>
        </w:rPr>
        <w:softHyphen/>
        <w:t>веренным винтом АВ-5л-18Б, с кото</w:t>
      </w:r>
      <w:r w:rsidRPr="007224C3">
        <w:rPr>
          <w:rFonts w:ascii="Times New Roman" w:hAnsi="Times New Roman"/>
          <w:color w:val="000000" w:themeColor="text1"/>
          <w:sz w:val="16"/>
          <w:szCs w:val="16"/>
        </w:rPr>
        <w:softHyphen/>
        <w:t>рым Ил-АМ-42 (экз. № 1) 26 февра</w:t>
      </w:r>
      <w:r w:rsidRPr="007224C3">
        <w:rPr>
          <w:rFonts w:ascii="Times New Roman" w:hAnsi="Times New Roman"/>
          <w:color w:val="000000" w:themeColor="text1"/>
          <w:sz w:val="16"/>
          <w:szCs w:val="16"/>
        </w:rPr>
        <w:softHyphen/>
        <w:t>ля перелетел на аэродром НИИ ВВС, где официально был передан воен</w:t>
      </w:r>
      <w:r w:rsidRPr="007224C3">
        <w:rPr>
          <w:rFonts w:ascii="Times New Roman" w:hAnsi="Times New Roman"/>
          <w:color w:val="000000" w:themeColor="text1"/>
          <w:sz w:val="16"/>
          <w:szCs w:val="16"/>
        </w:rPr>
        <w:softHyphen/>
        <w:t>ным специалистам для производства государственных летных испытаний (11427).</w:t>
      </w:r>
    </w:p>
    <w:p w14:paraId="6061BA5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3711F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февраля 1944 г. Летчик-испытатель ГИ. Комаров начал проводить заводские летные испытания Су-6 АМ-42. На самолете устано</w:t>
      </w:r>
      <w:r w:rsidRPr="007224C3">
        <w:rPr>
          <w:rFonts w:ascii="Times New Roman" w:hAnsi="Times New Roman"/>
          <w:color w:val="000000" w:themeColor="text1"/>
          <w:sz w:val="16"/>
          <w:szCs w:val="16"/>
        </w:rPr>
        <w:softHyphen/>
        <w:t>вили две пушки ОКБ-16 (96 снарядов), два пулемета ШКАС (1350 патронов) - один пулемет УБТ (196 патронов). Целью испытаний были: отработка ВМГ, изуче</w:t>
      </w:r>
      <w:r w:rsidRPr="007224C3">
        <w:rPr>
          <w:rFonts w:ascii="Times New Roman" w:hAnsi="Times New Roman"/>
          <w:color w:val="000000" w:themeColor="text1"/>
          <w:sz w:val="16"/>
          <w:szCs w:val="16"/>
        </w:rPr>
        <w:softHyphen/>
        <w:t>ние поведения самолета на сверхмакси</w:t>
      </w:r>
      <w:r w:rsidRPr="007224C3">
        <w:rPr>
          <w:rFonts w:ascii="Times New Roman" w:hAnsi="Times New Roman"/>
          <w:color w:val="000000" w:themeColor="text1"/>
          <w:sz w:val="16"/>
          <w:szCs w:val="16"/>
        </w:rPr>
        <w:softHyphen/>
        <w:t>мальных скоростях, качественная оценка нагрузок на органы управления, получе</w:t>
      </w:r>
      <w:r w:rsidRPr="007224C3">
        <w:rPr>
          <w:rFonts w:ascii="Times New Roman" w:hAnsi="Times New Roman"/>
          <w:color w:val="000000" w:themeColor="text1"/>
          <w:sz w:val="16"/>
          <w:szCs w:val="16"/>
        </w:rPr>
        <w:softHyphen/>
        <w:t>ние основных летных характеристик, лет-но-тактическая и эксплуатационная оценка. Всего за период с 22 февраля по 21 марта было совершено 8 полетов с об</w:t>
      </w:r>
      <w:r w:rsidRPr="007224C3">
        <w:rPr>
          <w:rFonts w:ascii="Times New Roman" w:hAnsi="Times New Roman"/>
          <w:color w:val="000000" w:themeColor="text1"/>
          <w:sz w:val="16"/>
          <w:szCs w:val="16"/>
        </w:rPr>
        <w:softHyphen/>
        <w:t>щим налетом 4 часа 20 минут. Получены следующие летные данные: максималь</w:t>
      </w:r>
      <w:r w:rsidRPr="007224C3">
        <w:rPr>
          <w:rFonts w:ascii="Times New Roman" w:hAnsi="Times New Roman"/>
          <w:color w:val="000000" w:themeColor="text1"/>
          <w:sz w:val="16"/>
          <w:szCs w:val="16"/>
        </w:rPr>
        <w:softHyphen/>
        <w:t>ная скорость у земли - 490 км/ч, длина разбега - 420 метров, скорость отрыва -170 - 180 км/ч, скорость планирования (с отклоненными щитками) - 230 - 240 км/ч, скорость на высоте 380 м - 497 км/ч. ВМГ на всех режимах работала устой</w:t>
      </w:r>
      <w:r w:rsidRPr="007224C3">
        <w:rPr>
          <w:rFonts w:ascii="Times New Roman" w:hAnsi="Times New Roman"/>
          <w:color w:val="000000" w:themeColor="text1"/>
          <w:sz w:val="16"/>
          <w:szCs w:val="16"/>
        </w:rPr>
        <w:softHyphen/>
        <w:t>чиво. При пикировании (на сверхмакси</w:t>
      </w:r>
      <w:r w:rsidRPr="007224C3">
        <w:rPr>
          <w:rFonts w:ascii="Times New Roman" w:hAnsi="Times New Roman"/>
          <w:color w:val="000000" w:themeColor="text1"/>
          <w:sz w:val="16"/>
          <w:szCs w:val="16"/>
        </w:rPr>
        <w:softHyphen/>
        <w:t>мальной скорости) показатель доходил до 530 км/ч. В поведении самолета от</w:t>
      </w:r>
      <w:r w:rsidRPr="007224C3">
        <w:rPr>
          <w:rFonts w:ascii="Times New Roman" w:hAnsi="Times New Roman"/>
          <w:color w:val="000000" w:themeColor="text1"/>
          <w:sz w:val="16"/>
          <w:szCs w:val="16"/>
        </w:rPr>
        <w:softHyphen/>
        <w:t>клонений не было. Для уменьшения на</w:t>
      </w:r>
      <w:r w:rsidRPr="007224C3">
        <w:rPr>
          <w:rFonts w:ascii="Times New Roman" w:hAnsi="Times New Roman"/>
          <w:color w:val="000000" w:themeColor="text1"/>
          <w:sz w:val="16"/>
          <w:szCs w:val="16"/>
        </w:rPr>
        <w:softHyphen/>
        <w:t>грузок на ручку и педали управления от рулей были изменены осевые и роговые компенсации. В заключении отчета о проведении за</w:t>
      </w:r>
      <w:r w:rsidRPr="007224C3">
        <w:rPr>
          <w:rFonts w:ascii="Times New Roman" w:hAnsi="Times New Roman"/>
          <w:color w:val="000000" w:themeColor="text1"/>
          <w:sz w:val="16"/>
          <w:szCs w:val="16"/>
        </w:rPr>
        <w:softHyphen/>
        <w:t>водских летных испытаний, составлен</w:t>
      </w:r>
      <w:r w:rsidRPr="007224C3">
        <w:rPr>
          <w:rFonts w:ascii="Times New Roman" w:hAnsi="Times New Roman"/>
          <w:color w:val="000000" w:themeColor="text1"/>
          <w:sz w:val="16"/>
          <w:szCs w:val="16"/>
        </w:rPr>
        <w:softHyphen/>
        <w:t>ном начальником ЛИС Е.С. Фельснером, ведущим инженером В. П. Балуевым, ве</w:t>
      </w:r>
      <w:r w:rsidRPr="007224C3">
        <w:rPr>
          <w:rFonts w:ascii="Times New Roman" w:hAnsi="Times New Roman"/>
          <w:color w:val="000000" w:themeColor="text1"/>
          <w:sz w:val="16"/>
          <w:szCs w:val="16"/>
        </w:rPr>
        <w:softHyphen/>
        <w:t>дущим летчиком Г. И. Комаровым и утвержденном П. О. Сухим, говорилось, что самолет Су-6 с АМ-42 может быть пе</w:t>
      </w:r>
      <w:r w:rsidRPr="007224C3">
        <w:rPr>
          <w:rFonts w:ascii="Times New Roman" w:hAnsi="Times New Roman"/>
          <w:color w:val="000000" w:themeColor="text1"/>
          <w:sz w:val="16"/>
          <w:szCs w:val="16"/>
        </w:rPr>
        <w:softHyphen/>
        <w:t>редан на госиспытания (10718).</w:t>
      </w:r>
    </w:p>
    <w:p w14:paraId="7BB939E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8D5E51" w14:textId="77777777" w:rsidR="009F5230" w:rsidRPr="007224C3" w:rsidRDefault="009F5230"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22 февраля 1944 официально начались за</w:t>
      </w:r>
      <w:r w:rsidRPr="007224C3">
        <w:rPr>
          <w:rFonts w:ascii="Times New Roman" w:hAnsi="Times New Roman"/>
          <w:color w:val="0070C0"/>
          <w:sz w:val="16"/>
          <w:szCs w:val="16"/>
        </w:rPr>
        <w:softHyphen/>
        <w:t>водские летные испытания Су-6 с АМ-42. Ведущим ин</w:t>
      </w:r>
      <w:r w:rsidRPr="007224C3">
        <w:rPr>
          <w:rFonts w:ascii="Times New Roman" w:hAnsi="Times New Roman"/>
          <w:color w:val="0070C0"/>
          <w:sz w:val="16"/>
          <w:szCs w:val="16"/>
        </w:rPr>
        <w:softHyphen/>
        <w:t>женером был В.П. Балуев, ведущим летчи</w:t>
      </w:r>
      <w:r w:rsidRPr="007224C3">
        <w:rPr>
          <w:rFonts w:ascii="Times New Roman" w:hAnsi="Times New Roman"/>
          <w:color w:val="0070C0"/>
          <w:sz w:val="16"/>
          <w:szCs w:val="16"/>
        </w:rPr>
        <w:softHyphen/>
        <w:t>ком - Г.И. Комаров.</w:t>
      </w:r>
    </w:p>
    <w:p w14:paraId="5A68237D" w14:textId="77777777" w:rsidR="009F5230" w:rsidRPr="007224C3" w:rsidRDefault="009F5230"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 течение 6 дней выполнили че</w:t>
      </w:r>
      <w:r w:rsidRPr="007224C3">
        <w:rPr>
          <w:rFonts w:ascii="Times New Roman" w:hAnsi="Times New Roman"/>
          <w:color w:val="0070C0"/>
          <w:sz w:val="16"/>
          <w:szCs w:val="16"/>
        </w:rPr>
        <w:softHyphen/>
        <w:t>тыре полета на отработку винтомоторной группы, в том числе один полет на высоту 4500 м. Мотор и системы на всех режимах работали устойчиво. Имело место только выбрасывание масла из-под носка вала редуктора. С этим дефектом пришлось по</w:t>
      </w:r>
      <w:r w:rsidRPr="007224C3">
        <w:rPr>
          <w:rFonts w:ascii="Times New Roman" w:hAnsi="Times New Roman"/>
          <w:color w:val="0070C0"/>
          <w:sz w:val="16"/>
          <w:szCs w:val="16"/>
        </w:rPr>
        <w:softHyphen/>
        <w:t>возиться.</w:t>
      </w:r>
    </w:p>
    <w:p w14:paraId="682658FC" w14:textId="77777777" w:rsidR="009F5230" w:rsidRPr="007224C3" w:rsidRDefault="009F5230"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Всего до 21 марта на Су-6 АМ-42 уда</w:t>
      </w:r>
      <w:r w:rsidRPr="007224C3">
        <w:rPr>
          <w:rFonts w:ascii="Times New Roman" w:hAnsi="Times New Roman"/>
          <w:color w:val="0070C0"/>
          <w:sz w:val="16"/>
          <w:szCs w:val="16"/>
        </w:rPr>
        <w:softHyphen/>
        <w:t>лось выполнить 8 полетов с суммарным налетом 4 ч 50 мин. Были получены не</w:t>
      </w:r>
      <w:r w:rsidRPr="007224C3">
        <w:rPr>
          <w:rFonts w:ascii="Times New Roman" w:hAnsi="Times New Roman"/>
          <w:color w:val="0070C0"/>
          <w:sz w:val="16"/>
          <w:szCs w:val="16"/>
        </w:rPr>
        <w:softHyphen/>
        <w:t>плохие летные данные. Максимальная скорость у земли достигала 490 км/ч. Раз</w:t>
      </w:r>
      <w:r w:rsidRPr="007224C3">
        <w:rPr>
          <w:rFonts w:ascii="Times New Roman" w:hAnsi="Times New Roman"/>
          <w:color w:val="0070C0"/>
          <w:sz w:val="16"/>
          <w:szCs w:val="16"/>
        </w:rPr>
        <w:softHyphen/>
        <w:t>бег составил 420 м. При пикировании скорость доводилась до 530 км/ч по при</w:t>
      </w:r>
      <w:r w:rsidRPr="007224C3">
        <w:rPr>
          <w:rFonts w:ascii="Times New Roman" w:hAnsi="Times New Roman"/>
          <w:color w:val="0070C0"/>
          <w:sz w:val="16"/>
          <w:szCs w:val="16"/>
        </w:rPr>
        <w:softHyphen/>
        <w:t>бору. Самолет вел себя устойчиво. Ника</w:t>
      </w:r>
      <w:r w:rsidRPr="007224C3">
        <w:rPr>
          <w:rFonts w:ascii="Times New Roman" w:hAnsi="Times New Roman"/>
          <w:color w:val="0070C0"/>
          <w:sz w:val="16"/>
          <w:szCs w:val="16"/>
        </w:rPr>
        <w:softHyphen/>
        <w:t>ких ненормальностей не наблюдалось.</w:t>
      </w:r>
    </w:p>
    <w:p w14:paraId="2230AEF0" w14:textId="77777777" w:rsidR="009F5230" w:rsidRPr="007224C3" w:rsidRDefault="009F5230"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Для уменьшения нагрузок на ручку управ</w:t>
      </w:r>
      <w:r w:rsidRPr="007224C3">
        <w:rPr>
          <w:rFonts w:ascii="Times New Roman" w:hAnsi="Times New Roman"/>
          <w:color w:val="0070C0"/>
          <w:sz w:val="16"/>
          <w:szCs w:val="16"/>
        </w:rPr>
        <w:softHyphen/>
        <w:t>ления самолетом и педали от рулей не</w:t>
      </w:r>
      <w:r w:rsidRPr="007224C3">
        <w:rPr>
          <w:rFonts w:ascii="Times New Roman" w:hAnsi="Times New Roman"/>
          <w:color w:val="0070C0"/>
          <w:sz w:val="16"/>
          <w:szCs w:val="16"/>
        </w:rPr>
        <w:softHyphen/>
        <w:t>сколько изменили роговую и осевую ком</w:t>
      </w:r>
      <w:r w:rsidRPr="007224C3">
        <w:rPr>
          <w:rFonts w:ascii="Times New Roman" w:hAnsi="Times New Roman"/>
          <w:color w:val="0070C0"/>
          <w:sz w:val="16"/>
          <w:szCs w:val="16"/>
        </w:rPr>
        <w:softHyphen/>
        <w:t>пенсации. Вместе с тем отмечалось, что «мотор работает богато», а свечи ВГ-27 обеспечивают нормальную работу мотора только в течение 2 ч, после чего их при</w:t>
      </w:r>
      <w:r w:rsidRPr="007224C3">
        <w:rPr>
          <w:rFonts w:ascii="Times New Roman" w:hAnsi="Times New Roman"/>
          <w:color w:val="0070C0"/>
          <w:sz w:val="16"/>
          <w:szCs w:val="16"/>
        </w:rPr>
        <w:softHyphen/>
        <w:t>ходится менять.</w:t>
      </w:r>
    </w:p>
    <w:p w14:paraId="40B3FC89" w14:textId="77777777" w:rsidR="009F5230" w:rsidRPr="007224C3" w:rsidRDefault="009F5230"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Самолет решили передать на госу</w:t>
      </w:r>
      <w:r w:rsidRPr="007224C3">
        <w:rPr>
          <w:rFonts w:ascii="Times New Roman" w:hAnsi="Times New Roman"/>
          <w:color w:val="0070C0"/>
          <w:sz w:val="16"/>
          <w:szCs w:val="16"/>
        </w:rPr>
        <w:softHyphen/>
        <w:t>дарственные испытания. Однако 29 марта при жесткой посадке на аэродром Чкаловская (ГК НИИ ВВС) хвостовая часть и оперение получили серьезные поврежде</w:t>
      </w:r>
      <w:r w:rsidRPr="007224C3">
        <w:rPr>
          <w:rFonts w:ascii="Times New Roman" w:hAnsi="Times New Roman"/>
          <w:color w:val="0070C0"/>
          <w:sz w:val="16"/>
          <w:szCs w:val="16"/>
        </w:rPr>
        <w:softHyphen/>
        <w:t>ния. Самолет перевезли на завод №289 для ремонта. (19853).</w:t>
      </w:r>
    </w:p>
    <w:p w14:paraId="53EBFB52" w14:textId="77777777" w:rsidR="009F5230" w:rsidRPr="007224C3" w:rsidRDefault="009F5230" w:rsidP="007224C3">
      <w:pPr>
        <w:spacing w:after="0" w:line="240" w:lineRule="auto"/>
        <w:jc w:val="both"/>
        <w:rPr>
          <w:rFonts w:ascii="Times New Roman" w:hAnsi="Times New Roman"/>
          <w:color w:val="0070C0"/>
          <w:sz w:val="16"/>
          <w:szCs w:val="16"/>
        </w:rPr>
      </w:pPr>
    </w:p>
    <w:p w14:paraId="0BF002F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февраля 1944 официально начались заводские испытания. Испытания проводили ведущий инженер В. П. Балуев, веду</w:t>
      </w:r>
      <w:r w:rsidRPr="007224C3">
        <w:rPr>
          <w:rFonts w:ascii="Times New Roman" w:hAnsi="Times New Roman"/>
          <w:color w:val="000000" w:themeColor="text1"/>
          <w:sz w:val="16"/>
          <w:szCs w:val="16"/>
        </w:rPr>
        <w:softHyphen/>
        <w:t>щий летчик Г.И. Комаров. Однако при первом же опробовании мотора на земле про</w:t>
      </w:r>
      <w:r w:rsidRPr="007224C3">
        <w:rPr>
          <w:rFonts w:ascii="Times New Roman" w:hAnsi="Times New Roman"/>
          <w:color w:val="000000" w:themeColor="text1"/>
          <w:sz w:val="16"/>
          <w:szCs w:val="16"/>
        </w:rPr>
        <w:softHyphen/>
        <w:t>изошел разрыв водорадиатора по обчайке из-за повышенного давления в водосистеме — 4 атм вместо 2—2,5 атм. Уже к 28 февраля самолет был полностью подготовлен к передаче на ЛИС завода для продолжения заводских испытаний. За это время на самолет «временно до изготовления главным конст</w:t>
      </w:r>
      <w:r w:rsidRPr="007224C3">
        <w:rPr>
          <w:rFonts w:ascii="Times New Roman" w:hAnsi="Times New Roman"/>
          <w:color w:val="000000" w:themeColor="text1"/>
          <w:sz w:val="16"/>
          <w:szCs w:val="16"/>
        </w:rPr>
        <w:softHyphen/>
        <w:t>руктором мотора Микулиным водопомпы нормальной про</w:t>
      </w:r>
      <w:r w:rsidRPr="007224C3">
        <w:rPr>
          <w:rFonts w:ascii="Times New Roman" w:hAnsi="Times New Roman"/>
          <w:color w:val="000000" w:themeColor="text1"/>
          <w:sz w:val="16"/>
          <w:szCs w:val="16"/>
        </w:rPr>
        <w:softHyphen/>
        <w:t>качки» установили дроссельные заслонки перед входом в водо-радиатор, снижающие давление в водосистеме до требуемых норм. Кроме того, радиаторным заводом изготовлен радиатор повышенной прочности.</w:t>
      </w:r>
    </w:p>
    <w:p w14:paraId="11AF0E8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 до 21 марта на Су-6 АМ-42 удалось выполнить 8 полетов с суммарным налетом 4 ч 50 мин. Были получены неплохие летные данные. Максимальная скорость у земли составила 490 км/ч. Длина разбега — 420 м.</w:t>
      </w:r>
    </w:p>
    <w:p w14:paraId="03CE405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Винтомоторная группа на всех режимах работала устойчиво. При пикировании скорость достигала 530 км/ч по прибору. Самолет вел себя устойчиво. Никаких ненормальностей не наблюдалось. Для уменьшения нагрузок на ручку управления самалетоми педали от рулей несколько изменили роговую и осевую компенсации.</w:t>
      </w:r>
    </w:p>
    <w:p w14:paraId="1A8732E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Вместе с тем отмечалось, что «мотор работает богато», а свечи ВГ-27 обеспечивают нормальную работу мотора только в течение 2 ч, после чего их приходится заменять.</w:t>
      </w:r>
    </w:p>
    <w:p w14:paraId="4FB7C37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целом по летным и эксплуатационным данным самолет оценили положительно. Бьшо решено передать его на государ</w:t>
      </w:r>
      <w:r w:rsidRPr="007224C3">
        <w:rPr>
          <w:rFonts w:ascii="Times New Roman" w:hAnsi="Times New Roman"/>
          <w:color w:val="000000" w:themeColor="text1"/>
          <w:sz w:val="16"/>
          <w:szCs w:val="16"/>
        </w:rPr>
        <w:softHyphen/>
        <w:t>ственные испытания (11474,434).</w:t>
      </w:r>
    </w:p>
    <w:p w14:paraId="57D1C0D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E0869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период с 22 февраля по 21 марта 1944 года заводской летчик-испыта'тель Г.И.Комаров и ведущий инженер В.П.Балуев выполнили на самолете Су-6 АМ-42 программу заводских летных испытаний (11845).</w:t>
      </w:r>
    </w:p>
    <w:p w14:paraId="54986AC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6455444" w14:textId="77777777" w:rsidR="005C20A0" w:rsidRPr="007224C3" w:rsidRDefault="005C20A0"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22 февраля 1944 официально начались заводские ис</w:t>
      </w:r>
      <w:r w:rsidRPr="007224C3">
        <w:rPr>
          <w:color w:val="000000" w:themeColor="text1"/>
          <w:sz w:val="16"/>
          <w:szCs w:val="16"/>
        </w:rPr>
        <w:softHyphen/>
        <w:t>пытания Су-6 АМ-42. Испытания проводили ведущий инженер В. П. Балуев, ведущий летчик Г. И. Комаров.</w:t>
      </w:r>
    </w:p>
    <w:p w14:paraId="5CBEBE32" w14:textId="77777777" w:rsidR="005C20A0" w:rsidRPr="007224C3" w:rsidRDefault="005C20A0"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Всего до 21 марта на Су-6 АМ-42 удалось вы</w:t>
      </w:r>
      <w:r w:rsidRPr="007224C3">
        <w:rPr>
          <w:color w:val="000000" w:themeColor="text1"/>
          <w:sz w:val="16"/>
          <w:szCs w:val="16"/>
        </w:rPr>
        <w:softHyphen/>
        <w:t>полнить всего 8 полетов с суммарным налетом 4 ч 50 мин. Были получены неплохие летные дан</w:t>
      </w:r>
      <w:r w:rsidRPr="007224C3">
        <w:rPr>
          <w:color w:val="000000" w:themeColor="text1"/>
          <w:sz w:val="16"/>
          <w:szCs w:val="16"/>
        </w:rPr>
        <w:softHyphen/>
        <w:t>ные. Максимальная скорость у земли составила 490 км/ч. Длина разбега — 420 м (17500).</w:t>
      </w:r>
    </w:p>
    <w:p w14:paraId="1C9369FE" w14:textId="77777777" w:rsidR="005C20A0" w:rsidRPr="007224C3" w:rsidRDefault="005C20A0" w:rsidP="007224C3">
      <w:pPr>
        <w:spacing w:after="0" w:line="240" w:lineRule="auto"/>
        <w:jc w:val="both"/>
        <w:rPr>
          <w:rFonts w:ascii="Times New Roman" w:hAnsi="Times New Roman"/>
          <w:color w:val="000000" w:themeColor="text1"/>
          <w:sz w:val="16"/>
          <w:szCs w:val="16"/>
        </w:rPr>
      </w:pPr>
    </w:p>
    <w:p w14:paraId="5E56095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февраля 1944 вышел приказ НКАП N 123 "О выпуске 80 самолетов Як-9 (два полка) в варианте истребителя сопровождения с дальностью 2000 км. на заводе 153 в исполнение постановления ГКО N 5200 от 20 февраля 1944 (953,86).</w:t>
      </w:r>
    </w:p>
    <w:p w14:paraId="25B1472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Приказываю:</w:t>
      </w:r>
    </w:p>
    <w:p w14:paraId="1D03FA1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Воронину и ... изготовить и сдать ВВС КА 80 с-тов Як-9 (на два полка) в в варианте истребителя сопровождения с сохранением мак. Скорости с увеличением дальности на наивысшей скорости до 2000 км.</w:t>
      </w:r>
    </w:p>
    <w:p w14:paraId="3C9D0F8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Вооружение: 1хШВАК и 1хБС</w:t>
      </w:r>
    </w:p>
    <w:p w14:paraId="706A88F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Срок изготовления 40 - к 15 мая 1944, остальных 40 - к 15 июня 1944 (953,86).</w:t>
      </w:r>
    </w:p>
    <w:p w14:paraId="42151F0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55464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февраля 1944 г. при снятии максимальных скоростей по высотам на Як-9 М-107А примерно на 5500 м разрушились коренные подшипники нагнетателя, что привело к заклиниванию мотора. Афанасий Григорьевич Прошаков проявил завидное самообладание и высокое летное мастерство. Мгновенно оценив ситуацию, он выключил мотор за несколько мгновений до того как тот загорелся, а затем точно спланировал на взлетную полосу. За сохранение ценной материальной части майору Прошакову объявили благодарность по институту и наградили именными часами.</w:t>
      </w:r>
    </w:p>
    <w:p w14:paraId="45753A9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Несмотря на серьезное летное происшествие, ведущий летчик-испытатель положительно оценивал машину (4842).</w:t>
      </w:r>
    </w:p>
    <w:p w14:paraId="3D55091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мнению Прошакова присоединились летчики облета А.Г.Кубышкин и Ю.А.Антипов. Последний писал: "По своим летно-тактическим данным: горизонтальной скорости и схоропольемност-и самолет Як-9У превосходит все известные отечественные и импортные истребители, а также немецкие Bf109G и FW190A. В технике пилотирования самолет так же прост, как и серийные Як-9...”</w:t>
      </w:r>
    </w:p>
    <w:p w14:paraId="024BBD7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Основные итоги испытаний сформулировал а двух пунктах заключения начальник НИИ ВВС генерал-лейтенант П.А.Лосюков:</w:t>
      </w:r>
    </w:p>
    <w:p w14:paraId="2EAF16A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1. Опытный самолет Як-9У по основным летно-тактическим данным в диапазоне высот от земли до 6000 м является лучшим из известных отечественных и иностранных истребителей.</w:t>
      </w:r>
    </w:p>
    <w:p w14:paraId="0E03E70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2. Большое количество серьезных дефектов, особенно по винто-моторной группе, не позволяют нормально эксплуатировать самолет на всем диапазоне высот.” (4842).</w:t>
      </w:r>
    </w:p>
    <w:p w14:paraId="46C2951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DD766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февраля 1944 С.П.К. завершил подготовку проекта тематического плана работ по реактивным установкам с двигателем РД-1 на 1944 г. (Там же, № 100, л. 2-22) (10676).</w:t>
      </w:r>
    </w:p>
    <w:p w14:paraId="181352D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385DAF4A" w14:textId="77777777" w:rsidR="00914045"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7D1A71A9" w14:textId="77777777" w:rsidR="00914045" w:rsidRPr="007224C3" w:rsidRDefault="00914045"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A87610B" w14:textId="77777777" w:rsidR="00914045" w:rsidRPr="007224C3" w:rsidRDefault="0091404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февраля 1944 г.ЗАПИСКА И. В. КУРЧАТОВА СТАРШЕМУ ОПЕР</w:t>
      </w:r>
      <w:r w:rsidRPr="007224C3">
        <w:rPr>
          <w:rFonts w:ascii="Times New Roman" w:hAnsi="Times New Roman"/>
          <w:color w:val="000000" w:themeColor="text1"/>
          <w:sz w:val="16"/>
          <w:szCs w:val="16"/>
        </w:rPr>
        <w:softHyphen/>
        <w:t>УПОЛНОМОЧЕННОМУ НКГБ СССР Е. М. ПОТАПОВОЙ О ДОПОЛНИТЕЛЬНЫХ СВЕДЕНИЯХ К ПОЛУЧЕННЫМ МАТЕРИАЛАМ «ПО ЗАВОДУ ТЯЖЕЛОЙ ВОДЫ»</w:t>
      </w:r>
    </w:p>
    <w:p w14:paraId="36A2DE8E" w14:textId="77777777" w:rsidR="00914045" w:rsidRPr="007224C3" w:rsidRDefault="0091404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Материал по заводу тяжелой воды был просмотрен мной и тов. Корнфельдом М. О.</w:t>
      </w:r>
    </w:p>
    <w:p w14:paraId="2140B54B" w14:textId="77777777" w:rsidR="00914045" w:rsidRPr="007224C3" w:rsidRDefault="0091404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Материал очень ценен, т. к. он дает схему производства методом элек</w:t>
      </w:r>
      <w:r w:rsidRPr="007224C3">
        <w:rPr>
          <w:rFonts w:ascii="Times New Roman" w:hAnsi="Times New Roman"/>
          <w:color w:val="000000" w:themeColor="text1"/>
          <w:sz w:val="16"/>
          <w:szCs w:val="16"/>
        </w:rPr>
        <w:softHyphen/>
        <w:t>тролиза, в которой сложное и взрывоопасное сжигание газов может быть заменено изотопным обменом в реакционных колоннах.</w:t>
      </w:r>
    </w:p>
    <w:p w14:paraId="4A77D191" w14:textId="77777777" w:rsidR="00914045" w:rsidRPr="007224C3" w:rsidRDefault="0091404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Чрезвычайно важно было бы получить следующие дополнительные данные:</w:t>
      </w:r>
    </w:p>
    <w:p w14:paraId="71AF80EA" w14:textId="77777777" w:rsidR="00914045" w:rsidRPr="007224C3" w:rsidRDefault="0091404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отношение объема реакционной колонны к количеству пропуска</w:t>
      </w:r>
      <w:r w:rsidRPr="007224C3">
        <w:rPr>
          <w:rFonts w:ascii="Times New Roman" w:hAnsi="Times New Roman"/>
          <w:color w:val="000000" w:themeColor="text1"/>
          <w:sz w:val="16"/>
          <w:szCs w:val="16"/>
        </w:rPr>
        <w:softHyphen/>
        <w:t>емого через нее в единицу времени (час или минуту) водорода;</w:t>
      </w:r>
    </w:p>
    <w:p w14:paraId="74F177A8" w14:textId="77777777" w:rsidR="00914045" w:rsidRPr="007224C3" w:rsidRDefault="0091404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более точную схему соединения электролизеров и реакционных колонн.</w:t>
      </w:r>
    </w:p>
    <w:p w14:paraId="6E886289" w14:textId="77777777" w:rsidR="00914045" w:rsidRPr="007224C3" w:rsidRDefault="0091404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 Курчатов 22.02.44 г.</w:t>
      </w:r>
    </w:p>
    <w:p w14:paraId="01392160" w14:textId="77777777" w:rsidR="00914045" w:rsidRPr="007224C3" w:rsidRDefault="0091404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Экз. единственный</w:t>
      </w:r>
    </w:p>
    <w:p w14:paraId="07C2203E" w14:textId="77777777" w:rsidR="00914045" w:rsidRPr="007224C3" w:rsidRDefault="0091404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документе имеется помета: «T. Трауру. Необходимо оценки полу</w:t>
      </w:r>
      <w:r w:rsidRPr="007224C3">
        <w:rPr>
          <w:rFonts w:ascii="Times New Roman" w:hAnsi="Times New Roman"/>
          <w:color w:val="000000" w:themeColor="text1"/>
          <w:sz w:val="16"/>
          <w:szCs w:val="16"/>
        </w:rPr>
        <w:softHyphen/>
        <w:t>чать официальным] путем, а не в форме частных записок. Г. Овакимян. 26.11.44 г.»</w:t>
      </w:r>
    </w:p>
    <w:p w14:paraId="3D5B9F20" w14:textId="77777777" w:rsidR="00914045" w:rsidRPr="007224C3" w:rsidRDefault="0091404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[Помета:] «Т[ов.] Соловьеву [ ... ]. 28.11.44 г.»</w:t>
      </w:r>
    </w:p>
    <w:p w14:paraId="7EF4613B" w14:textId="77777777" w:rsidR="00914045" w:rsidRPr="007224C3" w:rsidRDefault="0091404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Опубликовано: Атомный проект СССР. Документы и материалы. В 3-х т. Т. 1. 1938 1945. Ч. 2. М., Изд. МФТИ, 2002. С. 36 (15493).</w:t>
      </w:r>
    </w:p>
    <w:p w14:paraId="00430B6D" w14:textId="77777777" w:rsidR="00914045" w:rsidRPr="007224C3" w:rsidRDefault="00914045" w:rsidP="007224C3">
      <w:pPr>
        <w:spacing w:after="0" w:line="240" w:lineRule="auto"/>
        <w:jc w:val="both"/>
        <w:rPr>
          <w:rFonts w:ascii="Times New Roman" w:hAnsi="Times New Roman"/>
          <w:color w:val="000000" w:themeColor="text1"/>
          <w:sz w:val="16"/>
          <w:szCs w:val="16"/>
        </w:rPr>
      </w:pPr>
    </w:p>
    <w:p w14:paraId="2719F2CC"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2984374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04A803B" w14:textId="77777777" w:rsidR="00914045" w:rsidRPr="007224C3" w:rsidRDefault="00914045"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22 февраля</w:t>
      </w:r>
      <w:r w:rsidRPr="007224C3">
        <w:rPr>
          <w:rFonts w:ascii="Times New Roman" w:hAnsi="Times New Roman"/>
          <w:color w:val="000000" w:themeColor="text1"/>
          <w:sz w:val="16"/>
          <w:szCs w:val="16"/>
        </w:rPr>
        <w:t xml:space="preserve"> в 1944 году оперативная сводка Совинформбюро:</w:t>
      </w:r>
    </w:p>
    <w:p w14:paraId="5526298E" w14:textId="77777777" w:rsidR="00914045" w:rsidRPr="007224C3" w:rsidRDefault="0091404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22 февраля юго-западнее и южнее Луга наши войска вели наступательные бои, в ходе которых заняли несколько населённых пунктов и среди них Букино (10 клм. северо-восточнее Струги Красные), Сеглицы, Малые b Большие Льзи, Дертины, Боротно, Видони.</w:t>
      </w:r>
    </w:p>
    <w:p w14:paraId="3415096C" w14:textId="77777777" w:rsidR="00914045" w:rsidRPr="007224C3" w:rsidRDefault="0091404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и южнее озера Ильмень наши войска продолжали развивать успешное наступление и с боями заняли более 200 населённых пунктов, в том числе Дуброво, Эгребня, Апраксино, Морино, Сорокино, Михайловский (16 клм. восточнее Дно), Новое Панкратово, Крутец, Глухая Горушка, Барево, Переходы, Гусево, Вашкова, Большая и Малая Пухова и железнодорожные станции Мяково, Морино.</w:t>
      </w:r>
    </w:p>
    <w:p w14:paraId="26175019" w14:textId="77777777" w:rsidR="00914045" w:rsidRPr="007224C3" w:rsidRDefault="0091404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и юго-западнее города Холм наши войска с боями продвигались вперёд и заняли более 100 населённых пунктов, в том числе Мазуры, Горки Лесовые, Заход, Усадьба, Иванисово, Селебино, Палашутино.</w:t>
      </w:r>
    </w:p>
    <w:p w14:paraId="67689D15" w14:textId="77777777" w:rsidR="00914045" w:rsidRPr="007224C3" w:rsidRDefault="0091404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3-го Украинского фронта, продолжая наступление, после ожесточённыхбоёв сломили сопротивление противника и 22 февраля штурмом овладели крупным промышленным центром Украины городом Кривой Рог.</w:t>
      </w:r>
    </w:p>
    <w:p w14:paraId="335F0BD7" w14:textId="77777777" w:rsidR="00914045" w:rsidRPr="007224C3" w:rsidRDefault="0091404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 разведка, артиллерийско-миномётная перестрелка и в ряде пунктов бои местного значения.</w:t>
      </w:r>
    </w:p>
    <w:p w14:paraId="60560F72" w14:textId="77777777" w:rsidR="00914045" w:rsidRPr="007224C3" w:rsidRDefault="0091404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21 февраля наши войска на всех фронтах подбили и уничтожили 48 немецких танков. В воздушных боях и огнём зенитной артиллерии сбито 8 самолётов противника.</w:t>
      </w:r>
    </w:p>
    <w:p w14:paraId="609B682C" w14:textId="77777777" w:rsidR="00914045" w:rsidRPr="007224C3" w:rsidRDefault="0091404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и южнее озера Ильмень наши войска продолжали успешное наступление и заняли более 200 населённых пунктов. Противник контратаками пытался задержать продвижение советских войск, но был отброшен с большими для него потерями. Части Н-ского соединения, с боями продвигаясь вперёд, истребили до 800 немецких солдат и офицеров, уничтожили 6 танков и самоходных орудий. Захвачены у немцев 19 орудий, 66 пулемётов, 17 миномётов, несколько складов с боеприпасами и большой склад с горючим. В одном районе наш подвижной отряд прорвался в тыл противника и захватил 140 автомашин и повозок с различными грузами.</w:t>
      </w:r>
    </w:p>
    <w:p w14:paraId="44F83F12" w14:textId="77777777" w:rsidR="00914045" w:rsidRPr="007224C3" w:rsidRDefault="0091404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и юго-западнее города Холм наши войска с боями заняли более 100 населённых пунктов. Применяя смелые обходные манёвры, советские части громят узлы обороны немцев, уничтожают живую силу и технику противника. Бойцы Н-ского соединения, перехватив пути отступления немецко-фашистских войск, в течение дня уничтожили до 1.500 гитлеровцев. Захвачено 29 танков, 30 орудий, 70 пулеметов, 52 автомашины и другие трофеи. Взято в плен большое число немецких солдат и офицеров.</w:t>
      </w:r>
    </w:p>
    <w:p w14:paraId="02985C47" w14:textId="77777777" w:rsidR="00914045" w:rsidRPr="007224C3" w:rsidRDefault="0091404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3-го Украинского фронта, продолжая наступление, вчера вышли на окраины города Кривой Рог и завязали бои на улицах заводских посёлков. Ожесточённые бои продолжались всю ночь. Противник предполагал, что основной удар будет нанесён с юго-востока, и стянул сюда свои главные силы. Тем временем советские части прорвались к северо-восточным окраинам города, форсировали реку Саксагань и стремительным ударом овладели опорными пунктами немцев, прикрывавшими Кривой Рог с севера. Сегодня наши войска атаковали противника с различных направлений иштурмом овладели крупным промышленным центром Украины городом Кривой Рог и районом Криворожских рудников. Противник понёс огромные потери в живой силе итехнике. На подступах к городу и на его улицах валяются тысячи вражеских трупов. Спасаясь бегством, остатки разгромленных частей противника бросили много орудий, миномётов, пулемётов и автомашин. Советские войска захватили крупные склады с военным имуществом.</w:t>
      </w:r>
    </w:p>
    <w:p w14:paraId="2A18AEE4" w14:textId="77777777" w:rsidR="00914045" w:rsidRPr="007224C3" w:rsidRDefault="0091404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Несколько партизанских отрядов, действующих в Витебской области, в течение одной ночи разгромили немецкие гарнизоны в 15 населённых пунктах. Убито и ранено свыше 400 гитлеровцев. В последние дни советские патриоты вели ожесточённые бои с пехотой и танками противника, предпринявшими поход против партизанских отрядов. В этих боях советские патриоты разгромили три роты гитлеровцев, подбили3 танка и взорвали два склада противника с боеприпасами.</w:t>
      </w:r>
    </w:p>
    <w:p w14:paraId="0FFA22EC" w14:textId="77777777" w:rsidR="00914045" w:rsidRPr="007224C3" w:rsidRDefault="0091404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Взятый в плен в районе Корсунь-Шевченковский командир 246 полка 88 немецкой пехотной дивизии подполковник Кристоф Флейман заявил: "Зажатые в кольце, части дивизии были перемолоты. Начиная с 15 февраля, полк, которым я командовал, перестал существовать, как единая воинская часть. Штаба у меня фактически не было, большинство офицеров выбыло из строя. Я не мог руководить рассеянными и деморализованными группами солдат и 16 февраля приказал уцелевшим офицерам и унтер-офицерам действовать на свой риск и страх. К этому времени в «котле»царила полная неразбериха. Единого командования, единого руководства уже не было. Каждый военачальник действовал по своему усмотрению. Разрозненные группы солдат сдавались в плен. Окружённые немецкие войска были разгромлены».</w:t>
      </w:r>
    </w:p>
    <w:p w14:paraId="0A1A63CC" w14:textId="77777777" w:rsidR="00914045" w:rsidRPr="007224C3" w:rsidRDefault="0091404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Потери противника и трофеи наших войск в результате ликвидации наступления немцев в районе южнее Звенигородка.</w:t>
      </w:r>
    </w:p>
    <w:p w14:paraId="31733518" w14:textId="77777777" w:rsidR="00914045" w:rsidRPr="007224C3" w:rsidRDefault="0091404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«Начиная с 5 февраля, немецкое командование, стянув с других участков фронта врайон юго-западнее Звенигородка 8 танковых и несколько пехотных дивизий, предприняло отчаянные попытки ударом извне прорваться к окружённым в районе Корсунь-Шевченковский немецким войскам.</w:t>
      </w:r>
    </w:p>
    <w:p w14:paraId="2BC8A519" w14:textId="77777777" w:rsidR="00914045" w:rsidRPr="007224C3" w:rsidRDefault="0091404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Ценой огромных потерь врагу удалось незначительно вклиниться в боевые порядки наших войск южнее Звенигородка. Как известно, встретив решительное сопротивление советских войск, истощив и обескровив себя в этих боях, немцы не смогли оказатьпомощи своей окружённой группировке, и 17 февраля она была полностью ликвидирована нашими войсками.</w:t>
      </w:r>
    </w:p>
    <w:p w14:paraId="4B727F95" w14:textId="77777777" w:rsidR="00914045" w:rsidRPr="007224C3" w:rsidRDefault="0091404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После ликвидации группировки немцев, окружённой в районе Корсунь-Шевченковский, наши войска обрушили удар против немецких войск, пытавшихся помочь своим окружённым войскам, и в четырёхдневных боях нанесли немцам новое серьёзное поражение, превратившееся в разгром немцев.</w:t>
      </w:r>
    </w:p>
    <w:p w14:paraId="02954642" w14:textId="77777777" w:rsidR="00914045" w:rsidRPr="007224C3" w:rsidRDefault="0091404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время боёв с 5 по 21 февраля наши войска нанесли немецким войскам, наступавшим из района южнее Звенигородка, следующие потери:</w:t>
      </w:r>
    </w:p>
    <w:p w14:paraId="33B4FE43" w14:textId="77777777" w:rsidR="00914045" w:rsidRPr="007224C3" w:rsidRDefault="0091404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Уничтожено: самолётов 329, танков 827, автомашин 1.638, орудий 446.</w:t>
      </w:r>
    </w:p>
    <w:p w14:paraId="418B113B" w14:textId="77777777" w:rsidR="00914045" w:rsidRPr="007224C3" w:rsidRDefault="0091404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Противник в этих боях потерял убитыми до 27.000 своих солдат и офицеров.</w:t>
      </w:r>
    </w:p>
    <w:p w14:paraId="0F20DA74" w14:textId="77777777" w:rsidR="00914045" w:rsidRPr="007224C3" w:rsidRDefault="0091404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Захвачено: танков 115, орудий 270, автомашин 1.850, бронетранспортёров и бронемашин 50, штабных автобусов 10.</w:t>
      </w:r>
    </w:p>
    <w:p w14:paraId="7A695BB2" w14:textId="77777777" w:rsidR="00914045" w:rsidRPr="007224C3" w:rsidRDefault="0091404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Взято пленных до 1.500 человек.».</w:t>
      </w:r>
    </w:p>
    <w:p w14:paraId="36EFA769" w14:textId="77777777" w:rsidR="00914045" w:rsidRPr="007224C3" w:rsidRDefault="0091404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Комедия в ставке Гитлера</w:t>
      </w:r>
    </w:p>
    <w:p w14:paraId="22F648C7" w14:textId="77777777" w:rsidR="00914045" w:rsidRPr="007224C3" w:rsidRDefault="0091404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февраля Верховное Главнокомандование Красной Армии объявило об окружении крупной группировки немецких войск в районе севернее Звенигородка-Шпола. Советское Информбюро ежедневно сообщало о ходе уничтожения окружённых немецких войск.</w:t>
      </w:r>
    </w:p>
    <w:p w14:paraId="5D52C7C4" w14:textId="77777777" w:rsidR="00914045" w:rsidRPr="007224C3" w:rsidRDefault="0091404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февраля сего года был издан приказ Верховного Главнокомандующего Красной Армии о завершении после ожесточённых четырнадцатидневных боёв операции по уничтожению 10 дивизий и одной бригады 8-й армии немцев, окружённых в районе Корсунь-Шевченковский. В этот же день Советское Информбюро опубликовало фактические данные об итогах этой блестяще проведённой нашими войсками операции по уничтожению крупной группировки вражеских войск. Немецкое командование упорно замалчивало факт окружения своих войск и даже трезвонило о каких-то успешных боях в этом районе.</w:t>
      </w:r>
    </w:p>
    <w:p w14:paraId="4BC6A35D" w14:textId="77777777" w:rsidR="00914045" w:rsidRPr="007224C3" w:rsidRDefault="0091404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 начале 1943 года, после уничтожения советскими войсками трёхсоттысячной немецко-фашистской армии под Сталинградом, верховное командование германской армии возымело смелость признать тяжёлое поражение своей армии на советско-германском фронте. Правящая гитлеровская клика объявила тогда по всей Германии трёхдневный траур по своей трёхсоттысячной армии, окружённой и уничтоженной советскими войсками у стен Сталинграда. Но теперь наступили другие времена, и гитлеровцы запели другие песни. Ныне гитлеровская клика, после тяжёлых поражений немецкой армии в течение истекшего года, не осмеливается более открыто </w:t>
      </w:r>
      <w:r w:rsidRPr="007224C3">
        <w:rPr>
          <w:rFonts w:ascii="Times New Roman" w:hAnsi="Times New Roman"/>
          <w:color w:val="000000" w:themeColor="text1"/>
          <w:sz w:val="16"/>
          <w:szCs w:val="16"/>
        </w:rPr>
        <w:lastRenderedPageBreak/>
        <w:t>признавать тяжёлые неудачи, постигшие немецкую армию на нашем фронте. Немецко-фашистская военная машина, поставленная Красной Армией на грань полного поражения, не может выдержать подобных признаний без серьёзных военно-политических потрясений. Понятно поэтому, в силу каких причин ставка Гитлера настойчиво скрывала от германской армии, немецкого народа и мирового общественного мнения как сам факт окружения более семидесяти тысяч немецко-фашистских войск севернее линии Звенигородка-Шпола, так и особенно факт их ликвидации Красной Армией.</w:t>
      </w:r>
    </w:p>
    <w:p w14:paraId="1E75F59D" w14:textId="77777777" w:rsidR="00914045" w:rsidRPr="007224C3" w:rsidRDefault="0091404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 как ни стремились немцы замолчать тягчайшее поражение своих войск, заговорить им всё же пришлось, ибо в результате ликвидации 10 окружённых немецких дивизий было перебито 55 тысяч немецких солдат и офицеров и взято вплен 18.200 немцев, а также захвачена вся техника и всё вооружение окружённых немецких войск.</w:t>
      </w:r>
    </w:p>
    <w:p w14:paraId="2E5C3ECF" w14:textId="77777777" w:rsidR="00914045" w:rsidRPr="007224C3" w:rsidRDefault="0091404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Как известно, немецкое командование предприняло отчаянные попытки вызволитьсвои войска из окружения, и, когда это не удалось, гитлеровцев охватила паника и растерянность. Нельзя расценить трюк, который выкинуло немецкое командование, иначе, как, отчаянный шаг зарвавшихся картёжных игроков и жуликов. А трюк этот состоит в том, что уже после ликвидации окружённых в районе Корсунь-Шевченковский немецко-фашистских войск ставка Гитлера объявила о том, будто бы уничтоженные свыше семидесяти тысяч немецких солдат и офицеров спокойно здравствуют, благополучно прорвавшись из окружения.</w:t>
      </w:r>
    </w:p>
    <w:p w14:paraId="23E25C93" w14:textId="77777777" w:rsidR="00914045" w:rsidRPr="007224C3" w:rsidRDefault="0091404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Конечно, немцы были бы непрочь устроить парад своим исчезнувшим 10 дивизиям,но, как говорится, мёртвых не воскресишь.</w:t>
      </w:r>
    </w:p>
    <w:p w14:paraId="3E0630EB" w14:textId="77777777" w:rsidR="00914045" w:rsidRPr="007224C3" w:rsidRDefault="0091404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Потеряв десятки тысяч солдат и офицеров, уничтоженных Красной Армией за 14 дней боёв по ликвидации окружённых немецких дивизий, гитлеровцы утешают себя: если нет больше 10 немецко-фашистских дивизий, зато есть генералы, бросившие свои войска на произвол судьбы и скрывшиеся от них на самолётах. Это, прежде всего, командир 112 пехотной дивизии генерал-майор Либ и командир танковой дивизии СС «Викинг» генерал-майор Гилле. Воспользовавшись тем, что бросившиесвои войска и сбежавшие на транспортных самолётах немецкие генералы оказались в ставке немецкой армии, гитлеровцы разыграли смехотворную комедию. Гитлер принял этих генералов в своей ставке и выдал им «высшие награды» якобы за их«выдающиеся личные заслуги и за мужественную борьбу руководимых ими войск».</w:t>
      </w:r>
    </w:p>
    <w:p w14:paraId="0E8F8615" w14:textId="77777777" w:rsidR="00914045" w:rsidRPr="007224C3" w:rsidRDefault="0091404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Понятно, что в любой армии, построенной на общепринятых принципах, эти генералы-дезертиры, заведшие свои войска в тупик и бесчестно бросившие их там на истребление, были бы преданы вечному позору и сурово судимы. Но Гитлеру и его эсэсовским генералам не до чести.</w:t>
      </w:r>
    </w:p>
    <w:p w14:paraId="33179DE2" w14:textId="77777777" w:rsidR="00914045" w:rsidRPr="007224C3" w:rsidRDefault="0091404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Понятна цель всей этой жульнической комедии, инсценированной в гитлеровской ставке: гитлеровцы пытаются при помощи этого дурацкого трюка скрыть второй Сталинград, устроенный Красной Армией для немецких войск, скрыть невиданное побоище, которое устроила Красная Армия немецко-фашистским разбойникам, скрыть преступления Гитлера, который обрёк 10 немецких дивизий на истребление.</w:t>
      </w:r>
    </w:p>
    <w:p w14:paraId="2C10C12B" w14:textId="77777777" w:rsidR="00914045" w:rsidRPr="007224C3" w:rsidRDefault="0091404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Эту же цель преследует и следующий акт комедии — награждение командира 11-гонемецкого армейского корпуса генерала Штеммермана, командовавшего окружённой группировкой и убитого в ходе боёв по ликвидации окружённых немецких дивизий. Труп этого незадачливого генерала был подобран на поле боя во всём его генеральском облачении после ликвидации окружённых немецких войск. Понятно, что теперь гитлеровский орден нужен Штеммерману не больше, чем мёртвому припарка.</w:t>
      </w:r>
    </w:p>
    <w:p w14:paraId="19CF4ED6" w14:textId="77777777" w:rsidR="00914045" w:rsidRPr="007224C3" w:rsidRDefault="0091404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 комедии, так неумно разыгранной в гитлеровской ставке, одно очевидно: плохие времена наступили для немецко-фашистской армии на советско-германском фронте, коль Гитлер начал выдавать свои погибшие войска за действующие и награждать генералов, постыдно сбежавших с поля боя. Для всех очевидно также, что этот новый жульнический трюк, потерявших голову гитлеровцев, эта их шитая лыком новая комедия никого не может ввести в заблуждение относительно судьбы уничтоженных советскими войсками десяти немецких дивизий в районе Корсунь-Шевченковский.» (15048).</w:t>
      </w:r>
    </w:p>
    <w:p w14:paraId="411034C5" w14:textId="77777777" w:rsidR="00914045" w:rsidRPr="007224C3" w:rsidRDefault="00914045" w:rsidP="007224C3">
      <w:pPr>
        <w:spacing w:after="0" w:line="240" w:lineRule="auto"/>
        <w:jc w:val="both"/>
        <w:rPr>
          <w:rFonts w:ascii="Times New Roman" w:hAnsi="Times New Roman"/>
          <w:color w:val="000000" w:themeColor="text1"/>
          <w:sz w:val="16"/>
          <w:szCs w:val="16"/>
        </w:rPr>
      </w:pPr>
    </w:p>
    <w:p w14:paraId="25C538EB" w14:textId="77777777" w:rsidR="00914045" w:rsidRPr="007224C3" w:rsidRDefault="00914045"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22 февраля</w:t>
      </w:r>
      <w:r w:rsidRPr="007224C3">
        <w:rPr>
          <w:rFonts w:ascii="Times New Roman" w:hAnsi="Times New Roman"/>
          <w:color w:val="000000" w:themeColor="text1"/>
          <w:sz w:val="16"/>
          <w:szCs w:val="16"/>
        </w:rPr>
        <w:t xml:space="preserve"> в 1944 году (22 – 25 февраля) безуспешное наступление войск Западного фронта на оршанском направлении (15048).</w:t>
      </w:r>
    </w:p>
    <w:p w14:paraId="1A255090" w14:textId="77777777" w:rsidR="00914045" w:rsidRPr="007224C3" w:rsidRDefault="00914045" w:rsidP="007224C3">
      <w:pPr>
        <w:spacing w:after="0" w:line="240" w:lineRule="auto"/>
        <w:jc w:val="both"/>
        <w:rPr>
          <w:rFonts w:ascii="Times New Roman" w:hAnsi="Times New Roman"/>
          <w:color w:val="000000" w:themeColor="text1"/>
          <w:sz w:val="16"/>
          <w:szCs w:val="16"/>
        </w:rPr>
      </w:pPr>
    </w:p>
    <w:p w14:paraId="249058D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февраля 1944 группа советских Ли-2 отбуксировала в Югославию из Бари планера с руководителями военных миссий союзников в штаб НОА Югославии. Планера садились в горах (438,896).</w:t>
      </w:r>
    </w:p>
    <w:p w14:paraId="50ACF03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8966F3"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февраля 1944 советские войска освободили от фашистов Кривой Рог (4962).</w:t>
      </w:r>
    </w:p>
    <w:p w14:paraId="533F2562"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88A07C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February 22, 1944: German troops evacuate Krivoi Rog in the Ukraine (3819).</w:t>
      </w:r>
    </w:p>
    <w:p w14:paraId="22593BB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4543D2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февраля 1944 КА овладела Кривым Рогом (430,188).</w:t>
      </w:r>
    </w:p>
    <w:p w14:paraId="3EBA2BE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32FBA3"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Жизнь и внутренняя политика:</w:t>
      </w:r>
    </w:p>
    <w:p w14:paraId="49EC50F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9EAE8C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февраля 1944 всем начальникам ИТЛ и УИТЛК-ОИТК НКВД/УНКВД был разослан циркуляр НКВД № 66:</w:t>
      </w:r>
    </w:p>
    <w:p w14:paraId="13F0D3F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“НКВД СССР за последнее время в лагерях вскрыты ряд фактов обвешивания и недодачи хлеба заключенным с целью хищений путем подпиливания и уменьшения этим веса металлических гирь. В соответствии с этим приказываю: начальникам лагерей, УИТЛК-ОИТК НКВД/УНКВД под личную ответственность с получением сего произвести выверку гирь и весов во всех без исключения хлеборезках, каптерках, кухнях-столовых, буфетах, ларьках, киосках, магазинах, продбазах, складах, кладовых всех лагерных подразделений и колоний. При обнаружении фактов злоупотреблений виновных привлечь к ответственности. Неисправные гири и весы из употребления изъять, произвести их ремонт и клеймение. О результатах проверки донести мне к 20 апреля. Заместитель Народного комиссара внутренних дел СССР комиссар госбезопасности 2 ранга Чернышов” (7560).</w:t>
      </w:r>
    </w:p>
    <w:p w14:paraId="1901658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9FE279"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Внешняя политика:</w:t>
      </w:r>
    </w:p>
    <w:p w14:paraId="41C0294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3FC632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февраля 1944 года</w:t>
      </w:r>
    </w:p>
    <w:p w14:paraId="0474D19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СТРОГО СЕКРЕТНО И ЛИЧНО ПОСЛАНИЕ ОТ г-на ЧЕРЧИЛЛЯ МАРШАЛУ СТАЛИНУ</w:t>
      </w:r>
    </w:p>
    <w:p w14:paraId="109A7D4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Итальянские суда.</w:t>
      </w:r>
    </w:p>
    <w:p w14:paraId="11C5EA3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февраля я направил Вам послание, подписанное Президентом и мною, а также личное письмо, адресованное Послу Кларку Керру, содержание которого он должен изложить Вам лично. Дело заключается в том, что я предоставляю из британских ресурсов 8 эсминцев и 4 подводные лодки, а также линейный корабль и 20 тысяч тонн торговых судов. Соединенные Штаты предоставят крейсер и 20 тысяч тонн торговых судов. Я удивлялся, почему я не получил послания от Вас с подтверждением этого, так как я надеялся, что Вы будете довольны теми усилиями, которые я приложил. Мне стало известно, что Посол Кларк Керр хотел вручить послание Вам лично, однако Вы были на фронте. Я телеграфировал ему о том, чтобы он исправил это положение. В подготовке кораблей не было никакого промедления (7430).</w:t>
      </w:r>
    </w:p>
    <w:p w14:paraId="70B5E68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5A1154"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53578B3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FB23EDD" w14:textId="77777777" w:rsidR="003700E8" w:rsidRPr="007224C3" w:rsidRDefault="003700E8"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22 февраля 1944 Военно-воздушные силы армии США создают Стратегические военно-воздушные силы США, которые берут на себя контроль над стратегическими бомбардировками США в штабах стратегического планирования и разведки Европы, а также в функциях целеуказания и планирования и координации. Одновременно с этим Восьмая воздушная армия реорганизуется, чтобы взять на себя функции VIII бомбардировочного командования как организации с прямым оперативным управлением боевыми силами, а VIII бомбардировочное командование деактивируется (20373).</w:t>
      </w:r>
    </w:p>
    <w:p w14:paraId="642270B6" w14:textId="77777777" w:rsidR="003700E8" w:rsidRPr="007224C3" w:rsidRDefault="003700E8" w:rsidP="007224C3">
      <w:pPr>
        <w:spacing w:after="0" w:line="240" w:lineRule="auto"/>
        <w:jc w:val="both"/>
        <w:rPr>
          <w:rFonts w:ascii="Times New Roman" w:hAnsi="Times New Roman"/>
          <w:color w:val="0070C0"/>
          <w:sz w:val="16"/>
          <w:szCs w:val="16"/>
        </w:rPr>
      </w:pPr>
    </w:p>
    <w:p w14:paraId="6084DD07"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февраля 1944 из-за взрыва, организованного на железнодорожном мосту греческими партизанами, погибли до 400 немецких солдат (4962).</w:t>
      </w:r>
    </w:p>
    <w:p w14:paraId="64202EC8"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243B57F" w14:textId="77777777" w:rsidR="003700E8" w:rsidRPr="007224C3" w:rsidRDefault="003700E8"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22 февраля 1944 сопротивление японцев на Эниветоке прекращается (20373).</w:t>
      </w:r>
    </w:p>
    <w:p w14:paraId="6A96A812" w14:textId="77777777" w:rsidR="003700E8" w:rsidRPr="007224C3" w:rsidRDefault="003700E8" w:rsidP="007224C3">
      <w:pPr>
        <w:spacing w:after="0" w:line="240" w:lineRule="auto"/>
        <w:jc w:val="both"/>
        <w:rPr>
          <w:rFonts w:ascii="Times New Roman" w:hAnsi="Times New Roman"/>
          <w:color w:val="0070C0"/>
          <w:sz w:val="16"/>
          <w:szCs w:val="16"/>
        </w:rPr>
      </w:pPr>
    </w:p>
    <w:p w14:paraId="30BA99B3" w14:textId="77777777" w:rsidR="003700E8" w:rsidRPr="007224C3" w:rsidRDefault="003700E8"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22–23 февраля (ночь) 1944 японские самолеты совершили четыре налета на корабли 58-й оперативной группы ВМС США в атолле Трук, не причинив ущерба (20373).</w:t>
      </w:r>
    </w:p>
    <w:p w14:paraId="01A735BB" w14:textId="77777777" w:rsidR="003700E8" w:rsidRPr="007224C3" w:rsidRDefault="003700E8" w:rsidP="007224C3">
      <w:pPr>
        <w:spacing w:after="0" w:line="240" w:lineRule="auto"/>
        <w:jc w:val="both"/>
        <w:rPr>
          <w:rFonts w:ascii="Times New Roman" w:hAnsi="Times New Roman"/>
          <w:color w:val="0070C0"/>
          <w:sz w:val="16"/>
          <w:szCs w:val="16"/>
        </w:rPr>
      </w:pPr>
    </w:p>
    <w:p w14:paraId="41AF954F"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07FFCBB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B3636E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февраля 1944 года А.И.Шахурин подписал Приказ наркома Авиапрома О постройке модернизированного самолета Пе-8 с мотором М-82ФН на заводе N 22</w:t>
      </w:r>
    </w:p>
    <w:p w14:paraId="69E4B0C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исполнение постановления ГКО от 20 февраля 1944 года N 5221с - приказываю:</w:t>
      </w:r>
    </w:p>
    <w:p w14:paraId="055DB38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Начальнику 10-го Гл. управления - зам. наркома - Кузнецову А.И., директору завода N 22 - Окулову и гл. конструктору - Незваль:</w:t>
      </w:r>
    </w:p>
    <w:p w14:paraId="76BE277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Спроектировать и построить один модернизированный самолет Пе-8 с моторами М-82ФН с ТК-3 с улучшенными аэродинамическими данными и увеличенной бомбовой нагрузкой.</w:t>
      </w:r>
    </w:p>
    <w:p w14:paraId="77FC50F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выпустить, внеся в него следующие изменения:</w:t>
      </w:r>
    </w:p>
    <w:p w14:paraId="25BA62F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а) установить моторы М-82ФН с редукцией 9/16, оборудованные турбокомпрессорами;</w:t>
      </w:r>
    </w:p>
    <w:p w14:paraId="7A72FB0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увеличить бомболюк в фюзеляже для внутренней подвески бомбы калибром 5000 кг или 6 бомб по 1000 кг;</w:t>
      </w:r>
    </w:p>
    <w:p w14:paraId="281584A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увеличить угол обстрела носовой стрелковой точки до 110 градусов;</w:t>
      </w:r>
    </w:p>
    <w:p w14:paraId="5C8EC23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 установить дополнительно две бортовые стрелковые точки;</w:t>
      </w:r>
    </w:p>
    <w:p w14:paraId="6BBDF07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 уменьшить мидель фюзеляжа, переделать его носовую часть, обеспечив размещение обоих пилотов рядом и более переднее их расположение;</w:t>
      </w:r>
    </w:p>
    <w:p w14:paraId="70BE739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е) закапотировать полностью колеса в убранном положении;</w:t>
      </w:r>
    </w:p>
    <w:p w14:paraId="556680B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ж) произвести герметизацию самолета.</w:t>
      </w:r>
    </w:p>
    <w:p w14:paraId="5865B4B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Модернизированный самолет, по сравнению с серийным самолетом Пе-8, должен обладать следующими преимуществами: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5106D0" w:rsidRPr="007224C3" w14:paraId="17381068" w14:textId="77777777">
        <w:tc>
          <w:tcPr>
            <w:tcW w:w="5636" w:type="dxa"/>
          </w:tcPr>
          <w:p w14:paraId="50D3ADF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максимальной скор. у земли больше</w:t>
            </w:r>
          </w:p>
        </w:tc>
        <w:tc>
          <w:tcPr>
            <w:tcW w:w="5636" w:type="dxa"/>
          </w:tcPr>
          <w:p w14:paraId="63C4FD5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30 км/час</w:t>
            </w:r>
          </w:p>
        </w:tc>
      </w:tr>
      <w:tr w:rsidR="005106D0" w:rsidRPr="007224C3" w14:paraId="6B5371BC" w14:textId="77777777">
        <w:tc>
          <w:tcPr>
            <w:tcW w:w="5636" w:type="dxa"/>
          </w:tcPr>
          <w:p w14:paraId="5CDA2DC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максимальной скорости на границе</w:t>
            </w:r>
          </w:p>
        </w:tc>
        <w:tc>
          <w:tcPr>
            <w:tcW w:w="5636" w:type="dxa"/>
          </w:tcPr>
          <w:p w14:paraId="391B673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8272B49" w14:textId="77777777">
        <w:tc>
          <w:tcPr>
            <w:tcW w:w="5636" w:type="dxa"/>
          </w:tcPr>
          <w:p w14:paraId="7B3F217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высотности больше</w:t>
            </w:r>
          </w:p>
        </w:tc>
        <w:tc>
          <w:tcPr>
            <w:tcW w:w="5636" w:type="dxa"/>
          </w:tcPr>
          <w:p w14:paraId="3FF2FED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80 км/час</w:t>
            </w:r>
          </w:p>
        </w:tc>
      </w:tr>
      <w:tr w:rsidR="005106D0" w:rsidRPr="007224C3" w14:paraId="42724A7A" w14:textId="77777777">
        <w:tc>
          <w:tcPr>
            <w:tcW w:w="5636" w:type="dxa"/>
          </w:tcPr>
          <w:p w14:paraId="41B47DA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практическому потолку выше</w:t>
            </w:r>
          </w:p>
        </w:tc>
        <w:tc>
          <w:tcPr>
            <w:tcW w:w="5636" w:type="dxa"/>
          </w:tcPr>
          <w:p w14:paraId="4445BD0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3000 м</w:t>
            </w:r>
          </w:p>
        </w:tc>
      </w:tr>
      <w:tr w:rsidR="005106D0" w:rsidRPr="007224C3" w14:paraId="4B89E2D2" w14:textId="77777777">
        <w:tc>
          <w:tcPr>
            <w:tcW w:w="5636" w:type="dxa"/>
          </w:tcPr>
          <w:p w14:paraId="35A0115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дальности полета с 4000 кг бомб</w:t>
            </w:r>
          </w:p>
        </w:tc>
        <w:tc>
          <w:tcPr>
            <w:tcW w:w="5636" w:type="dxa"/>
          </w:tcPr>
          <w:p w14:paraId="58C653C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8B9EA80" w14:textId="77777777">
        <w:tc>
          <w:tcPr>
            <w:tcW w:w="5636" w:type="dxa"/>
          </w:tcPr>
          <w:p w14:paraId="03CF7C1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дальше</w:t>
            </w:r>
          </w:p>
        </w:tc>
        <w:tc>
          <w:tcPr>
            <w:tcW w:w="5636" w:type="dxa"/>
          </w:tcPr>
          <w:p w14:paraId="49D8441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500 км</w:t>
            </w:r>
          </w:p>
        </w:tc>
      </w:tr>
      <w:tr w:rsidR="005106D0" w:rsidRPr="007224C3" w14:paraId="544EF6A0" w14:textId="77777777">
        <w:tc>
          <w:tcPr>
            <w:tcW w:w="5636" w:type="dxa"/>
          </w:tcPr>
          <w:p w14:paraId="5F65DB6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максимальной бомбовой нагрузке</w:t>
            </w:r>
          </w:p>
        </w:tc>
        <w:tc>
          <w:tcPr>
            <w:tcW w:w="5636" w:type="dxa"/>
          </w:tcPr>
          <w:p w14:paraId="61A00E3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27DD031" w14:textId="77777777">
        <w:tc>
          <w:tcPr>
            <w:tcW w:w="5636" w:type="dxa"/>
          </w:tcPr>
          <w:p w14:paraId="7458485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больше</w:t>
            </w:r>
          </w:p>
        </w:tc>
        <w:tc>
          <w:tcPr>
            <w:tcW w:w="5636" w:type="dxa"/>
          </w:tcPr>
          <w:p w14:paraId="79DD1BB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2000 кг</w:t>
            </w:r>
          </w:p>
        </w:tc>
      </w:tr>
      <w:tr w:rsidR="005106D0" w:rsidRPr="007224C3" w14:paraId="059879CC" w14:textId="77777777">
        <w:tc>
          <w:tcPr>
            <w:tcW w:w="5636" w:type="dxa"/>
          </w:tcPr>
          <w:p w14:paraId="1FA8BA0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стрелковому вооружению больше</w:t>
            </w:r>
          </w:p>
        </w:tc>
        <w:tc>
          <w:tcPr>
            <w:tcW w:w="5636" w:type="dxa"/>
          </w:tcPr>
          <w:p w14:paraId="26F44F7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2 пулемета</w:t>
            </w:r>
          </w:p>
        </w:tc>
      </w:tr>
      <w:tr w:rsidR="005106D0" w:rsidRPr="007224C3" w14:paraId="03850161" w14:textId="77777777">
        <w:tc>
          <w:tcPr>
            <w:tcW w:w="5636" w:type="dxa"/>
          </w:tcPr>
          <w:p w14:paraId="45852F1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216D91F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УБТ-12,7</w:t>
            </w:r>
          </w:p>
        </w:tc>
      </w:tr>
      <w:tr w:rsidR="005106D0" w:rsidRPr="007224C3" w14:paraId="338F5D30" w14:textId="77777777">
        <w:tc>
          <w:tcPr>
            <w:tcW w:w="5636" w:type="dxa"/>
          </w:tcPr>
          <w:p w14:paraId="2092A18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(две пушки и 5 пулеметов вместо 2 пушек и 3 пулеметов).</w:t>
            </w:r>
          </w:p>
        </w:tc>
        <w:tc>
          <w:tcPr>
            <w:tcW w:w="5636" w:type="dxa"/>
          </w:tcPr>
          <w:p w14:paraId="344AC5B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1DF6C94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Самолет предъявить на летные испытания к 15 июля 1944 года со следующими летно-тактическими данными при полетном весе 28 тонн:</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5106D0" w:rsidRPr="007224C3" w14:paraId="2789CB2F" w14:textId="77777777">
        <w:tc>
          <w:tcPr>
            <w:tcW w:w="5636" w:type="dxa"/>
          </w:tcPr>
          <w:p w14:paraId="1F93EC7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скорость у земли</w:t>
            </w:r>
          </w:p>
        </w:tc>
        <w:tc>
          <w:tcPr>
            <w:tcW w:w="5636" w:type="dxa"/>
          </w:tcPr>
          <w:p w14:paraId="08E3D5B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390 км/час</w:t>
            </w:r>
          </w:p>
        </w:tc>
      </w:tr>
      <w:tr w:rsidR="005106D0" w:rsidRPr="007224C3" w14:paraId="55601C8C" w14:textId="77777777">
        <w:tc>
          <w:tcPr>
            <w:tcW w:w="5636" w:type="dxa"/>
          </w:tcPr>
          <w:p w14:paraId="6C44826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 скорость на</w:t>
            </w:r>
          </w:p>
        </w:tc>
        <w:tc>
          <w:tcPr>
            <w:tcW w:w="5636" w:type="dxa"/>
          </w:tcPr>
          <w:p w14:paraId="1B4C337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D1109A9" w14:textId="77777777">
        <w:tc>
          <w:tcPr>
            <w:tcW w:w="5636" w:type="dxa"/>
          </w:tcPr>
          <w:p w14:paraId="6334146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высоте 9000 м</w:t>
            </w:r>
          </w:p>
        </w:tc>
        <w:tc>
          <w:tcPr>
            <w:tcW w:w="5636" w:type="dxa"/>
          </w:tcPr>
          <w:p w14:paraId="5FFFA2A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500 км/час</w:t>
            </w:r>
          </w:p>
        </w:tc>
      </w:tr>
      <w:tr w:rsidR="005106D0" w:rsidRPr="007224C3" w14:paraId="32BFAAFC" w14:textId="77777777">
        <w:tc>
          <w:tcPr>
            <w:tcW w:w="5636" w:type="dxa"/>
          </w:tcPr>
          <w:p w14:paraId="41AC7C6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время подъема на высоту</w:t>
            </w:r>
          </w:p>
        </w:tc>
        <w:tc>
          <w:tcPr>
            <w:tcW w:w="5636" w:type="dxa"/>
          </w:tcPr>
          <w:p w14:paraId="112E27F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BA22933" w14:textId="77777777">
        <w:tc>
          <w:tcPr>
            <w:tcW w:w="5636" w:type="dxa"/>
          </w:tcPr>
          <w:p w14:paraId="7E0F5C3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6000 м</w:t>
            </w:r>
          </w:p>
        </w:tc>
        <w:tc>
          <w:tcPr>
            <w:tcW w:w="5636" w:type="dxa"/>
          </w:tcPr>
          <w:p w14:paraId="2E52701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мин.</w:t>
            </w:r>
          </w:p>
        </w:tc>
      </w:tr>
      <w:tr w:rsidR="005106D0" w:rsidRPr="007224C3" w14:paraId="7326FD95" w14:textId="77777777">
        <w:tc>
          <w:tcPr>
            <w:tcW w:w="5636" w:type="dxa"/>
          </w:tcPr>
          <w:p w14:paraId="0713480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практический потолок</w:t>
            </w:r>
          </w:p>
        </w:tc>
        <w:tc>
          <w:tcPr>
            <w:tcW w:w="5636" w:type="dxa"/>
          </w:tcPr>
          <w:p w14:paraId="09BEAE0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11000 м</w:t>
            </w:r>
          </w:p>
        </w:tc>
      </w:tr>
      <w:tr w:rsidR="005106D0" w:rsidRPr="007224C3" w14:paraId="5561760C" w14:textId="77777777">
        <w:tc>
          <w:tcPr>
            <w:tcW w:w="5636" w:type="dxa"/>
          </w:tcPr>
          <w:p w14:paraId="39DB426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техническая дальность по</w:t>
            </w:r>
          </w:p>
        </w:tc>
        <w:tc>
          <w:tcPr>
            <w:tcW w:w="5636" w:type="dxa"/>
          </w:tcPr>
          <w:p w14:paraId="2B902ED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4EEC5B3" w14:textId="77777777">
        <w:tc>
          <w:tcPr>
            <w:tcW w:w="5636" w:type="dxa"/>
          </w:tcPr>
          <w:p w14:paraId="16FA8DF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боевому профилю с 2000 кг</w:t>
            </w:r>
          </w:p>
        </w:tc>
        <w:tc>
          <w:tcPr>
            <w:tcW w:w="5636" w:type="dxa"/>
          </w:tcPr>
          <w:p w14:paraId="2524196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DFB85CD" w14:textId="77777777">
        <w:tc>
          <w:tcPr>
            <w:tcW w:w="5636" w:type="dxa"/>
          </w:tcPr>
          <w:p w14:paraId="072362F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бомб при весе 35000 кг</w:t>
            </w:r>
          </w:p>
        </w:tc>
        <w:tc>
          <w:tcPr>
            <w:tcW w:w="5636" w:type="dxa"/>
          </w:tcPr>
          <w:p w14:paraId="73981F7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5000 км</w:t>
            </w:r>
          </w:p>
        </w:tc>
      </w:tr>
      <w:tr w:rsidR="005106D0" w:rsidRPr="007224C3" w14:paraId="2CD924BD" w14:textId="77777777">
        <w:tc>
          <w:tcPr>
            <w:tcW w:w="5636" w:type="dxa"/>
          </w:tcPr>
          <w:p w14:paraId="2548C93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 с дополнительными баками</w:t>
            </w:r>
          </w:p>
        </w:tc>
        <w:tc>
          <w:tcPr>
            <w:tcW w:w="5636" w:type="dxa"/>
          </w:tcPr>
          <w:p w14:paraId="745CF2B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C689C84" w14:textId="77777777">
        <w:tc>
          <w:tcPr>
            <w:tcW w:w="5636" w:type="dxa"/>
          </w:tcPr>
          <w:p w14:paraId="216325A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весе 37500 кг</w:t>
            </w:r>
          </w:p>
        </w:tc>
        <w:tc>
          <w:tcPr>
            <w:tcW w:w="5636" w:type="dxa"/>
          </w:tcPr>
          <w:p w14:paraId="73A92E7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6000 км</w:t>
            </w:r>
          </w:p>
        </w:tc>
      </w:tr>
      <w:tr w:rsidR="005106D0" w:rsidRPr="007224C3" w14:paraId="2FE184E4" w14:textId="77777777">
        <w:tc>
          <w:tcPr>
            <w:tcW w:w="5636" w:type="dxa"/>
          </w:tcPr>
          <w:p w14:paraId="1449559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техническая дальность по</w:t>
            </w:r>
          </w:p>
        </w:tc>
        <w:tc>
          <w:tcPr>
            <w:tcW w:w="5636" w:type="dxa"/>
          </w:tcPr>
          <w:p w14:paraId="5C6528F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EDF3C48" w14:textId="77777777">
        <w:tc>
          <w:tcPr>
            <w:tcW w:w="5636" w:type="dxa"/>
          </w:tcPr>
          <w:p w14:paraId="79B3EDA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боевому профилю с 6000 кг</w:t>
            </w:r>
          </w:p>
        </w:tc>
        <w:tc>
          <w:tcPr>
            <w:tcW w:w="5636" w:type="dxa"/>
          </w:tcPr>
          <w:p w14:paraId="06B0FCC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364A446" w14:textId="77777777">
        <w:tc>
          <w:tcPr>
            <w:tcW w:w="5636" w:type="dxa"/>
          </w:tcPr>
          <w:p w14:paraId="6518810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бомб</w:t>
            </w:r>
          </w:p>
        </w:tc>
        <w:tc>
          <w:tcPr>
            <w:tcW w:w="5636" w:type="dxa"/>
          </w:tcPr>
          <w:p w14:paraId="7819DDF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4200 км</w:t>
            </w:r>
          </w:p>
        </w:tc>
      </w:tr>
      <w:tr w:rsidR="005106D0" w:rsidRPr="007224C3" w14:paraId="783A3BD6" w14:textId="77777777">
        <w:tc>
          <w:tcPr>
            <w:tcW w:w="5636" w:type="dxa"/>
          </w:tcPr>
          <w:p w14:paraId="16FEC19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техническая дальность по</w:t>
            </w:r>
          </w:p>
        </w:tc>
        <w:tc>
          <w:tcPr>
            <w:tcW w:w="5636" w:type="dxa"/>
          </w:tcPr>
          <w:p w14:paraId="46564FA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BEF1FFB" w14:textId="77777777">
        <w:tc>
          <w:tcPr>
            <w:tcW w:w="5636" w:type="dxa"/>
          </w:tcPr>
          <w:p w14:paraId="6D168B3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боевому профилю с 8000 кг</w:t>
            </w:r>
          </w:p>
        </w:tc>
        <w:tc>
          <w:tcPr>
            <w:tcW w:w="5636" w:type="dxa"/>
          </w:tcPr>
          <w:p w14:paraId="14E763D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A652B81" w14:textId="77777777">
        <w:tc>
          <w:tcPr>
            <w:tcW w:w="5636" w:type="dxa"/>
          </w:tcPr>
          <w:p w14:paraId="6FAA9BF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бомб</w:t>
            </w:r>
          </w:p>
        </w:tc>
        <w:tc>
          <w:tcPr>
            <w:tcW w:w="5636" w:type="dxa"/>
          </w:tcPr>
          <w:p w14:paraId="7F2E9DB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3100 км</w:t>
            </w:r>
          </w:p>
        </w:tc>
      </w:tr>
      <w:tr w:rsidR="005106D0" w:rsidRPr="007224C3" w14:paraId="1E7E812C" w14:textId="77777777">
        <w:tc>
          <w:tcPr>
            <w:tcW w:w="5636" w:type="dxa"/>
          </w:tcPr>
          <w:p w14:paraId="5642CC5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разбег при максимальном </w:t>
            </w:r>
          </w:p>
        </w:tc>
        <w:tc>
          <w:tcPr>
            <w:tcW w:w="5636" w:type="dxa"/>
          </w:tcPr>
          <w:p w14:paraId="5BA6866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56BE068" w14:textId="77777777">
        <w:tc>
          <w:tcPr>
            <w:tcW w:w="5636" w:type="dxa"/>
          </w:tcPr>
          <w:p w14:paraId="762E3C7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полетном весе 37500 кг</w:t>
            </w:r>
          </w:p>
        </w:tc>
        <w:tc>
          <w:tcPr>
            <w:tcW w:w="5636" w:type="dxa"/>
          </w:tcPr>
          <w:p w14:paraId="66D2860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800 м</w:t>
            </w:r>
          </w:p>
        </w:tc>
      </w:tr>
      <w:tr w:rsidR="005106D0" w:rsidRPr="007224C3" w14:paraId="27F62A79" w14:textId="77777777">
        <w:tc>
          <w:tcPr>
            <w:tcW w:w="5636" w:type="dxa"/>
          </w:tcPr>
          <w:p w14:paraId="068CBBE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стрелковое вооружение:</w:t>
            </w:r>
          </w:p>
        </w:tc>
        <w:tc>
          <w:tcPr>
            <w:tcW w:w="5636" w:type="dxa"/>
          </w:tcPr>
          <w:p w14:paraId="6011DA7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23432CF" w14:textId="77777777">
        <w:tc>
          <w:tcPr>
            <w:tcW w:w="5636" w:type="dxa"/>
          </w:tcPr>
          <w:p w14:paraId="29C81C6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носовая установка</w:t>
            </w:r>
          </w:p>
        </w:tc>
        <w:tc>
          <w:tcPr>
            <w:tcW w:w="5636" w:type="dxa"/>
          </w:tcPr>
          <w:p w14:paraId="7CF5867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пулемет кал. 12,7 мм с</w:t>
            </w:r>
          </w:p>
        </w:tc>
      </w:tr>
      <w:tr w:rsidR="005106D0" w:rsidRPr="007224C3" w14:paraId="31E7B45B" w14:textId="77777777">
        <w:tc>
          <w:tcPr>
            <w:tcW w:w="5636" w:type="dxa"/>
          </w:tcPr>
          <w:p w14:paraId="578E163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00F77F9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конусом обстрела до 110</w:t>
            </w:r>
          </w:p>
        </w:tc>
      </w:tr>
      <w:tr w:rsidR="005106D0" w:rsidRPr="007224C3" w14:paraId="37F1BE50" w14:textId="77777777">
        <w:tc>
          <w:tcPr>
            <w:tcW w:w="5636" w:type="dxa"/>
          </w:tcPr>
          <w:p w14:paraId="20FEC66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690D228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градусов с боезапасом 200</w:t>
            </w:r>
          </w:p>
        </w:tc>
      </w:tr>
      <w:tr w:rsidR="005106D0" w:rsidRPr="007224C3" w14:paraId="6BFAE523" w14:textId="77777777">
        <w:tc>
          <w:tcPr>
            <w:tcW w:w="5636" w:type="dxa"/>
          </w:tcPr>
          <w:p w14:paraId="501EE69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4C802AE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патронов</w:t>
            </w:r>
          </w:p>
        </w:tc>
      </w:tr>
      <w:tr w:rsidR="005106D0" w:rsidRPr="007224C3" w14:paraId="7BB4B1A9" w14:textId="77777777">
        <w:tc>
          <w:tcPr>
            <w:tcW w:w="5636" w:type="dxa"/>
          </w:tcPr>
          <w:p w14:paraId="13356E4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кормовая установка</w:t>
            </w:r>
          </w:p>
        </w:tc>
        <w:tc>
          <w:tcPr>
            <w:tcW w:w="5636" w:type="dxa"/>
          </w:tcPr>
          <w:p w14:paraId="03D41EF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пушка кал. 20 мм для</w:t>
            </w:r>
          </w:p>
        </w:tc>
      </w:tr>
      <w:tr w:rsidR="005106D0" w:rsidRPr="007224C3" w14:paraId="6E991CDC" w14:textId="77777777">
        <w:tc>
          <w:tcPr>
            <w:tcW w:w="5636" w:type="dxa"/>
          </w:tcPr>
          <w:p w14:paraId="5E10889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3B5608B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обстрела задней полусферы</w:t>
            </w:r>
          </w:p>
        </w:tc>
      </w:tr>
      <w:tr w:rsidR="005106D0" w:rsidRPr="007224C3" w14:paraId="307F13D5" w14:textId="77777777">
        <w:tc>
          <w:tcPr>
            <w:tcW w:w="5636" w:type="dxa"/>
          </w:tcPr>
          <w:p w14:paraId="02F50F9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0E6414C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боезапасом 400 патронов</w:t>
            </w:r>
          </w:p>
        </w:tc>
      </w:tr>
      <w:tr w:rsidR="005106D0" w:rsidRPr="007224C3" w14:paraId="16341E12" w14:textId="77777777">
        <w:tc>
          <w:tcPr>
            <w:tcW w:w="5636" w:type="dxa"/>
          </w:tcPr>
          <w:p w14:paraId="1628999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верхняя установка</w:t>
            </w:r>
          </w:p>
        </w:tc>
        <w:tc>
          <w:tcPr>
            <w:tcW w:w="5636" w:type="dxa"/>
          </w:tcPr>
          <w:p w14:paraId="2E97F23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пушка кал. 20 мм для</w:t>
            </w:r>
          </w:p>
        </w:tc>
      </w:tr>
      <w:tr w:rsidR="005106D0" w:rsidRPr="007224C3" w14:paraId="1A157126" w14:textId="77777777">
        <w:tc>
          <w:tcPr>
            <w:tcW w:w="5636" w:type="dxa"/>
          </w:tcPr>
          <w:p w14:paraId="6872563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0561F58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обстрела верхней полусферы</w:t>
            </w:r>
          </w:p>
        </w:tc>
      </w:tr>
      <w:tr w:rsidR="005106D0" w:rsidRPr="007224C3" w14:paraId="240ACFFC" w14:textId="77777777">
        <w:tc>
          <w:tcPr>
            <w:tcW w:w="5636" w:type="dxa"/>
          </w:tcPr>
          <w:p w14:paraId="43A2734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4A2C642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боезапасом 400 снарядов</w:t>
            </w:r>
          </w:p>
        </w:tc>
      </w:tr>
      <w:tr w:rsidR="005106D0" w:rsidRPr="007224C3" w14:paraId="68CE0771" w14:textId="77777777">
        <w:tc>
          <w:tcPr>
            <w:tcW w:w="5636" w:type="dxa"/>
          </w:tcPr>
          <w:p w14:paraId="4DD9C9A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установка в обтекателях</w:t>
            </w:r>
          </w:p>
        </w:tc>
        <w:tc>
          <w:tcPr>
            <w:tcW w:w="5636" w:type="dxa"/>
          </w:tcPr>
          <w:p w14:paraId="3719834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7610F14" w14:textId="77777777">
        <w:tc>
          <w:tcPr>
            <w:tcW w:w="5636" w:type="dxa"/>
          </w:tcPr>
          <w:p w14:paraId="4300734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шасси</w:t>
            </w:r>
          </w:p>
        </w:tc>
        <w:tc>
          <w:tcPr>
            <w:tcW w:w="5636" w:type="dxa"/>
          </w:tcPr>
          <w:p w14:paraId="03538D5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пулемета кал. 12,7 мм для</w:t>
            </w:r>
          </w:p>
        </w:tc>
      </w:tr>
      <w:tr w:rsidR="005106D0" w:rsidRPr="007224C3" w14:paraId="0E0F092F" w14:textId="77777777">
        <w:tc>
          <w:tcPr>
            <w:tcW w:w="5636" w:type="dxa"/>
          </w:tcPr>
          <w:p w14:paraId="218C440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1D1A1E7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обстрела вниз-назад с боезапасом</w:t>
            </w:r>
          </w:p>
        </w:tc>
      </w:tr>
      <w:tr w:rsidR="005106D0" w:rsidRPr="007224C3" w14:paraId="713A4A89" w14:textId="77777777">
        <w:tc>
          <w:tcPr>
            <w:tcW w:w="5636" w:type="dxa"/>
          </w:tcPr>
          <w:p w14:paraId="71DFF6A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3806A02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800 патронов</w:t>
            </w:r>
          </w:p>
        </w:tc>
      </w:tr>
      <w:tr w:rsidR="005106D0" w:rsidRPr="007224C3" w14:paraId="651A36C7" w14:textId="77777777">
        <w:tc>
          <w:tcPr>
            <w:tcW w:w="5636" w:type="dxa"/>
          </w:tcPr>
          <w:p w14:paraId="644A523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бортовая установка</w:t>
            </w:r>
          </w:p>
        </w:tc>
        <w:tc>
          <w:tcPr>
            <w:tcW w:w="5636" w:type="dxa"/>
          </w:tcPr>
          <w:p w14:paraId="1241104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пулемета кал. 12,7 мм для</w:t>
            </w:r>
          </w:p>
        </w:tc>
      </w:tr>
      <w:tr w:rsidR="005106D0" w:rsidRPr="007224C3" w14:paraId="02F1C1ED" w14:textId="77777777">
        <w:tc>
          <w:tcPr>
            <w:tcW w:w="5636" w:type="dxa"/>
          </w:tcPr>
          <w:p w14:paraId="39B458F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56C5F26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обстрела вперед-вниз и назад</w:t>
            </w:r>
          </w:p>
        </w:tc>
      </w:tr>
      <w:tr w:rsidR="005106D0" w:rsidRPr="007224C3" w14:paraId="33E964F6" w14:textId="77777777">
        <w:tc>
          <w:tcPr>
            <w:tcW w:w="5636" w:type="dxa"/>
          </w:tcPr>
          <w:p w14:paraId="0FA9466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6BFF158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вниз с боезапасом 400 патронов</w:t>
            </w:r>
          </w:p>
        </w:tc>
      </w:tr>
    </w:tbl>
    <w:p w14:paraId="1BD2FC8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Калибр подвешиваемых бомб от 100 кг до 5000 кг.</w:t>
      </w:r>
    </w:p>
    <w:p w14:paraId="082E5B4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Этим же постановленнием Государственный Комитет Обороны обязал:</w:t>
      </w:r>
    </w:p>
    <w:p w14:paraId="757067E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Наркомфин СССР - т. Зверева выделить НКАП из резервного фонда СНК СССР:</w:t>
      </w:r>
    </w:p>
    <w:p w14:paraId="744F73E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пять миллионов рублей на проектирование и постройку модернизированного самолёта Пе-8;</w:t>
      </w:r>
    </w:p>
    <w:p w14:paraId="271DE3A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для поощрения работников ОКБ и завода за выполнение задания в установленный срок - 500 тыс .рублей.</w:t>
      </w:r>
    </w:p>
    <w:p w14:paraId="40B3077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Наркомсредмаш - т. Акопова в первом квартале 1944 года дополнительно выделить Наркомавивпрому для ОКБ т. Незваль одну легковую и одну грузовую трехтонную автомашины.</w:t>
      </w:r>
    </w:p>
    <w:p w14:paraId="2F32F20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Нарксмторг СССР - т. Любимова выделить для СКБ т. Нез</w:t>
      </w:r>
      <w:r w:rsidRPr="007224C3">
        <w:rPr>
          <w:rFonts w:ascii="Times New Roman" w:hAnsi="Times New Roman"/>
          <w:color w:val="000000" w:themeColor="text1"/>
          <w:sz w:val="16"/>
          <w:szCs w:val="16"/>
        </w:rPr>
        <w:softHyphen/>
        <w:t>валь, начиная с мартя сего года дополнительно 15 литерных пайков 30 пайков Р-4 и 50 вторых горячих.</w:t>
      </w:r>
    </w:p>
    <w:p w14:paraId="507B78B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Наркомтекстиль - т. Акимова выделить ОКБ т. Незваль за счёт перехсдящих остатков промышленности специальным назначе</w:t>
      </w:r>
      <w:r w:rsidRPr="007224C3">
        <w:rPr>
          <w:rFonts w:ascii="Times New Roman" w:hAnsi="Times New Roman"/>
          <w:color w:val="000000" w:themeColor="text1"/>
          <w:sz w:val="16"/>
          <w:szCs w:val="16"/>
        </w:rPr>
        <w:softHyphen/>
        <w:t>нием:</w:t>
      </w:r>
    </w:p>
    <w:p w14:paraId="2BD2E89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хлопчатобумажной ткани - на 10000 руб.</w:t>
      </w:r>
    </w:p>
    <w:p w14:paraId="55318FB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Шерстяной ткани - на 50000 руб.</w:t>
      </w:r>
    </w:p>
    <w:p w14:paraId="6964504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Наркомлегпром СССР - т. Лукина выделить ОКБ т. Незваль за счёт переходящих остатков промышленности целевым назначением обуви - 200 пар. (1823,6).</w:t>
      </w:r>
    </w:p>
    <w:p w14:paraId="48688EF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420F3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февраля 1944 был составлен акт по установке ПВРД ДМ-4с конструкции И.А.Меркулова на самолете Як-7Б N 820803 с М105ПФ на заводе 482 (367,55).</w:t>
      </w:r>
    </w:p>
    <w:p w14:paraId="774DCD1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C2337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февраля 1944 вышел приказ НКАП N 125 "О переоборудовании 80 самолетов Як-9 (два полка) в варианте истребителя-бомбардировщика в исполнение постановления ГКО N 5219 от 20 февраля 1944. Кассета - 200 кг противотанковых осв. бомб за кабиной + 1хШВАК и 1хУБС. 40 - к 10 апреля и из них 10 с РПК-10, а 40 - к 1 мая и из них 10 с РПК-10 (954,108).</w:t>
      </w:r>
    </w:p>
    <w:p w14:paraId="7B3E228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Приказываю:</w:t>
      </w:r>
    </w:p>
    <w:p w14:paraId="19C00A2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Начальнику ПГУ Зам. НКАП тов. Воронину и директору завода № 301 тов. Смирнову переоборудовать и сдать ВВС КА 80 с-тов Як-9 (на два полка) в варианте истребителя-бомбардировщика с сохранием макс. скорости и дальности серийных Як-9.</w:t>
      </w:r>
    </w:p>
    <w:p w14:paraId="775199E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С-0ты должны иметь следующее вооружение:</w:t>
      </w:r>
    </w:p>
    <w:p w14:paraId="108963A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бомбовая кассета в задней кабине под 200 кг противотанковых бомб</w:t>
      </w:r>
    </w:p>
    <w:p w14:paraId="01C0843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стрелковое 1хШВАК и 1хБС</w:t>
      </w:r>
    </w:p>
    <w:p w14:paraId="519BF7B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Установить сроки сдачи: 40 - к 10 апреля (10 из них оборудовать РПК-10) и 40 к 1 мая 1944 (10 из них оборудовать РПК-10) (953,86).</w:t>
      </w:r>
    </w:p>
    <w:p w14:paraId="677AC58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F8B6A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февраля 1944 г. был подготовлен АКТ о выполненных работ на самолете ЯК-7Б № 820803 с мотором № 105-ПФ № 45-32.</w:t>
      </w:r>
    </w:p>
    <w:p w14:paraId="3F8483C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февраля 1944 г. Мы нижеподписавшиеся: гл. инженер за</w:t>
      </w:r>
      <w:r w:rsidRPr="007224C3">
        <w:rPr>
          <w:rFonts w:ascii="Times New Roman" w:hAnsi="Times New Roman"/>
          <w:color w:val="000000" w:themeColor="text1"/>
          <w:sz w:val="16"/>
          <w:szCs w:val="16"/>
        </w:rPr>
        <w:softHyphen/>
        <w:t>вода т.Ромадин. В .А., нач. цеха к б т.Лаптев Н.С., за нач. ОТК. з-да т. Цесарский Г. А. и ведущий инженер с-та т. Нико</w:t>
      </w:r>
      <w:r w:rsidRPr="007224C3">
        <w:rPr>
          <w:rFonts w:ascii="Times New Roman" w:hAnsi="Times New Roman"/>
          <w:color w:val="000000" w:themeColor="text1"/>
          <w:sz w:val="16"/>
          <w:szCs w:val="16"/>
        </w:rPr>
        <w:softHyphen/>
        <w:t>лаевский Б. А. составили настоящий акт в том, что на заводе * 482 НКАП были проведены следующие работы по самолету:</w:t>
      </w:r>
    </w:p>
    <w:p w14:paraId="59C14CF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Подвеска дополнительных двигателей.</w:t>
      </w:r>
    </w:p>
    <w:p w14:paraId="67B2F62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Монтаж бензопровода к дополнит, двигателям.</w:t>
      </w:r>
    </w:p>
    <w:p w14:paraId="579AF0A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Установка агрегатов бензо-системн /дополнит. помпа,</w:t>
      </w:r>
    </w:p>
    <w:p w14:paraId="6E0EAAA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Монтаж управления кранами.</w:t>
      </w:r>
    </w:p>
    <w:p w14:paraId="43B6ACA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Монтаж э л. проводки зажигания дополнит. двигателей.</w:t>
      </w:r>
    </w:p>
    <w:p w14:paraId="520A5B9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 контрольных приборов - * .</w:t>
      </w:r>
    </w:p>
    <w:p w14:paraId="72693A7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Оборудование задней кабины д/наблюдателя.</w:t>
      </w:r>
    </w:p>
    <w:p w14:paraId="49F4324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Отработка пасси и пневм</w:t>
      </w:r>
      <w:r w:rsidR="00A44782" w:rsidRPr="007224C3">
        <w:rPr>
          <w:rFonts w:ascii="Times New Roman" w:hAnsi="Times New Roman"/>
          <w:color w:val="000000" w:themeColor="text1"/>
          <w:sz w:val="16"/>
          <w:szCs w:val="16"/>
        </w:rPr>
        <w:t>о</w:t>
      </w:r>
      <w:r w:rsidRPr="007224C3">
        <w:rPr>
          <w:rFonts w:ascii="Times New Roman" w:hAnsi="Times New Roman"/>
          <w:color w:val="000000" w:themeColor="text1"/>
          <w:sz w:val="16"/>
          <w:szCs w:val="16"/>
        </w:rPr>
        <w:t>системы.</w:t>
      </w:r>
    </w:p>
    <w:p w14:paraId="3838D7C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Тарировка приборов.</w:t>
      </w:r>
    </w:p>
    <w:p w14:paraId="77BAEA4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Устранение дефектов по ведомости ОТК.</w:t>
      </w:r>
    </w:p>
    <w:p w14:paraId="58BA585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Окраска, самолета.</w:t>
      </w:r>
    </w:p>
    <w:p w14:paraId="7FDCFF5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Вышеперечисленные работы произведены по чертежам, эскизам конструкторского бюро /нач. т .Меркулов И.А./ и по указаниям вед.- инженера самолета т. Николаевского Б. А./ - Все указанные работа приняты ОТК завода" (11081).</w:t>
      </w:r>
    </w:p>
    <w:p w14:paraId="5C3D7E3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E20898E" w14:textId="77777777" w:rsidR="00A44782" w:rsidRPr="007224C3" w:rsidRDefault="00A44782" w:rsidP="007224C3">
      <w:pPr>
        <w:pStyle w:val="ae"/>
        <w:shd w:val="clear" w:color="auto" w:fill="FFFFFF"/>
        <w:spacing w:before="0" w:after="0"/>
        <w:jc w:val="both"/>
        <w:rPr>
          <w:color w:val="000000" w:themeColor="text1"/>
          <w:sz w:val="16"/>
          <w:szCs w:val="16"/>
        </w:rPr>
      </w:pPr>
      <w:r w:rsidRPr="007224C3">
        <w:rPr>
          <w:color w:val="000000" w:themeColor="text1"/>
          <w:sz w:val="16"/>
          <w:szCs w:val="16"/>
        </w:rPr>
        <w:t>23 февраля 1944 г.</w:t>
      </w:r>
    </w:p>
    <w:p w14:paraId="0149EA8D" w14:textId="77777777" w:rsidR="00A44782" w:rsidRPr="007224C3" w:rsidRDefault="00A44782" w:rsidP="007224C3">
      <w:pPr>
        <w:pStyle w:val="ae"/>
        <w:shd w:val="clear" w:color="auto" w:fill="FFFFFF"/>
        <w:spacing w:before="0" w:after="0"/>
        <w:jc w:val="both"/>
        <w:rPr>
          <w:color w:val="000000" w:themeColor="text1"/>
          <w:sz w:val="16"/>
          <w:szCs w:val="16"/>
        </w:rPr>
      </w:pPr>
      <w:r w:rsidRPr="007224C3">
        <w:rPr>
          <w:color w:val="000000" w:themeColor="text1"/>
          <w:sz w:val="16"/>
          <w:szCs w:val="16"/>
        </w:rPr>
        <w:t>«Акт выполненных работ на самолете Як-7Б № 820803 с мотором М-105ПФ № 45—32.</w:t>
      </w:r>
    </w:p>
    <w:p w14:paraId="0BB7CE29" w14:textId="77777777" w:rsidR="00A44782" w:rsidRPr="007224C3" w:rsidRDefault="00A44782" w:rsidP="007224C3">
      <w:pPr>
        <w:pStyle w:val="ae"/>
        <w:shd w:val="clear" w:color="auto" w:fill="FFFFFF"/>
        <w:spacing w:before="0" w:after="0"/>
        <w:jc w:val="both"/>
        <w:rPr>
          <w:color w:val="000000" w:themeColor="text1"/>
          <w:sz w:val="16"/>
          <w:szCs w:val="16"/>
        </w:rPr>
      </w:pPr>
      <w:r w:rsidRPr="007224C3">
        <w:rPr>
          <w:color w:val="000000" w:themeColor="text1"/>
          <w:sz w:val="16"/>
          <w:szCs w:val="16"/>
        </w:rPr>
        <w:t>23 февраля 1944 г. Мы нижеподписавшиеся: гл. инженер завода т. Ромадин В.А., нач. цеха № 6 т. Лаптев Н.С., за нач. ОТК з-да т. Цесарский Г.А. и ведущий инженер т. Николаев ский Б.А. составили настоящий акт в том, что на заводе J T 482 НКАП были проведены следующие работы по самолету:</w:t>
      </w:r>
    </w:p>
    <w:p w14:paraId="256CB172" w14:textId="77777777" w:rsidR="00A44782" w:rsidRPr="007224C3" w:rsidRDefault="00A44782" w:rsidP="007224C3">
      <w:pPr>
        <w:pStyle w:val="ae"/>
        <w:shd w:val="clear" w:color="auto" w:fill="FFFFFF"/>
        <w:spacing w:before="0" w:after="0"/>
        <w:jc w:val="both"/>
        <w:rPr>
          <w:color w:val="000000" w:themeColor="text1"/>
          <w:sz w:val="16"/>
          <w:szCs w:val="16"/>
        </w:rPr>
      </w:pPr>
      <w:r w:rsidRPr="007224C3">
        <w:rPr>
          <w:color w:val="000000" w:themeColor="text1"/>
          <w:sz w:val="16"/>
          <w:szCs w:val="16"/>
        </w:rPr>
        <w:t>1. Подвеска дополнительных двигателей.</w:t>
      </w:r>
    </w:p>
    <w:p w14:paraId="55E02A62" w14:textId="77777777" w:rsidR="00A44782" w:rsidRPr="007224C3" w:rsidRDefault="00A44782" w:rsidP="007224C3">
      <w:pPr>
        <w:pStyle w:val="ae"/>
        <w:shd w:val="clear" w:color="auto" w:fill="FFFFFF"/>
        <w:spacing w:before="0" w:after="0"/>
        <w:jc w:val="both"/>
        <w:rPr>
          <w:color w:val="000000" w:themeColor="text1"/>
          <w:sz w:val="16"/>
          <w:szCs w:val="16"/>
        </w:rPr>
      </w:pPr>
      <w:r w:rsidRPr="007224C3">
        <w:rPr>
          <w:color w:val="000000" w:themeColor="text1"/>
          <w:sz w:val="16"/>
          <w:szCs w:val="16"/>
        </w:rPr>
        <w:t>2. Монтаж бензопровода к дополнительным двигателям.</w:t>
      </w:r>
    </w:p>
    <w:p w14:paraId="13C6CA22" w14:textId="77777777" w:rsidR="00A44782" w:rsidRPr="007224C3" w:rsidRDefault="00A44782" w:rsidP="007224C3">
      <w:pPr>
        <w:pStyle w:val="ae"/>
        <w:shd w:val="clear" w:color="auto" w:fill="FFFFFF"/>
        <w:spacing w:before="0" w:after="0"/>
        <w:jc w:val="both"/>
        <w:rPr>
          <w:color w:val="000000" w:themeColor="text1"/>
          <w:sz w:val="16"/>
          <w:szCs w:val="16"/>
        </w:rPr>
      </w:pPr>
      <w:r w:rsidRPr="007224C3">
        <w:rPr>
          <w:color w:val="000000" w:themeColor="text1"/>
          <w:sz w:val="16"/>
          <w:szCs w:val="16"/>
        </w:rPr>
        <w:t>3. Установка агрегатов бензосистемы (дополнительная помпа, краны).</w:t>
      </w:r>
    </w:p>
    <w:p w14:paraId="4C4531F3" w14:textId="77777777" w:rsidR="00A44782" w:rsidRPr="007224C3" w:rsidRDefault="00A44782" w:rsidP="007224C3">
      <w:pPr>
        <w:pStyle w:val="ae"/>
        <w:shd w:val="clear" w:color="auto" w:fill="FFFFFF"/>
        <w:spacing w:before="0" w:after="0"/>
        <w:jc w:val="both"/>
        <w:rPr>
          <w:color w:val="000000" w:themeColor="text1"/>
          <w:sz w:val="16"/>
          <w:szCs w:val="16"/>
        </w:rPr>
      </w:pPr>
      <w:r w:rsidRPr="007224C3">
        <w:rPr>
          <w:color w:val="000000" w:themeColor="text1"/>
          <w:sz w:val="16"/>
          <w:szCs w:val="16"/>
        </w:rPr>
        <w:t>4. Монтаж управления кранами.</w:t>
      </w:r>
    </w:p>
    <w:p w14:paraId="159A0894" w14:textId="77777777" w:rsidR="00A44782" w:rsidRPr="007224C3" w:rsidRDefault="00A44782" w:rsidP="007224C3">
      <w:pPr>
        <w:pStyle w:val="ae"/>
        <w:shd w:val="clear" w:color="auto" w:fill="FFFFFF"/>
        <w:spacing w:before="0" w:after="0"/>
        <w:jc w:val="both"/>
        <w:rPr>
          <w:color w:val="000000" w:themeColor="text1"/>
          <w:sz w:val="16"/>
          <w:szCs w:val="16"/>
        </w:rPr>
      </w:pPr>
      <w:r w:rsidRPr="007224C3">
        <w:rPr>
          <w:color w:val="000000" w:themeColor="text1"/>
          <w:sz w:val="16"/>
          <w:szCs w:val="16"/>
        </w:rPr>
        <w:t>5. Монтаж электропроводки зажигания дополнительных двигателей.</w:t>
      </w:r>
    </w:p>
    <w:p w14:paraId="5147CC50" w14:textId="77777777" w:rsidR="00A44782" w:rsidRPr="007224C3" w:rsidRDefault="00A44782" w:rsidP="007224C3">
      <w:pPr>
        <w:pStyle w:val="ae"/>
        <w:shd w:val="clear" w:color="auto" w:fill="FFFFFF"/>
        <w:spacing w:before="0" w:after="0"/>
        <w:jc w:val="both"/>
        <w:rPr>
          <w:color w:val="000000" w:themeColor="text1"/>
          <w:sz w:val="16"/>
          <w:szCs w:val="16"/>
        </w:rPr>
      </w:pPr>
      <w:r w:rsidRPr="007224C3">
        <w:rPr>
          <w:color w:val="000000" w:themeColor="text1"/>
          <w:sz w:val="16"/>
          <w:szCs w:val="16"/>
        </w:rPr>
        <w:t>6. Монтаж контрольных приборов.</w:t>
      </w:r>
    </w:p>
    <w:p w14:paraId="4A75FBE5" w14:textId="77777777" w:rsidR="00A44782" w:rsidRPr="007224C3" w:rsidRDefault="00A44782" w:rsidP="007224C3">
      <w:pPr>
        <w:pStyle w:val="ae"/>
        <w:shd w:val="clear" w:color="auto" w:fill="FFFFFF"/>
        <w:spacing w:before="0" w:after="0"/>
        <w:jc w:val="both"/>
        <w:rPr>
          <w:color w:val="000000" w:themeColor="text1"/>
          <w:sz w:val="16"/>
          <w:szCs w:val="16"/>
        </w:rPr>
      </w:pPr>
      <w:r w:rsidRPr="007224C3">
        <w:rPr>
          <w:color w:val="000000" w:themeColor="text1"/>
          <w:sz w:val="16"/>
          <w:szCs w:val="16"/>
        </w:rPr>
        <w:t>7. Оборудование задней кабины для наблюдателя.</w:t>
      </w:r>
    </w:p>
    <w:p w14:paraId="2B4D4A13" w14:textId="77777777" w:rsidR="00A44782" w:rsidRPr="007224C3" w:rsidRDefault="00A44782" w:rsidP="007224C3">
      <w:pPr>
        <w:pStyle w:val="ae"/>
        <w:shd w:val="clear" w:color="auto" w:fill="FFFFFF"/>
        <w:spacing w:before="0" w:after="0"/>
        <w:jc w:val="both"/>
        <w:rPr>
          <w:color w:val="000000" w:themeColor="text1"/>
          <w:sz w:val="16"/>
          <w:szCs w:val="16"/>
        </w:rPr>
      </w:pPr>
      <w:r w:rsidRPr="007224C3">
        <w:rPr>
          <w:color w:val="000000" w:themeColor="text1"/>
          <w:sz w:val="16"/>
          <w:szCs w:val="16"/>
        </w:rPr>
        <w:t>8. Отработка шасси и пневмосистемы.</w:t>
      </w:r>
    </w:p>
    <w:p w14:paraId="4F1F7220" w14:textId="77777777" w:rsidR="00A44782" w:rsidRPr="007224C3" w:rsidRDefault="00A44782" w:rsidP="007224C3">
      <w:pPr>
        <w:pStyle w:val="ae"/>
        <w:shd w:val="clear" w:color="auto" w:fill="FFFFFF"/>
        <w:spacing w:before="0" w:after="0"/>
        <w:jc w:val="both"/>
        <w:rPr>
          <w:color w:val="000000" w:themeColor="text1"/>
          <w:sz w:val="16"/>
          <w:szCs w:val="16"/>
        </w:rPr>
      </w:pPr>
      <w:r w:rsidRPr="007224C3">
        <w:rPr>
          <w:color w:val="000000" w:themeColor="text1"/>
          <w:sz w:val="16"/>
          <w:szCs w:val="16"/>
        </w:rPr>
        <w:t>9. Тарировка приборов.</w:t>
      </w:r>
    </w:p>
    <w:p w14:paraId="046A0A73" w14:textId="77777777" w:rsidR="00A44782" w:rsidRPr="007224C3" w:rsidRDefault="00A44782" w:rsidP="007224C3">
      <w:pPr>
        <w:pStyle w:val="ae"/>
        <w:shd w:val="clear" w:color="auto" w:fill="FFFFFF"/>
        <w:spacing w:before="0" w:after="0"/>
        <w:jc w:val="both"/>
        <w:rPr>
          <w:color w:val="000000" w:themeColor="text1"/>
          <w:sz w:val="16"/>
          <w:szCs w:val="16"/>
        </w:rPr>
      </w:pPr>
      <w:r w:rsidRPr="007224C3">
        <w:rPr>
          <w:color w:val="000000" w:themeColor="text1"/>
          <w:sz w:val="16"/>
          <w:szCs w:val="16"/>
        </w:rPr>
        <w:t>10. Устранение дефектов по ведомости ОТК.</w:t>
      </w:r>
    </w:p>
    <w:p w14:paraId="731F8290" w14:textId="77777777" w:rsidR="00A44782" w:rsidRPr="007224C3" w:rsidRDefault="00A44782" w:rsidP="007224C3">
      <w:pPr>
        <w:pStyle w:val="ae"/>
        <w:shd w:val="clear" w:color="auto" w:fill="FFFFFF"/>
        <w:spacing w:before="0" w:after="0"/>
        <w:jc w:val="both"/>
        <w:rPr>
          <w:color w:val="000000" w:themeColor="text1"/>
          <w:sz w:val="16"/>
          <w:szCs w:val="16"/>
        </w:rPr>
      </w:pPr>
      <w:r w:rsidRPr="007224C3">
        <w:rPr>
          <w:color w:val="000000" w:themeColor="text1"/>
          <w:sz w:val="16"/>
          <w:szCs w:val="16"/>
        </w:rPr>
        <w:t>11. Окраска самолета.</w:t>
      </w:r>
    </w:p>
    <w:p w14:paraId="1AE0D5A3" w14:textId="77777777" w:rsidR="00A44782" w:rsidRPr="007224C3" w:rsidRDefault="00A44782" w:rsidP="007224C3">
      <w:pPr>
        <w:pStyle w:val="ae"/>
        <w:shd w:val="clear" w:color="auto" w:fill="FFFFFF"/>
        <w:spacing w:before="0" w:after="0"/>
        <w:jc w:val="both"/>
        <w:rPr>
          <w:color w:val="000000" w:themeColor="text1"/>
          <w:sz w:val="16"/>
          <w:szCs w:val="16"/>
        </w:rPr>
      </w:pPr>
      <w:r w:rsidRPr="007224C3">
        <w:rPr>
          <w:color w:val="000000" w:themeColor="text1"/>
          <w:sz w:val="16"/>
          <w:szCs w:val="16"/>
        </w:rPr>
        <w:t>Вышеперечисленные работы произведены по чертежам, эскизам КБ нач. т. Меркулов И.А. и по указаниям ведущего инженера самолета т. Николаевского Б.А.</w:t>
      </w:r>
    </w:p>
    <w:p w14:paraId="3E70837D" w14:textId="77777777" w:rsidR="00A44782" w:rsidRPr="007224C3" w:rsidRDefault="00A44782" w:rsidP="007224C3">
      <w:pPr>
        <w:pStyle w:val="ae"/>
        <w:shd w:val="clear" w:color="auto" w:fill="FFFFFF"/>
        <w:spacing w:before="0" w:after="0"/>
        <w:jc w:val="both"/>
        <w:rPr>
          <w:color w:val="000000" w:themeColor="text1"/>
          <w:sz w:val="16"/>
          <w:szCs w:val="16"/>
        </w:rPr>
      </w:pPr>
      <w:r w:rsidRPr="007224C3">
        <w:rPr>
          <w:color w:val="000000" w:themeColor="text1"/>
          <w:sz w:val="16"/>
          <w:szCs w:val="16"/>
        </w:rPr>
        <w:t>Все указанные работы приняты ОТК завода» (19586).</w:t>
      </w:r>
    </w:p>
    <w:p w14:paraId="7D7131DE" w14:textId="77777777" w:rsidR="00A44782" w:rsidRPr="007224C3" w:rsidRDefault="00A44782" w:rsidP="007224C3">
      <w:pPr>
        <w:pStyle w:val="ae"/>
        <w:shd w:val="clear" w:color="auto" w:fill="FFFFFF"/>
        <w:spacing w:before="0" w:after="0"/>
        <w:jc w:val="both"/>
        <w:rPr>
          <w:color w:val="000000" w:themeColor="text1"/>
          <w:sz w:val="16"/>
          <w:szCs w:val="16"/>
        </w:rPr>
      </w:pPr>
    </w:p>
    <w:p w14:paraId="7A92FB3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февраля 1944 вышло Распоряжение ГКО № 5232. Об обеспечении качественным прокатом заказов авиационной промышленности. РГАНИР, Фонд ГКО, д. 211, лл. 80-82 (11012).</w:t>
      </w:r>
    </w:p>
    <w:p w14:paraId="73BC90F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24137801"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19EF917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6AC203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февраля 1944 г. была подготовлена ИНСТРУКЦИЯ 4-го ОТДЕЛА УБП БТ и МВ КА ОБ ОСОБЕННОСТЯХ ИСПОЛЬЗОВАНИЯ 85-мм ТАНКОВОЙ ПУШКИ</w:t>
      </w:r>
    </w:p>
    <w:p w14:paraId="645C378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Устанавливаемая на Т-34 85-мм пушка выпускается двух образцов Д5-Т-85 и С-58. В бою пушку обслуживают два человека, к-р орудия и заряжающий.</w:t>
      </w:r>
    </w:p>
    <w:p w14:paraId="40CBA25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Обе системы по своим боевым свойствам существенной разницы не имеют и предназначаются для борьбы с бронетанковыми средствами противника, подавления артиллерийских батарей, орудий противо</w:t>
      </w:r>
      <w:r w:rsidRPr="007224C3">
        <w:rPr>
          <w:rFonts w:ascii="Times New Roman" w:hAnsi="Times New Roman"/>
          <w:color w:val="000000" w:themeColor="text1"/>
          <w:sz w:val="16"/>
          <w:szCs w:val="16"/>
        </w:rPr>
        <w:softHyphen/>
        <w:t>танковой обороны и поражения живой силы противника с предельных дистанций стрельбы 1500-2000 м.</w:t>
      </w:r>
    </w:p>
    <w:p w14:paraId="5F20C5F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В боекомплект входят осколочно-фугасные и бронебойные снаряды (всего 48-55 шт.). Вес уни</w:t>
      </w:r>
      <w:r w:rsidRPr="007224C3">
        <w:rPr>
          <w:rFonts w:ascii="Times New Roman" w:hAnsi="Times New Roman"/>
          <w:color w:val="000000" w:themeColor="text1"/>
          <w:sz w:val="16"/>
          <w:szCs w:val="16"/>
        </w:rPr>
        <w:softHyphen/>
        <w:t>тарного патрона, округленно — 16 кг.</w:t>
      </w:r>
    </w:p>
    <w:p w14:paraId="0756879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Решение боевой (огневой) задачи обеспечивается:</w:t>
      </w:r>
    </w:p>
    <w:p w14:paraId="1D9B976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мощностью артогня;</w:t>
      </w:r>
    </w:p>
    <w:p w14:paraId="750CEA9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маневренностью по вертикальному (- 5 + 25 градусов) и горизонтальному (360 градусов) наве</w:t>
      </w:r>
      <w:r w:rsidRPr="007224C3">
        <w:rPr>
          <w:rFonts w:ascii="Times New Roman" w:hAnsi="Times New Roman"/>
          <w:color w:val="000000" w:themeColor="text1"/>
          <w:sz w:val="16"/>
          <w:szCs w:val="16"/>
        </w:rPr>
        <w:softHyphen/>
        <w:t>дению орудия;</w:t>
      </w:r>
    </w:p>
    <w:p w14:paraId="0B90935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достаточно высокой скорострельностью орудия (4 выстрела в минуту).</w:t>
      </w:r>
    </w:p>
    <w:p w14:paraId="4470A35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Начальные скорости:</w:t>
      </w:r>
    </w:p>
    <w:p w14:paraId="3037A97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бр. сн. - 793 м/с;</w:t>
      </w:r>
    </w:p>
    <w:p w14:paraId="626DC23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оск. фуг. сн. — 783 м/с.</w:t>
      </w:r>
    </w:p>
    <w:p w14:paraId="27C01BA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Незначительная разница в начальных скоростях позволила иметь телескопический прицел с одной шкалой, используемой для стрельбы обоими видами снарядов — бр. и оск. фуг. (прицел шар</w:t>
      </w:r>
      <w:r w:rsidRPr="007224C3">
        <w:rPr>
          <w:rFonts w:ascii="Times New Roman" w:hAnsi="Times New Roman"/>
          <w:color w:val="000000" w:themeColor="text1"/>
          <w:sz w:val="16"/>
          <w:szCs w:val="16"/>
        </w:rPr>
        <w:softHyphen/>
        <w:t>нирный). Прицел ЮТ-15 постепенно будет заменен.</w:t>
      </w:r>
    </w:p>
    <w:p w14:paraId="0FF1E2E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Настильность траектории снарядов обеспечивает дальность прямого выстрела по целям:</w:t>
      </w:r>
    </w:p>
    <w:p w14:paraId="4D9AC72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танк Т-VI («Тигр») - высотой 2,94 м на 1000 м;</w:t>
      </w:r>
    </w:p>
    <w:p w14:paraId="45D814F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танк Т-У («Пантера») — высотой 2,91 м на 1000 м;</w:t>
      </w:r>
    </w:p>
    <w:p w14:paraId="0DA8243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танк Т-ГУ (средний) — высотой 2, 63 м на 900 м;</w:t>
      </w:r>
    </w:p>
    <w:p w14:paraId="068304F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 танк Т-III (средний) — высотой 2,49 м на 900 м.</w:t>
      </w:r>
    </w:p>
    <w:p w14:paraId="6B62322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Мощность и большая пробивная способность снаряда, небольшая величина рассеивания (на 1000 м величина Вв и Вб равны 0,16 м) дает возможность успешной борьбы с тяжелыми и средними танками противника.</w:t>
      </w:r>
    </w:p>
    <w:p w14:paraId="312BB5E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Большая начальная скорость пушки, а следовательно, хорошая настильность и пробивная спо</w:t>
      </w:r>
      <w:r w:rsidRPr="007224C3">
        <w:rPr>
          <w:rFonts w:ascii="Times New Roman" w:hAnsi="Times New Roman"/>
          <w:color w:val="000000" w:themeColor="text1"/>
          <w:sz w:val="16"/>
          <w:szCs w:val="16"/>
        </w:rPr>
        <w:softHyphen/>
        <w:t>собность — вносят некоторые особенности ведения огня из пушек этого калибра:</w:t>
      </w:r>
    </w:p>
    <w:p w14:paraId="74EE126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стрельба должна вестись с предельных дистанций (с учетом характера цели, возможности наблюдения) и по сложившейся боевой обстановке от 1500 до 2000 м;</w:t>
      </w:r>
    </w:p>
    <w:p w14:paraId="6C447E5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малое полетное время снаряда до цели не позволяет производить корректирование огня по боковому отклонению отмеченным прицелом до момента разрыва снаряда, стрелок не успе</w:t>
      </w:r>
      <w:r w:rsidRPr="007224C3">
        <w:rPr>
          <w:rFonts w:ascii="Times New Roman" w:hAnsi="Times New Roman"/>
          <w:color w:val="000000" w:themeColor="text1"/>
          <w:sz w:val="16"/>
          <w:szCs w:val="16"/>
        </w:rPr>
        <w:softHyphen/>
        <w:t>вает восстановить наводку, поэтому обучение корректированию огня должно производиться главным образом выносом точки прицеливания на величину наблюдаемого бокового отклонения. Корректирование по дальности, на дистанциях свыше 1200 м производится прицелом, на близких дистанциях выносом точки прицеливания.</w:t>
      </w:r>
    </w:p>
    <w:p w14:paraId="1AB08F5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затруднено наблюдение за разрывами со стороны стреляющего (при стрельбе на дальность до 1000-1200 м), дым, пыль после выстрела не успевают быстро рассеяться.</w:t>
      </w:r>
    </w:p>
    <w:p w14:paraId="02773F6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стрельбе из танка весь состав экипажа должен тщательно наблюдать за разрывами и помо</w:t>
      </w:r>
      <w:r w:rsidRPr="007224C3">
        <w:rPr>
          <w:rFonts w:ascii="Times New Roman" w:hAnsi="Times New Roman"/>
          <w:color w:val="000000" w:themeColor="text1"/>
          <w:sz w:val="16"/>
          <w:szCs w:val="16"/>
        </w:rPr>
        <w:softHyphen/>
        <w:t>гать стреляющему корректировать огонь.</w:t>
      </w:r>
    </w:p>
    <w:p w14:paraId="33C7A9C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 стрельба по движущимся танкам (целям) под КУ близким к ±90 градусов на дальностях до 800-1000 м со скоростью до 15 км/ч ведется с прицеливаем в передний обрез цели. При скорости цели до 20 км/ч, точка прицеливания выносится на !/</w:t>
      </w:r>
      <w:r w:rsidRPr="007224C3">
        <w:rPr>
          <w:rFonts w:ascii="Times New Roman" w:hAnsi="Times New Roman"/>
          <w:color w:val="000000" w:themeColor="text1"/>
          <w:sz w:val="16"/>
          <w:szCs w:val="16"/>
          <w:vertAlign w:val="subscript"/>
        </w:rPr>
        <w:t>2</w:t>
      </w:r>
      <w:r w:rsidRPr="007224C3">
        <w:rPr>
          <w:rFonts w:ascii="Times New Roman" w:hAnsi="Times New Roman"/>
          <w:color w:val="000000" w:themeColor="text1"/>
          <w:sz w:val="16"/>
          <w:szCs w:val="16"/>
        </w:rPr>
        <w:t xml:space="preserve"> фигуры в сторону движения цели.</w:t>
      </w:r>
    </w:p>
    <w:p w14:paraId="0DCA32C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косом движении цели указанная поправка берется в два раза меньше.</w:t>
      </w:r>
    </w:p>
    <w:p w14:paraId="210BFA0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Основным боевым качеством 85-мм пушки является ее кучность и меткость боя.</w:t>
      </w:r>
    </w:p>
    <w:p w14:paraId="6384B02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обучении стрельбе из этих пушек главное внимание должно быть обращено на точное определение исходных данных и правильный выбор точки прицеливания.</w:t>
      </w:r>
    </w:p>
    <w:p w14:paraId="74674D9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Сравнительно небольшой боекомплект танка, высокие боевые качества пушки обязывают эки</w:t>
      </w:r>
      <w:r w:rsidRPr="007224C3">
        <w:rPr>
          <w:rFonts w:ascii="Times New Roman" w:hAnsi="Times New Roman"/>
          <w:color w:val="000000" w:themeColor="text1"/>
          <w:sz w:val="16"/>
          <w:szCs w:val="16"/>
        </w:rPr>
        <w:softHyphen/>
        <w:t>паж танка рационально и наиболее эффективно использовать боеприпасы. Различные виды снаря</w:t>
      </w:r>
      <w:r w:rsidRPr="007224C3">
        <w:rPr>
          <w:rFonts w:ascii="Times New Roman" w:hAnsi="Times New Roman"/>
          <w:color w:val="000000" w:themeColor="text1"/>
          <w:sz w:val="16"/>
          <w:szCs w:val="16"/>
        </w:rPr>
        <w:softHyphen/>
        <w:t>дов должны быть использованы строго в соответствии с характером цели.</w:t>
      </w:r>
    </w:p>
    <w:p w14:paraId="3A18903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4 отдела УБП БТ и МВ КА подполковник Д. Калинин</w:t>
      </w:r>
    </w:p>
    <w:p w14:paraId="5B62741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38. Оп. 11353. Д. 199 Л. 79-80. Копия (11403).</w:t>
      </w:r>
    </w:p>
    <w:p w14:paraId="6B0B65F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2F53EB5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февраля 1944 вышло Постановление ГКО № 5233 О подготовке к пропуску весеннего паводка и восстановлению Днепровской гидроэлектростанции им. В.И.Ленина. РГАНИР, Фонд ГКО, д. 211, лл. 83-84,85-95 (11012).</w:t>
      </w:r>
    </w:p>
    <w:p w14:paraId="4177E8A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30263C0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февраля 1944 вышло Постановление ГКО № 5234 О добыче торфа торфопредприятиями наркоматов и ведомств в 1944 году. РГАНИР, Фонд ГКО, д. 211, лл. 96-103,104-160 (11012).</w:t>
      </w:r>
    </w:p>
    <w:p w14:paraId="45D9595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3E4644EA"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февраля 1944 вышло Постановление ГКО № 5235 О неотложных мерах по подготовке к лесосплаву в навигацию 1944 г. (7191, 161-179,180-197).</w:t>
      </w:r>
    </w:p>
    <w:p w14:paraId="28CE8FB7"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76C16A1"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28ACEC5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CF394E2" w14:textId="77777777" w:rsidR="00B609F6" w:rsidRPr="007224C3" w:rsidRDefault="00B609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23 февраля</w:t>
      </w:r>
      <w:r w:rsidRPr="007224C3">
        <w:rPr>
          <w:rFonts w:ascii="Times New Roman" w:hAnsi="Times New Roman"/>
          <w:color w:val="000000" w:themeColor="text1"/>
          <w:sz w:val="16"/>
          <w:szCs w:val="16"/>
        </w:rPr>
        <w:t xml:space="preserve"> в 1944 году оперативная сводка Совинформбюро:</w:t>
      </w:r>
    </w:p>
    <w:p w14:paraId="77A35C51" w14:textId="77777777" w:rsidR="00B609F6" w:rsidRPr="007224C3" w:rsidRDefault="00B609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23 февраля юго-западнее и южнее города Луга наши войска продолжали вести наступательные бои, в ходе которых сломили сопротивление противника и овладели районным центром Ленинградской области и крупной железнодорожной станцией Струги Красные, а также с боями заняли более 30 других населённых пунктов, в том числе Дуброво, Жупаново, Лудони, Велени, Щирск, Теребуни, Хредино, Залазы, Поречье, Видони, Замушки.</w:t>
      </w:r>
    </w:p>
    <w:p w14:paraId="511994CC" w14:textId="77777777" w:rsidR="00B609F6" w:rsidRPr="007224C3" w:rsidRDefault="00B609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озера Ильмень наши войска, продолжая развивать успешное наступление, с боями заняли более 150 населённых пунктов, в том числе Ситня, Зелеменье, Городище, Лукома, Залесье, Замошки, Шильская, Выскодь, Вишенка, Гаврово, Дроздиха, Хотован, Адершино, Петрово, Семёновщина и железнодорожные станции Куклино, Леменка, Гачки, Поломка, Дно 3-я. Наши войска, преодолевая сопротивление противника, вплотную подошли к городу и крупному железнодорожномуузлу ДНО и завязали уличные бои на северной и восточной окраинах города.</w:t>
      </w:r>
    </w:p>
    <w:p w14:paraId="5D6E3C3C" w14:textId="77777777" w:rsidR="00B609F6" w:rsidRPr="007224C3" w:rsidRDefault="00B609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Северо-западнее и западнее города Кривой Рог наши войска продолжали вести наступательные бои, в ходе которых заняли несколько населённых пунктов.</w:t>
      </w:r>
    </w:p>
    <w:p w14:paraId="6909B9BD" w14:textId="77777777" w:rsidR="00B609F6" w:rsidRPr="007224C3" w:rsidRDefault="00B609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 разведка, артиллерийско-миномётная перестрелка и в ряде пунктов бои местного значения.</w:t>
      </w:r>
    </w:p>
    <w:p w14:paraId="35276FBD" w14:textId="77777777" w:rsidR="00B609F6" w:rsidRPr="007224C3" w:rsidRDefault="00B609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22 февраля наши войска на всех фронтах подбили и уничтожили 140 немецких танков. В воздушных боях и огнём зенитной артиллерии сбито 20 самолётовпротивника.».</w:t>
      </w:r>
    </w:p>
    <w:p w14:paraId="44F6649A" w14:textId="77777777" w:rsidR="00B609F6" w:rsidRPr="007224C3" w:rsidRDefault="00B609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Налёт наших самолётов на город Або (Турку).</w:t>
      </w:r>
    </w:p>
    <w:p w14:paraId="3B7E319A" w14:textId="77777777" w:rsidR="00B609F6" w:rsidRPr="007224C3" w:rsidRDefault="00B609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ночь на 23 февраля наша авиация произвела массированный налёт на финский портовый город Або (Турку) и подвергла бомбардировке военно-промышленные объекты этого города. В результате бомбардировки возникло много пожаров, сопровождавшихся взрывами. Особенно крупные пожары и сильные взрывы наблюдением отмечены на территории судостроительной верфи и механического завода, а также в районе военных складов противника.</w:t>
      </w:r>
    </w:p>
    <w:p w14:paraId="7341A99F" w14:textId="77777777" w:rsidR="00B609F6" w:rsidRPr="007224C3" w:rsidRDefault="00B609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Четыре наших самолёта не вернулись на свои базы.</w:t>
      </w:r>
    </w:p>
    <w:p w14:paraId="3915404F" w14:textId="77777777" w:rsidR="00B609F6" w:rsidRPr="007224C3" w:rsidRDefault="00B609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иностранной печати появились сообщения, будто бы русские самолёты сбросили бомбы в районе Стокгольма. Все эти сообщения не соответствуют действительности. Никаких русских самолётов в районе Стокгольма не было, и поэтому они не могли сбросить бомб в этом районе.».</w:t>
      </w:r>
    </w:p>
    <w:p w14:paraId="7F50E0CD" w14:textId="77777777" w:rsidR="00B609F6" w:rsidRPr="007224C3" w:rsidRDefault="00B609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и южнее города Луга наши войска овладели районным центром Ленинградской области и крупной железнодорожной станцией Струги Красные, а также заняли более 30 других населённых пунктов. На одном участке бойцы Н-ской части, продвигаясь вперёд, истребили до батальона немецкой пехоты. Артиллеристы и миномётчики этой же части подбили 4 вражеских танка, 7 орудий и взорвали три крупных склада боеприпасов. В другом районе батальон под командованием капитана Тимошина оседлал шоссейную дорогу в тылу противника и в течение трёх суток удерживал её до подхода главных сил. За это время наши бойцы отразили несколько контратак противника и истребили более 200 гитлеровцев.</w:t>
      </w:r>
    </w:p>
    <w:p w14:paraId="5CCD0AF6" w14:textId="77777777" w:rsidR="00B609F6" w:rsidRPr="007224C3" w:rsidRDefault="00B609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озера Ильмень наши войска продолжали успешное наступление. Преодолевая сопротивление противника, уничтожая его живую силу и технику, советские бойцы освободили от немецко-фашистских захватчиков более 150 населённых пунктов. Части Н-ского соединения, стремительно продвигаясь вперёд, разгромили несколько узлов вражеской обороны и завязали бои на окраинах города и крупного железнодорожного узла Дно. За день боёв уничтожено свыше 1.500 гитлеровцев. Захвачены трофеи и взято в плен много немецких солдат и офицеров.</w:t>
      </w:r>
    </w:p>
    <w:p w14:paraId="412A6E30" w14:textId="77777777" w:rsidR="00B609F6" w:rsidRPr="007224C3" w:rsidRDefault="00B609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Северо-западнее и западнее города Кривой Рог наши войска продолжали вести наступательные бои и заняли несколько населённых пунктов. В боях на подступах к городу Кривой Рог наши войска, по неполным данным, истребили до 6.000 немецких солдат и офицеров. Захвачено у немцев 16 танков, более 100 орудий, 680 пулемётов, 7 тысяч автоматов и винтовок, 660 автомашин, 170 вагонов и много повозок с грузами, 6 крупных складов с боеприпасами и военным имуществом. Трофеи, захваченные в городе Кривой Рог, подсчитываются.</w:t>
      </w:r>
    </w:p>
    <w:p w14:paraId="13D1F3B8" w14:textId="77777777" w:rsidR="00B609F6" w:rsidRPr="007224C3" w:rsidRDefault="00B609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Молдавский партизанский отряд, направляясь на боевое задание, встретил батальон немецкой пехоты. Партизаны атаковали противника и в ожесточённом бою уничтожили до 100 гитлеровцев. Группа партизан отряда, действующего в Каменец-Подольской области, проникла на железнодорожную станцию и взорвала вражеский эшелон с горючим. Возник большой пожар, сопровождавшийся сильными взрывами. Уничтожено 20 цистерн с горючим и 32 вагона с разными военными грузами.</w:t>
      </w:r>
    </w:p>
    <w:p w14:paraId="787F89DF" w14:textId="77777777" w:rsidR="00B609F6" w:rsidRPr="007224C3" w:rsidRDefault="00B609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Приказ Верховного Главнокомандующего товарища Сталина о 26-й годовщине Красной Армии вызвал огромное воодушевление и новый патриотический подъём трудящихся Советской страны. На митингах и собраниях рабочие, колхозники и интеллигенция горячо приветствуют славную Красную Армию, любимого вождя товарища Сталина и заявляют, что они обеспечат Красную Армию всем необходимым для скорейшего и окончательного разгрома немецко-фашистских захватчиков.</w:t>
      </w:r>
    </w:p>
    <w:p w14:paraId="4FD91A69" w14:textId="77777777" w:rsidR="00B609F6" w:rsidRPr="007224C3" w:rsidRDefault="00B609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Московском металлургическом заводе «Серп и молот» на митинге выступил сталевар тов. Дроздов. Он сказал: «С глубоким удовлетворением и с чувством гордости мы встретили сталинские слова о том, что усилия рабочего класса приближают час нашей окончательной победы. Мы постараемся увеличить выплавку металла, чтобы наша Красная Армия могла нанести ещё более сокрушительные удары немецким гадам. Великий и мудрый вождь призывает нас трезво оценивать силы врага, быть бдительными, не зазнаваться, не допускать самоуспокоенности и беспечности. Мы заверяем товарища Сталина, что советские рабочие свято выполнят его указания. Я обязуюсь с каждой плавки выдавать по 5 тонн стали сверх задания». Рабочие завода «Серп и молот» взяли на себя конкретные обязательства по увеличению выпуска продукции.</w:t>
      </w:r>
    </w:p>
    <w:p w14:paraId="56D70549" w14:textId="77777777" w:rsidR="00B609F6" w:rsidRPr="007224C3" w:rsidRDefault="00B609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большим подъёмом прошли митинги на предприятиях Ленинграда. На митинге коллектива завода, где секретарём парткома т. Капралов, выступил бригадир кузнечно-термического цеха тов. Гришин: «Освобождение Ленинграда от вражескойблокады, — сказал он, — является крупнейшей победой нашей героической КраснойАрмии. Мы будем работать так, как нас учит великий Сталин. Став на стахановскую вахту, моя бригада вдвое увеличила выработку продукции. Вчера и сегодня каждыйиз нас дал по две-две с половиной нормы». Работница чугунолитейного цеха тов. Дерко заявила: «От всего сердца мы благодарим нашу Красную Армию и великого полководца товарища Сталина. Ленинград снова дышит полной грудью. Мы даём товарищу Сталину нерушимое слово, что будем и впредь работать по-фронтовому, по-ленинградски».</w:t>
      </w:r>
    </w:p>
    <w:p w14:paraId="11F2A4E1" w14:textId="77777777" w:rsidR="00B609F6" w:rsidRPr="007224C3" w:rsidRDefault="00B609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Куйбышевском машиностроительном заводе рабочие отметили годовщину КраснойАрмии выпуском сверхплановой продукции. 23 февраля коллектив завода отправил нафронт изделия, изготовленные сверх февральского плана. В цехах завода состоялисьмноголюдные митинги. Слесарь тов. Феоктистов при общем одобрении всех рабочихзаявил: «Сегодня вся страна горячо приветствует доблестную Красную Армию. Мы заверяем нашего любимого вождя товарища Сталина, что самоотверженным трудом будем ещё больше помогать Красной Армии в её священной борьбе против немецких захватчиков» (15049).</w:t>
      </w:r>
    </w:p>
    <w:p w14:paraId="24ABF9AC" w14:textId="77777777" w:rsidR="00B609F6" w:rsidRPr="007224C3" w:rsidRDefault="00B609F6" w:rsidP="007224C3">
      <w:pPr>
        <w:spacing w:after="0" w:line="240" w:lineRule="auto"/>
        <w:jc w:val="both"/>
        <w:rPr>
          <w:rFonts w:ascii="Times New Roman" w:hAnsi="Times New Roman"/>
          <w:color w:val="000000" w:themeColor="text1"/>
          <w:sz w:val="16"/>
          <w:szCs w:val="16"/>
        </w:rPr>
      </w:pPr>
    </w:p>
    <w:p w14:paraId="7495FC38" w14:textId="77777777" w:rsidR="00A44782" w:rsidRPr="007224C3" w:rsidRDefault="00A44782" w:rsidP="007224C3">
      <w:pPr>
        <w:pStyle w:val="a8"/>
        <w:jc w:val="both"/>
        <w:rPr>
          <w:rFonts w:ascii="Times New Roman" w:hAnsi="Times New Roman" w:cs="Times New Roman"/>
          <w:color w:val="000000" w:themeColor="text1"/>
        </w:rPr>
      </w:pPr>
      <w:r w:rsidRPr="007224C3">
        <w:rPr>
          <w:rFonts w:ascii="Times New Roman" w:hAnsi="Times New Roman" w:cs="Times New Roman"/>
          <w:color w:val="000000" w:themeColor="text1"/>
        </w:rPr>
        <w:t>23 февраля 1944 г. ведомая Кудымовым шестерка И-16 3-й ОИАЭ прикрывала в районе пункта Покровское пятерку Ил-2 группы к-на Клименко из 57-го ШАП. На обратном пути И-16-х атаковали истребители противника. По заявлению Кудымова, в завязавшемся бою ему удалось сбить ведущего группы, который упал на советской территории, поэтому воздушную победу подтвердили наземные войска. Им оказался FW 190, на вертикальном оперении которого было нарисовано 29 символов сбитых самолетов. Указанный воздушный бой стал одним из последних с участием И-16. В феврале 1944 г. 13-я эскадрилья вошла в состав 21-го ИАП ВВС КБФ, затем ее перевооружили — сначала на Як-7, затем на Як-9Д (19109).</w:t>
      </w:r>
    </w:p>
    <w:p w14:paraId="38F9EE26" w14:textId="77777777" w:rsidR="00A44782" w:rsidRPr="007224C3" w:rsidRDefault="00A44782" w:rsidP="007224C3">
      <w:pPr>
        <w:pStyle w:val="a8"/>
        <w:jc w:val="both"/>
        <w:rPr>
          <w:rFonts w:ascii="Times New Roman" w:hAnsi="Times New Roman" w:cs="Times New Roman"/>
          <w:color w:val="000000" w:themeColor="text1"/>
        </w:rPr>
      </w:pPr>
    </w:p>
    <w:p w14:paraId="5AADDBD7" w14:textId="77777777" w:rsidR="00B603E7" w:rsidRPr="007224C3" w:rsidRDefault="00B603E7"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23 февраля 1944 - Бомбардировка ВВС СССР Стокгольма. Во Второй мировой войне Швеция сохраняла нейтралитет, однако 23 февраля 1944 года и ей досталось. Стокилограммовой бомбой подчистую уничтожило недавно открытый летний театр — от него остался лишь кратер. В этой запутанной истории замешаны русский шпион и три «заблудившихся» советских бомбардировщика. Почему некоторые районы Стокгольма и город Стренгнес стали мишенью для авиабомб, до сих пор так и не выяснили. Хотя улики — в том числе фрагменты бомб с кириллическими буквами — указывали на Россию, её представители без колебаний заявили, что той ночью взрывы раздавались лишь в финских городах — Хельсинки, Турку и Котке. Швеция же всегда считала бомбардировку «несчастным случаем» из-за советской ошибки в навигации.</w:t>
      </w:r>
    </w:p>
    <w:p w14:paraId="5AD7B792" w14:textId="77777777" w:rsidR="00B603E7" w:rsidRPr="007224C3" w:rsidRDefault="00B603E7"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По одной из версий, бомбардировка Стокгольма стала открытым предостережением Москвы: перестаньте поддерживать финнов, пусть и неофициально. По другой, Советы сбросили бомбы, чтобы надавить на Швецию и заставить Стокгольм отпустить советского шпиона Василия Сидоренко. Его арестовали в Стокгольме в 1942 году, обвинили в шпионаже и бросили за решетку на острове Лонгхольмен. Однако после бомбардировки отпустили (22589).</w:t>
      </w:r>
    </w:p>
    <w:p w14:paraId="20AA4E88" w14:textId="77777777" w:rsidR="00B603E7" w:rsidRPr="007224C3" w:rsidRDefault="00B603E7" w:rsidP="007224C3">
      <w:pPr>
        <w:spacing w:after="0" w:line="240" w:lineRule="auto"/>
        <w:jc w:val="both"/>
        <w:rPr>
          <w:rFonts w:ascii="Times New Roman" w:hAnsi="Times New Roman"/>
          <w:color w:val="0070C0"/>
          <w:sz w:val="16"/>
          <w:szCs w:val="16"/>
        </w:rPr>
      </w:pPr>
    </w:p>
    <w:p w14:paraId="673200B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февраля 1944 г. на центральном участке Восточного фронта партизанами сбит Ju 88C-6 майора Алоиза Лехнера (Alois Lechner), командира ночной истребительной эскадры I/NJG100, кавалера Рыцарского креста и одного из наиболее известных пилотов немецкой ночной авиации. До своей гибели Лехнер успел одержать 45 воздушных побед (9974).</w:t>
      </w:r>
    </w:p>
    <w:p w14:paraId="04536A2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0F1CB1BD"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Жизнь и внутренняя политика:</w:t>
      </w:r>
    </w:p>
    <w:p w14:paraId="5ADB696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E66F0F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февраля 1944 была проведена массовая депортация чеченцев и ингушей (1348,123) и была упразднена ЧИ АССР (3907,248).</w:t>
      </w:r>
    </w:p>
    <w:p w14:paraId="3E3783E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CB3F81"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февраля 1944 Сталин упразднил Чечено-Ингушскую Автономную Республику (4962).</w:t>
      </w:r>
    </w:p>
    <w:p w14:paraId="7A501FDC"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EE33F9E" w14:textId="77777777" w:rsidR="00B609F6" w:rsidRPr="007224C3" w:rsidRDefault="00B609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1944 году по обвинению в пособничестве немецко-фашистским оккупантам и измене родине упразднена Чечено-Ингушская Автономная Республика. Началась депортация в Казахстан и районы Крайнего Севера чеченского и ингушского народов. Депортации подлежало все население - от младенцев до древних стариков. 14 ноября 1989 г. Верховный Совет СССР принял декларацию о признании незаконными и преступными репрессивные акты против народов, подвергшихся насильственному переселению. 26 апреля 1991 г. Верховный Совет РСФСР принял закон «О реабилитации репрессированных народов» (15049).</w:t>
      </w:r>
    </w:p>
    <w:p w14:paraId="1F0C849D" w14:textId="77777777" w:rsidR="00B609F6" w:rsidRPr="007224C3" w:rsidRDefault="00B609F6" w:rsidP="007224C3">
      <w:pPr>
        <w:spacing w:after="0" w:line="240" w:lineRule="auto"/>
        <w:jc w:val="both"/>
        <w:rPr>
          <w:rFonts w:ascii="Times New Roman" w:hAnsi="Times New Roman"/>
          <w:color w:val="000000" w:themeColor="text1"/>
          <w:sz w:val="16"/>
          <w:szCs w:val="16"/>
        </w:rPr>
      </w:pPr>
    </w:p>
    <w:p w14:paraId="3E484A62"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Внешняя политика:</w:t>
      </w:r>
    </w:p>
    <w:p w14:paraId="765A792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7E6A80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февраля 1944 советская военная миссия прилетела в Югославию (1138,292). Летели на Ли-2 из Бари с планерами и приземлились на аэродром Медыно Поле (455,151).</w:t>
      </w:r>
    </w:p>
    <w:p w14:paraId="36CA07A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94D1C8" w14:textId="77777777" w:rsidR="00B609F6"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0B40DB5F" w14:textId="77777777" w:rsidR="00B609F6" w:rsidRPr="007224C3" w:rsidRDefault="00B609F6"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27893C5" w14:textId="77777777" w:rsidR="00B603E7" w:rsidRPr="007224C3" w:rsidRDefault="00B603E7"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23 февраля 1944 самолеты шести авианосцев Оперативной группы 58 наносят первый удар союзников по японским войскам на Марианских островах , атакуя Гуам, Рота и Тиниан, впервые обнаруживая расположение японских аэродромов на островах, уничтожая 168 японских самолетов, потопив два грузовых корабля и несколько меньших судов, и выполнив первые миссии союзников по фотографической разведке, когда-либо проъодившие над Марианскими островами (20373).</w:t>
      </w:r>
    </w:p>
    <w:p w14:paraId="66C9A9C8" w14:textId="77777777" w:rsidR="00B603E7" w:rsidRPr="007224C3" w:rsidRDefault="00B603E7" w:rsidP="007224C3">
      <w:pPr>
        <w:spacing w:after="0" w:line="240" w:lineRule="auto"/>
        <w:jc w:val="both"/>
        <w:rPr>
          <w:rFonts w:ascii="Times New Roman" w:hAnsi="Times New Roman"/>
          <w:color w:val="0070C0"/>
          <w:sz w:val="16"/>
          <w:szCs w:val="16"/>
        </w:rPr>
      </w:pPr>
    </w:p>
    <w:p w14:paraId="618346DB" w14:textId="77777777" w:rsidR="00B603E7" w:rsidRPr="007224C3" w:rsidRDefault="00B603E7"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23–24 февраля (ночь) 1944 во время налета на Дюссельдорф, Германия, бомбардировочная группа ВВС Великобритании на Де Хэвилленда Москито 692-й эскадрильи становится первой, Москито которой сбросывает 4 000-фунтовую (1219 кг) бомбу. Mosquitos будет регулярно нести 4000-фунтовые юомбы до конца Второй мировой войны, используя их против таких далеких целей, как Берлин (20373).</w:t>
      </w:r>
    </w:p>
    <w:p w14:paraId="0442314E" w14:textId="77777777" w:rsidR="00B603E7" w:rsidRPr="007224C3" w:rsidRDefault="00B603E7" w:rsidP="007224C3">
      <w:pPr>
        <w:spacing w:after="0" w:line="240" w:lineRule="auto"/>
        <w:jc w:val="both"/>
        <w:rPr>
          <w:rFonts w:ascii="Times New Roman" w:hAnsi="Times New Roman"/>
          <w:color w:val="0070C0"/>
          <w:sz w:val="16"/>
          <w:szCs w:val="16"/>
        </w:rPr>
      </w:pPr>
    </w:p>
    <w:p w14:paraId="522C8CC6" w14:textId="77777777" w:rsidR="00B609F6" w:rsidRPr="007224C3" w:rsidRDefault="00B609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23 февраля</w:t>
      </w:r>
      <w:r w:rsidRPr="007224C3">
        <w:rPr>
          <w:rFonts w:ascii="Times New Roman" w:hAnsi="Times New Roman"/>
          <w:color w:val="000000" w:themeColor="text1"/>
          <w:sz w:val="16"/>
          <w:szCs w:val="16"/>
        </w:rPr>
        <w:t xml:space="preserve"> в 1944 году первый рейд американских торпедоносцев на Марианские острова (15049).</w:t>
      </w:r>
    </w:p>
    <w:p w14:paraId="122169CA" w14:textId="77777777" w:rsidR="00B609F6" w:rsidRPr="007224C3" w:rsidRDefault="00B609F6" w:rsidP="007224C3">
      <w:pPr>
        <w:spacing w:after="0" w:line="240" w:lineRule="auto"/>
        <w:jc w:val="both"/>
        <w:rPr>
          <w:rFonts w:ascii="Times New Roman" w:hAnsi="Times New Roman"/>
          <w:color w:val="000000" w:themeColor="text1"/>
          <w:sz w:val="16"/>
          <w:szCs w:val="16"/>
        </w:rPr>
      </w:pPr>
    </w:p>
    <w:p w14:paraId="26E42667"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19A203D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77A922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февраля 1944 года директор и гл. конструктор завода N 240 С.В.И. писал письмо N 8/249с Шахурину.</w:t>
      </w:r>
    </w:p>
    <w:p w14:paraId="3445680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опытном самолете Ил-6 установлены два дизель-мотора М-30Б, которые до поставки на самолет Ил-6 наработали больше 160 часов и прошли переборку на заводе N 500.</w:t>
      </w:r>
    </w:p>
    <w:p w14:paraId="65B41B8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Продолжать испытание самолета Ил-6 со столь старыми моторами сопряжено с риском, а кроме того, при испытании можем получить неверные данные, так как моторы имеют повышенную теплоотдачу в воду и масло, повышенный расход масла и топлива и пониженную мощность.</w:t>
      </w:r>
    </w:p>
    <w:p w14:paraId="4990B4C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успешного проведения летных испытаний самолета Ил-6 прошу Вашего распоряжения о выделении двух серийных дизель-моторов М-30Б, выпускаемых в настоящее время заводом N 500, для установки на самолет Ил-6 (2562,64).</w:t>
      </w:r>
    </w:p>
    <w:p w14:paraId="4F73181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712618" w14:textId="77777777" w:rsidR="00B609F6" w:rsidRPr="007224C3" w:rsidRDefault="00B609F6" w:rsidP="007224C3">
      <w:pPr>
        <w:pStyle w:val="a3"/>
        <w:rPr>
          <w:color w:val="000000" w:themeColor="text1"/>
          <w:lang w:val="ru-RU"/>
        </w:rPr>
      </w:pPr>
      <w:r w:rsidRPr="007224C3">
        <w:rPr>
          <w:color w:val="000000" w:themeColor="text1"/>
          <w:lang w:val="ru-RU"/>
        </w:rPr>
        <w:t>24 февраля 1944 г. о решении Прези</w:t>
      </w:r>
      <w:r w:rsidRPr="007224C3">
        <w:rPr>
          <w:color w:val="000000" w:themeColor="text1"/>
          <w:lang w:val="ru-RU"/>
        </w:rPr>
        <w:softHyphen/>
        <w:t>диума доложили Молотову, и вопрос сняли:</w:t>
      </w:r>
    </w:p>
    <w:p w14:paraId="48CF2F79" w14:textId="77777777" w:rsidR="00B609F6" w:rsidRPr="007224C3" w:rsidRDefault="00B609F6" w:rsidP="007224C3">
      <w:pPr>
        <w:pStyle w:val="a3"/>
        <w:rPr>
          <w:color w:val="000000" w:themeColor="text1"/>
          <w:lang w:val="ru-RU"/>
        </w:rPr>
      </w:pPr>
      <w:r w:rsidRPr="007224C3">
        <w:rPr>
          <w:color w:val="000000" w:themeColor="text1"/>
          <w:lang w:val="ru-RU"/>
        </w:rPr>
        <w:t>«ЗАМЕСТИТЕЛЮ ПРЕДСЕДАТЕЛЯ СОВЕТА НАРОДНЫХ КОМИССАРОВ СОЮЗА ССР</w:t>
      </w:r>
    </w:p>
    <w:p w14:paraId="4F5D1D1B" w14:textId="77777777" w:rsidR="00B609F6" w:rsidRPr="007224C3" w:rsidRDefault="00B609F6" w:rsidP="007224C3">
      <w:pPr>
        <w:pStyle w:val="a3"/>
        <w:rPr>
          <w:color w:val="000000" w:themeColor="text1"/>
          <w:lang w:val="ru-RU"/>
        </w:rPr>
      </w:pPr>
      <w:r w:rsidRPr="007224C3">
        <w:rPr>
          <w:color w:val="000000" w:themeColor="text1"/>
          <w:lang w:val="ru-RU"/>
        </w:rPr>
        <w:t xml:space="preserve">товарищу В.М. МОЛОТОВУ Президиум Академии Наук СССР на заседании 9 февраля с.г., рассмотрев вопрос об организации в Академии секции авиационных проблем, признал нецелесообразной организацию в Академии указанной секции и просил ряд академиков принять участие </w:t>
      </w:r>
      <w:r w:rsidRPr="007224C3">
        <w:rPr>
          <w:rStyle w:val="SegoeUI"/>
          <w:rFonts w:ascii="Times New Roman" w:hAnsi="Times New Roman" w:cs="Times New Roman"/>
          <w:i w:val="0"/>
          <w:color w:val="000000" w:themeColor="text1"/>
          <w:lang w:val="ru-RU"/>
        </w:rPr>
        <w:t>в</w:t>
      </w:r>
      <w:r w:rsidRPr="007224C3">
        <w:rPr>
          <w:color w:val="000000" w:themeColor="text1"/>
          <w:lang w:val="ru-RU"/>
        </w:rPr>
        <w:t xml:space="preserve"> работах по основным научным проблемам развития авиационной науки и техники в одном из институтов Академии Наук.</w:t>
      </w:r>
    </w:p>
    <w:p w14:paraId="42328115" w14:textId="77777777" w:rsidR="00B609F6" w:rsidRPr="007224C3" w:rsidRDefault="00B609F6" w:rsidP="007224C3">
      <w:pPr>
        <w:pStyle w:val="a3"/>
        <w:rPr>
          <w:color w:val="000000" w:themeColor="text1"/>
          <w:lang w:val="ru-RU"/>
        </w:rPr>
      </w:pPr>
      <w:r w:rsidRPr="007224C3">
        <w:rPr>
          <w:color w:val="000000" w:themeColor="text1"/>
          <w:lang w:val="ru-RU"/>
        </w:rPr>
        <w:t>На заседании было высказано пожелание о том, чтобы постановление и выступлени. по вопросу организации Секции авиационных проблем были доведены до сведения Сс вета Народных Комиссаров СССР.</w:t>
      </w:r>
    </w:p>
    <w:p w14:paraId="268EC82A" w14:textId="77777777" w:rsidR="00B609F6" w:rsidRPr="007224C3" w:rsidRDefault="00B609F6" w:rsidP="007224C3">
      <w:pPr>
        <w:pStyle w:val="a3"/>
        <w:tabs>
          <w:tab w:val="left" w:pos="5116"/>
        </w:tabs>
        <w:rPr>
          <w:color w:val="000000" w:themeColor="text1"/>
          <w:lang w:val="ru-RU"/>
        </w:rPr>
      </w:pPr>
      <w:r w:rsidRPr="007224C3">
        <w:rPr>
          <w:color w:val="000000" w:themeColor="text1"/>
          <w:lang w:val="ru-RU"/>
        </w:rPr>
        <w:t>ПРИЛОЖЕНИЕ: Постановление Президиума от 9 февр. 1944 г. и стенограмма выст, лений академика Б.Н. Юрьева, академика С.А. Христиановича и академика Н.Г. Бруевич Вице-президент Академии Наук СССР</w:t>
      </w:r>
      <w:r w:rsidRPr="007224C3">
        <w:rPr>
          <w:color w:val="000000" w:themeColor="text1"/>
          <w:lang w:val="ru-RU"/>
        </w:rPr>
        <w:tab/>
        <w:t>академик (А.А. Байков)</w:t>
      </w:r>
    </w:p>
    <w:p w14:paraId="4EA1BC50" w14:textId="77777777" w:rsidR="00B609F6" w:rsidRPr="007224C3" w:rsidRDefault="00B609F6" w:rsidP="007224C3">
      <w:pPr>
        <w:pStyle w:val="a3"/>
        <w:tabs>
          <w:tab w:val="left" w:pos="5153"/>
        </w:tabs>
        <w:rPr>
          <w:color w:val="000000" w:themeColor="text1"/>
          <w:lang w:val="ru-RU"/>
        </w:rPr>
      </w:pPr>
      <w:r w:rsidRPr="007224C3">
        <w:rPr>
          <w:color w:val="000000" w:themeColor="text1"/>
          <w:lang w:val="ru-RU"/>
        </w:rPr>
        <w:t>Академик-секретарь Академии Наук СССР</w:t>
      </w:r>
      <w:r w:rsidRPr="007224C3">
        <w:rPr>
          <w:color w:val="000000" w:themeColor="text1"/>
          <w:lang w:val="ru-RU"/>
        </w:rPr>
        <w:tab/>
        <w:t>академик (Н.Г.Бруевич)»</w:t>
      </w:r>
    </w:p>
    <w:p w14:paraId="2DC226B9" w14:textId="77777777" w:rsidR="00B609F6" w:rsidRPr="007224C3" w:rsidRDefault="00B609F6" w:rsidP="007224C3">
      <w:pPr>
        <w:pStyle w:val="a3"/>
        <w:rPr>
          <w:color w:val="000000" w:themeColor="text1"/>
          <w:lang w:val="ru-RU"/>
        </w:rPr>
      </w:pPr>
      <w:r w:rsidRPr="007224C3">
        <w:rPr>
          <w:color w:val="000000" w:themeColor="text1"/>
          <w:lang w:val="ru-RU"/>
        </w:rPr>
        <w:t>«Выписка из протокола Заседания Президиума от «9» февраля 1944 г. МОСКВА 1. Об организации Секции авиации.</w:t>
      </w:r>
    </w:p>
    <w:p w14:paraId="0C5462FF" w14:textId="77777777" w:rsidR="00B609F6" w:rsidRPr="007224C3" w:rsidRDefault="00B609F6" w:rsidP="007224C3">
      <w:pPr>
        <w:pStyle w:val="a3"/>
        <w:tabs>
          <w:tab w:val="left" w:pos="8148"/>
        </w:tabs>
        <w:rPr>
          <w:color w:val="000000" w:themeColor="text1"/>
          <w:lang w:val="ru-RU"/>
        </w:rPr>
      </w:pPr>
      <w:r w:rsidRPr="007224C3">
        <w:rPr>
          <w:color w:val="000000" w:themeColor="text1"/>
          <w:lang w:val="ru-RU"/>
        </w:rPr>
        <w:t xml:space="preserve">Докладчики: академики Н.Г. Бруевич, </w:t>
      </w:r>
      <w:r w:rsidRPr="007224C3">
        <w:rPr>
          <w:color w:val="000000" w:themeColor="text1"/>
        </w:rPr>
        <w:t>A</w:t>
      </w:r>
      <w:r w:rsidRPr="007224C3">
        <w:rPr>
          <w:color w:val="000000" w:themeColor="text1"/>
          <w:lang w:val="ru-RU"/>
        </w:rPr>
        <w:t>.</w:t>
      </w:r>
      <w:r w:rsidRPr="007224C3">
        <w:rPr>
          <w:color w:val="000000" w:themeColor="text1"/>
        </w:rPr>
        <w:t>M</w:t>
      </w:r>
      <w:r w:rsidRPr="007224C3">
        <w:rPr>
          <w:color w:val="000000" w:themeColor="text1"/>
          <w:lang w:val="ru-RU"/>
        </w:rPr>
        <w:t>. Терпигорев.</w:t>
      </w:r>
      <w:r w:rsidRPr="007224C3">
        <w:rPr>
          <w:color w:val="000000" w:themeColor="text1"/>
          <w:lang w:val="ru-RU"/>
        </w:rPr>
        <w:tab/>
      </w:r>
    </w:p>
    <w:p w14:paraId="1C6697AC" w14:textId="77777777" w:rsidR="00B609F6" w:rsidRPr="007224C3" w:rsidRDefault="00B609F6" w:rsidP="007224C3">
      <w:pPr>
        <w:pStyle w:val="a3"/>
        <w:tabs>
          <w:tab w:val="left" w:pos="498"/>
        </w:tabs>
        <w:rPr>
          <w:color w:val="000000" w:themeColor="text1"/>
          <w:lang w:val="ru-RU"/>
        </w:rPr>
      </w:pPr>
      <w:r w:rsidRPr="007224C3">
        <w:rPr>
          <w:color w:val="000000" w:themeColor="text1"/>
          <w:lang w:val="ru-RU"/>
        </w:rPr>
        <w:t>1. Считать организацию Секции авиационных проблем в Академии Наук нецелесообразной, так как это мероприятие отвлечет имеющиеся в Академии крупнейшие научнь силы от работы по значительным научным проблемам, важным для развития авиаци-| онной науки и техники, на путь организационно-плановой деятельности, являющейс компетенцией советских руководящих органов.</w:t>
      </w:r>
    </w:p>
    <w:p w14:paraId="26D55C74" w14:textId="77777777" w:rsidR="00B609F6" w:rsidRPr="007224C3" w:rsidRDefault="00B609F6" w:rsidP="007224C3">
      <w:pPr>
        <w:pStyle w:val="a3"/>
        <w:tabs>
          <w:tab w:val="left" w:pos="518"/>
        </w:tabs>
        <w:rPr>
          <w:color w:val="000000" w:themeColor="text1"/>
          <w:lang w:val="ru-RU"/>
        </w:rPr>
      </w:pPr>
      <w:r w:rsidRPr="007224C3">
        <w:rPr>
          <w:color w:val="000000" w:themeColor="text1"/>
          <w:lang w:val="ru-RU"/>
        </w:rPr>
        <w:t xml:space="preserve">2. Просить академиков Б.Н. Юрьева, А.А. Микулина, </w:t>
      </w:r>
      <w:r w:rsidRPr="007224C3">
        <w:rPr>
          <w:color w:val="000000" w:themeColor="text1"/>
        </w:rPr>
        <w:t>B</w:t>
      </w:r>
      <w:r w:rsidRPr="007224C3">
        <w:rPr>
          <w:color w:val="000000" w:themeColor="text1"/>
          <w:lang w:val="ru-RU"/>
        </w:rPr>
        <w:t>.</w:t>
      </w:r>
      <w:r w:rsidRPr="007224C3">
        <w:rPr>
          <w:color w:val="000000" w:themeColor="text1"/>
        </w:rPr>
        <w:t>C</w:t>
      </w:r>
      <w:r w:rsidRPr="007224C3">
        <w:rPr>
          <w:color w:val="000000" w:themeColor="text1"/>
          <w:lang w:val="ru-RU"/>
        </w:rPr>
        <w:t>. Кулебакина, членов-корреспондентов А.С. Яковлева, В.Я. Климова, А.Н. Туполева и А.И. Некрасова принять участие в работах Академии по основным научным проблемам, важным для развития авиацион-</w:t>
      </w:r>
      <w:r w:rsidRPr="007224C3">
        <w:rPr>
          <w:color w:val="000000" w:themeColor="text1"/>
        </w:rPr>
        <w:t>f</w:t>
      </w:r>
      <w:r w:rsidRPr="007224C3">
        <w:rPr>
          <w:color w:val="000000" w:themeColor="text1"/>
          <w:lang w:val="ru-RU"/>
        </w:rPr>
        <w:t xml:space="preserve"> ной науки и техники в одном из институтов Академии Наук, по собственному выбору.</w:t>
      </w:r>
    </w:p>
    <w:p w14:paraId="6248A61B" w14:textId="77777777" w:rsidR="00B609F6" w:rsidRPr="007224C3" w:rsidRDefault="00B609F6" w:rsidP="007224C3">
      <w:pPr>
        <w:pStyle w:val="a3"/>
        <w:tabs>
          <w:tab w:val="left" w:pos="5858"/>
        </w:tabs>
        <w:rPr>
          <w:color w:val="000000" w:themeColor="text1"/>
          <w:lang w:val="ru-RU"/>
        </w:rPr>
      </w:pPr>
      <w:r w:rsidRPr="007224C3">
        <w:rPr>
          <w:color w:val="000000" w:themeColor="text1"/>
          <w:lang w:val="ru-RU"/>
        </w:rPr>
        <w:t>п.п. Вице-президент Академии Наук СССР,</w:t>
      </w:r>
      <w:r w:rsidRPr="007224C3">
        <w:rPr>
          <w:color w:val="000000" w:themeColor="text1"/>
          <w:lang w:val="ru-RU"/>
        </w:rPr>
        <w:tab/>
        <w:t>академик А.А. Байков</w:t>
      </w:r>
    </w:p>
    <w:p w14:paraId="18193D17" w14:textId="77777777" w:rsidR="00B609F6" w:rsidRPr="007224C3" w:rsidRDefault="00B609F6" w:rsidP="007224C3">
      <w:pPr>
        <w:pStyle w:val="a3"/>
        <w:tabs>
          <w:tab w:val="left" w:pos="5868"/>
        </w:tabs>
        <w:rPr>
          <w:color w:val="000000" w:themeColor="text1"/>
          <w:lang w:val="ru-RU"/>
        </w:rPr>
      </w:pPr>
      <w:r w:rsidRPr="007224C3">
        <w:rPr>
          <w:color w:val="000000" w:themeColor="text1"/>
          <w:lang w:val="ru-RU"/>
        </w:rPr>
        <w:t>Академик-секретарь Академии Наук СССР,</w:t>
      </w:r>
      <w:r w:rsidRPr="007224C3">
        <w:rPr>
          <w:color w:val="000000" w:themeColor="text1"/>
          <w:lang w:val="ru-RU"/>
        </w:rPr>
        <w:tab/>
        <w:t>академик Н.Г, Бруевич» (15789).</w:t>
      </w:r>
    </w:p>
    <w:p w14:paraId="1B4968AF" w14:textId="77777777" w:rsidR="00B609F6" w:rsidRPr="007224C3" w:rsidRDefault="00B609F6" w:rsidP="007224C3">
      <w:pPr>
        <w:pStyle w:val="a3"/>
        <w:rPr>
          <w:color w:val="000000" w:themeColor="text1"/>
          <w:lang w:val="ru-RU"/>
        </w:rPr>
      </w:pPr>
    </w:p>
    <w:p w14:paraId="6A41C66E"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7866676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B9943B8" w14:textId="77777777" w:rsidR="005C20A0" w:rsidRPr="007224C3" w:rsidRDefault="005C20A0"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24 февраля 1944 было подписано постановление ГКО №2943 «Об изготовлении опытных образцов танков “ИС”». Более индекс КВ-13 не использовался.</w:t>
      </w:r>
    </w:p>
    <w:p w14:paraId="11C79BF9" w14:textId="77777777" w:rsidR="005C20A0" w:rsidRPr="007224C3" w:rsidRDefault="005C20A0"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После подписания постановления ГКО № 2943 работы по ИС перешли в иную фазу. На следующий день Зальцман подписал приказ по НКТП № 104сс. Согласно ему, УЗТМ обязали к 27 февраля подать корпуса, а монтаж танка заканчивался к 8 марта. Больше того, директорам ЧКЗ и завода № 200 Зальцман дал указание готовиться к серийному производству ИС. Сборка ИС-1 (так стали официально называть КВ-13 второго варианта) закончилась, как и требовало постановление ГКО, 8 марта, тогда же состоялись стационарные испытания. Боевая масса танка оказалась ниже расчётной: по результатам взвешивания выяснилось, что полная боевая масса составила не 38,5 тонн, а 37,1. В целом танк соответствовал документации, которую разработали ещё в начале декабря 1942 года. Изменения коснулись КПП, командирской башенки и ряда других элементов (17688).</w:t>
      </w:r>
    </w:p>
    <w:p w14:paraId="31B766CA" w14:textId="77777777" w:rsidR="005C20A0" w:rsidRPr="007224C3" w:rsidRDefault="005C20A0" w:rsidP="007224C3">
      <w:pPr>
        <w:spacing w:after="0" w:line="240" w:lineRule="auto"/>
        <w:jc w:val="both"/>
        <w:rPr>
          <w:rFonts w:ascii="Times New Roman" w:hAnsi="Times New Roman"/>
          <w:color w:val="000000" w:themeColor="text1"/>
          <w:sz w:val="16"/>
          <w:szCs w:val="16"/>
        </w:rPr>
      </w:pPr>
    </w:p>
    <w:p w14:paraId="63EF2A39"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февраля 1944 вышло Распоряжение ГКО № 5236 [Об обеспечении в феврале 1944 г. важнейших потребителей нефтепродуктами за счет ГУГМР и пополнении госрезерва.] (7192, 1).</w:t>
      </w:r>
    </w:p>
    <w:p w14:paraId="6933BA8D"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0889801" w14:textId="77777777" w:rsidR="00B609F6"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133C1D9B" w14:textId="77777777" w:rsidR="00B609F6" w:rsidRPr="007224C3" w:rsidRDefault="00B609F6"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448827A" w14:textId="77777777" w:rsidR="00B609F6" w:rsidRPr="007224C3" w:rsidRDefault="00B609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24 февраля</w:t>
      </w:r>
      <w:r w:rsidRPr="007224C3">
        <w:rPr>
          <w:rFonts w:ascii="Times New Roman" w:hAnsi="Times New Roman"/>
          <w:color w:val="000000" w:themeColor="text1"/>
          <w:sz w:val="16"/>
          <w:szCs w:val="16"/>
        </w:rPr>
        <w:t xml:space="preserve"> в 1944 году оперативная сводка Совинформбюро:</w:t>
      </w:r>
    </w:p>
    <w:p w14:paraId="6CC24604" w14:textId="77777777" w:rsidR="00B609F6" w:rsidRPr="007224C3" w:rsidRDefault="00B609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24 февраля юго-западнее и южнее Струги Красные наши войска, продолжая наступление, овладели районным центром Ленинградскойобласти Серёдка, а также с боями заняли более 50 других населённых пунктов, в том числе Баглицы, Заходы, Мишоколь, Ерехново, Закрупичье, Пустое Лесково, Щегли, Моложани, Тужерино, Перехожа, Радежа, Маяково, Кочерицы и железнодорожные станции Боровик, Середкино, Владимирский Лагерь.</w:t>
      </w:r>
    </w:p>
    <w:p w14:paraId="7404F8C8" w14:textId="77777777" w:rsidR="00B609F6" w:rsidRPr="007224C3" w:rsidRDefault="00B609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озера Ильмень войска 2-го Прибалтийского фронта при прямом содействии войск Ленинградского фронта, продолжая развивать успешное наступление, 24 февраля штурмом овладели городом и крупным железнодорожным узлом Дно, а также с боями заняли более 100 других населённых пунктов, в том числе Вязье, Воробино, Веретье, Опока, Вошково, Сухарево, Юрково, Большое Тресно, Скугры, Головино, Чернево, Северное Устье, Острый Камень, Городня, Бродки и железнодорожную станцию Вязье.</w:t>
      </w:r>
    </w:p>
    <w:p w14:paraId="7DC8F37C" w14:textId="77777777" w:rsidR="00B609F6" w:rsidRPr="007224C3" w:rsidRDefault="00B609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города Холм наши войска с боями продвигались вперёд и занялиболее 40 населённых пунктов, в том числе Цевло, Макарино, Вихрище, Ямно, Юхово, Осиновка, Корелки, Харайлово, Шерихово и железнодорожную станцию Самолуково.</w:t>
      </w:r>
    </w:p>
    <w:p w14:paraId="2131CC5E" w14:textId="77777777" w:rsidR="00B609F6" w:rsidRPr="007224C3" w:rsidRDefault="00B609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На-днях войска Первого Белорусского фронта перешли в наступление против немецко-фашистских войск, расположенных в районе Рогачёв. Успешно форсировавреку Днепр, наши войска прорвали сильно укреплённую оборону противника на фронте 50 километров, за три дня напряжённых боёв продвинулись вперёд на 20-25 </w:t>
      </w:r>
      <w:r w:rsidRPr="007224C3">
        <w:rPr>
          <w:rFonts w:ascii="Times New Roman" w:hAnsi="Times New Roman"/>
          <w:color w:val="000000" w:themeColor="text1"/>
          <w:sz w:val="16"/>
          <w:szCs w:val="16"/>
        </w:rPr>
        <w:lastRenderedPageBreak/>
        <w:t>километров и 24 февраля штурмом овладели городом и крупной железнодорожной станцией Рогачёв — важным опорным пунктом противника на Бобруйском направлении, а также с боями заняли более 100 других населённых пунктов, в том числе крупные населённые пункты Новый Быхов, Лазаревичи, Виляховка, Верхняя и Нижняя Тощица, Кистени, Вищин, Дедово, Еленово, Мадоры, Селец, Старое Село, Озеране, Большая и Малая Коноплица, Заборово, Турск, Ходосовичи, Цупер, Луговая Варня, Колыбовка и железнодорожную станцию Тощица. Нашими войсками полностью ликвидирован важный плацдарм немцев на левом берегу Днепра, восточнее Рогачёв и Жлобин.</w:t>
      </w:r>
    </w:p>
    <w:p w14:paraId="0E79F06B" w14:textId="77777777" w:rsidR="00B609F6" w:rsidRPr="007224C3" w:rsidRDefault="00B609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 разведка, артиллерийско-миномётная перестрелка и в ряде пунктов бои местного значения.</w:t>
      </w:r>
    </w:p>
    <w:p w14:paraId="7708EA2C" w14:textId="77777777" w:rsidR="00B609F6" w:rsidRPr="007224C3" w:rsidRDefault="00B609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23 февраля наши войска на всех фронтах подбили и уничтожили 29 немецких танков. В воздушных боях и огнём зенитной артиллерии сбито 18 самолётов противника.</w:t>
      </w:r>
    </w:p>
    <w:p w14:paraId="2C0C87C2" w14:textId="77777777" w:rsidR="00B609F6" w:rsidRPr="007224C3" w:rsidRDefault="00B609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и южнее станции Струги Красные наши войска, с боями продвигаясь вперёд, овладели районным центром Ленинградской области Середка, а также освободили от немецких захватчиков более 50 других населённых пунктов. Части Н-ского соединения в бою за один крупный населённый пункт истребили до 700 немецких солдат и офицеров, уничтожили 10 танков и самоходных орудий. В другом районе советскими войсками разгромлен полк немецкой пехоты. Только небольшая часть гитлеровцев спаслась бегством, бросив вооружение и военное имущество своего полка.</w:t>
      </w:r>
    </w:p>
    <w:p w14:paraId="77C0D4FF" w14:textId="77777777" w:rsidR="00B609F6" w:rsidRPr="007224C3" w:rsidRDefault="00B609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озера Ильмень наши войска вчера подошли к городу Дно и завязали бои на его окраинах. Немцы спешно подтянули в этот район две пехотные дивизии и оказывали упорное сопротивление. Ночью советские войска с различных направлений стремительно атаковали противника и в результате ожесточённых боёв овладели городом и крупным железнодорожным узлом Дно. Захвачено много трофеев. Преследуя разбитые части противника, наши войска заняли свыше ста других населённых пунктов и железнодорожную станцию Вязье, расположенную южнее города Дно.</w:t>
      </w:r>
    </w:p>
    <w:p w14:paraId="3BB82B54" w14:textId="77777777" w:rsidR="00B609F6" w:rsidRPr="007224C3" w:rsidRDefault="00B609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Белорусского фронта несколько дней назад перешли в наступление. После мощной артиллерийской подготовки и сильного бомбового удара нашей авиации советские войска прорвали оборону немцев на восточном берегу Днепра. Одна за другой наши части быстро переправились через Днепр и, не давая противнику опомниться, ворвались в немецкие траншеи на западном берегу реки. Преодолевая сопротивление и отражая контратаки врага, советские бойцы стремительнопродвинулись вперёд и перерезали железную дорогу Рогачёв-Могилёв. Особенно упорные бои происходили за город Рогачёв. Наши войска, нанося немцам удары с фронта, частью сил пробрались лесом и болотами и обошли противника с фланга. Сегодня наши бойцы штурмом овладели городом Рогачёв —- важным опорным пунктом обороны немцев на Бобруйском направлении. Противник понёс огромные потери в людях и технике. Только одно наше соединение истребило до 4.000 немецких солдат и офицеров, уничтожило 24 танка и самоходных орудия. По неполным данным, бойцы этого соединения захватили 62 орудия, 27 миномётов, 120 пулемётов, 35 радиостанций и несколько складов с боеприпасами и военным имуществом. Взято значительное количество пленных.</w:t>
      </w:r>
    </w:p>
    <w:p w14:paraId="2363168D" w14:textId="77777777" w:rsidR="00B609F6" w:rsidRPr="007224C3" w:rsidRDefault="00B609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Партизанский отряд «Смерть фашизму», действующий в Минской области, за месяц боевых действий подорвал 80 немецких автомашин с военными грузами. Кроме того, партизаны пустили под откос 4 паровоза и 30 вагонов с солдатами и вооружением. Партизанский отряд имени Лазо из засады напал на немецкий обоз, уничтожил охрану и захватил много боеприпасов, обмундирования и продовольствия.</w:t>
      </w:r>
    </w:p>
    <w:p w14:paraId="2B64DB51" w14:textId="77777777" w:rsidR="00B609F6" w:rsidRPr="007224C3" w:rsidRDefault="00B609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огромным воодушевлением встретили красноармейцы, краснофлотцы, сержанты, офицеры и генералы Красной Армии приказ Верховного Главнокомандующего товарища Сталина о 26-й годовщине Красной Армии. В прифронтовых и тыловых гарнизонах, а также на многих участках фронта, где это позволяла военная обстановка, состоялись массовые митинги.</w:t>
      </w:r>
    </w:p>
    <w:p w14:paraId="573E7FD3" w14:textId="77777777" w:rsidR="00B609F6" w:rsidRPr="007224C3" w:rsidRDefault="00B609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1-м Украинском фронте на митинге Н-ской части выступил старший сержант тов. Овчинников. Он заявил: «Красная Армия пришла к своей 26-й годовщине с замечательными победами. Многие из нас прошли боевой славный путь, участвовали в боях против немецких захватчиков под Москвой, Сталинградом, Курском и на Днепре, где Красная Армия нанесла гитлеровцам тяжёлые поражения. Но нам нельзя успокаиваться. Враг ещё не разбит. Мы будем наносить противнику ещё более сокрушительные удары и приложим все усилия, чтобы с честью выполнить приказ вождя». На митинге в части, где командиром подполковник тов. Плагин ,красноармеец тов. Яргачёв сказал: «Родина доверила нам свою судьбу и дала нам в руки замечательное оружие. Клянусь тебе, товарищ Сталин, что буду сражаться до последнего вздоха и бить проклятых гитлеровцев до тех пор, пока они не будут повержены в прах».</w:t>
      </w:r>
    </w:p>
    <w:p w14:paraId="13BAB3D9" w14:textId="77777777" w:rsidR="00B609F6" w:rsidRPr="007224C3" w:rsidRDefault="00B609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3-м Украинском фронте на митинге в части, где командиром подполковник тов. Смоляков, майор тов. Мартынюк сказал: «Товарищ Сталин подвёл славные итоги побед Красной Армии за истекший год и осветил нам путь к окончательной победе над немецко-фашистскими захватчиками. Гитлеровская армия оказалась на грани катастрофы. Но враг сам не прыгнет в пропасть. Его нужно подвести к пропасти и столкнуть в бездну. Мы, советские воины, с честью, выполним приказ товарища Сталина и очистим нашу родную землю от фашистской нечисти».</w:t>
      </w:r>
    </w:p>
    <w:p w14:paraId="7C923869" w14:textId="77777777" w:rsidR="00B609F6" w:rsidRPr="007224C3" w:rsidRDefault="00B609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2-м Прибалтийском фронте на митинге в Н-ской части с речью выступил сержант тов. Тимошко: «Я переживаю большую радость и очень взволнован,— говорит он. — Вчера победоносная Красная Армия освободила мой родной город — Кривой Рог. Приказ товарища Сталина воодушевляет нас на новые боевые подвиги во славу советского оружия. Мы не успокоимся до тех пор, пока окончательно не добьём немецких захватчиков».</w:t>
      </w:r>
    </w:p>
    <w:p w14:paraId="108B1746" w14:textId="77777777" w:rsidR="00B609F6" w:rsidRPr="007224C3" w:rsidRDefault="00B609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Западном фронте выступивший на митинге в Н-ском авиационном полку капитан тов. Вайгачёв сказал: «От Балтики до Чёрного моря Красная Армия наступает и гонит врага с нашей земли. Немецкая армия стоит перед крахом. Лётчики-штурмовики будут непрерывно совершенствовать своё боевое мастерство и ещё злее громить противника». Младший сержант казах тов. Кодырбаев в речи на митинге бойцов и офицеров Н-ской части заявил: «За время войны я уничтожил десятки немецких бандитов. Я их бил так, как мне наказывал казахский народ. Я беспощадно уничтожаю гитлеровских шакалов за горе и страдания, которые они причинили русским, украинцам, белоруссам, за кровь и слезы советских людей. Товарищ Сталин ясно указывает нам путь к окончательной победе над врагом. Мы все, как один, выполним сталинский приказ» (15050).</w:t>
      </w:r>
    </w:p>
    <w:p w14:paraId="4308871C" w14:textId="77777777" w:rsidR="00B609F6" w:rsidRPr="007224C3" w:rsidRDefault="00B609F6" w:rsidP="007224C3">
      <w:pPr>
        <w:spacing w:after="0" w:line="240" w:lineRule="auto"/>
        <w:jc w:val="both"/>
        <w:rPr>
          <w:rFonts w:ascii="Times New Roman" w:hAnsi="Times New Roman"/>
          <w:color w:val="000000" w:themeColor="text1"/>
          <w:sz w:val="16"/>
          <w:szCs w:val="16"/>
        </w:rPr>
      </w:pPr>
    </w:p>
    <w:p w14:paraId="39341D3B" w14:textId="77777777" w:rsidR="00B609F6" w:rsidRPr="007224C3" w:rsidRDefault="00B609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24 февраля</w:t>
      </w:r>
      <w:r w:rsidRPr="007224C3">
        <w:rPr>
          <w:rFonts w:ascii="Times New Roman" w:hAnsi="Times New Roman"/>
          <w:color w:val="000000" w:themeColor="text1"/>
          <w:sz w:val="16"/>
          <w:szCs w:val="16"/>
        </w:rPr>
        <w:t xml:space="preserve"> в 1944 году приказом Ставки ВГК Белорусский фронт разделен на 1-й и 2-й Белорусские фронты (15050).</w:t>
      </w:r>
    </w:p>
    <w:p w14:paraId="1F523508" w14:textId="77777777" w:rsidR="00B609F6" w:rsidRPr="007224C3" w:rsidRDefault="00B609F6" w:rsidP="007224C3">
      <w:pPr>
        <w:spacing w:after="0" w:line="240" w:lineRule="auto"/>
        <w:jc w:val="both"/>
        <w:rPr>
          <w:rFonts w:ascii="Times New Roman" w:hAnsi="Times New Roman"/>
          <w:color w:val="000000" w:themeColor="text1"/>
          <w:sz w:val="16"/>
          <w:szCs w:val="16"/>
        </w:rPr>
      </w:pPr>
    </w:p>
    <w:p w14:paraId="2FC92A28" w14:textId="77777777" w:rsidR="00B609F6"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Внешняя политика:</w:t>
      </w:r>
    </w:p>
    <w:p w14:paraId="5363077D" w14:textId="77777777" w:rsidR="00B609F6" w:rsidRPr="007224C3" w:rsidRDefault="00B609F6"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92320C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февраля 1944 года было получено:</w:t>
      </w:r>
    </w:p>
    <w:p w14:paraId="73AD280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ЛИЧНО И СЕКРЕТНО МАРШАЛУ СТАЛИНУ ОТ ПРЕЗИДЕНТА РУЗВЕЛЬТА</w:t>
      </w:r>
    </w:p>
    <w:p w14:paraId="54E5045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Ваше послание от 21 февраля относительно передачи взаймы Советскому Военно-Морскому Флоту британских и американских судов получено.</w:t>
      </w:r>
    </w:p>
    <w:p w14:paraId="70E50E4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Как мне известно, Великобритания предоставит линейный корабль, четыре подводные лодки и восемь эскадренных миноносцев. Я запросил об этом по телеграфу Премьер-Министра. Когда я получу от него ответ, я извещу Вас (7430).</w:t>
      </w:r>
    </w:p>
    <w:p w14:paraId="1E61468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DBA4C1" w14:textId="77777777" w:rsidR="00B609F6"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494C2F51" w14:textId="77777777" w:rsidR="00B609F6" w:rsidRPr="007224C3" w:rsidRDefault="00B609F6"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AC020E7" w14:textId="77777777" w:rsidR="00B609F6" w:rsidRPr="007224C3" w:rsidRDefault="00B609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24 февраля</w:t>
      </w:r>
      <w:r w:rsidRPr="007224C3">
        <w:rPr>
          <w:rFonts w:ascii="Times New Roman" w:hAnsi="Times New Roman"/>
          <w:color w:val="000000" w:themeColor="text1"/>
          <w:sz w:val="16"/>
          <w:szCs w:val="16"/>
        </w:rPr>
        <w:t xml:space="preserve"> в 1944 году майор Вильгельм Хергет, и гауптман Людвиг Майстер из состава NJG4, облетали третий прототип немецкого ночного всепогодного истребителя </w:t>
      </w:r>
      <w:hyperlink r:id="rId56" w:tgtFrame="_blank" w:history="1">
        <w:r w:rsidRPr="007224C3">
          <w:rPr>
            <w:rFonts w:ascii="Times New Roman" w:hAnsi="Times New Roman"/>
            <w:color w:val="000000" w:themeColor="text1"/>
            <w:sz w:val="16"/>
            <w:szCs w:val="16"/>
          </w:rPr>
          <w:t xml:space="preserve">«Ta-154V-3» </w:t>
        </w:r>
      </w:hyperlink>
      <w:r w:rsidRPr="007224C3">
        <w:rPr>
          <w:rFonts w:ascii="Times New Roman" w:hAnsi="Times New Roman"/>
          <w:color w:val="000000" w:themeColor="text1"/>
          <w:sz w:val="16"/>
          <w:szCs w:val="16"/>
        </w:rPr>
        <w:t xml:space="preserve">(сер. №0003, бортовой код TE+FG) </w:t>
      </w:r>
      <w:hyperlink r:id="rId57" w:tgtFrame="_blank" w:history="1">
        <w:r w:rsidRPr="007224C3">
          <w:rPr>
            <w:rFonts w:ascii="Times New Roman" w:hAnsi="Times New Roman"/>
            <w:color w:val="000000" w:themeColor="text1"/>
            <w:sz w:val="16"/>
            <w:szCs w:val="16"/>
          </w:rPr>
          <w:t>www.airwar.ru/enc/fww2/ta154.html</w:t>
        </w:r>
      </w:hyperlink>
      <w:r w:rsidRPr="007224C3">
        <w:rPr>
          <w:rFonts w:ascii="Times New Roman" w:hAnsi="Times New Roman"/>
          <w:color w:val="000000" w:themeColor="text1"/>
          <w:sz w:val="16"/>
          <w:szCs w:val="16"/>
        </w:rPr>
        <w:t xml:space="preserve"> , выразили удовлетворение управляемостью и скоростью нового истребителя, который "выдал" до 620 км/ч на высоте 6-8 км. 26 мая 1944 года, после ряда аварий, прототип был списан (15050).</w:t>
      </w:r>
    </w:p>
    <w:p w14:paraId="07BAF5AB" w14:textId="77777777" w:rsidR="00B609F6" w:rsidRPr="007224C3" w:rsidRDefault="00B609F6" w:rsidP="007224C3">
      <w:pPr>
        <w:spacing w:after="0" w:line="240" w:lineRule="auto"/>
        <w:jc w:val="both"/>
        <w:rPr>
          <w:rFonts w:ascii="Times New Roman" w:hAnsi="Times New Roman"/>
          <w:color w:val="000000" w:themeColor="text1"/>
          <w:sz w:val="16"/>
          <w:szCs w:val="16"/>
        </w:rPr>
      </w:pPr>
    </w:p>
    <w:p w14:paraId="6DEBBC69" w14:textId="77777777" w:rsidR="00C10A30" w:rsidRPr="007224C3" w:rsidRDefault="00C10A30"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24 февраля 1944 на военном аэродроме Винер-Нойштадт высшие офицеры Люфтваффе Эрхард Мильх, Kommando der Erprobungsstellen Оберст Эдгар Петерсен и оберстлейтенант Зигфрид Кнемейер (главный авиационный технолог Геринга) по очереди управляют четырехмоторным прототипом стратегического четырехдвигательного бомбардировщика He 177 V102 Heinkel (20373).</w:t>
      </w:r>
    </w:p>
    <w:p w14:paraId="07A80D4C" w14:textId="77777777" w:rsidR="00C10A30" w:rsidRPr="007224C3" w:rsidRDefault="00C10A30" w:rsidP="007224C3">
      <w:pPr>
        <w:spacing w:after="0" w:line="240" w:lineRule="auto"/>
        <w:jc w:val="both"/>
        <w:rPr>
          <w:rFonts w:ascii="Times New Roman" w:hAnsi="Times New Roman"/>
          <w:color w:val="0070C0"/>
          <w:sz w:val="16"/>
          <w:szCs w:val="16"/>
        </w:rPr>
      </w:pPr>
    </w:p>
    <w:p w14:paraId="2A6F59FE" w14:textId="77777777" w:rsidR="00B609F6" w:rsidRPr="007224C3" w:rsidRDefault="00B609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24 февраля</w:t>
      </w:r>
      <w:r w:rsidRPr="007224C3">
        <w:rPr>
          <w:rFonts w:ascii="Times New Roman" w:hAnsi="Times New Roman"/>
          <w:color w:val="000000" w:themeColor="text1"/>
          <w:sz w:val="16"/>
          <w:szCs w:val="16"/>
        </w:rPr>
        <w:t xml:space="preserve"> в 1944 году один </w:t>
      </w:r>
      <w:hyperlink r:id="rId58" w:tgtFrame="_blank" w:history="1">
        <w:r w:rsidRPr="007224C3">
          <w:rPr>
            <w:rFonts w:ascii="Times New Roman" w:hAnsi="Times New Roman"/>
            <w:color w:val="000000" w:themeColor="text1"/>
            <w:sz w:val="16"/>
            <w:szCs w:val="16"/>
          </w:rPr>
          <w:t xml:space="preserve">«Do.217m-1» </w:t>
        </w:r>
      </w:hyperlink>
      <w:r w:rsidRPr="007224C3">
        <w:rPr>
          <w:rFonts w:ascii="Times New Roman" w:hAnsi="Times New Roman"/>
          <w:color w:val="000000" w:themeColor="text1"/>
          <w:sz w:val="16"/>
          <w:szCs w:val="16"/>
        </w:rPr>
        <w:t>(заводской номер 56051) попал в руки союзников, когда самолет из II./КG.2 во время налета на Лондон получил незначительные повреждения от зенитного огня. Экипаж быстро оставил машину на высоте 3000 м, а покинутый самолет на пологом снижении сел почти без повреждений у Кембриджа. «Do.217m-1» = на планер «Do.217k-1» были установлены двигатели "Даймлер-Бенц" «DB-603А» (15050).</w:t>
      </w:r>
    </w:p>
    <w:p w14:paraId="0CDC39F2" w14:textId="77777777" w:rsidR="00B609F6" w:rsidRPr="007224C3" w:rsidRDefault="00B609F6" w:rsidP="007224C3">
      <w:pPr>
        <w:spacing w:after="0" w:line="240" w:lineRule="auto"/>
        <w:jc w:val="both"/>
        <w:rPr>
          <w:rFonts w:ascii="Times New Roman" w:hAnsi="Times New Roman"/>
          <w:color w:val="000000" w:themeColor="text1"/>
          <w:sz w:val="16"/>
          <w:szCs w:val="16"/>
        </w:rPr>
      </w:pPr>
    </w:p>
    <w:p w14:paraId="77A7B621" w14:textId="77777777" w:rsidR="00B609F6" w:rsidRPr="007224C3" w:rsidRDefault="00B609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24 февраля</w:t>
      </w:r>
      <w:r w:rsidRPr="007224C3">
        <w:rPr>
          <w:rFonts w:ascii="Times New Roman" w:hAnsi="Times New Roman"/>
          <w:color w:val="000000" w:themeColor="text1"/>
          <w:sz w:val="16"/>
          <w:szCs w:val="16"/>
        </w:rPr>
        <w:t xml:space="preserve"> в 1944 году массированный авианалет британских ВВС на Швайнфурт (15050).</w:t>
      </w:r>
    </w:p>
    <w:p w14:paraId="7802F92F" w14:textId="77777777" w:rsidR="00B609F6" w:rsidRPr="007224C3" w:rsidRDefault="00B609F6" w:rsidP="007224C3">
      <w:pPr>
        <w:spacing w:after="0" w:line="240" w:lineRule="auto"/>
        <w:jc w:val="both"/>
        <w:rPr>
          <w:rFonts w:ascii="Times New Roman" w:hAnsi="Times New Roman"/>
          <w:color w:val="000000" w:themeColor="text1"/>
          <w:sz w:val="16"/>
          <w:szCs w:val="16"/>
        </w:rPr>
      </w:pPr>
    </w:p>
    <w:p w14:paraId="6F11E328" w14:textId="77777777" w:rsidR="00C10A30" w:rsidRPr="007224C3" w:rsidRDefault="00C10A30"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24 февраля 1944 266 B-17 Летающие Крепости из аосьмой армии ВВС США выполнили налет на завод шариковых подшипников в Швайнфурте, Германия (20373).</w:t>
      </w:r>
    </w:p>
    <w:p w14:paraId="1C44725D" w14:textId="77777777" w:rsidR="00C10A30" w:rsidRPr="007224C3" w:rsidRDefault="00C10A30" w:rsidP="007224C3">
      <w:pPr>
        <w:spacing w:after="0" w:line="240" w:lineRule="auto"/>
        <w:jc w:val="both"/>
        <w:rPr>
          <w:rFonts w:ascii="Times New Roman" w:hAnsi="Times New Roman"/>
          <w:color w:val="0070C0"/>
          <w:sz w:val="16"/>
          <w:szCs w:val="16"/>
        </w:rPr>
      </w:pPr>
    </w:p>
    <w:p w14:paraId="08E424F1" w14:textId="77777777" w:rsidR="00C10A30" w:rsidRPr="007224C3" w:rsidRDefault="00C10A30"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24–25 февраля (ночь) 1944 734 британских бомбардировщика совершают первый налет бомбардировочного командования Королевских ВВС на Швайнфурт. Впервые они атакуют двумя волнами, из 392 и 342 самолетов, вынуждая немецкие ночные истребители подняться, чтобы встретить первую волну (которая теряет 22 бомбардировщика, 5,6 процента сил), но не готовы встретить вторую волну, которая теряет всего 11 бомбардировщиков (3,2 процента). Общие потери британцев - 33 бомбардировщика (4,5 процента) (20373).</w:t>
      </w:r>
    </w:p>
    <w:p w14:paraId="3369EC25" w14:textId="77777777" w:rsidR="00C10A30" w:rsidRPr="007224C3" w:rsidRDefault="00C10A30" w:rsidP="007224C3">
      <w:pPr>
        <w:spacing w:after="0" w:line="240" w:lineRule="auto"/>
        <w:jc w:val="both"/>
        <w:rPr>
          <w:rFonts w:ascii="Times New Roman" w:hAnsi="Times New Roman"/>
          <w:color w:val="0070C0"/>
          <w:sz w:val="16"/>
          <w:szCs w:val="16"/>
        </w:rPr>
      </w:pPr>
    </w:p>
    <w:p w14:paraId="251E812D" w14:textId="77777777" w:rsidR="00B609F6" w:rsidRPr="007224C3" w:rsidRDefault="00B609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24 февраля</w:t>
      </w:r>
      <w:r w:rsidRPr="007224C3">
        <w:rPr>
          <w:rFonts w:ascii="Times New Roman" w:hAnsi="Times New Roman"/>
          <w:color w:val="000000" w:themeColor="text1"/>
          <w:sz w:val="16"/>
          <w:szCs w:val="16"/>
        </w:rPr>
        <w:t xml:space="preserve"> в 1944 году перебазирование основных сил японского флота в Сингапур (15050).</w:t>
      </w:r>
    </w:p>
    <w:p w14:paraId="1E4E73FD" w14:textId="77777777" w:rsidR="00B609F6" w:rsidRPr="007224C3" w:rsidRDefault="00B609F6" w:rsidP="007224C3">
      <w:pPr>
        <w:spacing w:after="0" w:line="240" w:lineRule="auto"/>
        <w:jc w:val="both"/>
        <w:rPr>
          <w:rFonts w:ascii="Times New Roman" w:hAnsi="Times New Roman"/>
          <w:color w:val="000000" w:themeColor="text1"/>
          <w:sz w:val="16"/>
          <w:szCs w:val="16"/>
        </w:rPr>
      </w:pPr>
    </w:p>
    <w:p w14:paraId="42C4862E" w14:textId="77777777" w:rsidR="00B609F6" w:rsidRPr="007224C3" w:rsidRDefault="00B609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lastRenderedPageBreak/>
        <w:t>24 февраля</w:t>
      </w:r>
      <w:r w:rsidRPr="007224C3">
        <w:rPr>
          <w:rFonts w:ascii="Times New Roman" w:hAnsi="Times New Roman"/>
          <w:color w:val="000000" w:themeColor="text1"/>
          <w:sz w:val="16"/>
          <w:szCs w:val="16"/>
        </w:rPr>
        <w:t xml:space="preserve"> в 1944 году военный переворот в Аргентине. Приход к власти патриотически настроенной Группы объединенных офицеров во главе с полковником Х.Д.Перроном – заместителем военного министра в правительстве Рамиреса. Рамирес передал власть вице-президенту Э.Х.Фаррелю. Перрон занял посты вице-президента и военного министра. США и Великобритания не признали новое правительство, объявившее о нейтралитете в войне (15050).</w:t>
      </w:r>
    </w:p>
    <w:p w14:paraId="085C6150" w14:textId="77777777" w:rsidR="00B609F6" w:rsidRPr="007224C3" w:rsidRDefault="00B609F6" w:rsidP="007224C3">
      <w:pPr>
        <w:spacing w:after="0" w:line="240" w:lineRule="auto"/>
        <w:jc w:val="both"/>
        <w:rPr>
          <w:rFonts w:ascii="Times New Roman" w:hAnsi="Times New Roman"/>
          <w:color w:val="000000" w:themeColor="text1"/>
          <w:sz w:val="16"/>
          <w:szCs w:val="16"/>
        </w:rPr>
      </w:pPr>
    </w:p>
    <w:p w14:paraId="5B0E024B"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437AD4F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A4983F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февраля 1944 вышел приказ НКАП N 134с/20с в исполнение постановления ГКО N 5202с от 18 февраля 1944 о передаче НКЛП завода 459 в Солнечногорске вместо 10 завода НКЛП, который отдали заводу 500 (1647,52).</w:t>
      </w:r>
    </w:p>
    <w:p w14:paraId="5157777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8ECB9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февраля 1944 г. по приказу № 134с/20с завод № 459 в Солнечногорске со всеми сооружениями и личным составом передан в систему НКЛП и переименован в завод № 10 НКЛП. Производство парашютной техники для систем катапультирования самолетов МиГ, Ил-28, Ту-4. Затем- в ведении МособлСНХ. В 1963 г. переименован в СМЗ в ведении Минлегпрома. В 1965 г. СМЗ передан в МАП.</w:t>
      </w:r>
    </w:p>
    <w:p w14:paraId="38249AD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1968 г. налажен выпуск туристического снаряжения- палаток и рюкзаков.</w:t>
      </w:r>
    </w:p>
    <w:p w14:paraId="6F55458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11.1992 г. завод преобразован в АО. По решению правительства № 22-р от 9.01.2004 г. вошло в перечень стратегических предприятий.</w:t>
      </w:r>
    </w:p>
    <w:p w14:paraId="35585B6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Производство (2002 г.) тормозных парашютных систем, грузовых, спасательных и спортивных парашютов разработки НИИП, парапланов, воздушных шаров.</w:t>
      </w:r>
    </w:p>
    <w:p w14:paraId="19B83E4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Численность персонала (2004 г.)- 646 чел.</w:t>
      </w:r>
    </w:p>
    <w:p w14:paraId="4C3A609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(1942 г.-)- Денисов(Данилов). Начальник- Ткачев. Гендиректор (2002 г.)- Ю.В. Торбахов, (2007 г.)- А.А. Королев.</w:t>
      </w:r>
    </w:p>
    <w:p w14:paraId="76996F0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Коммерческий директор (2002 г.)- М.М. Пахомов (11982).</w:t>
      </w:r>
    </w:p>
    <w:p w14:paraId="7745536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399CA98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февраля 1944 г. приказом № 134с/ 20с в соответствии с пост. ГКО № 5202с от 18.02.1944 г. заводу № 500 передан завод № 10 НКЛП ( г. Тушино) со всеми сооружениями и личным составом. Заводу передан также лабораторный корпус МАТИ в Тушино (на 02.1944 г.). Была оказана помощь в кадрах (по приказам № 78с от 5.02.1944 г., № 137с от 25.02.1944 г., № 160сс от 4.03.1944 г., № 206сс от 21.03.1944 г.): переведено на постоянную работу большое количество специалистов с завода № 34 (около 200 чел.), завода № 265 (около 600 чел.), завода № 45 (250 чел.), а также всего около 170 чел. с заводов № 16, № 24, № 26, № 27, № 30, № 43, № 315, № 381. 14.03.1944 г. вышло постановление ГКО № 5398 о дополнительных мерах по расширению производства дизеля АЧ-30Б на заводе. В 1946 г. на базе АЧ-30 создан (совместно с Кировским заводом) ТД-30 для тяжелого танка ИС-7.</w:t>
      </w:r>
    </w:p>
    <w:p w14:paraId="4A213CB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08.1946 г. при заводе сформировано ОКБ гл. конструктора С.С. Баландина, переведенного с завода № 41 МАП, для продолжения работ по двигателю МБ-8.</w:t>
      </w:r>
    </w:p>
    <w:p w14:paraId="7822548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соответствии с пост. СМ № 874-366сс от 17.04.1946 г. и приказом № 392с от 21.06.1946 г. на завод № 500 переведена с завода № 45 группа немецких специалистов во главе с гл. конструктором авиадизеля М. Герлахом для продолжения работ по авиадизелю М-224. Группа действовала как ОКБ-2 завода № 500 в системе 8ГУ. На 09.1948 г. здесь работало 54 немецких специалиста. В 1950 г. они переведены на опытный завод № 2 МАП.</w:t>
      </w:r>
    </w:p>
    <w:p w14:paraId="58118D0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31.12.1947 г. был построен 1-й РД-500, в 10.1948 г. начат серийный выпуск двигателя.</w:t>
      </w:r>
    </w:p>
    <w:p w14:paraId="345CBC4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Был создан отдел систем ЧПУ.</w:t>
      </w:r>
    </w:p>
    <w:p w14:paraId="64AFF57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Приказом МАП от 9.06.1954 г. при заводе № 500 создана Специальная конструкторская группа (СКГ-10) во главе с В.Н. Челомеем по созданию морских КР, 26.08.1955 г. СКГ преобразована в ОКБ-52 МАП и перебазирована в Реутов.</w:t>
      </w:r>
    </w:p>
    <w:p w14:paraId="4D68B1D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соответствии с пост. СМ СССР № 713-342 от 26.06.1957 г. завод передан в ведение СНХ РСФСР. С 07.1954 г.- предприятие п/я-75, с 30.08.1960 г.- организация п/я- 4704. С 9.07.1963 г.- ММЗ «Красный Октябрь», с 10.03.1977 г.- ММПО «Красный Октябрь», с 18.11.1983 г.- «ММПО им. В.В. Чернышева», с 27.12.1991 г.- ГММПП им. В.В. Чернышева, с 23.02.1994 г.- ОАО «ММП им. В.В. Чернышева». По решению правительства № 22-р от 9.01.2004 г. вошло в перечень стратегических предприятий.</w:t>
      </w:r>
    </w:p>
    <w:p w14:paraId="447C711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Работы (2005 г.): подготовка к производству РД-93- двигателя для китайского истребителя FC-1 на базе РД-33; ВК-3000; освоение выпуска РД-ЗЗМК, РД-1700.</w:t>
      </w:r>
    </w:p>
    <w:p w14:paraId="750C026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конструктор (1942-46 г.)- А.Д. Чаромский-Броничев, (1947-52 г.)- В.М. Яковлев, (1967-82 г.)- К.Р. Хачатуров.</w:t>
      </w:r>
    </w:p>
    <w:p w14:paraId="68C440D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гл. конструктора (04.1944 г.-)- В.М. Яковлев.</w:t>
      </w:r>
    </w:p>
    <w:p w14:paraId="4BF77C4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(1942-43 г.)- А. Г. Вовк, (1944 г.)- А.П. Петров, (1945-48 г.)- М.Л. Кононенко, (1948-83 г.)- В.В. Чернышев {15.07.1906-}. Гендиректор (1983-97 г.)- А.Н. Напольнов, (10.1997-2002 г.)- О.Н. Третьяков,</w:t>
      </w:r>
      <w:r w:rsidRPr="007224C3">
        <w:rPr>
          <w:rFonts w:ascii="Times New Roman" w:hAnsi="Times New Roman"/>
          <w:color w:val="000000" w:themeColor="text1"/>
          <w:sz w:val="16"/>
          <w:szCs w:val="16"/>
          <w:vertAlign w:val="superscript"/>
        </w:rPr>
        <w:t>49</w:t>
      </w:r>
      <w:r w:rsidRPr="007224C3">
        <w:rPr>
          <w:rFonts w:ascii="Times New Roman" w:hAnsi="Times New Roman"/>
          <w:color w:val="000000" w:themeColor="text1"/>
          <w:sz w:val="16"/>
          <w:szCs w:val="16"/>
        </w:rPr>
        <w:t xml:space="preserve"> (2002-04; 12.2008 г.)- А.С. Новиков, (10.2004 г.)- О.Н. Третьяков.</w:t>
      </w:r>
    </w:p>
    <w:p w14:paraId="7066736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Исполнительный директор (2002 г.)- О.Н. Третьяков. Зам. гендиректора: по ВЭС (2002 г.)- А.А. Носков; по финансовым вопросам (2002 г.)- В.И. Шулепов.</w:t>
      </w:r>
    </w:p>
    <w:p w14:paraId="2566DDB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инженер (1945-47 г.)- В.В. Чернышев, (1984-97 г.)- О.Н. Третьяков.</w:t>
      </w:r>
    </w:p>
    <w:p w14:paraId="7654631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Начальники цехов: (1945 г.)- И.Н. Смирнов.</w:t>
      </w:r>
    </w:p>
    <w:p w14:paraId="1E6B1AC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Начальники лабораторий: физической (1945 г.)- А.И. Маслов.</w:t>
      </w:r>
    </w:p>
    <w:p w14:paraId="0DEE92C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техбюро (1945 г.)- П.В. Погостин.</w:t>
      </w:r>
    </w:p>
    <w:p w14:paraId="1481409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iCs/>
          <w:color w:val="000000" w:themeColor="text1"/>
          <w:sz w:val="16"/>
          <w:szCs w:val="16"/>
        </w:rPr>
        <w:t>Производство: дизельные двигатели: авиационные:</w:t>
      </w:r>
      <w:r w:rsidRPr="007224C3">
        <w:rPr>
          <w:rFonts w:ascii="Times New Roman" w:hAnsi="Times New Roman"/>
          <w:color w:val="000000" w:themeColor="text1"/>
          <w:sz w:val="16"/>
          <w:szCs w:val="16"/>
        </w:rPr>
        <w:t xml:space="preserve"> АЧ-30Б (1943-46)- 900, АЧ-31 (1945-46)- 58, АЧ-30БФ, М501 (1946-53); танковый ТД-30 (1946);</w:t>
      </w:r>
      <w:r w:rsidRPr="007224C3">
        <w:rPr>
          <w:rFonts w:ascii="Times New Roman" w:hAnsi="Times New Roman"/>
          <w:iCs/>
          <w:color w:val="000000" w:themeColor="text1"/>
          <w:sz w:val="16"/>
          <w:szCs w:val="16"/>
        </w:rPr>
        <w:t xml:space="preserve"> ГТД:</w:t>
      </w:r>
      <w:r w:rsidRPr="007224C3">
        <w:rPr>
          <w:rFonts w:ascii="Times New Roman" w:hAnsi="Times New Roman"/>
          <w:color w:val="000000" w:themeColor="text1"/>
          <w:sz w:val="16"/>
          <w:szCs w:val="16"/>
        </w:rPr>
        <w:t xml:space="preserve"> РД-500 (1947-51)- 1274, ВК-1 (1950-53)- 3744, АМ-5А (1952-61)- 2985, Р11-300, Р11Ф-300 (1958-), Р11АФ-300, Р11АФ2-300, Р11В-300 - более 12.000 всех модификаций, Р27В-300 (1974-91), Р27Ф2-300, Р29Б-300, Р35-300, РД-33 (1984-2005-), ТВ7-117С (1991-2005-), ВСУ ГТДЭ-117;</w:t>
      </w:r>
      <w:r w:rsidRPr="007224C3">
        <w:rPr>
          <w:rFonts w:ascii="Times New Roman" w:hAnsi="Times New Roman"/>
          <w:iCs/>
          <w:color w:val="000000" w:themeColor="text1"/>
          <w:sz w:val="16"/>
          <w:szCs w:val="16"/>
        </w:rPr>
        <w:t xml:space="preserve"> ЖРД </w:t>
      </w:r>
      <w:r w:rsidRPr="007224C3">
        <w:rPr>
          <w:rFonts w:ascii="Times New Roman" w:hAnsi="Times New Roman"/>
          <w:color w:val="000000" w:themeColor="text1"/>
          <w:sz w:val="16"/>
          <w:szCs w:val="16"/>
        </w:rPr>
        <w:t>С2.1150 для МКР «Буря» (1958-59)- 50; гл. редукторы ВР-2, ВР-8, ВР-14, ВР-24, ВР-252, ВР-80; ремонт двигателей РД-33, Р29-300 (2002), Р27Ф2М-300 (2002), Р35 (2002), Р11Ф-300 (2004);</w:t>
      </w:r>
      <w:r w:rsidRPr="007224C3">
        <w:rPr>
          <w:rFonts w:ascii="Times New Roman" w:hAnsi="Times New Roman"/>
          <w:color w:val="000000" w:themeColor="text1"/>
          <w:sz w:val="16"/>
          <w:szCs w:val="16"/>
          <w:vertAlign w:val="superscript"/>
        </w:rPr>
        <w:t xml:space="preserve">69 </w:t>
      </w:r>
      <w:r w:rsidRPr="007224C3">
        <w:rPr>
          <w:rFonts w:ascii="Times New Roman" w:hAnsi="Times New Roman"/>
          <w:color w:val="000000" w:themeColor="text1"/>
          <w:sz w:val="16"/>
          <w:szCs w:val="16"/>
        </w:rPr>
        <w:t>торпеда РАТ-52 (1949-50)- экспериментальная партия, МКР «Буря» (1959-)- 52; лодочные моторы «Москва», «Нептун» (1970-е).</w:t>
      </w:r>
    </w:p>
    <w:p w14:paraId="3D96F2F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Специальная конструкторская группа (СКГ) при заводе № 500 МАП, п/я 010</w:t>
      </w:r>
    </w:p>
    <w:p w14:paraId="62F2A91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приказу МАП от 9.06.1954 г. при заводе № 500 создана СКГ, п/я 010, во главе с В.Н. Челомеем по созданию морских крылатых УР. В 1955 г. она преобразована в ОКБ-52 и перебазировалась в Реутов.</w:t>
      </w:r>
    </w:p>
    <w:p w14:paraId="124ECC2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ОКБ завода № 500, ОКБ-1 завода № 500 НКАП, ОКБ-500 МАП, ОКБ-500-1 МАП, «Тушинское МКБ (ТМКБ) «Союз» МАП, ГУП «ТМКБ «Союз» /125362  г. Москва ул. Вишневая, 7 тел. 491-58-65/</w:t>
      </w:r>
    </w:p>
    <w:p w14:paraId="73F9B48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ОКБ завода № 500 образовано по приказу НКАП № 444с от 13.07.1942 г. на базе завода № 500 в Тушино. В него вошли КБ гл. конструктора Ф.Я. Тулупова и группа 4-го Спецотдела НКВД при заводе № 16 А.Д. Чаромского. Возглавил ОКБ А.Д. Чаромский. Работы по установке М-30 на Ер-2 и ТБ-7. Работы по дизелю М-20, для чего весь задел по нему переведен с завода № 16. Под руководством Чаромского на базе М-30 созданы АЧ- 30Б, АЧ-30БФ, АЧ-31, АЧ-32.</w:t>
      </w:r>
    </w:p>
    <w:p w14:paraId="4D8E7A4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заводе действовала также конструкторская группа под руководством В.М. Яковлева (одновременно-гл. конструктора ОКБ-45)- работы по танковым дизелям ТЧ-ЗОС, ТЧ-30Б (1946 г.).</w:t>
      </w:r>
    </w:p>
    <w:p w14:paraId="6DF5BF4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приказу № 414сс от 1.07.1946 г. коллективы Чаромского и Яковлева (ОКБ-45) объединены в единое ОКБ- 500 8ГУ МАП. Гл. конструктором назначен В.М. Яковлев. Чаромский с 1947 г. работает в ЦИАМ.</w:t>
      </w:r>
    </w:p>
    <w:p w14:paraId="07B8A7B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Работы по дизелям АЧ-31, М-51 (М.М. Масленников), М-501 (В.М. Яковлев). В 1946-53г,- работы по воспроизводству немецкого дизеля Jumo-224 и разработке на его базе дизеля М-224. Работы по освоению производства ТРД РД-500 (1947-48 г.). Для разработки конструкторской документации по РД-500 были созданы конструкторские бригады.</w:t>
      </w:r>
    </w:p>
    <w:p w14:paraId="520700E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соответствии с пост. СМ № 599-302 от 23.02.1953 г. на территории ленинградского завода «Звезда» им. К.Е. Ворошилова было создано ОКБ-800, гл. конструктором которого назначен В.М. Яковлев.</w:t>
      </w:r>
    </w:p>
    <w:p w14:paraId="71BA8D8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приказу № 156 от 19.04.1957 г. Ленинградский филиал ОКБ-45 на заводе № 466 преобразован в филиал ОКБ-500. В 08.1957 г.- в ведении ЗГУ МАП. Приказом ГКАТ № 210 от 17.06.1958 г. филиал преобразован в самостоятельное ОКБ при заводе № 466.</w:t>
      </w:r>
    </w:p>
    <w:p w14:paraId="1CD5998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приказу МАП № 175 от 30.04.1966 г. ОКБ-500 переименовано в Тушинское Машиностроительное КБ «Союз». Пост, правительства от 22.04.1996 г. предприятие преобразовано в ГУП «ТМКБ «Союз».</w:t>
      </w:r>
    </w:p>
    <w:p w14:paraId="496F2C7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Разработка атомных двигателей, доводка и сопровождение в серии Р-11-300, Р-27Ф2М-300, Р-29-300, Р-35, РД-33. Разработаны установки на базе ГТД, выработавших ресурс, для очистки ВПП, тушения пожаров, очистки труб нефтепроводов; малогабаритные автономные энергоустановки. Создано более 40 типов и модификаций ТРД.</w:t>
      </w:r>
    </w:p>
    <w:p w14:paraId="49092D4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состав предприятия входит (2002 г.): КБ, ОП, лабораторная база, испытательная станция. Имелись филиалы в  г. Жуковский и в  г. Ахтубинске Астраханской обл.</w:t>
      </w:r>
    </w:p>
    <w:p w14:paraId="001A5C5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2006 г. ТМКБ «Союз» являлось дочерним предприятием РСК «МиГ».</w:t>
      </w:r>
    </w:p>
    <w:p w14:paraId="0E55A99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Работы (2002 г.): разработка Р95-300; внедрение мобильной информационно-диагностической системы наземного контроля КСК-88; установка для беспрокруточной внутренней консервации двигателей; разработка привода ГТП 55СТ-20 для энергетики; (2006 г.): разработка двигателя РД-1700.</w:t>
      </w:r>
    </w:p>
    <w:p w14:paraId="07579E8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конструктор (13.07.1942-14.05.1946)- А.Д. Чаромский-Броничев, (14.07.1946-09.1953 г.)- В.М. Яковлев, (1957-65 г.)- Н. Г. Мецхваришвили {1911-65}, (1966-82 г.)- К.Р. Хачатуров, (1982-87 г.)- Ю.Е. Швецов, (1987- 2005 г.)- Р.Ю. Нусберг {29.07.1929-},</w:t>
      </w:r>
      <w:r w:rsidRPr="007224C3">
        <w:rPr>
          <w:rFonts w:ascii="Times New Roman" w:hAnsi="Times New Roman"/>
          <w:color w:val="000000" w:themeColor="text1"/>
          <w:sz w:val="16"/>
          <w:szCs w:val="16"/>
          <w:vertAlign w:val="superscript"/>
        </w:rPr>
        <w:t>49</w:t>
      </w:r>
      <w:r w:rsidRPr="007224C3">
        <w:rPr>
          <w:rFonts w:ascii="Times New Roman" w:hAnsi="Times New Roman"/>
          <w:color w:val="000000" w:themeColor="text1"/>
          <w:sz w:val="16"/>
          <w:szCs w:val="16"/>
        </w:rPr>
        <w:t xml:space="preserve"> (2005 г.-)- Л.С. Бардычев.</w:t>
      </w:r>
    </w:p>
    <w:p w14:paraId="4768C03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1-й зам. гл. конструктора (1942-04.1944 г.)- Ф.Я. Тулупов, (04.1944 г.-&gt; И.Е. Скляр, (2002 г.)- А.В. Лобурев. Зам. гл. конструктора: (-04.1944 г.)- И.Е. Скляр; по экспериментальным работам (04.1944 г.-)- Ф.Я. Тулупов; по внедрению АЧ-ЗОБ (04.1944 г.-)- В.М. Яковлев; по эксплуатации (-2000-02 г.-)- В.М. Рузин; (1964-67 г.)- К.Р. Хачатуров, (-2000-02 г.-)- В.И. Винокуров; А.А. Михайловский, С.Р. Саркисов.</w:t>
      </w:r>
    </w:p>
    <w:p w14:paraId="18A2EBF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1-й зам. ответственного руководителя- С.Р. Саркисов. И.О. начальника (1942 г.)- Ф.Я. Тулупов; начальник (1957 г.-)- С.Р. Саркисов. Директор (-1967 г.)- С.Р. Саркисов, (-2000-02 г.-&gt; В.И. Винокуров. Гендиректор (2005 г.)- Л.С. Бардычев.</w:t>
      </w:r>
    </w:p>
    <w:p w14:paraId="3D42EA3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управления по маркетингу и стратегическому планированию (2006 г.)- С.В. Залашков.</w:t>
      </w:r>
    </w:p>
    <w:p w14:paraId="4B206CD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iCs/>
          <w:color w:val="000000" w:themeColor="text1"/>
          <w:sz w:val="16"/>
          <w:szCs w:val="16"/>
        </w:rPr>
        <w:t>Создано: ТРД:</w:t>
      </w:r>
      <w:r w:rsidRPr="007224C3">
        <w:rPr>
          <w:rFonts w:ascii="Times New Roman" w:hAnsi="Times New Roman"/>
          <w:color w:val="000000" w:themeColor="text1"/>
          <w:sz w:val="16"/>
          <w:szCs w:val="16"/>
        </w:rPr>
        <w:t xml:space="preserve"> РД-500, Р11Ф-300, Р27Ф2М-300, Р29-300, Р29Б-300, Р29БС-300, Р-35, РД-33, РД-1700; ГТУ55СТ-20 на базе Р29-300; дизель М-501 для ВМФ (1946-48); микро-ЖРД Р210 для КА (1963); мобильная система КСК-88.</w:t>
      </w:r>
      <w:r w:rsidRPr="007224C3">
        <w:rPr>
          <w:rFonts w:ascii="Times New Roman" w:hAnsi="Times New Roman"/>
          <w:color w:val="000000" w:themeColor="text1"/>
          <w:sz w:val="16"/>
          <w:szCs w:val="16"/>
          <w:vertAlign w:val="superscript"/>
        </w:rPr>
        <w:t>101</w:t>
      </w:r>
    </w:p>
    <w:p w14:paraId="35FC4FA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ОКБ-2 завода № 500, ОКБ-500-2 МАП гл. конструктора С.С. Баландина /Тушино/</w:t>
      </w:r>
    </w:p>
    <w:p w14:paraId="2B892B9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приказу № 515с от 5.08.1946 г. при заводе № 500 сформировано ОКБ-2 гл. конструктора С.С. Баландина, переведенного с группой из 9 чел. с завода № 41 МАП, для продолжения работ по двигателю МБ-8. Разработка 24-цилиндрового мотора воздушного охлаждения М-127. Баландин назначен гл. конструктором мотора на заводе. В ОКБ переведены 11 чел. ИТР из ЦИАМ, 50 чел. с завода № 500. Работы велись и в 1948 г.</w:t>
      </w:r>
    </w:p>
    <w:p w14:paraId="485AED5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конструктор (08.1946-04.1947 г.-) - С.С. Баландин.</w:t>
      </w:r>
    </w:p>
    <w:p w14:paraId="635105F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гл. конструктора (08.1946 г.-)-  Г.П. Зайцев, (08.1946 г.-) - К.А. Гильзин (11982).</w:t>
      </w:r>
    </w:p>
    <w:p w14:paraId="365FA8C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0ED9D8E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февраля 1944 вышло Распоряжение ГКО № 5250. О капитальном ремонте аэросаней для Красной Армии. РГАНИР, Фонд ГКО, д. 212, лл. 86,87-93 (11012).</w:t>
      </w:r>
    </w:p>
    <w:p w14:paraId="5662886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1D18C97E"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5AF69EF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23D72C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февраля 1944 г. приказом № 139с в соответствии с пост. ГКО № 4922 от 11.01.1944 г. завод (ГС завод № 224 НКОП, НКАП, МАП, ГКАТ, Ленинградский государственный завод метеорологических приборов «Метприбор» ВСНХ, НКТП, НКОП, Опытный завод «Прибор» МАП, Ленинградский государственный завод «Прибор» МАП, АООТ «Опытный завод «Прибор», ОАО «НПО «Прибор» /г. Ленинград 18-я линия Васильевского о-ва (у Финляндского пер.) (1942 г.)/ /199034  г. Санкт-Петербург 17-я линия Васильевского о-ва, 2А; 17-я линия, 4-6 тел. 323-24-57/), который базировался на четырех площадках: по Иностранному пер., по Финляндскому пер., по Наличному пер., 7Б и по 18/19 линии Васильевского острова, 10, был определен как завод контрольно-испытательной и штурманской аппаратуры.</w:t>
      </w:r>
    </w:p>
    <w:p w14:paraId="4A68F83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приказу № 72с от 25.02.1946 г. завод с 1.02.1946 г. становится опытной базой гл. конструктора A.M. Неусыпина, а по приказу № 430с от 4.07.1946 г. преобразуется в Опытный завод № 224 МАП. В 08.1957 г.- в ведении 4ГУ ГКАТ.</w:t>
      </w:r>
    </w:p>
    <w:p w14:paraId="3807FBA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1966 г. завод № 224 переименован в Опытный завод «Прибор». В 1975 г. Ленинградский государственный завод «Прибор» стал головным предприятием НПО «Сфера», в составе которого находился по 1992 г. В 1993 г. завод преобразован в АООТ «Опытный завод «Прибор», в 2000 г. - в ОАО «НПО «Прибор». В 1990-е-2002 г. являлся филиалом НПО «Сфера».</w:t>
      </w:r>
    </w:p>
    <w:p w14:paraId="254CFD3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Работы (2002 г.): разработка, конструирование, проведение испытаний и организация серийного выпуска информационно-измерительных систем для исследований техники, летных испытаний ЛА; систем эксплуатационного контроля технических комплексов с сохранением информации в экстремальных условиях, систем контроля и диагностики двигателей, турбин, трансмиссий; (2005 г.): разработка и производство: аппаратуры радиационного, химического и биологического контроля для ВМФ; систем охранной и пожарной сигнализации; аппаратуры газового анализа, частотного регулирования электроприводов.</w:t>
      </w:r>
    </w:p>
    <w:p w14:paraId="159A395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Численность персонала (2002 г.)- 350 чел.</w:t>
      </w:r>
    </w:p>
    <w:p w14:paraId="5897623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(-4.07.1937 г.)- М.И. Савченко, (4.07-11.09.1937 г.)- А.И. Архаров, (11.09.1937-17.02.1938 г.)- Н.Я. Балакирев, (17.02.1938-41 г.-)- Е.Д. Васильев, (-09.1943-02.1945 Г.-)- А.А. Адеев. Гендиректор (-2002-05 г.-&gt; Б.А. Елизаров.</w:t>
      </w:r>
    </w:p>
    <w:p w14:paraId="42A022D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конструктор (2006 г.)- А. Иванов.</w:t>
      </w:r>
    </w:p>
    <w:p w14:paraId="146453F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директора (02.1944 г.-)- A.M. Неусыпин. Зам. гендиректора по экономике и финансам (2002 г.)- Д.А. Воробьев.</w:t>
      </w:r>
    </w:p>
    <w:p w14:paraId="67F4F7E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инженер (02.1944 г.-)- A.M. Неусыпин, (2002 г.)- А.Е. Понкратов.</w:t>
      </w:r>
      <w:r w:rsidRPr="007224C3">
        <w:rPr>
          <w:rFonts w:ascii="Times New Roman" w:hAnsi="Times New Roman"/>
          <w:color w:val="000000" w:themeColor="text1"/>
          <w:sz w:val="16"/>
          <w:szCs w:val="16"/>
          <w:vertAlign w:val="superscript"/>
        </w:rPr>
        <w:t>69</w:t>
      </w:r>
    </w:p>
    <w:p w14:paraId="3BD6367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Начальники цехов: сборочного (03.1937 г.-)-  Г.К. Петров.</w:t>
      </w:r>
    </w:p>
    <w:p w14:paraId="23F4A19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iCs/>
          <w:color w:val="000000" w:themeColor="text1"/>
          <w:sz w:val="16"/>
          <w:szCs w:val="16"/>
        </w:rPr>
        <w:t>Производство:</w:t>
      </w:r>
      <w:r w:rsidRPr="007224C3">
        <w:rPr>
          <w:rFonts w:ascii="Times New Roman" w:hAnsi="Times New Roman"/>
          <w:color w:val="000000" w:themeColor="text1"/>
          <w:sz w:val="16"/>
          <w:szCs w:val="16"/>
        </w:rPr>
        <w:t xml:space="preserve"> визир НВ-56, барографы (1936);</w:t>
      </w:r>
      <w:r w:rsidRPr="007224C3">
        <w:rPr>
          <w:rFonts w:ascii="Times New Roman" w:hAnsi="Times New Roman"/>
          <w:iCs/>
          <w:color w:val="000000" w:themeColor="text1"/>
          <w:sz w:val="16"/>
          <w:szCs w:val="16"/>
        </w:rPr>
        <w:t xml:space="preserve"> приборы:</w:t>
      </w:r>
      <w:r w:rsidRPr="007224C3">
        <w:rPr>
          <w:rFonts w:ascii="Times New Roman" w:hAnsi="Times New Roman"/>
          <w:color w:val="000000" w:themeColor="text1"/>
          <w:sz w:val="16"/>
          <w:szCs w:val="16"/>
        </w:rPr>
        <w:t xml:space="preserve"> РР-1, -19, -32, -36, -37, -48, МВ-8, -11, -3, АД-2, МО- 5, МТ-25, МС-7, Н-723, МД-19, АС-12, -17 (1938); электроакустический детонометр ЭАД-3 (1945); светолучевые регистраторы К-4-21, К-12-21, К-20-21 (1950-е); информационно-измерительные системы К-60-41, «Гамма» (1960-е); системы аварийной регистрации параметров полета: МСРП-12-96 (1950-60-е), МСРП-64 (1970-80-е), МСРП-А-01 для Ту-160, Ту-154М (1970-80-е), МСРП-А-02 для Ту-204, Ил-96, Ил-114, РЗБН-1 для Ту-334 (11982).</w:t>
      </w:r>
    </w:p>
    <w:p w14:paraId="7AE7EB5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2E3BEEAD"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февраля 1944 вышло Постановление ГКО № 5237 Об уполномоченных ГОКО по дровозаготовкам для железнодорожного транспорта по Архангельской области и Карело-Финской ССР. (7192, 2).</w:t>
      </w:r>
    </w:p>
    <w:p w14:paraId="4C4031BF"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5C1507D"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февраля 1944 вышло Распоряжение ГКО № 5238 [О поставках резинотехнических изделий НКТП, НКСМ, НКНП, НКлесу и НКАП.] (7192, 3-4).</w:t>
      </w:r>
    </w:p>
    <w:p w14:paraId="7439BF06"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6622D6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февраля 1944 г. вышло Постановление ГКО № 5239 «Об обеспечении 5-го Управления НКГБ СССР специальной аппаратурой» (Д. 288. Л. 115–117).</w:t>
      </w:r>
    </w:p>
    <w:p w14:paraId="5F75D6A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46B8FB58"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февраля 1944 вышло Распоряжение ГКО № 5240 [О прекращении мобилизации молодежи Хабаровского края в школы ФЗО.] (7192, 9).</w:t>
      </w:r>
    </w:p>
    <w:p w14:paraId="418F32AA"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D97797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февраля 1944 вышло Распоряжение ГКО № 5241. О восстановлении электротехнических сооружений в Харькове. РГАНИР, Фонд ГКО, д. 212, лл. 10 (11012).</w:t>
      </w:r>
    </w:p>
    <w:p w14:paraId="271C0F5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7A865F03"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февраля 1944 вышло Распоряжение ГКО № 5243 [О мерах по обеспечению опытного производства стирола и метилстирола на заводе № 739 НКРП.] (7192, 12).</w:t>
      </w:r>
    </w:p>
    <w:p w14:paraId="0FF7FC71"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79C226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февраля 1944 вышло Распоряжение ГКО № 5242. О передаче помещения завода № 3 треста "Мосгорместпром" ГАУ КА. РГАНИР, Фонд ГКО, д. 212, лл. 11 (11012).</w:t>
      </w:r>
    </w:p>
    <w:p w14:paraId="7BE017A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5EF8BD95" w14:textId="77777777" w:rsidR="00C473F1"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февраля 1944 вышло Распоряжение ГКО № 5244. Об изготовлении заготовок и узлов для морских реактивных установок измененной конструкции. РГАНИР, Фонд ГКО, д. 212, лл. 13 (11012).</w:t>
      </w:r>
    </w:p>
    <w:p w14:paraId="078DDB78" w14:textId="77777777" w:rsidR="00C473F1" w:rsidRPr="007224C3" w:rsidRDefault="00C473F1" w:rsidP="007224C3">
      <w:pPr>
        <w:autoSpaceDE w:val="0"/>
        <w:autoSpaceDN w:val="0"/>
        <w:adjustRightInd w:val="0"/>
        <w:spacing w:after="0" w:line="240" w:lineRule="auto"/>
        <w:jc w:val="both"/>
        <w:rPr>
          <w:rFonts w:ascii="Times New Roman" w:hAnsi="Times New Roman"/>
          <w:color w:val="000000" w:themeColor="text1"/>
          <w:sz w:val="16"/>
          <w:szCs w:val="16"/>
        </w:rPr>
      </w:pPr>
    </w:p>
    <w:p w14:paraId="68293201" w14:textId="77777777" w:rsidR="00673CAB" w:rsidRPr="007224C3" w:rsidRDefault="00673CA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февраля 1944  ГОСУДАРСТВЕННЫЙ КОМИТЕТ ОБОРОНЫ РАСПОРЯЖЕНИЕ № ГКО-5244сс</w:t>
      </w:r>
    </w:p>
    <w:p w14:paraId="0F703F09" w14:textId="77777777" w:rsidR="00C473F1" w:rsidRPr="007224C3" w:rsidRDefault="00673CA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 Москва, Кремль</w:t>
      </w:r>
    </w:p>
    <w:p w14:paraId="602EFA9C" w14:textId="77777777" w:rsidR="00673CAB" w:rsidRPr="007224C3" w:rsidRDefault="00673CA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 изготовлении заготовок и узлов для морских реактивных установок измененной конструкции.</w:t>
      </w:r>
    </w:p>
    <w:p w14:paraId="0551114F" w14:textId="77777777" w:rsidR="00673CAB" w:rsidRPr="007224C3" w:rsidRDefault="00673CA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Государственный Комитет Обороны постановляет:</w:t>
      </w:r>
    </w:p>
    <w:p w14:paraId="1211C6FD" w14:textId="77777777" w:rsidR="00673CAB" w:rsidRPr="007224C3" w:rsidRDefault="00673CA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 связи с внесением конструктивных изменений в морские реактивные установки М-8-М и М-13-М обязать: </w:t>
      </w:r>
    </w:p>
    <w:p w14:paraId="4F0B8FBB" w14:textId="77777777" w:rsidR="00673CAB" w:rsidRPr="007224C3" w:rsidRDefault="00673CA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а) НКПС (т. Кагановича) изготовить в марте 1944 года на МЭМРЗ в счет плана 10 штук приборов управления огнем (ПУО) измененной конструкции и поставить заводам Норкомминвооружения №№ 740 и 760; </w:t>
      </w:r>
    </w:p>
    <w:p w14:paraId="0995DF24" w14:textId="77777777" w:rsidR="00673CAB" w:rsidRPr="007224C3" w:rsidRDefault="00673CA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б) Наркомтанкопром (т. Малышева) поставить в марте 1944 г. заводу № 760 из числа ремонтных танков 10 исправных комплектов верхних и нижних колец погона танка Т-34 (старой конструкции) и 10 комплектов заготовки колец из стали марки 45 размеров 960 х 95 х 65 и 960 х 50 х 35 мм заводу № 740 НКВМ; </w:t>
      </w:r>
    </w:p>
    <w:p w14:paraId="559E1243" w14:textId="77777777" w:rsidR="00673CAB" w:rsidRPr="007224C3" w:rsidRDefault="00673CA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Наркомчермет (т. Тевосяна) поставить в марте 1944 года заводу № 740 НКМВ 10 штук заготовки колец из стали марки 45 размером 1070 х 65 х 60 мм.</w:t>
      </w:r>
    </w:p>
    <w:p w14:paraId="2C2F784C" w14:textId="77777777" w:rsidR="00673CAB" w:rsidRPr="007224C3" w:rsidRDefault="00673CA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ПРЕДСЕДАТЕЛЯ ГОСУДАРСТВЕННОГО КОМИТЕТА ОБОРОНЫ В. МОЛОТОВ</w:t>
      </w:r>
    </w:p>
    <w:p w14:paraId="3426BAED" w14:textId="77777777" w:rsidR="00673CAB" w:rsidRPr="007224C3" w:rsidRDefault="00673CA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Разослать: </w:t>
      </w:r>
    </w:p>
    <w:p w14:paraId="4CDDDC3B" w14:textId="77777777" w:rsidR="00673CAB" w:rsidRPr="007224C3" w:rsidRDefault="00673CA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т.т. Молотову, Маленкову, Берия, Вознесенскому, Кузнецову (НКВМФ), Паршину, Шайдукову, Дегтяреву, Яковлеву, Кагановичу, Малышеву, Борисову, Чадаеву; </w:t>
      </w:r>
    </w:p>
    <w:p w14:paraId="76569DDE" w14:textId="77777777" w:rsidR="00673CAB" w:rsidRPr="007224C3" w:rsidRDefault="00673CA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Тевосяну (12639).</w:t>
      </w:r>
    </w:p>
    <w:p w14:paraId="73F35710" w14:textId="77777777" w:rsidR="00673CAB" w:rsidRPr="007224C3" w:rsidRDefault="00673CAB" w:rsidP="007224C3">
      <w:pPr>
        <w:spacing w:after="0" w:line="240" w:lineRule="auto"/>
        <w:jc w:val="both"/>
        <w:rPr>
          <w:rFonts w:ascii="Times New Roman" w:hAnsi="Times New Roman"/>
          <w:color w:val="000000" w:themeColor="text1"/>
          <w:sz w:val="16"/>
          <w:szCs w:val="16"/>
        </w:rPr>
      </w:pPr>
    </w:p>
    <w:p w14:paraId="5960061C"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февраля 1944 вышло Распоряжение ГКО № 5245 [О выполнении программы военно-морского судостроения и снабжения действующего флота специальными электроизмерительными приборами.] (7192, 14-16,17-19).</w:t>
      </w:r>
    </w:p>
    <w:p w14:paraId="53D73F68"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3A84D7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февраля 1944 вышло Распоряжение ГКО № 5246. О рассмотрении предложений СНК УССР по мерам помощи в восстановлении местной промышленности и промысловой кооперации УССР. РГАНИР, Фонд ГКО, д. 212, лл. 20,21-56 (11012).</w:t>
      </w:r>
    </w:p>
    <w:p w14:paraId="6AB0185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00A3444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февраля 1944 вышло Постановление ГКО № 5247 Об обеспечении рыбной промышленности лесоматериалами для выработки тары и ремонта флота к весенней путине 1944 года. РГАНИР, Фонд ГКО, д. 212, лл. 57-61 (11012).</w:t>
      </w:r>
    </w:p>
    <w:p w14:paraId="127E72B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1803AF0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25 февраля 1944 вышло Постановление ГКО № 5248 Об организации производства судовых дизелей и палубных механизмов на заводе № 337 Наркомсудпрома. РГАНИР, Фонд ГКО, д. 212, лл. 62-66,67-71 (11012).</w:t>
      </w:r>
    </w:p>
    <w:p w14:paraId="605F392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4020BB4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февраля 1944 вышло Постановление ГКО № 5249 О восстановлении средств радиосвязи и радиовещания в г. Киеве. РГАНИР, Фонд ГКО, д. 212, лл. 72-75,76-85 (11012).</w:t>
      </w:r>
    </w:p>
    <w:p w14:paraId="42BCE7E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641A998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февраля 1944 вышло Распоряжение ГКО № 5252. О выделении НКЭП дополнительно в I кв. 1944 г. 60 т нитролаков и растворителей. РГАНИР, Фонд ГКО, д. 212, лл. 115 (11012).</w:t>
      </w:r>
    </w:p>
    <w:p w14:paraId="6B81E5B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715613AA" w14:textId="77777777" w:rsidR="00C473F1"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0E3D428B" w14:textId="77777777" w:rsidR="00C473F1" w:rsidRPr="007224C3" w:rsidRDefault="00C473F1"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F2E839E" w14:textId="77777777" w:rsidR="00C473F1" w:rsidRPr="007224C3" w:rsidRDefault="00C473F1"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25 февраля</w:t>
      </w:r>
      <w:r w:rsidRPr="007224C3">
        <w:rPr>
          <w:rFonts w:ascii="Times New Roman" w:hAnsi="Times New Roman"/>
          <w:color w:val="000000" w:themeColor="text1"/>
          <w:sz w:val="16"/>
          <w:szCs w:val="16"/>
        </w:rPr>
        <w:t xml:space="preserve"> в 1944 году оперативная сводка Совинформбюро:</w:t>
      </w:r>
    </w:p>
    <w:p w14:paraId="167C3C49" w14:textId="77777777" w:rsidR="00C473F1" w:rsidRPr="007224C3" w:rsidRDefault="00C473F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25 февраля юго-западнее и южнее Струги Красные наши войска, продолжая наступление, овладели населёнными пунктами Мельницы, Лутово, Площаны, Квашенкина Горка, Кебско, Гориста и железнодорожной станцией Лапино.</w:t>
      </w:r>
    </w:p>
    <w:p w14:paraId="372187F9" w14:textId="77777777" w:rsidR="00C473F1" w:rsidRPr="007224C3" w:rsidRDefault="00C473F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и южнее города ДНО наши войска продолжали развивать успешное наступление и овладели районным центром Ленинградской области Дедовичи, а также с боями заняли более 40 других населённых пунктов, в том числе Борзилицы, Ядреево, Демянка, Шилинка, Арбузова, Красная Острова, Заходы, Старые Липки, Тимоново, Сажино и железнодорожные станции, Бакач, Дедовичи.</w:t>
      </w:r>
    </w:p>
    <w:p w14:paraId="1C6A31ED" w14:textId="77777777" w:rsidR="00C473F1" w:rsidRPr="007224C3" w:rsidRDefault="00C473F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и юго-западнее города Холм наши войска с боями продвигались вперёд и заняли несколько населённых пунктов, в том числе Межник, Барлаево, Наволоки, Исаково, Дорка, Бородино, Кладовицы.</w:t>
      </w:r>
    </w:p>
    <w:p w14:paraId="310A1C1A" w14:textId="77777777" w:rsidR="00C473F1" w:rsidRPr="007224C3" w:rsidRDefault="00C473F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Севернее города Рогачёв наши войска продолжали вести наступательные бои, в ходе которых заняли несколько населённых пунктов.</w:t>
      </w:r>
    </w:p>
    <w:p w14:paraId="6BE4E477" w14:textId="77777777" w:rsidR="00C473F1" w:rsidRPr="007224C3" w:rsidRDefault="00C473F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действия разведки.</w:t>
      </w:r>
    </w:p>
    <w:p w14:paraId="471D8CF6" w14:textId="77777777" w:rsidR="00C473F1" w:rsidRPr="007224C3" w:rsidRDefault="00C473F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24 февраля наши войска на всех фронтах подбили и уничтожили 24 немецких танка. В воздушных боях и огнём зенитной артиллерии сбито 43 самолёта противника.</w:t>
      </w:r>
    </w:p>
    <w:p w14:paraId="53B58A37" w14:textId="77777777" w:rsidR="00C473F1" w:rsidRPr="007224C3" w:rsidRDefault="00C473F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Объявленные не вернувшимися на свои базы при налёте на финский город Або (Турку) четыре наших самолёта приземлились на других аэродромах на советской территории.</w:t>
      </w:r>
    </w:p>
    <w:p w14:paraId="76843971" w14:textId="77777777" w:rsidR="00C473F1" w:rsidRPr="007224C3" w:rsidRDefault="00C473F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и южнее Стругов Красных части Н-ского соединения заняли несколько населённых пунктов, уничтожив при этом более 400 немецких солдат и офицеров. В одном районе десять наших бойцов во главе с лейтенантом Соколовым, прочёсывая опушку леса, встретили большую группу немцев. Советские бойцы огнём из автоматов истребили 40 гитлеровцев, а 25 немецких солдат взяли в плен. Другая группа наших разведчиков напала на немецких лыжников. Разведчики уничтожили до роты гитлеровцев и захватили 30 пленных.</w:t>
      </w:r>
    </w:p>
    <w:p w14:paraId="499C9F9B" w14:textId="77777777" w:rsidR="00C473F1" w:rsidRPr="007224C3" w:rsidRDefault="00C473F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и южнее города Дно наши войска продолжали успешное наступление. Советские части, стремительно продвинувшись вперёд, овладели районным центром Ленинградской области и железнодорожной станцией Дедовичи. На другом участке наши бойцы отрезали пути отхода немцам и в результате ожесточённой схватки уничтожили их. На поле боя осталось до 700 вражеских трупов. Захвачено 7 орудий, 43 пулемёта, 16 миномётов и 80 повозок с различными грузами. Взяты пленные.</w:t>
      </w:r>
    </w:p>
    <w:p w14:paraId="18A3EB62" w14:textId="77777777" w:rsidR="00C473F1" w:rsidRPr="007224C3" w:rsidRDefault="00C473F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Севернее города Рогачёв наши войска с боями продвигались вперёд. Противник подтянул крупные подкрепления и контратаками пытался вернуть утраченные позиции. На одном участке немецкая пехота и танки в течение дня предприняли четырнадцать контратак, но каждый раз отступали с большими для них потерями. На другом участке наши войска, развивая наступление, выбили врага из нескольких населённых пунктов. За день боёв уничтожено 2.500 немецких солдат и офицеров. Захвачено у немцев 13 танков, 40 полевых и 3 самоходных орудия, много миномётов и стрелкового вооружения, 8 тысяч противотанковых мин и два склада с инженерным имуществом. Взято значительное количество пленных. В боях за город Рогачёв наши войска уничтожили до 6.000 немецких солдат и офицеров, 26 танков и самоходныхорудий, 86 полевых орудий, 56 миномётов, 140 автомашин и 27 бронемашин. Захвачено у немцев 68 орудий, 88 миномётов, 160 пулемётов, более 2.000 винтовоки автоматов, 80 автомашин, 200 лошадей, 8 танков, 2 самоходных орудия, 3 склада боеприпасов, 8 продовольственных складов, 18 радиостанций, 29 вагонов с боеприпасами и другие трофеи.</w:t>
      </w:r>
    </w:p>
    <w:p w14:paraId="6389BB8F" w14:textId="77777777" w:rsidR="00C473F1" w:rsidRPr="007224C3" w:rsidRDefault="00C473F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Партизанский отряд, действующий в Львовской области, внезапно атаковал двигавшуюся по дороге колонну немецкой пехоты. Советские патриоты истребили несколько десятков гитлеровцев и захватили их оружие. Другой отряд львовских партизан разгромил вражеский гарнизон, уничтожив при этом 46 немецких солдат и офицеров. Захвачено 6 пулемётов, 56 автоматов и винтовок, 12 повозок с патронамии гранатами.</w:t>
      </w:r>
    </w:p>
    <w:p w14:paraId="35ED3631" w14:textId="77777777" w:rsidR="00C473F1" w:rsidRPr="007224C3" w:rsidRDefault="00C473F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Немецкие солдаты и офицеры, взятые в плен при ликвидации вражеских войск, окружённых в районе Корсунь-Шевченковский, рассказывают, что в последние дни в «котле» царил полный хаос. Немцы уже понимали, что их обманули и они обречены на гибель. Пленный адъютант 3 дивизиона 188 артполка 38 немецкой пехотной дивизии обер-лейтенант Бертольд Шихон сообщил: «Отклонив ультиматум русских о капитуляции, немецкое командование проявило преступное равнодушие к судьбе своих солдат и офицеров. Солдат всё время уверяли, что принимаются самые решительные меры, чтобы прорвать кольцо окружения извне. В то же время говорили, что семьи солдат и офицеров, сдавшихся в плен, будут поголовно направлены в концлагери. 17-го февраля 1944 года наступил черный день. В этот день прекратили свое существование десять наших отборных дивизий».</w:t>
      </w:r>
    </w:p>
    <w:p w14:paraId="6844B616" w14:textId="77777777" w:rsidR="00C473F1" w:rsidRPr="007224C3" w:rsidRDefault="00C473F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Пленный офицер-наблюдатель тяжелого дивизиона 157 артполка 57 немецкой пехотной дивизии лейтенант Вили Лейнвебер рассказал: «Настроение офицеров в «котле» было очень подавленное. Мы сознавали, что не выберемся из западни, вкоторую попали, и считали себя смертниками. В последние дни чрезвычайно обострилась ненависть к эсэсовцам. По приказу Гилле здоровые офицеры эсэсовских частей вывозились на самолетах, в то время как тяжело раненых офицеров полевых частей оставляли в «котле». В последний день русские учинили нам невиданное побоище. Толпы солдат, как стадо баранов, метались из стороны в сторону, но нигде не могли укрыться от убийственного огня. Весь район был устлан трупами. Жутко было смотреть на эту картину. В этот день много тысяч немецких солдат и офицеров поплатилось своей жизнью за авантюру немецкого командования» (15051).</w:t>
      </w:r>
    </w:p>
    <w:p w14:paraId="2F0A645A" w14:textId="77777777" w:rsidR="00C473F1" w:rsidRPr="007224C3" w:rsidRDefault="00C473F1" w:rsidP="007224C3">
      <w:pPr>
        <w:spacing w:after="0" w:line="240" w:lineRule="auto"/>
        <w:jc w:val="both"/>
        <w:rPr>
          <w:rFonts w:ascii="Times New Roman" w:hAnsi="Times New Roman"/>
          <w:color w:val="000000" w:themeColor="text1"/>
          <w:sz w:val="16"/>
          <w:szCs w:val="16"/>
        </w:rPr>
      </w:pPr>
    </w:p>
    <w:p w14:paraId="3CB89BED"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Жизнь и внутренняя политика:</w:t>
      </w:r>
    </w:p>
    <w:p w14:paraId="114294A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24DEEC3"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февраля 1944 вышло Постановление ГКО № 5251 О мероприятиях по улучшению работы московского трамвая. (7192, 94-100,101-114).</w:t>
      </w:r>
    </w:p>
    <w:p w14:paraId="42CD80BD"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0D09A97" w14:textId="77777777" w:rsidR="00C473F1"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3DC77B15" w14:textId="77777777" w:rsidR="00C473F1" w:rsidRPr="007224C3" w:rsidRDefault="00C473F1"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EA3CF59" w14:textId="77777777" w:rsidR="00C10A30" w:rsidRPr="007224C3" w:rsidRDefault="00C10A30"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25 февраля 1944 немецкие управляемые бомбы потопили британский эсминец HMS Inglefield у Анцио с тяжелыми человеческими жертвами (20373).</w:t>
      </w:r>
    </w:p>
    <w:p w14:paraId="1D566DAA" w14:textId="77777777" w:rsidR="00C10A30" w:rsidRPr="007224C3" w:rsidRDefault="00C10A30" w:rsidP="007224C3">
      <w:pPr>
        <w:spacing w:after="0" w:line="240" w:lineRule="auto"/>
        <w:jc w:val="both"/>
        <w:rPr>
          <w:rFonts w:ascii="Times New Roman" w:hAnsi="Times New Roman"/>
          <w:color w:val="0070C0"/>
          <w:sz w:val="16"/>
          <w:szCs w:val="16"/>
        </w:rPr>
      </w:pPr>
    </w:p>
    <w:p w14:paraId="17B9CEA1" w14:textId="77777777" w:rsidR="00C10A30" w:rsidRPr="007224C3" w:rsidRDefault="00C10A30"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25–26 февраля (ночь) 1944 594 британских бомбардировщика совершают первый крупный налет на Аугсбург, Германия. В ясную погоду и перед минимальной немецкой обороной, рейд чрезвычайно успешным, уничтожив большую часть города и вызва 246 больших и средних и 820 малых пожаров. Германия осуждает этот рейд как крайний пример «террористического напалдения» (29373).</w:t>
      </w:r>
    </w:p>
    <w:p w14:paraId="4E38AEFC" w14:textId="77777777" w:rsidR="00C10A30" w:rsidRPr="007224C3" w:rsidRDefault="00C10A30" w:rsidP="007224C3">
      <w:pPr>
        <w:spacing w:after="0" w:line="240" w:lineRule="auto"/>
        <w:jc w:val="both"/>
        <w:rPr>
          <w:rFonts w:ascii="Times New Roman" w:hAnsi="Times New Roman"/>
          <w:color w:val="0070C0"/>
          <w:sz w:val="16"/>
          <w:szCs w:val="16"/>
        </w:rPr>
      </w:pPr>
    </w:p>
    <w:p w14:paraId="28C9A182" w14:textId="77777777" w:rsidR="00C473F1" w:rsidRPr="007224C3" w:rsidRDefault="00C473F1"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25 февраля</w:t>
      </w:r>
      <w:r w:rsidRPr="007224C3">
        <w:rPr>
          <w:rFonts w:ascii="Times New Roman" w:hAnsi="Times New Roman"/>
          <w:color w:val="000000" w:themeColor="text1"/>
          <w:sz w:val="16"/>
          <w:szCs w:val="16"/>
        </w:rPr>
        <w:t xml:space="preserve"> в 1944 году массированный авианалет американских ВВС на Аугсбург, Регенсбург и Штутгарт (15051).</w:t>
      </w:r>
    </w:p>
    <w:p w14:paraId="5A45B9A3" w14:textId="77777777" w:rsidR="00C473F1" w:rsidRPr="007224C3" w:rsidRDefault="00C473F1" w:rsidP="007224C3">
      <w:pPr>
        <w:spacing w:after="0" w:line="240" w:lineRule="auto"/>
        <w:jc w:val="both"/>
        <w:rPr>
          <w:rFonts w:ascii="Times New Roman" w:hAnsi="Times New Roman"/>
          <w:color w:val="000000" w:themeColor="text1"/>
          <w:sz w:val="16"/>
          <w:szCs w:val="16"/>
        </w:rPr>
      </w:pPr>
    </w:p>
    <w:p w14:paraId="3FEF9202" w14:textId="77777777" w:rsidR="00C473F1" w:rsidRPr="007224C3" w:rsidRDefault="00C473F1"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25 февраля</w:t>
      </w:r>
      <w:r w:rsidRPr="007224C3">
        <w:rPr>
          <w:rFonts w:ascii="Times New Roman" w:hAnsi="Times New Roman"/>
          <w:color w:val="000000" w:themeColor="text1"/>
          <w:sz w:val="16"/>
          <w:szCs w:val="16"/>
        </w:rPr>
        <w:t xml:space="preserve"> в 1944 году принятие японским правительством «Программы чрезвычайных мероприятий по подготовке к решительному сражению на территории Японии» (15051).</w:t>
      </w:r>
    </w:p>
    <w:p w14:paraId="64C130DD" w14:textId="77777777" w:rsidR="00C473F1" w:rsidRPr="007224C3" w:rsidRDefault="00C473F1" w:rsidP="007224C3">
      <w:pPr>
        <w:spacing w:after="0" w:line="240" w:lineRule="auto"/>
        <w:jc w:val="both"/>
        <w:rPr>
          <w:rFonts w:ascii="Times New Roman" w:hAnsi="Times New Roman"/>
          <w:color w:val="000000" w:themeColor="text1"/>
          <w:sz w:val="16"/>
          <w:szCs w:val="16"/>
        </w:rPr>
      </w:pPr>
    </w:p>
    <w:p w14:paraId="627C7BD4" w14:textId="77777777" w:rsidR="00C473F1" w:rsidRPr="007224C3" w:rsidRDefault="00C473F1" w:rsidP="007224C3">
      <w:pPr>
        <w:spacing w:after="0" w:line="240" w:lineRule="auto"/>
        <w:jc w:val="both"/>
        <w:rPr>
          <w:rFonts w:ascii="Times New Roman" w:hAnsi="Times New Roman"/>
          <w:bCs/>
          <w:color w:val="000000" w:themeColor="text1"/>
          <w:sz w:val="16"/>
          <w:szCs w:val="16"/>
        </w:rPr>
      </w:pPr>
      <w:r w:rsidRPr="007224C3">
        <w:rPr>
          <w:rFonts w:ascii="Times New Roman" w:hAnsi="Times New Roman"/>
          <w:bCs/>
          <w:color w:val="000000" w:themeColor="text1"/>
          <w:sz w:val="16"/>
          <w:szCs w:val="16"/>
        </w:rPr>
        <w:t>25 февраля</w:t>
      </w:r>
      <w:r w:rsidRPr="007224C3">
        <w:rPr>
          <w:rFonts w:ascii="Times New Roman" w:hAnsi="Times New Roman"/>
          <w:color w:val="000000" w:themeColor="text1"/>
          <w:sz w:val="16"/>
          <w:szCs w:val="16"/>
        </w:rPr>
        <w:t xml:space="preserve"> в 1944 году американская подводная лодка «Rasher» потопила японские судна "Ryusei Maru" (1911 года постройки, 4805 брт, 117 м, 9 уз) и "Tango Maru" (бывшее голландский "Toenjoek" 1926 года постройки, 6200 брт, 137 м, 13 уз). Эти транспорты 24 февраля 1944 вышли из Сурабайи в Амбон (эскорт - тральщики W-8 и W-11 и эскортный корабль "Takunan Maru No.5") и 25 февраля 1944 подверглись атаке подводной лодки «USS Rasher» («SS-269»). В 20:45, был торпедирован (3 попадания) и потоплен "Танго Мару" в 25 милях севернее о. Бали в точке 07-41N, 115-10E.</w:t>
      </w:r>
    </w:p>
    <w:p w14:paraId="5CA76348" w14:textId="77777777" w:rsidR="00C473F1" w:rsidRPr="007224C3" w:rsidRDefault="00C473F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Позднее, в 22:25, лодка из надводного положения четырёхторпедным залпом (3 попадания) отправила на дно и "Рюсей Мару" в точке 07-55Т, 115-15E. На борту "Танго Мару" находились 3500 яванских рабочих (насильственно взятых в качестве, по сути, рабов - ромуши, так их называли японцы) и несколько сотен пленных (погибло по разным оценкам 3500-3800 человек, спаслось около 500 человек), "Рюсей Мару" - 6600 японских солдат из различных подразделений (погибло 4998 человек). Вообще эта лодка дважды топила суда с названием "Танго Мару". Первым был танкер в 2046 брт, потопленный 8 ноября 1943 в Макассарском проливе (15051).</w:t>
      </w:r>
    </w:p>
    <w:p w14:paraId="1C98B73F" w14:textId="77777777" w:rsidR="00C473F1" w:rsidRPr="007224C3" w:rsidRDefault="00C473F1" w:rsidP="007224C3">
      <w:pPr>
        <w:spacing w:after="0" w:line="240" w:lineRule="auto"/>
        <w:jc w:val="both"/>
        <w:rPr>
          <w:rFonts w:ascii="Times New Roman" w:hAnsi="Times New Roman"/>
          <w:color w:val="000000" w:themeColor="text1"/>
          <w:sz w:val="16"/>
          <w:szCs w:val="16"/>
        </w:rPr>
      </w:pPr>
    </w:p>
    <w:p w14:paraId="14483568" w14:textId="77777777" w:rsidR="00C10A30" w:rsidRPr="007224C3" w:rsidRDefault="00C10A30"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25 февраля 1944 года потоплен Tango Maru, около 3000 погибших (20190).</w:t>
      </w:r>
    </w:p>
    <w:p w14:paraId="31359BB7" w14:textId="77777777" w:rsidR="00C10A30" w:rsidRPr="007224C3" w:rsidRDefault="00C10A30" w:rsidP="007224C3">
      <w:pPr>
        <w:spacing w:after="0" w:line="240" w:lineRule="auto"/>
        <w:jc w:val="both"/>
        <w:rPr>
          <w:rFonts w:ascii="Times New Roman" w:hAnsi="Times New Roman"/>
          <w:color w:val="0070C0"/>
          <w:sz w:val="16"/>
          <w:szCs w:val="16"/>
        </w:rPr>
      </w:pPr>
    </w:p>
    <w:p w14:paraId="29BAA98E"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lastRenderedPageBreak/>
        <w:t>Авиапромышленность:</w:t>
      </w:r>
    </w:p>
    <w:p w14:paraId="790772D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DCE970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февраля 1944 на гос. испытания в НИИ ВВС прибыл опытный двухместный самолет ИЛ с мотором АМ-42 и винтом АВ-5Л-18Б конструкции С.В.И. (экз. 1, производство завода 240). Летные испытания проходили с 29 февраля по 30 марта 1944 (1865).</w:t>
      </w:r>
    </w:p>
    <w:p w14:paraId="69849C1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641EAE"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февраля 1944 Ил-АМ-42 со «старым» проверенным винтом АВ-5 л-18Б перелетел с завода № 240 на аэродром НИИ ВВС.</w:t>
      </w:r>
    </w:p>
    <w:p w14:paraId="5EF9BF44"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Приказом начальника НИИ ВВС для производства государственных летных испытаний Ил-АМ-42 (экз. № 1) ведущим летчиком по самолету был назначен летчик-испытатель подполковник А. К. Долгов, а ведущим инженером – инженер-майор П. Т. Аброщенко. В состав испытательной бригады вошли также инженер-капитан И. М. Наливкин (по винтомоторной группе), старший техник-лейтенант С. Е. Матвеев (по спецоборудованию) и инженер-майор К. И. Романов (по вооружению) (17490).</w:t>
      </w:r>
    </w:p>
    <w:p w14:paraId="2E2B8D8A" w14:textId="77777777" w:rsidR="005C20A0" w:rsidRPr="007224C3" w:rsidRDefault="005C20A0" w:rsidP="007224C3">
      <w:pPr>
        <w:spacing w:after="0" w:line="240" w:lineRule="auto"/>
        <w:jc w:val="both"/>
        <w:rPr>
          <w:rFonts w:ascii="Times New Roman" w:hAnsi="Times New Roman"/>
          <w:color w:val="000000" w:themeColor="text1"/>
          <w:sz w:val="16"/>
          <w:szCs w:val="16"/>
        </w:rPr>
      </w:pPr>
    </w:p>
    <w:p w14:paraId="57E1A7F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февраля 1944, после того как к 22 февраля 1944, несмотря на неустойчивую работу мотора АМ-42, разведчик-корректировщик Ил-АМ-42 экз. №1 сумел успешно завершить программу заводских испытаний, самолет перелетел на аэродром НИИ ВВС, где до 8 апреля проходил государственные испытания.</w:t>
      </w:r>
    </w:p>
    <w:p w14:paraId="06F4CD5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первую очередь определялись летно-технические данные в варианте штурмовика-бомбардировщика и только затем - в варианте разведчика-корректировщика. Как показали полеты, основные данные Ил-АМ-42 заметно превосходили Ил-2 АМ-38ф, хотя, по мнению военных, уже не отвечали в полном объеме требованиям.</w:t>
      </w:r>
    </w:p>
    <w:p w14:paraId="7875BDE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Ил-АМ-42 имел удовлетворительную устойчивость по всем направлениям. Самолет позволял полет с брошенной ручкой управления. Виражил и пикировал устойчиво, без рысканий. Это обеспечивало лучшие условия для прицеливания и стрельбы.</w:t>
      </w:r>
    </w:p>
    <w:p w14:paraId="5802E4B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тоже время указывались и ряд серьезных недостатков. В частности, не доведена система заполнения бензобаков нейтральным газом. Заднюю бронеперегородку штурмана предлагалось сделать экранированной - две бронеплиты по 8 мм, и обеспечить защиту его головы бронестеклом.</w:t>
      </w:r>
    </w:p>
    <w:p w14:paraId="020E0BE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Оказалось, что при посадке на фюзеляж штурман выбраться из своей кабины не сможет, "так как фонарь летчика при открытии надвигается на фонарь штурмана".</w:t>
      </w:r>
    </w:p>
    <w:p w14:paraId="6FEAEC8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Кроме этого, ни летчик, ни штурман не могли прицельно сбросить бомбы. Из-за плохого обзора передней полусферы штурман без помощи летчика "не может вывести самолет на нехарактерную цель" (объект удара), то есть "заранее найти цель, опознать ее, а затем осуществить наводку". Как отмечалось в отчете, "выполнить все это через прицел не представляется возможным". В свою очередь, "вследствие неудовлетворительного качества прицельных устройств" летчик мог прицеливаться и бомбить "с горизонта" лишь по наитию. Фактически получалось так, что при бомбометании с горизонтального полета наводку на цель и выход на боевой курс должен был выполнять непосредственно летчик, а прицеливание - штурман, "что требует соответствующей методической проработки".</w:t>
      </w:r>
    </w:p>
    <w:p w14:paraId="228050C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дополнение к этому, бомбовый прицел штурмана в полете нещадно забрызгивался маслом, которое выбивалось из-под уплот- нительного кольца втулки винта и носка коленчатого вала мотора. Установка маслоотражателей проблемы не решило.</w:t>
      </w:r>
    </w:p>
    <w:p w14:paraId="2FA6F3E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Работой оборонительной установки ВУ-8 с пулеметом УБК и ее возможностями в бою военные испытатели остались недовольны.</w:t>
      </w:r>
    </w:p>
    <w:p w14:paraId="32E88F9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Предъявлялись претензии и к спецоборудованию самолета. Отмечалась плохая конструктивная проработка экранировки системы зажигания мотора, вследствие чего "уровень помех радиоприема вырастает до недопустимых величин". Схема коммутации средств радио- и внутрисамолетной связи не учитывала особенности работы экипажа на данном самолете - "летчик и штурман совмещают лишние функции".</w:t>
      </w:r>
    </w:p>
    <w:p w14:paraId="1ED921B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Несмотря на недостатки, Ил-АМ-42 был рекомендован для постановки в серийное производство. При этом в сопроводительной записке к Акту по госиспытаниям от 12 апреля самолет уже именовался как Ил-8 АМ-42.</w:t>
      </w:r>
    </w:p>
    <w:p w14:paraId="0AEF5A7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Надо сказать, к этому времени сложилась весьма непростая ситуация. Очевидно, что результаты испытаний Ил-8 не могли удовлетворить военных в полном объеме - ни штурмовик, ни бомбардировщик. В то же время испытания штурмовика Су-6 проходили очень сложно по причине плохой работы, установленного на самолете экземпляра мотора АМ-42.</w:t>
      </w:r>
    </w:p>
    <w:p w14:paraId="1B6EAA8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сложившейся обстановке ВВС сделали попытку вернуться к первоначальной цельнометаллической конструкции Ил-2. Это позволяло улучшить боевые и эксплуатационные качества самолета и несколько разрядить напряженность в вопросе постановки на вооружение штурмовика, отвечающего современным требованиям (12020).</w:t>
      </w:r>
    </w:p>
    <w:p w14:paraId="7F8FC27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5134B381" w14:textId="77777777" w:rsidR="002F4D0E" w:rsidRPr="007224C3" w:rsidRDefault="002F4D0E"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26 февраля 1944 года опытный двухместный самолет Ил с мотором АМ-42 и винтом АВ-5Л-18Б конструкции С.В. Ильюшина (экземпляр № 1, производства завода № 240) прибыл на госиспытания в НИИ ВВС. Они начались 29 февраля. Мартовская погода растянула испытания «тяжелого» «Ила» до конца месяца, тем временем завод № 18 закончил свою часть работы по «легкому» штурмовику. 10 марта 1944 года двухместный вариант Ил-1 в сопровождении заводской бригады отправили в Москву на авиазавод № 240 для дальнейшей доводки и проведения испытаний. Это уже был не истребитель Ил-1, но и ставший впоследствии привычным облик Ил10, как в экстерьере, так и конструктивно новый самолет еще до конца не обрел. На тот момент машина представляла собой уникальный двухместныйИл-1, взлететь которому так и не пришлось. Главным отличием этого самолета была задняя стрелковая установка, которая вписалась в фюзеляж почти без изменения его обводов. По бокам и снизу ее прикрыли листами брони в 5 и 6 мм толщиной. Задний бронепакет пилотской кабины «разрезали» с небольшим припуском, и нижнюю часть поместили позади стрелка, причем, выше фюзеляжа никакой защиты не предусматривалось. Общий «привес» брони составил 167 кг. Задняя стрелковая установка была прикрыта полусферическим колпаком по типу установок МВ-3 или УТК. К сожалению, найти детальную информацию по ней пока не удалось. Для обеспечения плавного перехода от створки фонаря пилота к колпаку турели высотуфонаря увеличили примерно на 9 сантиметров, при этом левая боковая панель створки пилота стала откидываться налево, а остальная часть – направо. По бокам турель все же выступала за обводы фонаря. В комплект вооружения вошли два ШКАСа в крыле с общим боекомплектом 1500 патронов, а также бомбардировочная оснастка в виде двух бомбоотсеков в центроплане и двух точек наружной подвески. Ракетное оружие не устанавливалось. Вес пустого самолета составлял 4673 кг – по сравнению с одноместным вариантом второй Ил-1 потяжелел на 388 кг. Появление стрелка на самолете сдвинуло центр тяжести всего на 18 сантиметров, однако для сохранения приемлемого диапазона центровок среднюю аэродинамическую хорду крыла пришлось подвинуть назад примерно на такую же величину. Это было сделано отработанным на Ил-2 приемом – консолям крыла придали небольшую стреловидность. По передней кромке она составила 12 градусов 7 минут. Немного изменили наклон осей основных стоек шасси, чтобы противокапотажный угол оставался в разумных пределах. В Москве на заводе № 240 самолет подвергли целому ряду доработок. По предложению НИИ ВВС оптимизировали расположение и толщину бронепанелей. В частности установили дюралевые листы в верхней наименее поражаемой части капота мотора. На основе полученного в ходе доводки тяжелого Ила с АМ-42 доработали систему охлаждения. К водо- и маслорадиатору воздух теперь поступал по профилированным тоннелям. Аэродинамическое сопротивление турели посчитали чрезмерным и заменили ее установкой ВУ-7 с опытной пушкой Ш-20 калибра 20 мм. Эта установка была конструктивно подобна турели ВУ-8 с пулеметом УБК, успешно испытанной на «тяжелом» Ил №1 с АМ-42. Мидель фюзеляжа удалось снизить до 1,54 кв. м (у одноместного Ил-1 этот параметр составлял 1,5 кв. м). После доработок взлетный вес самолета вырос с 6100 до 6300 килограмм. Забегая вперед, стоит заметить, что при запуске в серию пушку Шпитального постановлением ГКО заменили пулеметом Березина, и первые серийные Ил-10 строили с установкой ВУ-8. ВУ-9 с пушкой Б-20 начали монтировать позднее. 30 марта 1944 г. в НИИ ВВС с общим налетом 19 часов 30 минут в 44 полетах успешно завершились госиспытания опытного двухместного «тяжелого» «Ил» № 1 с мотором АМ42 и винтом АВ-5Л-18Б конструкции С.В. Ильюшина (экземпляр № 1, производство завода № 240 мая 1943 года). Самолет был рекомендован в серию в двух вариантах, однако моторов, пригодных к установке на этой самой серии, по сути, так и не было. Более того, по предложению наркома авиапромышленности А.И. Шахурина, И.В. Сталин, постановлением ГКО № 5525с от 3 апреля освободил Александра Александровича Микулина от обязанностей Главного конструктора завода № 24 в Куйбышеве. Этот пост занял Михаил Романович Флисский, которому и предстояло спасать АМ-42. Завод № 18 неспешно (по меркам того времени) приступил к освоению производства штурмовика Ил-8 или изделия «М» по внутризаводскому шифру. Однако этим планам не суждено было сбыться. Во второй половине апреля Сергей Владимирович Ильюшин завершил «операцию прикрытия». Двухместный вариант самолета Ил-1 после выполнения комплекса доработок на заводе № 240 получил (сначала полуофициально) новое наименование – Ил-10. События стали развиваться в ускоренном темпе. 18 апреля Владимир Константинович Коккинаки выполнил на новой машине первый вылет, а уже 27 мая с положительной оценкой завершились государственные испытания в НИИ ВВС. За следующие два месяца была проделана огромная работа по организации, планированиюи подготовке производстваИл-10 (21005)</w:t>
      </w:r>
    </w:p>
    <w:p w14:paraId="6DD749B5" w14:textId="77777777" w:rsidR="002F4D0E" w:rsidRPr="007224C3" w:rsidRDefault="002F4D0E" w:rsidP="007224C3">
      <w:pPr>
        <w:spacing w:after="0" w:line="240" w:lineRule="auto"/>
        <w:jc w:val="both"/>
        <w:rPr>
          <w:rFonts w:ascii="Times New Roman" w:hAnsi="Times New Roman"/>
          <w:color w:val="0070C0"/>
          <w:sz w:val="16"/>
          <w:szCs w:val="16"/>
        </w:rPr>
      </w:pPr>
    </w:p>
    <w:p w14:paraId="49246AD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февраля 1944 вместо 1 марта 1944 Ил-8-1 АМ-42 был сдан на гос. испытания досрочно (2217).</w:t>
      </w:r>
    </w:p>
    <w:p w14:paraId="152437B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7B21E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26 февраля по 27 мая 1944 проходили гос. испытания тяжелого ш Ил-8 АМ-42 (3846,20).</w:t>
      </w:r>
    </w:p>
    <w:p w14:paraId="73CF94D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8F0A9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февраля 1944 ГК завода 35 Жданов в телеграмме на завод 240 сообщил, что новые винты для Ил-2 АМ-38Ф он может изготовить к 1 апреля с.г. (2562,49).</w:t>
      </w:r>
    </w:p>
    <w:p w14:paraId="7395820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AAB55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февра</w:t>
      </w:r>
      <w:r w:rsidRPr="007224C3">
        <w:rPr>
          <w:rFonts w:ascii="Times New Roman" w:hAnsi="Times New Roman"/>
          <w:color w:val="000000" w:themeColor="text1"/>
          <w:sz w:val="16"/>
          <w:szCs w:val="16"/>
        </w:rPr>
        <w:softHyphen/>
        <w:t>ля 1944 с про</w:t>
      </w:r>
      <w:r w:rsidRPr="007224C3">
        <w:rPr>
          <w:rFonts w:ascii="Times New Roman" w:hAnsi="Times New Roman"/>
          <w:color w:val="000000" w:themeColor="text1"/>
          <w:sz w:val="16"/>
          <w:szCs w:val="16"/>
        </w:rPr>
        <w:softHyphen/>
        <w:t>веренным винтом АВ-5л-18Б Ил-АМ-42 (экз. № 1) перелетел на аэродром НИИ ВВС, где официально был передан воен</w:t>
      </w:r>
      <w:r w:rsidRPr="007224C3">
        <w:rPr>
          <w:rFonts w:ascii="Times New Roman" w:hAnsi="Times New Roman"/>
          <w:color w:val="000000" w:themeColor="text1"/>
          <w:sz w:val="16"/>
          <w:szCs w:val="16"/>
        </w:rPr>
        <w:softHyphen/>
        <w:t>ным специалистам для производства государственных летных испытаний.</w:t>
      </w:r>
    </w:p>
    <w:p w14:paraId="34FBA04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Ведущим летчиком по Ил-АМ-42 (экз. № 1) был назначен летчик-ис</w:t>
      </w:r>
      <w:r w:rsidRPr="007224C3">
        <w:rPr>
          <w:rFonts w:ascii="Times New Roman" w:hAnsi="Times New Roman"/>
          <w:color w:val="000000" w:themeColor="text1"/>
          <w:sz w:val="16"/>
          <w:szCs w:val="16"/>
        </w:rPr>
        <w:softHyphen/>
        <w:t>пытатель подполковник А. К. Долгов, а ведущим инженером - инженер-майор П. Т. Аброщенко. В состав ис</w:t>
      </w:r>
      <w:r w:rsidRPr="007224C3">
        <w:rPr>
          <w:rFonts w:ascii="Times New Roman" w:hAnsi="Times New Roman"/>
          <w:color w:val="000000" w:themeColor="text1"/>
          <w:sz w:val="16"/>
          <w:szCs w:val="16"/>
        </w:rPr>
        <w:softHyphen/>
        <w:t>пытательной бригады вошли также инженер-капитан И. М. Наливкин (по винтомоторной группе), старший тех</w:t>
      </w:r>
      <w:r w:rsidRPr="007224C3">
        <w:rPr>
          <w:rFonts w:ascii="Times New Roman" w:hAnsi="Times New Roman"/>
          <w:color w:val="000000" w:themeColor="text1"/>
          <w:sz w:val="16"/>
          <w:szCs w:val="16"/>
        </w:rPr>
        <w:softHyphen/>
        <w:t>ник-лейтенант С. Е. Матвеев (по спе</w:t>
      </w:r>
      <w:r w:rsidRPr="007224C3">
        <w:rPr>
          <w:rFonts w:ascii="Times New Roman" w:hAnsi="Times New Roman"/>
          <w:color w:val="000000" w:themeColor="text1"/>
          <w:sz w:val="16"/>
          <w:szCs w:val="16"/>
        </w:rPr>
        <w:softHyphen/>
        <w:t>цоборудованию) и инженер-майор К. И. Романов (по вооружению).</w:t>
      </w:r>
    </w:p>
    <w:p w14:paraId="343F825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На следующий день после полу</w:t>
      </w:r>
      <w:r w:rsidRPr="007224C3">
        <w:rPr>
          <w:rFonts w:ascii="Times New Roman" w:hAnsi="Times New Roman"/>
          <w:color w:val="000000" w:themeColor="text1"/>
          <w:sz w:val="16"/>
          <w:szCs w:val="16"/>
        </w:rPr>
        <w:softHyphen/>
        <w:t>чения самолета испытательная бри</w:t>
      </w:r>
      <w:r w:rsidRPr="007224C3">
        <w:rPr>
          <w:rFonts w:ascii="Times New Roman" w:hAnsi="Times New Roman"/>
          <w:color w:val="000000" w:themeColor="text1"/>
          <w:sz w:val="16"/>
          <w:szCs w:val="16"/>
        </w:rPr>
        <w:softHyphen/>
        <w:t>гада института провела тщательный осмотр самолета и его взвешивание, а 28 февраля А. К. Долгов выполнил на нем ознакомительный полет про</w:t>
      </w:r>
      <w:r w:rsidRPr="007224C3">
        <w:rPr>
          <w:rFonts w:ascii="Times New Roman" w:hAnsi="Times New Roman"/>
          <w:color w:val="000000" w:themeColor="text1"/>
          <w:sz w:val="16"/>
          <w:szCs w:val="16"/>
        </w:rPr>
        <w:softHyphen/>
        <w:t>должительностью 20 минут. В поле</w:t>
      </w:r>
      <w:r w:rsidRPr="007224C3">
        <w:rPr>
          <w:rFonts w:ascii="Times New Roman" w:hAnsi="Times New Roman"/>
          <w:color w:val="000000" w:themeColor="text1"/>
          <w:sz w:val="16"/>
          <w:szCs w:val="16"/>
        </w:rPr>
        <w:softHyphen/>
        <w:t>те потек левый маслобак. Вдобавок, на посадке отказали тормоза левой стойки шасси, но благодаря мастер</w:t>
      </w:r>
      <w:r w:rsidRPr="007224C3">
        <w:rPr>
          <w:rFonts w:ascii="Times New Roman" w:hAnsi="Times New Roman"/>
          <w:color w:val="000000" w:themeColor="text1"/>
          <w:sz w:val="16"/>
          <w:szCs w:val="16"/>
        </w:rPr>
        <w:softHyphen/>
        <w:t>ству летчика обошлось без поломки. Замена маслобака, тормозов и ле</w:t>
      </w:r>
      <w:r w:rsidRPr="007224C3">
        <w:rPr>
          <w:rFonts w:ascii="Times New Roman" w:hAnsi="Times New Roman"/>
          <w:color w:val="000000" w:themeColor="text1"/>
          <w:sz w:val="16"/>
          <w:szCs w:val="16"/>
        </w:rPr>
        <w:softHyphen/>
        <w:t>вого колеса шасси продолжалась до 5.00 следующего дня, поскольку именно 29 февраля официально на</w:t>
      </w:r>
      <w:r w:rsidRPr="007224C3">
        <w:rPr>
          <w:rFonts w:ascii="Times New Roman" w:hAnsi="Times New Roman"/>
          <w:color w:val="000000" w:themeColor="text1"/>
          <w:sz w:val="16"/>
          <w:szCs w:val="16"/>
        </w:rPr>
        <w:softHyphen/>
        <w:t>чинались государственные испытания самолета (11427).</w:t>
      </w:r>
    </w:p>
    <w:p w14:paraId="0377AA8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20D4F67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февраля 1944 закончились контрольные гос. испытания Як-9Д ПФ с винтом ВИШ-61В N 08-85 153 завода, построенного в ноябре 1943 и собранного на заводе 301 в декабре 1943, которые начались 14 января 1944 (712,4).</w:t>
      </w:r>
    </w:p>
    <w:p w14:paraId="2500511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3447C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февраля 1944 2Д МиГ был направлен на гос. испытания в НИИ ВВС (992,13). Перед отправкой ОКБ-155 устранило недостатки И-231 (МиГ-3У с АМ-39А и удлиненными консолями), выявленные за заводских испытания, и поставило новый винт АВ-5Л-126Е, облегченный на 25.3 кг испытания продолжались недолго, т.к. 8 марта 1944 П.М.Стефановский потерпел аварию (5046,34).</w:t>
      </w:r>
    </w:p>
    <w:p w14:paraId="28B2AEB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E6051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февраля 1944 согласно журнала наблюдения за проектированием, постройкой и испытаниями МиГ-3 от 29 февраля 1944 изд. 2Д отправлено в НИИ ВВС на госиспытания (992,12).</w:t>
      </w:r>
    </w:p>
    <w:p w14:paraId="385D1B7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66F295B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февраля 1944 ш-и к В.В.Ковынев и и-к Скворцова подписали Донесение штурмана-испытатели и штурмана облета по результатам дополнительных (после переделок, произведенных ГК завода 51 тов. Поликарповым) испытаний модернизированного самолета У-2ВС с мотором М-11Д и винтом ВФШ Д=2.35м - эталон первого полугодия 1944 (3461).</w:t>
      </w:r>
    </w:p>
    <w:p w14:paraId="03667B4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93241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февраля 1944 ви 3 отд. НИИ ВВС ст.л Тиняков подписал донесение летчика облета по результатам дополнительных (после переделок, произведенных ГК завода 51 тов. Поликарповым) испытаний модернизированного самолета У-2ВС с мотором М-11Д и винтом ВФШ Д=2.35м - эталон первого полугодия 1944 (3461).</w:t>
      </w:r>
    </w:p>
    <w:p w14:paraId="60DB3D2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C6A62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февраля 1944 За Нач. 4 отд. 3 отд. НИИ ВВС и-м Синельников, Пом. Нач. 4 отд. 3 отд. НИИ ВВС по летной части п/п Долгов, ви 4 отд. 3 отд. ст.-т-л Часовников и вл 4 отд. 3 отд. Фролов подписали выводы по результатам дополнительных (после переделок, произведенных ГК завода 51 тов. Поликарповым) испытаний модернизированного самолета У-2ВС с мотором М-11Д и винтом ВФШ Д=2.35м - эталон первого полугодия 1944 (3461).</w:t>
      </w:r>
    </w:p>
    <w:p w14:paraId="40E06EC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07590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февраля 1944 ви 4 отд. 3 отд. НИИ ВВС ст-т-л Часовников подписал Дефекты, выявленные при испытаниях самолета У-2 ВС N 4504 - эталон первого полугодия 1944 (3461).</w:t>
      </w:r>
    </w:p>
    <w:p w14:paraId="1DEF685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82A2C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февраля 1944 г. на основании приказа НКАП № 146с на территорию завода № 41 было переведено в течение месяца ОКБ завода № 154 НКАП из г. Андижана со всеми кадрами и оборудованием для концентрации работ по легким моторам. Модификации мотора М-11: М-11Ф (испытан в 02.1945 г., ведущий конструктор- А.М. Власенко), М-11Я, М-12 (испытан в 05.1945 г., ведущий конструктор- А.М. Власенко). В 04.1946 г. в МАП сделан вывод о неудовлетворительной работе ОКБ. Планировалось его ликвидировать и объединить с заводом № 41 с 1.09.1946 г., а работы по модернизации М-11 прекратить (приказ МАП № 414с от 1.07.1946 г.). Е.В. Урмин освобожден от должности (04.1946 г. или ранее), далее снова работал в ЦИАМ и на преподавательской работе. Однако работы по М-11 были продолжены. Их руководителем и начальником ОКБ назначен И.А. Мужилов (до ВОВ работал на заводе № 16, с 11.1940 г. был начальником СКО завода № 451 НКАП, затем работал на заводе № 41). Работы по М-11ФР. В связи с развертыванием работ по ГТД производство моторов М-11 перевели на завод № 154, туда же планировалось перевести и ОКБ (приказ № 546сс от 15.08.1946 г.). Однако ОКБ осталось на заводе, были проведены испытания и доводка М-11ФРВ, создан опытный М-13, в 1947-48 г. построено 3 экземпляра, проведены заводские и гос. стендовые испытания. В 1948 г. ОКБ ликвидировано (в рамках сокращения опытных работ), работы по М-13 прекращены. Гл. конструктор (1944-46 г.)- Е.В. Урмин (до этого - гл. конструктор ОКБ-29), (1950-е г.)- Н.Е. Наумов. Начальник (1946-48 г.) - И.А. Мужилов. (10776).</w:t>
      </w:r>
    </w:p>
    <w:p w14:paraId="22AA951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0526581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февраля 1944 г. и 8 января 1944 г. и на основании приказов НКАП № 146с и № 16с при заводе № 41 в составе 8ГУ образовано ОКБ с опытной базой для работ по маломощным моторам.</w:t>
      </w:r>
    </w:p>
    <w:p w14:paraId="2B0D4D4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основании приказа № 146с от 26.02.1944 г. на территорию завода № 41 было переведено в течение месяца ОКБ завода № 154 НКАП из  г. Андижана со всеми кадрами и оборудованием для концентрации работ по легким моторам.</w:t>
      </w:r>
    </w:p>
    <w:p w14:paraId="385B8DF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Модификации мотора М-11: М-11Ф (испытан в 02.1945 г., ведущий конструктор- A.M. Власенко), М-11Я, М- 12 (испытан в 05.1945 г., ведущий конструктор- A.M. Власенко).</w:t>
      </w:r>
    </w:p>
    <w:p w14:paraId="2B62146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04.1946 г. в МАП сделан вывод о неудовлетворительной работе ОКБ. Планировалось его ликвидировать и объединить с заводом № 41 с 1.09.1946 г., а работы по модернизации М-11 прекратить (приказ МАП № 414с от 1.07.1946 г.). Е.В. Урмин освобожден от должности (04.1946 г. или ранее), далее снова работал в ЦИАМ и на преподавательской работе. Однако работы по М-11 были продолжены. Их руководителем и начальником ОКБ назначен И.А. Мужилов (до ВОВ работал на заводе № 16, с 11.1940 г. был начальником СКО завода № 451 НКАП. затем работал на заводе № 41). Работы по М-11ФР. В связи с развертыванием работ по ГТД производство моторов М-11 перевели на завод № 154, туда же планировалось перевести и ОКБ (приказ № 546сс от 15.08.1946 г.). Однако ОКБ осталось на заводе, были проведены испытания и доводка М-11ФРВ, создан опытный М-13, в 1947-48 г. построено 3 экземпляра, проведены заводские и гос. стендовые испытания.</w:t>
      </w:r>
    </w:p>
    <w:p w14:paraId="6CB5547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1948 г. ОКБ ликвидировано (в рамках сокращения опытных работ), работы по М-13 прекращены.</w:t>
      </w:r>
    </w:p>
    <w:p w14:paraId="037610A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конструктор (1944-46 г.)- Е.В. Урмин.</w:t>
      </w:r>
    </w:p>
    <w:p w14:paraId="636AA69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(1946-48 г.)- И.А. Мужилов (11982).</w:t>
      </w:r>
    </w:p>
    <w:p w14:paraId="0D85143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45647DE2" w14:textId="77777777" w:rsidR="00673CAB" w:rsidRPr="007224C3" w:rsidRDefault="00673CA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26 февраля 1944 г. Акт по госиспытаниям винтов </w:t>
      </w:r>
      <w:r w:rsidRPr="007224C3">
        <w:rPr>
          <w:rFonts w:ascii="Times New Roman" w:hAnsi="Times New Roman"/>
          <w:bCs/>
          <w:color w:val="000000" w:themeColor="text1"/>
          <w:sz w:val="16"/>
          <w:szCs w:val="16"/>
        </w:rPr>
        <w:t>АВ-5-167А</w:t>
      </w:r>
    </w:p>
    <w:tbl>
      <w:tblPr>
        <w:tblW w:w="4800" w:type="pct"/>
        <w:jc w:val="center"/>
        <w:tblCellSpacing w:w="7" w:type="dxa"/>
        <w:tblCellMar>
          <w:top w:w="30" w:type="dxa"/>
          <w:left w:w="30" w:type="dxa"/>
          <w:bottom w:w="30" w:type="dxa"/>
          <w:right w:w="30" w:type="dxa"/>
        </w:tblCellMar>
        <w:tblLook w:val="04A0" w:firstRow="1" w:lastRow="0" w:firstColumn="1" w:lastColumn="0" w:noHBand="0" w:noVBand="1"/>
      </w:tblPr>
      <w:tblGrid>
        <w:gridCol w:w="2154"/>
        <w:gridCol w:w="1059"/>
        <w:gridCol w:w="1373"/>
        <w:gridCol w:w="6289"/>
      </w:tblGrid>
      <w:tr w:rsidR="005106D0" w:rsidRPr="007224C3" w14:paraId="582C7E9C" w14:textId="77777777" w:rsidTr="00137373">
        <w:trPr>
          <w:tblCellSpacing w:w="7" w:type="dxa"/>
          <w:jc w:val="center"/>
        </w:trPr>
        <w:tc>
          <w:tcPr>
            <w:tcW w:w="0" w:type="auto"/>
            <w:gridSpan w:val="4"/>
            <w:tcBorders>
              <w:top w:val="single" w:sz="4" w:space="0" w:color="auto"/>
              <w:left w:val="single" w:sz="4" w:space="0" w:color="auto"/>
              <w:bottom w:val="single" w:sz="4" w:space="0" w:color="auto"/>
              <w:right w:val="single" w:sz="4" w:space="0" w:color="auto"/>
            </w:tcBorders>
            <w:vAlign w:val="center"/>
            <w:hideMark/>
          </w:tcPr>
          <w:p w14:paraId="3B3E1806" w14:textId="77777777" w:rsidR="00673CAB" w:rsidRPr="007224C3" w:rsidRDefault="00673CAB"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Винт АВ-5-167А.    Производство завода № 35.    Конструктор Жданов.</w:t>
            </w:r>
          </w:p>
        </w:tc>
      </w:tr>
      <w:tr w:rsidR="005106D0" w:rsidRPr="007224C3" w14:paraId="0F69DE54" w14:textId="77777777" w:rsidTr="00137373">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3E021E1C" w14:textId="77777777" w:rsidR="00673CAB" w:rsidRPr="007224C3" w:rsidRDefault="00673CA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Тип винта</w:t>
            </w:r>
          </w:p>
        </w:tc>
        <w:tc>
          <w:tcPr>
            <w:tcW w:w="0" w:type="auto"/>
            <w:tcBorders>
              <w:top w:val="single" w:sz="4" w:space="0" w:color="auto"/>
              <w:left w:val="single" w:sz="4" w:space="0" w:color="auto"/>
              <w:bottom w:val="single" w:sz="4" w:space="0" w:color="auto"/>
              <w:right w:val="single" w:sz="4" w:space="0" w:color="auto"/>
            </w:tcBorders>
            <w:vAlign w:val="center"/>
            <w:hideMark/>
          </w:tcPr>
          <w:p w14:paraId="7249E02D" w14:textId="77777777" w:rsidR="00673CAB" w:rsidRPr="007224C3" w:rsidRDefault="00673CA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гидравлическ.</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172A0D8B" w14:textId="77777777" w:rsidR="00673CAB" w:rsidRPr="007224C3" w:rsidRDefault="00673CA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Предназначен для</w:t>
            </w:r>
          </w:p>
          <w:p w14:paraId="43565640" w14:textId="77777777" w:rsidR="00673CAB" w:rsidRPr="007224C3" w:rsidRDefault="00673CA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установки на самолетах</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6237BD66" w14:textId="77777777" w:rsidR="00673CAB" w:rsidRPr="007224C3" w:rsidRDefault="00673CA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Ту-2 с АШ-82Ф</w:t>
            </w:r>
          </w:p>
        </w:tc>
      </w:tr>
      <w:tr w:rsidR="005106D0" w:rsidRPr="007224C3" w14:paraId="0F3A98E3" w14:textId="77777777" w:rsidTr="00137373">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B83020C" w14:textId="77777777" w:rsidR="00673CAB" w:rsidRPr="007224C3" w:rsidRDefault="00673CA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Схема действия</w:t>
            </w:r>
          </w:p>
        </w:tc>
        <w:tc>
          <w:tcPr>
            <w:tcW w:w="0" w:type="auto"/>
            <w:tcBorders>
              <w:top w:val="single" w:sz="4" w:space="0" w:color="auto"/>
              <w:left w:val="single" w:sz="4" w:space="0" w:color="auto"/>
              <w:bottom w:val="single" w:sz="4" w:space="0" w:color="auto"/>
              <w:right w:val="single" w:sz="4" w:space="0" w:color="auto"/>
            </w:tcBorders>
            <w:vAlign w:val="center"/>
            <w:hideMark/>
          </w:tcPr>
          <w:p w14:paraId="1BF275C8" w14:textId="77777777" w:rsidR="00673CAB" w:rsidRPr="007224C3" w:rsidRDefault="00673CA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прямая</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F9D3107" w14:textId="77777777" w:rsidR="00673CAB" w:rsidRPr="007224C3" w:rsidRDefault="00673CAB" w:rsidP="007224C3">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C6EBC4D" w14:textId="77777777" w:rsidR="00673CAB" w:rsidRPr="007224C3" w:rsidRDefault="00673CAB" w:rsidP="007224C3">
            <w:pPr>
              <w:spacing w:after="0" w:line="240" w:lineRule="auto"/>
              <w:jc w:val="both"/>
              <w:rPr>
                <w:rFonts w:ascii="Times New Roman" w:hAnsi="Times New Roman"/>
                <w:color w:val="000000" w:themeColor="text1"/>
                <w:sz w:val="16"/>
                <w:szCs w:val="16"/>
              </w:rPr>
            </w:pPr>
          </w:p>
        </w:tc>
      </w:tr>
      <w:tr w:rsidR="005106D0" w:rsidRPr="007224C3" w14:paraId="21B9189A" w14:textId="77777777" w:rsidTr="00137373">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607F7CF" w14:textId="77777777" w:rsidR="00673CAB" w:rsidRPr="007224C3" w:rsidRDefault="00673CA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Число лопастей</w:t>
            </w:r>
          </w:p>
        </w:tc>
        <w:tc>
          <w:tcPr>
            <w:tcW w:w="0" w:type="auto"/>
            <w:tcBorders>
              <w:top w:val="single" w:sz="4" w:space="0" w:color="auto"/>
              <w:left w:val="single" w:sz="4" w:space="0" w:color="auto"/>
              <w:bottom w:val="single" w:sz="4" w:space="0" w:color="auto"/>
              <w:right w:val="single" w:sz="4" w:space="0" w:color="auto"/>
            </w:tcBorders>
            <w:vAlign w:val="center"/>
            <w:hideMark/>
          </w:tcPr>
          <w:p w14:paraId="0ABA94A6" w14:textId="77777777" w:rsidR="00673CAB" w:rsidRPr="007224C3" w:rsidRDefault="00673CA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tc>
        <w:tc>
          <w:tcPr>
            <w:tcW w:w="0" w:type="auto"/>
            <w:gridSpan w:val="2"/>
            <w:vMerge w:val="restart"/>
            <w:tcBorders>
              <w:top w:val="single" w:sz="4" w:space="0" w:color="auto"/>
              <w:left w:val="single" w:sz="4" w:space="0" w:color="auto"/>
              <w:bottom w:val="single" w:sz="4" w:space="0" w:color="auto"/>
              <w:right w:val="single" w:sz="4" w:space="0" w:color="auto"/>
            </w:tcBorders>
            <w:vAlign w:val="center"/>
            <w:hideMark/>
          </w:tcPr>
          <w:p w14:paraId="32E54C9E" w14:textId="77777777" w:rsidR="00673CAB" w:rsidRPr="007224C3" w:rsidRDefault="00673CAB" w:rsidP="007224C3">
            <w:pPr>
              <w:spacing w:after="0" w:line="240" w:lineRule="auto"/>
              <w:jc w:val="both"/>
              <w:rPr>
                <w:rFonts w:ascii="Times New Roman" w:hAnsi="Times New Roman"/>
                <w:color w:val="000000" w:themeColor="text1"/>
                <w:sz w:val="16"/>
                <w:szCs w:val="16"/>
              </w:rPr>
            </w:pPr>
          </w:p>
        </w:tc>
      </w:tr>
      <w:tr w:rsidR="005106D0" w:rsidRPr="007224C3" w14:paraId="3690281A" w14:textId="77777777" w:rsidTr="00137373">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4F17F32" w14:textId="77777777" w:rsidR="00673CAB" w:rsidRPr="007224C3" w:rsidRDefault="00673CA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Материал лопастей</w:t>
            </w:r>
          </w:p>
        </w:tc>
        <w:tc>
          <w:tcPr>
            <w:tcW w:w="0" w:type="auto"/>
            <w:tcBorders>
              <w:top w:val="single" w:sz="4" w:space="0" w:color="auto"/>
              <w:left w:val="single" w:sz="4" w:space="0" w:color="auto"/>
              <w:bottom w:val="single" w:sz="4" w:space="0" w:color="auto"/>
              <w:right w:val="single" w:sz="4" w:space="0" w:color="auto"/>
            </w:tcBorders>
            <w:vAlign w:val="center"/>
            <w:hideMark/>
          </w:tcPr>
          <w:p w14:paraId="4FA9844B" w14:textId="77777777" w:rsidR="00673CAB" w:rsidRPr="007224C3" w:rsidRDefault="00673CA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дюраль АК-1</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35451700" w14:textId="77777777" w:rsidR="00673CAB" w:rsidRPr="007224C3" w:rsidRDefault="00673CAB" w:rsidP="007224C3">
            <w:pPr>
              <w:spacing w:after="0" w:line="240" w:lineRule="auto"/>
              <w:jc w:val="both"/>
              <w:rPr>
                <w:rFonts w:ascii="Times New Roman" w:hAnsi="Times New Roman"/>
                <w:color w:val="000000" w:themeColor="text1"/>
                <w:sz w:val="16"/>
                <w:szCs w:val="16"/>
              </w:rPr>
            </w:pPr>
          </w:p>
        </w:tc>
      </w:tr>
      <w:tr w:rsidR="005106D0" w:rsidRPr="007224C3" w14:paraId="78E2EE7E" w14:textId="77777777" w:rsidTr="00137373">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35F43C3" w14:textId="77777777" w:rsidR="00673CAB" w:rsidRPr="007224C3" w:rsidRDefault="00673CA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Диаметр винта (м)</w:t>
            </w:r>
          </w:p>
        </w:tc>
        <w:tc>
          <w:tcPr>
            <w:tcW w:w="0" w:type="auto"/>
            <w:tcBorders>
              <w:top w:val="single" w:sz="4" w:space="0" w:color="auto"/>
              <w:left w:val="single" w:sz="4" w:space="0" w:color="auto"/>
              <w:bottom w:val="single" w:sz="4" w:space="0" w:color="auto"/>
              <w:right w:val="single" w:sz="4" w:space="0" w:color="auto"/>
            </w:tcBorders>
            <w:vAlign w:val="center"/>
            <w:hideMark/>
          </w:tcPr>
          <w:p w14:paraId="08B77346" w14:textId="77777777" w:rsidR="00673CAB" w:rsidRPr="007224C3" w:rsidRDefault="00673CA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3,8</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00CDF955" w14:textId="77777777" w:rsidR="00673CAB" w:rsidRPr="007224C3" w:rsidRDefault="00673CAB" w:rsidP="007224C3">
            <w:pPr>
              <w:spacing w:after="0" w:line="240" w:lineRule="auto"/>
              <w:jc w:val="both"/>
              <w:rPr>
                <w:rFonts w:ascii="Times New Roman" w:hAnsi="Times New Roman"/>
                <w:color w:val="000000" w:themeColor="text1"/>
                <w:sz w:val="16"/>
                <w:szCs w:val="16"/>
              </w:rPr>
            </w:pPr>
          </w:p>
        </w:tc>
      </w:tr>
      <w:tr w:rsidR="005106D0" w:rsidRPr="007224C3" w14:paraId="7BBB812B" w14:textId="77777777" w:rsidTr="00137373">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34E455F4" w14:textId="77777777" w:rsidR="00673CAB" w:rsidRPr="007224C3" w:rsidRDefault="00673CA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 ширина лопасти (мм)</w:t>
            </w:r>
          </w:p>
        </w:tc>
        <w:tc>
          <w:tcPr>
            <w:tcW w:w="0" w:type="auto"/>
            <w:tcBorders>
              <w:top w:val="single" w:sz="4" w:space="0" w:color="auto"/>
              <w:left w:val="single" w:sz="4" w:space="0" w:color="auto"/>
              <w:bottom w:val="single" w:sz="4" w:space="0" w:color="auto"/>
              <w:right w:val="single" w:sz="4" w:space="0" w:color="auto"/>
            </w:tcBorders>
            <w:vAlign w:val="center"/>
            <w:hideMark/>
          </w:tcPr>
          <w:p w14:paraId="36C25286" w14:textId="77777777" w:rsidR="00673CAB" w:rsidRPr="007224C3" w:rsidRDefault="00673CA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292,5</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57E4B333" w14:textId="77777777" w:rsidR="00673CAB" w:rsidRPr="007224C3" w:rsidRDefault="00673CAB" w:rsidP="007224C3">
            <w:pPr>
              <w:spacing w:after="0" w:line="240" w:lineRule="auto"/>
              <w:jc w:val="both"/>
              <w:rPr>
                <w:rFonts w:ascii="Times New Roman" w:hAnsi="Times New Roman"/>
                <w:color w:val="000000" w:themeColor="text1"/>
                <w:sz w:val="16"/>
                <w:szCs w:val="16"/>
              </w:rPr>
            </w:pPr>
          </w:p>
        </w:tc>
      </w:tr>
      <w:tr w:rsidR="005106D0" w:rsidRPr="007224C3" w14:paraId="2B32B98F" w14:textId="77777777" w:rsidTr="00137373">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3574010" w14:textId="77777777" w:rsidR="00673CAB" w:rsidRPr="007224C3" w:rsidRDefault="00673CA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Относительная толщина лопасти на 0,9 r (%)</w:t>
            </w:r>
          </w:p>
        </w:tc>
        <w:tc>
          <w:tcPr>
            <w:tcW w:w="0" w:type="auto"/>
            <w:tcBorders>
              <w:top w:val="single" w:sz="4" w:space="0" w:color="auto"/>
              <w:left w:val="single" w:sz="4" w:space="0" w:color="auto"/>
              <w:bottom w:val="single" w:sz="4" w:space="0" w:color="auto"/>
              <w:right w:val="single" w:sz="4" w:space="0" w:color="auto"/>
            </w:tcBorders>
            <w:vAlign w:val="center"/>
            <w:hideMark/>
          </w:tcPr>
          <w:p w14:paraId="25417FF4" w14:textId="77777777" w:rsidR="00673CAB" w:rsidRPr="007224C3" w:rsidRDefault="00673CA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5CD67AD2" w14:textId="77777777" w:rsidR="00673CAB" w:rsidRPr="007224C3" w:rsidRDefault="00673CAB" w:rsidP="007224C3">
            <w:pPr>
              <w:spacing w:after="0" w:line="240" w:lineRule="auto"/>
              <w:jc w:val="both"/>
              <w:rPr>
                <w:rFonts w:ascii="Times New Roman" w:hAnsi="Times New Roman"/>
                <w:color w:val="000000" w:themeColor="text1"/>
                <w:sz w:val="16"/>
                <w:szCs w:val="16"/>
              </w:rPr>
            </w:pPr>
          </w:p>
        </w:tc>
      </w:tr>
      <w:tr w:rsidR="005106D0" w:rsidRPr="007224C3" w14:paraId="59063052" w14:textId="77777777" w:rsidTr="00137373">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40572AC" w14:textId="77777777" w:rsidR="00673CAB" w:rsidRPr="007224C3" w:rsidRDefault="00673CA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Профиль сечения лопасти</w:t>
            </w:r>
          </w:p>
        </w:tc>
        <w:tc>
          <w:tcPr>
            <w:tcW w:w="0" w:type="auto"/>
            <w:tcBorders>
              <w:top w:val="single" w:sz="4" w:space="0" w:color="auto"/>
              <w:left w:val="single" w:sz="4" w:space="0" w:color="auto"/>
              <w:bottom w:val="single" w:sz="4" w:space="0" w:color="auto"/>
              <w:right w:val="single" w:sz="4" w:space="0" w:color="auto"/>
            </w:tcBorders>
            <w:vAlign w:val="center"/>
            <w:hideMark/>
          </w:tcPr>
          <w:p w14:paraId="700D1483" w14:textId="77777777" w:rsidR="00673CAB" w:rsidRPr="007224C3" w:rsidRDefault="00673CA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0D8D23C" w14:textId="77777777" w:rsidR="00673CAB" w:rsidRPr="007224C3" w:rsidRDefault="00673CAB" w:rsidP="007224C3">
            <w:pPr>
              <w:spacing w:after="0" w:line="240" w:lineRule="auto"/>
              <w:jc w:val="both"/>
              <w:rPr>
                <w:rFonts w:ascii="Times New Roman" w:hAnsi="Times New Roman"/>
                <w:color w:val="000000" w:themeColor="text1"/>
                <w:sz w:val="16"/>
                <w:szCs w:val="16"/>
              </w:rPr>
            </w:pPr>
          </w:p>
        </w:tc>
      </w:tr>
      <w:tr w:rsidR="005106D0" w:rsidRPr="007224C3" w14:paraId="26E33E19" w14:textId="77777777" w:rsidTr="00137373">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D78A28A" w14:textId="77777777" w:rsidR="00673CAB" w:rsidRPr="007224C3" w:rsidRDefault="00673CA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Диапазон поворота лопастей (град.)</w:t>
            </w:r>
          </w:p>
        </w:tc>
        <w:tc>
          <w:tcPr>
            <w:tcW w:w="0" w:type="auto"/>
            <w:tcBorders>
              <w:top w:val="single" w:sz="4" w:space="0" w:color="auto"/>
              <w:left w:val="single" w:sz="4" w:space="0" w:color="auto"/>
              <w:bottom w:val="single" w:sz="4" w:space="0" w:color="auto"/>
              <w:right w:val="single" w:sz="4" w:space="0" w:color="auto"/>
            </w:tcBorders>
            <w:vAlign w:val="center"/>
            <w:hideMark/>
          </w:tcPr>
          <w:p w14:paraId="78005F6C" w14:textId="77777777" w:rsidR="00673CAB" w:rsidRPr="007224C3" w:rsidRDefault="00673CA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159A387" w14:textId="77777777" w:rsidR="00673CAB" w:rsidRPr="007224C3" w:rsidRDefault="00673CAB" w:rsidP="007224C3">
            <w:pPr>
              <w:spacing w:after="0" w:line="240" w:lineRule="auto"/>
              <w:jc w:val="both"/>
              <w:rPr>
                <w:rFonts w:ascii="Times New Roman" w:hAnsi="Times New Roman"/>
                <w:color w:val="000000" w:themeColor="text1"/>
                <w:sz w:val="16"/>
                <w:szCs w:val="16"/>
              </w:rPr>
            </w:pPr>
          </w:p>
        </w:tc>
      </w:tr>
      <w:tr w:rsidR="005106D0" w:rsidRPr="007224C3" w14:paraId="23E86049" w14:textId="77777777" w:rsidTr="00137373">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76D20691" w14:textId="77777777" w:rsidR="00673CAB" w:rsidRPr="007224C3" w:rsidRDefault="00673CA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Минимальный установочный угол</w:t>
            </w:r>
          </w:p>
          <w:p w14:paraId="7252DF6F" w14:textId="77777777" w:rsidR="00673CAB" w:rsidRPr="007224C3" w:rsidRDefault="00673CA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лопастей (град.)</w:t>
            </w:r>
          </w:p>
        </w:tc>
        <w:tc>
          <w:tcPr>
            <w:tcW w:w="0" w:type="auto"/>
            <w:tcBorders>
              <w:top w:val="single" w:sz="4" w:space="0" w:color="auto"/>
              <w:left w:val="single" w:sz="4" w:space="0" w:color="auto"/>
              <w:bottom w:val="single" w:sz="4" w:space="0" w:color="auto"/>
              <w:right w:val="single" w:sz="4" w:space="0" w:color="auto"/>
            </w:tcBorders>
            <w:vAlign w:val="center"/>
            <w:hideMark/>
          </w:tcPr>
          <w:p w14:paraId="7052A1C7" w14:textId="77777777" w:rsidR="00673CAB" w:rsidRPr="007224C3" w:rsidRDefault="00673CA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2D154442" w14:textId="77777777" w:rsidR="00673CAB" w:rsidRPr="007224C3" w:rsidRDefault="00673CAB" w:rsidP="007224C3">
            <w:pPr>
              <w:spacing w:after="0" w:line="240" w:lineRule="auto"/>
              <w:jc w:val="both"/>
              <w:rPr>
                <w:rFonts w:ascii="Times New Roman" w:hAnsi="Times New Roman"/>
                <w:color w:val="000000" w:themeColor="text1"/>
                <w:sz w:val="16"/>
                <w:szCs w:val="16"/>
              </w:rPr>
            </w:pPr>
          </w:p>
        </w:tc>
      </w:tr>
      <w:tr w:rsidR="005106D0" w:rsidRPr="007224C3" w14:paraId="227F74FC" w14:textId="77777777" w:rsidTr="00137373">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24C28EDD" w14:textId="77777777" w:rsidR="00673CAB" w:rsidRPr="007224C3" w:rsidRDefault="00673CA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 лопасти (кг)</w:t>
            </w:r>
          </w:p>
        </w:tc>
        <w:tc>
          <w:tcPr>
            <w:tcW w:w="0" w:type="auto"/>
            <w:tcBorders>
              <w:top w:val="single" w:sz="4" w:space="0" w:color="auto"/>
              <w:left w:val="single" w:sz="4" w:space="0" w:color="auto"/>
              <w:bottom w:val="single" w:sz="4" w:space="0" w:color="auto"/>
              <w:right w:val="single" w:sz="4" w:space="0" w:color="auto"/>
            </w:tcBorders>
            <w:vAlign w:val="center"/>
            <w:hideMark/>
          </w:tcPr>
          <w:p w14:paraId="56EF6C8E" w14:textId="77777777" w:rsidR="00673CAB" w:rsidRPr="007224C3" w:rsidRDefault="00673CA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31,3</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3A246D3C" w14:textId="77777777" w:rsidR="00673CAB" w:rsidRPr="007224C3" w:rsidRDefault="00673CAB" w:rsidP="007224C3">
            <w:pPr>
              <w:spacing w:after="0" w:line="240" w:lineRule="auto"/>
              <w:jc w:val="both"/>
              <w:rPr>
                <w:rFonts w:ascii="Times New Roman" w:hAnsi="Times New Roman"/>
                <w:color w:val="000000" w:themeColor="text1"/>
                <w:sz w:val="16"/>
                <w:szCs w:val="16"/>
              </w:rPr>
            </w:pPr>
          </w:p>
        </w:tc>
      </w:tr>
      <w:tr w:rsidR="005106D0" w:rsidRPr="007224C3" w14:paraId="3F01A42D" w14:textId="77777777" w:rsidTr="00137373">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0EB7A764" w14:textId="77777777" w:rsidR="00673CAB" w:rsidRPr="007224C3" w:rsidRDefault="00673CA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 винта (кг)</w:t>
            </w:r>
          </w:p>
        </w:tc>
        <w:tc>
          <w:tcPr>
            <w:tcW w:w="0" w:type="auto"/>
            <w:tcBorders>
              <w:top w:val="single" w:sz="4" w:space="0" w:color="auto"/>
              <w:left w:val="single" w:sz="4" w:space="0" w:color="auto"/>
              <w:bottom w:val="single" w:sz="4" w:space="0" w:color="auto"/>
              <w:right w:val="single" w:sz="4" w:space="0" w:color="auto"/>
            </w:tcBorders>
            <w:vAlign w:val="center"/>
            <w:hideMark/>
          </w:tcPr>
          <w:p w14:paraId="369D5183" w14:textId="77777777" w:rsidR="00673CAB" w:rsidRPr="007224C3" w:rsidRDefault="00673CA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197,5</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C4CF28B" w14:textId="77777777" w:rsidR="00673CAB" w:rsidRPr="007224C3" w:rsidRDefault="00673CAB" w:rsidP="007224C3">
            <w:pPr>
              <w:spacing w:after="0" w:line="240" w:lineRule="auto"/>
              <w:jc w:val="both"/>
              <w:rPr>
                <w:rFonts w:ascii="Times New Roman" w:hAnsi="Times New Roman"/>
                <w:color w:val="000000" w:themeColor="text1"/>
                <w:sz w:val="16"/>
                <w:szCs w:val="16"/>
              </w:rPr>
            </w:pPr>
          </w:p>
        </w:tc>
      </w:tr>
      <w:tr w:rsidR="005106D0" w:rsidRPr="007224C3" w14:paraId="11F13337" w14:textId="77777777" w:rsidTr="00137373">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3D04187B" w14:textId="77777777" w:rsidR="00673CAB" w:rsidRPr="007224C3" w:rsidRDefault="00673CA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Номинальное число оборотов мотора (об/мин)</w:t>
            </w:r>
          </w:p>
        </w:tc>
        <w:tc>
          <w:tcPr>
            <w:tcW w:w="0" w:type="auto"/>
            <w:tcBorders>
              <w:top w:val="single" w:sz="4" w:space="0" w:color="auto"/>
              <w:left w:val="single" w:sz="4" w:space="0" w:color="auto"/>
              <w:bottom w:val="single" w:sz="4" w:space="0" w:color="auto"/>
              <w:right w:val="single" w:sz="4" w:space="0" w:color="auto"/>
            </w:tcBorders>
            <w:vAlign w:val="center"/>
            <w:hideMark/>
          </w:tcPr>
          <w:p w14:paraId="612C011F" w14:textId="77777777" w:rsidR="00673CAB" w:rsidRPr="007224C3" w:rsidRDefault="00673CA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2400</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7033E550" w14:textId="77777777" w:rsidR="00673CAB" w:rsidRPr="007224C3" w:rsidRDefault="00673CAB" w:rsidP="007224C3">
            <w:pPr>
              <w:spacing w:after="0" w:line="240" w:lineRule="auto"/>
              <w:jc w:val="both"/>
              <w:rPr>
                <w:rFonts w:ascii="Times New Roman" w:hAnsi="Times New Roman"/>
                <w:color w:val="000000" w:themeColor="text1"/>
                <w:sz w:val="16"/>
                <w:szCs w:val="16"/>
              </w:rPr>
            </w:pPr>
          </w:p>
        </w:tc>
      </w:tr>
      <w:tr w:rsidR="005106D0" w:rsidRPr="007224C3" w14:paraId="531C46C5" w14:textId="77777777" w:rsidTr="00137373">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D466FE9" w14:textId="77777777" w:rsidR="00673CAB" w:rsidRPr="007224C3" w:rsidRDefault="00673CA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Редукция мотора</w:t>
            </w:r>
          </w:p>
        </w:tc>
        <w:tc>
          <w:tcPr>
            <w:tcW w:w="0" w:type="auto"/>
            <w:tcBorders>
              <w:top w:val="single" w:sz="4" w:space="0" w:color="auto"/>
              <w:left w:val="single" w:sz="4" w:space="0" w:color="auto"/>
              <w:bottom w:val="single" w:sz="4" w:space="0" w:color="auto"/>
              <w:right w:val="single" w:sz="4" w:space="0" w:color="auto"/>
            </w:tcBorders>
            <w:vAlign w:val="center"/>
            <w:hideMark/>
          </w:tcPr>
          <w:p w14:paraId="424040EB" w14:textId="77777777" w:rsidR="00673CAB" w:rsidRPr="007224C3" w:rsidRDefault="00673CA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9/16</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36075A34" w14:textId="77777777" w:rsidR="00673CAB" w:rsidRPr="007224C3" w:rsidRDefault="00673CAB" w:rsidP="007224C3">
            <w:pPr>
              <w:spacing w:after="0" w:line="240" w:lineRule="auto"/>
              <w:jc w:val="both"/>
              <w:rPr>
                <w:rFonts w:ascii="Times New Roman" w:hAnsi="Times New Roman"/>
                <w:color w:val="000000" w:themeColor="text1"/>
                <w:sz w:val="16"/>
                <w:szCs w:val="16"/>
              </w:rPr>
            </w:pPr>
          </w:p>
        </w:tc>
      </w:tr>
      <w:tr w:rsidR="005106D0" w:rsidRPr="007224C3" w14:paraId="7AF28F9B" w14:textId="77777777" w:rsidTr="00137373">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7ED3D126" w14:textId="77777777" w:rsidR="00673CAB" w:rsidRPr="007224C3" w:rsidRDefault="00673CA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Направление вращения винта</w:t>
            </w:r>
          </w:p>
        </w:tc>
        <w:tc>
          <w:tcPr>
            <w:tcW w:w="0" w:type="auto"/>
            <w:tcBorders>
              <w:top w:val="single" w:sz="4" w:space="0" w:color="auto"/>
              <w:left w:val="single" w:sz="4" w:space="0" w:color="auto"/>
              <w:bottom w:val="single" w:sz="4" w:space="0" w:color="auto"/>
              <w:right w:val="single" w:sz="4" w:space="0" w:color="auto"/>
            </w:tcBorders>
            <w:vAlign w:val="center"/>
            <w:hideMark/>
          </w:tcPr>
          <w:p w14:paraId="1F0B99FD" w14:textId="77777777" w:rsidR="00673CAB" w:rsidRPr="007224C3" w:rsidRDefault="00673CA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правое</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1B1F4A11" w14:textId="77777777" w:rsidR="00673CAB" w:rsidRPr="007224C3" w:rsidRDefault="00673CA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Состояние</w:t>
            </w:r>
          </w:p>
          <w:p w14:paraId="1A6928C6" w14:textId="77777777" w:rsidR="00673CAB" w:rsidRPr="007224C3" w:rsidRDefault="00673CA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винта</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4F4DE90E" w14:textId="77777777" w:rsidR="00673CAB" w:rsidRPr="007224C3" w:rsidRDefault="00673CA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Винт летные испытания прошел удовлетворительно и может быть рекомендован в эксплоатацию взамен винтов обратной схемы АВ-5-167А на с-тах Ту-2 с 2АШ-82ФН.</w:t>
            </w:r>
          </w:p>
        </w:tc>
      </w:tr>
      <w:tr w:rsidR="005106D0" w:rsidRPr="007224C3" w14:paraId="668FF500" w14:textId="77777777" w:rsidTr="00137373">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467C1F20" w14:textId="77777777" w:rsidR="00673CAB" w:rsidRPr="007224C3" w:rsidRDefault="00673CA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Тип регулятора оборотов</w:t>
            </w:r>
          </w:p>
        </w:tc>
        <w:tc>
          <w:tcPr>
            <w:tcW w:w="0" w:type="auto"/>
            <w:tcBorders>
              <w:top w:val="single" w:sz="4" w:space="0" w:color="auto"/>
              <w:left w:val="single" w:sz="4" w:space="0" w:color="auto"/>
              <w:bottom w:val="single" w:sz="4" w:space="0" w:color="auto"/>
              <w:right w:val="single" w:sz="4" w:space="0" w:color="auto"/>
            </w:tcBorders>
            <w:vAlign w:val="center"/>
            <w:hideMark/>
          </w:tcPr>
          <w:p w14:paraId="22C2E52B" w14:textId="77777777" w:rsidR="00673CAB" w:rsidRPr="007224C3" w:rsidRDefault="00673CA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Р-7А и Р-10</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9DE7498" w14:textId="77777777" w:rsidR="00673CAB" w:rsidRPr="007224C3" w:rsidRDefault="00673CAB" w:rsidP="007224C3">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62BBA1E" w14:textId="77777777" w:rsidR="00673CAB" w:rsidRPr="007224C3" w:rsidRDefault="00673CAB" w:rsidP="007224C3">
            <w:pPr>
              <w:spacing w:after="0" w:line="240" w:lineRule="auto"/>
              <w:jc w:val="both"/>
              <w:rPr>
                <w:rFonts w:ascii="Times New Roman" w:hAnsi="Times New Roman"/>
                <w:color w:val="000000" w:themeColor="text1"/>
                <w:sz w:val="16"/>
                <w:szCs w:val="16"/>
              </w:rPr>
            </w:pPr>
          </w:p>
        </w:tc>
      </w:tr>
      <w:tr w:rsidR="005106D0" w:rsidRPr="007224C3" w14:paraId="492DC008" w14:textId="77777777" w:rsidTr="00137373">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3BB6F49D" w14:textId="77777777" w:rsidR="00673CAB" w:rsidRPr="007224C3" w:rsidRDefault="00673CA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Носок вала редуктора мотора</w:t>
            </w:r>
          </w:p>
        </w:tc>
        <w:tc>
          <w:tcPr>
            <w:tcW w:w="0" w:type="auto"/>
            <w:tcBorders>
              <w:top w:val="single" w:sz="4" w:space="0" w:color="auto"/>
              <w:left w:val="single" w:sz="4" w:space="0" w:color="auto"/>
              <w:bottom w:val="single" w:sz="4" w:space="0" w:color="auto"/>
              <w:right w:val="single" w:sz="4" w:space="0" w:color="auto"/>
            </w:tcBorders>
            <w:vAlign w:val="center"/>
            <w:hideMark/>
          </w:tcPr>
          <w:p w14:paraId="74D30F49" w14:textId="77777777" w:rsidR="00673CAB" w:rsidRPr="007224C3" w:rsidRDefault="00673CA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7</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FFE6512" w14:textId="77777777" w:rsidR="00673CAB" w:rsidRPr="007224C3" w:rsidRDefault="00673CAB" w:rsidP="007224C3">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D783FA0" w14:textId="77777777" w:rsidR="00673CAB" w:rsidRPr="007224C3" w:rsidRDefault="00673CAB" w:rsidP="007224C3">
            <w:pPr>
              <w:spacing w:after="0" w:line="240" w:lineRule="auto"/>
              <w:jc w:val="both"/>
              <w:rPr>
                <w:rFonts w:ascii="Times New Roman" w:hAnsi="Times New Roman"/>
                <w:color w:val="000000" w:themeColor="text1"/>
                <w:sz w:val="16"/>
                <w:szCs w:val="16"/>
              </w:rPr>
            </w:pPr>
          </w:p>
        </w:tc>
      </w:tr>
      <w:tr w:rsidR="005106D0" w:rsidRPr="007224C3" w14:paraId="67AF9AD0" w14:textId="77777777" w:rsidTr="00137373">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7B2CC3C0" w14:textId="77777777" w:rsidR="00673CAB" w:rsidRPr="007224C3" w:rsidRDefault="00673CAB" w:rsidP="007224C3">
            <w:pPr>
              <w:spacing w:after="0" w:line="240" w:lineRule="auto"/>
              <w:jc w:val="both"/>
              <w:rPr>
                <w:rFonts w:ascii="Times New Roman" w:hAnsi="Times New Roman"/>
                <w:color w:val="000000" w:themeColor="text1"/>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7F5E9C93" w14:textId="77777777" w:rsidR="00673CAB" w:rsidRPr="007224C3" w:rsidRDefault="00673CAB" w:rsidP="007224C3">
            <w:pPr>
              <w:spacing w:after="0" w:line="240" w:lineRule="auto"/>
              <w:jc w:val="both"/>
              <w:rPr>
                <w:rFonts w:ascii="Times New Roman" w:hAnsi="Times New Roman"/>
                <w:color w:val="000000" w:themeColor="text1"/>
                <w:sz w:val="16"/>
                <w:szCs w:val="16"/>
              </w:rPr>
            </w:pP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14:paraId="6BA9AF1B" w14:textId="77777777" w:rsidR="00673CAB" w:rsidRPr="007224C3" w:rsidRDefault="00673CA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Источник сведений: Акт по госиспытаниям винтов от 26.2.44 г.</w:t>
            </w:r>
          </w:p>
        </w:tc>
      </w:tr>
    </w:tbl>
    <w:p w14:paraId="56D30F14" w14:textId="77777777" w:rsidR="00673CAB" w:rsidRPr="007224C3" w:rsidRDefault="00673CA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(12227).</w:t>
      </w:r>
    </w:p>
    <w:p w14:paraId="79F65338" w14:textId="77777777" w:rsidR="00673CAB" w:rsidRPr="007224C3" w:rsidRDefault="00673CAB" w:rsidP="007224C3">
      <w:pPr>
        <w:spacing w:after="0" w:line="240" w:lineRule="auto"/>
        <w:jc w:val="both"/>
        <w:rPr>
          <w:rFonts w:ascii="Times New Roman" w:hAnsi="Times New Roman"/>
          <w:color w:val="000000" w:themeColor="text1"/>
          <w:sz w:val="16"/>
          <w:szCs w:val="16"/>
        </w:rPr>
      </w:pPr>
    </w:p>
    <w:p w14:paraId="79E38D31"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февраля 1944 вышло Постановление ГКО № 5254 О послевоенном развитии международных воздушных линий СССР. (7192, 118-119).</w:t>
      </w:r>
    </w:p>
    <w:p w14:paraId="29AC88C3"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B07735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февраля 1944 года, согласно протокола допроса Федора Николаевича Пойды (свидетеля), подписанного следователем по важнейшим делам Прокуратуры СССР Бурлаевым, вот что показал Пойда:</w:t>
      </w:r>
    </w:p>
    <w:p w14:paraId="47E0838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Костиков, будучи инженером, над снарядными вопросами не работал. Он работал над кислородным двигателем, но двигатель этот практического осуществления не получил.</w:t>
      </w:r>
    </w:p>
    <w:p w14:paraId="0B23CC3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1937 году (в конце...) был арестован гл[авный] инженер реактивного института Лангемак и Костиков был назначен на должность, которую занимал до него Лангемак.</w:t>
      </w:r>
    </w:p>
    <w:p w14:paraId="775DDD2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 обладая необходимыми техническими познаниями, во всяком случае в реактивных снарядах, Костиков работал плохо. Перед началом Отечественной войны стал вопрос об удалении его с должности главного инженера института.</w:t>
      </w:r>
    </w:p>
    <w:p w14:paraId="66F9069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...Вопрос о снятии Костикова с работы был оформлен... Но тут неожиданно узнали, что Костикову за М-13 было присвоено звание Героя Труда.</w:t>
      </w:r>
    </w:p>
    <w:p w14:paraId="7A7EB35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Трудно представить, чтобы сам Костиков не понимал, что такая высокая оценка его работы является выражением не столько его личной заслуги, сколько заслуг коллектива института. Костиков во всяком случае знал, что к М-13 он имеет очень малое отношение, никогда не работал по снарядам.</w:t>
      </w:r>
    </w:p>
    <w:p w14:paraId="69B2B3F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Как было доложено в Правительство, что Костиков был связан с «катюшей» (так в народе называют М-13], я не знаю. Слышал только, что докладывали Костиков и Аборенков и расхваливали друг друга...»</w:t>
      </w:r>
    </w:p>
    <w:p w14:paraId="07AF271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материалах немало свидетельств, подтверждающих, что созданию машинной установки М-13 предшествовали многолетние экспериментальные работы по изобретению отечественных снарядов, которые проводились в институте реактивной техники. Несомненно, в бытность А. Г. Костикова главным инженером, а затем и директором института изобретение продолжало совершенствоваться и именно при нем было окончательно доработано и стало применяться в боевой обстановке. Так что полностью отвергать причастность Костикова к внедрению нового оружия тоже неправильно. Но заслуга его в разработке «катюши» довольно-таки минимальна, а «передача» ему идеи создания реактивного миномета — акт совсем несправедливый. Тем не менее плод коллективного труде, т. е. реактивные снаряды, получившие условное наименование М-8 и М-13, постепенно стали связывать только с именем руководителя института.</w:t>
      </w:r>
    </w:p>
    <w:p w14:paraId="657C13D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Тогда же конструктор И. И. Гвай, инженеры А. П. Павленко и А. С. Попов разработали машинную установку (идея, как уже сообщалось, принадлежала работникам этого же института Г. Э. Лангемаку и В. П. Глушко, к тому времени репрессированным) с поперечным расположением на автомашине направляющих планок для производства одновременного залпа 24 снарядами. В дальнейшем по предложению инженера В. Н. Галковского, которое одобрил и главный инженер А. Г. Костиков, поперечные направляющие заменили на продольные, удлинив их, чем достигалась устойчивость боевой машины при стрельбе и более высокая кучность огня.</w:t>
      </w:r>
    </w:p>
    <w:p w14:paraId="64131C6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1939 году после удачных полигонных испытаний, каким-то образом отодвинув основных участников доработки, испытаний и внедрения нового оружия, Костиков и Гвай сделали заявку на признание их авторами изобретения. Когда же к ним изъявил желание присоединиться и заместитель начальника Главного артиллерийского управления Наркомата обороны (НКО) Аборенков, они не посмели отказаться. Аборенков был не только влиятельным лицом, но, возможно, обладал и немалой пробивной силой. Не исключено, что именно после его настоятельных ходатайств Отдел изобретений НКО признал всех троих изобретателями машинной установки М-13 и выдал им авторские свидетельства (11912).</w:t>
      </w:r>
    </w:p>
    <w:p w14:paraId="4C35F68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4D3EB790" w14:textId="77777777" w:rsidR="00903E13" w:rsidRPr="007224C3" w:rsidRDefault="00903E13" w:rsidP="007224C3">
      <w:pPr>
        <w:pStyle w:val="ae"/>
        <w:spacing w:before="0" w:after="0"/>
        <w:jc w:val="both"/>
        <w:rPr>
          <w:rStyle w:val="mfont1"/>
          <w:rFonts w:eastAsia="Times New Roman"/>
          <w:color w:val="000000" w:themeColor="text1"/>
          <w:sz w:val="16"/>
          <w:szCs w:val="16"/>
        </w:rPr>
      </w:pPr>
      <w:r w:rsidRPr="007224C3">
        <w:rPr>
          <w:rStyle w:val="mfont1"/>
          <w:rFonts w:eastAsia="Times New Roman"/>
          <w:color w:val="000000" w:themeColor="text1"/>
          <w:sz w:val="16"/>
          <w:szCs w:val="16"/>
        </w:rPr>
        <w:t>26 февраля 1944 года следователь по важнейшим делам Прокуратуры СССР Бурлаев составил протокол допроса Федора Николаевича Пойды (свидетеля), подписанный Пойдой:</w:t>
      </w:r>
    </w:p>
    <w:p w14:paraId="7A14DD16" w14:textId="77777777" w:rsidR="00903E13" w:rsidRPr="007224C3" w:rsidRDefault="00903E13" w:rsidP="007224C3">
      <w:pPr>
        <w:pStyle w:val="ae"/>
        <w:spacing w:before="0" w:after="0"/>
        <w:jc w:val="both"/>
        <w:rPr>
          <w:color w:val="000000" w:themeColor="text1"/>
          <w:sz w:val="16"/>
          <w:szCs w:val="16"/>
        </w:rPr>
      </w:pPr>
      <w:r w:rsidRPr="007224C3">
        <w:rPr>
          <w:rStyle w:val="mfont1"/>
          <w:rFonts w:eastAsia="Times New Roman"/>
          <w:color w:val="000000" w:themeColor="text1"/>
          <w:sz w:val="16"/>
          <w:szCs w:val="16"/>
        </w:rPr>
        <w:t>Вот что показал Пойда:</w:t>
      </w:r>
    </w:p>
    <w:p w14:paraId="0D7283AA" w14:textId="77777777" w:rsidR="00903E13" w:rsidRPr="007224C3" w:rsidRDefault="00903E13" w:rsidP="007224C3">
      <w:pPr>
        <w:pStyle w:val="ae"/>
        <w:spacing w:before="0" w:after="0"/>
        <w:jc w:val="both"/>
        <w:rPr>
          <w:color w:val="000000" w:themeColor="text1"/>
          <w:sz w:val="16"/>
          <w:szCs w:val="16"/>
        </w:rPr>
      </w:pPr>
      <w:r w:rsidRPr="007224C3">
        <w:rPr>
          <w:rStyle w:val="mfont1"/>
          <w:rFonts w:eastAsia="Times New Roman"/>
          <w:color w:val="000000" w:themeColor="text1"/>
          <w:sz w:val="16"/>
          <w:szCs w:val="16"/>
        </w:rPr>
        <w:t>«... Костиков, будучи инженером, над снарядными вопросами не работал. Он работал над кислородным двигателем, но двигатель этот практического осуществления не получил.</w:t>
      </w:r>
    </w:p>
    <w:p w14:paraId="7D31CF2B" w14:textId="77777777" w:rsidR="00903E13" w:rsidRPr="007224C3" w:rsidRDefault="00903E13" w:rsidP="007224C3">
      <w:pPr>
        <w:pStyle w:val="ae"/>
        <w:spacing w:before="0" w:after="0"/>
        <w:jc w:val="both"/>
        <w:rPr>
          <w:color w:val="000000" w:themeColor="text1"/>
          <w:sz w:val="16"/>
          <w:szCs w:val="16"/>
        </w:rPr>
      </w:pPr>
      <w:r w:rsidRPr="007224C3">
        <w:rPr>
          <w:rStyle w:val="mfont1"/>
          <w:rFonts w:eastAsia="Times New Roman"/>
          <w:color w:val="000000" w:themeColor="text1"/>
          <w:sz w:val="16"/>
          <w:szCs w:val="16"/>
        </w:rPr>
        <w:t>В 1937 году (в конце...) был арестован гл[авный] инженер реактивного института Лангемак и Костиков был назначен на должность, которую занимал до него Лангемак.</w:t>
      </w:r>
    </w:p>
    <w:p w14:paraId="7AE5B095" w14:textId="77777777" w:rsidR="00903E13" w:rsidRPr="007224C3" w:rsidRDefault="00903E13" w:rsidP="007224C3">
      <w:pPr>
        <w:pStyle w:val="ae"/>
        <w:spacing w:before="0" w:after="0"/>
        <w:jc w:val="both"/>
        <w:rPr>
          <w:color w:val="000000" w:themeColor="text1"/>
          <w:sz w:val="16"/>
          <w:szCs w:val="16"/>
        </w:rPr>
      </w:pPr>
      <w:r w:rsidRPr="007224C3">
        <w:rPr>
          <w:rStyle w:val="mfont1"/>
          <w:rFonts w:eastAsia="Times New Roman"/>
          <w:color w:val="000000" w:themeColor="text1"/>
          <w:sz w:val="16"/>
          <w:szCs w:val="16"/>
        </w:rPr>
        <w:t>Не обладая необходимыми техническими познаниями, во всяком случае в реактивных снарядах, Костиков работал плохо. Перед началом Отечественной войны стал вопрос об удалении его с должности главного инженера института.</w:t>
      </w:r>
    </w:p>
    <w:p w14:paraId="58B45005" w14:textId="77777777" w:rsidR="00903E13" w:rsidRPr="007224C3" w:rsidRDefault="00903E13" w:rsidP="007224C3">
      <w:pPr>
        <w:pStyle w:val="ae"/>
        <w:spacing w:before="0" w:after="0"/>
        <w:jc w:val="both"/>
        <w:rPr>
          <w:color w:val="000000" w:themeColor="text1"/>
          <w:sz w:val="16"/>
          <w:szCs w:val="16"/>
        </w:rPr>
      </w:pPr>
      <w:r w:rsidRPr="007224C3">
        <w:rPr>
          <w:rStyle w:val="mfont1"/>
          <w:rFonts w:eastAsia="Times New Roman"/>
          <w:color w:val="000000" w:themeColor="text1"/>
          <w:sz w:val="16"/>
          <w:szCs w:val="16"/>
        </w:rPr>
        <w:t>...Вопрос о снятии Костикова с работы был оформлен... Но тут неожиданно узнали, что Костикову за М-13 было присвоено звание Героя Труда.</w:t>
      </w:r>
    </w:p>
    <w:p w14:paraId="186EAE74" w14:textId="77777777" w:rsidR="00903E13" w:rsidRPr="007224C3" w:rsidRDefault="00903E13" w:rsidP="007224C3">
      <w:pPr>
        <w:pStyle w:val="ae"/>
        <w:spacing w:before="0" w:after="0"/>
        <w:jc w:val="both"/>
        <w:rPr>
          <w:color w:val="000000" w:themeColor="text1"/>
          <w:sz w:val="16"/>
          <w:szCs w:val="16"/>
        </w:rPr>
      </w:pPr>
      <w:r w:rsidRPr="007224C3">
        <w:rPr>
          <w:rStyle w:val="mfont1"/>
          <w:rFonts w:eastAsia="Times New Roman"/>
          <w:color w:val="000000" w:themeColor="text1"/>
          <w:sz w:val="16"/>
          <w:szCs w:val="16"/>
        </w:rPr>
        <w:t>Трудно представить, чтобы сам Костиков не понимал, что такая высокая оценка его работы является выражением не столько его личной заслуги, сколько заслуг коллектива института. Костиков во всяком случае знал, что к М-13 он имеет очень малое отношение, никогда не работал по снарядам.</w:t>
      </w:r>
    </w:p>
    <w:p w14:paraId="69275B6D" w14:textId="77777777" w:rsidR="00903E13" w:rsidRPr="007224C3" w:rsidRDefault="00903E13" w:rsidP="007224C3">
      <w:pPr>
        <w:pStyle w:val="ae"/>
        <w:spacing w:before="0" w:after="0"/>
        <w:jc w:val="both"/>
        <w:rPr>
          <w:rStyle w:val="mfont1"/>
          <w:rFonts w:eastAsia="Times New Roman"/>
          <w:color w:val="000000" w:themeColor="text1"/>
          <w:sz w:val="16"/>
          <w:szCs w:val="16"/>
        </w:rPr>
      </w:pPr>
      <w:r w:rsidRPr="007224C3">
        <w:rPr>
          <w:rStyle w:val="mfont1"/>
          <w:rFonts w:eastAsia="Times New Roman"/>
          <w:color w:val="000000" w:themeColor="text1"/>
          <w:sz w:val="16"/>
          <w:szCs w:val="16"/>
        </w:rPr>
        <w:t>Как было доложено в Правительство, что Костиков был связан с «катюшей» (так в народе называют М-13], я не знаю. Слышал только, что докладывали Костиков и Аборенков и расхваливали друг друга...» (12723).</w:t>
      </w:r>
    </w:p>
    <w:p w14:paraId="25EB42C9" w14:textId="77777777" w:rsidR="00903E13" w:rsidRPr="007224C3" w:rsidRDefault="00903E13" w:rsidP="007224C3">
      <w:pPr>
        <w:pStyle w:val="ae"/>
        <w:spacing w:before="0" w:after="0"/>
        <w:jc w:val="both"/>
        <w:rPr>
          <w:color w:val="000000" w:themeColor="text1"/>
          <w:sz w:val="16"/>
          <w:szCs w:val="16"/>
        </w:rPr>
      </w:pPr>
    </w:p>
    <w:p w14:paraId="4D6DD8DC"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0A25407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2271F8C"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февраля 1944 вышло Постановление ГКО № 5253 Об обеспечении Центрального артиллерийского конструкторского бюро Наркомата вооружения инженерно-техническим персоналом и рабочей силой. (7192, 116-117).</w:t>
      </w:r>
    </w:p>
    <w:p w14:paraId="41F2238A"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14A2B4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февраля 1944 вышло Постановление ГКО № 5255 О применении кислорода в металлургическом производстве. РГАНИР, Фонд ГКО, д. 212, лл. 120-125,126-137 (11012).</w:t>
      </w:r>
    </w:p>
    <w:p w14:paraId="156AAA2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380E0A2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февраля 1944 года 203-мм самоходная гаубица на шасси танка КВ-1с, с которого была снята башня и установлена вращающаяся часть 203-мм гаубицы Б-4 - гаубица С-51 поступила на АНИОП для проведения полигонных испытаний (3861).</w:t>
      </w:r>
    </w:p>
    <w:p w14:paraId="0DA7A4A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63E11F" w14:textId="77777777" w:rsidR="00A44782" w:rsidRPr="007224C3" w:rsidRDefault="00A44782" w:rsidP="007224C3">
      <w:pPr>
        <w:pStyle w:val="ae"/>
        <w:spacing w:before="0" w:after="0"/>
        <w:jc w:val="both"/>
        <w:textAlignment w:val="baseline"/>
        <w:rPr>
          <w:color w:val="000000" w:themeColor="text1"/>
          <w:sz w:val="16"/>
          <w:szCs w:val="16"/>
        </w:rPr>
      </w:pPr>
      <w:r w:rsidRPr="007224C3">
        <w:rPr>
          <w:color w:val="000000" w:themeColor="text1"/>
          <w:sz w:val="16"/>
          <w:szCs w:val="16"/>
        </w:rPr>
        <w:t>26 февраля 1944, согласно отчёту завода №183, закончилась разработка чертежей усиления брони Т-34, а 4 марта их разослали по заводам. Впрочем, приоритетом являлся танк по первому варианту, без вынесения баков в кормовую часть. Расчёты показали, что даже в первом варианте модернизации боевая масса превысит 32 т. Для проверки надёжности работы трансмиссии и ходовой части заводское руководство решило испытать Т-34, нагруженный до боевой массы 34 т. При этом бортовые передачи оставались старыми, а КПП модернизировалась. Решение использовать бортовые передачи старого типа объяснялось тем, что попытка их переделки закончилась неудачно. Помимо усиленной КПП, на танке, первоначально носившем заводское обозначение Т-34М, предполагалось использовать 5-роликовые ведущие колёса уменьшенного диаметра.</w:t>
      </w:r>
    </w:p>
    <w:p w14:paraId="59C04F48" w14:textId="77777777" w:rsidR="00A44782" w:rsidRPr="007224C3" w:rsidRDefault="00A44782" w:rsidP="007224C3">
      <w:pPr>
        <w:pStyle w:val="ae"/>
        <w:spacing w:before="0" w:after="0"/>
        <w:jc w:val="both"/>
        <w:textAlignment w:val="baseline"/>
        <w:rPr>
          <w:color w:val="000000" w:themeColor="text1"/>
          <w:sz w:val="16"/>
          <w:szCs w:val="16"/>
        </w:rPr>
      </w:pPr>
      <w:r w:rsidRPr="007224C3">
        <w:rPr>
          <w:color w:val="000000" w:themeColor="text1"/>
          <w:sz w:val="16"/>
          <w:szCs w:val="16"/>
        </w:rPr>
        <w:t>В конструкцию корпуса и башни, которую утвердили приказом НКТП №109сс, внесли некоторые изменения. От идеи уменьшения толщины нижнего кормового листа до 30 мм на заводе отказались, поскольку это снизило бы жёсткость задней части. Вместо этого до 30 мм уменьшили толщину бронировок картеров бортовых передач. Также некоторым изменениям подвергалась башня. С разработкой башни была связана небольшая задержка, поскольку требовалось изготовить новые модели, а завод №183 и так был загружен выпуском моделей для серийной башни Т-34-85. Также завод имел собственное мнение по поводу некоторых узлов Т-34М – там считали, что картеры надо оставить толщиной 45 мм, а на башню следует ставить командирскую башенку от Т-44 как более удачную. Имелись идеи и по другим узлам. Впрочем, как показали дальнейшие события, многие предложения так и остались на бумаге (18998).</w:t>
      </w:r>
    </w:p>
    <w:p w14:paraId="41AE6216" w14:textId="77777777" w:rsidR="00A44782" w:rsidRPr="007224C3" w:rsidRDefault="00A44782" w:rsidP="007224C3">
      <w:pPr>
        <w:pStyle w:val="ae"/>
        <w:spacing w:before="0" w:after="0"/>
        <w:jc w:val="both"/>
        <w:textAlignment w:val="baseline"/>
        <w:rPr>
          <w:color w:val="000000" w:themeColor="text1"/>
          <w:sz w:val="16"/>
          <w:szCs w:val="16"/>
        </w:rPr>
      </w:pPr>
    </w:p>
    <w:p w14:paraId="59F5B32B" w14:textId="77777777" w:rsidR="00282955" w:rsidRPr="007224C3" w:rsidRDefault="00282955" w:rsidP="007224C3">
      <w:pPr>
        <w:pStyle w:val="a3"/>
        <w:rPr>
          <w:color w:val="000000" w:themeColor="text1"/>
          <w:lang w:val="ru-RU"/>
        </w:rPr>
      </w:pPr>
      <w:r w:rsidRPr="007224C3">
        <w:rPr>
          <w:color w:val="000000" w:themeColor="text1"/>
          <w:lang w:val="ru-RU"/>
        </w:rPr>
        <w:t>26 февраля 1944, Самоходная установка С-51 поступила на АНИОП, а спустя два дня прибыла техническая документа</w:t>
      </w:r>
      <w:r w:rsidRPr="007224C3">
        <w:rPr>
          <w:color w:val="000000" w:themeColor="text1"/>
          <w:lang w:val="ru-RU"/>
        </w:rPr>
        <w:softHyphen/>
        <w:t>ция. Проблему отсутствия на АНИОП подъемных средств решили тем, что разбор и обмер установочных частей гаубицы проводили на заводе №112. В полном объеме произвести необходимые работы по разбору, впрочем, не удалось. До начала испытаний С-51 прошла 150 киломе</w:t>
      </w:r>
      <w:r w:rsidRPr="007224C3">
        <w:rPr>
          <w:color w:val="000000" w:themeColor="text1"/>
          <w:lang w:val="ru-RU"/>
        </w:rPr>
        <w:softHyphen/>
        <w:t>тров пробега, из них 120 километров было пройдено от АНИОП до за</w:t>
      </w:r>
      <w:r w:rsidRPr="007224C3">
        <w:rPr>
          <w:color w:val="000000" w:themeColor="text1"/>
          <w:lang w:val="ru-RU"/>
        </w:rPr>
        <w:softHyphen/>
        <w:t>вода № 112 и обратно.</w:t>
      </w:r>
    </w:p>
    <w:p w14:paraId="41E755E8" w14:textId="77777777" w:rsidR="00282955" w:rsidRPr="007224C3" w:rsidRDefault="00282955" w:rsidP="007224C3">
      <w:pPr>
        <w:pStyle w:val="a3"/>
        <w:rPr>
          <w:color w:val="000000" w:themeColor="text1"/>
          <w:lang w:val="ru-RU"/>
        </w:rPr>
      </w:pPr>
      <w:r w:rsidRPr="007224C3">
        <w:rPr>
          <w:color w:val="000000" w:themeColor="text1"/>
          <w:lang w:val="ru-RU"/>
        </w:rPr>
        <w:t>Испытания самоходной установки начались 16 марта 1944 года. Ввиду отсутствия на АНИОП фугасных снарядов для Б-4 стрельбу на кучность проводили бетонобойными боеприпасами, что одновремен</w:t>
      </w:r>
      <w:r w:rsidRPr="007224C3">
        <w:rPr>
          <w:color w:val="000000" w:themeColor="text1"/>
          <w:lang w:val="ru-RU"/>
        </w:rPr>
        <w:softHyphen/>
        <w:t>но сократило программу полигонных испытаний. 16-го числа было сделано 18 выстрелов. Всего же за время огневых испытаний, про</w:t>
      </w:r>
      <w:r w:rsidRPr="007224C3">
        <w:rPr>
          <w:color w:val="000000" w:themeColor="text1"/>
          <w:lang w:val="ru-RU"/>
        </w:rPr>
        <w:softHyphen/>
        <w:t>должавшихся до 24 марта, было произведено 209 выстрелов, из них 135 усиленным зарядом.</w:t>
      </w:r>
    </w:p>
    <w:p w14:paraId="62D78497" w14:textId="77777777" w:rsidR="00282955" w:rsidRPr="007224C3" w:rsidRDefault="00282955" w:rsidP="007224C3">
      <w:pPr>
        <w:pStyle w:val="a3"/>
        <w:rPr>
          <w:color w:val="000000" w:themeColor="text1"/>
          <w:lang w:val="ru-RU"/>
        </w:rPr>
      </w:pPr>
      <w:r w:rsidRPr="007224C3">
        <w:rPr>
          <w:color w:val="000000" w:themeColor="text1"/>
          <w:lang w:val="ru-RU"/>
        </w:rPr>
        <w:lastRenderedPageBreak/>
        <w:t>В ходе стрельбы под углом 30 градусов выяснилось, что во время про</w:t>
      </w:r>
      <w:r w:rsidRPr="007224C3">
        <w:rPr>
          <w:color w:val="000000" w:themeColor="text1"/>
          <w:lang w:val="ru-RU"/>
        </w:rPr>
        <w:softHyphen/>
        <w:t>ведения выстрела С-51 отходит на 1000 — 1300 мм, а накат вперед состав</w:t>
      </w:r>
      <w:r w:rsidRPr="007224C3">
        <w:rPr>
          <w:color w:val="000000" w:themeColor="text1"/>
          <w:lang w:val="ru-RU"/>
        </w:rPr>
        <w:softHyphen/>
        <w:t>лял 200 мм. При стрельбе носовая часть самоходной установки поднима</w:t>
      </w:r>
      <w:r w:rsidRPr="007224C3">
        <w:rPr>
          <w:color w:val="000000" w:themeColor="text1"/>
          <w:lang w:val="ru-RU"/>
        </w:rPr>
        <w:softHyphen/>
        <w:t>лась вверх на величину от 250 до 450 мм, в то время как корма приседала на 200—300 мм. Одновременно отмечалось, что величина прыжка право</w:t>
      </w:r>
      <w:r w:rsidRPr="007224C3">
        <w:rPr>
          <w:color w:val="000000" w:themeColor="text1"/>
          <w:lang w:val="ru-RU"/>
        </w:rPr>
        <w:softHyphen/>
        <w:t>го борта была на 100 мм выше, чем левого. При стрельбе на угол 45</w:t>
      </w:r>
      <w:r w:rsidRPr="007224C3">
        <w:rPr>
          <w:rStyle w:val="BodytextConstantia"/>
          <w:rFonts w:ascii="Times New Roman" w:hAnsi="Times New Roman" w:cs="Times New Roman"/>
          <w:b w:val="0"/>
          <w:color w:val="000000" w:themeColor="text1"/>
          <w:sz w:val="16"/>
          <w:szCs w:val="16"/>
          <w:lang w:val="ru-RU"/>
        </w:rPr>
        <w:t>гра</w:t>
      </w:r>
      <w:r w:rsidRPr="007224C3">
        <w:rPr>
          <w:color w:val="000000" w:themeColor="text1"/>
          <w:lang w:val="ru-RU"/>
        </w:rPr>
        <w:t>дусов отход самохода достигал 750—1000 мм, а накат 330 мм, носоваячасть поднималась на 100—180 мм, а кормовая приседала на 120—140 мм. Стрельба на угле 57 градусов выявила отход 400—750 мм, накат 300 мм, подъем носовой части на 60—150 мм, а оседание кормовой части на 50— 100 мм. Таким образом, устойчивость С-51 признали неудовлетвори</w:t>
      </w:r>
      <w:r w:rsidRPr="007224C3">
        <w:rPr>
          <w:color w:val="000000" w:themeColor="text1"/>
          <w:lang w:val="ru-RU"/>
        </w:rPr>
        <w:softHyphen/>
        <w:t>тельной, кроме того, отмечалась высокая сбиваемость прицела.</w:t>
      </w:r>
    </w:p>
    <w:p w14:paraId="0106707F" w14:textId="77777777" w:rsidR="00282955" w:rsidRPr="007224C3" w:rsidRDefault="00282955" w:rsidP="007224C3">
      <w:pPr>
        <w:pStyle w:val="a3"/>
        <w:rPr>
          <w:color w:val="000000" w:themeColor="text1"/>
          <w:lang w:val="ru-RU"/>
        </w:rPr>
      </w:pPr>
      <w:r w:rsidRPr="007224C3">
        <w:rPr>
          <w:color w:val="000000" w:themeColor="text1"/>
          <w:lang w:val="ru-RU"/>
        </w:rPr>
        <w:t>Стрельба на прочность (100 выстрелов усиленным зарядом) про</w:t>
      </w:r>
      <w:r w:rsidRPr="007224C3">
        <w:rPr>
          <w:color w:val="000000" w:themeColor="text1"/>
          <w:lang w:val="ru-RU"/>
        </w:rPr>
        <w:softHyphen/>
        <w:t>блем не выявила, повреждений осмотром не обнаружилось. Испыта</w:t>
      </w:r>
      <w:r w:rsidRPr="007224C3">
        <w:rPr>
          <w:color w:val="000000" w:themeColor="text1"/>
          <w:lang w:val="ru-RU"/>
        </w:rPr>
        <w:softHyphen/>
        <w:t>ния на скорострельность, в которых принимало участие 7 человек рас</w:t>
      </w:r>
      <w:r w:rsidRPr="007224C3">
        <w:rPr>
          <w:color w:val="000000" w:themeColor="text1"/>
          <w:lang w:val="ru-RU"/>
        </w:rPr>
        <w:softHyphen/>
        <w:t>чета, выявила среднюю цифру, равную 1 выстрелу в 1,5 минуты.</w:t>
      </w:r>
    </w:p>
    <w:p w14:paraId="6F16713B" w14:textId="77777777" w:rsidR="00282955" w:rsidRPr="007224C3" w:rsidRDefault="00282955" w:rsidP="007224C3">
      <w:pPr>
        <w:pStyle w:val="a3"/>
        <w:rPr>
          <w:color w:val="000000" w:themeColor="text1"/>
          <w:lang w:val="ru-RU"/>
        </w:rPr>
      </w:pPr>
      <w:r w:rsidRPr="007224C3">
        <w:rPr>
          <w:color w:val="000000" w:themeColor="text1"/>
          <w:lang w:val="ru-RU"/>
        </w:rPr>
        <w:t>Испытания пробегом проводились с 25 марта по 4 апреля. Само</w:t>
      </w:r>
      <w:r w:rsidRPr="007224C3">
        <w:rPr>
          <w:color w:val="000000" w:themeColor="text1"/>
          <w:lang w:val="ru-RU"/>
        </w:rPr>
        <w:softHyphen/>
        <w:t>ходную установку проверяли в различных дорожных условиях, глуби</w:t>
      </w:r>
      <w:r w:rsidRPr="007224C3">
        <w:rPr>
          <w:color w:val="000000" w:themeColor="text1"/>
          <w:lang w:val="ru-RU"/>
        </w:rPr>
        <w:softHyphen/>
        <w:t>на снежного покрова при этом достигала 200 мм. В общей сложности С-51 прошла 524 километра, из них 16 по булыжной мостовой и 40 по бездорожью. Основной объем ходовых испытаний пришелся на ас</w:t>
      </w:r>
      <w:r w:rsidRPr="007224C3">
        <w:rPr>
          <w:color w:val="000000" w:themeColor="text1"/>
          <w:lang w:val="ru-RU"/>
        </w:rPr>
        <w:softHyphen/>
        <w:t>фальтированное шоссе, поскольку требовались поездки на завод № 112. В ходе ходовых испытаний на шоссе была достигнута максимальная скорость 32 км/ч, а по бездорожью 22 км/ч. Специальных испыта</w:t>
      </w:r>
      <w:r w:rsidRPr="007224C3">
        <w:rPr>
          <w:color w:val="000000" w:themeColor="text1"/>
          <w:lang w:val="ru-RU"/>
        </w:rPr>
        <w:softHyphen/>
        <w:t>ний не проводилось, поскольку имелись различные поломки ходовой части. На 240-м километре вышли их строя правый бортовой фрикци</w:t>
      </w:r>
      <w:r w:rsidRPr="007224C3">
        <w:rPr>
          <w:color w:val="000000" w:themeColor="text1"/>
          <w:lang w:val="ru-RU"/>
        </w:rPr>
        <w:softHyphen/>
        <w:t>он и тормозная лента, еще раз правый фрикцион дал о себе знать на 360-м километре. Несколько раз имели место проблемы с гусеничны</w:t>
      </w:r>
      <w:r w:rsidRPr="007224C3">
        <w:rPr>
          <w:color w:val="000000" w:themeColor="text1"/>
          <w:lang w:val="ru-RU"/>
        </w:rPr>
        <w:softHyphen/>
        <w:t>ми лентами, срезало болты на крышках катков. Вместе с тем с двига</w:t>
      </w:r>
      <w:r w:rsidRPr="007224C3">
        <w:rPr>
          <w:color w:val="000000" w:themeColor="text1"/>
          <w:lang w:val="ru-RU"/>
        </w:rPr>
        <w:softHyphen/>
        <w:t>телем и торсионами проблем не возникало, что лишний раз подтверж</w:t>
      </w:r>
      <w:r w:rsidRPr="007224C3">
        <w:rPr>
          <w:color w:val="000000" w:themeColor="text1"/>
          <w:lang w:val="ru-RU"/>
        </w:rPr>
        <w:softHyphen/>
        <w:t>дало прочность ходовой части после программы огневых испытаний.</w:t>
      </w:r>
    </w:p>
    <w:p w14:paraId="4B02CE02" w14:textId="77777777" w:rsidR="00282955" w:rsidRPr="007224C3" w:rsidRDefault="00282955" w:rsidP="007224C3">
      <w:pPr>
        <w:pStyle w:val="a3"/>
        <w:rPr>
          <w:color w:val="000000" w:themeColor="text1"/>
          <w:lang w:val="ru-RU"/>
        </w:rPr>
      </w:pPr>
      <w:r w:rsidRPr="007224C3">
        <w:rPr>
          <w:color w:val="000000" w:themeColor="text1"/>
          <w:lang w:val="ru-RU"/>
        </w:rPr>
        <w:t>Завершились испытания 6 апреля, а 9-го числа комиссия АНИОП дала заключение по их результатам:</w:t>
      </w:r>
    </w:p>
    <w:p w14:paraId="45A6058F" w14:textId="77777777" w:rsidR="00282955" w:rsidRPr="007224C3" w:rsidRDefault="00282955" w:rsidP="007224C3">
      <w:pPr>
        <w:pStyle w:val="Bodytext141"/>
        <w:shd w:val="clear" w:color="auto" w:fill="auto"/>
        <w:spacing w:line="240" w:lineRule="auto"/>
        <w:ind w:firstLine="0"/>
        <w:jc w:val="both"/>
        <w:rPr>
          <w:i w:val="0"/>
          <w:color w:val="000000" w:themeColor="text1"/>
          <w:sz w:val="16"/>
          <w:szCs w:val="16"/>
        </w:rPr>
      </w:pPr>
      <w:r w:rsidRPr="007224C3">
        <w:rPr>
          <w:i w:val="0"/>
          <w:color w:val="000000" w:themeColor="text1"/>
          <w:sz w:val="16"/>
          <w:szCs w:val="16"/>
        </w:rPr>
        <w:t>«1. Самоходная гаубица «С-51» в основном испытания выдержала,</w:t>
      </w:r>
    </w:p>
    <w:p w14:paraId="0D3008D5" w14:textId="77777777" w:rsidR="00282955" w:rsidRPr="007224C3" w:rsidRDefault="00282955" w:rsidP="007224C3">
      <w:pPr>
        <w:pStyle w:val="Bodytext141"/>
        <w:shd w:val="clear" w:color="auto" w:fill="auto"/>
        <w:spacing w:line="240" w:lineRule="auto"/>
        <w:ind w:firstLine="0"/>
        <w:jc w:val="both"/>
        <w:rPr>
          <w:i w:val="0"/>
          <w:color w:val="000000" w:themeColor="text1"/>
          <w:sz w:val="16"/>
          <w:szCs w:val="16"/>
        </w:rPr>
      </w:pPr>
      <w:r w:rsidRPr="007224C3">
        <w:rPr>
          <w:i w:val="0"/>
          <w:color w:val="000000" w:themeColor="text1"/>
          <w:sz w:val="16"/>
          <w:szCs w:val="16"/>
        </w:rPr>
        <w:t>так как:</w:t>
      </w:r>
    </w:p>
    <w:p w14:paraId="06CF8A9B" w14:textId="77777777" w:rsidR="00282955" w:rsidRPr="007224C3" w:rsidRDefault="00282955" w:rsidP="007224C3">
      <w:pPr>
        <w:pStyle w:val="Bodytext141"/>
        <w:shd w:val="clear" w:color="auto" w:fill="auto"/>
        <w:tabs>
          <w:tab w:val="left" w:pos="905"/>
        </w:tabs>
        <w:spacing w:line="240" w:lineRule="auto"/>
        <w:ind w:firstLine="0"/>
        <w:jc w:val="both"/>
        <w:rPr>
          <w:i w:val="0"/>
          <w:color w:val="000000" w:themeColor="text1"/>
          <w:sz w:val="16"/>
          <w:szCs w:val="16"/>
        </w:rPr>
      </w:pPr>
      <w:r w:rsidRPr="007224C3">
        <w:rPr>
          <w:i w:val="0"/>
          <w:color w:val="000000" w:themeColor="text1"/>
          <w:sz w:val="16"/>
          <w:szCs w:val="16"/>
        </w:rPr>
        <w:t>а) работа и прочность агрегатов и механизмов орудия — удовлет</w:t>
      </w:r>
      <w:r w:rsidRPr="007224C3">
        <w:rPr>
          <w:i w:val="0"/>
          <w:color w:val="000000" w:themeColor="text1"/>
          <w:sz w:val="16"/>
          <w:szCs w:val="16"/>
        </w:rPr>
        <w:softHyphen/>
        <w:t>ворительные.</w:t>
      </w:r>
    </w:p>
    <w:p w14:paraId="63050AC3" w14:textId="77777777" w:rsidR="00282955" w:rsidRPr="007224C3" w:rsidRDefault="00282955" w:rsidP="007224C3">
      <w:pPr>
        <w:pStyle w:val="Bodytext141"/>
        <w:shd w:val="clear" w:color="auto" w:fill="auto"/>
        <w:tabs>
          <w:tab w:val="left" w:pos="900"/>
        </w:tabs>
        <w:spacing w:line="240" w:lineRule="auto"/>
        <w:ind w:firstLine="0"/>
        <w:jc w:val="both"/>
        <w:rPr>
          <w:i w:val="0"/>
          <w:color w:val="000000" w:themeColor="text1"/>
          <w:sz w:val="16"/>
          <w:szCs w:val="16"/>
        </w:rPr>
      </w:pPr>
      <w:r w:rsidRPr="007224C3">
        <w:rPr>
          <w:i w:val="0"/>
          <w:color w:val="000000" w:themeColor="text1"/>
          <w:sz w:val="16"/>
          <w:szCs w:val="16"/>
        </w:rPr>
        <w:t>б) прочность установочных частей орудия — достаточная.</w:t>
      </w:r>
    </w:p>
    <w:p w14:paraId="537ACC5B" w14:textId="77777777" w:rsidR="00282955" w:rsidRPr="007224C3" w:rsidRDefault="00282955" w:rsidP="007224C3">
      <w:pPr>
        <w:pStyle w:val="Bodytext141"/>
        <w:shd w:val="clear" w:color="auto" w:fill="auto"/>
        <w:tabs>
          <w:tab w:val="left" w:pos="866"/>
        </w:tabs>
        <w:spacing w:line="240" w:lineRule="auto"/>
        <w:ind w:firstLine="0"/>
        <w:jc w:val="both"/>
        <w:rPr>
          <w:i w:val="0"/>
          <w:color w:val="000000" w:themeColor="text1"/>
          <w:sz w:val="16"/>
          <w:szCs w:val="16"/>
        </w:rPr>
      </w:pPr>
      <w:r w:rsidRPr="007224C3">
        <w:rPr>
          <w:i w:val="0"/>
          <w:color w:val="000000" w:themeColor="text1"/>
          <w:sz w:val="16"/>
          <w:szCs w:val="16"/>
        </w:rPr>
        <w:t>в) работа и прочность агрегатов и механизмов самохода — удовлет</w:t>
      </w:r>
      <w:r w:rsidRPr="007224C3">
        <w:rPr>
          <w:i w:val="0"/>
          <w:color w:val="000000" w:themeColor="text1"/>
          <w:sz w:val="16"/>
          <w:szCs w:val="16"/>
        </w:rPr>
        <w:softHyphen/>
        <w:t>ворительная, за исключением трансмиссионной группы, которая во время испытаний имела ряд дефектов, вызванных общим пло</w:t>
      </w:r>
      <w:r w:rsidRPr="007224C3">
        <w:rPr>
          <w:i w:val="0"/>
          <w:color w:val="000000" w:themeColor="text1"/>
          <w:sz w:val="16"/>
          <w:szCs w:val="16"/>
        </w:rPr>
        <w:softHyphen/>
        <w:t>хим техническим состоянием ее до испытаний и изношенностью деталей.</w:t>
      </w:r>
    </w:p>
    <w:p w14:paraId="28FEA004" w14:textId="77777777" w:rsidR="00282955" w:rsidRPr="007224C3" w:rsidRDefault="00282955" w:rsidP="007224C3">
      <w:pPr>
        <w:pStyle w:val="Bodytext141"/>
        <w:shd w:val="clear" w:color="auto" w:fill="auto"/>
        <w:spacing w:line="240" w:lineRule="auto"/>
        <w:ind w:firstLine="0"/>
        <w:jc w:val="both"/>
        <w:rPr>
          <w:i w:val="0"/>
          <w:color w:val="000000" w:themeColor="text1"/>
          <w:sz w:val="16"/>
          <w:szCs w:val="16"/>
        </w:rPr>
      </w:pPr>
      <w:r w:rsidRPr="007224C3">
        <w:rPr>
          <w:i w:val="0"/>
          <w:color w:val="000000" w:themeColor="text1"/>
          <w:sz w:val="16"/>
          <w:szCs w:val="16"/>
        </w:rPr>
        <w:t>2. Существенными недостатками самоходной гаубицы «С-51» при</w:t>
      </w:r>
    </w:p>
    <w:p w14:paraId="4B4D94F1" w14:textId="77777777" w:rsidR="00282955" w:rsidRPr="007224C3" w:rsidRDefault="00282955" w:rsidP="007224C3">
      <w:pPr>
        <w:pStyle w:val="Bodytext141"/>
        <w:shd w:val="clear" w:color="auto" w:fill="auto"/>
        <w:spacing w:line="240" w:lineRule="auto"/>
        <w:ind w:firstLine="0"/>
        <w:jc w:val="both"/>
        <w:rPr>
          <w:i w:val="0"/>
          <w:color w:val="000000" w:themeColor="text1"/>
          <w:sz w:val="16"/>
          <w:szCs w:val="16"/>
        </w:rPr>
      </w:pPr>
      <w:r w:rsidRPr="007224C3">
        <w:rPr>
          <w:i w:val="0"/>
          <w:color w:val="000000" w:themeColor="text1"/>
          <w:sz w:val="16"/>
          <w:szCs w:val="16"/>
        </w:rPr>
        <w:t>стрельбе являются:</w:t>
      </w:r>
    </w:p>
    <w:p w14:paraId="7A57B312" w14:textId="77777777" w:rsidR="00282955" w:rsidRPr="007224C3" w:rsidRDefault="00282955" w:rsidP="007224C3">
      <w:pPr>
        <w:pStyle w:val="Bodytext141"/>
        <w:shd w:val="clear" w:color="auto" w:fill="auto"/>
        <w:tabs>
          <w:tab w:val="left" w:pos="905"/>
        </w:tabs>
        <w:spacing w:line="240" w:lineRule="auto"/>
        <w:ind w:firstLine="0"/>
        <w:jc w:val="both"/>
        <w:rPr>
          <w:i w:val="0"/>
          <w:color w:val="000000" w:themeColor="text1"/>
          <w:sz w:val="16"/>
          <w:szCs w:val="16"/>
        </w:rPr>
      </w:pPr>
      <w:r w:rsidRPr="007224C3">
        <w:rPr>
          <w:i w:val="0"/>
          <w:color w:val="000000" w:themeColor="text1"/>
          <w:sz w:val="16"/>
          <w:szCs w:val="16"/>
        </w:rPr>
        <w:t>а) большой отход назад и сбиваемость наводки, особенно при малых углах возвышения, вследствие неудовлетворительной устойчиво</w:t>
      </w:r>
      <w:r w:rsidRPr="007224C3">
        <w:rPr>
          <w:i w:val="0"/>
          <w:color w:val="000000" w:themeColor="text1"/>
          <w:sz w:val="16"/>
          <w:szCs w:val="16"/>
        </w:rPr>
        <w:softHyphen/>
        <w:t>сти самохода при выстреле.</w:t>
      </w:r>
    </w:p>
    <w:p w14:paraId="117DAB5C" w14:textId="77777777" w:rsidR="00282955" w:rsidRPr="007224C3" w:rsidRDefault="0028295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Большое боковое рассеивание снарядов вследствие бокового сме</w:t>
      </w:r>
      <w:r w:rsidRPr="007224C3">
        <w:rPr>
          <w:rFonts w:ascii="Times New Roman" w:hAnsi="Times New Roman"/>
          <w:color w:val="000000" w:themeColor="text1"/>
          <w:sz w:val="16"/>
          <w:szCs w:val="16"/>
        </w:rPr>
        <w:softHyphen/>
        <w:t>щения орудия при выстреле.</w:t>
      </w:r>
    </w:p>
    <w:p w14:paraId="1D23989A" w14:textId="77777777" w:rsidR="00282955" w:rsidRPr="007224C3" w:rsidRDefault="00282955" w:rsidP="007224C3">
      <w:pPr>
        <w:pStyle w:val="Bodytext141"/>
        <w:shd w:val="clear" w:color="auto" w:fill="auto"/>
        <w:spacing w:line="240" w:lineRule="auto"/>
        <w:ind w:firstLine="0"/>
        <w:jc w:val="both"/>
        <w:rPr>
          <w:i w:val="0"/>
          <w:color w:val="000000" w:themeColor="text1"/>
          <w:sz w:val="16"/>
          <w:szCs w:val="16"/>
        </w:rPr>
      </w:pPr>
      <w:r w:rsidRPr="007224C3">
        <w:rPr>
          <w:i w:val="0"/>
          <w:color w:val="000000" w:themeColor="text1"/>
          <w:sz w:val="16"/>
          <w:szCs w:val="16"/>
        </w:rPr>
        <w:t>Данные недостатки возможно устранить путем постановки сошни</w:t>
      </w:r>
      <w:r w:rsidRPr="007224C3">
        <w:rPr>
          <w:i w:val="0"/>
          <w:color w:val="000000" w:themeColor="text1"/>
          <w:sz w:val="16"/>
          <w:szCs w:val="16"/>
        </w:rPr>
        <w:softHyphen/>
        <w:t>ков в задней части корпуса самохода, как это было применено на 203-мм самоходной установке «СУ-14» конструкции и изготовления Кировского завода, проходившей испытания на НИАПе в 1936 году.</w:t>
      </w:r>
    </w:p>
    <w:p w14:paraId="79A21DEA" w14:textId="77777777" w:rsidR="00282955" w:rsidRPr="007224C3" w:rsidRDefault="00282955" w:rsidP="007224C3">
      <w:pPr>
        <w:pStyle w:val="Bodytext141"/>
        <w:shd w:val="clear" w:color="auto" w:fill="auto"/>
        <w:spacing w:line="240" w:lineRule="auto"/>
        <w:ind w:firstLine="0"/>
        <w:jc w:val="both"/>
        <w:rPr>
          <w:i w:val="0"/>
          <w:color w:val="000000" w:themeColor="text1"/>
          <w:sz w:val="16"/>
          <w:szCs w:val="16"/>
        </w:rPr>
      </w:pPr>
      <w:r w:rsidRPr="007224C3">
        <w:rPr>
          <w:i w:val="0"/>
          <w:color w:val="000000" w:themeColor="text1"/>
          <w:sz w:val="16"/>
          <w:szCs w:val="16"/>
        </w:rPr>
        <w:t>Учитывая, что гаубица в основном будет вести стрельбу при больших углах возвышения, при которых отход назад и сбиваемость наводки менее значительны, для устранения отхода самохода при сравнительно редких и эпизодических стрельбах под малыми углами возвышения можно реко</w:t>
      </w:r>
      <w:r w:rsidRPr="007224C3">
        <w:rPr>
          <w:i w:val="0"/>
          <w:color w:val="000000" w:themeColor="text1"/>
          <w:sz w:val="16"/>
          <w:szCs w:val="16"/>
        </w:rPr>
        <w:softHyphen/>
        <w:t>мендовать подкладывать сзади под гусеницы деревянные брусья из подруч</w:t>
      </w:r>
      <w:r w:rsidRPr="007224C3">
        <w:rPr>
          <w:i w:val="0"/>
          <w:color w:val="000000" w:themeColor="text1"/>
          <w:sz w:val="16"/>
          <w:szCs w:val="16"/>
        </w:rPr>
        <w:softHyphen/>
        <w:t>ного материала.</w:t>
      </w:r>
    </w:p>
    <w:p w14:paraId="5B628F45" w14:textId="77777777" w:rsidR="00282955" w:rsidRPr="007224C3" w:rsidRDefault="00282955" w:rsidP="007224C3">
      <w:pPr>
        <w:pStyle w:val="Bodytext141"/>
        <w:shd w:val="clear" w:color="auto" w:fill="auto"/>
        <w:spacing w:line="240" w:lineRule="auto"/>
        <w:ind w:firstLine="0"/>
        <w:jc w:val="both"/>
        <w:rPr>
          <w:i w:val="0"/>
          <w:color w:val="000000" w:themeColor="text1"/>
          <w:sz w:val="16"/>
          <w:szCs w:val="16"/>
        </w:rPr>
      </w:pPr>
      <w:r w:rsidRPr="007224C3">
        <w:rPr>
          <w:i w:val="0"/>
          <w:color w:val="000000" w:themeColor="text1"/>
          <w:sz w:val="16"/>
          <w:szCs w:val="16"/>
        </w:rPr>
        <w:t>3. АНИОП считает, что 203 мм самоходная гаубица «С-51 по срав</w:t>
      </w:r>
      <w:r w:rsidRPr="007224C3">
        <w:rPr>
          <w:i w:val="0"/>
          <w:color w:val="000000" w:themeColor="text1"/>
          <w:sz w:val="16"/>
          <w:szCs w:val="16"/>
        </w:rPr>
        <w:softHyphen/>
        <w:t>нению с 203-мм гаубицей «Б-4» обладает большей маневренностью движения и огня при сохранении своего огневого могущества и по устранении недостатков, выявленных при испытании и отмеченных в настоящем отчете, может быть рекомендована на вооружение Красной Армии» (17484).</w:t>
      </w:r>
    </w:p>
    <w:p w14:paraId="6F1F2E3E" w14:textId="77777777" w:rsidR="00282955" w:rsidRPr="007224C3" w:rsidRDefault="00282955" w:rsidP="007224C3">
      <w:pPr>
        <w:spacing w:after="0" w:line="240" w:lineRule="auto"/>
        <w:jc w:val="both"/>
        <w:rPr>
          <w:rFonts w:ascii="Times New Roman" w:hAnsi="Times New Roman"/>
          <w:color w:val="000000" w:themeColor="text1"/>
          <w:sz w:val="16"/>
          <w:szCs w:val="16"/>
        </w:rPr>
      </w:pPr>
    </w:p>
    <w:p w14:paraId="1A3DFB1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февраля 1944 года был подготовлен:</w:t>
      </w:r>
    </w:p>
    <w:p w14:paraId="56D71AF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Акт</w:t>
      </w:r>
    </w:p>
    <w:p w14:paraId="15316B1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 Ленинград,</w:t>
      </w:r>
    </w:p>
    <w:p w14:paraId="23E7100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 исполнение приказа НКМВ за № 476 от 24 декабря 1943 года произвели сдачу-приемку материальных ценностей законсервированных предприятий:</w:t>
      </w:r>
    </w:p>
    <w:p w14:paraId="725EA3D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управление № 6</w:t>
      </w:r>
    </w:p>
    <w:p w14:paraId="33C19F3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 823</w:t>
      </w:r>
    </w:p>
    <w:p w14:paraId="2605EEE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 854 (Геологоразведка)</w:t>
      </w:r>
    </w:p>
    <w:p w14:paraId="4CAAD94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 844 (Металлометр)</w:t>
      </w:r>
    </w:p>
    <w:p w14:paraId="515F407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управление № 3</w:t>
      </w:r>
    </w:p>
    <w:p w14:paraId="4E38880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 754 (Леншвеймаш)</w:t>
      </w:r>
    </w:p>
    <w:p w14:paraId="69C7E90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 752 (Лентрикмаш)</w:t>
      </w:r>
    </w:p>
    <w:p w14:paraId="3543CC5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Главармалит</w:t>
      </w:r>
    </w:p>
    <w:p w14:paraId="0503302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 824 (8660,72).</w:t>
      </w:r>
    </w:p>
    <w:p w14:paraId="665AF60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9D2450"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0986ECA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8308E9E" w14:textId="77777777" w:rsidR="00C473F1" w:rsidRPr="007224C3" w:rsidRDefault="00C473F1"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26 февраля</w:t>
      </w:r>
      <w:r w:rsidRPr="007224C3">
        <w:rPr>
          <w:rFonts w:ascii="Times New Roman" w:hAnsi="Times New Roman"/>
          <w:color w:val="000000" w:themeColor="text1"/>
          <w:sz w:val="16"/>
          <w:szCs w:val="16"/>
        </w:rPr>
        <w:t xml:space="preserve"> в 1944 году оперативная сводка Совинформбюро:</w:t>
      </w:r>
    </w:p>
    <w:p w14:paraId="19DC0ABC" w14:textId="77777777" w:rsidR="00C473F1" w:rsidRPr="007224C3" w:rsidRDefault="00C473F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26 февраля на Псковском направлении наши войска, продолжая развивать наступление, овладели городом и крупной железнодорожной станцией Порхов, районным центром Ленинградской области и железнодорожной станцией Новоселье, а также с боями заняли более 100 других населённых пунктов, в том числе Колядуха, Ивановщина, Елевицы, Красная Малаховка, Ямкино, Гусли, Подоклинье, Поляны, Заханье, Тимоново.</w:t>
      </w:r>
    </w:p>
    <w:p w14:paraId="29947EC7" w14:textId="77777777" w:rsidR="00C473F1" w:rsidRPr="007224C3" w:rsidRDefault="00C473F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и юго-западнее города Холм наши войска с боями продвигались вперёд и овладели районным центром Калининской области и крупной железнодорожной станцией Локня, а также с боями заняли более 150 других населённых пунктов и среди них крупные населённые пункты Чихачёво, Шилово, Большие Ляды, Утехино, Морозово, Прокопино, Сергеевская, Сметанино и железнодорожные станции Плотовец, Чихачёво, Ашево, Лозовицы, Сущево, Загоскино, Тигощи, Стримовичи. Нашими войсками полностью очищена от противника железная дорога Дно-Новосокольники.</w:t>
      </w:r>
    </w:p>
    <w:p w14:paraId="40D05FC6" w14:textId="77777777" w:rsidR="00C473F1" w:rsidRPr="007224C3" w:rsidRDefault="00C473F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Северо-западнее и западнее Новосокольники наши войска вели наступательные бои, в ходе которых заняли более 60 населённых пунктов, в том числе Василёво, Поддубье, Грыжево, Суворово, Сушино, Манукова, Уструги, Заходы и железнодорожныестанции Маево, Уструги.</w:t>
      </w:r>
    </w:p>
    <w:p w14:paraId="14F713B6" w14:textId="77777777" w:rsidR="00C473F1" w:rsidRPr="007224C3" w:rsidRDefault="00C473F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 поиски разведчиков.</w:t>
      </w:r>
    </w:p>
    <w:p w14:paraId="65BBEC5B" w14:textId="77777777" w:rsidR="00C473F1" w:rsidRPr="007224C3" w:rsidRDefault="00C473F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25 февраля наши войска на всех фронтах подбили и уничтожили 36 немецких танков. В воздушных боях и огнём зенитной артиллерии сбито 39 самолётов противника.</w:t>
      </w:r>
    </w:p>
    <w:p w14:paraId="75674495" w14:textId="77777777" w:rsidR="00C473F1" w:rsidRPr="007224C3" w:rsidRDefault="00C473F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Псковском направлении наши войска продолжали развивать наступление. Части Н-ского соединения в результате напряжённых боёв овладели городом и крупной железнодорожной станцией Порхов. Другое наше соединение заняло районный центр Ленинградской области и железнодорожную станцию Новоселье. Уничтожено свыше 1.500 немецких солдат и офицеров, сожжено и подбито 7 танков и самоходных орудий. Захвачены трофеи и пленные.</w:t>
      </w:r>
    </w:p>
    <w:p w14:paraId="15BF0D0E" w14:textId="77777777" w:rsidR="00C473F1" w:rsidRPr="007224C3" w:rsidRDefault="00C473F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и юго-западнее города Холм наши войска с боями продвигались вперёд и освободили от немецко-фашистских захватчиков более 150 населённых пунктов. Советские части переправились через реку Шелонь и вышли к шоссе Порхов-Чихачёво. Противник особенно упорно оборонялся на железнодорожной станции Чихачёво. К исходу дня советские бойцы сломили сопротивление немцев и овладели станцией. Захвачено у противника 26 орудий, 15 складов с боеприпасами, 3 склада спродовольствием, 50 автомашин, крупный обоз с военными материалами и другие трофеи. Взяты пленные. Наши войска использовали захваченную немецкую артиллерию и трофейные боеприпасы. Советские артиллеристы из немецких орудий и немецкими снарядами обстреливают отступающие войска противника. На другом участке части Н-ского соединения в ночном бою сломили упорное сопротивление противника и овладели районным центром Калининской области и железнодорожной станцией Локня. В бою за Локню уничтожено свыше 700 немцев. Нашими бойцами захвачено 5 исправных танков, 12 орудий, 5 складов с боеприпасами и 2 склада с инженерным имуществом. Освобождено несколько тысяч советских граждан, которых немцы угоняли на каторгу в Германию.</w:t>
      </w:r>
    </w:p>
    <w:p w14:paraId="5D648E8D" w14:textId="77777777" w:rsidR="00C473F1" w:rsidRPr="007224C3" w:rsidRDefault="00C473F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Северо-западнее и западнее города Новосокольники наши войска, преодолев сильно укреплённую полосу обороны противника, стремительно продвинулись вперёд и заняли свыше 60 населённых пунктов. В бою за один пункт части Н-ского соединения разбили немецкий пехотный полк и уничтожили 6 артиллерийских и миномётных батарей. В другом районе советские бойцы проникли в тыл противника и ночью ворвались в село, занятое ротой немецкой пехоты. Нападение было проведено настолько внезапно, что никто из немцев не успел убежать. Большая часть гитлеровцев уничтожена, а остальные взяты в плен.</w:t>
      </w:r>
    </w:p>
    <w:p w14:paraId="75BDA776" w14:textId="77777777" w:rsidR="00C473F1" w:rsidRPr="007224C3" w:rsidRDefault="00C473F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Несколько партизанских отрядов, действующих в Витебской области, в полуторамесячных непрерывных боях разгромили немецкие гарнизоны в 30 населённых пунктах. Уничтожено свыше тысячи гитлеровцев. За это же время советские патриоты пустили под откос 46 немецких воинских эшелонов. В течение только одной ночи партизаны взорвали около четырёх тысяч рельсов.</w:t>
      </w:r>
    </w:p>
    <w:p w14:paraId="07CE5DD2" w14:textId="77777777" w:rsidR="00C473F1" w:rsidRPr="007224C3" w:rsidRDefault="00C473F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Взятый в плен в районе южнее Звенигорода унтер-офицер 108 гренадерского полка 14 немецкой танковой дивизии Франц Шульц рассказал: «Наша дивизия, вместе сдругими танковыми и пехотными соединениями, пыталась извне прорваться на помощь немецким войскам, окружённым в районе Корсунь-Шевченковский. Командование не считалось ни с какими потерями. Нас забрасывали приказами, полными угроз, торопили и подхлёстывали. Солдатам внушали, что, когда речь идёт </w:t>
      </w:r>
      <w:r w:rsidRPr="007224C3">
        <w:rPr>
          <w:rFonts w:ascii="Times New Roman" w:hAnsi="Times New Roman"/>
          <w:color w:val="000000" w:themeColor="text1"/>
          <w:sz w:val="16"/>
          <w:szCs w:val="16"/>
        </w:rPr>
        <w:lastRenderedPageBreak/>
        <w:t>о престиже немецких вооружённых сил, никакие, даже самые тяжёлые, жертвы не являются чрезмерными. Во всех приказах говорилось, что надо спешить и любой ценой освободить окружённые дивизии, иначе будет поздно. Первые же дни показали, что эта попытка была обречена на провал. В ожесточённых боях 14 дивизия понесла исключительно тяжёлые потери. Наш полк был отрезан от своих соседей и окружён. Командир полка майор Брезе приказал нашему батальону во что бы то ни стало пробиться сквозь кольцо русских и расчистить путь остальным подразделениям. Получив приказ, батальон двинулся в соседнее село, которое, по данным разведки, никем не было занято. Близ села на нас неожиданно напали русские танки. Началась невообразимая паника. Я спрятался в сарае. Крестьяне меня задержали и передали красноармейцам. Здесь, в плену, я встретил многих солдат 108 полка».</w:t>
      </w:r>
    </w:p>
    <w:p w14:paraId="12F1EFD3" w14:textId="77777777" w:rsidR="00C473F1" w:rsidRPr="007224C3" w:rsidRDefault="00C473F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Ниже публикуется акт о зверствах немецко-фашистских мерзавцев в деревне Ольховец, Калининской области: «В прошлом году в деревню Ольховец нагрянулн емецкий карательный отряд. Каратели пробыли в деревне три дня. Этих чёрных дней мы не забудем никогда. Немцы выгнали крестьян из домов на улицу и арестовали всех жителей, у кого в этот день кто-либо из членов семьи отсутствовал. Арестованных заперли в хлеву. Вскоре гитлеровцы пригнали группу арестованных женщин с детьми из деревни Овинище. Ночью немецкие изверги облили горючей смесью хлев, в котором находились арестованные, и подожгли его. В огне погибло 45 наших односельчан, в числе которых было много подростков и детей».</w:t>
      </w:r>
    </w:p>
    <w:p w14:paraId="668A1D69" w14:textId="77777777" w:rsidR="00C473F1" w:rsidRPr="007224C3" w:rsidRDefault="00C473F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Акт подписали жители деревни Ольховец: П.Клементьева, А.Параева, Т.Клементьева и другие.» (15052).</w:t>
      </w:r>
    </w:p>
    <w:p w14:paraId="5B9721FB" w14:textId="77777777" w:rsidR="00C473F1" w:rsidRPr="007224C3" w:rsidRDefault="00C473F1" w:rsidP="007224C3">
      <w:pPr>
        <w:spacing w:after="0" w:line="240" w:lineRule="auto"/>
        <w:jc w:val="both"/>
        <w:rPr>
          <w:rFonts w:ascii="Times New Roman" w:hAnsi="Times New Roman"/>
          <w:color w:val="000000" w:themeColor="text1"/>
          <w:sz w:val="16"/>
          <w:szCs w:val="16"/>
        </w:rPr>
      </w:pPr>
    </w:p>
    <w:p w14:paraId="4FFF760C" w14:textId="77777777" w:rsidR="00C473F1" w:rsidRPr="007224C3" w:rsidRDefault="00C473F1"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26 февраля</w:t>
      </w:r>
      <w:r w:rsidRPr="007224C3">
        <w:rPr>
          <w:rFonts w:ascii="Times New Roman" w:hAnsi="Times New Roman"/>
          <w:color w:val="000000" w:themeColor="text1"/>
          <w:sz w:val="16"/>
          <w:szCs w:val="16"/>
        </w:rPr>
        <w:t xml:space="preserve"> в 1944 году авиация дальнего действия СССР совершла самый мощный и продолжительный за время войны </w:t>
      </w:r>
      <w:hyperlink r:id="rId59" w:tgtFrame="_blank" w:history="1">
        <w:r w:rsidRPr="007224C3">
          <w:rPr>
            <w:rFonts w:ascii="Times New Roman" w:hAnsi="Times New Roman"/>
            <w:color w:val="000000" w:themeColor="text1"/>
            <w:sz w:val="16"/>
            <w:szCs w:val="16"/>
          </w:rPr>
          <w:t xml:space="preserve">налет на Хельсинки. </w:t>
        </w:r>
      </w:hyperlink>
      <w:r w:rsidRPr="007224C3">
        <w:rPr>
          <w:rFonts w:ascii="Times New Roman" w:hAnsi="Times New Roman"/>
          <w:color w:val="000000" w:themeColor="text1"/>
          <w:sz w:val="16"/>
          <w:szCs w:val="16"/>
        </w:rPr>
        <w:t>В течение 10 часов 13 минут 880 бомбардировщиков, прорвавшихся к Хельсинки, сбросили 6452 бомб общим тоннажем 1066,8 тонн. Финские посты ВНОС получили заблаговременное предупреждение и к 18.15 обнаружили приближение 130 самолетов. Через полчаса на город упали первые бомбы. Впоследствии служба ВНОС условно разделила весь налет на три этапа. До 22.30 с востока подходили самолеты по 20-30 машин в группе, причем в каждой из них имелся экипаж-осветитель. С 22.30 до 2.30 одиночные самолеты изматывали ПВО. Затем последовали новые волны бомбардировщиков по 2-10 самолетов, в которых головные экипажи освещали цель. Атаки велись с пяти направлений. Целые кварталы оказались в огне, отмечалось более 40 взрывов. Было хорошо видно, как горели эшелоны и склады на железнодорожной станции, территории газового завода и электростанции окутались сплошным дымом… На этот раз блокировщики «A-20G» не только обстреливали зенитные точки противника, но и пытались препятствовать взлету ночных истребителей. В ночь на 27 февраля отличились экипажи блокировщиков подполковника Бурлуцкого, майора Курятника и капитана Кочнева. Учитывая большое количество самолетов, заходивших на цель разными курсами, перед стартом были предприняты дополнительные меры предосторожности. Командование потребовало строго выдерживать эшелоны и временные интервалы. Требовалось не допустить повторения трагического происшествия в ночь на 11 февраля, когда в плохих метеоусловиях над Кронштадтом одновременно кружились множество машин, и «Ли-2» Героя Советского Союза майора Я.И.Пляшечника из 1-го Гвардейского авиационного полка 5-го авиационного корпуса столкнулся с «Ли-2» лейтенанта Т.А.Кобзева из 102-го авиационного полка 7-го авиационного корпуса. Тогда погибли 12 членов экипажей. Благодаря четкой дисциплине, во время налета на Хельсинки подобных случаев удалось избежать. В ночь на 27 февраля авиация дальнего действия лишилось 9 бомбардировщиков, но все потери оказались боевыми – они не превысили одного процента от числа вылетевших машин авиации дальнего действия Особая роль при осуществлении третьего налета принадлежала авиаторам 7-го авиационного корпуса. Наиболее подготовленные из них стартовали в ночь трижды. В историческом формуляре корпуса имеется такая запись: "На двух аэродромах аэроузла Левашове-Озерки плотно разместились 90 боевых самолетов. Дерзко, но выгодно: 30 км от передовых частей ленинградской группировки противника на юго-западе, 12 км от переднего края немецко-финских войск на Карельском перешейке. До Хельсинки по прямой – 290 км. Это исключительно смелый пример базирования ночной бомбардировочной авиации в непосредственной близости от переднего края…" 35 авиаторов за налеты на Хельсинки были удостоены звания Героев Советского Союза, двое из них – летчики 5-го гвардейского авиационного полка майор П.А.Таран и В.Н.Сипов – получили Золотые Звезды во второй раз. Любопытно, что капитана Н.П.Краснова из 10-го гвардейского авиационного полка представляли к высокому званию еще осенью 1943 г., но из-за нарушений дисциплины его фамилия тогда не была внесена в список награжденных. И лишь после успешного выполнения четырех рейдов на Хельсинки, утром 27 февраля 1944 г. командир дивизии 3-й гвардейской авиационной дивизии полковник Бровко написал на аттестации летчика: "Достоин высокого звания". На счету Н.П.Краснова к тому времени имелись 275 боевых вылетов, в том числе 73 выполненных днем и 14 – на дальние цели (15052).</w:t>
      </w:r>
    </w:p>
    <w:p w14:paraId="1660785D" w14:textId="77777777" w:rsidR="00C473F1" w:rsidRPr="007224C3" w:rsidRDefault="00C473F1" w:rsidP="007224C3">
      <w:pPr>
        <w:spacing w:after="0" w:line="240" w:lineRule="auto"/>
        <w:jc w:val="both"/>
        <w:rPr>
          <w:rFonts w:ascii="Times New Roman" w:hAnsi="Times New Roman"/>
          <w:color w:val="000000" w:themeColor="text1"/>
          <w:sz w:val="16"/>
          <w:szCs w:val="16"/>
        </w:rPr>
      </w:pPr>
    </w:p>
    <w:p w14:paraId="0DF63EA3" w14:textId="77777777" w:rsidR="00A44782" w:rsidRPr="007224C3" w:rsidRDefault="00A4478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ночь с 26 на 27 февраля 1944 45-я АДДД снова летала бомбить Хельсинки. В период с 17 ч. 02 мин. по 18 ч. 06 мин. взлетело 18 самолетов. Один корабль из 890-го АПДД вернулся и сел на своем аэродроме, не выполнив задания из-за отказа мат части. Остальные 17 бомбили цель в период с 21 ч. мин. по 22 ч. 01 мин. На цель было сброшено: 2 ФАБ-2000тга, 18 ФАБ-2000,2 ФАБ-1000 тга, 8 ФАБ-500 тга, 10 ФАБ-500,4 ФАБ- 250тга, 8 ФАБ-250, 23 ЗАБ-ЮО цк, 34 САБ-100,4 ФОТАБ-100-60. Из состава 25-го гв. АПДД основную цель бомбили Пе-8 с заводскими номерами: 42076 (командир корабля Адамов), 42067 (командир корабля Обухов), 42028 (командир корабля Симонов), 42088 (командир корабля Сугак), 42059 (командир корабля Шатров), 42410 (командир корабля Ищенко), 421010 (командир корабля Угрюмов), 42311 (командир корабля Зеленский), 42611 (командир корабля Каминский). Из состава 890 АПДД бомбили основную цель Пе-8 с заводскими номе</w:t>
      </w:r>
      <w:r w:rsidRPr="007224C3">
        <w:rPr>
          <w:rFonts w:ascii="Times New Roman" w:hAnsi="Times New Roman"/>
          <w:color w:val="000000" w:themeColor="text1"/>
          <w:sz w:val="16"/>
          <w:szCs w:val="16"/>
        </w:rPr>
        <w:softHyphen/>
        <w:t>рами: 4214 (командир корабля Сукоркин), 42078 (командир корабля Белков), 42098 (командир корабля Кокарев), 42089 (ко</w:t>
      </w:r>
      <w:r w:rsidRPr="007224C3">
        <w:rPr>
          <w:rFonts w:ascii="Times New Roman" w:hAnsi="Times New Roman"/>
          <w:color w:val="000000" w:themeColor="text1"/>
          <w:sz w:val="16"/>
          <w:szCs w:val="16"/>
        </w:rPr>
        <w:softHyphen/>
        <w:t>мандир корабля Архаров), 42810 (коман</w:t>
      </w:r>
      <w:r w:rsidRPr="007224C3">
        <w:rPr>
          <w:rFonts w:ascii="Times New Roman" w:hAnsi="Times New Roman"/>
          <w:color w:val="000000" w:themeColor="text1"/>
          <w:sz w:val="16"/>
          <w:szCs w:val="16"/>
        </w:rPr>
        <w:softHyphen/>
        <w:t>дир корабля Олейников), 42211 (командир корабля Самохин), 42411(командир кора</w:t>
      </w:r>
      <w:r w:rsidRPr="007224C3">
        <w:rPr>
          <w:rFonts w:ascii="Times New Roman" w:hAnsi="Times New Roman"/>
          <w:color w:val="000000" w:themeColor="text1"/>
          <w:sz w:val="16"/>
          <w:szCs w:val="16"/>
        </w:rPr>
        <w:softHyphen/>
        <w:t>бля Романов), 42711 (командир корабля Марусиченко). Два корабля получили по</w:t>
      </w:r>
      <w:r w:rsidRPr="007224C3">
        <w:rPr>
          <w:rFonts w:ascii="Times New Roman" w:hAnsi="Times New Roman"/>
          <w:color w:val="000000" w:themeColor="text1"/>
          <w:sz w:val="16"/>
          <w:szCs w:val="16"/>
        </w:rPr>
        <w:softHyphen/>
        <w:t>вреждения от огня зенитной артиллерии. Пе-8 421010 (командир корабля Угрюмое, штурман Легкоступ) не вернулся с бое</w:t>
      </w:r>
      <w:r w:rsidRPr="007224C3">
        <w:rPr>
          <w:rFonts w:ascii="Times New Roman" w:hAnsi="Times New Roman"/>
          <w:color w:val="000000" w:themeColor="text1"/>
          <w:sz w:val="16"/>
          <w:szCs w:val="16"/>
        </w:rPr>
        <w:softHyphen/>
        <w:t>вого задания. В 22 ч. 00 мин. радист этого экипажа дал сигнал о бомбометании, после чего связь с экипажем прекрати</w:t>
      </w:r>
      <w:r w:rsidRPr="007224C3">
        <w:rPr>
          <w:rFonts w:ascii="Times New Roman" w:hAnsi="Times New Roman"/>
          <w:color w:val="000000" w:themeColor="text1"/>
          <w:sz w:val="16"/>
          <w:szCs w:val="16"/>
        </w:rPr>
        <w:softHyphen/>
        <w:t>лась. Некоторые экипажи в это же время видели над целью горящий Пе-8, который упал в 10-15 километрах северо-западнее Хельсинки. Погибли все двенадцать чле</w:t>
      </w:r>
      <w:r w:rsidRPr="007224C3">
        <w:rPr>
          <w:rFonts w:ascii="Times New Roman" w:hAnsi="Times New Roman"/>
          <w:color w:val="000000" w:themeColor="text1"/>
          <w:sz w:val="16"/>
          <w:szCs w:val="16"/>
        </w:rPr>
        <w:softHyphen/>
        <w:t>нов экипажа.</w:t>
      </w:r>
    </w:p>
    <w:p w14:paraId="3ACDA531" w14:textId="77777777" w:rsidR="00A44782" w:rsidRPr="007224C3" w:rsidRDefault="00A4478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Командир корабля капитан Угрюмов и штурман майор Легкоступ, ранее, входя в состав разных экипажей, уже были сбиты под Орлом в ночь с 20 на 21 июля 1943-го года. Тогда они смогли спастись на парашютах, а в этот раз, к сожалению погибли.</w:t>
      </w:r>
    </w:p>
    <w:p w14:paraId="7E47288E" w14:textId="77777777" w:rsidR="00A44782" w:rsidRPr="007224C3" w:rsidRDefault="00A4478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состав экипажа кроме командира корабля гвардии капитана Угрюмова А.С. входили: 2-й летчик гвардии стар</w:t>
      </w:r>
      <w:r w:rsidRPr="007224C3">
        <w:rPr>
          <w:rFonts w:ascii="Times New Roman" w:hAnsi="Times New Roman"/>
          <w:color w:val="000000" w:themeColor="text1"/>
          <w:sz w:val="16"/>
          <w:szCs w:val="16"/>
        </w:rPr>
        <w:softHyphen/>
        <w:t>ший лейтенант Булатников В.В., штурман корабля гвардии старший лейтенант Гончаров С.И., штурман полка гвардии майор Легкоступ М.Е. (в этом полете он был в качестве проверяющего), стрелок бомбардир гвардии младший лейтенант Лежнев И.Ф., борттехник гвардии стар</w:t>
      </w:r>
      <w:r w:rsidRPr="007224C3">
        <w:rPr>
          <w:rFonts w:ascii="Times New Roman" w:hAnsi="Times New Roman"/>
          <w:color w:val="000000" w:themeColor="text1"/>
          <w:sz w:val="16"/>
          <w:szCs w:val="16"/>
        </w:rPr>
        <w:softHyphen/>
        <w:t>ший техник-лейтенант Солдатов Я.Я., помощник борттехника гвардии старший техник-лейтенант Прохоров И.С., воздуш</w:t>
      </w:r>
      <w:r w:rsidRPr="007224C3">
        <w:rPr>
          <w:rFonts w:ascii="Times New Roman" w:hAnsi="Times New Roman"/>
          <w:color w:val="000000" w:themeColor="text1"/>
          <w:sz w:val="16"/>
          <w:szCs w:val="16"/>
        </w:rPr>
        <w:softHyphen/>
        <w:t>ный стрелок-радист гвардии старший лейтенант Павлов М,И., стрелок гвардии старший сержант Спретнюк А.В., стрелок гвардии старшина Петров М.Г., стрелок гвардии старший сержант Смирнов А.А., стрелок гвардии сержант Смирнов В.И.</w:t>
      </w:r>
    </w:p>
    <w:p w14:paraId="0AEBD509" w14:textId="77777777" w:rsidR="00A44782" w:rsidRPr="007224C3" w:rsidRDefault="00A4478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возвращении домой, на корабле №42089 (командир корабля Архаров, штурман Корогородов) заклинил один мотор, в результате была произведена посадка на аэродроме Выползово. Остальные пятнадцать самолетов произ</w:t>
      </w:r>
      <w:r w:rsidRPr="007224C3">
        <w:rPr>
          <w:rFonts w:ascii="Times New Roman" w:hAnsi="Times New Roman"/>
          <w:color w:val="000000" w:themeColor="text1"/>
          <w:sz w:val="16"/>
          <w:szCs w:val="16"/>
        </w:rPr>
        <w:softHyphen/>
        <w:t>вели посадку на своем аэродроме (19559).</w:t>
      </w:r>
    </w:p>
    <w:p w14:paraId="14588114" w14:textId="77777777" w:rsidR="00A44782" w:rsidRPr="007224C3" w:rsidRDefault="00A44782" w:rsidP="007224C3">
      <w:pPr>
        <w:spacing w:after="0" w:line="240" w:lineRule="auto"/>
        <w:jc w:val="both"/>
        <w:rPr>
          <w:rFonts w:ascii="Times New Roman" w:hAnsi="Times New Roman"/>
          <w:color w:val="000000" w:themeColor="text1"/>
          <w:sz w:val="16"/>
          <w:szCs w:val="16"/>
        </w:rPr>
      </w:pPr>
    </w:p>
    <w:p w14:paraId="225CA8B2"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февраля 1944 около 600 советских самолетов совершили самый мощный за время войны налет на Хельсинки (4962).</w:t>
      </w:r>
    </w:p>
    <w:p w14:paraId="57C072A1"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CFA6CA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ночь с 26 на 27 февраля для атаки на Хельсинки в 45-й авиадивизии собрали 18 боевых кораблей. Пе-8 №421010 экипажа Угрюмова был сбит зенитным огнем в 10-12 км от центра города, самолет загорелся и упал в Финский залив точно на юг от Хельсинки (12025).</w:t>
      </w:r>
    </w:p>
    <w:p w14:paraId="7E26CDD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31B340B1"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Жизнь и внутренняя политика:</w:t>
      </w:r>
    </w:p>
    <w:p w14:paraId="44C597B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B5B653B" w14:textId="77777777" w:rsidR="00C473F1" w:rsidRPr="007224C3" w:rsidRDefault="00C473F1"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26 февраля</w:t>
      </w:r>
      <w:r w:rsidRPr="007224C3">
        <w:rPr>
          <w:rFonts w:ascii="Times New Roman" w:hAnsi="Times New Roman"/>
          <w:color w:val="000000" w:themeColor="text1"/>
          <w:sz w:val="16"/>
          <w:szCs w:val="16"/>
        </w:rPr>
        <w:t xml:space="preserve"> в 1944 году НКВД СССР за подписью Л.П.Берия издал приказ № 00186с/с «О мероприятиях по выселению из Кабардино–Балкарской АССР балкарского населения». Для подготовки и проведения операции по депортации балкарцев предлагалось осуществить следующие мероприятия:</w:t>
      </w:r>
    </w:p>
    <w:p w14:paraId="2C478963" w14:textId="77777777" w:rsidR="00C473F1" w:rsidRPr="007224C3" w:rsidRDefault="00C473F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Организовать пять оперативных секторов:.</w:t>
      </w:r>
    </w:p>
    <w:p w14:paraId="4F6E65AB" w14:textId="77777777" w:rsidR="00C473F1" w:rsidRPr="007224C3" w:rsidRDefault="00C473F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Первый - Эльбрусский, в составе Эльбрусского района, место дислокации село Нижний Баксан. Начальник оперативного сектора генерал-майор Петров, его заместители: по оперативной работе майор ГБ Афанасенко, по войскам - полковник Дроженко.</w:t>
      </w:r>
    </w:p>
    <w:p w14:paraId="593F2EA1" w14:textId="77777777" w:rsidR="00C473F1" w:rsidRPr="007224C3" w:rsidRDefault="00C473F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Второй оперативный сектор - Чегемский, в составе Чегемского района, место дислокации село Нижний Чегем. Начальник сектора генерал-майор Прошин, его заместители; по оперативной работе подполковник ГБ Парцхаладзе, по военной - полковник Шевцов.</w:t>
      </w:r>
    </w:p>
    <w:p w14:paraId="67ECCAB3" w14:textId="77777777" w:rsidR="00C473F1" w:rsidRPr="007224C3" w:rsidRDefault="00C473F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Третий оперативный сектор - Хуламо-Безенгиевский в составе Хуламо-Безенгиевского района, место дислокации село Кашкатау. Начальник сектора подполковник ГБ Шестаков, его заместители: по оперативной работе подполковник Краснов, по войскам - подполковник Каменев; Четвертый оперативный сектор - Черекский в составе Черекского района, место дислокации село Куспарты. Начальник сектора комиссар ГБ Клепов, его заместители: по оперативной работе подполковник ГБ Хапов, по войскам - полковник Алексеев.</w:t>
      </w:r>
    </w:p>
    <w:p w14:paraId="02292AAB" w14:textId="77777777" w:rsidR="00C473F1" w:rsidRPr="007224C3" w:rsidRDefault="00C473F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Пятый оперативный сектор - Нальчикский, в составе города Нальчика, село Ташлы-Тала Лескенского района, сёла Хабаз и Кичмалка Нагорного района. Место дислокации город Нальчик. Начальник сектора подполковник ГБ Золотов, его заместители: по оперативной работе полковник милиции Егоров, по войскам - полковник Харьков.</w:t>
      </w:r>
    </w:p>
    <w:p w14:paraId="00569C58" w14:textId="77777777" w:rsidR="00C473F1" w:rsidRPr="007224C3" w:rsidRDefault="00C473F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Ответственность за подготовку и проведение операции возложить на генерал-майора Пияшева. Его заместителями назначить наркома внутренних дел Кабардино-Балкарской АССР полковник ГБ Бзиаву, наркома госбезопасности КБАССР полковник ГБ Филатова, генерал-майора Сладкевич.</w:t>
      </w:r>
    </w:p>
    <w:p w14:paraId="15B8949F" w14:textId="77777777" w:rsidR="00C473F1" w:rsidRPr="007224C3" w:rsidRDefault="00C473F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Выделить для проведения операции следующие соединения и части войск НКВД:</w:t>
      </w:r>
    </w:p>
    <w:p w14:paraId="652A4828" w14:textId="77777777" w:rsidR="00C473F1" w:rsidRPr="007224C3" w:rsidRDefault="00C473F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Московская стрелковая дивизия без 10-го полка; 23-я стрелковая бригада, 263-й, 266-й, 136-й,170-й стрелковые полки, 3-й мотострелковый полк, Московская военно-техническое училище, Саратовское военное училище, Орджоникидзевское пограничное училище, Школа усовершенствования политсостава, Отдельный батальон промышленных войск. Общая численность - 17.000 человек.</w:t>
      </w:r>
    </w:p>
    <w:p w14:paraId="221F2384" w14:textId="77777777" w:rsidR="00C473F1" w:rsidRPr="007224C3" w:rsidRDefault="00C473F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Кроме того, для обеспечения необходимых оперативных мероприятий выделялось 4.000 оперативных работников НКВД -НКГБ. Для конвоирования выселенных выделялся 244-й полк конвойных войск НКВД. Срок сосредоточения полка в городе Нальчике - 1 марта 1944 года; войск и оперативного состава по участкам - 5 марта 1944 года.</w:t>
      </w:r>
    </w:p>
    <w:p w14:paraId="1FA23188" w14:textId="77777777" w:rsidR="00C473F1" w:rsidRPr="007224C3" w:rsidRDefault="00C473F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оперативных секторов перед операцией по переселению предлагалось на основании оперативных материалов арестовать антисоветски настроенных лиц после оцепления населенных пунктов.</w:t>
      </w:r>
    </w:p>
    <w:p w14:paraId="2C52F930" w14:textId="77777777" w:rsidR="00C473F1" w:rsidRPr="007224C3" w:rsidRDefault="00C473F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Координация всей работы по переселению, перевозкам, конвоирования и охраны выселяемых, а также снабжение войск и обеспечение связи руководства операцией с оперсекторами возлагалось на группу в составе: начальника 3-го управления НКГБ СССР комиссара ГБ 3-го ранга Мильштейна, начальника автобронетанковой службы 1-ой московской стрелковой дивизии майора Ильинского, начальника управления конвойных войск НКВД СССР генерал-майора Бочкова, начальника связи 1-ой Московской стрелковой дивизии Федюнькина, заместителя начальника отдела управления военного снабжения НКВД СССР подполковника Бродского.</w:t>
      </w:r>
    </w:p>
    <w:p w14:paraId="062E648F" w14:textId="77777777" w:rsidR="00C473F1" w:rsidRPr="007224C3" w:rsidRDefault="00C473F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Днем начала операции приказом устанавливался 10 марта 1944 года, однако затем днем икс стал 8 марта (15052).</w:t>
      </w:r>
    </w:p>
    <w:p w14:paraId="3CD46551" w14:textId="77777777" w:rsidR="00C473F1" w:rsidRPr="007224C3" w:rsidRDefault="00C473F1" w:rsidP="007224C3">
      <w:pPr>
        <w:spacing w:after="0" w:line="240" w:lineRule="auto"/>
        <w:jc w:val="both"/>
        <w:rPr>
          <w:rFonts w:ascii="Times New Roman" w:hAnsi="Times New Roman"/>
          <w:color w:val="000000" w:themeColor="text1"/>
          <w:sz w:val="16"/>
          <w:szCs w:val="16"/>
        </w:rPr>
      </w:pPr>
    </w:p>
    <w:p w14:paraId="3B3FA41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февраля 1944 приказом № 85 на базе Управления строительства гидротехнических узлов на реке Волге (Волгострой) НКВД и Рыбинского ИТЛ воссоздавался Волжский ИТЛ (Волголаг), начальником которого был назначен - с должности главного инженера Широкстроя НКВД - генерал-майор инженерно-технической службы В. Д. Журин (в 1937-м он уже был главным инженером Волгостроя НКВД, а в 1940-1942 годах - начальником Волгостроя-Волголага) (7560).</w:t>
      </w:r>
    </w:p>
    <w:p w14:paraId="138649F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D05323"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Внешняя политика:</w:t>
      </w:r>
    </w:p>
    <w:p w14:paraId="5012275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37C860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февраля 1944 года</w:t>
      </w:r>
    </w:p>
    <w:p w14:paraId="3B2EAEA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СЕКРЕТНО И ЛИЧНО ОТ ПРЕМЬЕРА И. В. СТАЛИНА ПРЕМЬЕР-МИНИСТРУ г-ну У. ЧЕРЧИЛЛЮ И ПРЕЗИДЕНТУ г-ну Ф. РУЗВЕЛЬТУ</w:t>
      </w:r>
    </w:p>
    <w:p w14:paraId="08F037E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Два Ваших послания, в том числе от 7 февраля об итальянских судах, получил 24 февраля. Я ознакомился также г письмом по этому вопросу г-на Керра на имя В. М. Молотова</w:t>
      </w:r>
      <w:r w:rsidRPr="007224C3">
        <w:rPr>
          <w:rFonts w:ascii="Times New Roman" w:hAnsi="Times New Roman"/>
          <w:color w:val="000000" w:themeColor="text1"/>
          <w:sz w:val="16"/>
          <w:szCs w:val="16"/>
          <w:vertAlign w:val="superscript"/>
        </w:rPr>
        <w:t>70</w:t>
      </w:r>
      <w:r w:rsidRPr="007224C3">
        <w:rPr>
          <w:rFonts w:ascii="Times New Roman" w:hAnsi="Times New Roman"/>
          <w:color w:val="000000" w:themeColor="text1"/>
          <w:sz w:val="16"/>
          <w:szCs w:val="16"/>
        </w:rPr>
        <w:t>.</w:t>
      </w:r>
    </w:p>
    <w:p w14:paraId="029C977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Благодарю Вас и г-на Президента за сообщение о Вашем решении осуществить передачу во временное пользование Советскому Союзу Великобританией 8 эсминцев и 4 подводных лодок, а также линейного корабля и 20 тыс. тонн торговых судов и Соединенными Штатами крейсера и 20 тыс. тонн торговых судов. Поскольку г-н Керр специально предупредил, что все эсминцы являются старыми, у меня имеется некоторое опасение относительно боевых качеств этих эсминцев. Между тем мне кажется, что для английского и американского флотов не может представлять затруднений выделить в числе восьми эсминцев хотя бы половину эсминцев современных, а не старых. Я все же надеюсь, что Вы и Президент найдете возможным, чтобы в числе передаваемых эсминцев было по крайней мере четыре современных. В результате военных действий со стороны Германии и Италии у нас погибла значительная часть наших эсминцев. Поэтому для нас имеет большое значение хотя бы частичное восполнение этих потерь (7430).</w:t>
      </w:r>
    </w:p>
    <w:p w14:paraId="4C6AA8A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D62B3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февраля 1944 года</w:t>
      </w:r>
    </w:p>
    <w:p w14:paraId="5D451EE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СЕКРЕТНО И ЛИЧНО ОТ ПРЕМЬЕРА И. В. СТАЛИНА ПРЕЗИДЕНТУ г-ну Ф. РУЗВЕЛЬТУ И ПРЕМЬЕР-МИНИСТРУ г-ну У. ЧЕРЧИЛЛЮ</w:t>
      </w:r>
    </w:p>
    <w:p w14:paraId="3FBF145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Два Ваших послания об итальянских судах получил 24 и 25 февраля через г-на Гарримана. Получил также Ваше совместное с г-ном Премьер-Министром послание от 7 февраля</w:t>
      </w:r>
      <w:r w:rsidRPr="007224C3">
        <w:rPr>
          <w:rFonts w:ascii="Times New Roman" w:hAnsi="Times New Roman"/>
          <w:color w:val="000000" w:themeColor="text1"/>
          <w:sz w:val="16"/>
          <w:szCs w:val="16"/>
          <w:vertAlign w:val="superscript"/>
        </w:rPr>
        <w:t>60</w:t>
      </w:r>
      <w:r w:rsidRPr="007224C3">
        <w:rPr>
          <w:rFonts w:ascii="Times New Roman" w:hAnsi="Times New Roman"/>
          <w:color w:val="000000" w:themeColor="text1"/>
          <w:sz w:val="16"/>
          <w:szCs w:val="16"/>
        </w:rPr>
        <w:t>, переданное мне через Британского Посла г-на Керра 24 февраля.</w:t>
      </w:r>
    </w:p>
    <w:p w14:paraId="207BABE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Благодарю Вас и г-на Премьер-Министра за сообщение о Вашем решении осуществить передачу во временное пользование Советскому Союзу Великобританией 8 эсминцев и 4 подводных лодок, а также линейного корабля и 20 тыс. тонн торговых судов и Соединенными Штатами крейсера и 20 тыс. тонн торговых судов. Поскольку г-н Керр специально предупредил, что все эсминцы являются старыми, у меня имеется некоторое опасение относительно боевых качеств этих эсминцев. Между тем мне кажется, что для английского и американского флотов не может представлять затруднений выделить в числе восьми эсминцев хотя бы половину эсминцев современных, а не старых. Я все же надеюсь, что Вы и Премьер-Министр найдете возможным, чтобы в числе передаваемых эсминцев было по крайней мере четыре современных. В результате военных действий со стороны Германии и Италии у нас погибла значительная часть наших эсминцев. Поэтому для нас имеет большое значение хотя бы частичное восполнение этих потерь (7430).</w:t>
      </w:r>
    </w:p>
    <w:p w14:paraId="437E075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EC99AD"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13D0727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EC4194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февраля 1944 был последний немецкий налет на Лондон (3907,248).</w:t>
      </w:r>
    </w:p>
    <w:p w14:paraId="040B38D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8FC3AE" w14:textId="77777777" w:rsidR="00F35A80" w:rsidRPr="007224C3" w:rsidRDefault="00F35A80"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26 февраля</w:t>
      </w:r>
      <w:r w:rsidRPr="007224C3">
        <w:rPr>
          <w:rFonts w:ascii="Times New Roman" w:hAnsi="Times New Roman"/>
          <w:color w:val="000000" w:themeColor="text1"/>
          <w:sz w:val="16"/>
          <w:szCs w:val="16"/>
        </w:rPr>
        <w:t xml:space="preserve"> в 1944 году массированный авианалет британских ВВС на Аугсбург. Разрушен исторический центр города (15052).</w:t>
      </w:r>
    </w:p>
    <w:p w14:paraId="4F52B98F" w14:textId="77777777" w:rsidR="00F35A80" w:rsidRPr="007224C3" w:rsidRDefault="00F35A80" w:rsidP="007224C3">
      <w:pPr>
        <w:spacing w:after="0" w:line="240" w:lineRule="auto"/>
        <w:jc w:val="both"/>
        <w:rPr>
          <w:rFonts w:ascii="Times New Roman" w:hAnsi="Times New Roman"/>
          <w:color w:val="000000" w:themeColor="text1"/>
          <w:sz w:val="16"/>
          <w:szCs w:val="16"/>
        </w:rPr>
      </w:pPr>
    </w:p>
    <w:p w14:paraId="33A58A80"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70BF2B6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0F05B77"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февраля 1944 на следующий день после получения самолета Ил-АМ-42 со «старым» проверенным винтом АВ-5 л-18Б испытательная бригада НИИ ВВС провела тщательный осмотр самолета и его взвешивание, а 28 февраля А. К. Долгов выполнил ознакомительный полет продолжительностью 20 минут. В полете потек левый маслобак. Вдобавок на посадке отказали тормоза левого шасси, но благодаря мастерству летчика обошлось без поломки. Замена маслобака, тормозов и левого колеса шасси продолжалась до 5.00 следующего дня, поскольку именно 29 февраля официально начинались государственные испытания самолета.</w:t>
      </w:r>
    </w:p>
    <w:p w14:paraId="4FF1D0A7"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Первый испытательный полет, в котором планировалось определить расход горючего на различных режимах, длился 55 минут и был прекращен вследствие самопроизвольного возрастания давления наддува. На посадке вновь отказали тормоза левого шасси. Работа по замене тормозов, свечей и регулировке карбюраторов затянулась до 2 часов ночи, но утром 1 марта и днем погода была совершенно нелетной. Решили провести весь комплекс наземных испытаний бомбардировочного вооружения.</w:t>
      </w:r>
    </w:p>
    <w:p w14:paraId="0ADE6A37"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следующий день погода опять была нелетная. Самолет загнали в институтский тир, где произвели отстрел оборонительной установки ВУ-8. Здесь испытателей ждала «неприятность»: прострелили киль, стабилизатор, рули направления и высоты. Однако погода и аэродромные службы сделали бригаде подарок – в течение следующих трех дней при неважной погоде аэродром был «не готов к взлету: рыхлый снег, вода».</w:t>
      </w:r>
    </w:p>
    <w:p w14:paraId="119D87C4"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Было решено одновременно с устранением пулевых повреждений провести на самолете небольшие доработки, улучшающие эксплуатационные и пилотажные качества машины. Заново отрегулировали карбюраторы, поставили новые троса управления «из-за большой заершенности старых», уменьшили щели между нижней частью крыла и элеронами (поставлена более широкая пластина), заменили покрышку костыльного колеса и лючки над бомболюком с левой внутренней стороны. Параллельно успели отработать химическое вооружение самолета.</w:t>
      </w:r>
    </w:p>
    <w:p w14:paraId="636E1E20"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марта утром удалось выполнить один часовой полет на замер скорости и скороподъемности по высотам, так как с 11.00 полеты были запрещены. На следующий день погода благоприятствовала проведению испытаний, но в первом же полете на определение расхода горючего лопнула трубка, подводящая воду к левому блоку цилиндров. Пришлось идти на посадку и устранять неисправность.</w:t>
      </w:r>
    </w:p>
    <w:p w14:paraId="1286AD1C"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марта с утра стояла нелетная погода, но к 16.00 развеялось и удалось выполнить один полет на полигон для бомбометания и стрельбы из пушек и пулеметов. Вечером вновь пришлось менять свечи.</w:t>
      </w:r>
    </w:p>
    <w:p w14:paraId="53ABCBD6"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Ввиду нелетной погоды в течение следующего дня самолет «затащили» в тир, где отстреляли все вооружение.</w:t>
      </w:r>
    </w:p>
    <w:p w14:paraId="00B7A138"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период 11–13 марта погода была ограниченно летной, но летать все же удавалось. Всего было выполнено 15 взлетов и посадок для определения взлетно-посадочных характеристик самолета, три полета на стрельбу и бомбометание по наземным целям и определение скороподъемности самолета по высотам.</w:t>
      </w:r>
    </w:p>
    <w:p w14:paraId="1FB097F8"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марта погода окончательно испортилась, но летать все равно было бы нельзя, так как у самолета обнаружилась течь бензина из трубки подвода к карбюраторам и поломка уплотнительного кольца вала редуктора. Выявились и другие неисправности.</w:t>
      </w:r>
    </w:p>
    <w:p w14:paraId="54C2C888"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Следующие четыре дня прошли в хлопотах по устранению дефектов самолета. Попутно установили новые элероны с увеличенной аэродинамической компенсацией (29 % вместо 27 %).</w:t>
      </w:r>
    </w:p>
    <w:p w14:paraId="4F93DAAA"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Несмотря на неблагоприятные метеоусловия, 19 марта удалось выполнить 8 непродолжительных полетов, в том числе 5 – на определение взлетно-посадочных свойств и по одному полету на бомбометание, проверку действия в воздухе ВАП-250 и замер расхода горючего. Всего за день налетали 1 ч 55 мин. В ходе последнего полета сгорели прокладки всасывающих патрубков.</w:t>
      </w:r>
    </w:p>
    <w:p w14:paraId="76389867"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Устранение вновь выявленных неисправностей затянулось до 22 марта, но в этот день погода опять оказалась нелетной. Только на следующий день удалось выполнить один часовой полет на замер расхода горючего. Затем последовал четырехдневный перерыв в полетах из-за плохой погоды. Наконец, 28 марта установилась </w:t>
      </w:r>
      <w:r w:rsidRPr="007224C3">
        <w:rPr>
          <w:rFonts w:ascii="Times New Roman" w:hAnsi="Times New Roman"/>
          <w:color w:val="000000" w:themeColor="text1"/>
          <w:sz w:val="16"/>
          <w:szCs w:val="16"/>
        </w:rPr>
        <w:lastRenderedPageBreak/>
        <w:t>устойчивая летная погода, которая продержалась три дня. В эти дни бригада испытателей работала весьма активно и 30 марта в 18.00 рапортовала руководству института об успешном завершении государственных испытаний.</w:t>
      </w:r>
    </w:p>
    <w:p w14:paraId="743B8FCA"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Таким образом, испытания Ил-АМ-42 (экз. № 1) продолжались в течение 31 календарного дня, из которых летных дней было всего 10, нелетных – 14. Еще 7 дней пришлось затратить на ремонт и доводку самолета. В общей сложности было выполнено 44 полета с налетом 19 ч 30 мин.</w:t>
      </w:r>
    </w:p>
    <w:p w14:paraId="2C0839A3"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ходе испытаний самолет облетали ведущий инженер-летчик 3-го отдела НИИ ВВС инженер-майор А. В. Синельников, летчик-испытатель 4-го отдела майор М. П. Субботин, старший летчик-испытатель 3-го отдела майор В. С. Журавлев и летчик-испытатель подполковник М. А. Нюхтиков. В качестве штурманов облета участвовали капитан Т. Ф. Горбунов, заместитель начальника 4-го отдела полковник Н. И. Шауров, помощник начальника 6-го отдела капитан Васильев, штурман-испытатель капитан В. Н. Ковынев, штурман-испытатель подполковник Н. П. Цветков.</w:t>
      </w:r>
    </w:p>
    <w:p w14:paraId="5297E26D"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Как следует из документов, самолет проходил испытания в двух вариантах: разведчика-корректировщика и штурмовика-бомбардировщика, которые отличались друг от друга фактически только бомбовой нагрузкой и заправкой самолета горючим и маслом. Состав фото- и радиооборудования самолета в ходе испытаний оставался неизменным и соответствовал «следопыту».</w:t>
      </w:r>
    </w:p>
    <w:p w14:paraId="27D662FD"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Стрелково-пушечное вооружение самолета в обоих вариантах назначения было одинаковым и включало две пушки ВЯ (300 патронов), два пулемета ШКАС (1500 патронов) и оборонительный пулемет УБК (3 диска по 50 патронов) на ВУ-8. Ракетное вооружение не предусматривалось.</w:t>
      </w:r>
    </w:p>
    <w:p w14:paraId="66A05342"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Нормальный полетный вес штурмовика-бомбардировщика устанавливался в 7260 кг, в перегрузку – 7660 кг. Полезная нагрузка при нормальном полетном весе составляла 1995 кг.</w:t>
      </w:r>
    </w:p>
    <w:p w14:paraId="2FA6F287"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перегрузочном варианте допускалась подвеска до 1000 кг бомб, в том числе на двух внешних узлах две бомбы типа ФАБ-500 или два выливных авиаприбора ВАП-250 или УХАП-250.</w:t>
      </w:r>
    </w:p>
    <w:p w14:paraId="32B2FFEF"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Нагрузка в варианте «следопыта» ограничивалась 1460 кг и отличалась от штурмового варианта отсутствием бомбовой нагрузки и увеличенным до 120 кг весом съемного оборудования.</w:t>
      </w:r>
    </w:p>
    <w:p w14:paraId="181133F7"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Поскольку состав съемного оборудования на самолете Ил-АМ-42 (экз. № 1) соответствовал варианту разведчика-корректировщика, то при загрузке 600 кг бомб и полной заправке горючим и маслом вес самолета на 65 кг превышал нормальный полетный вес, установленный для штурмовика-бомбардировщика. Поэтому при проведении испытательных полетов в варианте штурмовика вес горючего уменьшался ровно на 65 кг.</w:t>
      </w:r>
    </w:p>
    <w:p w14:paraId="670350C9"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Мотор АМ-42 на протяжении всего времени испытаний работал с недостатками: дымление, тряска, непостоянство наддува на режиме номинальной мощности, течь масла из-под уплотнения вала редуктора мотора, из-под крышки блоков, из корпуса нагнетателя через дренаж (после остановки мотора), а также засорение воздушных клапанов карбюраторов, быстрый износ поршневых колец и т. д. Отмечался и большой расход горючего на номинальном режиме работы мотора, который при контрольном полете 19 марта составил 295–315 г/л. с. ч.</w:t>
      </w:r>
    </w:p>
    <w:p w14:paraId="053F28DB"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ходе испытаний пришлось заменить маслоуплотнитель носка вала редуктора мотора, регулятор давления наддува, прокладки под всасывающими патрубками (для чего был демонтирован карбюратор). Дважды заменили весь комплект свечей, по одному разу все свечи внешнего ряда, водяную трубку (подводящую охлаждающую воду к левому блоку цилиндров мотора от помпы) и бензотрубку (подводящую топливо к карбюраторам). Из-за течи по сварке трижды ремонтировались маслобаки. Одновременно были отремонтированы все карбюраторы и коллекторы нагнетателя.</w:t>
      </w:r>
    </w:p>
    <w:p w14:paraId="630F1A5F"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выполнении работ по устранению недостатков и дефектов «в полный рост» проявилась непродуманность конструкции винтомоторной группы с точки зрения удобства эксплуатации. Например, для того чтобы снять водяную трубку, необходимо было демонтировать блоки мотора, выхлопные патрубки и левый маслобак, а затем вернуть их на свои места. Замена трубопровода, подводящего горючее к карбюраторам, выливалась в полный демонтаж всасывающей трубы нагнетателя и карбюратора. Испытатели отмечали трудоемкую замену свечей внутренней стороны, и особенно проводников к свечам. На их замену затрачивалось до 5–6 часов. Трубки, подводящие воду к блокам, имели слишком большую длину (без технологических разъемов), что серьезно усложняло их замену и ремонт.</w:t>
      </w:r>
    </w:p>
    <w:p w14:paraId="55738CEC"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общем, проблем с мотором хватало с избытком, но бригаде НИИ ВВС все же удалось отлетать программу испытаний почти в полном объеме.</w:t>
      </w:r>
    </w:p>
    <w:p w14:paraId="4CF20E7A"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первую очередь определялись летно-технические данные Ил-АМ-42 (экз. № 1) в варианте штурмовика-бомбардировщика и только затем – в варианте разведчика-корректировщика. Как показали полеты, основные данные нового самолета заметно превосходили Ил-2, хотя, по мнению военных, уже не отвечали в полном объеме современным требованиям.</w:t>
      </w:r>
    </w:p>
    <w:p w14:paraId="7D2248DD"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нормальном полетном весе (600 кг бомб на внутренней подвеске) максимальная скорость полета оказалась равной 472 км/ч на высоте 2500 м и 428 км/ч – у земли. Вертикальная скорость не превышала 7 м/с на высоте 1000 м и 6,7 м/с – у земли. Разбег самолета с отклоненными на 17° щитками и с форсажем мотора составил 435 м. Пробег при посадочном весе 5900 кг с применением тормозов и отклонением щитков на 45° оказался в пределах 465 м. Посадочная скорость равнялась 136 км/ч.</w:t>
      </w:r>
    </w:p>
    <w:p w14:paraId="275251BB"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Разведчик-корректировщик на всех высотах летал на 8 км/ч быстрее штурмовика-бомбардировщика. Примерно на 22 % была выше скороподъемность и на 11 % горизонтальная маневренность. Лучшими были и взлетно-посадочные характеристики. Из-за непостоянства наддува в полете при работе мотора, тряски и выработки ресурса мотора (к моменту начала полетов в варианте «следопыта» остаток ресурса составлял 4–5 часов) измерить скороподъемность выше границы высотности не удалось.</w:t>
      </w:r>
    </w:p>
    <w:p w14:paraId="1C1627C3"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всех вариантах полетного веса центровка самолета (шасси выпущено) находилась в пределах от 19,9 % САХ (пустой самолет) до 23,3 % (перегрузочный вариант с 1000 кг бомб).</w:t>
      </w:r>
    </w:p>
    <w:p w14:paraId="1900197E"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Дальность полета на высоте 1000 м и скорости 308 км/ч составила 820 км – на 155 км больше дальности полета Ил-2 АМ-38ф. При этом отмечалось, что дальность полета 2-го экземпляра Ил-АМ-42, на котором установлены бензобаки емкостью 1020 л, будет достигать 980 км.</w:t>
      </w:r>
    </w:p>
    <w:p w14:paraId="33DEAC59"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своим пилотажным свойствам Ил-АМ-42 оказался достаточно простым и легким в управлении. В сравнении с Ил-2 новый самолет обладал значительно лучшей продольной устойчивостью и управляемостью, что упростило технику пилотирования, особенно на виражах и бреющих полетах. Летчики-испытатели отмечали, что Ил-АМ-42 в отличие от Ил-2 «на вираже позволяет значительно выбирать ручку руля высоты на себя, для уменьшения радиуса виража». Пикировал самолет устойчиво. Просадка на выводе оказалась несколько больше, чем у серийного Ил-2. Сила отдачи при стрельбе из пушек почти не сказывалась на пилотировании самолетом и прицеливании. Маневренность Ил-АМ-42 в вертикальной и горизонтальной плоскостях оказалась почти такой же, как у серийной «двойки», даже несколько хуже, и считалась недостаточной для условий боевых действий завершающего периода войны. Тем не менее в целом самолет оставил у военных летчиков-испытателей хорошее впечатление. «Специального переучивания летного состава для перехода с Ил-2 не требует», – указывалось в отчете по испытаниям.</w:t>
      </w:r>
    </w:p>
    <w:p w14:paraId="0086A74E"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улучшения пилотажных качеств машины летчики предлагали на руль поворота установить триммер, а на элероны «наклепать ножи для регулировки от подваливания».</w:t>
      </w:r>
    </w:p>
    <w:p w14:paraId="48CD0E10"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Указывалось, что Ил-АМ-42 строился по нормам прочности 1941 года и относится к классу Б – ограниченно маневренных самолетов. При полетном весе 7250 кг разрушающая перегрузка равнялась 7,5 единицы, эксплуатационная перегрузка («установленная главным конструктором самолета») – 4,96 единицы.</w:t>
      </w:r>
    </w:p>
    <w:p w14:paraId="7DA15486"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Помимо неудовлетворительной работы мотора АМ-42 отмечались и ряд других недостатков, отнесенных специалистами института к разряду основных.</w:t>
      </w:r>
    </w:p>
    <w:p w14:paraId="3134A6BF"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частности, для самолета боя представлялось обязательным наличие системы заполнения бензобаков нейтральным газом. На Ил-АМ-42, как указывалось выше, такая система имелась, но на государственные испытания официально она не предъявлялась, так как не была доведена до рабочего состояния.</w:t>
      </w:r>
    </w:p>
    <w:p w14:paraId="4BEDAFD9"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Схему бронирования Ил-АМ-42 специалисты НИИ ВВС оценили как не отвечающую современным требованиям. Соответствующее заключение начальник 8-го отдела института инженер-полковник Лагутин утвердил 24 марта. В ряду особо уязвимых мест значились задняя бронеперегородка штурмана-стрелка (толщина 12 мм) и моторная часть снизу-сбоку (толщина 4 мм). Боевой опыт показал, что именно эти места бронекорпуса Ил-2 наиболее часто поражаются огнем противника. Предлагалось усилить эти участки путем перераспределения толщины брони при сохранении веса брони на прежнем уровне. Для этого рекомендовалось «снять с корпуса/…/передние броневые детали за втулкой винта, уменьшить с 5 до 2,5 мм толщину деталей пояса кабины летчика в местах примыкания крыла к фюзеляжу». Кроме этого, требовалось заднюю перегородку штурмана установить по образцу 2-го экземпляра Ил-АМ-42, то есть сделать экранированной две бронеплиты по 8 мм и обеспечить защиту головы штурмана бронестеклом.</w:t>
      </w:r>
    </w:p>
    <w:p w14:paraId="787FF617"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то же время отмечалось, что обе кабины – летчика и штурмана-стрелка – в сравнении с Ил-2 имеют увеличенные размеры, что улучшает условия боевой работы экипажа. В кабине штурмана-стрелка вместо брезентовой ленты (как на Ил-2) устанавливалось постоянное откидное сиденье. Штурман облета капитан Т. Ф. Горбунов отмечал, что в кабине «тепло, задуваний нет, можно работать без летных очков». Посадка в кабину через нижний люк в бронекорпусе была признана удобной. В аварийной ситуации штурман легко покидал кабину с парашютом. Однако при посадке на фюзеляж выбраться из своей кабины штурман не мог, «так как фонарь летчика при открытии надвигается на фонарь штурмана».</w:t>
      </w:r>
    </w:p>
    <w:p w14:paraId="6010BD86"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достоинству машины было отнесено применение электрической системы управления заслонками водо- и маслорадиаторов, а также пневмоэлектрической системы управления огнем и перезарядки стрелково-пушечного вооружения, поскольку это сильно облегчало работу летчика в бою.</w:t>
      </w:r>
    </w:p>
    <w:p w14:paraId="7D43B08B"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Положительно оценили наличие дублирования в каналах управления рулем высоты, поворота, элеронами и триммерами.</w:t>
      </w:r>
    </w:p>
    <w:p w14:paraId="28D8AFCC"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Установка в кабине пилота прицела ПБП-1б на легкосъемном кронштейне обеспечивала летчику дополнительную безопасность при посадке с убранным шасси. Как известно, на Ил-2 ранних серий летчики часто ударялись о прицел ПБП-1 головой во время вынужденных посадок, что нередко приводило к серьезным травмам, а в ряде случаев – и к смертельным исходам.</w:t>
      </w:r>
    </w:p>
    <w:p w14:paraId="1BDCDCC9"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Бомбовое вооружение штурмовика-бомбардировщика Ил-АМ-42 по номенклатуре бомб и весу в целом соответствовало требованиям войны. Бомбометание допускалось как с горизонтального полета, так и с пикирования, но под углами не более 25–30°, хотя на испытаниях самолет пикировал до 40° без каких-либо нареканий. Для бомбометания с горизонтального полета предназначался прицел ОПБ-1р. Сброс бомб мог осуществляться и штурманом, и летчиком. Однако </w:t>
      </w:r>
      <w:r w:rsidRPr="007224C3">
        <w:rPr>
          <w:rFonts w:ascii="Times New Roman" w:hAnsi="Times New Roman"/>
          <w:color w:val="000000" w:themeColor="text1"/>
          <w:sz w:val="16"/>
          <w:szCs w:val="16"/>
        </w:rPr>
        <w:lastRenderedPageBreak/>
        <w:t>прицельно сбросить бомбы ни тот ни другой не могли. Из-за плохого обзора передней полусферы штурман без помощи летчика «не может вывести самолет на нехарактерную цель» (объект удара), то есть «заранее найти цель, опознать ее, а затем осуществить наводку». Как отмечалось в отчете, «выполнить все это через прицел не представляется возможным». В свою очередь, «вследствие неудовлетворительного качества прицельных устройств» летчик мог прицеливаться и бомбить «с горизонта» лишь по наитию. Фактически получалось так, что при бомбометании с горизонтального полета наводку на цель и выход на боевой курс должен был выполнять непосредственно летчик, а прицеливание – штурман, «что требует соответствующей методической проработки».</w:t>
      </w:r>
    </w:p>
    <w:p w14:paraId="030EBCED"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Кроме этого, бомбовый прицел штурмана в полете нещадно забрызгивался маслом, которое выбивалось из-под уплотнительного кольца втулки винта и носка коленчатого вала мотора. По этим причинам в первом же полете на испытание бомбового вооружения 9 марта штурман капитан Т. Ф. Горбунов был вынужден сбросить все бомбы залпом, неприцельно, за один заход. Для предохранения прицела от попадания масла на заводе № 240 был изготовлен специальный щиток. Установка щитка на самолет положение не улучшило – оптика забрызгивалась маслом. Прицельное бомбометание по-прежнему оставалось невозможным. В испытательном полете 19 марта со щитком из-за замасливания оптики Горбунов сбросил все бомбы аварийно. В то же время отмечалось, что работать с ОПБ-1р в боевом положении удобно, а сам прицел является наиболее подходящим для установки на Ил-АМ-42, если, конечно, «устранить забрызгивание оптики прицела маслом».</w:t>
      </w:r>
    </w:p>
    <w:p w14:paraId="67728286"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этим причинам для бомбометания с горизонтального полета рекомендовалось использовать прицельную систему, отработанную для Ил-2: разметку и визирные штыри на бронекапоте самолета, метки и прицельные линии на лобовом и боковых бронестеклах фонаря кабины.</w:t>
      </w:r>
    </w:p>
    <w:p w14:paraId="2F0631E3"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Бомбометание с пикирования по методике ничем не отличалось от таковой на Ил-2 и в целом показало хорошие результаты вследствие лучшей устойчивости самолета при пикировании.</w:t>
      </w:r>
    </w:p>
    <w:p w14:paraId="1BB4AED4"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Отметим, что маслом забрызгивалось и переднее бронестекло фонаря кабины пилота, что, естественно, ухудшало условия прицеливания.</w:t>
      </w:r>
    </w:p>
    <w:p w14:paraId="7DA3BAED"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отработки стрелково-пушечного вооружения было выполнено в общей сложности 19 полетов, из них «9 полетов со стрельбой по наземным целям и 10 полетов с ВУ-8».</w:t>
      </w:r>
    </w:p>
    <w:p w14:paraId="0D4713FB"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Если к пушкам ВЯ и пулеметам ШКАС при стрельбе в воздухе каких-либо серьезных претензий у военных испытателей не было, то работой оборонительной установки ВУ-8 с пулеметом УБК и ее возможностями они остались недовольны.</w:t>
      </w:r>
    </w:p>
    <w:p w14:paraId="7AD63DA6"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 недостатки ВУ-8 в явном виде проявились в воздушном бою с немецким истребителем Bf109G-2, который состоялся 30 апреля. За воздушного стрелка вылетал штурман-испытатель подполковник Н. П. Цветков. Атаки выполнялись со всех возможных в реальном бою направлений. При этом на маршруте полета от Чкаловской до Ногинска «мессер» успевал выполнить до 8–9 атак, находясь всегда в задней полусфере и отворачивая всякий раз в сторону с набором высоты.</w:t>
      </w:r>
    </w:p>
    <w:p w14:paraId="080815B9"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Оказалось, что за время одной атаки «мессершмитта» штурман успевал только развернуть установку в сторону истребителя и выставить пулемет в необходимое положение для стрельбы по нему, а на прицеливание оставалось «такое незначительное время, что точно навести прицел с требуемой поправкой на скорость цели не удалось ни разу». С одной стороны, это обуславливалось большими угловыми скоростями цели, а с другой – значительными усилиями для удерживания пулемета при прицеливании и стрельбе. Дело в том, что для выполнения грубой наводки на цель штурману приходилось одной рукой (правой) удерживать пулемет, а другой рукой (левой) – фиксировать стопор каретки установки и одновременно «доворачивать пулеметную установку на цель». После окончания грубой наводки штурман переносил левую руку на пулемет для точного прицеливания, но положение цели за это время менялось настолько, что она оказывалась за пределами углового сектора точной наводки пулемета. Требовалось вновь перемещать саму установку и выполнять точную наводку пулеметом и т. д. То есть «одной рукой довести пулемет и прицелиться невозможно».</w:t>
      </w:r>
    </w:p>
    <w:p w14:paraId="39361CF8"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Положение усугублялось еще и тем обстоятельством, что при работе с пулеметом имело место «много мелких трудноуловимых препятствий, затруднявших маневр пулеметом и установкой».</w:t>
      </w:r>
    </w:p>
    <w:p w14:paraId="6C0229DC"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Как следует из донесения Цветкова, производить прицеливание при стрельбе вверх было крайне неудобно, так как «приходится опускаться на корточки, и получается очень напряженное, неустойчивое положение». При поворотах установки на левый борт очень трудно использовать доводочные углы пулемета, требовалось менять положение туловища относительно оружия, а поскольку прицел располагался слева от пулемета, то для прицеливания нужно было втиснуться между пулеметом и установкой. К тому же сильно мешал установленный в кабине штурмана фотоаппарат АЩАФА-2. Положение стрелка было недостаточно устойчивым – во время прицеливания и стрельбы все время приходилось подыскивать место, куда бы поставить ноги. Отсюда потеря времени на прицеливание. Практически получалось так, что обеспечить прицельный огонь с левого борта было нельзя.</w:t>
      </w:r>
    </w:p>
    <w:p w14:paraId="2A0CDFF9"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Стрельба с незастопоренной установкой показала, что пулемет в этом случае резко уходит к правому борту, а при стрельбе с застопоренной установкой пулемет сильно трясет.</w:t>
      </w:r>
    </w:p>
    <w:p w14:paraId="4AF92175"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Ведение прицельного огня на виражах оказалось невозможным, так как пулемет прижимает вниз, а «приподнять и удержать его не хватает силы», не говоря уже о том, чтобы одновременно с этим еще и поворачивать установку в сторону цели. Во время воздушного боя на виражах истребитель легко держался в хвосте и на первом же вираже заходил строго в хвост на дистанцию открытия действительного огня 100–150 м.</w:t>
      </w:r>
    </w:p>
    <w:p w14:paraId="528562B7"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мнению подполковника Цветкова, маневренность ВУ-8 и пулемета в целом явно недостаточная для эффективного отражения атак истребителей, «в лучшем случае она может позволить сделать одну прицельную очередь, и то с недостаточной точностью прицеливания». Одновременно отмечалось, что сама установка ВУ-8 заметно лучше, чем блистерная установка БЛУБ на Су-6, и несколько лучше, чем ВУБ-3 на Ил-2.</w:t>
      </w:r>
    </w:p>
    <w:p w14:paraId="6228DED2"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Справедливости ради следует отметить, что при всех атаках со стороны задней полусферы летчик по команде штурмана энергичным маневром успевал доворачивать самолет таким образом, чтобы штурман мог держать противника в секторе обстрела. Это до некоторой степени компенсировало ограниченность углов обстрела установки, однако не обеспечивало ведение прицельной стрельбы.</w:t>
      </w:r>
    </w:p>
    <w:p w14:paraId="54F8FE0C"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отражении атак истребителя со стороны солнца выявилась еще одна интересная особенность ВУ-8 – плексиглас козырька установки слепил штурмана еще больше, чем солнце, вследствие чего прицеливаться было невозможно.</w:t>
      </w:r>
    </w:p>
    <w:p w14:paraId="6F36F171"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Кроме этого, переговорное устройство штурмана и летчика работало неудовлетворительно: «… сильный треск и шум не давали разговаривать, переключатель абонентской коробки во время боя несколько раз самопроизвольно переключался в положение РС или РК, что нарушало связь с летчиком».</w:t>
      </w:r>
    </w:p>
    <w:p w14:paraId="29D96926"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Серьезными недостатками ВУ-8 считались небольшая емкость магазина пулемета УБК и большое время его смены. Полсотни патронов в магазине оказалось недостаточно для отражения даже одной атаки истребителя. В то же время на его замену уходило около одной минуты, что было совершенно неприемлемым для реальных условий боя. В отчете указывалось, что за счет некоторых конструктивных улучшений можно сократить время смены магазина до 45–50 секунд, но все равно оно оставалось большим.</w:t>
      </w:r>
    </w:p>
    <w:p w14:paraId="14A39C44"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сравнению с ранее принятыми подобными установками преимуществ не имеет, за исключением того, что защищает стрелка от задувания», – констатировал подполковник Цветков после проведенного им воздушного боя с немецким истребителем.</w:t>
      </w:r>
    </w:p>
    <w:p w14:paraId="63AE9ECA"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выводах отчета предлагалось увеличить углы обстрела вверх и по горизонту и емкость магазина, хотя бы до 75 патронов, а также «отработать механизм, компенсирующий вес пулемета и магазина».</w:t>
      </w:r>
    </w:p>
    <w:p w14:paraId="3D0E8D2A"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Предъявлялись претензии и к спецоборудованию самолета. В частности, отмечалась плохая конструктивная проработка экранировки системы зажигания мотора, вследствие чего «уровень помех радиоприема вырастает до недопустимых величин». Схема коммутации средств радио- и внутрисамолетной связи не учитывала особенности работы экипажа на данном самолете – «летчик и штурман совмещают лишние функции».</w:t>
      </w:r>
    </w:p>
    <w:p w14:paraId="724A5FAB"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Несмотря на столь обширный перечень дефектов и недостатков Ил-АМ-42, в заключении акта по испытаниям самолет был рекомендован к запуску в серийное производство в вариантах штурмовика-бомбардировщика и разведчика-корректировщика.</w:t>
      </w:r>
    </w:p>
    <w:p w14:paraId="2A45140A"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целью выявления боевых качеств Ил-АМ-42 предлагалось «выпустить войсковую серию этих самолетов». Причем когда акт подписывал начальник НИИ ВВС генерал-лейтенант П. А. Лосюков, то он собственноручно дописал к этому пункту документа: «…даже с 50 час. ресурсом АМ-42 (если не успеют моторы со 100 час. ресурсом)».</w:t>
      </w:r>
    </w:p>
    <w:p w14:paraId="371E9348"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Военные специалисты считали необходимым «просить Наркома авиапромышленности тов. Шахурина А. И. дать задания: а) Главному конструктору мотора АМ-42 тов. Микулину А. А. довести опытный мотор до состояния пригодного к нормальной эксплуатации. б) Главному конструктору самолета Ил с АМ-42 тов. Ильюшину С. В. до запуска в серийное производство устранить дефекты, отмеченные в выводах…»</w:t>
      </w:r>
    </w:p>
    <w:p w14:paraId="2B050E38"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Что касается установки на самолет кассет ДАГ-10 и крупнокалиберных пушек 11П, а также величины бомбовой нагрузки с этими пушками, то решение планировалось принять после проведения испытаний 2-го экземпляра самолета Ил-АМ-42 (17490).</w:t>
      </w:r>
    </w:p>
    <w:p w14:paraId="7BFF44BF" w14:textId="77777777" w:rsidR="005C20A0" w:rsidRPr="007224C3" w:rsidRDefault="005C20A0" w:rsidP="007224C3">
      <w:pPr>
        <w:spacing w:after="0" w:line="240" w:lineRule="auto"/>
        <w:jc w:val="both"/>
        <w:rPr>
          <w:rFonts w:ascii="Times New Roman" w:hAnsi="Times New Roman"/>
          <w:color w:val="000000" w:themeColor="text1"/>
          <w:sz w:val="16"/>
          <w:szCs w:val="16"/>
        </w:rPr>
      </w:pPr>
    </w:p>
    <w:p w14:paraId="0AFD3B6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февраля 1944 года на Як-9У в ходе гос. испытаний в НИИ ВВС поставили новый, второй мотор ВК-107А (1821,133).</w:t>
      </w:r>
    </w:p>
    <w:p w14:paraId="2FDC234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430EC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февраля 1944 вл и-к Фролов подписал Летную оценку по результатам дополнительных (после переделок, произведенных ГК завода 51 тов. Поликарповым) испытаний модернизированного самолета У-2ВС с мотором М-11Д и винтом ВФШ Д=2.35м - эталон первого полугодия 1944 (3461).</w:t>
      </w:r>
    </w:p>
    <w:p w14:paraId="4699A40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3791C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февраля 1944 г.С.П.К. подготовил:</w:t>
      </w:r>
    </w:p>
    <w:p w14:paraId="61E0D10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ПРОЕКТ ТЕМАТИЧЕСКОГО ПЛАНА РАБОТ ПО РЕАКТИВНЫМ УСТАНОВКАМ С ДВИГАТЕЛЕМ РД-1 НА 1944 г.</w:t>
      </w:r>
    </w:p>
    <w:p w14:paraId="08BF701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ВВЕДЕНИЕ</w:t>
      </w:r>
    </w:p>
    <w:p w14:paraId="333C73A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Применение на винтомоторных самолетах вспомогательного двигателя РД-1 связано с рядом присущих жидкостным реактивным двигателям особенностей.</w:t>
      </w:r>
    </w:p>
    <w:p w14:paraId="312CCDB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числу их относятся: значительная мощность и высокая приемистость при малом весе двигателя, а также независимость развиваемой тяги от скорости и высоты полета.</w:t>
      </w:r>
    </w:p>
    <w:p w14:paraId="1EDBCFD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Эти качества позволяют достигнуть большой скорости, скороподъемности и высоты полета самолетов, что недоступно с помощью других известных в настоящее время двигателей. Одновременно установка на самолетах жидкостного двигателя типа РД-1 влечет за собой необходимость утяжеления машин за счет реактивного топлива, удельный расход которого значителен.</w:t>
      </w:r>
    </w:p>
    <w:p w14:paraId="71C19BC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силу этого использование реактивного двигателя и, следовательно, расходование топлива может происходить только в отдельные, сравнительно короткие моменты полета, а в остальное время полет совершается на основном моторе с перегрузкой.</w:t>
      </w:r>
    </w:p>
    <w:p w14:paraId="2B8253B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Использование в качестве одного из компонентов топлива азотной кислоты требует создания на самолетах надежно отработанных специальных систем, конструкции, предохранительных устройств и связано со специальными условиями эксплуатации.</w:t>
      </w:r>
    </w:p>
    <w:p w14:paraId="41D1C03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Вследствие этого при практическом решении той или иной задачи по применению двигателей типа РД-1 нельзя обходить вопросы, связанные с реактивной установкой на самолете в целом. Простой установкой реактивных двигателей и "удобных" по объему топливных баков невозможно достичь сколь-либо удовлетворительных результатов.</w:t>
      </w:r>
    </w:p>
    <w:p w14:paraId="26C89F3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Вместе с тем, несмотря на указанные выше особенности и новизну всего дела, несомненно, что самолеты, оборудованные реактивными установками с РД-1, рационально разработанными и скомпонованными для конкретного назначения, могут представлять самостоятельный и значительный интерес в системе боевого оснащения ВВС Красной Армии.</w:t>
      </w:r>
    </w:p>
    <w:p w14:paraId="79906CD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отдельных случаях реактивные установки специализированного типа с двигателем РД-1 дадут наилучшее возможное в настоящее время решение задачи, например, в вариантах: высотном, для полета на сверхвысотах, большого винтомоторного потолка, стартовом — при значительной перегрузке машин бомбами или горючим.</w:t>
      </w:r>
    </w:p>
    <w:p w14:paraId="34ABB9D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Следует отметить, что в дальнейшем, с ростом высотности и взлетной мощности авиамоторов, реактивные установки названных типов не потеряют своего значения, а соответственно дадут новые результаты.</w:t>
      </w:r>
    </w:p>
    <w:p w14:paraId="3B042E6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ближайшее время вспомогательные реактивные установки с РД-1 на винтомоторных самолетах явятся наиболее жизненной формой практического использования жидкостных реактивных двигателей на их современной стадии развития.</w:t>
      </w:r>
    </w:p>
    <w:p w14:paraId="2A7567C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Работы по реактивным установкам с двигателем РД-1 проводились с февраля 1943 г. группой № 5 ОКБ-16. В прошлом году силами группы № 5 была разработана и осуществлена на заводе № 22 модификация самолета Пе-2 № 15/185 с опытной реактивной установкой, двигателем РД-1 и частично произведены летные испытания этой машины. Полученные в результате испытаний экспериментальные данные близко совпадают с расчетными. Опытная материальная часть в процессе испытаний работала нормально.</w:t>
      </w:r>
    </w:p>
    <w:p w14:paraId="751B443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Одновременно разрабатывались вопросы дальнейшего применения реактивных установок с двигателем РД-1 в различных вариантах.</w:t>
      </w:r>
    </w:p>
    <w:p w14:paraId="3215B72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В качестве ускорителя: переработка опытной установки для использования в первую очередь на самолетах типа "Пе" с целью улучшения скоростных данных.</w:t>
      </w:r>
    </w:p>
    <w:p w14:paraId="0620D2C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Двухмоторный самолет типа "Пе" является наиболее подходящим для этой цели, так как наряду с высокими летными данными обеспечивается значительная продолжительность использования реактивных двигателей без изменения в остальное время полета летно-тактического лица машины.</w:t>
      </w:r>
    </w:p>
    <w:p w14:paraId="3441D95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легких одномоторных самолетах удовлетворение всех этих условий недоступно и использование реактивного ускорителя практически себя не оправдывает.</w:t>
      </w:r>
    </w:p>
    <w:p w14:paraId="5D3B539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Наоборот, при решении задачи высоты наилучшими самолетами для полетов с помощью вспомогательного реактивного двигателя являются машины типа легких одномоторных истребителей.</w:t>
      </w:r>
    </w:p>
    <w:p w14:paraId="4802AD2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В высотном варианте: для полетов на сверхвысотах, выше винтомоторного потолка. Работы велись вначале применительно к высотной модификации самолета Пе-2, а затем для легких истребителей типа "Яковлев", "Лавочкин", что по полученным результатам представило значительный интерес.</w:t>
      </w:r>
    </w:p>
    <w:p w14:paraId="29B9C78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В стартовом варианте: в виде типовой стартовой секции, пригодной для различных типов самолетов с целью обеспечения возможности значительной перегрузки последних бомбовой нагрузкой или горючим.</w:t>
      </w:r>
    </w:p>
    <w:p w14:paraId="572934E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проекту тематического плана группы № 5 на 1944 г. намечены следующие темы, являющиеся продолжением и развитием работ прошлого года.</w:t>
      </w:r>
    </w:p>
    <w:p w14:paraId="62DF631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I. Реактивная установка — вариант ускорителя на самолетах "Пе".</w:t>
      </w:r>
    </w:p>
    <w:p w14:paraId="2EE9A67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Окончание испытаний первого самолета Пе-2 № 15/185 с РУ, доводочных и экспериментальных работ прошлого года с постройкой трех машин Пе-2, оборудованных реактивными установками для сдачи на войсковые испытания.</w:t>
      </w:r>
    </w:p>
    <w:p w14:paraId="54A45B7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 скорость с РД-1 может быть до 690 км/ч для Пе-2 с моторами М-107 А.</w:t>
      </w:r>
    </w:p>
    <w:p w14:paraId="40564A4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II. Высотная модификация истребителя "Лавочкин" с мотором М-82 ФНВ 2ТВ-В и реактивной установкой в специальном высотном варианте с РД-1 при ; рабочей высоте 14000-15000 м и продолжительности полета машины на этой высоте 20-30 мин.</w:t>
      </w:r>
    </w:p>
    <w:p w14:paraId="496BB83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Эта работа намечена как основная новая тема группы. Дальнейшая работа группы ориентирована на решение именно этой задачи, представляющей большой интерес для ВВС Красной Армии.</w:t>
      </w:r>
    </w:p>
    <w:p w14:paraId="4487FC7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III. Реактивная установка с двигателем РД-1 на самолетах типа "Пе".</w:t>
      </w:r>
    </w:p>
    <w:p w14:paraId="2FEC2D5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Работа по реактивной установке на самолетах "Пе" является продолжением работ, начатых в 1943 г. В основу их положена первая модификация самолета Пе-2 № 15/185 с опытной реактивной установкой РУ-1, испытанная в прошлом году.</w:t>
      </w:r>
    </w:p>
    <w:p w14:paraId="1293C4C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Тематическим планом 1944 г. предусматривается оборудование трех самолетов типа "Пе" с реактивными установками аналогичного типа с учетом по возможности всех требований, выявившихся в процессе испытаний и эксплуатации машины № 15/185.</w:t>
      </w:r>
    </w:p>
    <w:p w14:paraId="49F1219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самолетов "Пе" наибольший эффект достигается при установке двух двигателей РД-1 с общей тягой 600 кг. Возможный запас реактивного топлива на борту "Пе" обеспечивает значительную длительность и многократность использования двигателя РД-1 в нужные моменты полета, существенно не изменяя в остальное время летно-тактического лица машины.</w:t>
      </w:r>
    </w:p>
    <w:p w14:paraId="42A398F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полете с двигателями РД-1 значительно повышаются скоростные и высотные качества самолета: максимальная скорость полета на высотах 4000-8000 м возрастает на 160 км/ч, достигая 740 км/ч. Скороподъемность увеличивается в среднем на 40%. Время набора высоты 5000-8000 м составляет соответственно 4,4-7,7 мин.</w:t>
      </w:r>
    </w:p>
    <w:p w14:paraId="1931260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Повышается боевая высота полета, которая при РУ получается в пределах 5000-9000 м.</w:t>
      </w:r>
    </w:p>
    <w:p w14:paraId="0D8BFD7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Включение двигателей РД-1 с 5000-8000 м позволяет довольно длительное время совершать полет на высотах 9000-11000 м, т.е. выше винтомоторного потолка самолета.</w:t>
      </w:r>
    </w:p>
    <w:p w14:paraId="4E8840F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Далее, в таблице и на графиках [при публикации опущены] приведены сравнительные данные самолетов "Пе" в вариантах бомбардировщика и истребителя с моторами М-105 ПФ и М-107А в модификации с реактивными установками, а также данные современных истребителей и бомбардировщиков.</w:t>
      </w:r>
    </w:p>
    <w:p w14:paraId="5C30D8B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Таблица</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662"/>
        <w:gridCol w:w="3409"/>
        <w:gridCol w:w="3287"/>
      </w:tblGrid>
      <w:tr w:rsidR="005106D0" w:rsidRPr="007224C3" w14:paraId="629EF51C" w14:textId="77777777" w:rsidTr="003712D9">
        <w:trPr>
          <w:jc w:val="center"/>
        </w:trPr>
        <w:tc>
          <w:tcPr>
            <w:tcW w:w="2662" w:type="dxa"/>
            <w:tcBorders>
              <w:top w:val="single" w:sz="12" w:space="0" w:color="auto"/>
            </w:tcBorders>
          </w:tcPr>
          <w:p w14:paraId="58F6928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Расчетные летные данные</w:t>
            </w:r>
          </w:p>
        </w:tc>
        <w:tc>
          <w:tcPr>
            <w:tcW w:w="3409" w:type="dxa"/>
            <w:gridSpan w:val="2"/>
            <w:tcBorders>
              <w:top w:val="single" w:sz="12" w:space="0" w:color="auto"/>
            </w:tcBorders>
          </w:tcPr>
          <w:p w14:paraId="06616CF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Пе-2"И" 2М-107А</w:t>
            </w:r>
          </w:p>
        </w:tc>
      </w:tr>
      <w:tr w:rsidR="005106D0" w:rsidRPr="007224C3" w14:paraId="6D7BE6F7" w14:textId="77777777">
        <w:trPr>
          <w:jc w:val="center"/>
        </w:trPr>
        <w:tc>
          <w:tcPr>
            <w:tcW w:w="2662" w:type="dxa"/>
          </w:tcPr>
          <w:p w14:paraId="072E0CC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3409" w:type="dxa"/>
          </w:tcPr>
          <w:p w14:paraId="0CAD5E2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2РД-1</w:t>
            </w:r>
          </w:p>
          <w:p w14:paraId="7201BD8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w:t>
            </w:r>
            <w:r w:rsidRPr="007224C3">
              <w:rPr>
                <w:rFonts w:ascii="Times New Roman" w:hAnsi="Times New Roman"/>
                <w:color w:val="000000" w:themeColor="text1"/>
                <w:sz w:val="16"/>
                <w:szCs w:val="16"/>
                <w:vertAlign w:val="subscript"/>
              </w:rPr>
              <w:t>max</w:t>
            </w:r>
            <w:r w:rsidRPr="007224C3">
              <w:rPr>
                <w:rFonts w:ascii="Times New Roman" w:hAnsi="Times New Roman"/>
                <w:color w:val="000000" w:themeColor="text1"/>
                <w:sz w:val="16"/>
                <w:szCs w:val="16"/>
              </w:rPr>
              <w:t xml:space="preserve"> = 600 кг,</w:t>
            </w:r>
          </w:p>
          <w:p w14:paraId="47D1E40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w:t>
            </w:r>
            <w:r w:rsidRPr="007224C3">
              <w:rPr>
                <w:rFonts w:ascii="Times New Roman" w:hAnsi="Times New Roman"/>
                <w:color w:val="000000" w:themeColor="text1"/>
                <w:sz w:val="16"/>
                <w:szCs w:val="16"/>
                <w:vertAlign w:val="subscript"/>
              </w:rPr>
              <w:t>нач</w:t>
            </w:r>
            <w:r w:rsidRPr="007224C3">
              <w:rPr>
                <w:rFonts w:ascii="Times New Roman" w:hAnsi="Times New Roman"/>
                <w:color w:val="000000" w:themeColor="text1"/>
                <w:sz w:val="16"/>
                <w:szCs w:val="16"/>
              </w:rPr>
              <w:t xml:space="preserve"> = 9500 кг</w:t>
            </w:r>
          </w:p>
        </w:tc>
        <w:tc>
          <w:tcPr>
            <w:tcW w:w="3287" w:type="dxa"/>
          </w:tcPr>
          <w:p w14:paraId="5A269D1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без РУ</w:t>
            </w:r>
          </w:p>
          <w:p w14:paraId="16664BF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G</w:t>
            </w:r>
            <w:r w:rsidRPr="007224C3">
              <w:rPr>
                <w:rFonts w:ascii="Times New Roman" w:hAnsi="Times New Roman"/>
                <w:color w:val="000000" w:themeColor="text1"/>
                <w:sz w:val="16"/>
                <w:szCs w:val="16"/>
                <w:vertAlign w:val="subscript"/>
              </w:rPr>
              <w:t>пол</w:t>
            </w:r>
            <w:r w:rsidRPr="007224C3">
              <w:rPr>
                <w:rFonts w:ascii="Times New Roman" w:hAnsi="Times New Roman"/>
                <w:color w:val="000000" w:themeColor="text1"/>
                <w:sz w:val="16"/>
                <w:szCs w:val="16"/>
              </w:rPr>
              <w:t xml:space="preserve"> = 8000 кг</w:t>
            </w:r>
          </w:p>
        </w:tc>
      </w:tr>
      <w:tr w:rsidR="005106D0" w:rsidRPr="007224C3" w14:paraId="25DE5A94" w14:textId="77777777">
        <w:trPr>
          <w:jc w:val="center"/>
        </w:trPr>
        <w:tc>
          <w:tcPr>
            <w:tcW w:w="2662" w:type="dxa"/>
            <w:tcBorders>
              <w:bottom w:val="single" w:sz="12" w:space="0" w:color="auto"/>
            </w:tcBorders>
          </w:tcPr>
          <w:p w14:paraId="4558751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Скорость, км/ч </w:t>
            </w:r>
          </w:p>
          <w:p w14:paraId="6D90A16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8000 м</w:t>
            </w:r>
          </w:p>
          <w:p w14:paraId="608E145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Время набора высоты, мин </w:t>
            </w:r>
          </w:p>
          <w:p w14:paraId="45B0032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5000м </w:t>
            </w:r>
          </w:p>
          <w:p w14:paraId="0C7516E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8000м</w:t>
            </w:r>
            <w:r w:rsidRPr="007224C3">
              <w:rPr>
                <w:rFonts w:ascii="Times New Roman" w:hAnsi="Times New Roman"/>
                <w:color w:val="000000" w:themeColor="text1"/>
                <w:sz w:val="16"/>
                <w:szCs w:val="16"/>
              </w:rPr>
              <w:br/>
              <w:t>Потолок, м</w:t>
            </w:r>
          </w:p>
          <w:p w14:paraId="02FC76C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Продолжительность полета с РД-1,</w:t>
            </w:r>
          </w:p>
          <w:p w14:paraId="2A66A35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мин </w:t>
            </w:r>
          </w:p>
          <w:p w14:paraId="3E9506A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при полной тяге </w:t>
            </w:r>
          </w:p>
          <w:p w14:paraId="762D923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при средней тяге </w:t>
            </w:r>
          </w:p>
          <w:p w14:paraId="4D4FBF8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на крейсерской скорости </w:t>
            </w:r>
          </w:p>
          <w:p w14:paraId="077416B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высота 10000 м </w:t>
            </w:r>
          </w:p>
          <w:p w14:paraId="0B98D89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высота 11000 м</w:t>
            </w:r>
          </w:p>
        </w:tc>
        <w:tc>
          <w:tcPr>
            <w:tcW w:w="3409" w:type="dxa"/>
            <w:tcBorders>
              <w:bottom w:val="single" w:sz="12" w:space="0" w:color="auto"/>
            </w:tcBorders>
          </w:tcPr>
          <w:p w14:paraId="01BA6F8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740</w:t>
            </w:r>
          </w:p>
          <w:p w14:paraId="685550E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740</w:t>
            </w:r>
          </w:p>
          <w:p w14:paraId="2C0CA27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4,4</w:t>
            </w:r>
          </w:p>
          <w:p w14:paraId="7BC211E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7,7</w:t>
            </w:r>
          </w:p>
          <w:p w14:paraId="5F351D0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12100</w:t>
            </w:r>
          </w:p>
          <w:p w14:paraId="13A8C25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4C350B3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29FBA42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7,5</w:t>
            </w:r>
          </w:p>
          <w:p w14:paraId="35D64DD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15,0</w:t>
            </w:r>
          </w:p>
          <w:p w14:paraId="7974A50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0AEC677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35,0</w:t>
            </w:r>
          </w:p>
          <w:p w14:paraId="2A4A43B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11,0</w:t>
            </w:r>
          </w:p>
        </w:tc>
        <w:tc>
          <w:tcPr>
            <w:tcW w:w="3287" w:type="dxa"/>
            <w:tcBorders>
              <w:bottom w:val="single" w:sz="12" w:space="0" w:color="auto"/>
            </w:tcBorders>
          </w:tcPr>
          <w:p w14:paraId="7E152E4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640</w:t>
            </w:r>
          </w:p>
          <w:p w14:paraId="0D9E4A3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568</w:t>
            </w:r>
          </w:p>
          <w:p w14:paraId="0C91FEC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6,3</w:t>
            </w:r>
          </w:p>
          <w:p w14:paraId="57E7766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13,0</w:t>
            </w:r>
          </w:p>
          <w:p w14:paraId="65B7098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10400</w:t>
            </w:r>
          </w:p>
          <w:p w14:paraId="39F5DA1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27BC478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7D0FB43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5E8297F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530C0EA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109A300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0631217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bl>
    <w:p w14:paraId="5E45B30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780"/>
        <w:gridCol w:w="1685"/>
        <w:gridCol w:w="1685"/>
        <w:gridCol w:w="2209"/>
      </w:tblGrid>
      <w:tr w:rsidR="005106D0" w:rsidRPr="007224C3" w14:paraId="77699DBB" w14:textId="77777777">
        <w:trPr>
          <w:jc w:val="center"/>
        </w:trPr>
        <w:tc>
          <w:tcPr>
            <w:tcW w:w="3780" w:type="dxa"/>
            <w:tcBorders>
              <w:top w:val="single" w:sz="12" w:space="0" w:color="auto"/>
            </w:tcBorders>
          </w:tcPr>
          <w:p w14:paraId="32F14C5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Расчетные летные данные</w:t>
            </w:r>
          </w:p>
        </w:tc>
        <w:tc>
          <w:tcPr>
            <w:tcW w:w="1685" w:type="dxa"/>
            <w:tcBorders>
              <w:top w:val="single" w:sz="12" w:space="0" w:color="auto"/>
            </w:tcBorders>
          </w:tcPr>
          <w:p w14:paraId="6E0B503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Пе-3 2М-105 ПФ</w:t>
            </w:r>
          </w:p>
        </w:tc>
        <w:tc>
          <w:tcPr>
            <w:tcW w:w="1685" w:type="dxa"/>
            <w:tcBorders>
              <w:top w:val="single" w:sz="12" w:space="0" w:color="auto"/>
            </w:tcBorders>
          </w:tcPr>
          <w:p w14:paraId="431061C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Пе-2 2М-105 ПФ</w:t>
            </w:r>
          </w:p>
        </w:tc>
        <w:tc>
          <w:tcPr>
            <w:tcW w:w="2209" w:type="dxa"/>
            <w:tcBorders>
              <w:top w:val="single" w:sz="12" w:space="0" w:color="auto"/>
            </w:tcBorders>
          </w:tcPr>
          <w:p w14:paraId="66842AC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Пе-2, Пе-3</w:t>
            </w:r>
          </w:p>
        </w:tc>
      </w:tr>
      <w:tr w:rsidR="005106D0" w:rsidRPr="007224C3" w14:paraId="73161680" w14:textId="77777777">
        <w:trPr>
          <w:jc w:val="center"/>
        </w:trPr>
        <w:tc>
          <w:tcPr>
            <w:tcW w:w="3780" w:type="dxa"/>
          </w:tcPr>
          <w:p w14:paraId="29D50AC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685" w:type="dxa"/>
          </w:tcPr>
          <w:p w14:paraId="6D0BCAF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2РД-1</w:t>
            </w:r>
          </w:p>
          <w:p w14:paraId="7876289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w:t>
            </w:r>
            <w:r w:rsidRPr="007224C3">
              <w:rPr>
                <w:rFonts w:ascii="Times New Roman" w:hAnsi="Times New Roman"/>
                <w:color w:val="000000" w:themeColor="text1"/>
                <w:sz w:val="16"/>
                <w:szCs w:val="16"/>
                <w:vertAlign w:val="subscript"/>
              </w:rPr>
              <w:t>max</w:t>
            </w:r>
            <w:r w:rsidRPr="007224C3">
              <w:rPr>
                <w:rFonts w:ascii="Times New Roman" w:hAnsi="Times New Roman"/>
                <w:color w:val="000000" w:themeColor="text1"/>
                <w:sz w:val="16"/>
                <w:szCs w:val="16"/>
              </w:rPr>
              <w:t xml:space="preserve"> = 600 кг,</w:t>
            </w:r>
            <w:r w:rsidRPr="007224C3">
              <w:rPr>
                <w:rFonts w:ascii="Times New Roman" w:hAnsi="Times New Roman"/>
                <w:color w:val="000000" w:themeColor="text1"/>
                <w:sz w:val="16"/>
                <w:szCs w:val="16"/>
              </w:rPr>
              <w:br/>
              <w:t>G</w:t>
            </w:r>
            <w:r w:rsidRPr="007224C3">
              <w:rPr>
                <w:rFonts w:ascii="Times New Roman" w:hAnsi="Times New Roman"/>
                <w:color w:val="000000" w:themeColor="text1"/>
                <w:sz w:val="16"/>
                <w:szCs w:val="16"/>
                <w:vertAlign w:val="subscript"/>
              </w:rPr>
              <w:t>нач</w:t>
            </w:r>
            <w:r w:rsidRPr="007224C3">
              <w:rPr>
                <w:rFonts w:ascii="Times New Roman" w:hAnsi="Times New Roman"/>
                <w:color w:val="000000" w:themeColor="text1"/>
                <w:sz w:val="16"/>
                <w:szCs w:val="16"/>
              </w:rPr>
              <w:t xml:space="preserve"> = 8840 кг</w:t>
            </w:r>
          </w:p>
        </w:tc>
        <w:tc>
          <w:tcPr>
            <w:tcW w:w="1685" w:type="dxa"/>
          </w:tcPr>
          <w:p w14:paraId="67FF1D6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РД-1</w:t>
            </w:r>
            <w:r w:rsidRPr="007224C3">
              <w:rPr>
                <w:rFonts w:ascii="Times New Roman" w:hAnsi="Times New Roman"/>
                <w:color w:val="000000" w:themeColor="text1"/>
                <w:sz w:val="16"/>
                <w:szCs w:val="16"/>
              </w:rPr>
              <w:br/>
              <w:t>P</w:t>
            </w:r>
            <w:r w:rsidRPr="007224C3">
              <w:rPr>
                <w:rFonts w:ascii="Times New Roman" w:hAnsi="Times New Roman"/>
                <w:color w:val="000000" w:themeColor="text1"/>
                <w:sz w:val="16"/>
                <w:szCs w:val="16"/>
                <w:vertAlign w:val="subscript"/>
              </w:rPr>
              <w:t>max</w:t>
            </w:r>
            <w:r w:rsidRPr="007224C3">
              <w:rPr>
                <w:rFonts w:ascii="Times New Roman" w:hAnsi="Times New Roman"/>
                <w:color w:val="000000" w:themeColor="text1"/>
                <w:sz w:val="16"/>
                <w:szCs w:val="16"/>
              </w:rPr>
              <w:t xml:space="preserve"> = 300 кг,</w:t>
            </w:r>
            <w:r w:rsidRPr="007224C3">
              <w:rPr>
                <w:rFonts w:ascii="Times New Roman" w:hAnsi="Times New Roman"/>
                <w:color w:val="000000" w:themeColor="text1"/>
                <w:sz w:val="16"/>
                <w:szCs w:val="16"/>
              </w:rPr>
              <w:br/>
              <w:t>G</w:t>
            </w:r>
            <w:r w:rsidRPr="007224C3">
              <w:rPr>
                <w:rFonts w:ascii="Times New Roman" w:hAnsi="Times New Roman"/>
                <w:color w:val="000000" w:themeColor="text1"/>
                <w:sz w:val="16"/>
                <w:szCs w:val="16"/>
                <w:vertAlign w:val="subscript"/>
              </w:rPr>
              <w:t>нач</w:t>
            </w:r>
            <w:r w:rsidRPr="007224C3">
              <w:rPr>
                <w:rFonts w:ascii="Times New Roman" w:hAnsi="Times New Roman"/>
                <w:color w:val="000000" w:themeColor="text1"/>
                <w:sz w:val="16"/>
                <w:szCs w:val="16"/>
              </w:rPr>
              <w:t xml:space="preserve"> = 8800 кг</w:t>
            </w:r>
          </w:p>
        </w:tc>
        <w:tc>
          <w:tcPr>
            <w:tcW w:w="2209" w:type="dxa"/>
          </w:tcPr>
          <w:p w14:paraId="4118442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без РУ</w:t>
            </w:r>
          </w:p>
          <w:p w14:paraId="5AFB3B1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G</w:t>
            </w:r>
            <w:r w:rsidRPr="007224C3">
              <w:rPr>
                <w:rFonts w:ascii="Times New Roman" w:hAnsi="Times New Roman"/>
                <w:color w:val="000000" w:themeColor="text1"/>
                <w:sz w:val="16"/>
                <w:szCs w:val="16"/>
                <w:vertAlign w:val="subscript"/>
              </w:rPr>
              <w:t>нач</w:t>
            </w:r>
            <w:r w:rsidRPr="007224C3">
              <w:rPr>
                <w:rFonts w:ascii="Times New Roman" w:hAnsi="Times New Roman"/>
                <w:color w:val="000000" w:themeColor="text1"/>
                <w:sz w:val="16"/>
                <w:szCs w:val="16"/>
              </w:rPr>
              <w:t xml:space="preserve"> = 8200-8800 кг</w:t>
            </w:r>
          </w:p>
        </w:tc>
      </w:tr>
      <w:tr w:rsidR="005106D0" w:rsidRPr="007224C3" w14:paraId="0A06C11D" w14:textId="77777777">
        <w:trPr>
          <w:jc w:val="center"/>
        </w:trPr>
        <w:tc>
          <w:tcPr>
            <w:tcW w:w="3780" w:type="dxa"/>
            <w:tcBorders>
              <w:bottom w:val="single" w:sz="12" w:space="0" w:color="auto"/>
            </w:tcBorders>
          </w:tcPr>
          <w:p w14:paraId="316A1B1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Скорость, км/ч </w:t>
            </w:r>
          </w:p>
          <w:p w14:paraId="4E9E457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8000 м</w:t>
            </w:r>
          </w:p>
          <w:p w14:paraId="28DB55E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Время набора высоты, мин </w:t>
            </w:r>
          </w:p>
          <w:p w14:paraId="017B1B7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5000м </w:t>
            </w:r>
          </w:p>
          <w:p w14:paraId="6AD985E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8000м</w:t>
            </w:r>
          </w:p>
          <w:p w14:paraId="35F41CA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Потолок, м</w:t>
            </w:r>
          </w:p>
          <w:p w14:paraId="70FB4D2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Продолжительность полета с РД-1, мин </w:t>
            </w:r>
          </w:p>
          <w:p w14:paraId="73CB333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при полной тяге </w:t>
            </w:r>
          </w:p>
          <w:p w14:paraId="5577EC3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при средней тяге </w:t>
            </w:r>
          </w:p>
          <w:p w14:paraId="74ACE45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на крейсерской скорости </w:t>
            </w:r>
          </w:p>
          <w:p w14:paraId="27C10E4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высота 10000 м </w:t>
            </w:r>
          </w:p>
          <w:p w14:paraId="344DEC5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высота 11000 м</w:t>
            </w:r>
          </w:p>
        </w:tc>
        <w:tc>
          <w:tcPr>
            <w:tcW w:w="1685" w:type="dxa"/>
            <w:tcBorders>
              <w:bottom w:val="single" w:sz="12" w:space="0" w:color="auto"/>
            </w:tcBorders>
          </w:tcPr>
          <w:p w14:paraId="2C70E66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690</w:t>
            </w:r>
          </w:p>
          <w:p w14:paraId="0243CF9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687</w:t>
            </w:r>
          </w:p>
          <w:p w14:paraId="7E809DD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273418D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4,8</w:t>
            </w:r>
          </w:p>
          <w:p w14:paraId="14AA223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8,9</w:t>
            </w:r>
          </w:p>
          <w:p w14:paraId="5DEF423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11000</w:t>
            </w:r>
          </w:p>
          <w:p w14:paraId="3ECD091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5AE24C2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7,5</w:t>
            </w:r>
          </w:p>
          <w:p w14:paraId="369193F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15,0</w:t>
            </w:r>
          </w:p>
          <w:p w14:paraId="09E581D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44B296D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15,0</w:t>
            </w:r>
          </w:p>
          <w:p w14:paraId="125123A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685" w:type="dxa"/>
            <w:tcBorders>
              <w:bottom w:val="single" w:sz="12" w:space="0" w:color="auto"/>
            </w:tcBorders>
          </w:tcPr>
          <w:p w14:paraId="4DD2637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603</w:t>
            </w:r>
          </w:p>
          <w:p w14:paraId="1B3E87E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595</w:t>
            </w:r>
          </w:p>
          <w:p w14:paraId="48EF665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2335891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6,5</w:t>
            </w:r>
          </w:p>
          <w:p w14:paraId="57D8483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13,4</w:t>
            </w:r>
          </w:p>
          <w:p w14:paraId="1F5817B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9500</w:t>
            </w:r>
          </w:p>
          <w:p w14:paraId="1191986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198F61C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7-10</w:t>
            </w:r>
          </w:p>
          <w:p w14:paraId="2CA622E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12-17</w:t>
            </w:r>
          </w:p>
          <w:p w14:paraId="7C94A53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6D9337D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43D360D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2209" w:type="dxa"/>
            <w:tcBorders>
              <w:bottom w:val="single" w:sz="12" w:space="0" w:color="auto"/>
            </w:tcBorders>
          </w:tcPr>
          <w:p w14:paraId="1F36270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536</w:t>
            </w:r>
          </w:p>
          <w:p w14:paraId="7B8480C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450</w:t>
            </w:r>
          </w:p>
          <w:p w14:paraId="254E0DF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3E7AA05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9,5</w:t>
            </w:r>
          </w:p>
          <w:p w14:paraId="0164DFE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w:t>
            </w:r>
          </w:p>
          <w:p w14:paraId="15EE554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9000-8300</w:t>
            </w:r>
          </w:p>
          <w:p w14:paraId="734AF6C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1DEB635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6A4FC84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11C2BE9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77171B5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4C80F36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bl>
    <w:p w14:paraId="402B315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летным качествам из семейства самолетов "Пе" наибольший интерес представляет самолет Пе-2 "И" с моторами М-107А и реактивной установкой с двумя двигателями РД-1, а также истребительный вариант — самолет Пе-3.</w:t>
      </w:r>
    </w:p>
    <w:p w14:paraId="54103B6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частности, анализируя данные самолета Пе-2 "И" с реактивной установкой в вариантах бомбардировщика-истребителя, можно сказать, что по скорости полета и скороподъемности с РД-1 эта машина оставит позади не только все известные машины этого класса, но и многие лучшие одномоторные истребители.</w:t>
      </w:r>
    </w:p>
    <w:p w14:paraId="0DC3E11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Как бомбардировщик самолет Пе-2 "И" с реактивной установкой будет неуязвим для истребителей с учетом вероятного роста их показателей в течение значительного периода времени.</w:t>
      </w:r>
    </w:p>
    <w:p w14:paraId="2E9F272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Как истребитель самолет Пе-2 "И" с реактивной установкой, будучи дополнительно оборудован пушечным вооружением, может быть использован для решения самых разнообразных новых тактических задач. Реактивная установка, используемая в нужные моменты боя, обеспечивает решающее превосходство в воздухе над противником.</w:t>
      </w:r>
    </w:p>
    <w:p w14:paraId="2AAE611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Включение двигателя РД-1 с начальных высот, близких к потолку, позволит осуществить полет выше винтомоторного потолка в течение длительного времени на крейсерских режимах. При этом самолет будет обладать значительным резервом мощности, который обеспечит ему нужную маневренность по скорости и высоте при ведении боя.</w:t>
      </w:r>
    </w:p>
    <w:p w14:paraId="7ED0236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Следует отметить, что использование самолетов Пе-2 "И" с реактивными установками для полетов выше винтомоторного потолка послужит базой для дальнейших работ в этой области и для отработки всей необходимой материальной части.</w:t>
      </w:r>
    </w:p>
    <w:p w14:paraId="11EACAB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Окончательное установление типа и тактического лица самолетов из семейства "Пе", оборудованных реактивными установками, определится при согласовании с заказчиком тактико-технических требований.</w:t>
      </w:r>
    </w:p>
    <w:p w14:paraId="776E721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Сравнительная таблица летных данных самолетов "Пе", оборудованных I реактивными установками с РД-1, приведена выше.</w:t>
      </w:r>
    </w:p>
    <w:p w14:paraId="631CBAD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I. ОСНОВНЫЕ ЭТАПЫ РАБОТ</w:t>
      </w:r>
    </w:p>
    <w:p w14:paraId="6039CC0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Ниже приводятся в укрупненном виде основные этапы работ. Сроки исполнения могут быть установлены после уточнения задания.</w:t>
      </w:r>
    </w:p>
    <w:p w14:paraId="24564D7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Переработка рабочих чертежей реактивной установки и соответствующих мест конструкции самолета, составление технических условий на изготовление и другой документации для производства — 18000 н/ч.</w:t>
      </w:r>
    </w:p>
    <w:p w14:paraId="1DE79FC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Опытные работы, лабораторные и предварительные испытания.</w:t>
      </w:r>
    </w:p>
    <w:p w14:paraId="59E9A0A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Разработка типовых агрегатов и арматуры. Составление атласа типовых конструкций — 7000 н/ч.</w:t>
      </w:r>
    </w:p>
    <w:p w14:paraId="72C5478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Разработка наземного оборудования и рабочих чертежей кислотного заправщика — 9000 н/ч.</w:t>
      </w:r>
    </w:p>
    <w:p w14:paraId="1556524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Проведение совместных летных испытаний реактивной установки РУ-1 с двигателем РД-1 на самолете Пе-2 № 15/185 — 10000 н/ч.</w:t>
      </w:r>
    </w:p>
    <w:p w14:paraId="2BA00D7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Постройка трех самолетов и наземного оборудования — 51000 н/ч (по РУ-21000 н/ч).</w:t>
      </w:r>
    </w:p>
    <w:p w14:paraId="36308E1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Заводские летные испытания самолетов и испытания их по дополнительной программе — 15000 н/ч.</w:t>
      </w:r>
    </w:p>
    <w:p w14:paraId="7FC8646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Пункты 1, 3, 4 выполняются группой № 5. Пункты плана 2, 5, 7 выполняются самолетным заводом совместно с группой № 5. Пункт 6 выполняется самолетным заводом по проекту и под руководством группы № 5.</w:t>
      </w:r>
    </w:p>
    <w:p w14:paraId="45C1491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Всего: </w:t>
      </w:r>
    </w:p>
    <w:p w14:paraId="231CF61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конструкторских работ — 38000 н/ч; </w:t>
      </w:r>
    </w:p>
    <w:p w14:paraId="291A36F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работ по летным испытаниям — 25000 н/ч; </w:t>
      </w:r>
    </w:p>
    <w:p w14:paraId="6DBC3ED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лабораторных, опытных и производственных работ — 15000 н/ч; </w:t>
      </w:r>
    </w:p>
    <w:p w14:paraId="69C350A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производственных работ по трем машинам — 51000 н/ч.</w:t>
      </w:r>
    </w:p>
    <w:p w14:paraId="04FB4B9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II. КРАТКАЯ ХАРАКТЕРИСТИКА РАБОТ</w:t>
      </w:r>
    </w:p>
    <w:p w14:paraId="378F25D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осуществлении первой серии самолетов "Пе" с реактивными установками необходимо полное обеспечение надежности, безопасности и удобства эксплуатации новой материальной части. Недочеты в этих вопросах поведут к задержкам и даже могут вовсе не обеспечить ее.</w:t>
      </w:r>
    </w:p>
    <w:p w14:paraId="09AC528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Поэтому, наряду с учетом опыта работ с самолетом Пе-2 № 15/185 с РУ и соответствующей переработкой чертежей, намечено проведение комплекса опытных работ и мероприятий по доводке и отработке нужных мест и узлов.</w:t>
      </w:r>
    </w:p>
    <w:p w14:paraId="32E5A95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Краткая характеристика этих работ приводится ниже.</w:t>
      </w:r>
    </w:p>
    <w:p w14:paraId="2F9ECC0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Переработка рабочих чертежей реактивной установки, самолета и подготовка документации для производства.</w:t>
      </w:r>
    </w:p>
    <w:p w14:paraId="7A05ABF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основу работ положена опытная реактивная установка РУ-1, осуществленная на самолете № 15/185.</w:t>
      </w:r>
    </w:p>
    <w:p w14:paraId="46A3F06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Полностью используется конструкция всех основных узлов, агрегатов, механизмов, арматуры, а также систем установки: топливных, пусковой, дренажирования и наддува, управления и т.д., с соответствующей перекомпоновкой последних применительно к выбранному типу машин из семейства самолетов "Пе".</w:t>
      </w:r>
    </w:p>
    <w:p w14:paraId="1A49D9F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Переработке заново и доводке подлежат отдельные узлы и места. При установке двух двигателей РД-1 новым является монтаж на самолете двух комплектов агрегатов РД-1 с раздельными системой запуска, управлением и приводами на обоих моторах.</w:t>
      </w:r>
    </w:p>
    <w:p w14:paraId="1E3B7D9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осуществлении в будущем двухкамерного реактивного двигателя РД-2 тягой 600 кг возможно некоторое упрощение схемы при замене двух двигателей РД-1 одним двигателем РД-2.</w:t>
      </w:r>
    </w:p>
    <w:p w14:paraId="6B4E182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2. Опытные работы. Как указывалось выше, главными требованиями при использовании реактивных двигательных установок в действительных условиях эксплуатации являются: </w:t>
      </w:r>
    </w:p>
    <w:p w14:paraId="2E011AC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обеспечение надежности действия всех агрегатов; </w:t>
      </w:r>
    </w:p>
    <w:p w14:paraId="7B6E493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осуществление условий для наиболее безопасной работы экипажа в боевой обстановке; </w:t>
      </w:r>
    </w:p>
    <w:p w14:paraId="50FCCBC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обеспечение удобства эксплуатации в полевых условиях.</w:t>
      </w:r>
    </w:p>
    <w:p w14:paraId="0D218B4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С целью удовлетворения этих требований попутно с переработкой проекта РУ намечено проведение следующих работ, многие из которых выполнялись частично в прошлом году и могут быть в короткий срок окончены: </w:t>
      </w:r>
    </w:p>
    <w:p w14:paraId="5AE7CB7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переработка ряда агрегатов, механизмов и арматуры, работающих в азотной кислоте или ее парах; в результате должны быть получены надежно отработанные типовые конструкции с гарантированным сроком службы, пригодные для использования на любых типах самолетов с реактивными установками;</w:t>
      </w:r>
    </w:p>
    <w:p w14:paraId="0974D34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проведение работ по созданию стойких в эксплуатации кислотных трубопроводов и соединений с обеспечением гарантированного срока их службы;</w:t>
      </w:r>
    </w:p>
    <w:p w14:paraId="61D9C56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 экспериментальные работы по тонкостенным кислотным бакам с целью обоснования гарантированного срока их службы; </w:t>
      </w:r>
    </w:p>
    <w:p w14:paraId="7A76B0E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г) разработка и доводка измерительных и контрольных приборов и указателей для работы в кислоте или ее парах; работа производится совместно с заводами № 448 и 230 по согласованному ТУ с учетом требований серийного производства; </w:t>
      </w:r>
    </w:p>
    <w:p w14:paraId="366D2F0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д) теоретические и экспериментальные работы по изучению влияния газовой струи реактивного двигателя на органы управления и части самолета применительно к машине типа "Пе"; </w:t>
      </w:r>
    </w:p>
    <w:p w14:paraId="15B2513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е) предварительная разработка гидравлических приводов для реактивных установок применительно к самолетам типа "Пе"; </w:t>
      </w:r>
    </w:p>
    <w:p w14:paraId="74E1DEB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ж) создание стойких в парах азотной кислоты лакокрасочных покрытий и смазок для алюминиевых сплавов и сталей; работа производится совместно с заводом № 22; </w:t>
      </w:r>
    </w:p>
    <w:p w14:paraId="18297CA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з) разработка герметизации кислотных баков, агрегатов и трубопроводов, устанавливаемых на самолетах типа "Пе"; </w:t>
      </w:r>
    </w:p>
    <w:p w14:paraId="0AA0D83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 переработка отдельных узлов и деталей установки с целью сокращения потребляемого количества нержавеющих сталей и введения заменителей. Примечания.</w:t>
      </w:r>
    </w:p>
    <w:p w14:paraId="5794320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По пп. "а, б, ж, з" работы начаты в прошлом году.</w:t>
      </w:r>
    </w:p>
    <w:p w14:paraId="6B5084F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2. По пункту "г" в прошлом году начаты работы на заводе № 448. Работы по контрольно-измерительным приборам и механизмам на заводе № 230 необходимо включить в план этого завода на 1944 г.</w:t>
      </w:r>
    </w:p>
    <w:p w14:paraId="0B0A080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По пункту "з" в части работ по проектированию резиновых деталей для кислотных агрегатов необходимо участие Института резины (НИИРП).</w:t>
      </w:r>
    </w:p>
    <w:p w14:paraId="1AE361D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III. РАЗРАБОТКА ТИПОВЫХ АГРЕГАТОВ И АРМАТУРЫ</w:t>
      </w:r>
    </w:p>
    <w:p w14:paraId="202D58C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Агрегаты и арматура, применяемые в реактивных установках и работающие в азотной кислоте или ее парах, являются специфичными по своей конструкции, используемым материалам, обработке, покрытиям деталей и т.д.</w:t>
      </w:r>
    </w:p>
    <w:p w14:paraId="06B2FAA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Конструкции, разработанные для первой опытной установки РУ-1, работали в большинстве случаев нормально и после некоторых доработок и система- </w:t>
      </w:r>
    </w:p>
    <w:p w14:paraId="1B46629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76тизации имеющегося материала (см. предшествующий раздел) могут в дальнейшем использоваться для установок различных типов.</w:t>
      </w:r>
    </w:p>
    <w:p w14:paraId="763FE0E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Потребность в этом имеется уже в данное время, в связи с чем намечена разработка следующих типов конструкций: </w:t>
      </w:r>
    </w:p>
    <w:p w14:paraId="0BA3559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а) арматуры для топливных трубопроводов высокого давления, низкого давления, проводки дренажирования, баков, соединений и пр.; </w:t>
      </w:r>
    </w:p>
    <w:p w14:paraId="1417FFF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б) фильтров (топливных и воздушных); </w:t>
      </w:r>
    </w:p>
    <w:p w14:paraId="77C271D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 клапанов всех типов (предохранительных, редукционных, обратных); </w:t>
      </w:r>
    </w:p>
    <w:p w14:paraId="7996A5F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г) вентилей и кранов всех типов (топливных, дренажных, сливных для магистралей высокого и низкого давлений); </w:t>
      </w:r>
    </w:p>
    <w:p w14:paraId="2369D29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д) механизмов и устройств для топливных систем (для подключения, сепарирования); </w:t>
      </w:r>
    </w:p>
    <w:p w14:paraId="2DC1C1C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е) контрольных, измерительных, сигнальных устройств, механизмов и приборов; </w:t>
      </w:r>
    </w:p>
    <w:p w14:paraId="7D34BD7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ж) крепежных деталей и соединений; </w:t>
      </w:r>
    </w:p>
    <w:p w14:paraId="6B55A94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з) трубопроводов высоких и низких давлений; и) соединительных элементов кислотных баков; </w:t>
      </w:r>
    </w:p>
    <w:p w14:paraId="504C701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герметичных кислотостойких уплотнений для различных подвижных передач.</w:t>
      </w:r>
    </w:p>
    <w:p w14:paraId="1F753E6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итоге этих работ должен быть составлен атлас типовых конструкций с рекомендациями.</w:t>
      </w:r>
    </w:p>
    <w:p w14:paraId="6FE8E98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IV. РАЗРАБОТКА НАЗЕМНОГО ОБОРУДОВАНИЯ</w:t>
      </w:r>
    </w:p>
    <w:p w14:paraId="5553217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Особенностью эксплуатации самолетов с реактивными установками является применение азотной кислоты в качестве одного из элементов топлива для двигателя РД-1.</w:t>
      </w:r>
    </w:p>
    <w:p w14:paraId="71382BE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Наземное оборудование и заправочные средства, примененные при испытаниях первой реактивной установки, обеспечивают работы с одиночным самолетом в условиях заводского аэродрома.</w:t>
      </w:r>
    </w:p>
    <w:p w14:paraId="12F8E39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Эксплуатация в полевых условиях группы самолетов с реактивными установками требует создания самоходного и по возможности комплексного агрегата-заправщика.</w:t>
      </w:r>
    </w:p>
    <w:p w14:paraId="713F9A7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Надо отметить, что от удачного обеспечения эксплуатации самолетов с реактивными установками в значительной мере будет зависеть успешность их использования и внедрения. Поэтому предусматривается разработка специального кислотного автозаправщика с цистерной для транспортировки кислоты, могущего полностью обслуживать три-пять самолетов. Наиболее трудным вопросом является разработка кислотных подкачивающих устройств с приводом от автомотора. Для начала целесообразно применить проверенную на ручном заправщике РУ-1 схему питания при помощи сжатого воздуха, внеся в нее некоторые улучшения. Принципиальная и габаритная схемы такого автозаправщика разработаны в прошлом году.</w:t>
      </w:r>
    </w:p>
    <w:p w14:paraId="301621D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дальнейшем следует передать специальным организациям разработку и постройку полностью механизированных кислотных автозаправщиков.</w:t>
      </w:r>
    </w:p>
    <w:p w14:paraId="5C1E430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V. ПРОВЕДЕНИЕ СОВМЕСТНЫХ ЛЕТНЫХ ИСПЫТАНИЙ РЕАКТИВНОЙ УСТАНОВКИ РУ-1 С ДВИГАТЕЛЕМ РД-1 НА САМОЛЕТЕ Пе-2 № 15/185</w:t>
      </w:r>
    </w:p>
    <w:p w14:paraId="0FFF17C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Испытания проводились по утвержденной программе совместных испытаний и состояли из 19 полетов, в числе которых — 13 с работающим двигателем РД-1.</w:t>
      </w:r>
    </w:p>
    <w:p w14:paraId="4840D14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Задачей испытаний является проверка надежности работы двигателей РД-1 и реактивной установки в целом и снятие летных характеристик Пе-2 с РД-1. Предварительно намечена серия отладочных полетов по заводской программе.</w:t>
      </w:r>
    </w:p>
    <w:p w14:paraId="79A9D81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Срок проведения испытаний — март-июнь с.г.</w:t>
      </w:r>
    </w:p>
    <w:p w14:paraId="03D43D9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VI. ПОСТРОЙКА ТРЕХ САМОЛЕТОВ И НАЗЕМНОГО ОБОРУДОВАНИЯ</w:t>
      </w:r>
    </w:p>
    <w:p w14:paraId="004B326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Трудоемкость работ, связанных с изготовлением, монтажем двигательной установки, и переделок по самолету составляет на одну головную машину 8000 н/ч в дополнение к ее серийной трудоемкости (около 15000 н/ч для Пе-2 "И"). В случае переоборудования под реактивную установку готовой машины с проведением ее демонтажа и переделок на месте трудоемкость работ увеличивается на 100%.</w:t>
      </w:r>
    </w:p>
    <w:p w14:paraId="5FD978E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условиях завода № 22 постройка трех головных самолетов может быть осуществлена в течение 3 месяцев с момента запуска в производство при условии выдачи заводу задания с этим сроком.</w:t>
      </w:r>
    </w:p>
    <w:p w14:paraId="34FF12F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переоборудовании под реактивную установку готовых самолетов трудоемкость увеличится на 50%.</w:t>
      </w:r>
    </w:p>
    <w:p w14:paraId="3886D9E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VII. ЗАВОДСКИЕ ЛЕТНЫЕ ИСПЫТАНИЯ ГОЛОВНЫХ САМОЛЕТОВ И ИСПЫТАНИЯ ИХ ПО ДОПОЛНИТЕЛЬНОЙ ПРОГРАММЕ</w:t>
      </w:r>
    </w:p>
    <w:p w14:paraId="2861724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Заводские летные испытания головных самолетов с реактивными установками необходимо провести в объеме программы, принятой для первой машины Пе-2 № 15/185, со снятием данных по скоростям на высотах, скороподъемности и взлетным свойствам.</w:t>
      </w:r>
    </w:p>
    <w:p w14:paraId="3D69794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Следует отметить, что область применения реактивных двигателей в действительных условиях изучена очень мало и полученный до сего времени экспериментальный материал недостаточен. Поэтому предусматриваются после проведения заводских летных испытаний по дополнительной программе в следующем объеме: </w:t>
      </w:r>
    </w:p>
    <w:p w14:paraId="125DE20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а) высотные полеты до 11000-12000 м выше винтомоторного потолка самолета с включением двигателя РД-1 с высот 8000-9000 м — 10 полетов; </w:t>
      </w:r>
    </w:p>
    <w:p w14:paraId="36B4BC2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б) полеты на определение маневренности с работающим РД-1 — 4 полета; </w:t>
      </w:r>
    </w:p>
    <w:p w14:paraId="4EA1D71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 полеты с перегрузкой до наибольшего возможного полетного веса -2 полета; </w:t>
      </w:r>
    </w:p>
    <w:p w14:paraId="31C5616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г) полеты для проверки отдельных тактических задач (по специальной программе) — 10 полетов; </w:t>
      </w:r>
    </w:p>
    <w:p w14:paraId="7C3764C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 контрольные полеты — 4 полета. Всего 30 полетов.</w:t>
      </w:r>
    </w:p>
    <w:p w14:paraId="7422A38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VIII. ОРГАНИЗАЦИЯ РАБОТ</w:t>
      </w:r>
    </w:p>
    <w:p w14:paraId="6FE92FF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Осуществление самолетов "Пе" с реактивной установкой связано с рядом вопросов организационного характера, практическое разрешение которых возможно после согласования с заказчиком тактико-технических требований, установления сроков и места постройки.</w:t>
      </w:r>
    </w:p>
    <w:p w14:paraId="5FE1E52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Предварительные соображения по организации работ представляются в следующем виде.</w:t>
      </w:r>
    </w:p>
    <w:p w14:paraId="7821F67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Рабочий проект реактивной установки и чертежи связанных с этим переделок по самолету, расчеты, технические условия на изготовление и остальная техническая документация разрабатываются группой № 5 и передаются самолетному заводу. Как указывалось ранее, эти работы начаты группой в прошлом году, и окончание их предусматривается этим планом. Далее группа № 5 осуществляет техническую помощь и консультацию самолетному заводу при постройке и испытании самолетов.</w:t>
      </w:r>
    </w:p>
    <w:p w14:paraId="49F839F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Агрегаты реактивного двигателя РД-1 подаются заводом-поставщиком этих двигателей самолетному заводу в готовом виде.</w:t>
      </w:r>
    </w:p>
    <w:p w14:paraId="52D5C9A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Моторы с приводами для насосного агрегата РД-1 подаются заводом-изготовителем этих моторов самолетному заводу в готовом виде.</w:t>
      </w:r>
    </w:p>
    <w:p w14:paraId="6EA6A3B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 сего времени заводом № 16 изготовлялись или разрабатывались моторы с приводами следующих типов: М-105 РА и М-105 ПФ. Для моторов М-107А и М-1 потребуется разработка нового привода, для мотора М-107А -также нового насосного агрегата двигателя РД-1. В этом случае должно быть выдано соответствующее задание конструкторам моторов и двигателя.</w:t>
      </w:r>
    </w:p>
    <w:p w14:paraId="09E4D58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 Постройка самолетов, необходимые опытные работы и изготовление агрегатов для предварительных испытаний выполняются самолетным заводом, поставляющим готовые машины с реактивными установками на летные испытания. Для производственно-технологической увязки первую машину из числа строящихся желательно по срокам изготовления выдвинуть вперед.</w:t>
      </w:r>
    </w:p>
    <w:p w14:paraId="2AE0F26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Работы ведутся по проекту и при технической консультации со стороны группы № 5.</w:t>
      </w:r>
    </w:p>
    <w:p w14:paraId="12C099D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 Монтаж реактивных установок на самолетах может производиться как с самого начала в процессе изготовления последних, так и путем переоборудования уже готовых машин. Последний вариант может представлять практический интерес для производства серийного завода при постройке только трех машин. В частности, это может потребоваться в случае оборудования самолетов Пе-3, снятых с производства, но изготовляемых заводом № 22 в количестве около 15 машин.</w:t>
      </w:r>
    </w:p>
    <w:p w14:paraId="01DA6B9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е. Разработка наземного оборудования и первых экземпляров кислотного автозаправщика производится группой № 5. Производственные работы выполняются заводом № 22.</w:t>
      </w:r>
    </w:p>
    <w:p w14:paraId="335ECA0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ж. Все перечисленные выше работы необходимо включить в программу соответствующих заводов и организаций на 1944 г., в том числе и группы № 5 ОКБ.</w:t>
      </w:r>
    </w:p>
    <w:p w14:paraId="5678B17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Соответствующие работы по двигателю РД-1, необходимые для выполнения тактико-технических требований, должны предусматриваться планом работ конструкторского бюро реактивных двигателей (КБ-2).</w:t>
      </w:r>
    </w:p>
    <w:p w14:paraId="6F3D84B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Высотный истребитель — модификация самолета "Лавочкин" с мотором М-82 2ТК-3 и реактивной установкой с двигателем РД-1.</w:t>
      </w:r>
    </w:p>
    <w:p w14:paraId="261A245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Разработка модификации высотного истребителя (ВИ) намечена как основная новая тема группы № 5 на 1944 г.</w:t>
      </w:r>
    </w:p>
    <w:p w14:paraId="53F039B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 выяснения общего положения с дальнейшими работами, развитием группы и ее производственными возможностями в проект тематического плана включается только первая часть работ: разработка проекта ВИ и проведение связанных с этим экспериментальных работ.</w:t>
      </w:r>
    </w:p>
    <w:p w14:paraId="41E3698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Рабочая высота ВИ — 14000-15000 м, продолжительность полета на крейсерских режимах — 20-30 мин. На этих режимах полет происходит выше винтомоторного потолка за счет мощности, развиваемой двигателем РД-1 в дополнение к мощности мотора самолета.</w:t>
      </w:r>
    </w:p>
    <w:p w14:paraId="4C54AC3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Использование двигателей РД-1 для полетов выше винтомоторного потолка впервые было разработано применительно к высотному варианту самолета Пе-2 в прошлом году.</w:t>
      </w:r>
    </w:p>
    <w:p w14:paraId="675FDF6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Наиболее интересные результаты с меньшими техническими затратами получаются при использовании для этой цели легкого одномоторного истребителя типа "Яковлев" или "Лавочкин".</w:t>
      </w:r>
    </w:p>
    <w:p w14:paraId="640B0E7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Ниже приводятся краткие данные высотной модификации самолета "Лавочкин" с реактивной установкой с одним двигателем РД-1 для семейства машин с весами в диапазоне 3700-5800 кг при различных запасах реактивного топлива: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7502"/>
        <w:gridCol w:w="1139"/>
      </w:tblGrid>
      <w:tr w:rsidR="005106D0" w:rsidRPr="007224C3" w14:paraId="17665F25" w14:textId="77777777">
        <w:trPr>
          <w:jc w:val="center"/>
        </w:trPr>
        <w:tc>
          <w:tcPr>
            <w:tcW w:w="7502" w:type="dxa"/>
            <w:tcBorders>
              <w:top w:val="single" w:sz="12" w:space="0" w:color="auto"/>
              <w:bottom w:val="single" w:sz="12" w:space="0" w:color="auto"/>
            </w:tcBorders>
          </w:tcPr>
          <w:p w14:paraId="1737027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Рабочая высота полета, м</w:t>
            </w:r>
          </w:p>
          <w:p w14:paraId="34654B4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Наибольшая продолжительность полета на рабочей высоте при крейсерской скорости 540 км/ч, мин </w:t>
            </w:r>
          </w:p>
          <w:p w14:paraId="2D06567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Максимальная скорость с РД-1 на рабочей высоте (в течение 6-15 мин), км/ч </w:t>
            </w:r>
          </w:p>
          <w:p w14:paraId="672FBB0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Время набора высоты от 11000 м до потолка, мин </w:t>
            </w:r>
          </w:p>
          <w:p w14:paraId="2D26739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Потолок, м</w:t>
            </w:r>
          </w:p>
        </w:tc>
        <w:tc>
          <w:tcPr>
            <w:tcW w:w="1139" w:type="dxa"/>
            <w:tcBorders>
              <w:top w:val="single" w:sz="12" w:space="0" w:color="auto"/>
              <w:bottom w:val="single" w:sz="12" w:space="0" w:color="auto"/>
            </w:tcBorders>
          </w:tcPr>
          <w:p w14:paraId="372DAB0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14000-15000</w:t>
            </w:r>
          </w:p>
          <w:p w14:paraId="6E07A58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30-15</w:t>
            </w:r>
          </w:p>
          <w:p w14:paraId="36651DE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720-780</w:t>
            </w:r>
          </w:p>
          <w:p w14:paraId="6039113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6-10</w:t>
            </w:r>
          </w:p>
          <w:p w14:paraId="085747B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15000-18000</w:t>
            </w:r>
          </w:p>
        </w:tc>
      </w:tr>
    </w:tbl>
    <w:p w14:paraId="4D5CBBF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Осуществление ВИ для полетов на высоте 14000-15000 м в течение продолжительного для реактивного самолета времени является новой, технически трудной задачей и, несомненно, потребует хорошо координированной совместной работы самолетчиков, мотористов и работников реактивной техники.</w:t>
      </w:r>
    </w:p>
    <w:p w14:paraId="79A5104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Потребуется создание ряда новых агрегатов и в целом — реактивной установки специальной высотной схемы и конструкции, так как в данном случае для решения задачи известные схемы РУ не обеспечивают в полной мере нужные результаты. Для проверки отдельных вопросов, связанных с новой схемой РУ, потребуется проведение летных испытаний самолета (без РД-1) с целью снятия дополнительных летных характеристик, необходимых при разработке проекта и построении самолетного стенда для испытания новых агрегатов.</w:t>
      </w:r>
    </w:p>
    <w:p w14:paraId="4C6DA00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Следующий этап — постройка головных машин ВИ.</w:t>
      </w:r>
    </w:p>
    <w:p w14:paraId="24A0DD5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Предварительные работы ведутся в настоящее время группой № 5. Выполнение всего комплекса работ по осуществлению ВИ возможно в короткие сроки при наличии солидной производственной и летной базы. В качестве последней, по нашему мнению, может служить завод-изготовитель серийных машин этого типа, на котором и необходимо организовать бюро по ВИ на основе группы № 5. Все работы по ВИ должны вестись в тесной связи с конструктором самолета.</w:t>
      </w:r>
      <w:r w:rsidRPr="007224C3">
        <w:rPr>
          <w:rFonts w:ascii="Times New Roman" w:hAnsi="Times New Roman"/>
          <w:color w:val="000000" w:themeColor="text1"/>
          <w:sz w:val="16"/>
          <w:szCs w:val="16"/>
        </w:rPr>
        <w:br/>
        <w:t>ОСНОВНЫЕ ЭТАПЫ ПЕРВОЙ ЧАСТИ РАБОТ</w:t>
      </w:r>
    </w:p>
    <w:p w14:paraId="4A57762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Изыскания, расчеты и разработка проекта высотной модификации самолета "Лавочкин" с М-82 2ТК-3 с реактивной установкой — 3000 н/ч.</w:t>
      </w:r>
    </w:p>
    <w:p w14:paraId="185C3DB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Изготовление опытных агрегатов и узлов установки для самолетного стенда — 6000 н/ч.</w:t>
      </w:r>
    </w:p>
    <w:p w14:paraId="25B93C6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Проведение испытаний на самолетном стенде — 8000 н/ч. (ААН, р. 4, оп. 17, № 100, л. 2-22) (10676).</w:t>
      </w:r>
    </w:p>
    <w:p w14:paraId="4E4EEC7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44D39D00"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053AF32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18FC796"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февраля 1944 вышло Постановление ГКО № 5256 Об общем плане перевозок народнохозяйственных и воинских грузов по железнодорожному транспорту на март 1944 года. (7192, 138).</w:t>
      </w:r>
    </w:p>
    <w:p w14:paraId="43E88ED9"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BBCEE01"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февраля 1944 вышло Постановление ГКО № 5257 О плане перевозок народнохозяйственных грузов по железнодорожному и водному транспорту на март 1944 года. (7193, 1-6,7-192).</w:t>
      </w:r>
    </w:p>
    <w:p w14:paraId="2A0367AB"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FACD3A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февраля 1944 Петрозаводцы заложили два ТЩ типа МТ-1 (10671).</w:t>
      </w:r>
    </w:p>
    <w:p w14:paraId="044080E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399E6348" w14:textId="77777777" w:rsidR="00AD0763"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0C538592" w14:textId="77777777" w:rsidR="00AD0763" w:rsidRPr="007224C3" w:rsidRDefault="00AD0763"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B37DF4B" w14:textId="77777777" w:rsidR="00AD0763" w:rsidRPr="007224C3" w:rsidRDefault="00AD0763"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27 февраля</w:t>
      </w:r>
      <w:r w:rsidRPr="007224C3">
        <w:rPr>
          <w:rFonts w:ascii="Times New Roman" w:hAnsi="Times New Roman"/>
          <w:color w:val="000000" w:themeColor="text1"/>
          <w:sz w:val="16"/>
          <w:szCs w:val="16"/>
        </w:rPr>
        <w:t xml:space="preserve"> в 1944 году оперативная сводка Совинформбюро:</w:t>
      </w:r>
    </w:p>
    <w:p w14:paraId="297E355C" w14:textId="77777777" w:rsidR="00AD0763" w:rsidRPr="007224C3" w:rsidRDefault="00AD076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27 февраля на Псковском направлении наши войска продолжали развивать наступление и с боями заняли более 60 населённых пунктов, в том числе Замельничье, Весцы, Черемша, Заходцы, Цапелька, Подложье,Рык, Каменка, Жателы, Щерепицы, Горки, Дубровка и железнодорожная станция Маслогостицы.</w:t>
      </w:r>
    </w:p>
    <w:p w14:paraId="69D1E0AA" w14:textId="77777777" w:rsidR="00AD0763" w:rsidRPr="007224C3" w:rsidRDefault="00AD076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города Холм наши войска с боями продвигались вперёд, овладели районным центром Калининской области Бежаницы, а также заняли более 100 других населённых пунктов, в том числе крупные населённые пункты Кузнецова, Самуйлиха, Заход, Гритьково, Мухрово, Дворцы, Оленино, Луг.</w:t>
      </w:r>
    </w:p>
    <w:p w14:paraId="33A4B638" w14:textId="77777777" w:rsidR="00AD0763" w:rsidRPr="007224C3" w:rsidRDefault="00AD076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Северо-западнее и западнее Новосокольники наши войска продолжали вести наступательные бои, в ходе которых заняли более 50 населённых пунктов и среди них Китово, Сенютино, Большая и Малая Лешна, Пружинцы, Сеньково, Ваулино, Пустошка и железнодорожные станции Забелье, Пустошка.</w:t>
      </w:r>
    </w:p>
    <w:p w14:paraId="50EF61BA" w14:textId="77777777" w:rsidR="00AD0763" w:rsidRPr="007224C3" w:rsidRDefault="00AD076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Северо-западнее и западнее города Луцк несколько дней назад немцы предприняли наступление против наших войск, занимающих плацдармы на западном берегу реки Стырь. Противнику вначале удалось незначительно вклиниться в нашу оборону, но последующими контратаками наших войск немцы не только были отброшены в исходное положение, но и потеряли несколько новых населённых пунктов. В этих боях противник понёс большие потери в живой силе и технике.</w:t>
      </w:r>
    </w:p>
    <w:p w14:paraId="0A84FF2E" w14:textId="77777777" w:rsidR="00AD0763" w:rsidRPr="007224C3" w:rsidRDefault="00AD076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Южнее Апостолово наши войска овладели районным центром Николаевской области Ново-Воронцовка и населёнными пунктами Осокоревка, Фирсовка, Золотая Балка,Гавриловка, Петровка, Крещенка, Владимировка.</w:t>
      </w:r>
    </w:p>
    <w:p w14:paraId="2B3E3CB0" w14:textId="77777777" w:rsidR="00AD0763" w:rsidRPr="007224C3" w:rsidRDefault="00AD076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 поиски разведчиков.</w:t>
      </w:r>
    </w:p>
    <w:p w14:paraId="0DAAEF87" w14:textId="77777777" w:rsidR="00AD0763" w:rsidRPr="007224C3" w:rsidRDefault="00AD076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26 февраля наши войска на всех фронтах подбили и уничтожили 30 немецких танков. В воздушных боях и огнём зенитной артиллерии сбито 27 самолётов противника.</w:t>
      </w:r>
    </w:p>
    <w:p w14:paraId="71B3BB5F" w14:textId="77777777" w:rsidR="00AD0763" w:rsidRPr="007224C3" w:rsidRDefault="00AD076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Массированный налёт нашей авиации на военно-промышленныеобъекты города Хельсинки</w:t>
      </w:r>
    </w:p>
    <w:p w14:paraId="17282799" w14:textId="77777777" w:rsidR="00AD0763" w:rsidRPr="007224C3" w:rsidRDefault="00AD076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ночь на 27 февраля крупные соединения нашей авиации произвели массированный налёт на военно-промышленные объекты города Хельсинки. В течение десяти часов наши самолёты бомбардировали железнодорожный узел, военные склады, воинские казармы и заводы города Хельсинки.</w:t>
      </w:r>
    </w:p>
    <w:p w14:paraId="7A83C443" w14:textId="77777777" w:rsidR="00AD0763" w:rsidRPr="007224C3" w:rsidRDefault="00AD076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результате бомбардировки возникли десятки пожаров, которые,распространяясь, охватили весь город. Особенно крупные пожары отмечены на территории железнодорожного узла, портовых складов, артиллерийских складов, судостроительной верфи и бензохранилищ. Весь город был окутан дымом,поднимавшимся на высоту до 3.000 метров. Пожары сопровождались взрывами огромной силы. Наши лётчики при уходе от цели наблюдали пламя пожаров с расстояния в 350-400 километров.</w:t>
      </w:r>
    </w:p>
    <w:p w14:paraId="2C0D3A93" w14:textId="77777777" w:rsidR="00AD0763" w:rsidRPr="007224C3" w:rsidRDefault="00AD076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Три наших самолёта не вернулись на свои базы.</w:t>
      </w:r>
    </w:p>
    <w:p w14:paraId="128CD32D" w14:textId="77777777" w:rsidR="00AD0763" w:rsidRPr="007224C3" w:rsidRDefault="00AD076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Псковском направлении наши войска продолжали успешное наступление. В одном районе противник, подтянув свежие силы, пытался задержать продвижение советских частей. Наша пехота, при активной поддержке артиллерии, сломила сопротивление немцев и овладела рядом населённых пунктов. На поле боя осталось до 800 трупов вражеских солдат и офицеров. Захвачены две артиллерийские и четыре миномётные батареи, брошенные немцами на огневых позициях, а также большое количество снарядов и мин. Советские танкисты гусеницами своих машин раздавили 4 немецких орудия и 6 тяжёлых миномётов вместе с их расчётами.</w:t>
      </w:r>
    </w:p>
    <w:p w14:paraId="3F8E1A8C" w14:textId="77777777" w:rsidR="00AD0763" w:rsidRPr="007224C3" w:rsidRDefault="00AD076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города Холм наши войска с боями продвигались вперёд и заняли более100 населённых пунктов. Немцы, опираясь на заранее подготовленный оборонительный рубеж и заминировав все дороги, упорно защищали село Бежаницы. Советские части обошли противника и после ожесточённого боя, неоднократно переходившего в рукопашные схватки, овладели районным центром Калининской области Бежаницы.Уничтожено до полка вражеской пехоты. Захвачено 15 танков, 23 орудия, 45 автомашин, 7 складов с боеприпасами и 6 складов с продовольствием. Взято в плен значительное количество немецких солдат и офицеров.</w:t>
      </w:r>
    </w:p>
    <w:p w14:paraId="499D4559" w14:textId="77777777" w:rsidR="00AD0763" w:rsidRPr="007224C3" w:rsidRDefault="00AD076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Северо-западнее и западнее города Новосокольники части Н-ского соединения освободили от немецко-фашистских захватчиков более 50 населённых пунктов, в том числе железнодорожные станции Пустошку и Забелье. Немцы превратили Пустошку в сильно укреплённый узел обороны. Советские бойцы выбили гитлеровцев из дзотов и одновременными ударами с разных направлений разгромили немецкий гарнизон. На поле боя осталось много вражеских трупов. Захвачены трофеи и пленные. В другом районе наши автоматчики в течение дня вели бой в лесу, в ходе которого истребили 400 немецких солдат и офицеров.</w:t>
      </w:r>
    </w:p>
    <w:p w14:paraId="317A5507" w14:textId="77777777" w:rsidR="00AD0763" w:rsidRPr="007224C3" w:rsidRDefault="00AD076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Южнее города Апостолово наши войска атаковали противника и, преодолев несколько линий окопов и траншей, ворвались в районный центр Николаевскойо бласти Ново-Воронцовку. В результате боя уничтожено свыше батальона гитлеровцев, 4 танка и 3 самоходных орудия. Овладев Ново-Воронцовкой и развивая успех, наши части заняли ещё несколько пунктов. Противник безуспешно пытался контратаками восстановить положение. Отбивая вражеские контратаки, наши войска уничтожили до 2 тысяч гитлеровцев, сожгли и подбили 18 немецких танков и самоходных орудий.</w:t>
      </w:r>
    </w:p>
    <w:p w14:paraId="3D1CC463" w14:textId="77777777" w:rsidR="00AD0763" w:rsidRPr="007224C3" w:rsidRDefault="00AD076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Лётчики Краснознамённого Балтийского флота совершили успешный налёт на аэродром противника. Сброшенными бомбами уничтожены и повреждены на земле 16 немецких самолётов. Кроме того, в воздушном бою над аэродромом сбито два самолёта противника.</w:t>
      </w:r>
    </w:p>
    <w:p w14:paraId="13A6D173" w14:textId="77777777" w:rsidR="00AD0763" w:rsidRPr="007224C3" w:rsidRDefault="00AD076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Литовский партизанский отряд «Смерть оккупантам» совершил налёт на станцию узкоколейной железной дороги. Советские патриоты перебили немецкую охрану, уничтожили склады, три паровоза и несколько платформ. Партизанский отряд имени Адама Мицкевича из засады обстрелял немецкую колонну на шоссейной дороге. Уничтожены 4 автомашины и 19 гитлеровцев. Захвачено 17 винтовок и 6 пистолетов.</w:t>
      </w:r>
    </w:p>
    <w:p w14:paraId="01BDE732" w14:textId="77777777" w:rsidR="00AD0763" w:rsidRPr="007224C3" w:rsidRDefault="00AD076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После того, как Красная Армия вышибла немцев из Киева, наместник Гитлера наУкраине, известный бандит и палач Эрих Кох поспешно удрал в Восточную Пруссию. В Кенигсберге Кох оправился от испуга и написал новогоднее послание немецким солдатам—уроженцам Восточной Пруссии, находящимся на советско-германском фронте. Незадачливый наместник извещает своих земляков, что он переменил местожительство и усиленно готовится к предстоящим воздушным налётам на </w:t>
      </w:r>
      <w:r w:rsidRPr="007224C3">
        <w:rPr>
          <w:rFonts w:ascii="Times New Roman" w:hAnsi="Times New Roman"/>
          <w:color w:val="000000" w:themeColor="text1"/>
          <w:sz w:val="16"/>
          <w:szCs w:val="16"/>
        </w:rPr>
        <w:lastRenderedPageBreak/>
        <w:t>Восточную Пруссию, строит щели, укрытия и водоёмы на случай пожаров. Далее Кох повествует о достижениях в других областях: «Я смог осуществить на практике новые идеи. Упомяну здесь только о ремонтных мастерских, в которых под девизом «староепревращается в новое» устраняются многие заботы, связанные с одеждой и обувью».</w:t>
      </w:r>
    </w:p>
    <w:p w14:paraId="6D5B2867" w14:textId="77777777" w:rsidR="00AD0763" w:rsidRPr="007224C3" w:rsidRDefault="00AD076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Вот какие «идеи» обуревают ныне Эриха Коха! В связи с этим нелишне вспомнить времена, когда он носился с другими «идеями». В декабре 1942 года Кох в таком же новогоднем поздравлении писал солдатам на фронт: «На огромных просторах Украины,которой я управляю... имеется пространство для всех солдат. Здесь найдётся место для каждого, кто хочет. Вы знаете о неизмеримых богатствах этой страны... Выможете мне поверить, что я вытяну из Украины последнее, чтобы только обеспечить вас и ваших родных».</w:t>
      </w:r>
    </w:p>
    <w:p w14:paraId="5D29DCF2" w14:textId="77777777" w:rsidR="00AD0763" w:rsidRPr="007224C3" w:rsidRDefault="00AD076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новогоднем послании на 1944 год уже и помина нет о плодородных землях и неизмеримых богатствах Украины. Эрих Кох ныне довольствуется малым. Он теперь осуществляет «новые идеи» и организует мастерские по ремонту изношенных сапог и старых штанов.</w:t>
      </w:r>
    </w:p>
    <w:p w14:paraId="2A0E257A" w14:textId="77777777" w:rsidR="00AD0763" w:rsidRPr="007224C3" w:rsidRDefault="00AD076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Немецко-фашистские захватчики мечтали стать хозяевами несметных богатствУкраины. Но, как говорится, по усам текло, да в рот не попало. Сотни тысяч немцев уже получили по два-три аршина украинской земли. Те же два-три аршина земли получат и остальные немецкие изверги.» (15053).</w:t>
      </w:r>
    </w:p>
    <w:p w14:paraId="7BC092EE" w14:textId="77777777" w:rsidR="00AD0763" w:rsidRPr="007224C3" w:rsidRDefault="00AD0763" w:rsidP="007224C3">
      <w:pPr>
        <w:spacing w:after="0" w:line="240" w:lineRule="auto"/>
        <w:jc w:val="both"/>
        <w:rPr>
          <w:rFonts w:ascii="Times New Roman" w:hAnsi="Times New Roman"/>
          <w:color w:val="000000" w:themeColor="text1"/>
          <w:sz w:val="16"/>
          <w:szCs w:val="16"/>
        </w:rPr>
      </w:pPr>
    </w:p>
    <w:p w14:paraId="25D1BDF5"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7A711F7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0D112A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28 февраля 1944 Ил-2М был "полностью подготовлен к пробному полету" (11427).</w:t>
      </w:r>
    </w:p>
    <w:p w14:paraId="4FC5D61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B3952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28 февраля 1944 Ил-2М был "полностью подготовлен к пробному полету".</w:t>
      </w:r>
    </w:p>
    <w:p w14:paraId="4B6F21F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страховки на Ил-2М был установлен мотор АМ-38ф, смонтированы бензобаки объемом 1020 л, цельнометаллическая хвостовая часть фюзеляжа и хвостовое оперение, а также цельнометаллическое крыло с двумя 37-мм пушками 11 П (90 снарядов) и двумя ШKAC. При этом пушки 11П, в отличие от серийного Ил-2 с такими же пушками, размещались внутри крыла и ближе к оси самолета, a ШKAC дальше. Нормальная бомбовая нагрузка составляла 400 кг (в перегрузку 800 кг). Для защиты задней нижней полусферы в хвостовой части имелась кассета ДАГ-10 с десятью авиа-ционными гранатами АГ-2. Ракетное оружие отсутствовало. Стальная бронебашня сначала была переделана с целью улучшения обзора, "для чего примерно 50% стальной броневой поверхности башни заменяется броневым стеклом", а затем снята вовсе. Вместо нее смонтировали ВУ-8.</w:t>
      </w:r>
    </w:p>
    <w:p w14:paraId="0175C36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Изменялось и бронирование. В отличие от Ил-2 (РК) на Ил-2М летчик сзади защищался двумя разнесенными 8-мм броне- плитами. Такие же разнесенные бронеплиты устанавливались и вместо задней 12-мм бронестенки кабины стрелка (12020).</w:t>
      </w:r>
    </w:p>
    <w:p w14:paraId="1DD5869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2398BEE6"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февраля 1944 А.К.Долгов выполнил на Ил-АМ-42 со «старым» проверенным винтом АВ-5 л-18Б ознакомительный полет продолжительностью 20 минут. В полете потек левый маслобак. Вдобавок на посадке отказали тормоза левого шасси, но благодаря мастерству летчика обошлось без поломки. Замена маслобака, тормозов и левого колеса шасси продолжалась до 5.00 следующего дня, поскольку именно 29 февраля официально начинались государственные испытания самолета.</w:t>
      </w:r>
    </w:p>
    <w:p w14:paraId="35E04872"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Первый испытательный полет, в котором планировалось определить расход горючего на различных режимах, длился 55 минут и был прекращен вследствие самопроизвольного возрастания давления наддува. На посадке вновь отказали тормоза левого шасси. Работа по замене тормозов, свечей и регулировке карбюраторов затянулась до 2 часов ночи, но утром 1 марта и днем погода была совершенно нелетной. Решили провести весь комплекс наземных испытаний бомбардировочного вооружения.</w:t>
      </w:r>
    </w:p>
    <w:p w14:paraId="78481929"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следующий день погода опять была нелетная. Самолет загнали в институтский тир, где произвели отстрел оборонительной установки ВУ-8. Здесь испытателей ждала «неприятность»: прострелили киль, стабилизатор, рули направления и высоты. Однако погода и аэродромные службы сделали бригаде подарок – в течение следующих трех дней при неважной погоде аэродром был «не готов к взлету: рыхлый снег, вода».</w:t>
      </w:r>
    </w:p>
    <w:p w14:paraId="00FA3707"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Было решено одновременно с устранением пулевых повреждений провести на самолете небольшие доработки, улучшающие эксплуатационные и пилотажные качества машины. Заново отрегулировали карбюраторы, поставили новые троса управления «из-за большой заершенности старых», уменьшили щели между нижней частью крыла и элеронами (поставлена более широкая пластина), заменили покрышку костыльного колеса и лючки над бомболюком с левой внутренней стороны. Параллельно успели отработать химическое вооружение самолета.</w:t>
      </w:r>
    </w:p>
    <w:p w14:paraId="1A1DC835"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марта утром удалось выполнить один часовой полет на замер скорости и скороподъемности по высотам, так как с 11.00 полеты были запрещены. На следующий день погода благоприятствовала проведению испытаний, но в первом же полете на определение расхода горючего лопнула трубка, подводящая воду к левому блоку цилиндров. Пришлось идти на посадку и устранять неисправность.</w:t>
      </w:r>
    </w:p>
    <w:p w14:paraId="039669BB"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марта с утра стояла нелетная погода, но к 16.00 развеялось и удалось выполнить один полет на полигон для бомбометания и стрельбы из пушек и пулеметов. Вечером вновь пришлось менять свечи.</w:t>
      </w:r>
    </w:p>
    <w:p w14:paraId="3C62ED0F"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Ввиду нелетной погоды в течение следующего дня самолет «затащили» в тир, где отстреляли все вооружение.</w:t>
      </w:r>
    </w:p>
    <w:p w14:paraId="3A2D2A89"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период 11–13 марта погода была ограниченно летной, но летать все же удавалось. Всего было выполнено 15 взлетов и посадок для определения взлетно-посадочных характеристик самолета, три полета на стрельбу и бомбометание по наземным целям и определение скороподъемности самолета по высотам.</w:t>
      </w:r>
    </w:p>
    <w:p w14:paraId="71C58FE6"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марта погода окончательно испортилась, но летать все равно было бы нельзя, так как у самолета обнаружилась течь бензина из трубки подвода к карбюраторам и поломка уплотнительного кольца вала редуктора. Выявились и другие неисправности.</w:t>
      </w:r>
    </w:p>
    <w:p w14:paraId="432E6B5B"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Следующие четыре дня прошли в хлопотах по устранению дефектов самолета. Попутно установили новые элероны с увеличенной аэродинамической компенсацией (29 % вместо 27 %).</w:t>
      </w:r>
    </w:p>
    <w:p w14:paraId="66D96530"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Несмотря на неблагоприятные метеоусловия, 19 марта удалось выполнить 8 непродолжительных полетов, в том числе 5 – на определение взлетно-посадочных свойств и по одному полету на бомбометание, проверку действия в воздухе ВАП-250 и замер расхода горючего. Всего за день налетали 1 ч 55 мин. В ходе последнего полета сгорели прокладки всасывающих патрубков.</w:t>
      </w:r>
    </w:p>
    <w:p w14:paraId="3D0BC831"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Устранение вновь выявленных неисправностей затянулось до 22 марта, но в этот день погода опять оказалась нелетной. Только на следующий день удалось выполнить один часовой полет на замер расхода горючего. Затем последовал четырехдневный перерыв в полетах из-за плохой погоды. Наконец, 28 марта установилась устойчивая летная погода, которая продержалась три дня. В эти дни бригада испытателей работала весьма активно и 30 марта в 18.00 рапортовала руководству института об успешном завершении государственных испытаний.</w:t>
      </w:r>
    </w:p>
    <w:p w14:paraId="080BCCE8"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Таким образом, испытания Ил-АМ-42 (экз. № 1) продолжались в течение 31 календарного дня, из которых летных дней было всего 10, нелетных – 14. Еще 7 дней пришлось затратить на ремонт и доводку самолета. В общей сложности было выполнено 44 полета с налетом 19 ч 30 мин.</w:t>
      </w:r>
    </w:p>
    <w:p w14:paraId="47C0903C"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ходе испытаний самолет облетали ведущий инженер-летчик 3-го отдела НИИ ВВС инженер-майор А. В. Синельников, летчик-испытатель 4-го отдела майор М. П. Субботин, старший летчик-испытатель 3-го отдела майор В. С. Журавлев и летчик-испытатель подполковник М. А. Нюхтиков. В качестве штурманов облета участвовали капитан Т. Ф. Горбунов, заместитель начальника 4-го отдела полковник Н. И. Шауров, помощник начальника 6-го отдела капитан Васильев, штурман-испытатель капитан В. Н. Ковынев, штурман-испытатель подполковник Н. П. Цветков.</w:t>
      </w:r>
    </w:p>
    <w:p w14:paraId="416A313A"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Как следует из документов, самолет проходил испытания в двух вариантах: разведчика-корректировщика и штурмовика-бомбардировщика, которые отличались друг от друга фактически только бомбовой нагрузкой и заправкой самолета горючим и маслом. Состав фото- и радиооборудования самолета в ходе испытаний оставался неизменным и соответствовал «следопыту».</w:t>
      </w:r>
    </w:p>
    <w:p w14:paraId="21EF5956"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Стрелково-пушечное вооружение самолета в обоих вариантах назначения было одинаковым и включало две пушки ВЯ (300 патронов), два пулемета ШКАС (1500 патронов) и оборонительный пулемет УБК (3 диска по 50 патронов) на ВУ-8. Ракетное вооружение не предусматривалось.</w:t>
      </w:r>
    </w:p>
    <w:p w14:paraId="7642F4DB"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Нормальный полетный вес штурмовика-бомбардировщика устанавливался в 7260 кг, в перегрузку – 7660 кг. Полезная нагрузка при нормальном полетном весе составляла 1995 кг.</w:t>
      </w:r>
    </w:p>
    <w:p w14:paraId="01B873BE"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перегрузочном варианте допускалась подвеска до 1000 кг бомб, в том числе на двух внешних узлах две бомбы типа ФАБ-500 или два выливных авиаприбора ВАП-250 или УХАП-250.</w:t>
      </w:r>
    </w:p>
    <w:p w14:paraId="1C3CEF02"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Нагрузка в варианте «следопыта» ограничивалась 1460 кг и отличалась от штурмового варианта отсутствием бомбовой нагрузки и увеличенным до 120 кг весом съемного оборудования.</w:t>
      </w:r>
    </w:p>
    <w:p w14:paraId="68A9CEEE"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Поскольку состав съемного оборудования на самолете Ил-АМ-42 (экз. № 1) соответствовал варианту разведчика-корректировщика, то при загрузке 600 кг бомб и полной заправке горючим и маслом вес самолета на 65 кг превышал нормальный полетный вес, установленный для штурмовика-бомбардировщика. Поэтому при проведении испытательных полетов в варианте штурмовика вес горючего уменьшался ровно на 65 кг.</w:t>
      </w:r>
    </w:p>
    <w:p w14:paraId="557481F0"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Мотор АМ-42 на протяжении всего времени испытаний работал с недостатками: дымление, тряска, непостоянство наддува на режиме номинальной мощности, течь масла из-под уплотнения вала редуктора мотора, из-под крышки блоков, из корпуса нагнетателя через дренаж (после остановки мотора), а также засорение воздушных клапанов карбюраторов, быстрый износ поршневых колец и т. д. Отмечался и большой расход горючего на номинальном режиме работы мотора, который при контрольном полете 19 марта составил 295–315 г/л. с. ч.</w:t>
      </w:r>
    </w:p>
    <w:p w14:paraId="71A9A93A"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 ходе испытаний пришлось заменить маслоуплотнитель носка вала редуктора мотора, регулятор давления наддува, прокладки под всасывающими патрубками (для чего был демонтирован карбюратор). Дважды заменили весь комплект свечей, по одному разу все свечи внешнего ряда, водяную трубку (подводящую охлаждающую </w:t>
      </w:r>
      <w:r w:rsidRPr="007224C3">
        <w:rPr>
          <w:rFonts w:ascii="Times New Roman" w:hAnsi="Times New Roman"/>
          <w:color w:val="000000" w:themeColor="text1"/>
          <w:sz w:val="16"/>
          <w:szCs w:val="16"/>
        </w:rPr>
        <w:lastRenderedPageBreak/>
        <w:t>воду к левому блоку цилиндров мотора от помпы) и бензотрубку (подводящую топливо к карбюраторам). Из-за течи по сварке трижды ремонтировались маслобаки. Одновременно были отремонтированы все карбюраторы и коллекторы нагнетателя.</w:t>
      </w:r>
    </w:p>
    <w:p w14:paraId="14CE1C7F"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выполнении работ по устранению недостатков и дефектов «в полный рост» проявилась непродуманность конструкции винтомоторной группы с точки зрения удобства эксплуатации. Например, для того чтобы снять водяную трубку, необходимо было демонтировать блоки мотора, выхлопные патрубки и левый маслобак, а затем вернуть их на свои места. Замена трубопровода, подводящего горючее к карбюраторам, выливалась в полный демонтаж всасывающей трубы нагнетателя и карбюратора. Испытатели отмечали трудоемкую замену свечей внутренней стороны, и особенно проводников к свечам. На их замену затрачивалось до 5–6 часов. Трубки, подводящие воду к блокам, имели слишком большую длину (без технологических разъемов), что серьезно усложняло их замену и ремонт.</w:t>
      </w:r>
    </w:p>
    <w:p w14:paraId="4227E284"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общем, проблем с мотором хватало с избытком, но бригаде НИИ ВВС все же удалось отлетать программу испытаний почти в полном объеме.</w:t>
      </w:r>
    </w:p>
    <w:p w14:paraId="0F29CC81"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первую очередь определялись летно-технические данные Ил-АМ-42 (экз. № 1) в варианте штурмовика-бомбардировщика и только затем – в варианте разведчика-корректировщика. Как показали полеты, основные данные нового самолета заметно превосходили Ил-2, хотя, по мнению военных, уже не отвечали в полном объеме современным требованиям.</w:t>
      </w:r>
    </w:p>
    <w:p w14:paraId="51972F94"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нормальном полетном весе (600 кг бомб на внутренней подвеске) максимальная скорость полета оказалась равной 472 км/ч на высоте 2500 м и 428 км/ч – у земли. Вертикальная скорость не превышала 7 м/с на высоте 1000 м и 6,7 м/с – у земли. Разбег самолета с отклоненными на 17° щитками и с форсажем мотора составил 435 м. Пробег при посадочном весе 5900 кг с применением тормозов и отклонением щитков на 45° оказался в пределах 465 м. Посадочная скорость равнялась 136 км/ч.</w:t>
      </w:r>
    </w:p>
    <w:p w14:paraId="30091BE1"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Разведчик-корректировщик на всех высотах летал на 8 км/ч быстрее штурмовика-бомбардировщика. Примерно на 22 % была выше скороподъемность и на 11 % горизонтальная маневренность. Лучшими были и взлетно-посадочные характеристики. Из-за непостоянства наддува в полете при работе мотора, тряски и выработки ресурса мотора (к моменту начала полетов в варианте «следопыта» остаток ресурса составлял 4–5 часов) измерить скороподъемность выше границы высотности не удалось.</w:t>
      </w:r>
    </w:p>
    <w:p w14:paraId="687F5BC8"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всех вариантах полетного веса центровка самолета (шасси выпущено) находилась в пределах от 19,9 % САХ (пустой самолет) до 23,3 % (перегрузочный вариант с 1000 кг бомб).</w:t>
      </w:r>
    </w:p>
    <w:p w14:paraId="78F0E7B6"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Дальность полета на высоте 1000 м и скорости 308 км/ч составила 820 км – на 155 км больше дальности полета Ил-2 АМ-38ф. При этом отмечалось, что дальность полета 2-го экземпляра Ил-АМ-42, на котором установлены бензобаки емкостью 1020 л, будет достигать 980 км.</w:t>
      </w:r>
    </w:p>
    <w:p w14:paraId="4CF62C13"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своим пилотажным свойствам Ил-АМ-42 оказался достаточно простым и легким в управлении. В сравнении с Ил-2 новый самолет обладал значительно лучшей продольной устойчивостью и управляемостью, что упростило технику пилотирования, особенно на виражах и бреющих полетах. Летчики-испытатели отмечали, что Ил-АМ-42 в отличие от Ил-2 «на вираже позволяет значительно выбирать ручку руля высоты на себя, для уменьшения радиуса виража». Пикировал самолет устойчиво. Просадка на выводе оказалась несколько больше, чем у серийного Ил-2. Сила отдачи при стрельбе из пушек почти не сказывалась на пилотировании самолетом и прицеливании. Маневренность Ил-АМ-42 в вертикальной и горизонтальной плоскостях оказалась почти такой же, как у серийной «двойки», даже несколько хуже, и считалась недостаточной для условий боевых действий завершающего периода войны. Тем не менее в целом самолет оставил у военных летчиков-испытателей хорошее впечатление. «Специального переучивания летного состава для перехода с Ил-2 не требует», – указывалось в отчете по испытаниям.</w:t>
      </w:r>
    </w:p>
    <w:p w14:paraId="1B05B197"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улучшения пилотажных качеств машины летчики предлагали на руль поворота установить триммер, а на элероны «наклепать ножи для регулировки от подваливания».</w:t>
      </w:r>
    </w:p>
    <w:p w14:paraId="447ABBC8"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Указывалось, что Ил-АМ-42 строился по нормам прочности 1941 года и относится к классу Б – ограниченно маневренных самолетов. При полетном весе 7250 кг разрушающая перегрузка равнялась 7,5 единицы, эксплуатационная перегрузка («установленная главным конструктором самолета») – 4,96 единицы.</w:t>
      </w:r>
    </w:p>
    <w:p w14:paraId="3382BDE6"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Помимо неудовлетворительной работы мотора АМ-42 отмечались и ряд других недостатков, отнесенных специалистами института к разряду основных.</w:t>
      </w:r>
    </w:p>
    <w:p w14:paraId="39BBFD04"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частности, для самолета боя представлялось обязательным наличие системы заполнения бензобаков нейтральным газом. На Ил-АМ-42, как указывалось выше, такая система имелась, но на государственные испытания официально она не предъявлялась, так как не была доведена до рабочего состояния.</w:t>
      </w:r>
    </w:p>
    <w:p w14:paraId="7BE661D5"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Схему бронирования Ил-АМ-42 специалисты НИИ ВВС оценили как не отвечающую современным требованиям. Соответствующее заключение начальник 8-го отдела института инженер-полковник Лагутин утвердил 24 марта. В ряду особо уязвимых мест значились задняя бронеперегородка штурмана-стрелка (толщина 12 мм) и моторная часть снизу-сбоку (толщина 4 мм). Боевой опыт показал, что именно эти места бронекорпуса Ил-2 наиболее часто поражаются огнем противника. Предлагалось усилить эти участки путем перераспределения толщины брони при сохранении веса брони на прежнем уровне. Для этого рекомендовалось «снять с корпуса/…/передние броневые детали за втулкой винта, уменьшить с 5 до 2,5 мм толщину деталей пояса кабины летчика в местах примыкания крыла к фюзеляжу». Кроме этого, требовалось заднюю перегородку штурмана установить по образцу 2-го экземпляра Ил-АМ-42, то есть сделать экранированной две бронеплиты по 8 мм и обеспечить защиту головы штурмана бронестеклом.</w:t>
      </w:r>
    </w:p>
    <w:p w14:paraId="50443159"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то же время отмечалось, что обе кабины – летчика и штурмана-стрелка – в сравнении с Ил-2 имеют увеличенные размеры, что улучшает условия боевой работы экипажа. В кабине штурмана-стрелка вместо брезентовой ленты (как на Ил-2) устанавливалось постоянное откидное сиденье. Штурман облета капитан Т. Ф. Горбунов отмечал, что в кабине «тепло, задуваний нет, можно работать без летных очков». Посадка в кабину через нижний люк в бронекорпусе была признана удобной. В аварийной ситуации штурман легко покидал кабину с парашютом. Однако при посадке на фюзеляж выбраться из своей кабины штурман не мог, «так как фонарь летчика при открытии надвигается на фонарь штурмана».</w:t>
      </w:r>
    </w:p>
    <w:p w14:paraId="6325FEAB"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достоинству машины было отнесено применение электрической системы управления заслонками водо- и маслорадиаторов, а также пневмоэлектрической системы управления огнем и перезарядки стрелково-пушечного вооружения, поскольку это сильно облегчало работу летчика в бою.</w:t>
      </w:r>
    </w:p>
    <w:p w14:paraId="43A7D012"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Положительно оценили наличие дублирования в каналах управления рулем высоты, поворота, элеронами и триммерами.</w:t>
      </w:r>
    </w:p>
    <w:p w14:paraId="17E6163D"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Установка в кабине пилота прицела ПБП-1б на легкосъемном кронштейне обеспечивала летчику дополнительную безопасность при посадке с убранным шасси. Как известно, на Ил-2 ранних серий летчики часто ударялись о прицел ПБП-1 головой во время вынужденных посадок, что нередко приводило к серьезным травмам, а в ряде случаев – и к смертельным исходам.</w:t>
      </w:r>
    </w:p>
    <w:p w14:paraId="70EFD183"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Бомбовое вооружение штурмовика-бомбардировщика Ил-АМ-42 по номенклатуре бомб и весу в целом соответствовало требованиям войны. Бомбометание допускалось как с горизонтального полета, так и с пикирования, но под углами не более 25–30°, хотя на испытаниях самолет пикировал до 40° без каких-либо нареканий. Для бомбометания с горизонтального полета предназначался прицел ОПБ-1р. Сброс бомб мог осуществляться и штурманом, и летчиком. Однако прицельно сбросить бомбы ни тот ни другой не могли. Из-за плохого обзора передней полусферы штурман без помощи летчика «не может вывести самолет на нехарактерную цель» (объект удара), то есть «заранее найти цель, опознать ее, а затем осуществить наводку». Как отмечалось в отчете, «выполнить все это через прицел не представляется возможным». В свою очередь, «вследствие неудовлетворительного качества прицельных устройств» летчик мог прицеливаться и бомбить «с горизонта» лишь по наитию. Фактически получалось так, что при бомбометании с горизонтального полета наводку на цель и выход на боевой курс должен был выполнять непосредственно летчик, а прицеливание – штурман, «что требует соответствующей методической проработки».</w:t>
      </w:r>
    </w:p>
    <w:p w14:paraId="3B458700"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Кроме этого, бомбовый прицел штурмана в полете нещадно забрызгивался маслом, которое выбивалось из-под уплотнительного кольца втулки винта и носка коленчатого вала мотора. По этим причинам в первом же полете на испытание бомбового вооружения 9 марта штурман капитан Т. Ф. Горбунов был вынужден сбросить все бомбы залпом, неприцельно, за один заход. Для предохранения прицела от попадания масла на заводе № 240 был изготовлен специальный щиток. Установка щитка на самолет положение не улучшило – оптика забрызгивалась маслом. Прицельное бомбометание по-прежнему оставалось невозможным. В испытательном полете 19 марта со щитком из-за замасливания оптики Горбунов сбросил все бомбы аварийно. В то же время отмечалось, что работать с ОПБ-1р в боевом положении удобно, а сам прицел является наиболее подходящим для установки на Ил-АМ-42, если, конечно, «устранить забрызгивание оптики прицела маслом».</w:t>
      </w:r>
    </w:p>
    <w:p w14:paraId="7558E0F1"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этим причинам для бомбометания с горизонтального полета рекомендовалось использовать прицельную систему, отработанную для Ил-2: разметку и визирные штыри на бронекапоте самолета, метки и прицельные линии на лобовом и боковых бронестеклах фонаря кабины.</w:t>
      </w:r>
    </w:p>
    <w:p w14:paraId="6DBA6480"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Бомбометание с пикирования по методике ничем не отличалось от таковой на Ил-2 и в целом показало хорошие результаты вследствие лучшей устойчивости самолета при пикировании.</w:t>
      </w:r>
    </w:p>
    <w:p w14:paraId="22AE7285"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Отметим, что маслом забрызгивалось и переднее бронестекло фонаря кабины пилота, что, естественно, ухудшало условия прицеливания.</w:t>
      </w:r>
    </w:p>
    <w:p w14:paraId="196C2113"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отработки стрелково-пушечного вооружения было выполнено в общей сложности 19 полетов, из них «9 полетов со стрельбой по наземным целям и 10 полетов с ВУ-8».</w:t>
      </w:r>
    </w:p>
    <w:p w14:paraId="643D97B0"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Если к пушкам ВЯ и пулеметам ШКАС при стрельбе в воздухе каких-либо серьезных претензий у военных испытателей не было, то работой оборонительной установки ВУ-8 с пулеметом УБК и ее возможностями они остались недовольны.</w:t>
      </w:r>
    </w:p>
    <w:p w14:paraId="29F12736"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 недостатки ВУ-8 в явном виде проявились в воздушном бою с немецким истребителем Bf109G-2, который состоялся 30 апреля. За воздушного стрелка вылетал штурман-испытатель подполковник Н. П. Цветков. Атаки выполнялись со всех возможных в реальном бою направлений. При этом на маршруте полета от Чкаловской до Ногинска «мессер» успевал выполнить до 8–9 атак, находясь всегда в задней полусфере и отворачивая всякий раз в сторону с набором высоты.</w:t>
      </w:r>
    </w:p>
    <w:p w14:paraId="237A0827"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Оказалось, что за время одной атаки «мессершмитта» штурман успевал только развернуть установку в сторону истребителя и выставить пулемет в необходимое положение для стрельбы по нему, а на прицеливание оставалось «такое незначительное время, что точно навести прицел с требуемой поправкой на скорость цели не удалось ни разу». С одной стороны, это обуславливалось большими угловыми скоростями цели, а с другой – значительными усилиями для удерживания пулемета при прицеливании и стрельбе. Дело в том, что для выполнения грубой наводки на цель штурману приходилось одной рукой (правой) удерживать пулемет, а другой </w:t>
      </w:r>
      <w:r w:rsidRPr="007224C3">
        <w:rPr>
          <w:rFonts w:ascii="Times New Roman" w:hAnsi="Times New Roman"/>
          <w:color w:val="000000" w:themeColor="text1"/>
          <w:sz w:val="16"/>
          <w:szCs w:val="16"/>
        </w:rPr>
        <w:lastRenderedPageBreak/>
        <w:t>рукой (левой) – фиксировать стопор каретки установки и одновременно «доворачивать пулеметную установку на цель». После окончания грубой наводки штурман переносил левую руку на пулемет для точного прицеливания, но положение цели за это время менялось настолько, что она оказывалась за пределами углового сектора точной наводки пулемета. Требовалось вновь перемещать саму установку и выполнять точную наводку пулеметом и т. д. То есть «одной рукой довести пулемет и прицелиться невозможно».</w:t>
      </w:r>
    </w:p>
    <w:p w14:paraId="1B97893A"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Положение усугублялось еще и тем обстоятельством, что при работе с пулеметом имело место «много мелких трудноуловимых препятствий, затруднявших маневр пулеметом и установкой».</w:t>
      </w:r>
    </w:p>
    <w:p w14:paraId="1F782D5F"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Как следует из донесения Цветкова, производить прицеливание при стрельбе вверх было крайне неудобно, так как «приходится опускаться на корточки, и получается очень напряженное, неустойчивое положение». При поворотах установки на левый борт очень трудно использовать доводочные углы пулемета, требовалось менять положение туловища относительно оружия, а поскольку прицел располагался слева от пулемета, то для прицеливания нужно было втиснуться между пулеметом и установкой. К тому же сильно мешал установленный в кабине штурмана фотоаппарат АЩАФА-2. Положение стрелка было недостаточно устойчивым – во время прицеливания и стрельбы все время приходилось подыскивать место, куда бы поставить ноги. Отсюда потеря времени на прицеливание. Практически получалось так, что обеспечить прицельный огонь с левого борта было нельзя.</w:t>
      </w:r>
    </w:p>
    <w:p w14:paraId="60714AEF"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Стрельба с незастопоренной установкой показала, что пулемет в этом случае резко уходит к правому борту, а при стрельбе с застопоренной установкой пулемет сильно трясет.</w:t>
      </w:r>
    </w:p>
    <w:p w14:paraId="7554A037"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Ведение прицельного огня на виражах оказалось невозможным, так как пулемет прижимает вниз, а «приподнять и удержать его не хватает силы», не говоря уже о том, чтобы одновременно с этим еще и поворачивать установку в сторону цели. Во время воздушного боя на виражах истребитель легко держался в хвосте и на первом же вираже заходил строго в хвост на дистанцию открытия действительного огня 100–150 м.</w:t>
      </w:r>
    </w:p>
    <w:p w14:paraId="4A9365AD"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мнению подполковника Цветкова, маневренность ВУ-8 и пулемета в целом явно недостаточная для эффективного отражения атак истребителей, «в лучшем случае она может позволить сделать одну прицельную очередь, и то с недостаточной точностью прицеливания». Одновременно отмечалось, что сама установка ВУ-8 заметно лучше, чем блистерная установка БЛУБ на Су-6, и несколько лучше, чем ВУБ-3 на Ил-2.</w:t>
      </w:r>
    </w:p>
    <w:p w14:paraId="13B075E4"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Справедливости ради следует отметить, что при всех атаках со стороны задней полусферы летчик по команде штурмана энергичным маневром успевал доворачивать самолет таким образом, чтобы штурман мог держать противника в секторе обстрела. Это до некоторой степени компенсировало ограниченность углов обстрела установки, однако не обеспечивало ведение прицельной стрельбы.</w:t>
      </w:r>
    </w:p>
    <w:p w14:paraId="73A76FB6"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отражении атак истребителя со стороны солнца выявилась еще одна интересная особенность ВУ-8 – плексиглас козырька установки слепил штурмана еще больше, чем солнце, вследствие чего прицеливаться было невозможно.</w:t>
      </w:r>
    </w:p>
    <w:p w14:paraId="797588AF"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Кроме этого, переговорное устройство штурмана и летчика работало неудовлетворительно: «… сильный треск и шум не давали разговаривать, переключатель абонентской коробки во время боя несколько раз самопроизвольно переключался в положение РС или РК, что нарушало связь с летчиком».</w:t>
      </w:r>
    </w:p>
    <w:p w14:paraId="2D098D3F"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Серьезными недостатками ВУ-8 считались небольшая емкость магазина пулемета УБК и большое время его смены. Полсотни патронов в магазине оказалось недостаточно для отражения даже одной атаки истребителя. В то же время на его замену уходило около одной минуты, что было совершенно неприемлемым для реальных условий боя. В отчете указывалось, что за счет некоторых конструктивных улучшений можно сократить время смены магазина до 45–50 секунд, но все равно оно оставалось большим.</w:t>
      </w:r>
    </w:p>
    <w:p w14:paraId="627C8479"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сравнению с ранее принятыми подобными установками преимуществ не имеет, за исключением того, что защищает стрелка от задувания», – констатировал подполковник Цветков после проведенного им воздушного боя с немецким истребителем.</w:t>
      </w:r>
    </w:p>
    <w:p w14:paraId="5DF306F3"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выводах отчета предлагалось увеличить углы обстрела вверх и по горизонту и емкость магазина, хотя бы до 75 патронов, а также «отработать механизм, компенсирующий вес пулемета и магазина».</w:t>
      </w:r>
    </w:p>
    <w:p w14:paraId="4F5E6ED2"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Предъявлялись претензии и к спецоборудованию самолета. В частности, отмечалась плохая конструктивная проработка экранировки системы зажигания мотора, вследствие чего «уровень помех радиоприема вырастает до недопустимых величин». Схема коммутации средств радио- и внутрисамолетной связи не учитывала особенности работы экипажа на данном самолете – «летчик и штурман совмещают лишние функции».</w:t>
      </w:r>
    </w:p>
    <w:p w14:paraId="74CE4042"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Несмотря на столь обширный перечень дефектов и недостатков Ил-АМ-42, в заключении акта по испытаниям самолет был рекомендован к запуску в серийное производство в вариантах штурмовика-бомбардировщика и разведчика-корректировщика.</w:t>
      </w:r>
    </w:p>
    <w:p w14:paraId="2784193E"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целью выявления боевых качеств Ил-АМ-42 предлагалось «выпустить войсковую серию этих самолетов». Причем когда акт подписывал начальник НИИ ВВС генерал-лейтенант П. А. Лосюков, то он собственноручно дописал к этому пункту документа: «…даже с 50 час. ресурсом АМ-42 (если не успеют моторы со 100 час. ресурсом)».</w:t>
      </w:r>
    </w:p>
    <w:p w14:paraId="11C91D58"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Военные специалисты считали необходимым «просить Наркома авиапромышленности тов. Шахурина А. И. дать задания: а) Главному конструктору мотора АМ-42 тов. Микулину А. А. довести опытный мотор до состояния пригодного к нормальной эксплуатации. б) Главному конструктору самолета Ил с АМ-42 тов. Ильюшину С. В. до запуска в серийное производство устранить дефекты, отмеченные в выводах…»</w:t>
      </w:r>
    </w:p>
    <w:p w14:paraId="6B7766D3" w14:textId="77777777" w:rsidR="005C20A0" w:rsidRPr="007224C3" w:rsidRDefault="005C20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Что касается установки на самолет кассет ДАГ-10 и крупнокалиберных пушек 11П, а также величины бомбовой нагрузки с этими пушками, то решение планировалось принять после проведения испытаний 2-го экземпляра самолета Ил-АМ-42 (17490).</w:t>
      </w:r>
    </w:p>
    <w:p w14:paraId="5EB08CC9" w14:textId="77777777" w:rsidR="005C20A0" w:rsidRPr="007224C3" w:rsidRDefault="005C20A0" w:rsidP="007224C3">
      <w:pPr>
        <w:spacing w:after="0" w:line="240" w:lineRule="auto"/>
        <w:jc w:val="both"/>
        <w:rPr>
          <w:rFonts w:ascii="Times New Roman" w:hAnsi="Times New Roman"/>
          <w:color w:val="000000" w:themeColor="text1"/>
          <w:sz w:val="16"/>
          <w:szCs w:val="16"/>
        </w:rPr>
      </w:pPr>
    </w:p>
    <w:p w14:paraId="3615D6A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28 февраля 1944 самолет Су-6 был полностью подготовлен к передаче на ЛИС завода для продолжения заводских испытаний. За это время на самолет «временно до изготовления главным конст</w:t>
      </w:r>
      <w:r w:rsidRPr="007224C3">
        <w:rPr>
          <w:rFonts w:ascii="Times New Roman" w:hAnsi="Times New Roman"/>
          <w:color w:val="000000" w:themeColor="text1"/>
          <w:sz w:val="16"/>
          <w:szCs w:val="16"/>
        </w:rPr>
        <w:softHyphen/>
        <w:t>руктором мотора Микулиным водопомпы нормальной про</w:t>
      </w:r>
      <w:r w:rsidRPr="007224C3">
        <w:rPr>
          <w:rFonts w:ascii="Times New Roman" w:hAnsi="Times New Roman"/>
          <w:color w:val="000000" w:themeColor="text1"/>
          <w:sz w:val="16"/>
          <w:szCs w:val="16"/>
        </w:rPr>
        <w:softHyphen/>
        <w:t>качки» установили дроссельные заслонки перед входом в водо-радиатор, снижающие давление в водосистеме до требуемых норм. Кроме того, радиаторным заводом изготовлен радиатор повышенной прочности.</w:t>
      </w:r>
    </w:p>
    <w:p w14:paraId="7ED8CA7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 до 21 марта на Су-6 АМ-42 удалось выполнить 8 полетов с суммарным налетом 4 ч 50 мин. Были получены неплохие летные данные. Максимальная скорость у земли составила 490 км/ч. Длина разбега — 420 м.</w:t>
      </w:r>
    </w:p>
    <w:p w14:paraId="5DDD06F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Винтомоторная группа на всех режимах работала устойчиво. При пикировании скорость достигала 530 км/ч по прибору. Самолет вел себя устойчиво. Никаких ненормальностей не наблюдалось. Для уменьшения нагрузок на ручку управления самалетоми педали от рулей несколько изменили роговую и осевую компенсации.</w:t>
      </w:r>
    </w:p>
    <w:p w14:paraId="0361C8D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Вместе с тем отмечалось, что «мотор работает богато», а свечи ВГ-27 обеспечивают нормальную работу мотора только в течение 2 ч, после чего их приходится заменять.</w:t>
      </w:r>
    </w:p>
    <w:p w14:paraId="5962AB0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целом по летным и эксплуатационным данным самолет оценили положительно. Былшо решено передать его на государ</w:t>
      </w:r>
      <w:r w:rsidRPr="007224C3">
        <w:rPr>
          <w:rFonts w:ascii="Times New Roman" w:hAnsi="Times New Roman"/>
          <w:color w:val="000000" w:themeColor="text1"/>
          <w:sz w:val="16"/>
          <w:szCs w:val="16"/>
        </w:rPr>
        <w:softHyphen/>
        <w:t>ственные испытания (11474,434).</w:t>
      </w:r>
    </w:p>
    <w:p w14:paraId="3948445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71E5A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февраля 1944 г. И-231 (2Д) А.И.М. с АМ-39А передали на госиспытания, но 8 марта он потерпел аварию из-за отказа щитков-закрылков и тормозов при посадке. Вскоре работы по И-231 были прекращены вследствие задержки с получением нового мотора (9032).</w:t>
      </w:r>
    </w:p>
    <w:p w14:paraId="408394F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F710D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февраля 1944 г. авиастроители завода № 82 собрали первенца - Як-9У М-107А. По плану, устранить производственные недостатки предполагалось на пяти машинах нулевой серии. Однако и нулевую, и первую серию (из десяти истребителей) военная приемка долго отказывалась оформлять (4842).</w:t>
      </w:r>
    </w:p>
    <w:p w14:paraId="2B4DCFA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24722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февраля 1944 было подготовлено письмо № 841058 Нач. Упр. ВУЗ ВВС КА гл иас Иванова (ГУ обучения, формирования и комплектования ВВС КА) Зам. Командующего ВВС КА гпа Никитину:</w:t>
      </w:r>
    </w:p>
    <w:p w14:paraId="083BB09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Виза: гм Шишкину:</w:t>
      </w:r>
    </w:p>
    <w:p w14:paraId="74F143D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Поручить лично Лазареву возглавить группу по разбору аварийных случаев.</w:t>
      </w:r>
    </w:p>
    <w:p w14:paraId="66C4DD3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 отд. 3 войдет ви, от Лавочкина прибудет представитель 7 марта 1944</w:t>
      </w:r>
    </w:p>
    <w:p w14:paraId="296814F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последние 4 месяца 1943 г. ВУЗ ВВС КА произошло 10 катастроф с-та Ла-5, из них в текущем году 5. Обстоятельства идентичны. При пилотировании или воздушном бое с-т Ла-5 произвольно входит в пикирование под различными углами от 30 до 90 гр. и пикирует до земли. Были разрушения планера (срыв обшивки, обрыв органов управления), обрыв хвоста по 11 шпангоуту. Мотор во всех случаях работал до удара о землю. Летчики погибали. В Батайской школе - 5 сл., Борисоглебской школе - 3 сл., в Чугуевской школе - 1 сл., Конотопском училище - 1 сл. В действующей армии (1ВА) зафиксирован случай разрушения с-та Ла-5 № 05-10 в воздухе, причем л удалось посадить с-т. (765,22).</w:t>
      </w:r>
    </w:p>
    <w:p w14:paraId="18F8731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62FCE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февраля 1944 вышел приказ НКАП N 149сс:</w:t>
      </w:r>
    </w:p>
    <w:p w14:paraId="068D572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"Постановлением N 5201 от 18 февраля 1944 ГКО указывает на совершенно недопустимое положение дела с развитием реактивной авиации (1661,80):</w:t>
      </w:r>
    </w:p>
    <w:p w14:paraId="77554B3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Гос. Институт Реактивной Техники при СНК ликвидировать.</w:t>
      </w:r>
    </w:p>
    <w:p w14:paraId="1E331A8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Придавая исключительно важное значение делу создания реактивной авиации в СССР, возложить решение этой задачи на НКАП.</w:t>
      </w:r>
    </w:p>
    <w:p w14:paraId="298C903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Обязать НКАП - А.И.Ш. и А.С.Я.:</w:t>
      </w:r>
    </w:p>
    <w:p w14:paraId="1085878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собрать все квалифицированные силы по реактивной технике в СССР и организовать НИИ Реактивной Авиации (НИРА), считая основной задачей института создание реактивных двигателей.</w:t>
      </w:r>
    </w:p>
    <w:p w14:paraId="6DAC9E4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б) придать новому институту исследовательско-конструкторское направление, с целью обеспечения создания надежных реактивных двигателей и самолетов и </w:t>
      </w:r>
      <w:r w:rsidRPr="007224C3">
        <w:rPr>
          <w:rFonts w:ascii="Times New Roman" w:hAnsi="Times New Roman"/>
          <w:color w:val="000000" w:themeColor="text1"/>
          <w:sz w:val="16"/>
          <w:szCs w:val="16"/>
        </w:rPr>
        <w:lastRenderedPageBreak/>
        <w:t>практически осуществить полеты первых реактивных самолетов в 1944</w:t>
      </w:r>
    </w:p>
    <w:p w14:paraId="1240128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наряду с работой по созданию реактивного самолета в НИРА, поручить проектирование и постройку реактивных самолетов А.С.Я., С.А.Л., А.И.М., П.О.С.</w:t>
      </w:r>
    </w:p>
    <w:p w14:paraId="3F12D87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 к 15 марта с.г. представить в ГКО конкретные предложения о строительстве реактивных двигателей</w:t>
      </w:r>
    </w:p>
    <w:p w14:paraId="51076C3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исполнение указанного постановления:</w:t>
      </w:r>
    </w:p>
    <w:p w14:paraId="24CFD7D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Зам. наркома А.С.Я. и Нач. 7 ГУ С.Н.Шишкину организовать в системе 7 ГУ на базе ГИРТ при СНК и завода 293 НИИ РА, присвоив ему литерное наименование НИИ-1 (1661,80).</w:t>
      </w:r>
    </w:p>
    <w:p w14:paraId="54984D1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D23A1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февраля 1944 г. вышел приказ НКАП №149, в соответствии с которым на базе ГИРТ и завода №293 органи</w:t>
      </w:r>
      <w:r w:rsidRPr="007224C3">
        <w:rPr>
          <w:rFonts w:ascii="Times New Roman" w:hAnsi="Times New Roman"/>
          <w:color w:val="000000" w:themeColor="text1"/>
          <w:sz w:val="16"/>
          <w:szCs w:val="16"/>
        </w:rPr>
        <w:softHyphen/>
        <w:t>зовали НИИ-1 НКАП. Таким образом, в структуре НКАП стало два основных центра, которым было поручено зани</w:t>
      </w:r>
      <w:r w:rsidRPr="007224C3">
        <w:rPr>
          <w:rFonts w:ascii="Times New Roman" w:hAnsi="Times New Roman"/>
          <w:color w:val="000000" w:themeColor="text1"/>
          <w:sz w:val="16"/>
          <w:szCs w:val="16"/>
        </w:rPr>
        <w:softHyphen/>
        <w:t>маться проблемами реактивного дви-гателестроения НИИ-1 и ЦИАМ. Воз</w:t>
      </w:r>
      <w:r w:rsidRPr="007224C3">
        <w:rPr>
          <w:rFonts w:ascii="Times New Roman" w:hAnsi="Times New Roman"/>
          <w:color w:val="000000" w:themeColor="text1"/>
          <w:sz w:val="16"/>
          <w:szCs w:val="16"/>
        </w:rPr>
        <w:softHyphen/>
        <w:t>главивший в НИИ-1 отдел турбореак</w:t>
      </w:r>
      <w:r w:rsidRPr="007224C3">
        <w:rPr>
          <w:rFonts w:ascii="Times New Roman" w:hAnsi="Times New Roman"/>
          <w:color w:val="000000" w:themeColor="text1"/>
          <w:sz w:val="16"/>
          <w:szCs w:val="16"/>
        </w:rPr>
        <w:softHyphen/>
        <w:t>тивных двигателей А.М.Люлька пере</w:t>
      </w:r>
      <w:r w:rsidRPr="007224C3">
        <w:rPr>
          <w:rFonts w:ascii="Times New Roman" w:hAnsi="Times New Roman"/>
          <w:color w:val="000000" w:themeColor="text1"/>
          <w:sz w:val="16"/>
          <w:szCs w:val="16"/>
        </w:rPr>
        <w:softHyphen/>
        <w:t>вез из Ленинграда чертежи и детали РД-1 и после трехлетнего перерыва продолжил работы по созданию оте</w:t>
      </w:r>
      <w:r w:rsidRPr="007224C3">
        <w:rPr>
          <w:rFonts w:ascii="Times New Roman" w:hAnsi="Times New Roman"/>
          <w:color w:val="000000" w:themeColor="text1"/>
          <w:sz w:val="16"/>
          <w:szCs w:val="16"/>
        </w:rPr>
        <w:softHyphen/>
        <w:t>чественного ТРД (11128).</w:t>
      </w:r>
    </w:p>
    <w:p w14:paraId="290BF3F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9B937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февраля 1944 г. по приказу НКАП № 149сс завод № 293 вошел в состав НИИ-1 НКАП, а по приказу № 370сс от 30.05.1944 г. стал его филиалом № 1 (начальник (01.1946 г.)- Нейман, начальник КБ- А.Я. Березняк). Продолжены работы по «БИ». Здесь же работала группа (ОКО) А.М. Исаева по ЖРД (10776).</w:t>
      </w:r>
    </w:p>
    <w:p w14:paraId="4D75074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1DA63BB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февраля 1944 г. по приказу № 149сс НИРА был объединен с заводом № 293 (вместе с ОКБ-293) и преобразован в НИИ-1, в ведении 7ГУ НКАП. Началось сосредоточение в институте основных кадров по реактивной технике. Сюда переведены: из ОКБ-293 - ЭКБ-3 М.М. Бондарюка (создан отдел ПВРД, далее- КБ-2 НИИ-1, с 10.1950 г.- самостоятельное ОКБ-670); из ЦИАМ - А.М. Люлька (выдано задание на создание ТРД тягой 1250 кг); группа В.П. Глушко; группа Л.С. Душкина; группа А.М. Исаева (ОКО при НИИ-1).</w:t>
      </w:r>
    </w:p>
    <w:p w14:paraId="0D4CAE8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И.Ф. Флоров, работавший в ОКБ-293, в 07.1944 г. назначен начальником самолетного сектора № 43 НИИ-1 по приказу № 370сс от 30.05.1944 г. (с 1948 г.- в ЦИАМ). Здесь же с конца 1944 г. по 02.1945 г. работал А.А. Боровков. Создан самолет «4302» (1946 г.).</w:t>
      </w:r>
    </w:p>
    <w:p w14:paraId="51D1020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Приказом № 364с от 29.05.1944 г. начальником НИИ-1 назначен П.И. Федоров, 1-м замом по научно-исследовательской работе- В.Ф. Болховитинов. Приказом № 656с от 11.11.1944 г. НИИ-1 передан в 18ГУ, основное направление- реактивное двигателестроение. В 03.1946 г. в связи с ликвидацией 18ГУ передан в 8ГУ, с 1.10.1951 г.- в 6ГУ.</w:t>
      </w:r>
    </w:p>
    <w:p w14:paraId="5A46D5B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03.1946 г. из НИИ-1 МАП на завод № 81 МАП переведена группа конструкторов (9 чел.), занимавшаяся установками РС. По приказу № 182сс от 30.03.1946 г. СКБ А.М. Люльки переведено на самостоятельную опытную базу- завод № 165 МАП, в состав его ОКБ передан личный состав отдела № 21 НИИ-1.</w:t>
      </w:r>
    </w:p>
    <w:p w14:paraId="6A811F1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1947 г. Келдышем разработан проект ракетного самолета с 2-мя ПВРД и ЖРД.</w:t>
      </w:r>
    </w:p>
    <w:p w14:paraId="7692F19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1.07.1948 г. НИИ-1 являлся филиалом ЦИАМ (приказ № 440с от 21.06.1948 г.). В соответствии с постановлением СМ СССР от 10.03.1952 г. НИИ-1 МАП стал самостоятельным и получил также название НИИ РД (реактивных двигателей)59.</w:t>
      </w:r>
    </w:p>
    <w:p w14:paraId="7E4A790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 НИИ-88 в институт переведена лаборатория по автоматической астрокоррекции под руководством И.М. Лисовича.</w:t>
      </w:r>
    </w:p>
    <w:p w14:paraId="0A11FFA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С 1950-х г., после выделения всех конструкторских организаций в самостоятельные, институт занимается НИР в ракетно-космической области и двигателестроении. </w:t>
      </w:r>
    </w:p>
    <w:p w14:paraId="6F8951C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1954 г. создана лаборатория № 6 (руководитель- К.П. Осминин) по динамике КР.</w:t>
      </w:r>
    </w:p>
    <w:p w14:paraId="021239C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1950-е г. построена стендовая испытательная база в Тураево.</w:t>
      </w:r>
    </w:p>
    <w:p w14:paraId="103F20B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1954 г. институт принимает активное участие в работах по МБР Р-7, МКР «Буран» и «Буря».</w:t>
      </w:r>
    </w:p>
    <w:p w14:paraId="60D6163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 1955 г. образован филиал по системам управления КР (начальник- Р.Г. Чачикян; гл. конструкторы: по астронавигации- И.М. Лисович, по автопилоту- Г.Н. Толстоусов).59 </w:t>
      </w:r>
    </w:p>
    <w:p w14:paraId="1020479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 1956-57 г. построен газодинамический тепловой стенд Ц-12Т для испытаний ракет.59 </w:t>
      </w:r>
    </w:p>
    <w:p w14:paraId="4167BB2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1950-е г. существовала лаборатория систем управления (руководитель- Б.В. Раушенбах). Разработаны системы ориентации КА на основе солнечных и лунных датчиков (Башкин, Князев). Затем группа Б.В. Раушенбаха переведена в ОКБ-1 ГКОТ.</w:t>
      </w:r>
    </w:p>
    <w:p w14:paraId="4384C48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1965 г. НИИ-1 ГКАТ передан в подчинение 2ГУ МОМ и по приказу от 6.03.1966 г. преобразован в НИИТП (тепловых процессов). В 1990-х г. передан в РКА. В 1995 г. переименован в Исследовательский центр им М.В. Келдыша. По Указу Президента РФ № 1009 от 4.08.2004 г. вошел в число стратегических оборонных предприятий.</w:t>
      </w:r>
    </w:p>
    <w:p w14:paraId="5775443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1960-е г.: научное обеспечение разработок ЖРД и теплозащиты головных частей ракет (1954-57 г.- БР Р-7 и МКР «Буря»), решение задач по выводу в космос КА. Проведены первые фундаментальные исследования ядерных ракетных двигателей (с конца 1950-х). Разработаны схемы электрических плазменных двигателей торцевого типа (А.А. Поротников). </w:t>
      </w:r>
    </w:p>
    <w:p w14:paraId="48C5E60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1965 г. НИИТП- головная научно-исследовательская организация ракетного двигателестроения.</w:t>
      </w:r>
    </w:p>
    <w:p w14:paraId="6B15F59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Принимал участие в программе создания ОК «Буран». </w:t>
      </w:r>
    </w:p>
    <w:p w14:paraId="447C001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1970-80-е г.- научное обеспечение создания РДТТ для БРК.</w:t>
      </w:r>
    </w:p>
    <w:p w14:paraId="641C68F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 начале 1980-х г. создан плазмогенератор «Марабу», создающих вокруг движущегося объекта плазменную оболочку, снижающую радиолокационную заметность объекта.63 </w:t>
      </w:r>
    </w:p>
    <w:p w14:paraId="30F3BA2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Разработана технология создания в ионосфере плазменно-паровых облаков, отражающих РЛ-излучение (работал Ю.А. Уткин). Испытания установки «Мажор» проведены на космической станции «Мир».63 </w:t>
      </w:r>
    </w:p>
    <w:p w14:paraId="113A202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2000 г.: работы по ракетно-космическим энергоустановкам, исследования в области термодинамики. </w:t>
      </w:r>
    </w:p>
    <w:p w14:paraId="7DF0167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Направления деятельности (2005 г.): исследования и разработки по ракетным двигателям для РКТ (ЖРД нового поколения, электроракетные двигатели); НИОКР по изделиям РКТ, подбор материалов и топлив; НИР по экологически чистым технологиям при производстве и эксплуатации РКТ; разработка технологий для военной, научной и народнохозяйственной техники; разработка энергосберегающих технологий.</w:t>
      </w:r>
    </w:p>
    <w:p w14:paraId="7E99AF3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Создан отдел «Водородной энергетики» (зам. начальника отдела (2005 г.)- В. Смоляров). Работы по водородным топливным элементам.</w:t>
      </w:r>
    </w:p>
    <w:p w14:paraId="68E3937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(1933-37 г.)- И.Т. Клейменов (репрессирован), (1937-40 г.)- Б.М. Слонимер, (1941 г.)- Н.А. Монаков, (1941 г.)- А.Н. Фоменко, (1942-02.1944 г.)- генерал-майор А.Г. Костиков (отстранен, затем репрессирован), (02.1944-)- В.И. Поликовский, (05.1944 г.-)- П.И. Федоров, (1945-46 г.)- Я.Л. Бибиков, генерал-майор ИАС, (11.1946 г.-)- М.В. Келдыш, (1948-49 г.)- В.В. Владимиров, (1949-51 г.)- В.А. Окулов, (1951-55 г.)- А.Т. Туманов, (1955-88 г.)- В.Я. Лихушин. Директор (1988-2005 г.-)- академик А.С. Коротеев.</w:t>
      </w:r>
    </w:p>
    <w:p w14:paraId="7D9C346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Научный руководитель (1948-61 г.)- академик М.В. Келдыш.</w:t>
      </w:r>
    </w:p>
    <w:p w14:paraId="6C9287B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начальника (1933 г.-)- С.П. Королев; по научной части - В.Ф. Болховитинов (05.1944-46 г.). Зам. директора (2003 г.)- А.М. Губертов; по ВЭС (2005 г.)- А.А. Кленчев.</w:t>
      </w:r>
    </w:p>
    <w:p w14:paraId="4C6E4C7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инженер (1940-41 г.)- А.Г. Костиков. Начальник КБ (1943 г.-)- А.Я. Березняк.</w:t>
      </w:r>
    </w:p>
    <w:p w14:paraId="3E78D70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Работали: (03.1938; 1944 г.) - А.П. Артемьев (РС), А.П. Ваничев, Л.А. Воскресенский, И.И. Гвай (РС), (-1937 г.)-В.П. Глушко (репрессирован, работал в ОТБ НКВД на заводе № 8), (1933- 44 г.-)- Л.С. Душкин, (1941 г.)- В.С. Зуев (ПВРД), (1930-е; 1944-)- А.М. Исаев, (-04.1938 г.)- С.П. Королев (репрессирован), (-1937 г.)- Г.Э. Лангемак (репрессирован), А.М. Люлька, В.П. Мишин, (1936-45; 1958-96 г.)- А.В. Палло (ведущий инженер по ЖРД), Г.И. Петров, Н.А. Пилюгин, Ю.А. Победоносцев (РС для «Катюши»), (-1936-38 г.-)- Б.В. Раушенбах (расчеты), (-1934-41 г.-)- М.К. Тихонравов (затем- в НИИ-4 МО), Б.Е. Черток, (1941 г.)- Е.С. Щетинков (ПВРД). </w:t>
      </w:r>
    </w:p>
    <w:p w14:paraId="3CDE51A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Создано: РС: РС-82 (пнв в 1937 г.), РС-132 (пнв в 1938 г.); М-13 (пнв в 1941 г.), М-13УК (пнв в 1943 г.), М-13ДД (пнв в 1944 г.), М-20 (1941 г.) для БМ-13 «Катюша» ; М-8 (пнв в 1941 г.) для БМ-8 «Катюша»; М-30 (пнв в 1942 г.), М-31 (пнв в 1943 г.), М-31УК (пнв в 1944 г.) для БМ-31;58 самолеты с ЖРД: «302» (1943), «4302» (1946), «4303» (1947); СЭДУ- солнечная энергодвигательная установка с СТРД- солнечным тепловым ракетным двигателем.</w:t>
      </w:r>
    </w:p>
    <w:p w14:paraId="37EE73C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НИИ-1 НКАП, МАП, ГКАТ, РНИИ (ракетный) РККА, НКТП, НИИ-3 НКОП, НКБ, ГИРТ при СНК, НИРА НКАП, НИИ РД МАП, НИИТП (тепловых процессов) МОМ, НИИТП им. М.В. Келдыша РКА, ФГУП «Исследовательский центр им. М.В. Келдыша» РАКА</w:t>
      </w:r>
    </w:p>
    <w:p w14:paraId="51DBFDB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125438 г. Москва, ул. Онежская, 8/10 тел. 456-46-08, 456-87-56 www.kerc.msk.ru (10776).</w:t>
      </w:r>
    </w:p>
    <w:p w14:paraId="7FA15BA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КБ-7 РНИИ</w:t>
      </w:r>
    </w:p>
    <w:p w14:paraId="6C46E1E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Создано в 1935 г. на базе бригады ЖРД ГИРДа. Работы по жидкостным ракетам.</w:t>
      </w:r>
    </w:p>
    <w:p w14:paraId="76551DA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Построена испытательная станция, в состав которой вошли: башня для огневых испытаний, пультовая, помещение для сборки ракет, электротехническая и керамическая лаборатории.</w:t>
      </w:r>
    </w:p>
    <w:p w14:paraId="3A60700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(1935 г.)- Л.К. Корнеев.</w:t>
      </w:r>
    </w:p>
    <w:p w14:paraId="20B7ACD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начальника (08.1935 г.)- А.И. Полярный.</w:t>
      </w:r>
    </w:p>
    <w:p w14:paraId="416D9EB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Работали: (1935 г.-)- М.Г. Воробьев, П.И. Иванов (нач. группы аэродинамики), Е.М. Курило (электротехника), А.С. Раецкий, Э.П. Шептицкий (нач. конструкторской группы); (1937 г.)- М.Ю. Голлендер (нач. керамической лаборатории), Ф.Л. Якайтис, В.С. Зуев, А.Б. Ионов.</w:t>
      </w:r>
    </w:p>
    <w:p w14:paraId="256E0B8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Создано: ракеты: Р-03, Р-06 (1936 г.), АНИР-5, Р-07, ЭНИР-7, Р-05, Р-10 (1939 г.); порохо-жидкостный двигатель М-17, М-29е для Р-05.</w:t>
      </w:r>
    </w:p>
    <w:p w14:paraId="09BCECF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Филиал № 1 НИИ-1</w:t>
      </w:r>
    </w:p>
    <w:p w14:paraId="2FDCB9E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/г. Химки Московской обл./</w:t>
      </w:r>
    </w:p>
    <w:p w14:paraId="41D4561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 293 НКАП действовал в составе НИИ-1 по приказу № 149сс от 28.02.1944 г., далее- на правах филиала № 1 (по приказу № 370сс от 30.05.1944 г.). Здесь же работала группа (ОКО) А.М. Исаева по ЖРД.</w:t>
      </w:r>
    </w:p>
    <w:p w14:paraId="09F695C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соответствии с постановлением СМ от 31.05.1946 г. и приказами № 361сс от 7.06.1946 г. и № 373с от 14.07.1946 г. в 7ГУ на базе филиала № 1 вновь образован самостоятельный завод № 293 НКАП (в связи с прекращением работ по самолетостроению в НИИ-1 и непригодности для работ по ЖРД) и передан как опытная база гл. конструктору М.Р. Бисновату. Группа А.М. Исаева переведена на основную территорию НИИ-1. Березняк в 12.1946 г. назначен зам. гл. конструктора ОКБ-2 завода № 1 МАП.</w:t>
      </w:r>
    </w:p>
    <w:p w14:paraId="53DCD7B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филиала (01.1946 г.)- Нейман.</w:t>
      </w:r>
    </w:p>
    <w:p w14:paraId="5A4BB0C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КБ филиала (06.1946 г.)- А.Я. Березняк.</w:t>
      </w:r>
    </w:p>
    <w:p w14:paraId="24CA092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Филиал № 2 НИИ-1</w:t>
      </w:r>
    </w:p>
    <w:p w14:paraId="75CDF9D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 Москва Ново-Владыкино/</w:t>
      </w:r>
    </w:p>
    <w:p w14:paraId="79F7147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приказу № 655с от 11.11.1944 г. для развития работ по реактивному вооружению на бывшей территории завода № 482 НКАП (которая была передана полностью со всеми зданиями, оставшимся оборудованием и персоналом) во Владыкино образована база НИИ-1 по данной тематике. По приказу № 699с от 27.12.1944 г. база стала филиалом № 2 НИИ-1 по реактивному вооружению.</w:t>
      </w:r>
    </w:p>
    <w:p w14:paraId="16D9AF4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 НИИ-1 сюда переведены сектора № 5, № 9, лаборатория «Е» и НИХЛ (химлаборатория) со всем личным составом и оборудованием. Продолжены работы по снарядам М-13ДД, М-20.</w:t>
      </w:r>
    </w:p>
    <w:p w14:paraId="3826866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соответствии с постановлением СМ СССР № 1017-419сс от 13.05.1946 г. и приказом МАП/ МСХМ № 318сс/126сс от 24.05.1946 г. для концентрации работ по пороховым РС из системы МАП в ведение МСХМ передан филиал № 2 НИИ-1 МАП (со всеми сооружениями и штатом сотрудников~ 350 чел.) с образованием на его базе КБ-2 МСХМ. В числе переведенных были начальник филиала Победоносцев, начальник отдела Е.А. Печерский и др.</w:t>
      </w:r>
    </w:p>
    <w:p w14:paraId="38FF9D3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базе бывшего филиала и ГЦКБ-1 МСХМ образован специализированный НИИ пороховых РС (с 1.04.1947 г. получивший название НИИ-1 МСХМ).</w:t>
      </w:r>
    </w:p>
    <w:p w14:paraId="413F723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филиала (1944-46 г.)- Ю.А. Победоносцев.</w:t>
      </w:r>
    </w:p>
    <w:p w14:paraId="3A0C9D8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начальника/ гл. инженер (1944 г.)- Н.В. Климовицкий.</w:t>
      </w:r>
    </w:p>
    <w:p w14:paraId="1103910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КБ-1, ОКБ-1 при НИИ-1 МАП гл. конструктора Л.С. Душкина</w:t>
      </w:r>
    </w:p>
    <w:p w14:paraId="50DF2BE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Л.С. Душкин работал в ГИРДе, с 1933 г.- в РНИИ, в моторной лаборатории. С 01.1938 г. возглавлял в НИИ-3 НКБ отдел по ЖРД. </w:t>
      </w:r>
    </w:p>
    <w:p w14:paraId="1CA43AE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соответствии с приказом НКАП № 433сс/ов от 11.06.1942 г. для ускорения работ по реактивным двигателям планировалось перевести группу Душкина (В.А. Штоколов, А.В. Палло и др.) из НИИ-3 на завод № 293. Однако, по имеющейся информации, группа Душкина не была переведена и продолжала работать в НИИ-3 и затем в НИИ-1.</w:t>
      </w:r>
    </w:p>
    <w:p w14:paraId="637363D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Проводились работы по ускорителю самолета С-155 и ускорителю для Е-50.</w:t>
      </w:r>
    </w:p>
    <w:p w14:paraId="5CC9047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Душкин до 04.1946 г.- начальник отдела № 13 НИИ-1. В 04.1946 г.- гл. конструктор КБ-1 при НИИ-1.</w:t>
      </w:r>
    </w:p>
    <w:p w14:paraId="26BE3F2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1949 г. ОКБ-1 входило в состав ЦИАМ (вместе с НИИ-1).</w:t>
      </w:r>
    </w:p>
    <w:p w14:paraId="6B8870E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соответствии с постановлением СМ СССР № 2473-973 от 10.06.1950 г. ОКБ-1 гл. конструктора Л.С. Душкина было ликвидировано, личный состав перевели в ОКБ-456, другие лаборатории НИИ-1.76 В 1955 г. Л.С. Душкин возглавил ОКБ-165-1.</w:t>
      </w:r>
    </w:p>
    <w:p w14:paraId="6C61778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Работали: (1949 г.)- Преображенский, Чурков.</w:t>
      </w:r>
    </w:p>
    <w:p w14:paraId="7232ABA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Создано: ЖРД: ОР-10 («02» для «216»), РД-12К, РДА-1-150 для РП-318, РДК-150, РДА-300, КРД-604 для «604», Д-1-А-1100 для «БИ», Д-1-Т для торпеды РТ-45 (1932-42 г.); РД-КС-1 (1946), РД-КС-3, РД-2М (1945), РД-2М3В для «302», РД-2М3ВФ для самолета «5» (1946), РД-3М, РД-КС-5, УС-2500.</w:t>
      </w:r>
    </w:p>
    <w:p w14:paraId="1CEF7E5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КБ-2 при НИИ-1 МАП гл. конструктора М.М. Бондарюка</w:t>
      </w:r>
    </w:p>
    <w:p w14:paraId="2ACE4EE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приказу № 149сс от 28.02.1944 г. ЭКБ-3 НИИ ГВФ М.М. Бондарюка вместе с ОКБ-293 влили в состав НИИ-1. Далее оно преобразовано в отдел прямоточных двигателей, а вскоре- и в КБ-2. Сначала Бондарюк- руководитель и конструктор КБ, а с 08.1947 г.- гл. конструктор КБ-2 (в 1949 г. по совместительству работал в отделе № 5 НИИ-88).</w:t>
      </w:r>
    </w:p>
    <w:p w14:paraId="47B6E85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дальнейшего ускорения работ и из-за потребности в собственной экспериментальной базе 1.10.1950 г. КБ-2 выделилось в самостоятельную организацию и получило название ОКБ-670 МАП, гл. конструктор- М.М. Бондарюк.</w:t>
      </w:r>
    </w:p>
    <w:p w14:paraId="4EFB157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конструктор (08.1947-10.1950 г.)- М.М. Бондарюк.</w:t>
      </w:r>
    </w:p>
    <w:p w14:paraId="117325E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гл. конструктора – Г.А. Варшавский.</w:t>
      </w:r>
    </w:p>
    <w:p w14:paraId="09813D0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Работали: И.М. Вишнепольский, Ю.Н. Глазунов, Е.Я. Губер, Н.Д. Домарев, Ю.К. Ефимов, И.А. Куратов, И.Б. Леванов, А.Ф. Макеев, С.И. Платонов, С.М. Родин.</w:t>
      </w:r>
    </w:p>
    <w:p w14:paraId="3E0ED49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Создано: ПВРД: РД-430 для Ла-126 и Ла-138 (1948); проект РД-165 для установки на НВ вертолета И.П. Братухина; РД-350; проект РД-007 для «10Х» (1948); РД-700 (РД-1, 1948); первый двухконтурный РД-1А для РС «Шторм»(1949-50), РД-550 для мишени ЛМ-15 (1949).</w:t>
      </w:r>
    </w:p>
    <w:p w14:paraId="59FD79C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КБ-3 при НИИ-1 МАП гл. конструктора Г.Я. Диллона</w:t>
      </w:r>
    </w:p>
    <w:p w14:paraId="6C3646A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Также- это отдел вооружения № 52 НИИ-1.</w:t>
      </w:r>
    </w:p>
    <w:p w14:paraId="7941295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1942 г. под руководством Г.Я. Диллона и его зама В.П. Голикова начаты исследования и разработка реактивной авиационной торпеды РАТ (работали Ю.Б. Гермейер, В.А. Андреев, О.Т. Сазонова, Я.Л. Рудницкий). Закладывалась серия на заводе № 500.</w:t>
      </w:r>
    </w:p>
    <w:p w14:paraId="53DBE31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1944 г. Диллон работал в филиале № 2 НИИ-1 по РС.</w:t>
      </w:r>
    </w:p>
    <w:p w14:paraId="35A4E11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1948 г. действовало КБ-3 при НИИ-1. Разработан пороховой ускоритель У-5 для самолетов (1948 г., планировался выпуск на заводе № 500).</w:t>
      </w:r>
    </w:p>
    <w:p w14:paraId="115D395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Видимо, после передачи филиала № 2 НИИ-1 в МСХМ и образования НИИ-1 МСХМ группа Диллона действовала там (по разным сведениям, или из отдела № 52 НИИ-1 МАП, или из НИИ-1 МСХМ, группа Г.Я. Диллона из 16 чел., зам.- В.П. Голиков, к 07.1946 г. переведена с тематикой по РАТ-52 в НИИ-2 МАП).</w:t>
      </w:r>
    </w:p>
    <w:p w14:paraId="406D27E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СКБ НИИ-1 МАП гл. конструктора А.М. Люльки</w:t>
      </w:r>
    </w:p>
    <w:p w14:paraId="36A0A15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 Москва Лихоборы/</w:t>
      </w:r>
    </w:p>
    <w:p w14:paraId="4B5A209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Организовано при институте по приказу № 185с от 13.03.1944 г. для развития работ по ГТД. Одновременно гл. конструктором утвержден А.М. Люлька, группа которого со всем заделом и оборудованием была переведена из ЦИАМ. Работы по ТРД С-18, создан в 1945 г. Затем на его базе создан ТР-1.</w:t>
      </w:r>
    </w:p>
    <w:p w14:paraId="5BA1B54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приказу МАП № 182сс от 30.03.1946 г. для расширения работ СКБ переведено на самостоятельную базу- завод № 165 и получило название ОКБ-165 МАП.</w:t>
      </w:r>
    </w:p>
    <w:p w14:paraId="65B4058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конструктор (03.1944-03.1946 г.)- А.М. Люлька.</w:t>
      </w:r>
    </w:p>
    <w:p w14:paraId="4645411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ОКО при НИИ-1 МАП </w:t>
      </w:r>
    </w:p>
    <w:p w14:paraId="69DE236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 Химки, г. Москва/</w:t>
      </w:r>
    </w:p>
    <w:p w14:paraId="0A004A4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Опытно-конструкторский отдел сформирован в институте в 1944 г. Проводил работы по ЖРД.</w:t>
      </w:r>
    </w:p>
    <w:p w14:paraId="482D8FC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Основу отдела составила группа двигателистов бывшего ОКБ-293, влитого в НИИ-1. Создан ЖРД РД-1 для «БИ», У-400-10 для экспериментальных летающих моделей ЛМ-6, ЛМ-9, ЛМ-12 (1946-47 г.), ЖРД-ускоритель СУ-1500; разрабатывался одноразовый РД У-12500 (1946 г.). </w:t>
      </w:r>
    </w:p>
    <w:p w14:paraId="16F1C24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отдела (-04.1946 г.)- А.М. Исаев. В 04.1946 г. Исаев возглавил ОТБ-2 в Германии (по некоторым данным, перед поездкой в Германию Исаев работал начальником цеха завода № 500).</w:t>
      </w:r>
    </w:p>
    <w:p w14:paraId="53B6D05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До 06.1946 г. ОКО располагался на территории филиала № 1 НИИ-1 в Химках. Затем по приказу № 361сс от 7.06.1946 г. ОКО переведен на основную территорию НИИ-1. </w:t>
      </w:r>
    </w:p>
    <w:p w14:paraId="2764974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05.1948 г. в связи с большей перспективностью работ по ЖРД для РКТ ОКО Исаева переведен в НИИ-88 МВ, где образовал отдел № 9.</w:t>
      </w:r>
    </w:p>
    <w:p w14:paraId="590CD65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Филиал НИИ-1 МАП</w:t>
      </w:r>
    </w:p>
    <w:p w14:paraId="5C88778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Создан в составе института в 1955 г. для работ по системам управления КР. </w:t>
      </w:r>
    </w:p>
    <w:p w14:paraId="7A5DD29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Создана астронавигационная система «Земля» для МКР «Буран» и аналогичная система для МКР «Буря». Гл. конструкторы систем- И.М. Лисович, Г.И. Толстоусов. В связи с прекращением работ по МКР остановлены работы и по астронавигации.</w:t>
      </w:r>
    </w:p>
    <w:p w14:paraId="7C653B0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Руководитель (1955-59 г.)- Р.Г. Чачикян (в 1942-51 г. работал на заводах № 122 НКАП, № 224 НКАП; с 1959 г.- гл. конструктор ОКБ-133 МАП).</w:t>
      </w:r>
    </w:p>
    <w:p w14:paraId="5295864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1962 г. в 4ГУ ГКАТ действовал филиал НИИ-1 (начальник- А.В. Ежов).</w:t>
      </w:r>
    </w:p>
    <w:p w14:paraId="4D4D47C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Филиал № 2 НИИ-1 МАП, п/я 10, НИИ Машиностроения МОМ, ГУП «НИИ Машиностроения» </w:t>
      </w:r>
    </w:p>
    <w:p w14:paraId="28C886E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/624790 г. Нижняя Салда Свердловской обл., ул. Строителей, 72 тел. (34345) 217-03/</w:t>
      </w:r>
    </w:p>
    <w:p w14:paraId="2FEBEFF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Создан в соответствии с постановлением правительства № 2132 от 26.12.1956 г. как предприятие п/я 10 для проведения экспериментальных исследований по ЖРД, работающих на специальных топливах. Построен ряд стендов и опытное производство (в 1962 г.- испытательный комплекс 101, в 1963 г.- гидролаборатория, в 1964 г. –механосборочный корпус). Затем, в 1970-х г. созданы испытательные комплексы № 201 и 301. В 1980 г. введен в строй испытательный комплекс для ЖРД, работающих на криогенных компонентах топлива.</w:t>
      </w:r>
    </w:p>
    <w:p w14:paraId="0961720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Постепенно, кроме сопровождения работ различных ОКБ по ЖРД, в филиале начались самостоятельные ОКР по ЖРД малой тяги, с 1981 г.- головное предприятие в этой области. Принимал участие в программе создания ОК «Буран».</w:t>
      </w:r>
    </w:p>
    <w:p w14:paraId="7A5F6EB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В 1981 г. филиал, п/я 10, преобразован в самостоятельный НИИ Машиностроения и передан в ведение 12ГУ МОМ. Разработка ЖРД, ракетных двигателей малой тяги. Создано более 30 ЖРДМТ.</w:t>
      </w:r>
    </w:p>
    <w:p w14:paraId="3A2696C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Указу Президента РФ № 1009 от 4.08.2004 г. вошел в число стратегических оборонных предприятий.</w:t>
      </w:r>
    </w:p>
    <w:p w14:paraId="7574254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филиала (1957-66 г.)- М.Г. Миронов.</w:t>
      </w:r>
    </w:p>
    <w:p w14:paraId="03C77A8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(1981 г.)- В.И. Чепак, (-2000-02 г.-)- Б.А. Некрасов.</w:t>
      </w:r>
    </w:p>
    <w:p w14:paraId="16B43D3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конструктор (2002 г.)- Е.Г. Ларин.</w:t>
      </w:r>
    </w:p>
    <w:p w14:paraId="1B9D85A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Зам. директора по НИР (2002 г.)- Е.Г. Ларин.69 </w:t>
      </w:r>
    </w:p>
    <w:p w14:paraId="051E331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Создано: ЖРД: РДМТ-0.8, РДМТ-5 для передвижения космонавтов в открытом космосе, РДМТ-100, РДМТ-12, РДМТ-50, РДМТ-135, РДМТ-200, РДМТ-400.50 </w:t>
      </w:r>
    </w:p>
    <w:p w14:paraId="729B9D4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КБ «Пламя» при НИИТП МОМ, НПВО «Пламя» МОМ, ЗАО «ОКБ «Пламя»</w:t>
      </w:r>
    </w:p>
    <w:p w14:paraId="56ED7A0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КБ «Пламя» образовано при НИИТП в 1978 г. из группы конструкторов ОКБ-670 во главе с И.Б. Левановым, переведенных в 1972 г. в ОКБ-4-300 для продолжения работ по ПВРД.</w:t>
      </w:r>
    </w:p>
    <w:p w14:paraId="6F6FDC5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1991 г. КБ преобразовано в самостоятельное НПВО «Пламя» МОМ. Размещалось в помещениях НИИТП. Весной 1994 г. было принято решение о преобразовании НПВО «Пламя» в ОКБ, входящее в состав НИИТП, а в 04.1994 г. НПВО ликвидировано. Коллектив перебазировался на другую территорию, где было образовано ЗАО «ОКБ «Пламя». В 02.1998 г. ОКБ ДУ «Пламя» вошло в состав ГНПЦ «Звезда-Стрела».</w:t>
      </w:r>
    </w:p>
    <w:p w14:paraId="31643E4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конце 1970-х г. велись работы по ядерному ПВРД для низколетящей КР. Работы по СПВРД для ПКР «Яхонт» (испытания- с 1987 г.). Работы по ГПВРД по программе «Орел»</w:t>
      </w:r>
    </w:p>
    <w:p w14:paraId="6DB734B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Руководитель (1978-99 г.-)- И.Б. Леванов.</w:t>
      </w:r>
    </w:p>
    <w:p w14:paraId="286F20E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конструктор (1978-99 г.-)- И.Б. Леванов (10776).</w:t>
      </w:r>
    </w:p>
    <w:p w14:paraId="4A4E540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39F9572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28 февраля 1944 г. завод № 293 НКАП действовал в составе НИИ-1 по приказу № 149сс, далее - на правах филиала № 1 (по приказу № 370сс от 30.05.1944 г.). Здесь же работала группа (ОКО) A.M. Исаева по ЖРД.</w:t>
      </w:r>
    </w:p>
    <w:p w14:paraId="2D91FE4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Имелся исытательный стенд, на котором были проведены испытания ТРД Jumo-004.</w:t>
      </w:r>
    </w:p>
    <w:p w14:paraId="54D5256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соответствии с пост. СМ от 31.05.1946 г. и приказами № 361сс от 7.06.1946 г. и № 373с от 14.07.1946 г. в 7ГУ на базе филиала № 1 вновь образован самостоятельный завод № 293 НКАП (в связи с прекращением работ по самолетостроению в НИИ-1 и непригодности для работ по ЖРД) и передан как опытная база гл. конструктору М.Р. Бисновату. Группа A.M. Исаева переведена на основную территорию НИИ-1. Березняк в 12.1946 г. назначен зам. гл. конструктора ОКБ-2 завода № 1 МАП.</w:t>
      </w:r>
    </w:p>
    <w:p w14:paraId="100926C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филиала (01.1946 г.)- Нейман.</w:t>
      </w:r>
    </w:p>
    <w:p w14:paraId="4A208C6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КБ филиала (06.1946 г.)- А.Я. Березняк (11982).</w:t>
      </w:r>
    </w:p>
    <w:p w14:paraId="5DB6765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3BE8147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февраля 1944 г. ЭКБ-3 вместе с ОКБ-293 переведено в НИИ-1 МАП (10776).</w:t>
      </w:r>
    </w:p>
    <w:p w14:paraId="51671AE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7B7F4CA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февраля 1944 г. По приказу № 149сс от ЭКБ гл. конструктора М.М. Бондарюка вместе с ОКБ-293 переведено в НИИ-1 МАП (11982).</w:t>
      </w:r>
    </w:p>
    <w:p w14:paraId="5DABB85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1FCBEB8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февраля 1944 г. по приказу № 149сс ЭКБ-3 НИИ ГВФ М.М. Бондарюка вместе с ОКБ-293 влито в состав НИИ-1. Далее оно преобразовано в отдел прямоточных двигателей, а вскоре- в КБ-2. Сначала Бондарюк- руководитель и конструктор КБ, а с 08.1947 г.- гл. конструктор КБ-2 (в 1949 г. по совместительству работал в отделе № 5 НИИ-88).</w:t>
      </w:r>
    </w:p>
    <w:p w14:paraId="6D18430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дальнейшего ускорения работ и из-за потребности в собственной экспериментальной базе 1.10.1950 г. КБ-2 выделено в самостоятельную организацию и получило название ОКБ-670 МАП, гл. конструктор- М.М. Бондарюк.</w:t>
      </w:r>
    </w:p>
    <w:p w14:paraId="56D1713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Создан первый двухконтурный РД-1А для PC «Шторм».</w:t>
      </w:r>
    </w:p>
    <w:p w14:paraId="3BF0171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конструктор (08.1947-10.1950 г.)- М.М. Бондарюк.</w:t>
      </w:r>
    </w:p>
    <w:p w14:paraId="04B22F8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гл. конструктора - Г.А. Варшавский.</w:t>
      </w:r>
    </w:p>
    <w:p w14:paraId="42D6695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Создано: ПВРД: РД-430 для Ла-126 и Ла-138 (1948), РД-165 (проект для установки на НВ вертолета И.П. Братухина), РД-350, РД-007 (проект для «10Х», 1948), РД-700 (РД-1, 1948), РД-1А (1949-50), РД-550 для мишени ЛМ-15 (1949) (11982).</w:t>
      </w:r>
    </w:p>
    <w:p w14:paraId="369529BE" w14:textId="77777777" w:rsidR="00AD0763" w:rsidRPr="007224C3" w:rsidRDefault="00AD0763" w:rsidP="007224C3">
      <w:pPr>
        <w:autoSpaceDE w:val="0"/>
        <w:autoSpaceDN w:val="0"/>
        <w:adjustRightInd w:val="0"/>
        <w:spacing w:after="0" w:line="240" w:lineRule="auto"/>
        <w:jc w:val="both"/>
        <w:rPr>
          <w:rFonts w:ascii="Times New Roman" w:hAnsi="Times New Roman"/>
          <w:color w:val="000000" w:themeColor="text1"/>
          <w:sz w:val="16"/>
          <w:szCs w:val="16"/>
        </w:rPr>
      </w:pPr>
    </w:p>
    <w:p w14:paraId="136F3BC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февраля 1944 г. по приказу № 149сс завод № 293 вошел в состав НИИ-1 НКАП, а по приказу № 370сс от 30.05.1944 г. стал его филиалом № 1 (начальник (01.1946 г.)- Нейман, начальник КБ- А.Я. Березняк). Продолжены работы по «БИ».</w:t>
      </w:r>
    </w:p>
    <w:p w14:paraId="2D54643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соответствии с пост. СМ № 1145-471сс от 31.05.1946 г. (о развитии работ по реактивной технике) и приказами № 361сс от 7.06.1946 г. и № 373с от 14.06.1946 г. в 7ГУ на базе филиала № 1 вновь образован самостоятельный завод № 293 НКАП (в связи с прекращением работ по самолетостроению в НИИ-1 и непригодности для работ по ЖРД) и передан как опытная база гл. конструктору М.Р. Бисновату. В 10.1946 г. отдел A.M. Исаева переведен на основную территорию НИИ-1. Березняк в 12.1946 г. назначен зам. гл. конструктора ОКБ-2 завода № 1 МАП.</w:t>
      </w:r>
    </w:p>
    <w:p w14:paraId="199614B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1.05.1948 г. завод передан из 7ГУ в 14ГУ. 1.04.1953 г. завод № 293 передан в подчинение КБ-1 ТГУ СМ (по приказу МАП № 229сс от 21.02.1953 г.) как опытная база.</w:t>
      </w:r>
    </w:p>
    <w:p w14:paraId="2DA5457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начала 1954 г. преобразован в опытную базу ОКБ-2 МАП П.Д. Грушина (с этого времени перестало существовать название «завод № 293»).</w:t>
      </w:r>
    </w:p>
    <w:p w14:paraId="3866945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(1940-44 г.)- В.Ф. Болховитинов, (1946-53 г.)- М.Р. Бисноват, (03.1952 г.)- Ф.П. Герасимов.</w:t>
      </w:r>
    </w:p>
    <w:p w14:paraId="52548FB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конструктор (1940-44 г.)- В.Ф. Болховитинов, (1946-53 г.)- М.Р. Бисноват.</w:t>
      </w:r>
    </w:p>
    <w:p w14:paraId="111B14D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директора: по производству (09.1940 г.-)- А.И. Мамучашвили; по «БИ» (09.1942 г.)- И.Ф. Флоров; (06.1946 г.-)- В.Н. Елагин.</w:t>
      </w:r>
    </w:p>
    <w:p w14:paraId="56FC158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гл. конструктора по «БИ» (09.1942 г.)- И.Ф. Флоров.</w:t>
      </w:r>
    </w:p>
    <w:p w14:paraId="1FD30BE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инженер (03.1941 г.-&gt; Л.А. Кац.</w:t>
      </w:r>
    </w:p>
    <w:p w14:paraId="7E7C5C4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Начальники цехов: сборочного (-10.1940 г.)- И.А. Иванов (11982).</w:t>
      </w:r>
    </w:p>
    <w:p w14:paraId="03EE0FCE" w14:textId="77777777" w:rsidR="00AD0763" w:rsidRPr="007224C3" w:rsidRDefault="00AD0763"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E101D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февраля 1944 года начальник штаба НИИ ВВС генерал-майор ИАС Иващенко писал письмо N 1/072 Шахурину.</w:t>
      </w:r>
    </w:p>
    <w:p w14:paraId="791165A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Направляю дополнительные альбомные карточки, составленные по результатам испытаний объектов, в НИИ ВВС, для включения их в альбомы, ранее высланные Вам:</w:t>
      </w:r>
    </w:p>
    <w:p w14:paraId="2B76C1B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"Альбом средств механизации ВВС" - 10 карточек для служебного пользования.</w:t>
      </w:r>
    </w:p>
    <w:p w14:paraId="05F26CE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"Альбом бензобаков и систем нейтральных газов самолетов ВВС" - 3 карточки для служебного пользования.</w:t>
      </w:r>
    </w:p>
    <w:p w14:paraId="404901E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"Альбом материалов авиаброни и схем бронирования самолетов" - 1 карточка ("Схема бронирования с-та Су-6") - с грифом "секретно" и 2 карточки - несекретные.</w:t>
      </w:r>
    </w:p>
    <w:p w14:paraId="4BDB044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"Альбом авиаколес" - 3 карточки несекретн.</w:t>
      </w:r>
    </w:p>
    <w:p w14:paraId="2C3F562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"Альбом антиобледенительных устройств самолетов" - 1 карточка несекретная.</w:t>
      </w:r>
    </w:p>
    <w:p w14:paraId="14D911E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Приложение: 1 карточка ("Схема бронирования самолета Су-6") - с грифом "секретно",</w:t>
      </w:r>
    </w:p>
    <w:p w14:paraId="668F93F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карточек - для служебного пользования.</w:t>
      </w:r>
    </w:p>
    <w:p w14:paraId="2D2B6F0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карточек - несекретных.</w:t>
      </w:r>
    </w:p>
    <w:p w14:paraId="764F174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 - 20 карточек (1821).</w:t>
      </w:r>
    </w:p>
    <w:p w14:paraId="533D511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5DC0A4"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11B43E2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AC036DA"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февраля 1944 вышло Распоряжение ГКО № 5258 О мероприятиях, обеспечивающих развитие автогенной промышленности Наркомтяжмаша. (7194, 1-2,3-20).</w:t>
      </w:r>
    </w:p>
    <w:p w14:paraId="4B05323F"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16567B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февраля 1944 г. постановлением Государственного Комитета Обороны был создан Государственный союзный научно-исследовательский институт автогенной промышленности "НИИавтоген" С 1945 г. назывался Государственный союзный научно-исследовательский институт автогенной обработки металлов, с 1946 г. - Всесоюзный научно-исследовательский институт автогенной обработки металлов "ВНИИавтоген". Приказом Госкомитета химического и нефтяного машиностроения при Госплане СССР от 12 августа 1964 г. институт переименован во Всесоюзный научно-исследовательский и конструкторский институт автогенного машиностроения "ВНИИавтогенмаш" (12102).</w:t>
      </w:r>
    </w:p>
    <w:p w14:paraId="4A47ABBF" w14:textId="77777777" w:rsidR="00AD0763" w:rsidRPr="007224C3" w:rsidRDefault="00AD0763" w:rsidP="007224C3">
      <w:pPr>
        <w:autoSpaceDE w:val="0"/>
        <w:autoSpaceDN w:val="0"/>
        <w:adjustRightInd w:val="0"/>
        <w:spacing w:after="0" w:line="240" w:lineRule="auto"/>
        <w:jc w:val="both"/>
        <w:rPr>
          <w:rFonts w:ascii="Times New Roman" w:hAnsi="Times New Roman"/>
          <w:color w:val="000000" w:themeColor="text1"/>
          <w:sz w:val="16"/>
          <w:szCs w:val="16"/>
        </w:rPr>
      </w:pPr>
    </w:p>
    <w:p w14:paraId="3A948BF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февраля 1944 вышло Постановление ГКО № 5259 Об обеспечении Сухонских предприятий Наркомбумпрома балансами и дровами. РГАНИР, Фонд ГКО, д. 214, лл. 21-23 (11012).</w:t>
      </w:r>
    </w:p>
    <w:p w14:paraId="6FC94FF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190D0E5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28 февраля 1944 вышло Постановление ГКО № 5260 О мероприятиях по обеспечению топливом электростанций Ярэнерго Наркомэлектростанций и Костромской ТЭЦ Наркомтекстиля СССР в I полугодии 1944 г. РГАНИР, Фонд ГКО, д. 214, лл. 24-26 (11012).</w:t>
      </w:r>
    </w:p>
    <w:p w14:paraId="24EC238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121CD368"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февраля 1944 вышло Распоряжение ГКО № 5261 [О разрешении ремонтировать автомобили гражданских организаций за счет снижения плана ремонта автомашин для КА на Тбилисском авторемонтном заводе.] (7194, 27).</w:t>
      </w:r>
    </w:p>
    <w:p w14:paraId="76E707EE"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8283CC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февраля 1944 вышло Распоряжение ГКО № 5262. О закреплении до 1 мая 1944 г. за НКРП 30 военнослужащих, откомандированных в его Распоряжение в ноябре 1943 г. РГАНИР, Фонд ГКО, д. 214, лл. 28 (11012).</w:t>
      </w:r>
    </w:p>
    <w:p w14:paraId="5AB0A04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45023CB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февраля 1944 вышло Распоряжение ГКО № 5263. О заказе на импорт компрессоров и турбокомпрессоров для кислородных установок системы академика Капица. РГАНИР, Фонд ГКО, д. 214, лл. 29-30 (11012).</w:t>
      </w:r>
    </w:p>
    <w:p w14:paraId="01DFAEF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7D4810F2"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февраля 1944 вышло Распоряжение ГКО № 5264 [О мерах по удовлетворению неотложных нужд предприятий НКЧМ в противопожарном оборудовании.] (7194, 31).</w:t>
      </w:r>
    </w:p>
    <w:p w14:paraId="50BEFE3D"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A2C515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февраля 1944 вышло Постановление ГКО № 5265 О восстановлении Гомельского стекольного завода им. Сталина и торфопредприятия "Большевик" Наркомстройматериалов СССР. РГАНИР, Фонд ГКО, д. 214, лл. 32-39,40-49 (11012).</w:t>
      </w:r>
    </w:p>
    <w:p w14:paraId="21392EA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29BF916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февраля 1944 вышло Постановление ГКО № 5266 О производства особо дефицитных деталей к тракторам для нужд сельского хозяйства. РГАНИР, Фонд ГКО, д. 214, лл. 50-53,54-57 (11012).</w:t>
      </w:r>
    </w:p>
    <w:p w14:paraId="353A53B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19A9926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февраля 1944 вышло Распоряжение ГКО № 5267. Об обеспечении квалифицированной рабочей силой и ИТР восстанавливаемых рудников Криворожского железорудного и Никопольского марганцевого бассейнов НКЧМ. РГАНИР, Фонд ГКО, д. 214, лл. 58-60 (11012).</w:t>
      </w:r>
    </w:p>
    <w:p w14:paraId="19616E5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49D347B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февраля 1944 вышло Постановление ГКО № 5268 О мерах помощи по восстановлению и пуску в эксплуатацию холодильников Наркоммясомолпрома СССР. РГАНИР, Фонд ГКО, д. 214, лл. 61-64,65-71 (11012).</w:t>
      </w:r>
    </w:p>
    <w:p w14:paraId="4973FDB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01D9507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февраля 1944 вышло Постановление ГКО № 5269 О развитии производства металлорежущих станков на предприятиях Наркомата станкостроения. РГАНИР, Фонд ГКО, д. 214, лл. 72-82,83-120 (11012).</w:t>
      </w:r>
    </w:p>
    <w:p w14:paraId="08EFB54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6F0B11E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 ранее 28 февраля - не позднее 15 марта 1944 г.2:</w:t>
      </w:r>
    </w:p>
    <w:p w14:paraId="16BBC8D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Справка секретариата СНК СССР о состоянии работ по проблеме урана 1 </w:t>
      </w:r>
    </w:p>
    <w:p w14:paraId="3D13E41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 начале августа 1943 г. т. Курчатов представил т. Молотову В. М. отчет о работе Лаборатории № 2. В этом отчете изложено состояние разработки проблемы урана и намечены перспективы для дальнейшего развития. </w:t>
      </w:r>
    </w:p>
    <w:p w14:paraId="3F227BA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О работе Лаборатории № 2 за последние 6-7 месяцев т. Курчатов сообщил следующее. </w:t>
      </w:r>
    </w:p>
    <w:p w14:paraId="28EFB1E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I. Получение металлического и шестифтористого урана3</w:t>
      </w:r>
    </w:p>
    <w:p w14:paraId="0E89CAA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Свердловская группа Лаборатории № 2, которой руководит проф[ессор] Кикоин, установила центрифугу и произвела ее опробование на разделение смеси водорода-воздуха. Эти опыты были начаты в сентябре. Опыты на опробование установки центрифуги на смеси воздуха-водорода закончены с положительным результатом в феврале 1944 г. Опыты показали правильность идеи, положенной в основу конструкции центрифуги. </w:t>
      </w:r>
    </w:p>
    <w:p w14:paraId="572F742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К разделению изотопов урана методом центрифугирования можно было приступить уже давно, но пока еще не было получено необходимое количество и не было исследовано нужное для этого химическое соединение — шестифтористый уран. Шестифтористый уран получается из металлического урана. Однако ни то, ни другое вещество у нас не изготовлялось, способ их получения не был известен. </w:t>
      </w:r>
    </w:p>
    <w:p w14:paraId="5287EB1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Сначала Лаборатория № 2 возложила задачу получения металлического и шестифтористого урана на Радиевый институт (академик Хлопин). Радиевый институт предполагал получить эти вещества еще в середине 1943 года, но этой задачи не решил. В связи с этим разрешение задачи получения металлического урана было возложено на Государственный институт редких металлов Наркомцветмета (Гиредмет), а получение шестифтористого урана — на Научно-исследовательский институт-42 Наркомхимпрома (НИИ-42). </w:t>
      </w:r>
    </w:p>
    <w:p w14:paraId="4351980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Институт редких металлов в настоящее время уже получил до 10 килограммов металлического урана и передал их Лаборатории №2. Как оказалось, полученный металлический уран пригоден для получения шестифтористого урана и по своему качеству не хуже металлического урана, продававшегося до войны немецкой фирмой «Кальбаум». </w:t>
      </w:r>
    </w:p>
    <w:p w14:paraId="2C4349B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Лаборатория № 2 передала металлический уран Научно-исследовательскому институту-42, которому к настоящему времени удалось получить уже около 3 килограммов шестифтористого урана. Таким образом, впервые в СССР удалось получить шестифтористый уран. К опытам по разделению шестифтористого урана намечено приступить в середине марта 1944 г. </w:t>
      </w:r>
    </w:p>
    <w:p w14:paraId="2C70029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II. Изготовление циклотрона </w:t>
      </w:r>
    </w:p>
    <w:p w14:paraId="60213B0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Изготовление циклотрона задержалось из-за невыполнения Новокраматорским заводом Наркомтяжмаша механической обработки основных частей циклотрона. Обработка электромагнита была закончена лишь в феврале. Сейчас производится изготовление обмотки электромагнита на заводе №624 НКЭП, который намечает закончить свою работу в марте. К монтажу циклотрона намечено приступить в апреле. </w:t>
      </w:r>
    </w:p>
    <w:p w14:paraId="75E1FD9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III. О диффузионной установке </w:t>
      </w:r>
    </w:p>
    <w:p w14:paraId="79C979D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Распоряжением ГОКО от 16.VIII.43 г. Наркомавиапрому поручено создать при лаборатории № 4 ЦАГИ группу специалистов для составления проекта диффузионной установки по разделению изотопов урана. Эта группа должна работать под руководством академика Христиановича. К 15.ХI-43 г. эта группа обязана была составить рабочий проект диффузионной 20-ступенчатой машины. 'Технические условия изготовления диффузионной установки было поручено дать Лаборатории № 2, что она и сделала в ноябре 1943 г. До настоящего времени все еще продолжается проектирование модели диффузионной установки в ЦАГИ. Работа эта ведется крайне неудовлетворительными темпами. Наркомавиапром, несмотря на специальное письмо т. Молотова, не уделяет этому делу должного внимания. </w:t>
      </w:r>
    </w:p>
    <w:p w14:paraId="4154291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IV. Вероятность действия быстрых нейтронов на уран-235 </w:t>
      </w:r>
    </w:p>
    <w:p w14:paraId="54BA08B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Установлено, что вероятность действия быстрых нейтронов на уран-235 высока, что соответствует сведениям, изложенным в спецматериалах (английских, американских). Собственных измерений вероятности действия быстрых нейтронов на уран-235 ранее у нас в СССР не было, а данные спецматериалов4 вызывали в этой части некоторое сомнение. В настоящее время, в результате полученных т. Петржаком (Радиевый институт) данных выяснено, что в случае осуществления бомбы из урана-235 ее вес может быть и небольшим. </w:t>
      </w:r>
    </w:p>
    <w:p w14:paraId="7FEC28E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V. К вопросу осуществления котла из металлического урана </w:t>
      </w:r>
    </w:p>
    <w:p w14:paraId="21E9B4A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За последнее время на основе опыта т. Курчатова Б.В. (брат руководителя Лаборатории) выяснено, что потеря нейтронов в результате их столкновения с ураном-238 не играет существенной роли для осуществления котла из металлического урана5. Ранее этот вопрос в СССР также не изучался. Никаких данных в спецматериалах по этому вопросу не было пока обнаружено. </w:t>
      </w:r>
    </w:p>
    <w:p w14:paraId="1DC548C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VI. К вопросу осуществления уран-графитового котла </w:t>
      </w:r>
    </w:p>
    <w:p w14:paraId="3486FF9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Опытами, произведенными Лабораторией № 2 (т. Курчатов И.В.), выяснено, что типовая продукция наших графитовых заводов не пригодна для осуществления уран-графитового котла, так как графит, выдаваемый нашими заводами, содержит значительное количество примесей. Так, например, зольность наших графитированных электродов достигает 1-2%. Между тем опыты, проведенные Лабораторией № 2 с двумя сортами американского ачесоновского графита, показали, что зольность этих сортов графита равна в одном случае 0,5%, в другом — 0,05%. </w:t>
      </w:r>
    </w:p>
    <w:p w14:paraId="3A09491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Необходимо было решить сложнейшую задачу — получить на наших заводах предельно чистый графит, необходимый для уран-графитового котла. К этой задаче и приступил Наркомцветмет (по просьбе Лаборатории № 2) на Московском электродном заводе. Получена первая опытная партия чистого графита в количестве 200 килограммов. Оказалось, что этот графит по качеству почти подходит для уран-графитового котла. В настоящее время заказана более крупная партия — 5 тонн. Заводом принимаются меры к дальнейшему улучшению качества графита. Есть основание считать, что в 1944 году удастся решить задачу получения чистого отечественного графита. </w:t>
      </w:r>
    </w:p>
    <w:p w14:paraId="1146828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Решен чрезвычайно важный вопрос о структуре уран-графитового котла. Исследовано, что более рационально строить уран-графитовый котел из крупных блоков урана, распределенных в графите, а не в виде смеси мелких зерен урана и графита. В этой части проведена большая работа и полностью расшифрованы краткие указания, имевшиеся в специальных материалах. </w:t>
      </w:r>
    </w:p>
    <w:p w14:paraId="590B2AB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VII. К вопросу получения тяжелой воды </w:t>
      </w:r>
    </w:p>
    <w:p w14:paraId="1C72CA5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 xml:space="preserve">Получение тяжелой воды необходимо для осуществления котла, могущего действовать на смеси «уран-тяжелая вода». В настоящее время уже монтируются в здании Лаборатории № 2 в Серебряном бору изготовленные Наркомхимпромом 4 ректификационных колонны. Пуск в эксплуатацию установок намечен в июне 1944 года. Кроме того, разработана схема получения тяжелой воды методом электролиза со сжиганием на базе Чирчикского комбината. Техническое задание на проектирование завода тяжелой воды, работающего по этому методу, передано в Государственный проектный институт № 3 НКХП для осуществления проекта. Производительность завода проектируется на получение 300 килограммов тяжелой воды в год (килограмм тяжелой воды в Америке стоит в настоящее время 5 тыс. долларов). </w:t>
      </w:r>
    </w:p>
    <w:p w14:paraId="7AC8F18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VIII. Заключение </w:t>
      </w:r>
    </w:p>
    <w:p w14:paraId="09E688E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Лаборатория № 2 считает, что она уже закончила теоретические лабораторные испытательные работы. Лаборатория может приступить к практическому осуществлению намеченных задач. С этой целью в настоящее время ведется проектирование завода для получения шестифтористого урана. Ведется также проектирование цеха по изготовлению металлического урана на заводе «А» Наркомцветмета. Ведется проектирование завода для получения тяжелой воды на Чирчике. Намечается проектирование завода с диффузионными установками для получения урана-235. Работы предполагается проводить в специальном филиале Лаборатории № 2, который намечено организовать в Ленинграде. </w:t>
      </w:r>
    </w:p>
    <w:p w14:paraId="6C1FF7F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Основной вопрос, который сейчас особенно требует разрешения, это обеспечение урановым сырьем дальнейших практических работ Лаборатории № 2. Работы по изысканию залежей урана, а также вопрос об импортировании уранового сырья стоит сейчас со всей остротой. </w:t>
      </w:r>
    </w:p>
    <w:p w14:paraId="2179837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АП РФ. Ф. 56, оп. 1, д. 941, л. 51-54. Незаверенная копия. </w:t>
      </w:r>
    </w:p>
    <w:p w14:paraId="4DB5756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position w:val="8"/>
          <w:sz w:val="16"/>
          <w:szCs w:val="16"/>
          <w:vertAlign w:val="superscript"/>
        </w:rPr>
        <w:t xml:space="preserve">1 </w:t>
      </w:r>
      <w:r w:rsidRPr="007224C3">
        <w:rPr>
          <w:rFonts w:ascii="Times New Roman" w:hAnsi="Times New Roman"/>
          <w:color w:val="000000" w:themeColor="text1"/>
          <w:sz w:val="16"/>
          <w:szCs w:val="16"/>
        </w:rPr>
        <w:t xml:space="preserve">Собственный заголовок документа: «Об уране (справка является дополнением к записке т. Курчатова от 30 июля 1943 г.)». Судя по стилю изложения, возможно, документ подготовлен заместителем заведующего секретариатом СНК СССР Д.В. Смирновым. Для удобства читателей документ публикуется полностью, без исключения частей текста, перенесенных почти без изменений из справки от 28 ноября 1943 г. (см. документ № 194). </w:t>
      </w:r>
    </w:p>
    <w:p w14:paraId="4566A07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position w:val="8"/>
          <w:sz w:val="16"/>
          <w:szCs w:val="16"/>
          <w:vertAlign w:val="superscript"/>
        </w:rPr>
        <w:t xml:space="preserve">2 </w:t>
      </w:r>
      <w:r w:rsidRPr="007224C3">
        <w:rPr>
          <w:rFonts w:ascii="Times New Roman" w:hAnsi="Times New Roman"/>
          <w:color w:val="000000" w:themeColor="text1"/>
          <w:sz w:val="16"/>
          <w:szCs w:val="16"/>
        </w:rPr>
        <w:t xml:space="preserve">Датируется по содержанию документа - в тексте упоминаются работы, выполненные в феврале 1944 г. и намеченные на март 1944 г. </w:t>
      </w:r>
    </w:p>
    <w:p w14:paraId="0D2745E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position w:val="8"/>
          <w:sz w:val="16"/>
          <w:szCs w:val="16"/>
          <w:vertAlign w:val="superscript"/>
        </w:rPr>
        <w:t xml:space="preserve">3 </w:t>
      </w:r>
      <w:r w:rsidRPr="007224C3">
        <w:rPr>
          <w:rFonts w:ascii="Times New Roman" w:hAnsi="Times New Roman"/>
          <w:color w:val="000000" w:themeColor="text1"/>
          <w:sz w:val="16"/>
          <w:szCs w:val="16"/>
        </w:rPr>
        <w:t xml:space="preserve">Здесь и далее подчеркнуто автором. </w:t>
      </w:r>
    </w:p>
    <w:p w14:paraId="36B1AA1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position w:val="8"/>
          <w:sz w:val="16"/>
          <w:szCs w:val="16"/>
          <w:vertAlign w:val="superscript"/>
        </w:rPr>
        <w:t xml:space="preserve">4 </w:t>
      </w:r>
      <w:r w:rsidRPr="007224C3">
        <w:rPr>
          <w:rFonts w:ascii="Times New Roman" w:hAnsi="Times New Roman"/>
          <w:color w:val="000000" w:themeColor="text1"/>
          <w:sz w:val="16"/>
          <w:szCs w:val="16"/>
        </w:rPr>
        <w:t xml:space="preserve">Здесь и далее речь идет о разведматериалах. </w:t>
      </w:r>
    </w:p>
    <w:p w14:paraId="58D7729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position w:val="8"/>
          <w:sz w:val="16"/>
          <w:szCs w:val="16"/>
          <w:vertAlign w:val="superscript"/>
        </w:rPr>
        <w:t xml:space="preserve">5 </w:t>
      </w:r>
      <w:r w:rsidRPr="007224C3">
        <w:rPr>
          <w:rFonts w:ascii="Times New Roman" w:hAnsi="Times New Roman"/>
          <w:color w:val="000000" w:themeColor="text1"/>
          <w:sz w:val="16"/>
          <w:szCs w:val="16"/>
        </w:rPr>
        <w:t>Ошибочное утверждение - дальнейшие исследования показали, что в балансе нейтронов резонансный захват в уране-238 играет значительную роль. (Примечание Н.С. Работнова.) (11323).</w:t>
      </w:r>
    </w:p>
    <w:p w14:paraId="5C54388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2609E19F"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6421624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FC455F8" w14:textId="77777777" w:rsidR="00AD0763" w:rsidRPr="007224C3" w:rsidRDefault="00AD0763"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28 февраля</w:t>
      </w:r>
      <w:r w:rsidRPr="007224C3">
        <w:rPr>
          <w:rFonts w:ascii="Times New Roman" w:hAnsi="Times New Roman"/>
          <w:color w:val="000000" w:themeColor="text1"/>
          <w:sz w:val="16"/>
          <w:szCs w:val="16"/>
        </w:rPr>
        <w:t xml:space="preserve"> в 1944 году оперативная сводка Совинформбюро:</w:t>
      </w:r>
    </w:p>
    <w:p w14:paraId="5A2307EC" w14:textId="77777777" w:rsidR="00AD0763" w:rsidRPr="007224C3" w:rsidRDefault="00AD076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28 февраля на Псковском направлении наши войска, продолжая развивать наступление, овладели районными центрами Ленинградской области Карамышево, Славковичи, Пожеревицы, а также с боями заняли более 450 других населённых пунктов и среди них крупные населённые пункты Егорьевщина, Ольгино Поле, Скоморохова Гора, Торошино, Большое Загорье, Юхново-Солодово, Выставка, Сумская, Крюково, Большие и Малые Пети, Лютые Болота, Заречье, Подгорье, Филистово, Вязовицы, Кустово, Одорье, Цвень, Варитина и железнодорожные станции Молоди, Торошино, Лунёво, Подсевы, Вешки, Карамышево.</w:t>
      </w:r>
    </w:p>
    <w:p w14:paraId="0CF3DA41" w14:textId="77777777" w:rsidR="00AD0763" w:rsidRPr="007224C3" w:rsidRDefault="00AD076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Северо-западнее и западнее Новосокольники наши войска, продолжая наступление, с боями заняли более 200 населённых пунктов, в том числе крупные населённые пункты Михалкино, Подлужье, Слобода (5 км восточнее Новоржев), Нлимово, Гривино, Вешелиха, Бельково, Туровские Холмы, Захарино, Заложье, Заполье, Скоково, Чернецова, Большие Боталки, Мольгино, Васьково, Сергейцево.</w:t>
      </w:r>
    </w:p>
    <w:p w14:paraId="0208AA36" w14:textId="77777777" w:rsidR="00AD0763" w:rsidRPr="007224C3" w:rsidRDefault="00AD076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 поиски разведчиков.</w:t>
      </w:r>
    </w:p>
    <w:p w14:paraId="21768EBE" w14:textId="77777777" w:rsidR="00AD0763" w:rsidRPr="007224C3" w:rsidRDefault="00AD076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27 февраля наши войска на всех фронтах подбили и уничтожили 21 немецкий танк. В воздушных боях и огнём зенитной артиллерии уничтожено 98 самолётов противника.</w:t>
      </w:r>
    </w:p>
    <w:p w14:paraId="5C4EE08C" w14:textId="77777777" w:rsidR="00AD0763" w:rsidRPr="007224C3" w:rsidRDefault="00AD076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Псковском направлении наши войска продолжали наступление. Части Н-ского соединения выбили немцев из посёлка и железнодорожной станции Торошино, важного опорного пункта немцев на дальних подступах к Пскову. В бою за эту станцию уничтожено более 700 вражеских солдат и офицеров, сожжено и подбито 7 танков и самоходных орудий противника. Взято большое число пленных. Части другого нашего соединения овладели районными центрами Ленинградской области Карамышево иСлавковичи и успешно форсировали реку Череха. В бою за опорные пункты немцев, расположенные на западном берегу этой реки, уничтожено до батальона гитлеровцев. Нашими войсками занят районный центр Ленинградской области Пожеревицы и более 450 других населённых пунктов. В одном районе советские подвижные части отрезали противнику пути отхода и громят его отступающие колонны. Истреблено свыше 500 немецких солдат и офицеров. Захвачено 26 орудий, 80 пулемётов, 60 автомашин и крупный обоз с военным имуществом.</w:t>
      </w:r>
    </w:p>
    <w:p w14:paraId="59093D50" w14:textId="77777777" w:rsidR="00AD0763" w:rsidRPr="007224C3" w:rsidRDefault="00AD076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Наша авиация наносила удары по тылам немецких войск. Бомбами и пушечно-пулемётным огнём советские лётчики взорвали 2 железнодорожных эшелона и уничтожили 170 автомашин и повозок противника с войсками и грузами. В воздушных боях сбито 12 немецких самолётов.</w:t>
      </w:r>
    </w:p>
    <w:p w14:paraId="528219D3" w14:textId="77777777" w:rsidR="00AD0763" w:rsidRPr="007224C3" w:rsidRDefault="00AD076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Северо-западнее и западнее города Новосокольники наши войска заняли более 200 населённых пунктов. За несколько дней боёв наши войска нанесли поражение трём дивизиям противника. Преследуя немцев, советские части стремительно продвинулись вдоль шоссе Бежаницы-Новоржев. Немцы пытались задержаться на промежуточном оборонительном рубеже, идущем вдоль реки Льста. Наши бойцы форсировали реку и заняли населённый пункт Слобода, находящийся в пяти километрах восточнее города Новоржев. Отступая под ударами советских войск, гитлеровцы бросают вооружение, боеприпасы и большое количество военных материалов. Захвачено много пленных.Освобождено несколько тысяч мирных жителей, которых немцы угоняли на каторгу в Германию.</w:t>
      </w:r>
    </w:p>
    <w:p w14:paraId="6425A5D7" w14:textId="77777777" w:rsidR="00AD0763" w:rsidRPr="007224C3" w:rsidRDefault="00AD076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Наши лётчики в воздушных боях сбили 9 и уничтожили на аэродроме 32 самолёта противника. Кроме того, советские зенитчики сбили 5 немецких самолётов.</w:t>
      </w:r>
    </w:p>
    <w:p w14:paraId="1358226B" w14:textId="77777777" w:rsidR="00AD0763" w:rsidRPr="007224C3" w:rsidRDefault="00AD076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Балтийском море потоплен транспорт противника водоизмещением в 5 тысяч тонн.</w:t>
      </w:r>
    </w:p>
    <w:p w14:paraId="372D1945" w14:textId="77777777" w:rsidR="00AD0763" w:rsidRPr="007224C3" w:rsidRDefault="00AD076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Партизанский отряд, действующий в Пинской области, напал на немецкий гарнизон и истребил несколько десятков гитлеровцев. Советские патриоты захватили две тысячи пудов зерна, награбленного немцами у населения, 60 бочек горючего, много винтовок, боеприпасов и другие трофеи. Отнятое у немцев зерно роздано местным жителям. Другой отряд пинских партизан пустил под откос немецкий воинский эшелон и огнём из противотанковых ружей вывел из строя 8 паровозов.</w:t>
      </w:r>
    </w:p>
    <w:p w14:paraId="582F40F6" w14:textId="77777777" w:rsidR="00AD0763" w:rsidRPr="007224C3" w:rsidRDefault="00AD076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рядах немецко-фашистской армии всё шире распространяются дезертирство и пораженческие настроения. В декабре прошлого года гитлеровцы в районе станции Струги Красные разоружили 600 немецких солдат, отказавшихся ехать на фронт, и отправили их в концлагерь. Концлагери и тюрьмы в Пскове переполнены. За две недели с 15 по 31 января текущего года в Псков было-доставлено с различных участков Ленинградского фронта 1.200 немецких солдат и офицеров, закованных в кандалы. Эти солдаты принадлежат к различным немецким частям. Арестованным предъявлено обвинение в том, что они без приказа самовольно оставили позиции и бросили своё оружие. Такой же концлагерь размещён в казармах бывшего пятого латвийского пехотного полка в городе Рига.</w:t>
      </w:r>
    </w:p>
    <w:p w14:paraId="27DBEF7E" w14:textId="77777777" w:rsidR="00AD0763" w:rsidRPr="007224C3" w:rsidRDefault="00AD076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Ниже публикуется акт о зверствах немецко-фашистских мерзавцев в селе Слободка, Киевской области: «За время оккупации немцы ограбили жителей села, замучили и убили многих ни в чём не повинных людей. Особенно гитлеровцы ненавидели и преследовали советскую интеллигенцию. От рук фашистских палачей погибли учителя и учительницы Григорий Качаенко, Виктор Гнатьев, Иван Курьян, Ольга Абрамова, Филипп Андрущенко, Фёдор Михайлов и Луния Скоба. Гитлеровские варвары разрушили больницы, электростанцию, уничтожили плотину и рыбные водоёмы колхоза, вырубили замечательный колхозный парк. Немцы опустошили село и, отступая, сожгли много жилых домов и хозяйственных построек колхозников» (15054).</w:t>
      </w:r>
    </w:p>
    <w:p w14:paraId="3B7F6B3F" w14:textId="77777777" w:rsidR="00AD0763" w:rsidRPr="007224C3" w:rsidRDefault="00AD0763" w:rsidP="007224C3">
      <w:pPr>
        <w:spacing w:after="0" w:line="240" w:lineRule="auto"/>
        <w:jc w:val="both"/>
        <w:rPr>
          <w:rFonts w:ascii="Times New Roman" w:hAnsi="Times New Roman"/>
          <w:color w:val="000000" w:themeColor="text1"/>
          <w:sz w:val="16"/>
          <w:szCs w:val="16"/>
        </w:rPr>
      </w:pPr>
    </w:p>
    <w:p w14:paraId="22422BC0"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февраля 1944 в Мурманск прибыл конвой союзников из 52 кораблей (4962).</w:t>
      </w:r>
    </w:p>
    <w:p w14:paraId="5F9532C0" w14:textId="77777777" w:rsidR="003712D9" w:rsidRPr="007224C3" w:rsidRDefault="003712D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9C8CCF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февраля 1944 машина Ватутина попала в засаду националистов и тяжело раненный генерал через несколько дней скончался в госпитале (2070,178).</w:t>
      </w:r>
    </w:p>
    <w:p w14:paraId="276BD1B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58EC96" w14:textId="77777777" w:rsidR="00A44782" w:rsidRPr="007224C3" w:rsidRDefault="00A44782"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Жизнь и внутренняя политика:</w:t>
      </w:r>
    </w:p>
    <w:p w14:paraId="64791C8B" w14:textId="77777777" w:rsidR="00A44782" w:rsidRPr="007224C3" w:rsidRDefault="00A44782"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548E9A0" w14:textId="77777777" w:rsidR="00A44782" w:rsidRPr="007224C3" w:rsidRDefault="00A4478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февраля 1944. В Комитете по делам кинематографии состоялся просмотр цветного художественного фильма "Багдадский вор", производства Александра Корда (Англия). Основой фильма послужила сказка о багдадском мальчике Абу, который попадает в мир волшебных превращений. С 1 марта новый фильм был выпущен на экраны столицы. В связи с показом фильма "Багдадский вор" в Москве вновь стала популярной песня середины 1930-х годов:</w:t>
      </w:r>
    </w:p>
    <w:p w14:paraId="29374C89" w14:textId="77777777" w:rsidR="00A44782" w:rsidRPr="007224C3" w:rsidRDefault="00A4478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Малой Дмитровке вчера Смотрел "Багдадского вора". Пока смотрел "Багдадский вор", Московский вор бумажник спер (18692).</w:t>
      </w:r>
    </w:p>
    <w:p w14:paraId="497FDA18" w14:textId="77777777" w:rsidR="00A44782" w:rsidRPr="007224C3" w:rsidRDefault="00A44782" w:rsidP="007224C3">
      <w:pPr>
        <w:spacing w:after="0" w:line="240" w:lineRule="auto"/>
        <w:jc w:val="both"/>
        <w:rPr>
          <w:rFonts w:ascii="Times New Roman" w:hAnsi="Times New Roman"/>
          <w:color w:val="000000" w:themeColor="text1"/>
          <w:sz w:val="16"/>
          <w:szCs w:val="16"/>
        </w:rPr>
      </w:pPr>
    </w:p>
    <w:p w14:paraId="48DE98A5"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1E92C83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0168F8A" w14:textId="77777777" w:rsidR="00AD0763" w:rsidRPr="007224C3" w:rsidRDefault="00AD0763"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28 февраля</w:t>
      </w:r>
      <w:r w:rsidRPr="007224C3">
        <w:rPr>
          <w:rFonts w:ascii="Times New Roman" w:hAnsi="Times New Roman"/>
          <w:color w:val="000000" w:themeColor="text1"/>
          <w:sz w:val="16"/>
          <w:szCs w:val="16"/>
        </w:rPr>
        <w:t xml:space="preserve"> в 1944 году первый полёт второго опытного тяжелого бомбардировщика </w:t>
      </w:r>
      <w:hyperlink r:id="rId60" w:tgtFrame="_blank" w:history="1">
        <w:r w:rsidRPr="007224C3">
          <w:rPr>
            <w:rFonts w:ascii="Times New Roman" w:hAnsi="Times New Roman"/>
            <w:color w:val="000000" w:themeColor="text1"/>
            <w:sz w:val="16"/>
            <w:szCs w:val="16"/>
          </w:rPr>
          <w:t xml:space="preserve">«Hе.277-V2» </w:t>
        </w:r>
      </w:hyperlink>
      <w:r w:rsidRPr="007224C3">
        <w:rPr>
          <w:rFonts w:ascii="Times New Roman" w:hAnsi="Times New Roman"/>
          <w:color w:val="000000" w:themeColor="text1"/>
          <w:sz w:val="16"/>
          <w:szCs w:val="16"/>
        </w:rPr>
        <w:t>(компания «Heinkel», Германия). В переписке "Хейнкеля" назывался «Hе.177b-5/R-1». Он был переделан из «Hе.177a-5/R-8», на стабилизаторе были установлены дополнительные кили, чтобы улучшить устойчивость по курсу. В апреле он был переведён в Рехлин для официальных испытаний (15054).</w:t>
      </w:r>
    </w:p>
    <w:p w14:paraId="7C8D5A26" w14:textId="77777777" w:rsidR="00AD0763" w:rsidRPr="007224C3" w:rsidRDefault="00AD0763" w:rsidP="007224C3">
      <w:pPr>
        <w:spacing w:after="0" w:line="240" w:lineRule="auto"/>
        <w:jc w:val="both"/>
        <w:rPr>
          <w:rFonts w:ascii="Times New Roman" w:hAnsi="Times New Roman"/>
          <w:color w:val="000000" w:themeColor="text1"/>
          <w:sz w:val="16"/>
          <w:szCs w:val="16"/>
        </w:rPr>
      </w:pPr>
    </w:p>
    <w:p w14:paraId="66711BE1" w14:textId="77777777" w:rsidR="002F4D0E" w:rsidRPr="007224C3" w:rsidRDefault="002F4D0E"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lastRenderedPageBreak/>
        <w:t>28 февраля 1944 года был облетан второй опытный He177B-0 V102, на который поставили дополнительные кили, и в тот же день Хейнкель направил в Министерство авиации официальный рапорт о самолете и вновь предложил запустить его в серийное производство. Реакции не последовало, однако 23 мая на совещании у Гитлера отношение к Не177В внезапно изменилось — его горячо поддержал Геринг, назвав «ядром новой бомбардировочной авиации», и потребовал срочно начать серийный выпуск с темпом 200 штук в месяц. Самолет, названный по предложению Хейнкеля Не277В (такой индекс уже ставился на его чертежах с 1940 года, первые опытные самолеты были обозначены He277V1 и V2), предназначался для уничтожения конвоев в Атлантике и для прицельных бомбардировок важнейших объектов в Великобритании в дневное время. Но самолет, как и Не177А, страдал недостаточной путевой устойчивостью и управляемостью. Тогда на третьем прототипе He277V3 сделали двухкилевое оперение, заодно улучшив сектора обстрела верхних огневых башен — передней дистанционно-управляемой FDL131E/F2 с парой пулеметов калибра 13,2 мм и задней обитаемой EDL131A-2, в которой был один такой же пулемет с электрическими силовыми приводами. В лобовом остеклении кабины экипажа в шаровой установке стоял пулемет MG81J винтовочного калибра, еще по четыре таких пулемета «смотрели» назад в гондоле под кабиной и в хвосте в установках HDL81V с гидравлическим приводом.</w:t>
      </w:r>
    </w:p>
    <w:p w14:paraId="1C477616" w14:textId="77777777" w:rsidR="002F4D0E" w:rsidRPr="007224C3" w:rsidRDefault="002F4D0E"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Чтобы ускорить начало поставок Не277, было решено на первой серийной модификации не ставить аппаратуру наведения противокорабельных ракет Hs293 и планирующих бомб РС1400 «Фриц-Х», ограничившись лишь подвеской тяжелых свободнопадающих фугасок SC2500. Официально самолет все еще рассматривался и как носитель атомной бомбы, но фирма все еще не получила даже ее габаритных чертежей (22883).</w:t>
      </w:r>
    </w:p>
    <w:p w14:paraId="7C89DA51" w14:textId="77777777" w:rsidR="002F4D0E" w:rsidRPr="007224C3" w:rsidRDefault="002F4D0E" w:rsidP="007224C3">
      <w:pPr>
        <w:spacing w:after="0" w:line="240" w:lineRule="auto"/>
        <w:jc w:val="both"/>
        <w:rPr>
          <w:rFonts w:ascii="Times New Roman" w:hAnsi="Times New Roman"/>
          <w:color w:val="0070C0"/>
          <w:sz w:val="16"/>
          <w:szCs w:val="16"/>
        </w:rPr>
      </w:pPr>
    </w:p>
    <w:p w14:paraId="55C86CC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February 28 1944 First firing of Nazi Germany's Wasserfall antiaircraft missile (1038).</w:t>
      </w:r>
    </w:p>
    <w:p w14:paraId="0501D10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1BDD9D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февраля 1944 состоялся первый полет немецкой зенитной ракеты Вассерфаль (1038).</w:t>
      </w:r>
    </w:p>
    <w:p w14:paraId="5B5B833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C6D5C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февраля 1944 было наступление британских войск в Верхней Бирме (3907,248).</w:t>
      </w:r>
    </w:p>
    <w:p w14:paraId="470562C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AC554C"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525123F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DDEA9E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февраля 1944 при контрольном испытании Ил-2 завода 18 N 1876382 были достигнуты скорости 398.5 км/час у земли и 412 к/час на границе высотности (1823,28).</w:t>
      </w:r>
    </w:p>
    <w:p w14:paraId="3227F81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64DAD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февраля по 30 марта 1944 в НИИ ВВС проходили гос. испытания опытный двухместный самолет ИЛ с мотором АМ-42 и винтом АВ-5Л-18Б конструкции С.В.И. (экз. 1, производство завода 240 мая 1943). Прибыл 26 февраля 1944.</w:t>
      </w:r>
    </w:p>
    <w:p w14:paraId="322CB0E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Выполнил 44 полета с общим налетом 19:30.</w:t>
      </w:r>
    </w:p>
    <w:p w14:paraId="778AF08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Проходил испытания в двух вариантах:</w:t>
      </w:r>
    </w:p>
    <w:p w14:paraId="283AFCE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разведчика-корректировщика</w:t>
      </w:r>
    </w:p>
    <w:p w14:paraId="7A05263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штурмовика-бомбардировщика</w:t>
      </w:r>
    </w:p>
    <w:p w14:paraId="32983FA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Полеты проводились с нормальным и перегрузочным весом с внутренней и наружной подвеской бомб (1865).</w:t>
      </w:r>
    </w:p>
    <w:p w14:paraId="15CF000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Ил-1 (но не ясно, одноместный или сразу двухместный) был готов на 18 заводе в конце февраля 1944. К этому времени якобы уже прошли и прочностные испытания (111,161).</w:t>
      </w:r>
    </w:p>
    <w:p w14:paraId="4141BB6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Машину отправили в Москву на завод 240 (1605,2).</w:t>
      </w:r>
    </w:p>
    <w:p w14:paraId="11BF3F9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F7C0F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29 февраля по 30 марта 1944-го тяжелый штурмовик Ил-8 с АМ-42 (первый опытный экземпляр), несмотря на дефекты мотора (дымление, тряска, засорение воздушных клапанов карбюраторов, быстрый износ поршневых колец и т.д.) успешно прошел Государственные испытания.</w:t>
      </w:r>
    </w:p>
    <w:p w14:paraId="6BB2FBF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Ведущий летчик-испытатель - А.К.Долгов, ведущий инженер - П.Т.Аброщенко. Самолет был рекомендован к запуску в серийное производство в вариантах тяжелого штурмовика-бомбардировщика и разведчика-корректировщика.</w:t>
      </w:r>
    </w:p>
    <w:p w14:paraId="4C7998D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своим пилотажным свойствам штурмовик оказался в целом простым и достаточно легким в управлении. Основные летно-технические данные Ил-8 заметно превосходили Ил-2, хотя уже и не отвечали в полном объеме современным требованиям.</w:t>
      </w:r>
    </w:p>
    <w:p w14:paraId="6FE91CA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нормальном взлетном весе 7260 кг (против 6160 кг у Ил-2 АМ-38ф) новый штурмовик имел максимальную скорость 472 км/ч на высоте 2500 м (у Ил-2 - 416 км/ч на высоте 1400 м). Дальность же полета Ил-8 почти в два раза превысила таковую у Ил-2 и составила 1180 км.</w:t>
      </w:r>
    </w:p>
    <w:p w14:paraId="5CFE68B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Однако его маневренность в вертикальной и горизонтальной плоскостях была хуже, чем у Ил-2, и была явно недостаточной для условий боевых действий заключительного периода войны.</w:t>
      </w:r>
    </w:p>
    <w:p w14:paraId="2703701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серию Ил-8 не пошел. Было решено путем улучшения аэродинамики повысить его основные летные данные.</w:t>
      </w:r>
    </w:p>
    <w:p w14:paraId="49EF429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соответствии с этим решением на втором опытном самолете Ил-8 АМ-42 была полностью перекомпонована система охлаждения и смазки мотора, установлены новые крыло, оперение и шасси, доработаны элероны, рули высоты и направления, внесены изменения в оборудование самолета, трехлопастный воздушный винт был заменен на четырехлопастный.</w:t>
      </w:r>
    </w:p>
    <w:p w14:paraId="7ADABC2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Общий вес брони на самолете увеличился до 1120 кг. Распределение толщины брони было сделано с учетом опыта боевого применения штурмовика Ил-2.</w:t>
      </w:r>
    </w:p>
    <w:p w14:paraId="3471E6F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Мотор и агрегаты прикрывались снизу и с боков броней толщиной 4, б и 8 мм. Наиболее поражаемые участки бронекорпуса штурмовика (снизу с боку) имели толщину брони 8 мм.</w:t>
      </w:r>
    </w:p>
    <w:p w14:paraId="10B6325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Верхняя часть бронекорпуса, имевшая поверхность двойной кривизны, выполнялась из дюралюмино-вых листов толщиной от 1,5 до 4,0 мм.</w:t>
      </w:r>
    </w:p>
    <w:p w14:paraId="38B5748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Дело в том, что верхняя передняя часть бронекорпуса Ил-2, как показал опыт его боевого применения, практически не поражалась в воздушных боях.</w:t>
      </w:r>
    </w:p>
    <w:p w14:paraId="2443C80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Кабина пилота с боков и снизу бронировалась листами толщиной 4,5 и б мм. Козырек фонаря пилота выполнялся из 64-мм прозрачной брони с металлической окантовкой.</w:t>
      </w:r>
    </w:p>
    <w:p w14:paraId="575E0A8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Боковые крышки фонаря выполнялись из металлической брони (толщиной б мм) и плексигласа. Сбоку фонаря имелись сдвижные форточки. Сверху над головой пилота устанавливалась бронеплита толщиной 8 мм.</w:t>
      </w:r>
    </w:p>
    <w:p w14:paraId="4DC720F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сравнении с первой опытной машиной, со стороны задней полусферы пилот и штурман-стрелок прикрывались, защищались более эффективными бронестенками, образованными двумя рядом стоящими бронеплитами толщиной по 8 мм каждая, с промежутком между ними.</w:t>
      </w:r>
    </w:p>
    <w:p w14:paraId="6B4916A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Такая схема бронирования эффективно защищала стрелка и пилота от поражения 20-мм снарядов авиапушек. Снизу и с боков стрелок прикрывался броней 4 и б мм.</w:t>
      </w:r>
    </w:p>
    <w:p w14:paraId="6DF6B37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Отметим, что в дальнейшем при запуске Ил-8-го в серийное производство защиту стрелка со стороны задней полусферы предполагалось усилить путем установки двух бронеплит толщиной 4 мм (внутренняя бронеплита) и 12 мм (внешняя бронеплита), отстоящих друг от друга на небольшом расстоянии.</w:t>
      </w:r>
    </w:p>
    <w:p w14:paraId="2C50FD3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Полигонные испытания показали, что бронестойкость системы броне-листов при неизменном расстоянии между ними значительно повышается, если увеличивать разнос толщин листов.</w:t>
      </w:r>
    </w:p>
    <w:p w14:paraId="3A0EADA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этом случае разворот оси снаряда при прохождении последнего через внешнюю бронеплиту (толщина 12 мм), играющей роль своеобразного экрана, существенно увеличивался, а это приводило к резкому снижению бронепробиваемых свойств снаряда.</w:t>
      </w:r>
    </w:p>
    <w:p w14:paraId="6028998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Воздух для охлаждения радиаторов модифицированного штурмовика Ил-8 АМ-42, поступал теперь по двум тоннелям: справа и слева от мотора.</w:t>
      </w:r>
    </w:p>
    <w:p w14:paraId="1096192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Вход в тоннель образовывался вырезом в носке центроплана и углублением в боковой части капота мотора.</w:t>
      </w:r>
    </w:p>
    <w:p w14:paraId="694E8EA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правому тоннелю подводился воздух только к трубчато-пластинча-тому водорадиатору (фронтовая поверхность 5ф=33,5 дм2), а по левому, имевшему два рукава, - к водо- и мас-лорадиаторам (фронтовая поверхность маслорадиатора 5ф=12 дм2).</w:t>
      </w:r>
    </w:p>
    <w:p w14:paraId="05C2A49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Температура воды и масла регулировалась открытием бронезаслонок на выходе тоннеля. Бронезаслонки (толщина брони 5 и б мм) управлялись из кабины пилота. Снизутоннели прикрывались б-мм броней, а с боков -4-мм броневым корпусом. Со стороны заднего лонжерона тоннели прикрывались б-мм броней.</w:t>
      </w:r>
    </w:p>
    <w:p w14:paraId="172FD54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Такое компоновочное решение позволило сделать более плавными обводы бронекорпуса, чем у первого опытного Ил-8, а более выгодная в аэродинамическом отношении схема продува радиаторов уменьшило их размеры и сопротивление.</w:t>
      </w:r>
    </w:p>
    <w:p w14:paraId="2115914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самолете установили более совершенные пушки конструкции А. Нудельмана и А. Суранова НС-23 калибра 23 мм с боезапасом 300 снарядов, прошедших к 4 мая 1944 г. весь комплекс наземных, а к 7 мая 44-го - и летных государственных испытаний на истребителе Як-9.</w:t>
      </w:r>
    </w:p>
    <w:p w14:paraId="537443F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Пушки НС-23 были разработаны в ОКБ-16 под новый 23-мм патрон с уменьшенным зарядом и имели, по сравнению с ВЯ-23, почти вдвое меньший вес (37,5-38,2 кг) и в 1,6 раз меньшую отдачу при стрельбе.</w:t>
      </w:r>
    </w:p>
    <w:p w14:paraId="2E6114E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Это обстоятельство позволило спроектировать на штурмовике более простую и легкую крыльевую пушечную установку, значительно упрощавшую эксплуатацию новых пушек.</w:t>
      </w:r>
    </w:p>
    <w:p w14:paraId="5D6BD38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 два оружейника могли, примерно, за 10 мин демонтировать обе пушки, уложить снаряды в патронные ящики, смонтировать и зарядить пушки. Аналогичная работа на штурмовике Ил-2 с пушками ВЯ требовала не менее 30 мин.</w:t>
      </w:r>
    </w:p>
    <w:p w14:paraId="0C9E0A2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Главное же преимущество при установке на новый штурмовик пушек НС-23 заключалось в повышении точности стрельбы из них, так как рассеивание снарядов при автоматической стрельбе из них с самолета было примерно в 2-3 раза меньше, чем у пушек ВЯ.</w:t>
      </w:r>
    </w:p>
    <w:p w14:paraId="25F8518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Два крыльевых пулемета ШКАСтак же, как и на серийных Ил-2, имели суммарный боезапас в 1500 патронов.</w:t>
      </w:r>
    </w:p>
    <w:p w14:paraId="425CC6A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Оборонительное вооружение было усилено: вместо УБК в кабине стрелка на подвижной установке ВУ-9 устанавливалась новая 20-мм авиапушка конструкции М.Е.Березина УБ-20, имевшая, в сравнении с пушкой ШВАК, меньший вес (25 кг против 42 кг) и габариты.</w:t>
      </w:r>
    </w:p>
    <w:p w14:paraId="7C3E560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Отметим, что в августе 44-го установка пушки Березина УБ-20 на турели ВУБ-3 успешно прошла испытания на одном из серийных Ил-2 АМ-38Ф. Однако в серию установку внедрять не стали по причине еще низкой надежности самой пушки.</w:t>
      </w:r>
    </w:p>
    <w:p w14:paraId="7E7818F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защиты задней нижней полусферы в хвостовой части опытного Ил-8-го №2 была установлена кассета ДАГ-10 с десятью авиационными гранатами АГ-2.</w:t>
      </w:r>
    </w:p>
    <w:p w14:paraId="6061EF3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Более мощным стало и бомбовое вооружение. Нормальная бомбовая нагрузка тяжелого штурмовика, в отличие от серийных Ил-2, была доведена до 1000 кг.</w:t>
      </w:r>
    </w:p>
    <w:p w14:paraId="282372E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Нормальный бомбовый груз размещался в четырех центропланных бом-боотсеках.</w:t>
      </w:r>
    </w:p>
    <w:p w14:paraId="72FB611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Штурмовик мог взять на борт 346 противотанковых авиабомб ПТАБ-2,5-1,5. Это на 46 и 150 бомб больше, чем могли взять, соответственно, Ил-8 № 1 и Ил-2 АМ-38Ф. Наружные бомбовые держатели штурмовика обеспечивали подвеску двух ФАБ-500.</w:t>
      </w:r>
    </w:p>
    <w:p w14:paraId="30C91F3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был снабжен компасом ПДК-43Ф, радиопередатчиком РСИ-ЗМГ и радиоприемником РСИ-бМУ (управление приемником дистанционное), радиополукомпасом РПКО-10 и радиоопознавателем СЧ-3. Для обеспечения работы радиооборудования на машине были установлены две антенны: одна для СЧ-3, вторая для связной радиостанции и РПКО.</w:t>
      </w:r>
    </w:p>
    <w:p w14:paraId="2EBED20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Фотооборудование штурмовика состояло из фотоустановки под фотоаппарат АФА-ИМ, обеспечивающая плановую съемку и съемку назад под углами 25° и 50°.</w:t>
      </w:r>
    </w:p>
    <w:p w14:paraId="698B281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Словом, получился весьма неплохой штурмовик-бомбардировщик, имевший повышенную боевую эффективность при действиях по бронетех-нике вермахта.</w:t>
      </w:r>
    </w:p>
    <w:p w14:paraId="1A8E996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Оценки показывают, что летчик с хорошей летной и стрелковой подготовкой на Ил-8 АМ-42 с НС-23 в реальных боевых условиях вполне мог уже в первой атаке обеспечить гарантированное поражение, например, немецкого истребителя танков типа Jg Pz 38(t) “Hetzer” (атака сбоку, угол планирования 25-30°, дистанция открытия огня 300-400 м) - вероятность поражения 0,94-0,63, тогда как пилот Ил-2 с ВЯ-23 в этих же условиях мог поразить “Hetzer” лишь с вероятностью около 0,24-0,15.</w:t>
      </w:r>
    </w:p>
    <w:p w14:paraId="6B9FFF7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Поражение тяжелой бронетехники было возможно лишь бомбовым вооружением (9649).</w:t>
      </w:r>
    </w:p>
    <w:p w14:paraId="7417C25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88065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февраля 1944 официально на</w:t>
      </w:r>
      <w:r w:rsidRPr="007224C3">
        <w:rPr>
          <w:rFonts w:ascii="Times New Roman" w:hAnsi="Times New Roman"/>
          <w:color w:val="000000" w:themeColor="text1"/>
          <w:sz w:val="16"/>
          <w:szCs w:val="16"/>
        </w:rPr>
        <w:softHyphen/>
        <w:t>чинались государственные испытания самолета Ил-АМ-42 (11427).</w:t>
      </w:r>
    </w:p>
    <w:p w14:paraId="5367CCA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Первый испытательный полет Ил-АМ-42, в котором планировалось оп</w:t>
      </w:r>
      <w:r w:rsidRPr="007224C3">
        <w:rPr>
          <w:rFonts w:ascii="Times New Roman" w:hAnsi="Times New Roman"/>
          <w:color w:val="000000" w:themeColor="text1"/>
          <w:sz w:val="16"/>
          <w:szCs w:val="16"/>
        </w:rPr>
        <w:softHyphen/>
        <w:t>ределить расход горючего на раз</w:t>
      </w:r>
      <w:r w:rsidRPr="007224C3">
        <w:rPr>
          <w:rFonts w:ascii="Times New Roman" w:hAnsi="Times New Roman"/>
          <w:color w:val="000000" w:themeColor="text1"/>
          <w:sz w:val="16"/>
          <w:szCs w:val="16"/>
        </w:rPr>
        <w:softHyphen/>
        <w:t>личных режимах, длился 55 минут и был прекращен вследствие самопро</w:t>
      </w:r>
      <w:r w:rsidRPr="007224C3">
        <w:rPr>
          <w:rFonts w:ascii="Times New Roman" w:hAnsi="Times New Roman"/>
          <w:color w:val="000000" w:themeColor="text1"/>
          <w:sz w:val="16"/>
          <w:szCs w:val="16"/>
        </w:rPr>
        <w:softHyphen/>
        <w:t>извольного возрастания давления наддува. На посадке вновь отказа</w:t>
      </w:r>
      <w:r w:rsidRPr="007224C3">
        <w:rPr>
          <w:rFonts w:ascii="Times New Roman" w:hAnsi="Times New Roman"/>
          <w:color w:val="000000" w:themeColor="text1"/>
          <w:sz w:val="16"/>
          <w:szCs w:val="16"/>
        </w:rPr>
        <w:softHyphen/>
        <w:t>ли тормоза левого шасси. Работа по замене тормозов, свечей и регули</w:t>
      </w:r>
      <w:r w:rsidRPr="007224C3">
        <w:rPr>
          <w:rFonts w:ascii="Times New Roman" w:hAnsi="Times New Roman"/>
          <w:color w:val="000000" w:themeColor="text1"/>
          <w:sz w:val="16"/>
          <w:szCs w:val="16"/>
        </w:rPr>
        <w:softHyphen/>
        <w:t>ровке карбюраторов затянулась до 2 часов ночи, но утром 1 марта и днем погода была совершенно нелет</w:t>
      </w:r>
      <w:r w:rsidRPr="007224C3">
        <w:rPr>
          <w:rFonts w:ascii="Times New Roman" w:hAnsi="Times New Roman"/>
          <w:color w:val="000000" w:themeColor="text1"/>
          <w:sz w:val="16"/>
          <w:szCs w:val="16"/>
        </w:rPr>
        <w:softHyphen/>
        <w:t>ной. Решили провести весь комплекс наземных испытаний бомбардировоч</w:t>
      </w:r>
      <w:r w:rsidRPr="007224C3">
        <w:rPr>
          <w:rFonts w:ascii="Times New Roman" w:hAnsi="Times New Roman"/>
          <w:color w:val="000000" w:themeColor="text1"/>
          <w:sz w:val="16"/>
          <w:szCs w:val="16"/>
        </w:rPr>
        <w:softHyphen/>
        <w:t>ного вооружения.</w:t>
      </w:r>
    </w:p>
    <w:p w14:paraId="50234AC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следующий день погода опять была нелетная. Самолет загнали в институтский тир, где произвели от</w:t>
      </w:r>
      <w:r w:rsidRPr="007224C3">
        <w:rPr>
          <w:rFonts w:ascii="Times New Roman" w:hAnsi="Times New Roman"/>
          <w:color w:val="000000" w:themeColor="text1"/>
          <w:sz w:val="16"/>
          <w:szCs w:val="16"/>
        </w:rPr>
        <w:softHyphen/>
        <w:t>стрел оборонительной установки ВУ-8. Здесь испытателей ждала "не</w:t>
      </w:r>
      <w:r w:rsidRPr="007224C3">
        <w:rPr>
          <w:rFonts w:ascii="Times New Roman" w:hAnsi="Times New Roman"/>
          <w:color w:val="000000" w:themeColor="text1"/>
          <w:sz w:val="16"/>
          <w:szCs w:val="16"/>
        </w:rPr>
        <w:softHyphen/>
        <w:t>приятность": прострелили киль, ста</w:t>
      </w:r>
      <w:r w:rsidRPr="007224C3">
        <w:rPr>
          <w:rFonts w:ascii="Times New Roman" w:hAnsi="Times New Roman"/>
          <w:color w:val="000000" w:themeColor="text1"/>
          <w:sz w:val="16"/>
          <w:szCs w:val="16"/>
        </w:rPr>
        <w:softHyphen/>
        <w:t>билизатор, рули направления и вы</w:t>
      </w:r>
      <w:r w:rsidRPr="007224C3">
        <w:rPr>
          <w:rFonts w:ascii="Times New Roman" w:hAnsi="Times New Roman"/>
          <w:color w:val="000000" w:themeColor="text1"/>
          <w:sz w:val="16"/>
          <w:szCs w:val="16"/>
        </w:rPr>
        <w:softHyphen/>
        <w:t>соты. Однако погода и аэродромные службы сделали бригаде подарок -в течение следующих трех дней аэро</w:t>
      </w:r>
      <w:r w:rsidRPr="007224C3">
        <w:rPr>
          <w:rFonts w:ascii="Times New Roman" w:hAnsi="Times New Roman"/>
          <w:color w:val="000000" w:themeColor="text1"/>
          <w:sz w:val="16"/>
          <w:szCs w:val="16"/>
        </w:rPr>
        <w:softHyphen/>
        <w:t>дром был "не ютов к взлету: рыхлый снег, вода".</w:t>
      </w:r>
    </w:p>
    <w:p w14:paraId="74F9B1C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Было решено, одновременно с ус</w:t>
      </w:r>
      <w:r w:rsidRPr="007224C3">
        <w:rPr>
          <w:rFonts w:ascii="Times New Roman" w:hAnsi="Times New Roman"/>
          <w:color w:val="000000" w:themeColor="text1"/>
          <w:sz w:val="16"/>
          <w:szCs w:val="16"/>
        </w:rPr>
        <w:softHyphen/>
        <w:t>транением пулевых повреждений провести на самолете небольшие до</w:t>
      </w:r>
      <w:r w:rsidRPr="007224C3">
        <w:rPr>
          <w:rFonts w:ascii="Times New Roman" w:hAnsi="Times New Roman"/>
          <w:color w:val="000000" w:themeColor="text1"/>
          <w:sz w:val="16"/>
          <w:szCs w:val="16"/>
        </w:rPr>
        <w:softHyphen/>
        <w:t>работки, улучшающие эксплуатаци</w:t>
      </w:r>
      <w:r w:rsidRPr="007224C3">
        <w:rPr>
          <w:rFonts w:ascii="Times New Roman" w:hAnsi="Times New Roman"/>
          <w:color w:val="000000" w:themeColor="text1"/>
          <w:sz w:val="16"/>
          <w:szCs w:val="16"/>
        </w:rPr>
        <w:softHyphen/>
        <w:t>онные и пилотажные качества маши</w:t>
      </w:r>
      <w:r w:rsidRPr="007224C3">
        <w:rPr>
          <w:rFonts w:ascii="Times New Roman" w:hAnsi="Times New Roman"/>
          <w:color w:val="000000" w:themeColor="text1"/>
          <w:sz w:val="16"/>
          <w:szCs w:val="16"/>
        </w:rPr>
        <w:softHyphen/>
        <w:t>ны. Заново отрегулировали карбю</w:t>
      </w:r>
      <w:r w:rsidRPr="007224C3">
        <w:rPr>
          <w:rFonts w:ascii="Times New Roman" w:hAnsi="Times New Roman"/>
          <w:color w:val="000000" w:themeColor="text1"/>
          <w:sz w:val="16"/>
          <w:szCs w:val="16"/>
        </w:rPr>
        <w:softHyphen/>
        <w:t>раторы, поставили новые троса уп</w:t>
      </w:r>
      <w:r w:rsidRPr="007224C3">
        <w:rPr>
          <w:rFonts w:ascii="Times New Roman" w:hAnsi="Times New Roman"/>
          <w:color w:val="000000" w:themeColor="text1"/>
          <w:sz w:val="16"/>
          <w:szCs w:val="16"/>
        </w:rPr>
        <w:softHyphen/>
        <w:t>равления "из-за большой заершен-ности старых", уменьшили щели меж</w:t>
      </w:r>
      <w:r w:rsidRPr="007224C3">
        <w:rPr>
          <w:rFonts w:ascii="Times New Roman" w:hAnsi="Times New Roman"/>
          <w:color w:val="000000" w:themeColor="text1"/>
          <w:sz w:val="16"/>
          <w:szCs w:val="16"/>
        </w:rPr>
        <w:softHyphen/>
        <w:t>ду нижней частью крыла и элерона</w:t>
      </w:r>
      <w:r w:rsidRPr="007224C3">
        <w:rPr>
          <w:rFonts w:ascii="Times New Roman" w:hAnsi="Times New Roman"/>
          <w:color w:val="000000" w:themeColor="text1"/>
          <w:sz w:val="16"/>
          <w:szCs w:val="16"/>
        </w:rPr>
        <w:softHyphen/>
        <w:t>ми (поставлена более широкая пла</w:t>
      </w:r>
      <w:r w:rsidRPr="007224C3">
        <w:rPr>
          <w:rFonts w:ascii="Times New Roman" w:hAnsi="Times New Roman"/>
          <w:color w:val="000000" w:themeColor="text1"/>
          <w:sz w:val="16"/>
          <w:szCs w:val="16"/>
        </w:rPr>
        <w:softHyphen/>
        <w:t>стина), заменили покрышку костыль</w:t>
      </w:r>
      <w:r w:rsidRPr="007224C3">
        <w:rPr>
          <w:rFonts w:ascii="Times New Roman" w:hAnsi="Times New Roman"/>
          <w:color w:val="000000" w:themeColor="text1"/>
          <w:sz w:val="16"/>
          <w:szCs w:val="16"/>
        </w:rPr>
        <w:softHyphen/>
        <w:t>ного колеса и лючки над бомболю-ком с левой внутренней стороны. Па</w:t>
      </w:r>
      <w:r w:rsidRPr="007224C3">
        <w:rPr>
          <w:rFonts w:ascii="Times New Roman" w:hAnsi="Times New Roman"/>
          <w:color w:val="000000" w:themeColor="text1"/>
          <w:sz w:val="16"/>
          <w:szCs w:val="16"/>
        </w:rPr>
        <w:softHyphen/>
        <w:t>раллельно успели отработать химво-оружение самолета (11427).</w:t>
      </w:r>
    </w:p>
    <w:p w14:paraId="2A2508B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9CB1E2E" w14:textId="77777777" w:rsidR="000169CA" w:rsidRPr="007224C3" w:rsidRDefault="000169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февраля 1944 официально начинались государственные испытания самолет Ил-АМ-42 со «старым» проверенным винтом АВ-5 л-18Б а.</w:t>
      </w:r>
    </w:p>
    <w:p w14:paraId="3051A72C" w14:textId="77777777" w:rsidR="000169CA" w:rsidRPr="007224C3" w:rsidRDefault="000169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Первый испытательный полет, в котором планировалось определить расход горючего на различных режимах, длился 55 минут и был прекращен вследствие самопроизвольного возрастания давления наддува. На посадке вновь отказали тормоза левого шасси. Работа по замене тормозов, свечей и регулировке карбюраторов затянулась до 2 часов ночи, но утром 1 марта и днем погода была совершенно нелетной. Решили провести весь комплекс наземных испытаний бомбардировочного вооружения.</w:t>
      </w:r>
    </w:p>
    <w:p w14:paraId="4787225E" w14:textId="77777777" w:rsidR="000169CA" w:rsidRPr="007224C3" w:rsidRDefault="000169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следующий день погода опять была нелетная. Самолет загнали в институтский тир, где произвели отстрел оборонительной установки ВУ-8. Здесь испытателей ждала «неприятность»: прострелили киль, стабилизатор, рули направления и высоты. Однако погода и аэродромные службы сделали бригаде подарок – в течение следующих трех дней при неважной погоде аэродром был «не готов к взлету: рыхлый снег, вода».</w:t>
      </w:r>
    </w:p>
    <w:p w14:paraId="263E52C2" w14:textId="77777777" w:rsidR="000169CA" w:rsidRPr="007224C3" w:rsidRDefault="000169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Было решено одновременно с устранением пулевых повреждений провести на самолете небольшие доработки, улучшающие эксплуатационные и пилотажные качества машины. Заново отрегулировали карбюраторы, поставили новые троса управления «из-за большой заершенности старых», уменьшили щели между нижней частью крыла и элеронами (поставлена более широкая пластина), заменили покрышку костыльного колеса и лючки над бомболюком с левой внутренней стороны. Параллельно успели отработать химическое вооружение самолета.</w:t>
      </w:r>
    </w:p>
    <w:p w14:paraId="3FF99174" w14:textId="77777777" w:rsidR="000169CA" w:rsidRPr="007224C3" w:rsidRDefault="000169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марта утром удалось выполнить один часовой полет на замер скорости и скороподъемности по высотам, так как с 11.00 полеты были запрещены. На следующий день погода благоприятствовала проведению испытаний, но в первом же полете на определение расхода горючего лопнула трубка, подводящая воду к левому блоку цилиндров. Пришлось идти на посадку и устранять неисправность.</w:t>
      </w:r>
    </w:p>
    <w:p w14:paraId="644DD2B9" w14:textId="77777777" w:rsidR="000169CA" w:rsidRPr="007224C3" w:rsidRDefault="000169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марта с утра стояла нелетная погода, но к 16.00 развеялось и удалось выполнить один полет на полигон для бомбометания и стрельбы из пушек и пулеметов. Вечером вновь пришлось менять свечи.</w:t>
      </w:r>
    </w:p>
    <w:p w14:paraId="1899FD45" w14:textId="77777777" w:rsidR="000169CA" w:rsidRPr="007224C3" w:rsidRDefault="000169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Ввиду нелетной погоды в течение следующего дня самолет «затащили» в тир, где отстреляли все вооружение.</w:t>
      </w:r>
    </w:p>
    <w:p w14:paraId="6695EF6B" w14:textId="77777777" w:rsidR="000169CA" w:rsidRPr="007224C3" w:rsidRDefault="000169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период 11–13 марта погода была ограниченно летной, но летать все же удавалось. Всего было выполнено 15 взлетов и посадок для определения взлетно-посадочных характеристик самолета, три полета на стрельбу и бомбометание по наземным целям и определение скороподъемности самолета по высотам.</w:t>
      </w:r>
    </w:p>
    <w:p w14:paraId="210ED448" w14:textId="77777777" w:rsidR="000169CA" w:rsidRPr="007224C3" w:rsidRDefault="000169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марта погода окончательно испортилась, но летать все равно было бы нельзя, так как у самолета обнаружилась течь бензина из трубки подвода к карбюраторам и поломка уплотнительного кольца вала редуктора. Выявились и другие неисправности.</w:t>
      </w:r>
    </w:p>
    <w:p w14:paraId="50F2A406" w14:textId="77777777" w:rsidR="000169CA" w:rsidRPr="007224C3" w:rsidRDefault="000169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Следующие четыре дня прошли в хлопотах по устранению дефектов самолета. Попутно установили новые элероны с увеличенной аэродинамической компенсацией (29 % вместо 27 %).</w:t>
      </w:r>
    </w:p>
    <w:p w14:paraId="078B5A2B" w14:textId="77777777" w:rsidR="000169CA" w:rsidRPr="007224C3" w:rsidRDefault="000169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Несмотря на неблагоприятные метеоусловия, 19 марта удалось выполнить 8 непродолжительных полетов, в том числе 5 – на определение взлетно-посадочных свойств и по одному полету на бомбометание, проверку действия в воздухе ВАП-250 и замер расхода горючего. Всего за день налетали 1 ч 55 мин. В ходе последнего полета сгорели прокладки всасывающих патрубков.</w:t>
      </w:r>
    </w:p>
    <w:p w14:paraId="080ECAE3" w14:textId="77777777" w:rsidR="000169CA" w:rsidRPr="007224C3" w:rsidRDefault="000169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Устранение вновь выявленных неисправностей затянулось до 22 марта, но в этот день погода опять оказалась нелетной. Только на следующий день удалось выполнить один часовой полет на замер расхода горючего. Затем последовал четырехдневный перерыв в полетах из-за плохой погоды. Наконец, 28 марта установилась устойчивая летная погода, которая продержалась три дня. В эти дни бригада испытателей работала весьма активно и 30 марта в 18.00 рапортовала руководству института об успешном завершении государственных испытаний.</w:t>
      </w:r>
    </w:p>
    <w:p w14:paraId="3A8A20D6" w14:textId="77777777" w:rsidR="000169CA" w:rsidRPr="007224C3" w:rsidRDefault="000169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Таким образом, испытания Ил-АМ-42 (экз. № 1) продолжались в течение 31 календарного дня, из которых летных дней было всего 10, нелетных – 14. Еще 7 дней пришлось затратить на ремонт и доводку самолета. В общей сложности было выполнено 44 полета с налетом 19 ч 30 мин.</w:t>
      </w:r>
    </w:p>
    <w:p w14:paraId="601A7853" w14:textId="77777777" w:rsidR="000169CA" w:rsidRPr="007224C3" w:rsidRDefault="000169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ходе испытаний самолет облетали ведущий инженер-летчик 3-го отдела НИИ ВВС инженер-майор А. В. Синельников, летчик-испытатель 4-го отдела майор М. П. Субботин, старший летчик-испытатель 3-го отдела майор В. С. Журавлев и летчик-испытатель подполковник М. А. Нюхтиков. В качестве штурманов облета участвовали капитан Т. Ф. Горбунов, заместитель начальника 4-го отдела полковник Н. И. Шауров, помощник начальника 6-го отдела капитан Васильев, штурман-испытатель капитан В. Н. Ковынев, штурман-испытатель подполковник Н. П. Цветков.</w:t>
      </w:r>
    </w:p>
    <w:p w14:paraId="7286E609" w14:textId="77777777" w:rsidR="000169CA" w:rsidRPr="007224C3" w:rsidRDefault="000169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Как следует из документов, самолет проходил испытания в двух вариантах: разведчика-корректировщика и штурмовика-бомбардировщика, которые отличались друг от друга фактически только бомбовой нагрузкой и заправкой самолета горючим и маслом. Состав фото- и радиооборудования самолета в ходе испытаний оставался неизменным и соответствовал «следопыту».</w:t>
      </w:r>
    </w:p>
    <w:p w14:paraId="3C33D7F6" w14:textId="77777777" w:rsidR="000169CA" w:rsidRPr="007224C3" w:rsidRDefault="000169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Стрелково-пушечное вооружение самолета в обоих вариантах назначения было одинаковым и включало две пушки ВЯ (300 патронов), два пулемета ШКАС (1500 патронов) и оборонительный пулемет УБК (3 диска по 50 патронов) на ВУ-8. Ракетное вооружение не предусматривалось.</w:t>
      </w:r>
    </w:p>
    <w:p w14:paraId="2BF0D967" w14:textId="77777777" w:rsidR="000169CA" w:rsidRPr="007224C3" w:rsidRDefault="000169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Нормальный полетный вес штурмовика-бомбардировщика устанавливался в 7260 кг, в перегрузку – 7660 кг. Полезная нагрузка при нормальном полетном весе составляла 1995 кг.</w:t>
      </w:r>
    </w:p>
    <w:p w14:paraId="51D10082" w14:textId="77777777" w:rsidR="000169CA" w:rsidRPr="007224C3" w:rsidRDefault="000169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перегрузочном варианте допускалась подвеска до 1000 кг бомб, в том числе на двух внешних узлах две бомбы типа ФАБ-500 или два выливных авиаприбора ВАП-250 или УХАП-250.</w:t>
      </w:r>
    </w:p>
    <w:p w14:paraId="5A0D6EFD" w14:textId="77777777" w:rsidR="000169CA" w:rsidRPr="007224C3" w:rsidRDefault="000169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Нагрузка в варианте «следопыта» ограничивалась 1460 кг и отличалась от штурмового варианта отсутствием бомбовой нагрузки и увеличенным до 120 кг весом съемного оборудования.</w:t>
      </w:r>
    </w:p>
    <w:p w14:paraId="5067D21A" w14:textId="77777777" w:rsidR="000169CA" w:rsidRPr="007224C3" w:rsidRDefault="000169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Поскольку состав съемного оборудования на самолете Ил-АМ-42 (экз. № 1) соответствовал варианту разведчика-корректировщика, то при загрузке 600 кг бомб и полной заправке горючим и маслом вес самолета на 65 кг превышал нормальный полетный вес, установленный для штурмовика-бомбардировщика. Поэтому при проведении испытательных полетов в варианте штурмовика вес горючего уменьшался ровно на 65 кг.</w:t>
      </w:r>
    </w:p>
    <w:p w14:paraId="39F40264" w14:textId="77777777" w:rsidR="000169CA" w:rsidRPr="007224C3" w:rsidRDefault="000169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Мотор АМ-42 на протяжении всего времени испытаний работал с недостатками: дымление, тряска, непостоянство наддува на режиме номинальной мощности, течь масла из-под уплотнения вала редуктора мотора, из-под крышки блоков, из корпуса нагнетателя через дренаж (после остановки мотора), а также засорение воздушных клапанов карбюраторов, быстрый износ поршневых колец и т. д. Отмечался и большой расход горючего на номинальном режиме работы мотора, который при контрольном полете 19 марта составил 295–315 г/л. с. ч.</w:t>
      </w:r>
    </w:p>
    <w:p w14:paraId="610C9316" w14:textId="77777777" w:rsidR="000169CA" w:rsidRPr="007224C3" w:rsidRDefault="000169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ходе испытаний пришлось заменить маслоуплотнитель носка вала редуктора мотора, регулятор давления наддува, прокладки под всасывающими патрубками (для чего был демонтирован карбюратор). Дважды заменили весь комплект свечей, по одному разу все свечи внешнего ряда, водяную трубку (подводящую охлаждающую воду к левому блоку цилиндров мотора от помпы) и бензотрубку (подводящую топливо к карбюраторам). Из-за течи по сварке трижды ремонтировались маслобаки. Одновременно были отремонтированы все карбюраторы и коллекторы нагнетателя.</w:t>
      </w:r>
    </w:p>
    <w:p w14:paraId="3A73AE40" w14:textId="77777777" w:rsidR="000169CA" w:rsidRPr="007224C3" w:rsidRDefault="000169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выполнении работ по устранению недостатков и дефектов «в полный рост» проявилась непродуманность конструкции винтомоторной группы с точки зрения удобства эксплуатации. Например, для того чтобы снять водяную трубку, необходимо было демонтировать блоки мотора, выхлопные патрубки и левый маслобак, а затем вернуть их на свои места. Замена трубопровода, подводящего горючее к карбюраторам, выливалась в полный демонтаж всасывающей трубы нагнетателя и карбюратора. Испытатели отмечали трудоемкую замену свечей внутренней стороны, и особенно проводников к свечам. На их замену затрачивалось до 5–6 часов. Трубки, подводящие воду к блокам, имели слишком большую длину (без технологических разъемов), что серьезно усложняло их замену и ремонт.</w:t>
      </w:r>
    </w:p>
    <w:p w14:paraId="02F09F60" w14:textId="77777777" w:rsidR="000169CA" w:rsidRPr="007224C3" w:rsidRDefault="000169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общем, проблем с мотором хватало с избытком, но бригаде НИИ ВВС все же удалось отлетать программу испытаний почти в полном объеме.</w:t>
      </w:r>
    </w:p>
    <w:p w14:paraId="641EDC59" w14:textId="77777777" w:rsidR="000169CA" w:rsidRPr="007224C3" w:rsidRDefault="000169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первую очередь определялись летно-технические данные Ил-АМ-42 (экз. № 1) в варианте штурмовика-бомбардировщика и только затем – в варианте разведчика-корректировщика. Как показали полеты, основные данные нового самолета заметно превосходили Ил-2, хотя, по мнению военных, уже не отвечали в полном объеме современным требованиям.</w:t>
      </w:r>
    </w:p>
    <w:p w14:paraId="0EF81E33" w14:textId="77777777" w:rsidR="000169CA" w:rsidRPr="007224C3" w:rsidRDefault="000169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нормальном полетном весе (600 кг бомб на внутренней подвеске) максимальная скорость полета оказалась равной 472 км/ч на высоте 2500 м и 428 км/ч – у земли. Вертикальная скорость не превышала 7 м/с на высоте 1000 м и 6,7 м/с – у земли. Разбег самолета с отклоненными на 17° щитками и с форсажем мотора составил 435 м. Пробег при посадочном весе 5900 кг с применением тормозов и отклонением щитков на 45° оказался в пределах 465 м. Посадочная скорость равнялась 136 км/ч.</w:t>
      </w:r>
    </w:p>
    <w:p w14:paraId="5FAB492A" w14:textId="77777777" w:rsidR="000169CA" w:rsidRPr="007224C3" w:rsidRDefault="000169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Разведчик-корректировщик на всех высотах летал на 8 км/ч быстрее штурмовика-бомбардировщика. Примерно на 22 % была выше скороподъемность и на 11 % горизонтальная маневренность. Лучшими были и взлетно-посадочные характеристики. Из-за непостоянства наддува в полете при работе мотора, тряски и выработки ресурса мотора (к моменту начала полетов в варианте «следопыта» остаток ресурса составлял 4–5 часов) измерить скороподъемность выше границы высотности не удалось.</w:t>
      </w:r>
    </w:p>
    <w:p w14:paraId="4922CAC4" w14:textId="77777777" w:rsidR="000169CA" w:rsidRPr="007224C3" w:rsidRDefault="000169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всех вариантах полетного веса центровка самолета (шасси выпущено) находилась в пределах от 19,9 % САХ (пустой самолет) до 23,3 % (перегрузочный вариант с 1000 кг бомб).</w:t>
      </w:r>
    </w:p>
    <w:p w14:paraId="56C99A5E" w14:textId="77777777" w:rsidR="000169CA" w:rsidRPr="007224C3" w:rsidRDefault="000169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Дальность полета на высоте 1000 м и скорости 308 км/ч составила 820 км – на 155 км больше дальности полета Ил-2 АМ-38ф. При этом отмечалось, что дальность полета 2-го экземпляра Ил-АМ-42, на котором установлены бензобаки емкостью 1020 л, будет достигать 980 км.</w:t>
      </w:r>
    </w:p>
    <w:p w14:paraId="0F33E7D6" w14:textId="77777777" w:rsidR="000169CA" w:rsidRPr="007224C3" w:rsidRDefault="000169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своим пилотажным свойствам Ил-АМ-42 оказался достаточно простым и легким в управлении. В сравнении с Ил-2 новый самолет обладал значительно лучшей продольной устойчивостью и управляемостью, что упростило технику пилотирования, особенно на виражах и бреющих полетах. Летчики-испытатели отмечали, что Ил-АМ-42 в отличие от Ил-2 «на вираже позволяет значительно выбирать ручку руля высоты на себя, для уменьшения радиуса виража». Пикировал самолет устойчиво. Просадка на выводе оказалась несколько больше, чем у серийного Ил-2. Сила отдачи при стрельбе из пушек почти не сказывалась на пилотировании самолетом и прицеливании. Маневренность Ил-АМ-42 в вертикальной и горизонтальной плоскостях оказалась почти такой же, как у серийной «двойки», даже несколько хуже, и считалась недостаточной для условий боевых действий завершающего периода войны. Тем не менее в целом самолет оставил у военных летчиков-испытателей хорошее впечатление. «Специального переучивания летного состава для перехода с Ил-2 не требует», – указывалось в отчете по испытаниям.</w:t>
      </w:r>
    </w:p>
    <w:p w14:paraId="5551AE7E" w14:textId="77777777" w:rsidR="000169CA" w:rsidRPr="007224C3" w:rsidRDefault="000169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улучшения пилотажных качеств машины летчики предлагали на руль поворота установить триммер, а на элероны «наклепать ножи для регулировки от подваливания».</w:t>
      </w:r>
    </w:p>
    <w:p w14:paraId="39A008FE" w14:textId="77777777" w:rsidR="000169CA" w:rsidRPr="007224C3" w:rsidRDefault="000169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Указывалось, что Ил-АМ-42 строился по нормам прочности 1941 года и относится к классу Б – ограниченно маневренных самолетов. При полетном весе 7250 кг разрушающая перегрузка равнялась 7,5 единицы, эксплуатационная перегрузка («установленная главным конструктором самолета») – 4,96 единицы.</w:t>
      </w:r>
    </w:p>
    <w:p w14:paraId="4B85BD5B" w14:textId="77777777" w:rsidR="000169CA" w:rsidRPr="007224C3" w:rsidRDefault="000169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Помимо неудовлетворительной работы мотора АМ-42 отмечались и ряд других недостатков, отнесенных специалистами института к разряду основных.</w:t>
      </w:r>
    </w:p>
    <w:p w14:paraId="64BE3807" w14:textId="77777777" w:rsidR="000169CA" w:rsidRPr="007224C3" w:rsidRDefault="000169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частности, для самолета боя представлялось обязательным наличие системы заполнения бензобаков нейтральным газом. На Ил-АМ-42, как указывалось выше, такая система имелась, но на государственные испытания официально она не предъявлялась, так как не была доведена до рабочего состояния.</w:t>
      </w:r>
    </w:p>
    <w:p w14:paraId="70785AED" w14:textId="77777777" w:rsidR="000169CA" w:rsidRPr="007224C3" w:rsidRDefault="000169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Схему бронирования Ил-АМ-42 специалисты НИИ ВВС оценили как не отвечающую современным требованиям. Соответствующее заключение начальник 8-го отдела института инженер-полковник Лагутин утвердил 24 марта. В ряду особо уязвимых мест значились задняя бронеперегородка штурмана-стрелка (толщина 12 мм) и моторная часть снизу-сбоку (толщина 4 мм). Боевой опыт показал, что именно эти места бронекорпуса Ил-2 наиболее часто поражаются огнем противника. Предлагалось усилить эти участки путем перераспределения толщины брони при сохранении веса брони на прежнем уровне. Для этого рекомендовалось «снять с корпуса/…/передние броневые детали за втулкой винта, уменьшить с 5 до 2,5 мм толщину деталей пояса кабины летчика в местах примыкания крыла к фюзеляжу». Кроме этого, требовалось заднюю перегородку штурмана установить по образцу 2-го экземпляра Ил-АМ-42, то есть сделать экранированной две бронеплиты по 8 мм и обеспечить защиту головы штурмана бронестеклом.</w:t>
      </w:r>
    </w:p>
    <w:p w14:paraId="54453600" w14:textId="77777777" w:rsidR="000169CA" w:rsidRPr="007224C3" w:rsidRDefault="000169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то же время отмечалось, что обе кабины – летчика и штурмана-стрелка – в сравнении с Ил-2 имеют увеличенные размеры, что улучшает условия боевой работы экипажа. В кабине штурмана-стрелка вместо брезентовой ленты (как на Ил-2) устанавливалось постоянное откидное сиденье. Штурман облета капитан Т. Ф. Горбунов отмечал, что в кабине «тепло, задуваний нет, можно работать без летных очков». Посадка в кабину через нижний люк в бронекорпусе была признана удобной. В аварийной ситуации штурман легко покидал кабину с парашютом. Однако при посадке на фюзеляж выбраться из своей кабины штурман не мог, «так как фонарь летчика при открытии надвигается на фонарь штурмана».</w:t>
      </w:r>
    </w:p>
    <w:p w14:paraId="7E357A3C" w14:textId="77777777" w:rsidR="000169CA" w:rsidRPr="007224C3" w:rsidRDefault="000169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достоинству машины было отнесено применение электрической системы управления заслонками водо- и маслорадиаторов, а также пневмоэлектрической системы управления огнем и перезарядки стрелково-пушечного вооружения, поскольку это сильно облегчало работу летчика в бою.</w:t>
      </w:r>
    </w:p>
    <w:p w14:paraId="649F40A3" w14:textId="77777777" w:rsidR="000169CA" w:rsidRPr="007224C3" w:rsidRDefault="000169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Положительно оценили наличие дублирования в каналах управления рулем высоты, поворота, элеронами и триммерами.</w:t>
      </w:r>
    </w:p>
    <w:p w14:paraId="4C7F9C55" w14:textId="77777777" w:rsidR="000169CA" w:rsidRPr="007224C3" w:rsidRDefault="000169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Установка в кабине пилота прицела ПБП-1б на легкосъемном кронштейне обеспечивала летчику дополнительную безопасность при посадке с убранным шасси. Как известно, на Ил-2 ранних серий летчики часто ударялись о прицел ПБП-1 головой во время вынужденных посадок, что нередко приводило к серьезным травмам, а в ряде случаев – и к смертельным исходам.</w:t>
      </w:r>
    </w:p>
    <w:p w14:paraId="569D5107" w14:textId="77777777" w:rsidR="000169CA" w:rsidRPr="007224C3" w:rsidRDefault="000169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Бомбовое вооружение штурмовика-бомбардировщика Ил-АМ-42 по номенклатуре бомб и весу в целом соответствовало требованиям войны. Бомбометание допускалось как с горизонтального полета, так и с пикирования, но под углами не более 25–30°, хотя на испытаниях самолет пикировал до 40° без каких-либо нареканий. Для бомбометания с горизонтального полета предназначался прицел ОПБ-1р. Сброс бомб мог осуществляться и штурманом, и летчиком. Однако прицельно сбросить бомбы ни тот ни другой не могли. Из-за плохого обзора передней полусферы штурман без помощи летчика «не может вывести самолет на нехарактерную цель» (объект удара), то есть «заранее найти цель, опознать ее, а затем осуществить наводку». Как отмечалось в отчете, «выполнить все это через прицел не представляется возможным». В свою очередь, «вследствие неудовлетворительного качества прицельных устройств» летчик мог прицеливаться и бомбить «с горизонта» лишь по наитию. Фактически получалось так, что при бомбометании с горизонтального полета наводку на цель и выход на боевой курс должен был выполнять непосредственно летчик, а прицеливание – штурман, «что требует соответствующей методической проработки».</w:t>
      </w:r>
    </w:p>
    <w:p w14:paraId="6C3A65D0" w14:textId="77777777" w:rsidR="000169CA" w:rsidRPr="007224C3" w:rsidRDefault="000169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Кроме этого, бомбовый прицел штурмана в полете нещадно забрызгивался маслом, которое выбивалось из-под уплотнительного кольца втулки винта и носка коленчатого вала мотора. По этим причинам в первом же полете на испытание бомбового вооружения 9 марта штурман капитан Т. Ф. Горбунов был вынужден сбросить все бомбы залпом, неприцельно, за один заход. Для предохранения прицела от попадания масла на заводе № 240 был изготовлен специальный щиток. Установка щитка на самолет положение не улучшило – оптика забрызгивалась маслом. Прицельное бомбометание по-прежнему оставалось невозможным. В испытательном полете 19 марта со щитком из-за замасливания оптики Горбунов сбросил все бомбы аварийно. В то же время отмечалось, что работать с ОПБ-1р в боевом положении удобно, а сам прицел является наиболее подходящим для установки на Ил-АМ-42, если, конечно, «устранить забрызгивание оптики прицела маслом».</w:t>
      </w:r>
    </w:p>
    <w:p w14:paraId="1760C876" w14:textId="77777777" w:rsidR="000169CA" w:rsidRPr="007224C3" w:rsidRDefault="000169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этим причинам для бомбометания с горизонтального полета рекомендовалось использовать прицельную систему, отработанную для Ил-2: разметку и визирные штыри на бронекапоте самолета, метки и прицельные линии на лобовом и боковых бронестеклах фонаря кабины.</w:t>
      </w:r>
    </w:p>
    <w:p w14:paraId="76F71FEB" w14:textId="77777777" w:rsidR="000169CA" w:rsidRPr="007224C3" w:rsidRDefault="000169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Бомбометание с пикирования по методике ничем не отличалось от таковой на Ил-2 и в целом показало хорошие результаты вследствие лучшей устойчивости самолета при пикировании.</w:t>
      </w:r>
    </w:p>
    <w:p w14:paraId="01907E66" w14:textId="77777777" w:rsidR="000169CA" w:rsidRPr="007224C3" w:rsidRDefault="000169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Отметим, что маслом забрызгивалось и переднее бронестекло фонаря кабины пилота, что, естественно, ухудшало условия прицеливания.</w:t>
      </w:r>
    </w:p>
    <w:p w14:paraId="1F4DC4A1" w14:textId="77777777" w:rsidR="000169CA" w:rsidRPr="007224C3" w:rsidRDefault="000169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отработки стрелково-пушечного вооружения было выполнено в общей сложности 19 полетов, из них «9 полетов со стрельбой по наземным целям и 10 полетов с ВУ-8».</w:t>
      </w:r>
    </w:p>
    <w:p w14:paraId="057D2976" w14:textId="77777777" w:rsidR="000169CA" w:rsidRPr="007224C3" w:rsidRDefault="000169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Если к пушкам ВЯ и пулеметам ШКАС при стрельбе в воздухе каких-либо серьезных претензий у военных испытателей не было, то работой оборонительной установки ВУ-8 с пулеметом УБК и ее возможностями они остались недовольны.</w:t>
      </w:r>
    </w:p>
    <w:p w14:paraId="2DAC5219" w14:textId="77777777" w:rsidR="000169CA" w:rsidRPr="007224C3" w:rsidRDefault="000169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Все недостатки ВУ-8 в явном виде проявились в воздушном бою с немецким истребителем Bf109G-2, который состоялся 30 апреля. За воздушного стрелка вылетал штурман-испытатель подполковник Н. П. Цветков. Атаки выполнялись со всех возможных в реальном бою направлений. При этом на маршруте полета от Чкаловской до Ногинска «мессер» успевал выполнить до 8–9 атак, находясь всегда в задней полусфере и отворачивая всякий раз в сторону с набором высоты.</w:t>
      </w:r>
    </w:p>
    <w:p w14:paraId="46D64A15" w14:textId="77777777" w:rsidR="000169CA" w:rsidRPr="007224C3" w:rsidRDefault="000169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Оказалось, что за время одной атаки «мессершмитта» штурман успевал только развернуть установку в сторону истребителя и выставить пулемет в необходимое положение для стрельбы по нему, а на прицеливание оставалось «такое незначительное время, что точно навести прицел с требуемой поправкой на скорость цели не удалось ни разу». С одной стороны, это обуславливалось большими угловыми скоростями цели, а с другой – значительными усилиями для удерживания пулемета при прицеливании и стрельбе. Дело в том, что для выполнения грубой наводки на цель штурману приходилось одной рукой (правой) удерживать пулемет, а другой рукой (левой) – фиксировать стопор каретки установки и одновременно «доворачивать пулеметную установку на цель». После окончания грубой наводки штурман переносил левую руку на пулемет для точного прицеливания, но положение цели за это время менялось настолько, что она оказывалась за пределами углового сектора точной наводки пулемета. Требовалось вновь перемещать саму установку и выполнять точную наводку пулеметом и т. д. То есть «одной рукой довести пулемет и прицелиться невозможно».</w:t>
      </w:r>
    </w:p>
    <w:p w14:paraId="25E4E448" w14:textId="77777777" w:rsidR="000169CA" w:rsidRPr="007224C3" w:rsidRDefault="000169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Положение усугублялось еще и тем обстоятельством, что при работе с пулеметом имело место «много мелких трудноуловимых препятствий, затруднявших маневр пулеметом и установкой».</w:t>
      </w:r>
    </w:p>
    <w:p w14:paraId="59165574" w14:textId="77777777" w:rsidR="000169CA" w:rsidRPr="007224C3" w:rsidRDefault="000169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Как следует из донесения Цветкова, производить прицеливание при стрельбе вверх было крайне неудобно, так как «приходится опускаться на корточки, и получается очень напряженное, неустойчивое положение». При поворотах установки на левый борт очень трудно использовать доводочные углы пулемета, требовалось менять положение туловища относительно оружия, а поскольку прицел располагался слева от пулемета, то для прицеливания нужно было втиснуться между пулеметом и установкой. К тому же сильно мешал установленный в кабине штурмана фотоаппарат АЩАФА-2. Положение стрелка было недостаточно устойчивым – во время прицеливания и стрельбы все время приходилось подыскивать место, куда бы поставить ноги. Отсюда потеря времени на прицеливание. Практически получалось так, что обеспечить прицельный огонь с левого борта было нельзя.</w:t>
      </w:r>
    </w:p>
    <w:p w14:paraId="48D91EED" w14:textId="77777777" w:rsidR="000169CA" w:rsidRPr="007224C3" w:rsidRDefault="000169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Стрельба с незастопоренной установкой показала, что пулемет в этом случае резко уходит к правому борту, а при стрельбе с застопоренной установкой пулемет сильно трясет.</w:t>
      </w:r>
    </w:p>
    <w:p w14:paraId="4C84577E" w14:textId="77777777" w:rsidR="000169CA" w:rsidRPr="007224C3" w:rsidRDefault="000169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Ведение прицельного огня на виражах оказалось невозможным, так как пулемет прижимает вниз, а «приподнять и удержать его не хватает силы», не говоря уже о том, чтобы одновременно с этим еще и поворачивать установку в сторону цели. Во время воздушного боя на виражах истребитель легко держался в хвосте и на первом же вираже заходил строго в хвост на дистанцию открытия действительного огня 100–150 м.</w:t>
      </w:r>
    </w:p>
    <w:p w14:paraId="0C1D5E1C" w14:textId="77777777" w:rsidR="000169CA" w:rsidRPr="007224C3" w:rsidRDefault="000169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мнению подполковника Цветкова, маневренность ВУ-8 и пулемета в целом явно недостаточная для эффективного отражения атак истребителей, «в лучшем случае она может позволить сделать одну прицельную очередь, и то с недостаточной точностью прицеливания». Одновременно отмечалось, что сама установка ВУ-8 заметно лучше, чем блистерная установка БЛУБ на Су-6, и несколько лучше, чем ВУБ-3 на Ил-2.</w:t>
      </w:r>
    </w:p>
    <w:p w14:paraId="5DB009C6" w14:textId="77777777" w:rsidR="000169CA" w:rsidRPr="007224C3" w:rsidRDefault="000169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Справедливости ради следует отметить, что при всех атаках со стороны задней полусферы летчик по команде штурмана энергичным маневром успевал доворачивать самолет таким образом, чтобы штурман мог держать противника в секторе обстрела. Это до некоторой степени компенсировало ограниченность углов обстрела установки, однако не обеспечивало ведение прицельной стрельбы.</w:t>
      </w:r>
    </w:p>
    <w:p w14:paraId="4573D436" w14:textId="77777777" w:rsidR="000169CA" w:rsidRPr="007224C3" w:rsidRDefault="000169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отражении атак истребителя со стороны солнца выявилась еще одна интересная особенность ВУ-8 – плексиглас козырька установки слепил штурмана еще больше, чем солнце, вследствие чего прицеливаться было невозможно.</w:t>
      </w:r>
    </w:p>
    <w:p w14:paraId="07A0E8F2" w14:textId="77777777" w:rsidR="000169CA" w:rsidRPr="007224C3" w:rsidRDefault="000169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Кроме этого, переговорное устройство штурмана и летчика работало неудовлетворительно: «… сильный треск и шум не давали разговаривать, переключатель абонентской коробки во время боя несколько раз самопроизвольно переключался в положение РС или РК, что нарушало связь с летчиком».</w:t>
      </w:r>
    </w:p>
    <w:p w14:paraId="431550C6" w14:textId="77777777" w:rsidR="000169CA" w:rsidRPr="007224C3" w:rsidRDefault="000169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Серьезными недостатками ВУ-8 считались небольшая емкость магазина пулемета УБК и большое время его смены. Полсотни патронов в магазине оказалось недостаточно для отражения даже одной атаки истребителя. В то же время на его замену уходило около одной минуты, что было совершенно неприемлемым для реальных условий боя. В отчете указывалось, что за счет некоторых конструктивных улучшений можно сократить время смены магазина до 45–50 секунд, но все равно оно оставалось большим.</w:t>
      </w:r>
    </w:p>
    <w:p w14:paraId="23C89300" w14:textId="77777777" w:rsidR="000169CA" w:rsidRPr="007224C3" w:rsidRDefault="000169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сравнению с ранее принятыми подобными установками преимуществ не имеет, за исключением того, что защищает стрелка от задувания», – констатировал подполковник Цветков после проведенного им воздушного боя с немецким истребителем.</w:t>
      </w:r>
    </w:p>
    <w:p w14:paraId="60BC1D06" w14:textId="77777777" w:rsidR="000169CA" w:rsidRPr="007224C3" w:rsidRDefault="000169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выводах отчета предлагалось увеличить углы обстрела вверх и по горизонту и емкость магазина, хотя бы до 75 патронов, а также «отработать механизм, компенсирующий вес пулемета и магазина».</w:t>
      </w:r>
    </w:p>
    <w:p w14:paraId="2BB24799" w14:textId="77777777" w:rsidR="000169CA" w:rsidRPr="007224C3" w:rsidRDefault="000169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Предъявлялись претензии и к спецоборудованию самолета. В частности, отмечалась плохая конструктивная проработка экранировки системы зажигания мотора, вследствие чего «уровень помех радиоприема вырастает до недопустимых величин». Схема коммутации средств радио- и внутрисамолетной связи не учитывала особенности работы экипажа на данном самолете – «летчик и штурман совмещают лишние функции».</w:t>
      </w:r>
    </w:p>
    <w:p w14:paraId="717178F1" w14:textId="77777777" w:rsidR="000169CA" w:rsidRPr="007224C3" w:rsidRDefault="000169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Несмотря на столь обширный перечень дефектов и недостатков Ил-АМ-42, в заключении акта по испытаниям самолет был рекомендован к запуску в серийное производство в вариантах штурмовика-бомбардировщика и разведчика-корректировщика.</w:t>
      </w:r>
    </w:p>
    <w:p w14:paraId="2939B6E1" w14:textId="77777777" w:rsidR="000169CA" w:rsidRPr="007224C3" w:rsidRDefault="000169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целью выявления боевых качеств Ил-АМ-42 предлагалось «выпустить войсковую серию этих самолетов». Причем когда акт подписывал начальник НИИ ВВС генерал-лейтенант П. А. Лосюков, то он собственноручно дописал к этому пункту документа: «…даже с 50 час. ресурсом АМ-42 (если не успеют моторы со 100 час. ресурсом)».</w:t>
      </w:r>
    </w:p>
    <w:p w14:paraId="26299CFF" w14:textId="77777777" w:rsidR="000169CA" w:rsidRPr="007224C3" w:rsidRDefault="000169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Военные специалисты считали необходимым «просить Наркома авиапромышленности тов. Шахурина А. И. дать задания: а) Главному конструктору мотора АМ-42 тов. Микулину А. А. довести опытный мотор до состояния пригодного к нормальной эксплуатации. б) Главному конструктору самолета Ил с АМ-42 тов. Ильюшину С. В. до запуска в серийное производство устранить дефекты, отмеченные в выводах…»</w:t>
      </w:r>
    </w:p>
    <w:p w14:paraId="2578B283" w14:textId="77777777" w:rsidR="000169CA" w:rsidRPr="007224C3" w:rsidRDefault="000169C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Что касается установки на самолет кассет ДАГ-10 и крупнокалиберных пушек 11П, а также величины бомбовой нагрузки с этими пушками, то решение планировалось принять после проведения испытаний 2-го экземпляра самолета Ил-АМ-42 (17490).</w:t>
      </w:r>
    </w:p>
    <w:p w14:paraId="22651732" w14:textId="77777777" w:rsidR="000169CA" w:rsidRPr="007224C3" w:rsidRDefault="000169CA" w:rsidP="007224C3">
      <w:pPr>
        <w:spacing w:after="0" w:line="240" w:lineRule="auto"/>
        <w:jc w:val="both"/>
        <w:rPr>
          <w:rFonts w:ascii="Times New Roman" w:hAnsi="Times New Roman"/>
          <w:color w:val="000000" w:themeColor="text1"/>
          <w:sz w:val="16"/>
          <w:szCs w:val="16"/>
        </w:rPr>
      </w:pPr>
    </w:p>
    <w:p w14:paraId="721862A1" w14:textId="77777777" w:rsidR="00BD409E" w:rsidRPr="007224C3" w:rsidRDefault="00BD409E"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 xml:space="preserve">29 февраля 1944 в НИИ ВВС начались госиспытания опытного двухместного самолета Ил с мотором АМ-42 и винтом АВ-5Л-18Б конструкции С.В. Ильюшина (экземпляр № 1, производства завода № 240), который прибыл на испытания 26 февраля 1944 года. Мартовская погода растянула испытания «тяжелого» «Ила» до конца месяца, тем временем завод № 18 закончил свою часть работы по «легкому» штурмовику. 10 марта 1944 года двухместный вариант Ил-1 в сопровождении заводской бригады отправили в Москву на авиазавод № 240 для дальнейшей доводки и проведения испытаний. Это уже был не истребитель Ил-1, но и ставший впоследствии привычным облик Ил10, как в экстерьере, так и конструктивно новый самолет еще до конца не обрел. На тот момент машина представляла собой уникальный двухместныйИл-1, взлететь которому так и не пришлось. Главным отличием этого самолета была задняя стрелковая установка, которая вписалась в фюзеляж почти без изменения его обводов. По бокам и снизу ее прикрыли листами брони в 5 и 6 мм толщиной. Задний бронепакет пилотской кабины «разрезали» с небольшим припуском, и нижнюю часть поместили позади стрелка, причем, выше фюзеляжа никакой защиты не предусматривалось. Общий «привес» брони составил 167 кг. Задняя стрелковая установка была прикрыта полусферическим колпаком по типу установок МВ-3 или УТК. К сожалению, найти детальную информацию по ней пока не удалось. Для обеспечения плавного перехода от створки фонаря пилота к колпаку турели высотуфонаря увеличили примерно на 9 сантиметров, при этом левая боковая панель створки пилота стала откидываться налево, а остальная часть – направо. По бокам турель все же выступала за обводы фонаря. В комплект вооружения вошли два ШКАСа в крыле с общим боекомплектом 1500 патронов, а также бомбардировочная оснастка в виде двух бомбоотсеков в центроплане и двух точек наружной подвески. Ракетное оружие не устанавливалось. Вес пустого самолета составлял 4673 кг – по сравнению с одноместным вариантом второй Ил-1 потяжелел на 388 кг. Появление стрелка на самолете сдвинуло центр тяжести всего на 18 сантиметров, однако для сохранения приемлемого диапазона центровок среднюю аэродинамическую хорду крыла пришлось подвинуть назад примерно на такую же величину. Это было сделано отработанным на Ил-2 приемом – консолям крыла придали небольшую стреловидность. По передней кромке она составила 12 градусов 7 минут. Немного изменили наклон осей основных стоек шасси, чтобы противокапотажный угол оставался в разумных пределах. В Москве на заводе № 240 самолет подвергли целому ряду доработок. По предложению НИИ ВВС оптимизировали расположение и толщину бронепанелей. В частности установили дюралевые листы в верхней наименее поражаемой части капота мотора. На основе полученного в ходе доводки тяжелого Ила с АМ-42 доработали систему охлаждения. К водо- и маслорадиатору воздух теперь поступал по профилированным тоннелям. Аэродинамическое сопротивление турели посчитали чрезмерным и заменили ее установкой ВУ-7 с опытной пушкой Ш-20 калибра 20 мм. Эта установка была конструктивно подобна турели ВУ-8 с пулеметом УБК, успешно испытанной на «тяжелом» Ил №1 с АМ-42. Мидель фюзеляжа удалось снизить до 1,54 кв. м (у одноместного Ил-1 этот параметр составлял 1,5 кв. м). После доработок взлетный вес самолета вырос с 6100 до 6300 килограмм. Забегая вперед стоит заметить, что при запуске в серию пушку Шпитального постановлением ГКО заменили пулеметом Березина, и первые серийные Ил-10 строили с установкой ВУ-8. ВУ-9 с пушкой Б-20 начали монтировать позднее. 30 марта 1944 г. в НИИ ВВС с общим налетом 19 часов 30 минут в 44 полетах успешно завершились госиспытания опытного двухместного «тяжелого» «Ил» № 1 с мотором АМ42 и винтом АВ-5Л-18Б конструкции С.В. Ильюшина (экземпляр № 1, производство завода № 240 мая 1943 года). Самолет был рекомендован в серию в двух вариантах, однако моторов, пригодных к установке на этой самой серии, по сути, так и не было. Более того, по предложению наркома авиапромышленности А.И. Шахурина, И.В. Сталин, постановлением ГКО № 5525с от 3 апреля освободил Александра Александровича Микулина от обязанностей Главного конструктора завода № 24 в Куйбышеве. Этот пост занял Михаил Романович Флисский, которому и предстояло спасать АМ-42. Завод № 18 неспешно (по меркам того времени) приступил к освоению производства штурмовика Ил-8 или изделия «М» по внутризаводскому шифру. Однако этим планам не </w:t>
      </w:r>
      <w:r w:rsidRPr="007224C3">
        <w:rPr>
          <w:rFonts w:ascii="Times New Roman" w:hAnsi="Times New Roman"/>
          <w:color w:val="0070C0"/>
          <w:sz w:val="16"/>
          <w:szCs w:val="16"/>
        </w:rPr>
        <w:lastRenderedPageBreak/>
        <w:t>суждено было сбыться. Во второй половине апреля Сергей Владимирович Ильюшин завершил «операцию прикрытия». Двухместный вариант самолета Ил-1 после выполнения комплекса доработок на заводе № 240 получил (сначала полуофициально) новое наименование – Ил-10. События стали развиваться в ускоренном темпе. 18 апреля Владимир Константинович Коккинаки выполнил на новой машине первый вылет, а уже 27 мая с положительной оценкой завершились государственные испытания в НИИ ВВС. За следующие два месяца была проделана огромная работа по организации, планированиюи подготовке производстваИл-10 (21005)</w:t>
      </w:r>
    </w:p>
    <w:p w14:paraId="2C8CBBD1" w14:textId="77777777" w:rsidR="00BD409E" w:rsidRPr="007224C3" w:rsidRDefault="00BD409E" w:rsidP="007224C3">
      <w:pPr>
        <w:spacing w:after="0" w:line="240" w:lineRule="auto"/>
        <w:jc w:val="both"/>
        <w:rPr>
          <w:rFonts w:ascii="Times New Roman" w:hAnsi="Times New Roman"/>
          <w:color w:val="0070C0"/>
          <w:sz w:val="16"/>
          <w:szCs w:val="16"/>
        </w:rPr>
      </w:pPr>
    </w:p>
    <w:p w14:paraId="1B37973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февраля 1944 2Д МиГ выполнил первые 2 полета в рамках гос. испытаний в НИИ ВВС и выполнил 6 полетов, пока 8 марта не потерпел аварию при посадке (992,13).</w:t>
      </w:r>
    </w:p>
    <w:p w14:paraId="3EB08F0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6B603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февраля 1944 согласно журнала наблюдения за проектированием, постройкой и испытаниями МиГ-3 от 29 февраля 1944 на изд. 2Д произведено три полета, а всего с мотором № 016 произведено 17 полетов. В этот день полет на определение максимальной скорости не выполнен из-за выбивания масла из носка вала редуктора (992,12).</w:t>
      </w:r>
    </w:p>
    <w:p w14:paraId="3057476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1F5ABB9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февраля 1944 вышел отчет о гос. испытаниях У-2 Лимузина 3-й воздушной армии, изготовленного по проекту Н.Н.П. в 204 стационарных мастерских 3 ВА вед. инженером А.В.Синельниковым (1076,721).</w:t>
      </w:r>
    </w:p>
    <w:p w14:paraId="76DC72A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26DA0B"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2787912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6D8E8CE" w14:textId="77777777" w:rsidR="00046E0B" w:rsidRPr="007224C3" w:rsidRDefault="00046E0B" w:rsidP="007224C3">
      <w:pPr>
        <w:pStyle w:val="ae"/>
        <w:spacing w:before="0" w:after="0"/>
        <w:jc w:val="both"/>
        <w:textAlignment w:val="baseline"/>
        <w:rPr>
          <w:color w:val="000000" w:themeColor="text1"/>
          <w:sz w:val="16"/>
          <w:szCs w:val="16"/>
        </w:rPr>
      </w:pPr>
      <w:r w:rsidRPr="007224C3">
        <w:rPr>
          <w:color w:val="000000" w:themeColor="text1"/>
          <w:sz w:val="16"/>
          <w:szCs w:val="16"/>
        </w:rPr>
        <w:t>29 февраля 1944 Малышев по указанию Сталина подготовил проект постановления ГКО «Об организации производства средних танков Т-44 на заводе №183 Наркомтанкопрома». Согласно постановлению, первые 25 танков нового типа выпускались на заводе №183 в мае 1944 года, в июне их число вырастало до 50, в июле – до 150, в августе – до 300, в сентябре – до 500, в октябре – до 650 штук. Выпуск Т-34-85 при этом постепенно сокращался, а с сентября 1944 года прекращался полностью. Впрочем, ввиду выявившихся проблем с испытаниями опытных Т-44 постановление так и не было подписано. Сам завод №183 неоднократно выступал за организацию выпуска Т-44 на своих мощностях, но этого так и не случилось (19047).</w:t>
      </w:r>
    </w:p>
    <w:p w14:paraId="1A67EA93" w14:textId="77777777" w:rsidR="00046E0B" w:rsidRPr="007224C3" w:rsidRDefault="00046E0B" w:rsidP="007224C3">
      <w:pPr>
        <w:pStyle w:val="ae"/>
        <w:spacing w:before="0" w:after="0"/>
        <w:jc w:val="both"/>
        <w:textAlignment w:val="baseline"/>
        <w:rPr>
          <w:color w:val="000000" w:themeColor="text1"/>
          <w:sz w:val="16"/>
          <w:szCs w:val="16"/>
        </w:rPr>
      </w:pPr>
    </w:p>
    <w:p w14:paraId="1F9EC4A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февраля 1944 года П. Паршин писал письмо № А-3-2170/9 в Совнарком Молотову В.М.</w:t>
      </w:r>
    </w:p>
    <w:p w14:paraId="28EBC7F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НКВМ просит передать в его систему строительство бывш. завода № 304 НКВ в Рязани для организации на нем производства дорожных и строительных машин.</w:t>
      </w:r>
    </w:p>
    <w:p w14:paraId="7862FB2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Принципиальное согласие на передачу со стороны НКВ (Устинова) получено (9281).</w:t>
      </w:r>
    </w:p>
    <w:p w14:paraId="084A491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E287C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29 февраля 1944 года вышел приказ № 102, 7 ноября 1943 года вышел приказ № 404 и 29 сентября 1943 года вышел приказ № 321 и во исполнение Постановление СНК № 941 от 1 сентября 1943 года согласно которым проектировался Часовой завод № 5 в Сердобске Пензенской области </w:t>
      </w:r>
    </w:p>
    <w:p w14:paraId="217F3B9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Первоначальное назначение завода – выпуск миниатюрных будильников типа Юнгана и настольных часов.</w:t>
      </w:r>
    </w:p>
    <w:p w14:paraId="291D5A4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связи с приказом НКВМ № 102 от 29 февраля 1944 года проектирование было приостановлено.</w:t>
      </w:r>
    </w:p>
    <w:p w14:paraId="661D5AD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Здания и сооружения под часовой завод, приспособленные для пуска первой очереди из зданий, в которых размещались НКВД, НКГБ и Райвоенкомат Сердобска. К организации завода на месте приступили в январе 1944 года (10425).</w:t>
      </w:r>
    </w:p>
    <w:p w14:paraId="0F33C0E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4F7C37F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февраля 1944 г. по пр. № 102 производство часов-ходиков и оборудование с завода (Завод №835 НКМВ, 5 -й часовой завод НКМВ, Чистопольский часовой завод (ЧЧЗ) ММиП, МРП, ПО «Восток», АП, АООТ, ОАО «ЧЧЗ «Восток» /г. Чистополь ул. К. Маркса, 15 «Часзавод» (1948г.)/ /Татарстан 422981 г. Чистополь ул. Энгельса, 127/ /Московское представительство: г. Москва ул. Клары Цеткин, 2/3/) было передано на ГЧЗ-5 (Сердобский часовой завод).</w:t>
      </w:r>
    </w:p>
    <w:p w14:paraId="6B7C7EC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1947-48г. Чистопольский часовой завод - в ведении Главчаспрома ММиП.</w:t>
      </w:r>
    </w:p>
    <w:p w14:paraId="2217CBD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составе предприятия (1947г.) цехи: основные: автоматный, прессовый, механический (К-43), механо</w:t>
      </w:r>
      <w:r w:rsidRPr="007224C3">
        <w:rPr>
          <w:rFonts w:ascii="Times New Roman" w:hAnsi="Times New Roman"/>
          <w:color w:val="000000" w:themeColor="text1"/>
          <w:sz w:val="16"/>
          <w:szCs w:val="16"/>
        </w:rPr>
        <w:softHyphen/>
        <w:t>сборочный спецприборов, гальванический, сборочный электрочасов, механо-сборочный электрочасов, инструментальный, сборочный (К-43), ремонтно-механический, платино-мостовой, деревообделочный, корпусной; вспомогательные: ремонтно-строительный, энергетический, котельные.</w:t>
      </w:r>
    </w:p>
    <w:p w14:paraId="05F4D30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Сразу после войны освоен выпуск механических наручных часов, которые стали основной продукцией завода. В начале 1950-х г. разработаны часы «Победа» в пылевлагонепроницаемом корпусе (В.П. Дудин). В 1965г. разработаны часы «Командирские», завод стал официальным поставщиком часов для МО.</w:t>
      </w:r>
    </w:p>
    <w:p w14:paraId="1C4F683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Затем завод частично перепрофилирован для производства высокоточных компонентов антенных станций. 15.01.1970г. ЧЧЗ вошел в состав ЦНПО «Вымпел».</w:t>
      </w:r>
      <w:r w:rsidRPr="007224C3">
        <w:rPr>
          <w:rFonts w:ascii="Times New Roman" w:hAnsi="Times New Roman"/>
          <w:color w:val="000000" w:themeColor="text1"/>
          <w:sz w:val="16"/>
          <w:szCs w:val="16"/>
          <w:vertAlign w:val="superscript"/>
        </w:rPr>
        <w:t>1</w:t>
      </w:r>
      <w:r w:rsidRPr="007224C3">
        <w:rPr>
          <w:rFonts w:ascii="Times New Roman" w:hAnsi="Times New Roman"/>
          <w:color w:val="000000" w:themeColor="text1"/>
          <w:sz w:val="16"/>
          <w:szCs w:val="16"/>
        </w:rPr>
        <w:t>® С 1986г. ЧЧЗ - в ведении МРП.</w:t>
      </w:r>
    </w:p>
    <w:p w14:paraId="2D5CD45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2000-х г. завод выпускал около 1 млн часов в год. В 2007г. планировалось организовать совместное производство кварцевых часов с швейцарской фирмой Techno Time мощностью 1,5 млн часов в год, но это не было реализовано. Являлся (2010г.) одним из двух часовых заводов полного цикла в России (наряду с заводом «Мак-Тайм»).</w:t>
      </w:r>
    </w:p>
    <w:p w14:paraId="5D4A5AA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04.2010г. начата процедура банкротства предприятия.</w:t>
      </w:r>
    </w:p>
    <w:p w14:paraId="0884A51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Количество оборудования: (1946г.)- 923 ед., (1947г.)- 1118 ед.</w:t>
      </w:r>
    </w:p>
    <w:p w14:paraId="63BE36D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Площадь: территории (1947г.)- 5,34 га; застройки (1947г.)- 16702 м</w:t>
      </w:r>
      <w:r w:rsidRPr="007224C3">
        <w:rPr>
          <w:rFonts w:ascii="Times New Roman" w:hAnsi="Times New Roman"/>
          <w:color w:val="000000" w:themeColor="text1"/>
          <w:sz w:val="16"/>
          <w:szCs w:val="16"/>
          <w:vertAlign w:val="superscript"/>
        </w:rPr>
        <w:t>2</w:t>
      </w:r>
      <w:r w:rsidRPr="007224C3">
        <w:rPr>
          <w:rFonts w:ascii="Times New Roman" w:hAnsi="Times New Roman"/>
          <w:color w:val="000000" w:themeColor="text1"/>
          <w:sz w:val="16"/>
          <w:szCs w:val="16"/>
        </w:rPr>
        <w:t>; производственная (1946г.)-</w:t>
      </w:r>
    </w:p>
    <w:p w14:paraId="134A23D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11558 м</w:t>
      </w:r>
      <w:r w:rsidRPr="007224C3">
        <w:rPr>
          <w:rFonts w:ascii="Times New Roman" w:hAnsi="Times New Roman"/>
          <w:color w:val="000000" w:themeColor="text1"/>
          <w:sz w:val="16"/>
          <w:szCs w:val="16"/>
          <w:vertAlign w:val="superscript"/>
        </w:rPr>
        <w:t>2</w:t>
      </w:r>
      <w:r w:rsidRPr="007224C3">
        <w:rPr>
          <w:rFonts w:ascii="Times New Roman" w:hAnsi="Times New Roman"/>
          <w:color w:val="000000" w:themeColor="text1"/>
          <w:sz w:val="16"/>
          <w:szCs w:val="16"/>
        </w:rPr>
        <w:t>, (1947г.)- 12717 м</w:t>
      </w:r>
      <w:r w:rsidRPr="007224C3">
        <w:rPr>
          <w:rFonts w:ascii="Times New Roman" w:hAnsi="Times New Roman"/>
          <w:color w:val="000000" w:themeColor="text1"/>
          <w:sz w:val="16"/>
          <w:szCs w:val="16"/>
          <w:vertAlign w:val="superscript"/>
        </w:rPr>
        <w:t>2</w:t>
      </w:r>
      <w:r w:rsidRPr="007224C3">
        <w:rPr>
          <w:rFonts w:ascii="Times New Roman" w:hAnsi="Times New Roman"/>
          <w:color w:val="000000" w:themeColor="text1"/>
          <w:sz w:val="16"/>
          <w:szCs w:val="16"/>
        </w:rPr>
        <w:t>.</w:t>
      </w:r>
    </w:p>
    <w:p w14:paraId="1E4D5A6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Численность персонала: (1946г.)- 2124 чел., (1947г.)- 2112 чел.</w:t>
      </w:r>
    </w:p>
    <w:p w14:paraId="1892DC5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(-06.1942-48Г.-)- Лукьянов, (1986г.-)- В.В. Цивилин. Гендиректор (04.2010г.)- Е. Пухов. Временный управляющий (04.2010г.-)- А. Волков.</w:t>
      </w:r>
    </w:p>
    <w:p w14:paraId="551BE02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инженер (1948г.)- Григорьев.</w:t>
      </w:r>
    </w:p>
    <w:p w14:paraId="29731D3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механик (1950-е)- В.П. Дудин.</w:t>
      </w:r>
    </w:p>
    <w:p w14:paraId="4035D50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Руководитель Московского представительства (2000г.)- Е.П. Сидоров.</w:t>
      </w:r>
    </w:p>
    <w:p w14:paraId="6C39360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iCs/>
          <w:color w:val="000000" w:themeColor="text1"/>
          <w:sz w:val="16"/>
          <w:szCs w:val="16"/>
        </w:rPr>
        <w:t>Производство: часы:</w:t>
      </w:r>
      <w:r w:rsidRPr="007224C3">
        <w:rPr>
          <w:rFonts w:ascii="Times New Roman" w:hAnsi="Times New Roman"/>
          <w:color w:val="000000" w:themeColor="text1"/>
          <w:sz w:val="16"/>
          <w:szCs w:val="16"/>
        </w:rPr>
        <w:t xml:space="preserve"> карманные КЧ (1947); наручные РЧД (1947), «Победа» (1950-е), «Командирские» (1965- ), «Генеральские», «Восток», «Амфибия», «Штурманские» (1990-е); морские МЧМ, МЧД (1947); автомобильные электрочасы 5ЧТ (1947); танковые ТЧ (1947); пульсомер К-43 к прибору ПАУ-22; часовые механизмы для специзделий 13А, РР-45, РР-19, 509 (ЯМД); механизм срочности МС (1947).</w:t>
      </w:r>
      <w:r w:rsidRPr="007224C3">
        <w:rPr>
          <w:rFonts w:ascii="Times New Roman" w:hAnsi="Times New Roman"/>
          <w:color w:val="000000" w:themeColor="text1"/>
          <w:sz w:val="16"/>
          <w:szCs w:val="16"/>
          <w:vertAlign w:val="superscript"/>
        </w:rPr>
        <w:t>129</w:t>
      </w:r>
    </w:p>
    <w:p w14:paraId="69DB240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Чистопольское конструкторско-технологическое бюро (КТБ)</w:t>
      </w:r>
    </w:p>
    <w:p w14:paraId="170301D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15.01.1970г. вошло в состав ЦНПО «Вымпел» (11982).</w:t>
      </w:r>
      <w:r w:rsidRPr="007224C3">
        <w:rPr>
          <w:rFonts w:ascii="Times New Roman" w:hAnsi="Times New Roman"/>
          <w:color w:val="000000" w:themeColor="text1"/>
          <w:sz w:val="16"/>
          <w:szCs w:val="16"/>
          <w:vertAlign w:val="superscript"/>
        </w:rPr>
        <w:t>104</w:t>
      </w:r>
    </w:p>
    <w:p w14:paraId="696A0C9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2470D56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февраля 1944 На Балтийском заводе заложены 17-й и 18-й стотонники. В постройке находился 21 ТЩ; 3 достраивались на плаву, 12 - на стапелях, для 6 изготовлялись секции и обрабатывался металл. Заложен один БМО (10671). На всех судостроительных заводах продолжались работы по постройке и ремонту кораблей. В ремонте находились линкор "Октябрьская революция", крейсеры "Киров" и "Максим Горький", лидеры "Минск" и "Ленинград"; 7 эсминцев ("Сторожевой", "Грозящий", "Вице-адмирал Дрозд", "Свирепый".и др.), 14 ПЛ (гарантийные работы на К-56, Л-21; аварийный ремонт на С-4, П-2, П-3 и др.), 49 КТЩ типа КМ-4, 5 БК, 6 МБК, 6 БМО, 20 ТК типа Д-3 и другие. Ждановцы закончили ремонт эсминцев "Строгий" и "Стройный" (10671).</w:t>
      </w:r>
    </w:p>
    <w:p w14:paraId="17B7387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6AFD1C18"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0B2BA4C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45D3B0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29-го февраля 1944 своей второй победы добился старший лейтенант А.З.Большаков. Ему удалось атаковать небольшое одиночное судно севернее мыса Тахкуна. Подтверждений не на одну из атак нет. Тем не менее, противник серьезно обеспокоился началом нового наступления на свои коммуникации и предпринял эффективные меры противодействия, из которых в первую очередь необходимо отметить патрулирование ночных истребителей с РЛС в районе Таллинна (9965).</w:t>
      </w:r>
    </w:p>
    <w:p w14:paraId="27AEB2D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740EE100"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7224C3">
        <w:rPr>
          <w:rFonts w:ascii="Times New Roman" w:hAnsi="Times New Roman"/>
          <w:i/>
          <w:iCs/>
          <w:color w:val="000000" w:themeColor="text1"/>
          <w:sz w:val="16"/>
          <w:szCs w:val="16"/>
        </w:rPr>
        <w:t>За</w:t>
      </w:r>
      <w:r w:rsidRPr="007224C3">
        <w:rPr>
          <w:rFonts w:ascii="Times New Roman" w:hAnsi="Times New Roman"/>
          <w:i/>
          <w:iCs/>
          <w:color w:val="000000" w:themeColor="text1"/>
          <w:sz w:val="16"/>
          <w:szCs w:val="16"/>
          <w:lang w:val="en-US"/>
        </w:rPr>
        <w:t xml:space="preserve"> </w:t>
      </w:r>
      <w:r w:rsidRPr="007224C3">
        <w:rPr>
          <w:rFonts w:ascii="Times New Roman" w:hAnsi="Times New Roman"/>
          <w:i/>
          <w:iCs/>
          <w:color w:val="000000" w:themeColor="text1"/>
          <w:sz w:val="16"/>
          <w:szCs w:val="16"/>
        </w:rPr>
        <w:t>рубежом</w:t>
      </w:r>
      <w:r w:rsidRPr="007224C3">
        <w:rPr>
          <w:rFonts w:ascii="Times New Roman" w:hAnsi="Times New Roman"/>
          <w:i/>
          <w:iCs/>
          <w:color w:val="000000" w:themeColor="text1"/>
          <w:sz w:val="16"/>
          <w:szCs w:val="16"/>
          <w:lang w:val="en-US"/>
        </w:rPr>
        <w:t>:</w:t>
      </w:r>
    </w:p>
    <w:p w14:paraId="79DABE7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7FF90F48" w14:textId="77777777" w:rsidR="00BD409E" w:rsidRPr="007224C3" w:rsidRDefault="00BD409E"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К 29 февраля 1944 за месяц самолеты седьмой армии ВВС США сделали около 1000 боевых вылетов против японских войск на Jaluit, Малоэлап, Wotje и Науру. Японские самолеты их не перехватили, но японские зенитные орудия сбили семь бомбардировщиков и два истребителя (20373).</w:t>
      </w:r>
    </w:p>
    <w:p w14:paraId="10CC2DED" w14:textId="77777777" w:rsidR="00BD409E" w:rsidRPr="007224C3" w:rsidRDefault="00BD409E" w:rsidP="007224C3">
      <w:pPr>
        <w:spacing w:after="0" w:line="240" w:lineRule="auto"/>
        <w:jc w:val="both"/>
        <w:rPr>
          <w:rFonts w:ascii="Times New Roman" w:hAnsi="Times New Roman"/>
          <w:color w:val="0070C0"/>
          <w:sz w:val="16"/>
          <w:szCs w:val="16"/>
        </w:rPr>
      </w:pPr>
    </w:p>
    <w:p w14:paraId="040A9ED0" w14:textId="77777777" w:rsidR="00BD409E" w:rsidRPr="007224C3" w:rsidRDefault="00BD409E" w:rsidP="007224C3">
      <w:pPr>
        <w:spacing w:after="0" w:line="240" w:lineRule="auto"/>
        <w:jc w:val="both"/>
        <w:rPr>
          <w:rFonts w:ascii="Times New Roman" w:hAnsi="Times New Roman"/>
          <w:color w:val="0070C0"/>
          <w:sz w:val="16"/>
          <w:szCs w:val="16"/>
          <w:lang w:val="en-US"/>
        </w:rPr>
      </w:pPr>
      <w:r w:rsidRPr="007224C3">
        <w:rPr>
          <w:rFonts w:ascii="Times New Roman" w:hAnsi="Times New Roman"/>
          <w:color w:val="0070C0"/>
          <w:sz w:val="16"/>
          <w:szCs w:val="16"/>
        </w:rPr>
        <w:t>29 февраля 1944 в рамках программы «дезинформации» был опубликован специальный четырехстраничный пропагандистский буклет под названием «Штерненбаннер» который вскоре используется для того, чтобы заставить командование Люфтваффе думать, что «американский бомбардировщик с размахом крыльев 47 метров» скоро будет использовался для нападения на нацистскую Германию</w:t>
      </w:r>
      <w:r w:rsidRPr="007224C3">
        <w:rPr>
          <w:rFonts w:ascii="Times New Roman" w:hAnsi="Times New Roman"/>
          <w:color w:val="0070C0"/>
          <w:sz w:val="16"/>
          <w:szCs w:val="16"/>
          <w:lang w:val="en-US"/>
        </w:rPr>
        <w:t xml:space="preserve"> (20373).</w:t>
      </w:r>
    </w:p>
    <w:p w14:paraId="267B5081" w14:textId="77777777" w:rsidR="00BD409E" w:rsidRPr="007224C3" w:rsidRDefault="00BD409E" w:rsidP="007224C3">
      <w:pPr>
        <w:spacing w:after="0" w:line="240" w:lineRule="auto"/>
        <w:jc w:val="both"/>
        <w:rPr>
          <w:rFonts w:ascii="Times New Roman" w:hAnsi="Times New Roman"/>
          <w:color w:val="0070C0"/>
          <w:sz w:val="16"/>
          <w:szCs w:val="16"/>
          <w:lang w:val="en-US"/>
        </w:rPr>
      </w:pPr>
    </w:p>
    <w:p w14:paraId="57CA235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February 29, 1944: In Italy, another German counterattack against the US Fifth Army's bridgehead at Anzio is repulsed (3819).</w:t>
      </w:r>
    </w:p>
    <w:p w14:paraId="00BB86E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533C0E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29 февраля 1944 5А США отбила еще одну контратаку у Анцио (3819).</w:t>
      </w:r>
    </w:p>
    <w:p w14:paraId="1D7D695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3E1B4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февраля 1944 войска США начали высадку на островах Адмиралтейства Архипелага Бисмарка в Южной части Тихого океана (2247,2).</w:t>
      </w:r>
    </w:p>
    <w:p w14:paraId="3CA8987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EDFB9A"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06DA0BC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6029A0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конце февраля 1944 г. в очередной сводке военпреда отдела главного конструктора (ОГК) завода № 21 инженер-капитана В.Р. Ефремова отмечалось, что в ОГК осуществляется разработка проекта истребителя Ла-ВРД с газотурбинным ВРД конструкции А.М. Люлька со статической тягой 1250 кгc. Разработкой самолета руководил, по-видимому, С.М. Алексеев. Он выбрал двухбалочную схему с цельнометаллическим однолонжеронным крылом ламинарного профиля ЦАГИ. Двигатель Ла-ВРД устанавливался под крылом в фюзеляже-гондоле позади герметичной кабины летчика. Шасси спроектировали трехопорным, причем передняя стойка убиралась назад за бронеспинку летчика, а основные - также поворотом назад в сочленения балок с крылом. Вооружение располагалось в балках и включало две пушки НС-23 с общим запасом 120 снарядов. Взлетная масса машины по проекту составляла 3300 кг, а полезная нагрузка - 910 кг. Крыло с относительно небольшой площадью 15,5 м2 имело удлинение 5,85. Схема самолета была утверждена С.М. Лавочкиным и согласована с ЦАГИ. Расчетные летные данные самолета были следующими: максимальная скорость полёта у земли - 890 км/ч, на высоте 5000 м - 850 км/ч, время набора высоты 5000 м - 2,5 мин, а практический потолок - 15 000 м. Посадочная скорость ожидалась на уровне 140 км/ч. Отметим, что так же, как у Гу-ВРД, расчетные летные данные в основном были вполне реальными. Однако в металле и этот проект реализован не был (9018).</w:t>
      </w:r>
    </w:p>
    <w:p w14:paraId="5CDCA68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ECB5A7" w14:textId="77777777" w:rsidR="00046E0B" w:rsidRPr="007224C3" w:rsidRDefault="00046E0B" w:rsidP="007224C3">
      <w:pPr>
        <w:pStyle w:val="ae"/>
        <w:shd w:val="clear" w:color="auto" w:fill="FFFFFF"/>
        <w:spacing w:before="0" w:after="0"/>
        <w:jc w:val="both"/>
        <w:rPr>
          <w:color w:val="000000" w:themeColor="text1"/>
          <w:sz w:val="16"/>
          <w:szCs w:val="16"/>
        </w:rPr>
      </w:pPr>
      <w:r w:rsidRPr="007224C3">
        <w:rPr>
          <w:color w:val="000000" w:themeColor="text1"/>
          <w:sz w:val="16"/>
          <w:szCs w:val="16"/>
        </w:rPr>
        <w:t>В конце февра ля 1944 г. в очередной сводке военпреда при ОКБ завода № 21 инженер-капитана В.Р. Ефремова сообщалось, что в ОКБ осуществляется разработка проекта истребителя Ла-ВРД с ТРД Люльки со статической тягой 1250 кгс. В.Р. Ефремов отмечал только, что не решен вопрос о приемис тости двигателя A.M. Люльки. Тем не менее было принято решение о постройке этого самолета с передачей первого эк земпляра на летные испытания к 1 марта 1946 г. К 1 ноября 1944 г. был закончен эскизный проект, но по независящим от его создателей причинам Ла-ВРД тоже не пошел в производ ство. В результате начало серьезного развертывания работ по созданию турбореактивных самолетов в России было задержа но на полтора-два года. Машина создавалась в московском филиале ОКБ под ру ководством С.А. Алексеева, установившим с двигателистами тесные контакты (19586).</w:t>
      </w:r>
    </w:p>
    <w:p w14:paraId="6F0174C6" w14:textId="77777777" w:rsidR="00046E0B" w:rsidRPr="007224C3" w:rsidRDefault="00046E0B" w:rsidP="007224C3">
      <w:pPr>
        <w:pStyle w:val="ae"/>
        <w:shd w:val="clear" w:color="auto" w:fill="FFFFFF"/>
        <w:spacing w:before="0" w:after="0"/>
        <w:jc w:val="both"/>
        <w:rPr>
          <w:color w:val="000000" w:themeColor="text1"/>
          <w:sz w:val="16"/>
          <w:szCs w:val="16"/>
        </w:rPr>
      </w:pPr>
    </w:p>
    <w:p w14:paraId="25E9B71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конце февраля 1944 работала комиссия по приемке макета Пе-2И В.М.М., когда первый экз. был на 70% готов (2471,36).</w:t>
      </w:r>
    </w:p>
    <w:p w14:paraId="1222654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94C9F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конце февраля 1944 г., когда первый экземпляр самолета был уже готов на 70 %, работала макетная комиссия по самолету Пе-2И В.М.М. Замечания комиссии в основном были связаны со стрелковым вооружением, которое признали недостаточным (как указывалось выше, на первом опытном Пе-2И в неподвижной установке стоял пулемет УБК вместо обещанной В.М. Мясищевым пушки УБ-20), а также с размещением спецоборудования. Комиссия приняла решение на первом опытном Пе-2И ничего не менять, а все замечания потребовала устранить на “дублере” и первых серийных машинах (4476).</w:t>
      </w:r>
    </w:p>
    <w:p w14:paraId="0314A26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A83B6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конце февраля 1944 г., когда первый экземпляр самолета был уже готов на 70%, работала макетная комиссия по самолету Пе-2И. Замечания комиссии в основном были связаны со стрелковым вооружением, которое признали недостаточным (как указывалось выше, на первом опытном Пе-2И в неподвижной установке стоял пулемет УБК вместо обещанной Мясишевым пушки УБ-20), а также с размещением спецоборудования. Комиссия приняла решение на первом опытном Пе-2И ничего не менять, а все замечания потребовала устранить на "дублере" и первых серийных машинах (12042).</w:t>
      </w:r>
    </w:p>
    <w:p w14:paraId="55FC291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45C1A1E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конце февраля 1944 состоялись первые полеты Пе-2Б с аэродрома завода № 22. Они принесли разочарование - максимальная скорость составила всего 524 км/ч вместо запланированных 560 км/ч. Началось скрупулезное исследование влияния различных факторов на скорость полета: положение створок масляных и водорадиаторов, формы тоннелей, всех выступающих деталей. Постепенное введение улучшений дало прибавку скорости 10 км/ч. Вскоре после передачи Пе-2Б на государственные испытания выяснилось, что моторамы силовых установок имеют трещины (один из конструктивно-технологических дефектов Пе-2, оставшийся не устраненным до окончания производства). Самолет вернули на завод для усиления моторам (4476).</w:t>
      </w:r>
    </w:p>
    <w:p w14:paraId="306C5A5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D232B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конце февраля 1944 начались первые испытательные полеты Пе-2Б, которые принесли разочарование - максимальная скорость составила всего 524 км/ч вместо запланированных 560 км/ч. Началось скрупулезное исследование влияния на скорость полета различных факторов, таких, как положение створок масло- и водорадиаторов, форма тоннелей радиаторов, а также всех выступающих деталей. Постепенное введение улучшений дало прибавку скорости 10 км/ч. Самолет стали готовить к передаче на госиспытания, но пик интереса к нему у Мясишева прошел. Главный конструктор сделал ставку на принципиально новую машину Пе-2И с моторами М-107А(в 1944 г. они стали называться ВК-107А).</w:t>
      </w:r>
    </w:p>
    <w:p w14:paraId="65EF728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Вскоре после передачи Пе-2Б на государственные испытания выяснилось, что моторамы силовых установок имеют трещины. Самолет вернули на завод для усиления моторам. Снова в НИИ ВВС он попал только в мае-июне 1944 г., когда Пе-2И уже летал. И хотя НИИ ВВС но результатам госиспытаний рекомендовал передать Пе-2Б в серию, НКАП отклонил это предложение (12042).</w:t>
      </w:r>
    </w:p>
    <w:p w14:paraId="2E09E17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4C1C4B95"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748C5E6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80F90D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конца февраля 1944 на АНИОПе проводилисьполигонные испытания 203 мм опытной тяжелой самоходной артиллерийской установки С-51 ЦАКБ. Прошла 209 км и сделала 209 выстрелов. Недостатки: большой откат, изменение первоначальной наводки, боковое рассеивание. В основном испытания выдержала и была рекомендована к принятию на вооружение, но дальнейшие работы - не велись (7437, 35).</w:t>
      </w:r>
    </w:p>
    <w:p w14:paraId="1834F4C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A0551B" w14:textId="77777777" w:rsidR="00AD0763" w:rsidRPr="007224C3" w:rsidRDefault="00AD076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конца февраля 1944 г. на Ржевке начались полигонные испытания разработанной в ЦАКБ В.Г.Грабиным установки САУ С-51, в которой на шасси тяжёлого танка КВ-1C была установлена 203-мм гаубица Б-4, которая существенным доработкам не подвергалось. Во время заводских испытаний САУ-51 прошла 80 км и произвела 42 выстрела. На Ржевке было пройдено 209 км и произведено 209 выстрелов. Установка в основном испытания выдержала и была рекомендована к принятию на вооружение Советской Армии. Однако дальнейшие работы по системе не проводились, на вооружение она не принималась (15132).</w:t>
      </w:r>
    </w:p>
    <w:p w14:paraId="1BEDD795" w14:textId="77777777" w:rsidR="00AD0763" w:rsidRPr="007224C3" w:rsidRDefault="00AD0763" w:rsidP="007224C3">
      <w:pPr>
        <w:spacing w:after="0" w:line="240" w:lineRule="auto"/>
        <w:jc w:val="both"/>
        <w:rPr>
          <w:rFonts w:ascii="Times New Roman" w:hAnsi="Times New Roman"/>
          <w:color w:val="000000" w:themeColor="text1"/>
          <w:sz w:val="16"/>
          <w:szCs w:val="16"/>
        </w:rPr>
      </w:pPr>
    </w:p>
    <w:p w14:paraId="0E7442C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конце февраля 1944 г. замнаркома Ж. Котин был назначен по совмести</w:t>
      </w:r>
      <w:r w:rsidRPr="007224C3">
        <w:rPr>
          <w:rFonts w:ascii="Times New Roman" w:hAnsi="Times New Roman"/>
          <w:color w:val="000000" w:themeColor="text1"/>
          <w:sz w:val="16"/>
          <w:szCs w:val="16"/>
        </w:rPr>
        <w:softHyphen/>
        <w:t>тельству главным конструктором ЧКЗ с личной ответст</w:t>
      </w:r>
      <w:r w:rsidRPr="007224C3">
        <w:rPr>
          <w:rFonts w:ascii="Times New Roman" w:hAnsi="Times New Roman"/>
          <w:color w:val="000000" w:themeColor="text1"/>
          <w:sz w:val="16"/>
          <w:szCs w:val="16"/>
        </w:rPr>
        <w:softHyphen/>
        <w:t>венностью за каждую выпускаемую партию танков. В это время все новые разработки на ЧКЗ и заводе № 100 были прекращены. Порядок приемки танков изменился. Теперь один танк (на выбор) из каждых пятидесяти обязательно испытывался на 300-км сдаточной трассе, а один танк в ме</w:t>
      </w:r>
      <w:r w:rsidRPr="007224C3">
        <w:rPr>
          <w:rFonts w:ascii="Times New Roman" w:hAnsi="Times New Roman"/>
          <w:color w:val="000000" w:themeColor="text1"/>
          <w:sz w:val="16"/>
          <w:szCs w:val="16"/>
        </w:rPr>
        <w:softHyphen/>
        <w:t>сяц, кроме того, проходил испытания на гарантированный пробег в 1000 км. Сначала каждые 3 дня, затем каждые 5 дней Ж. Котин собирал информацию и докладывал в нар</w:t>
      </w:r>
      <w:r w:rsidRPr="007224C3">
        <w:rPr>
          <w:rFonts w:ascii="Times New Roman" w:hAnsi="Times New Roman"/>
          <w:color w:val="000000" w:themeColor="text1"/>
          <w:sz w:val="16"/>
          <w:szCs w:val="16"/>
        </w:rPr>
        <w:softHyphen/>
        <w:t>комат о дефектах серийных танков и путях их устранения. В воинские части отправлялись заводские бригады для оперативного устранения дефектов, обнаруженных при освоении новых танков. Наиболее характерные дефекты, меры по борьбе с ними и пути их устранения были сведены в памятки механику-водителю, ремонтной роте и «ин</w:t>
      </w:r>
      <w:r w:rsidRPr="007224C3">
        <w:rPr>
          <w:rFonts w:ascii="Times New Roman" w:hAnsi="Times New Roman"/>
          <w:color w:val="000000" w:themeColor="text1"/>
          <w:sz w:val="16"/>
          <w:szCs w:val="16"/>
        </w:rPr>
        <w:softHyphen/>
        <w:t>струкции по эксплуатации тяжелого танка» (11135).</w:t>
      </w:r>
    </w:p>
    <w:p w14:paraId="1D318E8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1349AAC" w14:textId="77777777" w:rsidR="00046E0B" w:rsidRPr="007224C3" w:rsidRDefault="00046E0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концу февраля 1944 начались заводские испытаний САУ-100. При взвешивании выяснилось, что боевая масса составляет 30 960 кг. Машина прошла 100 км со средней скоростью 24,2 км/ч. После устранения небольших неполадок машину допустили до полигонных испытаний, при этом комиссия составила список из десяти позиций по улучшению, в случае постановки СУ-100 в серию. Дополнительно комиссия подняла вопрос об улучшении вентиляции боевого отделения.</w:t>
      </w:r>
    </w:p>
    <w:p w14:paraId="2A1E679E" w14:textId="77777777" w:rsidR="00046E0B" w:rsidRPr="007224C3" w:rsidRDefault="00046E0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Полигонные испытания проходили на Гороховецком АНИОП с 9 по 27 марта. Систему испытали стрельбой в объёме 1040 выстрелов, из них 517 — усиленным зарядом. В ходе испытаний при использовании разных групп укладок была получена скорострельность от 4 до 8 выстрелов в минуту. Также установка прошла 564 км, из них 125 — по целине. Дополнительно машина прошла ещё 300 км по шоссе и просёлку (это происходило во время испытаний стрельбой) (18252).</w:t>
      </w:r>
    </w:p>
    <w:p w14:paraId="6B79D58A" w14:textId="77777777" w:rsidR="00046E0B" w:rsidRPr="007224C3" w:rsidRDefault="00046E0B" w:rsidP="007224C3">
      <w:pPr>
        <w:spacing w:after="0" w:line="240" w:lineRule="auto"/>
        <w:jc w:val="both"/>
        <w:rPr>
          <w:rFonts w:ascii="Times New Roman" w:hAnsi="Times New Roman"/>
          <w:color w:val="000000" w:themeColor="text1"/>
          <w:sz w:val="16"/>
          <w:szCs w:val="16"/>
        </w:rPr>
      </w:pPr>
    </w:p>
    <w:p w14:paraId="3C01F15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конце февраля 1944 года на заводе N 9 в соответствии с обращением Уралмаша, получившего поручение начать производство 100-мм САУ, под руководством Ф.Ф.Петрова была сконструирована новая 100-мм пушка Д-10С. Д-10С создавалась на основе морского зенитного орудия Д-10, которое было легче С-34 и устанавливалось в серийном корпусе без его существенных изменений и без излишнего увеличения массы машины (3862).</w:t>
      </w:r>
    </w:p>
    <w:p w14:paraId="31955BB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EC8101"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111DD11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FEA3A8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1944 при контрольном испытании Ил-2 завода 30 N 304054 были достигнуты скорости 397.5 км/час у земли и 419 км/час на границе высотности (1823,28).</w:t>
      </w:r>
    </w:p>
    <w:p w14:paraId="17D39C6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246CC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1944 вышел отчет о заводских испытаниях Ил-2 АМ-38Ф N 3653 завода 1, а данные по дальности указаны по отчету НИИ ВВС КА по машине N 302804:</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5106D0" w:rsidRPr="007224C3" w14:paraId="145A494E" w14:textId="77777777">
        <w:tc>
          <w:tcPr>
            <w:tcW w:w="5636" w:type="dxa"/>
          </w:tcPr>
          <w:p w14:paraId="0C6D886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Макс. скорость у земли</w:t>
            </w:r>
          </w:p>
        </w:tc>
        <w:tc>
          <w:tcPr>
            <w:tcW w:w="5636" w:type="dxa"/>
          </w:tcPr>
          <w:p w14:paraId="6115974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386 км/час</w:t>
            </w:r>
          </w:p>
        </w:tc>
      </w:tr>
      <w:tr w:rsidR="005106D0" w:rsidRPr="007224C3" w14:paraId="102ED20E" w14:textId="77777777">
        <w:tc>
          <w:tcPr>
            <w:tcW w:w="5636" w:type="dxa"/>
          </w:tcPr>
          <w:p w14:paraId="66BAF12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 скорость на 1150 м</w:t>
            </w:r>
          </w:p>
        </w:tc>
        <w:tc>
          <w:tcPr>
            <w:tcW w:w="5636" w:type="dxa"/>
          </w:tcPr>
          <w:p w14:paraId="2CC156E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410 км/час</w:t>
            </w:r>
          </w:p>
        </w:tc>
      </w:tr>
      <w:tr w:rsidR="005106D0" w:rsidRPr="007224C3" w14:paraId="2D154055" w14:textId="77777777">
        <w:tc>
          <w:tcPr>
            <w:tcW w:w="5636" w:type="dxa"/>
          </w:tcPr>
          <w:p w14:paraId="6F3D0E2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Время подъема на 3000 м</w:t>
            </w:r>
          </w:p>
        </w:tc>
        <w:tc>
          <w:tcPr>
            <w:tcW w:w="5636" w:type="dxa"/>
          </w:tcPr>
          <w:p w14:paraId="1455727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8.2 м</w:t>
            </w:r>
          </w:p>
        </w:tc>
      </w:tr>
      <w:tr w:rsidR="005106D0" w:rsidRPr="007224C3" w14:paraId="7536F333" w14:textId="77777777">
        <w:tc>
          <w:tcPr>
            <w:tcW w:w="5636" w:type="dxa"/>
          </w:tcPr>
          <w:p w14:paraId="2351D57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Потолок</w:t>
            </w:r>
          </w:p>
        </w:tc>
        <w:tc>
          <w:tcPr>
            <w:tcW w:w="5636" w:type="dxa"/>
          </w:tcPr>
          <w:p w14:paraId="157644B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6600 м</w:t>
            </w:r>
          </w:p>
        </w:tc>
      </w:tr>
      <w:tr w:rsidR="005106D0" w:rsidRPr="007224C3" w14:paraId="04174BD0" w14:textId="77777777">
        <w:tc>
          <w:tcPr>
            <w:tcW w:w="5636" w:type="dxa"/>
          </w:tcPr>
          <w:p w14:paraId="581CD9B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Дальность полета с 300 кг</w:t>
            </w:r>
          </w:p>
        </w:tc>
        <w:tc>
          <w:tcPr>
            <w:tcW w:w="5636" w:type="dxa"/>
          </w:tcPr>
          <w:p w14:paraId="65DA55B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81BA2F4" w14:textId="77777777">
        <w:tc>
          <w:tcPr>
            <w:tcW w:w="5636" w:type="dxa"/>
          </w:tcPr>
          <w:p w14:paraId="0CC4277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бомб на 0.8 макс.</w:t>
            </w:r>
          </w:p>
        </w:tc>
        <w:tc>
          <w:tcPr>
            <w:tcW w:w="5636" w:type="dxa"/>
          </w:tcPr>
          <w:p w14:paraId="5C2B670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600 км</w:t>
            </w:r>
          </w:p>
        </w:tc>
      </w:tr>
      <w:tr w:rsidR="005106D0" w:rsidRPr="007224C3" w14:paraId="4C1C0A79" w14:textId="77777777">
        <w:tc>
          <w:tcPr>
            <w:tcW w:w="5636" w:type="dxa"/>
          </w:tcPr>
          <w:p w14:paraId="27471B5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Полетный вес с 400 кг бомб</w:t>
            </w:r>
          </w:p>
        </w:tc>
        <w:tc>
          <w:tcPr>
            <w:tcW w:w="5636" w:type="dxa"/>
          </w:tcPr>
          <w:p w14:paraId="6DF0DB5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6300 кг</w:t>
            </w:r>
          </w:p>
        </w:tc>
      </w:tr>
      <w:tr w:rsidR="005106D0" w:rsidRPr="007224C3" w14:paraId="13ED3365" w14:textId="77777777">
        <w:tc>
          <w:tcPr>
            <w:tcW w:w="5636" w:type="dxa"/>
          </w:tcPr>
          <w:p w14:paraId="6ACAAAA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Экипаж</w:t>
            </w:r>
          </w:p>
        </w:tc>
        <w:tc>
          <w:tcPr>
            <w:tcW w:w="5636" w:type="dxa"/>
          </w:tcPr>
          <w:p w14:paraId="7C02D68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tc>
      </w:tr>
      <w:tr w:rsidR="005106D0" w:rsidRPr="007224C3" w14:paraId="2D0DD912" w14:textId="77777777">
        <w:tc>
          <w:tcPr>
            <w:tcW w:w="5636" w:type="dxa"/>
          </w:tcPr>
          <w:p w14:paraId="0DD9534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Бомбовая нагрузка</w:t>
            </w:r>
          </w:p>
        </w:tc>
        <w:tc>
          <w:tcPr>
            <w:tcW w:w="5636" w:type="dxa"/>
          </w:tcPr>
          <w:p w14:paraId="655C9D5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400</w:t>
            </w:r>
          </w:p>
        </w:tc>
      </w:tr>
      <w:tr w:rsidR="005106D0" w:rsidRPr="007224C3" w14:paraId="39824A2A" w14:textId="77777777">
        <w:tc>
          <w:tcPr>
            <w:tcW w:w="5636" w:type="dxa"/>
          </w:tcPr>
          <w:p w14:paraId="074D4AA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Вооружение:</w:t>
            </w:r>
          </w:p>
        </w:tc>
        <w:tc>
          <w:tcPr>
            <w:tcW w:w="5636" w:type="dxa"/>
          </w:tcPr>
          <w:p w14:paraId="3B369F1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3672728" w14:textId="77777777">
        <w:tc>
          <w:tcPr>
            <w:tcW w:w="5636" w:type="dxa"/>
          </w:tcPr>
          <w:p w14:paraId="5663FD0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вперед</w:t>
            </w:r>
          </w:p>
        </w:tc>
        <w:tc>
          <w:tcPr>
            <w:tcW w:w="5636" w:type="dxa"/>
          </w:tcPr>
          <w:p w14:paraId="54EFED1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2х762 мм</w:t>
            </w:r>
          </w:p>
        </w:tc>
      </w:tr>
      <w:tr w:rsidR="005106D0" w:rsidRPr="007224C3" w14:paraId="13A3DDC4" w14:textId="77777777">
        <w:tc>
          <w:tcPr>
            <w:tcW w:w="5636" w:type="dxa"/>
          </w:tcPr>
          <w:p w14:paraId="7755EBE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36486DA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2х23 мм</w:t>
            </w:r>
          </w:p>
        </w:tc>
      </w:tr>
      <w:tr w:rsidR="005106D0" w:rsidRPr="007224C3" w14:paraId="6A4D5A70" w14:textId="77777777">
        <w:tc>
          <w:tcPr>
            <w:tcW w:w="5636" w:type="dxa"/>
          </w:tcPr>
          <w:p w14:paraId="107F54D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назад</w:t>
            </w:r>
          </w:p>
        </w:tc>
        <w:tc>
          <w:tcPr>
            <w:tcW w:w="5636" w:type="dxa"/>
          </w:tcPr>
          <w:p w14:paraId="7FE75FA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1х12.7 мм (1880,165)</w:t>
            </w:r>
          </w:p>
        </w:tc>
      </w:tr>
    </w:tbl>
    <w:p w14:paraId="349373B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CA5AE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1944 г. закончились государственные испытания двухместного Ил-2 АМ-38Ф, вооруженного мощными 45-мм пушками НС-45 с боезапасом по 50 снарядов на ствол, которые проходили с сентября 1943. Разрушающее действие снаряда этой пушки было вдвое выше по сравнению с НС-37. Из-за сложностей с доводкой автоматики пушек НС-45 госиспытания самолета затянулись до февраля 1944 г. Результаты стрельбы с Ил-2 по наземным целям из этих пушек оказались неудовлетворительными из-за большой отдачи, достигавшей 7000 кгс. Требовалось установить на пушку мощный дульный тормоз. Такую работу выполнили, но к тому времени уже, видимо, не было потребности в этих самолетах, и НС-45 с дульным тормозом на Ил-2 не устанавливали (9528).</w:t>
      </w:r>
    </w:p>
    <w:p w14:paraId="490EA86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5EAE9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1944 на обычном серийном самолете Ил-2 зав. № 302221 с целью улучшения звукоизоляции были выполнены следующие доработки.</w:t>
      </w:r>
    </w:p>
    <w:p w14:paraId="155C9B6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Между подвижной и неподвижной частью фонаря кабины пилота проложили слой резины. Боковые стекла на подвиж</w:t>
      </w:r>
      <w:r w:rsidRPr="007224C3">
        <w:rPr>
          <w:rFonts w:ascii="Times New Roman" w:hAnsi="Times New Roman"/>
          <w:color w:val="000000" w:themeColor="text1"/>
          <w:sz w:val="16"/>
          <w:szCs w:val="16"/>
        </w:rPr>
        <w:softHyphen/>
        <w:t>ной части фонаря кабины летчика закрепили и в пазы проло</w:t>
      </w:r>
      <w:r w:rsidRPr="007224C3">
        <w:rPr>
          <w:rFonts w:ascii="Times New Roman" w:hAnsi="Times New Roman"/>
          <w:color w:val="000000" w:themeColor="text1"/>
          <w:sz w:val="16"/>
          <w:szCs w:val="16"/>
        </w:rPr>
        <w:softHyphen/>
        <w:t>жили слой резины. Щели между прозрачным бронестеклом и металлическими боковинками в передней части фонаря каби</w:t>
      </w:r>
      <w:r w:rsidRPr="007224C3">
        <w:rPr>
          <w:rFonts w:ascii="Times New Roman" w:hAnsi="Times New Roman"/>
          <w:color w:val="000000" w:themeColor="text1"/>
          <w:sz w:val="16"/>
          <w:szCs w:val="16"/>
        </w:rPr>
        <w:softHyphen/>
        <w:t>ны летчика заделали войлоком, а в капоте у входа в тоннель водррадиатора — алюминиевыми заглушками.</w:t>
      </w:r>
    </w:p>
    <w:p w14:paraId="1CC3131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результате уровень акустических шумов в кабине летчика понизился на 7—18 Дб. Одновременно уменьшились электри</w:t>
      </w:r>
      <w:r w:rsidRPr="007224C3">
        <w:rPr>
          <w:rFonts w:ascii="Times New Roman" w:hAnsi="Times New Roman"/>
          <w:color w:val="000000" w:themeColor="text1"/>
          <w:sz w:val="16"/>
          <w:szCs w:val="16"/>
        </w:rPr>
        <w:softHyphen/>
        <w:t>ческие помехи на выходе СПУФ-2 — отношение сигнал/шум при оборотах мотора 2000—2050 об/мин возросло с 3—9 до 15—17. Качество внутрисамолетной связи резко улучшилось. По заключению летчика-испытателя и экспериментатора вес</w:t>
      </w:r>
      <w:r w:rsidRPr="007224C3">
        <w:rPr>
          <w:rFonts w:ascii="Times New Roman" w:hAnsi="Times New Roman"/>
          <w:color w:val="000000" w:themeColor="text1"/>
          <w:sz w:val="16"/>
          <w:szCs w:val="16"/>
        </w:rPr>
        <w:softHyphen/>
        <w:t>ти переговоры с помощью СПУФ-2 на всех режимах полета стало вполне возможным.</w:t>
      </w:r>
    </w:p>
    <w:p w14:paraId="02BF39B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Оказалось, что при оборотах мотора 2000 об/мин уровень аку</w:t>
      </w:r>
      <w:r w:rsidRPr="007224C3">
        <w:rPr>
          <w:rFonts w:ascii="Times New Roman" w:hAnsi="Times New Roman"/>
          <w:color w:val="000000" w:themeColor="text1"/>
          <w:sz w:val="16"/>
          <w:szCs w:val="16"/>
        </w:rPr>
        <w:softHyphen/>
        <w:t>стических шумов в кабине летчика и стрелка (скорость полета 330 км/ч) достигали значений 116 и 110 Дб, соответственно. При повышении оборотов до 2050 об/мин (скорость полета 345 км/ч) уровень шумов возрастал до 126 Дб у летчика и до 118 Дб у стрелка.</w:t>
      </w:r>
    </w:p>
    <w:p w14:paraId="7D14C57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Акустические шумы, действуя на ларингофоны, создают электрические помехи. Причем чем более чувствительны ларин</w:t>
      </w:r>
      <w:r w:rsidRPr="007224C3">
        <w:rPr>
          <w:rFonts w:ascii="Times New Roman" w:hAnsi="Times New Roman"/>
          <w:color w:val="000000" w:themeColor="text1"/>
          <w:sz w:val="16"/>
          <w:szCs w:val="16"/>
        </w:rPr>
        <w:softHyphen/>
        <w:t>гофоны, тем сильнее сказываются на качестве связи акустиче</w:t>
      </w:r>
      <w:r w:rsidRPr="007224C3">
        <w:rPr>
          <w:rFonts w:ascii="Times New Roman" w:hAnsi="Times New Roman"/>
          <w:color w:val="000000" w:themeColor="text1"/>
          <w:sz w:val="16"/>
          <w:szCs w:val="16"/>
        </w:rPr>
        <w:softHyphen/>
        <w:t>ские шумы. Кроме того, акустические шумы маскируют речь, пе</w:t>
      </w:r>
      <w:r w:rsidRPr="007224C3">
        <w:rPr>
          <w:rFonts w:ascii="Times New Roman" w:hAnsi="Times New Roman"/>
          <w:color w:val="000000" w:themeColor="text1"/>
          <w:sz w:val="16"/>
          <w:szCs w:val="16"/>
        </w:rPr>
        <w:softHyphen/>
        <w:t>редаваемую по самолетному переговорному устройству СПУФ-2.</w:t>
      </w:r>
    </w:p>
    <w:p w14:paraId="20E9413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Изменение электрических характеристик усилителя и зву</w:t>
      </w:r>
      <w:r w:rsidRPr="007224C3">
        <w:rPr>
          <w:rFonts w:ascii="Times New Roman" w:hAnsi="Times New Roman"/>
          <w:color w:val="000000" w:themeColor="text1"/>
          <w:sz w:val="16"/>
          <w:szCs w:val="16"/>
        </w:rPr>
        <w:softHyphen/>
        <w:t>коизоляция ларингофонов несколько улучшали качество рабо</w:t>
      </w:r>
      <w:r w:rsidRPr="007224C3">
        <w:rPr>
          <w:rFonts w:ascii="Times New Roman" w:hAnsi="Times New Roman"/>
          <w:color w:val="000000" w:themeColor="text1"/>
          <w:sz w:val="16"/>
          <w:szCs w:val="16"/>
        </w:rPr>
        <w:softHyphen/>
        <w:t>ты СПУФ-2 на малых оборотах мотора, но не спасали положе</w:t>
      </w:r>
      <w:r w:rsidRPr="007224C3">
        <w:rPr>
          <w:rFonts w:ascii="Times New Roman" w:hAnsi="Times New Roman"/>
          <w:color w:val="000000" w:themeColor="text1"/>
          <w:sz w:val="16"/>
          <w:szCs w:val="16"/>
        </w:rPr>
        <w:softHyphen/>
        <w:t>ния при высоких оборотах мотора.</w:t>
      </w:r>
    </w:p>
    <w:p w14:paraId="2F781F5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Удовлетворительную работу СПУФ-2 на всех режимах по</w:t>
      </w:r>
      <w:r w:rsidRPr="007224C3">
        <w:rPr>
          <w:rFonts w:ascii="Times New Roman" w:hAnsi="Times New Roman"/>
          <w:color w:val="000000" w:themeColor="text1"/>
          <w:sz w:val="16"/>
          <w:szCs w:val="16"/>
        </w:rPr>
        <w:softHyphen/>
        <w:t>лета удалось обеспечить только при улучшении звукоизоляции кабин летчика и стрелка, то есть при снижении уровня акусти</w:t>
      </w:r>
      <w:r w:rsidRPr="007224C3">
        <w:rPr>
          <w:rFonts w:ascii="Times New Roman" w:hAnsi="Times New Roman"/>
          <w:color w:val="000000" w:themeColor="text1"/>
          <w:sz w:val="16"/>
          <w:szCs w:val="16"/>
        </w:rPr>
        <w:softHyphen/>
        <w:t>ческих шумов в кабинах, особенно в кабине летчика.</w:t>
      </w:r>
    </w:p>
    <w:p w14:paraId="2E58361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 наркомата авиапромышленности потребовали обязать директоров авиазаводов №№ 1, 18 и 30 в кратчайший срок на всех вновь выпускаемых самолетах улучшить качество звукоизоляции кабин Ил-2 по образцу самолета, прошедшего испы</w:t>
      </w:r>
      <w:r w:rsidRPr="007224C3">
        <w:rPr>
          <w:rFonts w:ascii="Times New Roman" w:hAnsi="Times New Roman"/>
          <w:color w:val="000000" w:themeColor="text1"/>
          <w:sz w:val="16"/>
          <w:szCs w:val="16"/>
        </w:rPr>
        <w:softHyphen/>
        <w:t>тания. Все находящиеся в строю самолеты Ил-2 предлагалось доработать силами технического состава частей (11474,378).</w:t>
      </w:r>
    </w:p>
    <w:p w14:paraId="091EC04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BC3540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1944-го "полуфабрикат" Ил-10 с завода N 18 отправили для окончательной сборки в Москву на завод N 240 (1605).</w:t>
      </w:r>
    </w:p>
    <w:p w14:paraId="0F7BBAD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BC387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1944 первый опытный штурмовик Ил-8 с мотором АМ-42 был передан на государственные испытания (9649).</w:t>
      </w:r>
    </w:p>
    <w:p w14:paraId="07CE8C4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E7C32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1944 г. на испытания предъявили опытный штурмовик-бомбардировщик Ил-8, являв</w:t>
      </w:r>
      <w:r w:rsidRPr="007224C3">
        <w:rPr>
          <w:rFonts w:ascii="Times New Roman" w:hAnsi="Times New Roman"/>
          <w:color w:val="000000" w:themeColor="text1"/>
          <w:sz w:val="16"/>
          <w:szCs w:val="16"/>
        </w:rPr>
        <w:softHyphen/>
        <w:t>шийся модификацией машины Ил-АМ-42. Его испытания также шли нелегко и затянулись до осени, а после переделки бронекоробки и системы охлаждения их пришлось перенести на 1945 г. (10781).</w:t>
      </w:r>
    </w:p>
    <w:p w14:paraId="6B37713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48FEF29E"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В феврале 1944 г., наконец, закончились государ</w:t>
      </w:r>
      <w:r w:rsidRPr="007224C3">
        <w:rPr>
          <w:rFonts w:ascii="Times New Roman" w:hAnsi="Times New Roman" w:cs="Times New Roman"/>
          <w:color w:val="000000" w:themeColor="text1"/>
          <w:sz w:val="16"/>
          <w:szCs w:val="16"/>
        </w:rPr>
        <w:softHyphen/>
        <w:t>ственные испытания Ил-АМ-42, испытания которого были прерва</w:t>
      </w:r>
      <w:r w:rsidRPr="007224C3">
        <w:rPr>
          <w:rFonts w:ascii="Times New Roman" w:hAnsi="Times New Roman" w:cs="Times New Roman"/>
          <w:color w:val="000000" w:themeColor="text1"/>
          <w:sz w:val="16"/>
          <w:szCs w:val="16"/>
        </w:rPr>
        <w:softHyphen/>
        <w:t>ны в 1943 г. с рекомендацией о его запуске в серию. У конструкторского коллектива появилась возможность до начала серийного произ</w:t>
      </w:r>
      <w:r w:rsidRPr="007224C3">
        <w:rPr>
          <w:rFonts w:ascii="Times New Roman" w:hAnsi="Times New Roman" w:cs="Times New Roman"/>
          <w:color w:val="000000" w:themeColor="text1"/>
          <w:sz w:val="16"/>
          <w:szCs w:val="16"/>
        </w:rPr>
        <w:softHyphen/>
        <w:t>водства значительно улучшить летные и бо</w:t>
      </w:r>
      <w:r w:rsidRPr="007224C3">
        <w:rPr>
          <w:rFonts w:ascii="Times New Roman" w:hAnsi="Times New Roman" w:cs="Times New Roman"/>
          <w:color w:val="000000" w:themeColor="text1"/>
          <w:sz w:val="16"/>
          <w:szCs w:val="16"/>
        </w:rPr>
        <w:softHyphen/>
        <w:t>евые возможности этой машины. Опираясь на новые технические решения уже приме</w:t>
      </w:r>
      <w:r w:rsidRPr="007224C3">
        <w:rPr>
          <w:rFonts w:ascii="Times New Roman" w:hAnsi="Times New Roman" w:cs="Times New Roman"/>
          <w:color w:val="000000" w:themeColor="text1"/>
          <w:sz w:val="16"/>
          <w:szCs w:val="16"/>
        </w:rPr>
        <w:softHyphen/>
        <w:t>ненные в конструкции самолета Ил-10 и по</w:t>
      </w:r>
      <w:r w:rsidRPr="007224C3">
        <w:rPr>
          <w:rFonts w:ascii="Times New Roman" w:hAnsi="Times New Roman" w:cs="Times New Roman"/>
          <w:color w:val="000000" w:themeColor="text1"/>
          <w:sz w:val="16"/>
          <w:szCs w:val="16"/>
        </w:rPr>
        <w:softHyphen/>
        <w:t>явившиеся к тому моменту результаты его летных испытаний, С.В. Ильюшин предло</w:t>
      </w:r>
      <w:r w:rsidRPr="007224C3">
        <w:rPr>
          <w:rFonts w:ascii="Times New Roman" w:hAnsi="Times New Roman" w:cs="Times New Roman"/>
          <w:color w:val="000000" w:themeColor="text1"/>
          <w:sz w:val="16"/>
          <w:szCs w:val="16"/>
        </w:rPr>
        <w:softHyphen/>
        <w:t>жил существенно изменить конструкцию нового тяжелого штурмовика, заложив в нее все технические новинки, появившиеся за это время на Ил-10.</w:t>
      </w:r>
    </w:p>
    <w:p w14:paraId="77AE74AE"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В результате проведенной модерни</w:t>
      </w:r>
      <w:r w:rsidRPr="007224C3">
        <w:rPr>
          <w:rFonts w:ascii="Times New Roman" w:hAnsi="Times New Roman" w:cs="Times New Roman"/>
          <w:color w:val="000000" w:themeColor="text1"/>
          <w:sz w:val="16"/>
          <w:szCs w:val="16"/>
        </w:rPr>
        <w:softHyphen/>
        <w:t>зации полностью изменился облик само</w:t>
      </w:r>
      <w:r w:rsidRPr="007224C3">
        <w:rPr>
          <w:rFonts w:ascii="Times New Roman" w:hAnsi="Times New Roman" w:cs="Times New Roman"/>
          <w:color w:val="000000" w:themeColor="text1"/>
          <w:sz w:val="16"/>
          <w:szCs w:val="16"/>
        </w:rPr>
        <w:softHyphen/>
        <w:t>лета: появились новый бронекорпус, новое крыло, хвостовое оперение и шасси. На двигатель установили новый воздушный винт. Вместо пушек ВЯ-23 в крыле появи</w:t>
      </w:r>
      <w:r w:rsidRPr="007224C3">
        <w:rPr>
          <w:rFonts w:ascii="Times New Roman" w:hAnsi="Times New Roman" w:cs="Times New Roman"/>
          <w:color w:val="000000" w:themeColor="text1"/>
          <w:sz w:val="16"/>
          <w:szCs w:val="16"/>
        </w:rPr>
        <w:softHyphen/>
        <w:t>лись более мощные пушки НС-23, а в ка</w:t>
      </w:r>
      <w:r w:rsidRPr="007224C3">
        <w:rPr>
          <w:rFonts w:ascii="Times New Roman" w:hAnsi="Times New Roman" w:cs="Times New Roman"/>
          <w:color w:val="000000" w:themeColor="text1"/>
          <w:sz w:val="16"/>
          <w:szCs w:val="16"/>
        </w:rPr>
        <w:softHyphen/>
        <w:t>бине воздушного стрелка - пушка УБ-20. В четырех отсеках нового крыла теперь мог</w:t>
      </w:r>
      <w:r w:rsidRPr="007224C3">
        <w:rPr>
          <w:rFonts w:ascii="Times New Roman" w:hAnsi="Times New Roman" w:cs="Times New Roman"/>
          <w:color w:val="000000" w:themeColor="text1"/>
          <w:sz w:val="16"/>
          <w:szCs w:val="16"/>
        </w:rPr>
        <w:softHyphen/>
        <w:t>ли размещаться авиабомбы общей массой до 1000 кг. На наружных держателях обе</w:t>
      </w:r>
      <w:r w:rsidRPr="007224C3">
        <w:rPr>
          <w:rFonts w:ascii="Times New Roman" w:hAnsi="Times New Roman" w:cs="Times New Roman"/>
          <w:color w:val="000000" w:themeColor="text1"/>
          <w:sz w:val="16"/>
          <w:szCs w:val="16"/>
        </w:rPr>
        <w:softHyphen/>
        <w:t>спечивалась подвеска двух авиабомб с мас</w:t>
      </w:r>
      <w:r w:rsidRPr="007224C3">
        <w:rPr>
          <w:rFonts w:ascii="Times New Roman" w:hAnsi="Times New Roman" w:cs="Times New Roman"/>
          <w:color w:val="000000" w:themeColor="text1"/>
          <w:sz w:val="16"/>
          <w:szCs w:val="16"/>
        </w:rPr>
        <w:softHyphen/>
        <w:t>сой по 500 кг каждая. Нормальная бомбовая нагрузка штурмовика составляла 1000 кг. Первый полет нового опытного самолета, получившего обозначение Ил-8, состоялся только в октябре 1944 г. Проявившаяся в воздухе сильнейшая тряска нового четы- рехлопастного винта, установленного на самолете, прервала начавшиеся полеты. Подбор и испытания новых винтов других типов снова отодвинули проведение го</w:t>
      </w:r>
      <w:r w:rsidRPr="007224C3">
        <w:rPr>
          <w:rFonts w:ascii="Times New Roman" w:hAnsi="Times New Roman" w:cs="Times New Roman"/>
          <w:color w:val="000000" w:themeColor="text1"/>
          <w:sz w:val="16"/>
          <w:szCs w:val="16"/>
        </w:rPr>
        <w:softHyphen/>
        <w:t>сиспытаний до мая 1945 г. В связи с за</w:t>
      </w:r>
      <w:r w:rsidRPr="007224C3">
        <w:rPr>
          <w:rFonts w:ascii="Times New Roman" w:hAnsi="Times New Roman" w:cs="Times New Roman"/>
          <w:color w:val="000000" w:themeColor="text1"/>
          <w:sz w:val="16"/>
          <w:szCs w:val="16"/>
        </w:rPr>
        <w:softHyphen/>
        <w:t>кончившимися к этому моменту военными действиями, дальнейшие работы по этому самолету были прекращены (12734).</w:t>
      </w:r>
    </w:p>
    <w:p w14:paraId="7ABF3CE1"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p>
    <w:p w14:paraId="158F85B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1944 г. представитель ОКБ на заводе В.Н. Бугайский докладывал С. В. Ильюшину: “Наконец можно рапортовать, машину закончили. Отправку в Москву намечаем к 15 февраля... Мотор заменить не сумели, так как его нам не дали до сих пор... Машина получилась хорошая во всех отношениях... исключительно перспективная и многообещающая, а главное, ясная во всех элементах. Хорошо бы к лету запустить в серию... Это будет достойный подарок Родине... Прошу Вас дать указание, чтобы прибывшую в Москву машину Ил-1 наш народ проверил самым тщательным образом” (9528).</w:t>
      </w:r>
    </w:p>
    <w:p w14:paraId="3E0A833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57DF5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1944 г. Ил-8 передали на госиспытания, по результатам которых его рекомендовали в серийное производство в вариантах штурмовика-бомбардировщика и разведчика-корректировщика.</w:t>
      </w:r>
    </w:p>
    <w:p w14:paraId="2A20061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это время уже выявились высокие летные данные скоростного штурмовика Ил-10, и с целью улучшения летных параметров Ил-8 Ильюшин внес предложение о переделке системы охлаждения и смазки, а также шасси и оперения по типу Ил-10. В связи с этим на втором опытном Ил-8 изменили систему охлаждения и смазки, установили новые бронекорпус, крыло, оперение и шасси, доработали элероны, рули высоты и направления, внесли изменения в состав оборудования, трехлопастный воздушный винт заменили четырехлопастным. По сути получился новый самолет, сохранивший старое обозначение.</w:t>
      </w:r>
    </w:p>
    <w:p w14:paraId="29957E8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Изменилось и вооружение второго опытного Ил-8. Вместо пушек ВЯ установили НС-23, в кабине стрелка пулемет заменили подвижной пушкой УБ-20, а для защиты нижней полусферы в хвосте фюзеляжа разместили кассету с десятью авиационными гранатами АГ-2, сбрасывать которые могли и летчик, и стрелок. Увеличили бомбовую нагрузку: в четырех центропланных бомбоотсеках размещались бомбы общим весом до 1000 кг. Наружные бомбовые замки обеспечивали подвеску двух 500-кг фугасных бомб (9528).</w:t>
      </w:r>
    </w:p>
    <w:p w14:paraId="6723343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98016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1944 начались гос. испытания Ил-8 и его рекомендовали в серию как Ш-Бомб и разведчик-корректировщик. Не пошел, так как решили за счет аэродинамики повысить ЛХ. Если первый вариант максимально использовал компоновочные и конструктивные решения Ил-2, то второй вариант Ил-8 - совсем другой - с учетом опыта по Ил-10. Сделали в конце 1944 и гос. испытания состоялись уже после войны (173,134).</w:t>
      </w:r>
    </w:p>
    <w:p w14:paraId="7E7A557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2E4F1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1944 г. на испытания был предъявлен опытный штурмовик-бомбардировщик Ил-8, являвшийся модификацией машины Ил-АМ-42. Его испытания также шли нелегко (9032).</w:t>
      </w:r>
    </w:p>
    <w:p w14:paraId="299BEA9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82504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1944-го первый опытный Ил-8 передали на государственные испытания, по результатам которых был рекомендован в серийное производство в вариантах штурмовика-бомбардировщика и разведчика-корректировщика (9532,6).</w:t>
      </w:r>
    </w:p>
    <w:p w14:paraId="6B4FB0C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3E9AF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1944 закончились наземные гос. испытания УБ-20, которые начались в январе 1944 (759,3).</w:t>
      </w:r>
    </w:p>
    <w:p w14:paraId="5BCBBE2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4C03C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1944 на Су-8 из-за подтекания мас</w:t>
      </w:r>
      <w:r w:rsidRPr="007224C3">
        <w:rPr>
          <w:rFonts w:ascii="Times New Roman" w:hAnsi="Times New Roman"/>
          <w:color w:val="000000" w:themeColor="text1"/>
          <w:sz w:val="16"/>
          <w:szCs w:val="16"/>
        </w:rPr>
        <w:softHyphen/>
        <w:t>ла возникла необходимость заме</w:t>
      </w:r>
      <w:r w:rsidRPr="007224C3">
        <w:rPr>
          <w:rFonts w:ascii="Times New Roman" w:hAnsi="Times New Roman"/>
          <w:color w:val="000000" w:themeColor="text1"/>
          <w:sz w:val="16"/>
          <w:szCs w:val="16"/>
        </w:rPr>
        <w:softHyphen/>
        <w:t>ны кожухов толкателей, а повышен</w:t>
      </w:r>
      <w:r w:rsidRPr="007224C3">
        <w:rPr>
          <w:rFonts w:ascii="Times New Roman" w:hAnsi="Times New Roman"/>
          <w:color w:val="000000" w:themeColor="text1"/>
          <w:sz w:val="16"/>
          <w:szCs w:val="16"/>
        </w:rPr>
        <w:softHyphen/>
        <w:t>ная температура головок цилинд</w:t>
      </w:r>
      <w:r w:rsidRPr="007224C3">
        <w:rPr>
          <w:rFonts w:ascii="Times New Roman" w:hAnsi="Times New Roman"/>
          <w:color w:val="000000" w:themeColor="text1"/>
          <w:sz w:val="16"/>
          <w:szCs w:val="16"/>
        </w:rPr>
        <w:softHyphen/>
        <w:t>ров была устранена путем продле</w:t>
      </w:r>
      <w:r w:rsidRPr="007224C3">
        <w:rPr>
          <w:rFonts w:ascii="Times New Roman" w:hAnsi="Times New Roman"/>
          <w:color w:val="000000" w:themeColor="text1"/>
          <w:sz w:val="16"/>
          <w:szCs w:val="16"/>
        </w:rPr>
        <w:softHyphen/>
        <w:t>ния профилированных частей лопа</w:t>
      </w:r>
      <w:r w:rsidRPr="007224C3">
        <w:rPr>
          <w:rFonts w:ascii="Times New Roman" w:hAnsi="Times New Roman"/>
          <w:color w:val="000000" w:themeColor="text1"/>
          <w:sz w:val="16"/>
          <w:szCs w:val="16"/>
        </w:rPr>
        <w:softHyphen/>
        <w:t>стей воздушных винтов до втулок с помощью наклейки специальных деревянных накладок (11853).</w:t>
      </w:r>
    </w:p>
    <w:p w14:paraId="293A39B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C6144D"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В феврале 1944 г. по завершению полетов в НИИ ВВС противотанковый са</w:t>
      </w:r>
      <w:r w:rsidRPr="007224C3">
        <w:rPr>
          <w:rFonts w:ascii="Times New Roman" w:hAnsi="Times New Roman" w:cs="Times New Roman"/>
          <w:color w:val="000000" w:themeColor="text1"/>
          <w:sz w:val="16"/>
          <w:szCs w:val="16"/>
        </w:rPr>
        <w:softHyphen/>
        <w:t>молет Харрикей зав. № КХ-305 по</w:t>
      </w:r>
      <w:r w:rsidRPr="007224C3">
        <w:rPr>
          <w:rFonts w:ascii="Times New Roman" w:hAnsi="Times New Roman" w:cs="Times New Roman"/>
          <w:color w:val="000000" w:themeColor="text1"/>
          <w:sz w:val="16"/>
          <w:szCs w:val="16"/>
        </w:rPr>
        <w:softHyphen/>
        <w:t>ступил в НИИ АВ ВВС для производства кон</w:t>
      </w:r>
      <w:r w:rsidRPr="007224C3">
        <w:rPr>
          <w:rFonts w:ascii="Times New Roman" w:hAnsi="Times New Roman" w:cs="Times New Roman"/>
          <w:color w:val="000000" w:themeColor="text1"/>
          <w:sz w:val="16"/>
          <w:szCs w:val="16"/>
        </w:rPr>
        <w:softHyphen/>
        <w:t>трольных испытаний вооружения. Отчет по испытаниям утвержден начальником НИИ АВ генерал-майором М.В. Гуревичем 17 марта.</w:t>
      </w:r>
    </w:p>
    <w:p w14:paraId="7F05A57C"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Испытания в НИИ ВВС проводились объединенной бригадой специалистов 3-го и 4-го отделов института. Ведущим инженером по испытаниям был назначен инженер-капитан Рабкин (3-й отдел), его помощником - инженер-капитан Колосов (4-й отдел). На самолетах летали: летчик- испытатель 3-го отдела майор Голофастов и летчик-испытатель 4-го отдела старший лейтенант Поминальный.</w:t>
      </w:r>
    </w:p>
    <w:p w14:paraId="16AA8C3F"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В НИИ АВ к испытаниям привлекались специалисты 7-го отдела института: майор В.С. Полубиченко - ответственный по ис</w:t>
      </w:r>
      <w:r w:rsidRPr="007224C3">
        <w:rPr>
          <w:rFonts w:ascii="Times New Roman" w:hAnsi="Times New Roman" w:cs="Times New Roman"/>
          <w:color w:val="000000" w:themeColor="text1"/>
          <w:sz w:val="16"/>
          <w:szCs w:val="16"/>
        </w:rPr>
        <w:softHyphen/>
        <w:t>пытаниям, старший техник-лейтенант Ф.Ф. Сивцов, летчик-испытатель капитан А.В. Кусакин и механик по вооружению старший сержант Ф.Я. Анохин.</w:t>
      </w:r>
    </w:p>
    <w:p w14:paraId="27D30CA7"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Всего в НИИ ВВС было выполнено 27 полетов с суммарным налетом 18 ч 40 мин, втом числе: на самолете зав. N9 КХ-305 -16 полетов (12 ч 10 мин), на самолете зав. № КХ-171 - 11 полетов (6 ч 30 мин). С начала эксплуатации мотор «Мерлин» XX №87591 на самолете зав. № КХ-305 наработал 52 ч 14 мин, а мотор № 87437 на самолете зав. № КХ-171 -71 ч 11 мин.</w:t>
      </w:r>
    </w:p>
    <w:p w14:paraId="66992C3F"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В НИИ АВ ВВС на самолете зав. № КХ- 305 выполнили еще 9 контрольных полетов на отстрел вооружения в воздухе по воз</w:t>
      </w:r>
      <w:r w:rsidRPr="007224C3">
        <w:rPr>
          <w:rFonts w:ascii="Times New Roman" w:hAnsi="Times New Roman" w:cs="Times New Roman"/>
          <w:color w:val="000000" w:themeColor="text1"/>
          <w:sz w:val="16"/>
          <w:szCs w:val="16"/>
        </w:rPr>
        <w:softHyphen/>
        <w:t>душным и наземным целям.</w:t>
      </w:r>
    </w:p>
    <w:p w14:paraId="1D4354F7"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Судя по песчаному камуфляжу, само</w:t>
      </w:r>
      <w:r w:rsidRPr="007224C3">
        <w:rPr>
          <w:rFonts w:ascii="Times New Roman" w:hAnsi="Times New Roman" w:cs="Times New Roman"/>
          <w:color w:val="000000" w:themeColor="text1"/>
          <w:sz w:val="16"/>
          <w:szCs w:val="16"/>
        </w:rPr>
        <w:softHyphen/>
        <w:t>леты применялись в Северной Африке.</w:t>
      </w:r>
    </w:p>
    <w:p w14:paraId="3B1F46AC"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Истребители оснащались пылефильтром, установленным на всасывающем патрубке мотора.</w:t>
      </w:r>
    </w:p>
    <w:p w14:paraId="39E6FE24"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Штурмовой вариант самолета «Харрикейн» 1Ю представлял собой серийный самолет «Харрикейн» НС с усиленным бро</w:t>
      </w:r>
      <w:r w:rsidRPr="007224C3">
        <w:rPr>
          <w:rFonts w:ascii="Times New Roman" w:hAnsi="Times New Roman" w:cs="Times New Roman"/>
          <w:color w:val="000000" w:themeColor="text1"/>
          <w:sz w:val="16"/>
          <w:szCs w:val="16"/>
        </w:rPr>
        <w:softHyphen/>
        <w:t>нированием, доработанный под установку крупнокалиберных пушек.</w:t>
      </w:r>
    </w:p>
    <w:p w14:paraId="6DB073C2"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На самолете устанавливался дере</w:t>
      </w:r>
      <w:r w:rsidRPr="007224C3">
        <w:rPr>
          <w:rFonts w:ascii="Times New Roman" w:hAnsi="Times New Roman" w:cs="Times New Roman"/>
          <w:color w:val="000000" w:themeColor="text1"/>
          <w:sz w:val="16"/>
          <w:szCs w:val="16"/>
        </w:rPr>
        <w:softHyphen/>
        <w:t>вянный трехлопастный воздушный винт изменяемого в полете шага фирмы Ротол Н5-5/3 диаметром 3,43 м. Система разжи</w:t>
      </w:r>
      <w:r w:rsidRPr="007224C3">
        <w:rPr>
          <w:rFonts w:ascii="Times New Roman" w:hAnsi="Times New Roman" w:cs="Times New Roman"/>
          <w:color w:val="000000" w:themeColor="text1"/>
          <w:sz w:val="16"/>
          <w:szCs w:val="16"/>
        </w:rPr>
        <w:softHyphen/>
        <w:t>жения масла бензином, невыключаемый воздушный фильтр и другие агрегаты си</w:t>
      </w:r>
      <w:r w:rsidRPr="007224C3">
        <w:rPr>
          <w:rFonts w:ascii="Times New Roman" w:hAnsi="Times New Roman" w:cs="Times New Roman"/>
          <w:color w:val="000000" w:themeColor="text1"/>
          <w:sz w:val="16"/>
          <w:szCs w:val="16"/>
        </w:rPr>
        <w:softHyphen/>
        <w:t>стемы винтомоторной группы такие же, как у Мк.ПС. Вместо двух кислородных балло</w:t>
      </w:r>
      <w:r w:rsidRPr="007224C3">
        <w:rPr>
          <w:rFonts w:ascii="Times New Roman" w:hAnsi="Times New Roman" w:cs="Times New Roman"/>
          <w:color w:val="000000" w:themeColor="text1"/>
          <w:sz w:val="16"/>
          <w:szCs w:val="16"/>
        </w:rPr>
        <w:softHyphen/>
        <w:t>нов оставлен один.</w:t>
      </w:r>
    </w:p>
    <w:p w14:paraId="2555BAA9"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Под крылом Мк.1Ю размещались две пушки Виккерс 5 калибра 40 мм с суммар</w:t>
      </w:r>
      <w:r w:rsidRPr="007224C3">
        <w:rPr>
          <w:rFonts w:ascii="Times New Roman" w:hAnsi="Times New Roman" w:cs="Times New Roman"/>
          <w:color w:val="000000" w:themeColor="text1"/>
          <w:sz w:val="16"/>
          <w:szCs w:val="16"/>
        </w:rPr>
        <w:softHyphen/>
        <w:t>ным боекомплектом 30 снарядов и в кры</w:t>
      </w:r>
      <w:r w:rsidRPr="007224C3">
        <w:rPr>
          <w:rFonts w:ascii="Times New Roman" w:hAnsi="Times New Roman" w:cs="Times New Roman"/>
          <w:color w:val="000000" w:themeColor="text1"/>
          <w:sz w:val="16"/>
          <w:szCs w:val="16"/>
        </w:rPr>
        <w:softHyphen/>
        <w:t>ле два пулемета Кольт-Браунинг калибра 7,69 мм с боекомплектом 1300 патронов. Вместо пушек допускалась подвеска до</w:t>
      </w:r>
      <w:r w:rsidRPr="007224C3">
        <w:rPr>
          <w:rFonts w:ascii="Times New Roman" w:hAnsi="Times New Roman" w:cs="Times New Roman"/>
          <w:color w:val="000000" w:themeColor="text1"/>
          <w:sz w:val="16"/>
          <w:szCs w:val="16"/>
        </w:rPr>
        <w:softHyphen/>
        <w:t>полнительных бензобаков.</w:t>
      </w:r>
    </w:p>
    <w:p w14:paraId="64E6AF7F"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В правом крыле предусматривалась установка фотокинопулемета для учебных целей и для контроля результатов стрельб, но на поступивших в НИИ ВВС самолетах фотокинопулеметы отсутствовали.</w:t>
      </w:r>
    </w:p>
    <w:p w14:paraId="00E78DA2"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Управление огнем пушек и пулеме</w:t>
      </w:r>
      <w:r w:rsidRPr="007224C3">
        <w:rPr>
          <w:rFonts w:ascii="Times New Roman" w:hAnsi="Times New Roman" w:cs="Times New Roman"/>
          <w:color w:val="000000" w:themeColor="text1"/>
          <w:sz w:val="16"/>
          <w:szCs w:val="16"/>
        </w:rPr>
        <w:softHyphen/>
        <w:t>тов раздельное," электропневматическое. Стрельба из пулеметов велась с помощью электрокнопки, смонтированной на ручке управления, а из пушек, также электрокноп</w:t>
      </w:r>
      <w:r w:rsidRPr="007224C3">
        <w:rPr>
          <w:rFonts w:ascii="Times New Roman" w:hAnsi="Times New Roman" w:cs="Times New Roman"/>
          <w:color w:val="000000" w:themeColor="text1"/>
          <w:sz w:val="16"/>
          <w:szCs w:val="16"/>
        </w:rPr>
        <w:softHyphen/>
        <w:t>кой, но смонтированной на секторе газа.</w:t>
      </w:r>
    </w:p>
    <w:p w14:paraId="4E3121F2"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Для прицеливания при стрельбе ис</w:t>
      </w:r>
      <w:r w:rsidRPr="007224C3">
        <w:rPr>
          <w:rFonts w:ascii="Times New Roman" w:hAnsi="Times New Roman" w:cs="Times New Roman"/>
          <w:color w:val="000000" w:themeColor="text1"/>
          <w:sz w:val="16"/>
          <w:szCs w:val="16"/>
        </w:rPr>
        <w:softHyphen/>
        <w:t>пользовался коллиматорный прицел Реф</w:t>
      </w:r>
      <w:r w:rsidRPr="007224C3">
        <w:rPr>
          <w:rFonts w:ascii="Times New Roman" w:hAnsi="Times New Roman" w:cs="Times New Roman"/>
          <w:color w:val="000000" w:themeColor="text1"/>
          <w:sz w:val="16"/>
          <w:szCs w:val="16"/>
        </w:rPr>
        <w:softHyphen/>
        <w:t>лектор Сайт Мк.115 с электрической под</w:t>
      </w:r>
      <w:r w:rsidRPr="007224C3">
        <w:rPr>
          <w:rFonts w:ascii="Times New Roman" w:hAnsi="Times New Roman" w:cs="Times New Roman"/>
          <w:color w:val="000000" w:themeColor="text1"/>
          <w:sz w:val="16"/>
          <w:szCs w:val="16"/>
        </w:rPr>
        <w:softHyphen/>
        <w:t>светкой.</w:t>
      </w:r>
    </w:p>
    <w:p w14:paraId="4DF00D31"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Установка пулеметов Кольт-Баунинг ничем не отличалась от установки на се</w:t>
      </w:r>
      <w:r w:rsidRPr="007224C3">
        <w:rPr>
          <w:rFonts w:ascii="Times New Roman" w:hAnsi="Times New Roman" w:cs="Times New Roman"/>
          <w:color w:val="000000" w:themeColor="text1"/>
          <w:sz w:val="16"/>
          <w:szCs w:val="16"/>
        </w:rPr>
        <w:softHyphen/>
        <w:t>рийном самолете типа Мк.ПС, за исклю</w:t>
      </w:r>
      <w:r w:rsidRPr="007224C3">
        <w:rPr>
          <w:rFonts w:ascii="Times New Roman" w:hAnsi="Times New Roman" w:cs="Times New Roman"/>
          <w:color w:val="000000" w:themeColor="text1"/>
          <w:sz w:val="16"/>
          <w:szCs w:val="16"/>
        </w:rPr>
        <w:softHyphen/>
        <w:t>чением увеличенного боезапаса (лента в патронном ящике).</w:t>
      </w:r>
    </w:p>
    <w:p w14:paraId="0D36F2A9"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Пушки помещались в специальном об</w:t>
      </w:r>
      <w:r w:rsidRPr="007224C3">
        <w:rPr>
          <w:rFonts w:ascii="Times New Roman" w:hAnsi="Times New Roman" w:cs="Times New Roman"/>
          <w:color w:val="000000" w:themeColor="text1"/>
          <w:sz w:val="16"/>
          <w:szCs w:val="16"/>
        </w:rPr>
        <w:softHyphen/>
        <w:t>текателе под крылом и крепились на двух узлах, из которых передний являлся сило</w:t>
      </w:r>
      <w:r w:rsidRPr="007224C3">
        <w:rPr>
          <w:rFonts w:ascii="Times New Roman" w:hAnsi="Times New Roman" w:cs="Times New Roman"/>
          <w:color w:val="000000" w:themeColor="text1"/>
          <w:sz w:val="16"/>
          <w:szCs w:val="16"/>
        </w:rPr>
        <w:softHyphen/>
        <w:t>вым, а задний - регулировочным. При этом стволы пушек на 1080 мм выступали за переднюю кромку крыла.</w:t>
      </w:r>
    </w:p>
    <w:p w14:paraId="1007F96A"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Автоматика пушек Виккерс 8 работала на принципе отдачи с длинным ходом ство</w:t>
      </w:r>
      <w:r w:rsidRPr="007224C3">
        <w:rPr>
          <w:rFonts w:ascii="Times New Roman" w:hAnsi="Times New Roman" w:cs="Times New Roman"/>
          <w:color w:val="000000" w:themeColor="text1"/>
          <w:sz w:val="16"/>
          <w:szCs w:val="16"/>
        </w:rPr>
        <w:softHyphen/>
        <w:t>ла, запирание клиновое. Сила отдачи при стрельбе поглощалась работой автомати</w:t>
      </w:r>
      <w:r w:rsidRPr="007224C3">
        <w:rPr>
          <w:rFonts w:ascii="Times New Roman" w:hAnsi="Times New Roman" w:cs="Times New Roman"/>
          <w:color w:val="000000" w:themeColor="text1"/>
          <w:sz w:val="16"/>
          <w:szCs w:val="16"/>
        </w:rPr>
        <w:softHyphen/>
        <w:t>ки, возвратной и буферной пружинами и гидравлическим тормозом. В гидротормоз заливалось веретенное масло или смесь веретенного масла с техническим кероси</w:t>
      </w:r>
      <w:r w:rsidRPr="007224C3">
        <w:rPr>
          <w:rFonts w:ascii="Times New Roman" w:hAnsi="Times New Roman" w:cs="Times New Roman"/>
          <w:color w:val="000000" w:themeColor="text1"/>
          <w:sz w:val="16"/>
          <w:szCs w:val="16"/>
        </w:rPr>
        <w:softHyphen/>
        <w:t>ном (в соотношении 60/40).</w:t>
      </w:r>
    </w:p>
    <w:p w14:paraId="1CF81DF1"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Питание пушек - магазинное. Магазин на 15 снарядов жестко крепился к пушке болтами. Зарядка магазина производи</w:t>
      </w:r>
      <w:r w:rsidRPr="007224C3">
        <w:rPr>
          <w:rFonts w:ascii="Times New Roman" w:hAnsi="Times New Roman" w:cs="Times New Roman"/>
          <w:color w:val="000000" w:themeColor="text1"/>
          <w:sz w:val="16"/>
          <w:szCs w:val="16"/>
        </w:rPr>
        <w:softHyphen/>
        <w:t>лась непосредственно на самолете.</w:t>
      </w:r>
    </w:p>
    <w:p w14:paraId="75A1767F"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Перезарядка пушек осуществлялась вручную с помощью специальной рукоятки с цепной передачей. Перезаряжать пушку можно было только на земле. В воздухе летчик имел возможность лишь повторно взвести ударник. Для этого на левом бор</w:t>
      </w:r>
      <w:r w:rsidRPr="007224C3">
        <w:rPr>
          <w:rFonts w:ascii="Times New Roman" w:hAnsi="Times New Roman" w:cs="Times New Roman"/>
          <w:color w:val="000000" w:themeColor="text1"/>
          <w:sz w:val="16"/>
          <w:szCs w:val="16"/>
        </w:rPr>
        <w:softHyphen/>
        <w:t>ту располагалась гашетка пневмовзвода ударников пушек. С ее помощью летчик в полете мог повторно взвести ударники пу</w:t>
      </w:r>
      <w:r w:rsidRPr="007224C3">
        <w:rPr>
          <w:rFonts w:ascii="Times New Roman" w:hAnsi="Times New Roman" w:cs="Times New Roman"/>
          <w:color w:val="000000" w:themeColor="text1"/>
          <w:sz w:val="16"/>
          <w:szCs w:val="16"/>
        </w:rPr>
        <w:softHyphen/>
        <w:t>шек и продолжить стрельбу.</w:t>
      </w:r>
    </w:p>
    <w:p w14:paraId="4E4BDF12"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Длина пушки достигала 2970 мм, при высоте с магазином 533 мм (без магазина 278 мм) и ширине 210 мм. Общий вес пуш</w:t>
      </w:r>
      <w:r w:rsidRPr="007224C3">
        <w:rPr>
          <w:rFonts w:ascii="Times New Roman" w:hAnsi="Times New Roman" w:cs="Times New Roman"/>
          <w:color w:val="000000" w:themeColor="text1"/>
          <w:sz w:val="16"/>
          <w:szCs w:val="16"/>
        </w:rPr>
        <w:softHyphen/>
        <w:t>ки с магазином и 15 бронебойными снаря</w:t>
      </w:r>
      <w:r w:rsidRPr="007224C3">
        <w:rPr>
          <w:rFonts w:ascii="Times New Roman" w:hAnsi="Times New Roman" w:cs="Times New Roman"/>
          <w:color w:val="000000" w:themeColor="text1"/>
          <w:sz w:val="16"/>
          <w:szCs w:val="16"/>
        </w:rPr>
        <w:softHyphen/>
        <w:t>дами составлял 180,2 кг, в том числе: сама пушка - 141,7 кг, магазин без патронов - 16,0 кг, боекомплект - 22,5 кг.</w:t>
      </w:r>
    </w:p>
    <w:p w14:paraId="4FB995F9"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Броней на самолете защищались: летчик, мотор, водо- и маслорадиаторы. Общий вес брони достигал 185 кг.</w:t>
      </w:r>
    </w:p>
    <w:p w14:paraId="1DBB4288"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Бронекозырек кабины летчика состоял из трех плит пулестойкого стекла. Средняя плита имела толщину 35 мм, а боковые</w:t>
      </w:r>
    </w:p>
    <w:p w14:paraId="33F4236A" w14:textId="77777777" w:rsidR="00903E13" w:rsidRPr="007224C3" w:rsidRDefault="00903E13" w:rsidP="007224C3">
      <w:pPr>
        <w:pStyle w:val="47"/>
        <w:numPr>
          <w:ilvl w:val="0"/>
          <w:numId w:val="1"/>
        </w:numPr>
        <w:shd w:val="clear" w:color="auto" w:fill="auto"/>
        <w:tabs>
          <w:tab w:val="left" w:pos="169"/>
        </w:tabs>
        <w:autoSpaceDE/>
        <w:autoSpaceDN/>
        <w:adjustRightInd/>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по 32 мм. Спереди сверху летчик защи</w:t>
      </w:r>
      <w:r w:rsidRPr="007224C3">
        <w:rPr>
          <w:rFonts w:ascii="Times New Roman" w:hAnsi="Times New Roman" w:cs="Times New Roman"/>
          <w:color w:val="000000" w:themeColor="text1"/>
          <w:sz w:val="16"/>
          <w:szCs w:val="16"/>
        </w:rPr>
        <w:softHyphen/>
        <w:t>щался двумя бронеплитами толщиной по 4,75 мм, одна из которых устанавливалась перед расширительным бачком, а вторая</w:t>
      </w:r>
    </w:p>
    <w:p w14:paraId="37FF6257" w14:textId="77777777" w:rsidR="00903E13" w:rsidRPr="007224C3" w:rsidRDefault="00903E13" w:rsidP="007224C3">
      <w:pPr>
        <w:pStyle w:val="47"/>
        <w:numPr>
          <w:ilvl w:val="0"/>
          <w:numId w:val="1"/>
        </w:numPr>
        <w:shd w:val="clear" w:color="auto" w:fill="auto"/>
        <w:tabs>
          <w:tab w:val="left" w:pos="222"/>
        </w:tabs>
        <w:autoSpaceDE/>
        <w:autoSpaceDN/>
        <w:adjustRightInd/>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перед резервным бензобаком. Снизу спереди летчика прикрывали две бронеплиты по 4,75 мм под боковыми капотами мотора, по одной с каждой стороны. Под сиденьем располагалась бронеплита тол</w:t>
      </w:r>
      <w:r w:rsidRPr="007224C3">
        <w:rPr>
          <w:rFonts w:ascii="Times New Roman" w:hAnsi="Times New Roman" w:cs="Times New Roman"/>
          <w:color w:val="000000" w:themeColor="text1"/>
          <w:sz w:val="16"/>
          <w:szCs w:val="16"/>
        </w:rPr>
        <w:softHyphen/>
        <w:t>щиной 7,5 мм. Со стороны задней полу</w:t>
      </w:r>
      <w:r w:rsidRPr="007224C3">
        <w:rPr>
          <w:rFonts w:ascii="Times New Roman" w:hAnsi="Times New Roman" w:cs="Times New Roman"/>
          <w:color w:val="000000" w:themeColor="text1"/>
          <w:sz w:val="16"/>
          <w:szCs w:val="16"/>
        </w:rPr>
        <w:softHyphen/>
        <w:t>сферы летчик защищался бронеспинкой, состоящей из четырех 4,75-мм бронеплит и бронезаголовника толщиной 10,25 мм.</w:t>
      </w:r>
    </w:p>
    <w:p w14:paraId="5B6C6C5C"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Водо- и маслорадиаторы защища</w:t>
      </w:r>
      <w:r w:rsidRPr="007224C3">
        <w:rPr>
          <w:rFonts w:ascii="Times New Roman" w:hAnsi="Times New Roman" w:cs="Times New Roman"/>
          <w:color w:val="000000" w:themeColor="text1"/>
          <w:sz w:val="16"/>
          <w:szCs w:val="16"/>
        </w:rPr>
        <w:softHyphen/>
        <w:t>лись снизу пятью 4,5-мм бронеплитами. Бронирование мотора включало четыре бронеплиты с левой стороны толщиной 4,25 и 4,75 мм, три плиты с правой сто</w:t>
      </w:r>
      <w:r w:rsidRPr="007224C3">
        <w:rPr>
          <w:rFonts w:ascii="Times New Roman" w:hAnsi="Times New Roman" w:cs="Times New Roman"/>
          <w:color w:val="000000" w:themeColor="text1"/>
          <w:sz w:val="16"/>
          <w:szCs w:val="16"/>
        </w:rPr>
        <w:softHyphen/>
        <w:t>роны толщиной 4,75, 5,25 и 6,75 мм и три бронеплиты снизу толщиной 7,5 мм, 5,25 и 4,75 мм. Все плиты крепились к подкосам моторной рамы и закрывались капотами мотора.</w:t>
      </w:r>
    </w:p>
    <w:p w14:paraId="6985ED92"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Масса пустого самолета составлял 2763 кг. Нормальный полетный вес - 3650 кг.</w:t>
      </w:r>
    </w:p>
    <w:p w14:paraId="51F7E64F"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На номинальном режиме работы мо</w:t>
      </w:r>
      <w:r w:rsidRPr="007224C3">
        <w:rPr>
          <w:rFonts w:ascii="Times New Roman" w:hAnsi="Times New Roman" w:cs="Times New Roman"/>
          <w:color w:val="000000" w:themeColor="text1"/>
          <w:sz w:val="16"/>
          <w:szCs w:val="16"/>
        </w:rPr>
        <w:softHyphen/>
        <w:t>тора максимальная скорость самолета «Харрикейн» 1Ю зав. № КХ-305 достигала 398 км/ч - у земли, 460 км/ч - на 1-й гра</w:t>
      </w:r>
      <w:r w:rsidRPr="007224C3">
        <w:rPr>
          <w:rFonts w:ascii="Times New Roman" w:hAnsi="Times New Roman" w:cs="Times New Roman"/>
          <w:color w:val="000000" w:themeColor="text1"/>
          <w:sz w:val="16"/>
          <w:szCs w:val="16"/>
        </w:rPr>
        <w:softHyphen/>
        <w:t>нице высотности (3400 м), 478 км/ч - на 2-й границе высотности (5300 м). На бое</w:t>
      </w:r>
      <w:r w:rsidRPr="007224C3">
        <w:rPr>
          <w:rFonts w:ascii="Times New Roman" w:hAnsi="Times New Roman" w:cs="Times New Roman"/>
          <w:color w:val="000000" w:themeColor="text1"/>
          <w:sz w:val="16"/>
          <w:szCs w:val="16"/>
        </w:rPr>
        <w:softHyphen/>
        <w:t>вом режиме работы мотора, который мож</w:t>
      </w:r>
      <w:r w:rsidRPr="007224C3">
        <w:rPr>
          <w:rFonts w:ascii="Times New Roman" w:hAnsi="Times New Roman" w:cs="Times New Roman"/>
          <w:color w:val="000000" w:themeColor="text1"/>
          <w:sz w:val="16"/>
          <w:szCs w:val="16"/>
        </w:rPr>
        <w:softHyphen/>
        <w:t>но было использовать в течение не более 5 мин, скорость самолета на высоте воз</w:t>
      </w:r>
      <w:r w:rsidRPr="007224C3">
        <w:rPr>
          <w:rFonts w:ascii="Times New Roman" w:hAnsi="Times New Roman" w:cs="Times New Roman"/>
          <w:color w:val="000000" w:themeColor="text1"/>
          <w:sz w:val="16"/>
          <w:szCs w:val="16"/>
        </w:rPr>
        <w:softHyphen/>
        <w:t>растала на 6-8 км/ч. При этом границы вы</w:t>
      </w:r>
      <w:r w:rsidRPr="007224C3">
        <w:rPr>
          <w:rFonts w:ascii="Times New Roman" w:hAnsi="Times New Roman" w:cs="Times New Roman"/>
          <w:color w:val="000000" w:themeColor="text1"/>
          <w:sz w:val="16"/>
          <w:szCs w:val="16"/>
        </w:rPr>
        <w:softHyphen/>
        <w:t>сотности несколько смещались вверх на 300-350 м. Практический потолок - 9650 м.</w:t>
      </w:r>
    </w:p>
    <w:p w14:paraId="2E4B5099"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Вертикальная скорость у земли состав</w:t>
      </w:r>
      <w:r w:rsidRPr="007224C3">
        <w:rPr>
          <w:rFonts w:ascii="Times New Roman" w:hAnsi="Times New Roman" w:cs="Times New Roman"/>
          <w:color w:val="000000" w:themeColor="text1"/>
          <w:sz w:val="16"/>
          <w:szCs w:val="16"/>
        </w:rPr>
        <w:softHyphen/>
        <w:t>ляла 9,7 м/с, на высоте 2000 м - 10,5 м/с, а на 3000 м -11,2 м/с. Соответственно, на вы</w:t>
      </w:r>
      <w:r w:rsidRPr="007224C3">
        <w:rPr>
          <w:rFonts w:ascii="Times New Roman" w:hAnsi="Times New Roman" w:cs="Times New Roman"/>
          <w:color w:val="000000" w:themeColor="text1"/>
          <w:sz w:val="16"/>
          <w:szCs w:val="16"/>
        </w:rPr>
        <w:softHyphen/>
        <w:t>соту 1000 м самолет забирался за 1,8 мин, на 3000 м - за 5,0 мин, а на 5000 м - за 8,5 мин.</w:t>
      </w:r>
    </w:p>
    <w:p w14:paraId="1A5FC6A4"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Самолет на высоте 1000 м разгонялся при даче полного газа от скорости 0,7 до 0,95 максимальной за 0,72 мин, а тормо</w:t>
      </w:r>
      <w:r w:rsidRPr="007224C3">
        <w:rPr>
          <w:rFonts w:ascii="Times New Roman" w:hAnsi="Times New Roman" w:cs="Times New Roman"/>
          <w:color w:val="000000" w:themeColor="text1"/>
          <w:sz w:val="16"/>
          <w:szCs w:val="16"/>
        </w:rPr>
        <w:softHyphen/>
        <w:t>зил при сбросе газа до скорости 0,7 макси</w:t>
      </w:r>
      <w:r w:rsidRPr="007224C3">
        <w:rPr>
          <w:rFonts w:ascii="Times New Roman" w:hAnsi="Times New Roman" w:cs="Times New Roman"/>
          <w:color w:val="000000" w:themeColor="text1"/>
          <w:sz w:val="16"/>
          <w:szCs w:val="16"/>
        </w:rPr>
        <w:softHyphen/>
        <w:t>мальной за 0,48 мин.</w:t>
      </w:r>
    </w:p>
    <w:p w14:paraId="675438E0"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Скорость, скороподъемность и раз</w:t>
      </w:r>
      <w:r w:rsidRPr="007224C3">
        <w:rPr>
          <w:rFonts w:ascii="Times New Roman" w:hAnsi="Times New Roman" w:cs="Times New Roman"/>
          <w:color w:val="000000" w:themeColor="text1"/>
          <w:sz w:val="16"/>
          <w:szCs w:val="16"/>
        </w:rPr>
        <w:softHyphen/>
        <w:t>гонные характеристики замерялись с пылефильтром, установленным на всасы</w:t>
      </w:r>
      <w:r w:rsidRPr="007224C3">
        <w:rPr>
          <w:rFonts w:ascii="Times New Roman" w:hAnsi="Times New Roman" w:cs="Times New Roman"/>
          <w:color w:val="000000" w:themeColor="text1"/>
          <w:sz w:val="16"/>
          <w:szCs w:val="16"/>
        </w:rPr>
        <w:softHyphen/>
        <w:t>вающем патрубке мотора, при закрытом фонаре и полностью открытой заслонке радиаторов.</w:t>
      </w:r>
    </w:p>
    <w:p w14:paraId="2516C52A"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За один боевой разворот (левый и пра</w:t>
      </w:r>
      <w:r w:rsidRPr="007224C3">
        <w:rPr>
          <w:rFonts w:ascii="Times New Roman" w:hAnsi="Times New Roman" w:cs="Times New Roman"/>
          <w:color w:val="000000" w:themeColor="text1"/>
          <w:sz w:val="16"/>
          <w:szCs w:val="16"/>
        </w:rPr>
        <w:softHyphen/>
        <w:t>вый) с высоты 5000 м при скорости ввода 412 км/ч самолет набирал 460 м. Скорость выхода в горизонтальный полет - 267 км/ч. На выполнение маневра затрачивалось 28 сек.</w:t>
      </w:r>
    </w:p>
    <w:p w14:paraId="7596A349"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При выполнении правого переворота при скорости ввода 207-215 км/ч самолет терял до 700 м высоты, а при выполнении левого переворота - 830 м. Скорость на выходе из переворота - 309-329 км/ч.</w:t>
      </w:r>
    </w:p>
    <w:p w14:paraId="2F032F37"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Виражи самолет выполнял устойчиво и легко сохранял заданный крен. Время полного виража на высоте 1000 м состав</w:t>
      </w:r>
      <w:r w:rsidRPr="007224C3">
        <w:rPr>
          <w:rFonts w:ascii="Times New Roman" w:hAnsi="Times New Roman" w:cs="Times New Roman"/>
          <w:color w:val="000000" w:themeColor="text1"/>
          <w:sz w:val="16"/>
          <w:szCs w:val="16"/>
        </w:rPr>
        <w:softHyphen/>
        <w:t>ляло 22 с при выполнении левого виража и 29-30 с при выполнении правого вира</w:t>
      </w:r>
      <w:r w:rsidRPr="007224C3">
        <w:rPr>
          <w:rFonts w:ascii="Times New Roman" w:hAnsi="Times New Roman" w:cs="Times New Roman"/>
          <w:color w:val="000000" w:themeColor="text1"/>
          <w:sz w:val="16"/>
          <w:szCs w:val="16"/>
        </w:rPr>
        <w:softHyphen/>
        <w:t>жа. При этом радиус виража не превышал 315 и 470 м, соответственно.</w:t>
      </w:r>
    </w:p>
    <w:p w14:paraId="28372906"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Разбег самолета при взлете находил</w:t>
      </w:r>
      <w:r w:rsidRPr="007224C3">
        <w:rPr>
          <w:rFonts w:ascii="Times New Roman" w:hAnsi="Times New Roman" w:cs="Times New Roman"/>
          <w:color w:val="000000" w:themeColor="text1"/>
          <w:sz w:val="16"/>
          <w:szCs w:val="16"/>
        </w:rPr>
        <w:softHyphen/>
        <w:t>ся в пределах 420 м. Скорость отрыва - 152 км/ч. Посадочная скорость равнялась 123 км/ч. Пробег при посадке со щитками, отклоненными на 80', не превышал 440 м.</w:t>
      </w:r>
    </w:p>
    <w:p w14:paraId="672D8F10"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Максимальная дальность полета на высоте 910-950 м при скорости полета 265 км/ч достигала 825 км (3 ч).</w:t>
      </w:r>
    </w:p>
    <w:p w14:paraId="59D64861"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В ходе испытаний было выполнено че</w:t>
      </w:r>
      <w:r w:rsidRPr="007224C3">
        <w:rPr>
          <w:rFonts w:ascii="Times New Roman" w:hAnsi="Times New Roman" w:cs="Times New Roman"/>
          <w:color w:val="000000" w:themeColor="text1"/>
          <w:sz w:val="16"/>
          <w:szCs w:val="16"/>
        </w:rPr>
        <w:softHyphen/>
        <w:t>тыре полета на пикирование под углами от 30' до 55°. Максимальная скорость на пики</w:t>
      </w:r>
      <w:r w:rsidRPr="007224C3">
        <w:rPr>
          <w:rFonts w:ascii="Times New Roman" w:hAnsi="Times New Roman" w:cs="Times New Roman"/>
          <w:color w:val="000000" w:themeColor="text1"/>
          <w:sz w:val="16"/>
          <w:szCs w:val="16"/>
        </w:rPr>
        <w:softHyphen/>
        <w:t>ровании доводилась до 630 км/ч (скорость ввода 380 км/ч), а перегрузка на выводе из пикирования до 3 единиц.</w:t>
      </w:r>
    </w:p>
    <w:p w14:paraId="0CA39CD7"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Пикировал самолет устойчиво. Поведение самолета с триммерами руля поворота, установленными нейтрально, было нормальным, тенденции к затяги</w:t>
      </w:r>
      <w:r w:rsidRPr="007224C3">
        <w:rPr>
          <w:rFonts w:ascii="Times New Roman" w:hAnsi="Times New Roman" w:cs="Times New Roman"/>
          <w:color w:val="000000" w:themeColor="text1"/>
          <w:sz w:val="16"/>
          <w:szCs w:val="16"/>
        </w:rPr>
        <w:softHyphen/>
        <w:t>ванию в пикирование не наблюдалось. Усилия на рули нормальные. Однако при достижении скорости 610-620 км/ч из-за отсасывания и срыва воздушного потока с замков обтекателей подкрыльевых пушек появлялась заметная тряска плоскостей и вибрация педалей ножного управления.</w:t>
      </w:r>
    </w:p>
    <w:p w14:paraId="7BC49149"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Летчики, облетавшие «Харрикейн» 1Ю, отмечали хороший обзор вперед, в сторону и вверх и неудовлетворительный - вперед- вниз и назад. Габариты кабины позволяли летчику наклоняться в стороны, что сочли недостатком самолета. Бронестекло ко</w:t>
      </w:r>
      <w:r w:rsidRPr="007224C3">
        <w:rPr>
          <w:rFonts w:ascii="Times New Roman" w:hAnsi="Times New Roman" w:cs="Times New Roman"/>
          <w:color w:val="000000" w:themeColor="text1"/>
          <w:sz w:val="16"/>
          <w:szCs w:val="16"/>
        </w:rPr>
        <w:softHyphen/>
        <w:t>зырька фонаря и целлулоид подвижной части имели удовлетворительную про</w:t>
      </w:r>
      <w:r w:rsidRPr="007224C3">
        <w:rPr>
          <w:rFonts w:ascii="Times New Roman" w:hAnsi="Times New Roman" w:cs="Times New Roman"/>
          <w:color w:val="000000" w:themeColor="text1"/>
          <w:sz w:val="16"/>
          <w:szCs w:val="16"/>
        </w:rPr>
        <w:softHyphen/>
        <w:t>зрачность и почти не давали искажений. Случаев отколов и обмерзания бронестек</w:t>
      </w:r>
      <w:r w:rsidRPr="007224C3">
        <w:rPr>
          <w:rFonts w:ascii="Times New Roman" w:hAnsi="Times New Roman" w:cs="Times New Roman"/>
          <w:color w:val="000000" w:themeColor="text1"/>
          <w:sz w:val="16"/>
          <w:szCs w:val="16"/>
        </w:rPr>
        <w:softHyphen/>
        <w:t>ла и целлулоида при полетах в условиях зимы не наблюдалось. Размещение не</w:t>
      </w:r>
      <w:r w:rsidRPr="007224C3">
        <w:rPr>
          <w:rFonts w:ascii="Times New Roman" w:hAnsi="Times New Roman" w:cs="Times New Roman"/>
          <w:color w:val="000000" w:themeColor="text1"/>
          <w:sz w:val="16"/>
          <w:szCs w:val="16"/>
        </w:rPr>
        <w:softHyphen/>
        <w:t>которых приборов на приборной доске и рычагов управления оказалось неудобным (например, рычаг управления уборкой и выпуском шасси).</w:t>
      </w:r>
    </w:p>
    <w:p w14:paraId="3F068BAA"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Анализ схемы бронирования показал, что броня прикрывала летчика в горизон</w:t>
      </w:r>
      <w:r w:rsidRPr="007224C3">
        <w:rPr>
          <w:rFonts w:ascii="Times New Roman" w:hAnsi="Times New Roman" w:cs="Times New Roman"/>
          <w:color w:val="000000" w:themeColor="text1"/>
          <w:sz w:val="16"/>
          <w:szCs w:val="16"/>
        </w:rPr>
        <w:softHyphen/>
        <w:t>тальной плоскости в угловом конусе 30-40° и в вертикальной плоскости до 10-15" вверх и 15-20° вниз по отношению к продольной оси самолета. В этом диапазоне углов вполне обеспечивалась защита от пора</w:t>
      </w:r>
      <w:r w:rsidRPr="007224C3">
        <w:rPr>
          <w:rFonts w:ascii="Times New Roman" w:hAnsi="Times New Roman" w:cs="Times New Roman"/>
          <w:color w:val="000000" w:themeColor="text1"/>
          <w:sz w:val="16"/>
          <w:szCs w:val="16"/>
        </w:rPr>
        <w:softHyphen/>
        <w:t>жения бронебойными пулями нормально</w:t>
      </w:r>
      <w:r w:rsidRPr="007224C3">
        <w:rPr>
          <w:rFonts w:ascii="Times New Roman" w:hAnsi="Times New Roman" w:cs="Times New Roman"/>
          <w:color w:val="000000" w:themeColor="text1"/>
          <w:sz w:val="16"/>
          <w:szCs w:val="16"/>
        </w:rPr>
        <w:softHyphen/>
        <w:t>го калибра при стрельбе с дистанции не менее 100-150 м и бронебойными пулями крупного калибра с дистанции 400-500 м и более. Между тем летчик не имел броне</w:t>
      </w:r>
      <w:r w:rsidRPr="007224C3">
        <w:rPr>
          <w:rFonts w:ascii="Times New Roman" w:hAnsi="Times New Roman" w:cs="Times New Roman"/>
          <w:color w:val="000000" w:themeColor="text1"/>
          <w:sz w:val="16"/>
          <w:szCs w:val="16"/>
        </w:rPr>
        <w:softHyphen/>
        <w:t xml:space="preserve">вой </w:t>
      </w:r>
      <w:r w:rsidRPr="007224C3">
        <w:rPr>
          <w:rFonts w:ascii="Times New Roman" w:hAnsi="Times New Roman" w:cs="Times New Roman"/>
          <w:color w:val="000000" w:themeColor="text1"/>
          <w:sz w:val="16"/>
          <w:szCs w:val="16"/>
        </w:rPr>
        <w:lastRenderedPageBreak/>
        <w:t>защиты сбоку и сверху. Совершенно не были защищены бензо- и маслобаки. Защита мотора, водо- и маслорадиатора считалась недостаточной. Мотор не имел брони сверху, водо- и маслорадиаторы не защищались со стороны входа и выхода воздушного тоннеля.</w:t>
      </w:r>
    </w:p>
    <w:p w14:paraId="7928D331"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По общему мнению летчиков увели</w:t>
      </w:r>
      <w:r w:rsidRPr="007224C3">
        <w:rPr>
          <w:rFonts w:ascii="Times New Roman" w:hAnsi="Times New Roman" w:cs="Times New Roman"/>
          <w:color w:val="000000" w:themeColor="text1"/>
          <w:sz w:val="16"/>
          <w:szCs w:val="16"/>
        </w:rPr>
        <w:softHyphen/>
        <w:t>чение полетного веса и ухудшение аэро</w:t>
      </w:r>
      <w:r w:rsidRPr="007224C3">
        <w:rPr>
          <w:rFonts w:ascii="Times New Roman" w:hAnsi="Times New Roman" w:cs="Times New Roman"/>
          <w:color w:val="000000" w:themeColor="text1"/>
          <w:sz w:val="16"/>
          <w:szCs w:val="16"/>
        </w:rPr>
        <w:softHyphen/>
        <w:t>динамики самолета Мк.1Ю по сравнению с Мк.НС привело к заметному понижению летных данных и маневренности самолета, как в вертикальной, так и в горизонталь</w:t>
      </w:r>
      <w:r w:rsidRPr="007224C3">
        <w:rPr>
          <w:rFonts w:ascii="Times New Roman" w:hAnsi="Times New Roman" w:cs="Times New Roman"/>
          <w:color w:val="000000" w:themeColor="text1"/>
          <w:sz w:val="16"/>
          <w:szCs w:val="16"/>
        </w:rPr>
        <w:softHyphen/>
        <w:t>ной плоскости. Для выполнения фигур, «скорости приходится держать больше на 5-7 миль/ч, так как самолет тяжелее и инер</w:t>
      </w:r>
      <w:r w:rsidRPr="007224C3">
        <w:rPr>
          <w:rFonts w:ascii="Times New Roman" w:hAnsi="Times New Roman" w:cs="Times New Roman"/>
          <w:color w:val="000000" w:themeColor="text1"/>
          <w:sz w:val="16"/>
          <w:szCs w:val="16"/>
        </w:rPr>
        <w:softHyphen/>
        <w:t>тнее». Продольная и поперечная устойчи</w:t>
      </w:r>
      <w:r w:rsidRPr="007224C3">
        <w:rPr>
          <w:rFonts w:ascii="Times New Roman" w:hAnsi="Times New Roman" w:cs="Times New Roman"/>
          <w:color w:val="000000" w:themeColor="text1"/>
          <w:sz w:val="16"/>
          <w:szCs w:val="16"/>
        </w:rPr>
        <w:softHyphen/>
        <w:t>вость самолета оставляла желать лучшего. Сбалансированность самолета в горизон</w:t>
      </w:r>
      <w:r w:rsidRPr="007224C3">
        <w:rPr>
          <w:rFonts w:ascii="Times New Roman" w:hAnsi="Times New Roman" w:cs="Times New Roman"/>
          <w:color w:val="000000" w:themeColor="text1"/>
          <w:sz w:val="16"/>
          <w:szCs w:val="16"/>
        </w:rPr>
        <w:softHyphen/>
        <w:t>тальном полете была затруднена и требо</w:t>
      </w:r>
      <w:r w:rsidRPr="007224C3">
        <w:rPr>
          <w:rFonts w:ascii="Times New Roman" w:hAnsi="Times New Roman" w:cs="Times New Roman"/>
          <w:color w:val="000000" w:themeColor="text1"/>
          <w:sz w:val="16"/>
          <w:szCs w:val="16"/>
        </w:rPr>
        <w:softHyphen/>
        <w:t>вала постоянной регулировки положения триммера при изменении скорости поле</w:t>
      </w:r>
      <w:r w:rsidRPr="007224C3">
        <w:rPr>
          <w:rFonts w:ascii="Times New Roman" w:hAnsi="Times New Roman" w:cs="Times New Roman"/>
          <w:color w:val="000000" w:themeColor="text1"/>
          <w:sz w:val="16"/>
          <w:szCs w:val="16"/>
        </w:rPr>
        <w:softHyphen/>
        <w:t>та. На вертикальных фигурах самолет бы</w:t>
      </w:r>
      <w:r w:rsidRPr="007224C3">
        <w:rPr>
          <w:rFonts w:ascii="Times New Roman" w:hAnsi="Times New Roman" w:cs="Times New Roman"/>
          <w:color w:val="000000" w:themeColor="text1"/>
          <w:sz w:val="16"/>
          <w:szCs w:val="16"/>
        </w:rPr>
        <w:softHyphen/>
        <w:t>стро терял скорость, набор высоты на им</w:t>
      </w:r>
      <w:r w:rsidRPr="007224C3">
        <w:rPr>
          <w:rFonts w:ascii="Times New Roman" w:hAnsi="Times New Roman" w:cs="Times New Roman"/>
          <w:color w:val="000000" w:themeColor="text1"/>
          <w:sz w:val="16"/>
          <w:szCs w:val="16"/>
        </w:rPr>
        <w:softHyphen/>
        <w:t>мельмане и боевом развороте сократился. В то же время техника пилотирования Мк.1Ю практически ничем не отличалась от самолетов «Харрикейн» НС или ИВ.</w:t>
      </w:r>
    </w:p>
    <w:p w14:paraId="2E3B0838"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Проведенный 27 декабря 1943 г. учеб</w:t>
      </w:r>
      <w:r w:rsidRPr="007224C3">
        <w:rPr>
          <w:rFonts w:ascii="Times New Roman" w:hAnsi="Times New Roman" w:cs="Times New Roman"/>
          <w:color w:val="000000" w:themeColor="text1"/>
          <w:sz w:val="16"/>
          <w:szCs w:val="16"/>
        </w:rPr>
        <w:softHyphen/>
        <w:t>ный воздушный бой с трофейным истре</w:t>
      </w:r>
      <w:r w:rsidRPr="007224C3">
        <w:rPr>
          <w:rFonts w:ascii="Times New Roman" w:hAnsi="Times New Roman" w:cs="Times New Roman"/>
          <w:color w:val="000000" w:themeColor="text1"/>
          <w:sz w:val="16"/>
          <w:szCs w:val="16"/>
        </w:rPr>
        <w:softHyphen/>
        <w:t>бителем В1109С-4 показал, что самолет «Харрикейн» 1Ю воздушный бой с ним вести не может. Причем не только наступатель</w:t>
      </w:r>
      <w:r w:rsidRPr="007224C3">
        <w:rPr>
          <w:rFonts w:ascii="Times New Roman" w:hAnsi="Times New Roman" w:cs="Times New Roman"/>
          <w:color w:val="000000" w:themeColor="text1"/>
          <w:sz w:val="16"/>
          <w:szCs w:val="16"/>
        </w:rPr>
        <w:softHyphen/>
        <w:t>ный бой, но и оборонительный. Немецкий истребитель имел явное преимущество в горизонтальной и в вертикальной плоско</w:t>
      </w:r>
      <w:r w:rsidRPr="007224C3">
        <w:rPr>
          <w:rFonts w:ascii="Times New Roman" w:hAnsi="Times New Roman" w:cs="Times New Roman"/>
          <w:color w:val="000000" w:themeColor="text1"/>
          <w:sz w:val="16"/>
          <w:szCs w:val="16"/>
        </w:rPr>
        <w:softHyphen/>
        <w:t>сти. На виражах «мессер» заходил в хвост «Харрикейну» уже после первого виража на левом вираже и после двух виражей - на правом. При атаках ВШ9С-4 сверху-сза</w:t>
      </w:r>
      <w:r w:rsidRPr="007224C3">
        <w:rPr>
          <w:rFonts w:ascii="Times New Roman" w:hAnsi="Times New Roman" w:cs="Times New Roman"/>
          <w:color w:val="000000" w:themeColor="text1"/>
          <w:sz w:val="16"/>
          <w:szCs w:val="16"/>
        </w:rPr>
        <w:softHyphen/>
        <w:t>ди старшему лейтенанту Поминальному, пилотировавшему «Харрикейн», удавалось вывернуться только из-под первой атаки «мессершмитта», уйти от последующих атак не получалось. Подавляющее пре</w:t>
      </w:r>
      <w:r w:rsidRPr="007224C3">
        <w:rPr>
          <w:rFonts w:ascii="Times New Roman" w:hAnsi="Times New Roman" w:cs="Times New Roman"/>
          <w:color w:val="000000" w:themeColor="text1"/>
          <w:sz w:val="16"/>
          <w:szCs w:val="16"/>
        </w:rPr>
        <w:softHyphen/>
        <w:t>имущество в вертикальном маневре не</w:t>
      </w:r>
      <w:r w:rsidRPr="007224C3">
        <w:rPr>
          <w:rFonts w:ascii="Times New Roman" w:hAnsi="Times New Roman" w:cs="Times New Roman"/>
          <w:color w:val="000000" w:themeColor="text1"/>
          <w:sz w:val="16"/>
          <w:szCs w:val="16"/>
        </w:rPr>
        <w:softHyphen/>
        <w:t>мецкого истребителя позволяло капитану Кувшинову, который летал на ВГ109С-4, свободно занимать выгодную для ата</w:t>
      </w:r>
      <w:r w:rsidRPr="007224C3">
        <w:rPr>
          <w:rFonts w:ascii="Times New Roman" w:hAnsi="Times New Roman" w:cs="Times New Roman"/>
          <w:color w:val="000000" w:themeColor="text1"/>
          <w:sz w:val="16"/>
          <w:szCs w:val="16"/>
        </w:rPr>
        <w:softHyphen/>
        <w:t>ки позицию и атаковать «Харрикейн» Поминального из любого положения.</w:t>
      </w:r>
    </w:p>
    <w:p w14:paraId="29B72B48"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После обмена мнениями летчика</w:t>
      </w:r>
      <w:r w:rsidRPr="007224C3">
        <w:rPr>
          <w:rFonts w:ascii="Times New Roman" w:hAnsi="Times New Roman" w:cs="Times New Roman"/>
          <w:color w:val="000000" w:themeColor="text1"/>
          <w:sz w:val="16"/>
          <w:szCs w:val="16"/>
        </w:rPr>
        <w:softHyphen/>
        <w:t>ми был сделан вывод о недопустимости воздушного боя одиночного самолета «Харрикейн» 1Ю не только с группой но даже и с одиночным истребителем про</w:t>
      </w:r>
      <w:r w:rsidRPr="007224C3">
        <w:rPr>
          <w:rFonts w:ascii="Times New Roman" w:hAnsi="Times New Roman" w:cs="Times New Roman"/>
          <w:color w:val="000000" w:themeColor="text1"/>
          <w:sz w:val="16"/>
          <w:szCs w:val="16"/>
        </w:rPr>
        <w:softHyphen/>
        <w:t>тивника. Рекомендовалось боевые зада-.' выполнять только группой и воздушньГ- бой вести в боевом порядке круг или вы</w:t>
      </w:r>
      <w:r w:rsidRPr="007224C3">
        <w:rPr>
          <w:rFonts w:ascii="Times New Roman" w:hAnsi="Times New Roman" w:cs="Times New Roman"/>
          <w:color w:val="000000" w:themeColor="text1"/>
          <w:sz w:val="16"/>
          <w:szCs w:val="16"/>
        </w:rPr>
        <w:softHyphen/>
        <w:t>полняя ножницы с оттягиванием на свою территорию.</w:t>
      </w:r>
    </w:p>
    <w:p w14:paraId="730421F3"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Вооружение самолета отстрели</w:t>
      </w:r>
      <w:r w:rsidRPr="007224C3">
        <w:rPr>
          <w:rFonts w:ascii="Times New Roman" w:hAnsi="Times New Roman" w:cs="Times New Roman"/>
          <w:color w:val="000000" w:themeColor="text1"/>
          <w:sz w:val="16"/>
          <w:szCs w:val="16"/>
        </w:rPr>
        <w:softHyphen/>
        <w:t>валось как на земле, так и в воздухе. Стрельба велась снарядами, «снаряжен</w:t>
      </w:r>
      <w:r w:rsidRPr="007224C3">
        <w:rPr>
          <w:rFonts w:ascii="Times New Roman" w:hAnsi="Times New Roman" w:cs="Times New Roman"/>
          <w:color w:val="000000" w:themeColor="text1"/>
          <w:sz w:val="16"/>
          <w:szCs w:val="16"/>
        </w:rPr>
        <w:softHyphen/>
        <w:t>ными стальными корпусами бронебойных снарядов, так как других боекомплектов для пушек МК-Н - 40 мм, в снабжающих организациях ВВС не имелось». При этом в снарядах отсутствовали «разрывной заряд ВВ и донный взрыватель, заглуш</w:t>
      </w:r>
      <w:r w:rsidRPr="007224C3">
        <w:rPr>
          <w:rFonts w:ascii="Times New Roman" w:hAnsi="Times New Roman" w:cs="Times New Roman"/>
          <w:color w:val="000000" w:themeColor="text1"/>
          <w:sz w:val="16"/>
          <w:szCs w:val="16"/>
        </w:rPr>
        <w:softHyphen/>
        <w:t>ка вместо него не поставлена», так что внутренняя полость снаряда сообщалась с зарядной каморой патрона. То есть, снаряды «не имели ни фугасного, ни за</w:t>
      </w:r>
      <w:r w:rsidRPr="007224C3">
        <w:rPr>
          <w:rFonts w:ascii="Times New Roman" w:hAnsi="Times New Roman" w:cs="Times New Roman"/>
          <w:color w:val="000000" w:themeColor="text1"/>
          <w:sz w:val="16"/>
          <w:szCs w:val="16"/>
        </w:rPr>
        <w:softHyphen/>
        <w:t>жигательного действия, а внутренняя и внешняя баллистика его отличалась от баллистики боевого снаряда». Очевидно, такие снаряды боевого значения не име</w:t>
      </w:r>
      <w:r w:rsidRPr="007224C3">
        <w:rPr>
          <w:rFonts w:ascii="Times New Roman" w:hAnsi="Times New Roman" w:cs="Times New Roman"/>
          <w:color w:val="000000" w:themeColor="text1"/>
          <w:sz w:val="16"/>
          <w:szCs w:val="16"/>
        </w:rPr>
        <w:softHyphen/>
        <w:t>ли, их использование ограничивалось только учебными целями. Но других сна</w:t>
      </w:r>
      <w:r w:rsidRPr="007224C3">
        <w:rPr>
          <w:rFonts w:ascii="Times New Roman" w:hAnsi="Times New Roman" w:cs="Times New Roman"/>
          <w:color w:val="000000" w:themeColor="text1"/>
          <w:sz w:val="16"/>
          <w:szCs w:val="16"/>
        </w:rPr>
        <w:softHyphen/>
        <w:t>рядов союзники не поставили!</w:t>
      </w:r>
    </w:p>
    <w:p w14:paraId="00975B58"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В общей сложности из пушек было вы</w:t>
      </w:r>
      <w:r w:rsidRPr="007224C3">
        <w:rPr>
          <w:rFonts w:ascii="Times New Roman" w:hAnsi="Times New Roman" w:cs="Times New Roman"/>
          <w:color w:val="000000" w:themeColor="text1"/>
          <w:sz w:val="16"/>
          <w:szCs w:val="16"/>
        </w:rPr>
        <w:softHyphen/>
        <w:t>полнено 620 выстрелов, в том числе 212 выстрелов на земле и 408 в воздухе.</w:t>
      </w:r>
    </w:p>
    <w:p w14:paraId="49980062"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Пушки пристреливались сходящимся веером на стандартную для ВВС КА дистан</w:t>
      </w:r>
      <w:r w:rsidRPr="007224C3">
        <w:rPr>
          <w:rFonts w:ascii="Times New Roman" w:hAnsi="Times New Roman" w:cs="Times New Roman"/>
          <w:color w:val="000000" w:themeColor="text1"/>
          <w:sz w:val="16"/>
          <w:szCs w:val="16"/>
        </w:rPr>
        <w:softHyphen/>
        <w:t>цию - 400 м. Рассеивание определялось стрельбой на земле и в воздухе по щитам. Стрельба велась одиночно и очередями.</w:t>
      </w:r>
    </w:p>
    <w:p w14:paraId="67537908"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На земле рассеивание определялось одиночной стрельбой на дальность 50 и 400 м по щиту 2x2 м, поставленному верти</w:t>
      </w:r>
      <w:r w:rsidRPr="007224C3">
        <w:rPr>
          <w:rFonts w:ascii="Times New Roman" w:hAnsi="Times New Roman" w:cs="Times New Roman"/>
          <w:color w:val="000000" w:themeColor="text1"/>
          <w:sz w:val="16"/>
          <w:szCs w:val="16"/>
        </w:rPr>
        <w:softHyphen/>
        <w:t>кально. При стрельбе овальных отверстий в щите обнаружено не было, что характе</w:t>
      </w:r>
      <w:r w:rsidRPr="007224C3">
        <w:rPr>
          <w:rFonts w:ascii="Times New Roman" w:hAnsi="Times New Roman" w:cs="Times New Roman"/>
          <w:color w:val="000000" w:themeColor="text1"/>
          <w:sz w:val="16"/>
          <w:szCs w:val="16"/>
        </w:rPr>
        <w:softHyphen/>
        <w:t>ризовало хорошую устойчивость снаряда в полете на данных дистанциях.</w:t>
      </w:r>
    </w:p>
    <w:p w14:paraId="08570D83"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Для левой пушки боковое отклоне</w:t>
      </w:r>
      <w:r w:rsidRPr="007224C3">
        <w:rPr>
          <w:rFonts w:ascii="Times New Roman" w:hAnsi="Times New Roman" w:cs="Times New Roman"/>
          <w:color w:val="000000" w:themeColor="text1"/>
          <w:sz w:val="16"/>
          <w:szCs w:val="16"/>
        </w:rPr>
        <w:softHyphen/>
        <w:t>ние на дистанции 400 м составило всего 10,3 см, вертикальное - 17,0 см, а для пра</w:t>
      </w:r>
      <w:r w:rsidRPr="007224C3">
        <w:rPr>
          <w:rFonts w:ascii="Times New Roman" w:hAnsi="Times New Roman" w:cs="Times New Roman"/>
          <w:color w:val="000000" w:themeColor="text1"/>
          <w:sz w:val="16"/>
          <w:szCs w:val="16"/>
        </w:rPr>
        <w:softHyphen/>
        <w:t>вой пушки -13,0 и 16,2 см, соответственно. При стрельбе пулеметов Кольт-Браунинг отклонение оказалось даже выше, чем при стрельбе из пушек: боковое и вертикаль</w:t>
      </w:r>
      <w:r w:rsidRPr="007224C3">
        <w:rPr>
          <w:rFonts w:ascii="Times New Roman" w:hAnsi="Times New Roman" w:cs="Times New Roman"/>
          <w:color w:val="000000" w:themeColor="text1"/>
          <w:sz w:val="16"/>
          <w:szCs w:val="16"/>
        </w:rPr>
        <w:softHyphen/>
        <w:t>ное отклонения для левого пулемета рав</w:t>
      </w:r>
      <w:r w:rsidRPr="007224C3">
        <w:rPr>
          <w:rFonts w:ascii="Times New Roman" w:hAnsi="Times New Roman" w:cs="Times New Roman"/>
          <w:color w:val="000000" w:themeColor="text1"/>
          <w:sz w:val="16"/>
          <w:szCs w:val="16"/>
        </w:rPr>
        <w:softHyphen/>
        <w:t>нялись 23,6 и 26,7 см, для правого пулеме</w:t>
      </w:r>
      <w:r w:rsidRPr="007224C3">
        <w:rPr>
          <w:rFonts w:ascii="Times New Roman" w:hAnsi="Times New Roman" w:cs="Times New Roman"/>
          <w:color w:val="000000" w:themeColor="text1"/>
          <w:sz w:val="16"/>
          <w:szCs w:val="16"/>
        </w:rPr>
        <w:softHyphen/>
        <w:t>та-20,6 и 35,8 см.</w:t>
      </w:r>
    </w:p>
    <w:p w14:paraId="0EAE19C2"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Коэффициент искажения рассеивания с увеличением дистанции стрельбы до</w:t>
      </w:r>
      <w:r w:rsidRPr="007224C3">
        <w:rPr>
          <w:rFonts w:ascii="Times New Roman" w:hAnsi="Times New Roman" w:cs="Times New Roman"/>
          <w:color w:val="000000" w:themeColor="text1"/>
          <w:sz w:val="16"/>
          <w:szCs w:val="16"/>
        </w:rPr>
        <w:softHyphen/>
        <w:t>стигал величин 0,63-1,32 - у пушек и 0,78- 1,77 - у пулеметов, что «указывает на невы</w:t>
      </w:r>
      <w:r w:rsidRPr="007224C3">
        <w:rPr>
          <w:rFonts w:ascii="Times New Roman" w:hAnsi="Times New Roman" w:cs="Times New Roman"/>
          <w:color w:val="000000" w:themeColor="text1"/>
          <w:sz w:val="16"/>
          <w:szCs w:val="16"/>
        </w:rPr>
        <w:softHyphen/>
        <w:t>сокие баллистические качества оружия на данной установке».</w:t>
      </w:r>
    </w:p>
    <w:p w14:paraId="481EDFAC"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В воздухе пушки отстреляли капитаны Голофастов, Кувшинов, Пикуленко, Кусакин и старший лейтенант Поминальный. Стрельба велась в горизонтальном полете, на виражах, на наборе высоты, а после вы</w:t>
      </w:r>
      <w:r w:rsidRPr="007224C3">
        <w:rPr>
          <w:rFonts w:ascii="Times New Roman" w:hAnsi="Times New Roman" w:cs="Times New Roman"/>
          <w:color w:val="000000" w:themeColor="text1"/>
          <w:sz w:val="16"/>
          <w:szCs w:val="16"/>
        </w:rPr>
        <w:softHyphen/>
        <w:t>полнения пилотажа и по наземной цели с пикирования (по щитам и контуру самоле</w:t>
      </w:r>
      <w:r w:rsidRPr="007224C3">
        <w:rPr>
          <w:rFonts w:ascii="Times New Roman" w:hAnsi="Times New Roman" w:cs="Times New Roman"/>
          <w:color w:val="000000" w:themeColor="text1"/>
          <w:sz w:val="16"/>
          <w:szCs w:val="16"/>
        </w:rPr>
        <w:softHyphen/>
        <w:t>та:. Кроме того, один полет был выполнен для стрельбы на большой высоте.</w:t>
      </w:r>
    </w:p>
    <w:p w14:paraId="6377AC2A"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Пушки при стрельбе в воздухе пока</w:t>
      </w:r>
      <w:r w:rsidRPr="007224C3">
        <w:rPr>
          <w:rFonts w:ascii="Times New Roman" w:hAnsi="Times New Roman" w:cs="Times New Roman"/>
          <w:color w:val="000000" w:themeColor="text1"/>
          <w:sz w:val="16"/>
          <w:szCs w:val="16"/>
        </w:rPr>
        <w:softHyphen/>
        <w:t>зан/ себя, как надежное и безотказное оружие. Отдача при стрельбе из пушек более мягкая, чем при стрельбе из 37-мм -ушек НС-37 на самолетах Як-9т и ЛаГГ-3. С/нхронность стрельбы оценивалась как отличная.</w:t>
      </w:r>
    </w:p>
    <w:p w14:paraId="0114A991"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При стрельбе в горизонтальном поле</w:t>
      </w:r>
      <w:r w:rsidRPr="007224C3">
        <w:rPr>
          <w:rFonts w:ascii="Times New Roman" w:hAnsi="Times New Roman" w:cs="Times New Roman"/>
          <w:color w:val="000000" w:themeColor="text1"/>
          <w:sz w:val="16"/>
          <w:szCs w:val="16"/>
        </w:rPr>
        <w:softHyphen/>
        <w:t>те самолет «ощущает толчки и зарывается носом вниз». Такие же толчки имели место и на всех других режимах. На пикировании самолет во время стрельбы стремился увеличить угол пикирования и «его необ</w:t>
      </w:r>
      <w:r w:rsidRPr="007224C3">
        <w:rPr>
          <w:rFonts w:ascii="Times New Roman" w:hAnsi="Times New Roman" w:cs="Times New Roman"/>
          <w:color w:val="000000" w:themeColor="text1"/>
          <w:sz w:val="16"/>
          <w:szCs w:val="16"/>
        </w:rPr>
        <w:softHyphen/>
        <w:t>ходимо удерживать ручкой управления». Сила отдачи при стрельбе «несколько при</w:t>
      </w:r>
      <w:r w:rsidRPr="007224C3">
        <w:rPr>
          <w:rFonts w:ascii="Times New Roman" w:hAnsi="Times New Roman" w:cs="Times New Roman"/>
          <w:color w:val="000000" w:themeColor="text1"/>
          <w:sz w:val="16"/>
          <w:szCs w:val="16"/>
        </w:rPr>
        <w:softHyphen/>
        <w:t>тормаживает самолет, снижая скорость самолета на пикировании». При стрельбе во время набора высоты наблюдалось не</w:t>
      </w:r>
      <w:r w:rsidRPr="007224C3">
        <w:rPr>
          <w:rFonts w:ascii="Times New Roman" w:hAnsi="Times New Roman" w:cs="Times New Roman"/>
          <w:color w:val="000000" w:themeColor="text1"/>
          <w:sz w:val="16"/>
          <w:szCs w:val="16"/>
        </w:rPr>
        <w:softHyphen/>
        <w:t>которое уменьшение угла.</w:t>
      </w:r>
    </w:p>
    <w:p w14:paraId="10B9DF25"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Чем длиннее очередь из пушек, «тем опускание носа самолета и толчки более за</w:t>
      </w:r>
      <w:r w:rsidRPr="007224C3">
        <w:rPr>
          <w:rFonts w:ascii="Times New Roman" w:hAnsi="Times New Roman" w:cs="Times New Roman"/>
          <w:color w:val="000000" w:themeColor="text1"/>
          <w:sz w:val="16"/>
          <w:szCs w:val="16"/>
        </w:rPr>
        <w:softHyphen/>
        <w:t>метны». При очередях свыше 5-6 снарядов «удержать самолет от зарывания носом ста</w:t>
      </w:r>
      <w:r w:rsidRPr="007224C3">
        <w:rPr>
          <w:rFonts w:ascii="Times New Roman" w:hAnsi="Times New Roman" w:cs="Times New Roman"/>
          <w:color w:val="000000" w:themeColor="text1"/>
          <w:sz w:val="16"/>
          <w:szCs w:val="16"/>
        </w:rPr>
        <w:softHyphen/>
        <w:t>новится затруднительно», «самолет начина</w:t>
      </w:r>
      <w:r w:rsidRPr="007224C3">
        <w:rPr>
          <w:rFonts w:ascii="Times New Roman" w:hAnsi="Times New Roman" w:cs="Times New Roman"/>
          <w:color w:val="000000" w:themeColor="text1"/>
          <w:sz w:val="16"/>
          <w:szCs w:val="16"/>
        </w:rPr>
        <w:softHyphen/>
        <w:t>ет раскачиваться в полете» и «прицельная стрельба становится"'невозможной».</w:t>
      </w:r>
    </w:p>
    <w:p w14:paraId="45B23C26"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Для обеспечения более точного по</w:t>
      </w:r>
      <w:r w:rsidRPr="007224C3">
        <w:rPr>
          <w:rFonts w:ascii="Times New Roman" w:hAnsi="Times New Roman" w:cs="Times New Roman"/>
          <w:color w:val="000000" w:themeColor="text1"/>
          <w:sz w:val="16"/>
          <w:szCs w:val="16"/>
        </w:rPr>
        <w:softHyphen/>
        <w:t>ражения цели рекомендовалось произво</w:t>
      </w:r>
      <w:r w:rsidRPr="007224C3">
        <w:rPr>
          <w:rFonts w:ascii="Times New Roman" w:hAnsi="Times New Roman" w:cs="Times New Roman"/>
          <w:color w:val="000000" w:themeColor="text1"/>
          <w:sz w:val="16"/>
          <w:szCs w:val="16"/>
        </w:rPr>
        <w:softHyphen/>
        <w:t>дить стрельбу очередями по 2-3 максимум 4 снаряда из каждой пушки. При этом ко</w:t>
      </w:r>
      <w:r w:rsidRPr="007224C3">
        <w:rPr>
          <w:rFonts w:ascii="Times New Roman" w:hAnsi="Times New Roman" w:cs="Times New Roman"/>
          <w:color w:val="000000" w:themeColor="text1"/>
          <w:sz w:val="16"/>
          <w:szCs w:val="16"/>
        </w:rPr>
        <w:softHyphen/>
        <w:t>роткая очередь была рациональна и с точки зрения тактического применения самолета (более экономного расхода небольшого боекомплекта к пушкам).</w:t>
      </w:r>
    </w:p>
    <w:p w14:paraId="61BA5B80"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При стрельбе из одной пушки (правой или левой) самолет разворачивался в сто</w:t>
      </w:r>
      <w:r w:rsidRPr="007224C3">
        <w:rPr>
          <w:rFonts w:ascii="Times New Roman" w:hAnsi="Times New Roman" w:cs="Times New Roman"/>
          <w:color w:val="000000" w:themeColor="text1"/>
          <w:sz w:val="16"/>
          <w:szCs w:val="16"/>
        </w:rPr>
        <w:softHyphen/>
        <w:t>рону стреляющей пушки, а так как «темп стрельбы очень мал, то держать самолет ногой, парируя рулями его отход от цели, почти невозможно». По заявлениям летчи</w:t>
      </w:r>
      <w:r w:rsidRPr="007224C3">
        <w:rPr>
          <w:rFonts w:ascii="Times New Roman" w:hAnsi="Times New Roman" w:cs="Times New Roman"/>
          <w:color w:val="000000" w:themeColor="text1"/>
          <w:sz w:val="16"/>
          <w:szCs w:val="16"/>
        </w:rPr>
        <w:softHyphen/>
        <w:t>ков «получается разбалтывание самолета относительно вертикальной оси на ли</w:t>
      </w:r>
      <w:r w:rsidRPr="007224C3">
        <w:rPr>
          <w:rFonts w:ascii="Times New Roman" w:hAnsi="Times New Roman" w:cs="Times New Roman"/>
          <w:color w:val="000000" w:themeColor="text1"/>
          <w:sz w:val="16"/>
          <w:szCs w:val="16"/>
        </w:rPr>
        <w:softHyphen/>
        <w:t>нии прицеливания, что ухудшает качество стрельбы». То есть прицельным был только первый снаряд в очереди.</w:t>
      </w:r>
    </w:p>
    <w:p w14:paraId="45552FFE"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Наиболее удобными углами пикирова</w:t>
      </w:r>
      <w:r w:rsidRPr="007224C3">
        <w:rPr>
          <w:rFonts w:ascii="Times New Roman" w:hAnsi="Times New Roman" w:cs="Times New Roman"/>
          <w:color w:val="000000" w:themeColor="text1"/>
          <w:sz w:val="16"/>
          <w:szCs w:val="16"/>
        </w:rPr>
        <w:softHyphen/>
        <w:t>ния при стрельбе по наземной цели с точки зрения потери высоты и увеличения скоро</w:t>
      </w:r>
      <w:r w:rsidRPr="007224C3">
        <w:rPr>
          <w:rFonts w:ascii="Times New Roman" w:hAnsi="Times New Roman" w:cs="Times New Roman"/>
          <w:color w:val="000000" w:themeColor="text1"/>
          <w:sz w:val="16"/>
          <w:szCs w:val="16"/>
        </w:rPr>
        <w:softHyphen/>
        <w:t>сти на пикировании, а также удобства при</w:t>
      </w:r>
      <w:r w:rsidRPr="007224C3">
        <w:rPr>
          <w:rFonts w:ascii="Times New Roman" w:hAnsi="Times New Roman" w:cs="Times New Roman"/>
          <w:color w:val="000000" w:themeColor="text1"/>
          <w:sz w:val="16"/>
          <w:szCs w:val="16"/>
        </w:rPr>
        <w:softHyphen/>
        <w:t>целивания считался диапазон 35-45°. При высоте ввода в пикирование 500-550 м дистанция огня составляла 500-700 м, что было более чем достаточно для прицели</w:t>
      </w:r>
      <w:r w:rsidRPr="007224C3">
        <w:rPr>
          <w:rFonts w:ascii="Times New Roman" w:hAnsi="Times New Roman" w:cs="Times New Roman"/>
          <w:color w:val="000000" w:themeColor="text1"/>
          <w:sz w:val="16"/>
          <w:szCs w:val="16"/>
        </w:rPr>
        <w:softHyphen/>
        <w:t>вания и производства 2-3 очередей.</w:t>
      </w:r>
    </w:p>
    <w:p w14:paraId="701EEBBA"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Важно отметить, что при стрельбе в воздухе по наземной цели «Харрикейн» допускал перенос огня от первоначальной точки наводки в боковом направлении и по дальности в пределах 10-15°, «что было за</w:t>
      </w:r>
      <w:r w:rsidRPr="007224C3">
        <w:rPr>
          <w:rFonts w:ascii="Times New Roman" w:hAnsi="Times New Roman" w:cs="Times New Roman"/>
          <w:color w:val="000000" w:themeColor="text1"/>
          <w:sz w:val="16"/>
          <w:szCs w:val="16"/>
        </w:rPr>
        <w:softHyphen/>
        <w:t>труднено, а порой неосуществимо, на са</w:t>
      </w:r>
      <w:r w:rsidRPr="007224C3">
        <w:rPr>
          <w:rFonts w:ascii="Times New Roman" w:hAnsi="Times New Roman" w:cs="Times New Roman"/>
          <w:color w:val="000000" w:themeColor="text1"/>
          <w:sz w:val="16"/>
          <w:szCs w:val="16"/>
        </w:rPr>
        <w:softHyphen/>
        <w:t>молете Ил-2 с 37-мм пушками».</w:t>
      </w:r>
    </w:p>
    <w:p w14:paraId="6D463135"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Летчикам понравилось удобное распо</w:t>
      </w:r>
      <w:r w:rsidRPr="007224C3">
        <w:rPr>
          <w:rFonts w:ascii="Times New Roman" w:hAnsi="Times New Roman" w:cs="Times New Roman"/>
          <w:color w:val="000000" w:themeColor="text1"/>
          <w:sz w:val="16"/>
          <w:szCs w:val="16"/>
        </w:rPr>
        <w:softHyphen/>
        <w:t>ложение электрокнопки управления огнем из пушек на секторе газа под левую руку. Поскольку пулеметы приводились в дей</w:t>
      </w:r>
      <w:r w:rsidRPr="007224C3">
        <w:rPr>
          <w:rFonts w:ascii="Times New Roman" w:hAnsi="Times New Roman" w:cs="Times New Roman"/>
          <w:color w:val="000000" w:themeColor="text1"/>
          <w:sz w:val="16"/>
          <w:szCs w:val="16"/>
        </w:rPr>
        <w:softHyphen/>
        <w:t>ствие кнопкой на ручке управления само</w:t>
      </w:r>
      <w:r w:rsidRPr="007224C3">
        <w:rPr>
          <w:rFonts w:ascii="Times New Roman" w:hAnsi="Times New Roman" w:cs="Times New Roman"/>
          <w:color w:val="000000" w:themeColor="text1"/>
          <w:sz w:val="16"/>
          <w:szCs w:val="16"/>
        </w:rPr>
        <w:softHyphen/>
        <w:t>летом, то такое расположение управления пушками позволяло вести одновременный огонь из пушек и пулеметов.</w:t>
      </w:r>
    </w:p>
    <w:p w14:paraId="38DABB29"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Существенным недостатком системы управления вооружением посчитали от</w:t>
      </w:r>
      <w:r w:rsidRPr="007224C3">
        <w:rPr>
          <w:rFonts w:ascii="Times New Roman" w:hAnsi="Times New Roman" w:cs="Times New Roman"/>
          <w:color w:val="000000" w:themeColor="text1"/>
          <w:sz w:val="16"/>
          <w:szCs w:val="16"/>
        </w:rPr>
        <w:softHyphen/>
        <w:t>сутствие приспособления перезарядки пушек в воздухе. По этой причине устра</w:t>
      </w:r>
      <w:r w:rsidRPr="007224C3">
        <w:rPr>
          <w:rFonts w:ascii="Times New Roman" w:hAnsi="Times New Roman" w:cs="Times New Roman"/>
          <w:color w:val="000000" w:themeColor="text1"/>
          <w:sz w:val="16"/>
          <w:szCs w:val="16"/>
        </w:rPr>
        <w:softHyphen/>
        <w:t>нить возможные задержки в стрельбе лет</w:t>
      </w:r>
      <w:r w:rsidRPr="007224C3">
        <w:rPr>
          <w:rFonts w:ascii="Times New Roman" w:hAnsi="Times New Roman" w:cs="Times New Roman"/>
          <w:color w:val="000000" w:themeColor="text1"/>
          <w:sz w:val="16"/>
          <w:szCs w:val="16"/>
        </w:rPr>
        <w:softHyphen/>
        <w:t>чик не мог. В полете в случае осечки лет</w:t>
      </w:r>
      <w:r w:rsidRPr="007224C3">
        <w:rPr>
          <w:rFonts w:ascii="Times New Roman" w:hAnsi="Times New Roman" w:cs="Times New Roman"/>
          <w:color w:val="000000" w:themeColor="text1"/>
          <w:sz w:val="16"/>
          <w:szCs w:val="16"/>
        </w:rPr>
        <w:softHyphen/>
        <w:t>чик мог только повторно взвести ударный механизм, «что отсутствие системы пере</w:t>
      </w:r>
      <w:r w:rsidRPr="007224C3">
        <w:rPr>
          <w:rFonts w:ascii="Times New Roman" w:hAnsi="Times New Roman" w:cs="Times New Roman"/>
          <w:color w:val="000000" w:themeColor="text1"/>
          <w:sz w:val="16"/>
          <w:szCs w:val="16"/>
        </w:rPr>
        <w:softHyphen/>
        <w:t>зарядки не компенсирует». В то же время взведение ударника (с помощью гашетки на левом борту) и контроль давления в воздушной системе управления оружием (с помощью манометра) осуществлялось просто и удобно.</w:t>
      </w:r>
    </w:p>
    <w:p w14:paraId="3A4AE5F1"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Прицеливание при помощи прицела Рефлектор Сайт Мк.115 простое. Включать прицел и регулировать накал лампы под</w:t>
      </w:r>
      <w:r w:rsidRPr="007224C3">
        <w:rPr>
          <w:rFonts w:ascii="Times New Roman" w:hAnsi="Times New Roman" w:cs="Times New Roman"/>
          <w:color w:val="000000" w:themeColor="text1"/>
          <w:sz w:val="16"/>
          <w:szCs w:val="16"/>
        </w:rPr>
        <w:softHyphen/>
        <w:t>светки удобно.</w:t>
      </w:r>
    </w:p>
    <w:p w14:paraId="6664246B"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Попытка отстрелять все вооружение самолета на высоте 7500-8000 м оказа</w:t>
      </w:r>
      <w:r w:rsidRPr="007224C3">
        <w:rPr>
          <w:rFonts w:ascii="Times New Roman" w:hAnsi="Times New Roman" w:cs="Times New Roman"/>
          <w:color w:val="000000" w:themeColor="text1"/>
          <w:sz w:val="16"/>
          <w:szCs w:val="16"/>
        </w:rPr>
        <w:softHyphen/>
        <w:t>лась неудачной. Из-за низкой температу</w:t>
      </w:r>
      <w:r w:rsidRPr="007224C3">
        <w:rPr>
          <w:rFonts w:ascii="Times New Roman" w:hAnsi="Times New Roman" w:cs="Times New Roman"/>
          <w:color w:val="000000" w:themeColor="text1"/>
          <w:sz w:val="16"/>
          <w:szCs w:val="16"/>
        </w:rPr>
        <w:softHyphen/>
        <w:t>ры воздуха - около -54°С, оружие отказало в действии. На земле были определены не</w:t>
      </w:r>
      <w:r w:rsidRPr="007224C3">
        <w:rPr>
          <w:rFonts w:ascii="Times New Roman" w:hAnsi="Times New Roman" w:cs="Times New Roman"/>
          <w:color w:val="000000" w:themeColor="text1"/>
          <w:sz w:val="16"/>
          <w:szCs w:val="16"/>
        </w:rPr>
        <w:softHyphen/>
        <w:t>отдачи в пушках и пулеметах, хотя оружие было смазано незамерзающей смазкой.</w:t>
      </w:r>
    </w:p>
    <w:p w14:paraId="2AD5FCDB"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Летчики сочли, что «боекомплект 15 снарядов на пушку и темп стрельбы 100-110 выстрелов в минуту не могут удовлетворить ТТТ, предъявляемым ВВС к самолету-истребителю». Боекомплект к пулеметам был вполне достаточным.</w:t>
      </w:r>
    </w:p>
    <w:p w14:paraId="6E522B2F"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Основные результаты при стрельбе по щиту с пикирования под углом 45° с дистан</w:t>
      </w:r>
      <w:r w:rsidRPr="007224C3">
        <w:rPr>
          <w:rFonts w:ascii="Times New Roman" w:hAnsi="Times New Roman" w:cs="Times New Roman"/>
          <w:color w:val="000000" w:themeColor="text1"/>
          <w:sz w:val="16"/>
          <w:szCs w:val="16"/>
        </w:rPr>
        <w:softHyphen/>
        <w:t>ции 500-700 м сводились к следующему. Боковое отклонение и отклонение по даль</w:t>
      </w:r>
      <w:r w:rsidRPr="007224C3">
        <w:rPr>
          <w:rFonts w:ascii="Times New Roman" w:hAnsi="Times New Roman" w:cs="Times New Roman"/>
          <w:color w:val="000000" w:themeColor="text1"/>
          <w:sz w:val="16"/>
          <w:szCs w:val="16"/>
        </w:rPr>
        <w:softHyphen/>
        <w:t>ности достигали: короткая очередь (2-3 снаряда) -1,08 и 1,70 м, длинная очередь (6-7 снарядов) - 1,51 и 2,39 м, рассеива</w:t>
      </w:r>
      <w:r w:rsidRPr="007224C3">
        <w:rPr>
          <w:rFonts w:ascii="Times New Roman" w:hAnsi="Times New Roman" w:cs="Times New Roman"/>
          <w:color w:val="000000" w:themeColor="text1"/>
          <w:sz w:val="16"/>
          <w:szCs w:val="16"/>
        </w:rPr>
        <w:softHyphen/>
        <w:t>ние коротких очередей (5 очередей) - 1,55 и 3,11 м, рассеивание длинных очередей (2 очереди)-2,02 и 5,32 м.</w:t>
      </w:r>
    </w:p>
    <w:p w14:paraId="614F8ACE"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Наблюдались значительные отклоне</w:t>
      </w:r>
      <w:r w:rsidRPr="007224C3">
        <w:rPr>
          <w:rFonts w:ascii="Times New Roman" w:hAnsi="Times New Roman" w:cs="Times New Roman"/>
          <w:color w:val="000000" w:themeColor="text1"/>
          <w:sz w:val="16"/>
          <w:szCs w:val="16"/>
        </w:rPr>
        <w:softHyphen/>
        <w:t>ния центра группирования в вертикальной плоскости (по дальности) с увеличением длины очереди. Если при стрельбе корот</w:t>
      </w:r>
      <w:r w:rsidRPr="007224C3">
        <w:rPr>
          <w:rFonts w:ascii="Times New Roman" w:hAnsi="Times New Roman" w:cs="Times New Roman"/>
          <w:color w:val="000000" w:themeColor="text1"/>
          <w:sz w:val="16"/>
          <w:szCs w:val="16"/>
        </w:rPr>
        <w:softHyphen/>
        <w:t>кими очередями рассеивание центра груп</w:t>
      </w:r>
      <w:r w:rsidRPr="007224C3">
        <w:rPr>
          <w:rFonts w:ascii="Times New Roman" w:hAnsi="Times New Roman" w:cs="Times New Roman"/>
          <w:color w:val="000000" w:themeColor="text1"/>
          <w:sz w:val="16"/>
          <w:szCs w:val="16"/>
        </w:rPr>
        <w:softHyphen/>
        <w:t>пирования очереди находилось в пределах от -1,1 до -2,4 м, то при переходе к стрель</w:t>
      </w:r>
      <w:r w:rsidRPr="007224C3">
        <w:rPr>
          <w:rFonts w:ascii="Times New Roman" w:hAnsi="Times New Roman" w:cs="Times New Roman"/>
          <w:color w:val="000000" w:themeColor="text1"/>
          <w:sz w:val="16"/>
          <w:szCs w:val="16"/>
        </w:rPr>
        <w:softHyphen/>
        <w:t>бе длинными очередями резко возраста</w:t>
      </w:r>
      <w:r w:rsidRPr="007224C3">
        <w:rPr>
          <w:rFonts w:ascii="Times New Roman" w:hAnsi="Times New Roman" w:cs="Times New Roman"/>
          <w:color w:val="000000" w:themeColor="text1"/>
          <w:sz w:val="16"/>
          <w:szCs w:val="16"/>
        </w:rPr>
        <w:softHyphen/>
        <w:t>ло - до -3,12-4,47 м. Это обстоятельство вполне соответствовало показаниям лет</w:t>
      </w:r>
      <w:r w:rsidRPr="007224C3">
        <w:rPr>
          <w:rFonts w:ascii="Times New Roman" w:hAnsi="Times New Roman" w:cs="Times New Roman"/>
          <w:color w:val="000000" w:themeColor="text1"/>
          <w:sz w:val="16"/>
          <w:szCs w:val="16"/>
        </w:rPr>
        <w:softHyphen/>
        <w:t>чиков о стремлении самолета «зарываться носом при стрельбе на пикировании».</w:t>
      </w:r>
    </w:p>
    <w:p w14:paraId="438CEDDB"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При стрельбе из одной пушки с увели</w:t>
      </w:r>
      <w:r w:rsidRPr="007224C3">
        <w:rPr>
          <w:rFonts w:ascii="Times New Roman" w:hAnsi="Times New Roman" w:cs="Times New Roman"/>
          <w:color w:val="000000" w:themeColor="text1"/>
          <w:sz w:val="16"/>
          <w:szCs w:val="16"/>
        </w:rPr>
        <w:softHyphen/>
        <w:t>чением длины очереди центр группирова</w:t>
      </w:r>
      <w:r w:rsidRPr="007224C3">
        <w:rPr>
          <w:rFonts w:ascii="Times New Roman" w:hAnsi="Times New Roman" w:cs="Times New Roman"/>
          <w:color w:val="000000" w:themeColor="text1"/>
          <w:sz w:val="16"/>
          <w:szCs w:val="16"/>
        </w:rPr>
        <w:softHyphen/>
        <w:t>ния очереди «резко смещался в сторону стреляющей пушки под самолет», причем «тенденция эта одинаковая как для правой, так и для левой пушки».</w:t>
      </w:r>
    </w:p>
    <w:tbl>
      <w:tblPr>
        <w:tblW w:w="0" w:type="auto"/>
        <w:tblLayout w:type="fixed"/>
        <w:tblCellMar>
          <w:left w:w="10" w:type="dxa"/>
          <w:right w:w="10" w:type="dxa"/>
        </w:tblCellMar>
        <w:tblLook w:val="04A0" w:firstRow="1" w:lastRow="0" w:firstColumn="1" w:lastColumn="0" w:noHBand="0" w:noVBand="1"/>
      </w:tblPr>
      <w:tblGrid>
        <w:gridCol w:w="2050"/>
        <w:gridCol w:w="926"/>
        <w:gridCol w:w="922"/>
        <w:gridCol w:w="926"/>
        <w:gridCol w:w="922"/>
        <w:gridCol w:w="931"/>
      </w:tblGrid>
      <w:tr w:rsidR="005106D0" w:rsidRPr="007224C3" w14:paraId="772C2CA6" w14:textId="77777777" w:rsidTr="00903E13">
        <w:trPr>
          <w:trHeight w:val="211"/>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108DCF6A" w14:textId="77777777" w:rsidR="00903E13" w:rsidRPr="007224C3" w:rsidRDefault="00903E13" w:rsidP="007224C3">
            <w:pPr>
              <w:pStyle w:val="45"/>
              <w:shd w:val="clear" w:color="auto" w:fill="auto"/>
              <w:spacing w:before="0" w:line="240" w:lineRule="auto"/>
              <w:jc w:val="both"/>
              <w:rPr>
                <w:rFonts w:ascii="Times New Roman" w:cs="Times New Roman"/>
                <w:color w:val="000000" w:themeColor="text1"/>
                <w:sz w:val="16"/>
                <w:szCs w:val="16"/>
              </w:rPr>
            </w:pPr>
            <w:r w:rsidRPr="007224C3">
              <w:rPr>
                <w:rFonts w:ascii="Times New Roman" w:cs="Times New Roman"/>
                <w:color w:val="000000" w:themeColor="text1"/>
                <w:sz w:val="16"/>
                <w:szCs w:val="16"/>
              </w:rPr>
              <w:t>Характеристика/тип пушки</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2B5ADBB8" w14:textId="77777777" w:rsidR="00903E13" w:rsidRPr="007224C3" w:rsidRDefault="00903E13" w:rsidP="007224C3">
            <w:pPr>
              <w:pStyle w:val="45"/>
              <w:shd w:val="clear" w:color="auto" w:fill="auto"/>
              <w:spacing w:before="0" w:line="240" w:lineRule="auto"/>
              <w:jc w:val="both"/>
              <w:rPr>
                <w:rFonts w:ascii="Times New Roman" w:cs="Times New Roman"/>
                <w:color w:val="000000" w:themeColor="text1"/>
                <w:sz w:val="16"/>
                <w:szCs w:val="16"/>
              </w:rPr>
            </w:pPr>
            <w:r w:rsidRPr="007224C3">
              <w:rPr>
                <w:rFonts w:ascii="Times New Roman" w:cs="Times New Roman"/>
                <w:color w:val="000000" w:themeColor="text1"/>
                <w:sz w:val="16"/>
                <w:szCs w:val="16"/>
              </w:rPr>
              <w:t>НС-45</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57ABDCE3" w14:textId="77777777" w:rsidR="00903E13" w:rsidRPr="007224C3" w:rsidRDefault="00903E13" w:rsidP="007224C3">
            <w:pPr>
              <w:pStyle w:val="45"/>
              <w:shd w:val="clear" w:color="auto" w:fill="auto"/>
              <w:spacing w:before="0" w:line="240" w:lineRule="auto"/>
              <w:jc w:val="both"/>
              <w:rPr>
                <w:rFonts w:ascii="Times New Roman" w:cs="Times New Roman"/>
                <w:color w:val="000000" w:themeColor="text1"/>
                <w:sz w:val="16"/>
                <w:szCs w:val="16"/>
              </w:rPr>
            </w:pPr>
            <w:r w:rsidRPr="007224C3">
              <w:rPr>
                <w:rFonts w:ascii="Times New Roman" w:cs="Times New Roman"/>
                <w:color w:val="000000" w:themeColor="text1"/>
                <w:sz w:val="16"/>
                <w:szCs w:val="16"/>
              </w:rPr>
              <w:t>«Виккерс» 3</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7745CF65" w14:textId="77777777" w:rsidR="00903E13" w:rsidRPr="007224C3" w:rsidRDefault="00903E13" w:rsidP="007224C3">
            <w:pPr>
              <w:pStyle w:val="45"/>
              <w:shd w:val="clear" w:color="auto" w:fill="auto"/>
              <w:spacing w:before="0" w:line="240" w:lineRule="auto"/>
              <w:jc w:val="both"/>
              <w:rPr>
                <w:rFonts w:ascii="Times New Roman" w:cs="Times New Roman"/>
                <w:color w:val="000000" w:themeColor="text1"/>
                <w:sz w:val="16"/>
                <w:szCs w:val="16"/>
              </w:rPr>
            </w:pPr>
            <w:r w:rsidRPr="007224C3">
              <w:rPr>
                <w:rFonts w:ascii="Times New Roman" w:cs="Times New Roman"/>
                <w:color w:val="000000" w:themeColor="text1"/>
                <w:sz w:val="16"/>
                <w:szCs w:val="16"/>
              </w:rPr>
              <w:t>М4</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4C325B37" w14:textId="77777777" w:rsidR="00903E13" w:rsidRPr="007224C3" w:rsidRDefault="00903E13" w:rsidP="007224C3">
            <w:pPr>
              <w:pStyle w:val="45"/>
              <w:shd w:val="clear" w:color="auto" w:fill="auto"/>
              <w:spacing w:before="0" w:line="240" w:lineRule="auto"/>
              <w:jc w:val="both"/>
              <w:rPr>
                <w:rFonts w:ascii="Times New Roman" w:cs="Times New Roman"/>
                <w:color w:val="000000" w:themeColor="text1"/>
                <w:sz w:val="16"/>
                <w:szCs w:val="16"/>
              </w:rPr>
            </w:pPr>
            <w:r w:rsidRPr="007224C3">
              <w:rPr>
                <w:rFonts w:ascii="Times New Roman" w:cs="Times New Roman"/>
                <w:color w:val="000000" w:themeColor="text1"/>
                <w:sz w:val="16"/>
                <w:szCs w:val="16"/>
              </w:rPr>
              <w:t>НС-37</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42E21AD5" w14:textId="77777777" w:rsidR="00903E13" w:rsidRPr="007224C3" w:rsidRDefault="00903E13" w:rsidP="007224C3">
            <w:pPr>
              <w:pStyle w:val="45"/>
              <w:shd w:val="clear" w:color="auto" w:fill="auto"/>
              <w:spacing w:before="0" w:line="240" w:lineRule="auto"/>
              <w:jc w:val="both"/>
              <w:rPr>
                <w:rFonts w:ascii="Times New Roman" w:cs="Times New Roman"/>
                <w:color w:val="000000" w:themeColor="text1"/>
                <w:sz w:val="16"/>
                <w:szCs w:val="16"/>
              </w:rPr>
            </w:pPr>
            <w:r w:rsidRPr="007224C3">
              <w:rPr>
                <w:rFonts w:ascii="Times New Roman" w:cs="Times New Roman"/>
                <w:color w:val="000000" w:themeColor="text1"/>
                <w:sz w:val="16"/>
                <w:szCs w:val="16"/>
              </w:rPr>
              <w:t>ВЯ</w:t>
            </w:r>
          </w:p>
        </w:tc>
      </w:tr>
      <w:tr w:rsidR="005106D0" w:rsidRPr="007224C3" w14:paraId="50FFD944" w14:textId="77777777" w:rsidTr="00903E13">
        <w:trPr>
          <w:trHeight w:val="202"/>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74B9E33F"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Калибр, мм</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1A4FED56"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45</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0750C30E"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40</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40579626"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37</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7B281421"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37</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4B993E82"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23</w:t>
            </w:r>
          </w:p>
        </w:tc>
      </w:tr>
      <w:tr w:rsidR="005106D0" w:rsidRPr="007224C3" w14:paraId="20135CE6" w14:textId="77777777" w:rsidTr="00903E13">
        <w:trPr>
          <w:trHeight w:val="226"/>
        </w:trPr>
        <w:tc>
          <w:tcPr>
            <w:tcW w:w="2050" w:type="dxa"/>
            <w:tcBorders>
              <w:top w:val="single" w:sz="4" w:space="0" w:color="auto"/>
              <w:left w:val="single" w:sz="4" w:space="0" w:color="auto"/>
              <w:right w:val="single" w:sz="4" w:space="0" w:color="auto"/>
            </w:tcBorders>
            <w:shd w:val="clear" w:color="auto" w:fill="FFFFFF"/>
          </w:tcPr>
          <w:p w14:paraId="023EEFF5" w14:textId="77777777" w:rsidR="00903E13" w:rsidRPr="007224C3" w:rsidRDefault="00903E13" w:rsidP="007224C3">
            <w:pPr>
              <w:spacing w:after="0" w:line="240" w:lineRule="auto"/>
              <w:jc w:val="both"/>
              <w:rPr>
                <w:rFonts w:ascii="Times New Roman" w:hAnsi="Times New Roman"/>
                <w:color w:val="000000" w:themeColor="text1"/>
                <w:sz w:val="16"/>
                <w:szCs w:val="16"/>
              </w:rPr>
            </w:pPr>
          </w:p>
        </w:tc>
        <w:tc>
          <w:tcPr>
            <w:tcW w:w="926" w:type="dxa"/>
            <w:tcBorders>
              <w:top w:val="single" w:sz="4" w:space="0" w:color="auto"/>
              <w:left w:val="single" w:sz="4" w:space="0" w:color="auto"/>
              <w:right w:val="single" w:sz="4" w:space="0" w:color="auto"/>
            </w:tcBorders>
            <w:shd w:val="clear" w:color="auto" w:fill="FFFFFF"/>
          </w:tcPr>
          <w:p w14:paraId="43882CD8"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Отдача при</w:t>
            </w:r>
          </w:p>
        </w:tc>
        <w:tc>
          <w:tcPr>
            <w:tcW w:w="922" w:type="dxa"/>
            <w:tcBorders>
              <w:top w:val="single" w:sz="4" w:space="0" w:color="auto"/>
              <w:left w:val="single" w:sz="4" w:space="0" w:color="auto"/>
              <w:right w:val="single" w:sz="4" w:space="0" w:color="auto"/>
            </w:tcBorders>
            <w:shd w:val="clear" w:color="auto" w:fill="FFFFFF"/>
          </w:tcPr>
          <w:p w14:paraId="5A2D4611"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Отдача при</w:t>
            </w:r>
          </w:p>
        </w:tc>
        <w:tc>
          <w:tcPr>
            <w:tcW w:w="926" w:type="dxa"/>
            <w:tcBorders>
              <w:top w:val="single" w:sz="4" w:space="0" w:color="auto"/>
              <w:left w:val="single" w:sz="4" w:space="0" w:color="auto"/>
              <w:right w:val="single" w:sz="4" w:space="0" w:color="auto"/>
            </w:tcBorders>
            <w:shd w:val="clear" w:color="auto" w:fill="FFFFFF"/>
          </w:tcPr>
          <w:p w14:paraId="15E5E4BA"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Отдача при</w:t>
            </w:r>
          </w:p>
        </w:tc>
        <w:tc>
          <w:tcPr>
            <w:tcW w:w="922" w:type="dxa"/>
            <w:tcBorders>
              <w:top w:val="single" w:sz="4" w:space="0" w:color="auto"/>
              <w:left w:val="single" w:sz="4" w:space="0" w:color="auto"/>
              <w:right w:val="single" w:sz="4" w:space="0" w:color="auto"/>
            </w:tcBorders>
            <w:shd w:val="clear" w:color="auto" w:fill="FFFFFF"/>
          </w:tcPr>
          <w:p w14:paraId="2F847249"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Отдача при</w:t>
            </w:r>
          </w:p>
        </w:tc>
        <w:tc>
          <w:tcPr>
            <w:tcW w:w="931" w:type="dxa"/>
            <w:tcBorders>
              <w:top w:val="single" w:sz="4" w:space="0" w:color="auto"/>
              <w:left w:val="single" w:sz="4" w:space="0" w:color="auto"/>
              <w:right w:val="single" w:sz="4" w:space="0" w:color="auto"/>
            </w:tcBorders>
            <w:shd w:val="clear" w:color="auto" w:fill="FFFFFF"/>
          </w:tcPr>
          <w:p w14:paraId="072135A3"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Отвод газов</w:t>
            </w:r>
          </w:p>
        </w:tc>
      </w:tr>
      <w:tr w:rsidR="005106D0" w:rsidRPr="007224C3" w14:paraId="644194D8" w14:textId="77777777" w:rsidTr="00903E13">
        <w:trPr>
          <w:trHeight w:val="197"/>
        </w:trPr>
        <w:tc>
          <w:tcPr>
            <w:tcW w:w="2050" w:type="dxa"/>
            <w:tcBorders>
              <w:left w:val="single" w:sz="4" w:space="0" w:color="auto"/>
              <w:right w:val="single" w:sz="4" w:space="0" w:color="auto"/>
            </w:tcBorders>
            <w:shd w:val="clear" w:color="auto" w:fill="FFFFFF"/>
          </w:tcPr>
          <w:p w14:paraId="21DF9D40"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Принцип действия</w:t>
            </w:r>
          </w:p>
        </w:tc>
        <w:tc>
          <w:tcPr>
            <w:tcW w:w="926" w:type="dxa"/>
            <w:tcBorders>
              <w:left w:val="single" w:sz="4" w:space="0" w:color="auto"/>
              <w:right w:val="single" w:sz="4" w:space="0" w:color="auto"/>
            </w:tcBorders>
            <w:shd w:val="clear" w:color="auto" w:fill="FFFFFF"/>
          </w:tcPr>
          <w:p w14:paraId="1AA074D9"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коротком</w:t>
            </w:r>
          </w:p>
        </w:tc>
        <w:tc>
          <w:tcPr>
            <w:tcW w:w="922" w:type="dxa"/>
            <w:tcBorders>
              <w:left w:val="single" w:sz="4" w:space="0" w:color="auto"/>
              <w:right w:val="single" w:sz="4" w:space="0" w:color="auto"/>
            </w:tcBorders>
            <w:shd w:val="clear" w:color="auto" w:fill="FFFFFF"/>
          </w:tcPr>
          <w:p w14:paraId="18AF5F15"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длинном</w:t>
            </w:r>
          </w:p>
        </w:tc>
        <w:tc>
          <w:tcPr>
            <w:tcW w:w="926" w:type="dxa"/>
            <w:tcBorders>
              <w:left w:val="single" w:sz="4" w:space="0" w:color="auto"/>
              <w:right w:val="single" w:sz="4" w:space="0" w:color="auto"/>
            </w:tcBorders>
            <w:shd w:val="clear" w:color="auto" w:fill="FFFFFF"/>
          </w:tcPr>
          <w:p w14:paraId="1ADF6F97"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коротком</w:t>
            </w:r>
          </w:p>
        </w:tc>
        <w:tc>
          <w:tcPr>
            <w:tcW w:w="922" w:type="dxa"/>
            <w:tcBorders>
              <w:left w:val="single" w:sz="4" w:space="0" w:color="auto"/>
              <w:right w:val="single" w:sz="4" w:space="0" w:color="auto"/>
            </w:tcBorders>
            <w:shd w:val="clear" w:color="auto" w:fill="FFFFFF"/>
          </w:tcPr>
          <w:p w14:paraId="08C8A7DC"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коротком</w:t>
            </w:r>
          </w:p>
        </w:tc>
        <w:tc>
          <w:tcPr>
            <w:tcW w:w="931" w:type="dxa"/>
            <w:tcBorders>
              <w:left w:val="single" w:sz="4" w:space="0" w:color="auto"/>
              <w:right w:val="single" w:sz="4" w:space="0" w:color="auto"/>
            </w:tcBorders>
            <w:shd w:val="clear" w:color="auto" w:fill="FFFFFF"/>
          </w:tcPr>
          <w:p w14:paraId="14DC58A6"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из канала</w:t>
            </w:r>
          </w:p>
        </w:tc>
      </w:tr>
      <w:tr w:rsidR="005106D0" w:rsidRPr="007224C3" w14:paraId="33DC1882" w14:textId="77777777" w:rsidTr="00903E13">
        <w:trPr>
          <w:trHeight w:val="163"/>
        </w:trPr>
        <w:tc>
          <w:tcPr>
            <w:tcW w:w="2050" w:type="dxa"/>
            <w:tcBorders>
              <w:left w:val="single" w:sz="4" w:space="0" w:color="auto"/>
              <w:bottom w:val="single" w:sz="4" w:space="0" w:color="auto"/>
              <w:right w:val="single" w:sz="4" w:space="0" w:color="auto"/>
            </w:tcBorders>
            <w:shd w:val="clear" w:color="auto" w:fill="FFFFFF"/>
          </w:tcPr>
          <w:p w14:paraId="42F819AE" w14:textId="77777777" w:rsidR="00903E13" w:rsidRPr="007224C3" w:rsidRDefault="00903E13" w:rsidP="007224C3">
            <w:pPr>
              <w:spacing w:after="0" w:line="240" w:lineRule="auto"/>
              <w:jc w:val="both"/>
              <w:rPr>
                <w:rFonts w:ascii="Times New Roman" w:hAnsi="Times New Roman"/>
                <w:color w:val="000000" w:themeColor="text1"/>
                <w:sz w:val="16"/>
                <w:szCs w:val="16"/>
              </w:rPr>
            </w:pPr>
          </w:p>
        </w:tc>
        <w:tc>
          <w:tcPr>
            <w:tcW w:w="926" w:type="dxa"/>
            <w:tcBorders>
              <w:left w:val="single" w:sz="4" w:space="0" w:color="auto"/>
              <w:bottom w:val="single" w:sz="4" w:space="0" w:color="auto"/>
              <w:right w:val="single" w:sz="4" w:space="0" w:color="auto"/>
            </w:tcBorders>
            <w:shd w:val="clear" w:color="auto" w:fill="FFFFFF"/>
          </w:tcPr>
          <w:p w14:paraId="42FE01AD"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ходе ствола</w:t>
            </w:r>
          </w:p>
        </w:tc>
        <w:tc>
          <w:tcPr>
            <w:tcW w:w="922" w:type="dxa"/>
            <w:tcBorders>
              <w:left w:val="single" w:sz="4" w:space="0" w:color="auto"/>
              <w:bottom w:val="single" w:sz="4" w:space="0" w:color="auto"/>
              <w:right w:val="single" w:sz="4" w:space="0" w:color="auto"/>
            </w:tcBorders>
            <w:shd w:val="clear" w:color="auto" w:fill="FFFFFF"/>
          </w:tcPr>
          <w:p w14:paraId="25931F0B"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ходе ствола</w:t>
            </w:r>
          </w:p>
        </w:tc>
        <w:tc>
          <w:tcPr>
            <w:tcW w:w="926" w:type="dxa"/>
            <w:tcBorders>
              <w:left w:val="single" w:sz="4" w:space="0" w:color="auto"/>
              <w:bottom w:val="single" w:sz="4" w:space="0" w:color="auto"/>
              <w:right w:val="single" w:sz="4" w:space="0" w:color="auto"/>
            </w:tcBorders>
            <w:shd w:val="clear" w:color="auto" w:fill="FFFFFF"/>
          </w:tcPr>
          <w:p w14:paraId="181AB0A1"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ходе ствола</w:t>
            </w:r>
          </w:p>
        </w:tc>
        <w:tc>
          <w:tcPr>
            <w:tcW w:w="922" w:type="dxa"/>
            <w:tcBorders>
              <w:left w:val="single" w:sz="4" w:space="0" w:color="auto"/>
              <w:bottom w:val="single" w:sz="4" w:space="0" w:color="auto"/>
              <w:right w:val="single" w:sz="4" w:space="0" w:color="auto"/>
            </w:tcBorders>
            <w:shd w:val="clear" w:color="auto" w:fill="FFFFFF"/>
          </w:tcPr>
          <w:p w14:paraId="52F6DCD7"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ходе ствола</w:t>
            </w:r>
          </w:p>
        </w:tc>
        <w:tc>
          <w:tcPr>
            <w:tcW w:w="931" w:type="dxa"/>
            <w:tcBorders>
              <w:left w:val="single" w:sz="4" w:space="0" w:color="auto"/>
              <w:bottom w:val="single" w:sz="4" w:space="0" w:color="auto"/>
              <w:right w:val="single" w:sz="4" w:space="0" w:color="auto"/>
            </w:tcBorders>
            <w:shd w:val="clear" w:color="auto" w:fill="FFFFFF"/>
          </w:tcPr>
          <w:p w14:paraId="63830177"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ствола</w:t>
            </w:r>
          </w:p>
        </w:tc>
      </w:tr>
      <w:tr w:rsidR="005106D0" w:rsidRPr="007224C3" w14:paraId="19E0DA1F" w14:textId="77777777" w:rsidTr="00903E13">
        <w:trPr>
          <w:trHeight w:val="206"/>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1DA50ABF"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Питание</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5F99FADB"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Звеньевое</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3139899D"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Магазин</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07610EA6"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Магазин</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317BBC24"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Звеньевое</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72ED6FA4"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Зеньевое</w:t>
            </w:r>
          </w:p>
        </w:tc>
      </w:tr>
      <w:tr w:rsidR="005106D0" w:rsidRPr="007224C3" w14:paraId="38B77C52" w14:textId="77777777" w:rsidTr="00903E13">
        <w:trPr>
          <w:trHeight w:val="206"/>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621C8E55"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Темп стрельбы, выстр./мин</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7C8D401F"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250</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51E1DF05"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110</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6135A319"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150</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61BEDF94"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250</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72942760"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600</w:t>
            </w:r>
          </w:p>
        </w:tc>
      </w:tr>
      <w:tr w:rsidR="005106D0" w:rsidRPr="007224C3" w14:paraId="69BF1951" w14:textId="77777777" w:rsidTr="00903E13">
        <w:trPr>
          <w:trHeight w:val="202"/>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722925BC"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Начальная скорость, м/с</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2F99963C"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781</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322535DE"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585</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589056B8"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610</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345BBF37"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878</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3EC369D0"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915</w:t>
            </w:r>
          </w:p>
        </w:tc>
      </w:tr>
      <w:tr w:rsidR="005106D0" w:rsidRPr="007224C3" w14:paraId="5D3E6E63" w14:textId="77777777" w:rsidTr="00903E13">
        <w:trPr>
          <w:trHeight w:val="206"/>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633B2093"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Вес пушки, кг</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6E5D93AC"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163,8</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16F71962"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157,7</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20958DA9"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108</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246843B2"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162,5</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4EF9B916"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66</w:t>
            </w:r>
          </w:p>
        </w:tc>
      </w:tr>
      <w:tr w:rsidR="005106D0" w:rsidRPr="007224C3" w14:paraId="4FDCF903" w14:textId="77777777" w:rsidTr="00903E13">
        <w:trPr>
          <w:trHeight w:val="202"/>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3F1DAD4C"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Вес снаряда, кг</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708E1493"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1,065</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15B82EAF"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1,041</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55E3BCF9"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0,65</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1CD58EA6"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0,732</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47CE4940"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0,197</w:t>
            </w:r>
          </w:p>
        </w:tc>
      </w:tr>
      <w:tr w:rsidR="005106D0" w:rsidRPr="007224C3" w14:paraId="1D71A214" w14:textId="77777777" w:rsidTr="00903E13">
        <w:trPr>
          <w:trHeight w:val="202"/>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6B49BCFB"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Вес секундного залпа, кг</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06E3E1AC"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4,44</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6F5539F4"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1,91</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339D47DE"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1,63</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33DADDCD"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3,05</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6E7BC641"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1,97</w:t>
            </w:r>
          </w:p>
        </w:tc>
      </w:tr>
      <w:tr w:rsidR="005106D0" w:rsidRPr="007224C3" w14:paraId="16E7B4B4" w14:textId="77777777" w:rsidTr="00903E13">
        <w:trPr>
          <w:trHeight w:val="206"/>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2B63937D"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Дульная энергия, кг</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261DDB0F"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33110</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62698E36"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18158</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06819D90"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12327</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35865F07"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28761</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7EF84E7B"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8406</w:t>
            </w:r>
          </w:p>
        </w:tc>
      </w:tr>
      <w:tr w:rsidR="005106D0" w:rsidRPr="007224C3" w14:paraId="331039CB" w14:textId="77777777" w:rsidTr="00903E13">
        <w:trPr>
          <w:trHeight w:val="206"/>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520C2625"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lastRenderedPageBreak/>
              <w:t>Дульная мощность, кг/с</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37204198"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137956</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6B812A20"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33289</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5539F985"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30819</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2C2652BC"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119837</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5540D3F5"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84064</w:t>
            </w:r>
          </w:p>
        </w:tc>
      </w:tr>
      <w:tr w:rsidR="005106D0" w:rsidRPr="007224C3" w14:paraId="23F7046C" w14:textId="77777777" w:rsidTr="00903E13">
        <w:trPr>
          <w:trHeight w:val="211"/>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1085E7C8"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Показатель качества оружия</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7C199E9F"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842</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7DE73816"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211</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2A5FADC9"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285</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339AD35C"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737</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55AB3402"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1274</w:t>
            </w:r>
          </w:p>
        </w:tc>
      </w:tr>
    </w:tbl>
    <w:p w14:paraId="567178F4"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Как положительный факт отмечалась простая эксплуатация пушек: «пушки ос</w:t>
      </w:r>
      <w:r w:rsidRPr="007224C3">
        <w:rPr>
          <w:rFonts w:ascii="Times New Roman" w:hAnsi="Times New Roman" w:cs="Times New Roman"/>
          <w:color w:val="000000" w:themeColor="text1"/>
          <w:sz w:val="16"/>
          <w:szCs w:val="16"/>
        </w:rPr>
        <w:softHyphen/>
        <w:t>ваиваются техническим составом легко и быстро». Подходы к пушкам удобные. Зарядка магазина производилась непо</w:t>
      </w:r>
      <w:r w:rsidRPr="007224C3">
        <w:rPr>
          <w:rFonts w:ascii="Times New Roman" w:hAnsi="Times New Roman" w:cs="Times New Roman"/>
          <w:color w:val="000000" w:themeColor="text1"/>
          <w:sz w:val="16"/>
          <w:szCs w:val="16"/>
        </w:rPr>
        <w:softHyphen/>
        <w:t>средственно на самолете. При двух рабо</w:t>
      </w:r>
      <w:r w:rsidRPr="007224C3">
        <w:rPr>
          <w:rFonts w:ascii="Times New Roman" w:hAnsi="Times New Roman" w:cs="Times New Roman"/>
          <w:color w:val="000000" w:themeColor="text1"/>
          <w:sz w:val="16"/>
          <w:szCs w:val="16"/>
        </w:rPr>
        <w:softHyphen/>
        <w:t>тающих техниках на приведение в боевую готовность одной пушки после стрельбы (снятие обтекателя пушки, частичная раз</w:t>
      </w:r>
      <w:r w:rsidRPr="007224C3">
        <w:rPr>
          <w:rFonts w:ascii="Times New Roman" w:hAnsi="Times New Roman" w:cs="Times New Roman"/>
          <w:color w:val="000000" w:themeColor="text1"/>
          <w:sz w:val="16"/>
          <w:szCs w:val="16"/>
        </w:rPr>
        <w:softHyphen/>
        <w:t>борка, чистка и смазка пушки, зарядка ма</w:t>
      </w:r>
      <w:r w:rsidRPr="007224C3">
        <w:rPr>
          <w:rFonts w:ascii="Times New Roman" w:hAnsi="Times New Roman" w:cs="Times New Roman"/>
          <w:color w:val="000000" w:themeColor="text1"/>
          <w:sz w:val="16"/>
          <w:szCs w:val="16"/>
        </w:rPr>
        <w:softHyphen/>
        <w:t>газина, постановка обтекателя) уходило не более 26 мин, в том числе всего 2 мин - на зарядку пушки.</w:t>
      </w:r>
    </w:p>
    <w:p w14:paraId="5A39FAB0"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тронного ящика, чистка, смазка, укладка ленты в ящик, зарядка пулемета и закрытие лючка) около 20 мин, подготовка оружия занимала не более полутора часов.</w:t>
      </w:r>
    </w:p>
    <w:p w14:paraId="7D5307CD"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В ходе стрельб пушки и пушечные установки показали высокую надежность. Если исключить из рассмотрения резуль</w:t>
      </w:r>
      <w:r w:rsidRPr="007224C3">
        <w:rPr>
          <w:rFonts w:ascii="Times New Roman" w:hAnsi="Times New Roman" w:cs="Times New Roman"/>
          <w:color w:val="000000" w:themeColor="text1"/>
          <w:sz w:val="16"/>
          <w:szCs w:val="16"/>
        </w:rPr>
        <w:softHyphen/>
        <w:t>таты стрельбы на большой высоте (7500- 8000 м), то процент задержек в стрельбе по вине пушек составил всего 0,16%, а пулеметов 0,13% от общего числа выстре</w:t>
      </w:r>
      <w:r w:rsidRPr="007224C3">
        <w:rPr>
          <w:rFonts w:ascii="Times New Roman" w:hAnsi="Times New Roman" w:cs="Times New Roman"/>
          <w:color w:val="000000" w:themeColor="text1"/>
          <w:sz w:val="16"/>
          <w:szCs w:val="16"/>
        </w:rPr>
        <w:softHyphen/>
        <w:t>лов. При этом после устранения дефекта, вызвавшего задержку в стрельбе пушки, отказы пушек больше не повторялись. По пулеметам все отказы относились только к правому пулемету, который имел «не</w:t>
      </w:r>
      <w:r w:rsidRPr="007224C3">
        <w:rPr>
          <w:rFonts w:ascii="Times New Roman" w:hAnsi="Times New Roman" w:cs="Times New Roman"/>
          <w:color w:val="000000" w:themeColor="text1"/>
          <w:sz w:val="16"/>
          <w:szCs w:val="16"/>
        </w:rPr>
        <w:softHyphen/>
        <w:t>устранимый дефект - тугой ход подвиж</w:t>
      </w:r>
      <w:r w:rsidRPr="007224C3">
        <w:rPr>
          <w:rFonts w:ascii="Times New Roman" w:hAnsi="Times New Roman" w:cs="Times New Roman"/>
          <w:color w:val="000000" w:themeColor="text1"/>
          <w:sz w:val="16"/>
          <w:szCs w:val="16"/>
        </w:rPr>
        <w:softHyphen/>
        <w:t>ных частей, не зависящий от конструкции оружия».</w:t>
      </w:r>
    </w:p>
    <w:p w14:paraId="755F49D1"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По вине пушечной установки задержек не было вовсе. Пневмосистема и электроп</w:t>
      </w:r>
      <w:r w:rsidRPr="007224C3">
        <w:rPr>
          <w:rFonts w:ascii="Times New Roman" w:hAnsi="Times New Roman" w:cs="Times New Roman"/>
          <w:color w:val="000000" w:themeColor="text1"/>
          <w:sz w:val="16"/>
          <w:szCs w:val="16"/>
        </w:rPr>
        <w:softHyphen/>
        <w:t>невматическое управление вооружением работали надежно и безотказно.</w:t>
      </w:r>
    </w:p>
    <w:p w14:paraId="639FCAFD"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Имелись и недостатки. Пушки было трудно снаряжать - «стеснен подход к ру</w:t>
      </w:r>
      <w:r w:rsidRPr="007224C3">
        <w:rPr>
          <w:rFonts w:ascii="Times New Roman" w:hAnsi="Times New Roman" w:cs="Times New Roman"/>
          <w:color w:val="000000" w:themeColor="text1"/>
          <w:sz w:val="16"/>
          <w:szCs w:val="16"/>
        </w:rPr>
        <w:softHyphen/>
        <w:t>коятке магазина при заряжании, особенно при зимней эксплуатации». Конструкция защелок, фиксирующих положение руко</w:t>
      </w:r>
      <w:r w:rsidRPr="007224C3">
        <w:rPr>
          <w:rFonts w:ascii="Times New Roman" w:hAnsi="Times New Roman" w:cs="Times New Roman"/>
          <w:color w:val="000000" w:themeColor="text1"/>
          <w:sz w:val="16"/>
          <w:szCs w:val="16"/>
        </w:rPr>
        <w:softHyphen/>
        <w:t>ятки магазина, оказалась неудачной и не</w:t>
      </w:r>
      <w:r w:rsidRPr="007224C3">
        <w:rPr>
          <w:rFonts w:ascii="Times New Roman" w:hAnsi="Times New Roman" w:cs="Times New Roman"/>
          <w:color w:val="000000" w:themeColor="text1"/>
          <w:sz w:val="16"/>
          <w:szCs w:val="16"/>
        </w:rPr>
        <w:softHyphen/>
        <w:t>прочной. Окно магазина пушки распола</w:t>
      </w:r>
      <w:r w:rsidRPr="007224C3">
        <w:rPr>
          <w:rFonts w:ascii="Times New Roman" w:hAnsi="Times New Roman" w:cs="Times New Roman"/>
          <w:color w:val="000000" w:themeColor="text1"/>
          <w:sz w:val="16"/>
          <w:szCs w:val="16"/>
        </w:rPr>
        <w:softHyphen/>
        <w:t>галось крайне неудобно, что затрудняло работу при снаряжении магазина патро</w:t>
      </w:r>
      <w:r w:rsidRPr="007224C3">
        <w:rPr>
          <w:rFonts w:ascii="Times New Roman" w:hAnsi="Times New Roman" w:cs="Times New Roman"/>
          <w:color w:val="000000" w:themeColor="text1"/>
          <w:sz w:val="16"/>
          <w:szCs w:val="16"/>
        </w:rPr>
        <w:softHyphen/>
        <w:t>нами. К тому же можно было повредить руки. Гильзоотводное окно имело разме</w:t>
      </w:r>
      <w:r w:rsidRPr="007224C3">
        <w:rPr>
          <w:rFonts w:ascii="Times New Roman" w:hAnsi="Times New Roman" w:cs="Times New Roman"/>
          <w:color w:val="000000" w:themeColor="text1"/>
          <w:sz w:val="16"/>
          <w:szCs w:val="16"/>
        </w:rPr>
        <w:softHyphen/>
        <w:t>ры ровно под размер гильзы, поэтому для извлечения гильзы или снаряда из патрон</w:t>
      </w:r>
      <w:r w:rsidRPr="007224C3">
        <w:rPr>
          <w:rFonts w:ascii="Times New Roman" w:hAnsi="Times New Roman" w:cs="Times New Roman"/>
          <w:color w:val="000000" w:themeColor="text1"/>
          <w:sz w:val="16"/>
          <w:szCs w:val="16"/>
        </w:rPr>
        <w:softHyphen/>
        <w:t>ника необходимо было производить не</w:t>
      </w:r>
      <w:r w:rsidRPr="007224C3">
        <w:rPr>
          <w:rFonts w:ascii="Times New Roman" w:hAnsi="Times New Roman" w:cs="Times New Roman"/>
          <w:color w:val="000000" w:themeColor="text1"/>
          <w:sz w:val="16"/>
          <w:szCs w:val="16"/>
        </w:rPr>
        <w:softHyphen/>
        <w:t>полную разборку пушки. Регулировочное приспособление пушек было выполнено неудачно - «при снятии пушки с самолета нарушается пристрелка». Легкосъемные замки крышек лючков пулеметов в ходе эксплуатации быстро деформировались. Как следствие, открывание и закрывание лючков становилось затруднительным. Обтекатели пушек оказались недостаточ</w:t>
      </w:r>
      <w:r w:rsidRPr="007224C3">
        <w:rPr>
          <w:rFonts w:ascii="Times New Roman" w:hAnsi="Times New Roman" w:cs="Times New Roman"/>
          <w:color w:val="000000" w:themeColor="text1"/>
          <w:sz w:val="16"/>
          <w:szCs w:val="16"/>
        </w:rPr>
        <w:softHyphen/>
        <w:t>но жесткими и при резком выводе из пики</w:t>
      </w:r>
      <w:r w:rsidRPr="007224C3">
        <w:rPr>
          <w:rFonts w:ascii="Times New Roman" w:hAnsi="Times New Roman" w:cs="Times New Roman"/>
          <w:color w:val="000000" w:themeColor="text1"/>
          <w:sz w:val="16"/>
          <w:szCs w:val="16"/>
        </w:rPr>
        <w:softHyphen/>
        <w:t>рования деформировались. Так, старший лейтенант Поминальный 12 декабря при пикировании под углом 55° на выходе из пикирования создал перегрузку близкой к 3 единицам и обтекатели пушек дефор</w:t>
      </w:r>
      <w:r w:rsidRPr="007224C3">
        <w:rPr>
          <w:rFonts w:ascii="Times New Roman" w:hAnsi="Times New Roman" w:cs="Times New Roman"/>
          <w:color w:val="000000" w:themeColor="text1"/>
          <w:sz w:val="16"/>
          <w:szCs w:val="16"/>
        </w:rPr>
        <w:softHyphen/>
        <w:t>мировались.</w:t>
      </w:r>
    </w:p>
    <w:p w14:paraId="043B33B1"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Сравнение летно-боевых качеств «Харрикейн» 1Ю с советскими истребите</w:t>
      </w:r>
      <w:r w:rsidRPr="007224C3">
        <w:rPr>
          <w:rFonts w:ascii="Times New Roman" w:hAnsi="Times New Roman" w:cs="Times New Roman"/>
          <w:color w:val="000000" w:themeColor="text1"/>
          <w:sz w:val="16"/>
          <w:szCs w:val="16"/>
        </w:rPr>
        <w:softHyphen/>
        <w:t>лями Як-9т, ЛаГГ-3 и штурмовиком Ил-2, вооруженных пушками калибра 37 мм НС- 37, оказалось не в пользу «англичанина».</w:t>
      </w:r>
    </w:p>
    <w:p w14:paraId="6E3AB05D"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Отмечалось, что «пушка Виккерс 5 калибра 40 мм по темпу стрельбы и на</w:t>
      </w:r>
      <w:r w:rsidRPr="007224C3">
        <w:rPr>
          <w:rFonts w:ascii="Times New Roman" w:hAnsi="Times New Roman" w:cs="Times New Roman"/>
          <w:color w:val="000000" w:themeColor="text1"/>
          <w:sz w:val="16"/>
          <w:szCs w:val="16"/>
        </w:rPr>
        <w:softHyphen/>
        <w:t>чальной скорости снаряда стоит ниже современных систем авиационных авто</w:t>
      </w:r>
      <w:r w:rsidRPr="007224C3">
        <w:rPr>
          <w:rFonts w:ascii="Times New Roman" w:hAnsi="Times New Roman" w:cs="Times New Roman"/>
          <w:color w:val="000000" w:themeColor="text1"/>
          <w:sz w:val="16"/>
          <w:szCs w:val="16"/>
        </w:rPr>
        <w:softHyphen/>
        <w:t>матических пушек и значительно ниже от</w:t>
      </w:r>
      <w:r w:rsidRPr="007224C3">
        <w:rPr>
          <w:rFonts w:ascii="Times New Roman" w:hAnsi="Times New Roman" w:cs="Times New Roman"/>
          <w:color w:val="000000" w:themeColor="text1"/>
          <w:sz w:val="16"/>
          <w:szCs w:val="16"/>
        </w:rPr>
        <w:softHyphen/>
        <w:t>ечественной 37-мм пушки НС-37 ОКБ-16». Пушка имеет большой относительный вес. Коэффициент использования металла по отношению к дульной мощности (показа</w:t>
      </w:r>
      <w:r w:rsidRPr="007224C3">
        <w:rPr>
          <w:rFonts w:ascii="Times New Roman" w:hAnsi="Times New Roman" w:cs="Times New Roman"/>
          <w:color w:val="000000" w:themeColor="text1"/>
          <w:sz w:val="16"/>
          <w:szCs w:val="16"/>
        </w:rPr>
        <w:softHyphen/>
        <w:t>тель качества оружия) у Виккерс 5 в 1,35 раза меньше, чем у американской 37-мм пушки М-4, в 3,5 раза меньше, чем у НС-37 и в 4 раза меньше, чем у НС-45.</w:t>
      </w:r>
    </w:p>
    <w:tbl>
      <w:tblPr>
        <w:tblW w:w="0" w:type="auto"/>
        <w:tblLayout w:type="fixed"/>
        <w:tblCellMar>
          <w:left w:w="10" w:type="dxa"/>
          <w:right w:w="10" w:type="dxa"/>
        </w:tblCellMar>
        <w:tblLook w:val="04A0" w:firstRow="1" w:lastRow="0" w:firstColumn="1" w:lastColumn="0" w:noHBand="0" w:noVBand="1"/>
      </w:tblPr>
      <w:tblGrid>
        <w:gridCol w:w="1867"/>
        <w:gridCol w:w="686"/>
        <w:gridCol w:w="883"/>
        <w:gridCol w:w="610"/>
        <w:gridCol w:w="686"/>
        <w:gridCol w:w="547"/>
        <w:gridCol w:w="691"/>
        <w:gridCol w:w="706"/>
      </w:tblGrid>
      <w:tr w:rsidR="005106D0" w:rsidRPr="007224C3" w14:paraId="2E195EA7" w14:textId="77777777" w:rsidTr="00903E13">
        <w:trPr>
          <w:trHeight w:val="206"/>
        </w:trPr>
        <w:tc>
          <w:tcPr>
            <w:tcW w:w="1867" w:type="dxa"/>
            <w:tcBorders>
              <w:top w:val="single" w:sz="4" w:space="0" w:color="auto"/>
              <w:left w:val="single" w:sz="4" w:space="0" w:color="auto"/>
              <w:bottom w:val="single" w:sz="4" w:space="0" w:color="auto"/>
              <w:right w:val="single" w:sz="4" w:space="0" w:color="auto"/>
            </w:tcBorders>
            <w:shd w:val="clear" w:color="auto" w:fill="FFFFFF"/>
          </w:tcPr>
          <w:p w14:paraId="5C8CE049" w14:textId="77777777" w:rsidR="00903E13" w:rsidRPr="007224C3" w:rsidRDefault="00903E13" w:rsidP="007224C3">
            <w:pPr>
              <w:pStyle w:val="45"/>
              <w:shd w:val="clear" w:color="auto" w:fill="auto"/>
              <w:spacing w:before="0" w:line="240" w:lineRule="auto"/>
              <w:jc w:val="both"/>
              <w:rPr>
                <w:rFonts w:ascii="Times New Roman" w:cs="Times New Roman"/>
                <w:color w:val="000000" w:themeColor="text1"/>
                <w:sz w:val="16"/>
                <w:szCs w:val="16"/>
              </w:rPr>
            </w:pPr>
            <w:r w:rsidRPr="007224C3">
              <w:rPr>
                <w:rFonts w:ascii="Times New Roman" w:cs="Times New Roman"/>
                <w:color w:val="000000" w:themeColor="text1"/>
                <w:sz w:val="16"/>
                <w:szCs w:val="16"/>
              </w:rPr>
              <w:t>Калибр, мм</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23853E24" w14:textId="77777777" w:rsidR="00903E13" w:rsidRPr="007224C3" w:rsidRDefault="00903E13" w:rsidP="007224C3">
            <w:pPr>
              <w:pStyle w:val="45"/>
              <w:shd w:val="clear" w:color="auto" w:fill="auto"/>
              <w:spacing w:before="0" w:line="240" w:lineRule="auto"/>
              <w:jc w:val="both"/>
              <w:rPr>
                <w:rFonts w:ascii="Times New Roman" w:cs="Times New Roman"/>
                <w:color w:val="000000" w:themeColor="text1"/>
                <w:sz w:val="16"/>
                <w:szCs w:val="16"/>
              </w:rPr>
            </w:pPr>
            <w:r w:rsidRPr="007224C3">
              <w:rPr>
                <w:rFonts w:ascii="Times New Roman" w:cs="Times New Roman"/>
                <w:color w:val="000000" w:themeColor="text1"/>
                <w:sz w:val="16"/>
                <w:szCs w:val="16"/>
              </w:rPr>
              <w:t>45</w:t>
            </w:r>
          </w:p>
        </w:tc>
        <w:tc>
          <w:tcPr>
            <w:tcW w:w="883" w:type="dxa"/>
            <w:tcBorders>
              <w:top w:val="single" w:sz="4" w:space="0" w:color="auto"/>
              <w:left w:val="single" w:sz="4" w:space="0" w:color="auto"/>
              <w:bottom w:val="single" w:sz="4" w:space="0" w:color="auto"/>
              <w:right w:val="single" w:sz="4" w:space="0" w:color="auto"/>
            </w:tcBorders>
            <w:shd w:val="clear" w:color="auto" w:fill="FFFFFF"/>
          </w:tcPr>
          <w:p w14:paraId="49ADBAF4" w14:textId="77777777" w:rsidR="00903E13" w:rsidRPr="007224C3" w:rsidRDefault="00903E13" w:rsidP="007224C3">
            <w:pPr>
              <w:pStyle w:val="45"/>
              <w:shd w:val="clear" w:color="auto" w:fill="auto"/>
              <w:spacing w:before="0" w:line="240" w:lineRule="auto"/>
              <w:jc w:val="both"/>
              <w:rPr>
                <w:rFonts w:ascii="Times New Roman" w:cs="Times New Roman"/>
                <w:color w:val="000000" w:themeColor="text1"/>
                <w:sz w:val="16"/>
                <w:szCs w:val="16"/>
              </w:rPr>
            </w:pPr>
            <w:r w:rsidRPr="007224C3">
              <w:rPr>
                <w:rFonts w:ascii="Times New Roman" w:cs="Times New Roman"/>
                <w:color w:val="000000" w:themeColor="text1"/>
                <w:sz w:val="16"/>
                <w:szCs w:val="16"/>
              </w:rPr>
              <w:t>40</w:t>
            </w:r>
          </w:p>
        </w:tc>
        <w:tc>
          <w:tcPr>
            <w:tcW w:w="610" w:type="dxa"/>
            <w:tcBorders>
              <w:top w:val="single" w:sz="4" w:space="0" w:color="auto"/>
              <w:left w:val="single" w:sz="4" w:space="0" w:color="auto"/>
              <w:bottom w:val="single" w:sz="4" w:space="0" w:color="auto"/>
              <w:right w:val="single" w:sz="4" w:space="0" w:color="auto"/>
            </w:tcBorders>
            <w:shd w:val="clear" w:color="auto" w:fill="FFFFFF"/>
          </w:tcPr>
          <w:p w14:paraId="28E9EE3F" w14:textId="77777777" w:rsidR="00903E13" w:rsidRPr="007224C3" w:rsidRDefault="00903E13" w:rsidP="007224C3">
            <w:pPr>
              <w:pStyle w:val="45"/>
              <w:shd w:val="clear" w:color="auto" w:fill="auto"/>
              <w:spacing w:before="0" w:line="240" w:lineRule="auto"/>
              <w:jc w:val="both"/>
              <w:rPr>
                <w:rFonts w:ascii="Times New Roman" w:cs="Times New Roman"/>
                <w:color w:val="000000" w:themeColor="text1"/>
                <w:sz w:val="16"/>
                <w:szCs w:val="16"/>
              </w:rPr>
            </w:pPr>
            <w:r w:rsidRPr="007224C3">
              <w:rPr>
                <w:rFonts w:ascii="Times New Roman" w:cs="Times New Roman"/>
                <w:color w:val="000000" w:themeColor="text1"/>
                <w:sz w:val="16"/>
                <w:szCs w:val="16"/>
              </w:rPr>
              <w:t>37</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3165A4EE" w14:textId="77777777" w:rsidR="00903E13" w:rsidRPr="007224C3" w:rsidRDefault="00903E13" w:rsidP="007224C3">
            <w:pPr>
              <w:pStyle w:val="45"/>
              <w:shd w:val="clear" w:color="auto" w:fill="auto"/>
              <w:spacing w:before="0" w:line="240" w:lineRule="auto"/>
              <w:jc w:val="both"/>
              <w:rPr>
                <w:rFonts w:ascii="Times New Roman" w:cs="Times New Roman"/>
                <w:color w:val="000000" w:themeColor="text1"/>
                <w:sz w:val="16"/>
                <w:szCs w:val="16"/>
              </w:rPr>
            </w:pPr>
            <w:r w:rsidRPr="007224C3">
              <w:rPr>
                <w:rFonts w:ascii="Times New Roman" w:cs="Times New Roman"/>
                <w:color w:val="000000" w:themeColor="text1"/>
                <w:sz w:val="16"/>
                <w:szCs w:val="16"/>
              </w:rPr>
              <w:t>37</w:t>
            </w:r>
          </w:p>
        </w:tc>
        <w:tc>
          <w:tcPr>
            <w:tcW w:w="547" w:type="dxa"/>
            <w:tcBorders>
              <w:top w:val="single" w:sz="4" w:space="0" w:color="auto"/>
              <w:left w:val="single" w:sz="4" w:space="0" w:color="auto"/>
              <w:bottom w:val="single" w:sz="4" w:space="0" w:color="auto"/>
              <w:right w:val="single" w:sz="4" w:space="0" w:color="auto"/>
            </w:tcBorders>
            <w:shd w:val="clear" w:color="auto" w:fill="FFFFFF"/>
          </w:tcPr>
          <w:p w14:paraId="23750139" w14:textId="77777777" w:rsidR="00903E13" w:rsidRPr="007224C3" w:rsidRDefault="00903E13" w:rsidP="007224C3">
            <w:pPr>
              <w:pStyle w:val="45"/>
              <w:shd w:val="clear" w:color="auto" w:fill="auto"/>
              <w:spacing w:before="0" w:line="240" w:lineRule="auto"/>
              <w:jc w:val="both"/>
              <w:rPr>
                <w:rFonts w:ascii="Times New Roman" w:cs="Times New Roman"/>
                <w:color w:val="000000" w:themeColor="text1"/>
                <w:sz w:val="16"/>
                <w:szCs w:val="16"/>
              </w:rPr>
            </w:pPr>
            <w:r w:rsidRPr="007224C3">
              <w:rPr>
                <w:rFonts w:ascii="Times New Roman" w:cs="Times New Roman"/>
                <w:color w:val="000000" w:themeColor="text1"/>
                <w:sz w:val="16"/>
                <w:szCs w:val="16"/>
              </w:rPr>
              <w:t>23</w:t>
            </w:r>
          </w:p>
        </w:tc>
        <w:tc>
          <w:tcPr>
            <w:tcW w:w="691" w:type="dxa"/>
            <w:tcBorders>
              <w:top w:val="single" w:sz="4" w:space="0" w:color="auto"/>
              <w:left w:val="single" w:sz="4" w:space="0" w:color="auto"/>
              <w:bottom w:val="single" w:sz="4" w:space="0" w:color="auto"/>
              <w:right w:val="single" w:sz="4" w:space="0" w:color="auto"/>
            </w:tcBorders>
            <w:shd w:val="clear" w:color="auto" w:fill="FFFFFF"/>
          </w:tcPr>
          <w:p w14:paraId="5ABCBB7A" w14:textId="77777777" w:rsidR="00903E13" w:rsidRPr="007224C3" w:rsidRDefault="00903E13" w:rsidP="007224C3">
            <w:pPr>
              <w:pStyle w:val="45"/>
              <w:shd w:val="clear" w:color="auto" w:fill="auto"/>
              <w:spacing w:before="0" w:line="240" w:lineRule="auto"/>
              <w:jc w:val="both"/>
              <w:rPr>
                <w:rFonts w:ascii="Times New Roman" w:cs="Times New Roman"/>
                <w:color w:val="000000" w:themeColor="text1"/>
                <w:sz w:val="16"/>
                <w:szCs w:val="16"/>
              </w:rPr>
            </w:pPr>
            <w:r w:rsidRPr="007224C3">
              <w:rPr>
                <w:rFonts w:ascii="Times New Roman" w:cs="Times New Roman"/>
                <w:color w:val="000000" w:themeColor="text1"/>
                <w:sz w:val="16"/>
                <w:szCs w:val="16"/>
              </w:rPr>
              <w:t>20</w:t>
            </w:r>
          </w:p>
        </w:tc>
        <w:tc>
          <w:tcPr>
            <w:tcW w:w="706" w:type="dxa"/>
            <w:tcBorders>
              <w:top w:val="single" w:sz="4" w:space="0" w:color="auto"/>
              <w:left w:val="single" w:sz="4" w:space="0" w:color="auto"/>
              <w:bottom w:val="single" w:sz="4" w:space="0" w:color="auto"/>
              <w:right w:val="single" w:sz="4" w:space="0" w:color="auto"/>
            </w:tcBorders>
            <w:shd w:val="clear" w:color="auto" w:fill="FFFFFF"/>
          </w:tcPr>
          <w:p w14:paraId="15711402" w14:textId="77777777" w:rsidR="00903E13" w:rsidRPr="007224C3" w:rsidRDefault="00903E13" w:rsidP="007224C3">
            <w:pPr>
              <w:pStyle w:val="45"/>
              <w:shd w:val="clear" w:color="auto" w:fill="auto"/>
              <w:spacing w:before="0" w:line="240" w:lineRule="auto"/>
              <w:jc w:val="both"/>
              <w:rPr>
                <w:rFonts w:ascii="Times New Roman" w:cs="Times New Roman"/>
                <w:color w:val="000000" w:themeColor="text1"/>
                <w:sz w:val="16"/>
                <w:szCs w:val="16"/>
              </w:rPr>
            </w:pPr>
            <w:r w:rsidRPr="007224C3">
              <w:rPr>
                <w:rFonts w:ascii="Times New Roman" w:cs="Times New Roman"/>
                <w:color w:val="000000" w:themeColor="text1"/>
                <w:sz w:val="16"/>
                <w:szCs w:val="16"/>
              </w:rPr>
              <w:t>20</w:t>
            </w:r>
          </w:p>
        </w:tc>
      </w:tr>
      <w:tr w:rsidR="005106D0" w:rsidRPr="007224C3" w14:paraId="28D149AB" w14:textId="77777777" w:rsidTr="00903E13">
        <w:trPr>
          <w:trHeight w:val="206"/>
        </w:trPr>
        <w:tc>
          <w:tcPr>
            <w:tcW w:w="1867" w:type="dxa"/>
            <w:tcBorders>
              <w:top w:val="single" w:sz="4" w:space="0" w:color="auto"/>
              <w:left w:val="single" w:sz="4" w:space="0" w:color="auto"/>
              <w:bottom w:val="single" w:sz="4" w:space="0" w:color="auto"/>
              <w:right w:val="single" w:sz="4" w:space="0" w:color="auto"/>
            </w:tcBorders>
            <w:shd w:val="clear" w:color="auto" w:fill="FFFFFF"/>
          </w:tcPr>
          <w:p w14:paraId="1E5102EA"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Характеристика/тип пушки</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24E9811C"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НС-45</w:t>
            </w:r>
          </w:p>
        </w:tc>
        <w:tc>
          <w:tcPr>
            <w:tcW w:w="883" w:type="dxa"/>
            <w:tcBorders>
              <w:top w:val="single" w:sz="4" w:space="0" w:color="auto"/>
              <w:left w:val="single" w:sz="4" w:space="0" w:color="auto"/>
              <w:bottom w:val="single" w:sz="4" w:space="0" w:color="auto"/>
              <w:right w:val="single" w:sz="4" w:space="0" w:color="auto"/>
            </w:tcBorders>
            <w:shd w:val="clear" w:color="auto" w:fill="FFFFFF"/>
          </w:tcPr>
          <w:p w14:paraId="2D0AC832"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«Виккерс» 3</w:t>
            </w:r>
          </w:p>
        </w:tc>
        <w:tc>
          <w:tcPr>
            <w:tcW w:w="610" w:type="dxa"/>
            <w:tcBorders>
              <w:top w:val="single" w:sz="4" w:space="0" w:color="auto"/>
              <w:left w:val="single" w:sz="4" w:space="0" w:color="auto"/>
              <w:bottom w:val="single" w:sz="4" w:space="0" w:color="auto"/>
              <w:right w:val="single" w:sz="4" w:space="0" w:color="auto"/>
            </w:tcBorders>
            <w:shd w:val="clear" w:color="auto" w:fill="FFFFFF"/>
          </w:tcPr>
          <w:p w14:paraId="11AEE269"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М4</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7D308B1E"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НС-37</w:t>
            </w:r>
          </w:p>
        </w:tc>
        <w:tc>
          <w:tcPr>
            <w:tcW w:w="547" w:type="dxa"/>
            <w:tcBorders>
              <w:top w:val="single" w:sz="4" w:space="0" w:color="auto"/>
              <w:left w:val="single" w:sz="4" w:space="0" w:color="auto"/>
              <w:bottom w:val="single" w:sz="4" w:space="0" w:color="auto"/>
              <w:right w:val="single" w:sz="4" w:space="0" w:color="auto"/>
            </w:tcBorders>
            <w:shd w:val="clear" w:color="auto" w:fill="FFFFFF"/>
          </w:tcPr>
          <w:p w14:paraId="4A55E7D9"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вя</w:t>
            </w:r>
          </w:p>
        </w:tc>
        <w:tc>
          <w:tcPr>
            <w:tcW w:w="691" w:type="dxa"/>
            <w:tcBorders>
              <w:top w:val="single" w:sz="4" w:space="0" w:color="auto"/>
              <w:left w:val="single" w:sz="4" w:space="0" w:color="auto"/>
              <w:bottom w:val="single" w:sz="4" w:space="0" w:color="auto"/>
              <w:right w:val="single" w:sz="4" w:space="0" w:color="auto"/>
            </w:tcBorders>
            <w:shd w:val="clear" w:color="auto" w:fill="FFFFFF"/>
          </w:tcPr>
          <w:p w14:paraId="5CAC43AD"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«Испано»</w:t>
            </w:r>
          </w:p>
        </w:tc>
        <w:tc>
          <w:tcPr>
            <w:tcW w:w="706" w:type="dxa"/>
            <w:tcBorders>
              <w:top w:val="single" w:sz="4" w:space="0" w:color="auto"/>
              <w:left w:val="single" w:sz="4" w:space="0" w:color="auto"/>
              <w:bottom w:val="single" w:sz="4" w:space="0" w:color="auto"/>
              <w:right w:val="single" w:sz="4" w:space="0" w:color="auto"/>
            </w:tcBorders>
            <w:shd w:val="clear" w:color="auto" w:fill="FFFFFF"/>
          </w:tcPr>
          <w:p w14:paraId="57AD2780"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МП-20</w:t>
            </w:r>
          </w:p>
        </w:tc>
      </w:tr>
      <w:tr w:rsidR="005106D0" w:rsidRPr="007224C3" w14:paraId="4FFBE062" w14:textId="77777777" w:rsidTr="00903E13">
        <w:trPr>
          <w:trHeight w:val="600"/>
        </w:trPr>
        <w:tc>
          <w:tcPr>
            <w:tcW w:w="1867" w:type="dxa"/>
            <w:tcBorders>
              <w:top w:val="single" w:sz="4" w:space="0" w:color="auto"/>
              <w:left w:val="single" w:sz="4" w:space="0" w:color="auto"/>
              <w:bottom w:val="single" w:sz="4" w:space="0" w:color="auto"/>
              <w:right w:val="single" w:sz="4" w:space="0" w:color="auto"/>
            </w:tcBorders>
            <w:shd w:val="clear" w:color="auto" w:fill="FFFFFF"/>
          </w:tcPr>
          <w:p w14:paraId="0003FBBE"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Бронепробиваемость, толщина/300 м/ 0 град (мм/м/град)</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33DD5A9A"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43,3</w:t>
            </w:r>
          </w:p>
        </w:tc>
        <w:tc>
          <w:tcPr>
            <w:tcW w:w="883" w:type="dxa"/>
            <w:tcBorders>
              <w:top w:val="single" w:sz="4" w:space="0" w:color="auto"/>
              <w:left w:val="single" w:sz="4" w:space="0" w:color="auto"/>
              <w:bottom w:val="single" w:sz="4" w:space="0" w:color="auto"/>
              <w:right w:val="single" w:sz="4" w:space="0" w:color="auto"/>
            </w:tcBorders>
            <w:shd w:val="clear" w:color="auto" w:fill="FFFFFF"/>
          </w:tcPr>
          <w:p w14:paraId="4DE990BA"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39,5</w:t>
            </w:r>
          </w:p>
        </w:tc>
        <w:tc>
          <w:tcPr>
            <w:tcW w:w="610" w:type="dxa"/>
            <w:tcBorders>
              <w:top w:val="single" w:sz="4" w:space="0" w:color="auto"/>
              <w:left w:val="single" w:sz="4" w:space="0" w:color="auto"/>
              <w:bottom w:val="single" w:sz="4" w:space="0" w:color="auto"/>
              <w:right w:val="single" w:sz="4" w:space="0" w:color="auto"/>
            </w:tcBorders>
            <w:shd w:val="clear" w:color="auto" w:fill="FFFFFF"/>
          </w:tcPr>
          <w:p w14:paraId="1461FB83"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41</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0DFA9AC6"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48,3</w:t>
            </w:r>
          </w:p>
        </w:tc>
        <w:tc>
          <w:tcPr>
            <w:tcW w:w="547" w:type="dxa"/>
            <w:tcBorders>
              <w:top w:val="single" w:sz="4" w:space="0" w:color="auto"/>
              <w:left w:val="single" w:sz="4" w:space="0" w:color="auto"/>
              <w:bottom w:val="single" w:sz="4" w:space="0" w:color="auto"/>
              <w:right w:val="single" w:sz="4" w:space="0" w:color="auto"/>
            </w:tcBorders>
            <w:shd w:val="clear" w:color="auto" w:fill="FFFFFF"/>
          </w:tcPr>
          <w:p w14:paraId="62104AA9"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32,5</w:t>
            </w:r>
          </w:p>
        </w:tc>
        <w:tc>
          <w:tcPr>
            <w:tcW w:w="691" w:type="dxa"/>
            <w:tcBorders>
              <w:top w:val="single" w:sz="4" w:space="0" w:color="auto"/>
              <w:left w:val="single" w:sz="4" w:space="0" w:color="auto"/>
              <w:bottom w:val="single" w:sz="4" w:space="0" w:color="auto"/>
              <w:right w:val="single" w:sz="4" w:space="0" w:color="auto"/>
            </w:tcBorders>
            <w:shd w:val="clear" w:color="auto" w:fill="FFFFFF"/>
          </w:tcPr>
          <w:p w14:paraId="260D2018"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28,5</w:t>
            </w:r>
          </w:p>
        </w:tc>
        <w:tc>
          <w:tcPr>
            <w:tcW w:w="706" w:type="dxa"/>
            <w:tcBorders>
              <w:top w:val="single" w:sz="4" w:space="0" w:color="auto"/>
              <w:left w:val="single" w:sz="4" w:space="0" w:color="auto"/>
              <w:bottom w:val="single" w:sz="4" w:space="0" w:color="auto"/>
              <w:right w:val="single" w:sz="4" w:space="0" w:color="auto"/>
            </w:tcBorders>
            <w:shd w:val="clear" w:color="auto" w:fill="FFFFFF"/>
          </w:tcPr>
          <w:p w14:paraId="6095055E"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19</w:t>
            </w:r>
          </w:p>
        </w:tc>
      </w:tr>
    </w:tbl>
    <w:p w14:paraId="0CDBE566"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Несмотря на больший калибр, броне- пробиваемость английской пушки оказа</w:t>
      </w:r>
      <w:r w:rsidRPr="007224C3">
        <w:rPr>
          <w:rFonts w:ascii="Times New Roman" w:hAnsi="Times New Roman" w:cs="Times New Roman"/>
          <w:color w:val="000000" w:themeColor="text1"/>
          <w:sz w:val="16"/>
          <w:szCs w:val="16"/>
        </w:rPr>
        <w:softHyphen/>
        <w:t>лась хуже отечественной пушки калибра 37 мм НС-37. С дистанции 300 м броне</w:t>
      </w:r>
      <w:r w:rsidRPr="007224C3">
        <w:rPr>
          <w:rFonts w:ascii="Times New Roman" w:hAnsi="Times New Roman" w:cs="Times New Roman"/>
          <w:color w:val="000000" w:themeColor="text1"/>
          <w:sz w:val="16"/>
          <w:szCs w:val="16"/>
        </w:rPr>
        <w:softHyphen/>
        <w:t>бойный снаряд к пушке НС-37 пробивал при нормальном попадании до 48,3 мм гомогенной танковой брони, тогда как бронебойный снаряд к пушке Виккерс 5 - только 38-41 мм.</w:t>
      </w:r>
    </w:p>
    <w:p w14:paraId="6AFC2CB4"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Советские истребители Як-9т и ЛаГГ- 3, хотя и имели несколько меньший вес се</w:t>
      </w:r>
      <w:r w:rsidRPr="007224C3">
        <w:rPr>
          <w:rFonts w:ascii="Times New Roman" w:hAnsi="Times New Roman" w:cs="Times New Roman"/>
          <w:color w:val="000000" w:themeColor="text1"/>
          <w:sz w:val="16"/>
          <w:szCs w:val="16"/>
        </w:rPr>
        <w:softHyphen/>
        <w:t>кундного залпа, но заметно превосходили английский истребитель танков по летным данным.</w:t>
      </w:r>
    </w:p>
    <w:p w14:paraId="674BED80"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Наступательное стрелково-пушечное вооружение Ил-2 по сравнению с оружи</w:t>
      </w:r>
      <w:r w:rsidRPr="007224C3">
        <w:rPr>
          <w:rFonts w:ascii="Times New Roman" w:hAnsi="Times New Roman" w:cs="Times New Roman"/>
          <w:color w:val="000000" w:themeColor="text1"/>
          <w:sz w:val="16"/>
          <w:szCs w:val="16"/>
        </w:rPr>
        <w:softHyphen/>
        <w:t>ем «Харрикейн» 1Ю имело почти в 1,5 раза больший вес секундного залпа. При этом боекомплект к пушкам у Ил-2 по времени непрерывной стрельбы был также больше. Если принять во внимание значительно лучшее бронирование самолета Ил-2, на</w:t>
      </w:r>
      <w:r w:rsidRPr="007224C3">
        <w:rPr>
          <w:rFonts w:ascii="Times New Roman" w:hAnsi="Times New Roman" w:cs="Times New Roman"/>
          <w:color w:val="000000" w:themeColor="text1"/>
          <w:sz w:val="16"/>
          <w:szCs w:val="16"/>
        </w:rPr>
        <w:softHyphen/>
        <w:t>личие обороны задней полусферы и бом</w:t>
      </w:r>
      <w:r w:rsidRPr="007224C3">
        <w:rPr>
          <w:rFonts w:ascii="Times New Roman" w:hAnsi="Times New Roman" w:cs="Times New Roman"/>
          <w:color w:val="000000" w:themeColor="text1"/>
          <w:sz w:val="16"/>
          <w:szCs w:val="16"/>
        </w:rPr>
        <w:softHyphen/>
        <w:t>бового вооружения, то преимущество его системы вооружения считались несомнен</w:t>
      </w:r>
      <w:r w:rsidRPr="007224C3">
        <w:rPr>
          <w:rFonts w:ascii="Times New Roman" w:hAnsi="Times New Roman" w:cs="Times New Roman"/>
          <w:color w:val="000000" w:themeColor="text1"/>
          <w:sz w:val="16"/>
          <w:szCs w:val="16"/>
        </w:rPr>
        <w:softHyphen/>
        <w:t>ными.</w:t>
      </w:r>
    </w:p>
    <w:p w14:paraId="66E327EE"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Зато у «Харрикейна» было другое пре</w:t>
      </w:r>
      <w:r w:rsidRPr="007224C3">
        <w:rPr>
          <w:rFonts w:ascii="Times New Roman" w:hAnsi="Times New Roman" w:cs="Times New Roman"/>
          <w:color w:val="000000" w:themeColor="text1"/>
          <w:sz w:val="16"/>
          <w:szCs w:val="16"/>
        </w:rPr>
        <w:softHyphen/>
        <w:t>имущество. Рассеивание нескольких оче</w:t>
      </w:r>
      <w:r w:rsidRPr="007224C3">
        <w:rPr>
          <w:rFonts w:ascii="Times New Roman" w:hAnsi="Times New Roman" w:cs="Times New Roman"/>
          <w:color w:val="000000" w:themeColor="text1"/>
          <w:sz w:val="16"/>
          <w:szCs w:val="16"/>
        </w:rPr>
        <w:softHyphen/>
        <w:t>редей при стрельбе в воздухе из пушек по полотнищам, расположенным на земле, у самолета «Харрикейн» оказалось при</w:t>
      </w:r>
      <w:r w:rsidRPr="007224C3">
        <w:rPr>
          <w:rFonts w:ascii="Times New Roman" w:hAnsi="Times New Roman" w:cs="Times New Roman"/>
          <w:color w:val="000000" w:themeColor="text1"/>
          <w:sz w:val="16"/>
          <w:szCs w:val="16"/>
        </w:rPr>
        <w:softHyphen/>
        <w:t>мерно в 2-2,5 раза меньше, чем у само</w:t>
      </w:r>
      <w:r w:rsidRPr="007224C3">
        <w:rPr>
          <w:rFonts w:ascii="Times New Roman" w:hAnsi="Times New Roman" w:cs="Times New Roman"/>
          <w:color w:val="000000" w:themeColor="text1"/>
          <w:sz w:val="16"/>
          <w:szCs w:val="16"/>
        </w:rPr>
        <w:softHyphen/>
        <w:t>летов ЛаГГ-3 и Як-9т с пушкой НС-37, и в 6-6,5 раз меньше, чем у самолета Ил-2 с пушками НС-37. Смещение центров груп</w:t>
      </w:r>
      <w:r w:rsidRPr="007224C3">
        <w:rPr>
          <w:rFonts w:ascii="Times New Roman" w:hAnsi="Times New Roman" w:cs="Times New Roman"/>
          <w:color w:val="000000" w:themeColor="text1"/>
          <w:sz w:val="16"/>
          <w:szCs w:val="16"/>
        </w:rPr>
        <w:softHyphen/>
        <w:t>пирования попаданий по отношению точки наводки прицела у самолета «Харрикейн» меньше, чем у Ил-2 с НС-37 примерно в 4-11 раз меньше.</w:t>
      </w:r>
    </w:p>
    <w:p w14:paraId="337FCCE6"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Рассеивание при стрельбе в воздухе из пушек у самолета «Харрикейн» 1Ю, по сравнению с рассеиванием при стрельбе на земле, возрастало в 10-18 раз, а у само</w:t>
      </w:r>
      <w:r w:rsidRPr="007224C3">
        <w:rPr>
          <w:rFonts w:ascii="Times New Roman" w:hAnsi="Times New Roman" w:cs="Times New Roman"/>
          <w:color w:val="000000" w:themeColor="text1"/>
          <w:sz w:val="16"/>
          <w:szCs w:val="16"/>
        </w:rPr>
        <w:softHyphen/>
        <w:t>лета Ил-2 - в 30-100 раз. Следовательно, ведение прицельного огня в воздухе с самолета «Харрикейн» 1Ю «значительно удобнее и точнее, чем со сравниваемыми отечественными самолетами».к правому пулемету, который имел «не</w:t>
      </w:r>
      <w:r w:rsidRPr="007224C3">
        <w:rPr>
          <w:rFonts w:ascii="Times New Roman" w:hAnsi="Times New Roman" w:cs="Times New Roman"/>
          <w:color w:val="000000" w:themeColor="text1"/>
          <w:sz w:val="16"/>
          <w:szCs w:val="16"/>
        </w:rPr>
        <w:softHyphen/>
        <w:t>устранимый дефект - тугой ход подвиж</w:t>
      </w:r>
      <w:r w:rsidRPr="007224C3">
        <w:rPr>
          <w:rFonts w:ascii="Times New Roman" w:hAnsi="Times New Roman" w:cs="Times New Roman"/>
          <w:color w:val="000000" w:themeColor="text1"/>
          <w:sz w:val="16"/>
          <w:szCs w:val="16"/>
        </w:rPr>
        <w:softHyphen/>
        <w:t>ных частей, не зависящий от конструкции оружия».</w:t>
      </w:r>
    </w:p>
    <w:p w14:paraId="48E45B90"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По вине пушечной установки задержек не было вовсе. Пневмосистема и электроп</w:t>
      </w:r>
      <w:r w:rsidRPr="007224C3">
        <w:rPr>
          <w:rFonts w:ascii="Times New Roman" w:hAnsi="Times New Roman" w:cs="Times New Roman"/>
          <w:color w:val="000000" w:themeColor="text1"/>
          <w:sz w:val="16"/>
          <w:szCs w:val="16"/>
        </w:rPr>
        <w:softHyphen/>
        <w:t>невматическое управление вооружением работали надежно и безотказно.</w:t>
      </w:r>
    </w:p>
    <w:p w14:paraId="7B996C24"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Имелись и недостатки. Пушки было трудно снаряжать - «стеснен подход к ру</w:t>
      </w:r>
      <w:r w:rsidRPr="007224C3">
        <w:rPr>
          <w:rFonts w:ascii="Times New Roman" w:hAnsi="Times New Roman" w:cs="Times New Roman"/>
          <w:color w:val="000000" w:themeColor="text1"/>
          <w:sz w:val="16"/>
          <w:szCs w:val="16"/>
        </w:rPr>
        <w:softHyphen/>
        <w:t>коятке магазина при заряжании, особенно при зимней эксплуатации». Конструкция защелок, фиксирующих положение руко</w:t>
      </w:r>
      <w:r w:rsidRPr="007224C3">
        <w:rPr>
          <w:rFonts w:ascii="Times New Roman" w:hAnsi="Times New Roman" w:cs="Times New Roman"/>
          <w:color w:val="000000" w:themeColor="text1"/>
          <w:sz w:val="16"/>
          <w:szCs w:val="16"/>
        </w:rPr>
        <w:softHyphen/>
        <w:t>ятки магазина, оказалась неудачной и не</w:t>
      </w:r>
      <w:r w:rsidRPr="007224C3">
        <w:rPr>
          <w:rFonts w:ascii="Times New Roman" w:hAnsi="Times New Roman" w:cs="Times New Roman"/>
          <w:color w:val="000000" w:themeColor="text1"/>
          <w:sz w:val="16"/>
          <w:szCs w:val="16"/>
        </w:rPr>
        <w:softHyphen/>
        <w:t>прочной. Окно магазина пушки распола</w:t>
      </w:r>
      <w:r w:rsidRPr="007224C3">
        <w:rPr>
          <w:rFonts w:ascii="Times New Roman" w:hAnsi="Times New Roman" w:cs="Times New Roman"/>
          <w:color w:val="000000" w:themeColor="text1"/>
          <w:sz w:val="16"/>
          <w:szCs w:val="16"/>
        </w:rPr>
        <w:softHyphen/>
        <w:t>галось крайне неудобно, что затрудняло работу при снаряжении магазина патро</w:t>
      </w:r>
      <w:r w:rsidRPr="007224C3">
        <w:rPr>
          <w:rFonts w:ascii="Times New Roman" w:hAnsi="Times New Roman" w:cs="Times New Roman"/>
          <w:color w:val="000000" w:themeColor="text1"/>
          <w:sz w:val="16"/>
          <w:szCs w:val="16"/>
        </w:rPr>
        <w:softHyphen/>
        <w:t>нами. К тому же можно было повредить руки. Гильзоотводное окно имело разме</w:t>
      </w:r>
      <w:r w:rsidRPr="007224C3">
        <w:rPr>
          <w:rFonts w:ascii="Times New Roman" w:hAnsi="Times New Roman" w:cs="Times New Roman"/>
          <w:color w:val="000000" w:themeColor="text1"/>
          <w:sz w:val="16"/>
          <w:szCs w:val="16"/>
        </w:rPr>
        <w:softHyphen/>
        <w:t>ры ровно под размер гильзы, поэтому для извлечения гильзы или снаряда из патрон</w:t>
      </w:r>
      <w:r w:rsidRPr="007224C3">
        <w:rPr>
          <w:rFonts w:ascii="Times New Roman" w:hAnsi="Times New Roman" w:cs="Times New Roman"/>
          <w:color w:val="000000" w:themeColor="text1"/>
          <w:sz w:val="16"/>
          <w:szCs w:val="16"/>
        </w:rPr>
        <w:softHyphen/>
        <w:t>ника необходимо было производить не</w:t>
      </w:r>
      <w:r w:rsidRPr="007224C3">
        <w:rPr>
          <w:rFonts w:ascii="Times New Roman" w:hAnsi="Times New Roman" w:cs="Times New Roman"/>
          <w:color w:val="000000" w:themeColor="text1"/>
          <w:sz w:val="16"/>
          <w:szCs w:val="16"/>
        </w:rPr>
        <w:softHyphen/>
        <w:t>полную разборку пушки. Регулировочное приспособление пушек было выполнено неудачно - «при снятии пушки с самолета нарушается пристрелка». Легкосъемные замки крышек лючков пулеметов в ходе эксплуатации быстро деформировались. Как следствие, открывание и закрывание лючков становилось затруднительным. Обтекатели пушек оказались недостаточ</w:t>
      </w:r>
      <w:r w:rsidRPr="007224C3">
        <w:rPr>
          <w:rFonts w:ascii="Times New Roman" w:hAnsi="Times New Roman" w:cs="Times New Roman"/>
          <w:color w:val="000000" w:themeColor="text1"/>
          <w:sz w:val="16"/>
          <w:szCs w:val="16"/>
        </w:rPr>
        <w:softHyphen/>
        <w:t>но жесткими и при резком выводе из пики</w:t>
      </w:r>
      <w:r w:rsidRPr="007224C3">
        <w:rPr>
          <w:rFonts w:ascii="Times New Roman" w:hAnsi="Times New Roman" w:cs="Times New Roman"/>
          <w:color w:val="000000" w:themeColor="text1"/>
          <w:sz w:val="16"/>
          <w:szCs w:val="16"/>
        </w:rPr>
        <w:softHyphen/>
        <w:t>рования деформировались. Так, старший лейтенант Поминальный 12 декабря при пикировании под углом 55" на выходе из пикирования создал перегрузку близкой к 3 единицам и обтекатели пушек дефор</w:t>
      </w:r>
      <w:r w:rsidRPr="007224C3">
        <w:rPr>
          <w:rFonts w:ascii="Times New Roman" w:hAnsi="Times New Roman" w:cs="Times New Roman"/>
          <w:color w:val="000000" w:themeColor="text1"/>
          <w:sz w:val="16"/>
          <w:szCs w:val="16"/>
        </w:rPr>
        <w:softHyphen/>
        <w:t>мировались.</w:t>
      </w:r>
    </w:p>
    <w:p w14:paraId="47D69032"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Сравнение летно-боевых качеств «Харрикейн» 1Ю с советскими истребите</w:t>
      </w:r>
      <w:r w:rsidRPr="007224C3">
        <w:rPr>
          <w:rFonts w:ascii="Times New Roman" w:hAnsi="Times New Roman" w:cs="Times New Roman"/>
          <w:color w:val="000000" w:themeColor="text1"/>
          <w:sz w:val="16"/>
          <w:szCs w:val="16"/>
        </w:rPr>
        <w:softHyphen/>
        <w:t>лями Як-9т, ЛаГГ-3 и штурмовиком Ил-2, вооруженных пушками калибра 37 мм НС- 37, оказалось не в пользу «англичанина».</w:t>
      </w:r>
    </w:p>
    <w:p w14:paraId="0D66B665"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Отмечалось, что «пушка Виккерс 3 калибра 40 мм по темпу стрельбы и на</w:t>
      </w:r>
      <w:r w:rsidRPr="007224C3">
        <w:rPr>
          <w:rFonts w:ascii="Times New Roman" w:hAnsi="Times New Roman" w:cs="Times New Roman"/>
          <w:color w:val="000000" w:themeColor="text1"/>
          <w:sz w:val="16"/>
          <w:szCs w:val="16"/>
        </w:rPr>
        <w:softHyphen/>
        <w:t>чальной скорости снаряда стоит ниже современных систем авиационных авто</w:t>
      </w:r>
      <w:r w:rsidRPr="007224C3">
        <w:rPr>
          <w:rFonts w:ascii="Times New Roman" w:hAnsi="Times New Roman" w:cs="Times New Roman"/>
          <w:color w:val="000000" w:themeColor="text1"/>
          <w:sz w:val="16"/>
          <w:szCs w:val="16"/>
        </w:rPr>
        <w:softHyphen/>
        <w:t>матических пушек и значительно ниже от</w:t>
      </w:r>
      <w:r w:rsidRPr="007224C3">
        <w:rPr>
          <w:rFonts w:ascii="Times New Roman" w:hAnsi="Times New Roman" w:cs="Times New Roman"/>
          <w:color w:val="000000" w:themeColor="text1"/>
          <w:sz w:val="16"/>
          <w:szCs w:val="16"/>
        </w:rPr>
        <w:softHyphen/>
        <w:t>ечественной 37-мм пушки НС-37 ОКБ-16». Пушка имеет большой относительный вес. Коэффициент использования металла по отношению к дульной мощности (показа</w:t>
      </w:r>
      <w:r w:rsidRPr="007224C3">
        <w:rPr>
          <w:rFonts w:ascii="Times New Roman" w:hAnsi="Times New Roman" w:cs="Times New Roman"/>
          <w:color w:val="000000" w:themeColor="text1"/>
          <w:sz w:val="16"/>
          <w:szCs w:val="16"/>
        </w:rPr>
        <w:softHyphen/>
        <w:t>тель качества оружия) у Виккерс 5 в 1,35 раза меньше, чем у американской 37-мм пушки М-4, в 3,5 раза меньше, чем у НС-37 и в 4 раза меньше, чем у НС-45.</w:t>
      </w:r>
    </w:p>
    <w:p w14:paraId="386FE735" w14:textId="77777777" w:rsidR="00903E13" w:rsidRPr="007224C3" w:rsidRDefault="00903E13" w:rsidP="007224C3">
      <w:pPr>
        <w:pStyle w:val="aff2"/>
        <w:shd w:val="clear" w:color="auto" w:fill="auto"/>
        <w:spacing w:line="240" w:lineRule="auto"/>
        <w:rPr>
          <w:rFonts w:ascii="Times New Roman" w:hAnsi="Times New Roman" w:cs="Times New Roman"/>
          <w:i w:val="0"/>
          <w:color w:val="000000" w:themeColor="text1"/>
          <w:sz w:val="16"/>
          <w:szCs w:val="16"/>
          <w:lang w:val="ru-RU"/>
        </w:rPr>
      </w:pPr>
      <w:r w:rsidRPr="007224C3">
        <w:rPr>
          <w:rFonts w:ascii="Times New Roman" w:hAnsi="Times New Roman" w:cs="Times New Roman"/>
          <w:i w:val="0"/>
          <w:color w:val="000000" w:themeColor="text1"/>
          <w:sz w:val="16"/>
          <w:szCs w:val="16"/>
          <w:lang w:val="ru-RU"/>
        </w:rPr>
        <w:t>Деформация обтекателей правой и левой пушек после пикирования и резкого вывода 19.12.43 (старший лейтенант Поминальный)</w:t>
      </w:r>
    </w:p>
    <w:tbl>
      <w:tblPr>
        <w:tblW w:w="0" w:type="auto"/>
        <w:tblLayout w:type="fixed"/>
        <w:tblCellMar>
          <w:left w:w="10" w:type="dxa"/>
          <w:right w:w="10" w:type="dxa"/>
        </w:tblCellMar>
        <w:tblLook w:val="04A0" w:firstRow="1" w:lastRow="0" w:firstColumn="1" w:lastColumn="0" w:noHBand="0" w:noVBand="1"/>
      </w:tblPr>
      <w:tblGrid>
        <w:gridCol w:w="1867"/>
        <w:gridCol w:w="686"/>
        <w:gridCol w:w="883"/>
        <w:gridCol w:w="610"/>
        <w:gridCol w:w="686"/>
        <w:gridCol w:w="547"/>
        <w:gridCol w:w="691"/>
        <w:gridCol w:w="706"/>
      </w:tblGrid>
      <w:tr w:rsidR="005106D0" w:rsidRPr="007224C3" w14:paraId="3893962A" w14:textId="77777777" w:rsidTr="00903E13">
        <w:trPr>
          <w:trHeight w:val="206"/>
        </w:trPr>
        <w:tc>
          <w:tcPr>
            <w:tcW w:w="1867" w:type="dxa"/>
            <w:tcBorders>
              <w:top w:val="single" w:sz="4" w:space="0" w:color="auto"/>
              <w:left w:val="single" w:sz="4" w:space="0" w:color="auto"/>
              <w:bottom w:val="single" w:sz="4" w:space="0" w:color="auto"/>
              <w:right w:val="single" w:sz="4" w:space="0" w:color="auto"/>
            </w:tcBorders>
            <w:shd w:val="clear" w:color="auto" w:fill="FFFFFF"/>
          </w:tcPr>
          <w:p w14:paraId="38059DAB" w14:textId="77777777" w:rsidR="00903E13" w:rsidRPr="007224C3" w:rsidRDefault="00903E13" w:rsidP="007224C3">
            <w:pPr>
              <w:pStyle w:val="45"/>
              <w:shd w:val="clear" w:color="auto" w:fill="auto"/>
              <w:spacing w:before="0" w:line="240" w:lineRule="auto"/>
              <w:jc w:val="both"/>
              <w:rPr>
                <w:rFonts w:ascii="Times New Roman" w:cs="Times New Roman"/>
                <w:color w:val="000000" w:themeColor="text1"/>
                <w:sz w:val="16"/>
                <w:szCs w:val="16"/>
              </w:rPr>
            </w:pPr>
            <w:r w:rsidRPr="007224C3">
              <w:rPr>
                <w:rFonts w:ascii="Times New Roman" w:cs="Times New Roman"/>
                <w:color w:val="000000" w:themeColor="text1"/>
                <w:sz w:val="16"/>
                <w:szCs w:val="16"/>
              </w:rPr>
              <w:t>Калибр, мм</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4A7E728D" w14:textId="77777777" w:rsidR="00903E13" w:rsidRPr="007224C3" w:rsidRDefault="00903E13" w:rsidP="007224C3">
            <w:pPr>
              <w:pStyle w:val="45"/>
              <w:shd w:val="clear" w:color="auto" w:fill="auto"/>
              <w:spacing w:before="0" w:line="240" w:lineRule="auto"/>
              <w:jc w:val="both"/>
              <w:rPr>
                <w:rFonts w:ascii="Times New Roman" w:cs="Times New Roman"/>
                <w:color w:val="000000" w:themeColor="text1"/>
                <w:sz w:val="16"/>
                <w:szCs w:val="16"/>
              </w:rPr>
            </w:pPr>
            <w:r w:rsidRPr="007224C3">
              <w:rPr>
                <w:rFonts w:ascii="Times New Roman" w:cs="Times New Roman"/>
                <w:color w:val="000000" w:themeColor="text1"/>
                <w:sz w:val="16"/>
                <w:szCs w:val="16"/>
              </w:rPr>
              <w:t>45</w:t>
            </w:r>
          </w:p>
        </w:tc>
        <w:tc>
          <w:tcPr>
            <w:tcW w:w="883" w:type="dxa"/>
            <w:tcBorders>
              <w:top w:val="single" w:sz="4" w:space="0" w:color="auto"/>
              <w:left w:val="single" w:sz="4" w:space="0" w:color="auto"/>
              <w:bottom w:val="single" w:sz="4" w:space="0" w:color="auto"/>
              <w:right w:val="single" w:sz="4" w:space="0" w:color="auto"/>
            </w:tcBorders>
            <w:shd w:val="clear" w:color="auto" w:fill="FFFFFF"/>
          </w:tcPr>
          <w:p w14:paraId="6FFD655C" w14:textId="77777777" w:rsidR="00903E13" w:rsidRPr="007224C3" w:rsidRDefault="00903E13" w:rsidP="007224C3">
            <w:pPr>
              <w:pStyle w:val="45"/>
              <w:shd w:val="clear" w:color="auto" w:fill="auto"/>
              <w:spacing w:before="0" w:line="240" w:lineRule="auto"/>
              <w:jc w:val="both"/>
              <w:rPr>
                <w:rFonts w:ascii="Times New Roman" w:cs="Times New Roman"/>
                <w:color w:val="000000" w:themeColor="text1"/>
                <w:sz w:val="16"/>
                <w:szCs w:val="16"/>
              </w:rPr>
            </w:pPr>
            <w:r w:rsidRPr="007224C3">
              <w:rPr>
                <w:rFonts w:ascii="Times New Roman" w:cs="Times New Roman"/>
                <w:color w:val="000000" w:themeColor="text1"/>
                <w:sz w:val="16"/>
                <w:szCs w:val="16"/>
              </w:rPr>
              <w:t>40</w:t>
            </w:r>
          </w:p>
        </w:tc>
        <w:tc>
          <w:tcPr>
            <w:tcW w:w="610" w:type="dxa"/>
            <w:tcBorders>
              <w:top w:val="single" w:sz="4" w:space="0" w:color="auto"/>
              <w:left w:val="single" w:sz="4" w:space="0" w:color="auto"/>
              <w:bottom w:val="single" w:sz="4" w:space="0" w:color="auto"/>
              <w:right w:val="single" w:sz="4" w:space="0" w:color="auto"/>
            </w:tcBorders>
            <w:shd w:val="clear" w:color="auto" w:fill="FFFFFF"/>
          </w:tcPr>
          <w:p w14:paraId="672667F7" w14:textId="77777777" w:rsidR="00903E13" w:rsidRPr="007224C3" w:rsidRDefault="00903E13" w:rsidP="007224C3">
            <w:pPr>
              <w:pStyle w:val="45"/>
              <w:shd w:val="clear" w:color="auto" w:fill="auto"/>
              <w:spacing w:before="0" w:line="240" w:lineRule="auto"/>
              <w:jc w:val="both"/>
              <w:rPr>
                <w:rFonts w:ascii="Times New Roman" w:cs="Times New Roman"/>
                <w:color w:val="000000" w:themeColor="text1"/>
                <w:sz w:val="16"/>
                <w:szCs w:val="16"/>
              </w:rPr>
            </w:pPr>
            <w:r w:rsidRPr="007224C3">
              <w:rPr>
                <w:rFonts w:ascii="Times New Roman" w:cs="Times New Roman"/>
                <w:color w:val="000000" w:themeColor="text1"/>
                <w:sz w:val="16"/>
                <w:szCs w:val="16"/>
              </w:rPr>
              <w:t>37</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476F5E26" w14:textId="77777777" w:rsidR="00903E13" w:rsidRPr="007224C3" w:rsidRDefault="00903E13" w:rsidP="007224C3">
            <w:pPr>
              <w:pStyle w:val="45"/>
              <w:shd w:val="clear" w:color="auto" w:fill="auto"/>
              <w:spacing w:before="0" w:line="240" w:lineRule="auto"/>
              <w:jc w:val="both"/>
              <w:rPr>
                <w:rFonts w:ascii="Times New Roman" w:cs="Times New Roman"/>
                <w:color w:val="000000" w:themeColor="text1"/>
                <w:sz w:val="16"/>
                <w:szCs w:val="16"/>
              </w:rPr>
            </w:pPr>
            <w:r w:rsidRPr="007224C3">
              <w:rPr>
                <w:rFonts w:ascii="Times New Roman" w:cs="Times New Roman"/>
                <w:color w:val="000000" w:themeColor="text1"/>
                <w:sz w:val="16"/>
                <w:szCs w:val="16"/>
              </w:rPr>
              <w:t>37</w:t>
            </w:r>
          </w:p>
        </w:tc>
        <w:tc>
          <w:tcPr>
            <w:tcW w:w="547" w:type="dxa"/>
            <w:tcBorders>
              <w:top w:val="single" w:sz="4" w:space="0" w:color="auto"/>
              <w:left w:val="single" w:sz="4" w:space="0" w:color="auto"/>
              <w:bottom w:val="single" w:sz="4" w:space="0" w:color="auto"/>
              <w:right w:val="single" w:sz="4" w:space="0" w:color="auto"/>
            </w:tcBorders>
            <w:shd w:val="clear" w:color="auto" w:fill="FFFFFF"/>
          </w:tcPr>
          <w:p w14:paraId="167BB578" w14:textId="77777777" w:rsidR="00903E13" w:rsidRPr="007224C3" w:rsidRDefault="00903E13" w:rsidP="007224C3">
            <w:pPr>
              <w:pStyle w:val="45"/>
              <w:shd w:val="clear" w:color="auto" w:fill="auto"/>
              <w:spacing w:before="0" w:line="240" w:lineRule="auto"/>
              <w:jc w:val="both"/>
              <w:rPr>
                <w:rFonts w:ascii="Times New Roman" w:cs="Times New Roman"/>
                <w:color w:val="000000" w:themeColor="text1"/>
                <w:sz w:val="16"/>
                <w:szCs w:val="16"/>
              </w:rPr>
            </w:pPr>
            <w:r w:rsidRPr="007224C3">
              <w:rPr>
                <w:rFonts w:ascii="Times New Roman" w:cs="Times New Roman"/>
                <w:color w:val="000000" w:themeColor="text1"/>
                <w:sz w:val="16"/>
                <w:szCs w:val="16"/>
              </w:rPr>
              <w:t>23</w:t>
            </w:r>
          </w:p>
        </w:tc>
        <w:tc>
          <w:tcPr>
            <w:tcW w:w="691" w:type="dxa"/>
            <w:tcBorders>
              <w:top w:val="single" w:sz="4" w:space="0" w:color="auto"/>
              <w:left w:val="single" w:sz="4" w:space="0" w:color="auto"/>
              <w:bottom w:val="single" w:sz="4" w:space="0" w:color="auto"/>
              <w:right w:val="single" w:sz="4" w:space="0" w:color="auto"/>
            </w:tcBorders>
            <w:shd w:val="clear" w:color="auto" w:fill="FFFFFF"/>
          </w:tcPr>
          <w:p w14:paraId="22ED7205" w14:textId="77777777" w:rsidR="00903E13" w:rsidRPr="007224C3" w:rsidRDefault="00903E13" w:rsidP="007224C3">
            <w:pPr>
              <w:pStyle w:val="45"/>
              <w:shd w:val="clear" w:color="auto" w:fill="auto"/>
              <w:spacing w:before="0" w:line="240" w:lineRule="auto"/>
              <w:jc w:val="both"/>
              <w:rPr>
                <w:rFonts w:ascii="Times New Roman" w:cs="Times New Roman"/>
                <w:color w:val="000000" w:themeColor="text1"/>
                <w:sz w:val="16"/>
                <w:szCs w:val="16"/>
              </w:rPr>
            </w:pPr>
            <w:r w:rsidRPr="007224C3">
              <w:rPr>
                <w:rFonts w:ascii="Times New Roman" w:cs="Times New Roman"/>
                <w:color w:val="000000" w:themeColor="text1"/>
                <w:sz w:val="16"/>
                <w:szCs w:val="16"/>
              </w:rPr>
              <w:t>20</w:t>
            </w:r>
          </w:p>
        </w:tc>
        <w:tc>
          <w:tcPr>
            <w:tcW w:w="706" w:type="dxa"/>
            <w:tcBorders>
              <w:top w:val="single" w:sz="4" w:space="0" w:color="auto"/>
              <w:left w:val="single" w:sz="4" w:space="0" w:color="auto"/>
              <w:bottom w:val="single" w:sz="4" w:space="0" w:color="auto"/>
              <w:right w:val="single" w:sz="4" w:space="0" w:color="auto"/>
            </w:tcBorders>
            <w:shd w:val="clear" w:color="auto" w:fill="FFFFFF"/>
          </w:tcPr>
          <w:p w14:paraId="0A3BF0DA" w14:textId="77777777" w:rsidR="00903E13" w:rsidRPr="007224C3" w:rsidRDefault="00903E13" w:rsidP="007224C3">
            <w:pPr>
              <w:pStyle w:val="45"/>
              <w:shd w:val="clear" w:color="auto" w:fill="auto"/>
              <w:spacing w:before="0" w:line="240" w:lineRule="auto"/>
              <w:jc w:val="both"/>
              <w:rPr>
                <w:rFonts w:ascii="Times New Roman" w:cs="Times New Roman"/>
                <w:color w:val="000000" w:themeColor="text1"/>
                <w:sz w:val="16"/>
                <w:szCs w:val="16"/>
              </w:rPr>
            </w:pPr>
            <w:r w:rsidRPr="007224C3">
              <w:rPr>
                <w:rFonts w:ascii="Times New Roman" w:cs="Times New Roman"/>
                <w:color w:val="000000" w:themeColor="text1"/>
                <w:sz w:val="16"/>
                <w:szCs w:val="16"/>
              </w:rPr>
              <w:t>20</w:t>
            </w:r>
          </w:p>
        </w:tc>
      </w:tr>
      <w:tr w:rsidR="005106D0" w:rsidRPr="007224C3" w14:paraId="5B20FE33" w14:textId="77777777" w:rsidTr="00903E13">
        <w:trPr>
          <w:trHeight w:val="206"/>
        </w:trPr>
        <w:tc>
          <w:tcPr>
            <w:tcW w:w="1867" w:type="dxa"/>
            <w:tcBorders>
              <w:top w:val="single" w:sz="4" w:space="0" w:color="auto"/>
              <w:left w:val="single" w:sz="4" w:space="0" w:color="auto"/>
              <w:bottom w:val="single" w:sz="4" w:space="0" w:color="auto"/>
              <w:right w:val="single" w:sz="4" w:space="0" w:color="auto"/>
            </w:tcBorders>
            <w:shd w:val="clear" w:color="auto" w:fill="FFFFFF"/>
          </w:tcPr>
          <w:p w14:paraId="10F4A13A"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Характеристика/тип пушки</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13D9EAFD"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НС-45</w:t>
            </w:r>
          </w:p>
        </w:tc>
        <w:tc>
          <w:tcPr>
            <w:tcW w:w="883" w:type="dxa"/>
            <w:tcBorders>
              <w:top w:val="single" w:sz="4" w:space="0" w:color="auto"/>
              <w:left w:val="single" w:sz="4" w:space="0" w:color="auto"/>
              <w:bottom w:val="single" w:sz="4" w:space="0" w:color="auto"/>
              <w:right w:val="single" w:sz="4" w:space="0" w:color="auto"/>
            </w:tcBorders>
            <w:shd w:val="clear" w:color="auto" w:fill="FFFFFF"/>
          </w:tcPr>
          <w:p w14:paraId="2A18B93D"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«Виккерс» 3</w:t>
            </w:r>
          </w:p>
        </w:tc>
        <w:tc>
          <w:tcPr>
            <w:tcW w:w="610" w:type="dxa"/>
            <w:tcBorders>
              <w:top w:val="single" w:sz="4" w:space="0" w:color="auto"/>
              <w:left w:val="single" w:sz="4" w:space="0" w:color="auto"/>
              <w:bottom w:val="single" w:sz="4" w:space="0" w:color="auto"/>
              <w:right w:val="single" w:sz="4" w:space="0" w:color="auto"/>
            </w:tcBorders>
            <w:shd w:val="clear" w:color="auto" w:fill="FFFFFF"/>
          </w:tcPr>
          <w:p w14:paraId="11871E06"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М4</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07977CE3"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НС-37</w:t>
            </w:r>
          </w:p>
        </w:tc>
        <w:tc>
          <w:tcPr>
            <w:tcW w:w="547" w:type="dxa"/>
            <w:tcBorders>
              <w:top w:val="single" w:sz="4" w:space="0" w:color="auto"/>
              <w:left w:val="single" w:sz="4" w:space="0" w:color="auto"/>
              <w:bottom w:val="single" w:sz="4" w:space="0" w:color="auto"/>
              <w:right w:val="single" w:sz="4" w:space="0" w:color="auto"/>
            </w:tcBorders>
            <w:shd w:val="clear" w:color="auto" w:fill="FFFFFF"/>
          </w:tcPr>
          <w:p w14:paraId="599EC67D"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вя</w:t>
            </w:r>
          </w:p>
        </w:tc>
        <w:tc>
          <w:tcPr>
            <w:tcW w:w="691" w:type="dxa"/>
            <w:tcBorders>
              <w:top w:val="single" w:sz="4" w:space="0" w:color="auto"/>
              <w:left w:val="single" w:sz="4" w:space="0" w:color="auto"/>
              <w:bottom w:val="single" w:sz="4" w:space="0" w:color="auto"/>
              <w:right w:val="single" w:sz="4" w:space="0" w:color="auto"/>
            </w:tcBorders>
            <w:shd w:val="clear" w:color="auto" w:fill="FFFFFF"/>
          </w:tcPr>
          <w:p w14:paraId="3B3181D3"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«Испано»</w:t>
            </w:r>
          </w:p>
        </w:tc>
        <w:tc>
          <w:tcPr>
            <w:tcW w:w="706" w:type="dxa"/>
            <w:tcBorders>
              <w:top w:val="single" w:sz="4" w:space="0" w:color="auto"/>
              <w:left w:val="single" w:sz="4" w:space="0" w:color="auto"/>
              <w:bottom w:val="single" w:sz="4" w:space="0" w:color="auto"/>
              <w:right w:val="single" w:sz="4" w:space="0" w:color="auto"/>
            </w:tcBorders>
            <w:shd w:val="clear" w:color="auto" w:fill="FFFFFF"/>
          </w:tcPr>
          <w:p w14:paraId="754E6260"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МП-20</w:t>
            </w:r>
          </w:p>
        </w:tc>
      </w:tr>
      <w:tr w:rsidR="005106D0" w:rsidRPr="007224C3" w14:paraId="30F48E2B" w14:textId="77777777" w:rsidTr="00903E13">
        <w:trPr>
          <w:trHeight w:val="595"/>
        </w:trPr>
        <w:tc>
          <w:tcPr>
            <w:tcW w:w="1867" w:type="dxa"/>
            <w:tcBorders>
              <w:top w:val="single" w:sz="4" w:space="0" w:color="auto"/>
              <w:left w:val="single" w:sz="4" w:space="0" w:color="auto"/>
              <w:bottom w:val="single" w:sz="4" w:space="0" w:color="auto"/>
              <w:right w:val="single" w:sz="4" w:space="0" w:color="auto"/>
            </w:tcBorders>
            <w:shd w:val="clear" w:color="auto" w:fill="FFFFFF"/>
          </w:tcPr>
          <w:p w14:paraId="1BC4D826"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Бронепробиваемость, толщина/300 м/ 0 град (мм/м/град)</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69A4F9AD"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43,3</w:t>
            </w:r>
          </w:p>
        </w:tc>
        <w:tc>
          <w:tcPr>
            <w:tcW w:w="883" w:type="dxa"/>
            <w:tcBorders>
              <w:top w:val="single" w:sz="4" w:space="0" w:color="auto"/>
              <w:left w:val="single" w:sz="4" w:space="0" w:color="auto"/>
              <w:bottom w:val="single" w:sz="4" w:space="0" w:color="auto"/>
              <w:right w:val="single" w:sz="4" w:space="0" w:color="auto"/>
            </w:tcBorders>
            <w:shd w:val="clear" w:color="auto" w:fill="FFFFFF"/>
          </w:tcPr>
          <w:p w14:paraId="790B53CF"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39,5</w:t>
            </w:r>
          </w:p>
        </w:tc>
        <w:tc>
          <w:tcPr>
            <w:tcW w:w="610" w:type="dxa"/>
            <w:tcBorders>
              <w:top w:val="single" w:sz="4" w:space="0" w:color="auto"/>
              <w:left w:val="single" w:sz="4" w:space="0" w:color="auto"/>
              <w:bottom w:val="single" w:sz="4" w:space="0" w:color="auto"/>
              <w:right w:val="single" w:sz="4" w:space="0" w:color="auto"/>
            </w:tcBorders>
            <w:shd w:val="clear" w:color="auto" w:fill="FFFFFF"/>
          </w:tcPr>
          <w:p w14:paraId="429B36F7"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41</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57988ADB"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48,3</w:t>
            </w:r>
          </w:p>
        </w:tc>
        <w:tc>
          <w:tcPr>
            <w:tcW w:w="547" w:type="dxa"/>
            <w:tcBorders>
              <w:top w:val="single" w:sz="4" w:space="0" w:color="auto"/>
              <w:left w:val="single" w:sz="4" w:space="0" w:color="auto"/>
              <w:bottom w:val="single" w:sz="4" w:space="0" w:color="auto"/>
              <w:right w:val="single" w:sz="4" w:space="0" w:color="auto"/>
            </w:tcBorders>
            <w:shd w:val="clear" w:color="auto" w:fill="FFFFFF"/>
          </w:tcPr>
          <w:p w14:paraId="1213C755"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32,5</w:t>
            </w:r>
          </w:p>
        </w:tc>
        <w:tc>
          <w:tcPr>
            <w:tcW w:w="691" w:type="dxa"/>
            <w:tcBorders>
              <w:top w:val="single" w:sz="4" w:space="0" w:color="auto"/>
              <w:left w:val="single" w:sz="4" w:space="0" w:color="auto"/>
              <w:bottom w:val="single" w:sz="4" w:space="0" w:color="auto"/>
              <w:right w:val="single" w:sz="4" w:space="0" w:color="auto"/>
            </w:tcBorders>
            <w:shd w:val="clear" w:color="auto" w:fill="FFFFFF"/>
          </w:tcPr>
          <w:p w14:paraId="1BD2BE34"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28,5</w:t>
            </w:r>
          </w:p>
        </w:tc>
        <w:tc>
          <w:tcPr>
            <w:tcW w:w="706" w:type="dxa"/>
            <w:tcBorders>
              <w:top w:val="single" w:sz="4" w:space="0" w:color="auto"/>
              <w:left w:val="single" w:sz="4" w:space="0" w:color="auto"/>
              <w:bottom w:val="single" w:sz="4" w:space="0" w:color="auto"/>
              <w:right w:val="single" w:sz="4" w:space="0" w:color="auto"/>
            </w:tcBorders>
            <w:shd w:val="clear" w:color="auto" w:fill="FFFFFF"/>
          </w:tcPr>
          <w:p w14:paraId="7ED79ED0"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19</w:t>
            </w:r>
          </w:p>
        </w:tc>
      </w:tr>
    </w:tbl>
    <w:p w14:paraId="30FEE429"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По результатам испытаний самолета «Харрикейн» 1Ю и его вооружения управ</w:t>
      </w:r>
      <w:r w:rsidRPr="007224C3">
        <w:rPr>
          <w:rFonts w:ascii="Times New Roman" w:hAnsi="Times New Roman" w:cs="Times New Roman"/>
          <w:color w:val="000000" w:themeColor="text1"/>
          <w:sz w:val="16"/>
          <w:szCs w:val="16"/>
        </w:rPr>
        <w:softHyphen/>
        <w:t>ление технической эксплуатации ВВС КА в марте 1944 г. специальным информа</w:t>
      </w:r>
      <w:r w:rsidRPr="007224C3">
        <w:rPr>
          <w:rFonts w:ascii="Times New Roman" w:hAnsi="Times New Roman" w:cs="Times New Roman"/>
          <w:color w:val="000000" w:themeColor="text1"/>
          <w:sz w:val="16"/>
          <w:szCs w:val="16"/>
        </w:rPr>
        <w:softHyphen/>
        <w:t>ционным письмом довело до сведения летного и технического состава строевых полков ВВС КА особенности техники пи-</w:t>
      </w:r>
    </w:p>
    <w:p w14:paraId="3D83B8E2"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лотирования самолета и его основные летные данные. Указывалось, что по тех</w:t>
      </w:r>
      <w:r w:rsidRPr="007224C3">
        <w:rPr>
          <w:rFonts w:ascii="Times New Roman" w:hAnsi="Times New Roman" w:cs="Times New Roman"/>
          <w:color w:val="000000" w:themeColor="text1"/>
          <w:sz w:val="16"/>
          <w:szCs w:val="16"/>
        </w:rPr>
        <w:softHyphen/>
        <w:t>нике пилотирования самолет «Харрикейн» 1Ю не отличается от «Харрикейна» ПС. Дальность и продолжительность полета «Харрикейна» 1Ю и Харрикейна» ПС прак</w:t>
      </w:r>
      <w:r w:rsidRPr="007224C3">
        <w:rPr>
          <w:rFonts w:ascii="Times New Roman" w:hAnsi="Times New Roman" w:cs="Times New Roman"/>
          <w:color w:val="000000" w:themeColor="text1"/>
          <w:sz w:val="16"/>
          <w:szCs w:val="16"/>
        </w:rPr>
        <w:softHyphen/>
        <w:t>тически равны. В связи с появлением тря</w:t>
      </w:r>
      <w:r w:rsidRPr="007224C3">
        <w:rPr>
          <w:rFonts w:ascii="Times New Roman" w:hAnsi="Times New Roman" w:cs="Times New Roman"/>
          <w:color w:val="000000" w:themeColor="text1"/>
          <w:sz w:val="16"/>
          <w:szCs w:val="16"/>
        </w:rPr>
        <w:softHyphen/>
        <w:t>ски при скорости порядка 380-385 миль/ч (610-620 км/ч) скорость пикирования са</w:t>
      </w:r>
      <w:r w:rsidRPr="007224C3">
        <w:rPr>
          <w:rFonts w:ascii="Times New Roman" w:hAnsi="Times New Roman" w:cs="Times New Roman"/>
          <w:color w:val="000000" w:themeColor="text1"/>
          <w:sz w:val="16"/>
          <w:szCs w:val="16"/>
        </w:rPr>
        <w:softHyphen/>
        <w:t>молета «Харрикейн» НО ограничивалась 375 миль/ч (600 км/ч).</w:t>
      </w:r>
    </w:p>
    <w:p w14:paraId="01589497"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17 мая 1944 г. заместитель начальни</w:t>
      </w:r>
      <w:r w:rsidRPr="007224C3">
        <w:rPr>
          <w:rFonts w:ascii="Times New Roman" w:hAnsi="Times New Roman" w:cs="Times New Roman"/>
          <w:color w:val="000000" w:themeColor="text1"/>
          <w:sz w:val="16"/>
          <w:szCs w:val="16"/>
        </w:rPr>
        <w:softHyphen/>
        <w:t>ка оперативного управления ВВС КА ге- нерал-майор А.П. Некрасов направил на</w:t>
      </w:r>
      <w:r w:rsidRPr="007224C3">
        <w:rPr>
          <w:rFonts w:ascii="Times New Roman" w:hAnsi="Times New Roman" w:cs="Times New Roman"/>
          <w:color w:val="000000" w:themeColor="text1"/>
          <w:sz w:val="16"/>
          <w:szCs w:val="16"/>
        </w:rPr>
        <w:softHyphen/>
        <w:t>чальнику штаба ВВС генерал-полковнику С.А. Худякову заключение о боевых воз</w:t>
      </w:r>
      <w:r w:rsidRPr="007224C3">
        <w:rPr>
          <w:rFonts w:ascii="Times New Roman" w:hAnsi="Times New Roman" w:cs="Times New Roman"/>
          <w:color w:val="000000" w:themeColor="text1"/>
          <w:sz w:val="16"/>
          <w:szCs w:val="16"/>
        </w:rPr>
        <w:softHyphen/>
        <w:t>можностях самолета «Харрикейн» !Ю.</w:t>
      </w:r>
    </w:p>
    <w:p w14:paraId="3E491A34"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В документе констатировалось, что «вследствие слабого могущества выстре</w:t>
      </w:r>
      <w:r w:rsidRPr="007224C3">
        <w:rPr>
          <w:rFonts w:ascii="Times New Roman" w:hAnsi="Times New Roman" w:cs="Times New Roman"/>
          <w:color w:val="000000" w:themeColor="text1"/>
          <w:sz w:val="16"/>
          <w:szCs w:val="16"/>
        </w:rPr>
        <w:softHyphen/>
        <w:t>ла стрелково-пушечного оружия, отсут</w:t>
      </w:r>
      <w:r w:rsidRPr="007224C3">
        <w:rPr>
          <w:rFonts w:ascii="Times New Roman" w:hAnsi="Times New Roman" w:cs="Times New Roman"/>
          <w:color w:val="000000" w:themeColor="text1"/>
          <w:sz w:val="16"/>
          <w:szCs w:val="16"/>
        </w:rPr>
        <w:softHyphen/>
        <w:t>ствия бомбардировочного вооружения и недостаточного бронирования, самолет «Харрикейн» 1Ю не может быть эффек</w:t>
      </w:r>
      <w:r w:rsidRPr="007224C3">
        <w:rPr>
          <w:rFonts w:ascii="Times New Roman" w:hAnsi="Times New Roman" w:cs="Times New Roman"/>
          <w:color w:val="000000" w:themeColor="text1"/>
          <w:sz w:val="16"/>
          <w:szCs w:val="16"/>
        </w:rPr>
        <w:softHyphen/>
        <w:t>тивно использован, как истребитель тан</w:t>
      </w:r>
      <w:r w:rsidRPr="007224C3">
        <w:rPr>
          <w:rFonts w:ascii="Times New Roman" w:hAnsi="Times New Roman" w:cs="Times New Roman"/>
          <w:color w:val="000000" w:themeColor="text1"/>
          <w:sz w:val="16"/>
          <w:szCs w:val="16"/>
        </w:rPr>
        <w:softHyphen/>
        <w:t>ков или штурмовик». Боеприпасы пушек НС-37 калибра 37 мм и ВЯ калибра 23 мм, состоящие из осколочно-зажигательных и бронебойно-зажигательных снарядов, имеют больший разрушающий эффект у цели по сравнению с боеприпасами к пуш</w:t>
      </w:r>
      <w:r w:rsidRPr="007224C3">
        <w:rPr>
          <w:rFonts w:ascii="Times New Roman" w:hAnsi="Times New Roman" w:cs="Times New Roman"/>
          <w:color w:val="000000" w:themeColor="text1"/>
          <w:sz w:val="16"/>
          <w:szCs w:val="16"/>
        </w:rPr>
        <w:softHyphen/>
        <w:t>ке Виккерс 5, а бронебойный снаряд пушки НС-37 обладает к тому же еще и большей бронепробиваемостью.</w:t>
      </w:r>
    </w:p>
    <w:p w14:paraId="157F2352"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 xml:space="preserve">Внимание руководства обращалось на ненормальную ситуацию со снабжением ВВС КА снарядами к пушкам Виккерс 5. По этому поводу в докладе указывалось: </w:t>
      </w:r>
      <w:r w:rsidRPr="007224C3">
        <w:rPr>
          <w:rStyle w:val="aff7"/>
          <w:rFonts w:ascii="Times New Roman" w:hAnsi="Times New Roman" w:cs="Times New Roman"/>
          <w:i w:val="0"/>
          <w:color w:val="000000" w:themeColor="text1"/>
        </w:rPr>
        <w:t>«Получаемые нами бронебойные снаряды от англичан, являются недозаряженны- ми (нет взрывчатого вещества и донного взрывателя), вследствие чего баллистиче</w:t>
      </w:r>
      <w:r w:rsidRPr="007224C3">
        <w:rPr>
          <w:rStyle w:val="aff7"/>
          <w:rFonts w:ascii="Times New Roman" w:hAnsi="Times New Roman" w:cs="Times New Roman"/>
          <w:i w:val="0"/>
          <w:color w:val="000000" w:themeColor="text1"/>
        </w:rPr>
        <w:softHyphen/>
        <w:t>ские характеристики снарядов плохие и не отвечают тактико-техническим требовани</w:t>
      </w:r>
      <w:r w:rsidRPr="007224C3">
        <w:rPr>
          <w:rStyle w:val="aff7"/>
          <w:rFonts w:ascii="Times New Roman" w:hAnsi="Times New Roman" w:cs="Times New Roman"/>
          <w:i w:val="0"/>
          <w:color w:val="000000" w:themeColor="text1"/>
        </w:rPr>
        <w:softHyphen/>
        <w:t xml:space="preserve">ям к боеприпасам воздушного боя. Такой тип снаряда не в состоянии пробить </w:t>
      </w:r>
      <w:r w:rsidRPr="007224C3">
        <w:rPr>
          <w:rStyle w:val="aff7"/>
          <w:rFonts w:ascii="Times New Roman" w:hAnsi="Times New Roman" w:cs="Times New Roman"/>
          <w:i w:val="0"/>
          <w:color w:val="000000" w:themeColor="text1"/>
        </w:rPr>
        <w:lastRenderedPageBreak/>
        <w:t>броню среднего танка в 45 мм на дистанции 300 м под углом встречи к нормали 30°, а бронь толщиной меньше, чем 30 мм, или пла</w:t>
      </w:r>
      <w:r w:rsidRPr="007224C3">
        <w:rPr>
          <w:rStyle w:val="aff7"/>
          <w:rFonts w:ascii="Times New Roman" w:hAnsi="Times New Roman" w:cs="Times New Roman"/>
          <w:i w:val="0"/>
          <w:color w:val="000000" w:themeColor="text1"/>
        </w:rPr>
        <w:softHyphen/>
        <w:t>нер самолета, он способен пробить, но не разрушить, так как снаряд не имеет ни за</w:t>
      </w:r>
      <w:r w:rsidRPr="007224C3">
        <w:rPr>
          <w:rStyle w:val="aff7"/>
          <w:rFonts w:ascii="Times New Roman" w:hAnsi="Times New Roman" w:cs="Times New Roman"/>
          <w:i w:val="0"/>
          <w:color w:val="000000" w:themeColor="text1"/>
        </w:rPr>
        <w:softHyphen/>
        <w:t>жигательного, ни фугасного снаряжения. Поэтому такие снаряды могут быть исполь</w:t>
      </w:r>
      <w:r w:rsidRPr="007224C3">
        <w:rPr>
          <w:rStyle w:val="aff7"/>
          <w:rFonts w:ascii="Times New Roman" w:hAnsi="Times New Roman" w:cs="Times New Roman"/>
          <w:i w:val="0"/>
          <w:color w:val="000000" w:themeColor="text1"/>
        </w:rPr>
        <w:softHyphen/>
        <w:t>зованы для учебных целей или каклафето- пробные. Для поражения самолетов в воз</w:t>
      </w:r>
      <w:r w:rsidRPr="007224C3">
        <w:rPr>
          <w:rStyle w:val="aff7"/>
          <w:rFonts w:ascii="Times New Roman" w:hAnsi="Times New Roman" w:cs="Times New Roman"/>
          <w:i w:val="0"/>
          <w:color w:val="000000" w:themeColor="text1"/>
        </w:rPr>
        <w:softHyphen/>
        <w:t>духе нужны снаряды осколочно-фугасного действия».</w:t>
      </w:r>
    </w:p>
    <w:p w14:paraId="497ACB58"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При сопоставимых летных данных у земли основной ударный самолет ВВС КА штурмовик Ил-2 имел значительно более сильное бронирование, бомбардировоч</w:t>
      </w:r>
      <w:r w:rsidRPr="007224C3">
        <w:rPr>
          <w:rFonts w:ascii="Times New Roman" w:hAnsi="Times New Roman" w:cs="Times New Roman"/>
          <w:color w:val="000000" w:themeColor="text1"/>
          <w:sz w:val="16"/>
          <w:szCs w:val="16"/>
        </w:rPr>
        <w:softHyphen/>
        <w:t>ное вооружение и воздушного стрелка для защиты от атак истребителей против</w:t>
      </w:r>
      <w:r w:rsidRPr="007224C3">
        <w:rPr>
          <w:rFonts w:ascii="Times New Roman" w:hAnsi="Times New Roman" w:cs="Times New Roman"/>
          <w:color w:val="000000" w:themeColor="text1"/>
          <w:sz w:val="16"/>
          <w:szCs w:val="16"/>
        </w:rPr>
        <w:softHyphen/>
        <w:t>ника со стороны задней полусферы. По этим причинам боевые качества Ил-2 оценивались специалистами оператив</w:t>
      </w:r>
      <w:r w:rsidRPr="007224C3">
        <w:rPr>
          <w:rFonts w:ascii="Times New Roman" w:hAnsi="Times New Roman" w:cs="Times New Roman"/>
          <w:color w:val="000000" w:themeColor="text1"/>
          <w:sz w:val="16"/>
          <w:szCs w:val="16"/>
        </w:rPr>
        <w:softHyphen/>
        <w:t>ного управления значительно выше, чем «Харрикейна»1Ю.</w:t>
      </w:r>
    </w:p>
    <w:p w14:paraId="06D7BE8C"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На основании этого делался вывод, что «самолет «Харрикейн» НО в качестве штурмовика применять нецелесообразно, вследствие слабого могущества выстре</w:t>
      </w:r>
      <w:r w:rsidRPr="007224C3">
        <w:rPr>
          <w:rFonts w:ascii="Times New Roman" w:hAnsi="Times New Roman" w:cs="Times New Roman"/>
          <w:color w:val="000000" w:themeColor="text1"/>
          <w:sz w:val="16"/>
          <w:szCs w:val="16"/>
        </w:rPr>
        <w:softHyphen/>
        <w:t>ла стрелково-пушечного вооружения, от</w:t>
      </w:r>
      <w:r w:rsidRPr="007224C3">
        <w:rPr>
          <w:rFonts w:ascii="Times New Roman" w:hAnsi="Times New Roman" w:cs="Times New Roman"/>
          <w:color w:val="000000" w:themeColor="text1"/>
          <w:sz w:val="16"/>
          <w:szCs w:val="16"/>
        </w:rPr>
        <w:softHyphen/>
        <w:t>сутствия бомбардировочного вооружения и слабого бронирования». Истребитель предлагалось использовать в системе ПВО страны в качестве истребителя-перехват- чика, но при условии использования бое</w:t>
      </w:r>
      <w:r w:rsidRPr="007224C3">
        <w:rPr>
          <w:rFonts w:ascii="Times New Roman" w:hAnsi="Times New Roman" w:cs="Times New Roman"/>
          <w:color w:val="000000" w:themeColor="text1"/>
          <w:sz w:val="16"/>
          <w:szCs w:val="16"/>
        </w:rPr>
        <w:softHyphen/>
        <w:t>припасов «осколочно-трассирующего или осколочно-зажигательного снаряжения».</w:t>
      </w:r>
    </w:p>
    <w:p w14:paraId="1DB5B097" w14:textId="77777777" w:rsidR="00903E13" w:rsidRPr="007224C3" w:rsidRDefault="00903E1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Известна резолюция генерала Худяко</w:t>
      </w:r>
      <w:r w:rsidRPr="007224C3">
        <w:rPr>
          <w:rStyle w:val="2f1"/>
          <w:rFonts w:ascii="Times New Roman" w:hAnsi="Times New Roman" w:cs="Times New Roman"/>
          <w:i w:val="0"/>
          <w:color w:val="000000" w:themeColor="text1"/>
          <w:sz w:val="16"/>
          <w:szCs w:val="16"/>
        </w:rPr>
        <w:t>ва, которую тот наложил на документ:</w:t>
      </w:r>
      <w:r w:rsidRPr="007224C3">
        <w:rPr>
          <w:rFonts w:ascii="Times New Roman" w:hAnsi="Times New Roman"/>
          <w:color w:val="000000" w:themeColor="text1"/>
          <w:sz w:val="16"/>
          <w:szCs w:val="16"/>
        </w:rPr>
        <w:t xml:space="preserve"> «ОУ. Подготовить справку такого же содержа</w:t>
      </w:r>
      <w:r w:rsidRPr="007224C3">
        <w:rPr>
          <w:rFonts w:ascii="Times New Roman" w:hAnsi="Times New Roman"/>
          <w:color w:val="000000" w:themeColor="text1"/>
          <w:sz w:val="16"/>
          <w:szCs w:val="16"/>
        </w:rPr>
        <w:softHyphen/>
        <w:t>ния главному инженеру ВВС за моей под</w:t>
      </w:r>
      <w:r w:rsidRPr="007224C3">
        <w:rPr>
          <w:rFonts w:ascii="Times New Roman" w:hAnsi="Times New Roman"/>
          <w:color w:val="000000" w:themeColor="text1"/>
          <w:sz w:val="16"/>
          <w:szCs w:val="16"/>
        </w:rPr>
        <w:softHyphen/>
        <w:t>писью».</w:t>
      </w:r>
      <w:r w:rsidRPr="007224C3">
        <w:rPr>
          <w:rStyle w:val="2f1"/>
          <w:rFonts w:ascii="Times New Roman" w:hAnsi="Times New Roman" w:cs="Times New Roman"/>
          <w:i w:val="0"/>
          <w:color w:val="000000" w:themeColor="text1"/>
          <w:sz w:val="16"/>
          <w:szCs w:val="16"/>
        </w:rPr>
        <w:t xml:space="preserve"> Уже 23 мая справка ушла в аппарат генерала Репина.</w:t>
      </w:r>
    </w:p>
    <w:p w14:paraId="5E445F61"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Пока «Харрикейны» 1Ю зав. №№ КХ-171 и КХ-305 испытывались и принималось ре</w:t>
      </w:r>
      <w:r w:rsidRPr="007224C3">
        <w:rPr>
          <w:rFonts w:ascii="Times New Roman" w:hAnsi="Times New Roman" w:cs="Times New Roman"/>
          <w:color w:val="000000" w:themeColor="text1"/>
          <w:sz w:val="16"/>
          <w:szCs w:val="16"/>
        </w:rPr>
        <w:softHyphen/>
        <w:t>шение о целесообразности применения самолетов этого типа в ВВС КА, личный состав 246-го иап начиная с октября 1943 г. прошел полный курс переучивания на английский противотанковый истребитель в 25-м запасном истребительном авиапол</w:t>
      </w:r>
      <w:r w:rsidRPr="007224C3">
        <w:rPr>
          <w:rFonts w:ascii="Times New Roman" w:hAnsi="Times New Roman" w:cs="Times New Roman"/>
          <w:color w:val="000000" w:themeColor="text1"/>
          <w:sz w:val="16"/>
          <w:szCs w:val="16"/>
        </w:rPr>
        <w:softHyphen/>
        <w:t>ку ВВС Закавказского военного округа (г. Аджи-Кабул) (12735).</w:t>
      </w:r>
    </w:p>
    <w:p w14:paraId="000BF3DE"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p>
    <w:p w14:paraId="7548178B" w14:textId="77777777" w:rsidR="00BD409E" w:rsidRPr="007224C3" w:rsidRDefault="00BD409E"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 феврале 1944 года 31-м заводом был построен самолет 105-2 – один из последних ЛаГГ-3.</w:t>
      </w:r>
    </w:p>
    <w:p w14:paraId="69BC2C06" w14:textId="77777777" w:rsidR="00BD409E" w:rsidRPr="007224C3" w:rsidRDefault="00BD409E"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Владимир Петрович Горбунов попытался поднять летные характеристики ЛаГГ-3 если не до уровня Як-3, то, по крайней мере, приблизиться путем внедрения рекомендации ЦАГИ, реализованные на новых «Яках». Опыт работы с институтом уже имелся. Помимо постройки второго прототипа самолета «105», был подготовлен, по крайней мере, еще один ЛаГГ-3 с облагороженными обводами носовой части (гаргрот при этом не срезали) для натурных испытаний в аэродинамической трубе. Переделкой обводов носа дело, конечно, не ограничилось. В.П. Горбунов не мог не понимать, что реально «дотянуться» до уровня Як-3 вряд ли получится, поэтому была предпринята попытка превзойти конкурентов в мощи стрелкового вооружения. На самолет 105-2 – так на заводе стали называть второй прототип, а первый при этом получил обозначение 105-1, – было решено установить мотор-пушку Волкова-Ярцева калибром 23 мм. В связи с установкой новой пушки переделали лафет и установили дополнительный кронштейн для его крепления, изменили форму и конструкцию патронных коробок и гильзоотвода, установили звеньесборник для пушки ВЯ-23, а механическое управление стрельбой перевели на пневматику. При этом боекомплект пушки ВЯ-23 составил 85 патронов вместо 160 у пушки МП-20, а у пулемета УБС он сократился до 185 патронов вместо прежних 200.</w:t>
      </w:r>
    </w:p>
    <w:p w14:paraId="72F1DE2F" w14:textId="77777777" w:rsidR="00BD409E" w:rsidRPr="007224C3" w:rsidRDefault="00BD409E"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Кардинальной переделке подверглась ВМГ. На самолет поставили мотор М-105ПФ2 и винт типа ВИШ-105СВ с профилированной комлевой частью лопастей. На носок вала редуктора был установлен центробежный маслоотражатель типа ЛИИ НКАП. Серьезно переделали каркас капота и схему капотирования мотора. По рекомендации ЦАГИ выхлопные патрубки изготовили по типу Як-3. Маслорадиатор ОП-352 был заменен двумя последовательно соединенными радиаторами типа ВМС-8 с трубкой К-4, толщиной 0,1 мм, которые переместили в фюзеляж, что придало носовой части самолета более обтекаемые формы.</w:t>
      </w:r>
    </w:p>
    <w:p w14:paraId="43E5A284" w14:textId="77777777" w:rsidR="00BD409E" w:rsidRPr="007224C3" w:rsidRDefault="00BD409E"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Тбилисские конструкторы не стали копировать яковлевский вариант c совмещенными воздухозаборниками маслорадиаторов и нагнетателя в корне крыла. В нижней части фюзеляжа перед тоннелем водорадиатора разместили два заборника для охлаждения маслорадиаторов, которые установили под поликом кабины пилота, а воздухозаборники нагнетателя оставили в корне центроплана. Такое решение могло несколько поднять границы высотности мотора. Патрубки сброса воздуха разместили по бортам кабины ниже фонаря кабины пилота. Модернизация маслосистемы повлекла за собой ряд доработок планера. Из-за прокладки тоннелей маслорадиаторов общая емкость топливных баков уменьшилась на 28 литров – с 405 до 377. Бензобаки для самолета 105-2 изготовили при этом заново. Была изменена конструкция 4-го и 5-го шпангоутов фюзеляжа. В нижней ферме 4-го шпангоута прорезали два круглых отверстия под тоннель маслорадиатора, а нижнюю часть шпангоута № 5 изменили под установку фермы для крепления сидения пилота и качалки управления РВ. Помимо этого, было увеличено плечо качалки управления элеронами для уменьшения нагрузки на ручку управления, а ее саму изготовили по типу ручки стандартной кабины. Также было изменено управление заслонками маслорадиатора и дренажная трубка суфлерного бачка. Выпуск и уборка шасси теперь осуществлялся от пневмосистемы.</w:t>
      </w:r>
    </w:p>
    <w:p w14:paraId="5B987C17" w14:textId="77777777" w:rsidR="00BD409E" w:rsidRPr="007224C3" w:rsidRDefault="00BD409E"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Для повышения летных характеристик была улучшена внешняя отделка и отполирована передняя кромка крыла самолета 105-2, козырьку кабины пилота придана сферическая форма, улучшена герметизация противопожарной перегородки, крыла, кабины пилота и хвостовой части фюзеляжа, облагорожены обводы тоннеля водорадиатора. Однако по непонятным причинам щитки колес шасси на 105-2 ставить не стали, хотя по данным ЛИИ их применение на первых сериях «облегченных» ЛаГГ-3 увеличивало максимальную скорость на 5-7 км/ч (23197).</w:t>
      </w:r>
    </w:p>
    <w:p w14:paraId="03DD6BE8" w14:textId="77777777" w:rsidR="00BD409E" w:rsidRPr="007224C3" w:rsidRDefault="00BD409E" w:rsidP="007224C3">
      <w:pPr>
        <w:spacing w:after="0" w:line="240" w:lineRule="auto"/>
        <w:jc w:val="both"/>
        <w:rPr>
          <w:rFonts w:ascii="Times New Roman" w:hAnsi="Times New Roman"/>
          <w:color w:val="0070C0"/>
          <w:sz w:val="16"/>
          <w:szCs w:val="16"/>
        </w:rPr>
      </w:pPr>
    </w:p>
    <w:p w14:paraId="6597472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1944 г. предложили разработать для Ил-4 пневматический антиобледенитель по типу американ</w:t>
      </w:r>
      <w:r w:rsidRPr="007224C3">
        <w:rPr>
          <w:rFonts w:ascii="Times New Roman" w:hAnsi="Times New Roman"/>
          <w:color w:val="000000" w:themeColor="text1"/>
          <w:sz w:val="16"/>
          <w:szCs w:val="16"/>
        </w:rPr>
        <w:softHyphen/>
        <w:t>ского «Гудрич». У него сжатый воздух то подавался, то стравливался из рези</w:t>
      </w:r>
      <w:r w:rsidRPr="007224C3">
        <w:rPr>
          <w:rFonts w:ascii="Times New Roman" w:hAnsi="Times New Roman"/>
          <w:color w:val="000000" w:themeColor="text1"/>
          <w:sz w:val="16"/>
          <w:szCs w:val="16"/>
        </w:rPr>
        <w:softHyphen/>
        <w:t>новых камер, стряхивая наледь. Но ни</w:t>
      </w:r>
      <w:r w:rsidRPr="007224C3">
        <w:rPr>
          <w:rFonts w:ascii="Times New Roman" w:hAnsi="Times New Roman"/>
          <w:color w:val="000000" w:themeColor="text1"/>
          <w:sz w:val="16"/>
          <w:szCs w:val="16"/>
        </w:rPr>
        <w:softHyphen/>
        <w:t>каких сведений о создании отечествен</w:t>
      </w:r>
      <w:r w:rsidRPr="007224C3">
        <w:rPr>
          <w:rFonts w:ascii="Times New Roman" w:hAnsi="Times New Roman"/>
          <w:color w:val="000000" w:themeColor="text1"/>
          <w:sz w:val="16"/>
          <w:szCs w:val="16"/>
        </w:rPr>
        <w:softHyphen/>
        <w:t>ной конструкции такого типа нет (10734,81).</w:t>
      </w:r>
    </w:p>
    <w:p w14:paraId="7791127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1833F3" w14:textId="77777777" w:rsidR="00BD409E" w:rsidRPr="007224C3" w:rsidRDefault="00BD409E"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 феврале 1944 года начались государственные испытания головного серийного Ер-2 2АЧ-30Б, а в августе первые 10 самолетов были сданы в войска. Но выпуск Ер-2, трудоемкость которых была примерно вдвое выше, чем у бомбардировщиков Ильюшина, постоянно отставал от плана. Хотя 39-й завод в 1944 году сократил сдачу Ил-4 почти в 6 раз и вскоре прекратил ее совсем, темпы поставок «еров» колебались от 2-х до 30 машин в месяц (22871).</w:t>
      </w:r>
    </w:p>
    <w:p w14:paraId="7B8DBDDA" w14:textId="77777777" w:rsidR="00BD409E" w:rsidRPr="007224C3" w:rsidRDefault="00BD409E" w:rsidP="007224C3">
      <w:pPr>
        <w:spacing w:after="0" w:line="240" w:lineRule="auto"/>
        <w:jc w:val="both"/>
        <w:rPr>
          <w:rFonts w:ascii="Times New Roman" w:hAnsi="Times New Roman"/>
          <w:color w:val="0070C0"/>
          <w:sz w:val="16"/>
          <w:szCs w:val="16"/>
        </w:rPr>
      </w:pPr>
    </w:p>
    <w:p w14:paraId="137E0CF1" w14:textId="77777777" w:rsidR="001A00DE" w:rsidRPr="007224C3" w:rsidRDefault="001A00DE" w:rsidP="007224C3">
      <w:pPr>
        <w:pStyle w:val="Bodytext1"/>
        <w:shd w:val="clear" w:color="auto" w:fill="auto"/>
        <w:spacing w:line="240" w:lineRule="auto"/>
        <w:ind w:firstLine="0"/>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В феврале 1944 г., как раз когда вышло это постановление по закрытию НИИ-3 и созданию НИИРА, а летающая лаборато</w:t>
      </w:r>
      <w:r w:rsidRPr="007224C3">
        <w:rPr>
          <w:rFonts w:ascii="Times New Roman" w:hAnsi="Times New Roman" w:cs="Times New Roman"/>
          <w:color w:val="000000" w:themeColor="text1"/>
          <w:sz w:val="16"/>
          <w:szCs w:val="16"/>
        </w:rPr>
        <w:softHyphen/>
        <w:t>рия Яковлева готовилась к испытательным полетам, закончила свою работу комиссия во главе с заместителем наркома ави</w:t>
      </w:r>
      <w:r w:rsidRPr="007224C3">
        <w:rPr>
          <w:rFonts w:ascii="Times New Roman" w:hAnsi="Times New Roman" w:cs="Times New Roman"/>
          <w:color w:val="000000" w:themeColor="text1"/>
          <w:sz w:val="16"/>
          <w:szCs w:val="16"/>
        </w:rPr>
        <w:softHyphen/>
        <w:t>апромышленности по опытному строи</w:t>
      </w:r>
      <w:r w:rsidRPr="007224C3">
        <w:rPr>
          <w:rFonts w:ascii="Times New Roman" w:hAnsi="Times New Roman" w:cs="Times New Roman"/>
          <w:color w:val="000000" w:themeColor="text1"/>
          <w:sz w:val="16"/>
          <w:szCs w:val="16"/>
        </w:rPr>
        <w:softHyphen/>
        <w:t>тельству А.С. Яковлевым, с участием члена Военного совета Гвардейских минометных частей Л.М. Гайдукова как представителя Заказчика по оценке работы НИИ РТ во</w:t>
      </w:r>
      <w:r w:rsidRPr="007224C3">
        <w:rPr>
          <w:rFonts w:ascii="Times New Roman" w:hAnsi="Times New Roman" w:cs="Times New Roman"/>
          <w:color w:val="000000" w:themeColor="text1"/>
          <w:sz w:val="16"/>
          <w:szCs w:val="16"/>
        </w:rPr>
        <w:softHyphen/>
        <w:t>обще и по проекту «302П» в частности. Она выявила, что построенный самолет до сих пор не имеет двигателей. Это само по себе было не таким уж необычным делом, такие проблемы были не у одного Кости</w:t>
      </w:r>
      <w:r w:rsidRPr="007224C3">
        <w:rPr>
          <w:rFonts w:ascii="Times New Roman" w:hAnsi="Times New Roman" w:cs="Times New Roman"/>
          <w:color w:val="000000" w:themeColor="text1"/>
          <w:sz w:val="16"/>
          <w:szCs w:val="16"/>
        </w:rPr>
        <w:softHyphen/>
        <w:t>кова, но он и Бисноват самовольно внесли изменения в конструкцию самолета и те</w:t>
      </w:r>
      <w:r w:rsidRPr="007224C3">
        <w:rPr>
          <w:rFonts w:ascii="Times New Roman" w:hAnsi="Times New Roman" w:cs="Times New Roman"/>
          <w:color w:val="000000" w:themeColor="text1"/>
          <w:sz w:val="16"/>
          <w:szCs w:val="16"/>
        </w:rPr>
        <w:softHyphen/>
        <w:t>перь ПВРД в его силовой установке вовсе не был предусмотрен, что было грубым нарушением выданного НИИ РТ техниче</w:t>
      </w:r>
      <w:r w:rsidRPr="007224C3">
        <w:rPr>
          <w:rFonts w:ascii="Times New Roman" w:hAnsi="Times New Roman" w:cs="Times New Roman"/>
          <w:color w:val="000000" w:themeColor="text1"/>
          <w:sz w:val="16"/>
          <w:szCs w:val="16"/>
        </w:rPr>
        <w:softHyphen/>
        <w:t>ского задания. После реорганизации и пе</w:t>
      </w:r>
      <w:r w:rsidRPr="007224C3">
        <w:rPr>
          <w:rFonts w:ascii="Times New Roman" w:hAnsi="Times New Roman" w:cs="Times New Roman"/>
          <w:color w:val="000000" w:themeColor="text1"/>
          <w:sz w:val="16"/>
          <w:szCs w:val="16"/>
        </w:rPr>
        <w:softHyphen/>
        <w:t>реподчинения института Костиков был не только уволен, но 15 апреля 1944 г. аре</w:t>
      </w:r>
      <w:r w:rsidRPr="007224C3">
        <w:rPr>
          <w:rFonts w:ascii="Times New Roman" w:hAnsi="Times New Roman" w:cs="Times New Roman"/>
          <w:color w:val="000000" w:themeColor="text1"/>
          <w:sz w:val="16"/>
          <w:szCs w:val="16"/>
        </w:rPr>
        <w:softHyphen/>
        <w:t>стован и вскоре осужден по обвинению в обмане правительства в части изменения конструкции силовой установки самолета «302П». Скажете - слишком круто? Но со</w:t>
      </w:r>
      <w:r w:rsidRPr="007224C3">
        <w:rPr>
          <w:rFonts w:ascii="Times New Roman" w:hAnsi="Times New Roman" w:cs="Times New Roman"/>
          <w:color w:val="000000" w:themeColor="text1"/>
          <w:sz w:val="16"/>
          <w:szCs w:val="16"/>
        </w:rPr>
        <w:softHyphen/>
        <w:t>вершенно законно, да и время было во</w:t>
      </w:r>
      <w:r w:rsidRPr="007224C3">
        <w:rPr>
          <w:rFonts w:ascii="Times New Roman" w:hAnsi="Times New Roman" w:cs="Times New Roman"/>
          <w:color w:val="000000" w:themeColor="text1"/>
          <w:sz w:val="16"/>
          <w:szCs w:val="16"/>
        </w:rPr>
        <w:softHyphen/>
        <w:t>енное. И что интересно, он и как человек, и как руководитель создал себе такое ре</w:t>
      </w:r>
      <w:r w:rsidRPr="007224C3">
        <w:rPr>
          <w:rFonts w:ascii="Times New Roman" w:hAnsi="Times New Roman" w:cs="Times New Roman"/>
          <w:color w:val="000000" w:themeColor="text1"/>
          <w:sz w:val="16"/>
          <w:szCs w:val="16"/>
        </w:rPr>
        <w:softHyphen/>
        <w:t>номе, что никто из коллег и подчиненных за него, похоже, не затупился (17742).</w:t>
      </w:r>
    </w:p>
    <w:p w14:paraId="65C32588" w14:textId="77777777" w:rsidR="001A00DE" w:rsidRPr="007224C3" w:rsidRDefault="001A00DE" w:rsidP="007224C3">
      <w:pPr>
        <w:spacing w:after="0" w:line="240" w:lineRule="auto"/>
        <w:jc w:val="both"/>
        <w:rPr>
          <w:rFonts w:ascii="Times New Roman" w:hAnsi="Times New Roman"/>
          <w:color w:val="000000" w:themeColor="text1"/>
          <w:sz w:val="16"/>
          <w:szCs w:val="16"/>
        </w:rPr>
      </w:pPr>
    </w:p>
    <w:p w14:paraId="0A83C42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1944 в ЦАГИ состоялась представительная конференция. Выступил Г.Н.Абрамович, а А.И.Микоян и П.О.Сухой решились на И-250 и И-105 (197,31).</w:t>
      </w:r>
    </w:p>
    <w:p w14:paraId="7C08B54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204075" w14:textId="77777777" w:rsidR="00FC46A1" w:rsidRPr="007224C3" w:rsidRDefault="00FC46A1" w:rsidP="007224C3">
      <w:pPr>
        <w:pStyle w:val="ae"/>
        <w:shd w:val="clear" w:color="auto" w:fill="FFFFFF"/>
        <w:spacing w:before="0" w:after="0"/>
        <w:jc w:val="both"/>
        <w:rPr>
          <w:color w:val="000000" w:themeColor="text1"/>
          <w:sz w:val="16"/>
          <w:szCs w:val="16"/>
        </w:rPr>
      </w:pPr>
      <w:r w:rsidRPr="007224C3">
        <w:rPr>
          <w:color w:val="000000" w:themeColor="text1"/>
          <w:sz w:val="16"/>
          <w:szCs w:val="16"/>
        </w:rPr>
        <w:t>В феврале 1944 г. в ЦАГИ на представительной конферев ции с докладом о проделанной работе выступил Г.Н. Абрамо вич. В числе приглашенных на конференции присутствовали и главные конструкторы А.И. Микоян и П.О. Сухой, КБ кото рых не были заняты заботами о серийных машинах и поэтому могли себе позволить заняться экспериментальными самоле тами с ВРДК. Они выбрали наиболее кратчайший и наименее рискованный путь к созданию КДУ из ПД и ВРДК. В качестве ПД легче входили в такую компоновочную схему двига тели с жидкостным охлаждением. В 1944 г. наивысшими ха рактеристиками обладал ПД ВК-107А. Сложности с охлажде нием ПД не испугали конструкторов. Водорадиатор имел при нудительный обдув (19586).</w:t>
      </w:r>
    </w:p>
    <w:p w14:paraId="7155C183" w14:textId="77777777" w:rsidR="00FC46A1" w:rsidRPr="007224C3" w:rsidRDefault="00FC46A1" w:rsidP="007224C3">
      <w:pPr>
        <w:pStyle w:val="ae"/>
        <w:shd w:val="clear" w:color="auto" w:fill="FFFFFF"/>
        <w:spacing w:before="0" w:after="0"/>
        <w:jc w:val="both"/>
        <w:rPr>
          <w:color w:val="000000" w:themeColor="text1"/>
          <w:sz w:val="16"/>
          <w:szCs w:val="16"/>
        </w:rPr>
      </w:pPr>
    </w:p>
    <w:p w14:paraId="01EDA5E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1944 в ОКБ П.О.С. был разработан проект одноместного истребителя с моторами М-107 и ВРДК, а в марте разработали второй вариант, который стал Су-5 (1454,67).</w:t>
      </w:r>
    </w:p>
    <w:p w14:paraId="1502EE6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81C56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1944 П.О.С. разработал проект одноместного истребителя И-2 2хМ-107, расположенными в фюзеляже за кабиной л, смещенными к бортам и работающими на соосные винты (9537,18).</w:t>
      </w:r>
    </w:p>
    <w:p w14:paraId="09800B2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38396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1944 года по личному распоряжению Сталина харьковский завод внепланово передал 61 истребитель Як-9 и Як-9Т личному составу полка французских летчиков "Нормандия-Неман" (10674).</w:t>
      </w:r>
    </w:p>
    <w:p w14:paraId="57FFB9C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0887D7F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1944 года из сборочного цеха завода № 166 выкатили 11 первых машин Як-9У, а со следующего месяца заказчик начал принимать доработанные Як-9У. В феврале того же года сдал первую серийную машину московский завод № 82. В мае того же года омские авиастроители сдали заказчику 90 Як-9У, а завод № 82 - 50 машин (12046).</w:t>
      </w:r>
    </w:p>
    <w:p w14:paraId="5E743D0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2C55EE6A" w14:textId="77777777" w:rsidR="00903E13" w:rsidRPr="007224C3" w:rsidRDefault="00903E13" w:rsidP="007224C3">
      <w:pPr>
        <w:pStyle w:val="27"/>
        <w:shd w:val="clear" w:color="auto" w:fill="auto"/>
        <w:spacing w:after="0" w:line="240" w:lineRule="auto"/>
        <w:ind w:firstLine="0"/>
        <w:rPr>
          <w:rFonts w:ascii="Times New Roman" w:cs="Times New Roman"/>
          <w:color w:val="000000" w:themeColor="text1"/>
          <w:spacing w:val="0"/>
        </w:rPr>
      </w:pPr>
      <w:r w:rsidRPr="007224C3">
        <w:rPr>
          <w:rFonts w:ascii="Times New Roman" w:cs="Times New Roman"/>
          <w:color w:val="000000" w:themeColor="text1"/>
          <w:spacing w:val="0"/>
        </w:rPr>
        <w:t>В феврале 1944 г. на втором прототипе Як-9У, после всего 9 часов работы разрушились подшип</w:t>
      </w:r>
      <w:r w:rsidRPr="007224C3">
        <w:rPr>
          <w:rFonts w:ascii="Times New Roman" w:cs="Times New Roman"/>
          <w:color w:val="000000" w:themeColor="text1"/>
          <w:spacing w:val="0"/>
        </w:rPr>
        <w:softHyphen/>
        <w:t>ники нагнетателя, и двигатель заклинило. Летчик-испытатель А. Прошаков с боль</w:t>
      </w:r>
      <w:r w:rsidRPr="007224C3">
        <w:rPr>
          <w:rFonts w:ascii="Times New Roman" w:cs="Times New Roman"/>
          <w:color w:val="000000" w:themeColor="text1"/>
          <w:spacing w:val="0"/>
        </w:rPr>
        <w:softHyphen/>
        <w:t>шим трудом посадил аварийную машину. В отчете о дальнейших испытаниях акку</w:t>
      </w:r>
      <w:r w:rsidRPr="007224C3">
        <w:rPr>
          <w:rFonts w:ascii="Times New Roman" w:cs="Times New Roman"/>
          <w:color w:val="000000" w:themeColor="text1"/>
          <w:spacing w:val="0"/>
        </w:rPr>
        <w:softHyphen/>
        <w:t>ратно говорилось о том, что, хотя Як-9У, по идее, должен превосходить основные немецкие истребители (была достигнута максимальная скорость 700 км/ч), все же «большое количество серьезных дефек</w:t>
      </w:r>
      <w:r w:rsidRPr="007224C3">
        <w:rPr>
          <w:rFonts w:ascii="Times New Roman" w:cs="Times New Roman"/>
          <w:color w:val="000000" w:themeColor="text1"/>
          <w:spacing w:val="0"/>
        </w:rPr>
        <w:softHyphen/>
        <w:t>тов, особенно по винтомоторной группе, не позволяет нормально эксплуатировать этот самолет на всем диапазоне высот».</w:t>
      </w:r>
    </w:p>
    <w:p w14:paraId="77A82D2C" w14:textId="77777777" w:rsidR="00903E13" w:rsidRPr="007224C3" w:rsidRDefault="00903E13" w:rsidP="007224C3">
      <w:pPr>
        <w:pStyle w:val="27"/>
        <w:shd w:val="clear" w:color="auto" w:fill="auto"/>
        <w:spacing w:after="0" w:line="240" w:lineRule="auto"/>
        <w:ind w:firstLine="0"/>
        <w:rPr>
          <w:rFonts w:ascii="Times New Roman" w:cs="Times New Roman"/>
          <w:color w:val="000000" w:themeColor="text1"/>
          <w:spacing w:val="0"/>
        </w:rPr>
      </w:pPr>
      <w:r w:rsidRPr="007224C3">
        <w:rPr>
          <w:rFonts w:ascii="Times New Roman" w:cs="Times New Roman"/>
          <w:color w:val="000000" w:themeColor="text1"/>
          <w:spacing w:val="0"/>
        </w:rPr>
        <w:lastRenderedPageBreak/>
        <w:t>Однако ожидаемые боевые возможно</w:t>
      </w:r>
      <w:r w:rsidRPr="007224C3">
        <w:rPr>
          <w:rFonts w:ascii="Times New Roman" w:cs="Times New Roman"/>
          <w:color w:val="000000" w:themeColor="text1"/>
          <w:spacing w:val="0"/>
        </w:rPr>
        <w:softHyphen/>
        <w:t>сти самолета были столь высоки, что уже в мае 1944 г. его запустили в массовое про</w:t>
      </w:r>
      <w:r w:rsidRPr="007224C3">
        <w:rPr>
          <w:rFonts w:ascii="Times New Roman" w:cs="Times New Roman"/>
          <w:color w:val="000000" w:themeColor="text1"/>
          <w:spacing w:val="0"/>
        </w:rPr>
        <w:softHyphen/>
        <w:t>изводство (12741).</w:t>
      </w:r>
    </w:p>
    <w:p w14:paraId="09D9FAEE" w14:textId="77777777" w:rsidR="00903E13" w:rsidRPr="007224C3" w:rsidRDefault="00903E13" w:rsidP="007224C3">
      <w:pPr>
        <w:pStyle w:val="27"/>
        <w:shd w:val="clear" w:color="auto" w:fill="auto"/>
        <w:spacing w:after="0" w:line="240" w:lineRule="auto"/>
        <w:ind w:firstLine="0"/>
        <w:rPr>
          <w:rFonts w:ascii="Times New Roman" w:cs="Times New Roman"/>
          <w:color w:val="000000" w:themeColor="text1"/>
          <w:spacing w:val="0"/>
        </w:rPr>
      </w:pPr>
    </w:p>
    <w:p w14:paraId="0A7C3F60" w14:textId="77777777" w:rsidR="00337326" w:rsidRPr="007224C3" w:rsidRDefault="00337326" w:rsidP="007224C3">
      <w:pPr>
        <w:pStyle w:val="27"/>
        <w:shd w:val="clear" w:color="auto" w:fill="auto"/>
        <w:spacing w:after="0" w:line="240" w:lineRule="auto"/>
        <w:ind w:firstLine="0"/>
        <w:rPr>
          <w:rFonts w:ascii="Times New Roman" w:cs="Times New Roman"/>
          <w:color w:val="000000" w:themeColor="text1"/>
          <w:spacing w:val="0"/>
        </w:rPr>
      </w:pPr>
      <w:r w:rsidRPr="007224C3">
        <w:rPr>
          <w:rFonts w:ascii="Times New Roman" w:cs="Times New Roman"/>
          <w:color w:val="000000" w:themeColor="text1"/>
          <w:spacing w:val="0"/>
        </w:rPr>
        <w:t>В феврале 1944 г. из сборочного цеха за</w:t>
      </w:r>
      <w:r w:rsidRPr="007224C3">
        <w:rPr>
          <w:rFonts w:ascii="Times New Roman" w:cs="Times New Roman"/>
          <w:color w:val="000000" w:themeColor="text1"/>
          <w:spacing w:val="0"/>
        </w:rPr>
        <w:softHyphen/>
        <w:t>вода № 166 выкатили первые 11 серийных машин Як-9У с мотором М-107А и пушкой МП-20, а со следующего месяца началась их приёмка. В феврале сдал первый та</w:t>
      </w:r>
      <w:r w:rsidRPr="007224C3">
        <w:rPr>
          <w:rFonts w:ascii="Times New Roman" w:cs="Times New Roman"/>
          <w:color w:val="000000" w:themeColor="text1"/>
          <w:spacing w:val="0"/>
        </w:rPr>
        <w:softHyphen/>
        <w:t>кой истребитель и московский завод № 82. В мае омские авиастроители построили 90 Як-9У, а завод № 82 - 50 (19103).</w:t>
      </w:r>
    </w:p>
    <w:p w14:paraId="5B980138" w14:textId="77777777" w:rsidR="00337326" w:rsidRPr="007224C3" w:rsidRDefault="00337326" w:rsidP="007224C3">
      <w:pPr>
        <w:pStyle w:val="27"/>
        <w:shd w:val="clear" w:color="auto" w:fill="auto"/>
        <w:spacing w:after="0" w:line="240" w:lineRule="auto"/>
        <w:ind w:firstLine="0"/>
        <w:rPr>
          <w:rFonts w:ascii="Times New Roman" w:cs="Times New Roman"/>
          <w:color w:val="000000" w:themeColor="text1"/>
          <w:spacing w:val="0"/>
        </w:rPr>
      </w:pPr>
    </w:p>
    <w:p w14:paraId="717395C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1944 года появился самолет ЛаГГ-3 «105-2» с двигателем М-105ПФ-2 стартовой мощностью 1290 л.с. и рабочей мощностью 1310 л.с. на высоте 2000 м. Емкость топливных баков сократили с 405 до 377 л, пушку ШВАК заменили пушкой ВЯ-23 с боекомплектом 85 выстрелов. Пулемет БС имел боекомплект 185 выстрелов. Истребитель проходил государственные испытания с 10 мая по 12 июня 1944 года. Закончились они отрицательно. У самолета отметили недоработки в конструкции винтомоторной группы, слабое вооружение и низкие летные параметры. Самолет «105-2» значительно уступал по возможностям немецким истребителям Bf-109G-6 и Fw-190D-9. В результате в НИИ ВВС признали бесперспективным дальнейшее совершенствование ЛаГГа-3 и подняли вопрос о прекращении его серийного выпуска. Дальнейшие планы тбилисских конструкторов так и не были реализованы. В частности они предполагали оснастить самолет эластичными самогерметизирующимися баками. В отличие от жестких баков с резиновой обшивкой, у мягких баков сами стенки были сделаны из самозатягивающейся резины (11749).</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611"/>
        <w:gridCol w:w="1380"/>
        <w:gridCol w:w="1380"/>
        <w:gridCol w:w="1534"/>
        <w:gridCol w:w="1074"/>
        <w:gridCol w:w="770"/>
      </w:tblGrid>
      <w:tr w:rsidR="005106D0" w:rsidRPr="007224C3" w14:paraId="726E4FCC" w14:textId="77777777" w:rsidTr="003712D9">
        <w:tc>
          <w:tcPr>
            <w:tcW w:w="1611" w:type="dxa"/>
            <w:gridSpan w:val="6"/>
            <w:tcBorders>
              <w:top w:val="single" w:sz="12" w:space="0" w:color="auto"/>
            </w:tcBorders>
          </w:tcPr>
          <w:p w14:paraId="7A46350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Серийное производство ЛаГГ-3</w:t>
            </w:r>
          </w:p>
        </w:tc>
      </w:tr>
      <w:tr w:rsidR="005106D0" w:rsidRPr="007224C3" w14:paraId="00C2DD62" w14:textId="77777777" w:rsidTr="003712D9">
        <w:tc>
          <w:tcPr>
            <w:tcW w:w="1611" w:type="dxa"/>
          </w:tcPr>
          <w:p w14:paraId="0CF82CB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380" w:type="dxa"/>
          </w:tcPr>
          <w:p w14:paraId="27D90A3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1941</w:t>
            </w:r>
          </w:p>
        </w:tc>
        <w:tc>
          <w:tcPr>
            <w:tcW w:w="1380" w:type="dxa"/>
          </w:tcPr>
          <w:p w14:paraId="4C6A3C6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1942</w:t>
            </w:r>
          </w:p>
        </w:tc>
        <w:tc>
          <w:tcPr>
            <w:tcW w:w="1534" w:type="dxa"/>
          </w:tcPr>
          <w:p w14:paraId="229CBD8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1943</w:t>
            </w:r>
          </w:p>
        </w:tc>
        <w:tc>
          <w:tcPr>
            <w:tcW w:w="1074" w:type="dxa"/>
          </w:tcPr>
          <w:p w14:paraId="7220742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1944</w:t>
            </w:r>
          </w:p>
        </w:tc>
        <w:tc>
          <w:tcPr>
            <w:tcW w:w="770" w:type="dxa"/>
          </w:tcPr>
          <w:p w14:paraId="6215FE1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w:t>
            </w:r>
          </w:p>
        </w:tc>
      </w:tr>
      <w:tr w:rsidR="005106D0" w:rsidRPr="007224C3" w14:paraId="31B4F115" w14:textId="77777777" w:rsidTr="003712D9">
        <w:tc>
          <w:tcPr>
            <w:tcW w:w="1611" w:type="dxa"/>
          </w:tcPr>
          <w:p w14:paraId="4EB39E3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План производства</w:t>
            </w:r>
          </w:p>
        </w:tc>
        <w:tc>
          <w:tcPr>
            <w:tcW w:w="1380" w:type="dxa"/>
          </w:tcPr>
          <w:p w14:paraId="5BC984D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3149</w:t>
            </w:r>
          </w:p>
        </w:tc>
        <w:tc>
          <w:tcPr>
            <w:tcW w:w="1380" w:type="dxa"/>
          </w:tcPr>
          <w:p w14:paraId="5CFAF24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2819</w:t>
            </w:r>
          </w:p>
        </w:tc>
        <w:tc>
          <w:tcPr>
            <w:tcW w:w="1534" w:type="dxa"/>
          </w:tcPr>
          <w:p w14:paraId="222D0EB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1111</w:t>
            </w:r>
          </w:p>
        </w:tc>
        <w:tc>
          <w:tcPr>
            <w:tcW w:w="1074" w:type="dxa"/>
          </w:tcPr>
          <w:p w14:paraId="35997D0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215</w:t>
            </w:r>
          </w:p>
        </w:tc>
        <w:tc>
          <w:tcPr>
            <w:tcW w:w="770" w:type="dxa"/>
          </w:tcPr>
          <w:p w14:paraId="5C5E88D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7294</w:t>
            </w:r>
          </w:p>
        </w:tc>
      </w:tr>
      <w:tr w:rsidR="005106D0" w:rsidRPr="007224C3" w14:paraId="0DBBDFFF" w14:textId="77777777" w:rsidTr="003712D9">
        <w:tc>
          <w:tcPr>
            <w:tcW w:w="1611" w:type="dxa"/>
          </w:tcPr>
          <w:p w14:paraId="05917CF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Производство по факту</w:t>
            </w:r>
          </w:p>
        </w:tc>
        <w:tc>
          <w:tcPr>
            <w:tcW w:w="1380" w:type="dxa"/>
          </w:tcPr>
          <w:p w14:paraId="3973A40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2463</w:t>
            </w:r>
          </w:p>
        </w:tc>
        <w:tc>
          <w:tcPr>
            <w:tcW w:w="1380" w:type="dxa"/>
          </w:tcPr>
          <w:p w14:paraId="2468CFB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2736</w:t>
            </w:r>
          </w:p>
        </w:tc>
        <w:tc>
          <w:tcPr>
            <w:tcW w:w="1534" w:type="dxa"/>
          </w:tcPr>
          <w:p w14:paraId="63F5DFF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1065</w:t>
            </w:r>
          </w:p>
        </w:tc>
        <w:tc>
          <w:tcPr>
            <w:tcW w:w="1074" w:type="dxa"/>
          </w:tcPr>
          <w:p w14:paraId="6A9E1F4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229</w:t>
            </w:r>
          </w:p>
        </w:tc>
        <w:tc>
          <w:tcPr>
            <w:tcW w:w="770" w:type="dxa"/>
          </w:tcPr>
          <w:p w14:paraId="4F23067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6493</w:t>
            </w:r>
          </w:p>
        </w:tc>
      </w:tr>
      <w:tr w:rsidR="005106D0" w:rsidRPr="007224C3" w14:paraId="2A8209AB" w14:textId="77777777" w:rsidTr="003712D9">
        <w:tc>
          <w:tcPr>
            <w:tcW w:w="1611" w:type="dxa"/>
          </w:tcPr>
          <w:p w14:paraId="7B8CE82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ВВС</w:t>
            </w:r>
          </w:p>
        </w:tc>
        <w:tc>
          <w:tcPr>
            <w:tcW w:w="1380" w:type="dxa"/>
          </w:tcPr>
          <w:p w14:paraId="67B38BB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356 (66)х</w:t>
            </w:r>
          </w:p>
        </w:tc>
        <w:tc>
          <w:tcPr>
            <w:tcW w:w="1380" w:type="dxa"/>
          </w:tcPr>
          <w:p w14:paraId="6E04D4D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277 (61)*</w:t>
            </w:r>
          </w:p>
        </w:tc>
        <w:tc>
          <w:tcPr>
            <w:tcW w:w="1534" w:type="dxa"/>
          </w:tcPr>
          <w:p w14:paraId="4A66D7C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251 (44)**</w:t>
            </w:r>
          </w:p>
        </w:tc>
        <w:tc>
          <w:tcPr>
            <w:tcW w:w="1074" w:type="dxa"/>
          </w:tcPr>
          <w:p w14:paraId="6671082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w:t>
            </w:r>
          </w:p>
        </w:tc>
        <w:tc>
          <w:tcPr>
            <w:tcW w:w="770" w:type="dxa"/>
          </w:tcPr>
          <w:p w14:paraId="195344C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26E976D4" w14:textId="77777777" w:rsidTr="003712D9">
        <w:tc>
          <w:tcPr>
            <w:tcW w:w="1611" w:type="dxa"/>
          </w:tcPr>
          <w:p w14:paraId="59B99F4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ПВО</w:t>
            </w:r>
          </w:p>
        </w:tc>
        <w:tc>
          <w:tcPr>
            <w:tcW w:w="1380" w:type="dxa"/>
          </w:tcPr>
          <w:p w14:paraId="411FCBB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56 (12)</w:t>
            </w:r>
          </w:p>
        </w:tc>
        <w:tc>
          <w:tcPr>
            <w:tcW w:w="1380" w:type="dxa"/>
          </w:tcPr>
          <w:p w14:paraId="7BD8224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228 (59)</w:t>
            </w:r>
          </w:p>
        </w:tc>
        <w:tc>
          <w:tcPr>
            <w:tcW w:w="1534" w:type="dxa"/>
          </w:tcPr>
          <w:p w14:paraId="2DA7A0A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168 (30)</w:t>
            </w:r>
          </w:p>
        </w:tc>
        <w:tc>
          <w:tcPr>
            <w:tcW w:w="1074" w:type="dxa"/>
          </w:tcPr>
          <w:p w14:paraId="12CA528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75 (10)</w:t>
            </w:r>
          </w:p>
        </w:tc>
        <w:tc>
          <w:tcPr>
            <w:tcW w:w="770" w:type="dxa"/>
          </w:tcPr>
          <w:p w14:paraId="76CCB93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7813BC45" w14:textId="77777777" w:rsidTr="003712D9">
        <w:tc>
          <w:tcPr>
            <w:tcW w:w="1611" w:type="dxa"/>
            <w:tcBorders>
              <w:bottom w:val="single" w:sz="12" w:space="0" w:color="auto"/>
            </w:tcBorders>
          </w:tcPr>
          <w:p w14:paraId="6580576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Морская авиация</w:t>
            </w:r>
          </w:p>
        </w:tc>
        <w:tc>
          <w:tcPr>
            <w:tcW w:w="1380" w:type="dxa"/>
            <w:tcBorders>
              <w:bottom w:val="single" w:sz="12" w:space="0" w:color="auto"/>
            </w:tcBorders>
          </w:tcPr>
          <w:p w14:paraId="07A56FE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380" w:type="dxa"/>
            <w:tcBorders>
              <w:bottom w:val="single" w:sz="12" w:space="0" w:color="auto"/>
            </w:tcBorders>
          </w:tcPr>
          <w:p w14:paraId="70C2727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63 (13)</w:t>
            </w:r>
          </w:p>
        </w:tc>
        <w:tc>
          <w:tcPr>
            <w:tcW w:w="1534" w:type="dxa"/>
            <w:tcBorders>
              <w:bottom w:val="single" w:sz="12" w:space="0" w:color="auto"/>
            </w:tcBorders>
          </w:tcPr>
          <w:p w14:paraId="6EAF1E7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235 (?)</w:t>
            </w:r>
          </w:p>
        </w:tc>
        <w:tc>
          <w:tcPr>
            <w:tcW w:w="1074" w:type="dxa"/>
            <w:tcBorders>
              <w:bottom w:val="single" w:sz="12" w:space="0" w:color="auto"/>
            </w:tcBorders>
          </w:tcPr>
          <w:p w14:paraId="4F31B5F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157</w:t>
            </w:r>
          </w:p>
        </w:tc>
        <w:tc>
          <w:tcPr>
            <w:tcW w:w="770" w:type="dxa"/>
            <w:tcBorders>
              <w:bottom w:val="single" w:sz="12" w:space="0" w:color="auto"/>
            </w:tcBorders>
          </w:tcPr>
          <w:p w14:paraId="411FB29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bl>
    <w:p w14:paraId="282AACB6" w14:textId="77777777" w:rsidR="003712D9" w:rsidRPr="007224C3" w:rsidRDefault="003712D9" w:rsidP="007224C3">
      <w:pPr>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Cs/>
          <w:color w:val="000000" w:themeColor="text1"/>
          <w:sz w:val="16"/>
          <w:szCs w:val="16"/>
        </w:rPr>
        <w:t>(11749).</w:t>
      </w:r>
    </w:p>
    <w:p w14:paraId="08308F86" w14:textId="77777777" w:rsidR="003712D9" w:rsidRPr="007224C3" w:rsidRDefault="003712D9" w:rsidP="007224C3">
      <w:pPr>
        <w:autoSpaceDE w:val="0"/>
        <w:autoSpaceDN w:val="0"/>
        <w:adjustRightInd w:val="0"/>
        <w:spacing w:after="0" w:line="240" w:lineRule="auto"/>
        <w:jc w:val="both"/>
        <w:rPr>
          <w:rFonts w:ascii="Times New Roman" w:hAnsi="Times New Roman"/>
          <w:iCs/>
          <w:color w:val="000000" w:themeColor="text1"/>
          <w:sz w:val="16"/>
          <w:szCs w:val="16"/>
        </w:rPr>
      </w:pPr>
    </w:p>
    <w:p w14:paraId="49FEAD2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1944 г. построили второй экземпляр, "105-2", с двигателем М-105ПФ-2 взлетной мощностью, возросшей до 1290 л.е., а на первой границе высотности (200 м) - 1310 л.с. По сравнению с предшественником, объем бензобаков уменьшили с 405 до 377 л, а 20-мм пушку ШВАК заменили на 23-мм ВЯ-23 с боезапасом 85 патронов. При этом запас для пулемета БС был равен 185 патронам. Истребитель, находившийся на государственных испытаниях с 10 мая по 12 июня, их не выдержал. Недоведенные винтомоторная группа и вооружение, а также низкие летные данные истребителя сделали свое дело. Самолет "105-2" уступал немецким истребителям по основным параметрам. В итоге, НИИ ВВС счел нецелесообразным продолжение модернизации ЛаГГ-3, и в этом же году его серийное производство было завершено (11983).</w:t>
      </w:r>
    </w:p>
    <w:p w14:paraId="4A45376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5C6AADB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1944 г. "эталон 1944 г." Ла-5ФН показал на испытаниях скорость 680 км/ч. "Эталон 1944 г." был разработан на базе планера "тип 41", у которого двигатель остался тот же, но мотоустановка претерпела существенные изменения: переделали раму, переместили воздухозаборники и масляный радиатор, ввели индивидуальные выхлопные патрубки и новый винт ВИШ-105В4. Если у Ла-5ФН вооружение состояло из двух 20-мм пушек СП-20 (ШВАК), то на "эталоне" монтировались уже три облегченных УБ-20 такого же калибра. С лета того же года истребитель запустили в серийное производство под обозначением Ла-7; он строился на двух заводах до конца 1946 г. Серийные машины имели максимальную скорость 650 - 660 км/ч. На малых и средних высотах Ла-7 мог успешно вести бой с любым отечественным или зарубежным истребителем. Но Лавочкину хотелось большего...(11990).</w:t>
      </w:r>
    </w:p>
    <w:p w14:paraId="03978D7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Серийное производство самолетов семейства Ла-5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5106D0" w:rsidRPr="007224C3" w14:paraId="17030219" w14:textId="77777777">
        <w:tc>
          <w:tcPr>
            <w:tcW w:w="1868" w:type="dxa"/>
            <w:tcBorders>
              <w:top w:val="single" w:sz="12" w:space="0" w:color="auto"/>
            </w:tcBorders>
          </w:tcPr>
          <w:p w14:paraId="681AE05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top w:val="single" w:sz="12" w:space="0" w:color="auto"/>
            </w:tcBorders>
          </w:tcPr>
          <w:p w14:paraId="6A1DB98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w:t>
            </w:r>
          </w:p>
        </w:tc>
        <w:tc>
          <w:tcPr>
            <w:tcW w:w="1868" w:type="dxa"/>
            <w:tcBorders>
              <w:top w:val="single" w:sz="12" w:space="0" w:color="auto"/>
            </w:tcBorders>
          </w:tcPr>
          <w:p w14:paraId="1163724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1941 год</w:t>
            </w:r>
          </w:p>
        </w:tc>
        <w:tc>
          <w:tcPr>
            <w:tcW w:w="1868" w:type="dxa"/>
            <w:tcBorders>
              <w:top w:val="single" w:sz="12" w:space="0" w:color="auto"/>
            </w:tcBorders>
          </w:tcPr>
          <w:p w14:paraId="2F238F1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1942 год</w:t>
            </w:r>
          </w:p>
        </w:tc>
        <w:tc>
          <w:tcPr>
            <w:tcW w:w="1868" w:type="dxa"/>
            <w:tcBorders>
              <w:top w:val="single" w:sz="12" w:space="0" w:color="auto"/>
            </w:tcBorders>
          </w:tcPr>
          <w:p w14:paraId="02345C6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1943 год</w:t>
            </w:r>
          </w:p>
        </w:tc>
        <w:tc>
          <w:tcPr>
            <w:tcW w:w="1868" w:type="dxa"/>
            <w:tcBorders>
              <w:top w:val="single" w:sz="12" w:space="0" w:color="auto"/>
            </w:tcBorders>
          </w:tcPr>
          <w:p w14:paraId="2DC91A4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1944 год</w:t>
            </w:r>
          </w:p>
        </w:tc>
      </w:tr>
      <w:tr w:rsidR="005106D0" w:rsidRPr="007224C3" w14:paraId="38398C84" w14:textId="77777777">
        <w:tc>
          <w:tcPr>
            <w:tcW w:w="1868" w:type="dxa"/>
          </w:tcPr>
          <w:p w14:paraId="697448C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Ла-5,</w:t>
            </w:r>
          </w:p>
        </w:tc>
        <w:tc>
          <w:tcPr>
            <w:tcW w:w="1868" w:type="dxa"/>
          </w:tcPr>
          <w:p w14:paraId="2D19EAD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6540CE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180EED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A57628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56CC12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8198188" w14:textId="77777777">
        <w:tc>
          <w:tcPr>
            <w:tcW w:w="1868" w:type="dxa"/>
          </w:tcPr>
          <w:p w14:paraId="12D07E0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Ла-5Ф,</w:t>
            </w:r>
          </w:p>
        </w:tc>
        <w:tc>
          <w:tcPr>
            <w:tcW w:w="1868" w:type="dxa"/>
          </w:tcPr>
          <w:p w14:paraId="637F460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4AE6DE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2BC392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9EA348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8EE46A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B56FF9D" w14:textId="77777777">
        <w:tc>
          <w:tcPr>
            <w:tcW w:w="1868" w:type="dxa"/>
          </w:tcPr>
          <w:p w14:paraId="058B2AD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Ла-5ФН</w:t>
            </w:r>
          </w:p>
        </w:tc>
        <w:tc>
          <w:tcPr>
            <w:tcW w:w="1868" w:type="dxa"/>
          </w:tcPr>
          <w:p w14:paraId="46F6DA9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w:t>
            </w:r>
          </w:p>
        </w:tc>
        <w:tc>
          <w:tcPr>
            <w:tcW w:w="1868" w:type="dxa"/>
          </w:tcPr>
          <w:p w14:paraId="072B8E1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868" w:type="dxa"/>
          </w:tcPr>
          <w:p w14:paraId="2CF7090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1107</w:t>
            </w:r>
          </w:p>
        </w:tc>
        <w:tc>
          <w:tcPr>
            <w:tcW w:w="1868" w:type="dxa"/>
          </w:tcPr>
          <w:p w14:paraId="1C2166D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4619</w:t>
            </w:r>
          </w:p>
        </w:tc>
        <w:tc>
          <w:tcPr>
            <w:tcW w:w="1868" w:type="dxa"/>
          </w:tcPr>
          <w:p w14:paraId="4873537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3503</w:t>
            </w:r>
          </w:p>
        </w:tc>
      </w:tr>
      <w:tr w:rsidR="005106D0" w:rsidRPr="007224C3" w14:paraId="0431A088" w14:textId="77777777">
        <w:tc>
          <w:tcPr>
            <w:tcW w:w="1868" w:type="dxa"/>
          </w:tcPr>
          <w:p w14:paraId="2398E0A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AEF76D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w:t>
            </w:r>
          </w:p>
        </w:tc>
        <w:tc>
          <w:tcPr>
            <w:tcW w:w="1868" w:type="dxa"/>
          </w:tcPr>
          <w:p w14:paraId="0FAE8F2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868" w:type="dxa"/>
          </w:tcPr>
          <w:p w14:paraId="36B60FA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w:t>
            </w:r>
          </w:p>
        </w:tc>
        <w:tc>
          <w:tcPr>
            <w:tcW w:w="1868" w:type="dxa"/>
          </w:tcPr>
          <w:p w14:paraId="0184312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tc>
        <w:tc>
          <w:tcPr>
            <w:tcW w:w="1868" w:type="dxa"/>
          </w:tcPr>
          <w:p w14:paraId="475E355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5DD34B91" w14:textId="77777777">
        <w:tc>
          <w:tcPr>
            <w:tcW w:w="1868" w:type="dxa"/>
          </w:tcPr>
          <w:p w14:paraId="7EE8306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Ла-5Ф</w:t>
            </w:r>
          </w:p>
        </w:tc>
        <w:tc>
          <w:tcPr>
            <w:tcW w:w="1868" w:type="dxa"/>
          </w:tcPr>
          <w:p w14:paraId="2C951B8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№381</w:t>
            </w:r>
          </w:p>
        </w:tc>
        <w:tc>
          <w:tcPr>
            <w:tcW w:w="1868" w:type="dxa"/>
          </w:tcPr>
          <w:p w14:paraId="6F4E1B0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868" w:type="dxa"/>
          </w:tcPr>
          <w:p w14:paraId="226FC79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868" w:type="dxa"/>
          </w:tcPr>
          <w:p w14:paraId="3548C30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239</w:t>
            </w:r>
          </w:p>
        </w:tc>
        <w:tc>
          <w:tcPr>
            <w:tcW w:w="1868" w:type="dxa"/>
          </w:tcPr>
          <w:p w14:paraId="436D93F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221</w:t>
            </w:r>
          </w:p>
        </w:tc>
      </w:tr>
      <w:tr w:rsidR="005106D0" w:rsidRPr="007224C3" w14:paraId="4345CB8D" w14:textId="77777777">
        <w:tc>
          <w:tcPr>
            <w:tcW w:w="1868" w:type="dxa"/>
            <w:tcBorders>
              <w:bottom w:val="single" w:sz="12" w:space="0" w:color="auto"/>
            </w:tcBorders>
          </w:tcPr>
          <w:p w14:paraId="0E06E0C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bottom w:val="single" w:sz="12" w:space="0" w:color="auto"/>
            </w:tcBorders>
          </w:tcPr>
          <w:p w14:paraId="38EA09B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№99</w:t>
            </w:r>
          </w:p>
        </w:tc>
        <w:tc>
          <w:tcPr>
            <w:tcW w:w="1868" w:type="dxa"/>
            <w:tcBorders>
              <w:bottom w:val="single" w:sz="12" w:space="0" w:color="auto"/>
            </w:tcBorders>
          </w:tcPr>
          <w:p w14:paraId="05844A2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868" w:type="dxa"/>
            <w:tcBorders>
              <w:bottom w:val="single" w:sz="12" w:space="0" w:color="auto"/>
            </w:tcBorders>
          </w:tcPr>
          <w:p w14:paraId="3F1DF11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868" w:type="dxa"/>
            <w:tcBorders>
              <w:bottom w:val="single" w:sz="12" w:space="0" w:color="auto"/>
            </w:tcBorders>
          </w:tcPr>
          <w:p w14:paraId="7AB601C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184</w:t>
            </w:r>
          </w:p>
        </w:tc>
        <w:tc>
          <w:tcPr>
            <w:tcW w:w="1868" w:type="dxa"/>
            <w:tcBorders>
              <w:bottom w:val="single" w:sz="12" w:space="0" w:color="auto"/>
            </w:tcBorders>
          </w:tcPr>
          <w:p w14:paraId="336EF8A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102</w:t>
            </w:r>
          </w:p>
        </w:tc>
      </w:tr>
    </w:tbl>
    <w:p w14:paraId="679EB27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Согласно отчету завода № 31 за 1942 г. заказчику сдали 21 самолет Ла-5 (12032)</w:t>
      </w:r>
    </w:p>
    <w:p w14:paraId="4E32768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00FAAC7C" w14:textId="77777777" w:rsidR="00FC46A1" w:rsidRPr="007224C3" w:rsidRDefault="00FC46A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1944 г. на летные испытания в ЛИИ АП поступил Ла-5 «эталон 1944 года», на который конструкторы ОКБ С.А. Лавочкина вновь установили три пушки УБ-20, заменили лонжероны крыла металлическими, произвели герметизацию (18999).</w:t>
      </w:r>
    </w:p>
    <w:p w14:paraId="2BB7B96F" w14:textId="77777777" w:rsidR="00FC46A1" w:rsidRPr="007224C3" w:rsidRDefault="00FC46A1" w:rsidP="007224C3">
      <w:pPr>
        <w:spacing w:after="0" w:line="240" w:lineRule="auto"/>
        <w:jc w:val="both"/>
        <w:rPr>
          <w:rFonts w:ascii="Times New Roman" w:hAnsi="Times New Roman"/>
          <w:color w:val="000000" w:themeColor="text1"/>
          <w:sz w:val="16"/>
          <w:szCs w:val="16"/>
        </w:rPr>
      </w:pPr>
    </w:p>
    <w:p w14:paraId="4251AD7E" w14:textId="77777777" w:rsidR="00AD0763" w:rsidRPr="007224C3" w:rsidRDefault="00AD076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1944 при опробова</w:t>
      </w:r>
      <w:r w:rsidRPr="007224C3">
        <w:rPr>
          <w:rFonts w:ascii="Times New Roman" w:hAnsi="Times New Roman"/>
          <w:color w:val="000000" w:themeColor="text1"/>
          <w:sz w:val="16"/>
          <w:szCs w:val="16"/>
        </w:rPr>
        <w:softHyphen/>
        <w:t>нии мотора на земле в маслосистеме Ла-5 с М-82ФН и двумя ТК-3, увеличенной длиной и площадью крыла и увеличенной площадью опере</w:t>
      </w:r>
      <w:r w:rsidRPr="007224C3">
        <w:rPr>
          <w:rFonts w:ascii="Times New Roman" w:hAnsi="Times New Roman"/>
          <w:color w:val="000000" w:themeColor="text1"/>
          <w:sz w:val="16"/>
          <w:szCs w:val="16"/>
        </w:rPr>
        <w:softHyphen/>
        <w:t>ния, с запланированной боевой высотой 13500 м, также называемый как самолёт «А» или Ла-5А появилась стружка, и его пришлось заменить. Наконец, 17 марта начались лётные испытания, их проводил лётчик-испытатель Г.М. Шиянов. Провели семь полётов, снова отмечалась высокая температура головок ци</w:t>
      </w:r>
      <w:r w:rsidRPr="007224C3">
        <w:rPr>
          <w:rFonts w:ascii="Times New Roman" w:hAnsi="Times New Roman"/>
          <w:color w:val="000000" w:themeColor="text1"/>
          <w:sz w:val="16"/>
          <w:szCs w:val="16"/>
        </w:rPr>
        <w:softHyphen/>
        <w:t>линдров, на высотах более 2000 м доходившая до 240-260°С, а с высоты 5000 м на</w:t>
      </w:r>
      <w:r w:rsidRPr="007224C3">
        <w:rPr>
          <w:rFonts w:ascii="Times New Roman" w:hAnsi="Times New Roman"/>
          <w:color w:val="000000" w:themeColor="text1"/>
          <w:sz w:val="16"/>
          <w:szCs w:val="16"/>
        </w:rPr>
        <w:softHyphen/>
        <w:t>чинало падать давление бензина и возникало сильное дымление из турбокомпрессора, причём дым попадал в кабину пилота, и полёт приходилось прекращать. Также имели место дефекты в работе бензо- и маслопомп и системы зажигания (15830).</w:t>
      </w:r>
    </w:p>
    <w:p w14:paraId="52799BC4" w14:textId="77777777" w:rsidR="00AD0763" w:rsidRPr="007224C3" w:rsidRDefault="00AD0763" w:rsidP="007224C3">
      <w:pPr>
        <w:spacing w:after="0" w:line="240" w:lineRule="auto"/>
        <w:jc w:val="both"/>
        <w:rPr>
          <w:rFonts w:ascii="Times New Roman" w:hAnsi="Times New Roman"/>
          <w:color w:val="000000" w:themeColor="text1"/>
          <w:sz w:val="16"/>
          <w:szCs w:val="16"/>
        </w:rPr>
      </w:pPr>
    </w:p>
    <w:p w14:paraId="1E59A06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1944 г. АМ-39А-ТК с турбонагнетателями ТК-Б испытывался на самолете И-224 (11852).</w:t>
      </w:r>
    </w:p>
    <w:p w14:paraId="6F6B15A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29EAF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1944 г. в ОКБ-155 начались работы над истребителем, получившим наименование И-250 и заводской шифр "Н". К моменту выхода Постановления №5946 (30 мая 1944) уже полным ходом шло эскизное проектирование (6000).</w:t>
      </w:r>
    </w:p>
    <w:p w14:paraId="35284DD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3FF76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1944 П.М.Стефановский пригнал с завода в НИИ ВВС МиГ-3ДД с АМ-39 и совершил на нем первый полет. выявилась плохая работа тормозов. Потом аэродром завалило снегом и полеты прервались. 8 марта 1944 на аэродроме Чкаловская П.М.С. разбился, но остался жив. На посадке врезался в сугроб (817).</w:t>
      </w:r>
    </w:p>
    <w:p w14:paraId="3F039F6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083DD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и марте 1944 года в ходе дополнительных госиспытаний ис пытывались машины Як-9Д № 07-06 и № 08-85. С марта 1943-го по июнь 1946 года выпущено 3058 истребителей Як-9Д (12046).</w:t>
      </w:r>
    </w:p>
    <w:p w14:paraId="1C38424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3552B4D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1944 г был закончен первый самолет усовершенствованного Пе-3 на казанском заводе. По мнению заказчика (ВВС), он коренным образом отличался от макета, предъявленного в ноябре 1943 г., и абсолютно не соответствовал требованиям времени. Из конъюнктурных соображений наркомат авиапромышленности запретил внедрение в серию верхних установок “ФЗ”, рассчитывая на то, что для новейшего варианта бомбардировщика Пе-2И они не потребуются, стало быть, и Пе-3 без них обойдется. Крыло на Пе-3 также осталось обычным, серийным. По неясным причинам завод не сумел отладить двухпушечную установку ШВАК под центропланом и ограничился всего одной пушкой. В носовом коке остался пулемет УБК. Поскольку дистанционная электрифицированная установка ДЭУ по-прежнему не была готова, то в хвостовой части фюзеляжа смонтировали два держателя ДАГ-10 с авиационными гранатами АГ-2. Ввиду явного несоответствия машины техническому заданию, Пе-3 (постройки завода № 22) на государственные испытания не передавался (в первом квартале 1944 г. выпустили 19 Пе-3). Все изготовленные самолеты, кроме двух, передали на вооружение 48-го драп и 98-го орап (4476).</w:t>
      </w:r>
    </w:p>
    <w:p w14:paraId="40EFA3C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6AA15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 феврале 1944 г. первый самолет-истребитель Пе-3 построили на заводе № 22. По мнению представителей ВВС, он коренным образом отличался от макета, предъявленного в ноябре 1943 г., и абсолютно не соответствовал требованиям времени. Завод по неясным причинам не отладил подцентропланную двухпу- шечную установку ШВАК и ограничился всего одним стволом. В носовом коке "в наследство" от серийной "пешки" остался пулемет УБК. Дистанционная электрифицированная установка ДЭУ, обещанная в макете, по- прежнему не была готова; вместо нее в хвостовой части фюзеляжа смонтировали две кас- сетницы ДАГ-10 с авиационными фанатами АГ-2. Ввиду явного несоответствия машины техническому заданию Пе-3 постройки завода № 22 на государственные испытания не передавался (все же в первом квартале 1944 г. выпустили 19 Пе-3). Все изготовленные самолеты, кроме двух, передали на вооружение 48-го и 98-го разведывательных полков. </w:t>
      </w:r>
    </w:p>
    <w:p w14:paraId="49BC929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Летно-технические данные истребителей семейства Пе-2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5106D0" w:rsidRPr="007224C3" w14:paraId="2B1E2A51" w14:textId="77777777">
        <w:tc>
          <w:tcPr>
            <w:tcW w:w="1868" w:type="dxa"/>
            <w:tcBorders>
              <w:top w:val="single" w:sz="12" w:space="0" w:color="auto"/>
            </w:tcBorders>
          </w:tcPr>
          <w:p w14:paraId="624FD09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Характеристика</w:t>
            </w:r>
          </w:p>
        </w:tc>
        <w:tc>
          <w:tcPr>
            <w:tcW w:w="1868" w:type="dxa"/>
            <w:tcBorders>
              <w:top w:val="single" w:sz="12" w:space="0" w:color="auto"/>
            </w:tcBorders>
          </w:tcPr>
          <w:p w14:paraId="2B01293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w:t>
            </w:r>
          </w:p>
        </w:tc>
        <w:tc>
          <w:tcPr>
            <w:tcW w:w="1868" w:type="dxa"/>
            <w:tcBorders>
              <w:top w:val="single" w:sz="12" w:space="0" w:color="auto"/>
            </w:tcBorders>
          </w:tcPr>
          <w:p w14:paraId="6697C57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Пе-3</w:t>
            </w:r>
          </w:p>
        </w:tc>
        <w:tc>
          <w:tcPr>
            <w:tcW w:w="1868" w:type="dxa"/>
            <w:tcBorders>
              <w:top w:val="single" w:sz="12" w:space="0" w:color="auto"/>
            </w:tcBorders>
          </w:tcPr>
          <w:p w14:paraId="677FBBA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Пе-2И</w:t>
            </w:r>
          </w:p>
        </w:tc>
        <w:tc>
          <w:tcPr>
            <w:tcW w:w="1868" w:type="dxa"/>
            <w:tcBorders>
              <w:top w:val="single" w:sz="12" w:space="0" w:color="auto"/>
            </w:tcBorders>
          </w:tcPr>
          <w:p w14:paraId="2A4DCEF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Пе-Збис</w:t>
            </w:r>
          </w:p>
        </w:tc>
        <w:tc>
          <w:tcPr>
            <w:tcW w:w="1868" w:type="dxa"/>
            <w:tcBorders>
              <w:top w:val="single" w:sz="12" w:space="0" w:color="auto"/>
            </w:tcBorders>
          </w:tcPr>
          <w:p w14:paraId="06093AB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Пе-3</w:t>
            </w:r>
          </w:p>
        </w:tc>
      </w:tr>
      <w:tr w:rsidR="005106D0" w:rsidRPr="007224C3" w14:paraId="0415FB5A" w14:textId="77777777">
        <w:tc>
          <w:tcPr>
            <w:tcW w:w="1868" w:type="dxa"/>
          </w:tcPr>
          <w:p w14:paraId="3F4A22D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Дата испытаний</w:t>
            </w:r>
          </w:p>
        </w:tc>
        <w:tc>
          <w:tcPr>
            <w:tcW w:w="1868" w:type="dxa"/>
          </w:tcPr>
          <w:p w14:paraId="1A28766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3.1940</w:t>
            </w:r>
          </w:p>
        </w:tc>
        <w:tc>
          <w:tcPr>
            <w:tcW w:w="1868" w:type="dxa"/>
          </w:tcPr>
          <w:p w14:paraId="1D52A8B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8.1941</w:t>
            </w:r>
          </w:p>
        </w:tc>
        <w:tc>
          <w:tcPr>
            <w:tcW w:w="1868" w:type="dxa"/>
          </w:tcPr>
          <w:p w14:paraId="071EDB1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9.1941</w:t>
            </w:r>
          </w:p>
        </w:tc>
        <w:tc>
          <w:tcPr>
            <w:tcW w:w="1868" w:type="dxa"/>
          </w:tcPr>
          <w:p w14:paraId="45C7785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5.1942</w:t>
            </w:r>
          </w:p>
        </w:tc>
        <w:tc>
          <w:tcPr>
            <w:tcW w:w="1868" w:type="dxa"/>
          </w:tcPr>
          <w:p w14:paraId="1061696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8.1944</w:t>
            </w:r>
          </w:p>
        </w:tc>
      </w:tr>
      <w:tr w:rsidR="005106D0" w:rsidRPr="007224C3" w14:paraId="1C0864E6" w14:textId="77777777">
        <w:tc>
          <w:tcPr>
            <w:tcW w:w="1868" w:type="dxa"/>
          </w:tcPr>
          <w:p w14:paraId="5A58582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Экипаж</w:t>
            </w:r>
          </w:p>
        </w:tc>
        <w:tc>
          <w:tcPr>
            <w:tcW w:w="1868" w:type="dxa"/>
          </w:tcPr>
          <w:p w14:paraId="0A39B8D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tc>
        <w:tc>
          <w:tcPr>
            <w:tcW w:w="1868" w:type="dxa"/>
          </w:tcPr>
          <w:p w14:paraId="6373E0B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tc>
        <w:tc>
          <w:tcPr>
            <w:tcW w:w="1868" w:type="dxa"/>
          </w:tcPr>
          <w:p w14:paraId="6F80046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tc>
        <w:tc>
          <w:tcPr>
            <w:tcW w:w="1868" w:type="dxa"/>
          </w:tcPr>
          <w:p w14:paraId="1D35A0F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tc>
        <w:tc>
          <w:tcPr>
            <w:tcW w:w="1868" w:type="dxa"/>
          </w:tcPr>
          <w:p w14:paraId="2D6BCF9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tc>
      </w:tr>
      <w:tr w:rsidR="005106D0" w:rsidRPr="007224C3" w14:paraId="44E1E7FF" w14:textId="77777777">
        <w:tc>
          <w:tcPr>
            <w:tcW w:w="1868" w:type="dxa"/>
          </w:tcPr>
          <w:p w14:paraId="09137B2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Длина, м</w:t>
            </w:r>
          </w:p>
        </w:tc>
        <w:tc>
          <w:tcPr>
            <w:tcW w:w="1868" w:type="dxa"/>
          </w:tcPr>
          <w:p w14:paraId="4B67AE4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12,69</w:t>
            </w:r>
          </w:p>
        </w:tc>
        <w:tc>
          <w:tcPr>
            <w:tcW w:w="1868" w:type="dxa"/>
          </w:tcPr>
          <w:p w14:paraId="6396AFD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12,66</w:t>
            </w:r>
          </w:p>
        </w:tc>
        <w:tc>
          <w:tcPr>
            <w:tcW w:w="1868" w:type="dxa"/>
          </w:tcPr>
          <w:p w14:paraId="26E4AC3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12,66</w:t>
            </w:r>
          </w:p>
        </w:tc>
        <w:tc>
          <w:tcPr>
            <w:tcW w:w="1868" w:type="dxa"/>
          </w:tcPr>
          <w:p w14:paraId="2DAF7D0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12,66</w:t>
            </w:r>
          </w:p>
        </w:tc>
        <w:tc>
          <w:tcPr>
            <w:tcW w:w="1868" w:type="dxa"/>
          </w:tcPr>
          <w:p w14:paraId="405CD84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12,66</w:t>
            </w:r>
          </w:p>
        </w:tc>
      </w:tr>
      <w:tr w:rsidR="005106D0" w:rsidRPr="007224C3" w14:paraId="212161B1" w14:textId="77777777">
        <w:tc>
          <w:tcPr>
            <w:tcW w:w="1868" w:type="dxa"/>
          </w:tcPr>
          <w:p w14:paraId="298DF11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Размах крыла, м</w:t>
            </w:r>
          </w:p>
        </w:tc>
        <w:tc>
          <w:tcPr>
            <w:tcW w:w="1868" w:type="dxa"/>
          </w:tcPr>
          <w:p w14:paraId="4565BAF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17,15</w:t>
            </w:r>
          </w:p>
        </w:tc>
        <w:tc>
          <w:tcPr>
            <w:tcW w:w="1868" w:type="dxa"/>
          </w:tcPr>
          <w:p w14:paraId="6AC292D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17,13</w:t>
            </w:r>
          </w:p>
        </w:tc>
        <w:tc>
          <w:tcPr>
            <w:tcW w:w="1868" w:type="dxa"/>
          </w:tcPr>
          <w:p w14:paraId="4588E8C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17,13</w:t>
            </w:r>
          </w:p>
        </w:tc>
        <w:tc>
          <w:tcPr>
            <w:tcW w:w="1868" w:type="dxa"/>
          </w:tcPr>
          <w:p w14:paraId="3057C30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17,13</w:t>
            </w:r>
          </w:p>
        </w:tc>
        <w:tc>
          <w:tcPr>
            <w:tcW w:w="1868" w:type="dxa"/>
          </w:tcPr>
          <w:p w14:paraId="31E108F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17,13</w:t>
            </w:r>
          </w:p>
        </w:tc>
      </w:tr>
      <w:tr w:rsidR="005106D0" w:rsidRPr="007224C3" w14:paraId="5010E5C1" w14:textId="77777777">
        <w:tc>
          <w:tcPr>
            <w:tcW w:w="1868" w:type="dxa"/>
          </w:tcPr>
          <w:p w14:paraId="18AD901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Тип двигателей</w:t>
            </w:r>
          </w:p>
        </w:tc>
        <w:tc>
          <w:tcPr>
            <w:tcW w:w="1868" w:type="dxa"/>
          </w:tcPr>
          <w:p w14:paraId="557E164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М-105ТК-3</w:t>
            </w:r>
          </w:p>
        </w:tc>
        <w:tc>
          <w:tcPr>
            <w:tcW w:w="1868" w:type="dxa"/>
          </w:tcPr>
          <w:p w14:paraId="6128892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М-105Р</w:t>
            </w:r>
          </w:p>
        </w:tc>
        <w:tc>
          <w:tcPr>
            <w:tcW w:w="1868" w:type="dxa"/>
          </w:tcPr>
          <w:p w14:paraId="6B22EA0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М-105Р</w:t>
            </w:r>
          </w:p>
        </w:tc>
        <w:tc>
          <w:tcPr>
            <w:tcW w:w="1868" w:type="dxa"/>
          </w:tcPr>
          <w:p w14:paraId="3578B2E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М-105РА</w:t>
            </w:r>
          </w:p>
        </w:tc>
        <w:tc>
          <w:tcPr>
            <w:tcW w:w="1868" w:type="dxa"/>
          </w:tcPr>
          <w:p w14:paraId="727365A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ВК-105ПФ</w:t>
            </w:r>
          </w:p>
        </w:tc>
      </w:tr>
      <w:tr w:rsidR="005106D0" w:rsidRPr="007224C3" w14:paraId="412F76C1" w14:textId="77777777">
        <w:tc>
          <w:tcPr>
            <w:tcW w:w="1868" w:type="dxa"/>
          </w:tcPr>
          <w:p w14:paraId="334B0EA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Мощность двигателей, л.с.,</w:t>
            </w:r>
          </w:p>
        </w:tc>
        <w:tc>
          <w:tcPr>
            <w:tcW w:w="1868" w:type="dxa"/>
          </w:tcPr>
          <w:p w14:paraId="617D177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6F94BE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4E1AE7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0EDF08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3305B6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B4704B9" w14:textId="77777777">
        <w:tc>
          <w:tcPr>
            <w:tcW w:w="1868" w:type="dxa"/>
          </w:tcPr>
          <w:p w14:paraId="54EB990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расчетной высоте</w:t>
            </w:r>
          </w:p>
        </w:tc>
        <w:tc>
          <w:tcPr>
            <w:tcW w:w="1868" w:type="dxa"/>
          </w:tcPr>
          <w:p w14:paraId="6D59EC3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1050</w:t>
            </w:r>
          </w:p>
        </w:tc>
        <w:tc>
          <w:tcPr>
            <w:tcW w:w="1868" w:type="dxa"/>
          </w:tcPr>
          <w:p w14:paraId="2DC7076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1100</w:t>
            </w:r>
          </w:p>
        </w:tc>
        <w:tc>
          <w:tcPr>
            <w:tcW w:w="1868" w:type="dxa"/>
          </w:tcPr>
          <w:p w14:paraId="477451D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1100</w:t>
            </w:r>
          </w:p>
        </w:tc>
        <w:tc>
          <w:tcPr>
            <w:tcW w:w="1868" w:type="dxa"/>
          </w:tcPr>
          <w:p w14:paraId="547460E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1100</w:t>
            </w:r>
          </w:p>
        </w:tc>
        <w:tc>
          <w:tcPr>
            <w:tcW w:w="1868" w:type="dxa"/>
          </w:tcPr>
          <w:p w14:paraId="0FB62F7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1260</w:t>
            </w:r>
          </w:p>
        </w:tc>
      </w:tr>
      <w:tr w:rsidR="005106D0" w:rsidRPr="007224C3" w14:paraId="76FAB632" w14:textId="77777777">
        <w:tc>
          <w:tcPr>
            <w:tcW w:w="1868" w:type="dxa"/>
          </w:tcPr>
          <w:p w14:paraId="4E8D250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расчетная высота, м</w:t>
            </w:r>
          </w:p>
        </w:tc>
        <w:tc>
          <w:tcPr>
            <w:tcW w:w="1868" w:type="dxa"/>
          </w:tcPr>
          <w:p w14:paraId="17D1F54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6600</w:t>
            </w:r>
          </w:p>
        </w:tc>
        <w:tc>
          <w:tcPr>
            <w:tcW w:w="1868" w:type="dxa"/>
          </w:tcPr>
          <w:p w14:paraId="6CBC658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5000</w:t>
            </w:r>
          </w:p>
        </w:tc>
        <w:tc>
          <w:tcPr>
            <w:tcW w:w="1868" w:type="dxa"/>
          </w:tcPr>
          <w:p w14:paraId="12910FF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5000</w:t>
            </w:r>
          </w:p>
        </w:tc>
        <w:tc>
          <w:tcPr>
            <w:tcW w:w="1868" w:type="dxa"/>
          </w:tcPr>
          <w:p w14:paraId="621D671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5000</w:t>
            </w:r>
          </w:p>
        </w:tc>
        <w:tc>
          <w:tcPr>
            <w:tcW w:w="1868" w:type="dxa"/>
          </w:tcPr>
          <w:p w14:paraId="1D08D5B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3850</w:t>
            </w:r>
          </w:p>
        </w:tc>
      </w:tr>
      <w:tr w:rsidR="005106D0" w:rsidRPr="007224C3" w14:paraId="052B8297" w14:textId="77777777">
        <w:tc>
          <w:tcPr>
            <w:tcW w:w="1868" w:type="dxa"/>
          </w:tcPr>
          <w:p w14:paraId="0B2CA6A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Масса пустого, кг</w:t>
            </w:r>
          </w:p>
        </w:tc>
        <w:tc>
          <w:tcPr>
            <w:tcW w:w="1868" w:type="dxa"/>
          </w:tcPr>
          <w:p w14:paraId="4B01621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5887</w:t>
            </w:r>
          </w:p>
        </w:tc>
        <w:tc>
          <w:tcPr>
            <w:tcW w:w="1868" w:type="dxa"/>
          </w:tcPr>
          <w:p w14:paraId="0F1D63B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5730</w:t>
            </w:r>
          </w:p>
        </w:tc>
        <w:tc>
          <w:tcPr>
            <w:tcW w:w="1868" w:type="dxa"/>
          </w:tcPr>
          <w:p w14:paraId="7586A53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5770</w:t>
            </w:r>
          </w:p>
        </w:tc>
        <w:tc>
          <w:tcPr>
            <w:tcW w:w="1868" w:type="dxa"/>
          </w:tcPr>
          <w:p w14:paraId="497D0AF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5858</w:t>
            </w:r>
          </w:p>
        </w:tc>
        <w:tc>
          <w:tcPr>
            <w:tcW w:w="1868" w:type="dxa"/>
          </w:tcPr>
          <w:p w14:paraId="5D1B8E3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1DD47D02" w14:textId="77777777">
        <w:tc>
          <w:tcPr>
            <w:tcW w:w="1868" w:type="dxa"/>
          </w:tcPr>
          <w:p w14:paraId="713D8D9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Полетная масса, кг</w:t>
            </w:r>
          </w:p>
        </w:tc>
        <w:tc>
          <w:tcPr>
            <w:tcW w:w="1868" w:type="dxa"/>
          </w:tcPr>
          <w:p w14:paraId="616D65D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7200</w:t>
            </w:r>
          </w:p>
        </w:tc>
        <w:tc>
          <w:tcPr>
            <w:tcW w:w="1868" w:type="dxa"/>
          </w:tcPr>
          <w:p w14:paraId="3CE8EBB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7860</w:t>
            </w:r>
          </w:p>
        </w:tc>
        <w:tc>
          <w:tcPr>
            <w:tcW w:w="1868" w:type="dxa"/>
          </w:tcPr>
          <w:p w14:paraId="4EA7493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8030</w:t>
            </w:r>
          </w:p>
        </w:tc>
        <w:tc>
          <w:tcPr>
            <w:tcW w:w="1868" w:type="dxa"/>
          </w:tcPr>
          <w:p w14:paraId="02B14B6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8000</w:t>
            </w:r>
          </w:p>
        </w:tc>
        <w:tc>
          <w:tcPr>
            <w:tcW w:w="1868" w:type="dxa"/>
          </w:tcPr>
          <w:p w14:paraId="66A688A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8270</w:t>
            </w:r>
          </w:p>
        </w:tc>
      </w:tr>
      <w:tr w:rsidR="005106D0" w:rsidRPr="007224C3" w14:paraId="73B52248" w14:textId="77777777">
        <w:tc>
          <w:tcPr>
            <w:tcW w:w="1868" w:type="dxa"/>
          </w:tcPr>
          <w:p w14:paraId="7BCC6B2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 скорость, км/ч:</w:t>
            </w:r>
          </w:p>
        </w:tc>
        <w:tc>
          <w:tcPr>
            <w:tcW w:w="1868" w:type="dxa"/>
          </w:tcPr>
          <w:p w14:paraId="6C377E3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7F14BD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EF80EF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D62DD9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4DCBFC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D62FA2B" w14:textId="77777777">
        <w:tc>
          <w:tcPr>
            <w:tcW w:w="1868" w:type="dxa"/>
          </w:tcPr>
          <w:p w14:paraId="06F115D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 земли</w:t>
            </w:r>
          </w:p>
        </w:tc>
        <w:tc>
          <w:tcPr>
            <w:tcW w:w="1868" w:type="dxa"/>
          </w:tcPr>
          <w:p w14:paraId="69DF084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455</w:t>
            </w:r>
          </w:p>
        </w:tc>
        <w:tc>
          <w:tcPr>
            <w:tcW w:w="1868" w:type="dxa"/>
          </w:tcPr>
          <w:p w14:paraId="2C4CA63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444</w:t>
            </w:r>
          </w:p>
        </w:tc>
        <w:tc>
          <w:tcPr>
            <w:tcW w:w="1868" w:type="dxa"/>
          </w:tcPr>
          <w:p w14:paraId="139073F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454</w:t>
            </w:r>
          </w:p>
        </w:tc>
        <w:tc>
          <w:tcPr>
            <w:tcW w:w="1868" w:type="dxa"/>
          </w:tcPr>
          <w:p w14:paraId="27BD1C6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438</w:t>
            </w:r>
          </w:p>
        </w:tc>
        <w:tc>
          <w:tcPr>
            <w:tcW w:w="1868" w:type="dxa"/>
          </w:tcPr>
          <w:p w14:paraId="1CF851B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465</w:t>
            </w:r>
          </w:p>
        </w:tc>
      </w:tr>
      <w:tr w:rsidR="005106D0" w:rsidRPr="007224C3" w14:paraId="64D2C0F0" w14:textId="77777777">
        <w:tc>
          <w:tcPr>
            <w:tcW w:w="1868" w:type="dxa"/>
          </w:tcPr>
          <w:p w14:paraId="5924420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расчетной высоте</w:t>
            </w:r>
          </w:p>
        </w:tc>
        <w:tc>
          <w:tcPr>
            <w:tcW w:w="1868" w:type="dxa"/>
          </w:tcPr>
          <w:p w14:paraId="5F05CA8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538</w:t>
            </w:r>
          </w:p>
        </w:tc>
        <w:tc>
          <w:tcPr>
            <w:tcW w:w="1868" w:type="dxa"/>
          </w:tcPr>
          <w:p w14:paraId="7C36870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535</w:t>
            </w:r>
          </w:p>
        </w:tc>
        <w:tc>
          <w:tcPr>
            <w:tcW w:w="1868" w:type="dxa"/>
          </w:tcPr>
          <w:p w14:paraId="52E74BB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540</w:t>
            </w:r>
          </w:p>
        </w:tc>
        <w:tc>
          <w:tcPr>
            <w:tcW w:w="1868" w:type="dxa"/>
          </w:tcPr>
          <w:p w14:paraId="0E51B26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530</w:t>
            </w:r>
          </w:p>
        </w:tc>
        <w:tc>
          <w:tcPr>
            <w:tcW w:w="1868" w:type="dxa"/>
          </w:tcPr>
          <w:p w14:paraId="6F3524D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527</w:t>
            </w:r>
          </w:p>
        </w:tc>
      </w:tr>
      <w:tr w:rsidR="005106D0" w:rsidRPr="007224C3" w14:paraId="3F822C12" w14:textId="77777777">
        <w:tc>
          <w:tcPr>
            <w:tcW w:w="1868" w:type="dxa"/>
          </w:tcPr>
          <w:p w14:paraId="0440B4F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Практический потолок, м</w:t>
            </w:r>
          </w:p>
        </w:tc>
        <w:tc>
          <w:tcPr>
            <w:tcW w:w="1868" w:type="dxa"/>
          </w:tcPr>
          <w:p w14:paraId="416C4D2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2D821E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868" w:type="dxa"/>
          </w:tcPr>
          <w:p w14:paraId="6898EA1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9500</w:t>
            </w:r>
          </w:p>
        </w:tc>
        <w:tc>
          <w:tcPr>
            <w:tcW w:w="1868" w:type="dxa"/>
          </w:tcPr>
          <w:p w14:paraId="4D58578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9100</w:t>
            </w:r>
          </w:p>
        </w:tc>
        <w:tc>
          <w:tcPr>
            <w:tcW w:w="1868" w:type="dxa"/>
          </w:tcPr>
          <w:p w14:paraId="5122CF9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8800</w:t>
            </w:r>
          </w:p>
        </w:tc>
      </w:tr>
      <w:tr w:rsidR="005106D0" w:rsidRPr="007224C3" w14:paraId="04F4B468" w14:textId="77777777">
        <w:tc>
          <w:tcPr>
            <w:tcW w:w="1868" w:type="dxa"/>
          </w:tcPr>
          <w:p w14:paraId="7FE1771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Дальность полета, км</w:t>
            </w:r>
          </w:p>
        </w:tc>
        <w:tc>
          <w:tcPr>
            <w:tcW w:w="1868" w:type="dxa"/>
          </w:tcPr>
          <w:p w14:paraId="07A1C0C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1400'</w:t>
            </w:r>
          </w:p>
        </w:tc>
        <w:tc>
          <w:tcPr>
            <w:tcW w:w="1868" w:type="dxa"/>
          </w:tcPr>
          <w:p w14:paraId="636DB15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2150</w:t>
            </w:r>
          </w:p>
        </w:tc>
        <w:tc>
          <w:tcPr>
            <w:tcW w:w="1868" w:type="dxa"/>
          </w:tcPr>
          <w:p w14:paraId="023A2E8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1780</w:t>
            </w:r>
          </w:p>
        </w:tc>
        <w:tc>
          <w:tcPr>
            <w:tcW w:w="1868" w:type="dxa"/>
          </w:tcPr>
          <w:p w14:paraId="0D17C08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2000</w:t>
            </w:r>
          </w:p>
        </w:tc>
        <w:tc>
          <w:tcPr>
            <w:tcW w:w="1868" w:type="dxa"/>
          </w:tcPr>
          <w:p w14:paraId="6342639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1650</w:t>
            </w:r>
          </w:p>
        </w:tc>
      </w:tr>
      <w:tr w:rsidR="005106D0" w:rsidRPr="007224C3" w14:paraId="317B4D6B" w14:textId="77777777">
        <w:tc>
          <w:tcPr>
            <w:tcW w:w="1868" w:type="dxa"/>
          </w:tcPr>
          <w:p w14:paraId="3AB9A25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Время набора 5000 м, мин</w:t>
            </w:r>
          </w:p>
        </w:tc>
        <w:tc>
          <w:tcPr>
            <w:tcW w:w="1868" w:type="dxa"/>
          </w:tcPr>
          <w:p w14:paraId="7E94E18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6,8/4000 м</w:t>
            </w:r>
          </w:p>
        </w:tc>
        <w:tc>
          <w:tcPr>
            <w:tcW w:w="1868" w:type="dxa"/>
          </w:tcPr>
          <w:p w14:paraId="309CEBA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9,0</w:t>
            </w:r>
          </w:p>
        </w:tc>
        <w:tc>
          <w:tcPr>
            <w:tcW w:w="1868" w:type="dxa"/>
          </w:tcPr>
          <w:p w14:paraId="0F09705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8,5</w:t>
            </w:r>
          </w:p>
        </w:tc>
        <w:tc>
          <w:tcPr>
            <w:tcW w:w="1868" w:type="dxa"/>
          </w:tcPr>
          <w:p w14:paraId="78285B9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9,65</w:t>
            </w:r>
          </w:p>
        </w:tc>
        <w:tc>
          <w:tcPr>
            <w:tcW w:w="1868" w:type="dxa"/>
          </w:tcPr>
          <w:p w14:paraId="3F4E14A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13BD1A16" w14:textId="77777777">
        <w:tc>
          <w:tcPr>
            <w:tcW w:w="1868" w:type="dxa"/>
          </w:tcPr>
          <w:p w14:paraId="6255DA4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Вооружение стрелковое</w:t>
            </w:r>
          </w:p>
        </w:tc>
        <w:tc>
          <w:tcPr>
            <w:tcW w:w="1868" w:type="dxa"/>
          </w:tcPr>
          <w:p w14:paraId="12A4094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2хШВАК</w:t>
            </w:r>
          </w:p>
        </w:tc>
        <w:tc>
          <w:tcPr>
            <w:tcW w:w="1868" w:type="dxa"/>
          </w:tcPr>
          <w:p w14:paraId="3A0390D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2хБК</w:t>
            </w:r>
          </w:p>
        </w:tc>
        <w:tc>
          <w:tcPr>
            <w:tcW w:w="1868" w:type="dxa"/>
          </w:tcPr>
          <w:p w14:paraId="35D8C24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2хШВАК</w:t>
            </w:r>
          </w:p>
        </w:tc>
        <w:tc>
          <w:tcPr>
            <w:tcW w:w="1868" w:type="dxa"/>
          </w:tcPr>
          <w:p w14:paraId="57A2EC4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1хШВАК</w:t>
            </w:r>
          </w:p>
        </w:tc>
        <w:tc>
          <w:tcPr>
            <w:tcW w:w="1868" w:type="dxa"/>
          </w:tcPr>
          <w:p w14:paraId="204F0D4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IxLUBAK</w:t>
            </w:r>
          </w:p>
        </w:tc>
      </w:tr>
      <w:tr w:rsidR="005106D0" w:rsidRPr="007224C3" w14:paraId="68FD4AFE" w14:textId="77777777">
        <w:tc>
          <w:tcPr>
            <w:tcW w:w="1868" w:type="dxa"/>
          </w:tcPr>
          <w:p w14:paraId="589E87C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4CC73B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ЗхШКАС</w:t>
            </w:r>
          </w:p>
        </w:tc>
        <w:tc>
          <w:tcPr>
            <w:tcW w:w="1868" w:type="dxa"/>
          </w:tcPr>
          <w:p w14:paraId="42807F8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2хШКАС</w:t>
            </w:r>
          </w:p>
        </w:tc>
        <w:tc>
          <w:tcPr>
            <w:tcW w:w="1868" w:type="dxa"/>
          </w:tcPr>
          <w:p w14:paraId="56A88F5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2хБК</w:t>
            </w:r>
          </w:p>
        </w:tc>
        <w:tc>
          <w:tcPr>
            <w:tcW w:w="1868" w:type="dxa"/>
          </w:tcPr>
          <w:p w14:paraId="1B90EDA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ЗхУБК</w:t>
            </w:r>
          </w:p>
        </w:tc>
        <w:tc>
          <w:tcPr>
            <w:tcW w:w="1868" w:type="dxa"/>
          </w:tcPr>
          <w:p w14:paraId="21F9033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2хУБК</w:t>
            </w:r>
          </w:p>
        </w:tc>
      </w:tr>
      <w:tr w:rsidR="005106D0" w:rsidRPr="007224C3" w14:paraId="507437C2" w14:textId="77777777">
        <w:tc>
          <w:tcPr>
            <w:tcW w:w="1868" w:type="dxa"/>
          </w:tcPr>
          <w:p w14:paraId="5832CF5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048E0A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6DF01F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45A58E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1хШКАС</w:t>
            </w:r>
          </w:p>
        </w:tc>
        <w:tc>
          <w:tcPr>
            <w:tcW w:w="1868" w:type="dxa"/>
          </w:tcPr>
          <w:p w14:paraId="7910CA5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1хШКАС</w:t>
            </w:r>
          </w:p>
        </w:tc>
        <w:tc>
          <w:tcPr>
            <w:tcW w:w="1868" w:type="dxa"/>
          </w:tcPr>
          <w:p w14:paraId="142E54B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52ED68B" w14:textId="77777777">
        <w:tc>
          <w:tcPr>
            <w:tcW w:w="1868" w:type="dxa"/>
            <w:tcBorders>
              <w:bottom w:val="single" w:sz="12" w:space="0" w:color="auto"/>
            </w:tcBorders>
          </w:tcPr>
          <w:p w14:paraId="158BFA6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Нормальная бомбовая нагрузка, кг</w:t>
            </w:r>
          </w:p>
        </w:tc>
        <w:tc>
          <w:tcPr>
            <w:tcW w:w="1868" w:type="dxa"/>
            <w:tcBorders>
              <w:bottom w:val="single" w:sz="12" w:space="0" w:color="auto"/>
            </w:tcBorders>
          </w:tcPr>
          <w:p w14:paraId="3612DF1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1000?</w:t>
            </w:r>
          </w:p>
        </w:tc>
        <w:tc>
          <w:tcPr>
            <w:tcW w:w="1868" w:type="dxa"/>
            <w:tcBorders>
              <w:bottom w:val="single" w:sz="12" w:space="0" w:color="auto"/>
            </w:tcBorders>
          </w:tcPr>
          <w:p w14:paraId="0D06729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7003</w:t>
            </w:r>
          </w:p>
        </w:tc>
        <w:tc>
          <w:tcPr>
            <w:tcW w:w="1868" w:type="dxa"/>
            <w:tcBorders>
              <w:bottom w:val="single" w:sz="12" w:space="0" w:color="auto"/>
            </w:tcBorders>
          </w:tcPr>
          <w:p w14:paraId="4B66EBE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200*</w:t>
            </w:r>
          </w:p>
        </w:tc>
        <w:tc>
          <w:tcPr>
            <w:tcW w:w="1868" w:type="dxa"/>
            <w:tcBorders>
              <w:bottom w:val="single" w:sz="12" w:space="0" w:color="auto"/>
            </w:tcBorders>
          </w:tcPr>
          <w:p w14:paraId="467445E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7003</w:t>
            </w:r>
          </w:p>
        </w:tc>
        <w:tc>
          <w:tcPr>
            <w:tcW w:w="1868" w:type="dxa"/>
            <w:tcBorders>
              <w:bottom w:val="single" w:sz="12" w:space="0" w:color="auto"/>
            </w:tcBorders>
          </w:tcPr>
          <w:p w14:paraId="75AB3C2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5002</w:t>
            </w:r>
          </w:p>
        </w:tc>
      </w:tr>
    </w:tbl>
    <w:p w14:paraId="30E9657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Расчетная величина</w:t>
      </w:r>
    </w:p>
    <w:p w14:paraId="04E57CD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В перегрузку на наружной полнеске</w:t>
      </w:r>
    </w:p>
    <w:p w14:paraId="72F20C7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В перегрузку на наружной подвеске и н мотогонлольных бомбоотееках</w:t>
      </w:r>
    </w:p>
    <w:p w14:paraId="4AD4B6A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В мотогонлольных бомбоотееках (12042).</w:t>
      </w:r>
    </w:p>
    <w:p w14:paraId="5D6EF4F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04B85D3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1944 закончились заводские летные испытания самолета Пе-2 с новыми моторами М-1, которые шли с ноября 1943. В акте по испытаниям отмечалось, что данные могут быть еще улучшены. Для этого на самолете следовало реализовать комплекс мер по совершенствованию аэродинамики, предложенный ЦАГИ и осуществленный на Пе-2Б. Однако наркомат авиапромышленности уже связал свои планы с моторами М-107А. Запускать в производство сразу два новых двигателя жидкостного охлаждения было неразумно. Поэтому у Пе-2 с М-1 шансов на серию не осталось (4476).</w:t>
      </w:r>
    </w:p>
    <w:p w14:paraId="2FDD6E6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E2758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1944 г. закончились испытания Пе-2 с М-1, которые проходили с ноября 1943. Этот мотор, созданный на заводе № 16, представлял собой на мотогондоле самолета непосредственное развитие М-105 с сохранением его внешних форм и основных размеров (диаметр цилиндров был все же незначительно увеличен). По расчетам, M-l должен был обеспечивать максимальную мощность 1500 л.с. у земли и 1300 л.с. на второй границе высотности 5000 м.</w:t>
      </w:r>
    </w:p>
    <w:p w14:paraId="76C3E11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установки новых многообещающих моторов завод выделил серийный Пе-2 зав. № 12/224. После выполненных переделок мотогондолы "пешки" заметно изменились внешне. Так, выхлопные патрубки переместились с боковых поверхностей капота на верхнюю, вместо двух симметрично расположенных всасывающих патрубков нагнетателя смонтировали один увеличенный слева от мотора. Появились также специальные кожухи для продува пространства внутри развала моторов, где монтировались свечи, генератор ГС-1000 и другие агрегаты.</w:t>
      </w:r>
    </w:p>
    <w:p w14:paraId="539FCEE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Испытания проводил заводской летчик Кондырев. Самолет с более мощными двигателями показал очень неплохие летные данные: максимальную скорость 475 км/ч у земли и 562 км/ч на высоте 6000 м при нормальной полетной массе 8300 кг. Время подъема на высоту 5000 м сократилось по сравнению с серийным на 2,6 мин.</w:t>
      </w:r>
    </w:p>
    <w:p w14:paraId="34D25FB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акте отмечалось, что полученные данные могут быть улучшены. Для этого на самолете следовало реализовать комплекс мер по совершенствованию аэродинамики, предложенный ЦАГИ и осуществленный на Пе-2Б. Однако наркомат авиапромышленности уже связал свои перспективные планы с моторами M-I07A, а запускать в производство сразу два новых двигателя жидкостного охлаждения было неразумно, поэтому у Пе-2 с М-1 шансов на серию не осталось.</w:t>
      </w:r>
    </w:p>
    <w:p w14:paraId="05AE045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Зато предпринимались попытки кратковременно повысить мощность обычных серийных моторов М-105ПФ за счет впрыска воды во всасывающие патрубки нагнетателей. Для проведения опытов был выделен Пе-2 зав. № 14/226. Результаты оказались неважными, поэтому самолет весной 1944 г. снова переоборудовали, но уже с другой целью. Сущность модификации заключалась в следующем:</w:t>
      </w:r>
    </w:p>
    <w:p w14:paraId="7FE9147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носок консольной части крыла до 25% хорды заменялся профилем NACA 230;</w:t>
      </w:r>
    </w:p>
    <w:p w14:paraId="2BC2B5B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переделывались законцовки консолей, в связи с чем размах крыла возрастал на 0,92 м, а площадь на 0,848 м!;</w:t>
      </w:r>
    </w:p>
    <w:p w14:paraId="67C1952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изменялся передний лонжерон, средние части нервюр и входная часть тоннелей водорадиаторов.</w:t>
      </w:r>
    </w:p>
    <w:p w14:paraId="0882EB8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результате испытаний, законченных в мае 1944 г., установили, что модифицированное крыло заметно улучшало летно-техниче- ские свойства "пешки", особенно на малых скоростях. Упростилось поведение самолета при посадке, он перестал валиться на крыло, уверенно летал на одном моторе. Новый профиль консолей плюс усовершенствованная технология отделки крыла в совокупности "добавили" машине 100 км дальности, способствовали увеличению потолка на 500 м и уменьшению длины разбега на 40 м.</w:t>
      </w:r>
    </w:p>
    <w:p w14:paraId="219374E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сожалению, и это техническое решение несмотря на положительную оценку НИИ ВВС, осталось не внедренным в серию. Причина все та же нежелание руководства наркомата авиапромышленности принимать назревшие, но "слишком радикальные" решения. Нарком А.И. Шахурин не отважился санкционировать переход на новое крыло, что неизбежно привело бы к замене части технологического оборудования и временному снижению темпов выпуска "пешек"...</w:t>
      </w:r>
    </w:p>
    <w:p w14:paraId="30F7FB3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Заметим, что нарком имел объективные причины опасаться за снабжение авиации КА фронтовыми бомбардировщиками. Летом 1943 г. правительство США в одностороннем порядке пересмотрело заказ фирме "Дуглас", поставлявшей для американских, английских и советских ВВС бомбардировщик-штурмовик А-20 (у нас его многочисленные варианты называли "Бостон", хотя сами американцы предпочитали другое наименование - "Хэвок"). Заокеанские предприятия перешли на выпуск преимущественно модификации A-20G, не соответствовавшей запросам ВВС КА в связи с отсутствием штурмана в составе экипажа. Накануне нового, 1944 г. в НКАП и ГКО оживленно обсуждалась возможность и целесообразность отказа от поставок "Бостонов" (12042).</w:t>
      </w:r>
    </w:p>
    <w:p w14:paraId="346C284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3452A68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1944 ОКБ завода 22 в Казани, возглавляемое В.М.М., получило задание на разработку нового фронтового бомбардировщика со скоростью полета на 100 км/ч больше, чем строевые (у Пе-2 было 500-530 км/ч). Для ускорения внедрения решили использовать имеющуюся оснастку и стали делать Пе-2И - двухместного бомбардировщика. Сделали за 63 дня (1086,20).</w:t>
      </w:r>
    </w:p>
    <w:p w14:paraId="61CA73D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CBA653" w14:textId="77777777" w:rsidR="00FC46A1" w:rsidRPr="007224C3" w:rsidRDefault="00FC46A1" w:rsidP="007224C3">
      <w:pPr>
        <w:pStyle w:val="ae"/>
        <w:shd w:val="clear" w:color="auto" w:fill="FFFFFF"/>
        <w:spacing w:before="0" w:after="0"/>
        <w:jc w:val="both"/>
        <w:rPr>
          <w:color w:val="000000" w:themeColor="text1"/>
          <w:sz w:val="16"/>
          <w:szCs w:val="16"/>
        </w:rPr>
      </w:pPr>
      <w:r w:rsidRPr="007224C3">
        <w:rPr>
          <w:color w:val="000000" w:themeColor="text1"/>
          <w:sz w:val="16"/>
          <w:szCs w:val="16"/>
        </w:rPr>
        <w:t>В феврале 1944 г. ОКБ Казанского авиационного завода № 22, возглавляемое В.М. Мясищевым, получило задание сроч но разработать новый фронтовой бомбардировщик, обладающий скоростью полета как минимум на 100 км/ч большей, чем у самолетов этого класса, стоящих на вооружении. В то время наибольшая скорость серийных Пе-2 не превышала 500...530 км/ч.</w:t>
      </w:r>
    </w:p>
    <w:p w14:paraId="55B88B1A" w14:textId="77777777" w:rsidR="00FC46A1" w:rsidRPr="007224C3" w:rsidRDefault="00FC46A1" w:rsidP="007224C3">
      <w:pPr>
        <w:pStyle w:val="ae"/>
        <w:shd w:val="clear" w:color="auto" w:fill="FFFFFF"/>
        <w:spacing w:before="0" w:after="0"/>
        <w:jc w:val="both"/>
        <w:rPr>
          <w:color w:val="000000" w:themeColor="text1"/>
          <w:sz w:val="16"/>
          <w:szCs w:val="16"/>
        </w:rPr>
      </w:pPr>
      <w:r w:rsidRPr="007224C3">
        <w:rPr>
          <w:color w:val="000000" w:themeColor="text1"/>
          <w:sz w:val="16"/>
          <w:szCs w:val="16"/>
        </w:rPr>
        <w:t>Для ускорения создания и внедрения новой модели в производство приходилось рассчитывать лишь на использование технологической оснастки серийного завода. Поэтому при раз работке более скоростной машины конструкторы взяли за основу самолет Пе-2. Первый опытный экземпляр нового двухместного бомбардировщика Пе-2И был спроектирован и построен за 63 дня. Его испытания (летчик-испытатель К.И. Жданов и ведущий инженер Г.Н. Назаров) были начаты в мае 1944 г. и показали, что усовершенствованная машина отвечает предъявленным требованиям. С бомбовой нагрузкой в 500 кг самолет развивал скорость 556 км/ч в полете у земли, 617 км/ч на вы соте 2950 м и 656 км/ч на высоте 5650 м.</w:t>
      </w:r>
    </w:p>
    <w:p w14:paraId="23BD5331" w14:textId="77777777" w:rsidR="00FC46A1" w:rsidRPr="007224C3" w:rsidRDefault="00FC46A1" w:rsidP="007224C3">
      <w:pPr>
        <w:pStyle w:val="ae"/>
        <w:shd w:val="clear" w:color="auto" w:fill="FFFFFF"/>
        <w:spacing w:before="0" w:after="0"/>
        <w:jc w:val="both"/>
        <w:rPr>
          <w:color w:val="000000" w:themeColor="text1"/>
          <w:sz w:val="16"/>
          <w:szCs w:val="16"/>
        </w:rPr>
      </w:pPr>
      <w:r w:rsidRPr="007224C3">
        <w:rPr>
          <w:color w:val="000000" w:themeColor="text1"/>
          <w:sz w:val="16"/>
          <w:szCs w:val="16"/>
        </w:rPr>
        <w:t>Дальность полета самолета Пе-2И оказалась большей, чем у серийного самолета на 1000 км, и составляла 2275 км. Высоту 5000 м он набирал за 7 мин, т.е. быстрее исходной машины на 2,5 мин.</w:t>
      </w:r>
    </w:p>
    <w:p w14:paraId="312D441C" w14:textId="77777777" w:rsidR="00FC46A1" w:rsidRPr="007224C3" w:rsidRDefault="00FC46A1" w:rsidP="007224C3">
      <w:pPr>
        <w:pStyle w:val="ae"/>
        <w:shd w:val="clear" w:color="auto" w:fill="FFFFFF"/>
        <w:spacing w:before="0" w:after="0"/>
        <w:jc w:val="both"/>
        <w:rPr>
          <w:color w:val="000000" w:themeColor="text1"/>
          <w:sz w:val="16"/>
          <w:szCs w:val="16"/>
        </w:rPr>
      </w:pPr>
      <w:r w:rsidRPr="007224C3">
        <w:rPr>
          <w:color w:val="000000" w:themeColor="text1"/>
          <w:sz w:val="16"/>
          <w:szCs w:val="16"/>
        </w:rPr>
        <w:t xml:space="preserve">Новый скоростной бомбардировщик, способный наносить удары по наземным целям с горизонтального полета и с пикирования, отличался от прототипа более высокой энерговооруженностью, а также более совершенной внешней и внутренней аэродинамикой. Помимо улучшения летных данных это позво лило значительно повысить самый главный показатель боевого летательного аппарата — бомбовую нагрузку. Одновременного роста перечисленных выше характеристик удалось </w:t>
      </w:r>
      <w:r w:rsidRPr="007224C3">
        <w:rPr>
          <w:color w:val="000000" w:themeColor="text1"/>
          <w:sz w:val="16"/>
          <w:szCs w:val="16"/>
        </w:rPr>
        <w:lastRenderedPageBreak/>
        <w:t>достичь в результате проведения ряда мероприятий и нововведений. Мо торы М-105ПФ были заменены ВК-107А значительно большей мощности (1650/1450 л.с. против 1210/1180 л.с). Крыло получило новые теоретические контуры, образованные из дужек улучшенных скоростных профилей. От носка до переднего лонжерона— «NACA-23012» и до задней кромки— профиль •B-BS». Вместо низкопланной схемы самолет получил среднее расположение крыла относительно фюзеляжа. Крыло было при поднято с целью размещения под его центропланом более вместительного бомбового отсека, позволяющего нести авиабомбу калибром в 1000 кг, для ударов по мощным фортификационным сооружениям противника, крупным наземным и морским целям (19586).</w:t>
      </w:r>
    </w:p>
    <w:p w14:paraId="309AC0B0" w14:textId="77777777" w:rsidR="00FC46A1" w:rsidRPr="007224C3" w:rsidRDefault="00FC46A1" w:rsidP="007224C3">
      <w:pPr>
        <w:pStyle w:val="ae"/>
        <w:shd w:val="clear" w:color="auto" w:fill="FFFFFF"/>
        <w:spacing w:before="0" w:after="0"/>
        <w:jc w:val="both"/>
        <w:rPr>
          <w:color w:val="000000" w:themeColor="text1"/>
          <w:sz w:val="16"/>
          <w:szCs w:val="16"/>
        </w:rPr>
      </w:pPr>
    </w:p>
    <w:p w14:paraId="3BDEE39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1944 в Казани на 22 заводе выпустили головной серийный новый Пе-3, на котором оставили старое крыло и сохранили турель ВУБ-1, вместо 2-х поставили одну пушку под фюзеляжем и сохранили ВУБ-1. Хотели вместо ШКАС в коке поставить ДЭУ-1 с УБ, но не смогли довести и заменили 2хДАГ-10. За 1 кв. Собрали 19, но ВВС их не приняли (2475,19).</w:t>
      </w:r>
    </w:p>
    <w:p w14:paraId="70CE3F3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5D257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1944 был готов первый Пе-3 новой модификации со стрелковой установкой ФЗ, но сильно отличался от макета, предъявленного в ноябре 1943 (235,6).</w:t>
      </w:r>
    </w:p>
    <w:p w14:paraId="1773D88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4725C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1944 г. в НИИ ВВС испытали Головной серийный самолет Пе-2 с М-82Ф. Из-за неудовлетворительной работы карбюраторов и высотных корректоров двигатели на высоте более 3000-4000 м не использовались на полную мощность, поэтому максимальная скорость самолета на второй границе высотности оказалась меньше, чем на первой границе (526 км/час). Главных же причин, сдерживавших серийный выпуск, было две: нехватка двигателей М-82Ф и очень низкое качество маслорадиаторов (3542).</w:t>
      </w:r>
    </w:p>
    <w:p w14:paraId="0E8263D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3C3F2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1944 закончились заводские испытания Пе-2 - переделанного серийного N 12/224 с М-1 - развитием М-105 и вышел акт. Летал Кондырев (2205,43).</w:t>
      </w:r>
    </w:p>
    <w:p w14:paraId="114FF9D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31515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1944 г. в ходе боевого вылета на бомбёжку Хельсинки был выявлен опасный дефект конструкции Пе-8. Экипаж, выполняя противозенитный манёвр, услышал звучный удар где-то позади кабины пилотов. Машина благополучно долетела до своего аэродрома и совершила посадку. После приземления самолёт тщательно осмотрели, но ничего не нашли.</w:t>
      </w:r>
    </w:p>
    <w:p w14:paraId="3309C64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Спустя некоторое время такой же удар и приблизительно в том же месте зафиксировал экипаж, перегонявший Пе-8 на завод в Казань. При тщательном осмотре центроплана на этой машине удалось обнаружить след незначительного (на 1 - 2 мм) сдвига нижнего пояса заднего лонжерона по отношению к обойме центрального узла крепления подкосов - как раз позади кабины. Причиной мог быть разрыв трубы, что и подтвердилось при разборке. Перед Незвалем и его коллегами предстала труба, разорванная по крайнему ряду заклёпок. Разрыв был очень ровный и чистый, как обрезанный. То же выявилось и на первом Пе-8.</w:t>
      </w:r>
    </w:p>
    <w:p w14:paraId="1908659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Проверили расчёты и убедились, что напряжения не только не превышают допустимых значений, но и имеется достаточный запас прочности. Дальше копаться не стали и приняли решение о местном усилении конструкции. На части парка бомбардировщиков провели доработки, а у остальных машин ограничили бомбовую нагрузку 3200 кг. Случаи разрыва труб лонжеронов прекратились и о проблеме вскоре забыли.</w:t>
      </w:r>
    </w:p>
    <w:p w14:paraId="722D21F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 на самом деле причина разрушений была иной. Для поясов лонжеронов центроплана по рекомендации ВИАМ была в своё время выбрана сталь ЗОХГСА. Исследования, проведённые Н.И. Мариным, показали, что, работая при высоких напряжениях, она склонна к усталостным разрушениям и при этом обладает очень низким ресурсом. Ничего не оставалось делать, как снижать напряжения в лонжеронах. Переходить на другой сортамент труб было нереально, поэтому через трубы пропустили дополнительные стальные элементы с довольно сложной системой крепления их к узлам лонжеронов. Завод изготовил требуемые детали и специальный инструмент, а заводская бригада совместно с техническим составом провела необходимые доработки Пе-8.</w:t>
      </w:r>
    </w:p>
    <w:p w14:paraId="487E27E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 до прекращения производства за 1944 г. выпустили 14 самолётов с М-82 и четыре - с дизелями, включая два Пе-8ОН (11996).</w:t>
      </w:r>
    </w:p>
    <w:p w14:paraId="2ACE855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4FDE371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1944 построили десять Ер-2 и 20 Ил-4, в марте - восемнадцать Ер-2 и пятнадцать Ил-4. В июле 1944 г. было построено тридцать Ер-2 параллельно с последними десятью Ил-4.</w:t>
      </w:r>
    </w:p>
    <w:p w14:paraId="1AF3669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сравнению со своим предшественником, дизельный образец Ер-2 внешне отличался более вытянутыми обводами фюзеляжа, роговой компенсацией рулей поворота, большими колесами, несколько измененной конструкцией жалюзей тоннельных радиаторов и, соответственно, крыла (на носках консолей появились характерные "стаканчики").</w:t>
      </w:r>
    </w:p>
    <w:p w14:paraId="06B25E8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Иркутский вариант Ер-2 имел увеличенную взлетную массу и площадь крыла, усиленное оборонительное вооружение, состоявшее из двух крупнокалиберных пулеметов УБТ и УБК, а также пушки ШВАК на ту- рельной установке ТУМ-5. Максимальная бомбовая нагрузка возросла до 5000 кг, сделав Ер-2 самым мощным двухмоторным бомбардировщиком отечественной постройки.</w:t>
      </w:r>
    </w:p>
    <w:p w14:paraId="03E248E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Строившиеся серийные самолеты отнюдь не были "близнецами" и между собой. Так длительная и сложная технология изготовления эллипсовидной носовой части и, соответственно, жесткие требования к сборочной оснастке и геометрическим контурам, побудили конструкторов изменить обводы штурманской кабины.</w:t>
      </w:r>
    </w:p>
    <w:p w14:paraId="1B146FB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Был разработан вариант "со спрямленным носом", позволявший, в частности, упростить и ускорить изготовление остекления. Аэродинамика при этом не ухудшилась. Комплект упрощенных стапелей запустили в производство параллельно с уже использующейся старой оснасткой. Самолет, в зависимости от того, на какую линию сборки он попадал, мог получить разные носовые части. Таким образом, различия в иркутских машинах, которые можно видеть на сохранившихся фотоснимках, объясняются этой причиной, а не временем выпуска и серией машины. Например, уже среди первых 22 иркутских Ер-2 с симметричной кабиной пилота, часть самолетов имела новую носовую часть.</w:t>
      </w:r>
    </w:p>
    <w:p w14:paraId="7A0D604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Поскольку еще в начале войны опыт использования самолетов ДБ-3, Ил-4 и Ер-2 в составе АДД выявил необходимость иметь в составе экипажа дальнего бомбардировщика второго летчика, возобновление производства Ер-2 дало благоприятную возможность реализовать это требование. Ранее были разработаны два варианта двухместной кабины: в первом - летчики сидели друг за другом по схеме "таtщем ", под доработа11 - ным ассиметричным фонарем, во втором - их кресла стояли рядом, боковое обзорное остекление правого борта устранялось и самолет оснащался классическим фонарем (этот вариант В.Г. Ермолаев и утвердил 18 ноября 1943 г.).</w:t>
      </w:r>
    </w:p>
    <w:p w14:paraId="6E330CC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Варианты самолета имели, соответственно, наименования Ер-1 и Ер-2, что вносило путаницу в директивную конструкторско-тех- нологическую документацию. В производстве еще находился исходный "одноместный" бомбардировщик Ер-2, а службам подготовки уже стала поступать документация на "двухместный" Ер-1, потом на "двухместный" Ер-2!</w:t>
      </w:r>
    </w:p>
    <w:p w14:paraId="377E4D1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Когда же дошла директива "о приостановке работ над самолетом "Ер-1", руководство завода, для наведения ясности "в обозначении производимых изделий", временно ввело для "внутреннего пользования" свои индексы. Исходный "одноместный" бомбардировщик с асимметричной кабиной именовался Ер-2/1, новый, "двухместный" - Ер-2/2. Позже, когда в производстве остался только самолет с двумя летчиками, надобность в этих индексах отпала и вернулись к первоначальному обозначению Ер-2.</w:t>
      </w:r>
    </w:p>
    <w:p w14:paraId="035F5B1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Бомбардировщик нравился строевым летчикам за его удобную кабину с отличным обзором, хорошую устойчивость и легкость в управлении, высокую живучесть, значительно возросшие возможности стрелкового и бомбового вооружения. Иркутские "Ермошки" интенсивно использовались на северо-западном и прибалтийском направлениях. В частности, своими крупнокалиберными бомбами они внесли существенный вклад в успех штурма Кенигсберга.</w:t>
      </w:r>
    </w:p>
    <w:p w14:paraId="7C3774D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Дизельные двигатели АЧ-ЗОБ, официально считавшимися вполне надежными для серии, не переставали подбрасывать проблемы. Выходила из строя масляная система, прогорали поршневые кольца и т.п. Но зачастую причинами отказов были отнюдь не конструктивные дефекты. Для многих двигателей использовался металл, содержащий некачественные заменители дефицитных легирующих добавок, доставлявшихся из-за рубежа. "Эрзац" не выдерживал иногда даже штатной "напряженной" работы, не говоря уже о форсированных режимах... Это явилось причиной некоторых аварий на перегонах Ер-2 в строевые части, а также ряда вынужденных посадок на заводских испытаниях.</w:t>
      </w:r>
    </w:p>
    <w:p w14:paraId="768A98B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Например, на опытной машине, оснащенной флюгерными винтами, предполагалось проверить их работу при отключаемых двигателях. Новый вариант Ер-2 испытывал экипаж завода № 39 - летчик И.П. Яшин, контрольный бортмеханик П.Ф. Крейсик и бортрадист В.И. Кишкин. В воздухе левый дизель "решил играть честно" - масляная система вышла из строя и флюгировать винт пришлось в реальной аварийной ситуации. С одним работающим двигателем возникла резкая тряска и экипажу была дана команда покинуть самолет, но Яшин и Крейсик, предупредив радиста, дотянули все-таки до заводского аэродрома (12037).</w:t>
      </w:r>
    </w:p>
    <w:p w14:paraId="3E10EC3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2A429DB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февраля 1944 г. начались заводские испытания АШ-83 (АШ-83ФН) - дальнейшее развитие АШ-82ФН с форсированием по наддуву и оборо</w:t>
      </w:r>
      <w:r w:rsidRPr="007224C3">
        <w:rPr>
          <w:rFonts w:ascii="Times New Roman" w:hAnsi="Times New Roman"/>
          <w:color w:val="000000" w:themeColor="text1"/>
          <w:sz w:val="16"/>
          <w:szCs w:val="16"/>
        </w:rPr>
        <w:softHyphen/>
        <w:t>там. Изменен носок картера, усилен коленвал, увеличен диаметр крыльчат</w:t>
      </w:r>
      <w:r w:rsidRPr="007224C3">
        <w:rPr>
          <w:rFonts w:ascii="Times New Roman" w:hAnsi="Times New Roman"/>
          <w:color w:val="000000" w:themeColor="text1"/>
          <w:sz w:val="16"/>
          <w:szCs w:val="16"/>
        </w:rPr>
        <w:softHyphen/>
        <w:t>ки ПЦН, на крыльчатке ликвидированы вырезы, гильза параболического профиля (позднее с технологическим сужением) с усиленным фланцем, небольшие изменения в механизме газораспределения и маслосистеме. Новый агрегат непосредственного впрыска В ноябре того же года мотор успешно прошел гос</w:t>
      </w:r>
      <w:r w:rsidRPr="007224C3">
        <w:rPr>
          <w:rFonts w:ascii="Times New Roman" w:hAnsi="Times New Roman"/>
          <w:color w:val="000000" w:themeColor="text1"/>
          <w:sz w:val="16"/>
          <w:szCs w:val="16"/>
        </w:rPr>
        <w:softHyphen/>
        <w:t>испытания. С конца 1944 г. до сентября 1945 г. АШ-83 проходил летные испытания на истребителе Ла-7. Выпускался с апреля 1945 г. на заводе № 19 в Молотове. Всего изготовили 93 экз.</w:t>
      </w:r>
    </w:p>
    <w:p w14:paraId="58A98E5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Характеристики:</w:t>
      </w:r>
    </w:p>
    <w:p w14:paraId="7BC641B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14-цилиндровый двухрядный звездообразный, воздушного охлаждения, редукторный, с одноступенчатым двухскоростным ПЦН;</w:t>
      </w:r>
    </w:p>
    <w:p w14:paraId="7FD33C4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диаметр цилиндра/ход поршня 155,5/155 мм;</w:t>
      </w:r>
    </w:p>
    <w:p w14:paraId="65BD52E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объем 41,2 л;</w:t>
      </w:r>
    </w:p>
    <w:p w14:paraId="2B2153C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 степень сжатия 6,9;</w:t>
      </w:r>
    </w:p>
    <w:p w14:paraId="38981BE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мощность по проекту 1500/1900 л.с., реально доведена до 1585/1900 л.с.;</w:t>
      </w:r>
    </w:p>
    <w:p w14:paraId="3E72B37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вес 915 кг (по другим данным, 921 кг).</w:t>
      </w:r>
    </w:p>
    <w:p w14:paraId="515B106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АШ-83 устанавливался на опытных самолетах Ту-2, Ла-7 (Ла-120). Его использование предполагалось в проектах «64» (Ту-10), И-211 (11852).</w:t>
      </w:r>
    </w:p>
    <w:p w14:paraId="2D91202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8B3EC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 февраля 1944 г. велись летные испытания Пе-2 с двигателями М-1, которые начались 16 декабря 1943 г. Разработка проекта двигателя М-116П осуществлялась в конструктор</w:t>
      </w:r>
      <w:r w:rsidRPr="007224C3">
        <w:rPr>
          <w:rFonts w:ascii="Times New Roman" w:hAnsi="Times New Roman"/>
          <w:color w:val="000000" w:themeColor="text1"/>
          <w:sz w:val="16"/>
          <w:szCs w:val="16"/>
        </w:rPr>
        <w:softHyphen/>
        <w:t>ском бюро завода № 16 в Казани с 1942 г. Он представлял собой мо</w:t>
      </w:r>
      <w:r w:rsidRPr="007224C3">
        <w:rPr>
          <w:rFonts w:ascii="Times New Roman" w:hAnsi="Times New Roman"/>
          <w:color w:val="000000" w:themeColor="text1"/>
          <w:sz w:val="16"/>
          <w:szCs w:val="16"/>
        </w:rPr>
        <w:softHyphen/>
        <w:t>дернизацию серийного двигателя М-105П (впоследствии М-105ПФ). На нем вернулись к диаметру цилиндра 150 мм (как на М-103), ввели новые гильзы, четырехклапанный механизм газораспределения с улучшенной гидравликой, усиленные коленвал и редуктор, усовершенствовали охлажде</w:t>
      </w:r>
      <w:r w:rsidRPr="007224C3">
        <w:rPr>
          <w:rFonts w:ascii="Times New Roman" w:hAnsi="Times New Roman"/>
          <w:color w:val="000000" w:themeColor="text1"/>
          <w:sz w:val="16"/>
          <w:szCs w:val="16"/>
        </w:rPr>
        <w:softHyphen/>
        <w:t>ние верхней части блока, изменили схему смазки коренных подшипников, внесли еще ряд мелких изменений. По сравнению с М-105ПФ мотор фор</w:t>
      </w:r>
      <w:r w:rsidRPr="007224C3">
        <w:rPr>
          <w:rFonts w:ascii="Times New Roman" w:hAnsi="Times New Roman"/>
          <w:color w:val="000000" w:themeColor="text1"/>
          <w:sz w:val="16"/>
          <w:szCs w:val="16"/>
        </w:rPr>
        <w:softHyphen/>
        <w:t>сировали по оборотам. В серийное производство М-1 не запускался, поскольку сочли, что он менее унифицирован с М-105ПФ, чем М-107А (ВК-107А).</w:t>
      </w:r>
    </w:p>
    <w:p w14:paraId="7FF329A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Характеристики:</w:t>
      </w:r>
    </w:p>
    <w:p w14:paraId="2E911C8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12-цилиндровый, У-образный рядный, четырехтактный, жидкостно</w:t>
      </w:r>
      <w:r w:rsidRPr="007224C3">
        <w:rPr>
          <w:rFonts w:ascii="Times New Roman" w:hAnsi="Times New Roman"/>
          <w:color w:val="000000" w:themeColor="text1"/>
          <w:sz w:val="16"/>
          <w:szCs w:val="16"/>
        </w:rPr>
        <w:softHyphen/>
        <w:t>го охлаждения, редукторный, с одноступенчатым двухскоростным ПЦН;</w:t>
      </w:r>
    </w:p>
    <w:p w14:paraId="1000E18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диаметр цилиндра/ход поршня 150/170 мм;</w:t>
      </w:r>
    </w:p>
    <w:p w14:paraId="0CD8DA8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объем 36,0 л;</w:t>
      </w:r>
    </w:p>
    <w:p w14:paraId="76432DE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степень сжатия 6,6;</w:t>
      </w:r>
    </w:p>
    <w:p w14:paraId="0A44C2C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мощность 1300/1500 л.с.:</w:t>
      </w:r>
    </w:p>
    <w:p w14:paraId="0AEFEC5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вес 660 кг.</w:t>
      </w:r>
    </w:p>
    <w:p w14:paraId="314A55A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М-1 устанавливался на переделанном серийном самолете Пе-2. Его пред</w:t>
      </w:r>
      <w:r w:rsidRPr="007224C3">
        <w:rPr>
          <w:rFonts w:ascii="Times New Roman" w:hAnsi="Times New Roman"/>
          <w:color w:val="000000" w:themeColor="text1"/>
          <w:sz w:val="16"/>
          <w:szCs w:val="16"/>
        </w:rPr>
        <w:softHyphen/>
        <w:t>полагали также установить на одном из истребителей А.С. Яковлева (11852).</w:t>
      </w:r>
    </w:p>
    <w:p w14:paraId="0BC4497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443791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1944 г. на самолете № 100716 смонтировали кили с увеличенной площадью верхней части. Устойчивость действительно улучшилась. По результатам испытаний в марте новое оперение рекомендовали к внедрению на серийных бомбардировщиках.</w:t>
      </w:r>
    </w:p>
    <w:p w14:paraId="2B88D11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Ввели усиленные коки винтов, немного изменили раскрой обшивки на консолях, применили новые выхлопные коллекторы. Улучшение снабжения легкими сплавами позволило уже с 3-й серии заменить часть шпона на обшивке носа фюзеляжа металлическим листом. Теперь деревянным остался только участок между 1-ми 3-м шпангоутами. С 8-й серии откидную створку люковой установки заменили неподвижным козырьком. С 11-й серии сферический гидроаккумулятор (большей емкости) пришел на смену цилиндрическому. Усилили задние подкосы шасси. Изменили всасывающие патрубки моторов, что несколько повысило реально развиваемую ими мощность. Внедрили более толстую обтяжку на рулях поворота. Смонтировали новые кислородные приборы КП-12 вместо КП-Збис (с самолета N° 3/20), вернули назад посадочную фару на левом крыле, ранее сочтенную ненужной роскошью. На одном самолете поставили даже две фары, на другом обеспечили отопление кабин теплым воздухом (11988).</w:t>
      </w:r>
    </w:p>
    <w:p w14:paraId="3ACAAE4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Серийное производство Ту-2 в годы войны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2242"/>
        <w:gridCol w:w="2242"/>
        <w:gridCol w:w="2242"/>
        <w:gridCol w:w="2242"/>
      </w:tblGrid>
      <w:tr w:rsidR="005106D0" w:rsidRPr="007224C3" w14:paraId="3EB66F8C" w14:textId="77777777">
        <w:tc>
          <w:tcPr>
            <w:tcW w:w="2242" w:type="dxa"/>
            <w:tcBorders>
              <w:top w:val="single" w:sz="12" w:space="0" w:color="auto"/>
            </w:tcBorders>
          </w:tcPr>
          <w:p w14:paraId="0C8DDAB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Borders>
              <w:top w:val="single" w:sz="12" w:space="0" w:color="auto"/>
            </w:tcBorders>
          </w:tcPr>
          <w:p w14:paraId="390BE23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1942</w:t>
            </w:r>
          </w:p>
        </w:tc>
        <w:tc>
          <w:tcPr>
            <w:tcW w:w="2242" w:type="dxa"/>
            <w:tcBorders>
              <w:top w:val="single" w:sz="12" w:space="0" w:color="auto"/>
            </w:tcBorders>
          </w:tcPr>
          <w:p w14:paraId="17F3168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1943</w:t>
            </w:r>
          </w:p>
        </w:tc>
        <w:tc>
          <w:tcPr>
            <w:tcW w:w="2242" w:type="dxa"/>
            <w:tcBorders>
              <w:top w:val="single" w:sz="12" w:space="0" w:color="auto"/>
            </w:tcBorders>
          </w:tcPr>
          <w:p w14:paraId="63B30C4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1944</w:t>
            </w:r>
          </w:p>
        </w:tc>
        <w:tc>
          <w:tcPr>
            <w:tcW w:w="2242" w:type="dxa"/>
            <w:tcBorders>
              <w:top w:val="single" w:sz="12" w:space="0" w:color="auto"/>
            </w:tcBorders>
          </w:tcPr>
          <w:p w14:paraId="66EA1F0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1945</w:t>
            </w:r>
          </w:p>
        </w:tc>
      </w:tr>
      <w:tr w:rsidR="005106D0" w:rsidRPr="007224C3" w14:paraId="777DB3A5" w14:textId="77777777">
        <w:tc>
          <w:tcPr>
            <w:tcW w:w="2242" w:type="dxa"/>
          </w:tcPr>
          <w:p w14:paraId="77E2135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 166 (Омск)</w:t>
            </w:r>
          </w:p>
        </w:tc>
        <w:tc>
          <w:tcPr>
            <w:tcW w:w="2242" w:type="dxa"/>
          </w:tcPr>
          <w:p w14:paraId="370BF2E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68</w:t>
            </w:r>
          </w:p>
        </w:tc>
        <w:tc>
          <w:tcPr>
            <w:tcW w:w="2242" w:type="dxa"/>
          </w:tcPr>
          <w:p w14:paraId="60715D4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12 1)</w:t>
            </w:r>
          </w:p>
        </w:tc>
        <w:tc>
          <w:tcPr>
            <w:tcW w:w="2242" w:type="dxa"/>
          </w:tcPr>
          <w:p w14:paraId="781562A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2242" w:type="dxa"/>
          </w:tcPr>
          <w:p w14:paraId="6777BC3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7D799C07" w14:textId="77777777">
        <w:tc>
          <w:tcPr>
            <w:tcW w:w="2242" w:type="dxa"/>
            <w:tcBorders>
              <w:bottom w:val="single" w:sz="12" w:space="0" w:color="auto"/>
            </w:tcBorders>
          </w:tcPr>
          <w:p w14:paraId="2C61BD5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 23 (Москва)</w:t>
            </w:r>
          </w:p>
        </w:tc>
        <w:tc>
          <w:tcPr>
            <w:tcW w:w="2242" w:type="dxa"/>
            <w:tcBorders>
              <w:bottom w:val="single" w:sz="12" w:space="0" w:color="auto"/>
            </w:tcBorders>
          </w:tcPr>
          <w:p w14:paraId="3CA8E0B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2242" w:type="dxa"/>
            <w:tcBorders>
              <w:bottom w:val="single" w:sz="12" w:space="0" w:color="auto"/>
            </w:tcBorders>
          </w:tcPr>
          <w:p w14:paraId="35C16B8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25 3)</w:t>
            </w:r>
          </w:p>
        </w:tc>
        <w:tc>
          <w:tcPr>
            <w:tcW w:w="2242" w:type="dxa"/>
            <w:tcBorders>
              <w:bottom w:val="single" w:sz="12" w:space="0" w:color="auto"/>
            </w:tcBorders>
          </w:tcPr>
          <w:p w14:paraId="5845EEF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378 4)</w:t>
            </w:r>
          </w:p>
        </w:tc>
        <w:tc>
          <w:tcPr>
            <w:tcW w:w="2242" w:type="dxa"/>
            <w:tcBorders>
              <w:bottom w:val="single" w:sz="12" w:space="0" w:color="auto"/>
            </w:tcBorders>
          </w:tcPr>
          <w:p w14:paraId="0DEDF91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742 2)</w:t>
            </w:r>
          </w:p>
        </w:tc>
      </w:tr>
    </w:tbl>
    <w:p w14:paraId="3D63ACF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 включая доработанные заводом № 156; 2) - сдано 736; 3) - из задела завода № 166; сдано 3; 4) - сдано 360 (11988).</w:t>
      </w:r>
    </w:p>
    <w:p w14:paraId="33EFFD8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18DD6CC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1944 г. в Иркутске начались государственные испытания доработанного и одновременно первого серийного самолета Ер-2 с М-30Б. Ведущими по машине были инженер Н.М. Кокорин, летчик В.В. Лисицын и штурман Литвинчук. Со 2 по 5 апреля экипаж Лисицына совершил перелет по маршруту Иркутск - Красноярск - Новосибирск - Омск - Свердловск - Москва (аэродром Чкаловская) с промежуточными посадками в указанных пунктах. Испытания проходили довольно тяжело из-за многочисленных дефектов и шесть раз прерывались для доводки как самой машины, так и двигателей, в том числе и для их замены. В конечном счете, после выполния 66 полетов, в октябре пришлось прекратить испытания до полной доводки самолета.</w:t>
      </w:r>
    </w:p>
    <w:p w14:paraId="01A1B34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новой модификации Ер-2 так и не устранили его раскачку в горизонтальном полете с крыла на крыло. По-прежнему на скоростях, меньших 240 км/ч по прибору, самолет не мог сохранять горизонтальный полет с брошенным управлением и переходил в спираль с быстрым нарастанием скорости, хотя при максимальном полетном весе выполнял виражи с креном до 50°, демонстрируя устойчивость и легкость в управлении (11994).</w:t>
      </w:r>
    </w:p>
    <w:p w14:paraId="3367871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25B6E842" w14:textId="77777777" w:rsidR="00903E13" w:rsidRPr="007224C3" w:rsidRDefault="00903E1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1944 года Пе-8 №42611 после выполнения боевого задания на Хельсинки. экипаж, выполняя противозенитный маневр, услышал какой-то звонкий удар где-то позади кабины пилотов Машина благополучно долетела до своего аэродрома и совершила нормальную посадку. В ОКБ было сообщено, что после посадки самолет был тщательно осмотрен техсоставом, но никаких дефектов обнаружено не было.</w:t>
      </w:r>
    </w:p>
    <w:p w14:paraId="74F8FBF6" w14:textId="77777777" w:rsidR="00903E13" w:rsidRPr="007224C3" w:rsidRDefault="00903E1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Спустя некоторое время такой же удар и приблизительно в том же районе, за кабиной пилотов, зафиксировал экипаж, перегонявший один из Пе-8 на заводской аэродром в Казань. Повторное проявление непонятного дефекта всерьез встревожило ОКБ, начали появляться предположения, что произошло разрушение какого-либо силового элемента центроплана. При тщательном осмотре центроплана на этой машине удалось обнаружить след незначительного сдвига нижнего пояса заднего лонжерона по отношению к обойме центрального узла крепления подкосов лонжерона. Как раз этот узел находился позади передней кабины экипажа. Анализ следа сдвига показал, что труба пояса лонжерона вышла из-под обоймы узла на 1-2 мм. Причиной подобного мог быть только разрыв самой трубы, что подтвердилось после снятия обоймы узла, когда перед Незвалем и его коллегами предстала во всей красе труба лонжерона, разорванная по крайнему ряду заклепок. Разрыв был очень ровным и чистым и, казалось как будто специально обрезанным.</w:t>
      </w:r>
    </w:p>
    <w:p w14:paraId="0EE6F59B" w14:textId="77777777" w:rsidR="00903E13" w:rsidRPr="007224C3" w:rsidRDefault="00903E1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Как выяснилось вскоре, все было серьезней и глубже. Еще на этапе проектирования для поясов лонжеронов центроплана, по рекомендации ВИАМ, была выбрана на то время новая высокопрочная сталь ЗОХГСА "Хромансиль", по своим характеристикам допускавшая работу при высоких удельных напряжениях и дававшая значительное облегчение конструкции. В то время толком об усталостных напряжениях и их влиянии на долговечность мало что было известно, и никаких рекомендаций со стороны ЦАГИ и ВИАМ у самолетчиков по этим особенностям работы материалов и конструкций не было. На момент проявления дефекта в ОКБ были далеки от понимания существа проблемы. Еще раз тщательно проверили прочностные расчеты, убедились, что действующие напряжения не только не превышают допустимых значений, но и имеют достаточный запас прочности. Дальше копаться не стали, решив, что в этом месте трубы лонжеронов, видимо, имеют какое-то местное ослабление, и приняли решение о местном усилении конструкции. После этого разобрали этот же узел на Пе-8 №42611, на котором впервые проявился дефект — труба лонжерона была также срезана. Разработка конкретных конструктивных мероприятий по усилению трубчатого лонжерона оказалась достаточно сложной конструкторской и технологической задачей, ведь предстояло проводить усиление на самолетах, которые находились в строю. На части парка Пе-8 провели доработки, ограничив для остальных машин максимальную бомбовую нагрузку на уровне 3200 кг. Случаи разрыва труб лонжеронов прекратились и о проблеме и в ОКБ, и в эксплуатации вскоре забыли.</w:t>
      </w:r>
    </w:p>
    <w:p w14:paraId="4D690676" w14:textId="77777777" w:rsidR="00903E13" w:rsidRPr="007224C3" w:rsidRDefault="00903E1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Одновременно в ЦАГИ и ВИАМ провели дополнительные исследования "Хромансиля", ведь помимо Пе-8 подобное разрушение лонжеронов зафиксировали на истребителе </w:t>
      </w:r>
      <w:r w:rsidRPr="007224C3">
        <w:rPr>
          <w:rFonts w:ascii="Times New Roman" w:hAnsi="Times New Roman"/>
          <w:color w:val="000000" w:themeColor="text1"/>
          <w:sz w:val="16"/>
          <w:szCs w:val="16"/>
          <w:lang w:val="en-US"/>
        </w:rPr>
        <w:t>JIa</w:t>
      </w:r>
      <w:r w:rsidRPr="007224C3">
        <w:rPr>
          <w:rFonts w:ascii="Times New Roman" w:hAnsi="Times New Roman"/>
          <w:color w:val="000000" w:themeColor="text1"/>
          <w:sz w:val="16"/>
          <w:szCs w:val="16"/>
        </w:rPr>
        <w:t>-7, а это уже было более чем серьезно. Количество Пе-8 исчислялось десятками, а истребители с маркой "Ла" строили тысячами.</w:t>
      </w:r>
    </w:p>
    <w:p w14:paraId="5129BDD3" w14:textId="77777777" w:rsidR="00903E13" w:rsidRPr="007224C3" w:rsidRDefault="00903E1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Детальные исследования разрушенных деталей из ЗОХГСА, проведенные доктором технических наук Н.И.Мариным, показали, что эта высокопрочная сталь, работая при высоких напряжениях, склонна к усталостным разрушениям и обладает очень низким ресурсом в случае воздействия нагрузок подобного характера.</w:t>
      </w:r>
    </w:p>
    <w:p w14:paraId="49642324" w14:textId="77777777" w:rsidR="00903E13" w:rsidRPr="007224C3" w:rsidRDefault="00903E1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Ничего не оставалось делать, как снижать расчетные напряжения в сечении лонжеронов. Переходить на другой сортамент труб было не реально, поэтому внутрь труб пропустили дополнительные стальные элементы с довольно сложной системой крепления их к узлам лонжеронов. Завод изготовил требуемые элементы усиления и специальный инструмент, а заводская бригада совместно с техсоставом 25-го полка провела необходимые доработки строевых Пе-8. Все эти проблемы привели к тому что под конец войны Пе-8 в основном стояли на земле на доработках. В 25-м полку с ноября 1944 года экипажи совершали на Пе-8 только тренировочные полеты с целью поддержания квалификации летного состава. В 890-м полку практически все машины не летали, за исключением "старушки" ТБ-7 №385 "Дублера". К маю 1945 года в "наземном" строю находилось 32 самолета Пе-8. 9 мая 1945 года Пе-8 из состава 890-го полка обеспечивал праздничный салют над Москвой (12726).</w:t>
      </w:r>
    </w:p>
    <w:p w14:paraId="21A4ED9A" w14:textId="77777777" w:rsidR="00903E13" w:rsidRPr="007224C3" w:rsidRDefault="00903E13" w:rsidP="007224C3">
      <w:pPr>
        <w:pStyle w:val="ae"/>
        <w:spacing w:before="0" w:after="0"/>
        <w:jc w:val="both"/>
        <w:rPr>
          <w:color w:val="000000" w:themeColor="text1"/>
          <w:sz w:val="16"/>
          <w:szCs w:val="16"/>
        </w:rPr>
      </w:pPr>
    </w:p>
    <w:p w14:paraId="4F3BF866" w14:textId="77777777" w:rsidR="00695680" w:rsidRPr="007224C3" w:rsidRDefault="00695680" w:rsidP="007224C3">
      <w:pPr>
        <w:spacing w:after="0" w:line="240" w:lineRule="auto"/>
        <w:jc w:val="both"/>
        <w:rPr>
          <w:rFonts w:ascii="Times New Roman" w:hAnsi="Times New Roman"/>
          <w:color w:val="000000" w:themeColor="text1"/>
          <w:sz w:val="16"/>
          <w:szCs w:val="16"/>
          <w:shd w:val="clear" w:color="auto" w:fill="FFFFFF"/>
        </w:rPr>
      </w:pPr>
      <w:r w:rsidRPr="007224C3">
        <w:rPr>
          <w:rFonts w:ascii="Times New Roman" w:hAnsi="Times New Roman"/>
          <w:color w:val="000000" w:themeColor="text1"/>
          <w:sz w:val="16"/>
          <w:szCs w:val="16"/>
          <w:shd w:val="clear" w:color="auto" w:fill="FFFFFF"/>
        </w:rPr>
        <w:t>В феврале 1944 года  во время боевого вылета Пе-8 №42611 на Хельсинки произошел странный случай. После выполнения боевого задания экипаж, выполняя противозенитный маневр, услышал какой-то звонкий удар где-то позади кабины пилотов. Машина благополучно долетела до своего аэродрома и совершила нормальную посадку. В ОКБ было сообщено, что после посадки самолет был тщательно осмотрен техсоставом, но никаких дефектов обнаружено не было.</w:t>
      </w:r>
    </w:p>
    <w:p w14:paraId="4AB53786" w14:textId="77777777" w:rsidR="00695680" w:rsidRPr="007224C3" w:rsidRDefault="00695680" w:rsidP="007224C3">
      <w:pPr>
        <w:spacing w:after="0" w:line="240" w:lineRule="auto"/>
        <w:jc w:val="both"/>
        <w:rPr>
          <w:rFonts w:ascii="Times New Roman" w:hAnsi="Times New Roman"/>
          <w:color w:val="000000" w:themeColor="text1"/>
          <w:sz w:val="16"/>
          <w:szCs w:val="16"/>
          <w:shd w:val="clear" w:color="auto" w:fill="FFFFFF"/>
        </w:rPr>
      </w:pPr>
      <w:r w:rsidRPr="007224C3">
        <w:rPr>
          <w:rFonts w:ascii="Times New Roman" w:hAnsi="Times New Roman"/>
          <w:color w:val="000000" w:themeColor="text1"/>
          <w:sz w:val="16"/>
          <w:szCs w:val="16"/>
          <w:shd w:val="clear" w:color="auto" w:fill="FFFFFF"/>
        </w:rPr>
        <w:t xml:space="preserve">Спустя некоторое время такой же удар и приблизительно в том же районе, за кабиной пилотов, зафиксировал экипаж, перегонявший один из Пе-8 на заводской аэродром в Казань. Повторное проявление непонятного дефекта всерьез встревожило ОКБ, начали появляться предположения, что произошло разрушение какого-либо силового элемента центроплана. При тщательном осмотре центроплана на этой машине удалось обнаружить след незначительного сдвига нижнего пояса заднего лонжерона по отношению к обойме центрального узла крепления подкосов лонжерона. Как раз этот узел находился позади передней кабины экипажа. Анализ следа сдвига показал, что труба пояса лонжерона вышла из под обоймы узла на 1-2 мм. Причиной подобного мог быть только разрыв самой трубы, что подтвердилось после </w:t>
      </w:r>
      <w:r w:rsidRPr="007224C3">
        <w:rPr>
          <w:rFonts w:ascii="Times New Roman" w:hAnsi="Times New Roman"/>
          <w:color w:val="000000" w:themeColor="text1"/>
          <w:sz w:val="16"/>
          <w:szCs w:val="16"/>
          <w:shd w:val="clear" w:color="auto" w:fill="FFFFFF"/>
        </w:rPr>
        <w:lastRenderedPageBreak/>
        <w:t>снятия обоймы узла, когда перед Не-звалем и его коллегами предстала во всей красе труба лонжерона, разорванная по крайнему ряду заклепок. Разрыв был очень ровным и чистым и, казалось как будто специально обрезанным.</w:t>
      </w:r>
    </w:p>
    <w:p w14:paraId="251FDAAF" w14:textId="77777777" w:rsidR="00695680" w:rsidRPr="007224C3" w:rsidRDefault="0069568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shd w:val="clear" w:color="auto" w:fill="FFFFFF"/>
        </w:rPr>
        <w:t>Как выяснилось вскоре, все было серьезней и глубже. Еще на этапе проектирования для поясов лонжеронов центроплана, по рекомендации ВИАМ, была выбрана на то время новая высокопрочная сталь ЗОХГСА "Хромансиль", по своим характеристикам допускавшая работу при высоких удельных напряжениях и дававшая значительное облегчение конструкции. В то время толком об усталостных напряжениях и их влиянии на долговечность мало что было известно, и никаких рекомендаций со стороны ЦАГИ и ВИАМ у самолетчиков по этим особенностям работы материалов и конструкций не было. На момент проявления дефекта в ОКБ были далеки от понимания существа проблемы. Еще раз тщательно проверили прочностные расчеты, убедились, что действующие напряжения не только не превышают допустимых значений, но и имеют достаточный запас прочности. Дальше копаться не стали, решив, что в этом месте трубы лонжеронов, видимо, имеют какое-то местное ослабление, и приняли решение о местном усилении конструкции. После этого разобрали этот же узел на Пе-8 №42611, на котором впервые проявился дефект - труба лонжерона была также срезана. Разработка конкретных конструктивных мероприятий по усилению трубчатого лонжерона оказалась достаточно сложной конструкторской и технологической задачей, ведь предстояло проводить усиление на самолетах, которые находились в строю. На части парка Пе-8 провели доработки, ограничив для остальных машин максимальную бомбовую нагрузку на уровне 3200 кг. Случаи разрыва труб лонжеронов прекратились, и о проблеме и в ОКБ, и в эксплуатации вскоре забыли (19656).</w:t>
      </w:r>
    </w:p>
    <w:p w14:paraId="52153E98" w14:textId="77777777" w:rsidR="00695680" w:rsidRPr="007224C3" w:rsidRDefault="00695680" w:rsidP="007224C3">
      <w:pPr>
        <w:spacing w:after="0" w:line="240" w:lineRule="auto"/>
        <w:jc w:val="both"/>
        <w:rPr>
          <w:rFonts w:ascii="Times New Roman" w:hAnsi="Times New Roman"/>
          <w:color w:val="000000" w:themeColor="text1"/>
          <w:sz w:val="16"/>
          <w:szCs w:val="16"/>
        </w:rPr>
      </w:pPr>
    </w:p>
    <w:p w14:paraId="140F30F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 февраля 1944 г. завод № 51 сдал заказчику всего четыре планера БДП-2 и достраивался пятый. От дальнейшего выпуска БДП отказались (10667).</w:t>
      </w:r>
    </w:p>
    <w:p w14:paraId="25D5AB0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10FE43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1944 решением ГКО был создан НИИ для разработки реактивных двигателей. Это был НИИ-1, созданный на базе НИИ-3 (262,83).</w:t>
      </w:r>
    </w:p>
    <w:p w14:paraId="29B311A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B947A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1944 НИИ-3 при СНК был ликвидирован и прекращена работа над самолетом 302. работа по разработке двигателя на основе Д2А с насосной подачей была сохранена и включена в план НИИ-1 (2928,80).</w:t>
      </w:r>
    </w:p>
    <w:p w14:paraId="3FFEA18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881D1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1944 года в США командировали представителей НИИ ВВС инженеров А.Г.Кочеткова и Ф. И.Супруна. Перед ними поставили задачу испытать Р-63А раньше, чем массовый поток этих самолетов хлынет в Советский Союз. Разбив одну "Кингкобру", Кочеткову удалось доказать американцам необходимость улучшения противоштопорных свойств истребителя - наследственной беды потомка "Аэрокобры". Впоследствии фирма внесла изменения в конструкцию, частично устранившие этот недостаток (3457,78).</w:t>
      </w:r>
    </w:p>
    <w:p w14:paraId="4ED12C7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A47A2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1944 А.Г.Кочетков в США вошел на Кингкобре в штопор и разбил ее (1020).</w:t>
      </w:r>
    </w:p>
    <w:p w14:paraId="45EFBDC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4F71CD" w14:textId="77777777" w:rsidR="00673CAB" w:rsidRPr="007224C3" w:rsidRDefault="00673CA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1944 г. в США командировали представителей НИИ ВВС инженеров А.Г. Кочеткова и Ф.П. Супруна. Перед ними поставили задачу испытать Р-63А раньше, чем массовый поток этих самолётов хлынет в СССР.</w:t>
      </w:r>
    </w:p>
    <w:p w14:paraId="17CD9367" w14:textId="77777777" w:rsidR="00673CAB" w:rsidRPr="007224C3" w:rsidRDefault="00673CA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Как уже говорилось, одним из основных недостатков «Аэрокобры» являлась задняя центровка, возникавшая при некоторых вариантах загрузки. Она провоцировала срыв в штопор, который мог переходить в ещё более опасный плоский. Вторым существенным дефектом была недостаточная жёсткость хвостовой части фюзеляжа и оперения, деформировавшихся при резком маневрирований. Американские конструкторы доказывали, что внесённые ими в Р-63 изменения «излечили» самолёт от этих «болезней». Об этом подробно рассказывал подполковнику Кочеткову американский инженер Рей, побывавший в нашей стране с делегацией фирмы «Белл» в сентябре 1943 г. Но нашим специалистам в это не очень верилось.</w:t>
      </w:r>
    </w:p>
    <w:p w14:paraId="449C864C" w14:textId="77777777" w:rsidR="00673CAB" w:rsidRPr="007224C3" w:rsidRDefault="00673CA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Ознакомившись с новым истребителем, Кочетков с Супруном решили доказать, что недостатки устранены лишь частично, и опасность для пилотов по-прежнему сохраняется. Кочетков был не только инженером, но и лётчиком. Получив от американцев новенький истребитель Р-63А-6, 29 апреля 1944 г. он «загнал» его в плоский штопор, из которого не смог выйти. «Отмотав» некоторое количество витков, после тщетных попыток вывести истребитель в прямолинейный полёт на высоте 900 м Кочетков сбросил дверь и выпрыгнул с парашютом. К месту его приземления прикатило всё руководство фирмы во главе с вице-1 резидентом компании Джонсоном. Все вместе отправились осматривать обломки «Кингкобры». Вместо ожидаемого нагоняя советский лётчик получил благодарность за выявленный дефект и предложение отметить событие в ресторане. Так Кочеткову удалось доказать американцам необходимость улучшения противоштопорных свойств истребителя - наследственной беды потомка «Аэрокобры».</w:t>
      </w:r>
    </w:p>
    <w:p w14:paraId="43D8EE12" w14:textId="77777777" w:rsidR="00673CAB" w:rsidRPr="007224C3" w:rsidRDefault="00673CA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память все присутствовавшие прямо у обломков истребителя оставили свои автографы на единственном нашедшемся листочке бумаге - долларовой банкноте, извлечённой кем-то из бумажника. Этот «счастливый доллар» Кочетков потом долго носил с собой. Позже лётчику вручили памятный знак фирмы «Ирвин», поставлявшей парашюты, - значок в виде золотой гусеницы. Такой выдавали каждому, кто спасся на парашюте её изготовления.</w:t>
      </w:r>
    </w:p>
    <w:p w14:paraId="743207EB" w14:textId="77777777" w:rsidR="00673CAB" w:rsidRPr="007224C3" w:rsidRDefault="00673CA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Кочетков также провёл учебные воздушные бои с истребителями Р-39 и Р-51. Результаты определялись по кадрам фо- токинопулемёта. «Аэрокобра» проиграла без всяких сомнений, бой с «Мустангом», по общей оценке, окончился вничью.</w:t>
      </w:r>
    </w:p>
    <w:p w14:paraId="3E66CB57" w14:textId="77777777" w:rsidR="00673CAB" w:rsidRPr="007224C3" w:rsidRDefault="00673CA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После этого Кочетков вывел из строя ещё одну «Кингкобру», прокрутив на ней высший пилотаж с большими перегрузками. У самолёта выявили выпучивание и вмятины обшивки на крыле и в хвостовой части фюзеляжа. Фирма внесла изменения в конструкцию, частично устранившие недостатки, но не сразу и не в полной мере (12265).</w:t>
      </w:r>
    </w:p>
    <w:p w14:paraId="0893A3F2" w14:textId="77777777" w:rsidR="00673CAB" w:rsidRPr="007224C3" w:rsidRDefault="00673CAB" w:rsidP="007224C3">
      <w:pPr>
        <w:spacing w:after="0" w:line="240" w:lineRule="auto"/>
        <w:jc w:val="both"/>
        <w:rPr>
          <w:rFonts w:ascii="Times New Roman" w:hAnsi="Times New Roman"/>
          <w:color w:val="000000" w:themeColor="text1"/>
          <w:sz w:val="16"/>
          <w:szCs w:val="16"/>
        </w:rPr>
      </w:pPr>
    </w:p>
    <w:p w14:paraId="23053E80" w14:textId="77777777" w:rsidR="00AD0763" w:rsidRPr="007224C3" w:rsidRDefault="00AD076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1944 в отчёте о работе 3-го отдела Управления заказов самолётов и мото</w:t>
      </w:r>
      <w:r w:rsidRPr="007224C3">
        <w:rPr>
          <w:rFonts w:ascii="Times New Roman" w:hAnsi="Times New Roman"/>
          <w:color w:val="000000" w:themeColor="text1"/>
          <w:sz w:val="16"/>
          <w:szCs w:val="16"/>
        </w:rPr>
        <w:softHyphen/>
        <w:t>ров ГУЗ ВВС КА за 1943 г. в отношении завода N 19 указывалось: «...Заводом в 1943 г. проведена большая работа по устранению дефектов, выявленных в строевых частях, в ре</w:t>
      </w:r>
      <w:r w:rsidRPr="007224C3">
        <w:rPr>
          <w:rFonts w:ascii="Times New Roman" w:hAnsi="Times New Roman"/>
          <w:color w:val="000000" w:themeColor="text1"/>
          <w:sz w:val="16"/>
          <w:szCs w:val="16"/>
        </w:rPr>
        <w:softHyphen/>
        <w:t>зультате чего моторы М-82 стали самыми надёжными из отечественных моторов» (15829).</w:t>
      </w:r>
    </w:p>
    <w:p w14:paraId="1B3B8833" w14:textId="77777777" w:rsidR="00AD0763" w:rsidRPr="007224C3" w:rsidRDefault="00AD0763" w:rsidP="007224C3">
      <w:pPr>
        <w:spacing w:after="0" w:line="240" w:lineRule="auto"/>
        <w:jc w:val="both"/>
        <w:rPr>
          <w:rFonts w:ascii="Times New Roman" w:hAnsi="Times New Roman"/>
          <w:color w:val="000000" w:themeColor="text1"/>
          <w:sz w:val="16"/>
          <w:szCs w:val="16"/>
        </w:rPr>
      </w:pPr>
    </w:p>
    <w:p w14:paraId="55E4BBE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1944 вышел отчет о работе 3 отдела Управления заказов самоле</w:t>
      </w:r>
      <w:r w:rsidRPr="007224C3">
        <w:rPr>
          <w:rFonts w:ascii="Times New Roman" w:hAnsi="Times New Roman"/>
          <w:color w:val="000000" w:themeColor="text1"/>
          <w:sz w:val="16"/>
          <w:szCs w:val="16"/>
        </w:rPr>
        <w:softHyphen/>
        <w:t>тов и моторов ГУЗ ВВС КА за 1943 год, в котором в отношении завода №19 указы</w:t>
      </w:r>
      <w:r w:rsidRPr="007224C3">
        <w:rPr>
          <w:rFonts w:ascii="Times New Roman" w:hAnsi="Times New Roman"/>
          <w:color w:val="000000" w:themeColor="text1"/>
          <w:sz w:val="16"/>
          <w:szCs w:val="16"/>
        </w:rPr>
        <w:softHyphen/>
        <w:t>валось:</w:t>
      </w:r>
    </w:p>
    <w:p w14:paraId="43089F2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Заводом в 1943 году проведе</w:t>
      </w:r>
      <w:r w:rsidRPr="007224C3">
        <w:rPr>
          <w:rFonts w:ascii="Times New Roman" w:hAnsi="Times New Roman"/>
          <w:color w:val="000000" w:themeColor="text1"/>
          <w:sz w:val="16"/>
          <w:szCs w:val="16"/>
        </w:rPr>
        <w:softHyphen/>
        <w:t>на большая работа по устранению дефектов, выявленных в строевых час-</w:t>
      </w:r>
    </w:p>
    <w:p w14:paraId="3CCE4AA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тях, в результате чего моторы М-82 стали самыми надежными из отече</w:t>
      </w:r>
      <w:r w:rsidRPr="007224C3">
        <w:rPr>
          <w:rFonts w:ascii="Times New Roman" w:hAnsi="Times New Roman"/>
          <w:color w:val="000000" w:themeColor="text1"/>
          <w:sz w:val="16"/>
          <w:szCs w:val="16"/>
        </w:rPr>
        <w:softHyphen/>
        <w:t>ственных моторов» (10714).</w:t>
      </w:r>
    </w:p>
    <w:p w14:paraId="5113887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567313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1944 СКБ завода Компрессор закончил разработку рабочих чертежей судовой ракетной установки 24-М-8 и в апреле 1944 завод 740 закончил изготовление двух установок. Которые потом испытывались в ЧМ (4305,35).</w:t>
      </w:r>
    </w:p>
    <w:p w14:paraId="12D8121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3A4FE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1944 года Постановлением ГОКО № 5202с заводу № 500 присоединена территория завода № 10 НК легкой промышленности (территория № 3). В 1944 году директором завода был назначен Петров.</w:t>
      </w:r>
    </w:p>
    <w:p w14:paraId="0618F59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окончании ВОВ производство военной техники значительно сократилось. В 1945 году директором завода был назначен Кононенко. В 1946 году был освоен и изготовлен опытный реактивный двигатель конструкции Душкина. В 1945 году заводом совместно с конструктором Костиным была проведена работа по приспособлению авиадизеля завода для использования на танке ТД-30, которые были успешно опробированы в эксплуатации на Кировском заводе в Ленинграде. В 1947 году директором завода был назначен Чернышев В.В. Основной задачей завода в этот период была подготовка к серийному выпуску реактивного двигателя РД-500. В 1951-1953 гг. основной задачей являлось – выпуск серийных двигателей турбореактивного двигателя ВК-1.</w:t>
      </w:r>
    </w:p>
    <w:p w14:paraId="0692681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ОКБ-1 на заводе № 500 было организовано в 1942 году согласно приказа НКАП № 444сс от 13 января 1942 года, гл. конструктором которого был Чаромский, затем Яковлев. В 1955 году приказом МАП за № 377сс от 31 мая 1955 года ОКБ-1 было передано заводу № 165 на правах филиала. В 1946 году на основании Постановления СМ от 9 июня 1946 года за № 1499-660сс было организовано ОКБ-2 под руководством гл. конструктора Баландина. Профиль ОКБ-2 – конструирование поршневого мотора М-127. В 1951 году на основании Постановления СМ за № 3022-1420сс от 7 августа 1951 года и приказа МАП № 8120сс от 24 августа 1951 года ОКБ-2 было ликвидировано.</w:t>
      </w:r>
    </w:p>
    <w:p w14:paraId="39AF0F3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Адрес: Тушино. Производственный профиль – авиамоторный (9861).</w:t>
      </w:r>
    </w:p>
    <w:p w14:paraId="0BE7B64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48A0F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1944 РММ НКАП, созданные в ноябре 1943 на территории эвакуированного авиазавода, были переименованы в завод № 489 4ГУ НКАП для ремонта ГАЗ-АА для фронта, изготовления товаров ширпотреба и т.п. Сейчас это Днепропетровкий агрегатный завод (9987).</w:t>
      </w:r>
    </w:p>
    <w:p w14:paraId="24537E5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22B74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1944 г. заводу № 167 167 (Завод № 167 НКАП, МАП /г. Химки;  г. Кунцево Московской обл.;  г. Саратов/) поручена организация производства стабилизаторов, килей и нервюр для Як-3. С 04.1944 г. завод передан из ИГУ в 1ГУНКАП.</w:t>
      </w:r>
    </w:p>
    <w:p w14:paraId="78DF142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приказу НКАП № 21с от 28.01.1946 г. на площадку завода № 167 переведен завод № 213 НКАП и с 1.01.1946 г. образован единый завод № 213 НКАП. Завод № 167 выбыл из числа действующих.</w:t>
      </w:r>
    </w:p>
    <w:p w14:paraId="2115472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(08.1941 г.)- Н.Д. Андреев, Лепилин, (01.1946 г.)- Белов.</w:t>
      </w:r>
    </w:p>
    <w:p w14:paraId="4857907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Производство: в/винты: ВИШ-22, АВ-1; лыжи; лонжероны для И-200 (1939), оперение, нервюры для Як-3 (1943); дельтадревесина (11982).</w:t>
      </w:r>
    </w:p>
    <w:p w14:paraId="624EE5C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58DB7F0F" w14:textId="77777777" w:rsidR="00D13803" w:rsidRPr="007224C3" w:rsidRDefault="00D1380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 феврале 1944 г. в ОВИП числилось 271 военно</w:t>
      </w:r>
      <w:r w:rsidRPr="007224C3">
        <w:rPr>
          <w:rFonts w:ascii="Times New Roman" w:hAnsi="Times New Roman"/>
          <w:color w:val="0070C0"/>
          <w:sz w:val="16"/>
          <w:szCs w:val="16"/>
        </w:rPr>
        <w:softHyphen/>
        <w:t>служащих (в том числе 56 офицеров) и 55 воль</w:t>
      </w:r>
      <w:r w:rsidRPr="007224C3">
        <w:rPr>
          <w:rFonts w:ascii="Times New Roman" w:hAnsi="Times New Roman"/>
          <w:color w:val="0070C0"/>
          <w:sz w:val="16"/>
          <w:szCs w:val="16"/>
        </w:rPr>
        <w:softHyphen/>
        <w:t>нонаёмных. В его парке имелось 35 аэростатов заграждения, 5 аэростатов артиллерийского на</w:t>
      </w:r>
      <w:r w:rsidRPr="007224C3">
        <w:rPr>
          <w:rFonts w:ascii="Times New Roman" w:hAnsi="Times New Roman"/>
          <w:color w:val="0070C0"/>
          <w:sz w:val="16"/>
          <w:szCs w:val="16"/>
        </w:rPr>
        <w:softHyphen/>
        <w:t>блюдения, 14 аэростатных лебёдок, 2 зенитных прожектора.</w:t>
      </w:r>
    </w:p>
    <w:p w14:paraId="77A64E6B" w14:textId="77777777" w:rsidR="00D13803" w:rsidRPr="007224C3" w:rsidRDefault="00D1380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Основными типами аэростатов артиллерий</w:t>
      </w:r>
      <w:r w:rsidRPr="007224C3">
        <w:rPr>
          <w:rFonts w:ascii="Times New Roman" w:hAnsi="Times New Roman"/>
          <w:color w:val="0070C0"/>
          <w:sz w:val="16"/>
          <w:szCs w:val="16"/>
        </w:rPr>
        <w:softHyphen/>
        <w:t>ского наблюдения были АН-540, БД, а с 1944 г. и КАН-640. Общее число изготовленных в годы войны ААН составляло 474 оболочки, из них АН- 540-378 (выпускались во все годы войны), БД-40 (изготавливались в 1941-1943 гг.), КАН-640-56 (изготовлены в 1944 и 1945 гг.).</w:t>
      </w:r>
    </w:p>
    <w:p w14:paraId="421B5542" w14:textId="77777777" w:rsidR="00D13803" w:rsidRPr="007224C3" w:rsidRDefault="00D1380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Основные характеристики аэростатов артиллерийского наблюдения периода Великой Отечественной войны</w:t>
      </w:r>
    </w:p>
    <w:tbl>
      <w:tblPr>
        <w:tblW w:w="0" w:type="auto"/>
        <w:jc w:val="center"/>
        <w:tblLayout w:type="fixed"/>
        <w:tblCellMar>
          <w:left w:w="10" w:type="dxa"/>
          <w:right w:w="10" w:type="dxa"/>
        </w:tblCellMar>
        <w:tblLook w:val="04A0" w:firstRow="1" w:lastRow="0" w:firstColumn="1" w:lastColumn="0" w:noHBand="0" w:noVBand="1"/>
      </w:tblPr>
      <w:tblGrid>
        <w:gridCol w:w="869"/>
        <w:gridCol w:w="950"/>
        <w:gridCol w:w="850"/>
        <w:gridCol w:w="691"/>
        <w:gridCol w:w="946"/>
        <w:gridCol w:w="1094"/>
        <w:gridCol w:w="1032"/>
        <w:gridCol w:w="1181"/>
        <w:gridCol w:w="984"/>
        <w:gridCol w:w="1214"/>
      </w:tblGrid>
      <w:tr w:rsidR="00D13803" w:rsidRPr="007224C3" w14:paraId="566610A9" w14:textId="77777777" w:rsidTr="00076D96">
        <w:trPr>
          <w:trHeight w:val="542"/>
          <w:jc w:val="center"/>
        </w:trPr>
        <w:tc>
          <w:tcPr>
            <w:tcW w:w="869" w:type="dxa"/>
            <w:tcBorders>
              <w:top w:val="single" w:sz="4" w:space="0" w:color="auto"/>
              <w:left w:val="single" w:sz="4" w:space="0" w:color="auto"/>
              <w:bottom w:val="single" w:sz="4" w:space="0" w:color="auto"/>
              <w:right w:val="single" w:sz="4" w:space="0" w:color="auto"/>
            </w:tcBorders>
            <w:shd w:val="clear" w:color="auto" w:fill="FFFFFF"/>
          </w:tcPr>
          <w:p w14:paraId="2DA29E84" w14:textId="77777777" w:rsidR="00D13803" w:rsidRPr="007224C3" w:rsidRDefault="00D1380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Индекс</w:t>
            </w:r>
          </w:p>
        </w:tc>
        <w:tc>
          <w:tcPr>
            <w:tcW w:w="950" w:type="dxa"/>
            <w:tcBorders>
              <w:top w:val="single" w:sz="4" w:space="0" w:color="auto"/>
              <w:left w:val="single" w:sz="4" w:space="0" w:color="auto"/>
              <w:bottom w:val="single" w:sz="4" w:space="0" w:color="auto"/>
              <w:right w:val="single" w:sz="4" w:space="0" w:color="auto"/>
            </w:tcBorders>
            <w:shd w:val="clear" w:color="auto" w:fill="FFFFFF"/>
          </w:tcPr>
          <w:p w14:paraId="52A80A1D" w14:textId="77777777" w:rsidR="00D13803" w:rsidRPr="007224C3" w:rsidRDefault="00D1380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Год раз</w:t>
            </w:r>
            <w:r w:rsidRPr="007224C3">
              <w:rPr>
                <w:rFonts w:ascii="Times New Roman" w:hAnsi="Times New Roman"/>
                <w:color w:val="0070C0"/>
                <w:sz w:val="16"/>
                <w:szCs w:val="16"/>
              </w:rPr>
              <w:softHyphen/>
              <w:t>работки</w:t>
            </w:r>
          </w:p>
        </w:tc>
        <w:tc>
          <w:tcPr>
            <w:tcW w:w="850" w:type="dxa"/>
            <w:tcBorders>
              <w:top w:val="single" w:sz="4" w:space="0" w:color="auto"/>
              <w:left w:val="single" w:sz="4" w:space="0" w:color="auto"/>
              <w:bottom w:val="single" w:sz="4" w:space="0" w:color="auto"/>
              <w:right w:val="single" w:sz="4" w:space="0" w:color="auto"/>
            </w:tcBorders>
            <w:shd w:val="clear" w:color="auto" w:fill="FFFFFF"/>
          </w:tcPr>
          <w:p w14:paraId="1398E469" w14:textId="77777777" w:rsidR="00D13803" w:rsidRPr="007224C3" w:rsidRDefault="00D1380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Объём, м3</w:t>
            </w:r>
          </w:p>
        </w:tc>
        <w:tc>
          <w:tcPr>
            <w:tcW w:w="691" w:type="dxa"/>
            <w:tcBorders>
              <w:top w:val="single" w:sz="4" w:space="0" w:color="auto"/>
              <w:left w:val="single" w:sz="4" w:space="0" w:color="auto"/>
              <w:bottom w:val="single" w:sz="4" w:space="0" w:color="auto"/>
              <w:right w:val="single" w:sz="4" w:space="0" w:color="auto"/>
            </w:tcBorders>
            <w:shd w:val="clear" w:color="auto" w:fill="FFFFFF"/>
          </w:tcPr>
          <w:p w14:paraId="6B7F5CDE" w14:textId="77777777" w:rsidR="00D13803" w:rsidRPr="007224C3" w:rsidRDefault="00D1380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Длина, м</w:t>
            </w:r>
          </w:p>
        </w:tc>
        <w:tc>
          <w:tcPr>
            <w:tcW w:w="946" w:type="dxa"/>
            <w:tcBorders>
              <w:top w:val="single" w:sz="4" w:space="0" w:color="auto"/>
              <w:left w:val="single" w:sz="4" w:space="0" w:color="auto"/>
              <w:bottom w:val="single" w:sz="4" w:space="0" w:color="auto"/>
              <w:right w:val="single" w:sz="4" w:space="0" w:color="auto"/>
            </w:tcBorders>
            <w:shd w:val="clear" w:color="auto" w:fill="FFFFFF"/>
          </w:tcPr>
          <w:p w14:paraId="101AB0DB" w14:textId="77777777" w:rsidR="00D13803" w:rsidRPr="007224C3" w:rsidRDefault="00D1380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Диаметр м</w:t>
            </w:r>
          </w:p>
        </w:tc>
        <w:tc>
          <w:tcPr>
            <w:tcW w:w="1094" w:type="dxa"/>
            <w:tcBorders>
              <w:top w:val="single" w:sz="4" w:space="0" w:color="auto"/>
              <w:left w:val="single" w:sz="4" w:space="0" w:color="auto"/>
              <w:bottom w:val="single" w:sz="4" w:space="0" w:color="auto"/>
              <w:right w:val="single" w:sz="4" w:space="0" w:color="auto"/>
            </w:tcBorders>
            <w:shd w:val="clear" w:color="auto" w:fill="FFFFFF"/>
          </w:tcPr>
          <w:p w14:paraId="6AFF6CF1" w14:textId="77777777" w:rsidR="00D13803" w:rsidRPr="007224C3" w:rsidRDefault="00D1380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Снаряжен</w:t>
            </w:r>
            <w:r w:rsidRPr="007224C3">
              <w:rPr>
                <w:rFonts w:ascii="Times New Roman" w:hAnsi="Times New Roman"/>
                <w:color w:val="0070C0"/>
                <w:sz w:val="16"/>
                <w:szCs w:val="16"/>
              </w:rPr>
              <w:softHyphen/>
              <w:t>ный вес, кг</w:t>
            </w:r>
          </w:p>
        </w:tc>
        <w:tc>
          <w:tcPr>
            <w:tcW w:w="1032" w:type="dxa"/>
            <w:tcBorders>
              <w:top w:val="single" w:sz="4" w:space="0" w:color="auto"/>
              <w:left w:val="single" w:sz="4" w:space="0" w:color="auto"/>
              <w:bottom w:val="single" w:sz="4" w:space="0" w:color="auto"/>
              <w:right w:val="single" w:sz="4" w:space="0" w:color="auto"/>
            </w:tcBorders>
            <w:shd w:val="clear" w:color="auto" w:fill="FFFFFF"/>
          </w:tcPr>
          <w:p w14:paraId="640339E8" w14:textId="77777777" w:rsidR="00D13803" w:rsidRPr="007224C3" w:rsidRDefault="00D1380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Высота подъёма, м</w:t>
            </w:r>
          </w:p>
        </w:tc>
        <w:tc>
          <w:tcPr>
            <w:tcW w:w="1181" w:type="dxa"/>
            <w:tcBorders>
              <w:top w:val="single" w:sz="4" w:space="0" w:color="auto"/>
              <w:left w:val="single" w:sz="4" w:space="0" w:color="auto"/>
              <w:bottom w:val="single" w:sz="4" w:space="0" w:color="auto"/>
              <w:right w:val="single" w:sz="4" w:space="0" w:color="auto"/>
            </w:tcBorders>
            <w:shd w:val="clear" w:color="auto" w:fill="FFFFFF"/>
          </w:tcPr>
          <w:p w14:paraId="6AD169E5" w14:textId="77777777" w:rsidR="00D13803" w:rsidRPr="007224C3" w:rsidRDefault="00D1380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Предельный ветер, м/с</w:t>
            </w:r>
          </w:p>
        </w:tc>
        <w:tc>
          <w:tcPr>
            <w:tcW w:w="984" w:type="dxa"/>
            <w:tcBorders>
              <w:top w:val="single" w:sz="4" w:space="0" w:color="auto"/>
              <w:left w:val="single" w:sz="4" w:space="0" w:color="auto"/>
              <w:bottom w:val="single" w:sz="4" w:space="0" w:color="auto"/>
              <w:right w:val="single" w:sz="4" w:space="0" w:color="auto"/>
            </w:tcBorders>
            <w:shd w:val="clear" w:color="auto" w:fill="FFFFFF"/>
          </w:tcPr>
          <w:p w14:paraId="7ED8769D" w14:textId="77777777" w:rsidR="00D13803" w:rsidRPr="007224C3" w:rsidRDefault="00D1380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Диаметр троса, мм</w:t>
            </w:r>
          </w:p>
        </w:tc>
        <w:tc>
          <w:tcPr>
            <w:tcW w:w="1214" w:type="dxa"/>
            <w:tcBorders>
              <w:top w:val="single" w:sz="4" w:space="0" w:color="auto"/>
              <w:left w:val="single" w:sz="4" w:space="0" w:color="auto"/>
              <w:bottom w:val="single" w:sz="4" w:space="0" w:color="auto"/>
              <w:right w:val="single" w:sz="4" w:space="0" w:color="auto"/>
            </w:tcBorders>
            <w:shd w:val="clear" w:color="auto" w:fill="FFFFFF"/>
          </w:tcPr>
          <w:p w14:paraId="514B7220" w14:textId="77777777" w:rsidR="00D13803" w:rsidRPr="007224C3" w:rsidRDefault="00D1380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Тип кон</w:t>
            </w:r>
            <w:r w:rsidRPr="007224C3">
              <w:rPr>
                <w:rFonts w:ascii="Times New Roman" w:hAnsi="Times New Roman"/>
                <w:color w:val="0070C0"/>
                <w:sz w:val="16"/>
                <w:szCs w:val="16"/>
              </w:rPr>
              <w:softHyphen/>
              <w:t>струкции</w:t>
            </w:r>
          </w:p>
        </w:tc>
      </w:tr>
      <w:tr w:rsidR="00D13803" w:rsidRPr="007224C3" w14:paraId="37CD0F84" w14:textId="77777777" w:rsidTr="00076D96">
        <w:trPr>
          <w:trHeight w:val="360"/>
          <w:jc w:val="center"/>
        </w:trPr>
        <w:tc>
          <w:tcPr>
            <w:tcW w:w="869" w:type="dxa"/>
            <w:tcBorders>
              <w:top w:val="single" w:sz="4" w:space="0" w:color="auto"/>
              <w:left w:val="single" w:sz="4" w:space="0" w:color="auto"/>
              <w:bottom w:val="single" w:sz="4" w:space="0" w:color="auto"/>
              <w:right w:val="single" w:sz="4" w:space="0" w:color="auto"/>
            </w:tcBorders>
            <w:shd w:val="clear" w:color="auto" w:fill="FFFFFF"/>
          </w:tcPr>
          <w:p w14:paraId="249A17D6" w14:textId="77777777" w:rsidR="00D13803" w:rsidRPr="007224C3" w:rsidRDefault="00D1380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АН-350</w:t>
            </w:r>
          </w:p>
        </w:tc>
        <w:tc>
          <w:tcPr>
            <w:tcW w:w="950" w:type="dxa"/>
            <w:tcBorders>
              <w:top w:val="single" w:sz="4" w:space="0" w:color="auto"/>
              <w:left w:val="single" w:sz="4" w:space="0" w:color="auto"/>
              <w:bottom w:val="single" w:sz="4" w:space="0" w:color="auto"/>
              <w:right w:val="single" w:sz="4" w:space="0" w:color="auto"/>
            </w:tcBorders>
            <w:shd w:val="clear" w:color="auto" w:fill="FFFFFF"/>
          </w:tcPr>
          <w:p w14:paraId="46912A8F" w14:textId="77777777" w:rsidR="00D13803" w:rsidRPr="007224C3" w:rsidRDefault="00D1380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Конец 1930-х</w:t>
            </w:r>
          </w:p>
        </w:tc>
        <w:tc>
          <w:tcPr>
            <w:tcW w:w="850" w:type="dxa"/>
            <w:tcBorders>
              <w:top w:val="single" w:sz="4" w:space="0" w:color="auto"/>
              <w:left w:val="single" w:sz="4" w:space="0" w:color="auto"/>
              <w:bottom w:val="single" w:sz="4" w:space="0" w:color="auto"/>
              <w:right w:val="single" w:sz="4" w:space="0" w:color="auto"/>
            </w:tcBorders>
            <w:shd w:val="clear" w:color="auto" w:fill="FFFFFF"/>
          </w:tcPr>
          <w:p w14:paraId="4A1A842B" w14:textId="77777777" w:rsidR="00D13803" w:rsidRPr="007224C3" w:rsidRDefault="00D1380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350</w:t>
            </w:r>
          </w:p>
        </w:tc>
        <w:tc>
          <w:tcPr>
            <w:tcW w:w="691" w:type="dxa"/>
            <w:tcBorders>
              <w:top w:val="single" w:sz="4" w:space="0" w:color="auto"/>
              <w:left w:val="single" w:sz="4" w:space="0" w:color="auto"/>
              <w:bottom w:val="single" w:sz="4" w:space="0" w:color="auto"/>
              <w:right w:val="single" w:sz="4" w:space="0" w:color="auto"/>
            </w:tcBorders>
            <w:shd w:val="clear" w:color="auto" w:fill="FFFFFF"/>
          </w:tcPr>
          <w:p w14:paraId="764D45C0" w14:textId="77777777" w:rsidR="00D13803" w:rsidRPr="007224C3" w:rsidRDefault="00D1380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18,2</w:t>
            </w:r>
          </w:p>
        </w:tc>
        <w:tc>
          <w:tcPr>
            <w:tcW w:w="946" w:type="dxa"/>
            <w:tcBorders>
              <w:top w:val="single" w:sz="4" w:space="0" w:color="auto"/>
              <w:left w:val="single" w:sz="4" w:space="0" w:color="auto"/>
              <w:bottom w:val="single" w:sz="4" w:space="0" w:color="auto"/>
              <w:right w:val="single" w:sz="4" w:space="0" w:color="auto"/>
            </w:tcBorders>
            <w:shd w:val="clear" w:color="auto" w:fill="FFFFFF"/>
          </w:tcPr>
          <w:p w14:paraId="0D79D8AE" w14:textId="77777777" w:rsidR="00D13803" w:rsidRPr="007224C3" w:rsidRDefault="00D1380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6</w:t>
            </w:r>
          </w:p>
        </w:tc>
        <w:tc>
          <w:tcPr>
            <w:tcW w:w="1094" w:type="dxa"/>
            <w:tcBorders>
              <w:top w:val="single" w:sz="4" w:space="0" w:color="auto"/>
              <w:left w:val="single" w:sz="4" w:space="0" w:color="auto"/>
              <w:bottom w:val="single" w:sz="4" w:space="0" w:color="auto"/>
              <w:right w:val="single" w:sz="4" w:space="0" w:color="auto"/>
            </w:tcBorders>
            <w:shd w:val="clear" w:color="auto" w:fill="FFFFFF"/>
          </w:tcPr>
          <w:p w14:paraId="167A3D7E" w14:textId="77777777" w:rsidR="00D13803" w:rsidRPr="007224C3" w:rsidRDefault="00D1380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w:t>
            </w:r>
          </w:p>
        </w:tc>
        <w:tc>
          <w:tcPr>
            <w:tcW w:w="1032" w:type="dxa"/>
            <w:tcBorders>
              <w:top w:val="single" w:sz="4" w:space="0" w:color="auto"/>
              <w:left w:val="single" w:sz="4" w:space="0" w:color="auto"/>
              <w:bottom w:val="single" w:sz="4" w:space="0" w:color="auto"/>
              <w:right w:val="single" w:sz="4" w:space="0" w:color="auto"/>
            </w:tcBorders>
            <w:shd w:val="clear" w:color="auto" w:fill="FFFFFF"/>
          </w:tcPr>
          <w:p w14:paraId="6A95B9AD" w14:textId="77777777" w:rsidR="00D13803" w:rsidRPr="007224C3" w:rsidRDefault="00D1380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750</w:t>
            </w:r>
          </w:p>
        </w:tc>
        <w:tc>
          <w:tcPr>
            <w:tcW w:w="1181" w:type="dxa"/>
            <w:tcBorders>
              <w:top w:val="single" w:sz="4" w:space="0" w:color="auto"/>
              <w:left w:val="single" w:sz="4" w:space="0" w:color="auto"/>
              <w:bottom w:val="single" w:sz="4" w:space="0" w:color="auto"/>
              <w:right w:val="single" w:sz="4" w:space="0" w:color="auto"/>
            </w:tcBorders>
            <w:shd w:val="clear" w:color="auto" w:fill="FFFFFF"/>
          </w:tcPr>
          <w:p w14:paraId="0D0116D0" w14:textId="77777777" w:rsidR="00D13803" w:rsidRPr="007224C3" w:rsidRDefault="00D1380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15</w:t>
            </w:r>
          </w:p>
        </w:tc>
        <w:tc>
          <w:tcPr>
            <w:tcW w:w="984" w:type="dxa"/>
            <w:tcBorders>
              <w:top w:val="single" w:sz="4" w:space="0" w:color="auto"/>
              <w:left w:val="single" w:sz="4" w:space="0" w:color="auto"/>
              <w:bottom w:val="single" w:sz="4" w:space="0" w:color="auto"/>
              <w:right w:val="single" w:sz="4" w:space="0" w:color="auto"/>
            </w:tcBorders>
            <w:shd w:val="clear" w:color="auto" w:fill="FFFFFF"/>
          </w:tcPr>
          <w:p w14:paraId="7DD4F1CA" w14:textId="77777777" w:rsidR="00D13803" w:rsidRPr="007224C3" w:rsidRDefault="00D1380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4,6</w:t>
            </w:r>
          </w:p>
        </w:tc>
        <w:tc>
          <w:tcPr>
            <w:tcW w:w="1214" w:type="dxa"/>
            <w:tcBorders>
              <w:top w:val="single" w:sz="4" w:space="0" w:color="auto"/>
              <w:left w:val="single" w:sz="4" w:space="0" w:color="auto"/>
              <w:bottom w:val="single" w:sz="4" w:space="0" w:color="auto"/>
              <w:right w:val="single" w:sz="4" w:space="0" w:color="auto"/>
            </w:tcBorders>
            <w:shd w:val="clear" w:color="auto" w:fill="FFFFFF"/>
          </w:tcPr>
          <w:p w14:paraId="6D4CD67B" w14:textId="77777777" w:rsidR="00D13803" w:rsidRPr="007224C3" w:rsidRDefault="00D1380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стягивающий</w:t>
            </w:r>
          </w:p>
        </w:tc>
      </w:tr>
      <w:tr w:rsidR="00D13803" w:rsidRPr="007224C3" w14:paraId="50563EF4" w14:textId="77777777" w:rsidTr="00076D96">
        <w:trPr>
          <w:trHeight w:val="360"/>
          <w:jc w:val="center"/>
        </w:trPr>
        <w:tc>
          <w:tcPr>
            <w:tcW w:w="869" w:type="dxa"/>
            <w:tcBorders>
              <w:top w:val="single" w:sz="4" w:space="0" w:color="auto"/>
              <w:left w:val="single" w:sz="4" w:space="0" w:color="auto"/>
              <w:bottom w:val="single" w:sz="4" w:space="0" w:color="auto"/>
              <w:right w:val="single" w:sz="4" w:space="0" w:color="auto"/>
            </w:tcBorders>
            <w:shd w:val="clear" w:color="auto" w:fill="FFFFFF"/>
          </w:tcPr>
          <w:p w14:paraId="50D904E8" w14:textId="77777777" w:rsidR="00D13803" w:rsidRPr="007224C3" w:rsidRDefault="00D1380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АН-540</w:t>
            </w:r>
          </w:p>
        </w:tc>
        <w:tc>
          <w:tcPr>
            <w:tcW w:w="950" w:type="dxa"/>
            <w:tcBorders>
              <w:top w:val="single" w:sz="4" w:space="0" w:color="auto"/>
              <w:left w:val="single" w:sz="4" w:space="0" w:color="auto"/>
              <w:bottom w:val="single" w:sz="4" w:space="0" w:color="auto"/>
              <w:right w:val="single" w:sz="4" w:space="0" w:color="auto"/>
            </w:tcBorders>
            <w:shd w:val="clear" w:color="auto" w:fill="FFFFFF"/>
          </w:tcPr>
          <w:p w14:paraId="309E1CD6" w14:textId="77777777" w:rsidR="00D13803" w:rsidRPr="007224C3" w:rsidRDefault="00D1380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Конец 1930-х</w:t>
            </w:r>
          </w:p>
        </w:tc>
        <w:tc>
          <w:tcPr>
            <w:tcW w:w="850" w:type="dxa"/>
            <w:tcBorders>
              <w:top w:val="single" w:sz="4" w:space="0" w:color="auto"/>
              <w:left w:val="single" w:sz="4" w:space="0" w:color="auto"/>
              <w:bottom w:val="single" w:sz="4" w:space="0" w:color="auto"/>
              <w:right w:val="single" w:sz="4" w:space="0" w:color="auto"/>
            </w:tcBorders>
            <w:shd w:val="clear" w:color="auto" w:fill="FFFFFF"/>
          </w:tcPr>
          <w:p w14:paraId="3CC50E71" w14:textId="77777777" w:rsidR="00D13803" w:rsidRPr="007224C3" w:rsidRDefault="00D1380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540</w:t>
            </w:r>
          </w:p>
        </w:tc>
        <w:tc>
          <w:tcPr>
            <w:tcW w:w="691" w:type="dxa"/>
            <w:tcBorders>
              <w:top w:val="single" w:sz="4" w:space="0" w:color="auto"/>
              <w:left w:val="single" w:sz="4" w:space="0" w:color="auto"/>
              <w:bottom w:val="single" w:sz="4" w:space="0" w:color="auto"/>
              <w:right w:val="single" w:sz="4" w:space="0" w:color="auto"/>
            </w:tcBorders>
            <w:shd w:val="clear" w:color="auto" w:fill="FFFFFF"/>
          </w:tcPr>
          <w:p w14:paraId="6EC7D093" w14:textId="77777777" w:rsidR="00D13803" w:rsidRPr="007224C3" w:rsidRDefault="00D1380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21,3</w:t>
            </w:r>
          </w:p>
        </w:tc>
        <w:tc>
          <w:tcPr>
            <w:tcW w:w="946" w:type="dxa"/>
            <w:tcBorders>
              <w:top w:val="single" w:sz="4" w:space="0" w:color="auto"/>
              <w:left w:val="single" w:sz="4" w:space="0" w:color="auto"/>
              <w:bottom w:val="single" w:sz="4" w:space="0" w:color="auto"/>
              <w:right w:val="single" w:sz="4" w:space="0" w:color="auto"/>
            </w:tcBorders>
            <w:shd w:val="clear" w:color="auto" w:fill="FFFFFF"/>
          </w:tcPr>
          <w:p w14:paraId="02999B35" w14:textId="77777777" w:rsidR="00D13803" w:rsidRPr="007224C3" w:rsidRDefault="00D1380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7,9</w:t>
            </w:r>
          </w:p>
        </w:tc>
        <w:tc>
          <w:tcPr>
            <w:tcW w:w="1094" w:type="dxa"/>
            <w:tcBorders>
              <w:top w:val="single" w:sz="4" w:space="0" w:color="auto"/>
              <w:left w:val="single" w:sz="4" w:space="0" w:color="auto"/>
              <w:bottom w:val="single" w:sz="4" w:space="0" w:color="auto"/>
              <w:right w:val="single" w:sz="4" w:space="0" w:color="auto"/>
            </w:tcBorders>
            <w:shd w:val="clear" w:color="auto" w:fill="FFFFFF"/>
          </w:tcPr>
          <w:p w14:paraId="59E3E0D9" w14:textId="77777777" w:rsidR="00D13803" w:rsidRPr="007224C3" w:rsidRDefault="00D1380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284</w:t>
            </w:r>
          </w:p>
        </w:tc>
        <w:tc>
          <w:tcPr>
            <w:tcW w:w="1032" w:type="dxa"/>
            <w:tcBorders>
              <w:top w:val="single" w:sz="4" w:space="0" w:color="auto"/>
              <w:left w:val="single" w:sz="4" w:space="0" w:color="auto"/>
              <w:bottom w:val="single" w:sz="4" w:space="0" w:color="auto"/>
              <w:right w:val="single" w:sz="4" w:space="0" w:color="auto"/>
            </w:tcBorders>
            <w:shd w:val="clear" w:color="auto" w:fill="FFFFFF"/>
          </w:tcPr>
          <w:p w14:paraId="1635BF33" w14:textId="77777777" w:rsidR="00D13803" w:rsidRPr="007224C3" w:rsidRDefault="00D1380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400</w:t>
            </w:r>
          </w:p>
        </w:tc>
        <w:tc>
          <w:tcPr>
            <w:tcW w:w="1181" w:type="dxa"/>
            <w:tcBorders>
              <w:top w:val="single" w:sz="4" w:space="0" w:color="auto"/>
              <w:left w:val="single" w:sz="4" w:space="0" w:color="auto"/>
              <w:bottom w:val="single" w:sz="4" w:space="0" w:color="auto"/>
              <w:right w:val="single" w:sz="4" w:space="0" w:color="auto"/>
            </w:tcBorders>
            <w:shd w:val="clear" w:color="auto" w:fill="FFFFFF"/>
          </w:tcPr>
          <w:p w14:paraId="26F4D441" w14:textId="77777777" w:rsidR="00D13803" w:rsidRPr="007224C3" w:rsidRDefault="00D1380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24</w:t>
            </w:r>
          </w:p>
        </w:tc>
        <w:tc>
          <w:tcPr>
            <w:tcW w:w="984" w:type="dxa"/>
            <w:tcBorders>
              <w:top w:val="single" w:sz="4" w:space="0" w:color="auto"/>
              <w:left w:val="single" w:sz="4" w:space="0" w:color="auto"/>
              <w:bottom w:val="single" w:sz="4" w:space="0" w:color="auto"/>
              <w:right w:val="single" w:sz="4" w:space="0" w:color="auto"/>
            </w:tcBorders>
            <w:shd w:val="clear" w:color="auto" w:fill="FFFFFF"/>
          </w:tcPr>
          <w:p w14:paraId="197F9B74" w14:textId="77777777" w:rsidR="00D13803" w:rsidRPr="007224C3" w:rsidRDefault="00D1380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4,6</w:t>
            </w:r>
          </w:p>
        </w:tc>
        <w:tc>
          <w:tcPr>
            <w:tcW w:w="1214" w:type="dxa"/>
            <w:tcBorders>
              <w:top w:val="single" w:sz="4" w:space="0" w:color="auto"/>
              <w:left w:val="single" w:sz="4" w:space="0" w:color="auto"/>
              <w:bottom w:val="single" w:sz="4" w:space="0" w:color="auto"/>
              <w:right w:val="single" w:sz="4" w:space="0" w:color="auto"/>
            </w:tcBorders>
            <w:shd w:val="clear" w:color="auto" w:fill="FFFFFF"/>
          </w:tcPr>
          <w:p w14:paraId="4F7B82D0" w14:textId="77777777" w:rsidR="00D13803" w:rsidRPr="007224C3" w:rsidRDefault="00D1380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стягивающий</w:t>
            </w:r>
          </w:p>
        </w:tc>
      </w:tr>
      <w:tr w:rsidR="00D13803" w:rsidRPr="007224C3" w14:paraId="7F633439" w14:textId="77777777" w:rsidTr="00076D96">
        <w:trPr>
          <w:trHeight w:val="178"/>
          <w:jc w:val="center"/>
        </w:trPr>
        <w:tc>
          <w:tcPr>
            <w:tcW w:w="869" w:type="dxa"/>
            <w:tcBorders>
              <w:top w:val="single" w:sz="4" w:space="0" w:color="auto"/>
              <w:left w:val="single" w:sz="4" w:space="0" w:color="auto"/>
              <w:bottom w:val="single" w:sz="4" w:space="0" w:color="auto"/>
              <w:right w:val="single" w:sz="4" w:space="0" w:color="auto"/>
            </w:tcBorders>
            <w:shd w:val="clear" w:color="auto" w:fill="FFFFFF"/>
          </w:tcPr>
          <w:p w14:paraId="17B9E4DE" w14:textId="77777777" w:rsidR="00D13803" w:rsidRPr="007224C3" w:rsidRDefault="00D1380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БД</w:t>
            </w:r>
          </w:p>
        </w:tc>
        <w:tc>
          <w:tcPr>
            <w:tcW w:w="950" w:type="dxa"/>
            <w:tcBorders>
              <w:top w:val="single" w:sz="4" w:space="0" w:color="auto"/>
              <w:left w:val="single" w:sz="4" w:space="0" w:color="auto"/>
              <w:bottom w:val="single" w:sz="4" w:space="0" w:color="auto"/>
              <w:right w:val="single" w:sz="4" w:space="0" w:color="auto"/>
            </w:tcBorders>
            <w:shd w:val="clear" w:color="auto" w:fill="FFFFFF"/>
          </w:tcPr>
          <w:p w14:paraId="518DE466" w14:textId="77777777" w:rsidR="00D13803" w:rsidRPr="007224C3" w:rsidRDefault="00D1380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1940</w:t>
            </w:r>
          </w:p>
        </w:tc>
        <w:tc>
          <w:tcPr>
            <w:tcW w:w="850" w:type="dxa"/>
            <w:tcBorders>
              <w:top w:val="single" w:sz="4" w:space="0" w:color="auto"/>
              <w:left w:val="single" w:sz="4" w:space="0" w:color="auto"/>
              <w:bottom w:val="single" w:sz="4" w:space="0" w:color="auto"/>
              <w:right w:val="single" w:sz="4" w:space="0" w:color="auto"/>
            </w:tcBorders>
            <w:shd w:val="clear" w:color="auto" w:fill="FFFFFF"/>
          </w:tcPr>
          <w:p w14:paraId="4B800F65" w14:textId="77777777" w:rsidR="00D13803" w:rsidRPr="007224C3" w:rsidRDefault="00D1380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1080</w:t>
            </w:r>
          </w:p>
        </w:tc>
        <w:tc>
          <w:tcPr>
            <w:tcW w:w="691" w:type="dxa"/>
            <w:tcBorders>
              <w:top w:val="single" w:sz="4" w:space="0" w:color="auto"/>
              <w:left w:val="single" w:sz="4" w:space="0" w:color="auto"/>
              <w:bottom w:val="single" w:sz="4" w:space="0" w:color="auto"/>
              <w:right w:val="single" w:sz="4" w:space="0" w:color="auto"/>
            </w:tcBorders>
            <w:shd w:val="clear" w:color="auto" w:fill="FFFFFF"/>
          </w:tcPr>
          <w:p w14:paraId="0ADB7694" w14:textId="77777777" w:rsidR="00D13803" w:rsidRPr="007224C3" w:rsidRDefault="00D1380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28</w:t>
            </w:r>
          </w:p>
        </w:tc>
        <w:tc>
          <w:tcPr>
            <w:tcW w:w="946" w:type="dxa"/>
            <w:tcBorders>
              <w:top w:val="single" w:sz="4" w:space="0" w:color="auto"/>
              <w:left w:val="single" w:sz="4" w:space="0" w:color="auto"/>
              <w:bottom w:val="single" w:sz="4" w:space="0" w:color="auto"/>
              <w:right w:val="single" w:sz="4" w:space="0" w:color="auto"/>
            </w:tcBorders>
            <w:shd w:val="clear" w:color="auto" w:fill="FFFFFF"/>
          </w:tcPr>
          <w:p w14:paraId="2060B9EC" w14:textId="77777777" w:rsidR="00D13803" w:rsidRPr="007224C3" w:rsidRDefault="00D1380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8,6</w:t>
            </w:r>
          </w:p>
        </w:tc>
        <w:tc>
          <w:tcPr>
            <w:tcW w:w="1094" w:type="dxa"/>
            <w:tcBorders>
              <w:top w:val="single" w:sz="4" w:space="0" w:color="auto"/>
              <w:left w:val="single" w:sz="4" w:space="0" w:color="auto"/>
              <w:bottom w:val="single" w:sz="4" w:space="0" w:color="auto"/>
              <w:right w:val="single" w:sz="4" w:space="0" w:color="auto"/>
            </w:tcBorders>
            <w:shd w:val="clear" w:color="auto" w:fill="FFFFFF"/>
          </w:tcPr>
          <w:p w14:paraId="39C96861" w14:textId="77777777" w:rsidR="00D13803" w:rsidRPr="007224C3" w:rsidRDefault="00D1380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450</w:t>
            </w:r>
          </w:p>
        </w:tc>
        <w:tc>
          <w:tcPr>
            <w:tcW w:w="1032" w:type="dxa"/>
            <w:tcBorders>
              <w:top w:val="single" w:sz="4" w:space="0" w:color="auto"/>
              <w:left w:val="single" w:sz="4" w:space="0" w:color="auto"/>
              <w:bottom w:val="single" w:sz="4" w:space="0" w:color="auto"/>
              <w:right w:val="single" w:sz="4" w:space="0" w:color="auto"/>
            </w:tcBorders>
            <w:shd w:val="clear" w:color="auto" w:fill="FFFFFF"/>
          </w:tcPr>
          <w:p w14:paraId="7EB61C50" w14:textId="77777777" w:rsidR="00D13803" w:rsidRPr="007224C3" w:rsidRDefault="00D1380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1500</w:t>
            </w:r>
          </w:p>
        </w:tc>
        <w:tc>
          <w:tcPr>
            <w:tcW w:w="1181" w:type="dxa"/>
            <w:tcBorders>
              <w:top w:val="single" w:sz="4" w:space="0" w:color="auto"/>
              <w:left w:val="single" w:sz="4" w:space="0" w:color="auto"/>
              <w:bottom w:val="single" w:sz="4" w:space="0" w:color="auto"/>
              <w:right w:val="single" w:sz="4" w:space="0" w:color="auto"/>
            </w:tcBorders>
            <w:shd w:val="clear" w:color="auto" w:fill="FFFFFF"/>
          </w:tcPr>
          <w:p w14:paraId="2B69296B" w14:textId="77777777" w:rsidR="00D13803" w:rsidRPr="007224C3" w:rsidRDefault="00D1380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25</w:t>
            </w:r>
          </w:p>
        </w:tc>
        <w:tc>
          <w:tcPr>
            <w:tcW w:w="984" w:type="dxa"/>
            <w:tcBorders>
              <w:top w:val="single" w:sz="4" w:space="0" w:color="auto"/>
              <w:left w:val="single" w:sz="4" w:space="0" w:color="auto"/>
              <w:bottom w:val="single" w:sz="4" w:space="0" w:color="auto"/>
              <w:right w:val="single" w:sz="4" w:space="0" w:color="auto"/>
            </w:tcBorders>
            <w:shd w:val="clear" w:color="auto" w:fill="FFFFFF"/>
          </w:tcPr>
          <w:p w14:paraId="7C66A730" w14:textId="77777777" w:rsidR="00D13803" w:rsidRPr="007224C3" w:rsidRDefault="00D1380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6,5</w:t>
            </w:r>
          </w:p>
        </w:tc>
        <w:tc>
          <w:tcPr>
            <w:tcW w:w="1214" w:type="dxa"/>
            <w:tcBorders>
              <w:top w:val="single" w:sz="4" w:space="0" w:color="auto"/>
              <w:left w:val="single" w:sz="4" w:space="0" w:color="auto"/>
              <w:bottom w:val="single" w:sz="4" w:space="0" w:color="auto"/>
              <w:right w:val="single" w:sz="4" w:space="0" w:color="auto"/>
            </w:tcBorders>
            <w:shd w:val="clear" w:color="auto" w:fill="FFFFFF"/>
          </w:tcPr>
          <w:p w14:paraId="0928DAEC" w14:textId="77777777" w:rsidR="00D13803" w:rsidRPr="007224C3" w:rsidRDefault="00D1380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стягивающий</w:t>
            </w:r>
          </w:p>
        </w:tc>
      </w:tr>
      <w:tr w:rsidR="00D13803" w:rsidRPr="007224C3" w14:paraId="0CC73DA8" w14:textId="77777777" w:rsidTr="00076D96">
        <w:trPr>
          <w:trHeight w:val="182"/>
          <w:jc w:val="center"/>
        </w:trPr>
        <w:tc>
          <w:tcPr>
            <w:tcW w:w="869" w:type="dxa"/>
            <w:tcBorders>
              <w:top w:val="single" w:sz="4" w:space="0" w:color="auto"/>
              <w:left w:val="single" w:sz="4" w:space="0" w:color="auto"/>
              <w:bottom w:val="single" w:sz="4" w:space="0" w:color="auto"/>
              <w:right w:val="single" w:sz="4" w:space="0" w:color="auto"/>
            </w:tcBorders>
            <w:shd w:val="clear" w:color="auto" w:fill="FFFFFF"/>
          </w:tcPr>
          <w:p w14:paraId="1BD75A28" w14:textId="77777777" w:rsidR="00D13803" w:rsidRPr="007224C3" w:rsidRDefault="00D1380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КАН-640</w:t>
            </w:r>
          </w:p>
        </w:tc>
        <w:tc>
          <w:tcPr>
            <w:tcW w:w="950" w:type="dxa"/>
            <w:tcBorders>
              <w:top w:val="single" w:sz="4" w:space="0" w:color="auto"/>
              <w:left w:val="single" w:sz="4" w:space="0" w:color="auto"/>
              <w:bottom w:val="single" w:sz="4" w:space="0" w:color="auto"/>
              <w:right w:val="single" w:sz="4" w:space="0" w:color="auto"/>
            </w:tcBorders>
            <w:shd w:val="clear" w:color="auto" w:fill="FFFFFF"/>
          </w:tcPr>
          <w:p w14:paraId="2FAA764A" w14:textId="77777777" w:rsidR="00D13803" w:rsidRPr="007224C3" w:rsidRDefault="00D1380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1942</w:t>
            </w:r>
          </w:p>
        </w:tc>
        <w:tc>
          <w:tcPr>
            <w:tcW w:w="850" w:type="dxa"/>
            <w:tcBorders>
              <w:top w:val="single" w:sz="4" w:space="0" w:color="auto"/>
              <w:left w:val="single" w:sz="4" w:space="0" w:color="auto"/>
              <w:bottom w:val="single" w:sz="4" w:space="0" w:color="auto"/>
              <w:right w:val="single" w:sz="4" w:space="0" w:color="auto"/>
            </w:tcBorders>
            <w:shd w:val="clear" w:color="auto" w:fill="FFFFFF"/>
          </w:tcPr>
          <w:p w14:paraId="3988D2D8" w14:textId="77777777" w:rsidR="00D13803" w:rsidRPr="007224C3" w:rsidRDefault="00D1380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675</w:t>
            </w:r>
          </w:p>
        </w:tc>
        <w:tc>
          <w:tcPr>
            <w:tcW w:w="691" w:type="dxa"/>
            <w:tcBorders>
              <w:top w:val="single" w:sz="4" w:space="0" w:color="auto"/>
              <w:left w:val="single" w:sz="4" w:space="0" w:color="auto"/>
              <w:bottom w:val="single" w:sz="4" w:space="0" w:color="auto"/>
              <w:right w:val="single" w:sz="4" w:space="0" w:color="auto"/>
            </w:tcBorders>
            <w:shd w:val="clear" w:color="auto" w:fill="FFFFFF"/>
          </w:tcPr>
          <w:p w14:paraId="510D79C4" w14:textId="77777777" w:rsidR="00D13803" w:rsidRPr="007224C3" w:rsidRDefault="00D1380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22,5</w:t>
            </w:r>
          </w:p>
        </w:tc>
        <w:tc>
          <w:tcPr>
            <w:tcW w:w="946" w:type="dxa"/>
            <w:tcBorders>
              <w:top w:val="single" w:sz="4" w:space="0" w:color="auto"/>
              <w:left w:val="single" w:sz="4" w:space="0" w:color="auto"/>
              <w:bottom w:val="single" w:sz="4" w:space="0" w:color="auto"/>
              <w:right w:val="single" w:sz="4" w:space="0" w:color="auto"/>
            </w:tcBorders>
            <w:shd w:val="clear" w:color="auto" w:fill="FFFFFF"/>
          </w:tcPr>
          <w:p w14:paraId="0D05311E" w14:textId="77777777" w:rsidR="00D13803" w:rsidRPr="007224C3" w:rsidRDefault="00D1380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8,0</w:t>
            </w:r>
          </w:p>
        </w:tc>
        <w:tc>
          <w:tcPr>
            <w:tcW w:w="1094" w:type="dxa"/>
            <w:tcBorders>
              <w:top w:val="single" w:sz="4" w:space="0" w:color="auto"/>
              <w:left w:val="single" w:sz="4" w:space="0" w:color="auto"/>
              <w:bottom w:val="single" w:sz="4" w:space="0" w:color="auto"/>
              <w:right w:val="single" w:sz="4" w:space="0" w:color="auto"/>
            </w:tcBorders>
            <w:shd w:val="clear" w:color="auto" w:fill="FFFFFF"/>
          </w:tcPr>
          <w:p w14:paraId="1B3A085E" w14:textId="77777777" w:rsidR="00D13803" w:rsidRPr="007224C3" w:rsidRDefault="00D1380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321</w:t>
            </w:r>
          </w:p>
        </w:tc>
        <w:tc>
          <w:tcPr>
            <w:tcW w:w="1032" w:type="dxa"/>
            <w:tcBorders>
              <w:top w:val="single" w:sz="4" w:space="0" w:color="auto"/>
              <w:left w:val="single" w:sz="4" w:space="0" w:color="auto"/>
              <w:bottom w:val="single" w:sz="4" w:space="0" w:color="auto"/>
              <w:right w:val="single" w:sz="4" w:space="0" w:color="auto"/>
            </w:tcBorders>
            <w:shd w:val="clear" w:color="auto" w:fill="FFFFFF"/>
          </w:tcPr>
          <w:p w14:paraId="1C5FC808" w14:textId="77777777" w:rsidR="00D13803" w:rsidRPr="007224C3" w:rsidRDefault="00D1380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1000</w:t>
            </w:r>
          </w:p>
        </w:tc>
        <w:tc>
          <w:tcPr>
            <w:tcW w:w="1181" w:type="dxa"/>
            <w:tcBorders>
              <w:top w:val="single" w:sz="4" w:space="0" w:color="auto"/>
              <w:left w:val="single" w:sz="4" w:space="0" w:color="auto"/>
              <w:bottom w:val="single" w:sz="4" w:space="0" w:color="auto"/>
              <w:right w:val="single" w:sz="4" w:space="0" w:color="auto"/>
            </w:tcBorders>
            <w:shd w:val="clear" w:color="auto" w:fill="FFFFFF"/>
          </w:tcPr>
          <w:p w14:paraId="21899221" w14:textId="77777777" w:rsidR="00D13803" w:rsidRPr="007224C3" w:rsidRDefault="00D1380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22</w:t>
            </w:r>
          </w:p>
        </w:tc>
        <w:tc>
          <w:tcPr>
            <w:tcW w:w="984" w:type="dxa"/>
            <w:tcBorders>
              <w:top w:val="single" w:sz="4" w:space="0" w:color="auto"/>
              <w:left w:val="single" w:sz="4" w:space="0" w:color="auto"/>
              <w:bottom w:val="single" w:sz="4" w:space="0" w:color="auto"/>
              <w:right w:val="single" w:sz="4" w:space="0" w:color="auto"/>
            </w:tcBorders>
            <w:shd w:val="clear" w:color="auto" w:fill="FFFFFF"/>
          </w:tcPr>
          <w:p w14:paraId="35B7D0CF" w14:textId="77777777" w:rsidR="00D13803" w:rsidRPr="007224C3" w:rsidRDefault="00D1380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4,6</w:t>
            </w:r>
          </w:p>
        </w:tc>
        <w:tc>
          <w:tcPr>
            <w:tcW w:w="1214" w:type="dxa"/>
            <w:tcBorders>
              <w:top w:val="single" w:sz="4" w:space="0" w:color="auto"/>
              <w:left w:val="single" w:sz="4" w:space="0" w:color="auto"/>
              <w:bottom w:val="single" w:sz="4" w:space="0" w:color="auto"/>
              <w:right w:val="single" w:sz="4" w:space="0" w:color="auto"/>
            </w:tcBorders>
            <w:shd w:val="clear" w:color="auto" w:fill="FFFFFF"/>
          </w:tcPr>
          <w:p w14:paraId="67D2605A" w14:textId="77777777" w:rsidR="00D13803" w:rsidRPr="007224C3" w:rsidRDefault="00D1380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стягивающий</w:t>
            </w:r>
          </w:p>
        </w:tc>
      </w:tr>
      <w:tr w:rsidR="00D13803" w:rsidRPr="007224C3" w14:paraId="16F6F763" w14:textId="77777777" w:rsidTr="00076D96">
        <w:trPr>
          <w:trHeight w:val="187"/>
          <w:jc w:val="center"/>
        </w:trPr>
        <w:tc>
          <w:tcPr>
            <w:tcW w:w="869" w:type="dxa"/>
            <w:tcBorders>
              <w:top w:val="single" w:sz="4" w:space="0" w:color="auto"/>
              <w:left w:val="single" w:sz="4" w:space="0" w:color="auto"/>
              <w:bottom w:val="single" w:sz="4" w:space="0" w:color="auto"/>
              <w:right w:val="single" w:sz="4" w:space="0" w:color="auto"/>
            </w:tcBorders>
            <w:shd w:val="clear" w:color="auto" w:fill="FFFFFF"/>
          </w:tcPr>
          <w:p w14:paraId="52950B28" w14:textId="77777777" w:rsidR="00D13803" w:rsidRPr="007224C3" w:rsidRDefault="00D1380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АН-540Б</w:t>
            </w:r>
          </w:p>
        </w:tc>
        <w:tc>
          <w:tcPr>
            <w:tcW w:w="950" w:type="dxa"/>
            <w:tcBorders>
              <w:top w:val="single" w:sz="4" w:space="0" w:color="auto"/>
              <w:left w:val="single" w:sz="4" w:space="0" w:color="auto"/>
              <w:bottom w:val="single" w:sz="4" w:space="0" w:color="auto"/>
              <w:right w:val="single" w:sz="4" w:space="0" w:color="auto"/>
            </w:tcBorders>
            <w:shd w:val="clear" w:color="auto" w:fill="FFFFFF"/>
          </w:tcPr>
          <w:p w14:paraId="3AD9CF0E" w14:textId="77777777" w:rsidR="00D13803" w:rsidRPr="007224C3" w:rsidRDefault="00D1380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1947</w:t>
            </w:r>
          </w:p>
        </w:tc>
        <w:tc>
          <w:tcPr>
            <w:tcW w:w="850" w:type="dxa"/>
            <w:tcBorders>
              <w:top w:val="single" w:sz="4" w:space="0" w:color="auto"/>
              <w:left w:val="single" w:sz="4" w:space="0" w:color="auto"/>
              <w:bottom w:val="single" w:sz="4" w:space="0" w:color="auto"/>
              <w:right w:val="single" w:sz="4" w:space="0" w:color="auto"/>
            </w:tcBorders>
            <w:shd w:val="clear" w:color="auto" w:fill="FFFFFF"/>
          </w:tcPr>
          <w:p w14:paraId="50E9178A" w14:textId="77777777" w:rsidR="00D13803" w:rsidRPr="007224C3" w:rsidRDefault="00D1380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540</w:t>
            </w:r>
          </w:p>
        </w:tc>
        <w:tc>
          <w:tcPr>
            <w:tcW w:w="691" w:type="dxa"/>
            <w:tcBorders>
              <w:top w:val="single" w:sz="4" w:space="0" w:color="auto"/>
              <w:left w:val="single" w:sz="4" w:space="0" w:color="auto"/>
              <w:bottom w:val="single" w:sz="4" w:space="0" w:color="auto"/>
              <w:right w:val="single" w:sz="4" w:space="0" w:color="auto"/>
            </w:tcBorders>
            <w:shd w:val="clear" w:color="auto" w:fill="FFFFFF"/>
          </w:tcPr>
          <w:p w14:paraId="1938DF9A" w14:textId="77777777" w:rsidR="00D13803" w:rsidRPr="007224C3" w:rsidRDefault="00D1380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21,3</w:t>
            </w:r>
          </w:p>
        </w:tc>
        <w:tc>
          <w:tcPr>
            <w:tcW w:w="946" w:type="dxa"/>
            <w:tcBorders>
              <w:top w:val="single" w:sz="4" w:space="0" w:color="auto"/>
              <w:left w:val="single" w:sz="4" w:space="0" w:color="auto"/>
              <w:bottom w:val="single" w:sz="4" w:space="0" w:color="auto"/>
              <w:right w:val="single" w:sz="4" w:space="0" w:color="auto"/>
            </w:tcBorders>
            <w:shd w:val="clear" w:color="auto" w:fill="FFFFFF"/>
          </w:tcPr>
          <w:p w14:paraId="35E6E1F3" w14:textId="77777777" w:rsidR="00D13803" w:rsidRPr="007224C3" w:rsidRDefault="00D1380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7,9</w:t>
            </w:r>
          </w:p>
        </w:tc>
        <w:tc>
          <w:tcPr>
            <w:tcW w:w="1094" w:type="dxa"/>
            <w:tcBorders>
              <w:top w:val="single" w:sz="4" w:space="0" w:color="auto"/>
              <w:left w:val="single" w:sz="4" w:space="0" w:color="auto"/>
              <w:bottom w:val="single" w:sz="4" w:space="0" w:color="auto"/>
              <w:right w:val="single" w:sz="4" w:space="0" w:color="auto"/>
            </w:tcBorders>
            <w:shd w:val="clear" w:color="auto" w:fill="FFFFFF"/>
          </w:tcPr>
          <w:p w14:paraId="7576FA4C" w14:textId="77777777" w:rsidR="00D13803" w:rsidRPr="007224C3" w:rsidRDefault="00D1380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278</w:t>
            </w:r>
          </w:p>
        </w:tc>
        <w:tc>
          <w:tcPr>
            <w:tcW w:w="1032" w:type="dxa"/>
            <w:tcBorders>
              <w:top w:val="single" w:sz="4" w:space="0" w:color="auto"/>
              <w:left w:val="single" w:sz="4" w:space="0" w:color="auto"/>
              <w:bottom w:val="single" w:sz="4" w:space="0" w:color="auto"/>
              <w:right w:val="single" w:sz="4" w:space="0" w:color="auto"/>
            </w:tcBorders>
            <w:shd w:val="clear" w:color="auto" w:fill="FFFFFF"/>
          </w:tcPr>
          <w:p w14:paraId="706D1956" w14:textId="77777777" w:rsidR="00D13803" w:rsidRPr="007224C3" w:rsidRDefault="00D1380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500</w:t>
            </w:r>
          </w:p>
        </w:tc>
        <w:tc>
          <w:tcPr>
            <w:tcW w:w="1181" w:type="dxa"/>
            <w:tcBorders>
              <w:top w:val="single" w:sz="4" w:space="0" w:color="auto"/>
              <w:left w:val="single" w:sz="4" w:space="0" w:color="auto"/>
              <w:bottom w:val="single" w:sz="4" w:space="0" w:color="auto"/>
              <w:right w:val="single" w:sz="4" w:space="0" w:color="auto"/>
            </w:tcBorders>
            <w:shd w:val="clear" w:color="auto" w:fill="FFFFFF"/>
          </w:tcPr>
          <w:p w14:paraId="2471EF75" w14:textId="77777777" w:rsidR="00D13803" w:rsidRPr="007224C3" w:rsidRDefault="00D1380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24</w:t>
            </w:r>
          </w:p>
        </w:tc>
        <w:tc>
          <w:tcPr>
            <w:tcW w:w="984" w:type="dxa"/>
            <w:tcBorders>
              <w:top w:val="single" w:sz="4" w:space="0" w:color="auto"/>
              <w:left w:val="single" w:sz="4" w:space="0" w:color="auto"/>
              <w:bottom w:val="single" w:sz="4" w:space="0" w:color="auto"/>
              <w:right w:val="single" w:sz="4" w:space="0" w:color="auto"/>
            </w:tcBorders>
            <w:shd w:val="clear" w:color="auto" w:fill="FFFFFF"/>
          </w:tcPr>
          <w:p w14:paraId="41FC0EAE" w14:textId="77777777" w:rsidR="00D13803" w:rsidRPr="007224C3" w:rsidRDefault="00D1380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4,6</w:t>
            </w:r>
          </w:p>
        </w:tc>
        <w:tc>
          <w:tcPr>
            <w:tcW w:w="1214" w:type="dxa"/>
            <w:tcBorders>
              <w:top w:val="single" w:sz="4" w:space="0" w:color="auto"/>
              <w:left w:val="single" w:sz="4" w:space="0" w:color="auto"/>
              <w:bottom w:val="single" w:sz="4" w:space="0" w:color="auto"/>
              <w:right w:val="single" w:sz="4" w:space="0" w:color="auto"/>
            </w:tcBorders>
            <w:shd w:val="clear" w:color="auto" w:fill="FFFFFF"/>
          </w:tcPr>
          <w:p w14:paraId="7DCC055F" w14:textId="77777777" w:rsidR="00D13803" w:rsidRPr="007224C3" w:rsidRDefault="00D1380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баллонетный</w:t>
            </w:r>
          </w:p>
        </w:tc>
      </w:tr>
    </w:tbl>
    <w:p w14:paraId="1B7D5DC5" w14:textId="77777777" w:rsidR="00D13803" w:rsidRPr="007224C3" w:rsidRDefault="00D1380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Примечание: Величина предельной скорости ветра на боевой высоте ААН даётся по данным заводских ин</w:t>
      </w:r>
      <w:r w:rsidRPr="007224C3">
        <w:rPr>
          <w:rFonts w:ascii="Times New Roman" w:hAnsi="Times New Roman"/>
          <w:color w:val="0070C0"/>
          <w:sz w:val="16"/>
          <w:szCs w:val="16"/>
        </w:rPr>
        <w:softHyphen/>
        <w:t>струкций, фактически её значение для каждого типа аэростата было заметно меньше.</w:t>
      </w:r>
    </w:p>
    <w:p w14:paraId="33830903" w14:textId="77777777" w:rsidR="00D13803" w:rsidRPr="007224C3" w:rsidRDefault="00D1380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ААН БД («боевого действия»), поднимавший в воздух четырёх воздухоплавателей в двух кор</w:t>
      </w:r>
      <w:r w:rsidRPr="007224C3">
        <w:rPr>
          <w:rFonts w:ascii="Times New Roman" w:hAnsi="Times New Roman"/>
          <w:color w:val="0070C0"/>
          <w:sz w:val="16"/>
          <w:szCs w:val="16"/>
        </w:rPr>
        <w:softHyphen/>
        <w:t>зинах, был хорошим с точки зрения аэродина</w:t>
      </w:r>
      <w:r w:rsidRPr="007224C3">
        <w:rPr>
          <w:rFonts w:ascii="Times New Roman" w:hAnsi="Times New Roman"/>
          <w:color w:val="0070C0"/>
          <w:sz w:val="16"/>
          <w:szCs w:val="16"/>
        </w:rPr>
        <w:softHyphen/>
        <w:t>мики и довольно устойчиво стоял в воздухе при больших ветрах. До войны обучение наблюдате</w:t>
      </w:r>
      <w:r w:rsidRPr="007224C3">
        <w:rPr>
          <w:rFonts w:ascii="Times New Roman" w:hAnsi="Times New Roman"/>
          <w:color w:val="0070C0"/>
          <w:sz w:val="16"/>
          <w:szCs w:val="16"/>
        </w:rPr>
        <w:softHyphen/>
        <w:t>лей проводилось именно на аэростатах данного типа. Боевой опыт, однако, показал, что аэростат громоздок, для его обслуживания необходим большой наземный расчёт, а сам он представля</w:t>
      </w:r>
      <w:r w:rsidRPr="007224C3">
        <w:rPr>
          <w:rFonts w:ascii="Times New Roman" w:hAnsi="Times New Roman"/>
          <w:color w:val="0070C0"/>
          <w:sz w:val="16"/>
          <w:szCs w:val="16"/>
        </w:rPr>
        <w:softHyphen/>
        <w:t>ет заметную цель для летчиков и артиллеристов противника. В частях аэростаты БД заменили сначала на аэростаты АН-540 со стягивающей си</w:t>
      </w:r>
      <w:r w:rsidRPr="007224C3">
        <w:rPr>
          <w:rFonts w:ascii="Times New Roman" w:hAnsi="Times New Roman"/>
          <w:color w:val="0070C0"/>
          <w:sz w:val="16"/>
          <w:szCs w:val="16"/>
        </w:rPr>
        <w:softHyphen/>
        <w:t>стемой, затем на баллонетные аэростаты того же типа АН-540Б.</w:t>
      </w:r>
    </w:p>
    <w:p w14:paraId="44FD85A4" w14:textId="77777777" w:rsidR="00D13803" w:rsidRPr="007224C3" w:rsidRDefault="00D1380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АН-350 требовал мало газа для своего напол</w:t>
      </w:r>
      <w:r w:rsidRPr="007224C3">
        <w:rPr>
          <w:rFonts w:ascii="Times New Roman" w:hAnsi="Times New Roman"/>
          <w:color w:val="0070C0"/>
          <w:sz w:val="16"/>
          <w:szCs w:val="16"/>
        </w:rPr>
        <w:softHyphen/>
        <w:t>нения. Этим обстоятельством пользовались воз</w:t>
      </w:r>
      <w:r w:rsidRPr="007224C3">
        <w:rPr>
          <w:rFonts w:ascii="Times New Roman" w:hAnsi="Times New Roman"/>
          <w:color w:val="0070C0"/>
          <w:sz w:val="16"/>
          <w:szCs w:val="16"/>
        </w:rPr>
        <w:softHyphen/>
        <w:t>духоплаватели Ленинграда, когда из-за дефици</w:t>
      </w:r>
      <w:r w:rsidRPr="007224C3">
        <w:rPr>
          <w:rFonts w:ascii="Times New Roman" w:hAnsi="Times New Roman"/>
          <w:color w:val="0070C0"/>
          <w:sz w:val="16"/>
          <w:szCs w:val="16"/>
        </w:rPr>
        <w:softHyphen/>
        <w:t>та электроэнергии и сырья химический завод ощутимо сократил выработку водорода. Однако именно из-за малого объёма оболочки АН-350 поднимал только одного наблюдателя на высо</w:t>
      </w:r>
      <w:r w:rsidRPr="007224C3">
        <w:rPr>
          <w:rFonts w:ascii="Times New Roman" w:hAnsi="Times New Roman"/>
          <w:color w:val="0070C0"/>
          <w:sz w:val="16"/>
          <w:szCs w:val="16"/>
        </w:rPr>
        <w:softHyphen/>
        <w:t>ту не более 700 м. Он был очень неустойчив при сильном ветре, и при его порывах натянутый трос мог придавать его оболочке отрицательный угол атаки. В результате аэростат пикировал, ударялся о землю и отскакивал в нормальное положение. В таких случаях аэронавтам рекомендовалось браться за трапецию и в момент удара подтяги</w:t>
      </w:r>
      <w:r w:rsidRPr="007224C3">
        <w:rPr>
          <w:rFonts w:ascii="Times New Roman" w:hAnsi="Times New Roman"/>
          <w:color w:val="0070C0"/>
          <w:sz w:val="16"/>
          <w:szCs w:val="16"/>
        </w:rPr>
        <w:softHyphen/>
        <w:t>ваться на руках.</w:t>
      </w:r>
    </w:p>
    <w:p w14:paraId="4CFCBE57" w14:textId="77777777" w:rsidR="00D13803" w:rsidRPr="007224C3" w:rsidRDefault="00D1380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Аэростат АН-540 очень нравился воздухопла</w:t>
      </w:r>
      <w:r w:rsidRPr="007224C3">
        <w:rPr>
          <w:rFonts w:ascii="Times New Roman" w:hAnsi="Times New Roman"/>
          <w:color w:val="0070C0"/>
          <w:sz w:val="16"/>
          <w:szCs w:val="16"/>
        </w:rPr>
        <w:softHyphen/>
        <w:t>вателям. Он поднимал двух человек, в воздухе вёл себя спокойно и не рыскал по ветру. Подъём на боевую высоту и спуск с неё занимал всего четыре-пять минут. Дальность наблюдения при благоприятных условиях составляла: стреляю</w:t>
      </w:r>
      <w:r w:rsidRPr="007224C3">
        <w:rPr>
          <w:rFonts w:ascii="Times New Roman" w:hAnsi="Times New Roman"/>
          <w:color w:val="0070C0"/>
          <w:sz w:val="16"/>
          <w:szCs w:val="16"/>
        </w:rPr>
        <w:softHyphen/>
        <w:t>щих батарей — до 20 км, колонн механизирован</w:t>
      </w:r>
      <w:r w:rsidRPr="007224C3">
        <w:rPr>
          <w:rFonts w:ascii="Times New Roman" w:hAnsi="Times New Roman"/>
          <w:color w:val="0070C0"/>
          <w:sz w:val="16"/>
          <w:szCs w:val="16"/>
        </w:rPr>
        <w:softHyphen/>
        <w:t>ных войск — до 25 км, разрывов осколочно-фу</w:t>
      </w:r>
      <w:r w:rsidRPr="007224C3">
        <w:rPr>
          <w:rFonts w:ascii="Times New Roman" w:hAnsi="Times New Roman"/>
          <w:color w:val="0070C0"/>
          <w:sz w:val="16"/>
          <w:szCs w:val="16"/>
        </w:rPr>
        <w:softHyphen/>
        <w:t>гасных снарядов 122-мм калибра — до 20 км, разрывов осколочно-фугасных снарядов 152-мм калибра — до 25 км.</w:t>
      </w:r>
    </w:p>
    <w:p w14:paraId="171F00AD" w14:textId="77777777" w:rsidR="00D13803" w:rsidRPr="007224C3" w:rsidRDefault="00D1380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Остро стоял вопрос защиты наблюдателей, находившихся в корзине аэростата, от враже</w:t>
      </w:r>
      <w:r w:rsidRPr="007224C3">
        <w:rPr>
          <w:rFonts w:ascii="Times New Roman" w:hAnsi="Times New Roman"/>
          <w:color w:val="0070C0"/>
          <w:sz w:val="16"/>
          <w:szCs w:val="16"/>
        </w:rPr>
        <w:softHyphen/>
        <w:t>ского огня. В частях предпринимались попытки подручными средствами бронировать корзину. В 3-м ОВДААН по инициативе С.Д. Джилкишева в корзине установили бронеспинку с Ил-2, но нарушение равновесия аэростата при подъёме сделало наблюдения невозможными. Неудачей окончились и попытки вооружить наблюдателей ручными пулемётами.</w:t>
      </w:r>
    </w:p>
    <w:p w14:paraId="1B69A3FF" w14:textId="77777777" w:rsidR="00D13803" w:rsidRPr="007224C3" w:rsidRDefault="00D1380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 части ПВО поступали аэростаты загражде</w:t>
      </w:r>
      <w:r w:rsidRPr="007224C3">
        <w:rPr>
          <w:rFonts w:ascii="Times New Roman" w:hAnsi="Times New Roman"/>
          <w:color w:val="0070C0"/>
          <w:sz w:val="16"/>
          <w:szCs w:val="16"/>
        </w:rPr>
        <w:softHyphen/>
        <w:t>ния системы тандем К6В-К6Н, одиночные аэро</w:t>
      </w:r>
      <w:r w:rsidRPr="007224C3">
        <w:rPr>
          <w:rFonts w:ascii="Times New Roman" w:hAnsi="Times New Roman"/>
          <w:color w:val="0070C0"/>
          <w:sz w:val="16"/>
          <w:szCs w:val="16"/>
        </w:rPr>
        <w:softHyphen/>
        <w:t>статы типа КО-1, а затем баллонетные аэростаты тандем и одиночные БАЗ-136 производства завода «Каучук». Главными требованиями, предъявляемыми к аэростатам заграждения, были высотность и возможность подъёма при высоких скоростях ветра.</w:t>
      </w:r>
    </w:p>
    <w:p w14:paraId="3EC53B7D" w14:textId="77777777" w:rsidR="00D13803" w:rsidRPr="007224C3" w:rsidRDefault="00D1380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Первыми серийными высотными АЗ были аэростаты системы тандем КТВ-КТН, выпус</w:t>
      </w:r>
      <w:r w:rsidRPr="007224C3">
        <w:rPr>
          <w:rFonts w:ascii="Times New Roman" w:hAnsi="Times New Roman"/>
          <w:color w:val="0070C0"/>
          <w:sz w:val="16"/>
          <w:szCs w:val="16"/>
        </w:rPr>
        <w:softHyphen/>
        <w:t>ка 1938 г., выполненные со стягивающей си</w:t>
      </w:r>
      <w:r w:rsidRPr="007224C3">
        <w:rPr>
          <w:rFonts w:ascii="Times New Roman" w:hAnsi="Times New Roman"/>
          <w:color w:val="0070C0"/>
          <w:sz w:val="16"/>
          <w:szCs w:val="16"/>
        </w:rPr>
        <w:softHyphen/>
        <w:t>стемой. Они имели статический потолок до 5000 м и могли производить подъёмы при вет</w:t>
      </w:r>
      <w:r w:rsidRPr="007224C3">
        <w:rPr>
          <w:rFonts w:ascii="Times New Roman" w:hAnsi="Times New Roman"/>
          <w:color w:val="0070C0"/>
          <w:sz w:val="16"/>
          <w:szCs w:val="16"/>
        </w:rPr>
        <w:softHyphen/>
        <w:t>рах до 14-16 м/с.</w:t>
      </w:r>
    </w:p>
    <w:p w14:paraId="2F87F9B0" w14:textId="77777777" w:rsidR="00D13803" w:rsidRPr="007224C3" w:rsidRDefault="00D1380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Аэростаты К6В-К6Н представляли собой мо</w:t>
      </w:r>
      <w:r w:rsidRPr="007224C3">
        <w:rPr>
          <w:rFonts w:ascii="Times New Roman" w:hAnsi="Times New Roman"/>
          <w:color w:val="0070C0"/>
          <w:sz w:val="16"/>
          <w:szCs w:val="16"/>
        </w:rPr>
        <w:softHyphen/>
        <w:t>дернизированные аэростаты КТВ-КТН, у кото</w:t>
      </w:r>
      <w:r w:rsidRPr="007224C3">
        <w:rPr>
          <w:rFonts w:ascii="Times New Roman" w:hAnsi="Times New Roman"/>
          <w:color w:val="0070C0"/>
          <w:sz w:val="16"/>
          <w:szCs w:val="16"/>
        </w:rPr>
        <w:softHyphen/>
        <w:t>рых круглые кольцевые стабилизаторы заменили стабилизаторами треугольной формы с обтекае</w:t>
      </w:r>
      <w:r w:rsidRPr="007224C3">
        <w:rPr>
          <w:rFonts w:ascii="Times New Roman" w:hAnsi="Times New Roman"/>
          <w:color w:val="0070C0"/>
          <w:sz w:val="16"/>
          <w:szCs w:val="16"/>
        </w:rPr>
        <w:softHyphen/>
        <w:t>мым профилем, что увеличило допустимую ско</w:t>
      </w:r>
      <w:r w:rsidRPr="007224C3">
        <w:rPr>
          <w:rFonts w:ascii="Times New Roman" w:hAnsi="Times New Roman"/>
          <w:color w:val="0070C0"/>
          <w:sz w:val="16"/>
          <w:szCs w:val="16"/>
        </w:rPr>
        <w:softHyphen/>
        <w:t>рость ветра для подъёма аэростатов до 20 м/с при сохранении статического потолка.</w:t>
      </w:r>
    </w:p>
    <w:p w14:paraId="0E828F29" w14:textId="77777777" w:rsidR="00D13803" w:rsidRPr="007224C3" w:rsidRDefault="00D1380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Одиночный аэростат КО-1 имел стягивающую систему. Его оболочку образовали из оболочки аэростата КТВ путём вклейки дополнительного полотнища, что увеличило объём до 500 м3 и по</w:t>
      </w:r>
      <w:r w:rsidRPr="007224C3">
        <w:rPr>
          <w:rFonts w:ascii="Times New Roman" w:hAnsi="Times New Roman"/>
          <w:color w:val="0070C0"/>
          <w:sz w:val="16"/>
          <w:szCs w:val="16"/>
        </w:rPr>
        <w:softHyphen/>
        <w:t>высило потолок до 3900 м.</w:t>
      </w:r>
    </w:p>
    <w:p w14:paraId="41BAD08A" w14:textId="77777777" w:rsidR="00D13803" w:rsidRPr="007224C3" w:rsidRDefault="00D1380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Затруднения с сырьём для амортшнуров и не</w:t>
      </w:r>
      <w:r w:rsidRPr="007224C3">
        <w:rPr>
          <w:rFonts w:ascii="Times New Roman" w:hAnsi="Times New Roman"/>
          <w:color w:val="0070C0"/>
          <w:sz w:val="16"/>
          <w:szCs w:val="16"/>
        </w:rPr>
        <w:softHyphen/>
        <w:t>морозостойкость последних послужили причи</w:t>
      </w:r>
      <w:r w:rsidRPr="007224C3">
        <w:rPr>
          <w:rFonts w:ascii="Times New Roman" w:hAnsi="Times New Roman"/>
          <w:color w:val="0070C0"/>
          <w:sz w:val="16"/>
          <w:szCs w:val="16"/>
        </w:rPr>
        <w:softHyphen/>
        <w:t>ной введения в эксплуатацию аэростатов балло- нетного типа БАЗ-136. Они имели максимальный объём 490 м3 и могли применяться как в одиноч</w:t>
      </w:r>
      <w:r w:rsidRPr="007224C3">
        <w:rPr>
          <w:rFonts w:ascii="Times New Roman" w:hAnsi="Times New Roman"/>
          <w:color w:val="0070C0"/>
          <w:sz w:val="16"/>
          <w:szCs w:val="16"/>
        </w:rPr>
        <w:softHyphen/>
        <w:t>ном виде, так и в системе тандем — для этого требовалось изменить только начальный объём аэростата, так как конструкция и объём балло</w:t>
      </w:r>
      <w:r w:rsidRPr="007224C3">
        <w:rPr>
          <w:rFonts w:ascii="Times New Roman" w:hAnsi="Times New Roman"/>
          <w:color w:val="0070C0"/>
          <w:sz w:val="16"/>
          <w:szCs w:val="16"/>
        </w:rPr>
        <w:softHyphen/>
        <w:t>нета в этих аэростатах были одинаковы. Стати</w:t>
      </w:r>
      <w:r w:rsidRPr="007224C3">
        <w:rPr>
          <w:rFonts w:ascii="Times New Roman" w:hAnsi="Times New Roman"/>
          <w:color w:val="0070C0"/>
          <w:sz w:val="16"/>
          <w:szCs w:val="16"/>
        </w:rPr>
        <w:softHyphen/>
        <w:t>ческий потолок одиночного БАЗ-136 составлял 3800 м, а аэростата системы тандем — 5500 м. Аэростат допускал подъём при скорости ветра до 18 м/с. АЗ данного типа только в 1942 г. по</w:t>
      </w:r>
      <w:r w:rsidRPr="007224C3">
        <w:rPr>
          <w:rFonts w:ascii="Times New Roman" w:hAnsi="Times New Roman"/>
          <w:color w:val="0070C0"/>
          <w:sz w:val="16"/>
          <w:szCs w:val="16"/>
        </w:rPr>
        <w:softHyphen/>
        <w:t>ступило более 670 штук, а всего до конца войны их выпустили 4271 единицу.</w:t>
      </w:r>
    </w:p>
    <w:p w14:paraId="36DF2443" w14:textId="77777777" w:rsidR="00D13803" w:rsidRPr="007224C3" w:rsidRDefault="00D1380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Опыт эксплуатации БАЗ-136 показал, что компенсация изменений объёма аэростата при подъёме и спуске наилучшим образом достигает</w:t>
      </w:r>
      <w:r w:rsidRPr="007224C3">
        <w:rPr>
          <w:rFonts w:ascii="Times New Roman" w:hAnsi="Times New Roman"/>
          <w:color w:val="0070C0"/>
          <w:sz w:val="16"/>
          <w:szCs w:val="16"/>
        </w:rPr>
        <w:softHyphen/>
        <w:t>ся при помощи комбинированной системы. Та</w:t>
      </w:r>
      <w:r w:rsidRPr="007224C3">
        <w:rPr>
          <w:rFonts w:ascii="Times New Roman" w:hAnsi="Times New Roman"/>
          <w:color w:val="0070C0"/>
          <w:sz w:val="16"/>
          <w:szCs w:val="16"/>
        </w:rPr>
        <w:softHyphen/>
        <w:t>кую систему компенсации применили в одиноч</w:t>
      </w:r>
      <w:r w:rsidRPr="007224C3">
        <w:rPr>
          <w:rFonts w:ascii="Times New Roman" w:hAnsi="Times New Roman"/>
          <w:color w:val="0070C0"/>
          <w:sz w:val="16"/>
          <w:szCs w:val="16"/>
        </w:rPr>
        <w:softHyphen/>
        <w:t>ном аэростате КАЗ. Несмотря на значительное увеличение максимального объёма КАЗ, основ</w:t>
      </w:r>
      <w:r w:rsidRPr="007224C3">
        <w:rPr>
          <w:rFonts w:ascii="Times New Roman" w:hAnsi="Times New Roman"/>
          <w:color w:val="0070C0"/>
          <w:sz w:val="16"/>
          <w:szCs w:val="16"/>
        </w:rPr>
        <w:softHyphen/>
        <w:t>ные его размеры при начальном объёме у земли находились в пределах габарита БАЗ-136, поэто</w:t>
      </w:r>
      <w:r w:rsidRPr="007224C3">
        <w:rPr>
          <w:rFonts w:ascii="Times New Roman" w:hAnsi="Times New Roman"/>
          <w:color w:val="0070C0"/>
          <w:sz w:val="16"/>
          <w:szCs w:val="16"/>
        </w:rPr>
        <w:softHyphen/>
        <w:t>му обслуживавшее его аэростатное отделение не превышало нормальное. К концу войны КАЗ по</w:t>
      </w:r>
      <w:r w:rsidRPr="007224C3">
        <w:rPr>
          <w:rFonts w:ascii="Times New Roman" w:hAnsi="Times New Roman"/>
          <w:color w:val="0070C0"/>
          <w:sz w:val="16"/>
          <w:szCs w:val="16"/>
        </w:rPr>
        <w:softHyphen/>
        <w:t>ступили в части аэростатов заграждения Москвы и Ленинграда.</w:t>
      </w:r>
    </w:p>
    <w:p w14:paraId="297EE7EC" w14:textId="77777777" w:rsidR="00D13803" w:rsidRPr="007224C3" w:rsidRDefault="00D1380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По сравнению с другими аэростатами он не давал выигрыша в рабочей высоте, но допускал подъём почти в штормовую погоду и буксировку в под</w:t>
      </w:r>
      <w:r w:rsidRPr="007224C3">
        <w:rPr>
          <w:rFonts w:ascii="Times New Roman" w:hAnsi="Times New Roman"/>
          <w:color w:val="0070C0"/>
          <w:sz w:val="16"/>
          <w:szCs w:val="16"/>
        </w:rPr>
        <w:softHyphen/>
        <w:t>нятом состоянии.</w:t>
      </w:r>
    </w:p>
    <w:p w14:paraId="04940A73" w14:textId="77777777" w:rsidR="00D13803" w:rsidRPr="007224C3" w:rsidRDefault="00D1380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Так как АЗ новых типов не хватало, то в ча</w:t>
      </w:r>
      <w:r w:rsidRPr="007224C3">
        <w:rPr>
          <w:rFonts w:ascii="Times New Roman" w:hAnsi="Times New Roman"/>
          <w:color w:val="0070C0"/>
          <w:sz w:val="16"/>
          <w:szCs w:val="16"/>
        </w:rPr>
        <w:softHyphen/>
        <w:t>стях использовались старые системы КВ-КН, ТВ, ТС. Для обучения парашютным прыжкам в ВДВ применялись аэростаты КАН-640, и продолжали использоваться аэростаты типа БД.</w:t>
      </w:r>
    </w:p>
    <w:p w14:paraId="3E619CB8" w14:textId="77777777" w:rsidR="00D13803" w:rsidRPr="007224C3" w:rsidRDefault="00D1380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Создать высотные аэростаты заграждения с потолком 6000, 8000 и 10 000 м не удалось/</w:t>
      </w:r>
    </w:p>
    <w:p w14:paraId="41C60880" w14:textId="77777777" w:rsidR="00D13803" w:rsidRPr="007224C3" w:rsidRDefault="00D1380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По компетентному мнению А.И. Бернштейна имевшиеся тогда баллонные материалы и торо</w:t>
      </w:r>
      <w:r w:rsidRPr="007224C3">
        <w:rPr>
          <w:rFonts w:ascii="Times New Roman" w:hAnsi="Times New Roman"/>
          <w:color w:val="0070C0"/>
          <w:sz w:val="16"/>
          <w:szCs w:val="16"/>
        </w:rPr>
        <w:softHyphen/>
        <w:t>сы не позволяли создать и поставить на воору</w:t>
      </w:r>
      <w:r w:rsidRPr="007224C3">
        <w:rPr>
          <w:rFonts w:ascii="Times New Roman" w:hAnsi="Times New Roman"/>
          <w:color w:val="0070C0"/>
          <w:sz w:val="16"/>
          <w:szCs w:val="16"/>
        </w:rPr>
        <w:softHyphen/>
        <w:t>жение АЗ, обеспечивающие стабильный потолок 8000-10 000 м. Подъём аэростатов на такую высо</w:t>
      </w:r>
      <w:r w:rsidRPr="007224C3">
        <w:rPr>
          <w:rFonts w:ascii="Times New Roman" w:hAnsi="Times New Roman"/>
          <w:color w:val="0070C0"/>
          <w:sz w:val="16"/>
          <w:szCs w:val="16"/>
        </w:rPr>
        <w:softHyphen/>
        <w:t>ту был возможен только на оболочках разового применения, имевших меньший вес, чем стан</w:t>
      </w:r>
      <w:r w:rsidRPr="007224C3">
        <w:rPr>
          <w:rFonts w:ascii="Times New Roman" w:hAnsi="Times New Roman"/>
          <w:color w:val="0070C0"/>
          <w:sz w:val="16"/>
          <w:szCs w:val="16"/>
        </w:rPr>
        <w:softHyphen/>
        <w:t>дартные. По этой же причине не удалось создать и одиночный АЗ с потолком 4000 м8.</w:t>
      </w:r>
    </w:p>
    <w:p w14:paraId="6540DF2E" w14:textId="77777777" w:rsidR="00D13803" w:rsidRPr="007224C3" w:rsidRDefault="00D1380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 годы войны в СССР разработали разъёмный вертлюг РВ-133 для вскрытия разрывной щели аэростата в случае обрыва троса и устройство для отсоединения аэростата заграждения от троса при налёте самолёта на последний.</w:t>
      </w:r>
    </w:p>
    <w:p w14:paraId="04BEC8E6" w14:textId="77777777" w:rsidR="00D13803" w:rsidRPr="007224C3" w:rsidRDefault="00D1380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Разъёмный вертлюг РВ-133 состоял из трёх основных частей: корпуса с упорным подшипни</w:t>
      </w:r>
      <w:r w:rsidRPr="007224C3">
        <w:rPr>
          <w:rFonts w:ascii="Times New Roman" w:hAnsi="Times New Roman"/>
          <w:color w:val="0070C0"/>
          <w:sz w:val="16"/>
          <w:szCs w:val="16"/>
        </w:rPr>
        <w:softHyphen/>
        <w:t>ком, карабина и вилки с сепаратором. К верхней вилке при помощи валика крепился карабин для присоединения к привязному такелажу аэростата. Нижняя вилка, на которой помещался сепаратор, присоединяла верхний конец троса. При обрыве троса нижняя вилка от сообщаемого тросом толч</w:t>
      </w:r>
      <w:r w:rsidRPr="007224C3">
        <w:rPr>
          <w:rFonts w:ascii="Times New Roman" w:hAnsi="Times New Roman"/>
          <w:color w:val="0070C0"/>
          <w:sz w:val="16"/>
          <w:szCs w:val="16"/>
        </w:rPr>
        <w:softHyphen/>
        <w:t>ка подскакивала вверх, в результате чего сепара</w:t>
      </w:r>
      <w:r w:rsidRPr="007224C3">
        <w:rPr>
          <w:rFonts w:ascii="Times New Roman" w:hAnsi="Times New Roman"/>
          <w:color w:val="0070C0"/>
          <w:sz w:val="16"/>
          <w:szCs w:val="16"/>
        </w:rPr>
        <w:softHyphen/>
        <w:t>тор под действием собственного веса и силы от- жатия пружины падал вниз и вместе с вилкой вы</w:t>
      </w:r>
      <w:r w:rsidRPr="007224C3">
        <w:rPr>
          <w:rFonts w:ascii="Times New Roman" w:hAnsi="Times New Roman"/>
          <w:color w:val="0070C0"/>
          <w:sz w:val="16"/>
          <w:szCs w:val="16"/>
        </w:rPr>
        <w:softHyphen/>
        <w:t>падал из корпуса вертлюга, освобождая от аэро</w:t>
      </w:r>
      <w:r w:rsidRPr="007224C3">
        <w:rPr>
          <w:rFonts w:ascii="Times New Roman" w:hAnsi="Times New Roman"/>
          <w:color w:val="0070C0"/>
          <w:sz w:val="16"/>
          <w:szCs w:val="16"/>
        </w:rPr>
        <w:softHyphen/>
        <w:t>стата верхний участок оборванного троса. Трос действием своего веса сообщал рывок разрывной вожже и вскрывал разрывное приспособление.</w:t>
      </w:r>
    </w:p>
    <w:p w14:paraId="262DC339" w14:textId="77777777" w:rsidR="00D13803" w:rsidRPr="007224C3" w:rsidRDefault="00D1380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РВ-133 стал поступать в части АЗ с 1943 г. По свидетельству А.И. Бернштейна, никакого эф</w:t>
      </w:r>
      <w:r w:rsidRPr="007224C3">
        <w:rPr>
          <w:rFonts w:ascii="Times New Roman" w:hAnsi="Times New Roman"/>
          <w:color w:val="0070C0"/>
          <w:sz w:val="16"/>
          <w:szCs w:val="16"/>
        </w:rPr>
        <w:softHyphen/>
        <w:t>фекта, кроме хлопот и случаев самосрабатывания вертлюга, это новшество не дало.</w:t>
      </w:r>
    </w:p>
    <w:p w14:paraId="44A726DE" w14:textId="77777777" w:rsidR="00D13803" w:rsidRPr="007224C3" w:rsidRDefault="00D1380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Вооружение тросов аэростатов заграждения. Трос АЗ выводил из строя столкнувшийся с ним самолёт, перепиливая элементы конструкции по</w:t>
      </w:r>
      <w:r w:rsidRPr="007224C3">
        <w:rPr>
          <w:rFonts w:ascii="Times New Roman" w:hAnsi="Times New Roman"/>
          <w:color w:val="0070C0"/>
          <w:sz w:val="16"/>
          <w:szCs w:val="16"/>
        </w:rPr>
        <w:softHyphen/>
        <w:t>следнего. Чтобы срезать стальной термически об</w:t>
      </w:r>
      <w:r w:rsidRPr="007224C3">
        <w:rPr>
          <w:rFonts w:ascii="Times New Roman" w:hAnsi="Times New Roman"/>
          <w:color w:val="0070C0"/>
          <w:sz w:val="16"/>
          <w:szCs w:val="16"/>
        </w:rPr>
        <w:softHyphen/>
        <w:t>работанный болт диаметром 26 мм (или дюрале</w:t>
      </w:r>
      <w:r w:rsidRPr="007224C3">
        <w:rPr>
          <w:rFonts w:ascii="Times New Roman" w:hAnsi="Times New Roman"/>
          <w:color w:val="0070C0"/>
          <w:sz w:val="16"/>
          <w:szCs w:val="16"/>
        </w:rPr>
        <w:softHyphen/>
        <w:t>вый стержень диаметром 80 мм), закреплённый на летящем со скоростью 310-320 км/ч самолёте, требовалось протянуть через него 180 м троса.</w:t>
      </w:r>
    </w:p>
    <w:p w14:paraId="5B8ADF39" w14:textId="77777777" w:rsidR="00D13803" w:rsidRPr="007224C3" w:rsidRDefault="00D1380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К началу 1940-х годов скорости самолётов приблизились к критической скорости попереч</w:t>
      </w:r>
      <w:r w:rsidRPr="007224C3">
        <w:rPr>
          <w:rFonts w:ascii="Times New Roman" w:hAnsi="Times New Roman"/>
          <w:color w:val="0070C0"/>
          <w:sz w:val="16"/>
          <w:szCs w:val="16"/>
        </w:rPr>
        <w:softHyphen/>
        <w:t>ного удара троса, при которой тот разрушался. Введение инерционного звена повышало эффек</w:t>
      </w:r>
      <w:r w:rsidRPr="007224C3">
        <w:rPr>
          <w:rFonts w:ascii="Times New Roman" w:hAnsi="Times New Roman"/>
          <w:color w:val="0070C0"/>
          <w:sz w:val="16"/>
          <w:szCs w:val="16"/>
        </w:rPr>
        <w:softHyphen/>
        <w:t>тивность тросов. Теперь возникшая при налёте самолёта на трос первичная волна динамической нагрузки, распространяясь по тросу со скоростью до 4500 м/с, доходила до инерционного звена, ко</w:t>
      </w:r>
      <w:r w:rsidRPr="007224C3">
        <w:rPr>
          <w:rFonts w:ascii="Times New Roman" w:hAnsi="Times New Roman"/>
          <w:color w:val="0070C0"/>
          <w:sz w:val="16"/>
          <w:szCs w:val="16"/>
        </w:rPr>
        <w:softHyphen/>
        <w:t>торое от резкого толчка срабатывало и перерезало трос резаком. Жёсткое закрепление троса в одной из точек ликвидировалось, и отражённая нагру зочная волна исчезала. От освобождённого кон</w:t>
      </w:r>
      <w:r w:rsidRPr="007224C3">
        <w:rPr>
          <w:rFonts w:ascii="Times New Roman" w:hAnsi="Times New Roman"/>
          <w:color w:val="0070C0"/>
          <w:sz w:val="16"/>
          <w:szCs w:val="16"/>
        </w:rPr>
        <w:softHyphen/>
        <w:t>ца троса шла разгрузочная волна, освобождав</w:t>
      </w:r>
      <w:r w:rsidRPr="007224C3">
        <w:rPr>
          <w:rFonts w:ascii="Times New Roman" w:hAnsi="Times New Roman"/>
          <w:color w:val="0070C0"/>
          <w:sz w:val="16"/>
          <w:szCs w:val="16"/>
        </w:rPr>
        <w:softHyphen/>
        <w:t>шая трос от ударного напряжения, и тем самым предохраняя его от разрушения. Освобождённая часть троса, неся на себе парашют, перетягивалась с большой скоростью летящим самолётом. Пара</w:t>
      </w:r>
      <w:r w:rsidRPr="007224C3">
        <w:rPr>
          <w:rFonts w:ascii="Times New Roman" w:hAnsi="Times New Roman"/>
          <w:color w:val="0070C0"/>
          <w:sz w:val="16"/>
          <w:szCs w:val="16"/>
        </w:rPr>
        <w:softHyphen/>
        <w:t>шют, создавая своим сопротивлением некоторое натяжение троса, способствовал перепиливанию элементов конструкции самолёта. Освобождён</w:t>
      </w:r>
      <w:r w:rsidRPr="007224C3">
        <w:rPr>
          <w:rFonts w:ascii="Times New Roman" w:hAnsi="Times New Roman"/>
          <w:color w:val="0070C0"/>
          <w:sz w:val="16"/>
          <w:szCs w:val="16"/>
        </w:rPr>
        <w:softHyphen/>
        <w:t>ная часть верхней ветви троса несла на себе мину, взрывавшуюся при ударе о самолёт.</w:t>
      </w:r>
    </w:p>
    <w:p w14:paraId="79A27FF8" w14:textId="77777777" w:rsidR="00D13803" w:rsidRPr="007224C3" w:rsidRDefault="00D1380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Корпус осколочно-зажигательной мины воз</w:t>
      </w:r>
      <w:r w:rsidRPr="007224C3">
        <w:rPr>
          <w:rFonts w:ascii="Times New Roman" w:hAnsi="Times New Roman"/>
          <w:color w:val="0070C0"/>
          <w:sz w:val="16"/>
          <w:szCs w:val="16"/>
        </w:rPr>
        <w:softHyphen/>
        <w:t>душного заграждения МВЗ-1 (вес 1,2 кг) пред</w:t>
      </w:r>
      <w:r w:rsidRPr="007224C3">
        <w:rPr>
          <w:rFonts w:ascii="Times New Roman" w:hAnsi="Times New Roman"/>
          <w:color w:val="0070C0"/>
          <w:sz w:val="16"/>
          <w:szCs w:val="16"/>
        </w:rPr>
        <w:softHyphen/>
        <w:t>ставлял собой корпус 45-мм снаряда зенитной артиллерии, приспособленный для установки взрывателя ВАЗ-1. Взрыватель служил для под</w:t>
      </w:r>
      <w:r w:rsidRPr="007224C3">
        <w:rPr>
          <w:rFonts w:ascii="Times New Roman" w:hAnsi="Times New Roman"/>
          <w:color w:val="0070C0"/>
          <w:sz w:val="16"/>
          <w:szCs w:val="16"/>
        </w:rPr>
        <w:softHyphen/>
        <w:t>рыва мины при ударе о самолёт.</w:t>
      </w:r>
    </w:p>
    <w:p w14:paraId="6A144D5E" w14:textId="77777777" w:rsidR="00D13803" w:rsidRPr="007224C3" w:rsidRDefault="00D1380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Работы над этой системой велись по заданию МГК ВКП (б) с конца 1941 г. бригадой в составе военного инженера Г. Украинского (аэростаты, инерционные замки и разъёмы), инженера по во</w:t>
      </w:r>
      <w:r w:rsidRPr="007224C3">
        <w:rPr>
          <w:rFonts w:ascii="Times New Roman" w:hAnsi="Times New Roman"/>
          <w:color w:val="0070C0"/>
          <w:sz w:val="16"/>
          <w:szCs w:val="16"/>
        </w:rPr>
        <w:softHyphen/>
        <w:t>оружению Н. Миронова и инженера И.Л. Глуш- кова (парашюты).</w:t>
      </w:r>
    </w:p>
    <w:p w14:paraId="27E90E27" w14:textId="77777777" w:rsidR="00D13803" w:rsidRPr="007224C3" w:rsidRDefault="00D1380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До конца войны поставки инерционного зве</w:t>
      </w:r>
      <w:r w:rsidRPr="007224C3">
        <w:rPr>
          <w:rFonts w:ascii="Times New Roman" w:hAnsi="Times New Roman"/>
          <w:color w:val="0070C0"/>
          <w:sz w:val="16"/>
          <w:szCs w:val="16"/>
        </w:rPr>
        <w:softHyphen/>
        <w:t>на с миной воздушного заграждения в части АЗ шли не комплектно, а по частям и в недостаточ</w:t>
      </w:r>
      <w:r w:rsidRPr="007224C3">
        <w:rPr>
          <w:rFonts w:ascii="Times New Roman" w:hAnsi="Times New Roman"/>
          <w:color w:val="0070C0"/>
          <w:sz w:val="16"/>
          <w:szCs w:val="16"/>
        </w:rPr>
        <w:softHyphen/>
        <w:t>ном количестве.</w:t>
      </w:r>
    </w:p>
    <w:p w14:paraId="32D0C370" w14:textId="77777777" w:rsidR="00D13803" w:rsidRPr="007224C3" w:rsidRDefault="00D1380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lastRenderedPageBreak/>
        <w:t>Лебёдки и полевые водородные установки. Для подъёма аэростатов использовались освоен</w:t>
      </w:r>
      <w:r w:rsidRPr="007224C3">
        <w:rPr>
          <w:rFonts w:ascii="Times New Roman" w:hAnsi="Times New Roman"/>
          <w:color w:val="0070C0"/>
          <w:sz w:val="16"/>
          <w:szCs w:val="16"/>
        </w:rPr>
        <w:softHyphen/>
        <w:t>ные промышленностью лебёдки ЛЗ-3 и ЛЗ-3П. С 1941-1942 гг. автолебёдки Л3-3 работали от бо</w:t>
      </w:r>
      <w:r w:rsidRPr="007224C3">
        <w:rPr>
          <w:rFonts w:ascii="Times New Roman" w:hAnsi="Times New Roman"/>
          <w:color w:val="0070C0"/>
          <w:sz w:val="16"/>
          <w:szCs w:val="16"/>
        </w:rPr>
        <w:softHyphen/>
        <w:t>лее мощных двигателей ГАЗ-М (50 л.с.), что улуч</w:t>
      </w:r>
      <w:r w:rsidRPr="007224C3">
        <w:rPr>
          <w:rFonts w:ascii="Times New Roman" w:hAnsi="Times New Roman"/>
          <w:color w:val="0070C0"/>
          <w:sz w:val="16"/>
          <w:szCs w:val="16"/>
        </w:rPr>
        <w:softHyphen/>
        <w:t>шило их характеристики по сравнению с довоен</w:t>
      </w:r>
      <w:r w:rsidRPr="007224C3">
        <w:rPr>
          <w:rFonts w:ascii="Times New Roman" w:hAnsi="Times New Roman"/>
          <w:color w:val="0070C0"/>
          <w:sz w:val="16"/>
          <w:szCs w:val="16"/>
        </w:rPr>
        <w:softHyphen/>
        <w:t>ными образцами. При обстреле лебёдки против</w:t>
      </w:r>
      <w:r w:rsidRPr="007224C3">
        <w:rPr>
          <w:rFonts w:ascii="Times New Roman" w:hAnsi="Times New Roman"/>
          <w:color w:val="0070C0"/>
          <w:sz w:val="16"/>
          <w:szCs w:val="16"/>
        </w:rPr>
        <w:softHyphen/>
        <w:t>ником ЛЗ-3 могла покинуть опасное место со ско</w:t>
      </w:r>
      <w:r w:rsidRPr="007224C3">
        <w:rPr>
          <w:rFonts w:ascii="Times New Roman" w:hAnsi="Times New Roman"/>
          <w:color w:val="0070C0"/>
          <w:sz w:val="16"/>
          <w:szCs w:val="16"/>
        </w:rPr>
        <w:softHyphen/>
        <w:t>ростью до 25 км/ч или описывать круги и «вось</w:t>
      </w:r>
      <w:r w:rsidRPr="007224C3">
        <w:rPr>
          <w:rFonts w:ascii="Times New Roman" w:hAnsi="Times New Roman"/>
          <w:color w:val="0070C0"/>
          <w:sz w:val="16"/>
          <w:szCs w:val="16"/>
        </w:rPr>
        <w:softHyphen/>
        <w:t>мерки» на подъёмном поле, не опуская аэростат.</w:t>
      </w:r>
    </w:p>
    <w:p w14:paraId="0DE66E4A" w14:textId="77777777" w:rsidR="00D13803" w:rsidRPr="007224C3" w:rsidRDefault="00D1380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Безмоторная полустационарная лебёдка ЛЗ-3П образца 1942 г. предназначалась для аэро</w:t>
      </w:r>
      <w:r w:rsidRPr="007224C3">
        <w:rPr>
          <w:rFonts w:ascii="Times New Roman" w:hAnsi="Times New Roman"/>
          <w:color w:val="0070C0"/>
          <w:sz w:val="16"/>
          <w:szCs w:val="16"/>
        </w:rPr>
        <w:softHyphen/>
        <w:t>статов всех систем с потолком до 8000 м при ско</w:t>
      </w:r>
      <w:r w:rsidRPr="007224C3">
        <w:rPr>
          <w:rFonts w:ascii="Times New Roman" w:hAnsi="Times New Roman"/>
          <w:color w:val="0070C0"/>
          <w:sz w:val="16"/>
          <w:szCs w:val="16"/>
        </w:rPr>
        <w:softHyphen/>
        <w:t>ростях выбирания 0,2-1,5 м/с. Её устанавливали на двухколёсной тележке и приводили в действие от колеса грузового автомобиля ГАЗ-АА, М-1 или ЗиС-5. Л3-3П перевозилась в прицепе к ГАЗ- АА или в кузове автомобиля. В 1944 г. началось производство автолебёдки ЛН-3 на автомашине «Студебеккер».</w:t>
      </w:r>
    </w:p>
    <w:p w14:paraId="5C21D51D" w14:textId="77777777" w:rsidR="00D13803" w:rsidRPr="007224C3" w:rsidRDefault="00D1380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Малый объём выпуска лебёдок задерживал приведение в боевую готовность частей АЗ в на</w:t>
      </w:r>
      <w:r w:rsidRPr="007224C3">
        <w:rPr>
          <w:rFonts w:ascii="Times New Roman" w:hAnsi="Times New Roman"/>
          <w:color w:val="0070C0"/>
          <w:sz w:val="16"/>
          <w:szCs w:val="16"/>
        </w:rPr>
        <w:softHyphen/>
        <w:t>чале войны и развертывание новых частей в годы войны. Так, части АЗ Восточного фронта ПВО в конце 1943 г. при штатном количестве 513 лебё</w:t>
      </w:r>
      <w:r w:rsidRPr="007224C3">
        <w:rPr>
          <w:rFonts w:ascii="Times New Roman" w:hAnsi="Times New Roman"/>
          <w:color w:val="0070C0"/>
          <w:sz w:val="16"/>
          <w:szCs w:val="16"/>
        </w:rPr>
        <w:softHyphen/>
        <w:t>док имели менее половины от этого числа.</w:t>
      </w:r>
    </w:p>
    <w:p w14:paraId="18F99746" w14:textId="77777777" w:rsidR="00D13803" w:rsidRPr="007224C3" w:rsidRDefault="00D1380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Наполнение оболочки водородом производи</w:t>
      </w:r>
      <w:r w:rsidRPr="007224C3">
        <w:rPr>
          <w:rFonts w:ascii="Times New Roman" w:hAnsi="Times New Roman"/>
          <w:color w:val="0070C0"/>
          <w:sz w:val="16"/>
          <w:szCs w:val="16"/>
        </w:rPr>
        <w:softHyphen/>
        <w:t>лось из газгольдеров или баллонов высокого дав</w:t>
      </w:r>
      <w:r w:rsidRPr="007224C3">
        <w:rPr>
          <w:rFonts w:ascii="Times New Roman" w:hAnsi="Times New Roman"/>
          <w:color w:val="0070C0"/>
          <w:sz w:val="16"/>
          <w:szCs w:val="16"/>
        </w:rPr>
        <w:softHyphen/>
        <w:t>ления. В газгольдер объёмом 125 м3, как правило, принимался газ, полученный из полевых газодобывательных установок. В баллоне высокого дав</w:t>
      </w:r>
      <w:r w:rsidRPr="007224C3">
        <w:rPr>
          <w:rFonts w:ascii="Times New Roman" w:hAnsi="Times New Roman"/>
          <w:color w:val="0070C0"/>
          <w:sz w:val="16"/>
          <w:szCs w:val="16"/>
        </w:rPr>
        <w:softHyphen/>
        <w:t>ления хранилось около 6 м3 водорода под давле</w:t>
      </w:r>
      <w:r w:rsidRPr="007224C3">
        <w:rPr>
          <w:rFonts w:ascii="Times New Roman" w:hAnsi="Times New Roman"/>
          <w:color w:val="0070C0"/>
          <w:sz w:val="16"/>
          <w:szCs w:val="16"/>
        </w:rPr>
        <w:softHyphen/>
        <w:t>нием 150 атм. Для наполнения одной оболочки требовалось 140 таких баллонов (один железно</w:t>
      </w:r>
      <w:r w:rsidRPr="007224C3">
        <w:rPr>
          <w:rFonts w:ascii="Times New Roman" w:hAnsi="Times New Roman"/>
          <w:color w:val="0070C0"/>
          <w:sz w:val="16"/>
          <w:szCs w:val="16"/>
        </w:rPr>
        <w:softHyphen/>
        <w:t>дорожный вагон вмещал около 200 баллонов).</w:t>
      </w:r>
    </w:p>
    <w:p w14:paraId="3A2D14D3" w14:textId="77777777" w:rsidR="00D13803" w:rsidRPr="007224C3" w:rsidRDefault="00D1380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Транспортировка баллонов на автомобилях требовала большого количества транспортных средств и серьёзных физических усилий от коман</w:t>
      </w:r>
      <w:r w:rsidRPr="007224C3">
        <w:rPr>
          <w:rFonts w:ascii="Times New Roman" w:hAnsi="Times New Roman"/>
          <w:color w:val="0070C0"/>
          <w:sz w:val="16"/>
          <w:szCs w:val="16"/>
        </w:rPr>
        <w:softHyphen/>
        <w:t>ды. Поэтому в частях ААН старались получать газ в полевых установках типа ПВУ-100 или ВУГ-120 (производительностью 100-120 м3/ч), применяв</w:t>
      </w:r>
      <w:r w:rsidRPr="007224C3">
        <w:rPr>
          <w:rFonts w:ascii="Times New Roman" w:hAnsi="Times New Roman"/>
          <w:color w:val="0070C0"/>
          <w:sz w:val="16"/>
          <w:szCs w:val="16"/>
        </w:rPr>
        <w:softHyphen/>
        <w:t>шихся и в частях АЗ. За пять-шесть часов работы установка давала газ на полный объём аэростата и на его подполнение в первые дни работы.</w:t>
      </w:r>
    </w:p>
    <w:p w14:paraId="6E84A590" w14:textId="77777777" w:rsidR="00D13803" w:rsidRPr="007224C3" w:rsidRDefault="00D1380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Громоздкую установку «Оксилит ЗИС-12», смонтированную на шасси ЗиС-12 и прицепе к нему, сменили ВУГ-500, ВУГ-ЗИС-500, обо</w:t>
      </w:r>
      <w:r w:rsidRPr="007224C3">
        <w:rPr>
          <w:rFonts w:ascii="Times New Roman" w:hAnsi="Times New Roman"/>
          <w:color w:val="0070C0"/>
          <w:sz w:val="16"/>
          <w:szCs w:val="16"/>
        </w:rPr>
        <w:softHyphen/>
        <w:t>рудование которых монтировалось на шасси ЗиС-12 (ВУГ-ЗИС-500) или на трёхтонном при</w:t>
      </w:r>
      <w:r w:rsidRPr="007224C3">
        <w:rPr>
          <w:rFonts w:ascii="Times New Roman" w:hAnsi="Times New Roman"/>
          <w:color w:val="0070C0"/>
          <w:sz w:val="16"/>
          <w:szCs w:val="16"/>
        </w:rPr>
        <w:softHyphen/>
        <w:t>цепе (ВУГ-500). Эти установки не получили, од</w:t>
      </w:r>
      <w:r w:rsidRPr="007224C3">
        <w:rPr>
          <w:rFonts w:ascii="Times New Roman" w:hAnsi="Times New Roman"/>
          <w:color w:val="0070C0"/>
          <w:sz w:val="16"/>
          <w:szCs w:val="16"/>
        </w:rPr>
        <w:softHyphen/>
        <w:t>нако, широкого распространения.</w:t>
      </w:r>
    </w:p>
    <w:p w14:paraId="71D06704" w14:textId="77777777" w:rsidR="00D13803" w:rsidRPr="007224C3" w:rsidRDefault="00D1380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Несмотря на предпринятые усилия, некото</w:t>
      </w:r>
      <w:r w:rsidRPr="007224C3">
        <w:rPr>
          <w:rFonts w:ascii="Times New Roman" w:hAnsi="Times New Roman"/>
          <w:color w:val="0070C0"/>
          <w:sz w:val="16"/>
          <w:szCs w:val="16"/>
        </w:rPr>
        <w:softHyphen/>
        <w:t>рые недостатки отечественной воздухоплава</w:t>
      </w:r>
      <w:r w:rsidRPr="007224C3">
        <w:rPr>
          <w:rFonts w:ascii="Times New Roman" w:hAnsi="Times New Roman"/>
          <w:color w:val="0070C0"/>
          <w:sz w:val="16"/>
          <w:szCs w:val="16"/>
        </w:rPr>
        <w:softHyphen/>
        <w:t>тельной техники остались не устранёнными до конца войны. К ним можно отнести: низкую ве</w:t>
      </w:r>
      <w:r w:rsidRPr="007224C3">
        <w:rPr>
          <w:rFonts w:ascii="Times New Roman" w:hAnsi="Times New Roman"/>
          <w:color w:val="0070C0"/>
          <w:sz w:val="16"/>
          <w:szCs w:val="16"/>
        </w:rPr>
        <w:softHyphen/>
        <w:t>троустойчивость аэростатов на всех высотах, зна</w:t>
      </w:r>
      <w:r w:rsidRPr="007224C3">
        <w:rPr>
          <w:rFonts w:ascii="Times New Roman" w:hAnsi="Times New Roman"/>
          <w:color w:val="0070C0"/>
          <w:sz w:val="16"/>
          <w:szCs w:val="16"/>
        </w:rPr>
        <w:softHyphen/>
        <w:t>чительно уступавшую английским аналогам; вы</w:t>
      </w:r>
      <w:r w:rsidRPr="007224C3">
        <w:rPr>
          <w:rFonts w:ascii="Times New Roman" w:hAnsi="Times New Roman"/>
          <w:color w:val="0070C0"/>
          <w:sz w:val="16"/>
          <w:szCs w:val="16"/>
        </w:rPr>
        <w:softHyphen/>
        <w:t>сокую газопроницаемость оболочек аэростатов; большой эксплуатационный расход водорода, особенно в боевых условиях, из-за его недоста</w:t>
      </w:r>
      <w:r w:rsidRPr="007224C3">
        <w:rPr>
          <w:rFonts w:ascii="Times New Roman" w:hAnsi="Times New Roman"/>
          <w:color w:val="0070C0"/>
          <w:sz w:val="16"/>
          <w:szCs w:val="16"/>
        </w:rPr>
        <w:softHyphen/>
        <w:t>точной очистки; малую производительность по</w:t>
      </w:r>
      <w:r w:rsidRPr="007224C3">
        <w:rPr>
          <w:rFonts w:ascii="Times New Roman" w:hAnsi="Times New Roman"/>
          <w:color w:val="0070C0"/>
          <w:sz w:val="16"/>
          <w:szCs w:val="16"/>
        </w:rPr>
        <w:softHyphen/>
        <w:t>левых газодобывающих станций, что вызывало большую зависимость от стационарных источ</w:t>
      </w:r>
      <w:r w:rsidRPr="007224C3">
        <w:rPr>
          <w:rFonts w:ascii="Times New Roman" w:hAnsi="Times New Roman"/>
          <w:color w:val="0070C0"/>
          <w:sz w:val="16"/>
          <w:szCs w:val="16"/>
        </w:rPr>
        <w:softHyphen/>
        <w:t>ников водорода; отсутствие в частях специаль</w:t>
      </w:r>
      <w:r w:rsidRPr="007224C3">
        <w:rPr>
          <w:rFonts w:ascii="Times New Roman" w:hAnsi="Times New Roman"/>
          <w:color w:val="0070C0"/>
          <w:sz w:val="16"/>
          <w:szCs w:val="16"/>
        </w:rPr>
        <w:softHyphen/>
        <w:t>ного технического оборудования и приборов для эксплуатации и войскового ремонта; сложность боевой работы и повышенную уязвимость аэро</w:t>
      </w:r>
      <w:r w:rsidRPr="007224C3">
        <w:rPr>
          <w:rFonts w:ascii="Times New Roman" w:hAnsi="Times New Roman"/>
          <w:color w:val="0070C0"/>
          <w:sz w:val="16"/>
          <w:szCs w:val="16"/>
        </w:rPr>
        <w:softHyphen/>
        <w:t>статов системы тандем; недостаточную проходи</w:t>
      </w:r>
      <w:r w:rsidRPr="007224C3">
        <w:rPr>
          <w:rFonts w:ascii="Times New Roman" w:hAnsi="Times New Roman"/>
          <w:color w:val="0070C0"/>
          <w:sz w:val="16"/>
          <w:szCs w:val="16"/>
        </w:rPr>
        <w:softHyphen/>
        <w:t>мость автомобиля лебёдки (20120).</w:t>
      </w:r>
    </w:p>
    <w:p w14:paraId="630CFF42" w14:textId="77777777" w:rsidR="00D13803" w:rsidRPr="007224C3" w:rsidRDefault="00D13803" w:rsidP="007224C3">
      <w:pPr>
        <w:spacing w:after="0" w:line="240" w:lineRule="auto"/>
        <w:jc w:val="both"/>
        <w:rPr>
          <w:rFonts w:ascii="Times New Roman" w:hAnsi="Times New Roman"/>
          <w:color w:val="0070C0"/>
          <w:sz w:val="16"/>
          <w:szCs w:val="16"/>
        </w:rPr>
      </w:pPr>
    </w:p>
    <w:p w14:paraId="07D1B905"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13B3B15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FA7E744" w14:textId="77777777" w:rsidR="00D4630C" w:rsidRPr="007224C3" w:rsidRDefault="00D4630C" w:rsidP="007224C3">
      <w:pPr>
        <w:pStyle w:val="ae"/>
        <w:shd w:val="clear" w:color="auto" w:fill="FFFFFF"/>
        <w:spacing w:before="0" w:after="0"/>
        <w:jc w:val="both"/>
        <w:rPr>
          <w:color w:val="000000" w:themeColor="text1"/>
          <w:sz w:val="16"/>
          <w:szCs w:val="16"/>
        </w:rPr>
      </w:pPr>
      <w:r w:rsidRPr="007224C3">
        <w:rPr>
          <w:color w:val="000000" w:themeColor="text1"/>
          <w:sz w:val="16"/>
          <w:szCs w:val="16"/>
        </w:rPr>
        <w:t>В феврале 1944 года ОКБ-172 и завод №100 начали разрабатывать технический проект БЛ-13, первые наработки по теме появились в июле (17209).</w:t>
      </w:r>
    </w:p>
    <w:p w14:paraId="17601B89" w14:textId="77777777" w:rsidR="00D4630C" w:rsidRPr="007224C3" w:rsidRDefault="00D4630C" w:rsidP="007224C3">
      <w:pPr>
        <w:pStyle w:val="ae"/>
        <w:shd w:val="clear" w:color="auto" w:fill="FFFFFF"/>
        <w:spacing w:before="0" w:after="0"/>
        <w:jc w:val="both"/>
        <w:rPr>
          <w:color w:val="000000" w:themeColor="text1"/>
          <w:sz w:val="16"/>
          <w:szCs w:val="16"/>
        </w:rPr>
      </w:pPr>
    </w:p>
    <w:p w14:paraId="5D0D05C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 феврале 1944 г. на заводе № 562 было закончено строительство испытательной базы, что резко сократило время, затрачиваемое на приемные стендовые испытания зарядов, проводившиеся ранее на стендах других предприятий. Первое испытание ракетных зарядов на своей базе было проведено 20 октября 1944 г. </w:t>
      </w:r>
    </w:p>
    <w:p w14:paraId="57A26C5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 мае 1944 г. вступила в строй центральная заводская лаборатория. Результаты проводимых ею анализов приобрели с этого времени официальный характер и начали вноситься в формуляры на выпускаемую продукцию. До мая 1944 г. все необходимые анализы порохов проводились Московским пороховым институтом, что неизбежно удлиняло сроки сдачи готовой, продукции. </w:t>
      </w:r>
    </w:p>
    <w:p w14:paraId="0D2249E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 результате выпуск порохов в 1944 г. почти в два раза превысил выпуск в 1943 г. В 1945 г. планы производства ракетных зарядов на заводе 512 были уменьшены. Причиной этого явилось полное развертывание в 1944 г. производства ракетных зарядов на ряде мощных пороховых заводов на востоке страны. </w:t>
      </w:r>
    </w:p>
    <w:p w14:paraId="7779DAA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 за годы Великой Отечественной войны завод 512 изготовил около 550 тыс. ракетных зарядов, в том числе для снарядов M-13 около 217 тыс. и для M-13 около 308 тыс. [</w:t>
      </w:r>
      <w:r w:rsidRPr="007224C3">
        <w:rPr>
          <w:rFonts w:ascii="Times New Roman" w:hAnsi="Times New Roman"/>
          <w:iCs/>
          <w:color w:val="000000" w:themeColor="text1"/>
          <w:sz w:val="16"/>
          <w:szCs w:val="16"/>
        </w:rPr>
        <w:t>Так в тексте. вероятно имелось в виду М-13 и М-8 — im</w:t>
      </w:r>
      <w:r w:rsidRPr="007224C3">
        <w:rPr>
          <w:rFonts w:ascii="Times New Roman" w:hAnsi="Times New Roman"/>
          <w:color w:val="000000" w:themeColor="text1"/>
          <w:sz w:val="16"/>
          <w:szCs w:val="16"/>
        </w:rPr>
        <w:t>]. Все поставленные заряды отличались исключительно высоким качеством. Завод не имел ни одной рекламации от войск за весь период Великой Отечественной войны (11209).</w:t>
      </w:r>
    </w:p>
    <w:p w14:paraId="18C68AF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1945 г. после окончания Великой Отечественной войны завод 512 как валовый завод по выпуску порохов и зарядов из них прекратил свое существование и был преобразован в научно-исследовательский институт. [</w:t>
      </w:r>
      <w:r w:rsidRPr="007224C3">
        <w:rPr>
          <w:rFonts w:ascii="Times New Roman" w:hAnsi="Times New Roman"/>
          <w:iCs/>
          <w:color w:val="000000" w:themeColor="text1"/>
          <w:sz w:val="16"/>
          <w:szCs w:val="16"/>
        </w:rPr>
        <w:t>НИИ-125, г.Дзержинский Московской обл., МАП (1947), МОМ (1965), позднее Научно-исследовательский химико-технологический институт</w:t>
      </w:r>
      <w:r w:rsidRPr="007224C3">
        <w:rPr>
          <w:rFonts w:ascii="Times New Roman" w:hAnsi="Times New Roman"/>
          <w:color w:val="000000" w:themeColor="text1"/>
          <w:sz w:val="16"/>
          <w:szCs w:val="16"/>
        </w:rPr>
        <w:t>] (11209).</w:t>
      </w:r>
    </w:p>
    <w:p w14:paraId="13CF070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084D0F0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1944 г. бронебойно-трассирующий подкалиберный снаряд БР-365П к 85-мм пушке, разработанный НИИ-24, был принят на вооружение РККА Специализированные заводы Наркомата боеприпасов быстро осво</w:t>
      </w:r>
      <w:r w:rsidRPr="007224C3">
        <w:rPr>
          <w:rFonts w:ascii="Times New Roman" w:hAnsi="Times New Roman"/>
          <w:color w:val="000000" w:themeColor="text1"/>
          <w:sz w:val="16"/>
          <w:szCs w:val="16"/>
        </w:rPr>
        <w:softHyphen/>
        <w:t>или массовое производство подкалиберных бронебойных снарядов. До конца войны было выпущено около 3,4 млн 45-мм подкалиберных сна</w:t>
      </w:r>
      <w:r w:rsidRPr="007224C3">
        <w:rPr>
          <w:rFonts w:ascii="Times New Roman" w:hAnsi="Times New Roman"/>
          <w:color w:val="000000" w:themeColor="text1"/>
          <w:sz w:val="16"/>
          <w:szCs w:val="16"/>
        </w:rPr>
        <w:softHyphen/>
        <w:t>рядов, около 0,5 млн - 57-мм, более 1 млн - 76-мм, 95 тыс. - 85-мм сна</w:t>
      </w:r>
      <w:r w:rsidRPr="007224C3">
        <w:rPr>
          <w:rFonts w:ascii="Times New Roman" w:hAnsi="Times New Roman"/>
          <w:color w:val="000000" w:themeColor="text1"/>
          <w:sz w:val="16"/>
          <w:szCs w:val="16"/>
        </w:rPr>
        <w:softHyphen/>
        <w:t>рядов. Сердечники из твердых сплавов для подкалиберных снарядов в те</w:t>
      </w:r>
      <w:r w:rsidRPr="007224C3">
        <w:rPr>
          <w:rFonts w:ascii="Times New Roman" w:hAnsi="Times New Roman"/>
          <w:color w:val="000000" w:themeColor="text1"/>
          <w:sz w:val="16"/>
          <w:szCs w:val="16"/>
        </w:rPr>
        <w:softHyphen/>
        <w:t>чение всей войны изготавливали на Московском комбинате твердых сплавов (директор А.И. Андрюшин) и Кировоградском заводе твердых сплавов на Урале (директор З.Б. Друтман). Бронебойный сердечник являлся основной деталью снаряда; он спе</w:t>
      </w:r>
      <w:r w:rsidRPr="007224C3">
        <w:rPr>
          <w:rFonts w:ascii="Times New Roman" w:hAnsi="Times New Roman"/>
          <w:color w:val="000000" w:themeColor="text1"/>
          <w:sz w:val="16"/>
          <w:szCs w:val="16"/>
        </w:rPr>
        <w:softHyphen/>
        <w:t>кался из карбида вольфрама с небольшой примесью никеля, кобальта и других металлов. Материал сердечника обладал очень высокой удель</w:t>
      </w:r>
      <w:r w:rsidRPr="007224C3">
        <w:rPr>
          <w:rFonts w:ascii="Times New Roman" w:hAnsi="Times New Roman"/>
          <w:color w:val="000000" w:themeColor="text1"/>
          <w:sz w:val="16"/>
          <w:szCs w:val="16"/>
        </w:rPr>
        <w:softHyphen/>
        <w:t>ной массой и всеми свойствами сверхтвердых сплавов. Сам сердечник имел остроголовую цилиндро-оживальную форму. Попытки заменить сердечники из карбида вольфрама стальными положительных результатов не дали, так как переход к стали с любыми механическими свойствами и любого состава был связан с потерей твердости и массы сердечника. Для уменьшения расхода вольфрама немцы изготавливали составные сердечники, имевшие верхнюю часть из сверхтвердого сплава и нижнюю - из стали. Бронебойное действие снарядов с составными сердечниками было ниже бронебойного дейст</w:t>
      </w:r>
      <w:r w:rsidRPr="007224C3">
        <w:rPr>
          <w:rFonts w:ascii="Times New Roman" w:hAnsi="Times New Roman"/>
          <w:color w:val="000000" w:themeColor="text1"/>
          <w:sz w:val="16"/>
          <w:szCs w:val="16"/>
        </w:rPr>
        <w:softHyphen/>
        <w:t>вия снарядов с сердечниками, изготовленными из твердого сплава. Баллистический наконечник изготавливался из легкого и мягкого материала — пластмассы, электрона, алюминия - или штамповался из листового железа и служил только для удержания сердечника в поддо</w:t>
      </w:r>
      <w:r w:rsidRPr="007224C3">
        <w:rPr>
          <w:rFonts w:ascii="Times New Roman" w:hAnsi="Times New Roman"/>
          <w:color w:val="000000" w:themeColor="text1"/>
          <w:sz w:val="16"/>
          <w:szCs w:val="16"/>
        </w:rPr>
        <w:softHyphen/>
        <w:t>не и придания головной части снаряда удобообтекаемой формы (10703).</w:t>
      </w:r>
    </w:p>
    <w:p w14:paraId="0F45581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Данные о пробитии броневой защиты немецких танков и САУ (1944 г.)</w:t>
      </w:r>
    </w:p>
    <w:tbl>
      <w:tblPr>
        <w:tblW w:w="0" w:type="auto"/>
        <w:tblInd w:w="40" w:type="dxa"/>
        <w:tblLayout w:type="fixed"/>
        <w:tblCellMar>
          <w:left w:w="40" w:type="dxa"/>
          <w:right w:w="40" w:type="dxa"/>
        </w:tblCellMar>
        <w:tblLook w:val="0000" w:firstRow="0" w:lastRow="0" w:firstColumn="0" w:lastColumn="0" w:noHBand="0" w:noVBand="0"/>
      </w:tblPr>
      <w:tblGrid>
        <w:gridCol w:w="1027"/>
        <w:gridCol w:w="2141"/>
        <w:gridCol w:w="7555"/>
      </w:tblGrid>
      <w:tr w:rsidR="005106D0" w:rsidRPr="007224C3" w14:paraId="0A739C73" w14:textId="77777777">
        <w:trPr>
          <w:trHeight w:val="394"/>
        </w:trPr>
        <w:tc>
          <w:tcPr>
            <w:tcW w:w="1027" w:type="dxa"/>
            <w:tcBorders>
              <w:top w:val="single" w:sz="6" w:space="0" w:color="auto"/>
              <w:left w:val="single" w:sz="6" w:space="0" w:color="auto"/>
              <w:bottom w:val="single" w:sz="6" w:space="0" w:color="auto"/>
              <w:right w:val="single" w:sz="6" w:space="0" w:color="auto"/>
            </w:tcBorders>
          </w:tcPr>
          <w:p w14:paraId="7250D26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Калибр БПС, мм</w:t>
            </w:r>
          </w:p>
        </w:tc>
        <w:tc>
          <w:tcPr>
            <w:tcW w:w="2141" w:type="dxa"/>
            <w:tcBorders>
              <w:top w:val="single" w:sz="6" w:space="0" w:color="auto"/>
              <w:left w:val="single" w:sz="6" w:space="0" w:color="auto"/>
              <w:bottom w:val="single" w:sz="6" w:space="0" w:color="auto"/>
              <w:right w:val="single" w:sz="6" w:space="0" w:color="auto"/>
            </w:tcBorders>
          </w:tcPr>
          <w:p w14:paraId="21A3A84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Дальность эффективной стрельбы, м</w:t>
            </w:r>
          </w:p>
        </w:tc>
        <w:tc>
          <w:tcPr>
            <w:tcW w:w="7555" w:type="dxa"/>
            <w:tcBorders>
              <w:top w:val="single" w:sz="6" w:space="0" w:color="auto"/>
              <w:left w:val="single" w:sz="6" w:space="0" w:color="auto"/>
              <w:bottom w:val="single" w:sz="6" w:space="0" w:color="auto"/>
              <w:right w:val="single" w:sz="6" w:space="0" w:color="auto"/>
            </w:tcBorders>
          </w:tcPr>
          <w:p w14:paraId="1E7BB24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Пробиваемая броневая защита</w:t>
            </w:r>
          </w:p>
        </w:tc>
      </w:tr>
      <w:tr w:rsidR="005106D0" w:rsidRPr="007224C3" w14:paraId="50096838" w14:textId="77777777">
        <w:trPr>
          <w:trHeight w:val="192"/>
        </w:trPr>
        <w:tc>
          <w:tcPr>
            <w:tcW w:w="1027" w:type="dxa"/>
            <w:tcBorders>
              <w:top w:val="single" w:sz="6" w:space="0" w:color="auto"/>
              <w:left w:val="single" w:sz="6" w:space="0" w:color="auto"/>
              <w:bottom w:val="nil"/>
              <w:right w:val="single" w:sz="6" w:space="0" w:color="auto"/>
            </w:tcBorders>
          </w:tcPr>
          <w:p w14:paraId="104599E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w:t>
            </w:r>
          </w:p>
        </w:tc>
        <w:tc>
          <w:tcPr>
            <w:tcW w:w="2141" w:type="dxa"/>
            <w:tcBorders>
              <w:top w:val="single" w:sz="6" w:space="0" w:color="auto"/>
              <w:left w:val="single" w:sz="6" w:space="0" w:color="auto"/>
              <w:bottom w:val="single" w:sz="6" w:space="0" w:color="auto"/>
              <w:right w:val="single" w:sz="6" w:space="0" w:color="auto"/>
            </w:tcBorders>
          </w:tcPr>
          <w:p w14:paraId="592E209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 300</w:t>
            </w:r>
          </w:p>
        </w:tc>
        <w:tc>
          <w:tcPr>
            <w:tcW w:w="7555" w:type="dxa"/>
            <w:tcBorders>
              <w:top w:val="single" w:sz="6" w:space="0" w:color="auto"/>
              <w:left w:val="single" w:sz="6" w:space="0" w:color="auto"/>
              <w:bottom w:val="single" w:sz="6" w:space="0" w:color="auto"/>
              <w:right w:val="single" w:sz="6" w:space="0" w:color="auto"/>
            </w:tcBorders>
          </w:tcPr>
          <w:p w14:paraId="59A5FDE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Лобовая и бортовая броневая защита танков Т-Ш и Т-ГУ</w:t>
            </w:r>
          </w:p>
        </w:tc>
      </w:tr>
      <w:tr w:rsidR="005106D0" w:rsidRPr="007224C3" w14:paraId="6CF4D032" w14:textId="77777777">
        <w:trPr>
          <w:trHeight w:val="192"/>
        </w:trPr>
        <w:tc>
          <w:tcPr>
            <w:tcW w:w="1027" w:type="dxa"/>
            <w:tcBorders>
              <w:top w:val="nil"/>
              <w:left w:val="single" w:sz="6" w:space="0" w:color="auto"/>
              <w:bottom w:val="single" w:sz="6" w:space="0" w:color="auto"/>
              <w:right w:val="single" w:sz="6" w:space="0" w:color="auto"/>
            </w:tcBorders>
          </w:tcPr>
          <w:p w14:paraId="13F0112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2141" w:type="dxa"/>
            <w:tcBorders>
              <w:top w:val="single" w:sz="6" w:space="0" w:color="auto"/>
              <w:left w:val="single" w:sz="6" w:space="0" w:color="auto"/>
              <w:bottom w:val="single" w:sz="6" w:space="0" w:color="auto"/>
              <w:right w:val="single" w:sz="6" w:space="0" w:color="auto"/>
            </w:tcBorders>
          </w:tcPr>
          <w:p w14:paraId="7BCDB7D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доЗОО</w:t>
            </w:r>
          </w:p>
        </w:tc>
        <w:tc>
          <w:tcPr>
            <w:tcW w:w="7555" w:type="dxa"/>
            <w:tcBorders>
              <w:top w:val="single" w:sz="6" w:space="0" w:color="auto"/>
              <w:left w:val="single" w:sz="6" w:space="0" w:color="auto"/>
              <w:bottom w:val="single" w:sz="6" w:space="0" w:color="auto"/>
              <w:right w:val="single" w:sz="6" w:space="0" w:color="auto"/>
            </w:tcBorders>
          </w:tcPr>
          <w:p w14:paraId="1E137ED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Бортовая броневая защита танков Т-У "Пантера", Т- VI "Тигр I" и САУ "Фердинанд" (по нормали)</w:t>
            </w:r>
          </w:p>
        </w:tc>
      </w:tr>
      <w:tr w:rsidR="005106D0" w:rsidRPr="007224C3" w14:paraId="5F277A55" w14:textId="77777777">
        <w:trPr>
          <w:trHeight w:val="192"/>
        </w:trPr>
        <w:tc>
          <w:tcPr>
            <w:tcW w:w="1027" w:type="dxa"/>
            <w:tcBorders>
              <w:top w:val="single" w:sz="6" w:space="0" w:color="auto"/>
              <w:left w:val="single" w:sz="6" w:space="0" w:color="auto"/>
              <w:bottom w:val="nil"/>
              <w:right w:val="single" w:sz="6" w:space="0" w:color="auto"/>
            </w:tcBorders>
          </w:tcPr>
          <w:p w14:paraId="06E3F7D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76,2</w:t>
            </w:r>
          </w:p>
        </w:tc>
        <w:tc>
          <w:tcPr>
            <w:tcW w:w="2141" w:type="dxa"/>
            <w:tcBorders>
              <w:top w:val="single" w:sz="6" w:space="0" w:color="auto"/>
              <w:left w:val="single" w:sz="6" w:space="0" w:color="auto"/>
              <w:bottom w:val="single" w:sz="6" w:space="0" w:color="auto"/>
              <w:right w:val="single" w:sz="6" w:space="0" w:color="auto"/>
            </w:tcBorders>
          </w:tcPr>
          <w:p w14:paraId="72A6C4E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 400</w:t>
            </w:r>
          </w:p>
        </w:tc>
        <w:tc>
          <w:tcPr>
            <w:tcW w:w="7555" w:type="dxa"/>
            <w:tcBorders>
              <w:top w:val="single" w:sz="6" w:space="0" w:color="auto"/>
              <w:left w:val="single" w:sz="6" w:space="0" w:color="auto"/>
              <w:bottom w:val="single" w:sz="6" w:space="0" w:color="auto"/>
              <w:right w:val="single" w:sz="6" w:space="0" w:color="auto"/>
            </w:tcBorders>
          </w:tcPr>
          <w:p w14:paraId="02DC795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Бортовая броневая защита танков Т-У "Пантера", Т- VI "Тигр I" и САУ "Фердинанд" (по нормали)</w:t>
            </w:r>
          </w:p>
        </w:tc>
      </w:tr>
      <w:tr w:rsidR="005106D0" w:rsidRPr="007224C3" w14:paraId="088236BF" w14:textId="77777777">
        <w:trPr>
          <w:trHeight w:val="230"/>
        </w:trPr>
        <w:tc>
          <w:tcPr>
            <w:tcW w:w="1027" w:type="dxa"/>
            <w:tcBorders>
              <w:top w:val="nil"/>
              <w:left w:val="single" w:sz="6" w:space="0" w:color="auto"/>
              <w:bottom w:val="single" w:sz="6" w:space="0" w:color="auto"/>
              <w:right w:val="single" w:sz="6" w:space="0" w:color="auto"/>
            </w:tcBorders>
          </w:tcPr>
          <w:p w14:paraId="088D018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2141" w:type="dxa"/>
            <w:tcBorders>
              <w:top w:val="single" w:sz="6" w:space="0" w:color="auto"/>
              <w:left w:val="single" w:sz="6" w:space="0" w:color="auto"/>
              <w:bottom w:val="single" w:sz="6" w:space="0" w:color="auto"/>
              <w:right w:val="single" w:sz="6" w:space="0" w:color="auto"/>
            </w:tcBorders>
          </w:tcPr>
          <w:p w14:paraId="248038B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 200</w:t>
            </w:r>
          </w:p>
        </w:tc>
        <w:tc>
          <w:tcPr>
            <w:tcW w:w="7555" w:type="dxa"/>
            <w:tcBorders>
              <w:top w:val="single" w:sz="6" w:space="0" w:color="auto"/>
              <w:left w:val="single" w:sz="6" w:space="0" w:color="auto"/>
              <w:bottom w:val="single" w:sz="6" w:space="0" w:color="auto"/>
              <w:right w:val="single" w:sz="6" w:space="0" w:color="auto"/>
            </w:tcBorders>
          </w:tcPr>
          <w:p w14:paraId="660C7F7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Лобовая и бортовая броневая защита танков Т-У "Пантера" и Т- VI "Тигр I"</w:t>
            </w:r>
          </w:p>
        </w:tc>
      </w:tr>
    </w:tbl>
    <w:p w14:paraId="067AFA4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(10703).</w:t>
      </w:r>
    </w:p>
    <w:p w14:paraId="36E14FA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7CB9F19D" w14:textId="77777777" w:rsidR="00673CAB" w:rsidRPr="007224C3" w:rsidRDefault="00673CA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1944 г. после освобождения Луги деятельность полигона была возобновлена. Продолжалась она и в послевоенные годы. Роль полигона в развитии отечественной артиллерии возрастала. В 1952 г. он был переименован в Центральный учебно-опытный артиллерийский полигон и передан в непосредственное подчинение командующего артиллерией Советской Армии.</w:t>
      </w:r>
    </w:p>
    <w:p w14:paraId="04771178" w14:textId="77777777" w:rsidR="00673CAB" w:rsidRPr="007224C3" w:rsidRDefault="00673CA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Спустя десять лет на базе Центрального учебно-опытного артиллерийского полигона создается Общевойсковой полигон центрального подчинения, однако уже в 1969 г. все возвращается на круги своя: общевойсковой полигон переименовывается в артиллерийский с изменениями в структурном штате. И только южный участок полигона (учебный центр Струги Красные) передается в Ленинградский военный округ.</w:t>
      </w:r>
    </w:p>
    <w:p w14:paraId="66E5DEC4" w14:textId="77777777" w:rsidR="00673CAB" w:rsidRPr="007224C3" w:rsidRDefault="00673CA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33-й артиллерийский полигон под Лугой и сегодня впечатляет размерами (45 на 30 км, общая площадь 96.006 гектаров). Он по-прежнему вносит большой вклад в совершенствование мастерства артиллеристов и развитие артиллерии как рода войск в целом.</w:t>
      </w:r>
    </w:p>
    <w:p w14:paraId="1B9FEB8F" w14:textId="77777777" w:rsidR="00673CAB" w:rsidRPr="007224C3" w:rsidRDefault="00673CA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настоящее время территория полигона используемая военными сократилась. Формально, он имеет вышеупомянутые рамки. Но фактически стрельбы проводятся на значительно меньшей территории. Въезд на большую часть этой территории доступен всем желающим. Там даже проводятся соревнования джиперов (12296).</w:t>
      </w:r>
    </w:p>
    <w:p w14:paraId="611C8512" w14:textId="77777777" w:rsidR="00673CAB" w:rsidRPr="007224C3" w:rsidRDefault="00673CAB" w:rsidP="007224C3">
      <w:pPr>
        <w:spacing w:after="0" w:line="240" w:lineRule="auto"/>
        <w:jc w:val="both"/>
        <w:rPr>
          <w:rFonts w:ascii="Times New Roman" w:hAnsi="Times New Roman"/>
          <w:color w:val="000000" w:themeColor="text1"/>
          <w:sz w:val="16"/>
          <w:szCs w:val="16"/>
        </w:rPr>
      </w:pPr>
    </w:p>
    <w:p w14:paraId="1E29DF41" w14:textId="77777777" w:rsidR="00C5076B" w:rsidRPr="007224C3" w:rsidRDefault="00C5076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февраля 1944 года запустили в серию Д-25Т и ставилось на тяжёлый танк ИС-2. Логичным решением виделось создание самоходной версии орудия, но не всё было так просто. Дело в том, что Д-25 и А-19 – далеко не одно и то же. От А-19 танковое орудие, разработанное КБ завода №9, унаследовало только баллистику и затвор, а при переходе на клиновой затвор осталась только баллистика. В результате получилось два варианта: либо адаптировать под трубу А-19 клиновой затвор, разработанный КБ завода №9, либо адаптировать саму Д-25 под установку в рубку ИСУ-122. От первого варианта отказались довольно быстро, поскольку делать сразу два варианта А-19 завод №172 был не в состоянии. Таким образом, в марте 1944 года остался единственный вариант — адаптация танкового орудия под самоходную установку (18335).</w:t>
      </w:r>
    </w:p>
    <w:p w14:paraId="476680AD" w14:textId="77777777" w:rsidR="00C5076B" w:rsidRPr="007224C3" w:rsidRDefault="00C5076B" w:rsidP="007224C3">
      <w:pPr>
        <w:spacing w:after="0" w:line="240" w:lineRule="auto"/>
        <w:jc w:val="both"/>
        <w:rPr>
          <w:rFonts w:ascii="Times New Roman" w:hAnsi="Times New Roman"/>
          <w:color w:val="000000" w:themeColor="text1"/>
          <w:sz w:val="16"/>
          <w:szCs w:val="16"/>
        </w:rPr>
      </w:pPr>
    </w:p>
    <w:p w14:paraId="4263524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1944 года ЦНИИ-48 получил задание на проведение НИР по теме "Исследование бронестойкости корпуса тяжелого танка ИС". Проведенная работа показала, что при существующей форме лобовой части корпуса он будет гарантирован от пробития немецкими 75 и 88-мм снарядами лишь в случае применения брони толщиной не менее 145-150-мм. (то есть на 20-30-мм больше существующей)..</w:t>
      </w:r>
    </w:p>
    <w:p w14:paraId="77592B9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По рекомендации ЦНИИ-48 были изменены режимы закалки, а также конструкция лобовой части корпуса ИС-2. Новый корпус, с так называемым "спрямленным" </w:t>
      </w:r>
      <w:r w:rsidRPr="007224C3">
        <w:rPr>
          <w:rFonts w:ascii="Times New Roman" w:hAnsi="Times New Roman"/>
          <w:color w:val="000000" w:themeColor="text1"/>
          <w:sz w:val="16"/>
          <w:szCs w:val="16"/>
        </w:rPr>
        <w:lastRenderedPageBreak/>
        <w:t>носом, сохранил прежнюю толщину брони. Из лобового листа изъяли люк-пробку механика-водителя, существенно снижавшую его прочность. Сам лист расположили под углом 60° к вертикали, что обеспечило при курсовых углах обстрела +30° непробитие его из 88-мм немецкой танковой пушки KwK 36 даже при стрельбе в упор..</w:t>
      </w:r>
    </w:p>
    <w:p w14:paraId="32E91A1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Уязвимым местом оставался нижний лобовой лист, имевший угол наклона 30° к вертикали Для придания ему большего угла наклона требовалось существенное изменение конструкции отделения управления Однако, учитывая, что вероятность попадания в нижний лобовой лист меньше, чем в другие части корпуса, его решили не трогать..</w:t>
      </w:r>
    </w:p>
    <w:p w14:paraId="339BAC7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Что касается башни, то существенно усилить ее бронезащиту не удалось. Спроектированная под 85-мм пушку, она была статически полностью уравновешена. После установки 122-мм орудия момент неуравновешенности достигал 1000 кг/м. Кроме того, техническое задание предполагало увеличение лобовой брони до 130 мм, что привело бы к еще большей неуравновешенности и потребовало бы внедрения нового механизма поворота. Поскольку осуществить эти мероприятия без радикального изменения конструкции башни было нельзя, от них пришлось отказаться..</w:t>
      </w:r>
    </w:p>
    <w:p w14:paraId="76343A9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Вместе с тем в процессе производства облик башни существенно изменился. Башни танков первой серии выпуска 1943 года имели узкую амбразуру. После установки пушки Д-25Т, несмотря на то, что ее люлька была такой же, как и у Д-5Т, пользоваться телескопическим прицелом стало очень неудобно. (3862).</w:t>
      </w:r>
    </w:p>
    <w:p w14:paraId="4CB8287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F4477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1944 г. в Че</w:t>
      </w:r>
      <w:r w:rsidRPr="007224C3">
        <w:rPr>
          <w:rFonts w:ascii="Times New Roman" w:hAnsi="Times New Roman"/>
          <w:color w:val="000000" w:themeColor="text1"/>
          <w:sz w:val="16"/>
          <w:szCs w:val="16"/>
        </w:rPr>
        <w:softHyphen/>
        <w:t>лябинске конструкторским бюро завода № 100 под руководством А.С. Ермолаева в целях повышения огневой мощи тяжелого танка был разработан Танк "Объект 245" (ИС-100). Опытный образец танка, который по документам НКТП проходил под маркой ИС-4, был изготовлен в феврале - марте 1944 г. Установка основного оружия в башню танка была произведена в марте - апреле на заводе № 9 НКВ. Ведущим инженером машины от завода № 100 был Н.И. Замо-рянский, от завода № 9 - М.Е. Безусов. В период с марта по апрель и в июне 1944 г. машина прошла заводские испытания. На вооружение танк не принимался и серийном производстве не состоял. Танк был создан на базе серийного танка ИС-1 и отличался от него установкой 100-мм пушки Д-10Т с длиной ствола 56 калибров и клино</w:t>
      </w:r>
      <w:r w:rsidRPr="007224C3">
        <w:rPr>
          <w:rFonts w:ascii="Times New Roman" w:hAnsi="Times New Roman"/>
          <w:color w:val="000000" w:themeColor="text1"/>
          <w:sz w:val="16"/>
          <w:szCs w:val="16"/>
        </w:rPr>
        <w:softHyphen/>
        <w:t>вым затвором. Высота линии огня составляла 1950 мм, длина отката -570 мм. Вместе с пушкой был спарен 7,62-мм пулемет ДТ. Для наводки в цель спаренной установки оружия использовался телескопический шарнирный прицел ТШ с 2,5-кратным увеличением. Углы вертикаль</w:t>
      </w:r>
      <w:r w:rsidRPr="007224C3">
        <w:rPr>
          <w:rFonts w:ascii="Times New Roman" w:hAnsi="Times New Roman"/>
          <w:color w:val="000000" w:themeColor="text1"/>
          <w:sz w:val="16"/>
          <w:szCs w:val="16"/>
        </w:rPr>
        <w:softHyphen/>
        <w:t>ной наводки пушки находились в интервале от -3 до +20°. Для удале</w:t>
      </w:r>
      <w:r w:rsidRPr="007224C3">
        <w:rPr>
          <w:rFonts w:ascii="Times New Roman" w:hAnsi="Times New Roman"/>
          <w:color w:val="000000" w:themeColor="text1"/>
          <w:sz w:val="16"/>
          <w:szCs w:val="16"/>
        </w:rPr>
        <w:softHyphen/>
        <w:t>ния пороховых газов из боевого отделения применялся вентилятор по</w:t>
      </w:r>
      <w:r w:rsidRPr="007224C3">
        <w:rPr>
          <w:rFonts w:ascii="Times New Roman" w:hAnsi="Times New Roman"/>
          <w:color w:val="000000" w:themeColor="text1"/>
          <w:sz w:val="16"/>
          <w:szCs w:val="16"/>
        </w:rPr>
        <w:softHyphen/>
        <w:t>вышенной производительности (10703).</w:t>
      </w:r>
    </w:p>
    <w:p w14:paraId="6965DCC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D445A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1944 г. на завершающем этапе проведения Корсунь-Шевченковской на</w:t>
      </w:r>
      <w:r w:rsidRPr="007224C3">
        <w:rPr>
          <w:rFonts w:ascii="Times New Roman" w:hAnsi="Times New Roman"/>
          <w:color w:val="000000" w:themeColor="text1"/>
          <w:sz w:val="16"/>
          <w:szCs w:val="16"/>
        </w:rPr>
        <w:softHyphen/>
        <w:t>ступательной операции впервые был применен танк ИС-1 (10703).</w:t>
      </w:r>
    </w:p>
    <w:p w14:paraId="0181768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AC145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1944 г. начались проектные работы по установке вышеназванных орудий в башне танка ИС-85 (11135).</w:t>
      </w:r>
    </w:p>
    <w:p w14:paraId="0A9559E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AD37EA" w14:textId="77777777" w:rsidR="00D13803" w:rsidRPr="007224C3" w:rsidRDefault="00D13803" w:rsidP="007224C3">
      <w:pPr>
        <w:shd w:val="clear" w:color="auto" w:fill="FFFFFF"/>
        <w:spacing w:after="0" w:line="240" w:lineRule="auto"/>
        <w:jc w:val="both"/>
        <w:rPr>
          <w:rFonts w:ascii="Times New Roman" w:hAnsi="Times New Roman"/>
          <w:color w:val="0070C0"/>
          <w:sz w:val="16"/>
          <w:szCs w:val="16"/>
        </w:rPr>
      </w:pPr>
      <w:r w:rsidRPr="007224C3">
        <w:rPr>
          <w:rStyle w:val="680"/>
          <w:rFonts w:ascii="Times New Roman" w:hAnsi="Times New Roman" w:cs="Times New Roman"/>
          <w:color w:val="0070C0"/>
          <w:sz w:val="16"/>
          <w:szCs w:val="16"/>
        </w:rPr>
        <w:t>Вторым изменением февраля 1944 года стало расширение количества поставщиков корпусов и башен ИС-2. К данным работам с янва</w:t>
      </w:r>
      <w:r w:rsidRPr="007224C3">
        <w:rPr>
          <w:rStyle w:val="680"/>
          <w:rFonts w:ascii="Times New Roman" w:hAnsi="Times New Roman" w:cs="Times New Roman"/>
          <w:color w:val="0070C0"/>
          <w:sz w:val="16"/>
          <w:szCs w:val="16"/>
        </w:rPr>
        <w:softHyphen/>
        <w:t>ря 1944 года вернулся свердловский завод УЗТМ. Это стало результатом мер НКТП, при</w:t>
      </w:r>
      <w:r w:rsidRPr="007224C3">
        <w:rPr>
          <w:rStyle w:val="680"/>
          <w:rFonts w:ascii="Times New Roman" w:hAnsi="Times New Roman" w:cs="Times New Roman"/>
          <w:color w:val="0070C0"/>
          <w:sz w:val="16"/>
          <w:szCs w:val="16"/>
        </w:rPr>
        <w:softHyphen/>
        <w:t>нятых в рамках подготовки к полномасштаб</w:t>
      </w:r>
      <w:r w:rsidRPr="007224C3">
        <w:rPr>
          <w:rStyle w:val="680"/>
          <w:rFonts w:ascii="Times New Roman" w:hAnsi="Times New Roman" w:cs="Times New Roman"/>
          <w:color w:val="0070C0"/>
          <w:sz w:val="16"/>
          <w:szCs w:val="16"/>
        </w:rPr>
        <w:softHyphen/>
        <w:t>ному производству ИС-2. В январе 1944 года при плане в 14 башен для ИС-2 УЗТМ сдал 16 штук. В этом же месяце УЗТМ сдал 52 носовые детали для корпуса ИС-2. Впрочем, неболь</w:t>
      </w:r>
      <w:r w:rsidRPr="007224C3">
        <w:rPr>
          <w:rStyle w:val="680"/>
          <w:rFonts w:ascii="Times New Roman" w:hAnsi="Times New Roman" w:cs="Times New Roman"/>
          <w:color w:val="0070C0"/>
          <w:sz w:val="16"/>
          <w:szCs w:val="16"/>
        </w:rPr>
        <w:softHyphen/>
        <w:t>шой объем выпуска танков данного типа при</w:t>
      </w:r>
      <w:r w:rsidRPr="007224C3">
        <w:rPr>
          <w:rStyle w:val="680"/>
          <w:rFonts w:ascii="Times New Roman" w:hAnsi="Times New Roman" w:cs="Times New Roman"/>
          <w:color w:val="0070C0"/>
          <w:sz w:val="16"/>
          <w:szCs w:val="16"/>
        </w:rPr>
        <w:softHyphen/>
        <w:t>вел к тому, что свердловские башни и лобо</w:t>
      </w:r>
      <w:r w:rsidRPr="007224C3">
        <w:rPr>
          <w:rStyle w:val="680"/>
          <w:rFonts w:ascii="Times New Roman" w:hAnsi="Times New Roman" w:cs="Times New Roman"/>
          <w:color w:val="0070C0"/>
          <w:sz w:val="16"/>
          <w:szCs w:val="16"/>
        </w:rPr>
        <w:softHyphen/>
        <w:t>вые детали корпуса стали использовать с февраля 1944 года. При этом с самого начала продукция УЗТМ отличалась. Во-первых, на лобовые детали корпуса УЗТМ не наносили литьевых номеров по центру, зато на изгибе лобовой детали виден широкий срез литей</w:t>
      </w:r>
      <w:r w:rsidRPr="007224C3">
        <w:rPr>
          <w:rStyle w:val="680"/>
          <w:rFonts w:ascii="Times New Roman" w:hAnsi="Times New Roman" w:cs="Times New Roman"/>
          <w:color w:val="0070C0"/>
          <w:sz w:val="16"/>
          <w:szCs w:val="16"/>
        </w:rPr>
        <w:softHyphen/>
        <w:t>ной прибыли. Во-вторых, имелся «двухэтаж</w:t>
      </w:r>
      <w:r w:rsidRPr="007224C3">
        <w:rPr>
          <w:rStyle w:val="680"/>
          <w:rFonts w:ascii="Times New Roman" w:hAnsi="Times New Roman" w:cs="Times New Roman"/>
          <w:color w:val="0070C0"/>
          <w:sz w:val="16"/>
          <w:szCs w:val="16"/>
        </w:rPr>
        <w:softHyphen/>
        <w:t xml:space="preserve">ный» литьевой номер на </w:t>
      </w:r>
      <w:r w:rsidRPr="007224C3">
        <w:rPr>
          <w:rStyle w:val="690"/>
          <w:rFonts w:ascii="Times New Roman" w:hAnsi="Times New Roman" w:cs="Times New Roman"/>
          <w:color w:val="0070C0"/>
          <w:sz w:val="16"/>
          <w:szCs w:val="16"/>
        </w:rPr>
        <w:t>там были три горизонтальных полосы. В- третьих, УЗТМ сразу перешел на изготовление башен по чертежу 240-57-Сб117, и там изна</w:t>
      </w:r>
      <w:r w:rsidRPr="007224C3">
        <w:rPr>
          <w:rStyle w:val="690"/>
          <w:rFonts w:ascii="Times New Roman" w:hAnsi="Times New Roman" w:cs="Times New Roman"/>
          <w:color w:val="0070C0"/>
          <w:sz w:val="16"/>
          <w:szCs w:val="16"/>
        </w:rPr>
        <w:softHyphen/>
        <w:t>чально ставились короткие поручни. В-чет</w:t>
      </w:r>
      <w:r w:rsidRPr="007224C3">
        <w:rPr>
          <w:rStyle w:val="690"/>
          <w:rFonts w:ascii="Times New Roman" w:hAnsi="Times New Roman" w:cs="Times New Roman"/>
          <w:color w:val="0070C0"/>
          <w:sz w:val="16"/>
          <w:szCs w:val="16"/>
        </w:rPr>
        <w:softHyphen/>
        <w:t>вертых, у свердловских башен не было лить</w:t>
      </w:r>
      <w:r w:rsidRPr="007224C3">
        <w:rPr>
          <w:rStyle w:val="690"/>
          <w:rFonts w:ascii="Times New Roman" w:hAnsi="Times New Roman" w:cs="Times New Roman"/>
          <w:color w:val="0070C0"/>
          <w:sz w:val="16"/>
          <w:szCs w:val="16"/>
        </w:rPr>
        <w:softHyphen/>
        <w:t>евых номеров на корме (вместо них отлива</w:t>
      </w:r>
      <w:r w:rsidRPr="007224C3">
        <w:rPr>
          <w:rStyle w:val="690"/>
          <w:rFonts w:ascii="Times New Roman" w:hAnsi="Times New Roman" w:cs="Times New Roman"/>
          <w:color w:val="0070C0"/>
          <w:sz w:val="16"/>
          <w:szCs w:val="16"/>
        </w:rPr>
        <w:softHyphen/>
        <w:t>лось две вертикальных полоски), шов между литьевыми формами имел иную конфигура</w:t>
      </w:r>
      <w:r w:rsidRPr="007224C3">
        <w:rPr>
          <w:rStyle w:val="690"/>
          <w:rFonts w:ascii="Times New Roman" w:hAnsi="Times New Roman" w:cs="Times New Roman"/>
          <w:color w:val="0070C0"/>
          <w:sz w:val="16"/>
          <w:szCs w:val="16"/>
        </w:rPr>
        <w:softHyphen/>
        <w:t>цию. В носовой части башни шов уходил вверх, отчасти повторяя форму скоса башни. Наконец, отличались командирские башен</w:t>
      </w:r>
      <w:r w:rsidRPr="007224C3">
        <w:rPr>
          <w:rStyle w:val="690"/>
          <w:rFonts w:ascii="Times New Roman" w:hAnsi="Times New Roman" w:cs="Times New Roman"/>
          <w:color w:val="0070C0"/>
          <w:sz w:val="16"/>
          <w:szCs w:val="16"/>
        </w:rPr>
        <w:softHyphen/>
        <w:t>ки. На башнях завода № 200 ставились ба</w:t>
      </w:r>
      <w:r w:rsidRPr="007224C3">
        <w:rPr>
          <w:rStyle w:val="690"/>
          <w:rFonts w:ascii="Times New Roman" w:hAnsi="Times New Roman" w:cs="Times New Roman"/>
          <w:color w:val="0070C0"/>
          <w:sz w:val="16"/>
          <w:szCs w:val="16"/>
        </w:rPr>
        <w:softHyphen/>
        <w:t>шенки, имевшие характерные «грани», ближе к февралю 1944 года грани немного «сглади</w:t>
      </w:r>
      <w:r w:rsidRPr="007224C3">
        <w:rPr>
          <w:rStyle w:val="690"/>
          <w:rFonts w:ascii="Times New Roman" w:hAnsi="Times New Roman" w:cs="Times New Roman"/>
          <w:color w:val="0070C0"/>
          <w:sz w:val="16"/>
          <w:szCs w:val="16"/>
        </w:rPr>
        <w:softHyphen/>
        <w:t>ли», а смотровые щели стали шире. Коман</w:t>
      </w:r>
      <w:r w:rsidRPr="007224C3">
        <w:rPr>
          <w:rStyle w:val="690"/>
          <w:rFonts w:ascii="Times New Roman" w:hAnsi="Times New Roman" w:cs="Times New Roman"/>
          <w:color w:val="0070C0"/>
          <w:sz w:val="16"/>
          <w:szCs w:val="16"/>
        </w:rPr>
        <w:softHyphen/>
        <w:t>дирские башенки производства УЗТМ «гра</w:t>
      </w:r>
      <w:r w:rsidRPr="007224C3">
        <w:rPr>
          <w:rStyle w:val="690"/>
          <w:rFonts w:ascii="Times New Roman" w:hAnsi="Times New Roman" w:cs="Times New Roman"/>
          <w:color w:val="0070C0"/>
          <w:sz w:val="16"/>
          <w:szCs w:val="16"/>
        </w:rPr>
        <w:softHyphen/>
        <w:t>ней» не имели, зато имелись срезы от шести литейных прибылей, а в районе смотровых щелей можно легко увидеть шов.</w:t>
      </w:r>
    </w:p>
    <w:p w14:paraId="1446EA92" w14:textId="77777777" w:rsidR="00D13803" w:rsidRPr="007224C3" w:rsidRDefault="00D13803" w:rsidP="007224C3">
      <w:pPr>
        <w:shd w:val="clear" w:color="auto" w:fill="FFFFFF"/>
        <w:spacing w:after="0" w:line="240" w:lineRule="auto"/>
        <w:jc w:val="both"/>
        <w:rPr>
          <w:rStyle w:val="690"/>
          <w:rFonts w:ascii="Times New Roman" w:hAnsi="Times New Roman" w:cs="Times New Roman"/>
          <w:color w:val="0070C0"/>
          <w:sz w:val="16"/>
          <w:szCs w:val="16"/>
        </w:rPr>
      </w:pPr>
      <w:r w:rsidRPr="007224C3">
        <w:rPr>
          <w:rStyle w:val="690"/>
          <w:rFonts w:ascii="Times New Roman" w:hAnsi="Times New Roman" w:cs="Times New Roman"/>
          <w:color w:val="0070C0"/>
          <w:sz w:val="16"/>
          <w:szCs w:val="16"/>
        </w:rPr>
        <w:t>Следует также отметить, что в первой по</w:t>
      </w:r>
      <w:r w:rsidRPr="007224C3">
        <w:rPr>
          <w:rStyle w:val="690"/>
          <w:rFonts w:ascii="Times New Roman" w:hAnsi="Times New Roman" w:cs="Times New Roman"/>
          <w:color w:val="0070C0"/>
          <w:sz w:val="16"/>
          <w:szCs w:val="16"/>
        </w:rPr>
        <w:softHyphen/>
        <w:t>ловине 1944 года был еще один смежник по корпусному производству ИС. Речь идет о за</w:t>
      </w:r>
      <w:r w:rsidRPr="007224C3">
        <w:rPr>
          <w:rStyle w:val="690"/>
          <w:rFonts w:ascii="Times New Roman" w:hAnsi="Times New Roman" w:cs="Times New Roman"/>
          <w:color w:val="0070C0"/>
          <w:sz w:val="16"/>
          <w:szCs w:val="16"/>
        </w:rPr>
        <w:softHyphen/>
        <w:t>воде № 178 в Кулебаках. С самого начала про</w:t>
      </w:r>
      <w:r w:rsidRPr="007224C3">
        <w:rPr>
          <w:rStyle w:val="690"/>
          <w:rFonts w:ascii="Times New Roman" w:hAnsi="Times New Roman" w:cs="Times New Roman"/>
          <w:color w:val="0070C0"/>
          <w:sz w:val="16"/>
          <w:szCs w:val="16"/>
        </w:rPr>
        <w:softHyphen/>
        <w:t>изводства ИС там выпускались командирские башенки, а также пробки люков механика-во</w:t>
      </w:r>
      <w:r w:rsidRPr="007224C3">
        <w:rPr>
          <w:rStyle w:val="690"/>
          <w:rFonts w:ascii="Times New Roman" w:hAnsi="Times New Roman" w:cs="Times New Roman"/>
          <w:color w:val="0070C0"/>
          <w:sz w:val="16"/>
          <w:szCs w:val="16"/>
        </w:rPr>
        <w:softHyphen/>
        <w:t>дителя. За 1943 год завод сдал 142 командир</w:t>
      </w:r>
      <w:r w:rsidRPr="007224C3">
        <w:rPr>
          <w:rStyle w:val="690"/>
          <w:rFonts w:ascii="Times New Roman" w:hAnsi="Times New Roman" w:cs="Times New Roman"/>
          <w:color w:val="0070C0"/>
          <w:sz w:val="16"/>
          <w:szCs w:val="16"/>
        </w:rPr>
        <w:softHyphen/>
        <w:t>ских башенки и 134 люка-пробки. В январе ассортимент выпускаемой для ИС продукции в Кулебаках сократился до командирской ба</w:t>
      </w:r>
      <w:r w:rsidRPr="007224C3">
        <w:rPr>
          <w:rStyle w:val="690"/>
          <w:rFonts w:ascii="Times New Roman" w:hAnsi="Times New Roman" w:cs="Times New Roman"/>
          <w:color w:val="0070C0"/>
          <w:sz w:val="16"/>
          <w:szCs w:val="16"/>
        </w:rPr>
        <w:softHyphen/>
        <w:t>шенки, причем сдали их 54% от нормы, по</w:t>
      </w:r>
      <w:r w:rsidRPr="007224C3">
        <w:rPr>
          <w:rStyle w:val="690"/>
          <w:rFonts w:ascii="Times New Roman" w:hAnsi="Times New Roman" w:cs="Times New Roman"/>
          <w:color w:val="0070C0"/>
          <w:sz w:val="16"/>
          <w:szCs w:val="16"/>
        </w:rPr>
        <w:softHyphen/>
        <w:t>скольку на завод пришел срочный заказ на изготовление 300 люков механика-водителя для СУ-76М он их продолжал выпускать из стали средней твердости 66Л. Первые башенки из стали вы</w:t>
      </w:r>
      <w:r w:rsidRPr="007224C3">
        <w:rPr>
          <w:rStyle w:val="690"/>
          <w:rFonts w:ascii="Times New Roman" w:hAnsi="Times New Roman" w:cs="Times New Roman"/>
          <w:color w:val="0070C0"/>
          <w:sz w:val="16"/>
          <w:szCs w:val="16"/>
        </w:rPr>
        <w:softHyphen/>
        <w:t>сокой твердости 70Л завод № 178 сдал уже ближе к концу марта. В апреле сдали еще 24 командирских башенки уже из стали 70Л. На этом выпуск командирских башенок в Куле- баках закончился, как и производство по линии ИС/ИСУ в целом (19874).</w:t>
      </w:r>
    </w:p>
    <w:p w14:paraId="7FA19F5A" w14:textId="77777777" w:rsidR="00D13803" w:rsidRPr="007224C3" w:rsidRDefault="00D13803" w:rsidP="007224C3">
      <w:pPr>
        <w:shd w:val="clear" w:color="auto" w:fill="FFFFFF"/>
        <w:spacing w:after="0" w:line="240" w:lineRule="auto"/>
        <w:jc w:val="both"/>
        <w:rPr>
          <w:rStyle w:val="690"/>
          <w:rFonts w:ascii="Times New Roman" w:hAnsi="Times New Roman" w:cs="Times New Roman"/>
          <w:color w:val="0070C0"/>
          <w:sz w:val="16"/>
          <w:szCs w:val="16"/>
        </w:rPr>
      </w:pPr>
    </w:p>
    <w:p w14:paraId="1EA5A684" w14:textId="77777777" w:rsidR="001A00DE" w:rsidRPr="007224C3" w:rsidRDefault="001A00DE" w:rsidP="007224C3">
      <w:pPr>
        <w:pStyle w:val="ae"/>
        <w:spacing w:before="0" w:after="0"/>
        <w:jc w:val="both"/>
        <w:textAlignment w:val="baseline"/>
        <w:rPr>
          <w:color w:val="000000" w:themeColor="text1"/>
          <w:sz w:val="16"/>
          <w:szCs w:val="16"/>
        </w:rPr>
      </w:pPr>
      <w:r w:rsidRPr="007224C3">
        <w:rPr>
          <w:color w:val="000000" w:themeColor="text1"/>
          <w:sz w:val="16"/>
          <w:szCs w:val="16"/>
        </w:rPr>
        <w:t>В феврале 1944 года план по выпуску СУ-85 был таким же, как и в январе — 175 машин. За первые 10 дней февраля были сданы 54, а к 20 февраля — 112 машин. Но из 200 орудий, которые завод должен был получить в феврале, к этому моменту пришло всего 37 штук. Только к концу месяца завод получил недостающие орудия, и план снова удалось перевыполнить: было сдано 176 машин. Завод №9 в этом месяце сдал 139 пушек, а завод №8 — 42, часть из которых была Д-5С85А. Самоходные установки с системами Д-5С85А получили название СУ-85А. В марте УЗТМ получил 102 Д-5С85 и 89 Д-5С85А. При этом из 191 машины, сданной в марте 1944 года, 112 являлись СУ-85, а 79 — СУ-85А.</w:t>
      </w:r>
    </w:p>
    <w:p w14:paraId="53F1DC03" w14:textId="77777777" w:rsidR="001A00DE" w:rsidRPr="007224C3" w:rsidRDefault="001A00DE" w:rsidP="007224C3">
      <w:pPr>
        <w:pStyle w:val="ae"/>
        <w:spacing w:before="0" w:after="0"/>
        <w:jc w:val="both"/>
        <w:textAlignment w:val="baseline"/>
        <w:rPr>
          <w:color w:val="000000" w:themeColor="text1"/>
          <w:sz w:val="16"/>
          <w:szCs w:val="16"/>
        </w:rPr>
      </w:pPr>
      <w:r w:rsidRPr="007224C3">
        <w:rPr>
          <w:color w:val="000000" w:themeColor="text1"/>
          <w:sz w:val="16"/>
          <w:szCs w:val="16"/>
        </w:rPr>
        <w:t>Ситуацию с выпуском двух орудий с одинаковым назначением, но с разными и не подходящими друг другу для замены стволами, затворами и ограждениями, сложно назвать нормальной. Не удивительно, что было решено выпуск Д-5С85 на заводе №9 прекратить. Этому поспособствовал и переход Т-34-85 с пушки Д-5Т на С-53 разработки Центрального артиллерийского конструкторского бюро (ЦАКБ). Из 200 сданных в апреле СУ-85 175 штук относились к версии СУ-85А. А в мае все 205 сданных машин были СУ-85А. В июне УЗТМ вышел на пиковый показатель, построив 210 машин в месяц. Всё лето 1944 года завод выдерживал такой темп производства. Решение освободить УЗТМ от производства Т-34 было весьма здравым (17719).</w:t>
      </w:r>
    </w:p>
    <w:p w14:paraId="00923290" w14:textId="77777777" w:rsidR="001A00DE" w:rsidRPr="007224C3" w:rsidRDefault="001A00DE" w:rsidP="007224C3">
      <w:pPr>
        <w:spacing w:after="0" w:line="240" w:lineRule="auto"/>
        <w:jc w:val="both"/>
        <w:rPr>
          <w:rFonts w:ascii="Times New Roman" w:hAnsi="Times New Roman"/>
          <w:color w:val="000000" w:themeColor="text1"/>
          <w:sz w:val="16"/>
          <w:szCs w:val="16"/>
        </w:rPr>
      </w:pPr>
    </w:p>
    <w:p w14:paraId="6D6C3D8E" w14:textId="77777777" w:rsidR="00D13803" w:rsidRPr="007224C3" w:rsidRDefault="00D13803" w:rsidP="007224C3">
      <w:pPr>
        <w:shd w:val="clear" w:color="auto" w:fill="FFFFFF"/>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 феврале 1944 были существенные изменения Су-85 и прежде всего они косну</w:t>
      </w:r>
      <w:r w:rsidRPr="007224C3">
        <w:rPr>
          <w:rFonts w:ascii="Times New Roman" w:hAnsi="Times New Roman"/>
          <w:color w:val="0070C0"/>
          <w:sz w:val="16"/>
          <w:szCs w:val="16"/>
        </w:rPr>
        <w:softHyphen/>
        <w:t>лись орудийной системы.</w:t>
      </w:r>
    </w:p>
    <w:p w14:paraId="6C8257C3" w14:textId="77777777" w:rsidR="00D13803" w:rsidRPr="007224C3" w:rsidRDefault="00D13803" w:rsidP="007224C3">
      <w:pPr>
        <w:spacing w:after="0" w:line="240" w:lineRule="auto"/>
        <w:jc w:val="both"/>
        <w:rPr>
          <w:rFonts w:ascii="Times New Roman" w:hAnsi="Times New Roman"/>
          <w:color w:val="0070C0"/>
          <w:sz w:val="16"/>
          <w:szCs w:val="16"/>
        </w:rPr>
      </w:pPr>
      <w:r w:rsidRPr="007224C3">
        <w:rPr>
          <w:rStyle w:val="631"/>
          <w:rFonts w:ascii="Times New Roman" w:hAnsi="Times New Roman" w:cs="Times New Roman"/>
          <w:color w:val="0070C0"/>
          <w:sz w:val="16"/>
          <w:szCs w:val="16"/>
        </w:rPr>
        <w:t>Были в феврале и другие изменения кон</w:t>
      </w:r>
      <w:r w:rsidRPr="007224C3">
        <w:rPr>
          <w:rStyle w:val="631"/>
          <w:rFonts w:ascii="Times New Roman" w:hAnsi="Times New Roman" w:cs="Times New Roman"/>
          <w:color w:val="0070C0"/>
          <w:sz w:val="16"/>
          <w:szCs w:val="16"/>
        </w:rPr>
        <w:softHyphen/>
        <w:t>струкции. Так, начали приваривать новые укороченные поручни. По крайней мере, СУ- 85 с серийным номером СУ 402221, храня</w:t>
      </w:r>
      <w:r w:rsidRPr="007224C3">
        <w:rPr>
          <w:rStyle w:val="631"/>
          <w:rFonts w:ascii="Times New Roman" w:hAnsi="Times New Roman" w:cs="Times New Roman"/>
          <w:color w:val="0070C0"/>
          <w:sz w:val="16"/>
          <w:szCs w:val="16"/>
        </w:rPr>
        <w:softHyphen/>
        <w:t>щаяся в Варшаве (это единственная дожив</w:t>
      </w:r>
      <w:r w:rsidRPr="007224C3">
        <w:rPr>
          <w:rStyle w:val="660"/>
          <w:rFonts w:ascii="Times New Roman" w:hAnsi="Times New Roman" w:cs="Times New Roman"/>
          <w:color w:val="0070C0"/>
          <w:sz w:val="16"/>
          <w:szCs w:val="16"/>
          <w:lang w:val="ru-RU"/>
        </w:rPr>
        <w:t>шая до наших дней СУ-85 с артиллерийской системой Д5-С-85), уже имеет такие поручни. Еще одним видимым изменением стало соединение кормового листа рубки с борта</w:t>
      </w:r>
      <w:r w:rsidRPr="007224C3">
        <w:rPr>
          <w:rStyle w:val="660"/>
          <w:rFonts w:ascii="Times New Roman" w:hAnsi="Times New Roman" w:cs="Times New Roman"/>
          <w:color w:val="0070C0"/>
          <w:sz w:val="16"/>
          <w:szCs w:val="16"/>
          <w:lang w:val="ru-RU"/>
        </w:rPr>
        <w:softHyphen/>
        <w:t>ми в шип - его внедрили в 1-м квартале 1944 года. Тогда же произошло смещение писто</w:t>
      </w:r>
      <w:r w:rsidRPr="007224C3">
        <w:rPr>
          <w:rStyle w:val="660"/>
          <w:rFonts w:ascii="Times New Roman" w:hAnsi="Times New Roman" w:cs="Times New Roman"/>
          <w:color w:val="0070C0"/>
          <w:sz w:val="16"/>
          <w:szCs w:val="16"/>
          <w:lang w:val="ru-RU"/>
        </w:rPr>
        <w:softHyphen/>
        <w:t>летного порта на правом борту рубки. С 20 февраля 1944 года ставятся новые более мас</w:t>
      </w:r>
      <w:r w:rsidRPr="007224C3">
        <w:rPr>
          <w:rStyle w:val="660"/>
          <w:rFonts w:ascii="Times New Roman" w:hAnsi="Times New Roman" w:cs="Times New Roman"/>
          <w:color w:val="0070C0"/>
          <w:sz w:val="16"/>
          <w:szCs w:val="16"/>
          <w:lang w:val="ru-RU"/>
        </w:rPr>
        <w:softHyphen/>
        <w:t xml:space="preserve">сивные петли люка под панораму </w:t>
      </w:r>
      <w:r w:rsidRPr="007224C3">
        <w:rPr>
          <w:rFonts w:ascii="Times New Roman" w:hAnsi="Times New Roman"/>
          <w:color w:val="0070C0"/>
          <w:sz w:val="16"/>
          <w:szCs w:val="16"/>
        </w:rPr>
        <w:t xml:space="preserve">(19889). </w:t>
      </w:r>
    </w:p>
    <w:p w14:paraId="5F6DB253" w14:textId="77777777" w:rsidR="00D13803" w:rsidRPr="007224C3" w:rsidRDefault="00D13803" w:rsidP="007224C3">
      <w:pPr>
        <w:shd w:val="clear" w:color="auto" w:fill="FFFFFF"/>
        <w:spacing w:after="0" w:line="240" w:lineRule="auto"/>
        <w:jc w:val="both"/>
        <w:rPr>
          <w:rFonts w:ascii="Times New Roman" w:hAnsi="Times New Roman"/>
          <w:color w:val="0070C0"/>
          <w:sz w:val="16"/>
          <w:szCs w:val="16"/>
        </w:rPr>
      </w:pPr>
    </w:p>
    <w:p w14:paraId="03AA7F21" w14:textId="77777777" w:rsidR="001A00DE" w:rsidRPr="007224C3" w:rsidRDefault="001A00DE"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В феврале 1944 года на бронетанковом ремонтном заводе (БТРЗ) №1 переделали в тягачи 6 танков КВ-1с. Параллельно с этим переделывать КВ-1с в тягачи начали и на БТРЗ №6, за февраль там подобную конверсию прошли 4 танка. Связано это было с тем, что тягачи-эвакуаторы в РККА являлись большой редкостью, а производство «Ворошиловцев» закончилось осенью 1941 года. В качестве базы для тягачей использовались не только КВ-1с, но и КВ-1. Объем производства таких машин оказался небольшим. Единичные машины выпускали ремзаводы №1 и №7. Наиболее массово тягачи на базе КВ-1 и КВ-1с строил ремзавод №6. Например, за июль 1944 года здесь было сдано 14 тягачей (17692).</w:t>
      </w:r>
    </w:p>
    <w:p w14:paraId="3EDBCD09" w14:textId="77777777" w:rsidR="001A00DE" w:rsidRPr="007224C3" w:rsidRDefault="001A00DE" w:rsidP="007224C3">
      <w:pPr>
        <w:spacing w:after="0" w:line="240" w:lineRule="auto"/>
        <w:jc w:val="both"/>
        <w:rPr>
          <w:rFonts w:ascii="Times New Roman" w:hAnsi="Times New Roman"/>
          <w:color w:val="000000" w:themeColor="text1"/>
          <w:sz w:val="16"/>
          <w:szCs w:val="16"/>
        </w:rPr>
      </w:pPr>
    </w:p>
    <w:p w14:paraId="1155B28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1944 г. в результате проведения испытаний опытного образца стабилизатора в танке Т-34 на НИБТ полигоне были выявлены его недостатки, после устранения которых, СКБ НКСП весной 1944 г. был разработан новый стабилизатор для танковой пушки ЗИС-С-53 для танка Т-34-85 - СТП-С-53, получив</w:t>
      </w:r>
      <w:r w:rsidRPr="007224C3">
        <w:rPr>
          <w:rFonts w:ascii="Times New Roman" w:hAnsi="Times New Roman"/>
          <w:color w:val="000000" w:themeColor="text1"/>
          <w:sz w:val="16"/>
          <w:szCs w:val="16"/>
        </w:rPr>
        <w:softHyphen/>
        <w:t>ший наименование "Таран". На основании постановления ГКО от 7 ноября 1944 г. заводом № 112 и НИИ-627 в начале 1945 г. для проведения всесторонних испытаний были изготовлены 4 опытных танка Т-34-85 со стабилизатором "Таран". Результаты испытаний были использованы уже после окончания Великой Отечественной войны при создании однопплоскостного стабилизатора "Горизонт" для 100-мм пушки среднего танка Т-54 (10703).</w:t>
      </w:r>
    </w:p>
    <w:p w14:paraId="1FAE16D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AE37D9" w14:textId="77777777" w:rsidR="00673CAB" w:rsidRPr="007224C3" w:rsidRDefault="00673CA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1944 года завод №183 получил приказ НКТП, по которому ему предписывалось спроектировать и испытать в марте тогоже года модернизированные образцы танка Т-34-85. Испытания двух таких машин, получивших обозначение Т-35-85М, прошли с 24 мая по 10 июня 1944 года на НИБТ полигоне. Модернизация заключалась в следующем: верхний лобовой лист корпуса установили толщиной 75 мм. башня имела бронезащиту 90 мм в лобовой части и 70 - 52 на бортах. Во избежание увеличения массы танка уменьшили толщину листов дниша. днища подкрылков, крыши моторного и трансмиссионного отделения с 20 до 15 мм и нижнего листа кормы с 45 до 30 мм. В результате масса Т-34М составила 32,3 тонны.</w:t>
      </w:r>
    </w:p>
    <w:p w14:paraId="5AA17D8F" w14:textId="77777777" w:rsidR="00673CAB" w:rsidRPr="007224C3" w:rsidRDefault="00673CA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втором образце, кроме того вместо шести топливных баков, размещенных на серийном Т-34-85 в боевом и моторном отделениях, в корме установили два топливных бака емкостью по 190 л, из-за чего пришлось изменить форму кормовой части корпуса.</w:t>
      </w:r>
    </w:p>
    <w:p w14:paraId="005ACF5D" w14:textId="77777777" w:rsidR="00673CAB" w:rsidRPr="007224C3" w:rsidRDefault="00673CA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Проведенные на полигоне испытания показали неплохие результаты, но все же не обеспечивали надежной защиты от новых немецких танковых и противотанковых орудий. Например, при обстреле верхнего лобового листа толщиной 75 мм из 75-мм пушки «Пантеры» он пробивался бронебойным снарядом с дистанции 650 метров, а из 88-мм пушки РаК 43 с дистанции до 2000 метров. Вопрос об организации серийного производства танков Т-34-85М не поднимался.</w:t>
      </w:r>
    </w:p>
    <w:p w14:paraId="36D1D24A" w14:textId="77777777" w:rsidR="00673CAB" w:rsidRPr="007224C3" w:rsidRDefault="00673CA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После начала серийного производства Т-34-85 делались попытки усилить их вооружение (12217).</w:t>
      </w:r>
    </w:p>
    <w:p w14:paraId="2A7D40DE" w14:textId="77777777" w:rsidR="00673CAB" w:rsidRPr="007224C3" w:rsidRDefault="00673CAB" w:rsidP="007224C3">
      <w:pPr>
        <w:spacing w:after="0" w:line="240" w:lineRule="auto"/>
        <w:jc w:val="both"/>
        <w:rPr>
          <w:rFonts w:ascii="Times New Roman" w:hAnsi="Times New Roman"/>
          <w:color w:val="000000" w:themeColor="text1"/>
          <w:sz w:val="16"/>
          <w:szCs w:val="16"/>
        </w:rPr>
      </w:pPr>
    </w:p>
    <w:p w14:paraId="222E60A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С февраля 1944 г. завод № 112 начал постепенный переход на выпуск танков Т-34-85, вооруженный пушками ЗИС-С-53. В 1944 г. заседал военным представителе 8695 танков Т-34-85, оснащенных радиостанцией 9Р (линейные танки), 129 - радиостанцией РСБ-Ф (командир</w:t>
      </w:r>
      <w:r w:rsidRPr="007224C3">
        <w:rPr>
          <w:rFonts w:ascii="Times New Roman" w:hAnsi="Times New Roman"/>
          <w:color w:val="000000" w:themeColor="text1"/>
          <w:sz w:val="16"/>
          <w:szCs w:val="16"/>
        </w:rPr>
        <w:softHyphen/>
        <w:t>ские) и 255 танков без установки радиостанций. 30 линейных танков из общего числа выпущенных танков были оснащены автоматической си</w:t>
      </w:r>
      <w:r w:rsidRPr="007224C3">
        <w:rPr>
          <w:rFonts w:ascii="Times New Roman" w:hAnsi="Times New Roman"/>
          <w:color w:val="000000" w:themeColor="text1"/>
          <w:sz w:val="16"/>
          <w:szCs w:val="16"/>
        </w:rPr>
        <w:softHyphen/>
        <w:t>стемой ППО (10703).</w:t>
      </w:r>
    </w:p>
    <w:p w14:paraId="683F0F5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63C04D9" w14:textId="77777777" w:rsidR="00673CAB" w:rsidRPr="007224C3" w:rsidRDefault="00673CA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1944 года началось производство танков Т-34-85 с пушкой ЗИС-С-53 на заводе № 112, сначала параллельно с тридцатьчетверками, вооруженными 85-мм орудиями Д5-Т (всего их изготовлено 255 машин). С 15 марта Т-34-85 с ЗИС-С-53 начал выпускать завод № 183, а с июня - и № 174.</w:t>
      </w:r>
    </w:p>
    <w:p w14:paraId="5792D1EC" w14:textId="77777777" w:rsidR="00673CAB" w:rsidRPr="007224C3" w:rsidRDefault="00673CA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 конца войны в конструкцию танка Т-34-85 внесли ряд изменений - установлен воздухоочиститель типа «Мультициклон», введены два вентилятора на башне, изменена конструкция передних грязевых щитков, установлена радиостанция 9РС вместо 9РМ, улучшена конструкция механизма поворота башни, введена установка морских дымовых шашек (МДШ) на корме, двухстворчатая крышка люка командирской башенки была заменена одностворчатой (12217).</w:t>
      </w:r>
    </w:p>
    <w:p w14:paraId="368C2373" w14:textId="77777777" w:rsidR="00673CAB" w:rsidRPr="007224C3" w:rsidRDefault="00673CAB" w:rsidP="007224C3">
      <w:pPr>
        <w:spacing w:after="0" w:line="240" w:lineRule="auto"/>
        <w:jc w:val="both"/>
        <w:rPr>
          <w:rFonts w:ascii="Times New Roman" w:hAnsi="Times New Roman"/>
          <w:color w:val="000000" w:themeColor="text1"/>
          <w:sz w:val="16"/>
          <w:szCs w:val="16"/>
        </w:rPr>
      </w:pPr>
    </w:p>
    <w:p w14:paraId="3938CF0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1944 г. завод “Красное сормово” смог дать заказчику танки, оснащенные более мощным 85-мм оруди</w:t>
      </w:r>
      <w:r w:rsidRPr="007224C3">
        <w:rPr>
          <w:rFonts w:ascii="Times New Roman" w:hAnsi="Times New Roman"/>
          <w:color w:val="000000" w:themeColor="text1"/>
          <w:sz w:val="16"/>
          <w:szCs w:val="16"/>
        </w:rPr>
        <w:softHyphen/>
        <w:t>ем, нареканий на качество которых не было.</w:t>
      </w:r>
    </w:p>
    <w:p w14:paraId="536A96E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Одной из первых частей, получивших танки Т-34-85, был 38-й отдельный танковый полк, укомплектованный из соста</w:t>
      </w:r>
      <w:r w:rsidRPr="007224C3">
        <w:rPr>
          <w:rFonts w:ascii="Times New Roman" w:hAnsi="Times New Roman"/>
          <w:color w:val="000000" w:themeColor="text1"/>
          <w:sz w:val="16"/>
          <w:szCs w:val="16"/>
        </w:rPr>
        <w:softHyphen/>
        <w:t>ва танковой колонны «Димитрий Донской».</w:t>
      </w:r>
    </w:p>
    <w:p w14:paraId="3B2D176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Эта колонна не является неизвестной. Упоминания о ней не раз всплывали в средствах массовой информации. Глав</w:t>
      </w:r>
      <w:r w:rsidRPr="007224C3">
        <w:rPr>
          <w:rFonts w:ascii="Times New Roman" w:hAnsi="Times New Roman"/>
          <w:color w:val="000000" w:themeColor="text1"/>
          <w:sz w:val="16"/>
          <w:szCs w:val="16"/>
        </w:rPr>
        <w:softHyphen/>
        <w:t>ной ее особенностью было то, что танки колонны были пост</w:t>
      </w:r>
      <w:r w:rsidRPr="007224C3">
        <w:rPr>
          <w:rFonts w:ascii="Times New Roman" w:hAnsi="Times New Roman"/>
          <w:color w:val="000000" w:themeColor="text1"/>
          <w:sz w:val="16"/>
          <w:szCs w:val="16"/>
        </w:rPr>
        <w:softHyphen/>
        <w:t>роены на средства верующих Русской Православной Церкви.</w:t>
      </w:r>
    </w:p>
    <w:p w14:paraId="4BE8B12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самых первых дней войны Русская Православная Церковь принимала активное участие в укреплении оборо</w:t>
      </w:r>
      <w:r w:rsidRPr="007224C3">
        <w:rPr>
          <w:rFonts w:ascii="Times New Roman" w:hAnsi="Times New Roman"/>
          <w:color w:val="000000" w:themeColor="text1"/>
          <w:sz w:val="16"/>
          <w:szCs w:val="16"/>
        </w:rPr>
        <w:softHyphen/>
        <w:t>носпособности страны. Уже 23 июня по предложению ле</w:t>
      </w:r>
      <w:r w:rsidRPr="007224C3">
        <w:rPr>
          <w:rFonts w:ascii="Times New Roman" w:hAnsi="Times New Roman"/>
          <w:color w:val="000000" w:themeColor="text1"/>
          <w:sz w:val="16"/>
          <w:szCs w:val="16"/>
        </w:rPr>
        <w:softHyphen/>
        <w:t>нинградского митрополита Алексия (Симанского) прихо</w:t>
      </w:r>
      <w:r w:rsidRPr="007224C3">
        <w:rPr>
          <w:rFonts w:ascii="Times New Roman" w:hAnsi="Times New Roman"/>
          <w:color w:val="000000" w:themeColor="text1"/>
          <w:sz w:val="16"/>
          <w:szCs w:val="16"/>
        </w:rPr>
        <w:softHyphen/>
        <w:t>ды Северной столицы начали сбор средств на подарки во</w:t>
      </w:r>
      <w:r w:rsidRPr="007224C3">
        <w:rPr>
          <w:rFonts w:ascii="Times New Roman" w:hAnsi="Times New Roman"/>
          <w:color w:val="000000" w:themeColor="text1"/>
          <w:sz w:val="16"/>
          <w:szCs w:val="16"/>
        </w:rPr>
        <w:softHyphen/>
        <w:t>инам. В тот же день патриарший местоблюститель Сергий (Страгородский) благословил это начинание для храмов всей страны. Однако, не имея банковского счета, Церковь не имела возможности аккумулирования средств, вести строгий учет и контроль расходования полученных сумм.</w:t>
      </w:r>
    </w:p>
    <w:p w14:paraId="38E1D98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декабря 1942 г. глава Русской Православной Церкви обратился к архипастырям, пастырям и приходским общи</w:t>
      </w:r>
      <w:r w:rsidRPr="007224C3">
        <w:rPr>
          <w:rFonts w:ascii="Times New Roman" w:hAnsi="Times New Roman"/>
          <w:color w:val="000000" w:themeColor="text1"/>
          <w:sz w:val="16"/>
          <w:szCs w:val="16"/>
        </w:rPr>
        <w:softHyphen/>
        <w:t>нам с призывом о сборе средств на постройку танковой ко</w:t>
      </w:r>
      <w:r w:rsidRPr="007224C3">
        <w:rPr>
          <w:rFonts w:ascii="Times New Roman" w:hAnsi="Times New Roman"/>
          <w:color w:val="000000" w:themeColor="text1"/>
          <w:sz w:val="16"/>
          <w:szCs w:val="16"/>
        </w:rPr>
        <w:softHyphen/>
        <w:t>лонны имени Димитрия Донского. 5 января 1943 г. И. Ста</w:t>
      </w:r>
      <w:r w:rsidRPr="007224C3">
        <w:rPr>
          <w:rFonts w:ascii="Times New Roman" w:hAnsi="Times New Roman"/>
          <w:color w:val="000000" w:themeColor="text1"/>
          <w:sz w:val="16"/>
          <w:szCs w:val="16"/>
        </w:rPr>
        <w:softHyphen/>
        <w:t>лин направил митрополиту Сергию телеграмму с благодар</w:t>
      </w:r>
      <w:r w:rsidRPr="007224C3">
        <w:rPr>
          <w:rFonts w:ascii="Times New Roman" w:hAnsi="Times New Roman"/>
          <w:color w:val="000000" w:themeColor="text1"/>
          <w:sz w:val="16"/>
          <w:szCs w:val="16"/>
        </w:rPr>
        <w:softHyphen/>
        <w:t>ностью русскому духовенству и пастве за заботу о броне</w:t>
      </w:r>
      <w:r w:rsidRPr="007224C3">
        <w:rPr>
          <w:rFonts w:ascii="Times New Roman" w:hAnsi="Times New Roman"/>
          <w:color w:val="000000" w:themeColor="text1"/>
          <w:sz w:val="16"/>
          <w:szCs w:val="16"/>
        </w:rPr>
        <w:softHyphen/>
        <w:t>танковых войсках Красной Армии. А вскоре Государствен</w:t>
      </w:r>
      <w:r w:rsidRPr="007224C3">
        <w:rPr>
          <w:rFonts w:ascii="Times New Roman" w:hAnsi="Times New Roman"/>
          <w:color w:val="000000" w:themeColor="text1"/>
          <w:sz w:val="16"/>
          <w:szCs w:val="16"/>
        </w:rPr>
        <w:softHyphen/>
        <w:t>ный банк СССР получил указание И. Сталина об открытии Специального счета Русской Православной церкви, для .Сбора средств, что стало фактом признания юридического статуса РПЦ впервые за годы советской власти. &gt;, В январе 1943 г. большие денежные средства поступили га указанный счет в Москве, Ленинграде и Свердловске. Всего для создания танковой колонны в 1943 году Церковью было собрано свыше 8 миллионов рублей, а также большое количество предметов из драгоценных металлов, ювелирных изделий, антикварных предметов, произведений искусств...</w:t>
      </w:r>
    </w:p>
    <w:p w14:paraId="4B61C84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Наибольший вклад внесли верующие Москвы — более 2 млн. руб., свыше 1 млн. руб. собрали верующие Ленин</w:t>
      </w:r>
      <w:r w:rsidRPr="007224C3">
        <w:rPr>
          <w:rFonts w:ascii="Times New Roman" w:hAnsi="Times New Roman"/>
          <w:color w:val="000000" w:themeColor="text1"/>
          <w:sz w:val="16"/>
          <w:szCs w:val="16"/>
        </w:rPr>
        <w:softHyphen/>
        <w:t>града, 650 тыс. руб. поступило на счет РПЦ из Куйбышева, по полмиллиона дали Астрахань и Пенза, по 400 тыс. — Ка</w:t>
      </w:r>
      <w:r w:rsidRPr="007224C3">
        <w:rPr>
          <w:rFonts w:ascii="Times New Roman" w:hAnsi="Times New Roman"/>
          <w:color w:val="000000" w:themeColor="text1"/>
          <w:sz w:val="16"/>
          <w:szCs w:val="16"/>
        </w:rPr>
        <w:softHyphen/>
        <w:t>зань и Саратов, немногим более 300 тыс. дала Пермь.</w:t>
      </w:r>
    </w:p>
    <w:p w14:paraId="014D689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Большие суммы поступали и из сельской местности. Например, Ивановская обл. собрала 146 тыс. руб. На свя</w:t>
      </w:r>
      <w:r w:rsidRPr="007224C3">
        <w:rPr>
          <w:rFonts w:ascii="Times New Roman" w:hAnsi="Times New Roman"/>
          <w:color w:val="000000" w:themeColor="text1"/>
          <w:sz w:val="16"/>
          <w:szCs w:val="16"/>
        </w:rPr>
        <w:softHyphen/>
        <w:t>тое дело отдавали свое не только в тылу. Уже звучали в пе-%ати воспоминания протоиерея церкви села Троицкого Днепропетровской области И. Ивлева: «В церковной кассе денег не было, а их надо было достать... Я благословил двух 75-летних старушек на это великое дело. Пусть имена их бу</w:t>
      </w:r>
      <w:r w:rsidRPr="007224C3">
        <w:rPr>
          <w:rFonts w:ascii="Times New Roman" w:hAnsi="Times New Roman"/>
          <w:color w:val="000000" w:themeColor="text1"/>
          <w:sz w:val="16"/>
          <w:szCs w:val="16"/>
        </w:rPr>
        <w:softHyphen/>
        <w:t>дут известны людям: Ковригина Мария Максимовна и Гор-бенко Матрена Максимовна.” (11135).</w:t>
      </w:r>
    </w:p>
    <w:p w14:paraId="11B355E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7F37D5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1944 г. были изготовлены два эталонных Т-44, вооруженных соответственно 85-мм пушкой Д-5Т и 122-мм пушкой Д-25Т-44. Эти машины предполагалось использовать в качестве образцов при организации се</w:t>
      </w:r>
      <w:r w:rsidRPr="007224C3">
        <w:rPr>
          <w:rFonts w:ascii="Times New Roman" w:hAnsi="Times New Roman"/>
          <w:color w:val="000000" w:themeColor="text1"/>
          <w:sz w:val="16"/>
          <w:szCs w:val="16"/>
        </w:rPr>
        <w:softHyphen/>
        <w:t>рийного производства. В частности, на них были установ</w:t>
      </w:r>
      <w:r w:rsidRPr="007224C3">
        <w:rPr>
          <w:rFonts w:ascii="Times New Roman" w:hAnsi="Times New Roman"/>
          <w:color w:val="000000" w:themeColor="text1"/>
          <w:sz w:val="16"/>
          <w:szCs w:val="16"/>
        </w:rPr>
        <w:softHyphen/>
        <w:t>лены дизели не В-2-УМ (520 л.с.), а выпущенные на Ки</w:t>
      </w:r>
      <w:r w:rsidRPr="007224C3">
        <w:rPr>
          <w:rFonts w:ascii="Times New Roman" w:hAnsi="Times New Roman"/>
          <w:color w:val="000000" w:themeColor="text1"/>
          <w:sz w:val="16"/>
          <w:szCs w:val="16"/>
        </w:rPr>
        <w:softHyphen/>
        <w:t>ровском заводе дизели В-2-ИС, специально приспособ</w:t>
      </w:r>
      <w:r w:rsidRPr="007224C3">
        <w:rPr>
          <w:rFonts w:ascii="Times New Roman" w:hAnsi="Times New Roman"/>
          <w:color w:val="000000" w:themeColor="text1"/>
          <w:sz w:val="16"/>
          <w:szCs w:val="16"/>
        </w:rPr>
        <w:softHyphen/>
        <w:t>ленные под более тесное силовое отделение Т-44. Вы</w:t>
      </w:r>
      <w:r w:rsidRPr="007224C3">
        <w:rPr>
          <w:rFonts w:ascii="Times New Roman" w:hAnsi="Times New Roman"/>
          <w:color w:val="000000" w:themeColor="text1"/>
          <w:sz w:val="16"/>
          <w:szCs w:val="16"/>
        </w:rPr>
        <w:softHyphen/>
        <w:t>хлопные патрубки, оканчивавшиеся на прототипе корот</w:t>
      </w:r>
      <w:r w:rsidRPr="007224C3">
        <w:rPr>
          <w:rFonts w:ascii="Times New Roman" w:hAnsi="Times New Roman"/>
          <w:color w:val="000000" w:themeColor="text1"/>
          <w:sz w:val="16"/>
          <w:szCs w:val="16"/>
        </w:rPr>
        <w:softHyphen/>
        <w:t>кими отражательными козырьками — «шайбами», теперь выводились в прямоугольный выхлопной короб, который отводил горячие выхлопные газы в область кормы танка. Боеукладка танка претерпела изменения и превратилась в удобный для работы заряжающего стеллаж (11135).</w:t>
      </w:r>
    </w:p>
    <w:p w14:paraId="431BA88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1D8DFD" w14:textId="77777777" w:rsidR="00C5076B" w:rsidRPr="007224C3" w:rsidRDefault="00C5076B" w:rsidP="007224C3">
      <w:pPr>
        <w:pStyle w:val="ae"/>
        <w:spacing w:before="0" w:after="0"/>
        <w:jc w:val="both"/>
        <w:textAlignment w:val="baseline"/>
        <w:rPr>
          <w:color w:val="000000" w:themeColor="text1"/>
          <w:sz w:val="16"/>
          <w:szCs w:val="16"/>
        </w:rPr>
      </w:pPr>
      <w:r w:rsidRPr="007224C3">
        <w:rPr>
          <w:color w:val="000000" w:themeColor="text1"/>
          <w:sz w:val="16"/>
          <w:szCs w:val="16"/>
        </w:rPr>
        <w:t>В феврале 1944 года, когда только построили первые опытные образцы, впервые был поднят вопрос серийного производства Т-44. 29 февраля Малышев по указанию Сталина подготовил проект постановления ГКО «Об организации производства средних танков Т-44 на заводе №183 Наркомтанкопрома». Согласно постановлению, первые 25 танков нового типа выпускались на заводе №183 в мае 1944 года, в июне их число вырастало до 50, в июле – до 150, в августе – до 300, в сентябре – до 500, в октябре – до 650 штук. Выпуск Т-34-85 при этом постепенно сокращался, а с сентября 1944 года прекращался полностью. Впрочем, ввиду выявившихся проблем с испытаниями опытных Т-44 постановление так и не было подписано. Сам завод №183 неоднократно выступал за организацию выпуска Т-44 на своих мощностях, но этого так и не случилось (19047).</w:t>
      </w:r>
    </w:p>
    <w:p w14:paraId="63DCE897" w14:textId="77777777" w:rsidR="00C5076B" w:rsidRPr="007224C3" w:rsidRDefault="00C5076B" w:rsidP="007224C3">
      <w:pPr>
        <w:pStyle w:val="ae"/>
        <w:spacing w:before="0" w:after="0"/>
        <w:jc w:val="both"/>
        <w:textAlignment w:val="baseline"/>
        <w:rPr>
          <w:color w:val="000000" w:themeColor="text1"/>
          <w:sz w:val="16"/>
          <w:szCs w:val="16"/>
        </w:rPr>
      </w:pPr>
    </w:p>
    <w:p w14:paraId="2CD3E636" w14:textId="77777777" w:rsidR="00C5076B" w:rsidRPr="007224C3" w:rsidRDefault="00C5076B" w:rsidP="007224C3">
      <w:pPr>
        <w:pStyle w:val="ae"/>
        <w:spacing w:before="0" w:after="0"/>
        <w:jc w:val="both"/>
        <w:textAlignment w:val="baseline"/>
        <w:rPr>
          <w:color w:val="000000" w:themeColor="text1"/>
          <w:sz w:val="16"/>
          <w:szCs w:val="16"/>
        </w:rPr>
      </w:pPr>
      <w:r w:rsidRPr="007224C3">
        <w:rPr>
          <w:color w:val="000000" w:themeColor="text1"/>
          <w:sz w:val="16"/>
          <w:szCs w:val="16"/>
        </w:rPr>
        <w:t>В феврале 1944 года первый опытный образец Т-44 отправился в Москву на показ высшему руководству. Второй образец направили на НИБТ Полигон в подмосковную Кубинку. Третья же машина осталась на заводе №183, где, как уже говорилось, проходила заводские испытания. В отличие от ходовых испытаний, испытания стрельбой оказались не столь успешными. Причиной тому стала крайне низкая скорострельность, достигавшая 2-3 выстрела в минуту. С этим ещё как-то можно было мириться в тяжёлом танке ИС-2 и самоходных установках ИСУ, но для среднего танка такой показатель оказался явно недостаточным. Крайне небольшим оказался и боекомплект. В результате весной 1944 года было принято решение отказаться от идеи установки орудия Д-25 в башню Т-44.</w:t>
      </w:r>
    </w:p>
    <w:p w14:paraId="58337B09" w14:textId="77777777" w:rsidR="00C5076B" w:rsidRPr="007224C3" w:rsidRDefault="00C5076B" w:rsidP="007224C3">
      <w:pPr>
        <w:pStyle w:val="ae"/>
        <w:spacing w:before="0" w:after="0"/>
        <w:jc w:val="both"/>
        <w:textAlignment w:val="baseline"/>
        <w:rPr>
          <w:color w:val="000000" w:themeColor="text1"/>
          <w:sz w:val="16"/>
          <w:szCs w:val="16"/>
        </w:rPr>
      </w:pPr>
      <w:r w:rsidRPr="007224C3">
        <w:rPr>
          <w:color w:val="000000" w:themeColor="text1"/>
          <w:sz w:val="16"/>
          <w:szCs w:val="16"/>
        </w:rPr>
        <w:t>К моменту прибытия второго опытного образца Т-44 на НИБТ Полигон он успел пройти 300 км. В отличие от Т-43, который во многом погубили затянувшиеся сроки начала тестов, с Т-44 тянуть резину не стали (18799).</w:t>
      </w:r>
    </w:p>
    <w:p w14:paraId="4A03E4CE" w14:textId="77777777" w:rsidR="00C5076B" w:rsidRPr="007224C3" w:rsidRDefault="00C5076B" w:rsidP="007224C3">
      <w:pPr>
        <w:spacing w:after="0" w:line="240" w:lineRule="auto"/>
        <w:jc w:val="both"/>
        <w:textAlignment w:val="baseline"/>
        <w:rPr>
          <w:rFonts w:ascii="Times New Roman" w:hAnsi="Times New Roman"/>
          <w:bCs/>
          <w:iCs/>
          <w:noProof/>
          <w:color w:val="000000" w:themeColor="text1"/>
          <w:sz w:val="16"/>
          <w:szCs w:val="16"/>
          <w:bdr w:val="none" w:sz="0" w:space="0" w:color="auto" w:frame="1"/>
          <w:lang w:eastAsia="ru-RU"/>
        </w:rPr>
      </w:pPr>
    </w:p>
    <w:p w14:paraId="126D9931" w14:textId="77777777" w:rsidR="00C5076B" w:rsidRPr="007224C3" w:rsidRDefault="00C5076B" w:rsidP="007224C3">
      <w:pPr>
        <w:pStyle w:val="ae"/>
        <w:spacing w:before="0" w:after="0"/>
        <w:jc w:val="both"/>
        <w:textAlignment w:val="baseline"/>
        <w:rPr>
          <w:color w:val="000000" w:themeColor="text1"/>
          <w:sz w:val="16"/>
          <w:szCs w:val="16"/>
        </w:rPr>
      </w:pPr>
      <w:r w:rsidRPr="007224C3">
        <w:rPr>
          <w:color w:val="000000" w:themeColor="text1"/>
          <w:sz w:val="16"/>
          <w:szCs w:val="16"/>
        </w:rPr>
        <w:t>В феврале 1944 года появился третий вариант башни. Некоторые источники указывают, что данная башня устанавливалась на второй опытный образец, но это не так. Как следует из исторической справки, подготовленной в ГБТУ КА, в феврале 1944 года Малышев распорядился изготовить третий опытный образец Т-44. С технической точки зрения он полностью повторял первую опытную машину, за исключением вооружения. Вместо 85-мм системы Д-5Т в башню было установлено 122-мм орудие Д-25-44. От штатной пушки Д-25Т данное орудие отличалось уменьшенной на 2-4% мощностью выстрела, а также менее габаритными и тяжёлыми откатными частями. Кроме того, использовалось унитарное заряжание. Установка не вызвала особых проблем, поскольку башня по первому варианту изначально разрабатывалась, что называется, на вырост. Причиной появления Д-25-44 не в последнюю очередь стали результаты обстрела «Пантеры» и </w:t>
      </w:r>
      <w:hyperlink r:id="rId61" w:history="1">
        <w:r w:rsidRPr="007224C3">
          <w:rPr>
            <w:rStyle w:val="a5"/>
            <w:bCs/>
            <w:iCs/>
            <w:color w:val="000000" w:themeColor="text1"/>
            <w:sz w:val="16"/>
            <w:szCs w:val="16"/>
            <w:u w:val="none"/>
            <w:bdr w:val="none" w:sz="0" w:space="0" w:color="auto" w:frame="1"/>
          </w:rPr>
          <w:t>«Фердинанда»</w:t>
        </w:r>
      </w:hyperlink>
      <w:r w:rsidRPr="007224C3">
        <w:rPr>
          <w:color w:val="000000" w:themeColor="text1"/>
          <w:sz w:val="16"/>
          <w:szCs w:val="16"/>
        </w:rPr>
        <w:t> в конце 1943 года. Выяснилось, что 85-мм бронебойный снаряд Д-5Т не пробивает верхний лобовой лист «Пантеры» с любых дистанций, а для Д-25Т лоб немецкого танка не представляет проблем.</w:t>
      </w:r>
    </w:p>
    <w:p w14:paraId="119AA4ED" w14:textId="77777777" w:rsidR="00C5076B" w:rsidRPr="007224C3" w:rsidRDefault="00C5076B" w:rsidP="007224C3">
      <w:pPr>
        <w:pStyle w:val="ae"/>
        <w:spacing w:before="0" w:after="0"/>
        <w:jc w:val="both"/>
        <w:textAlignment w:val="baseline"/>
        <w:rPr>
          <w:color w:val="000000" w:themeColor="text1"/>
          <w:sz w:val="16"/>
          <w:szCs w:val="16"/>
        </w:rPr>
      </w:pPr>
      <w:r w:rsidRPr="007224C3">
        <w:rPr>
          <w:color w:val="000000" w:themeColor="text1"/>
          <w:sz w:val="16"/>
          <w:szCs w:val="16"/>
        </w:rPr>
        <w:t>Согласно первоначальному плану, первые два опытных образца Т-44 должны были получить разные башни. Первый танк, подобно эскизному проекту, получал башню с диаметром погона 1800 мм и 85-мм орудие Д-5Т. Вторая машина также получала 85-мм орудие Д-5Т, но имела другую башню — с диаметром погона 1600 мм. Башня по первому варианту больше напоминала то, что предлагалось по эскизному проекту. Вместе с тем КБ-520 внесло целый ряд изменений, поменяв и технологию изготовления. Теперь башня изготовлялась методом литья, с вварной крышей. Использование литья позволило создать конструкцию довольно сложной формы, достаточно сказать, что углы наклона левой и правой стенок башни были не одинаковыми. Отчасти башня напоминала конструкцию для Т-43 по второму варианту, но при этом стенки крыши находились под наклоном. Также в носовой части появился высокий выступ, поскольку при определённых углах башня перекрывала люк механика-водителя.</w:t>
      </w:r>
    </w:p>
    <w:p w14:paraId="74B5CD72" w14:textId="77777777" w:rsidR="00C5076B" w:rsidRPr="007224C3" w:rsidRDefault="00C5076B" w:rsidP="007224C3">
      <w:pPr>
        <w:pStyle w:val="ae"/>
        <w:spacing w:before="0" w:after="0"/>
        <w:jc w:val="both"/>
        <w:textAlignment w:val="baseline"/>
        <w:rPr>
          <w:color w:val="000000" w:themeColor="text1"/>
          <w:sz w:val="16"/>
          <w:szCs w:val="16"/>
        </w:rPr>
      </w:pPr>
      <w:r w:rsidRPr="007224C3">
        <w:rPr>
          <w:color w:val="000000" w:themeColor="text1"/>
          <w:sz w:val="16"/>
          <w:szCs w:val="16"/>
        </w:rPr>
        <w:t>Башня второго типа, с уменьшенным до 1600 мм диаметром погона, появилась неслучайно. Одной из причин стало то, что для запуска в серию башни с диаметром погона 1800 мм требовались дополнительные станки, а это, помимо всего прочего, влекло дополнительные затраты по времени. В то же время погон диаметром 1600 мм уже осваивали для выпуска Т-34-85. Также башня с уменьшенным погоном имела чуть меньшую массу. С конструктивной точки зрения эта башня была больше похожа на Т-43. Например, аналогичным образом выполнялись пистолетные порты, схоже выглядели борта башни. В связи с наличием будки механика-водителя у этой башни также пришлось поднимать высоту нижней части. Как и в случае с первым вариантом башни, это повышало риск попадания в основание башни вражеских снарядов, а также их рикошет в крышу отделения управления.</w:t>
      </w:r>
    </w:p>
    <w:p w14:paraId="7D9774D6" w14:textId="77777777" w:rsidR="00C5076B" w:rsidRPr="007224C3" w:rsidRDefault="00C5076B" w:rsidP="007224C3">
      <w:pPr>
        <w:pStyle w:val="ae"/>
        <w:spacing w:before="0" w:after="0"/>
        <w:jc w:val="both"/>
        <w:textAlignment w:val="baseline"/>
        <w:rPr>
          <w:color w:val="000000" w:themeColor="text1"/>
          <w:sz w:val="16"/>
          <w:szCs w:val="16"/>
        </w:rPr>
      </w:pPr>
      <w:r w:rsidRPr="007224C3">
        <w:rPr>
          <w:color w:val="000000" w:themeColor="text1"/>
          <w:sz w:val="16"/>
          <w:szCs w:val="16"/>
        </w:rPr>
        <w:t>В ходе создания опытных образцов Т-44 переделке подверглись не только башни, но и размещение боекомплекта. Изначально все 54 унитарных патрона калибра 85 мм размещались в носовой укладке. Это решение выглядело более удобным, чем размещение боезапаса в закрытых ящиках на полу боевого отделения, но не идеальным. В результате появилась новая система укладки боекомплекта. 4 патрона разместили в укладке первой очереди на правом борту башни (как в танке </w:t>
      </w:r>
      <w:hyperlink r:id="rId62" w:history="1">
        <w:r w:rsidRPr="007224C3">
          <w:rPr>
            <w:rStyle w:val="a5"/>
            <w:bCs/>
            <w:iCs/>
            <w:color w:val="000000" w:themeColor="text1"/>
            <w:sz w:val="16"/>
            <w:szCs w:val="16"/>
            <w:u w:val="none"/>
            <w:bdr w:val="none" w:sz="0" w:space="0" w:color="auto" w:frame="1"/>
          </w:rPr>
          <w:t>Т-34-85</w:t>
        </w:r>
      </w:hyperlink>
      <w:r w:rsidRPr="007224C3">
        <w:rPr>
          <w:color w:val="000000" w:themeColor="text1"/>
          <w:sz w:val="16"/>
          <w:szCs w:val="16"/>
        </w:rPr>
        <w:t>). Ещё 16 патронов оказались в забашенной нише, а число патронов в носовой укладке сократили до 30. Также изменили в лучшую сторону укладки магазинов к ДТ — всего их возилось 44 штуки. В случае с третьим опытным образцом боекомплект оказался более скромным — 24 выстрела.</w:t>
      </w:r>
    </w:p>
    <w:p w14:paraId="366A41A2" w14:textId="77777777" w:rsidR="00C5076B" w:rsidRPr="007224C3" w:rsidRDefault="00C5076B" w:rsidP="007224C3">
      <w:pPr>
        <w:spacing w:after="0" w:line="240" w:lineRule="auto"/>
        <w:jc w:val="both"/>
        <w:textAlignment w:val="baseline"/>
        <w:rPr>
          <w:rFonts w:ascii="Times New Roman" w:hAnsi="Times New Roman"/>
          <w:color w:val="000000" w:themeColor="text1"/>
          <w:sz w:val="16"/>
          <w:szCs w:val="16"/>
        </w:rPr>
      </w:pPr>
      <w:r w:rsidRPr="007224C3">
        <w:rPr>
          <w:rFonts w:ascii="Times New Roman" w:hAnsi="Times New Roman"/>
          <w:color w:val="000000" w:themeColor="text1"/>
          <w:sz w:val="16"/>
          <w:szCs w:val="16"/>
        </w:rPr>
        <w:t>Для третьей опытной машины разработали специальную версию орудия Д-25Т с унитарным заряжанием.</w:t>
      </w:r>
    </w:p>
    <w:p w14:paraId="2564C27D" w14:textId="77777777" w:rsidR="00C5076B" w:rsidRPr="007224C3" w:rsidRDefault="00C5076B" w:rsidP="007224C3">
      <w:pPr>
        <w:pStyle w:val="ae"/>
        <w:spacing w:before="0" w:after="0"/>
        <w:jc w:val="both"/>
        <w:textAlignment w:val="baseline"/>
        <w:rPr>
          <w:color w:val="000000" w:themeColor="text1"/>
          <w:sz w:val="16"/>
          <w:szCs w:val="16"/>
        </w:rPr>
      </w:pPr>
      <w:r w:rsidRPr="007224C3">
        <w:rPr>
          <w:color w:val="000000" w:themeColor="text1"/>
          <w:sz w:val="16"/>
          <w:szCs w:val="16"/>
        </w:rPr>
        <w:t>С точки зрения шасси все три построенных образца были идентичными. Корпус танка остался неизменным по сравнению с эскизным проектом. При его создании КБ-520 ориентировался прежде всего на защиту от 75-мм противотанковой пушки </w:t>
      </w:r>
      <w:hyperlink r:id="rId63" w:history="1">
        <w:r w:rsidRPr="007224C3">
          <w:rPr>
            <w:rStyle w:val="a5"/>
            <w:bCs/>
            <w:iCs/>
            <w:color w:val="000000" w:themeColor="text1"/>
            <w:sz w:val="16"/>
            <w:szCs w:val="16"/>
            <w:u w:val="none"/>
            <w:bdr w:val="none" w:sz="0" w:space="0" w:color="auto" w:frame="1"/>
          </w:rPr>
          <w:t>Pak 40</w:t>
        </w:r>
      </w:hyperlink>
      <w:r w:rsidRPr="007224C3">
        <w:rPr>
          <w:color w:val="000000" w:themeColor="text1"/>
          <w:sz w:val="16"/>
          <w:szCs w:val="16"/>
        </w:rPr>
        <w:t> — на тот момент самого массового противотанкового средства немецкой армии. Защита лба башни оценивалась куда ниже: согласно расчётам, лоб башни не пробивался Pak 40 на дистанции 1400 м и дальше. Толщина вертикально расположенных бортов корпуса достигала 45 мм, при этом в верхней части приваривались экраны толщиной 30 мм. Таким образом, общая толщина бортов корпуса в месте установки экранов составляла 75 мм. Высота корпуса была существенно снижена: в передней части она составляла 830 мм, а в кормовой части — 965 мм. Сохранялась и рубка (будка) механика-водителя (18799).</w:t>
      </w:r>
    </w:p>
    <w:p w14:paraId="2585F8B3" w14:textId="77777777" w:rsidR="00C5076B" w:rsidRPr="007224C3" w:rsidRDefault="00C5076B" w:rsidP="007224C3">
      <w:pPr>
        <w:spacing w:after="0" w:line="240" w:lineRule="auto"/>
        <w:jc w:val="both"/>
        <w:textAlignment w:val="baseline"/>
        <w:rPr>
          <w:rFonts w:ascii="Times New Roman" w:hAnsi="Times New Roman"/>
          <w:bCs/>
          <w:iCs/>
          <w:noProof/>
          <w:color w:val="000000" w:themeColor="text1"/>
          <w:sz w:val="16"/>
          <w:szCs w:val="16"/>
          <w:bdr w:val="none" w:sz="0" w:space="0" w:color="auto" w:frame="1"/>
          <w:lang w:eastAsia="ru-RU"/>
        </w:rPr>
      </w:pPr>
    </w:p>
    <w:p w14:paraId="1FA2A2D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1944 г. был выпущен опытный образец самоходной уста</w:t>
      </w:r>
      <w:r w:rsidRPr="007224C3">
        <w:rPr>
          <w:rFonts w:ascii="Times New Roman" w:hAnsi="Times New Roman"/>
          <w:color w:val="000000" w:themeColor="text1"/>
          <w:sz w:val="16"/>
          <w:szCs w:val="16"/>
        </w:rPr>
        <w:softHyphen/>
        <w:t>новки СУ-85БМ-П, вооруженный 85-мм пушкой Д-5С-85БМ, ствол ко</w:t>
      </w:r>
      <w:r w:rsidRPr="007224C3">
        <w:rPr>
          <w:rFonts w:ascii="Times New Roman" w:hAnsi="Times New Roman"/>
          <w:color w:val="000000" w:themeColor="text1"/>
          <w:sz w:val="16"/>
          <w:szCs w:val="16"/>
        </w:rPr>
        <w:softHyphen/>
        <w:t>торой был удлинен за счет установки гладкой насадки. Начальная ско</w:t>
      </w:r>
      <w:r w:rsidRPr="007224C3">
        <w:rPr>
          <w:rFonts w:ascii="Times New Roman" w:hAnsi="Times New Roman"/>
          <w:color w:val="000000" w:themeColor="text1"/>
          <w:sz w:val="16"/>
          <w:szCs w:val="16"/>
        </w:rPr>
        <w:softHyphen/>
        <w:t>рость бронебойного снаряда возросла до 1050 м/с. Этот снаряд проби</w:t>
      </w:r>
      <w:r w:rsidRPr="007224C3">
        <w:rPr>
          <w:rFonts w:ascii="Times New Roman" w:hAnsi="Times New Roman"/>
          <w:color w:val="000000" w:themeColor="text1"/>
          <w:sz w:val="16"/>
          <w:szCs w:val="16"/>
        </w:rPr>
        <w:softHyphen/>
        <w:t>вал лобовую броню немецкого танка Т-VI "Тигр I" на дальности 2000 м (10703).</w:t>
      </w:r>
    </w:p>
    <w:p w14:paraId="3D4E450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BB3AD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1944 на Уралмашзаводе была создана новая САУ СУ-85БМ-II с еще более длинной и мощной пушкой Д-10-85 завода 9 с начальной скоростью снаряда 1050 м и дальностью прямого выстрела 1375 м. В связи с появлением еще более мощного 100 мм орудия тема развития не получила (4406).</w:t>
      </w:r>
    </w:p>
    <w:p w14:paraId="6FCC47E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EE689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1944 г., т.к. из-за большой загрузки ЦАКБ работы по С-51 затяну</w:t>
      </w:r>
      <w:r w:rsidRPr="007224C3">
        <w:rPr>
          <w:rFonts w:ascii="Times New Roman" w:hAnsi="Times New Roman"/>
          <w:color w:val="000000" w:themeColor="text1"/>
          <w:sz w:val="16"/>
          <w:szCs w:val="16"/>
        </w:rPr>
        <w:softHyphen/>
        <w:t>лись, начались заводские испыта</w:t>
      </w:r>
      <w:r w:rsidRPr="007224C3">
        <w:rPr>
          <w:rFonts w:ascii="Times New Roman" w:hAnsi="Times New Roman"/>
          <w:color w:val="000000" w:themeColor="text1"/>
          <w:sz w:val="16"/>
          <w:szCs w:val="16"/>
        </w:rPr>
        <w:softHyphen/>
        <w:t>ния опытного образца. Ввиду ограничений по времени они велись по сокращенной программе, а поскольку интерес к САУ был очень большой, то еще до завершения заводских испытаний машина-была передана на АНИОП. Но здесь С-51 повела себя не лучшим образом. Неудач</w:t>
      </w:r>
      <w:r w:rsidRPr="007224C3">
        <w:rPr>
          <w:rFonts w:ascii="Times New Roman" w:hAnsi="Times New Roman"/>
          <w:color w:val="000000" w:themeColor="text1"/>
          <w:sz w:val="16"/>
          <w:szCs w:val="16"/>
        </w:rPr>
        <w:softHyphen/>
        <w:t>ный баланс артсистемы привел к тому, что на марше маши</w:t>
      </w:r>
      <w:r w:rsidRPr="007224C3">
        <w:rPr>
          <w:rFonts w:ascii="Times New Roman" w:hAnsi="Times New Roman"/>
          <w:color w:val="000000" w:themeColor="text1"/>
          <w:sz w:val="16"/>
          <w:szCs w:val="16"/>
        </w:rPr>
        <w:softHyphen/>
        <w:t>на показала себя неустойчивой и была склонна к опроки</w:t>
      </w:r>
      <w:r w:rsidRPr="007224C3">
        <w:rPr>
          <w:rFonts w:ascii="Times New Roman" w:hAnsi="Times New Roman"/>
          <w:color w:val="000000" w:themeColor="text1"/>
          <w:sz w:val="16"/>
          <w:szCs w:val="16"/>
        </w:rPr>
        <w:softHyphen/>
        <w:t>дыванию. Во время стрельбы из-за высокой линии огня САУ сильно раскачивалась и сдвигалась назад чаще всего со значительным боковым смещением, что обязательно приводило к сбиванию наводки и большому рассеиванию снарядов. При малых углах возвышения отдача была стол] велика, что практически все номера расчета (в том числе и наводчик) не могли удержаться на своих местах на лафете. Стало очевидно, что для нормального функционирования необходим откидной сошник и машина требует доработок. Тем не менее С-51 все же была рекомендована для при</w:t>
      </w:r>
      <w:r w:rsidRPr="007224C3">
        <w:rPr>
          <w:rFonts w:ascii="Times New Roman" w:hAnsi="Times New Roman"/>
          <w:color w:val="000000" w:themeColor="text1"/>
          <w:sz w:val="16"/>
          <w:szCs w:val="16"/>
        </w:rPr>
        <w:softHyphen/>
        <w:t>нятия на вооружение с учетом устранения отмеченных недо</w:t>
      </w:r>
      <w:r w:rsidRPr="007224C3">
        <w:rPr>
          <w:rFonts w:ascii="Times New Roman" w:hAnsi="Times New Roman"/>
          <w:color w:val="000000" w:themeColor="text1"/>
          <w:sz w:val="16"/>
          <w:szCs w:val="16"/>
        </w:rPr>
        <w:softHyphen/>
        <w:t>статков после второй фазы полигонных испытаний (11417).</w:t>
      </w:r>
    </w:p>
    <w:p w14:paraId="772E56D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Тактико-технические характеристики тяжелых САУ 1943 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694"/>
        <w:gridCol w:w="850"/>
        <w:gridCol w:w="850"/>
        <w:gridCol w:w="945"/>
        <w:gridCol w:w="935"/>
      </w:tblGrid>
      <w:tr w:rsidR="005106D0" w:rsidRPr="007224C3" w14:paraId="5D71E4CA" w14:textId="77777777">
        <w:trPr>
          <w:trHeight w:val="182"/>
        </w:trPr>
        <w:tc>
          <w:tcPr>
            <w:tcW w:w="2694" w:type="dxa"/>
            <w:tcBorders>
              <w:top w:val="single" w:sz="12" w:space="0" w:color="auto"/>
            </w:tcBorders>
          </w:tcPr>
          <w:p w14:paraId="47C58F7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11D34F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top w:val="single" w:sz="12" w:space="0" w:color="auto"/>
            </w:tcBorders>
          </w:tcPr>
          <w:p w14:paraId="58861A8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152-мм</w:t>
            </w:r>
          </w:p>
        </w:tc>
        <w:tc>
          <w:tcPr>
            <w:tcW w:w="850" w:type="dxa"/>
            <w:tcBorders>
              <w:top w:val="single" w:sz="12" w:space="0" w:color="auto"/>
            </w:tcBorders>
          </w:tcPr>
          <w:p w14:paraId="2BB3D63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152-мм</w:t>
            </w:r>
          </w:p>
          <w:p w14:paraId="2D2D5A3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5" w:type="dxa"/>
            <w:tcBorders>
              <w:top w:val="single" w:sz="12" w:space="0" w:color="auto"/>
            </w:tcBorders>
          </w:tcPr>
          <w:p w14:paraId="3FE9C05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152-мм</w:t>
            </w:r>
          </w:p>
          <w:p w14:paraId="0584F92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5" w:type="dxa"/>
            <w:tcBorders>
              <w:top w:val="single" w:sz="12" w:space="0" w:color="auto"/>
            </w:tcBorders>
          </w:tcPr>
          <w:p w14:paraId="59578A2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203-мм</w:t>
            </w:r>
          </w:p>
          <w:p w14:paraId="0E5B3E4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3906FBE" w14:textId="77777777">
        <w:trPr>
          <w:trHeight w:val="192"/>
        </w:trPr>
        <w:tc>
          <w:tcPr>
            <w:tcW w:w="2694" w:type="dxa"/>
          </w:tcPr>
          <w:p w14:paraId="75630AE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ТТХ / Марка </w:t>
            </w:r>
          </w:p>
          <w:p w14:paraId="73A5FA8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1884F3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САУ СУ-152</w:t>
            </w:r>
          </w:p>
        </w:tc>
        <w:tc>
          <w:tcPr>
            <w:tcW w:w="850" w:type="dxa"/>
          </w:tcPr>
          <w:p w14:paraId="2554439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СУ-Д-15*</w:t>
            </w:r>
          </w:p>
          <w:p w14:paraId="2CB25B7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5" w:type="dxa"/>
          </w:tcPr>
          <w:p w14:paraId="516C9D8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ИСУ-152</w:t>
            </w:r>
          </w:p>
          <w:p w14:paraId="4EE3489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5" w:type="dxa"/>
          </w:tcPr>
          <w:p w14:paraId="006388F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С-51</w:t>
            </w:r>
          </w:p>
          <w:p w14:paraId="058A3E9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F84BA24" w14:textId="77777777">
        <w:trPr>
          <w:trHeight w:val="192"/>
        </w:trPr>
        <w:tc>
          <w:tcPr>
            <w:tcW w:w="2694" w:type="dxa"/>
          </w:tcPr>
          <w:p w14:paraId="771B8D0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Боевая масса, кг </w:t>
            </w:r>
          </w:p>
          <w:p w14:paraId="76FEE1C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B28A4C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45600</w:t>
            </w:r>
          </w:p>
        </w:tc>
        <w:tc>
          <w:tcPr>
            <w:tcW w:w="850" w:type="dxa"/>
          </w:tcPr>
          <w:p w14:paraId="5146282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31000</w:t>
            </w:r>
          </w:p>
          <w:p w14:paraId="0B7F536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5" w:type="dxa"/>
          </w:tcPr>
          <w:p w14:paraId="2EAFA48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46000</w:t>
            </w:r>
          </w:p>
          <w:p w14:paraId="2348CB6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5" w:type="dxa"/>
          </w:tcPr>
          <w:p w14:paraId="3AAF226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49750</w:t>
            </w:r>
          </w:p>
          <w:p w14:paraId="6BC6AA6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7ACD7B8" w14:textId="77777777">
        <w:trPr>
          <w:trHeight w:val="192"/>
        </w:trPr>
        <w:tc>
          <w:tcPr>
            <w:tcW w:w="2694" w:type="dxa"/>
          </w:tcPr>
          <w:p w14:paraId="61E5C6E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Экипаж, чел.</w:t>
            </w:r>
          </w:p>
          <w:p w14:paraId="470B6A5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BFCA70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tc>
        <w:tc>
          <w:tcPr>
            <w:tcW w:w="850" w:type="dxa"/>
          </w:tcPr>
          <w:p w14:paraId="46A0ED0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p w14:paraId="26B1B01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5" w:type="dxa"/>
          </w:tcPr>
          <w:p w14:paraId="09BDED1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p w14:paraId="563DCA7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5" w:type="dxa"/>
          </w:tcPr>
          <w:p w14:paraId="1B8E51F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w:t>
            </w:r>
          </w:p>
          <w:p w14:paraId="3DEC274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A9B5AF4" w14:textId="77777777">
        <w:trPr>
          <w:trHeight w:val="163"/>
        </w:trPr>
        <w:tc>
          <w:tcPr>
            <w:tcW w:w="6274" w:type="dxa"/>
            <w:gridSpan w:val="5"/>
          </w:tcPr>
          <w:p w14:paraId="2CDC756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Размерения. Мм</w:t>
            </w:r>
          </w:p>
          <w:p w14:paraId="2090B5C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4C9202F" w14:textId="77777777">
        <w:trPr>
          <w:trHeight w:val="202"/>
        </w:trPr>
        <w:tc>
          <w:tcPr>
            <w:tcW w:w="2694" w:type="dxa"/>
          </w:tcPr>
          <w:p w14:paraId="64FD288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Длина общая </w:t>
            </w:r>
          </w:p>
          <w:p w14:paraId="5F09378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FA450D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8950</w:t>
            </w:r>
          </w:p>
        </w:tc>
        <w:tc>
          <w:tcPr>
            <w:tcW w:w="850" w:type="dxa"/>
          </w:tcPr>
          <w:p w14:paraId="5DBE52A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7000</w:t>
            </w:r>
          </w:p>
          <w:p w14:paraId="69757E9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5" w:type="dxa"/>
          </w:tcPr>
          <w:p w14:paraId="5B869AA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9050</w:t>
            </w:r>
          </w:p>
          <w:p w14:paraId="55E9030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5" w:type="dxa"/>
          </w:tcPr>
          <w:p w14:paraId="6725895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9350</w:t>
            </w:r>
          </w:p>
          <w:p w14:paraId="2611D29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F2AE1EA" w14:textId="77777777">
        <w:trPr>
          <w:trHeight w:val="182"/>
        </w:trPr>
        <w:tc>
          <w:tcPr>
            <w:tcW w:w="2694" w:type="dxa"/>
          </w:tcPr>
          <w:p w14:paraId="02E4746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Ширина </w:t>
            </w:r>
          </w:p>
          <w:p w14:paraId="1153732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974AAA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3250</w:t>
            </w:r>
          </w:p>
        </w:tc>
        <w:tc>
          <w:tcPr>
            <w:tcW w:w="850" w:type="dxa"/>
          </w:tcPr>
          <w:p w14:paraId="1BC3CE9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6100</w:t>
            </w:r>
          </w:p>
          <w:p w14:paraId="41D85AD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5" w:type="dxa"/>
          </w:tcPr>
          <w:p w14:paraId="242256A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6770</w:t>
            </w:r>
          </w:p>
          <w:p w14:paraId="54632F5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5" w:type="dxa"/>
          </w:tcPr>
          <w:p w14:paraId="7C1CF5C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3380</w:t>
            </w:r>
          </w:p>
          <w:p w14:paraId="7E0E8C5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374F344" w14:textId="77777777">
        <w:trPr>
          <w:trHeight w:val="192"/>
        </w:trPr>
        <w:tc>
          <w:tcPr>
            <w:tcW w:w="2694" w:type="dxa"/>
          </w:tcPr>
          <w:p w14:paraId="7B298EA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Высота </w:t>
            </w:r>
          </w:p>
          <w:p w14:paraId="04532CF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5F0902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2450</w:t>
            </w:r>
          </w:p>
        </w:tc>
        <w:tc>
          <w:tcPr>
            <w:tcW w:w="850" w:type="dxa"/>
          </w:tcPr>
          <w:p w14:paraId="78D6867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3000</w:t>
            </w:r>
          </w:p>
          <w:p w14:paraId="58F0CDA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5" w:type="dxa"/>
          </w:tcPr>
          <w:p w14:paraId="290E84D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3070</w:t>
            </w:r>
          </w:p>
          <w:p w14:paraId="2D0A172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5" w:type="dxa"/>
          </w:tcPr>
          <w:p w14:paraId="7726E2B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3400</w:t>
            </w:r>
          </w:p>
          <w:p w14:paraId="29D5A05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043D144" w14:textId="77777777">
        <w:trPr>
          <w:trHeight w:val="192"/>
        </w:trPr>
        <w:tc>
          <w:tcPr>
            <w:tcW w:w="2694" w:type="dxa"/>
          </w:tcPr>
          <w:p w14:paraId="38A51A0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Клиренс </w:t>
            </w:r>
          </w:p>
          <w:p w14:paraId="30E4130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8B9B10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440</w:t>
            </w:r>
          </w:p>
        </w:tc>
        <w:tc>
          <w:tcPr>
            <w:tcW w:w="850" w:type="dxa"/>
          </w:tcPr>
          <w:p w14:paraId="46C9451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400</w:t>
            </w:r>
          </w:p>
          <w:p w14:paraId="326B69C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5" w:type="dxa"/>
          </w:tcPr>
          <w:p w14:paraId="5DC4DD0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470</w:t>
            </w:r>
          </w:p>
          <w:p w14:paraId="645FBC5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5" w:type="dxa"/>
          </w:tcPr>
          <w:p w14:paraId="47CA3AC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500</w:t>
            </w:r>
          </w:p>
          <w:p w14:paraId="343E2CA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4351BB9" w14:textId="77777777">
        <w:trPr>
          <w:trHeight w:val="173"/>
        </w:trPr>
        <w:tc>
          <w:tcPr>
            <w:tcW w:w="6274" w:type="dxa"/>
            <w:gridSpan w:val="5"/>
          </w:tcPr>
          <w:p w14:paraId="54C00C4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Вооружение</w:t>
            </w:r>
          </w:p>
          <w:p w14:paraId="66A49D5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C5F4D5D" w14:textId="77777777">
        <w:trPr>
          <w:trHeight w:val="192"/>
        </w:trPr>
        <w:tc>
          <w:tcPr>
            <w:tcW w:w="2694" w:type="dxa"/>
          </w:tcPr>
          <w:p w14:paraId="1475717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Орудие, кал </w:t>
            </w:r>
          </w:p>
          <w:p w14:paraId="788F5D6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EFE99C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152,4-мм</w:t>
            </w:r>
          </w:p>
        </w:tc>
        <w:tc>
          <w:tcPr>
            <w:tcW w:w="850" w:type="dxa"/>
          </w:tcPr>
          <w:p w14:paraId="785E0FA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152,4-мм,</w:t>
            </w:r>
          </w:p>
          <w:p w14:paraId="4B8C5C6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5" w:type="dxa"/>
          </w:tcPr>
          <w:p w14:paraId="62C0CAE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152-мм</w:t>
            </w:r>
          </w:p>
          <w:p w14:paraId="19340B2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5" w:type="dxa"/>
          </w:tcPr>
          <w:p w14:paraId="7C9DBDB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203,2-мм</w:t>
            </w:r>
          </w:p>
          <w:p w14:paraId="4A835BA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5788BDD" w14:textId="77777777">
        <w:trPr>
          <w:trHeight w:val="192"/>
        </w:trPr>
        <w:tc>
          <w:tcPr>
            <w:tcW w:w="2694" w:type="dxa"/>
          </w:tcPr>
          <w:p w14:paraId="5F27B7C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Тип </w:t>
            </w:r>
          </w:p>
          <w:p w14:paraId="11C1788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63A825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МЛ-20С</w:t>
            </w:r>
          </w:p>
        </w:tc>
        <w:tc>
          <w:tcPr>
            <w:tcW w:w="850" w:type="dxa"/>
          </w:tcPr>
          <w:p w14:paraId="4DA79B5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Д-15</w:t>
            </w:r>
          </w:p>
          <w:p w14:paraId="31FE96D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5" w:type="dxa"/>
          </w:tcPr>
          <w:p w14:paraId="0EECBDB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МЛ-20С</w:t>
            </w:r>
          </w:p>
          <w:p w14:paraId="2B36337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5" w:type="dxa"/>
          </w:tcPr>
          <w:p w14:paraId="596192A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Б-4</w:t>
            </w:r>
          </w:p>
          <w:p w14:paraId="0F45025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727AF69" w14:textId="77777777">
        <w:trPr>
          <w:trHeight w:val="182"/>
        </w:trPr>
        <w:tc>
          <w:tcPr>
            <w:tcW w:w="2694" w:type="dxa"/>
          </w:tcPr>
          <w:p w14:paraId="5C9A949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Длина ствола, клб </w:t>
            </w:r>
          </w:p>
          <w:p w14:paraId="3142857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007440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28,8</w:t>
            </w:r>
          </w:p>
        </w:tc>
        <w:tc>
          <w:tcPr>
            <w:tcW w:w="850" w:type="dxa"/>
          </w:tcPr>
          <w:p w14:paraId="11C9AEE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24,3</w:t>
            </w:r>
          </w:p>
          <w:p w14:paraId="01480FD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5" w:type="dxa"/>
          </w:tcPr>
          <w:p w14:paraId="449473D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28,8</w:t>
            </w:r>
          </w:p>
          <w:p w14:paraId="0E2DA71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5" w:type="dxa"/>
          </w:tcPr>
          <w:p w14:paraId="086F554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w:t>
            </w:r>
          </w:p>
          <w:p w14:paraId="3227424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EC2D4D6" w14:textId="77777777">
        <w:trPr>
          <w:trHeight w:val="192"/>
        </w:trPr>
        <w:tc>
          <w:tcPr>
            <w:tcW w:w="2694" w:type="dxa"/>
          </w:tcPr>
          <w:p w14:paraId="3881196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 скорость сн м/с</w:t>
            </w:r>
          </w:p>
          <w:p w14:paraId="4BB8381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54DBD7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600</w:t>
            </w:r>
          </w:p>
        </w:tc>
        <w:tc>
          <w:tcPr>
            <w:tcW w:w="850" w:type="dxa"/>
          </w:tcPr>
          <w:p w14:paraId="426ABE5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381</w:t>
            </w:r>
          </w:p>
          <w:p w14:paraId="14152BA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5" w:type="dxa"/>
          </w:tcPr>
          <w:p w14:paraId="0B3999C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600</w:t>
            </w:r>
          </w:p>
          <w:p w14:paraId="3BCCA8B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5" w:type="dxa"/>
          </w:tcPr>
          <w:p w14:paraId="3571CE1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550-600</w:t>
            </w:r>
          </w:p>
          <w:p w14:paraId="69FB74F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2B72B0D" w14:textId="77777777">
        <w:trPr>
          <w:trHeight w:val="182"/>
        </w:trPr>
        <w:tc>
          <w:tcPr>
            <w:tcW w:w="2694" w:type="dxa"/>
          </w:tcPr>
          <w:p w14:paraId="436BFCE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Угол гориз. наведения </w:t>
            </w:r>
          </w:p>
          <w:p w14:paraId="20D2A1D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B982A4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w:t>
            </w:r>
          </w:p>
        </w:tc>
        <w:tc>
          <w:tcPr>
            <w:tcW w:w="850" w:type="dxa"/>
          </w:tcPr>
          <w:p w14:paraId="279A7F7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w:t>
            </w:r>
          </w:p>
          <w:p w14:paraId="6D19EA3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5" w:type="dxa"/>
          </w:tcPr>
          <w:p w14:paraId="163B8AA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w:t>
            </w:r>
          </w:p>
          <w:p w14:paraId="05435C4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5" w:type="dxa"/>
          </w:tcPr>
          <w:p w14:paraId="0437ABF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w:t>
            </w:r>
          </w:p>
          <w:p w14:paraId="66CD07F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D1A5931" w14:textId="77777777">
        <w:trPr>
          <w:trHeight w:val="192"/>
        </w:trPr>
        <w:tc>
          <w:tcPr>
            <w:tcW w:w="2694" w:type="dxa"/>
          </w:tcPr>
          <w:p w14:paraId="27FB84E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Угол верт. наведения </w:t>
            </w:r>
          </w:p>
          <w:p w14:paraId="7725D94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20D1FF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-5+18'</w:t>
            </w:r>
          </w:p>
        </w:tc>
        <w:tc>
          <w:tcPr>
            <w:tcW w:w="850" w:type="dxa"/>
          </w:tcPr>
          <w:p w14:paraId="4C90BA0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-1+25°</w:t>
            </w:r>
          </w:p>
          <w:p w14:paraId="673D49D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5" w:type="dxa"/>
          </w:tcPr>
          <w:p w14:paraId="3547209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-3+20°</w:t>
            </w:r>
          </w:p>
          <w:p w14:paraId="04BA060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5" w:type="dxa"/>
          </w:tcPr>
          <w:p w14:paraId="6F85940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-0+60'</w:t>
            </w:r>
          </w:p>
          <w:p w14:paraId="728CC2C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528CC6D" w14:textId="77777777">
        <w:trPr>
          <w:trHeight w:val="182"/>
        </w:trPr>
        <w:tc>
          <w:tcPr>
            <w:tcW w:w="2694" w:type="dxa"/>
          </w:tcPr>
          <w:p w14:paraId="16DC662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Снарядов, шт. </w:t>
            </w:r>
          </w:p>
          <w:p w14:paraId="20468B6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D5DD31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w:t>
            </w:r>
          </w:p>
        </w:tc>
        <w:tc>
          <w:tcPr>
            <w:tcW w:w="850" w:type="dxa"/>
          </w:tcPr>
          <w:p w14:paraId="237804C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w:t>
            </w:r>
          </w:p>
          <w:p w14:paraId="4E5D187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5" w:type="dxa"/>
          </w:tcPr>
          <w:p w14:paraId="647F9D7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w:t>
            </w:r>
          </w:p>
          <w:p w14:paraId="0EC7AB3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5" w:type="dxa"/>
          </w:tcPr>
          <w:p w14:paraId="1D00AC3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w:t>
            </w:r>
          </w:p>
          <w:p w14:paraId="3DDC3D4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2FF1440" w14:textId="77777777">
        <w:trPr>
          <w:trHeight w:val="192"/>
        </w:trPr>
        <w:tc>
          <w:tcPr>
            <w:tcW w:w="2694" w:type="dxa"/>
          </w:tcPr>
          <w:p w14:paraId="49374B7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Пулеметов, шт. х кал -</w:t>
            </w:r>
          </w:p>
          <w:p w14:paraId="6955D95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D8077D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0" w:type="dxa"/>
          </w:tcPr>
          <w:p w14:paraId="648134C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4BD2F52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5" w:type="dxa"/>
          </w:tcPr>
          <w:p w14:paraId="77130BB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1x12,7 мм</w:t>
            </w:r>
          </w:p>
          <w:p w14:paraId="30B4662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5" w:type="dxa"/>
          </w:tcPr>
          <w:p w14:paraId="13C0EDA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_</w:t>
            </w:r>
          </w:p>
          <w:p w14:paraId="6B6A95B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7065D60" w14:textId="77777777">
        <w:trPr>
          <w:trHeight w:val="192"/>
        </w:trPr>
        <w:tc>
          <w:tcPr>
            <w:tcW w:w="2694" w:type="dxa"/>
          </w:tcPr>
          <w:p w14:paraId="3EB8DC0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Патронов, шт.</w:t>
            </w:r>
          </w:p>
          <w:p w14:paraId="54DEC1D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0BFADF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0" w:type="dxa"/>
          </w:tcPr>
          <w:p w14:paraId="5481106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765E2F8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5" w:type="dxa"/>
          </w:tcPr>
          <w:p w14:paraId="1653497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250</w:t>
            </w:r>
          </w:p>
          <w:p w14:paraId="1436C6E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5" w:type="dxa"/>
          </w:tcPr>
          <w:p w14:paraId="147A6AB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375D72B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BA5ECBD" w14:textId="77777777">
        <w:trPr>
          <w:trHeight w:val="163"/>
        </w:trPr>
        <w:tc>
          <w:tcPr>
            <w:tcW w:w="6274" w:type="dxa"/>
            <w:gridSpan w:val="5"/>
          </w:tcPr>
          <w:p w14:paraId="6A38FA9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Толщина брони, мм</w:t>
            </w:r>
          </w:p>
          <w:p w14:paraId="26F3A24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84AF474" w14:textId="77777777">
        <w:trPr>
          <w:trHeight w:val="202"/>
        </w:trPr>
        <w:tc>
          <w:tcPr>
            <w:tcW w:w="2694" w:type="dxa"/>
          </w:tcPr>
          <w:p w14:paraId="5777F22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Вертик. корпуса </w:t>
            </w:r>
          </w:p>
          <w:p w14:paraId="2F92177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29BF54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70-60</w:t>
            </w:r>
          </w:p>
        </w:tc>
        <w:tc>
          <w:tcPr>
            <w:tcW w:w="850" w:type="dxa"/>
          </w:tcPr>
          <w:p w14:paraId="041D304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w:t>
            </w:r>
          </w:p>
          <w:p w14:paraId="6ED125C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5" w:type="dxa"/>
          </w:tcPr>
          <w:p w14:paraId="68A3EA6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120-90-60</w:t>
            </w:r>
          </w:p>
          <w:p w14:paraId="736590B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5" w:type="dxa"/>
          </w:tcPr>
          <w:p w14:paraId="1A6EC2D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w:t>
            </w:r>
          </w:p>
          <w:p w14:paraId="263632E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BE71280" w14:textId="77777777">
        <w:trPr>
          <w:trHeight w:val="182"/>
        </w:trPr>
        <w:tc>
          <w:tcPr>
            <w:tcW w:w="2694" w:type="dxa"/>
          </w:tcPr>
          <w:p w14:paraId="3E90AC4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Гориз. корпуса </w:t>
            </w:r>
          </w:p>
          <w:p w14:paraId="4F2E0B1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46C4F6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20-30</w:t>
            </w:r>
          </w:p>
        </w:tc>
        <w:tc>
          <w:tcPr>
            <w:tcW w:w="850" w:type="dxa"/>
          </w:tcPr>
          <w:p w14:paraId="3A2E879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10-20</w:t>
            </w:r>
          </w:p>
          <w:p w14:paraId="2614AB0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5" w:type="dxa"/>
          </w:tcPr>
          <w:p w14:paraId="01F14EF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30-20</w:t>
            </w:r>
          </w:p>
          <w:p w14:paraId="216DED2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5" w:type="dxa"/>
          </w:tcPr>
          <w:p w14:paraId="1130ED0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w:t>
            </w:r>
          </w:p>
          <w:p w14:paraId="1D031FC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78110E3" w14:textId="77777777">
        <w:trPr>
          <w:trHeight w:val="202"/>
        </w:trPr>
        <w:tc>
          <w:tcPr>
            <w:tcW w:w="2694" w:type="dxa"/>
          </w:tcPr>
          <w:p w14:paraId="0ABD7FF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Рубка</w:t>
            </w:r>
          </w:p>
          <w:p w14:paraId="22E3A4F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23C56F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70-60</w:t>
            </w:r>
          </w:p>
        </w:tc>
        <w:tc>
          <w:tcPr>
            <w:tcW w:w="850" w:type="dxa"/>
          </w:tcPr>
          <w:p w14:paraId="2FE14D9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w:t>
            </w:r>
          </w:p>
          <w:p w14:paraId="716BAB5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5" w:type="dxa"/>
          </w:tcPr>
          <w:p w14:paraId="4A984B7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120-60</w:t>
            </w:r>
          </w:p>
          <w:p w14:paraId="4F941CF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5" w:type="dxa"/>
          </w:tcPr>
          <w:p w14:paraId="0028694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_</w:t>
            </w:r>
          </w:p>
          <w:p w14:paraId="295AB29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79B33B3" w14:textId="77777777">
        <w:trPr>
          <w:trHeight w:val="163"/>
        </w:trPr>
        <w:tc>
          <w:tcPr>
            <w:tcW w:w="6274" w:type="dxa"/>
            <w:gridSpan w:val="5"/>
          </w:tcPr>
          <w:p w14:paraId="4D719CC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Силовая установка</w:t>
            </w:r>
          </w:p>
          <w:p w14:paraId="1A98164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275AD4F" w14:textId="77777777">
        <w:trPr>
          <w:trHeight w:val="202"/>
        </w:trPr>
        <w:tc>
          <w:tcPr>
            <w:tcW w:w="2694" w:type="dxa"/>
          </w:tcPr>
          <w:p w14:paraId="781B43A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База т. </w:t>
            </w:r>
          </w:p>
          <w:p w14:paraId="4900220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526732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КВ-1С</w:t>
            </w:r>
          </w:p>
        </w:tc>
        <w:tc>
          <w:tcPr>
            <w:tcW w:w="850" w:type="dxa"/>
          </w:tcPr>
          <w:p w14:paraId="4F1DA99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 Т-34</w:t>
            </w:r>
          </w:p>
          <w:p w14:paraId="3FFFE5B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5" w:type="dxa"/>
          </w:tcPr>
          <w:p w14:paraId="571B76F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 ИС</w:t>
            </w:r>
          </w:p>
          <w:p w14:paraId="53B0B0E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5" w:type="dxa"/>
          </w:tcPr>
          <w:p w14:paraId="3C7EBA4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 КВ-1С</w:t>
            </w:r>
          </w:p>
          <w:p w14:paraId="64BDDA8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B487135" w14:textId="77777777">
        <w:trPr>
          <w:trHeight w:val="182"/>
        </w:trPr>
        <w:tc>
          <w:tcPr>
            <w:tcW w:w="2694" w:type="dxa"/>
          </w:tcPr>
          <w:p w14:paraId="57868CF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Мощность макс. ,л.с. </w:t>
            </w:r>
          </w:p>
          <w:p w14:paraId="5FDB7ED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29E733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600</w:t>
            </w:r>
          </w:p>
        </w:tc>
        <w:tc>
          <w:tcPr>
            <w:tcW w:w="850" w:type="dxa"/>
          </w:tcPr>
          <w:p w14:paraId="13B624A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500</w:t>
            </w:r>
          </w:p>
          <w:p w14:paraId="4DA7D15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5" w:type="dxa"/>
          </w:tcPr>
          <w:p w14:paraId="3A16BE7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520</w:t>
            </w:r>
          </w:p>
          <w:p w14:paraId="1595962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5" w:type="dxa"/>
          </w:tcPr>
          <w:p w14:paraId="26AD1AA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600</w:t>
            </w:r>
          </w:p>
          <w:p w14:paraId="59E32D2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8419ECF" w14:textId="77777777">
        <w:trPr>
          <w:trHeight w:val="192"/>
        </w:trPr>
        <w:tc>
          <w:tcPr>
            <w:tcW w:w="2694" w:type="dxa"/>
          </w:tcPr>
          <w:p w14:paraId="252BED0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При част. вращ. об/мин </w:t>
            </w:r>
          </w:p>
          <w:p w14:paraId="212FDE7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47616F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2000</w:t>
            </w:r>
          </w:p>
        </w:tc>
        <w:tc>
          <w:tcPr>
            <w:tcW w:w="850" w:type="dxa"/>
          </w:tcPr>
          <w:p w14:paraId="015B706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1850</w:t>
            </w:r>
          </w:p>
          <w:p w14:paraId="2BF4BAA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5" w:type="dxa"/>
          </w:tcPr>
          <w:p w14:paraId="66A93CD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1850</w:t>
            </w:r>
          </w:p>
          <w:p w14:paraId="05909F0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5" w:type="dxa"/>
          </w:tcPr>
          <w:p w14:paraId="1830815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2000</w:t>
            </w:r>
          </w:p>
          <w:p w14:paraId="17DEC53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1964E23" w14:textId="77777777">
        <w:trPr>
          <w:trHeight w:val="192"/>
        </w:trPr>
        <w:tc>
          <w:tcPr>
            <w:tcW w:w="2694" w:type="dxa"/>
          </w:tcPr>
          <w:p w14:paraId="6876496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Передач КПП 6/2</w:t>
            </w:r>
          </w:p>
          <w:p w14:paraId="1CEA1AC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C13216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4F4908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4/1</w:t>
            </w:r>
          </w:p>
          <w:p w14:paraId="155A7D4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5" w:type="dxa"/>
          </w:tcPr>
          <w:p w14:paraId="4B845FD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6/2</w:t>
            </w:r>
          </w:p>
          <w:p w14:paraId="305D6F2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5" w:type="dxa"/>
          </w:tcPr>
          <w:p w14:paraId="0B7F1AC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6/2</w:t>
            </w:r>
          </w:p>
          <w:p w14:paraId="2632AFF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7A47D51" w14:textId="77777777">
        <w:trPr>
          <w:trHeight w:val="192"/>
        </w:trPr>
        <w:tc>
          <w:tcPr>
            <w:tcW w:w="2694" w:type="dxa"/>
          </w:tcPr>
          <w:p w14:paraId="7E40444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Скорость макс, км/ч</w:t>
            </w:r>
          </w:p>
          <w:p w14:paraId="0288D83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6DAF19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42</w:t>
            </w:r>
          </w:p>
        </w:tc>
        <w:tc>
          <w:tcPr>
            <w:tcW w:w="850" w:type="dxa"/>
          </w:tcPr>
          <w:p w14:paraId="28724E1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w:t>
            </w:r>
          </w:p>
          <w:p w14:paraId="442B00A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5" w:type="dxa"/>
          </w:tcPr>
          <w:p w14:paraId="40C5E6C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35</w:t>
            </w:r>
          </w:p>
          <w:p w14:paraId="0332684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5" w:type="dxa"/>
          </w:tcPr>
          <w:p w14:paraId="3FD6864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30,0</w:t>
            </w:r>
          </w:p>
          <w:p w14:paraId="23E9B3D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81F1A57" w14:textId="77777777">
        <w:trPr>
          <w:trHeight w:val="173"/>
        </w:trPr>
        <w:tc>
          <w:tcPr>
            <w:tcW w:w="2694" w:type="dxa"/>
          </w:tcPr>
          <w:p w14:paraId="5C687A3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Среднетехнич км/ч </w:t>
            </w:r>
          </w:p>
          <w:p w14:paraId="2F24ADF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D33132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н.д.</w:t>
            </w:r>
          </w:p>
        </w:tc>
        <w:tc>
          <w:tcPr>
            <w:tcW w:w="850" w:type="dxa"/>
          </w:tcPr>
          <w:p w14:paraId="1B73B0D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w:t>
            </w:r>
          </w:p>
          <w:p w14:paraId="4054F05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5" w:type="dxa"/>
          </w:tcPr>
          <w:p w14:paraId="1596171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w:t>
            </w:r>
          </w:p>
          <w:p w14:paraId="39FFEDF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5" w:type="dxa"/>
          </w:tcPr>
          <w:p w14:paraId="2A593A8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w:t>
            </w:r>
          </w:p>
          <w:p w14:paraId="3C273B6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595E11A" w14:textId="77777777">
        <w:trPr>
          <w:trHeight w:val="173"/>
        </w:trPr>
        <w:tc>
          <w:tcPr>
            <w:tcW w:w="2694" w:type="dxa"/>
          </w:tcPr>
          <w:p w14:paraId="6C42445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Тип топлива</w:t>
            </w:r>
          </w:p>
        </w:tc>
        <w:tc>
          <w:tcPr>
            <w:tcW w:w="850" w:type="dxa"/>
          </w:tcPr>
          <w:p w14:paraId="4545659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Диз. толпливо</w:t>
            </w:r>
          </w:p>
        </w:tc>
        <w:tc>
          <w:tcPr>
            <w:tcW w:w="850" w:type="dxa"/>
          </w:tcPr>
          <w:p w14:paraId="12567E7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Диз.топливо</w:t>
            </w:r>
          </w:p>
          <w:p w14:paraId="1B3E485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5" w:type="dxa"/>
          </w:tcPr>
          <w:p w14:paraId="3F69F26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Диз. топливо</w:t>
            </w:r>
          </w:p>
          <w:p w14:paraId="5E85D14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5" w:type="dxa"/>
          </w:tcPr>
          <w:p w14:paraId="4EBA8BE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Диз.топливо</w:t>
            </w:r>
          </w:p>
        </w:tc>
      </w:tr>
      <w:tr w:rsidR="005106D0" w:rsidRPr="007224C3" w14:paraId="50982BA2" w14:textId="77777777">
        <w:trPr>
          <w:trHeight w:val="182"/>
        </w:trPr>
        <w:tc>
          <w:tcPr>
            <w:tcW w:w="2694" w:type="dxa"/>
          </w:tcPr>
          <w:p w14:paraId="41E9878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Емк. бака, л.</w:t>
            </w:r>
          </w:p>
          <w:p w14:paraId="3700FAC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BA212C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500</w:t>
            </w:r>
          </w:p>
        </w:tc>
        <w:tc>
          <w:tcPr>
            <w:tcW w:w="850" w:type="dxa"/>
          </w:tcPr>
          <w:p w14:paraId="53B7AF7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н.д.</w:t>
            </w:r>
          </w:p>
          <w:p w14:paraId="48D256A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5" w:type="dxa"/>
          </w:tcPr>
          <w:p w14:paraId="4852D48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500</w:t>
            </w:r>
          </w:p>
          <w:p w14:paraId="2CB1128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5" w:type="dxa"/>
          </w:tcPr>
          <w:p w14:paraId="202138DD"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Н.Д.</w:t>
            </w:r>
          </w:p>
          <w:p w14:paraId="358F2C0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4F93E24" w14:textId="77777777">
        <w:trPr>
          <w:trHeight w:val="182"/>
        </w:trPr>
        <w:tc>
          <w:tcPr>
            <w:tcW w:w="2694" w:type="dxa"/>
          </w:tcPr>
          <w:p w14:paraId="78CEB6B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 xml:space="preserve">Запас хода, км </w:t>
            </w:r>
          </w:p>
          <w:p w14:paraId="2D43CA7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CBC191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220</w:t>
            </w:r>
          </w:p>
        </w:tc>
        <w:tc>
          <w:tcPr>
            <w:tcW w:w="850" w:type="dxa"/>
          </w:tcPr>
          <w:p w14:paraId="771C697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н.д.</w:t>
            </w:r>
          </w:p>
          <w:p w14:paraId="1806E4B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5" w:type="dxa"/>
          </w:tcPr>
          <w:p w14:paraId="5B80AB9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220</w:t>
            </w:r>
          </w:p>
          <w:p w14:paraId="72430C9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5" w:type="dxa"/>
          </w:tcPr>
          <w:p w14:paraId="114766D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w:t>
            </w:r>
          </w:p>
          <w:p w14:paraId="7B41C39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A945D59" w14:textId="77777777">
        <w:trPr>
          <w:trHeight w:val="192"/>
        </w:trPr>
        <w:tc>
          <w:tcPr>
            <w:tcW w:w="2694" w:type="dxa"/>
            <w:tcBorders>
              <w:bottom w:val="single" w:sz="12" w:space="0" w:color="auto"/>
            </w:tcBorders>
          </w:tcPr>
          <w:p w14:paraId="08D1AD3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 днные по проекту</w:t>
            </w:r>
          </w:p>
          <w:p w14:paraId="6EEFE5E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bottom w:val="single" w:sz="12" w:space="0" w:color="auto"/>
            </w:tcBorders>
          </w:tcPr>
          <w:p w14:paraId="0453F2F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bottom w:val="single" w:sz="12" w:space="0" w:color="auto"/>
            </w:tcBorders>
          </w:tcPr>
          <w:p w14:paraId="239BAC3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29A6D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5" w:type="dxa"/>
            <w:tcBorders>
              <w:bottom w:val="single" w:sz="12" w:space="0" w:color="auto"/>
            </w:tcBorders>
          </w:tcPr>
          <w:p w14:paraId="26F1AA05"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14529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5" w:type="dxa"/>
            <w:tcBorders>
              <w:bottom w:val="single" w:sz="12" w:space="0" w:color="auto"/>
            </w:tcBorders>
          </w:tcPr>
          <w:p w14:paraId="46B13D5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88B7F0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68CDEF3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3F5E8FD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1944 г. опытный образец самоходной гаубицы С-51, которая была разработана в ЦАКБ под руковод</w:t>
      </w:r>
      <w:r w:rsidRPr="007224C3">
        <w:rPr>
          <w:rFonts w:ascii="Times New Roman" w:hAnsi="Times New Roman"/>
          <w:color w:val="000000" w:themeColor="text1"/>
          <w:sz w:val="16"/>
          <w:szCs w:val="16"/>
        </w:rPr>
        <w:softHyphen/>
        <w:t>ством В.Г. Грабина в 1943 г., после Заводских испытаний поступил на АНИОП, где в марте того же года прошел полигонные испытания и был рекомендован к принятию на вооружение. Однако на вооружение установка не прини</w:t>
      </w:r>
      <w:r w:rsidRPr="007224C3">
        <w:rPr>
          <w:rFonts w:ascii="Times New Roman" w:hAnsi="Times New Roman"/>
          <w:color w:val="000000" w:themeColor="text1"/>
          <w:sz w:val="16"/>
          <w:szCs w:val="16"/>
        </w:rPr>
        <w:softHyphen/>
        <w:t>малась и в серийном производстве не состояла по причине прекраще</w:t>
      </w:r>
      <w:r w:rsidRPr="007224C3">
        <w:rPr>
          <w:rFonts w:ascii="Times New Roman" w:hAnsi="Times New Roman"/>
          <w:color w:val="000000" w:themeColor="text1"/>
          <w:sz w:val="16"/>
          <w:szCs w:val="16"/>
        </w:rPr>
        <w:softHyphen/>
        <w:t>ния производства гаубиц Б-4 в начале 1942 г. Машина была создана на базе танка КВ-1С и имела компоновочную схему с кормовым расположением моторно-трансмиссионного отделе</w:t>
      </w:r>
      <w:r w:rsidRPr="007224C3">
        <w:rPr>
          <w:rFonts w:ascii="Times New Roman" w:hAnsi="Times New Roman"/>
          <w:color w:val="000000" w:themeColor="text1"/>
          <w:sz w:val="16"/>
          <w:szCs w:val="16"/>
        </w:rPr>
        <w:softHyphen/>
        <w:t>ния и открытой установкой основного оружия в носовой части корпуса. Расчет (экипаж) установки состоял из десяти человек. В качестве основного оружия была использована качающаяся часть 203-мм гаубицы Б-4 обр. 1931 г. с поршневым затвором и баллистикой 203-мм гаубицы Б-4БМ. В связи с установкой орудия на новую само</w:t>
      </w:r>
      <w:r w:rsidRPr="007224C3">
        <w:rPr>
          <w:rFonts w:ascii="Times New Roman" w:hAnsi="Times New Roman"/>
          <w:color w:val="000000" w:themeColor="text1"/>
          <w:sz w:val="16"/>
          <w:szCs w:val="16"/>
        </w:rPr>
        <w:softHyphen/>
        <w:t>ходную базу его конструкция существенных изменений не претерпела. В походном положении ствол гаубицы оттягивался назад. Высота ли</w:t>
      </w:r>
      <w:r w:rsidRPr="007224C3">
        <w:rPr>
          <w:rFonts w:ascii="Times New Roman" w:hAnsi="Times New Roman"/>
          <w:color w:val="000000" w:themeColor="text1"/>
          <w:sz w:val="16"/>
          <w:szCs w:val="16"/>
        </w:rPr>
        <w:softHyphen/>
        <w:t>нии огня составляла 2795 мм. Стрельба велась только с места. Механиз</w:t>
      </w:r>
      <w:r w:rsidRPr="007224C3">
        <w:rPr>
          <w:rFonts w:ascii="Times New Roman" w:hAnsi="Times New Roman"/>
          <w:color w:val="000000" w:themeColor="text1"/>
          <w:sz w:val="16"/>
          <w:szCs w:val="16"/>
        </w:rPr>
        <w:softHyphen/>
        <w:t>мы наводки (подъемный, приведения на заряжание и поворотный) сек</w:t>
      </w:r>
      <w:r w:rsidRPr="007224C3">
        <w:rPr>
          <w:rFonts w:ascii="Times New Roman" w:hAnsi="Times New Roman"/>
          <w:color w:val="000000" w:themeColor="text1"/>
          <w:sz w:val="16"/>
          <w:szCs w:val="16"/>
        </w:rPr>
        <w:softHyphen/>
        <w:t>торного типа обеспечивали углы вертикальной наводки от 0 до +60° (10703).</w:t>
      </w:r>
    </w:p>
    <w:p w14:paraId="29C1A8F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7BCE7F" w14:textId="77777777" w:rsidR="001A00DE" w:rsidRPr="007224C3" w:rsidRDefault="001A00DE" w:rsidP="007224C3">
      <w:pPr>
        <w:pStyle w:val="ae"/>
        <w:shd w:val="clear" w:color="auto" w:fill="FFFFFF"/>
        <w:spacing w:before="0" w:after="0"/>
        <w:jc w:val="both"/>
        <w:rPr>
          <w:color w:val="000000" w:themeColor="text1"/>
          <w:sz w:val="16"/>
          <w:szCs w:val="16"/>
        </w:rPr>
      </w:pPr>
      <w:r w:rsidRPr="007224C3">
        <w:rPr>
          <w:color w:val="000000" w:themeColor="text1"/>
          <w:sz w:val="16"/>
          <w:szCs w:val="16"/>
        </w:rPr>
        <w:t>В феврале 1944 года С-51 ЦАКБ прошли Заводские испытания. В их ходе было произведено 49 выстрелов. Выяснилось, что скорострельность, по сравнению с буксируемой Б-4, выросла на 30%. После испытаний был поднят вопрос о постройке ещё одной САУ, получившей индекс С-59. От С-51 она отличалась только орудием — 152-мм пушкой особой мощности БР-2.</w:t>
      </w:r>
    </w:p>
    <w:p w14:paraId="79AD8B8A" w14:textId="77777777" w:rsidR="001A00DE" w:rsidRPr="007224C3" w:rsidRDefault="001A00DE" w:rsidP="007224C3">
      <w:pPr>
        <w:pStyle w:val="ae"/>
        <w:shd w:val="clear" w:color="auto" w:fill="FFFFFF"/>
        <w:spacing w:before="0" w:after="0"/>
        <w:jc w:val="both"/>
        <w:rPr>
          <w:color w:val="000000" w:themeColor="text1"/>
          <w:sz w:val="16"/>
          <w:szCs w:val="16"/>
        </w:rPr>
      </w:pPr>
      <w:r w:rsidRPr="007224C3">
        <w:rPr>
          <w:color w:val="000000" w:themeColor="text1"/>
          <w:sz w:val="16"/>
          <w:szCs w:val="16"/>
        </w:rPr>
        <w:t>По завершению заводских испытаний С-51 чуть переделали, после чего она отправилась на Гороховецкий АНИОП для полигонных испытаний. Машина прибыла туда 26 февраля, испытания начались позже — 16 марта. Из-за отсутствия оборудования на полигоне разбор и обмер частей гаубицы проводили на заводе №112. Полностью разобрать её, впрочем, не удалось. До начала испытаний С-51 прошла 150 километров, из которых 120 километров было пройдено по маршруту от АНИОП до завода №112 и обратно.</w:t>
      </w:r>
    </w:p>
    <w:p w14:paraId="11CF302F" w14:textId="77777777" w:rsidR="001A00DE" w:rsidRPr="007224C3" w:rsidRDefault="001A00DE" w:rsidP="007224C3">
      <w:pPr>
        <w:pStyle w:val="ae"/>
        <w:shd w:val="clear" w:color="auto" w:fill="FFFFFF"/>
        <w:spacing w:before="0" w:after="0"/>
        <w:jc w:val="both"/>
        <w:rPr>
          <w:color w:val="000000" w:themeColor="text1"/>
          <w:sz w:val="16"/>
          <w:szCs w:val="16"/>
        </w:rPr>
      </w:pPr>
      <w:r w:rsidRPr="007224C3">
        <w:rPr>
          <w:color w:val="000000" w:themeColor="text1"/>
          <w:sz w:val="16"/>
          <w:szCs w:val="16"/>
        </w:rPr>
        <w:t>Предполагалось, что стрелять С-51 будет осколочно-фугасными снарядами, но их не было, и использовались бетонобойные. За время огневых испытаний, продолжавшихся до 24 марта, было произведено 209 выстрелов, из которых 135 усиленным зарядом.</w:t>
      </w:r>
    </w:p>
    <w:p w14:paraId="54784913" w14:textId="77777777" w:rsidR="001A00DE" w:rsidRPr="007224C3" w:rsidRDefault="001A00DE" w:rsidP="007224C3">
      <w:pPr>
        <w:pStyle w:val="ae"/>
        <w:shd w:val="clear" w:color="auto" w:fill="FFFFFF"/>
        <w:spacing w:before="0" w:after="0"/>
        <w:jc w:val="both"/>
        <w:rPr>
          <w:color w:val="000000" w:themeColor="text1"/>
          <w:sz w:val="16"/>
          <w:szCs w:val="16"/>
        </w:rPr>
      </w:pPr>
      <w:r w:rsidRPr="007224C3">
        <w:rPr>
          <w:color w:val="000000" w:themeColor="text1"/>
          <w:sz w:val="16"/>
          <w:szCs w:val="16"/>
        </w:rPr>
        <w:t>При стрельбе под углом 30 градусов выяснилось, что установка откатывается назад на 1000-1300 мм, накат вперёд составлял 200 мм. При стрельбе носовая часть самоходной установки поднималась вверх на 250–450 мм, в то время как корма приседала на 200–300 мм. Высота прыжка с правого борта была на 100 мм выше, чем с левого.</w:t>
      </w:r>
    </w:p>
    <w:p w14:paraId="25983B1D" w14:textId="77777777" w:rsidR="001A00DE" w:rsidRPr="007224C3" w:rsidRDefault="001A00DE" w:rsidP="007224C3">
      <w:pPr>
        <w:pStyle w:val="ae"/>
        <w:shd w:val="clear" w:color="auto" w:fill="FFFFFF"/>
        <w:spacing w:before="0" w:after="0"/>
        <w:jc w:val="both"/>
        <w:rPr>
          <w:color w:val="000000" w:themeColor="text1"/>
          <w:sz w:val="16"/>
          <w:szCs w:val="16"/>
        </w:rPr>
      </w:pPr>
      <w:r w:rsidRPr="007224C3">
        <w:rPr>
          <w:color w:val="000000" w:themeColor="text1"/>
          <w:sz w:val="16"/>
          <w:szCs w:val="16"/>
        </w:rPr>
        <w:t>При стрельбе под углом 45 градусов отход самохода достигал 750–1000 мм, а накат — 330 мм, носовая часть поднималась на 100–180 мм, а кормовая приседала на 120–140 мм. Стрельба на угле возвышения 57 градусов происходила с отходом на 400–750 мм, накатом — 300 мм, подъёмом носовой части — на 60–150 мм и оседание кормовой части — на 50–100 мм.</w:t>
      </w:r>
    </w:p>
    <w:p w14:paraId="5C209FE0" w14:textId="77777777" w:rsidR="001A00DE" w:rsidRPr="007224C3" w:rsidRDefault="001A00DE" w:rsidP="007224C3">
      <w:pPr>
        <w:pStyle w:val="ae"/>
        <w:shd w:val="clear" w:color="auto" w:fill="FFFFFF"/>
        <w:spacing w:before="0" w:after="0"/>
        <w:jc w:val="both"/>
        <w:rPr>
          <w:color w:val="000000" w:themeColor="text1"/>
          <w:sz w:val="16"/>
          <w:szCs w:val="16"/>
        </w:rPr>
      </w:pPr>
      <w:r w:rsidRPr="007224C3">
        <w:rPr>
          <w:color w:val="000000" w:themeColor="text1"/>
          <w:sz w:val="16"/>
          <w:szCs w:val="16"/>
        </w:rPr>
        <w:t>В результате устойчивость С-51 признали неудовлетворительной. Кроме того, отмечалась сильная сбиваемость прицела (18075).</w:t>
      </w:r>
    </w:p>
    <w:p w14:paraId="6AA23422" w14:textId="77777777" w:rsidR="001A00DE" w:rsidRPr="007224C3" w:rsidRDefault="001A00DE" w:rsidP="007224C3">
      <w:pPr>
        <w:shd w:val="clear" w:color="auto" w:fill="FFFFFF"/>
        <w:spacing w:after="0" w:line="240" w:lineRule="auto"/>
        <w:jc w:val="both"/>
        <w:rPr>
          <w:rFonts w:ascii="Times New Roman" w:hAnsi="Times New Roman"/>
          <w:noProof/>
          <w:color w:val="000000" w:themeColor="text1"/>
          <w:sz w:val="16"/>
          <w:szCs w:val="16"/>
          <w:lang w:eastAsia="ru-RU"/>
        </w:rPr>
      </w:pPr>
    </w:p>
    <w:p w14:paraId="6BB6DB6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1944 был выпущен опытный образец Су-100 с пушкой Д10-С и начались испытания (4406).</w:t>
      </w:r>
    </w:p>
    <w:p w14:paraId="610D1E6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54DAB1" w14:textId="77777777" w:rsidR="00C5076B" w:rsidRPr="007224C3" w:rsidRDefault="00C5076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1944 года начались работы по изготовлению опытного образца СУ-100. НКТП определял сроком изготовления двух опытных образцов 12 февраля, но на практике построили одну машину. К середине месяца подготовили техническую документацию на опытный образец. При разработке приоритетом являлась установка системы Д-10С, что же касается СУ-100 с системой С-34, то её планировалось получить не ранее 5 марта. В ходе проектирования боевая масса СУ-100, вооружённой системой Д-10С, рассчитывалась на уровне 31–31,5 т, в финальной редакции масса составила 31,6 т. Боекомплект по сравнению с СУ-85 снизился почти на треть — до 33 выстрелов. Общая конструкция орудийной установки оказалась схожей с СУ-85, при этом толщину подвижной бронировки системы увеличили до 150 мм. Также из боевого отделения убрали левый передний топливный бак, а подвеску передних опорных катков усилили.</w:t>
      </w:r>
    </w:p>
    <w:p w14:paraId="0556A0C1" w14:textId="77777777" w:rsidR="00C5076B" w:rsidRPr="007224C3" w:rsidRDefault="00C5076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Несговорчивость ЦАКБ и крайне специфичное отношение Грабина к вопросу «что первичнее: орудие или база для него» сыграли в пользу КБ завода №9. В инициативном порядке и в кратчайший срок возглавляемый Ф.Ф. Петровым коллектив конструкторов разработал собственную систему калибра 100 мм. Орудие, ведущим конструктором которого являлся М.Е. Безусов, получило обозначение Д-10. Длина ствола составляла те же 56 калибров (5610 мм), что и у С-34-100, одинаковой оказалась и начальная скорость снарядов (900 м/с). Правда, длина отката у Д-10Т оказалась больше, чем у конкурента, и составляла 510–560 мм. Конструктивно система являлась логичным развитием конструкции КБ завода №9, также при её создании достигалась максимальная унификация. Например, от Д-25 брались затвор, люлька, подъёмный и поворотный механизмы.</w:t>
      </w:r>
    </w:p>
    <w:p w14:paraId="6761C788" w14:textId="77777777" w:rsidR="00C5076B" w:rsidRPr="007224C3" w:rsidRDefault="00C5076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Параллельно с разработкой артсистем калибра 100 мм в конструкторском бюро Уральского завода тяжёлого машиностроения (УЗТМ) шли работы по созданию САУ под новые орудия. Разработку машины вела та же группа конструкторов, что и СУ-85, а также </w:t>
      </w:r>
      <w:hyperlink r:id="rId64" w:history="1">
        <w:r w:rsidRPr="007224C3">
          <w:rPr>
            <w:rStyle w:val="a5"/>
            <w:rFonts w:ascii="Times New Roman" w:hAnsi="Times New Roman"/>
            <w:color w:val="000000" w:themeColor="text1"/>
            <w:sz w:val="16"/>
            <w:szCs w:val="16"/>
            <w:u w:val="none"/>
          </w:rPr>
          <w:t>СУ-122</w:t>
        </w:r>
      </w:hyperlink>
      <w:r w:rsidRPr="007224C3">
        <w:rPr>
          <w:rFonts w:ascii="Times New Roman" w:hAnsi="Times New Roman"/>
          <w:color w:val="000000" w:themeColor="text1"/>
          <w:sz w:val="16"/>
          <w:szCs w:val="16"/>
        </w:rPr>
        <w:t>. Работы возглавлял Л.И. Горлицкий, ведущим инженером машины выступал Н.В. Курин.</w:t>
      </w:r>
    </w:p>
    <w:p w14:paraId="2D3087D2" w14:textId="77777777" w:rsidR="00C5076B" w:rsidRPr="007224C3" w:rsidRDefault="00C5076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 многом самоходная установка, получившая обозначение СУ-100, была результатом компромиссных решений. С одной стороны, было очевидно, что необходимо расширять боевое отделение. С другой стороны, над конструкторами дамокловым мечом висело ограничение по массе. Во многом именно проблемы с перегрузкой ходовой части стали главной причиной, почему та же СУ-122М и аналогичные машины так и не стали серийными. В результате боевое отделение по основным геометрическим параметрам оставалось равнозначным СУ-85. Одинаковым оказался и угол наклона верхнего лобового листа рубки — 52 градуса от вертикали.</w:t>
      </w:r>
    </w:p>
    <w:p w14:paraId="39D74DD8" w14:textId="77777777" w:rsidR="00C5076B" w:rsidRPr="007224C3" w:rsidRDefault="00C5076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Фактически СУ-100 была развитием опытного образца модернизированной СУ-85, созданной в конце 1943 года. По сравнению с серийной СУ-85 было внесено некоторое количество улучшений, главным из которых стало появление командирской башенки. Впрочем, простой заменой орудия при разработке СУ-100 не ограничились. Для начала толщина верхнего лобового листа и люка механика-водителя увеличилась до 75 мм. Это позволило заметно увеличить стойкость брони против наиболее распространённых противотанковых орудий (прежде всего 7,5 cm Pak 40). Двухстворчатый люк для панорамы в крыше корпуса сильно изменился, также в его левой створке появился перископический прибор MK-IV. Смотровые перископические приборы по периметру рубки убрали, зато на крышу вернулся вытяжной вентилятор. От наклона кормового листа рубки отказались, что позволило выиграть немного свободного места в боевом отделении (18252).</w:t>
      </w:r>
    </w:p>
    <w:p w14:paraId="13D2270C" w14:textId="77777777" w:rsidR="00C5076B" w:rsidRPr="007224C3" w:rsidRDefault="00C5076B" w:rsidP="007224C3">
      <w:pPr>
        <w:spacing w:after="0" w:line="240" w:lineRule="auto"/>
        <w:jc w:val="both"/>
        <w:rPr>
          <w:rFonts w:ascii="Times New Roman" w:hAnsi="Times New Roman"/>
          <w:color w:val="000000" w:themeColor="text1"/>
          <w:sz w:val="16"/>
          <w:szCs w:val="16"/>
        </w:rPr>
      </w:pPr>
    </w:p>
    <w:p w14:paraId="0030A718" w14:textId="77777777" w:rsidR="00673CAB" w:rsidRPr="007224C3" w:rsidRDefault="00673CAB" w:rsidP="007224C3">
      <w:pPr>
        <w:pStyle w:val="a3"/>
        <w:rPr>
          <w:color w:val="000000" w:themeColor="text1"/>
          <w:lang w:val="ru-RU"/>
        </w:rPr>
      </w:pPr>
      <w:r w:rsidRPr="007224C3">
        <w:rPr>
          <w:color w:val="000000" w:themeColor="text1"/>
          <w:lang w:val="ru-RU"/>
        </w:rPr>
        <w:t xml:space="preserve">В феврале 1944 УЗТМ уже изготовил САУ с пушкой Д-10С Петрова. Испытания новой самоходки прошли успешно. 100-мм орудие Д-10С, установленное на этой САУ, обладало самой высокой бронепробиваемостью среди всех орудий, устанавливаемых на серийные советские танки и САУ в ходе войны (пробивало 132-мм броню на дистанции 500 метров под углом 30 градусов). 3 июля 1944 года ГКО своим постановлением № 6131 принял СУ-100 на вооружение (РГАСПИ. Ф. 644. Оп. 1. Д. 270. Л. 32-36). Но начало её производства на УЗТМ задержалось до сентября 1944 года. Дело в том, что 100-мм пушка Б-34, на основе баллистики которой создавались все эти орудия, не имела бронебойного снаряда. Разработка и подготовка производства такого снаряда должны были завершиться только к </w:t>
      </w:r>
      <w:r w:rsidRPr="007224C3">
        <w:rPr>
          <w:color w:val="000000" w:themeColor="text1"/>
        </w:rPr>
        <w:t>IV</w:t>
      </w:r>
      <w:r w:rsidRPr="007224C3">
        <w:rPr>
          <w:color w:val="000000" w:themeColor="text1"/>
          <w:lang w:val="ru-RU"/>
        </w:rPr>
        <w:t xml:space="preserve"> кварталу 1944 года. За это время Грабину удалось заставить УЗТМ всё-таки выполнить вариант СУ-100, вооруженный его пушкой. Но на вооружение он так и не был принят (12290).</w:t>
      </w:r>
    </w:p>
    <w:p w14:paraId="6586EBE1" w14:textId="77777777" w:rsidR="00673CAB" w:rsidRPr="007224C3" w:rsidRDefault="00673CAB" w:rsidP="007224C3">
      <w:pPr>
        <w:pStyle w:val="a3"/>
        <w:rPr>
          <w:color w:val="000000" w:themeColor="text1"/>
          <w:lang w:val="ru-RU"/>
        </w:rPr>
      </w:pPr>
    </w:p>
    <w:p w14:paraId="0413FE5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1944 г. УЗТМ совместно с заводом № 50 НКТП изгото</w:t>
      </w:r>
      <w:r w:rsidRPr="007224C3">
        <w:rPr>
          <w:rFonts w:ascii="Times New Roman" w:hAnsi="Times New Roman"/>
          <w:color w:val="000000" w:themeColor="text1"/>
          <w:sz w:val="16"/>
          <w:szCs w:val="16"/>
        </w:rPr>
        <w:softHyphen/>
        <w:t>вил опытный образец самоходной установки СУ-100, вооруженный 100-мм пушкой Д-10С, который успешно прошел заводские испытания. Государственные испытания установки проходили на Гороховецком АНИОПе с 9 по 27 марта. Испытания САУ выдержала и была призна</w:t>
      </w:r>
      <w:r w:rsidRPr="007224C3">
        <w:rPr>
          <w:rFonts w:ascii="Times New Roman" w:hAnsi="Times New Roman"/>
          <w:color w:val="000000" w:themeColor="text1"/>
          <w:sz w:val="16"/>
          <w:szCs w:val="16"/>
        </w:rPr>
        <w:softHyphen/>
        <w:t>на годной для принятия на вооружение РККА после проведения неко</w:t>
      </w:r>
      <w:r w:rsidRPr="007224C3">
        <w:rPr>
          <w:rFonts w:ascii="Times New Roman" w:hAnsi="Times New Roman"/>
          <w:color w:val="000000" w:themeColor="text1"/>
          <w:sz w:val="16"/>
          <w:szCs w:val="16"/>
        </w:rPr>
        <w:softHyphen/>
        <w:t>торых улучшений ее конструкции. На основании результатов испыта</w:t>
      </w:r>
      <w:r w:rsidRPr="007224C3">
        <w:rPr>
          <w:rFonts w:ascii="Times New Roman" w:hAnsi="Times New Roman"/>
          <w:color w:val="000000" w:themeColor="text1"/>
          <w:sz w:val="16"/>
          <w:szCs w:val="16"/>
        </w:rPr>
        <w:softHyphen/>
        <w:t>ний 14 апреля 1944 г. заводу было дано распоряжение о немедленной подготовке серийного производства самоходной установки СУ-100 (10703).</w:t>
      </w:r>
    </w:p>
    <w:p w14:paraId="0E12260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949B82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1944 г. был выпущен на УЗТМ совместно с заводом № 50 НКТП первый опытный образец установки СУ-100 Объект-138. Машина прошла заводские и полигонные испытания на Гороховецком АНИОПе в марте 1944 г. По результатам испытаний в мае - июне 1944 г. был изготовлен второй опытный образец, который стал головным образцом серийного производства. Серийное производство было организовано на •УЗТМ с сентября 1944 г. по октябрь 1945 г. За время Великой Отечественной войны с сентября 1944 г. до 1 июня 1945 г. было выпущено 1560 самоходных установок, которые широко использовали в боях на заключительном этапе войны. Всего за время серийного производства выпустили 2495 самоходных установок СУ-100 (10703).</w:t>
      </w:r>
    </w:p>
    <w:p w14:paraId="4C299EC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BE365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1944 года первый опытный образец СУ-100 прошел заводские испытания, состоявшие из 30 выстрелов и 150 км пробега.</w:t>
      </w:r>
    </w:p>
    <w:p w14:paraId="6337FBA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История с ЦАКБ с 85 мм пушкой в случае 100 мм пушки повторилась с точностью. Получив чертежи орудия С-34, на "Уралмаше" убедились, что эта пушка для самохода не годится: она имела внушительные размеры по ширине, при наведении влево упиралась во вторую подвеску, не позволяла разместить люк водителя. Были необходимы большие изменения в серийном корпусе САУ, в том числе и в его геометрической схеме, что влекло за собой изменение стендов для сварки и сборки. Требовалось перейти на торсионную подвеску, сместить рабочее место механика-водителя и все агрегаты управления машиной на 100 мм влево, расширить верхнюю часть корпуса до габаритов гусениц, что вызвало бы увеличение массы САУ на 3,5 т по сравнению с СУ-85. При этом ЦАКБ снова заняло непримиримую </w:t>
      </w:r>
      <w:r w:rsidRPr="007224C3">
        <w:rPr>
          <w:rFonts w:ascii="Times New Roman" w:hAnsi="Times New Roman"/>
          <w:color w:val="000000" w:themeColor="text1"/>
          <w:sz w:val="16"/>
          <w:szCs w:val="16"/>
        </w:rPr>
        <w:lastRenderedPageBreak/>
        <w:t>ведомственную позицию: давая свою танковую пушку С-34 для установки на САУ, оно требовало использовать ее без изменений и настаивало на приспособлении САУ к пушке. "Уралмашзавод" вновь обратился к заводу № 9, и там создали 100-мм орудие Д-10С, которое было легче С-34 и устанавливалось в серийном корпусе без его существенных изменений и без излишнего увеличения массы машины (9637).</w:t>
      </w:r>
    </w:p>
    <w:p w14:paraId="75BE114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17AABCC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1944 г. Уралмашзавод с помощью завода № 50 изготовил первый опытный образец самохода с лобовой броней рубки, доведенной до 75 мм, и провел заводские ис</w:t>
      </w:r>
      <w:r w:rsidRPr="007224C3">
        <w:rPr>
          <w:rFonts w:ascii="Times New Roman" w:hAnsi="Times New Roman"/>
          <w:color w:val="000000" w:themeColor="text1"/>
          <w:sz w:val="16"/>
          <w:szCs w:val="16"/>
        </w:rPr>
        <w:softHyphen/>
        <w:t>пытания 150 км пробега и 30 выстрелами. 3 марта 1944 г. артсамоход был отправлен на Гороховецкий полигон, где в пе</w:t>
      </w:r>
      <w:r w:rsidRPr="007224C3">
        <w:rPr>
          <w:rFonts w:ascii="Times New Roman" w:hAnsi="Times New Roman"/>
          <w:color w:val="000000" w:themeColor="text1"/>
          <w:sz w:val="16"/>
          <w:szCs w:val="16"/>
        </w:rPr>
        <w:softHyphen/>
        <w:t>риод с 9 по 27 марта проходили Государственные испытания.</w:t>
      </w:r>
    </w:p>
    <w:p w14:paraId="0C19A17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Государственная комиссия под руководством полковни</w:t>
      </w:r>
      <w:r w:rsidRPr="007224C3">
        <w:rPr>
          <w:rFonts w:ascii="Times New Roman" w:hAnsi="Times New Roman"/>
          <w:color w:val="000000" w:themeColor="text1"/>
          <w:sz w:val="16"/>
          <w:szCs w:val="16"/>
        </w:rPr>
        <w:softHyphen/>
        <w:t>ка Рупышева провела указанные испытания в более жестком режиме, чем было изначально запланировано, причем ужес</w:t>
      </w:r>
      <w:r w:rsidRPr="007224C3">
        <w:rPr>
          <w:rFonts w:ascii="Times New Roman" w:hAnsi="Times New Roman"/>
          <w:color w:val="000000" w:themeColor="text1"/>
          <w:sz w:val="16"/>
          <w:szCs w:val="16"/>
        </w:rPr>
        <w:softHyphen/>
        <w:t>точение режима вызывалось требованиями ЦАКБ. Всего в ходе испытаний было пройдено 864 км пробега и выполнено 1040 выстрелов. И, несмотря на то, что за поведением само</w:t>
      </w:r>
      <w:r w:rsidRPr="007224C3">
        <w:rPr>
          <w:rFonts w:ascii="Times New Roman" w:hAnsi="Times New Roman"/>
          <w:color w:val="000000" w:themeColor="text1"/>
          <w:sz w:val="16"/>
          <w:szCs w:val="16"/>
        </w:rPr>
        <w:softHyphen/>
        <w:t>хода наблюдало большое число глаз, комиссия рекомендо</w:t>
      </w:r>
      <w:r w:rsidRPr="007224C3">
        <w:rPr>
          <w:rFonts w:ascii="Times New Roman" w:hAnsi="Times New Roman"/>
          <w:color w:val="000000" w:themeColor="text1"/>
          <w:sz w:val="16"/>
          <w:szCs w:val="16"/>
        </w:rPr>
        <w:softHyphen/>
        <w:t>вала указанный самоход на вооружение Красной Армии с учетом ликвидации отмеченных недостатков:</w:t>
      </w:r>
    </w:p>
    <w:p w14:paraId="4E545DB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Введением блокировки электроспуска для устранения самопроизвольных выстрелов при неподготовленном орудии или неожиданно для заряжающего (отмечались случаи травматизма заряжающих в ходе боев осени—зи</w:t>
      </w:r>
      <w:r w:rsidRPr="007224C3">
        <w:rPr>
          <w:rFonts w:ascii="Times New Roman" w:hAnsi="Times New Roman"/>
          <w:color w:val="000000" w:themeColor="text1"/>
          <w:sz w:val="16"/>
          <w:szCs w:val="16"/>
        </w:rPr>
        <w:softHyphen/>
        <w:t>мы 1943 г.)</w:t>
      </w:r>
    </w:p>
    <w:p w14:paraId="159D4A7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Улучшением рабочего места командира.</w:t>
      </w:r>
    </w:p>
    <w:p w14:paraId="4E3EAE8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Улучшением крепления орудия по-походному.</w:t>
      </w:r>
    </w:p>
    <w:p w14:paraId="55B9DE6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Улучшением вентиляции боевого отделения.</w:t>
      </w:r>
    </w:p>
    <w:p w14:paraId="56954D0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Улучшением крепления боеприпасов.</w:t>
      </w:r>
    </w:p>
    <w:p w14:paraId="38B940A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Изъятием смазки газойлем коленвала двигателя и заме</w:t>
      </w:r>
      <w:r w:rsidRPr="007224C3">
        <w:rPr>
          <w:rFonts w:ascii="Times New Roman" w:hAnsi="Times New Roman"/>
          <w:color w:val="000000" w:themeColor="text1"/>
          <w:sz w:val="16"/>
          <w:szCs w:val="16"/>
        </w:rPr>
        <w:softHyphen/>
        <w:t>ной ее смазкой авиамаслом.</w:t>
      </w:r>
    </w:p>
    <w:p w14:paraId="35F19C6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Улучшением защелок люков и крышек (11417).</w:t>
      </w:r>
    </w:p>
    <w:p w14:paraId="110A30E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4F02CFB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1944 г. по результатам испытаний ЗСУ-37 была рекомендована к принятию на вооружение РККА, однако завод № 38 не располагал необходимым оборудованием для ее серийного производст</w:t>
      </w:r>
      <w:r w:rsidRPr="007224C3">
        <w:rPr>
          <w:rFonts w:ascii="Times New Roman" w:hAnsi="Times New Roman"/>
          <w:color w:val="000000" w:themeColor="text1"/>
          <w:sz w:val="16"/>
          <w:szCs w:val="16"/>
        </w:rPr>
        <w:softHyphen/>
        <w:t>ва. Чертежи установки были переданы в КБ завода № 40, где они были доработаны коллективом конструкторов под руководством Л.Ф. Попова. Весной 1944 г. заводом № 40 был выпущен второй опытный образец, который отличался от своего прототипа силовой установкой, размера</w:t>
      </w:r>
      <w:r w:rsidRPr="007224C3">
        <w:rPr>
          <w:rFonts w:ascii="Times New Roman" w:hAnsi="Times New Roman"/>
          <w:color w:val="000000" w:themeColor="text1"/>
          <w:sz w:val="16"/>
          <w:szCs w:val="16"/>
        </w:rPr>
        <w:softHyphen/>
        <w:t>ми и массой, а также конструкцией вращающейся башни. В июле 1944 г. этот образец прошел полигонные испытания на НИБТ полигоне. По ре</w:t>
      </w:r>
      <w:r w:rsidRPr="007224C3">
        <w:rPr>
          <w:rFonts w:ascii="Times New Roman" w:hAnsi="Times New Roman"/>
          <w:color w:val="000000" w:themeColor="text1"/>
          <w:sz w:val="16"/>
          <w:szCs w:val="16"/>
        </w:rPr>
        <w:softHyphen/>
        <w:t>зультатам испытаний летом того же года был выпущен третий опытный образец самоходной установки, на котором была вновь использована силовая установка СУ-76М. В октябре - ноябре 1944 г. этот опытный образец успешно прошел полигонные испытания и был рекомендован к принятию на вооружение РККА. В 1945 - 1948 гг. ЗСУ производилась на заводе № 40 в г. Мытищи Московской области. В 1945 г. было изго</w:t>
      </w:r>
      <w:r w:rsidRPr="007224C3">
        <w:rPr>
          <w:rFonts w:ascii="Times New Roman" w:hAnsi="Times New Roman"/>
          <w:color w:val="000000" w:themeColor="text1"/>
          <w:sz w:val="16"/>
          <w:szCs w:val="16"/>
        </w:rPr>
        <w:softHyphen/>
        <w:t>товлено 12 самоходных установок ЗСУ-37 (10703).</w:t>
      </w:r>
    </w:p>
    <w:p w14:paraId="39E718A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A9F74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1944 г, изготовленный опытный образец зе</w:t>
      </w:r>
      <w:r w:rsidRPr="007224C3">
        <w:rPr>
          <w:rFonts w:ascii="Times New Roman" w:hAnsi="Times New Roman"/>
          <w:color w:val="000000" w:themeColor="text1"/>
          <w:sz w:val="16"/>
          <w:szCs w:val="16"/>
        </w:rPr>
        <w:softHyphen/>
        <w:t>нитной САУ СУ-17 прошел заводские испытания, которые выявили ряд незначительных дефектов. Машина была ре</w:t>
      </w:r>
      <w:r w:rsidRPr="007224C3">
        <w:rPr>
          <w:rFonts w:ascii="Times New Roman" w:hAnsi="Times New Roman"/>
          <w:color w:val="000000" w:themeColor="text1"/>
          <w:sz w:val="16"/>
          <w:szCs w:val="16"/>
        </w:rPr>
        <w:softHyphen/>
        <w:t>комендована для принятия на вооружение с учетом внесе</w:t>
      </w:r>
      <w:r w:rsidRPr="007224C3">
        <w:rPr>
          <w:rFonts w:ascii="Times New Roman" w:hAnsi="Times New Roman"/>
          <w:color w:val="000000" w:themeColor="text1"/>
          <w:sz w:val="16"/>
          <w:szCs w:val="16"/>
        </w:rPr>
        <w:softHyphen/>
        <w:t>ния в ее конструкцию необходимых доработок.</w:t>
      </w:r>
    </w:p>
    <w:p w14:paraId="2080C14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Однако мощности завода не позволяли обеспечить па</w:t>
      </w:r>
      <w:r w:rsidRPr="007224C3">
        <w:rPr>
          <w:rFonts w:ascii="Times New Roman" w:hAnsi="Times New Roman"/>
          <w:color w:val="000000" w:themeColor="text1"/>
          <w:sz w:val="16"/>
          <w:szCs w:val="16"/>
        </w:rPr>
        <w:softHyphen/>
        <w:t>раллельный с СУ-76 выпуск указанных САУ, а его техничес</w:t>
      </w:r>
      <w:r w:rsidRPr="007224C3">
        <w:rPr>
          <w:rFonts w:ascii="Times New Roman" w:hAnsi="Times New Roman"/>
          <w:color w:val="000000" w:themeColor="text1"/>
          <w:sz w:val="16"/>
          <w:szCs w:val="16"/>
        </w:rPr>
        <w:softHyphen/>
        <w:t>кое перевооружение в ближайший год не планировалось. К тому же М.Н. Щукин занял место главного конструктора восстанавливаемого Харьковского завода № 75 (бывший Харьковский завод № 183), куда он перебрался осенью.</w:t>
      </w:r>
    </w:p>
    <w:p w14:paraId="068484B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Поэтому вся конструкгорско-технологическая докумен</w:t>
      </w:r>
      <w:r w:rsidRPr="007224C3">
        <w:rPr>
          <w:rFonts w:ascii="Times New Roman" w:hAnsi="Times New Roman"/>
          <w:color w:val="000000" w:themeColor="text1"/>
          <w:sz w:val="16"/>
          <w:szCs w:val="16"/>
        </w:rPr>
        <w:softHyphen/>
        <w:t>тация по машине была передана на завод № 40 в Мытищи, который также выпускал СУ-76 и конструкторское бюро ко</w:t>
      </w:r>
      <w:r w:rsidRPr="007224C3">
        <w:rPr>
          <w:rFonts w:ascii="Times New Roman" w:hAnsi="Times New Roman"/>
          <w:color w:val="000000" w:themeColor="text1"/>
          <w:sz w:val="16"/>
          <w:szCs w:val="16"/>
        </w:rPr>
        <w:softHyphen/>
        <w:t>торого выступило с инициативой по проведению упроще</w:t>
      </w:r>
      <w:r w:rsidRPr="007224C3">
        <w:rPr>
          <w:rFonts w:ascii="Times New Roman" w:hAnsi="Times New Roman"/>
          <w:color w:val="000000" w:themeColor="text1"/>
          <w:sz w:val="16"/>
          <w:szCs w:val="16"/>
        </w:rPr>
        <w:softHyphen/>
        <w:t>ния конструкции самоходной зенитной пушки с целью уве</w:t>
      </w:r>
      <w:r w:rsidRPr="007224C3">
        <w:rPr>
          <w:rFonts w:ascii="Times New Roman" w:hAnsi="Times New Roman"/>
          <w:color w:val="000000" w:themeColor="text1"/>
          <w:sz w:val="16"/>
          <w:szCs w:val="16"/>
        </w:rPr>
        <w:softHyphen/>
        <w:t>личения удельного выпуска и снижения закупочной цены (11417).</w:t>
      </w:r>
    </w:p>
    <w:p w14:paraId="24E3F683"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874C280"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1944 г. ЦАКБ предложило свое баллис</w:t>
      </w:r>
      <w:r w:rsidRPr="007224C3">
        <w:rPr>
          <w:rFonts w:ascii="Times New Roman" w:hAnsi="Times New Roman"/>
          <w:color w:val="000000" w:themeColor="text1"/>
          <w:sz w:val="16"/>
          <w:szCs w:val="16"/>
        </w:rPr>
        <w:softHyphen/>
        <w:t>тическое решение 85-мм пушки большой мощности с ис</w:t>
      </w:r>
      <w:r w:rsidRPr="007224C3">
        <w:rPr>
          <w:rFonts w:ascii="Times New Roman" w:hAnsi="Times New Roman"/>
          <w:color w:val="000000" w:themeColor="text1"/>
          <w:sz w:val="16"/>
          <w:szCs w:val="16"/>
        </w:rPr>
        <w:softHyphen/>
        <w:t>пользованием гильзы от 100-мм выстрела орудия Б-34 или 122-мм выстрела орудия А-19. Но так как 122-мм гильза ис</w:t>
      </w:r>
      <w:r w:rsidRPr="007224C3">
        <w:rPr>
          <w:rFonts w:ascii="Times New Roman" w:hAnsi="Times New Roman"/>
          <w:color w:val="000000" w:themeColor="text1"/>
          <w:sz w:val="16"/>
          <w:szCs w:val="16"/>
        </w:rPr>
        <w:softHyphen/>
        <w:t>пользовалась от выстрела раздельного заряжания и име</w:t>
      </w:r>
      <w:r w:rsidRPr="007224C3">
        <w:rPr>
          <w:rFonts w:ascii="Times New Roman" w:hAnsi="Times New Roman"/>
          <w:color w:val="000000" w:themeColor="text1"/>
          <w:sz w:val="16"/>
          <w:szCs w:val="16"/>
        </w:rPr>
        <w:softHyphen/>
        <w:t>лись некоторые объективные трудности организации вы</w:t>
      </w:r>
      <w:r w:rsidRPr="007224C3">
        <w:rPr>
          <w:rFonts w:ascii="Times New Roman" w:hAnsi="Times New Roman"/>
          <w:color w:val="000000" w:themeColor="text1"/>
          <w:sz w:val="16"/>
          <w:szCs w:val="16"/>
        </w:rPr>
        <w:softHyphen/>
        <w:t>пуска унитаров с ней, то НКВ и НКБ разрешили использо</w:t>
      </w:r>
      <w:r w:rsidRPr="007224C3">
        <w:rPr>
          <w:rFonts w:ascii="Times New Roman" w:hAnsi="Times New Roman"/>
          <w:color w:val="000000" w:themeColor="text1"/>
          <w:sz w:val="16"/>
          <w:szCs w:val="16"/>
        </w:rPr>
        <w:softHyphen/>
        <w:t>вать только первый вариант с гильзой от Б-34, но несколь</w:t>
      </w:r>
      <w:r w:rsidRPr="007224C3">
        <w:rPr>
          <w:rFonts w:ascii="Times New Roman" w:hAnsi="Times New Roman"/>
          <w:color w:val="000000" w:themeColor="text1"/>
          <w:sz w:val="16"/>
          <w:szCs w:val="16"/>
        </w:rPr>
        <w:softHyphen/>
        <w:t>ко увеличенным «зарядным отношением» (11417).</w:t>
      </w:r>
    </w:p>
    <w:p w14:paraId="12568A3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862D2C5" w14:textId="77777777" w:rsidR="00112471" w:rsidRPr="007224C3" w:rsidRDefault="00112471" w:rsidP="007224C3">
      <w:pPr>
        <w:shd w:val="clear" w:color="auto" w:fill="FFFFFF"/>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С февраля 1944 года орудиеД-25 с клиновым затвором и новым дульным тормозом стали ставить на </w:t>
      </w:r>
      <w:hyperlink r:id="rId65" w:tgtFrame="_self" w:history="1">
        <w:r w:rsidRPr="007224C3">
          <w:rPr>
            <w:rStyle w:val="a5"/>
            <w:rFonts w:ascii="Times New Roman" w:hAnsi="Times New Roman"/>
            <w:color w:val="0070C0"/>
            <w:sz w:val="16"/>
            <w:szCs w:val="16"/>
          </w:rPr>
          <w:t>ИС-2</w:t>
        </w:r>
      </w:hyperlink>
      <w:r w:rsidRPr="007224C3">
        <w:rPr>
          <w:rFonts w:ascii="Times New Roman" w:hAnsi="Times New Roman"/>
          <w:color w:val="0070C0"/>
          <w:sz w:val="16"/>
          <w:szCs w:val="16"/>
        </w:rPr>
        <w:t>. Что же касается орудий с поршневым затвором, то их выпустили всего 106 штук, это можно легко посчитать по числу полученных с завода №172 казенных частей. Их на заводе №9 не выпускали. А вот орудие с клиновым затвором уже полностью производилось в Свердловске (19840).</w:t>
      </w:r>
    </w:p>
    <w:p w14:paraId="623CACC7" w14:textId="77777777" w:rsidR="00112471" w:rsidRPr="007224C3" w:rsidRDefault="00112471" w:rsidP="007224C3">
      <w:pPr>
        <w:spacing w:after="0" w:line="240" w:lineRule="auto"/>
        <w:jc w:val="both"/>
        <w:rPr>
          <w:rFonts w:ascii="Times New Roman" w:eastAsia="Times New Roman" w:hAnsi="Times New Roman"/>
          <w:color w:val="0070C0"/>
          <w:sz w:val="16"/>
          <w:szCs w:val="16"/>
          <w:shd w:val="clear" w:color="auto" w:fill="DCDCDC"/>
          <w:lang w:eastAsia="ru-RU"/>
        </w:rPr>
      </w:pPr>
    </w:p>
    <w:p w14:paraId="1D00E7B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1944 года были испытаны опытные образцы полевого транспортера береговой артиллерии (ПТБАРов) и дали положительные результаты (3861).</w:t>
      </w:r>
    </w:p>
    <w:p w14:paraId="46C58CB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B3A49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1944 проект артиллерийского тягача А-45 з-да № 75 был доработан и в марте 1944 началось изготовление первых 10 машин (7382, 47).</w:t>
      </w:r>
    </w:p>
    <w:p w14:paraId="3DBE0E7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3DF4B9" w14:textId="77777777" w:rsidR="00AD0763" w:rsidRPr="007224C3" w:rsidRDefault="00AD0763" w:rsidP="007224C3">
      <w:pPr>
        <w:pStyle w:val="book"/>
        <w:ind w:firstLine="0"/>
        <w:jc w:val="both"/>
        <w:rPr>
          <w:color w:val="000000" w:themeColor="text1"/>
          <w:sz w:val="16"/>
          <w:szCs w:val="16"/>
        </w:rPr>
      </w:pPr>
      <w:r w:rsidRPr="007224C3">
        <w:rPr>
          <w:color w:val="000000" w:themeColor="text1"/>
          <w:sz w:val="16"/>
          <w:szCs w:val="16"/>
        </w:rPr>
        <w:t>В феврале 1944 г. по распоряжению Берии был создан специальный отдел «С», в задачу которого входили сбор и обработка информации по атомной тематике. Начальником отдела был назначен разведчик П.А. Судоплатов (15225).</w:t>
      </w:r>
    </w:p>
    <w:p w14:paraId="46E242F6" w14:textId="77777777" w:rsidR="00AD0763" w:rsidRPr="007224C3" w:rsidRDefault="00AD0763" w:rsidP="007224C3">
      <w:pPr>
        <w:pStyle w:val="book"/>
        <w:ind w:firstLine="0"/>
        <w:jc w:val="both"/>
        <w:rPr>
          <w:color w:val="000000" w:themeColor="text1"/>
          <w:sz w:val="16"/>
          <w:szCs w:val="16"/>
        </w:rPr>
      </w:pPr>
    </w:p>
    <w:p w14:paraId="712FA477" w14:textId="77777777" w:rsidR="00FC3A63" w:rsidRPr="007224C3" w:rsidRDefault="00FC3A6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1944 года Управление кораблестроения Военно-Морских Сил (УК ВМС) выдает тактико-техническое задание (ТТЗ) на проектирование экспериментального катера на подводных крыльях (19678).</w:t>
      </w:r>
    </w:p>
    <w:p w14:paraId="4BC565E9" w14:textId="77777777" w:rsidR="00FC3A63" w:rsidRPr="007224C3" w:rsidRDefault="00FC3A63" w:rsidP="007224C3">
      <w:pPr>
        <w:spacing w:after="0" w:line="240" w:lineRule="auto"/>
        <w:jc w:val="both"/>
        <w:rPr>
          <w:rFonts w:ascii="Times New Roman" w:hAnsi="Times New Roman"/>
          <w:color w:val="000000" w:themeColor="text1"/>
          <w:sz w:val="16"/>
          <w:szCs w:val="16"/>
        </w:rPr>
      </w:pPr>
    </w:p>
    <w:p w14:paraId="6EE37F12"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288ED72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AE14964"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1944 состоялось 6 массированных налетов на Хельсинки, Оулу, Котку и Турку. Это была первая из двух стратегических операций АДД за время ВОВ. Эту операцию трудно признать успешной, во всяком случае перемирие с Финляндией было подписано только через полгода (3772).</w:t>
      </w:r>
    </w:p>
    <w:p w14:paraId="7FC940B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C49FF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1944 АДД провела серию мощных налетов на Хельсинки. Они были интересны четкой .организацией действий атакующих сил. Каждый кор</w:t>
      </w:r>
      <w:r w:rsidRPr="007224C3">
        <w:rPr>
          <w:rFonts w:ascii="Times New Roman" w:hAnsi="Times New Roman"/>
          <w:color w:val="000000" w:themeColor="text1"/>
          <w:sz w:val="16"/>
          <w:szCs w:val="16"/>
        </w:rPr>
        <w:softHyphen/>
        <w:t>пус выделял разведчиков погоды, само</w:t>
      </w:r>
      <w:r w:rsidRPr="007224C3">
        <w:rPr>
          <w:rFonts w:ascii="Times New Roman" w:hAnsi="Times New Roman"/>
          <w:color w:val="000000" w:themeColor="text1"/>
          <w:sz w:val="16"/>
          <w:szCs w:val="16"/>
        </w:rPr>
        <w:softHyphen/>
        <w:t>леты наведения, освещения цели, по</w:t>
      </w:r>
      <w:r w:rsidRPr="007224C3">
        <w:rPr>
          <w:rFonts w:ascii="Times New Roman" w:hAnsi="Times New Roman"/>
          <w:color w:val="000000" w:themeColor="text1"/>
          <w:sz w:val="16"/>
          <w:szCs w:val="16"/>
        </w:rPr>
        <w:softHyphen/>
        <w:t>давления зенитной артиллерии, контро</w:t>
      </w:r>
      <w:r w:rsidRPr="007224C3">
        <w:rPr>
          <w:rFonts w:ascii="Times New Roman" w:hAnsi="Times New Roman"/>
          <w:color w:val="000000" w:themeColor="text1"/>
          <w:sz w:val="16"/>
          <w:szCs w:val="16"/>
        </w:rPr>
        <w:softHyphen/>
        <w:t>ля результатов удара и атакующую группу. Поскольку основной целью яв</w:t>
      </w:r>
      <w:r w:rsidRPr="007224C3">
        <w:rPr>
          <w:rFonts w:ascii="Times New Roman" w:hAnsi="Times New Roman"/>
          <w:color w:val="000000" w:themeColor="text1"/>
          <w:sz w:val="16"/>
          <w:szCs w:val="16"/>
        </w:rPr>
        <w:softHyphen/>
        <w:t>лялось оказание давления на финское правительство, готовившееся выйти из рядов союзников Германии, а не разру</w:t>
      </w:r>
      <w:r w:rsidRPr="007224C3">
        <w:rPr>
          <w:rFonts w:ascii="Times New Roman" w:hAnsi="Times New Roman"/>
          <w:color w:val="000000" w:themeColor="text1"/>
          <w:sz w:val="16"/>
          <w:szCs w:val="16"/>
        </w:rPr>
        <w:softHyphen/>
        <w:t>шение города, налет растянули во вре</w:t>
      </w:r>
      <w:r w:rsidRPr="007224C3">
        <w:rPr>
          <w:rFonts w:ascii="Times New Roman" w:hAnsi="Times New Roman"/>
          <w:color w:val="000000" w:themeColor="text1"/>
          <w:sz w:val="16"/>
          <w:szCs w:val="16"/>
        </w:rPr>
        <w:softHyphen/>
        <w:t>мени. Самолеты шли друг за другом с интервалом 10-15 секунд почти 12 ча</w:t>
      </w:r>
      <w:r w:rsidRPr="007224C3">
        <w:rPr>
          <w:rFonts w:ascii="Times New Roman" w:hAnsi="Times New Roman"/>
          <w:color w:val="000000" w:themeColor="text1"/>
          <w:sz w:val="16"/>
          <w:szCs w:val="16"/>
        </w:rPr>
        <w:softHyphen/>
        <w:t>сов подряд. Налеты масштабами по</w:t>
      </w:r>
      <w:r w:rsidRPr="007224C3">
        <w:rPr>
          <w:rFonts w:ascii="Times New Roman" w:hAnsi="Times New Roman"/>
          <w:color w:val="000000" w:themeColor="text1"/>
          <w:sz w:val="16"/>
          <w:szCs w:val="16"/>
        </w:rPr>
        <w:softHyphen/>
        <w:t>меньше организовали и на другие горо</w:t>
      </w:r>
      <w:r w:rsidRPr="007224C3">
        <w:rPr>
          <w:rFonts w:ascii="Times New Roman" w:hAnsi="Times New Roman"/>
          <w:color w:val="000000" w:themeColor="text1"/>
          <w:sz w:val="16"/>
          <w:szCs w:val="16"/>
        </w:rPr>
        <w:softHyphen/>
        <w:t>да Финляндии. В марте последовал массированный налет на Таллин. АЛЛ поддерживала операции по освобождению Крыма (в частности, парализовала работу портов Констанца и Галац, через которые осу</w:t>
      </w:r>
      <w:r w:rsidRPr="007224C3">
        <w:rPr>
          <w:rFonts w:ascii="Times New Roman" w:hAnsi="Times New Roman"/>
          <w:color w:val="000000" w:themeColor="text1"/>
          <w:sz w:val="16"/>
          <w:szCs w:val="16"/>
        </w:rPr>
        <w:softHyphen/>
        <w:t>ществлялась связь с блокированным полуостровом). Бомбили и позиции немцев непосредственно под Севасто</w:t>
      </w:r>
      <w:r w:rsidRPr="007224C3">
        <w:rPr>
          <w:rFonts w:ascii="Times New Roman" w:hAnsi="Times New Roman"/>
          <w:color w:val="000000" w:themeColor="text1"/>
          <w:sz w:val="16"/>
          <w:szCs w:val="16"/>
        </w:rPr>
        <w:softHyphen/>
        <w:t>полем (10734,81).</w:t>
      </w:r>
    </w:p>
    <w:p w14:paraId="2038DD4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8EE3B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 феврале 1944 года в ходе боевого вылета Пе-8 №42611 на Хельсинки после выполнения боевого задания экипаж, выполняя противозенитный маневр, услышал какой-то звонкий удар где-то позади кабины пилотов. Машина благополучно долетела до своего аэродрома и совершила нормальную посадку В ОКБ было сообщено, что после посадки самолет был тщательно осмотрен техсоставом, но никаких дефектов обнаружено не было. Спустя некоторое время такой же удар и приблизительно в том же районе, за кабиной пилотов, зафиксировал экипаж, перегонявший один из Пе-8 на заводской аэродром в Казань. Повторное проявление непонятного дефекта всерьез встревожило ОКБ, начали появляться предположения, что произошло разрушение какого-либо силового элемента центроплана. При тщательном осмотре центроплана на этой машине удалось обнаружить след незначительного сдвига нижнего пояса заднего лонжерона по отношению к обойме центрального узла крепления подкосов лонжерона. Как раз этот узел находился позади передней кабины экипажа. Анализ следа сдвига показал, что труба пояса лонжерона вышла из под обоймы узла на 1-2 мм. Причиной подобного мог быть только разрыв самой трубы, что подтвердилось после снятия обоймы узла, когда перед Не-звалем и его коллегами предстала во всей красе труба лонжерона, разорванная по крайнему ряду заклепок. Разрыв был очень ровным и чистым и, казалось как будто специально обрезанным. Как выяснилось вскоре, все было серьезней и глубже. Еще на этапе проектирования для поясов лонжеронов центроплана, по рекомендации ВИАМ, была выбрана на то время новая высокопрочная сталь 30ХГСА "Хромансиль", по своим характеристикам допускавшая работу при высоких удельных напряжениях и дававшая значительное облегчение конструкции. В то время толком об усталостных напряжениях и их влиянии на долговечность мало что было известно, и никаких рекомендаций со стороны ЦАГИ и ВИАМ у самолетчиков по этим особенностям работы материалов и конструкций не было. На момент проявления дефекта в ОКБ были далеки от понимания существа проблемы. Еще раз тщательно проверили прочностные расчеты, убедились, что действующие напряжения не только не превышают допустимых значений, но и имеют достаточный запас прочности. Дальше копаться не стали, решив, что в этом месте трубы лонжеронов, видимо, имеют какое-то местное ослабление, и приняли решение о местном усилении конструкции. После этого разобрали этот же узел на Пе-8 №42611, на котором впервые проявился дефект - труба лонжерона была также срезана. Разработка конкретных конструктивных мероприятий по усилению трубчатого лонжерона оказалась </w:t>
      </w:r>
      <w:r w:rsidRPr="007224C3">
        <w:rPr>
          <w:rFonts w:ascii="Times New Roman" w:hAnsi="Times New Roman"/>
          <w:color w:val="000000" w:themeColor="text1"/>
          <w:sz w:val="16"/>
          <w:szCs w:val="16"/>
        </w:rPr>
        <w:lastRenderedPageBreak/>
        <w:t>достаточно сложной конструкторской и технологической задачей, ведь предстояло проводить усиление на самолетах, которые находились в строю. На части парка Пе-8 провели доработки, ограничив для остальных машин максимальную бомбовую нагрузку на уровне 3200 кг. Случаи разрыва труб лонжеронов прекратились, и о проблеме и в ОКБ, и в эксплуатации вскоре забыли. Одновременно в ЦАГИ и ВИАМ провели дополнительные исследования "Хромансиля", ведь помимо Пе-8 подобное разрушение лонжеронов зафиксировали на истребителе Ла-7, а это уже было более чем серьезно. Количество Пе-8 исчислялось десятками, а истребители с маркой "Ла" строили тысячами. Детальные исследования разрушенных деталей из 30ХГСА, проведенные доктором технических наук Н.И.Мариным, показали, что эта высо-копрочная сталь, работая при высоких напряжениях, склонна к усталостным разрушениям и обладает очень низким ресурсом в случае воздействия нагрузок подобного характера. Ничего не оставалось делать, как снижать расчетные напряжения в сечении лонжеронов. Переходить на другой сортамент труб было не реально, поэтому внутрь труб пропустили дополнительные стальные элементы с довольно сложной системой крепления их к узлам лонжеронов. Завод изготовил требуемые элементы усиления и специальный инструмент, а заводская бригада совместно с техсоставом 25-го полка провела необходимые доработки строевых Пе-8 (7685).</w:t>
      </w:r>
    </w:p>
    <w:p w14:paraId="44C37A7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3CFE0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февралю 1944 года во 2-м гвардейском полку полковника И.Ф.Балашова, где В-25 вооружили 1-ю эскадрилью, которой командовал дважды Герой Советского Союза А. И. Молодчий, насчитывалось уже 20 В-25, в основном новейшей модификации J. Американские заводы освоили очередную модификацию В-25J с усиленным вооружением в 1943 году. При установке спереди па бортах фюзеляжа дополнительных пулеметных контейнеров оно доходило до 11 стволов калибра 12,7 мм. На одного человека увеличился экипаж. У нас, правда, летали с экипажем из пяти человек - функции штурмана и бомбардира по-прежнему совмещались. Хотя на модели стояли более мощные моторы R-2600-29, увеличение веса (в том числе из-за большей бомбовой нагрузки) снизило все летные характеристики самолета (3457,92).</w:t>
      </w:r>
    </w:p>
    <w:p w14:paraId="30EAC04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DFBDF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1944 г. все тяжелые танковые полки прорыва перевели на новые штаты, и они стали име</w:t>
      </w:r>
      <w:r w:rsidRPr="007224C3">
        <w:rPr>
          <w:rFonts w:ascii="Times New Roman" w:hAnsi="Times New Roman"/>
          <w:color w:val="000000" w:themeColor="text1"/>
          <w:sz w:val="16"/>
          <w:szCs w:val="16"/>
        </w:rPr>
        <w:softHyphen/>
        <w:t>новаться тяжелыми танковыми полками. В них 375 чело</w:t>
      </w:r>
      <w:r w:rsidRPr="007224C3">
        <w:rPr>
          <w:rFonts w:ascii="Times New Roman" w:hAnsi="Times New Roman"/>
          <w:color w:val="000000" w:themeColor="text1"/>
          <w:sz w:val="16"/>
          <w:szCs w:val="16"/>
        </w:rPr>
        <w:softHyphen/>
        <w:t>век, четыре танкодые роты ИС-2 (21 танк), рота автоматчи</w:t>
      </w:r>
      <w:r w:rsidRPr="007224C3">
        <w:rPr>
          <w:rFonts w:ascii="Times New Roman" w:hAnsi="Times New Roman"/>
          <w:color w:val="000000" w:themeColor="text1"/>
          <w:sz w:val="16"/>
          <w:szCs w:val="16"/>
        </w:rPr>
        <w:softHyphen/>
        <w:t>ков, саперный и хозяйственный взводы, полковой меди</w:t>
      </w:r>
      <w:r w:rsidRPr="007224C3">
        <w:rPr>
          <w:rFonts w:ascii="Times New Roman" w:hAnsi="Times New Roman"/>
          <w:color w:val="000000" w:themeColor="text1"/>
          <w:sz w:val="16"/>
          <w:szCs w:val="16"/>
        </w:rPr>
        <w:softHyphen/>
        <w:t>цинский пункт. Уже'при формировании полков им присва</w:t>
      </w:r>
      <w:r w:rsidRPr="007224C3">
        <w:rPr>
          <w:rFonts w:ascii="Times New Roman" w:hAnsi="Times New Roman"/>
          <w:color w:val="000000" w:themeColor="text1"/>
          <w:sz w:val="16"/>
          <w:szCs w:val="16"/>
        </w:rPr>
        <w:softHyphen/>
        <w:t>ивалось наименование «гвардейский». Отдельные танковые полки также были переформиро</w:t>
      </w:r>
      <w:r w:rsidRPr="007224C3">
        <w:rPr>
          <w:rFonts w:ascii="Times New Roman" w:hAnsi="Times New Roman"/>
          <w:color w:val="000000" w:themeColor="text1"/>
          <w:sz w:val="16"/>
          <w:szCs w:val="16"/>
        </w:rPr>
        <w:softHyphen/>
        <w:t>ваны Суть этой реорганизации, проведенной в начале 1944 г., состояла в исключении из них легких танков, усиле</w:t>
      </w:r>
      <w:r w:rsidRPr="007224C3">
        <w:rPr>
          <w:rFonts w:ascii="Times New Roman" w:hAnsi="Times New Roman"/>
          <w:color w:val="000000" w:themeColor="text1"/>
          <w:sz w:val="16"/>
          <w:szCs w:val="16"/>
        </w:rPr>
        <w:softHyphen/>
        <w:t>ния подразделений обеспечения и обслуживания. В целом в полку должно было быть 386 человек и 35 танков (11135).</w:t>
      </w:r>
    </w:p>
    <w:p w14:paraId="7A8843F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8A519C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1944 года имевшиеся в составе Красной Армии танковые полки прорыва, укомплектованные танками KB, были переведены на новые штаты. Одновременно началось формирование новых частей, оснащенных машинами ИС, которые стали именоваться тяжелыми танковыми полками. При этом им еще при формировании присваивалось наименование "гвардейский", как бы авансом..</w:t>
      </w:r>
    </w:p>
    <w:p w14:paraId="50DAAB4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штату в новых полках насчитывалось 375 человек личного состава, четыре танковые роты ИС (по 5 машин в каждой роте плюс 1 командирский танк), рота автоматчиков, рота технического обеспечения, зенитная батарея, саперный, хозяйственный взводы и полковой медицинский пункт. Формирование велось в Тесницком танковом лагере под Тулой..</w:t>
      </w:r>
    </w:p>
    <w:p w14:paraId="6FE8ACC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Особенностью экипажа тяжелого танка ИС было наличие в нем двух офицеров - командира танка и старшего механика-водителя и двух сержантов - наводчика орудия и заряжающего (он же младший механик-водитель). Подобный состав экипажей говорит о важности задачи, которая возлагалась на новые машины и вооруженные ими гвардейские полки..</w:t>
      </w:r>
    </w:p>
    <w:p w14:paraId="4C39827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сожалению, только небольшая часть экипажей ранее воевала на тяжелых танках KB и Черчилль и имела боевой опыт. В основном же личный состав прибывал из училищ, иногда после дополнительной подготовки на ЧКЗ. При отправке на фронт к полкам прикомандировывались представители ГБТУ для наблюдения за использованием новых танков. (3862).</w:t>
      </w:r>
    </w:p>
    <w:p w14:paraId="5550162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6DE19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1944 г. танковый полк был переведен на новый штат, по которому в нем имелось три танковые роты, уком</w:t>
      </w:r>
      <w:r w:rsidRPr="007224C3">
        <w:rPr>
          <w:rFonts w:ascii="Times New Roman" w:hAnsi="Times New Roman"/>
          <w:color w:val="000000" w:themeColor="text1"/>
          <w:sz w:val="16"/>
          <w:szCs w:val="16"/>
        </w:rPr>
        <w:softHyphen/>
        <w:t>плектованные только средними танками. В результате в полку стало 35 танков Т-34, а легкие танки из штата были выведены. С этого момента и до конца войны в бригаде не происходило никаких изменений (11135).</w:t>
      </w:r>
    </w:p>
    <w:p w14:paraId="1E73D2B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C66A7BE" w14:textId="77777777" w:rsidR="00673CAB" w:rsidRPr="007224C3" w:rsidRDefault="00673CA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1944 года появились штаты № 010/463 и 010/464 отдельных линейных танковых полков по 21 машине в каждом - первый комплектовался Т-34-76, а второй Т-34-85 (отличались только численностью личного состава). Однако лимит штатной численности бронетанковых войск не позволял производить массовых формирований по этим штатам. По штату № 010/463, с соответствующим изменением, формировались и огнеметные танковые полки. Для механизированных бригад в феврале 1944 года устанавливается штат № 010/465 — 35 Т-34 или Т-34-85. Такая организация танковых полков сохранилась до конца войны.</w:t>
      </w:r>
    </w:p>
    <w:p w14:paraId="693DFCE3" w14:textId="77777777" w:rsidR="00673CAB" w:rsidRPr="007224C3" w:rsidRDefault="00673CA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Количество танковых полков в ходе войны постепенно уменьшалось: если к 1 января 1943 года их имелось 34, то к 1 января 1944 года 135 (84 отдельных, остальные в мех- бригадах), к 1 января 1945 года 112 (70 отдельных), а к 1 мая 1945 года 103 (61 отдельный) (12217).</w:t>
      </w:r>
    </w:p>
    <w:p w14:paraId="0A1B7AA4" w14:textId="77777777" w:rsidR="00673CAB" w:rsidRPr="007224C3" w:rsidRDefault="00673CAB" w:rsidP="007224C3">
      <w:pPr>
        <w:spacing w:after="0" w:line="240" w:lineRule="auto"/>
        <w:jc w:val="both"/>
        <w:rPr>
          <w:rFonts w:ascii="Times New Roman" w:hAnsi="Times New Roman"/>
          <w:color w:val="000000" w:themeColor="text1"/>
          <w:sz w:val="16"/>
          <w:szCs w:val="16"/>
        </w:rPr>
      </w:pPr>
    </w:p>
    <w:p w14:paraId="5B3CA7D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1944 года сформировали первые части, оснащенные ИСУ. Они были организованы по тому же принципу, что и части тяжелых танков и назывались подобным образом: отдельный тяжелый самоходно-артиллерийский полк (ОТСАП). ОТСАП состоял из четырех батарей (всего 21 самоходка)..</w:t>
      </w:r>
    </w:p>
    <w:p w14:paraId="40FEC64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основном, полки были однородны по составу и ИСУ-152 и ИСУ-122 старались не смешивать в составе одной части, хотя, справедливости ради следует отметить, что тактического различия в то время между двумя типами САУ не делали - оба типа машин решали один и тот же круг задач..</w:t>
      </w:r>
    </w:p>
    <w:p w14:paraId="09098B55"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Главной целью ИСУ было поддерживать наступательные операции, поэтому ОТСАП находились в резерве армий и фронтов. Ожидалось, что полкам самоходной артиллерии придется вести огонь с дальних дистанций по укрепленным точкам и противотанковым позициям противника и поддерживать огнем наступательные действия пехоты и танков. Самоходные установки не были предназначены для ближнего боя, поскольку ограниченный горизонтальный сектор обстрела делал их уязвимыми к фланговым атакам. Большое время перезарядки (из-за раздельного заряжания) также не располагал к бою на коротких дистанциях. В качестве дальнобойных истребителей танков особой популярностью пользовались ИСУ-122. Часто эти самоходные орудия устраивали засады на колонны немецких тяжелых танков. ИСУ-152 меньше подходила для противотанковой борьбы и до конца войны не имели бронебойных снарядов. Вместо них использовались полубронебойные или бетонобойные, а иногда и фугасные снаряды. Именно поэтому МЛ-20С обладала посредственной бронепробиваемостью по сравнению со 122-мм. Начальная скорость ее снаряда также была ниже, чем у А-19 (Д-25). На дистанции 1000 метров МЛ-20С пробивала броню толщиной 120 мм, в то время как А-19 - 150 мм. Кроме того, система управления огнем ИСУ-152 не была приспособлена для ведения прицельного огня на дистанции более 1000 метров..</w:t>
      </w:r>
    </w:p>
    <w:p w14:paraId="4E32E0D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результате, ИСУ-152 предпочитали использовать там, где были нужны их мощные осколочно-фугасные снаряды. Особенно хорошо себя зарекомендовали ИСУ-152 в уличных боях, где их гаубичный огонь выбивал из траншей окопавшегося противника. (3862).</w:t>
      </w:r>
    </w:p>
    <w:p w14:paraId="10E7A0D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116B8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1944 г. пл С-16 ("Герой Советского Союза Нурсеитов") и С-19 были сдан</w:t>
      </w:r>
      <w:r w:rsidRPr="007224C3">
        <w:rPr>
          <w:rFonts w:ascii="Times New Roman" w:hAnsi="Times New Roman"/>
          <w:color w:val="000000" w:themeColor="text1"/>
          <w:sz w:val="16"/>
          <w:szCs w:val="16"/>
        </w:rPr>
        <w:softHyphen/>
        <w:t>ны астраханским заводом на Каспии (3898).</w:t>
      </w:r>
    </w:p>
    <w:p w14:paraId="3457390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341F6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1944 г. был введен новый Боевой устав бронетанковых и механизированных войск Красной Армии, отменивший действие Уста</w:t>
      </w:r>
      <w:r w:rsidRPr="007224C3">
        <w:rPr>
          <w:rFonts w:ascii="Times New Roman" w:hAnsi="Times New Roman"/>
          <w:color w:val="000000" w:themeColor="text1"/>
          <w:sz w:val="16"/>
          <w:szCs w:val="16"/>
        </w:rPr>
        <w:softHyphen/>
        <w:t>ва бронетанковых войск РККА 1938 г. Согласно положениям данного устава для облегчения распознавания боевых машин применялись двух- или трехзначные числа, которые устанавливались командиром соединения (части) для каждой машины. Они наносились спереди, сбо</w:t>
      </w:r>
      <w:r w:rsidRPr="007224C3">
        <w:rPr>
          <w:rFonts w:ascii="Times New Roman" w:hAnsi="Times New Roman"/>
          <w:color w:val="000000" w:themeColor="text1"/>
          <w:sz w:val="16"/>
          <w:szCs w:val="16"/>
        </w:rPr>
        <w:softHyphen/>
        <w:t>ку и сзади на башне. Кроме того, по бортам башни с правой стороны -левее цифр, с левой стороны — правее цифр, наносилась пятиконечная звезда. Летом цифры наносились белой краской, зимой - красной. Раз</w:t>
      </w:r>
      <w:r w:rsidRPr="007224C3">
        <w:rPr>
          <w:rFonts w:ascii="Times New Roman" w:hAnsi="Times New Roman"/>
          <w:color w:val="000000" w:themeColor="text1"/>
          <w:sz w:val="16"/>
          <w:szCs w:val="16"/>
        </w:rPr>
        <w:softHyphen/>
        <w:t>мер цифр: высота от 30 до 50 см, ширина их составляла 2/3 высоты, ши</w:t>
      </w:r>
      <w:r w:rsidRPr="007224C3">
        <w:rPr>
          <w:rFonts w:ascii="Times New Roman" w:hAnsi="Times New Roman"/>
          <w:color w:val="000000" w:themeColor="text1"/>
          <w:sz w:val="16"/>
          <w:szCs w:val="16"/>
        </w:rPr>
        <w:softHyphen/>
        <w:t>рина линии цифры - 1/6 высоты. Как правило, первой цифрой обозна</w:t>
      </w:r>
      <w:r w:rsidRPr="007224C3">
        <w:rPr>
          <w:rFonts w:ascii="Times New Roman" w:hAnsi="Times New Roman"/>
          <w:color w:val="000000" w:themeColor="text1"/>
          <w:sz w:val="16"/>
          <w:szCs w:val="16"/>
        </w:rPr>
        <w:softHyphen/>
        <w:t>чался номер батальона, второй — роты, третьей — взвода или номер бое</w:t>
      </w:r>
      <w:r w:rsidRPr="007224C3">
        <w:rPr>
          <w:rFonts w:ascii="Times New Roman" w:hAnsi="Times New Roman"/>
          <w:color w:val="000000" w:themeColor="text1"/>
          <w:sz w:val="16"/>
          <w:szCs w:val="16"/>
        </w:rPr>
        <w:softHyphen/>
        <w:t>вой машины в роте. Звезда наносилась красной краской, ее размер со</w:t>
      </w:r>
      <w:r w:rsidRPr="007224C3">
        <w:rPr>
          <w:rFonts w:ascii="Times New Roman" w:hAnsi="Times New Roman"/>
          <w:color w:val="000000" w:themeColor="text1"/>
          <w:sz w:val="16"/>
          <w:szCs w:val="16"/>
        </w:rPr>
        <w:softHyphen/>
        <w:t>ставлял от 10 до 15 см. Помимо тактических и опознавательных знаков на легких самоход</w:t>
      </w:r>
      <w:r w:rsidRPr="007224C3">
        <w:rPr>
          <w:rFonts w:ascii="Times New Roman" w:hAnsi="Times New Roman"/>
          <w:color w:val="000000" w:themeColor="text1"/>
          <w:sz w:val="16"/>
          <w:szCs w:val="16"/>
        </w:rPr>
        <w:softHyphen/>
        <w:t>ных установках СУ-76 (СУ-76М) и легких танках Т-70 (Т-70М), нано</w:t>
      </w:r>
      <w:r w:rsidRPr="007224C3">
        <w:rPr>
          <w:rFonts w:ascii="Times New Roman" w:hAnsi="Times New Roman"/>
          <w:color w:val="000000" w:themeColor="text1"/>
          <w:sz w:val="16"/>
          <w:szCs w:val="16"/>
        </w:rPr>
        <w:softHyphen/>
        <w:t>сились заводские номера машин, которые в войсках, как правило не за</w:t>
      </w:r>
      <w:r w:rsidRPr="007224C3">
        <w:rPr>
          <w:rFonts w:ascii="Times New Roman" w:hAnsi="Times New Roman"/>
          <w:color w:val="000000" w:themeColor="text1"/>
          <w:sz w:val="16"/>
          <w:szCs w:val="16"/>
        </w:rPr>
        <w:softHyphen/>
        <w:t>крашивали. На завершающем этапе Великой Отечественной войны к тактичес</w:t>
      </w:r>
      <w:r w:rsidRPr="007224C3">
        <w:rPr>
          <w:rFonts w:ascii="Times New Roman" w:hAnsi="Times New Roman"/>
          <w:color w:val="000000" w:themeColor="text1"/>
          <w:sz w:val="16"/>
          <w:szCs w:val="16"/>
        </w:rPr>
        <w:softHyphen/>
        <w:t>ким знакам, обозначавшим часть (соединение), добавлялись силуэты зверей и птиц с сочетанием геометрических фигур или полос. Для опознавания авиацией своих бронетанковых частей и соедине</w:t>
      </w:r>
      <w:r w:rsidRPr="007224C3">
        <w:rPr>
          <w:rFonts w:ascii="Times New Roman" w:hAnsi="Times New Roman"/>
          <w:color w:val="000000" w:themeColor="text1"/>
          <w:sz w:val="16"/>
          <w:szCs w:val="16"/>
        </w:rPr>
        <w:softHyphen/>
        <w:t>ний в РККА в период 1941 - 1942 гг. на танках наносились белые поло</w:t>
      </w:r>
      <w:r w:rsidRPr="007224C3">
        <w:rPr>
          <w:rFonts w:ascii="Times New Roman" w:hAnsi="Times New Roman"/>
          <w:color w:val="000000" w:themeColor="text1"/>
          <w:sz w:val="16"/>
          <w:szCs w:val="16"/>
        </w:rPr>
        <w:softHyphen/>
        <w:t>сы. Широкая белая поперечная полоса наносилась на крыше башни с помощью краски или белой материи. С 1942 г. и до окончания войны широкое распространение получил опознавательный знак в виде бело</w:t>
      </w:r>
      <w:r w:rsidRPr="007224C3">
        <w:rPr>
          <w:rFonts w:ascii="Times New Roman" w:hAnsi="Times New Roman"/>
          <w:color w:val="000000" w:themeColor="text1"/>
          <w:sz w:val="16"/>
          <w:szCs w:val="16"/>
        </w:rPr>
        <w:softHyphen/>
        <w:t>го (для зимних условий - красного) треугольника. В некоторых воин</w:t>
      </w:r>
      <w:r w:rsidRPr="007224C3">
        <w:rPr>
          <w:rFonts w:ascii="Times New Roman" w:hAnsi="Times New Roman"/>
          <w:color w:val="000000" w:themeColor="text1"/>
          <w:sz w:val="16"/>
          <w:szCs w:val="16"/>
        </w:rPr>
        <w:softHyphen/>
        <w:t>ских частях на бронированных машинах в центре белого треугольника наносился желтый круг иногда с красной звездой. Вместо треугольника мог наноситься белый (для зимних условий - красный) круг или дру</w:t>
      </w:r>
      <w:r w:rsidRPr="007224C3">
        <w:rPr>
          <w:rFonts w:ascii="Times New Roman" w:hAnsi="Times New Roman"/>
          <w:color w:val="000000" w:themeColor="text1"/>
          <w:sz w:val="16"/>
          <w:szCs w:val="16"/>
        </w:rPr>
        <w:softHyphen/>
        <w:t>гой опознавательный знак (10703).</w:t>
      </w:r>
    </w:p>
    <w:p w14:paraId="17A5AC6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9D3BA2B"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Внешняя политика:</w:t>
      </w:r>
    </w:p>
    <w:p w14:paraId="5A99D9C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B44EFE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1944 года, функция координации деятельности разведывательных служб по атомной проблеме была возложена на специально созданную в рамках НКГБ группу «С» под руководством генерал-майора П. А. Судоплатова. Она занималась координацией работы НКГБ и РУ по сбору и обработки материалов из США, Канады и Великобритании. На эту группу, а потом и отдел, возложили также функции по реализации полученных данных внутри страны (Соловьев В. О. Сочинения: В 18 кн. Кн. IV: История России с древнейших времен. Т. 7—8. — М.: Мысль, 1989. — 572 с.).</w:t>
      </w:r>
    </w:p>
    <w:p w14:paraId="7EB347E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На добычу информации по атомной тематике были ориентированы не только резидентуры работающие в США, Великобритании, Канаде и Мексике, но и в самой Германии. Например резидентура советской военной разведки «Дора». В мае 1942 года Ш. Радо получил список вопросов по данной теме. Получить необходимые сведения он поручил Сиси, Пакбо и Пьеру. Правда, по оценкам советских ученых, добытая информация свидетельствовала об отставании Германии в этой сфере и больше аналогичных задач резидентуре не ставилось (Соловьев В. О. Сочинения: В 18 кн. Кн. V История России с древнейших времен. Т. 9—10. — М.: Мысль, 1990. — 718 с.).</w:t>
      </w:r>
    </w:p>
    <w:p w14:paraId="3ED964F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ноябре 1943 года из Москвы в Нью-Йорк на имя многоопытного резидента В. Зарубина была направлена ориентировка, в которой сообщалось, что в США для работы по «Энормозу» выехал ряд ведущих ученых из Англии, в том числе К. Фукс, немецкий эмигрант, член Компартии Германии. Ранее он занимался исследованиями в области быстрых нейтронов в Бирмингемском университете и был завербован разведкой ГРУ.</w:t>
      </w:r>
    </w:p>
    <w:p w14:paraId="35035D0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Дело в том, что вклад К. Фукса в реализацию проекта «Тьюб эллойз» был настолько велик, что научный руководитель американского проекта Оппенгеймер пригласил его, вместе с группой английских коллег в США. Вот так агент советской разведки попал в самое сердце проекта «Манхэттен» — в знаменитый атомный город Лос-Аламос (11765).</w:t>
      </w:r>
    </w:p>
    <w:p w14:paraId="5D14B4B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7E652B16"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0A32F90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08976E9" w14:textId="77777777" w:rsidR="00FC3A63" w:rsidRPr="007224C3" w:rsidRDefault="00FC3A63" w:rsidP="007224C3">
      <w:pPr>
        <w:pStyle w:val="rtejustify"/>
        <w:shd w:val="clear" w:color="auto" w:fill="FFFFFF"/>
        <w:spacing w:before="0" w:after="0"/>
        <w:rPr>
          <w:color w:val="000000" w:themeColor="text1"/>
          <w:sz w:val="16"/>
          <w:szCs w:val="16"/>
        </w:rPr>
      </w:pPr>
      <w:r w:rsidRPr="007224C3">
        <w:rPr>
          <w:color w:val="000000" w:themeColor="text1"/>
          <w:sz w:val="16"/>
          <w:szCs w:val="16"/>
        </w:rPr>
        <w:t>В феврале 1944 года начался выпуск самой массовой версии «Фокке-Вульфа» – FW 190A-8. Ее вооружение снова усилили путем замены фюзеляжных пулеметов MG-17 на крупнокалиберные MG-131. Масса секундного залпа увеличилась до 7,69 кг, а взлетная масса – до 4385 кг. Скорость новой модификации осталась на прежнем уровне, но маневренность и скороподъемность еще более ухудшились. Фактически А-8 представлял собой «летающую зенитную батарею» для перехвата тяжелых бомбардировщиков и был плохо приспособлен для боев с истребителями.</w:t>
      </w:r>
    </w:p>
    <w:p w14:paraId="14A3A6E8" w14:textId="77777777" w:rsidR="00FC3A63" w:rsidRPr="007224C3" w:rsidRDefault="00FC3A63" w:rsidP="007224C3">
      <w:pPr>
        <w:pStyle w:val="rtejustify"/>
        <w:shd w:val="clear" w:color="auto" w:fill="FFFFFF"/>
        <w:spacing w:before="0" w:after="0"/>
        <w:rPr>
          <w:color w:val="000000" w:themeColor="text1"/>
          <w:sz w:val="16"/>
          <w:szCs w:val="16"/>
        </w:rPr>
      </w:pPr>
      <w:r w:rsidRPr="007224C3">
        <w:rPr>
          <w:color w:val="000000" w:themeColor="text1"/>
          <w:sz w:val="16"/>
          <w:szCs w:val="16"/>
        </w:rPr>
        <w:t>Особенно это относится к субмодификациям FW 190A-8/R1 и FW 190A-8/R2. У первого из них, вместо двух внешних крыльевых пушек MG-151/20, стояли четыре таких орудия в подкрыльевых контейнерах, а у второго – две 30-миллиметровые пушки МК-103. Масса этих машин достигала 4,5 тонн, а максимальная скорость не дотягивала до 600 км/ч. Огневая мощь этих истребителей для восточного фронта была избыточной, поэтому использовали их только на Западе и в тыловой ПВО.</w:t>
      </w:r>
    </w:p>
    <w:p w14:paraId="6546D916" w14:textId="77777777" w:rsidR="00FC3A63" w:rsidRPr="007224C3" w:rsidRDefault="00FC3A63" w:rsidP="007224C3">
      <w:pPr>
        <w:pStyle w:val="rtejustify"/>
        <w:shd w:val="clear" w:color="auto" w:fill="FFFFFF"/>
        <w:spacing w:before="0" w:after="0"/>
        <w:rPr>
          <w:color w:val="000000" w:themeColor="text1"/>
          <w:sz w:val="16"/>
          <w:szCs w:val="16"/>
        </w:rPr>
      </w:pPr>
      <w:r w:rsidRPr="007224C3">
        <w:rPr>
          <w:color w:val="000000" w:themeColor="text1"/>
          <w:sz w:val="16"/>
          <w:szCs w:val="16"/>
        </w:rPr>
        <w:t>Зато на востоке очень широко применялись бомбардировочные модификации «Фокке-Вульфа» – FW 190F и FW 190G. FW 190F-1 создали в конце 1942 года на базе FW 190А-4. Консольные пушки были сняты, а на их месте укреплены четыре пилона ЕТС-50 для 50-килограммовых бомб. Под фюзеляжем установили пилон ЕТС-501, на который можно было подвесить одну бомбу массой 250 или 500 кг, либо через переходник ER-4 – четыре 50-килограммовые бомбы.</w:t>
      </w:r>
    </w:p>
    <w:p w14:paraId="6A0313C8" w14:textId="77777777" w:rsidR="00FC3A63" w:rsidRPr="007224C3" w:rsidRDefault="00FC3A63" w:rsidP="007224C3">
      <w:pPr>
        <w:pStyle w:val="rtejustify"/>
        <w:shd w:val="clear" w:color="auto" w:fill="FFFFFF"/>
        <w:spacing w:before="0" w:after="0"/>
        <w:rPr>
          <w:color w:val="000000" w:themeColor="text1"/>
          <w:sz w:val="16"/>
          <w:szCs w:val="16"/>
        </w:rPr>
      </w:pPr>
      <w:r w:rsidRPr="007224C3">
        <w:rPr>
          <w:color w:val="000000" w:themeColor="text1"/>
          <w:sz w:val="16"/>
          <w:szCs w:val="16"/>
        </w:rPr>
        <w:t>Днище фюзеляжа в районе бензобаков прикрыли 5-миллиметровой броней для защиты от пуль и осколков зенитных снарядов. Из такой же брони сделали щитки, прикрывающие колеса шасси, а откидные створки нижней части капота двигателя выполнили из 6-миллиметровой брони.</w:t>
      </w:r>
    </w:p>
    <w:p w14:paraId="131AC3FD" w14:textId="77777777" w:rsidR="00FC3A63" w:rsidRPr="007224C3" w:rsidRDefault="00FC3A63" w:rsidP="007224C3">
      <w:pPr>
        <w:pStyle w:val="rtejustify"/>
        <w:shd w:val="clear" w:color="auto" w:fill="FFFFFF"/>
        <w:spacing w:before="0" w:after="0"/>
        <w:rPr>
          <w:color w:val="000000" w:themeColor="text1"/>
          <w:sz w:val="16"/>
          <w:szCs w:val="16"/>
        </w:rPr>
      </w:pPr>
      <w:r w:rsidRPr="007224C3">
        <w:rPr>
          <w:color w:val="000000" w:themeColor="text1"/>
          <w:sz w:val="16"/>
          <w:szCs w:val="16"/>
        </w:rPr>
        <w:t>FW 190F-2 выпускался с весны 1943 г. на базе FW 190А-5, отличаясь от него теми же особенностями, что и F-1 от А-4. Летом того же года начался выпуск FW 190F-3 (базовая модель FW 190А-6). На нем впервые установили увеличенный и, как бы, слегка «раздутый» фонарь кабины, обеспечивший лучший обзор в стороны и вниз при атаках наземных целей. В дальнейшем такой фонарь стал отличительным признаком всех ударных модификаций «Фокке-Вульфа». Для F-3 был характерен подфюзеляжный держатель ЕТС-250 для одной 250-килограммовой бомбы или 300-литрового ПТБ. Как правило, его дополняли подкрыльевые пилоны ЕТС-50.</w:t>
      </w:r>
    </w:p>
    <w:p w14:paraId="04DD7CB5" w14:textId="77777777" w:rsidR="00FC3A63" w:rsidRPr="007224C3" w:rsidRDefault="00FC3A63" w:rsidP="007224C3">
      <w:pPr>
        <w:pStyle w:val="rtejustify"/>
        <w:shd w:val="clear" w:color="auto" w:fill="FFFFFF"/>
        <w:spacing w:before="0" w:after="0"/>
        <w:rPr>
          <w:color w:val="000000" w:themeColor="text1"/>
          <w:sz w:val="16"/>
          <w:szCs w:val="16"/>
        </w:rPr>
      </w:pPr>
      <w:r w:rsidRPr="007224C3">
        <w:rPr>
          <w:color w:val="000000" w:themeColor="text1"/>
          <w:sz w:val="16"/>
          <w:szCs w:val="16"/>
        </w:rPr>
        <w:t>Рассмотрим на примере F-3 летно-технические данные штурмовых модификаций FW 190. Стандартная взлетная масса машины составляла 4400 кг, максимальная с бомбовой нагрузкой – 4950 кг. Максимальная скорость без внешних подвесок – 547 км/ч у земли и 630 км/ч на высоте 5500 м, то есть она была примерно такой же, как и у базовой истребительной модификации. Но наивысшее значение скороподъемности равнялось всего 10,7 м/с, а это значит, что даже «пустому» F-3 бой на вертикалях был противопоказан. Ну а на горизонталях любые модификации «Фокке-Вульфа» отнюдь не блистали.</w:t>
      </w:r>
    </w:p>
    <w:p w14:paraId="4005DD48" w14:textId="77777777" w:rsidR="00FC3A63" w:rsidRPr="007224C3" w:rsidRDefault="00FC3A63" w:rsidP="007224C3">
      <w:pPr>
        <w:pStyle w:val="rtejustify"/>
        <w:shd w:val="clear" w:color="auto" w:fill="FFFFFF"/>
        <w:spacing w:before="0" w:after="0"/>
        <w:rPr>
          <w:color w:val="000000" w:themeColor="text1"/>
          <w:sz w:val="16"/>
          <w:szCs w:val="16"/>
        </w:rPr>
      </w:pPr>
      <w:r w:rsidRPr="007224C3">
        <w:rPr>
          <w:color w:val="000000" w:themeColor="text1"/>
          <w:sz w:val="16"/>
          <w:szCs w:val="16"/>
        </w:rPr>
        <w:t>С 250-килограммовой бомбой под фюзеляжем скорость «Фокке-Вульфа» у земли снижалась до 500 км/ч, а на высоте – до 560. Надо заметить, что для бомбардировщика такие показатели выглядели очень неплохо. Они позволяли, имея запас высоты, удрать от большинства наших истребителей и донести боевую нагрузку до цели (19178).</w:t>
      </w:r>
    </w:p>
    <w:p w14:paraId="3C06EF78" w14:textId="77777777" w:rsidR="00FC3A63" w:rsidRPr="007224C3" w:rsidRDefault="00FC3A63" w:rsidP="007224C3">
      <w:pPr>
        <w:pStyle w:val="rtejustify"/>
        <w:shd w:val="clear" w:color="auto" w:fill="FFFFFF"/>
        <w:spacing w:before="0" w:after="0"/>
        <w:rPr>
          <w:color w:val="000000" w:themeColor="text1"/>
          <w:sz w:val="16"/>
          <w:szCs w:val="16"/>
        </w:rPr>
      </w:pPr>
    </w:p>
    <w:p w14:paraId="711DA00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1944 началась серия Ме-262 (88,177).</w:t>
      </w:r>
    </w:p>
    <w:p w14:paraId="18918A7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7A6B6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1944 на полигоне Куммерсдорф в присутствии Гебельса проводилось испытание новой зенитной ракеты, которые были засняты на пленку. Изображение на пленке показало, что ракету сопровождало сферическое тело, невидимое с земли, которое совершало круги вокруг ракеты (7579).</w:t>
      </w:r>
    </w:p>
    <w:p w14:paraId="4D77E6C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DE14C7" w14:textId="77777777" w:rsidR="00AD0763" w:rsidRPr="007224C3" w:rsidRDefault="00AD0763" w:rsidP="007224C3">
      <w:pPr>
        <w:pStyle w:val="book"/>
        <w:ind w:firstLine="0"/>
        <w:jc w:val="both"/>
        <w:rPr>
          <w:color w:val="000000" w:themeColor="text1"/>
          <w:sz w:val="16"/>
          <w:szCs w:val="16"/>
        </w:rPr>
      </w:pPr>
      <w:r w:rsidRPr="007224C3">
        <w:rPr>
          <w:color w:val="000000" w:themeColor="text1"/>
          <w:sz w:val="16"/>
          <w:szCs w:val="16"/>
        </w:rPr>
        <w:t>В феврале 1944 г. состоялся первый старт ракеты «Вассерфаль». «Вассерфаль» («Водопад») была разработана в Пенемюнде под руководством Вернера фон Брауна и внешне ракета представляла собой в два раза уменьшенную копию баллистической ракеты ФАУ-2. «Вассерфаль» имела радиокомандную систему наведения с использованием двух РЛС. Одна РЛС следила за целью, а вторая отслеживала ЗУР. При этом обе отметки (от цели и от ракеты) выводились на одну электронно-лучевую трубку. Оператор с помощью ручки управления на так называемом «кнюппеле» старался совместить на экране отметки от цели и ЗУР. Сигналы от «кнюппеля» поступали в счетно-решающее устройство фирмы «Сименс», где вырабатывались необходимые команды, которые через передатчик по радиоканалу передавали на ракету. Пуск ракеты производился вертикально с особого пускового стола. В полете ракета управлялась с помощью газовых и аэродинамических рулей. Боевая часть ракеты «Вассерфаль» содержала от 100 до 150 кг взрывчатого вещества. Для ракеты было спроектировано четыре типа взрывателей (два радиовзрывателя, один инфракрасный и один оптический). Всего до окончания войны по различным сведениям было запущено от 25 до 50 ракет. К маю 1945 г. ракета была готова к серийному производству (15225).</w:t>
      </w:r>
    </w:p>
    <w:p w14:paraId="61CFC2A6" w14:textId="77777777" w:rsidR="00AD0763" w:rsidRPr="007224C3" w:rsidRDefault="00AD0763" w:rsidP="007224C3">
      <w:pPr>
        <w:pStyle w:val="book"/>
        <w:ind w:firstLine="0"/>
        <w:jc w:val="both"/>
        <w:rPr>
          <w:color w:val="000000" w:themeColor="text1"/>
          <w:sz w:val="16"/>
          <w:szCs w:val="16"/>
        </w:rPr>
      </w:pPr>
    </w:p>
    <w:p w14:paraId="7A6B488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февралю 1944 года, со значительным отставанием от графика, ракеты «Wasserfall» были переданы на полигон, расположенный на острове Грефсвальдер. К марту 1945 года «Wasserfall» уже достигал высоты от 18000 до 20000 метров и скорости 760 км/ч. Старт производился вертикально вверх со специального пускового станка, и уже в воздухе ракета поворачивалась на цель.</w:t>
      </w:r>
    </w:p>
    <w:p w14:paraId="00CA1DF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Снаряд «Wasserfall» представлял собой уменьшенную в два раза «V-2». Отличительной чертой было то, что он имел четыре коротких крыла. Очевидно, предполагалось, что эта ракета после подъема на заданную высоту должна была развернуться и атаковать бомбардировщик либо в лоб, либо в хвост.</w:t>
      </w:r>
    </w:p>
    <w:p w14:paraId="64EB515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 как зенитные ракеты должны в течение продолжительного времени сохраняться в заправленном состоянии, а жидкий кислород для этого непригоден, то двигатель ракеты «Wasserfall» работал на топливной смеси, компоненты которой назывались «сальбай» и «визоль». «Сальбай» представлял собой 98-процентную азотную кислоту, используемую в качестве окислителя. «Визоль» – винилизобутиловый спирт – служил горючим.</w:t>
      </w:r>
    </w:p>
    <w:p w14:paraId="329C1F3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Снаряд «Wasserfall» состоял из следующих частей. В носовой части помещался радиовзрыватель, срабатывавший по радиосигналу, передаваемому с земли; позднее он был заменен дистанционным взрывателем. Затем шла боевая головка, наполненная взрывчатым веществом – аматолом. Верхний отсек диаметром 914 мм представлял собой сферический баллон со сжатым воздухом, которым приводились в действие регулировочные механизмы – сервомоторы. Непосредственно под этим баллоном помещался отсек с клапанами, а далее шел бак с «визолем», бак с «сальбаем» и, наконец, двигательный отсек, в котором находились двигатель и вспомогательные устройства. Стабилизаторы и газовые рули монтировались на двигательном отсеке, а к внешней оболочке ракеты на уровне топливных баков крепились четыре крыла.</w:t>
      </w:r>
    </w:p>
    <w:p w14:paraId="2A66778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концу войны «Wasserfall» была настолько готова, что могла быть развернута для боевого дежурства, но Третий Рейх перестал существовать.</w:t>
      </w:r>
    </w:p>
    <w:p w14:paraId="3803EA6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Послевоенные сообщения о том, что ракета «Wasserfall» применялась в боевой обстановке, были ошибочными. Найденные протоколы 40 экспериментальных пусков говорят о том, что лишь в 14 случаях пуски этих ракет были успешными (11688).</w:t>
      </w:r>
    </w:p>
    <w:p w14:paraId="094551E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43630F5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1944 г. Гитлер назначил куратором операции ракетного удара по США оберштурмбаннфюрера СС Отто Скорцени, которому доверяли самые ответственные поручения, в том числе имевшие отношение к «специальному оружию».</w:t>
      </w:r>
    </w:p>
    <w:p w14:paraId="4A51287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Операция получила название «Elster» («Сорока»).</w:t>
      </w:r>
    </w:p>
    <w:p w14:paraId="268A5A9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Ракетный удар должен был наноситься во взаимодействии с Японией (Орлов А.С. «Чудо-оружие»: обманутые надежды фюрера. Смоленск: Русич, 1999.): Германия обстреливает Вашингтон и Нью-Йорк межконтинентальными двухступенчатыми ракетами, а японцы одновременно со всплывших подводных лодок наносят удар ракетами V1 по Сан-Франциско и Лос-Анджелесу. Чертежи V1 были посланы в Японию на подводной лодке, но она была потоплена (11686).</w:t>
      </w:r>
    </w:p>
    <w:p w14:paraId="24C201E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41D0242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1944 в эскадрилье Selbst Opfer Mann - Staffel K.-H.Lange в составе II./KG 200 было 120 добровольцев, которые тренировались на планерах для дальнейших полетах на Fi-103. Около 50-60 чел. дал Отто Скорцени, а остальных - рейхюгендфюрер Артур Аксман (2703,2).</w:t>
      </w:r>
    </w:p>
    <w:p w14:paraId="6908DF10"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62474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1944 года был создан прототип ХР-80А с американским ТРД 1-40 «Дженерал Электрик». Первые серийные образцы поступили на вооружение в 1945 году как Р-80А «Шутинг Стар». Самолеты этой модификации принимали участие в корейской войне (1950—1953 годы) и состояли на вооружении американской армии до 1953 года.</w:t>
      </w:r>
    </w:p>
    <w:p w14:paraId="19560A5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 xml:space="preserve">В 1943 году командование ВВС США было сильно обеспокоено появлением на вооружении у люфтваффе реактивных истребителей Me-163 и Ме-262. ВВС США сделало заказ компании «Локхид» разработать проект реактивного истребителя на основе британского двигателя Хавиланд (Халфорд) Х-1Б Гоблин. Время на разработку отводилось необычайно короткое — 180 дней. Исполнитель успешно справился с заказом и проект ХР-80 был готов всего на два дня позднее поставленного срока. Однако были проблемы с двигателем, и первый полет состоялся лишь в январе 1944 года. </w:t>
      </w:r>
    </w:p>
    <w:p w14:paraId="14D6D23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 Кордела поступали комплектные, подробные материалы о новейших военных самолетах и зарождавшейся тогда военной технике США. В частности была получена полная документация о первом американском реактивном истребителе — бомбардировщике Р-80А «Шутинг Стар», построенном компанией «Локхид».</w:t>
      </w:r>
    </w:p>
    <w:p w14:paraId="104B6D7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1944 год от Кордела было получено 98 секретных законченных научно-исследовательских работ объемом более 5000 страниц. Из них 50% получили оценку «весьма ценные», 40% — «ценные» и 10% — «представляющие оперативный интерес» (Преображенский КГБ в Японии. Шпион, который любил Токио. — М.: Центрполиграф, 2000 — 457 с.).</w:t>
      </w:r>
    </w:p>
    <w:p w14:paraId="38B212E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Высока вероятность того, что под оперативным псевдонимом Кордел скрывался друг детства Ю. Розенберга У. Перл, который начал работать на советскую разведку в 1942 году (Прохоренко О. Рельсы и астрология // Гудок. — 2000. — 29 окт.). Правда, не ясно, кто указал на потенциальный источник информации — сам Ю. Розенберг или агент Кирилл. Скорее всего в роли агента-наводчика выступил Либерал, но из-за того, что примерно до 1998 года его активная работа на советскую разведку тщательно скрывалась, было решено приписать его вербовку Кириллу. Добавим лишь, что местом работы Кордела, если он действительно У. Перл, была лаборатория Национального управления по аэронавтике (НАСА) (11765).</w:t>
      </w:r>
    </w:p>
    <w:p w14:paraId="228C81D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035CC42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февраля 1944 г. начали поступать в войска Великобритании танки "Шерман Файрфлай" с английской версией 76-мм пушки. Они единственные из танков союзников были способны бороться с немецкими "Тиграми" и "Пантерами", да и то на близких расстояниях (3905).</w:t>
      </w:r>
    </w:p>
    <w:p w14:paraId="18DD0F5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7E12CE" w14:textId="77777777" w:rsidR="00112471" w:rsidRPr="007224C3" w:rsidRDefault="00112471"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 феврале1944 первый полет Токио Коку Ки-107 (20373).</w:t>
      </w:r>
    </w:p>
    <w:p w14:paraId="00A46BAA" w14:textId="77777777" w:rsidR="00112471" w:rsidRPr="007224C3" w:rsidRDefault="00112471" w:rsidP="007224C3">
      <w:pPr>
        <w:spacing w:after="0" w:line="240" w:lineRule="auto"/>
        <w:jc w:val="both"/>
        <w:rPr>
          <w:rFonts w:ascii="Times New Roman" w:hAnsi="Times New Roman"/>
          <w:color w:val="0070C0"/>
          <w:sz w:val="16"/>
          <w:szCs w:val="16"/>
        </w:rPr>
      </w:pPr>
    </w:p>
    <w:p w14:paraId="73A23EEA"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32548DB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0CCB4B6" w14:textId="77777777" w:rsidR="001A00DE" w:rsidRPr="007224C3" w:rsidRDefault="001A00DE"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С февраля по май 1944 г. в ЦАГИ, ЛИИ НКАП и НИИ АВ ВВС проводились специальные исследования по определению прочности крыла Ил-2 с пушками 11П, величины силы отдачи таких пушек при стрельбе на упругом лафете и влияние стрельбы из них на конструкцию самолета Ил-2.</w:t>
      </w:r>
    </w:p>
    <w:p w14:paraId="783D9C28" w14:textId="77777777" w:rsidR="001A00DE" w:rsidRPr="007224C3" w:rsidRDefault="001A00DE"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Так, уже к 20 марта в 4-й лаборатории ЛИИ НКАП была завершена работа по определению си</w:t>
      </w:r>
      <w:r w:rsidRPr="007224C3">
        <w:rPr>
          <w:color w:val="000000" w:themeColor="text1"/>
          <w:sz w:val="16"/>
          <w:szCs w:val="16"/>
        </w:rPr>
        <w:softHyphen/>
        <w:t>лы отдачи пушки 11П при закреплении на лафете с различной жесткостью.</w:t>
      </w:r>
    </w:p>
    <w:p w14:paraId="6E9C960D" w14:textId="77777777" w:rsidR="001A00DE" w:rsidRPr="007224C3" w:rsidRDefault="001A00DE"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Испытывалась пушка серийного изготовления, полученная со склада завода № 30. В цилиндр ги</w:t>
      </w:r>
      <w:r w:rsidRPr="007224C3">
        <w:rPr>
          <w:color w:val="000000" w:themeColor="text1"/>
          <w:sz w:val="16"/>
          <w:szCs w:val="16"/>
        </w:rPr>
        <w:softHyphen/>
        <w:t>дротормоза заливалась штатная водоглицериновая смесь. Все стрельбы выполнялись при температуре окружающего воздуха 5—10°</w:t>
      </w:r>
      <w:r w:rsidRPr="007224C3">
        <w:rPr>
          <w:color w:val="000000" w:themeColor="text1"/>
          <w:sz w:val="16"/>
          <w:szCs w:val="16"/>
          <w:lang w:val="en-US"/>
        </w:rPr>
        <w:t>C</w:t>
      </w:r>
      <w:r w:rsidRPr="007224C3">
        <w:rPr>
          <w:color w:val="000000" w:themeColor="text1"/>
          <w:sz w:val="16"/>
          <w:szCs w:val="16"/>
        </w:rPr>
        <w:t>.</w:t>
      </w:r>
    </w:p>
    <w:p w14:paraId="083563BE" w14:textId="77777777" w:rsidR="001A00DE" w:rsidRPr="007224C3" w:rsidRDefault="001A00D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Было установлено, что сила отдачи пушки «зави</w:t>
      </w:r>
      <w:r w:rsidRPr="007224C3">
        <w:rPr>
          <w:rFonts w:ascii="Times New Roman" w:hAnsi="Times New Roman"/>
          <w:color w:val="000000" w:themeColor="text1"/>
          <w:sz w:val="16"/>
          <w:szCs w:val="16"/>
        </w:rPr>
        <w:softHyphen/>
        <w:t>сит от жесткости ее опоры и для испытанного об</w:t>
      </w:r>
      <w:r w:rsidRPr="007224C3">
        <w:rPr>
          <w:rFonts w:ascii="Times New Roman" w:hAnsi="Times New Roman"/>
          <w:color w:val="000000" w:themeColor="text1"/>
          <w:sz w:val="16"/>
          <w:szCs w:val="16"/>
        </w:rPr>
        <w:softHyphen/>
        <w:t>разца пушки изменяется в пределах 3400—5000 кг и выше (при жесткостях выше 700 кг/мм)». При определении силы отдачи пушки необходимо учи</w:t>
      </w:r>
      <w:r w:rsidRPr="007224C3">
        <w:rPr>
          <w:rFonts w:ascii="Times New Roman" w:hAnsi="Times New Roman"/>
          <w:color w:val="000000" w:themeColor="text1"/>
          <w:sz w:val="16"/>
          <w:szCs w:val="16"/>
        </w:rPr>
        <w:softHyphen/>
        <w:t>тывать смещение крепления пушки при стрельбе: «при статической силе, равной силе отдачи, кре</w:t>
      </w:r>
      <w:r w:rsidRPr="007224C3">
        <w:rPr>
          <w:rFonts w:ascii="Times New Roman" w:hAnsi="Times New Roman"/>
          <w:color w:val="000000" w:themeColor="text1"/>
          <w:sz w:val="16"/>
          <w:szCs w:val="16"/>
        </w:rPr>
        <w:softHyphen/>
        <w:t>пление перемещается на 6—8 мм (без учета дефор</w:t>
      </w:r>
      <w:r w:rsidRPr="007224C3">
        <w:rPr>
          <w:rFonts w:ascii="Times New Roman" w:hAnsi="Times New Roman"/>
          <w:color w:val="000000" w:themeColor="text1"/>
          <w:sz w:val="16"/>
          <w:szCs w:val="16"/>
        </w:rPr>
        <w:softHyphen/>
        <w:t>мации изгиба крыла)».</w:t>
      </w:r>
    </w:p>
    <w:p w14:paraId="03401C9C" w14:textId="77777777" w:rsidR="001A00DE" w:rsidRPr="007224C3" w:rsidRDefault="001A00DE"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При стрельбах имели место удары ствола пуш</w:t>
      </w:r>
      <w:r w:rsidRPr="007224C3">
        <w:rPr>
          <w:color w:val="000000" w:themeColor="text1"/>
          <w:sz w:val="16"/>
          <w:szCs w:val="16"/>
        </w:rPr>
        <w:softHyphen/>
        <w:t>ки в конце отката, что приводило к значительному увеличению силы отдачи. После регулировки дли</w:t>
      </w:r>
      <w:r w:rsidRPr="007224C3">
        <w:rPr>
          <w:color w:val="000000" w:themeColor="text1"/>
          <w:sz w:val="16"/>
          <w:szCs w:val="16"/>
        </w:rPr>
        <w:softHyphen/>
        <w:t>ны отката ствола согласно инструкции удары ство</w:t>
      </w:r>
      <w:r w:rsidRPr="007224C3">
        <w:rPr>
          <w:color w:val="000000" w:themeColor="text1"/>
          <w:sz w:val="16"/>
          <w:szCs w:val="16"/>
        </w:rPr>
        <w:softHyphen/>
        <w:t>ла пушки прекратились. Как следствие, значение силы отдачи пушки оказалось в пределах 3600— 4600 кг при всех значениях жесткости лафета.</w:t>
      </w:r>
    </w:p>
    <w:p w14:paraId="4D964312" w14:textId="77777777" w:rsidR="001A00DE" w:rsidRPr="007224C3" w:rsidRDefault="001A00DE"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На основании этого был сделан вывод, что «си</w:t>
      </w:r>
      <w:r w:rsidRPr="007224C3">
        <w:rPr>
          <w:color w:val="000000" w:themeColor="text1"/>
          <w:sz w:val="16"/>
          <w:szCs w:val="16"/>
        </w:rPr>
        <w:softHyphen/>
        <w:t>ла отдачи пушки целиком определяется регулиров</w:t>
      </w:r>
      <w:r w:rsidRPr="007224C3">
        <w:rPr>
          <w:color w:val="000000" w:themeColor="text1"/>
          <w:sz w:val="16"/>
          <w:szCs w:val="16"/>
        </w:rPr>
        <w:softHyphen/>
        <w:t>кой и условиями работы ее гидротормоза, поэтому приведенные выше данные могут касаться только данного конкретного экземпляра пушки, испытан</w:t>
      </w:r>
      <w:r w:rsidRPr="007224C3">
        <w:rPr>
          <w:color w:val="000000" w:themeColor="text1"/>
          <w:sz w:val="16"/>
          <w:szCs w:val="16"/>
        </w:rPr>
        <w:softHyphen/>
        <w:t>ного при данных температурах и проч. условиях».</w:t>
      </w:r>
    </w:p>
    <w:p w14:paraId="1897DE70" w14:textId="77777777" w:rsidR="001A00DE" w:rsidRPr="007224C3" w:rsidRDefault="001A00DE"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В этой связи предлагалось определить «степень постоянства работы гидротормоза» при специаль</w:t>
      </w:r>
      <w:r w:rsidRPr="007224C3">
        <w:rPr>
          <w:color w:val="000000" w:themeColor="text1"/>
          <w:sz w:val="16"/>
          <w:szCs w:val="16"/>
        </w:rPr>
        <w:softHyphen/>
        <w:t>ных испытаниях, а также «поставить ряд исследо</w:t>
      </w:r>
      <w:r w:rsidRPr="007224C3">
        <w:rPr>
          <w:color w:val="000000" w:themeColor="text1"/>
          <w:sz w:val="16"/>
          <w:szCs w:val="16"/>
        </w:rPr>
        <w:softHyphen/>
        <w:t>вательских работ для дальнейшего изучения силы отдачи пушки 11П и изучения воздействия на само</w:t>
      </w:r>
      <w:r w:rsidRPr="007224C3">
        <w:rPr>
          <w:color w:val="000000" w:themeColor="text1"/>
          <w:sz w:val="16"/>
          <w:szCs w:val="16"/>
        </w:rPr>
        <w:softHyphen/>
        <w:t>лет силы отдачи оружия крупного калибра» (17500).</w:t>
      </w:r>
    </w:p>
    <w:p w14:paraId="153D3174" w14:textId="77777777" w:rsidR="001A00DE" w:rsidRPr="007224C3" w:rsidRDefault="001A00DE" w:rsidP="007224C3">
      <w:pPr>
        <w:spacing w:after="0" w:line="240" w:lineRule="auto"/>
        <w:jc w:val="both"/>
        <w:rPr>
          <w:rFonts w:ascii="Times New Roman" w:hAnsi="Times New Roman"/>
          <w:color w:val="000000" w:themeColor="text1"/>
          <w:sz w:val="16"/>
          <w:szCs w:val="16"/>
        </w:rPr>
      </w:pPr>
    </w:p>
    <w:p w14:paraId="679EDC8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феврале-марте 1944 ОКБ А.Н.Т. произвело исследовательские работы в ходе испытаний машины N 716 с увеличенной площадью вертикального оперения. Рекомендовали в серию (1835,32).</w:t>
      </w:r>
    </w:p>
    <w:p w14:paraId="547FC38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7D9FC9"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феврале-марте 1944 года в ОКБ П.О.Сухого велась работа над проектом одноместного истре</w:t>
      </w:r>
      <w:r w:rsidRPr="007224C3">
        <w:rPr>
          <w:rFonts w:ascii="Times New Roman" w:hAnsi="Times New Roman"/>
          <w:color w:val="000000" w:themeColor="text1"/>
          <w:sz w:val="16"/>
          <w:szCs w:val="16"/>
        </w:rPr>
        <w:softHyphen/>
        <w:t>бителя с двумя двигателями М-107, расположенными в фюзеляже за кабиной летчика - один за другим вдоль продольной оси самолета. Передний двигатель был смещен к правому борту фюзеляжа, а задний - к левому. Привод соосных винтов осуществлялся удлиненными вала</w:t>
      </w:r>
      <w:r w:rsidRPr="007224C3">
        <w:rPr>
          <w:rFonts w:ascii="Times New Roman" w:hAnsi="Times New Roman"/>
          <w:color w:val="000000" w:themeColor="text1"/>
          <w:sz w:val="16"/>
          <w:szCs w:val="16"/>
        </w:rPr>
        <w:softHyphen/>
        <w:t>ми. Самолет цельнометаллической конструкции имел весьма изящные аэродинамические формы.</w:t>
      </w:r>
    </w:p>
    <w:p w14:paraId="2267B844"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Вооружение самолета состояло из трех пушек. Одна помещалась в носовой части фюзеляжа, две дру</w:t>
      </w:r>
      <w:r w:rsidRPr="007224C3">
        <w:rPr>
          <w:rFonts w:ascii="Times New Roman" w:hAnsi="Times New Roman"/>
          <w:color w:val="000000" w:themeColor="text1"/>
          <w:sz w:val="16"/>
          <w:szCs w:val="16"/>
        </w:rPr>
        <w:softHyphen/>
        <w:t>гие - в консолях крыла.</w:t>
      </w:r>
    </w:p>
    <w:p w14:paraId="0014BECE"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Бронирование летчика включа</w:t>
      </w:r>
      <w:r w:rsidRPr="007224C3">
        <w:rPr>
          <w:rFonts w:ascii="Times New Roman" w:hAnsi="Times New Roman"/>
          <w:color w:val="000000" w:themeColor="text1"/>
          <w:sz w:val="16"/>
          <w:szCs w:val="16"/>
        </w:rPr>
        <w:softHyphen/>
        <w:t>ло передний бронещиток 10-мм толщины, 60-мм бронестекло и 1 2-мм бронеспинку.</w:t>
      </w:r>
    </w:p>
    <w:p w14:paraId="36E89DD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По-видимому, проект не был за</w:t>
      </w:r>
      <w:r w:rsidRPr="007224C3">
        <w:rPr>
          <w:rFonts w:ascii="Times New Roman" w:hAnsi="Times New Roman"/>
          <w:color w:val="000000" w:themeColor="text1"/>
          <w:sz w:val="16"/>
          <w:szCs w:val="16"/>
        </w:rPr>
        <w:softHyphen/>
        <w:t>вершен, т.к. никаких сведений о нем в документах не найдено (11754).</w:t>
      </w:r>
    </w:p>
    <w:p w14:paraId="14FCBD2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EF1DD3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феврале-апреле 1944 проходили гос. испытания Як-3Т - переделки серийного Як-3 с двумя синхронными п Б-20С с боезапасом по 100 снарядов и одной центральной Н-37 с 25 снарядами. Машину предельно облегчили сняв все лишнее (1728,33).</w:t>
      </w:r>
    </w:p>
    <w:p w14:paraId="5FC10CA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0E616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феврале-марте 1944 года по инициативе главного конструктора Бармина В.П. БМ-31 была заменена более совершенной установкой БМ-31-12 с сотовыми направляющими на модифицированном шасси грузового автомобиля серии Studebaker, разработанной За исключением моноблока направляющих и электрооборудования остальные узлы установки были унифицированы с узлами боевой нормализованной установки М-13Н. Испытания, в частности, проводились на Софринском полигоне [70].</w:t>
      </w:r>
    </w:p>
    <w:p w14:paraId="1EBC130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Преимуществами установки БМ-31-12 по сравнению со станками М30 и М31 были:</w:t>
      </w:r>
    </w:p>
    <w:p w14:paraId="303390A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дальнейшем установка использовалась для пуска реактивных снарядов М-13УК калибра 132 мм. В октябре 1944 года в соответствии с ТТТ ГУВ ГМЧ КА специалисты СКБ разработали вставку для стрельбы трофейными немецкими снарядами калибра 300 мм с помощью установок БМ-31-12. вставка надевалась на снаряд и легко вставлялась вместе со снарядом в направляющую через ее казенную часть. Вставки были предохранены стопорными устройствами от перемещения при стрельбе и от выпадения после заряжания (11772).</w:t>
      </w:r>
    </w:p>
    <w:p w14:paraId="4540E94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664117E3" w14:textId="77777777" w:rsidR="00AD0763" w:rsidRPr="007224C3" w:rsidRDefault="00AD0763" w:rsidP="007224C3">
      <w:pPr>
        <w:spacing w:after="0" w:line="240" w:lineRule="auto"/>
        <w:jc w:val="both"/>
        <w:rPr>
          <w:rFonts w:ascii="Times New Roman" w:hAnsi="Times New Roman"/>
          <w:color w:val="000000" w:themeColor="text1"/>
          <w:sz w:val="16"/>
          <w:szCs w:val="16"/>
        </w:rPr>
      </w:pPr>
      <w:r w:rsidRPr="007224C3">
        <w:rPr>
          <w:rFonts w:ascii="Times New Roman" w:eastAsia="Times New Roman" w:hAnsi="Times New Roman"/>
          <w:color w:val="000000" w:themeColor="text1"/>
          <w:sz w:val="16"/>
          <w:szCs w:val="16"/>
        </w:rPr>
        <w:t>В феврале-марте 1944 года был разработан опытный образец подвижной установки для стрельбы снарядами М-31. В качестве базы 12-зарядной установка БМ-31 было выбрано шасси грузового автомобиля повышенной проходимости серии Studebaker. В конструкции метательной установки были использованы узлы и детали нормализованной установки М-13Н, кроме направляющих и фермы. В качестве направляющих использовались укупорки снарядов М-31, которые укладывались на специальную ферму. После проведения успешных полигонных и ходовых испытаний установка была принята на вооружение Красной Армии. В дальнейшем она была заменена более совершенной установкой БМ-31-12 с сотовыми направляющими на доработанном шасси грузового автомобиля серии Studebaker, разработанной в феврале-марте 1944 года по инициативе главного конструктора Бармина В.П. За исключением моноблока направляющих и электрооборудования остальные узлы установки были унифицированы с узлами боевой нормализованной установки М-13Н. Испытания, в частности, проводились на Софринском полигоне. Постановлением ГОКО</w:t>
      </w:r>
      <w:r w:rsidRPr="007224C3">
        <w:rPr>
          <w:rFonts w:ascii="Times New Roman" w:hAnsi="Times New Roman"/>
          <w:color w:val="000000" w:themeColor="text1"/>
          <w:sz w:val="16"/>
          <w:szCs w:val="16"/>
        </w:rPr>
        <w:t xml:space="preserve"> от 9 июня 1944 года "О принятии на вооружение Красной Армии боевых установок М-31 и перевооружении 12-ти дивизионов М-31" на вооружение Гвардейских минометных частей Красной Армии была принята двенадцатизарядная установка М-31 конструкции Бармина, смонтированная на автошасси для стрельбы снарядами М-31 улучшенной кучности. Постановлением также устанавливался план производства боевых установок М-31 на 2-й квартал 1944 года в количестве 250 штук. В приложении к постановлению указывается ее марка - БМ-31-12.</w:t>
      </w:r>
    </w:p>
    <w:p w14:paraId="6A3E3EEC" w14:textId="77777777" w:rsidR="00AD0763" w:rsidRPr="007224C3" w:rsidRDefault="00AD0763" w:rsidP="007224C3">
      <w:pPr>
        <w:spacing w:after="0" w:line="240" w:lineRule="auto"/>
        <w:jc w:val="both"/>
        <w:rPr>
          <w:rFonts w:ascii="Times New Roman" w:eastAsia="Times New Roman" w:hAnsi="Times New Roman"/>
          <w:color w:val="000000" w:themeColor="text1"/>
          <w:sz w:val="16"/>
          <w:szCs w:val="16"/>
        </w:rPr>
      </w:pPr>
      <w:r w:rsidRPr="007224C3">
        <w:rPr>
          <w:rFonts w:ascii="Times New Roman" w:eastAsia="Times New Roman" w:hAnsi="Times New Roman"/>
          <w:color w:val="000000" w:themeColor="text1"/>
          <w:sz w:val="16"/>
          <w:szCs w:val="16"/>
        </w:rPr>
        <w:t>Преимуществами установки БМ-31-12 по сравнению со станками М30 и М31 были:</w:t>
      </w:r>
    </w:p>
    <w:p w14:paraId="7100CD4E" w14:textId="77777777" w:rsidR="00AD0763" w:rsidRPr="007224C3" w:rsidRDefault="00AD0763" w:rsidP="007224C3">
      <w:pPr>
        <w:spacing w:after="0" w:line="240" w:lineRule="auto"/>
        <w:jc w:val="both"/>
        <w:rPr>
          <w:rFonts w:ascii="Times New Roman" w:eastAsia="Times New Roman" w:hAnsi="Times New Roman"/>
          <w:color w:val="000000" w:themeColor="text1"/>
          <w:sz w:val="16"/>
          <w:szCs w:val="16"/>
        </w:rPr>
      </w:pPr>
      <w:r w:rsidRPr="007224C3">
        <w:rPr>
          <w:rFonts w:ascii="Times New Roman" w:eastAsia="Times New Roman" w:hAnsi="Times New Roman"/>
          <w:color w:val="000000" w:themeColor="text1"/>
          <w:sz w:val="16"/>
          <w:szCs w:val="16"/>
        </w:rPr>
        <w:t>- маневренность (возможность пережвижения);</w:t>
      </w:r>
    </w:p>
    <w:p w14:paraId="46D126EA" w14:textId="77777777" w:rsidR="00AD0763" w:rsidRPr="007224C3" w:rsidRDefault="00AD0763" w:rsidP="007224C3">
      <w:pPr>
        <w:spacing w:after="0" w:line="240" w:lineRule="auto"/>
        <w:jc w:val="both"/>
        <w:rPr>
          <w:rFonts w:ascii="Times New Roman" w:eastAsia="Times New Roman" w:hAnsi="Times New Roman"/>
          <w:color w:val="000000" w:themeColor="text1"/>
          <w:sz w:val="16"/>
          <w:szCs w:val="16"/>
        </w:rPr>
      </w:pPr>
      <w:r w:rsidRPr="007224C3">
        <w:rPr>
          <w:rFonts w:ascii="Times New Roman" w:eastAsia="Times New Roman" w:hAnsi="Times New Roman"/>
          <w:color w:val="000000" w:themeColor="text1"/>
          <w:sz w:val="16"/>
          <w:szCs w:val="16"/>
        </w:rPr>
        <w:t>- возможность стрельбы в диапазоне углов возвышения от +10 до +45°;</w:t>
      </w:r>
    </w:p>
    <w:p w14:paraId="60CEC954" w14:textId="77777777" w:rsidR="00AD0763" w:rsidRPr="007224C3" w:rsidRDefault="00AD0763" w:rsidP="007224C3">
      <w:pPr>
        <w:spacing w:after="0" w:line="240" w:lineRule="auto"/>
        <w:jc w:val="both"/>
        <w:rPr>
          <w:rFonts w:ascii="Times New Roman" w:eastAsia="Times New Roman" w:hAnsi="Times New Roman"/>
          <w:color w:val="000000" w:themeColor="text1"/>
          <w:sz w:val="16"/>
          <w:szCs w:val="16"/>
        </w:rPr>
      </w:pPr>
      <w:r w:rsidRPr="007224C3">
        <w:rPr>
          <w:rFonts w:ascii="Times New Roman" w:eastAsia="Times New Roman" w:hAnsi="Times New Roman"/>
          <w:color w:val="000000" w:themeColor="text1"/>
          <w:sz w:val="16"/>
          <w:szCs w:val="16"/>
        </w:rPr>
        <w:t>- лучшая кучность стрельбы;</w:t>
      </w:r>
    </w:p>
    <w:p w14:paraId="780E920D" w14:textId="77777777" w:rsidR="00AD0763" w:rsidRPr="007224C3" w:rsidRDefault="00AD0763" w:rsidP="007224C3">
      <w:pPr>
        <w:spacing w:after="0" w:line="240" w:lineRule="auto"/>
        <w:jc w:val="both"/>
        <w:rPr>
          <w:rFonts w:ascii="Times New Roman" w:eastAsia="Times New Roman" w:hAnsi="Times New Roman"/>
          <w:color w:val="000000" w:themeColor="text1"/>
          <w:sz w:val="16"/>
          <w:szCs w:val="16"/>
        </w:rPr>
      </w:pPr>
      <w:r w:rsidRPr="007224C3">
        <w:rPr>
          <w:rFonts w:ascii="Times New Roman" w:eastAsia="Times New Roman" w:hAnsi="Times New Roman"/>
          <w:color w:val="000000" w:themeColor="text1"/>
          <w:sz w:val="16"/>
          <w:szCs w:val="16"/>
        </w:rPr>
        <w:t>- возможность выезда на позицию заряженной;</w:t>
      </w:r>
    </w:p>
    <w:p w14:paraId="6205E432" w14:textId="77777777" w:rsidR="00AD0763" w:rsidRPr="007224C3" w:rsidRDefault="00AD0763" w:rsidP="007224C3">
      <w:pPr>
        <w:spacing w:after="0" w:line="240" w:lineRule="auto"/>
        <w:jc w:val="both"/>
        <w:rPr>
          <w:rFonts w:ascii="Times New Roman" w:eastAsia="Times New Roman" w:hAnsi="Times New Roman"/>
          <w:color w:val="000000" w:themeColor="text1"/>
          <w:sz w:val="16"/>
          <w:szCs w:val="16"/>
        </w:rPr>
      </w:pPr>
      <w:r w:rsidRPr="007224C3">
        <w:rPr>
          <w:rFonts w:ascii="Times New Roman" w:eastAsia="Times New Roman" w:hAnsi="Times New Roman"/>
          <w:color w:val="000000" w:themeColor="text1"/>
          <w:sz w:val="16"/>
          <w:szCs w:val="16"/>
        </w:rPr>
        <w:t>- более удобное и быстрое заряжание при меньшем числе номеров расчета;</w:t>
      </w:r>
    </w:p>
    <w:p w14:paraId="17104C86" w14:textId="77777777" w:rsidR="00AD0763" w:rsidRPr="007224C3" w:rsidRDefault="00AD0763" w:rsidP="007224C3">
      <w:pPr>
        <w:spacing w:after="0" w:line="240" w:lineRule="auto"/>
        <w:jc w:val="both"/>
        <w:rPr>
          <w:rFonts w:ascii="Times New Roman" w:eastAsia="Times New Roman" w:hAnsi="Times New Roman"/>
          <w:color w:val="000000" w:themeColor="text1"/>
          <w:sz w:val="16"/>
          <w:szCs w:val="16"/>
        </w:rPr>
      </w:pPr>
      <w:r w:rsidRPr="007224C3">
        <w:rPr>
          <w:rFonts w:ascii="Times New Roman" w:eastAsia="Times New Roman" w:hAnsi="Times New Roman"/>
          <w:color w:val="000000" w:themeColor="text1"/>
          <w:sz w:val="16"/>
          <w:szCs w:val="16"/>
        </w:rPr>
        <w:t>- исключение схода снаряда с увлечением за собой направляющих укупорок [102].</w:t>
      </w:r>
    </w:p>
    <w:p w14:paraId="67547BE8" w14:textId="77777777" w:rsidR="00AD0763" w:rsidRPr="007224C3" w:rsidRDefault="00AD0763" w:rsidP="007224C3">
      <w:pPr>
        <w:spacing w:after="0" w:line="240" w:lineRule="auto"/>
        <w:jc w:val="both"/>
        <w:rPr>
          <w:rFonts w:ascii="Times New Roman" w:eastAsia="Times New Roman" w:hAnsi="Times New Roman"/>
          <w:color w:val="000000" w:themeColor="text1"/>
          <w:sz w:val="16"/>
          <w:szCs w:val="16"/>
        </w:rPr>
      </w:pPr>
      <w:r w:rsidRPr="007224C3">
        <w:rPr>
          <w:rFonts w:ascii="Times New Roman" w:eastAsia="Times New Roman" w:hAnsi="Times New Roman"/>
          <w:color w:val="000000" w:themeColor="text1"/>
          <w:sz w:val="16"/>
          <w:szCs w:val="16"/>
        </w:rPr>
        <w:t>В дальнейшем установка использовалась для пуска реактивных снарядов М-13УК калибра 132 мм (15981).</w:t>
      </w:r>
    </w:p>
    <w:p w14:paraId="2F225B35" w14:textId="77777777" w:rsidR="00AD0763" w:rsidRPr="007224C3" w:rsidRDefault="00AD0763" w:rsidP="007224C3">
      <w:pPr>
        <w:spacing w:after="0" w:line="240" w:lineRule="auto"/>
        <w:jc w:val="both"/>
        <w:rPr>
          <w:rFonts w:ascii="Times New Roman" w:eastAsia="Times New Roman" w:hAnsi="Times New Roman"/>
          <w:color w:val="000000" w:themeColor="text1"/>
          <w:sz w:val="16"/>
          <w:szCs w:val="16"/>
        </w:rPr>
      </w:pPr>
    </w:p>
    <w:p w14:paraId="5411D79F" w14:textId="77777777" w:rsidR="00AD0763" w:rsidRPr="007224C3" w:rsidRDefault="00AD0763" w:rsidP="007224C3">
      <w:pPr>
        <w:spacing w:after="0" w:line="240" w:lineRule="auto"/>
        <w:jc w:val="both"/>
        <w:rPr>
          <w:rFonts w:ascii="Times New Roman" w:hAnsi="Times New Roman"/>
          <w:color w:val="000000" w:themeColor="text1"/>
          <w:sz w:val="16"/>
          <w:szCs w:val="16"/>
        </w:rPr>
      </w:pPr>
      <w:r w:rsidRPr="007224C3">
        <w:rPr>
          <w:rFonts w:ascii="Times New Roman" w:eastAsia="Times New Roman" w:hAnsi="Times New Roman"/>
          <w:color w:val="000000" w:themeColor="text1"/>
          <w:sz w:val="16"/>
          <w:szCs w:val="16"/>
        </w:rPr>
        <w:t>В феврале-марте 1944 года по инициативе главного конструктора Бармина В.П. была разработана установка БМ-31-12 с сотовыми направляющими на доработанном шасси грузового автомобиля серии Studebaker. За исключением моноблока направляющих и электрооборудования остальные узлы установки были унифицированы с узлами боевой нормализованной установки М-13Н. Испытания, в частности, проводились на Софринском полигоне. Постановлением ГОКО</w:t>
      </w:r>
      <w:r w:rsidRPr="007224C3">
        <w:rPr>
          <w:rFonts w:ascii="Times New Roman" w:hAnsi="Times New Roman"/>
          <w:color w:val="000000" w:themeColor="text1"/>
          <w:sz w:val="16"/>
          <w:szCs w:val="16"/>
        </w:rPr>
        <w:t xml:space="preserve"> от 9 июня 1944 года "О </w:t>
      </w:r>
      <w:r w:rsidRPr="007224C3">
        <w:rPr>
          <w:rFonts w:ascii="Times New Roman" w:hAnsi="Times New Roman"/>
          <w:color w:val="000000" w:themeColor="text1"/>
          <w:sz w:val="16"/>
          <w:szCs w:val="16"/>
        </w:rPr>
        <w:lastRenderedPageBreak/>
        <w:t>принятии на вооружение Красной Армии боевых установок М-31 и перевооружении 12-ти дивизионов М-31" на вооружение Гвардейских минометных частей Красной Армии была принята двенадцатизарядная установка М-31 конструкции Бармина, смонтированная на автошасси для стрельбы снарядами М-31 улучшенной кучности. Постановлением также устанавливался план производства боевых установок М-31 на 2-й квартал 1944 года в количестве 250 штук. В приложении к постановлению указывается ее марка - БМ-31-12.</w:t>
      </w:r>
    </w:p>
    <w:p w14:paraId="4B89C0A8" w14:textId="77777777" w:rsidR="00AD0763" w:rsidRPr="007224C3" w:rsidRDefault="00AD0763" w:rsidP="007224C3">
      <w:pPr>
        <w:spacing w:after="0" w:line="240" w:lineRule="auto"/>
        <w:jc w:val="both"/>
        <w:rPr>
          <w:rFonts w:ascii="Times New Roman" w:eastAsia="Times New Roman" w:hAnsi="Times New Roman"/>
          <w:color w:val="000000" w:themeColor="text1"/>
          <w:sz w:val="16"/>
          <w:szCs w:val="16"/>
        </w:rPr>
      </w:pPr>
      <w:r w:rsidRPr="007224C3">
        <w:rPr>
          <w:rFonts w:ascii="Times New Roman" w:eastAsia="Times New Roman" w:hAnsi="Times New Roman"/>
          <w:color w:val="000000" w:themeColor="text1"/>
          <w:sz w:val="16"/>
          <w:szCs w:val="16"/>
        </w:rPr>
        <w:t>Преимуществами установки БМ-31-12 по сравнению со станками М30 и М31 были:</w:t>
      </w:r>
    </w:p>
    <w:p w14:paraId="7EB0DB52" w14:textId="77777777" w:rsidR="00AD0763" w:rsidRPr="007224C3" w:rsidRDefault="00AD0763" w:rsidP="007224C3">
      <w:pPr>
        <w:spacing w:after="0" w:line="240" w:lineRule="auto"/>
        <w:jc w:val="both"/>
        <w:rPr>
          <w:rFonts w:ascii="Times New Roman" w:eastAsia="Times New Roman" w:hAnsi="Times New Roman"/>
          <w:color w:val="000000" w:themeColor="text1"/>
          <w:sz w:val="16"/>
          <w:szCs w:val="16"/>
        </w:rPr>
      </w:pPr>
      <w:r w:rsidRPr="007224C3">
        <w:rPr>
          <w:rFonts w:ascii="Times New Roman" w:eastAsia="Times New Roman" w:hAnsi="Times New Roman"/>
          <w:color w:val="000000" w:themeColor="text1"/>
          <w:sz w:val="16"/>
          <w:szCs w:val="16"/>
        </w:rPr>
        <w:t>- маневренность (возможность пережвижения);</w:t>
      </w:r>
    </w:p>
    <w:p w14:paraId="61DAE760" w14:textId="77777777" w:rsidR="00AD0763" w:rsidRPr="007224C3" w:rsidRDefault="00AD0763" w:rsidP="007224C3">
      <w:pPr>
        <w:spacing w:after="0" w:line="240" w:lineRule="auto"/>
        <w:jc w:val="both"/>
        <w:rPr>
          <w:rFonts w:ascii="Times New Roman" w:eastAsia="Times New Roman" w:hAnsi="Times New Roman"/>
          <w:color w:val="000000" w:themeColor="text1"/>
          <w:sz w:val="16"/>
          <w:szCs w:val="16"/>
        </w:rPr>
      </w:pPr>
      <w:r w:rsidRPr="007224C3">
        <w:rPr>
          <w:rFonts w:ascii="Times New Roman" w:eastAsia="Times New Roman" w:hAnsi="Times New Roman"/>
          <w:color w:val="000000" w:themeColor="text1"/>
          <w:sz w:val="16"/>
          <w:szCs w:val="16"/>
        </w:rPr>
        <w:t>- возможность стрельбы в диапазоне углов возвышения от +10 до +45°;</w:t>
      </w:r>
    </w:p>
    <w:p w14:paraId="25EB4131" w14:textId="77777777" w:rsidR="00AD0763" w:rsidRPr="007224C3" w:rsidRDefault="00AD0763" w:rsidP="007224C3">
      <w:pPr>
        <w:spacing w:after="0" w:line="240" w:lineRule="auto"/>
        <w:jc w:val="both"/>
        <w:rPr>
          <w:rFonts w:ascii="Times New Roman" w:eastAsia="Times New Roman" w:hAnsi="Times New Roman"/>
          <w:color w:val="000000" w:themeColor="text1"/>
          <w:sz w:val="16"/>
          <w:szCs w:val="16"/>
        </w:rPr>
      </w:pPr>
      <w:r w:rsidRPr="007224C3">
        <w:rPr>
          <w:rFonts w:ascii="Times New Roman" w:eastAsia="Times New Roman" w:hAnsi="Times New Roman"/>
          <w:color w:val="000000" w:themeColor="text1"/>
          <w:sz w:val="16"/>
          <w:szCs w:val="16"/>
        </w:rPr>
        <w:t>- лучшая кучность стрельбы;</w:t>
      </w:r>
    </w:p>
    <w:p w14:paraId="4D30BD2E" w14:textId="77777777" w:rsidR="00AD0763" w:rsidRPr="007224C3" w:rsidRDefault="00AD0763" w:rsidP="007224C3">
      <w:pPr>
        <w:spacing w:after="0" w:line="240" w:lineRule="auto"/>
        <w:jc w:val="both"/>
        <w:rPr>
          <w:rFonts w:ascii="Times New Roman" w:eastAsia="Times New Roman" w:hAnsi="Times New Roman"/>
          <w:color w:val="000000" w:themeColor="text1"/>
          <w:sz w:val="16"/>
          <w:szCs w:val="16"/>
        </w:rPr>
      </w:pPr>
      <w:r w:rsidRPr="007224C3">
        <w:rPr>
          <w:rFonts w:ascii="Times New Roman" w:eastAsia="Times New Roman" w:hAnsi="Times New Roman"/>
          <w:color w:val="000000" w:themeColor="text1"/>
          <w:sz w:val="16"/>
          <w:szCs w:val="16"/>
        </w:rPr>
        <w:t>- возможность выезда на позицию заряженной;</w:t>
      </w:r>
    </w:p>
    <w:p w14:paraId="61D67962" w14:textId="77777777" w:rsidR="00AD0763" w:rsidRPr="007224C3" w:rsidRDefault="00AD0763" w:rsidP="007224C3">
      <w:pPr>
        <w:spacing w:after="0" w:line="240" w:lineRule="auto"/>
        <w:jc w:val="both"/>
        <w:rPr>
          <w:rFonts w:ascii="Times New Roman" w:eastAsia="Times New Roman" w:hAnsi="Times New Roman"/>
          <w:color w:val="000000" w:themeColor="text1"/>
          <w:sz w:val="16"/>
          <w:szCs w:val="16"/>
        </w:rPr>
      </w:pPr>
      <w:r w:rsidRPr="007224C3">
        <w:rPr>
          <w:rFonts w:ascii="Times New Roman" w:eastAsia="Times New Roman" w:hAnsi="Times New Roman"/>
          <w:color w:val="000000" w:themeColor="text1"/>
          <w:sz w:val="16"/>
          <w:szCs w:val="16"/>
        </w:rPr>
        <w:t>- более удобное и быстрое заряжание при меньшем числе номеров расчета;</w:t>
      </w:r>
    </w:p>
    <w:p w14:paraId="7BFB7F1D" w14:textId="77777777" w:rsidR="00AD0763" w:rsidRPr="007224C3" w:rsidRDefault="00AD0763" w:rsidP="007224C3">
      <w:pPr>
        <w:spacing w:after="0" w:line="240" w:lineRule="auto"/>
        <w:jc w:val="both"/>
        <w:rPr>
          <w:rFonts w:ascii="Times New Roman" w:eastAsia="Times New Roman" w:hAnsi="Times New Roman"/>
          <w:color w:val="000000" w:themeColor="text1"/>
          <w:sz w:val="16"/>
          <w:szCs w:val="16"/>
        </w:rPr>
      </w:pPr>
      <w:r w:rsidRPr="007224C3">
        <w:rPr>
          <w:rFonts w:ascii="Times New Roman" w:eastAsia="Times New Roman" w:hAnsi="Times New Roman"/>
          <w:color w:val="000000" w:themeColor="text1"/>
          <w:sz w:val="16"/>
          <w:szCs w:val="16"/>
        </w:rPr>
        <w:t>- исключение схода снаряда с увлечением за собой направляющих укупорок [102].</w:t>
      </w:r>
    </w:p>
    <w:p w14:paraId="7A48658E" w14:textId="77777777" w:rsidR="00AD0763" w:rsidRPr="007224C3" w:rsidRDefault="00AD0763" w:rsidP="007224C3">
      <w:pPr>
        <w:spacing w:after="0" w:line="240" w:lineRule="auto"/>
        <w:jc w:val="both"/>
        <w:rPr>
          <w:rFonts w:ascii="Times New Roman" w:eastAsia="Times New Roman" w:hAnsi="Times New Roman"/>
          <w:color w:val="000000" w:themeColor="text1"/>
          <w:sz w:val="16"/>
          <w:szCs w:val="16"/>
        </w:rPr>
      </w:pPr>
      <w:r w:rsidRPr="007224C3">
        <w:rPr>
          <w:rFonts w:ascii="Times New Roman" w:eastAsia="Times New Roman" w:hAnsi="Times New Roman"/>
          <w:color w:val="000000" w:themeColor="text1"/>
          <w:sz w:val="16"/>
          <w:szCs w:val="16"/>
        </w:rPr>
        <w:t>В дальнейшем установка использовалась для пуска реактивных снарядов М-13УК калибра 132 мм (15981).</w:t>
      </w:r>
    </w:p>
    <w:p w14:paraId="466CF9B0" w14:textId="77777777" w:rsidR="00AD0763" w:rsidRPr="007224C3" w:rsidRDefault="00AD0763" w:rsidP="007224C3">
      <w:pPr>
        <w:spacing w:after="0" w:line="240" w:lineRule="auto"/>
        <w:jc w:val="both"/>
        <w:rPr>
          <w:rFonts w:ascii="Times New Roman" w:eastAsia="Times New Roman" w:hAnsi="Times New Roman"/>
          <w:color w:val="000000" w:themeColor="text1"/>
          <w:sz w:val="16"/>
          <w:szCs w:val="16"/>
        </w:rPr>
      </w:pPr>
    </w:p>
    <w:p w14:paraId="5DB3AD94"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5116DC0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50413D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феврале-марте 1944 года проходили первые испытания третьего прототипа Т-44-2, который был вооружен 122-мм орудием Д-25-44Т, отличавшимся от своего серийного собрата Д-25 унитарным заряжанием (предполагалось, что это повысит скорострельность орудия в танке), но окончились неудачно: орудие вышло из строя и было возвращено на завод (3862).</w:t>
      </w:r>
    </w:p>
    <w:p w14:paraId="387B1A3E"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AA9A42"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феврале—марте 1944 г. одна из первых трех машин Т-44 первой модификации прошла испытания на НИБТ поли</w:t>
      </w:r>
      <w:r w:rsidRPr="007224C3">
        <w:rPr>
          <w:rFonts w:ascii="Times New Roman" w:hAnsi="Times New Roman"/>
          <w:color w:val="000000" w:themeColor="text1"/>
          <w:sz w:val="16"/>
          <w:szCs w:val="16"/>
        </w:rPr>
        <w:softHyphen/>
        <w:t>гоне, в результате которых было выявлено большое количество конструктивных недо</w:t>
      </w:r>
      <w:r w:rsidRPr="007224C3">
        <w:rPr>
          <w:rFonts w:ascii="Times New Roman" w:hAnsi="Times New Roman"/>
          <w:color w:val="000000" w:themeColor="text1"/>
          <w:sz w:val="16"/>
          <w:szCs w:val="16"/>
        </w:rPr>
        <w:softHyphen/>
        <w:t>статков. На третьем опытном образце танка ус</w:t>
      </w:r>
      <w:r w:rsidRPr="007224C3">
        <w:rPr>
          <w:rFonts w:ascii="Times New Roman" w:hAnsi="Times New Roman"/>
          <w:color w:val="000000" w:themeColor="text1"/>
          <w:sz w:val="16"/>
          <w:szCs w:val="16"/>
        </w:rPr>
        <w:softHyphen/>
        <w:t>танавливалась 122-мм пушка Д-25-44 (11468).</w:t>
      </w:r>
    </w:p>
    <w:p w14:paraId="5CECB8BB"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96ED14" w14:textId="77777777" w:rsidR="00112471" w:rsidRPr="007224C3" w:rsidRDefault="00112471"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 феврале-марте 1944 года провели первые испытания Т-44 со 122-мм оруди</w:t>
      </w:r>
      <w:r w:rsidRPr="007224C3">
        <w:rPr>
          <w:rFonts w:ascii="Times New Roman" w:hAnsi="Times New Roman"/>
          <w:color w:val="0070C0"/>
          <w:sz w:val="16"/>
          <w:szCs w:val="16"/>
        </w:rPr>
        <w:softHyphen/>
        <w:t>ем, но окончились они неудачно: орудие вышло из строя и было возвращено на завод. В апреле, после переустановки башни на корпус прото</w:t>
      </w:r>
      <w:r w:rsidRPr="007224C3">
        <w:rPr>
          <w:rFonts w:ascii="Times New Roman" w:hAnsi="Times New Roman"/>
          <w:color w:val="0070C0"/>
          <w:sz w:val="16"/>
          <w:szCs w:val="16"/>
        </w:rPr>
        <w:softHyphen/>
        <w:t>типа №3, испытания возобновились. Выясни</w:t>
      </w:r>
      <w:r w:rsidRPr="007224C3">
        <w:rPr>
          <w:rFonts w:ascii="Times New Roman" w:hAnsi="Times New Roman"/>
          <w:color w:val="0070C0"/>
          <w:sz w:val="16"/>
          <w:szCs w:val="16"/>
        </w:rPr>
        <w:softHyphen/>
        <w:t>лось, что существенного повышения скоро</w:t>
      </w:r>
      <w:r w:rsidRPr="007224C3">
        <w:rPr>
          <w:rFonts w:ascii="Times New Roman" w:hAnsi="Times New Roman"/>
          <w:color w:val="0070C0"/>
          <w:sz w:val="16"/>
          <w:szCs w:val="16"/>
        </w:rPr>
        <w:softHyphen/>
        <w:t>стрельности за счет унитарного заряжания добиться не удается. Скорострельность составила всего 2-3 выстр./мин. (при раз</w:t>
      </w:r>
      <w:r w:rsidRPr="007224C3">
        <w:rPr>
          <w:rFonts w:ascii="Times New Roman" w:hAnsi="Times New Roman"/>
          <w:color w:val="0070C0"/>
          <w:sz w:val="16"/>
          <w:szCs w:val="16"/>
        </w:rPr>
        <w:softHyphen/>
        <w:t>дельном заряжании - 1 выстр./мин). Боль</w:t>
      </w:r>
      <w:r w:rsidRPr="007224C3">
        <w:rPr>
          <w:rFonts w:ascii="Times New Roman" w:hAnsi="Times New Roman"/>
          <w:color w:val="0070C0"/>
          <w:sz w:val="16"/>
          <w:szCs w:val="16"/>
        </w:rPr>
        <w:softHyphen/>
        <w:t>шая масса и размер унитарного выстрела сильно осложняли работу экипажа. Заряжать пушку из-за ее низкой посадки и недостаточ</w:t>
      </w:r>
      <w:r w:rsidRPr="007224C3">
        <w:rPr>
          <w:rFonts w:ascii="Times New Roman" w:hAnsi="Times New Roman"/>
          <w:color w:val="0070C0"/>
          <w:sz w:val="16"/>
          <w:szCs w:val="16"/>
        </w:rPr>
        <w:softHyphen/>
        <w:t>ного «заднего отрезка» даже в башне с пого</w:t>
      </w:r>
      <w:r w:rsidRPr="007224C3">
        <w:rPr>
          <w:rFonts w:ascii="Times New Roman" w:hAnsi="Times New Roman"/>
          <w:color w:val="0070C0"/>
          <w:sz w:val="16"/>
          <w:szCs w:val="16"/>
        </w:rPr>
        <w:softHyphen/>
        <w:t>ном в 1800 мм было очень сложно. К тому же, боекомплект, составлявший всего 24 выстре</w:t>
      </w:r>
      <w:r w:rsidRPr="007224C3">
        <w:rPr>
          <w:rFonts w:ascii="Times New Roman" w:hAnsi="Times New Roman"/>
          <w:color w:val="0070C0"/>
          <w:sz w:val="16"/>
          <w:szCs w:val="16"/>
        </w:rPr>
        <w:softHyphen/>
        <w:t>ла, сочли явно недостаточным (19935).</w:t>
      </w:r>
    </w:p>
    <w:p w14:paraId="1311DA5B" w14:textId="77777777" w:rsidR="00112471" w:rsidRPr="007224C3" w:rsidRDefault="00112471" w:rsidP="007224C3">
      <w:pPr>
        <w:spacing w:after="0" w:line="240" w:lineRule="auto"/>
        <w:jc w:val="both"/>
        <w:rPr>
          <w:rFonts w:ascii="Times New Roman" w:hAnsi="Times New Roman"/>
          <w:color w:val="0070C0"/>
          <w:sz w:val="16"/>
          <w:szCs w:val="16"/>
        </w:rPr>
      </w:pPr>
    </w:p>
    <w:p w14:paraId="0077C736"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феврале-марте 1944 г. два эталонных танка Т-44 испытывались совместно с Т-34 и трофейной «Пантерой» и про</w:t>
      </w:r>
      <w:r w:rsidRPr="007224C3">
        <w:rPr>
          <w:rFonts w:ascii="Times New Roman" w:hAnsi="Times New Roman"/>
          <w:color w:val="000000" w:themeColor="text1"/>
          <w:sz w:val="16"/>
          <w:szCs w:val="16"/>
        </w:rPr>
        <w:softHyphen/>
        <w:t>демонстрировали свои преимущества не только в плане бое</w:t>
      </w:r>
      <w:r w:rsidRPr="007224C3">
        <w:rPr>
          <w:rFonts w:ascii="Times New Roman" w:hAnsi="Times New Roman"/>
          <w:color w:val="000000" w:themeColor="text1"/>
          <w:sz w:val="16"/>
          <w:szCs w:val="16"/>
        </w:rPr>
        <w:softHyphen/>
        <w:t>вых качеств, но также в отношении надежности механизмов и узлов. Помимо этого, Т-44 был легче обоих указанных об</w:t>
      </w:r>
      <w:r w:rsidRPr="007224C3">
        <w:rPr>
          <w:rFonts w:ascii="Times New Roman" w:hAnsi="Times New Roman"/>
          <w:color w:val="000000" w:themeColor="text1"/>
          <w:sz w:val="16"/>
          <w:szCs w:val="16"/>
        </w:rPr>
        <w:softHyphen/>
        <w:t>разцов, а его броневая защита в лобовой части оказалась не хуже немецкой кошки. При этом вооружение нового танка оказалось на уровне тяжелого танка ИС и немецкого «Тигра» и могло быть еще усилено установкой новой башни (11135).</w:t>
      </w:r>
    </w:p>
    <w:p w14:paraId="0E221DF7"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E43AD0" w14:textId="77777777" w:rsidR="00337326" w:rsidRPr="007224C3" w:rsidRDefault="0033732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феврале-марта 1944 проходили полигонные испытания первого опытного образца танка Т-44 (18276).</w:t>
      </w:r>
    </w:p>
    <w:p w14:paraId="47B117BD" w14:textId="77777777" w:rsidR="00337326" w:rsidRPr="007224C3" w:rsidRDefault="00337326" w:rsidP="007224C3">
      <w:pPr>
        <w:spacing w:after="0" w:line="240" w:lineRule="auto"/>
        <w:jc w:val="both"/>
        <w:rPr>
          <w:rFonts w:ascii="Times New Roman" w:hAnsi="Times New Roman"/>
          <w:color w:val="000000" w:themeColor="text1"/>
          <w:sz w:val="16"/>
          <w:szCs w:val="16"/>
        </w:rPr>
      </w:pPr>
    </w:p>
    <w:p w14:paraId="6FE88B78"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 марте 1944 г. один из танков Т-44 первой модификации прошел испытания на НИБТ полигоне, в результате которых было выявлено много конструктивных недостатков новой машины. Третий опытный танк Т-44-122 был вооружен 122-мм пушкой Д-25-44. После устранения недостатков, выявленных на полигонных испыта</w:t>
      </w:r>
      <w:r w:rsidRPr="007224C3">
        <w:rPr>
          <w:rFonts w:ascii="Times New Roman" w:hAnsi="Times New Roman"/>
          <w:color w:val="000000" w:themeColor="text1"/>
          <w:sz w:val="16"/>
          <w:szCs w:val="16"/>
        </w:rPr>
        <w:softHyphen/>
        <w:t>ниях, были изготовлены два танка второй модификации. Один из них был испытан на НИБТ полигоне в июне - июле 1944 г. Танк имел бое</w:t>
      </w:r>
      <w:r w:rsidRPr="007224C3">
        <w:rPr>
          <w:rFonts w:ascii="Times New Roman" w:hAnsi="Times New Roman"/>
          <w:color w:val="000000" w:themeColor="text1"/>
          <w:sz w:val="16"/>
          <w:szCs w:val="16"/>
        </w:rPr>
        <w:softHyphen/>
        <w:t>вую массу 31,3 т, был вооружен 85-мм пушкой ЗИС-С-53. Толщина бро</w:t>
      </w:r>
      <w:r w:rsidRPr="007224C3">
        <w:rPr>
          <w:rFonts w:ascii="Times New Roman" w:hAnsi="Times New Roman"/>
          <w:color w:val="000000" w:themeColor="text1"/>
          <w:sz w:val="16"/>
          <w:szCs w:val="16"/>
        </w:rPr>
        <w:softHyphen/>
        <w:t>ни лобовой части башни была увеличена до 115 мм, а борта корпуса из</w:t>
      </w:r>
      <w:r w:rsidRPr="007224C3">
        <w:rPr>
          <w:rFonts w:ascii="Times New Roman" w:hAnsi="Times New Roman"/>
          <w:color w:val="000000" w:themeColor="text1"/>
          <w:sz w:val="16"/>
          <w:szCs w:val="16"/>
        </w:rPr>
        <w:softHyphen/>
        <w:t>готавливались из катаных 75-мм броневых листов (10703).</w:t>
      </w:r>
    </w:p>
    <w:p w14:paraId="473B6451"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845CA7" w14:textId="77777777" w:rsidR="00337326" w:rsidRPr="007224C3" w:rsidRDefault="0033732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феврале-марте 1944 года всерьёз начала рассматриваться тема усиления защиты ИС-2. Причиной тому стал не самый успешный дебют предшественника — </w:t>
      </w:r>
      <w:hyperlink r:id="rId66" w:history="1">
        <w:r w:rsidRPr="007224C3">
          <w:rPr>
            <w:rStyle w:val="a5"/>
            <w:rFonts w:ascii="Times New Roman" w:hAnsi="Times New Roman"/>
            <w:color w:val="000000" w:themeColor="text1"/>
            <w:sz w:val="16"/>
            <w:szCs w:val="16"/>
            <w:u w:val="none"/>
          </w:rPr>
          <w:t>ИС-85</w:t>
        </w:r>
      </w:hyperlink>
      <w:r w:rsidRPr="007224C3">
        <w:rPr>
          <w:rFonts w:ascii="Times New Roman" w:hAnsi="Times New Roman"/>
          <w:color w:val="000000" w:themeColor="text1"/>
          <w:sz w:val="16"/>
          <w:szCs w:val="16"/>
        </w:rPr>
        <w:t>. В ходе первого же боя за Лисянку оказалось, что лобовая броня этих танков пробивается снарядами 75-мм орудий KwK 42 L/70, установленных на немецких </w:t>
      </w:r>
      <w:hyperlink r:id="rId67" w:history="1">
        <w:r w:rsidRPr="007224C3">
          <w:rPr>
            <w:rStyle w:val="a5"/>
            <w:rFonts w:ascii="Times New Roman" w:hAnsi="Times New Roman"/>
            <w:color w:val="000000" w:themeColor="text1"/>
            <w:sz w:val="16"/>
            <w:szCs w:val="16"/>
            <w:u w:val="none"/>
          </w:rPr>
          <w:t>Pz.Kpfw.Panther</w:t>
        </w:r>
      </w:hyperlink>
      <w:r w:rsidRPr="007224C3">
        <w:rPr>
          <w:rFonts w:ascii="Times New Roman" w:hAnsi="Times New Roman"/>
          <w:color w:val="000000" w:themeColor="text1"/>
          <w:sz w:val="16"/>
          <w:szCs w:val="16"/>
        </w:rPr>
        <w:t>. Причиной недостаточной защиты стал и заводской брак, но было очевидно: против пушки «Пантеры» лоб нового советского тяжёлого танка слабоват. А ИС-2 имел такой же корпус и аналогичную по конструкции башню (18099).</w:t>
      </w:r>
    </w:p>
    <w:p w14:paraId="0CE35BB9" w14:textId="77777777" w:rsidR="00337326" w:rsidRPr="007224C3" w:rsidRDefault="0033732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Работы велись по двум направлениям. 8 апреля 1944 года было подписано постановление ГКО №5583сс «Об изготовлении опытных образцов нового тяжёлого танка на Кировском заводе НКТП». Его третий пункт предписывал в трёхмесячный срок провести необходимые работы по усилению броневой защиты ИС-2. Также требовалось усовершенствовать трансмиссию и ходовую часть, используя наработки по проекту тяжёлого танка Объект 701. Фактически речь шла о глубокой модернизации ИС-2. Данные работы велись как СКБ-2 Челябинского Кировского завода (ЧКЗ), так и опытным заводом №100. На опытном заводе приоритет получила глубокая модернизация машины, что привело к появлению </w:t>
      </w:r>
      <w:hyperlink r:id="rId68" w:history="1">
        <w:r w:rsidRPr="007224C3">
          <w:rPr>
            <w:rStyle w:val="a5"/>
            <w:rFonts w:ascii="Times New Roman" w:hAnsi="Times New Roman"/>
            <w:color w:val="000000" w:themeColor="text1"/>
            <w:sz w:val="16"/>
            <w:szCs w:val="16"/>
            <w:u w:val="none"/>
          </w:rPr>
          <w:t>нескольких проектов</w:t>
        </w:r>
      </w:hyperlink>
      <w:r w:rsidRPr="007224C3">
        <w:rPr>
          <w:rFonts w:ascii="Times New Roman" w:hAnsi="Times New Roman"/>
          <w:color w:val="000000" w:themeColor="text1"/>
          <w:sz w:val="16"/>
          <w:szCs w:val="16"/>
        </w:rPr>
        <w:t>, которые, впрочем, так и не вышли за рамки эскизных работ.</w:t>
      </w:r>
    </w:p>
    <w:p w14:paraId="09426EA6" w14:textId="77777777" w:rsidR="00337326" w:rsidRPr="007224C3" w:rsidRDefault="0033732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СКБ-2 ЧКЗ выбрало для себя другой путь. В отличие от опытного завода, мало связанного с производственниками, в КБ при заводе-производителе прекрасно понимали специфику работ. Здесь уже и так велись работы по новому танку Объект 701, который в перспективе должен был заменить ИС-2. Радикальная модернизация ИС-2, таким образом, могла стать конкурентом для своего же проекта. Кроме того, над ЧКЗ дамокловым мечом висело требование об увеличении объёмов производства как ИС, так и самоходных установок на его базе. Поэтому большой модернизацией там и не занимались, по крайней мере, до середины лета 1944 года. А вот конструкцию и качество серийной машины на ЧКЗ постоянно улучшали. Например, в июне 1944 года здесь внедрили изменённую конструкцию башни и орудийной бронировки, которая стала немного лучше «держать» снаряды с лобовой проекции (18099).</w:t>
      </w:r>
    </w:p>
    <w:p w14:paraId="549B90BF" w14:textId="77777777" w:rsidR="00337326" w:rsidRPr="007224C3" w:rsidRDefault="0033732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Наиболее проблемной оказалась конструкция лобовой части корпуса. Одна её характерная черта была унаследована даже не от КВ-13, а ещё от КВ-1. Речь идёт о своеобразной «ступеньке», в которой размещался смотровой люк механика-водителя. Такое решение улучшало обзорность, но создавало целую массу проблем. «Ступенька» заметно усложняла конструкцию лобовой детали корпуса и часто становилась причиной брака. Кроме того, смотровой люк являлся крайне уязвимым элементом. Часть поражений лобовой детали ИС-85 в ходе дебюта под Лисянкой пришлась именно на люк. Верхняя часть самой «ступеньки» имела небольшой угол наклона, что также не способствовало улучшению ситуации с защитой.</w:t>
      </w:r>
    </w:p>
    <w:p w14:paraId="6F0CE34C" w14:textId="77777777" w:rsidR="00337326" w:rsidRPr="007224C3" w:rsidRDefault="00337326" w:rsidP="007224C3">
      <w:pPr>
        <w:spacing w:after="0" w:line="240" w:lineRule="auto"/>
        <w:jc w:val="both"/>
        <w:rPr>
          <w:rFonts w:ascii="Times New Roman" w:hAnsi="Times New Roman"/>
          <w:color w:val="000000" w:themeColor="text1"/>
          <w:sz w:val="16"/>
          <w:szCs w:val="16"/>
        </w:rPr>
      </w:pPr>
    </w:p>
    <w:p w14:paraId="5C78DABC" w14:textId="77777777" w:rsidR="00337326" w:rsidRPr="007224C3" w:rsidRDefault="00337326"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 марте 1944 г. опытный образец танка Объект 245, который по документам НКТП проходил под маркой ИС-4, был изготовлен. Установка основного оружия в башню танка была произведена в марте - апреле на заводе № 9 НКВ. Ведущим инженером машины от завода № 100 был Н.И. Заморянский, от завода № 9 - М.Е. Безусов. В период с марта по апрель и в июне 1944 г. машина прошла заводские испытания. На вооружение танк не принимался и серийном производстве не состоял. Танк был создан на базе серийного танка ИС-1 и отличался от него установкой 100-мм пушки Д-10Т с длиной ствола 56 калибров и клино</w:t>
      </w:r>
      <w:r w:rsidRPr="007224C3">
        <w:rPr>
          <w:rFonts w:ascii="Times New Roman" w:hAnsi="Times New Roman"/>
          <w:color w:val="000000" w:themeColor="text1"/>
          <w:sz w:val="16"/>
          <w:szCs w:val="16"/>
        </w:rPr>
        <w:softHyphen/>
        <w:t>вым затвором. Высота линии огня составляла 1950 мм, длина отката -570 мм. Вместе с пушкой был спарен 7,62-мм пулемет ДТ. Для наводки в цель спаренной установки оружия использовался телескопический шарнирный прицел ТШ с 2,5-кратным увеличением. Углы вертикаль</w:t>
      </w:r>
      <w:r w:rsidRPr="007224C3">
        <w:rPr>
          <w:rFonts w:ascii="Times New Roman" w:hAnsi="Times New Roman"/>
          <w:color w:val="000000" w:themeColor="text1"/>
          <w:sz w:val="16"/>
          <w:szCs w:val="16"/>
        </w:rPr>
        <w:softHyphen/>
        <w:t>ной наводки пушки находились в интервале от -3 до +20°. Для удале</w:t>
      </w:r>
      <w:r w:rsidRPr="007224C3">
        <w:rPr>
          <w:rFonts w:ascii="Times New Roman" w:hAnsi="Times New Roman"/>
          <w:color w:val="000000" w:themeColor="text1"/>
          <w:sz w:val="16"/>
          <w:szCs w:val="16"/>
        </w:rPr>
        <w:softHyphen/>
        <w:t>ния пороховых газов из боевого отделения применялся вентилятор по</w:t>
      </w:r>
      <w:r w:rsidRPr="007224C3">
        <w:rPr>
          <w:rFonts w:ascii="Times New Roman" w:hAnsi="Times New Roman"/>
          <w:color w:val="000000" w:themeColor="text1"/>
          <w:sz w:val="16"/>
          <w:szCs w:val="16"/>
        </w:rPr>
        <w:softHyphen/>
        <w:t>вышенной производительности (10703).</w:t>
      </w:r>
    </w:p>
    <w:p w14:paraId="236C4F84" w14:textId="77777777" w:rsidR="00337326" w:rsidRPr="007224C3" w:rsidRDefault="00337326"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33400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 марте 1944 г. три опытных образца бронеавтомобиля БА-64Е прошли войсковые испытания в 3-й Гвардейской танковой ар</w:t>
      </w:r>
      <w:r w:rsidRPr="007224C3">
        <w:rPr>
          <w:rFonts w:ascii="Times New Roman" w:hAnsi="Times New Roman"/>
          <w:color w:val="000000" w:themeColor="text1"/>
          <w:sz w:val="16"/>
          <w:szCs w:val="16"/>
        </w:rPr>
        <w:softHyphen/>
        <w:t>мии и 7-м Нежинском механизированном корпусе, по результатам кото</w:t>
      </w:r>
      <w:r w:rsidRPr="007224C3">
        <w:rPr>
          <w:rFonts w:ascii="Times New Roman" w:hAnsi="Times New Roman"/>
          <w:color w:val="000000" w:themeColor="text1"/>
          <w:sz w:val="16"/>
          <w:szCs w:val="16"/>
        </w:rPr>
        <w:softHyphen/>
        <w:t>рых машины получили отрицательное заключение (10703).</w:t>
      </w:r>
    </w:p>
    <w:p w14:paraId="022C853F"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1006B8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и октябре 1944 г. со</w:t>
      </w:r>
      <w:r w:rsidRPr="007224C3">
        <w:rPr>
          <w:rFonts w:ascii="Times New Roman" w:hAnsi="Times New Roman"/>
          <w:color w:val="000000" w:themeColor="text1"/>
          <w:sz w:val="16"/>
          <w:szCs w:val="16"/>
        </w:rPr>
        <w:softHyphen/>
        <w:t>ответственно пл М-202 ("Рыбник Донбаса") и М-203 ("Иркутский рыбак") были сданы заводом 638 на Черном море (3898).</w:t>
      </w:r>
    </w:p>
    <w:p w14:paraId="082AB368"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314336"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21EC62AA"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491DCF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феврале-марте 1944 года под Мелитополем действовала группа из 10 С-47 под командованием Б.Лабутина. В условиях распутицы только авиация позволяла поддерживать темпы наступления. Самолеты подвозили патроны, снаряды (в том числе для реактивных минометов), продукты, обувь и обмундирование. Обратными рейсами вывозили раненых. Летали недалеко, поэтому, делали по 5-6 вылетов в день (3457,135).</w:t>
      </w:r>
    </w:p>
    <w:p w14:paraId="6AD6B4F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E93B46" w14:textId="77777777" w:rsidR="00673CAB" w:rsidRPr="007224C3" w:rsidRDefault="00673CA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 апреле 1944 г. 1-й оапп работал в полосе 1-го Прибалтийского фронта. Полк потерял три экипажа, но доставил партизанам 41 т вооружения, боеприпасов и других грузов (12266).</w:t>
      </w:r>
    </w:p>
    <w:p w14:paraId="1393DAA7" w14:textId="77777777" w:rsidR="00673CAB" w:rsidRPr="007224C3" w:rsidRDefault="00673CAB" w:rsidP="007224C3">
      <w:pPr>
        <w:spacing w:after="0" w:line="240" w:lineRule="auto"/>
        <w:jc w:val="both"/>
        <w:rPr>
          <w:rFonts w:ascii="Times New Roman" w:hAnsi="Times New Roman"/>
          <w:color w:val="000000" w:themeColor="text1"/>
          <w:sz w:val="16"/>
          <w:szCs w:val="16"/>
        </w:rPr>
      </w:pPr>
    </w:p>
    <w:p w14:paraId="2A37F390" w14:textId="77777777" w:rsidR="00673CAB" w:rsidRPr="007224C3" w:rsidRDefault="00673CA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В феврале—апреле 1944 г. 1 -й оапп работал в по</w:t>
      </w:r>
      <w:r w:rsidRPr="007224C3">
        <w:rPr>
          <w:rFonts w:ascii="Times New Roman" w:hAnsi="Times New Roman"/>
          <w:color w:val="000000" w:themeColor="text1"/>
          <w:sz w:val="16"/>
          <w:szCs w:val="16"/>
        </w:rPr>
        <w:softHyphen/>
        <w:t>лосе 1-го Прибалтийского фронта. Полк потерял три экипажа, но доставил партизанам 41 т вооружения, боеприпасов и других грузов.</w:t>
      </w:r>
    </w:p>
    <w:p w14:paraId="3F87AC4F" w14:textId="77777777" w:rsidR="00673CAB" w:rsidRPr="007224C3" w:rsidRDefault="00673CA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Последний полет на планере к партизанам Бело</w:t>
      </w:r>
      <w:r w:rsidRPr="007224C3">
        <w:rPr>
          <w:rFonts w:ascii="Times New Roman" w:hAnsi="Times New Roman"/>
          <w:color w:val="000000" w:themeColor="text1"/>
          <w:sz w:val="16"/>
          <w:szCs w:val="16"/>
        </w:rPr>
        <w:softHyphen/>
        <w:t>руссии в район Ушачи совершил А. Синицын в апреле 1944 г. На этом боевые планерные операции в Вели</w:t>
      </w:r>
      <w:r w:rsidRPr="007224C3">
        <w:rPr>
          <w:rFonts w:ascii="Times New Roman" w:hAnsi="Times New Roman"/>
          <w:color w:val="000000" w:themeColor="text1"/>
          <w:sz w:val="16"/>
          <w:szCs w:val="16"/>
        </w:rPr>
        <w:softHyphen/>
        <w:t>кой Отечественной войне закончились (12300).</w:t>
      </w:r>
    </w:p>
    <w:p w14:paraId="52EA3A19" w14:textId="77777777" w:rsidR="00673CAB" w:rsidRPr="007224C3" w:rsidRDefault="00673CAB" w:rsidP="007224C3">
      <w:pPr>
        <w:spacing w:after="0" w:line="240" w:lineRule="auto"/>
        <w:jc w:val="both"/>
        <w:rPr>
          <w:rFonts w:ascii="Times New Roman" w:hAnsi="Times New Roman"/>
          <w:color w:val="000000" w:themeColor="text1"/>
          <w:sz w:val="16"/>
          <w:szCs w:val="16"/>
        </w:rPr>
      </w:pPr>
    </w:p>
    <w:p w14:paraId="7EC3C465" w14:textId="77777777" w:rsidR="00673CAB" w:rsidRPr="007224C3" w:rsidRDefault="00673CAB" w:rsidP="007224C3">
      <w:pPr>
        <w:pStyle w:val="aff4"/>
        <w:shd w:val="clear" w:color="auto" w:fill="auto"/>
        <w:tabs>
          <w:tab w:val="left" w:pos="130"/>
        </w:tabs>
        <w:spacing w:line="240" w:lineRule="auto"/>
        <w:rPr>
          <w:rFonts w:ascii="Times New Roman" w:hAnsi="Times New Roman" w:cs="Times New Roman"/>
          <w:i w:val="0"/>
          <w:color w:val="000000" w:themeColor="text1"/>
          <w:sz w:val="16"/>
          <w:szCs w:val="16"/>
          <w:lang w:val="ru-RU"/>
        </w:rPr>
      </w:pPr>
      <w:r w:rsidRPr="007224C3">
        <w:rPr>
          <w:rFonts w:ascii="Times New Roman" w:hAnsi="Times New Roman" w:cs="Times New Roman"/>
          <w:i w:val="0"/>
          <w:color w:val="000000" w:themeColor="text1"/>
          <w:sz w:val="16"/>
          <w:szCs w:val="16"/>
          <w:lang w:val="ru-RU"/>
        </w:rPr>
        <w:t>В феврале 1944 года было письмо И. В. Сталину командующего бронетанковыми и механизированными войсками Красной Армии генерал-полковника Я. Н. Федоренко: «Докладываю, что потребность в танках на фронтах с каждым месяцем увеличивается. Танковые и механизированные войска Действующей Армии, беспрерывно участвуя во всех операциях наших войск, имеют значительную убыль в танках. Выпускаемое количество танков заводами Наркомтанкопрома не дает возможности удовлетворить минимальной потребности укомплектования действующих танковых частей. Создать же танковый резерв Ставки к весне 1944 года не представляется никакой возможности (Мировые войны ХХ века. Кн. 4. Вторая мировая война: документы и материалы / Сост. Ю. А. Никифоров, отв. ред. М. Ю. Мягков. М., 2002. С. 422).» Далее Федоренко требует повысить месячное производство с 1575 средних и тяжелых танков и САУ до 1825 в марте, 2000 в апреле, 2200 в мае, а в октябре 1944 года Федоренко считал возможным довести производство танков до 3000 в месяц. Записка показывает, что реакцией на высокие потери было не требование дать новую технику, применение которой снизит потери, а дать больше танков, чтобы потери компенсировать. Эта позиция обрекала Т-44 на печальную судьбу (12290).</w:t>
      </w:r>
    </w:p>
    <w:p w14:paraId="37524570" w14:textId="77777777" w:rsidR="00673CAB" w:rsidRPr="007224C3" w:rsidRDefault="00673CAB" w:rsidP="007224C3">
      <w:pPr>
        <w:pStyle w:val="a3"/>
        <w:rPr>
          <w:color w:val="000000" w:themeColor="text1"/>
          <w:lang w:val="ru-RU"/>
        </w:rPr>
      </w:pPr>
    </w:p>
    <w:p w14:paraId="6A3E9F25"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7F6C36E3"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582AA9B"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конце зимы 1944 на заводе № 166 заложили следующую серию истребителей Як-9 с моторами М-107А и ее основой стал Як-9У, разработанный ОКБ-115 в декабое 1943. Хотя заводские испытания машина прошла сравнительно успешно, но многие недостатки, отмеченные в акте по результатам государственных испытаний, приходилось устранять в чертежах как бы задним числом. Это конечно сказалось на темпах работы омичей. По их рассказам, А.С.Яковлев, занятый другими работами, ни разу не посетил завод в течение всего 1944 г. и все вопросы согласовывало руководство завода с заместителем главного конструктора Н.К.Скржинским. Не обошлось и без горячей полемики.</w:t>
      </w:r>
    </w:p>
    <w:p w14:paraId="30D7FE2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воспоминаниям Л.С.Щавинского, в то время начальника летно-испытательной станции (ЛИС) 166-го завода, после первых “гонок двигателя” он не сомневался, что выхлопные патрубки слишком сильно прижаты к двигателю и это создает излишне высокую температуру в подкапотном пространстве истребителя. Скржинский же считал, что надо строить серию по чертежам опытного самолета и был противником внесения каких-либо изменений кроме тех, которые осуществил А.С.Яковлев. Тем не менее, результаты облета первого серийного Як-9У, собранного в Омске 16 марта 1944 г., показали, что изменения придется вносить, и в немалых количествах (4842).</w:t>
      </w:r>
    </w:p>
    <w:p w14:paraId="693E3C7D"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A38033" w14:textId="77777777" w:rsidR="001A00DE" w:rsidRPr="007224C3" w:rsidRDefault="001A00DE"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0279D084" w14:textId="77777777" w:rsidR="001A00DE" w:rsidRPr="007224C3" w:rsidRDefault="001A00DE"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640FCF8" w14:textId="77777777" w:rsidR="001A00DE" w:rsidRPr="007224C3" w:rsidRDefault="001A00DE" w:rsidP="007224C3">
      <w:pPr>
        <w:pStyle w:val="ae"/>
        <w:shd w:val="clear" w:color="auto" w:fill="FFFFFF"/>
        <w:spacing w:before="0" w:after="0"/>
        <w:jc w:val="both"/>
        <w:rPr>
          <w:color w:val="000000" w:themeColor="text1"/>
          <w:sz w:val="16"/>
          <w:szCs w:val="16"/>
        </w:rPr>
      </w:pPr>
      <w:r w:rsidRPr="007224C3">
        <w:rPr>
          <w:color w:val="000000" w:themeColor="text1"/>
          <w:sz w:val="16"/>
          <w:szCs w:val="16"/>
        </w:rPr>
        <w:t>На зиму-весну 1944 года пришёлся пик боевого применения ИС-85. 8-й гв. ттп оказался соседом 13-го гв. ттп, действуя вместе с ним в составе 3-го танкового корпуса. На фронт полк прибыл в то же время, 19 февраля 1944 года. К 13 марта в составе полка осталось 5 танков. Как и в случае с 13-м гв. ттп, часть потерь была вызвана техническими причинами. 58-й и 1-й гв. ттп в марте 1944 года действовали в составе 1-й гвардейской армии.</w:t>
      </w:r>
    </w:p>
    <w:p w14:paraId="56358598" w14:textId="77777777" w:rsidR="001A00DE" w:rsidRPr="007224C3" w:rsidRDefault="001A00DE" w:rsidP="007224C3">
      <w:pPr>
        <w:pStyle w:val="ae"/>
        <w:shd w:val="clear" w:color="auto" w:fill="FFFFFF"/>
        <w:spacing w:before="0" w:after="0"/>
        <w:jc w:val="both"/>
        <w:rPr>
          <w:color w:val="000000" w:themeColor="text1"/>
          <w:sz w:val="16"/>
          <w:szCs w:val="16"/>
        </w:rPr>
      </w:pPr>
      <w:r w:rsidRPr="007224C3">
        <w:rPr>
          <w:color w:val="000000" w:themeColor="text1"/>
          <w:sz w:val="16"/>
          <w:szCs w:val="16"/>
        </w:rPr>
        <w:t>24 марта последовал приказ вывести полки на переформирования, после чего все уцелевшие ИС-85 оказались в составе 1-го гв. ттп. Почти все полки, ранее имевшие на вооружении ИС-1, получили ИС-2. ИС-1 «всплывали» позже как командирские, например, в составе 71-го гв. ттп.</w:t>
      </w:r>
    </w:p>
    <w:p w14:paraId="5E52FE58" w14:textId="77777777" w:rsidR="001A00DE" w:rsidRPr="007224C3" w:rsidRDefault="001A00DE" w:rsidP="007224C3">
      <w:pPr>
        <w:pStyle w:val="ae"/>
        <w:shd w:val="clear" w:color="auto" w:fill="FFFFFF"/>
        <w:spacing w:before="0" w:after="0"/>
        <w:jc w:val="both"/>
        <w:rPr>
          <w:color w:val="000000" w:themeColor="text1"/>
          <w:sz w:val="16"/>
          <w:szCs w:val="16"/>
        </w:rPr>
      </w:pPr>
      <w:r w:rsidRPr="007224C3">
        <w:rPr>
          <w:color w:val="000000" w:themeColor="text1"/>
          <w:sz w:val="16"/>
          <w:szCs w:val="16"/>
        </w:rPr>
        <w:t>Единственным полком, в котором ИС-1 задержались надолго, оказался 1-й гв. ттп. Ко 2 апреля в нём имелось 5 танков данного типа, к концу месяца их осталось 2. В мае полк имел очень пёстрый состав: 18 ИС-1, 4 ИС-2, 5 СУ-76, 5 ИСУ-152 и даже 1 Т-70. Правда, из этого числа 15 ИС-1 требовали капитального ремонта, так что их быстро изъяли. В середине июля 1944 года, когда началась Львовско-Сандомирская операция, полк имел на вооружении 12 ИС и ИСУ, 3 Т-34 и 5 СУ-76. Крайне неоднородный состав полка сохранился и далее. К 6 августа в боеготовности находилось 6 ИС-1, 1 ИС-2, 1 КВ-85 и 1 ИСУ-152. В среднем ремонте находилось по одному КВ-1с, ИС-1 и ИС-2, плюс 2 ИСУ-152.</w:t>
      </w:r>
    </w:p>
    <w:p w14:paraId="30F465EA" w14:textId="77777777" w:rsidR="001A00DE" w:rsidRPr="007224C3" w:rsidRDefault="001A00DE" w:rsidP="007224C3">
      <w:pPr>
        <w:pStyle w:val="ae"/>
        <w:shd w:val="clear" w:color="auto" w:fill="FFFFFF"/>
        <w:spacing w:before="0" w:after="0"/>
        <w:jc w:val="both"/>
        <w:rPr>
          <w:color w:val="000000" w:themeColor="text1"/>
          <w:sz w:val="16"/>
          <w:szCs w:val="16"/>
        </w:rPr>
      </w:pPr>
      <w:r w:rsidRPr="007224C3">
        <w:rPr>
          <w:color w:val="000000" w:themeColor="text1"/>
          <w:sz w:val="16"/>
          <w:szCs w:val="16"/>
        </w:rPr>
        <w:t>В таком пёстром составе полк участвовал в Восточно-Карпатской операции. К этому периоду относится последний случай массового применения ИС-1. Помимо 1-го гв. ттп, эти танки использовались примерно в тех же местах и 12-й гвардейской танковой бригадой, которая к 18 октября 1944 года получила пополнение и имела 11 ИС-1, 4 ИС-2 и 30 Т-34.</w:t>
      </w:r>
    </w:p>
    <w:p w14:paraId="2AF683B9" w14:textId="77777777" w:rsidR="001A00DE" w:rsidRPr="007224C3" w:rsidRDefault="001A00DE" w:rsidP="007224C3">
      <w:pPr>
        <w:pStyle w:val="ae"/>
        <w:shd w:val="clear" w:color="auto" w:fill="FFFFFF"/>
        <w:spacing w:before="0" w:after="0"/>
        <w:jc w:val="both"/>
        <w:rPr>
          <w:color w:val="000000" w:themeColor="text1"/>
          <w:sz w:val="16"/>
          <w:szCs w:val="16"/>
        </w:rPr>
      </w:pPr>
      <w:r w:rsidRPr="007224C3">
        <w:rPr>
          <w:color w:val="000000" w:themeColor="text1"/>
          <w:sz w:val="16"/>
          <w:szCs w:val="16"/>
        </w:rPr>
        <w:t>Войну пережили единичные экземпляры ИС-1, один из них даже умудрился промелькнуть на одном из военных парадов в конце 40-х годов. Увы, ни одна машина данного типа не дожила до наших дней. Вряд ли танкисты вспоминали этот танк с особой теплотой, слишком уж много технических проблем было связано с ним. К тому же он не мог похвастаться столь мощной пушкой, как ИС-2. Вместе с тем ИС-1 стал одной из важных вех отечественного танкостроения и последней ступенькой на сложном пути к ИС-2, которому, в свою очередь, было суждено стать одним из лучших тяжёлых танков Второй мировой войны (17715).</w:t>
      </w:r>
    </w:p>
    <w:p w14:paraId="4E280F25" w14:textId="77777777" w:rsidR="001A00DE" w:rsidRPr="007224C3" w:rsidRDefault="001A00DE" w:rsidP="007224C3">
      <w:pPr>
        <w:spacing w:after="0" w:line="240" w:lineRule="auto"/>
        <w:jc w:val="both"/>
        <w:rPr>
          <w:rFonts w:ascii="Times New Roman" w:hAnsi="Times New Roman"/>
          <w:color w:val="000000" w:themeColor="text1"/>
          <w:sz w:val="16"/>
          <w:szCs w:val="16"/>
        </w:rPr>
      </w:pPr>
    </w:p>
    <w:p w14:paraId="71D9EE75"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509DED8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5AEF531" w14:textId="77777777" w:rsidR="001A00DE" w:rsidRPr="007224C3" w:rsidRDefault="001A00DE"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К весне 1944 г. основным сред</w:t>
      </w:r>
      <w:r w:rsidRPr="007224C3">
        <w:rPr>
          <w:color w:val="000000" w:themeColor="text1"/>
          <w:sz w:val="16"/>
          <w:szCs w:val="16"/>
        </w:rPr>
        <w:softHyphen/>
        <w:t>ством борьбы штурмовиков Ил-2 с немецкими танками всех типов стали противотанковые куму</w:t>
      </w:r>
      <w:r w:rsidRPr="007224C3">
        <w:rPr>
          <w:color w:val="000000" w:themeColor="text1"/>
          <w:sz w:val="16"/>
          <w:szCs w:val="16"/>
        </w:rPr>
        <w:softHyphen/>
        <w:t>лятивные авиабомбы ПТАБ-2,5-1,5 и реактивные снаряды с осколочно-фугасной и бронебойной ча</w:t>
      </w:r>
      <w:r w:rsidRPr="007224C3">
        <w:rPr>
          <w:color w:val="000000" w:themeColor="text1"/>
          <w:sz w:val="16"/>
          <w:szCs w:val="16"/>
        </w:rPr>
        <w:softHyphen/>
        <w:t>стью калибра 132 мм. Именно с развитием систем вооружения этого типа и связывалось повышение противотанковых свойств ВВС КА. В то же время авиационные пушки ВЯ калибра 23 мм высокой баллистики по-прежнему оставались наилучшим средством поражения достаточно многочисленной легкобронированной техники (бронетранспорте</w:t>
      </w:r>
      <w:r w:rsidRPr="007224C3">
        <w:rPr>
          <w:color w:val="000000" w:themeColor="text1"/>
          <w:sz w:val="16"/>
          <w:szCs w:val="16"/>
        </w:rPr>
        <w:softHyphen/>
        <w:t>ры, бронемашины, СУ и САУ на базе легких тан</w:t>
      </w:r>
      <w:r w:rsidRPr="007224C3">
        <w:rPr>
          <w:color w:val="000000" w:themeColor="text1"/>
          <w:sz w:val="16"/>
          <w:szCs w:val="16"/>
        </w:rPr>
        <w:softHyphen/>
        <w:t>ков и т.д.) (17500).</w:t>
      </w:r>
    </w:p>
    <w:p w14:paraId="340130C5" w14:textId="77777777" w:rsidR="001A00DE" w:rsidRPr="007224C3" w:rsidRDefault="001A00DE" w:rsidP="007224C3">
      <w:pPr>
        <w:spacing w:after="0" w:line="240" w:lineRule="auto"/>
        <w:jc w:val="both"/>
        <w:rPr>
          <w:rFonts w:ascii="Times New Roman" w:hAnsi="Times New Roman"/>
          <w:color w:val="000000" w:themeColor="text1"/>
          <w:sz w:val="16"/>
          <w:szCs w:val="16"/>
        </w:rPr>
      </w:pPr>
    </w:p>
    <w:p w14:paraId="2CB8B27C"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началу весны 1944 года часть новых стапелей модифицированного Пе-8 4М-82ФН ТК-3, а также некоторое количество деталей для новой машины было уже изготовлено (7685).</w:t>
      </w:r>
    </w:p>
    <w:p w14:paraId="44A40C5F"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7B83BB" w14:textId="77777777" w:rsidR="009A1031" w:rsidRPr="007224C3" w:rsidRDefault="009A1031" w:rsidP="007224C3">
      <w:pPr>
        <w:pStyle w:val="ae"/>
        <w:shd w:val="clear" w:color="auto" w:fill="FFFFFF"/>
        <w:spacing w:before="0" w:after="0"/>
        <w:jc w:val="both"/>
        <w:rPr>
          <w:color w:val="000000" w:themeColor="text1"/>
          <w:sz w:val="16"/>
          <w:szCs w:val="16"/>
        </w:rPr>
      </w:pPr>
      <w:r w:rsidRPr="007224C3">
        <w:rPr>
          <w:color w:val="000000" w:themeColor="text1"/>
          <w:sz w:val="16"/>
          <w:szCs w:val="16"/>
        </w:rPr>
        <w:t>К началу весны 1944 года часть новых стапелей, а также некоторое количество деталей для новой версии Пе-8 было уже изготовлено (12187).</w:t>
      </w:r>
    </w:p>
    <w:p w14:paraId="71799A5C" w14:textId="77777777" w:rsidR="009A1031" w:rsidRPr="007224C3" w:rsidRDefault="009A1031" w:rsidP="007224C3">
      <w:pPr>
        <w:pStyle w:val="ae"/>
        <w:shd w:val="clear" w:color="auto" w:fill="FFFFFF"/>
        <w:spacing w:before="0" w:after="0"/>
        <w:jc w:val="both"/>
        <w:rPr>
          <w:color w:val="000000" w:themeColor="text1"/>
          <w:sz w:val="16"/>
          <w:szCs w:val="16"/>
        </w:rPr>
      </w:pPr>
    </w:p>
    <w:p w14:paraId="0A4E2B07" w14:textId="77777777" w:rsidR="00BD0048" w:rsidRPr="007224C3" w:rsidRDefault="00BD0048"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lang w:eastAsia="ru-RU" w:bidi="ru-RU"/>
        </w:rPr>
        <w:t>К весне 1944 г. первые Ту-2 нового по</w:t>
      </w:r>
      <w:r w:rsidRPr="007224C3">
        <w:rPr>
          <w:rFonts w:ascii="Times New Roman" w:hAnsi="Times New Roman"/>
          <w:color w:val="0070C0"/>
          <w:sz w:val="16"/>
          <w:szCs w:val="16"/>
          <w:lang w:eastAsia="ru-RU" w:bidi="ru-RU"/>
        </w:rPr>
        <w:softHyphen/>
        <w:t>коления стали поступать в части ВВС. Ими стали перевооружать уже освоившие предыдущую модификацию 12-й и 152-й полки. 12-й бап в конце 1943 г. был отведен с фронта на подмосковный аэродром Кубинка. Там экипажи на</w:t>
      </w:r>
      <w:r w:rsidRPr="007224C3">
        <w:rPr>
          <w:rFonts w:ascii="Times New Roman" w:hAnsi="Times New Roman"/>
          <w:color w:val="0070C0"/>
          <w:sz w:val="16"/>
          <w:szCs w:val="16"/>
          <w:lang w:eastAsia="ru-RU" w:bidi="ru-RU"/>
        </w:rPr>
        <w:softHyphen/>
        <w:t>чали осваивать Ту-2 с мото</w:t>
      </w:r>
      <w:r w:rsidRPr="007224C3">
        <w:rPr>
          <w:rFonts w:ascii="Times New Roman" w:hAnsi="Times New Roman"/>
          <w:color w:val="0070C0"/>
          <w:sz w:val="16"/>
          <w:szCs w:val="16"/>
          <w:lang w:eastAsia="ru-RU" w:bidi="ru-RU"/>
        </w:rPr>
        <w:softHyphen/>
        <w:t>рами М-82ФН. Изучение но</w:t>
      </w:r>
      <w:r w:rsidRPr="007224C3">
        <w:rPr>
          <w:rFonts w:ascii="Times New Roman" w:hAnsi="Times New Roman"/>
          <w:color w:val="0070C0"/>
          <w:sz w:val="16"/>
          <w:szCs w:val="16"/>
          <w:lang w:eastAsia="ru-RU" w:bidi="ru-RU"/>
        </w:rPr>
        <w:softHyphen/>
        <w:t>вой техники шло прямо на заводе №25. 152-й бап про</w:t>
      </w:r>
      <w:r w:rsidRPr="007224C3">
        <w:rPr>
          <w:rFonts w:ascii="Times New Roman" w:hAnsi="Times New Roman"/>
          <w:color w:val="0070C0"/>
          <w:sz w:val="16"/>
          <w:szCs w:val="16"/>
          <w:lang w:eastAsia="ru-RU" w:bidi="ru-RU"/>
        </w:rPr>
        <w:softHyphen/>
        <w:t>ходил переформирование в Йошкар-Оле. Поступле</w:t>
      </w:r>
      <w:r w:rsidRPr="007224C3">
        <w:rPr>
          <w:rFonts w:ascii="Times New Roman" w:hAnsi="Times New Roman"/>
          <w:color w:val="0070C0"/>
          <w:sz w:val="16"/>
          <w:szCs w:val="16"/>
          <w:lang w:eastAsia="ru-RU" w:bidi="ru-RU"/>
        </w:rPr>
        <w:softHyphen/>
        <w:t>ние все большего количе</w:t>
      </w:r>
      <w:r w:rsidRPr="007224C3">
        <w:rPr>
          <w:rFonts w:ascii="Times New Roman" w:hAnsi="Times New Roman"/>
          <w:color w:val="0070C0"/>
          <w:sz w:val="16"/>
          <w:szCs w:val="16"/>
          <w:lang w:eastAsia="ru-RU" w:bidi="ru-RU"/>
        </w:rPr>
        <w:softHyphen/>
        <w:t>ства машин позволило уком</w:t>
      </w:r>
      <w:r w:rsidRPr="007224C3">
        <w:rPr>
          <w:rStyle w:val="aff1"/>
          <w:rFonts w:ascii="Times New Roman" w:hAnsi="Times New Roman" w:cs="Times New Roman"/>
          <w:color w:val="0070C0"/>
          <w:spacing w:val="0"/>
          <w:sz w:val="16"/>
          <w:szCs w:val="16"/>
        </w:rPr>
        <w:t>плектовать бомбардировщиками Тупо</w:t>
      </w:r>
      <w:r w:rsidRPr="007224C3">
        <w:rPr>
          <w:rStyle w:val="aff1"/>
          <w:rFonts w:ascii="Times New Roman" w:hAnsi="Times New Roman" w:cs="Times New Roman"/>
          <w:color w:val="0070C0"/>
          <w:spacing w:val="0"/>
          <w:sz w:val="16"/>
          <w:szCs w:val="16"/>
        </w:rPr>
        <w:softHyphen/>
        <w:t>лева еще один полк, 454-й, ранее летав</w:t>
      </w:r>
      <w:r w:rsidRPr="007224C3">
        <w:rPr>
          <w:rStyle w:val="aff1"/>
          <w:rFonts w:ascii="Times New Roman" w:hAnsi="Times New Roman" w:cs="Times New Roman"/>
          <w:color w:val="0070C0"/>
          <w:spacing w:val="0"/>
          <w:sz w:val="16"/>
          <w:szCs w:val="16"/>
        </w:rPr>
        <w:softHyphen/>
        <w:t>ший на А-20В. Командовал им майор А.А. Татулов.</w:t>
      </w:r>
    </w:p>
    <w:p w14:paraId="73D56B9B" w14:textId="77777777" w:rsidR="00BD0048" w:rsidRPr="007224C3" w:rsidRDefault="00BD0048"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lang w:eastAsia="ru-RU" w:bidi="ru-RU"/>
        </w:rPr>
        <w:t>Все три полка свели в 554-ю бомбар</w:t>
      </w:r>
      <w:r w:rsidRPr="007224C3">
        <w:rPr>
          <w:rFonts w:ascii="Times New Roman" w:hAnsi="Times New Roman"/>
          <w:color w:val="0070C0"/>
          <w:sz w:val="16"/>
          <w:szCs w:val="16"/>
          <w:lang w:eastAsia="ru-RU" w:bidi="ru-RU"/>
        </w:rPr>
        <w:softHyphen/>
        <w:t>дировочную авиадивизию (бад), коман</w:t>
      </w:r>
      <w:r w:rsidRPr="007224C3">
        <w:rPr>
          <w:rFonts w:ascii="Times New Roman" w:hAnsi="Times New Roman"/>
          <w:color w:val="0070C0"/>
          <w:sz w:val="16"/>
          <w:szCs w:val="16"/>
          <w:lang w:eastAsia="ru-RU" w:bidi="ru-RU"/>
        </w:rPr>
        <w:softHyphen/>
        <w:t>диром которой стал полковник И.П. Скок. В начале мая 1944 г. это соединение до</w:t>
      </w:r>
      <w:r w:rsidRPr="007224C3">
        <w:rPr>
          <w:rFonts w:ascii="Times New Roman" w:hAnsi="Times New Roman"/>
          <w:color w:val="0070C0"/>
          <w:sz w:val="16"/>
          <w:szCs w:val="16"/>
          <w:lang w:eastAsia="ru-RU" w:bidi="ru-RU"/>
        </w:rPr>
        <w:softHyphen/>
        <w:t>стигло стадии боеготовности. В том же месяце дивизию перебросили на Ле</w:t>
      </w:r>
      <w:r w:rsidRPr="007224C3">
        <w:rPr>
          <w:rFonts w:ascii="Times New Roman" w:hAnsi="Times New Roman"/>
          <w:color w:val="0070C0"/>
          <w:sz w:val="16"/>
          <w:szCs w:val="16"/>
          <w:lang w:eastAsia="ru-RU" w:bidi="ru-RU"/>
        </w:rPr>
        <w:softHyphen/>
        <w:t>нинградский фронт, где готовился про</w:t>
      </w:r>
      <w:r w:rsidRPr="007224C3">
        <w:rPr>
          <w:rFonts w:ascii="Times New Roman" w:hAnsi="Times New Roman"/>
          <w:color w:val="0070C0"/>
          <w:sz w:val="16"/>
          <w:szCs w:val="16"/>
          <w:lang w:eastAsia="ru-RU" w:bidi="ru-RU"/>
        </w:rPr>
        <w:softHyphen/>
        <w:t>рыв укрепленной «линии Маннергейма». Так, 12-й бап, имевший 50 машин, распо</w:t>
      </w:r>
      <w:r w:rsidRPr="007224C3">
        <w:rPr>
          <w:rFonts w:ascii="Times New Roman" w:hAnsi="Times New Roman"/>
          <w:color w:val="0070C0"/>
          <w:sz w:val="16"/>
          <w:szCs w:val="16"/>
          <w:lang w:eastAsia="ru-RU" w:bidi="ru-RU"/>
        </w:rPr>
        <w:softHyphen/>
        <w:t>ложился на аэродроме Углово. К началу июня в дивизии насчитывалось 87 Ту-2, в том числе 74 исправных. Соединение вошло в состав 15-й воздушной армии.</w:t>
      </w:r>
    </w:p>
    <w:p w14:paraId="5D8E0D23" w14:textId="77777777" w:rsidR="00BD0048" w:rsidRPr="007224C3" w:rsidRDefault="00BD0048" w:rsidP="007224C3">
      <w:pPr>
        <w:spacing w:after="0" w:line="240" w:lineRule="auto"/>
        <w:jc w:val="both"/>
        <w:rPr>
          <w:rFonts w:ascii="Times New Roman" w:hAnsi="Times New Roman"/>
          <w:color w:val="0070C0"/>
          <w:sz w:val="16"/>
          <w:szCs w:val="16"/>
          <w:lang w:eastAsia="ru-RU" w:bidi="ru-RU"/>
        </w:rPr>
      </w:pPr>
      <w:r w:rsidRPr="007224C3">
        <w:rPr>
          <w:rFonts w:ascii="Times New Roman" w:hAnsi="Times New Roman"/>
          <w:color w:val="0070C0"/>
          <w:sz w:val="16"/>
          <w:szCs w:val="16"/>
          <w:lang w:eastAsia="ru-RU" w:bidi="ru-RU"/>
        </w:rPr>
        <w:t>Первоначально факт наличия в со</w:t>
      </w:r>
      <w:r w:rsidRPr="007224C3">
        <w:rPr>
          <w:rFonts w:ascii="Times New Roman" w:hAnsi="Times New Roman"/>
          <w:color w:val="0070C0"/>
          <w:sz w:val="16"/>
          <w:szCs w:val="16"/>
          <w:lang w:eastAsia="ru-RU" w:bidi="ru-RU"/>
        </w:rPr>
        <w:softHyphen/>
        <w:t>ставе советских ВВС целого соедине</w:t>
      </w:r>
      <w:r w:rsidRPr="007224C3">
        <w:rPr>
          <w:rFonts w:ascii="Times New Roman" w:hAnsi="Times New Roman"/>
          <w:color w:val="0070C0"/>
          <w:sz w:val="16"/>
          <w:szCs w:val="16"/>
          <w:lang w:eastAsia="ru-RU" w:bidi="ru-RU"/>
        </w:rPr>
        <w:softHyphen/>
        <w:t>ния новых бомбардировщиков хотели сохранить в тайне до начала наступле</w:t>
      </w:r>
      <w:r w:rsidRPr="007224C3">
        <w:rPr>
          <w:rFonts w:ascii="Times New Roman" w:hAnsi="Times New Roman"/>
          <w:color w:val="0070C0"/>
          <w:sz w:val="16"/>
          <w:szCs w:val="16"/>
          <w:lang w:eastAsia="ru-RU" w:bidi="ru-RU"/>
        </w:rPr>
        <w:softHyphen/>
        <w:t>ния в Белоруссии, но перевесила необхо</w:t>
      </w:r>
      <w:r w:rsidRPr="007224C3">
        <w:rPr>
          <w:rFonts w:ascii="Times New Roman" w:hAnsi="Times New Roman"/>
          <w:color w:val="0070C0"/>
          <w:sz w:val="16"/>
          <w:szCs w:val="16"/>
          <w:lang w:eastAsia="ru-RU" w:bidi="ru-RU"/>
        </w:rPr>
        <w:softHyphen/>
        <w:t>димость разрушения мощных оборони</w:t>
      </w:r>
      <w:r w:rsidRPr="007224C3">
        <w:rPr>
          <w:rFonts w:ascii="Times New Roman" w:hAnsi="Times New Roman"/>
          <w:color w:val="0070C0"/>
          <w:sz w:val="16"/>
          <w:szCs w:val="16"/>
          <w:lang w:eastAsia="ru-RU" w:bidi="ru-RU"/>
        </w:rPr>
        <w:softHyphen/>
        <w:t>тельных сооружений на финской границе. Только Ту-2 могли летать днем с бомбами ФАБ-1000. Кроме того, его большая даль</w:t>
      </w:r>
      <w:r w:rsidRPr="007224C3">
        <w:rPr>
          <w:rFonts w:ascii="Times New Roman" w:hAnsi="Times New Roman"/>
          <w:color w:val="0070C0"/>
          <w:sz w:val="16"/>
          <w:szCs w:val="16"/>
          <w:lang w:eastAsia="ru-RU" w:bidi="ru-RU"/>
        </w:rPr>
        <w:softHyphen/>
        <w:t>ность облегчала обеспечение операции: машины могли наносить удары с аэро</w:t>
      </w:r>
      <w:r w:rsidRPr="007224C3">
        <w:rPr>
          <w:rFonts w:ascii="Times New Roman" w:hAnsi="Times New Roman"/>
          <w:color w:val="0070C0"/>
          <w:sz w:val="16"/>
          <w:szCs w:val="16"/>
          <w:lang w:eastAsia="ru-RU" w:bidi="ru-RU"/>
        </w:rPr>
        <w:softHyphen/>
        <w:t>дромов в районе Ленинграда. При этом, правда, Сталин приказал военным беречь дивизию «как зеницу ока».</w:t>
      </w:r>
    </w:p>
    <w:p w14:paraId="2D9AE1BD" w14:textId="77777777" w:rsidR="00BD0048" w:rsidRPr="007224C3" w:rsidRDefault="00BD0048"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lang w:eastAsia="ru-RU" w:bidi="ru-RU"/>
        </w:rPr>
        <w:t>Действия авиации в Карелии начались 8 июня 1944 г. Самолеты нанесли удары по железнодорожным узлам, мостам, шта</w:t>
      </w:r>
      <w:r w:rsidRPr="007224C3">
        <w:rPr>
          <w:rFonts w:ascii="Times New Roman" w:hAnsi="Times New Roman"/>
          <w:color w:val="0070C0"/>
          <w:sz w:val="16"/>
          <w:szCs w:val="16"/>
          <w:lang w:eastAsia="ru-RU" w:bidi="ru-RU"/>
        </w:rPr>
        <w:softHyphen/>
        <w:t>бам и скоплениям войск противника. Ле</w:t>
      </w:r>
      <w:r w:rsidRPr="007224C3">
        <w:rPr>
          <w:rFonts w:ascii="Times New Roman" w:hAnsi="Times New Roman"/>
          <w:color w:val="0070C0"/>
          <w:sz w:val="16"/>
          <w:szCs w:val="16"/>
          <w:lang w:eastAsia="ru-RU" w:bidi="ru-RU"/>
        </w:rPr>
        <w:softHyphen/>
        <w:t>тали группами по семь-девять машин. Прикрытие истребителями осуществля</w:t>
      </w:r>
      <w:r w:rsidRPr="007224C3">
        <w:rPr>
          <w:rFonts w:ascii="Times New Roman" w:hAnsi="Times New Roman"/>
          <w:color w:val="0070C0"/>
          <w:sz w:val="16"/>
          <w:szCs w:val="16"/>
          <w:lang w:eastAsia="ru-RU" w:bidi="ru-RU"/>
        </w:rPr>
        <w:softHyphen/>
        <w:t>лось только у передовой. На маршруте за</w:t>
      </w:r>
      <w:r w:rsidRPr="007224C3">
        <w:rPr>
          <w:rFonts w:ascii="Times New Roman" w:hAnsi="Times New Roman"/>
          <w:color w:val="0070C0"/>
          <w:sz w:val="16"/>
          <w:szCs w:val="16"/>
          <w:lang w:eastAsia="ru-RU" w:bidi="ru-RU"/>
        </w:rPr>
        <w:softHyphen/>
        <w:t>щиту должны были обеспечить скорость и мощное оборонительное вооружение. За</w:t>
      </w:r>
      <w:r w:rsidRPr="007224C3">
        <w:rPr>
          <w:rFonts w:ascii="Times New Roman" w:hAnsi="Times New Roman"/>
          <w:color w:val="0070C0"/>
          <w:sz w:val="16"/>
          <w:szCs w:val="16"/>
          <w:lang w:eastAsia="ru-RU" w:bidi="ru-RU"/>
        </w:rPr>
        <w:softHyphen/>
        <w:t>тем Ту-2 также начали работать по оборо</w:t>
      </w:r>
      <w:r w:rsidRPr="007224C3">
        <w:rPr>
          <w:rFonts w:ascii="Times New Roman" w:hAnsi="Times New Roman"/>
          <w:color w:val="0070C0"/>
          <w:sz w:val="16"/>
          <w:szCs w:val="16"/>
          <w:lang w:eastAsia="ru-RU" w:bidi="ru-RU"/>
        </w:rPr>
        <w:softHyphen/>
        <w:t>нительным сооружениям, включая бетон</w:t>
      </w:r>
      <w:r w:rsidRPr="007224C3">
        <w:rPr>
          <w:rFonts w:ascii="Times New Roman" w:hAnsi="Times New Roman"/>
          <w:color w:val="0070C0"/>
          <w:sz w:val="16"/>
          <w:szCs w:val="16"/>
          <w:lang w:eastAsia="ru-RU" w:bidi="ru-RU"/>
        </w:rPr>
        <w:softHyphen/>
        <w:t>ные форты. Летчик 12-го бап И.И. Шир- кин вспоминал: «Бомбили скопления войск противника, танковые группировки, желез</w:t>
      </w:r>
      <w:r w:rsidRPr="007224C3">
        <w:rPr>
          <w:rFonts w:ascii="Times New Roman" w:hAnsi="Times New Roman"/>
          <w:color w:val="0070C0"/>
          <w:sz w:val="16"/>
          <w:szCs w:val="16"/>
          <w:lang w:eastAsia="ru-RU" w:bidi="ru-RU"/>
        </w:rPr>
        <w:softHyphen/>
        <w:t>нодорожные узлы, совершая в день по два, а то и по три вылета». Против укрепле</w:t>
      </w:r>
      <w:r w:rsidRPr="007224C3">
        <w:rPr>
          <w:rFonts w:ascii="Times New Roman" w:hAnsi="Times New Roman"/>
          <w:color w:val="0070C0"/>
          <w:sz w:val="16"/>
          <w:szCs w:val="16"/>
          <w:lang w:eastAsia="ru-RU" w:bidi="ru-RU"/>
        </w:rPr>
        <w:softHyphen/>
        <w:t>ний использовали фугасные бомбы круп</w:t>
      </w:r>
      <w:r w:rsidRPr="007224C3">
        <w:rPr>
          <w:rFonts w:ascii="Times New Roman" w:hAnsi="Times New Roman"/>
          <w:color w:val="0070C0"/>
          <w:sz w:val="16"/>
          <w:szCs w:val="16"/>
          <w:lang w:eastAsia="ru-RU" w:bidi="ru-RU"/>
        </w:rPr>
        <w:softHyphen/>
        <w:t>ного калибра, а также специальные бето- нобойные бомбы серии ДС с ракетными ускорителями, поступившие на вооруже</w:t>
      </w:r>
      <w:r w:rsidRPr="007224C3">
        <w:rPr>
          <w:rFonts w:ascii="Times New Roman" w:hAnsi="Times New Roman"/>
          <w:color w:val="0070C0"/>
          <w:sz w:val="16"/>
          <w:szCs w:val="16"/>
          <w:lang w:eastAsia="ru-RU" w:bidi="ru-RU"/>
        </w:rPr>
        <w:softHyphen/>
        <w:t>ние перед самой войной. Их из-за боль</w:t>
      </w:r>
      <w:r w:rsidRPr="007224C3">
        <w:rPr>
          <w:rFonts w:ascii="Times New Roman" w:hAnsi="Times New Roman"/>
          <w:color w:val="0070C0"/>
          <w:sz w:val="16"/>
          <w:szCs w:val="16"/>
          <w:lang w:eastAsia="ru-RU" w:bidi="ru-RU"/>
        </w:rPr>
        <w:softHyphen/>
        <w:t>шой длины (более 2 м) размещали на на</w:t>
      </w:r>
      <w:r w:rsidRPr="007224C3">
        <w:rPr>
          <w:rFonts w:ascii="Times New Roman" w:hAnsi="Times New Roman"/>
          <w:color w:val="0070C0"/>
          <w:sz w:val="16"/>
          <w:szCs w:val="16"/>
          <w:lang w:eastAsia="ru-RU" w:bidi="ru-RU"/>
        </w:rPr>
        <w:softHyphen/>
        <w:t>ружной подвеске; при этом еще четыре ФАБ-250 грузили в бомбоотсек. Такие бо</w:t>
      </w:r>
      <w:r w:rsidRPr="007224C3">
        <w:rPr>
          <w:rFonts w:ascii="Times New Roman" w:hAnsi="Times New Roman"/>
          <w:color w:val="0070C0"/>
          <w:sz w:val="16"/>
          <w:szCs w:val="16"/>
          <w:lang w:eastAsia="ru-RU" w:bidi="ru-RU"/>
        </w:rPr>
        <w:softHyphen/>
        <w:t>еприпасы, в частности, применяли в рай</w:t>
      </w:r>
      <w:r w:rsidRPr="007224C3">
        <w:rPr>
          <w:rFonts w:ascii="Times New Roman" w:hAnsi="Times New Roman"/>
          <w:color w:val="0070C0"/>
          <w:sz w:val="16"/>
          <w:szCs w:val="16"/>
          <w:lang w:eastAsia="ru-RU" w:bidi="ru-RU"/>
        </w:rPr>
        <w:softHyphen/>
        <w:t>оне Лодейного Поля.</w:t>
      </w:r>
    </w:p>
    <w:p w14:paraId="29D2EA53" w14:textId="77777777" w:rsidR="00BD0048" w:rsidRPr="007224C3" w:rsidRDefault="00BD0048"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lang w:eastAsia="ru-RU" w:bidi="ru-RU"/>
        </w:rPr>
        <w:t>Командующий ВВС маршал А.А. Нови</w:t>
      </w:r>
      <w:r w:rsidRPr="007224C3">
        <w:rPr>
          <w:rFonts w:ascii="Times New Roman" w:hAnsi="Times New Roman"/>
          <w:color w:val="0070C0"/>
          <w:sz w:val="16"/>
          <w:szCs w:val="16"/>
          <w:lang w:eastAsia="ru-RU" w:bidi="ru-RU"/>
        </w:rPr>
        <w:softHyphen/>
        <w:t>ков докладывал Сталину о первых днях боев: «554 БАД потерь не имела,летала днем и работала отлично». Ту-2 действо</w:t>
      </w:r>
      <w:r w:rsidRPr="007224C3">
        <w:rPr>
          <w:rFonts w:ascii="Times New Roman" w:hAnsi="Times New Roman"/>
          <w:color w:val="0070C0"/>
          <w:sz w:val="16"/>
          <w:szCs w:val="16"/>
          <w:lang w:eastAsia="ru-RU" w:bidi="ru-RU"/>
        </w:rPr>
        <w:softHyphen/>
        <w:t>вали днем, крупными группами. Так, в на</w:t>
      </w:r>
      <w:r w:rsidRPr="007224C3">
        <w:rPr>
          <w:rFonts w:ascii="Times New Roman" w:hAnsi="Times New Roman"/>
          <w:color w:val="0070C0"/>
          <w:sz w:val="16"/>
          <w:szCs w:val="16"/>
          <w:lang w:eastAsia="ru-RU" w:bidi="ru-RU"/>
        </w:rPr>
        <w:softHyphen/>
        <w:t>лете на железнодорожный узел в Вы</w:t>
      </w:r>
      <w:r w:rsidRPr="007224C3">
        <w:rPr>
          <w:rFonts w:ascii="Times New Roman" w:hAnsi="Times New Roman"/>
          <w:color w:val="0070C0"/>
          <w:sz w:val="16"/>
          <w:szCs w:val="16"/>
          <w:lang w:eastAsia="ru-RU" w:bidi="ru-RU"/>
        </w:rPr>
        <w:softHyphen/>
        <w:t>борге 15 июня участвовали 25 самолета, 17 июня - 59. Кроме бомбардировки сил противника, Ту-2 использовали и как раз</w:t>
      </w:r>
      <w:r w:rsidRPr="007224C3">
        <w:rPr>
          <w:rFonts w:ascii="Times New Roman" w:hAnsi="Times New Roman"/>
          <w:color w:val="0070C0"/>
          <w:sz w:val="16"/>
          <w:szCs w:val="16"/>
          <w:lang w:eastAsia="ru-RU" w:bidi="ru-RU"/>
        </w:rPr>
        <w:softHyphen/>
        <w:t>ведчики. Советские ВВС достигли превос</w:t>
      </w:r>
      <w:r w:rsidRPr="007224C3">
        <w:rPr>
          <w:rFonts w:ascii="Times New Roman" w:hAnsi="Times New Roman"/>
          <w:color w:val="0070C0"/>
          <w:sz w:val="16"/>
          <w:szCs w:val="16"/>
          <w:lang w:eastAsia="ru-RU" w:bidi="ru-RU"/>
        </w:rPr>
        <w:softHyphen/>
        <w:t>ходства в воздухе, поэтому потери в этой операции были небольшими. Например, 12-й бап лишился всего одного самолета - командира 2-й эскадрильи А.А. Шумейко.</w:t>
      </w:r>
    </w:p>
    <w:p w14:paraId="1B7443C0" w14:textId="77777777" w:rsidR="00BD0048" w:rsidRPr="007224C3" w:rsidRDefault="00BD0048"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lang w:eastAsia="ru-RU" w:bidi="ru-RU"/>
        </w:rPr>
        <w:t>Наступление стало успешным. 21 июня советские войска взяли Выборг.</w:t>
      </w:r>
    </w:p>
    <w:p w14:paraId="5657EF2C" w14:textId="77777777" w:rsidR="00BD0048" w:rsidRPr="007224C3" w:rsidRDefault="00BD0048" w:rsidP="007224C3">
      <w:pPr>
        <w:spacing w:after="0" w:line="240" w:lineRule="auto"/>
        <w:jc w:val="both"/>
        <w:rPr>
          <w:rFonts w:ascii="Times New Roman" w:hAnsi="Times New Roman"/>
          <w:color w:val="0070C0"/>
          <w:sz w:val="16"/>
          <w:szCs w:val="16"/>
          <w:lang w:eastAsia="ru-RU" w:bidi="ru-RU"/>
        </w:rPr>
      </w:pPr>
      <w:r w:rsidRPr="007224C3">
        <w:rPr>
          <w:rFonts w:ascii="Times New Roman" w:hAnsi="Times New Roman"/>
          <w:color w:val="0070C0"/>
          <w:sz w:val="16"/>
          <w:szCs w:val="16"/>
          <w:lang w:eastAsia="ru-RU" w:bidi="ru-RU"/>
        </w:rPr>
        <w:lastRenderedPageBreak/>
        <w:t>Пребывание 554-й дивизии на Ле</w:t>
      </w:r>
      <w:r w:rsidRPr="007224C3">
        <w:rPr>
          <w:rFonts w:ascii="Times New Roman" w:hAnsi="Times New Roman"/>
          <w:color w:val="0070C0"/>
          <w:sz w:val="16"/>
          <w:szCs w:val="16"/>
          <w:lang w:eastAsia="ru-RU" w:bidi="ru-RU"/>
        </w:rPr>
        <w:softHyphen/>
        <w:t>нинградском фронте было кратковре</w:t>
      </w:r>
      <w:r w:rsidRPr="007224C3">
        <w:rPr>
          <w:rFonts w:ascii="Times New Roman" w:hAnsi="Times New Roman"/>
          <w:color w:val="0070C0"/>
          <w:sz w:val="16"/>
          <w:szCs w:val="16"/>
          <w:lang w:eastAsia="ru-RU" w:bidi="ru-RU"/>
        </w:rPr>
        <w:softHyphen/>
        <w:t>менным. В конце июня соединение пере</w:t>
      </w:r>
      <w:r w:rsidRPr="007224C3">
        <w:rPr>
          <w:rFonts w:ascii="Times New Roman" w:hAnsi="Times New Roman"/>
          <w:color w:val="0070C0"/>
          <w:sz w:val="16"/>
          <w:szCs w:val="16"/>
          <w:lang w:eastAsia="ru-RU" w:bidi="ru-RU"/>
        </w:rPr>
        <w:softHyphen/>
        <w:t>бросили на 5-й Белорусский фронт, где оно приняло участие в операции «Багра</w:t>
      </w:r>
      <w:r w:rsidRPr="007224C3">
        <w:rPr>
          <w:rFonts w:ascii="Times New Roman" w:hAnsi="Times New Roman"/>
          <w:color w:val="0070C0"/>
          <w:sz w:val="16"/>
          <w:szCs w:val="16"/>
          <w:lang w:eastAsia="ru-RU" w:bidi="ru-RU"/>
        </w:rPr>
        <w:softHyphen/>
        <w:t>тион» по освобождению Белоруссии. Ту-2 использовались с большой интенсивно</w:t>
      </w:r>
      <w:r w:rsidRPr="007224C3">
        <w:rPr>
          <w:rFonts w:ascii="Times New Roman" w:hAnsi="Times New Roman"/>
          <w:color w:val="0070C0"/>
          <w:sz w:val="16"/>
          <w:szCs w:val="16"/>
          <w:lang w:eastAsia="ru-RU" w:bidi="ru-RU"/>
        </w:rPr>
        <w:softHyphen/>
        <w:t>стью, совершая до двух вылетов день. Они наносили удары по войскам на передо</w:t>
      </w:r>
      <w:r w:rsidRPr="007224C3">
        <w:rPr>
          <w:rFonts w:ascii="Times New Roman" w:hAnsi="Times New Roman"/>
          <w:color w:val="0070C0"/>
          <w:sz w:val="16"/>
          <w:szCs w:val="16"/>
          <w:lang w:eastAsia="ru-RU" w:bidi="ru-RU"/>
        </w:rPr>
        <w:softHyphen/>
        <w:t>вой и в ближнем тылу противника, по же</w:t>
      </w:r>
      <w:r w:rsidRPr="007224C3">
        <w:rPr>
          <w:rFonts w:ascii="Times New Roman" w:hAnsi="Times New Roman"/>
          <w:color w:val="0070C0"/>
          <w:sz w:val="16"/>
          <w:szCs w:val="16"/>
          <w:lang w:eastAsia="ru-RU" w:bidi="ru-RU"/>
        </w:rPr>
        <w:softHyphen/>
        <w:t>лезнодорожным узлам и складам. Летая «на коротком плече», командир 12-го бап М.П. Васякин довел бомбовую нагрузку своего самолета до предела - 5000 кг. Он же применил групповой взлет - Ту-2 стартовали с аэродрома Улла звеньями, сокращая время на сбор группы в воздухе. (21060).</w:t>
      </w:r>
    </w:p>
    <w:p w14:paraId="067F3D56" w14:textId="77777777" w:rsidR="00BD0048" w:rsidRPr="007224C3" w:rsidRDefault="00BD0048" w:rsidP="007224C3">
      <w:pPr>
        <w:spacing w:after="0" w:line="240" w:lineRule="auto"/>
        <w:jc w:val="both"/>
        <w:rPr>
          <w:rFonts w:ascii="Times New Roman" w:hAnsi="Times New Roman"/>
          <w:color w:val="0070C0"/>
          <w:sz w:val="16"/>
          <w:szCs w:val="16"/>
        </w:rPr>
      </w:pPr>
    </w:p>
    <w:p w14:paraId="6123BE2C"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весне 1944 г. на заводе № 51 изготовили опытный экземпляр нового У-2ШС. В дополнение к указанным из</w:t>
      </w:r>
      <w:r w:rsidRPr="007224C3">
        <w:rPr>
          <w:rFonts w:ascii="Times New Roman" w:hAnsi="Times New Roman"/>
          <w:color w:val="000000" w:themeColor="text1"/>
          <w:sz w:val="16"/>
          <w:szCs w:val="16"/>
        </w:rPr>
        <w:softHyphen/>
        <w:t>менениям на самолете установили увели</w:t>
      </w:r>
      <w:r w:rsidRPr="007224C3">
        <w:rPr>
          <w:rFonts w:ascii="Times New Roman" w:hAnsi="Times New Roman"/>
          <w:color w:val="000000" w:themeColor="text1"/>
          <w:sz w:val="16"/>
          <w:szCs w:val="16"/>
        </w:rPr>
        <w:softHyphen/>
        <w:t>ченный топливный бак емкостью 210 литров и маслобак на 25 литров. ШС оборудо</w:t>
      </w:r>
      <w:r w:rsidRPr="007224C3">
        <w:rPr>
          <w:rFonts w:ascii="Times New Roman" w:hAnsi="Times New Roman"/>
          <w:color w:val="000000" w:themeColor="text1"/>
          <w:sz w:val="16"/>
          <w:szCs w:val="16"/>
        </w:rPr>
        <w:softHyphen/>
        <w:t>вали полным комплектом аэронавигацион</w:t>
      </w:r>
      <w:r w:rsidRPr="007224C3">
        <w:rPr>
          <w:rFonts w:ascii="Times New Roman" w:hAnsi="Times New Roman"/>
          <w:color w:val="000000" w:themeColor="text1"/>
          <w:sz w:val="16"/>
          <w:szCs w:val="16"/>
        </w:rPr>
        <w:softHyphen/>
        <w:t>ных приборов, приемо-передающей радио</w:t>
      </w:r>
      <w:r w:rsidRPr="007224C3">
        <w:rPr>
          <w:rFonts w:ascii="Times New Roman" w:hAnsi="Times New Roman"/>
          <w:color w:val="000000" w:themeColor="text1"/>
          <w:sz w:val="16"/>
          <w:szCs w:val="16"/>
        </w:rPr>
        <w:softHyphen/>
        <w:t>станцией РСИ-4 и генератором ГС-350. Для облегчения управления руль высоты снабдили триммером, штурвал управления которым размещался на левом борту каби</w:t>
      </w:r>
      <w:r w:rsidRPr="007224C3">
        <w:rPr>
          <w:rFonts w:ascii="Times New Roman" w:hAnsi="Times New Roman"/>
          <w:color w:val="000000" w:themeColor="text1"/>
          <w:sz w:val="16"/>
          <w:szCs w:val="16"/>
        </w:rPr>
        <w:softHyphen/>
        <w:t>ны пилота. Ширина фюзеляжа составила 1100 мм, что означало прибавку в попереч</w:t>
      </w:r>
      <w:r w:rsidRPr="007224C3">
        <w:rPr>
          <w:rFonts w:ascii="Times New Roman" w:hAnsi="Times New Roman"/>
          <w:color w:val="000000" w:themeColor="text1"/>
          <w:sz w:val="16"/>
          <w:szCs w:val="16"/>
        </w:rPr>
        <w:softHyphen/>
        <w:t>нике на 360 мм. Пассажирская кабина име</w:t>
      </w:r>
      <w:r w:rsidRPr="007224C3">
        <w:rPr>
          <w:rFonts w:ascii="Times New Roman" w:hAnsi="Times New Roman"/>
          <w:color w:val="000000" w:themeColor="text1"/>
          <w:sz w:val="16"/>
          <w:szCs w:val="16"/>
        </w:rPr>
        <w:softHyphen/>
        <w:t>ла два кресла: переднее для двух человек, сидящих спиной по направлению к полету, и заднее для одного пассажира; еще один пассажир сидел в пилотской кабине на нра</w:t>
      </w:r>
      <w:r w:rsidRPr="007224C3">
        <w:rPr>
          <w:rFonts w:ascii="Times New Roman" w:hAnsi="Times New Roman"/>
          <w:color w:val="000000" w:themeColor="text1"/>
          <w:sz w:val="16"/>
          <w:szCs w:val="16"/>
        </w:rPr>
        <w:softHyphen/>
        <w:t>вом кресле. Шасси осталось прежним. Кос</w:t>
      </w:r>
      <w:r w:rsidRPr="007224C3">
        <w:rPr>
          <w:rFonts w:ascii="Times New Roman" w:hAnsi="Times New Roman"/>
          <w:color w:val="000000" w:themeColor="text1"/>
          <w:sz w:val="16"/>
          <w:szCs w:val="16"/>
        </w:rPr>
        <w:softHyphen/>
        <w:t>тыль оборудовали роликом из литой рези</w:t>
      </w:r>
      <w:r w:rsidRPr="007224C3">
        <w:rPr>
          <w:rFonts w:ascii="Times New Roman" w:hAnsi="Times New Roman"/>
          <w:color w:val="000000" w:themeColor="text1"/>
          <w:sz w:val="16"/>
          <w:szCs w:val="16"/>
        </w:rPr>
        <w:softHyphen/>
        <w:t>ны размером 120x60 мм. Для осуществле</w:t>
      </w:r>
      <w:r w:rsidRPr="007224C3">
        <w:rPr>
          <w:rFonts w:ascii="Times New Roman" w:hAnsi="Times New Roman"/>
          <w:color w:val="000000" w:themeColor="text1"/>
          <w:sz w:val="16"/>
          <w:szCs w:val="16"/>
        </w:rPr>
        <w:softHyphen/>
        <w:t>ния ночных полетов самолет получил поса</w:t>
      </w:r>
      <w:r w:rsidRPr="007224C3">
        <w:rPr>
          <w:rFonts w:ascii="Times New Roman" w:hAnsi="Times New Roman"/>
          <w:color w:val="000000" w:themeColor="text1"/>
          <w:sz w:val="16"/>
          <w:szCs w:val="16"/>
        </w:rPr>
        <w:softHyphen/>
        <w:t>дочную фару диаметром 155 мм в нижней части капота. Фара крепилась в районе противопожарной перегородки и не выхо</w:t>
      </w:r>
      <w:r w:rsidRPr="007224C3">
        <w:rPr>
          <w:rFonts w:ascii="Times New Roman" w:hAnsi="Times New Roman"/>
          <w:color w:val="000000" w:themeColor="text1"/>
          <w:sz w:val="16"/>
          <w:szCs w:val="16"/>
        </w:rPr>
        <w:softHyphen/>
        <w:t>дила за пределы капота, в котором имелось специальное застекленное окно (11085).</w:t>
      </w:r>
    </w:p>
    <w:p w14:paraId="3343767A" w14:textId="77777777" w:rsidR="003712D9" w:rsidRPr="007224C3" w:rsidRDefault="003712D9"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1981FC8" w14:textId="77777777" w:rsidR="00112471" w:rsidRPr="007224C3" w:rsidRDefault="00112471" w:rsidP="007224C3">
      <w:pPr>
        <w:pStyle w:val="article-renderblock"/>
        <w:shd w:val="clear" w:color="auto" w:fill="FFFFFF"/>
        <w:spacing w:before="0" w:beforeAutospacing="0" w:after="0" w:afterAutospacing="0"/>
        <w:jc w:val="both"/>
        <w:rPr>
          <w:color w:val="0070C0"/>
          <w:sz w:val="16"/>
          <w:szCs w:val="16"/>
        </w:rPr>
      </w:pPr>
      <w:r w:rsidRPr="007224C3">
        <w:rPr>
          <w:color w:val="0070C0"/>
          <w:sz w:val="16"/>
          <w:szCs w:val="16"/>
        </w:rPr>
        <w:t>К весне 1944-ого года на заводу № 47 в Оренбурге был построен головной серийный самолет Ще-2 под номером 03147. После чего в НИИ ВВС он прошел повторные государственные испытания для подтверждения полученных ранее характеристик. Серийный образец имел некоторые отличия от прототипа. В частности были внесены изменения в маслосистему, увеличен размах крыла и изменена форма килей.</w:t>
      </w:r>
    </w:p>
    <w:p w14:paraId="54082262" w14:textId="77777777" w:rsidR="00112471" w:rsidRPr="007224C3" w:rsidRDefault="00112471" w:rsidP="007224C3">
      <w:pPr>
        <w:pStyle w:val="article-renderblock"/>
        <w:shd w:val="clear" w:color="auto" w:fill="FFFFFF"/>
        <w:spacing w:before="0" w:beforeAutospacing="0" w:after="0" w:afterAutospacing="0"/>
        <w:jc w:val="both"/>
        <w:rPr>
          <w:color w:val="0070C0"/>
          <w:sz w:val="16"/>
          <w:szCs w:val="16"/>
        </w:rPr>
      </w:pPr>
      <w:r w:rsidRPr="007224C3">
        <w:rPr>
          <w:color w:val="0070C0"/>
          <w:sz w:val="16"/>
          <w:szCs w:val="16"/>
        </w:rPr>
        <w:t>Всего на заводе № 47 было выпущено 567 самолетов. За 1944 год собрали 222 машины, за 1945 год- 285 машин, а за 1946 год- 60 самолетов. Выпускался он в трех вариантах. Это транспортный для перевозки грузов или пассажиров; десантный для сброса парашютистов или груза; учебный, который использовали для обучения штурманов. Известно что учебный вариант разрабатывался в двух модификациях. Первый - это Ще-2 УТС под номером 08247. Он был переделан из серийной машины на заводе № 482. Данный вариант был более универсальным, он позволял проводить обучение всего экипажа (для бомбардировщика), как пилотов, так и штурманов и радистов (19837).</w:t>
      </w:r>
    </w:p>
    <w:p w14:paraId="571BE490" w14:textId="77777777" w:rsidR="00112471" w:rsidRPr="007224C3" w:rsidRDefault="00112471" w:rsidP="007224C3">
      <w:pPr>
        <w:pStyle w:val="article-renderblock"/>
        <w:shd w:val="clear" w:color="auto" w:fill="FFFFFF"/>
        <w:spacing w:before="0" w:beforeAutospacing="0" w:after="0" w:afterAutospacing="0"/>
        <w:jc w:val="both"/>
        <w:rPr>
          <w:color w:val="0070C0"/>
          <w:sz w:val="16"/>
          <w:szCs w:val="16"/>
        </w:rPr>
      </w:pPr>
    </w:p>
    <w:p w14:paraId="3E24EDA7" w14:textId="77777777" w:rsidR="00792950" w:rsidRPr="007224C3" w:rsidRDefault="00792950" w:rsidP="007224C3">
      <w:pPr>
        <w:pStyle w:val="ae"/>
        <w:shd w:val="clear" w:color="auto" w:fill="FFFFFF"/>
        <w:spacing w:before="0" w:after="0"/>
        <w:jc w:val="both"/>
        <w:rPr>
          <w:color w:val="000000" w:themeColor="text1"/>
          <w:sz w:val="16"/>
          <w:szCs w:val="16"/>
        </w:rPr>
      </w:pPr>
      <w:r w:rsidRPr="007224C3">
        <w:rPr>
          <w:color w:val="000000" w:themeColor="text1"/>
          <w:sz w:val="16"/>
          <w:szCs w:val="16"/>
        </w:rPr>
        <w:t>К весне 1944 г. в основном было закончено налаживание стендов. В.Ф. Болховитинов решил официально оформить че рез Совет труда и обороны первое задание разработать к октябрю 1944 г. авиационный жидкостный ракетный двигатель с многократным включением на диапазон тяг от до 1100 кгс, с плавным регулированием, с удельной тягой не ниже 200 с и ресурсом не менее 30 мин.</w:t>
      </w:r>
    </w:p>
    <w:p w14:paraId="29BDF683" w14:textId="77777777" w:rsidR="00792950" w:rsidRPr="007224C3" w:rsidRDefault="00792950" w:rsidP="007224C3">
      <w:pPr>
        <w:pStyle w:val="ae"/>
        <w:shd w:val="clear" w:color="auto" w:fill="FFFFFF"/>
        <w:spacing w:before="0" w:after="0"/>
        <w:jc w:val="both"/>
        <w:rPr>
          <w:color w:val="000000" w:themeColor="text1"/>
          <w:sz w:val="16"/>
          <w:szCs w:val="16"/>
        </w:rPr>
      </w:pPr>
      <w:r w:rsidRPr="007224C3">
        <w:rPr>
          <w:color w:val="000000" w:themeColor="text1"/>
          <w:sz w:val="16"/>
          <w:szCs w:val="16"/>
        </w:rPr>
        <w:t>Год, прошедший с момента возвращения, не был затрачен только на строительство и налаживание экспериментальной базы. Расчетная группа КБ — Г.Г. Головинцова и А.С. Гвозде ва полностью освоила заимствованные у Глушко методики, развила их дальше. Л.А. Пчелин и В.Ф. Берглезов занима лись конструкторской работой по камерам сгорания. Они уже критически пересмотрели прежнюю конструкцию, разработа ли свои оригинальные решения. Н.И. Новиков получил на вык в проектировании разного рода дросселей и создал пер вые воздушные редукторы и обратные клапаны. Были прове дены эксперименты по зажиганию, т.е. по получению пускового факела в камере сгорания, который бы надежно воспламенял рабочие компоненты. С этой целью опробовались форкамеры и свечи различных типов. Решение пока не было найдено, но опыт накапливался.</w:t>
      </w:r>
    </w:p>
    <w:p w14:paraId="77A6C712" w14:textId="77777777" w:rsidR="00792950" w:rsidRPr="007224C3" w:rsidRDefault="00792950" w:rsidP="007224C3">
      <w:pPr>
        <w:pStyle w:val="ae"/>
        <w:shd w:val="clear" w:color="auto" w:fill="FFFFFF"/>
        <w:spacing w:before="0" w:after="0"/>
        <w:jc w:val="both"/>
        <w:rPr>
          <w:color w:val="000000" w:themeColor="text1"/>
          <w:sz w:val="16"/>
          <w:szCs w:val="16"/>
        </w:rPr>
      </w:pPr>
      <w:r w:rsidRPr="007224C3">
        <w:rPr>
          <w:color w:val="000000" w:themeColor="text1"/>
          <w:sz w:val="16"/>
          <w:szCs w:val="16"/>
        </w:rPr>
        <w:t>Такие основные недостатки, как ненадежность запуска и малый ресурс определили направление работы отдела. Двигатель сохранил основные размеры камеры и со пла, тип конструкции — сборная из механически обработанных поковок. Но решительно все детали были переконструи рованы. Основная деталь, определяющая ресурс двигателя, — сопло у двигателя Душкина имело оребрение, при котором об разующие спирали были перпендикулярны к оси сопла. Кро ме того, шаг резьбы был постоянным. Расчеты показали необ ходимость увеличения скорости охлаждающей жидкости в кри тическом сечении. Новое сопло было сделано с шестизаходной резьбой переменного шага и переменного наклона нитки резь бы, так что нитка на всей длине оставалась перпендикуляр ной поверхности стенки. При меньшей толщине стенки это обеспечивало большую жесткость детали и уменьшало ее де формацию, что способствовало уменьшению протекания охлаж дающей жидкости в образовавшуюся щель поверх резьбы.</w:t>
      </w:r>
    </w:p>
    <w:p w14:paraId="542FE251" w14:textId="77777777" w:rsidR="00792950" w:rsidRPr="007224C3" w:rsidRDefault="00792950" w:rsidP="007224C3">
      <w:pPr>
        <w:pStyle w:val="ae"/>
        <w:shd w:val="clear" w:color="auto" w:fill="FFFFFF"/>
        <w:spacing w:before="0" w:after="0"/>
        <w:jc w:val="both"/>
        <w:rPr>
          <w:color w:val="000000" w:themeColor="text1"/>
          <w:sz w:val="16"/>
          <w:szCs w:val="16"/>
        </w:rPr>
      </w:pPr>
      <w:r w:rsidRPr="007224C3">
        <w:rPr>
          <w:color w:val="000000" w:themeColor="text1"/>
          <w:sz w:val="16"/>
          <w:szCs w:val="16"/>
        </w:rPr>
        <w:t>На выходе сопла были сделаны две сильфонные волны. Обо лочка жестко зажимала оба конца сопла. По-прежнему сопло охлаждалось керосином, а цилиндрическая часть — кислотой.</w:t>
      </w:r>
    </w:p>
    <w:p w14:paraId="4C0A231A" w14:textId="77777777" w:rsidR="00792950" w:rsidRPr="007224C3" w:rsidRDefault="00792950" w:rsidP="007224C3">
      <w:pPr>
        <w:pStyle w:val="ae"/>
        <w:shd w:val="clear" w:color="auto" w:fill="FFFFFF"/>
        <w:spacing w:before="0" w:after="0"/>
        <w:jc w:val="both"/>
        <w:rPr>
          <w:color w:val="000000" w:themeColor="text1"/>
          <w:sz w:val="16"/>
          <w:szCs w:val="16"/>
        </w:rPr>
      </w:pPr>
      <w:r w:rsidRPr="007224C3">
        <w:rPr>
          <w:color w:val="000000" w:themeColor="text1"/>
          <w:sz w:val="16"/>
          <w:szCs w:val="16"/>
        </w:rPr>
        <w:t>Для цилиндрической части использовали поковку из стали марки 12X13. С головкой жестко соединялась внутренняя де таль камеры, а рубашка уплотнялась сальником. При этом из бежали омываемых окислителем шпилек, которые на душкин ском двигателе принесли много неприятностей.</w:t>
      </w:r>
    </w:p>
    <w:p w14:paraId="3BF188F1" w14:textId="77777777" w:rsidR="00792950" w:rsidRPr="007224C3" w:rsidRDefault="00792950" w:rsidP="007224C3">
      <w:pPr>
        <w:pStyle w:val="ae"/>
        <w:shd w:val="clear" w:color="auto" w:fill="FFFFFF"/>
        <w:spacing w:before="0" w:after="0"/>
        <w:jc w:val="both"/>
        <w:rPr>
          <w:color w:val="000000" w:themeColor="text1"/>
          <w:sz w:val="16"/>
          <w:szCs w:val="16"/>
        </w:rPr>
      </w:pPr>
      <w:r w:rsidRPr="007224C3">
        <w:rPr>
          <w:color w:val="000000" w:themeColor="text1"/>
          <w:sz w:val="16"/>
          <w:szCs w:val="16"/>
        </w:rPr>
        <w:t>Головка сохранила свою коническую (шатровую) форму.</w:t>
      </w:r>
    </w:p>
    <w:p w14:paraId="3C1F5FFD" w14:textId="77777777" w:rsidR="00792950" w:rsidRPr="007224C3" w:rsidRDefault="00792950" w:rsidP="007224C3">
      <w:pPr>
        <w:pStyle w:val="ae"/>
        <w:shd w:val="clear" w:color="auto" w:fill="FFFFFF"/>
        <w:spacing w:before="0" w:after="0"/>
        <w:jc w:val="both"/>
        <w:rPr>
          <w:color w:val="000000" w:themeColor="text1"/>
          <w:sz w:val="16"/>
          <w:szCs w:val="16"/>
        </w:rPr>
      </w:pPr>
      <w:r w:rsidRPr="007224C3">
        <w:rPr>
          <w:color w:val="000000" w:themeColor="text1"/>
          <w:sz w:val="16"/>
          <w:szCs w:val="16"/>
        </w:rPr>
        <w:t>Форсунки были ввернуты по окружностям с чередованием кис лотных форсунок с форсунками горючего. В центральную часть вставлялся пусковой блок — массивный цилиндр со своими подводами компонентов, в плоский торец которого были ввернуты семь форсунок горючего и двенадцать окис лителя, с впервые тогда примененным сотовым расположе нием. Все форсунки имели внутри корпуса по маленькому шариковому клапану. При отсечке компонентов эти клапан чики закрывались, предотвращая слив компонентов в каме ру из коллекторов и рубашек. Зажигание пускового факела осуществлялось от так называемого «дугового пускача». Два кривых электрода этого устройства, закрепленного под со плом, перед пуском вводились в камеру за критическое сече ние и начинали там размыкаться и замыкаться. При каж дом размыкании между электродами проходила вольтова дуга.</w:t>
      </w:r>
    </w:p>
    <w:p w14:paraId="1AB24FF8" w14:textId="77777777" w:rsidR="00792950" w:rsidRPr="007224C3" w:rsidRDefault="00792950" w:rsidP="007224C3">
      <w:pPr>
        <w:pStyle w:val="ae"/>
        <w:shd w:val="clear" w:color="auto" w:fill="FFFFFF"/>
        <w:spacing w:before="0" w:after="0"/>
        <w:jc w:val="both"/>
        <w:rPr>
          <w:color w:val="000000" w:themeColor="text1"/>
          <w:sz w:val="16"/>
          <w:szCs w:val="16"/>
        </w:rPr>
      </w:pPr>
      <w:r w:rsidRPr="007224C3">
        <w:rPr>
          <w:color w:val="000000" w:themeColor="text1"/>
          <w:sz w:val="16"/>
          <w:szCs w:val="16"/>
        </w:rPr>
        <w:t>На дугу попадала первая порция хорошо распыленных ком понентов из пускового блока с расходом 400 г/с, после чего с помощью пневмореле дуги пускача выводились из камеры в исходное положение. Затем расход через пусковой блок уд ваивался, получался уже довольно мощный факел на 800 г/с.</w:t>
      </w:r>
    </w:p>
    <w:p w14:paraId="45B29584" w14:textId="77777777" w:rsidR="00792950" w:rsidRPr="007224C3" w:rsidRDefault="00792950" w:rsidP="007224C3">
      <w:pPr>
        <w:pStyle w:val="ae"/>
        <w:shd w:val="clear" w:color="auto" w:fill="FFFFFF"/>
        <w:spacing w:before="0" w:after="0"/>
        <w:jc w:val="both"/>
        <w:rPr>
          <w:color w:val="000000" w:themeColor="text1"/>
          <w:sz w:val="16"/>
          <w:szCs w:val="16"/>
        </w:rPr>
      </w:pPr>
      <w:r w:rsidRPr="007224C3">
        <w:rPr>
          <w:color w:val="000000" w:themeColor="text1"/>
          <w:sz w:val="16"/>
          <w:szCs w:val="16"/>
        </w:rPr>
        <w:t>На этот факел подавались компоненты из всех рабочих фор сунок. Двигатель выходил на режим малой тяги — 400 кгс.</w:t>
      </w:r>
    </w:p>
    <w:p w14:paraId="6F1EBA2C" w14:textId="77777777" w:rsidR="00792950" w:rsidRPr="007224C3" w:rsidRDefault="00792950" w:rsidP="007224C3">
      <w:pPr>
        <w:pStyle w:val="ae"/>
        <w:shd w:val="clear" w:color="auto" w:fill="FFFFFF"/>
        <w:spacing w:before="0" w:after="0"/>
        <w:jc w:val="both"/>
        <w:rPr>
          <w:color w:val="000000" w:themeColor="text1"/>
          <w:sz w:val="16"/>
          <w:szCs w:val="16"/>
        </w:rPr>
      </w:pPr>
      <w:r w:rsidRPr="007224C3">
        <w:rPr>
          <w:color w:val="000000" w:themeColor="text1"/>
          <w:sz w:val="16"/>
          <w:szCs w:val="16"/>
        </w:rPr>
        <w:t>Все управление осуществлялось одной ручкой, так называе мым «сектором газа». Движение этого сектора от заднего по ложения до промежуточного упора обеспечивало полный пус ковой факел.</w:t>
      </w:r>
    </w:p>
    <w:p w14:paraId="08D9264B" w14:textId="77777777" w:rsidR="00792950" w:rsidRPr="007224C3" w:rsidRDefault="00792950" w:rsidP="007224C3">
      <w:pPr>
        <w:pStyle w:val="ae"/>
        <w:shd w:val="clear" w:color="auto" w:fill="FFFFFF"/>
        <w:spacing w:before="0" w:after="0"/>
        <w:jc w:val="both"/>
        <w:rPr>
          <w:color w:val="000000" w:themeColor="text1"/>
          <w:sz w:val="16"/>
          <w:szCs w:val="16"/>
        </w:rPr>
      </w:pPr>
      <w:r w:rsidRPr="007224C3">
        <w:rPr>
          <w:color w:val="000000" w:themeColor="text1"/>
          <w:sz w:val="16"/>
          <w:szCs w:val="16"/>
        </w:rPr>
        <w:t>Сдвигом рычага от промежуточного упора вправо вклю чалась малая тяга, а при движении рычага до второй прорези вперед тягу увеличивали до максимума— 1100 кгс. Сек тор газа был связан рычагами с дроссельно-отсечным двух компонентным краном. Поворачивающиеся от рычага цилиндры с профилированными отверстиями плавно регулировали тягу, сохраняя соотношение секундных расходов компонентов.</w:t>
      </w:r>
    </w:p>
    <w:p w14:paraId="0D9ECBEA" w14:textId="77777777" w:rsidR="00792950" w:rsidRPr="007224C3" w:rsidRDefault="00792950" w:rsidP="007224C3">
      <w:pPr>
        <w:pStyle w:val="ae"/>
        <w:shd w:val="clear" w:color="auto" w:fill="FFFFFF"/>
        <w:spacing w:before="0" w:after="0"/>
        <w:jc w:val="both"/>
        <w:rPr>
          <w:color w:val="000000" w:themeColor="text1"/>
          <w:sz w:val="16"/>
          <w:szCs w:val="16"/>
        </w:rPr>
      </w:pPr>
      <w:r w:rsidRPr="007224C3">
        <w:rPr>
          <w:color w:val="000000" w:themeColor="text1"/>
          <w:sz w:val="16"/>
          <w:szCs w:val="16"/>
        </w:rPr>
        <w:t>Двигатель останавливался обратным движением сектора — сначала до промежуточного упора, потом сдвигом его по упо ру влево и оттяжкой назад по первой прорези (19586).</w:t>
      </w:r>
    </w:p>
    <w:p w14:paraId="20017A1F" w14:textId="77777777" w:rsidR="00792950" w:rsidRPr="007224C3" w:rsidRDefault="00792950" w:rsidP="007224C3">
      <w:pPr>
        <w:pStyle w:val="ae"/>
        <w:shd w:val="clear" w:color="auto" w:fill="FFFFFF"/>
        <w:spacing w:before="0" w:after="0"/>
        <w:jc w:val="both"/>
        <w:rPr>
          <w:color w:val="000000" w:themeColor="text1"/>
          <w:sz w:val="16"/>
          <w:szCs w:val="16"/>
        </w:rPr>
      </w:pPr>
    </w:p>
    <w:p w14:paraId="73B6ADE2"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4239A0E7"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7DE83A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весне 1944 г. первые Ту-2 нового поколения стали поступать в части ВВС. Ими стали перевооружать уже освоившие предыдущую модификацию 12-й и 132-й полки. 12-й бап в конце 1943 г. был отведен с фронта на подмосковный аэродром Кубинка. Там экипажи начали осваивать Ту-2 с моторами М-82ФН. Изучение новой техники шло прямо на заводе № 23. 132-й бап проходил переформирование в Йошкар-Оле. Поступление все большего количества машин позволило укомплектовать бомбардировщиками Туполева еще один полк, 454-й.</w:t>
      </w:r>
    </w:p>
    <w:p w14:paraId="6E6E61C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 три полка свели в 132-ю бомбардировочную авиадивизию (бад), командиром которой стал полковник И.П. Скок. В начале мая 1944 г. это соединение достигло стадии боеготовности. В том же месяце дивизию перебросили на Ленинградский фронт, где готовился прорыв укрепленной "линии Маннергейма". Так, 12-й бап, имевший 30 машин, расположился на аэродроме Углово. К началу июня в дивизии насчитывалось 87 Ту-2, в том числе 74 исправных. Соединение вошло в состав 13-й воздушной армии. Первоначально факт наличия в составе советских ВВС целого соединения новых бомбардировщиков хотели сохранить в тайне до начала наступления в Белоруссии, но перевесила необходимость разрушения мощных оборонительных сооружений на финской границе. Только Ту-2 могли летать днем с бомбами ФАБ-1000. Кроме того, его большая дальность облегчала обеспечение операции: машины могли наносить удары с аэродромов в районе Ленинграда. При этом, правда, Сталин приказал военным беречь дивизию "как зеницу ока".</w:t>
      </w:r>
    </w:p>
    <w:p w14:paraId="1BAB138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Действия авиации в Карелии начались с 8 июня 1944 г. Самолеты нанесли удары по железнодорожным узлам, мостам, штабам и скоплениям войск противника. Летали группами по семь-девять машин. Прикрытие истребителями осуществлялось только у передовой. На маршруте защиту должны были обеспечить скорость и мощное оборонительное вооружение. Затем Ту-2 также начали работать по оборонительным сооружениям, включая бетонные форты. Летчик 12-го бап И.И. Ширкин вспоминал: "Бомбили скопления войск противника, танковые группировки, железнодорожные узлы, совершая в день по два, а то и по три вылета". Против укреплений использовали фугасные бомбы крупного калибра, а также специальные бетонобойные бомбы серии ДС с ракетными ускорителями, поступившие на вооружение перед самой войной. Их из-за большой длины (более 2 м) размещали на наружной подвеске; при этом еще четыре ФАБ-250 грузили в бомбоотсек. Такие боеприпасы, в частности, применяли в районе Лодейного Поля.</w:t>
      </w:r>
    </w:p>
    <w:p w14:paraId="0D17CC2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Командующий ВВС маршал Новиков докладывал Сталину о первых днях боев: "334 БАД потерь не имела, летала днем и работала отлично". Ту-2 действовали днем, крупными группами. Так, в налете на железнодорожный узел в Выборге 15 июня участвовали 23 самолета, 17 июня - 59. Кроме бомбардировки сил противника, Ту-2 </w:t>
      </w:r>
      <w:r w:rsidRPr="007224C3">
        <w:rPr>
          <w:rFonts w:ascii="Times New Roman" w:hAnsi="Times New Roman"/>
          <w:color w:val="000000" w:themeColor="text1"/>
          <w:sz w:val="16"/>
          <w:szCs w:val="16"/>
        </w:rPr>
        <w:lastRenderedPageBreak/>
        <w:t>использовали и как разведчики. Советские ВВС достигли превосходства в воздухе, поэтому потери в этой операции были небольшими. Например, 12-й бап лишился всего одного самолета - командира 2-й эскадрильи А.А. Шумейко.</w:t>
      </w:r>
    </w:p>
    <w:p w14:paraId="64FEAB0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Наступление было успешным. 21 июня советские войска взяли Выборг.</w:t>
      </w:r>
    </w:p>
    <w:p w14:paraId="18F54A9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Пребывание 334-й дивизии на Ленинградском фронте было кратковременным. В конце июня соединение перебросили на 3-й Белорусский фронт, в 4-ю воздушную армию, где оно приняло участие в операции "Багратион" по освобождению Белоруссии. Ту-2 использовались с большой интенсивностью, совершая до двух вылетов день. Они наносили удары по войскам на передовой и в ближнем тылу противника, по железнодорожным узлам и складам. Летая "на коротком плече", командир 12-го бап М.П. Васякин довел бомбовую нагрузку своего самолета до предела - 3000 кг. Он же применил групповой взлет - Ту-2 стартовали с аэродрома Улла звеньями, сокращая время на сбор группы в воздухе.</w:t>
      </w:r>
    </w:p>
    <w:p w14:paraId="153AA10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июле 334-я дивизия опять сменила место. По приказу командования она перешла в подчинение 3-й воздушной армии на 1-м Прибалтийском фронте. Ту-2 летали на бомбежку немецких войск в районах Митавы, Шяуляя, Тильзита, атаковали порты в Либаве и Клайпеде, вели воздушную разведку.</w:t>
      </w:r>
    </w:p>
    <w:p w14:paraId="053F4E4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Ту-2 применяли против наиболее важных узлов сопротивления немцев. Бомбили их днем, с горизонтального полета, действуя крупными группами до полка, а несколько вылетов совершили полным составом дивизии (около 100 самолетов). Летали с плотным прикрытием истребителями Як-9 и Р-39. Наиболее удаленные цели располагались в 300 - 500 км от аэродромов базирования, средняя бомбовая нагрузка составляла 1350 кг.</w:t>
      </w:r>
    </w:p>
    <w:p w14:paraId="68AB968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участие в прорыве обороны противника на р. Западная Двина юго-восточнее Риги 132-й полк был удостоен ордена Кутузова 3-й степени. Но сопротивление немцев было упорным; дивизия понесла потери и от истребителей, и от зенитной артиллерии. За три месяца боев в Прибалтике только истребители сбили 10 и повредили еще 16 бомбардировщиков.</w:t>
      </w:r>
    </w:p>
    <w:p w14:paraId="19BA4F2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июля в районе Тукумса в Латвии был сбит и погиб Васякин, который вел свой полк на бомбежку позиций немцев. Как правило, истребители противника атаковали ведомых, пользуясь фактором неожиданности. Еще семь Ту-2 уничтожили немецкие зенитчики.</w:t>
      </w:r>
    </w:p>
    <w:p w14:paraId="1B7B2EB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Сменивший Васякина майор И.С. Полевой погиб 20 августа. Он повел 27 самолетов бомбить железнодорожный узел. Бомбардировщики столкнулись с сильным огнем зенитной артиллерии. Ту-2 Полевого был подбит, сам пилот - ранен. Но экипаж сбросил бомбы на цель. На обратном пути бомбардировщик совершил вынужденную посадку на лес. Стрелок вытащил командира из кабины, но тот вскоре скончался.</w:t>
      </w:r>
    </w:p>
    <w:p w14:paraId="5FBACD2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Дивизия воевала в Прибалтике до конца 1944 г. В целом Ту-2 показал себя очень неплохо. Командир 132-го бап подполковник Бугай писал в своем рапорте: "Летный состав полка высоко ценит самолет Ту-2 и успешно ведет работу на этой новой материальной части". В среднем, на один утраченный бомбардировщик приходилось 465 самолето-вылетов. За 1944 г. советские ВВС лишились 77 самолетов этого типа; при этом около 60% машин - непосредственно боевые потери. Доля техники, потерянной в авариях и катастрофах, оказалась меньше, чем у всех других типов фронтовых бомбардировщиков (11988).</w:t>
      </w:r>
    </w:p>
    <w:p w14:paraId="1C5D72B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4806A1A2" w14:textId="77777777" w:rsidR="00064D4E"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4173A4CF" w14:textId="77777777" w:rsidR="00064D4E" w:rsidRPr="007224C3" w:rsidRDefault="00064D4E"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C8674B1" w14:textId="77777777" w:rsidR="00AD0763" w:rsidRPr="007224C3" w:rsidRDefault="00AD076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весне 1944г. для немецкого верховного командования стало ясно, что постоянному наращиванию дневных налетов бомбардировщиков союзников на промышленные центры противостоять имевшимися средствами ПВО уже невозможно. Ситуация была настолько серьезной, что рассматривались даже самые необычные предложения по перехвату и уничтожению бомбардировочных соединений, но только немногие из них оказались реально осуществимыми. Одним из таких эксцентричных предложений был проект Эриха Бахема по созданию дешевого, вертикально стартующего ракетного истребителя объектовой ПВО. Проект Бахема не был действительно оригинальным. Вертикально стартующий ракетный перехватчик был предложен Техническому департаменту еще летом 1939 г. и был отклонен как слишком фантастичный. Проект Бахема отличался крайней простотой, с максимальным использованием недефицитных материалов в конструкции и неквалифицированной рабочей силы при сборке. Дешевые и недефицитные материалы применялись в каждом узле конструкции, которая должна была использоваться только один раз. Ракетный двигатель предполагалось спасать для последующего использования. Концепцию такого перехватчика впервые выдвинул Вернер фон Браун в меморандуме Техническому департаменту от 6 июля 1939г. Фон Браун рассматривал самолет взлетной массой около 5000кг с одним ракетным двигателем тягой до 10 тонн. Самолет должен был взлетать вертикально с помощью 6м направляющих. Боевая высота в 8000м набиралась за 53 секунды! Хотя эта схема была отклонена РЛМ как трудноосуществимая, но сама концепция захватила воображение Бахема -технического директора "Герхард Физелер верке", который разработал ряд проектов под общим обозначением Fi.166. Окончательный вариант "Наттера" несколько отличался от предложения Бахема. Первоначальная конфигурация самолета отвечала такой схеме атаки: после применения "Наттером" своего бортового оружия - батареи ракет - пилот затем должен был использовать оставшуюся кинетическую энергию самолета для набора высоты с последующим пикированием и тараном цели. Непосредственно перед столкновением пилот катапультировался. При этом срабатывали разрывные болты, отсоединявшие заднюю часть самолета с двигателем, который затем приземлялась с помощью парашюта для последующего использования. Бетхбедер пришел к заключению, что кабина "Наттера" слишком мала для установки нормального катапультируемого сиденья. Кроме того, его установка только усложнила бы конструкцию, которая априорно должна была быть простой. В результате от таранного способа атаки пришлось отказаться. Пилот теперь должен был сбрасывать переднюю часть фюзеляжа с фонарем, что освобождало парашют. Конструкция была цельнодеревянной. Металл использовался только для органов управления, шарниров и узлов крепления. Механизация крыла отсутствовала, управление осуществлялось рулевыми поверхностями, которые составляли часть хвостового оперения. Оперение в виде "несимметричного креста", стабилизатор несущий. Крыло и стабилизатор максимально простой прямоугольной формы. Пpофиль крыла симметричный с относительной толщиной 12% на 50% хорды. На начальной стадии проектирования рассматривались различные варианты вооружения, включая батарею из 49 30-мм ракет SG-119, "цилиндрический" полуавтомат с 40 30-мм снарядами, но была выбрана сотовая схема с шестигранными трубами под 73-мм ракеты S-217 "Фэн" (Шторм) или четырехгранными под 55-мм ракеты R4М. "Соты" в последнем варианте несли 33 снаряда, а в первом - 24. Первоначальный вариант на 28 "Штормов" был отклонен из-за проблем с отводом пороховых газов, которые вызвали взрыв во время наземных испытаний. В полете "соты" закрывались сбрасываемым пластиковым обтекателем. Для запуска Ва.349 монтировался на практически вертикальных направляющих длиной 25м. Законцовки крыла и нижней части киля были усилены для движения по направляющим. Направляющие могли наклоняться для "зарядки" в них самолета горизонтальным способом. Так как тяга двигателя была несколько меньше нужной для обеспечения вертикального взлета, то предусматривалось использование четырех твердотопливных ракетных ускорителей "Шмиддинг", работающих 10 секунд и затем сбрасывающихся. После старта на высоте 170-200м сбрасывались ускорители и включался автопилот, управляемый по радио с земли. В 1.5-3км от цели пилот должен был отключить автопилот, сбросить носовой обтекатель, приготовить ракеты, сблизиться с целью и пустить все ракеты одним залпом. Так как задачей пилота было только направить самолет на цель, планировалось использовать летчиков без особой подготовки - только инструктаж на земле. После выполнения атаки пилот отстегивал ремни, отсоединял штурвал и сбрасывал носовую часть фюзеляжа. Одновременно открывался парашют в задней части фюзеляжа. Последующее торможение задней части фюзеляжа как был откидывало пилота вперед от самолета, после чего летчик открывал свой парашют обычным способом. Поддержка программы Ва.349 была такой сильной, что первая партия из 50 опытных машин была закончена на заводе в Вальдзе за три месяца с момента начала работ. а этой стадии планировалось использовать все 50 машин для безмоторных испытаний. Первый планирующие полет был совершен под Юрбергом в ноябре 1944г. Ва.349 был загружен до 1700кг и поднят на высоту 6000м буксировщиком Hе.111. Первая попытка беспилотного вертикального старта была предпринята 18 декабря 1944г. Испытания закончились неудачей - Ва.349 даже не сошел с направляющих, так как ускорители прогорели в местах проводки зажигания. Через четыре дня последовала вторая попытка. а этот раз самолет сошел с направляющих и исчез в облаках на высоте 750м. Далее успешно были запущены еще десять беспилотных Ва.349 (15139).</w:t>
      </w:r>
    </w:p>
    <w:p w14:paraId="1D375576" w14:textId="77777777" w:rsidR="00AD0763" w:rsidRPr="007224C3" w:rsidRDefault="00AD0763" w:rsidP="007224C3">
      <w:pPr>
        <w:spacing w:after="0" w:line="240" w:lineRule="auto"/>
        <w:jc w:val="both"/>
        <w:rPr>
          <w:rFonts w:ascii="Times New Roman" w:hAnsi="Times New Roman"/>
          <w:color w:val="000000" w:themeColor="text1"/>
          <w:sz w:val="16"/>
          <w:szCs w:val="16"/>
        </w:rPr>
      </w:pPr>
    </w:p>
    <w:p w14:paraId="6ED65B51"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307A2F42"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A73C22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К марту 1944 г. завод № 292 перешел с поточно-стендовой (самолеты стоят, а бригады сборщиков движутся) на поточно-конвейерную сборку самолетов с принудительным графиком движения самолетов по конвейеру, при котором индивидуальная подгонка деталей становилась невозможной. Новый производственный метод внедрялся уже в расчете на новую машину - Як-3, которая начала выпускаться параллельно с Як-1 при постепенном уменьшении объемов изготовления последнего. В июле 1944 г. выпуск Як-1 был прекращен, а сдача "готовых к бою" самолетов в части продолжалась еще до октября (табл.). </w:t>
      </w:r>
    </w:p>
    <w:p w14:paraId="25EB4CF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Выпуск истребителей Як-1 заводом № 292 в 1944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45"/>
        <w:gridCol w:w="990"/>
        <w:gridCol w:w="708"/>
        <w:gridCol w:w="851"/>
        <w:gridCol w:w="709"/>
        <w:gridCol w:w="708"/>
        <w:gridCol w:w="709"/>
        <w:gridCol w:w="851"/>
        <w:gridCol w:w="708"/>
        <w:gridCol w:w="708"/>
        <w:gridCol w:w="708"/>
        <w:gridCol w:w="708"/>
        <w:gridCol w:w="708"/>
        <w:gridCol w:w="708"/>
      </w:tblGrid>
      <w:tr w:rsidR="005106D0" w:rsidRPr="007224C3" w14:paraId="04293135" w14:textId="77777777">
        <w:tc>
          <w:tcPr>
            <w:tcW w:w="1245" w:type="dxa"/>
            <w:tcBorders>
              <w:top w:val="single" w:sz="12" w:space="0" w:color="auto"/>
            </w:tcBorders>
          </w:tcPr>
          <w:p w14:paraId="4EF3BB6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Производственные показатели</w:t>
            </w:r>
          </w:p>
        </w:tc>
        <w:tc>
          <w:tcPr>
            <w:tcW w:w="990" w:type="dxa"/>
            <w:tcBorders>
              <w:top w:val="single" w:sz="12" w:space="0" w:color="auto"/>
            </w:tcBorders>
          </w:tcPr>
          <w:p w14:paraId="77692FF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Январь </w:t>
            </w:r>
          </w:p>
        </w:tc>
        <w:tc>
          <w:tcPr>
            <w:tcW w:w="708" w:type="dxa"/>
            <w:tcBorders>
              <w:top w:val="single" w:sz="12" w:space="0" w:color="auto"/>
            </w:tcBorders>
          </w:tcPr>
          <w:p w14:paraId="1960FC0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Февраль</w:t>
            </w:r>
          </w:p>
        </w:tc>
        <w:tc>
          <w:tcPr>
            <w:tcW w:w="851" w:type="dxa"/>
            <w:tcBorders>
              <w:top w:val="single" w:sz="12" w:space="0" w:color="auto"/>
            </w:tcBorders>
          </w:tcPr>
          <w:p w14:paraId="38B088E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Март</w:t>
            </w:r>
          </w:p>
        </w:tc>
        <w:tc>
          <w:tcPr>
            <w:tcW w:w="709" w:type="dxa"/>
            <w:tcBorders>
              <w:top w:val="single" w:sz="12" w:space="0" w:color="auto"/>
            </w:tcBorders>
          </w:tcPr>
          <w:p w14:paraId="6780FE4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Апрель</w:t>
            </w:r>
          </w:p>
        </w:tc>
        <w:tc>
          <w:tcPr>
            <w:tcW w:w="708" w:type="dxa"/>
            <w:tcBorders>
              <w:top w:val="single" w:sz="12" w:space="0" w:color="auto"/>
            </w:tcBorders>
          </w:tcPr>
          <w:p w14:paraId="5AA6D28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Май</w:t>
            </w:r>
          </w:p>
        </w:tc>
        <w:tc>
          <w:tcPr>
            <w:tcW w:w="709" w:type="dxa"/>
            <w:tcBorders>
              <w:top w:val="single" w:sz="12" w:space="0" w:color="auto"/>
            </w:tcBorders>
          </w:tcPr>
          <w:p w14:paraId="4CE6CFB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Июнь</w:t>
            </w:r>
          </w:p>
        </w:tc>
        <w:tc>
          <w:tcPr>
            <w:tcW w:w="851" w:type="dxa"/>
            <w:tcBorders>
              <w:top w:val="single" w:sz="12" w:space="0" w:color="auto"/>
            </w:tcBorders>
          </w:tcPr>
          <w:p w14:paraId="4DBAACE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Июльо</w:t>
            </w:r>
          </w:p>
        </w:tc>
        <w:tc>
          <w:tcPr>
            <w:tcW w:w="708" w:type="dxa"/>
            <w:tcBorders>
              <w:top w:val="single" w:sz="12" w:space="0" w:color="auto"/>
            </w:tcBorders>
          </w:tcPr>
          <w:p w14:paraId="0D88714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Август</w:t>
            </w:r>
          </w:p>
        </w:tc>
        <w:tc>
          <w:tcPr>
            <w:tcW w:w="708" w:type="dxa"/>
            <w:tcBorders>
              <w:top w:val="single" w:sz="12" w:space="0" w:color="auto"/>
            </w:tcBorders>
          </w:tcPr>
          <w:p w14:paraId="466DF28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Сентябрь</w:t>
            </w:r>
          </w:p>
        </w:tc>
        <w:tc>
          <w:tcPr>
            <w:tcW w:w="708" w:type="dxa"/>
            <w:tcBorders>
              <w:top w:val="single" w:sz="12" w:space="0" w:color="auto"/>
            </w:tcBorders>
          </w:tcPr>
          <w:p w14:paraId="02FE010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Октябрь</w:t>
            </w:r>
          </w:p>
        </w:tc>
        <w:tc>
          <w:tcPr>
            <w:tcW w:w="708" w:type="dxa"/>
            <w:tcBorders>
              <w:top w:val="single" w:sz="12" w:space="0" w:color="auto"/>
            </w:tcBorders>
          </w:tcPr>
          <w:p w14:paraId="657B520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Ноябрь</w:t>
            </w:r>
          </w:p>
        </w:tc>
        <w:tc>
          <w:tcPr>
            <w:tcW w:w="708" w:type="dxa"/>
            <w:tcBorders>
              <w:top w:val="single" w:sz="12" w:space="0" w:color="auto"/>
            </w:tcBorders>
          </w:tcPr>
          <w:p w14:paraId="4706852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Декабрь</w:t>
            </w:r>
          </w:p>
        </w:tc>
        <w:tc>
          <w:tcPr>
            <w:tcW w:w="708" w:type="dxa"/>
            <w:tcBorders>
              <w:top w:val="single" w:sz="12" w:space="0" w:color="auto"/>
            </w:tcBorders>
          </w:tcPr>
          <w:p w14:paraId="602EF2E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w:t>
            </w:r>
          </w:p>
        </w:tc>
      </w:tr>
      <w:tr w:rsidR="005106D0" w:rsidRPr="007224C3" w14:paraId="22336219" w14:textId="77777777">
        <w:tc>
          <w:tcPr>
            <w:tcW w:w="1245" w:type="dxa"/>
          </w:tcPr>
          <w:p w14:paraId="3B5174F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План выпуска</w:t>
            </w:r>
          </w:p>
        </w:tc>
        <w:tc>
          <w:tcPr>
            <w:tcW w:w="990" w:type="dxa"/>
          </w:tcPr>
          <w:p w14:paraId="3F007F0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260</w:t>
            </w:r>
          </w:p>
        </w:tc>
        <w:tc>
          <w:tcPr>
            <w:tcW w:w="708" w:type="dxa"/>
          </w:tcPr>
          <w:p w14:paraId="1116B10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235</w:t>
            </w:r>
          </w:p>
        </w:tc>
        <w:tc>
          <w:tcPr>
            <w:tcW w:w="851" w:type="dxa"/>
          </w:tcPr>
          <w:p w14:paraId="2E9104F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207</w:t>
            </w:r>
          </w:p>
        </w:tc>
        <w:tc>
          <w:tcPr>
            <w:tcW w:w="709" w:type="dxa"/>
          </w:tcPr>
          <w:p w14:paraId="0C78923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155</w:t>
            </w:r>
          </w:p>
        </w:tc>
        <w:tc>
          <w:tcPr>
            <w:tcW w:w="708" w:type="dxa"/>
          </w:tcPr>
          <w:p w14:paraId="088ED01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110</w:t>
            </w:r>
          </w:p>
        </w:tc>
        <w:tc>
          <w:tcPr>
            <w:tcW w:w="709" w:type="dxa"/>
          </w:tcPr>
          <w:p w14:paraId="69D25A2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83</w:t>
            </w:r>
          </w:p>
        </w:tc>
        <w:tc>
          <w:tcPr>
            <w:tcW w:w="851" w:type="dxa"/>
          </w:tcPr>
          <w:p w14:paraId="45D9427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3AD6AC5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589E3D6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49A764C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35D2DD0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7575ECC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4809273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1050</w:t>
            </w:r>
          </w:p>
        </w:tc>
      </w:tr>
      <w:tr w:rsidR="005106D0" w:rsidRPr="007224C3" w14:paraId="52CC5647" w14:textId="77777777">
        <w:tc>
          <w:tcPr>
            <w:tcW w:w="1245" w:type="dxa"/>
          </w:tcPr>
          <w:p w14:paraId="2847142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Сдачи готовых к бою</w:t>
            </w:r>
          </w:p>
        </w:tc>
        <w:tc>
          <w:tcPr>
            <w:tcW w:w="990" w:type="dxa"/>
          </w:tcPr>
          <w:p w14:paraId="49DBEE8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260</w:t>
            </w:r>
          </w:p>
        </w:tc>
        <w:tc>
          <w:tcPr>
            <w:tcW w:w="708" w:type="dxa"/>
          </w:tcPr>
          <w:p w14:paraId="155BC31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319</w:t>
            </w:r>
          </w:p>
        </w:tc>
        <w:tc>
          <w:tcPr>
            <w:tcW w:w="851" w:type="dxa"/>
          </w:tcPr>
          <w:p w14:paraId="7C58D6D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73810B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155</w:t>
            </w:r>
          </w:p>
        </w:tc>
        <w:tc>
          <w:tcPr>
            <w:tcW w:w="708" w:type="dxa"/>
          </w:tcPr>
          <w:p w14:paraId="3CE5FEF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110</w:t>
            </w:r>
          </w:p>
        </w:tc>
        <w:tc>
          <w:tcPr>
            <w:tcW w:w="709" w:type="dxa"/>
          </w:tcPr>
          <w:p w14:paraId="5E7241E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0566F3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6EF665D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7DAD5AB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7E7E237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4823E90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4B0303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1636E3C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075B6BC" w14:textId="77777777">
        <w:tc>
          <w:tcPr>
            <w:tcW w:w="1245" w:type="dxa"/>
          </w:tcPr>
          <w:p w14:paraId="0416C29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Фактически собрано</w:t>
            </w:r>
          </w:p>
        </w:tc>
        <w:tc>
          <w:tcPr>
            <w:tcW w:w="990" w:type="dxa"/>
          </w:tcPr>
          <w:p w14:paraId="78345B7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275</w:t>
            </w:r>
          </w:p>
        </w:tc>
        <w:tc>
          <w:tcPr>
            <w:tcW w:w="708" w:type="dxa"/>
          </w:tcPr>
          <w:p w14:paraId="0BA6F0E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246</w:t>
            </w:r>
          </w:p>
        </w:tc>
        <w:tc>
          <w:tcPr>
            <w:tcW w:w="851" w:type="dxa"/>
          </w:tcPr>
          <w:p w14:paraId="1E7498C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217</w:t>
            </w:r>
          </w:p>
        </w:tc>
        <w:tc>
          <w:tcPr>
            <w:tcW w:w="709" w:type="dxa"/>
          </w:tcPr>
          <w:p w14:paraId="7A15A90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163</w:t>
            </w:r>
          </w:p>
        </w:tc>
        <w:tc>
          <w:tcPr>
            <w:tcW w:w="708" w:type="dxa"/>
          </w:tcPr>
          <w:p w14:paraId="2C01C41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135</w:t>
            </w:r>
          </w:p>
        </w:tc>
        <w:tc>
          <w:tcPr>
            <w:tcW w:w="709" w:type="dxa"/>
          </w:tcPr>
          <w:p w14:paraId="5ACB69E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88</w:t>
            </w:r>
          </w:p>
        </w:tc>
        <w:tc>
          <w:tcPr>
            <w:tcW w:w="851" w:type="dxa"/>
          </w:tcPr>
          <w:p w14:paraId="48AAF02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4 </w:t>
            </w:r>
          </w:p>
        </w:tc>
        <w:tc>
          <w:tcPr>
            <w:tcW w:w="708" w:type="dxa"/>
          </w:tcPr>
          <w:p w14:paraId="60CBE03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08653B8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EA88D1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1338B0C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00E26F7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09DB631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1128</w:t>
            </w:r>
          </w:p>
        </w:tc>
      </w:tr>
      <w:tr w:rsidR="005106D0" w:rsidRPr="007224C3" w14:paraId="08090C44" w14:textId="77777777">
        <w:tc>
          <w:tcPr>
            <w:tcW w:w="1245" w:type="dxa"/>
          </w:tcPr>
          <w:p w14:paraId="7EF02AE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Сдано готовых к бою</w:t>
            </w:r>
          </w:p>
        </w:tc>
        <w:tc>
          <w:tcPr>
            <w:tcW w:w="990" w:type="dxa"/>
          </w:tcPr>
          <w:p w14:paraId="5EAB48A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225</w:t>
            </w:r>
          </w:p>
        </w:tc>
        <w:tc>
          <w:tcPr>
            <w:tcW w:w="708" w:type="dxa"/>
          </w:tcPr>
          <w:p w14:paraId="6C0EC2A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247</w:t>
            </w:r>
          </w:p>
        </w:tc>
        <w:tc>
          <w:tcPr>
            <w:tcW w:w="851" w:type="dxa"/>
          </w:tcPr>
          <w:p w14:paraId="0D4F2D6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226</w:t>
            </w:r>
          </w:p>
        </w:tc>
        <w:tc>
          <w:tcPr>
            <w:tcW w:w="709" w:type="dxa"/>
          </w:tcPr>
          <w:p w14:paraId="318EB2F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208</w:t>
            </w:r>
          </w:p>
        </w:tc>
        <w:tc>
          <w:tcPr>
            <w:tcW w:w="708" w:type="dxa"/>
          </w:tcPr>
          <w:p w14:paraId="4A75B8E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103</w:t>
            </w:r>
          </w:p>
        </w:tc>
        <w:tc>
          <w:tcPr>
            <w:tcW w:w="709" w:type="dxa"/>
          </w:tcPr>
          <w:p w14:paraId="21434EB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97</w:t>
            </w:r>
          </w:p>
        </w:tc>
        <w:tc>
          <w:tcPr>
            <w:tcW w:w="851" w:type="dxa"/>
          </w:tcPr>
          <w:p w14:paraId="2E2F58F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62 </w:t>
            </w:r>
          </w:p>
        </w:tc>
        <w:tc>
          <w:tcPr>
            <w:tcW w:w="708" w:type="dxa"/>
          </w:tcPr>
          <w:p w14:paraId="69749BB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w:t>
            </w:r>
          </w:p>
        </w:tc>
        <w:tc>
          <w:tcPr>
            <w:tcW w:w="708" w:type="dxa"/>
          </w:tcPr>
          <w:p w14:paraId="3986F78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tc>
        <w:tc>
          <w:tcPr>
            <w:tcW w:w="708" w:type="dxa"/>
          </w:tcPr>
          <w:p w14:paraId="09D3B2E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tc>
        <w:tc>
          <w:tcPr>
            <w:tcW w:w="708" w:type="dxa"/>
          </w:tcPr>
          <w:p w14:paraId="19839AE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68DAF00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3237216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1188</w:t>
            </w:r>
          </w:p>
        </w:tc>
      </w:tr>
      <w:tr w:rsidR="005106D0" w:rsidRPr="007224C3" w14:paraId="0B3BC724" w14:textId="77777777">
        <w:tc>
          <w:tcPr>
            <w:tcW w:w="1245" w:type="dxa"/>
          </w:tcPr>
          <w:p w14:paraId="5E2847B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Отправлено с завода</w:t>
            </w:r>
          </w:p>
        </w:tc>
        <w:tc>
          <w:tcPr>
            <w:tcW w:w="990" w:type="dxa"/>
          </w:tcPr>
          <w:p w14:paraId="4A55495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157</w:t>
            </w:r>
          </w:p>
        </w:tc>
        <w:tc>
          <w:tcPr>
            <w:tcW w:w="708" w:type="dxa"/>
          </w:tcPr>
          <w:p w14:paraId="44EAADF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257</w:t>
            </w:r>
          </w:p>
        </w:tc>
        <w:tc>
          <w:tcPr>
            <w:tcW w:w="851" w:type="dxa"/>
          </w:tcPr>
          <w:p w14:paraId="7A2010F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217</w:t>
            </w:r>
          </w:p>
        </w:tc>
        <w:tc>
          <w:tcPr>
            <w:tcW w:w="709" w:type="dxa"/>
          </w:tcPr>
          <w:p w14:paraId="3B382E8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259</w:t>
            </w:r>
          </w:p>
        </w:tc>
        <w:tc>
          <w:tcPr>
            <w:tcW w:w="708" w:type="dxa"/>
          </w:tcPr>
          <w:p w14:paraId="755D8D2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119</w:t>
            </w:r>
          </w:p>
        </w:tc>
        <w:tc>
          <w:tcPr>
            <w:tcW w:w="709" w:type="dxa"/>
          </w:tcPr>
          <w:p w14:paraId="20FC7C5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13ADC9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1A2C5AA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329F7AF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B3C05B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38B4A7C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05957D2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52EDE37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FF6E1E4" w14:textId="77777777">
        <w:tc>
          <w:tcPr>
            <w:tcW w:w="1245" w:type="dxa"/>
            <w:tcBorders>
              <w:bottom w:val="single" w:sz="12" w:space="0" w:color="auto"/>
            </w:tcBorders>
          </w:tcPr>
          <w:p w14:paraId="0F53561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Осталось на заводе</w:t>
            </w:r>
          </w:p>
        </w:tc>
        <w:tc>
          <w:tcPr>
            <w:tcW w:w="990" w:type="dxa"/>
            <w:tcBorders>
              <w:bottom w:val="single" w:sz="12" w:space="0" w:color="auto"/>
            </w:tcBorders>
          </w:tcPr>
          <w:p w14:paraId="0B19A78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207</w:t>
            </w:r>
          </w:p>
        </w:tc>
        <w:tc>
          <w:tcPr>
            <w:tcW w:w="708" w:type="dxa"/>
            <w:tcBorders>
              <w:bottom w:val="single" w:sz="12" w:space="0" w:color="auto"/>
            </w:tcBorders>
          </w:tcPr>
          <w:p w14:paraId="723D190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196</w:t>
            </w:r>
          </w:p>
        </w:tc>
        <w:tc>
          <w:tcPr>
            <w:tcW w:w="851" w:type="dxa"/>
            <w:tcBorders>
              <w:bottom w:val="single" w:sz="12" w:space="0" w:color="auto"/>
            </w:tcBorders>
          </w:tcPr>
          <w:p w14:paraId="2CF6B8E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196</w:t>
            </w:r>
          </w:p>
        </w:tc>
        <w:tc>
          <w:tcPr>
            <w:tcW w:w="709" w:type="dxa"/>
            <w:tcBorders>
              <w:bottom w:val="single" w:sz="12" w:space="0" w:color="auto"/>
            </w:tcBorders>
          </w:tcPr>
          <w:p w14:paraId="101F493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w:t>
            </w:r>
          </w:p>
        </w:tc>
        <w:tc>
          <w:tcPr>
            <w:tcW w:w="708" w:type="dxa"/>
            <w:tcBorders>
              <w:bottom w:val="single" w:sz="12" w:space="0" w:color="auto"/>
            </w:tcBorders>
          </w:tcPr>
          <w:p w14:paraId="1B485C4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116</w:t>
            </w:r>
          </w:p>
        </w:tc>
        <w:tc>
          <w:tcPr>
            <w:tcW w:w="709" w:type="dxa"/>
            <w:tcBorders>
              <w:bottom w:val="single" w:sz="12" w:space="0" w:color="auto"/>
            </w:tcBorders>
          </w:tcPr>
          <w:p w14:paraId="420A055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bottom w:val="single" w:sz="12" w:space="0" w:color="auto"/>
            </w:tcBorders>
          </w:tcPr>
          <w:p w14:paraId="157A93E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Borders>
              <w:bottom w:val="single" w:sz="12" w:space="0" w:color="auto"/>
            </w:tcBorders>
          </w:tcPr>
          <w:p w14:paraId="1A889D1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Borders>
              <w:bottom w:val="single" w:sz="12" w:space="0" w:color="auto"/>
            </w:tcBorders>
          </w:tcPr>
          <w:p w14:paraId="06007B7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Borders>
              <w:bottom w:val="single" w:sz="12" w:space="0" w:color="auto"/>
            </w:tcBorders>
          </w:tcPr>
          <w:p w14:paraId="5B8C54F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Borders>
              <w:bottom w:val="single" w:sz="12" w:space="0" w:color="auto"/>
            </w:tcBorders>
          </w:tcPr>
          <w:p w14:paraId="31A4B3C4"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Borders>
              <w:bottom w:val="single" w:sz="12" w:space="0" w:color="auto"/>
            </w:tcBorders>
          </w:tcPr>
          <w:p w14:paraId="169141D8"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Borders>
              <w:bottom w:val="single" w:sz="12" w:space="0" w:color="auto"/>
            </w:tcBorders>
          </w:tcPr>
          <w:p w14:paraId="5D97B49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r>
    </w:tbl>
    <w:p w14:paraId="5D4498A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Оставшиеся на заводе по различным причинам последние 27 самолетов Як-1 были разобраны и сданы ВВС КА россыпью как запасные части. Таким образом, всего за период с 1939 по 1944 гг. было выпущено 8673 истребителя Як-1 (табл.).</w:t>
      </w:r>
    </w:p>
    <w:p w14:paraId="2BA2358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Выпуск истребителей Як-1 заводами НКАП в 1939-1944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00"/>
        <w:gridCol w:w="800"/>
        <w:gridCol w:w="800"/>
        <w:gridCol w:w="800"/>
        <w:gridCol w:w="800"/>
        <w:gridCol w:w="800"/>
        <w:gridCol w:w="800"/>
        <w:gridCol w:w="800"/>
      </w:tblGrid>
      <w:tr w:rsidR="005106D0" w:rsidRPr="007224C3" w14:paraId="597CDC9D" w14:textId="77777777">
        <w:tc>
          <w:tcPr>
            <w:tcW w:w="800" w:type="dxa"/>
            <w:tcBorders>
              <w:top w:val="single" w:sz="12" w:space="0" w:color="auto"/>
            </w:tcBorders>
          </w:tcPr>
          <w:p w14:paraId="08EC98F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Завод-изготовитель</w:t>
            </w:r>
          </w:p>
        </w:tc>
        <w:tc>
          <w:tcPr>
            <w:tcW w:w="800" w:type="dxa"/>
            <w:tcBorders>
              <w:top w:val="single" w:sz="12" w:space="0" w:color="auto"/>
            </w:tcBorders>
          </w:tcPr>
          <w:p w14:paraId="77B43D0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1939 г.</w:t>
            </w:r>
          </w:p>
        </w:tc>
        <w:tc>
          <w:tcPr>
            <w:tcW w:w="800" w:type="dxa"/>
            <w:tcBorders>
              <w:top w:val="single" w:sz="12" w:space="0" w:color="auto"/>
            </w:tcBorders>
          </w:tcPr>
          <w:p w14:paraId="5896097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1940 г.</w:t>
            </w:r>
          </w:p>
        </w:tc>
        <w:tc>
          <w:tcPr>
            <w:tcW w:w="800" w:type="dxa"/>
            <w:tcBorders>
              <w:top w:val="single" w:sz="12" w:space="0" w:color="auto"/>
            </w:tcBorders>
          </w:tcPr>
          <w:p w14:paraId="0EF5DE7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1941 г.</w:t>
            </w:r>
          </w:p>
        </w:tc>
        <w:tc>
          <w:tcPr>
            <w:tcW w:w="800" w:type="dxa"/>
            <w:tcBorders>
              <w:top w:val="single" w:sz="12" w:space="0" w:color="auto"/>
            </w:tcBorders>
          </w:tcPr>
          <w:p w14:paraId="09654D7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1942 г.</w:t>
            </w:r>
          </w:p>
        </w:tc>
        <w:tc>
          <w:tcPr>
            <w:tcW w:w="800" w:type="dxa"/>
            <w:tcBorders>
              <w:top w:val="single" w:sz="12" w:space="0" w:color="auto"/>
            </w:tcBorders>
          </w:tcPr>
          <w:p w14:paraId="0E59588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1943 г.</w:t>
            </w:r>
          </w:p>
        </w:tc>
        <w:tc>
          <w:tcPr>
            <w:tcW w:w="800" w:type="dxa"/>
            <w:tcBorders>
              <w:top w:val="single" w:sz="12" w:space="0" w:color="auto"/>
            </w:tcBorders>
          </w:tcPr>
          <w:p w14:paraId="14A4D58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1944 г.</w:t>
            </w:r>
          </w:p>
        </w:tc>
        <w:tc>
          <w:tcPr>
            <w:tcW w:w="800" w:type="dxa"/>
            <w:tcBorders>
              <w:top w:val="single" w:sz="12" w:space="0" w:color="auto"/>
            </w:tcBorders>
          </w:tcPr>
          <w:p w14:paraId="12A1852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w:t>
            </w:r>
          </w:p>
        </w:tc>
      </w:tr>
      <w:tr w:rsidR="005106D0" w:rsidRPr="007224C3" w14:paraId="7DA6DF09" w14:textId="77777777">
        <w:tc>
          <w:tcPr>
            <w:tcW w:w="800" w:type="dxa"/>
          </w:tcPr>
          <w:p w14:paraId="2628518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47</w:t>
            </w:r>
          </w:p>
        </w:tc>
        <w:tc>
          <w:tcPr>
            <w:tcW w:w="800" w:type="dxa"/>
          </w:tcPr>
          <w:p w14:paraId="73CC370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7C67EDF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3A21289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25203A6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606D1E5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5531CDC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72B0A49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tc>
      </w:tr>
      <w:tr w:rsidR="005106D0" w:rsidRPr="007224C3" w14:paraId="568D9D51" w14:textId="77777777">
        <w:tc>
          <w:tcPr>
            <w:tcW w:w="800" w:type="dxa"/>
          </w:tcPr>
          <w:p w14:paraId="05C766A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№115</w:t>
            </w:r>
          </w:p>
        </w:tc>
        <w:tc>
          <w:tcPr>
            <w:tcW w:w="800" w:type="dxa"/>
          </w:tcPr>
          <w:p w14:paraId="4DBA4E1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tc>
        <w:tc>
          <w:tcPr>
            <w:tcW w:w="800" w:type="dxa"/>
          </w:tcPr>
          <w:p w14:paraId="7F539DE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tc>
        <w:tc>
          <w:tcPr>
            <w:tcW w:w="800" w:type="dxa"/>
          </w:tcPr>
          <w:p w14:paraId="45DC976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00" w:type="dxa"/>
          </w:tcPr>
          <w:p w14:paraId="3AAA36F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00" w:type="dxa"/>
          </w:tcPr>
          <w:p w14:paraId="2F0AAF8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00" w:type="dxa"/>
          </w:tcPr>
          <w:p w14:paraId="47FD21D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00" w:type="dxa"/>
          </w:tcPr>
          <w:p w14:paraId="5509083B"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tc>
      </w:tr>
      <w:tr w:rsidR="005106D0" w:rsidRPr="007224C3" w14:paraId="3BC3B4E6" w14:textId="77777777">
        <w:tc>
          <w:tcPr>
            <w:tcW w:w="800" w:type="dxa"/>
          </w:tcPr>
          <w:p w14:paraId="11D91D1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292</w:t>
            </w:r>
          </w:p>
        </w:tc>
        <w:tc>
          <w:tcPr>
            <w:tcW w:w="800" w:type="dxa"/>
          </w:tcPr>
          <w:p w14:paraId="513EE8E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00" w:type="dxa"/>
          </w:tcPr>
          <w:p w14:paraId="757AD4E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w:t>
            </w:r>
          </w:p>
        </w:tc>
        <w:tc>
          <w:tcPr>
            <w:tcW w:w="800" w:type="dxa"/>
          </w:tcPr>
          <w:p w14:paraId="044708C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1212</w:t>
            </w:r>
          </w:p>
        </w:tc>
        <w:tc>
          <w:tcPr>
            <w:tcW w:w="800" w:type="dxa"/>
          </w:tcPr>
          <w:p w14:paraId="34285FD5"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3477</w:t>
            </w:r>
          </w:p>
        </w:tc>
        <w:tc>
          <w:tcPr>
            <w:tcW w:w="800" w:type="dxa"/>
          </w:tcPr>
          <w:p w14:paraId="0BF1484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2720</w:t>
            </w:r>
          </w:p>
        </w:tc>
        <w:tc>
          <w:tcPr>
            <w:tcW w:w="800" w:type="dxa"/>
          </w:tcPr>
          <w:p w14:paraId="426F3DE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1128</w:t>
            </w:r>
          </w:p>
        </w:tc>
        <w:tc>
          <w:tcPr>
            <w:tcW w:w="800" w:type="dxa"/>
          </w:tcPr>
          <w:p w14:paraId="40A602B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8553</w:t>
            </w:r>
          </w:p>
        </w:tc>
      </w:tr>
      <w:tr w:rsidR="005106D0" w:rsidRPr="007224C3" w14:paraId="76BA71B9" w14:textId="77777777">
        <w:tc>
          <w:tcPr>
            <w:tcW w:w="800" w:type="dxa"/>
          </w:tcPr>
          <w:p w14:paraId="5DFFA3C9"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301</w:t>
            </w:r>
          </w:p>
        </w:tc>
        <w:tc>
          <w:tcPr>
            <w:tcW w:w="800" w:type="dxa"/>
          </w:tcPr>
          <w:p w14:paraId="333B33C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00" w:type="dxa"/>
          </w:tcPr>
          <w:p w14:paraId="013D55DF"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48</w:t>
            </w:r>
          </w:p>
        </w:tc>
        <w:tc>
          <w:tcPr>
            <w:tcW w:w="800" w:type="dxa"/>
          </w:tcPr>
          <w:p w14:paraId="29140EED"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69</w:t>
            </w:r>
          </w:p>
        </w:tc>
        <w:tc>
          <w:tcPr>
            <w:tcW w:w="800" w:type="dxa"/>
          </w:tcPr>
          <w:p w14:paraId="018D557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00" w:type="dxa"/>
          </w:tcPr>
          <w:p w14:paraId="2613B00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tc>
        <w:tc>
          <w:tcPr>
            <w:tcW w:w="800" w:type="dxa"/>
          </w:tcPr>
          <w:p w14:paraId="5C53A6F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00" w:type="dxa"/>
          </w:tcPr>
          <w:p w14:paraId="1039067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117</w:t>
            </w:r>
          </w:p>
        </w:tc>
      </w:tr>
      <w:tr w:rsidR="005106D0" w:rsidRPr="007224C3" w14:paraId="58E52719" w14:textId="77777777">
        <w:tc>
          <w:tcPr>
            <w:tcW w:w="800" w:type="dxa"/>
            <w:tcBorders>
              <w:bottom w:val="single" w:sz="12" w:space="0" w:color="auto"/>
            </w:tcBorders>
          </w:tcPr>
          <w:p w14:paraId="69A9CCA0"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Итого</w:t>
            </w:r>
          </w:p>
        </w:tc>
        <w:tc>
          <w:tcPr>
            <w:tcW w:w="800" w:type="dxa"/>
            <w:tcBorders>
              <w:bottom w:val="single" w:sz="12" w:space="0" w:color="auto"/>
            </w:tcBorders>
          </w:tcPr>
          <w:p w14:paraId="321C113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tc>
        <w:tc>
          <w:tcPr>
            <w:tcW w:w="800" w:type="dxa"/>
            <w:tcBorders>
              <w:bottom w:val="single" w:sz="12" w:space="0" w:color="auto"/>
            </w:tcBorders>
          </w:tcPr>
          <w:p w14:paraId="79CDEEF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66</w:t>
            </w:r>
          </w:p>
        </w:tc>
        <w:tc>
          <w:tcPr>
            <w:tcW w:w="800" w:type="dxa"/>
            <w:tcBorders>
              <w:bottom w:val="single" w:sz="12" w:space="0" w:color="auto"/>
            </w:tcBorders>
          </w:tcPr>
          <w:p w14:paraId="6C55F842"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1281</w:t>
            </w:r>
          </w:p>
        </w:tc>
        <w:tc>
          <w:tcPr>
            <w:tcW w:w="800" w:type="dxa"/>
            <w:tcBorders>
              <w:bottom w:val="single" w:sz="12" w:space="0" w:color="auto"/>
            </w:tcBorders>
          </w:tcPr>
          <w:p w14:paraId="3921FD8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3477</w:t>
            </w:r>
          </w:p>
        </w:tc>
        <w:tc>
          <w:tcPr>
            <w:tcW w:w="800" w:type="dxa"/>
            <w:tcBorders>
              <w:bottom w:val="single" w:sz="12" w:space="0" w:color="auto"/>
            </w:tcBorders>
          </w:tcPr>
          <w:p w14:paraId="68080021"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2720</w:t>
            </w:r>
          </w:p>
        </w:tc>
        <w:tc>
          <w:tcPr>
            <w:tcW w:w="800" w:type="dxa"/>
            <w:tcBorders>
              <w:bottom w:val="single" w:sz="12" w:space="0" w:color="auto"/>
            </w:tcBorders>
          </w:tcPr>
          <w:p w14:paraId="15F9D4E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1128</w:t>
            </w:r>
          </w:p>
        </w:tc>
        <w:tc>
          <w:tcPr>
            <w:tcW w:w="800" w:type="dxa"/>
            <w:tcBorders>
              <w:bottom w:val="single" w:sz="12" w:space="0" w:color="auto"/>
            </w:tcBorders>
          </w:tcPr>
          <w:p w14:paraId="2C69260A"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8673</w:t>
            </w:r>
          </w:p>
        </w:tc>
      </w:tr>
    </w:tbl>
    <w:p w14:paraId="6A19BF4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Эти самолеты собраны из "россыпи" завода № 292 и учтены им в сводках о выпуске готовой продукции в I941 гг. Поэтому они и не включены в общую сумму.</w:t>
      </w:r>
    </w:p>
    <w:p w14:paraId="78CBCE6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сегодняшний день данные - 8673 выпущенных Як-1 - не окончательные и могут уточняться. Например, в это число входят 9 самолетов, которые были отправлены россыпью на завод № 47, но потом были возвращены. Были эти агрегаты использованы в 1942 году для текущей производственной программы или собраны под своими серийными номерами, и вошли или нет в отчетные цифры этого года пока неизвестно. Точно также пока неизвестно были ли включены в отчетные цифры два самолета И-26 переданные россыпью заводом №301 в 1940 году Саратовскому авиазаводу, из которых последний собрал две своих первых машины. Все известные автору расхождения в данных упомянуты в примечаниях к табл. (12048)</w:t>
      </w:r>
    </w:p>
    <w:p w14:paraId="3DBAF7F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48C702B6" w14:textId="77777777" w:rsidR="00AD0763"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15BFED5E" w14:textId="77777777" w:rsidR="00AD0763" w:rsidRPr="007224C3" w:rsidRDefault="00AD0763"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F01DC2D" w14:textId="77777777" w:rsidR="00AD0763" w:rsidRPr="007224C3" w:rsidRDefault="00AD076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марту 1944 г. стало ясно, что плановые сроки строительства четырех НПЗ срываются. Общий вес ввозимого из США обо</w:t>
      </w:r>
      <w:r w:rsidRPr="007224C3">
        <w:rPr>
          <w:rFonts w:ascii="Times New Roman" w:hAnsi="Times New Roman"/>
          <w:color w:val="000000" w:themeColor="text1"/>
          <w:sz w:val="16"/>
          <w:szCs w:val="16"/>
        </w:rPr>
        <w:softHyphen/>
        <w:t>рудования и материалов для НПЗ в Куйбышеве   должен   был   составить 23 тыс. тонн, из них на 1 января 1944 г. было получено лишь 12,8 тыс. тонн; часть чертежей к марту 1944 г. из США не поступила. На заводе не хватало ра</w:t>
      </w:r>
      <w:r w:rsidRPr="007224C3">
        <w:rPr>
          <w:rFonts w:ascii="Times New Roman" w:hAnsi="Times New Roman"/>
          <w:color w:val="000000" w:themeColor="text1"/>
          <w:sz w:val="16"/>
          <w:szCs w:val="16"/>
        </w:rPr>
        <w:softHyphen/>
        <w:t>бочих, и Куйбышевский обком просил вышестоящие органы выделить допол</w:t>
      </w:r>
      <w:r w:rsidRPr="007224C3">
        <w:rPr>
          <w:rFonts w:ascii="Times New Roman" w:hAnsi="Times New Roman"/>
          <w:color w:val="000000" w:themeColor="text1"/>
          <w:sz w:val="16"/>
          <w:szCs w:val="16"/>
        </w:rPr>
        <w:softHyphen/>
        <w:t>нительно до 1,6 тыс. заключенных. Для завода в Гурьеве к январю 1944 г. было получено 78% от общего тоннажа оборудования, в Орске — около 69%.Чтобы пустить заводы в эксплуата</w:t>
      </w:r>
      <w:r w:rsidRPr="007224C3">
        <w:rPr>
          <w:rFonts w:ascii="Times New Roman" w:hAnsi="Times New Roman"/>
          <w:color w:val="000000" w:themeColor="text1"/>
          <w:sz w:val="16"/>
          <w:szCs w:val="16"/>
        </w:rPr>
        <w:softHyphen/>
        <w:t>цию, требовалась большая и многосто</w:t>
      </w:r>
      <w:r w:rsidRPr="007224C3">
        <w:rPr>
          <w:rFonts w:ascii="Times New Roman" w:hAnsi="Times New Roman"/>
          <w:color w:val="000000" w:themeColor="text1"/>
          <w:sz w:val="16"/>
          <w:szCs w:val="16"/>
        </w:rPr>
        <w:softHyphen/>
        <w:t>ронняя работа. Например, в Красно</w:t>
      </w:r>
      <w:r w:rsidRPr="007224C3">
        <w:rPr>
          <w:rFonts w:ascii="Times New Roman" w:hAnsi="Times New Roman"/>
          <w:color w:val="000000" w:themeColor="text1"/>
          <w:sz w:val="16"/>
          <w:szCs w:val="16"/>
        </w:rPr>
        <w:softHyphen/>
        <w:t>водске нужно было для разгрузки импортного оборудования построить еще железнодорожную ветку длиной 10 км (от разъезда железнодорожной станции до завода), а также ТЭЦ и дру</w:t>
      </w:r>
      <w:r w:rsidRPr="007224C3">
        <w:rPr>
          <w:rFonts w:ascii="Times New Roman" w:hAnsi="Times New Roman"/>
          <w:color w:val="000000" w:themeColor="text1"/>
          <w:sz w:val="16"/>
          <w:szCs w:val="16"/>
        </w:rPr>
        <w:softHyphen/>
        <w:t>гие объекты. Требовалось подготовить к работе советских нефтяников. Не должны были повторяться случаи, по</w:t>
      </w:r>
      <w:r w:rsidRPr="007224C3">
        <w:rPr>
          <w:rFonts w:ascii="Times New Roman" w:hAnsi="Times New Roman"/>
          <w:color w:val="000000" w:themeColor="text1"/>
          <w:sz w:val="16"/>
          <w:szCs w:val="16"/>
        </w:rPr>
        <w:softHyphen/>
        <w:t>добные следующему. На  Саратовском   заводе  имени Киро</w:t>
      </w:r>
      <w:r w:rsidRPr="007224C3">
        <w:rPr>
          <w:rFonts w:ascii="Times New Roman" w:hAnsi="Times New Roman"/>
          <w:color w:val="000000" w:themeColor="text1"/>
          <w:sz w:val="16"/>
          <w:szCs w:val="16"/>
        </w:rPr>
        <w:softHyphen/>
        <w:t>ва в начале января  1942  г. неоднократ</w:t>
      </w:r>
      <w:r w:rsidRPr="007224C3">
        <w:rPr>
          <w:rFonts w:ascii="Times New Roman" w:hAnsi="Times New Roman"/>
          <w:color w:val="000000" w:themeColor="text1"/>
          <w:sz w:val="16"/>
          <w:szCs w:val="16"/>
        </w:rPr>
        <w:softHyphen/>
        <w:t>но останавливалось дорогое американ</w:t>
      </w:r>
      <w:r w:rsidRPr="007224C3">
        <w:rPr>
          <w:rFonts w:ascii="Times New Roman" w:hAnsi="Times New Roman"/>
          <w:color w:val="000000" w:themeColor="text1"/>
          <w:sz w:val="16"/>
          <w:szCs w:val="16"/>
        </w:rPr>
        <w:softHyphen/>
        <w:t>ское оборудование для крекинга. Оказалось, что американские инструк</w:t>
      </w:r>
      <w:r w:rsidRPr="007224C3">
        <w:rPr>
          <w:rFonts w:ascii="Times New Roman" w:hAnsi="Times New Roman"/>
          <w:color w:val="000000" w:themeColor="text1"/>
          <w:sz w:val="16"/>
          <w:szCs w:val="16"/>
        </w:rPr>
        <w:softHyphen/>
        <w:t>ции по эксплуатации насоса высокого давления не только грубо нарушались, но и вообще не были переведены. В ре</w:t>
      </w:r>
      <w:r w:rsidRPr="007224C3">
        <w:rPr>
          <w:rFonts w:ascii="Times New Roman" w:hAnsi="Times New Roman"/>
          <w:color w:val="000000" w:themeColor="text1"/>
          <w:sz w:val="16"/>
          <w:szCs w:val="16"/>
        </w:rPr>
        <w:softHyphen/>
        <w:t>зультате некоторые детали были быст</w:t>
      </w:r>
      <w:r w:rsidRPr="007224C3">
        <w:rPr>
          <w:rFonts w:ascii="Times New Roman" w:hAnsi="Times New Roman"/>
          <w:color w:val="000000" w:themeColor="text1"/>
          <w:sz w:val="16"/>
          <w:szCs w:val="16"/>
        </w:rPr>
        <w:softHyphen/>
        <w:t>ро изношены, а для ремонта требова</w:t>
      </w:r>
      <w:r w:rsidRPr="007224C3">
        <w:rPr>
          <w:rFonts w:ascii="Times New Roman" w:hAnsi="Times New Roman"/>
          <w:color w:val="000000" w:themeColor="text1"/>
          <w:sz w:val="16"/>
          <w:szCs w:val="16"/>
        </w:rPr>
        <w:softHyphen/>
        <w:t>лось много времени. Не соблюдались требования по эксплуатации и другого оборудования. В ноябре 1943 — феврале 1944 гг. состоялось несколько встреч советских нефтяников с американскими специали</w:t>
      </w:r>
      <w:r w:rsidRPr="007224C3">
        <w:rPr>
          <w:rFonts w:ascii="Times New Roman" w:hAnsi="Times New Roman"/>
          <w:color w:val="000000" w:themeColor="text1"/>
          <w:sz w:val="16"/>
          <w:szCs w:val="16"/>
        </w:rPr>
        <w:softHyphen/>
        <w:t>стами фирмы «Баджер», на них были заданы сотни вопросов об американ</w:t>
      </w:r>
      <w:r w:rsidRPr="007224C3">
        <w:rPr>
          <w:rFonts w:ascii="Times New Roman" w:hAnsi="Times New Roman"/>
          <w:color w:val="000000" w:themeColor="text1"/>
          <w:sz w:val="16"/>
          <w:szCs w:val="16"/>
        </w:rPr>
        <w:softHyphen/>
        <w:t>ском оборудовании для нефтеперера</w:t>
      </w:r>
      <w:r w:rsidRPr="007224C3">
        <w:rPr>
          <w:rFonts w:ascii="Times New Roman" w:hAnsi="Times New Roman"/>
          <w:color w:val="000000" w:themeColor="text1"/>
          <w:sz w:val="16"/>
          <w:szCs w:val="16"/>
        </w:rPr>
        <w:softHyphen/>
        <w:t>батывающих заводов, строительство которых должно было начаться в СССР. Почти на все вопросы были по</w:t>
      </w:r>
      <w:r w:rsidRPr="007224C3">
        <w:rPr>
          <w:rFonts w:ascii="Times New Roman" w:hAnsi="Times New Roman"/>
          <w:color w:val="000000" w:themeColor="text1"/>
          <w:sz w:val="16"/>
          <w:szCs w:val="16"/>
        </w:rPr>
        <w:softHyphen/>
        <w:t>лучены исчерпывающие ответы.В начале 1944 г. в Гурьеве постоянно работали четыре американских спе</w:t>
      </w:r>
      <w:r w:rsidRPr="007224C3">
        <w:rPr>
          <w:rFonts w:ascii="Times New Roman" w:hAnsi="Times New Roman"/>
          <w:color w:val="000000" w:themeColor="text1"/>
          <w:sz w:val="16"/>
          <w:szCs w:val="16"/>
        </w:rPr>
        <w:softHyphen/>
        <w:t>циалиста (Формель, Фуллер, Фостер и Кросби), в Куйбышеве — 7 человек, как отмечалось в отчете фирмы «Баджер», «это больше, чем требует</w:t>
      </w:r>
      <w:r w:rsidRPr="007224C3">
        <w:rPr>
          <w:rFonts w:ascii="Times New Roman" w:hAnsi="Times New Roman"/>
          <w:color w:val="000000" w:themeColor="text1"/>
          <w:sz w:val="16"/>
          <w:szCs w:val="16"/>
        </w:rPr>
        <w:softHyphen/>
        <w:t>ся». Советские специалисты направля</w:t>
      </w:r>
      <w:r w:rsidRPr="007224C3">
        <w:rPr>
          <w:rFonts w:ascii="Times New Roman" w:hAnsi="Times New Roman"/>
          <w:color w:val="000000" w:themeColor="text1"/>
          <w:sz w:val="16"/>
          <w:szCs w:val="16"/>
        </w:rPr>
        <w:softHyphen/>
        <w:t>лись в США.В феврале 1944 г. американский специалист Мак-Карди признавал: «За</w:t>
      </w:r>
      <w:r w:rsidRPr="007224C3">
        <w:rPr>
          <w:rFonts w:ascii="Times New Roman" w:hAnsi="Times New Roman"/>
          <w:color w:val="000000" w:themeColor="text1"/>
          <w:sz w:val="16"/>
          <w:szCs w:val="16"/>
        </w:rPr>
        <w:softHyphen/>
        <w:t>вод №1 (в Гурьеве), хотя стро</w:t>
      </w:r>
      <w:r w:rsidRPr="007224C3">
        <w:rPr>
          <w:rFonts w:ascii="Times New Roman" w:hAnsi="Times New Roman"/>
          <w:color w:val="000000" w:themeColor="text1"/>
          <w:sz w:val="16"/>
          <w:szCs w:val="16"/>
        </w:rPr>
        <w:softHyphen/>
        <w:t>ительные работы там только что нача</w:t>
      </w:r>
      <w:r w:rsidRPr="007224C3">
        <w:rPr>
          <w:rFonts w:ascii="Times New Roman" w:hAnsi="Times New Roman"/>
          <w:color w:val="000000" w:themeColor="text1"/>
          <w:sz w:val="16"/>
          <w:szCs w:val="16"/>
        </w:rPr>
        <w:softHyphen/>
        <w:t>лись, произвел очень хорошее впечатление. Планирование и проведе</w:t>
      </w:r>
      <w:r w:rsidRPr="007224C3">
        <w:rPr>
          <w:rFonts w:ascii="Times New Roman" w:hAnsi="Times New Roman"/>
          <w:color w:val="000000" w:themeColor="text1"/>
          <w:sz w:val="16"/>
          <w:szCs w:val="16"/>
        </w:rPr>
        <w:softHyphen/>
        <w:t>ние предварительных работ, таких как строительство дорог, ж.д. веток, рабо</w:t>
      </w:r>
      <w:r w:rsidRPr="007224C3">
        <w:rPr>
          <w:rFonts w:ascii="Times New Roman" w:hAnsi="Times New Roman"/>
          <w:color w:val="000000" w:themeColor="text1"/>
          <w:sz w:val="16"/>
          <w:szCs w:val="16"/>
        </w:rPr>
        <w:softHyphen/>
        <w:t>чих поселков и т.д., было очень хоро</w:t>
      </w:r>
      <w:r w:rsidRPr="007224C3">
        <w:rPr>
          <w:rFonts w:ascii="Times New Roman" w:hAnsi="Times New Roman"/>
          <w:color w:val="000000" w:themeColor="text1"/>
          <w:sz w:val="16"/>
          <w:szCs w:val="16"/>
        </w:rPr>
        <w:softHyphen/>
        <w:t>шо выполнено. Стоит специально отме</w:t>
      </w:r>
      <w:r w:rsidRPr="007224C3">
        <w:rPr>
          <w:rFonts w:ascii="Times New Roman" w:hAnsi="Times New Roman"/>
          <w:color w:val="000000" w:themeColor="text1"/>
          <w:sz w:val="16"/>
          <w:szCs w:val="16"/>
        </w:rPr>
        <w:softHyphen/>
        <w:t>тить прекрасное обращение с материалом и оборудованием... Мате</w:t>
      </w:r>
      <w:r w:rsidRPr="007224C3">
        <w:rPr>
          <w:rFonts w:ascii="Times New Roman" w:hAnsi="Times New Roman"/>
          <w:color w:val="000000" w:themeColor="text1"/>
          <w:sz w:val="16"/>
          <w:szCs w:val="16"/>
        </w:rPr>
        <w:softHyphen/>
        <w:t>риал и оборудование содержатся в прекрасном порядке и заботятся о нем больше, чем на какой-либо работе, ка</w:t>
      </w:r>
      <w:r w:rsidRPr="007224C3">
        <w:rPr>
          <w:rFonts w:ascii="Times New Roman" w:hAnsi="Times New Roman"/>
          <w:color w:val="000000" w:themeColor="text1"/>
          <w:sz w:val="16"/>
          <w:szCs w:val="16"/>
        </w:rPr>
        <w:softHyphen/>
        <w:t>кие мне приходилось до сих пор ви</w:t>
      </w:r>
      <w:r w:rsidRPr="007224C3">
        <w:rPr>
          <w:rFonts w:ascii="Times New Roman" w:hAnsi="Times New Roman"/>
          <w:color w:val="000000" w:themeColor="text1"/>
          <w:sz w:val="16"/>
          <w:szCs w:val="16"/>
        </w:rPr>
        <w:softHyphen/>
        <w:t>деть».В апреле — мае 1944 г. американ</w:t>
      </w:r>
      <w:r w:rsidRPr="007224C3">
        <w:rPr>
          <w:rFonts w:ascii="Times New Roman" w:hAnsi="Times New Roman"/>
          <w:color w:val="000000" w:themeColor="text1"/>
          <w:sz w:val="16"/>
          <w:szCs w:val="16"/>
        </w:rPr>
        <w:softHyphen/>
        <w:t>ские специалисты посетили Куйбышев, Орск и Гурьев, где в это время монти</w:t>
      </w:r>
      <w:r w:rsidRPr="007224C3">
        <w:rPr>
          <w:rFonts w:ascii="Times New Roman" w:hAnsi="Times New Roman"/>
          <w:color w:val="000000" w:themeColor="text1"/>
          <w:sz w:val="16"/>
          <w:szCs w:val="16"/>
        </w:rPr>
        <w:softHyphen/>
        <w:t>ровалось американское оборудование на строившихся НПЗ. Первое, что они были вынуждены признать, это неком</w:t>
      </w:r>
      <w:r w:rsidRPr="007224C3">
        <w:rPr>
          <w:rFonts w:ascii="Times New Roman" w:hAnsi="Times New Roman"/>
          <w:color w:val="000000" w:themeColor="text1"/>
          <w:sz w:val="16"/>
          <w:szCs w:val="16"/>
        </w:rPr>
        <w:softHyphen/>
        <w:t>плектность поставок оборудования, что замедляло темпы работ. Часть матери</w:t>
      </w:r>
      <w:r w:rsidRPr="007224C3">
        <w:rPr>
          <w:rFonts w:ascii="Times New Roman" w:hAnsi="Times New Roman"/>
          <w:color w:val="000000" w:themeColor="text1"/>
          <w:sz w:val="16"/>
          <w:szCs w:val="16"/>
        </w:rPr>
        <w:softHyphen/>
        <w:t>алов не была вовремя получена из США, некоторые другие — советской стороной ошибочно направлены не на те заводы, для которых они предна</w:t>
      </w:r>
      <w:r w:rsidRPr="007224C3">
        <w:rPr>
          <w:rFonts w:ascii="Times New Roman" w:hAnsi="Times New Roman"/>
          <w:color w:val="000000" w:themeColor="text1"/>
          <w:sz w:val="16"/>
          <w:szCs w:val="16"/>
        </w:rPr>
        <w:softHyphen/>
        <w:t>значались.8 июля 1944 г. руководитель группы американских инженеров компании «Баджер» в СССР Р. Мак-Карди в сво</w:t>
      </w:r>
      <w:r w:rsidRPr="007224C3">
        <w:rPr>
          <w:rFonts w:ascii="Times New Roman" w:hAnsi="Times New Roman"/>
          <w:color w:val="000000" w:themeColor="text1"/>
          <w:sz w:val="16"/>
          <w:szCs w:val="16"/>
        </w:rPr>
        <w:softHyphen/>
        <w:t>ем отчете отмечал: «Как и прежде, ра</w:t>
      </w:r>
      <w:r w:rsidRPr="007224C3">
        <w:rPr>
          <w:rFonts w:ascii="Times New Roman" w:hAnsi="Times New Roman"/>
          <w:color w:val="000000" w:themeColor="text1"/>
          <w:sz w:val="16"/>
          <w:szCs w:val="16"/>
        </w:rPr>
        <w:softHyphen/>
        <w:t>бота на всех заводах, независимо от состояния готовности, тормозится от</w:t>
      </w:r>
      <w:r w:rsidRPr="007224C3">
        <w:rPr>
          <w:rFonts w:ascii="Times New Roman" w:hAnsi="Times New Roman"/>
          <w:color w:val="000000" w:themeColor="text1"/>
          <w:sz w:val="16"/>
          <w:szCs w:val="16"/>
        </w:rPr>
        <w:softHyphen/>
        <w:t>сутствием оборудования, не пришедше</w:t>
      </w:r>
      <w:r w:rsidRPr="007224C3">
        <w:rPr>
          <w:rFonts w:ascii="Times New Roman" w:hAnsi="Times New Roman"/>
          <w:color w:val="000000" w:themeColor="text1"/>
          <w:sz w:val="16"/>
          <w:szCs w:val="16"/>
        </w:rPr>
        <w:softHyphen/>
        <w:t>го прошлой зимой». Возникали различ</w:t>
      </w:r>
      <w:r w:rsidRPr="007224C3">
        <w:rPr>
          <w:rFonts w:ascii="Times New Roman" w:hAnsi="Times New Roman"/>
          <w:color w:val="000000" w:themeColor="text1"/>
          <w:sz w:val="16"/>
          <w:szCs w:val="16"/>
        </w:rPr>
        <w:softHyphen/>
        <w:t>ные накладки и недоразумения, что вполне естественно при таком объеме работ и атмосфере «гонки».В конце 1944 г. американская фирма «Буффало Газолин Мотор Ко» ошибоч</w:t>
      </w:r>
      <w:r w:rsidRPr="007224C3">
        <w:rPr>
          <w:rFonts w:ascii="Times New Roman" w:hAnsi="Times New Roman"/>
          <w:color w:val="000000" w:themeColor="text1"/>
          <w:sz w:val="16"/>
          <w:szCs w:val="16"/>
        </w:rPr>
        <w:softHyphen/>
        <w:t>но поставила трансформаторы к выпря</w:t>
      </w:r>
      <w:r w:rsidRPr="007224C3">
        <w:rPr>
          <w:rFonts w:ascii="Times New Roman" w:hAnsi="Times New Roman"/>
          <w:color w:val="000000" w:themeColor="text1"/>
          <w:sz w:val="16"/>
          <w:szCs w:val="16"/>
        </w:rPr>
        <w:softHyphen/>
        <w:t>мителям на водозаборные станции мощностью 250 ватт, вместо необходи</w:t>
      </w:r>
      <w:r w:rsidRPr="007224C3">
        <w:rPr>
          <w:rFonts w:ascii="Times New Roman" w:hAnsi="Times New Roman"/>
          <w:color w:val="000000" w:themeColor="text1"/>
          <w:sz w:val="16"/>
          <w:szCs w:val="16"/>
        </w:rPr>
        <w:softHyphen/>
        <w:t>мых в 500 ватт. В ответ на запрос со</w:t>
      </w:r>
      <w:r w:rsidRPr="007224C3">
        <w:rPr>
          <w:rFonts w:ascii="Times New Roman" w:hAnsi="Times New Roman"/>
          <w:color w:val="000000" w:themeColor="text1"/>
          <w:sz w:val="16"/>
          <w:szCs w:val="16"/>
        </w:rPr>
        <w:softHyphen/>
        <w:t>ветской стороны американская фирма посетовала, что именно такие транс</w:t>
      </w:r>
      <w:r w:rsidRPr="007224C3">
        <w:rPr>
          <w:rFonts w:ascii="Times New Roman" w:hAnsi="Times New Roman"/>
          <w:color w:val="000000" w:themeColor="text1"/>
          <w:sz w:val="16"/>
          <w:szCs w:val="16"/>
        </w:rPr>
        <w:softHyphen/>
        <w:t>форматоры были ошибочно пореко</w:t>
      </w:r>
      <w:r w:rsidRPr="007224C3">
        <w:rPr>
          <w:rFonts w:ascii="Times New Roman" w:hAnsi="Times New Roman"/>
          <w:color w:val="000000" w:themeColor="text1"/>
          <w:sz w:val="16"/>
          <w:szCs w:val="16"/>
        </w:rPr>
        <w:softHyphen/>
        <w:t>мендованы компанией «Дженерал Мо</w:t>
      </w:r>
      <w:r w:rsidRPr="007224C3">
        <w:rPr>
          <w:rFonts w:ascii="Times New Roman" w:hAnsi="Times New Roman"/>
          <w:color w:val="000000" w:themeColor="text1"/>
          <w:sz w:val="16"/>
          <w:szCs w:val="16"/>
        </w:rPr>
        <w:softHyphen/>
        <w:t>торс».10 октября 1944 г. было принято со</w:t>
      </w:r>
      <w:r w:rsidRPr="007224C3">
        <w:rPr>
          <w:rFonts w:ascii="Times New Roman" w:hAnsi="Times New Roman"/>
          <w:color w:val="000000" w:themeColor="text1"/>
          <w:sz w:val="16"/>
          <w:szCs w:val="16"/>
        </w:rPr>
        <w:softHyphen/>
        <w:t>вершенно секретное постановление ГКО «О мерах по ускорению строитель</w:t>
      </w:r>
      <w:r w:rsidRPr="007224C3">
        <w:rPr>
          <w:rFonts w:ascii="Times New Roman" w:hAnsi="Times New Roman"/>
          <w:color w:val="000000" w:themeColor="text1"/>
          <w:sz w:val="16"/>
          <w:szCs w:val="16"/>
        </w:rPr>
        <w:softHyphen/>
        <w:t>ства нефтеперерабатывающих заводов №441 и 443». В связи с задержкой по</w:t>
      </w:r>
      <w:r w:rsidRPr="007224C3">
        <w:rPr>
          <w:rFonts w:ascii="Times New Roman" w:hAnsi="Times New Roman"/>
          <w:color w:val="000000" w:themeColor="text1"/>
          <w:sz w:val="16"/>
          <w:szCs w:val="16"/>
        </w:rPr>
        <w:softHyphen/>
        <w:t>ступлений импортного оборудования было решено перенести срок ввода в эксплуатацию заводов в Гурьеве и Куй</w:t>
      </w:r>
      <w:r w:rsidRPr="007224C3">
        <w:rPr>
          <w:rFonts w:ascii="Times New Roman" w:hAnsi="Times New Roman"/>
          <w:color w:val="000000" w:themeColor="text1"/>
          <w:sz w:val="16"/>
          <w:szCs w:val="16"/>
        </w:rPr>
        <w:softHyphen/>
        <w:t>бышеве на первый квартал 1945 г.Советским специалистам приходи</w:t>
      </w:r>
      <w:r w:rsidRPr="007224C3">
        <w:rPr>
          <w:rFonts w:ascii="Times New Roman" w:hAnsi="Times New Roman"/>
          <w:color w:val="000000" w:themeColor="text1"/>
          <w:sz w:val="16"/>
          <w:szCs w:val="16"/>
        </w:rPr>
        <w:softHyphen/>
        <w:t>лось выполнять работы, с которыми они раньше не сталкивались. В 1944 г. на строительстве завода № 441 (где монтаж велся силами НКВД) был впер</w:t>
      </w:r>
      <w:r w:rsidRPr="007224C3">
        <w:rPr>
          <w:rFonts w:ascii="Times New Roman" w:hAnsi="Times New Roman"/>
          <w:color w:val="000000" w:themeColor="text1"/>
          <w:sz w:val="16"/>
          <w:szCs w:val="16"/>
        </w:rPr>
        <w:softHyphen/>
        <w:t>вые осуществлен монтаж импортного оборудования  (сферического).  Вскоре наркомом отрасли было принято реше</w:t>
      </w:r>
      <w:r w:rsidRPr="007224C3">
        <w:rPr>
          <w:rFonts w:ascii="Times New Roman" w:hAnsi="Times New Roman"/>
          <w:color w:val="000000" w:themeColor="text1"/>
          <w:sz w:val="16"/>
          <w:szCs w:val="16"/>
        </w:rPr>
        <w:softHyphen/>
        <w:t>ние издать брошюру «Опыт монтажа сферических резервуаров», освещаю</w:t>
      </w:r>
      <w:r w:rsidRPr="007224C3">
        <w:rPr>
          <w:rFonts w:ascii="Times New Roman" w:hAnsi="Times New Roman"/>
          <w:color w:val="000000" w:themeColor="text1"/>
          <w:sz w:val="16"/>
          <w:szCs w:val="16"/>
        </w:rPr>
        <w:softHyphen/>
        <w:t>щую опыт монтажа импортных нефте</w:t>
      </w:r>
      <w:r w:rsidRPr="007224C3">
        <w:rPr>
          <w:rFonts w:ascii="Times New Roman" w:hAnsi="Times New Roman"/>
          <w:color w:val="000000" w:themeColor="text1"/>
          <w:sz w:val="16"/>
          <w:szCs w:val="16"/>
        </w:rPr>
        <w:softHyphen/>
        <w:t>перегонных заводов.По оценке американских экспертов, на 25 января 1945 г. строительные ра</w:t>
      </w:r>
      <w:r w:rsidRPr="007224C3">
        <w:rPr>
          <w:rFonts w:ascii="Times New Roman" w:hAnsi="Times New Roman"/>
          <w:color w:val="000000" w:themeColor="text1"/>
          <w:sz w:val="16"/>
          <w:szCs w:val="16"/>
        </w:rPr>
        <w:softHyphen/>
        <w:t>боты были завершены по отдельным заводам в такой мере: по заводу №1 (Гурьев) — на 56%, заводу №2 (Орск) - на 13%, заводу №3 (Куйбышев) - 56%, заводу №4 (Красноводск) — на 25%, а на 31 марта 1945 г. процент го</w:t>
      </w:r>
      <w:r w:rsidRPr="007224C3">
        <w:rPr>
          <w:rFonts w:ascii="Times New Roman" w:hAnsi="Times New Roman"/>
          <w:color w:val="000000" w:themeColor="text1"/>
          <w:sz w:val="16"/>
          <w:szCs w:val="16"/>
        </w:rPr>
        <w:softHyphen/>
        <w:t>товности заводов составлял: завод №1 69%, №2 - 16%, №3 - 72%, №4 41%.Поставки из США продолжались ле</w:t>
      </w:r>
      <w:r w:rsidRPr="007224C3">
        <w:rPr>
          <w:rFonts w:ascii="Times New Roman" w:hAnsi="Times New Roman"/>
          <w:color w:val="000000" w:themeColor="text1"/>
          <w:sz w:val="16"/>
          <w:szCs w:val="16"/>
        </w:rPr>
        <w:softHyphen/>
        <w:t>том 1945 г. 18 июня 1945 г. фирма «Ба-джер» сообщает зам. наркома нефтя</w:t>
      </w:r>
      <w:r w:rsidRPr="007224C3">
        <w:rPr>
          <w:rFonts w:ascii="Times New Roman" w:hAnsi="Times New Roman"/>
          <w:color w:val="000000" w:themeColor="text1"/>
          <w:sz w:val="16"/>
          <w:szCs w:val="16"/>
        </w:rPr>
        <w:softHyphen/>
        <w:t>ной промышленности Чекрыжеву, что воздушные фильтры для турбокомпрес</w:t>
      </w:r>
      <w:r w:rsidRPr="007224C3">
        <w:rPr>
          <w:rFonts w:ascii="Times New Roman" w:hAnsi="Times New Roman"/>
          <w:color w:val="000000" w:themeColor="text1"/>
          <w:sz w:val="16"/>
          <w:szCs w:val="16"/>
        </w:rPr>
        <w:softHyphen/>
        <w:t>соров «Гудри», а также масло для фильтров были отправлены двумя па</w:t>
      </w:r>
      <w:r w:rsidRPr="007224C3">
        <w:rPr>
          <w:rFonts w:ascii="Times New Roman" w:hAnsi="Times New Roman"/>
          <w:color w:val="000000" w:themeColor="text1"/>
          <w:sz w:val="16"/>
          <w:szCs w:val="16"/>
        </w:rPr>
        <w:softHyphen/>
        <w:t>роходами и «Отдел Снабжения Амери</w:t>
      </w:r>
      <w:r w:rsidRPr="007224C3">
        <w:rPr>
          <w:rFonts w:ascii="Times New Roman" w:hAnsi="Times New Roman"/>
          <w:color w:val="000000" w:themeColor="text1"/>
          <w:sz w:val="16"/>
          <w:szCs w:val="16"/>
        </w:rPr>
        <w:softHyphen/>
        <w:t>канской Военной Миссии сообщил им, что грузы с парохода «Жорж Вимс» уже приняты, а пароход «Ф.Т. Фре-лингхьюсен» прибыл в Мурманск».Первый бензин из установки катали</w:t>
      </w:r>
      <w:r w:rsidRPr="007224C3">
        <w:rPr>
          <w:rFonts w:ascii="Times New Roman" w:hAnsi="Times New Roman"/>
          <w:color w:val="000000" w:themeColor="text1"/>
          <w:sz w:val="16"/>
          <w:szCs w:val="16"/>
        </w:rPr>
        <w:softHyphen/>
        <w:t>тического крекинга «Гудри» был получен в Куйбышеве на заводе №443 8 сентября 1945 г. Позже было завер</w:t>
      </w:r>
      <w:r w:rsidRPr="007224C3">
        <w:rPr>
          <w:rFonts w:ascii="Times New Roman" w:hAnsi="Times New Roman"/>
          <w:color w:val="000000" w:themeColor="text1"/>
          <w:sz w:val="16"/>
          <w:szCs w:val="16"/>
        </w:rPr>
        <w:softHyphen/>
        <w:t>шено строительство заводов в Орске, Гурьеве и Красноводске.В октябре 1945 г. завод №228 все еще получал американское оборудова</w:t>
      </w:r>
      <w:r w:rsidRPr="007224C3">
        <w:rPr>
          <w:rFonts w:ascii="Times New Roman" w:hAnsi="Times New Roman"/>
          <w:color w:val="000000" w:themeColor="text1"/>
          <w:sz w:val="16"/>
          <w:szCs w:val="16"/>
        </w:rPr>
        <w:softHyphen/>
        <w:t>ние, в том числе от фирм «Джонсон» и «Хенди».Отношения между СССР с США ста</w:t>
      </w:r>
      <w:r w:rsidRPr="007224C3">
        <w:rPr>
          <w:rFonts w:ascii="Times New Roman" w:hAnsi="Times New Roman"/>
          <w:color w:val="000000" w:themeColor="text1"/>
          <w:sz w:val="16"/>
          <w:szCs w:val="16"/>
        </w:rPr>
        <w:softHyphen/>
        <w:t>ли быстро ухудшаться, и это чувствова</w:t>
      </w:r>
      <w:r w:rsidRPr="007224C3">
        <w:rPr>
          <w:rFonts w:ascii="Times New Roman" w:hAnsi="Times New Roman"/>
          <w:color w:val="000000" w:themeColor="text1"/>
          <w:sz w:val="16"/>
          <w:szCs w:val="16"/>
        </w:rPr>
        <w:softHyphen/>
        <w:t>лось по переговорам о поставках обо</w:t>
      </w:r>
      <w:r w:rsidRPr="007224C3">
        <w:rPr>
          <w:rFonts w:ascii="Times New Roman" w:hAnsi="Times New Roman"/>
          <w:color w:val="000000" w:themeColor="text1"/>
          <w:sz w:val="16"/>
          <w:szCs w:val="16"/>
        </w:rPr>
        <w:softHyphen/>
        <w:t>рудования для НПЗ уже поздней осенью 1945 г.Тогда советскими представителями в США было сделано предложение фир</w:t>
      </w:r>
      <w:r w:rsidRPr="007224C3">
        <w:rPr>
          <w:rFonts w:ascii="Times New Roman" w:hAnsi="Times New Roman"/>
          <w:color w:val="000000" w:themeColor="text1"/>
          <w:sz w:val="16"/>
          <w:szCs w:val="16"/>
        </w:rPr>
        <w:softHyphen/>
        <w:t>ме «Баджер» участвовать в строитель</w:t>
      </w:r>
      <w:r w:rsidRPr="007224C3">
        <w:rPr>
          <w:rFonts w:ascii="Times New Roman" w:hAnsi="Times New Roman"/>
          <w:color w:val="000000" w:themeColor="text1"/>
          <w:sz w:val="16"/>
          <w:szCs w:val="16"/>
        </w:rPr>
        <w:softHyphen/>
        <w:t>стве второй очереди заводов №3 и 4. Ответ американской стороны, сделан</w:t>
      </w:r>
      <w:r w:rsidRPr="007224C3">
        <w:rPr>
          <w:rFonts w:ascii="Times New Roman" w:hAnsi="Times New Roman"/>
          <w:color w:val="000000" w:themeColor="text1"/>
          <w:sz w:val="16"/>
          <w:szCs w:val="16"/>
        </w:rPr>
        <w:softHyphen/>
        <w:t>ный 29 октября 1945 г., носил неопре</w:t>
      </w:r>
      <w:r w:rsidRPr="007224C3">
        <w:rPr>
          <w:rFonts w:ascii="Times New Roman" w:hAnsi="Times New Roman"/>
          <w:color w:val="000000" w:themeColor="text1"/>
          <w:sz w:val="16"/>
          <w:szCs w:val="16"/>
        </w:rPr>
        <w:softHyphen/>
        <w:t>деленный характер.10 октября 1945 г. представитель «Е.В. Badger and Sons Co» в Москве Р.Е. Мак-Карди информирует зам. нар</w:t>
      </w:r>
      <w:r w:rsidRPr="007224C3">
        <w:rPr>
          <w:rFonts w:ascii="Times New Roman" w:hAnsi="Times New Roman"/>
          <w:color w:val="000000" w:themeColor="text1"/>
          <w:sz w:val="16"/>
          <w:szCs w:val="16"/>
        </w:rPr>
        <w:softHyphen/>
        <w:t>кома нефтяной промышленности Н.М. Чекрыжева: «Недавно Вы запра</w:t>
      </w:r>
      <w:r w:rsidRPr="007224C3">
        <w:rPr>
          <w:rFonts w:ascii="Times New Roman" w:hAnsi="Times New Roman"/>
          <w:color w:val="000000" w:themeColor="text1"/>
          <w:sz w:val="16"/>
          <w:szCs w:val="16"/>
        </w:rPr>
        <w:softHyphen/>
        <w:t>шивали у меня сведения об отправке солевых трубок для завода №2. Сегод</w:t>
      </w:r>
      <w:r w:rsidRPr="007224C3">
        <w:rPr>
          <w:rFonts w:ascii="Times New Roman" w:hAnsi="Times New Roman"/>
          <w:color w:val="000000" w:themeColor="text1"/>
          <w:sz w:val="16"/>
          <w:szCs w:val="16"/>
        </w:rPr>
        <w:softHyphen/>
        <w:t>ня я получил сообщение, что эти труб</w:t>
      </w:r>
      <w:r w:rsidRPr="007224C3">
        <w:rPr>
          <w:rFonts w:ascii="Times New Roman" w:hAnsi="Times New Roman"/>
          <w:color w:val="000000" w:themeColor="text1"/>
          <w:sz w:val="16"/>
          <w:szCs w:val="16"/>
        </w:rPr>
        <w:softHyphen/>
        <w:t>ки еще не отправлены и находятся на складе в ожидании разрешения на отправку от Управления по вопросам внешней экономики».В декабре 1945 г. деловые контакты между Особой группой при наркоме нефтяной промышленности и фирмой «Е.В. Badger and Sons Co» продолжа</w:t>
      </w:r>
      <w:r w:rsidRPr="007224C3">
        <w:rPr>
          <w:rFonts w:ascii="Times New Roman" w:hAnsi="Times New Roman"/>
          <w:color w:val="000000" w:themeColor="text1"/>
          <w:sz w:val="16"/>
          <w:szCs w:val="16"/>
        </w:rPr>
        <w:softHyphen/>
        <w:t>лись. Но для поставок требовались санкции правительства США, а полу</w:t>
      </w:r>
      <w:r w:rsidRPr="007224C3">
        <w:rPr>
          <w:rFonts w:ascii="Times New Roman" w:hAnsi="Times New Roman"/>
          <w:color w:val="000000" w:themeColor="text1"/>
          <w:sz w:val="16"/>
          <w:szCs w:val="16"/>
        </w:rPr>
        <w:softHyphen/>
        <w:t>чить их становилось все труднее.В апреле 1947 г. в США выезжала Комиссия Миннефтепрома восточных районов СССР для ведения перегово</w:t>
      </w:r>
      <w:r w:rsidRPr="007224C3">
        <w:rPr>
          <w:rFonts w:ascii="Times New Roman" w:hAnsi="Times New Roman"/>
          <w:color w:val="000000" w:themeColor="text1"/>
          <w:sz w:val="16"/>
          <w:szCs w:val="16"/>
        </w:rPr>
        <w:softHyphen/>
        <w:t>ров о поставке в СССР оборудования для вторых очередей Куйбышевского НПЗ. Однако решением Конгресса США эти поставки (общей стоимостью 9,3 млн долл.) были запрещены.Подводя итоги, можно сказать, что поставки высокооктанового бензина и компонентов для его производства име</w:t>
      </w:r>
      <w:r w:rsidRPr="007224C3">
        <w:rPr>
          <w:rFonts w:ascii="Times New Roman" w:hAnsi="Times New Roman"/>
          <w:color w:val="000000" w:themeColor="text1"/>
          <w:sz w:val="16"/>
          <w:szCs w:val="16"/>
        </w:rPr>
        <w:softHyphen/>
        <w:t>ли для СССР большое значение; всеми другими нефтепродуктами (за исключе</w:t>
      </w:r>
      <w:r w:rsidRPr="007224C3">
        <w:rPr>
          <w:rFonts w:ascii="Times New Roman" w:hAnsi="Times New Roman"/>
          <w:color w:val="000000" w:themeColor="text1"/>
          <w:sz w:val="16"/>
          <w:szCs w:val="16"/>
        </w:rPr>
        <w:softHyphen/>
        <w:t>нием некоторых видов смазок) Совет</w:t>
      </w:r>
      <w:r w:rsidRPr="007224C3">
        <w:rPr>
          <w:rFonts w:ascii="Times New Roman" w:hAnsi="Times New Roman"/>
          <w:color w:val="000000" w:themeColor="text1"/>
          <w:sz w:val="16"/>
          <w:szCs w:val="16"/>
        </w:rPr>
        <w:softHyphen/>
        <w:t>ский Союз обеспечивал себя почти пол</w:t>
      </w:r>
      <w:r w:rsidRPr="007224C3">
        <w:rPr>
          <w:rFonts w:ascii="Times New Roman" w:hAnsi="Times New Roman"/>
          <w:color w:val="000000" w:themeColor="text1"/>
          <w:sz w:val="16"/>
          <w:szCs w:val="16"/>
        </w:rPr>
        <w:softHyphen/>
        <w:t>ностью. Советские заводы по производству аналогичного оборудова</w:t>
      </w:r>
      <w:r w:rsidRPr="007224C3">
        <w:rPr>
          <w:rFonts w:ascii="Times New Roman" w:hAnsi="Times New Roman"/>
          <w:color w:val="000000" w:themeColor="text1"/>
          <w:sz w:val="16"/>
          <w:szCs w:val="16"/>
        </w:rPr>
        <w:softHyphen/>
        <w:t>ния были в значительной мере пере</w:t>
      </w:r>
      <w:r w:rsidRPr="007224C3">
        <w:rPr>
          <w:rFonts w:ascii="Times New Roman" w:hAnsi="Times New Roman"/>
          <w:color w:val="000000" w:themeColor="text1"/>
          <w:sz w:val="16"/>
          <w:szCs w:val="16"/>
        </w:rPr>
        <w:softHyphen/>
        <w:t>ориентированы на выпуск оборонной продукции, поэтому американские по</w:t>
      </w:r>
      <w:r w:rsidRPr="007224C3">
        <w:rPr>
          <w:rFonts w:ascii="Times New Roman" w:hAnsi="Times New Roman"/>
          <w:color w:val="000000" w:themeColor="text1"/>
          <w:sz w:val="16"/>
          <w:szCs w:val="16"/>
        </w:rPr>
        <w:softHyphen/>
        <w:t>ставки были весьма полезны (15488).</w:t>
      </w:r>
    </w:p>
    <w:p w14:paraId="0568B0EC" w14:textId="77777777" w:rsidR="00AD0763" w:rsidRPr="007224C3" w:rsidRDefault="00AD0763" w:rsidP="007224C3">
      <w:pPr>
        <w:spacing w:after="0" w:line="240" w:lineRule="auto"/>
        <w:jc w:val="both"/>
        <w:rPr>
          <w:rFonts w:ascii="Times New Roman" w:hAnsi="Times New Roman"/>
          <w:color w:val="000000" w:themeColor="text1"/>
          <w:sz w:val="16"/>
          <w:szCs w:val="16"/>
        </w:rPr>
      </w:pPr>
    </w:p>
    <w:p w14:paraId="1C5809E8"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7880B74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D045996"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марту 1944 года на Восточном фронте немцев имелось 8 гаубиц 20,3-см Н.(r) - захваченных советских 203-мм гаубиц Б-4, выстрелы к которым комплектовались из советских 203-мм бетонобойных снарядов Г-620 и немецких зарядов. Вес полного немецкого заряда 15,4 кг (3861).</w:t>
      </w:r>
    </w:p>
    <w:p w14:paraId="2AEDC941"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4E7C88" w14:textId="77777777" w:rsidR="003712D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010C56E9" w14:textId="77777777" w:rsidR="003712D9" w:rsidRPr="007224C3" w:rsidRDefault="003712D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16ED28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марту 1944 года восемьдесят высококвалифицированных летчиков составили группу пилотов, проходивших теоретическую и практическую подготовку – первоначально для полетов на одноразовом реактивном самолете «Me-328» («Messerschmitt»). Однако возможностей развернуть серийное производство нового самолета не существовало, и было принято решение использовать для реализации этого проекта серийно изготавливаемый «Fi-103».</w:t>
      </w:r>
    </w:p>
    <w:p w14:paraId="238F737E"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В качестве самолетов-носителей командование люфтваффе выделило два бомбардировочных полка KG-3 и KG-53, вооруженных бомбардировщиками «He-111» («Heinkel») различных модификаций, в том числе и специальной версией этого самолета, обозначенной «Не-111Н-22» и изначально разработанной как носитель крылатой ракеты.</w:t>
      </w:r>
    </w:p>
    <w:p w14:paraId="514E5DA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Работу по созданию пилотируемого варианта самолета-снаряда возглавил Вилли Фидлер, технический директор заводов в Пенемюнде. Комплекс мероприятий получил наименование «Reichenberg» («Рейхенберг»), поэтому впоследствии все самолеты-снаряды этого типа носили такое же название.</w:t>
      </w:r>
    </w:p>
    <w:p w14:paraId="466C7277"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Замысел был довольно прост. На ракету требовалось установить только пилотскую кабину, и получалось оружие совершенно нового типа. Поэтому на протяжении всего четырнадцати дней с начала работ инженеры Пенемюнде выпустили первые прототипы для тренировочных и практических целей.</w:t>
      </w:r>
    </w:p>
    <w:p w14:paraId="4970170C"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Впоследствии было построено четыре различных пилотируемых версии «Fi-103». «Reichenberg I» («Fi-103R-I») являлся бездвигательным пилотируемым самолетом-снарядом, предназначенным для натурных аэродинамических испытаний, «Reichenberg II» («Fi-103R-II») – двухместным учебным для выработки навыков пилотажа, «Reichenberg III» («Fi-103R-III») – одноместным учебным, оборудованным двигателем и посадочной лыжей, «Reichenberg IV» («Fi-103R-IV») – боевым, оснащенным боезарядом, но без шасси.</w:t>
      </w:r>
    </w:p>
    <w:p w14:paraId="6C30FCB3"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«Reichenberg IV» отличался от «Fi-103» только наличием кабины летчика перед воздухозаборником двигателя (вместо отсека с баллонами сжатого воздуха) и элеронами на крыле. В кабине устанавливались сиденье летчика, приборная доска с прицелом, высотомером, авиагоризонтом, указателем скорости и часами. Кроме того, в кабине располагались гирокомпас и электрическая батарея с преобразователем. Управление самолетом осуществлялось при помощи обычной ручки и педалей. Фонарь кабины открывался вправо, лобовое стекло было бронированным (11688).</w:t>
      </w:r>
    </w:p>
    <w:p w14:paraId="2E5B5AF6" w14:textId="77777777" w:rsidR="003712D9" w:rsidRPr="007224C3" w:rsidRDefault="003712D9" w:rsidP="007224C3">
      <w:pPr>
        <w:autoSpaceDE w:val="0"/>
        <w:autoSpaceDN w:val="0"/>
        <w:adjustRightInd w:val="0"/>
        <w:spacing w:after="0" w:line="240" w:lineRule="auto"/>
        <w:jc w:val="both"/>
        <w:rPr>
          <w:rFonts w:ascii="Times New Roman" w:hAnsi="Times New Roman"/>
          <w:color w:val="000000" w:themeColor="text1"/>
          <w:sz w:val="16"/>
          <w:szCs w:val="16"/>
        </w:rPr>
      </w:pPr>
    </w:p>
    <w:p w14:paraId="01BD53A2"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573E0D2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28C27F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Утром 1 марта 1944 и днем погода была совершенно нелет</w:t>
      </w:r>
      <w:r w:rsidRPr="007224C3">
        <w:rPr>
          <w:rFonts w:ascii="Times New Roman" w:hAnsi="Times New Roman"/>
          <w:color w:val="000000" w:themeColor="text1"/>
          <w:sz w:val="16"/>
          <w:szCs w:val="16"/>
        </w:rPr>
        <w:softHyphen/>
        <w:t>ной. Решили провести весь комплекс наземных испытаний бомбардировоч</w:t>
      </w:r>
      <w:r w:rsidRPr="007224C3">
        <w:rPr>
          <w:rFonts w:ascii="Times New Roman" w:hAnsi="Times New Roman"/>
          <w:color w:val="000000" w:themeColor="text1"/>
          <w:sz w:val="16"/>
          <w:szCs w:val="16"/>
        </w:rPr>
        <w:softHyphen/>
        <w:t>ного вооружения Ил-АМ-42.</w:t>
      </w:r>
    </w:p>
    <w:p w14:paraId="55E68E3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следующий день погода опять была нелетная. Самолет загнали в институтский тир, где произвели от</w:t>
      </w:r>
      <w:r w:rsidRPr="007224C3">
        <w:rPr>
          <w:rFonts w:ascii="Times New Roman" w:hAnsi="Times New Roman"/>
          <w:color w:val="000000" w:themeColor="text1"/>
          <w:sz w:val="16"/>
          <w:szCs w:val="16"/>
        </w:rPr>
        <w:softHyphen/>
        <w:t>стрел оборонительной установки ВУ-8. Здесь испытателей ждала "не</w:t>
      </w:r>
      <w:r w:rsidRPr="007224C3">
        <w:rPr>
          <w:rFonts w:ascii="Times New Roman" w:hAnsi="Times New Roman"/>
          <w:color w:val="000000" w:themeColor="text1"/>
          <w:sz w:val="16"/>
          <w:szCs w:val="16"/>
        </w:rPr>
        <w:softHyphen/>
        <w:t>приятность": прострелили киль, ста</w:t>
      </w:r>
      <w:r w:rsidRPr="007224C3">
        <w:rPr>
          <w:rFonts w:ascii="Times New Roman" w:hAnsi="Times New Roman"/>
          <w:color w:val="000000" w:themeColor="text1"/>
          <w:sz w:val="16"/>
          <w:szCs w:val="16"/>
        </w:rPr>
        <w:softHyphen/>
        <w:t>билизатор, рули направления и вы</w:t>
      </w:r>
      <w:r w:rsidRPr="007224C3">
        <w:rPr>
          <w:rFonts w:ascii="Times New Roman" w:hAnsi="Times New Roman"/>
          <w:color w:val="000000" w:themeColor="text1"/>
          <w:sz w:val="16"/>
          <w:szCs w:val="16"/>
        </w:rPr>
        <w:softHyphen/>
        <w:t>соты. Однако погода и аэродромные службы сделали бригаде подарок -в течение следующих трех дней аэро</w:t>
      </w:r>
      <w:r w:rsidRPr="007224C3">
        <w:rPr>
          <w:rFonts w:ascii="Times New Roman" w:hAnsi="Times New Roman"/>
          <w:color w:val="000000" w:themeColor="text1"/>
          <w:sz w:val="16"/>
          <w:szCs w:val="16"/>
        </w:rPr>
        <w:softHyphen/>
        <w:t>дром был "не ютов к взлету: рыхлый снег, вода".</w:t>
      </w:r>
    </w:p>
    <w:p w14:paraId="08EBB40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Было решено, одновременно с ус</w:t>
      </w:r>
      <w:r w:rsidRPr="007224C3">
        <w:rPr>
          <w:rFonts w:ascii="Times New Roman" w:hAnsi="Times New Roman"/>
          <w:color w:val="000000" w:themeColor="text1"/>
          <w:sz w:val="16"/>
          <w:szCs w:val="16"/>
        </w:rPr>
        <w:softHyphen/>
        <w:t>транением пулевых повреждений провести на самолете небольшие до</w:t>
      </w:r>
      <w:r w:rsidRPr="007224C3">
        <w:rPr>
          <w:rFonts w:ascii="Times New Roman" w:hAnsi="Times New Roman"/>
          <w:color w:val="000000" w:themeColor="text1"/>
          <w:sz w:val="16"/>
          <w:szCs w:val="16"/>
        </w:rPr>
        <w:softHyphen/>
        <w:t>работки, улучшающие эксплуатаци</w:t>
      </w:r>
      <w:r w:rsidRPr="007224C3">
        <w:rPr>
          <w:rFonts w:ascii="Times New Roman" w:hAnsi="Times New Roman"/>
          <w:color w:val="000000" w:themeColor="text1"/>
          <w:sz w:val="16"/>
          <w:szCs w:val="16"/>
        </w:rPr>
        <w:softHyphen/>
        <w:t>онные и пилотажные качества маши</w:t>
      </w:r>
      <w:r w:rsidRPr="007224C3">
        <w:rPr>
          <w:rFonts w:ascii="Times New Roman" w:hAnsi="Times New Roman"/>
          <w:color w:val="000000" w:themeColor="text1"/>
          <w:sz w:val="16"/>
          <w:szCs w:val="16"/>
        </w:rPr>
        <w:softHyphen/>
        <w:t>ны. Заново отрегулировали карбю</w:t>
      </w:r>
      <w:r w:rsidRPr="007224C3">
        <w:rPr>
          <w:rFonts w:ascii="Times New Roman" w:hAnsi="Times New Roman"/>
          <w:color w:val="000000" w:themeColor="text1"/>
          <w:sz w:val="16"/>
          <w:szCs w:val="16"/>
        </w:rPr>
        <w:softHyphen/>
        <w:t>раторы, поставили новые троса уп</w:t>
      </w:r>
      <w:r w:rsidRPr="007224C3">
        <w:rPr>
          <w:rFonts w:ascii="Times New Roman" w:hAnsi="Times New Roman"/>
          <w:color w:val="000000" w:themeColor="text1"/>
          <w:sz w:val="16"/>
          <w:szCs w:val="16"/>
        </w:rPr>
        <w:softHyphen/>
        <w:t>равления "из-за большой заершен-ности старых", уменьшили щели меж</w:t>
      </w:r>
      <w:r w:rsidRPr="007224C3">
        <w:rPr>
          <w:rFonts w:ascii="Times New Roman" w:hAnsi="Times New Roman"/>
          <w:color w:val="000000" w:themeColor="text1"/>
          <w:sz w:val="16"/>
          <w:szCs w:val="16"/>
        </w:rPr>
        <w:softHyphen/>
        <w:t>ду нижней частью крыла и элерона</w:t>
      </w:r>
      <w:r w:rsidRPr="007224C3">
        <w:rPr>
          <w:rFonts w:ascii="Times New Roman" w:hAnsi="Times New Roman"/>
          <w:color w:val="000000" w:themeColor="text1"/>
          <w:sz w:val="16"/>
          <w:szCs w:val="16"/>
        </w:rPr>
        <w:softHyphen/>
        <w:t>ми (поставлена более широкая пла</w:t>
      </w:r>
      <w:r w:rsidRPr="007224C3">
        <w:rPr>
          <w:rFonts w:ascii="Times New Roman" w:hAnsi="Times New Roman"/>
          <w:color w:val="000000" w:themeColor="text1"/>
          <w:sz w:val="16"/>
          <w:szCs w:val="16"/>
        </w:rPr>
        <w:softHyphen/>
        <w:t>стина), заменили покрышку костыль</w:t>
      </w:r>
      <w:r w:rsidRPr="007224C3">
        <w:rPr>
          <w:rFonts w:ascii="Times New Roman" w:hAnsi="Times New Roman"/>
          <w:color w:val="000000" w:themeColor="text1"/>
          <w:sz w:val="16"/>
          <w:szCs w:val="16"/>
        </w:rPr>
        <w:softHyphen/>
        <w:t>ного колеса и лючки над бомболю-ком с левой внутренней стороны. Па</w:t>
      </w:r>
      <w:r w:rsidRPr="007224C3">
        <w:rPr>
          <w:rFonts w:ascii="Times New Roman" w:hAnsi="Times New Roman"/>
          <w:color w:val="000000" w:themeColor="text1"/>
          <w:sz w:val="16"/>
          <w:szCs w:val="16"/>
        </w:rPr>
        <w:softHyphen/>
        <w:t>раллельно успели отработать химво-оружение самолета (11427).</w:t>
      </w:r>
    </w:p>
    <w:p w14:paraId="5565157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F4D87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марта 1944 292 завод сделал первый серийный Як-3 и 8 марта он совершил первый 10 минутный полет по кругу (65,172).</w:t>
      </w:r>
    </w:p>
    <w:p w14:paraId="4921E29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FF8B8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марта 1944 года построили первый серийный экземпляр Як-3 (заводской №0601) и спустя неделю состоялся его пробный 10-минутный полет.</w:t>
      </w:r>
    </w:p>
    <w:p w14:paraId="6D97D85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Вооружение самолетов первых двенадцати серий состояло из пушки МП-20 и пулемета БС. В таком виде было выпущено 197 машин, и лишь с 13-й серии перешли к сдаче самолетов с пушкой МП-20 и двумя БСами.</w:t>
      </w:r>
    </w:p>
    <w:p w14:paraId="75533A7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Летные данные истребителей переходного периода заметно ухудшились. Так, максимальная скорость снизилась на 15- 20 км/ч, время набора высоты 5000 метров возросло на 0,5 минуты, практический потолок упал на 500 метров, а время виража на 1000 метрах увеличилось на одну - две секунды. Естественно Як-3 стал набирать меньшую высоту на боевом развороте.</w:t>
      </w:r>
    </w:p>
    <w:p w14:paraId="14F72F1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Причин тому было немало. Это низкая культура производства, повлекшая за собой утяжеление машины (до 45 кг), и уменьшенный запас горючего, и, конечно, низкое качество отделки внешней поверхности истребителя. Эти недостатки удалось устранить совместными усилиями ОКБ, ЛИИ и ЦАГИ совместно с серийными заводами, и начиная с 16-й серии самолеты стали соответствовать по своим летным данным "Дублеру".</w:t>
      </w:r>
    </w:p>
    <w:p w14:paraId="69D5636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ходе войсковых испытаний дал о себе знать серьезный дефект, свойственный машинам с крылом смешанной конструкции. На самолете №0208 сорвало обшивку во время воздушного боя при выводе из пикирования. Укрепить обшивку пытались путем увеличения площади приклея, усиления крепления обшивки с помощью шпилек и болтов, но полностью избавиться от опасного дефекта удалось, лишь перейдя к цельнометаллическому крылу.</w:t>
      </w:r>
    </w:p>
    <w:p w14:paraId="3A54855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ходе серийного производства постоянно проводились контрольные испытания самолетов как на заводе, так и в НИИ ВВС. Так, осенью 1944 года провели заводские испытания четырех Як-3 и эксплуатационные одного истребителя №0528, показавшие, что их летные и весовые данные находятся в пределах заданных техническими условиями заказчика (12047).</w:t>
      </w:r>
    </w:p>
    <w:p w14:paraId="578D648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A7BDD01" w14:textId="77777777" w:rsidR="004F13F4" w:rsidRPr="007224C3" w:rsidRDefault="004F13F4"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 марта 1944 саратовский завод № 292 закончили сборку самолета Як-3 06-01 (6-я машина 1-й серии поспела первой: пока самолет строился не на конвейере), а 8-го он сделал первый 10-минутный полет вокруг заводского аэродрома.</w:t>
      </w:r>
    </w:p>
    <w:p w14:paraId="1CDA392C" w14:textId="77777777" w:rsidR="004F13F4" w:rsidRPr="007224C3" w:rsidRDefault="004F13F4"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Эталоном для серийного Як-3 стал «дублер Москита» с доработками по рекомендациям ЦАГИ и результатам испытаний. Планер усилили из расчета на 700 км/ч, а шасси пересчитали на больший вес, улучшили аэродинамику кабины и зализа крыла, а также герметизацию противопожарной перегородки, отделяющей мотор от кабины. Пушка ША-20М на испытаниях показала себя лучше, чем Б-20 Березина и В-20 Владимирова, но для снабжения ВВС она не была принята. Яковлев позволил оставить серийную ШВАК, а чтобы не потерять в маневре из-за всех этих мероприятий по усилению самолета, разрешили снова снять один пулемет. Планировалось отработать ША-20 на штурмовике Ил-10, а после этого запустить в производство и для истребителей. Для серийных Як-3 внедрили новые радиаторы воды и масла, изменили их тоннели, увеличили отклонение заслонок, отодвинули от бортов шкалы бензиномеров, которые были выведены над баками через отверстия в верхних панелях крыла, чтобы летчик их лучше видел из кабины. Мотор ВК-105ПФ2 пошел в массовое производство на заводе № 26 в Уфе, а затем и на № 16 в Казани. Приказом по НКАП № 39 от 19 января 1944 г. была заказана первая серия в 100 штук ВК-105ПФ2, которым на основании заводских длительных испытаний был установлен ресурс 150 часов, но эксплуатация выявила много дефектов, и реальный ресурс поначалу был ниже. Завод № 26 доработал мотор усилением поршневых пальцев, коленвала, привода нагнетателя и ряда других деталей ценой незначительного повышения массы. До октября 1944 г. этот мотор поставлялся только для Як-3, лишь затем его стали давать и на Як-9М, Як-9У, последние серии истребителей ЛаГГ-3 и бомбардировщиков Пе-2. Было разрешено также применять его без ограничений в новых разработках всем самолетным ОКБ (22751).</w:t>
      </w:r>
    </w:p>
    <w:p w14:paraId="7ACFFD3C" w14:textId="77777777" w:rsidR="004F13F4" w:rsidRPr="007224C3" w:rsidRDefault="004F13F4" w:rsidP="007224C3">
      <w:pPr>
        <w:spacing w:after="0" w:line="240" w:lineRule="auto"/>
        <w:jc w:val="both"/>
        <w:rPr>
          <w:rFonts w:ascii="Times New Roman" w:hAnsi="Times New Roman"/>
          <w:color w:val="0070C0"/>
          <w:sz w:val="16"/>
          <w:szCs w:val="16"/>
        </w:rPr>
      </w:pPr>
    </w:p>
    <w:p w14:paraId="66557E4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марта 1944 года были подготовлены:</w:t>
      </w:r>
    </w:p>
    <w:p w14:paraId="78DA6CB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 акта государственных испытаний опытного, самолета МИГ (И-200) конструкции Микояна и Гуревича, проводившихся в НИИ ВВС по 7.01.1944 года</w:t>
      </w:r>
    </w:p>
    <w:p w14:paraId="6E88A8A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Отзывы и заключения</w:t>
      </w:r>
    </w:p>
    <w:p w14:paraId="0BBAED4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летчиков-испытателей и техсостава.</w:t>
      </w:r>
    </w:p>
    <w:p w14:paraId="1D2E8CB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Летчик-испытатель генерал-майор авиации Стефановский.</w:t>
      </w:r>
    </w:p>
    <w:p w14:paraId="1DD86DD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имеет хорошие взлетные качества и взлетает быстро и хорошо даже при наличии четырех пушек. Самолет на виражах прост и позволяет перетягивание ручки, не стремясь сорваться в штопор. Посадка проста и при посадке самолет ведет себя нормально.</w:t>
      </w:r>
    </w:p>
    <w:p w14:paraId="12F9CD0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Впервые наш отечественный одноместный истребитель обладает таким мощным вооружением, очень необходимым в данное время.</w:t>
      </w:r>
    </w:p>
    <w:p w14:paraId="143A96A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Летные данные этого самолета даже с мотором Ам-38Ф на высотах до 3500 м выше летных данных всех опытных самолетов, прошедших государственные испытания.</w:t>
      </w:r>
    </w:p>
    <w:p w14:paraId="26B23EB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замене мотора не реально имеющиеся моторы АМ-39, АМ-42 можно ожидать еще лучшие данные и, особенно, после установки мотора АМ-43.</w:t>
      </w:r>
    </w:p>
    <w:p w14:paraId="1F1DA9B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Значит самолет имеет большую перспективу.</w:t>
      </w:r>
    </w:p>
    <w:p w14:paraId="5005594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Простота управления, большая устойчивость самолета и малая посадочная скорость позволяют рассчитывать на легкое освоение его молодым летным составом.</w:t>
      </w:r>
    </w:p>
    <w:p w14:paraId="783FCE2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Инженер-полковник Кочетков.</w:t>
      </w:r>
    </w:p>
    <w:p w14:paraId="42D5106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выполнении виража самолет позволяет довольно грубое перетягивание ручки, не имея тенденции сваливаться в штопор, посадочные свойства самолета простые. Пробег устойчивый. Самолет И-220 удачно сочетает хорошую управляемость с хорошей устойчивостью, приятен и прост в пилотировании. При положительных результатах работы винтомоторной группы после установки мотора АМ-39 самолет может быть рекомендован в серийное производство.</w:t>
      </w:r>
    </w:p>
    <w:p w14:paraId="02E21B1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Подполковник Хомяков7</w:t>
      </w:r>
    </w:p>
    <w:p w14:paraId="3736815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полете устойчив относительно всех трех осей. В управлении самолет легкий.</w:t>
      </w:r>
    </w:p>
    <w:p w14:paraId="410C0E9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Вести прицельную стрельбу с пикирования из четырех пушек хорошо, самолет при стрельбе не раскачивается. Планирует самолет устойчиво. Посадка никакой сложности не представляет.</w:t>
      </w:r>
    </w:p>
    <w:p w14:paraId="0697B11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И-220 имеет мощное вооружение, хорошие летные качества и при устранении дефектов, замеченных при испытании, станет безусловно хорошим современным истребителем.</w:t>
      </w:r>
    </w:p>
    <w:p w14:paraId="0472504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Капитан Кубышкин.</w:t>
      </w:r>
    </w:p>
    <w:p w14:paraId="307D48E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Вооружение самолета очень мощное и работает хорошо. Прицел установлен хорошо и ведение прицельной стрельбы удобно. Самолет имеет хорошие летные качества, мощное вооружение и прост в технике пилотирования. Данный самолет желательно иметь на вооружении ВВС.</w:t>
      </w:r>
    </w:p>
    <w:p w14:paraId="5162420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Оценка эксплуатационных свойств</w:t>
      </w:r>
    </w:p>
    <w:p w14:paraId="418BA8E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 техник лейтенант Безбатченко</w:t>
      </w:r>
    </w:p>
    <w:p w14:paraId="25DCC0F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И-220 в эксплуатации прост и легок для освоения техническим составом войсковых частей ВВС.</w:t>
      </w:r>
    </w:p>
    <w:p w14:paraId="20E3FCB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целом эксплуатация самолета И-220 не сложнее эксплуатации самолетов истребителей, состоящих на вооружении ВВС (1825,215).</w:t>
      </w:r>
    </w:p>
    <w:p w14:paraId="6563577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1F5FA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марта 1944 года вышел приказ НКАП</w:t>
      </w:r>
    </w:p>
    <w:p w14:paraId="61A540F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Утвердить начальником ЦИАМ Бибикова Я.Л. (8925)</w:t>
      </w:r>
    </w:p>
    <w:p w14:paraId="1BBA1F8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E57F859"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1FDF4FA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50004B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период с 1 по 21 марта 1944 г. проходили полигонные испытания 122-мм пушки Д-25 с полуавтоматическим клиновым затвором на Гороховецком АНИОПе От ГБТУ на этих важных испытаниях присутство</w:t>
      </w:r>
      <w:r w:rsidRPr="007224C3">
        <w:rPr>
          <w:rFonts w:ascii="Times New Roman" w:hAnsi="Times New Roman"/>
          <w:color w:val="000000" w:themeColor="text1"/>
          <w:sz w:val="16"/>
          <w:szCs w:val="16"/>
        </w:rPr>
        <w:softHyphen/>
        <w:t>вал инженер-майор А.А. Афонасьев, от завода № 100 - старший инже</w:t>
      </w:r>
      <w:r w:rsidRPr="007224C3">
        <w:rPr>
          <w:rFonts w:ascii="Times New Roman" w:hAnsi="Times New Roman"/>
          <w:color w:val="000000" w:themeColor="text1"/>
          <w:sz w:val="16"/>
          <w:szCs w:val="16"/>
        </w:rPr>
        <w:softHyphen/>
        <w:t>нер-конструктор Г.Н. Рыбин, заместитель главного конструктора заво</w:t>
      </w:r>
      <w:r w:rsidRPr="007224C3">
        <w:rPr>
          <w:rFonts w:ascii="Times New Roman" w:hAnsi="Times New Roman"/>
          <w:color w:val="000000" w:themeColor="text1"/>
          <w:sz w:val="16"/>
          <w:szCs w:val="16"/>
        </w:rPr>
        <w:softHyphen/>
        <w:t>да № 9 А.Н. Булашев. Члены комиссии пришли к заключению, что пуш</w:t>
      </w:r>
      <w:r w:rsidRPr="007224C3">
        <w:rPr>
          <w:rFonts w:ascii="Times New Roman" w:hAnsi="Times New Roman"/>
          <w:color w:val="000000" w:themeColor="text1"/>
          <w:sz w:val="16"/>
          <w:szCs w:val="16"/>
        </w:rPr>
        <w:softHyphen/>
        <w:t>ка Д-25 испытания в основном выдержала и работа с ней более удобна, чем с пушкой, имеющей поршневой затвор. С марта 1944 г. завод № 9 перешел на производство пушек Д-25 с клиновым затвором (10703).</w:t>
      </w:r>
    </w:p>
    <w:p w14:paraId="7CC2107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FF58BD" w14:textId="77777777" w:rsidR="00792950" w:rsidRPr="007224C3" w:rsidRDefault="0079295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1 марта 1944 года рабочая документация на МЛ-20см была закончена. К 10 марта опытный образец орудия был изготовлен заводом №172. Первые стрельбы провели 11 марта, и после 33 выстрелов систему сняли с испытаний ввиду неудовлетворительной работы затвора. В ходе испытаний марта-апреля 1944 года были обнаружены производственные дефекты. Тем не менее 14 апреля МЛ-20см выдержала испытания на скоростной отстрел 60 выстрелов, произведя их за 39 минут вместо положенного часа. Всего же за март-май 1944 года орудие произвело 249 выстрелов, из них 196 — усиленным зарядом. Скорострельность достигала 2,9 выстрела в минуту.</w:t>
      </w:r>
    </w:p>
    <w:p w14:paraId="4DFC0F85" w14:textId="77777777" w:rsidR="00792950" w:rsidRPr="007224C3" w:rsidRDefault="0079295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итогам испытаний планировалось установить орудие в самоходку, но этого так и не произошло. Что же касается испытаний орудия, то они продолжались на заводе №172 до сентября 1944 года. В это время между НКТП, ГБТУ КА, НКТП и ГАУ шли споры относительно орудия. Наконец 2 октября 1944 года была дана команда отправить МЛ-20см на Кировский завод и установить в ИСУ-152. К середине октября, когда орудие доставили в Челябинск, выяснилось, что оно прибыло в недоработанном виде. В конце декабря ГАУ КА поставило перед заводом №172 вопрос о необходимости срочной доработки орудия и отправке конструкторов на ЧКЗ. Несмотря на это представители завода №172 прибыли в Челябинск только к середине февраля 1945 года. К тому моменту ситуация с модернизацией ИСУ вышла на новый уровень (18636).</w:t>
      </w:r>
    </w:p>
    <w:p w14:paraId="59EC3862" w14:textId="77777777" w:rsidR="00792950" w:rsidRPr="007224C3" w:rsidRDefault="00792950" w:rsidP="007224C3">
      <w:pPr>
        <w:spacing w:after="0" w:line="240" w:lineRule="auto"/>
        <w:jc w:val="both"/>
        <w:rPr>
          <w:rFonts w:ascii="Times New Roman" w:hAnsi="Times New Roman"/>
          <w:color w:val="000000" w:themeColor="text1"/>
          <w:sz w:val="16"/>
          <w:szCs w:val="16"/>
        </w:rPr>
      </w:pPr>
    </w:p>
    <w:p w14:paraId="563BE3F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 марта 1944 г., выпустив 145 танков ИС-2 (ИС-122), вооруженных 122-мм пушкой Д-25Т с поршне</w:t>
      </w:r>
      <w:r w:rsidRPr="007224C3">
        <w:rPr>
          <w:rFonts w:ascii="Times New Roman" w:hAnsi="Times New Roman"/>
          <w:color w:val="000000" w:themeColor="text1"/>
          <w:sz w:val="16"/>
          <w:szCs w:val="16"/>
        </w:rPr>
        <w:softHyphen/>
        <w:t>вым затвором, ЧКЗ начал серийное производство танка с полуавтоматическим орудием, оснащенным горизонталь</w:t>
      </w:r>
      <w:r w:rsidRPr="007224C3">
        <w:rPr>
          <w:rFonts w:ascii="Times New Roman" w:hAnsi="Times New Roman"/>
          <w:color w:val="000000" w:themeColor="text1"/>
          <w:sz w:val="16"/>
          <w:szCs w:val="16"/>
        </w:rPr>
        <w:softHyphen/>
        <w:t>ным клиновым затвором (11135).</w:t>
      </w:r>
    </w:p>
    <w:p w14:paraId="52A6395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F20BE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 марта 1944 г. производство тяжелого танка ИС-85 было пре</w:t>
      </w:r>
      <w:r w:rsidRPr="007224C3">
        <w:rPr>
          <w:rFonts w:ascii="Times New Roman" w:hAnsi="Times New Roman"/>
          <w:color w:val="000000" w:themeColor="text1"/>
          <w:sz w:val="16"/>
          <w:szCs w:val="16"/>
        </w:rPr>
        <w:softHyphen/>
        <w:t>кращено. Несмотря на то что к этому моменту прошел испытания танк КВ-122 и завод настаивал на его выпуске взамен КВ-85, на вооружение он принят не был (11135).</w:t>
      </w:r>
    </w:p>
    <w:p w14:paraId="59BE91B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E86D7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марта 1944 г. так и не дождавшись обещанных черте</w:t>
      </w:r>
      <w:r w:rsidRPr="007224C3">
        <w:rPr>
          <w:rFonts w:ascii="Times New Roman" w:hAnsi="Times New Roman"/>
          <w:color w:val="000000" w:themeColor="text1"/>
          <w:sz w:val="16"/>
          <w:szCs w:val="16"/>
        </w:rPr>
        <w:softHyphen/>
        <w:t>жей шасси танкосамохода (от завода 100) и артсистемы (от ОКБ 172) для новой САУ, конструкторы Уралмашзавода, связанные жесткими сроками утвержденного в начале 1944 г. наркоматом плана опытных работ, решили спроектировать собственный вариант «среднего фердинанда» с использова</w:t>
      </w:r>
      <w:r w:rsidRPr="007224C3">
        <w:rPr>
          <w:rFonts w:ascii="Times New Roman" w:hAnsi="Times New Roman"/>
          <w:color w:val="000000" w:themeColor="text1"/>
          <w:sz w:val="16"/>
          <w:szCs w:val="16"/>
        </w:rPr>
        <w:softHyphen/>
        <w:t>нием отработанных узлов ходовой части СУ-85 и вооружени</w:t>
      </w:r>
      <w:r w:rsidRPr="007224C3">
        <w:rPr>
          <w:rFonts w:ascii="Times New Roman" w:hAnsi="Times New Roman"/>
          <w:color w:val="000000" w:themeColor="text1"/>
          <w:sz w:val="16"/>
          <w:szCs w:val="16"/>
        </w:rPr>
        <w:softHyphen/>
        <w:t>ем из 85-мм длинноствольной или 100-мм пушек (ОКБ №9 заканчивало отработку 85-мм Д-5-85БМ и 100-мм Д-10). Разработка эскизного проекта машины, первоначально названной ЭСУ-100, началась в середине марта 1944 г. В те</w:t>
      </w:r>
      <w:r w:rsidRPr="007224C3">
        <w:rPr>
          <w:rFonts w:ascii="Times New Roman" w:hAnsi="Times New Roman"/>
          <w:color w:val="000000" w:themeColor="text1"/>
          <w:sz w:val="16"/>
          <w:szCs w:val="16"/>
        </w:rPr>
        <w:softHyphen/>
        <w:t>чение месяца были спроектированы ее основные узлы: бронекорпус, подвеска на торсионных валах с использованием опорных катков Т-34, электротрансмиссия, боевое отделение под 85-мм орудие большой мощности и 100-мм орудие Д-10. В целом проект был одобрен к исполнению на пленуме НКТП в апреле 1944 г. (11417)</w:t>
      </w:r>
    </w:p>
    <w:p w14:paraId="35BD897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34E618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марта 1944 вышло Распоряжение ГКО № 5270. О выделении 1 тыс. военнообязанных, не годных к строевой службе, для работы в Ново-Лялинском леспромхозе НКБП. РГАНИР, Фонд ГКО, д. 214, лл. 121 (11012).</w:t>
      </w:r>
    </w:p>
    <w:p w14:paraId="3100821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B8A699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марта 1944 вышло Распоряжение ГКО № 5271. О направлении на строительство Бакинского трубопрокатного завода НКЧМ строительного управления № 4 и о выделении 210 рабочих на восстановление Ворошиловского коксохимического завода. РГАНИР, Фонд ГКО, д. 214, лл. 122 (11012).</w:t>
      </w:r>
    </w:p>
    <w:p w14:paraId="0802A90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91AD76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марта 1944 вышло Постановление ГКО № 5273 О восстановлении Сталиногорской ГРЭС. РГАНИР, Фонд ГКО, д. 214, лл. 129-131,132-153 (11012).</w:t>
      </w:r>
    </w:p>
    <w:p w14:paraId="45C6087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93FC812"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марта 1944 вышло Постановление ГКО № 5274 О выделении Наркомзему СССР 1500 грузовых автомобилей. (7194, 154).</w:t>
      </w:r>
    </w:p>
    <w:p w14:paraId="7EEB4AA1"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39AF881"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марта 1944 вышло Постановление ГКО № 5275 О реконструкции шоссейных дорог Беслан - Тбилиси - Ереван - Джульфа и Баку - Астара - Казвин. (7194, 155-159,160-161).</w:t>
      </w:r>
    </w:p>
    <w:p w14:paraId="0B3C23A4"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D2FF59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марта 1944 вышло Постановление ГКО № 5276 О мерах помощи МТС в проведении весенних полевых работ в районах, освобожденных от немецкой оккупации. РГАНИР, Фонд ГКО, д. 214, лл. 162-164,165-166 (11012).</w:t>
      </w:r>
    </w:p>
    <w:p w14:paraId="53ED5F5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4709E38"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7F72BAF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F7B496E" w14:textId="77777777" w:rsidR="006E7509" w:rsidRPr="007224C3" w:rsidRDefault="006E75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 марта</w:t>
      </w:r>
      <w:r w:rsidRPr="007224C3">
        <w:rPr>
          <w:rFonts w:ascii="Times New Roman" w:hAnsi="Times New Roman"/>
          <w:color w:val="000000" w:themeColor="text1"/>
          <w:sz w:val="16"/>
          <w:szCs w:val="16"/>
        </w:rPr>
        <w:t xml:space="preserve"> в 1944 году оперативная сводка Совинформбюро:</w:t>
      </w:r>
    </w:p>
    <w:p w14:paraId="67BCE7AF" w14:textId="77777777" w:rsidR="006E7509" w:rsidRPr="007224C3" w:rsidRDefault="006E75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«Несколько дней назад войска Ленинградского фронта с боем форсировали реку Нарва южнее города Нарва и, прорвав сильно укреплённую оборону противника, захватилина западном берегу реки плацдарм протяжением по фронту 35 километров и в глубину15 километров. Наши войска овладели населёнными пунктами Вяска, Мустайыэ, Суресору, Кяреконна, Себерги, Аувере, Хавакингу, Метскюла, Ухеконна и перерезали железную дорогу Нарва-Таллин в районе железнодорожной станции Аувере в 15 километрах западнее города Нарва.</w:t>
      </w:r>
    </w:p>
    <w:p w14:paraId="551125F9" w14:textId="77777777" w:rsidR="006E7509" w:rsidRPr="007224C3" w:rsidRDefault="006E75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 марта на Псковском направлении наши войска продолжали вести наступательные бои, в ходе которых заняли более 70 населённых пунктов, в том числе Невадицы, Большая Жадунка, Рябова, Ланева Гора, Ореховичи, Олисово, Пересветово, Болотово, Сосницы, Васуткино, Кашино и железнодорожную станцию Русаки. Нашими войсками перерезана железная дорога Псков-Идрица.</w:t>
      </w:r>
    </w:p>
    <w:p w14:paraId="0DEAB5E6" w14:textId="77777777" w:rsidR="006E7509" w:rsidRPr="007224C3" w:rsidRDefault="006E75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Cеверо-западнее Новосокольники наши войска с боями заняли несколько населённых пунктов и среди них Дупли, Литово, Пундровка, Куялы, Заборье, Луневка.</w:t>
      </w:r>
    </w:p>
    <w:p w14:paraId="0050F660" w14:textId="77777777" w:rsidR="006E7509" w:rsidRPr="007224C3" w:rsidRDefault="006E75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Витебском направлении наши войска вели наступательные бои, в ходе которых заняли более 30 населённых пунктов и среди них Батали, Пекари, Скуловичи, Абухово, Тишкова, Вороны, Селюты.</w:t>
      </w:r>
    </w:p>
    <w:p w14:paraId="3D086EBB" w14:textId="77777777" w:rsidR="006E7509" w:rsidRPr="007224C3" w:rsidRDefault="006E75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 поиски разведчиков.</w:t>
      </w:r>
    </w:p>
    <w:p w14:paraId="078CDC12" w14:textId="77777777" w:rsidR="006E7509" w:rsidRPr="007224C3" w:rsidRDefault="006E75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29 февраля наши войска на всех фронтах подбили и уничтожили 16 немецких танков. В воздушных боях и огнём зенитной артиллерии сбито 9 самолётов противника.</w:t>
      </w:r>
    </w:p>
    <w:p w14:paraId="41E36220" w14:textId="77777777" w:rsidR="006E7509" w:rsidRPr="007224C3" w:rsidRDefault="006E75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Несколько дней назад войска Ленинградского фронта с боем переправились через реку Нарва, южнее города Нарва. Противник, опираясь на мощные оборонительные рубежи, оказывал упорное сопротивление и любой ценой стремился удержаться на занятых позициях. Советские пехотинцы при поддержке артиллеристов сломили сопротивление немцев и захватили плацдарм на западном берету реки Нарва протяжением по фронту в 35 километров и в глубину на 15 километров. Наши войска перерезали железную дорогу Нарва-Таллин в районе станции Аувере, находящейся в15 километрах западнее города Нарва. На одном участке бойцы Н-ской части в ожесточённых боях разгромили два полка вражеской пехоты. Отступая, гитлеровцы бросили 25 орудий, 40 миномётов, много снарядов и мин. На другом участке советские части за два дня боёв истребили 1.200 гитлеровцев и захватили 3 исправных танка, 4 самоходных и 16 полевых орудий, 90 пулемётов и другие трофеи.</w:t>
      </w:r>
    </w:p>
    <w:p w14:paraId="4B383952" w14:textId="77777777" w:rsidR="006E7509" w:rsidRPr="007224C3" w:rsidRDefault="006E75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На Псковском направлении наши войска продолжали наступление и заняли более 70 населённых пунктов. Советские бойцы выбили немцев из нескольких сильно укреплённых опорных пунктов, прикрывающих подступы к городу Пскову. Овладев железнодорожной станцией Русаки, наши войска перерезали железную дорогу Псков-Идрица. В ходе боёв противник несёт тяжёлые потери в живой силе и технике. Бойцы Н-ской части уничтожили более 600 немецких солдат и офицеров. Артиллеристы этой же части огнём с открытых позиций уничтожили 7 немецких танков и 18 орудий. Большие потери наносят немцам наши разведчики. В одном районе 17 красноармейцев пробрались в тыл противника и оседлали шоссейную дорогу. Большая колонна немцев, отступавшая по этой дороге, была встречена </w:t>
      </w:r>
      <w:r w:rsidRPr="007224C3">
        <w:rPr>
          <w:rFonts w:ascii="Times New Roman" w:hAnsi="Times New Roman"/>
          <w:color w:val="000000" w:themeColor="text1"/>
          <w:sz w:val="16"/>
          <w:szCs w:val="16"/>
        </w:rPr>
        <w:lastRenderedPageBreak/>
        <w:t>пулемётным огнём. Немцы несколько разбросались в атаку против горстки наших бойцов. Уничтожив до 300 гитлеровцев, разведчики ночью оторвались от противника и вернулись в свою часть.</w:t>
      </w:r>
    </w:p>
    <w:p w14:paraId="46FBD482" w14:textId="77777777" w:rsidR="006E7509" w:rsidRPr="007224C3" w:rsidRDefault="006E75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Северо-западнее города Новосокольники наши войска вели наступательные бои.Части Н-ского соединения заняли несколько населённых пунктов, уничтожив при этом до 400 немецких солдат и офицеров. Захвачено 11 орудий, 5 тяжёлых миномётов, 34 пулемёта и 3 склада боеприпасов. Части другого соединения, продвигаясь вдоль шоссе Новоржев-Пушкинские Горы, уничтожили до батальона немецкой пехоты и захватили значительное число пленных.</w:t>
      </w:r>
    </w:p>
    <w:p w14:paraId="46145146" w14:textId="77777777" w:rsidR="006E7509" w:rsidRPr="007224C3" w:rsidRDefault="006E75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Партизанский отряд, действующий в одном из районов Львовской области, в ночь на 14 февраля атаковал немецкий гарнизон в одном населённом пункте. В ожесточённом бою советские патриоты истребили до роты гитлеровцев. Захвачено у немцев более 100 винтовок и автоматов, 57 автомашин, 30 тонн бензина, 200 лошадей и склад зерна. Освобождены из фашистского застенка советские граждане, арестованные немцами. Другой отряд львовских партизан прямой наводкой из орудий обстрелял несколько немецких воинских эшелонов. Разбито 5 паровозов, 48 платформи 16 вагонов.</w:t>
      </w:r>
    </w:p>
    <w:p w14:paraId="147EC04D" w14:textId="77777777" w:rsidR="006E7509" w:rsidRPr="007224C3" w:rsidRDefault="006E75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Наши войска нанесли тяжёлое поражение немецкой танково-гренадерской дивизии «Фельдхернхалле». Большое количество солдат этой дивизии захвачено в плен. Пленные солдаты Карл Вольф, Иозеф Хенсбергер, Курт Биллер и другие рассказали: «В декабре прошлого года нашу дивизию перебросили на Восточный фронт. За несколько дней до отъезда был устроен смотр, на котором присутствовал руководитель штурмовых отрядов Шепман. Он произнёс перед солдатами речь, вкоторой заявил, что за лето немецкие войска отдали противнику значительную территорию и потеряли около 5 тысяч танков. Шепман говорил, что, посылая эсэсовские дивизии в Россию, командование надеется, что они будут прочно удерживать фронт. Вначале мы находились под Витебском, а потом спешно были переброшены на Ленинградский фронт. В известной мере мы были подготовлены к тяжёлым боям. Но то, что мы увидели, превзошло все наши ожидания. У нас былотакое ощущение, что немецкий фронт развалился. Мы наблюдали толпы солдат, отбившихся от своих частей, бросивших свое вооружение. На все расспросы они отвечали одной фразой: «Аллес капут», т. е. всё кончено. Наша дивизия также понесла громадные потери и все время откатывается назад. Многие солдаты начинают понимать, что дело идёт к катастрофе всей немецкой армии».</w:t>
      </w:r>
    </w:p>
    <w:p w14:paraId="5DA40397" w14:textId="77777777" w:rsidR="006E7509" w:rsidRPr="007224C3" w:rsidRDefault="006E75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Жители посёлка Дзержинск, Житомирской области, рассказали о зверствах немецко-фашистских мерзавцев и их венгерских сообщников: «15-го декабря 1943 года несколько сот венгерских солдат оцепили местечко Дзержинск. Венгры вместе с немецкими полицейскими обходили дом за домом и забирали всех мужчин в возрастеот 14 до 70 лет. В этот день гитлеровцы арестовали несколько сот мирных жителейи отправили их в концлагерь в Шепетовку. В лагере находилось более пяти тысяч мирных жителей, в том числе женщины и дети. В кошмарных условиях мы провели три недели. От голода люди стали, как тени, и с трудом передвигали ноги. В начале января гитлеровцы погнали всех заключённых на запад. Обессилевшие старики, женщины и дети отставали и не могли идти дальше. Немцы и венгры безжалостно избивали их плётками и прикладами, а совсем слабых расстреливали на виду у всей колонны» (15055).</w:t>
      </w:r>
    </w:p>
    <w:p w14:paraId="782AABD7" w14:textId="77777777" w:rsidR="006E7509" w:rsidRPr="007224C3" w:rsidRDefault="006E7509" w:rsidP="007224C3">
      <w:pPr>
        <w:spacing w:after="0" w:line="240" w:lineRule="auto"/>
        <w:jc w:val="both"/>
        <w:rPr>
          <w:rFonts w:ascii="Times New Roman" w:hAnsi="Times New Roman"/>
          <w:color w:val="000000" w:themeColor="text1"/>
          <w:sz w:val="16"/>
          <w:szCs w:val="16"/>
        </w:rPr>
      </w:pPr>
    </w:p>
    <w:p w14:paraId="180F5E34" w14:textId="77777777" w:rsidR="006E7509" w:rsidRPr="007224C3" w:rsidRDefault="006E75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 марта</w:t>
      </w:r>
      <w:r w:rsidRPr="007224C3">
        <w:rPr>
          <w:rFonts w:ascii="Times New Roman" w:hAnsi="Times New Roman"/>
          <w:color w:val="000000" w:themeColor="text1"/>
          <w:sz w:val="16"/>
          <w:szCs w:val="16"/>
        </w:rPr>
        <w:t xml:space="preserve"> в 1944 году после убийства генерала Ватутина маршал Жуков принимает на себя командование Первым Украинским фронтом (15055).</w:t>
      </w:r>
    </w:p>
    <w:p w14:paraId="209DB78D" w14:textId="77777777" w:rsidR="006E7509" w:rsidRPr="007224C3" w:rsidRDefault="006E7509" w:rsidP="007224C3">
      <w:pPr>
        <w:spacing w:after="0" w:line="240" w:lineRule="auto"/>
        <w:jc w:val="both"/>
        <w:rPr>
          <w:rFonts w:ascii="Times New Roman" w:hAnsi="Times New Roman"/>
          <w:color w:val="000000" w:themeColor="text1"/>
          <w:sz w:val="16"/>
          <w:szCs w:val="16"/>
        </w:rPr>
      </w:pPr>
    </w:p>
    <w:p w14:paraId="5D975AB6" w14:textId="77777777" w:rsidR="006E7509" w:rsidRPr="007224C3" w:rsidRDefault="006E75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 марта</w:t>
      </w:r>
      <w:r w:rsidRPr="007224C3">
        <w:rPr>
          <w:rFonts w:ascii="Times New Roman" w:hAnsi="Times New Roman"/>
          <w:color w:val="000000" w:themeColor="text1"/>
          <w:sz w:val="16"/>
          <w:szCs w:val="16"/>
        </w:rPr>
        <w:t xml:space="preserve"> в 1944 году завершение Ленинградско-Новгородской операции (15055).</w:t>
      </w:r>
    </w:p>
    <w:p w14:paraId="127FE4B1" w14:textId="77777777" w:rsidR="006E7509" w:rsidRPr="007224C3" w:rsidRDefault="006E7509" w:rsidP="007224C3">
      <w:pPr>
        <w:spacing w:after="0" w:line="240" w:lineRule="auto"/>
        <w:jc w:val="both"/>
        <w:rPr>
          <w:rFonts w:ascii="Times New Roman" w:hAnsi="Times New Roman"/>
          <w:color w:val="000000" w:themeColor="text1"/>
          <w:sz w:val="16"/>
          <w:szCs w:val="16"/>
        </w:rPr>
      </w:pPr>
    </w:p>
    <w:p w14:paraId="4F751558"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марта 1944 вышло Постановление ГКО № 5272 [О мерах по обеспечению маскировки и затруднении подслушивания оперативных телефонных разговоров штабов фронтов, армий, корпусов и прифронтовых железнодорожных участков.] (7194, 123-124,125-128).</w:t>
      </w:r>
    </w:p>
    <w:p w14:paraId="59C0AFE7"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0291014"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марта 1944 после убийства генерала Ватутина маршал Жуков принял на себя командование Первым Украинским фронтом (4962).</w:t>
      </w:r>
    </w:p>
    <w:p w14:paraId="525A9CF7"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944976E" w14:textId="77777777" w:rsidR="00792950" w:rsidRPr="007224C3" w:rsidRDefault="00792950"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Жизнь и внутренняя политика:</w:t>
      </w:r>
    </w:p>
    <w:p w14:paraId="57723FC9" w14:textId="77777777" w:rsidR="00792950" w:rsidRPr="007224C3" w:rsidRDefault="00792950"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505E05A" w14:textId="77777777" w:rsidR="00792950" w:rsidRPr="007224C3" w:rsidRDefault="0079295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марта 1944 г. "Правда" в официальном отчете по ленд-лизу сообщила, что объем продовольственных поставок союзников составил 3,5% от общих продовольственных запасов СССР в годы войны. С тех пор эта цифра без должного анализа и даже комментариев продолжает приводиться даже в, казалось бы, самых солидных работах. Тщетно искать в этих изданиях абсолютные цифры поставок со ссылками на советские источники (19582).</w:t>
      </w:r>
    </w:p>
    <w:p w14:paraId="5D7CD0D5" w14:textId="77777777" w:rsidR="00792950" w:rsidRPr="007224C3" w:rsidRDefault="00792950" w:rsidP="007224C3">
      <w:pPr>
        <w:spacing w:after="0" w:line="240" w:lineRule="auto"/>
        <w:jc w:val="both"/>
        <w:rPr>
          <w:rFonts w:ascii="Times New Roman" w:hAnsi="Times New Roman"/>
          <w:color w:val="000000" w:themeColor="text1"/>
          <w:sz w:val="16"/>
          <w:szCs w:val="16"/>
        </w:rPr>
      </w:pPr>
    </w:p>
    <w:p w14:paraId="18646A0D" w14:textId="77777777" w:rsidR="006E750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Внешняя политика:</w:t>
      </w:r>
    </w:p>
    <w:p w14:paraId="5F453310" w14:textId="77777777" w:rsidR="006E7509" w:rsidRPr="007224C3" w:rsidRDefault="006E7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CC4CB72" w14:textId="77777777" w:rsidR="006E7509" w:rsidRPr="007224C3" w:rsidRDefault="006E75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 марта</w:t>
      </w:r>
      <w:r w:rsidRPr="007224C3">
        <w:rPr>
          <w:rFonts w:ascii="Times New Roman" w:hAnsi="Times New Roman"/>
          <w:color w:val="000000" w:themeColor="text1"/>
          <w:sz w:val="16"/>
          <w:szCs w:val="16"/>
        </w:rPr>
        <w:t xml:space="preserve"> в 1944 году сообщение Информбюро Наркоминдела СССР «К вопросу о советско-финских отношениях», содержавшее условия перемирия, предъявленные Советским Союзом Финляндии (15055).</w:t>
      </w:r>
    </w:p>
    <w:p w14:paraId="24BDBE11" w14:textId="77777777" w:rsidR="006E7509" w:rsidRPr="007224C3" w:rsidRDefault="006E7509" w:rsidP="007224C3">
      <w:pPr>
        <w:spacing w:after="0" w:line="240" w:lineRule="auto"/>
        <w:jc w:val="both"/>
        <w:rPr>
          <w:rFonts w:ascii="Times New Roman" w:hAnsi="Times New Roman"/>
          <w:color w:val="000000" w:themeColor="text1"/>
          <w:sz w:val="16"/>
          <w:szCs w:val="16"/>
        </w:rPr>
      </w:pPr>
    </w:p>
    <w:p w14:paraId="1E314A26"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63F6619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E0D769E" w14:textId="77777777" w:rsidR="004F13F4" w:rsidRPr="007224C3" w:rsidRDefault="004F13F4"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 марта 1944 года</w:t>
      </w:r>
    </w:p>
    <w:p w14:paraId="558C561A" w14:textId="77777777" w:rsidR="004F13F4" w:rsidRPr="007224C3" w:rsidRDefault="004F13F4"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Из распоряжения Альберта Шпеера от 1 марта 1944 года об учреждении Штаба по производству самолетов-истребителей</w:t>
      </w:r>
    </w:p>
    <w:p w14:paraId="03D000F6" w14:textId="77777777" w:rsidR="004F13F4" w:rsidRPr="007224C3" w:rsidRDefault="004F13F4"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 xml:space="preserve">1. Для выполнения программы производства самолетов-истребителей при имперском министре вооружений и военного производства немедленно создается Штаб по производству истребителей пока сроком на шесть месяцев. </w:t>
      </w:r>
    </w:p>
    <w:p w14:paraId="5DC184DA" w14:textId="77777777" w:rsidR="004F13F4" w:rsidRPr="007224C3" w:rsidRDefault="004F13F4"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Его задача — отдавать без бюрократических проволочек прямые приказы о восстановлении поврежденных предприятий или об их переводе.</w:t>
      </w:r>
    </w:p>
    <w:p w14:paraId="641294D5" w14:textId="77777777" w:rsidR="004F13F4" w:rsidRPr="007224C3" w:rsidRDefault="004F13F4"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Эта задача, особенно когда речь идет о строительных работах, стала в последнее время одной из важнейших</w:t>
      </w:r>
    </w:p>
    <w:p w14:paraId="37E48FF6" w14:textId="77777777" w:rsidR="004F13F4" w:rsidRPr="007224C3" w:rsidRDefault="004F13F4"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 Поэтому устранение ущерба, нанесенного в результате бомбардировок в городах, меры по противовоздушной обороне, а также другие оборонные стройки надо ставить на второй план. Исключением является только производство подшипников, строительство бетонных взлетных полос для дневных и ночных истребителей, коммунальное снабжение (газ, вода, электричество), а также средства транспорта в разрушенных бомбежками городах.</w:t>
      </w:r>
    </w:p>
    <w:p w14:paraId="5673AF60" w14:textId="77777777" w:rsidR="004F13F4" w:rsidRPr="007224C3" w:rsidRDefault="004F13F4"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На строительные работы надо привлекать имеющихся в Германии строительных рабочих, невзирая на возможное оголение других участков.</w:t>
      </w:r>
    </w:p>
    <w:p w14:paraId="2F1BDC01" w14:textId="77777777" w:rsidR="004F13F4" w:rsidRPr="007224C3" w:rsidRDefault="004F13F4"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 Штаб истребителей состоит из следующих лиц:</w:t>
      </w:r>
    </w:p>
    <w:p w14:paraId="5AD3DBF1" w14:textId="77777777" w:rsidR="004F13F4" w:rsidRPr="007224C3" w:rsidRDefault="004F13F4"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Руководство:</w:t>
      </w:r>
    </w:p>
    <w:p w14:paraId="0CA994A1" w14:textId="77777777" w:rsidR="004F13F4" w:rsidRPr="007224C3" w:rsidRDefault="004F13F4"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имперский министр Шпеер, генерал-фельдмаршал Мильх, их заместитель, он же начальник штаба, г-н Заур.</w:t>
      </w:r>
    </w:p>
    <w:p w14:paraId="60B7A36D" w14:textId="77777777" w:rsidR="004F13F4" w:rsidRPr="007224C3" w:rsidRDefault="004F13F4"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Члены:</w:t>
      </w:r>
    </w:p>
    <w:p w14:paraId="00057C9F" w14:textId="77777777" w:rsidR="004F13F4" w:rsidRPr="007224C3" w:rsidRDefault="004F13F4"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ответственный за строительные работы — дипломированный инженер Шлемп.</w:t>
      </w:r>
    </w:p>
    <w:p w14:paraId="6D8A8214" w14:textId="77777777" w:rsidR="004F13F4" w:rsidRPr="007224C3" w:rsidRDefault="004F13F4"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ответственный за строительные работы особой важности— группенфюрер СС инженер д-р Камлер.</w:t>
      </w:r>
    </w:p>
    <w:p w14:paraId="75AD1A72" w14:textId="77777777" w:rsidR="004F13F4" w:rsidRPr="007224C3" w:rsidRDefault="004F13F4"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ответственный за планирование строительства — дипломированный инженер Вегенер,</w:t>
      </w:r>
    </w:p>
    <w:p w14:paraId="0CDC85AC" w14:textId="77777777" w:rsidR="004F13F4" w:rsidRPr="007224C3" w:rsidRDefault="004F13F4"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ответственный за поставки материалов — д-р Шааф,</w:t>
      </w:r>
    </w:p>
    <w:p w14:paraId="0300CD83" w14:textId="77777777" w:rsidR="004F13F4" w:rsidRPr="007224C3" w:rsidRDefault="004F13F4"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 секретном распоряжении Геринга о создании Штаба истребителей от 4 марта 1944 г. по этому поводу говорится: «Если речь идет о создании защищенных от бомбардировок заводов в больших пещерах и штольнях, имперский министр вооружений и военного производства привлекает для проведения необходимых строительных работ рейхсфюрера СС... Рейхсфюрер СС выделяет для строительства и работы на заводах в качестве вспомогательной рабочей силы необходимое число заключенных».</w:t>
      </w:r>
    </w:p>
    <w:p w14:paraId="50D8CCA4" w14:textId="77777777" w:rsidR="004F13F4" w:rsidRPr="007224C3" w:rsidRDefault="004F13F4"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Руководящим сотрудником Шлемпа был Генрих Любке.</w:t>
      </w:r>
    </w:p>
    <w:p w14:paraId="282F964F" w14:textId="77777777" w:rsidR="004F13F4" w:rsidRPr="007224C3" w:rsidRDefault="004F13F4"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ответственный за использование рабочей силы — д-р Шмельтер,</w:t>
      </w:r>
    </w:p>
    <w:p w14:paraId="44A6204D" w14:textId="77777777" w:rsidR="004F13F4" w:rsidRPr="007224C3" w:rsidRDefault="004F13F4"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ответственный за конфискацию переводимых в другие места объектов — советник Хубер,</w:t>
      </w:r>
    </w:p>
    <w:p w14:paraId="34320E61" w14:textId="77777777" w:rsidR="004F13F4" w:rsidRPr="007224C3" w:rsidRDefault="004F13F4"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ответственный за транспорт — начальник транспортных средств имперского министерства вооружений и военного производства Нагель,</w:t>
      </w:r>
    </w:p>
    <w:p w14:paraId="7F5E61FF" w14:textId="77777777" w:rsidR="004F13F4" w:rsidRPr="007224C3" w:rsidRDefault="004F13F4"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ответственный за снабжение электроэнергией — генеральный директор, дипломированный инженер Фишер.</w:t>
      </w:r>
    </w:p>
    <w:p w14:paraId="62E26DC5" w14:textId="77777777" w:rsidR="004F13F4" w:rsidRPr="007224C3" w:rsidRDefault="004F13F4"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Решения Штаба истребителей равнозначны распоряжениям имперского министра вооружений и военного производства, а также имперского министра воздушных сообщений и главнокомандующего ВВС (генерального инспектора по снабжению ВВС). Обработка документации осуществляется отдельными членами Штаба истребителей, которые -ставят на своих обычных бланках такое дополнение: «Штаб по производству самолетов-истребителей».</w:t>
      </w:r>
    </w:p>
    <w:p w14:paraId="2399FB68" w14:textId="77777777" w:rsidR="004F13F4" w:rsidRPr="007224C3" w:rsidRDefault="004F13F4"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Если -при производстве самолетов и их -поставках, при перемещении производства и использовании рабочей силы (возникнет необходимость воспользоваться средствами армии или (военно-морского флота, соответствующие члены Штаба истребителей должны получить на это согласие соответствующего начальника управления имперского министерства вооружений и военного производства, который в случае необходимости принимает решение.</w:t>
      </w:r>
    </w:p>
    <w:p w14:paraId="654E7A47" w14:textId="77777777" w:rsidR="004F13F4" w:rsidRPr="007224C3" w:rsidRDefault="004F13F4"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 xml:space="preserve">3. Штаб истребителей создает свои бюро на тех заводах, где это необходимо. Начальник штаба назначает </w:t>
      </w:r>
    </w:p>
    <w:p w14:paraId="0EB5EA29" w14:textId="77777777" w:rsidR="004F13F4" w:rsidRPr="007224C3" w:rsidRDefault="004F13F4"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руководителями этих бюро людей, которые не являются членами штаба.</w:t>
      </w:r>
    </w:p>
    <w:p w14:paraId="73E4DDBD" w14:textId="77777777" w:rsidR="004F13F4" w:rsidRPr="007224C3" w:rsidRDefault="004F13F4"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НЦА, Потсдам, Имперское министерство экономики,</w:t>
      </w:r>
    </w:p>
    <w:p w14:paraId="2E1B9A5E" w14:textId="77777777" w:rsidR="004F13F4" w:rsidRPr="007224C3" w:rsidRDefault="004F13F4"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 20308, л. 110—111 (20478).</w:t>
      </w:r>
    </w:p>
    <w:p w14:paraId="73FDC19E" w14:textId="77777777" w:rsidR="004F13F4" w:rsidRPr="007224C3" w:rsidRDefault="004F13F4" w:rsidP="007224C3">
      <w:pPr>
        <w:spacing w:after="0" w:line="240" w:lineRule="auto"/>
        <w:jc w:val="both"/>
        <w:rPr>
          <w:rFonts w:ascii="Times New Roman" w:hAnsi="Times New Roman"/>
          <w:color w:val="0070C0"/>
          <w:sz w:val="16"/>
          <w:szCs w:val="16"/>
        </w:rPr>
      </w:pPr>
    </w:p>
    <w:p w14:paraId="0175B5B1" w14:textId="77777777" w:rsidR="004F13F4" w:rsidRPr="007224C3" w:rsidRDefault="004F13F4"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lastRenderedPageBreak/>
        <w:t>1 марта 1944 первый полет Horten H.IX V1, планера без двигателя, который был первым прототипом Horten Ho 229 (20373).</w:t>
      </w:r>
    </w:p>
    <w:p w14:paraId="1BC7FDA0" w14:textId="77777777" w:rsidR="004F13F4" w:rsidRPr="007224C3" w:rsidRDefault="004F13F4" w:rsidP="007224C3">
      <w:pPr>
        <w:spacing w:after="0" w:line="240" w:lineRule="auto"/>
        <w:jc w:val="both"/>
        <w:rPr>
          <w:rFonts w:ascii="Times New Roman" w:hAnsi="Times New Roman"/>
          <w:color w:val="0070C0"/>
          <w:sz w:val="16"/>
          <w:szCs w:val="16"/>
        </w:rPr>
      </w:pPr>
    </w:p>
    <w:p w14:paraId="1C7E7DC1" w14:textId="77777777" w:rsidR="004F13F4" w:rsidRPr="007224C3" w:rsidRDefault="004F13F4"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1–2 марта (ночь) 1944 557 британских бомбардировщиков атакуют Штутгарт, Германия. Из-за сильной облачности, мешающей перехвату немецких ночных истребителей, только четыре бомбардировщика (0,7 процента) не смогли вернуться (20373).</w:t>
      </w:r>
    </w:p>
    <w:p w14:paraId="3BAB06CB" w14:textId="77777777" w:rsidR="004F13F4" w:rsidRPr="007224C3" w:rsidRDefault="004F13F4" w:rsidP="007224C3">
      <w:pPr>
        <w:spacing w:after="0" w:line="240" w:lineRule="auto"/>
        <w:jc w:val="both"/>
        <w:rPr>
          <w:rFonts w:ascii="Times New Roman" w:hAnsi="Times New Roman"/>
          <w:color w:val="0070C0"/>
          <w:sz w:val="16"/>
          <w:szCs w:val="16"/>
        </w:rPr>
      </w:pPr>
    </w:p>
    <w:p w14:paraId="7E0A596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марта 1944 г. со штабом 65-го армейского корпуса было проведено командно-штабное учение. Темой учения стал внезапный массированный удар по Англии V1, V2, бомбардировочной авиацией и дальнобойной артиллерией.</w:t>
      </w:r>
    </w:p>
    <w:p w14:paraId="6E15DC0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мая 1944 г. верховное главнокомандование вермахта отдало приказ на боевое применение крылатых ракет V1. Интересно, что в разгар подготовки союзников к высадке во Франции объектами ракетного поражения были выбраны не районы скопления войск и военные заводы, а города с мирным населением. Не изменились эти цели и после высадки первых эшелонов союзного десанта в Нормандии, хотя генерал Эйзенхауэр в своих мемуарах писал, что если бы немецкие ракетчики ударили по району Портсмут–Саутгемптон (район сосредоточения войск вторжения), то операция «Оверлорд» могла бы и не состояться (11686).</w:t>
      </w:r>
    </w:p>
    <w:p w14:paraId="57A6D72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699C313"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43DD6EB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0EC5E62" w14:textId="77777777" w:rsidR="00282955" w:rsidRPr="007224C3" w:rsidRDefault="00282955" w:rsidP="007224C3">
      <w:pPr>
        <w:pStyle w:val="27"/>
        <w:shd w:val="clear" w:color="auto" w:fill="auto"/>
        <w:spacing w:after="0" w:line="240" w:lineRule="auto"/>
        <w:ind w:firstLine="0"/>
        <w:rPr>
          <w:rFonts w:ascii="Times New Roman" w:cs="Times New Roman"/>
          <w:color w:val="000000" w:themeColor="text1"/>
          <w:spacing w:val="0"/>
        </w:rPr>
      </w:pPr>
      <w:r w:rsidRPr="007224C3">
        <w:rPr>
          <w:rFonts w:ascii="Times New Roman" w:cs="Times New Roman"/>
          <w:color w:val="000000" w:themeColor="text1"/>
          <w:spacing w:val="0"/>
        </w:rPr>
        <w:t>2 марта 1944 материалы совещания у на</w:t>
      </w:r>
      <w:r w:rsidRPr="007224C3">
        <w:rPr>
          <w:rFonts w:ascii="Times New Roman" w:cs="Times New Roman"/>
          <w:color w:val="000000" w:themeColor="text1"/>
          <w:spacing w:val="0"/>
        </w:rPr>
        <w:softHyphen/>
        <w:t>чальника Управления заказов самолетов и моторов ГУЗ ВВС генерал-майора Алексеева («по вопросу живучести брони самолета Ил-2 и в какой степени принятая схема бронирова</w:t>
      </w:r>
      <w:r w:rsidRPr="007224C3">
        <w:rPr>
          <w:rFonts w:ascii="Times New Roman" w:cs="Times New Roman"/>
          <w:color w:val="000000" w:themeColor="text1"/>
          <w:spacing w:val="0"/>
        </w:rPr>
        <w:softHyphen/>
        <w:t>ния обеспечивает защиту жизненно важных аг</w:t>
      </w:r>
      <w:r w:rsidRPr="007224C3">
        <w:rPr>
          <w:rFonts w:ascii="Times New Roman" w:cs="Times New Roman"/>
          <w:color w:val="000000" w:themeColor="text1"/>
          <w:spacing w:val="0"/>
        </w:rPr>
        <w:softHyphen/>
        <w:t>регатов и экипажа от воздушного и наземного огня противника») были доложены генералу Лапину.</w:t>
      </w:r>
    </w:p>
    <w:p w14:paraId="26EDA687" w14:textId="77777777" w:rsidR="00282955" w:rsidRPr="007224C3" w:rsidRDefault="00282955" w:rsidP="007224C3">
      <w:pPr>
        <w:pStyle w:val="27"/>
        <w:shd w:val="clear" w:color="auto" w:fill="auto"/>
        <w:spacing w:after="0" w:line="240" w:lineRule="auto"/>
        <w:ind w:firstLine="0"/>
        <w:rPr>
          <w:rFonts w:ascii="Times New Roman" w:cs="Times New Roman"/>
          <w:color w:val="000000" w:themeColor="text1"/>
          <w:spacing w:val="0"/>
        </w:rPr>
      </w:pPr>
      <w:r w:rsidRPr="007224C3">
        <w:rPr>
          <w:rFonts w:ascii="Times New Roman" w:cs="Times New Roman"/>
          <w:color w:val="000000" w:themeColor="text1"/>
          <w:spacing w:val="0"/>
        </w:rPr>
        <w:t>Ведущий инженер 5-го отдела Управления заказов самолетов и моторов ГУЗ ВВС инже</w:t>
      </w:r>
      <w:r w:rsidRPr="007224C3">
        <w:rPr>
          <w:rFonts w:ascii="Times New Roman" w:cs="Times New Roman"/>
          <w:color w:val="000000" w:themeColor="text1"/>
          <w:spacing w:val="0"/>
        </w:rPr>
        <w:softHyphen/>
        <w:t>нер-майор Фридман доложил результаты об</w:t>
      </w:r>
      <w:r w:rsidRPr="007224C3">
        <w:rPr>
          <w:rFonts w:ascii="Times New Roman" w:cs="Times New Roman"/>
          <w:color w:val="000000" w:themeColor="text1"/>
          <w:spacing w:val="0"/>
        </w:rPr>
        <w:softHyphen/>
        <w:t>следования самолетов Ил-2 в частях 17-й ВА. Из 120 осмотренных штурмовиков у 36 име</w:t>
      </w:r>
      <w:r w:rsidRPr="007224C3">
        <w:rPr>
          <w:rFonts w:ascii="Times New Roman" w:cs="Times New Roman"/>
          <w:color w:val="000000" w:themeColor="text1"/>
          <w:spacing w:val="0"/>
        </w:rPr>
        <w:softHyphen/>
        <w:t>лись 70 поражений бронекорпуса. Сквозные поражения гомогенной брони (4-6 мм) от бро</w:t>
      </w:r>
      <w:r w:rsidRPr="007224C3">
        <w:rPr>
          <w:rFonts w:ascii="Times New Roman" w:cs="Times New Roman"/>
          <w:color w:val="000000" w:themeColor="text1"/>
          <w:spacing w:val="0"/>
        </w:rPr>
        <w:softHyphen/>
        <w:t>небойных пуль калибра 7,92 мм наблюдались только от попадания под углами, близкими к нормали. Не было ни одного хрупкого разру</w:t>
      </w:r>
      <w:r w:rsidRPr="007224C3">
        <w:rPr>
          <w:rFonts w:ascii="Times New Roman" w:cs="Times New Roman"/>
          <w:color w:val="000000" w:themeColor="text1"/>
          <w:spacing w:val="0"/>
        </w:rPr>
        <w:softHyphen/>
        <w:t>шения брони от попадания пуль и снарядов. Из общего числа поражений брони 42 прихо</w:t>
      </w:r>
      <w:r w:rsidRPr="007224C3">
        <w:rPr>
          <w:rFonts w:ascii="Times New Roman" w:cs="Times New Roman"/>
          <w:color w:val="000000" w:themeColor="text1"/>
          <w:spacing w:val="0"/>
        </w:rPr>
        <w:softHyphen/>
        <w:t>дилось на крупнокалиберные пули и снаряды, сделавшие в броне сквозные пробоины. При этом наибольшая частота попаданий наблю</w:t>
      </w:r>
      <w:r w:rsidRPr="007224C3">
        <w:rPr>
          <w:rFonts w:ascii="Times New Roman" w:cs="Times New Roman"/>
          <w:color w:val="000000" w:themeColor="text1"/>
          <w:spacing w:val="0"/>
        </w:rPr>
        <w:softHyphen/>
        <w:t>далась в районе бронекапота мотора (все от зенитного огня). На осмотренных машинах зафиксировали 49 попаданий, из которых 27 приходилось на нижние боковые стенки ка</w:t>
      </w:r>
      <w:r w:rsidRPr="007224C3">
        <w:rPr>
          <w:rFonts w:ascii="Times New Roman" w:cs="Times New Roman"/>
          <w:color w:val="000000" w:themeColor="text1"/>
          <w:spacing w:val="0"/>
        </w:rPr>
        <w:softHyphen/>
        <w:t>пота мотора. Сквозные пробоины в броне ка</w:t>
      </w:r>
      <w:r w:rsidRPr="007224C3">
        <w:rPr>
          <w:rFonts w:ascii="Times New Roman" w:cs="Times New Roman"/>
          <w:color w:val="000000" w:themeColor="text1"/>
          <w:spacing w:val="0"/>
        </w:rPr>
        <w:softHyphen/>
        <w:t>пота мотора составили 67% от общего числа попаданий.</w:t>
      </w:r>
    </w:p>
    <w:p w14:paraId="061A431E" w14:textId="77777777" w:rsidR="00282955" w:rsidRPr="007224C3" w:rsidRDefault="00282955" w:rsidP="007224C3">
      <w:pPr>
        <w:pStyle w:val="27"/>
        <w:shd w:val="clear" w:color="auto" w:fill="auto"/>
        <w:spacing w:after="0" w:line="240" w:lineRule="auto"/>
        <w:ind w:firstLine="0"/>
        <w:rPr>
          <w:rFonts w:ascii="Times New Roman" w:cs="Times New Roman"/>
          <w:color w:val="000000" w:themeColor="text1"/>
          <w:spacing w:val="0"/>
        </w:rPr>
      </w:pPr>
      <w:r w:rsidRPr="007224C3">
        <w:rPr>
          <w:rFonts w:ascii="Times New Roman" w:cs="Times New Roman"/>
          <w:color w:val="000000" w:themeColor="text1"/>
          <w:spacing w:val="0"/>
        </w:rPr>
        <w:t>Защиту стрелка признали совершенно недостаточной: он не был защищен снизу и с боков. Немецкие истребители, используя ог</w:t>
      </w:r>
      <w:r w:rsidRPr="007224C3">
        <w:rPr>
          <w:rFonts w:ascii="Times New Roman" w:cs="Times New Roman"/>
          <w:color w:val="000000" w:themeColor="text1"/>
          <w:spacing w:val="0"/>
        </w:rPr>
        <w:softHyphen/>
        <w:t>раниченный сектор обстрела задней точки по горизонтали и особенно вниз, атаковали Ил-2 сзади снизу и сзади сбоку. При полетах на ма</w:t>
      </w:r>
      <w:r w:rsidRPr="007224C3">
        <w:rPr>
          <w:rFonts w:ascii="Times New Roman" w:cs="Times New Roman"/>
          <w:color w:val="000000" w:themeColor="text1"/>
          <w:spacing w:val="0"/>
        </w:rPr>
        <w:softHyphen/>
        <w:t>лых высотах кабина стрелка, помимо малока</w:t>
      </w:r>
      <w:r w:rsidRPr="007224C3">
        <w:rPr>
          <w:rFonts w:ascii="Times New Roman" w:cs="Times New Roman"/>
          <w:color w:val="000000" w:themeColor="text1"/>
          <w:spacing w:val="0"/>
        </w:rPr>
        <w:softHyphen/>
        <w:t>либерной зенитной артиллерии, поражалась огнем пехоты.</w:t>
      </w:r>
    </w:p>
    <w:p w14:paraId="388D809C" w14:textId="77777777" w:rsidR="00282955" w:rsidRPr="007224C3" w:rsidRDefault="00282955" w:rsidP="007224C3">
      <w:pPr>
        <w:pStyle w:val="27"/>
        <w:shd w:val="clear" w:color="auto" w:fill="auto"/>
        <w:spacing w:after="0" w:line="240" w:lineRule="auto"/>
        <w:ind w:firstLine="0"/>
        <w:rPr>
          <w:rFonts w:ascii="Times New Roman" w:cs="Times New Roman"/>
          <w:color w:val="000000" w:themeColor="text1"/>
          <w:spacing w:val="0"/>
        </w:rPr>
      </w:pPr>
      <w:r w:rsidRPr="007224C3">
        <w:rPr>
          <w:rFonts w:ascii="Times New Roman" w:cs="Times New Roman"/>
          <w:color w:val="000000" w:themeColor="text1"/>
          <w:spacing w:val="0"/>
        </w:rPr>
        <w:t>Весьма уязвимыми от зенитного и воз</w:t>
      </w:r>
      <w:r w:rsidRPr="007224C3">
        <w:rPr>
          <w:rFonts w:ascii="Times New Roman" w:cs="Times New Roman"/>
          <w:color w:val="000000" w:themeColor="text1"/>
          <w:spacing w:val="0"/>
        </w:rPr>
        <w:softHyphen/>
        <w:t>душного огня, а также от осколков снарядов являлись передняя и задняя части бронекор- зины водо- и маслорадиаторов. Обтекатель и передняя бронезаслонка бронекорзины часто поражались зенитным огнем, а задняя броне</w:t>
      </w:r>
      <w:r w:rsidRPr="007224C3">
        <w:rPr>
          <w:rFonts w:ascii="Times New Roman" w:cs="Times New Roman"/>
          <w:color w:val="000000" w:themeColor="text1"/>
          <w:spacing w:val="0"/>
        </w:rPr>
        <w:softHyphen/>
        <w:t>заслонка - огнем истребителей.</w:t>
      </w:r>
    </w:p>
    <w:p w14:paraId="278BA8AE" w14:textId="77777777" w:rsidR="00282955" w:rsidRPr="007224C3" w:rsidRDefault="00282955" w:rsidP="007224C3">
      <w:pPr>
        <w:pStyle w:val="27"/>
        <w:shd w:val="clear" w:color="auto" w:fill="auto"/>
        <w:spacing w:after="0" w:line="240" w:lineRule="auto"/>
        <w:ind w:firstLine="0"/>
        <w:rPr>
          <w:rFonts w:ascii="Times New Roman" w:cs="Times New Roman"/>
          <w:color w:val="000000" w:themeColor="text1"/>
          <w:spacing w:val="0"/>
        </w:rPr>
      </w:pPr>
      <w:r w:rsidRPr="007224C3">
        <w:rPr>
          <w:rFonts w:ascii="Times New Roman" w:cs="Times New Roman"/>
          <w:color w:val="000000" w:themeColor="text1"/>
          <w:spacing w:val="0"/>
        </w:rPr>
        <w:t>Наряду с деталями бронирования,</w:t>
      </w:r>
      <w:r w:rsidRPr="007224C3">
        <w:rPr>
          <w:rStyle w:val="aff7"/>
          <w:rFonts w:ascii="Times New Roman" w:hAnsi="Times New Roman" w:cs="Times New Roman"/>
          <w:i w:val="0"/>
          <w:color w:val="000000" w:themeColor="text1"/>
          <w:spacing w:val="0"/>
        </w:rPr>
        <w:t xml:space="preserve"> «под</w:t>
      </w:r>
      <w:r w:rsidRPr="007224C3">
        <w:rPr>
          <w:rStyle w:val="aff7"/>
          <w:rFonts w:ascii="Times New Roman" w:hAnsi="Times New Roman" w:cs="Times New Roman"/>
          <w:i w:val="0"/>
          <w:color w:val="000000" w:themeColor="text1"/>
          <w:spacing w:val="0"/>
        </w:rPr>
        <w:softHyphen/>
        <w:t>вергающимися наиболее интенсивному воз</w:t>
      </w:r>
      <w:r w:rsidRPr="007224C3">
        <w:rPr>
          <w:rStyle w:val="aff7"/>
          <w:rFonts w:ascii="Times New Roman" w:hAnsi="Times New Roman" w:cs="Times New Roman"/>
          <w:i w:val="0"/>
          <w:color w:val="000000" w:themeColor="text1"/>
          <w:spacing w:val="0"/>
        </w:rPr>
        <w:softHyphen/>
        <w:t>действию наземного и воздушного огня/.../, в бронекорпусах Ил-2 имеются детали, попа</w:t>
      </w:r>
      <w:r w:rsidRPr="007224C3">
        <w:rPr>
          <w:rStyle w:val="aff7"/>
          <w:rFonts w:ascii="Times New Roman" w:hAnsi="Times New Roman" w:cs="Times New Roman"/>
          <w:i w:val="0"/>
          <w:color w:val="000000" w:themeColor="text1"/>
          <w:spacing w:val="0"/>
        </w:rPr>
        <w:softHyphen/>
        <w:t>дание в которые вовсе не имеют место, либо крайне редки».</w:t>
      </w:r>
      <w:r w:rsidRPr="007224C3">
        <w:rPr>
          <w:rFonts w:ascii="Times New Roman" w:cs="Times New Roman"/>
          <w:color w:val="000000" w:themeColor="text1"/>
          <w:spacing w:val="0"/>
        </w:rPr>
        <w:t xml:space="preserve"> Такими элементами бронекор</w:t>
      </w:r>
      <w:r w:rsidRPr="007224C3">
        <w:rPr>
          <w:rFonts w:ascii="Times New Roman" w:cs="Times New Roman"/>
          <w:color w:val="000000" w:themeColor="text1"/>
          <w:spacing w:val="0"/>
        </w:rPr>
        <w:softHyphen/>
        <w:t>пуса являлись: бронедиск за втулкой винта (6 мм), вертикальный бронещиток под капотом за приборной доской (7 мм), верхняя броня капота (4 мм) и бронекабины (4 мм), боковая нижняя стенка корпуса в крыле (5 мм), ниж</w:t>
      </w:r>
      <w:r w:rsidRPr="007224C3">
        <w:rPr>
          <w:rFonts w:ascii="Times New Roman" w:cs="Times New Roman"/>
          <w:color w:val="000000" w:themeColor="text1"/>
          <w:spacing w:val="0"/>
        </w:rPr>
        <w:softHyphen/>
        <w:t>няя броня капота (4 мм), бронекабины (5 мм) и бронекорзины (6 мм).</w:t>
      </w:r>
    </w:p>
    <w:p w14:paraId="33D2E40B" w14:textId="77777777" w:rsidR="00282955" w:rsidRPr="007224C3" w:rsidRDefault="00282955" w:rsidP="007224C3">
      <w:pPr>
        <w:pStyle w:val="27"/>
        <w:shd w:val="clear" w:color="auto" w:fill="auto"/>
        <w:spacing w:after="0" w:line="240" w:lineRule="auto"/>
        <w:ind w:firstLine="0"/>
        <w:rPr>
          <w:rFonts w:ascii="Times New Roman" w:cs="Times New Roman"/>
          <w:color w:val="000000" w:themeColor="text1"/>
          <w:spacing w:val="0"/>
        </w:rPr>
      </w:pPr>
      <w:r w:rsidRPr="007224C3">
        <w:rPr>
          <w:rFonts w:ascii="Times New Roman" w:cs="Times New Roman"/>
          <w:color w:val="000000" w:themeColor="text1"/>
          <w:spacing w:val="0"/>
        </w:rPr>
        <w:t>Делался вывод, что качество брони само</w:t>
      </w:r>
      <w:r w:rsidRPr="007224C3">
        <w:rPr>
          <w:rFonts w:ascii="Times New Roman" w:cs="Times New Roman"/>
          <w:color w:val="000000" w:themeColor="text1"/>
          <w:spacing w:val="0"/>
        </w:rPr>
        <w:softHyphen/>
        <w:t>лета Ил-2 надежно обеспечивает защиту от бронебойных пуль калибра 7,92 мм, а цементо</w:t>
      </w:r>
      <w:r w:rsidRPr="007224C3">
        <w:rPr>
          <w:rFonts w:ascii="Times New Roman" w:cs="Times New Roman"/>
          <w:color w:val="000000" w:themeColor="text1"/>
          <w:spacing w:val="0"/>
        </w:rPr>
        <w:softHyphen/>
        <w:t>ванные детали толщиной 12 мм - от пуль кали</w:t>
      </w:r>
      <w:r w:rsidRPr="007224C3">
        <w:rPr>
          <w:rFonts w:ascii="Times New Roman" w:cs="Times New Roman"/>
          <w:color w:val="000000" w:themeColor="text1"/>
          <w:spacing w:val="0"/>
        </w:rPr>
        <w:softHyphen/>
        <w:t>бра 13 мм. Однако принятая схема бронирова</w:t>
      </w:r>
      <w:r w:rsidRPr="007224C3">
        <w:rPr>
          <w:rFonts w:ascii="Times New Roman" w:cs="Times New Roman"/>
          <w:color w:val="000000" w:themeColor="text1"/>
          <w:spacing w:val="0"/>
        </w:rPr>
        <w:softHyphen/>
        <w:t>ния Ил-2 в отношении распределения толщин и их абсолютной величины не обеспечивала защиты от пуль крупного калибра и бронебой</w:t>
      </w:r>
      <w:r w:rsidRPr="007224C3">
        <w:rPr>
          <w:rFonts w:ascii="Times New Roman" w:cs="Times New Roman"/>
          <w:color w:val="000000" w:themeColor="text1"/>
          <w:spacing w:val="0"/>
        </w:rPr>
        <w:softHyphen/>
        <w:t>ных снарядов.</w:t>
      </w:r>
    </w:p>
    <w:p w14:paraId="3C8342C1" w14:textId="77777777" w:rsidR="00282955" w:rsidRPr="007224C3" w:rsidRDefault="00282955" w:rsidP="007224C3">
      <w:pPr>
        <w:pStyle w:val="27"/>
        <w:shd w:val="clear" w:color="auto" w:fill="auto"/>
        <w:spacing w:after="0" w:line="240" w:lineRule="auto"/>
        <w:ind w:firstLine="0"/>
        <w:rPr>
          <w:rFonts w:ascii="Times New Roman" w:cs="Times New Roman"/>
          <w:color w:val="000000" w:themeColor="text1"/>
          <w:spacing w:val="0"/>
        </w:rPr>
      </w:pPr>
      <w:r w:rsidRPr="007224C3">
        <w:rPr>
          <w:rFonts w:ascii="Times New Roman" w:cs="Times New Roman"/>
          <w:color w:val="000000" w:themeColor="text1"/>
          <w:spacing w:val="0"/>
        </w:rPr>
        <w:t>С целью повышения живучести штурмови</w:t>
      </w:r>
      <w:r w:rsidRPr="007224C3">
        <w:rPr>
          <w:rFonts w:ascii="Times New Roman" w:cs="Times New Roman"/>
          <w:color w:val="000000" w:themeColor="text1"/>
          <w:spacing w:val="0"/>
        </w:rPr>
        <w:softHyphen/>
        <w:t>ка предлагалось, в первую очередь, усилить броню капота мотора, особенно его боковую нижнюю часть, защитить броней стрелка (глав</w:t>
      </w:r>
      <w:r w:rsidRPr="007224C3">
        <w:rPr>
          <w:rFonts w:ascii="Times New Roman" w:cs="Times New Roman"/>
          <w:color w:val="000000" w:themeColor="text1"/>
          <w:spacing w:val="0"/>
        </w:rPr>
        <w:softHyphen/>
        <w:t>ным образом снизу и с боков), а также увели</w:t>
      </w:r>
      <w:r w:rsidRPr="007224C3">
        <w:rPr>
          <w:rFonts w:ascii="Times New Roman" w:cs="Times New Roman"/>
          <w:color w:val="000000" w:themeColor="text1"/>
          <w:spacing w:val="0"/>
        </w:rPr>
        <w:softHyphen/>
        <w:t>чить толщину брони передней и задней што</w:t>
      </w:r>
      <w:r w:rsidRPr="007224C3">
        <w:rPr>
          <w:rFonts w:ascii="Times New Roman" w:cs="Times New Roman"/>
          <w:color w:val="000000" w:themeColor="text1"/>
          <w:spacing w:val="0"/>
        </w:rPr>
        <w:softHyphen/>
        <w:t>рок водо- и маслорадиатора и его обтекателя. Считалось целесообразным улучшить бро</w:t>
      </w:r>
      <w:r w:rsidRPr="007224C3">
        <w:rPr>
          <w:rFonts w:ascii="Times New Roman" w:cs="Times New Roman"/>
          <w:color w:val="000000" w:themeColor="text1"/>
          <w:spacing w:val="0"/>
        </w:rPr>
        <w:softHyphen/>
        <w:t>нирование Ил-2 без увеличения общего веса брони путем перераспределения толщины брони бронекорпуса. Для решения этой задачи рекомендовалось снять бронедетали, которые практически не «работали», и уменьшить тол</w:t>
      </w:r>
      <w:r w:rsidRPr="007224C3">
        <w:rPr>
          <w:rFonts w:ascii="Times New Roman" w:cs="Times New Roman"/>
          <w:color w:val="000000" w:themeColor="text1"/>
          <w:spacing w:val="0"/>
        </w:rPr>
        <w:softHyphen/>
        <w:t>щину брони нижних продольных элементов.</w:t>
      </w:r>
    </w:p>
    <w:p w14:paraId="12A4A7E7" w14:textId="77777777" w:rsidR="00282955" w:rsidRPr="007224C3" w:rsidRDefault="00282955" w:rsidP="007224C3">
      <w:pPr>
        <w:pStyle w:val="45"/>
        <w:shd w:val="clear" w:color="auto" w:fill="auto"/>
        <w:spacing w:before="0" w:line="240" w:lineRule="auto"/>
        <w:jc w:val="both"/>
        <w:rPr>
          <w:rFonts w:ascii="Times New Roman" w:cs="Times New Roman"/>
          <w:color w:val="000000" w:themeColor="text1"/>
          <w:sz w:val="16"/>
          <w:szCs w:val="16"/>
        </w:rPr>
      </w:pPr>
      <w:r w:rsidRPr="007224C3">
        <w:rPr>
          <w:rStyle w:val="4c"/>
          <w:rFonts w:ascii="Times New Roman" w:hAnsi="Times New Roman" w:cs="Times New Roman"/>
          <w:i w:val="0"/>
          <w:color w:val="000000" w:themeColor="text1"/>
          <w:sz w:val="16"/>
          <w:szCs w:val="16"/>
        </w:rPr>
        <w:t>По оценке,</w:t>
      </w:r>
      <w:r w:rsidRPr="007224C3">
        <w:rPr>
          <w:rFonts w:ascii="Times New Roman" w:cs="Times New Roman"/>
          <w:color w:val="000000" w:themeColor="text1"/>
          <w:sz w:val="16"/>
          <w:szCs w:val="16"/>
        </w:rPr>
        <w:t xml:space="preserve"> «в результате проведения этих мероприятий для усиления деталей капота, бронекорзины и дополнительного бронирова</w:t>
      </w:r>
      <w:r w:rsidRPr="007224C3">
        <w:rPr>
          <w:rFonts w:ascii="Times New Roman" w:cs="Times New Roman"/>
          <w:color w:val="000000" w:themeColor="text1"/>
          <w:sz w:val="16"/>
          <w:szCs w:val="16"/>
        </w:rPr>
        <w:softHyphen/>
        <w:t>ния стрелка освобождается 105-128 кг веса брони».</w:t>
      </w:r>
      <w:r w:rsidRPr="007224C3">
        <w:rPr>
          <w:rStyle w:val="aff1"/>
          <w:rFonts w:ascii="Times New Roman" w:hAnsi="Times New Roman" w:cs="Times New Roman"/>
          <w:color w:val="000000" w:themeColor="text1"/>
          <w:spacing w:val="0"/>
          <w:sz w:val="16"/>
          <w:szCs w:val="16"/>
        </w:rPr>
        <w:t xml:space="preserve"> Как отмечалось, такое распределе</w:t>
      </w:r>
      <w:r w:rsidRPr="007224C3">
        <w:rPr>
          <w:rStyle w:val="aff1"/>
          <w:rFonts w:ascii="Times New Roman" w:hAnsi="Times New Roman" w:cs="Times New Roman"/>
          <w:color w:val="000000" w:themeColor="text1"/>
          <w:spacing w:val="0"/>
          <w:sz w:val="16"/>
          <w:szCs w:val="16"/>
        </w:rPr>
        <w:softHyphen/>
        <w:t>ние брони не требовало существенных кон</w:t>
      </w:r>
      <w:r w:rsidRPr="007224C3">
        <w:rPr>
          <w:rStyle w:val="aff1"/>
          <w:rFonts w:ascii="Times New Roman" w:hAnsi="Times New Roman" w:cs="Times New Roman"/>
          <w:color w:val="000000" w:themeColor="text1"/>
          <w:spacing w:val="0"/>
          <w:sz w:val="16"/>
          <w:szCs w:val="16"/>
        </w:rPr>
        <w:softHyphen/>
        <w:t>структивных переделок машины и касалось в основном бронекорпусного производства, для которого внедрение в серию необходимых из</w:t>
      </w:r>
      <w:r w:rsidRPr="007224C3">
        <w:rPr>
          <w:rStyle w:val="aff1"/>
          <w:rFonts w:ascii="Times New Roman" w:hAnsi="Times New Roman" w:cs="Times New Roman"/>
          <w:color w:val="000000" w:themeColor="text1"/>
          <w:spacing w:val="0"/>
          <w:sz w:val="16"/>
          <w:szCs w:val="16"/>
        </w:rPr>
        <w:softHyphen/>
        <w:t>менений могло быть проведено в кратчайший срок без переделки оснастки.</w:t>
      </w:r>
    </w:p>
    <w:p w14:paraId="51CA0ED3" w14:textId="77777777" w:rsidR="00282955" w:rsidRPr="007224C3" w:rsidRDefault="00282955" w:rsidP="007224C3">
      <w:pPr>
        <w:pStyle w:val="45"/>
        <w:shd w:val="clear" w:color="auto" w:fill="auto"/>
        <w:spacing w:before="0" w:line="240" w:lineRule="auto"/>
        <w:jc w:val="both"/>
        <w:rPr>
          <w:rFonts w:ascii="Times New Roman" w:cs="Times New Roman"/>
          <w:color w:val="000000" w:themeColor="text1"/>
          <w:sz w:val="16"/>
          <w:szCs w:val="16"/>
        </w:rPr>
      </w:pPr>
      <w:r w:rsidRPr="007224C3">
        <w:rPr>
          <w:rStyle w:val="4c"/>
          <w:rFonts w:ascii="Times New Roman" w:hAnsi="Times New Roman" w:cs="Times New Roman"/>
          <w:i w:val="0"/>
          <w:color w:val="000000" w:themeColor="text1"/>
          <w:sz w:val="16"/>
          <w:szCs w:val="16"/>
        </w:rPr>
        <w:t>В ходе обсуждения доклада высказыва</w:t>
      </w:r>
      <w:r w:rsidRPr="007224C3">
        <w:rPr>
          <w:rStyle w:val="4c"/>
          <w:rFonts w:ascii="Times New Roman" w:hAnsi="Times New Roman" w:cs="Times New Roman"/>
          <w:i w:val="0"/>
          <w:color w:val="000000" w:themeColor="text1"/>
          <w:sz w:val="16"/>
          <w:szCs w:val="16"/>
        </w:rPr>
        <w:softHyphen/>
        <w:t>лись самые различные мнения, порой диаме</w:t>
      </w:r>
      <w:r w:rsidRPr="007224C3">
        <w:rPr>
          <w:rStyle w:val="4c"/>
          <w:rFonts w:ascii="Times New Roman" w:hAnsi="Times New Roman" w:cs="Times New Roman"/>
          <w:i w:val="0"/>
          <w:color w:val="000000" w:themeColor="text1"/>
          <w:sz w:val="16"/>
          <w:szCs w:val="16"/>
        </w:rPr>
        <w:softHyphen/>
        <w:t>трально противоположные. Так, инженер-май</w:t>
      </w:r>
      <w:r w:rsidRPr="007224C3">
        <w:rPr>
          <w:rStyle w:val="4c"/>
          <w:rFonts w:ascii="Times New Roman" w:hAnsi="Times New Roman" w:cs="Times New Roman"/>
          <w:i w:val="0"/>
          <w:color w:val="000000" w:themeColor="text1"/>
          <w:sz w:val="16"/>
          <w:szCs w:val="16"/>
        </w:rPr>
        <w:softHyphen/>
        <w:t xml:space="preserve">ор К.И. Шлямин в своем выступлении отметил: </w:t>
      </w:r>
      <w:r w:rsidRPr="007224C3">
        <w:rPr>
          <w:rFonts w:ascii="Times New Roman" w:cs="Times New Roman"/>
          <w:color w:val="000000" w:themeColor="text1"/>
          <w:sz w:val="16"/>
          <w:szCs w:val="16"/>
        </w:rPr>
        <w:t>«По вопросу перераспределения брони на самолете Ил-2 окончательное суждение мож</w:t>
      </w:r>
      <w:r w:rsidRPr="007224C3">
        <w:rPr>
          <w:rFonts w:ascii="Times New Roman" w:cs="Times New Roman"/>
          <w:color w:val="000000" w:themeColor="text1"/>
          <w:sz w:val="16"/>
          <w:szCs w:val="16"/>
        </w:rPr>
        <w:softHyphen/>
        <w:t>но вынести только при согласовании этого во</w:t>
      </w:r>
      <w:r w:rsidRPr="007224C3">
        <w:rPr>
          <w:rFonts w:ascii="Times New Roman" w:cs="Times New Roman"/>
          <w:color w:val="000000" w:themeColor="text1"/>
          <w:sz w:val="16"/>
          <w:szCs w:val="16"/>
        </w:rPr>
        <w:softHyphen/>
        <w:t>проса с отделом боевого применения. Для оп</w:t>
      </w:r>
      <w:r w:rsidRPr="007224C3">
        <w:rPr>
          <w:rFonts w:ascii="Times New Roman" w:cs="Times New Roman"/>
          <w:color w:val="000000" w:themeColor="text1"/>
          <w:sz w:val="16"/>
          <w:szCs w:val="16"/>
        </w:rPr>
        <w:softHyphen/>
        <w:t>ределения новых толщин и твердости брони, необходимо провести полигонные испытания. В настоящий момент в НИИ проходят испыта</w:t>
      </w:r>
      <w:r w:rsidRPr="007224C3">
        <w:rPr>
          <w:rFonts w:ascii="Times New Roman" w:cs="Times New Roman"/>
          <w:color w:val="000000" w:themeColor="text1"/>
          <w:sz w:val="16"/>
          <w:szCs w:val="16"/>
        </w:rPr>
        <w:softHyphen/>
        <w:t>ния бронекорпуса на живучесть. Испытание показывает неудовлетворительные результа</w:t>
      </w:r>
      <w:r w:rsidRPr="007224C3">
        <w:rPr>
          <w:rFonts w:ascii="Times New Roman" w:cs="Times New Roman"/>
          <w:color w:val="000000" w:themeColor="text1"/>
          <w:sz w:val="16"/>
          <w:szCs w:val="16"/>
        </w:rPr>
        <w:softHyphen/>
        <w:t>ты. Броня колется, трескается. Необходимо пересмотреть шкалу твердости для брони».</w:t>
      </w:r>
    </w:p>
    <w:p w14:paraId="4FA7A08C" w14:textId="77777777" w:rsidR="00282955" w:rsidRPr="007224C3" w:rsidRDefault="00282955" w:rsidP="007224C3">
      <w:pPr>
        <w:pStyle w:val="27"/>
        <w:shd w:val="clear" w:color="auto" w:fill="auto"/>
        <w:spacing w:after="0" w:line="240" w:lineRule="auto"/>
        <w:ind w:firstLine="0"/>
        <w:rPr>
          <w:rFonts w:ascii="Times New Roman" w:cs="Times New Roman"/>
          <w:color w:val="000000" w:themeColor="text1"/>
          <w:spacing w:val="0"/>
        </w:rPr>
      </w:pPr>
      <w:r w:rsidRPr="007224C3">
        <w:rPr>
          <w:rFonts w:ascii="Times New Roman" w:cs="Times New Roman"/>
          <w:color w:val="000000" w:themeColor="text1"/>
          <w:spacing w:val="0"/>
        </w:rPr>
        <w:t>Инженер-подполковник А.К. Огилько со</w:t>
      </w:r>
      <w:r w:rsidRPr="007224C3">
        <w:rPr>
          <w:rFonts w:ascii="Times New Roman" w:cs="Times New Roman"/>
          <w:color w:val="000000" w:themeColor="text1"/>
          <w:spacing w:val="0"/>
        </w:rPr>
        <w:softHyphen/>
        <w:t>глашался с необходимостью усиления бро</w:t>
      </w:r>
      <w:r w:rsidRPr="007224C3">
        <w:rPr>
          <w:rFonts w:ascii="Times New Roman" w:cs="Times New Roman"/>
          <w:color w:val="000000" w:themeColor="text1"/>
          <w:spacing w:val="0"/>
        </w:rPr>
        <w:softHyphen/>
        <w:t>ни стрелка, капота мотора и других деталей бронекорпуса, которые наиболее часто пора</w:t>
      </w:r>
      <w:r w:rsidRPr="007224C3">
        <w:rPr>
          <w:rFonts w:ascii="Times New Roman" w:cs="Times New Roman"/>
          <w:color w:val="000000" w:themeColor="text1"/>
          <w:spacing w:val="0"/>
        </w:rPr>
        <w:softHyphen/>
        <w:t>жались. Что же касаетс^перераспределения брони и снятия отдельных броневых деталей, то он считал, что</w:t>
      </w:r>
      <w:r w:rsidRPr="007224C3">
        <w:rPr>
          <w:rStyle w:val="aff7"/>
          <w:rFonts w:ascii="Times New Roman" w:hAnsi="Times New Roman" w:cs="Times New Roman"/>
          <w:i w:val="0"/>
          <w:color w:val="000000" w:themeColor="text1"/>
          <w:spacing w:val="0"/>
        </w:rPr>
        <w:t xml:space="preserve"> «этого сделать в настоящее время невозможно и нет необходимости»</w:t>
      </w:r>
      <w:r w:rsidRPr="007224C3">
        <w:rPr>
          <w:rFonts w:ascii="Times New Roman" w:cs="Times New Roman"/>
          <w:color w:val="000000" w:themeColor="text1"/>
          <w:spacing w:val="0"/>
        </w:rPr>
        <w:t xml:space="preserve"> и ре</w:t>
      </w:r>
      <w:r w:rsidRPr="007224C3">
        <w:rPr>
          <w:rFonts w:ascii="Times New Roman" w:cs="Times New Roman"/>
          <w:color w:val="000000" w:themeColor="text1"/>
          <w:spacing w:val="0"/>
        </w:rPr>
        <w:softHyphen/>
        <w:t>шительно возражал</w:t>
      </w:r>
      <w:r w:rsidRPr="007224C3">
        <w:rPr>
          <w:rStyle w:val="aff7"/>
          <w:rFonts w:ascii="Times New Roman" w:hAnsi="Times New Roman" w:cs="Times New Roman"/>
          <w:i w:val="0"/>
          <w:color w:val="000000" w:themeColor="text1"/>
          <w:spacing w:val="0"/>
        </w:rPr>
        <w:t xml:space="preserve"> «против снятия приборной бронеплиты, ибо приборы на самолете явля</w:t>
      </w:r>
      <w:r w:rsidRPr="007224C3">
        <w:rPr>
          <w:rStyle w:val="aff7"/>
          <w:rFonts w:ascii="Times New Roman" w:hAnsi="Times New Roman" w:cs="Times New Roman"/>
          <w:i w:val="0"/>
          <w:color w:val="000000" w:themeColor="text1"/>
          <w:spacing w:val="0"/>
        </w:rPr>
        <w:softHyphen/>
        <w:t>ются жизненно важной частью».</w:t>
      </w:r>
    </w:p>
    <w:p w14:paraId="6CC70A46" w14:textId="77777777" w:rsidR="00282955" w:rsidRPr="007224C3" w:rsidRDefault="00282955" w:rsidP="007224C3">
      <w:pPr>
        <w:pStyle w:val="45"/>
        <w:shd w:val="clear" w:color="auto" w:fill="auto"/>
        <w:spacing w:before="0" w:line="240" w:lineRule="auto"/>
        <w:jc w:val="both"/>
        <w:rPr>
          <w:rFonts w:ascii="Times New Roman" w:cs="Times New Roman"/>
          <w:color w:val="000000" w:themeColor="text1"/>
          <w:sz w:val="16"/>
          <w:szCs w:val="16"/>
        </w:rPr>
      </w:pPr>
      <w:r w:rsidRPr="007224C3">
        <w:rPr>
          <w:rStyle w:val="4c"/>
          <w:rFonts w:ascii="Times New Roman" w:hAnsi="Times New Roman" w:cs="Times New Roman"/>
          <w:i w:val="0"/>
          <w:color w:val="000000" w:themeColor="text1"/>
          <w:sz w:val="16"/>
          <w:szCs w:val="16"/>
        </w:rPr>
        <w:t>Инженер-майор Игнашев обратил внимание присутствующих на следующее:</w:t>
      </w:r>
      <w:r w:rsidRPr="007224C3">
        <w:rPr>
          <w:rFonts w:ascii="Times New Roman" w:cs="Times New Roman"/>
          <w:color w:val="000000" w:themeColor="text1"/>
          <w:sz w:val="16"/>
          <w:szCs w:val="16"/>
        </w:rPr>
        <w:t xml:space="preserve"> «Вопрос бро</w:t>
      </w:r>
      <w:r w:rsidRPr="007224C3">
        <w:rPr>
          <w:rFonts w:ascii="Times New Roman" w:cs="Times New Roman"/>
          <w:color w:val="000000" w:themeColor="text1"/>
          <w:sz w:val="16"/>
          <w:szCs w:val="16"/>
        </w:rPr>
        <w:softHyphen/>
        <w:t>нирования стрелка на самолете Ил-2 ясен для всех. Стрелок забронирован плохо. Работа, про</w:t>
      </w:r>
      <w:r w:rsidRPr="007224C3">
        <w:rPr>
          <w:rFonts w:ascii="Times New Roman" w:cs="Times New Roman"/>
          <w:color w:val="000000" w:themeColor="text1"/>
          <w:sz w:val="16"/>
          <w:szCs w:val="16"/>
        </w:rPr>
        <w:softHyphen/>
        <w:t>веденная т. Фридманом, очень ценная, инже</w:t>
      </w:r>
      <w:r w:rsidRPr="007224C3">
        <w:rPr>
          <w:rFonts w:ascii="Times New Roman" w:cs="Times New Roman"/>
          <w:color w:val="000000" w:themeColor="text1"/>
          <w:sz w:val="16"/>
          <w:szCs w:val="16"/>
        </w:rPr>
        <w:softHyphen/>
        <w:t>нерная работа, говорящая о необходимости пе</w:t>
      </w:r>
      <w:r w:rsidRPr="007224C3">
        <w:rPr>
          <w:rFonts w:ascii="Times New Roman" w:cs="Times New Roman"/>
          <w:color w:val="000000" w:themeColor="text1"/>
          <w:sz w:val="16"/>
          <w:szCs w:val="16"/>
        </w:rPr>
        <w:softHyphen/>
        <w:t>рераспределения брони на самолете Ил-2, так как многие бронедетали на самолете не подвер</w:t>
      </w:r>
      <w:r w:rsidRPr="007224C3">
        <w:rPr>
          <w:rFonts w:ascii="Times New Roman" w:cs="Times New Roman"/>
          <w:color w:val="000000" w:themeColor="text1"/>
          <w:sz w:val="16"/>
          <w:szCs w:val="16"/>
        </w:rPr>
        <w:softHyphen/>
        <w:t>гаются обстрелу и являются лишним грузом».</w:t>
      </w:r>
    </w:p>
    <w:p w14:paraId="2AE22374" w14:textId="77777777" w:rsidR="00282955" w:rsidRPr="007224C3" w:rsidRDefault="00282955" w:rsidP="007224C3">
      <w:pPr>
        <w:pStyle w:val="45"/>
        <w:shd w:val="clear" w:color="auto" w:fill="auto"/>
        <w:spacing w:before="0" w:line="240" w:lineRule="auto"/>
        <w:jc w:val="both"/>
        <w:rPr>
          <w:rFonts w:ascii="Times New Roman" w:cs="Times New Roman"/>
          <w:color w:val="000000" w:themeColor="text1"/>
          <w:sz w:val="16"/>
          <w:szCs w:val="16"/>
        </w:rPr>
      </w:pPr>
      <w:r w:rsidRPr="007224C3">
        <w:rPr>
          <w:rStyle w:val="4c"/>
          <w:rFonts w:ascii="Times New Roman" w:hAnsi="Times New Roman" w:cs="Times New Roman"/>
          <w:i w:val="0"/>
          <w:color w:val="000000" w:themeColor="text1"/>
          <w:sz w:val="16"/>
          <w:szCs w:val="16"/>
        </w:rPr>
        <w:t>Игнашева поддержал инженер-подпол- ковник Воротников:</w:t>
      </w:r>
      <w:r w:rsidRPr="007224C3">
        <w:rPr>
          <w:rFonts w:ascii="Times New Roman" w:cs="Times New Roman"/>
          <w:color w:val="000000" w:themeColor="text1"/>
          <w:sz w:val="16"/>
          <w:szCs w:val="16"/>
        </w:rPr>
        <w:t xml:space="preserve"> «Данная работа позволяет судить о схеме бронирования самолета Ил-2. Я считаю правильным и своевременным по</w:t>
      </w:r>
      <w:r w:rsidRPr="007224C3">
        <w:rPr>
          <w:rFonts w:ascii="Times New Roman" w:cs="Times New Roman"/>
          <w:color w:val="000000" w:themeColor="text1"/>
          <w:sz w:val="16"/>
          <w:szCs w:val="16"/>
        </w:rPr>
        <w:softHyphen/>
        <w:t>ставить вопрос о пересмотре схемы брони</w:t>
      </w:r>
      <w:r w:rsidRPr="007224C3">
        <w:rPr>
          <w:rFonts w:ascii="Times New Roman" w:cs="Times New Roman"/>
          <w:color w:val="000000" w:themeColor="text1"/>
          <w:sz w:val="16"/>
          <w:szCs w:val="16"/>
        </w:rPr>
        <w:softHyphen/>
        <w:t>рования, как в отношении толщин, так и места распределения».</w:t>
      </w:r>
    </w:p>
    <w:p w14:paraId="4076F514" w14:textId="77777777" w:rsidR="00282955" w:rsidRPr="007224C3" w:rsidRDefault="00282955" w:rsidP="007224C3">
      <w:pPr>
        <w:pStyle w:val="45"/>
        <w:shd w:val="clear" w:color="auto" w:fill="auto"/>
        <w:spacing w:before="0" w:line="240" w:lineRule="auto"/>
        <w:jc w:val="both"/>
        <w:rPr>
          <w:rFonts w:ascii="Times New Roman" w:cs="Times New Roman"/>
          <w:color w:val="000000" w:themeColor="text1"/>
          <w:sz w:val="16"/>
          <w:szCs w:val="16"/>
        </w:rPr>
      </w:pPr>
      <w:r w:rsidRPr="007224C3">
        <w:rPr>
          <w:rStyle w:val="4c"/>
          <w:rFonts w:ascii="Times New Roman" w:hAnsi="Times New Roman" w:cs="Times New Roman"/>
          <w:i w:val="0"/>
          <w:color w:val="000000" w:themeColor="text1"/>
          <w:sz w:val="16"/>
          <w:szCs w:val="16"/>
        </w:rPr>
        <w:t>Черту дискуссии подвел генерал-майор Н.К. Алексеев, который отметил, что вопрос о выборе рациональной схемы бронирования Ил-2 поставлен правильно. Однако поскольку элементов,</w:t>
      </w:r>
      <w:r w:rsidRPr="007224C3">
        <w:rPr>
          <w:rFonts w:ascii="Times New Roman" w:cs="Times New Roman"/>
          <w:color w:val="000000" w:themeColor="text1"/>
          <w:sz w:val="16"/>
          <w:szCs w:val="16"/>
        </w:rPr>
        <w:t xml:space="preserve"> «определяющих схему бронирова</w:t>
      </w:r>
      <w:r w:rsidRPr="007224C3">
        <w:rPr>
          <w:rFonts w:ascii="Times New Roman" w:cs="Times New Roman"/>
          <w:color w:val="000000" w:themeColor="text1"/>
          <w:sz w:val="16"/>
          <w:szCs w:val="16"/>
        </w:rPr>
        <w:softHyphen/>
        <w:t>ния самолета, было чрезвычайно много»,</w:t>
      </w:r>
      <w:r w:rsidRPr="007224C3">
        <w:rPr>
          <w:rStyle w:val="4c"/>
          <w:rFonts w:ascii="Times New Roman" w:hAnsi="Times New Roman" w:cs="Times New Roman"/>
          <w:i w:val="0"/>
          <w:color w:val="000000" w:themeColor="text1"/>
          <w:sz w:val="16"/>
          <w:szCs w:val="16"/>
        </w:rPr>
        <w:t xml:space="preserve"> то это должно было стать</w:t>
      </w:r>
      <w:r w:rsidRPr="007224C3">
        <w:rPr>
          <w:rFonts w:ascii="Times New Roman" w:cs="Times New Roman"/>
          <w:color w:val="000000" w:themeColor="text1"/>
          <w:sz w:val="16"/>
          <w:szCs w:val="16"/>
        </w:rPr>
        <w:t xml:space="preserve"> «предметом суждения многих заинтересованных организаций».</w:t>
      </w:r>
      <w:r w:rsidRPr="007224C3">
        <w:rPr>
          <w:rStyle w:val="4c"/>
          <w:rFonts w:ascii="Times New Roman" w:hAnsi="Times New Roman" w:cs="Times New Roman"/>
          <w:i w:val="0"/>
          <w:color w:val="000000" w:themeColor="text1"/>
          <w:sz w:val="16"/>
          <w:szCs w:val="16"/>
        </w:rPr>
        <w:t xml:space="preserve"> Он утверждал, что</w:t>
      </w:r>
      <w:r w:rsidRPr="007224C3">
        <w:rPr>
          <w:rFonts w:ascii="Times New Roman" w:cs="Times New Roman"/>
          <w:color w:val="000000" w:themeColor="text1"/>
          <w:sz w:val="16"/>
          <w:szCs w:val="16"/>
        </w:rPr>
        <w:t xml:space="preserve"> «мы имеем слишком мало опы</w:t>
      </w:r>
      <w:r w:rsidRPr="007224C3">
        <w:rPr>
          <w:rFonts w:ascii="Times New Roman" w:cs="Times New Roman"/>
          <w:color w:val="000000" w:themeColor="text1"/>
          <w:sz w:val="16"/>
          <w:szCs w:val="16"/>
        </w:rPr>
        <w:softHyphen/>
        <w:t>та для того, чтобы поставить вопрос о перера</w:t>
      </w:r>
      <w:r w:rsidRPr="007224C3">
        <w:rPr>
          <w:rFonts w:ascii="Times New Roman" w:cs="Times New Roman"/>
          <w:color w:val="000000" w:themeColor="text1"/>
          <w:sz w:val="16"/>
          <w:szCs w:val="16"/>
        </w:rPr>
        <w:softHyphen/>
        <w:t>спределении брони сейчас».</w:t>
      </w:r>
    </w:p>
    <w:p w14:paraId="2EA4D53C" w14:textId="77777777" w:rsidR="00282955" w:rsidRPr="007224C3" w:rsidRDefault="00282955" w:rsidP="007224C3">
      <w:pPr>
        <w:pStyle w:val="27"/>
        <w:shd w:val="clear" w:color="auto" w:fill="auto"/>
        <w:spacing w:after="0" w:line="240" w:lineRule="auto"/>
        <w:ind w:firstLine="0"/>
        <w:rPr>
          <w:rFonts w:ascii="Times New Roman" w:cs="Times New Roman"/>
          <w:color w:val="000000" w:themeColor="text1"/>
          <w:spacing w:val="0"/>
        </w:rPr>
      </w:pPr>
      <w:r w:rsidRPr="007224C3">
        <w:rPr>
          <w:rFonts w:ascii="Times New Roman" w:cs="Times New Roman"/>
          <w:color w:val="000000" w:themeColor="text1"/>
          <w:spacing w:val="0"/>
        </w:rPr>
        <w:t>По этим причинам Алексеев предложил направить во все воздушные армии специа</w:t>
      </w:r>
      <w:r w:rsidRPr="007224C3">
        <w:rPr>
          <w:rFonts w:ascii="Times New Roman" w:cs="Times New Roman"/>
          <w:color w:val="000000" w:themeColor="text1"/>
          <w:spacing w:val="0"/>
        </w:rPr>
        <w:softHyphen/>
        <w:t>листов,</w:t>
      </w:r>
      <w:r w:rsidRPr="007224C3">
        <w:rPr>
          <w:rStyle w:val="aff7"/>
          <w:rFonts w:ascii="Times New Roman" w:hAnsi="Times New Roman" w:cs="Times New Roman"/>
          <w:i w:val="0"/>
          <w:color w:val="000000" w:themeColor="text1"/>
          <w:spacing w:val="0"/>
        </w:rPr>
        <w:t xml:space="preserve"> «поставив перед ними те же задачи, которые были поставлены перед т. Фридма ном».</w:t>
      </w:r>
      <w:r w:rsidRPr="007224C3">
        <w:rPr>
          <w:rStyle w:val="4c"/>
          <w:rFonts w:ascii="Times New Roman" w:hAnsi="Times New Roman" w:cs="Times New Roman"/>
          <w:i w:val="0"/>
          <w:color w:val="000000" w:themeColor="text1"/>
          <w:sz w:val="16"/>
          <w:szCs w:val="16"/>
        </w:rPr>
        <w:t xml:space="preserve"> Кроме того, он считал необходимым</w:t>
      </w:r>
      <w:r w:rsidRPr="007224C3">
        <w:rPr>
          <w:rStyle w:val="46"/>
          <w:rFonts w:ascii="Times New Roman" w:cs="Times New Roman"/>
          <w:color w:val="000000" w:themeColor="text1"/>
          <w:spacing w:val="0"/>
          <w:sz w:val="16"/>
          <w:szCs w:val="16"/>
        </w:rPr>
        <w:t xml:space="preserve"> «по</w:t>
      </w:r>
      <w:r w:rsidRPr="007224C3">
        <w:rPr>
          <w:rStyle w:val="46"/>
          <w:rFonts w:ascii="Times New Roman" w:cs="Times New Roman"/>
          <w:color w:val="000000" w:themeColor="text1"/>
          <w:spacing w:val="0"/>
          <w:sz w:val="16"/>
          <w:szCs w:val="16"/>
        </w:rPr>
        <w:softHyphen/>
        <w:t>ставить сейчас вопрос в отношении утолщения брони на самолете Ил-2, особенно капота мо</w:t>
      </w:r>
      <w:r w:rsidRPr="007224C3">
        <w:rPr>
          <w:rStyle w:val="46"/>
          <w:rFonts w:ascii="Times New Roman" w:cs="Times New Roman"/>
          <w:color w:val="000000" w:themeColor="text1"/>
          <w:spacing w:val="0"/>
          <w:sz w:val="16"/>
          <w:szCs w:val="16"/>
        </w:rPr>
        <w:softHyphen/>
        <w:t>тора, даже если это будет связано с увеличе</w:t>
      </w:r>
      <w:r w:rsidRPr="007224C3">
        <w:rPr>
          <w:rStyle w:val="46"/>
          <w:rFonts w:ascii="Times New Roman" w:cs="Times New Roman"/>
          <w:color w:val="000000" w:themeColor="text1"/>
          <w:spacing w:val="0"/>
          <w:sz w:val="16"/>
          <w:szCs w:val="16"/>
        </w:rPr>
        <w:softHyphen/>
        <w:t>нием веса»,</w:t>
      </w:r>
      <w:r w:rsidRPr="007224C3">
        <w:rPr>
          <w:rStyle w:val="4c"/>
          <w:rFonts w:ascii="Times New Roman" w:hAnsi="Times New Roman" w:cs="Times New Roman"/>
          <w:i w:val="0"/>
          <w:color w:val="000000" w:themeColor="text1"/>
          <w:sz w:val="16"/>
          <w:szCs w:val="16"/>
        </w:rPr>
        <w:t xml:space="preserve"> а также</w:t>
      </w:r>
      <w:r w:rsidRPr="007224C3">
        <w:rPr>
          <w:rStyle w:val="46"/>
          <w:rFonts w:ascii="Times New Roman" w:cs="Times New Roman"/>
          <w:color w:val="000000" w:themeColor="text1"/>
          <w:spacing w:val="0"/>
          <w:sz w:val="16"/>
          <w:szCs w:val="16"/>
        </w:rPr>
        <w:t xml:space="preserve"> «создать технические ус</w:t>
      </w:r>
      <w:r w:rsidRPr="007224C3">
        <w:rPr>
          <w:rStyle w:val="46"/>
          <w:rFonts w:ascii="Times New Roman" w:cs="Times New Roman"/>
          <w:color w:val="000000" w:themeColor="text1"/>
          <w:spacing w:val="0"/>
          <w:sz w:val="16"/>
          <w:szCs w:val="16"/>
        </w:rPr>
        <w:softHyphen/>
        <w:t>ловия, определяющие характер бронирования стрелка, с тем, чтобы их можно было предъя</w:t>
      </w:r>
      <w:r w:rsidRPr="007224C3">
        <w:rPr>
          <w:rStyle w:val="46"/>
          <w:rFonts w:ascii="Times New Roman" w:cs="Times New Roman"/>
          <w:color w:val="000000" w:themeColor="text1"/>
          <w:spacing w:val="0"/>
          <w:sz w:val="16"/>
          <w:szCs w:val="16"/>
        </w:rPr>
        <w:softHyphen/>
        <w:t>вить Главному конструктору».</w:t>
      </w:r>
      <w:r w:rsidRPr="007224C3">
        <w:rPr>
          <w:rStyle w:val="4c"/>
          <w:rFonts w:ascii="Times New Roman" w:hAnsi="Times New Roman" w:cs="Times New Roman"/>
          <w:i w:val="0"/>
          <w:color w:val="000000" w:themeColor="text1"/>
          <w:sz w:val="16"/>
          <w:szCs w:val="16"/>
        </w:rPr>
        <w:t xml:space="preserve"> В заключение своего выступления Алексеев констатировал: </w:t>
      </w:r>
      <w:r w:rsidRPr="007224C3">
        <w:rPr>
          <w:rStyle w:val="46"/>
          <w:rFonts w:ascii="Times New Roman" w:cs="Times New Roman"/>
          <w:color w:val="000000" w:themeColor="text1"/>
          <w:spacing w:val="0"/>
          <w:sz w:val="16"/>
          <w:szCs w:val="16"/>
        </w:rPr>
        <w:t>«Таким образом, в качестве выводов сегод</w:t>
      </w:r>
      <w:r w:rsidRPr="007224C3">
        <w:rPr>
          <w:rStyle w:val="46"/>
          <w:rFonts w:ascii="Times New Roman" w:cs="Times New Roman"/>
          <w:color w:val="000000" w:themeColor="text1"/>
          <w:spacing w:val="0"/>
          <w:sz w:val="16"/>
          <w:szCs w:val="16"/>
        </w:rPr>
        <w:softHyphen/>
        <w:t>няшнего совещания можно записать:</w:t>
      </w:r>
    </w:p>
    <w:p w14:paraId="049537E4" w14:textId="77777777" w:rsidR="00282955" w:rsidRPr="007224C3" w:rsidRDefault="00282955" w:rsidP="007224C3">
      <w:pPr>
        <w:pStyle w:val="45"/>
        <w:shd w:val="clear" w:color="auto" w:fill="auto"/>
        <w:tabs>
          <w:tab w:val="left" w:pos="514"/>
        </w:tabs>
        <w:spacing w:before="0" w:line="240" w:lineRule="auto"/>
        <w:jc w:val="both"/>
        <w:rPr>
          <w:rFonts w:ascii="Times New Roman" w:cs="Times New Roman"/>
          <w:color w:val="000000" w:themeColor="text1"/>
          <w:sz w:val="16"/>
          <w:szCs w:val="16"/>
        </w:rPr>
      </w:pPr>
      <w:r w:rsidRPr="007224C3">
        <w:rPr>
          <w:rFonts w:ascii="Times New Roman" w:cs="Times New Roman"/>
          <w:color w:val="000000" w:themeColor="text1"/>
          <w:sz w:val="16"/>
          <w:szCs w:val="16"/>
        </w:rPr>
        <w:t>1. Включить в план работы Управления Заказов, Опытного управления и НИИ ВВС посылку на фронт в течение марта, апреля ме</w:t>
      </w:r>
      <w:r w:rsidRPr="007224C3">
        <w:rPr>
          <w:rFonts w:ascii="Times New Roman" w:cs="Times New Roman"/>
          <w:color w:val="000000" w:themeColor="text1"/>
          <w:sz w:val="16"/>
          <w:szCs w:val="16"/>
        </w:rPr>
        <w:softHyphen/>
        <w:t>сяцев представителей, с целью определения живучести брони самолета Ил-2 и в какой сте</w:t>
      </w:r>
      <w:r w:rsidRPr="007224C3">
        <w:rPr>
          <w:rFonts w:ascii="Times New Roman" w:cs="Times New Roman"/>
          <w:color w:val="000000" w:themeColor="text1"/>
          <w:sz w:val="16"/>
          <w:szCs w:val="16"/>
        </w:rPr>
        <w:softHyphen/>
        <w:t>пени принятая схема бронирования самолета Ил-2 обеспечивает защиту жизненно важных агрегатов и экипажа от воздушного и наземно</w:t>
      </w:r>
      <w:r w:rsidRPr="007224C3">
        <w:rPr>
          <w:rFonts w:ascii="Times New Roman" w:cs="Times New Roman"/>
          <w:color w:val="000000" w:themeColor="text1"/>
          <w:sz w:val="16"/>
          <w:szCs w:val="16"/>
        </w:rPr>
        <w:softHyphen/>
        <w:t>го огня противника.</w:t>
      </w:r>
    </w:p>
    <w:p w14:paraId="6B8DD82D" w14:textId="77777777" w:rsidR="00282955" w:rsidRPr="007224C3" w:rsidRDefault="00282955" w:rsidP="007224C3">
      <w:pPr>
        <w:pStyle w:val="45"/>
        <w:shd w:val="clear" w:color="auto" w:fill="auto"/>
        <w:tabs>
          <w:tab w:val="left" w:pos="500"/>
        </w:tabs>
        <w:spacing w:before="0" w:line="240" w:lineRule="auto"/>
        <w:jc w:val="both"/>
        <w:rPr>
          <w:rFonts w:ascii="Times New Roman" w:cs="Times New Roman"/>
          <w:color w:val="000000" w:themeColor="text1"/>
          <w:sz w:val="16"/>
          <w:szCs w:val="16"/>
        </w:rPr>
      </w:pPr>
      <w:r w:rsidRPr="007224C3">
        <w:rPr>
          <w:rFonts w:ascii="Times New Roman" w:cs="Times New Roman"/>
          <w:color w:val="000000" w:themeColor="text1"/>
          <w:sz w:val="16"/>
          <w:szCs w:val="16"/>
        </w:rPr>
        <w:t>2. К 10 марта 1944 г. составить техниче</w:t>
      </w:r>
      <w:r w:rsidRPr="007224C3">
        <w:rPr>
          <w:rFonts w:ascii="Times New Roman" w:cs="Times New Roman"/>
          <w:color w:val="000000" w:themeColor="text1"/>
          <w:sz w:val="16"/>
          <w:szCs w:val="16"/>
        </w:rPr>
        <w:softHyphen/>
        <w:t>ские условия на кабину стрелка, указав в них характер бронирования последнего. Работу по составлению технических условий возложить на инженер-подполковника т. Огилько».</w:t>
      </w:r>
    </w:p>
    <w:p w14:paraId="3BAB38F3" w14:textId="77777777" w:rsidR="00282955" w:rsidRPr="007224C3" w:rsidRDefault="00282955" w:rsidP="007224C3">
      <w:pPr>
        <w:pStyle w:val="27"/>
        <w:shd w:val="clear" w:color="auto" w:fill="auto"/>
        <w:spacing w:after="0" w:line="240" w:lineRule="auto"/>
        <w:ind w:firstLine="0"/>
        <w:rPr>
          <w:rFonts w:ascii="Times New Roman" w:cs="Times New Roman"/>
          <w:color w:val="000000" w:themeColor="text1"/>
          <w:spacing w:val="0"/>
        </w:rPr>
      </w:pPr>
      <w:r w:rsidRPr="007224C3">
        <w:rPr>
          <w:rFonts w:ascii="Times New Roman" w:cs="Times New Roman"/>
          <w:color w:val="000000" w:themeColor="text1"/>
          <w:spacing w:val="0"/>
        </w:rPr>
        <w:t>Тем временем 7 марта С.В. Ильюшин все же направил А.К. Репину предложения ОКБ по перераспределению толщины брони бро- некорпуса самолета Ил-2 на основании опы</w:t>
      </w:r>
      <w:r w:rsidRPr="007224C3">
        <w:rPr>
          <w:rFonts w:ascii="Times New Roman" w:cs="Times New Roman"/>
          <w:color w:val="000000" w:themeColor="text1"/>
          <w:spacing w:val="0"/>
        </w:rPr>
        <w:softHyphen/>
        <w:t>та войны. Предлагалось верхние броневые листы, прикрывающие сверху мотор перед бензобаком, снять, а за счет этого увеличить толщину бокового листа бронекапота мотора с 4 до 8 мм, переднюю 5-мм заслонку маслорадиатора заменить на 12-мм, заднюю 6-мм - на 12-мм, а боковой лист брони толщиной 5мм, находящийся в крыл$, заменить на 4-мм.</w:t>
      </w:r>
    </w:p>
    <w:p w14:paraId="32B48CD5" w14:textId="77777777" w:rsidR="00282955" w:rsidRPr="007224C3" w:rsidRDefault="00282955" w:rsidP="007224C3">
      <w:pPr>
        <w:spacing w:after="0" w:line="240" w:lineRule="auto"/>
        <w:jc w:val="both"/>
        <w:rPr>
          <w:rFonts w:ascii="Times New Roman" w:hAnsi="Times New Roman"/>
          <w:color w:val="000000" w:themeColor="text1"/>
          <w:sz w:val="16"/>
          <w:szCs w:val="16"/>
        </w:rPr>
      </w:pPr>
    </w:p>
    <w:p w14:paraId="064316EE" w14:textId="77777777" w:rsidR="00D0561B" w:rsidRPr="007224C3" w:rsidRDefault="00D0561B" w:rsidP="007224C3">
      <w:pPr>
        <w:shd w:val="clear" w:color="auto" w:fill="FFFFFF"/>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 марта 1944 (19915) в «Кратком отчѐте о живучести самолѐта Ил-2», составленном штабом 233-й штурмовой авиационной Ярцевской дивизии даѐтся общая характеристика самолѐта, область его оперативного использования, указываются уязвимые места штурмовика их влияние на его живучесть.</w:t>
      </w:r>
    </w:p>
    <w:p w14:paraId="56D34B00" w14:textId="77777777" w:rsidR="00D0561B" w:rsidRPr="007224C3" w:rsidRDefault="00D0561B" w:rsidP="007224C3">
      <w:pPr>
        <w:shd w:val="clear" w:color="auto" w:fill="FFFFFF"/>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 xml:space="preserve">«Уязвимые места следующие: при атаке истребителями противника повреждается винт, что отражается на работе мотора — тряска на всех режимах, вследствие чего лѐтчик должен производить вынужденную посадку. Ил-2 №1875145 был атакован ФВ-190, в результате чего были отбиты: одна лопасть винта 47 см., вторая лопасть 38 см., третья не повреждена. Вследствие повреждения появилась сильная тряска мотора, передающаяся на весь самолѐт. Из-за этого повреждения лѐтчик сумел только перетянуть линию фронта и произвѐл вынужденную посадку на своей территории. Основным уязвимым агрегатом Ил-2 является МАСЛОРАДИАТОР.» При повреждении маслорадиатора самолѐт должен был производить вынужденную посаду и это при том, что корпус самолѐта бронирован. Обычно штурмовики находятся над передним краем довольно продолжительное время (от 10 до 20 мин.) и в этот период подвергаются обстрелу зенитными средствами противника. А если объекты их атаки находятся глубже, то время нахождения над вражеской территорией соответственно увеличивается. Лѐтчики часто прибегали в такой ситуации к закрытию шторок маслорадиатора. Однако держать шторки маслорадиатора закрытыми дольше 6-7 мин. при высоких температурах невозможно, поскольку резко 101 102 повышается температура масла. Лѐтчики вынуждены охлаждать масло и часто по халатности оставляют шторки открытыми при перелѐте линии фронта, где могут быть обстреляны вражеской зенитной артиллерией с возможным повреждением маслорадиатора. Другим уязвимым местом Ил-2 является водорадиатор. «Стоит только иметь одно осколочное или снарядное попадание при открытых шторках водорадиатора, самолѐт выходит из строя… и в некоторых случаях не сможет уже </w:t>
      </w:r>
      <w:r w:rsidRPr="007224C3">
        <w:rPr>
          <w:rFonts w:ascii="Times New Roman" w:hAnsi="Times New Roman"/>
          <w:color w:val="0070C0"/>
          <w:sz w:val="16"/>
          <w:szCs w:val="16"/>
        </w:rPr>
        <w:lastRenderedPageBreak/>
        <w:t>дотянуть на свою территорию, падает в расположении противника. В декабре месяце 1942 года один Ил-2 №1871508 — лѐтчик мл. лейтенант СМОЛИЕВСКИЙ при атаке ж/д полотна Вязьма-Сычевка был обстрелян огнѐм ЗА на высоте 800-600 мт. При обстреле повреждена трубка, идущая от расширительного бачка к водорадиатору, вследствие чего антифриз начал выбивать (так написано в оригинале; очевидно, имеется в виду, что антифриз начал попадать в кабину.— Прим. автора.), пары ослепляли лѐтчика. Из-за утечки антифриза мотор стал перегреваться. Лѐтчик, имея запас высоты, с принижением пока работал мотор смог перетянуть линию фронта и в 4 км. от неѐ произвѐл вынужденную посадку уже с заклинившим мотором. Данный пример характеризует, что броня мотора недостаточной прочности.» Кабина лѐтчика несмотря на имеющееся бронирование всѐ же не позволяет полностью защитить пилота от осколков снарядов. Ранение лѐтного состава больше всего происходит при атаке их истребителями противника. Кабина лѐтчика имеет ряд конструктивных недостатков: наличие зазоров между подвижным колпаком и установленной броней каркаса фонаря, через которые при атаке самолѐта истребителями во время разрыва снарядов осколки проникают в кабину и поражают лѐтчика. «1 октября 1943 года лѐтчик 312 ШАП майор БОЙКО был ранен осколками снарядов в область правой лопатки при атаке истребителей в р-не ГОРКИ, через щели между фонарѐм лѐтчика и кабиной.» Кабина лѐтчика уязвима ещѐ через подвижные форточки сдвижного фонаря. При атаках истребителей под углом 90 градусов и осколками снарядов зенитной артиллерии так же происходит поражение лѐтчика. «15 сентября 1943 года лѐтчик ст. лейтенант АЛФЕРОВ был ранен через форточку при атаке истребителей в нижнюю треть правого бедра. Для излечения которого потребовалось 4-5 месяцев.» Одним из основных жизненных органов самолѐта является управление, от которого зависит жизнь самолѐта и лѐтчика. При повреждении руля глубины самолѐт становится неуправляемым и переходит в крутое пикирование. В практике боевой работы зафиксировано ряд случаев повреждения руля глубины. «25.10.41 г. при атаке автоколонны в р-не Рогачѐв (Калининская область) у са- 103 самолѐта капитана НЫРКОВА 312 ШАП, предположительно, самолѐт стал неуправляем, сразу же перешѐл в крутое пикирование, упал в р-не цели.» При повреждении тросов рулей поворота самолѐт становится трудно управляемым, в этом случае лѐтчик повороты парирует элеронами. «8 июня 1943 года при атаке аэродрома СЕША лѐтчик 198 ШАП Дважды Герой Советского Союза майор БОНДАРЕНКО был атакован огнѐм зенитных средств противника, самолѐт получил повреждения: а) Перебиты троса управления рулѐм поворота. б) Руль поворота держался на одном нижнем шарнире крепления. Руль поворота держался вертикально благодаря сильной обтекаемой струи воздуха в полѐте. При посадке свалился на бок, держась на одном шарнире. в) Между торцами левого внутреннего элерона и плоскостью прошѐл снаряд и заклинил элероны развороченным дюралем. Движение элеронов ограничивалось. При данном повреждении самолѐт по существу был неуправляем, но благодаря его хорошей устойчивости и простоте в координированном управлении в поперечном и продольном отношении был посажен на фюзеляж на своей территории, чем спасена жизнь экипажа.» Достаточно прочный центроплан не имеет конструктивных недостатков. Он способен выдержать даже удар о землю при производстве грубых посадок неопытными лѐтчиками. Были случаи повреждения центроплана, которые не влияли на его живучесть. Пулевые, осколочные и даже снарядные пробоины на вылет, если они не затрагивали горизонтальных полок лонжеронов, так же не влияли на живучесть самолѐта. Хотя известны и случаи, когда даже с повреждѐнными горизонтальными полками лонжеронов, штурмовики благополучно приходили на свой аэродром и совершали посадку. 12 сентября 1941 года при действии по автоколоннам и танкам противника в рне *** (написано неразборчиво — прим. автора) 1 Ил-2 62 ШАП , лѐтчик майор ШУСТ , получил над целью прямое попадание снаряда ЗА. В результате был разбит люк и кассета с мелкими бомбами. Бомбы начали рваться в самолѐте. Лѐтчик сразу же сбросил имеющийся груз. Разрывами своих бомб сильно был повреждѐн центроплан: разбиты все нервюры, вертикальная жесткость лонжеронов, весь силовой набор центроплана. Разбит аварийный выпуск шасси. Шасси не выпускались. Лѐтчик пришѐл на свой аэродром и произвѐл вынужденную посадку на фюзеляж, после чего самолѐт был восстановлен в полевых условиях силами техсостава и ПАРМ-1.» Вышеизложенный пример характеризует большую выносливость и живучесть самолѐта. Конструктивная прочность центроплана выдерживает даже сложные повреждения. Самолѐт рассыпается в воздухе в тех случаях, когда прямым попадани- 104 ем снаряда разбиваются оба стыковых узла крепления центроплана с плоскостью. Во всех остальных случаях при любых повреждениях центроплана, самолѐт возвращается с боевого задания на свой аэродром. «… в случаях посадок самолѐта на фюзеляж на неровной местности (пни или булыжник) лонжероны центроплана получат деформацию между третьей и пятой нервюрой, а также в местах крепления пирамид и подкосов шасси, что сокращает живучесть самолѐта.» Расположение и скрытое бронирование бензобаков обеспечивает их противопожарную безопасность. Наличие на самолѐте противопожарного газа СО² обеспечивает и противодействует воспламенению бензобаков. При выработке горючего, в бензобаках скапливаются пары бензина которые при попадании зажигательных боеприпасов воспламеняются. Чтобы этого не произошло, в бензобаки поступает газ СО². Протектированные баки на самолѐте Ил-2 соответствуют своему назначению. «Из-за повреждения баков с бензином, а также и пустых баков в боевой практике случаев воспламенения самолѐтов не отмечалось. В противопожарном отношении самолѐт Ил-2 надѐжный и почти никогда не воспламеняется.» Но в тоже время, известны случаи воспламенения самолѐтов после повреждения маслорадиатора. «12 февраля 1944 года Ил-2 №5270 198 ШАП лѐтчик лейтенант ПОВАТАЕВ после атаки истребителей противника был повреждѐн маслорадиатор, вследствие чего масло стало выбивать. При следовании на маршруте масло воспламенилось, пламя охватило фюзеляж. Лѐтчик произвѐл вынужденную посадку в р-не … ю.-в. ВИТЕБСК(А). При посадке пламя сбито с самолѐта.» На всѐм протяжении войны самолѐт Ил-2 эксплуатировался и хранился под открытым небом в полевых условиях, подвергаясь природно-атмосферным воздействиям: снег, дождь, ветер, пыль, сырость и т. п. И это при том, что многие части самолѐта сделаны из древесины. «В практике имелись случаи загнивания хвостовой части фюзеляжа (от 12-й рамы и до конца). Это является как конструктивным недостатком фюзеляжа — влага проходит через зализы и щели хвостовой части. Недостатком фюзеляжа является большое неудобство для частого просмотра техническим составом хвостовой части фюзеляжа. В большинстве случаев при грубых посадках по неопытности лѐтного состава на хвост — отламывается хвостовая часть фюзеляжа по 14-ю раму. При повреждении фюзеляжа на живучесть самолѐта не отражается...» На фронте в ходе боевых действий использовались самолѐты Ил-2 как с металлическими плоскостями, так и с использованием деревянной обшивки, что, кстати, имело свои особенности в технике пилотирования. Плоскости с металлической обшивкой выдерживают установленный ресурс эксплуатации, что нельзя сказать, 105 вследствие атмосферного воздействия, о плоскостях с деревянной обшивкой. «Вообще конструкция плоскостей надѐжная и в дальнейшем возможно использование обоих вариантов. В боевых условиях при повреждении плоскостей огнѐм ЗА и ИА (истребительной авиации — прим. автора) противника с металлической обшивкой на живучесть самолѐта не влияет. Самолѐты приходят с боевого задания, имея по 100-120 осколочных и пулевых пробоин. При прямом попадании снаряда в металлическую плоскость, исходное отверстие выше, а выходное отверстие при разрыве снарядов больше, причѐм повреждается внутренний набор крыла. Но срыва большой площади обшивки крыла не наблюдалось, ограничивалось отдельным порывом обшивки и ос осколочными пробоинами. Эти повреждения быстро восстанавливаются… При аналогичном повреждении плоскости с деревянной обшивкой как входное, а также и выходное отверстие во время повреждения значительно больше, чем металлической плоскости. Имелись случаи, когда во время разрыва снаряда в плоскости с деревянной обшивкой срывалась обшивка от 3 до 5 мт (не понятно, что имеется ввиду — прим. автора) поверхности крыла.» В данном случае такое повреждение влияет на технику пилотирования самолѐта. Самолѐт становится трудноуправляемым и имеет тенденцию сваливаться в штопор. Но были известны случаи, когда даже с такими критическими повреждениями, благодаря хорошей технике пилотирования, лѐтчики возвращались на свой аэродром. Тем не менее, такое повреждение очень сильно влияет на живучесть Ил-2. На всѐм протяжении боевых действий хвостовое оперение при любых повреждениях не влияло на живучесть самолѐта. Есть примеры, когда Ил-2 возвращался с задания с повреждѐнными отдельными деталями и обшивкой стабилизатора: перебит лонжерон, узел крепления, повреждѐн внутренний набор и обшивка стабилизатора, а также повреждены лонжероны и обшивка рулей глубины. Но даже несмотря на такие повреждения, самолѐт управляем и лѐтчик может достичь на нѐм своей территории и даже совершить посадку. «8 июня 1943 года на самолѐте Ил-2 198 ШАП — лѐтчик майор БОНДАРЕНКО — огнѐм зенитных средств выбит весь внутренний набор киля и ряд других повреждений… Все же самолѐт перетянул линию фронта.» По мнению боевых лѐтчиков, хвостовое оперение конструктивных недостатков не имело. Было удобно в эксплуатации, монтаже и ремонте. В качестве пожеланий и улучшений, лѐтчики высказывали идею о необходимости поставить дублирующий трос руля глубины в фюзеляже. Устанавливаемые на самолѐт Ил-2 моторы АМ-38 и АМ-38Ф надѐжны в эксплуатации, работают безотказно, но при своевременном выполнении регламентирован- 106 ных работ по их обслуживанию. Мотор АМ-38Ф показал лучшие качества работы по сравнению с мотором АМ-38. Замена мотора на Ил-2 занимает одни сутки. Живучесть мотора в боевых условиях во время обстрела самолѐта зенитными средствами противника зависела от «скорлупы» брони моторной установки. Известны единичные случаи повреждения картера, так как осколки снарядов ЗА, пробивая бронь, теряют убойную силу и значительных повреждений не причиняют. Мотор имеет следующие уязвимые места: -При атаке истребителей противника сверху, повреждаются карбюратор, блоки и головки блоков. -Не забронированная часть мотора в местах выхлопных патрубков. В этих местах, незащищѐнных броней, мотор может быть повреждѐн. Все основные приборы и оборудование штурмовика смонтированы и прикрыты бронѐй, поэтому случаев их повреждения при выполнении боевых заданий было очень мало. Наиболее уязвимыми местами являются электропроводка в плоскостях к РО, АНО и ПИТО. Но благодаря удачному расположению люков и разъѐмных колодок такие повреждения легко устраняются. При авариях и вынужденных посадках самолѐта на фюзеляж, вследствие хорошей амортизации приборной доски и особенно центрального щитка, на котором расположены наиболее уязвимые приборы, правильная их работа не нарушается. Отказов приборов на самолѐте Ил-2, из-за которых бы уменьшалась живучесть самолѐта, зафиксировано не было. Большую роль в повышении живучести самолѐта играет радиооборудование и его использование. Вот какие выводы о живучести Ил-2 сделали в 233-й штурмовой авиационной Ярцевской дивизии: «Самолѐт Ил-2, как штурмовик себя оправдал и вполне соответствует своему назначению. В боевых действиях вынослив. При повреждении почти никогда не горит, что обеспечивает безопасность полѐта в сохранении жизни экипажа. А также хорошо обеспечивает жизнь экипажа при вынужденных посадках даже на лес при правильном подводе самолѐта в момент приземления. За период 7 месяцев боевых действий 1943 года средняя живучесть самолѐта Ил-2 в дивизии составляет 29 часов 32 мин.» « В период отечественной войны частями дивизии произведено 7472 самолѐтовылета с налѐтом 7511 часов. За этот период потеряно 220 самолѐтов. В среднем на 1 потерю приходится 35 самолѐтовылетов.» (19909).</w:t>
      </w:r>
    </w:p>
    <w:p w14:paraId="02F13517" w14:textId="77777777" w:rsidR="00D0561B" w:rsidRPr="007224C3" w:rsidRDefault="00D0561B" w:rsidP="007224C3">
      <w:pPr>
        <w:shd w:val="clear" w:color="auto" w:fill="FFFFFF"/>
        <w:spacing w:after="0" w:line="240" w:lineRule="auto"/>
        <w:jc w:val="both"/>
        <w:rPr>
          <w:rFonts w:ascii="Times New Roman" w:hAnsi="Times New Roman"/>
          <w:color w:val="0070C0"/>
          <w:sz w:val="16"/>
          <w:szCs w:val="16"/>
        </w:rPr>
      </w:pPr>
    </w:p>
    <w:p w14:paraId="538B96F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марта 1944 Нач. НИИ ВВС г-л Лосюков и 28 февраля 1944 Нач. 3 отд. НИИ ВВС и-п Сафронов и Зам. Нач. 3 отд. НИИ ВВС по летной части г-м Стефановский подписали Заключение по результатам дополнительных (после переделок, произведенных ГК завода 51 тов. Поликарповым) испытаний модернизированного самолета У-2ВС с мотором М-11Д и винтом ВФШ Д=2.35м - эталон первого полугодия 1944 (3461).</w:t>
      </w:r>
    </w:p>
    <w:p w14:paraId="2D2AE4B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95CED2" w14:textId="77777777" w:rsidR="006E7509" w:rsidRPr="007224C3" w:rsidRDefault="006E7509" w:rsidP="007224C3">
      <w:pPr>
        <w:spacing w:after="0" w:line="240" w:lineRule="auto"/>
        <w:jc w:val="both"/>
        <w:rPr>
          <w:rFonts w:ascii="Times New Roman" w:hAnsi="Times New Roman"/>
          <w:bCs/>
          <w:color w:val="000000" w:themeColor="text1"/>
          <w:sz w:val="16"/>
          <w:szCs w:val="16"/>
        </w:rPr>
      </w:pPr>
      <w:r w:rsidRPr="007224C3">
        <w:rPr>
          <w:rFonts w:ascii="Times New Roman" w:hAnsi="Times New Roman"/>
          <w:bCs/>
          <w:color w:val="000000" w:themeColor="text1"/>
          <w:sz w:val="16"/>
          <w:szCs w:val="16"/>
        </w:rPr>
        <w:t>2 марта</w:t>
      </w:r>
      <w:r w:rsidRPr="007224C3">
        <w:rPr>
          <w:rFonts w:ascii="Times New Roman" w:hAnsi="Times New Roman"/>
          <w:color w:val="000000" w:themeColor="text1"/>
          <w:sz w:val="16"/>
          <w:szCs w:val="16"/>
        </w:rPr>
        <w:t xml:space="preserve"> в 1944 году запорожский авиаремонтный завод получил статус союзного завода "478" НКАП (15056).</w:t>
      </w:r>
    </w:p>
    <w:p w14:paraId="4B2C35EA" w14:textId="77777777" w:rsidR="006E7509" w:rsidRPr="007224C3" w:rsidRDefault="006E7509" w:rsidP="007224C3">
      <w:pPr>
        <w:spacing w:after="0" w:line="240" w:lineRule="auto"/>
        <w:jc w:val="both"/>
        <w:rPr>
          <w:rFonts w:ascii="Times New Roman" w:hAnsi="Times New Roman"/>
          <w:bCs/>
          <w:color w:val="000000" w:themeColor="text1"/>
          <w:sz w:val="16"/>
          <w:szCs w:val="16"/>
        </w:rPr>
      </w:pPr>
    </w:p>
    <w:p w14:paraId="7A1D33D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2 марта 1944 г. в соответствии с приказом наркомата авиационной промышленности № 121 запорожский завод получил новое наименование - государственный союзный завод № 478, и на него была возложена задача выполнения капитального ремонта моторов М-88Б и их производство из деталей и узлов, поставляемых из Омска заводом № 29 с постепенным переходом на полный цикл изготовления моторов М-88Б в Запорожье. Для обеспечения конструкторского сопровождения этих работ на заводе в феврале 1945 г. создают серийное конструкторское бюро, которое возглавил Л.А. Трайнин. </w:t>
      </w:r>
    </w:p>
    <w:p w14:paraId="4D5B87A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С середины 1945 г. на конструкторов завода также была возложена задача по обеспечению запуска в производство мотора М-72 (четырехтактный двухцилиндровый оппозитный, мощностью 22 л.с.) для находившихся на вооружении Красной Армии тяжелых мотоциклов М-72, созданных в 1940 г. на базе немецкого мотоцикла R-71 фирмы ВМW. Документация на двигатель была передана Ирбитским мотоциклетным заводом. </w:t>
      </w:r>
    </w:p>
    <w:p w14:paraId="4B7071A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АИ-26В5 мая 1945 г. нарком авиационной промышленности А.И. Шахурин подписал приказ об организации на заводе №478 опытно-конструкторского бюро, на которое возлагались функции внедрения в серийное производство моторов М-88Б и создание новых и модифицированных моторов. Начальником ОКБ завода назначили А.Г. Ивченко, освободив его от должности заместителя главного конструктора завода № 29 в Омске. </w:t>
      </w:r>
    </w:p>
    <w:p w14:paraId="33C4046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Ядро коллектива нового ОКБ составили вернувшиеся из Омска специалисты ОКБ № 29: А.М. Анашкин, В.А. Лотарев, А.С. Красников, К.М. Валик, А.В. Выгодин и др. Это были годы энтузиазма и творческого подъема, вызванного победой в Великой Отечественной войне и долгожданным возвращением на берега родного Днепра. Иначе чем объяснить, что за столь короткое время был создан целый ряд поршневых двигателей различной размерности и назначения, что позволило заводским конструкторам обрести авторитет коллектива, который в короткие сроки и с высоким техническим уровнем может справиться с любой задачей. </w:t>
      </w:r>
    </w:p>
    <w:p w14:paraId="01E9D83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 1945 г. начал стендовые и летные испытания мотор М-26 мощностью 500 л.с. (семицилиндровая однорядная "звезда" фактически "половинка" АШ-82), работы над которым начались еще в ОКБ-29 в Омске. Ведущим конструктором по двигателю был В.А. Лотарев. Очевидно, М-26 был альтернативным АШ-21 проектом мотора для учебно/тренировочного самолета Як-11, однако предпочтение было отдано более мощному АШ-21, и М-26 не нашел применения на самолетах, но обрел свое место на новом типе летательных аппаратов - геликоптерах (так тогда называ ли вертолеты), работы по созданию и производству которых широко развернулись в это время в мире (11762). </w:t>
      </w:r>
    </w:p>
    <w:p w14:paraId="0319301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856C85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марта 1944 г. на базе авиаремонтного завода образован завод № 478 (приказ НКАП № 602с от 10.10.1944 г.) (Завод № 478 НКАП, МАП, п/я 18, Запорожский моторостроительный завод, Запорожское ПО «Моторостроитель» им. Великой Октябрьской Социалистической Революции, Завод «Мотор Сич», ОАО «Мотор Сич» / Украина 69068  г. Запорожье, ул. 8-го Марта, 15 тел. 61-47-77/ /Московское представительство: 125252 ул. Новопесчаная, 14 тел. 411-51-11/).</w:t>
      </w:r>
    </w:p>
    <w:p w14:paraId="34505DE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соответствии с пост. ГКО № 5848 от 8.05.1944 г. на заводе № 478 организовано производство моторов М- 88Б. Был оснащен трофейным оборудованием: в 1946 г. заводу выделено 2486 станков (в т.ч. 1283 металлорежущих) из Германии. Вступил в строй в 1947 г.</w:t>
      </w:r>
    </w:p>
    <w:p w14:paraId="0A2E86C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5.05.1945 г. при заводе образовалось ОКБ-478, в 1959 г. оно выделилось в самостоятельное предприятие. В 1954-62 г. завод № 478 имел наименование «п/я 18». В соответствии с пост. СМ СССР № 713-342 от 26.06.1957 г. завод передан в ведение СНХ УССР.</w:t>
      </w:r>
    </w:p>
    <w:p w14:paraId="35F5A52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соответствии с ПСМ № 756-323 от 19.08.1961 г. начата организация серийного производства АИ-24.</w:t>
      </w:r>
    </w:p>
    <w:p w14:paraId="2BCCFA9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имел филиал в  г. Волочиске.</w:t>
      </w:r>
    </w:p>
    <w:p w14:paraId="71B5781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1.06.1994 г. ПО «Моторостроитель» преобразовано в ОАО «Мотор Ci4». В состав ОАО входило (2002 г.) 8 заводов, в т.ч.: Снежнянский машзавод, Волочиский машзавод, Лебединский машзавод-1, Гуляйпольский механический завод.</w:t>
      </w:r>
    </w:p>
    <w:p w14:paraId="59CE293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Имел Московское представительство (директор (-2005-06 г.-)- П.И. Кононенко.</w:t>
      </w:r>
    </w:p>
    <w:p w14:paraId="5510B2E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Работы (2002 г.): освоение производства Д-27, ВК-1500, АИ-22; (2005 г.)- освоение производства АИ-25ТЛШ, ВК-1500, АИ-450, Д-27.</w:t>
      </w:r>
    </w:p>
    <w:p w14:paraId="7CABDBB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2007 г. планировалось объединение ОАО «Мотор Сич» и ЗМКБ «Прогресс» в «Корпорацию Ивченко».</w:t>
      </w:r>
    </w:p>
    <w:p w14:paraId="68183A1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(05.1944 г.)- Хижняк, (1959-)- В.И. Омельченко, П.И. Скляров. Гендиректор (-02.1988 г.)- В.И. Омельченко, (1988-2006 г.-)- В.А. Богуслаев.</w:t>
      </w:r>
    </w:p>
    <w:p w14:paraId="0478888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Гендиректора: по производству (-2004-06 г.-)- В.В. Ткаченко; по маркетингу (-2000-06 г.-)- К.С. Колтун; по качеству (2005 г.)- С. Войтенко; (2007 г.)- В. Семенов.</w:t>
      </w:r>
    </w:p>
    <w:p w14:paraId="1F1966A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по авиационным программам (2006 г.)- А. Ситнов.</w:t>
      </w:r>
    </w:p>
    <w:p w14:paraId="2C84BBF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директора моторного производства (2003 г.)- В.В. Омельченко.</w:t>
      </w:r>
    </w:p>
    <w:p w14:paraId="7B2BA04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инженер (-2000-06 г.-)- П.Д. Жеманюк.</w:t>
      </w:r>
    </w:p>
    <w:p w14:paraId="53B0FB2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гл. инженера (-1949 г.)- Н.А. Левченко.</w:t>
      </w:r>
    </w:p>
    <w:p w14:paraId="479F803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гл. технолога (-1954 г.)- Д.Ф. Зайцев.</w:t>
      </w:r>
    </w:p>
    <w:p w14:paraId="4D06027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Начальники цехов: механического (1944 г.-)- Д.Ф. Зайцев; экспериментального- Д.Ф. Зайцев.</w:t>
      </w:r>
    </w:p>
    <w:p w14:paraId="7A9A46B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начальника цеха: инструментального (1946 г.-)- Н.А. Левченко.</w:t>
      </w:r>
    </w:p>
    <w:p w14:paraId="0B976AA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iCs/>
          <w:color w:val="000000" w:themeColor="text1"/>
          <w:sz w:val="16"/>
          <w:szCs w:val="16"/>
        </w:rPr>
        <w:t>Производство: авиационные двигатели:</w:t>
      </w:r>
      <w:r w:rsidRPr="007224C3">
        <w:rPr>
          <w:rFonts w:ascii="Times New Roman" w:hAnsi="Times New Roman"/>
          <w:color w:val="000000" w:themeColor="text1"/>
          <w:sz w:val="16"/>
          <w:szCs w:val="16"/>
        </w:rPr>
        <w:t xml:space="preserve"> поршневые: М-88Б, М-11ФР (-1959), АИ-26ГР (1947)- 1300, АШ- 62ИР (1949-52); ГТД: РД-45Ф (1953-58), РД-500 (1956-), АИ-8 (1964-), АИ-9 (1967-)- более 2030, АИ-9В (1974)- более 3600, АИ-9-ЗБ (1997), ТВ-2Т, АИ-20 (1957-)- 14.000, АИ-24 (1961-)- более 11.700, АИ-25 (1967-)- 6500, АИ-25ТЛ (1973-)- 2650, АИ-30, Д-36 (1977-), Д-136 (1982-), Д-236, Д-436 (1992-2005-), ТВЗ-117 (1972-)- 22.000, Д-18Т (1985-), ТВЗ-117ВМА-СБМ1 (1997-), ВК-2500 (1999-2005-), ВК-1500 (2005), АИ-22 (2005), АИ-222-25 (2005), Д-27 (2005); бортовой энегроузел АИ-24УБЭ для самолета А-50 (1981); мотоциклетный двигатель М-72 (- 1947), судовой ГТД АИ-23С1 (1967-); передвижные автоматизированные электростанции ПАЭС-2500, ЭГ-1000 (2005), ЭГ-2500Т, ЭГ-6000 (2005), ЭГ-8000, ЭГ-10.000, ЭТД-1000; агрегат тепла и холода АТХ-50/50, генератор инертных газов МТ-1; '" ГТУ для нефтегазоперекачки Д-336, АИ-336 (2002).</w:t>
      </w:r>
    </w:p>
    <w:p w14:paraId="4AE3DE9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ОКБ-478 НКАП, МАП, Запорожское МКБ «Прогресс», ГП «ЗМКБ «Прогресс» им. академика А. Г. Ивченко», ГП «Экспериментально-исследовательский</w:t>
      </w:r>
    </w:p>
    <w:p w14:paraId="22DF10B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комплекс «Ивченко-Прогресс»</w:t>
      </w:r>
    </w:p>
    <w:p w14:paraId="6291D9E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/Украина 69068  г. Запорожье ул. Иванова, 2 тел. 65-03-27/</w:t>
      </w:r>
    </w:p>
    <w:p w14:paraId="106087E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Создано по приказу НКАП № 193с от 5.05.1945 г. на заводе № 478 как серийное КБ для доводки и освоения производства М-88Б, по этому же приказу сюда переданы работы по серии и модификациям М-88 из ОКБ-29. По приказу № 414сс от 1.07.1946 г. на базе СКБ создано ОКБ по ПД средней мощности.</w:t>
      </w:r>
    </w:p>
    <w:p w14:paraId="624B33E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1946 г. КБ поставлено 140 трофейных металлорежущих станков.</w:t>
      </w:r>
    </w:p>
    <w:p w14:paraId="7A126C6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После 1948 г. всем созданным двигателям присвоено наименование «АИ».</w:t>
      </w:r>
    </w:p>
    <w:p w14:paraId="2FD646B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 1953 г. разрабатывало поршневые двигатели, затем передало их в Воронеж, состедоточившись на разработке ТВД и ТВлД.</w:t>
      </w:r>
    </w:p>
    <w:p w14:paraId="4A63F8C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соответствии с пост. СМ СССР от 30.11.1955 г. о создании 4-моторного пассажирского самолета и двигателя для него началась разработка АИ-20. Задание также было выдано Люльке и Кузнецову.</w:t>
      </w:r>
    </w:p>
    <w:p w14:paraId="784CC94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08.1957 г.- в ведении ЗГУ МАП. В 1959 г. ОКБ выделилось из завода в самостоятельное предприятие.</w:t>
      </w:r>
    </w:p>
    <w:p w14:paraId="34D1BB5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Работы (2004 г.): проектирование, производство, испытание, доводка и ремонт ГТД (винтовентиляторные, винтовые, вентиляторные, турбовальные, ВСУ) авиационного и промышленного применения; ГШ для ГПА компрессорных станций и газлифтных установок; ГТП блочных электростанций; генератор инертных газов; малогабаритный газоперекачивающий агрегат, холодильные установки.</w:t>
      </w:r>
    </w:p>
    <w:p w14:paraId="6D0C2A9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Разработка модификаций Д-36: серий 4А, 5А, 5АФ.</w:t>
      </w:r>
    </w:p>
    <w:p w14:paraId="06CB52C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02.2007 г. КБ вошло в состав концерна «Авиация Украины». В 2007 г. планируется объединение ОАО «Мотор Сич» и ЗМКБ «Прогресс» в «Корпорацию Ивченко».</w:t>
      </w:r>
    </w:p>
    <w:p w14:paraId="4133677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конструктор (1945-63 г.)- А. Г. Ивченко. Ген. конструктор (1963-68 г.)- А. Г. Ивченко {23.11.1903- 30.06.1968}, (1968-89 г.)- В.А. Лотарев {15.11.1914-94}, (1989-2009 г.-)- Ф.М. Муравченко {18.03.1929-}.</w:t>
      </w:r>
    </w:p>
    <w:p w14:paraId="6C14615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(1945-68 г.)- А. Г. Ивченко, (1968-89 г.)- В.А. Лотарев, (1989-2005г,-)- Ф.М. Муравченко.</w:t>
      </w:r>
    </w:p>
    <w:p w14:paraId="64E854F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1-й зам. ген. конструктора (1967 г.-)- Ф.М. Муравченко, (-23.12.2002 г.)- В.И. Колесников, (-2004-05 г.-)- И.Ф. Кравченко. 2-й зам. ген. конструктора (2004 г.)-  Г.И. Пейчев. Зам. ген. Конструктора: по производству (2004 г.)- М. Г. Залунин; по маркетингу (2005 г.)- А.В. Гавришенко.</w:t>
      </w:r>
    </w:p>
    <w:p w14:paraId="4011B29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инженер (-2004-05 г.-)-  Г.И. Пейчев. Технический директор (2005 г.)-  Г.И. Пейчев.</w:t>
      </w:r>
    </w:p>
    <w:p w14:paraId="01FD6A0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конструкторы (1963-68 г.)- В.А. Лотарев, (1967 г.-)- Ф.М. Муравченко, (-23.12.2002 г.)- В.И. Колесников, (- 2004-05 г.-)- И.Ф. Кравченко, (2004 г.)- Л.И. Мартыненко.</w:t>
      </w:r>
    </w:p>
    <w:p w14:paraId="71D87AB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гл. конструктора (1948 г.-)- В.А. Лотарев, (06.1970-79 г.)- В.М. Чуйко.</w:t>
      </w:r>
    </w:p>
    <w:p w14:paraId="18E8638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iCs/>
          <w:color w:val="000000" w:themeColor="text1"/>
          <w:sz w:val="16"/>
          <w:szCs w:val="16"/>
        </w:rPr>
        <w:t>Создано: авиационные двигатели:</w:t>
      </w:r>
      <w:r w:rsidRPr="007224C3">
        <w:rPr>
          <w:rFonts w:ascii="Times New Roman" w:hAnsi="Times New Roman"/>
          <w:color w:val="000000" w:themeColor="text1"/>
          <w:sz w:val="16"/>
          <w:szCs w:val="16"/>
        </w:rPr>
        <w:t xml:space="preserve"> АИ-4Г для Ка-10 (1946-50), АИ-10 (1947), АИ-12, АИ-14, АИ-14Р (1950), АИ-26В (1947), М-26ГР (1947), М-27, М-10, ТВ-2Т и ТВ-2ВК на базе ТВ-2, АИ-20 (1957), АИ-24 (1961), АИ-25 (1967), АИ-25ТЛ для L-39 (1973), АИ-222, Д-36 (1974), Д-136 для Ми-26 (1978), Д-236Т (1985), Д-436 (1987), ДВ- 2 (1990), Д-18Т (1982), Д-27 (1988), АИ-22 (2000), АИ-222, АИ-436 (Д-436-12) для МС-21;</w:t>
      </w:r>
      <w:r w:rsidRPr="007224C3">
        <w:rPr>
          <w:rFonts w:ascii="Times New Roman" w:hAnsi="Times New Roman"/>
          <w:iCs/>
          <w:color w:val="000000" w:themeColor="text1"/>
          <w:sz w:val="16"/>
          <w:szCs w:val="16"/>
        </w:rPr>
        <w:t xml:space="preserve"> ВСУ:</w:t>
      </w:r>
      <w:r w:rsidRPr="007224C3">
        <w:rPr>
          <w:rFonts w:ascii="Times New Roman" w:hAnsi="Times New Roman"/>
          <w:color w:val="000000" w:themeColor="text1"/>
          <w:sz w:val="16"/>
          <w:szCs w:val="16"/>
        </w:rPr>
        <w:t xml:space="preserve"> АИ-7, АИ-8, АИ- 9, АИ-450МС для Ан-148 (2003); двигатели для буровых установок АИ-23СГ, для газоперекачивающих станций Д-336 (1989); промышленный ГТД АИ-21; генератор инертных газов ГиГ-4; бензопила «Дружба» (1958).</w:t>
      </w:r>
    </w:p>
    <w:p w14:paraId="263DE5B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ОАО «Волочиский машиностроительный завод» /Украина 281370  г. Волочиск Хмельницкой обл. тел. 21-355/</w:t>
      </w:r>
    </w:p>
    <w:p w14:paraId="2FA26A8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Основан в 1971 г. Входит в состав (2002 г.) ОАО «Мотор-Сич».</w:t>
      </w:r>
    </w:p>
    <w:p w14:paraId="04DCCC9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Работы (2002 г.): передвижные автоматизированные электростанции ПАЭС-2500; детали авиационных ГТД; инструмент, оснастка для ОАО «Мотор-Сич».</w:t>
      </w:r>
    </w:p>
    <w:p w14:paraId="25A10AF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Директор (1973-88 г.)- В.А. Богуслаев.</w:t>
      </w:r>
    </w:p>
    <w:p w14:paraId="2E2E0D8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Гуляйпольский механический завод /Украина 332837 п. Зализнычный Гуляйпольского р-на Запорожской обл. ул. Котовского, 2 тел. 90-124/</w:t>
      </w:r>
    </w:p>
    <w:p w14:paraId="37C9DA8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Входит в состав (2002 г.) ОАО «Мотор-Сич».</w:t>
      </w:r>
    </w:p>
    <w:p w14:paraId="55D1F2E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Производство (2002 г.): детали и узлы авиационных и наземных ГТД, запчасти к автомобилям.</w:t>
      </w:r>
      <w:r w:rsidRPr="007224C3">
        <w:rPr>
          <w:rFonts w:ascii="Times New Roman" w:hAnsi="Times New Roman"/>
          <w:color w:val="000000" w:themeColor="text1"/>
          <w:sz w:val="16"/>
          <w:szCs w:val="16"/>
          <w:vertAlign w:val="superscript"/>
        </w:rPr>
        <w:t>69</w:t>
      </w:r>
    </w:p>
    <w:p w14:paraId="7260F4D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Снежнянский машиностроительный завод /Украина 86503  г. Снежное Донецкой обл. ул. Терешковой, 3 тел. 53-096/</w:t>
      </w:r>
    </w:p>
    <w:p w14:paraId="0C9DC34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основан в 1970 г.</w:t>
      </w:r>
    </w:p>
    <w:p w14:paraId="1B597FA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iCs/>
          <w:color w:val="000000" w:themeColor="text1"/>
          <w:sz w:val="16"/>
          <w:szCs w:val="16"/>
        </w:rPr>
        <w:t>Производство:</w:t>
      </w:r>
      <w:r w:rsidRPr="007224C3">
        <w:rPr>
          <w:rFonts w:ascii="Times New Roman" w:hAnsi="Times New Roman"/>
          <w:color w:val="000000" w:themeColor="text1"/>
          <w:sz w:val="16"/>
          <w:szCs w:val="16"/>
        </w:rPr>
        <w:t xml:space="preserve"> лопатки компрессоров и турбин, диски компрессоров ГТД; детали двигателей АИ-25, Д-30, АИ-20, Д-18, ТВЗ-117, Д-127, Д-136; паровой котлоагрегат КПА-500 (2002 г.) (11982).</w:t>
      </w:r>
    </w:p>
    <w:p w14:paraId="5382924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333074F"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67AC472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7327AC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марта 1944 г. был изготовлен и отгружен заводом № 4 опытный образец 37-мм спаренной автоматической палубной установки (3861).</w:t>
      </w:r>
    </w:p>
    <w:p w14:paraId="469C4B4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00C4B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марта 1944 вышло Постановление ГКО № 5277 О срочных мерах по ликвидации последствий взрыва на заводах № 15 и 309 Наркомата боеприпасов. РГАНИР, Фонд ГКО, д. 215, лл. 1-16,17-21 (11012).</w:t>
      </w:r>
    </w:p>
    <w:p w14:paraId="3987D68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B3EEE6A" w14:textId="77777777" w:rsidR="00282955" w:rsidRPr="007224C3" w:rsidRDefault="00282955" w:rsidP="007224C3">
      <w:pPr>
        <w:pStyle w:val="a3"/>
        <w:rPr>
          <w:color w:val="000000" w:themeColor="text1"/>
          <w:lang w:val="ru-RU"/>
        </w:rPr>
      </w:pPr>
      <w:r w:rsidRPr="007224C3">
        <w:rPr>
          <w:color w:val="000000" w:themeColor="text1"/>
          <w:lang w:val="ru-RU"/>
        </w:rPr>
        <w:t>2 марта 1944 Артиллерийский комитет ГАУ КА утвердил Программу испытаний С-51. Самоходная установка поступила на АНИОП еще раньше — 26 февраля, спустя два дня прибыла техническая документа</w:t>
      </w:r>
      <w:r w:rsidRPr="007224C3">
        <w:rPr>
          <w:color w:val="000000" w:themeColor="text1"/>
          <w:lang w:val="ru-RU"/>
        </w:rPr>
        <w:softHyphen/>
        <w:t>ция. Проблему отсутствия на АНИОП подъемных средств решили тем, что разбор и обмер установочных частей гаубицы проводили на заводе №112. В полном объеме произвести необходимые работы по разбору, впрочем, не удалось. До начала испытаний С-51 прошла 150 киломе</w:t>
      </w:r>
      <w:r w:rsidRPr="007224C3">
        <w:rPr>
          <w:color w:val="000000" w:themeColor="text1"/>
          <w:lang w:val="ru-RU"/>
        </w:rPr>
        <w:softHyphen/>
        <w:t>тров пробега, из них 120 километров было пройдено от АНИОП до за</w:t>
      </w:r>
      <w:r w:rsidRPr="007224C3">
        <w:rPr>
          <w:color w:val="000000" w:themeColor="text1"/>
          <w:lang w:val="ru-RU"/>
        </w:rPr>
        <w:softHyphen/>
        <w:t>вода № 112 и обратно.</w:t>
      </w:r>
    </w:p>
    <w:p w14:paraId="284D1068" w14:textId="77777777" w:rsidR="00282955" w:rsidRPr="007224C3" w:rsidRDefault="00282955" w:rsidP="007224C3">
      <w:pPr>
        <w:pStyle w:val="a3"/>
        <w:rPr>
          <w:color w:val="000000" w:themeColor="text1"/>
          <w:lang w:val="ru-RU"/>
        </w:rPr>
      </w:pPr>
      <w:r w:rsidRPr="007224C3">
        <w:rPr>
          <w:color w:val="000000" w:themeColor="text1"/>
          <w:lang w:val="ru-RU"/>
        </w:rPr>
        <w:t>Испытания самоходной установки начались 16 марта 1943 года. Ввиду отсутствия на АНИОП фугасных снарядов для Б-4 стрельбу на кучность проводили бетонобойными боеприпасами, что одновремен</w:t>
      </w:r>
      <w:r w:rsidRPr="007224C3">
        <w:rPr>
          <w:color w:val="000000" w:themeColor="text1"/>
          <w:lang w:val="ru-RU"/>
        </w:rPr>
        <w:softHyphen/>
        <w:t>но сократило программу полигонных испытаний. 16-го числа было сделано 18 выстрелов. Всего же за время огневых испытаний, про</w:t>
      </w:r>
      <w:r w:rsidRPr="007224C3">
        <w:rPr>
          <w:color w:val="000000" w:themeColor="text1"/>
          <w:lang w:val="ru-RU"/>
        </w:rPr>
        <w:softHyphen/>
        <w:t>должавшихся до 24 марта, было произведено 209 выстрелов, из них 135 усиленным зарядом.</w:t>
      </w:r>
    </w:p>
    <w:p w14:paraId="2F7B2C97" w14:textId="77777777" w:rsidR="00282955" w:rsidRPr="007224C3" w:rsidRDefault="00282955" w:rsidP="007224C3">
      <w:pPr>
        <w:pStyle w:val="a3"/>
        <w:rPr>
          <w:color w:val="000000" w:themeColor="text1"/>
          <w:lang w:val="ru-RU"/>
        </w:rPr>
      </w:pPr>
      <w:r w:rsidRPr="007224C3">
        <w:rPr>
          <w:color w:val="000000" w:themeColor="text1"/>
          <w:lang w:val="ru-RU"/>
        </w:rPr>
        <w:t>В ходе стрельбы под углом 30 градусов выяснилось, что во время про</w:t>
      </w:r>
      <w:r w:rsidRPr="007224C3">
        <w:rPr>
          <w:color w:val="000000" w:themeColor="text1"/>
          <w:lang w:val="ru-RU"/>
        </w:rPr>
        <w:softHyphen/>
        <w:t>ведения выстрела С-51 отходит на 1000 — 1300 мм, а накат вперед состав</w:t>
      </w:r>
      <w:r w:rsidRPr="007224C3">
        <w:rPr>
          <w:color w:val="000000" w:themeColor="text1"/>
          <w:lang w:val="ru-RU"/>
        </w:rPr>
        <w:softHyphen/>
        <w:t>лял 200 мм. При стрельбе носовая часть самоходной установки поднима</w:t>
      </w:r>
      <w:r w:rsidRPr="007224C3">
        <w:rPr>
          <w:color w:val="000000" w:themeColor="text1"/>
          <w:lang w:val="ru-RU"/>
        </w:rPr>
        <w:softHyphen/>
        <w:t>лась вверх на величину от 250 до 450 мм, в то время как корма приседала на 200—300 мм. Одновременно отмечалось, что величина прыжка право</w:t>
      </w:r>
      <w:r w:rsidRPr="007224C3">
        <w:rPr>
          <w:color w:val="000000" w:themeColor="text1"/>
          <w:lang w:val="ru-RU"/>
        </w:rPr>
        <w:softHyphen/>
        <w:t>го борта была на 100 мм выше, чем левого. При стрельбе на угол 45</w:t>
      </w:r>
      <w:r w:rsidRPr="007224C3">
        <w:rPr>
          <w:rStyle w:val="BodytextConstantia"/>
          <w:rFonts w:ascii="Times New Roman" w:hAnsi="Times New Roman" w:cs="Times New Roman"/>
          <w:b w:val="0"/>
          <w:color w:val="000000" w:themeColor="text1"/>
          <w:sz w:val="16"/>
          <w:szCs w:val="16"/>
          <w:lang w:val="ru-RU"/>
        </w:rPr>
        <w:t>гра</w:t>
      </w:r>
      <w:r w:rsidRPr="007224C3">
        <w:rPr>
          <w:color w:val="000000" w:themeColor="text1"/>
          <w:lang w:val="ru-RU"/>
        </w:rPr>
        <w:t>дусов отход самохода достигал 750—1000 мм, а накат 330 мм, носоваячасть поднималась на 100—180 мм, а кормовая приседала на 120—140 мм. Стрельба на угле 57 градусов выявила отход 400—750 мм, накат 300 мм, подъем носовой части на 60—150 мм, а оседание кормовой части на 50— 100 мм. Таким образом, устойчивость С-51 признали неудовлетвори</w:t>
      </w:r>
      <w:r w:rsidRPr="007224C3">
        <w:rPr>
          <w:color w:val="000000" w:themeColor="text1"/>
          <w:lang w:val="ru-RU"/>
        </w:rPr>
        <w:softHyphen/>
        <w:t>тельной, кроме того, отмечалась высокая сбиваемость прицела.</w:t>
      </w:r>
    </w:p>
    <w:p w14:paraId="236A6949" w14:textId="77777777" w:rsidR="00282955" w:rsidRPr="007224C3" w:rsidRDefault="00282955" w:rsidP="007224C3">
      <w:pPr>
        <w:pStyle w:val="a3"/>
        <w:rPr>
          <w:color w:val="000000" w:themeColor="text1"/>
          <w:lang w:val="ru-RU"/>
        </w:rPr>
      </w:pPr>
      <w:r w:rsidRPr="007224C3">
        <w:rPr>
          <w:color w:val="000000" w:themeColor="text1"/>
          <w:lang w:val="ru-RU"/>
        </w:rPr>
        <w:t>Стрельба на прочность (100 выстрелов усиленным зарядом) про</w:t>
      </w:r>
      <w:r w:rsidRPr="007224C3">
        <w:rPr>
          <w:color w:val="000000" w:themeColor="text1"/>
          <w:lang w:val="ru-RU"/>
        </w:rPr>
        <w:softHyphen/>
        <w:t>блем не выявила, повреждений осмотром не обнаружилось. Испыта</w:t>
      </w:r>
      <w:r w:rsidRPr="007224C3">
        <w:rPr>
          <w:color w:val="000000" w:themeColor="text1"/>
          <w:lang w:val="ru-RU"/>
        </w:rPr>
        <w:softHyphen/>
        <w:t>ния на скорострельность, в которых принимало участие 7 человек рас</w:t>
      </w:r>
      <w:r w:rsidRPr="007224C3">
        <w:rPr>
          <w:color w:val="000000" w:themeColor="text1"/>
          <w:lang w:val="ru-RU"/>
        </w:rPr>
        <w:softHyphen/>
        <w:t>чета, выявила среднюю цифру, равную 1 выстрелу в 1,5 минуты.</w:t>
      </w:r>
    </w:p>
    <w:p w14:paraId="4455D37C" w14:textId="77777777" w:rsidR="00282955" w:rsidRPr="007224C3" w:rsidRDefault="00282955" w:rsidP="007224C3">
      <w:pPr>
        <w:pStyle w:val="a3"/>
        <w:rPr>
          <w:color w:val="000000" w:themeColor="text1"/>
          <w:lang w:val="ru-RU"/>
        </w:rPr>
      </w:pPr>
      <w:r w:rsidRPr="007224C3">
        <w:rPr>
          <w:color w:val="000000" w:themeColor="text1"/>
          <w:lang w:val="ru-RU"/>
        </w:rPr>
        <w:t>Испытания пробегом проводились с 25 марта по 4 апреля. Само</w:t>
      </w:r>
      <w:r w:rsidRPr="007224C3">
        <w:rPr>
          <w:color w:val="000000" w:themeColor="text1"/>
          <w:lang w:val="ru-RU"/>
        </w:rPr>
        <w:softHyphen/>
        <w:t>ходную установку проверяли в различных дорожных условиях, глуби</w:t>
      </w:r>
      <w:r w:rsidRPr="007224C3">
        <w:rPr>
          <w:color w:val="000000" w:themeColor="text1"/>
          <w:lang w:val="ru-RU"/>
        </w:rPr>
        <w:softHyphen/>
        <w:t>на снежного покрова при этом достигала 200 мм. В общей сложности С-51 прошла 524 километра, из них 16 по булыжной мостовой и 40 по бездорожью. Основной объем ходовых испытаний пришелся на ас</w:t>
      </w:r>
      <w:r w:rsidRPr="007224C3">
        <w:rPr>
          <w:color w:val="000000" w:themeColor="text1"/>
          <w:lang w:val="ru-RU"/>
        </w:rPr>
        <w:softHyphen/>
        <w:t>фальтированное шоссе, поскольку требовались поездки на завод № 112. В ходе ходовых испытаний на шоссе была достигнута максимальная скорость 32 км/ч, а по бездорожью 22 км/ч. Специальных испыта</w:t>
      </w:r>
      <w:r w:rsidRPr="007224C3">
        <w:rPr>
          <w:color w:val="000000" w:themeColor="text1"/>
          <w:lang w:val="ru-RU"/>
        </w:rPr>
        <w:softHyphen/>
        <w:t>ний не проводилось, поскольку имелись различные поломки ходовой части. На 240-м километре вышли их строя правый бортовой фрикци</w:t>
      </w:r>
      <w:r w:rsidRPr="007224C3">
        <w:rPr>
          <w:color w:val="000000" w:themeColor="text1"/>
          <w:lang w:val="ru-RU"/>
        </w:rPr>
        <w:softHyphen/>
        <w:t>он и тормозная лента, еще раз правый фрикцион дал о себе знать на 360-м километре. Несколько раз имели место проблемы с гусеничны</w:t>
      </w:r>
      <w:r w:rsidRPr="007224C3">
        <w:rPr>
          <w:color w:val="000000" w:themeColor="text1"/>
          <w:lang w:val="ru-RU"/>
        </w:rPr>
        <w:softHyphen/>
        <w:t>ми лентами, срезало болты на крышках катков. Вместе с тем с двига</w:t>
      </w:r>
      <w:r w:rsidRPr="007224C3">
        <w:rPr>
          <w:color w:val="000000" w:themeColor="text1"/>
          <w:lang w:val="ru-RU"/>
        </w:rPr>
        <w:softHyphen/>
        <w:t>телем и торсионами проблем не возникало, что лишний раз подтверж</w:t>
      </w:r>
      <w:r w:rsidRPr="007224C3">
        <w:rPr>
          <w:color w:val="000000" w:themeColor="text1"/>
          <w:lang w:val="ru-RU"/>
        </w:rPr>
        <w:softHyphen/>
        <w:t>дало прочность ходовой части после программы огневых испытаний.</w:t>
      </w:r>
    </w:p>
    <w:p w14:paraId="2B9F1E34" w14:textId="77777777" w:rsidR="00282955" w:rsidRPr="007224C3" w:rsidRDefault="00282955" w:rsidP="007224C3">
      <w:pPr>
        <w:pStyle w:val="a3"/>
        <w:rPr>
          <w:color w:val="000000" w:themeColor="text1"/>
          <w:lang w:val="ru-RU"/>
        </w:rPr>
      </w:pPr>
      <w:r w:rsidRPr="007224C3">
        <w:rPr>
          <w:color w:val="000000" w:themeColor="text1"/>
          <w:lang w:val="ru-RU"/>
        </w:rPr>
        <w:t>Завершились испытания 6 апреля, а 9-го числа комиссия АНИОП дала заключение по их результатам:</w:t>
      </w:r>
    </w:p>
    <w:p w14:paraId="125688C9" w14:textId="77777777" w:rsidR="00282955" w:rsidRPr="007224C3" w:rsidRDefault="00282955" w:rsidP="007224C3">
      <w:pPr>
        <w:pStyle w:val="Bodytext141"/>
        <w:shd w:val="clear" w:color="auto" w:fill="auto"/>
        <w:spacing w:line="240" w:lineRule="auto"/>
        <w:ind w:firstLine="0"/>
        <w:jc w:val="both"/>
        <w:rPr>
          <w:i w:val="0"/>
          <w:color w:val="000000" w:themeColor="text1"/>
          <w:sz w:val="16"/>
          <w:szCs w:val="16"/>
        </w:rPr>
      </w:pPr>
      <w:r w:rsidRPr="007224C3">
        <w:rPr>
          <w:i w:val="0"/>
          <w:color w:val="000000" w:themeColor="text1"/>
          <w:sz w:val="16"/>
          <w:szCs w:val="16"/>
        </w:rPr>
        <w:t>«1. Самоходная гаубица «С-51» в основном испытания выдержала,</w:t>
      </w:r>
    </w:p>
    <w:p w14:paraId="1CCA3CF8" w14:textId="77777777" w:rsidR="00282955" w:rsidRPr="007224C3" w:rsidRDefault="00282955" w:rsidP="007224C3">
      <w:pPr>
        <w:pStyle w:val="Bodytext141"/>
        <w:shd w:val="clear" w:color="auto" w:fill="auto"/>
        <w:spacing w:line="240" w:lineRule="auto"/>
        <w:ind w:firstLine="0"/>
        <w:jc w:val="both"/>
        <w:rPr>
          <w:i w:val="0"/>
          <w:color w:val="000000" w:themeColor="text1"/>
          <w:sz w:val="16"/>
          <w:szCs w:val="16"/>
        </w:rPr>
      </w:pPr>
      <w:r w:rsidRPr="007224C3">
        <w:rPr>
          <w:i w:val="0"/>
          <w:color w:val="000000" w:themeColor="text1"/>
          <w:sz w:val="16"/>
          <w:szCs w:val="16"/>
        </w:rPr>
        <w:t>так как:</w:t>
      </w:r>
    </w:p>
    <w:p w14:paraId="1591C78B" w14:textId="77777777" w:rsidR="00282955" w:rsidRPr="007224C3" w:rsidRDefault="00282955" w:rsidP="007224C3">
      <w:pPr>
        <w:pStyle w:val="Bodytext141"/>
        <w:shd w:val="clear" w:color="auto" w:fill="auto"/>
        <w:tabs>
          <w:tab w:val="left" w:pos="905"/>
        </w:tabs>
        <w:spacing w:line="240" w:lineRule="auto"/>
        <w:ind w:firstLine="0"/>
        <w:jc w:val="both"/>
        <w:rPr>
          <w:i w:val="0"/>
          <w:color w:val="000000" w:themeColor="text1"/>
          <w:sz w:val="16"/>
          <w:szCs w:val="16"/>
        </w:rPr>
      </w:pPr>
      <w:r w:rsidRPr="007224C3">
        <w:rPr>
          <w:i w:val="0"/>
          <w:color w:val="000000" w:themeColor="text1"/>
          <w:sz w:val="16"/>
          <w:szCs w:val="16"/>
        </w:rPr>
        <w:t>а) работа и прочность агрегатов и механизмов орудия — удовлет</w:t>
      </w:r>
      <w:r w:rsidRPr="007224C3">
        <w:rPr>
          <w:i w:val="0"/>
          <w:color w:val="000000" w:themeColor="text1"/>
          <w:sz w:val="16"/>
          <w:szCs w:val="16"/>
        </w:rPr>
        <w:softHyphen/>
        <w:t>ворительные.</w:t>
      </w:r>
    </w:p>
    <w:p w14:paraId="14A0E3FC" w14:textId="77777777" w:rsidR="00282955" w:rsidRPr="007224C3" w:rsidRDefault="00282955" w:rsidP="007224C3">
      <w:pPr>
        <w:pStyle w:val="Bodytext141"/>
        <w:shd w:val="clear" w:color="auto" w:fill="auto"/>
        <w:tabs>
          <w:tab w:val="left" w:pos="900"/>
        </w:tabs>
        <w:spacing w:line="240" w:lineRule="auto"/>
        <w:ind w:firstLine="0"/>
        <w:jc w:val="both"/>
        <w:rPr>
          <w:i w:val="0"/>
          <w:color w:val="000000" w:themeColor="text1"/>
          <w:sz w:val="16"/>
          <w:szCs w:val="16"/>
        </w:rPr>
      </w:pPr>
      <w:r w:rsidRPr="007224C3">
        <w:rPr>
          <w:i w:val="0"/>
          <w:color w:val="000000" w:themeColor="text1"/>
          <w:sz w:val="16"/>
          <w:szCs w:val="16"/>
        </w:rPr>
        <w:t>б) прочность установочных частей орудия — достаточная.</w:t>
      </w:r>
    </w:p>
    <w:p w14:paraId="7B56EEC5" w14:textId="77777777" w:rsidR="00282955" w:rsidRPr="007224C3" w:rsidRDefault="00282955" w:rsidP="007224C3">
      <w:pPr>
        <w:pStyle w:val="Bodytext141"/>
        <w:shd w:val="clear" w:color="auto" w:fill="auto"/>
        <w:tabs>
          <w:tab w:val="left" w:pos="866"/>
        </w:tabs>
        <w:spacing w:line="240" w:lineRule="auto"/>
        <w:ind w:firstLine="0"/>
        <w:jc w:val="both"/>
        <w:rPr>
          <w:i w:val="0"/>
          <w:color w:val="000000" w:themeColor="text1"/>
          <w:sz w:val="16"/>
          <w:szCs w:val="16"/>
        </w:rPr>
      </w:pPr>
      <w:r w:rsidRPr="007224C3">
        <w:rPr>
          <w:i w:val="0"/>
          <w:color w:val="000000" w:themeColor="text1"/>
          <w:sz w:val="16"/>
          <w:szCs w:val="16"/>
        </w:rPr>
        <w:t>в) работа и прочность агрегатов и механизмов самохода — удовлет</w:t>
      </w:r>
      <w:r w:rsidRPr="007224C3">
        <w:rPr>
          <w:i w:val="0"/>
          <w:color w:val="000000" w:themeColor="text1"/>
          <w:sz w:val="16"/>
          <w:szCs w:val="16"/>
        </w:rPr>
        <w:softHyphen/>
        <w:t>ворительная, за исключением трансмиссионной группы, которая во время испытаний имела ряд дефектов, вызванных общим пло</w:t>
      </w:r>
      <w:r w:rsidRPr="007224C3">
        <w:rPr>
          <w:i w:val="0"/>
          <w:color w:val="000000" w:themeColor="text1"/>
          <w:sz w:val="16"/>
          <w:szCs w:val="16"/>
        </w:rPr>
        <w:softHyphen/>
        <w:t>хим техническим состоянием ее до испытаний и изношенностью деталей.</w:t>
      </w:r>
    </w:p>
    <w:p w14:paraId="5112EC8F" w14:textId="77777777" w:rsidR="00282955" w:rsidRPr="007224C3" w:rsidRDefault="00282955" w:rsidP="007224C3">
      <w:pPr>
        <w:pStyle w:val="Bodytext141"/>
        <w:shd w:val="clear" w:color="auto" w:fill="auto"/>
        <w:spacing w:line="240" w:lineRule="auto"/>
        <w:ind w:firstLine="0"/>
        <w:jc w:val="both"/>
        <w:rPr>
          <w:i w:val="0"/>
          <w:color w:val="000000" w:themeColor="text1"/>
          <w:sz w:val="16"/>
          <w:szCs w:val="16"/>
        </w:rPr>
      </w:pPr>
      <w:r w:rsidRPr="007224C3">
        <w:rPr>
          <w:i w:val="0"/>
          <w:color w:val="000000" w:themeColor="text1"/>
          <w:sz w:val="16"/>
          <w:szCs w:val="16"/>
        </w:rPr>
        <w:t>2. Существенными недостатками самоходной гаубицы «С-51» при</w:t>
      </w:r>
    </w:p>
    <w:p w14:paraId="5E0A007D" w14:textId="77777777" w:rsidR="00282955" w:rsidRPr="007224C3" w:rsidRDefault="00282955" w:rsidP="007224C3">
      <w:pPr>
        <w:pStyle w:val="Bodytext141"/>
        <w:shd w:val="clear" w:color="auto" w:fill="auto"/>
        <w:spacing w:line="240" w:lineRule="auto"/>
        <w:ind w:firstLine="0"/>
        <w:jc w:val="both"/>
        <w:rPr>
          <w:i w:val="0"/>
          <w:color w:val="000000" w:themeColor="text1"/>
          <w:sz w:val="16"/>
          <w:szCs w:val="16"/>
        </w:rPr>
      </w:pPr>
      <w:r w:rsidRPr="007224C3">
        <w:rPr>
          <w:i w:val="0"/>
          <w:color w:val="000000" w:themeColor="text1"/>
          <w:sz w:val="16"/>
          <w:szCs w:val="16"/>
        </w:rPr>
        <w:t>стрельбе являются:</w:t>
      </w:r>
    </w:p>
    <w:p w14:paraId="40C1B3BF" w14:textId="77777777" w:rsidR="00282955" w:rsidRPr="007224C3" w:rsidRDefault="00282955" w:rsidP="007224C3">
      <w:pPr>
        <w:pStyle w:val="Bodytext141"/>
        <w:shd w:val="clear" w:color="auto" w:fill="auto"/>
        <w:tabs>
          <w:tab w:val="left" w:pos="905"/>
        </w:tabs>
        <w:spacing w:line="240" w:lineRule="auto"/>
        <w:ind w:firstLine="0"/>
        <w:jc w:val="both"/>
        <w:rPr>
          <w:i w:val="0"/>
          <w:color w:val="000000" w:themeColor="text1"/>
          <w:sz w:val="16"/>
          <w:szCs w:val="16"/>
        </w:rPr>
      </w:pPr>
      <w:r w:rsidRPr="007224C3">
        <w:rPr>
          <w:i w:val="0"/>
          <w:color w:val="000000" w:themeColor="text1"/>
          <w:sz w:val="16"/>
          <w:szCs w:val="16"/>
        </w:rPr>
        <w:t>а) большой отход назад и сбиваемость наводки, особенно при малых углах возвышения, вследствие неудовлетворительной устойчиво</w:t>
      </w:r>
      <w:r w:rsidRPr="007224C3">
        <w:rPr>
          <w:i w:val="0"/>
          <w:color w:val="000000" w:themeColor="text1"/>
          <w:sz w:val="16"/>
          <w:szCs w:val="16"/>
        </w:rPr>
        <w:softHyphen/>
        <w:t>сти самохода при выстреле.</w:t>
      </w:r>
    </w:p>
    <w:p w14:paraId="62197549" w14:textId="77777777" w:rsidR="00282955" w:rsidRPr="007224C3" w:rsidRDefault="0028295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Большое боковое рассеивание снарядов вследствие бокового сме</w:t>
      </w:r>
      <w:r w:rsidRPr="007224C3">
        <w:rPr>
          <w:rFonts w:ascii="Times New Roman" w:hAnsi="Times New Roman"/>
          <w:color w:val="000000" w:themeColor="text1"/>
          <w:sz w:val="16"/>
          <w:szCs w:val="16"/>
        </w:rPr>
        <w:softHyphen/>
        <w:t>щения орудия при выстреле.</w:t>
      </w:r>
    </w:p>
    <w:p w14:paraId="05B555A1" w14:textId="77777777" w:rsidR="00282955" w:rsidRPr="007224C3" w:rsidRDefault="00282955" w:rsidP="007224C3">
      <w:pPr>
        <w:pStyle w:val="Bodytext141"/>
        <w:shd w:val="clear" w:color="auto" w:fill="auto"/>
        <w:spacing w:line="240" w:lineRule="auto"/>
        <w:ind w:firstLine="0"/>
        <w:jc w:val="both"/>
        <w:rPr>
          <w:i w:val="0"/>
          <w:color w:val="000000" w:themeColor="text1"/>
          <w:sz w:val="16"/>
          <w:szCs w:val="16"/>
        </w:rPr>
      </w:pPr>
      <w:r w:rsidRPr="007224C3">
        <w:rPr>
          <w:i w:val="0"/>
          <w:color w:val="000000" w:themeColor="text1"/>
          <w:sz w:val="16"/>
          <w:szCs w:val="16"/>
        </w:rPr>
        <w:t>Данные недостатки возможно устранить путем постановки сошни</w:t>
      </w:r>
      <w:r w:rsidRPr="007224C3">
        <w:rPr>
          <w:i w:val="0"/>
          <w:color w:val="000000" w:themeColor="text1"/>
          <w:sz w:val="16"/>
          <w:szCs w:val="16"/>
        </w:rPr>
        <w:softHyphen/>
        <w:t>ков в задней части корпуса самохода, как это было применено на 203-мм самоходной установке «СУ-14» конструкции и изготовления Кировского завода, проходившей испытания на НИАПе в 1936 году.</w:t>
      </w:r>
    </w:p>
    <w:p w14:paraId="18A2A861" w14:textId="77777777" w:rsidR="00282955" w:rsidRPr="007224C3" w:rsidRDefault="00282955" w:rsidP="007224C3">
      <w:pPr>
        <w:pStyle w:val="Bodytext141"/>
        <w:shd w:val="clear" w:color="auto" w:fill="auto"/>
        <w:spacing w:line="240" w:lineRule="auto"/>
        <w:ind w:firstLine="0"/>
        <w:jc w:val="both"/>
        <w:rPr>
          <w:i w:val="0"/>
          <w:color w:val="000000" w:themeColor="text1"/>
          <w:sz w:val="16"/>
          <w:szCs w:val="16"/>
        </w:rPr>
      </w:pPr>
      <w:r w:rsidRPr="007224C3">
        <w:rPr>
          <w:i w:val="0"/>
          <w:color w:val="000000" w:themeColor="text1"/>
          <w:sz w:val="16"/>
          <w:szCs w:val="16"/>
        </w:rPr>
        <w:t>Учитывая, что гаубица в основном будет вести стрельбу при больших углах возвышения, при которых отход назад и сбиваемость наводки менее значительны, для устранения отхода самохода при сравнительно редких и эпизодических стрельбах под малыми углами возвышения можно реко</w:t>
      </w:r>
      <w:r w:rsidRPr="007224C3">
        <w:rPr>
          <w:i w:val="0"/>
          <w:color w:val="000000" w:themeColor="text1"/>
          <w:sz w:val="16"/>
          <w:szCs w:val="16"/>
        </w:rPr>
        <w:softHyphen/>
        <w:t>мендовать подкладывать сзади под гусеницы деревянные брусья из подруч</w:t>
      </w:r>
      <w:r w:rsidRPr="007224C3">
        <w:rPr>
          <w:i w:val="0"/>
          <w:color w:val="000000" w:themeColor="text1"/>
          <w:sz w:val="16"/>
          <w:szCs w:val="16"/>
        </w:rPr>
        <w:softHyphen/>
        <w:t>ного материала.</w:t>
      </w:r>
    </w:p>
    <w:p w14:paraId="33224F21" w14:textId="77777777" w:rsidR="00282955" w:rsidRPr="007224C3" w:rsidRDefault="00282955" w:rsidP="007224C3">
      <w:pPr>
        <w:pStyle w:val="Bodytext141"/>
        <w:shd w:val="clear" w:color="auto" w:fill="auto"/>
        <w:spacing w:line="240" w:lineRule="auto"/>
        <w:ind w:firstLine="0"/>
        <w:jc w:val="both"/>
        <w:rPr>
          <w:i w:val="0"/>
          <w:color w:val="000000" w:themeColor="text1"/>
          <w:sz w:val="16"/>
          <w:szCs w:val="16"/>
        </w:rPr>
      </w:pPr>
      <w:r w:rsidRPr="007224C3">
        <w:rPr>
          <w:i w:val="0"/>
          <w:color w:val="000000" w:themeColor="text1"/>
          <w:sz w:val="16"/>
          <w:szCs w:val="16"/>
        </w:rPr>
        <w:t>3. АНИОП считает, что 203 мм самоходная гаубица «С-51 по срав</w:t>
      </w:r>
      <w:r w:rsidRPr="007224C3">
        <w:rPr>
          <w:i w:val="0"/>
          <w:color w:val="000000" w:themeColor="text1"/>
          <w:sz w:val="16"/>
          <w:szCs w:val="16"/>
        </w:rPr>
        <w:softHyphen/>
        <w:t>нению с 203-мм гаубицей «Б-4» обладает большей маневренностью движения и огня при сохранении своего огневого могущества и по устранении недостатков, выявленных при испытании и отмеченных в настоящем отчете, может быть рекомендована на вооружение Красной Армии» (17484).</w:t>
      </w:r>
    </w:p>
    <w:p w14:paraId="4642802D" w14:textId="77777777" w:rsidR="00282955" w:rsidRPr="007224C3" w:rsidRDefault="00282955" w:rsidP="007224C3">
      <w:pPr>
        <w:spacing w:after="0" w:line="240" w:lineRule="auto"/>
        <w:jc w:val="both"/>
        <w:rPr>
          <w:rFonts w:ascii="Times New Roman" w:hAnsi="Times New Roman"/>
          <w:color w:val="000000" w:themeColor="text1"/>
          <w:sz w:val="16"/>
          <w:szCs w:val="16"/>
        </w:rPr>
      </w:pPr>
    </w:p>
    <w:p w14:paraId="003C1A5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марта 1944 г. были подготовлены СВЕДЕНИЯ О ВЫПОЛНЕНИИ ЗАВОДАМИ ПРОМЫШЛЕННОСТИ ПЛАНА ПОСТАВКИ САМОХОДНЫХ АРТУСТАНОВОК В 1943 ГОДУ</w:t>
      </w:r>
    </w:p>
    <w:tbl>
      <w:tblPr>
        <w:tblW w:w="0" w:type="auto"/>
        <w:tblInd w:w="40" w:type="dxa"/>
        <w:tblLayout w:type="fixed"/>
        <w:tblCellMar>
          <w:left w:w="40" w:type="dxa"/>
          <w:right w:w="40" w:type="dxa"/>
        </w:tblCellMar>
        <w:tblLook w:val="0000" w:firstRow="0" w:lastRow="0" w:firstColumn="0" w:lastColumn="0" w:noHBand="0" w:noVBand="0"/>
      </w:tblPr>
      <w:tblGrid>
        <w:gridCol w:w="2035"/>
        <w:gridCol w:w="10"/>
        <w:gridCol w:w="1180"/>
        <w:gridCol w:w="30"/>
        <w:gridCol w:w="1612"/>
        <w:gridCol w:w="30"/>
        <w:gridCol w:w="1544"/>
        <w:gridCol w:w="30"/>
        <w:gridCol w:w="1544"/>
        <w:gridCol w:w="30"/>
        <w:gridCol w:w="1564"/>
        <w:gridCol w:w="10"/>
      </w:tblGrid>
      <w:tr w:rsidR="005106D0" w:rsidRPr="007224C3" w14:paraId="7898B1AB" w14:textId="77777777">
        <w:trPr>
          <w:gridAfter w:val="1"/>
          <w:wAfter w:w="10" w:type="dxa"/>
          <w:trHeight w:val="250"/>
        </w:trPr>
        <w:tc>
          <w:tcPr>
            <w:tcW w:w="3225" w:type="dxa"/>
            <w:gridSpan w:val="3"/>
            <w:tcBorders>
              <w:top w:val="single" w:sz="6" w:space="0" w:color="auto"/>
              <w:left w:val="single" w:sz="6" w:space="0" w:color="auto"/>
              <w:bottom w:val="single" w:sz="6" w:space="0" w:color="auto"/>
              <w:right w:val="single" w:sz="6" w:space="0" w:color="auto"/>
            </w:tcBorders>
          </w:tcPr>
          <w:p w14:paraId="1CCC175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CA8F96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597458C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Полугодие</w:t>
            </w:r>
          </w:p>
          <w:p w14:paraId="5F7FAAC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3FC698B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1-е полугодие:</w:t>
            </w:r>
          </w:p>
          <w:p w14:paraId="40DE505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2BBD16F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2-е полугодие:</w:t>
            </w:r>
          </w:p>
          <w:p w14:paraId="1026B0C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gridSpan w:val="2"/>
            <w:tcBorders>
              <w:top w:val="single" w:sz="6" w:space="0" w:color="auto"/>
              <w:left w:val="single" w:sz="6" w:space="0" w:color="auto"/>
              <w:bottom w:val="single" w:sz="6" w:space="0" w:color="auto"/>
              <w:right w:val="single" w:sz="6" w:space="0" w:color="auto"/>
            </w:tcBorders>
          </w:tcPr>
          <w:p w14:paraId="3758EB8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 за 1943 г.:</w:t>
            </w:r>
          </w:p>
          <w:p w14:paraId="69518CF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4DE2A8B" w14:textId="77777777">
        <w:trPr>
          <w:gridAfter w:val="1"/>
          <w:wAfter w:w="10" w:type="dxa"/>
          <w:trHeight w:val="269"/>
        </w:trPr>
        <w:tc>
          <w:tcPr>
            <w:tcW w:w="2035" w:type="dxa"/>
            <w:tcBorders>
              <w:top w:val="single" w:sz="6" w:space="0" w:color="auto"/>
              <w:left w:val="single" w:sz="6" w:space="0" w:color="auto"/>
              <w:bottom w:val="nil"/>
              <w:right w:val="single" w:sz="6" w:space="0" w:color="auto"/>
            </w:tcBorders>
          </w:tcPr>
          <w:p w14:paraId="14E4EF3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Кировский завод НКТП</w:t>
            </w:r>
          </w:p>
          <w:p w14:paraId="2DB9379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gridSpan w:val="2"/>
            <w:tcBorders>
              <w:top w:val="single" w:sz="6" w:space="0" w:color="auto"/>
              <w:left w:val="single" w:sz="6" w:space="0" w:color="auto"/>
              <w:bottom w:val="nil"/>
              <w:right w:val="single" w:sz="6" w:space="0" w:color="auto"/>
            </w:tcBorders>
          </w:tcPr>
          <w:p w14:paraId="3596814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СУ-152</w:t>
            </w:r>
          </w:p>
          <w:p w14:paraId="69EB8B4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0C4B7CB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План</w:t>
            </w:r>
          </w:p>
          <w:p w14:paraId="46FB278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2C27693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345</w:t>
            </w:r>
          </w:p>
          <w:p w14:paraId="7EFC254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2A2F7E9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374</w:t>
            </w:r>
          </w:p>
          <w:p w14:paraId="7B17761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gridSpan w:val="2"/>
            <w:tcBorders>
              <w:top w:val="single" w:sz="6" w:space="0" w:color="auto"/>
              <w:left w:val="single" w:sz="6" w:space="0" w:color="auto"/>
              <w:bottom w:val="single" w:sz="6" w:space="0" w:color="auto"/>
              <w:right w:val="single" w:sz="6" w:space="0" w:color="auto"/>
            </w:tcBorders>
          </w:tcPr>
          <w:p w14:paraId="4E1A1C0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719</w:t>
            </w:r>
          </w:p>
          <w:p w14:paraId="5AB24A6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F1A5A9E" w14:textId="77777777">
        <w:trPr>
          <w:gridAfter w:val="1"/>
          <w:wAfter w:w="10" w:type="dxa"/>
          <w:trHeight w:val="259"/>
        </w:trPr>
        <w:tc>
          <w:tcPr>
            <w:tcW w:w="2035" w:type="dxa"/>
            <w:tcBorders>
              <w:top w:val="nil"/>
              <w:left w:val="single" w:sz="6" w:space="0" w:color="auto"/>
              <w:bottom w:val="nil"/>
              <w:right w:val="single" w:sz="6" w:space="0" w:color="auto"/>
            </w:tcBorders>
          </w:tcPr>
          <w:p w14:paraId="5A12BC0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BC47F3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190" w:type="dxa"/>
            <w:gridSpan w:val="2"/>
            <w:tcBorders>
              <w:top w:val="nil"/>
              <w:left w:val="single" w:sz="6" w:space="0" w:color="auto"/>
              <w:bottom w:val="nil"/>
              <w:right w:val="single" w:sz="6" w:space="0" w:color="auto"/>
            </w:tcBorders>
          </w:tcPr>
          <w:p w14:paraId="5C5006B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51E6FC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7BB1E75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Поставка</w:t>
            </w:r>
          </w:p>
          <w:p w14:paraId="73052FE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290C74D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290</w:t>
            </w:r>
          </w:p>
          <w:p w14:paraId="5DEAF23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195ACB8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378</w:t>
            </w:r>
          </w:p>
          <w:p w14:paraId="4B3DA4B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gridSpan w:val="2"/>
            <w:tcBorders>
              <w:top w:val="single" w:sz="6" w:space="0" w:color="auto"/>
              <w:left w:val="single" w:sz="6" w:space="0" w:color="auto"/>
              <w:bottom w:val="single" w:sz="6" w:space="0" w:color="auto"/>
              <w:right w:val="single" w:sz="6" w:space="0" w:color="auto"/>
            </w:tcBorders>
          </w:tcPr>
          <w:p w14:paraId="16E5220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668</w:t>
            </w:r>
          </w:p>
          <w:p w14:paraId="6F5731B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1B20860" w14:textId="77777777">
        <w:trPr>
          <w:gridAfter w:val="1"/>
          <w:wAfter w:w="10" w:type="dxa"/>
          <w:trHeight w:val="269"/>
        </w:trPr>
        <w:tc>
          <w:tcPr>
            <w:tcW w:w="2035" w:type="dxa"/>
            <w:tcBorders>
              <w:top w:val="nil"/>
              <w:left w:val="single" w:sz="6" w:space="0" w:color="auto"/>
              <w:bottom w:val="nil"/>
              <w:right w:val="single" w:sz="6" w:space="0" w:color="auto"/>
            </w:tcBorders>
          </w:tcPr>
          <w:p w14:paraId="3113616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F8C659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190" w:type="dxa"/>
            <w:gridSpan w:val="2"/>
            <w:tcBorders>
              <w:top w:val="nil"/>
              <w:left w:val="single" w:sz="6" w:space="0" w:color="auto"/>
              <w:bottom w:val="single" w:sz="6" w:space="0" w:color="auto"/>
              <w:right w:val="single" w:sz="6" w:space="0" w:color="auto"/>
            </w:tcBorders>
          </w:tcPr>
          <w:p w14:paraId="58221C0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F9A585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4F3CD27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выполнения</w:t>
            </w:r>
          </w:p>
          <w:p w14:paraId="6B63ABB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69BEC4E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84</w:t>
            </w:r>
          </w:p>
          <w:p w14:paraId="5694817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1A38CC1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101</w:t>
            </w:r>
          </w:p>
          <w:p w14:paraId="0FFA57D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gridSpan w:val="2"/>
            <w:tcBorders>
              <w:top w:val="single" w:sz="6" w:space="0" w:color="auto"/>
              <w:left w:val="single" w:sz="6" w:space="0" w:color="auto"/>
              <w:bottom w:val="single" w:sz="6" w:space="0" w:color="auto"/>
              <w:right w:val="single" w:sz="6" w:space="0" w:color="auto"/>
            </w:tcBorders>
          </w:tcPr>
          <w:p w14:paraId="1209740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92,9</w:t>
            </w:r>
          </w:p>
          <w:p w14:paraId="0FB519F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1D8C528" w14:textId="77777777">
        <w:trPr>
          <w:gridAfter w:val="1"/>
          <w:wAfter w:w="10" w:type="dxa"/>
          <w:trHeight w:val="259"/>
        </w:trPr>
        <w:tc>
          <w:tcPr>
            <w:tcW w:w="2035" w:type="dxa"/>
            <w:tcBorders>
              <w:top w:val="nil"/>
              <w:left w:val="single" w:sz="6" w:space="0" w:color="auto"/>
              <w:bottom w:val="nil"/>
              <w:right w:val="single" w:sz="6" w:space="0" w:color="auto"/>
            </w:tcBorders>
          </w:tcPr>
          <w:p w14:paraId="15F8171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99A29B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190" w:type="dxa"/>
            <w:gridSpan w:val="2"/>
            <w:tcBorders>
              <w:top w:val="single" w:sz="6" w:space="0" w:color="auto"/>
              <w:left w:val="single" w:sz="6" w:space="0" w:color="auto"/>
              <w:bottom w:val="nil"/>
              <w:right w:val="single" w:sz="6" w:space="0" w:color="auto"/>
            </w:tcBorders>
          </w:tcPr>
          <w:p w14:paraId="5A3E337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ИСУ-152</w:t>
            </w:r>
          </w:p>
          <w:p w14:paraId="1F48E64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4AB6CBF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План</w:t>
            </w:r>
          </w:p>
          <w:p w14:paraId="61BAC57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5535B20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07FAB96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38A7E44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35</w:t>
            </w:r>
          </w:p>
          <w:p w14:paraId="1BEE8B8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gridSpan w:val="2"/>
            <w:tcBorders>
              <w:top w:val="single" w:sz="6" w:space="0" w:color="auto"/>
              <w:left w:val="single" w:sz="6" w:space="0" w:color="auto"/>
              <w:bottom w:val="single" w:sz="6" w:space="0" w:color="auto"/>
              <w:right w:val="single" w:sz="6" w:space="0" w:color="auto"/>
            </w:tcBorders>
          </w:tcPr>
          <w:p w14:paraId="296AC7C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35</w:t>
            </w:r>
          </w:p>
          <w:p w14:paraId="007EF71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6CD4FBA" w14:textId="77777777">
        <w:trPr>
          <w:gridAfter w:val="1"/>
          <w:wAfter w:w="10" w:type="dxa"/>
          <w:trHeight w:val="269"/>
        </w:trPr>
        <w:tc>
          <w:tcPr>
            <w:tcW w:w="2035" w:type="dxa"/>
            <w:tcBorders>
              <w:top w:val="nil"/>
              <w:left w:val="single" w:sz="6" w:space="0" w:color="auto"/>
              <w:bottom w:val="nil"/>
              <w:right w:val="single" w:sz="6" w:space="0" w:color="auto"/>
            </w:tcBorders>
          </w:tcPr>
          <w:p w14:paraId="141046A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F745A9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190" w:type="dxa"/>
            <w:gridSpan w:val="2"/>
            <w:tcBorders>
              <w:top w:val="nil"/>
              <w:left w:val="single" w:sz="6" w:space="0" w:color="auto"/>
              <w:bottom w:val="nil"/>
              <w:right w:val="single" w:sz="6" w:space="0" w:color="auto"/>
            </w:tcBorders>
          </w:tcPr>
          <w:p w14:paraId="3DC3243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251F2C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1CDAB19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Поставка</w:t>
            </w:r>
          </w:p>
          <w:p w14:paraId="0CDC327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7689080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0206A82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546C9F8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35</w:t>
            </w:r>
          </w:p>
          <w:p w14:paraId="6630D7F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gridSpan w:val="2"/>
            <w:tcBorders>
              <w:top w:val="single" w:sz="6" w:space="0" w:color="auto"/>
              <w:left w:val="single" w:sz="6" w:space="0" w:color="auto"/>
              <w:bottom w:val="single" w:sz="6" w:space="0" w:color="auto"/>
              <w:right w:val="single" w:sz="6" w:space="0" w:color="auto"/>
            </w:tcBorders>
          </w:tcPr>
          <w:p w14:paraId="7AD9C1A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35</w:t>
            </w:r>
          </w:p>
          <w:p w14:paraId="0EE6C98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44A3FC2" w14:textId="77777777">
        <w:trPr>
          <w:gridAfter w:val="1"/>
          <w:wAfter w:w="10" w:type="dxa"/>
          <w:trHeight w:val="259"/>
        </w:trPr>
        <w:tc>
          <w:tcPr>
            <w:tcW w:w="2035" w:type="dxa"/>
            <w:tcBorders>
              <w:top w:val="nil"/>
              <w:left w:val="single" w:sz="6" w:space="0" w:color="auto"/>
              <w:bottom w:val="single" w:sz="6" w:space="0" w:color="auto"/>
              <w:right w:val="single" w:sz="6" w:space="0" w:color="auto"/>
            </w:tcBorders>
          </w:tcPr>
          <w:p w14:paraId="4D7861B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E48BC5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190" w:type="dxa"/>
            <w:gridSpan w:val="2"/>
            <w:tcBorders>
              <w:top w:val="nil"/>
              <w:left w:val="single" w:sz="6" w:space="0" w:color="auto"/>
              <w:bottom w:val="single" w:sz="6" w:space="0" w:color="auto"/>
              <w:right w:val="single" w:sz="6" w:space="0" w:color="auto"/>
            </w:tcBorders>
          </w:tcPr>
          <w:p w14:paraId="676D09F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D2394A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390AC1A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выполнения</w:t>
            </w:r>
          </w:p>
          <w:p w14:paraId="6CB40E9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52A0986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7603E12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0DE1ED1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w:t>
            </w:r>
          </w:p>
          <w:p w14:paraId="2F5237E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gridSpan w:val="2"/>
            <w:tcBorders>
              <w:top w:val="single" w:sz="6" w:space="0" w:color="auto"/>
              <w:left w:val="single" w:sz="6" w:space="0" w:color="auto"/>
              <w:bottom w:val="single" w:sz="6" w:space="0" w:color="auto"/>
              <w:right w:val="single" w:sz="6" w:space="0" w:color="auto"/>
            </w:tcBorders>
          </w:tcPr>
          <w:p w14:paraId="0037152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w:t>
            </w:r>
          </w:p>
          <w:p w14:paraId="5C340FA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0759748" w14:textId="77777777">
        <w:trPr>
          <w:gridAfter w:val="1"/>
          <w:wAfter w:w="10" w:type="dxa"/>
          <w:trHeight w:val="269"/>
        </w:trPr>
        <w:tc>
          <w:tcPr>
            <w:tcW w:w="2035" w:type="dxa"/>
            <w:tcBorders>
              <w:top w:val="single" w:sz="6" w:space="0" w:color="auto"/>
              <w:left w:val="single" w:sz="6" w:space="0" w:color="auto"/>
              <w:bottom w:val="nil"/>
              <w:right w:val="single" w:sz="6" w:space="0" w:color="auto"/>
            </w:tcBorders>
          </w:tcPr>
          <w:p w14:paraId="3F7CCA8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Уралмаш завод НКТП</w:t>
            </w:r>
          </w:p>
          <w:p w14:paraId="3172306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gridSpan w:val="2"/>
            <w:tcBorders>
              <w:top w:val="single" w:sz="6" w:space="0" w:color="auto"/>
              <w:left w:val="single" w:sz="6" w:space="0" w:color="auto"/>
              <w:bottom w:val="nil"/>
              <w:right w:val="single" w:sz="6" w:space="0" w:color="auto"/>
            </w:tcBorders>
          </w:tcPr>
          <w:p w14:paraId="04B6A77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СУ-122</w:t>
            </w:r>
          </w:p>
          <w:p w14:paraId="6E43833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2F0D4F3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План</w:t>
            </w:r>
          </w:p>
          <w:p w14:paraId="2CA4A50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435CED2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600</w:t>
            </w:r>
          </w:p>
          <w:p w14:paraId="5F025CD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78B15B8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125</w:t>
            </w:r>
          </w:p>
          <w:p w14:paraId="4710602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gridSpan w:val="2"/>
            <w:tcBorders>
              <w:top w:val="single" w:sz="6" w:space="0" w:color="auto"/>
              <w:left w:val="single" w:sz="6" w:space="0" w:color="auto"/>
              <w:bottom w:val="single" w:sz="6" w:space="0" w:color="auto"/>
              <w:right w:val="single" w:sz="6" w:space="0" w:color="auto"/>
            </w:tcBorders>
          </w:tcPr>
          <w:p w14:paraId="5A4638A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725</w:t>
            </w:r>
          </w:p>
          <w:p w14:paraId="52F808C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A6B7862" w14:textId="77777777">
        <w:trPr>
          <w:gridAfter w:val="1"/>
          <w:wAfter w:w="10" w:type="dxa"/>
          <w:trHeight w:val="259"/>
        </w:trPr>
        <w:tc>
          <w:tcPr>
            <w:tcW w:w="2035" w:type="dxa"/>
            <w:tcBorders>
              <w:top w:val="nil"/>
              <w:left w:val="single" w:sz="6" w:space="0" w:color="auto"/>
              <w:bottom w:val="nil"/>
              <w:right w:val="single" w:sz="6" w:space="0" w:color="auto"/>
            </w:tcBorders>
          </w:tcPr>
          <w:p w14:paraId="0A39689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76E54F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190" w:type="dxa"/>
            <w:gridSpan w:val="2"/>
            <w:tcBorders>
              <w:top w:val="nil"/>
              <w:left w:val="single" w:sz="6" w:space="0" w:color="auto"/>
              <w:bottom w:val="nil"/>
              <w:right w:val="single" w:sz="6" w:space="0" w:color="auto"/>
            </w:tcBorders>
          </w:tcPr>
          <w:p w14:paraId="3EBED8C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A8F41F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24E20A8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Поставка</w:t>
            </w:r>
          </w:p>
          <w:p w14:paraId="0EBBA60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4FDE30F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507</w:t>
            </w:r>
          </w:p>
          <w:p w14:paraId="1A09515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7281653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108</w:t>
            </w:r>
          </w:p>
          <w:p w14:paraId="6915ED0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gridSpan w:val="2"/>
            <w:tcBorders>
              <w:top w:val="single" w:sz="6" w:space="0" w:color="auto"/>
              <w:left w:val="single" w:sz="6" w:space="0" w:color="auto"/>
              <w:bottom w:val="single" w:sz="6" w:space="0" w:color="auto"/>
              <w:right w:val="single" w:sz="6" w:space="0" w:color="auto"/>
            </w:tcBorders>
          </w:tcPr>
          <w:p w14:paraId="093379A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615</w:t>
            </w:r>
          </w:p>
          <w:p w14:paraId="16CF513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D8AD0B8" w14:textId="77777777">
        <w:trPr>
          <w:gridAfter w:val="1"/>
          <w:wAfter w:w="10" w:type="dxa"/>
          <w:trHeight w:val="269"/>
        </w:trPr>
        <w:tc>
          <w:tcPr>
            <w:tcW w:w="2035" w:type="dxa"/>
            <w:tcBorders>
              <w:top w:val="nil"/>
              <w:left w:val="single" w:sz="6" w:space="0" w:color="auto"/>
              <w:bottom w:val="nil"/>
              <w:right w:val="single" w:sz="6" w:space="0" w:color="auto"/>
            </w:tcBorders>
          </w:tcPr>
          <w:p w14:paraId="77F6136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65435E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190" w:type="dxa"/>
            <w:gridSpan w:val="2"/>
            <w:tcBorders>
              <w:top w:val="nil"/>
              <w:left w:val="single" w:sz="6" w:space="0" w:color="auto"/>
              <w:bottom w:val="single" w:sz="6" w:space="0" w:color="auto"/>
              <w:right w:val="single" w:sz="6" w:space="0" w:color="auto"/>
            </w:tcBorders>
          </w:tcPr>
          <w:p w14:paraId="57A4E21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B8374C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2D232AD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выполнения</w:t>
            </w:r>
          </w:p>
          <w:p w14:paraId="392F576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683876A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64,5</w:t>
            </w:r>
          </w:p>
          <w:p w14:paraId="592C26D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0DDB58A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86,4</w:t>
            </w:r>
          </w:p>
          <w:p w14:paraId="32E4E83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gridSpan w:val="2"/>
            <w:tcBorders>
              <w:top w:val="single" w:sz="6" w:space="0" w:color="auto"/>
              <w:left w:val="single" w:sz="6" w:space="0" w:color="auto"/>
              <w:bottom w:val="single" w:sz="6" w:space="0" w:color="auto"/>
              <w:right w:val="single" w:sz="6" w:space="0" w:color="auto"/>
            </w:tcBorders>
          </w:tcPr>
          <w:p w14:paraId="12AE69B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84,8</w:t>
            </w:r>
          </w:p>
          <w:p w14:paraId="481B61F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B351B5B" w14:textId="77777777">
        <w:trPr>
          <w:gridAfter w:val="1"/>
          <w:wAfter w:w="10" w:type="dxa"/>
          <w:trHeight w:val="259"/>
        </w:trPr>
        <w:tc>
          <w:tcPr>
            <w:tcW w:w="2035" w:type="dxa"/>
            <w:tcBorders>
              <w:top w:val="nil"/>
              <w:left w:val="single" w:sz="6" w:space="0" w:color="auto"/>
              <w:bottom w:val="nil"/>
              <w:right w:val="single" w:sz="6" w:space="0" w:color="auto"/>
            </w:tcBorders>
          </w:tcPr>
          <w:p w14:paraId="31760A5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876BFB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190" w:type="dxa"/>
            <w:gridSpan w:val="2"/>
            <w:tcBorders>
              <w:top w:val="single" w:sz="6" w:space="0" w:color="auto"/>
              <w:left w:val="single" w:sz="6" w:space="0" w:color="auto"/>
              <w:bottom w:val="nil"/>
              <w:right w:val="single" w:sz="6" w:space="0" w:color="auto"/>
            </w:tcBorders>
          </w:tcPr>
          <w:p w14:paraId="1EA56D6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СУ-85</w:t>
            </w:r>
          </w:p>
          <w:p w14:paraId="4B61E7E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060B1FB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План</w:t>
            </w:r>
          </w:p>
          <w:p w14:paraId="73CCF7F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1952817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0D3CD8D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7257958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750</w:t>
            </w:r>
          </w:p>
          <w:p w14:paraId="2511668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gridSpan w:val="2"/>
            <w:tcBorders>
              <w:top w:val="single" w:sz="6" w:space="0" w:color="auto"/>
              <w:left w:val="single" w:sz="6" w:space="0" w:color="auto"/>
              <w:bottom w:val="single" w:sz="6" w:space="0" w:color="auto"/>
              <w:right w:val="single" w:sz="6" w:space="0" w:color="auto"/>
            </w:tcBorders>
          </w:tcPr>
          <w:p w14:paraId="2797A30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750</w:t>
            </w:r>
          </w:p>
          <w:p w14:paraId="7F556C9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7725EA0" w14:textId="77777777">
        <w:trPr>
          <w:gridAfter w:val="1"/>
          <w:wAfter w:w="10" w:type="dxa"/>
          <w:trHeight w:val="269"/>
        </w:trPr>
        <w:tc>
          <w:tcPr>
            <w:tcW w:w="2035" w:type="dxa"/>
            <w:tcBorders>
              <w:top w:val="nil"/>
              <w:left w:val="single" w:sz="6" w:space="0" w:color="auto"/>
              <w:bottom w:val="nil"/>
              <w:right w:val="single" w:sz="6" w:space="0" w:color="auto"/>
            </w:tcBorders>
          </w:tcPr>
          <w:p w14:paraId="0F6734D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562301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190" w:type="dxa"/>
            <w:gridSpan w:val="2"/>
            <w:tcBorders>
              <w:top w:val="nil"/>
              <w:left w:val="single" w:sz="6" w:space="0" w:color="auto"/>
              <w:bottom w:val="nil"/>
              <w:right w:val="single" w:sz="6" w:space="0" w:color="auto"/>
            </w:tcBorders>
          </w:tcPr>
          <w:p w14:paraId="22DA8C2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53EE8A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496FB1D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Поставка</w:t>
            </w:r>
          </w:p>
          <w:p w14:paraId="5D05A1C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3C1B222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77F954F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333D165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756</w:t>
            </w:r>
          </w:p>
          <w:p w14:paraId="498EF1A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gridSpan w:val="2"/>
            <w:tcBorders>
              <w:top w:val="single" w:sz="6" w:space="0" w:color="auto"/>
              <w:left w:val="single" w:sz="6" w:space="0" w:color="auto"/>
              <w:bottom w:val="single" w:sz="6" w:space="0" w:color="auto"/>
              <w:right w:val="single" w:sz="6" w:space="0" w:color="auto"/>
            </w:tcBorders>
          </w:tcPr>
          <w:p w14:paraId="0BD8882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756</w:t>
            </w:r>
          </w:p>
          <w:p w14:paraId="0CEC11C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DD26010" w14:textId="77777777">
        <w:trPr>
          <w:gridAfter w:val="1"/>
          <w:wAfter w:w="10" w:type="dxa"/>
          <w:trHeight w:val="278"/>
        </w:trPr>
        <w:tc>
          <w:tcPr>
            <w:tcW w:w="2035" w:type="dxa"/>
            <w:tcBorders>
              <w:top w:val="nil"/>
              <w:left w:val="single" w:sz="6" w:space="0" w:color="auto"/>
              <w:bottom w:val="single" w:sz="6" w:space="0" w:color="auto"/>
              <w:right w:val="single" w:sz="6" w:space="0" w:color="auto"/>
            </w:tcBorders>
          </w:tcPr>
          <w:p w14:paraId="59A4F27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7F6D75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190" w:type="dxa"/>
            <w:gridSpan w:val="2"/>
            <w:tcBorders>
              <w:top w:val="nil"/>
              <w:left w:val="single" w:sz="6" w:space="0" w:color="auto"/>
              <w:bottom w:val="single" w:sz="6" w:space="0" w:color="auto"/>
              <w:right w:val="single" w:sz="6" w:space="0" w:color="auto"/>
            </w:tcBorders>
          </w:tcPr>
          <w:p w14:paraId="43AFCDB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A74C12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7C22A17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выполнения</w:t>
            </w:r>
          </w:p>
          <w:p w14:paraId="5798A00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1540121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56021B1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29D670C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100,8</w:t>
            </w:r>
          </w:p>
          <w:p w14:paraId="22B0CB2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gridSpan w:val="2"/>
            <w:tcBorders>
              <w:top w:val="single" w:sz="6" w:space="0" w:color="auto"/>
              <w:left w:val="single" w:sz="6" w:space="0" w:color="auto"/>
              <w:bottom w:val="single" w:sz="6" w:space="0" w:color="auto"/>
              <w:right w:val="single" w:sz="6" w:space="0" w:color="auto"/>
            </w:tcBorders>
          </w:tcPr>
          <w:p w14:paraId="736E304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100,8</w:t>
            </w:r>
          </w:p>
          <w:p w14:paraId="653E9B2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3F1B342" w14:textId="77777777">
        <w:trPr>
          <w:trHeight w:val="259"/>
        </w:trPr>
        <w:tc>
          <w:tcPr>
            <w:tcW w:w="2045" w:type="dxa"/>
            <w:gridSpan w:val="2"/>
            <w:tcBorders>
              <w:top w:val="single" w:sz="6" w:space="0" w:color="auto"/>
              <w:left w:val="single" w:sz="6" w:space="0" w:color="auto"/>
              <w:bottom w:val="nil"/>
              <w:right w:val="single" w:sz="6" w:space="0" w:color="auto"/>
            </w:tcBorders>
          </w:tcPr>
          <w:p w14:paraId="7ABC113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№38 НКТП</w:t>
            </w:r>
          </w:p>
          <w:p w14:paraId="1BEC544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single" w:sz="6" w:space="0" w:color="auto"/>
              <w:left w:val="single" w:sz="6" w:space="0" w:color="auto"/>
              <w:bottom w:val="nil"/>
              <w:right w:val="single" w:sz="6" w:space="0" w:color="auto"/>
            </w:tcBorders>
          </w:tcPr>
          <w:p w14:paraId="546ADD2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СУ-76</w:t>
            </w:r>
          </w:p>
          <w:p w14:paraId="22B3BA9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640A62B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План</w:t>
            </w:r>
          </w:p>
          <w:p w14:paraId="7D79C5D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43A8C91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750</w:t>
            </w:r>
          </w:p>
          <w:p w14:paraId="3D3833E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302CF57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505</w:t>
            </w:r>
          </w:p>
          <w:p w14:paraId="47D2E04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7FF2E72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1255</w:t>
            </w:r>
          </w:p>
          <w:p w14:paraId="249A711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9625AE8" w14:textId="77777777">
        <w:trPr>
          <w:trHeight w:val="269"/>
        </w:trPr>
        <w:tc>
          <w:tcPr>
            <w:tcW w:w="2045" w:type="dxa"/>
            <w:gridSpan w:val="2"/>
            <w:tcBorders>
              <w:top w:val="nil"/>
              <w:left w:val="single" w:sz="6" w:space="0" w:color="auto"/>
              <w:bottom w:val="nil"/>
              <w:right w:val="single" w:sz="6" w:space="0" w:color="auto"/>
            </w:tcBorders>
          </w:tcPr>
          <w:p w14:paraId="7A76C96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A18AFB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nil"/>
              <w:left w:val="single" w:sz="6" w:space="0" w:color="auto"/>
              <w:bottom w:val="nil"/>
              <w:right w:val="single" w:sz="6" w:space="0" w:color="auto"/>
            </w:tcBorders>
          </w:tcPr>
          <w:p w14:paraId="60199D6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1B757E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01B4CFB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Поставка</w:t>
            </w:r>
          </w:p>
          <w:p w14:paraId="1091E7F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487DB17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583</w:t>
            </w:r>
          </w:p>
          <w:p w14:paraId="190D5FC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311FDDF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514</w:t>
            </w:r>
          </w:p>
          <w:p w14:paraId="2E93E91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7B61B0F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1097</w:t>
            </w:r>
          </w:p>
          <w:p w14:paraId="6DCF6BA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41910BB" w14:textId="77777777">
        <w:trPr>
          <w:trHeight w:val="259"/>
        </w:trPr>
        <w:tc>
          <w:tcPr>
            <w:tcW w:w="2045" w:type="dxa"/>
            <w:gridSpan w:val="2"/>
            <w:tcBorders>
              <w:top w:val="nil"/>
              <w:left w:val="single" w:sz="6" w:space="0" w:color="auto"/>
              <w:bottom w:val="single" w:sz="6" w:space="0" w:color="auto"/>
              <w:right w:val="single" w:sz="6" w:space="0" w:color="auto"/>
            </w:tcBorders>
          </w:tcPr>
          <w:p w14:paraId="5D4663C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06DA50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nil"/>
              <w:left w:val="single" w:sz="6" w:space="0" w:color="auto"/>
              <w:bottom w:val="single" w:sz="6" w:space="0" w:color="auto"/>
              <w:right w:val="single" w:sz="6" w:space="0" w:color="auto"/>
            </w:tcBorders>
          </w:tcPr>
          <w:p w14:paraId="3961B79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4CC196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54F77B8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выполнения</w:t>
            </w:r>
          </w:p>
          <w:p w14:paraId="354BC93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3773C3B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80,4</w:t>
            </w:r>
          </w:p>
          <w:p w14:paraId="6F26F5F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44B6624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101,3</w:t>
            </w:r>
          </w:p>
          <w:p w14:paraId="23E48F4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1258DEE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95,2</w:t>
            </w:r>
          </w:p>
          <w:p w14:paraId="766BE40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2D0C191" w14:textId="77777777">
        <w:trPr>
          <w:trHeight w:val="269"/>
        </w:trPr>
        <w:tc>
          <w:tcPr>
            <w:tcW w:w="2045" w:type="dxa"/>
            <w:gridSpan w:val="2"/>
            <w:tcBorders>
              <w:top w:val="single" w:sz="6" w:space="0" w:color="auto"/>
              <w:left w:val="single" w:sz="6" w:space="0" w:color="auto"/>
              <w:bottom w:val="nil"/>
              <w:right w:val="single" w:sz="6" w:space="0" w:color="auto"/>
            </w:tcBorders>
          </w:tcPr>
          <w:p w14:paraId="70A3A46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№37 НКТП</w:t>
            </w:r>
          </w:p>
          <w:p w14:paraId="50E6244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single" w:sz="6" w:space="0" w:color="auto"/>
              <w:left w:val="single" w:sz="6" w:space="0" w:color="auto"/>
              <w:bottom w:val="nil"/>
              <w:right w:val="single" w:sz="6" w:space="0" w:color="auto"/>
            </w:tcBorders>
          </w:tcPr>
          <w:p w14:paraId="2809DE1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СУ-76И</w:t>
            </w:r>
          </w:p>
          <w:p w14:paraId="1D9A7B6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4A7C6D0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План</w:t>
            </w:r>
          </w:p>
          <w:p w14:paraId="226FFDF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3D6DA9D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120</w:t>
            </w:r>
          </w:p>
          <w:p w14:paraId="33198C2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76226EF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135</w:t>
            </w:r>
          </w:p>
          <w:p w14:paraId="2208A9F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416C47B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255</w:t>
            </w:r>
          </w:p>
          <w:p w14:paraId="7207DDB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860DA18" w14:textId="77777777">
        <w:trPr>
          <w:trHeight w:val="259"/>
        </w:trPr>
        <w:tc>
          <w:tcPr>
            <w:tcW w:w="2045" w:type="dxa"/>
            <w:gridSpan w:val="2"/>
            <w:tcBorders>
              <w:top w:val="nil"/>
              <w:left w:val="single" w:sz="6" w:space="0" w:color="auto"/>
              <w:bottom w:val="nil"/>
              <w:right w:val="single" w:sz="6" w:space="0" w:color="auto"/>
            </w:tcBorders>
          </w:tcPr>
          <w:p w14:paraId="0D9EB1A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C12A65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nil"/>
              <w:left w:val="single" w:sz="6" w:space="0" w:color="auto"/>
              <w:bottom w:val="nil"/>
              <w:right w:val="single" w:sz="6" w:space="0" w:color="auto"/>
            </w:tcBorders>
          </w:tcPr>
          <w:p w14:paraId="1285354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B5A739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7811063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Поставка</w:t>
            </w:r>
          </w:p>
          <w:p w14:paraId="4027C20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504B1E7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w:t>
            </w:r>
          </w:p>
          <w:p w14:paraId="6CDBD31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483D940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140</w:t>
            </w:r>
          </w:p>
          <w:p w14:paraId="7D64FB2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2603F7D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200</w:t>
            </w:r>
          </w:p>
          <w:p w14:paraId="014893F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B547485" w14:textId="77777777">
        <w:trPr>
          <w:trHeight w:val="269"/>
        </w:trPr>
        <w:tc>
          <w:tcPr>
            <w:tcW w:w="2045" w:type="dxa"/>
            <w:gridSpan w:val="2"/>
            <w:tcBorders>
              <w:top w:val="nil"/>
              <w:left w:val="single" w:sz="6" w:space="0" w:color="auto"/>
              <w:bottom w:val="single" w:sz="6" w:space="0" w:color="auto"/>
              <w:right w:val="single" w:sz="6" w:space="0" w:color="auto"/>
            </w:tcBorders>
          </w:tcPr>
          <w:p w14:paraId="169BBE7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FE7725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nil"/>
              <w:left w:val="single" w:sz="6" w:space="0" w:color="auto"/>
              <w:bottom w:val="single" w:sz="6" w:space="0" w:color="auto"/>
              <w:right w:val="single" w:sz="6" w:space="0" w:color="auto"/>
            </w:tcBorders>
          </w:tcPr>
          <w:p w14:paraId="1D1A3E8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2DDD9D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63FA352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выполнения</w:t>
            </w:r>
          </w:p>
          <w:p w14:paraId="10D5767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682EFC5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w:t>
            </w:r>
          </w:p>
          <w:p w14:paraId="6D935D2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4969D9A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103,7</w:t>
            </w:r>
          </w:p>
          <w:p w14:paraId="7CCF4A3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375EC71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78,4</w:t>
            </w:r>
          </w:p>
          <w:p w14:paraId="4A08B6A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E5ACD9C" w14:textId="77777777">
        <w:trPr>
          <w:trHeight w:val="259"/>
        </w:trPr>
        <w:tc>
          <w:tcPr>
            <w:tcW w:w="2045" w:type="dxa"/>
            <w:gridSpan w:val="2"/>
            <w:tcBorders>
              <w:top w:val="single" w:sz="6" w:space="0" w:color="auto"/>
              <w:left w:val="single" w:sz="6" w:space="0" w:color="auto"/>
              <w:bottom w:val="nil"/>
              <w:right w:val="single" w:sz="6" w:space="0" w:color="auto"/>
            </w:tcBorders>
          </w:tcPr>
          <w:p w14:paraId="0206E73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ГАЗ им, Молотова</w:t>
            </w:r>
          </w:p>
          <w:p w14:paraId="5DE0D4B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single" w:sz="6" w:space="0" w:color="auto"/>
              <w:left w:val="single" w:sz="6" w:space="0" w:color="auto"/>
              <w:bottom w:val="nil"/>
              <w:right w:val="single" w:sz="6" w:space="0" w:color="auto"/>
            </w:tcBorders>
          </w:tcPr>
          <w:p w14:paraId="154E338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СУ-76</w:t>
            </w:r>
          </w:p>
          <w:p w14:paraId="741A820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37FA254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План</w:t>
            </w:r>
          </w:p>
          <w:p w14:paraId="1275B2A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48533C3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3C39960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083E073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545</w:t>
            </w:r>
          </w:p>
          <w:p w14:paraId="4EA71C3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7BF38C3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545</w:t>
            </w:r>
          </w:p>
          <w:p w14:paraId="49578A2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C01A385" w14:textId="77777777">
        <w:trPr>
          <w:trHeight w:val="269"/>
        </w:trPr>
        <w:tc>
          <w:tcPr>
            <w:tcW w:w="2045" w:type="dxa"/>
            <w:gridSpan w:val="2"/>
            <w:tcBorders>
              <w:top w:val="nil"/>
              <w:left w:val="single" w:sz="6" w:space="0" w:color="auto"/>
              <w:bottom w:val="nil"/>
              <w:right w:val="single" w:sz="6" w:space="0" w:color="auto"/>
            </w:tcBorders>
          </w:tcPr>
          <w:p w14:paraId="3C8EA74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7B4EF5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nil"/>
              <w:left w:val="single" w:sz="6" w:space="0" w:color="auto"/>
              <w:bottom w:val="nil"/>
              <w:right w:val="single" w:sz="6" w:space="0" w:color="auto"/>
            </w:tcBorders>
          </w:tcPr>
          <w:p w14:paraId="034EC98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097041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3C85708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Поставка</w:t>
            </w:r>
          </w:p>
          <w:p w14:paraId="6639D68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53E7E5B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0263795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3D31CCE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601</w:t>
            </w:r>
          </w:p>
          <w:p w14:paraId="3A8D8CE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6363A7D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601</w:t>
            </w:r>
          </w:p>
          <w:p w14:paraId="012A3A0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76A7B0D" w14:textId="77777777">
        <w:trPr>
          <w:trHeight w:val="259"/>
        </w:trPr>
        <w:tc>
          <w:tcPr>
            <w:tcW w:w="2045" w:type="dxa"/>
            <w:gridSpan w:val="2"/>
            <w:tcBorders>
              <w:top w:val="nil"/>
              <w:left w:val="single" w:sz="6" w:space="0" w:color="auto"/>
              <w:bottom w:val="single" w:sz="6" w:space="0" w:color="auto"/>
              <w:right w:val="single" w:sz="6" w:space="0" w:color="auto"/>
            </w:tcBorders>
          </w:tcPr>
          <w:p w14:paraId="75EAF1E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14EB58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nil"/>
              <w:left w:val="single" w:sz="6" w:space="0" w:color="auto"/>
              <w:bottom w:val="single" w:sz="6" w:space="0" w:color="auto"/>
              <w:right w:val="single" w:sz="6" w:space="0" w:color="auto"/>
            </w:tcBorders>
          </w:tcPr>
          <w:p w14:paraId="539800F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96B0C8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6ACB90D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выполнения</w:t>
            </w:r>
          </w:p>
          <w:p w14:paraId="1E80A27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47E5433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415141B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6553F3E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110,2</w:t>
            </w:r>
          </w:p>
          <w:p w14:paraId="60C0FBF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668F607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110,2</w:t>
            </w:r>
          </w:p>
          <w:p w14:paraId="25757DD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D5A950B" w14:textId="77777777">
        <w:trPr>
          <w:trHeight w:val="269"/>
        </w:trPr>
        <w:tc>
          <w:tcPr>
            <w:tcW w:w="2045" w:type="dxa"/>
            <w:gridSpan w:val="2"/>
            <w:tcBorders>
              <w:top w:val="single" w:sz="6" w:space="0" w:color="auto"/>
              <w:left w:val="single" w:sz="6" w:space="0" w:color="auto"/>
              <w:bottom w:val="nil"/>
              <w:right w:val="single" w:sz="6" w:space="0" w:color="auto"/>
            </w:tcBorders>
          </w:tcPr>
          <w:p w14:paraId="3AFF6D8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№40</w:t>
            </w:r>
          </w:p>
          <w:p w14:paraId="741A8D2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single" w:sz="6" w:space="0" w:color="auto"/>
              <w:left w:val="single" w:sz="6" w:space="0" w:color="auto"/>
              <w:bottom w:val="nil"/>
              <w:right w:val="single" w:sz="6" w:space="0" w:color="auto"/>
            </w:tcBorders>
          </w:tcPr>
          <w:p w14:paraId="39A6876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СГ-122</w:t>
            </w:r>
          </w:p>
          <w:p w14:paraId="44A48FA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78278CF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План</w:t>
            </w:r>
          </w:p>
          <w:p w14:paraId="20590D9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136B5CE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75</w:t>
            </w:r>
          </w:p>
          <w:p w14:paraId="18D7FE3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31400D7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01529D9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5974D5F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75</w:t>
            </w:r>
          </w:p>
          <w:p w14:paraId="7241475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908DFB7" w14:textId="77777777">
        <w:trPr>
          <w:trHeight w:val="259"/>
        </w:trPr>
        <w:tc>
          <w:tcPr>
            <w:tcW w:w="2045" w:type="dxa"/>
            <w:gridSpan w:val="2"/>
            <w:tcBorders>
              <w:top w:val="nil"/>
              <w:left w:val="single" w:sz="6" w:space="0" w:color="auto"/>
              <w:bottom w:val="nil"/>
              <w:right w:val="single" w:sz="6" w:space="0" w:color="auto"/>
            </w:tcBorders>
          </w:tcPr>
          <w:p w14:paraId="2714A8E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EA1757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nil"/>
              <w:left w:val="single" w:sz="6" w:space="0" w:color="auto"/>
              <w:bottom w:val="nil"/>
              <w:right w:val="single" w:sz="6" w:space="0" w:color="auto"/>
            </w:tcBorders>
          </w:tcPr>
          <w:p w14:paraId="73237F1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3CF65A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367C934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Поставка</w:t>
            </w:r>
          </w:p>
          <w:p w14:paraId="642A3D0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4373ADD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w:t>
            </w:r>
          </w:p>
          <w:p w14:paraId="47E05CA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054F6D2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531C308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7B7DF14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w:t>
            </w:r>
          </w:p>
          <w:p w14:paraId="299DE28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E5A47FA" w14:textId="77777777">
        <w:trPr>
          <w:trHeight w:val="269"/>
        </w:trPr>
        <w:tc>
          <w:tcPr>
            <w:tcW w:w="2045" w:type="dxa"/>
            <w:gridSpan w:val="2"/>
            <w:tcBorders>
              <w:top w:val="nil"/>
              <w:left w:val="single" w:sz="6" w:space="0" w:color="auto"/>
              <w:bottom w:val="nil"/>
              <w:right w:val="single" w:sz="6" w:space="0" w:color="auto"/>
            </w:tcBorders>
          </w:tcPr>
          <w:p w14:paraId="547B349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59C644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nil"/>
              <w:left w:val="single" w:sz="6" w:space="0" w:color="auto"/>
              <w:bottom w:val="single" w:sz="6" w:space="0" w:color="auto"/>
              <w:right w:val="single" w:sz="6" w:space="0" w:color="auto"/>
            </w:tcBorders>
          </w:tcPr>
          <w:p w14:paraId="2BC0148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2E0F20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0AB21F6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выполнения</w:t>
            </w:r>
          </w:p>
          <w:p w14:paraId="6E6CA8D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5995FD7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w:t>
            </w:r>
          </w:p>
          <w:p w14:paraId="6A297FC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5518661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2412386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6A0BC24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w:t>
            </w:r>
          </w:p>
          <w:p w14:paraId="60281FD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5AFC644" w14:textId="77777777">
        <w:trPr>
          <w:trHeight w:val="259"/>
        </w:trPr>
        <w:tc>
          <w:tcPr>
            <w:tcW w:w="2045" w:type="dxa"/>
            <w:gridSpan w:val="2"/>
            <w:tcBorders>
              <w:top w:val="nil"/>
              <w:left w:val="single" w:sz="6" w:space="0" w:color="auto"/>
              <w:bottom w:val="nil"/>
              <w:right w:val="single" w:sz="6" w:space="0" w:color="auto"/>
            </w:tcBorders>
          </w:tcPr>
          <w:p w14:paraId="68884FF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07059D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single" w:sz="6" w:space="0" w:color="auto"/>
              <w:left w:val="single" w:sz="6" w:space="0" w:color="auto"/>
              <w:bottom w:val="nil"/>
              <w:right w:val="single" w:sz="6" w:space="0" w:color="auto"/>
            </w:tcBorders>
          </w:tcPr>
          <w:p w14:paraId="0134A11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СУ-76</w:t>
            </w:r>
          </w:p>
          <w:p w14:paraId="5B15E55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720B6A6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План</w:t>
            </w:r>
          </w:p>
          <w:p w14:paraId="3AFEFBF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631606D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5F10DEC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253EC05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265</w:t>
            </w:r>
          </w:p>
          <w:p w14:paraId="7364EFB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024C345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265</w:t>
            </w:r>
          </w:p>
          <w:p w14:paraId="4080BBC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D77FC3A" w14:textId="77777777">
        <w:trPr>
          <w:trHeight w:val="269"/>
        </w:trPr>
        <w:tc>
          <w:tcPr>
            <w:tcW w:w="2045" w:type="dxa"/>
            <w:gridSpan w:val="2"/>
            <w:tcBorders>
              <w:top w:val="nil"/>
              <w:left w:val="single" w:sz="6" w:space="0" w:color="auto"/>
              <w:bottom w:val="nil"/>
              <w:right w:val="single" w:sz="6" w:space="0" w:color="auto"/>
            </w:tcBorders>
          </w:tcPr>
          <w:p w14:paraId="6355DF7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069C97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nil"/>
              <w:left w:val="single" w:sz="6" w:space="0" w:color="auto"/>
              <w:bottom w:val="nil"/>
              <w:right w:val="single" w:sz="6" w:space="0" w:color="auto"/>
            </w:tcBorders>
          </w:tcPr>
          <w:p w14:paraId="2563BFA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EBBBA8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02F0104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Поставка</w:t>
            </w:r>
          </w:p>
          <w:p w14:paraId="4EAE67F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13D72A3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407BC61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676B441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210</w:t>
            </w:r>
          </w:p>
          <w:p w14:paraId="191FD0C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7498C1B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210</w:t>
            </w:r>
          </w:p>
          <w:p w14:paraId="234BC95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9B228B2" w14:textId="77777777">
        <w:trPr>
          <w:trHeight w:val="278"/>
        </w:trPr>
        <w:tc>
          <w:tcPr>
            <w:tcW w:w="2045" w:type="dxa"/>
            <w:gridSpan w:val="2"/>
            <w:tcBorders>
              <w:top w:val="nil"/>
              <w:left w:val="single" w:sz="6" w:space="0" w:color="auto"/>
              <w:bottom w:val="single" w:sz="6" w:space="0" w:color="auto"/>
              <w:right w:val="single" w:sz="6" w:space="0" w:color="auto"/>
            </w:tcBorders>
          </w:tcPr>
          <w:p w14:paraId="6F140CF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F416B8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nil"/>
              <w:left w:val="single" w:sz="6" w:space="0" w:color="auto"/>
              <w:bottom w:val="single" w:sz="6" w:space="0" w:color="auto"/>
              <w:right w:val="single" w:sz="6" w:space="0" w:color="auto"/>
            </w:tcBorders>
          </w:tcPr>
          <w:p w14:paraId="3BC68B6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ADFEB2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0B4C279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выполнения</w:t>
            </w:r>
          </w:p>
          <w:p w14:paraId="03983E4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0298E80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3F0A390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063A64E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79,1</w:t>
            </w:r>
          </w:p>
          <w:p w14:paraId="093E254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3029A89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79,1</w:t>
            </w:r>
          </w:p>
          <w:p w14:paraId="49360D8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02D00C0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1 отдела УСА ГБТУ КА инженер-подполковник Демьяненко</w:t>
      </w:r>
    </w:p>
    <w:p w14:paraId="026A60C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38. Оп. 11369. Д. 404. Л. 12. Подлинник (11403).</w:t>
      </w:r>
    </w:p>
    <w:p w14:paraId="461086C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30F0C6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марта 1944 вышло Постановление ГКО № 5279 О тов. Запорожец А.И. РГАНИР, Фонд ГКО, д. 215, лл. 28 (11012).</w:t>
      </w:r>
    </w:p>
    <w:p w14:paraId="735C942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1AB8A5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марта 1944 вышло Постановление ГКО № 5280 О т.т. Тюркине П.А., Васильеве И.В., Сухареве П.Е., Прудникове Ф.К., Рыбинском И.РГАНИР, Фонд ГКО, д. и Соболеве П.В. РГАНИР, Фонд ГКО, д. 215, лл. 29 (11012).</w:t>
      </w:r>
    </w:p>
    <w:p w14:paraId="6CE7CA3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345247B"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5E95324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CB61B4B" w14:textId="77777777" w:rsidR="006E7509" w:rsidRPr="007224C3" w:rsidRDefault="006E75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 марта</w:t>
      </w:r>
      <w:r w:rsidRPr="007224C3">
        <w:rPr>
          <w:rFonts w:ascii="Times New Roman" w:hAnsi="Times New Roman"/>
          <w:color w:val="000000" w:themeColor="text1"/>
          <w:sz w:val="16"/>
          <w:szCs w:val="16"/>
        </w:rPr>
        <w:t xml:space="preserve"> в 1944 году оперативная сводка Совинформбюро:</w:t>
      </w:r>
    </w:p>
    <w:p w14:paraId="1141D5C1" w14:textId="77777777" w:rsidR="006E7509" w:rsidRPr="007224C3" w:rsidRDefault="006E75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2 марта на Нарвском направлении наши войска овладели несколькими сильно укреплёнными опорными пунктами немецкой обороны и улучшили свои позиции на плацдарме юго-западнее города Нарва.</w:t>
      </w:r>
    </w:p>
    <w:p w14:paraId="25B207DC" w14:textId="77777777" w:rsidR="006E7509" w:rsidRPr="007224C3" w:rsidRDefault="006E75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Псковском направлении наши войска вели наступательные бои, в ходе которых выбили противника из нескольких опорных пунктов его обороны.</w:t>
      </w:r>
    </w:p>
    <w:p w14:paraId="39E445FC" w14:textId="77777777" w:rsidR="006E7509" w:rsidRPr="007224C3" w:rsidRDefault="006E75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Островском направлении наши войска, продолжая наступление, овладели районным центром Ленинградской области Сошихино, а также с боями заняли более 30 других населённых пунктов, в том числе Замошье, Рожанка, Церковище, Самухино, Белова, Терегаева, Гастены, Лобаны, Дедовцы и железнодорожные станции Сошихино,Сергино.</w:t>
      </w:r>
    </w:p>
    <w:p w14:paraId="055D9DD5" w14:textId="77777777" w:rsidR="006E7509" w:rsidRPr="007224C3" w:rsidRDefault="006E75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737C9A37" w14:textId="77777777" w:rsidR="006E7509" w:rsidRPr="007224C3" w:rsidRDefault="006E75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 марта наши войска на всех фронтах подбили и уничтожили 23 немецких танка. В воздушных боях и огнём зенитной артиллерии сбито 24 самолёта противника.</w:t>
      </w:r>
    </w:p>
    <w:p w14:paraId="0E3525C5" w14:textId="77777777" w:rsidR="006E7509" w:rsidRPr="007224C3" w:rsidRDefault="006E75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Нарвском направлении наши войска в результате ожесточённых боёв овладели несколькими сильно укреплёнными опорными пунктами противника. Немцы несколько раз бросались в контратаки, пытаясь вернуть потерянные ими позиции. Все контратаки гитлеровцев отбиты. В этом бою уничтожено свыше 1.000 солдат иофицеров противника. На другом участке Н-ская гвардейская часть, продвигаясь вперёд, разгромила батальон гитлеровцев. Огнём артиллерии и противотанковых ружей сожжено 8 немецких танков, в том числе 3 танка типа «Тигр». Захвачено у немцев несколько артиллерийских батарей и склад боеприпасов.</w:t>
      </w:r>
    </w:p>
    <w:p w14:paraId="27F6BEB9" w14:textId="77777777" w:rsidR="006E7509" w:rsidRPr="007224C3" w:rsidRDefault="006E75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Псковском направлении наши войска продолжали вести наступательные бои.Бойцы Н-ского соединения выбили немцев из нескольких опорных пунктов и захватили большие трофеи. В одном районе наши подвижные отряды, совершив успешный манёвр, отрезали пути отхода колонне противника. Советские танкисты и автоматчики уничтожили до 300 немцев и захватили 250 повозок с военными грузами. Взято большое число пленных. Разведчики-артиллеристы во главе с лейтенантами Слепковым и Зинаковым ворвались в опорный пункт немцев и захватили на огневых позициях батарею 150-мм орудий с полным комплектом боеприпасов. Советские артиллеристы быстро повернули орудия и открыли из них огонь по противнику.</w:t>
      </w:r>
    </w:p>
    <w:p w14:paraId="3FFF95F9" w14:textId="77777777" w:rsidR="006E7509" w:rsidRPr="007224C3" w:rsidRDefault="006E75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Островском направлении наши войска продолжали наступление. Части Н-ского соединения, с боями продвигаясь вперёд, овладели районным центром Ленинградскойобласти и железнодорожной станцией Сошихино. Ленинградские партизаны, взаимодействуя с бойцами Красной Армии, выбили немцев из нескольких населённых пунктов, расположенных в районе железнодорожной станции Сошихино. В боях за эти пункты партизаны истребили более 500 гитлеровцев. Освобождено 9 тысяч мирных советских граждан, которых немцы угоняли на каторгу в Германию. Отбито упротивника 3.500 лошадей и 3.000 голов крупного рогатого скота.</w:t>
      </w:r>
    </w:p>
    <w:p w14:paraId="4B295855" w14:textId="77777777" w:rsidR="006E7509" w:rsidRPr="007224C3" w:rsidRDefault="006E75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Балтийском море потоплен транспорт противника водоизмещением в 2.500 тонн.</w:t>
      </w:r>
    </w:p>
    <w:p w14:paraId="0C2E9DC8" w14:textId="77777777" w:rsidR="006E7509" w:rsidRPr="007224C3" w:rsidRDefault="006E75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Латвийский партизанский отряд «Виестурс» за несколько дней разгромил 4 немецких военных телефонных станции и захватил 22 специальных аппарата связи. Группа партизан этого отряда проникла в населённый пункт и подожгла крупныйсклад противника с бензином. Отряд латвийских партизан «Даугава» разгромил немецкий гарнизон в населённом пункте, уничтожив при этом 32 гитлеровца.</w:t>
      </w:r>
    </w:p>
    <w:p w14:paraId="7367C085" w14:textId="77777777" w:rsidR="006E7509" w:rsidRPr="007224C3" w:rsidRDefault="006E75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Ленинградского фронта нанесли тяжёлое поражение немецкой танково-гренадерской дивизии СС «Нордланд», прибывшей на советско-германский фронт в январе 1944 года. Пленные сообщают, что дивизия понесла огромные потери. Ефрейторы дивизиона самоходных орудий Герингер и Паубики рассказали: «Наш дивизион прибыл в Россию во второй половине января. Нас сразу же бросили в бой, но против русской артиллерии, пехоты и танков мы ничего не могли сделать.Потеряв 6 самоходных орудий, дивизион отступил. Не успели батареи занять новые позиции, как в наше расположение ворвались русские танки. Дивизион в панике бежал, бросив 14 самоходных орудий. Солдаты, спасшиеся бегством, были совершенно деморализованы. К вечеру мы добрались до одной деревни, в которой оказалось много немецких солдат. Настроение было очень подавленное. Глубокой ночью вдруг раздались крики: «Русские танки». Мы выскочили на улицу и увидели танки Т-34, закоторыми следовали русские автоматчики. Сопротивляться было бессмысленно, и мы сдались в плен. В этот день наш дивизион перестал существовать».</w:t>
      </w:r>
    </w:p>
    <w:p w14:paraId="6E51975D" w14:textId="77777777" w:rsidR="006E7509" w:rsidRPr="007224C3" w:rsidRDefault="006E75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Ниже публикуется акт о зверствах немецко-фашистских мерзавцев в Ракитнянском районе, Киевской области: «Чудовищные преступления совершили гитлеровские разбойники в нашем районе. После изгнания немцев в селе Ракитно обнаружено пять массовых могил, в которых похоронены жертвы фашистского террора. По далеко неполным данным, немецкие изверги расстреляли более 600 мирных граждан. Крометого, гитлеровцы угнали 1.267 жителей на каторгу в Германию. Фашистские громилы опустошили и разрушили 28 школ, сожгли библиотеки и школьное имущество. В селе Бакумовка учителя Н.Белозович и Л.Белозович пытались отстоять здание иимущество школы. Немцы зверски убили этих учителей и бросили, их трупы в канаву. Гитлеровские бандиты разрушили и сожгли 340 жилых домов и более 130 государственных и общественных зданий». Акт подписали: И.Коломиец, А.Колесниченко, Л.Рябенко, Н.Павлюк, М.Шосталь, Т.Ряднина, врач П.Беликов,священник Г.Церерин (15056).</w:t>
      </w:r>
    </w:p>
    <w:p w14:paraId="4B28BE19" w14:textId="77777777" w:rsidR="006E7509" w:rsidRPr="007224C3" w:rsidRDefault="006E7509" w:rsidP="007224C3">
      <w:pPr>
        <w:spacing w:after="0" w:line="240" w:lineRule="auto"/>
        <w:jc w:val="both"/>
        <w:rPr>
          <w:rFonts w:ascii="Times New Roman" w:hAnsi="Times New Roman"/>
          <w:color w:val="000000" w:themeColor="text1"/>
          <w:sz w:val="16"/>
          <w:szCs w:val="16"/>
        </w:rPr>
      </w:pPr>
    </w:p>
    <w:p w14:paraId="7511B3E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марта 1944 г. была подготовлена ДОКЛАДНАЯ ЗАПИСКА НАЧАЛЬНИКА ГБТУ КА КОМАНДУЮЩЕМУ БТ и МВ КА ПО ДАЛЬНЕЙШЕМУ ИСПОЛЬЗОВАНИЮ АЭРОСАННЫХ БАТАЛЬОНОВ</w:t>
      </w:r>
    </w:p>
    <w:p w14:paraId="432F713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Докладываю:</w:t>
      </w:r>
    </w:p>
    <w:p w14:paraId="0E1661B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В составе БТ и МВ КА состоит 40 аэросанных батальонов и 25 резервных аэросанных рот.</w:t>
      </w:r>
    </w:p>
    <w:p w14:paraId="0BAF2EB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Зимой 1943-1944 гг. на фронтах находилось 39 батальонов, из них: на фронтах — 11, в 7-ой отдельной армии — 10, Ленинградском фронте — 4, на Волховском фронте -3, 2-м Прибалтийском -7, Западном -2, Белорусском фронте — 2.</w:t>
      </w:r>
    </w:p>
    <w:p w14:paraId="5AA0647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С продвижением войск Красной Армии в районы, ограничивающие применение аэросанных батальонов, дальнейшее их использование будет возможно только на участках Карельского фронта, 7-ой отдельной армии и в Краснознаменном Балтийском флоте, для несения службы охранения на побережье озер и Финского залива, для связи с островами и обслуживания штаба КБФ.</w:t>
      </w:r>
    </w:p>
    <w:p w14:paraId="563B33B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Учитывая вышеизложенное, считаю целесообразным произвести следующие мероприятия:</w:t>
      </w:r>
    </w:p>
    <w:p w14:paraId="383B274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26 аэросанных батальонов и 25 резервных рот, находящихся на фронте и в АрхВО, вывести в Котлас и расформировать;</w:t>
      </w:r>
    </w:p>
    <w:p w14:paraId="505EB30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11 аэросанных батальонов, находящихся на Карельском фронте, сосредоточить в районе ст. Сегежа и после восстановления материальной части расформировать. Из числа высвободившегося личного состава сформировать при фронте учебный батальон в составе 500 человек переменного состава, из них: мехводителей аэросаней — 460 и офицерского состава — 40 человек. Назначенный личный состав использовать для обслуживания материальной части, а также для развертывания АСБ;</w:t>
      </w:r>
    </w:p>
    <w:p w14:paraId="5C07AE8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три аэросанных батальона из числа находящихся на Ленинградском фронте передать Краснознаменному Балтийскому флоту по просьбе Военного совета КБФ;</w:t>
      </w:r>
    </w:p>
    <w:p w14:paraId="2DC00CD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 для подготовки личного состава аэросанной специальности, обслуживания резерва аэроса</w:t>
      </w:r>
      <w:r w:rsidRPr="007224C3">
        <w:rPr>
          <w:rFonts w:ascii="Times New Roman" w:hAnsi="Times New Roman"/>
          <w:color w:val="000000" w:themeColor="text1"/>
          <w:sz w:val="16"/>
          <w:szCs w:val="16"/>
        </w:rPr>
        <w:softHyphen/>
        <w:t>ней, а также для сохранения резерва мехводителей аэросаней, на базе Котласского военного учи</w:t>
      </w:r>
      <w:r w:rsidRPr="007224C3">
        <w:rPr>
          <w:rFonts w:ascii="Times New Roman" w:hAnsi="Times New Roman"/>
          <w:color w:val="000000" w:themeColor="text1"/>
          <w:sz w:val="16"/>
          <w:szCs w:val="16"/>
        </w:rPr>
        <w:softHyphen/>
        <w:t>лища сформировать учебный аэросанный полк по прилагаемому штату</w:t>
      </w:r>
      <w:r w:rsidRPr="007224C3">
        <w:rPr>
          <w:rFonts w:ascii="Times New Roman" w:hAnsi="Times New Roman"/>
          <w:color w:val="000000" w:themeColor="text1"/>
          <w:sz w:val="16"/>
          <w:szCs w:val="16"/>
          <w:vertAlign w:val="superscript"/>
        </w:rPr>
        <w:t>1</w:t>
      </w:r>
      <w:r w:rsidRPr="007224C3">
        <w:rPr>
          <w:rFonts w:ascii="Times New Roman" w:hAnsi="Times New Roman"/>
          <w:color w:val="000000" w:themeColor="text1"/>
          <w:sz w:val="16"/>
          <w:szCs w:val="16"/>
        </w:rPr>
        <w:t>, укомплектовав его личным составом, высвободившимся после расформирования аэросанных батальонов и резервных рот.</w:t>
      </w:r>
    </w:p>
    <w:p w14:paraId="3BBAA2F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результате проведения указанных мероприятий высвободится 2571 аэросаней и личного состава 2893 человека, из них офицерского состава 938 человек, сержантского и рядового состава 1955 человек.</w:t>
      </w:r>
    </w:p>
    <w:p w14:paraId="020A194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Прошу Вашего решения.</w:t>
      </w:r>
    </w:p>
    <w:p w14:paraId="58775EF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ГБТУ КА генерал-лейтенант танковых войск Вершинин</w:t>
      </w:r>
    </w:p>
    <w:p w14:paraId="7683758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управления бронепоездов и бронемашин ГБТУ КА</w:t>
      </w:r>
    </w:p>
    <w:p w14:paraId="2C40FC0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генерал-майор танковых войск Чернов</w:t>
      </w:r>
    </w:p>
    <w:p w14:paraId="5410C0A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38. Оп. 11358. Д. 332. Л. 16. Подлинник (11403).</w:t>
      </w:r>
    </w:p>
    <w:p w14:paraId="21BB9E0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5AA912B"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марта 1944 вышло Постановление ГКО № 5278 О гибели лидера "Харьков", эсминцев "Беспощадный" и "Способный" Черноморского флота. (7195, 22-27).</w:t>
      </w:r>
    </w:p>
    <w:p w14:paraId="6B8FE68D"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A8C9774"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4E9AE3B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71F4551" w14:textId="77777777" w:rsidR="006E7509" w:rsidRPr="007224C3" w:rsidRDefault="006E75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 марта</w:t>
      </w:r>
      <w:r w:rsidRPr="007224C3">
        <w:rPr>
          <w:rFonts w:ascii="Times New Roman" w:hAnsi="Times New Roman"/>
          <w:color w:val="000000" w:themeColor="text1"/>
          <w:sz w:val="16"/>
          <w:szCs w:val="16"/>
        </w:rPr>
        <w:t xml:space="preserve"> в 1944 году поднялся в воздух второй прототип палубного истребителя</w:t>
      </w:r>
      <w:hyperlink r:id="rId69" w:tgtFrame="_blank" w:history="1">
        <w:r w:rsidRPr="007224C3">
          <w:rPr>
            <w:rFonts w:ascii="Times New Roman" w:hAnsi="Times New Roman"/>
            <w:color w:val="000000" w:themeColor="text1"/>
            <w:sz w:val="16"/>
            <w:szCs w:val="16"/>
          </w:rPr>
          <w:t xml:space="preserve"> «F7F-1» «Tigercat» (15056). </w:t>
        </w:r>
      </w:hyperlink>
    </w:p>
    <w:p w14:paraId="75B2F9BB" w14:textId="77777777" w:rsidR="006E7509" w:rsidRPr="007224C3" w:rsidRDefault="006E7509" w:rsidP="007224C3">
      <w:pPr>
        <w:spacing w:after="0" w:line="240" w:lineRule="auto"/>
        <w:jc w:val="both"/>
        <w:rPr>
          <w:rFonts w:ascii="Times New Roman" w:hAnsi="Times New Roman"/>
          <w:color w:val="000000" w:themeColor="text1"/>
          <w:sz w:val="16"/>
          <w:szCs w:val="16"/>
        </w:rPr>
      </w:pPr>
    </w:p>
    <w:p w14:paraId="7E1C0D5F" w14:textId="77777777" w:rsidR="004C5E94" w:rsidRPr="007224C3" w:rsidRDefault="004C5E94"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 марта 1944 г. RLM распорядилось начать серийное производство 60 бомбардировщиков Ме 262А-2а. Министр вооружений Шпеер присвоил программе наивысший приоритет, однако самолет все еще был далек от поставок в войска (22776).</w:t>
      </w:r>
    </w:p>
    <w:p w14:paraId="1539EFB9" w14:textId="77777777" w:rsidR="004C5E94" w:rsidRPr="007224C3" w:rsidRDefault="004C5E94" w:rsidP="007224C3">
      <w:pPr>
        <w:shd w:val="clear" w:color="auto" w:fill="FFFFFF"/>
        <w:spacing w:after="0" w:line="240" w:lineRule="auto"/>
        <w:jc w:val="both"/>
        <w:rPr>
          <w:rFonts w:ascii="Times New Roman" w:hAnsi="Times New Roman"/>
          <w:color w:val="0070C0"/>
          <w:sz w:val="16"/>
          <w:szCs w:val="16"/>
        </w:rPr>
      </w:pPr>
    </w:p>
    <w:p w14:paraId="2883B948" w14:textId="77777777" w:rsidR="00D0561B" w:rsidRPr="007224C3" w:rsidRDefault="00D0561B"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 марта 1944 авиация союзников совершает крупнейшую атаку кампании Анцио с 241 B-24 Liberators и 100 B-17 Flying Fortress в сопровождении 113 P-38 Lightning и 63 P-47 Thunderbolts, сбрасывающих тысячи осколочных бомб вокруг Кастелло-ди. Чистерна, Веллетри и Каррочето, Италия. Почти такое же количество средних и легких бомбардировщиков и истребителей-бомбардировщиков союзников наносит удары по немецким танкам , артиллерийским позициям и районам сбора возле плацдарма Анцио, особенно вдоль шоссе Кастелло-ди-Чистерна- Камполеоне (20373).</w:t>
      </w:r>
    </w:p>
    <w:p w14:paraId="6067CFED" w14:textId="77777777" w:rsidR="00D0561B" w:rsidRPr="007224C3" w:rsidRDefault="00D0561B" w:rsidP="007224C3">
      <w:pPr>
        <w:spacing w:after="0" w:line="240" w:lineRule="auto"/>
        <w:jc w:val="both"/>
        <w:rPr>
          <w:rFonts w:ascii="Times New Roman" w:hAnsi="Times New Roman"/>
          <w:color w:val="0070C0"/>
          <w:sz w:val="16"/>
          <w:szCs w:val="16"/>
        </w:rPr>
      </w:pPr>
    </w:p>
    <w:p w14:paraId="09A0AFF6" w14:textId="77777777" w:rsidR="00D0561B" w:rsidRPr="007224C3" w:rsidRDefault="00D0561B"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2–3 марта (ночь) 1944 123 британских бомбардировщика серьезно повредили авиационный завод SNCAM в Мёлан-ле-Мюро, Франция. 15 Ланкастеров из 617-й эскадрильи успешно атакуют авиационный завод в Альберте, Франция (20373).</w:t>
      </w:r>
    </w:p>
    <w:p w14:paraId="748B2351" w14:textId="77777777" w:rsidR="00D0561B" w:rsidRPr="007224C3" w:rsidRDefault="00D0561B" w:rsidP="007224C3">
      <w:pPr>
        <w:spacing w:after="0" w:line="240" w:lineRule="auto"/>
        <w:jc w:val="both"/>
        <w:rPr>
          <w:rFonts w:ascii="Times New Roman" w:hAnsi="Times New Roman"/>
          <w:color w:val="0070C0"/>
          <w:sz w:val="16"/>
          <w:szCs w:val="16"/>
        </w:rPr>
      </w:pPr>
    </w:p>
    <w:p w14:paraId="6E237BCF"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марта 1944 Англия и США прервали программу помощи Турции по ленд-лизу в связи с отказом турок сотрудничать с союзниками (4962).</w:t>
      </w:r>
    </w:p>
    <w:p w14:paraId="62519E39"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02FCB71"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марта 1944 в Италии возле Салерно 426 человек погибли от отравления угарным газом во время остановки поезда в горном туннеле (4962).</w:t>
      </w:r>
    </w:p>
    <w:p w14:paraId="749CACFA"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9A4E7A2" w14:textId="77777777" w:rsidR="006E750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06571296" w14:textId="77777777" w:rsidR="006E7509" w:rsidRPr="007224C3" w:rsidRDefault="006E7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EEBE6EE" w14:textId="77777777" w:rsidR="00FF2344" w:rsidRPr="007224C3" w:rsidRDefault="00FF2344" w:rsidP="007224C3">
      <w:pPr>
        <w:pStyle w:val="172"/>
        <w:shd w:val="clear" w:color="auto" w:fill="auto"/>
        <w:spacing w:before="0" w:line="240" w:lineRule="auto"/>
        <w:ind w:firstLine="0"/>
        <w:jc w:val="both"/>
        <w:rPr>
          <w:rFonts w:ascii="Times New Roman" w:hAnsi="Times New Roman" w:cs="Times New Roman"/>
          <w:color w:val="0070C0"/>
          <w:sz w:val="16"/>
          <w:szCs w:val="16"/>
        </w:rPr>
      </w:pPr>
      <w:r w:rsidRPr="007224C3">
        <w:rPr>
          <w:rFonts w:ascii="Times New Roman" w:hAnsi="Times New Roman" w:cs="Times New Roman"/>
          <w:color w:val="0070C0"/>
          <w:sz w:val="16"/>
          <w:szCs w:val="16"/>
        </w:rPr>
        <w:t>3 марта 1944 заместителю начальника 7-го Управления НКАП Алексееву были направлены для согла</w:t>
      </w:r>
      <w:r w:rsidRPr="007224C3">
        <w:rPr>
          <w:rFonts w:ascii="Times New Roman" w:hAnsi="Times New Roman" w:cs="Times New Roman"/>
          <w:color w:val="0070C0"/>
          <w:sz w:val="16"/>
          <w:szCs w:val="16"/>
        </w:rPr>
        <w:softHyphen/>
        <w:t>сования докладная записка на</w:t>
      </w:r>
      <w:r w:rsidRPr="007224C3">
        <w:rPr>
          <w:rFonts w:ascii="Times New Roman" w:hAnsi="Times New Roman" w:cs="Times New Roman"/>
          <w:color w:val="0070C0"/>
          <w:sz w:val="16"/>
          <w:szCs w:val="16"/>
        </w:rPr>
        <w:softHyphen/>
        <w:t>чальника Управления опытного строитель</w:t>
      </w:r>
      <w:r w:rsidRPr="007224C3">
        <w:rPr>
          <w:rFonts w:ascii="Times New Roman" w:hAnsi="Times New Roman" w:cs="Times New Roman"/>
          <w:color w:val="0070C0"/>
          <w:sz w:val="16"/>
          <w:szCs w:val="16"/>
        </w:rPr>
        <w:softHyphen/>
        <w:t>ства ВВС КА бригинженера Лешукова на имя пред</w:t>
      </w:r>
      <w:r w:rsidRPr="007224C3">
        <w:rPr>
          <w:rFonts w:ascii="Times New Roman" w:hAnsi="Times New Roman" w:cs="Times New Roman"/>
          <w:color w:val="0070C0"/>
          <w:sz w:val="16"/>
          <w:szCs w:val="16"/>
        </w:rPr>
        <w:softHyphen/>
        <w:t>седателя Государственного Комитета Обороны И.В.Сталина и проект постанов</w:t>
      </w:r>
      <w:r w:rsidRPr="007224C3">
        <w:rPr>
          <w:rFonts w:ascii="Times New Roman" w:hAnsi="Times New Roman" w:cs="Times New Roman"/>
          <w:color w:val="0070C0"/>
          <w:sz w:val="16"/>
          <w:szCs w:val="16"/>
        </w:rPr>
        <w:softHyphen/>
        <w:t>ления ГКО «О выпуске малой серии но</w:t>
      </w:r>
      <w:r w:rsidRPr="007224C3">
        <w:rPr>
          <w:rFonts w:ascii="Times New Roman" w:hAnsi="Times New Roman" w:cs="Times New Roman"/>
          <w:color w:val="0070C0"/>
          <w:sz w:val="16"/>
          <w:szCs w:val="16"/>
        </w:rPr>
        <w:softHyphen/>
        <w:t>вых бронированных штурмовиков с мото</w:t>
      </w:r>
      <w:r w:rsidRPr="007224C3">
        <w:rPr>
          <w:rFonts w:ascii="Times New Roman" w:hAnsi="Times New Roman" w:cs="Times New Roman"/>
          <w:color w:val="0070C0"/>
          <w:sz w:val="16"/>
          <w:szCs w:val="16"/>
        </w:rPr>
        <w:softHyphen/>
        <w:t>ром М-71».</w:t>
      </w:r>
    </w:p>
    <w:p w14:paraId="0B06E5B9" w14:textId="77777777" w:rsidR="00FF2344" w:rsidRPr="007224C3" w:rsidRDefault="00FF2344" w:rsidP="007224C3">
      <w:pPr>
        <w:pStyle w:val="172"/>
        <w:shd w:val="clear" w:color="auto" w:fill="auto"/>
        <w:spacing w:before="0" w:line="240" w:lineRule="auto"/>
        <w:ind w:firstLine="0"/>
        <w:jc w:val="both"/>
        <w:rPr>
          <w:rFonts w:ascii="Times New Roman" w:hAnsi="Times New Roman" w:cs="Times New Roman"/>
          <w:color w:val="0070C0"/>
          <w:sz w:val="16"/>
          <w:szCs w:val="16"/>
        </w:rPr>
      </w:pPr>
      <w:r w:rsidRPr="007224C3">
        <w:rPr>
          <w:rFonts w:ascii="Times New Roman" w:hAnsi="Times New Roman" w:cs="Times New Roman"/>
          <w:color w:val="0070C0"/>
          <w:sz w:val="16"/>
          <w:szCs w:val="16"/>
        </w:rPr>
        <w:t>Проект постановления обязывал НКАП («директора и главного конструк</w:t>
      </w:r>
      <w:r w:rsidRPr="007224C3">
        <w:rPr>
          <w:rFonts w:ascii="Times New Roman" w:hAnsi="Times New Roman" w:cs="Times New Roman"/>
          <w:color w:val="0070C0"/>
          <w:sz w:val="16"/>
          <w:szCs w:val="16"/>
        </w:rPr>
        <w:softHyphen/>
        <w:t>тора завода №289 тов. Сухого») к 1 но</w:t>
      </w:r>
      <w:r w:rsidRPr="007224C3">
        <w:rPr>
          <w:rFonts w:ascii="Times New Roman" w:hAnsi="Times New Roman" w:cs="Times New Roman"/>
          <w:color w:val="0070C0"/>
          <w:sz w:val="16"/>
          <w:szCs w:val="16"/>
        </w:rPr>
        <w:softHyphen/>
        <w:t>ября 1942 г. построить малую серию «штурмовиков Су-6 в количестве 25 эк</w:t>
      </w:r>
      <w:r w:rsidRPr="007224C3">
        <w:rPr>
          <w:rFonts w:ascii="Times New Roman" w:hAnsi="Times New Roman" w:cs="Times New Roman"/>
          <w:color w:val="0070C0"/>
          <w:sz w:val="16"/>
          <w:szCs w:val="16"/>
        </w:rPr>
        <w:softHyphen/>
        <w:t>земпляров с мотором М-71».</w:t>
      </w:r>
    </w:p>
    <w:p w14:paraId="22A79298" w14:textId="77777777" w:rsidR="00FF2344" w:rsidRPr="007224C3" w:rsidRDefault="00FF2344" w:rsidP="007224C3">
      <w:pPr>
        <w:pStyle w:val="172"/>
        <w:shd w:val="clear" w:color="auto" w:fill="auto"/>
        <w:spacing w:before="0" w:line="240" w:lineRule="auto"/>
        <w:ind w:firstLine="0"/>
        <w:jc w:val="both"/>
        <w:rPr>
          <w:rFonts w:ascii="Times New Roman" w:hAnsi="Times New Roman" w:cs="Times New Roman"/>
          <w:color w:val="0070C0"/>
          <w:sz w:val="16"/>
          <w:szCs w:val="16"/>
        </w:rPr>
      </w:pPr>
      <w:r w:rsidRPr="007224C3">
        <w:rPr>
          <w:rFonts w:ascii="Times New Roman" w:hAnsi="Times New Roman" w:cs="Times New Roman"/>
          <w:color w:val="0070C0"/>
          <w:sz w:val="16"/>
          <w:szCs w:val="16"/>
        </w:rPr>
        <w:t>Летные данные задавались следу</w:t>
      </w:r>
      <w:r w:rsidRPr="007224C3">
        <w:rPr>
          <w:rFonts w:ascii="Times New Roman" w:hAnsi="Times New Roman" w:cs="Times New Roman"/>
          <w:color w:val="0070C0"/>
          <w:sz w:val="16"/>
          <w:szCs w:val="16"/>
        </w:rPr>
        <w:softHyphen/>
        <w:t>ющие. Максимальная скорость на но</w:t>
      </w:r>
      <w:r w:rsidRPr="007224C3">
        <w:rPr>
          <w:rFonts w:ascii="Times New Roman" w:hAnsi="Times New Roman" w:cs="Times New Roman"/>
          <w:color w:val="0070C0"/>
          <w:sz w:val="16"/>
          <w:szCs w:val="16"/>
        </w:rPr>
        <w:softHyphen/>
        <w:t>минальной мощности мотора 460 км/ч (500 км/ч - с применением форсажа) - у земли, и 550 км/ч - на высоте 5600 м. Посадочная скорость - 145 км/ч. Даль</w:t>
      </w:r>
      <w:r w:rsidRPr="007224C3">
        <w:rPr>
          <w:rFonts w:ascii="Times New Roman" w:hAnsi="Times New Roman" w:cs="Times New Roman"/>
          <w:color w:val="0070C0"/>
          <w:sz w:val="16"/>
          <w:szCs w:val="16"/>
        </w:rPr>
        <w:softHyphen/>
        <w:t>ность полета на скорости 0,9 максималь</w:t>
      </w:r>
      <w:r w:rsidRPr="007224C3">
        <w:rPr>
          <w:rFonts w:ascii="Times New Roman" w:hAnsi="Times New Roman" w:cs="Times New Roman"/>
          <w:color w:val="0070C0"/>
          <w:sz w:val="16"/>
          <w:szCs w:val="16"/>
        </w:rPr>
        <w:softHyphen/>
        <w:t>ной скорости - 700 км.</w:t>
      </w:r>
    </w:p>
    <w:p w14:paraId="11AFA764" w14:textId="77777777" w:rsidR="00FF2344" w:rsidRPr="007224C3" w:rsidRDefault="00FF2344" w:rsidP="007224C3">
      <w:pPr>
        <w:pStyle w:val="172"/>
        <w:shd w:val="clear" w:color="auto" w:fill="auto"/>
        <w:spacing w:before="0" w:line="240" w:lineRule="auto"/>
        <w:ind w:firstLine="0"/>
        <w:jc w:val="both"/>
        <w:rPr>
          <w:rFonts w:ascii="Times New Roman" w:hAnsi="Times New Roman" w:cs="Times New Roman"/>
          <w:color w:val="0070C0"/>
          <w:sz w:val="16"/>
          <w:szCs w:val="16"/>
        </w:rPr>
      </w:pPr>
      <w:r w:rsidRPr="007224C3">
        <w:rPr>
          <w:rFonts w:ascii="Times New Roman" w:hAnsi="Times New Roman" w:cs="Times New Roman"/>
          <w:color w:val="0070C0"/>
          <w:sz w:val="16"/>
          <w:szCs w:val="16"/>
        </w:rPr>
        <w:t>Вооружение должно было включать две пушки ВЯ (по 80 патрон на пушку), четыре пулемета ШКАС в крыле (по 800 патронов на пулемет), два синхрон</w:t>
      </w:r>
      <w:r w:rsidRPr="007224C3">
        <w:rPr>
          <w:rFonts w:ascii="Times New Roman" w:hAnsi="Times New Roman" w:cs="Times New Roman"/>
          <w:color w:val="0070C0"/>
          <w:sz w:val="16"/>
          <w:szCs w:val="16"/>
        </w:rPr>
        <w:softHyphen/>
        <w:t>ных ШКАС (по 800 патронов каждый), 10 РС-82 и 150 кг бомб или 10 РС-132. Бом</w:t>
      </w:r>
      <w:r w:rsidRPr="007224C3">
        <w:rPr>
          <w:rFonts w:ascii="Times New Roman" w:hAnsi="Times New Roman" w:cs="Times New Roman"/>
          <w:color w:val="0070C0"/>
          <w:sz w:val="16"/>
          <w:szCs w:val="16"/>
        </w:rPr>
        <w:softHyphen/>
        <w:t>бовая нагрузка при перегрузке (калибр бомб от 1,5 кг до 100 кг) - 400 кг.</w:t>
      </w:r>
    </w:p>
    <w:p w14:paraId="1AB55676" w14:textId="77777777" w:rsidR="00FF2344" w:rsidRPr="007224C3" w:rsidRDefault="00FF2344" w:rsidP="007224C3">
      <w:pPr>
        <w:pStyle w:val="172"/>
        <w:shd w:val="clear" w:color="auto" w:fill="auto"/>
        <w:spacing w:before="0" w:line="240" w:lineRule="auto"/>
        <w:ind w:firstLine="0"/>
        <w:jc w:val="both"/>
        <w:rPr>
          <w:rFonts w:ascii="Times New Roman" w:hAnsi="Times New Roman" w:cs="Times New Roman"/>
          <w:color w:val="0070C0"/>
          <w:sz w:val="16"/>
          <w:szCs w:val="16"/>
        </w:rPr>
      </w:pPr>
      <w:r w:rsidRPr="007224C3">
        <w:rPr>
          <w:rFonts w:ascii="Times New Roman" w:hAnsi="Times New Roman" w:cs="Times New Roman"/>
          <w:color w:val="0070C0"/>
          <w:sz w:val="16"/>
          <w:szCs w:val="16"/>
        </w:rPr>
        <w:t>«Бронирование от пуль калибра 12,7 мм» следовало реализовать по схеме, утвержденной ГУ ВВС КА. Бензобак дол</w:t>
      </w:r>
      <w:r w:rsidRPr="007224C3">
        <w:rPr>
          <w:rFonts w:ascii="Times New Roman" w:hAnsi="Times New Roman" w:cs="Times New Roman"/>
          <w:color w:val="0070C0"/>
          <w:sz w:val="16"/>
          <w:szCs w:val="16"/>
        </w:rPr>
        <w:softHyphen/>
        <w:t>жен иметь протектор и заполняться в по</w:t>
      </w:r>
      <w:r w:rsidRPr="007224C3">
        <w:rPr>
          <w:rFonts w:ascii="Times New Roman" w:hAnsi="Times New Roman" w:cs="Times New Roman"/>
          <w:color w:val="0070C0"/>
          <w:sz w:val="16"/>
          <w:szCs w:val="16"/>
        </w:rPr>
        <w:softHyphen/>
        <w:t>лете инертным газом.</w:t>
      </w:r>
    </w:p>
    <w:p w14:paraId="39C2AA02" w14:textId="77777777" w:rsidR="00FF2344" w:rsidRPr="007224C3" w:rsidRDefault="00FF2344"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Головной самолет малой серии тре</w:t>
      </w:r>
      <w:r w:rsidRPr="007224C3">
        <w:rPr>
          <w:rFonts w:ascii="Times New Roman" w:hAnsi="Times New Roman"/>
          <w:color w:val="0070C0"/>
          <w:sz w:val="16"/>
          <w:szCs w:val="16"/>
        </w:rPr>
        <w:softHyphen/>
        <w:t>бовалось предъявить на государственные испытания не позже 15 июня 1942 г. (19844).</w:t>
      </w:r>
    </w:p>
    <w:p w14:paraId="7C00F0F4" w14:textId="77777777" w:rsidR="00FF2344" w:rsidRPr="007224C3" w:rsidRDefault="00FF2344" w:rsidP="007224C3">
      <w:pPr>
        <w:spacing w:after="0" w:line="240" w:lineRule="auto"/>
        <w:jc w:val="both"/>
        <w:rPr>
          <w:rFonts w:ascii="Times New Roman" w:hAnsi="Times New Roman"/>
          <w:color w:val="0070C0"/>
          <w:sz w:val="16"/>
          <w:szCs w:val="16"/>
        </w:rPr>
      </w:pPr>
    </w:p>
    <w:p w14:paraId="5570CB13" w14:textId="77777777" w:rsidR="006E7509" w:rsidRPr="007224C3" w:rsidRDefault="006E75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3 марта</w:t>
      </w:r>
      <w:r w:rsidRPr="007224C3">
        <w:rPr>
          <w:rFonts w:ascii="Times New Roman" w:hAnsi="Times New Roman"/>
          <w:color w:val="000000" w:themeColor="text1"/>
          <w:sz w:val="16"/>
          <w:szCs w:val="16"/>
        </w:rPr>
        <w:t xml:space="preserve"> в 1944 году первый полет истребителя-бомбардировщика «Як-9Б». «Як-9», созданный в конце 1942 г., стал самым массовым истребителем советских ВВС в период Великой Отечественной войны. За 1942-1945 гг. авиапромышленность выпустила 15470 самолетов этого типа. При его создании за основу был взят истребитель «Як-7Б» с мотором «М-105ПФ». Производство «Як-9» началось в конце 1942 г. Этот самолет обладал отличными пилотажными качествами и превосходной маневренностью, был устойчив на всех режимах полета. В 1943 г. был создан и выпускался крупной серией «Як-9Т», вооруженный пушкой калибра 37 мм, а в 1944 г. вышел и «Як-9К» с пушкой калибра 45 мм. Эти истребители предназначались главным образом для атак наземных целей и борьбы с бомбардировщиками противника (15057).</w:t>
      </w:r>
    </w:p>
    <w:p w14:paraId="632B75C9" w14:textId="77777777" w:rsidR="006E7509" w:rsidRPr="007224C3" w:rsidRDefault="006E7509" w:rsidP="007224C3">
      <w:pPr>
        <w:spacing w:after="0" w:line="240" w:lineRule="auto"/>
        <w:jc w:val="both"/>
        <w:rPr>
          <w:rFonts w:ascii="Times New Roman" w:hAnsi="Times New Roman"/>
          <w:color w:val="000000" w:themeColor="text1"/>
          <w:sz w:val="16"/>
          <w:szCs w:val="16"/>
        </w:rPr>
      </w:pPr>
    </w:p>
    <w:p w14:paraId="155290B7" w14:textId="77777777" w:rsidR="00B123B4" w:rsidRPr="007224C3" w:rsidRDefault="00B123B4" w:rsidP="007224C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4C3">
        <w:rPr>
          <w:rFonts w:ascii="Times New Roman" w:eastAsia="TimesNewRomanPSMT" w:hAnsi="Times New Roman"/>
          <w:iCs/>
          <w:color w:val="000000" w:themeColor="text1"/>
          <w:sz w:val="16"/>
          <w:szCs w:val="16"/>
        </w:rPr>
        <w:t>3 марта 1944 г.</w:t>
      </w:r>
    </w:p>
    <w:p w14:paraId="1B867727" w14:textId="77777777" w:rsidR="00B123B4" w:rsidRPr="007224C3" w:rsidRDefault="00B123B4" w:rsidP="007224C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4C3">
        <w:rPr>
          <w:rFonts w:ascii="Times New Roman" w:eastAsia="TimesNewRomanPSMT" w:hAnsi="Times New Roman"/>
          <w:iCs/>
          <w:color w:val="000000" w:themeColor="text1"/>
          <w:sz w:val="16"/>
          <w:szCs w:val="16"/>
        </w:rPr>
        <w:t>Из докладной записки директора завода № 477 И.Я. Рехтмана</w:t>
      </w:r>
    </w:p>
    <w:p w14:paraId="1095CF44" w14:textId="77777777" w:rsidR="00B123B4" w:rsidRPr="007224C3" w:rsidRDefault="00B123B4" w:rsidP="007224C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4C3">
        <w:rPr>
          <w:rFonts w:ascii="Times New Roman" w:eastAsia="TimesNewRomanPSMT" w:hAnsi="Times New Roman"/>
          <w:iCs/>
          <w:color w:val="000000" w:themeColor="text1"/>
          <w:sz w:val="16"/>
          <w:szCs w:val="16"/>
        </w:rPr>
        <w:t>заместителю наркома авиационной промышленности П.В. Дементьеву</w:t>
      </w:r>
    </w:p>
    <w:p w14:paraId="5E3D0ABD" w14:textId="77777777" w:rsidR="00B123B4" w:rsidRPr="007224C3" w:rsidRDefault="00B123B4" w:rsidP="007224C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4C3">
        <w:rPr>
          <w:rFonts w:ascii="Times New Roman" w:eastAsia="TimesNewRomanPSMT" w:hAnsi="Times New Roman"/>
          <w:iCs/>
          <w:color w:val="000000" w:themeColor="text1"/>
          <w:sz w:val="16"/>
          <w:szCs w:val="16"/>
        </w:rPr>
        <w:t>г. Красноярск 3 марта 1944 г.секретно</w:t>
      </w:r>
    </w:p>
    <w:p w14:paraId="66D1E6D9" w14:textId="77777777" w:rsidR="00B123B4" w:rsidRPr="007224C3" w:rsidRDefault="00B123B4" w:rsidP="007224C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4C3">
        <w:rPr>
          <w:rFonts w:ascii="Times New Roman" w:eastAsia="TimesNewRomanPSMT" w:hAnsi="Times New Roman"/>
          <w:iCs/>
          <w:color w:val="000000" w:themeColor="text1"/>
          <w:sz w:val="16"/>
          <w:szCs w:val="16"/>
        </w:rPr>
        <w:t>Согласно приказу народного комиссара № 267с от 18 мая 1943 г. завод № 477 переведен из агрегатного в завод по изготовлению гидросамолетов как серийных, так и опытных. […]</w:t>
      </w:r>
    </w:p>
    <w:p w14:paraId="1D920C25" w14:textId="77777777" w:rsidR="00B123B4" w:rsidRPr="007224C3" w:rsidRDefault="00B123B4" w:rsidP="007224C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4C3">
        <w:rPr>
          <w:rFonts w:ascii="Times New Roman" w:eastAsia="TimesNewRomanPSMT" w:hAnsi="Times New Roman"/>
          <w:iCs/>
          <w:color w:val="000000" w:themeColor="text1"/>
          <w:sz w:val="16"/>
          <w:szCs w:val="16"/>
        </w:rPr>
        <w:t>Директор завода № 477 Рехтман</w:t>
      </w:r>
    </w:p>
    <w:p w14:paraId="06E89DD8" w14:textId="77777777" w:rsidR="00B123B4" w:rsidRPr="007224C3" w:rsidRDefault="00B123B4" w:rsidP="007224C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4C3">
        <w:rPr>
          <w:rFonts w:ascii="Times New Roman" w:eastAsia="TimesNewRomanPSMT" w:hAnsi="Times New Roman"/>
          <w:iCs/>
          <w:color w:val="000000" w:themeColor="text1"/>
          <w:sz w:val="16"/>
          <w:szCs w:val="16"/>
        </w:rPr>
        <w:t>КГКУ «ГАКК». Ф.Р-1341. Оп. 4. Д. 155. Л. 7, 7об. Копия. Машинопись (19799).</w:t>
      </w:r>
    </w:p>
    <w:p w14:paraId="24FC1600" w14:textId="77777777" w:rsidR="00B123B4" w:rsidRPr="007224C3" w:rsidRDefault="00B123B4" w:rsidP="007224C3">
      <w:pPr>
        <w:pStyle w:val="27"/>
        <w:shd w:val="clear" w:color="auto" w:fill="auto"/>
        <w:spacing w:after="0" w:line="240" w:lineRule="auto"/>
        <w:ind w:firstLine="0"/>
        <w:rPr>
          <w:rFonts w:ascii="Times New Roman" w:cs="Times New Roman"/>
          <w:color w:val="000000" w:themeColor="text1"/>
          <w:spacing w:val="0"/>
        </w:rPr>
      </w:pPr>
    </w:p>
    <w:p w14:paraId="75E4D01E"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6611121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7F0250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марта 1944 года первый прототип СУ-100, вооруженный пушкой Д-10 Петрова, был отправлен на заводские испытания, состоявшие из 30 выстрелов и 150 км пробега (3862). Закончились 2 июля (7381, 34).</w:t>
      </w:r>
    </w:p>
    <w:p w14:paraId="12C905C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EFC91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марта 1944 г. артсамоход был отправлен на Гороховецкий полигон, где в пе</w:t>
      </w:r>
      <w:r w:rsidRPr="007224C3">
        <w:rPr>
          <w:rFonts w:ascii="Times New Roman" w:hAnsi="Times New Roman"/>
          <w:color w:val="000000" w:themeColor="text1"/>
          <w:sz w:val="16"/>
          <w:szCs w:val="16"/>
        </w:rPr>
        <w:softHyphen/>
        <w:t>риод с 9 по 27 марта проходили Государственные испытания.</w:t>
      </w:r>
    </w:p>
    <w:p w14:paraId="3E030FE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Государственная комиссия под руководством полковни</w:t>
      </w:r>
      <w:r w:rsidRPr="007224C3">
        <w:rPr>
          <w:rFonts w:ascii="Times New Roman" w:hAnsi="Times New Roman"/>
          <w:color w:val="000000" w:themeColor="text1"/>
          <w:sz w:val="16"/>
          <w:szCs w:val="16"/>
        </w:rPr>
        <w:softHyphen/>
        <w:t>ка Рупышева провела указанные испытания в более жестком режиме, чем было изначально запланировано, причем ужес</w:t>
      </w:r>
      <w:r w:rsidRPr="007224C3">
        <w:rPr>
          <w:rFonts w:ascii="Times New Roman" w:hAnsi="Times New Roman"/>
          <w:color w:val="000000" w:themeColor="text1"/>
          <w:sz w:val="16"/>
          <w:szCs w:val="16"/>
        </w:rPr>
        <w:softHyphen/>
        <w:t>точение режима вызывалось требованиями ЦАКБ. Всего в ходе испытаний было пройдено 864 км пробега и выполнено 1040 выстрелов. И, несмотря на то, что за поведением само</w:t>
      </w:r>
      <w:r w:rsidRPr="007224C3">
        <w:rPr>
          <w:rFonts w:ascii="Times New Roman" w:hAnsi="Times New Roman"/>
          <w:color w:val="000000" w:themeColor="text1"/>
          <w:sz w:val="16"/>
          <w:szCs w:val="16"/>
        </w:rPr>
        <w:softHyphen/>
        <w:t>хода наблюдало большое число глаз, комиссия рекомендо</w:t>
      </w:r>
      <w:r w:rsidRPr="007224C3">
        <w:rPr>
          <w:rFonts w:ascii="Times New Roman" w:hAnsi="Times New Roman"/>
          <w:color w:val="000000" w:themeColor="text1"/>
          <w:sz w:val="16"/>
          <w:szCs w:val="16"/>
        </w:rPr>
        <w:softHyphen/>
        <w:t>вала указанный самоход на вооружение Красной Армии с учетом ликвидации отмеченных недостатков:</w:t>
      </w:r>
    </w:p>
    <w:p w14:paraId="168553B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Введением блокировки электроспуска для устранения самопроизвольных выстрелов при неподготовленном орудии или неожиданно для заряжающего (отмечались случаи травматизма заряжающих в ходе боев осени—зи</w:t>
      </w:r>
      <w:r w:rsidRPr="007224C3">
        <w:rPr>
          <w:rFonts w:ascii="Times New Roman" w:hAnsi="Times New Roman"/>
          <w:color w:val="000000" w:themeColor="text1"/>
          <w:sz w:val="16"/>
          <w:szCs w:val="16"/>
        </w:rPr>
        <w:softHyphen/>
        <w:t>мы 1943 г.)</w:t>
      </w:r>
    </w:p>
    <w:p w14:paraId="13E8EAD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Улучшением рабочего места командира.</w:t>
      </w:r>
    </w:p>
    <w:p w14:paraId="6987359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Улучшением крепления орудия по-походному.</w:t>
      </w:r>
    </w:p>
    <w:p w14:paraId="0320C89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Улучшением вентиляции боевого отделения.</w:t>
      </w:r>
    </w:p>
    <w:p w14:paraId="1BBCFD3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Улучшением крепления боеприпасов.</w:t>
      </w:r>
    </w:p>
    <w:p w14:paraId="3C49DF3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Изъятием смазки газойлем коленвала двигателя и заме</w:t>
      </w:r>
      <w:r w:rsidRPr="007224C3">
        <w:rPr>
          <w:rFonts w:ascii="Times New Roman" w:hAnsi="Times New Roman"/>
          <w:color w:val="000000" w:themeColor="text1"/>
          <w:sz w:val="16"/>
          <w:szCs w:val="16"/>
        </w:rPr>
        <w:softHyphen/>
        <w:t>ной ее смазкой авиамаслом.</w:t>
      </w:r>
    </w:p>
    <w:p w14:paraId="790574C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Улучшением защелок люков и крышек (11417).</w:t>
      </w:r>
    </w:p>
    <w:p w14:paraId="615F00A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4A86C8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марта 1944 г. была подготовлена ОБЪЯСНИТЕЛЬНАЯ ЗАПИСКА НАЧАЛЬНИКА 1 -го ОТДЕЛА УСА ГБТУ КА К СВЕДЕНИЯМ О ВЫПОЛНЕНИИ ЗАВОДАМИ ПРОМЫШЛЕННОСТИ ПЛАНА ПОСТАВОК САМОХОДНЫХ АРТУСТАНОВОК В 1943 ГОДУ № 555522</w:t>
      </w:r>
    </w:p>
    <w:p w14:paraId="1C57F51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 мая месяца 1943 г. производство самоходных артустановок и заказы на них находились в ведении Главного артиллерийского управления Красной Армии. В мае месяце 1943 г. производство и заказы на самоходные артустановки были переданы в ведение ГБТУ КА.</w:t>
      </w:r>
    </w:p>
    <w:p w14:paraId="75627E3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качестве краткого пояснения работы заводов к ходу выполнения плана заказов в 1943 г. сле</w:t>
      </w:r>
      <w:r w:rsidRPr="007224C3">
        <w:rPr>
          <w:rFonts w:ascii="Times New Roman" w:hAnsi="Times New Roman"/>
          <w:color w:val="000000" w:themeColor="text1"/>
          <w:sz w:val="16"/>
          <w:szCs w:val="16"/>
        </w:rPr>
        <w:softHyphen/>
        <w:t>дует отнести:</w:t>
      </w:r>
    </w:p>
    <w:p w14:paraId="5E90344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Самоходные артиллерийские установки всех типов являются новым видом вооружения, освое</w:t>
      </w:r>
      <w:r w:rsidRPr="007224C3">
        <w:rPr>
          <w:rFonts w:ascii="Times New Roman" w:hAnsi="Times New Roman"/>
          <w:color w:val="000000" w:themeColor="text1"/>
          <w:sz w:val="16"/>
          <w:szCs w:val="16"/>
        </w:rPr>
        <w:softHyphen/>
        <w:t>ние производства которых было начато промышленностью с декабря 1942 года и с начала 1943 года.</w:t>
      </w:r>
    </w:p>
    <w:p w14:paraId="5D3197A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Имевшееся невыполнение плана поставок в 1943 году в основном падает на первые месяцы года и объясняется, главным образом, неудовлетворительной подготовкой производства к выпуску этой продукции.</w:t>
      </w:r>
    </w:p>
    <w:p w14:paraId="5292B22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Основной причиной невыполнений месячных планов заводами являлась, главным образом, плохая кооперация.</w:t>
      </w:r>
    </w:p>
    <w:p w14:paraId="60CAA5D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результате невыполнения межзаводских заказов был срыв программы в мае месяце на Кировском заводе из-за неполучения необходимого количества бронекорпусов. Из-за несвоевре</w:t>
      </w:r>
      <w:r w:rsidRPr="007224C3">
        <w:rPr>
          <w:rFonts w:ascii="Times New Roman" w:hAnsi="Times New Roman"/>
          <w:color w:val="000000" w:themeColor="text1"/>
          <w:sz w:val="16"/>
          <w:szCs w:val="16"/>
        </w:rPr>
        <w:softHyphen/>
        <w:t>менного получения заводом №40 НКСМ металла и моторов не выполнены были планы поставок в ноябре и декабре 1943 года.</w:t>
      </w:r>
    </w:p>
    <w:p w14:paraId="5949111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Следует отметить неравномерную работу завода №38 НКТП в 1-й половине 1943 года.</w:t>
      </w:r>
    </w:p>
    <w:p w14:paraId="6322172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Основной причиной этого являлось плохое качество выпускаемой продукции. Начиная со вто</w:t>
      </w:r>
      <w:r w:rsidRPr="007224C3">
        <w:rPr>
          <w:rFonts w:ascii="Times New Roman" w:hAnsi="Times New Roman"/>
          <w:color w:val="000000" w:themeColor="text1"/>
          <w:sz w:val="16"/>
          <w:szCs w:val="16"/>
        </w:rPr>
        <w:softHyphen/>
        <w:t>рого полугодия завод перешел на изготовление нового, улучшенного образца СУ, что дало возмож</w:t>
      </w:r>
      <w:r w:rsidRPr="007224C3">
        <w:rPr>
          <w:rFonts w:ascii="Times New Roman" w:hAnsi="Times New Roman"/>
          <w:color w:val="000000" w:themeColor="text1"/>
          <w:sz w:val="16"/>
          <w:szCs w:val="16"/>
        </w:rPr>
        <w:softHyphen/>
        <w:t>ность заводу работать по графику и выполнять план заказов.</w:t>
      </w:r>
    </w:p>
    <w:p w14:paraId="2DDEB43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Неудовлетворительная работа завода №37 НКТП в первом полугодии объясняется периодом освоения производства СУ-76И и недостаточным обеспечением ремфондами, так как производство было основано на использовании трофейных немецких танков. В декабре месяце производство СУ-76И было прекращено.</w:t>
      </w:r>
    </w:p>
    <w:p w14:paraId="53B490A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1 отдела УСА ГБТУ КА инженер-подполковник Демьяненко</w:t>
      </w:r>
    </w:p>
    <w:p w14:paraId="511E150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38. Оп. 11369. Д. 404. Л. 13. Копия (11403).</w:t>
      </w:r>
    </w:p>
    <w:p w14:paraId="0A18CC5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464CF1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марта 1944 года начались работы по перевооружению БА-64Б новым 7,62-мм пулеметом системы Горюнова, значительно более мощного и надежного, чем пулемет Дегтярева (СГ-34 при массе без станка всего 13,8 кг имел прицельную дальность стрельбы 2000 метров). Первый вариант (и единственный) сделали как и у БА-64Д, без изменений башни, простой заменой пулеметов. Пулемет СГ-43 был длиннее ДТ, тем не менее поместился в штатной башне. Такое расположение существенно сократило горизонтальный сектор обстрела без поворота башни (3862).</w:t>
      </w:r>
    </w:p>
    <w:p w14:paraId="5A68C3B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29767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марта 1944 г. было подготовлено ЗАКЛЮЧЕНИЕ ПО ГОДОВОМУ ОТЧЕТУ НИБТ ПОЛИГОНА ГБТУ КА ЗА 1943 г.</w:t>
      </w:r>
    </w:p>
    <w:p w14:paraId="51B34A9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Выполнение тематических работ НИБТ полигоном в 1943 году было связано с передислокацией его из г. Казань в Кубинку.</w:t>
      </w:r>
    </w:p>
    <w:p w14:paraId="6640562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Несмотря на такие условия, когда большинство оборудования мастерских и лабораторий было разбросано, полигон провел большую полезную работу для БТ и МВ Красной Армии.</w:t>
      </w:r>
    </w:p>
    <w:p w14:paraId="4D35BDE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I. Научно-испытательные работы.</w:t>
      </w:r>
    </w:p>
    <w:p w14:paraId="21C244E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Проведены ходовые испытания на гарантийный километраж серийных и опытных танков отечественного производства — 48 работ.</w:t>
      </w:r>
    </w:p>
    <w:p w14:paraId="34DABF9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Испытания на гарантийный километраж танков союзников — 7 работ.</w:t>
      </w:r>
    </w:p>
    <w:p w14:paraId="46F4E3F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Проведены специальные испытания танков, их оборудования, вооружения и броневой защи</w:t>
      </w:r>
      <w:r w:rsidRPr="007224C3">
        <w:rPr>
          <w:rFonts w:ascii="Times New Roman" w:hAnsi="Times New Roman"/>
          <w:color w:val="000000" w:themeColor="text1"/>
          <w:sz w:val="16"/>
          <w:szCs w:val="16"/>
        </w:rPr>
        <w:softHyphen/>
        <w:t>ты — 38 работ.</w:t>
      </w:r>
    </w:p>
    <w:p w14:paraId="3BDB3C7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Проведены ходовые испытания на гарантийный километраж серийных и опытных самоход</w:t>
      </w:r>
      <w:r w:rsidRPr="007224C3">
        <w:rPr>
          <w:rFonts w:ascii="Times New Roman" w:hAnsi="Times New Roman"/>
          <w:color w:val="000000" w:themeColor="text1"/>
          <w:sz w:val="16"/>
          <w:szCs w:val="16"/>
        </w:rPr>
        <w:softHyphen/>
        <w:t>ных артустановок — 13 работ.</w:t>
      </w:r>
    </w:p>
    <w:p w14:paraId="64ABC67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Проведены испытания специальных машин, автомобилей и мотоциклов — 21 работа.</w:t>
      </w:r>
    </w:p>
    <w:p w14:paraId="2CE8F11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Испытания топлив, смазочных материалов и антифризов — 14 работ.</w:t>
      </w:r>
    </w:p>
    <w:p w14:paraId="7F76960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Проведены испытания различных приспособлений, повышающих боевые свойства танков или улучшающих их производство, эксплуатацию и боевое применение — 54 работы.</w:t>
      </w:r>
    </w:p>
    <w:p w14:paraId="0365DEF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 Выполнены работы по научно-исследовательским темам — 38 работ.</w:t>
      </w:r>
    </w:p>
    <w:p w14:paraId="76265BC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III. Составление альбомов, справочников, руководств, инструкций, памяток и каталогов для ЦУ НКО, академий, училищ и БТ и МВ КА — 97 работ.</w:t>
      </w:r>
    </w:p>
    <w:p w14:paraId="389AC84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 за отчетный год выполнена 331 тематическая работа.</w:t>
      </w:r>
    </w:p>
    <w:p w14:paraId="25029C5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Кроме этого полигоном проведена работа по подготовке инструкторского и водительского состава, а также по показам техники и специальным учениям.</w:t>
      </w:r>
    </w:p>
    <w:p w14:paraId="7033BCA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 за год прошли на полигоне переподготовку и ознакомление с новыми типами бронетанко</w:t>
      </w:r>
      <w:r w:rsidRPr="007224C3">
        <w:rPr>
          <w:rFonts w:ascii="Times New Roman" w:hAnsi="Times New Roman"/>
          <w:color w:val="000000" w:themeColor="text1"/>
          <w:sz w:val="16"/>
          <w:szCs w:val="16"/>
        </w:rPr>
        <w:softHyphen/>
        <w:t>вой техники — 11236 человек.</w:t>
      </w:r>
    </w:p>
    <w:p w14:paraId="0BD9E5E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отчетный год научно-испытательными мастерскими было произведено 455 ремонтов авто</w:t>
      </w:r>
      <w:r w:rsidRPr="007224C3">
        <w:rPr>
          <w:rFonts w:ascii="Times New Roman" w:hAnsi="Times New Roman"/>
          <w:color w:val="000000" w:themeColor="text1"/>
          <w:sz w:val="16"/>
          <w:szCs w:val="16"/>
        </w:rPr>
        <w:softHyphen/>
        <w:t>бронетанковой техники.</w:t>
      </w:r>
    </w:p>
    <w:p w14:paraId="4154C90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Выводы:</w:t>
      </w:r>
    </w:p>
    <w:p w14:paraId="6CB0AE5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Проведенная работа полигона в 1943 году дала возможность частично улучшить качество выпускаемых отечественных танков.</w:t>
      </w:r>
    </w:p>
    <w:p w14:paraId="511C29A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Необходимо улучшить качество работы по проведению испытаний и составлению отчетов, чтобы не допускать повторных испытаний.</w:t>
      </w:r>
    </w:p>
    <w:p w14:paraId="40779A0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начальника ТУ ГБТУ Красной Армии инженер-подполковник Муравич</w:t>
      </w:r>
    </w:p>
    <w:p w14:paraId="475BEF2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начальника 6 отдела ТУ ГБТУ Красной Армии подполковник Дорофеев</w:t>
      </w:r>
    </w:p>
    <w:p w14:paraId="2CF1ABD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38. Оп. 11613. Д. 102. Л. 2. Подлинник (11403).</w:t>
      </w:r>
    </w:p>
    <w:p w14:paraId="4E5B262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9D4BE4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марта 1944 вышло Постановление ГКО № 5281 О срочных мерах по завозу для весеннего сева горючего и масел в Ростовскую область, Краснодарский, Ставропольский края и Украинскую ССР, а так же лигроина в области Поволжья. РГАНИР, Фонд ГКО, д. 215, лл. 30-33 (11012).</w:t>
      </w:r>
    </w:p>
    <w:p w14:paraId="1195790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E50A7F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марта 1944 г. вышел приказ наркома нефтяной промышленности И.К.Седина № 174 «Об организации завода Геофизика». Наркомнефти передавались незавершенное производство и часть специалистов бывшего ленинградского завода «Геологоразведка» «для организации производства геофизических приборов и оборудования в количествах, обеспечивающих потребность в них всех отраслей народного хозяйства» (11622).</w:t>
      </w:r>
    </w:p>
    <w:p w14:paraId="674928F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B665D2" w14:textId="77777777" w:rsidR="006E750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7C6D296A" w14:textId="77777777" w:rsidR="006E7509" w:rsidRPr="007224C3" w:rsidRDefault="006E7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2DAB8BB" w14:textId="77777777" w:rsidR="006E7509" w:rsidRPr="007224C3" w:rsidRDefault="006E75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3 марта</w:t>
      </w:r>
      <w:r w:rsidRPr="007224C3">
        <w:rPr>
          <w:rFonts w:ascii="Times New Roman" w:hAnsi="Times New Roman"/>
          <w:color w:val="000000" w:themeColor="text1"/>
          <w:sz w:val="16"/>
          <w:szCs w:val="16"/>
        </w:rPr>
        <w:t xml:space="preserve"> в 1944 году оперативная сводка Совинформбюро:</w:t>
      </w:r>
    </w:p>
    <w:p w14:paraId="1BED7CBB" w14:textId="77777777" w:rsidR="006E7509" w:rsidRPr="007224C3" w:rsidRDefault="006E75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3 марта на Нарвском направлении наши войска продолжали вести бои по расширению плацдарма юго-западнее города Нарва и улучшили свои позиции.</w:t>
      </w:r>
    </w:p>
    <w:p w14:paraId="00D6DE84" w14:textId="77777777" w:rsidR="006E7509" w:rsidRPr="007224C3" w:rsidRDefault="006E75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Псковском направлении наши войска, преодолевая сопротивление противника, продолжали вести наступательные бои, в ходе которых овладели населёнными пунктами Марково, Большое и Малое Фомкино, Языкова, Сорокино, Старухино, Похвальщина, Раменье, Летнево, Баево, Сысоево и железнодорожными станциями Доброведки, Кебь.</w:t>
      </w:r>
    </w:p>
    <w:p w14:paraId="4E232A7F" w14:textId="77777777" w:rsidR="006E7509" w:rsidRPr="007224C3" w:rsidRDefault="006E75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Островском направлении наши войска в результате наступательных боёв овладели населёнными пунктами Загарье, Красные Пруды, Стрелково, Подберезье, Овечкино, Селивановка и железнодорожными станциями Красные Пруды, Железовский.</w:t>
      </w:r>
    </w:p>
    <w:p w14:paraId="36221AFD" w14:textId="77777777" w:rsidR="006E7509" w:rsidRPr="007224C3" w:rsidRDefault="006E75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55721A79" w14:textId="77777777" w:rsidR="006E7509" w:rsidRPr="007224C3" w:rsidRDefault="006E75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2 марта наши войска на всех фронтах подбили и уничтожили 35 немецких танков. В воздушных боях и огнём зенитной артиллерии сбито 45 самолётов противника.</w:t>
      </w:r>
    </w:p>
    <w:p w14:paraId="156E8780" w14:textId="77777777" w:rsidR="006E7509" w:rsidRPr="007224C3" w:rsidRDefault="006E75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Па Нарвском направлении бойцы Н-ского соединения выбили немцев из сильно укреплённых позиций в лесистой местности. За два дня боёв на этом участке уничтожено до 2 тысяч солдат и офицеров противника. Захвачено у немцев 14 орудий и миномётов, 80 пулемётов, 100 тысяч патронов и 3 склада с военным </w:t>
      </w:r>
      <w:r w:rsidRPr="007224C3">
        <w:rPr>
          <w:rFonts w:ascii="Times New Roman" w:hAnsi="Times New Roman"/>
          <w:color w:val="000000" w:themeColor="text1"/>
          <w:sz w:val="16"/>
          <w:szCs w:val="16"/>
        </w:rPr>
        <w:lastRenderedPageBreak/>
        <w:t>имуществом. В другом районе наши стрелки и автоматчики обошли противника и ударами с тыла и флангов заняли опорный пункт немецкой обороны. На поле боя осталось свыше 300 трупов гитлеровцев. Захвачено 3 орудия, 28 пулемётов, много винтовок и автоматов. Взяты пленные.</w:t>
      </w:r>
    </w:p>
    <w:p w14:paraId="4C50F06C" w14:textId="77777777" w:rsidR="006E7509" w:rsidRPr="007224C3" w:rsidRDefault="006E75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Псковском направлении наши войска продолжали вести наступательные бои. Противник превратил все населённые пункты, расположенные на подступах к Пскову, в мощные узлы обороны и оказывает сильное огневое сопротивление. Части Н-ского соединения стремительными ударами выбили немцев из нескольких опорных пунктов. В боях за эти пункты уничтожено свыше 800 немецких солдат и офицеров, 9 танков, 16 орудий и 7 миномётных батарей. Красноармеец казах Ислам Айтмухамбетов огнём из пулемёта поддерживал наступающих стрелков. Когда противник перешёл в контратаку, Айтмухамбетов подпустил вражеские цепи на близкое расстояние, а затем несколькими очередями истребил несколько десятков гитлеровцев. В одном населённом пункте наши бойцы освободили свыше 4.000 советских граждан, которых немцы угоняли на каторгу в Германию.</w:t>
      </w:r>
    </w:p>
    <w:p w14:paraId="58243E8B" w14:textId="77777777" w:rsidR="006E7509" w:rsidRPr="007224C3" w:rsidRDefault="006E75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Островском направлении наши войска, действуя в трудных условиях лесисто-болотистой местности, с боями заняли несколько населённых пунктов. Водном из этих пунктов окружены и уничтожены три роты немецкой пехоты. Захвачены 4 орудия, 38 пулемётов и склад боеприпасов. Бойцы другого нашего соединения ночью атаковали противника и захватили позиции, имеющие важное значение. Удар был проведён настолько внезапно, что немцы отступили, бросив всё своё оружие. Отходя, противник оставил более 200 трупов своих солдат и офицеров.</w:t>
      </w:r>
    </w:p>
    <w:p w14:paraId="01803623" w14:textId="77777777" w:rsidR="006E7509" w:rsidRPr="007224C3" w:rsidRDefault="006E75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Несколько белорусских партизанских отрядов, действующих в Барановичской области, в течение месяца пустили под откос 40 немецких воинских эшелонов. Разбиты и повреждены несколько десятков паровозов и 260 вагонов и платформ. Кроме того, советские патриоты взорвали 11 мостов, разрушили 92 километра телеграфно-телефонной линии связи и подожгли 4 крупных склада противника.</w:t>
      </w:r>
    </w:p>
    <w:p w14:paraId="2EA995D0" w14:textId="77777777" w:rsidR="006E7509" w:rsidRPr="007224C3" w:rsidRDefault="006E75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Правящая клика Венгрии всячески старалась скрыть участие венгерских войск в боях на советско-германском фронте на стороне немцев. В Будапеште сочиняли многочисленные опровержения, рассчитанные на то, чтобы обмануть мировое общественное мнение. Однако захваченные советскими войсками в плен венгерские пехотинцы, танкисты и лётчики разоблачили наглую ложь будапештских пособников Гитлера. С полной достоверностью и неопровержимо было установлено, что венгерские войска принимают участие в боях на передовых позициях советско-германского фронта. Пойманные с поличным венгерские правители вынуждены были признать, что на советской территории, временно захваченной немцами, действительно находятся венгерские войска. Но, — утверждают венгерские гитлеровцы, — эти войска не воюют, а несут «охранную службу».</w:t>
      </w:r>
    </w:p>
    <w:p w14:paraId="3AE50FC6" w14:textId="77777777" w:rsidR="006E7509" w:rsidRPr="007224C3" w:rsidRDefault="006E75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Венгерские дивизии участвуют в активных военных действиях против СССР на стороне немцев на передовой линии фронта, а часть из них несёт «охранную службу» во временно оккупированных немцами советских районах.</w:t>
      </w:r>
    </w:p>
    <w:p w14:paraId="009B01A7" w14:textId="77777777" w:rsidR="006E7509" w:rsidRPr="007224C3" w:rsidRDefault="006E75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Что же делают венгерские «охранные» части, от кого они охраняют немецкие коммуникации и военные объекты? Венгерские наймиты, как сторожевые псы, охраняют немецкий тыл от советских патриотов, которые ведут самоотверженную героическуюборьбу против немецких захватчиков за свободу и независимость своей родины. Советские люди многое могут рассказать, что означает венгерская «охранная служба». На деле эти «охранные» части по указке гитлеровцев грабят хлеб и другие продукты у населения, обрекая его на голод. Венгерские каратели расправляются с мирным и беззащитным населением, убивают женщин и детей, сравнивают с землей советские сёла. Вот этот разбой, эта война против мирного населения и называется у венгров «охранной службой». Выполняя эту позорную роль, венгерские гитлеровцы хотят напялить на себя маску ягнёнка, но из-под этой маски торчит отвратительная морда фашистского бандита и разбойника.</w:t>
      </w:r>
    </w:p>
    <w:p w14:paraId="559B0FE0" w14:textId="77777777" w:rsidR="006E7509" w:rsidRPr="007224C3" w:rsidRDefault="006E75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Продажные правящие круги Венгрии играют с огнём. Что ж, пусть пеняют на себя. Когда наступит час расплаты, они получат то, что заслужили.» (15057).</w:t>
      </w:r>
    </w:p>
    <w:p w14:paraId="38BCE4A9" w14:textId="77777777" w:rsidR="006E7509" w:rsidRPr="007224C3" w:rsidRDefault="006E7509" w:rsidP="007224C3">
      <w:pPr>
        <w:spacing w:after="0" w:line="240" w:lineRule="auto"/>
        <w:jc w:val="both"/>
        <w:rPr>
          <w:rFonts w:ascii="Times New Roman" w:hAnsi="Times New Roman"/>
          <w:color w:val="000000" w:themeColor="text1"/>
          <w:sz w:val="16"/>
          <w:szCs w:val="16"/>
        </w:rPr>
      </w:pPr>
    </w:p>
    <w:p w14:paraId="419CF5FF"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Внешняя политика:</w:t>
      </w:r>
    </w:p>
    <w:p w14:paraId="3D95FFD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E85C56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March 03 Fri. 1944 President announces that the Italian Fleet will be distributed among the United States, Great Britain, and Russia (1064).</w:t>
      </w:r>
    </w:p>
    <w:p w14:paraId="2CF2235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043435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марта 1944 Ф.Д.Р. объявил, что корабли итальянского флота будут поделены между тремя союзниками (1064).</w:t>
      </w:r>
    </w:p>
    <w:p w14:paraId="0F7AF59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2C4FEF"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марта 1944 американский президент Ф. Рузвельт заявил, что итальянский флот будет поделен поровну между США, Англией и СССР (4962).</w:t>
      </w:r>
    </w:p>
    <w:p w14:paraId="6E0378DC"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64085A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марта 1944 в Москве был подписан англо-советский протокол, предусматривающий проведение операции Bodygard для дезориентации Германии относительно места открытия 2 фронта. Решили возобновить воздушные удары по Болгарии, прекращенные 24 января по инициативе Ф.Д.Р., который был против террористических бомбардировок Болгарии. С 16 мартабомбардировкиБолгариивозобновились (2885,48).</w:t>
      </w:r>
    </w:p>
    <w:p w14:paraId="44537F7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4E4D2D"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20F399B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6CA7809" w14:textId="77777777" w:rsidR="00FF2344" w:rsidRPr="007224C3" w:rsidRDefault="00FF2344"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3 марта 1944 P-38 Lightning 55 - й истребительной группы армии военно - воздушных сил США стали первыми союзные истребители для сопровождения бомбардировщикам в течение всего пути до Берлина (20373).</w:t>
      </w:r>
    </w:p>
    <w:p w14:paraId="306BE27D" w14:textId="77777777" w:rsidR="00FF2344" w:rsidRPr="007224C3" w:rsidRDefault="00FF2344" w:rsidP="007224C3">
      <w:pPr>
        <w:spacing w:after="0" w:line="240" w:lineRule="auto"/>
        <w:jc w:val="both"/>
        <w:rPr>
          <w:rFonts w:ascii="Times New Roman" w:hAnsi="Times New Roman"/>
          <w:color w:val="0070C0"/>
          <w:sz w:val="16"/>
          <w:szCs w:val="16"/>
        </w:rPr>
      </w:pPr>
    </w:p>
    <w:p w14:paraId="3C5D615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March 3, 1944 - Drop tests of dummy atomic bombs begin from specially modified B-29s (1039).</w:t>
      </w:r>
    </w:p>
    <w:p w14:paraId="656D231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6E848A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марта 1944 начались испытания по сбросу макета атомной бомбы с В-29 (1039).</w:t>
      </w:r>
    </w:p>
    <w:p w14:paraId="38380EF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A269C6" w14:textId="77777777" w:rsidR="006E750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46C0C78B" w14:textId="77777777" w:rsidR="006E7509" w:rsidRPr="007224C3" w:rsidRDefault="006E7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CB3E793" w14:textId="77777777" w:rsidR="006E7509" w:rsidRPr="007224C3" w:rsidRDefault="006E7509" w:rsidP="007224C3">
      <w:pPr>
        <w:spacing w:after="0" w:line="240" w:lineRule="auto"/>
        <w:jc w:val="both"/>
        <w:rPr>
          <w:rFonts w:ascii="Times New Roman" w:hAnsi="Times New Roman"/>
          <w:color w:val="000000" w:themeColor="text1"/>
          <w:sz w:val="16"/>
          <w:szCs w:val="16"/>
        </w:rPr>
      </w:pPr>
      <w:r w:rsidRPr="007224C3">
        <w:rPr>
          <w:rStyle w:val="ucoz-forum-post"/>
          <w:rFonts w:ascii="Times New Roman" w:hAnsi="Times New Roman"/>
          <w:color w:val="000000" w:themeColor="text1"/>
          <w:sz w:val="16"/>
          <w:szCs w:val="16"/>
        </w:rPr>
        <w:t xml:space="preserve">4 марта </w:t>
      </w:r>
      <w:r w:rsidRPr="007224C3">
        <w:rPr>
          <w:rFonts w:ascii="Times New Roman" w:hAnsi="Times New Roman"/>
          <w:color w:val="000000" w:themeColor="text1"/>
          <w:sz w:val="16"/>
          <w:szCs w:val="16"/>
        </w:rPr>
        <w:t>в 1944 году катастрофа самолёта «Як-9Т». Лётчик погиб (15058).</w:t>
      </w:r>
    </w:p>
    <w:p w14:paraId="4CC7E890" w14:textId="77777777" w:rsidR="006E7509" w:rsidRPr="007224C3" w:rsidRDefault="006E7509" w:rsidP="007224C3">
      <w:pPr>
        <w:spacing w:after="0" w:line="240" w:lineRule="auto"/>
        <w:jc w:val="both"/>
        <w:rPr>
          <w:rFonts w:ascii="Times New Roman" w:hAnsi="Times New Roman"/>
          <w:color w:val="000000" w:themeColor="text1"/>
          <w:sz w:val="16"/>
          <w:szCs w:val="16"/>
        </w:rPr>
      </w:pPr>
    </w:p>
    <w:p w14:paraId="2C31C763" w14:textId="77777777" w:rsidR="00750752" w:rsidRPr="007224C3" w:rsidRDefault="00750752" w:rsidP="007224C3">
      <w:pPr>
        <w:pStyle w:val="27"/>
        <w:shd w:val="clear" w:color="auto" w:fill="auto"/>
        <w:spacing w:after="0" w:line="240" w:lineRule="auto"/>
        <w:ind w:firstLine="0"/>
        <w:rPr>
          <w:rFonts w:ascii="Times New Roman" w:cs="Times New Roman"/>
          <w:color w:val="000000" w:themeColor="text1"/>
          <w:spacing w:val="0"/>
        </w:rPr>
      </w:pPr>
      <w:r w:rsidRPr="007224C3">
        <w:rPr>
          <w:rFonts w:ascii="Times New Roman" w:cs="Times New Roman"/>
          <w:color w:val="000000" w:themeColor="text1"/>
          <w:spacing w:val="0"/>
        </w:rPr>
        <w:t>4 марта 1943 Федрови направил наркому А.И. Шахурину письмо, в котором сообщал: «В феврале с.г. мною доводился и испытывался в воздухе самолёт Як-9 с опытным мотором М-107А. 23 февраля 1943 г. мною были получены... скорость у земли 590 км/ч и на высоте 5800 м - 680 км/ч.</w:t>
      </w:r>
    </w:p>
    <w:p w14:paraId="0CBAEA19" w14:textId="77777777" w:rsidR="00750752" w:rsidRPr="007224C3" w:rsidRDefault="00750752" w:rsidP="007224C3">
      <w:pPr>
        <w:pStyle w:val="27"/>
        <w:shd w:val="clear" w:color="auto" w:fill="auto"/>
        <w:spacing w:after="0" w:line="240" w:lineRule="auto"/>
        <w:ind w:firstLine="0"/>
        <w:rPr>
          <w:rFonts w:ascii="Times New Roman" w:cs="Times New Roman"/>
          <w:color w:val="000000" w:themeColor="text1"/>
          <w:spacing w:val="0"/>
        </w:rPr>
      </w:pPr>
      <w:r w:rsidRPr="007224C3">
        <w:rPr>
          <w:rFonts w:ascii="Times New Roman" w:cs="Times New Roman"/>
          <w:color w:val="000000" w:themeColor="text1"/>
          <w:spacing w:val="0"/>
        </w:rPr>
        <w:t>Температуры воды и масла обеспечивали работу мотора и доведены до условий нор</w:t>
      </w:r>
      <w:r w:rsidRPr="007224C3">
        <w:rPr>
          <w:rFonts w:ascii="Times New Roman" w:cs="Times New Roman"/>
          <w:color w:val="000000" w:themeColor="text1"/>
          <w:spacing w:val="0"/>
        </w:rPr>
        <w:softHyphen/>
        <w:t>мальной эксплуатации самолёта.</w:t>
      </w:r>
    </w:p>
    <w:p w14:paraId="79B37F58" w14:textId="77777777" w:rsidR="00750752" w:rsidRPr="007224C3" w:rsidRDefault="00750752" w:rsidP="007224C3">
      <w:pPr>
        <w:pStyle w:val="27"/>
        <w:shd w:val="clear" w:color="auto" w:fill="auto"/>
        <w:spacing w:after="0" w:line="240" w:lineRule="auto"/>
        <w:ind w:firstLine="0"/>
        <w:rPr>
          <w:rFonts w:ascii="Times New Roman" w:cs="Times New Roman"/>
          <w:color w:val="000000" w:themeColor="text1"/>
          <w:spacing w:val="0"/>
        </w:rPr>
      </w:pPr>
      <w:r w:rsidRPr="007224C3">
        <w:rPr>
          <w:rFonts w:ascii="Times New Roman" w:cs="Times New Roman"/>
          <w:color w:val="000000" w:themeColor="text1"/>
          <w:spacing w:val="0"/>
        </w:rPr>
        <w:t>Техника пилотирования... Як-9 с установ</w:t>
      </w:r>
      <w:r w:rsidRPr="007224C3">
        <w:rPr>
          <w:rFonts w:ascii="Times New Roman" w:cs="Times New Roman"/>
          <w:color w:val="000000" w:themeColor="text1"/>
          <w:spacing w:val="0"/>
        </w:rPr>
        <w:softHyphen/>
        <w:t>кой мотора М-107А не усложнилась, манёв</w:t>
      </w:r>
      <w:r w:rsidRPr="007224C3">
        <w:rPr>
          <w:rFonts w:ascii="Times New Roman" w:cs="Times New Roman"/>
          <w:color w:val="000000" w:themeColor="text1"/>
          <w:spacing w:val="0"/>
        </w:rPr>
        <w:softHyphen/>
        <w:t>ренность, особенно вертикальная, значи</w:t>
      </w:r>
      <w:r w:rsidRPr="007224C3">
        <w:rPr>
          <w:rFonts w:ascii="Times New Roman" w:cs="Times New Roman"/>
          <w:color w:val="000000" w:themeColor="text1"/>
          <w:spacing w:val="0"/>
        </w:rPr>
        <w:softHyphen/>
        <w:t>тельно улучшилась, а взлётно-посадочные свойства остались примерно теми же, что и у серийных «Яков».</w:t>
      </w:r>
    </w:p>
    <w:p w14:paraId="762950FF"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Лётно-технические свойства... Як-9 М-107А значительно выше, чем у немецких истребителей ФВ-190 и </w:t>
      </w:r>
      <w:r w:rsidRPr="007224C3">
        <w:rPr>
          <w:rFonts w:ascii="Times New Roman" w:hAnsi="Times New Roman"/>
          <w:color w:val="000000" w:themeColor="text1"/>
          <w:sz w:val="16"/>
          <w:szCs w:val="16"/>
          <w:lang w:val="en-US"/>
        </w:rPr>
        <w:t>Me</w:t>
      </w:r>
      <w:r w:rsidRPr="007224C3">
        <w:rPr>
          <w:rFonts w:ascii="Times New Roman" w:hAnsi="Times New Roman"/>
          <w:color w:val="000000" w:themeColor="text1"/>
          <w:sz w:val="16"/>
          <w:szCs w:val="16"/>
        </w:rPr>
        <w:t>-109</w:t>
      </w:r>
      <w:r w:rsidRPr="007224C3">
        <w:rPr>
          <w:rFonts w:ascii="Times New Roman" w:hAnsi="Times New Roman"/>
          <w:color w:val="000000" w:themeColor="text1"/>
          <w:sz w:val="16"/>
          <w:szCs w:val="16"/>
          <w:lang w:val="en-US"/>
        </w:rPr>
        <w:t>G</w:t>
      </w:r>
      <w:r w:rsidRPr="007224C3">
        <w:rPr>
          <w:rFonts w:ascii="Times New Roman" w:hAnsi="Times New Roman"/>
          <w:color w:val="000000" w:themeColor="text1"/>
          <w:sz w:val="16"/>
          <w:szCs w:val="16"/>
        </w:rPr>
        <w:t>-2 (19103).</w:t>
      </w:r>
    </w:p>
    <w:p w14:paraId="2A15348F" w14:textId="77777777" w:rsidR="00750752" w:rsidRPr="007224C3" w:rsidRDefault="00750752" w:rsidP="007224C3">
      <w:pPr>
        <w:spacing w:after="0" w:line="240" w:lineRule="auto"/>
        <w:jc w:val="both"/>
        <w:rPr>
          <w:rFonts w:ascii="Times New Roman" w:hAnsi="Times New Roman"/>
          <w:color w:val="000000" w:themeColor="text1"/>
          <w:sz w:val="16"/>
          <w:szCs w:val="16"/>
        </w:rPr>
      </w:pPr>
    </w:p>
    <w:p w14:paraId="0A8E1769"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0824D93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8AE8E3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марта 1944 г. вышло РАСПОРЯЖЕНИЕ НАЧАЛЬНИКА ГБТУ КА ОБ УСТРАНЕНИИ НАРУШЕНИЙ В ПРАВИЛАХ ЭКСПЛУАТАЦИИ ТАНКОВ ИНОМАРОК №550</w:t>
      </w:r>
    </w:p>
    <w:p w14:paraId="2B92AF6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Несмотря на требование Приказа командующего БТ и МВ КА №131 1943 года и ряда директив</w:t>
      </w:r>
      <w:r w:rsidRPr="007224C3">
        <w:rPr>
          <w:rFonts w:ascii="Times New Roman" w:hAnsi="Times New Roman"/>
          <w:color w:val="000000" w:themeColor="text1"/>
          <w:sz w:val="16"/>
          <w:szCs w:val="16"/>
        </w:rPr>
        <w:softHyphen/>
        <w:t>ных указаний ГБТУ КА о правилах эксплуатации танков иномарок, до сих пор наблюдаются грубые нарушения этих правил.</w:t>
      </w:r>
    </w:p>
    <w:p w14:paraId="355F803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формировании танковых и механизированных частей и соединений установлены следую</w:t>
      </w:r>
      <w:r w:rsidRPr="007224C3">
        <w:rPr>
          <w:rFonts w:ascii="Times New Roman" w:hAnsi="Times New Roman"/>
          <w:color w:val="000000" w:themeColor="text1"/>
          <w:sz w:val="16"/>
          <w:szCs w:val="16"/>
        </w:rPr>
        <w:softHyphen/>
        <w:t>щие недостатки:</w:t>
      </w:r>
    </w:p>
    <w:p w14:paraId="2BC7C07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Помощники командиров полков и бригад по технической части во время разгрузки танков не присутствуют и разгрузкой не руководят.</w:t>
      </w:r>
    </w:p>
    <w:p w14:paraId="292F44F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Во время разгрузки эшелонов с танками допускается запуск и работа двигателей в течение 12-20 минут при отсутствии воды в системах охлаждения, что приводит к заклинению поршней двигателей.</w:t>
      </w:r>
    </w:p>
    <w:p w14:paraId="15755FE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Имеет место выход из строя двигателей, вследствие образования трещин на стенках водяных рубашек. Размораживание двигателей происходит из-за неполного спуска воды из системы охлаж</w:t>
      </w:r>
      <w:r w:rsidRPr="007224C3">
        <w:rPr>
          <w:rFonts w:ascii="Times New Roman" w:hAnsi="Times New Roman"/>
          <w:color w:val="000000" w:themeColor="text1"/>
          <w:sz w:val="16"/>
          <w:szCs w:val="16"/>
        </w:rPr>
        <w:softHyphen/>
        <w:t>дения двигателей после погрузки танков на ж.д. платформы. При проверке знаний экипажей танков выявлено, что не все водители знают правила спуска воды из систем охлаждения двигателей танков.</w:t>
      </w:r>
    </w:p>
    <w:p w14:paraId="52EC957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В частях допускается замена экипажей, прибывающих с танками, экипажами совершенно не знающими матчасть данных марок танков.</w:t>
      </w:r>
    </w:p>
    <w:p w14:paraId="592E64F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устранения вышеуказанных недостатков ПРЕДЛАГАЮ:</w:t>
      </w:r>
    </w:p>
    <w:p w14:paraId="63E56D0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Для разгрузки танков, прибывающих во фронты, танковые военные лагеря и учебные части, выделять ответственных за разгрузку лиц из числа офицеров технической службы, хорошо знаю</w:t>
      </w:r>
      <w:r w:rsidRPr="007224C3">
        <w:rPr>
          <w:rFonts w:ascii="Times New Roman" w:hAnsi="Times New Roman"/>
          <w:color w:val="000000" w:themeColor="text1"/>
          <w:sz w:val="16"/>
          <w:szCs w:val="16"/>
        </w:rPr>
        <w:softHyphen/>
        <w:t>щих матчасть танков.</w:t>
      </w:r>
    </w:p>
    <w:p w14:paraId="73941F3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Потребовать от помощников командиров по технической части и экипажей танков точного выполнения «Инструкции командующего БТ и МВ КА от 13 марта 1943 г. о предупреждении выхода из строя танков».</w:t>
      </w:r>
    </w:p>
    <w:p w14:paraId="147FAA3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Запретить замену экипажей, прибывающих с танками, экипажами, не знающими матчасти данных марок танков и самоходных установок, и не допускать к эксплуатации боевых машин меха</w:t>
      </w:r>
      <w:r w:rsidRPr="007224C3">
        <w:rPr>
          <w:rFonts w:ascii="Times New Roman" w:hAnsi="Times New Roman"/>
          <w:color w:val="000000" w:themeColor="text1"/>
          <w:sz w:val="16"/>
          <w:szCs w:val="16"/>
        </w:rPr>
        <w:softHyphen/>
        <w:t>ников-водителей, не знающих матчасть и правила эксплуатации.</w:t>
      </w:r>
    </w:p>
    <w:p w14:paraId="00B1392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ГБТУ КА генерал-лейтенант танковых войск Вершинин</w:t>
      </w:r>
    </w:p>
    <w:p w14:paraId="29EB343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ЦАМО. Ф. 38. Оп. 11362. Д. 101. Л. 12. Подлинник (11403).</w:t>
      </w:r>
    </w:p>
    <w:p w14:paraId="3F3FC72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C8E57A"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марта 1944 вышло Распоряжение ГКО № 5282 [О выделении 1 тыс. военнообязанных, не годных к строевой службе, для Улан-Удэнского завода НКПС.] (7195, 34).</w:t>
      </w:r>
    </w:p>
    <w:p w14:paraId="12182621"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37B8B4B"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759B84C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A419989" w14:textId="77777777" w:rsidR="006E7509" w:rsidRPr="007224C3" w:rsidRDefault="006E7509" w:rsidP="007224C3">
      <w:pPr>
        <w:spacing w:after="0" w:line="240" w:lineRule="auto"/>
        <w:jc w:val="both"/>
        <w:rPr>
          <w:rFonts w:ascii="Times New Roman" w:hAnsi="Times New Roman"/>
          <w:color w:val="000000" w:themeColor="text1"/>
          <w:sz w:val="16"/>
          <w:szCs w:val="16"/>
        </w:rPr>
      </w:pPr>
      <w:r w:rsidRPr="007224C3">
        <w:rPr>
          <w:rStyle w:val="ucoz-forum-post"/>
          <w:rFonts w:ascii="Times New Roman" w:hAnsi="Times New Roman"/>
          <w:color w:val="000000" w:themeColor="text1"/>
          <w:sz w:val="16"/>
          <w:szCs w:val="16"/>
        </w:rPr>
        <w:t xml:space="preserve">4 марта </w:t>
      </w:r>
      <w:r w:rsidRPr="007224C3">
        <w:rPr>
          <w:rFonts w:ascii="Times New Roman" w:hAnsi="Times New Roman"/>
          <w:color w:val="000000" w:themeColor="text1"/>
          <w:sz w:val="16"/>
          <w:szCs w:val="16"/>
        </w:rPr>
        <w:t>в 1944 году оперативная сводка Совинформбюро:</w:t>
      </w:r>
    </w:p>
    <w:p w14:paraId="71AC157A" w14:textId="77777777" w:rsidR="006E7509" w:rsidRPr="007224C3" w:rsidRDefault="006E75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4 марта на Нарвском направлении наши войска продолжали вести бои по расширению плацдарма юго-западнее города Нарва и выбили противника из нескольких сильно укреплённых опорных пунктов его обороны.</w:t>
      </w:r>
    </w:p>
    <w:p w14:paraId="71C0DB0F" w14:textId="77777777" w:rsidR="006E7509" w:rsidRPr="007224C3" w:rsidRDefault="006E75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Островском направлении наши войска продолжали вести наступательные бои, в ходе которых овладели населёнными пунктами Панево, Гусаково, Немоево, Шубинагора, Емельяхина, Сигорино.</w:t>
      </w:r>
    </w:p>
    <w:p w14:paraId="0EA0C477" w14:textId="77777777" w:rsidR="006E7509" w:rsidRPr="007224C3" w:rsidRDefault="006E75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Южнее города Кривой Рог наши войска, форсировав реку Ингулец, овладели населёнными пунктами Зелёная, Рудник, Николаевка, Розовка, Заградовка и железнодорожными станциями Ингулец, Николо-Козельск.</w:t>
      </w:r>
    </w:p>
    <w:p w14:paraId="489DC001" w14:textId="77777777" w:rsidR="006E7509" w:rsidRPr="007224C3" w:rsidRDefault="006E75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66DBB7BC" w14:textId="77777777" w:rsidR="006E7509" w:rsidRPr="007224C3" w:rsidRDefault="006E75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3 марта наши войска на всех фронтах подбили и уничтожили 25 немецких танков. В воздушных боях и огнём зенитной артиллерии сбито 39 самолётов противника.</w:t>
      </w:r>
    </w:p>
    <w:p w14:paraId="16248B2E" w14:textId="77777777" w:rsidR="006E7509" w:rsidRPr="007224C3" w:rsidRDefault="006E75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Нарвском направлении наши войска вели бои за расширение плацдарма на западном берегу реки Нарва. Бойцы Н-ского соединения нанесли немцам внезапный удар и заняли несколько сильно укреплённых опорных пунктов. На поле боя осталось свыше 400 трупов гитлеровцев. На другом участке наши подразделения уничтожили 18 вражеских дзотов вместе с их гарнизонами. Захвачено у немцев 5 орудий, 27 пулемётов и много боеприпасов. Наши артиллеристы, поддерживая действия пехотинцев, за день уничтожили две батареи тяжёлых орудий и несколько шестиствольных миномётов противника.</w:t>
      </w:r>
    </w:p>
    <w:p w14:paraId="12FC1C0F" w14:textId="77777777" w:rsidR="006E7509" w:rsidRPr="007224C3" w:rsidRDefault="006E75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Островском направлении части Н-ского соединения смелым обходным манёвром выбили противника из ряда сильно укреплённых населённых пунктов. В боях за эти опорные пункты уничтожено до 800 гитлеровцев. В одном селе захвачено 9 орудий, много стрелкового вооружения, гранат, снарядов, мин и ружейных патронов. На другом участке разведчики т.т. Халиев, Маркин, Фролов, Воронцов, Смирнов и Глушенков проникли в расположение противника и по телефонному проводу установили местонахождение штаба немецкой части. Ворвавшись в штабной блиндаж, наши бойцы гранатами и огнём из автоматов уничтожили группу немецких солдат и офицеров.</w:t>
      </w:r>
    </w:p>
    <w:p w14:paraId="6CCD35B3" w14:textId="77777777" w:rsidR="006E7509" w:rsidRPr="007224C3" w:rsidRDefault="006E75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Южнее города Кривой Рог части Н-ского соединения, сломив упорное сопротивление противника, переправились через реку Ингулец и с боями заняли несколько населённых пунктов. Немцы, стремясь восстановить положение, предприняли ряд ожесточённых контратак. Наши войска не только отбили контратаки гитлеровцев, но и вновь продвинулись вперёд. К исходу дня наши бойцы овладели железнодорожными станциями Ингулец и Николо-Козельск. В этих боях уничтожено до 2.000 вражеских солдат и офицеров. Захвачено 33 орудия, 127 пулемётов, несколько складов с военным имуществом и продовольствием. Взято в плен значительноеколичество немцев.</w:t>
      </w:r>
    </w:p>
    <w:p w14:paraId="17921475" w14:textId="77777777" w:rsidR="006E7509" w:rsidRPr="007224C3" w:rsidRDefault="006E75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Два эстонских партизанских отряда внезапно напали на гарнизон противника. Советские патриоты уничтожили 69 гитлеровцев, взорвали и сожгли 32 вражеские автомашины с боеприпасами и другими военными грузами. Захвачены у немцев четыре пулемёта и другие трофеи.</w:t>
      </w:r>
    </w:p>
    <w:p w14:paraId="5A278CDE" w14:textId="77777777" w:rsidR="006E7509" w:rsidRPr="007224C3" w:rsidRDefault="006E75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Пленный обер-ефрейтор 1 роты 62 немецкого сапёрного батальона Бруно Карнатц рассказал: «За два с половиной года наш батальон потерял в России только убитыми 2.200 человек. С июля 1941 года по февраль 1944 года мы 24 раза получали пополнение. Обычно его хватает ненадолго, и в подразделениях всегда ощущается нехватка людей. Если раньше рота насчитывала 150 солдат, то сейчас во всём батальоне осталось только 40 активных штыков.</w:t>
      </w:r>
    </w:p>
    <w:p w14:paraId="3A53FB9D" w14:textId="77777777" w:rsidR="006E7509" w:rsidRPr="007224C3" w:rsidRDefault="006E75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Мы возлагали большие надежды на 1943 год. Однако именно этот год оказался самым тяжёлым годом для немецких войск. Многие солдаты теперь уже не надеются на успех, но сопротивляются потому, что их страшит ответственность за бесчинства и преступления, совершённые в России. За девять месяцев наш батальон, по приказу командования, сжёг не менее 300 населённых пунктов Смоленской и Витебской областей. Мы опустошали деревни и сравнивали их с землёй. Солдаты 62, а также 32 сапёрных батальонов расстреливали и вешали русских граждан. Особенно свирепствовал бывший командир нашего батальона майор Леппом, переведённый недавно на юг. Немецким солдатам всё уже опостылело. Многие из них считают, что сопротивление лишь увеличивает число жертв, но не спасет Германию от поражения».</w:t>
      </w:r>
    </w:p>
    <w:p w14:paraId="42E87D24" w14:textId="77777777" w:rsidR="006E7509" w:rsidRPr="007224C3" w:rsidRDefault="006E75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Чудовищные злодеяния учинили немецко-фашистские мерзавцы в старинном русском городе Старая Русса. Немцы взорвали заводы и здания всех общественных учрежденийи уничтожили старейший русский курорт, существовавший с начала прошлого столетия. Фашистские варвары сожгли 18 средних и начальных школ, два кинотеатра и три клуба, разграбили и уничтожили краеведческий музей города. Разрушен и разграблен дом, в котором жил знаменитый русский писатель Достоевский. Части Красной Армии, вступившие в этот многострадальный город, не застали в нём ни одного мирного жителя. Немецкие палачи расстреляли, повесили либо угнали на каторгу в Германию всё население Старой Руссы, в которой до войны проживалоболее 30 тысяч человек.» (15058).</w:t>
      </w:r>
    </w:p>
    <w:p w14:paraId="6C15B660" w14:textId="77777777" w:rsidR="006E7509" w:rsidRPr="007224C3" w:rsidRDefault="006E7509" w:rsidP="007224C3">
      <w:pPr>
        <w:spacing w:after="0" w:line="240" w:lineRule="auto"/>
        <w:jc w:val="both"/>
        <w:rPr>
          <w:rFonts w:ascii="Times New Roman" w:hAnsi="Times New Roman"/>
          <w:color w:val="000000" w:themeColor="text1"/>
          <w:sz w:val="16"/>
          <w:szCs w:val="16"/>
        </w:rPr>
      </w:pPr>
    </w:p>
    <w:p w14:paraId="18027B16" w14:textId="77777777" w:rsidR="006E7509" w:rsidRPr="007224C3" w:rsidRDefault="006E7509" w:rsidP="007224C3">
      <w:pPr>
        <w:spacing w:after="0" w:line="240" w:lineRule="auto"/>
        <w:jc w:val="both"/>
        <w:rPr>
          <w:rFonts w:ascii="Times New Roman" w:hAnsi="Times New Roman"/>
          <w:color w:val="000000" w:themeColor="text1"/>
          <w:sz w:val="16"/>
          <w:szCs w:val="16"/>
        </w:rPr>
      </w:pPr>
      <w:r w:rsidRPr="007224C3">
        <w:rPr>
          <w:rStyle w:val="ucoz-forum-post"/>
          <w:rFonts w:ascii="Times New Roman" w:hAnsi="Times New Roman"/>
          <w:color w:val="000000" w:themeColor="text1"/>
          <w:sz w:val="16"/>
          <w:szCs w:val="16"/>
        </w:rPr>
        <w:t xml:space="preserve">4 марта </w:t>
      </w:r>
      <w:r w:rsidRPr="007224C3">
        <w:rPr>
          <w:rFonts w:ascii="Times New Roman" w:hAnsi="Times New Roman"/>
          <w:color w:val="000000" w:themeColor="text1"/>
          <w:sz w:val="16"/>
          <w:szCs w:val="16"/>
        </w:rPr>
        <w:t>в 1944 году Войсками 1-го Украинского фронта (Маршал Советского Союза Г.К.Жуков) проведена Проскуровско-Черновицкая наступательная операция. Ее цель — разгром во взаимодействии со 2-м Украинским фронтом (Маршал Советского Союза И.С.Конев) основных сил гитлеровских войск группы армий «Юг». Завершилась 17 апреля 1944 года. В результате операции советские войска нанесли поражение 1-й и 4-й фашистским танковым армиям и вышли к предгорьям Карпат; была освобождена значительная часть Правобережной Украины</w:t>
      </w:r>
    </w:p>
    <w:p w14:paraId="3238B85C" w14:textId="77777777" w:rsidR="006E7509" w:rsidRPr="007224C3" w:rsidRDefault="006E7509" w:rsidP="007224C3">
      <w:pPr>
        <w:spacing w:after="0" w:line="240" w:lineRule="auto"/>
        <w:jc w:val="both"/>
        <w:rPr>
          <w:rFonts w:ascii="Times New Roman" w:hAnsi="Times New Roman"/>
          <w:color w:val="000000" w:themeColor="text1"/>
          <w:sz w:val="16"/>
          <w:szCs w:val="16"/>
        </w:rPr>
      </w:pPr>
    </w:p>
    <w:p w14:paraId="4505723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марта 1944 согласно сообщению Совинформбюро группа Ил-2 под командованием л А.Демехина возвращалась с задания. Сопровождавший и л Стопа был подбит и сел на вынужденную. Сел Ил-2 В.В.Минова, а два Ил-2 расстреливали немцев. Милонов при посадке повредил шасси. Приземлился и Демехин, но застрял в грязи. Оставшийся в воздухе П.Клюев не подпускал немцев. Наконец, ш Демехина освободили от грязи и вытолкнули на дорогу. Разместив всех Демехин взлетел и добрался до своего аэродрома (438,896).</w:t>
      </w:r>
    </w:p>
    <w:p w14:paraId="7CFABAA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D7BEB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марта 1944 года в районе города Старо-Константинова на Украине произошло первое зафиксированное столкновение ИС-85 с "Тиграми". В ходе Проскуровско-Черновицкой наступательной операции 1-й ГвТТПП (командир - подполковник Н.И. Буланов) вступил в бой с ротой тяжелых танков "Тигр" 503-го тяжелого танкового батальона..</w:t>
      </w:r>
    </w:p>
    <w:p w14:paraId="24BC136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ходе перестрелки в условиях плохой видимости с дистанции 1500-1800 метров один ИС оказался подбит, а три получили повреждения, но впоследствии были отремонтированы. Ответным огнем ИСов у одного "Тигра" было повреждено орудие, а у другого - ходовая часть. (3862).</w:t>
      </w:r>
    </w:p>
    <w:p w14:paraId="5E4019B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28A65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марта 1944 было первое зафиксированное столкновение танков ИС (ИС-85) и Тигр у г. Староконстантинов на расстоянии 1500-1800 м (2453,31).</w:t>
      </w:r>
    </w:p>
    <w:p w14:paraId="1E82AF1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843B3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March 4 1944 Soviet troops begin offensive on Belorussian front (1050).</w:t>
      </w:r>
    </w:p>
    <w:p w14:paraId="69E0340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938A6D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марта 1944 КА начала наступление на Белорусском фронте (1050).</w:t>
      </w:r>
    </w:p>
    <w:p w14:paraId="6D66609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Белорусской операции, как потом и в Берлинской для массирования привлекалась авиация соседних фронтов (518,112).</w:t>
      </w:r>
    </w:p>
    <w:p w14:paraId="0B93BDA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Белорусской наступательной операции задействовали 40% всей фронтовой авиации (518,112).</w:t>
      </w:r>
    </w:p>
    <w:p w14:paraId="3DDF3F7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АДД нанесла удары по аэродромам (518,65).</w:t>
      </w:r>
    </w:p>
    <w:p w14:paraId="389311A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Белорусской операции 6ВА была усилена 6 сак, 6 шак, 13 иак и 3 бак, переданными из состава 16ВА (518,66).</w:t>
      </w:r>
    </w:p>
    <w:p w14:paraId="7D19D1F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операциях по апв в боевом порядке замкнутый круг входило до 36-50 и более самолетов (518,141).</w:t>
      </w:r>
    </w:p>
    <w:p w14:paraId="6298F2C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Т.к. приходилось преодолевать водные преграды авиация давала усиленное прикрытие и повышала недостаточную огневую мощь пехоты (518,146).</w:t>
      </w:r>
    </w:p>
    <w:p w14:paraId="20A7AF4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преследовании отступающих войск авиация 3, 1, 4 и 16 ВА и АДД были перенацелена на дезорганизацию отхода и уничтожение войск и боевой техники (518,163). Ком. 4 ТА К.Типпельскирх писал: "Бесконечный поток тяжелой артиллерийской техники, зенитных батарей всевозможных машин с огромными усилиями передвигался по давно уже выбитой, но единственно возможной для отступления дороге, пересекающей Березину у Березино. Непрерывные налеты авиации причиняли тяжелые потери, а также вызывали бесконечные заторы среди отступающих колонн. русские ш то и дело разрушали мост у Березино, после чего на восточном берегу каждый раз образовывались огромные скопления машин." (518,164).</w:t>
      </w:r>
    </w:p>
    <w:p w14:paraId="5BFB82C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Действия авиации по крупным оперативным резервам переросли в форму отдельной воздушной операции, в которой приняла участие не только фронтовая, но и АДД (518,165).</w:t>
      </w:r>
    </w:p>
    <w:p w14:paraId="5AD57D5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Белорусской операции по воздуху доставили ТА и ТК 1182 т горючего, 1240 т боеприпасов, 1000 военного имущества и запчастей (518,168).</w:t>
      </w:r>
    </w:p>
    <w:p w14:paraId="4B36330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операции отмечалось отставание истребителей и ш от быстро наступающих танковых армий, которые они д.б. поддерживать (518,168).</w:t>
      </w:r>
    </w:p>
    <w:p w14:paraId="79510EE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B6837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March 4th, 1944: In the East, the Soviet 2nd Ukrainian Front (Konev) begins an offensive against Heeresgruppe Sud (von Manstein) (3819).</w:t>
      </w:r>
    </w:p>
    <w:p w14:paraId="35DD953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0B3236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4 марта по 17 апреля 1944 была Проскуровско-Черновицкая операция и 1УФ (Г.К.Ж.) во взаимодействии с 2УФ продвинулись на 80-350 км, выйдя к предгорьям Карпат. Стратегический фронт был рассечен на 2 части (2443,57).</w:t>
      </w:r>
    </w:p>
    <w:p w14:paraId="4362AD0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ходе этой операции авиация широко использовалась как транспортное средство для снабжения танковых армий (518,168), а также самой авиации, применяемой для авиаподдержки (518,169).</w:t>
      </w:r>
    </w:p>
    <w:p w14:paraId="3B954B6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7B5290"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3B1B407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F85137D"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марта 1944 американцы впервые бомбили Берлин (4962).</w:t>
      </w:r>
    </w:p>
    <w:p w14:paraId="4F49585C"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BCF92D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марта 1944 американцы первый раз бомбили Берлин (1050;2100).</w:t>
      </w:r>
    </w:p>
    <w:p w14:paraId="7542397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15B7E2" w14:textId="77777777" w:rsidR="00464D2B" w:rsidRPr="007224C3" w:rsidRDefault="00464D2B"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4 марта 1944 - Первый налет В-17 в сопровождении истребителей на Берлин. Истребители P-51 Mustang сопровождали бомбардировщики в обоих направлениях. Из-за сложных метеорологических условий бомбардировщики получили приказ вернуться назад. Но одно крыло из 29 B-17 не получило приказа возвращаться и продолжили путь на Берлин. Вместе с ними продолжила лететь и часть сил эскорта. B-17 сбросили бомбы на Берлин использовав систему H2S.</w:t>
      </w:r>
    </w:p>
    <w:p w14:paraId="743C4452" w14:textId="77777777" w:rsidR="00464D2B" w:rsidRPr="007224C3" w:rsidRDefault="00464D2B"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 ходе атак истребителей Люфтваффе во время полета назад было сбито 23 истребителя Mustang и пять В-17 (22580).</w:t>
      </w:r>
    </w:p>
    <w:p w14:paraId="4715FB4B" w14:textId="77777777" w:rsidR="00464D2B" w:rsidRPr="007224C3" w:rsidRDefault="00464D2B" w:rsidP="007224C3">
      <w:pPr>
        <w:spacing w:after="0" w:line="240" w:lineRule="auto"/>
        <w:jc w:val="both"/>
        <w:rPr>
          <w:rFonts w:ascii="Times New Roman" w:hAnsi="Times New Roman"/>
          <w:color w:val="0070C0"/>
          <w:sz w:val="16"/>
          <w:szCs w:val="16"/>
        </w:rPr>
      </w:pPr>
    </w:p>
    <w:p w14:paraId="08A497BB"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марта 1944 в Японии объявлена военная мобилизация всех студентов (4962).</w:t>
      </w:r>
    </w:p>
    <w:p w14:paraId="2D5D8546"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7CEABF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March 4 1944 First major daylight bombing raid on Berlin by Allies (1050).</w:t>
      </w:r>
    </w:p>
    <w:p w14:paraId="4EA70A6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946E0C4"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2F29A6C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BEF152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марта 1944 командование 215 ИАД (к-р п Якушин, зам. по иас ип Фролов) писало в 3 отд. НИИ ВВС нач. и п Софрину, что на Ла-5 много капотов и поломок винта из-за малого противокапотажного угла, а полевые аэродромы ограничены в размерах (754, 202).</w:t>
      </w:r>
    </w:p>
    <w:p w14:paraId="4E0B473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B8F9D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марта 1944 вышло постановление ГКО N 5320сс об увеличении выпуска Пе-2 и снятии с производства Пе-8 на заводе 22 (1660,69).</w:t>
      </w:r>
    </w:p>
    <w:p w14:paraId="5056025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A50E9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марта 1944 вышло Постановление ГКО № 5320 Об увеличении выпуска самолетов Пе-2 на заводе № 22 Наркомавиапрома. РГАНИР, Фонд ГКО, д. 215, лл. 192-193 (11012).</w:t>
      </w:r>
    </w:p>
    <w:p w14:paraId="6D2D6CC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2B3EC49" w14:textId="77777777" w:rsidR="00704B65" w:rsidRPr="007224C3" w:rsidRDefault="00704B6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марта 1944 вышло Постановление ГКО № 5320 Об увеличении выпуска самолетов Пе-2 на заводе № 22 Наркомавиапрома</w:t>
      </w:r>
    </w:p>
    <w:p w14:paraId="4B7C7114" w14:textId="77777777" w:rsidR="00704B65" w:rsidRPr="007224C3" w:rsidRDefault="00704B6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Государственный Комитет Обороны постановляет:</w:t>
      </w:r>
    </w:p>
    <w:p w14:paraId="000AEDD4" w14:textId="77777777" w:rsidR="00704B65" w:rsidRPr="007224C3" w:rsidRDefault="00704B65" w:rsidP="007224C3">
      <w:pPr>
        <w:tabs>
          <w:tab w:val="left" w:pos="1597"/>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Обязать Наркомавиапром - т.Шахурина и дирек</w:t>
      </w:r>
      <w:r w:rsidRPr="007224C3">
        <w:rPr>
          <w:rFonts w:ascii="Times New Roman" w:hAnsi="Times New Roman"/>
          <w:color w:val="000000" w:themeColor="text1"/>
          <w:sz w:val="16"/>
          <w:szCs w:val="16"/>
        </w:rPr>
        <w:softHyphen/>
        <w:t>тора завода № 22 т.Окулова:</w:t>
      </w:r>
    </w:p>
    <w:p w14:paraId="3E52952A" w14:textId="77777777" w:rsidR="00704B65" w:rsidRPr="007224C3" w:rsidRDefault="00704B65" w:rsidP="007224C3">
      <w:pPr>
        <w:tabs>
          <w:tab w:val="left" w:pos="1611"/>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увеличить выпуск самолетов Пе-2 на заводе № 22 . и довести выпуск их апреле с.г. до 10 самолетов</w:t>
      </w:r>
      <w:r w:rsidRPr="007224C3">
        <w:rPr>
          <w:rStyle w:val="SimHei9pt"/>
          <w:rFonts w:ascii="Times New Roman" w:hAnsi="Times New Roman" w:cs="Times New Roman"/>
          <w:color w:val="000000" w:themeColor="text1"/>
          <w:sz w:val="16"/>
          <w:szCs w:val="16"/>
        </w:rPr>
        <w:t xml:space="preserve"> б</w:t>
      </w:r>
      <w:r w:rsidRPr="007224C3">
        <w:rPr>
          <w:rFonts w:ascii="Times New Roman" w:hAnsi="Times New Roman"/>
          <w:color w:val="000000" w:themeColor="text1"/>
          <w:sz w:val="16"/>
          <w:szCs w:val="16"/>
        </w:rPr>
        <w:t xml:space="preserve"> сутки, в мае с.г. до 11 самолетов в сутки к в июне до 12 самолетов в сутки. Производство самолетов Пе-3 и Пе-8 на заводе № 22 прекратить, сохранив на заводе всю оснастку, приспособления и специальный инструмент для производства самолетов Пе-8;</w:t>
      </w:r>
    </w:p>
    <w:p w14:paraId="01313A1D" w14:textId="77777777" w:rsidR="00704B65" w:rsidRPr="007224C3" w:rsidRDefault="00704B65" w:rsidP="007224C3">
      <w:pPr>
        <w:tabs>
          <w:tab w:val="left" w:pos="1611"/>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построить 4 самолета Пе-8 в пассажирском варианте по проекту главного конструктора т.Незваля, для чего использовать самолеты Пе-8 из числа готовых и находящихся в сборочном цехе завода № 22</w:t>
      </w:r>
    </w:p>
    <w:p w14:paraId="588F2115" w14:textId="77777777" w:rsidR="00704B65" w:rsidRPr="007224C3" w:rsidRDefault="00704B6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Разрешить главному конструктору т.Незваль про</w:t>
      </w:r>
      <w:r w:rsidRPr="007224C3">
        <w:rPr>
          <w:rFonts w:ascii="Times New Roman" w:hAnsi="Times New Roman"/>
          <w:color w:val="000000" w:themeColor="text1"/>
          <w:sz w:val="16"/>
          <w:szCs w:val="16"/>
        </w:rPr>
        <w:softHyphen/>
        <w:t>должать на заводе № 22 работы по модификации самоле</w:t>
      </w:r>
      <w:r w:rsidRPr="007224C3">
        <w:rPr>
          <w:rFonts w:ascii="Times New Roman" w:hAnsi="Times New Roman"/>
          <w:color w:val="000000" w:themeColor="text1"/>
          <w:sz w:val="16"/>
          <w:szCs w:val="16"/>
        </w:rPr>
        <w:softHyphen/>
        <w:t>тов Пе-8.</w:t>
      </w:r>
    </w:p>
    <w:p w14:paraId="05F50577" w14:textId="77777777" w:rsidR="00704B65" w:rsidRPr="007224C3" w:rsidRDefault="00704B65" w:rsidP="007224C3">
      <w:pPr>
        <w:tabs>
          <w:tab w:val="left" w:pos="1611"/>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2. Обязать Наркомвнешторг  т.Микояна поставить во П квартале с.г. заводу № 22 Наркомавиапрома </w:t>
      </w:r>
      <w:r w:rsidRPr="007224C3">
        <w:rPr>
          <w:rFonts w:ascii="Times New Roman" w:hAnsi="Times New Roman"/>
          <w:color w:val="000000" w:themeColor="text1"/>
          <w:sz w:val="16"/>
          <w:szCs w:val="16"/>
          <w:lang w:val="en-US"/>
        </w:rPr>
        <w:t>sa</w:t>
      </w:r>
      <w:r w:rsidRPr="007224C3">
        <w:rPr>
          <w:rFonts w:ascii="Times New Roman" w:hAnsi="Times New Roman"/>
          <w:color w:val="000000" w:themeColor="text1"/>
          <w:sz w:val="16"/>
          <w:szCs w:val="16"/>
        </w:rPr>
        <w:t xml:space="preserve"> счет любых других наркоматов  автоматов "Индекс" - 20 штук, прессов эксцентриковых 7-тонных - 3 штуки,</w:t>
      </w:r>
    </w:p>
    <w:p w14:paraId="23DF5536" w14:textId="77777777" w:rsidR="00704B65" w:rsidRPr="007224C3" w:rsidRDefault="00704B65" w:rsidP="007224C3">
      <w:pPr>
        <w:tabs>
          <w:tab w:val="left" w:pos="3392"/>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Сбязать Наркомсредмаш - т.Акопова и директо</w:t>
      </w:r>
      <w:r w:rsidRPr="007224C3">
        <w:rPr>
          <w:rFonts w:ascii="Times New Roman" w:hAnsi="Times New Roman"/>
          <w:color w:val="000000" w:themeColor="text1"/>
          <w:sz w:val="16"/>
          <w:szCs w:val="16"/>
        </w:rPr>
        <w:softHyphen/>
        <w:t>ров автозавода им.Сталина - т.Лихачева и Алтайского тракторного завода т.Парфенова поставить заводу № 22 Наркомавиапрома</w:t>
      </w:r>
      <w:r w:rsidRPr="007224C3">
        <w:rPr>
          <w:rStyle w:val="Gungsuh7pt"/>
          <w:rFonts w:ascii="Times New Roman" w:hAnsi="Times New Roman" w:cs="Times New Roman"/>
          <w:color w:val="000000" w:themeColor="text1"/>
          <w:sz w:val="16"/>
          <w:szCs w:val="16"/>
        </w:rPr>
        <w:t xml:space="preserve"> в</w:t>
      </w:r>
      <w:r w:rsidRPr="007224C3">
        <w:rPr>
          <w:rFonts w:ascii="Times New Roman" w:hAnsi="Times New Roman"/>
          <w:color w:val="000000" w:themeColor="text1"/>
          <w:sz w:val="16"/>
          <w:szCs w:val="16"/>
        </w:rPr>
        <w:t xml:space="preserve"> марте с.г.с с автозавода им.Ста</w:t>
      </w:r>
      <w:r w:rsidRPr="007224C3">
        <w:rPr>
          <w:rStyle w:val="Gungsuh7pt"/>
          <w:rFonts w:ascii="Times New Roman" w:hAnsi="Times New Roman" w:cs="Times New Roman"/>
          <w:color w:val="000000" w:themeColor="text1"/>
          <w:sz w:val="16"/>
          <w:szCs w:val="16"/>
        </w:rPr>
        <w:t>лина</w:t>
      </w:r>
      <w:r w:rsidRPr="007224C3">
        <w:rPr>
          <w:rFonts w:ascii="Times New Roman" w:hAnsi="Times New Roman"/>
          <w:color w:val="000000" w:themeColor="text1"/>
          <w:sz w:val="16"/>
          <w:szCs w:val="16"/>
        </w:rPr>
        <w:t xml:space="preserve"> 40 штук трехтонных грузовых автомашин и на 10 тыс. рублей автозапчастей ха счет поставок НКО и с Алтайского тракторного завода 5 тракторов "НАТИ" за счет поставок Нарксмзему СССР.</w:t>
      </w:r>
    </w:p>
    <w:p w14:paraId="49D4CE2F" w14:textId="77777777" w:rsidR="00704B65" w:rsidRPr="007224C3" w:rsidRDefault="00704B65" w:rsidP="007224C3">
      <w:pPr>
        <w:tabs>
          <w:tab w:val="left" w:pos="812"/>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Обязать Наркомрезинпром - т.Митрохина поста</w:t>
      </w:r>
      <w:r w:rsidRPr="007224C3">
        <w:rPr>
          <w:rFonts w:ascii="Times New Roman" w:hAnsi="Times New Roman"/>
          <w:color w:val="000000" w:themeColor="text1"/>
          <w:sz w:val="16"/>
          <w:szCs w:val="16"/>
        </w:rPr>
        <w:softHyphen/>
        <w:t>вить заводу № 22 Наркомавиапрома в марте-апреле с.г. 300 комплектов авторезины за счет фондов НКАП.</w:t>
      </w:r>
    </w:p>
    <w:p w14:paraId="03F6CB8D" w14:textId="77777777" w:rsidR="00704B65" w:rsidRPr="007224C3" w:rsidRDefault="00704B65" w:rsidP="007224C3">
      <w:pPr>
        <w:tabs>
          <w:tab w:val="left" w:pos="806"/>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Обязать Наркомчермет - т.Тевосяна поставить заводу № 22 Наркомавиапрома во П квартале с.г. за счет фондов НКАП 100</w:t>
      </w:r>
      <w:r w:rsidRPr="007224C3">
        <w:rPr>
          <w:rStyle w:val="Gungsuh7pt"/>
          <w:rFonts w:ascii="Times New Roman" w:hAnsi="Times New Roman" w:cs="Times New Roman"/>
          <w:color w:val="000000" w:themeColor="text1"/>
          <w:sz w:val="16"/>
          <w:szCs w:val="16"/>
        </w:rPr>
        <w:t xml:space="preserve"> тонн рядового проката</w:t>
      </w:r>
      <w:r w:rsidRPr="007224C3">
        <w:rPr>
          <w:rFonts w:ascii="Times New Roman" w:hAnsi="Times New Roman"/>
          <w:color w:val="000000" w:themeColor="text1"/>
          <w:sz w:val="16"/>
          <w:szCs w:val="16"/>
        </w:rPr>
        <w:t xml:space="preserve"> и 50 тонн листового железа для изготовления стапелейи</w:t>
      </w:r>
      <w:r w:rsidRPr="007224C3">
        <w:rPr>
          <w:rStyle w:val="Gungsuh8pt"/>
          <w:rFonts w:ascii="Times New Roman" w:hAnsi="Times New Roman" w:cs="Times New Roman"/>
          <w:color w:val="000000" w:themeColor="text1"/>
        </w:rPr>
        <w:t xml:space="preserve"> допол </w:t>
      </w:r>
      <w:r w:rsidRPr="007224C3">
        <w:rPr>
          <w:rFonts w:ascii="Times New Roman" w:hAnsi="Times New Roman"/>
          <w:color w:val="000000" w:themeColor="text1"/>
          <w:sz w:val="16"/>
          <w:szCs w:val="16"/>
        </w:rPr>
        <w:t>нительной оснастки для</w:t>
      </w:r>
      <w:r w:rsidRPr="007224C3">
        <w:rPr>
          <w:rStyle w:val="Gungsuh7pt"/>
          <w:rFonts w:ascii="Times New Roman" w:hAnsi="Times New Roman" w:cs="Times New Roman"/>
          <w:color w:val="000000" w:themeColor="text1"/>
          <w:sz w:val="16"/>
          <w:szCs w:val="16"/>
        </w:rPr>
        <w:t xml:space="preserve"> производства самолетов Пе-2, а</w:t>
      </w:r>
      <w:r w:rsidRPr="007224C3">
        <w:rPr>
          <w:rFonts w:ascii="Times New Roman" w:hAnsi="Times New Roman"/>
          <w:color w:val="000000" w:themeColor="text1"/>
          <w:sz w:val="16"/>
          <w:szCs w:val="16"/>
        </w:rPr>
        <w:t xml:space="preserve"> также 200 тн. огнеупорного кирпича и 40 тонн огне</w:t>
      </w:r>
      <w:r w:rsidRPr="007224C3">
        <w:rPr>
          <w:rFonts w:ascii="Times New Roman" w:hAnsi="Times New Roman"/>
          <w:color w:val="000000" w:themeColor="text1"/>
          <w:sz w:val="16"/>
          <w:szCs w:val="16"/>
        </w:rPr>
        <w:softHyphen/>
        <w:t>упорной глины для постройки дополнительных термических и кузнечных печей.</w:t>
      </w:r>
    </w:p>
    <w:p w14:paraId="2DEB97F9" w14:textId="77777777" w:rsidR="00704B65" w:rsidRPr="007224C3" w:rsidRDefault="00704B65" w:rsidP="007224C3">
      <w:pPr>
        <w:tabs>
          <w:tab w:val="left" w:pos="800"/>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Обязать Наркомфин СССР - т.Зверева списать с завода № 22 Наркомавиапрома убытки, связанные о снятием с производства самолетов Пе-3 и Пе-8 (19475).</w:t>
      </w:r>
    </w:p>
    <w:p w14:paraId="4231E454" w14:textId="77777777" w:rsidR="00704B65" w:rsidRPr="007224C3" w:rsidRDefault="00704B65" w:rsidP="007224C3">
      <w:pPr>
        <w:autoSpaceDE w:val="0"/>
        <w:autoSpaceDN w:val="0"/>
        <w:adjustRightInd w:val="0"/>
        <w:spacing w:after="0" w:line="240" w:lineRule="auto"/>
        <w:jc w:val="both"/>
        <w:rPr>
          <w:rFonts w:ascii="Times New Roman" w:hAnsi="Times New Roman"/>
          <w:color w:val="000000" w:themeColor="text1"/>
          <w:sz w:val="16"/>
          <w:szCs w:val="16"/>
        </w:rPr>
      </w:pPr>
    </w:p>
    <w:p w14:paraId="0F113F3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марта 1944 года вышло Постановление ГОКО, согласно которому серийный выпуск Пе-8 прекращался, хотя одновременно Постановление предусматривало продолжение опытных работ по модификации Пе-8 и по проектированию новых тяжелых машин. Однако руководство завода №22, считая своей основной задачей выпуск Пе-2, совершенно прекратило поддержку работ по тяжелым машинам. Кроме того, соответствующий приказ НКАП по продолжению работы по машине “Т” модифицированного Пе-8 4М-82ФН ТК-3 так и не появился. На заводе усиленно проводили перепланировку цехов, оборудуя их конвейерами и поточными линиями под Пе-2, за счет площадей и мощностей, ранее выделенных под Пе-8. Единственный цех завода, работавший по самолету Пе-8, в 1944 году в связи с запуском в серию новой модификации Пе-2 - самолета Пе-2И, был реорганизован в цех малых серий Пе-2. В результате все работы по постройке новых модификаций Пе-8 были прекращены (7685).</w:t>
      </w:r>
    </w:p>
    <w:p w14:paraId="23B1D1A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C4DCD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марта 1944 г. решением ГКО производство бомбардировщика Пе-8 было прекращено (11315).</w:t>
      </w:r>
    </w:p>
    <w:p w14:paraId="565A0B6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773AD9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марта 1944 г. вышло постановление ГКО, согласно которому серийный выпуск Пе-8 прекращался. Руководство завода №22 за счёт этого наращивало производство Пе-2. Какое-то время сборку тяжёлых бомбардировщиков вели из имевшегося задела узлов и агрегатов. Затем единственный цех, работавший по Пе-8, был реорганизован в цех малых серий Пе-2 (11966).</w:t>
      </w:r>
    </w:p>
    <w:p w14:paraId="0BD7E89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502445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марта 1944 постановлением ГКО производство Пе-8 и все работы по модификациям приказано было прекратить. Правда, как бы спохватившись, 20 марта Незвалю предложили делать пассажирский вариант этой машины с дизелями. Сроки, как всегда давались жесткие (12049).</w:t>
      </w:r>
    </w:p>
    <w:p w14:paraId="7305926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7CD70F9" w14:textId="77777777" w:rsidR="009A1031" w:rsidRPr="007224C3" w:rsidRDefault="009A1031" w:rsidP="007224C3">
      <w:pPr>
        <w:pStyle w:val="ae"/>
        <w:shd w:val="clear" w:color="auto" w:fill="FFFFFF"/>
        <w:spacing w:before="0" w:after="0"/>
        <w:jc w:val="both"/>
        <w:rPr>
          <w:color w:val="000000" w:themeColor="text1"/>
          <w:sz w:val="16"/>
          <w:szCs w:val="16"/>
        </w:rPr>
      </w:pPr>
      <w:r w:rsidRPr="007224C3">
        <w:rPr>
          <w:color w:val="000000" w:themeColor="text1"/>
          <w:sz w:val="16"/>
          <w:szCs w:val="16"/>
        </w:rPr>
        <w:t>5 марта 1944 года Постановлением ГОКО производство Пе-8 на заводе №22 было прекращено, одновременно завод прекратил дальнейшую работу по изготовлению модифицированного Пе-8. Приказ НКАП по этой работе так и не появился.</w:t>
      </w:r>
    </w:p>
    <w:p w14:paraId="5F73E349" w14:textId="77777777" w:rsidR="009A1031" w:rsidRPr="007224C3" w:rsidRDefault="009A1031" w:rsidP="007224C3">
      <w:pPr>
        <w:pStyle w:val="ae"/>
        <w:shd w:val="clear" w:color="auto" w:fill="FFFFFF"/>
        <w:spacing w:before="0" w:after="0"/>
        <w:jc w:val="both"/>
        <w:rPr>
          <w:color w:val="000000" w:themeColor="text1"/>
          <w:sz w:val="16"/>
          <w:szCs w:val="16"/>
        </w:rPr>
      </w:pPr>
      <w:r w:rsidRPr="007224C3">
        <w:rPr>
          <w:color w:val="000000" w:themeColor="text1"/>
          <w:sz w:val="16"/>
          <w:szCs w:val="16"/>
        </w:rPr>
        <w:t>И.Ф.Незваль отчетливо понимал, что работа над модифицированным Пе-8 не решит послевоенного оснащения советской дальней авиации новой современной техникой. Чтобы получить качественно новую машину, нужно было новое оборудование и новые системы вооружения. Все это в сочетании с современными решениями по планеру и силовой установке могло дать необходимый эффект.</w:t>
      </w:r>
    </w:p>
    <w:p w14:paraId="7BE357C2" w14:textId="77777777" w:rsidR="009A1031" w:rsidRPr="007224C3" w:rsidRDefault="009A1031" w:rsidP="007224C3">
      <w:pPr>
        <w:pStyle w:val="ae"/>
        <w:shd w:val="clear" w:color="auto" w:fill="FFFFFF"/>
        <w:spacing w:before="0" w:after="0"/>
        <w:jc w:val="both"/>
        <w:rPr>
          <w:color w:val="000000" w:themeColor="text1"/>
          <w:sz w:val="16"/>
          <w:szCs w:val="16"/>
        </w:rPr>
      </w:pPr>
      <w:r w:rsidRPr="007224C3">
        <w:rPr>
          <w:color w:val="000000" w:themeColor="text1"/>
          <w:sz w:val="16"/>
          <w:szCs w:val="16"/>
        </w:rPr>
        <w:t>Поэтому Незваль рассматривал работы по модифицированному Пе-8, а также работы по пассажирскому самолету на 48-50 мест как подготовительную работу по созданию нового тяжелого дальнего скоростного бомбардировщика класса В-29. Он и его ОКБ предполагало на этих проектах отработать компоновку "нового перспективного послевоенного бомбардировщика (оптимальное размещение экипажа, оборудования; оборонительного стрелково-пушечного вооружения, состава и размещения бомбардировочного вооружения, отработать трехколесное шасси и т.д.). В конце 1944 года работы по проекту такого бомбардировщика в ОКБ уже велись. В первой половине 1945 года в ОКБ полным ходом в инициативном порядке шло проектирование этого самолета. Был составлен эскизный проект и начаты работы по техническому проекту.</w:t>
      </w:r>
    </w:p>
    <w:p w14:paraId="5BAAB16D" w14:textId="77777777" w:rsidR="009A1031" w:rsidRPr="007224C3" w:rsidRDefault="009A1031" w:rsidP="007224C3">
      <w:pPr>
        <w:pStyle w:val="ae"/>
        <w:shd w:val="clear" w:color="auto" w:fill="FFFFFF"/>
        <w:spacing w:before="0" w:after="0"/>
        <w:jc w:val="both"/>
        <w:rPr>
          <w:color w:val="000000" w:themeColor="text1"/>
          <w:sz w:val="16"/>
          <w:szCs w:val="16"/>
        </w:rPr>
      </w:pPr>
      <w:r w:rsidRPr="007224C3">
        <w:rPr>
          <w:color w:val="000000" w:themeColor="text1"/>
          <w:sz w:val="16"/>
          <w:szCs w:val="16"/>
        </w:rPr>
        <w:t>Незваль постоянно обращался к заместителю Наркома по опытному самолетостроению А.С.Яковлеву с просьбой об официальной выдаче ОКБ нового задания, с учетом проведенной работы по перспективным тяжелым машинам, а если такой работы нет, то вернуть их ОКБ к Туполеву. Вскоре все именно так и произошло. Во втором полугодии ОКБ Незваля передали А.Н.Туполеву, и коллектив вплотную занялся Б-4 (Ту-4), а работы по тематике незвалевского нового бомбардировщика были прекращены.</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41"/>
        <w:gridCol w:w="1668"/>
        <w:gridCol w:w="1782"/>
        <w:gridCol w:w="1300"/>
        <w:gridCol w:w="1731"/>
        <w:gridCol w:w="1227"/>
        <w:gridCol w:w="1873"/>
      </w:tblGrid>
      <w:tr w:rsidR="005106D0" w:rsidRPr="007224C3" w14:paraId="49265848" w14:textId="77777777" w:rsidTr="00137373">
        <w:trPr>
          <w:trHeight w:val="180"/>
          <w:tblCellSpacing w:w="0" w:type="dxa"/>
        </w:trPr>
        <w:tc>
          <w:tcPr>
            <w:tcW w:w="142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E65777E"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lastRenderedPageBreak/>
              <w:t>Самолет</w:t>
            </w:r>
          </w:p>
        </w:tc>
        <w:tc>
          <w:tcPr>
            <w:tcW w:w="1361"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5A5EEE5"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Петляков          Пе-8</w:t>
            </w:r>
          </w:p>
        </w:tc>
        <w:tc>
          <w:tcPr>
            <w:tcW w:w="1452"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9CAA407"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Boeing                   B-17G</w:t>
            </w:r>
          </w:p>
        </w:tc>
        <w:tc>
          <w:tcPr>
            <w:tcW w:w="106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E037C68"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Consolidated</w:t>
            </w:r>
          </w:p>
          <w:p w14:paraId="76C86FC7"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B-24J</w:t>
            </w:r>
          </w:p>
        </w:tc>
        <w:tc>
          <w:tcPr>
            <w:tcW w:w="151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27528DF"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Avro Lancaster Mk.III</w:t>
            </w:r>
          </w:p>
        </w:tc>
        <w:tc>
          <w:tcPr>
            <w:tcW w:w="1004"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3ADA4FD" w14:textId="77777777" w:rsidR="009A1031" w:rsidRPr="007224C3" w:rsidRDefault="009A1031" w:rsidP="007224C3">
            <w:pPr>
              <w:pStyle w:val="ae"/>
              <w:spacing w:before="0" w:after="0"/>
              <w:jc w:val="both"/>
              <w:rPr>
                <w:color w:val="000000" w:themeColor="text1"/>
                <w:sz w:val="16"/>
                <w:szCs w:val="16"/>
              </w:rPr>
            </w:pPr>
            <w:r w:rsidRPr="007224C3">
              <w:rPr>
                <w:rStyle w:val="a7"/>
                <w:color w:val="000000" w:themeColor="text1"/>
                <w:sz w:val="16"/>
                <w:szCs w:val="16"/>
              </w:rPr>
              <w:t>Незваль</w:t>
            </w:r>
          </w:p>
          <w:p w14:paraId="179F5DAC" w14:textId="77777777" w:rsidR="009A1031" w:rsidRPr="007224C3" w:rsidRDefault="009A1031" w:rsidP="007224C3">
            <w:pPr>
              <w:pStyle w:val="ae"/>
              <w:spacing w:before="0" w:after="0"/>
              <w:jc w:val="both"/>
              <w:rPr>
                <w:color w:val="000000" w:themeColor="text1"/>
                <w:sz w:val="16"/>
                <w:szCs w:val="16"/>
              </w:rPr>
            </w:pPr>
            <w:r w:rsidRPr="007224C3">
              <w:rPr>
                <w:rStyle w:val="a7"/>
                <w:color w:val="000000" w:themeColor="text1"/>
                <w:sz w:val="16"/>
                <w:szCs w:val="16"/>
              </w:rPr>
              <w:t>Самолет Т</w:t>
            </w:r>
          </w:p>
        </w:tc>
        <w:tc>
          <w:tcPr>
            <w:tcW w:w="1526"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7D95F35"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Boeing                     В-29</w:t>
            </w:r>
          </w:p>
        </w:tc>
      </w:tr>
      <w:tr w:rsidR="005106D0" w:rsidRPr="007224C3" w14:paraId="4404863A" w14:textId="77777777" w:rsidTr="00137373">
        <w:trPr>
          <w:trHeight w:val="180"/>
          <w:tblCellSpacing w:w="0" w:type="dxa"/>
        </w:trPr>
        <w:tc>
          <w:tcPr>
            <w:tcW w:w="142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F15AECD"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Страна</w:t>
            </w:r>
          </w:p>
        </w:tc>
        <w:tc>
          <w:tcPr>
            <w:tcW w:w="1361"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DDFD6D9"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СССР</w:t>
            </w:r>
          </w:p>
        </w:tc>
        <w:tc>
          <w:tcPr>
            <w:tcW w:w="1452"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F421DA4"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США</w:t>
            </w:r>
          </w:p>
        </w:tc>
        <w:tc>
          <w:tcPr>
            <w:tcW w:w="106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6782279"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США</w:t>
            </w:r>
          </w:p>
        </w:tc>
        <w:tc>
          <w:tcPr>
            <w:tcW w:w="151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9CF6C93"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Великобритания</w:t>
            </w:r>
          </w:p>
        </w:tc>
        <w:tc>
          <w:tcPr>
            <w:tcW w:w="1004"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5851D78"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СССР</w:t>
            </w:r>
          </w:p>
        </w:tc>
        <w:tc>
          <w:tcPr>
            <w:tcW w:w="1526"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EC844CE"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США</w:t>
            </w:r>
          </w:p>
        </w:tc>
      </w:tr>
      <w:tr w:rsidR="005106D0" w:rsidRPr="007224C3" w14:paraId="3034B419" w14:textId="77777777" w:rsidTr="00137373">
        <w:trPr>
          <w:trHeight w:val="180"/>
          <w:tblCellSpacing w:w="0" w:type="dxa"/>
        </w:trPr>
        <w:tc>
          <w:tcPr>
            <w:tcW w:w="142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C9E2E6A"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Размах крыла, м</w:t>
            </w:r>
          </w:p>
        </w:tc>
        <w:tc>
          <w:tcPr>
            <w:tcW w:w="1361"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B67A66C"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39.10</w:t>
            </w:r>
          </w:p>
        </w:tc>
        <w:tc>
          <w:tcPr>
            <w:tcW w:w="1452"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2685846"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31.62</w:t>
            </w:r>
          </w:p>
        </w:tc>
        <w:tc>
          <w:tcPr>
            <w:tcW w:w="106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80F4381"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33.53</w:t>
            </w:r>
          </w:p>
        </w:tc>
        <w:tc>
          <w:tcPr>
            <w:tcW w:w="151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C9D900B"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31.09</w:t>
            </w:r>
          </w:p>
        </w:tc>
        <w:tc>
          <w:tcPr>
            <w:tcW w:w="1004"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3ABCA37"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39.10</w:t>
            </w:r>
          </w:p>
        </w:tc>
        <w:tc>
          <w:tcPr>
            <w:tcW w:w="1526"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079801D"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43.05</w:t>
            </w:r>
          </w:p>
        </w:tc>
      </w:tr>
      <w:tr w:rsidR="005106D0" w:rsidRPr="007224C3" w14:paraId="10096F86" w14:textId="77777777" w:rsidTr="00137373">
        <w:trPr>
          <w:trHeight w:val="180"/>
          <w:tblCellSpacing w:w="0" w:type="dxa"/>
        </w:trPr>
        <w:tc>
          <w:tcPr>
            <w:tcW w:w="142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0EDFB92"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Длина, м</w:t>
            </w:r>
          </w:p>
        </w:tc>
        <w:tc>
          <w:tcPr>
            <w:tcW w:w="1361"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4D8FDBB"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23.59</w:t>
            </w:r>
          </w:p>
        </w:tc>
        <w:tc>
          <w:tcPr>
            <w:tcW w:w="1452"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38AEC24"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22.78</w:t>
            </w:r>
          </w:p>
        </w:tc>
        <w:tc>
          <w:tcPr>
            <w:tcW w:w="106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391E8A2"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19.56</w:t>
            </w:r>
          </w:p>
        </w:tc>
        <w:tc>
          <w:tcPr>
            <w:tcW w:w="151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F967A99"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20.98</w:t>
            </w:r>
          </w:p>
        </w:tc>
        <w:tc>
          <w:tcPr>
            <w:tcW w:w="1004"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AEA2110"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23.59</w:t>
            </w:r>
          </w:p>
        </w:tc>
        <w:tc>
          <w:tcPr>
            <w:tcW w:w="1526"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30348B7"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30.18</w:t>
            </w:r>
          </w:p>
        </w:tc>
      </w:tr>
      <w:tr w:rsidR="005106D0" w:rsidRPr="007224C3" w14:paraId="4AB0C2B4" w14:textId="77777777" w:rsidTr="00137373">
        <w:trPr>
          <w:trHeight w:val="180"/>
          <w:tblCellSpacing w:w="0" w:type="dxa"/>
        </w:trPr>
        <w:tc>
          <w:tcPr>
            <w:tcW w:w="142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5080F64"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Высота, м</w:t>
            </w:r>
          </w:p>
        </w:tc>
        <w:tc>
          <w:tcPr>
            <w:tcW w:w="1361"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1435382"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6.20</w:t>
            </w:r>
          </w:p>
        </w:tc>
        <w:tc>
          <w:tcPr>
            <w:tcW w:w="1452"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EE77671"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5.82</w:t>
            </w:r>
          </w:p>
        </w:tc>
        <w:tc>
          <w:tcPr>
            <w:tcW w:w="106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0B7D38D"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5.49</w:t>
            </w:r>
          </w:p>
        </w:tc>
        <w:tc>
          <w:tcPr>
            <w:tcW w:w="151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73B7D7E"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6.19</w:t>
            </w:r>
          </w:p>
        </w:tc>
        <w:tc>
          <w:tcPr>
            <w:tcW w:w="1004"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04A5098"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6.20</w:t>
            </w:r>
          </w:p>
        </w:tc>
        <w:tc>
          <w:tcPr>
            <w:tcW w:w="1526"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E02C0F0"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8.46</w:t>
            </w:r>
          </w:p>
        </w:tc>
      </w:tr>
      <w:tr w:rsidR="005106D0" w:rsidRPr="007224C3" w14:paraId="049FD39A" w14:textId="77777777" w:rsidTr="00137373">
        <w:trPr>
          <w:trHeight w:val="180"/>
          <w:tblCellSpacing w:w="0" w:type="dxa"/>
        </w:trPr>
        <w:tc>
          <w:tcPr>
            <w:tcW w:w="142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A2A559E"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Площадь крыла, м2</w:t>
            </w:r>
          </w:p>
        </w:tc>
        <w:tc>
          <w:tcPr>
            <w:tcW w:w="1361"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523939F"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188.68</w:t>
            </w:r>
          </w:p>
        </w:tc>
        <w:tc>
          <w:tcPr>
            <w:tcW w:w="1452"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0E3131B"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131.92</w:t>
            </w:r>
          </w:p>
        </w:tc>
        <w:tc>
          <w:tcPr>
            <w:tcW w:w="106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260AC35"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97.46</w:t>
            </w:r>
          </w:p>
        </w:tc>
        <w:tc>
          <w:tcPr>
            <w:tcW w:w="151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1BB25F9"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120.80</w:t>
            </w:r>
          </w:p>
        </w:tc>
        <w:tc>
          <w:tcPr>
            <w:tcW w:w="1004"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3ACBA0E"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188.68</w:t>
            </w:r>
          </w:p>
        </w:tc>
        <w:tc>
          <w:tcPr>
            <w:tcW w:w="1526"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46A7F3C"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161.27</w:t>
            </w:r>
          </w:p>
        </w:tc>
      </w:tr>
      <w:tr w:rsidR="005106D0" w:rsidRPr="007224C3" w14:paraId="12EAD6D4" w14:textId="77777777" w:rsidTr="00137373">
        <w:trPr>
          <w:trHeight w:val="180"/>
          <w:tblCellSpacing w:w="0" w:type="dxa"/>
        </w:trPr>
        <w:tc>
          <w:tcPr>
            <w:tcW w:w="142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2857445"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Масса, кг</w:t>
            </w:r>
          </w:p>
        </w:tc>
        <w:tc>
          <w:tcPr>
            <w:tcW w:w="1361"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4CA2CD1" w14:textId="77777777" w:rsidR="009A1031" w:rsidRPr="007224C3" w:rsidRDefault="009A103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w:t>
            </w:r>
          </w:p>
        </w:tc>
        <w:tc>
          <w:tcPr>
            <w:tcW w:w="1452"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B263F24"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 </w:t>
            </w:r>
          </w:p>
        </w:tc>
        <w:tc>
          <w:tcPr>
            <w:tcW w:w="106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5514A87"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 </w:t>
            </w:r>
          </w:p>
        </w:tc>
        <w:tc>
          <w:tcPr>
            <w:tcW w:w="151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AA50007"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 </w:t>
            </w:r>
          </w:p>
        </w:tc>
        <w:tc>
          <w:tcPr>
            <w:tcW w:w="1004"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6FEBDFE"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 </w:t>
            </w:r>
          </w:p>
        </w:tc>
        <w:tc>
          <w:tcPr>
            <w:tcW w:w="1526"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5CBB4FB"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 </w:t>
            </w:r>
          </w:p>
        </w:tc>
      </w:tr>
      <w:tr w:rsidR="005106D0" w:rsidRPr="007224C3" w14:paraId="074F4E86" w14:textId="77777777" w:rsidTr="00137373">
        <w:trPr>
          <w:trHeight w:val="180"/>
          <w:tblCellSpacing w:w="0" w:type="dxa"/>
        </w:trPr>
        <w:tc>
          <w:tcPr>
            <w:tcW w:w="142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6404E18"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пустого самолета</w:t>
            </w:r>
          </w:p>
        </w:tc>
        <w:tc>
          <w:tcPr>
            <w:tcW w:w="1361"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C00C8B4"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19 986</w:t>
            </w:r>
          </w:p>
        </w:tc>
        <w:tc>
          <w:tcPr>
            <w:tcW w:w="1452"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520A75D"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17 237</w:t>
            </w:r>
          </w:p>
        </w:tc>
        <w:tc>
          <w:tcPr>
            <w:tcW w:w="106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0C16BF0"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17 236</w:t>
            </w:r>
          </w:p>
        </w:tc>
        <w:tc>
          <w:tcPr>
            <w:tcW w:w="151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7567ECC"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16 753</w:t>
            </w:r>
          </w:p>
        </w:tc>
        <w:tc>
          <w:tcPr>
            <w:tcW w:w="1004"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C4B432E"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18 200</w:t>
            </w:r>
          </w:p>
        </w:tc>
        <w:tc>
          <w:tcPr>
            <w:tcW w:w="1526"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E5D2B34"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31815</w:t>
            </w:r>
          </w:p>
        </w:tc>
      </w:tr>
      <w:tr w:rsidR="005106D0" w:rsidRPr="007224C3" w14:paraId="185E14D8" w14:textId="77777777" w:rsidTr="00137373">
        <w:trPr>
          <w:trHeight w:val="180"/>
          <w:tblCellSpacing w:w="0" w:type="dxa"/>
        </w:trPr>
        <w:tc>
          <w:tcPr>
            <w:tcW w:w="142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8841C10"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максимальная взлетная</w:t>
            </w:r>
          </w:p>
        </w:tc>
        <w:tc>
          <w:tcPr>
            <w:tcW w:w="1361"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F3539D3"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35 000</w:t>
            </w:r>
          </w:p>
        </w:tc>
        <w:tc>
          <w:tcPr>
            <w:tcW w:w="1452"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7F82D57"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32 659</w:t>
            </w:r>
          </w:p>
        </w:tc>
        <w:tc>
          <w:tcPr>
            <w:tcW w:w="106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6F04CB5"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32 296</w:t>
            </w:r>
          </w:p>
        </w:tc>
        <w:tc>
          <w:tcPr>
            <w:tcW w:w="151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BBB7706"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32 688</w:t>
            </w:r>
          </w:p>
        </w:tc>
        <w:tc>
          <w:tcPr>
            <w:tcW w:w="1004"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1D1EEA9"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37 500</w:t>
            </w:r>
          </w:p>
        </w:tc>
        <w:tc>
          <w:tcPr>
            <w:tcW w:w="1526"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DBD75D3"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61235</w:t>
            </w:r>
          </w:p>
        </w:tc>
      </w:tr>
      <w:tr w:rsidR="005106D0" w:rsidRPr="007224C3" w14:paraId="693C3445" w14:textId="77777777" w:rsidTr="00137373">
        <w:trPr>
          <w:trHeight w:val="180"/>
          <w:tblCellSpacing w:w="0" w:type="dxa"/>
        </w:trPr>
        <w:tc>
          <w:tcPr>
            <w:tcW w:w="142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C527051"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Тип двигателя</w:t>
            </w:r>
          </w:p>
        </w:tc>
        <w:tc>
          <w:tcPr>
            <w:tcW w:w="1361"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1ABC910"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4 ПД Микулин</w:t>
            </w:r>
          </w:p>
          <w:p w14:paraId="264D4B8C"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АМ-35А</w:t>
            </w:r>
          </w:p>
        </w:tc>
        <w:tc>
          <w:tcPr>
            <w:tcW w:w="1452"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E580070"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4 ПД Wright R-1820-97 CycloneТК</w:t>
            </w:r>
          </w:p>
        </w:tc>
        <w:tc>
          <w:tcPr>
            <w:tcW w:w="106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115CCF0" w14:textId="77777777" w:rsidR="009A1031" w:rsidRPr="007224C3" w:rsidRDefault="009A1031" w:rsidP="007224C3">
            <w:pPr>
              <w:pStyle w:val="ae"/>
              <w:spacing w:before="0" w:after="0"/>
              <w:jc w:val="both"/>
              <w:rPr>
                <w:color w:val="000000" w:themeColor="text1"/>
                <w:sz w:val="16"/>
                <w:szCs w:val="16"/>
                <w:lang w:val="en-US"/>
              </w:rPr>
            </w:pPr>
            <w:r w:rsidRPr="007224C3">
              <w:rPr>
                <w:color w:val="000000" w:themeColor="text1"/>
                <w:sz w:val="16"/>
                <w:szCs w:val="16"/>
                <w:lang w:val="en-US"/>
              </w:rPr>
              <w:t xml:space="preserve">4 </w:t>
            </w:r>
            <w:r w:rsidRPr="007224C3">
              <w:rPr>
                <w:color w:val="000000" w:themeColor="text1"/>
                <w:sz w:val="16"/>
                <w:szCs w:val="16"/>
              </w:rPr>
              <w:t>ПД</w:t>
            </w:r>
            <w:r w:rsidRPr="007224C3">
              <w:rPr>
                <w:color w:val="000000" w:themeColor="text1"/>
                <w:sz w:val="16"/>
                <w:szCs w:val="16"/>
                <w:lang w:val="en-US"/>
              </w:rPr>
              <w:t xml:space="preserve"> Pratt Whitney R-1830-65 c </w:t>
            </w:r>
            <w:r w:rsidRPr="007224C3">
              <w:rPr>
                <w:color w:val="000000" w:themeColor="text1"/>
                <w:sz w:val="16"/>
                <w:szCs w:val="16"/>
              </w:rPr>
              <w:t>ТН</w:t>
            </w:r>
            <w:r w:rsidRPr="007224C3">
              <w:rPr>
                <w:color w:val="000000" w:themeColor="text1"/>
                <w:sz w:val="16"/>
                <w:szCs w:val="16"/>
                <w:lang w:val="en-US"/>
              </w:rPr>
              <w:t xml:space="preserve"> General Electric B-22</w:t>
            </w:r>
          </w:p>
        </w:tc>
        <w:tc>
          <w:tcPr>
            <w:tcW w:w="151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C63DD98"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4 ПД Rolls-Royce Merlin 24</w:t>
            </w:r>
          </w:p>
        </w:tc>
        <w:tc>
          <w:tcPr>
            <w:tcW w:w="1004"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E38D1DA"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4 ПД Швецов</w:t>
            </w:r>
          </w:p>
          <w:p w14:paraId="14D79CE5"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АШ-82ФН ТК</w:t>
            </w:r>
          </w:p>
        </w:tc>
        <w:tc>
          <w:tcPr>
            <w:tcW w:w="1526"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EAACB0B" w14:textId="77777777" w:rsidR="009A1031" w:rsidRPr="007224C3" w:rsidRDefault="009A1031" w:rsidP="007224C3">
            <w:pPr>
              <w:pStyle w:val="ae"/>
              <w:spacing w:before="0" w:after="0"/>
              <w:jc w:val="both"/>
              <w:rPr>
                <w:color w:val="000000" w:themeColor="text1"/>
                <w:sz w:val="16"/>
                <w:szCs w:val="16"/>
                <w:lang w:val="en-US"/>
              </w:rPr>
            </w:pPr>
            <w:r w:rsidRPr="007224C3">
              <w:rPr>
                <w:color w:val="000000" w:themeColor="text1"/>
                <w:sz w:val="16"/>
                <w:szCs w:val="16"/>
                <w:lang w:val="en-US"/>
              </w:rPr>
              <w:t xml:space="preserve">4 </w:t>
            </w:r>
            <w:r w:rsidRPr="007224C3">
              <w:rPr>
                <w:color w:val="000000" w:themeColor="text1"/>
                <w:sz w:val="16"/>
                <w:szCs w:val="16"/>
              </w:rPr>
              <w:t>ПД</w:t>
            </w:r>
            <w:r w:rsidRPr="007224C3">
              <w:rPr>
                <w:color w:val="000000" w:themeColor="text1"/>
                <w:sz w:val="16"/>
                <w:szCs w:val="16"/>
                <w:lang w:val="en-US"/>
              </w:rPr>
              <w:t xml:space="preserve"> Wright R-3350-23(23</w:t>
            </w:r>
            <w:r w:rsidRPr="007224C3">
              <w:rPr>
                <w:color w:val="000000" w:themeColor="text1"/>
                <w:sz w:val="16"/>
                <w:szCs w:val="16"/>
              </w:rPr>
              <w:t>А</w:t>
            </w:r>
            <w:r w:rsidRPr="007224C3">
              <w:rPr>
                <w:color w:val="000000" w:themeColor="text1"/>
                <w:sz w:val="16"/>
                <w:szCs w:val="16"/>
                <w:lang w:val="en-US"/>
              </w:rPr>
              <w:t xml:space="preserve">) </w:t>
            </w:r>
            <w:r w:rsidRPr="007224C3">
              <w:rPr>
                <w:color w:val="000000" w:themeColor="text1"/>
                <w:sz w:val="16"/>
                <w:szCs w:val="16"/>
              </w:rPr>
              <w:t>С</w:t>
            </w:r>
            <w:r w:rsidRPr="007224C3">
              <w:rPr>
                <w:color w:val="000000" w:themeColor="text1"/>
                <w:sz w:val="16"/>
                <w:szCs w:val="16"/>
                <w:lang w:val="en-US"/>
              </w:rPr>
              <w:t>yclone 18</w:t>
            </w:r>
          </w:p>
        </w:tc>
      </w:tr>
      <w:tr w:rsidR="005106D0" w:rsidRPr="007224C3" w14:paraId="3E0D51D0" w14:textId="77777777" w:rsidTr="00137373">
        <w:trPr>
          <w:trHeight w:val="180"/>
          <w:tblCellSpacing w:w="0" w:type="dxa"/>
        </w:trPr>
        <w:tc>
          <w:tcPr>
            <w:tcW w:w="142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5AE1BA6"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Мощность, л.с.</w:t>
            </w:r>
          </w:p>
        </w:tc>
        <w:tc>
          <w:tcPr>
            <w:tcW w:w="1361"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3678E50"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4 х 1350</w:t>
            </w:r>
          </w:p>
        </w:tc>
        <w:tc>
          <w:tcPr>
            <w:tcW w:w="1452"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6CB7930"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4 х 1380</w:t>
            </w:r>
          </w:p>
        </w:tc>
        <w:tc>
          <w:tcPr>
            <w:tcW w:w="106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6F51661"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4 х 1200</w:t>
            </w:r>
          </w:p>
        </w:tc>
        <w:tc>
          <w:tcPr>
            <w:tcW w:w="151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3686F77"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4 х 1640</w:t>
            </w:r>
          </w:p>
        </w:tc>
        <w:tc>
          <w:tcPr>
            <w:tcW w:w="1004"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888F52E"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4 х 1700</w:t>
            </w:r>
          </w:p>
        </w:tc>
        <w:tc>
          <w:tcPr>
            <w:tcW w:w="1526"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932D474"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4 х 2200</w:t>
            </w:r>
          </w:p>
        </w:tc>
      </w:tr>
      <w:tr w:rsidR="005106D0" w:rsidRPr="007224C3" w14:paraId="7C8A6C1A" w14:textId="77777777" w:rsidTr="00137373">
        <w:trPr>
          <w:trHeight w:val="180"/>
          <w:tblCellSpacing w:w="0" w:type="dxa"/>
        </w:trPr>
        <w:tc>
          <w:tcPr>
            <w:tcW w:w="142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0087314"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Максимальная скорость , км/ч</w:t>
            </w:r>
          </w:p>
        </w:tc>
        <w:tc>
          <w:tcPr>
            <w:tcW w:w="1361"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F3389EC"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443</w:t>
            </w:r>
          </w:p>
        </w:tc>
        <w:tc>
          <w:tcPr>
            <w:tcW w:w="1452"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73F23C2"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486</w:t>
            </w:r>
          </w:p>
        </w:tc>
        <w:tc>
          <w:tcPr>
            <w:tcW w:w="106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C4BC196"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483</w:t>
            </w:r>
          </w:p>
        </w:tc>
        <w:tc>
          <w:tcPr>
            <w:tcW w:w="151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14E77EE"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462</w:t>
            </w:r>
          </w:p>
        </w:tc>
        <w:tc>
          <w:tcPr>
            <w:tcW w:w="1004"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A5B902C"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497</w:t>
            </w:r>
          </w:p>
        </w:tc>
        <w:tc>
          <w:tcPr>
            <w:tcW w:w="1526"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5B6AFFD"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604</w:t>
            </w:r>
          </w:p>
        </w:tc>
      </w:tr>
      <w:tr w:rsidR="005106D0" w:rsidRPr="007224C3" w14:paraId="674C6A3A" w14:textId="77777777" w:rsidTr="00137373">
        <w:trPr>
          <w:trHeight w:val="180"/>
          <w:tblCellSpacing w:w="0" w:type="dxa"/>
        </w:trPr>
        <w:tc>
          <w:tcPr>
            <w:tcW w:w="142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5621090"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Крейсерская скорость , км/ч</w:t>
            </w:r>
          </w:p>
        </w:tc>
        <w:tc>
          <w:tcPr>
            <w:tcW w:w="1361"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E224C89"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347</w:t>
            </w:r>
          </w:p>
        </w:tc>
        <w:tc>
          <w:tcPr>
            <w:tcW w:w="1452"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4DF1703"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362</w:t>
            </w:r>
          </w:p>
        </w:tc>
        <w:tc>
          <w:tcPr>
            <w:tcW w:w="106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D828FA6"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346</w:t>
            </w:r>
          </w:p>
        </w:tc>
        <w:tc>
          <w:tcPr>
            <w:tcW w:w="151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4CDD10A"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350</w:t>
            </w:r>
          </w:p>
        </w:tc>
        <w:tc>
          <w:tcPr>
            <w:tcW w:w="1004"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6D91851"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388</w:t>
            </w:r>
          </w:p>
        </w:tc>
        <w:tc>
          <w:tcPr>
            <w:tcW w:w="1526"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186B14B"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547</w:t>
            </w:r>
          </w:p>
        </w:tc>
      </w:tr>
      <w:tr w:rsidR="005106D0" w:rsidRPr="007224C3" w14:paraId="539C8E7A" w14:textId="77777777" w:rsidTr="00137373">
        <w:trPr>
          <w:trHeight w:val="180"/>
          <w:tblCellSpacing w:w="0" w:type="dxa"/>
        </w:trPr>
        <w:tc>
          <w:tcPr>
            <w:tcW w:w="142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994270E"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Практическая дальность, км</w:t>
            </w:r>
          </w:p>
        </w:tc>
        <w:tc>
          <w:tcPr>
            <w:tcW w:w="1361"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3AB4B2F"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3600</w:t>
            </w:r>
          </w:p>
        </w:tc>
        <w:tc>
          <w:tcPr>
            <w:tcW w:w="1452"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D7010BC"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5472</w:t>
            </w:r>
          </w:p>
        </w:tc>
        <w:tc>
          <w:tcPr>
            <w:tcW w:w="106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F3EBAC9"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2736</w:t>
            </w:r>
          </w:p>
        </w:tc>
        <w:tc>
          <w:tcPr>
            <w:tcW w:w="151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4909D97"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4312</w:t>
            </w:r>
          </w:p>
        </w:tc>
        <w:tc>
          <w:tcPr>
            <w:tcW w:w="1004"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AFA8B56"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5300</w:t>
            </w:r>
          </w:p>
        </w:tc>
        <w:tc>
          <w:tcPr>
            <w:tcW w:w="1526"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8C04826"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3230</w:t>
            </w:r>
          </w:p>
        </w:tc>
      </w:tr>
      <w:tr w:rsidR="005106D0" w:rsidRPr="007224C3" w14:paraId="768ABB78" w14:textId="77777777" w:rsidTr="00137373">
        <w:trPr>
          <w:trHeight w:val="180"/>
          <w:tblCellSpacing w:w="0" w:type="dxa"/>
        </w:trPr>
        <w:tc>
          <w:tcPr>
            <w:tcW w:w="142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812D2C2"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Скороподъемность, м/мин</w:t>
            </w:r>
          </w:p>
        </w:tc>
        <w:tc>
          <w:tcPr>
            <w:tcW w:w="1361"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52C40A8"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352</w:t>
            </w:r>
          </w:p>
        </w:tc>
        <w:tc>
          <w:tcPr>
            <w:tcW w:w="1452"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DB94140"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274</w:t>
            </w:r>
          </w:p>
        </w:tc>
        <w:tc>
          <w:tcPr>
            <w:tcW w:w="106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7091462"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312</w:t>
            </w:r>
          </w:p>
        </w:tc>
        <w:tc>
          <w:tcPr>
            <w:tcW w:w="151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25FCF2B"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 </w:t>
            </w:r>
          </w:p>
        </w:tc>
        <w:tc>
          <w:tcPr>
            <w:tcW w:w="1004"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09B56C1"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 </w:t>
            </w:r>
          </w:p>
        </w:tc>
        <w:tc>
          <w:tcPr>
            <w:tcW w:w="1526"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25BCB14"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280</w:t>
            </w:r>
          </w:p>
        </w:tc>
      </w:tr>
      <w:tr w:rsidR="005106D0" w:rsidRPr="007224C3" w14:paraId="54A8FF5E" w14:textId="77777777" w:rsidTr="00137373">
        <w:trPr>
          <w:trHeight w:val="180"/>
          <w:tblCellSpacing w:w="0" w:type="dxa"/>
        </w:trPr>
        <w:tc>
          <w:tcPr>
            <w:tcW w:w="142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346E3E7"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Практический потолок, м</w:t>
            </w:r>
          </w:p>
        </w:tc>
        <w:tc>
          <w:tcPr>
            <w:tcW w:w="1361"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1A1F1C2"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9 300</w:t>
            </w:r>
          </w:p>
        </w:tc>
        <w:tc>
          <w:tcPr>
            <w:tcW w:w="1452"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CC454FB"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10 851</w:t>
            </w:r>
          </w:p>
        </w:tc>
        <w:tc>
          <w:tcPr>
            <w:tcW w:w="106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2FCC8D2"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8534</w:t>
            </w:r>
          </w:p>
        </w:tc>
        <w:tc>
          <w:tcPr>
            <w:tcW w:w="151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6B0FD81"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7 468</w:t>
            </w:r>
          </w:p>
        </w:tc>
        <w:tc>
          <w:tcPr>
            <w:tcW w:w="1004"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EF9EFD8"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10 600</w:t>
            </w:r>
          </w:p>
        </w:tc>
        <w:tc>
          <w:tcPr>
            <w:tcW w:w="1526"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572EADC"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9710</w:t>
            </w:r>
          </w:p>
        </w:tc>
      </w:tr>
      <w:tr w:rsidR="005106D0" w:rsidRPr="007224C3" w14:paraId="12DEBCE5" w14:textId="77777777" w:rsidTr="00137373">
        <w:trPr>
          <w:trHeight w:val="180"/>
          <w:tblCellSpacing w:w="0" w:type="dxa"/>
        </w:trPr>
        <w:tc>
          <w:tcPr>
            <w:tcW w:w="142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259A651"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Экипаж, чел</w:t>
            </w:r>
          </w:p>
        </w:tc>
        <w:tc>
          <w:tcPr>
            <w:tcW w:w="1361"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44E6437"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11</w:t>
            </w:r>
          </w:p>
        </w:tc>
        <w:tc>
          <w:tcPr>
            <w:tcW w:w="1452"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E67764E"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10</w:t>
            </w:r>
          </w:p>
        </w:tc>
        <w:tc>
          <w:tcPr>
            <w:tcW w:w="106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23296EE"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10</w:t>
            </w:r>
          </w:p>
        </w:tc>
        <w:tc>
          <w:tcPr>
            <w:tcW w:w="151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9D50765"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7</w:t>
            </w:r>
          </w:p>
        </w:tc>
        <w:tc>
          <w:tcPr>
            <w:tcW w:w="1004"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C898CDB"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11</w:t>
            </w:r>
          </w:p>
        </w:tc>
        <w:tc>
          <w:tcPr>
            <w:tcW w:w="1526"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3ED54E6"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до 10</w:t>
            </w:r>
          </w:p>
        </w:tc>
      </w:tr>
      <w:tr w:rsidR="005106D0" w:rsidRPr="007224C3" w14:paraId="3FF9EA78" w14:textId="77777777" w:rsidTr="00137373">
        <w:trPr>
          <w:trHeight w:val="180"/>
          <w:tblCellSpacing w:w="0" w:type="dxa"/>
        </w:trPr>
        <w:tc>
          <w:tcPr>
            <w:tcW w:w="142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6015FA8"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Вооружение:</w:t>
            </w:r>
          </w:p>
        </w:tc>
        <w:tc>
          <w:tcPr>
            <w:tcW w:w="1361"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DBF67ED"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Две 20-мм пушки ШВАК, два 12.7-мм пулемета УБТ и  два 7.62-мм пулемета ШКАС.</w:t>
            </w:r>
          </w:p>
          <w:p w14:paraId="3302DC45"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 Бомбовая нагрузка -, максимально --4000 кг бомб.</w:t>
            </w:r>
          </w:p>
        </w:tc>
        <w:tc>
          <w:tcPr>
            <w:tcW w:w="1452"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FC90F92"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Тринадцать 12,7-мм пулеметов Colt-Browning M-2. Бомбовая нагрузка максимальная до 7983 кг бомб.</w:t>
            </w:r>
          </w:p>
        </w:tc>
        <w:tc>
          <w:tcPr>
            <w:tcW w:w="106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F6718F9"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Десять 12,7-мм пулеметов Colt-Browning M-2. Бомбовая нагрузка максимальная до 5860 кг бомб</w:t>
            </w:r>
          </w:p>
        </w:tc>
        <w:tc>
          <w:tcPr>
            <w:tcW w:w="151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135E67F" w14:textId="77777777" w:rsidR="004E1E82" w:rsidRPr="007224C3" w:rsidRDefault="009A1031" w:rsidP="007224C3">
            <w:pPr>
              <w:pStyle w:val="ae"/>
              <w:spacing w:before="0" w:after="0"/>
              <w:jc w:val="both"/>
              <w:rPr>
                <w:color w:val="000000" w:themeColor="text1"/>
                <w:sz w:val="16"/>
                <w:szCs w:val="16"/>
              </w:rPr>
            </w:pPr>
            <w:r w:rsidRPr="007224C3">
              <w:rPr>
                <w:color w:val="000000" w:themeColor="text1"/>
                <w:sz w:val="16"/>
                <w:szCs w:val="16"/>
              </w:rPr>
              <w:t>Восемь 7,7-мм пулеметов </w:t>
            </w:r>
          </w:p>
          <w:p w14:paraId="2BD8480A"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Бомбовая нагрузка- включающая одну 9979-кг бомбу или до 6350 кг бомб</w:t>
            </w:r>
          </w:p>
        </w:tc>
        <w:tc>
          <w:tcPr>
            <w:tcW w:w="1004"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350806D"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Четыре 20-мм пушки ШВАК, три 12.7-мм пулемета УБТ</w:t>
            </w:r>
          </w:p>
          <w:p w14:paraId="625B9270"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 Бомбовая нагрузка -, максимально --8000 кг бомб.</w:t>
            </w:r>
          </w:p>
        </w:tc>
        <w:tc>
          <w:tcPr>
            <w:tcW w:w="1526"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E0DBF68"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Десять 12,7-мм пулеметов и одна 20-мм пушка в хвостовой турели.</w:t>
            </w:r>
          </w:p>
          <w:p w14:paraId="2074E821" w14:textId="77777777" w:rsidR="009A1031" w:rsidRPr="007224C3" w:rsidRDefault="009A1031" w:rsidP="007224C3">
            <w:pPr>
              <w:pStyle w:val="ae"/>
              <w:spacing w:before="0" w:after="0"/>
              <w:jc w:val="both"/>
              <w:rPr>
                <w:color w:val="000000" w:themeColor="text1"/>
                <w:sz w:val="16"/>
                <w:szCs w:val="16"/>
              </w:rPr>
            </w:pPr>
            <w:r w:rsidRPr="007224C3">
              <w:rPr>
                <w:color w:val="000000" w:themeColor="text1"/>
                <w:sz w:val="16"/>
                <w:szCs w:val="16"/>
              </w:rPr>
              <w:t> Бомбовая нагрузка – до 9072 кг</w:t>
            </w:r>
          </w:p>
        </w:tc>
      </w:tr>
    </w:tbl>
    <w:p w14:paraId="71A4C513" w14:textId="77777777" w:rsidR="009A1031" w:rsidRPr="007224C3" w:rsidRDefault="009A1031" w:rsidP="007224C3">
      <w:pPr>
        <w:pStyle w:val="ae"/>
        <w:shd w:val="clear" w:color="auto" w:fill="FFFFFF"/>
        <w:spacing w:before="0" w:after="0"/>
        <w:jc w:val="both"/>
        <w:rPr>
          <w:noProof/>
          <w:color w:val="000000" w:themeColor="text1"/>
          <w:sz w:val="16"/>
          <w:szCs w:val="16"/>
        </w:rPr>
      </w:pPr>
      <w:r w:rsidRPr="007224C3">
        <w:rPr>
          <w:noProof/>
          <w:color w:val="000000" w:themeColor="text1"/>
          <w:sz w:val="16"/>
          <w:szCs w:val="16"/>
        </w:rPr>
        <w:t>(12187).</w:t>
      </w:r>
    </w:p>
    <w:p w14:paraId="59294EAE" w14:textId="77777777" w:rsidR="009A1031" w:rsidRPr="007224C3" w:rsidRDefault="009A1031" w:rsidP="007224C3">
      <w:pPr>
        <w:pStyle w:val="ae"/>
        <w:shd w:val="clear" w:color="auto" w:fill="FFFFFF"/>
        <w:spacing w:before="0" w:after="0"/>
        <w:jc w:val="both"/>
        <w:rPr>
          <w:color w:val="000000" w:themeColor="text1"/>
          <w:sz w:val="16"/>
          <w:szCs w:val="16"/>
        </w:rPr>
      </w:pPr>
    </w:p>
    <w:p w14:paraId="20BC4EE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марта 1944 в Москве умер Б.С.Вахмистров (438,897).</w:t>
      </w:r>
    </w:p>
    <w:p w14:paraId="732B46F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4E25CE"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770D32F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069137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марта 1944 г. были подготовлены ЗАМЕЧАНИЯ К ПИСЬМАМ И ПРОЕКТАМ ПОСТАНОВЛЕНИЙ ГКО, ПРИСЛАННЫМ НАРКОМТАНКОПРОМОМ ДЛЯ СОГЛАСОВАНИЯ</w:t>
      </w:r>
    </w:p>
    <w:p w14:paraId="6A1D494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По письму и проекту постановления об организации на заводе №183 производства новых средних танков Т-44.</w:t>
      </w:r>
    </w:p>
    <w:p w14:paraId="0091CCD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Предусмотренный проектом Постановления выпуск танков Т-44 и Т-34-85 снижает общее коли</w:t>
      </w:r>
      <w:r w:rsidRPr="007224C3">
        <w:rPr>
          <w:rFonts w:ascii="Times New Roman" w:hAnsi="Times New Roman"/>
          <w:color w:val="000000" w:themeColor="text1"/>
          <w:sz w:val="16"/>
          <w:szCs w:val="16"/>
        </w:rPr>
        <w:softHyphen/>
        <w:t>чество поставки танков на 475 шт. за период май-октябрь с.г., что видно из следующего расчета:</w:t>
      </w:r>
    </w:p>
    <w:tbl>
      <w:tblPr>
        <w:tblW w:w="0" w:type="auto"/>
        <w:tblInd w:w="40" w:type="dxa"/>
        <w:tblLayout w:type="fixed"/>
        <w:tblCellMar>
          <w:left w:w="40" w:type="dxa"/>
          <w:right w:w="40" w:type="dxa"/>
        </w:tblCellMar>
        <w:tblLook w:val="0000" w:firstRow="0" w:lastRow="0" w:firstColumn="0" w:lastColumn="0" w:noHBand="0" w:noVBand="0"/>
      </w:tblPr>
      <w:tblGrid>
        <w:gridCol w:w="4166"/>
        <w:gridCol w:w="739"/>
        <w:gridCol w:w="739"/>
        <w:gridCol w:w="739"/>
        <w:gridCol w:w="701"/>
        <w:gridCol w:w="778"/>
        <w:gridCol w:w="739"/>
        <w:gridCol w:w="998"/>
      </w:tblGrid>
      <w:tr w:rsidR="005106D0" w:rsidRPr="007224C3" w14:paraId="6461DC54" w14:textId="77777777">
        <w:trPr>
          <w:trHeight w:val="384"/>
        </w:trPr>
        <w:tc>
          <w:tcPr>
            <w:tcW w:w="4166" w:type="dxa"/>
            <w:tcBorders>
              <w:top w:val="single" w:sz="6" w:space="0" w:color="auto"/>
              <w:left w:val="single" w:sz="6" w:space="0" w:color="auto"/>
              <w:bottom w:val="single" w:sz="6" w:space="0" w:color="auto"/>
              <w:right w:val="single" w:sz="6" w:space="0" w:color="auto"/>
            </w:tcBorders>
          </w:tcPr>
          <w:p w14:paraId="746D157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DD9EF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2C28779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Май</w:t>
            </w:r>
          </w:p>
          <w:p w14:paraId="277FEFF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722574A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Июнь</w:t>
            </w:r>
          </w:p>
          <w:p w14:paraId="21F80A2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43AB112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Июль</w:t>
            </w:r>
          </w:p>
          <w:p w14:paraId="14BCDBF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2C50007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Август</w:t>
            </w:r>
          </w:p>
          <w:p w14:paraId="142F2F6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713B19A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Сентябрь</w:t>
            </w:r>
          </w:p>
          <w:p w14:paraId="0354DAB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6957627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Октябрь</w:t>
            </w:r>
          </w:p>
          <w:p w14:paraId="5868593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3633DE3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 за 6 месяцев</w:t>
            </w:r>
          </w:p>
          <w:p w14:paraId="7EDFA24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A542BEC" w14:textId="77777777">
        <w:trPr>
          <w:trHeight w:val="432"/>
        </w:trPr>
        <w:tc>
          <w:tcPr>
            <w:tcW w:w="4166" w:type="dxa"/>
            <w:tcBorders>
              <w:top w:val="single" w:sz="6" w:space="0" w:color="auto"/>
              <w:left w:val="single" w:sz="6" w:space="0" w:color="auto"/>
              <w:bottom w:val="single" w:sz="6" w:space="0" w:color="auto"/>
              <w:right w:val="single" w:sz="6" w:space="0" w:color="auto"/>
            </w:tcBorders>
          </w:tcPr>
          <w:p w14:paraId="194E6EA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Минимальный выпуск танков Т-34-85 на заводе №183 составляет:</w:t>
            </w:r>
          </w:p>
          <w:p w14:paraId="70F7412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588C2CA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675</w:t>
            </w:r>
          </w:p>
          <w:p w14:paraId="149992E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62A677E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675</w:t>
            </w:r>
          </w:p>
          <w:p w14:paraId="2752785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21DE730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675</w:t>
            </w:r>
          </w:p>
          <w:p w14:paraId="6DEF7E7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17D3EB3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675</w:t>
            </w:r>
          </w:p>
          <w:p w14:paraId="37F4194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2A7A0F9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675</w:t>
            </w:r>
          </w:p>
          <w:p w14:paraId="27B4A4B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581FD54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675</w:t>
            </w:r>
          </w:p>
          <w:p w14:paraId="5846B62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2BC5CA9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4050</w:t>
            </w:r>
          </w:p>
          <w:p w14:paraId="5DF9919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2435AE6" w14:textId="77777777">
        <w:trPr>
          <w:trHeight w:val="432"/>
        </w:trPr>
        <w:tc>
          <w:tcPr>
            <w:tcW w:w="4166" w:type="dxa"/>
            <w:tcBorders>
              <w:top w:val="single" w:sz="6" w:space="0" w:color="auto"/>
              <w:left w:val="single" w:sz="6" w:space="0" w:color="auto"/>
              <w:bottom w:val="single" w:sz="6" w:space="0" w:color="auto"/>
              <w:right w:val="single" w:sz="6" w:space="0" w:color="auto"/>
            </w:tcBorders>
          </w:tcPr>
          <w:p w14:paraId="1A25C83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Суммарный выпуск танков Т-44 и Т-34-85, предла</w:t>
            </w:r>
            <w:r w:rsidRPr="007224C3">
              <w:rPr>
                <w:rFonts w:ascii="Times New Roman" w:hAnsi="Times New Roman"/>
                <w:color w:val="000000" w:themeColor="text1"/>
                <w:sz w:val="16"/>
                <w:szCs w:val="16"/>
              </w:rPr>
              <w:softHyphen/>
              <w:t>гаемый проектом постановления, составляет:</w:t>
            </w:r>
          </w:p>
          <w:p w14:paraId="367DAFE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0ED2224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675</w:t>
            </w:r>
          </w:p>
          <w:p w14:paraId="2E7A1D8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1DCC1AD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650</w:t>
            </w:r>
          </w:p>
          <w:p w14:paraId="3A2F610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46AB4EF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600</w:t>
            </w:r>
          </w:p>
          <w:p w14:paraId="3500733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6D5165B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500</w:t>
            </w:r>
          </w:p>
          <w:p w14:paraId="66B7072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169B151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500</w:t>
            </w:r>
          </w:p>
          <w:p w14:paraId="5685526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53B7DA1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650</w:t>
            </w:r>
          </w:p>
          <w:p w14:paraId="4F37856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20062F8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3575</w:t>
            </w:r>
          </w:p>
          <w:p w14:paraId="2859A60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484E33A" w14:textId="77777777">
        <w:trPr>
          <w:trHeight w:val="240"/>
        </w:trPr>
        <w:tc>
          <w:tcPr>
            <w:tcW w:w="4166" w:type="dxa"/>
            <w:tcBorders>
              <w:top w:val="single" w:sz="6" w:space="0" w:color="auto"/>
              <w:left w:val="single" w:sz="6" w:space="0" w:color="auto"/>
              <w:bottom w:val="single" w:sz="6" w:space="0" w:color="auto"/>
              <w:right w:val="single" w:sz="6" w:space="0" w:color="auto"/>
            </w:tcBorders>
          </w:tcPr>
          <w:p w14:paraId="3D02E2C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Разница</w:t>
            </w:r>
          </w:p>
          <w:p w14:paraId="32C3A39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1668D9B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4F75EC5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79F9C1A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w:t>
            </w:r>
          </w:p>
          <w:p w14:paraId="7D86953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2F16E9F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-75</w:t>
            </w:r>
          </w:p>
          <w:p w14:paraId="1D1BAA1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4958EEA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-175</w:t>
            </w:r>
          </w:p>
          <w:p w14:paraId="73C83C4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63BD782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-175</w:t>
            </w:r>
          </w:p>
          <w:p w14:paraId="76B7AD3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7F7CD52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w:t>
            </w:r>
          </w:p>
          <w:p w14:paraId="730AC9D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7FEDC9E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-475</w:t>
            </w:r>
          </w:p>
          <w:p w14:paraId="6068189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490DF7A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 расчета видно, что в наиболее напряженный (в части потребности танков) летний период 1944 года, Наркомтанкопром предлагает сократить (только по заводу №183) выпуск танков на 475 штук.</w:t>
      </w:r>
    </w:p>
    <w:p w14:paraId="37E24B0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 избежание сокращения выпуска лучше (в крайнем случае) несколько увеличить срок полного перехода завода №183 на изготовление танков Т-44 и организовать их выпуск по следующему графику:</w:t>
      </w:r>
    </w:p>
    <w:tbl>
      <w:tblPr>
        <w:tblW w:w="0" w:type="auto"/>
        <w:tblInd w:w="40" w:type="dxa"/>
        <w:tblLayout w:type="fixed"/>
        <w:tblCellMar>
          <w:left w:w="40" w:type="dxa"/>
          <w:right w:w="40" w:type="dxa"/>
        </w:tblCellMar>
        <w:tblLook w:val="0000" w:firstRow="0" w:lastRow="0" w:firstColumn="0" w:lastColumn="0" w:noHBand="0" w:noVBand="0"/>
      </w:tblPr>
      <w:tblGrid>
        <w:gridCol w:w="1421"/>
        <w:gridCol w:w="970"/>
        <w:gridCol w:w="970"/>
        <w:gridCol w:w="970"/>
        <w:gridCol w:w="970"/>
        <w:gridCol w:w="979"/>
        <w:gridCol w:w="970"/>
        <w:gridCol w:w="970"/>
        <w:gridCol w:w="979"/>
      </w:tblGrid>
      <w:tr w:rsidR="005106D0" w:rsidRPr="007224C3" w14:paraId="69F9FC99" w14:textId="77777777">
        <w:trPr>
          <w:trHeight w:val="278"/>
        </w:trPr>
        <w:tc>
          <w:tcPr>
            <w:tcW w:w="1421" w:type="dxa"/>
            <w:tcBorders>
              <w:top w:val="single" w:sz="6" w:space="0" w:color="auto"/>
              <w:left w:val="single" w:sz="6" w:space="0" w:color="auto"/>
              <w:bottom w:val="nil"/>
              <w:right w:val="single" w:sz="6" w:space="0" w:color="auto"/>
            </w:tcBorders>
          </w:tcPr>
          <w:p w14:paraId="7F6566C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Марки машин</w:t>
            </w:r>
          </w:p>
          <w:p w14:paraId="7025615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78" w:type="dxa"/>
            <w:gridSpan w:val="8"/>
            <w:tcBorders>
              <w:top w:val="single" w:sz="6" w:space="0" w:color="auto"/>
              <w:left w:val="single" w:sz="6" w:space="0" w:color="auto"/>
              <w:bottom w:val="single" w:sz="6" w:space="0" w:color="auto"/>
              <w:right w:val="single" w:sz="6" w:space="0" w:color="auto"/>
            </w:tcBorders>
          </w:tcPr>
          <w:p w14:paraId="65155B7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План производства танков Т-44 и Т-34</w:t>
            </w:r>
          </w:p>
          <w:p w14:paraId="7F61E77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7F0ED34" w14:textId="77777777">
        <w:trPr>
          <w:trHeight w:val="259"/>
        </w:trPr>
        <w:tc>
          <w:tcPr>
            <w:tcW w:w="1421" w:type="dxa"/>
            <w:tcBorders>
              <w:top w:val="nil"/>
              <w:left w:val="single" w:sz="6" w:space="0" w:color="auto"/>
              <w:bottom w:val="single" w:sz="6" w:space="0" w:color="auto"/>
              <w:right w:val="single" w:sz="6" w:space="0" w:color="auto"/>
            </w:tcBorders>
          </w:tcPr>
          <w:p w14:paraId="365C6C4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2B37CF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ACE1C6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Май</w:t>
            </w:r>
          </w:p>
          <w:p w14:paraId="2023400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35C2C6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Июнь</w:t>
            </w:r>
          </w:p>
          <w:p w14:paraId="021F44E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4A4211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Июль</w:t>
            </w:r>
          </w:p>
          <w:p w14:paraId="27959BB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184773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Август</w:t>
            </w:r>
          </w:p>
          <w:p w14:paraId="41DE7A9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0F10FF5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Сентябрь</w:t>
            </w:r>
          </w:p>
          <w:p w14:paraId="1A210CC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0F48D3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Октябрь</w:t>
            </w:r>
          </w:p>
          <w:p w14:paraId="40D9EC5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34CA76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Ноябрь</w:t>
            </w:r>
          </w:p>
          <w:p w14:paraId="2EBE67D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59A28C0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Декабрь</w:t>
            </w:r>
          </w:p>
          <w:p w14:paraId="4BE1FE9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D97A921" w14:textId="77777777">
        <w:trPr>
          <w:trHeight w:val="278"/>
        </w:trPr>
        <w:tc>
          <w:tcPr>
            <w:tcW w:w="1421" w:type="dxa"/>
            <w:tcBorders>
              <w:top w:val="single" w:sz="6" w:space="0" w:color="auto"/>
              <w:left w:val="single" w:sz="6" w:space="0" w:color="auto"/>
              <w:bottom w:val="single" w:sz="6" w:space="0" w:color="auto"/>
              <w:right w:val="single" w:sz="6" w:space="0" w:color="auto"/>
            </w:tcBorders>
          </w:tcPr>
          <w:p w14:paraId="30C8B18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Т-44</w:t>
            </w:r>
          </w:p>
          <w:p w14:paraId="1E4EF5B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634278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w:t>
            </w:r>
          </w:p>
          <w:p w14:paraId="29DCF73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D04503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w:t>
            </w:r>
          </w:p>
          <w:p w14:paraId="4986556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186265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150</w:t>
            </w:r>
          </w:p>
          <w:p w14:paraId="5279584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43C8DF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300</w:t>
            </w:r>
          </w:p>
          <w:p w14:paraId="721FCF7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4967F18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500</w:t>
            </w:r>
          </w:p>
          <w:p w14:paraId="33A9E9D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87BB0A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550</w:t>
            </w:r>
          </w:p>
          <w:p w14:paraId="5C33985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268B7A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600</w:t>
            </w:r>
          </w:p>
          <w:p w14:paraId="465B087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2D5FB16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675</w:t>
            </w:r>
          </w:p>
          <w:p w14:paraId="4B260B9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3C9376D" w14:textId="77777777">
        <w:trPr>
          <w:trHeight w:val="278"/>
        </w:trPr>
        <w:tc>
          <w:tcPr>
            <w:tcW w:w="1421" w:type="dxa"/>
            <w:tcBorders>
              <w:top w:val="single" w:sz="6" w:space="0" w:color="auto"/>
              <w:left w:val="single" w:sz="6" w:space="0" w:color="auto"/>
              <w:bottom w:val="single" w:sz="6" w:space="0" w:color="auto"/>
              <w:right w:val="single" w:sz="6" w:space="0" w:color="auto"/>
            </w:tcBorders>
          </w:tcPr>
          <w:p w14:paraId="0E40017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Т-34</w:t>
            </w:r>
          </w:p>
          <w:p w14:paraId="4885586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E9DFC6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650</w:t>
            </w:r>
          </w:p>
          <w:p w14:paraId="4DE9CF9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DCDC69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625</w:t>
            </w:r>
          </w:p>
          <w:p w14:paraId="7A47AC6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AADAB5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525</w:t>
            </w:r>
          </w:p>
          <w:p w14:paraId="6392B37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DFBE96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375</w:t>
            </w:r>
          </w:p>
          <w:p w14:paraId="1435A9A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69B9221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175</w:t>
            </w:r>
          </w:p>
          <w:p w14:paraId="7E5E74D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8B5792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125</w:t>
            </w:r>
          </w:p>
          <w:p w14:paraId="34F5C29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33699C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75</w:t>
            </w:r>
          </w:p>
          <w:p w14:paraId="70B75F3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45CC594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4B890D1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867179F" w14:textId="77777777">
        <w:trPr>
          <w:trHeight w:val="288"/>
        </w:trPr>
        <w:tc>
          <w:tcPr>
            <w:tcW w:w="1421" w:type="dxa"/>
            <w:tcBorders>
              <w:top w:val="single" w:sz="6" w:space="0" w:color="auto"/>
              <w:left w:val="single" w:sz="6" w:space="0" w:color="auto"/>
              <w:bottom w:val="single" w:sz="6" w:space="0" w:color="auto"/>
              <w:right w:val="single" w:sz="6" w:space="0" w:color="auto"/>
            </w:tcBorders>
          </w:tcPr>
          <w:p w14:paraId="3960304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 танков</w:t>
            </w:r>
          </w:p>
          <w:p w14:paraId="3A29124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4AED24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675</w:t>
            </w:r>
          </w:p>
          <w:p w14:paraId="51C5FF9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3EBA2E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675</w:t>
            </w:r>
          </w:p>
          <w:p w14:paraId="71D5E16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534B93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675</w:t>
            </w:r>
          </w:p>
          <w:p w14:paraId="42B2E8A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494D8F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675</w:t>
            </w:r>
          </w:p>
          <w:p w14:paraId="3D54445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64CE717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675</w:t>
            </w:r>
          </w:p>
          <w:p w14:paraId="5EE363A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472E8D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675</w:t>
            </w:r>
          </w:p>
          <w:p w14:paraId="575A6A0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2A248B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675</w:t>
            </w:r>
          </w:p>
          <w:p w14:paraId="66CB5FF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232DE41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675</w:t>
            </w:r>
          </w:p>
          <w:p w14:paraId="32934FB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0602025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Указанный выше график может быть принят только в крайнем случае, так как завод №183 имеет все возможности организовать выпуск танков Т-44 по следующему графику:</w:t>
      </w:r>
    </w:p>
    <w:tbl>
      <w:tblPr>
        <w:tblW w:w="0" w:type="auto"/>
        <w:tblInd w:w="40" w:type="dxa"/>
        <w:tblLayout w:type="fixed"/>
        <w:tblCellMar>
          <w:left w:w="40" w:type="dxa"/>
          <w:right w:w="40" w:type="dxa"/>
        </w:tblCellMar>
        <w:tblLook w:val="0000" w:firstRow="0" w:lastRow="0" w:firstColumn="0" w:lastColumn="0" w:noHBand="0" w:noVBand="0"/>
      </w:tblPr>
      <w:tblGrid>
        <w:gridCol w:w="1421"/>
        <w:gridCol w:w="1114"/>
        <w:gridCol w:w="1104"/>
        <w:gridCol w:w="1114"/>
        <w:gridCol w:w="1114"/>
        <w:gridCol w:w="1104"/>
        <w:gridCol w:w="1114"/>
        <w:gridCol w:w="1123"/>
      </w:tblGrid>
      <w:tr w:rsidR="005106D0" w:rsidRPr="007224C3" w14:paraId="1CAD0F70" w14:textId="77777777">
        <w:trPr>
          <w:trHeight w:val="278"/>
        </w:trPr>
        <w:tc>
          <w:tcPr>
            <w:tcW w:w="1421" w:type="dxa"/>
            <w:tcBorders>
              <w:top w:val="single" w:sz="6" w:space="0" w:color="auto"/>
              <w:left w:val="single" w:sz="6" w:space="0" w:color="auto"/>
              <w:bottom w:val="nil"/>
              <w:right w:val="single" w:sz="6" w:space="0" w:color="auto"/>
            </w:tcBorders>
          </w:tcPr>
          <w:p w14:paraId="161F587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Марки машин</w:t>
            </w:r>
          </w:p>
          <w:p w14:paraId="4B9240F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7" w:type="dxa"/>
            <w:gridSpan w:val="7"/>
            <w:tcBorders>
              <w:top w:val="single" w:sz="6" w:space="0" w:color="auto"/>
              <w:left w:val="single" w:sz="6" w:space="0" w:color="auto"/>
              <w:bottom w:val="single" w:sz="6" w:space="0" w:color="auto"/>
              <w:right w:val="single" w:sz="6" w:space="0" w:color="auto"/>
            </w:tcBorders>
          </w:tcPr>
          <w:p w14:paraId="44D3659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Выпуск машин по месяцам</w:t>
            </w:r>
          </w:p>
          <w:p w14:paraId="7CEC9F6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BDB5E0C" w14:textId="77777777">
        <w:trPr>
          <w:trHeight w:val="259"/>
        </w:trPr>
        <w:tc>
          <w:tcPr>
            <w:tcW w:w="1421" w:type="dxa"/>
            <w:tcBorders>
              <w:top w:val="nil"/>
              <w:left w:val="single" w:sz="6" w:space="0" w:color="auto"/>
              <w:bottom w:val="single" w:sz="6" w:space="0" w:color="auto"/>
              <w:right w:val="single" w:sz="6" w:space="0" w:color="auto"/>
            </w:tcBorders>
          </w:tcPr>
          <w:p w14:paraId="3635F27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EA36A3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6" w:space="0" w:color="auto"/>
              <w:right w:val="single" w:sz="6" w:space="0" w:color="auto"/>
            </w:tcBorders>
          </w:tcPr>
          <w:p w14:paraId="6E2F8A0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Апрель</w:t>
            </w:r>
          </w:p>
          <w:p w14:paraId="30CF805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4" w:type="dxa"/>
            <w:tcBorders>
              <w:top w:val="single" w:sz="6" w:space="0" w:color="auto"/>
              <w:left w:val="single" w:sz="6" w:space="0" w:color="auto"/>
              <w:bottom w:val="single" w:sz="6" w:space="0" w:color="auto"/>
              <w:right w:val="single" w:sz="6" w:space="0" w:color="auto"/>
            </w:tcBorders>
          </w:tcPr>
          <w:p w14:paraId="237B7A3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Май</w:t>
            </w:r>
          </w:p>
          <w:p w14:paraId="530CB6C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6" w:space="0" w:color="auto"/>
              <w:right w:val="single" w:sz="6" w:space="0" w:color="auto"/>
            </w:tcBorders>
          </w:tcPr>
          <w:p w14:paraId="29CC8A2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Июнь</w:t>
            </w:r>
          </w:p>
          <w:p w14:paraId="26DC7A7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6" w:space="0" w:color="auto"/>
              <w:right w:val="single" w:sz="6" w:space="0" w:color="auto"/>
            </w:tcBorders>
          </w:tcPr>
          <w:p w14:paraId="73531CF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Июль</w:t>
            </w:r>
          </w:p>
          <w:p w14:paraId="568A311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4" w:type="dxa"/>
            <w:tcBorders>
              <w:top w:val="single" w:sz="6" w:space="0" w:color="auto"/>
              <w:left w:val="single" w:sz="6" w:space="0" w:color="auto"/>
              <w:bottom w:val="single" w:sz="6" w:space="0" w:color="auto"/>
              <w:right w:val="single" w:sz="6" w:space="0" w:color="auto"/>
            </w:tcBorders>
          </w:tcPr>
          <w:p w14:paraId="0E8A8D7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Август</w:t>
            </w:r>
          </w:p>
          <w:p w14:paraId="74629C1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6" w:space="0" w:color="auto"/>
              <w:right w:val="single" w:sz="6" w:space="0" w:color="auto"/>
            </w:tcBorders>
          </w:tcPr>
          <w:p w14:paraId="060C357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Сентябрь</w:t>
            </w:r>
          </w:p>
          <w:p w14:paraId="1D6B045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2D928B1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Октябрь</w:t>
            </w:r>
          </w:p>
          <w:p w14:paraId="69EE08F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83A3CA6" w14:textId="77777777">
        <w:trPr>
          <w:trHeight w:val="278"/>
        </w:trPr>
        <w:tc>
          <w:tcPr>
            <w:tcW w:w="1421" w:type="dxa"/>
            <w:tcBorders>
              <w:top w:val="single" w:sz="6" w:space="0" w:color="auto"/>
              <w:left w:val="single" w:sz="6" w:space="0" w:color="auto"/>
              <w:bottom w:val="single" w:sz="6" w:space="0" w:color="auto"/>
              <w:right w:val="single" w:sz="6" w:space="0" w:color="auto"/>
            </w:tcBorders>
          </w:tcPr>
          <w:p w14:paraId="59B3DC8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Т-44</w:t>
            </w:r>
          </w:p>
          <w:p w14:paraId="6420361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6" w:space="0" w:color="auto"/>
              <w:right w:val="single" w:sz="6" w:space="0" w:color="auto"/>
            </w:tcBorders>
          </w:tcPr>
          <w:p w14:paraId="42C793F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w:t>
            </w:r>
          </w:p>
          <w:p w14:paraId="7D83C6B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4" w:type="dxa"/>
            <w:tcBorders>
              <w:top w:val="single" w:sz="6" w:space="0" w:color="auto"/>
              <w:left w:val="single" w:sz="6" w:space="0" w:color="auto"/>
              <w:bottom w:val="single" w:sz="6" w:space="0" w:color="auto"/>
              <w:right w:val="single" w:sz="6" w:space="0" w:color="auto"/>
            </w:tcBorders>
          </w:tcPr>
          <w:p w14:paraId="436A3FF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75</w:t>
            </w:r>
          </w:p>
          <w:p w14:paraId="5E25455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6" w:space="0" w:color="auto"/>
              <w:right w:val="single" w:sz="6" w:space="0" w:color="auto"/>
            </w:tcBorders>
          </w:tcPr>
          <w:p w14:paraId="56E20D8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150</w:t>
            </w:r>
          </w:p>
          <w:p w14:paraId="392E7FC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6" w:space="0" w:color="auto"/>
              <w:right w:val="single" w:sz="6" w:space="0" w:color="auto"/>
            </w:tcBorders>
          </w:tcPr>
          <w:p w14:paraId="47E835C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300</w:t>
            </w:r>
          </w:p>
          <w:p w14:paraId="326305C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4" w:type="dxa"/>
            <w:tcBorders>
              <w:top w:val="single" w:sz="6" w:space="0" w:color="auto"/>
              <w:left w:val="single" w:sz="6" w:space="0" w:color="auto"/>
              <w:bottom w:val="single" w:sz="6" w:space="0" w:color="auto"/>
              <w:right w:val="single" w:sz="6" w:space="0" w:color="auto"/>
            </w:tcBorders>
          </w:tcPr>
          <w:p w14:paraId="1BE0926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600</w:t>
            </w:r>
          </w:p>
          <w:p w14:paraId="115C883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6" w:space="0" w:color="auto"/>
              <w:right w:val="single" w:sz="6" w:space="0" w:color="auto"/>
            </w:tcBorders>
          </w:tcPr>
          <w:p w14:paraId="25E1FB2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650</w:t>
            </w:r>
          </w:p>
          <w:p w14:paraId="696BB1F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6398666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700</w:t>
            </w:r>
          </w:p>
          <w:p w14:paraId="689CF39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25BDD24" w14:textId="77777777">
        <w:trPr>
          <w:trHeight w:val="278"/>
        </w:trPr>
        <w:tc>
          <w:tcPr>
            <w:tcW w:w="1421" w:type="dxa"/>
            <w:tcBorders>
              <w:top w:val="single" w:sz="6" w:space="0" w:color="auto"/>
              <w:left w:val="single" w:sz="6" w:space="0" w:color="auto"/>
              <w:bottom w:val="single" w:sz="6" w:space="0" w:color="auto"/>
              <w:right w:val="single" w:sz="6" w:space="0" w:color="auto"/>
            </w:tcBorders>
          </w:tcPr>
          <w:p w14:paraId="1D35A71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Т-34</w:t>
            </w:r>
          </w:p>
          <w:p w14:paraId="2E58D23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6" w:space="0" w:color="auto"/>
              <w:right w:val="single" w:sz="6" w:space="0" w:color="auto"/>
            </w:tcBorders>
          </w:tcPr>
          <w:p w14:paraId="208530D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650</w:t>
            </w:r>
          </w:p>
          <w:p w14:paraId="30AE9B8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4" w:type="dxa"/>
            <w:tcBorders>
              <w:top w:val="single" w:sz="6" w:space="0" w:color="auto"/>
              <w:left w:val="single" w:sz="6" w:space="0" w:color="auto"/>
              <w:bottom w:val="single" w:sz="6" w:space="0" w:color="auto"/>
              <w:right w:val="single" w:sz="6" w:space="0" w:color="auto"/>
            </w:tcBorders>
          </w:tcPr>
          <w:p w14:paraId="3591E04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600</w:t>
            </w:r>
          </w:p>
          <w:p w14:paraId="3855501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6" w:space="0" w:color="auto"/>
              <w:right w:val="single" w:sz="6" w:space="0" w:color="auto"/>
            </w:tcBorders>
          </w:tcPr>
          <w:p w14:paraId="3BEE75D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550</w:t>
            </w:r>
          </w:p>
          <w:p w14:paraId="462ACF9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6" w:space="0" w:color="auto"/>
              <w:right w:val="single" w:sz="6" w:space="0" w:color="auto"/>
            </w:tcBorders>
          </w:tcPr>
          <w:p w14:paraId="736B50B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400</w:t>
            </w:r>
          </w:p>
          <w:p w14:paraId="77053DE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4" w:type="dxa"/>
            <w:tcBorders>
              <w:top w:val="single" w:sz="6" w:space="0" w:color="auto"/>
              <w:left w:val="single" w:sz="6" w:space="0" w:color="auto"/>
              <w:bottom w:val="single" w:sz="6" w:space="0" w:color="auto"/>
              <w:right w:val="single" w:sz="6" w:space="0" w:color="auto"/>
            </w:tcBorders>
          </w:tcPr>
          <w:p w14:paraId="1F2569D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300</w:t>
            </w:r>
          </w:p>
          <w:p w14:paraId="795B291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6" w:space="0" w:color="auto"/>
              <w:right w:val="single" w:sz="6" w:space="0" w:color="auto"/>
            </w:tcBorders>
          </w:tcPr>
          <w:p w14:paraId="3945119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w:t>
            </w:r>
          </w:p>
          <w:p w14:paraId="29C139A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74CDAD6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118264A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0451F19" w14:textId="77777777">
        <w:trPr>
          <w:trHeight w:val="298"/>
        </w:trPr>
        <w:tc>
          <w:tcPr>
            <w:tcW w:w="1421" w:type="dxa"/>
            <w:tcBorders>
              <w:top w:val="single" w:sz="6" w:space="0" w:color="auto"/>
              <w:left w:val="single" w:sz="6" w:space="0" w:color="auto"/>
              <w:bottom w:val="single" w:sz="6" w:space="0" w:color="auto"/>
              <w:right w:val="single" w:sz="6" w:space="0" w:color="auto"/>
            </w:tcBorders>
          </w:tcPr>
          <w:p w14:paraId="293F87B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 танков</w:t>
            </w:r>
          </w:p>
          <w:p w14:paraId="0545746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6" w:space="0" w:color="auto"/>
              <w:right w:val="single" w:sz="6" w:space="0" w:color="auto"/>
            </w:tcBorders>
          </w:tcPr>
          <w:p w14:paraId="549085B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675</w:t>
            </w:r>
          </w:p>
          <w:p w14:paraId="47668A9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4" w:type="dxa"/>
            <w:tcBorders>
              <w:top w:val="single" w:sz="6" w:space="0" w:color="auto"/>
              <w:left w:val="single" w:sz="6" w:space="0" w:color="auto"/>
              <w:bottom w:val="single" w:sz="6" w:space="0" w:color="auto"/>
              <w:right w:val="single" w:sz="6" w:space="0" w:color="auto"/>
            </w:tcBorders>
          </w:tcPr>
          <w:p w14:paraId="43DF4C7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675</w:t>
            </w:r>
          </w:p>
          <w:p w14:paraId="688494D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6" w:space="0" w:color="auto"/>
              <w:right w:val="single" w:sz="6" w:space="0" w:color="auto"/>
            </w:tcBorders>
          </w:tcPr>
          <w:p w14:paraId="414EFDB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700</w:t>
            </w:r>
          </w:p>
          <w:p w14:paraId="0E68D1E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6" w:space="0" w:color="auto"/>
              <w:right w:val="single" w:sz="6" w:space="0" w:color="auto"/>
            </w:tcBorders>
          </w:tcPr>
          <w:p w14:paraId="6649D5D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700</w:t>
            </w:r>
          </w:p>
          <w:p w14:paraId="399CD4F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4" w:type="dxa"/>
            <w:tcBorders>
              <w:top w:val="single" w:sz="6" w:space="0" w:color="auto"/>
              <w:left w:val="single" w:sz="6" w:space="0" w:color="auto"/>
              <w:bottom w:val="single" w:sz="6" w:space="0" w:color="auto"/>
              <w:right w:val="single" w:sz="6" w:space="0" w:color="auto"/>
            </w:tcBorders>
          </w:tcPr>
          <w:p w14:paraId="50A4103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700</w:t>
            </w:r>
          </w:p>
          <w:p w14:paraId="410E855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6" w:space="0" w:color="auto"/>
              <w:right w:val="single" w:sz="6" w:space="0" w:color="auto"/>
            </w:tcBorders>
          </w:tcPr>
          <w:p w14:paraId="651F1EE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700</w:t>
            </w:r>
          </w:p>
          <w:p w14:paraId="75F1166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3CF6284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700</w:t>
            </w:r>
          </w:p>
          <w:p w14:paraId="4A739C6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06C6D49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Лучшим решением являлось бы принятие этого графика.</w:t>
      </w:r>
    </w:p>
    <w:p w14:paraId="14D60B1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В прилагаемой к проекту краткой тактико-технической характеристике танка Т-44 указан диаметр погона — 1600 мм и 1800 мм.</w:t>
      </w:r>
    </w:p>
    <w:p w14:paraId="7273EBE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Необходимо принять вариант с погоном 1800 мм.</w:t>
      </w:r>
    </w:p>
    <w:p w14:paraId="642D335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В проекте постановления ничего не указано о производстве запасных частей к танкам Т-34.</w:t>
      </w:r>
    </w:p>
    <w:p w14:paraId="35175C5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Если завод №183 в связи с переходом на изготовление танков Т-44 прекратит полностью выпуск запасных частей к Т-34, это неизбежно повлечет за собой срыв ремонта танков Т-34, так как завод № 183 является основным поставщиком их.</w:t>
      </w:r>
    </w:p>
    <w:p w14:paraId="5C3F016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 как в проекте постановления по Кировскому заводу предлагается снять производство тан</w:t>
      </w:r>
      <w:r w:rsidRPr="007224C3">
        <w:rPr>
          <w:rFonts w:ascii="Times New Roman" w:hAnsi="Times New Roman"/>
          <w:color w:val="000000" w:themeColor="text1"/>
          <w:sz w:val="16"/>
          <w:szCs w:val="16"/>
        </w:rPr>
        <w:softHyphen/>
        <w:t>ков Т-34 и запчастей к ним и на этом заводе, то получается, что поставщиками запасных частей оста</w:t>
      </w:r>
      <w:r w:rsidRPr="007224C3">
        <w:rPr>
          <w:rFonts w:ascii="Times New Roman" w:hAnsi="Times New Roman"/>
          <w:color w:val="000000" w:themeColor="text1"/>
          <w:sz w:val="16"/>
          <w:szCs w:val="16"/>
        </w:rPr>
        <w:softHyphen/>
        <w:t>ются только заводы №112 и №174.</w:t>
      </w:r>
    </w:p>
    <w:p w14:paraId="782586E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№112 не изготовляет основных деталей и узлов, как-то коробка перемены передач, борто</w:t>
      </w:r>
      <w:r w:rsidRPr="007224C3">
        <w:rPr>
          <w:rFonts w:ascii="Times New Roman" w:hAnsi="Times New Roman"/>
          <w:color w:val="000000" w:themeColor="text1"/>
          <w:sz w:val="16"/>
          <w:szCs w:val="16"/>
        </w:rPr>
        <w:softHyphen/>
        <w:t>вые и главные фрикционы (изготовляет завод №113) и по постановлению ГОКО еще только должен организовать у себя производство 5-ти скоростных коробок перемены передач, то все поставки зап</w:t>
      </w:r>
      <w:r w:rsidRPr="007224C3">
        <w:rPr>
          <w:rFonts w:ascii="Times New Roman" w:hAnsi="Times New Roman"/>
          <w:color w:val="000000" w:themeColor="text1"/>
          <w:sz w:val="16"/>
          <w:szCs w:val="16"/>
        </w:rPr>
        <w:softHyphen/>
        <w:t>частей к танку Т-34 будут возложены на завод № 174, который не может удовлетворить и 15% потреб</w:t>
      </w:r>
      <w:r w:rsidRPr="007224C3">
        <w:rPr>
          <w:rFonts w:ascii="Times New Roman" w:hAnsi="Times New Roman"/>
          <w:color w:val="000000" w:themeColor="text1"/>
          <w:sz w:val="16"/>
          <w:szCs w:val="16"/>
        </w:rPr>
        <w:softHyphen/>
        <w:t>ности ГБТУ КА, а по 4-х скоростной коробке и вообще не может изготовлять детали.</w:t>
      </w:r>
    </w:p>
    <w:p w14:paraId="52B679B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Необходимо четко решить вопрос о запасных частях, а в предлагаемых проектах постановлений этот вопрос упущен совершенно.</w:t>
      </w:r>
    </w:p>
    <w:p w14:paraId="3D67EA6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По письму к проекту постановления о производстве мощных дизелей для тяжелых танков и артсамоходов ИС на заводе №77.</w:t>
      </w:r>
    </w:p>
    <w:p w14:paraId="5698162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В случае прекращения выпуска дизельмоторов В-2-34 на заводе №77 в связи с переходом на выпуск дизельмоторов В-11 значительно сократится поставка дизельмоторов для танковых заводов и для ГБТУ КА, а именно:</w:t>
      </w:r>
    </w:p>
    <w:tbl>
      <w:tblPr>
        <w:tblW w:w="0" w:type="auto"/>
        <w:tblInd w:w="40" w:type="dxa"/>
        <w:tblLayout w:type="fixed"/>
        <w:tblCellMar>
          <w:left w:w="40" w:type="dxa"/>
          <w:right w:w="40" w:type="dxa"/>
        </w:tblCellMar>
        <w:tblLook w:val="0000" w:firstRow="0" w:lastRow="0" w:firstColumn="0" w:lastColumn="0" w:noHBand="0" w:noVBand="0"/>
      </w:tblPr>
      <w:tblGrid>
        <w:gridCol w:w="3485"/>
        <w:gridCol w:w="768"/>
        <w:gridCol w:w="835"/>
        <w:gridCol w:w="845"/>
        <w:gridCol w:w="835"/>
        <w:gridCol w:w="845"/>
        <w:gridCol w:w="1162"/>
      </w:tblGrid>
      <w:tr w:rsidR="005106D0" w:rsidRPr="007224C3" w14:paraId="20CD80FE" w14:textId="77777777">
        <w:trPr>
          <w:trHeight w:val="269"/>
        </w:trPr>
        <w:tc>
          <w:tcPr>
            <w:tcW w:w="3485" w:type="dxa"/>
            <w:tcBorders>
              <w:top w:val="single" w:sz="6" w:space="0" w:color="auto"/>
              <w:left w:val="single" w:sz="6" w:space="0" w:color="auto"/>
              <w:bottom w:val="nil"/>
              <w:right w:val="single" w:sz="6" w:space="0" w:color="auto"/>
            </w:tcBorders>
          </w:tcPr>
          <w:p w14:paraId="2395F05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32193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28" w:type="dxa"/>
            <w:gridSpan w:val="5"/>
            <w:tcBorders>
              <w:top w:val="single" w:sz="6" w:space="0" w:color="auto"/>
              <w:left w:val="single" w:sz="6" w:space="0" w:color="auto"/>
              <w:bottom w:val="single" w:sz="6" w:space="0" w:color="auto"/>
              <w:right w:val="single" w:sz="6" w:space="0" w:color="auto"/>
            </w:tcBorders>
          </w:tcPr>
          <w:p w14:paraId="7EFE242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Выпуск по месяцам</w:t>
            </w:r>
          </w:p>
          <w:p w14:paraId="76BCD4F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tcBorders>
              <w:top w:val="single" w:sz="6" w:space="0" w:color="auto"/>
              <w:left w:val="single" w:sz="6" w:space="0" w:color="auto"/>
              <w:bottom w:val="nil"/>
              <w:right w:val="single" w:sz="6" w:space="0" w:color="auto"/>
            </w:tcBorders>
          </w:tcPr>
          <w:p w14:paraId="4542CC9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 за 5 месяцев</w:t>
            </w:r>
          </w:p>
          <w:p w14:paraId="2EAF940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A8BB463" w14:textId="77777777">
        <w:trPr>
          <w:trHeight w:val="259"/>
        </w:trPr>
        <w:tc>
          <w:tcPr>
            <w:tcW w:w="3485" w:type="dxa"/>
            <w:tcBorders>
              <w:top w:val="nil"/>
              <w:left w:val="single" w:sz="6" w:space="0" w:color="auto"/>
              <w:bottom w:val="single" w:sz="6" w:space="0" w:color="auto"/>
              <w:right w:val="single" w:sz="6" w:space="0" w:color="auto"/>
            </w:tcBorders>
          </w:tcPr>
          <w:p w14:paraId="06DA649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350F5C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53F1AAB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Март</w:t>
            </w:r>
          </w:p>
          <w:p w14:paraId="792FC72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8F8711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Апрель</w:t>
            </w:r>
          </w:p>
          <w:p w14:paraId="2E169F1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34E1661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Май</w:t>
            </w:r>
          </w:p>
          <w:p w14:paraId="461606B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560CD1E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Июнь</w:t>
            </w:r>
          </w:p>
          <w:p w14:paraId="44DD7DE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00350CB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Июль</w:t>
            </w:r>
          </w:p>
          <w:p w14:paraId="0E34DE7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tcBorders>
              <w:top w:val="nil"/>
              <w:left w:val="single" w:sz="6" w:space="0" w:color="auto"/>
              <w:bottom w:val="single" w:sz="6" w:space="0" w:color="auto"/>
              <w:right w:val="single" w:sz="6" w:space="0" w:color="auto"/>
            </w:tcBorders>
          </w:tcPr>
          <w:p w14:paraId="1D47078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F8596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914A769" w14:textId="77777777">
        <w:trPr>
          <w:trHeight w:val="480"/>
        </w:trPr>
        <w:tc>
          <w:tcPr>
            <w:tcW w:w="3485" w:type="dxa"/>
            <w:tcBorders>
              <w:top w:val="single" w:sz="6" w:space="0" w:color="auto"/>
              <w:left w:val="single" w:sz="6" w:space="0" w:color="auto"/>
              <w:bottom w:val="single" w:sz="6" w:space="0" w:color="auto"/>
              <w:right w:val="single" w:sz="6" w:space="0" w:color="auto"/>
            </w:tcBorders>
          </w:tcPr>
          <w:p w14:paraId="5C943B9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Минимальный выпуск дизельмоторов В-2-34 заводом №77 составляет</w:t>
            </w:r>
          </w:p>
          <w:p w14:paraId="3DBEF2F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617C934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350</w:t>
            </w:r>
          </w:p>
          <w:p w14:paraId="032BBE1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4027B53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375</w:t>
            </w:r>
          </w:p>
          <w:p w14:paraId="4E6008C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553D863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400</w:t>
            </w:r>
          </w:p>
          <w:p w14:paraId="3452061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49C005E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400</w:t>
            </w:r>
          </w:p>
          <w:p w14:paraId="66AF6A8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729771D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400</w:t>
            </w:r>
          </w:p>
          <w:p w14:paraId="36F673E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tcBorders>
              <w:top w:val="single" w:sz="6" w:space="0" w:color="auto"/>
              <w:left w:val="single" w:sz="6" w:space="0" w:color="auto"/>
              <w:bottom w:val="single" w:sz="6" w:space="0" w:color="auto"/>
              <w:right w:val="single" w:sz="6" w:space="0" w:color="auto"/>
            </w:tcBorders>
          </w:tcPr>
          <w:p w14:paraId="27C882D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1925</w:t>
            </w:r>
          </w:p>
          <w:p w14:paraId="52502E7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741E70E" w14:textId="77777777">
        <w:trPr>
          <w:trHeight w:val="470"/>
        </w:trPr>
        <w:tc>
          <w:tcPr>
            <w:tcW w:w="3485" w:type="dxa"/>
            <w:tcBorders>
              <w:top w:val="single" w:sz="6" w:space="0" w:color="auto"/>
              <w:left w:val="single" w:sz="6" w:space="0" w:color="auto"/>
              <w:bottom w:val="single" w:sz="6" w:space="0" w:color="auto"/>
              <w:right w:val="single" w:sz="6" w:space="0" w:color="auto"/>
            </w:tcBorders>
          </w:tcPr>
          <w:p w14:paraId="586748D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Предлагаемый НКТП выпуск дизельмото</w:t>
            </w:r>
            <w:r w:rsidRPr="007224C3">
              <w:rPr>
                <w:rFonts w:ascii="Times New Roman" w:hAnsi="Times New Roman"/>
                <w:color w:val="000000" w:themeColor="text1"/>
                <w:sz w:val="16"/>
                <w:szCs w:val="16"/>
              </w:rPr>
              <w:softHyphen/>
              <w:t>ров В-11 составляет</w:t>
            </w:r>
          </w:p>
          <w:p w14:paraId="0D62A7A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1CC60D4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74F745C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4D3E162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w:t>
            </w:r>
          </w:p>
          <w:p w14:paraId="61E59F7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4123F11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175</w:t>
            </w:r>
          </w:p>
          <w:p w14:paraId="1AE4330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F8583A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250</w:t>
            </w:r>
          </w:p>
          <w:p w14:paraId="00198DA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6F5BA7D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375</w:t>
            </w:r>
          </w:p>
          <w:p w14:paraId="2A42C61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tcBorders>
              <w:top w:val="single" w:sz="6" w:space="0" w:color="auto"/>
              <w:left w:val="single" w:sz="6" w:space="0" w:color="auto"/>
              <w:bottom w:val="single" w:sz="6" w:space="0" w:color="auto"/>
              <w:right w:val="single" w:sz="6" w:space="0" w:color="auto"/>
            </w:tcBorders>
          </w:tcPr>
          <w:p w14:paraId="5EB61F8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850</w:t>
            </w:r>
          </w:p>
          <w:p w14:paraId="0BE40FE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61332A5" w14:textId="77777777">
        <w:trPr>
          <w:trHeight w:val="298"/>
        </w:trPr>
        <w:tc>
          <w:tcPr>
            <w:tcW w:w="3485" w:type="dxa"/>
            <w:tcBorders>
              <w:top w:val="single" w:sz="6" w:space="0" w:color="auto"/>
              <w:left w:val="single" w:sz="6" w:space="0" w:color="auto"/>
              <w:bottom w:val="single" w:sz="6" w:space="0" w:color="auto"/>
              <w:right w:val="single" w:sz="6" w:space="0" w:color="auto"/>
            </w:tcBorders>
          </w:tcPr>
          <w:p w14:paraId="4649E66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Разница</w:t>
            </w:r>
          </w:p>
          <w:p w14:paraId="1C18702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7093829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350</w:t>
            </w:r>
          </w:p>
          <w:p w14:paraId="6606202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40BE8F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325</w:t>
            </w:r>
          </w:p>
          <w:p w14:paraId="27F4DDB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77EA7FB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225</w:t>
            </w:r>
          </w:p>
          <w:p w14:paraId="7A33295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7C6952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150</w:t>
            </w:r>
          </w:p>
          <w:p w14:paraId="3854ADD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239E058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w:t>
            </w:r>
          </w:p>
          <w:p w14:paraId="004789A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tcBorders>
              <w:top w:val="single" w:sz="6" w:space="0" w:color="auto"/>
              <w:left w:val="single" w:sz="6" w:space="0" w:color="auto"/>
              <w:bottom w:val="single" w:sz="6" w:space="0" w:color="auto"/>
              <w:right w:val="single" w:sz="6" w:space="0" w:color="auto"/>
            </w:tcBorders>
          </w:tcPr>
          <w:p w14:paraId="5379861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1075</w:t>
            </w:r>
          </w:p>
          <w:p w14:paraId="78191A4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98ADE2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Кроме того, предлагаемый проект предусматривает снижение поставки дизельмоторов для ГБТУ КА на 400 шт., а именно:</w:t>
      </w:r>
    </w:p>
    <w:tbl>
      <w:tblPr>
        <w:tblW w:w="0" w:type="auto"/>
        <w:tblInd w:w="40" w:type="dxa"/>
        <w:tblLayout w:type="fixed"/>
        <w:tblCellMar>
          <w:left w:w="40" w:type="dxa"/>
          <w:right w:w="40" w:type="dxa"/>
        </w:tblCellMar>
        <w:tblLook w:val="0000" w:firstRow="0" w:lastRow="0" w:firstColumn="0" w:lastColumn="0" w:noHBand="0" w:noVBand="0"/>
      </w:tblPr>
      <w:tblGrid>
        <w:gridCol w:w="3485"/>
        <w:gridCol w:w="1027"/>
        <w:gridCol w:w="1027"/>
        <w:gridCol w:w="1037"/>
        <w:gridCol w:w="1037"/>
        <w:gridCol w:w="1162"/>
      </w:tblGrid>
      <w:tr w:rsidR="005106D0" w:rsidRPr="007224C3" w14:paraId="146B05C0" w14:textId="77777777">
        <w:trPr>
          <w:trHeight w:val="269"/>
        </w:trPr>
        <w:tc>
          <w:tcPr>
            <w:tcW w:w="3485" w:type="dxa"/>
            <w:tcBorders>
              <w:top w:val="single" w:sz="6" w:space="0" w:color="auto"/>
              <w:left w:val="single" w:sz="6" w:space="0" w:color="auto"/>
              <w:bottom w:val="nil"/>
              <w:right w:val="single" w:sz="6" w:space="0" w:color="auto"/>
            </w:tcBorders>
          </w:tcPr>
          <w:p w14:paraId="3F793B8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8EDC78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28" w:type="dxa"/>
            <w:gridSpan w:val="4"/>
            <w:tcBorders>
              <w:top w:val="single" w:sz="6" w:space="0" w:color="auto"/>
              <w:left w:val="single" w:sz="6" w:space="0" w:color="auto"/>
              <w:bottom w:val="single" w:sz="6" w:space="0" w:color="auto"/>
              <w:right w:val="single" w:sz="6" w:space="0" w:color="auto"/>
            </w:tcBorders>
          </w:tcPr>
          <w:p w14:paraId="450CF1F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Выпуск по месяцам</w:t>
            </w:r>
          </w:p>
          <w:p w14:paraId="1CAC769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tcBorders>
              <w:top w:val="single" w:sz="6" w:space="0" w:color="auto"/>
              <w:left w:val="single" w:sz="6" w:space="0" w:color="auto"/>
              <w:bottom w:val="nil"/>
              <w:right w:val="single" w:sz="6" w:space="0" w:color="auto"/>
            </w:tcBorders>
          </w:tcPr>
          <w:p w14:paraId="1F4E461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 за 4 месяца</w:t>
            </w:r>
          </w:p>
          <w:p w14:paraId="18E4966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E0978CB" w14:textId="77777777">
        <w:trPr>
          <w:trHeight w:val="259"/>
        </w:trPr>
        <w:tc>
          <w:tcPr>
            <w:tcW w:w="3485" w:type="dxa"/>
            <w:tcBorders>
              <w:top w:val="nil"/>
              <w:left w:val="single" w:sz="6" w:space="0" w:color="auto"/>
              <w:bottom w:val="single" w:sz="6" w:space="0" w:color="auto"/>
              <w:right w:val="single" w:sz="6" w:space="0" w:color="auto"/>
            </w:tcBorders>
          </w:tcPr>
          <w:p w14:paraId="68C854C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869B28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39F1F8F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Март</w:t>
            </w:r>
          </w:p>
          <w:p w14:paraId="12EA2B5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3C8CDD1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Апрель</w:t>
            </w:r>
          </w:p>
          <w:p w14:paraId="030A1E8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36413DB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Май</w:t>
            </w:r>
          </w:p>
          <w:p w14:paraId="7FE8685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11F70B6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Июнь</w:t>
            </w:r>
          </w:p>
          <w:p w14:paraId="4D7D1A6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tcBorders>
              <w:top w:val="nil"/>
              <w:left w:val="single" w:sz="6" w:space="0" w:color="auto"/>
              <w:bottom w:val="single" w:sz="6" w:space="0" w:color="auto"/>
              <w:right w:val="single" w:sz="6" w:space="0" w:color="auto"/>
            </w:tcBorders>
          </w:tcPr>
          <w:p w14:paraId="536AACC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E73DD9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2C79A86" w14:textId="77777777">
        <w:trPr>
          <w:trHeight w:val="480"/>
        </w:trPr>
        <w:tc>
          <w:tcPr>
            <w:tcW w:w="3485" w:type="dxa"/>
            <w:tcBorders>
              <w:top w:val="single" w:sz="6" w:space="0" w:color="auto"/>
              <w:left w:val="single" w:sz="6" w:space="0" w:color="auto"/>
              <w:bottom w:val="single" w:sz="6" w:space="0" w:color="auto"/>
              <w:right w:val="single" w:sz="6" w:space="0" w:color="auto"/>
            </w:tcBorders>
          </w:tcPr>
          <w:p w14:paraId="4C6BFCC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ГБТУ КА получит ежемесячно дизель-моторов (по программе февраля)</w:t>
            </w:r>
          </w:p>
          <w:p w14:paraId="65CC5F7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6C76380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275</w:t>
            </w:r>
          </w:p>
          <w:p w14:paraId="0E507DC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40F5D9F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275</w:t>
            </w:r>
          </w:p>
          <w:p w14:paraId="32B6B13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25B878F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275</w:t>
            </w:r>
          </w:p>
          <w:p w14:paraId="3104B51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1CA39FF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275</w:t>
            </w:r>
          </w:p>
          <w:p w14:paraId="4C3C056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tcBorders>
              <w:top w:val="single" w:sz="6" w:space="0" w:color="auto"/>
              <w:left w:val="single" w:sz="6" w:space="0" w:color="auto"/>
              <w:bottom w:val="single" w:sz="6" w:space="0" w:color="auto"/>
              <w:right w:val="single" w:sz="6" w:space="0" w:color="auto"/>
            </w:tcBorders>
          </w:tcPr>
          <w:p w14:paraId="35A7BE8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1100</w:t>
            </w:r>
          </w:p>
          <w:p w14:paraId="7F45C5F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81FA221" w14:textId="77777777">
        <w:trPr>
          <w:trHeight w:val="480"/>
        </w:trPr>
        <w:tc>
          <w:tcPr>
            <w:tcW w:w="3485" w:type="dxa"/>
            <w:tcBorders>
              <w:top w:val="single" w:sz="6" w:space="0" w:color="auto"/>
              <w:left w:val="single" w:sz="6" w:space="0" w:color="auto"/>
              <w:bottom w:val="single" w:sz="6" w:space="0" w:color="auto"/>
              <w:right w:val="single" w:sz="6" w:space="0" w:color="auto"/>
            </w:tcBorders>
          </w:tcPr>
          <w:p w14:paraId="2E7FD6C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проекту постановления предлагается сдавать</w:t>
            </w:r>
          </w:p>
          <w:p w14:paraId="795F70C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5D77408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w:t>
            </w:r>
          </w:p>
          <w:p w14:paraId="42F2CBE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7785A02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150</w:t>
            </w:r>
          </w:p>
          <w:p w14:paraId="5C5EEC2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4097C16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200</w:t>
            </w:r>
          </w:p>
          <w:p w14:paraId="18E48A8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12A42B2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250</w:t>
            </w:r>
          </w:p>
          <w:p w14:paraId="3F18282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tcBorders>
              <w:top w:val="single" w:sz="6" w:space="0" w:color="auto"/>
              <w:left w:val="single" w:sz="6" w:space="0" w:color="auto"/>
              <w:bottom w:val="single" w:sz="6" w:space="0" w:color="auto"/>
              <w:right w:val="single" w:sz="6" w:space="0" w:color="auto"/>
            </w:tcBorders>
          </w:tcPr>
          <w:p w14:paraId="1CC9F1E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700</w:t>
            </w:r>
          </w:p>
          <w:p w14:paraId="0A51330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0D38609" w14:textId="77777777">
        <w:trPr>
          <w:trHeight w:val="298"/>
        </w:trPr>
        <w:tc>
          <w:tcPr>
            <w:tcW w:w="3485" w:type="dxa"/>
            <w:tcBorders>
              <w:top w:val="single" w:sz="6" w:space="0" w:color="auto"/>
              <w:left w:val="single" w:sz="6" w:space="0" w:color="auto"/>
              <w:bottom w:val="single" w:sz="6" w:space="0" w:color="auto"/>
              <w:right w:val="single" w:sz="6" w:space="0" w:color="auto"/>
            </w:tcBorders>
          </w:tcPr>
          <w:p w14:paraId="209BBF3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Разница</w:t>
            </w:r>
          </w:p>
          <w:p w14:paraId="1203FBD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3DE17D4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175</w:t>
            </w:r>
          </w:p>
          <w:p w14:paraId="0E8F4D7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2A9C2ED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125</w:t>
            </w:r>
          </w:p>
          <w:p w14:paraId="44BEC38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6560EE4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75</w:t>
            </w:r>
          </w:p>
          <w:p w14:paraId="52A330B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59913C3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w:t>
            </w:r>
          </w:p>
          <w:p w14:paraId="33BFF25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tcBorders>
              <w:top w:val="single" w:sz="6" w:space="0" w:color="auto"/>
              <w:left w:val="single" w:sz="6" w:space="0" w:color="auto"/>
              <w:bottom w:val="single" w:sz="6" w:space="0" w:color="auto"/>
              <w:right w:val="single" w:sz="6" w:space="0" w:color="auto"/>
            </w:tcBorders>
          </w:tcPr>
          <w:p w14:paraId="65C167D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400</w:t>
            </w:r>
          </w:p>
          <w:p w14:paraId="47BAB58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DCA00B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Резерв дизельмоторов в количестве 250 шт. тоже предлагается аннулировать.</w:t>
      </w:r>
    </w:p>
    <w:p w14:paraId="398ACA4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Итого общая потеря дизельмоторов составляет:</w:t>
      </w:r>
    </w:p>
    <w:p w14:paraId="1C7E85B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1075 + 400 + 250 = 1725.</w:t>
      </w:r>
    </w:p>
    <w:p w14:paraId="3CDCB6B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Выпуск запчастей к дизелъмоторам В-2-34 сокращается по предлагаемому проекту на 10,6 млн. руб.</w:t>
      </w:r>
    </w:p>
    <w:p w14:paraId="7A5A604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Дизельмотор В-11 на максимальной мощности 700 л. с. продолжительное время надежно рабо</w:t>
      </w:r>
      <w:r w:rsidRPr="007224C3">
        <w:rPr>
          <w:rFonts w:ascii="Times New Roman" w:hAnsi="Times New Roman"/>
          <w:color w:val="000000" w:themeColor="text1"/>
          <w:sz w:val="16"/>
          <w:szCs w:val="16"/>
        </w:rPr>
        <w:softHyphen/>
        <w:t>тать не может.</w:t>
      </w:r>
    </w:p>
    <w:p w14:paraId="782C367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 эксплуатационная мощность, установленная на испытаниях, равна 620 л. с. при 2100 об/мин.</w:t>
      </w:r>
    </w:p>
    <w:p w14:paraId="5331852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Номинальная мощность двигателя 560 л. с. при 2000 об/мин., т. е. только на 60 л. с. больше суще</w:t>
      </w:r>
      <w:r w:rsidRPr="007224C3">
        <w:rPr>
          <w:rFonts w:ascii="Times New Roman" w:hAnsi="Times New Roman"/>
          <w:color w:val="000000" w:themeColor="text1"/>
          <w:sz w:val="16"/>
          <w:szCs w:val="16"/>
        </w:rPr>
        <w:softHyphen/>
        <w:t>ствующего дизельмотора В-2-ИС.</w:t>
      </w:r>
    </w:p>
    <w:p w14:paraId="2DCE565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Такое увеличение мощности не дает значительного улучшения динамических свойств танка ИС, и не решает вопроса создания мощного двигателя для тяжелых танков (перспективных).</w:t>
      </w:r>
    </w:p>
    <w:p w14:paraId="5FD2A59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Учитывая изложенное, считаю целесообразным не снимать с производства завода №77 дизель-моторы В-2-34 и запчасти к нему.</w:t>
      </w:r>
    </w:p>
    <w:p w14:paraId="2F2759D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Установку дизельмоторов В-11 в танки и артсамоходы производить в количествах и сроки, ука</w:t>
      </w:r>
      <w:r w:rsidRPr="007224C3">
        <w:rPr>
          <w:rFonts w:ascii="Times New Roman" w:hAnsi="Times New Roman"/>
          <w:color w:val="000000" w:themeColor="text1"/>
          <w:sz w:val="16"/>
          <w:szCs w:val="16"/>
        </w:rPr>
        <w:softHyphen/>
        <w:t>занные в проекте постановления для Кировского завода, что дает возможность не уменьшать выпу</w:t>
      </w:r>
      <w:r w:rsidRPr="007224C3">
        <w:rPr>
          <w:rFonts w:ascii="Times New Roman" w:hAnsi="Times New Roman"/>
          <w:color w:val="000000" w:themeColor="text1"/>
          <w:sz w:val="16"/>
          <w:szCs w:val="16"/>
        </w:rPr>
        <w:softHyphen/>
        <w:t>ска дизельмоторов, а перенос срока установки дизельмоторов В-11 в танки и артсамоходы ИС с мая месяца на июль не будет иметь большого значения.</w:t>
      </w:r>
    </w:p>
    <w:p w14:paraId="13AF3C1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По письму и проекту постановления об увеличении производства тяжелых танков и артсамо-ходов ИС на Кировском заводе.</w:t>
      </w:r>
    </w:p>
    <w:p w14:paraId="44A213A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Проект постановления предусматривает снятие с производства танков Т-34 и запчастей к ним с Кировского завода, начиная с 1 апреля с.г., что означает снижение выпуска танков Т-34 в 1944 году на 630 шт. с учетом, что по письму 80 шт. ежемесячно будут компенсированы за счет других заводов НКТП, хотя в проекте постановления это не указано. (Потеря месячная составляет 150 — 80 = 70 шт., а до конца года 70x9 = 630 шт.)</w:t>
      </w:r>
    </w:p>
    <w:p w14:paraId="18D8D5D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Учитывая предлагаемое проектом постановления снижение выпуска танков Т-34 по заводу №183 в количестве 475 шт., общее снижение по обоим заводам будет составлять 630 + 475 = 1105 танков.</w:t>
      </w:r>
    </w:p>
    <w:p w14:paraId="518F9F3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В проекте не указано за счет каких заводов и по сколько в месяц на каждом из них предусмотре</w:t>
      </w:r>
      <w:r w:rsidRPr="007224C3">
        <w:rPr>
          <w:rFonts w:ascii="Times New Roman" w:hAnsi="Times New Roman"/>
          <w:color w:val="000000" w:themeColor="text1"/>
          <w:sz w:val="16"/>
          <w:szCs w:val="16"/>
        </w:rPr>
        <w:softHyphen/>
        <w:t>на компенсация 80-100 танков Т-34 в месяц в связи со снятием их производства на Кировском заводе.</w:t>
      </w:r>
    </w:p>
    <w:p w14:paraId="0DDB2D1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Увеличение выпуска тяжелых танков и артсамоходов на Кировском заводе предусмотрено малое. Завод имеет возможность увеличить выпуск по следующему графику:</w:t>
      </w:r>
    </w:p>
    <w:tbl>
      <w:tblPr>
        <w:tblW w:w="0" w:type="auto"/>
        <w:tblInd w:w="40" w:type="dxa"/>
        <w:tblLayout w:type="fixed"/>
        <w:tblCellMar>
          <w:left w:w="40" w:type="dxa"/>
          <w:right w:w="40" w:type="dxa"/>
        </w:tblCellMar>
        <w:tblLook w:val="0000" w:firstRow="0" w:lastRow="0" w:firstColumn="0" w:lastColumn="0" w:noHBand="0" w:noVBand="0"/>
      </w:tblPr>
      <w:tblGrid>
        <w:gridCol w:w="2928"/>
        <w:gridCol w:w="1363"/>
        <w:gridCol w:w="1363"/>
        <w:gridCol w:w="1363"/>
        <w:gridCol w:w="1382"/>
      </w:tblGrid>
      <w:tr w:rsidR="005106D0" w:rsidRPr="007224C3" w14:paraId="641781A4" w14:textId="77777777">
        <w:trPr>
          <w:trHeight w:val="278"/>
        </w:trPr>
        <w:tc>
          <w:tcPr>
            <w:tcW w:w="2928" w:type="dxa"/>
            <w:tcBorders>
              <w:top w:val="single" w:sz="6" w:space="0" w:color="auto"/>
              <w:left w:val="single" w:sz="6" w:space="0" w:color="auto"/>
              <w:bottom w:val="single" w:sz="6" w:space="0" w:color="auto"/>
              <w:right w:val="single" w:sz="6" w:space="0" w:color="auto"/>
            </w:tcBorders>
          </w:tcPr>
          <w:p w14:paraId="2C5C87D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D52D4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31380B7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Март</w:t>
            </w:r>
          </w:p>
          <w:p w14:paraId="4E1D818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5CFE8D4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Апрель</w:t>
            </w:r>
          </w:p>
          <w:p w14:paraId="2C7DCA7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70CCCE2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Май</w:t>
            </w:r>
          </w:p>
          <w:p w14:paraId="7C0DC4B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373FDDB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Июнь</w:t>
            </w:r>
          </w:p>
          <w:p w14:paraId="2829BBD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4C47A16" w14:textId="77777777">
        <w:trPr>
          <w:trHeight w:val="278"/>
        </w:trPr>
        <w:tc>
          <w:tcPr>
            <w:tcW w:w="2928" w:type="dxa"/>
            <w:tcBorders>
              <w:top w:val="single" w:sz="6" w:space="0" w:color="auto"/>
              <w:left w:val="single" w:sz="6" w:space="0" w:color="auto"/>
              <w:bottom w:val="single" w:sz="6" w:space="0" w:color="auto"/>
              <w:right w:val="single" w:sz="6" w:space="0" w:color="auto"/>
            </w:tcBorders>
          </w:tcPr>
          <w:p w14:paraId="74D5514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Танки ИС с 122-мм пушкой</w:t>
            </w:r>
          </w:p>
          <w:p w14:paraId="369D30A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476007F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w:t>
            </w:r>
          </w:p>
          <w:p w14:paraId="4A1EDA1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1CA156C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150</w:t>
            </w:r>
          </w:p>
          <w:p w14:paraId="748B19D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176BF9A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200</w:t>
            </w:r>
          </w:p>
          <w:p w14:paraId="2454F80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6ABACF4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275</w:t>
            </w:r>
          </w:p>
          <w:p w14:paraId="1BAF726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6403069" w14:textId="77777777">
        <w:trPr>
          <w:trHeight w:val="269"/>
        </w:trPr>
        <w:tc>
          <w:tcPr>
            <w:tcW w:w="2928" w:type="dxa"/>
            <w:tcBorders>
              <w:top w:val="single" w:sz="6" w:space="0" w:color="auto"/>
              <w:left w:val="single" w:sz="6" w:space="0" w:color="auto"/>
              <w:bottom w:val="single" w:sz="6" w:space="0" w:color="auto"/>
              <w:right w:val="single" w:sz="6" w:space="0" w:color="auto"/>
            </w:tcBorders>
          </w:tcPr>
          <w:p w14:paraId="708C7F5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Артсамоходы с 152-мм пушкой</w:t>
            </w:r>
          </w:p>
          <w:p w14:paraId="58FD6B1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0D03415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150</w:t>
            </w:r>
          </w:p>
          <w:p w14:paraId="50EE0EC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57B9CB4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200</w:t>
            </w:r>
          </w:p>
          <w:p w14:paraId="0DB8144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69ED8A3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225</w:t>
            </w:r>
          </w:p>
          <w:p w14:paraId="58DCCF0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29FE1D7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225</w:t>
            </w:r>
          </w:p>
          <w:p w14:paraId="14BD891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7277B96" w14:textId="77777777">
        <w:trPr>
          <w:trHeight w:val="298"/>
        </w:trPr>
        <w:tc>
          <w:tcPr>
            <w:tcW w:w="2928" w:type="dxa"/>
            <w:tcBorders>
              <w:top w:val="single" w:sz="6" w:space="0" w:color="auto"/>
              <w:left w:val="single" w:sz="6" w:space="0" w:color="auto"/>
              <w:bottom w:val="single" w:sz="6" w:space="0" w:color="auto"/>
              <w:right w:val="single" w:sz="6" w:space="0" w:color="auto"/>
            </w:tcBorders>
          </w:tcPr>
          <w:p w14:paraId="278E00D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w:t>
            </w:r>
          </w:p>
          <w:p w14:paraId="0DC20F2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68CBC14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250</w:t>
            </w:r>
          </w:p>
          <w:p w14:paraId="6BC29B8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23D588F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350</w:t>
            </w:r>
          </w:p>
          <w:p w14:paraId="51F486E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2CE852F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425</w:t>
            </w:r>
          </w:p>
          <w:p w14:paraId="67C2A72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3193D84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500</w:t>
            </w:r>
          </w:p>
          <w:p w14:paraId="0FDC72A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60BCFA3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Главного бронетанкового управления Красной Армии генерал-лейтенант танковых войск Вершинин</w:t>
      </w:r>
    </w:p>
    <w:p w14:paraId="4CD6F55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начальника ТУ ГБТУ Красной Армии инженер-подполковник Егоров</w:t>
      </w:r>
    </w:p>
    <w:p w14:paraId="6D8E74F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38. Оп. 11355а. Д. 361д. Л. 25-29. Подлинник (11403).</w:t>
      </w:r>
    </w:p>
    <w:p w14:paraId="0D297B8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B74973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марта 1944 г. распоряжением Совета Народных Комиссаров СССР было создано Московское отделение Всесоюзного научно-исследовательского института гидролизной и сульфитно-спиртовой промышленности (ВНИИГС) Постановлением ВСНХ СССР от 7 сентября 1963 г. на базе отделения создан институт ВНИИсинтезбелок (12102).</w:t>
      </w:r>
    </w:p>
    <w:p w14:paraId="12DA53DB" w14:textId="77777777" w:rsidR="006E7509" w:rsidRPr="007224C3" w:rsidRDefault="006E7509" w:rsidP="007224C3">
      <w:pPr>
        <w:autoSpaceDE w:val="0"/>
        <w:autoSpaceDN w:val="0"/>
        <w:adjustRightInd w:val="0"/>
        <w:spacing w:after="0" w:line="240" w:lineRule="auto"/>
        <w:jc w:val="both"/>
        <w:rPr>
          <w:rFonts w:ascii="Times New Roman" w:hAnsi="Times New Roman"/>
          <w:color w:val="000000" w:themeColor="text1"/>
          <w:sz w:val="16"/>
          <w:szCs w:val="16"/>
        </w:rPr>
      </w:pPr>
    </w:p>
    <w:p w14:paraId="5CCFAC7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марта 1944 вышло Распоряжение ГКО № 5283. О продлении до 1 апреля 1944 г. срока работы пеших рабочих и возчиков с лошадьми на заготовке и вывозке древесины в районах УССР, не выполнивших план. РГАНИР, Фонд ГКО, д. 215, лл. 35 (11012).</w:t>
      </w:r>
    </w:p>
    <w:p w14:paraId="2618E62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442C04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марта 1944 вышло Распоряжение ГКО № 5284. О завозе импортного оборудования на Бакальский и Гороблагодатский железные рудники НКЧМ. РГАНИР, Фонд ГКО, д. 215, лл. 36 (11012).</w:t>
      </w:r>
    </w:p>
    <w:p w14:paraId="2FD780F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97C6D42"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марта 1944 вышло Распоряжение ГКО № 5285 [Об отправке 600 лошадей на восстановление Днепровской ГЭС им. В.И. Ленина.] (7195, 37).</w:t>
      </w:r>
    </w:p>
    <w:p w14:paraId="357866C7"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70BA60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марта 1944 вышло Распоряжение ГКО № 5286. О забронировании на Бакшеевском торфопредприятии НКЭС 35 тыс. т торфа для поставки во II кв. 1944 г. заводу № 14 НКБ. РГАНИР, Фонд ГКО, д. 215, лл. 38 (11012).</w:t>
      </w:r>
    </w:p>
    <w:p w14:paraId="44EE1EA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E1BF0D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марта 1944 вышло Распоряжение ГКО № 5288. О закупке за рубежом оборудования для Днепродзержинского вагоностроительного завода им. газеты "Правда" НКСМ. РГАНИР, Фонд ГКО, д. 215, лл. 41,42-44 (11012).</w:t>
      </w:r>
    </w:p>
    <w:p w14:paraId="10F477E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DA97B9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марта 1944 вышло Распоряжение ГКО № 5289. О мерах по ликвидации перерасхода электроэнергии на освещение и быт по системе Мосэнерго. РГАНИР, Фонд ГКО, д. 215, лл. 45 (11012).</w:t>
      </w:r>
    </w:p>
    <w:p w14:paraId="39F6338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524AC2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марта 1944 вышло Распоряжение ГКО № 5290. О мерах по обеспечению ДА маскировочными красками в весенне-летний период 1944 г. РГАНИР, Фонд ГКО, д. 215, лл. 46-48 (11012).</w:t>
      </w:r>
    </w:p>
    <w:p w14:paraId="5AEDE8C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408F1FC"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марта 1944 вышло Распоряжение ГКО № 5291 [О поставках материалов и оборудования Донским хромитовым рудникам НКВД в I и II кв. 1944 г.] (7195, 49-50,51-54).</w:t>
      </w:r>
    </w:p>
    <w:p w14:paraId="163857DF"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A8FBB4A"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марта 1944 вышло Распоряжение ГКО № 5292 [О продлении до 15 марта 1944 г. срока работ на дровозаготовках для Москвы возчиков с лошадьми, мобилизованных по постановлению ГКО № 4650 от 23 ноября 1943 г.] (7195, 55).</w:t>
      </w:r>
    </w:p>
    <w:p w14:paraId="4710BEFA"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87B666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марта 1944 вышло Распоряжение ГКО № 5293. О поставке Главснаблесом при СНК СССР дров заводу № 63 НКБ из ресурсов Ивдельлага НКВРГАНИР, Фонд ГКО, д. РГАНИР, Фонд ГКО, д. 215, лл. 56 (11012).</w:t>
      </w:r>
    </w:p>
    <w:p w14:paraId="611407E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880399A"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марта 1944 вышло Распоряжение ГКО № 5294 [О разведке и испытании промышленных запасов ванадиевых руд Каратауского месторождения в 1944 г.] (7195, 57-58).</w:t>
      </w:r>
    </w:p>
    <w:p w14:paraId="4A2EBF7B"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E74B928"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марта 1944 вышло Распоряжение ГКО № 5295 [О мерах по обеспечению бесперебойной работы Саткинского огнеупорного завода "Магнезит".] (7195, 59-61).</w:t>
      </w:r>
    </w:p>
    <w:p w14:paraId="5EF02DD0"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F1A6F30"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марта 1944 вышло Распоряжение ГКО № 5296 [О выделении площадей для размещения аппарата Главкислорода при СНК СССР, Комитета стандартов при СНК СССР, постпредства и других организаций УССР.] (7195, 62).</w:t>
      </w:r>
    </w:p>
    <w:p w14:paraId="74284A1E"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8B05E41"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марта 1944 вышло Распоряжение ГКО № 5297 [О мерах по обеспечению ввода в действие коксовой батареи № 1 Челябинского металлургического завода НКЧМ.] (7195, 63-64,65-67).</w:t>
      </w:r>
    </w:p>
    <w:p w14:paraId="311CB91C"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5F6245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марта 1944 вышло Распоряжение ГКО № 5298. О продлении до 1 июня 1944 г. срока работ 750 чел. из запасных войсковых частей на строительстве бронетанкового полигона ГБТУ КА. РГАНИР, Фонд ГКО, д. 215, лл. 68 (11012).</w:t>
      </w:r>
    </w:p>
    <w:p w14:paraId="3EDBF34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711631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марта 1944 вышло Распоряжение ГКО № 5299. О поставках Союзвзрывпрому НКПСМ СССР 350 т аммиачной селитры в марте 1944 г. и освобождении НКБ от поставки ему 350 т аммонитов. РГАНИР, Фонд ГКО, д. 215, лл. 69 (11012).</w:t>
      </w:r>
    </w:p>
    <w:p w14:paraId="1113DB0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1C560D2"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марта 1944 вышло Распоряжение ГКО № 5300 [О поставке НКБП в марте 1944 г. 200 т прокладочного картона для НКХП и о мобилизации в Молотовской обл. 100 возчиков с подводами для его перевозки.] (7195, 70).</w:t>
      </w:r>
    </w:p>
    <w:p w14:paraId="4C203F9D"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C355663"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марта 1944 вышло Распоряжение ГКО № 5301 [О производстве и поставке НКздраву СССР во II кв. 1944 г. 8 тыс. штук изотермических ящиков для транспортировки крови.] (7195, 71,72-73).</w:t>
      </w:r>
    </w:p>
    <w:p w14:paraId="753FBA1A"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8D362B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5 марта 1944 вышло Распоряжение ГКО № 5302. О мерах по обеспечению квалифицированной рабочей силой предприятий НКЧМ в Днепропетровской обл. РГАНИР, Фонд ГКО, д. 215, лл. 74-75 (11012).</w:t>
      </w:r>
    </w:p>
    <w:p w14:paraId="507FF10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74FA4B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марта 1944 вышло Постановление ГКО № 5303 О мероприятиях по обеспечению строительства Ульяновского автозавода им. Сталина Наркомсредмаша. РГАНИР, Фонд ГКО, д. 215, лл. 76-78,79-80 (11012).</w:t>
      </w:r>
    </w:p>
    <w:p w14:paraId="256ED94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8920F4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марта 1944 вышло Постановление ГКО № 5304 Об увеличении выпуска артиллерийских тягачей Ярославским автомобильным заводом Наркомсредмаша. РГАНИР, Фонд ГКО, д. 215, лл. 81-89,90-99 (11012).</w:t>
      </w:r>
    </w:p>
    <w:p w14:paraId="0660B6C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7512C5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марта 1944 вышло Постановление ГКО № 5305 О строительстве жилых домов в Москве в 1944 году. РГАНИР, Фонд ГКО, д. 215, лл. 100-102,103-107 (11012).</w:t>
      </w:r>
    </w:p>
    <w:p w14:paraId="101FC27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D74A23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марта 1944 вышло Постановление ГКО № 5306 Об изготовлении в 1944 году зенитных бронеплощадок ПВО-4 для бронетанковых войск Красной Армии. РГАНИР, Фонд ГКО, д. 215, лл. 108-109,110 (11012).</w:t>
      </w:r>
    </w:p>
    <w:p w14:paraId="6E80781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18BEF3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марта 1944 вышло Постановление ГКО № 5307 Об отгрузке лесоматериалов Наркомстрою в марте 1944 года для восстановления черной металлургии Юга и водоснабжения в Донбассе. РГАНИР, Фонд ГКО, д. 215, лл. 111-112,113-117 (11012).</w:t>
      </w:r>
    </w:p>
    <w:p w14:paraId="0064B0F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1E62FC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марта 1944 вышло Постановление ГКО № 5308 О выделении для парторганизаций Казахстана запасных частей к легковым автомашинам, покрышек и бензина. РГАНИР, Фонд ГКО, д. 215, лл. 118 (11012).</w:t>
      </w:r>
    </w:p>
    <w:p w14:paraId="66C4A22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08E138E"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марта 1944 вышло Постановление ГКО № 5309 [О депортации 40 тыс. чел. из Кабардино-Балкарской АССР в Казахскую и Киргизскую ССР в дополнение к постановлению ГКО № 5073 от 31 января 1944 г.] (7195, 119-121).</w:t>
      </w:r>
    </w:p>
    <w:p w14:paraId="0590F074"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46538A8"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марта 1944 вышло Постановление ГКО № 5310 О ремонте автомобилей МТС, совхозов и колхозов. (7195, 122-125).</w:t>
      </w:r>
    </w:p>
    <w:p w14:paraId="5A3B4671"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0A4CD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марта 1944 вышло Постановление ГКО № 5312 О подготовке специалистов по производству и эксплуатации турбокислородных установок системы акаРГАНИР, Фонд ГКО, д. Капицы. РГАНИР, Фонд ГКО, д. 215, лл. 132-136 (11012).</w:t>
      </w:r>
    </w:p>
    <w:p w14:paraId="3932D49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E132BD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марта 1944 г. вышло Постановление ГКО № 5313 «О мероприятиях по увеличению производства бактерийных препаратов в 1944 г.» (Д. 291. Л. 145–149).</w:t>
      </w:r>
    </w:p>
    <w:p w14:paraId="7086397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8575A0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марта 1944 вышло Постановление ГКО№ 5314 О неотложных мерах помощи по вводу в действие новых мощностей на Красногорской ТЭЦ и Средне-Уральской ГРЭС Наркомата электростанций. РГАНИР, Фонд ГКО, д. 215, лл. 145-148,149-155 (11012).</w:t>
      </w:r>
    </w:p>
    <w:p w14:paraId="7A25A99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1E8DB8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марта 1944 вышло Постановление ГКО № 5315 Об окончании строительства и вводе в действие Ташкентского инструментального завода Наркомстанкостроения. РГАНИР, Фонд ГКО, д. 215, лл. 156-158,159-164 (11012).</w:t>
      </w:r>
    </w:p>
    <w:p w14:paraId="2D3AAEA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F4BD427"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марта 1944 вышло Постановление ГКО № 5316 О мероприятиях по обеспечению перевозок грузов по Охотскому морю и реке Амур и улучшению навигационной обстановки в Татарском и Курильском проливах в навигацию 1944 г. (7195, 165-170,171-173).</w:t>
      </w:r>
    </w:p>
    <w:p w14:paraId="5B16A393"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E8E1C3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марта 1944 вышло Постановление ГКО № 5317 О мерах неотложной помощи по восстановлению завода ХЗМЗ им. Сталина НКЭП. РГАНИР, Фонд ГКО, д. 215, лл. 174-175,176-178 (11012).</w:t>
      </w:r>
    </w:p>
    <w:p w14:paraId="7CDD2D5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C2147C2"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марта 1944 вышло Постановление ГКО № 5318 Об обеспечении Наркомвоенморфлота в 1944 году аккумуляторами для подводных лодок. (7195, 179-181,182-184).</w:t>
      </w:r>
    </w:p>
    <w:p w14:paraId="33CABFB5"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429619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марта 1944 вышло Постановление ГКО № 5319 О восстановлении Гомельского станкостроительного завода им. Кирова. РГАНИР, Фонд ГКО, д. 215, лл. 185-189,190-191 (11012).</w:t>
      </w:r>
    </w:p>
    <w:p w14:paraId="42929C3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D802EE5"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0993C82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5726C85" w14:textId="77777777" w:rsidR="006E7509" w:rsidRPr="007224C3" w:rsidRDefault="006E75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5 марта</w:t>
      </w:r>
      <w:r w:rsidRPr="007224C3">
        <w:rPr>
          <w:rFonts w:ascii="Times New Roman" w:hAnsi="Times New Roman"/>
          <w:color w:val="000000" w:themeColor="text1"/>
          <w:sz w:val="16"/>
          <w:szCs w:val="16"/>
        </w:rPr>
        <w:t xml:space="preserve"> в 1944 году оперативная сводка Совинформбюро:</w:t>
      </w:r>
    </w:p>
    <w:p w14:paraId="11B9D075" w14:textId="77777777" w:rsidR="006E7509" w:rsidRPr="007224C3" w:rsidRDefault="006E75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5 марта на Нарвском направлении наши войска продолжали вести бои по расширению плацдарма юго-западнее города Нарва и улучшили свои позиции.</w:t>
      </w:r>
    </w:p>
    <w:p w14:paraId="207EDD71" w14:textId="77777777" w:rsidR="006E7509" w:rsidRPr="007224C3" w:rsidRDefault="006E75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1-го Украинского фронта 4 марта перешли в наступление и, прорвав сильную оборону немцев на фронте протяжением до 180 километров, за два дня наступательных боёв продвинулись вперёд от 25 до 50 километров. В результате произведённого прорыва войска фронта овладели городом и крупной железнодорожной станцией Изяславль, городами Шумск, Ямполь, Острополь, районными центрами Каменец-Подольской области Ляховцы, Антонины, Теофиполь, Базалия, а также сбоями заняли более 500 других населённых пунктов, в том числе крупные населённые пункты Жолобки, Катрынбург, Сураж, Юровка, Дворец, Михнов, Жилинцы, Городище, Клембовка, Шумбор, Униев, Белогородка, Чижёвка, Подгайце, Вязовец, Погорельцы, Поляхова, Тернавка, Борсуки, Нападувка, Выжгрудек, Бялозурка, Святец, Шибено, Яхновцы, Купель, Денисовка, Ново-Лабунь, Сасановка, Онацковцы, Великие Мацевичи, Мартыновка, Проваловка, железнодорожные станции Клембовка, Белогородка, Жизниковцы, Суховоля, Лепесовка, Лановцы, Бережанка, Бялка, Вышегрудек, и ведут бой на подступах к железнодорожной станции Волочиск.</w:t>
      </w:r>
    </w:p>
    <w:p w14:paraId="3E01EFB9" w14:textId="77777777" w:rsidR="006E7509" w:rsidRPr="007224C3" w:rsidRDefault="006E75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ходе наступления войска 1-го Украинского фронта разбили 4 танковых и 8 пехотных дивизий немцев.</w:t>
      </w:r>
    </w:p>
    <w:p w14:paraId="6B566478" w14:textId="77777777" w:rsidR="006E7509" w:rsidRPr="007224C3" w:rsidRDefault="006E75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6C594EBF" w14:textId="77777777" w:rsidR="006E7509" w:rsidRPr="007224C3" w:rsidRDefault="006E75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4 марта наши войска на всех фронтах подбили и уничтожили 136 немецких танков. В воздушных боях и огнём зенитной артиллерии сбито 49 самолётов противника.</w:t>
      </w:r>
    </w:p>
    <w:p w14:paraId="392ED8AB" w14:textId="77777777" w:rsidR="006E7509" w:rsidRPr="007224C3" w:rsidRDefault="006E75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Нарвском направлении наши войска вели бои за расширение плацдарма на западном берегу реки Нарва. Части Н-ского соединения, преодолевая сопротивление и отражая контратаки немцев, заняли несколько опорных пунктов противника. В этих боях наши войска уничтожили свыше батальона немецкой пехоты, 11 орудий и две батареи тяжёлых миномётов. Бойцы одной нашей части захватили 5 орудий, 30 пулемётов, более 400 автоматов и винтовок и 3 склада боеприпасов.</w:t>
      </w:r>
    </w:p>
    <w:p w14:paraId="553AE585" w14:textId="77777777" w:rsidR="006E7509" w:rsidRPr="007224C3" w:rsidRDefault="006E75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1-го Украинского фронта утром 4-го марта, после мощной артиллерийской подготовки, перешли в наступление. Массированным огнём советских артиллеристов и миномётчиков были сметены оборонительные сооружения и подавлены огневые средства противника. Наши войска прорвали сильную оборону немцев на фронте протяжением до 180 километров и за два дня боёв продвинулись вперёд от 25 до 50 километров. Развивая успешное наступление, войска 1-го Украинского фронта овладели городом и крупной железнодорожной станцией Изяславль, городами Шумск, Ямполь, Острополь, заняли районные центры Каменец-Подольской области — Ляховцы, Антонины, Теофиполь, Базалия — и более 500 других населённых пунктов.</w:t>
      </w:r>
    </w:p>
    <w:p w14:paraId="4F841182" w14:textId="77777777" w:rsidR="006E7509" w:rsidRPr="007224C3" w:rsidRDefault="006E75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Под ударами советских войск противник оставляет одну позицию за другой. Особенно ожесточённые бои произошли в районе Белогородка. Немцы любой ценой пытались удержать в своих руках этот населённый пункт и предприняли несколько ожесточённых контратак. Советские танкисты при содействии пехотинцев, бронебойщиков и артиллеристов разгромили противника и обратили его в бегство. На поле боя осталось 38 подбитых и сожжённых немецких танков и более 2.000 вражеских трупов. Захвачено 12 шестиствольных миномётов, 34 орудия и другие трофеи. В другом районе части Н-ского соединения уничтожили до 4.000 немецких солдат и офицеров, свыше 60 танков и захватили бронепоезд. Взято большое число пленных. На всех участках противник понёс огромные потери в живой силе и технике. В течение двух дней разбито 4 танковых и 8 пехотных дивизий немцев. Захвачено огромное количество трофеев. Разбитые части противника, отступая, бросили артиллерию, склады боеприпасов и другого военного имущества. Только на одной из железнодорожных станций наши бойцы захватили 40 полевых и 2 самоходных орудия, 56 миномётов и более 200 пулемётов. Сегодня наши войска ведут бой на подступах к железнодорожной станции Волочиск, расположенной на важнейшей железнодорожной магистрали.</w:t>
      </w:r>
    </w:p>
    <w:p w14:paraId="18A07B2D" w14:textId="77777777" w:rsidR="006E7509" w:rsidRPr="007224C3" w:rsidRDefault="006E75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Баренцовом море наша разведка обнаружила караван судов противника. Советские самолёты-торпедоносцы и штурмовики атаковали этот караван и потопили немецкий транспорт водоизмещением в 8.000 тонн, транспорт водоизмещением в 6.000тонн и тральщик противника водоизмещением в 700 тонн. Кроме того, подожжён транспорт противника водоизмещением в 7.000 тонн.</w:t>
      </w:r>
    </w:p>
    <w:p w14:paraId="5FA223BE" w14:textId="77777777" w:rsidR="006E7509" w:rsidRPr="007224C3" w:rsidRDefault="006E75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Партизанские отряды Брестской области за месяц пустили под откос несколько десятков немецких воинских эшелонов. В результате крушений разбито и повреждено 87 паровозов и свыше 600 вагонов с войсками и военными грузами противника. За это же время советские патриоты взорвали 15 мостов, разрушили 98 километров </w:t>
      </w:r>
      <w:r w:rsidRPr="007224C3">
        <w:rPr>
          <w:rFonts w:ascii="Times New Roman" w:hAnsi="Times New Roman"/>
          <w:color w:val="000000" w:themeColor="text1"/>
          <w:sz w:val="16"/>
          <w:szCs w:val="16"/>
        </w:rPr>
        <w:lastRenderedPageBreak/>
        <w:t>телефонно-телеграфной линии связи и ружейно-пулемётным огнём сбили 3 вражеских самолёта. В боях и из засад убито и ранено свыше тысячи немецких солдат и офицеров.</w:t>
      </w:r>
    </w:p>
    <w:p w14:paraId="6A422B47" w14:textId="77777777" w:rsidR="006E7509" w:rsidRPr="007224C3" w:rsidRDefault="006E75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Жители города Никополь Иван Нестеренко, Дарья Панасенко, Зинаида Фёдорова, Раиса Милецкая и другие рассказали о зверствах немецко-фашистских мерзавцев: «Немецкие захватчики уничтожили плоды наших трудов и растоптали всё, что дорого советским людям. С первых же дней оккупации немцы начали жестоко расправляться с рабочими, служащими и интеллигенцией города. Днём и ночью гитлеровские сатрапы арестовывали жителей и угоняли их к оврагу и к противотанковым рвам около вокзала. Здесь немцы расстреливали советских людей, в том числе женщин и детей. За время оккупации гитлеровские людоеды расстреляли много тысяч мирных жителей города Никополя. Свыше 7 тысяч жителей немцы насильно угнали на каторгу в Германию. Фашистские варвары сожгли лучшие дома в городе, превратили в руины и пепел рабочий посёлок, взорвали много предприятий. Лишь стремительное наступление Красной Армии спасло город от полного разрушения» (15059).</w:t>
      </w:r>
    </w:p>
    <w:p w14:paraId="07833B48" w14:textId="77777777" w:rsidR="006E7509" w:rsidRPr="007224C3" w:rsidRDefault="006E7509" w:rsidP="007224C3">
      <w:pPr>
        <w:spacing w:after="0" w:line="240" w:lineRule="auto"/>
        <w:jc w:val="both"/>
        <w:rPr>
          <w:rFonts w:ascii="Times New Roman" w:hAnsi="Times New Roman"/>
          <w:color w:val="000000" w:themeColor="text1"/>
          <w:sz w:val="16"/>
          <w:szCs w:val="16"/>
        </w:rPr>
      </w:pPr>
    </w:p>
    <w:p w14:paraId="5085EFA1" w14:textId="77777777" w:rsidR="006E7509" w:rsidRPr="007224C3" w:rsidRDefault="006E75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5 марта</w:t>
      </w:r>
      <w:r w:rsidRPr="007224C3">
        <w:rPr>
          <w:rFonts w:ascii="Times New Roman" w:hAnsi="Times New Roman"/>
          <w:color w:val="000000" w:themeColor="text1"/>
          <w:sz w:val="16"/>
          <w:szCs w:val="16"/>
        </w:rPr>
        <w:t xml:space="preserve"> в 1944 году началась Уманско-Ботошанская наступательная операция войск 2-го Украинского фронта (И.С.Конев). Войска 1-го Украинского фронта 4 марта перешли в наступление и, прорвав сильную оборону немцев на фронте протяжением до 180 километров, за два дня наступательных боев продвинулись вперед от 25 до 50 километров. В результате произведенного прорыва войска фронта овладели городом и крупной железнодорожной станцией Изяславль, городами Шумск, Ямполь, Острополь, районными центрами Каменец-Подольской области Ляховцы, Антонины, Теофиполь, Базалия, а также с боями заняли более 500 других населенных пунктов, в том числе крупные населенные пункты Жолобки, Катрынбург, Сураж, Юровка, Дворец, Михнов, Жилинцы, Городище, Клембовка, Шумбор, Униев, Белогородка, Чижёвка, Подгайце, Вязовец, Погорельцы, Поляхова, Тернавка, Борсуки, Нападувка, Выжгрудек, Бялозурка, Святец, Шибено, Яхновцы, Купель, Денисовка, Ново-Лабунь, Сасановка, Онацковцы, Великие Мацевичи, Мартыновка, Проваловка и железнодорожные станции Клембовка, Белогородка, Жизниковцы, Суховоля, Лепесовка, Лановцы, Бережанка, Бялка, Вышегрудек, и ведут бой на подступах к железнодорожной станции Волочиск. В ходе наступления войска 1-го Украинского фронта разбили 4 танковых и 8 пехотных дивизий немцев (15059).</w:t>
      </w:r>
    </w:p>
    <w:p w14:paraId="3D46CF5A" w14:textId="77777777" w:rsidR="006E7509" w:rsidRPr="007224C3" w:rsidRDefault="006E7509" w:rsidP="007224C3">
      <w:pPr>
        <w:spacing w:after="0" w:line="240" w:lineRule="auto"/>
        <w:jc w:val="both"/>
        <w:rPr>
          <w:rFonts w:ascii="Times New Roman" w:hAnsi="Times New Roman"/>
          <w:color w:val="000000" w:themeColor="text1"/>
          <w:sz w:val="16"/>
          <w:szCs w:val="16"/>
        </w:rPr>
      </w:pPr>
    </w:p>
    <w:p w14:paraId="608D7DB2" w14:textId="77777777" w:rsidR="006E7509" w:rsidRPr="007224C3" w:rsidRDefault="006E75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5 марта</w:t>
      </w:r>
      <w:r w:rsidRPr="007224C3">
        <w:rPr>
          <w:rFonts w:ascii="Times New Roman" w:hAnsi="Times New Roman"/>
          <w:color w:val="000000" w:themeColor="text1"/>
          <w:sz w:val="16"/>
          <w:szCs w:val="16"/>
        </w:rPr>
        <w:t xml:space="preserve"> в 1944 году (по 9 марта) безуспешное наступление войск Западного фронта на оршанском направлении (15059).</w:t>
      </w:r>
    </w:p>
    <w:p w14:paraId="2F1BF2E0" w14:textId="77777777" w:rsidR="006E7509" w:rsidRPr="007224C3" w:rsidRDefault="006E7509" w:rsidP="007224C3">
      <w:pPr>
        <w:spacing w:after="0" w:line="240" w:lineRule="auto"/>
        <w:jc w:val="both"/>
        <w:rPr>
          <w:rFonts w:ascii="Times New Roman" w:hAnsi="Times New Roman"/>
          <w:color w:val="000000" w:themeColor="text1"/>
          <w:sz w:val="16"/>
          <w:szCs w:val="16"/>
        </w:rPr>
      </w:pPr>
    </w:p>
    <w:p w14:paraId="5E4153B7"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марта 1944 началась Уманско-Ботошанская наступательная операция советских войск (4962).</w:t>
      </w:r>
    </w:p>
    <w:p w14:paraId="0B35733E"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C92CA3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C 5 марта по 17 апреля 1944 состоялась Уманско-Ботошанская операция по освобождению юго-западных областей Украины. Подвинулись на 200-250 км (2443,227).</w:t>
      </w:r>
    </w:p>
    <w:p w14:paraId="4665999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C32E38"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марта 1944 советские войска освободили Изяслав и Ямполь (4962).</w:t>
      </w:r>
    </w:p>
    <w:p w14:paraId="54D102CB"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165078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марта 1944 года 15 ИС-85 13-го ГвТТПП поддерживали атаку 50-й танковой бригады на Умань. Во время боя пять танков было подбито огнем немецких 88-мм зенитных орудий, три машины вышли из строя по техническим причинам, а одна упала с моста у деревни Полковничье и перевернулась..</w:t>
      </w:r>
    </w:p>
    <w:p w14:paraId="4BDEA17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Здесь же произошел и довольно редкий случай, когда нижний лобовой лист одного ИСа пробило снарядом тяжелого немецкого противотанкового ружья Pz.В-41, имевшего конический ствол калибра 28/20 мм. (3862).</w:t>
      </w:r>
    </w:p>
    <w:p w14:paraId="36E4D00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0E9F0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марта 1944 в 14:09 10 катеров, предназначенных для перебазирования, и группа обеспечения (11 единиц) вышли из Фальшивого Геленджика. На головном “дозаправщике” находились комфло-том вице-адмирал Владимирский и член Военного совета контр-адмирал Азаров. Море было спокойным, но природа все же нарушила планы людей. В 15:15 катера вошли в туман. Присутствие начальства не помогло и в 16:00 группы потеряли друг друга. Спустя 44 минуты Проценко принял решение возвращаться, поскольку для выполнения задачи топлива не хватило бы (6002).</w:t>
      </w:r>
    </w:p>
    <w:p w14:paraId="62F77F4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DA6EF5" w14:textId="77777777" w:rsidR="00595BFB" w:rsidRPr="007224C3" w:rsidRDefault="00694509" w:rsidP="007224C3">
      <w:pPr>
        <w:widowControl w:val="0"/>
        <w:tabs>
          <w:tab w:val="left" w:pos="2835"/>
        </w:tabs>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Жизнь и внутренняя политика:</w:t>
      </w:r>
    </w:p>
    <w:p w14:paraId="15DF8546" w14:textId="77777777" w:rsidR="00595BFB" w:rsidRPr="007224C3" w:rsidRDefault="00595BFB" w:rsidP="007224C3">
      <w:pPr>
        <w:widowControl w:val="0"/>
        <w:tabs>
          <w:tab w:val="left" w:pos="2835"/>
        </w:tabs>
        <w:autoSpaceDE w:val="0"/>
        <w:autoSpaceDN w:val="0"/>
        <w:adjustRightInd w:val="0"/>
        <w:spacing w:after="0" w:line="240" w:lineRule="auto"/>
        <w:jc w:val="both"/>
        <w:rPr>
          <w:rFonts w:ascii="Times New Roman" w:hAnsi="Times New Roman"/>
          <w:iCs/>
          <w:color w:val="000000" w:themeColor="text1"/>
          <w:sz w:val="16"/>
          <w:szCs w:val="16"/>
        </w:rPr>
      </w:pPr>
    </w:p>
    <w:p w14:paraId="3B0880DB"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марта 1944 вышло Распоряжение ГКО № 5287 [О мерах по обеспечению товарами и обувью РУ, школ ФЗО, училищ механизации с.х. в районах, освобожденных от немецкой оккупации.] (7195, 39-40).</w:t>
      </w:r>
    </w:p>
    <w:p w14:paraId="504434C3"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3A9098F" w14:textId="77777777" w:rsidR="006E7509" w:rsidRPr="007224C3" w:rsidRDefault="006E75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5 марта</w:t>
      </w:r>
      <w:r w:rsidRPr="007224C3">
        <w:rPr>
          <w:rFonts w:ascii="Times New Roman" w:hAnsi="Times New Roman"/>
          <w:color w:val="000000" w:themeColor="text1"/>
          <w:sz w:val="16"/>
          <w:szCs w:val="16"/>
        </w:rPr>
        <w:t xml:space="preserve"> в 1944 году вышло постановление СНК СССР "О подготовке квалифицированных рабочих для предприятий и строек промышленности" (15059).</w:t>
      </w:r>
    </w:p>
    <w:p w14:paraId="66E0A24A" w14:textId="77777777" w:rsidR="006E7509" w:rsidRPr="007224C3" w:rsidRDefault="006E7509" w:rsidP="007224C3">
      <w:pPr>
        <w:spacing w:after="0" w:line="240" w:lineRule="auto"/>
        <w:jc w:val="both"/>
        <w:rPr>
          <w:rFonts w:ascii="Times New Roman" w:hAnsi="Times New Roman"/>
          <w:color w:val="000000" w:themeColor="text1"/>
          <w:sz w:val="16"/>
          <w:szCs w:val="16"/>
        </w:rPr>
      </w:pPr>
    </w:p>
    <w:p w14:paraId="52BEEDF0"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марта 1944 вышло Постановление ГКО № 5311 О мероприятиях по подготовке командных кадров морского флота. (7195, 126-131).</w:t>
      </w:r>
    </w:p>
    <w:p w14:paraId="01BAF01A"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B99B5BC"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марта 1944 вышло Постановление ГКО № 5313 О мероприятиях по увеличению производства бактерийных препаратов в 1944 г. [для обеспечения КА и населения лечебными и предохранительными вакцинами и сыворотками.] (7195, 137-140,141-144).</w:t>
      </w:r>
    </w:p>
    <w:p w14:paraId="52DDF884"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893BD3E"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марта 1944 Совнарком СССР разрешил предоставление отпусков в военное время молодежи до 16 лет (4962).</w:t>
      </w:r>
    </w:p>
    <w:p w14:paraId="46CFAC78"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818533C" w14:textId="77777777" w:rsidR="006E750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Внешняя политика:</w:t>
      </w:r>
    </w:p>
    <w:p w14:paraId="483DDDE4" w14:textId="77777777" w:rsidR="006E7509" w:rsidRPr="007224C3" w:rsidRDefault="006E7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8765D68" w14:textId="77777777" w:rsidR="006E7509" w:rsidRPr="007224C3" w:rsidRDefault="006E75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5 марта</w:t>
      </w:r>
      <w:r w:rsidRPr="007224C3">
        <w:rPr>
          <w:rFonts w:ascii="Times New Roman" w:hAnsi="Times New Roman"/>
          <w:color w:val="000000" w:themeColor="text1"/>
          <w:sz w:val="16"/>
          <w:szCs w:val="16"/>
        </w:rPr>
        <w:t xml:space="preserve"> в 1944 году опубликование Национальным комитетом «Свободная Германия» воззвания к народу и вермахту «25 пунктов к вопросу о прекращении войны» (15059).</w:t>
      </w:r>
    </w:p>
    <w:p w14:paraId="3FEA0FA3" w14:textId="77777777" w:rsidR="006E7509" w:rsidRPr="007224C3" w:rsidRDefault="006E7509" w:rsidP="007224C3">
      <w:pPr>
        <w:spacing w:after="0" w:line="240" w:lineRule="auto"/>
        <w:jc w:val="both"/>
        <w:rPr>
          <w:rFonts w:ascii="Times New Roman" w:hAnsi="Times New Roman"/>
          <w:color w:val="000000" w:themeColor="text1"/>
          <w:sz w:val="16"/>
          <w:szCs w:val="16"/>
        </w:rPr>
      </w:pPr>
    </w:p>
    <w:p w14:paraId="1166A42E" w14:textId="77777777" w:rsidR="006E750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29B52286" w14:textId="77777777" w:rsidR="006E7509" w:rsidRPr="007224C3" w:rsidRDefault="006E7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C220FE4" w14:textId="77777777" w:rsidR="00464D2B" w:rsidRPr="007224C3" w:rsidRDefault="00464D2B"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5 марта 1944, управляя своим P-47 Thunderbolts в атаке против четырех бомбардировщиков ВВС Императорской армии Японии (IJAAF) Kawasaki Ki-48 (союзное название "Лили") над Новой Гвинеей, подполковник ВВС США Нил. E. Kearby, кавалер Почетной медали за сбитие шести японских самолетов во время ранней миссии, подвергается нападению IJAAF Nakajima Ki-43 Hayabusa (Сапсан "Сокол") (союзники называли его "Оскар"). После того, как другие летчики сбили два Ki-48, Ki-43 попадает в кабину Кирби. Он пролетает 140 миль (225 км), прежде чем его P-47, Fiery Ginger IV, разбивается. Он спасается, но умирает от ран. Ему приписывают 21 победу. Его останки будут найдены недалеко от Пибу, Новая Гвинея, в 1946 году, но останутся неопознанными в течение двух лет (29373).</w:t>
      </w:r>
    </w:p>
    <w:p w14:paraId="51C87365" w14:textId="77777777" w:rsidR="00464D2B" w:rsidRPr="007224C3" w:rsidRDefault="00464D2B" w:rsidP="007224C3">
      <w:pPr>
        <w:spacing w:after="0" w:line="240" w:lineRule="auto"/>
        <w:jc w:val="both"/>
        <w:rPr>
          <w:rFonts w:ascii="Times New Roman" w:hAnsi="Times New Roman"/>
          <w:color w:val="0070C0"/>
          <w:sz w:val="16"/>
          <w:szCs w:val="16"/>
        </w:rPr>
      </w:pPr>
    </w:p>
    <w:p w14:paraId="24FA2FCB" w14:textId="77777777" w:rsidR="000511D8" w:rsidRPr="007224C3" w:rsidRDefault="000511D8"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5 марта</w:t>
      </w:r>
      <w:r w:rsidRPr="007224C3">
        <w:rPr>
          <w:rFonts w:ascii="Times New Roman" w:hAnsi="Times New Roman"/>
          <w:color w:val="000000" w:themeColor="text1"/>
          <w:sz w:val="16"/>
          <w:szCs w:val="16"/>
        </w:rPr>
        <w:t xml:space="preserve"> в 1944 году (по11 марта) воздушный десант британских войск в тылу японских на Бирманском фронте (15059).</w:t>
      </w:r>
    </w:p>
    <w:p w14:paraId="2D0852AB" w14:textId="77777777" w:rsidR="000511D8" w:rsidRPr="007224C3" w:rsidRDefault="000511D8" w:rsidP="007224C3">
      <w:pPr>
        <w:spacing w:after="0" w:line="240" w:lineRule="auto"/>
        <w:jc w:val="both"/>
        <w:rPr>
          <w:rFonts w:ascii="Times New Roman" w:hAnsi="Times New Roman"/>
          <w:color w:val="000000" w:themeColor="text1"/>
          <w:sz w:val="16"/>
          <w:szCs w:val="16"/>
        </w:rPr>
      </w:pPr>
    </w:p>
    <w:p w14:paraId="33582E62"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58F82B4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3A1668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марта 1944 и 17 марта 1944 вышли приказы НКАП N 168 и 196 о проектировании и переоборудовании 4-х Пе-8 с АЧ-30Б в пассажирскую версию для спецперевозок на 14 чел., в т.ч. 2-3 спальных места. Переоборудовали машины последней 12 серии и потом стали называть Пе-8ОН (3832,8).</w:t>
      </w:r>
    </w:p>
    <w:p w14:paraId="21E6850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897A4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марта 1944 года вышел первый приказ НКАП №168 по Пе-8ОН, а 15 марта 1944 года вышло Постановление ГОКО №5402, а через два дня второй Приказ НКАП №196 по проектированию и постройке пассажирского варианта самолета Пе-8 с двигателями АЧ-ЗОБ. Согласно приказу самолет должен был удовлетворять следующим требованиям:</w:t>
      </w:r>
    </w:p>
    <w:p w14:paraId="6C2442B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Размещать 14 пассажирских мест.</w:t>
      </w:r>
    </w:p>
    <w:p w14:paraId="461F5EC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Иметь отапливаемую кабину и антиобледенительные устройства.</w:t>
      </w:r>
    </w:p>
    <w:p w14:paraId="3C8420C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Иметь максимальную дальность полета 6000 км при скорости 0,7 от максимальной, при полетной массе 35000 кг.</w:t>
      </w:r>
    </w:p>
    <w:p w14:paraId="33EB6C3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Иметь вооружение - один пулемет УБТ в носовой башне, одну пушку ШВАК в кормовой башне, два пулемета УБТ в шассийных установках, с боезапасом 250 снарядов к пушке и по 250 патронов на каждый пулемет (7685).</w:t>
      </w:r>
    </w:p>
    <w:p w14:paraId="69A3F4C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F1DB2B" w14:textId="77777777" w:rsidR="00903E13" w:rsidRPr="007224C3" w:rsidRDefault="00903E1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марта 1944 года вышел первый приказ НКАП по Пе-80Н №168, 15 марта 1944 года вышло Постановление ГОКО №5402, а через два дня второй Приказ НКАП №196 по проектированию и постройке пассажирского варианта самолета Пе-8 с двигателями АЧ-ЗОБ. Согласно приказу самолет должен был удовлетворять следующим требованиям:</w:t>
      </w:r>
    </w:p>
    <w:p w14:paraId="4671E3E7" w14:textId="77777777" w:rsidR="00903E13" w:rsidRPr="007224C3" w:rsidRDefault="00903E13" w:rsidP="007224C3">
      <w:pPr>
        <w:pStyle w:val="afff6"/>
        <w:tabs>
          <w:tab w:val="left" w:pos="467"/>
        </w:tabs>
        <w:autoSpaceDE/>
        <w:autoSpaceDN/>
        <w:adjustRightInd/>
        <w:ind w:left="0"/>
        <w:contextualSpacing w:val="0"/>
        <w:jc w:val="both"/>
        <w:rPr>
          <w:color w:val="000000" w:themeColor="text1"/>
          <w:sz w:val="16"/>
          <w:szCs w:val="16"/>
        </w:rPr>
      </w:pPr>
      <w:r w:rsidRPr="007224C3">
        <w:rPr>
          <w:color w:val="000000" w:themeColor="text1"/>
          <w:sz w:val="16"/>
          <w:szCs w:val="16"/>
        </w:rPr>
        <w:t>1. Размещать 14 пассажирских мест.</w:t>
      </w:r>
    </w:p>
    <w:p w14:paraId="1A40E23F" w14:textId="77777777" w:rsidR="00903E13" w:rsidRPr="007224C3" w:rsidRDefault="00903E13" w:rsidP="007224C3">
      <w:pPr>
        <w:pStyle w:val="afff6"/>
        <w:tabs>
          <w:tab w:val="left" w:pos="485"/>
        </w:tabs>
        <w:autoSpaceDE/>
        <w:autoSpaceDN/>
        <w:adjustRightInd/>
        <w:ind w:left="0"/>
        <w:contextualSpacing w:val="0"/>
        <w:jc w:val="both"/>
        <w:rPr>
          <w:color w:val="000000" w:themeColor="text1"/>
          <w:sz w:val="16"/>
          <w:szCs w:val="16"/>
        </w:rPr>
      </w:pPr>
      <w:r w:rsidRPr="007224C3">
        <w:rPr>
          <w:color w:val="000000" w:themeColor="text1"/>
          <w:sz w:val="16"/>
          <w:szCs w:val="16"/>
        </w:rPr>
        <w:lastRenderedPageBreak/>
        <w:t>2. Иметь отапливаемую кабину и антиобледенительные устройства.</w:t>
      </w:r>
    </w:p>
    <w:p w14:paraId="46344FBF" w14:textId="77777777" w:rsidR="00903E13" w:rsidRPr="007224C3" w:rsidRDefault="00903E13" w:rsidP="007224C3">
      <w:pPr>
        <w:pStyle w:val="afff6"/>
        <w:tabs>
          <w:tab w:val="left" w:pos="482"/>
        </w:tabs>
        <w:autoSpaceDE/>
        <w:autoSpaceDN/>
        <w:adjustRightInd/>
        <w:ind w:left="0"/>
        <w:contextualSpacing w:val="0"/>
        <w:jc w:val="both"/>
        <w:rPr>
          <w:color w:val="000000" w:themeColor="text1"/>
          <w:sz w:val="16"/>
          <w:szCs w:val="16"/>
        </w:rPr>
      </w:pPr>
      <w:r w:rsidRPr="007224C3">
        <w:rPr>
          <w:color w:val="000000" w:themeColor="text1"/>
          <w:sz w:val="16"/>
          <w:szCs w:val="16"/>
        </w:rPr>
        <w:t>3. Иметь максимальную дальность полета 6000 км при скорости 0,7 от максимальной, при полетной массе 35000 кг.</w:t>
      </w:r>
    </w:p>
    <w:p w14:paraId="5FE42974" w14:textId="77777777" w:rsidR="00903E13" w:rsidRPr="007224C3" w:rsidRDefault="00903E13" w:rsidP="007224C3">
      <w:pPr>
        <w:pStyle w:val="afff6"/>
        <w:tabs>
          <w:tab w:val="left" w:pos="518"/>
        </w:tabs>
        <w:autoSpaceDE/>
        <w:autoSpaceDN/>
        <w:adjustRightInd/>
        <w:ind w:left="0"/>
        <w:contextualSpacing w:val="0"/>
        <w:jc w:val="both"/>
        <w:rPr>
          <w:color w:val="000000" w:themeColor="text1"/>
          <w:sz w:val="16"/>
          <w:szCs w:val="16"/>
        </w:rPr>
      </w:pPr>
      <w:r w:rsidRPr="007224C3">
        <w:rPr>
          <w:color w:val="000000" w:themeColor="text1"/>
          <w:sz w:val="16"/>
          <w:szCs w:val="16"/>
        </w:rPr>
        <w:t>4. Иметь вооружение — один пулемет УБТ в носовой башне, одну пушку ШВАК в кормовой башне, два пулемета УБТ в шассийных установках, с боезапасом 250 снарядов к пушке и по 250 патронов на каждый пулемет.</w:t>
      </w:r>
    </w:p>
    <w:p w14:paraId="4F172387" w14:textId="77777777" w:rsidR="00903E13" w:rsidRPr="007224C3" w:rsidRDefault="00903E1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соответствии с этими требовани</w:t>
      </w:r>
      <w:r w:rsidRPr="007224C3">
        <w:rPr>
          <w:rFonts w:ascii="Times New Roman" w:hAnsi="Times New Roman"/>
          <w:color w:val="000000" w:themeColor="text1"/>
          <w:sz w:val="16"/>
          <w:szCs w:val="16"/>
        </w:rPr>
        <w:softHyphen/>
        <w:t>ями проходило проектирование само</w:t>
      </w:r>
      <w:r w:rsidRPr="007224C3">
        <w:rPr>
          <w:rFonts w:ascii="Times New Roman" w:hAnsi="Times New Roman"/>
          <w:color w:val="000000" w:themeColor="text1"/>
          <w:sz w:val="16"/>
          <w:szCs w:val="16"/>
        </w:rPr>
        <w:softHyphen/>
        <w:t>лета. Полный комплект рабочих чертежей по машине был выдан производству к 10 апреля 1944 года. Сборка первого самолета была закон</w:t>
      </w:r>
      <w:r w:rsidRPr="007224C3">
        <w:rPr>
          <w:rFonts w:ascii="Times New Roman" w:hAnsi="Times New Roman"/>
          <w:color w:val="000000" w:themeColor="text1"/>
          <w:sz w:val="16"/>
          <w:szCs w:val="16"/>
        </w:rPr>
        <w:softHyphen/>
        <w:t>чена 31 октября, второго самолета — 31 декабря 1944 года. Основные за</w:t>
      </w:r>
      <w:r w:rsidRPr="007224C3">
        <w:rPr>
          <w:rFonts w:ascii="Times New Roman" w:hAnsi="Times New Roman"/>
          <w:color w:val="000000" w:themeColor="text1"/>
          <w:sz w:val="16"/>
          <w:szCs w:val="16"/>
        </w:rPr>
        <w:softHyphen/>
        <w:t>держки сборочных работ произошли из-за долгого отсутствия дизельных двигателей и винтов. В сборочный цех дизеля поступили к 14 октября 1944 года, винты — 30 октября, а для второй машины двигатели поступили только 20 декабря 1944 года.</w:t>
      </w:r>
    </w:p>
    <w:p w14:paraId="45BACA75" w14:textId="77777777" w:rsidR="00903E13" w:rsidRPr="007224C3" w:rsidRDefault="00903E1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проектировании и постройке пассажирского варианта Пе-8 (по ОКБ и заводу шифр самолет "Е") большие проблемы возникли с добыванием необходимых отделочных материалов для салонов самолета. Казанский завод выпускал только боевые машины, естественно, необходимых материалов на его складах не было. На дворе 1944 год, война, всем не до веселеньких обивок. Незвалю пришлось ехать в Москву и вместе с представителем НКАП направиться в Ассортиментный отдел Наркомата легкой промышленности и там подбирать нужные текстильные материалы. В годы войны этот ассортимент был небогатый. С большим трудом удалось получить материал с красивой выработкой для обеих машин: для одной машины выбрали светло-серый материал, для второй темно-бежевый. Этот материал пошел на отделку диванов и стен салонов. Кроме того, ни в ОКБ, ни на заводе никто толком не знал, с какого бока подойти к отделочным работам. Пришлось поездить и посмотреть, как это все выполняется на специализированных заводах.</w:t>
      </w:r>
    </w:p>
    <w:p w14:paraId="29F5D13B" w14:textId="77777777" w:rsidR="00903E13" w:rsidRPr="007224C3" w:rsidRDefault="00903E1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Основная пассажирская кабина располагалась в задней части фюзеляжа. В ней размещалось 12 сидячих кресел. Кресла типа "Дуглас", с откидывающимися спинками, позволявшими пассажирам занимать полулежачее положение. В центроплане оборудовалась спальная кабина, с тремя диванами. Позади основной пассажирской кабины находилась изолированная туалетная комната с унитазом, умывальником и небольшим зеркалом. Имелась вешалка для верхней одежды и багажник, размещенный под полом спальной кабины. В пассажирской кабине имелось следующее специальное оборудование:</w:t>
      </w:r>
    </w:p>
    <w:p w14:paraId="56689F65" w14:textId="77777777" w:rsidR="00903E13" w:rsidRPr="007224C3" w:rsidRDefault="00903E13" w:rsidP="007224C3">
      <w:pPr>
        <w:tabs>
          <w:tab w:val="left" w:pos="503"/>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Тепловая и звуковая изоляция стенок и пола.</w:t>
      </w:r>
    </w:p>
    <w:p w14:paraId="06B7D32A" w14:textId="77777777" w:rsidR="00903E13" w:rsidRPr="007224C3" w:rsidRDefault="00903E13" w:rsidP="007224C3">
      <w:pPr>
        <w:tabs>
          <w:tab w:val="left" w:pos="525"/>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Отопление воздухом, нагретым горячей водой от системы охлаждения двигателей.</w:t>
      </w:r>
    </w:p>
    <w:p w14:paraId="552CB432" w14:textId="77777777" w:rsidR="00903E13" w:rsidRPr="007224C3" w:rsidRDefault="00903E13" w:rsidP="007224C3">
      <w:pPr>
        <w:tabs>
          <w:tab w:val="left" w:pos="525"/>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Индивидуальная вентиляция.</w:t>
      </w:r>
    </w:p>
    <w:p w14:paraId="2F09B603" w14:textId="77777777" w:rsidR="00903E13" w:rsidRPr="007224C3" w:rsidRDefault="00903E13" w:rsidP="007224C3">
      <w:pPr>
        <w:tabs>
          <w:tab w:val="left" w:pos="630"/>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Кислородное оборудование, обеспечивавшее кислородом каждое пассажирское место.</w:t>
      </w:r>
    </w:p>
    <w:p w14:paraId="22984E62" w14:textId="77777777" w:rsidR="00903E13" w:rsidRPr="007224C3" w:rsidRDefault="00903E13" w:rsidP="007224C3">
      <w:pPr>
        <w:tabs>
          <w:tab w:val="left" w:pos="630"/>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Кабинное и индивидуальное освещение</w:t>
      </w:r>
    </w:p>
    <w:p w14:paraId="4803CF68" w14:textId="77777777" w:rsidR="00903E13" w:rsidRPr="007224C3" w:rsidRDefault="00903E1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размещения пассажиров потребовалось снять заднюю верхнюю пушечную установку ТАТ, а также грузовой пол над бомбоотсеком в Ф-3, в связи с чем были доработаны ряд шпангоутов и спроектирован новый пол, обеспечивший проход пассажиров в полный рост. Грузовой пол в районе центроплана, являвшийся силовым элементом, сохранили без изменений.</w:t>
      </w:r>
    </w:p>
    <w:p w14:paraId="55389F66" w14:textId="77777777" w:rsidR="00903E13" w:rsidRPr="007224C3" w:rsidRDefault="00903E1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системе отопления и вентиляции отопительные каналы, со свободным выходом теплого воздуха, размещались по полу по обеим сторонам прохода. Забор воздуха производился через патрубки в носке крыла. Воздух проходил через специальные водяные радиаторы, где он подогревался горячей водой от системы охлаждения двигателей и по трубопроводу подавался в кабину. Воздух для приточной вентиляции поступал через заборники на фюзеляже и подавался по вентиляционным коробам, идущим вдоль бортов фюзеляжа. У каждого пассажирского места имелся специальный вывод воздуха.</w:t>
      </w:r>
    </w:p>
    <w:p w14:paraId="7847E4FE" w14:textId="77777777" w:rsidR="00903E13" w:rsidRPr="007224C3" w:rsidRDefault="00903E1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Из-за установки двигателей АЧ-ЗОБ с ТК использование тепла выхлопных газов не представлялось возможным. Из-за этого в качестве противообледенительного устройства на передних кромках крыла и оперения устанавливались резиновые пневматические антиобледенители типа "Гудрич". Антиобледенители на винтах и стеклах козырька пилота были жидкостные, как и на серийных машинах.</w:t>
      </w:r>
    </w:p>
    <w:p w14:paraId="7928D569" w14:textId="77777777" w:rsidR="00903E13" w:rsidRPr="007224C3" w:rsidRDefault="00903E1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выполнении высотного полета все пассажиры обеспечивались питанием кислородом из расчета 16 литров на человека. Этого запаса хватало для полетов на высотах 6000-8000 м в течение 8 часов.</w:t>
      </w:r>
    </w:p>
    <w:p w14:paraId="2E902823" w14:textId="77777777" w:rsidR="00903E13" w:rsidRPr="007224C3" w:rsidRDefault="00903E1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самолете сохранили все аэронавигационное и радиооборудование серийного бомбардировочного варианта.</w:t>
      </w:r>
    </w:p>
    <w:p w14:paraId="6B609E74" w14:textId="77777777" w:rsidR="00903E13" w:rsidRPr="007224C3" w:rsidRDefault="00903E1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Были сохранены следующие огневые оборонительные точки:</w:t>
      </w:r>
    </w:p>
    <w:p w14:paraId="74ABBCE0" w14:textId="77777777" w:rsidR="00903E13" w:rsidRPr="007224C3" w:rsidRDefault="00903E13" w:rsidP="007224C3">
      <w:pPr>
        <w:tabs>
          <w:tab w:val="left" w:pos="493"/>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Носовая стрелковая с пулеметом УБТ-12,7 мм на шаровой опоре с запасом патронов 200 штук.</w:t>
      </w:r>
    </w:p>
    <w:p w14:paraId="7B79DD93" w14:textId="77777777" w:rsidR="00903E13" w:rsidRPr="007224C3" w:rsidRDefault="00903E13" w:rsidP="007224C3">
      <w:pPr>
        <w:tabs>
          <w:tab w:val="left" w:pos="485"/>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Кормовая стрелковая башня КЭБ с пушкой ШВАК-20, с запасом снарядов 230 штук.</w:t>
      </w:r>
    </w:p>
    <w:p w14:paraId="0D364884" w14:textId="77777777" w:rsidR="00903E13" w:rsidRPr="007224C3" w:rsidRDefault="00903E13" w:rsidP="007224C3">
      <w:pPr>
        <w:tabs>
          <w:tab w:val="left" w:pos="511"/>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Две стрелковые установки ШУ в обтекателях шасси, с пулеметами УБТ-12,7 мм с запасом патронов по 230 штук на каждую.</w:t>
      </w:r>
    </w:p>
    <w:p w14:paraId="7688AA05" w14:textId="77777777" w:rsidR="00903E13" w:rsidRPr="007224C3" w:rsidRDefault="00903E1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установке двигателей АЧ-ЗОБ, по сравнению с серийным самолетом, имевшим те же двигатели, в винтомоторной группе были выполнены следующие изменения: улучшена продувка водорадиаторов путем установки туннеля с открытым входом и регулировкой на входе; установлены маслобаки увеличенной емкости с расчетом на 20 часов полета; установлены воздушно-масляные радиаторы вместо водо-масляных; введена топливная система с кольцеванием по всем четырем двигателям; введены винты типа УФ-61В с системой флюгирования.</w:t>
      </w:r>
    </w:p>
    <w:p w14:paraId="73EF7940" w14:textId="77777777" w:rsidR="00903E13" w:rsidRPr="007224C3" w:rsidRDefault="00903E1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отличие от серийных самолетов, на Пе-80Н было внедрено новое вертикальное оперение увеличенной площади с форкилем. Введены дополнительные окна в фюзеляже в районе пассажирской кабины.</w:t>
      </w:r>
    </w:p>
    <w:p w14:paraId="450B7AC5" w14:textId="77777777" w:rsidR="00903E13" w:rsidRPr="007224C3" w:rsidRDefault="00903E1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Согласно проектных данных самолет должен был иметь следующие характеристики. Нормальная полетная масса самолета определялась в 30000 кг, масса пустого — в 21520 кг, полезная нагрузка — в 8480 кг, из них экипаж 10 человек — 860 кг, пассажиры 12 человек — 1056 кг, багаж — 200 кг, съемное вооружение и боезапас — 274 кг; масло — 920 кг, топливо — 5150 кг. В перегрузочном варианте полетная масса определялась в 35500 кг, при этом запас масла доводился до 1120 кг, топлива — до 10450 кг.</w:t>
      </w:r>
    </w:p>
    <w:p w14:paraId="6471AE68" w14:textId="77777777" w:rsidR="00903E13" w:rsidRPr="007224C3" w:rsidRDefault="00903E1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нормальной полетной массе максимальная скорость у земли должна была равняться 360 км/ч, на 6000 м — 425 км/ч, посадочная скорость 125 км/ч, время подъема на высоту 5000 м 16,5 мин, практический потолок 9000 м, длина разбега — 485 м, пробега — 620 м. В перегрузочном варианте на 6000 м максимальная скорость падала до 407 км/ч, потолок до 7700 м, разбег увеличивался до 750 м, а время подъема на высоту 5000 м увеличивалось до 24,5 мин. Дальность полета на скорости 0,7 от максимальной на высоте 4000 м (полет без использования кислородного оборудования) в нормальном варианте составляла 3080 км, в перегрузочном — 6050 км. Перегоночная дальность без пассажиров с полными топливными баками составляла 6800 км (12626).</w:t>
      </w:r>
    </w:p>
    <w:p w14:paraId="783CB99F" w14:textId="77777777" w:rsidR="00903E13" w:rsidRPr="007224C3" w:rsidRDefault="00903E13" w:rsidP="007224C3">
      <w:pPr>
        <w:spacing w:after="0" w:line="240" w:lineRule="auto"/>
        <w:jc w:val="both"/>
        <w:rPr>
          <w:rFonts w:ascii="Times New Roman" w:hAnsi="Times New Roman"/>
          <w:color w:val="000000" w:themeColor="text1"/>
          <w:sz w:val="16"/>
          <w:szCs w:val="16"/>
        </w:rPr>
      </w:pPr>
    </w:p>
    <w:p w14:paraId="4CAA13E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марта 1944 состоялся первый полет Ер-2 с Х-образными моторами МБ-100 из двух М-103 А.М.Добротворского и 29 июня 1944 программу испытаний завершили (1643,39).</w:t>
      </w:r>
    </w:p>
    <w:p w14:paraId="33CA6A9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6835B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марта 1944 г. состоялся первый полет Ер-2 с МБ-100, а 29 июня программа была завершена. В середине 1942 г. конструкторский коллектив под руководством А.М.Добротворского завершил разработку самого мощного на то время советского мотора жидкостного охлаждения МБ-100, развивавшего на взлетном режиме мощность 2200 л.с. МБ-100 имел Х-образную схему и представлял собой объединение в единый агрегат двух серийных 12-цилиндровых V-образных моторов М-103. каждый из М-103 работал на общий редуктор, вращавший винт. МБ-100 был оснащен двухскоростным приводным центробежным нагнетателем, благодаря чему мощность этого оригинального мотора на первой границе высотности (2000 м) равнялась 2200 л.с., а на второй (4000 м) – 2000 л.с. Летные испытания новых моторов решено было провести на специально модифицированном бомбардировщике Ер-2. За три месяца моторы практически полностью отработали назначенный 50-часовой ресурс и показали удовлетворительную надежность. В связи с изменившейся обстановкой на фронте актуальность работ по подбору наивыгоднейшего винта и увеличению расчетной высоты мотора до 6000 м снизилась, что привело к их прекращению в пользу более совершенного и мощного мотора М-250 конструкции В.Добрынина (11856).</w:t>
      </w:r>
    </w:p>
    <w:p w14:paraId="73E187E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E28258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марта 1944 года Постановлением ГКО «О введении новых названий авиационных мото</w:t>
      </w:r>
      <w:r w:rsidRPr="007224C3">
        <w:rPr>
          <w:rFonts w:ascii="Times New Roman" w:hAnsi="Times New Roman"/>
          <w:color w:val="000000" w:themeColor="text1"/>
          <w:sz w:val="16"/>
          <w:szCs w:val="16"/>
        </w:rPr>
        <w:softHyphen/>
        <w:t>ров» в ряду других моторы Аркадия Швецова типа М-82 стали именовать</w:t>
      </w:r>
      <w:r w:rsidRPr="007224C3">
        <w:rPr>
          <w:rFonts w:ascii="Times New Roman" w:hAnsi="Times New Roman"/>
          <w:color w:val="000000" w:themeColor="text1"/>
          <w:sz w:val="16"/>
          <w:szCs w:val="16"/>
        </w:rPr>
        <w:softHyphen/>
        <w:t>ся теперь АШ-82Ф и АШ-82ФН - по инициалам своего создателя (10714).</w:t>
      </w:r>
    </w:p>
    <w:p w14:paraId="5533855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8EBB9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марта 1944 вышло Постановление ГКО № 5328 О введении новых названий авиационных моторов. РГАНИР, Фонд ГКО, д. 215, лл. 219 (11012).</w:t>
      </w:r>
    </w:p>
    <w:p w14:paraId="62BF3BB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D61B2BE"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0812FAC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B2AFF9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марта 1944 вышло Постановление ГКО № 5321 О восстановлении электростанции и электросетей г. Гомеля Белорусской ССР. РГАНИР, Фонд ГКО, д. 215, лл. 194,195-212 (11012).</w:t>
      </w:r>
    </w:p>
    <w:p w14:paraId="1B9BAA7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DE70E3D"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марта 1944 вышло Распоряжение ГКО № 5322 [О постановке на текущий профилактический ремонт котла Красноярской ТЭЦ.] (7195, 213).</w:t>
      </w:r>
    </w:p>
    <w:p w14:paraId="641A1BCA"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8A90839"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марта 1944 вышло Распоряжение ГКО № 5323 [О мобилизации 2 тыс. чел. в Запорожской обл. на строительство узкоколейной дороги к переправам через Сиваш для 4 УФ.] (7195, 214).</w:t>
      </w:r>
    </w:p>
    <w:p w14:paraId="67AD4580"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D5034A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6 марта 1944 вышло Распоряжение ГКО № 5324. О передаче 800 освобожденных из заключения Уралхимпромстрою и Березниковским предприятиям НКХП и предоставлении им отсрочки от призыва. РГАНИР, Фонд ГКО, д. 215, лл. 215 (11012).</w:t>
      </w:r>
    </w:p>
    <w:p w14:paraId="0902211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1BBA75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марта 1944 вышло Распоряжение ГКО № 5325. О мерах по обеспечению производства автомобильных и специальных шин на заводе № 736 НКРП газовой сажей. РГАНИР, Фонд ГКО, д. 215, лл. 216 (11012).</w:t>
      </w:r>
    </w:p>
    <w:p w14:paraId="070FEC2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8E47B4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марта 1944 вышло Распоряжение ГКО № 5326. О мерах по обеспечению бесперебойного электроснабжения промышленных предприятий Сталинграда в марте 1944 г. РГАНИР, Фонд ГКО, д. 215, лл. 217 (11012).</w:t>
      </w:r>
    </w:p>
    <w:p w14:paraId="405B039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EA6017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марта 1944 вышло Распоряжение ГКО № 5327. О поставках сырья предприятиям НКРП в марте 1944 г. РГАНИР, Фонд ГКО, д. 215, лл. 218 (11012).</w:t>
      </w:r>
    </w:p>
    <w:p w14:paraId="4193EA6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29380A6"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4FBB525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052E557" w14:textId="77777777" w:rsidR="000511D8" w:rsidRPr="007224C3" w:rsidRDefault="000511D8"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6 марта</w:t>
      </w:r>
      <w:r w:rsidRPr="007224C3">
        <w:rPr>
          <w:rFonts w:ascii="Times New Roman" w:hAnsi="Times New Roman"/>
          <w:color w:val="000000" w:themeColor="text1"/>
          <w:sz w:val="16"/>
          <w:szCs w:val="16"/>
        </w:rPr>
        <w:t xml:space="preserve"> в 1944 году оперативная сводка Совинформбюро:</w:t>
      </w:r>
    </w:p>
    <w:p w14:paraId="67351F9B" w14:textId="77777777" w:rsidR="000511D8" w:rsidRPr="007224C3" w:rsidRDefault="000511D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6 марта войска 1-го Украинского фронта, продолжая развивать наступление, овладели районными центрами Тарнопольской области городом Збараж, Вишневец, Лановцы, Новое Село, районными центрами Каменец-Подольской области Фридриховка, Грицев, а также с боями заняли более 200 других населённых пунктов, в том числе крупные населённые пункты Башковце, Залесьце, Жесьнювка, Лопушно, Шилы, Кошляки, Ожиговцы, Куриловка, Волочиск, Лозова, Маначин, Большие Жеребки, Борщёвка, Колки, Решневка, Влашановка, Нечаевка, Мокеевцы, Раштовка, Писаревка, Губин, Юзефовка, Ожаровка, Мшанец, Мотовиловка и железнодорожные станции Карначёвка, Зарудечко, Красносельце, Збараж, Волочиск, Войтовцы, Наркевичи. Нашими войсками перерезана важнейшая коммуникация противника — железная дорога Проскуров-Тарнополь.</w:t>
      </w:r>
    </w:p>
    <w:p w14:paraId="7C0A77D0" w14:textId="77777777" w:rsidR="000511D8" w:rsidRPr="007224C3" w:rsidRDefault="000511D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предварительным данным, за два дня боёв, 4 и 5 марта, войсками 1-го Украинского фронта уничтожено: танков — 203, орудий разного калибра — 250, бронемашин — 30, миномётов — 407, пулемётов — более 600, автомашин — свыше 2.000, складов разных — 20.</w:t>
      </w:r>
    </w:p>
    <w:p w14:paraId="38A36617" w14:textId="77777777" w:rsidR="000511D8" w:rsidRPr="007224C3" w:rsidRDefault="000511D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Немцы оставили на поле боя более 15.000 трупов своих солдат и офицеров.</w:t>
      </w:r>
    </w:p>
    <w:p w14:paraId="6F906030" w14:textId="77777777" w:rsidR="000511D8" w:rsidRPr="007224C3" w:rsidRDefault="000511D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это же время войска фронта захватили следующие трофеи: танков — 120, орудий разного калибра — 202, миномётов — 210, пулемётов — 260, бронепоезд — 1, автомашин — более 1.000, складов с боеприпасами и различным военным имуществом —23. Взято в плен свыше 3.000 немецких солдат и офицеров.</w:t>
      </w:r>
    </w:p>
    <w:p w14:paraId="10C6F77E" w14:textId="77777777" w:rsidR="000511D8" w:rsidRPr="007224C3" w:rsidRDefault="000511D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 разведка и в ряде пунктов бои местного значения.</w:t>
      </w:r>
    </w:p>
    <w:p w14:paraId="3C115F89" w14:textId="77777777" w:rsidR="000511D8" w:rsidRPr="007224C3" w:rsidRDefault="000511D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5 марта наши войска на всех фронтах подбили и уничтожили 89 немецких танков. В воздушных боях и огнём зенитной артиллерии сбито 20 самолётов противника.</w:t>
      </w:r>
    </w:p>
    <w:p w14:paraId="018ADE8B" w14:textId="77777777" w:rsidR="000511D8" w:rsidRPr="007224C3" w:rsidRDefault="000511D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1-го Украинского фронта продолжали успешное наступление. Наши танкистыи пехотинцы в результате стремительных ударов овладели районными центрами Тарнопольской области — городом и важным узлом шоссейных дорог Збараж, Вишневец, Лановцы, Новое Село, районными центрами Каменец-Подольской области Фридриховка и Грицев. Советские войска после упорных боёв заняли железнодорожную станцию Волочиск и тем самым перерезали железную дорогу Проскуров-Тарнополь. На этой же важнейшей коммуникации противника наши части овладели станциями Войтовцы и Наркевичи.</w:t>
      </w:r>
    </w:p>
    <w:p w14:paraId="478830D2" w14:textId="77777777" w:rsidR="000511D8" w:rsidRPr="007224C3" w:rsidRDefault="000511D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Советские войска смелыми обходными манёврами отрезают немцам ограниченные распутицей пути отхода. В районе населённого пункта Мокеевцы окружена и разгромлена значительная группа войск противника. В районе Теофиполя наши бойцы окружили и полностью уничтожили полк немецкой пехоты. Противник несёт огромные потери в живой силе и технике. Только частями Н-ского соединения за день боёв уничтожено до 4 тысяч немецких солдат и офицеров. Захвачено 44 орудия, 16 шестиствольных миномётов, 130 пулемётов и другие трофеи. Взято много пленных.</w:t>
      </w:r>
    </w:p>
    <w:p w14:paraId="4EC5B637" w14:textId="77777777" w:rsidR="000511D8" w:rsidRPr="007224C3" w:rsidRDefault="000511D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Нарвском направлении бойцы Н-ской части атаковали узел обороны противника. Небольшие группы стрелков и автоматчиков под прикрытием артиллерийского огня ворвались в укрепления врага и в рукопашной схватке истребили до 300 гитлеровцев. Овладев узлом обороны немцев, советские бойцы захватили 4 орудия, 6 миномётов, 20 станковых пулемётов и другие трофеи. Артиллеристы Н-ской части, поддерживая наступательные действия пехоты, разрушили 20 немецких дзотов, подбили 3 танка типа «Тигр» и рассеяли батальон пехоты противника.</w:t>
      </w:r>
    </w:p>
    <w:p w14:paraId="11EC3DB1" w14:textId="77777777" w:rsidR="000511D8" w:rsidRPr="007224C3" w:rsidRDefault="000511D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Нашими кораблями в Баренцовом море потоплена немецкая подводная лодка.</w:t>
      </w:r>
    </w:p>
    <w:p w14:paraId="2F075D62" w14:textId="77777777" w:rsidR="000511D8" w:rsidRPr="007224C3" w:rsidRDefault="000511D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Финском заливе потоплены транспорт водоизмещением в 1.500 тонн и сторожевой катер противника.</w:t>
      </w:r>
    </w:p>
    <w:p w14:paraId="48964747" w14:textId="77777777" w:rsidR="000511D8" w:rsidRPr="007224C3" w:rsidRDefault="000511D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Несколько украинских партизанских отрядов, действующих в Волынской области, 23 февраля вели бой с двумя батальонами немецких оккупантов. Советские патриоты нанесли немцам тяжёлые потери и вынудили их отступить. В этом бою убито и ранено до 400 гитлеровцев. В другом районе группа волынских партизан пустила под откос 3 воинских эшелона противника. В результате крушений разбиты 3 паровоза, 10 вагонов и сгорели 8 цистерн с бензином.</w:t>
      </w:r>
    </w:p>
    <w:p w14:paraId="48393DFE" w14:textId="77777777" w:rsidR="000511D8" w:rsidRPr="007224C3" w:rsidRDefault="000511D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Перешедший на сторону Красной Армии унтер-офицер 215 немецкой пехотнойдивизии Фридрих В. рассказал: «Я служил в охранном батальоне, расположенном в Западной Германии. В декабре 1941 года батальон был спешно переброшен в район Ленинграда. Нам объявили, что в ближайшие дни немецкие войска возьмут Ленинград и мы будем нести в этом городе охранную службу. Зимой 1941-1942 гг. наш батальон находился без дела, а потом был расформирован. Я попал в 215 пехотную дивизию. Почти полтора года мы строили укрепления. Офицеры сравнивали эти укрепления с линией Зигфрида. Прорыв такой обороны русскими ошеломил нас. Несмотря на приказ командира дивизии удерживать позиции до последнего человека, поднялась всеобщая паника. Многие солдаты разбежались. Я добровольно сдался в плен русским и здесь встретил многих солдат из своей роты».</w:t>
      </w:r>
    </w:p>
    <w:p w14:paraId="570C12E3" w14:textId="77777777" w:rsidR="000511D8" w:rsidRPr="007224C3" w:rsidRDefault="000511D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Жители местечка Плисков, Винницкой области, составили акт о зверствах немецко-фашистских мерзавцев. В акте говорится: «Немецкие оккупанты установили в нашем районе кровавый режим. Гитлеровцы арестовывали ни в чём неповинных людей, мучили их, а затем убивали. Жестоким пыткам подверглась перед расстрелом учительница Мария Ващенко. Немцы замучили и расстреляли Анну Гончарук, семью В.Андрейчука и многих других. Всего за время оккупации немецкие изверги убили и замучили свыше 1.500 советских граждан. Главными виновниками этих кровавых злодеяний мы считаем начальника полиции немца Шустера, вахмистра Кинкеля, гестаповцев Германа и Кушнера, офицера по сельскому хозяйству Беккера и его помощника Яшке».</w:t>
      </w:r>
    </w:p>
    <w:p w14:paraId="053D7199" w14:textId="77777777" w:rsidR="000511D8" w:rsidRPr="007224C3" w:rsidRDefault="000511D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Акт подписали жители местечка Плисков: В.Омельчук, Д.Мельник, А.Столяр,партизанка Парнева, учительница Дьяченко и другие.» (15060).</w:t>
      </w:r>
    </w:p>
    <w:p w14:paraId="213BB9F9" w14:textId="77777777" w:rsidR="000511D8" w:rsidRPr="007224C3" w:rsidRDefault="000511D8" w:rsidP="007224C3">
      <w:pPr>
        <w:spacing w:after="0" w:line="240" w:lineRule="auto"/>
        <w:jc w:val="both"/>
        <w:rPr>
          <w:rFonts w:ascii="Times New Roman" w:hAnsi="Times New Roman"/>
          <w:color w:val="000000" w:themeColor="text1"/>
          <w:sz w:val="16"/>
          <w:szCs w:val="16"/>
        </w:rPr>
      </w:pPr>
    </w:p>
    <w:p w14:paraId="0B5A5290" w14:textId="77777777" w:rsidR="000511D8" w:rsidRPr="007224C3" w:rsidRDefault="000511D8"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6 марта</w:t>
      </w:r>
      <w:r w:rsidRPr="007224C3">
        <w:rPr>
          <w:rFonts w:ascii="Times New Roman" w:hAnsi="Times New Roman"/>
          <w:color w:val="000000" w:themeColor="text1"/>
          <w:sz w:val="16"/>
          <w:szCs w:val="16"/>
        </w:rPr>
        <w:t xml:space="preserve"> в 1944 году войска 3-го Украинского фронта (командующий генерал армии Р.Я.Малиновский) начали Березнеговато-Снигиревскую наступательную операцию. Цель операции — разгром гитлеровских войск в междуречье Ингульца и Южного Буга. Завершилась 18 марта. В результате операции войска фронта продвинулись на 140 км, освободив значительные территории Правобережной Украины (15060).</w:t>
      </w:r>
    </w:p>
    <w:p w14:paraId="231E0E45" w14:textId="77777777" w:rsidR="000511D8" w:rsidRPr="007224C3" w:rsidRDefault="000511D8" w:rsidP="007224C3">
      <w:pPr>
        <w:spacing w:after="0" w:line="240" w:lineRule="auto"/>
        <w:jc w:val="both"/>
        <w:rPr>
          <w:rFonts w:ascii="Times New Roman" w:hAnsi="Times New Roman"/>
          <w:color w:val="000000" w:themeColor="text1"/>
          <w:sz w:val="16"/>
          <w:szCs w:val="16"/>
        </w:rPr>
      </w:pPr>
    </w:p>
    <w:p w14:paraId="53162A22"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марта 1944 советские войска освободили Збараж (4962).</w:t>
      </w:r>
    </w:p>
    <w:p w14:paraId="145B359E"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A24AB0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6 по 18 марта 1944 состоялась Березнеговато-Снигиревская операция войск 3УФ по освобождению Правобережной Украины. В междуречье Ингульца и Южного Буга уничтожили 8 немецких дивизий и продвинулись на 140 км (2438,95).</w:t>
      </w:r>
    </w:p>
    <w:p w14:paraId="3BC1904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этой операции велась активная борьба авиации с подходящими резервами противника (518,165).</w:t>
      </w:r>
    </w:p>
    <w:p w14:paraId="0BC87C6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связи с распутицей только за 17 дней перебросили с помощью авиации 670 т различных грузов (главным образом горючего и боеприпасов) и это позволило продолжить преследование отступающего противника (518,167).</w:t>
      </w:r>
    </w:p>
    <w:p w14:paraId="25599DB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04399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марта 1944 была предпринята новая попытка - из Геленджика вышли в 14:49. На сей раз первоначально все шло нормально, около восьми часов вечера идущие в Скадовск успешно приняли топливо с катеров обеспечения и продолжили движение. К сожалению, не обошлось без неприятностей. На одном из катеров лопнула тяга рулей, устранение неисправности заняло около получаса. В районе Ялты на отряд обрушился сильный ветер, а когда проходили мыс Сарыч, погода совсем испортилась. На ТКА-АКА при ударе волны прямо на направляющих взорвался реактивный снаряд и, хотя сам кораблик не пострадал, два человека получили ранения. Другой “эрэс” упал в воду. Катеру грозила гибель и тогда моряки выбросили снаряды за борт. Но самым печальным было то, что потерялся ТКА №24, которым командовал прибывший незадолго до описываемых событий с Тихого океана лейтенант В.И.Игошин. Отстал от основной группы и ТКА №14. Утром восемь катеров прибыли в свою новую базу, а к поискам пропавших была привлечена авиация. Однако найти их летчики не сумели - 14-й вечером объявился сам и его командир по радио доложил, что стал на якорь на подходе к Скадовску. Судьба же 24-го сложилась трагически. Потерявшись, его командир принял в общем-то правильное решение: идти к берегу и, двигаясь вдоль него, найти приметное место и определиться. Закончилось “путешествие” тем, что лейтенант увидел бухту с сигнальным постом и решил зайти в нее. Обнаруженные в глубине бухты катера моряки посчитали своими и, лишь подойдя на малое расстояние, заметили на них вражеские флаги. Открыв огонь из крупнокалиберного пулемета и дополнительно установленной пушки ШВАК, ТКА №24 устремился в открытое море, но уже выйдя из бухты наткнулся на отряд противника и в скоротечном бою был подбит. Пушка и пулемет вышли из строя, катер потерял ход, лейтенант Игошин и еще один из членов экипажа погибли. Немцы подошли к поврежденному “Гэ-пятому” и забрали с него уцелевших, включая двух раненых. Захватить 24-й врагу не удалось - он быстро затонул (6002).</w:t>
      </w:r>
    </w:p>
    <w:p w14:paraId="0F2233F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3069F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6 марта 1944 года 6-й батальон 1 -и УПД вошел в польское село Зажече. Солдаты небольшого немецкого гарнизона частично разбежались, частично были перебиты. Командир батальона А. И. Цимбал с минуты на минуту ждал появления воздушных “гостей”, так как совсем рядом, у Замостья, находилось три больших немецких аэродрома. И действительно, во второй половине дня со стороны Замостья на небольшой высоте появился огромный многомоторный самолет. В нем партизаны сразу узнали уже знакомый им “Гигант”. Во время первого пролета “немца” над селом все слегка растерял ись, ожидая града бомб. Но бомбардировки не последовало, а “Гигант” медленно развернулся и зачем-то полетел обратно на высоте всего несколько десятков метров. Тут уж пулеметчики партизанского батальона не сплоховали...Самолет вначале задымил, потом у него загорелась хвостовая часть фюзеляжа. С сильным креном он как-то боком “потянул” на северо-восток в сторону Замостья, но, пролетев всего шесть километров, рухнул на землю и сгорел. Цель этой акции для командования батальона долго оставалась загадкой, то ли немцы хотели напугать партизан, то ли пытались разведать их боевые порядки, используя для этого не самую подходящую машину. Однако все оказалось гораздо проще. В селе размещался дальний приводной радиомаяк, личный состав которого при нападении партизан разбежался, успев отключить аппаратуру. Поэтому летевший отлинии фронта экипаж “Гиганта” просто-напросто потерял ориентировку и, снизившись, пытался визуально определить свое местонахождение. Этот Me 323 оказался последним самолетом, уничтоженным ковпаковцами (9974).</w:t>
      </w:r>
    </w:p>
    <w:p w14:paraId="125DFD6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ACF15A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марта 1944 из полета не вернулся Ил-4 1-го ГМТАП П.А. Колесника (9965).</w:t>
      </w:r>
    </w:p>
    <w:p w14:paraId="357DD10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6C9BA76" w14:textId="77777777" w:rsidR="000511D8" w:rsidRPr="007224C3" w:rsidRDefault="000511D8"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6 марта</w:t>
      </w:r>
      <w:r w:rsidRPr="007224C3">
        <w:rPr>
          <w:rFonts w:ascii="Times New Roman" w:hAnsi="Times New Roman"/>
          <w:color w:val="000000" w:themeColor="text1"/>
          <w:sz w:val="16"/>
          <w:szCs w:val="16"/>
        </w:rPr>
        <w:t xml:space="preserve"> в 1944 году авиация Балтийского флота начала массированные действия против кораблей противника в Нарвском заливе и в губе Кунда (15060).</w:t>
      </w:r>
    </w:p>
    <w:p w14:paraId="7403196E" w14:textId="77777777" w:rsidR="000511D8" w:rsidRPr="007224C3" w:rsidRDefault="000511D8" w:rsidP="007224C3">
      <w:pPr>
        <w:spacing w:after="0" w:line="240" w:lineRule="auto"/>
        <w:jc w:val="both"/>
        <w:rPr>
          <w:rFonts w:ascii="Times New Roman" w:hAnsi="Times New Roman"/>
          <w:color w:val="000000" w:themeColor="text1"/>
          <w:sz w:val="16"/>
          <w:szCs w:val="16"/>
        </w:rPr>
      </w:pPr>
    </w:p>
    <w:p w14:paraId="35F385A0"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Внешняя политика:</w:t>
      </w:r>
    </w:p>
    <w:p w14:paraId="5A5A1DE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E3AB58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марта 1944 года</w:t>
      </w:r>
    </w:p>
    <w:p w14:paraId="3D540C1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ЛИЧНО И СЕКРЕТНО ОТ ПРЕМЬЕРА И. В. СТАЛИНА ПРЕЗИДЕНТУ г-ну Ф. Д. РУЗВЕЛЬТУ</w:t>
      </w:r>
    </w:p>
    <w:p w14:paraId="5C60795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Получил Ваше сообщение о Вашем заявлении на пресс-конференции в Вашингтоне относительно передачи части итальянских судов или их эквивалента из числа американского и британского тоннажа Советскому Союзу. Благодарю Вас (7430).</w:t>
      </w:r>
    </w:p>
    <w:p w14:paraId="7C1CC8A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4B0077"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135DC5D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F7BEFF9" w14:textId="77777777" w:rsidR="000511D8" w:rsidRPr="007224C3" w:rsidRDefault="000511D8"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6 марта</w:t>
      </w:r>
      <w:r w:rsidRPr="007224C3">
        <w:rPr>
          <w:rFonts w:ascii="Times New Roman" w:hAnsi="Times New Roman"/>
          <w:color w:val="000000" w:themeColor="text1"/>
          <w:sz w:val="16"/>
          <w:szCs w:val="16"/>
        </w:rPr>
        <w:t xml:space="preserve"> в 1944 году очередной массированный налёт американской авиации на Берлин истребители 25 групп и ряда отдельных истребительных подразделений. Было сбито не менее 69 тяжелых бомбардировщиков ценой гибели 36 лётчиков люфтваффе, еще 27 пилотов получили ранения. Американская авиация начинает бомбить Берлин в дневное время (15060).</w:t>
      </w:r>
    </w:p>
    <w:p w14:paraId="20B1EAA4" w14:textId="77777777" w:rsidR="000511D8" w:rsidRPr="007224C3" w:rsidRDefault="000511D8" w:rsidP="007224C3">
      <w:pPr>
        <w:spacing w:after="0" w:line="240" w:lineRule="auto"/>
        <w:jc w:val="both"/>
        <w:rPr>
          <w:rFonts w:ascii="Times New Roman" w:hAnsi="Times New Roman"/>
          <w:color w:val="000000" w:themeColor="text1"/>
          <w:sz w:val="16"/>
          <w:szCs w:val="16"/>
        </w:rPr>
      </w:pPr>
    </w:p>
    <w:p w14:paraId="4ADF16BF" w14:textId="77777777" w:rsidR="00464D2B" w:rsidRPr="007224C3" w:rsidRDefault="00464D2B"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6–7 марта (ночь) 1944 бомбардировочное командование Королевских ВВС начинает серию рейдов по железным дорогам Франции и Бельгии в рамках подготовки к предстоящему вторжению в Нормандию с атакой 267 бомбардировщиков (20373).</w:t>
      </w:r>
    </w:p>
    <w:p w14:paraId="6B7884A3" w14:textId="77777777" w:rsidR="00464D2B" w:rsidRPr="007224C3" w:rsidRDefault="00464D2B" w:rsidP="007224C3">
      <w:pPr>
        <w:spacing w:after="0" w:line="240" w:lineRule="auto"/>
        <w:jc w:val="both"/>
        <w:rPr>
          <w:rFonts w:ascii="Times New Roman" w:hAnsi="Times New Roman"/>
          <w:color w:val="0070C0"/>
          <w:sz w:val="16"/>
          <w:szCs w:val="16"/>
        </w:rPr>
      </w:pPr>
    </w:p>
    <w:p w14:paraId="64835E7B" w14:textId="77777777" w:rsidR="000511D8" w:rsidRPr="007224C3" w:rsidRDefault="000511D8"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марта 1944 американцы в ходе дневного налета сбросили 2 тыс. т бомб на Берлин (2247,2).</w:t>
      </w:r>
    </w:p>
    <w:p w14:paraId="1ECC8AC6" w14:textId="77777777" w:rsidR="000511D8" w:rsidRPr="007224C3" w:rsidRDefault="000511D8"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F48B99" w14:textId="77777777" w:rsidR="000511D8" w:rsidRPr="007224C3" w:rsidRDefault="000511D8"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марта 1944 американцы начали дневные бомбардировки Германии (3907,248).</w:t>
      </w:r>
    </w:p>
    <w:p w14:paraId="6B9C32DD" w14:textId="77777777" w:rsidR="000511D8" w:rsidRPr="007224C3" w:rsidRDefault="000511D8"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5830A9"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марта 1944 в ходе налета на Берлин английская авиация за день потеряла 69 самолетов (самая большая потеря за годы войны) (4962).</w:t>
      </w:r>
    </w:p>
    <w:p w14:paraId="6C4F9E48"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57816A8"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2B0A177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D32909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на</w:t>
      </w:r>
      <w:r w:rsidRPr="007224C3">
        <w:rPr>
          <w:rFonts w:ascii="Times New Roman" w:hAnsi="Times New Roman"/>
          <w:color w:val="000000" w:themeColor="text1"/>
          <w:sz w:val="16"/>
          <w:szCs w:val="16"/>
        </w:rPr>
        <w:softHyphen/>
        <w:t>чалу марта 1944 г. удалось закончить сборку и устранить все де</w:t>
      </w:r>
      <w:r w:rsidRPr="007224C3">
        <w:rPr>
          <w:rFonts w:ascii="Times New Roman" w:hAnsi="Times New Roman"/>
          <w:color w:val="000000" w:themeColor="text1"/>
          <w:sz w:val="16"/>
          <w:szCs w:val="16"/>
        </w:rPr>
        <w:softHyphen/>
        <w:t>фекты Ил-1. Согласно сводке по опытному самолетостроению двухмест</w:t>
      </w:r>
      <w:r w:rsidRPr="007224C3">
        <w:rPr>
          <w:rFonts w:ascii="Times New Roman" w:hAnsi="Times New Roman"/>
          <w:color w:val="000000" w:themeColor="text1"/>
          <w:sz w:val="16"/>
          <w:szCs w:val="16"/>
        </w:rPr>
        <w:softHyphen/>
        <w:t>ный вариант Ил-1 10 марта был отправ</w:t>
      </w:r>
      <w:r w:rsidRPr="007224C3">
        <w:rPr>
          <w:rFonts w:ascii="Times New Roman" w:hAnsi="Times New Roman"/>
          <w:color w:val="000000" w:themeColor="text1"/>
          <w:sz w:val="16"/>
          <w:szCs w:val="16"/>
        </w:rPr>
        <w:softHyphen/>
        <w:t>лен в Москву на авиазавод № 240 для дальнейшей доводки и проведения ис</w:t>
      </w:r>
      <w:r w:rsidRPr="007224C3">
        <w:rPr>
          <w:rFonts w:ascii="Times New Roman" w:hAnsi="Times New Roman"/>
          <w:color w:val="000000" w:themeColor="text1"/>
          <w:sz w:val="16"/>
          <w:szCs w:val="16"/>
        </w:rPr>
        <w:softHyphen/>
        <w:t>пытаний. Вместе с самолетом в столицу выехала заводская бригада во главе с ведущим инженером А. Соболевым и заместителем начальника отдела эксп</w:t>
      </w:r>
      <w:r w:rsidRPr="007224C3">
        <w:rPr>
          <w:rFonts w:ascii="Times New Roman" w:hAnsi="Times New Roman"/>
          <w:color w:val="000000" w:themeColor="text1"/>
          <w:sz w:val="16"/>
          <w:szCs w:val="16"/>
        </w:rPr>
        <w:softHyphen/>
        <w:t>луатации и ремонта С. Малышевым (10680).</w:t>
      </w:r>
    </w:p>
    <w:p w14:paraId="57E297D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AE83E3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марта 1944 работу по самоле</w:t>
      </w:r>
      <w:r w:rsidRPr="007224C3">
        <w:rPr>
          <w:rFonts w:ascii="Times New Roman" w:hAnsi="Times New Roman"/>
          <w:color w:val="000000" w:themeColor="text1"/>
          <w:sz w:val="16"/>
          <w:szCs w:val="16"/>
        </w:rPr>
        <w:softHyphen/>
        <w:t>ту Су-6 с М-82 ФН 2ТК-3 и РД ОКБ-16 включили в проект плана опытного строительства самолетов ВВС КА на 1944 г. Одновременно подготовили про</w:t>
      </w:r>
      <w:r w:rsidRPr="007224C3">
        <w:rPr>
          <w:rFonts w:ascii="Times New Roman" w:hAnsi="Times New Roman"/>
          <w:color w:val="000000" w:themeColor="text1"/>
          <w:sz w:val="16"/>
          <w:szCs w:val="16"/>
        </w:rPr>
        <w:softHyphen/>
        <w:t>ект приказа НКАП СССР, который обя</w:t>
      </w:r>
      <w:r w:rsidRPr="007224C3">
        <w:rPr>
          <w:rFonts w:ascii="Times New Roman" w:hAnsi="Times New Roman"/>
          <w:color w:val="000000" w:themeColor="text1"/>
          <w:sz w:val="16"/>
          <w:szCs w:val="16"/>
        </w:rPr>
        <w:softHyphen/>
        <w:t>зывал директора и главного конструк</w:t>
      </w:r>
      <w:r w:rsidRPr="007224C3">
        <w:rPr>
          <w:rFonts w:ascii="Times New Roman" w:hAnsi="Times New Roman"/>
          <w:color w:val="000000" w:themeColor="text1"/>
          <w:sz w:val="16"/>
          <w:szCs w:val="16"/>
        </w:rPr>
        <w:softHyphen/>
        <w:t>тора завода №289 П.О.Сухого «...вы</w:t>
      </w:r>
      <w:r w:rsidRPr="007224C3">
        <w:rPr>
          <w:rFonts w:ascii="Times New Roman" w:hAnsi="Times New Roman"/>
          <w:color w:val="000000" w:themeColor="text1"/>
          <w:sz w:val="16"/>
          <w:szCs w:val="16"/>
        </w:rPr>
        <w:softHyphen/>
        <w:t>пустить к 15 мая 1944 г. одноместный экземпляр самолета Су-6 с реактив</w:t>
      </w:r>
      <w:r w:rsidRPr="007224C3">
        <w:rPr>
          <w:rFonts w:ascii="Times New Roman" w:hAnsi="Times New Roman"/>
          <w:color w:val="000000" w:themeColor="text1"/>
          <w:sz w:val="16"/>
          <w:szCs w:val="16"/>
        </w:rPr>
        <w:softHyphen/>
        <w:t>ным двигателем ОКБ завода № 16, заменив мотор М-71 на М-83 с 2ТК-3...». Нарком приказ не подписал, что, по-видимому, было связано с подготов</w:t>
      </w:r>
      <w:r w:rsidRPr="007224C3">
        <w:rPr>
          <w:rFonts w:ascii="Times New Roman" w:hAnsi="Times New Roman"/>
          <w:color w:val="000000" w:themeColor="text1"/>
          <w:sz w:val="16"/>
          <w:szCs w:val="16"/>
        </w:rPr>
        <w:softHyphen/>
        <w:t>кой уже проек</w:t>
      </w:r>
      <w:r w:rsidRPr="007224C3">
        <w:rPr>
          <w:rFonts w:ascii="Times New Roman" w:hAnsi="Times New Roman"/>
          <w:color w:val="000000" w:themeColor="text1"/>
          <w:sz w:val="16"/>
          <w:szCs w:val="16"/>
        </w:rPr>
        <w:softHyphen/>
        <w:t>та мартовского 1944 г. постановления правительства. Но, по странному стечению обстоя</w:t>
      </w:r>
      <w:r w:rsidRPr="007224C3">
        <w:rPr>
          <w:rFonts w:ascii="Times New Roman" w:hAnsi="Times New Roman"/>
          <w:color w:val="000000" w:themeColor="text1"/>
          <w:sz w:val="16"/>
          <w:szCs w:val="16"/>
        </w:rPr>
        <w:softHyphen/>
        <w:t>тельств, в постановление ГОКО от 22 мая 1944 г. самолет не включили. И только приказ НКАП СССР № 371 от 30 мая 1944 г. обязал главного конст</w:t>
      </w:r>
      <w:r w:rsidRPr="007224C3">
        <w:rPr>
          <w:rFonts w:ascii="Times New Roman" w:hAnsi="Times New Roman"/>
          <w:color w:val="000000" w:themeColor="text1"/>
          <w:sz w:val="16"/>
          <w:szCs w:val="16"/>
        </w:rPr>
        <w:softHyphen/>
        <w:t>руктора П.О.Сухого наряду с само</w:t>
      </w:r>
      <w:r w:rsidRPr="007224C3">
        <w:rPr>
          <w:rFonts w:ascii="Times New Roman" w:hAnsi="Times New Roman"/>
          <w:color w:val="000000" w:themeColor="text1"/>
          <w:sz w:val="16"/>
          <w:szCs w:val="16"/>
        </w:rPr>
        <w:softHyphen/>
        <w:t>летом Су-5 спроектировать и постро</w:t>
      </w:r>
      <w:r w:rsidRPr="007224C3">
        <w:rPr>
          <w:rFonts w:ascii="Times New Roman" w:hAnsi="Times New Roman"/>
          <w:color w:val="000000" w:themeColor="text1"/>
          <w:sz w:val="16"/>
          <w:szCs w:val="16"/>
        </w:rPr>
        <w:softHyphen/>
        <w:t>ить «...экспериментальную модифика</w:t>
      </w:r>
      <w:r w:rsidRPr="007224C3">
        <w:rPr>
          <w:rFonts w:ascii="Times New Roman" w:hAnsi="Times New Roman"/>
          <w:color w:val="000000" w:themeColor="text1"/>
          <w:sz w:val="16"/>
          <w:szCs w:val="16"/>
        </w:rPr>
        <w:softHyphen/>
        <w:t>цию самолета Су-6 под мотор АШ-82ФН 2ТК-3 или М-83 с установкой однокамерного двигателя РД- 1 конст</w:t>
      </w:r>
      <w:r w:rsidRPr="007224C3">
        <w:rPr>
          <w:rFonts w:ascii="Times New Roman" w:hAnsi="Times New Roman"/>
          <w:color w:val="000000" w:themeColor="text1"/>
          <w:sz w:val="16"/>
          <w:szCs w:val="16"/>
        </w:rPr>
        <w:softHyphen/>
        <w:t>рукции Глушко, со следующими летно-техническими данными:</w:t>
      </w:r>
    </w:p>
    <w:p w14:paraId="2AA8A54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 скорость на высоте 7500 м без включения РД - 590 км/ч.</w:t>
      </w:r>
    </w:p>
    <w:p w14:paraId="22D90C4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 скорость на высоте 12000 м с включением РД - 700 км/ч.</w:t>
      </w:r>
    </w:p>
    <w:p w14:paraId="7BB7D85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Продолжительность полета без включения РД на высоте 10000 м при скорости 450 км/ч - 1 ч. 40 мин.</w:t>
      </w:r>
    </w:p>
    <w:p w14:paraId="56F2E9A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Вооружение — 2 пушки калибра 20 мм с боезапасом 370 патронов.</w:t>
      </w:r>
    </w:p>
    <w:p w14:paraId="3FF99A8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предъявить на летные ис</w:t>
      </w:r>
      <w:r w:rsidRPr="007224C3">
        <w:rPr>
          <w:rFonts w:ascii="Times New Roman" w:hAnsi="Times New Roman"/>
          <w:color w:val="000000" w:themeColor="text1"/>
          <w:sz w:val="16"/>
          <w:szCs w:val="16"/>
        </w:rPr>
        <w:softHyphen/>
        <w:t>пытания к 1 сентября 1944 г...» (10668).</w:t>
      </w:r>
    </w:p>
    <w:p w14:paraId="65AA337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8530D3" w14:textId="77777777" w:rsidR="00750752" w:rsidRPr="007224C3" w:rsidRDefault="00750752"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В начале марта 1944 работа по самолету Су-6 с М-82 ФН 2ТК- и РД-1 была включена в проект плана опытного строитель ства самолетов ВВС на 1944 г. Одновременно был подготов лен проект приказа НКАП, который обязывал директора и главного конструктора завода М° 289 П.О.Сухого выпустить к 15 мая 1944 г. одноместный экземпляр самолета Су-6 с реак тивным двигателем РД-1 В.П. Глушко с заменой мотора М-71 на М-83 с 2ТК-3. Но нарком приказ не подписал (19586).</w:t>
      </w:r>
    </w:p>
    <w:p w14:paraId="09AEEB44" w14:textId="77777777" w:rsidR="00750752" w:rsidRPr="007224C3" w:rsidRDefault="00750752"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168456AA" w14:textId="77777777" w:rsidR="00750752" w:rsidRPr="007224C3" w:rsidRDefault="00750752" w:rsidP="007224C3">
      <w:pPr>
        <w:pStyle w:val="ae"/>
        <w:shd w:val="clear" w:color="auto" w:fill="FFFFFF"/>
        <w:spacing w:before="0" w:after="0"/>
        <w:jc w:val="both"/>
        <w:rPr>
          <w:color w:val="000000" w:themeColor="text1"/>
          <w:sz w:val="16"/>
          <w:szCs w:val="16"/>
        </w:rPr>
      </w:pPr>
      <w:r w:rsidRPr="007224C3">
        <w:rPr>
          <w:color w:val="000000" w:themeColor="text1"/>
          <w:sz w:val="16"/>
          <w:szCs w:val="16"/>
        </w:rPr>
        <w:t>В начале марта 1944 года был завершен эскизный проект 2-го варианта одноместного истребителя Сухого с КДУ (М-107А и ВРДК) А.А. Фадеева и К.В. Холщевникова. Этот проект имел ряд существенных отличий от первого варианта. Учитывая то, что крыльевые воздухозаборники имеют значительные потери пол ного давления, связанные с большим количеством изгибов воз душных каналов, а также с увеличенными скоростями потока из-за малых размеров проходных сечений, во втором варианте приняли решение разместить воздухозаборник под коком воз пушного винта двигателя М-107А, это привело к изменению компоновки самолета. Кроме того, изменения коснулись мест размещения маслорадиатора и радиатора системы охлаждения М-107А, упростилась трансмиссия привода компрессора ВРДК. Был еще ряд других отличий.</w:t>
      </w:r>
    </w:p>
    <w:p w14:paraId="6DFD6BC1" w14:textId="77777777" w:rsidR="00750752" w:rsidRPr="007224C3" w:rsidRDefault="00750752" w:rsidP="007224C3">
      <w:pPr>
        <w:pStyle w:val="ae"/>
        <w:shd w:val="clear" w:color="auto" w:fill="FFFFFF"/>
        <w:spacing w:before="0" w:after="0"/>
        <w:jc w:val="both"/>
        <w:rPr>
          <w:color w:val="000000" w:themeColor="text1"/>
          <w:sz w:val="16"/>
          <w:szCs w:val="16"/>
        </w:rPr>
      </w:pPr>
      <w:r w:rsidRPr="007224C3">
        <w:rPr>
          <w:color w:val="000000" w:themeColor="text1"/>
          <w:sz w:val="16"/>
          <w:szCs w:val="16"/>
        </w:rPr>
        <w:t>Второй вариант проекта был направлен в НКАП СССР и там включен в проект плана опытного строительства самоле тов на 1944 г.</w:t>
      </w:r>
    </w:p>
    <w:p w14:paraId="2E1BCD91" w14:textId="77777777" w:rsidR="00750752" w:rsidRPr="007224C3" w:rsidRDefault="00750752" w:rsidP="007224C3">
      <w:pPr>
        <w:pStyle w:val="ae"/>
        <w:shd w:val="clear" w:color="auto" w:fill="FFFFFF"/>
        <w:spacing w:before="0" w:after="0"/>
        <w:jc w:val="both"/>
        <w:rPr>
          <w:color w:val="000000" w:themeColor="text1"/>
          <w:sz w:val="16"/>
          <w:szCs w:val="16"/>
        </w:rPr>
      </w:pPr>
      <w:r w:rsidRPr="007224C3">
        <w:rPr>
          <w:color w:val="000000" w:themeColor="text1"/>
          <w:sz w:val="16"/>
          <w:szCs w:val="16"/>
        </w:rPr>
        <w:t>В марте 1944 г. был подготовлен проект постановления правительства, в котором, наряду с самолетами других ОКБ, был включен и истребитель П.О.Сухого с ВРДК (19586).</w:t>
      </w:r>
    </w:p>
    <w:p w14:paraId="7BA9F04A" w14:textId="77777777" w:rsidR="00750752" w:rsidRPr="007224C3" w:rsidRDefault="00750752" w:rsidP="007224C3">
      <w:pPr>
        <w:pStyle w:val="ae"/>
        <w:shd w:val="clear" w:color="auto" w:fill="FFFFFF"/>
        <w:spacing w:before="0" w:after="0"/>
        <w:jc w:val="both"/>
        <w:rPr>
          <w:color w:val="000000" w:themeColor="text1"/>
          <w:sz w:val="16"/>
          <w:szCs w:val="16"/>
        </w:rPr>
      </w:pPr>
    </w:p>
    <w:p w14:paraId="4174451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марта 1944 г. в ОКБ П.О.С. был завер</w:t>
      </w:r>
      <w:r w:rsidRPr="007224C3">
        <w:rPr>
          <w:rFonts w:ascii="Times New Roman" w:hAnsi="Times New Roman"/>
          <w:color w:val="000000" w:themeColor="text1"/>
          <w:sz w:val="16"/>
          <w:szCs w:val="16"/>
        </w:rPr>
        <w:softHyphen/>
        <w:t>шен эскизный проект 2-го варианта одноместного истребителя с М-107А и ВРДК Фадеева-Холщевникова. Дан</w:t>
      </w:r>
      <w:r w:rsidRPr="007224C3">
        <w:rPr>
          <w:rFonts w:ascii="Times New Roman" w:hAnsi="Times New Roman"/>
          <w:color w:val="000000" w:themeColor="text1"/>
          <w:sz w:val="16"/>
          <w:szCs w:val="16"/>
        </w:rPr>
        <w:softHyphen/>
        <w:t>ный проект имел ряд существенных от</w:t>
      </w:r>
      <w:r w:rsidRPr="007224C3">
        <w:rPr>
          <w:rFonts w:ascii="Times New Roman" w:hAnsi="Times New Roman"/>
          <w:color w:val="000000" w:themeColor="text1"/>
          <w:sz w:val="16"/>
          <w:szCs w:val="16"/>
        </w:rPr>
        <w:softHyphen/>
        <w:t>личий от предыдущего варианта. Учи</w:t>
      </w:r>
      <w:r w:rsidRPr="007224C3">
        <w:rPr>
          <w:rFonts w:ascii="Times New Roman" w:hAnsi="Times New Roman"/>
          <w:color w:val="000000" w:themeColor="text1"/>
          <w:sz w:val="16"/>
          <w:szCs w:val="16"/>
        </w:rPr>
        <w:softHyphen/>
        <w:t>тывая то, что крыльевые воздухозабор</w:t>
      </w:r>
      <w:r w:rsidRPr="007224C3">
        <w:rPr>
          <w:rFonts w:ascii="Times New Roman" w:hAnsi="Times New Roman"/>
          <w:color w:val="000000" w:themeColor="text1"/>
          <w:sz w:val="16"/>
          <w:szCs w:val="16"/>
        </w:rPr>
        <w:softHyphen/>
        <w:t>ники имеют значительные потери пол</w:t>
      </w:r>
      <w:r w:rsidRPr="007224C3">
        <w:rPr>
          <w:rFonts w:ascii="Times New Roman" w:hAnsi="Times New Roman"/>
          <w:color w:val="000000" w:themeColor="text1"/>
          <w:sz w:val="16"/>
          <w:szCs w:val="16"/>
        </w:rPr>
        <w:softHyphen/>
        <w:t>ного давления, связанные с большим количеством изгибов воздушных кана</w:t>
      </w:r>
      <w:r w:rsidRPr="007224C3">
        <w:rPr>
          <w:rFonts w:ascii="Times New Roman" w:hAnsi="Times New Roman"/>
          <w:color w:val="000000" w:themeColor="text1"/>
          <w:sz w:val="16"/>
          <w:szCs w:val="16"/>
        </w:rPr>
        <w:softHyphen/>
        <w:t>лов, а также с увеличенными скорос</w:t>
      </w:r>
      <w:r w:rsidRPr="007224C3">
        <w:rPr>
          <w:rFonts w:ascii="Times New Roman" w:hAnsi="Times New Roman"/>
          <w:color w:val="000000" w:themeColor="text1"/>
          <w:sz w:val="16"/>
          <w:szCs w:val="16"/>
        </w:rPr>
        <w:softHyphen/>
        <w:t>тями потока из-за малых размеров про</w:t>
      </w:r>
      <w:r w:rsidRPr="007224C3">
        <w:rPr>
          <w:rFonts w:ascii="Times New Roman" w:hAnsi="Times New Roman"/>
          <w:color w:val="000000" w:themeColor="text1"/>
          <w:sz w:val="16"/>
          <w:szCs w:val="16"/>
        </w:rPr>
        <w:softHyphen/>
        <w:t>ходных сечений, во втором варианте приняли решение разместить возду</w:t>
      </w:r>
      <w:r w:rsidRPr="007224C3">
        <w:rPr>
          <w:rFonts w:ascii="Times New Roman" w:hAnsi="Times New Roman"/>
          <w:color w:val="000000" w:themeColor="text1"/>
          <w:sz w:val="16"/>
          <w:szCs w:val="16"/>
        </w:rPr>
        <w:softHyphen/>
        <w:t>хозаборник под коком воздушного вин</w:t>
      </w:r>
      <w:r w:rsidRPr="007224C3">
        <w:rPr>
          <w:rFonts w:ascii="Times New Roman" w:hAnsi="Times New Roman"/>
          <w:color w:val="000000" w:themeColor="text1"/>
          <w:sz w:val="16"/>
          <w:szCs w:val="16"/>
        </w:rPr>
        <w:softHyphen/>
        <w:t>та двигателя М-107А, в связи с чем изменилась компоновка самолета. Кроме того, изменения коснулись мест размещения маслорадиатора и ради</w:t>
      </w:r>
      <w:r w:rsidRPr="007224C3">
        <w:rPr>
          <w:rFonts w:ascii="Times New Roman" w:hAnsi="Times New Roman"/>
          <w:color w:val="000000" w:themeColor="text1"/>
          <w:sz w:val="16"/>
          <w:szCs w:val="16"/>
        </w:rPr>
        <w:softHyphen/>
        <w:t>атора системы охлаждения М-107А, уп</w:t>
      </w:r>
      <w:r w:rsidRPr="007224C3">
        <w:rPr>
          <w:rFonts w:ascii="Times New Roman" w:hAnsi="Times New Roman"/>
          <w:color w:val="000000" w:themeColor="text1"/>
          <w:sz w:val="16"/>
          <w:szCs w:val="16"/>
        </w:rPr>
        <w:softHyphen/>
        <w:t>ростилась трансмиссия привода ком</w:t>
      </w:r>
      <w:r w:rsidRPr="007224C3">
        <w:rPr>
          <w:rFonts w:ascii="Times New Roman" w:hAnsi="Times New Roman"/>
          <w:color w:val="000000" w:themeColor="text1"/>
          <w:sz w:val="16"/>
          <w:szCs w:val="16"/>
        </w:rPr>
        <w:softHyphen/>
        <w:t>прессора ВРДК. Проект имел и ряд других отличий. По завершению проектирования 2-й вариант был направлен для ознакомле</w:t>
      </w:r>
      <w:r w:rsidRPr="007224C3">
        <w:rPr>
          <w:rFonts w:ascii="Times New Roman" w:hAnsi="Times New Roman"/>
          <w:color w:val="000000" w:themeColor="text1"/>
          <w:sz w:val="16"/>
          <w:szCs w:val="16"/>
        </w:rPr>
        <w:softHyphen/>
        <w:t>ния в НКАП СССР и там включен в проект плана опытного строительства самолетов ВВС КА на 1944 г. (10669).</w:t>
      </w:r>
    </w:p>
    <w:p w14:paraId="248A4C2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98701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марта 1944 на 3УФ в районе Николаева ведомый вед. группы ш Демехина В.Милонов заметил сбитый Як-1 Н.Стопы и сел, чтобы забрать пилота. При посадке подломил шасси и поджег свою машину. Демехин сел и забрал всех - стрелков вез на подкосах (455,153).</w:t>
      </w:r>
    </w:p>
    <w:p w14:paraId="3B11598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A57AB3"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1E60DDE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52D953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В начале марта 1944 г. в соответствии с разработанной военными инженерами ГАУ новой системы зенитного вооружения, утвержденной командованием, ГАУ внесло в ГКО предложение, а 20 марта вышло его постановление, обязывавшее НИИ радиопромышленности разработать опытный образец зенитного радиодальномера (Архив МО СССР, ф. 81, он. 12204, ед. хр. 46, л. 94–97), сочетавшего применение радиолокационного и оптического способов определения угловых координат. Для этого дальномер должен был иметь два оптических визира большой светосилы, пользуясь которыми можно было с высокой точностью определять угловые координаты цели. Ночью и при неблагоприятных погодных условиях угловые координаты, равно как и дальность до самолета, определялись радиолокационным способом.</w:t>
      </w:r>
    </w:p>
    <w:p w14:paraId="40C28F4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Радиодальномер должен был отвечать следующим тактико-техническим требованиям:</w:t>
      </w:r>
    </w:p>
    <w:p w14:paraId="02FFCCB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дальность обнаружения самолета 20 км при высоте 1000 м и 30 км при высоте 4000 м;</w:t>
      </w:r>
    </w:p>
    <w:p w14:paraId="2A5D899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точность определения дальности – 30–60 м;</w:t>
      </w:r>
    </w:p>
    <w:p w14:paraId="6173F1B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время развертывания радиодальномера в боевое положение – не больше 15 мин.</w:t>
      </w:r>
    </w:p>
    <w:p w14:paraId="380C1EF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Институт спроектировал и создал «Хрусталь» (руководитель А. М. Рабинович) – компактную установку на треноге, работавшую на волне 1,5 м с мощностью излучения 100 кВт. Приемник – супергетеродин с однокаскадным преобразователем частоты и полосой пропускания 1,7 Мгц и чувствительностью 4 мкВ (при соотношении сигнал/шум, равном двум). Направленность антенны типа «волновой канал» (суммарная) – 29°. Разрешающая способность по дальности – 380–400 м. Общая масса аппаратуры в пяти укладочных ящиках – 1130 кг.</w:t>
      </w:r>
    </w:p>
    <w:p w14:paraId="440CD9C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Полигонные испытания образца радиодальномера, проводившиеся на НИЗАП ГАУ (инженер-испытатель Л. Г. Скачков) с 16 июля по 30 сентября 1945 г., дали положительные результаты (11026).</w:t>
      </w:r>
    </w:p>
    <w:p w14:paraId="3C0A636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5955424" w14:textId="77777777" w:rsidR="001A00DE" w:rsidRPr="007224C3" w:rsidRDefault="001A00DE" w:rsidP="007224C3">
      <w:pPr>
        <w:pStyle w:val="ae"/>
        <w:shd w:val="clear" w:color="auto" w:fill="FFFFFF"/>
        <w:spacing w:before="0" w:after="0"/>
        <w:jc w:val="both"/>
        <w:rPr>
          <w:color w:val="000000" w:themeColor="text1"/>
          <w:sz w:val="16"/>
          <w:szCs w:val="16"/>
        </w:rPr>
      </w:pPr>
      <w:r w:rsidRPr="007224C3">
        <w:rPr>
          <w:color w:val="000000" w:themeColor="text1"/>
          <w:sz w:val="16"/>
          <w:szCs w:val="16"/>
        </w:rPr>
        <w:t>С начала марта 1944 года на ИС-2 начали устанавливались Д-25 с клиновым затвором. Орудиями с поршневым затвором успели вооружить 145 танков. Проблемы, выявленные у новых пушек, оперативно решались заводом №9. Установка клинового затвора явно пошла на пользу. Испытания серийного танка №40398 показали, что скорострельность орудия выросла до 2-2,5 выстрелов в минуту. И такой показатель считался недостаточным, велись работы по танковым орудиям калибра 100 мм. Впрочем, реальных альтернатив для Д-25 на тот момент не было. Это орудие обладало хорошей точностью, а также превосходило 100-мм пушки по бронепробиваемости (17721).</w:t>
      </w:r>
    </w:p>
    <w:p w14:paraId="7CC9D978" w14:textId="77777777" w:rsidR="001A00DE" w:rsidRPr="007224C3" w:rsidRDefault="001A00DE" w:rsidP="007224C3">
      <w:pPr>
        <w:pStyle w:val="123"/>
        <w:shd w:val="clear" w:color="auto" w:fill="auto"/>
        <w:spacing w:after="0" w:line="240" w:lineRule="auto"/>
        <w:jc w:val="both"/>
        <w:rPr>
          <w:color w:val="000000" w:themeColor="text1"/>
          <w:sz w:val="16"/>
          <w:szCs w:val="16"/>
        </w:rPr>
      </w:pPr>
    </w:p>
    <w:p w14:paraId="66A8BC1D"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7245978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2D3CF17" w14:textId="77777777" w:rsidR="001A00DE" w:rsidRPr="007224C3" w:rsidRDefault="001A00D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марта 1944 утром Ил-АМ-42 со «старым» проверенным винтом АВ-5 л-18Б в ходе госиспытаний, начавшихся 29 февраля, удалось выполнить один часовой полет на замер скорости и скороподъемности по высотам, так как с 11.00 полеты были запрещены. На следующий день погода благоприятствовала проведению испытаний, но в первом же полете на определение расхода горючего лопнула трубка, подводящая воду к левому блоку цилиндров. Пришлось идти на посадку и устранять неисправность.</w:t>
      </w:r>
    </w:p>
    <w:p w14:paraId="42BCA1A9" w14:textId="77777777" w:rsidR="001A00DE" w:rsidRPr="007224C3" w:rsidRDefault="001A00D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марта с утра стояла нелетная погода, но к 16.00 развеялось и удалось выполнить один полет на полигон для бомбометания и стрельбы из пушек и пулеметов. Вечером вновь пришлось менять свечи.</w:t>
      </w:r>
    </w:p>
    <w:p w14:paraId="5992B76B" w14:textId="77777777" w:rsidR="001A00DE" w:rsidRPr="007224C3" w:rsidRDefault="001A00D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Ввиду нелетной погоды в течение следующего дня самолет «затащили» в тир, где отстреляли все вооружение.</w:t>
      </w:r>
    </w:p>
    <w:p w14:paraId="6C937AB4" w14:textId="77777777" w:rsidR="001A00DE" w:rsidRPr="007224C3" w:rsidRDefault="001A00D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период 11–13 марта погода была ограниченно летной, но летать все же удавалось. Всего было выполнено 15 взлетов и посадок для определения взлетно-посадочных характеристик самолета, три полета на стрельбу и бомбометание по наземным целям и определение скороподъемности самолета по высотам.</w:t>
      </w:r>
    </w:p>
    <w:p w14:paraId="70D74EBD" w14:textId="77777777" w:rsidR="001A00DE" w:rsidRPr="007224C3" w:rsidRDefault="001A00D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марта погода окончательно испортилась, но летать все равно было бы нельзя, так как у самолета обнаружилась течь бензина из трубки подвода к карбюраторам и поломка уплотнительного кольца вала редуктора. Выявились и другие неисправности.</w:t>
      </w:r>
    </w:p>
    <w:p w14:paraId="0EF4928A" w14:textId="77777777" w:rsidR="001A00DE" w:rsidRPr="007224C3" w:rsidRDefault="001A00D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Следующие четыре дня прошли в хлопотах по устранению дефектов самолета. Попутно установили новые элероны с увеличенной аэродинамической компенсацией (29 % вместо 27 %).</w:t>
      </w:r>
    </w:p>
    <w:p w14:paraId="57A65E92" w14:textId="77777777" w:rsidR="001A00DE" w:rsidRPr="007224C3" w:rsidRDefault="001A00D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Несмотря на неблагоприятные метеоусловия, 19 марта удалось выполнить 8 непродолжительных полетов, в том числе 5 – на определение взлетно-посадочных свойств и по одному полету на бомбометание, проверку действия в воздухе ВАП-250 и замер расхода горючего. Всего за день налетали 1 ч 55 мин. В ходе последнего полета сгорели прокладки всасывающих патрубков.</w:t>
      </w:r>
    </w:p>
    <w:p w14:paraId="2486E7D9" w14:textId="77777777" w:rsidR="001A00DE" w:rsidRPr="007224C3" w:rsidRDefault="001A00D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Устранение вновь выявленных неисправностей затянулось до 22 марта, но в этот день погода опять оказалась нелетной. Только на следующий день удалось выполнить один часовой полет на замер расхода горючего. Затем последовал четырехдневный перерыв в полетах из-за плохой погоды. Наконец, 28 марта установилась устойчивая летная погода, которая продержалась три дня. В эти дни бригада испытателей работала весьма активно и 30 марта в 18.00 рапортовала руководству института об успешном завершении государственных испытаний.</w:t>
      </w:r>
    </w:p>
    <w:p w14:paraId="66793D61" w14:textId="77777777" w:rsidR="001A00DE" w:rsidRPr="007224C3" w:rsidRDefault="001A00D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Таким образом, испытания Ил-АМ-42 (экз. № 1) продолжались в течение 31 календарного дня, из которых летных дней было всего 10, нелетных – 14. Еще 7 дней пришлось затратить на ремонт и доводку самолета. В общей сложности было выполнено 44 полета с налетом 19 ч 30 мин.</w:t>
      </w:r>
    </w:p>
    <w:p w14:paraId="5434B25D" w14:textId="77777777" w:rsidR="001A00DE" w:rsidRPr="007224C3" w:rsidRDefault="001A00D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ходе испытаний самолет облетали ведущий инженер-летчик 3-го отдела НИИ ВВС инженер-майор А. В. Синельников, летчик-испытатель 4-го отдела майор М. П. Субботин, старший летчик-испытатель 3-го отдела майор В. С. Журавлев и летчик-испытатель подполковник М. А. Нюхтиков. В качестве штурманов облета участвовали капитан Т. Ф. Горбунов, заместитель начальника 4-го отдела полковник Н. И. Шауров, помощник начальника 6-го отдела капитан Васильев, штурман-испытатель капитан В. Н. Ковынев, штурман-испытатель подполковник Н. П. Цветков.</w:t>
      </w:r>
    </w:p>
    <w:p w14:paraId="04AB8ADB" w14:textId="77777777" w:rsidR="001A00DE" w:rsidRPr="007224C3" w:rsidRDefault="001A00D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Как следует из документов, самолет проходил испытания в двух вариантах: разведчика-корректировщика и штурмовика-бомбардировщика, которые отличались друг от друга фактически только бомбовой нагрузкой и заправкой самолета горючим и маслом. Состав фото- и радиооборудования самолета в ходе испытаний оставался неизменным и соответствовал «следопыту».</w:t>
      </w:r>
    </w:p>
    <w:p w14:paraId="43FAAAB5" w14:textId="77777777" w:rsidR="001A00DE" w:rsidRPr="007224C3" w:rsidRDefault="001A00D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Стрелково-пушечное вооружение самолета в обоих вариантах назначения было одинаковым и включало две пушки ВЯ (300 патронов), два пулемета ШКАС (1500 патронов) и оборонительный пулемет УБК (3 диска по 50 патронов) на ВУ-8. Ракетное вооружение не предусматривалось.</w:t>
      </w:r>
    </w:p>
    <w:p w14:paraId="0273AF9C" w14:textId="77777777" w:rsidR="001A00DE" w:rsidRPr="007224C3" w:rsidRDefault="001A00D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Нормальный полетный вес штурмовика-бомбардировщика устанавливался в 7260 кг, в перегрузку – 7660 кг. Полезная нагрузка при нормальном полетном весе составляла 1995 кг.</w:t>
      </w:r>
    </w:p>
    <w:p w14:paraId="2B249C96" w14:textId="77777777" w:rsidR="001A00DE" w:rsidRPr="007224C3" w:rsidRDefault="001A00D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перегрузочном варианте допускалась подвеска до 1000 кг бомб, в том числе на двух внешних узлах две бомбы типа ФАБ-500 или два выливных авиаприбора ВАП-250 или УХАП-250.</w:t>
      </w:r>
    </w:p>
    <w:p w14:paraId="3697E0B7" w14:textId="77777777" w:rsidR="001A00DE" w:rsidRPr="007224C3" w:rsidRDefault="001A00D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Нагрузка в варианте «следопыта» ограничивалась 1460 кг и отличалась от штурмового варианта отсутствием бомбовой нагрузки и увеличенным до 120 кг весом съемного оборудования.</w:t>
      </w:r>
    </w:p>
    <w:p w14:paraId="7B949C20" w14:textId="77777777" w:rsidR="001A00DE" w:rsidRPr="007224C3" w:rsidRDefault="001A00D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Поскольку состав съемного оборудования на самолете Ил-АМ-42 (экз. № 1) соответствовал варианту разведчика-корректировщика, то при загрузке 600 кг бомб и полной заправке горючим и маслом вес самолета на 65 кг превышал нормальный полетный вес, установленный для штурмовика-бомбардировщика. Поэтому при проведении испытательных полетов в варианте штурмовика вес горючего уменьшался ровно на 65 кг.</w:t>
      </w:r>
    </w:p>
    <w:p w14:paraId="0F367B0D" w14:textId="77777777" w:rsidR="001A00DE" w:rsidRPr="007224C3" w:rsidRDefault="001A00D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Мотор АМ-42 на протяжении всего времени испытаний работал с недостатками: дымление, тряска, непостоянство наддува на режиме номинальной мощности, течь масла из-под уплотнения вала редуктора мотора, из-под крышки блоков, из корпуса нагнетателя через дренаж (после остановки мотора), а также засорение воздушных клапанов карбюраторов, быстрый износ поршневых колец и т. д. Отмечался и большой расход горючего на номинальном режиме работы мотора, который при контрольном полете 19 марта составил 295–315 г/л. с. ч.</w:t>
      </w:r>
    </w:p>
    <w:p w14:paraId="381B6C47" w14:textId="77777777" w:rsidR="001A00DE" w:rsidRPr="007224C3" w:rsidRDefault="001A00D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ходе испытаний пришлось заменить маслоуплотнитель носка вала редуктора мотора, регулятор давления наддува, прокладки под всасывающими патрубками (для чего был демонтирован карбюратор). Дважды заменили весь комплект свечей, по одному разу все свечи внешнего ряда, водяную трубку (подводящую охлаждающую воду к левому блоку цилиндров мотора от помпы) и бензотрубку (подводящую топливо к карбюраторам). Из-за течи по сварке трижды ремонтировались маслобаки. Одновременно были отремонтированы все карбюраторы и коллекторы нагнетателя.</w:t>
      </w:r>
    </w:p>
    <w:p w14:paraId="0F15AF5F" w14:textId="77777777" w:rsidR="001A00DE" w:rsidRPr="007224C3" w:rsidRDefault="001A00D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выполнении работ по устранению недостатков и дефектов «в полный рост» проявилась непродуманность конструкции винтомоторной группы с точки зрения удобства эксплуатации. Например, для того чтобы снять водяную трубку, необходимо было демонтировать блоки мотора, выхлопные патрубки и левый маслобак, а затем вернуть их на свои места. Замена трубопровода, подводящего горючее к карбюраторам, выливалась в полный демонтаж всасывающей трубы нагнетателя и карбюратора. Испытатели отмечали трудоемкую замену свечей внутренней стороны, и особенно проводников к свечам. На их замену затрачивалось до 5–6 часов. Трубки, подводящие воду к блокам, имели слишком большую длину (без технологических разъемов), что серьезно усложняло их замену и ремонт.</w:t>
      </w:r>
    </w:p>
    <w:p w14:paraId="4DF57F3E" w14:textId="77777777" w:rsidR="001A00DE" w:rsidRPr="007224C3" w:rsidRDefault="001A00D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общем, проблем с мотором хватало с избытком, но бригаде НИИ ВВС все же удалось отлетать программу испытаний почти в полном объеме.</w:t>
      </w:r>
    </w:p>
    <w:p w14:paraId="5E1F3C0C" w14:textId="77777777" w:rsidR="001A00DE" w:rsidRPr="007224C3" w:rsidRDefault="001A00D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первую очередь определялись летно-технические данные Ил-АМ-42 (экз. № 1) в варианте штурмовика-бомбардировщика и только затем – в варианте разведчика-корректировщика. Как показали полеты, основные данные нового самолета заметно превосходили Ил-2, хотя, по мнению военных, уже не отвечали в полном объеме современным требованиям.</w:t>
      </w:r>
    </w:p>
    <w:p w14:paraId="6F4F7FFC" w14:textId="77777777" w:rsidR="001A00DE" w:rsidRPr="007224C3" w:rsidRDefault="001A00D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нормальном полетном весе (600 кг бомб на внутренней подвеске) максимальная скорость полета оказалась равной 472 км/ч на высоте 2500 м и 428 км/ч – у земли. Вертикальная скорость не превышала 7 м/с на высоте 1000 м и 6,7 м/с – у земли. Разбег самолета с отклоненными на 17° щитками и с форсажем мотора составил 435 м. Пробег при посадочном весе 5900 кг с применением тормозов и отклонением щитков на 45° оказался в пределах 465 м. Посадочная скорость равнялась 136 км/ч.</w:t>
      </w:r>
    </w:p>
    <w:p w14:paraId="57EDC867" w14:textId="77777777" w:rsidR="001A00DE" w:rsidRPr="007224C3" w:rsidRDefault="001A00D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Разведчик-корректировщик на всех высотах летал на 8 км/ч быстрее штурмовика-бомбардировщика. Примерно на 22 % была выше скороподъемность и на 11 % горизонтальная маневренность. Лучшими были и взлетно-посадочные характеристики. Из-за непостоянства наддува в полете при работе мотора, тряски и выработки ресурса мотора (к моменту начала полетов в варианте «следопыта» остаток ресурса составлял 4–5 часов) измерить скороподъемность выше границы высотности не удалось.</w:t>
      </w:r>
    </w:p>
    <w:p w14:paraId="582DF9F3" w14:textId="77777777" w:rsidR="001A00DE" w:rsidRPr="007224C3" w:rsidRDefault="001A00D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всех вариантах полетного веса центровка самолета (шасси выпущено) находилась в пределах от 19,9 % САХ (пустой самолет) до 23,3 % (перегрузочный вариант с 1000 кг бомб).</w:t>
      </w:r>
    </w:p>
    <w:p w14:paraId="76DAB3A5" w14:textId="77777777" w:rsidR="001A00DE" w:rsidRPr="007224C3" w:rsidRDefault="001A00D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Дальность полета на высоте 1000 м и скорости 308 км/ч составила 820 км – на 155 км больше дальности полета Ил-2 АМ-38ф. При этом отмечалось, что дальность полета 2-го экземпляра Ил-АМ-42, на котором установлены бензобаки емкостью 1020 л, будет достигать 980 км.</w:t>
      </w:r>
    </w:p>
    <w:p w14:paraId="3F2AAF03" w14:textId="77777777" w:rsidR="001A00DE" w:rsidRPr="007224C3" w:rsidRDefault="001A00D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своим пилотажным свойствам Ил-АМ-42 оказался достаточно простым и легким в управлении. В сравнении с Ил-2 новый самолет обладал значительно лучшей продольной устойчивостью и управляемостью, что упростило технику пилотирования, особенно на виражах и бреющих полетах. Летчики-испытатели отмечали, что Ил-АМ-42 в отличие от Ил-2 «на вираже позволяет значительно выбирать ручку руля высоты на себя, для уменьшения радиуса виража». Пикировал самолет устойчиво. Просадка на выводе оказалась несколько больше, чем у серийного Ил-2. Сила отдачи при стрельбе из пушек почти не сказывалась на пилотировании самолетом и прицеливании. Маневренность Ил-АМ-42 в вертикальной и горизонтальной плоскостях оказалась почти такой же, как у серийной «двойки», даже несколько хуже, и считалась недостаточной для условий боевых действий завершающего периода войны. Тем не менее в целом самолет оставил у военных летчиков-испытателей хорошее впечатление. «Специального переучивания летного состава для перехода с Ил-2 не требует», – указывалось в отчете по испытаниям.</w:t>
      </w:r>
    </w:p>
    <w:p w14:paraId="6388D97C" w14:textId="77777777" w:rsidR="001A00DE" w:rsidRPr="007224C3" w:rsidRDefault="001A00D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улучшения пилотажных качеств машины летчики предлагали на руль поворота установить триммер, а на элероны «наклепать ножи для регулировки от подваливания».</w:t>
      </w:r>
    </w:p>
    <w:p w14:paraId="140C4A42" w14:textId="77777777" w:rsidR="001A00DE" w:rsidRPr="007224C3" w:rsidRDefault="001A00D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Указывалось, что Ил-АМ-42 строился по нормам прочности 1941 года и относится к классу Б – ограниченно маневренных самолетов. При полетном весе 7250 кг разрушающая перегрузка равнялась 7,5 единицы, эксплуатационная перегрузка («установленная главным конструктором самолета») – 4,96 единицы.</w:t>
      </w:r>
    </w:p>
    <w:p w14:paraId="36898225" w14:textId="77777777" w:rsidR="001A00DE" w:rsidRPr="007224C3" w:rsidRDefault="001A00D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Помимо неудовлетворительной работы мотора АМ-42 отмечались и ряд других недостатков, отнесенных специалистами института к разряду основных.</w:t>
      </w:r>
    </w:p>
    <w:p w14:paraId="545299CF" w14:textId="77777777" w:rsidR="001A00DE" w:rsidRPr="007224C3" w:rsidRDefault="001A00D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частности, для самолета боя представлялось обязательным наличие системы заполнения бензобаков нейтральным газом. На Ил-АМ-42, как указывалось выше, такая система имелась, но на государственные испытания официально она не предъявлялась, так как не была доведена до рабочего состояния.</w:t>
      </w:r>
    </w:p>
    <w:p w14:paraId="7FE38844" w14:textId="77777777" w:rsidR="001A00DE" w:rsidRPr="007224C3" w:rsidRDefault="001A00D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Схему бронирования Ил-АМ-42 специалисты НИИ ВВС оценили как не отвечающую современным требованиям. Соответствующее заключение начальник 8-го отдела института инженер-полковник Лагутин утвердил 24 марта. В ряду особо уязвимых мест значились задняя бронеперегородка штурмана-стрелка (толщина 12 мм) и моторная часть снизу-сбоку (толщина 4 мм). Боевой опыт показал, что именно эти места бронекорпуса Ил-2 наиболее часто поражаются огнем противника. Предлагалось усилить эти участки путем перераспределения толщины брони при сохранении веса брони на прежнем уровне. Для этого рекомендовалось «снять с корпуса/…/передние броневые детали за втулкой винта, уменьшить с 5 до 2,5 мм толщину деталей пояса кабины летчика в местах примыкания крыла к фюзеляжу». Кроме этого, требовалось заднюю перегородку штурмана установить по образцу 2-го экземпляра Ил-АМ-42, то есть сделать экранированной две бронеплиты по 8 мм и обеспечить защиту головы штурмана бронестеклом.</w:t>
      </w:r>
    </w:p>
    <w:p w14:paraId="56EF9263" w14:textId="77777777" w:rsidR="001A00DE" w:rsidRPr="007224C3" w:rsidRDefault="001A00D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то же время отмечалось, что обе кабины – летчика и штурмана-стрелка – в сравнении с Ил-2 имеют увеличенные размеры, что улучшает условия боевой работы экипажа. В кабине штурмана-стрелка вместо брезентовой ленты (как на Ил-2) устанавливалось постоянное откидное сиденье. Штурман облета капитан Т. Ф. Горбунов отмечал, что в кабине «тепло, задуваний нет, можно работать без летных очков». Посадка в кабину через нижний люк в бронекорпусе была признана удобной. В аварийной ситуации штурман легко покидал кабину с парашютом. Однако при посадке на фюзеляж выбраться из своей кабины штурман не мог, «так как фонарь летчика при открытии надвигается на фонарь штурмана».</w:t>
      </w:r>
    </w:p>
    <w:p w14:paraId="3FCFB934" w14:textId="77777777" w:rsidR="001A00DE" w:rsidRPr="007224C3" w:rsidRDefault="001A00D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достоинству машины было отнесено применение электрической системы управления заслонками водо- и маслорадиаторов, а также пневмоэлектрической системы управления огнем и перезарядки стрелково-пушечного вооружения, поскольку это сильно облегчало работу летчика в бою.</w:t>
      </w:r>
    </w:p>
    <w:p w14:paraId="1F00E68B" w14:textId="77777777" w:rsidR="001A00DE" w:rsidRPr="007224C3" w:rsidRDefault="001A00D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Положительно оценили наличие дублирования в каналах управления рулем высоты, поворота, элеронами и триммерами.</w:t>
      </w:r>
    </w:p>
    <w:p w14:paraId="0099367F" w14:textId="77777777" w:rsidR="001A00DE" w:rsidRPr="007224C3" w:rsidRDefault="001A00D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Установка в кабине пилота прицела ПБП-1б на легкосъемном кронштейне обеспечивала летчику дополнительную безопасность при посадке с убранным шасси. Как известно, на Ил-2 ранних серий летчики часто ударялись о прицел ПБП-1 головой во время вынужденных посадок, что нередко приводило к серьезным травмам, а в ряде случаев – и к смертельным исходам.</w:t>
      </w:r>
    </w:p>
    <w:p w14:paraId="10CC4B01" w14:textId="77777777" w:rsidR="001A00DE" w:rsidRPr="007224C3" w:rsidRDefault="001A00D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Бомбовое вооружение штурмовика-бомбардировщика Ил-АМ-42 по номенклатуре бомб и весу в целом соответствовало требованиям войны. Бомбометание допускалось как с горизонтального полета, так и с пикирования, но под углами не более 25–30°, хотя на испытаниях самолет пикировал до 40° без каких-либо нареканий. Для бомбометания с горизонтального полета предназначался прицел ОПБ-1р. Сброс бомб мог осуществляться и штурманом, и летчиком. Однако прицельно сбросить бомбы ни тот ни другой не могли. Из-за плохого обзора передней полусферы штурман без помощи летчика «не может вывести самолет на нехарактерную цель» (объект удара), то есть «заранее найти цель, опознать ее, а затем осуществить наводку». Как отмечалось в отчете, «выполнить все это через прицел не представляется возможным». В свою очередь, «вследствие неудовлетворительного качества прицельных устройств» летчик мог прицеливаться и бомбить «с горизонта» лишь по наитию. Фактически получалось так, что при бомбометании с горизонтального полета наводку на цель и выход на боевой курс должен был выполнять непосредственно летчик, а прицеливание – штурман, «что требует соответствующей методической проработки».</w:t>
      </w:r>
    </w:p>
    <w:p w14:paraId="086626EE" w14:textId="77777777" w:rsidR="001A00DE" w:rsidRPr="007224C3" w:rsidRDefault="001A00D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Кроме этого, бомбовый прицел штурмана в полете нещадно забрызгивался маслом, которое выбивалось из-под уплотнительного кольца втулки винта и носка коленчатого вала мотора. По этим причинам в первом же полете на испытание бомбового вооружения 9 марта штурман капитан Т. Ф. Горбунов был вынужден сбросить все бомбы залпом, неприцельно, за один заход. Для предохранения прицела от попадания масла на заводе № 240 был изготовлен специальный щиток. Установка щитка на самолет положение не улучшило – оптика забрызгивалась маслом. Прицельное бомбометание по-прежнему оставалось невозможным. В испытательном полете 19 марта со щитком из-за замасливания оптики Горбунов сбросил все бомбы аварийно. В то же время отмечалось, что работать с ОПБ-1р в боевом положении удобно, а сам прицел является наиболее подходящим для установки на Ил-АМ-42, если, конечно, «устранить забрызгивание оптики прицела маслом».</w:t>
      </w:r>
    </w:p>
    <w:p w14:paraId="51F034F7" w14:textId="77777777" w:rsidR="001A00DE" w:rsidRPr="007224C3" w:rsidRDefault="001A00D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этим причинам для бомбометания с горизонтального полета рекомендовалось использовать прицельную систему, отработанную для Ил-2: разметку и визирные штыри на бронекапоте самолета, метки и прицельные линии на лобовом и боковых бронестеклах фонаря кабины.</w:t>
      </w:r>
    </w:p>
    <w:p w14:paraId="072CC848" w14:textId="77777777" w:rsidR="001A00DE" w:rsidRPr="007224C3" w:rsidRDefault="001A00D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Бомбометание с пикирования по методике ничем не отличалось от таковой на Ил-2 и в целом показало хорошие результаты вследствие лучшей устойчивости самолета при пикировании.</w:t>
      </w:r>
    </w:p>
    <w:p w14:paraId="5C0C142C" w14:textId="77777777" w:rsidR="001A00DE" w:rsidRPr="007224C3" w:rsidRDefault="001A00D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Отметим, что маслом забрызгивалось и переднее бронестекло фонаря кабины пилота, что, естественно, ухудшало условия прицеливания.</w:t>
      </w:r>
    </w:p>
    <w:p w14:paraId="566EC7A8" w14:textId="77777777" w:rsidR="001A00DE" w:rsidRPr="007224C3" w:rsidRDefault="001A00D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отработки стрелково-пушечного вооружения было выполнено в общей сложности 19 полетов, из них «9 полетов со стрельбой по наземным целям и 10 полетов с ВУ-8».</w:t>
      </w:r>
    </w:p>
    <w:p w14:paraId="72EE528B" w14:textId="77777777" w:rsidR="001A00DE" w:rsidRPr="007224C3" w:rsidRDefault="001A00D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Если к пушкам ВЯ и пулеметам ШКАС при стрельбе в воздухе каких-либо серьезных претензий у военных испытателей не было, то работой оборонительной установки ВУ-8 с пулеметом УБК и ее возможностями они остались недовольны.</w:t>
      </w:r>
    </w:p>
    <w:p w14:paraId="3BE18885" w14:textId="77777777" w:rsidR="001A00DE" w:rsidRPr="007224C3" w:rsidRDefault="001A00D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 недостатки ВУ-8 в явном виде проявились в воздушном бою с немецким истребителем Bf109G-2, который состоялся 30 апреля. За воздушного стрелка вылетал штурман-испытатель подполковник Н. П. Цветков. Атаки выполнялись со всех возможных в реальном бою направлений. При этом на маршруте полета от Чкаловской до Ногинска «мессер» успевал выполнить до 8–9 атак, находясь всегда в задней полусфере и отворачивая всякий раз в сторону с набором высоты.</w:t>
      </w:r>
    </w:p>
    <w:p w14:paraId="563F310E" w14:textId="77777777" w:rsidR="001A00DE" w:rsidRPr="007224C3" w:rsidRDefault="001A00D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Оказалось, что за время одной атаки «мессершмитта» штурман успевал только развернуть установку в сторону истребителя и выставить пулемет в необходимое положение для стрельбы по нему, а на прицеливание оставалось «такое незначительное время, что точно навести прицел с требуемой поправкой на скорость цели не удалось ни разу». С одной стороны, это обуславливалось большими угловыми скоростями цели, а с другой – значительными усилиями для удерживания пулемета при прицеливании и стрельбе. Дело в том, что для выполнения грубой наводки на цель штурману приходилось одной рукой (правой) удерживать пулемет, а другой рукой (левой) – фиксировать стопор каретки установки и одновременно «доворачивать пулеметную установку на цель». После окончания грубой наводки штурман переносил левую руку на пулемет для точного прицеливания, но положение цели за это время менялось настолько, что она оказывалась за пределами углового сектора точной наводки пулемета. Требовалось вновь перемещать саму установку и выполнять точную наводку пулеметом и т. д. То есть «одной рукой довести пулемет и прицелиться невозможно».</w:t>
      </w:r>
    </w:p>
    <w:p w14:paraId="5149BEA7" w14:textId="77777777" w:rsidR="001A00DE" w:rsidRPr="007224C3" w:rsidRDefault="001A00D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Положение усугублялось еще и тем обстоятельством, что при работе с пулеметом имело место «много мелких трудноуловимых препятствий, затруднявших маневр пулеметом и установкой».</w:t>
      </w:r>
    </w:p>
    <w:p w14:paraId="1523DAF9" w14:textId="77777777" w:rsidR="001A00DE" w:rsidRPr="007224C3" w:rsidRDefault="001A00D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Как следует из донесения Цветкова, производить прицеливание при стрельбе вверх было крайне неудобно, так как «приходится опускаться на корточки, и получается очень напряженное, неустойчивое положение». При поворотах установки на левый борт очень трудно использовать доводочные углы пулемета, требовалось менять положение туловища относительно оружия, а поскольку прицел располагался слева от пулемета, то для прицеливания нужно было втиснуться между пулеметом и установкой. К тому же сильно мешал установленный в кабине штурмана фотоаппарат АЩАФА-2. Положение стрелка было недостаточно устойчивым – во время прицеливания и стрельбы все время приходилось подыскивать место, куда бы поставить ноги. Отсюда потеря времени на прицеливание. Практически получалось так, что обеспечить прицельный огонь с левого борта было нельзя.</w:t>
      </w:r>
    </w:p>
    <w:p w14:paraId="1B942ED1" w14:textId="77777777" w:rsidR="001A00DE" w:rsidRPr="007224C3" w:rsidRDefault="001A00D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Стрельба с незастопоренной установкой показала, что пулемет в этом случае резко уходит к правому борту, а при стрельбе с застопоренной установкой пулемет сильно трясет.</w:t>
      </w:r>
    </w:p>
    <w:p w14:paraId="1ED4CFC9" w14:textId="77777777" w:rsidR="001A00DE" w:rsidRPr="007224C3" w:rsidRDefault="001A00D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Ведение прицельного огня на виражах оказалось невозможным, так как пулемет прижимает вниз, а «приподнять и удержать его не хватает силы», не говоря уже о том, чтобы одновременно с этим еще и поворачивать установку в сторону цели. Во время воздушного боя на виражах истребитель легко держался в хвосте и на первом же вираже заходил строго в хвост на дистанцию открытия действительного огня 100–150 м.</w:t>
      </w:r>
    </w:p>
    <w:p w14:paraId="65340CE9" w14:textId="77777777" w:rsidR="001A00DE" w:rsidRPr="007224C3" w:rsidRDefault="001A00D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мнению подполковника Цветкова, маневренность ВУ-8 и пулемета в целом явно недостаточная для эффективного отражения атак истребителей, «в лучшем случае она может позволить сделать одну прицельную очередь, и то с недостаточной точностью прицеливания». Одновременно отмечалось, что сама установка ВУ-8 заметно лучше, чем блистерная установка БЛУБ на Су-6, и несколько лучше, чем ВУБ-3 на Ил-2.</w:t>
      </w:r>
    </w:p>
    <w:p w14:paraId="18E03E02" w14:textId="77777777" w:rsidR="001A00DE" w:rsidRPr="007224C3" w:rsidRDefault="001A00D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Справедливости ради следует отметить, что при всех атаках со стороны задней полусферы летчик по команде штурмана энергичным маневром успевал доворачивать самолет таким образом, чтобы штурман мог держать противника в секторе обстрела. Это до некоторой степени компенсировало ограниченность углов обстрела установки, однако не обеспечивало ведение прицельной стрельбы.</w:t>
      </w:r>
    </w:p>
    <w:p w14:paraId="6DB793C3" w14:textId="77777777" w:rsidR="001A00DE" w:rsidRPr="007224C3" w:rsidRDefault="001A00D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отражении атак истребителя со стороны солнца выявилась еще одна интересная особенность ВУ-8 – плексиглас козырька установки слепил штурмана еще больше, чем солнце, вследствие чего прицеливаться было невозможно.</w:t>
      </w:r>
    </w:p>
    <w:p w14:paraId="36AC9328" w14:textId="77777777" w:rsidR="001A00DE" w:rsidRPr="007224C3" w:rsidRDefault="001A00D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Кроме этого, переговорное устройство штурмана и летчика работало неудовлетворительно: «… сильный треск и шум не давали разговаривать, переключатель абонентской коробки во время боя несколько раз самопроизвольно переключался в положение РС или РК, что нарушало связь с летчиком».</w:t>
      </w:r>
    </w:p>
    <w:p w14:paraId="15962DFD" w14:textId="77777777" w:rsidR="001A00DE" w:rsidRPr="007224C3" w:rsidRDefault="001A00D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Серьезными недостатками ВУ-8 считались небольшая емкость магазина пулемета УБК и большое время его смены. Полсотни патронов в магазине оказалось недостаточно для отражения даже одной атаки истребителя. В то же время на его замену уходило около одной минуты, что было совершенно неприемлемым для реальных условий боя. В отчете указывалось, что за счет некоторых конструктивных улучшений можно сократить время смены магазина до 45–50 секунд, но все равно оно оставалось большим.</w:t>
      </w:r>
    </w:p>
    <w:p w14:paraId="3D6F0F30" w14:textId="77777777" w:rsidR="001A00DE" w:rsidRPr="007224C3" w:rsidRDefault="001A00D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сравнению с ранее принятыми подобными установками преимуществ не имеет, за исключением того, что защищает стрелка от задувания», – констатировал подполковник Цветков после проведенного им воздушного боя с немецким истребителем.</w:t>
      </w:r>
    </w:p>
    <w:p w14:paraId="68A67AD4" w14:textId="77777777" w:rsidR="001A00DE" w:rsidRPr="007224C3" w:rsidRDefault="001A00D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выводах отчета предлагалось увеличить углы обстрела вверх и по горизонту и емкость магазина, хотя бы до 75 патронов, а также «отработать механизм, компенсирующий вес пулемета и магазина».</w:t>
      </w:r>
    </w:p>
    <w:p w14:paraId="55C3016A" w14:textId="77777777" w:rsidR="001A00DE" w:rsidRPr="007224C3" w:rsidRDefault="001A00D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Предъявлялись претензии и к спецоборудованию самолета. В частности, отмечалась плохая конструктивная проработка экранировки системы зажигания мотора, вследствие чего «уровень помех радиоприема вырастает до недопустимых величин». Схема коммутации средств радио- и внутрисамолетной связи не учитывала особенности работы экипажа на данном самолете – «летчик и штурман совмещают лишние функции».</w:t>
      </w:r>
    </w:p>
    <w:p w14:paraId="351A16A7" w14:textId="77777777" w:rsidR="001A00DE" w:rsidRPr="007224C3" w:rsidRDefault="001A00D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Несмотря на столь обширный перечень дефектов и недостатков Ил-АМ-42, в заключении акта по испытаниям самолет был рекомендован к запуску в серийное производство в вариантах штурмовика-бомбардировщика и разведчика-корректировщика.</w:t>
      </w:r>
    </w:p>
    <w:p w14:paraId="44E3C1A9" w14:textId="77777777" w:rsidR="001A00DE" w:rsidRPr="007224C3" w:rsidRDefault="001A00D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целью выявления боевых качеств Ил-АМ-42 предлагалось «выпустить войсковую серию этих самолетов». Причем когда акт подписывал начальник НИИ ВВС генерал-лейтенант П. А. Лосюков, то он собственноручно дописал к этому пункту документа: «…даже с 50 час. ресурсом АМ-42 (если не успеют моторы со 100 час. ресурсом)».</w:t>
      </w:r>
    </w:p>
    <w:p w14:paraId="708944B0" w14:textId="77777777" w:rsidR="001A00DE" w:rsidRPr="007224C3" w:rsidRDefault="001A00D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Военные специалисты считали необходимым «просить Наркома авиапромышленности тов. Шахурина А. И. дать задания: а) Главному конструктору мотора АМ-42 тов. Микулину А. А. довести опытный мотор до состояния пригодного к нормальной эксплуатации. б) Главному конструктору самолета Ил с АМ-42 тов. Ильюшину С. В. до запуска в серийное производство устранить дефекты, отмеченные в выводах…»</w:t>
      </w:r>
    </w:p>
    <w:p w14:paraId="5D1CFB0A" w14:textId="77777777" w:rsidR="001A00DE" w:rsidRPr="007224C3" w:rsidRDefault="001A00D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Что касается установки на самолет кассет ДАГ-10 и крупнокалиберных пушек 11П, а также величины бомбовой нагрузки с этими пушками, то решение планировалось принять после проведения испытаний 2-го экземпляра самолета Ил-АМ-42 (17490).</w:t>
      </w:r>
    </w:p>
    <w:p w14:paraId="3BD78613" w14:textId="77777777" w:rsidR="001A00DE" w:rsidRPr="007224C3" w:rsidRDefault="001A00DE" w:rsidP="007224C3">
      <w:pPr>
        <w:spacing w:after="0" w:line="240" w:lineRule="auto"/>
        <w:jc w:val="both"/>
        <w:rPr>
          <w:rFonts w:ascii="Times New Roman" w:hAnsi="Times New Roman"/>
          <w:color w:val="000000" w:themeColor="text1"/>
          <w:sz w:val="16"/>
          <w:szCs w:val="16"/>
        </w:rPr>
      </w:pPr>
    </w:p>
    <w:p w14:paraId="563F5FC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марта 1944 года гл. конструктор самолета Ил-2 С.В.И. писал письмо N 8/281с зам. наркома П.В. Дементьеву и гл. конструктору завода N 35 Жданову.</w:t>
      </w:r>
    </w:p>
    <w:p w14:paraId="5849CC6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Своим письмом N 1/70с от 12/I-44 г. мы просили Вас дать указание заводу N 35 спроектировать и изготовить на сам. Ил-2 с Ам-38ф два винта с новыми лопастями, с улучшенным качеством по взлету и сохранению существующей максимальной скорости. Это дало бы возможность вернуться к бомбовой нагрузке самолета в 400 кг.</w:t>
      </w:r>
    </w:p>
    <w:p w14:paraId="2232677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начальника 8 Гл. управления НКАП Алисов, согласно Вашего указания послал письмо N 31705 от 20/I-44 г. Гл. конструктору завода N 35 Жданову и в копии ко мне, о включении в план работы первого квартала изготовление 2-х новых винтов, но конкретного срока не указал.</w:t>
      </w:r>
    </w:p>
    <w:p w14:paraId="02B87CA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основании этого Жданов в телеграмме к нам 26/II-44 г. сообщил, что эти винты он может изготовить к 1 апреля с.г. Такая затяжка в поставке новых винтов будет означать, что эти винты в течение года не смогут быть установлены на самолеты Ил-2 с АМ-38ф и тем самым будет сорвана возможность возить бомбовую нагрузку 400 кг.</w:t>
      </w:r>
    </w:p>
    <w:p w14:paraId="7A93CC0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Прошу Вашего распоряжения гл. конструктору завода N 35 Жданову, о поставке двух винтов с новыми лопастями на завод N 240 для их испытания не позже 20 марта с.г. (2562,49).</w:t>
      </w:r>
    </w:p>
    <w:p w14:paraId="1306A72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462FC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марта 1944 утром удалось выполнить один часовой полет Ил-АМ-42 на замер скорости и скороподъемности по высо</w:t>
      </w:r>
      <w:r w:rsidRPr="007224C3">
        <w:rPr>
          <w:rFonts w:ascii="Times New Roman" w:hAnsi="Times New Roman"/>
          <w:color w:val="000000" w:themeColor="text1"/>
          <w:sz w:val="16"/>
          <w:szCs w:val="16"/>
        </w:rPr>
        <w:softHyphen/>
        <w:t>там, так как с 11.00 полеты были зап</w:t>
      </w:r>
      <w:r w:rsidRPr="007224C3">
        <w:rPr>
          <w:rFonts w:ascii="Times New Roman" w:hAnsi="Times New Roman"/>
          <w:color w:val="000000" w:themeColor="text1"/>
          <w:sz w:val="16"/>
          <w:szCs w:val="16"/>
        </w:rPr>
        <w:softHyphen/>
        <w:t>рещены. На следующий день погода благоприятствовала проведению ис</w:t>
      </w:r>
      <w:r w:rsidRPr="007224C3">
        <w:rPr>
          <w:rFonts w:ascii="Times New Roman" w:hAnsi="Times New Roman"/>
          <w:color w:val="000000" w:themeColor="text1"/>
          <w:sz w:val="16"/>
          <w:szCs w:val="16"/>
        </w:rPr>
        <w:softHyphen/>
        <w:t>пытаний, но в первом же полете на определение расхода горючего лоп</w:t>
      </w:r>
      <w:r w:rsidRPr="007224C3">
        <w:rPr>
          <w:rFonts w:ascii="Times New Roman" w:hAnsi="Times New Roman"/>
          <w:color w:val="000000" w:themeColor="text1"/>
          <w:sz w:val="16"/>
          <w:szCs w:val="16"/>
        </w:rPr>
        <w:softHyphen/>
        <w:t>нула трубка, подводящая воду к ле</w:t>
      </w:r>
      <w:r w:rsidRPr="007224C3">
        <w:rPr>
          <w:rFonts w:ascii="Times New Roman" w:hAnsi="Times New Roman"/>
          <w:color w:val="000000" w:themeColor="text1"/>
          <w:sz w:val="16"/>
          <w:szCs w:val="16"/>
        </w:rPr>
        <w:softHyphen/>
        <w:t>вому блоку цилиндров. Пришлось идти на посадку и устранять неисп</w:t>
      </w:r>
      <w:r w:rsidRPr="007224C3">
        <w:rPr>
          <w:rFonts w:ascii="Times New Roman" w:hAnsi="Times New Roman"/>
          <w:color w:val="000000" w:themeColor="text1"/>
          <w:sz w:val="16"/>
          <w:szCs w:val="16"/>
        </w:rPr>
        <w:softHyphen/>
        <w:t>равность (11427).</w:t>
      </w:r>
    </w:p>
    <w:p w14:paraId="7CA46F4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4E3CF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марта 1944 г. закончились летные заводские испытания 1-й экземпляр самолета МИГ с мотором АМ-39А с 2ТК-2Б без герметической кабины, которые проходили с 2 декабря 1943 г. На летные испытания этот самолет был выпущен с опозданием на 2 месяца из-за несвоевременной подачи мотора АМ-39 заводом N 300. За время летных испытаний, самолет произвел девять полетов, из них:</w:t>
      </w:r>
    </w:p>
    <w:p w14:paraId="1386392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полета без включения ТК на 1-й скорости нагнетателя на высотах до 5000 м,</w:t>
      </w:r>
    </w:p>
    <w:p w14:paraId="1F4A9FE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полета на 2-й скорости нагнетателя без включения ТК на высотах 800 и 3000 м,</w:t>
      </w:r>
    </w:p>
    <w:p w14:paraId="0CE6010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полета с включением ТК на высотах 1000, 2000, 3000, 4000, 8000 и 9300 м.</w:t>
      </w:r>
    </w:p>
    <w:p w14:paraId="6EC1DFF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время испытаний имело место падение давления масла и колебания в давлении бензина. Эти дефекты были устранены и в последних полетах не наблюдались. При полете 7.02.1944 года с работающим ТК самолет разбился. Летчик выбросился на парашюте с высоты 900 м. Причиной аварии самолета явилась неправильная оценка обстановки летчиком Журавлевым, которым было принято за начавшийся пожар - появление дыма в кабине и длинных факелов пламени из выхлопных патрубков ТК (1825,208).</w:t>
      </w:r>
    </w:p>
    <w:p w14:paraId="1EB963E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39E9F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марта 1944 г. было получено письмо (вх. No.025) из НИИ ВВС Старшему инженеру 25 ЗАП:</w:t>
      </w:r>
    </w:p>
    <w:p w14:paraId="4DD23F5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связи с поступлением на вооружение частей ВВС КА самолетов "Харрикейн" IID (с двумя подвесными 40-мм пушками) НИИ ВВС КА произвел летные испытания этого самолета.</w:t>
      </w:r>
    </w:p>
    <w:p w14:paraId="15D3C6F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Испытаниями установлено, что на пикировании на скорости 390 миль/час (630 км/час) по прибору с триммерами руля поворота, установленными нейтрально, поведение самолета нормальное, тенденции к затягиванию в пике нет. Усилия на рули нормальные.</w:t>
      </w:r>
    </w:p>
    <w:p w14:paraId="7883CE1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 в то же время на скорости порядка 380-385 миль/час (610-620 км/час) происходит отсасывание и срыв с замков обтекателей подкрыльевых пушек, что приводит к появлению заметной тряски плоскостей и вибрации педалей ножного управления.</w:t>
      </w:r>
    </w:p>
    <w:p w14:paraId="7386073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основе вышеизложенного скорость пикирования самолета "Харрикейн"1Ю ограничить до 375 миль/час (600 км/час). По технике пилотирования самолет "Харрикейн" IID не отличается от "Харрикейна" IIC.</w:t>
      </w:r>
    </w:p>
    <w:p w14:paraId="77CFD87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Дальность и продолжительность полета "Харрикейна" IID практически равны величинам их на IIC. Главный инженер ВВС КА ген.-полк. ИАС т. Репин приказал особенности этого типа самолета довести до сведения всего летно-технического состава, эксплуатирующего "Харрикейн" IID.</w:t>
      </w:r>
    </w:p>
    <w:p w14:paraId="7BB0476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 УТЭ ВВС КА ген.-л-т Шульговский (3187).</w:t>
      </w:r>
    </w:p>
    <w:p w14:paraId="34B1776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3F14B9" w14:textId="77777777" w:rsidR="000511D8"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6A0AB04E" w14:textId="77777777" w:rsidR="000511D8" w:rsidRPr="007224C3" w:rsidRDefault="000511D8"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71A9BE5" w14:textId="77777777" w:rsidR="000511D8" w:rsidRPr="007224C3" w:rsidRDefault="000511D8"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7 марта</w:t>
      </w:r>
      <w:r w:rsidRPr="007224C3">
        <w:rPr>
          <w:rFonts w:ascii="Times New Roman" w:hAnsi="Times New Roman"/>
          <w:color w:val="000000" w:themeColor="text1"/>
          <w:sz w:val="16"/>
          <w:szCs w:val="16"/>
        </w:rPr>
        <w:t xml:space="preserve"> в 1944 году на вооружение Красной Армии передается танковая колонна имени Дмитрия Донского, состоявшая из 40 танков, построенных на средства православных верующих. Танковая колонна «Дмитрий Донской» — танковая колонна, созданная по инициативе Русской православной церкви на пожертвования верующих и переданная в 1944 году танковым войскам СССР. В ее состав входили 19 танков Т-34-85 и 21 огнеметный танк ОТ-34. 30 декабря 1942 года митрополит Сергий обратился с призывом к архиереям, священникам и приходским общинам Русской Церкви: «Повторим от лица всей нашей Православной Церкви пример Преподобного Сергия Радонежского и пошлем нашей армии вместе с нашими молитвами и благословением вещественное показание нашего участия в общем подвиге: соорудим на наши пожертвования колонну танков имени Димитрия Донского» На строительство 40 танков было собрано свыше 8 миллионов рублей. В короткий срок они были построены на Нижне-Тагильском танковом заводе, и 7 марта 1944 года в 5 километрах северо-западнее Тулы, у деревни Горелки состоялась торжественная передача их армии. На церемонии со словом выступил митрополит Крутицкий и Коломенский Николай (это была первая в годы войны официальная встреча церковного иерарха с бойцами Красной Армии): «Гоните ненавистного врага из нашей Великой Руси. Пусть славное имя Дмитрия Донского ведет нас на </w:t>
      </w:r>
      <w:r w:rsidRPr="007224C3">
        <w:rPr>
          <w:rFonts w:ascii="Times New Roman" w:hAnsi="Times New Roman"/>
          <w:color w:val="000000" w:themeColor="text1"/>
          <w:sz w:val="16"/>
          <w:szCs w:val="16"/>
        </w:rPr>
        <w:lastRenderedPageBreak/>
        <w:t>битву за священную русскую землю. Вперед, к победе, братья-воины!» Танки поступили в 516 (21 танк) и 38 (19 танков) огнеметные танковые полки. Танки с надписью «Дмитрий Донской» по официальным данным уничтожили более 1400 гитлеровцев, 40 орудий, более 100 пулеметов, 38 танков (часть из них захватили целыми), 17 бронетранспортеров и более 100 автомобилей. После окончания Великой Отечественной войны уцелевшие танки колонны «Дмитрий Донской» были установлены на экспозиции в музеях вооружённых сил Москвы, Ленинграда и Тулы. В 2005 году, по благословению патриарха Алексия II, в московском Донском монастыре один из уцелевших танков колонны был установлен в память о прихожанах и священнослужителях, на чьи пожертвованные средства она была создана (15061).</w:t>
      </w:r>
    </w:p>
    <w:p w14:paraId="12DB67D3" w14:textId="77777777" w:rsidR="000511D8" w:rsidRPr="007224C3" w:rsidRDefault="000511D8" w:rsidP="007224C3">
      <w:pPr>
        <w:spacing w:after="0" w:line="240" w:lineRule="auto"/>
        <w:jc w:val="both"/>
        <w:rPr>
          <w:rFonts w:ascii="Times New Roman" w:hAnsi="Times New Roman"/>
          <w:color w:val="000000" w:themeColor="text1"/>
          <w:sz w:val="16"/>
          <w:szCs w:val="16"/>
        </w:rPr>
      </w:pPr>
    </w:p>
    <w:p w14:paraId="062AD602" w14:textId="77777777" w:rsidR="000511D8" w:rsidRPr="007224C3" w:rsidRDefault="000511D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марта 1944 г. ПИСЬМО СОТРУДНИКА ГРУ ГЕНШТАБА КРАСНОЙ АРМИИ А.А.АДАМСА НАЧАЛЬНИКУ ГРУ О ХОДЕ АМЕРИКАНСКИХ РАБОТ ПО СОЗДАНИЮ АТОМНОГО ОРУЖИЯ</w:t>
      </w:r>
    </w:p>
    <w:p w14:paraId="3460C1BA" w14:textId="77777777" w:rsidR="000511D8" w:rsidRPr="007224C3" w:rsidRDefault="000511D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Дорогой Директор!</w:t>
      </w:r>
    </w:p>
    <w:p w14:paraId="7EF4BC7B" w14:textId="77777777" w:rsidR="000511D8" w:rsidRPr="007224C3" w:rsidRDefault="000511D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Обычно я ограничиваюсь передачей материалов без препроводитель</w:t>
      </w:r>
      <w:r w:rsidRPr="007224C3">
        <w:rPr>
          <w:rFonts w:ascii="Times New Roman" w:hAnsi="Times New Roman"/>
          <w:color w:val="000000" w:themeColor="text1"/>
          <w:sz w:val="16"/>
          <w:szCs w:val="16"/>
        </w:rPr>
        <w:softHyphen/>
        <w:t>ного письма, потому что переписка в теперешней обстановке теряет смысл из-за больших промежутков времени между писанием и получением письма2. При той динамичности, с которой меняется конъюнктура, пись</w:t>
      </w:r>
      <w:r w:rsidRPr="007224C3">
        <w:rPr>
          <w:rFonts w:ascii="Times New Roman" w:hAnsi="Times New Roman"/>
          <w:color w:val="000000" w:themeColor="text1"/>
          <w:sz w:val="16"/>
          <w:szCs w:val="16"/>
        </w:rPr>
        <w:softHyphen/>
        <w:t>ма становятся устарелыми раньше, чем они доходят до адресата.</w:t>
      </w:r>
    </w:p>
    <w:p w14:paraId="0DEFB891" w14:textId="77777777" w:rsidR="000511D8" w:rsidRPr="007224C3" w:rsidRDefault="000511D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сей раз характер посылаемого материала настолько важен, что потребует как с моей стороны, так и с Вашей, особенно с Вашей, специ</w:t>
      </w:r>
      <w:r w:rsidRPr="007224C3">
        <w:rPr>
          <w:rFonts w:ascii="Times New Roman" w:hAnsi="Times New Roman"/>
          <w:color w:val="000000" w:themeColor="text1"/>
          <w:sz w:val="16"/>
          <w:szCs w:val="16"/>
        </w:rPr>
        <w:softHyphen/>
        <w:t>ального внимания и срочных действий вне зависимости от степени на</w:t>
      </w:r>
      <w:r w:rsidRPr="007224C3">
        <w:rPr>
          <w:rFonts w:ascii="Times New Roman" w:hAnsi="Times New Roman"/>
          <w:color w:val="000000" w:themeColor="text1"/>
          <w:sz w:val="16"/>
          <w:szCs w:val="16"/>
        </w:rPr>
        <w:softHyphen/>
        <w:t>грузки, которая, я не сомневаюсь, у Вас в настоящий момент огромная.</w:t>
      </w:r>
    </w:p>
    <w:p w14:paraId="40884C25" w14:textId="77777777" w:rsidR="000511D8" w:rsidRPr="007224C3" w:rsidRDefault="000511D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 знаю, в какой степени Вы осведомлены, что здесь усиленно рабо</w:t>
      </w:r>
      <w:r w:rsidRPr="007224C3">
        <w:rPr>
          <w:rFonts w:ascii="Times New Roman" w:hAnsi="Times New Roman"/>
          <w:color w:val="000000" w:themeColor="text1"/>
          <w:sz w:val="16"/>
          <w:szCs w:val="16"/>
        </w:rPr>
        <w:softHyphen/>
        <w:t>тают над проблемой использования энергии урания3 (не уверен, так ли по-русски называется этот элемент) для военных целей. Я лично недо</w:t>
      </w:r>
      <w:r w:rsidRPr="007224C3">
        <w:rPr>
          <w:rFonts w:ascii="Times New Roman" w:hAnsi="Times New Roman"/>
          <w:color w:val="000000" w:themeColor="text1"/>
          <w:sz w:val="16"/>
          <w:szCs w:val="16"/>
        </w:rPr>
        <w:softHyphen/>
        <w:t>статочно знаю молекулярную физику, чтобы Вам изложить подробно, в чем заключается задача этой работы, но могу доложить, что эта работа уже здесь находится в стадии технологии по производству нового эле</w:t>
      </w:r>
      <w:r w:rsidRPr="007224C3">
        <w:rPr>
          <w:rFonts w:ascii="Times New Roman" w:hAnsi="Times New Roman"/>
          <w:color w:val="000000" w:themeColor="text1"/>
          <w:sz w:val="16"/>
          <w:szCs w:val="16"/>
        </w:rPr>
        <w:softHyphen/>
        <w:t>мента — плутониума, который должен сыграть огромную роль в настоя</w:t>
      </w:r>
      <w:r w:rsidRPr="007224C3">
        <w:rPr>
          <w:rFonts w:ascii="Times New Roman" w:hAnsi="Times New Roman"/>
          <w:color w:val="000000" w:themeColor="text1"/>
          <w:sz w:val="16"/>
          <w:szCs w:val="16"/>
        </w:rPr>
        <w:softHyphen/>
        <w:t>щей войне. Только физики уровня нашего Иоффе могут разобраться в препровождаемом материале. Для характеристики того внимания, ка</w:t>
      </w:r>
      <w:r w:rsidRPr="007224C3">
        <w:rPr>
          <w:rFonts w:ascii="Times New Roman" w:hAnsi="Times New Roman"/>
          <w:color w:val="000000" w:themeColor="text1"/>
          <w:sz w:val="16"/>
          <w:szCs w:val="16"/>
        </w:rPr>
        <w:softHyphen/>
        <w:t>кое уделяется этой теме, могу указать на следующее.</w:t>
      </w:r>
    </w:p>
    <w:p w14:paraId="47DE0D7E" w14:textId="77777777" w:rsidR="000511D8" w:rsidRPr="007224C3" w:rsidRDefault="000511D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Секретный фонд в один миллиард долларов, находящийся в личном распоряжении президента, ассигнован и уже почти израсходован на ис</w:t>
      </w:r>
      <w:r w:rsidRPr="007224C3">
        <w:rPr>
          <w:rFonts w:ascii="Times New Roman" w:hAnsi="Times New Roman"/>
          <w:color w:val="000000" w:themeColor="text1"/>
          <w:sz w:val="16"/>
          <w:szCs w:val="16"/>
        </w:rPr>
        <w:softHyphen/>
        <w:t>следовательскую работу и работу по разработке технологии производства названных раньше элементов. Шесть ученых с мировыми именами, такие как Ферми, Аллисон, Комптон, Урей, Оппенгаймер1 и др. (большинство -получившие Нобелевскую премию), стоят во главе этого проекта.</w:t>
      </w:r>
    </w:p>
    <w:p w14:paraId="2CB883C0" w14:textId="77777777" w:rsidR="000511D8" w:rsidRPr="007224C3" w:rsidRDefault="000511D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Тысячи инженеров и техников различных специальностей участву</w:t>
      </w:r>
      <w:r w:rsidRPr="007224C3">
        <w:rPr>
          <w:rFonts w:ascii="Times New Roman" w:hAnsi="Times New Roman"/>
          <w:color w:val="000000" w:themeColor="text1"/>
          <w:sz w:val="16"/>
          <w:szCs w:val="16"/>
        </w:rPr>
        <w:softHyphen/>
        <w:t>ют в этой работе. Сотни высококвалифицированных врачей изучают влияние радиоактивных излучений этих материалов на человеческий организм во время экспериментирования и производства. В универси</w:t>
      </w:r>
      <w:r w:rsidRPr="007224C3">
        <w:rPr>
          <w:rFonts w:ascii="Times New Roman" w:hAnsi="Times New Roman"/>
          <w:color w:val="000000" w:themeColor="text1"/>
          <w:sz w:val="16"/>
          <w:szCs w:val="16"/>
        </w:rPr>
        <w:softHyphen/>
        <w:t>тетах, где были сконцентрированы исследовательские работы (Чикаг</w:t>
      </w:r>
      <w:r w:rsidRPr="007224C3">
        <w:rPr>
          <w:rFonts w:ascii="Times New Roman" w:hAnsi="Times New Roman"/>
          <w:color w:val="000000" w:themeColor="text1"/>
          <w:sz w:val="16"/>
          <w:szCs w:val="16"/>
        </w:rPr>
        <w:softHyphen/>
        <w:t>ский, Колумбийский и др.), были построены огромные здания специаль</w:t>
      </w:r>
      <w:r w:rsidRPr="007224C3">
        <w:rPr>
          <w:rFonts w:ascii="Times New Roman" w:hAnsi="Times New Roman"/>
          <w:color w:val="000000" w:themeColor="text1"/>
          <w:sz w:val="16"/>
          <w:szCs w:val="16"/>
        </w:rPr>
        <w:softHyphen/>
        <w:t>но для этих работ. Специальная комиссия, состоящая из наивысших во</w:t>
      </w:r>
      <w:r w:rsidRPr="007224C3">
        <w:rPr>
          <w:rFonts w:ascii="Times New Roman" w:hAnsi="Times New Roman"/>
          <w:color w:val="000000" w:themeColor="text1"/>
          <w:sz w:val="16"/>
          <w:szCs w:val="16"/>
        </w:rPr>
        <w:softHyphen/>
        <w:t>енных лиц и ученых, руководит этими работами.</w:t>
      </w:r>
    </w:p>
    <w:p w14:paraId="3DA32295" w14:textId="77777777" w:rsidR="000511D8" w:rsidRPr="007224C3" w:rsidRDefault="000511D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Три основных метода производства плутониума применялись в пер</w:t>
      </w:r>
      <w:r w:rsidRPr="007224C3">
        <w:rPr>
          <w:rFonts w:ascii="Times New Roman" w:hAnsi="Times New Roman"/>
          <w:color w:val="000000" w:themeColor="text1"/>
          <w:sz w:val="16"/>
          <w:szCs w:val="16"/>
        </w:rPr>
        <w:softHyphen/>
        <w:t>воначальной стадии исследований: диффузионный метод, масс-спект-рометрический метод и метод атомной трансмутации2. По-видимому, последний метод дал более положительные результаты. Это важно знать нашим ученым, если у нас кто-нибудь ведет работу в этой области, пото</w:t>
      </w:r>
      <w:r w:rsidRPr="007224C3">
        <w:rPr>
          <w:rFonts w:ascii="Times New Roman" w:hAnsi="Times New Roman"/>
          <w:color w:val="000000" w:themeColor="text1"/>
          <w:sz w:val="16"/>
          <w:szCs w:val="16"/>
        </w:rPr>
        <w:softHyphen/>
        <w:t>му что здесь затратили более ста миллионов долларов раньше, чем уста</w:t>
      </w:r>
      <w:r w:rsidRPr="007224C3">
        <w:rPr>
          <w:rFonts w:ascii="Times New Roman" w:hAnsi="Times New Roman"/>
          <w:color w:val="000000" w:themeColor="text1"/>
          <w:sz w:val="16"/>
          <w:szCs w:val="16"/>
        </w:rPr>
        <w:softHyphen/>
        <w:t>новили, какой из этих методов более пригоден для практического про</w:t>
      </w:r>
      <w:r w:rsidRPr="007224C3">
        <w:rPr>
          <w:rFonts w:ascii="Times New Roman" w:hAnsi="Times New Roman"/>
          <w:color w:val="000000" w:themeColor="text1"/>
          <w:sz w:val="16"/>
          <w:szCs w:val="16"/>
        </w:rPr>
        <w:softHyphen/>
        <w:t>изводства этого нового элемента в количествах, могущих оказать влия</w:t>
      </w:r>
      <w:r w:rsidRPr="007224C3">
        <w:rPr>
          <w:rFonts w:ascii="Times New Roman" w:hAnsi="Times New Roman"/>
          <w:color w:val="000000" w:themeColor="text1"/>
          <w:sz w:val="16"/>
          <w:szCs w:val="16"/>
        </w:rPr>
        <w:softHyphen/>
        <w:t>ние на ход текущей войны.</w:t>
      </w:r>
    </w:p>
    <w:p w14:paraId="3672930F" w14:textId="77777777" w:rsidR="000511D8" w:rsidRPr="007224C3" w:rsidRDefault="000511D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Созданы новые химические и физические организации по произ</w:t>
      </w:r>
      <w:r w:rsidRPr="007224C3">
        <w:rPr>
          <w:rFonts w:ascii="Times New Roman" w:hAnsi="Times New Roman"/>
          <w:color w:val="000000" w:themeColor="text1"/>
          <w:sz w:val="16"/>
          <w:szCs w:val="16"/>
        </w:rPr>
        <w:softHyphen/>
        <w:t>водству ряда вспомогательного оборудования и материалов. Так, напри</w:t>
      </w:r>
      <w:r w:rsidRPr="007224C3">
        <w:rPr>
          <w:rFonts w:ascii="Times New Roman" w:hAnsi="Times New Roman"/>
          <w:color w:val="000000" w:themeColor="text1"/>
          <w:sz w:val="16"/>
          <w:szCs w:val="16"/>
        </w:rPr>
        <w:softHyphen/>
        <w:t>мер, производство тяжелой воды (DO), которая раньше была лабора</w:t>
      </w:r>
      <w:r w:rsidRPr="007224C3">
        <w:rPr>
          <w:rFonts w:ascii="Times New Roman" w:hAnsi="Times New Roman"/>
          <w:color w:val="000000" w:themeColor="text1"/>
          <w:sz w:val="16"/>
          <w:szCs w:val="16"/>
        </w:rPr>
        <w:softHyphen/>
        <w:t>торной редкостью, а теперь нужна в количествах сотен тонн. Ураний и бериллий высокой чистоты нужны в количествах тысяч тонн.</w:t>
      </w:r>
    </w:p>
    <w:p w14:paraId="648073A0" w14:textId="77777777" w:rsidR="000511D8" w:rsidRPr="007224C3" w:rsidRDefault="000511D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числе посылаемых материалов имеются спецификации на все ма</w:t>
      </w:r>
      <w:r w:rsidRPr="007224C3">
        <w:rPr>
          <w:rFonts w:ascii="Times New Roman" w:hAnsi="Times New Roman"/>
          <w:color w:val="000000" w:themeColor="text1"/>
          <w:sz w:val="16"/>
          <w:szCs w:val="16"/>
        </w:rPr>
        <w:softHyphen/>
        <w:t>териалы, идущие в процесс производства.</w:t>
      </w:r>
    </w:p>
    <w:p w14:paraId="2EE09E69" w14:textId="77777777" w:rsidR="000511D8" w:rsidRPr="007224C3" w:rsidRDefault="000511D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Пилотный завод в 700 киловатт производит один миллиграмм плу</w:t>
      </w:r>
      <w:r w:rsidRPr="007224C3">
        <w:rPr>
          <w:rFonts w:ascii="Times New Roman" w:hAnsi="Times New Roman"/>
          <w:color w:val="000000" w:themeColor="text1"/>
          <w:sz w:val="16"/>
          <w:szCs w:val="16"/>
        </w:rPr>
        <w:softHyphen/>
        <w:t>тония в день. Первая большая установка в 50 000 киловатт будет пущена 1 мая сего года, и подачу продукта предполагают начать в сентябре теку</w:t>
      </w:r>
      <w:r w:rsidRPr="007224C3">
        <w:rPr>
          <w:rFonts w:ascii="Times New Roman" w:hAnsi="Times New Roman"/>
          <w:color w:val="000000" w:themeColor="text1"/>
          <w:sz w:val="16"/>
          <w:szCs w:val="16"/>
        </w:rPr>
        <w:softHyphen/>
        <w:t>щего года. В стройке несколько заводов, и все они размещены в районах обилия электроэнергии (Миссисипи и Новая Мексика). Сырье добы</w:t>
      </w:r>
      <w:r w:rsidRPr="007224C3">
        <w:rPr>
          <w:rFonts w:ascii="Times New Roman" w:hAnsi="Times New Roman"/>
          <w:color w:val="000000" w:themeColor="text1"/>
          <w:sz w:val="16"/>
          <w:szCs w:val="16"/>
        </w:rPr>
        <w:softHyphen/>
        <w:t>вается в рудниках радиоактивного материала (из которого получают радий), которые находятся в Канаде.</w:t>
      </w:r>
    </w:p>
    <w:p w14:paraId="7A2A0173" w14:textId="77777777" w:rsidR="000511D8" w:rsidRPr="007224C3" w:rsidRDefault="000511D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Моя связь — с источником высокой квалификации, который был бы более полезен, если бы он мог встретиться с нашими высококвалифи</w:t>
      </w:r>
      <w:r w:rsidRPr="007224C3">
        <w:rPr>
          <w:rFonts w:ascii="Times New Roman" w:hAnsi="Times New Roman"/>
          <w:color w:val="000000" w:themeColor="text1"/>
          <w:sz w:val="16"/>
          <w:szCs w:val="16"/>
        </w:rPr>
        <w:softHyphen/>
        <w:t>цированными химиками и физиками. Если возможности развития про</w:t>
      </w:r>
      <w:r w:rsidRPr="007224C3">
        <w:rPr>
          <w:rFonts w:ascii="Times New Roman" w:hAnsi="Times New Roman"/>
          <w:color w:val="000000" w:themeColor="text1"/>
          <w:sz w:val="16"/>
          <w:szCs w:val="16"/>
        </w:rPr>
        <w:softHyphen/>
        <w:t>изводства у нас имеются, то мы должны немедленно использовать мою связь и послать сюда минимум двух человек, знающих язык и тему или предмет. Сначала нужно в срочном порядке, а не в порядке очередности, ознакомиться с посылаемым мною материалом.</w:t>
      </w:r>
    </w:p>
    <w:p w14:paraId="38869AC7" w14:textId="77777777" w:rsidR="000511D8" w:rsidRPr="007224C3" w:rsidRDefault="000511D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Это — огромная работа. Это только начало. Я буду несколько раз получать от него материал. В первой оказии — около 1000 страниц.</w:t>
      </w:r>
    </w:p>
    <w:p w14:paraId="1EECA3D4" w14:textId="77777777" w:rsidR="000511D8" w:rsidRPr="007224C3" w:rsidRDefault="000511D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Материал сов. секретный, и здесь, несмотря на то, что я вертелся возле университетов около двух лет, до последнего времени ничего кон</w:t>
      </w:r>
      <w:r w:rsidRPr="007224C3">
        <w:rPr>
          <w:rFonts w:ascii="Times New Roman" w:hAnsi="Times New Roman"/>
          <w:color w:val="000000" w:themeColor="text1"/>
          <w:sz w:val="16"/>
          <w:szCs w:val="16"/>
        </w:rPr>
        <w:softHyphen/>
        <w:t>кретного узнать не мог. Здесь научились хранить секрет. На каждом пред</w:t>
      </w:r>
      <w:r w:rsidRPr="007224C3">
        <w:rPr>
          <w:rFonts w:ascii="Times New Roman" w:hAnsi="Times New Roman"/>
          <w:color w:val="000000" w:themeColor="text1"/>
          <w:sz w:val="16"/>
          <w:szCs w:val="16"/>
        </w:rPr>
        <w:softHyphen/>
        <w:t>приятии имеется управление отдача ФБИ4. Персонал тщательно прове</w:t>
      </w:r>
      <w:r w:rsidRPr="007224C3">
        <w:rPr>
          <w:rFonts w:ascii="Times New Roman" w:hAnsi="Times New Roman"/>
          <w:color w:val="000000" w:themeColor="text1"/>
          <w:sz w:val="16"/>
          <w:szCs w:val="16"/>
        </w:rPr>
        <w:softHyphen/>
        <w:t>ряется. Слухов вокруг этих предприятий масса. Лица, работающие на периферийных предприятиях, туда уезжают на год без права оставления территории предприятий, которые охраняются воинскими частями.</w:t>
      </w:r>
    </w:p>
    <w:p w14:paraId="7755C631" w14:textId="77777777" w:rsidR="000511D8" w:rsidRPr="007224C3" w:rsidRDefault="000511D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Как пример, могу указать, что здания, в которых производится ис</w:t>
      </w:r>
      <w:r w:rsidRPr="007224C3">
        <w:rPr>
          <w:rFonts w:ascii="Times New Roman" w:hAnsi="Times New Roman"/>
          <w:color w:val="000000" w:themeColor="text1"/>
          <w:sz w:val="16"/>
          <w:szCs w:val="16"/>
        </w:rPr>
        <w:softHyphen/>
        <w:t>пытание миллиграммных количеств добытого плутония, находятся вда</w:t>
      </w:r>
      <w:r w:rsidRPr="007224C3">
        <w:rPr>
          <w:rFonts w:ascii="Times New Roman" w:hAnsi="Times New Roman"/>
          <w:color w:val="000000" w:themeColor="text1"/>
          <w:sz w:val="16"/>
          <w:szCs w:val="16"/>
        </w:rPr>
        <w:softHyphen/>
        <w:t>ли от человеческого жилья. Стены зданий 40 футов толщиной из бари</w:t>
      </w:r>
      <w:r w:rsidRPr="007224C3">
        <w:rPr>
          <w:rFonts w:ascii="Times New Roman" w:hAnsi="Times New Roman"/>
          <w:color w:val="000000" w:themeColor="text1"/>
          <w:sz w:val="16"/>
          <w:szCs w:val="16"/>
        </w:rPr>
        <w:softHyphen/>
        <w:t>тового цемента. Контрольная установка, откуда производится управле</w:t>
      </w:r>
      <w:r w:rsidRPr="007224C3">
        <w:rPr>
          <w:rFonts w:ascii="Times New Roman" w:hAnsi="Times New Roman"/>
          <w:color w:val="000000" w:themeColor="text1"/>
          <w:sz w:val="16"/>
          <w:szCs w:val="16"/>
        </w:rPr>
        <w:softHyphen/>
        <w:t>ние испытанием, находится в 25 милях от самих зданий.</w:t>
      </w:r>
    </w:p>
    <w:p w14:paraId="30A13F43" w14:textId="77777777" w:rsidR="000511D8" w:rsidRPr="007224C3" w:rsidRDefault="000511D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Мой источник мне сообщил, что уже проектируется снаряд, кото</w:t>
      </w:r>
      <w:r w:rsidRPr="007224C3">
        <w:rPr>
          <w:rFonts w:ascii="Times New Roman" w:hAnsi="Times New Roman"/>
          <w:color w:val="000000" w:themeColor="text1"/>
          <w:sz w:val="16"/>
          <w:szCs w:val="16"/>
        </w:rPr>
        <w:softHyphen/>
        <w:t>рый, будучи сброшен на землю, излучением уничтожит все живущее в районе сотен миль. Он не желал бы, чтобы такой снаряд был бы сброшен на землю нашей страны. Это проектируется полное уничтожение Япо</w:t>
      </w:r>
      <w:r w:rsidRPr="007224C3">
        <w:rPr>
          <w:rFonts w:ascii="Times New Roman" w:hAnsi="Times New Roman"/>
          <w:color w:val="000000" w:themeColor="text1"/>
          <w:sz w:val="16"/>
          <w:szCs w:val="16"/>
        </w:rPr>
        <w:softHyphen/>
        <w:t>нии, но нет гарантии, что наши союзники не попытаются оказать влияние и на нас, когда в их распоряжении будет такое оружие. Никакие проти-восредства не известны всем исследователям в этой работе. Нам нужно также иметь такое средство воздействия, и мы теперь имеем возмож</w:t>
      </w:r>
      <w:r w:rsidRPr="007224C3">
        <w:rPr>
          <w:rFonts w:ascii="Times New Roman" w:hAnsi="Times New Roman"/>
          <w:color w:val="000000" w:themeColor="text1"/>
          <w:sz w:val="16"/>
          <w:szCs w:val="16"/>
        </w:rPr>
        <w:softHyphen/>
        <w:t>ность получать достаточно данных, чтобы вести самим работы в этом направлении.</w:t>
      </w:r>
    </w:p>
    <w:p w14:paraId="3504B1C0" w14:textId="77777777" w:rsidR="000511D8" w:rsidRPr="007224C3" w:rsidRDefault="000511D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Мне трудно писать. Мое зрение весьма ограничено1, но мои письма не важны, а важен материал; надеюсь, что ему будет уделено нужное вни</w:t>
      </w:r>
      <w:r w:rsidRPr="007224C3">
        <w:rPr>
          <w:rFonts w:ascii="Times New Roman" w:hAnsi="Times New Roman"/>
          <w:color w:val="000000" w:themeColor="text1"/>
          <w:sz w:val="16"/>
          <w:szCs w:val="16"/>
        </w:rPr>
        <w:softHyphen/>
        <w:t>мание и последует быстрая реакция, которая будет мне руководством в дальнейшей работе.</w:t>
      </w:r>
    </w:p>
    <w:p w14:paraId="1023E660" w14:textId="77777777" w:rsidR="000511D8" w:rsidRPr="007224C3" w:rsidRDefault="000511D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 считаю, что практичные американцы, при всей их расточительно</w:t>
      </w:r>
      <w:r w:rsidRPr="007224C3">
        <w:rPr>
          <w:rFonts w:ascii="Times New Roman" w:hAnsi="Times New Roman"/>
          <w:color w:val="000000" w:themeColor="text1"/>
          <w:sz w:val="16"/>
          <w:szCs w:val="16"/>
        </w:rPr>
        <w:softHyphen/>
        <w:t>сти, не тратили бы таких огромных человеческих ресурсов наивысшей квалификации и гигантских средств на необещающую результатов ра</w:t>
      </w:r>
      <w:r w:rsidRPr="007224C3">
        <w:rPr>
          <w:rFonts w:ascii="Times New Roman" w:hAnsi="Times New Roman"/>
          <w:color w:val="000000" w:themeColor="text1"/>
          <w:sz w:val="16"/>
          <w:szCs w:val="16"/>
        </w:rPr>
        <w:softHyphen/>
        <w:t>боту.</w:t>
      </w:r>
    </w:p>
    <w:p w14:paraId="4C499943" w14:textId="77777777" w:rsidR="000511D8" w:rsidRPr="007224C3" w:rsidRDefault="000511D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Прошу выразить Вашу реакцию на это предложение проволокой'.</w:t>
      </w:r>
    </w:p>
    <w:p w14:paraId="3E897582" w14:textId="77777777" w:rsidR="000511D8" w:rsidRPr="007224C3" w:rsidRDefault="000511D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Посылаю образцы ураниума и бериллиума.</w:t>
      </w:r>
    </w:p>
    <w:p w14:paraId="3A6DD1B8" w14:textId="77777777" w:rsidR="000511D8" w:rsidRPr="007224C3" w:rsidRDefault="000511D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Привет</w:t>
      </w:r>
    </w:p>
    <w:p w14:paraId="2213635A" w14:textId="77777777" w:rsidR="000511D8" w:rsidRPr="007224C3" w:rsidRDefault="000511D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«Ахилл»</w:t>
      </w:r>
    </w:p>
    <w:p w14:paraId="5CD72F90" w14:textId="77777777" w:rsidR="000511D8" w:rsidRPr="007224C3" w:rsidRDefault="000511D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Печатается по: Атомный проект СССР: Документы и материалы. Т. 1.1938-1945. Часть 2. С. 42-45 (15493).</w:t>
      </w:r>
    </w:p>
    <w:p w14:paraId="4648862C" w14:textId="77777777" w:rsidR="000511D8" w:rsidRPr="007224C3" w:rsidRDefault="000511D8" w:rsidP="007224C3">
      <w:pPr>
        <w:spacing w:after="0" w:line="240" w:lineRule="auto"/>
        <w:jc w:val="both"/>
        <w:rPr>
          <w:rFonts w:ascii="Times New Roman" w:hAnsi="Times New Roman"/>
          <w:color w:val="000000" w:themeColor="text1"/>
          <w:sz w:val="16"/>
          <w:szCs w:val="16"/>
        </w:rPr>
      </w:pPr>
    </w:p>
    <w:p w14:paraId="67501E2C"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07A2762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E9C36F2" w14:textId="77777777" w:rsidR="000511D8" w:rsidRPr="007224C3" w:rsidRDefault="000511D8"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7 марта</w:t>
      </w:r>
      <w:r w:rsidRPr="007224C3">
        <w:rPr>
          <w:rFonts w:ascii="Times New Roman" w:hAnsi="Times New Roman"/>
          <w:color w:val="000000" w:themeColor="text1"/>
          <w:sz w:val="16"/>
          <w:szCs w:val="16"/>
        </w:rPr>
        <w:t xml:space="preserve"> в 1944 году оперативная сводка Совинформбюро:</w:t>
      </w:r>
    </w:p>
    <w:p w14:paraId="49F4CE43" w14:textId="77777777" w:rsidR="000511D8" w:rsidRPr="007224C3" w:rsidRDefault="000511D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7 марта войска 1-го Украинского фронта, продолжая развивать наступление, овладели районным центром Тарнопольской области городом и крупной железнодорожной станцией ПодволочиссК, районным центром Каменец-Подольской области Старая Синява, а также с боями заняли более 200 других населенных пунктов, в том числе Рыдомль, Свинюхи, Старый Олексинец, Доброводы, Игровица, Клебановка, Коршиловка, Вербовцы, Большие Пузырки, Драчи, Зеленцы, Жабче, Самчики, Свинная, Ладыги, Лажава, Десеровка, Пасечна, Ивки, Терешполь, Качановка, Скаржинцы, Беспечна и железнодорожные станции Четырбоки, Большие Пузырки, Лажава. Противник на ряде участков нашего наступления переходил в контратаки крупными силами пехоты и танков, но был отбит, понеся при этом большие потери в живой силе и технике.</w:t>
      </w:r>
    </w:p>
    <w:p w14:paraId="4F99ACFE" w14:textId="77777777" w:rsidR="000511D8" w:rsidRPr="007224C3" w:rsidRDefault="000511D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 разведка и в ряде пунктов бои местного значения.</w:t>
      </w:r>
    </w:p>
    <w:p w14:paraId="558E5F25" w14:textId="77777777" w:rsidR="000511D8" w:rsidRPr="007224C3" w:rsidRDefault="000511D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6 марта наши войска на всех фронтах подбили и уничтожили 78 немецких танков. В воздушных боях и огнём зенитной артиллерии сбит 71 самолёт противника.</w:t>
      </w:r>
    </w:p>
    <w:p w14:paraId="51E4E43C" w14:textId="77777777" w:rsidR="000511D8" w:rsidRPr="007224C3" w:rsidRDefault="000511D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1-го Украинского фронта продолжали успешное наступление и заняли более 200 населённых пунктов. Части Н-ского соединения, сломив упорное сопротивление противника, решительной атакой овладели районным центром Тарнопольской области — городом и крупной железнодорожной станцией Подволочисск. На поле боя осталось свыше 1.200 вражеских трупов и много разбитой техники противника. Захвачены трофеи и много пленных. На другом участке наши части, стремительно продвинувшись вперед, выбили противника из районного центра Каменец-Подольской области Старая Синява. В бою за этот пункт разгромлен полк немецкой пехоты. Захвачено 36 орудий, 25 миномётов, 87 пулемётов, 11 радиостанций и 250 автомашин. На ряде участков немцы контрударами пытались остановить наступление советских войск. Контратакующие пехота и танки противника были отброшены с большими для них потерями. По неполным данным, в течение дня уничтожено свыше 60 немецких танков и самоходных орудий, 19 бронетранспортёров и бронемашин.</w:t>
      </w:r>
    </w:p>
    <w:p w14:paraId="5514AAD0" w14:textId="77777777" w:rsidR="000511D8" w:rsidRPr="007224C3" w:rsidRDefault="000511D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районе железнодорожной станции Волочиск наши танкисты разгромили два войсковых штаба немцев, захватили несколько железнодорожных эшелонов и свыше 400 автомашин с различными военными грузами. В районном центре Фридриховка захвачены крупные склады с продовольствием и боеприпасами.</w:t>
      </w:r>
    </w:p>
    <w:p w14:paraId="14E9BF50" w14:textId="77777777" w:rsidR="000511D8" w:rsidRPr="007224C3" w:rsidRDefault="000511D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Нарвском направлении части Н-ского соединения выбили немцев из нескольких опорных пунктов. В боях за эти пункты уничтожено до 500 гитлеровцев. В другом районе немцы силами до полка пехоты в течение дня предприняли десять контратак, пытаясь вернуть потерянные ими позиции. Все контратаки противника отбиты с большими для него потерями. Наши бойцы прочно удерживают занятые позиции, имеющие важное значение.</w:t>
      </w:r>
    </w:p>
    <w:p w14:paraId="665D1A0E" w14:textId="77777777" w:rsidR="000511D8" w:rsidRPr="007224C3" w:rsidRDefault="000511D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В течение вчерашнего дня противник на поддержку своих наземных войск бросил в бой крупные силы авиации. В завязавшихся воздушных боях наши лётчики сбили 28 бомбардировщиков и 19 немецких истребителей. Кроме того, 8 самолётов противника уничтожены огнём советской зенитной артиллерии. Таким образом, всего за день сбито 55 немецких самолётов.</w:t>
      </w:r>
    </w:p>
    <w:p w14:paraId="1CBD7B8E" w14:textId="77777777" w:rsidR="000511D8" w:rsidRPr="007224C3" w:rsidRDefault="000511D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Партизанский отряд, действующий в Вилейской области, за месяц боевых действий пустил под откос 6 железнодорожных эшелонов противника. Действуя из засад на шоссе, советские патриоты уничтожили 16 грузовых и легковых автомашин, истребили 11 офицеров и 70 немецких солдат. Группа партизан, действующая в Белостокской области, организовала крушение немецкого воинского эшелона. Восстановительная команда извлекла из-под обломков вагонов свыше 100 трупов гитлеровцев, погибших во время крушения поезда.</w:t>
      </w:r>
    </w:p>
    <w:p w14:paraId="2C39C2B7" w14:textId="77777777" w:rsidR="000511D8" w:rsidRPr="007224C3" w:rsidRDefault="000511D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Взятый в плен на Первом Прибалтийском фронте командир 2 батальона 51 немецкого полка капитан Гюнтер фон Ганштейн рассказал: «Немецкое командование всячески скрывает истинное положение дел на фронте. Оно держит в полном неведении не только солдат, но даже и офицеров. О последних поражениях немецких войск под Ленинградом и на юге мы узнали из русских листовок и радиопередач. Особенно тяжёлое впечатление произвело на всех солдат известие об окружении и уничтожении десяти немецких дивизий в районе Корсунь-Шевченковский. Среди солдат имели место такие разговоры: «Германия уже войну проиграла», «Надо скорее выбраться отсюда, пока не поздно, иначе русские устроят нам такой же «котёл», как и на юге». На нашем участке рано утром русские произвели сильный огневой налёт. Я отдал приказ об отступлении, но было поздно. Русские танки уже находились в нашем тылу. Сопротивление было бессмысленно, и я сдался в плен».</w:t>
      </w:r>
    </w:p>
    <w:p w14:paraId="3EEFAEF0" w14:textId="77777777" w:rsidR="000511D8" w:rsidRPr="007224C3" w:rsidRDefault="000511D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Жители города Белая Церковь, Киевской области, составили акт о зверствах немецко-фашистских оккупантов. В акте говорится: «Как только немцы заняли наш город, они начали массовое истребление мирных жителей. Б августе и сентябре 1941 года фашистские изверги расстреляли несколько тысяч мирных жителей и закопали их в противотанковых рвах. Массовые расстрелы происходили также на территории стрелкового тира. Осенью 1943 года во дворе тюрьмы на Подвальной улице и в саду, прилегающем к ней, были замучены сотни советских граждан. Уже после освобождения города в этом саду обнаружено свыше 400 трупов. В январе 1944 года гестаповцы загнали 250 человек в один из домов в предместье города. Фашистские мерзавцы облили дом бензином и живьём сожгли запертых там советских людей. В конце лета и осенью прошлого года гитлеровские палачи начали заметать следы своих преступлений. Специальные команды вскрывали массовые могилы на территории стрелкового тира, обливали трупы горючей смесью и сжигали их».</w:t>
      </w:r>
    </w:p>
    <w:p w14:paraId="0C16F978" w14:textId="77777777" w:rsidR="000511D8" w:rsidRPr="007224C3" w:rsidRDefault="000511D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Акт подписали жители города Белая Церковь: врач Горохов, А.Евчук, Ю.Боровкова, У.Стрикун, С.Самарова, Е.Вилигура и другие.» (15061).</w:t>
      </w:r>
    </w:p>
    <w:p w14:paraId="686D209F" w14:textId="77777777" w:rsidR="000511D8" w:rsidRPr="007224C3" w:rsidRDefault="000511D8" w:rsidP="007224C3">
      <w:pPr>
        <w:spacing w:after="0" w:line="240" w:lineRule="auto"/>
        <w:jc w:val="both"/>
        <w:rPr>
          <w:rFonts w:ascii="Times New Roman" w:hAnsi="Times New Roman"/>
          <w:color w:val="000000" w:themeColor="text1"/>
          <w:sz w:val="16"/>
          <w:szCs w:val="16"/>
        </w:rPr>
      </w:pPr>
    </w:p>
    <w:p w14:paraId="3D895E2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марта 1944 на Таллиннском рейде первые мины сбросили "Бостоны" вновь сформированного 51-го МТАП. Наиболее тяжелые потери на авиаминах, несмотря на постоянное траление акватории, противник понес в районе Либавы. Только в ноябре на них подорвались следующие суда: Schiffber (2159 брт.), Dordrecht (3781 брт.), Memeland (6236 брт.) и Gerda Vith (1312 брт.). Насколько были болезненны эти утраты для немецкого командования, можно судить только по одному факту. Вместе с судном Schiffber, затонувшим 6 ноября, погиб весь его груз, предназначенный для окруженной группировки "Курляндия": 12 105-мм гаубиц, 7 пушек, 3 150-мм гаубицы, 17 20-мм зенитных автоматов, 1800 автоматов и пулеметов, 3 цистерны с машинным маслом, 250 т железнодорожных материалов и большое количество зим</w:t>
      </w:r>
      <w:r w:rsidRPr="007224C3">
        <w:rPr>
          <w:rFonts w:ascii="Times New Roman" w:hAnsi="Times New Roman"/>
          <w:color w:val="000000" w:themeColor="text1"/>
          <w:sz w:val="16"/>
          <w:szCs w:val="16"/>
        </w:rPr>
        <w:tab/>
        <w:t>него обмундирования. За 1944 год было выставлено 650 мин, в том числе 405 - в Финском заливе, 86 - в Рижском заливе, 159-у Виндавы и Либавы. (2867,32).</w:t>
      </w:r>
    </w:p>
    <w:p w14:paraId="59EE220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9C96A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ночь на 7 и утром 17 марта 1944 у Таллинна пропали без вести два «Бостона», что также представляется неслучайным. Всего в течение месяца полк лишился семи самолетов и экипажей, в том числе двух, возглавляемых Героями Советского Союза. Необходимо отметить, что при этом за месяц удалось произвести всего три торпедные атаки, ни одна из которых не увенчалась успехом. Попытку найти выход из наступающего кризиса предпринял командир полка Борзов. Он предложил перенести время атаки с дня на ночь, а обнаружение кораблей противника производить на «лунной дорожке» (9965).</w:t>
      </w:r>
    </w:p>
    <w:p w14:paraId="554B4C6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4BF8BF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марта 1944 две Аэрокобры 19 гиап, вед. пары мл.л. Кузнецов вылетели на перехват разведчика. Перехватили над Кировской дорогой и после нескольких атак - сбили. Доложили об уничтожении финского Пе-2, а на следующий день поисковая группа на месте падения обнаружила Ю_88 из 1 эск. 124 группы др. Ничего себе перепутали (3796).</w:t>
      </w:r>
    </w:p>
    <w:p w14:paraId="0369A6E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349E6C"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Жизнь и внутренняя политика:</w:t>
      </w:r>
    </w:p>
    <w:p w14:paraId="08AE590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39AE399"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марта 1944 на вооружение Красной Армии передана танковая колонна имени Дмитрия Донского, созданная на средства верующих (4962).</w:t>
      </w:r>
    </w:p>
    <w:p w14:paraId="081A2DF1"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F61235B"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7C964BB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CE3E72D" w14:textId="77777777" w:rsidR="000511D8" w:rsidRPr="007224C3" w:rsidRDefault="000511D8"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7 марта</w:t>
      </w:r>
      <w:r w:rsidRPr="007224C3">
        <w:rPr>
          <w:rFonts w:ascii="Times New Roman" w:hAnsi="Times New Roman"/>
          <w:color w:val="000000" w:themeColor="text1"/>
          <w:sz w:val="16"/>
          <w:szCs w:val="16"/>
        </w:rPr>
        <w:t xml:space="preserve"> в 1944 году закончено строительство второй серии истребителей </w:t>
      </w:r>
      <w:hyperlink r:id="rId70" w:tgtFrame="_blank" w:history="1">
        <w:r w:rsidRPr="007224C3">
          <w:rPr>
            <w:rFonts w:ascii="Times New Roman" w:hAnsi="Times New Roman"/>
            <w:color w:val="000000" w:themeColor="text1"/>
            <w:sz w:val="16"/>
            <w:szCs w:val="16"/>
          </w:rPr>
          <w:t xml:space="preserve">«Hejja II» </w:t>
        </w:r>
      </w:hyperlink>
      <w:r w:rsidRPr="007224C3">
        <w:rPr>
          <w:rFonts w:ascii="Times New Roman" w:hAnsi="Times New Roman"/>
          <w:color w:val="000000" w:themeColor="text1"/>
          <w:sz w:val="16"/>
          <w:szCs w:val="16"/>
        </w:rPr>
        <w:t>(разработчик: «MAVAG», Венгрия, Италия). На самолёте был установлен двигатель «Manfred Weiss» «WM К-14В», представлявшим из себя лицензионный двухрядный звездообразный «Gnome-Rhone» «К-14», мощностью 1000 л.с., вращавший трехлопастный винт «Гамильтон – Стандарт». В результате, длина фюзеляжа увеличилась на 350 мм. Установлены 12,7-мм пулемёты фирмы «Gebauer». Два последних самолёта серии были модифицированы в пикирующий бомбардировщик. Они получили тормозные решетки на крыльях и способность нести бомбы до 500 кг (15061).</w:t>
      </w:r>
    </w:p>
    <w:p w14:paraId="3E2883A3" w14:textId="77777777" w:rsidR="000511D8" w:rsidRPr="007224C3" w:rsidRDefault="000511D8" w:rsidP="007224C3">
      <w:pPr>
        <w:spacing w:after="0" w:line="240" w:lineRule="auto"/>
        <w:jc w:val="both"/>
        <w:rPr>
          <w:rFonts w:ascii="Times New Roman" w:hAnsi="Times New Roman"/>
          <w:color w:val="000000" w:themeColor="text1"/>
          <w:sz w:val="16"/>
          <w:szCs w:val="16"/>
        </w:rPr>
      </w:pPr>
    </w:p>
    <w:p w14:paraId="02F9074F" w14:textId="77777777" w:rsidR="00464D2B" w:rsidRPr="007224C3" w:rsidRDefault="00464D2B"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7–8 марта (ночь) 1944 304 британских бомбардировщика атакуют железнодорожные станции в Ле-Мане, Франция. Несмотря на облачность, 300 бомб попали в цкль, уничтожив 250 железнодорожных вагонов, поразив шесть локомотивов, перерезав пути и повредив поворотную платформу (20373).</w:t>
      </w:r>
    </w:p>
    <w:p w14:paraId="269A1DDE" w14:textId="77777777" w:rsidR="00464D2B" w:rsidRPr="007224C3" w:rsidRDefault="00464D2B" w:rsidP="007224C3">
      <w:pPr>
        <w:spacing w:after="0" w:line="240" w:lineRule="auto"/>
        <w:jc w:val="both"/>
        <w:rPr>
          <w:rFonts w:ascii="Times New Roman" w:hAnsi="Times New Roman"/>
          <w:color w:val="0070C0"/>
          <w:sz w:val="16"/>
          <w:szCs w:val="16"/>
        </w:rPr>
      </w:pPr>
    </w:p>
    <w:p w14:paraId="334ED95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марта 1944 немецкие самолеты с применением 1800-килограммовых мин-бомб разрушили мост у Ремагена. Тем не менее в 1944 г. ее разработка была прекращена.</w:t>
      </w:r>
    </w:p>
    <w:p w14:paraId="72F478E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1944 г. испытывалась мина-бомба SВ800RS Курт.</w:t>
      </w:r>
    </w:p>
    <w:p w14:paraId="27CF2CC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Глиссирующая (вращающаяся) «мини-бомба» с ракетными ускорителями SB 800RS (Kurt). Она разрабатывалась для поражения кораблей методом, схожим с топмачтовым бомбометанием. Конструкция бомбы была оригинальной. К сферической боевой части присоединялся ракетный ускоритель, снабженный кольцеобразным стабилизатором.</w:t>
      </w:r>
    </w:p>
    <w:p w14:paraId="51F4C54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Длина бомбы составляла 1910 мм, диаметр – 750 мм. Бомба сбрасывалась самолетом, не входившим в зону корабельной ПВО, с горизонтального полета – с высоты 20 м на удалении 4–4,5 км от корабля противника.</w:t>
      </w:r>
    </w:p>
    <w:p w14:paraId="363FF9A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После включения ракетного ускорителя бомба некоторое время летела над водной поверхностью, а затем, постепенно снижаясь, падала в воду. При ударе о воду ее хвостовая часть обламывалась и шарообразная бомба глиссировала по воде. Цель бомба поражала в борт в районе ватерлинии. Отклонение бомбы на спокойном море составляло +55 м на удалении точки сброса от объекта поражения 4500 м.</w:t>
      </w:r>
    </w:p>
    <w:p w14:paraId="4F582CA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этого использовался самолет-носитель Fw.190G. Затем были испытаны мины-бомбы массой в 1000 кг, имевшие обозначение SВ1000, SС1000 и SС1800 (1800 кг), которые в феврале-марте Fw.190G1 из эскадрильи NSG.20 сбрасывали на мосты. 7 марта немецкие самолеты с применением 1800-килограммовых бомб разрушили мост у Ремагена. Тем не менее в 1944 г. ее разработка была прекращена (11686).</w:t>
      </w:r>
    </w:p>
    <w:p w14:paraId="04B56E4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F54D723"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34CE33C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5A53FD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марта 1944 погода благоприятствовала проведению ис</w:t>
      </w:r>
      <w:r w:rsidRPr="007224C3">
        <w:rPr>
          <w:rFonts w:ascii="Times New Roman" w:hAnsi="Times New Roman"/>
          <w:color w:val="000000" w:themeColor="text1"/>
          <w:sz w:val="16"/>
          <w:szCs w:val="16"/>
        </w:rPr>
        <w:softHyphen/>
        <w:t>пытаний Ил-АМ-42, но в первом же полете на определение расхода горючего лоп</w:t>
      </w:r>
      <w:r w:rsidRPr="007224C3">
        <w:rPr>
          <w:rFonts w:ascii="Times New Roman" w:hAnsi="Times New Roman"/>
          <w:color w:val="000000" w:themeColor="text1"/>
          <w:sz w:val="16"/>
          <w:szCs w:val="16"/>
        </w:rPr>
        <w:softHyphen/>
        <w:t>нула трубка, подводящая воду к ле</w:t>
      </w:r>
      <w:r w:rsidRPr="007224C3">
        <w:rPr>
          <w:rFonts w:ascii="Times New Roman" w:hAnsi="Times New Roman"/>
          <w:color w:val="000000" w:themeColor="text1"/>
          <w:sz w:val="16"/>
          <w:szCs w:val="16"/>
        </w:rPr>
        <w:softHyphen/>
        <w:t>вому блоку цилиндров. Пришлось идти на посадку и устранять неисп</w:t>
      </w:r>
      <w:r w:rsidRPr="007224C3">
        <w:rPr>
          <w:rFonts w:ascii="Times New Roman" w:hAnsi="Times New Roman"/>
          <w:color w:val="000000" w:themeColor="text1"/>
          <w:sz w:val="16"/>
          <w:szCs w:val="16"/>
        </w:rPr>
        <w:softHyphen/>
        <w:t>равность (11427).</w:t>
      </w:r>
    </w:p>
    <w:p w14:paraId="0F901B0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6A1DF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марта 1944 П.М.Стефановский на МиГ-3ДД с АМ-39 (И-231 или 2Д) на аэродроме Чкаловская разбился (т.к. не вышли щитки и отказали тормоза - 5046,34), но остался жив. Полеты начались еще в феврале и тогда же был выполнен первый полет, но аэродром завалило снегом. На посадке врезался в сугроб (817). Вновь поступил в НИИ ВВС 12 мая (5046,34).</w:t>
      </w:r>
    </w:p>
    <w:p w14:paraId="500D0DB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D4C03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марта 1944 И-231 (2Д) А.И.М. с АМ-39А потерпел аварию из-за отказа щитков-закрылков и тормозов при посадке. Вскоре работы по И-231 были прекращены вследствие задержки с получением нового мотора (9032).</w:t>
      </w:r>
    </w:p>
    <w:p w14:paraId="3FDDB19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F240D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марта 1944 согласно журнала наблюдения за проектированием, постройкой и испытаниями МиГ-3 от 10 марта 1944 изд. 2Д при посадке потерпел аварию. Посадка осуществлена без использования щитков. В конце пробега с-т выкатился на неукатанную чаасть дорожки и скапоотировал. С-т отправлен завод для восстановления и ремонта (992,12).</w:t>
      </w:r>
    </w:p>
    <w:p w14:paraId="06ADB22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097367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марта 1944 г., выполнив программу испытаний, И-220 №01 завели в цех для установки серийного мотора АМ-39 (5669).</w:t>
      </w:r>
    </w:p>
    <w:p w14:paraId="5410451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37A4D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8 марта 1944, после ремонта модернизированного Ла-5 продолжились его гос. испытания. Когда большая часть программы была отработана, из-за производственного дефекта (плохая склейка) в воздухе разрушился 12-й шпангоут фюзеляжа, Кубышкин вновь сумел посадить поврежденный самолет. В отчете по испытаниям майор Кубышкин отметил, что значительно увеличилась горизонтальная скорость и скороподъемность, максимальная скорость достигла значения 680 км/ч на высоте 6250 м - лучший результат среди всех отечественных истребителей того времени. В то же время он указал и на недостатки "эталона 1944 г." - жара в кабине (+40-50° С), скапливание в кабине конденсата влаги, велики усилия на педалях, не предусмотрено быстрое покидание машины, отсутствует автоматика управления винто-моторной группой. Вывод Кубышкин сделал следующий: "Самолет по своим летным данным является одним из лучших истребителей. Необходимо форсировать серийную постройку с одновременным устранением вышеуказанных недостатков." (4707).</w:t>
      </w:r>
    </w:p>
    <w:p w14:paraId="64BB1D3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5C129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марта 1944 возобновились полеты Ла-5ФН “эталон 1944”. А 22 марта из-за заводского брака (плохой склейки) на рулении разрушился 12-й шпангоут. Но основная программа испытаний к этому времени уже была отработана.</w:t>
      </w:r>
    </w:p>
    <w:p w14:paraId="5C429F6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мнению Кубышкина, управлять самолётом стало легче, и решили, что такое состояние вполне приемлемо, за исключением руля поворота, нагрузки от которого заметно ощущались при изменении режима работы мотора. Из- за отсутствия триммера на этом руле лётчику приходилось прикладывать значительные усилия, чтобы на взлёте удержать истребитель от разворота. Температура в кабине, доходившая позднее в жару до 40°С, приносила, конечно, пилоту неудобства. Из-за плохой вентиляции в кабине постоянно чувствовалось присутствие отработанных газов и запах горелой резины. Но в целом самолёт по своим данным мог считаться одним из лучших истребителей своего времени.</w:t>
      </w:r>
    </w:p>
    <w:p w14:paraId="02EAC74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выводах отчёта по государственным испытаниям отмечалось: "Модифицированный самолёт Ла-5 эталон 1944 г.... по максимальной скорости, скороподъёмности стоит на уровне лучших современных истребительных самолётов, находящихся на вооружении ВВС КА и иностранных государств". Специалисты НИИ ВВС знали, что говорили, - ведь через их руки проходили не только советские боевые машины, но и трофейные немецкие, а также самолёты, поступавшие из Великобритании и США.</w:t>
      </w:r>
    </w:p>
    <w:p w14:paraId="03EBCED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заключении того же отчёта было записано: "Заданные постановлением ГКО № 5404 от 15 марта 1944 г. для улучшенного Ла-5 максимальная скорость 685 км/ч на высоте 6000 м и полётный вес 3250 кг... практически достигнуты. Рекомендовать в серийное производство самолёт Ла-5 эталон 1944 г. (Ла-7), как имеющий значительные преимущества в лётных данных над... Ла-5, с устранением отмеченных дефектов. Так как на самолёте... установлены опытные пушки УБ-20, испытания которых не закончены в НИИ АВ ВВС, считать целесообразным выпускать самолёты с серийным вооружением, т.е. две пушки СП-20 с боезапасом 340 патронов" (11986).</w:t>
      </w:r>
    </w:p>
    <w:p w14:paraId="086B55C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8C719F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марта 1944 первый серийный Як-3 N 06-01 выполнил 10-минутный полет с выпущенным шасси (65,172).</w:t>
      </w:r>
    </w:p>
    <w:p w14:paraId="293CD3E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9A4BCB" w14:textId="77777777" w:rsidR="000511D8" w:rsidRPr="007224C3" w:rsidRDefault="000511D8"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8 марта</w:t>
      </w:r>
      <w:r w:rsidRPr="007224C3">
        <w:rPr>
          <w:rFonts w:ascii="Times New Roman" w:hAnsi="Times New Roman"/>
          <w:color w:val="000000" w:themeColor="text1"/>
          <w:sz w:val="16"/>
          <w:szCs w:val="16"/>
        </w:rPr>
        <w:t xml:space="preserve"> в 1944 году состоялся первый полет серийного истребителя </w:t>
      </w:r>
      <w:hyperlink r:id="rId71" w:tgtFrame="_blank" w:history="1">
        <w:r w:rsidRPr="007224C3">
          <w:rPr>
            <w:rFonts w:ascii="Times New Roman" w:hAnsi="Times New Roman"/>
            <w:color w:val="000000" w:themeColor="text1"/>
            <w:sz w:val="16"/>
            <w:szCs w:val="16"/>
          </w:rPr>
          <w:t xml:space="preserve">«Як-3» </w:t>
        </w:r>
      </w:hyperlink>
      <w:r w:rsidRPr="007224C3">
        <w:rPr>
          <w:rFonts w:ascii="Times New Roman" w:hAnsi="Times New Roman"/>
          <w:color w:val="000000" w:themeColor="text1"/>
          <w:sz w:val="16"/>
          <w:szCs w:val="16"/>
        </w:rPr>
        <w:t>с двигателем «ВК-105ПФ2» (15062).</w:t>
      </w:r>
    </w:p>
    <w:p w14:paraId="435A5C6C" w14:textId="77777777" w:rsidR="000511D8" w:rsidRPr="007224C3" w:rsidRDefault="000511D8" w:rsidP="007224C3">
      <w:pPr>
        <w:spacing w:after="0" w:line="240" w:lineRule="auto"/>
        <w:jc w:val="both"/>
        <w:rPr>
          <w:rFonts w:ascii="Times New Roman" w:hAnsi="Times New Roman"/>
          <w:color w:val="000000" w:themeColor="text1"/>
          <w:sz w:val="16"/>
          <w:szCs w:val="16"/>
        </w:rPr>
      </w:pPr>
    </w:p>
    <w:p w14:paraId="7C98857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марта 1944 вышел приказ НКАП N 168cc в исполнение постановления ГКО N 5320сс от 5 марта 1944:</w:t>
      </w:r>
    </w:p>
    <w:p w14:paraId="0245AF4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Нач. 10 ГУ, зам. наркома А.И.Кузнецову и директору завода 22 Окулову:</w:t>
      </w:r>
    </w:p>
    <w:p w14:paraId="466115E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увеличить выпуск самолетов Пе-2 на заводе 22 и довести выпуск их в апреле с.г. до 10 в сутки. Производство самолетов Пе-3 и Пе-8 на заводе 22 прекратить, сохранив на заводе всю оснастку, приспособления и спец. инструмент для производства Пе-8</w:t>
      </w:r>
    </w:p>
    <w:p w14:paraId="1592D94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построить 4 Пе-8 в пассажирском варианте по проекту ГК Незваля, для чего использовать самолеты Пе-8 из числа готовых и находящихся в сборочном цехе завода 22</w:t>
      </w:r>
    </w:p>
    <w:p w14:paraId="3DA546E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Разрешить ГК Незваль продолжать на заводе 22 работы по модификации Пе-8 (1660,69).</w:t>
      </w:r>
    </w:p>
    <w:p w14:paraId="089E509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871CBB" w14:textId="77777777" w:rsidR="00750752" w:rsidRPr="007224C3" w:rsidRDefault="00750752" w:rsidP="007224C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4C3">
        <w:rPr>
          <w:rFonts w:ascii="Times New Roman" w:eastAsia="TimesNewRomanPSMT" w:hAnsi="Times New Roman"/>
          <w:iCs/>
          <w:color w:val="000000" w:themeColor="text1"/>
          <w:sz w:val="16"/>
          <w:szCs w:val="16"/>
        </w:rPr>
        <w:t>8 марта 1944 г.</w:t>
      </w:r>
    </w:p>
    <w:p w14:paraId="26660448" w14:textId="77777777" w:rsidR="00750752" w:rsidRPr="007224C3" w:rsidRDefault="00750752" w:rsidP="007224C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4C3">
        <w:rPr>
          <w:rFonts w:ascii="Times New Roman" w:eastAsia="TimesNewRomanPSMT" w:hAnsi="Times New Roman"/>
          <w:iCs/>
          <w:color w:val="000000" w:themeColor="text1"/>
          <w:sz w:val="16"/>
          <w:szCs w:val="16"/>
        </w:rPr>
        <w:t>Докладная записка2 заместителя начальника</w:t>
      </w:r>
    </w:p>
    <w:p w14:paraId="32BF0989" w14:textId="77777777" w:rsidR="00750752" w:rsidRPr="007224C3" w:rsidRDefault="00750752" w:rsidP="007224C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4C3">
        <w:rPr>
          <w:rFonts w:ascii="Times New Roman" w:eastAsia="TimesNewRomanPSMT" w:hAnsi="Times New Roman"/>
          <w:iCs/>
          <w:color w:val="000000" w:themeColor="text1"/>
          <w:sz w:val="16"/>
          <w:szCs w:val="16"/>
        </w:rPr>
        <w:t>10-го Главного управления НКАП Б.Н. Тарасевича</w:t>
      </w:r>
    </w:p>
    <w:p w14:paraId="65DD9C44" w14:textId="77777777" w:rsidR="00750752" w:rsidRPr="007224C3" w:rsidRDefault="00750752" w:rsidP="007224C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4C3">
        <w:rPr>
          <w:rFonts w:ascii="Times New Roman" w:eastAsia="TimesNewRomanPSMT" w:hAnsi="Times New Roman"/>
          <w:iCs/>
          <w:color w:val="000000" w:themeColor="text1"/>
          <w:sz w:val="16"/>
          <w:szCs w:val="16"/>
        </w:rPr>
        <w:t>заместителю наркома и начальнику 8-го Главного управления</w:t>
      </w:r>
    </w:p>
    <w:p w14:paraId="01C0D232" w14:textId="77777777" w:rsidR="00750752" w:rsidRPr="007224C3" w:rsidRDefault="00750752" w:rsidP="007224C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4C3">
        <w:rPr>
          <w:rFonts w:ascii="Times New Roman" w:eastAsia="TimesNewRomanPSMT" w:hAnsi="Times New Roman"/>
          <w:iCs/>
          <w:color w:val="000000" w:themeColor="text1"/>
          <w:sz w:val="16"/>
          <w:szCs w:val="16"/>
        </w:rPr>
        <w:t>НКАП В.П. Кузнецову и заместителю начальника</w:t>
      </w:r>
    </w:p>
    <w:p w14:paraId="5D4C7472" w14:textId="77777777" w:rsidR="00750752" w:rsidRPr="007224C3" w:rsidRDefault="00750752" w:rsidP="007224C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4C3">
        <w:rPr>
          <w:rFonts w:ascii="Times New Roman" w:eastAsia="TimesNewRomanPSMT" w:hAnsi="Times New Roman"/>
          <w:iCs/>
          <w:color w:val="000000" w:themeColor="text1"/>
          <w:sz w:val="16"/>
          <w:szCs w:val="16"/>
        </w:rPr>
        <w:t>3-го Главного управления НКАП М.Н. Степину</w:t>
      </w:r>
    </w:p>
    <w:p w14:paraId="591C20AB" w14:textId="77777777" w:rsidR="00750752" w:rsidRPr="007224C3" w:rsidRDefault="00750752" w:rsidP="007224C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4C3">
        <w:rPr>
          <w:rFonts w:ascii="Times New Roman" w:eastAsia="TimesNewRomanPSMT" w:hAnsi="Times New Roman"/>
          <w:iCs/>
          <w:color w:val="000000" w:themeColor="text1"/>
          <w:sz w:val="16"/>
          <w:szCs w:val="16"/>
        </w:rPr>
        <w:t>г. Москва 8 марта 1944 г.</w:t>
      </w:r>
    </w:p>
    <w:p w14:paraId="271E1624" w14:textId="77777777" w:rsidR="00750752" w:rsidRPr="007224C3" w:rsidRDefault="00750752" w:rsidP="007224C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4C3">
        <w:rPr>
          <w:rFonts w:ascii="Times New Roman" w:eastAsia="TimesNewRomanPSMT" w:hAnsi="Times New Roman"/>
          <w:iCs/>
          <w:color w:val="000000" w:themeColor="text1"/>
          <w:sz w:val="16"/>
          <w:szCs w:val="16"/>
        </w:rPr>
        <w:t>секретно</w:t>
      </w:r>
    </w:p>
    <w:p w14:paraId="48442AA2" w14:textId="77777777" w:rsidR="00750752" w:rsidRPr="007224C3" w:rsidRDefault="00750752" w:rsidP="007224C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4C3">
        <w:rPr>
          <w:rFonts w:ascii="Times New Roman" w:eastAsia="TimesNewRomanPSMT" w:hAnsi="Times New Roman"/>
          <w:iCs/>
          <w:color w:val="000000" w:themeColor="text1"/>
          <w:sz w:val="16"/>
          <w:szCs w:val="16"/>
        </w:rPr>
        <w:t>Для обеспечения выполнения плана строительства и выпуска в текущем году опытных гидросамолетов ЛЛ-143 конструкции тов. Бериева прошу Вашего указания заводу № 19 отгрузить заводу № 477 (г. Красноярск) 6 штук моторов М-71ф редукции 9:16 в следующие сроки: два мотора – в апреле, два мотора – в июле и два мотора – в сентябре 1944 года.</w:t>
      </w:r>
    </w:p>
    <w:p w14:paraId="7A247498" w14:textId="77777777" w:rsidR="00750752" w:rsidRPr="007224C3" w:rsidRDefault="00750752" w:rsidP="007224C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4C3">
        <w:rPr>
          <w:rFonts w:ascii="Times New Roman" w:eastAsia="TimesNewRomanPSMT" w:hAnsi="Times New Roman"/>
          <w:iCs/>
          <w:color w:val="000000" w:themeColor="text1"/>
          <w:sz w:val="16"/>
          <w:szCs w:val="16"/>
        </w:rPr>
        <w:t>Моторы д[олжны] б[ыть] укомплектованы генераторами ГС-1000с РК-32-1000, бензонасосами БНК-10, регуляторами оборотов винта Р-7, маслонасосами для автопилотов МК-1 или МШ-3, вакуумнасосами АК-4 и компрессорами АК-50.</w:t>
      </w:r>
    </w:p>
    <w:p w14:paraId="6399F310" w14:textId="77777777" w:rsidR="00750752" w:rsidRPr="007224C3" w:rsidRDefault="00750752" w:rsidP="007224C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4C3">
        <w:rPr>
          <w:rFonts w:ascii="Times New Roman" w:eastAsia="TimesNewRomanPSMT" w:hAnsi="Times New Roman"/>
          <w:iCs/>
          <w:color w:val="000000" w:themeColor="text1"/>
          <w:sz w:val="16"/>
          <w:szCs w:val="16"/>
        </w:rPr>
        <w:t>Об отгрузке моторов прошу сообщить.</w:t>
      </w:r>
    </w:p>
    <w:p w14:paraId="240E92CB" w14:textId="77777777" w:rsidR="00750752" w:rsidRPr="007224C3" w:rsidRDefault="00750752" w:rsidP="007224C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4C3">
        <w:rPr>
          <w:rFonts w:ascii="Times New Roman" w:eastAsia="TimesNewRomanPSMT" w:hAnsi="Times New Roman"/>
          <w:iCs/>
          <w:color w:val="000000" w:themeColor="text1"/>
          <w:sz w:val="16"/>
          <w:szCs w:val="16"/>
        </w:rPr>
        <w:t>Зам[еститель] начальника</w:t>
      </w:r>
    </w:p>
    <w:p w14:paraId="5E223163" w14:textId="77777777" w:rsidR="00750752" w:rsidRPr="007224C3" w:rsidRDefault="00750752" w:rsidP="007224C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4C3">
        <w:rPr>
          <w:rFonts w:ascii="Times New Roman" w:eastAsia="TimesNewRomanPSMT" w:hAnsi="Times New Roman"/>
          <w:iCs/>
          <w:color w:val="000000" w:themeColor="text1"/>
          <w:sz w:val="16"/>
          <w:szCs w:val="16"/>
        </w:rPr>
        <w:t>10-го Главного управления подпись Тарасевич</w:t>
      </w:r>
    </w:p>
    <w:p w14:paraId="60CD9348" w14:textId="77777777" w:rsidR="00750752" w:rsidRPr="007224C3" w:rsidRDefault="00750752" w:rsidP="007224C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4C3">
        <w:rPr>
          <w:rFonts w:ascii="Times New Roman" w:eastAsia="TimesNewRomanPSMT" w:hAnsi="Times New Roman"/>
          <w:iCs/>
          <w:color w:val="000000" w:themeColor="text1"/>
          <w:sz w:val="16"/>
          <w:szCs w:val="16"/>
        </w:rPr>
        <w:t>1 Подпись отсутствует</w:t>
      </w:r>
    </w:p>
    <w:p w14:paraId="499815B6" w14:textId="77777777" w:rsidR="00750752" w:rsidRPr="007224C3" w:rsidRDefault="00750752" w:rsidP="007224C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4C3">
        <w:rPr>
          <w:rFonts w:ascii="Times New Roman" w:eastAsia="TimesNewRomanPSMT" w:hAnsi="Times New Roman"/>
          <w:iCs/>
          <w:color w:val="000000" w:themeColor="text1"/>
          <w:sz w:val="16"/>
          <w:szCs w:val="16"/>
        </w:rPr>
        <w:t>2 Название документа: «По вопросу поставки моторов М-71ф». Копия</w:t>
      </w:r>
    </w:p>
    <w:p w14:paraId="6A85B7D0" w14:textId="77777777" w:rsidR="00750752" w:rsidRPr="007224C3" w:rsidRDefault="00750752" w:rsidP="007224C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4C3">
        <w:rPr>
          <w:rFonts w:ascii="Times New Roman" w:eastAsia="TimesNewRomanPSMT" w:hAnsi="Times New Roman"/>
          <w:iCs/>
          <w:color w:val="000000" w:themeColor="text1"/>
          <w:sz w:val="16"/>
          <w:szCs w:val="16"/>
        </w:rPr>
        <w:t>документа направлена директору завода № 477 И.Я. Рехтману</w:t>
      </w:r>
    </w:p>
    <w:p w14:paraId="26E99875" w14:textId="77777777" w:rsidR="00750752" w:rsidRPr="007224C3" w:rsidRDefault="00750752" w:rsidP="007224C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4C3">
        <w:rPr>
          <w:rFonts w:ascii="Times New Roman" w:eastAsia="TimesNewRomanPSMT" w:hAnsi="Times New Roman"/>
          <w:iCs/>
          <w:color w:val="000000" w:themeColor="text1"/>
          <w:sz w:val="16"/>
          <w:szCs w:val="16"/>
        </w:rPr>
        <w:t>КГКУ «ГАКК». Ф.Р-1341. Оп. 4. Д. 126. Л. 42. Подлинник. Машинопись (19799).</w:t>
      </w:r>
    </w:p>
    <w:p w14:paraId="6A8A7793" w14:textId="77777777" w:rsidR="00750752" w:rsidRPr="007224C3" w:rsidRDefault="00750752" w:rsidP="007224C3">
      <w:pPr>
        <w:autoSpaceDE w:val="0"/>
        <w:autoSpaceDN w:val="0"/>
        <w:adjustRightInd w:val="0"/>
        <w:spacing w:after="0" w:line="240" w:lineRule="auto"/>
        <w:jc w:val="both"/>
        <w:rPr>
          <w:rFonts w:ascii="Times New Roman" w:eastAsia="TimesNewRomanPSMT" w:hAnsi="Times New Roman"/>
          <w:iCs/>
          <w:color w:val="000000" w:themeColor="text1"/>
          <w:sz w:val="16"/>
          <w:szCs w:val="16"/>
        </w:rPr>
      </w:pPr>
    </w:p>
    <w:p w14:paraId="55086AF9" w14:textId="77777777" w:rsidR="00B3265C" w:rsidRPr="007224C3" w:rsidRDefault="00B3265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8 марта 1944 г.</w:t>
      </w:r>
    </w:p>
    <w:p w14:paraId="3EFCB00B" w14:textId="77777777" w:rsidR="00B3265C" w:rsidRPr="007224C3" w:rsidRDefault="00B3265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Докладная записка заместителя начальника 10-го Главного управления НКАП Б.Н. Тарасевича заместителю наркома и начальнику 8-го Главного управления НКАП В.П. Кузнецову и заместителю начальника 3-го Главного управления НКАП М.Н. Степину</w:t>
      </w:r>
    </w:p>
    <w:p w14:paraId="7EFA6AD0" w14:textId="77777777" w:rsidR="00B3265C" w:rsidRPr="007224C3" w:rsidRDefault="00B3265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г. Москва</w:t>
      </w:r>
      <w:r w:rsidRPr="007224C3">
        <w:rPr>
          <w:rFonts w:ascii="Times New Roman" w:hAnsi="Times New Roman"/>
          <w:color w:val="0070C0"/>
          <w:sz w:val="16"/>
          <w:szCs w:val="16"/>
        </w:rPr>
        <w:tab/>
        <w:t>8 марта 1944 г.</w:t>
      </w:r>
    </w:p>
    <w:p w14:paraId="67E09F14" w14:textId="77777777" w:rsidR="00B3265C" w:rsidRPr="007224C3" w:rsidRDefault="00B3265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секретно</w:t>
      </w:r>
    </w:p>
    <w:p w14:paraId="2F43A34D" w14:textId="77777777" w:rsidR="00B3265C" w:rsidRPr="007224C3" w:rsidRDefault="00B3265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Для обеспечения выполнения плана строительства и выпуска в текущем году опытных гидросамолетов ЛЛ-143 конструкции тов. Бериева прошу Вашего указания заводу № 19 отгрузить заводу № 477 (г. Красноярск) 6 штук моторов М-71ф редукции 9:16 в следующие сроки: два мотора - в апреле, два мотора - в июле и два мотора - в сентябре 1944 года.</w:t>
      </w:r>
    </w:p>
    <w:p w14:paraId="50DC7D10" w14:textId="77777777" w:rsidR="00B3265C" w:rsidRPr="007224C3" w:rsidRDefault="00B3265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Моторы д[олжны] б[ыть] укомплектованы генераторами ГС-1000с РК-32-1000, бензонасосами БНК-10, регуляторами оборотов винта Р-7, маслонасосами для автопилотов МК-1 или МШ-3, вакуумнасосами АК-4 и компрессорами АК-50.</w:t>
      </w:r>
    </w:p>
    <w:p w14:paraId="35B6C294" w14:textId="77777777" w:rsidR="00B3265C" w:rsidRPr="007224C3" w:rsidRDefault="00B3265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Об отгрузке моторов прошу сообщить.</w:t>
      </w:r>
    </w:p>
    <w:p w14:paraId="3F537398" w14:textId="77777777" w:rsidR="00B3265C" w:rsidRPr="007224C3" w:rsidRDefault="00B3265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Заместитель] начальника</w:t>
      </w:r>
    </w:p>
    <w:p w14:paraId="7F866129" w14:textId="77777777" w:rsidR="00B3265C" w:rsidRPr="007224C3" w:rsidRDefault="00B3265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10-го Главного управления</w:t>
      </w:r>
      <w:r w:rsidRPr="007224C3">
        <w:rPr>
          <w:rFonts w:ascii="Times New Roman" w:hAnsi="Times New Roman"/>
          <w:color w:val="0070C0"/>
          <w:sz w:val="16"/>
          <w:szCs w:val="16"/>
        </w:rPr>
        <w:tab/>
        <w:t>подпись</w:t>
      </w:r>
      <w:r w:rsidRPr="007224C3">
        <w:rPr>
          <w:rFonts w:ascii="Times New Roman" w:hAnsi="Times New Roman"/>
          <w:color w:val="0070C0"/>
          <w:sz w:val="16"/>
          <w:szCs w:val="16"/>
        </w:rPr>
        <w:tab/>
        <w:t>Тарасевич</w:t>
      </w:r>
    </w:p>
    <w:p w14:paraId="614A6504" w14:textId="77777777" w:rsidR="00B3265C" w:rsidRPr="007224C3" w:rsidRDefault="00B3265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КГКУ «ГАКК». Ф.Р-1341. Оп. 4. Д. 126. Л. 42. Подлинник. Машинопись (20602).</w:t>
      </w:r>
    </w:p>
    <w:p w14:paraId="7E1245DB" w14:textId="77777777" w:rsidR="00B3265C" w:rsidRPr="007224C3" w:rsidRDefault="00B3265C" w:rsidP="007224C3">
      <w:pPr>
        <w:spacing w:after="0" w:line="240" w:lineRule="auto"/>
        <w:jc w:val="both"/>
        <w:rPr>
          <w:rFonts w:ascii="Times New Roman" w:hAnsi="Times New Roman"/>
          <w:color w:val="0070C0"/>
          <w:sz w:val="16"/>
          <w:szCs w:val="16"/>
        </w:rPr>
      </w:pPr>
    </w:p>
    <w:p w14:paraId="5D1A2FA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марта 1944 вышел приказ НКАП N 167 "О введении новых названий авиационных моторов" в исполнение постановления ГКО (902,58).</w:t>
      </w:r>
    </w:p>
    <w:p w14:paraId="50A2C6B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ADA13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марта 1944 вышел приказ НКАП № 167, которым в исполнение постановления ГКО вводилась новая система наименований авиадвигателей с присвоением инициалов главных конструкторов. М-82 стал АШ-82, а Микулинский моторы и так были АМ (65,7).</w:t>
      </w:r>
    </w:p>
    <w:p w14:paraId="130F5D5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 исполнение постановления ГКО оо введении новых названий авиационных моторов с присвоением моторам имен ГК.</w:t>
      </w:r>
    </w:p>
    <w:p w14:paraId="4F7C33E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Впредь моторы именовать:</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42"/>
        <w:gridCol w:w="1843"/>
      </w:tblGrid>
      <w:tr w:rsidR="005106D0" w:rsidRPr="007224C3" w14:paraId="09A79394" w14:textId="77777777">
        <w:tc>
          <w:tcPr>
            <w:tcW w:w="1242" w:type="dxa"/>
            <w:tcBorders>
              <w:top w:val="single" w:sz="12" w:space="0" w:color="auto"/>
            </w:tcBorders>
          </w:tcPr>
          <w:p w14:paraId="6ADF532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ВК-105ПФ</w:t>
            </w:r>
          </w:p>
        </w:tc>
        <w:tc>
          <w:tcPr>
            <w:tcW w:w="1843" w:type="dxa"/>
            <w:tcBorders>
              <w:top w:val="single" w:sz="12" w:space="0" w:color="auto"/>
            </w:tcBorders>
          </w:tcPr>
          <w:p w14:paraId="1486924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(Владимир Климов)</w:t>
            </w:r>
          </w:p>
        </w:tc>
      </w:tr>
      <w:tr w:rsidR="005106D0" w:rsidRPr="007224C3" w14:paraId="14EAC6EF" w14:textId="77777777">
        <w:tc>
          <w:tcPr>
            <w:tcW w:w="1242" w:type="dxa"/>
          </w:tcPr>
          <w:p w14:paraId="7CD5550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ВК-107А</w:t>
            </w:r>
          </w:p>
        </w:tc>
        <w:tc>
          <w:tcPr>
            <w:tcW w:w="1843" w:type="dxa"/>
          </w:tcPr>
          <w:p w14:paraId="1F2CCE1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(Владимир Климов)</w:t>
            </w:r>
          </w:p>
        </w:tc>
      </w:tr>
      <w:tr w:rsidR="005106D0" w:rsidRPr="007224C3" w14:paraId="479C5F9B" w14:textId="77777777">
        <w:tc>
          <w:tcPr>
            <w:tcW w:w="1242" w:type="dxa"/>
          </w:tcPr>
          <w:p w14:paraId="0DDE875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АМ-35А</w:t>
            </w:r>
          </w:p>
        </w:tc>
        <w:tc>
          <w:tcPr>
            <w:tcW w:w="1843" w:type="dxa"/>
          </w:tcPr>
          <w:p w14:paraId="2CFB814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(Александр Микулин)</w:t>
            </w:r>
          </w:p>
        </w:tc>
      </w:tr>
      <w:tr w:rsidR="005106D0" w:rsidRPr="007224C3" w14:paraId="45D1C300" w14:textId="77777777">
        <w:tc>
          <w:tcPr>
            <w:tcW w:w="1242" w:type="dxa"/>
          </w:tcPr>
          <w:p w14:paraId="550CA81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АМ-38Ф</w:t>
            </w:r>
          </w:p>
        </w:tc>
        <w:tc>
          <w:tcPr>
            <w:tcW w:w="1843" w:type="dxa"/>
          </w:tcPr>
          <w:p w14:paraId="6199013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(Александр Микулин)</w:t>
            </w:r>
          </w:p>
        </w:tc>
      </w:tr>
      <w:tr w:rsidR="005106D0" w:rsidRPr="007224C3" w14:paraId="251EDC0B" w14:textId="77777777">
        <w:tc>
          <w:tcPr>
            <w:tcW w:w="1242" w:type="dxa"/>
          </w:tcPr>
          <w:p w14:paraId="1B32AD2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АШ-62ИР</w:t>
            </w:r>
          </w:p>
        </w:tc>
        <w:tc>
          <w:tcPr>
            <w:tcW w:w="1843" w:type="dxa"/>
          </w:tcPr>
          <w:p w14:paraId="022A201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 (Аркадий Швецов)</w:t>
            </w:r>
          </w:p>
        </w:tc>
      </w:tr>
      <w:tr w:rsidR="005106D0" w:rsidRPr="007224C3" w14:paraId="362939EE" w14:textId="77777777">
        <w:tc>
          <w:tcPr>
            <w:tcW w:w="1242" w:type="dxa"/>
          </w:tcPr>
          <w:p w14:paraId="2BEC4DD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АШ-82Ф</w:t>
            </w:r>
          </w:p>
        </w:tc>
        <w:tc>
          <w:tcPr>
            <w:tcW w:w="1843" w:type="dxa"/>
          </w:tcPr>
          <w:p w14:paraId="23740D2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 (Аркадий Швецов)</w:t>
            </w:r>
          </w:p>
        </w:tc>
      </w:tr>
      <w:tr w:rsidR="005106D0" w:rsidRPr="007224C3" w14:paraId="1AFAADD4" w14:textId="77777777">
        <w:tc>
          <w:tcPr>
            <w:tcW w:w="1242" w:type="dxa"/>
          </w:tcPr>
          <w:p w14:paraId="66A0321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АШ-82ФН</w:t>
            </w:r>
          </w:p>
        </w:tc>
        <w:tc>
          <w:tcPr>
            <w:tcW w:w="1843" w:type="dxa"/>
          </w:tcPr>
          <w:p w14:paraId="2AAF1D1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(Аркадий Швецов)</w:t>
            </w:r>
          </w:p>
        </w:tc>
      </w:tr>
      <w:tr w:rsidR="005106D0" w:rsidRPr="007224C3" w14:paraId="62C27645" w14:textId="77777777">
        <w:tc>
          <w:tcPr>
            <w:tcW w:w="1242" w:type="dxa"/>
            <w:tcBorders>
              <w:bottom w:val="single" w:sz="12" w:space="0" w:color="auto"/>
            </w:tcBorders>
          </w:tcPr>
          <w:p w14:paraId="1DEB6EA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АЧ-30Б</w:t>
            </w:r>
          </w:p>
        </w:tc>
        <w:tc>
          <w:tcPr>
            <w:tcW w:w="1843" w:type="dxa"/>
            <w:tcBorders>
              <w:bottom w:val="single" w:sz="12" w:space="0" w:color="auto"/>
            </w:tcBorders>
          </w:tcPr>
          <w:p w14:paraId="6C004E2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(Алексей Чаромский)</w:t>
            </w:r>
          </w:p>
        </w:tc>
      </w:tr>
    </w:tbl>
    <w:p w14:paraId="5940221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Подписал А.И.Ш. (982,58).</w:t>
      </w:r>
    </w:p>
    <w:p w14:paraId="0C688AD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A36D0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марта 1944 года согласно приказа НКАП № 171 в целях увеличения мощности завода № 315 завод № 487 НКАП полностью влился в завод № 315. После слияния завод имел две территории. Территория № 2 (бывш. завод № 487) отделилась от завода № 315 в самостоятельный завод № 476 на основании приказа НКАП № 356 от 30 августа 1945 года.</w:t>
      </w:r>
    </w:p>
    <w:p w14:paraId="159AFA0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Адрес: Москва, угол Нижней Масловки и ул. Расковой, д. 33/34</w:t>
      </w:r>
    </w:p>
    <w:p w14:paraId="7577309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1946 году директором завода был Брусникин Г.Д.</w:t>
      </w:r>
    </w:p>
    <w:p w14:paraId="788F09D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1947 года по октябрь 1950 года – директор Соломонович И.Д.</w:t>
      </w:r>
    </w:p>
    <w:p w14:paraId="2279249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ноября 1950 года по май 1954 года – директор завода Брусникин Г.Д.</w:t>
      </w:r>
    </w:p>
    <w:p w14:paraId="1C7DAA9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1954 по 1956 год – директор – Кононенко М.Л. (9605).</w:t>
      </w:r>
    </w:p>
    <w:p w14:paraId="1C05643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E2DFF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марта 1944 г. по приказам № 171с и № 206сс от 21.03.1944 г. для расширения производства в состав завода № 315 влит завод № 487 НКАП вместе с ОКБ-487. Его территория числилась как площадка № 2 завода № 315. В 08.1945 г. она была отдана заводу № 476 НКАП (10776).</w:t>
      </w:r>
    </w:p>
    <w:p w14:paraId="3BB6A08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838614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марта 1944 г. по приказам № 171с и № 206сс от 21.03.1944 г. для расширения производства в состав завода № 315 влит завод № 487 НКАП вместе с ОКБ-487. Его территория числилась как площадка № 2 завода № 315. В 08.1945 г. она была отдана заводу № 476 НКАП.</w:t>
      </w:r>
    </w:p>
    <w:p w14:paraId="55F900F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Производство карбюраторов.</w:t>
      </w:r>
    </w:p>
    <w:p w14:paraId="4CA7D11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После войны выпускал топливную аппаратуру для ТРД (топливные насосы, форсунки, распределители, баростаторы, регуляторы). Принимало участие в программе создания ОК «Буран».</w:t>
      </w:r>
    </w:p>
    <w:p w14:paraId="5D0D176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1.05.1956 г. завод передан в ЗГУ. В соответствии с пост. СМ СССР № 713-342 от 26.06.1957 г. передан в ведение СНХ РСФСР.</w:t>
      </w:r>
    </w:p>
    <w:p w14:paraId="5A479F2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середины 1960-х  г. проведена реконструкция предприятия: построены сборочно-испытательный комплекс, автоматизированное гальваническое производство; выведено на окраину города заготовительное производство с кузнечно-прессовым, автоматным и заготовительным цехами. С 1969 г. начато освоение программного оборудования, станков с ЧПУ.</w:t>
      </w:r>
    </w:p>
    <w:p w14:paraId="08B1D27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1970-х  г. на базе ММЗ «Знамя революции» создано ПО, в которое вошли также МЗ «Знамя», Гаврилов-Ямский машиностроительный завод (сначала был филиалом), Алтуфьевский филиал завода (был в 2000 г.). С 1994 г. - ОАО «МПО им. И.И. Румянцева». По решению правительства № 22-р от 9.01.2004 г. и Указу Президента РФ № 1009 от 4.08.2004 г. вошло в число стратегических оборонных предприятий.</w:t>
      </w:r>
    </w:p>
    <w:p w14:paraId="28E31E2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Производство (2004 г.): гидравлические системы топливопитания и управления авиационными ГТД; агрегаты и устройства управления ГТД; средства электрогидроавтоматики для управления металлургическим, прессовым, горнорудным оборудованием, дорожно-транспортными и строительными машинами.</w:t>
      </w:r>
    </w:p>
    <w:p w14:paraId="2C07B31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Численность персонала (1.01.2003 г.)- 2217 чел.</w:t>
      </w:r>
    </w:p>
    <w:p w14:paraId="3E6EC17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(06.1942-43 г.)- А.М. Сильнов, (02(05). 1943 г.-)- А.С. Субботин, И.Д. Соломонович, (11.1945-54 г.)-  Г.Д. Брусникин (затем- директор завода № 43), Кононенко, Ю.Н. Смирнов, (1963-92 г.)- И.И. Румянцев. Гендиректор (1992-2005 г.-&gt; В.И. Дидилов,</w:t>
      </w:r>
      <w:r w:rsidRPr="007224C3">
        <w:rPr>
          <w:rFonts w:ascii="Times New Roman" w:hAnsi="Times New Roman"/>
          <w:color w:val="000000" w:themeColor="text1"/>
          <w:sz w:val="16"/>
          <w:szCs w:val="16"/>
          <w:vertAlign w:val="superscript"/>
        </w:rPr>
        <w:t>49</w:t>
      </w:r>
      <w:r w:rsidRPr="007224C3">
        <w:rPr>
          <w:rFonts w:ascii="Times New Roman" w:hAnsi="Times New Roman"/>
          <w:color w:val="000000" w:themeColor="text1"/>
          <w:sz w:val="16"/>
          <w:szCs w:val="16"/>
        </w:rPr>
        <w:t xml:space="preserve"> (2005 г.-)- Л.М. Халфун.</w:t>
      </w:r>
    </w:p>
    <w:p w14:paraId="3A01B87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инженер (1943 г.)- С.А. Громов, (2002 г.)- А.А. Пискунов.</w:t>
      </w:r>
    </w:p>
    <w:p w14:paraId="6F0EA82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гендиректора по коммерции и ВЭС (2002 г.)- JI.M. Халфун.</w:t>
      </w:r>
      <w:r w:rsidRPr="007224C3">
        <w:rPr>
          <w:rFonts w:ascii="Times New Roman" w:hAnsi="Times New Roman"/>
          <w:color w:val="000000" w:themeColor="text1"/>
          <w:sz w:val="16"/>
          <w:szCs w:val="16"/>
          <w:vertAlign w:val="superscript"/>
        </w:rPr>
        <w:t>69</w:t>
      </w:r>
    </w:p>
    <w:p w14:paraId="2057160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конструктор (06.1943-84 г.)- Ф.А. Короткое.</w:t>
      </w:r>
    </w:p>
    <w:p w14:paraId="47F5B7A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iCs/>
          <w:color w:val="000000" w:themeColor="text1"/>
          <w:sz w:val="16"/>
          <w:szCs w:val="16"/>
        </w:rPr>
        <w:t>Производство: карбюраторы:</w:t>
      </w:r>
      <w:r w:rsidRPr="007224C3">
        <w:rPr>
          <w:rFonts w:ascii="Times New Roman" w:hAnsi="Times New Roman"/>
          <w:color w:val="000000" w:themeColor="text1"/>
          <w:sz w:val="16"/>
          <w:szCs w:val="16"/>
        </w:rPr>
        <w:t xml:space="preserve"> К-38, К-105Ф, -БП для М-105, АК-82БП, АК-90БП для АШ-82, К-107БП для М-107, К-85, К-87, АК-88Б, К-42БП; агрегаты дозировки топлива АДТ-10 для РД-10, АДТ-20 для РД-20; насосы: плунжерные для ВК-1; топливная аппаратура для АЧ-ЗОБ, РД-500, АМ-ЗМ, РД-45Ф, ВК-1, РД-9, НК-12, Р15Б, Д- 436; САР 59А для РД-33 (1978-); 50-мм мины (1942).</w:t>
      </w:r>
    </w:p>
    <w:p w14:paraId="3894689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ОКБ-315-33 НКАП, МАП, ОКБ-315 МАП, ГКАТ, Московское агрегатное КБ (МАКБ) «Темп», НПП «Электронно-гидравлическая автоматика (ЭГА)», АООТ, ОАО «НПП «ЭГА» /127015  г. Москва ул. Правды, 23 тел. 685-91-40/</w:t>
      </w:r>
    </w:p>
    <w:p w14:paraId="307CAB7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приказу № 896с от 19.12.1942 г. на заводе № 315 было образовано ОКБ из местных кадров для создания новых карбюраторов. Гл. конструктором назначен Н. Г. Гладченко (до этого работал на заводе № 20). Далее по приказу № 136с от 8.03.1943 г. ОКБ было укреплено кадрами и оборудованием ОКБ завода № 33 и ОКБ завода № 20 НКАП. Далее на заводе создана база по агрегатам питания авиадвигателей для развития данных работ. Для этого по приказу № 336с от 3.06.1943 г. образовано единое ОКБ-315-33 НКАП на базе ОКБ завода № 33 и ОКБ завода № 315. Гл. конструктором ОКБ и обоих заводов назначен Ф.А. Короткое.</w:t>
      </w:r>
    </w:p>
    <w:p w14:paraId="39CBBD5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помощи серийному производству на заводе № 33 организован филиал ОКБ-315-33 (в 1957 г. филиал преобразован в самостоятельное ОКБ-3 3 МАП).</w:t>
      </w:r>
    </w:p>
    <w:p w14:paraId="582A9D4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приказу № 280с от 6.07.1945 г. филиал ОКБ завода № 55 при заводе № 315 по агрегатам топливопитания дизелей в полном составе передан в состав ОКБ-315-33 как отдел.</w:t>
      </w:r>
    </w:p>
    <w:p w14:paraId="75E05FE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приказу № 438с от 8.07.1946 г. в составе ОКБ-315-33 образован КО по аппаратуре топливопитания реактивных двигателей (начальник- Н.И. Макаров).</w:t>
      </w:r>
    </w:p>
    <w:p w14:paraId="3BCBA96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1945 г. создан первый отечественный карбюратор с непосредственным впрыском ВК-4 для АШ-73ТК. С 1946 г. началась разработка аппаратуры топливопитания для ТРД и ПВРД. В начале 1950-х  г. начались работы по созданию командно-топливных агрегатов (КТА) для ТВ Д.</w:t>
      </w:r>
    </w:p>
    <w:p w14:paraId="0F2E02A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1957 г. ОКБ-315-33 переименовано в ОКБ-315. В 08.1957 г.- в ведении ЗГУ МАП. В 1963 г. на базе ОКБ-315 вновь создается объединенное ОКБ-315-33 с Пермским филиалом на заводе № 33. С 1967 г. ОКБ-315-33 переименовано в МАКБ «Темп». С 1992(1) г. получило название НПП «Электронно-гидравлической автоматики («ЭГА»). В 2002 г. входит в ММПП «Салют». По Указу Президента РФ № 1009 от 4.08.2004 г. вошло в число стратегических оборонных предприятий.</w:t>
      </w:r>
    </w:p>
    <w:p w14:paraId="732953C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1965 г. - разработка многофункциональной системы автоматического регулирования (САР) для Ту-144, в которую, помимо регулирования основного и форсажного контуров, вошли агрегаты регулирования компрессора и соплового аппарата. Принимало участие в программе создания ОК «Буран».</w:t>
      </w:r>
    </w:p>
    <w:p w14:paraId="1380DF1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Работы (2002 г.): создание электронных гидравлических, гидромеханических систем питания и регулирования для авиационных и наземных ГТД; плунжерные, центробежные и шестеренные насосы.</w:t>
      </w:r>
    </w:p>
    <w:p w14:paraId="51FAC2A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Численность персонала (2002 г.)- 900 чел.</w:t>
      </w:r>
    </w:p>
    <w:p w14:paraId="1C09757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конструктор (12.1942 г.-)- Н. Г. Гладченко, А.А. Артемьев, (06.1943-84 г.)- Ф.А. Короткое {24.07.1908-88}, (1984-2004 г.-&gt; В.И. Зазулов, (2004-05 г.-)-А.Л. Аршавский {4.12.1953-}.</w:t>
      </w:r>
    </w:p>
    <w:p w14:paraId="31EBAA4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1-й зам. гл. конструктора (2002 г.)- A.JL Аршавский. Зам. гл. конструктора (06.1943 г.-)- Н. Г. Гладченко, (06.1943 г.-)- А.А. Артемьев; по дизельной аппаратуре (07.1945 г.-)- Н.И. Макаров; по аппаратуре ТРД (07.1946 г.-)- Н.И. Макаров; (1974-84 г.)- В.И. Зазулов.</w:t>
      </w:r>
      <w:r w:rsidRPr="007224C3">
        <w:rPr>
          <w:rFonts w:ascii="Times New Roman" w:hAnsi="Times New Roman"/>
          <w:color w:val="000000" w:themeColor="text1"/>
          <w:sz w:val="16"/>
          <w:szCs w:val="16"/>
          <w:vertAlign w:val="superscript"/>
        </w:rPr>
        <w:t>49</w:t>
      </w:r>
    </w:p>
    <w:p w14:paraId="38EF1B3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i Ответственный руководитель (1963-84 г.)- Ф.А. Коротков. Директор (1984-93 г.)- В.И. Зазулов. Гендиректор (1993-2004 г.)- В.И. Зазулов, (2004-05 г.-)- А.Л. Аршавский.</w:t>
      </w:r>
    </w:p>
    <w:p w14:paraId="47F2D44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гендиректора (2002 г.)- С.Н. Ломовицкий.</w:t>
      </w:r>
      <w:r w:rsidRPr="007224C3">
        <w:rPr>
          <w:rFonts w:ascii="Times New Roman" w:hAnsi="Times New Roman"/>
          <w:color w:val="000000" w:themeColor="text1"/>
          <w:sz w:val="16"/>
          <w:szCs w:val="16"/>
          <w:vertAlign w:val="superscript"/>
        </w:rPr>
        <w:t>69</w:t>
      </w:r>
    </w:p>
    <w:p w14:paraId="49C6B1D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Ведущие конструкторы: С.И. Пресняков, Д.М. Сегаль.</w:t>
      </w:r>
    </w:p>
    <w:p w14:paraId="66A0425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iCs/>
          <w:color w:val="000000" w:themeColor="text1"/>
          <w:sz w:val="16"/>
          <w:szCs w:val="16"/>
        </w:rPr>
        <w:t>Создано:</w:t>
      </w:r>
      <w:r w:rsidRPr="007224C3">
        <w:rPr>
          <w:rFonts w:ascii="Times New Roman" w:hAnsi="Times New Roman"/>
          <w:color w:val="000000" w:themeColor="text1"/>
          <w:sz w:val="16"/>
          <w:szCs w:val="16"/>
        </w:rPr>
        <w:t xml:space="preserve"> карбюраторы К-35, К-87, К-105, К-38, АК-88, АК-63; АДТ-10 для РД-10, АДТ-20 для РД-20; регулятор оборотов ТНА и регулятор подачи топлива для РД-012, часовой механизм отсечки топлива для РД- 036; КТА для НК-12; часовое устройство для РСЗО «Вихрь» (1958), насос-регулятор НР-22 (1966); насос- регулятор и форсажный насос для АЛ-21Ф; САР для Ту-144 (1965); CAP 59А для РД-33, САР для АЛ-31Ф, САР- 8А, -25, -40, -47, -53, -55, -57 (1963-80); САУ-31, -32, -59, -79, -86 (1971-90), САУ-1700 для РД-1700; агрегаты РЧВ-14, РЧВ-22 РР-15, РР-19, ДК-15, ДК-19, НР-63, «470» для РК «Гранит», «Метеорит», «Болид», Н-1, «Энергия-Буран»; регулятор подачи водорода в ГПВРД (программа «Орел») (1990-е); САУ силовых приводов для газоперекачивающих станций.</w:t>
      </w:r>
      <w:r w:rsidRPr="007224C3">
        <w:rPr>
          <w:rFonts w:ascii="Times New Roman" w:hAnsi="Times New Roman"/>
          <w:color w:val="000000" w:themeColor="text1"/>
          <w:sz w:val="16"/>
          <w:szCs w:val="16"/>
          <w:vertAlign w:val="superscript"/>
        </w:rPr>
        <w:t>101</w:t>
      </w:r>
    </w:p>
    <w:p w14:paraId="2D1EE6C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Гаврилов-Ямский машиностроительный завод (ГМЗ) «Агат», ОАО «ГМЗ «Агат» /152240  г. Гаврилов-Ям Ярославской обл. пр. Машиностроителей, 1 тел. 23-264/</w:t>
      </w:r>
    </w:p>
    <w:p w14:paraId="1587C62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Создан в 1968 г. Являлся филиалом ММЗ «Знамя революции». С начала 1970-х по начало 1990-х  г. входил в ПО «Знамя революции». Входит в состав ММПП «Салют» с 04.2003 г. По Указу Президента РФ № 1009 от 4.08.2004 г. вошло в число стратегических оборонных предприятий.</w:t>
      </w:r>
    </w:p>
    <w:p w14:paraId="14C9443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Численность персонала (2002 г.)- 787 чел.</w:t>
      </w:r>
      <w:r w:rsidRPr="007224C3">
        <w:rPr>
          <w:rFonts w:ascii="Times New Roman" w:hAnsi="Times New Roman"/>
          <w:color w:val="000000" w:themeColor="text1"/>
          <w:sz w:val="16"/>
          <w:szCs w:val="16"/>
          <w:vertAlign w:val="superscript"/>
        </w:rPr>
        <w:t>69</w:t>
      </w:r>
    </w:p>
    <w:p w14:paraId="084AFCD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Гендиректор (-2002-05 г.-)- В.Н. Корытов.</w:t>
      </w:r>
    </w:p>
    <w:p w14:paraId="3FD1F46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Технический директор (2002 г.)- А.А. Николаев.</w:t>
      </w:r>
    </w:p>
    <w:p w14:paraId="7499233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гендиректора: по по маркетингу и финансам (2002 г.)- Н.И. Кружков; по снабжению и транспорту (2002 г.)- Л.И. Новожилова.</w:t>
      </w:r>
    </w:p>
    <w:p w14:paraId="31EA2B5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iCs/>
          <w:color w:val="000000" w:themeColor="text1"/>
          <w:sz w:val="16"/>
          <w:szCs w:val="16"/>
        </w:rPr>
        <w:t>Производство:</w:t>
      </w:r>
      <w:r w:rsidRPr="007224C3">
        <w:rPr>
          <w:rFonts w:ascii="Times New Roman" w:hAnsi="Times New Roman"/>
          <w:color w:val="000000" w:themeColor="text1"/>
          <w:sz w:val="16"/>
          <w:szCs w:val="16"/>
        </w:rPr>
        <w:t xml:space="preserve"> (2004 г.) топливорегулирующая аппаратура авиационных ГТД: регулятор топлива РТ-8У, ограничители: оборотов ОГ-8-4, ОГВ-25, скорости ОС-2, степени сжатия ОСС-86; распределители топлива: РТФ-59Б, РТ-59И, РТФ-31А, РТО-55; клапаны: сброса и останова КСО-59А, предохранительный ПК-88; насосы центробежные ДЦН-82, ДЦН-78, ДЦН-80; автомат управления АДУ-2С; агрегаты управления механизации компрессора АУМК-29, АУМК-89, стоп-кран СК-29; </w:t>
      </w:r>
      <w:r w:rsidRPr="007224C3">
        <w:rPr>
          <w:rFonts w:ascii="Times New Roman" w:hAnsi="Times New Roman"/>
          <w:color w:val="000000" w:themeColor="text1"/>
          <w:sz w:val="16"/>
          <w:szCs w:val="16"/>
        </w:rPr>
        <w:lastRenderedPageBreak/>
        <w:t>гидроаппаратура для грузоподъемной, дорожно- строительной и коммунальной техники; разработка системы запуска ГТУ; мотоблоки «Салют-5» для сельского хозяйства (11982).</w:t>
      </w:r>
    </w:p>
    <w:p w14:paraId="7F8C669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8498AF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марта 1944 г. по приказам № 171с и № 206сс от 21.03.1944 г. завод № 487 НКАП (Завод № 487 НКАП, МАП /г. Тушино Московской обл. (или р-н ст. Товарная-Бутырская)/) со всеми кадрами, оборудованием и сооружениями вместе с ОКБ-487 влит в состав завода № 315. Его территория числилась как площадка № 2 завода № 315.</w:t>
      </w:r>
    </w:p>
    <w:p w14:paraId="486548B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1945 г. на площадку завода № 487 НКАП (площадка № 2 завода № 315 НКАП) переведен завод № 476 НКАП.</w:t>
      </w:r>
    </w:p>
    <w:p w14:paraId="70A2D77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соответствии с приказом МАГ1 № 171с от 8.03.1949 г. завод № 487 объединен с заводом № 315 МАП.</w:t>
      </w:r>
    </w:p>
    <w:p w14:paraId="3231B5CC" w14:textId="77777777" w:rsidR="000511D8"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(02-10.1943 г.-)- Э.И. Озарский, (-01-03.1944 г.)- Давыдов.</w:t>
      </w:r>
    </w:p>
    <w:p w14:paraId="38180F6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ОКБ завода № 487 НКАП гл. конструктора И.П. Шебанова, ОКБ-487 НКАП</w:t>
      </w:r>
    </w:p>
    <w:p w14:paraId="0E14AAE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КБ И.П. Шебанова, которое до эвакуации базировалось на заводе № 487 НКАП, было эвакуировано и работало на территории завода № 454 НКАП в Куйбышеве (как ОКБ-454 НКАП). По приказу № 272с от 6.05.1943 г. ОКБ-454 из Куйбышева переведено на вновь образованный завод № 487 НКАП и переименовано в ОКБ-487 НКАП.</w:t>
      </w:r>
    </w:p>
    <w:p w14:paraId="49ED45B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Работы по стрелковым установкам с УБТ для Пе-8 (10.1943 г.). С середины 1945 г. основной работой стали установки вооружения для Ту-4. По приказу № 298с от 13.07.1945 г. шли работы по заданиям ОКБ-ИО НКАП.</w:t>
      </w:r>
    </w:p>
    <w:p w14:paraId="2E99847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приказам № 171с от 8.03.1944 г. и № 206сс от 21.03.1944 г. ОКБ-487 вместе с заводом № 487 НКАП со всеми кадрами, оборудованием и сооружениями влито в состав завода № 315. В 01.1945 г. ОКБ-487 - в 7ГУ.</w:t>
      </w:r>
    </w:p>
    <w:p w14:paraId="527B4EB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Работа ОКБ была признана руководством малоэффективной (за 1942-45 г. создана только одна серийная установка- ТУМ-5 для Ер-2). По приказу № 447сс от 14.11.1945 г. в целях укрупнения конструкторских организаций основная часть личного состава (142 чел.), оборудования и материальных ценностей ОКБ-487 гл. конструктора И.П. Шебанова влита в состав объединенного ОКБ-43 НКАП, этим же приказом из ОКБ-487 НКАП в помощь вновь образованному заводу № 25 НКАП переведено 50 чел. ИТР и рабочих, занятых работами по агрегатам вооружения Ту-4. И.П. Шебанов назначен замом И.И. Торопова (11982).</w:t>
      </w:r>
    </w:p>
    <w:p w14:paraId="5F870CD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B041F1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марта 1944 г. по приказам № 171с и № 206сс от 21.03.1944 г. ОКБ-487 вместе с заводом № 487 НКАП со всеми кадрами, оборудованием и сооружениями влито в состав завода № 315. В 01.1945 г. ОКБ-487 - в 7ГУ.</w:t>
      </w:r>
    </w:p>
    <w:p w14:paraId="482AB6A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Работа ОКБ была признана руководством малоэффективной (за 1942-45 г. создана только одна серийная установка- ТУМ-5 для Ер-2). По приказу № 447сс от 14.11.1945 г. в целях укрупнения конструкторских организаций основная часть личного состава (142 чел.), оборудования и материальных ценностей ОКБ-487 гл. конструктора И.П. Шебанова влита в состав объединенного ОКБ-43 НКАП, этим же приказом из ОКБ-487 НКАП в помощь вновь образованному заводу № 25 НКАП переведено 50 чел. ИТР и рабочих, занятых работами по агрегатам вооружения Ту-4. И.П. Шебанов назначен замом И.И. Торопова (11982).</w:t>
      </w:r>
    </w:p>
    <w:p w14:paraId="29AD64E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C04DC03"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6179671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974848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марта 1944 вышло Распоряжение ГКО № 5329. О выделении в марте 1944 г. 100 военнообязанных, не годных к строевой службе, на завод № 741 НКРП. РГАНИР, Фонд ГКО, д. 216, лл. 1 (11012).</w:t>
      </w:r>
    </w:p>
    <w:p w14:paraId="560DA24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416AF0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марта 1944 вышло Постановление ГКО № 5330 О плане производства танков, самоходных установок, дизелей, запасных частей и ремонта танков, самоходных установок и дизелей на март 1944 года. РГАНИР, Фонд ГКО, д. 216, лл. 2-20,21-33 (11012).</w:t>
      </w:r>
    </w:p>
    <w:p w14:paraId="5546168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CDA471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марта 1944 вышло Постановление ГКО № 5331 О плане производства и поставок НКО и НКВМФ артиллерийского, минометного и стрелкового вооружения и военных приборов на март 1944 г. РГАНИР, Фонд ГКО, д. 216, лл. 34-57,58-75 (11012).</w:t>
      </w:r>
    </w:p>
    <w:p w14:paraId="5CE5998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F4023D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марта 1944 вышло Постановление ГКО № 5332 О плане производства и поставок пистолетов-пулеметов Шпагина и ПП-43 в марте 1944 года. РГАНИР, Фонд ГКО, д. 216, лл. 76-80,81-87 (11012).</w:t>
      </w:r>
    </w:p>
    <w:p w14:paraId="0AACC23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0A42F7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марта 1944 вышло Постановление ГКО № 5333 О плане производства и поставок патронов и звеньев Наркоматом вооружения в марте 1944 года. РГАНИР, Фонд ГКО, д. 216, лл. 88-95,96-100 (11012).</w:t>
      </w:r>
    </w:p>
    <w:p w14:paraId="55BDE6D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14E5EB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марта 1944 вышло Постановление ГКО № 5334 Об увеличении выпуска 85 мм снарядов к самоходным и танковым пушкам. РГАНИР, Фонд ГКО, д. 216, лл. 101-109,110-117 (11012).</w:t>
      </w:r>
    </w:p>
    <w:p w14:paraId="66944F5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2B3E98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марта 1944 вышло Постановление ГКО № 5335 О восстановлении производства корпусов снарядов крупных калибров на заводе № 78 НКБ. РГАНИР, Фонд ГКО, д. 216, лл. 118-122,123-126 (11012).</w:t>
      </w:r>
    </w:p>
    <w:p w14:paraId="2B120F9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EEC2AB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марта 1944 вышло Постановление ГКО № 5336 О поставке НКО и НКВМФ боеприпасов в марте 1944 года. РГАНИР, Фонд ГКО, д. 216, лл. 127-163,164-187 (11012).</w:t>
      </w:r>
    </w:p>
    <w:p w14:paraId="753027D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375502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марта 1944 вышло Постановление ГКО № 5337 О плане добычи угля на март 1944 года по Наркомуглю. РГАНИР, Фонд ГКО, д. 216, лл. 188-203,204-205 (11012).</w:t>
      </w:r>
    </w:p>
    <w:p w14:paraId="568FC08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3DAD4C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марта 1944 вышло Постановление ГКО № 5338 О добыче нефти и выработке нефтепродуктов в марте 1944 года. РГАНИР, Фонд ГКО, д. 216, лл. 206-213,214-215 (11012).</w:t>
      </w:r>
    </w:p>
    <w:p w14:paraId="5D211A2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9F41CEF"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марта 1944 вышло Постановление ГКО № 5339 Об усилении погрузки угля на Томской, Карагандинской, Южно-Уральской, Свердловской и Пермской железных дорогах. (7196, 216-218).</w:t>
      </w:r>
    </w:p>
    <w:p w14:paraId="0506D877"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2AB065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марта 1944 вышло Постановление ГКО № 5340 О поставке коксующихся и энергетических углей предприятиям Наркомчермета в марте 1944 года. РГАНИР, Фонд ГКО, д. 216, лл. 219-222 (11012).</w:t>
      </w:r>
    </w:p>
    <w:p w14:paraId="261E87B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C49C1DC"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349F063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3BE3808" w14:textId="77777777" w:rsidR="000511D8" w:rsidRPr="007224C3" w:rsidRDefault="000511D8"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8 марта</w:t>
      </w:r>
      <w:r w:rsidRPr="007224C3">
        <w:rPr>
          <w:rFonts w:ascii="Times New Roman" w:hAnsi="Times New Roman"/>
          <w:color w:val="000000" w:themeColor="text1"/>
          <w:sz w:val="16"/>
          <w:szCs w:val="16"/>
        </w:rPr>
        <w:t xml:space="preserve"> в 1944 году оперативная сводка Совинформбюро:</w:t>
      </w:r>
    </w:p>
    <w:p w14:paraId="437872C2" w14:textId="77777777" w:rsidR="000511D8" w:rsidRPr="007224C3" w:rsidRDefault="000511D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8 марта войска 1-го Украинского фронта, продолжая наступление, овладели районным центром Каменец-Подольской области Чёрный Остров, а также с боями заняли более 100 других населённых пунктов, в том числе крупные населённые пункты Захаровцы, Грузевица, Большие и Малые Зозулинцы, Терешки, Мазепинцы, Кременчуги, Малый Чернятин, Бутовцы, Капустин, Красносёлка, Жеребки, Немиренцы, Волосовцы, Пилява, Лисановцы, Буглаи, Телижинцы, Войтовцы, Сальница, Морозовка, Маркуши. Наши войска вплотную подошли к городу Староконстантинов и завязали бои на окраинах города.</w:t>
      </w:r>
    </w:p>
    <w:p w14:paraId="7ED74CDF" w14:textId="77777777" w:rsidR="000511D8" w:rsidRPr="007224C3" w:rsidRDefault="000511D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 разведка и в ряде пунктов бои местного значения.</w:t>
      </w:r>
    </w:p>
    <w:p w14:paraId="24AD0365" w14:textId="77777777" w:rsidR="000511D8" w:rsidRPr="007224C3" w:rsidRDefault="000511D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7 марта наши войска на всех фронтах подбили и уничтожили 71 немецкий танк. В воздушных боях и огнём зенитной артиллерии уничтожено 98 самолётов противника.</w:t>
      </w:r>
    </w:p>
    <w:p w14:paraId="1C680140" w14:textId="77777777" w:rsidR="000511D8" w:rsidRPr="007224C3" w:rsidRDefault="000511D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1-го Украинского фронта продолжали наступление. Противник спешно подтянул крупные силы пехоты и танков и предпринимал неоднократные контратаки. Наши танкисты и пехотинцы опрокинули немецкие войска, стремительным ударом заняли районный центр Каменец-Подольской области Чёрный Остров и более 100 других населённых пунктов. В бою за Чёрный Остров разгромлено два полка немецкой пехоты. Захвачено много орудий, миномётов, стрелкового вооружения, несколько крупных складов с боеприпасами, продовольствием и военным имуществом. Отступая под ударами советских частей, немцы бросают завязшие в грязи танки, орудия и автомашины. Особенно ожесточённые бои идут в районе города Староконстантинов, являющегося важнейшей базой войск противника. Немцы любой ценой стремились удержать в своих руках участок шоссе Шепетовка-Староконстантинов. Наши войска фланговыми ударами рассекли на отдельные части действовавшую здесь группу войск противника и уничтожили её. Умело маневрируя, советские части с разных направлений подошли к городу Старо-Константинов и завязали бои на окраинах города. В течение дня в этом районе уничтожено до 3.000 немецких солдат и офицеров, 25 танков и самоходных орудий. На другом участке немцы бросили в контратаку около сотни танков. Наши танкисты, артиллеристы и бронебойщики сожгли и подбили 42 немецких танка и отбросили гитлеровцев.</w:t>
      </w:r>
    </w:p>
    <w:p w14:paraId="5D04B9A2" w14:textId="77777777" w:rsidR="000511D8" w:rsidRPr="007224C3" w:rsidRDefault="000511D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На Нарвском направлении в одном районе крупные силы немецкой пехоты перешли в контратаку. Советские артиллеристы и миномётчики открыли шквальный огонь и произвели в рядах противника большие опустошения. Оставив на поле боя до 900 трупов, немцы в беспорядке отступили. Подбито 3 немецких танка и несколько самоходных орудий.</w:t>
      </w:r>
    </w:p>
    <w:p w14:paraId="19525D56" w14:textId="77777777" w:rsidR="000511D8" w:rsidRPr="007224C3" w:rsidRDefault="000511D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Наша авиация бомбардировала скопления войск и техники противника и причинила ему тяжёлые потери. В воздушных боях за день сбито 11 немецких самолётов. Кроме того, на двух аэродромах уничтожено 32 самолёта противника.</w:t>
      </w:r>
    </w:p>
    <w:p w14:paraId="07D36BC9" w14:textId="77777777" w:rsidR="000511D8" w:rsidRPr="007224C3" w:rsidRDefault="000511D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Авиация Краснознамённого Балтийского флота потопила четыре тральщика и один сторожевой катер противника.</w:t>
      </w:r>
    </w:p>
    <w:p w14:paraId="54DAB2B1" w14:textId="77777777" w:rsidR="000511D8" w:rsidRPr="007224C3" w:rsidRDefault="000511D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Партизанский отряд, действующий в Крыму, напал на большой обоз противника. В ожесточённой схватке партизаны убили 98 вражеских солдат и офицеров, сопровождавших этот обоз. Захвачено 407 лошадей, 108 повозок с военными грузамии 76 винтовок. Отряд украинских партизан, действующий в прифронтовых районах Каменец-Подольской области, в бою с немецкими оккупантами истребил до роты гитлеровцев и захватил трофеи.</w:t>
      </w:r>
    </w:p>
    <w:p w14:paraId="650624BD" w14:textId="77777777" w:rsidR="000511D8" w:rsidRPr="007224C3" w:rsidRDefault="000511D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Взятые в плен юго-западнее Звенигородки ефрейторы 1 роты 2 танкового полка 16 немецкой танковой дивизии Гергарт Линднер и Гергарт Дамм рассказали: «В боях восточнее Винницы наш полк потерял большую часть своей техники. В январе 1 батальон получил новые самоходные пушки, а 3 батальон — новые танки. В конце января нас вместе с другими танковыми частями перебросили в район Звенигородки и поставили задачу — любой ценой пробиться к немецкой группировке войск, окружённой в районе Корсунь-Шевченковский. С первых же дней русские артиллеристы нанесли нам огромный урон. Однако офицеры твердили одно и то же: «Мы должны вытащить окружённые дивизии из «котла», чего бы это нам ни стоило». Дело кончилось очень плачевно. Мы потеряли почти все танки, но так и не прорвалиськ окружённой группировке».</w:t>
      </w:r>
    </w:p>
    <w:p w14:paraId="37BC4AD7" w14:textId="77777777" w:rsidR="000511D8" w:rsidRPr="007224C3" w:rsidRDefault="000511D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Ниже публикуется акт о чудовищных злодеяниях немецко-фашистских мерзавцев в городе Славута, Каменец-Подольской области: «За время оккупации гитлеровские людоеды замучили насмерть и расстреляли тысячи мирных жителей города Славута и окрестных сёл. Массовые расстрелы происходили в военном городке около водонапорной башни. В расположении военного городка немцы устроили центральный сборный лагерь и свозили туда арестованных советских граждан и военнопленных с правобережной Украины. Лагерный режим был рассчитан на то, чтобы истребить как можно больше советских людей. На сутки заключённые получали немного суррогатного хлеба и мутную «баланду». Нередко заключённые по 5-6 дней подряд не получали никакого питания. В лагере свирепствовали инфекционные болезни. Больные тифом и дизентерией размещались вместе со здоровыми. Смертность среди заключённых достигала огромных размеров. От голода, болезней и побоев, а также от рук фашистских палачей погибло 12 тысяч советских граждан. Когда части Красной Армии заняли город Славута, в лагере находилось около 800 человек. Больше половины из них не в состоянии были передвигаться. Кроме того, на территории лагеря обнаружены сотни трупов заключённых, умерших голодной смертью».</w:t>
      </w:r>
    </w:p>
    <w:p w14:paraId="4D8FEE53" w14:textId="77777777" w:rsidR="000511D8" w:rsidRPr="007224C3" w:rsidRDefault="000511D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Акт подписали жители города Славута: врач Войцешук, учительница Высоцкая, работница маслозавода Фёдорова, слесарь Енин, ксендз Милевский, бывший военнопленный Славутского лагеря Панкин и другие.» (15062).</w:t>
      </w:r>
    </w:p>
    <w:p w14:paraId="25B6C64A" w14:textId="77777777" w:rsidR="000511D8" w:rsidRPr="007224C3" w:rsidRDefault="000511D8" w:rsidP="007224C3">
      <w:pPr>
        <w:spacing w:after="0" w:line="240" w:lineRule="auto"/>
        <w:jc w:val="both"/>
        <w:rPr>
          <w:rFonts w:ascii="Times New Roman" w:hAnsi="Times New Roman"/>
          <w:color w:val="000000" w:themeColor="text1"/>
          <w:sz w:val="16"/>
          <w:szCs w:val="16"/>
        </w:rPr>
      </w:pPr>
    </w:p>
    <w:p w14:paraId="6FE1BA1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марта 1944 в ходе Проскуровско-Черновицкой наступательной операции два ИСа-1 1-й ГвТТПП (командир - подполковник Н.И. Буланов) с дистанции 150-200 метров были расстреляны замаскированными 75-мм штурмовыми орудиями. Один танк получил 8 попаданий другой - 4. (3862).</w:t>
      </w:r>
    </w:p>
    <w:p w14:paraId="41AC901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21BCA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марта 1944 г. состоялась передача колонны танков “Дмитрий Донской” частям Красной Армии у деревни Горелки Тульской области Колонна пошла на комплектование 38-го отдельного танкового полка и 516-го отдельного огнеметного танкового полка. По штату каждый из них должен был иметь по 21 танку, но такое коли</w:t>
      </w:r>
      <w:r w:rsidRPr="007224C3">
        <w:rPr>
          <w:rFonts w:ascii="Times New Roman" w:hAnsi="Times New Roman"/>
          <w:color w:val="000000" w:themeColor="text1"/>
          <w:sz w:val="16"/>
          <w:szCs w:val="16"/>
        </w:rPr>
        <w:softHyphen/>
        <w:t>чество досталось только 516-му отдельному огнеметному танковому полку. На долю же 38-го полка осталось лишь 19 танков, правда, вооруженных 85-мм пушкой Д-5Т.</w:t>
      </w:r>
    </w:p>
    <w:p w14:paraId="6D4FC9E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торжественном митинге 8 марта перед танкистами по поручению Патриарха всея Руси выступил митрополит Кру</w:t>
      </w:r>
      <w:r w:rsidRPr="007224C3">
        <w:rPr>
          <w:rFonts w:ascii="Times New Roman" w:hAnsi="Times New Roman"/>
          <w:color w:val="000000" w:themeColor="text1"/>
          <w:sz w:val="16"/>
          <w:szCs w:val="16"/>
        </w:rPr>
        <w:softHyphen/>
        <w:t>тицкий Николай (Ярушевич). Это была первая официальная встреча представителя духовенства Русской Православной Церкви с бойцами и командирами Красной Армии.</w:t>
      </w:r>
    </w:p>
    <w:p w14:paraId="2902993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10 марта 38-й полк отбыл на фронт, где принял учас</w:t>
      </w:r>
      <w:r w:rsidRPr="007224C3">
        <w:rPr>
          <w:rFonts w:ascii="Times New Roman" w:hAnsi="Times New Roman"/>
          <w:color w:val="000000" w:themeColor="text1"/>
          <w:sz w:val="16"/>
          <w:szCs w:val="16"/>
        </w:rPr>
        <w:softHyphen/>
        <w:t>тие в Уманско-Ботошанской операции. До получения мат-части из колонны «Димитрий Донской» указанный полк уже участвовал в боях на Демянском плацдарме, освобож</w:t>
      </w:r>
      <w:r w:rsidRPr="007224C3">
        <w:rPr>
          <w:rFonts w:ascii="Times New Roman" w:hAnsi="Times New Roman"/>
          <w:color w:val="000000" w:themeColor="text1"/>
          <w:sz w:val="16"/>
          <w:szCs w:val="16"/>
        </w:rPr>
        <w:softHyphen/>
        <w:t>дал Вязьму, Невель и Великие Луки, и его личный состав считался опытным. В ночь с 23 на 24 марта 1944 г. 38-й от</w:t>
      </w:r>
      <w:r w:rsidRPr="007224C3">
        <w:rPr>
          <w:rFonts w:ascii="Times New Roman" w:hAnsi="Times New Roman"/>
          <w:color w:val="000000" w:themeColor="text1"/>
          <w:sz w:val="16"/>
          <w:szCs w:val="16"/>
        </w:rPr>
        <w:softHyphen/>
        <w:t>дельный танковый полк, совершив двенадцатисуточный марш в район г. Умани, с ходу вступил в бой (11135).</w:t>
      </w:r>
    </w:p>
    <w:p w14:paraId="63BB854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BF5C406"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Жизнь и внутренняя политика:</w:t>
      </w:r>
    </w:p>
    <w:p w14:paraId="0E6DE6F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9430BFE"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марта 1944 по приказу Сталина начата массовая депортация балкарцев (4962).</w:t>
      </w:r>
    </w:p>
    <w:p w14:paraId="0C2FDCD4"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337646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марта 1944 была массовая депортация балкарцев (1348,123).</w:t>
      </w:r>
    </w:p>
    <w:p w14:paraId="1F14279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3F0FE9" w14:textId="77777777" w:rsidR="000511D8"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Внешняя политика:</w:t>
      </w:r>
    </w:p>
    <w:p w14:paraId="055251DD" w14:textId="77777777" w:rsidR="000511D8" w:rsidRPr="007224C3" w:rsidRDefault="000511D8"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21B3432" w14:textId="77777777" w:rsidR="000511D8" w:rsidRPr="007224C3" w:rsidRDefault="000511D8" w:rsidP="007224C3">
      <w:pPr>
        <w:spacing w:after="0" w:line="240" w:lineRule="auto"/>
        <w:jc w:val="both"/>
        <w:rPr>
          <w:rFonts w:ascii="Times New Roman" w:hAnsi="Times New Roman"/>
          <w:color w:val="000000" w:themeColor="text1"/>
          <w:sz w:val="16"/>
          <w:szCs w:val="16"/>
          <w:lang w:val="en-US"/>
        </w:rPr>
      </w:pPr>
      <w:r w:rsidRPr="007224C3">
        <w:rPr>
          <w:rFonts w:ascii="Times New Roman" w:hAnsi="Times New Roman"/>
          <w:bCs/>
          <w:color w:val="000000" w:themeColor="text1"/>
          <w:sz w:val="16"/>
          <w:szCs w:val="16"/>
        </w:rPr>
        <w:t>8 марта</w:t>
      </w:r>
      <w:r w:rsidRPr="007224C3">
        <w:rPr>
          <w:rFonts w:ascii="Times New Roman" w:hAnsi="Times New Roman"/>
          <w:color w:val="000000" w:themeColor="text1"/>
          <w:sz w:val="16"/>
          <w:szCs w:val="16"/>
        </w:rPr>
        <w:t xml:space="preserve"> в 1944 году правительство Финляндии заявило, что не может принять советские условия перемирия без предварительного обсуждения. Советскаясторонавыразиласогласие</w:t>
      </w:r>
      <w:r w:rsidRPr="007224C3">
        <w:rPr>
          <w:rFonts w:ascii="Times New Roman" w:hAnsi="Times New Roman"/>
          <w:color w:val="000000" w:themeColor="text1"/>
          <w:sz w:val="16"/>
          <w:szCs w:val="16"/>
          <w:lang w:val="en-US"/>
        </w:rPr>
        <w:t xml:space="preserve"> (15062).</w:t>
      </w:r>
    </w:p>
    <w:p w14:paraId="28AE42C0" w14:textId="77777777" w:rsidR="000511D8" w:rsidRPr="007224C3" w:rsidRDefault="000511D8" w:rsidP="007224C3">
      <w:pPr>
        <w:spacing w:after="0" w:line="240" w:lineRule="auto"/>
        <w:jc w:val="both"/>
        <w:rPr>
          <w:rFonts w:ascii="Times New Roman" w:hAnsi="Times New Roman"/>
          <w:color w:val="000000" w:themeColor="text1"/>
          <w:sz w:val="16"/>
          <w:szCs w:val="16"/>
          <w:lang w:val="en-US"/>
        </w:rPr>
      </w:pPr>
    </w:p>
    <w:p w14:paraId="40437865"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7224C3">
        <w:rPr>
          <w:rFonts w:ascii="Times New Roman" w:hAnsi="Times New Roman"/>
          <w:i/>
          <w:iCs/>
          <w:color w:val="000000" w:themeColor="text1"/>
          <w:sz w:val="16"/>
          <w:szCs w:val="16"/>
        </w:rPr>
        <w:t>За</w:t>
      </w:r>
      <w:r w:rsidRPr="007224C3">
        <w:rPr>
          <w:rFonts w:ascii="Times New Roman" w:hAnsi="Times New Roman"/>
          <w:i/>
          <w:iCs/>
          <w:color w:val="000000" w:themeColor="text1"/>
          <w:sz w:val="16"/>
          <w:szCs w:val="16"/>
          <w:lang w:val="en-US"/>
        </w:rPr>
        <w:t xml:space="preserve"> </w:t>
      </w:r>
      <w:r w:rsidRPr="007224C3">
        <w:rPr>
          <w:rFonts w:ascii="Times New Roman" w:hAnsi="Times New Roman"/>
          <w:i/>
          <w:iCs/>
          <w:color w:val="000000" w:themeColor="text1"/>
          <w:sz w:val="16"/>
          <w:szCs w:val="16"/>
        </w:rPr>
        <w:t>рубежом</w:t>
      </w:r>
      <w:r w:rsidRPr="007224C3">
        <w:rPr>
          <w:rFonts w:ascii="Times New Roman" w:hAnsi="Times New Roman"/>
          <w:i/>
          <w:iCs/>
          <w:color w:val="000000" w:themeColor="text1"/>
          <w:sz w:val="16"/>
          <w:szCs w:val="16"/>
          <w:lang w:val="en-US"/>
        </w:rPr>
        <w:t>:</w:t>
      </w:r>
    </w:p>
    <w:p w14:paraId="776EA0D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6A1C61D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March 8th, 1944: The US 8th Air Force carries out another heavy attack against Berlin (3819).</w:t>
      </w:r>
    </w:p>
    <w:p w14:paraId="5DE369D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861834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марта 1944 8ВА США выполнила массированный налет на Берлин (3819).</w:t>
      </w:r>
    </w:p>
    <w:p w14:paraId="4FF5160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5AD40D"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марта 1944 немецкие войска применили танки против бастующих итальянских рабочих в Милане (4962).</w:t>
      </w:r>
    </w:p>
    <w:p w14:paraId="1F85B178"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6F60BA7"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0829F55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CB4CA4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марта 1944 с утра стояла нелетная погода, но к 16.00 развеялось и уда</w:t>
      </w:r>
      <w:r w:rsidRPr="007224C3">
        <w:rPr>
          <w:rFonts w:ascii="Times New Roman" w:hAnsi="Times New Roman"/>
          <w:color w:val="000000" w:themeColor="text1"/>
          <w:sz w:val="16"/>
          <w:szCs w:val="16"/>
        </w:rPr>
        <w:softHyphen/>
        <w:t>лось выполнить один полет Ил-АМ-42 на поли</w:t>
      </w:r>
      <w:r w:rsidRPr="007224C3">
        <w:rPr>
          <w:rFonts w:ascii="Times New Roman" w:hAnsi="Times New Roman"/>
          <w:color w:val="000000" w:themeColor="text1"/>
          <w:sz w:val="16"/>
          <w:szCs w:val="16"/>
        </w:rPr>
        <w:softHyphen/>
        <w:t>гон для бомбометания и стрельбы из пушек и пулеметов. Вечером вновь пришлось менять свечи. Ввиду нелетной погоды в течение следующего дня самолет "затащили" в тир, где отстреляли все вооруже</w:t>
      </w:r>
      <w:r w:rsidRPr="007224C3">
        <w:rPr>
          <w:rFonts w:ascii="Times New Roman" w:hAnsi="Times New Roman"/>
          <w:color w:val="000000" w:themeColor="text1"/>
          <w:sz w:val="16"/>
          <w:szCs w:val="16"/>
        </w:rPr>
        <w:softHyphen/>
        <w:t>ние (11427).</w:t>
      </w:r>
    </w:p>
    <w:p w14:paraId="4EC0622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81542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марта 1944 года вышел приказ НКАП за № 178 во исполнение решения ГКО за № 522с от 21 февраля 1944 года, согласно которому на завод № 65 была возложена задача по организации производства гильз для авиационных заводов. С апреля 1944 года завод приступил к выпуску этой продукции.</w:t>
      </w:r>
    </w:p>
    <w:p w14:paraId="0D85E63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удовлетворения самолетных и моторных заводов трубами, профилями и прутками из алюминиевых сплавов приказом НКАП за № 595 от 5 сентября 1945 года заводу № 65 было поручено организовать производство этих полуфабрикатов.</w:t>
      </w:r>
    </w:p>
    <w:p w14:paraId="64DD662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основании приказа МАП № 289 от 13 мая 1946 года завод приступил к восстановлению прокатного производства.</w:t>
      </w:r>
    </w:p>
    <w:p w14:paraId="1CA3E8E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приказу МАП за 3 96 от 21 февраля 1955 года при заводе № 65 организовано ОКБ-65 на которое возложена разработка новых технологических процессов производства деталей и полуфабрикатов и создание новой техники для заводов авиапромышленности. 11 августа 1961 года ЦК КПСС и СМ вынесли постановление за № 728-304 об организации ВНИИ технологии легких и специальных сплавов (ВНИИТЛиСС) с опытным заводом на базе ОКБ-65 и завода № 65.</w:t>
      </w:r>
    </w:p>
    <w:p w14:paraId="572A31B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Начальником филиала завода № 95 с января по 23 декабря 1942 года был И.В. Селихов 23 декабря 1942 года приказом НКАП за № 134-ок директором филиала завода № 95 был назначен Румянцев Б.Ф.</w:t>
      </w:r>
    </w:p>
    <w:p w14:paraId="08C13C5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реорганизации филиала в самостоятельный завод № 65 директором завода № 95 был назначен Румянцев Б.Ф.</w:t>
      </w:r>
    </w:p>
    <w:p w14:paraId="7835157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Приказом НКАП № 254/к от 22 марта 1944 года на должность директора завода назначен Коваль Б.А.</w:t>
      </w:r>
    </w:p>
    <w:p w14:paraId="278689F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Приказом МАП от 17 апреля 1946 года за № 256/к на должность директора завода назначен Виштынецкий И.С. 23 августа 1950 года на должность директора завода назначен Десятков М.Д.</w:t>
      </w:r>
    </w:p>
    <w:p w14:paraId="6F66D67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Приказом МАП от 28 июня 1954 года за № 304/К директором завода назначен Шапошников В.А., а приказом МАП за № 468 от 22 октября 1955 года Шапошников В.А. по совместительству утвержден в должности гл. конструктора ОКБ-65. 19 августа 1959 года на должность директора завода назначен Квасов Ф.И., в должности гл. конструктора ОКБ-65 оставлен Шапошников В.А.</w:t>
      </w:r>
    </w:p>
    <w:p w14:paraId="573E6CF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связи с организацией института на базе ОКБ и завода № 65, приказом председателя ГКАТ от 28 октября 1961 года за № 169к на члена Госкомитета Белова М.Ф. возложено исполнение обязанностей начальника ВНИИТЛиСС.</w:t>
      </w:r>
    </w:p>
    <w:p w14:paraId="10E83D7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Адрес: Москва, Кунцево, ул. Горбунова, д. 20 (9894).</w:t>
      </w:r>
    </w:p>
    <w:p w14:paraId="388BCFD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B1F08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марта 1944 вышло распоряжение СНК, которым совместно с постановлением ГКО от 26 февраля 1944 была создана Комиссия по делам международных воздушных линий СССР. Возглавил г-м П.Ф.Березин (7485, 32).</w:t>
      </w:r>
    </w:p>
    <w:p w14:paraId="5365616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57927F"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019C14A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BD1816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9 по 27 марта 1944 на АНИОПе в Гороховце проходили государственные испытания СУ-100, где САУ произвела 1040 выстрелов и прошла 864 км. В своем заключении комиссия отметила, что опытный образец испытания выдержал и может быть принят на вооружение Красной Армии после внесения некоторых изменений (3862).</w:t>
      </w:r>
    </w:p>
    <w:p w14:paraId="0F5EC08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0D24D5"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9 по 27 марта 1944 на Гороховецком АНИОП проходили Полигонные испытания САУ-100. Систему испытали стрельбой в объёме 1040 выстрелов, из них 517 — усиленным зарядом. В ходе испытаний при использовании разных групп укладок была получена скорострельность от 4 до 8 выстрелов в минуту. Также установка прошла 564 км, из них 125 — по целине. Дополнительно машина прошла ещё 300 км по шоссе и просёлку (это происходило во время испытаний стрельбой).</w:t>
      </w:r>
    </w:p>
    <w:p w14:paraId="304AC9C9"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отличие от танковой версии Д-10, которая испытания не выдержала, ситуация с самоходной версией системы оказалась куда более положительной. Несмотря на ряд неполадок, Д-10С испытания стрельбой выдержала, хотя комиссия составила список из десяти пунктов для устранения. Вопросы возникли не только к орудию: среди замечаний оказалось и предложение заменить прицел 10Т-15 на ломающийся телескопический прицел. Имелись претензии и к боевому отделению. Место командира признали неудобным, требовалось сместить командирскую башенку назад на 200–250 мм, а также переделать сиденья командира, наводчика и заряжающего. Дорабатывались люки, изменялись крепление орудия по-походному и освещение. Повторилась претензия к загазованности боевого отделения. Ещё десять пунктов требуемых изменений касались шасси самоходной установки (18252).</w:t>
      </w:r>
    </w:p>
    <w:p w14:paraId="402BE5A8" w14:textId="77777777" w:rsidR="00750752" w:rsidRPr="007224C3" w:rsidRDefault="00750752" w:rsidP="007224C3">
      <w:pPr>
        <w:spacing w:after="0" w:line="240" w:lineRule="auto"/>
        <w:jc w:val="both"/>
        <w:rPr>
          <w:rFonts w:ascii="Times New Roman" w:hAnsi="Times New Roman"/>
          <w:color w:val="000000" w:themeColor="text1"/>
          <w:sz w:val="16"/>
          <w:szCs w:val="16"/>
        </w:rPr>
      </w:pPr>
    </w:p>
    <w:p w14:paraId="6F163C5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9 по 27 марта 1944 на АНИОПе в Гороховце проходили государственные испытания СУ-100, где самоход произвел 1040 выстрелов и прошел 864 км. В своем заключении комиссия отметила, что опытный образец испытания выдержал и может быть принят на вооружение Красной Армии после внесения некоторых изменений (9637).</w:t>
      </w:r>
    </w:p>
    <w:p w14:paraId="4316AFE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867DF8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9 по 27 марта 1944 Государственные испытания опытного образца самоходной установки СУ-100, вооруженный 100-мм пушкой Д-10С, проходили на Гороховецком АНИОПе Испытания САУ выдержала и была призна</w:t>
      </w:r>
      <w:r w:rsidRPr="007224C3">
        <w:rPr>
          <w:rFonts w:ascii="Times New Roman" w:hAnsi="Times New Roman"/>
          <w:color w:val="000000" w:themeColor="text1"/>
          <w:sz w:val="16"/>
          <w:szCs w:val="16"/>
        </w:rPr>
        <w:softHyphen/>
        <w:t>на годной для принятия на вооружение РККА после проведения неко</w:t>
      </w:r>
      <w:r w:rsidRPr="007224C3">
        <w:rPr>
          <w:rFonts w:ascii="Times New Roman" w:hAnsi="Times New Roman"/>
          <w:color w:val="000000" w:themeColor="text1"/>
          <w:sz w:val="16"/>
          <w:szCs w:val="16"/>
        </w:rPr>
        <w:softHyphen/>
        <w:t>торых улучшений ее конструкции. На основании результатов испыта</w:t>
      </w:r>
      <w:r w:rsidRPr="007224C3">
        <w:rPr>
          <w:rFonts w:ascii="Times New Roman" w:hAnsi="Times New Roman"/>
          <w:color w:val="000000" w:themeColor="text1"/>
          <w:sz w:val="16"/>
          <w:szCs w:val="16"/>
        </w:rPr>
        <w:softHyphen/>
        <w:t>ний 14 апреля 1944 г. заводу было дано распоряжение о немедленной подготовке серийного производства самоходной установки СУ-100 (10703).</w:t>
      </w:r>
    </w:p>
    <w:p w14:paraId="23F816D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F91F2A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9 по 27 марта проходили Государственные испытания Су-100 на Гороховецком полигоне.</w:t>
      </w:r>
    </w:p>
    <w:p w14:paraId="1D17C14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Государственная комиссия под руководством полковни</w:t>
      </w:r>
      <w:r w:rsidRPr="007224C3">
        <w:rPr>
          <w:rFonts w:ascii="Times New Roman" w:hAnsi="Times New Roman"/>
          <w:color w:val="000000" w:themeColor="text1"/>
          <w:sz w:val="16"/>
          <w:szCs w:val="16"/>
        </w:rPr>
        <w:softHyphen/>
        <w:t>ка Рупышева провела указанные испытания в более жестком режиме, чем было изначально запланировано, причем ужес</w:t>
      </w:r>
      <w:r w:rsidRPr="007224C3">
        <w:rPr>
          <w:rFonts w:ascii="Times New Roman" w:hAnsi="Times New Roman"/>
          <w:color w:val="000000" w:themeColor="text1"/>
          <w:sz w:val="16"/>
          <w:szCs w:val="16"/>
        </w:rPr>
        <w:softHyphen/>
        <w:t>точение режима вызывалось требованиями ЦАКБ. Всего в ходе испытаний было пройдено 864 км пробега и выполнено 1040 выстрелов. И, несмотря на то, что за поведением само</w:t>
      </w:r>
      <w:r w:rsidRPr="007224C3">
        <w:rPr>
          <w:rFonts w:ascii="Times New Roman" w:hAnsi="Times New Roman"/>
          <w:color w:val="000000" w:themeColor="text1"/>
          <w:sz w:val="16"/>
          <w:szCs w:val="16"/>
        </w:rPr>
        <w:softHyphen/>
        <w:t>хода наблюдало большое число глаз, комиссия рекомендо</w:t>
      </w:r>
      <w:r w:rsidRPr="007224C3">
        <w:rPr>
          <w:rFonts w:ascii="Times New Roman" w:hAnsi="Times New Roman"/>
          <w:color w:val="000000" w:themeColor="text1"/>
          <w:sz w:val="16"/>
          <w:szCs w:val="16"/>
        </w:rPr>
        <w:softHyphen/>
        <w:t>вала указанный самоход на вооружение Красной Армии с учетом ликвидации отмеченных недостатков:</w:t>
      </w:r>
    </w:p>
    <w:p w14:paraId="335D650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Введением блокировки электроспуска для устранения самопроизвольных выстрелов при неподготовленном орудии или неожиданно для заряжающего (отмечались случаи травматизма заряжающих в ходе боев осени—зи</w:t>
      </w:r>
      <w:r w:rsidRPr="007224C3">
        <w:rPr>
          <w:rFonts w:ascii="Times New Roman" w:hAnsi="Times New Roman"/>
          <w:color w:val="000000" w:themeColor="text1"/>
          <w:sz w:val="16"/>
          <w:szCs w:val="16"/>
        </w:rPr>
        <w:softHyphen/>
        <w:t>мы 1943 г.)</w:t>
      </w:r>
    </w:p>
    <w:p w14:paraId="20F9A0E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Улучшением рабочего места командира.</w:t>
      </w:r>
    </w:p>
    <w:p w14:paraId="239E6BD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Улучшением крепления орудия по-походному.</w:t>
      </w:r>
    </w:p>
    <w:p w14:paraId="0F9C4AF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Улучшением вентиляции боевого отделения.</w:t>
      </w:r>
    </w:p>
    <w:p w14:paraId="79F38A4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Улучшением крепления боеприпасов.</w:t>
      </w:r>
    </w:p>
    <w:p w14:paraId="0F0C2B9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Изъятием смазки газойлем коленвала двигателя и заме</w:t>
      </w:r>
      <w:r w:rsidRPr="007224C3">
        <w:rPr>
          <w:rFonts w:ascii="Times New Roman" w:hAnsi="Times New Roman"/>
          <w:color w:val="000000" w:themeColor="text1"/>
          <w:sz w:val="16"/>
          <w:szCs w:val="16"/>
        </w:rPr>
        <w:softHyphen/>
        <w:t>ной ее смазкой авиамаслом.</w:t>
      </w:r>
    </w:p>
    <w:p w14:paraId="60F043F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Улучшением защелок люков и крышек (11417).</w:t>
      </w:r>
    </w:p>
    <w:p w14:paraId="7C6D842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0747377"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марта 1944 вышло Постановление ГКО № 5341 Об электрификации железнодорожного участка Куйбышев - Безымянка. (7197, 1-2,3-8).</w:t>
      </w:r>
    </w:p>
    <w:p w14:paraId="5E7E49DC"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DE46E84"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марта 1944 вышло Постановление ГКО № 5342 О мероприятиях по усилению обороны морских коммуникаций в районах Новая Земля и в Карском море. (7197, 9-11,12-15).</w:t>
      </w:r>
    </w:p>
    <w:p w14:paraId="2F707F84"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9D8C253"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марта 1944 вышло Постановление ГКО № 5343 [О выделении НКО в марте 1944 г. 175 грузовых и легковых автомашин для НКГБ.] (7197, 16).</w:t>
      </w:r>
    </w:p>
    <w:p w14:paraId="5BA395AF"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DB248D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марта 1944 г. приказом Госплана были особо определены задачи отделов проверки выполнения планов (7543).</w:t>
      </w:r>
    </w:p>
    <w:p w14:paraId="2BA254E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9EE24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марта 1944 года была подготовлена справка:</w:t>
      </w:r>
    </w:p>
    <w:p w14:paraId="235A990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 60 эвакуирован в 1941 году в КиргизССР (9281).</w:t>
      </w:r>
    </w:p>
    <w:p w14:paraId="65AD6AF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EDAC98"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610330C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272981C" w14:textId="77777777" w:rsidR="000511D8" w:rsidRPr="007224C3" w:rsidRDefault="000511D8"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9 марта</w:t>
      </w:r>
      <w:r w:rsidRPr="007224C3">
        <w:rPr>
          <w:rFonts w:ascii="Times New Roman" w:hAnsi="Times New Roman"/>
          <w:color w:val="000000" w:themeColor="text1"/>
          <w:sz w:val="16"/>
          <w:szCs w:val="16"/>
        </w:rPr>
        <w:t xml:space="preserve"> в 1944 году оперативная сводка Совинформбюро:</w:t>
      </w:r>
    </w:p>
    <w:p w14:paraId="114239E6" w14:textId="77777777" w:rsidR="000511D8" w:rsidRPr="007224C3" w:rsidRDefault="000511D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9-го марта войска 1-го Украинского фронта, продолжая развивать наступление, в результате обходного манёвра в сочетании с фронтальной атакой овладели городом и железнодорожным узлом Староконстантинов — важным опорнымпунктом обороны немцев на Проскуровском направлении, а также с боями заняли более 100 других населённых пунктов, в числе которых Мшанец, Обажаньце, Ивачув, Дычкув, Романувка, Ходачкув Малы, Хмелиска, Камионка, Молчановка, Клинины, Пахутинцы, Николаев, Чернелевка, Лагодинцы, Верхняки, Матрунки, Игнатовцы,Терешевцы, Мытковцы, Шрубков, Новая Синявка, Березна и железнодорожные станции Ивашковце, Курники, Шляхчинце, Борки Великие, Стрыевка, Максимовка, Богдановка, Росоховацец, Антонины. Наши войска ворвались в город Тарнополь, где завязали уличные бои.</w:t>
      </w:r>
    </w:p>
    <w:p w14:paraId="34B3EA39" w14:textId="77777777" w:rsidR="000511D8" w:rsidRPr="007224C3" w:rsidRDefault="000511D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и юго-западнее города Казатин наши войска, перейдя в наступление, овладели районным центром Винницкой области Уланов, а также с боями заняли более 40 других населённых пунктов, в том числе крупные населённые пункты Пустовойты, Лузна, Кустовцы, Рогинцы, Антополь, Старый Пиков, Люлинцы, Нападовка, Радовка, Заливанщина, Черепашинцы и железнодорожную станцию Крыжановка.</w:t>
      </w:r>
    </w:p>
    <w:p w14:paraId="752D52FD" w14:textId="77777777" w:rsidR="000511D8" w:rsidRPr="007224C3" w:rsidRDefault="000511D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3-го Украинского фронта, перейдя в наступление, форсировали реку Ингулец и, прорвав сильную оборону немцев по западному берегу этой реки, зачетыре дня наступательных боёв продвинулись вперёд от 30 до 60 километров и расширили прорыв до 170 километров по фронту.</w:t>
      </w:r>
    </w:p>
    <w:p w14:paraId="66D59C49" w14:textId="77777777" w:rsidR="000511D8" w:rsidRPr="007224C3" w:rsidRDefault="000511D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ходе наступательных боёв войска фронта нанесли тяжёлое поражение трём танковым и шести пехотным дивизиям немцев, овладели районными центрами Николаевской области Новый Буг и Казанка, заняли свыше 200 других населённых пунктов, в том числе крупные населённые пункты Терноватка, Лозоватка, Анастасьевка, Михайловка, Новая Владимировуа, Новолазаревка, Авдотьевка, Красновка, Никольское, Орлово, Троицко-Сафоново, Дренделево, Скобелево, Афанасьевка, Новоконстантиновка, Ефремовка, Ново-Полтавка и железнодорожныестанции Новый Буг, Горожаны, Моисеевка, Рахмановка, Латовка, и прервали железную дорогу Долинская-Николаев.</w:t>
      </w:r>
    </w:p>
    <w:p w14:paraId="2BD97769" w14:textId="77777777" w:rsidR="000511D8" w:rsidRPr="007224C3" w:rsidRDefault="000511D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предварительным данным, за четыре дня боёв войска 3-го Украинского фронта захватили следующие трофеи: танков — 67, орудий разного калибра — 175, пулемётов— 270, автомашин более 2.000, бронетранспортёров — 14, складов с разным военным имуществом — 10. Противник потерял только убитыми около 8.000 человек. Нашими войсками захвачено в плен до 1.000 немецких солдат и офицеров.</w:t>
      </w:r>
    </w:p>
    <w:p w14:paraId="50C6B748" w14:textId="77777777" w:rsidR="000511D8" w:rsidRPr="007224C3" w:rsidRDefault="000511D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 разведка и в ряде пунктов бои местного значения.</w:t>
      </w:r>
    </w:p>
    <w:p w14:paraId="72723193" w14:textId="77777777" w:rsidR="000511D8" w:rsidRPr="007224C3" w:rsidRDefault="000511D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8 марта наши войска на всех фронтах подбили и уничтожили 87 немецких танков. В воздушных боях и огнём зенитной артиллерии уничтожено 56 самолётов противника.</w:t>
      </w:r>
    </w:p>
    <w:p w14:paraId="21E4CE3D" w14:textId="77777777" w:rsidR="000511D8" w:rsidRPr="007224C3" w:rsidRDefault="000511D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Войска 1-го Украинского фронта продолжали успешное наступление. С боями овладев рядом узлов немецкой обороны, наши пехотные и танковые части ворвались в город Тарнополь и завязали в нём уличные бои. Гвардейцы Н-ского соединения вышли вчера на окраины Староконстантинова и очистили от немцев северную часть города. Ночью наши бойцы заняли железнодорожную станцию и захватили переправы через реку. С утра начались бои за заречную часть города. Умелым обходным манёвром и решительной атакой с фронта наши войска разгромили части противника и сегодня овладели городом Староконстантинов. Захвачено огромное количество </w:t>
      </w:r>
      <w:r w:rsidRPr="007224C3">
        <w:rPr>
          <w:rFonts w:ascii="Times New Roman" w:hAnsi="Times New Roman"/>
          <w:color w:val="000000" w:themeColor="text1"/>
          <w:sz w:val="16"/>
          <w:szCs w:val="16"/>
        </w:rPr>
        <w:lastRenderedPageBreak/>
        <w:t>трофеев и много пленных. В другом районе наши бойцы переправились через реку Буг и окружили два батальона пехоты противника. К исходу дня окружённые гитлеровцы были разгромлены. Захвачено всё их вооружение и 18 исправных немецких танков.</w:t>
      </w:r>
    </w:p>
    <w:p w14:paraId="61C8BB1F" w14:textId="77777777" w:rsidR="000511D8" w:rsidRPr="007224C3" w:rsidRDefault="000511D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3-го Украинского фронта успешно форсировали реку Ингулец и, сломив ожесточённое сопротивление немцев, прорвали их оборону по западному берегу реки. Опираясь на балки, русла речек и сильно укреплённые населённые пункты, противник пытался задержать продвижение наших войск. Несмотря на грязь и бездорожье, советские танкисты, пехотинцы и кавалеристы прорвались в глубь немецкой обороны. Развивая наступление, наши войска перерезали железную дорогу Долинская-Николаев и заняли более 200 населённых пунктов. Под ударами советских войск противник отступает, устилая трупами своих солдат обширный район сражения. Части Н-ского соединения, овладевшие крупным населенным пунктом Троицко-Сафоново, захватили 17 танков, 48 орудий, 150 автомашин, 60 тонн бензина и несколько складов с военным имуществом. Наши войска заняли районные центры Николаевской области Новый Буг и Казанка. Только в районе Нового Буга захвачено 37 немецких танков, 58 орудий, более 1.000 автомашин, склад с горючим, продовольственные склады и другие трофеи.</w:t>
      </w:r>
    </w:p>
    <w:p w14:paraId="6CBF809B" w14:textId="77777777" w:rsidR="000511D8" w:rsidRPr="007224C3" w:rsidRDefault="000511D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Финском заливе потоплены тральщик и сторожевой корабль противника. Ввоздушных боях лётчики Краснознамённого Балтийского флота сбили 24 немецких самолёта.</w:t>
      </w:r>
    </w:p>
    <w:p w14:paraId="09B5AD2D" w14:textId="77777777" w:rsidR="000511D8" w:rsidRPr="007224C3" w:rsidRDefault="000511D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Карельские партизанские отряды «Полярник», «Большевик» и «Сталинец» проникли к сильно укреплённому опорному пункту немцев, расположенному в Северной Финляндии. После тщательной разведки советские патриоты с нескольких направлений ворвались в опорный пункт и разгромили вражеский гарнизон. Взорвано 4 дзота и сожжена казарма. Убито свыше 60 солдат и офицеров 307 полка 163 немецкой дивизии.</w:t>
      </w:r>
    </w:p>
    <w:p w14:paraId="19C15C5C" w14:textId="77777777" w:rsidR="000511D8" w:rsidRPr="007224C3" w:rsidRDefault="000511D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Ниже публикуется акт о зверствах немецко-фашистских мерзавцев в городе Ровно: «Шестого ноября 1941 года немцы согнали на площадь значительную часть населения города. Вся площадь была запружена людьми. Многие женщины пришли с детьми. В 10 часов утра немецкая жандармерия погнала эту огромную толпу за город. Здесь у заранее вырытых рвов и ям немцы начали кровавую расправу над советскими людьми. Три дня продолжались расстрелы. Многие разутыми и раздетыми по двое суток дожидались казни. Палачи заставляли их засыпать землёй ямы, наполненные трупами. Детей гитлеровцы живьём бросали в ямы и кидали туда ручные гранаты. За три дня фашистские людоеды убили около 16 тысяч мирных жителей. Кроме того, много советских граждан гитлеровцы замучили и расстреляли в тюрьме. В центре города немцы устроили виселицы, на которых вешали советских патриотов.</w:t>
      </w:r>
    </w:p>
    <w:p w14:paraId="2A00F410" w14:textId="77777777" w:rsidR="000511D8" w:rsidRPr="007224C3" w:rsidRDefault="000511D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Немецко-фашистские захватчики устроили в Ровно три лагеря для военнопленных и мирных советских граждан. Заключённых убивали и морили голодом. На одном только кладбище на Грабнике похоронены тысячи советских граждан, замученных немцами в этих лагерях. Трудно словами передать всё, что происходило в городе во время немецкой оккупации. Мы призываем бойцов Красной Армии отомстить немцам за все их преступления, за кровь советских людей, погибших от рук фашистских извергов».</w:t>
      </w:r>
    </w:p>
    <w:p w14:paraId="019FDDF6" w14:textId="77777777" w:rsidR="000511D8" w:rsidRPr="007224C3" w:rsidRDefault="000511D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Акт подписали жители города Ровно: учительница В.Лукашевич, учитель Е.Левитский, воспитательница детского сада М.Яновская, настоятель Ровенского собора протоиерей У.Парголовский, настоятель Свято-Успенской церкви протоиерей М.Носов, бухгалтер Н.Марчуков и другие.» (15063).</w:t>
      </w:r>
    </w:p>
    <w:p w14:paraId="6D12D92B" w14:textId="77777777" w:rsidR="000511D8" w:rsidRPr="007224C3" w:rsidRDefault="000511D8" w:rsidP="007224C3">
      <w:pPr>
        <w:spacing w:after="0" w:line="240" w:lineRule="auto"/>
        <w:jc w:val="both"/>
        <w:rPr>
          <w:rFonts w:ascii="Times New Roman" w:hAnsi="Times New Roman"/>
          <w:color w:val="000000" w:themeColor="text1"/>
          <w:sz w:val="16"/>
          <w:szCs w:val="16"/>
        </w:rPr>
      </w:pPr>
    </w:p>
    <w:p w14:paraId="0722264F"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ночь с 9 на 10 марта 1944 45-я АДДД со</w:t>
      </w:r>
      <w:r w:rsidRPr="007224C3">
        <w:rPr>
          <w:rFonts w:ascii="Times New Roman" w:hAnsi="Times New Roman"/>
          <w:color w:val="000000" w:themeColor="text1"/>
          <w:sz w:val="16"/>
          <w:szCs w:val="16"/>
        </w:rPr>
        <w:softHyphen/>
        <w:t>вершила налет на Таллин. В вылете при</w:t>
      </w:r>
      <w:r w:rsidRPr="007224C3">
        <w:rPr>
          <w:rFonts w:ascii="Times New Roman" w:hAnsi="Times New Roman"/>
          <w:color w:val="000000" w:themeColor="text1"/>
          <w:sz w:val="16"/>
          <w:szCs w:val="16"/>
        </w:rPr>
        <w:softHyphen/>
        <w:t>нимало участие 19 кораблей. Еще один готовили к вылету, но перед взлетом у него обнаружилась поломка стопора хво</w:t>
      </w:r>
      <w:r w:rsidRPr="007224C3">
        <w:rPr>
          <w:rFonts w:ascii="Times New Roman" w:hAnsi="Times New Roman"/>
          <w:color w:val="000000" w:themeColor="text1"/>
          <w:sz w:val="16"/>
          <w:szCs w:val="16"/>
        </w:rPr>
        <w:softHyphen/>
        <w:t>стового колеса, в результате он остался дома. Взлет произведен с 17 ч. 18 мин. по 18 ч. 17 мин. Все корабли принимавшие участие в вылете бомбили основную цель в период с 21 ч. 19 мин. по 22 ч.05 мин. На цель было сброшено: 2 ФАБ-5000тга, 2 ФАБ-2000, 8 ФАБ-ЮООтга, 32 ФАБ-500тга, 2 ФАБ-500,22 ФАБ-250тга, 19 ЗАБ-ЮОцк, 2 САБ-250,18 САБ-100,2 ФОТАБ-ЮО-бО, 2 ФОТАБ-50-35. Из состава 25-го гв. АПДД основную цель бомбили Пе-8 с заводскими номерами: 42076 (командир корабля Адамов), 42067 (командир кора-* бля Обухов), 42028 (командир корабля Си</w:t>
      </w:r>
      <w:r w:rsidRPr="007224C3">
        <w:rPr>
          <w:rFonts w:ascii="Times New Roman" w:hAnsi="Times New Roman"/>
          <w:color w:val="000000" w:themeColor="text1"/>
          <w:sz w:val="16"/>
          <w:szCs w:val="16"/>
        </w:rPr>
        <w:softHyphen/>
        <w:t>монов), 42088 (командир корабля Сугак), 42059 (командир корабля Шатров), 42210 (командир корабля Бездольный), 42410 (командир корабля Ищенко), 42311 (коман</w:t>
      </w:r>
      <w:r w:rsidRPr="007224C3">
        <w:rPr>
          <w:rFonts w:ascii="Times New Roman" w:hAnsi="Times New Roman"/>
          <w:color w:val="000000" w:themeColor="text1"/>
          <w:sz w:val="16"/>
          <w:szCs w:val="16"/>
        </w:rPr>
        <w:softHyphen/>
        <w:t>дир корабля Зеленский), 42811 (командир корабля Пономаренко), 42911 (командир корабля Чурилин). Из состава 890-го АПДД бомбили основную цель Пе-8 с заводскими номерами: 4214 (командир корабля Откидач), 42078 (командир кора</w:t>
      </w:r>
      <w:r w:rsidRPr="007224C3">
        <w:rPr>
          <w:rFonts w:ascii="Times New Roman" w:hAnsi="Times New Roman"/>
          <w:color w:val="000000" w:themeColor="text1"/>
          <w:sz w:val="16"/>
          <w:szCs w:val="16"/>
        </w:rPr>
        <w:softHyphen/>
        <w:t>бля Сукоркин), 42098 (командир корабля Кокарев), 42710 (командир корабля Кося- ченко), 42810 (командир корабля Олейни</w:t>
      </w:r>
      <w:r w:rsidRPr="007224C3">
        <w:rPr>
          <w:rFonts w:ascii="Times New Roman" w:hAnsi="Times New Roman"/>
          <w:color w:val="000000" w:themeColor="text1"/>
          <w:sz w:val="16"/>
          <w:szCs w:val="16"/>
        </w:rPr>
        <w:softHyphen/>
        <w:t>ков), 42111 (командир корабля Самохин), 42411(командир корабля Романов), 42711 (командир корабля Марусиченко), 421011 (командир корабля Вихорев).</w:t>
      </w:r>
    </w:p>
    <w:p w14:paraId="44246211"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После бомбометания два корабля приземлились на запасных аэродромах: экипаж самолета № 42311 сел на аэро</w:t>
      </w:r>
      <w:r w:rsidRPr="007224C3">
        <w:rPr>
          <w:rFonts w:ascii="Times New Roman" w:hAnsi="Times New Roman"/>
          <w:color w:val="000000" w:themeColor="text1"/>
          <w:sz w:val="16"/>
          <w:szCs w:val="16"/>
        </w:rPr>
        <w:softHyphen/>
        <w:t>дроме Мигалово из-за опасения что не хватит горючего до своего аэродрома, а самолет № 42810 совершил посадку на аэродроме Выползово из-за отказа матчасти. Остальные семнадцать кора</w:t>
      </w:r>
      <w:r w:rsidRPr="007224C3">
        <w:rPr>
          <w:rFonts w:ascii="Times New Roman" w:hAnsi="Times New Roman"/>
          <w:color w:val="000000" w:themeColor="text1"/>
          <w:sz w:val="16"/>
          <w:szCs w:val="16"/>
        </w:rPr>
        <w:softHyphen/>
        <w:t>блей сели на своем аэродроме в период с 00ч. 49 мин по 01 ч. 52 мин. Потерь не было, одна машина получила легкие по</w:t>
      </w:r>
      <w:r w:rsidRPr="007224C3">
        <w:rPr>
          <w:rFonts w:ascii="Times New Roman" w:hAnsi="Times New Roman"/>
          <w:color w:val="000000" w:themeColor="text1"/>
          <w:sz w:val="16"/>
          <w:szCs w:val="16"/>
        </w:rPr>
        <w:softHyphen/>
        <w:t>вреждения от зенитного огня (19559).</w:t>
      </w:r>
    </w:p>
    <w:p w14:paraId="42D2F6F3" w14:textId="77777777" w:rsidR="00750752" w:rsidRPr="007224C3" w:rsidRDefault="00750752" w:rsidP="007224C3">
      <w:pPr>
        <w:spacing w:after="0" w:line="240" w:lineRule="auto"/>
        <w:jc w:val="both"/>
        <w:rPr>
          <w:rFonts w:ascii="Times New Roman" w:hAnsi="Times New Roman"/>
          <w:color w:val="000000" w:themeColor="text1"/>
          <w:sz w:val="16"/>
          <w:szCs w:val="16"/>
        </w:rPr>
      </w:pPr>
    </w:p>
    <w:p w14:paraId="32589AC6" w14:textId="77777777" w:rsidR="000511D8" w:rsidRPr="007224C3" w:rsidRDefault="000511D8"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9 марта</w:t>
      </w:r>
      <w:r w:rsidRPr="007224C3">
        <w:rPr>
          <w:rFonts w:ascii="Times New Roman" w:hAnsi="Times New Roman"/>
          <w:color w:val="000000" w:themeColor="text1"/>
          <w:sz w:val="16"/>
          <w:szCs w:val="16"/>
        </w:rPr>
        <w:t xml:space="preserve"> в 1944 году началась Псковская операция войск левого крыла Ленинградского фронта (9 марта – 15 апреля) (15063).</w:t>
      </w:r>
    </w:p>
    <w:p w14:paraId="0C36773F" w14:textId="77777777" w:rsidR="000511D8" w:rsidRPr="007224C3" w:rsidRDefault="000511D8" w:rsidP="007224C3">
      <w:pPr>
        <w:spacing w:after="0" w:line="240" w:lineRule="auto"/>
        <w:jc w:val="both"/>
        <w:rPr>
          <w:rFonts w:ascii="Times New Roman" w:hAnsi="Times New Roman"/>
          <w:color w:val="000000" w:themeColor="text1"/>
          <w:sz w:val="16"/>
          <w:szCs w:val="16"/>
        </w:rPr>
      </w:pPr>
    </w:p>
    <w:p w14:paraId="2089732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марта 1945 года, по рассказу военного летчика Н.Ф. Исаенко, лейтенант С.А. Мазухин обнаружил северо-западнее Секешфехервара колонну вражеских автомашин с пехотой. Командир дивизии генерал-майор Смирнов разрешил нанести удар по колонне, имевшимися в полку (611-й истребительный авиаполк - прим. авт.) самолетами Як-9 (Як-9Т - прим. авт.) с пушкой калибра 37 мм. Удар мы наносили двумя группами по шесть истребителей в каждой...</w:t>
      </w:r>
    </w:p>
    <w:p w14:paraId="5413225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Группа П.К. Рочагова, используя облачность, зашла на (...) колонну с тыла и нанесла удар по ходу ее движения, разгромив голову и создав на дороге (...) пробку. Едва завершил работу Рочагов, обрушилась на врага группа И.И. Сошникова. В итоге, наши летчики уничтожили два бронетранспортера, 16 автомашин, батарею зенитных орудий и до 50 солдат и офицеров противника".</w:t>
      </w:r>
    </w:p>
    <w:p w14:paraId="7D18490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борьбы со скоплениями войск и техники противника у переправ советские летчики-истребители применяли тактику "свободной охоты". Наиболее эффективно этот способ применялся для борьбы с автоколоннами. Летчики на истребителях Як-9Т, следовали, как правило, в стороне от дороги, либо пересекали ее "змейкой". Автоколонны чаще всего атаковали с пологого пикирования под углом 25-30 градусов. Открывали огонь обычно с высоты 200-300 м на удалении около 400 м до цели, а прекращали стрельбу на высоте 100 м. При этом летчик Як-9Т успевал израсходовать два-три патрона из 37-мм пушки и 15 - из крупнокалиберного пулемета (12046).</w:t>
      </w:r>
    </w:p>
    <w:p w14:paraId="27B675F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DD7AE0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March 9 1944 All through the night Soviet planes bombard Tallinn. The terror attack kills over 500 people. Many residential quarters in the old and central parts of Tallinn are entirely ruined (1224).</w:t>
      </w:r>
    </w:p>
    <w:p w14:paraId="763C896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B70111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марта 1944 советская авиация всю ночь бомбила Таллинн и погибло 500 чел., а также многие кварталы старого города (1224).</w:t>
      </w:r>
    </w:p>
    <w:p w14:paraId="654D06C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0B106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марта 1944 был последний сброс ФАБ-5000. Экипажи 25 гп (б. 746) Зеленского и Олейникова. Всего 746 или 25 из поступивших 18 ФАБ-5000 сбросили 13 и одну использовали на испытаниях (1564,11).</w:t>
      </w:r>
    </w:p>
    <w:p w14:paraId="5E81647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F8C8C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марта 1944 согласно сообщению Совинформбюро АДД бомбила Таллинн - ж/д и суда. Не вернулось 5 машин (438,897).</w:t>
      </w:r>
    </w:p>
    <w:p w14:paraId="773C65E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1ED57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ночь с 9 на 10 марта 1944 в ответ на бомбардировку Таллинна финский 4 бап (LeR 4), вооруженный Ju-88, Do-17 и трофейными ДБ-3 и Ил-4 бомбил аэродромы в Левашово и Касимово на Карельском перешейке (3846,19).</w:t>
      </w:r>
    </w:p>
    <w:p w14:paraId="30F0220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57352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марта 1944 группа в ходе Проскуров-Тернопольской операции ш нанесла удар по ж/д станции Браилов и движение на этом участке прекратилось на двое суток (340,189).</w:t>
      </w:r>
    </w:p>
    <w:p w14:paraId="379FBAC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CCCC9F"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Внешняя политика:</w:t>
      </w:r>
    </w:p>
    <w:p w14:paraId="1CD293F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582C73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марта 1944 года было получено:</w:t>
      </w:r>
    </w:p>
    <w:p w14:paraId="15215F1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ЛИЧНО И СТРОГО СЕКРЕТНО ПОСЛАНИЕ ОТ г-на ЧЕРЧИЛЛЯ И ПРЕЗИДЕНТА РУЗВЕЛЬТА МАРШАЛУ СТАЛИНУ</w:t>
      </w:r>
    </w:p>
    <w:p w14:paraId="3C492A6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Хотя Премьер-Министр поручил Послу Кларку Керру сообщить Вам, что эскадренные миноносцы, которые мы передаем Вам взаймы, старые, это было сделано лишь ради полной откровенности. В действительности они являются хорошими, исправными судами, вполне пригодными для несения эскортной службы. Во всем итальянском военно-морском флоте имеется лишь семь эскадренных миноносцев; остальные — это более старые миноносцы и торпедные катера. Кроме того, эти итальянские эскадренные миноносцы, когда мы их получим, совершенно не будут пригодны для работы на Севере без предварительной переделки, для которой потребуется весьма длительное время. Поэтому мы полагали, что восемь эскадренных миноносцев, которые предоставлены Британским Правительством, были бы быстрейшей и более удобной формой помощи Вам. Премьер-Министр сожалеет, что он не может в настоящее время выделить каких-либо новых эскадренных миноносцев. Две недели тому назад он потерял два эскадренных миноносца, причем один из них — в конвое, направлявшемся в Россию, а лишь при проведении десантных операций в “Оверлорде” для прибрежной работы против артиллерийских батарей он должен развернуть не менее сорока двух эскадренных миноносцев, значительная часть которых может быть потоплена. Каждое из имеющихся у него судов этого класса используется до пределов в интересах общего дела. Переброска японского флота в Сингапур создает на Индийском океане новую ситуацию для нас обоих. Бои в районе предмостного укрепления у Анцио и вообще во всем районе Средиземного моря в полном разгаре. Огромные конвои с войсками освободительной армии Соединенных Штатов пересекают Атлантический океан. Конвои в Россию в сопровождении весьма крупных сил эскадренных миноносцев будут отправляться до самой последней минуты перед началом “Оверлорда”. Наконец, речь идет о </w:t>
      </w:r>
      <w:r w:rsidRPr="007224C3">
        <w:rPr>
          <w:rFonts w:ascii="Times New Roman" w:hAnsi="Times New Roman"/>
          <w:color w:val="000000" w:themeColor="text1"/>
          <w:sz w:val="16"/>
          <w:szCs w:val="16"/>
        </w:rPr>
        <w:lastRenderedPageBreak/>
        <w:t>самом “Оверлорде”. Положение у Президента также напряженное, но в данном случае главным образом из-за большого масштаба и активности операций на Тихом океане. Наше совместное намерение передать Вам итальянские суда, на что было дано согласие в Москве и Тегеране, остается неизменным, и мы официально поставим этот вопрос перед Итальянским Правительством, когда состав последнего будет расширен и когда новые министры приступят к исполнению своих обязанностей. Нет никаких сомнений в отношении нашего права распоряжаться итальянским военно-морским флотом, речь идет лишь о том, чтобы воспользоваться этим правом с наименьшим ущербом для наших общих интересов. Тем временем все наши указанные суда подготавливаются к передаче Вам взаймы согласно существующей уже договоренности.</w:t>
      </w:r>
    </w:p>
    <w:p w14:paraId="5DED7F3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РУЗВЕЛЬТ ЧЕРЧИЛЛЬ (7430).</w:t>
      </w:r>
    </w:p>
    <w:p w14:paraId="7B368F8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2E69B1" w14:textId="77777777" w:rsidR="00E870E7"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4A99982C" w14:textId="77777777" w:rsidR="00E870E7" w:rsidRPr="007224C3" w:rsidRDefault="00E870E7"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16FA6FB" w14:textId="77777777" w:rsidR="00E870E7" w:rsidRPr="007224C3" w:rsidRDefault="00E870E7"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9 марта</w:t>
      </w:r>
      <w:r w:rsidRPr="007224C3">
        <w:rPr>
          <w:rFonts w:ascii="Times New Roman" w:hAnsi="Times New Roman"/>
          <w:color w:val="000000" w:themeColor="text1"/>
          <w:sz w:val="16"/>
          <w:szCs w:val="16"/>
        </w:rPr>
        <w:t xml:space="preserve"> в 1944 году началась завершающая стадия лётных испытаний экспериментального самолёта </w:t>
      </w:r>
      <w:hyperlink r:id="rId72" w:tgtFrame="_blank" w:history="1">
        <w:r w:rsidRPr="007224C3">
          <w:rPr>
            <w:rFonts w:ascii="Times New Roman" w:hAnsi="Times New Roman"/>
            <w:color w:val="000000" w:themeColor="text1"/>
            <w:sz w:val="16"/>
            <w:szCs w:val="16"/>
          </w:rPr>
          <w:t xml:space="preserve">«E.28/39» («G-40») «Pioneer» </w:t>
        </w:r>
      </w:hyperlink>
      <w:r w:rsidRPr="007224C3">
        <w:rPr>
          <w:rFonts w:ascii="Times New Roman" w:hAnsi="Times New Roman"/>
          <w:color w:val="000000" w:themeColor="text1"/>
          <w:sz w:val="16"/>
          <w:szCs w:val="16"/>
        </w:rPr>
        <w:t>(разработчик: Gloster, Великобритания), в ходе которой самолёт налетал 10 часов и достиг скорости 755 км/ч, наибольшей на то время в Великобритании (15063).</w:t>
      </w:r>
    </w:p>
    <w:p w14:paraId="33659A3D" w14:textId="77777777" w:rsidR="00E870E7" w:rsidRPr="007224C3" w:rsidRDefault="00E870E7" w:rsidP="007224C3">
      <w:pPr>
        <w:spacing w:after="0" w:line="240" w:lineRule="auto"/>
        <w:jc w:val="both"/>
        <w:rPr>
          <w:rFonts w:ascii="Times New Roman" w:hAnsi="Times New Roman"/>
          <w:color w:val="000000" w:themeColor="text1"/>
          <w:sz w:val="16"/>
          <w:szCs w:val="16"/>
        </w:rPr>
      </w:pPr>
    </w:p>
    <w:p w14:paraId="0BC72773" w14:textId="77777777" w:rsidR="008362FC" w:rsidRPr="007224C3" w:rsidRDefault="008362F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9–10 марта (ночь) 1944 44 британских Ланкастера точно наносят удар по авиационному заводу в Мариньяне, Франция (20373).</w:t>
      </w:r>
    </w:p>
    <w:p w14:paraId="7241148E" w14:textId="77777777" w:rsidR="008362FC" w:rsidRPr="007224C3" w:rsidRDefault="008362FC" w:rsidP="007224C3">
      <w:pPr>
        <w:spacing w:after="0" w:line="240" w:lineRule="auto"/>
        <w:jc w:val="both"/>
        <w:rPr>
          <w:rFonts w:ascii="Times New Roman" w:hAnsi="Times New Roman"/>
          <w:color w:val="0070C0"/>
          <w:sz w:val="16"/>
          <w:szCs w:val="16"/>
        </w:rPr>
      </w:pPr>
    </w:p>
    <w:p w14:paraId="5BDAF2B2"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799D888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B8B1D0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марта 1944 Ил-1 был отправ</w:t>
      </w:r>
      <w:r w:rsidRPr="007224C3">
        <w:rPr>
          <w:rFonts w:ascii="Times New Roman" w:hAnsi="Times New Roman"/>
          <w:color w:val="000000" w:themeColor="text1"/>
          <w:sz w:val="16"/>
          <w:szCs w:val="16"/>
        </w:rPr>
        <w:softHyphen/>
        <w:t>лен в Москву на авиазавод № 240 для дальнейшей доводки и проведения ис</w:t>
      </w:r>
      <w:r w:rsidRPr="007224C3">
        <w:rPr>
          <w:rFonts w:ascii="Times New Roman" w:hAnsi="Times New Roman"/>
          <w:color w:val="000000" w:themeColor="text1"/>
          <w:sz w:val="16"/>
          <w:szCs w:val="16"/>
        </w:rPr>
        <w:softHyphen/>
        <w:t>пытаний. Вместе с самолетом в столицу выехала заводская бригада во главе с ведущим инженером А. Соболевым и заместителем начальника отдела эксп</w:t>
      </w:r>
      <w:r w:rsidRPr="007224C3">
        <w:rPr>
          <w:rFonts w:ascii="Times New Roman" w:hAnsi="Times New Roman"/>
          <w:color w:val="000000" w:themeColor="text1"/>
          <w:sz w:val="16"/>
          <w:szCs w:val="16"/>
        </w:rPr>
        <w:softHyphen/>
        <w:t>луатации и ремонта С. Малышевым. Вес пустого двухместного Ил-1 со</w:t>
      </w:r>
      <w:r w:rsidRPr="007224C3">
        <w:rPr>
          <w:rFonts w:ascii="Times New Roman" w:hAnsi="Times New Roman"/>
          <w:color w:val="000000" w:themeColor="text1"/>
          <w:sz w:val="16"/>
          <w:szCs w:val="16"/>
        </w:rPr>
        <w:softHyphen/>
        <w:t>ставлял 4722 кг, нормальный полет</w:t>
      </w:r>
      <w:r w:rsidRPr="007224C3">
        <w:rPr>
          <w:rFonts w:ascii="Times New Roman" w:hAnsi="Times New Roman"/>
          <w:color w:val="000000" w:themeColor="text1"/>
          <w:sz w:val="16"/>
          <w:szCs w:val="16"/>
        </w:rPr>
        <w:softHyphen/>
        <w:t>ный — 6099 кг. Бронекорпус имел очень чистые аэродинамические формы за счет новой компоновки водо- и маслора-диаторов, которые полностью размеща</w:t>
      </w:r>
      <w:r w:rsidRPr="007224C3">
        <w:rPr>
          <w:rFonts w:ascii="Times New Roman" w:hAnsi="Times New Roman"/>
          <w:color w:val="000000" w:themeColor="text1"/>
          <w:sz w:val="16"/>
          <w:szCs w:val="16"/>
        </w:rPr>
        <w:softHyphen/>
        <w:t>лись в корпусе за передним лонжероном центроплана под полом кабины пилота. Благодаря такому решению обводы бро-некорпуса Ил-1 удалось сделать более плавными, чем у Ил-2, а более выгод</w:t>
      </w:r>
      <w:r w:rsidRPr="007224C3">
        <w:rPr>
          <w:rFonts w:ascii="Times New Roman" w:hAnsi="Times New Roman"/>
          <w:color w:val="000000" w:themeColor="text1"/>
          <w:sz w:val="16"/>
          <w:szCs w:val="16"/>
        </w:rPr>
        <w:softHyphen/>
        <w:t>ная в аэродинамическом отношении схе</w:t>
      </w:r>
      <w:r w:rsidRPr="007224C3">
        <w:rPr>
          <w:rFonts w:ascii="Times New Roman" w:hAnsi="Times New Roman"/>
          <w:color w:val="000000" w:themeColor="text1"/>
          <w:sz w:val="16"/>
          <w:szCs w:val="16"/>
        </w:rPr>
        <w:softHyphen/>
        <w:t>ма продува радиаторов позволила уменьшить их размеры и сопротивление. Крыло Ил-1 по сравнению с Ил-2 было более тонким (относительной толщиной 18% у корня) и компоновалось из скоро</w:t>
      </w:r>
      <w:r w:rsidRPr="007224C3">
        <w:rPr>
          <w:rFonts w:ascii="Times New Roman" w:hAnsi="Times New Roman"/>
          <w:color w:val="000000" w:themeColor="text1"/>
          <w:sz w:val="16"/>
          <w:szCs w:val="16"/>
        </w:rPr>
        <w:softHyphen/>
        <w:t>стных аэродинамических профилей: у корня NASA-0018, далее у разъемов NASA-230 и на концах NASA-4410. Кры</w:t>
      </w:r>
      <w:r w:rsidRPr="007224C3">
        <w:rPr>
          <w:rFonts w:ascii="Times New Roman" w:hAnsi="Times New Roman"/>
          <w:color w:val="000000" w:themeColor="text1"/>
          <w:sz w:val="16"/>
          <w:szCs w:val="16"/>
        </w:rPr>
        <w:softHyphen/>
        <w:t>ло снабжалось взлетно-посадочными щитками типа «Шренк» и элеронами типа «Фрайз». Шасси убиралось назад по по</w:t>
      </w:r>
      <w:r w:rsidRPr="007224C3">
        <w:rPr>
          <w:rFonts w:ascii="Times New Roman" w:hAnsi="Times New Roman"/>
          <w:color w:val="000000" w:themeColor="text1"/>
          <w:sz w:val="16"/>
          <w:szCs w:val="16"/>
        </w:rPr>
        <w:softHyphen/>
        <w:t>лету в межлонжеронное пространство центроплана с поворотом колес в про</w:t>
      </w:r>
      <w:r w:rsidRPr="007224C3">
        <w:rPr>
          <w:rFonts w:ascii="Times New Roman" w:hAnsi="Times New Roman"/>
          <w:color w:val="000000" w:themeColor="text1"/>
          <w:sz w:val="16"/>
          <w:szCs w:val="16"/>
        </w:rPr>
        <w:softHyphen/>
        <w:t>цессе уборки на 86° по типу, аналогич</w:t>
      </w:r>
      <w:r w:rsidRPr="007224C3">
        <w:rPr>
          <w:rFonts w:ascii="Times New Roman" w:hAnsi="Times New Roman"/>
          <w:color w:val="000000" w:themeColor="text1"/>
          <w:sz w:val="16"/>
          <w:szCs w:val="16"/>
        </w:rPr>
        <w:softHyphen/>
        <w:t>ному Су-6, что позволило уменьшить мидель и лобовое сопротивление обте</w:t>
      </w:r>
      <w:r w:rsidRPr="007224C3">
        <w:rPr>
          <w:rFonts w:ascii="Times New Roman" w:hAnsi="Times New Roman"/>
          <w:color w:val="000000" w:themeColor="text1"/>
          <w:sz w:val="16"/>
          <w:szCs w:val="16"/>
        </w:rPr>
        <w:softHyphen/>
        <w:t>кателей шасси. Для устранения потерь на внутреннее сопротивление фюзеля</w:t>
      </w:r>
      <w:r w:rsidRPr="007224C3">
        <w:rPr>
          <w:rFonts w:ascii="Times New Roman" w:hAnsi="Times New Roman"/>
          <w:color w:val="000000" w:themeColor="text1"/>
          <w:sz w:val="16"/>
          <w:szCs w:val="16"/>
        </w:rPr>
        <w:softHyphen/>
        <w:t>жа встречному потоку воздуха на Ил-1 герметизировали все отверстия и щели, через которые мог перетекать воздух, и были поставлены дополнительные пере</w:t>
      </w:r>
      <w:r w:rsidRPr="007224C3">
        <w:rPr>
          <w:rFonts w:ascii="Times New Roman" w:hAnsi="Times New Roman"/>
          <w:color w:val="000000" w:themeColor="text1"/>
          <w:sz w:val="16"/>
          <w:szCs w:val="16"/>
        </w:rPr>
        <w:softHyphen/>
        <w:t>городки, делящие самолет на отсеки. В итоге лобовое сопротивление Ил-1 по сравнению с Ил-2 оказалось почти в два раза меньше. Боевая живучесть самолета обеспе</w:t>
      </w:r>
      <w:r w:rsidRPr="007224C3">
        <w:rPr>
          <w:rFonts w:ascii="Times New Roman" w:hAnsi="Times New Roman"/>
          <w:color w:val="000000" w:themeColor="text1"/>
          <w:sz w:val="16"/>
          <w:szCs w:val="16"/>
        </w:rPr>
        <w:softHyphen/>
        <w:t>чивалась применением бронекорпуса, включенным в силовую схему и прикры</w:t>
      </w:r>
      <w:r w:rsidRPr="007224C3">
        <w:rPr>
          <w:rFonts w:ascii="Times New Roman" w:hAnsi="Times New Roman"/>
          <w:color w:val="000000" w:themeColor="text1"/>
          <w:sz w:val="16"/>
          <w:szCs w:val="16"/>
        </w:rPr>
        <w:softHyphen/>
        <w:t>вавшим мотор, его агрегаты, бензо- и маслобаки с магистралями. Для защиты воздушного стрелка и летчика со сторо</w:t>
      </w:r>
      <w:r w:rsidRPr="007224C3">
        <w:rPr>
          <w:rFonts w:ascii="Times New Roman" w:hAnsi="Times New Roman"/>
          <w:color w:val="000000" w:themeColor="text1"/>
          <w:sz w:val="16"/>
          <w:szCs w:val="16"/>
        </w:rPr>
        <w:softHyphen/>
        <w:t>ны задней полусферы были установле</w:t>
      </w:r>
      <w:r w:rsidRPr="007224C3">
        <w:rPr>
          <w:rFonts w:ascii="Times New Roman" w:hAnsi="Times New Roman"/>
          <w:color w:val="000000" w:themeColor="text1"/>
          <w:sz w:val="16"/>
          <w:szCs w:val="16"/>
        </w:rPr>
        <w:softHyphen/>
        <w:t>ны экранированные бронеплиты (броне-перегородка стрелка, бронестенка и под</w:t>
      </w:r>
      <w:r w:rsidRPr="007224C3">
        <w:rPr>
          <w:rFonts w:ascii="Times New Roman" w:hAnsi="Times New Roman"/>
          <w:color w:val="000000" w:themeColor="text1"/>
          <w:sz w:val="16"/>
          <w:szCs w:val="16"/>
        </w:rPr>
        <w:softHyphen/>
        <w:t>головник пилота), состоявшие из двух 8-мм броневых листов с воздушным про</w:t>
      </w:r>
      <w:r w:rsidRPr="007224C3">
        <w:rPr>
          <w:rFonts w:ascii="Times New Roman" w:hAnsi="Times New Roman"/>
          <w:color w:val="000000" w:themeColor="text1"/>
          <w:sz w:val="16"/>
          <w:szCs w:val="16"/>
        </w:rPr>
        <w:softHyphen/>
        <w:t>межутком между ними. Такие плиты бо</w:t>
      </w:r>
      <w:r w:rsidRPr="007224C3">
        <w:rPr>
          <w:rFonts w:ascii="Times New Roman" w:hAnsi="Times New Roman"/>
          <w:color w:val="000000" w:themeColor="text1"/>
          <w:sz w:val="16"/>
          <w:szCs w:val="16"/>
        </w:rPr>
        <w:softHyphen/>
        <w:t>лее эффективно защищали стрелка и пилота от поражения 20-мм снарядами немецких авиапушек и осколками зенит</w:t>
      </w:r>
      <w:r w:rsidRPr="007224C3">
        <w:rPr>
          <w:rFonts w:ascii="Times New Roman" w:hAnsi="Times New Roman"/>
          <w:color w:val="000000" w:themeColor="text1"/>
          <w:sz w:val="16"/>
          <w:szCs w:val="16"/>
        </w:rPr>
        <w:softHyphen/>
        <w:t>ных снарядов. Учитывая опыт боевого применения Ил-2, верхняя часть броне</w:t>
      </w:r>
      <w:r w:rsidRPr="007224C3">
        <w:rPr>
          <w:rFonts w:ascii="Times New Roman" w:hAnsi="Times New Roman"/>
          <w:color w:val="000000" w:themeColor="text1"/>
          <w:sz w:val="16"/>
          <w:szCs w:val="16"/>
        </w:rPr>
        <w:softHyphen/>
        <w:t>корпуса, практически никогда не поража</w:t>
      </w:r>
      <w:r w:rsidRPr="007224C3">
        <w:rPr>
          <w:rFonts w:ascii="Times New Roman" w:hAnsi="Times New Roman"/>
          <w:color w:val="000000" w:themeColor="text1"/>
          <w:sz w:val="16"/>
          <w:szCs w:val="16"/>
        </w:rPr>
        <w:softHyphen/>
        <w:t>емая огнем с земли, выполнялась из дюралюминиевых листов толщиной 4 мм. Зато боковые стенки капота мотора усилили, особенно снизу, выполнив из листов брони толщиной 6 — 8 мм. Ос</w:t>
      </w:r>
      <w:r w:rsidRPr="007224C3">
        <w:rPr>
          <w:rFonts w:ascii="Times New Roman" w:hAnsi="Times New Roman"/>
          <w:color w:val="000000" w:themeColor="text1"/>
          <w:sz w:val="16"/>
          <w:szCs w:val="16"/>
        </w:rPr>
        <w:softHyphen/>
        <w:t>тальные бронелисты капота (люки и крышки) и броня бензобаков имели тол</w:t>
      </w:r>
      <w:r w:rsidRPr="007224C3">
        <w:rPr>
          <w:rFonts w:ascii="Times New Roman" w:hAnsi="Times New Roman"/>
          <w:color w:val="000000" w:themeColor="text1"/>
          <w:sz w:val="16"/>
          <w:szCs w:val="16"/>
        </w:rPr>
        <w:softHyphen/>
        <w:t>щину 4 мм. Втулка винта прикрывалась спереди диском толщиной 6 мм. Боковые листы кабин стрелка и пилота имели толщину соответственно 6 и 8 мм, нижний боковой лист кабины летчика — 5 мм. Сверху пилот прикрывался 8-мм плитой, установленной на фонаре. Полы кабин выполнялись из 6-мм лис</w:t>
      </w:r>
      <w:r w:rsidRPr="007224C3">
        <w:rPr>
          <w:rFonts w:ascii="Times New Roman" w:hAnsi="Times New Roman"/>
          <w:color w:val="000000" w:themeColor="text1"/>
          <w:sz w:val="16"/>
          <w:szCs w:val="16"/>
        </w:rPr>
        <w:softHyphen/>
        <w:t>та. Тоннели водо- и маслорадиаторов со стороны заднего лонжерона прикрыва</w:t>
      </w:r>
      <w:r w:rsidRPr="007224C3">
        <w:rPr>
          <w:rFonts w:ascii="Times New Roman" w:hAnsi="Times New Roman"/>
          <w:color w:val="000000" w:themeColor="text1"/>
          <w:sz w:val="16"/>
          <w:szCs w:val="16"/>
        </w:rPr>
        <w:softHyphen/>
        <w:t>лись 10-мм броней, а бронезаслонки на выходе тоннеля имели толщину 5 и 6 мм. Откидывающиеся боковые" крышки фо</w:t>
      </w:r>
      <w:r w:rsidRPr="007224C3">
        <w:rPr>
          <w:rFonts w:ascii="Times New Roman" w:hAnsi="Times New Roman"/>
          <w:color w:val="000000" w:themeColor="text1"/>
          <w:sz w:val="16"/>
          <w:szCs w:val="16"/>
        </w:rPr>
        <w:softHyphen/>
        <w:t>наря кабины пилота изготавливались из металлической брони толщиной 6 мм и плексигласа. В козырьке ставилась про</w:t>
      </w:r>
      <w:r w:rsidRPr="007224C3">
        <w:rPr>
          <w:rFonts w:ascii="Times New Roman" w:hAnsi="Times New Roman"/>
          <w:color w:val="000000" w:themeColor="text1"/>
          <w:sz w:val="16"/>
          <w:szCs w:val="16"/>
        </w:rPr>
        <w:softHyphen/>
        <w:t>зрачная броня толщиной 64 мм. Голова стрелка ни металлической, ни прозрач</w:t>
      </w:r>
      <w:r w:rsidRPr="007224C3">
        <w:rPr>
          <w:rFonts w:ascii="Times New Roman" w:hAnsi="Times New Roman"/>
          <w:color w:val="000000" w:themeColor="text1"/>
          <w:sz w:val="16"/>
          <w:szCs w:val="16"/>
        </w:rPr>
        <w:softHyphen/>
        <w:t>ной броней не прикрывалась. Живучесть повышалась также за счет использования протектированных топ</w:t>
      </w:r>
      <w:r w:rsidRPr="007224C3">
        <w:rPr>
          <w:rFonts w:ascii="Times New Roman" w:hAnsi="Times New Roman"/>
          <w:color w:val="000000" w:themeColor="text1"/>
          <w:sz w:val="16"/>
          <w:szCs w:val="16"/>
        </w:rPr>
        <w:softHyphen/>
        <w:t>ливных баков и тяг повышенной прочно</w:t>
      </w:r>
      <w:r w:rsidRPr="007224C3">
        <w:rPr>
          <w:rFonts w:ascii="Times New Roman" w:hAnsi="Times New Roman"/>
          <w:color w:val="000000" w:themeColor="text1"/>
          <w:sz w:val="16"/>
          <w:szCs w:val="16"/>
        </w:rPr>
        <w:softHyphen/>
        <w:t>сти в системе управления рулем высоты. Как ни странно, но система заполне</w:t>
      </w:r>
      <w:r w:rsidRPr="007224C3">
        <w:rPr>
          <w:rFonts w:ascii="Times New Roman" w:hAnsi="Times New Roman"/>
          <w:color w:val="000000" w:themeColor="text1"/>
          <w:sz w:val="16"/>
          <w:szCs w:val="16"/>
        </w:rPr>
        <w:softHyphen/>
        <w:t>ния бензобаков нейтральным газом не предусматривалась, хотя необходимость ее на боевом самолете к этому времени уже была очевидной. Отсутствовало и дублирование в канале управления ру</w:t>
      </w:r>
      <w:r w:rsidRPr="007224C3">
        <w:rPr>
          <w:rFonts w:ascii="Times New Roman" w:hAnsi="Times New Roman"/>
          <w:color w:val="000000" w:themeColor="text1"/>
          <w:sz w:val="16"/>
          <w:szCs w:val="16"/>
        </w:rPr>
        <w:softHyphen/>
        <w:t>лем высоты. В ходе доводочных работ на заводе № 240 на Ил-1 заменили мотор, устано</w:t>
      </w:r>
      <w:r w:rsidRPr="007224C3">
        <w:rPr>
          <w:rFonts w:ascii="Times New Roman" w:hAnsi="Times New Roman"/>
          <w:color w:val="000000" w:themeColor="text1"/>
          <w:sz w:val="16"/>
          <w:szCs w:val="16"/>
        </w:rPr>
        <w:softHyphen/>
        <w:t>вили новую оборонительную подвижную установку ВУ-7 с пушкой Ш-20 с боеза</w:t>
      </w:r>
      <w:r w:rsidRPr="007224C3">
        <w:rPr>
          <w:rFonts w:ascii="Times New Roman" w:hAnsi="Times New Roman"/>
          <w:color w:val="000000" w:themeColor="text1"/>
          <w:sz w:val="16"/>
          <w:szCs w:val="16"/>
        </w:rPr>
        <w:softHyphen/>
        <w:t>пасом 150 снарядов и кассету ДАГ-10 на 10 гранат АГ-2. Ракетные орудия не пре</w:t>
      </w:r>
      <w:r w:rsidRPr="007224C3">
        <w:rPr>
          <w:rFonts w:ascii="Times New Roman" w:hAnsi="Times New Roman"/>
          <w:color w:val="000000" w:themeColor="text1"/>
          <w:sz w:val="16"/>
          <w:szCs w:val="16"/>
        </w:rPr>
        <w:softHyphen/>
        <w:t>дусматривались. Запас топлива и мас</w:t>
      </w:r>
      <w:r w:rsidRPr="007224C3">
        <w:rPr>
          <w:rFonts w:ascii="Times New Roman" w:hAnsi="Times New Roman"/>
          <w:color w:val="000000" w:themeColor="text1"/>
          <w:sz w:val="16"/>
          <w:szCs w:val="16"/>
        </w:rPr>
        <w:softHyphen/>
        <w:t>ла увеличили до 530 кг и 65 кг соответ</w:t>
      </w:r>
      <w:r w:rsidRPr="007224C3">
        <w:rPr>
          <w:rFonts w:ascii="Times New Roman" w:hAnsi="Times New Roman"/>
          <w:color w:val="000000" w:themeColor="text1"/>
          <w:sz w:val="16"/>
          <w:szCs w:val="16"/>
        </w:rPr>
        <w:softHyphen/>
        <w:t>ственно. Одновременно изменениям подверглось бронирование самолета. Распределение толщин листов брони сделали более рациональным. Дело в том, что, хотя общий вес брони на Ил-1 достигал 1052,1 кг, специалисты НИИ ВВС при анализе схемы бронирования сделали ряд замечаний и рекомендова</w:t>
      </w:r>
      <w:r w:rsidRPr="007224C3">
        <w:rPr>
          <w:rFonts w:ascii="Times New Roman" w:hAnsi="Times New Roman"/>
          <w:color w:val="000000" w:themeColor="text1"/>
          <w:sz w:val="16"/>
          <w:szCs w:val="16"/>
        </w:rPr>
        <w:softHyphen/>
        <w:t>ли улучшить ее «путем перераспре</w:t>
      </w:r>
      <w:r w:rsidRPr="007224C3">
        <w:rPr>
          <w:rFonts w:ascii="Times New Roman" w:hAnsi="Times New Roman"/>
          <w:color w:val="000000" w:themeColor="text1"/>
          <w:sz w:val="16"/>
          <w:szCs w:val="16"/>
        </w:rPr>
        <w:softHyphen/>
        <w:t>деления». Оптимизация бронирования Ил-1 по рекомендациям НИИ ВВС позволила уменьшить этот вес на 42 кг, причем сте</w:t>
      </w:r>
      <w:r w:rsidRPr="007224C3">
        <w:rPr>
          <w:rFonts w:ascii="Times New Roman" w:hAnsi="Times New Roman"/>
          <w:color w:val="000000" w:themeColor="text1"/>
          <w:sz w:val="16"/>
          <w:szCs w:val="16"/>
        </w:rPr>
        <w:softHyphen/>
        <w:t>пень защищенности экипажа и жизнен</w:t>
      </w:r>
      <w:r w:rsidRPr="007224C3">
        <w:rPr>
          <w:rFonts w:ascii="Times New Roman" w:hAnsi="Times New Roman"/>
          <w:color w:val="000000" w:themeColor="text1"/>
          <w:sz w:val="16"/>
          <w:szCs w:val="16"/>
        </w:rPr>
        <w:softHyphen/>
        <w:t>но важных элементов конструкции от огня крупнокалиберных пулеметов и ос</w:t>
      </w:r>
      <w:r w:rsidRPr="007224C3">
        <w:rPr>
          <w:rFonts w:ascii="Times New Roman" w:hAnsi="Times New Roman"/>
          <w:color w:val="000000" w:themeColor="text1"/>
          <w:sz w:val="16"/>
          <w:szCs w:val="16"/>
        </w:rPr>
        <w:softHyphen/>
        <w:t>колков практически осталась на прежнем уровне. Верхние дюралевые листы оди</w:t>
      </w:r>
      <w:r w:rsidRPr="007224C3">
        <w:rPr>
          <w:rFonts w:ascii="Times New Roman" w:hAnsi="Times New Roman"/>
          <w:color w:val="000000" w:themeColor="text1"/>
          <w:sz w:val="16"/>
          <w:szCs w:val="16"/>
        </w:rPr>
        <w:softHyphen/>
        <w:t>наковой толщины (4 мм) заменили на листы толщиной от 1,5 до 6 мм. Боко</w:t>
      </w:r>
      <w:r w:rsidRPr="007224C3">
        <w:rPr>
          <w:rFonts w:ascii="Times New Roman" w:hAnsi="Times New Roman"/>
          <w:color w:val="000000" w:themeColor="text1"/>
          <w:sz w:val="16"/>
          <w:szCs w:val="16"/>
        </w:rPr>
        <w:softHyphen/>
        <w:t>вые и нижние стенки капота мотора ста</w:t>
      </w:r>
      <w:r w:rsidRPr="007224C3">
        <w:rPr>
          <w:rFonts w:ascii="Times New Roman" w:hAnsi="Times New Roman"/>
          <w:color w:val="000000" w:themeColor="text1"/>
          <w:sz w:val="16"/>
          <w:szCs w:val="16"/>
        </w:rPr>
        <w:softHyphen/>
        <w:t>ли тоньше (4 мм), так же, как борта ка</w:t>
      </w:r>
      <w:r w:rsidRPr="007224C3">
        <w:rPr>
          <w:rFonts w:ascii="Times New Roman" w:hAnsi="Times New Roman"/>
          <w:color w:val="000000" w:themeColor="text1"/>
          <w:sz w:val="16"/>
          <w:szCs w:val="16"/>
        </w:rPr>
        <w:softHyphen/>
        <w:t>бины пилота (6 мм). Броню нижнего бен</w:t>
      </w:r>
      <w:r w:rsidRPr="007224C3">
        <w:rPr>
          <w:rFonts w:ascii="Times New Roman" w:hAnsi="Times New Roman"/>
          <w:color w:val="000000" w:themeColor="text1"/>
          <w:sz w:val="16"/>
          <w:szCs w:val="16"/>
        </w:rPr>
        <w:softHyphen/>
        <w:t>зобака, наоборот, нарастили до 6 мм. Итоговый вес составил 930 кг, плюс креп</w:t>
      </w:r>
      <w:r w:rsidRPr="007224C3">
        <w:rPr>
          <w:rFonts w:ascii="Times New Roman" w:hAnsi="Times New Roman"/>
          <w:color w:val="000000" w:themeColor="text1"/>
          <w:sz w:val="16"/>
          <w:szCs w:val="16"/>
        </w:rPr>
        <w:softHyphen/>
        <w:t>ления брони — 80 кг. В результате всех доработок вес пус</w:t>
      </w:r>
      <w:r w:rsidRPr="007224C3">
        <w:rPr>
          <w:rFonts w:ascii="Times New Roman" w:hAnsi="Times New Roman"/>
          <w:color w:val="000000" w:themeColor="text1"/>
          <w:sz w:val="16"/>
          <w:szCs w:val="16"/>
        </w:rPr>
        <w:softHyphen/>
        <w:t>того Ил-1 увеличился до 5050 кг, а нор</w:t>
      </w:r>
      <w:r w:rsidRPr="007224C3">
        <w:rPr>
          <w:rFonts w:ascii="Times New Roman" w:hAnsi="Times New Roman"/>
          <w:color w:val="000000" w:themeColor="text1"/>
          <w:sz w:val="16"/>
          <w:szCs w:val="16"/>
        </w:rPr>
        <w:softHyphen/>
        <w:t>мальный полетный—до 6300 кг (с 400 кг бомб), перегрузочный —до 6500 кг (с 600 кг бомб). В перспективе предусмат</w:t>
      </w:r>
      <w:r w:rsidRPr="007224C3">
        <w:rPr>
          <w:rFonts w:ascii="Times New Roman" w:hAnsi="Times New Roman"/>
          <w:color w:val="000000" w:themeColor="text1"/>
          <w:sz w:val="16"/>
          <w:szCs w:val="16"/>
        </w:rPr>
        <w:softHyphen/>
        <w:t>ривалась замена консолей с пушками ВЯ-23 на консоли с более мощными 11П-37 (10680).</w:t>
      </w:r>
    </w:p>
    <w:p w14:paraId="12E6412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5F6A2A" w14:textId="77777777" w:rsidR="00473751" w:rsidRPr="007224C3" w:rsidRDefault="00473751" w:rsidP="007224C3">
      <w:pPr>
        <w:spacing w:after="0" w:line="240" w:lineRule="auto"/>
        <w:jc w:val="both"/>
        <w:rPr>
          <w:rStyle w:val="77"/>
          <w:rFonts w:eastAsiaTheme="minorHAnsi"/>
          <w:color w:val="000000" w:themeColor="text1"/>
          <w:sz w:val="16"/>
          <w:szCs w:val="16"/>
        </w:rPr>
      </w:pPr>
      <w:r w:rsidRPr="007224C3">
        <w:rPr>
          <w:rStyle w:val="77"/>
          <w:rFonts w:eastAsiaTheme="minorHAnsi"/>
          <w:color w:val="000000" w:themeColor="text1"/>
          <w:sz w:val="16"/>
          <w:szCs w:val="16"/>
        </w:rPr>
        <w:t>10 марта 1944, согласно сводке по опытному самолетостроению, двухместный вариант Ил-1 с АМ-42 был отправлен в Москву на авиазавод № 240 для дальнейшей доводки и проведения испытаний. Вместе с самолетом в столицу выехала заводская бригада во главе с ведущим инженером А. Соболевым и заместителем начальника отдела эксплуатации и ремонта С. Малышевым.</w:t>
      </w:r>
    </w:p>
    <w:p w14:paraId="357888AD" w14:textId="77777777" w:rsidR="00473751" w:rsidRPr="007224C3" w:rsidRDefault="00473751"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 xml:space="preserve">Вес пустого двухместного Ил-1 составил 4722 кг, нормальный полетный вес - 6099 кг. Благодаря размещению водо- и маслорадиаторов за передним лонжероном центроплана под полом кабины летчика обводы бронекорпуса удалось сделать плавными. Одновременно более выгодная в аэродинамическом отношении схема продува радиаторов (по каналам, расположенным в носке центроплана по обе стороны от мотор а) позволила уменьшить их размеры и сопротивление. Крыло Ил-1 по сравнению с Ил-2 было более тонким (относительной толщиной 18 % у корня) и компоновалось из скоростных аэродинамических профилей: у корня </w:t>
      </w:r>
      <w:r w:rsidRPr="007224C3">
        <w:rPr>
          <w:rStyle w:val="77"/>
          <w:rFonts w:eastAsiaTheme="minorHAnsi"/>
          <w:color w:val="000000" w:themeColor="text1"/>
          <w:sz w:val="16"/>
          <w:szCs w:val="16"/>
          <w:lang w:val="en-US"/>
        </w:rPr>
        <w:t>NACA</w:t>
      </w:r>
      <w:r w:rsidRPr="007224C3">
        <w:rPr>
          <w:rStyle w:val="77"/>
          <w:rFonts w:eastAsiaTheme="minorHAnsi"/>
          <w:color w:val="000000" w:themeColor="text1"/>
          <w:sz w:val="16"/>
          <w:szCs w:val="16"/>
        </w:rPr>
        <w:t xml:space="preserve">-0018, далее у разъемов </w:t>
      </w:r>
      <w:r w:rsidRPr="007224C3">
        <w:rPr>
          <w:rStyle w:val="77"/>
          <w:rFonts w:eastAsiaTheme="minorHAnsi"/>
          <w:color w:val="000000" w:themeColor="text1"/>
          <w:sz w:val="16"/>
          <w:szCs w:val="16"/>
          <w:lang w:val="en-US"/>
        </w:rPr>
        <w:t>NACA</w:t>
      </w:r>
      <w:r w:rsidRPr="007224C3">
        <w:rPr>
          <w:rStyle w:val="77"/>
          <w:rFonts w:eastAsiaTheme="minorHAnsi"/>
          <w:color w:val="000000" w:themeColor="text1"/>
          <w:sz w:val="16"/>
          <w:szCs w:val="16"/>
        </w:rPr>
        <w:t xml:space="preserve">-230 и на концах крыла </w:t>
      </w:r>
      <w:r w:rsidRPr="007224C3">
        <w:rPr>
          <w:rStyle w:val="77"/>
          <w:rFonts w:eastAsiaTheme="minorHAnsi"/>
          <w:color w:val="000000" w:themeColor="text1"/>
          <w:sz w:val="16"/>
          <w:szCs w:val="16"/>
          <w:lang w:val="en-US"/>
        </w:rPr>
        <w:t>NACA</w:t>
      </w:r>
      <w:r w:rsidRPr="007224C3">
        <w:rPr>
          <w:rStyle w:val="77"/>
          <w:rFonts w:eastAsiaTheme="minorHAnsi"/>
          <w:color w:val="000000" w:themeColor="text1"/>
          <w:sz w:val="16"/>
          <w:szCs w:val="16"/>
        </w:rPr>
        <w:t>-4410. Шасси убиралось назад по полету в межлонжеронное пространство центроплана с поворотом колес в процессе уборки на 90°. Для устранения потерь на внутреннее сопротивление фюзеляжа встречному потоку воздуха на Ил-1 герметизировали все отверстия и щели, через которые мог перетекать воздух, и были поставлены дополнительные перегородки, делящие самолет на отсеки. В итоге лобовое сопротивление Ил-1 оказалось в 2,03 раза меньше, чем у Ил-2, и в 1,55 раза в сравнении с Ил-8.</w:t>
      </w:r>
    </w:p>
    <w:p w14:paraId="6C203042" w14:textId="77777777" w:rsidR="00473751" w:rsidRPr="007224C3" w:rsidRDefault="00473751"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Боевая живучесть самолета обеспечивалась применением бронекорпуса, включенного в силовую схему и прикрывавшего мотор, его агрегаты, бензо- и маслобаки с магистралями. Для защиты воздушного стрелка и летчика со стороны задней полусферы были установлены экранированные бронеплиты (8+8 мм) (бронеперегородка стрелка, бронестенка и подголовник летчика).</w:t>
      </w:r>
    </w:p>
    <w:p w14:paraId="29E844E5" w14:textId="77777777" w:rsidR="00473751" w:rsidRPr="007224C3" w:rsidRDefault="00473751"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Учитывая опыт боевого применения Ил -2, верхняя часть бронекорпуса, практически никогда не поражаемая огнем с земли, выполнялась из дюралюминовых листов толщиной 4 мм. Зато нижние боковые стенки капота мотора усилили, особенно снизу, выполнив из листов брони толщиной 6-8 мм. Остальные бронелисты капота (люки и крышки) и броня бензобаков имели толщину 4 мм. Втулка винта прикрывалась спереди диском толщиной 6 мм.</w:t>
      </w:r>
    </w:p>
    <w:p w14:paraId="4EA7D4D7" w14:textId="77777777" w:rsidR="00473751" w:rsidRPr="007224C3" w:rsidRDefault="00473751"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Боковые листы кабин стрелка и пилота имели толщину соответственно 6 и 8 мм, нижний боковой лист кабины летчика - 5 мм. Сверху пилот прикрывался 8-мм плитой, установленной на фонаре. Полы кабин выполнялись из 6-мм листа толщиной. Тоннели водо - и маслорадиаторов со стороны заднего лонжерона прикрывались 10-мм броней, а бронезаслонки на выходе тоннеля имели толщину 5 и 6 мм. Откидывающиеся боковые крышки фонаря кабины пилота изготавливались из металлической брони толщиной 6 мм и плексигласа. В козырьке фонаря летчика ставилась прозрачная броня толщиной 64 мм. Голова стрелка ни металлической, ни прозрачной броней не прикрывалась.</w:t>
      </w:r>
    </w:p>
    <w:p w14:paraId="179D192B" w14:textId="77777777" w:rsidR="00473751" w:rsidRPr="007224C3" w:rsidRDefault="00473751"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Живучесть повышалась также за счет использования протектированных топливных баков и применением тяг повышенной прочности в системе управления рулем высоты. Как ни странно, но система заполнения бензобаков нейтральным газом не предусматривалась, хотя необходимость ее на боевом самолете к этому времени уже была очевидной и обязательной. Отсутствовало и дублирование в канале управления рулем высоты. По заявлению ОКБ-240, постановка дублированного управления в 1,5-2 раза повышала усилия на ручке управления. К тому же существовала опасность несинхронной регулировки основной и дополнительной проводки. По этим причинам Ильюшин, например, всячески сопротивлялся внедрению в серию дублированного управления на штурмовике Ил-2. При этом доводы военных, что «при испытании системы в НИИ ВВС летчики никакого увеличения нагрузки на ручке управления не замечали, возможная же некоторая несинхронность тросового и жесткого управления является при аварии основного управления менее опасной, чем полное отсутствие возможности управлять самолетом», в расчет не принимались. Более того, уже с декабря 1941 года личный состав ряда штурмовых авиаполков действующей армии своими силами устанавливал на Ил-2 дублированное управление рулем высоты и требовал выполнить такую доработку на всех серийных штурмовиках. Но и на это обстоятельство внимания не обращалось (17490).</w:t>
      </w:r>
    </w:p>
    <w:p w14:paraId="00DB5107" w14:textId="77777777" w:rsidR="00473751" w:rsidRPr="007224C3" w:rsidRDefault="00473751" w:rsidP="007224C3">
      <w:pPr>
        <w:spacing w:after="0" w:line="240" w:lineRule="auto"/>
        <w:jc w:val="both"/>
        <w:rPr>
          <w:rFonts w:ascii="Times New Roman" w:hAnsi="Times New Roman"/>
          <w:color w:val="000000" w:themeColor="text1"/>
          <w:sz w:val="16"/>
          <w:szCs w:val="16"/>
        </w:rPr>
      </w:pPr>
    </w:p>
    <w:p w14:paraId="5453C2B2" w14:textId="77777777" w:rsidR="008362FC" w:rsidRPr="007224C3" w:rsidRDefault="008362F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lastRenderedPageBreak/>
        <w:t>10 марта 1944 года двухместный вариант Ил-1 в сопровождении заводской бригады отправили в Москву на авиазавод № 240 для дальнейшей доводки и проведения испытаний. Это уже был не истребитель Ил-1, но и ставший впоследствии привычным облик Ил10, как в экстерьере, так и конструктивно новый самолет еще до конца не обрел. На тот момент машина представляла собой уникальный двухместный Ил-1, взлететь которому так и не пришлось. Главным отличием этого самолета была задняя стрелковая установка, которая вписалась в фюзеляж почти без изменения его обводов. По бокам и снизу ее прикрыли листами брони в 5 и 6 мм толщиной. Задний бронепакет пилотской кабины «разрезали» с небольшим припуском, и нижнюю часть поместили позади стрелка, причем, выше фюзеляжа никакой защиты не предусматривалось. Общий «привес» брони составил 167 кг. Задняя стрелковая установка была прикрыта полусферическим колпаком по типу установок МВ-3 или УТК. К сожалению, найти детальную информацию по ней пока не удалось. Для обеспечения плавного перехода от створки фонаря пилота к колпаку турели высотуфонаря увеличили примерно на 9 сантиметров, при этом левая боковая панель створки пилота стала откидываться налево, а остальная часть – направо. По бокам турель все же выступала за обводы фонаря. В комплект вооружения вошли два ШКАСа в крыле с общим боекомплектом 1500 патронов, а также бомбардировочная оснастка в виде двух бомбоотсеков в центроплане и двух точек наружной подвески. Ракетное оружие не устанавливалось. Вес пустого самолета составлял 4673 кг – по сравнению с одноместным вариантом второй Ил-1 потяжелел на 388 кг. Появление стрелка на самолете сдвинуло центр тяжести всего на 18 сантиметров, однако для сохранения приемлемого диапазона центровок среднюю аэродинамическую хорду крыла пришлось подвинуть назад примерно на такую же величину. Это было сделано отработанным на Ил-2 приемом – консолям крыла придали небольшую стреловидность. По передней кромке она составила 12 градусов 7 минут. Немного изменили наклон осей основных стоек шасси, чтобы противокапотажный угол оставался в разумных пределах. В Москве на заводе № 240 самолет подвергли целому ряду доработок. По предложению НИИ ВВС оптимизировали расположение и толщину бронепанелей. В частности, установили дюралевые листы в верхней наименее поражаемой части капота мотора. На основе полученного в ходе доводки тяжелого Ила с АМ-42 доработали систему охлаждения. К водо- и маслорадиатору воздух теперь поступал по профилированным тоннелям. Аэродинамическое сопротивление турели посчитали чрезмерным и заменили ее установкой ВУ-7 с опытной пушкой Ш-20 калибра 20 мм. Эта установка была конструктивно подобна турели ВУ-8 с пулеметом УБК, успешно испытанной на «тяжелом» Ил №1 с АМ-42. Мидель фюзеляжа удалось снизить до 1,54 кв. м (у одноместного Ил-1 этот параметр составлял 1,5 кв. м). После доработок взлетный вес самолета вырос с 6100 до 6300 килограмм. Забегая вперед стоит заметить, что при запуске в серию пушку Шпитального постановлением ГКО заменили пулеметом Березина, и первые серийные Ил-10 строили с установкой ВУ-8. ВУ-9 с пушкой Б-20 начали монтировать позднее. 30 марта 1944 г. в НИИ ВВС с общим налетом 19 часов 30 минут в 44 полетах успешно завершились госиспытания опытного двухместного «тяжелого» «Ил» № 1 с мотором АМ42 и винтом АВ-5Л-18Б конструкции С.В. Ильюшина (экземпляр № 1, производство завода № 240 мая 1943 года). Самолет был рекомендован в серию в двух вариантах, однако моторов, пригодных к установке на этой самой серии, по сути, так и не было. Более того, по предложению наркома авиапромышленности А.И. Шахурина, И.В. Сталин, постановлением ГКО № 5525с от 3 апреля освободил Александра Александровича Микулина от обязанностей Главного конструктора завода № 24 в Куйбышеве. Этот пост занял Михаил Романович Флисский, которому и предстояло спасать АМ-42. Завод № 18 неспешно (по меркам того времени) приступил к освоению производства штурмовика Ил-8 или изделия «М» по внутризаводскому шифру. Однако этим планам не суждено было сбыться. Во второй половине апреля Сергей Владимирович Ильюшин завершил «операцию прикрытия». Двухместный вариант самолета Ил-1 после выполнения комплекса доработок на заводе № 240 получил (сначала полуофициально) новое наименование – Ил-10. События стали развиваться в ускоренном темпе. 18 апреля Владимир Константинович Коккинаки выполнил на новой машине первый вылет, а уже 27 мая с положительной оценкой завершились государственные испытания в НИИ ВВС. За следующие два месяца была проделана огромная работа по организации, планированиюи подготовке производстваИл-10 (21005)</w:t>
      </w:r>
    </w:p>
    <w:p w14:paraId="2C610B98" w14:textId="77777777" w:rsidR="008362FC" w:rsidRPr="007224C3" w:rsidRDefault="008362FC" w:rsidP="007224C3">
      <w:pPr>
        <w:spacing w:after="0" w:line="240" w:lineRule="auto"/>
        <w:jc w:val="both"/>
        <w:rPr>
          <w:rFonts w:ascii="Times New Roman" w:hAnsi="Times New Roman"/>
          <w:color w:val="0070C0"/>
          <w:sz w:val="16"/>
          <w:szCs w:val="16"/>
        </w:rPr>
      </w:pPr>
    </w:p>
    <w:p w14:paraId="78C03B2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10 марта 1944 на Ил-2М броне</w:t>
      </w:r>
      <w:r w:rsidRPr="007224C3">
        <w:rPr>
          <w:rFonts w:ascii="Times New Roman" w:hAnsi="Times New Roman"/>
          <w:color w:val="000000" w:themeColor="text1"/>
          <w:sz w:val="16"/>
          <w:szCs w:val="16"/>
        </w:rPr>
        <w:softHyphen/>
        <w:t>башня была заменена установкой ВУ-8 с пулеметом УБК. Изменялось и бронирование ма</w:t>
      </w:r>
      <w:r w:rsidRPr="007224C3">
        <w:rPr>
          <w:rFonts w:ascii="Times New Roman" w:hAnsi="Times New Roman"/>
          <w:color w:val="000000" w:themeColor="text1"/>
          <w:sz w:val="16"/>
          <w:szCs w:val="16"/>
        </w:rPr>
        <w:softHyphen/>
        <w:t>шины. В отличие от Ил-2 (РК) на штур</w:t>
      </w:r>
      <w:r w:rsidRPr="007224C3">
        <w:rPr>
          <w:rFonts w:ascii="Times New Roman" w:hAnsi="Times New Roman"/>
          <w:color w:val="000000" w:themeColor="text1"/>
          <w:sz w:val="16"/>
          <w:szCs w:val="16"/>
        </w:rPr>
        <w:softHyphen/>
        <w:t>мовике-бомбардировщике летчик со стороны задней полусферы защи</w:t>
      </w:r>
      <w:r w:rsidRPr="007224C3">
        <w:rPr>
          <w:rFonts w:ascii="Times New Roman" w:hAnsi="Times New Roman"/>
          <w:color w:val="000000" w:themeColor="text1"/>
          <w:sz w:val="16"/>
          <w:szCs w:val="16"/>
        </w:rPr>
        <w:softHyphen/>
        <w:t>щался двумя разнесенными 8-мм бро-неплитами: одна плита являлась зад</w:t>
      </w:r>
      <w:r w:rsidRPr="007224C3">
        <w:rPr>
          <w:rFonts w:ascii="Times New Roman" w:hAnsi="Times New Roman"/>
          <w:color w:val="000000" w:themeColor="text1"/>
          <w:sz w:val="16"/>
          <w:szCs w:val="16"/>
        </w:rPr>
        <w:softHyphen/>
        <w:t>ней стенкой кабины пилота, а вто</w:t>
      </w:r>
      <w:r w:rsidRPr="007224C3">
        <w:rPr>
          <w:rFonts w:ascii="Times New Roman" w:hAnsi="Times New Roman"/>
          <w:color w:val="000000" w:themeColor="text1"/>
          <w:sz w:val="16"/>
          <w:szCs w:val="16"/>
        </w:rPr>
        <w:softHyphen/>
        <w:t xml:space="preserve">рая </w:t>
      </w:r>
      <w:r w:rsidRPr="007224C3">
        <w:rPr>
          <w:rFonts w:ascii="Times New Roman" w:hAnsi="Times New Roman"/>
          <w:color w:val="000000" w:themeColor="text1"/>
          <w:sz w:val="16"/>
          <w:szCs w:val="16"/>
          <w:vertAlign w:val="superscript"/>
        </w:rPr>
        <w:t>-</w:t>
      </w:r>
      <w:r w:rsidRPr="007224C3">
        <w:rPr>
          <w:rFonts w:ascii="Times New Roman" w:hAnsi="Times New Roman"/>
          <w:color w:val="000000" w:themeColor="text1"/>
          <w:sz w:val="16"/>
          <w:szCs w:val="16"/>
        </w:rPr>
        <w:t xml:space="preserve"> передней стенкой кабины стрелка. Две разнесенные на неболь</w:t>
      </w:r>
      <w:r w:rsidRPr="007224C3">
        <w:rPr>
          <w:rFonts w:ascii="Times New Roman" w:hAnsi="Times New Roman"/>
          <w:color w:val="000000" w:themeColor="text1"/>
          <w:sz w:val="16"/>
          <w:szCs w:val="16"/>
        </w:rPr>
        <w:softHyphen/>
        <w:t>шое расстояние бронеплиты толщи</w:t>
      </w:r>
      <w:r w:rsidRPr="007224C3">
        <w:rPr>
          <w:rFonts w:ascii="Times New Roman" w:hAnsi="Times New Roman"/>
          <w:color w:val="000000" w:themeColor="text1"/>
          <w:sz w:val="16"/>
          <w:szCs w:val="16"/>
        </w:rPr>
        <w:softHyphen/>
        <w:t>ной по 8 мм устанавливались и вме</w:t>
      </w:r>
      <w:r w:rsidRPr="007224C3">
        <w:rPr>
          <w:rFonts w:ascii="Times New Roman" w:hAnsi="Times New Roman"/>
          <w:color w:val="000000" w:themeColor="text1"/>
          <w:sz w:val="16"/>
          <w:szCs w:val="16"/>
        </w:rPr>
        <w:softHyphen/>
        <w:t>сто задней 12-мм бронестенки ка</w:t>
      </w:r>
      <w:r w:rsidRPr="007224C3">
        <w:rPr>
          <w:rFonts w:ascii="Times New Roman" w:hAnsi="Times New Roman"/>
          <w:color w:val="000000" w:themeColor="text1"/>
          <w:sz w:val="16"/>
          <w:szCs w:val="16"/>
        </w:rPr>
        <w:softHyphen/>
        <w:t>бины стрелка. Для связи с землей монтировалась истребительная ра</w:t>
      </w:r>
      <w:r w:rsidRPr="007224C3">
        <w:rPr>
          <w:rFonts w:ascii="Times New Roman" w:hAnsi="Times New Roman"/>
          <w:color w:val="000000" w:themeColor="text1"/>
          <w:sz w:val="16"/>
          <w:szCs w:val="16"/>
        </w:rPr>
        <w:softHyphen/>
        <w:t>диостанция РСИ-4 с дистанционным тросовым управлением. Фиксирова</w:t>
      </w:r>
      <w:r w:rsidRPr="007224C3">
        <w:rPr>
          <w:rFonts w:ascii="Times New Roman" w:hAnsi="Times New Roman"/>
          <w:color w:val="000000" w:themeColor="text1"/>
          <w:sz w:val="16"/>
          <w:szCs w:val="16"/>
        </w:rPr>
        <w:softHyphen/>
        <w:t>ние результатов атаки обеспечива</w:t>
      </w:r>
      <w:r w:rsidRPr="007224C3">
        <w:rPr>
          <w:rFonts w:ascii="Times New Roman" w:hAnsi="Times New Roman"/>
          <w:color w:val="000000" w:themeColor="text1"/>
          <w:sz w:val="16"/>
          <w:szCs w:val="16"/>
        </w:rPr>
        <w:softHyphen/>
        <w:t>лось фотокинопулеметом ПАУ-22 и киноаппаратом КС-5, расположен</w:t>
      </w:r>
      <w:r w:rsidRPr="007224C3">
        <w:rPr>
          <w:rFonts w:ascii="Times New Roman" w:hAnsi="Times New Roman"/>
          <w:color w:val="000000" w:themeColor="text1"/>
          <w:sz w:val="16"/>
          <w:szCs w:val="16"/>
        </w:rPr>
        <w:softHyphen/>
        <w:t>ными в обтекателях шасси, а также фотоаппаратом АФА-ИМ в хвосто</w:t>
      </w:r>
      <w:r w:rsidRPr="007224C3">
        <w:rPr>
          <w:rFonts w:ascii="Times New Roman" w:hAnsi="Times New Roman"/>
          <w:color w:val="000000" w:themeColor="text1"/>
          <w:sz w:val="16"/>
          <w:szCs w:val="16"/>
        </w:rPr>
        <w:softHyphen/>
        <w:t>вой части фюзеляжа. К 28 февраля Ил-2М был "полностью подготовлен к пробному полету" (11427).</w:t>
      </w:r>
    </w:p>
    <w:p w14:paraId="01AB320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ABCFC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марта 1944 года Приказом НКАП для прове</w:t>
      </w:r>
      <w:r w:rsidRPr="007224C3">
        <w:rPr>
          <w:rFonts w:ascii="Times New Roman" w:hAnsi="Times New Roman"/>
          <w:color w:val="000000" w:themeColor="text1"/>
          <w:sz w:val="16"/>
          <w:szCs w:val="16"/>
        </w:rPr>
        <w:softHyphen/>
        <w:t>дения совместных с заказчиком летных испытаний ДВБ-102 с моторами М-71 и турбокомпрессорами ТК-3 в подмосковной Чкаловской назначили ведущими от НИИ ВВС инженера М.И. Ефимова, летчика В.И. Жда</w:t>
      </w:r>
      <w:r w:rsidRPr="007224C3">
        <w:rPr>
          <w:rFonts w:ascii="Times New Roman" w:hAnsi="Times New Roman"/>
          <w:color w:val="000000" w:themeColor="text1"/>
          <w:sz w:val="16"/>
          <w:szCs w:val="16"/>
        </w:rPr>
        <w:softHyphen/>
        <w:t>нова и штурмана Н.П. Цветкова, от завода № 482 — летчика Ф.Ф. Опадчего и инженера А.В. Лурье, а от ЛИИ —летчика И.И. Шунейкои инженера И.Н. Квитко (11446).</w:t>
      </w:r>
    </w:p>
    <w:p w14:paraId="1D4DC6F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D7479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марта 1944 года. Шахурину.</w:t>
      </w:r>
    </w:p>
    <w:p w14:paraId="1CE1BBA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Справка</w:t>
      </w:r>
    </w:p>
    <w:p w14:paraId="1AE9BD8F" w14:textId="77777777" w:rsidR="00595BFB" w:rsidRPr="007224C3" w:rsidRDefault="00595BFB" w:rsidP="007224C3">
      <w:pPr>
        <w:widowControl w:val="0"/>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 выпущенных самолетах с антиобледенителями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5106D0" w:rsidRPr="007224C3" w14:paraId="4D0C2D54" w14:textId="77777777">
        <w:tc>
          <w:tcPr>
            <w:tcW w:w="5636" w:type="dxa"/>
          </w:tcPr>
          <w:p w14:paraId="1419C508" w14:textId="77777777" w:rsidR="00595BFB" w:rsidRPr="007224C3" w:rsidRDefault="00595BFB" w:rsidP="007224C3">
            <w:pPr>
              <w:widowControl w:val="0"/>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ЛИ-2</w:t>
            </w:r>
          </w:p>
        </w:tc>
        <w:tc>
          <w:tcPr>
            <w:tcW w:w="5636" w:type="dxa"/>
          </w:tcPr>
          <w:p w14:paraId="3BA89295" w14:textId="77777777" w:rsidR="00595BFB" w:rsidRPr="007224C3" w:rsidRDefault="00595BFB" w:rsidP="007224C3">
            <w:pPr>
              <w:widowControl w:val="0"/>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03796A7" w14:textId="77777777">
        <w:tc>
          <w:tcPr>
            <w:tcW w:w="5636" w:type="dxa"/>
          </w:tcPr>
          <w:p w14:paraId="6733C921" w14:textId="77777777" w:rsidR="00595BFB" w:rsidRPr="007224C3" w:rsidRDefault="00595BFB" w:rsidP="007224C3">
            <w:pPr>
              <w:widowControl w:val="0"/>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Установка антиобледенителя начата</w:t>
            </w:r>
          </w:p>
        </w:tc>
        <w:tc>
          <w:tcPr>
            <w:tcW w:w="5636" w:type="dxa"/>
          </w:tcPr>
          <w:p w14:paraId="48B7DA1E" w14:textId="77777777" w:rsidR="00595BFB" w:rsidRPr="007224C3" w:rsidRDefault="00595BFB" w:rsidP="007224C3">
            <w:pPr>
              <w:widowControl w:val="0"/>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DD36989" w14:textId="77777777">
        <w:tc>
          <w:tcPr>
            <w:tcW w:w="5636" w:type="dxa"/>
          </w:tcPr>
          <w:p w14:paraId="7F9B51C4" w14:textId="77777777" w:rsidR="00595BFB" w:rsidRPr="007224C3" w:rsidRDefault="00595BFB" w:rsidP="007224C3">
            <w:pPr>
              <w:widowControl w:val="0"/>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декабря 1942 года.</w:t>
            </w:r>
          </w:p>
        </w:tc>
        <w:tc>
          <w:tcPr>
            <w:tcW w:w="5636" w:type="dxa"/>
          </w:tcPr>
          <w:p w14:paraId="049CC8E3" w14:textId="77777777" w:rsidR="00595BFB" w:rsidRPr="007224C3" w:rsidRDefault="00595BFB" w:rsidP="007224C3">
            <w:pPr>
              <w:widowControl w:val="0"/>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40D7D44" w14:textId="77777777">
        <w:tc>
          <w:tcPr>
            <w:tcW w:w="5636" w:type="dxa"/>
          </w:tcPr>
          <w:p w14:paraId="028461AC" w14:textId="77777777" w:rsidR="00595BFB" w:rsidRPr="007224C3" w:rsidRDefault="00595BFB" w:rsidP="007224C3">
            <w:pPr>
              <w:widowControl w:val="0"/>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 выпущено с тепловым антиобледенителем</w:t>
            </w:r>
          </w:p>
        </w:tc>
        <w:tc>
          <w:tcPr>
            <w:tcW w:w="5636" w:type="dxa"/>
          </w:tcPr>
          <w:p w14:paraId="2BA3C01A" w14:textId="77777777" w:rsidR="00595BFB" w:rsidRPr="007224C3" w:rsidRDefault="00595BFB" w:rsidP="007224C3">
            <w:pPr>
              <w:widowControl w:val="0"/>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710 машин</w:t>
            </w:r>
          </w:p>
        </w:tc>
      </w:tr>
      <w:tr w:rsidR="005106D0" w:rsidRPr="007224C3" w14:paraId="707146FB" w14:textId="77777777">
        <w:tc>
          <w:tcPr>
            <w:tcW w:w="5636" w:type="dxa"/>
          </w:tcPr>
          <w:p w14:paraId="548B5FAF" w14:textId="77777777" w:rsidR="00595BFB" w:rsidRPr="007224C3" w:rsidRDefault="00595BFB" w:rsidP="007224C3">
            <w:pPr>
              <w:widowControl w:val="0"/>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Пе-8</w:t>
            </w:r>
          </w:p>
        </w:tc>
        <w:tc>
          <w:tcPr>
            <w:tcW w:w="5636" w:type="dxa"/>
          </w:tcPr>
          <w:p w14:paraId="01E2AF72" w14:textId="77777777" w:rsidR="00595BFB" w:rsidRPr="007224C3" w:rsidRDefault="00595BFB" w:rsidP="007224C3">
            <w:pPr>
              <w:widowControl w:val="0"/>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06136C7" w14:textId="77777777">
        <w:tc>
          <w:tcPr>
            <w:tcW w:w="5636" w:type="dxa"/>
          </w:tcPr>
          <w:p w14:paraId="44BD0F96" w14:textId="77777777" w:rsidR="00595BFB" w:rsidRPr="007224C3" w:rsidRDefault="00595BFB" w:rsidP="007224C3">
            <w:pPr>
              <w:widowControl w:val="0"/>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Установка антиобледенителя начата</w:t>
            </w:r>
          </w:p>
        </w:tc>
        <w:tc>
          <w:tcPr>
            <w:tcW w:w="5636" w:type="dxa"/>
          </w:tcPr>
          <w:p w14:paraId="240BB666" w14:textId="77777777" w:rsidR="00595BFB" w:rsidRPr="007224C3" w:rsidRDefault="00595BFB" w:rsidP="007224C3">
            <w:pPr>
              <w:widowControl w:val="0"/>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E49FC91" w14:textId="77777777">
        <w:tc>
          <w:tcPr>
            <w:tcW w:w="5636" w:type="dxa"/>
          </w:tcPr>
          <w:p w14:paraId="5C7F5452" w14:textId="77777777" w:rsidR="00595BFB" w:rsidRPr="007224C3" w:rsidRDefault="00595BFB" w:rsidP="007224C3">
            <w:pPr>
              <w:widowControl w:val="0"/>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января 1943 года.</w:t>
            </w:r>
          </w:p>
        </w:tc>
        <w:tc>
          <w:tcPr>
            <w:tcW w:w="5636" w:type="dxa"/>
          </w:tcPr>
          <w:p w14:paraId="1BD2BA83" w14:textId="77777777" w:rsidR="00595BFB" w:rsidRPr="007224C3" w:rsidRDefault="00595BFB" w:rsidP="007224C3">
            <w:pPr>
              <w:widowControl w:val="0"/>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BB7D112" w14:textId="77777777">
        <w:tc>
          <w:tcPr>
            <w:tcW w:w="5636" w:type="dxa"/>
          </w:tcPr>
          <w:p w14:paraId="776B43BA" w14:textId="77777777" w:rsidR="00595BFB" w:rsidRPr="007224C3" w:rsidRDefault="00595BFB" w:rsidP="007224C3">
            <w:pPr>
              <w:widowControl w:val="0"/>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 выпущено с тепловым антиобледенителем</w:t>
            </w:r>
          </w:p>
        </w:tc>
        <w:tc>
          <w:tcPr>
            <w:tcW w:w="5636" w:type="dxa"/>
          </w:tcPr>
          <w:p w14:paraId="69123CEA" w14:textId="77777777" w:rsidR="00595BFB" w:rsidRPr="007224C3" w:rsidRDefault="00595BFB" w:rsidP="007224C3">
            <w:pPr>
              <w:widowControl w:val="0"/>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машин (1823,28).</w:t>
            </w:r>
          </w:p>
        </w:tc>
      </w:tr>
    </w:tbl>
    <w:p w14:paraId="55DC873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3D17F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10 марта 1944 построили первый экземпляр Пе-2И и уже 25 марта завершились его заводские испыта</w:t>
      </w:r>
      <w:r w:rsidRPr="007224C3">
        <w:rPr>
          <w:rFonts w:ascii="Times New Roman" w:hAnsi="Times New Roman"/>
          <w:color w:val="000000" w:themeColor="text1"/>
          <w:sz w:val="16"/>
          <w:szCs w:val="16"/>
        </w:rPr>
        <w:softHyphen/>
        <w:t>ния. Три дня понадобилось для отправки самолета в НИИ ВВС.</w:t>
      </w:r>
    </w:p>
    <w:p w14:paraId="2ACDFCC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Впервые за всю историю своего существования Пе-2 подвергся коренной переделке. Прежде всего с крыла сняли тормозные решетки и уменьшили пло</w:t>
      </w:r>
      <w:r w:rsidRPr="007224C3">
        <w:rPr>
          <w:rFonts w:ascii="Times New Roman" w:hAnsi="Times New Roman"/>
          <w:color w:val="000000" w:themeColor="text1"/>
          <w:sz w:val="16"/>
          <w:szCs w:val="16"/>
        </w:rPr>
        <w:softHyphen/>
        <w:t>щадь элеронов, изменив величину аэродинамической компенсации.</w:t>
      </w:r>
    </w:p>
    <w:p w14:paraId="3B68580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Существенные изменения претерпел фюзеляж. Увеличение его длины на метр и высоты на 0,Зм, а так</w:t>
      </w:r>
      <w:r w:rsidRPr="007224C3">
        <w:rPr>
          <w:rFonts w:ascii="Times New Roman" w:hAnsi="Times New Roman"/>
          <w:color w:val="000000" w:themeColor="text1"/>
          <w:sz w:val="16"/>
          <w:szCs w:val="16"/>
        </w:rPr>
        <w:softHyphen/>
        <w:t>же новая компоновка бомбоотсека позволили размес</w:t>
      </w:r>
      <w:r w:rsidRPr="007224C3">
        <w:rPr>
          <w:rFonts w:ascii="Times New Roman" w:hAnsi="Times New Roman"/>
          <w:color w:val="000000" w:themeColor="text1"/>
          <w:sz w:val="16"/>
          <w:szCs w:val="16"/>
        </w:rPr>
        <w:softHyphen/>
        <w:t>тить в нем бомбу ФАБ-1000. Из акта по результатам государственных испытаний следует, что этого дос</w:t>
      </w:r>
      <w:r w:rsidRPr="007224C3">
        <w:rPr>
          <w:rFonts w:ascii="Times New Roman" w:hAnsi="Times New Roman"/>
          <w:color w:val="000000" w:themeColor="text1"/>
          <w:sz w:val="16"/>
          <w:szCs w:val="16"/>
        </w:rPr>
        <w:softHyphen/>
        <w:t>тигли смещением центроплана вверх на 300 мм. В дей</w:t>
      </w:r>
      <w:r w:rsidRPr="007224C3">
        <w:rPr>
          <w:rFonts w:ascii="Times New Roman" w:hAnsi="Times New Roman"/>
          <w:color w:val="000000" w:themeColor="text1"/>
          <w:sz w:val="16"/>
          <w:szCs w:val="16"/>
        </w:rPr>
        <w:softHyphen/>
        <w:t>ствительности, как объяснил мне Л.Л. Селяков, цен</w:t>
      </w:r>
      <w:r w:rsidRPr="007224C3">
        <w:rPr>
          <w:rFonts w:ascii="Times New Roman" w:hAnsi="Times New Roman"/>
          <w:color w:val="000000" w:themeColor="text1"/>
          <w:sz w:val="16"/>
          <w:szCs w:val="16"/>
        </w:rPr>
        <w:softHyphen/>
        <w:t>троплан никуда не смещали. Для размещения бомбы вырезали часть нижних стальных поясов лонжерона центроплана и заменили их арочными коваными вкла</w:t>
      </w:r>
      <w:r w:rsidRPr="007224C3">
        <w:rPr>
          <w:rFonts w:ascii="Times New Roman" w:hAnsi="Times New Roman"/>
          <w:color w:val="000000" w:themeColor="text1"/>
          <w:sz w:val="16"/>
          <w:szCs w:val="16"/>
        </w:rPr>
        <w:softHyphen/>
        <w:t>дышами. В результате высота лонжерона по оси само</w:t>
      </w:r>
      <w:r w:rsidRPr="007224C3">
        <w:rPr>
          <w:rFonts w:ascii="Times New Roman" w:hAnsi="Times New Roman"/>
          <w:color w:val="000000" w:themeColor="text1"/>
          <w:sz w:val="16"/>
          <w:szCs w:val="16"/>
        </w:rPr>
        <w:softHyphen/>
        <w:t>лета уменьшилась ровно на половину. Затем нарасти</w:t>
      </w:r>
      <w:r w:rsidRPr="007224C3">
        <w:rPr>
          <w:rFonts w:ascii="Times New Roman" w:hAnsi="Times New Roman"/>
          <w:color w:val="000000" w:themeColor="text1"/>
          <w:sz w:val="16"/>
          <w:szCs w:val="16"/>
        </w:rPr>
        <w:softHyphen/>
        <w:t>ли фюзеляж, заменив его круглое сечение овальным, и тем самым увеличили его высоту.</w:t>
      </w:r>
    </w:p>
    <w:p w14:paraId="2D05112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Экипаж сократили с трех до двух человек — летчи</w:t>
      </w:r>
      <w:r w:rsidRPr="007224C3">
        <w:rPr>
          <w:rFonts w:ascii="Times New Roman" w:hAnsi="Times New Roman"/>
          <w:color w:val="000000" w:themeColor="text1"/>
          <w:sz w:val="16"/>
          <w:szCs w:val="16"/>
        </w:rPr>
        <w:softHyphen/>
        <w:t>ка и штурмана.</w:t>
      </w:r>
    </w:p>
    <w:p w14:paraId="366FE97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Оборонительное вооружение включало два круп</w:t>
      </w:r>
      <w:r w:rsidRPr="007224C3">
        <w:rPr>
          <w:rFonts w:ascii="Times New Roman" w:hAnsi="Times New Roman"/>
          <w:color w:val="000000" w:themeColor="text1"/>
          <w:sz w:val="16"/>
          <w:szCs w:val="16"/>
        </w:rPr>
        <w:softHyphen/>
        <w:t>нокалиберных пулемета УБК: один в носу и один на дистанционной электрифицированной установке ДЭУ в хвосте.</w:t>
      </w:r>
    </w:p>
    <w:p w14:paraId="7E5D8F4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Особенностью бомбардировщика Пе-2 была его склонность к прогрессирующим «козлам» при посад</w:t>
      </w:r>
      <w:r w:rsidRPr="007224C3">
        <w:rPr>
          <w:rFonts w:ascii="Times New Roman" w:hAnsi="Times New Roman"/>
          <w:color w:val="000000" w:themeColor="text1"/>
          <w:sz w:val="16"/>
          <w:szCs w:val="16"/>
        </w:rPr>
        <w:softHyphen/>
        <w:t>ке. Устранить этот дефект полностью так и не удалось, но немного укротить «козлиный» нрав самолета позво</w:t>
      </w:r>
      <w:r w:rsidRPr="007224C3">
        <w:rPr>
          <w:rFonts w:ascii="Times New Roman" w:hAnsi="Times New Roman"/>
          <w:color w:val="000000" w:themeColor="text1"/>
          <w:sz w:val="16"/>
          <w:szCs w:val="16"/>
        </w:rPr>
        <w:softHyphen/>
        <w:t>лило применение на Пе-2И шасси с увеличенным хо</w:t>
      </w:r>
      <w:r w:rsidRPr="007224C3">
        <w:rPr>
          <w:rFonts w:ascii="Times New Roman" w:hAnsi="Times New Roman"/>
          <w:color w:val="000000" w:themeColor="text1"/>
          <w:sz w:val="16"/>
          <w:szCs w:val="16"/>
        </w:rPr>
        <w:softHyphen/>
        <w:t>дом амортизации.</w:t>
      </w:r>
    </w:p>
    <w:p w14:paraId="664F082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Сильное влияние на летные характеристики оказа</w:t>
      </w:r>
      <w:r w:rsidRPr="007224C3">
        <w:rPr>
          <w:rFonts w:ascii="Times New Roman" w:hAnsi="Times New Roman"/>
          <w:color w:val="000000" w:themeColor="text1"/>
          <w:sz w:val="16"/>
          <w:szCs w:val="16"/>
        </w:rPr>
        <w:softHyphen/>
        <w:t>ла установка новых двигателей ВК-107А с двухскоро-стными нагнетателями и регуляторами постоянных оборотов. На высоте 4500 м ВК-107А развивал мощ</w:t>
      </w:r>
      <w:r w:rsidRPr="007224C3">
        <w:rPr>
          <w:rFonts w:ascii="Times New Roman" w:hAnsi="Times New Roman"/>
          <w:color w:val="000000" w:themeColor="text1"/>
          <w:sz w:val="16"/>
          <w:szCs w:val="16"/>
        </w:rPr>
        <w:softHyphen/>
        <w:t>ность 1500 л.с. (11446)</w:t>
      </w:r>
    </w:p>
    <w:p w14:paraId="00F8031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9BD4D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марта 1944 вышел приказ НКАП и командующего ВВС N 183с/044 "О совместных летных испытаниях опытного самолета ДВБ-102 с 2хМ-71 с ТК-3 (1630,46).</w:t>
      </w:r>
    </w:p>
    <w:p w14:paraId="0641E2A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A0E0B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марта 1944 года «полпред» А.С. Яковлева в рядах ВВС КА заме</w:t>
      </w:r>
      <w:r w:rsidRPr="007224C3">
        <w:rPr>
          <w:rFonts w:ascii="Times New Roman" w:hAnsi="Times New Roman"/>
          <w:color w:val="000000" w:themeColor="text1"/>
          <w:sz w:val="16"/>
          <w:szCs w:val="16"/>
        </w:rPr>
        <w:softHyphen/>
        <w:t>ститель генерал-инспектора ВВС П.Я. Федрови писал А.А. Нови</w:t>
      </w:r>
      <w:r w:rsidRPr="007224C3">
        <w:rPr>
          <w:rFonts w:ascii="Times New Roman" w:hAnsi="Times New Roman"/>
          <w:color w:val="000000" w:themeColor="text1"/>
          <w:sz w:val="16"/>
          <w:szCs w:val="16"/>
        </w:rPr>
        <w:softHyphen/>
        <w:t>кову:</w:t>
      </w:r>
    </w:p>
    <w:p w14:paraId="3EDA4B6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«...Тренировку на Яках майор Покрышкин закончил 19.11 - на Як-3 М-105ПФ летал, отзывается хорошо, но особого энтузиазма к формированию нового полка не имеет. Майор Покрышкин заявил, что он не хочет ухо</w:t>
      </w:r>
      <w:r w:rsidRPr="007224C3">
        <w:rPr>
          <w:rFonts w:ascii="Times New Roman" w:hAnsi="Times New Roman"/>
          <w:color w:val="000000" w:themeColor="text1"/>
          <w:sz w:val="16"/>
          <w:szCs w:val="16"/>
        </w:rPr>
        <w:softHyphen/>
        <w:t>дить из своего полка.</w:t>
      </w:r>
    </w:p>
    <w:p w14:paraId="578AEC8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Генерал-полковник т. Шиманов передал мне, что т. Покрышкин хочет работать на Ла-5, но мне т. Покрыш</w:t>
      </w:r>
      <w:r w:rsidRPr="007224C3">
        <w:rPr>
          <w:rFonts w:ascii="Times New Roman" w:hAnsi="Times New Roman"/>
          <w:color w:val="000000" w:themeColor="text1"/>
          <w:sz w:val="16"/>
          <w:szCs w:val="16"/>
        </w:rPr>
        <w:softHyphen/>
        <w:t>кин этого не заявлял.</w:t>
      </w:r>
    </w:p>
    <w:p w14:paraId="07A1EA6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настоящее время т. Покрышкин находится в своей части.</w:t>
      </w:r>
    </w:p>
    <w:p w14:paraId="69A9B9E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Вопрос об организации Вашего полка на Як-3 М-105ПФ остается от</w:t>
      </w:r>
      <w:r w:rsidRPr="007224C3">
        <w:rPr>
          <w:rFonts w:ascii="Times New Roman" w:hAnsi="Times New Roman"/>
          <w:color w:val="000000" w:themeColor="text1"/>
          <w:sz w:val="16"/>
          <w:szCs w:val="16"/>
        </w:rPr>
        <w:softHyphen/>
        <w:t>крытым. Самолеты Як-3 М-105ПФ для полка могут быть получены в конце мая». А.И. Покрышкин и дальше пытался получить для своего полка самолеты Ла-5 (10714).</w:t>
      </w:r>
    </w:p>
    <w:p w14:paraId="2F4D6F8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BCE9CF" w14:textId="77777777" w:rsidR="00E870E7" w:rsidRPr="007224C3" w:rsidRDefault="00E870E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марта 1944 г. «полпред» А.С. Яковлева в рядах ВВС КА заместитель генерал-инспектора ВВС П.Я. Федрови написал А.А. Новикову:</w:t>
      </w:r>
    </w:p>
    <w:p w14:paraId="12627A87" w14:textId="77777777" w:rsidR="00E870E7" w:rsidRPr="007224C3" w:rsidRDefault="00E870E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«...Тренировку на Яках майор Покрышкин закончил 19.11 — на Як-3 М-105ПФ летал, отзывается хорошо, но особого энтузиазма к формированию нового полка не имеет. Майор Покрышкин заявил, что он не хочет уходить из своего полка.</w:t>
      </w:r>
    </w:p>
    <w:p w14:paraId="670335BA" w14:textId="77777777" w:rsidR="00E870E7" w:rsidRPr="007224C3" w:rsidRDefault="00E870E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Генерал-полковник т. Шиманов передал мне, что т. Покрышкин хочет работать на Ла-5, но мне т. Покрышкин этого не заявлял.</w:t>
      </w:r>
    </w:p>
    <w:p w14:paraId="0131129E" w14:textId="77777777" w:rsidR="00E870E7" w:rsidRPr="007224C3" w:rsidRDefault="00E870E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В настоящее время т. Покрышкин находится в своей части.</w:t>
      </w:r>
    </w:p>
    <w:p w14:paraId="52A3D60B" w14:textId="77777777" w:rsidR="00E870E7" w:rsidRPr="007224C3" w:rsidRDefault="00E870E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Вопрос об организации Вашего полка на Як-3 М-105ПФ остается открытым. Само</w:t>
      </w:r>
      <w:r w:rsidRPr="007224C3">
        <w:rPr>
          <w:rFonts w:ascii="Times New Roman" w:hAnsi="Times New Roman"/>
          <w:color w:val="000000" w:themeColor="text1"/>
          <w:sz w:val="16"/>
          <w:szCs w:val="16"/>
        </w:rPr>
        <w:softHyphen/>
        <w:t>лёты Як-3 М-105ПФ для полка могут быть получены в конце мая».</w:t>
      </w:r>
    </w:p>
    <w:p w14:paraId="725748FF" w14:textId="77777777" w:rsidR="00E870E7" w:rsidRPr="007224C3" w:rsidRDefault="00E870E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А.И. Покрышкин и дальше пытался получить для своего полка Ла-5. В апреле 1944 г. он посетил Горький, где встретился с С.А. Лавочкиным и руководством завода № 21. Ле</w:t>
      </w:r>
      <w:r w:rsidRPr="007224C3">
        <w:rPr>
          <w:rFonts w:ascii="Times New Roman" w:hAnsi="Times New Roman"/>
          <w:color w:val="000000" w:themeColor="text1"/>
          <w:sz w:val="16"/>
          <w:szCs w:val="16"/>
        </w:rPr>
        <w:softHyphen/>
        <w:t>том он сам и группа его лётчиков прошла переподготовку на Ла-7 при Высшей офицер</w:t>
      </w:r>
      <w:r w:rsidRPr="007224C3">
        <w:rPr>
          <w:rFonts w:ascii="Times New Roman" w:hAnsi="Times New Roman"/>
          <w:color w:val="000000" w:themeColor="text1"/>
          <w:sz w:val="16"/>
          <w:szCs w:val="16"/>
        </w:rPr>
        <w:softHyphen/>
        <w:t>ской школе воздушного боя, но по какой-то причине самолётов Лавочкина 9-я ГИАД, командиром которой был назначен гвардии полковник Покрышкин, так и не получила, и оканчивать войну ей пришлось на всё тех же американских «Аэрокобрах» (15829).</w:t>
      </w:r>
    </w:p>
    <w:p w14:paraId="1998649C" w14:textId="77777777" w:rsidR="00E870E7" w:rsidRPr="007224C3" w:rsidRDefault="00E870E7" w:rsidP="007224C3">
      <w:pPr>
        <w:spacing w:after="0" w:line="240" w:lineRule="auto"/>
        <w:jc w:val="both"/>
        <w:rPr>
          <w:rFonts w:ascii="Times New Roman" w:hAnsi="Times New Roman"/>
          <w:color w:val="000000" w:themeColor="text1"/>
          <w:sz w:val="16"/>
          <w:szCs w:val="16"/>
        </w:rPr>
      </w:pPr>
    </w:p>
    <w:p w14:paraId="065885D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марта 1944 вышел приках НКАП № 181с:</w:t>
      </w:r>
    </w:p>
    <w:p w14:paraId="0D12984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исполнение постановления ГКО № 50-89сс от 3 февраля 1944:</w:t>
      </w:r>
    </w:p>
    <w:p w14:paraId="1D682D6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 6 ГУ А.И.Комарову организовать на базе бывшего самолетостроительного з-да 35 в Смоленске з-д по ремонту с-в и моторов.</w:t>
      </w:r>
    </w:p>
    <w:p w14:paraId="40A304A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Вновь организованному Смоленскому авиаремонтному з-ду присвоить № 475 и подчинить его 6 ГУ.</w:t>
      </w:r>
    </w:p>
    <w:p w14:paraId="48F5C5D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Дементьев (1630, 3-11).</w:t>
      </w:r>
    </w:p>
    <w:p w14:paraId="17B3C72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EB511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марта 1944 вышел приказ НКАП N 181с в исполнение постановления ГКО N 50-89сс от 3 февраля 1944:</w:t>
      </w:r>
    </w:p>
    <w:p w14:paraId="6C93F01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Нач. 6 ГУ А.И.Комарову организовать на базе бывшего самолетостроительного завода 35 в Смоленске ремонтный завод и присвоить ему номер 475, подчинив 6 ГУ" (1630,3).</w:t>
      </w:r>
    </w:p>
    <w:p w14:paraId="026DCC4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420B9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марта 1944 г. приказом № 181с в соответствии с постановлением ГОКО № 5089сс от 3 февраля 1944 г.на месте эвакуированного в 1941 г. завода № 35 НКАП был образован Завод № 475 НКАП в системе 6ГУ. Старый завод был полностью разрушен. Фактически восстановление завода началось с осени 1943 г., после освобождения города. Штат формировался из резервов, небольшое количество специалистов переведено с заводов № 30, № 1, № 477, № 145.</w:t>
      </w:r>
    </w:p>
    <w:p w14:paraId="05C2A2B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Ремонт Ил-2, Ла-5, Ла-7, Як-7, затем- Як-3, Як-9, Як-11. В 1945-47 г. отремонтировано около 400 машин. В 1949 г. ремонт прекращен. Работы по переоборудованию По-2 в сельскохозяйственный вариант.</w:t>
      </w:r>
    </w:p>
    <w:p w14:paraId="16E99D6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С 1.03.1946 г. передан в 11ГУ НКАП, с 1.03.1951 г.- в 1ГУ. </w:t>
      </w:r>
    </w:p>
    <w:p w14:paraId="1B47439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С 03.1946 г. организация производства аэродромного оборудования (стремянок, колодок, установок для проверки гидросистем, подъемников, обогревателей, ) и самолетных кабин. </w:t>
      </w:r>
    </w:p>
    <w:p w14:paraId="17F9D2C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приказу МАП № 352 от 3.06.1954 г. заводу поручен выпуск ракетной техники (КР). С 1.07.1954 г. завод передан в 6ГУ. В 1954 г. построены новые цеха: плазово-шаблонный, стапельный, агрегатно-сборочный, заготовительно-штамповочный. В 1960 г. на заводе организуется специализированное электротехническое производство - выпускаются автоматические установки и наземные комплексы, системы электропитания и автоматического контроля, счетно-решающие устройства. В дальнейшем оно выделилось в самостоятельное предприятие (завод "Измеритель").</w:t>
      </w:r>
    </w:p>
    <w:p w14:paraId="6617CF9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1967 г. завод № 475 МАП получил название Смоленский машиностроительный завод МАП, в 1974 г. переименован в СмАЗ МАП. 1.07.1993 г. завод акционирован и преобразован в АООТ «СмАЗ», с 1996 г.- ОАО «СмАЗ». По решению правительства № 22-р от 9.01.2004 г. вошло в перечень стратегических предприятий.</w:t>
      </w:r>
    </w:p>
    <w:p w14:paraId="3A84CA7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1970-х г. возобновлено производство самолетов. Планировалось производство Як-41М.</w:t>
      </w:r>
    </w:p>
    <w:p w14:paraId="13594BC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1972 г. на заводе действовал филиал МКБ «Радуга».</w:t>
      </w:r>
    </w:p>
    <w:p w14:paraId="63BC920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Работы (2004 г.): производство самолетов; модернизация Як-40; изготовление VIP- салонов.</w:t>
      </w:r>
    </w:p>
    <w:p w14:paraId="543B82C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Численность персонала (1.10.2002 г.)- 2874 чел.</w:t>
      </w:r>
    </w:p>
    <w:p w14:paraId="0A15749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(-1944-03.1946 г.-)- М.А. Филатов. Гендиректор (-2002-05 г.-)- А.М. Мирошкин.</w:t>
      </w:r>
    </w:p>
    <w:p w14:paraId="7425E22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Гендиректора: по маркетингу, планированию и экономике (-2002-05 г.-)- В.С. Ломовских; по ресурсам и финансам (2002 г.)- В.Д. Бавченков; по производству (2002 г.)- Г.А. Коробков.</w:t>
      </w:r>
    </w:p>
    <w:p w14:paraId="6C62A9B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инженер (-2002-05 г.-)- Ю.М. Литвинов.</w:t>
      </w:r>
    </w:p>
    <w:p w14:paraId="2015DBE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Производство: планеры А-2 (1950-51)- более 200, ВА-3/48, планер-мишень ПМ; Як-18, Як-42 (1976-83), Як-18Т (1973-88; 1993-2005-), М-17 (1986-), М-17РМ (М-55) (2004), СМ-92 «Финист» (-2004-05-), GM-17 “Viper” (2004), СМ-2000 (-2004-05-), Су-38Л (2004); модернизация Як-40 (2004); капремонт Як-18Т, Як-52 (2004); БПЛА: Ла-17Р (1963-), "Ястреб", «Пчела»; УРВП: "КС" (1956-), ФКР-1 (1959-), КСР-2 (1961-), КСР-11 (1961-), Х-59М, Х-55; лыжи и запчасти к По-2; детали для Ил-62, крыло и оперение Як-36, крылья Як-40 (1965-2004), крылья Як-50 (1973-74), крыло, оперение и мотогондолы Як-42 (1975-), детали Як-130, Як-18Т, орбитального самолета «Буран» (1980-е г.); стартовые тележки для запуска ТРД (1950-65), кузова для прожекторных установок «Луч-1» (1950-53 г.), сельскохозяйственные машины (1954 г.); аэросани-амфибии (1966-68); сувенирная продукция (1967-).</w:t>
      </w:r>
    </w:p>
    <w:p w14:paraId="01A0E6B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 475 НКАП, МАП, Смоленский машиностроительный завод МАП, Смоленский авиационный завод (СмАЗ), ОАО «СмАЗ»</w:t>
      </w:r>
    </w:p>
    <w:p w14:paraId="14C0834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214006 г. Смоленск, ул. Фрунзе, 74 тел. 22-93-07 www.smaz.ru</w:t>
      </w:r>
    </w:p>
    <w:p w14:paraId="3879117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ОАО «Измеритель» </w:t>
      </w:r>
    </w:p>
    <w:p w14:paraId="17A0AD7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513579 г. Смоленск, ул. Бабушкина, 5 тел. 51-30-88, 51-07-03</w:t>
      </w:r>
    </w:p>
    <w:p w14:paraId="0A2B36C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1960 г. на заводе № 475 МАП организуется специализированное электротехническое производство - автоматических установок и наземных комплексов, систем электропитания и автоматического контроля, счетно-решающих устройств. В 1968 г. оно выделилось в самостоятельное предприятие (завод "Измеритель"). Производство ночных прицелов для ПЗРК.ВП- 3/02 Разработка и производство (2003 г.): прицельно-навигационных комплексов, систем единой индикации и целеуказания, аварийной регистрации полетной информации; источников вторичного электропитания; многослойных печатных плат; трансформаторов и дросселей.</w:t>
      </w:r>
    </w:p>
    <w:p w14:paraId="36E1188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7476E1A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Гендиректор (-2002-03 г.-)- В.В. Лысенко.</w:t>
      </w:r>
    </w:p>
    <w:p w14:paraId="0FBB07F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Технический директор (2002 г.)- С.Н. Андреев. Коммерческий директор (2002 г.)- А.В. Гришутин. Директор по качеству (2002 г.)- В.В. Прохоров (10776).</w:t>
      </w:r>
    </w:p>
    <w:p w14:paraId="152CD81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46B740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10 марта 1944 приказом НКАП №181с в соответствии с постановлением ГОКО №5089 от 3 февраля 1944 г. на месте эвакуированного в 1941 г. завода №35 НКАП образован завод №475 НКАП в системе 6ГУ. Старый завод был полностью разрушен. Фактически восстановление его началось с осени 1943 г., после освобождения города. Штат формировался из резервов, небольшое количество специалистов переведено с заводов №30, №1, №477, №145. Ремонт Ил-2, Ла-5, Ла-7, Як-7, затем- Як-3, Як-9, Як-11. В 1945-47 г. отремонтировано около 400 машин. В 1949 г. ремонт прекращен. Работы по переоборудованию По-2 в сельскохозяйственный вариант. </w:t>
      </w:r>
    </w:p>
    <w:p w14:paraId="594FF44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С 1.03.1946 г. передан в 11ГУ НКАП, с 1.03.1951 г.- в 1ГУ. </w:t>
      </w:r>
    </w:p>
    <w:p w14:paraId="6B5C4F9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С 03.1946 г. организация производства аэродромного оборудования (стремянок, колодок, установок для проверки гидросистем, подъемников, обогревателей, ) и самолетных кабин. </w:t>
      </w:r>
    </w:p>
    <w:p w14:paraId="4F664C5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приказу МАП №352 от 3.06.1954 г. заводу поручен выпуск ракетной техники. С 1.07.1954 г. завод передан в 6ГУ. Перешел на производство КР. В 1954 г. построены новые цеха: плазово-шаблонный, стапельный, агрегатно-сборочный, заготовительно-штамповочный. В 1960 г. на заводе организуется специализированное электротехническое производство - выпускаются автоматические установки и наземные комплексы, системы электропитания и автоматического контроля, счетно-решающие устройства. В дальнейшем оно выделилось в самостоятельное предприятие (завод "Измеритель").</w:t>
      </w:r>
    </w:p>
    <w:p w14:paraId="228B827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С 1967 г. завод №475 МАП получил название Смоленский машиностроительный завод МАП, в 1974 г. переименован в СмАЗ МАП. 1.07.1993 г. завод акционирован и преобразован в АООТ "СмАЗ", с 1996 г. - ОАО "СмАЗ". </w:t>
      </w:r>
    </w:p>
    <w:p w14:paraId="5D1804E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 1970-х г. возобновлено производство самолетов. Планировалось производство Як-41М. </w:t>
      </w:r>
    </w:p>
    <w:p w14:paraId="7D81530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Работы (2004 г.): производство самолетов; модернизация Як-40; изготовление VIP- салонов. </w:t>
      </w:r>
    </w:p>
    <w:p w14:paraId="655A50E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Численность персонала (1.10.2002 г.) - 2874 чел.</w:t>
      </w:r>
    </w:p>
    <w:p w14:paraId="54DFDF8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(1944-46 г.) - М.А. Филатов. Гендиректор (наст.вр.) - А.М. Мирошкин.</w:t>
      </w:r>
    </w:p>
    <w:p w14:paraId="2B8F1DC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Производство: Р-5 (1937-38), планеры А-2 (1949-51), ВА-3/48, планер-мишень ПМ; Як-18, Як-42 (1976-83), Як-18Т (1973-83), М-17 (с 1986), М-17РМ (М-55), СМ-92 "Финист", GM-17 “Viper”, СМ-2000, Су-38Л; модернизация Як-40; капремонт Як-18Т, Як-52; БПЛА: Ла-17Р (с 1963), "Ястреб", "Пчела"; УРВП: "КС" (с 1956), ФКР-1 (с 1959), КСР-2 (с 1961), КСР-11 (с 1961), Х-59М, Х-55СМ; лыжи и запчасти к По-2; детали для Ил-62, крыло и оперение Як-36, крылья Як-40 (1965-2004), крылья Як-50 (1973-74), крыло, оперение и мотогондолы Як-42 (с 1975), детали Як-130, Як-18Т, орбитального самолета "Буран" (1980-е гг.); стартовые тележки для запуска ТРД (1950-65), кузова для прожекторных установок "Луч-1" (1950-53 г.). </w:t>
      </w:r>
    </w:p>
    <w:p w14:paraId="2C77208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Смоленский авиационный завод, ОАО (ОАО "СмАЗ") </w:t>
      </w:r>
    </w:p>
    <w:p w14:paraId="7128D4A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ранее: завод "Ремвоздух №3", Завод №35 НКАП, Завод №475 НКАП, МАП, Смоленский машиностроительный завод МАП, Смоленский авиационный завод (СмАЗ) МАП </w:t>
      </w:r>
    </w:p>
    <w:p w14:paraId="4674030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214006, г. Смоленск, ул. Фрунзе, 74, тел. 22-93-07, http://www.smaz.ru (10777).</w:t>
      </w:r>
    </w:p>
    <w:p w14:paraId="6BA5326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B8C8EB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10 марта 1944 г. приказом № 181с в соответствии с пост. ГКО № 5089сс от 3.02.1944 г. на месте эвакуированного в 1941 г. завода № 35 НКАП в системе 6ГУ был образован Завод № 475 НКАП, МАП, п/я 65, Смоленский машиностроительный завод МАП, Смоленский авиационный завод (СмАЗ), ОАО «СмАЗ» /214006  г. Смоленск, ул. Фрунзе, 74 тел. (0812) 29-93-13/. Старый завод был полностью разрушен. Фактически восстановление завода началось с осени 1943 г., после освобождения города. Штат формировался из резервов, небольшое количество специалистов переведено с заводов № 30, № 1, № 477, № 145.</w:t>
      </w:r>
    </w:p>
    <w:p w14:paraId="1A4BB39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Ремонт Ил-2, Ла-5, Ла-7, Як-7, затем - Як-3, Як-9, Як-11. В 1945-47 г. отремонтировано около 400 машин. В 1949 г. ремонт прекращен. Работы по переоборудованию По-2 в сельскохозяйственный вариант.</w:t>
      </w:r>
    </w:p>
    <w:p w14:paraId="65344DD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1.03.1946 г. передан в 11ГУ НКАП, с 1.03.1951 г.- в 1ГУ. Имел наименование «п/я 65».</w:t>
      </w:r>
    </w:p>
    <w:p w14:paraId="229A0EB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03.1946 г. организация производства аэродромного оборудования (стремянок, колодок, установок для проверки гидросистем, подъемников, обогревателей,) и самолетных кабин.</w:t>
      </w:r>
    </w:p>
    <w:p w14:paraId="0B342AE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приказу МАП № 352 от 3.06.1954 г. заводу поручен выпуск ракетной техники (КР). С 1.07.1954 г. завод передан в 6ГУ, с 08.1957 г. - в ведении 2ГУ МАП. В 1954 г. построены новые цеха: плазово-шаблонный, стапельный, агрегатно-сборочный, заготовительно-штамповочный. В 1960 г. на заводе организуется специализированное электротехническое производство - выпускаются автоматические установки и наземные комплексы, системы электропитания и автоматического контроля, счетно-решающие устройства. В дальнейшем оно выделилось в самостоятельное предприятие (завод «Измеритель»),</w:t>
      </w:r>
    </w:p>
    <w:p w14:paraId="6B5E82E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составе завода (1980 г.): серийный КО (СКО); (2000-е): ЛИС (базировалась на аэродроме Северный). С 1967 г. завод № 475 МАП получил название Смоленский машиностроительный завод МАП, в 1974 г. переименован в СмАЗ МАП. 1.07.1993 г. завод акционирован и преобразован в АООТ «СмАЗ», с 1996 г. - ОАО «СмАЗ». По решению правительства № 22-р от 9.01.2004 г. вошло в перечень стратегических предприятий. Входит в состав Корпорации ТРВ (с ~2004 г.).</w:t>
      </w:r>
    </w:p>
    <w:p w14:paraId="23D0F7D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1970-х  г. возобновлено производство самолетов. Планировалось производство Як-41М.</w:t>
      </w:r>
    </w:p>
    <w:p w14:paraId="22BFD86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1972 г. на заводе действовал филиал МКБ «Радуга».</w:t>
      </w:r>
    </w:p>
    <w:p w14:paraId="34DCD7B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1984 г. началась подготовка к производству М-17.</w:t>
      </w:r>
    </w:p>
    <w:p w14:paraId="174C05C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Работы (2004 г.): производство самолетов; модернизация Як-40; изготовление VIP- салонов.</w:t>
      </w:r>
    </w:p>
    <w:p w14:paraId="5A85B67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Численность персонала (1.10.2002 г.)- 2874 чел.</w:t>
      </w:r>
    </w:p>
    <w:p w14:paraId="56B709D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(-1944-03.1946 г.-)- М.А. Филатов, (1960 г.-)- Л.А. Серых. Гендиректор (-1995 г.)- Л.А. Серых, (1995- 98 г.)- М. Г. Абрамичев, (1998-2006 г.-)- A.M. Мирошкин.</w:t>
      </w:r>
    </w:p>
    <w:p w14:paraId="47025A6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Гендиректора: по маркетингу, планированию и экономике (-2002-05 г.-)- B.C. Ломовских; по ресурсам и финансам (2002 г.)- В.Д. Бавченков; по производству (2002 г.)-  Г.А. Коробков.</w:t>
      </w:r>
    </w:p>
    <w:p w14:paraId="4053B3B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инженер (1995-98 г.)- А.М. Мирошкин, (-2002-05 г.-&gt; Ю.М. Литвинов.</w:t>
      </w:r>
      <w:r w:rsidRPr="007224C3">
        <w:rPr>
          <w:rFonts w:ascii="Times New Roman" w:hAnsi="Times New Roman"/>
          <w:color w:val="000000" w:themeColor="text1"/>
          <w:sz w:val="16"/>
          <w:szCs w:val="16"/>
          <w:vertAlign w:val="superscript"/>
        </w:rPr>
        <w:t>69</w:t>
      </w:r>
    </w:p>
    <w:p w14:paraId="6622E63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гл. инженера по «Бурану» (1982-89 г.)- A.M. Мирошкин.</w:t>
      </w:r>
    </w:p>
    <w:p w14:paraId="63E7EC8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отдела маркетинга (2006 г.)- В.А. Мерзляков.</w:t>
      </w:r>
    </w:p>
    <w:p w14:paraId="5369071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начальника отдела: СКО (1980 г.-)- A.M. Мирошкин.</w:t>
      </w:r>
    </w:p>
    <w:p w14:paraId="7F423C0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Начальники бюро: КБ (1976-80 г.)- A.M. Мирошкин.</w:t>
      </w:r>
    </w:p>
    <w:p w14:paraId="2B067CC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iCs/>
          <w:color w:val="000000" w:themeColor="text1"/>
          <w:sz w:val="16"/>
          <w:szCs w:val="16"/>
        </w:rPr>
        <w:t>Производство:</w:t>
      </w:r>
      <w:r w:rsidRPr="007224C3">
        <w:rPr>
          <w:rFonts w:ascii="Times New Roman" w:hAnsi="Times New Roman"/>
          <w:color w:val="000000" w:themeColor="text1"/>
          <w:sz w:val="16"/>
          <w:szCs w:val="16"/>
        </w:rPr>
        <w:t xml:space="preserve"> планеры А-2 (1950-51)- более 200, ВА-3/48, планер-мишень ПМ;</w:t>
      </w:r>
      <w:r w:rsidRPr="007224C3">
        <w:rPr>
          <w:rFonts w:ascii="Times New Roman" w:hAnsi="Times New Roman"/>
          <w:iCs/>
          <w:color w:val="000000" w:themeColor="text1"/>
          <w:sz w:val="16"/>
          <w:szCs w:val="16"/>
        </w:rPr>
        <w:t xml:space="preserve"> самолеты:</w:t>
      </w:r>
      <w:r w:rsidRPr="007224C3">
        <w:rPr>
          <w:rFonts w:ascii="Times New Roman" w:hAnsi="Times New Roman"/>
          <w:color w:val="000000" w:themeColor="text1"/>
          <w:sz w:val="16"/>
          <w:szCs w:val="16"/>
        </w:rPr>
        <w:t xml:space="preserve"> Як-18, Як-18Т (1972-88; 1993-2005-), Як-42 (1975-83), М-17 (1986-), М-17РМ (М-55) (1988-2004-), СМ-92 «Финист» (1993-2006-), СМ-92Т «Турбо-Финист» (2004-), GM-17 "Viper" (2004), СМ-2000 (-2004-05-), Су-38Л (2004); модернизация Як- 40 (2004); капремонт Як-18Т, Як-52 (2004);</w:t>
      </w:r>
      <w:r w:rsidRPr="007224C3">
        <w:rPr>
          <w:rFonts w:ascii="Times New Roman" w:hAnsi="Times New Roman"/>
          <w:iCs/>
          <w:color w:val="000000" w:themeColor="text1"/>
          <w:sz w:val="16"/>
          <w:szCs w:val="16"/>
        </w:rPr>
        <w:t xml:space="preserve"> БПЛЛ:</w:t>
      </w:r>
      <w:r w:rsidRPr="007224C3">
        <w:rPr>
          <w:rFonts w:ascii="Times New Roman" w:hAnsi="Times New Roman"/>
          <w:color w:val="000000" w:themeColor="text1"/>
          <w:sz w:val="16"/>
          <w:szCs w:val="16"/>
        </w:rPr>
        <w:t xml:space="preserve"> Ла-17Р (1963-), «Ястреб», «Пчела-1» (2005);</w:t>
      </w:r>
      <w:r w:rsidRPr="007224C3">
        <w:rPr>
          <w:rFonts w:ascii="Times New Roman" w:hAnsi="Times New Roman"/>
          <w:iCs/>
          <w:color w:val="000000" w:themeColor="text1"/>
          <w:sz w:val="16"/>
          <w:szCs w:val="16"/>
        </w:rPr>
        <w:t xml:space="preserve"> УРВП:</w:t>
      </w:r>
      <w:r w:rsidRPr="007224C3">
        <w:rPr>
          <w:rFonts w:ascii="Times New Roman" w:hAnsi="Times New Roman"/>
          <w:color w:val="000000" w:themeColor="text1"/>
          <w:sz w:val="16"/>
          <w:szCs w:val="16"/>
        </w:rPr>
        <w:t xml:space="preserve"> «КС» (1956-), ФКР-1 (1959-), КСР-2 (1961-), КСР-11 (1961-), Х-59М, Х-55; лыжи и запчасти к По-2; детали и агрегаты для Ил-62 (1960-е), крыло и оперение Як-36, крылья Як-40 (1965-2004), крылья Як-50 (1973-74), крыло, оперение и мотогондолы Як-42 (1975-), детали Як-130, Як-18Т, орбитального самолета «Буран» (1980-); стартовые тележки для запуска ТРД (1950-65), кузова для прожекторных установок «Луч-1» (1950-53 г.), сельскохозяйственные машины (1954 г.); аэросани-амфибии (1966-68); сувенирная продукция (1967-).</w:t>
      </w:r>
    </w:p>
    <w:p w14:paraId="32ED2DF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ОАО «Измеритель» /214020  г. Смоленск ул. Бабушкина, 5 тел. 51-30-88, 51-07-03/</w:t>
      </w:r>
    </w:p>
    <w:p w14:paraId="5009308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1960 г. на заводе № 475 МАП организуется специализированное электротехническое производство - автоматических установок и наземных комплексов, систем электропитания и автоматического контроля, счетно- решающих устройств. В 1968 г. оно выделилось в самостоятельное предприятие (завод «Измеритель»). Производство ночных прицелов для ПЗРК,</w:t>
      </w:r>
      <w:r w:rsidRPr="007224C3">
        <w:rPr>
          <w:rFonts w:ascii="Times New Roman" w:hAnsi="Times New Roman"/>
          <w:color w:val="000000" w:themeColor="text1"/>
          <w:sz w:val="16"/>
          <w:szCs w:val="16"/>
          <w:vertAlign w:val="superscript"/>
        </w:rPr>
        <w:t>20</w:t>
      </w:r>
      <w:r w:rsidRPr="007224C3">
        <w:rPr>
          <w:rFonts w:ascii="Times New Roman" w:hAnsi="Times New Roman"/>
          <w:color w:val="000000" w:themeColor="text1"/>
          <w:sz w:val="16"/>
          <w:szCs w:val="16"/>
        </w:rPr>
        <w:t xml:space="preserve"> Разработка и производство (2003 г.): прицельно-навигационных комплексов, систем единой индикации и целеуказания, аварийной регистрации полетной информации; источников вторичного электропитания; многослойных печатных плат; трансформаторов и дросселей.</w:t>
      </w:r>
    </w:p>
    <w:p w14:paraId="0B967B3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2700AE5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Гендиректор (-2002-03 г.-)- В.В. Лысенко.</w:t>
      </w:r>
    </w:p>
    <w:p w14:paraId="602DFC0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Технический директор (2002 г.)- С.Н. Андреев. Коммерческий директор (2002 г.)- А.В. Гришутин. Директор по качеству (2002 г.)- В.В. Прохоров.</w:t>
      </w:r>
      <w:r w:rsidRPr="007224C3">
        <w:rPr>
          <w:rFonts w:ascii="Times New Roman" w:hAnsi="Times New Roman"/>
          <w:color w:val="000000" w:themeColor="text1"/>
          <w:sz w:val="16"/>
          <w:szCs w:val="16"/>
          <w:vertAlign w:val="superscript"/>
        </w:rPr>
        <w:t>69</w:t>
      </w:r>
    </w:p>
    <w:p w14:paraId="5F2A750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технического директора (2002 г.)- Н. Царев.</w:t>
      </w:r>
    </w:p>
    <w:p w14:paraId="7AD786B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конструктор СОСН-  Г. Болдырев.</w:t>
      </w:r>
    </w:p>
    <w:p w14:paraId="39592FF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iCs/>
          <w:color w:val="000000" w:themeColor="text1"/>
          <w:sz w:val="16"/>
          <w:szCs w:val="16"/>
        </w:rPr>
        <w:t>Производство:</w:t>
      </w:r>
      <w:r w:rsidRPr="007224C3">
        <w:rPr>
          <w:rFonts w:ascii="Times New Roman" w:hAnsi="Times New Roman"/>
          <w:color w:val="000000" w:themeColor="text1"/>
          <w:sz w:val="16"/>
          <w:szCs w:val="16"/>
        </w:rPr>
        <w:t xml:space="preserve"> средство обеспечения стрельбы ночью (СОСН) 9С520 для ПЗРК (2002); 10АС-213 (11982).</w:t>
      </w:r>
    </w:p>
    <w:p w14:paraId="2D92FE9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B3E909E"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2A3EF77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CA8194C"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10 марта 1944 опытный образец орудия МЛ-20см был изготовлен заводом №172. Первые стрельбы провели 11 марта, и после 33 выстрелов систему сняли с испытаний ввиду неудовлетворительной работы затвора. В ходе испытаний марта-апреля 1944 года были обнаружены производственные дефекты. Тем не менее 14 апреля МЛ-20см выдержала испытания на скоростной отстрел 60 выстрелов, произведя их за 39 минут вместо положенного часа. Всего же за март-май 1944 года орудие произвело 249 выстрелов, из них 196 — усиленным зарядом. Скорострельность достигала 2,9 выстрела в минуту.</w:t>
      </w:r>
    </w:p>
    <w:p w14:paraId="67DF519F"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итогам испытаний планировалось установить орудие в самоходку, но этого так и не произошло. Что же касается испытаний орудия, то они продолжались на заводе №172 до сентября 1944 года. В это время между НКТП, ГБТУ КА, НКТП и ГАУ шли споры относительно орудия. Наконец 2 октября 1944 года была дана команда отправить МЛ-20см на Кировский завод и установить в ИСУ-152. К середине октября, когда орудие доставили в Челябинск, выяснилось, что оно прибыло в недоработанном виде. В конце декабря ГАУ КА поставило перед заводом №172 вопрос о необходимости срочной доработки орудия и отправке конструкторов на ЧКЗ. Несмотря на это представители завода №172 прибыли в Челябинск только к середине февраля 1945 года. К тому моменту ситуация с модернизацией ИСУ вышла на новый уровень (18636).</w:t>
      </w:r>
    </w:p>
    <w:p w14:paraId="7D4B38DE" w14:textId="77777777" w:rsidR="00750752" w:rsidRPr="007224C3" w:rsidRDefault="00750752" w:rsidP="007224C3">
      <w:pPr>
        <w:spacing w:after="0" w:line="240" w:lineRule="auto"/>
        <w:jc w:val="both"/>
        <w:rPr>
          <w:rFonts w:ascii="Times New Roman" w:hAnsi="Times New Roman"/>
          <w:color w:val="000000" w:themeColor="text1"/>
          <w:sz w:val="16"/>
          <w:szCs w:val="16"/>
        </w:rPr>
      </w:pPr>
    </w:p>
    <w:p w14:paraId="49D1A35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марта 1944 г. были подготовлены СООБРАЖЕНИЯ ЗАМЕСТИТЕЛЯ НАЧАЛЬНИКА ТУ ГБТУ КА ЗАМЕСТИТЕЛЮ КОМАНДУЮЩЕГО БТ и МВ КА КОРОБКОВУ ПО РЕЗУЛЬТАТАМ ИСПЫТАНИЙ ТАНКА Т-44</w:t>
      </w:r>
    </w:p>
    <w:p w14:paraId="0A753DC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Согласно Вашего приказания, в дополнение к заключению комиссии по испытаниям опытного танка Т-44 завода №183 докладываю:</w:t>
      </w:r>
    </w:p>
    <w:p w14:paraId="4ECF624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Как указано в заключении комиссии, танк Т-44, по своим основным тактико-техническим дан</w:t>
      </w:r>
      <w:r w:rsidRPr="007224C3">
        <w:rPr>
          <w:rFonts w:ascii="Times New Roman" w:hAnsi="Times New Roman"/>
          <w:color w:val="000000" w:themeColor="text1"/>
          <w:sz w:val="16"/>
          <w:szCs w:val="16"/>
        </w:rPr>
        <w:softHyphen/>
        <w:t>ным, превосходит танк Т-34.</w:t>
      </w:r>
    </w:p>
    <w:p w14:paraId="04F9B14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Однако, рекомендовать танк Т-44 на вооружение Красной Армии комиссия не считала возмож</w:t>
      </w:r>
      <w:r w:rsidRPr="007224C3">
        <w:rPr>
          <w:rFonts w:ascii="Times New Roman" w:hAnsi="Times New Roman"/>
          <w:color w:val="000000" w:themeColor="text1"/>
          <w:sz w:val="16"/>
          <w:szCs w:val="16"/>
        </w:rPr>
        <w:softHyphen/>
        <w:t>ным до устранения обнаруженных дефектов и повторного испытания образца.</w:t>
      </w:r>
    </w:p>
    <w:p w14:paraId="7A12E42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Кроме того, для решения вопроса о рекомендации танка Т-44 на вооружение, комиссия считала необ</w:t>
      </w:r>
      <w:r w:rsidRPr="007224C3">
        <w:rPr>
          <w:rFonts w:ascii="Times New Roman" w:hAnsi="Times New Roman"/>
          <w:color w:val="000000" w:themeColor="text1"/>
          <w:sz w:val="16"/>
          <w:szCs w:val="16"/>
        </w:rPr>
        <w:softHyphen/>
        <w:t>ходимым провести обстрел корпуса танка Т-44, т.к. некоторые его узлы, в частности, башенка водителя, корма и нижний лист носа, вызывают сомнение, с точки зрения их достаточной снарядостойкости.</w:t>
      </w:r>
    </w:p>
    <w:p w14:paraId="41C8AE6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Только после обстрела корпуса и повторных испытаний танка Т-44, комиссия считает возмож</w:t>
      </w:r>
      <w:r w:rsidRPr="007224C3">
        <w:rPr>
          <w:rFonts w:ascii="Times New Roman" w:hAnsi="Times New Roman"/>
          <w:color w:val="000000" w:themeColor="text1"/>
          <w:sz w:val="16"/>
          <w:szCs w:val="16"/>
        </w:rPr>
        <w:softHyphen/>
        <w:t>ным решить вопрос о целесообразности принятия танка Т-44 на вооружение Красной Армии.</w:t>
      </w:r>
    </w:p>
    <w:p w14:paraId="4AD84CD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Председатель комиссии гвардии полковник Кульчицкий</w:t>
      </w:r>
    </w:p>
    <w:p w14:paraId="670975C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38. Оп. 11355. Д. 2210. Л. 44. Подлинник (11403).</w:t>
      </w:r>
    </w:p>
    <w:p w14:paraId="70F835A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C4B6BF3" w14:textId="77777777" w:rsidR="008362FC" w:rsidRPr="007224C3" w:rsidRDefault="008362F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10 марта 1944 г. в связи с тем, что отчет, составленный комиссией по результатам полигонных испытаний опытного образца танка Т-44, вызвал ряд вопросов у вышестоящего руководства, Е.А. Кульчицкому как председателю комиссии направил заместителю командующего БТ и МВ КА генерал-лейтенанту танковых войск Б.М. Коробкову следующее письмо:</w:t>
      </w:r>
    </w:p>
    <w:p w14:paraId="747933E6" w14:textId="77777777" w:rsidR="008362FC" w:rsidRPr="007224C3" w:rsidRDefault="008362F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«Согласно Вашего приказания, в дополнение к заключению по испытаниям опытного танка Т-44 завода № 183, ДОКЛАДЫВАЮ:</w:t>
      </w:r>
    </w:p>
    <w:p w14:paraId="68C8EAAD" w14:textId="77777777" w:rsidR="008362FC" w:rsidRPr="007224C3" w:rsidRDefault="008362F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Как указано в заключении комиссии, танк Т-44, по своим основным тактико-техническим данным, превосходит танк Т-34.</w:t>
      </w:r>
    </w:p>
    <w:p w14:paraId="7EDFCCE1" w14:textId="77777777" w:rsidR="008362FC" w:rsidRPr="007224C3" w:rsidRDefault="008362F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Однако, рекомендовать танк Т-44 на вооружение Красной Армии комиссия не считала возможным до устранения обнаруженных дефектов и повторного испытания образца.</w:t>
      </w:r>
    </w:p>
    <w:p w14:paraId="6AC3D25D" w14:textId="77777777" w:rsidR="008362FC" w:rsidRPr="007224C3" w:rsidRDefault="008362F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Кроме того, для решения вопроса о рекомендации танка Т-44 на вооружение, комиссия считала необходимым провести обстрел корпуса танка Т-44, т.к. некоторые его узлы, в частности, башенка водителя, корма и нижний лист носа, вызывают сомнение, с точки зрения их достаточной снарядостойкости.</w:t>
      </w:r>
    </w:p>
    <w:p w14:paraId="756A3916" w14:textId="77777777" w:rsidR="008362FC" w:rsidRPr="007224C3" w:rsidRDefault="008362F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Только после обстрела корпуса и повторных испытаний танка Т-44, комиссия считает возможным решить вопрос о целесообразности принятия танка Т-44 на вооружение Красной Армии».</w:t>
      </w:r>
    </w:p>
    <w:p w14:paraId="071CF223" w14:textId="77777777" w:rsidR="008362FC" w:rsidRPr="007224C3" w:rsidRDefault="008362F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lastRenderedPageBreak/>
        <w:t>[ЦАМО. Ф. 38. Оп. 11355. Д. 2210. Л. 44] (21209).</w:t>
      </w:r>
    </w:p>
    <w:p w14:paraId="7C81E6FA" w14:textId="77777777" w:rsidR="008362FC" w:rsidRPr="007224C3" w:rsidRDefault="008362FC" w:rsidP="007224C3">
      <w:pPr>
        <w:spacing w:after="0" w:line="240" w:lineRule="auto"/>
        <w:jc w:val="both"/>
        <w:rPr>
          <w:rFonts w:ascii="Times New Roman" w:hAnsi="Times New Roman"/>
          <w:color w:val="0070C0"/>
          <w:sz w:val="16"/>
          <w:szCs w:val="16"/>
        </w:rPr>
      </w:pPr>
    </w:p>
    <w:p w14:paraId="7D2FF44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марта 1944 г. было подготовлено ЗАКЛЮЧЕНИЕ НАЧАЛЬНИКА ТУ ГБТУ КА НАЧАЛЬНИКУ УБП БТ и МВ КА ОБ УСТАНОВКЕ ВНУТРЕННЕЙ СВЕТОВОЙ СИГНАЛИЗАЦИИ В ТАНКАХ Т-34 И ИС №521180</w:t>
      </w:r>
    </w:p>
    <w:p w14:paraId="33BB3E1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Установку внутренней световой сигнализации в танках Т-34 и ИС, связывающей командира танка с механиком-водителем, аналогично установкам СУ-76, считаю нецелесообразной.</w:t>
      </w:r>
    </w:p>
    <w:p w14:paraId="314A647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отличие от СУ-76, где работа экипажа через ТПУ затруднена вследствие больших акустиче</w:t>
      </w:r>
      <w:r w:rsidRPr="007224C3">
        <w:rPr>
          <w:rFonts w:ascii="Times New Roman" w:hAnsi="Times New Roman"/>
          <w:color w:val="000000" w:themeColor="text1"/>
          <w:sz w:val="16"/>
          <w:szCs w:val="16"/>
        </w:rPr>
        <w:softHyphen/>
        <w:t>ских помех, в танках Т-34 и ИС работа через ТПУ полностью и надежно обеспечивает связь между членами экипажа.</w:t>
      </w:r>
    </w:p>
    <w:p w14:paraId="0DFC9D6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Поэтому световая сигнализация, как дублирующее средство связи, в танках не нужна.</w:t>
      </w:r>
    </w:p>
    <w:p w14:paraId="2F2EEAB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ТУ ГБТУ КА генерал-майор инженерно-танковой службы Афонин</w:t>
      </w:r>
    </w:p>
    <w:p w14:paraId="35EEF26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3 отдела ТУ ГБТУ КА инженер-подполковник Иванов</w:t>
      </w:r>
    </w:p>
    <w:p w14:paraId="2AD537C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38. Оп. 11355. Д. 2205. Л. 120. Копия (11403).</w:t>
      </w:r>
    </w:p>
    <w:p w14:paraId="50CA6EA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1045CA2" w14:textId="77777777" w:rsidR="00473751" w:rsidRPr="007224C3" w:rsidRDefault="00473751" w:rsidP="007224C3">
      <w:pPr>
        <w:pStyle w:val="ae"/>
        <w:shd w:val="clear" w:color="auto" w:fill="FFFFFF"/>
        <w:spacing w:before="0" w:after="0"/>
        <w:jc w:val="both"/>
        <w:rPr>
          <w:color w:val="000000" w:themeColor="text1"/>
          <w:sz w:val="16"/>
          <w:szCs w:val="16"/>
        </w:rPr>
      </w:pPr>
      <w:r w:rsidRPr="007224C3">
        <w:rPr>
          <w:color w:val="000000" w:themeColor="text1"/>
          <w:sz w:val="16"/>
          <w:szCs w:val="16"/>
        </w:rPr>
        <w:t>10 марта 1944 года на Гороховецком АНИОП провели испытания английских и американских снарядов для 57-мм пушек. Стрельба из орудия GMC T48 (в СССР СУ-57) показала, что снаряды идентичны. Это стало сигналом к тому, что Valentine IX и X стали получать осколочно-фугасные снаряды. Первая поставка состоялась уже в конце марта 1944 года. Боекомплект танков комплектовался бронебойными и осколочно-фугасными снарядами в расчете 50:50. Правда, первое время с поставками осколочно-фугасных снарядов были перебои. По этой причине весной 1944 года некоторые танки всё ещё имели в боекомплекте только бронебойные снаряды. Окончательно ситуация выправилась в июне 1944 года. Нередко советские экипажи приспосабливали зенитные пулемёты Bren для ведения огня по наземным целям.</w:t>
      </w:r>
    </w:p>
    <w:p w14:paraId="1F626368" w14:textId="77777777" w:rsidR="00473751" w:rsidRPr="007224C3" w:rsidRDefault="00473751" w:rsidP="007224C3">
      <w:pPr>
        <w:pStyle w:val="ae"/>
        <w:shd w:val="clear" w:color="auto" w:fill="FFFFFF"/>
        <w:spacing w:before="0" w:after="0"/>
        <w:jc w:val="both"/>
        <w:rPr>
          <w:color w:val="000000" w:themeColor="text1"/>
          <w:sz w:val="16"/>
          <w:szCs w:val="16"/>
        </w:rPr>
      </w:pPr>
      <w:r w:rsidRPr="007224C3">
        <w:rPr>
          <w:color w:val="000000" w:themeColor="text1"/>
          <w:sz w:val="16"/>
          <w:szCs w:val="16"/>
        </w:rPr>
        <w:t>О том, как применялись Valentine IX, красноречиво свидетельствует характеристика, датированная весной 1944 года:</w:t>
      </w:r>
    </w:p>
    <w:p w14:paraId="1C8C5B3C" w14:textId="77777777" w:rsidR="00473751" w:rsidRPr="007224C3" w:rsidRDefault="00473751" w:rsidP="007224C3">
      <w:pPr>
        <w:pStyle w:val="ae"/>
        <w:shd w:val="clear" w:color="auto" w:fill="FFFFFF"/>
        <w:spacing w:before="0" w:after="0"/>
        <w:jc w:val="both"/>
        <w:rPr>
          <w:color w:val="000000" w:themeColor="text1"/>
          <w:sz w:val="16"/>
          <w:szCs w:val="16"/>
        </w:rPr>
      </w:pPr>
      <w:r w:rsidRPr="007224C3">
        <w:rPr>
          <w:iCs/>
          <w:color w:val="000000" w:themeColor="text1"/>
          <w:sz w:val="16"/>
          <w:szCs w:val="16"/>
        </w:rPr>
        <w:t>«Пушка 57 мм по своим баллистическим характеристикам – хорошая. Она пробивает бортовую броню немецких тяжёлых танков T-VI в 82 мм на дистанции 600-800 м.</w:t>
      </w:r>
    </w:p>
    <w:p w14:paraId="4F94D298" w14:textId="77777777" w:rsidR="00473751" w:rsidRPr="007224C3" w:rsidRDefault="00473751" w:rsidP="007224C3">
      <w:pPr>
        <w:pStyle w:val="ae"/>
        <w:shd w:val="clear" w:color="auto" w:fill="FFFFFF"/>
        <w:spacing w:before="0" w:after="0"/>
        <w:jc w:val="both"/>
        <w:rPr>
          <w:color w:val="000000" w:themeColor="text1"/>
          <w:sz w:val="16"/>
          <w:szCs w:val="16"/>
        </w:rPr>
      </w:pPr>
      <w:r w:rsidRPr="007224C3">
        <w:rPr>
          <w:iCs/>
          <w:color w:val="000000" w:themeColor="text1"/>
          <w:sz w:val="16"/>
          <w:szCs w:val="16"/>
        </w:rPr>
        <w:t>Отсутствие осколочных снарядов к пушке делает танк малоэффективным в борьбе с пехотой противника. Поэтому этот танк используется для борьбы с танками противника, как самоходная установка».</w:t>
      </w:r>
    </w:p>
    <w:p w14:paraId="1B5FDF7C" w14:textId="77777777" w:rsidR="00473751" w:rsidRPr="007224C3" w:rsidRDefault="00473751" w:rsidP="007224C3">
      <w:pPr>
        <w:pStyle w:val="ae"/>
        <w:shd w:val="clear" w:color="auto" w:fill="FFFFFF"/>
        <w:spacing w:before="0" w:after="0"/>
        <w:jc w:val="both"/>
        <w:rPr>
          <w:color w:val="000000" w:themeColor="text1"/>
          <w:sz w:val="16"/>
          <w:szCs w:val="16"/>
        </w:rPr>
      </w:pPr>
      <w:r w:rsidRPr="007224C3">
        <w:rPr>
          <w:color w:val="000000" w:themeColor="text1"/>
          <w:sz w:val="16"/>
          <w:szCs w:val="16"/>
        </w:rPr>
        <w:t>Появление осколочно-фугасного снаряда позволило однородно комплектовать подобными машинами целые части (17709).</w:t>
      </w:r>
    </w:p>
    <w:p w14:paraId="480D5424" w14:textId="77777777" w:rsidR="00473751" w:rsidRPr="007224C3" w:rsidRDefault="00473751" w:rsidP="007224C3">
      <w:pPr>
        <w:spacing w:after="0" w:line="240" w:lineRule="auto"/>
        <w:jc w:val="both"/>
        <w:rPr>
          <w:rFonts w:ascii="Times New Roman" w:hAnsi="Times New Roman"/>
          <w:color w:val="000000" w:themeColor="text1"/>
          <w:sz w:val="16"/>
          <w:szCs w:val="16"/>
        </w:rPr>
      </w:pPr>
    </w:p>
    <w:p w14:paraId="4261B67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марта 1944 вышло Постановление ГКО № 5344 О поставках угля казанским электростанциям. РГАНИР, Фонд ГКО, д. 217, лл. 17 (11012).</w:t>
      </w:r>
    </w:p>
    <w:p w14:paraId="39A2588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42A6C8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марта 1944 вышло Распоряжение ГКО № 5345. О выделении 50 грузовых автомашин Цувосстройзаводу НКПС. РГАНИР, Фонд ГКО, д. 217, лл. 18 (11012).</w:t>
      </w:r>
    </w:p>
    <w:p w14:paraId="0A92A08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625564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марта 1944 вышло Постановление ГКО № 5347 О плане снабжения горюче-смазочными материалами и каменноугольным топливом Красной Армии и Военно-Морского Флота на март 1944 года. РГАНИР, Фонд ГКО, д. 217, лл. 20-24,25-69 (11012).</w:t>
      </w:r>
    </w:p>
    <w:p w14:paraId="516C9A1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E60678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марта 1944 г. было уточнено ТТЗ на эсминец пр. 40, которое допускало увеличение во</w:t>
      </w:r>
      <w:r w:rsidRPr="007224C3">
        <w:rPr>
          <w:rFonts w:ascii="Times New Roman" w:hAnsi="Times New Roman"/>
          <w:color w:val="000000" w:themeColor="text1"/>
          <w:sz w:val="16"/>
          <w:szCs w:val="16"/>
        </w:rPr>
        <w:softHyphen/>
        <w:t>доизмещения до 3000 т с уменьшением скорости до 36 уз при 6000-мильной дальности плавания экомическим ходом. Это зада</w:t>
      </w:r>
      <w:r w:rsidRPr="007224C3">
        <w:rPr>
          <w:rFonts w:ascii="Times New Roman" w:hAnsi="Times New Roman"/>
          <w:color w:val="000000" w:themeColor="text1"/>
          <w:sz w:val="16"/>
          <w:szCs w:val="16"/>
        </w:rPr>
        <w:softHyphen/>
        <w:t>ние с изменениями от 6 ноября 1944 г. (водоизмещение 3200 т, три стабилизированные спаренные 130-мм установки) было поло</w:t>
      </w:r>
      <w:r w:rsidRPr="007224C3">
        <w:rPr>
          <w:rFonts w:ascii="Times New Roman" w:hAnsi="Times New Roman"/>
          <w:color w:val="000000" w:themeColor="text1"/>
          <w:sz w:val="16"/>
          <w:szCs w:val="16"/>
        </w:rPr>
        <w:softHyphen/>
        <w:t>жено в основу эскизного пр. 40Н, разработанного под руководством В. А. Никитина и в целом одобренного в Наркомате ВМФ. Н. Г. Кузнецов считал необходимым начать строительство головно</w:t>
      </w:r>
      <w:r w:rsidRPr="007224C3">
        <w:rPr>
          <w:rFonts w:ascii="Times New Roman" w:hAnsi="Times New Roman"/>
          <w:color w:val="000000" w:themeColor="text1"/>
          <w:sz w:val="16"/>
          <w:szCs w:val="16"/>
        </w:rPr>
        <w:softHyphen/>
        <w:t>го эсминца пр. 40 в 1946 г., так как он был наиболее подходящим типом для Севера и Тихого океана (3898).</w:t>
      </w:r>
    </w:p>
    <w:p w14:paraId="63718E7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729FC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марта 1944 На "Судомехе" закончен ремонт ПЛ М-96 (10671).</w:t>
      </w:r>
    </w:p>
    <w:p w14:paraId="4668728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FFD9734"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2E9E85A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27A1064" w14:textId="77777777" w:rsidR="00E870E7" w:rsidRPr="007224C3" w:rsidRDefault="00E870E7"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10 марта</w:t>
      </w:r>
      <w:r w:rsidRPr="007224C3">
        <w:rPr>
          <w:rFonts w:ascii="Times New Roman" w:hAnsi="Times New Roman"/>
          <w:color w:val="000000" w:themeColor="text1"/>
          <w:sz w:val="16"/>
          <w:szCs w:val="16"/>
        </w:rPr>
        <w:t xml:space="preserve"> в 1944 году оперативная сводка Совинформбюро:</w:t>
      </w:r>
    </w:p>
    <w:p w14:paraId="6FD3930F" w14:textId="77777777" w:rsidR="00E870E7" w:rsidRPr="007224C3" w:rsidRDefault="00E870E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10 марта наши войска, преодолевая сопротивление и контратаки противника, продолжали вести уличные бои в городе Тарнополь.</w:t>
      </w:r>
    </w:p>
    <w:p w14:paraId="22BD9246" w14:textId="77777777" w:rsidR="00E870E7" w:rsidRPr="007224C3" w:rsidRDefault="00E870E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Проскуровском направлении наши войска, продолжая наступление, овладели районным центром Каменец-Подольской области Красилов, а также с боями занялинесколько других населённых пунктов, в том числе крупные населённые пункты Заставки, Циценевка, Григоровка, Сковородки, Моломолинцы, Ставница, Горбасов,Чапля, Новоконстантинов, Свична.</w:t>
      </w:r>
    </w:p>
    <w:p w14:paraId="5DA14997" w14:textId="77777777" w:rsidR="00E870E7" w:rsidRPr="007224C3" w:rsidRDefault="00E870E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города Казатин наши войска с боями продвигались вперёд и овладели районным центром Винницкой области городом Хмельники, а также заняли более 30 других населённых пунктов, в том числе Соколово, Белый Рукав, Сербиновка, Кривошеинцы, Колыбабинцы, Широкая Гребля, Томашпиль, Клетище,Забижье, Янов, Байкивка, Писаривка, Кордылевка, Тарасовка и железнодорожные станции Ново-Куриловка, Уладовка, Холоневская, Люлинцы.</w:t>
      </w:r>
    </w:p>
    <w:p w14:paraId="0F910E9C" w14:textId="77777777" w:rsidR="00E870E7" w:rsidRPr="007224C3" w:rsidRDefault="00E870E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2-го Украинского фронта, возобновив наступление, прорвали сильную оборону немцев на Уманском направлении и за 5 дней наступательных боёв продвинулись вперёд от 40 до 70 километров, расширив прорыв до 175 километров по фронту. В результате проведенной операции, войска фронта овладели городом Умань, городом и важным железнодорожным узлом Христиновка, районными центрами Киевской области городом Тальное, Буки, Маньковка, Бабанка, Екатеринополь, районным центром Винницкой области Монастырище и заняли более 300 других населённыхпунктов, в том числе крупные населённые пункты Соколовка, Кишенцы, Иваньки, Ануфриевка, Залесское, Гусаково, Цыбулив, Ивановка, Молодецкое, Машуров, Колодистое, Капустино, Сарны, Верхнячка, Дмитровское, Доброводы, Вишнополь, Майданецкое, Гуляйполь, Романовка, Шукайвода, Россошки, Кочержинцы, Сушковка, Оксанино, Каменечье и железнодорожные станции Звенигородка, Россоховатка, Тальное, Шалашевский, Мошурово, Поташ, Подобное, Яроватка, Шукаево,Севастьяновка, Монастырище, Кооперативная и Вахны.</w:t>
      </w:r>
    </w:p>
    <w:p w14:paraId="4AEA279A" w14:textId="77777777" w:rsidR="00E870E7" w:rsidRPr="007224C3" w:rsidRDefault="00E870E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ходе наступления войска 2-го Украинского фронта нанесли тяжёлое поражение 6танковым, 7 пехотным и одной артиллерийской дивизиям немцев. Немцы оставили наполе боя свыше 20.000 трупов солдат и офицеров.</w:t>
      </w:r>
    </w:p>
    <w:p w14:paraId="13FE09E0" w14:textId="77777777" w:rsidR="00E870E7" w:rsidRPr="007224C3" w:rsidRDefault="00E870E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предварительным данным, войска 2-го Украинского фронта захватили следующие трофеи: танков и самоходных орудий — свыше 500, из них более 200 вполне исправных «Тигров», «Пантер» и «Фердинандов», полевых орудий разного калибра —около 600, автомашин — свыше 12.000, складов с вооружением, боеприпасами и другим военным имуществом — более 50. Взято в плен более 2.500 немецких солдат и офицеров. По показаниям пленных, захваченная материальная часть принадлежала 11,13, 14, 16, 17 танковым дивизиям, танковой дивизии СС «Адольф Гитлер», которые должны были приостановить наше наступление, однако в результате стремительного удара наших подвижных соединений и пехоты личный состав этих немецких танковых дивизий вынужден был бросить всю свою боевую технику и бежать.</w:t>
      </w:r>
    </w:p>
    <w:p w14:paraId="13CDA26E" w14:textId="77777777" w:rsidR="00E870E7" w:rsidRPr="007224C3" w:rsidRDefault="00E870E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3-го Украинского фронта, продолжая успешно развивать наступление, овладели районным центром Кировоградской области Новгородка, районным центром Николаевской области Баштанка и заняли более 150 других населённых пунктов, в том числе крупные населённые пункты Братолюбовка, Гуровка, Фёдоро-Шуличино, Новая Скелеватка, Софиево-Гейкковка, Ново-Григорьевка, Александровка, Николаевка, Ново-Дмитровка, Андреевка, Ново-Берёзовка, Христофоровка, Баратовка, Ново-Павловка, Архангельское, Петропавловка, Новая Каменка, Качкаровка, Добра и железнодорожные станции Гейковка, Утешное, Казанка, Добровольский, Новополтавка, Явкино. Отступая под ударами наших войск, противник несёт огромные потери вживой силе и технике.</w:t>
      </w:r>
    </w:p>
    <w:p w14:paraId="52DD1773" w14:textId="77777777" w:rsidR="00E870E7" w:rsidRPr="007224C3" w:rsidRDefault="00E870E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 разведка и в ряде пунктов бои местного значения.</w:t>
      </w:r>
    </w:p>
    <w:p w14:paraId="06D9672E" w14:textId="77777777" w:rsidR="00E870E7" w:rsidRPr="007224C3" w:rsidRDefault="00E870E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9 марта наши войска на всех фронтах подбили и уничтожили 89 немецких танков. В воздушных боях и огнём зенитной артиллерии сбито 77 самолётов противника.</w:t>
      </w:r>
    </w:p>
    <w:p w14:paraId="5D57FF5D" w14:textId="77777777" w:rsidR="00E870E7" w:rsidRPr="007224C3" w:rsidRDefault="00E870E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городе Тарнополь наши войска продолжали вести уличные бои. Немцы подтянули в помощь гарнизону крупные силы и оказывают ожесточённое сопротивление. Советские пехотинцы и танкисты, очищая от гитлеровцев улицу за улицей, нанесли противнику огромные потери в людях и технике.</w:t>
      </w:r>
    </w:p>
    <w:p w14:paraId="13EC80B5" w14:textId="77777777" w:rsidR="00E870E7" w:rsidRPr="007224C3" w:rsidRDefault="00E870E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Проскуровском направлении наши войска продолжали наступление. Части Н-ского соединения, быстро продвигаясь вперёд, овладели районным центром Каменец-Подольской области Красилов. На другом участке советские бойцы окружили и ликвидировали группу противника, состоявшую из подразделений эсэсовской бригады «Лангемарк». На поле боя осталось 1.400 вражеских трупов. Захвачены 6 танков, 15 бронетранспортёров и другие трофеи.</w:t>
      </w:r>
    </w:p>
    <w:p w14:paraId="73126522" w14:textId="77777777" w:rsidR="00E870E7" w:rsidRPr="007224C3" w:rsidRDefault="00E870E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города Казатин наши войска с боями продвигались вперёд. Части Н-ского соединения заняли районный центр Винницкой области город Хмельники и более 30 других населённых пунктов. За день боёв уничтожено до полка немецкой пехоты, сожжено и подбито 17 танков и самоходных орудий противника. Захвачено у немцев 19 орудий, 22 миномёта, 9 складов с боеприпасами, продовольствием и горючим.</w:t>
      </w:r>
    </w:p>
    <w:p w14:paraId="23BED133" w14:textId="77777777" w:rsidR="00E870E7" w:rsidRPr="007224C3" w:rsidRDefault="00E870E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Войска 2-го Украинского фронта, возобновив наступление, на широком фронте прорвали оборону немцев и разгромили Уманско-Христиновскую группировку противника в составе шести танковых, семи пехотных и одной артиллерийской дивизий. По показаниям пленных наступление советских войск, начавшееся в ненастную погоду и распутицу, явилось полной неожиданностью для немцев. Наши артиллеристы и миномётчики подавили большинство артиллерийских и миномётных батарей немцев и нанесли врагу тяжёлый урон. Двинувшиеся вслед за огневым валом танкисты и пехотинцы смяли пехоту противника. Немецкое </w:t>
      </w:r>
      <w:r w:rsidRPr="007224C3">
        <w:rPr>
          <w:rFonts w:ascii="Times New Roman" w:hAnsi="Times New Roman"/>
          <w:color w:val="000000" w:themeColor="text1"/>
          <w:sz w:val="16"/>
          <w:szCs w:val="16"/>
        </w:rPr>
        <w:lastRenderedPageBreak/>
        <w:t>командование, стремясь ликвидировать прорыв, бросило в бой танковые дивизии. Наши войска на рубеже реки Горный Тикич взломали второй оборонительный рубеж противника и во встречном бою разбили танковую группу немцев. Остатки разбитых немецких дивизий бежали на юго-запад к Умани, бросая всю свою боевую технику. О подлинных размерах поражения немцев можно судить по огромному количеству трофеев, захваченных нашими войсками. На всём пути от реки Горный Тикич до города Умани валяется оружие, снаряжение и военное имущество, брошенное немцами. Все дороги забиты танками, самоходными орудиями, бронетранспортёрами и автомашинами противника. Бойцы и офицеры Красной Армии проявили в этих боях величайший героизм и мужество. В условиях полного бездорожья и вязкой грязи на полях советская пехота на отдельных направлениях с боями продвигалась до 20 километров в сутки. Преследуя разбитые части противника, наши войска ворвались в город Умань. Гитлеровцы пытались любой ценой удержать этот город в своих руках, чтобы выиграть время и привести в порядок свои разбитые дивизии. В результате ожесточённых уличных боёв наши танкисты и пехотинцы сломили сопротивление немцев и овладели городом Умань. Войска 2-го Украинского фронта овладели также городом и важным железнодорожным узлом Христиновка, заняли несколько районных центров, железнодорожных станций и свыше 300 других населённых пунктов.</w:t>
      </w:r>
    </w:p>
    <w:p w14:paraId="6A6C5124" w14:textId="77777777" w:rsidR="00E870E7" w:rsidRPr="007224C3" w:rsidRDefault="00E870E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3-го Украинского фронта, продолжая успешное наступление, овладели районным центром Кировоградской области Новгородка, районным центром Николаевской области Баштанка и заняли более 150 других населённых пунктов. Части Н-ского соединения, широко применяя смелые обходные манёвры, окружили и ликвидировали вражеские гарнизоны в ряде населённых пунктов. По неполным данным, уничтожено свыше 2.000 гитлеровцев. Захвачено у немцев 87 орудий, 4.000 винтовок и автоматов, более 200 автомашин, 60 тракторов и 300 повозок с военными грузами. Взято в плен много немецких солдат и офицеров.</w:t>
      </w:r>
    </w:p>
    <w:p w14:paraId="5871B415" w14:textId="77777777" w:rsidR="00E870E7" w:rsidRPr="007224C3" w:rsidRDefault="00E870E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Финском заливе потоплены два тральщика противника по 500 тонн водоизмещения каждый.» (15064).</w:t>
      </w:r>
    </w:p>
    <w:p w14:paraId="1D1679F3" w14:textId="77777777" w:rsidR="00E870E7" w:rsidRPr="007224C3" w:rsidRDefault="00E870E7" w:rsidP="007224C3">
      <w:pPr>
        <w:spacing w:after="0" w:line="240" w:lineRule="auto"/>
        <w:jc w:val="both"/>
        <w:rPr>
          <w:rFonts w:ascii="Times New Roman" w:hAnsi="Times New Roman"/>
          <w:color w:val="000000" w:themeColor="text1"/>
          <w:sz w:val="16"/>
          <w:szCs w:val="16"/>
        </w:rPr>
      </w:pPr>
    </w:p>
    <w:p w14:paraId="02511D79" w14:textId="77777777" w:rsidR="00E870E7" w:rsidRPr="007224C3" w:rsidRDefault="00E870E7"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10 марта</w:t>
      </w:r>
      <w:r w:rsidRPr="007224C3">
        <w:rPr>
          <w:rFonts w:ascii="Times New Roman" w:hAnsi="Times New Roman"/>
          <w:color w:val="000000" w:themeColor="text1"/>
          <w:sz w:val="16"/>
          <w:szCs w:val="16"/>
        </w:rPr>
        <w:t xml:space="preserve"> в 1944 году танковые соединения 1-го Украинского фронта вышли на рубеж Тернополь, Проскуров и перерезали железную дорогу Львов - Одесса (главную коммуникацию южного крыла немецко-фашистских войск) (15064).</w:t>
      </w:r>
    </w:p>
    <w:p w14:paraId="7CE4554A" w14:textId="77777777" w:rsidR="00E870E7" w:rsidRPr="007224C3" w:rsidRDefault="00E870E7" w:rsidP="007224C3">
      <w:pPr>
        <w:spacing w:after="0" w:line="240" w:lineRule="auto"/>
        <w:jc w:val="both"/>
        <w:rPr>
          <w:rFonts w:ascii="Times New Roman" w:hAnsi="Times New Roman"/>
          <w:color w:val="000000" w:themeColor="text1"/>
          <w:sz w:val="16"/>
          <w:szCs w:val="16"/>
        </w:rPr>
      </w:pPr>
    </w:p>
    <w:p w14:paraId="5EA8E9C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марта 1944 года был совершен налет на аэродром Кульбакино в районе Николаева, поскольку на этом аэродроме воздушная разведка обнаружила 140 самолетов противника. Советские самолеты атаковали следующим образом. Первый отряд майора М.С. Лютого (5 Ил-2 из 23-го ШАП и 8 Р-39 из 11-го ГИАП) должен был подавить зенитные батареи. Второй отряд лейтенанта В.Р. Гаджиева (7 Ил-2 и 10 Р-39) атаковал стоящие на земле машины. Четыре Р-39 из 11-го ГИАП патрулировали воздух, связывая истребители противника. Немцев врасплох застать не удалось, тем не менее на земле были уничтожены 8 машин, а еще 13 были сбиты в ходе воздушного боя. Потери советской стороны: 2 Ил-2 и 3 Р-39. Это был один из наиболее тщательно спланированных и удачно проведенных налетов, поэтому его включили в программу Академии ВМФ (2691).</w:t>
      </w:r>
    </w:p>
    <w:p w14:paraId="111D457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FDEB3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марта 1944 в районе Николаева истребитель сопровождения л И.М.Стопы загорелся и приземлился на вражеской территории. Ш, пилотируемый мл.-л В.Е.Милоновым (стрелок Хирный) сел, чтобы спасти. У машины при посадке пробило колесо. Сел Ил-2 л А.В.Демихина (стрелок И.Д.Разгоняев). Машину на руках выкатили к дороге и вывезли всех (505,233).</w:t>
      </w:r>
    </w:p>
    <w:p w14:paraId="6A34D3A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A781A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марта 1944 38-й танковый полк отбыл на фронт, где принял учас</w:t>
      </w:r>
      <w:r w:rsidRPr="007224C3">
        <w:rPr>
          <w:rFonts w:ascii="Times New Roman" w:hAnsi="Times New Roman"/>
          <w:color w:val="000000" w:themeColor="text1"/>
          <w:sz w:val="16"/>
          <w:szCs w:val="16"/>
        </w:rPr>
        <w:softHyphen/>
        <w:t>тие в Уманско-Ботошанской операции. До получения матчасти из колонны «Димитрий Донской» указанный полк уже участвовал в боях на Демянском плацдарме, освобож</w:t>
      </w:r>
      <w:r w:rsidRPr="007224C3">
        <w:rPr>
          <w:rFonts w:ascii="Times New Roman" w:hAnsi="Times New Roman"/>
          <w:color w:val="000000" w:themeColor="text1"/>
          <w:sz w:val="16"/>
          <w:szCs w:val="16"/>
        </w:rPr>
        <w:softHyphen/>
        <w:t>дал Вязьму, Невель и Великие Луки, и его личный состав считался опытным. В ночь с 23 на 24 марта 1944 г. 38-й от</w:t>
      </w:r>
      <w:r w:rsidRPr="007224C3">
        <w:rPr>
          <w:rFonts w:ascii="Times New Roman" w:hAnsi="Times New Roman"/>
          <w:color w:val="000000" w:themeColor="text1"/>
          <w:sz w:val="16"/>
          <w:szCs w:val="16"/>
        </w:rPr>
        <w:softHyphen/>
        <w:t>дельный танковый полк, совершив двенадцатисуточный марш в район г. Умани, с ходу вступил в бой (11135).</w:t>
      </w:r>
    </w:p>
    <w:p w14:paraId="4024FBE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5E04413" w14:textId="77777777" w:rsidR="00473751" w:rsidRPr="007224C3" w:rsidRDefault="0047375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марта 1944 года, меньше чем через месяц после первого применения ИС-1, состоялся боевой дебют ИС-2. Он оказался куда более успешным, чем у ИС-1 (17715).</w:t>
      </w:r>
    </w:p>
    <w:p w14:paraId="67A07C78" w14:textId="77777777" w:rsidR="00473751" w:rsidRPr="007224C3" w:rsidRDefault="00473751" w:rsidP="007224C3">
      <w:pPr>
        <w:spacing w:after="0" w:line="240" w:lineRule="auto"/>
        <w:jc w:val="both"/>
        <w:rPr>
          <w:rFonts w:ascii="Times New Roman" w:hAnsi="Times New Roman"/>
          <w:color w:val="000000" w:themeColor="text1"/>
          <w:sz w:val="16"/>
          <w:szCs w:val="16"/>
        </w:rPr>
      </w:pPr>
    </w:p>
    <w:p w14:paraId="12D3F332"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марта 1944 советские войска 1-го Украинского фронта перерезали железную дорогу Львов-Одесса (4962).</w:t>
      </w:r>
    </w:p>
    <w:p w14:paraId="68257258"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FA0881C"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марта 1944 советские войска 2-го Украинского фронта захватили большую немецкую авиабазу в Умани (4962).</w:t>
      </w:r>
    </w:p>
    <w:p w14:paraId="4C929AD3"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4A65D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March 10th, 1944: The Red Army recaptures Uman in the Ukraine (3819).</w:t>
      </w:r>
    </w:p>
    <w:p w14:paraId="5431FD7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CD58A9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марта 1944 КА освободила Умань (3819).</w:t>
      </w:r>
    </w:p>
    <w:p w14:paraId="4732537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B9C8A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марта 1944 вышло Постановление ГКО № 5346 О назначении Герасименко В.Ф. наркомом обороны УССР и командующим войсками КВО. РГАНИР, Фонд ГКО, д. 217, лл. 19 (11012).</w:t>
      </w:r>
    </w:p>
    <w:p w14:paraId="2254DF7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D0D44FA"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Жизнь и внутренняя политика:</w:t>
      </w:r>
    </w:p>
    <w:p w14:paraId="711BEA8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700663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марта 1944 заместитель наркома Чернышов подписал приказание НКВД № 17:</w:t>
      </w:r>
    </w:p>
    <w:p w14:paraId="455D9EC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типографии Рыблага НКВД вскрыта и ликвидирована хищническая группа, занимавшаяся изготовлением в типографии фиктивных продкарточек и отовариванием их в магазинах лагеря. Участники группы: зав. типографией Варгунина, технорук Павлов и другие, пользуясь отсутствием учета в типографии и контроля за их деятельностью, ежемесячно имели по 10-15 похищенных продкарточек и одновременно расхищали бумагу и другие технические материалы, обменивая их на продовольствие или продавая за деньги. В целях предупреждения от повторения злоупотреблений в других лагерях НКВД, приказываю:</w:t>
      </w:r>
    </w:p>
    <w:p w14:paraId="33A1E40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немедленно проверить в каждом лагере хранение, учет и выдачу бланков продовольственных заборных документов, как в местах изготовления их (в собственных типографиях), так и в подразделениях, где выдаются продкарточки и заборные книжки рабочим и служащим;</w:t>
      </w:r>
    </w:p>
    <w:p w14:paraId="64B4E9C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в дальнейшем ежемесячно производить ревизии учета, хранения и выдачи продкарточек и заборных документов;</w:t>
      </w:r>
    </w:p>
    <w:p w14:paraId="0B797B5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при обнаружении злоупотреблений немедленно привлекать виновных к ответственности и сообщать в ГУЛАГ НКВД;</w:t>
      </w:r>
    </w:p>
    <w:p w14:paraId="4E7CAE3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выявленные ненормальности в учете и в хранении бланков, нарушение инструкций по учету и хранению - немедленно устранять на месте” (7560).</w:t>
      </w:r>
    </w:p>
    <w:p w14:paraId="20343B0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C8C36D"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Внешняя политика:</w:t>
      </w:r>
    </w:p>
    <w:p w14:paraId="46FDDE3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4422DC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марта 1944 года было получено:</w:t>
      </w:r>
    </w:p>
    <w:p w14:paraId="49E42B8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ЛИЧНО И СТРОГО СЕКРЕТНО ПОСЛАНИЕ ОТ г-на ЧЕРЧИЛЛЯ МАРШАЛУ СТАЛИНУ</w:t>
      </w:r>
    </w:p>
    <w:p w14:paraId="51669EE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 будете рады узнать о том, что самый последний конвой, направленный в Россию, уже благополучно прибыл по назначению и что по пути эскортом были наверняка потоплены четыре подводные лодки из той группы, которая его атаковала (7430).</w:t>
      </w:r>
    </w:p>
    <w:p w14:paraId="68EADAF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DFD1F0"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6985963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4E188E3" w14:textId="77777777" w:rsidR="00E870E7" w:rsidRPr="007224C3" w:rsidRDefault="00E870E7"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10 марта</w:t>
      </w:r>
      <w:r w:rsidRPr="007224C3">
        <w:rPr>
          <w:rFonts w:ascii="Times New Roman" w:hAnsi="Times New Roman"/>
          <w:color w:val="000000" w:themeColor="text1"/>
          <w:sz w:val="16"/>
          <w:szCs w:val="16"/>
        </w:rPr>
        <w:t xml:space="preserve"> в 1944 году было заказано 13 «YP-80A» установочной партии (номера 44-83023/83035). В целом они не отличались от </w:t>
      </w:r>
      <w:hyperlink r:id="rId73" w:tgtFrame="_blank" w:history="1">
        <w:r w:rsidRPr="007224C3">
          <w:rPr>
            <w:rFonts w:ascii="Times New Roman" w:hAnsi="Times New Roman"/>
            <w:color w:val="000000" w:themeColor="text1"/>
            <w:sz w:val="16"/>
            <w:szCs w:val="16"/>
          </w:rPr>
          <w:t xml:space="preserve">«ХР-80А» (15064). </w:t>
        </w:r>
      </w:hyperlink>
    </w:p>
    <w:p w14:paraId="1B4D476E" w14:textId="77777777" w:rsidR="00E870E7" w:rsidRPr="007224C3" w:rsidRDefault="00E870E7" w:rsidP="007224C3">
      <w:pPr>
        <w:spacing w:after="0" w:line="240" w:lineRule="auto"/>
        <w:jc w:val="both"/>
        <w:rPr>
          <w:rFonts w:ascii="Times New Roman" w:hAnsi="Times New Roman"/>
          <w:color w:val="000000" w:themeColor="text1"/>
          <w:sz w:val="16"/>
          <w:szCs w:val="16"/>
        </w:rPr>
      </w:pPr>
    </w:p>
    <w:p w14:paraId="59E14EE8" w14:textId="77777777" w:rsidR="008362FC" w:rsidRPr="007224C3" w:rsidRDefault="008362F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10–11 марта (ночь) 1944 102 британских Ланкастера бомбят четыре завода во Франции, потеряв один самолет (20373).</w:t>
      </w:r>
    </w:p>
    <w:p w14:paraId="339CFA6A" w14:textId="77777777" w:rsidR="008362FC" w:rsidRPr="007224C3" w:rsidRDefault="008362FC" w:rsidP="007224C3">
      <w:pPr>
        <w:spacing w:after="0" w:line="240" w:lineRule="auto"/>
        <w:jc w:val="both"/>
        <w:rPr>
          <w:rFonts w:ascii="Times New Roman" w:hAnsi="Times New Roman"/>
          <w:color w:val="0070C0"/>
          <w:sz w:val="16"/>
          <w:szCs w:val="16"/>
        </w:rPr>
      </w:pPr>
    </w:p>
    <w:p w14:paraId="7690ADD8" w14:textId="77777777" w:rsidR="008362FC" w:rsidRPr="007224C3" w:rsidRDefault="008362F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10 марта 1944 основана исландская авиакомпания Loftleidir (20373).</w:t>
      </w:r>
    </w:p>
    <w:p w14:paraId="276A1C40" w14:textId="77777777" w:rsidR="008362FC" w:rsidRPr="007224C3" w:rsidRDefault="008362FC" w:rsidP="007224C3">
      <w:pPr>
        <w:spacing w:after="0" w:line="240" w:lineRule="auto"/>
        <w:jc w:val="both"/>
        <w:rPr>
          <w:rFonts w:ascii="Times New Roman" w:hAnsi="Times New Roman"/>
          <w:color w:val="0070C0"/>
          <w:sz w:val="16"/>
          <w:szCs w:val="16"/>
        </w:rPr>
      </w:pPr>
    </w:p>
    <w:p w14:paraId="7EBA0E10"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марта 1944 Адольф Эйхман провел совещание СС-овцев по вопросам депортации венгерских евреев в Освенцим (4962).</w:t>
      </w:r>
    </w:p>
    <w:p w14:paraId="42BA8A7A"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95F3E2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марта 1944 в Греции группами сопротивления был образован Греческий временный комитет национального освобождения (3907,248).</w:t>
      </w:r>
    </w:p>
    <w:p w14:paraId="25E0B4E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893ED0"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043B882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AE425A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период 11-13 марта 1944 погода была ограниченно летной, но летать Ил-АМ-42 все же удавалось. Всего было выпол</w:t>
      </w:r>
      <w:r w:rsidRPr="007224C3">
        <w:rPr>
          <w:rFonts w:ascii="Times New Roman" w:hAnsi="Times New Roman"/>
          <w:color w:val="000000" w:themeColor="text1"/>
          <w:sz w:val="16"/>
          <w:szCs w:val="16"/>
        </w:rPr>
        <w:softHyphen/>
        <w:t>нено 15 взлетов и посадок для оп</w:t>
      </w:r>
      <w:r w:rsidRPr="007224C3">
        <w:rPr>
          <w:rFonts w:ascii="Times New Roman" w:hAnsi="Times New Roman"/>
          <w:color w:val="000000" w:themeColor="text1"/>
          <w:sz w:val="16"/>
          <w:szCs w:val="16"/>
        </w:rPr>
        <w:softHyphen/>
        <w:t>ределения взлетно-посадочных ха</w:t>
      </w:r>
      <w:r w:rsidRPr="007224C3">
        <w:rPr>
          <w:rFonts w:ascii="Times New Roman" w:hAnsi="Times New Roman"/>
          <w:color w:val="000000" w:themeColor="text1"/>
          <w:sz w:val="16"/>
          <w:szCs w:val="16"/>
        </w:rPr>
        <w:softHyphen/>
        <w:t>рактеристик самолета, три полета на стрельбу и бомбометание по назем</w:t>
      </w:r>
      <w:r w:rsidRPr="007224C3">
        <w:rPr>
          <w:rFonts w:ascii="Times New Roman" w:hAnsi="Times New Roman"/>
          <w:color w:val="000000" w:themeColor="text1"/>
          <w:sz w:val="16"/>
          <w:szCs w:val="16"/>
        </w:rPr>
        <w:softHyphen/>
        <w:t>ным целям, и определение скоро</w:t>
      </w:r>
      <w:r w:rsidRPr="007224C3">
        <w:rPr>
          <w:rFonts w:ascii="Times New Roman" w:hAnsi="Times New Roman"/>
          <w:color w:val="000000" w:themeColor="text1"/>
          <w:sz w:val="16"/>
          <w:szCs w:val="16"/>
        </w:rPr>
        <w:softHyphen/>
        <w:t>подъемности самолета по высотам (11427).</w:t>
      </w:r>
    </w:p>
    <w:p w14:paraId="1D85427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C52F40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11 марта 1944 заводской летчик-ис</w:t>
      </w:r>
      <w:r w:rsidRPr="007224C3">
        <w:rPr>
          <w:rFonts w:ascii="Times New Roman" w:hAnsi="Times New Roman"/>
          <w:color w:val="000000" w:themeColor="text1"/>
          <w:sz w:val="16"/>
          <w:szCs w:val="16"/>
        </w:rPr>
        <w:softHyphen/>
        <w:t>пытатель Н.Д.Фиксон выполнил пер</w:t>
      </w:r>
      <w:r w:rsidRPr="007224C3">
        <w:rPr>
          <w:rFonts w:ascii="Times New Roman" w:hAnsi="Times New Roman"/>
          <w:color w:val="000000" w:themeColor="text1"/>
          <w:sz w:val="16"/>
          <w:szCs w:val="16"/>
        </w:rPr>
        <w:softHyphen/>
        <w:t>вый полет на опытном экземпляре самолета Су-8. Затем последовал перерыв в испытаниях, вызванный неготовностью аэродрома. В конце апреля самолет был перевезен на завод № 289 для ус</w:t>
      </w:r>
      <w:r w:rsidRPr="007224C3">
        <w:rPr>
          <w:rFonts w:ascii="Times New Roman" w:hAnsi="Times New Roman"/>
          <w:color w:val="000000" w:themeColor="text1"/>
          <w:sz w:val="16"/>
          <w:szCs w:val="16"/>
        </w:rPr>
        <w:softHyphen/>
        <w:t>тановки вооружения. Первоначаль</w:t>
      </w:r>
      <w:r w:rsidRPr="007224C3">
        <w:rPr>
          <w:rFonts w:ascii="Times New Roman" w:hAnsi="Times New Roman"/>
          <w:color w:val="000000" w:themeColor="text1"/>
          <w:sz w:val="16"/>
          <w:szCs w:val="16"/>
        </w:rPr>
        <w:softHyphen/>
        <w:t>но подфюзеляжную батарею ос</w:t>
      </w:r>
      <w:r w:rsidRPr="007224C3">
        <w:rPr>
          <w:rFonts w:ascii="Times New Roman" w:hAnsi="Times New Roman"/>
          <w:color w:val="000000" w:themeColor="text1"/>
          <w:sz w:val="16"/>
          <w:szCs w:val="16"/>
        </w:rPr>
        <w:softHyphen/>
        <w:t>настили четырьмя пушками калибра 37 мм, которые затем в течение июня-июля заменили пушками калибра 45 мм. В августе в Ногинском филиале НИП АВ ВВС КА провели испыта</w:t>
      </w:r>
      <w:r w:rsidRPr="007224C3">
        <w:rPr>
          <w:rFonts w:ascii="Times New Roman" w:hAnsi="Times New Roman"/>
          <w:color w:val="000000" w:themeColor="text1"/>
          <w:sz w:val="16"/>
          <w:szCs w:val="16"/>
        </w:rPr>
        <w:softHyphen/>
        <w:t>ние вооружения самолета. При отстреле подфюзеляжной батареи произошла деформация обшивки внутренних сторон мотогондол, что потребовало их усиления. Заводские летные испытания самолета Су-8, небольшими пере</w:t>
      </w:r>
      <w:r w:rsidRPr="007224C3">
        <w:rPr>
          <w:rFonts w:ascii="Times New Roman" w:hAnsi="Times New Roman"/>
          <w:color w:val="000000" w:themeColor="text1"/>
          <w:sz w:val="16"/>
          <w:szCs w:val="16"/>
        </w:rPr>
        <w:softHyphen/>
        <w:t>рывами для доработок и устране</w:t>
      </w:r>
      <w:r w:rsidRPr="007224C3">
        <w:rPr>
          <w:rFonts w:ascii="Times New Roman" w:hAnsi="Times New Roman"/>
          <w:color w:val="000000" w:themeColor="text1"/>
          <w:sz w:val="16"/>
          <w:szCs w:val="16"/>
        </w:rPr>
        <w:softHyphen/>
        <w:t>ния неисправностей, продолжались до весны 1945 года. На государ</w:t>
      </w:r>
      <w:r w:rsidRPr="007224C3">
        <w:rPr>
          <w:rFonts w:ascii="Times New Roman" w:hAnsi="Times New Roman"/>
          <w:color w:val="000000" w:themeColor="text1"/>
          <w:sz w:val="16"/>
          <w:szCs w:val="16"/>
        </w:rPr>
        <w:softHyphen/>
        <w:t>ственные испытания самолет не передавался. После окончания войны интерес к штурмовику Су-8 пропал.</w:t>
      </w:r>
    </w:p>
    <w:p w14:paraId="356921A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Бронированный штурмовик Су-8 с двумя двигателями М-71Ф, пред</w:t>
      </w:r>
      <w:r w:rsidRPr="007224C3">
        <w:rPr>
          <w:rFonts w:ascii="Times New Roman" w:hAnsi="Times New Roman"/>
          <w:color w:val="000000" w:themeColor="text1"/>
          <w:sz w:val="16"/>
          <w:szCs w:val="16"/>
        </w:rPr>
        <w:softHyphen/>
        <w:t>назначенный «для действий по мо-томехчастям и живой силе против</w:t>
      </w:r>
      <w:r w:rsidRPr="007224C3">
        <w:rPr>
          <w:rFonts w:ascii="Times New Roman" w:hAnsi="Times New Roman"/>
          <w:color w:val="000000" w:themeColor="text1"/>
          <w:sz w:val="16"/>
          <w:szCs w:val="16"/>
        </w:rPr>
        <w:softHyphen/>
        <w:t>ника», представлял собой моноплан смешанной конструкции со средне-расположенным крылом, двухкиле-вым разнесенным хвостовым опе</w:t>
      </w:r>
      <w:r w:rsidRPr="007224C3">
        <w:rPr>
          <w:rFonts w:ascii="Times New Roman" w:hAnsi="Times New Roman"/>
          <w:color w:val="000000" w:themeColor="text1"/>
          <w:sz w:val="16"/>
          <w:szCs w:val="16"/>
        </w:rPr>
        <w:softHyphen/>
        <w:t>рением и трехколесным убираю</w:t>
      </w:r>
      <w:r w:rsidRPr="007224C3">
        <w:rPr>
          <w:rFonts w:ascii="Times New Roman" w:hAnsi="Times New Roman"/>
          <w:color w:val="000000" w:themeColor="text1"/>
          <w:sz w:val="16"/>
          <w:szCs w:val="16"/>
        </w:rPr>
        <w:softHyphen/>
        <w:t>щимся шасси.</w:t>
      </w:r>
    </w:p>
    <w:p w14:paraId="1D3D3E2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Фюзеляж овального сечения тех</w:t>
      </w:r>
      <w:r w:rsidRPr="007224C3">
        <w:rPr>
          <w:rFonts w:ascii="Times New Roman" w:hAnsi="Times New Roman"/>
          <w:color w:val="000000" w:themeColor="text1"/>
          <w:sz w:val="16"/>
          <w:szCs w:val="16"/>
        </w:rPr>
        <w:softHyphen/>
        <w:t>нологически делился на три части: носовая часть была выполнена це</w:t>
      </w:r>
      <w:r w:rsidRPr="007224C3">
        <w:rPr>
          <w:rFonts w:ascii="Times New Roman" w:hAnsi="Times New Roman"/>
          <w:color w:val="000000" w:themeColor="text1"/>
          <w:sz w:val="16"/>
          <w:szCs w:val="16"/>
        </w:rPr>
        <w:softHyphen/>
        <w:t>ликом из броневой стали, средняя часть была дюралевой, а хвостовая - полумонокок с деревянным набором и фанерной обшивкой.</w:t>
      </w:r>
    </w:p>
    <w:p w14:paraId="5186AF1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Крыло - свободнонесущее тра</w:t>
      </w:r>
      <w:r w:rsidRPr="007224C3">
        <w:rPr>
          <w:rFonts w:ascii="Times New Roman" w:hAnsi="Times New Roman"/>
          <w:color w:val="000000" w:themeColor="text1"/>
          <w:sz w:val="16"/>
          <w:szCs w:val="16"/>
        </w:rPr>
        <w:softHyphen/>
        <w:t>пециевидной формы в плане, состо</w:t>
      </w:r>
      <w:r w:rsidRPr="007224C3">
        <w:rPr>
          <w:rFonts w:ascii="Times New Roman" w:hAnsi="Times New Roman"/>
          <w:color w:val="000000" w:themeColor="text1"/>
          <w:sz w:val="16"/>
          <w:szCs w:val="16"/>
        </w:rPr>
        <w:softHyphen/>
        <w:t>яло из центроплана и двух отъем</w:t>
      </w:r>
      <w:r w:rsidRPr="007224C3">
        <w:rPr>
          <w:rFonts w:ascii="Times New Roman" w:hAnsi="Times New Roman"/>
          <w:color w:val="000000" w:themeColor="text1"/>
          <w:sz w:val="16"/>
          <w:szCs w:val="16"/>
        </w:rPr>
        <w:softHyphen/>
        <w:t>ных консолей. Центроплан - цель</w:t>
      </w:r>
      <w:r w:rsidRPr="007224C3">
        <w:rPr>
          <w:rFonts w:ascii="Times New Roman" w:hAnsi="Times New Roman"/>
          <w:color w:val="000000" w:themeColor="text1"/>
          <w:sz w:val="16"/>
          <w:szCs w:val="16"/>
        </w:rPr>
        <w:softHyphen/>
        <w:t>нометаллический, консоли однолон-жеронной конструкции с дополни</w:t>
      </w:r>
      <w:r w:rsidRPr="007224C3">
        <w:rPr>
          <w:rFonts w:ascii="Times New Roman" w:hAnsi="Times New Roman"/>
          <w:color w:val="000000" w:themeColor="text1"/>
          <w:sz w:val="16"/>
          <w:szCs w:val="16"/>
        </w:rPr>
        <w:softHyphen/>
        <w:t>тельной стенкой. Лонжерон и стен</w:t>
      </w:r>
      <w:r w:rsidRPr="007224C3">
        <w:rPr>
          <w:rFonts w:ascii="Times New Roman" w:hAnsi="Times New Roman"/>
          <w:color w:val="000000" w:themeColor="text1"/>
          <w:sz w:val="16"/>
          <w:szCs w:val="16"/>
        </w:rPr>
        <w:softHyphen/>
        <w:t>ка - цельнометаллические, нервю</w:t>
      </w:r>
      <w:r w:rsidRPr="007224C3">
        <w:rPr>
          <w:rFonts w:ascii="Times New Roman" w:hAnsi="Times New Roman"/>
          <w:color w:val="000000" w:themeColor="text1"/>
          <w:sz w:val="16"/>
          <w:szCs w:val="16"/>
        </w:rPr>
        <w:softHyphen/>
        <w:t>ры деревянные, обшивка фанерная. Профили крыла МАСА-230 большой относительной толщины. Механиза</w:t>
      </w:r>
      <w:r w:rsidRPr="007224C3">
        <w:rPr>
          <w:rFonts w:ascii="Times New Roman" w:hAnsi="Times New Roman"/>
          <w:color w:val="000000" w:themeColor="text1"/>
          <w:sz w:val="16"/>
          <w:szCs w:val="16"/>
        </w:rPr>
        <w:softHyphen/>
        <w:t>ция крыла состояла из автомати</w:t>
      </w:r>
      <w:r w:rsidRPr="007224C3">
        <w:rPr>
          <w:rFonts w:ascii="Times New Roman" w:hAnsi="Times New Roman"/>
          <w:color w:val="000000" w:themeColor="text1"/>
          <w:sz w:val="16"/>
          <w:szCs w:val="16"/>
        </w:rPr>
        <w:softHyphen/>
        <w:t>ческих предкрылков, элеронов и посадочных щитков.</w:t>
      </w:r>
    </w:p>
    <w:p w14:paraId="36F708E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Хвостовое оперение - цельно</w:t>
      </w:r>
      <w:r w:rsidRPr="007224C3">
        <w:rPr>
          <w:rFonts w:ascii="Times New Roman" w:hAnsi="Times New Roman"/>
          <w:color w:val="000000" w:themeColor="text1"/>
          <w:sz w:val="16"/>
          <w:szCs w:val="16"/>
        </w:rPr>
        <w:softHyphen/>
        <w:t>металлическое, рули обтянуты по</w:t>
      </w:r>
      <w:r w:rsidRPr="007224C3">
        <w:rPr>
          <w:rFonts w:ascii="Times New Roman" w:hAnsi="Times New Roman"/>
          <w:color w:val="000000" w:themeColor="text1"/>
          <w:sz w:val="16"/>
          <w:szCs w:val="16"/>
        </w:rPr>
        <w:softHyphen/>
        <w:t>лотном.</w:t>
      </w:r>
    </w:p>
    <w:p w14:paraId="3E1D44B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Шасси - трехопорное с хвосто</w:t>
      </w:r>
      <w:r w:rsidRPr="007224C3">
        <w:rPr>
          <w:rFonts w:ascii="Times New Roman" w:hAnsi="Times New Roman"/>
          <w:color w:val="000000" w:themeColor="text1"/>
          <w:sz w:val="16"/>
          <w:szCs w:val="16"/>
        </w:rPr>
        <w:softHyphen/>
        <w:t>вым колесом. Основные опоры с колесами 1200x450 убирались в мотогондолы по потоку. Хвостовая опора с колесом 600x250 убира</w:t>
      </w:r>
      <w:r w:rsidRPr="007224C3">
        <w:rPr>
          <w:rFonts w:ascii="Times New Roman" w:hAnsi="Times New Roman"/>
          <w:color w:val="000000" w:themeColor="text1"/>
          <w:sz w:val="16"/>
          <w:szCs w:val="16"/>
        </w:rPr>
        <w:softHyphen/>
        <w:t>лась в фюзеляж по потоку. Система уборки и выпуска шасси — гидрав</w:t>
      </w:r>
      <w:r w:rsidRPr="007224C3">
        <w:rPr>
          <w:rFonts w:ascii="Times New Roman" w:hAnsi="Times New Roman"/>
          <w:color w:val="000000" w:themeColor="text1"/>
          <w:sz w:val="16"/>
          <w:szCs w:val="16"/>
        </w:rPr>
        <w:softHyphen/>
        <w:t>лическая.</w:t>
      </w:r>
    </w:p>
    <w:p w14:paraId="03E1B5D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Система управления самолетом смешанного типа.</w:t>
      </w:r>
    </w:p>
    <w:p w14:paraId="0509A3A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Силовая установка состояла из двух двигателей воздушного охлаж-</w:t>
      </w:r>
    </w:p>
    <w:p w14:paraId="5DD8913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дения М-71Ф, размещенных в мо</w:t>
      </w:r>
      <w:r w:rsidRPr="007224C3">
        <w:rPr>
          <w:rFonts w:ascii="Times New Roman" w:hAnsi="Times New Roman"/>
          <w:color w:val="000000" w:themeColor="text1"/>
          <w:sz w:val="16"/>
          <w:szCs w:val="16"/>
        </w:rPr>
        <w:softHyphen/>
        <w:t>тогондолах. Топливные баки распо</w:t>
      </w:r>
      <w:r w:rsidRPr="007224C3">
        <w:rPr>
          <w:rFonts w:ascii="Times New Roman" w:hAnsi="Times New Roman"/>
          <w:color w:val="000000" w:themeColor="text1"/>
          <w:sz w:val="16"/>
          <w:szCs w:val="16"/>
        </w:rPr>
        <w:softHyphen/>
        <w:t>лагались в мотогондолах и консо</w:t>
      </w:r>
      <w:r w:rsidRPr="007224C3">
        <w:rPr>
          <w:rFonts w:ascii="Times New Roman" w:hAnsi="Times New Roman"/>
          <w:color w:val="000000" w:themeColor="text1"/>
          <w:sz w:val="16"/>
          <w:szCs w:val="16"/>
        </w:rPr>
        <w:softHyphen/>
        <w:t>лях крыла.</w:t>
      </w:r>
    </w:p>
    <w:p w14:paraId="5846D5D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Пушечное вооружение включа</w:t>
      </w:r>
      <w:r w:rsidRPr="007224C3">
        <w:rPr>
          <w:rFonts w:ascii="Times New Roman" w:hAnsi="Times New Roman"/>
          <w:color w:val="000000" w:themeColor="text1"/>
          <w:sz w:val="16"/>
          <w:szCs w:val="16"/>
        </w:rPr>
        <w:softHyphen/>
        <w:t>ло подфюзеляжную батарею из четырех пушек калибра 45 мм с сум</w:t>
      </w:r>
      <w:r w:rsidRPr="007224C3">
        <w:rPr>
          <w:rFonts w:ascii="Times New Roman" w:hAnsi="Times New Roman"/>
          <w:color w:val="000000" w:themeColor="text1"/>
          <w:sz w:val="16"/>
          <w:szCs w:val="16"/>
        </w:rPr>
        <w:softHyphen/>
        <w:t>марным боекомплектом 200 патронов.</w:t>
      </w:r>
    </w:p>
    <w:p w14:paraId="3087BA6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Стрелковое вооружение состо</w:t>
      </w:r>
      <w:r w:rsidRPr="007224C3">
        <w:rPr>
          <w:rFonts w:ascii="Times New Roman" w:hAnsi="Times New Roman"/>
          <w:color w:val="000000" w:themeColor="text1"/>
          <w:sz w:val="16"/>
          <w:szCs w:val="16"/>
        </w:rPr>
        <w:softHyphen/>
        <w:t>яло из восьми пулеметов ШКАС (по четыре в каждой консоли крыла) с суммарным боекомплектом 4800 патронов, а также двух подвижных пулеметов в кабине стрелка-ради</w:t>
      </w:r>
      <w:r w:rsidRPr="007224C3">
        <w:rPr>
          <w:rFonts w:ascii="Times New Roman" w:hAnsi="Times New Roman"/>
          <w:color w:val="000000" w:themeColor="text1"/>
          <w:sz w:val="16"/>
          <w:szCs w:val="16"/>
        </w:rPr>
        <w:softHyphen/>
        <w:t>ста. УБТ - на верхней турели УТК-1 с боекомплектом 200 патронов и пулемета ШКАС на нижней люко</w:t>
      </w:r>
      <w:r w:rsidRPr="007224C3">
        <w:rPr>
          <w:rFonts w:ascii="Times New Roman" w:hAnsi="Times New Roman"/>
          <w:color w:val="000000" w:themeColor="text1"/>
          <w:sz w:val="16"/>
          <w:szCs w:val="16"/>
        </w:rPr>
        <w:softHyphen/>
        <w:t>вой турели ЛУ-100 с боекомплек</w:t>
      </w:r>
      <w:r w:rsidRPr="007224C3">
        <w:rPr>
          <w:rFonts w:ascii="Times New Roman" w:hAnsi="Times New Roman"/>
          <w:color w:val="000000" w:themeColor="text1"/>
          <w:sz w:val="16"/>
          <w:szCs w:val="16"/>
        </w:rPr>
        <w:softHyphen/>
        <w:t>том 700 патронов.</w:t>
      </w:r>
    </w:p>
    <w:p w14:paraId="62060A6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Бомбы размещались в шести бомбоотсеках центроплана. Каждый отсек вмещал одну бомбу калибра 100 кг или несколько авиабомб меньшего калибра. Под фюзеляжем предусматривалась подвеска трех бомб калибра 250 кг, либо двух бомб калибра 500 кг. Нормальная бомбовая нагрузка 1000 кг, в пере</w:t>
      </w:r>
      <w:r w:rsidRPr="007224C3">
        <w:rPr>
          <w:rFonts w:ascii="Times New Roman" w:hAnsi="Times New Roman"/>
          <w:color w:val="000000" w:themeColor="text1"/>
          <w:sz w:val="16"/>
          <w:szCs w:val="16"/>
        </w:rPr>
        <w:softHyphen/>
        <w:t>грузочном варианте - 1400 кг.</w:t>
      </w:r>
    </w:p>
    <w:p w14:paraId="1CCB0D1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Бронирование, общей массой 1680 кг, обеспечивало защиту пи</w:t>
      </w:r>
      <w:r w:rsidRPr="007224C3">
        <w:rPr>
          <w:rFonts w:ascii="Times New Roman" w:hAnsi="Times New Roman"/>
          <w:color w:val="000000" w:themeColor="text1"/>
          <w:sz w:val="16"/>
          <w:szCs w:val="16"/>
        </w:rPr>
        <w:softHyphen/>
        <w:t>лота, стрелка-радиста, моторов, крыльевых бензобаков, маслобаков, маслорадиаторов и втулок воздуш</w:t>
      </w:r>
      <w:r w:rsidRPr="007224C3">
        <w:rPr>
          <w:rFonts w:ascii="Times New Roman" w:hAnsi="Times New Roman"/>
          <w:color w:val="000000" w:themeColor="text1"/>
          <w:sz w:val="16"/>
          <w:szCs w:val="16"/>
        </w:rPr>
        <w:softHyphen/>
        <w:t>ных винтов (11853).</w:t>
      </w:r>
    </w:p>
    <w:p w14:paraId="34C1A06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333EEC9" w14:textId="77777777" w:rsidR="00E23799" w:rsidRPr="007224C3" w:rsidRDefault="00E23799"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11 марта 1944 заводской летчик-испытатель Н. Д. Фиксон выполнил первый полет на Су-8 2М-71ф. Затем аэродром развезло. Полеты прекратили (17500).</w:t>
      </w:r>
    </w:p>
    <w:p w14:paraId="7A5C3430" w14:textId="77777777" w:rsidR="00E23799" w:rsidRPr="007224C3" w:rsidRDefault="00E23799" w:rsidP="007224C3">
      <w:pPr>
        <w:spacing w:after="0" w:line="240" w:lineRule="auto"/>
        <w:jc w:val="both"/>
        <w:rPr>
          <w:rStyle w:val="77"/>
          <w:rFonts w:eastAsiaTheme="minorHAnsi"/>
          <w:color w:val="000000" w:themeColor="text1"/>
          <w:sz w:val="16"/>
          <w:szCs w:val="16"/>
        </w:rPr>
      </w:pPr>
    </w:p>
    <w:p w14:paraId="3E4B04D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марта 1944 завершились гос. испытания Як-9У с ВК-105ПФ2 с ВЯ эталона на 1944, который начал летать с 17 января 1944, а с 2 по 25 января 1944 испытывался на земле (65,146). Летал В.Хомяков (4237,32).</w:t>
      </w:r>
    </w:p>
    <w:p w14:paraId="5F063A3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F46F6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марта 1944 Розанов и Степанец подписали Журнал наблюдений за проектированием, постройкой и эксплоатацией МиГ-5 2АМ-37 и 2М-82 (990,2).</w:t>
      </w:r>
    </w:p>
    <w:p w14:paraId="186396D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Решение Правительства План опытного стро-ва, утвержденный Правительством 25 ноября 1940 № 480 (или 380)</w:t>
      </w:r>
    </w:p>
    <w:p w14:paraId="3F9DB12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Тип самолета - одноместный двухмоторный истребитель одноместный совповождения</w:t>
      </w:r>
    </w:p>
    <w:p w14:paraId="1FA3291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Тип мотора - АМ-37</w:t>
      </w:r>
    </w:p>
    <w:p w14:paraId="516B7EF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Срок изготовления - Срок предъявления на госиспытания:</w:t>
      </w:r>
    </w:p>
    <w:p w14:paraId="23F1B08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1-й экз. - 1.8.41 г.</w:t>
      </w:r>
    </w:p>
    <w:p w14:paraId="0A0D0D3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2-й экз. - 1.9.41 г.</w:t>
      </w:r>
    </w:p>
    <w:p w14:paraId="31C1EF3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3-й экз. - 1.11.41 г.</w:t>
      </w:r>
    </w:p>
    <w:p w14:paraId="78022BA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 1 НКАП</w:t>
      </w:r>
    </w:p>
    <w:p w14:paraId="065275E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Особеннгости, указанные постановлением Правительства СССР: - Построить с-т ДИС-200 (МиГ-5) в 3-х экз.</w:t>
      </w:r>
    </w:p>
    <w:p w14:paraId="2480C6C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 скор. - 635 км/час</w:t>
      </w:r>
    </w:p>
    <w:p w14:paraId="7B558C5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 посадочная - 126 км/час</w:t>
      </w:r>
    </w:p>
    <w:p w14:paraId="1BF4CDB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Дальность на 0,8 макс. - 2000 км</w:t>
      </w:r>
    </w:p>
    <w:p w14:paraId="19852B5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Высота - 11000</w:t>
      </w:r>
    </w:p>
    <w:p w14:paraId="24DD83F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Вооружение:</w:t>
      </w:r>
    </w:p>
    <w:p w14:paraId="611CC49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Батарею 4хШКАС по 1200 патронов на каждый</w:t>
      </w:r>
    </w:p>
    <w:p w14:paraId="27AECC9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2хБС с емкостью патронов 550 шт. на каждый</w:t>
      </w:r>
    </w:p>
    <w:p w14:paraId="77EBA0B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1х23 мм (Таубина)</w:t>
      </w:r>
    </w:p>
    <w:p w14:paraId="25822B0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Бомбовая нагрузка в счет перегрузки - 1000 кг</w:t>
      </w:r>
    </w:p>
    <w:p w14:paraId="0DB8B5F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Торпеда 1000 кг или 2х500 бомб (990,2).</w:t>
      </w:r>
    </w:p>
    <w:p w14:paraId="022A384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Пом. Вед. И Алексеенко</w:t>
      </w:r>
    </w:p>
    <w:p w14:paraId="28BCAF7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ТТТ</w:t>
      </w:r>
    </w:p>
    <w:p w14:paraId="69A4354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Ответств. За составление ТТТ ви3р Онищенко и ви3р Алексеенко</w:t>
      </w:r>
    </w:p>
    <w:p w14:paraId="5B9C0B5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ТТТ согласованы с ГК завода № 1</w:t>
      </w:r>
    </w:p>
    <w:p w14:paraId="0C6B740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ТТТ к ДИС МиГ с 2хАМ-37 утвердил 3 января 1941 П.В.Рычагов (990,3).</w:t>
      </w:r>
    </w:p>
    <w:p w14:paraId="114DFFB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Особые указания из ТТТ</w:t>
      </w:r>
    </w:p>
    <w:p w14:paraId="7857CF8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частичное бронирование л-ка и радиаторов, установка протектированных бензомаслобаков, заполнение б/б нейтральным газом,</w:t>
      </w:r>
    </w:p>
    <w:p w14:paraId="5BC1ECF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установка антиобледенителей,</w:t>
      </w:r>
    </w:p>
    <w:p w14:paraId="39ABFE0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обеспечение л-ку обзора вперед-вниз от горизонта 60 гр. И обеспечение возможности прицельного бомбометания с гор. Полета и с пикирования,</w:t>
      </w:r>
    </w:p>
    <w:p w14:paraId="163CD43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установка воздушного тормоза (макс. скор. пикирования снижается до 500 км/час под углом 70 гр)</w:t>
      </w:r>
    </w:p>
    <w:p w14:paraId="36A5357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Пом. Вед. И Алексеенко</w:t>
      </w:r>
    </w:p>
    <w:p w14:paraId="7B01E68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ТТТ разосланы 5-7 января 1941 </w:t>
      </w:r>
    </w:p>
    <w:p w14:paraId="12F4EAD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Пом. Вед. И Алексеенко</w:t>
      </w:r>
    </w:p>
    <w:p w14:paraId="58E2C77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Рассмотрение эскизного проекта: Распоряжение Нач. 3 Отд. НИИ ВВС КА Рудин</w:t>
      </w:r>
    </w:p>
    <w:p w14:paraId="0F0B46B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Отв. За составление закл. Ви3р Алексенко</w:t>
      </w:r>
    </w:p>
    <w:p w14:paraId="3EA4F1E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 3-го отделения ви3р Воеводин</w:t>
      </w:r>
    </w:p>
    <w:p w14:paraId="58E1552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составлении заключения участвовали:</w:t>
      </w:r>
    </w:p>
    <w:p w14:paraId="578CAD6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части тактической п/пи Шауров</w:t>
      </w:r>
    </w:p>
    <w:p w14:paraId="4AE457E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части самолетостроительной ви3р Алексенко</w:t>
      </w:r>
    </w:p>
    <w:p w14:paraId="350C0CF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части моторной ви3р Золотарев, вт1р Наливкин</w:t>
      </w:r>
    </w:p>
    <w:p w14:paraId="2A59F20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части вооружения ви1р Янчук</w:t>
      </w:r>
    </w:p>
    <w:p w14:paraId="57A6433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части оборудования ви3р Самошин</w:t>
      </w:r>
    </w:p>
    <w:p w14:paraId="206D84E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Общая оценка предлагаемого объекта:</w:t>
      </w:r>
    </w:p>
    <w:p w14:paraId="249139D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основным ТТТ ст ДИС-200 предъявленным ТТТ не полностью удовлетворяет (по скорости, скороподъемности, потолку, маневренности)</w:t>
      </w:r>
    </w:p>
    <w:p w14:paraId="72639F8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ТТТ подписан в конце декабря 1940 Филиным</w:t>
      </w:r>
    </w:p>
    <w:p w14:paraId="72EAE18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Проектирование с-та проходило в октябре 1940. Заключение дано в октябре 1940. Заключение по проекту с-та дали:</w:t>
      </w:r>
    </w:p>
    <w:p w14:paraId="37DA741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всему с-ту ви3р Алнексеенко</w:t>
      </w:r>
    </w:p>
    <w:p w14:paraId="52A3BEC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части вооружения ви1р Янчук</w:t>
      </w:r>
    </w:p>
    <w:p w14:paraId="6EDA321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части оборулдования ви3р Самошин</w:t>
      </w:r>
    </w:p>
    <w:p w14:paraId="43C0110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Заключение подписано 14 декабря 1940 Нач. ГУАС ВВС Рычаговым (990,3)</w:t>
      </w:r>
    </w:p>
    <w:p w14:paraId="3A5A9C8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Макет самолета предъвлен 12 октября 1940</w:t>
      </w:r>
    </w:p>
    <w:p w14:paraId="4132BB9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Осмотрен 12 октября 1940. При осмотре макета присутствовал п/п Стефановский, в/пред Янчук, ви3р Алексеенко, Синя..., Сало..., ви2р Франьев, от з-да № 1 Микоян, Гуревич, от зав. № 24 Микулин, Флисский, Пикуль.</w:t>
      </w:r>
    </w:p>
    <w:p w14:paraId="525412B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Протокол макетной комиссии утвержден 12 ноября 1940 гла Гусевым (в одноместном варианте вместо 2-х местного, требуемого макетной комиссией)</w:t>
      </w:r>
    </w:p>
    <w:p w14:paraId="7E5F7F9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Календарный план постройки опытного строительства установил срок предъявления на госиспытания 1 августа 1941</w:t>
      </w:r>
    </w:p>
    <w:p w14:paraId="30AE1CF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сентября 1942 Опытным цехом на заводе № 1 им. Сталина (на бывшей территории завода № 1 в Москве) были построены 2 варианта с-та МИГ-5</w:t>
      </w:r>
    </w:p>
    <w:p w14:paraId="229A259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1-й - 2-х моторный одноместный истребитель с 2АМ-37, 3-х лопастным винтом ААВ-5-Л11У д. 3.1 м</w:t>
      </w:r>
    </w:p>
    <w:p w14:paraId="0EA1075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Вооружение: в центроплане 2хВЯ 23 мм и 4хБС 12.7мм с предусмотреной подвеской бомб до 1000 кг</w:t>
      </w:r>
    </w:p>
    <w:p w14:paraId="52A38D9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Полетный вес 8000, размах крыла 15,3, длина 11,2 м, пл. Крыла 38,9 м, цт 21.4% САХ (шасси выпущено, без горюч. Т боеприпасов) и 24.5% (норм. Вариант шасси выпущено), нагрузка 207 кг/м2, емкость бензобаков: фюзеляж 765 л, центроплан 2х685 = 1370 л., дополнительный 455 л, итого: 2590 л</w:t>
      </w:r>
    </w:p>
    <w:p w14:paraId="677CA74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 скорость на 7520 м = 560 км/час</w:t>
      </w:r>
    </w:p>
    <w:p w14:paraId="342A80E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проходил летные испытания в ЛИИ НКАП с 11 июля 1941 по 5 октября 1941 г.</w:t>
      </w:r>
    </w:p>
    <w:p w14:paraId="5D9FC82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самолета сняты моторы для переборки. Самолет находится на ЛИС завода в ангаре.</w:t>
      </w:r>
    </w:p>
    <w:p w14:paraId="55CF514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2-й - с 2М-82 с 4-х лопастным винтом АВ-118 д. 3.2</w:t>
      </w:r>
    </w:p>
    <w:p w14:paraId="0D6DA5A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Вооружение: в центроплане 2хВЯ 23 мм и 4хБС 12.7мм с предусмотреной подвеской бомб до 1000 кг</w:t>
      </w:r>
    </w:p>
    <w:p w14:paraId="4277B1A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самолете устраняются дефекты, после чегон будет передан в ЛИИ НКАП для производства летных испытаний.</w:t>
      </w:r>
    </w:p>
    <w:p w14:paraId="04E66AC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октября 1942 1-й вариант без изменений. 2-й вариант: производятся работы:</w:t>
      </w:r>
    </w:p>
    <w:p w14:paraId="169AD60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 переделка дренажа мотоустановки и электроуправление жалюзи,</w:t>
      </w:r>
    </w:p>
    <w:p w14:paraId="4D11381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переделка кинематики щитков шасси и костыля,</w:t>
      </w:r>
    </w:p>
    <w:p w14:paraId="28A2702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переделка дренажа бензосистемы,</w:t>
      </w:r>
    </w:p>
    <w:p w14:paraId="7AB543C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доводка вооружения,</w:t>
      </w:r>
    </w:p>
    <w:p w14:paraId="16F74C8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переделка вооружения.</w:t>
      </w:r>
    </w:p>
    <w:p w14:paraId="283F489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декабря 1942 2-й вариант с-та готов для летных испытаний, которые будет производиься в ЛИИ НКАП</w:t>
      </w:r>
    </w:p>
    <w:p w14:paraId="1ED053C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января 1943 начались летные испытания 2-го экз.</w:t>
      </w:r>
    </w:p>
    <w:p w14:paraId="392B808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января 1943 л Савкин выполнил первый вылет на 2 экз. и летал 15 мин.</w:t>
      </w:r>
    </w:p>
    <w:p w14:paraId="54EE25C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февраля 1942 произведен 2-й вылет (25 мин.) с целью проверки работы ВМГ</w:t>
      </w:r>
    </w:p>
    <w:p w14:paraId="4F2B939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февраля 1943 с 10 по 20 февраля 1943 полеты не производились из-за ненормальной работы карбюратора БП.</w:t>
      </w:r>
    </w:p>
    <w:p w14:paraId="55C8E07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марта 1943 25 февраля 1943 карбюраторы сняты с обоих моторов и отправлены в ЦИАМ на перерегулировку. По этой причине полетов не было (из донесения Князева от 27 февраля 1943).</w:t>
      </w:r>
    </w:p>
    <w:p w14:paraId="1658175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марта 1943 С 25 февраля 1943 по 5 марта 1943 карбюраторы проходили перерегулировку в ЦИАМе. С 6 марта 1943 по 9 марта 1943 карбюраторы устанавливались на моторах. После чего будет проба моторов на земле и в воздухе (из донесения Князева от 9 марта 1943).</w:t>
      </w:r>
    </w:p>
    <w:p w14:paraId="4C8328F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апреля 1943 8 апреля закончили установку новых (беспоплавковых) карбюраторов, проходивших перерегулировку в ЦИАМе. Моторы на земле работают нормально. С-т готов к летным испытаниям (из донесения Князева от 18 марта 1943).</w:t>
      </w:r>
    </w:p>
    <w:p w14:paraId="5EC82BF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связи с тем, что летный состав завода занят летными испытаниями других самолетов, полеты на с-те МиГ-5 не производились (из дорнесения Князева от 30 марта 1943).</w:t>
      </w:r>
    </w:p>
    <w:p w14:paraId="404C0D4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мая 1943 полеты не производились из-за отсутствия летного состава (из донесения Князева от 9 апреля 1943).</w:t>
      </w:r>
    </w:p>
    <w:p w14:paraId="40A564F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июня 1943 полеты не производились из-за отсутствия свободного летного состава (по указанию т. Микояна) (из донесения Князева от 29 апреля и 8 мая 1943).</w:t>
      </w:r>
    </w:p>
    <w:p w14:paraId="241FE06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июня 1943 12 мая 1943 была проверена работа ВМТ-3 на земле, все нормально. По указанию ГК полеты не производились (из донесения Князева от 19 мая 1943.</w:t>
      </w:r>
    </w:p>
    <w:p w14:paraId="75EFB1F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июня 1943 без изменений. С-т зачехлен и находится на ЛИС завода (ЦА им. Фрунзе) (из донесения Князева от 29 мая 1943)</w:t>
      </w:r>
    </w:p>
    <w:p w14:paraId="078C456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июня 1943 полеты не производились, с-т зачехлен</w:t>
      </w:r>
    </w:p>
    <w:p w14:paraId="2B502CA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19 июня 1943 без изменений </w:t>
      </w:r>
    </w:p>
    <w:p w14:paraId="3DCDFC8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Справка по самолету МиГ-5 2АМ-37. Опытный экз. был в первом полете в 1941. Заводские испытания проходили совместно с ЛИИ НКАП с 11 июня 1941 по 5 октября 1941. В результате испытаний выяснено: с-т МиГ-5 с АМ-37 для серийного производства рекомендован быть не может. В январе 1943 с с-та сняты моторы. Планер находится в ангаре ЛИС завода.</w:t>
      </w:r>
    </w:p>
    <w:p w14:paraId="225CA1A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Справка по самолету МиГ-5 2М-82. Опытный экз. построен в 1942. Вооружение: 2зВЯ по 150 патр., 4хБС по 250 патр. Произведено 14 полетов. С-т подготовлен к летным испытаниям.</w:t>
      </w:r>
    </w:p>
    <w:p w14:paraId="56B3484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июня 1943 без изменений. С-т зачехлен и находится на ЛИС завода.</w:t>
      </w:r>
    </w:p>
    <w:p w14:paraId="36E7E0B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июля 1943 без изменений. С-т зачехлен и находится на ЛИС завода.</w:t>
      </w:r>
    </w:p>
    <w:p w14:paraId="78A4DD6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июля 1943 без изменений. С-т зачехлен и находится на ЛИС завода.</w:t>
      </w:r>
    </w:p>
    <w:p w14:paraId="67CE2A6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июля 1943 без изменений. С-т зачехлен и находится на ЛИС завода.</w:t>
      </w:r>
    </w:p>
    <w:p w14:paraId="6B3DB2F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августа 1943 без изменений. С-т зачехлен и находится на ЛИС завода.</w:t>
      </w:r>
    </w:p>
    <w:p w14:paraId="3907B01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сентября 1943 без изменений. С-т зачехлен и находится на ЛИС завода.</w:t>
      </w:r>
    </w:p>
    <w:p w14:paraId="76FBD7B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сентября 1943 без изменений. С-т зачехлен и находится на ЛИС завода.</w:t>
      </w:r>
    </w:p>
    <w:p w14:paraId="36908F5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сентября 1943 без изменений. С-т зачехлен и находится на ЛИС завода.</w:t>
      </w:r>
    </w:p>
    <w:p w14:paraId="62D86F4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октября 1943 По указанию наркома АП винты (2 шт.) сняты с самолета и отправлены в ЛИИ.</w:t>
      </w:r>
    </w:p>
    <w:p w14:paraId="24329D4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октября 1943 без изменений. С-т зачехлен и находится на ЛИС завода.</w:t>
      </w:r>
    </w:p>
    <w:p w14:paraId="44C7E75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октября 1943 без изменений. С-т зачехлен и находится на ЛИС завода.</w:t>
      </w:r>
    </w:p>
    <w:p w14:paraId="4402997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ноября 1943 без изменений. С-т зачехлен и находится на ЛИС завода.</w:t>
      </w:r>
    </w:p>
    <w:p w14:paraId="32C6788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ноября 1943 без изменений. С-т зачехлен и находится на ЛИС завода.</w:t>
      </w:r>
    </w:p>
    <w:p w14:paraId="030A5DB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января 1944 без изменений. С-т зачехлен и находится на ЛИС завода.</w:t>
      </w:r>
    </w:p>
    <w:p w14:paraId="3FB8D47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января 1944 без изменений. С-т зачехлен и находится на ЛИС завода. С-т не пригоден к полету, нет винтов</w:t>
      </w:r>
    </w:p>
    <w:p w14:paraId="30BBEDE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января 1944 без изменений. С-т зачехлен и находится на ЛИС завода.</w:t>
      </w:r>
    </w:p>
    <w:p w14:paraId="34A21CB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марта 1944 работы по доводке с-та не проводятся и не предполагаются. С-т зачехлен и находится на ЛИС завода (990,8).</w:t>
      </w:r>
    </w:p>
    <w:p w14:paraId="4A339C7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06B68F"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5196554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F536482"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марта 1944 провели первые стрельбы МЛ-20см, и после 33 выстрелов систему сняли с испытаний ввиду неудовлетворительной работы затвора. В ходе испытаний марта-апреля 1944 года были обнаружены производственные дефекты. Тем не менее 14 апреля МЛ-20см выдержала испытания на скоростной отстрел 60 выстрелов, произведя их за 39 минут вместо положенного часа. Всего же за март-май 1944 года орудие произвело 249 выстрелов, из них 196 — усиленным зарядом. Скорострельность достигала 2,9 выстрела в минуту.</w:t>
      </w:r>
    </w:p>
    <w:p w14:paraId="0D439A88"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итогам испытаний планировалось установить орудие в самоходку, но этого так и не произошло. Что же касается испытаний орудия, то они продолжались на заводе №172 до сентября 1944 года. В это время между НКТП, ГБТУ КА, НКТП и ГАУ шли споры относительно орудия. Наконец 2 октября 1944 года была дана команда отправить МЛ-20см на Кировский завод и установить в ИСУ-152. К середине октября, когда орудие доставили в Челябинск, выяснилось, что оно прибыло в недоработанном виде. В конце декабря ГАУ КА поставило перед заводом №172 вопрос о необходимости срочной доработки орудия и отправке конструкторов на ЧКЗ. Несмотря на это представители завода №172 прибыли в Челябинск только к середине февраля 1945 года. К тому моменту ситуация с модернизацией ИСУ вышла на новый уровень (18636).</w:t>
      </w:r>
    </w:p>
    <w:p w14:paraId="758C1BEF" w14:textId="77777777" w:rsidR="00750752" w:rsidRPr="007224C3" w:rsidRDefault="00750752" w:rsidP="007224C3">
      <w:pPr>
        <w:spacing w:after="0" w:line="240" w:lineRule="auto"/>
        <w:jc w:val="both"/>
        <w:rPr>
          <w:rFonts w:ascii="Times New Roman" w:hAnsi="Times New Roman"/>
          <w:color w:val="000000" w:themeColor="text1"/>
          <w:sz w:val="16"/>
          <w:szCs w:val="16"/>
        </w:rPr>
      </w:pPr>
    </w:p>
    <w:p w14:paraId="1B18996F"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марта 1944 вышло Распоряжение ГКО № 5348 [О демобилизации из КА 25 специалистов и квалифицированных рабочих для лаборатории № 2 АН СССР и освобождении от призыва сотрудников лаборатории.] (7197, 70).</w:t>
      </w:r>
    </w:p>
    <w:p w14:paraId="19C309AC"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A56D6D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марта 1944 вышло Постановление ГКО № 5349 О мерах неотложной помощи по восстановлению нефтебаз в Белорусской ССР. РГАНИР, Фонд ГКО, д. 217, лл. 71-75,76-78 (11012).</w:t>
      </w:r>
    </w:p>
    <w:p w14:paraId="207DABC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0340D26"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марта 1944 вышло Распоряжение ГКО № 5350 [О помощи НКУП и Главснабуглю при СНК СССР по вывозу и погрузке угля в Донбассе.] (7197, 79-80).</w:t>
      </w:r>
    </w:p>
    <w:p w14:paraId="37E91717"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4278E3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11 марта 1944 вышло Постановление ГКО № 5351 Об организации Краснодарского районного управления энергетического хозяйства Краснодарэнерго. РГАНИР, Фонд ГКО, д. 217, лл. 81-83 (11012).</w:t>
      </w:r>
    </w:p>
    <w:p w14:paraId="7C88C5E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61CFF8B"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марта 1944 вышло Распоряжение ГКО № 5353 [О мерах по обеспечению своевременного окончания строительства и ввода в действие цехов по производству эбонитовых баков для рудничных и танковых аккумуляторов на заводах № 702 и 705 НКРП.] (7197, 85-86).</w:t>
      </w:r>
    </w:p>
    <w:p w14:paraId="41843C0E"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900C6A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марта 1944 вышло Распоряжение ГКО № 5354. О мерах по обеспечению добычи на территории МНР вольфрамовых концентратов. РГАНИР, Фонд ГКО, д. 217, лл. 87-88 (11012).</w:t>
      </w:r>
    </w:p>
    <w:p w14:paraId="7DD16E7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68708B1"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марта 1944 вышло Распоряжение ГКО № 5355 [О мерах по использованию на полную мощность Челябинской, Орской и Омской электростанций.] (7197, 89-90).</w:t>
      </w:r>
    </w:p>
    <w:p w14:paraId="6565631D"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D98303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марта 1944 вышло Распоряжение ГКО № 5356. О создании запасов угля на Куйбышевской ГРЭС и Томской ГЭС на период весеннего паводка 1944 г. РГАНИР, Фонд ГКО, д. 217, лл. 91-92 (11012).</w:t>
      </w:r>
    </w:p>
    <w:p w14:paraId="527DADC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A808D6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марта 1944 вышло Распоряжение ГКО № 5357. О мерах по обеспечению кровельных заводов НКПСМ СССР волокнистым сырьем и полуфабрикатами. РГАНИР, Фонд ГКО, д. 217, лл. 93-94 (11012).</w:t>
      </w:r>
    </w:p>
    <w:p w14:paraId="70BC6CC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7A6AE8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марта 1944 вышло Постановление ГКО № 5358 Об обеспечении Наркомвоенморфлота средствами радиосвязи для вооружения подводных лодок. РГАНИР, Фонд ГКО, д. 217, лл. 95-98,99-100 (11012).</w:t>
      </w:r>
    </w:p>
    <w:p w14:paraId="2082DBA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73117E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марта 1944 вышло Постановление ГКО № 5359 Об обеспечении гидролизных заводов Главлесоспирта сырьем и древесным топливом в марте и во II квартале 1944 года. РГАНИР, Фонд ГКО, д. 217, лл. 101-103,104 (11012).</w:t>
      </w:r>
    </w:p>
    <w:p w14:paraId="116F571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76C89C2"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марта 1944 вышло Постановление ГКО № 5360 Об обеспечении действующей армии передвижными электростанциями для звуковых кинопроекционных аппаратов. (7197, 105-107,108-109).</w:t>
      </w:r>
    </w:p>
    <w:p w14:paraId="19EDBC1C"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0562F8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марта 1944 вышло Постановление ГКО № 5361 Об организации отдела радиолокации и радиолокационного полигона при НИИ спецслужб ВВС КА. РГАНИР, Фонд ГКО, д. 217, лл. 110-111,112-116 (11012).</w:t>
      </w:r>
    </w:p>
    <w:p w14:paraId="156B029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54F814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марта 1944 вышло Распоряжение ГКО № 5362. О переводе оборудования, материалов и 2000 рабочих, ИТР, служащих с семьями с Ульяновского на Миасский автозавоРГАНИР, Фонд ГКО, д. РГАНИР, Фонд ГКО, д. 217, лл. 117-118 (11012).</w:t>
      </w:r>
    </w:p>
    <w:p w14:paraId="161F1E2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2D512E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марта 1944 вышло Распоряжение ГКО № 5363. О выделении НКТМ лесосечного фонда в Челябинской обл. на 1944 г. РГАНИР, Фонд ГКО, д. 217, лл. 119 (11012).</w:t>
      </w:r>
    </w:p>
    <w:p w14:paraId="0342824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98DBD2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марта 1944 вышло Распоряжение ГКО № 5364. О мерах по обеспечению производства малолитражных бензиновых двигателей на Московском мотоциклетном заводе. РГАНИР, Фонд ГКО, д. 217, лл. 120-121 (11012).</w:t>
      </w:r>
    </w:p>
    <w:p w14:paraId="3D9D902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0B1027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марта 1944 г. вышло распоряжение ГКО № 5364 о мерах по обеспечению производства малолитражных бензиновых двигателей на ММЗ.</w:t>
      </w:r>
    </w:p>
    <w:p w14:paraId="01B93DB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марта 1946 г. ММЗ было поручено освоение производства мотоцикла «Москвич-М-1А».</w:t>
      </w:r>
    </w:p>
    <w:p w14:paraId="3A817A2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соответствии с пост. СМ СССР от 6.05.1951 г. ММЗ был перепрофилирован на производство бортовой радиоаппаратуры для ЗУР В-300 и переименован в ГС завод № 663 МПСС (ГС Завод № 663 МПСС, Московский велозавод ВСНХ, НКМ, Московский мотоциклетный завод (ММЗ), Московский приборный завод («Мосприбор») МРП, ГП, ФГУП «Московский приборный завод» /г. Москва Симоновская слобода; ул. Велозаводская/ /129348  г. Москва Ярославское ш., 19 тел. 188-64-38/). Мотоциклетное производство передано в Минск. Выпускал бортовую радиоаппаратуру для ракет и противоракет систем С-25, С-75, С-125, А- 35 и А-135.</w:t>
      </w:r>
    </w:p>
    <w:p w14:paraId="14393BB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1951 г. на завод переведен основной коллектив ПКБ-886 для освоения производства радиоаппаратуры, и образовано ПКБ завода.</w:t>
      </w:r>
    </w:p>
    <w:p w14:paraId="72B48F6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1965 г. завод № 663 переименован в Московский приборный завод («Мосприбор»), В 1972 г. «Мосприбор» вошел в состав ЦКБ «Алмаз». 26.03.1973 г. завод «Мосприбор», ОКБ-41 и СКБ-39 выведены из состава ЦКБ «Алмаз» и объединены в ЦНИИ «Комета», разместившемся на базе завода «Мосприбор». В 2004 г. ФГУП «Московский приборный завод» входил в состав Концерна радиостроения «Вега».</w:t>
      </w:r>
      <w:r w:rsidRPr="007224C3">
        <w:rPr>
          <w:rFonts w:ascii="Times New Roman" w:hAnsi="Times New Roman"/>
          <w:color w:val="000000" w:themeColor="text1"/>
          <w:sz w:val="16"/>
          <w:szCs w:val="16"/>
          <w:vertAlign w:val="superscript"/>
        </w:rPr>
        <w:t>102</w:t>
      </w:r>
    </w:p>
    <w:p w14:paraId="13EE5DE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(1951 г.)- И.З. Соколов (на протяжении 27 лет), (2000 г.)- В.А. Ковалев.</w:t>
      </w:r>
    </w:p>
    <w:p w14:paraId="3A95279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Производство: велосипеды (1932-41), мотоциклы: М-72 (1941-), «Москвич-М-1А» (1946-);</w:t>
      </w:r>
    </w:p>
    <w:p w14:paraId="071C4F9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радиоаппаратура для ЗУР В-ЗОО;</w:t>
      </w:r>
      <w:r w:rsidRPr="007224C3">
        <w:rPr>
          <w:rFonts w:ascii="Times New Roman" w:hAnsi="Times New Roman"/>
          <w:color w:val="000000" w:themeColor="text1"/>
          <w:sz w:val="16"/>
          <w:szCs w:val="16"/>
          <w:vertAlign w:val="superscript"/>
        </w:rPr>
        <w:t>104</w:t>
      </w:r>
      <w:r w:rsidRPr="007224C3">
        <w:rPr>
          <w:rFonts w:ascii="Times New Roman" w:hAnsi="Times New Roman"/>
          <w:color w:val="000000" w:themeColor="text1"/>
          <w:sz w:val="16"/>
          <w:szCs w:val="16"/>
        </w:rPr>
        <w:t xml:space="preserve"> космический РЖ обзора морской поверхности «Чайка» (1970-е); радиоприемники: «Москвич-В», «Звезда-54», «Маяк»; телевизор «Электроника 32ВТЦ-201».</w:t>
      </w:r>
    </w:p>
    <w:p w14:paraId="6426A3E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Проектно-конструкторское бюро (ПКБ) завода № 663 МПСС</w:t>
      </w:r>
    </w:p>
    <w:p w14:paraId="396BCB4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1951 г. на завод переведен основной коллектив ПКБ-886 для освоения производства радиоаппаратуры, и образовано ПКБ завода. В 1959 г. начата разработка контрольно-измерительной аппаратуры для контроля бортовых систем КА «ИС» и «УС». 9.12.1972 г. ПКБ было переведено в состав ЦКБ «Алмаз» и переименовано в СКБ-39.</w:t>
      </w:r>
    </w:p>
    <w:p w14:paraId="77618F1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Руководитель (1951 г.-)- И.З. Соколов, (1960 г.-)-  Г.И. Сосна.</w:t>
      </w:r>
      <w:r w:rsidRPr="007224C3">
        <w:rPr>
          <w:rFonts w:ascii="Times New Roman" w:hAnsi="Times New Roman"/>
          <w:color w:val="000000" w:themeColor="text1"/>
          <w:sz w:val="16"/>
          <w:szCs w:val="16"/>
          <w:vertAlign w:val="superscript"/>
        </w:rPr>
        <w:t>104</w:t>
      </w:r>
    </w:p>
    <w:p w14:paraId="74BB900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ЦНИИ «Комета» МРП, НПО, ЦНПО «Комета», ФГУП «Ордена Трудового Красного Знамени ЦНИИ «Комета» /115280  г. Москва ул. Велозаводская, 5 тел. 675-07-01/</w:t>
      </w:r>
    </w:p>
    <w:p w14:paraId="5A91C77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ЦНИИ «Комета» в ведении МРП образован 26.03.1973 г. на базе ОКБ-41, СКБ-39 ЦКБ «Алмаз» и завода «Мосприбор» с ПКБ, ставшего основной производственной базой ЦНИИ. СБ-410 ОКБ-41 преобразовано в СКБ- 32, СБ-411 - в СКБ-42, СБ-412 - в СКБ-43, отдел № 40 - в СКБ-40. Затем коллектив ОКБ-41 перебазировался из ЦКБ «Алмаз» на территорию завода «Мосприбор».</w:t>
      </w:r>
    </w:p>
    <w:p w14:paraId="259D24F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Продолжена разработка системы противоспутниковой обороны ИС-М, начатая 13.02.1973 г. По ПСМ от 14.11.1978 г. ИС-М принята в эксплуатацию, 1.06.1979 г. поставлена на боевое дежурство. 14.11.1978 г. начата разработка системы ИС-МУ с КА 14Ф10 перехвата маневрирующих целей, пост, правительства в 04.1991 г. она принята в эксплуатацию. Начата разработка системы ИС-МД перехвата геостационарных спутников.</w:t>
      </w:r>
    </w:p>
    <w:p w14:paraId="18A0460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1975 г. было принято решение о разработке системы УС-КМО, в 1978 г. в институте начаты работы по системе с геостационарным спутником. По указу Президента от 25.12.1996 г. система пнв.</w:t>
      </w:r>
    </w:p>
    <w:p w14:paraId="57AACDF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1979 г. на базе ЦНИИ «Комета» образовано НПО «Комета». В 1985 г. НПО преобразовано в Центральное НПО (ЦНПО) «Комета», в которое также вошли филиалы в Ереване, Рязани, Ленинграде (был в 2001 г.), Киеве, заводы в Алма-Ате и Вышнем Волочке, отдельные подразделения в Московской обл. и Тбилиси.</w:t>
      </w:r>
    </w:p>
    <w:p w14:paraId="4EAC2D4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Создана комплексная самолетная лаборатория «Шельф-5» на базе Ан-12. Принимал участие в программе создания ОК «Буран».</w:t>
      </w:r>
    </w:p>
    <w:p w14:paraId="3E5217F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1978 г. ЦНИИ определен головным по созданию системы морской космической разведки и целеуказания (МКРЦ), которую планировалось создать в два этапа: «Пирс-1»- обнаружение надводных кораблей, «Пирс-2»- обнаружение погруженных ПЛ. Создана система МКРЦ «Легенда».</w:t>
      </w:r>
      <w:r w:rsidRPr="007224C3">
        <w:rPr>
          <w:rFonts w:ascii="Times New Roman" w:hAnsi="Times New Roman"/>
          <w:color w:val="000000" w:themeColor="text1"/>
          <w:sz w:val="16"/>
          <w:szCs w:val="16"/>
          <w:vertAlign w:val="superscript"/>
        </w:rPr>
        <w:t>63</w:t>
      </w:r>
      <w:r w:rsidRPr="007224C3">
        <w:rPr>
          <w:rFonts w:ascii="Times New Roman" w:hAnsi="Times New Roman"/>
          <w:color w:val="000000" w:themeColor="text1"/>
          <w:sz w:val="16"/>
          <w:szCs w:val="16"/>
        </w:rPr>
        <w:t xml:space="preserve"> Разработан Главный информационный центр системы освещения обстановки ВМФ (в 2003-04 г. принят в эксплуатацию).</w:t>
      </w:r>
    </w:p>
    <w:p w14:paraId="6E6E65C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составе ЦНИИ: филиал - научно-технический внедренческий центр (НТВЦ).</w:t>
      </w:r>
    </w:p>
    <w:p w14:paraId="1C425CB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Указу Президента РФ № 1009 от 4.08.2004 г. вошел в число стратегических оборонных предприятий.</w:t>
      </w:r>
    </w:p>
    <w:p w14:paraId="38EC2DA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Работы (2005 г.): единая космическая система раннего обнаружения стартов БР (ЕКС); системы всепогодного космического мониторинга Мирового океана в интересах обнаружения надводных объектов; системы наблюдения и инспекции космических объектов; системы обнаружения техногенных катастроф; информационно- управляющие центры спецназначения (является головным по данным направлениям).</w:t>
      </w:r>
    </w:p>
    <w:p w14:paraId="57A0309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(1973 г.-)- академик (1984 г.) А.И. Савин. Гендиректор (-1999 г.)- А.И. Савин, (1999-2004 г.-)- В.П. Мисник.</w:t>
      </w:r>
    </w:p>
    <w:p w14:paraId="3774F14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1-й зам. гендиректора (2003 г.)- Б.С. Лобанов. Зам. гендиректора- Б.С. Лобанов.</w:t>
      </w:r>
    </w:p>
    <w:p w14:paraId="1C5974F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Ген. конструктор (03.1973-99 г.)- А.И. Савин, (1999-2005 г.-)- B.II. Мисник {26.05.1948-}.</w:t>
      </w:r>
    </w:p>
    <w:p w14:paraId="2EE8A30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ген. конструктора (2004 г.)-  Г.В. Давыдов.</w:t>
      </w:r>
    </w:p>
    <w:p w14:paraId="2DC272E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Научный руководитель (1999-2004 г.)- А.И. Савин.</w:t>
      </w:r>
    </w:p>
    <w:p w14:paraId="17BF907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инженер (1992-99 г.)- В.П. Мисник.</w:t>
      </w:r>
    </w:p>
    <w:p w14:paraId="2B16F39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конструкторы: (1973-82 г.-&gt; В. Г. Хлибко (УС-К, УС-КМО), (1.12.1973-2004 г.-)- К.А. Власко-Власов (ИС- М, УС-КМО), (1973-80 Г.)- В.В. Крохин, (1982 г.-)- Л.С. Легезо (ИС-МУ), (1999 г.-)- A.M. Бычков (УС-КМО), (1990-е)- С.А. Мишуков, В.Б. Фролов, С.И. Шамаев.</w:t>
      </w:r>
    </w:p>
    <w:p w14:paraId="2A8AA13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Зам. гл. конструкторов: (1975 г.-)- Б.С. Лобанов, В.М. Пожидаев, (1973 г.-)- С.И. Шамаев.</w:t>
      </w:r>
    </w:p>
    <w:p w14:paraId="2357CD3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Начальники: тематико-отраслевого подразделения (1973-80 г.)- В.В. Крохин; тематико-производственного центра (2004 г.)- Л.С. Легезо; НТВЦ- Б.С. Лобанов; НИО (1993-95 г.)- Ц. Г. Литовченко.</w:t>
      </w:r>
    </w:p>
    <w:p w14:paraId="7A698C9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Начальники отделов: радиоприемных устройств (1973-2004 г.-)- А.В. Гореликов; В.П. Мисник, В.М. Пожидаев, (1973 г.-)- С.И. Шамаев, (1973-2004 г.-)- К.С. Щеглов.</w:t>
      </w:r>
    </w:p>
    <w:p w14:paraId="3E42E76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Начальники секторов: В.П. Мисник, В.М. Пожидаев.</w:t>
      </w:r>
    </w:p>
    <w:p w14:paraId="27B51C8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Начальники лабораторий: (1973-93 г.)- Е. Г. Зелкин, (1970-е)- К.С. Щеглов.</w:t>
      </w:r>
    </w:p>
    <w:p w14:paraId="6A1488B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начальника лаборатории: (1970-е)-Л.П. Мизикин.</w:t>
      </w:r>
    </w:p>
    <w:p w14:paraId="30CE93C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Начальники бригад: (1970-е)-  Г.В. Давыдов.</w:t>
      </w:r>
      <w:r w:rsidRPr="007224C3">
        <w:rPr>
          <w:rFonts w:ascii="Times New Roman" w:hAnsi="Times New Roman"/>
          <w:color w:val="000000" w:themeColor="text1"/>
          <w:sz w:val="16"/>
          <w:szCs w:val="16"/>
          <w:vertAlign w:val="superscript"/>
        </w:rPr>
        <w:t>102</w:t>
      </w:r>
      <w:r w:rsidRPr="007224C3">
        <w:rPr>
          <w:rFonts w:ascii="Times New Roman" w:hAnsi="Times New Roman"/>
          <w:color w:val="000000" w:themeColor="text1"/>
          <w:sz w:val="16"/>
          <w:szCs w:val="16"/>
        </w:rPr>
        <w:t>'</w:t>
      </w:r>
      <w:r w:rsidRPr="007224C3">
        <w:rPr>
          <w:rFonts w:ascii="Times New Roman" w:hAnsi="Times New Roman"/>
          <w:color w:val="000000" w:themeColor="text1"/>
          <w:sz w:val="16"/>
          <w:szCs w:val="16"/>
          <w:vertAlign w:val="superscript"/>
        </w:rPr>
        <w:t>504</w:t>
      </w:r>
      <w:r w:rsidRPr="007224C3">
        <w:rPr>
          <w:rFonts w:ascii="Times New Roman" w:hAnsi="Times New Roman"/>
          <w:color w:val="000000" w:themeColor="text1"/>
          <w:sz w:val="16"/>
          <w:szCs w:val="16"/>
        </w:rPr>
        <w:t xml:space="preserve"> Начальники групп: (1974 г.-)- В.М. Пожидаев.</w:t>
      </w:r>
    </w:p>
    <w:p w14:paraId="0007057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Научные руководители НИР: А.В. Гореликов.</w:t>
      </w:r>
      <w:r w:rsidRPr="007224C3">
        <w:rPr>
          <w:rFonts w:ascii="Times New Roman" w:hAnsi="Times New Roman"/>
          <w:color w:val="000000" w:themeColor="text1"/>
          <w:sz w:val="16"/>
          <w:szCs w:val="16"/>
          <w:vertAlign w:val="superscript"/>
        </w:rPr>
        <w:t>ьо</w:t>
      </w:r>
    </w:p>
    <w:p w14:paraId="2869827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ЦКБ ВКРС МРП</w:t>
      </w:r>
    </w:p>
    <w:p w14:paraId="72BF001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1970-е  г. являлось головной организацией по космической системе телевизионной глобальной разведки (ТГР).</w:t>
      </w:r>
    </w:p>
    <w:p w14:paraId="2472AF2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Ген. Конструктор (1970-е)- А.И. Савин.</w:t>
      </w:r>
      <w:r w:rsidRPr="007224C3">
        <w:rPr>
          <w:rFonts w:ascii="Times New Roman" w:hAnsi="Times New Roman"/>
          <w:color w:val="000000" w:themeColor="text1"/>
          <w:sz w:val="16"/>
          <w:szCs w:val="16"/>
          <w:vertAlign w:val="superscript"/>
        </w:rPr>
        <w:t>120</w:t>
      </w:r>
    </w:p>
    <w:p w14:paraId="5EB5FAF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НИИ «Комета» /г. Киев/</w:t>
      </w:r>
    </w:p>
    <w:p w14:paraId="066A2F2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1979 г. вошел в состав ЦНПО «Вымпел» в качестве филиала.</w:t>
      </w:r>
    </w:p>
    <w:p w14:paraId="32A0897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(1950-е)- С.А. Гегечкори (С.Л. Берия).</w:t>
      </w:r>
      <w:r w:rsidRPr="007224C3">
        <w:rPr>
          <w:rFonts w:ascii="Times New Roman" w:hAnsi="Times New Roman"/>
          <w:color w:val="000000" w:themeColor="text1"/>
          <w:sz w:val="16"/>
          <w:szCs w:val="16"/>
          <w:vertAlign w:val="superscript"/>
        </w:rPr>
        <w:t>3</w:t>
      </w:r>
    </w:p>
    <w:p w14:paraId="53C69C4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конструктор (1950-е-90 г.-)- С.А. Гегечкори (С.Л. Берия) (11982).</w:t>
      </w:r>
    </w:p>
    <w:p w14:paraId="056742C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579184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марта 1944 вышло Постановление ГКО № 5365 О распространении постановления СНК СССР "Об упорядочении заработной платы рабочих Наркомстроя" на рабочих ГУОС Красной Армии, занятых на возведении оборонительных рубежей. РГАНИР, Фонд ГКО, д. 217, лл. 122 (11012).</w:t>
      </w:r>
    </w:p>
    <w:p w14:paraId="71A5CCD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0B0148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марта 1944 вышло Распоряжение ГКО № 5366. Об оставлении заключенных, отбывших наказание, для работы на предприятиях и стройках НКЦМ и об отсрочке их призыва в КА. РГАНИР, Фонд ГКО, д. 217, лл. 123 (11012).</w:t>
      </w:r>
    </w:p>
    <w:p w14:paraId="7E10FA6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C6410F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марта 1944 вышло Постановление ГКО № 5367 О мероприятиях по обеспечению программы строительства комбината "Североникель" Наркомцветмета в 1944 году. РГАНИР, Фонд ГКО, д. 217, лл. 124-127,128-129 (11012).</w:t>
      </w:r>
    </w:p>
    <w:p w14:paraId="55EB082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4A3A957"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марта 1944 вышло Постановление ГКО № 5368 Об организации производства комбинированных источников питания для войсковых радиостанций Красной Армии. (7197, 130-134,135-136).</w:t>
      </w:r>
    </w:p>
    <w:p w14:paraId="05A42FCC"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6CA59A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марта 1944 вышло Постановление ГКО № 5369 О восстановлении предприятий лесной промышленности в Белорусской ССР. РГАНИР, Фонд ГКО, д. 217, лл. 137-142,143-147 (11012).</w:t>
      </w:r>
    </w:p>
    <w:p w14:paraId="1BDD825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BDEA31E"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марта 1944 вышло Постановление ГКО № 5370 О мерах по развитию добычи озокерита на предприятиях Наркомнефти. (7197, 148-154,155-156).</w:t>
      </w:r>
    </w:p>
    <w:p w14:paraId="4724895E"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FB6C25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марта 1944 вышло Постановление ГКО № 5371 О восстановлении и вводе в эксплуатацию первой очереди Ново-Краматорского завода им. Сталина в Донбассе. РГАНИР, Фонд ГКО, д. 217, лл. 157-160,161-167 (11012).</w:t>
      </w:r>
    </w:p>
    <w:p w14:paraId="0149C89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6A0110F"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45BB30A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945A76D" w14:textId="77777777" w:rsidR="00E870E7" w:rsidRPr="007224C3" w:rsidRDefault="00E870E7"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11 марта</w:t>
      </w:r>
      <w:r w:rsidRPr="007224C3">
        <w:rPr>
          <w:rFonts w:ascii="Times New Roman" w:hAnsi="Times New Roman"/>
          <w:color w:val="000000" w:themeColor="text1"/>
          <w:sz w:val="16"/>
          <w:szCs w:val="16"/>
        </w:rPr>
        <w:t xml:space="preserve"> в 1944 году оперативная сводка Совинформбюро:</w:t>
      </w:r>
    </w:p>
    <w:p w14:paraId="4034E2C1" w14:textId="77777777" w:rsidR="00E870E7" w:rsidRPr="007224C3" w:rsidRDefault="00E870E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11 марта наши войска, преодолевая сопротивление и контратаки противника, продолжали вести уличные бои в городе Тарнополь.</w:t>
      </w:r>
    </w:p>
    <w:p w14:paraId="47EBDE01" w14:textId="77777777" w:rsidR="00E870E7" w:rsidRPr="007224C3" w:rsidRDefault="00E870E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Проскуровском направлении наши войска продолжали вести наступательные бои, в ходе которых заняли более 30 населённых пунктов, в том числе Зелёная, Криштофовка, Баглаи, Большая Бубновка, Педосы, Митинцы, Слобода Красиловская, Голюнки, Западинцы, Кузьмин, Печиски, Аркадиевцы, Давидковцы и железнодорожную станцию Красилов.</w:t>
      </w:r>
    </w:p>
    <w:p w14:paraId="3EB0A8AD" w14:textId="77777777" w:rsidR="00E870E7" w:rsidRPr="007224C3" w:rsidRDefault="00E870E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Северо-западнее, западнее и южнее города Умань наши войска, продолжая развивать наступление, овладели районным центром Киевской области Ладыжинка, атакже с боями заняли более 100 других населённых пунктов, в том числе крупные населённые пункты Балабановка, Княже-Крыныця, Корытна, Терлица, Нараевка, Великая Савустьяновка, Ивангород, Краснополка, Стражгород, Россоша, Кузьмина-Гребля, Оситна, Рыжёвка, Городница, Текуча, Крутенькое.</w:t>
      </w:r>
    </w:p>
    <w:p w14:paraId="1A43C64C" w14:textId="77777777" w:rsidR="00E870E7" w:rsidRPr="007224C3" w:rsidRDefault="00E870E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Северо-западнее и западнее города Кировоград наши войска вели наступательные бои, в ходе которых овладели районными центрами Кировоградской области городом Златополь, городом Новомиргород, Большая Виска, а также с боями заняли более 40 других населённых пунктов и среди них крупные населённые пункты Листопадово, Каменоватка, Мартынош, Панчево, Марьяновка, Ново-Александровка, Николаевка и железнодорожные станции Шестаковка, Марьяновка.</w:t>
      </w:r>
    </w:p>
    <w:p w14:paraId="351B1618" w14:textId="77777777" w:rsidR="00E870E7" w:rsidRPr="007224C3" w:rsidRDefault="00E870E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Северо-западнее и западнее города Кривой Рог наши войска с боями продвигались вперёд и заняли более 50 населённых пунктов, в том числе Ингуло-Каменка, Батызман, Александровка, Николо-Григорьевка, Богдановка, Кашировка, Тарасовка и железнодорожные станции Маржановка, Тимково, Висунь. Наши войска вплотнуюподошли к железнодорожному узлу Долинская.</w:t>
      </w:r>
    </w:p>
    <w:p w14:paraId="6B2B714E" w14:textId="77777777" w:rsidR="00E870E7" w:rsidRPr="007224C3" w:rsidRDefault="00E870E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и южнее Апостолово наши войска, продолжая наступление, овладели районным центром Николаевской области городом Берислав (на западном берегуДнепра) и с боями заняли более 60 других населённых пунктов, в том числе Горожено, Константиновка, Пески, Ново-Георгиевка, Мировка, Равнополье, Ново-Дмитриевка, Пятихатка, Борозенский, Суханова, Ульяновка, Михайловка, Дремайловка и железнодорожную станцию Блакитное.</w:t>
      </w:r>
    </w:p>
    <w:p w14:paraId="7CA6AE53" w14:textId="77777777" w:rsidR="00E870E7" w:rsidRPr="007224C3" w:rsidRDefault="00E870E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 разведка и в ряде пунктов бои местного значения.</w:t>
      </w:r>
    </w:p>
    <w:p w14:paraId="217AA30F" w14:textId="77777777" w:rsidR="00E870E7" w:rsidRPr="007224C3" w:rsidRDefault="00E870E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10 марта наши войска на всех фронтах подбили и уничтожили 98 немецких танков. В воздушных боях и огнём зенитной артиллерии сбито 49 самолётов противника.</w:t>
      </w:r>
    </w:p>
    <w:p w14:paraId="78CE487E" w14:textId="77777777" w:rsidR="00E870E7" w:rsidRPr="007224C3" w:rsidRDefault="00E870E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Проскуровском направлении наши войска продолжали вести наступательные бои. Части Н-ского соединения, преодолевая сопротивление противника, заняли ряд населённых пунктов. Захвачено у немцев 11 самоходных, 20 полевых и зенитных орудий, 3 танка, свыше 70 автомашин, 200 лошадей и 5 складов. В районе Давидковцы противник неоднократными контратаками танков и пехоты пытался задержать продвижение наших войск. Советские бойцы стремительными ударами с флангов разгромили немецкий гарнизон и заняли этот населённый пункт. Взято большое число пленных. За два дня боёв в этом районе подбито и сожжено до 60 немецких танков и самоходных орудий.</w:t>
      </w:r>
    </w:p>
    <w:p w14:paraId="1CC00602" w14:textId="77777777" w:rsidR="00E870E7" w:rsidRPr="007224C3" w:rsidRDefault="00E870E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Северо-западнее, западнее и южнее города Умань наши войска продолжали успешное наступление. Противник спешно сводит в боевые группы свои разгромленные дивизии и бросает в бой резервы, стремясь организовать оборону на выгодных рубежах. Все эти попытки врага терпят крах. Под ударами наших пехотинцев и танкистов немцы отступают, бросая танки, орудия и автомашины. Окраины и улицы города Умань, занятого вчера нашими войсками, забиты боевой техникой и транспортом немцев. Бойцы Н-ского гвардейского соединения, двигаясь за танками по липкой грязи и перетаскивая на руках пушки и снаряды, за день прошли до 20 километров. В боях с противником они уничтожили до 2.000 гитлеровцев. Захвачены большие трофеи. Только в одном населённом пункте гвардейцы захватили 15 танков, в том числе 7 «Тигров» и «Пантер». Сегодня наши войска заняли районный центр Киевской области Ладыжинку и более 100 других населённых пунктов. Освобождено свыше 20 тысяч советских граждан, которых немцы угоняли на каторгу в Германию.</w:t>
      </w:r>
    </w:p>
    <w:p w14:paraId="0DB33480" w14:textId="77777777" w:rsidR="00E870E7" w:rsidRPr="007224C3" w:rsidRDefault="00E870E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Северо-западнее и западнее города Кировоград наши войска с боями продвигались вперёд. Части Н-ского соединения преодолели укрепления немцев и заняли районный центр Кировоградской области город Златополь. Развивая успех, наши бойцы нанесли удар противнику, оборонявшемуся в городе Новомиргород, и в результате ожесточённой схватки овладели этим городом. Занято также свыше 40 других населённых пунктов. Противник понёс большие потери в людях и технике. Только в бою за город Златополь уничтожено до 800 гитлеровцев и захвачено на огневых позициях несколько артиллерийских батарей и склады боеприпасов противника.</w:t>
      </w:r>
    </w:p>
    <w:p w14:paraId="2EF1C7B3" w14:textId="77777777" w:rsidR="00E870E7" w:rsidRPr="007224C3" w:rsidRDefault="00E870E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Северо-западнее и западнее города Кривой Рог наши войска продолжали развивать наступление и, форсировав реку Лозоватка, вышли к важному железнодорожному узлу Долинская. В ходе боёв частями Н-ского соединения уничтожено до полка немецкой пехоты. На другом участке нашим танковым соединением за день боёв захвачено и уничтожено 40 танков и самоходных орудий, 16 бронетранспортёров и до 1.000 автомашин противника.</w:t>
      </w:r>
    </w:p>
    <w:p w14:paraId="0C86F685" w14:textId="77777777" w:rsidR="00E870E7" w:rsidRPr="007224C3" w:rsidRDefault="00E870E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и южнее города Апостолово наши войска, продолжая наступление, освободили от немецко-фашистских захватчиков более 60 населенных пунктов. Части Н-ского соединения ночью форсировали реку Днепр и в результате стремительной атаки заняли районный центр Николаевской области город Берислав. Бойцы другого нашего соединения, продвигаясь вперёд, истребили свыше батальона гитлеровцев и захватили 12 орудий, 49 автомашин и другие трофеи. Взяты пленные.</w:t>
      </w:r>
    </w:p>
    <w:p w14:paraId="30AC13A6" w14:textId="77777777" w:rsidR="00E870E7" w:rsidRPr="007224C3" w:rsidRDefault="00E870E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Авиацией Краснознамённого Балтийского флота в Финском заливе потоплен сторожевой корабль противника. Кроме того, подожжены два сторожевых корабля и тральщик немцев.</w:t>
      </w:r>
    </w:p>
    <w:p w14:paraId="547A9E25" w14:textId="77777777" w:rsidR="00E870E7" w:rsidRPr="007224C3" w:rsidRDefault="00E870E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Четыре партизанских отряда, действующих в Витебской области, напали на колонну немцев, направлявшуюся к линии фронта. Советские патриоты уничтожили 14 автомашин и истребили до 200 немецких солдат и офицеров (15065).</w:t>
      </w:r>
    </w:p>
    <w:p w14:paraId="7F11DF48" w14:textId="77777777" w:rsidR="00E870E7" w:rsidRPr="007224C3" w:rsidRDefault="00E870E7" w:rsidP="007224C3">
      <w:pPr>
        <w:spacing w:after="0" w:line="240" w:lineRule="auto"/>
        <w:jc w:val="both"/>
        <w:rPr>
          <w:rFonts w:ascii="Times New Roman" w:hAnsi="Times New Roman"/>
          <w:color w:val="000000" w:themeColor="text1"/>
          <w:sz w:val="16"/>
          <w:szCs w:val="16"/>
        </w:rPr>
      </w:pPr>
    </w:p>
    <w:p w14:paraId="746E88FE" w14:textId="77777777" w:rsidR="00EC7700" w:rsidRPr="007224C3" w:rsidRDefault="00EC7700"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11 марта 1944 г. был налет особой группы 3</w:t>
      </w:r>
      <w:r w:rsidRPr="007224C3">
        <w:rPr>
          <w:rFonts w:ascii="Times New Roman" w:hAnsi="Times New Roman"/>
          <w:color w:val="0070C0"/>
          <w:sz w:val="16"/>
          <w:szCs w:val="16"/>
        </w:rPr>
        <w:noBreakHyphen/>
        <w:t>й эскадрилье 47</w:t>
      </w:r>
      <w:r w:rsidRPr="007224C3">
        <w:rPr>
          <w:rFonts w:ascii="Times New Roman" w:hAnsi="Times New Roman"/>
          <w:color w:val="0070C0"/>
          <w:sz w:val="16"/>
          <w:szCs w:val="16"/>
        </w:rPr>
        <w:noBreakHyphen/>
        <w:t>го ша из шести «спецштурмовиков» – так стали называть Ил</w:t>
      </w:r>
      <w:r w:rsidRPr="007224C3">
        <w:rPr>
          <w:rFonts w:ascii="Times New Roman" w:hAnsi="Times New Roman"/>
          <w:color w:val="0070C0"/>
          <w:sz w:val="16"/>
          <w:szCs w:val="16"/>
        </w:rPr>
        <w:noBreakHyphen/>
        <w:t>2 с двумя 37</w:t>
      </w:r>
      <w:r w:rsidRPr="007224C3">
        <w:rPr>
          <w:rFonts w:ascii="Times New Roman" w:hAnsi="Times New Roman"/>
          <w:color w:val="0070C0"/>
          <w:sz w:val="16"/>
          <w:szCs w:val="16"/>
        </w:rPr>
        <w:noBreakHyphen/>
        <w:t>мм пушками НС</w:t>
      </w:r>
      <w:r w:rsidRPr="007224C3">
        <w:rPr>
          <w:rFonts w:ascii="Times New Roman" w:hAnsi="Times New Roman"/>
          <w:color w:val="0070C0"/>
          <w:sz w:val="16"/>
          <w:szCs w:val="16"/>
        </w:rPr>
        <w:noBreakHyphen/>
        <w:t>37 – во главе с лейтенантом Юсупом Акаевым на порт Киик</w:t>
      </w:r>
      <w:r w:rsidRPr="007224C3">
        <w:rPr>
          <w:rFonts w:ascii="Times New Roman" w:hAnsi="Times New Roman"/>
          <w:color w:val="0070C0"/>
          <w:sz w:val="16"/>
          <w:szCs w:val="16"/>
        </w:rPr>
        <w:noBreakHyphen/>
        <w:t>Атлама, где базировались шесть немецких торпедных катеров. В первом ударе участвовали 25 Ил</w:t>
      </w:r>
      <w:r w:rsidRPr="007224C3">
        <w:rPr>
          <w:rFonts w:ascii="Times New Roman" w:hAnsi="Times New Roman"/>
          <w:color w:val="0070C0"/>
          <w:sz w:val="16"/>
          <w:szCs w:val="16"/>
        </w:rPr>
        <w:noBreakHyphen/>
        <w:t>2, 16 Як</w:t>
      </w:r>
      <w:r w:rsidRPr="007224C3">
        <w:rPr>
          <w:rFonts w:ascii="Times New Roman" w:hAnsi="Times New Roman"/>
          <w:color w:val="0070C0"/>
          <w:sz w:val="16"/>
          <w:szCs w:val="16"/>
        </w:rPr>
        <w:noBreakHyphen/>
        <w:t>9 из 6</w:t>
      </w:r>
      <w:r w:rsidRPr="007224C3">
        <w:rPr>
          <w:rFonts w:ascii="Times New Roman" w:hAnsi="Times New Roman"/>
          <w:color w:val="0070C0"/>
          <w:sz w:val="16"/>
          <w:szCs w:val="16"/>
        </w:rPr>
        <w:noBreakHyphen/>
        <w:t>го гв. иап и 10 ЛаГГ</w:t>
      </w:r>
      <w:r w:rsidRPr="007224C3">
        <w:rPr>
          <w:rFonts w:ascii="Times New Roman" w:hAnsi="Times New Roman"/>
          <w:color w:val="0070C0"/>
          <w:sz w:val="16"/>
          <w:szCs w:val="16"/>
        </w:rPr>
        <w:noBreakHyphen/>
        <w:t>3 из 25</w:t>
      </w:r>
      <w:r w:rsidRPr="007224C3">
        <w:rPr>
          <w:rFonts w:ascii="Times New Roman" w:hAnsi="Times New Roman"/>
          <w:color w:val="0070C0"/>
          <w:sz w:val="16"/>
          <w:szCs w:val="16"/>
        </w:rPr>
        <w:noBreakHyphen/>
        <w:t>го иап, а во втором – 50 самолетов, в том числе 24 «горбатых». Однако в итоге катера так и не пострадали (23199).</w:t>
      </w:r>
    </w:p>
    <w:p w14:paraId="4F8A7CAC" w14:textId="77777777" w:rsidR="00EC7700" w:rsidRPr="007224C3" w:rsidRDefault="00EC7700" w:rsidP="007224C3">
      <w:pPr>
        <w:spacing w:after="0" w:line="240" w:lineRule="auto"/>
        <w:jc w:val="both"/>
        <w:rPr>
          <w:rFonts w:ascii="Times New Roman" w:hAnsi="Times New Roman"/>
          <w:color w:val="0070C0"/>
          <w:sz w:val="16"/>
          <w:szCs w:val="16"/>
        </w:rPr>
      </w:pPr>
    </w:p>
    <w:p w14:paraId="6BAFD84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марта 1944 года советские летчики провели два налета на порт Киик-Атлама, где базировались шесть торпедных катеров. В первом налете участвовали 25 Илов-2 из 47-го ШАП, вооруженных 37-мм пушками, 16 Як-9 из 6-го гиап, а также 10 ЛаГГ-3 из 25-го ИАП. Во втором налете участвовали 24 Ила, 14 Яков и 12 ЛаГГов. Истребителям удалось сбить три немецких "мессера", катера остались невредимыми (2691).</w:t>
      </w:r>
    </w:p>
    <w:p w14:paraId="5409C14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48FA18" w14:textId="77777777" w:rsidR="00750752" w:rsidRPr="007224C3" w:rsidRDefault="00750752" w:rsidP="007224C3">
      <w:pPr>
        <w:pStyle w:val="ae"/>
        <w:spacing w:before="0" w:after="0"/>
        <w:jc w:val="both"/>
        <w:textAlignment w:val="baseline"/>
        <w:rPr>
          <w:color w:val="000000" w:themeColor="text1"/>
          <w:sz w:val="16"/>
          <w:szCs w:val="16"/>
        </w:rPr>
      </w:pPr>
      <w:r w:rsidRPr="007224C3">
        <w:rPr>
          <w:color w:val="000000" w:themeColor="text1"/>
          <w:sz w:val="16"/>
          <w:szCs w:val="16"/>
        </w:rPr>
        <w:t>11 марта 1944 г. налеты на порт Киик-Атлама, где базировались шесть немецких торпедных катеров стали первой операцией с участием особой группы из шести «спецштурмовиков» — так стали называть Ил-2 с двумя 37-мм пушками НС-37 — во главе с лейтенантом Юсупом Акаевым. В первом ударе участвовали 25 Ил-2, 16 Як-9 из 6-го гв. иап и 10 ЛаГГ-3 из 25-го иап, а во втором — 50 самолетов, в том числе 24 «горбатых». Однако в итоге катера так и не пострадали (19522).</w:t>
      </w:r>
    </w:p>
    <w:p w14:paraId="2BAF25C4" w14:textId="77777777" w:rsidR="00750752" w:rsidRPr="007224C3" w:rsidRDefault="00750752" w:rsidP="007224C3">
      <w:pPr>
        <w:pStyle w:val="ae"/>
        <w:spacing w:before="0" w:after="0"/>
        <w:jc w:val="both"/>
        <w:textAlignment w:val="baseline"/>
        <w:rPr>
          <w:color w:val="000000" w:themeColor="text1"/>
          <w:sz w:val="16"/>
          <w:szCs w:val="16"/>
        </w:rPr>
      </w:pPr>
    </w:p>
    <w:p w14:paraId="794888C5"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марта 1944 вышло Распоряжение ГКО № 5352 [О продаже Архангельским облисполкомом 500 оленей с нартами НКО для КФ.] (7197, 84).</w:t>
      </w:r>
    </w:p>
    <w:p w14:paraId="6EB3F316"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8818736"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6C2CCB9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D8BBA8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марта 1944 250 тыс. китайцев начали строить аэродромы с полосой 1800 м для В-29 в Китае, чтобы принимать на промежуточные посадки самолеты, летающие бомбить Японию (1051,25).</w:t>
      </w:r>
    </w:p>
    <w:p w14:paraId="447E752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620D6C"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46A9CC6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B13D2B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марта 1944 вышло постановление ГКО N 5376сс о выпуске Як-9 с М-107А на 153 заводе (1629,56).</w:t>
      </w:r>
    </w:p>
    <w:p w14:paraId="428809B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E91A0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марта 1944 вышло Постановление ГКО № 5376 О производстве самолетов-истребителей Як-9 с мотором М-107 А на заводе № 153 Наркомавиапрома. РГАНИР, Фонд ГКО, д. 218, лл. 108-109 (11012).</w:t>
      </w:r>
    </w:p>
    <w:p w14:paraId="44985E0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45B0FB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марта 1944 г. вышло постановление ГКО №5376, которым в производство истребителей Як-9У М-107А вовлекался еще один за-зод - № 153 им. В.П.Чкалова в Новосибирске. Огоомному предприятию устанавливали достаточно “мягкий” график освоения новой машины: первые три Як-9 с мотором ВК-107А должны были сойти со сборочной линии в мае 1944 г., правда в конце этого года завод должен был выйти на темп выпуска 10 таких истребителей в сутки. При этом Правительство требовало, чтобы работа велась "без снижения достигнутого уровня выпуска в 17 Як-9 ежесуточно". Пятый, и наиболее крупный из •яковлевских” авиазаводов включался в освоение машин последнего поколения (4842).</w:t>
      </w:r>
    </w:p>
    <w:p w14:paraId="5477115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E1D88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марта 1944 г. Комиссия 25 ЗАЛ на аэродроме Сартачалы осмотрела 32 самолета "Харрикейн" IID. Самолеты признаны пригодными к боевому использованию. Порезы на покрышках шасси и выбоины на деревянных винтах вызваны каменистым покрытием аэродрома. Неисправности мотора считать единичными. Комиссия считает, что после устранения дефектов самолеты пригодны к боевым действиям" (из акта комиссии). Хотя испытания подтвердили положительные стороны "Харрикейна" IID - устойчивость как орудийной платформы и высокую бронепробиваемость 40-мм пушек, отношение к этим самолетам ВВС КА в 1944 г. было негативным. Иосиф Виссарионович Сталин, по воспоминаниям Г.К.Жукова, высказался и вовсе по-большевистски просто: "...А их "Харрикейны" - дрянь..." Командование 246-го ИАП пыталось отбиться от сомнительной чести повоевать на "Харрикейнах". Поскольку прямой отказ грозил путешествием на фронт в составе штрафбата, выбрали другой путь: инженер полка забросал командование ЗАП докладами о состоянии матчасти, которые выжали бы слезу даже из камня: дефекты моторов, битые винты, порезанные колеса, отсутствие запчастей, негодные приборы, а главное -отклеивающаяся, местами даже гнилая перкаль. Последний дефект был самый серьезный и единственный реальный. Но у ЗАПа был свой план по учебной подготовке (3187).</w:t>
      </w:r>
    </w:p>
    <w:p w14:paraId="513B9DC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210873"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494E1B3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476D52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марта 1944 г. ГКО при</w:t>
      </w:r>
      <w:r w:rsidRPr="007224C3">
        <w:rPr>
          <w:rFonts w:ascii="Times New Roman" w:hAnsi="Times New Roman"/>
          <w:color w:val="000000" w:themeColor="text1"/>
          <w:sz w:val="16"/>
          <w:szCs w:val="16"/>
        </w:rPr>
        <w:softHyphen/>
        <w:t>нял постановление "Об увеличении производства тяжелых танков, ар</w:t>
      </w:r>
      <w:r w:rsidRPr="007224C3">
        <w:rPr>
          <w:rFonts w:ascii="Times New Roman" w:hAnsi="Times New Roman"/>
          <w:color w:val="000000" w:themeColor="text1"/>
          <w:sz w:val="16"/>
          <w:szCs w:val="16"/>
        </w:rPr>
        <w:softHyphen/>
        <w:t>тиллерийских самоходных установок ИС, мощных танковых пушек и 122-, 152-мм снарядов". Постановление предписывало увеличить про</w:t>
      </w:r>
      <w:r w:rsidRPr="007224C3">
        <w:rPr>
          <w:rFonts w:ascii="Times New Roman" w:hAnsi="Times New Roman"/>
          <w:color w:val="000000" w:themeColor="text1"/>
          <w:sz w:val="16"/>
          <w:szCs w:val="16"/>
        </w:rPr>
        <w:softHyphen/>
        <w:t>изводство до 500 единиц в июле (в феврале было выпущено 150 танков и САУ) (10703).</w:t>
      </w:r>
    </w:p>
    <w:p w14:paraId="6DDB767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5D3390" w14:textId="77777777" w:rsidR="00E23799" w:rsidRPr="007224C3" w:rsidRDefault="00E23799" w:rsidP="007224C3">
      <w:pPr>
        <w:pStyle w:val="ae"/>
        <w:shd w:val="clear" w:color="auto" w:fill="FFFFFF"/>
        <w:spacing w:before="0" w:after="0"/>
        <w:jc w:val="both"/>
        <w:rPr>
          <w:color w:val="000000" w:themeColor="text1"/>
          <w:sz w:val="16"/>
          <w:szCs w:val="16"/>
        </w:rPr>
      </w:pPr>
      <w:r w:rsidRPr="007224C3">
        <w:rPr>
          <w:color w:val="000000" w:themeColor="text1"/>
          <w:sz w:val="16"/>
          <w:szCs w:val="16"/>
        </w:rPr>
        <w:t>12 марта 1944 появилось постановление ГКО №5378сс «Об увеличении производства тяжёлых танков, артиллерийских самоходных установок ИС, мощных танковых пушек и 122-152 мм снарядов». Оно было продублировано в приказе НКТП №154сс от 14 марта 1944 года. В соответствии с этими документами с 15 марта выпуск Т-34 на ЧКЗ прекращался, а объём ежемесячного производства ИС-2 и САУ на его базе постепенно должен был увеличиться до 500 штук в месяц. Кроме того, с апреля 1944 года начиналось производство ИСУ-122, причём постепенно эти машины должны были стать основными САУ на базе ИС-2.</w:t>
      </w:r>
    </w:p>
    <w:p w14:paraId="6D8FDDEC" w14:textId="77777777" w:rsidR="00E23799" w:rsidRPr="007224C3" w:rsidRDefault="00E23799" w:rsidP="007224C3">
      <w:pPr>
        <w:pStyle w:val="ae"/>
        <w:shd w:val="clear" w:color="auto" w:fill="FFFFFF"/>
        <w:spacing w:before="0" w:after="0"/>
        <w:jc w:val="both"/>
        <w:rPr>
          <w:color w:val="000000" w:themeColor="text1"/>
          <w:sz w:val="16"/>
          <w:szCs w:val="16"/>
        </w:rPr>
      </w:pPr>
      <w:r w:rsidRPr="007224C3">
        <w:rPr>
          <w:color w:val="000000" w:themeColor="text1"/>
          <w:sz w:val="16"/>
          <w:szCs w:val="16"/>
        </w:rPr>
        <w:t>Дополнительные 25 ИСУ-152 в месяц, указанные в постановлении ГКО №5378сс, серьёзно повлияли на производственную обстановку в марте. Несмотря на то, что в цехе СБ-2 в этом месяце удалось частично запустить конвейер по выпуску тяжёлых танков, производственные проблемы оставались. Из-за необходимости наращивания объёмов производства башенный и дефектный участок пришлось переводить в бывший цех СБ-34, ранее занимавшийся Т-34. Смонтированный в СБ-2 танк без башни должен был своим ходом отправляться в другой цех, где на него устанавливали башню и проводили дефектовку. Вместе с тем часть высвободившегося от производства Т-34 оборудования удалось отправить в другие цеха. Одновременно с этим продолжались работы по улучшению качества. К 1 апреля удалось внедрить примерно 50–55% решений по повышению качества, правда, в основном за счёт не трудоёмких работ.</w:t>
      </w:r>
    </w:p>
    <w:p w14:paraId="434192EE" w14:textId="77777777" w:rsidR="00E23799" w:rsidRPr="007224C3" w:rsidRDefault="00E23799" w:rsidP="007224C3">
      <w:pPr>
        <w:pStyle w:val="ae"/>
        <w:shd w:val="clear" w:color="auto" w:fill="FFFFFF"/>
        <w:spacing w:before="0" w:after="0"/>
        <w:jc w:val="both"/>
        <w:rPr>
          <w:color w:val="000000" w:themeColor="text1"/>
          <w:sz w:val="16"/>
          <w:szCs w:val="16"/>
        </w:rPr>
      </w:pPr>
      <w:r w:rsidRPr="007224C3">
        <w:rPr>
          <w:color w:val="000000" w:themeColor="text1"/>
          <w:sz w:val="16"/>
          <w:szCs w:val="16"/>
        </w:rPr>
        <w:t>В марте 1944 года ИС-2 лишились 2-снарядной подвесной укладки и получили подножку для сидения командира (17721).</w:t>
      </w:r>
    </w:p>
    <w:p w14:paraId="45AE9964" w14:textId="77777777" w:rsidR="00E23799" w:rsidRPr="007224C3" w:rsidRDefault="00E23799" w:rsidP="007224C3">
      <w:pPr>
        <w:spacing w:after="0" w:line="240" w:lineRule="auto"/>
        <w:jc w:val="both"/>
        <w:rPr>
          <w:rStyle w:val="77"/>
          <w:rFonts w:eastAsiaTheme="minorHAnsi"/>
          <w:color w:val="000000" w:themeColor="text1"/>
          <w:sz w:val="16"/>
          <w:szCs w:val="16"/>
        </w:rPr>
      </w:pPr>
    </w:p>
    <w:p w14:paraId="563F5E81"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марта 1944 года вышло в свет постановление ГКО №5378сс «Об увеличении производства тяжёлых танков, артиллерийских самоходных установок ИС, мощных танковых пушек и 122-152 мм снарядов». В нём новая САУ фигурировала как ИСУ-122, под этим индексом она и пошла в серийное производство. Согласно планам, первые 70 машин данного типа выпускались в апреле 1944 года, 100 — в мае, 120 — в июне, 175 — в июле и 200 — в августе. Одновременно снижался выпуск ИСУ-152: с 170 в марте до 75 в августе. К моменту подписания постановления первые результаты применения ИС-2 ещё не пришли, но было очевидно, что орудие Д-25 является лучшим средством борьбы с немецким «зверинцем» (18335).</w:t>
      </w:r>
    </w:p>
    <w:p w14:paraId="58195826" w14:textId="77777777" w:rsidR="00750752" w:rsidRPr="007224C3" w:rsidRDefault="00750752" w:rsidP="007224C3">
      <w:pPr>
        <w:spacing w:after="0" w:line="240" w:lineRule="auto"/>
        <w:jc w:val="both"/>
        <w:rPr>
          <w:rFonts w:ascii="Times New Roman" w:hAnsi="Times New Roman"/>
          <w:color w:val="000000" w:themeColor="text1"/>
          <w:sz w:val="16"/>
          <w:szCs w:val="16"/>
        </w:rPr>
      </w:pPr>
    </w:p>
    <w:p w14:paraId="5F57891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марта 1944 г. Постановлением ГКО установ</w:t>
      </w:r>
      <w:r w:rsidRPr="007224C3">
        <w:rPr>
          <w:rFonts w:ascii="Times New Roman" w:hAnsi="Times New Roman"/>
          <w:color w:val="000000" w:themeColor="text1"/>
          <w:sz w:val="16"/>
          <w:szCs w:val="16"/>
        </w:rPr>
        <w:softHyphen/>
        <w:t>ка ИСУ-122 была принята на вооружение Красной Армии. Серийное производство машины началось на ЧКЗ с апреля 1944 г. и продолжалось до сентября 1945 г. До 1 июня 1945 г. завод выпустил 1435 самоходных установок ИСУ-122, кото</w:t>
      </w:r>
      <w:r w:rsidRPr="007224C3">
        <w:rPr>
          <w:rFonts w:ascii="Times New Roman" w:hAnsi="Times New Roman"/>
          <w:color w:val="000000" w:themeColor="text1"/>
          <w:sz w:val="16"/>
          <w:szCs w:val="16"/>
        </w:rPr>
        <w:softHyphen/>
        <w:t>рые широко использовались в боях на завершающем этапе Великой Отечественной войны. Всего за время серийного производства было выпущено 1735 машин. Самоходная установка ИСУ-122 относилась к типу пол</w:t>
      </w:r>
      <w:r w:rsidRPr="007224C3">
        <w:rPr>
          <w:rFonts w:ascii="Times New Roman" w:hAnsi="Times New Roman"/>
          <w:color w:val="000000" w:themeColor="text1"/>
          <w:sz w:val="16"/>
          <w:szCs w:val="16"/>
        </w:rPr>
        <w:softHyphen/>
        <w:t>ностью бронированных самоходных установок с передним расположением броневой рубки. Она была выполнена на ба</w:t>
      </w:r>
      <w:r w:rsidRPr="007224C3">
        <w:rPr>
          <w:rFonts w:ascii="Times New Roman" w:hAnsi="Times New Roman"/>
          <w:color w:val="000000" w:themeColor="text1"/>
          <w:sz w:val="16"/>
          <w:szCs w:val="16"/>
        </w:rPr>
        <w:softHyphen/>
        <w:t>зе самоходной установки ИСУ-152 путем замены гаубицы-пушки МЛ-20С обр. 1937/43 гг. на 122-мм полевую пушку А-19 обр. 1931/37 гг. (устанавливалась до мая 1944 г.) (10703).</w:t>
      </w:r>
    </w:p>
    <w:p w14:paraId="3C33F92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0EAEC7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12 марта 1944 года Постановлением ГКО ИСУ-122 была принята на вооружение Красной Армии. Серийное производство машины началось на ЧКЗ с апреля 1944 года и продолжалось до сентября 1945-го. </w:t>
      </w:r>
    </w:p>
    <w:p w14:paraId="3F7D94A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ИСУ-122 представляла собой вариант САУ ИСУ-152, в котором 152-мм гаубица-пушка МЛ-20С была заменена на 122-мм пушку А-19 обр. 1931/37 г. При этом пришлось несколько изменить и подвижную бронировку орудия. Высота линии огня составляла 1790 мм. В мае 1944 года в конструкцию ствола пушки А-19 были внесены изменения, которые нарушили взаимозаменяемость новых стволов с ранее выпущенными. Модернизированное орудие получило наименование «122-мм самоходная пушка обр. 1931/44 г». Оба орудия имели поршневой затвор. Длина ствола составляла 46,3 калибра. Устройство пушки А-19 во многом было одинаково с МЛ-20С. Она отличалась от последней стволом меньшего калибра с увеличенной на 730 мм длиной, отсутствием дульного тормоза и меньшим числом нарезов. Для наведения орудия использовались подъемный механизм секторного типа и поворотный механизм винтового типа. Углы вертикальной наводки составляли от -3° до +22°, по горизонтали — в секторе 10°. Для предохранения подъемного механизма от инерционных нагрузок в его конструкцию было введено сдающее звено в виде конусной фрикционной муфты, размещенной между червячным колесом и шестерней подъемного механизма. При стрельбе использовались телескопический прицел </w:t>
      </w:r>
      <w:r w:rsidRPr="007224C3">
        <w:rPr>
          <w:rFonts w:ascii="Times New Roman" w:hAnsi="Times New Roman"/>
          <w:color w:val="000000" w:themeColor="text1"/>
          <w:sz w:val="16"/>
          <w:szCs w:val="16"/>
        </w:rPr>
        <w:lastRenderedPageBreak/>
        <w:t xml:space="preserve">СТ-18, который отличался от прицела СТ-10 только нарезкой шкал, и панорамный прицел с полунезависимой или с независимой линией прицеливания (панорама Герца). Дальность стрельбы прямой наводкой составляла 5000 м, наибольшая — 14 300 м. Скорострельность — 2 — 3 выстр./мин. </w:t>
      </w:r>
    </w:p>
    <w:p w14:paraId="4FBB955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 боекомплект установки входили 30 выстрелов раздельно-гильзового заря¬жания с бронебойно-трассирующим остроголовым снарядом БР-471 и бронебойно-трассирующим снарядом с баллистическим наконечником БР-471 Б, а также осколочно-фугасными пушечными гранатами: цельнокорпусной короткой ОФ-471Н, с привинтной головкой и длинной — ОФ-471. Начальная скорость бронебойного снаряда при массе 25 кг составляла 800 м/с. Дополнительно в боевом отделении укладывались два пистолета-пулемета ППШ (ППС) с боекомплектом 1491 патрон (21 диск) и 25 ручных гранат Ф-1. С октября 1944 года на части машин устанавливался зенитный пулемет ДШК с боекомплектом 250 патронов. В апреле 1944 года в КБ завода № 100 была создана самоходно-артиллерий-ская установка ИСУ-122С (ИСУ-122-2, объект 249), представлявшая собой модернизированный вариант ИСУ-122. В июне установка прошла испытания на АНИОПе в Гороховце, а 22 августа 1944 года была принята на вооружение. В том же месяце начали ее серийное производство на ЧКЗ параллельно с ИСУ-122 и ИСУ-152, которое продолжалось до сентября 1945 года. </w:t>
      </w:r>
    </w:p>
    <w:p w14:paraId="6A5D14E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ИСУ-122С была создана на базе ИСУ-122 и отличалась от нее установкой пушки Д-25С обр. 1944 г. с горизонтальным клиновым полуавтоматическим затвором и дульным тормозом. Высота линии огня составляла 1795 мм. Длина ствола — 48 калибров. За счет более компактных противооткатных устройств и казенной части пушки удалось повысить скорострельность — 6 выстр./мин. Углы вертикальной наводки составляли от -3° до +20°, по горизонтали — в секторе 10° (7°— вправо и 3° — влево). Прицелы пушки — телескопический ТШ-17 и панорама Герца. Дальность стрельбы прямой наводкой — 5000 м, максимальная — до 15 000 м. Боекомплект — такой же, как у пушки А-19. Внешне СУ-122С отличалась от СУ-122 стволом орудия и новой литой маской толщиной 120 — 150 мм. </w:t>
      </w:r>
    </w:p>
    <w:p w14:paraId="0FF8BEA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1944 по 1947 год было изготовлено 2790 самоходных установок ИСУ-152, 1735 — ИСУ-122 и 675 — ИСУ-122С. Таким образом, суммарный выпуск тяжелых артсамоходов — 5200 штук — превысил число изготовленных тяжелых танков ИС — 4499 единиц. Следует отметить, что, как и в случае с ИС-2, к выпуску самоходных орудий на его базе должен был подключиться Ленинградский Кировский завод. До 9 мая 1945 года там собрали первые пять ИСУ-152, а до конца года — еще сто. В 1946 и 1947 годах производство ИСУ-152 осуществлялось только на ЛКЗ (11638).</w:t>
      </w:r>
    </w:p>
    <w:p w14:paraId="54B6345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D024E6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период с 12 марта по 6 апреля 1944 г. танк "Объект 245" (за</w:t>
      </w:r>
      <w:r w:rsidRPr="007224C3">
        <w:rPr>
          <w:rFonts w:ascii="Times New Roman" w:hAnsi="Times New Roman"/>
          <w:color w:val="000000" w:themeColor="text1"/>
          <w:sz w:val="16"/>
          <w:szCs w:val="16"/>
        </w:rPr>
        <w:softHyphen/>
        <w:t>водское обозначение - ИС-4), вооруженный 100-мм пушкой Д-10Т за</w:t>
      </w:r>
      <w:r w:rsidRPr="007224C3">
        <w:rPr>
          <w:rFonts w:ascii="Times New Roman" w:hAnsi="Times New Roman"/>
          <w:color w:val="000000" w:themeColor="text1"/>
          <w:sz w:val="16"/>
          <w:szCs w:val="16"/>
        </w:rPr>
        <w:softHyphen/>
        <w:t>вода № 9 НКВ с баллистикой морской пушки Б-34 (длина ствола 56 ка</w:t>
      </w:r>
      <w:r w:rsidRPr="007224C3">
        <w:rPr>
          <w:rFonts w:ascii="Times New Roman" w:hAnsi="Times New Roman"/>
          <w:color w:val="000000" w:themeColor="text1"/>
          <w:sz w:val="16"/>
          <w:szCs w:val="16"/>
        </w:rPr>
        <w:softHyphen/>
        <w:t>либров, начальная скорость бронебойного снаряда 900 м/с) был предъявлен на Го</w:t>
      </w:r>
      <w:r w:rsidRPr="007224C3">
        <w:rPr>
          <w:rFonts w:ascii="Times New Roman" w:hAnsi="Times New Roman"/>
          <w:color w:val="000000" w:themeColor="text1"/>
          <w:sz w:val="16"/>
          <w:szCs w:val="16"/>
        </w:rPr>
        <w:softHyphen/>
        <w:t>сударственные полигонные испытания, которые не выдержал и по ре</w:t>
      </w:r>
      <w:r w:rsidRPr="007224C3">
        <w:rPr>
          <w:rFonts w:ascii="Times New Roman" w:hAnsi="Times New Roman"/>
          <w:color w:val="000000" w:themeColor="text1"/>
          <w:sz w:val="16"/>
          <w:szCs w:val="16"/>
        </w:rPr>
        <w:softHyphen/>
        <w:t>шению комиссии был направлен на завод для доработки полуавтомати</w:t>
      </w:r>
      <w:r w:rsidRPr="007224C3">
        <w:rPr>
          <w:rFonts w:ascii="Times New Roman" w:hAnsi="Times New Roman"/>
          <w:color w:val="000000" w:themeColor="text1"/>
          <w:sz w:val="16"/>
          <w:szCs w:val="16"/>
        </w:rPr>
        <w:softHyphen/>
        <w:t>ки пушки и некоторых элементов, касающихся танка в целом. В ходе до</w:t>
      </w:r>
      <w:r w:rsidRPr="007224C3">
        <w:rPr>
          <w:rFonts w:ascii="Times New Roman" w:hAnsi="Times New Roman"/>
          <w:color w:val="000000" w:themeColor="text1"/>
          <w:sz w:val="16"/>
          <w:szCs w:val="16"/>
        </w:rPr>
        <w:softHyphen/>
        <w:t>работки танк был подвержен капитальному ремонту. 25 июня 1944 г. на Миасском полигоне были проведены заводские артиллерийские испы</w:t>
      </w:r>
      <w:r w:rsidRPr="007224C3">
        <w:rPr>
          <w:rFonts w:ascii="Times New Roman" w:hAnsi="Times New Roman"/>
          <w:color w:val="000000" w:themeColor="text1"/>
          <w:sz w:val="16"/>
          <w:szCs w:val="16"/>
        </w:rPr>
        <w:softHyphen/>
        <w:t>тания танка, по результатам которых было сделано заключение о готов</w:t>
      </w:r>
      <w:r w:rsidRPr="007224C3">
        <w:rPr>
          <w:rFonts w:ascii="Times New Roman" w:hAnsi="Times New Roman"/>
          <w:color w:val="000000" w:themeColor="text1"/>
          <w:sz w:val="16"/>
          <w:szCs w:val="16"/>
        </w:rPr>
        <w:softHyphen/>
        <w:t>ности его для предъявления на Государственные испытания. 100-мм пушка С-34 с завода № 92 НКВ вместо 20 февраля 1944 г., как это было предусмотрено планом, была подана на завод № 100 толь</w:t>
      </w:r>
      <w:r w:rsidRPr="007224C3">
        <w:rPr>
          <w:rFonts w:ascii="Times New Roman" w:hAnsi="Times New Roman"/>
          <w:color w:val="000000" w:themeColor="text1"/>
          <w:sz w:val="16"/>
          <w:szCs w:val="16"/>
        </w:rPr>
        <w:softHyphen/>
        <w:t>ко в начале апреля 1944 г. Совместным приказом НКТП, НКВ, коман</w:t>
      </w:r>
      <w:r w:rsidRPr="007224C3">
        <w:rPr>
          <w:rFonts w:ascii="Times New Roman" w:hAnsi="Times New Roman"/>
          <w:color w:val="000000" w:themeColor="text1"/>
          <w:sz w:val="16"/>
          <w:szCs w:val="16"/>
        </w:rPr>
        <w:softHyphen/>
        <w:t>дующего БТ и МВ РККА и начальника ГАУ были установлены новые сроки проведения испытаний. Теперь заводу № 100 необходимо было подать танк на Гороховецкий АНИОП к 8 мая 1944 г. Но опытный тяже</w:t>
      </w:r>
      <w:r w:rsidRPr="007224C3">
        <w:rPr>
          <w:rFonts w:ascii="Times New Roman" w:hAnsi="Times New Roman"/>
          <w:color w:val="000000" w:themeColor="text1"/>
          <w:sz w:val="16"/>
          <w:szCs w:val="16"/>
        </w:rPr>
        <w:softHyphen/>
        <w:t>лый танк ИС-5 ("Объект 248") из-за отсутствия готовой башни был из</w:t>
      </w:r>
      <w:r w:rsidRPr="007224C3">
        <w:rPr>
          <w:rFonts w:ascii="Times New Roman" w:hAnsi="Times New Roman"/>
          <w:color w:val="000000" w:themeColor="text1"/>
          <w:sz w:val="16"/>
          <w:szCs w:val="16"/>
        </w:rPr>
        <w:softHyphen/>
        <w:t>готовлен заводом только в июне 1944 г. и к концу месяца прошел лишь заводские испытания пробегом и отстрелом на Миасском полигоне. Танк "Объект 248" был создан на базе опытного тяжелого танка "Объект 237" № 1. В связи с установкой новой пушки и башни была изменена компоновка боевого отделения. Командир и наводчик располагались справа, а заряжающий - слева от пушки. Люк и командирская башенка имели, по отношению к серийной башне танка ИС-1, зеркальное распо</w:t>
      </w:r>
      <w:r w:rsidRPr="007224C3">
        <w:rPr>
          <w:rFonts w:ascii="Times New Roman" w:hAnsi="Times New Roman"/>
          <w:color w:val="000000" w:themeColor="text1"/>
          <w:sz w:val="16"/>
          <w:szCs w:val="16"/>
        </w:rPr>
        <w:softHyphen/>
        <w:t>ложение. Кроме того, отсутствовала установка тыльного пулемета. После проведения заводских испытаний машина была рекомендова</w:t>
      </w:r>
      <w:r w:rsidRPr="007224C3">
        <w:rPr>
          <w:rFonts w:ascii="Times New Roman" w:hAnsi="Times New Roman"/>
          <w:color w:val="000000" w:themeColor="text1"/>
          <w:sz w:val="16"/>
          <w:szCs w:val="16"/>
        </w:rPr>
        <w:softHyphen/>
        <w:t>на на полигонные испытания. Однако ни "Объект 245", ни "Объект 248", оснащенные 100-мм пуш</w:t>
      </w:r>
      <w:r w:rsidRPr="007224C3">
        <w:rPr>
          <w:rFonts w:ascii="Times New Roman" w:hAnsi="Times New Roman"/>
          <w:color w:val="000000" w:themeColor="text1"/>
          <w:sz w:val="16"/>
          <w:szCs w:val="16"/>
        </w:rPr>
        <w:softHyphen/>
        <w:t>ками, не были приняты на вооружение вследствие того, что на дальнос</w:t>
      </w:r>
      <w:r w:rsidRPr="007224C3">
        <w:rPr>
          <w:rFonts w:ascii="Times New Roman" w:hAnsi="Times New Roman"/>
          <w:color w:val="000000" w:themeColor="text1"/>
          <w:sz w:val="16"/>
          <w:szCs w:val="16"/>
        </w:rPr>
        <w:softHyphen/>
        <w:t>тях свыше 1000 м из-за меньшей массы бронебойных снарядов их бро-непробиваемость оказалась меньше, чем у 122-мм бронебойных снаря</w:t>
      </w:r>
      <w:r w:rsidRPr="007224C3">
        <w:rPr>
          <w:rFonts w:ascii="Times New Roman" w:hAnsi="Times New Roman"/>
          <w:color w:val="000000" w:themeColor="text1"/>
          <w:sz w:val="16"/>
          <w:szCs w:val="16"/>
        </w:rPr>
        <w:softHyphen/>
        <w:t>дов пушки Д-25. С середины апреля 1944 г. на основании "Тактико-технических тре</w:t>
      </w:r>
      <w:r w:rsidRPr="007224C3">
        <w:rPr>
          <w:rFonts w:ascii="Times New Roman" w:hAnsi="Times New Roman"/>
          <w:color w:val="000000" w:themeColor="text1"/>
          <w:sz w:val="16"/>
          <w:szCs w:val="16"/>
        </w:rPr>
        <w:softHyphen/>
        <w:t>бований на проектирование тяжелого танка", разработанных ТУ ГБТУ, в КБ завода № 100 велась работа по проектированию опытных тяжелых танков с электромеханической и механической трансмиссиями (10703).</w:t>
      </w:r>
    </w:p>
    <w:p w14:paraId="0C87E2F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1A4A0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марта 1944 вышло Постановление ГКО № 5372 О мероприятиях по увеличению в 1944 году производства цемента заводами Наркомстройматериалов СССР. РГАНИР, Фонд ГКО, д. 218, лл. 1-16,17-48 (11012).</w:t>
      </w:r>
    </w:p>
    <w:p w14:paraId="0F97193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2AFBDB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марта 1944 вышло Постановление ГКО № 5373 О заготовке лома и отходов цветных металлов в 1944 году и в I квартале 1944 года. РГАНИР, Фонд ГКО, д. 218, лл. 49-55,56-67 (11012).</w:t>
      </w:r>
    </w:p>
    <w:p w14:paraId="1B0E8BD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817C04D"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марта 1944 вышло Постановление ГКО № 5374 О первоочередных мероприятиях по восстановлению речного флота в Днепровском и Днепро-Двинском бассейнах. (7198, 68-77,78-100).</w:t>
      </w:r>
    </w:p>
    <w:p w14:paraId="623913DA"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2BB6FC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марта 1944 вышло Постановление ГКО № 5375 Об отпуске продовольственных, госпитальных и фуражных пайков для Красной Армии, Военно-Морского Флота и войск HКВД в марте 1944 года. РГАНИР, Фонд ГКО, д. 218, лл. 101-104,105-107 (11012).</w:t>
      </w:r>
    </w:p>
    <w:p w14:paraId="2BBC207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B36B37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марта 1944 вышло Постановление ГКО № 5377 О сосредоточении производства ремонта танков в системе НКО и организации Главного управления ремонта танков Красной Армии. РГАНИР, Фонд ГКО, д. 218, лл. 110-113,114-140 (11012).</w:t>
      </w:r>
    </w:p>
    <w:p w14:paraId="2C9009E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CD931A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марта 1944 вышло Постановление ГКО № 5378 Об увеличении производства тяжелых танков, артиллерийских самоходных установок ИС, мощных танковых пушек и 122-152 мм снарядов. РГАНИР, Фонд ГКО, д. 218, лл. 141-148,149 (11012).</w:t>
      </w:r>
    </w:p>
    <w:p w14:paraId="2352666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B2F40A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марта 1944 вышло Постановление ГКО № 5379 О развитии экспериментальных работ института физических проблем Академии наук СССР в области применения кислорода в промышленности. РГАНИР, Фонд ГКО, д. 218, лл. 150-153,154-158 (11012).</w:t>
      </w:r>
    </w:p>
    <w:p w14:paraId="4ECF37B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E98DEB6" w14:textId="77777777" w:rsidR="00E870E7"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49A4E2A7" w14:textId="77777777" w:rsidR="00E870E7" w:rsidRPr="007224C3" w:rsidRDefault="00E870E7"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598084B" w14:textId="77777777" w:rsidR="00E870E7" w:rsidRPr="007224C3" w:rsidRDefault="00E870E7"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12 марта</w:t>
      </w:r>
      <w:r w:rsidRPr="007224C3">
        <w:rPr>
          <w:rFonts w:ascii="Times New Roman" w:hAnsi="Times New Roman"/>
          <w:color w:val="000000" w:themeColor="text1"/>
          <w:sz w:val="16"/>
          <w:szCs w:val="16"/>
        </w:rPr>
        <w:t xml:space="preserve"> в 1944 году оперативная сводка Совинформбюро:</w:t>
      </w:r>
    </w:p>
    <w:p w14:paraId="4483071A" w14:textId="77777777" w:rsidR="00E870E7" w:rsidRPr="007224C3" w:rsidRDefault="00E870E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12 марта на Проскуровском направлении наши войска продолжали вести наступательные бои, в ходе которых заняли несколько населённых пунктов и среди них Немиренцы, Броневка, Петриковцы, Малашовцы, Мацковцы, Малиничи, Нижние Волковцы, Орлинцы, Ходьковцы, Зарудье. Нашими войсками перерезана железная дорога Проскуров-Гусятин.</w:t>
      </w:r>
    </w:p>
    <w:p w14:paraId="71B452D3" w14:textId="77777777" w:rsidR="00E870E7" w:rsidRPr="007224C3" w:rsidRDefault="00E870E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и южнее города Умань наши войска, продолжая успешно развивать наступление, овладели районным центром Одесской области городом Гайворон, районными центрами Винницкой области Теплик, Джулинка, а также с боями занялиболее 60 других населённых пунктов, в том числе крупные населённые пункты Китай-Город, Гранов, Михайловка, Чечеливка, Кублич, Великая Мочулка, Мышаровка, Шляхова, Каменная Криница, Ольховата и железнодорожные станции Ивангород, Роскошевка, Марковка, Кублич.</w:t>
      </w:r>
    </w:p>
    <w:p w14:paraId="2DDA5573" w14:textId="77777777" w:rsidR="00E870E7" w:rsidRPr="007224C3" w:rsidRDefault="00E870E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Северо-западнее и западнее города Кировоград наши войска вели наступательные бои, в результате которых овладели районным центром Киевской области Мокрая Калигорка и заняли более 30 других населённых пунктов, среди которых крупные населённые пункты Петраковка, Лисичья Балка, Сухая Калигорка, Антоновка,Янополь, Дукова, Оситная, Елено-Косогоровка, Петропилье.</w:t>
      </w:r>
    </w:p>
    <w:p w14:paraId="2C0CECBA" w14:textId="77777777" w:rsidR="00E870E7" w:rsidRPr="007224C3" w:rsidRDefault="00E870E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Северо-западнее и западнее города Кривой Рог наши войска, продолжая развивать наступление, овладели районным центром Кировоградской области городом Шевченково и железнодорожным узлом Долинская, а также с боями заняли более 50 других населённых пунктов, в том числе крупные населённые пункты Ново-Савицкое, Ново-Григорьевка, Берёзовка, Перепелица, Марфовка, Сергеевка, Дмитриевка, Новоселье, Медова и железнодорожные станции Писанки, Ново-Даниловка.</w:t>
      </w:r>
    </w:p>
    <w:p w14:paraId="06E26E25" w14:textId="77777777" w:rsidR="00E870E7" w:rsidRPr="007224C3" w:rsidRDefault="00E870E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и юго-западнее Апостолово наши войска с боями продвигались вперёд и овладели районными центрами Николаевской области Привольное (на западном берегу реки Ингул), Большая Александровка и заняли более 60 других населённых пунктов, в том числе Софиевка, Ульяновка, Майеровка, Ленино, Ново-Привольное, Малая Александровка, Новая Кубань, Ново-Сибирск, Свободный, Дружный, Володьевка, Львово, Тягинка.</w:t>
      </w:r>
    </w:p>
    <w:p w14:paraId="37A83B5D" w14:textId="77777777" w:rsidR="00E870E7" w:rsidRPr="007224C3" w:rsidRDefault="00E870E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разведка и в ряде пунктов бои местного значения.</w:t>
      </w:r>
    </w:p>
    <w:p w14:paraId="4BFA21EC" w14:textId="77777777" w:rsidR="00E870E7" w:rsidRPr="007224C3" w:rsidRDefault="00E870E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11 марта наши войска на всех фронтах подбили и уничтожили 58 немецких танков. В воздушных боях и огнём зенитной артиллерии сбито 35 самолётов противника.</w:t>
      </w:r>
    </w:p>
    <w:p w14:paraId="55F42AFB" w14:textId="77777777" w:rsidR="00E870E7" w:rsidRPr="007224C3" w:rsidRDefault="00E870E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Проскуровском направлении наши войска в ходе наступательных боёв сломили сопротивление противника и заняли несколько сильно укреплённых населённых пунктов. Овладев населёнными пунктами Малиничи и Нижние Волковцы, советские части перерезали железную дорогу Проскуров-Гусятин. Немцы несут большие потери в живой силе и технике. Только на одном участке наши бойцы истребили 1.200 гитлеровцев и захватили тяжёлый танк, 2 самоходных орудия, 9 зенитных орудий, более 100 повозок с грузами и другие трофеи. В течение дня подбито и сожжено свыше 40 танков и самоходных орудий противника.</w:t>
      </w:r>
    </w:p>
    <w:p w14:paraId="1321CDA2" w14:textId="77777777" w:rsidR="00E870E7" w:rsidRPr="007224C3" w:rsidRDefault="00E870E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Западнее и южнее города Умань наши войска продолжали успешное наступление. Наши танкисты и пехотинцы стремительной атакой овладели районным центром Винницкой области Джулинка, расположенным на левом берегу реки Южный Буг. Остатки разбитых немецких частей были прижаты к реке и уничтожены. Сотни немцев, пустившиеся вплавь, утонули в Буге. На поле боя осталось до 2.500 вражеских трупов. Захвачено 35 танков, около 2.000 автомашин и много других трофеев. Развивая успех, наши войска в крайне тяжёлых условиях бездорожья прошли за день свыше 30 километров и штурмом овладели районным центром Одесской области городом Гайворон. В ходе боёв занят также районный центр Винницкой области Теплик и другие населённые пункты. Отступая под ударами советских войск, немцы бросают огромное количество боевой техники, вооружения и военного имущества.</w:t>
      </w:r>
    </w:p>
    <w:p w14:paraId="12DA694A" w14:textId="77777777" w:rsidR="00E870E7" w:rsidRPr="007224C3" w:rsidRDefault="00E870E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Северо-западнее и западнее города Кировоград наши войска вели наступательные бои. Части Н-ского соединения, осуществив удачный манёвр, овладели районным центром Киевской области Мокрая Калигорка и заняли ряд других населённых пунктов. В бою за одно село наши бойцы истребили до батальона гитлеровцев. Захвачено 4 исправных немецких танка и 20 автомашин с горючим.</w:t>
      </w:r>
    </w:p>
    <w:p w14:paraId="60060084" w14:textId="77777777" w:rsidR="00E870E7" w:rsidRPr="007224C3" w:rsidRDefault="00E870E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Северо-западнее и западнее города Кривой Рог части Н-ского соединения ночью ворвались в город Шевченково и на территорию железнодорожного узла Долинская. Сегодня после ожесточённых боёв город и железнодорожный узел очищены от немцев. На месте боя остались сотни вражеских трупов. Захвачено большое число железнодорожных вагонов и платформ с военными грузами. Преследуя разгромленного противника, наши войска заняли железнодорожные станции Писанки, Ново-Даниловка и более 50 других населённых пунктов.</w:t>
      </w:r>
    </w:p>
    <w:p w14:paraId="614EB07A" w14:textId="77777777" w:rsidR="00E870E7" w:rsidRPr="007224C3" w:rsidRDefault="00E870E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города Апостолово наши войска с боями продвигались вперёд и вышли креке Ингул. Понтонёры и сапёры под огнём противника навели в нескольких местах переправы через реку. Советские части форсировали Ингул и стремительным ударом овладели районным центром Николаевской области Привольное. Наши гвардейцы, развивая успех, заняли ряд других населённых пунктов на западном берегу реки Ингул. Захвачено у немцев 8 танков, 9 самоходных и 23 полевых орудия, 18 миномётов, 125 пулемётов, 90 автомашин, 120 тысяч патронов, 10 тысяч мин, 18 тысяч снарядов и другие трофеи. Взято значительное число пленных. Юго-западнее Апостолова части Н-ского соединения выбили противника из районного центра Николаевской области Большая Александровка. В этом же районе разгромлена крупная вражеская колонна. Захвачено 3 самоходных и 17 полевых орудий, 8 бронетранспортёров и свыше 60 автомашин с различными военными грузами.</w:t>
      </w:r>
    </w:p>
    <w:p w14:paraId="22D52112" w14:textId="77777777" w:rsidR="00E870E7" w:rsidRPr="007224C3" w:rsidRDefault="00E870E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Нашими кораблями в Баренцовом море потоплен транспорт противника водоизмещением в 7 тысяч тонн. Кроме того, советские лётчики потопили немецкий транспорт водоизмещением в 6 тысяч тонн.</w:t>
      </w:r>
    </w:p>
    <w:p w14:paraId="656286D4" w14:textId="77777777" w:rsidR="00E870E7" w:rsidRPr="007224C3" w:rsidRDefault="00E870E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Партизанские отряды, действующие в Могилёвской области, за месяц пустили под откос больше ста воинских эшелонов противника. Разбиты 74 паровоза и около 800 вагонов и платформ с военными грузами. Во время крушений убито много гитлеровцев. Советские патриоты в одном районе сожгли 4 бензохранилища противника, в которых хранилось свыше 600 тонн бензина.» (15066).</w:t>
      </w:r>
    </w:p>
    <w:p w14:paraId="0FDB644F" w14:textId="77777777" w:rsidR="00E870E7" w:rsidRPr="007224C3" w:rsidRDefault="00E870E7" w:rsidP="007224C3">
      <w:pPr>
        <w:spacing w:after="0" w:line="240" w:lineRule="auto"/>
        <w:jc w:val="both"/>
        <w:rPr>
          <w:rFonts w:ascii="Times New Roman" w:hAnsi="Times New Roman"/>
          <w:color w:val="000000" w:themeColor="text1"/>
          <w:sz w:val="16"/>
          <w:szCs w:val="16"/>
        </w:rPr>
      </w:pPr>
    </w:p>
    <w:p w14:paraId="6EA3F6C0" w14:textId="77777777" w:rsidR="00E870E7" w:rsidRPr="007224C3" w:rsidRDefault="00E870E7"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12 марта</w:t>
      </w:r>
      <w:r w:rsidRPr="007224C3">
        <w:rPr>
          <w:rFonts w:ascii="Times New Roman" w:hAnsi="Times New Roman"/>
          <w:color w:val="000000" w:themeColor="text1"/>
          <w:sz w:val="16"/>
          <w:szCs w:val="16"/>
        </w:rPr>
        <w:t xml:space="preserve"> в 1944 году подвижные войска 3-го Украинского фронта вышли на реку Ингурец южнее Снигиревки, перерезав пути отхода основных сил 6-й армии противника на запад (15066).</w:t>
      </w:r>
    </w:p>
    <w:p w14:paraId="233E0B9A" w14:textId="77777777" w:rsidR="00E870E7" w:rsidRPr="007224C3" w:rsidRDefault="00E870E7" w:rsidP="007224C3">
      <w:pPr>
        <w:spacing w:after="0" w:line="240" w:lineRule="auto"/>
        <w:jc w:val="both"/>
        <w:rPr>
          <w:rFonts w:ascii="Times New Roman" w:hAnsi="Times New Roman"/>
          <w:color w:val="000000" w:themeColor="text1"/>
          <w:sz w:val="16"/>
          <w:szCs w:val="16"/>
        </w:rPr>
      </w:pPr>
    </w:p>
    <w:p w14:paraId="1E4FE37F"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79D73CB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141913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марта 1944 Англия запретила поездки в Ирландию и из Ирландии в Англию (2100).</w:t>
      </w:r>
    </w:p>
    <w:p w14:paraId="5B6E0A7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940BEA"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7599C89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7B0B4E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марта 1944 вышло Постановление ГКО № 5381 Об антиобледенительных устройствах для самолетов Ли-2 и Ер-2. РГАНИР, Фонд ГКО, д. 218, лл. 172-173 (11012).</w:t>
      </w:r>
    </w:p>
    <w:p w14:paraId="4119B5F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265FA8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марта 1944 года начальник 11 главного управления писал письмо N 417 Шахурину.</w:t>
      </w:r>
    </w:p>
    <w:p w14:paraId="6D49D3C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вопросу: Состояния и развития производства транспортных самолетов на заводах 11 главного управления.</w:t>
      </w:r>
    </w:p>
    <w:p w14:paraId="444F64D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В настоящее время на заводах 11 главного управления выпускаются два типа транспортных самолета - самолет С-2 на заводе N 494 и самолет Ще-2 на заводе N 47.</w:t>
      </w:r>
    </w:p>
    <w:p w14:paraId="34DC989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Эти самолеты имеют следующую техническую характеристику:</w:t>
      </w:r>
    </w:p>
    <w:p w14:paraId="0DD6EF2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С-2 - трехместный биплан нормального типа, деревянной конструкции, с мотором М-11-Д. полетный вес самолета 1240 кг, вес полезной нагрузки 380 кг. Скорость самолета у земли 143 км/час, посадочная скорость 78 км/час. дальность самолета 570 км. Разбег - 115 м, пробег - 130 м. при снятии в кабине носилок и установке второго кресла, самолет может быть использован в пассажирском варианте (на два пассажира).</w:t>
      </w:r>
    </w:p>
    <w:p w14:paraId="09A1DFF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Ще-2 - подкосный моноплан деревянной конструкции с высокорасположенным крылом, с двумя моторами М-11-Д. Нормальный полетный вес самолета 3400 кг, вес полезной нагрузки 1165 кг. Максимальная скорость самолета у земли 157 км/час, посадочная скорость 74 км/час. Разбег 350 м, пробег 160 м. Самолет выпускается в транспортно-пассажирском варианте. При необходимости может быть превращен в санитарный вариант на 9 человек.</w:t>
      </w:r>
    </w:p>
    <w:p w14:paraId="221A126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 сентября 1943 года на заводах N 47, 464 и 471 выпускались в серийном производстве транспортно-пассажирские самолеты Як-6, которые из-за плохой устойчивости в воздухе, раскрутки винта и других дефектов были сняты с производства.</w:t>
      </w:r>
    </w:p>
    <w:p w14:paraId="5D409CB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II. Количественный выпуск транспортно-пассажирских самолетов по заводам главного управления в течение 1942-43 г.г. и двух месяцев 1944 года составил:</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09"/>
        <w:gridCol w:w="940"/>
        <w:gridCol w:w="940"/>
        <w:gridCol w:w="940"/>
        <w:gridCol w:w="2283"/>
        <w:gridCol w:w="1276"/>
        <w:gridCol w:w="2410"/>
      </w:tblGrid>
      <w:tr w:rsidR="005106D0" w:rsidRPr="007224C3" w14:paraId="6DD3D41C" w14:textId="77777777">
        <w:tc>
          <w:tcPr>
            <w:tcW w:w="1809" w:type="dxa"/>
          </w:tcPr>
          <w:p w14:paraId="12C8BAC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Номера</w:t>
            </w:r>
          </w:p>
        </w:tc>
        <w:tc>
          <w:tcPr>
            <w:tcW w:w="940" w:type="dxa"/>
          </w:tcPr>
          <w:p w14:paraId="39B3054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Тип</w:t>
            </w:r>
          </w:p>
        </w:tc>
        <w:tc>
          <w:tcPr>
            <w:tcW w:w="940" w:type="dxa"/>
          </w:tcPr>
          <w:p w14:paraId="23DED84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Выпуск</w:t>
            </w:r>
          </w:p>
        </w:tc>
        <w:tc>
          <w:tcPr>
            <w:tcW w:w="940" w:type="dxa"/>
          </w:tcPr>
          <w:p w14:paraId="371BE0F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Выпуск</w:t>
            </w:r>
          </w:p>
        </w:tc>
        <w:tc>
          <w:tcPr>
            <w:tcW w:w="2283" w:type="dxa"/>
          </w:tcPr>
          <w:p w14:paraId="4391BD3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Выпуск с-тов за 44 г.</w:t>
            </w:r>
          </w:p>
        </w:tc>
        <w:tc>
          <w:tcPr>
            <w:tcW w:w="1276" w:type="dxa"/>
          </w:tcPr>
          <w:p w14:paraId="4914D93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Pr>
          <w:p w14:paraId="3FDF1FC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Итого с</w:t>
            </w:r>
          </w:p>
        </w:tc>
      </w:tr>
      <w:tr w:rsidR="005106D0" w:rsidRPr="007224C3" w14:paraId="4DD0D243" w14:textId="77777777">
        <w:tc>
          <w:tcPr>
            <w:tcW w:w="1809" w:type="dxa"/>
          </w:tcPr>
          <w:p w14:paraId="727D31C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заводов</w:t>
            </w:r>
          </w:p>
        </w:tc>
        <w:tc>
          <w:tcPr>
            <w:tcW w:w="940" w:type="dxa"/>
          </w:tcPr>
          <w:p w14:paraId="47EC7A9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с-та</w:t>
            </w:r>
          </w:p>
        </w:tc>
        <w:tc>
          <w:tcPr>
            <w:tcW w:w="940" w:type="dxa"/>
          </w:tcPr>
          <w:p w14:paraId="5627A2B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с-тов</w:t>
            </w:r>
          </w:p>
        </w:tc>
        <w:tc>
          <w:tcPr>
            <w:tcW w:w="940" w:type="dxa"/>
          </w:tcPr>
          <w:p w14:paraId="499AE2C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с-тов</w:t>
            </w:r>
          </w:p>
        </w:tc>
        <w:tc>
          <w:tcPr>
            <w:tcW w:w="2283" w:type="dxa"/>
          </w:tcPr>
          <w:p w14:paraId="55FA0BD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январь</w:t>
            </w:r>
          </w:p>
        </w:tc>
        <w:tc>
          <w:tcPr>
            <w:tcW w:w="1276" w:type="dxa"/>
          </w:tcPr>
          <w:p w14:paraId="74A5D98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февраль</w:t>
            </w:r>
          </w:p>
        </w:tc>
        <w:tc>
          <w:tcPr>
            <w:tcW w:w="2410" w:type="dxa"/>
          </w:tcPr>
          <w:p w14:paraId="1996EB6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начала</w:t>
            </w:r>
          </w:p>
        </w:tc>
      </w:tr>
      <w:tr w:rsidR="005106D0" w:rsidRPr="007224C3" w14:paraId="756B9755" w14:textId="77777777">
        <w:tc>
          <w:tcPr>
            <w:tcW w:w="1809" w:type="dxa"/>
          </w:tcPr>
          <w:p w14:paraId="5F1F2F0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0" w:type="dxa"/>
          </w:tcPr>
          <w:p w14:paraId="4A5B0AF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0" w:type="dxa"/>
          </w:tcPr>
          <w:p w14:paraId="21C051C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42 г.</w:t>
            </w:r>
          </w:p>
        </w:tc>
        <w:tc>
          <w:tcPr>
            <w:tcW w:w="940" w:type="dxa"/>
          </w:tcPr>
          <w:p w14:paraId="6A0E84B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43 г.</w:t>
            </w:r>
          </w:p>
        </w:tc>
        <w:tc>
          <w:tcPr>
            <w:tcW w:w="2283" w:type="dxa"/>
          </w:tcPr>
          <w:p w14:paraId="4A06C55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00CC5D9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Pr>
          <w:p w14:paraId="3B2E2C7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поставки</w:t>
            </w:r>
          </w:p>
        </w:tc>
      </w:tr>
      <w:tr w:rsidR="005106D0" w:rsidRPr="007224C3" w14:paraId="3F0A2BFF" w14:textId="77777777">
        <w:tc>
          <w:tcPr>
            <w:tcW w:w="1809" w:type="dxa"/>
          </w:tcPr>
          <w:p w14:paraId="3B998A9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0" w:type="dxa"/>
          </w:tcPr>
          <w:p w14:paraId="0C66C6A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0" w:type="dxa"/>
          </w:tcPr>
          <w:p w14:paraId="5DDFE1E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0" w:type="dxa"/>
          </w:tcPr>
          <w:p w14:paraId="70EAA16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83" w:type="dxa"/>
          </w:tcPr>
          <w:p w14:paraId="743ECC9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283CF8A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Pr>
          <w:p w14:paraId="461C197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производ.</w:t>
            </w:r>
          </w:p>
        </w:tc>
      </w:tr>
      <w:tr w:rsidR="005106D0" w:rsidRPr="007224C3" w14:paraId="28314D56" w14:textId="77777777">
        <w:tc>
          <w:tcPr>
            <w:tcW w:w="1809" w:type="dxa"/>
          </w:tcPr>
          <w:p w14:paraId="0446A4D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выпускн.</w:t>
            </w:r>
          </w:p>
        </w:tc>
        <w:tc>
          <w:tcPr>
            <w:tcW w:w="940" w:type="dxa"/>
          </w:tcPr>
          <w:p w14:paraId="252E7F5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0" w:type="dxa"/>
          </w:tcPr>
          <w:p w14:paraId="03D8A93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0" w:type="dxa"/>
          </w:tcPr>
          <w:p w14:paraId="29DF7C3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83" w:type="dxa"/>
          </w:tcPr>
          <w:p w14:paraId="7DAC30E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51DCE43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Pr>
          <w:p w14:paraId="222CB53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6FE281E" w14:textId="77777777">
        <w:tc>
          <w:tcPr>
            <w:tcW w:w="1809" w:type="dxa"/>
          </w:tcPr>
          <w:p w14:paraId="067098D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с-там</w:t>
            </w:r>
          </w:p>
        </w:tc>
        <w:tc>
          <w:tcPr>
            <w:tcW w:w="940" w:type="dxa"/>
          </w:tcPr>
          <w:p w14:paraId="28A507B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0" w:type="dxa"/>
          </w:tcPr>
          <w:p w14:paraId="5E26B30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0" w:type="dxa"/>
          </w:tcPr>
          <w:p w14:paraId="0DAE02E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83" w:type="dxa"/>
          </w:tcPr>
          <w:p w14:paraId="67B34EE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64E804E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Pr>
          <w:p w14:paraId="3412240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DCBBFEA" w14:textId="77777777">
        <w:tc>
          <w:tcPr>
            <w:tcW w:w="1809" w:type="dxa"/>
          </w:tcPr>
          <w:p w14:paraId="4F55EA7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З-д N 47</w:t>
            </w:r>
          </w:p>
        </w:tc>
        <w:tc>
          <w:tcPr>
            <w:tcW w:w="940" w:type="dxa"/>
          </w:tcPr>
          <w:p w14:paraId="2E11338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ЩЕ-2</w:t>
            </w:r>
          </w:p>
        </w:tc>
        <w:tc>
          <w:tcPr>
            <w:tcW w:w="940" w:type="dxa"/>
          </w:tcPr>
          <w:p w14:paraId="64F2500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940" w:type="dxa"/>
          </w:tcPr>
          <w:p w14:paraId="3EF601A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2283" w:type="dxa"/>
          </w:tcPr>
          <w:p w14:paraId="7EAA31F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tc>
        <w:tc>
          <w:tcPr>
            <w:tcW w:w="1276" w:type="dxa"/>
          </w:tcPr>
          <w:p w14:paraId="624BC9D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tc>
        <w:tc>
          <w:tcPr>
            <w:tcW w:w="2410" w:type="dxa"/>
          </w:tcPr>
          <w:p w14:paraId="108A1EC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w:t>
            </w:r>
          </w:p>
        </w:tc>
      </w:tr>
      <w:tr w:rsidR="005106D0" w:rsidRPr="007224C3" w14:paraId="7FE8D247" w14:textId="77777777">
        <w:tc>
          <w:tcPr>
            <w:tcW w:w="1809" w:type="dxa"/>
          </w:tcPr>
          <w:p w14:paraId="2C8E450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З-д N 494</w:t>
            </w:r>
          </w:p>
        </w:tc>
        <w:tc>
          <w:tcPr>
            <w:tcW w:w="940" w:type="dxa"/>
          </w:tcPr>
          <w:p w14:paraId="68FA1EC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С-2</w:t>
            </w:r>
          </w:p>
        </w:tc>
        <w:tc>
          <w:tcPr>
            <w:tcW w:w="940" w:type="dxa"/>
          </w:tcPr>
          <w:p w14:paraId="5E7B122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tc>
        <w:tc>
          <w:tcPr>
            <w:tcW w:w="940" w:type="dxa"/>
          </w:tcPr>
          <w:p w14:paraId="327450E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270</w:t>
            </w:r>
          </w:p>
        </w:tc>
        <w:tc>
          <w:tcPr>
            <w:tcW w:w="2283" w:type="dxa"/>
          </w:tcPr>
          <w:p w14:paraId="3350E65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41</w:t>
            </w:r>
          </w:p>
        </w:tc>
        <w:tc>
          <w:tcPr>
            <w:tcW w:w="1276" w:type="dxa"/>
          </w:tcPr>
          <w:p w14:paraId="41A08BF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46</w:t>
            </w:r>
          </w:p>
        </w:tc>
        <w:tc>
          <w:tcPr>
            <w:tcW w:w="2410" w:type="dxa"/>
          </w:tcPr>
          <w:p w14:paraId="4725603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359</w:t>
            </w:r>
          </w:p>
        </w:tc>
      </w:tr>
      <w:tr w:rsidR="005106D0" w:rsidRPr="007224C3" w14:paraId="5742E6E1" w14:textId="77777777">
        <w:tc>
          <w:tcPr>
            <w:tcW w:w="1809" w:type="dxa"/>
          </w:tcPr>
          <w:p w14:paraId="21D7E5C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Итого:</w:t>
            </w:r>
          </w:p>
        </w:tc>
        <w:tc>
          <w:tcPr>
            <w:tcW w:w="940" w:type="dxa"/>
          </w:tcPr>
          <w:p w14:paraId="7295EF9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0" w:type="dxa"/>
          </w:tcPr>
          <w:p w14:paraId="7D160CF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tc>
        <w:tc>
          <w:tcPr>
            <w:tcW w:w="940" w:type="dxa"/>
          </w:tcPr>
          <w:p w14:paraId="51FD0D2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270</w:t>
            </w:r>
          </w:p>
        </w:tc>
        <w:tc>
          <w:tcPr>
            <w:tcW w:w="2283" w:type="dxa"/>
          </w:tcPr>
          <w:p w14:paraId="73EEFA9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46</w:t>
            </w:r>
          </w:p>
        </w:tc>
        <w:tc>
          <w:tcPr>
            <w:tcW w:w="1276" w:type="dxa"/>
          </w:tcPr>
          <w:p w14:paraId="320F859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51</w:t>
            </w:r>
          </w:p>
        </w:tc>
        <w:tc>
          <w:tcPr>
            <w:tcW w:w="2410" w:type="dxa"/>
          </w:tcPr>
          <w:p w14:paraId="1885921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369</w:t>
            </w:r>
          </w:p>
        </w:tc>
      </w:tr>
      <w:tr w:rsidR="005106D0" w:rsidRPr="007224C3" w14:paraId="1198857B" w14:textId="77777777">
        <w:tc>
          <w:tcPr>
            <w:tcW w:w="1809" w:type="dxa"/>
          </w:tcPr>
          <w:p w14:paraId="3CA0341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снятым</w:t>
            </w:r>
          </w:p>
        </w:tc>
        <w:tc>
          <w:tcPr>
            <w:tcW w:w="940" w:type="dxa"/>
          </w:tcPr>
          <w:p w14:paraId="68FBDF0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0" w:type="dxa"/>
          </w:tcPr>
          <w:p w14:paraId="21A6F21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0" w:type="dxa"/>
          </w:tcPr>
          <w:p w14:paraId="1CA3510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83" w:type="dxa"/>
          </w:tcPr>
          <w:p w14:paraId="406925A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1CD57D6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Pr>
          <w:p w14:paraId="4538080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08A40A9" w14:textId="77777777">
        <w:tc>
          <w:tcPr>
            <w:tcW w:w="1809" w:type="dxa"/>
          </w:tcPr>
          <w:p w14:paraId="2345751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пр-ва</w:t>
            </w:r>
          </w:p>
        </w:tc>
        <w:tc>
          <w:tcPr>
            <w:tcW w:w="940" w:type="dxa"/>
          </w:tcPr>
          <w:p w14:paraId="3AAA7A3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0" w:type="dxa"/>
          </w:tcPr>
          <w:p w14:paraId="391EFE3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0" w:type="dxa"/>
          </w:tcPr>
          <w:p w14:paraId="750BA8A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83" w:type="dxa"/>
          </w:tcPr>
          <w:p w14:paraId="5B52B1C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0E7A799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Pr>
          <w:p w14:paraId="0B97FB2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25FDF34" w14:textId="77777777">
        <w:tc>
          <w:tcPr>
            <w:tcW w:w="1809" w:type="dxa"/>
          </w:tcPr>
          <w:p w14:paraId="32DF702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З-д N 47</w:t>
            </w:r>
          </w:p>
        </w:tc>
        <w:tc>
          <w:tcPr>
            <w:tcW w:w="940" w:type="dxa"/>
          </w:tcPr>
          <w:p w14:paraId="40DE836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ЯК-6</w:t>
            </w:r>
          </w:p>
        </w:tc>
        <w:tc>
          <w:tcPr>
            <w:tcW w:w="940" w:type="dxa"/>
          </w:tcPr>
          <w:p w14:paraId="3364BEB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w:t>
            </w:r>
          </w:p>
        </w:tc>
        <w:tc>
          <w:tcPr>
            <w:tcW w:w="940" w:type="dxa"/>
          </w:tcPr>
          <w:p w14:paraId="3AF575A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224</w:t>
            </w:r>
          </w:p>
        </w:tc>
        <w:tc>
          <w:tcPr>
            <w:tcW w:w="2283" w:type="dxa"/>
          </w:tcPr>
          <w:p w14:paraId="75B0701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276" w:type="dxa"/>
          </w:tcPr>
          <w:p w14:paraId="0CC856E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2410" w:type="dxa"/>
          </w:tcPr>
          <w:p w14:paraId="7CBAB93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249</w:t>
            </w:r>
          </w:p>
        </w:tc>
      </w:tr>
      <w:tr w:rsidR="005106D0" w:rsidRPr="007224C3" w14:paraId="35890246" w14:textId="77777777">
        <w:tc>
          <w:tcPr>
            <w:tcW w:w="1809" w:type="dxa"/>
          </w:tcPr>
          <w:p w14:paraId="5302832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З-д N 464</w:t>
            </w:r>
          </w:p>
        </w:tc>
        <w:tc>
          <w:tcPr>
            <w:tcW w:w="940" w:type="dxa"/>
          </w:tcPr>
          <w:p w14:paraId="226EC1B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940" w:type="dxa"/>
          </w:tcPr>
          <w:p w14:paraId="0E0A730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940" w:type="dxa"/>
          </w:tcPr>
          <w:p w14:paraId="41ECB74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w:t>
            </w:r>
          </w:p>
        </w:tc>
        <w:tc>
          <w:tcPr>
            <w:tcW w:w="2283" w:type="dxa"/>
          </w:tcPr>
          <w:p w14:paraId="3140EF4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276" w:type="dxa"/>
          </w:tcPr>
          <w:p w14:paraId="232906C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2410" w:type="dxa"/>
          </w:tcPr>
          <w:p w14:paraId="77F60E2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w:t>
            </w:r>
          </w:p>
        </w:tc>
      </w:tr>
      <w:tr w:rsidR="005106D0" w:rsidRPr="007224C3" w14:paraId="7B805935" w14:textId="77777777">
        <w:tc>
          <w:tcPr>
            <w:tcW w:w="1809" w:type="dxa"/>
          </w:tcPr>
          <w:p w14:paraId="6428FBB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З-д N 471</w:t>
            </w:r>
          </w:p>
        </w:tc>
        <w:tc>
          <w:tcPr>
            <w:tcW w:w="940" w:type="dxa"/>
          </w:tcPr>
          <w:p w14:paraId="134C7AF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940" w:type="dxa"/>
          </w:tcPr>
          <w:p w14:paraId="7816EC8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940" w:type="dxa"/>
          </w:tcPr>
          <w:p w14:paraId="227D3F8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82</w:t>
            </w:r>
          </w:p>
        </w:tc>
        <w:tc>
          <w:tcPr>
            <w:tcW w:w="2283" w:type="dxa"/>
          </w:tcPr>
          <w:p w14:paraId="39FBE0C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276" w:type="dxa"/>
          </w:tcPr>
          <w:p w14:paraId="0EEA58D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2410" w:type="dxa"/>
          </w:tcPr>
          <w:p w14:paraId="4F5E9B8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82</w:t>
            </w:r>
          </w:p>
        </w:tc>
      </w:tr>
      <w:tr w:rsidR="005106D0" w:rsidRPr="007224C3" w14:paraId="25DC2B1D" w14:textId="77777777">
        <w:tc>
          <w:tcPr>
            <w:tcW w:w="1809" w:type="dxa"/>
          </w:tcPr>
          <w:p w14:paraId="05EB530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Итого:</w:t>
            </w:r>
          </w:p>
        </w:tc>
        <w:tc>
          <w:tcPr>
            <w:tcW w:w="940" w:type="dxa"/>
          </w:tcPr>
          <w:p w14:paraId="2FDDB28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0" w:type="dxa"/>
          </w:tcPr>
          <w:p w14:paraId="67169D3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w:t>
            </w:r>
          </w:p>
        </w:tc>
        <w:tc>
          <w:tcPr>
            <w:tcW w:w="940" w:type="dxa"/>
          </w:tcPr>
          <w:p w14:paraId="699B0FD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356</w:t>
            </w:r>
          </w:p>
        </w:tc>
        <w:tc>
          <w:tcPr>
            <w:tcW w:w="2283" w:type="dxa"/>
          </w:tcPr>
          <w:p w14:paraId="7CBB8D6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276" w:type="dxa"/>
          </w:tcPr>
          <w:p w14:paraId="422CDAF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2410" w:type="dxa"/>
          </w:tcPr>
          <w:p w14:paraId="4DD9569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381</w:t>
            </w:r>
          </w:p>
        </w:tc>
      </w:tr>
      <w:tr w:rsidR="005106D0" w:rsidRPr="007224C3" w14:paraId="3DA9720F" w14:textId="77777777">
        <w:tc>
          <w:tcPr>
            <w:tcW w:w="1809" w:type="dxa"/>
          </w:tcPr>
          <w:p w14:paraId="0A6EB0D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w:t>
            </w:r>
          </w:p>
        </w:tc>
        <w:tc>
          <w:tcPr>
            <w:tcW w:w="940" w:type="dxa"/>
          </w:tcPr>
          <w:p w14:paraId="538399A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0" w:type="dxa"/>
          </w:tcPr>
          <w:p w14:paraId="7AAB4CB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w:t>
            </w:r>
          </w:p>
        </w:tc>
        <w:tc>
          <w:tcPr>
            <w:tcW w:w="940" w:type="dxa"/>
          </w:tcPr>
          <w:p w14:paraId="18AA5A7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626</w:t>
            </w:r>
          </w:p>
        </w:tc>
        <w:tc>
          <w:tcPr>
            <w:tcW w:w="2283" w:type="dxa"/>
          </w:tcPr>
          <w:p w14:paraId="5A5DC01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46</w:t>
            </w:r>
          </w:p>
        </w:tc>
        <w:tc>
          <w:tcPr>
            <w:tcW w:w="1276" w:type="dxa"/>
          </w:tcPr>
          <w:p w14:paraId="599E9D3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51</w:t>
            </w:r>
          </w:p>
        </w:tc>
        <w:tc>
          <w:tcPr>
            <w:tcW w:w="2410" w:type="dxa"/>
          </w:tcPr>
          <w:p w14:paraId="35028B5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750</w:t>
            </w:r>
          </w:p>
        </w:tc>
      </w:tr>
    </w:tbl>
    <w:p w14:paraId="28898C4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III. Предполагаемый выпуск транспортных самолетов по заводам 11 главного управления за 1944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024"/>
        <w:gridCol w:w="1024"/>
        <w:gridCol w:w="1024"/>
        <w:gridCol w:w="1024"/>
        <w:gridCol w:w="1024"/>
        <w:gridCol w:w="1024"/>
        <w:gridCol w:w="1024"/>
      </w:tblGrid>
      <w:tr w:rsidR="005106D0" w:rsidRPr="007224C3" w14:paraId="79927DB3" w14:textId="77777777">
        <w:tc>
          <w:tcPr>
            <w:tcW w:w="1024" w:type="dxa"/>
          </w:tcPr>
          <w:p w14:paraId="3FD7700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NN з-дов</w:t>
            </w:r>
          </w:p>
        </w:tc>
        <w:tc>
          <w:tcPr>
            <w:tcW w:w="1024" w:type="dxa"/>
          </w:tcPr>
          <w:p w14:paraId="46F1E6D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Тип</w:t>
            </w:r>
          </w:p>
        </w:tc>
        <w:tc>
          <w:tcPr>
            <w:tcW w:w="1024" w:type="dxa"/>
          </w:tcPr>
          <w:p w14:paraId="4932346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Выпуск</w:t>
            </w:r>
          </w:p>
        </w:tc>
        <w:tc>
          <w:tcPr>
            <w:tcW w:w="1024" w:type="dxa"/>
          </w:tcPr>
          <w:p w14:paraId="2610386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Выпуск</w:t>
            </w:r>
          </w:p>
        </w:tc>
        <w:tc>
          <w:tcPr>
            <w:tcW w:w="1024" w:type="dxa"/>
          </w:tcPr>
          <w:p w14:paraId="5750354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Выпуск</w:t>
            </w:r>
          </w:p>
        </w:tc>
        <w:tc>
          <w:tcPr>
            <w:tcW w:w="1024" w:type="dxa"/>
          </w:tcPr>
          <w:p w14:paraId="3B190D0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Выпуск</w:t>
            </w:r>
          </w:p>
        </w:tc>
        <w:tc>
          <w:tcPr>
            <w:tcW w:w="1024" w:type="dxa"/>
          </w:tcPr>
          <w:p w14:paraId="4B14D74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Итого</w:t>
            </w:r>
          </w:p>
        </w:tc>
      </w:tr>
      <w:tr w:rsidR="005106D0" w:rsidRPr="007224C3" w14:paraId="36E46E2A" w14:textId="77777777">
        <w:tc>
          <w:tcPr>
            <w:tcW w:w="1024" w:type="dxa"/>
          </w:tcPr>
          <w:p w14:paraId="03ED38D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AB1B1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с-тов</w:t>
            </w:r>
          </w:p>
        </w:tc>
        <w:tc>
          <w:tcPr>
            <w:tcW w:w="1024" w:type="dxa"/>
          </w:tcPr>
          <w:p w14:paraId="453A88D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с-тов</w:t>
            </w:r>
          </w:p>
        </w:tc>
        <w:tc>
          <w:tcPr>
            <w:tcW w:w="1024" w:type="dxa"/>
          </w:tcPr>
          <w:p w14:paraId="71A13B6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с-тов</w:t>
            </w:r>
          </w:p>
        </w:tc>
        <w:tc>
          <w:tcPr>
            <w:tcW w:w="1024" w:type="dxa"/>
          </w:tcPr>
          <w:p w14:paraId="5170FCA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с-тов</w:t>
            </w:r>
          </w:p>
        </w:tc>
        <w:tc>
          <w:tcPr>
            <w:tcW w:w="1024" w:type="dxa"/>
          </w:tcPr>
          <w:p w14:paraId="7699F79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с-тов</w:t>
            </w:r>
          </w:p>
        </w:tc>
        <w:tc>
          <w:tcPr>
            <w:tcW w:w="1024" w:type="dxa"/>
          </w:tcPr>
          <w:p w14:paraId="0BBB98E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выпуск</w:t>
            </w:r>
          </w:p>
        </w:tc>
      </w:tr>
      <w:tr w:rsidR="005106D0" w:rsidRPr="007224C3" w14:paraId="2C258C0F" w14:textId="77777777">
        <w:tc>
          <w:tcPr>
            <w:tcW w:w="1024" w:type="dxa"/>
          </w:tcPr>
          <w:p w14:paraId="7463223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24737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6E943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w:t>
            </w:r>
          </w:p>
        </w:tc>
        <w:tc>
          <w:tcPr>
            <w:tcW w:w="1024" w:type="dxa"/>
          </w:tcPr>
          <w:p w14:paraId="4437EE3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w:t>
            </w:r>
          </w:p>
        </w:tc>
        <w:tc>
          <w:tcPr>
            <w:tcW w:w="1024" w:type="dxa"/>
          </w:tcPr>
          <w:p w14:paraId="30BAD30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1-ом</w:t>
            </w:r>
          </w:p>
        </w:tc>
        <w:tc>
          <w:tcPr>
            <w:tcW w:w="1024" w:type="dxa"/>
          </w:tcPr>
          <w:p w14:paraId="0A3F8B7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 2-ом</w:t>
            </w:r>
          </w:p>
        </w:tc>
        <w:tc>
          <w:tcPr>
            <w:tcW w:w="1024" w:type="dxa"/>
          </w:tcPr>
          <w:p w14:paraId="42D623B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1944 г.</w:t>
            </w:r>
          </w:p>
        </w:tc>
      </w:tr>
      <w:tr w:rsidR="005106D0" w:rsidRPr="007224C3" w14:paraId="265B781C" w14:textId="77777777">
        <w:tc>
          <w:tcPr>
            <w:tcW w:w="1024" w:type="dxa"/>
          </w:tcPr>
          <w:p w14:paraId="377AEE1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0CF5F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45107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1/VII-44</w:t>
            </w:r>
          </w:p>
        </w:tc>
        <w:tc>
          <w:tcPr>
            <w:tcW w:w="1024" w:type="dxa"/>
          </w:tcPr>
          <w:p w14:paraId="6295C29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1/I-45</w:t>
            </w:r>
          </w:p>
        </w:tc>
        <w:tc>
          <w:tcPr>
            <w:tcW w:w="1024" w:type="dxa"/>
          </w:tcPr>
          <w:p w14:paraId="2656A9B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полугод.</w:t>
            </w:r>
          </w:p>
        </w:tc>
        <w:tc>
          <w:tcPr>
            <w:tcW w:w="1024" w:type="dxa"/>
          </w:tcPr>
          <w:p w14:paraId="65B8C3C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полугод.</w:t>
            </w:r>
          </w:p>
        </w:tc>
        <w:tc>
          <w:tcPr>
            <w:tcW w:w="1024" w:type="dxa"/>
          </w:tcPr>
          <w:p w14:paraId="7C3C0A1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B60BD6A" w14:textId="77777777">
        <w:tc>
          <w:tcPr>
            <w:tcW w:w="1024" w:type="dxa"/>
          </w:tcPr>
          <w:p w14:paraId="1E1B91B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B2785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BE9CE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день</w:t>
            </w:r>
          </w:p>
        </w:tc>
        <w:tc>
          <w:tcPr>
            <w:tcW w:w="1024" w:type="dxa"/>
          </w:tcPr>
          <w:p w14:paraId="3296562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день</w:t>
            </w:r>
          </w:p>
        </w:tc>
        <w:tc>
          <w:tcPr>
            <w:tcW w:w="1024" w:type="dxa"/>
          </w:tcPr>
          <w:p w14:paraId="4C75241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1944 г.</w:t>
            </w:r>
          </w:p>
        </w:tc>
        <w:tc>
          <w:tcPr>
            <w:tcW w:w="1024" w:type="dxa"/>
          </w:tcPr>
          <w:p w14:paraId="44F73A9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1944 г.</w:t>
            </w:r>
          </w:p>
        </w:tc>
        <w:tc>
          <w:tcPr>
            <w:tcW w:w="1024" w:type="dxa"/>
          </w:tcPr>
          <w:p w14:paraId="5B9056D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C5EB23F" w14:textId="77777777">
        <w:tc>
          <w:tcPr>
            <w:tcW w:w="1024" w:type="dxa"/>
          </w:tcPr>
          <w:p w14:paraId="594F6BA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З-д N 47</w:t>
            </w:r>
          </w:p>
        </w:tc>
        <w:tc>
          <w:tcPr>
            <w:tcW w:w="1024" w:type="dxa"/>
          </w:tcPr>
          <w:p w14:paraId="56E14E2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ЩЕ-2</w:t>
            </w:r>
          </w:p>
        </w:tc>
        <w:tc>
          <w:tcPr>
            <w:tcW w:w="1024" w:type="dxa"/>
          </w:tcPr>
          <w:p w14:paraId="1C7F939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tc>
        <w:tc>
          <w:tcPr>
            <w:tcW w:w="1024" w:type="dxa"/>
          </w:tcPr>
          <w:p w14:paraId="654D0F5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w:t>
            </w:r>
          </w:p>
        </w:tc>
        <w:tc>
          <w:tcPr>
            <w:tcW w:w="1024" w:type="dxa"/>
          </w:tcPr>
          <w:p w14:paraId="5853865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73</w:t>
            </w:r>
          </w:p>
        </w:tc>
        <w:tc>
          <w:tcPr>
            <w:tcW w:w="1024" w:type="dxa"/>
          </w:tcPr>
          <w:p w14:paraId="1756188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210</w:t>
            </w:r>
          </w:p>
        </w:tc>
        <w:tc>
          <w:tcPr>
            <w:tcW w:w="1024" w:type="dxa"/>
          </w:tcPr>
          <w:p w14:paraId="5CF84AE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283</w:t>
            </w:r>
          </w:p>
        </w:tc>
      </w:tr>
      <w:tr w:rsidR="005106D0" w:rsidRPr="007224C3" w14:paraId="181F06AC" w14:textId="77777777">
        <w:tc>
          <w:tcPr>
            <w:tcW w:w="1024" w:type="dxa"/>
          </w:tcPr>
          <w:p w14:paraId="17E9006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З-д N 494</w:t>
            </w:r>
          </w:p>
        </w:tc>
        <w:tc>
          <w:tcPr>
            <w:tcW w:w="1024" w:type="dxa"/>
          </w:tcPr>
          <w:p w14:paraId="60C1C11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С-2</w:t>
            </w:r>
          </w:p>
        </w:tc>
        <w:tc>
          <w:tcPr>
            <w:tcW w:w="1024" w:type="dxa"/>
          </w:tcPr>
          <w:p w14:paraId="04188BD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w:t>
            </w:r>
          </w:p>
        </w:tc>
        <w:tc>
          <w:tcPr>
            <w:tcW w:w="1024" w:type="dxa"/>
          </w:tcPr>
          <w:p w14:paraId="3CBA32D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w:t>
            </w:r>
          </w:p>
        </w:tc>
        <w:tc>
          <w:tcPr>
            <w:tcW w:w="1024" w:type="dxa"/>
          </w:tcPr>
          <w:p w14:paraId="4E3E2E1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292</w:t>
            </w:r>
          </w:p>
        </w:tc>
        <w:tc>
          <w:tcPr>
            <w:tcW w:w="1024" w:type="dxa"/>
          </w:tcPr>
          <w:p w14:paraId="427BE29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380</w:t>
            </w:r>
          </w:p>
        </w:tc>
        <w:tc>
          <w:tcPr>
            <w:tcW w:w="1024" w:type="dxa"/>
          </w:tcPr>
          <w:p w14:paraId="25B1268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672</w:t>
            </w:r>
          </w:p>
        </w:tc>
      </w:tr>
      <w:tr w:rsidR="005106D0" w:rsidRPr="007224C3" w14:paraId="2850A220" w14:textId="77777777">
        <w:tc>
          <w:tcPr>
            <w:tcW w:w="1024" w:type="dxa"/>
          </w:tcPr>
          <w:p w14:paraId="794FA5D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9ADDA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36763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024" w:type="dxa"/>
          </w:tcPr>
          <w:p w14:paraId="0B62AD8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024" w:type="dxa"/>
          </w:tcPr>
          <w:p w14:paraId="63A88DE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365</w:t>
            </w:r>
          </w:p>
        </w:tc>
        <w:tc>
          <w:tcPr>
            <w:tcW w:w="1024" w:type="dxa"/>
          </w:tcPr>
          <w:p w14:paraId="5459B48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590</w:t>
            </w:r>
          </w:p>
        </w:tc>
        <w:tc>
          <w:tcPr>
            <w:tcW w:w="1024" w:type="dxa"/>
          </w:tcPr>
          <w:p w14:paraId="106FB3C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955</w:t>
            </w:r>
          </w:p>
        </w:tc>
      </w:tr>
    </w:tbl>
    <w:p w14:paraId="38686E6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Дальнейшее перспективное увеличение выпуска транспортных самолетов может быть осуществлено за счет:</w:t>
      </w:r>
    </w:p>
    <w:p w14:paraId="195F676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Увеличения выпуска самолетов ЩЕ-2 путем доукомплектования производственной мощности завода N 47 до двух самолетов в день:</w:t>
      </w:r>
    </w:p>
    <w:p w14:paraId="7C0E2D3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оборудованием до 50 единиц</w:t>
      </w:r>
    </w:p>
    <w:p w14:paraId="46EA42B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Рабочей силой на 600 чел.</w:t>
      </w:r>
    </w:p>
    <w:p w14:paraId="240D6FB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Увеличение выпуска самолетов С-2 на заводе N 494 до 4-х самолетов в день путем доукомплектования производственной мощности завода:</w:t>
      </w:r>
    </w:p>
    <w:p w14:paraId="3283C38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оборудованием на 45 единиц</w:t>
      </w:r>
    </w:p>
    <w:p w14:paraId="03F007A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рабочей силой на 250 человек</w:t>
      </w:r>
    </w:p>
    <w:p w14:paraId="2A6258B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при строительстве сборочного цеха на 1500 м кв.</w:t>
      </w:r>
    </w:p>
    <w:p w14:paraId="19F1AC5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3. Перевода ремонтного завода (бывш. завода N 23 в Ленинграде) на производство самолетов ЩЕ-2 и доукомплектования его оборудованием и рабочей силой, для доведения выпуска на этом заводе до двух самолетов в день.</w:t>
      </w:r>
    </w:p>
    <w:p w14:paraId="676E1D6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Таким образом, при проведении указанных мероприятий перспективное увеличение выпуска транспортных самолетов может быть доведено до:</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8"/>
        <w:gridCol w:w="1878"/>
        <w:gridCol w:w="1878"/>
        <w:gridCol w:w="1878"/>
      </w:tblGrid>
      <w:tr w:rsidR="005106D0" w:rsidRPr="007224C3" w14:paraId="2DD19186" w14:textId="77777777">
        <w:tc>
          <w:tcPr>
            <w:tcW w:w="1878" w:type="dxa"/>
          </w:tcPr>
          <w:p w14:paraId="066A424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Номера</w:t>
            </w:r>
          </w:p>
        </w:tc>
        <w:tc>
          <w:tcPr>
            <w:tcW w:w="1878" w:type="dxa"/>
          </w:tcPr>
          <w:p w14:paraId="357C383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Тип</w:t>
            </w:r>
          </w:p>
        </w:tc>
        <w:tc>
          <w:tcPr>
            <w:tcW w:w="1878" w:type="dxa"/>
          </w:tcPr>
          <w:p w14:paraId="79855AD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Кол-во</w:t>
            </w:r>
          </w:p>
        </w:tc>
        <w:tc>
          <w:tcPr>
            <w:tcW w:w="1878" w:type="dxa"/>
          </w:tcPr>
          <w:p w14:paraId="0BFAC12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Кол-во</w:t>
            </w:r>
          </w:p>
        </w:tc>
      </w:tr>
      <w:tr w:rsidR="005106D0" w:rsidRPr="007224C3" w14:paraId="020B8AFB" w14:textId="77777777">
        <w:tc>
          <w:tcPr>
            <w:tcW w:w="1878" w:type="dxa"/>
          </w:tcPr>
          <w:p w14:paraId="5BC881A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з-дов</w:t>
            </w:r>
          </w:p>
        </w:tc>
        <w:tc>
          <w:tcPr>
            <w:tcW w:w="1878" w:type="dxa"/>
          </w:tcPr>
          <w:p w14:paraId="36235B9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с-та</w:t>
            </w:r>
          </w:p>
        </w:tc>
        <w:tc>
          <w:tcPr>
            <w:tcW w:w="1878" w:type="dxa"/>
          </w:tcPr>
          <w:p w14:paraId="057E250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с-тов</w:t>
            </w:r>
          </w:p>
        </w:tc>
        <w:tc>
          <w:tcPr>
            <w:tcW w:w="1878" w:type="dxa"/>
          </w:tcPr>
          <w:p w14:paraId="535F173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с-тов</w:t>
            </w:r>
          </w:p>
        </w:tc>
      </w:tr>
      <w:tr w:rsidR="005106D0" w:rsidRPr="007224C3" w14:paraId="761AA908" w14:textId="77777777">
        <w:tc>
          <w:tcPr>
            <w:tcW w:w="1878" w:type="dxa"/>
          </w:tcPr>
          <w:p w14:paraId="0FDF706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09E852F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30C306D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день</w:t>
            </w:r>
          </w:p>
        </w:tc>
        <w:tc>
          <w:tcPr>
            <w:tcW w:w="1878" w:type="dxa"/>
          </w:tcPr>
          <w:p w14:paraId="44EA931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месяц</w:t>
            </w:r>
          </w:p>
        </w:tc>
      </w:tr>
      <w:tr w:rsidR="005106D0" w:rsidRPr="007224C3" w14:paraId="68EDCC6B" w14:textId="77777777">
        <w:tc>
          <w:tcPr>
            <w:tcW w:w="1878" w:type="dxa"/>
          </w:tcPr>
          <w:p w14:paraId="77D38E8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З-д N 47</w:t>
            </w:r>
          </w:p>
        </w:tc>
        <w:tc>
          <w:tcPr>
            <w:tcW w:w="1878" w:type="dxa"/>
          </w:tcPr>
          <w:p w14:paraId="0A0F4C7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ЩЕ-2</w:t>
            </w:r>
          </w:p>
        </w:tc>
        <w:tc>
          <w:tcPr>
            <w:tcW w:w="1878" w:type="dxa"/>
          </w:tcPr>
          <w:p w14:paraId="07F594C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tc>
        <w:tc>
          <w:tcPr>
            <w:tcW w:w="1878" w:type="dxa"/>
          </w:tcPr>
          <w:p w14:paraId="735A43F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w:t>
            </w:r>
          </w:p>
        </w:tc>
      </w:tr>
      <w:tr w:rsidR="005106D0" w:rsidRPr="007224C3" w14:paraId="291B6796" w14:textId="77777777">
        <w:tc>
          <w:tcPr>
            <w:tcW w:w="1878" w:type="dxa"/>
          </w:tcPr>
          <w:p w14:paraId="05C80A8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З-д N 23</w:t>
            </w:r>
          </w:p>
        </w:tc>
        <w:tc>
          <w:tcPr>
            <w:tcW w:w="1878" w:type="dxa"/>
          </w:tcPr>
          <w:p w14:paraId="6649895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2E27428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332EE53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1FBF6A8" w14:textId="77777777">
        <w:tc>
          <w:tcPr>
            <w:tcW w:w="1878" w:type="dxa"/>
          </w:tcPr>
          <w:p w14:paraId="1B61B6B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(бывш.)</w:t>
            </w:r>
          </w:p>
        </w:tc>
        <w:tc>
          <w:tcPr>
            <w:tcW w:w="1878" w:type="dxa"/>
          </w:tcPr>
          <w:p w14:paraId="0EAB606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ЩЕ-2</w:t>
            </w:r>
          </w:p>
        </w:tc>
        <w:tc>
          <w:tcPr>
            <w:tcW w:w="1878" w:type="dxa"/>
          </w:tcPr>
          <w:p w14:paraId="5F9EF62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tc>
        <w:tc>
          <w:tcPr>
            <w:tcW w:w="1878" w:type="dxa"/>
          </w:tcPr>
          <w:p w14:paraId="705758F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w:t>
            </w:r>
          </w:p>
        </w:tc>
      </w:tr>
      <w:tr w:rsidR="005106D0" w:rsidRPr="007224C3" w14:paraId="201D5E83" w14:textId="77777777">
        <w:tc>
          <w:tcPr>
            <w:tcW w:w="1878" w:type="dxa"/>
          </w:tcPr>
          <w:p w14:paraId="1A32747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З-д N 494</w:t>
            </w:r>
          </w:p>
        </w:tc>
        <w:tc>
          <w:tcPr>
            <w:tcW w:w="1878" w:type="dxa"/>
          </w:tcPr>
          <w:p w14:paraId="1CAA75C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С-2</w:t>
            </w:r>
          </w:p>
        </w:tc>
        <w:tc>
          <w:tcPr>
            <w:tcW w:w="1878" w:type="dxa"/>
          </w:tcPr>
          <w:p w14:paraId="52756C3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w:t>
            </w:r>
          </w:p>
        </w:tc>
        <w:tc>
          <w:tcPr>
            <w:tcW w:w="1878" w:type="dxa"/>
          </w:tcPr>
          <w:p w14:paraId="7DC5962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w:t>
            </w:r>
          </w:p>
        </w:tc>
      </w:tr>
      <w:tr w:rsidR="005106D0" w:rsidRPr="007224C3" w14:paraId="31A9F7D1" w14:textId="77777777">
        <w:tc>
          <w:tcPr>
            <w:tcW w:w="1878" w:type="dxa"/>
          </w:tcPr>
          <w:p w14:paraId="21BF781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w:t>
            </w:r>
          </w:p>
        </w:tc>
        <w:tc>
          <w:tcPr>
            <w:tcW w:w="1878" w:type="dxa"/>
          </w:tcPr>
          <w:p w14:paraId="496E120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1EB62E9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w:t>
            </w:r>
          </w:p>
        </w:tc>
        <w:tc>
          <w:tcPr>
            <w:tcW w:w="1878" w:type="dxa"/>
          </w:tcPr>
          <w:p w14:paraId="4E2662D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200 (1822,171)</w:t>
            </w:r>
          </w:p>
        </w:tc>
      </w:tr>
    </w:tbl>
    <w:p w14:paraId="6094EB7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1AD6B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марта 1944 года на основании приказа НКАП ОКБ-22 совместно с ОКБ-16 и заводом № 22 было предложено выпустить в 1944-м еще три самолета, оборудованных ракетными двигателями РД-1, но из-за отсутствия ЖРД и комплекта необходимых черте</w:t>
      </w:r>
      <w:r w:rsidRPr="007224C3">
        <w:rPr>
          <w:rFonts w:ascii="Times New Roman" w:hAnsi="Times New Roman"/>
          <w:color w:val="000000" w:themeColor="text1"/>
          <w:sz w:val="16"/>
          <w:szCs w:val="16"/>
        </w:rPr>
        <w:softHyphen/>
        <w:t>жей работу в этом направлении прекратили (11446).</w:t>
      </w:r>
    </w:p>
    <w:p w14:paraId="3CAC7FE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B29A3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марта 1944 вышел приказ НК ВМФ N 0193 о проведении гос. испытаний авиационного вооружения крейсера Молотов и испытывали Бе-4 и Спитфайр (2595).</w:t>
      </w:r>
    </w:p>
    <w:p w14:paraId="1ED290F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0FFF9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марта 1944 Гайдуков предложил Г.М.Маленкову как члену ГКО, курировавшему разработку новых образцов оружия и военной техники, проект постановления ГОКО о расширении работ по реактивному вооружению, предусматривающий, наряду с продолжением деятельности НИИРА и ЦАГИ, также создание в НКБ новой организации - СКБ для отработки и промышленного освоения новых образцов реактивных снарядов и совершенствования ранее созданных, а также организацию на заводе № 733 НКМВ (Компрессор) КБ по ПУ (8633,9).</w:t>
      </w:r>
    </w:p>
    <w:p w14:paraId="73CC1B1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3925A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марта 1944 г. член Во</w:t>
      </w:r>
      <w:r w:rsidRPr="007224C3">
        <w:rPr>
          <w:rFonts w:ascii="Times New Roman" w:hAnsi="Times New Roman"/>
          <w:color w:val="000000" w:themeColor="text1"/>
          <w:sz w:val="16"/>
          <w:szCs w:val="16"/>
        </w:rPr>
        <w:softHyphen/>
        <w:t>енного совета ГМЧ генерал-лейтенант Л.М. Гайдуков представил члену ГКО Г.М. Маленкову, ку</w:t>
      </w:r>
      <w:r w:rsidRPr="007224C3">
        <w:rPr>
          <w:rFonts w:ascii="Times New Roman" w:hAnsi="Times New Roman"/>
          <w:color w:val="000000" w:themeColor="text1"/>
          <w:sz w:val="16"/>
          <w:szCs w:val="16"/>
        </w:rPr>
        <w:softHyphen/>
        <w:t>рировавшему разработку новых образ</w:t>
      </w:r>
      <w:r w:rsidRPr="007224C3">
        <w:rPr>
          <w:rFonts w:ascii="Times New Roman" w:hAnsi="Times New Roman"/>
          <w:color w:val="000000" w:themeColor="text1"/>
          <w:sz w:val="16"/>
          <w:szCs w:val="16"/>
        </w:rPr>
        <w:softHyphen/>
        <w:t>цов оружия и военной техники, проект постановления ГКО о расширении ра</w:t>
      </w:r>
      <w:r w:rsidRPr="007224C3">
        <w:rPr>
          <w:rFonts w:ascii="Times New Roman" w:hAnsi="Times New Roman"/>
          <w:color w:val="000000" w:themeColor="text1"/>
          <w:sz w:val="16"/>
          <w:szCs w:val="16"/>
        </w:rPr>
        <w:softHyphen/>
        <w:t>бот по реактивному вооружению, пре</w:t>
      </w:r>
      <w:r w:rsidRPr="007224C3">
        <w:rPr>
          <w:rFonts w:ascii="Times New Roman" w:hAnsi="Times New Roman"/>
          <w:color w:val="000000" w:themeColor="text1"/>
          <w:sz w:val="16"/>
          <w:szCs w:val="16"/>
        </w:rPr>
        <w:softHyphen/>
        <w:t>дусматривающего, в том числе, созда</w:t>
      </w:r>
      <w:r w:rsidRPr="007224C3">
        <w:rPr>
          <w:rFonts w:ascii="Times New Roman" w:hAnsi="Times New Roman"/>
          <w:color w:val="000000" w:themeColor="text1"/>
          <w:sz w:val="16"/>
          <w:szCs w:val="16"/>
        </w:rPr>
        <w:softHyphen/>
        <w:t>ние в Наркомате боеприпасов новой организации — СКБ для отработки и промышленного освоения новых об</w:t>
      </w:r>
      <w:r w:rsidRPr="007224C3">
        <w:rPr>
          <w:rFonts w:ascii="Times New Roman" w:hAnsi="Times New Roman"/>
          <w:color w:val="000000" w:themeColor="text1"/>
          <w:sz w:val="16"/>
          <w:szCs w:val="16"/>
        </w:rPr>
        <w:softHyphen/>
        <w:t>разцов реактивных снарядов и совер</w:t>
      </w:r>
      <w:r w:rsidRPr="007224C3">
        <w:rPr>
          <w:rFonts w:ascii="Times New Roman" w:hAnsi="Times New Roman"/>
          <w:color w:val="000000" w:themeColor="text1"/>
          <w:sz w:val="16"/>
          <w:szCs w:val="16"/>
        </w:rPr>
        <w:softHyphen/>
        <w:t>шенствования ранее созданных, а так</w:t>
      </w:r>
      <w:r w:rsidRPr="007224C3">
        <w:rPr>
          <w:rFonts w:ascii="Times New Roman" w:hAnsi="Times New Roman"/>
          <w:color w:val="000000" w:themeColor="text1"/>
          <w:sz w:val="16"/>
          <w:szCs w:val="16"/>
        </w:rPr>
        <w:softHyphen/>
        <w:t>же организацию КБ по пусковым уста</w:t>
      </w:r>
      <w:r w:rsidRPr="007224C3">
        <w:rPr>
          <w:rFonts w:ascii="Times New Roman" w:hAnsi="Times New Roman"/>
          <w:color w:val="000000" w:themeColor="text1"/>
          <w:sz w:val="16"/>
          <w:szCs w:val="16"/>
        </w:rPr>
        <w:softHyphen/>
        <w:t>новкам на заводе №733 («Компрессор») Наркомата минометного вооружения. В свою очередь нарком боеприпасов Б.Л. Ванников в октябре 1944 г. подго</w:t>
      </w:r>
      <w:r w:rsidRPr="007224C3">
        <w:rPr>
          <w:rFonts w:ascii="Times New Roman" w:hAnsi="Times New Roman"/>
          <w:color w:val="000000" w:themeColor="text1"/>
          <w:sz w:val="16"/>
          <w:szCs w:val="16"/>
        </w:rPr>
        <w:softHyphen/>
        <w:t>товил проект постановления о создании в Наркомате боеприпасов ОКБ-3 для разработки реактивного вооружения, предусматривавшего назначение его руководителем Ю.А. Победоносцева.</w:t>
      </w:r>
    </w:p>
    <w:p w14:paraId="4365D30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 своей стороны нарком авиаци</w:t>
      </w:r>
      <w:r w:rsidRPr="007224C3">
        <w:rPr>
          <w:rFonts w:ascii="Times New Roman" w:hAnsi="Times New Roman"/>
          <w:color w:val="000000" w:themeColor="text1"/>
          <w:sz w:val="16"/>
          <w:szCs w:val="16"/>
        </w:rPr>
        <w:softHyphen/>
        <w:t>онной промышленности А.И. Шахурин обратился к Г.М. Маленкову с предло</w:t>
      </w:r>
      <w:r w:rsidRPr="007224C3">
        <w:rPr>
          <w:rFonts w:ascii="Times New Roman" w:hAnsi="Times New Roman"/>
          <w:color w:val="000000" w:themeColor="text1"/>
          <w:sz w:val="16"/>
          <w:szCs w:val="16"/>
        </w:rPr>
        <w:softHyphen/>
        <w:t>жением организовать на территории бывшего авиационного завода №482 в районе поселка Владыкино, располо</w:t>
      </w:r>
      <w:r w:rsidRPr="007224C3">
        <w:rPr>
          <w:rFonts w:ascii="Times New Roman" w:hAnsi="Times New Roman"/>
          <w:color w:val="000000" w:themeColor="text1"/>
          <w:sz w:val="16"/>
          <w:szCs w:val="16"/>
        </w:rPr>
        <w:softHyphen/>
        <w:t>женного недалеко от Всесоюзной сель</w:t>
      </w:r>
      <w:r w:rsidRPr="007224C3">
        <w:rPr>
          <w:rFonts w:ascii="Times New Roman" w:hAnsi="Times New Roman"/>
          <w:color w:val="000000" w:themeColor="text1"/>
          <w:sz w:val="16"/>
          <w:szCs w:val="16"/>
        </w:rPr>
        <w:softHyphen/>
        <w:t>скохозяйственной выставки за преде</w:t>
      </w:r>
      <w:r w:rsidRPr="007224C3">
        <w:rPr>
          <w:rFonts w:ascii="Times New Roman" w:hAnsi="Times New Roman"/>
          <w:color w:val="000000" w:themeColor="text1"/>
          <w:sz w:val="16"/>
          <w:szCs w:val="16"/>
        </w:rPr>
        <w:softHyphen/>
        <w:t>лами тогдашних границ Москвы, Науч</w:t>
      </w:r>
      <w:r w:rsidRPr="007224C3">
        <w:rPr>
          <w:rFonts w:ascii="Times New Roman" w:hAnsi="Times New Roman"/>
          <w:color w:val="000000" w:themeColor="text1"/>
          <w:sz w:val="16"/>
          <w:szCs w:val="16"/>
        </w:rPr>
        <w:softHyphen/>
        <w:t>но-исследовательский институт реак</w:t>
      </w:r>
      <w:r w:rsidRPr="007224C3">
        <w:rPr>
          <w:rFonts w:ascii="Times New Roman" w:hAnsi="Times New Roman"/>
          <w:color w:val="000000" w:themeColor="text1"/>
          <w:sz w:val="16"/>
          <w:szCs w:val="16"/>
        </w:rPr>
        <w:softHyphen/>
        <w:t>тивного вооружения под руководством Ю.А. Победоносцева (11090).</w:t>
      </w:r>
    </w:p>
    <w:p w14:paraId="345D944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0E2E6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марта 1944 г. для развития работ по ГТД при НИИ-1 было организовано СКБ, гл. конструктором утвержден A.M. Люлька (одновременно- начальник отдела авиационных ТРД института), группа которого со всем заделом и оборудованием бьгла переведена из ЦИАМ. Работы по ТРД С-18 на базе довоенного проекта РД-1. В 05.1944 г. принято решение о постройке опытной серии из 5 двигателей на заводе № 165, отданом в распоряжение СКБ. Изготовление части узлов поручено заводу № 45. С-18 создан в 1945 г., затем его летный вариант - TP-1.</w:t>
      </w:r>
    </w:p>
    <w:p w14:paraId="0C15F6C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приказу МАП № 182сс от 30.03.1946 г. для расширения работ СКБ переведено на самостоятельную базу- завод № 165 и получило название ОКБ-165 МАП.</w:t>
      </w:r>
    </w:p>
    <w:p w14:paraId="41A8612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конструктор (03.1944-03.1946 г.)- A.M. Люлька.</w:t>
      </w:r>
    </w:p>
    <w:p w14:paraId="73A48FA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гл. конструктора (1946 г.)- И.Ф. Козлов.</w:t>
      </w:r>
    </w:p>
    <w:p w14:paraId="0B27DC2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Начальники бригад: компрессоров (1944 г.)- Р-А. Майков; испытательной- С.П. Кувшинников (11982).</w:t>
      </w:r>
    </w:p>
    <w:p w14:paraId="1334852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0E5E91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марта 1944 года вышел Приказ Наркома авиапромышленности А.И.Шахурина «О работах по дальнейшему усовершенствованию реактивного двигателя РД-1 на заводе № 16» от (которым занимались в «шараге» заключенные Глушко В.П. и С.П.Королев и др.) (11331).</w:t>
      </w:r>
    </w:p>
    <w:p w14:paraId="6F2CC83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40AA9A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марта 1944 Нач. 12 ГУ НКАП Васильев подготовлен расчет потребностей в радиоаппаратуре на 2-й кв. 1944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158"/>
        <w:gridCol w:w="810"/>
        <w:gridCol w:w="603"/>
        <w:gridCol w:w="1197"/>
        <w:gridCol w:w="750"/>
        <w:gridCol w:w="750"/>
        <w:gridCol w:w="750"/>
        <w:gridCol w:w="750"/>
        <w:gridCol w:w="750"/>
        <w:gridCol w:w="750"/>
      </w:tblGrid>
      <w:tr w:rsidR="005106D0" w:rsidRPr="007224C3" w14:paraId="4C7F0A3D" w14:textId="77777777">
        <w:tc>
          <w:tcPr>
            <w:tcW w:w="4158" w:type="dxa"/>
            <w:tcBorders>
              <w:top w:val="single" w:sz="12" w:space="0" w:color="auto"/>
            </w:tcBorders>
          </w:tcPr>
          <w:p w14:paraId="481BF95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Наименование</w:t>
            </w:r>
          </w:p>
        </w:tc>
        <w:tc>
          <w:tcPr>
            <w:tcW w:w="810" w:type="dxa"/>
            <w:tcBorders>
              <w:top w:val="single" w:sz="12" w:space="0" w:color="auto"/>
            </w:tcBorders>
          </w:tcPr>
          <w:p w14:paraId="7439278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Тип</w:t>
            </w:r>
          </w:p>
        </w:tc>
        <w:tc>
          <w:tcPr>
            <w:tcW w:w="603" w:type="dxa"/>
            <w:tcBorders>
              <w:top w:val="single" w:sz="12" w:space="0" w:color="auto"/>
            </w:tcBorders>
          </w:tcPr>
          <w:p w14:paraId="4FADD38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Един. Измер.</w:t>
            </w:r>
          </w:p>
        </w:tc>
        <w:tc>
          <w:tcPr>
            <w:tcW w:w="1197" w:type="dxa"/>
            <w:tcBorders>
              <w:top w:val="single" w:sz="12" w:space="0" w:color="auto"/>
            </w:tcBorders>
          </w:tcPr>
          <w:p w14:paraId="5A990DD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Тип самолета</w:t>
            </w:r>
          </w:p>
        </w:tc>
        <w:tc>
          <w:tcPr>
            <w:tcW w:w="750" w:type="dxa"/>
            <w:tcBorders>
              <w:top w:val="single" w:sz="12" w:space="0" w:color="auto"/>
            </w:tcBorders>
          </w:tcPr>
          <w:p w14:paraId="3CB5514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Расход на самолет</w:t>
            </w:r>
          </w:p>
        </w:tc>
        <w:tc>
          <w:tcPr>
            <w:tcW w:w="750" w:type="dxa"/>
            <w:tcBorders>
              <w:top w:val="single" w:sz="12" w:space="0" w:color="auto"/>
            </w:tcBorders>
          </w:tcPr>
          <w:p w14:paraId="12FC6FB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Потребность на выпуск</w:t>
            </w:r>
          </w:p>
        </w:tc>
        <w:tc>
          <w:tcPr>
            <w:tcW w:w="750" w:type="dxa"/>
            <w:tcBorders>
              <w:top w:val="single" w:sz="12" w:space="0" w:color="auto"/>
            </w:tcBorders>
          </w:tcPr>
          <w:p w14:paraId="795634D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увеличение задела</w:t>
            </w:r>
          </w:p>
        </w:tc>
        <w:tc>
          <w:tcPr>
            <w:tcW w:w="750" w:type="dxa"/>
            <w:tcBorders>
              <w:top w:val="single" w:sz="12" w:space="0" w:color="auto"/>
            </w:tcBorders>
          </w:tcPr>
          <w:p w14:paraId="7B35FDE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Итого</w:t>
            </w:r>
          </w:p>
        </w:tc>
        <w:tc>
          <w:tcPr>
            <w:tcW w:w="1500" w:type="dxa"/>
            <w:gridSpan w:val="2"/>
            <w:tcBorders>
              <w:top w:val="single" w:sz="12" w:space="0" w:color="auto"/>
            </w:tcBorders>
          </w:tcPr>
          <w:p w14:paraId="6159C8F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Заявка</w:t>
            </w:r>
          </w:p>
        </w:tc>
      </w:tr>
      <w:tr w:rsidR="005106D0" w:rsidRPr="007224C3" w14:paraId="7F617F3A" w14:textId="77777777">
        <w:tc>
          <w:tcPr>
            <w:tcW w:w="4158" w:type="dxa"/>
          </w:tcPr>
          <w:p w14:paraId="40B8989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04C25E7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603" w:type="dxa"/>
          </w:tcPr>
          <w:p w14:paraId="2FAF39B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Pr>
          <w:p w14:paraId="7045578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750" w:type="dxa"/>
          </w:tcPr>
          <w:p w14:paraId="2F3BA52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750" w:type="dxa"/>
          </w:tcPr>
          <w:p w14:paraId="1E3C354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750" w:type="dxa"/>
          </w:tcPr>
          <w:p w14:paraId="06D458F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750" w:type="dxa"/>
          </w:tcPr>
          <w:p w14:paraId="1B656E0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750" w:type="dxa"/>
          </w:tcPr>
          <w:p w14:paraId="1D3A867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2-й кв.</w:t>
            </w:r>
          </w:p>
        </w:tc>
        <w:tc>
          <w:tcPr>
            <w:tcW w:w="750" w:type="dxa"/>
          </w:tcPr>
          <w:p w14:paraId="6944619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т.ч. апрель</w:t>
            </w:r>
          </w:p>
        </w:tc>
      </w:tr>
      <w:tr w:rsidR="005106D0" w:rsidRPr="007224C3" w14:paraId="4CBF95B1" w14:textId="77777777">
        <w:tc>
          <w:tcPr>
            <w:tcW w:w="4158" w:type="dxa"/>
          </w:tcPr>
          <w:p w14:paraId="5A5AC0F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Радиостанция с приемником УС-1</w:t>
            </w:r>
          </w:p>
        </w:tc>
        <w:tc>
          <w:tcPr>
            <w:tcW w:w="810" w:type="dxa"/>
          </w:tcPr>
          <w:p w14:paraId="66A8B48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РСБ-3б</w:t>
            </w:r>
          </w:p>
        </w:tc>
        <w:tc>
          <w:tcPr>
            <w:tcW w:w="603" w:type="dxa"/>
          </w:tcPr>
          <w:p w14:paraId="71230DE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кмп.</w:t>
            </w:r>
          </w:p>
        </w:tc>
        <w:tc>
          <w:tcPr>
            <w:tcW w:w="1197" w:type="dxa"/>
          </w:tcPr>
          <w:p w14:paraId="68D9A68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Ту-2</w:t>
            </w:r>
          </w:p>
        </w:tc>
        <w:tc>
          <w:tcPr>
            <w:tcW w:w="750" w:type="dxa"/>
          </w:tcPr>
          <w:p w14:paraId="00D708E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w:t>
            </w:r>
          </w:p>
        </w:tc>
        <w:tc>
          <w:tcPr>
            <w:tcW w:w="750" w:type="dxa"/>
          </w:tcPr>
          <w:p w14:paraId="547E2B3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120</w:t>
            </w:r>
          </w:p>
        </w:tc>
        <w:tc>
          <w:tcPr>
            <w:tcW w:w="750" w:type="dxa"/>
          </w:tcPr>
          <w:p w14:paraId="074BA80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750" w:type="dxa"/>
          </w:tcPr>
          <w:p w14:paraId="7C7A06C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120</w:t>
            </w:r>
          </w:p>
        </w:tc>
        <w:tc>
          <w:tcPr>
            <w:tcW w:w="750" w:type="dxa"/>
          </w:tcPr>
          <w:p w14:paraId="70640D1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750" w:type="dxa"/>
          </w:tcPr>
          <w:p w14:paraId="4957EA2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7FC98332" w14:textId="77777777">
        <w:tc>
          <w:tcPr>
            <w:tcW w:w="4158" w:type="dxa"/>
          </w:tcPr>
          <w:p w14:paraId="6CDE7CD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2E693B1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603" w:type="dxa"/>
          </w:tcPr>
          <w:p w14:paraId="160DF27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кмп.</w:t>
            </w:r>
          </w:p>
        </w:tc>
        <w:tc>
          <w:tcPr>
            <w:tcW w:w="1197" w:type="dxa"/>
          </w:tcPr>
          <w:p w14:paraId="301AE59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Ил-4</w:t>
            </w:r>
          </w:p>
        </w:tc>
        <w:tc>
          <w:tcPr>
            <w:tcW w:w="750" w:type="dxa"/>
          </w:tcPr>
          <w:p w14:paraId="12E7AEF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w:t>
            </w:r>
          </w:p>
        </w:tc>
        <w:tc>
          <w:tcPr>
            <w:tcW w:w="750" w:type="dxa"/>
          </w:tcPr>
          <w:p w14:paraId="5D2F5DD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185</w:t>
            </w:r>
          </w:p>
        </w:tc>
        <w:tc>
          <w:tcPr>
            <w:tcW w:w="750" w:type="dxa"/>
          </w:tcPr>
          <w:p w14:paraId="7D30F35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750" w:type="dxa"/>
          </w:tcPr>
          <w:p w14:paraId="59F3A3A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185</w:t>
            </w:r>
          </w:p>
        </w:tc>
        <w:tc>
          <w:tcPr>
            <w:tcW w:w="750" w:type="dxa"/>
          </w:tcPr>
          <w:p w14:paraId="72D9F1B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750" w:type="dxa"/>
          </w:tcPr>
          <w:p w14:paraId="2E1BE91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06762360" w14:textId="77777777">
        <w:tc>
          <w:tcPr>
            <w:tcW w:w="4158" w:type="dxa"/>
          </w:tcPr>
          <w:p w14:paraId="70BB1AA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54FB9FC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603" w:type="dxa"/>
          </w:tcPr>
          <w:p w14:paraId="542DD7B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кмп.</w:t>
            </w:r>
          </w:p>
        </w:tc>
        <w:tc>
          <w:tcPr>
            <w:tcW w:w="1197" w:type="dxa"/>
          </w:tcPr>
          <w:p w14:paraId="7DBA087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Ил-2 корр.</w:t>
            </w:r>
          </w:p>
        </w:tc>
        <w:tc>
          <w:tcPr>
            <w:tcW w:w="750" w:type="dxa"/>
          </w:tcPr>
          <w:p w14:paraId="64E457E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w:t>
            </w:r>
          </w:p>
        </w:tc>
        <w:tc>
          <w:tcPr>
            <w:tcW w:w="750" w:type="dxa"/>
          </w:tcPr>
          <w:p w14:paraId="270E526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75</w:t>
            </w:r>
          </w:p>
        </w:tc>
        <w:tc>
          <w:tcPr>
            <w:tcW w:w="750" w:type="dxa"/>
          </w:tcPr>
          <w:p w14:paraId="6B7C067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750" w:type="dxa"/>
          </w:tcPr>
          <w:p w14:paraId="101012C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75</w:t>
            </w:r>
          </w:p>
        </w:tc>
        <w:tc>
          <w:tcPr>
            <w:tcW w:w="750" w:type="dxa"/>
          </w:tcPr>
          <w:p w14:paraId="53ACAA7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750" w:type="dxa"/>
          </w:tcPr>
          <w:p w14:paraId="2214791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49FECF1A" w14:textId="77777777">
        <w:tc>
          <w:tcPr>
            <w:tcW w:w="4158" w:type="dxa"/>
          </w:tcPr>
          <w:p w14:paraId="7D37E04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63A506A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603" w:type="dxa"/>
          </w:tcPr>
          <w:p w14:paraId="4CFCE0F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кмп.</w:t>
            </w:r>
          </w:p>
        </w:tc>
        <w:tc>
          <w:tcPr>
            <w:tcW w:w="1197" w:type="dxa"/>
          </w:tcPr>
          <w:p w14:paraId="1C4EB18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Пе-2</w:t>
            </w:r>
          </w:p>
        </w:tc>
        <w:tc>
          <w:tcPr>
            <w:tcW w:w="750" w:type="dxa"/>
          </w:tcPr>
          <w:p w14:paraId="11FD6D6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w:t>
            </w:r>
          </w:p>
        </w:tc>
        <w:tc>
          <w:tcPr>
            <w:tcW w:w="750" w:type="dxa"/>
          </w:tcPr>
          <w:p w14:paraId="425B98D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900</w:t>
            </w:r>
          </w:p>
        </w:tc>
        <w:tc>
          <w:tcPr>
            <w:tcW w:w="750" w:type="dxa"/>
          </w:tcPr>
          <w:p w14:paraId="4F03F47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750" w:type="dxa"/>
          </w:tcPr>
          <w:p w14:paraId="65C6F43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900</w:t>
            </w:r>
          </w:p>
        </w:tc>
        <w:tc>
          <w:tcPr>
            <w:tcW w:w="750" w:type="dxa"/>
          </w:tcPr>
          <w:p w14:paraId="1C94B50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750" w:type="dxa"/>
          </w:tcPr>
          <w:p w14:paraId="0FF1CAD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45D3E6C7" w14:textId="77777777">
        <w:tc>
          <w:tcPr>
            <w:tcW w:w="4158" w:type="dxa"/>
          </w:tcPr>
          <w:p w14:paraId="4F5BF91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1670406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603" w:type="dxa"/>
          </w:tcPr>
          <w:p w14:paraId="6B64513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кмп.</w:t>
            </w:r>
          </w:p>
        </w:tc>
        <w:tc>
          <w:tcPr>
            <w:tcW w:w="1197" w:type="dxa"/>
          </w:tcPr>
          <w:p w14:paraId="028D817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Ер-2</w:t>
            </w:r>
          </w:p>
        </w:tc>
        <w:tc>
          <w:tcPr>
            <w:tcW w:w="750" w:type="dxa"/>
          </w:tcPr>
          <w:p w14:paraId="09AD09F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w:t>
            </w:r>
          </w:p>
        </w:tc>
        <w:tc>
          <w:tcPr>
            <w:tcW w:w="750" w:type="dxa"/>
          </w:tcPr>
          <w:p w14:paraId="4E6386F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120</w:t>
            </w:r>
          </w:p>
        </w:tc>
        <w:tc>
          <w:tcPr>
            <w:tcW w:w="750" w:type="dxa"/>
          </w:tcPr>
          <w:p w14:paraId="5B3CD05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750" w:type="dxa"/>
          </w:tcPr>
          <w:p w14:paraId="471078E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120</w:t>
            </w:r>
          </w:p>
        </w:tc>
        <w:tc>
          <w:tcPr>
            <w:tcW w:w="750" w:type="dxa"/>
          </w:tcPr>
          <w:p w14:paraId="5DFA5E8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750" w:type="dxa"/>
          </w:tcPr>
          <w:p w14:paraId="690A290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77D9471F" w14:textId="77777777">
        <w:tc>
          <w:tcPr>
            <w:tcW w:w="4158" w:type="dxa"/>
          </w:tcPr>
          <w:p w14:paraId="6D492AD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2AFD966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603" w:type="dxa"/>
          </w:tcPr>
          <w:p w14:paraId="5D7FEA0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Pr>
          <w:p w14:paraId="0F41C4A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750" w:type="dxa"/>
          </w:tcPr>
          <w:p w14:paraId="6921A6F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750" w:type="dxa"/>
          </w:tcPr>
          <w:p w14:paraId="4B0F0DF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1400</w:t>
            </w:r>
          </w:p>
        </w:tc>
        <w:tc>
          <w:tcPr>
            <w:tcW w:w="750" w:type="dxa"/>
          </w:tcPr>
          <w:p w14:paraId="1B97E4C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750" w:type="dxa"/>
          </w:tcPr>
          <w:p w14:paraId="2D3129B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1400</w:t>
            </w:r>
          </w:p>
        </w:tc>
        <w:tc>
          <w:tcPr>
            <w:tcW w:w="750" w:type="dxa"/>
          </w:tcPr>
          <w:p w14:paraId="5219655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750" w:type="dxa"/>
          </w:tcPr>
          <w:p w14:paraId="3352502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6CEA8C45" w14:textId="77777777">
        <w:tc>
          <w:tcPr>
            <w:tcW w:w="4158" w:type="dxa"/>
          </w:tcPr>
          <w:p w14:paraId="658A6C7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том числе</w:t>
            </w:r>
          </w:p>
        </w:tc>
        <w:tc>
          <w:tcPr>
            <w:tcW w:w="810" w:type="dxa"/>
          </w:tcPr>
          <w:p w14:paraId="0A70FDE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РСБ-Мб</w:t>
            </w:r>
          </w:p>
        </w:tc>
        <w:tc>
          <w:tcPr>
            <w:tcW w:w="603" w:type="dxa"/>
          </w:tcPr>
          <w:p w14:paraId="2BC988D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кмп.</w:t>
            </w:r>
          </w:p>
        </w:tc>
        <w:tc>
          <w:tcPr>
            <w:tcW w:w="1197" w:type="dxa"/>
          </w:tcPr>
          <w:p w14:paraId="6D939EF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Бе-4</w:t>
            </w:r>
          </w:p>
        </w:tc>
        <w:tc>
          <w:tcPr>
            <w:tcW w:w="750" w:type="dxa"/>
          </w:tcPr>
          <w:p w14:paraId="53460AB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w:t>
            </w:r>
          </w:p>
        </w:tc>
        <w:tc>
          <w:tcPr>
            <w:tcW w:w="750" w:type="dxa"/>
          </w:tcPr>
          <w:p w14:paraId="41154BD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w:t>
            </w:r>
          </w:p>
        </w:tc>
        <w:tc>
          <w:tcPr>
            <w:tcW w:w="750" w:type="dxa"/>
          </w:tcPr>
          <w:p w14:paraId="690C717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w:t>
            </w:r>
          </w:p>
        </w:tc>
        <w:tc>
          <w:tcPr>
            <w:tcW w:w="750" w:type="dxa"/>
          </w:tcPr>
          <w:p w14:paraId="1D6AD38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w:t>
            </w:r>
          </w:p>
        </w:tc>
        <w:tc>
          <w:tcPr>
            <w:tcW w:w="750" w:type="dxa"/>
          </w:tcPr>
          <w:p w14:paraId="2642ADD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w:t>
            </w:r>
          </w:p>
        </w:tc>
        <w:tc>
          <w:tcPr>
            <w:tcW w:w="750" w:type="dxa"/>
          </w:tcPr>
          <w:p w14:paraId="67135D2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tc>
      </w:tr>
      <w:tr w:rsidR="005106D0" w:rsidRPr="007224C3" w14:paraId="050CD733" w14:textId="77777777">
        <w:tc>
          <w:tcPr>
            <w:tcW w:w="4158" w:type="dxa"/>
          </w:tcPr>
          <w:p w14:paraId="7D1415B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Радиостанция с приемником УС-1</w:t>
            </w:r>
          </w:p>
        </w:tc>
        <w:tc>
          <w:tcPr>
            <w:tcW w:w="810" w:type="dxa"/>
          </w:tcPr>
          <w:p w14:paraId="069322C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РСР-2</w:t>
            </w:r>
          </w:p>
        </w:tc>
        <w:tc>
          <w:tcPr>
            <w:tcW w:w="603" w:type="dxa"/>
          </w:tcPr>
          <w:p w14:paraId="55A9A61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кмп.</w:t>
            </w:r>
          </w:p>
        </w:tc>
        <w:tc>
          <w:tcPr>
            <w:tcW w:w="1197" w:type="dxa"/>
          </w:tcPr>
          <w:p w14:paraId="6854FDD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Ли-2</w:t>
            </w:r>
          </w:p>
        </w:tc>
        <w:tc>
          <w:tcPr>
            <w:tcW w:w="750" w:type="dxa"/>
          </w:tcPr>
          <w:p w14:paraId="1F9A2FB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w:t>
            </w:r>
          </w:p>
        </w:tc>
        <w:tc>
          <w:tcPr>
            <w:tcW w:w="750" w:type="dxa"/>
          </w:tcPr>
          <w:p w14:paraId="7926465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155</w:t>
            </w:r>
          </w:p>
        </w:tc>
        <w:tc>
          <w:tcPr>
            <w:tcW w:w="750" w:type="dxa"/>
          </w:tcPr>
          <w:p w14:paraId="4C64776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750" w:type="dxa"/>
          </w:tcPr>
          <w:p w14:paraId="45458C8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155</w:t>
            </w:r>
          </w:p>
        </w:tc>
        <w:tc>
          <w:tcPr>
            <w:tcW w:w="750" w:type="dxa"/>
          </w:tcPr>
          <w:p w14:paraId="182BDB6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750" w:type="dxa"/>
          </w:tcPr>
          <w:p w14:paraId="658D9EA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7525ECB0" w14:textId="77777777">
        <w:tc>
          <w:tcPr>
            <w:tcW w:w="4158" w:type="dxa"/>
          </w:tcPr>
          <w:p w14:paraId="58A8612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4EA49DD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603" w:type="dxa"/>
          </w:tcPr>
          <w:p w14:paraId="1C4723A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кмп.</w:t>
            </w:r>
          </w:p>
        </w:tc>
        <w:tc>
          <w:tcPr>
            <w:tcW w:w="1197" w:type="dxa"/>
          </w:tcPr>
          <w:p w14:paraId="7030B25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Ще-2</w:t>
            </w:r>
          </w:p>
        </w:tc>
        <w:tc>
          <w:tcPr>
            <w:tcW w:w="750" w:type="dxa"/>
          </w:tcPr>
          <w:p w14:paraId="17375FB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w:t>
            </w:r>
          </w:p>
        </w:tc>
        <w:tc>
          <w:tcPr>
            <w:tcW w:w="750" w:type="dxa"/>
          </w:tcPr>
          <w:p w14:paraId="425EF54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35</w:t>
            </w:r>
          </w:p>
        </w:tc>
        <w:tc>
          <w:tcPr>
            <w:tcW w:w="750" w:type="dxa"/>
          </w:tcPr>
          <w:p w14:paraId="4FF44E7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750" w:type="dxa"/>
          </w:tcPr>
          <w:p w14:paraId="6A7291A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35</w:t>
            </w:r>
          </w:p>
        </w:tc>
        <w:tc>
          <w:tcPr>
            <w:tcW w:w="750" w:type="dxa"/>
          </w:tcPr>
          <w:p w14:paraId="484B9C5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750" w:type="dxa"/>
          </w:tcPr>
          <w:p w14:paraId="17BAD26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4D86CE14" w14:textId="77777777">
        <w:tc>
          <w:tcPr>
            <w:tcW w:w="4158" w:type="dxa"/>
          </w:tcPr>
          <w:p w14:paraId="4AF61C2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5EA262D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603" w:type="dxa"/>
          </w:tcPr>
          <w:p w14:paraId="16B6190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Pr>
          <w:p w14:paraId="62EA523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750" w:type="dxa"/>
          </w:tcPr>
          <w:p w14:paraId="5260144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750" w:type="dxa"/>
          </w:tcPr>
          <w:p w14:paraId="4AF749B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190</w:t>
            </w:r>
          </w:p>
        </w:tc>
        <w:tc>
          <w:tcPr>
            <w:tcW w:w="750" w:type="dxa"/>
          </w:tcPr>
          <w:p w14:paraId="0BD34AA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w:t>
            </w:r>
          </w:p>
        </w:tc>
        <w:tc>
          <w:tcPr>
            <w:tcW w:w="750" w:type="dxa"/>
          </w:tcPr>
          <w:p w14:paraId="43E4588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200</w:t>
            </w:r>
          </w:p>
        </w:tc>
        <w:tc>
          <w:tcPr>
            <w:tcW w:w="750" w:type="dxa"/>
          </w:tcPr>
          <w:p w14:paraId="2A2483F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200</w:t>
            </w:r>
          </w:p>
        </w:tc>
        <w:tc>
          <w:tcPr>
            <w:tcW w:w="750" w:type="dxa"/>
          </w:tcPr>
          <w:p w14:paraId="55E8580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w:t>
            </w:r>
          </w:p>
        </w:tc>
      </w:tr>
      <w:tr w:rsidR="005106D0" w:rsidRPr="007224C3" w14:paraId="664E0374" w14:textId="77777777">
        <w:tc>
          <w:tcPr>
            <w:tcW w:w="4158" w:type="dxa"/>
          </w:tcPr>
          <w:p w14:paraId="479CA98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Радиопередатчик</w:t>
            </w:r>
          </w:p>
        </w:tc>
        <w:tc>
          <w:tcPr>
            <w:tcW w:w="810" w:type="dxa"/>
          </w:tcPr>
          <w:p w14:paraId="6021BA0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РСИ-4</w:t>
            </w:r>
          </w:p>
        </w:tc>
        <w:tc>
          <w:tcPr>
            <w:tcW w:w="603" w:type="dxa"/>
          </w:tcPr>
          <w:p w14:paraId="08EB5C2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кмп.</w:t>
            </w:r>
          </w:p>
        </w:tc>
        <w:tc>
          <w:tcPr>
            <w:tcW w:w="1197" w:type="dxa"/>
          </w:tcPr>
          <w:p w14:paraId="483B901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Ла-5</w:t>
            </w:r>
          </w:p>
        </w:tc>
        <w:tc>
          <w:tcPr>
            <w:tcW w:w="750" w:type="dxa"/>
          </w:tcPr>
          <w:p w14:paraId="3014DF7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w:t>
            </w:r>
          </w:p>
        </w:tc>
        <w:tc>
          <w:tcPr>
            <w:tcW w:w="750" w:type="dxa"/>
          </w:tcPr>
          <w:p w14:paraId="2BCC8DE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1600</w:t>
            </w:r>
          </w:p>
        </w:tc>
        <w:tc>
          <w:tcPr>
            <w:tcW w:w="750" w:type="dxa"/>
          </w:tcPr>
          <w:p w14:paraId="616D867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200</w:t>
            </w:r>
          </w:p>
        </w:tc>
        <w:tc>
          <w:tcPr>
            <w:tcW w:w="750" w:type="dxa"/>
          </w:tcPr>
          <w:p w14:paraId="41CBE35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1800</w:t>
            </w:r>
          </w:p>
        </w:tc>
        <w:tc>
          <w:tcPr>
            <w:tcW w:w="750" w:type="dxa"/>
          </w:tcPr>
          <w:p w14:paraId="45DC3F5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750" w:type="dxa"/>
          </w:tcPr>
          <w:p w14:paraId="2D77C1A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71C07A4F" w14:textId="77777777">
        <w:tc>
          <w:tcPr>
            <w:tcW w:w="4158" w:type="dxa"/>
          </w:tcPr>
          <w:p w14:paraId="59E771C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1F04A3B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603" w:type="dxa"/>
          </w:tcPr>
          <w:p w14:paraId="1009040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кмп.</w:t>
            </w:r>
          </w:p>
        </w:tc>
        <w:tc>
          <w:tcPr>
            <w:tcW w:w="1197" w:type="dxa"/>
          </w:tcPr>
          <w:p w14:paraId="44EBB5D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Як-7 и Як-9</w:t>
            </w:r>
          </w:p>
        </w:tc>
        <w:tc>
          <w:tcPr>
            <w:tcW w:w="750" w:type="dxa"/>
          </w:tcPr>
          <w:p w14:paraId="21ABCF4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w:t>
            </w:r>
          </w:p>
        </w:tc>
        <w:tc>
          <w:tcPr>
            <w:tcW w:w="750" w:type="dxa"/>
          </w:tcPr>
          <w:p w14:paraId="573B85E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1980</w:t>
            </w:r>
          </w:p>
        </w:tc>
        <w:tc>
          <w:tcPr>
            <w:tcW w:w="750" w:type="dxa"/>
          </w:tcPr>
          <w:p w14:paraId="218D923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200</w:t>
            </w:r>
          </w:p>
        </w:tc>
        <w:tc>
          <w:tcPr>
            <w:tcW w:w="750" w:type="dxa"/>
          </w:tcPr>
          <w:p w14:paraId="4F30106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2180</w:t>
            </w:r>
          </w:p>
        </w:tc>
        <w:tc>
          <w:tcPr>
            <w:tcW w:w="750" w:type="dxa"/>
          </w:tcPr>
          <w:p w14:paraId="01F1AB3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750" w:type="dxa"/>
          </w:tcPr>
          <w:p w14:paraId="2F4128A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163C0835" w14:textId="77777777">
        <w:tc>
          <w:tcPr>
            <w:tcW w:w="4158" w:type="dxa"/>
          </w:tcPr>
          <w:p w14:paraId="0021270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12E31AF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603" w:type="dxa"/>
          </w:tcPr>
          <w:p w14:paraId="2D8E9DB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кмп.</w:t>
            </w:r>
          </w:p>
        </w:tc>
        <w:tc>
          <w:tcPr>
            <w:tcW w:w="1197" w:type="dxa"/>
          </w:tcPr>
          <w:p w14:paraId="53458D3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Як-3</w:t>
            </w:r>
          </w:p>
        </w:tc>
        <w:tc>
          <w:tcPr>
            <w:tcW w:w="750" w:type="dxa"/>
          </w:tcPr>
          <w:p w14:paraId="2E466BB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w:t>
            </w:r>
          </w:p>
        </w:tc>
        <w:tc>
          <w:tcPr>
            <w:tcW w:w="750" w:type="dxa"/>
          </w:tcPr>
          <w:p w14:paraId="5E9E257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430</w:t>
            </w:r>
          </w:p>
        </w:tc>
        <w:tc>
          <w:tcPr>
            <w:tcW w:w="750" w:type="dxa"/>
          </w:tcPr>
          <w:p w14:paraId="740F261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w:t>
            </w:r>
          </w:p>
        </w:tc>
        <w:tc>
          <w:tcPr>
            <w:tcW w:w="750" w:type="dxa"/>
          </w:tcPr>
          <w:p w14:paraId="0435D3A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530</w:t>
            </w:r>
          </w:p>
        </w:tc>
        <w:tc>
          <w:tcPr>
            <w:tcW w:w="750" w:type="dxa"/>
          </w:tcPr>
          <w:p w14:paraId="200521E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750" w:type="dxa"/>
          </w:tcPr>
          <w:p w14:paraId="7FF2874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5C34DFF9" w14:textId="77777777">
        <w:tc>
          <w:tcPr>
            <w:tcW w:w="4158" w:type="dxa"/>
          </w:tcPr>
          <w:p w14:paraId="18139E4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43AB555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603" w:type="dxa"/>
          </w:tcPr>
          <w:p w14:paraId="1EF5E51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кмп.</w:t>
            </w:r>
          </w:p>
        </w:tc>
        <w:tc>
          <w:tcPr>
            <w:tcW w:w="1197" w:type="dxa"/>
          </w:tcPr>
          <w:p w14:paraId="5A6362B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Як-1</w:t>
            </w:r>
          </w:p>
        </w:tc>
        <w:tc>
          <w:tcPr>
            <w:tcW w:w="750" w:type="dxa"/>
          </w:tcPr>
          <w:p w14:paraId="31CE4CB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w:t>
            </w:r>
          </w:p>
        </w:tc>
        <w:tc>
          <w:tcPr>
            <w:tcW w:w="750" w:type="dxa"/>
          </w:tcPr>
          <w:p w14:paraId="5261BA3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500</w:t>
            </w:r>
          </w:p>
        </w:tc>
        <w:tc>
          <w:tcPr>
            <w:tcW w:w="750" w:type="dxa"/>
          </w:tcPr>
          <w:p w14:paraId="0A325AA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750" w:type="dxa"/>
          </w:tcPr>
          <w:p w14:paraId="48CC7DC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500</w:t>
            </w:r>
          </w:p>
        </w:tc>
        <w:tc>
          <w:tcPr>
            <w:tcW w:w="750" w:type="dxa"/>
          </w:tcPr>
          <w:p w14:paraId="68011AB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750" w:type="dxa"/>
          </w:tcPr>
          <w:p w14:paraId="0D6AFB3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6B52B025" w14:textId="77777777">
        <w:tc>
          <w:tcPr>
            <w:tcW w:w="4158" w:type="dxa"/>
          </w:tcPr>
          <w:p w14:paraId="73812F9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3E0CAA4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603" w:type="dxa"/>
          </w:tcPr>
          <w:p w14:paraId="06ED0C3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кмп.</w:t>
            </w:r>
          </w:p>
        </w:tc>
        <w:tc>
          <w:tcPr>
            <w:tcW w:w="1197" w:type="dxa"/>
          </w:tcPr>
          <w:p w14:paraId="4EFB143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ЛаГГ-3</w:t>
            </w:r>
          </w:p>
        </w:tc>
        <w:tc>
          <w:tcPr>
            <w:tcW w:w="750" w:type="dxa"/>
          </w:tcPr>
          <w:p w14:paraId="11445C1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w:t>
            </w:r>
          </w:p>
        </w:tc>
        <w:tc>
          <w:tcPr>
            <w:tcW w:w="750" w:type="dxa"/>
          </w:tcPr>
          <w:p w14:paraId="068D1EA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70</w:t>
            </w:r>
          </w:p>
        </w:tc>
        <w:tc>
          <w:tcPr>
            <w:tcW w:w="750" w:type="dxa"/>
          </w:tcPr>
          <w:p w14:paraId="6EDE50D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750" w:type="dxa"/>
          </w:tcPr>
          <w:p w14:paraId="61CF8C2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70</w:t>
            </w:r>
          </w:p>
        </w:tc>
        <w:tc>
          <w:tcPr>
            <w:tcW w:w="750" w:type="dxa"/>
          </w:tcPr>
          <w:p w14:paraId="7240F51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750" w:type="dxa"/>
          </w:tcPr>
          <w:p w14:paraId="4108027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36F2DEE3" w14:textId="77777777">
        <w:tc>
          <w:tcPr>
            <w:tcW w:w="4158" w:type="dxa"/>
          </w:tcPr>
          <w:p w14:paraId="5E3C686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4E7D7C0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603" w:type="dxa"/>
          </w:tcPr>
          <w:p w14:paraId="3F0AE44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кмп.</w:t>
            </w:r>
          </w:p>
        </w:tc>
        <w:tc>
          <w:tcPr>
            <w:tcW w:w="1197" w:type="dxa"/>
          </w:tcPr>
          <w:p w14:paraId="1FE3DD7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Ил-2</w:t>
            </w:r>
          </w:p>
        </w:tc>
        <w:tc>
          <w:tcPr>
            <w:tcW w:w="750" w:type="dxa"/>
          </w:tcPr>
          <w:p w14:paraId="03B50DF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w:t>
            </w:r>
          </w:p>
        </w:tc>
        <w:tc>
          <w:tcPr>
            <w:tcW w:w="750" w:type="dxa"/>
          </w:tcPr>
          <w:p w14:paraId="53E61C8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1535</w:t>
            </w:r>
          </w:p>
        </w:tc>
        <w:tc>
          <w:tcPr>
            <w:tcW w:w="750" w:type="dxa"/>
          </w:tcPr>
          <w:p w14:paraId="3DE1C97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285</w:t>
            </w:r>
          </w:p>
        </w:tc>
        <w:tc>
          <w:tcPr>
            <w:tcW w:w="750" w:type="dxa"/>
          </w:tcPr>
          <w:p w14:paraId="19FB240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1820</w:t>
            </w:r>
          </w:p>
        </w:tc>
        <w:tc>
          <w:tcPr>
            <w:tcW w:w="750" w:type="dxa"/>
          </w:tcPr>
          <w:p w14:paraId="52A166F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750" w:type="dxa"/>
          </w:tcPr>
          <w:p w14:paraId="14F931A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6139F0A3" w14:textId="77777777">
        <w:tc>
          <w:tcPr>
            <w:tcW w:w="4158" w:type="dxa"/>
          </w:tcPr>
          <w:p w14:paraId="1E5D70A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01B857E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603" w:type="dxa"/>
          </w:tcPr>
          <w:p w14:paraId="1810A4C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кмп.</w:t>
            </w:r>
          </w:p>
        </w:tc>
        <w:tc>
          <w:tcPr>
            <w:tcW w:w="1197" w:type="dxa"/>
          </w:tcPr>
          <w:p w14:paraId="518DAC0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У-2 корр.</w:t>
            </w:r>
          </w:p>
        </w:tc>
        <w:tc>
          <w:tcPr>
            <w:tcW w:w="750" w:type="dxa"/>
          </w:tcPr>
          <w:p w14:paraId="430C60B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w:t>
            </w:r>
          </w:p>
        </w:tc>
        <w:tc>
          <w:tcPr>
            <w:tcW w:w="750" w:type="dxa"/>
          </w:tcPr>
          <w:p w14:paraId="4CE6B80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500</w:t>
            </w:r>
          </w:p>
        </w:tc>
        <w:tc>
          <w:tcPr>
            <w:tcW w:w="750" w:type="dxa"/>
          </w:tcPr>
          <w:p w14:paraId="4A2EA7D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w:t>
            </w:r>
          </w:p>
        </w:tc>
        <w:tc>
          <w:tcPr>
            <w:tcW w:w="750" w:type="dxa"/>
          </w:tcPr>
          <w:p w14:paraId="7AE94E3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600</w:t>
            </w:r>
          </w:p>
        </w:tc>
        <w:tc>
          <w:tcPr>
            <w:tcW w:w="750" w:type="dxa"/>
          </w:tcPr>
          <w:p w14:paraId="6369E0B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750" w:type="dxa"/>
          </w:tcPr>
          <w:p w14:paraId="6FDF367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65A3B75B" w14:textId="77777777">
        <w:tc>
          <w:tcPr>
            <w:tcW w:w="4158" w:type="dxa"/>
          </w:tcPr>
          <w:p w14:paraId="06D1830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2E9D111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603" w:type="dxa"/>
          </w:tcPr>
          <w:p w14:paraId="5AA48B5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Pr>
          <w:p w14:paraId="75839F5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750" w:type="dxa"/>
          </w:tcPr>
          <w:p w14:paraId="5583BE2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750" w:type="dxa"/>
          </w:tcPr>
          <w:p w14:paraId="3A23461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6615</w:t>
            </w:r>
          </w:p>
        </w:tc>
        <w:tc>
          <w:tcPr>
            <w:tcW w:w="750" w:type="dxa"/>
          </w:tcPr>
          <w:p w14:paraId="7644013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885</w:t>
            </w:r>
          </w:p>
        </w:tc>
        <w:tc>
          <w:tcPr>
            <w:tcW w:w="750" w:type="dxa"/>
          </w:tcPr>
          <w:p w14:paraId="29EEC12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7500</w:t>
            </w:r>
          </w:p>
        </w:tc>
        <w:tc>
          <w:tcPr>
            <w:tcW w:w="750" w:type="dxa"/>
          </w:tcPr>
          <w:p w14:paraId="4774642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7500</w:t>
            </w:r>
          </w:p>
        </w:tc>
        <w:tc>
          <w:tcPr>
            <w:tcW w:w="750" w:type="dxa"/>
          </w:tcPr>
          <w:p w14:paraId="573349D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2500</w:t>
            </w:r>
          </w:p>
        </w:tc>
      </w:tr>
      <w:tr w:rsidR="005106D0" w:rsidRPr="007224C3" w14:paraId="1194C72C" w14:textId="77777777">
        <w:tc>
          <w:tcPr>
            <w:tcW w:w="4158" w:type="dxa"/>
          </w:tcPr>
          <w:p w14:paraId="54BE157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т.ч. модернизированных</w:t>
            </w:r>
          </w:p>
        </w:tc>
        <w:tc>
          <w:tcPr>
            <w:tcW w:w="810" w:type="dxa"/>
          </w:tcPr>
          <w:p w14:paraId="1B4B712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603" w:type="dxa"/>
          </w:tcPr>
          <w:p w14:paraId="3840614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Pr>
          <w:p w14:paraId="18E0833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750" w:type="dxa"/>
          </w:tcPr>
          <w:p w14:paraId="78158A3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750" w:type="dxa"/>
          </w:tcPr>
          <w:p w14:paraId="6D6498F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750" w:type="dxa"/>
          </w:tcPr>
          <w:p w14:paraId="474D9AC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750" w:type="dxa"/>
          </w:tcPr>
          <w:p w14:paraId="07382DD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750" w:type="dxa"/>
          </w:tcPr>
          <w:p w14:paraId="114397F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2500</w:t>
            </w:r>
          </w:p>
        </w:tc>
        <w:tc>
          <w:tcPr>
            <w:tcW w:w="750" w:type="dxa"/>
          </w:tcPr>
          <w:p w14:paraId="692A29D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500</w:t>
            </w:r>
          </w:p>
        </w:tc>
      </w:tr>
      <w:tr w:rsidR="005106D0" w:rsidRPr="007224C3" w14:paraId="7C12D0C2" w14:textId="77777777">
        <w:tc>
          <w:tcPr>
            <w:tcW w:w="4158" w:type="dxa"/>
          </w:tcPr>
          <w:p w14:paraId="13A9AC3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Радиополукомпас</w:t>
            </w:r>
          </w:p>
        </w:tc>
        <w:tc>
          <w:tcPr>
            <w:tcW w:w="810" w:type="dxa"/>
          </w:tcPr>
          <w:p w14:paraId="6F3F990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РПК-10</w:t>
            </w:r>
          </w:p>
        </w:tc>
        <w:tc>
          <w:tcPr>
            <w:tcW w:w="603" w:type="dxa"/>
          </w:tcPr>
          <w:p w14:paraId="75DEC1D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кмп.</w:t>
            </w:r>
          </w:p>
        </w:tc>
        <w:tc>
          <w:tcPr>
            <w:tcW w:w="1197" w:type="dxa"/>
          </w:tcPr>
          <w:p w14:paraId="7DBE36C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Ил-2</w:t>
            </w:r>
          </w:p>
        </w:tc>
        <w:tc>
          <w:tcPr>
            <w:tcW w:w="750" w:type="dxa"/>
          </w:tcPr>
          <w:p w14:paraId="054877F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w:t>
            </w:r>
          </w:p>
        </w:tc>
        <w:tc>
          <w:tcPr>
            <w:tcW w:w="750" w:type="dxa"/>
          </w:tcPr>
          <w:p w14:paraId="482FFCF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1535</w:t>
            </w:r>
          </w:p>
        </w:tc>
        <w:tc>
          <w:tcPr>
            <w:tcW w:w="750" w:type="dxa"/>
          </w:tcPr>
          <w:p w14:paraId="7407E08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285</w:t>
            </w:r>
          </w:p>
        </w:tc>
        <w:tc>
          <w:tcPr>
            <w:tcW w:w="750" w:type="dxa"/>
          </w:tcPr>
          <w:p w14:paraId="6D3D643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1820</w:t>
            </w:r>
          </w:p>
        </w:tc>
        <w:tc>
          <w:tcPr>
            <w:tcW w:w="750" w:type="dxa"/>
          </w:tcPr>
          <w:p w14:paraId="673BB08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750" w:type="dxa"/>
          </w:tcPr>
          <w:p w14:paraId="77F1388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33F00C81" w14:textId="77777777">
        <w:tc>
          <w:tcPr>
            <w:tcW w:w="4158" w:type="dxa"/>
          </w:tcPr>
          <w:p w14:paraId="78DF9F6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35F244A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603" w:type="dxa"/>
          </w:tcPr>
          <w:p w14:paraId="2A406A4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кмп.</w:t>
            </w:r>
          </w:p>
        </w:tc>
        <w:tc>
          <w:tcPr>
            <w:tcW w:w="1197" w:type="dxa"/>
          </w:tcPr>
          <w:p w14:paraId="0438D9D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ПВО</w:t>
            </w:r>
          </w:p>
        </w:tc>
        <w:tc>
          <w:tcPr>
            <w:tcW w:w="750" w:type="dxa"/>
          </w:tcPr>
          <w:p w14:paraId="1409D69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w:t>
            </w:r>
          </w:p>
        </w:tc>
        <w:tc>
          <w:tcPr>
            <w:tcW w:w="750" w:type="dxa"/>
          </w:tcPr>
          <w:p w14:paraId="587AFFC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360</w:t>
            </w:r>
          </w:p>
        </w:tc>
        <w:tc>
          <w:tcPr>
            <w:tcW w:w="750" w:type="dxa"/>
          </w:tcPr>
          <w:p w14:paraId="01B35EB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750" w:type="dxa"/>
          </w:tcPr>
          <w:p w14:paraId="5945821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360</w:t>
            </w:r>
          </w:p>
        </w:tc>
        <w:tc>
          <w:tcPr>
            <w:tcW w:w="750" w:type="dxa"/>
          </w:tcPr>
          <w:p w14:paraId="5A9DD1D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750" w:type="dxa"/>
          </w:tcPr>
          <w:p w14:paraId="7387987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538F9EB2" w14:textId="77777777">
        <w:tc>
          <w:tcPr>
            <w:tcW w:w="4158" w:type="dxa"/>
          </w:tcPr>
          <w:p w14:paraId="1B1C889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30B170A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603" w:type="dxa"/>
          </w:tcPr>
          <w:p w14:paraId="223CC34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кмп.</w:t>
            </w:r>
          </w:p>
        </w:tc>
        <w:tc>
          <w:tcPr>
            <w:tcW w:w="1197" w:type="dxa"/>
          </w:tcPr>
          <w:p w14:paraId="101BCB7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Ил-2 корр.</w:t>
            </w:r>
          </w:p>
        </w:tc>
        <w:tc>
          <w:tcPr>
            <w:tcW w:w="750" w:type="dxa"/>
          </w:tcPr>
          <w:p w14:paraId="1558695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w:t>
            </w:r>
          </w:p>
        </w:tc>
        <w:tc>
          <w:tcPr>
            <w:tcW w:w="750" w:type="dxa"/>
          </w:tcPr>
          <w:p w14:paraId="7BCD3C4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75</w:t>
            </w:r>
          </w:p>
        </w:tc>
        <w:tc>
          <w:tcPr>
            <w:tcW w:w="750" w:type="dxa"/>
          </w:tcPr>
          <w:p w14:paraId="0B8DCF8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750" w:type="dxa"/>
          </w:tcPr>
          <w:p w14:paraId="5A5E306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75</w:t>
            </w:r>
          </w:p>
        </w:tc>
        <w:tc>
          <w:tcPr>
            <w:tcW w:w="750" w:type="dxa"/>
          </w:tcPr>
          <w:p w14:paraId="6A739D2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750" w:type="dxa"/>
          </w:tcPr>
          <w:p w14:paraId="7060FB2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46BCB2DF" w14:textId="77777777">
        <w:tc>
          <w:tcPr>
            <w:tcW w:w="4158" w:type="dxa"/>
          </w:tcPr>
          <w:p w14:paraId="47C7EE0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5C025FF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603" w:type="dxa"/>
          </w:tcPr>
          <w:p w14:paraId="6227C0F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кмп.</w:t>
            </w:r>
          </w:p>
        </w:tc>
        <w:tc>
          <w:tcPr>
            <w:tcW w:w="1197" w:type="dxa"/>
          </w:tcPr>
          <w:p w14:paraId="2A22E62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Ту-2</w:t>
            </w:r>
          </w:p>
        </w:tc>
        <w:tc>
          <w:tcPr>
            <w:tcW w:w="750" w:type="dxa"/>
          </w:tcPr>
          <w:p w14:paraId="17E51E6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w:t>
            </w:r>
          </w:p>
        </w:tc>
        <w:tc>
          <w:tcPr>
            <w:tcW w:w="750" w:type="dxa"/>
          </w:tcPr>
          <w:p w14:paraId="4BCBDE8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120</w:t>
            </w:r>
          </w:p>
        </w:tc>
        <w:tc>
          <w:tcPr>
            <w:tcW w:w="750" w:type="dxa"/>
          </w:tcPr>
          <w:p w14:paraId="6725F3E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w:t>
            </w:r>
          </w:p>
        </w:tc>
        <w:tc>
          <w:tcPr>
            <w:tcW w:w="750" w:type="dxa"/>
          </w:tcPr>
          <w:p w14:paraId="360BE57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145</w:t>
            </w:r>
          </w:p>
        </w:tc>
        <w:tc>
          <w:tcPr>
            <w:tcW w:w="750" w:type="dxa"/>
          </w:tcPr>
          <w:p w14:paraId="016E4D8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750" w:type="dxa"/>
          </w:tcPr>
          <w:p w14:paraId="7FA0612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1E08C13F" w14:textId="77777777">
        <w:tc>
          <w:tcPr>
            <w:tcW w:w="4158" w:type="dxa"/>
          </w:tcPr>
          <w:p w14:paraId="5026EAF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0010799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603" w:type="dxa"/>
          </w:tcPr>
          <w:p w14:paraId="131585B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Pr>
          <w:p w14:paraId="3BB7EB5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750" w:type="dxa"/>
          </w:tcPr>
          <w:p w14:paraId="19CB532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750" w:type="dxa"/>
          </w:tcPr>
          <w:p w14:paraId="2841761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2090</w:t>
            </w:r>
          </w:p>
        </w:tc>
        <w:tc>
          <w:tcPr>
            <w:tcW w:w="750" w:type="dxa"/>
          </w:tcPr>
          <w:p w14:paraId="725C9E1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310</w:t>
            </w:r>
          </w:p>
        </w:tc>
        <w:tc>
          <w:tcPr>
            <w:tcW w:w="750" w:type="dxa"/>
          </w:tcPr>
          <w:p w14:paraId="662A69C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2400</w:t>
            </w:r>
          </w:p>
        </w:tc>
        <w:tc>
          <w:tcPr>
            <w:tcW w:w="750" w:type="dxa"/>
          </w:tcPr>
          <w:p w14:paraId="04287D1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2400</w:t>
            </w:r>
          </w:p>
        </w:tc>
        <w:tc>
          <w:tcPr>
            <w:tcW w:w="750" w:type="dxa"/>
          </w:tcPr>
          <w:p w14:paraId="2052A82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800</w:t>
            </w:r>
          </w:p>
        </w:tc>
      </w:tr>
      <w:tr w:rsidR="005106D0" w:rsidRPr="007224C3" w14:paraId="3C05E60D" w14:textId="77777777">
        <w:tc>
          <w:tcPr>
            <w:tcW w:w="4158" w:type="dxa"/>
          </w:tcPr>
          <w:p w14:paraId="50EA5DC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Радиополукомпас</w:t>
            </w:r>
          </w:p>
        </w:tc>
        <w:tc>
          <w:tcPr>
            <w:tcW w:w="810" w:type="dxa"/>
          </w:tcPr>
          <w:p w14:paraId="4A1BCD7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РПКС-10</w:t>
            </w:r>
          </w:p>
        </w:tc>
        <w:tc>
          <w:tcPr>
            <w:tcW w:w="603" w:type="dxa"/>
          </w:tcPr>
          <w:p w14:paraId="27A54C7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кмп.</w:t>
            </w:r>
          </w:p>
        </w:tc>
        <w:tc>
          <w:tcPr>
            <w:tcW w:w="1197" w:type="dxa"/>
          </w:tcPr>
          <w:p w14:paraId="0B72E74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Пе-2</w:t>
            </w:r>
          </w:p>
        </w:tc>
        <w:tc>
          <w:tcPr>
            <w:tcW w:w="750" w:type="dxa"/>
          </w:tcPr>
          <w:p w14:paraId="521EEF7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w:t>
            </w:r>
          </w:p>
        </w:tc>
        <w:tc>
          <w:tcPr>
            <w:tcW w:w="750" w:type="dxa"/>
          </w:tcPr>
          <w:p w14:paraId="07D5D1A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900</w:t>
            </w:r>
          </w:p>
        </w:tc>
        <w:tc>
          <w:tcPr>
            <w:tcW w:w="750" w:type="dxa"/>
          </w:tcPr>
          <w:p w14:paraId="30D874D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750" w:type="dxa"/>
          </w:tcPr>
          <w:p w14:paraId="7B083EE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900</w:t>
            </w:r>
          </w:p>
        </w:tc>
        <w:tc>
          <w:tcPr>
            <w:tcW w:w="750" w:type="dxa"/>
          </w:tcPr>
          <w:p w14:paraId="06618D4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750</w:t>
            </w:r>
          </w:p>
        </w:tc>
        <w:tc>
          <w:tcPr>
            <w:tcW w:w="750" w:type="dxa"/>
          </w:tcPr>
          <w:p w14:paraId="67762F6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250</w:t>
            </w:r>
          </w:p>
        </w:tc>
      </w:tr>
      <w:tr w:rsidR="005106D0" w:rsidRPr="007224C3" w14:paraId="49E0D559" w14:textId="77777777">
        <w:tc>
          <w:tcPr>
            <w:tcW w:w="4158" w:type="dxa"/>
          </w:tcPr>
          <w:p w14:paraId="495753D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363763A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РПК-2</w:t>
            </w:r>
          </w:p>
        </w:tc>
        <w:tc>
          <w:tcPr>
            <w:tcW w:w="603" w:type="dxa"/>
          </w:tcPr>
          <w:p w14:paraId="05F5BDC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кмп.</w:t>
            </w:r>
          </w:p>
        </w:tc>
        <w:tc>
          <w:tcPr>
            <w:tcW w:w="1197" w:type="dxa"/>
          </w:tcPr>
          <w:p w14:paraId="3F7E4E2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Ил-4</w:t>
            </w:r>
          </w:p>
        </w:tc>
        <w:tc>
          <w:tcPr>
            <w:tcW w:w="750" w:type="dxa"/>
          </w:tcPr>
          <w:p w14:paraId="6B89770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w:t>
            </w:r>
          </w:p>
        </w:tc>
        <w:tc>
          <w:tcPr>
            <w:tcW w:w="750" w:type="dxa"/>
          </w:tcPr>
          <w:p w14:paraId="13A906B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180</w:t>
            </w:r>
          </w:p>
        </w:tc>
        <w:tc>
          <w:tcPr>
            <w:tcW w:w="750" w:type="dxa"/>
          </w:tcPr>
          <w:p w14:paraId="5674526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750" w:type="dxa"/>
          </w:tcPr>
          <w:p w14:paraId="478A402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180</w:t>
            </w:r>
          </w:p>
        </w:tc>
        <w:tc>
          <w:tcPr>
            <w:tcW w:w="750" w:type="dxa"/>
          </w:tcPr>
          <w:p w14:paraId="1DCB6F2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750" w:type="dxa"/>
          </w:tcPr>
          <w:p w14:paraId="20752A3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154BBC22" w14:textId="77777777">
        <w:tc>
          <w:tcPr>
            <w:tcW w:w="4158" w:type="dxa"/>
          </w:tcPr>
          <w:p w14:paraId="5165839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3E76CE1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603" w:type="dxa"/>
          </w:tcPr>
          <w:p w14:paraId="6ECC263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кмп.</w:t>
            </w:r>
          </w:p>
        </w:tc>
        <w:tc>
          <w:tcPr>
            <w:tcW w:w="1197" w:type="dxa"/>
          </w:tcPr>
          <w:p w14:paraId="28E2BCC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Ер-2</w:t>
            </w:r>
          </w:p>
        </w:tc>
        <w:tc>
          <w:tcPr>
            <w:tcW w:w="750" w:type="dxa"/>
          </w:tcPr>
          <w:p w14:paraId="1D7041E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w:t>
            </w:r>
          </w:p>
        </w:tc>
        <w:tc>
          <w:tcPr>
            <w:tcW w:w="750" w:type="dxa"/>
          </w:tcPr>
          <w:p w14:paraId="769D3C8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120</w:t>
            </w:r>
          </w:p>
        </w:tc>
        <w:tc>
          <w:tcPr>
            <w:tcW w:w="750" w:type="dxa"/>
          </w:tcPr>
          <w:p w14:paraId="0928837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750" w:type="dxa"/>
          </w:tcPr>
          <w:p w14:paraId="7248B73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120</w:t>
            </w:r>
          </w:p>
        </w:tc>
        <w:tc>
          <w:tcPr>
            <w:tcW w:w="750" w:type="dxa"/>
          </w:tcPr>
          <w:p w14:paraId="6AA96EE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750" w:type="dxa"/>
          </w:tcPr>
          <w:p w14:paraId="011171E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15546537" w14:textId="77777777">
        <w:tc>
          <w:tcPr>
            <w:tcW w:w="4158" w:type="dxa"/>
          </w:tcPr>
          <w:p w14:paraId="157D189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7B24BBE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603" w:type="dxa"/>
          </w:tcPr>
          <w:p w14:paraId="4B49256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кмп.</w:t>
            </w:r>
          </w:p>
        </w:tc>
        <w:tc>
          <w:tcPr>
            <w:tcW w:w="1197" w:type="dxa"/>
          </w:tcPr>
          <w:p w14:paraId="502BF31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Ли-2</w:t>
            </w:r>
          </w:p>
        </w:tc>
        <w:tc>
          <w:tcPr>
            <w:tcW w:w="750" w:type="dxa"/>
          </w:tcPr>
          <w:p w14:paraId="4119DF6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w:t>
            </w:r>
          </w:p>
        </w:tc>
        <w:tc>
          <w:tcPr>
            <w:tcW w:w="750" w:type="dxa"/>
          </w:tcPr>
          <w:p w14:paraId="189C135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155</w:t>
            </w:r>
          </w:p>
        </w:tc>
        <w:tc>
          <w:tcPr>
            <w:tcW w:w="750" w:type="dxa"/>
          </w:tcPr>
          <w:p w14:paraId="369DB3F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750" w:type="dxa"/>
          </w:tcPr>
          <w:p w14:paraId="5B0CC9C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155</w:t>
            </w:r>
          </w:p>
        </w:tc>
        <w:tc>
          <w:tcPr>
            <w:tcW w:w="750" w:type="dxa"/>
          </w:tcPr>
          <w:p w14:paraId="14A62EC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750" w:type="dxa"/>
          </w:tcPr>
          <w:p w14:paraId="465DBE2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4155EF57" w14:textId="77777777">
        <w:tc>
          <w:tcPr>
            <w:tcW w:w="4158" w:type="dxa"/>
          </w:tcPr>
          <w:p w14:paraId="61BBA54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76C16F4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603" w:type="dxa"/>
          </w:tcPr>
          <w:p w14:paraId="75D6339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Pr>
          <w:p w14:paraId="3585B7A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750" w:type="dxa"/>
          </w:tcPr>
          <w:p w14:paraId="65E3DB2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750" w:type="dxa"/>
          </w:tcPr>
          <w:p w14:paraId="715C7F8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455</w:t>
            </w:r>
          </w:p>
        </w:tc>
        <w:tc>
          <w:tcPr>
            <w:tcW w:w="750" w:type="dxa"/>
          </w:tcPr>
          <w:p w14:paraId="049535A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750" w:type="dxa"/>
          </w:tcPr>
          <w:p w14:paraId="6B376EB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455</w:t>
            </w:r>
          </w:p>
        </w:tc>
        <w:tc>
          <w:tcPr>
            <w:tcW w:w="750" w:type="dxa"/>
          </w:tcPr>
          <w:p w14:paraId="489FBE7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450</w:t>
            </w:r>
          </w:p>
        </w:tc>
        <w:tc>
          <w:tcPr>
            <w:tcW w:w="750" w:type="dxa"/>
          </w:tcPr>
          <w:p w14:paraId="335AE6D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w:t>
            </w:r>
          </w:p>
        </w:tc>
      </w:tr>
      <w:tr w:rsidR="005106D0" w:rsidRPr="007224C3" w14:paraId="5B8F196E" w14:textId="77777777">
        <w:tc>
          <w:tcPr>
            <w:tcW w:w="4158" w:type="dxa"/>
          </w:tcPr>
          <w:p w14:paraId="18CBA96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Радиоприемник</w:t>
            </w:r>
          </w:p>
        </w:tc>
        <w:tc>
          <w:tcPr>
            <w:tcW w:w="810" w:type="dxa"/>
          </w:tcPr>
          <w:p w14:paraId="582EDB9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РСИ-4</w:t>
            </w:r>
          </w:p>
        </w:tc>
        <w:tc>
          <w:tcPr>
            <w:tcW w:w="603" w:type="dxa"/>
          </w:tcPr>
          <w:p w14:paraId="18AAFD6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кмп.</w:t>
            </w:r>
          </w:p>
        </w:tc>
        <w:tc>
          <w:tcPr>
            <w:tcW w:w="1197" w:type="dxa"/>
          </w:tcPr>
          <w:p w14:paraId="72C8588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Ил-2</w:t>
            </w:r>
          </w:p>
        </w:tc>
        <w:tc>
          <w:tcPr>
            <w:tcW w:w="750" w:type="dxa"/>
          </w:tcPr>
          <w:p w14:paraId="0AF9BD9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w:t>
            </w:r>
          </w:p>
        </w:tc>
        <w:tc>
          <w:tcPr>
            <w:tcW w:w="750" w:type="dxa"/>
          </w:tcPr>
          <w:p w14:paraId="29EA1AE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3075</w:t>
            </w:r>
          </w:p>
        </w:tc>
        <w:tc>
          <w:tcPr>
            <w:tcW w:w="750" w:type="dxa"/>
          </w:tcPr>
          <w:p w14:paraId="1516BE6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750" w:type="dxa"/>
          </w:tcPr>
          <w:p w14:paraId="2492340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3075</w:t>
            </w:r>
          </w:p>
        </w:tc>
        <w:tc>
          <w:tcPr>
            <w:tcW w:w="750" w:type="dxa"/>
          </w:tcPr>
          <w:p w14:paraId="17E2D18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750" w:type="dxa"/>
          </w:tcPr>
          <w:p w14:paraId="738BF6F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35E0614E" w14:textId="77777777">
        <w:tc>
          <w:tcPr>
            <w:tcW w:w="4158" w:type="dxa"/>
          </w:tcPr>
          <w:p w14:paraId="1BCF82C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02D8E2C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603" w:type="dxa"/>
          </w:tcPr>
          <w:p w14:paraId="55801DD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кмп.</w:t>
            </w:r>
          </w:p>
        </w:tc>
        <w:tc>
          <w:tcPr>
            <w:tcW w:w="1197" w:type="dxa"/>
          </w:tcPr>
          <w:p w14:paraId="2F05BA7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ЛаГГ-3</w:t>
            </w:r>
          </w:p>
        </w:tc>
        <w:tc>
          <w:tcPr>
            <w:tcW w:w="750" w:type="dxa"/>
          </w:tcPr>
          <w:p w14:paraId="09D0482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w:t>
            </w:r>
          </w:p>
        </w:tc>
        <w:tc>
          <w:tcPr>
            <w:tcW w:w="750" w:type="dxa"/>
          </w:tcPr>
          <w:p w14:paraId="166C7B2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70</w:t>
            </w:r>
          </w:p>
        </w:tc>
        <w:tc>
          <w:tcPr>
            <w:tcW w:w="750" w:type="dxa"/>
          </w:tcPr>
          <w:p w14:paraId="5ABD342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750" w:type="dxa"/>
          </w:tcPr>
          <w:p w14:paraId="278588D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70</w:t>
            </w:r>
          </w:p>
        </w:tc>
        <w:tc>
          <w:tcPr>
            <w:tcW w:w="750" w:type="dxa"/>
          </w:tcPr>
          <w:p w14:paraId="48E06CF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750" w:type="dxa"/>
          </w:tcPr>
          <w:p w14:paraId="64C0072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610F3914" w14:textId="77777777">
        <w:tc>
          <w:tcPr>
            <w:tcW w:w="4158" w:type="dxa"/>
          </w:tcPr>
          <w:p w14:paraId="7C01AEE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679F84E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603" w:type="dxa"/>
          </w:tcPr>
          <w:p w14:paraId="6DBB23C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кмп.</w:t>
            </w:r>
          </w:p>
        </w:tc>
        <w:tc>
          <w:tcPr>
            <w:tcW w:w="1197" w:type="dxa"/>
          </w:tcPr>
          <w:p w14:paraId="3F58858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Як-1</w:t>
            </w:r>
          </w:p>
        </w:tc>
        <w:tc>
          <w:tcPr>
            <w:tcW w:w="750" w:type="dxa"/>
          </w:tcPr>
          <w:p w14:paraId="420745D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w:t>
            </w:r>
          </w:p>
        </w:tc>
        <w:tc>
          <w:tcPr>
            <w:tcW w:w="750" w:type="dxa"/>
          </w:tcPr>
          <w:p w14:paraId="2C0E182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500</w:t>
            </w:r>
          </w:p>
        </w:tc>
        <w:tc>
          <w:tcPr>
            <w:tcW w:w="750" w:type="dxa"/>
          </w:tcPr>
          <w:p w14:paraId="33C05C1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750" w:type="dxa"/>
          </w:tcPr>
          <w:p w14:paraId="759AB23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500</w:t>
            </w:r>
          </w:p>
        </w:tc>
        <w:tc>
          <w:tcPr>
            <w:tcW w:w="750" w:type="dxa"/>
          </w:tcPr>
          <w:p w14:paraId="4AB4584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750" w:type="dxa"/>
          </w:tcPr>
          <w:p w14:paraId="03AB635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21C00BCB" w14:textId="77777777">
        <w:tc>
          <w:tcPr>
            <w:tcW w:w="4158" w:type="dxa"/>
          </w:tcPr>
          <w:p w14:paraId="200D95C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4436A64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603" w:type="dxa"/>
          </w:tcPr>
          <w:p w14:paraId="7F963FE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Pr>
          <w:p w14:paraId="421F0EC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750" w:type="dxa"/>
          </w:tcPr>
          <w:p w14:paraId="3C87FF8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750" w:type="dxa"/>
          </w:tcPr>
          <w:p w14:paraId="4862C03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3650</w:t>
            </w:r>
          </w:p>
        </w:tc>
        <w:tc>
          <w:tcPr>
            <w:tcW w:w="750" w:type="dxa"/>
          </w:tcPr>
          <w:p w14:paraId="0F743C6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750" w:type="dxa"/>
          </w:tcPr>
          <w:p w14:paraId="793EB12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3650</w:t>
            </w:r>
          </w:p>
        </w:tc>
        <w:tc>
          <w:tcPr>
            <w:tcW w:w="750" w:type="dxa"/>
          </w:tcPr>
          <w:p w14:paraId="7520298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3500</w:t>
            </w:r>
          </w:p>
        </w:tc>
        <w:tc>
          <w:tcPr>
            <w:tcW w:w="750" w:type="dxa"/>
          </w:tcPr>
          <w:p w14:paraId="6DE5BE3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1500</w:t>
            </w:r>
          </w:p>
        </w:tc>
      </w:tr>
      <w:tr w:rsidR="005106D0" w:rsidRPr="007224C3" w14:paraId="497DC95B" w14:textId="77777777">
        <w:tc>
          <w:tcPr>
            <w:tcW w:w="4158" w:type="dxa"/>
          </w:tcPr>
          <w:p w14:paraId="5F91384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Радиоприемник с дистанционным управлением</w:t>
            </w:r>
          </w:p>
        </w:tc>
        <w:tc>
          <w:tcPr>
            <w:tcW w:w="810" w:type="dxa"/>
          </w:tcPr>
          <w:p w14:paraId="6129955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РСИ-4</w:t>
            </w:r>
          </w:p>
        </w:tc>
        <w:tc>
          <w:tcPr>
            <w:tcW w:w="603" w:type="dxa"/>
          </w:tcPr>
          <w:p w14:paraId="13544E9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кмп.</w:t>
            </w:r>
          </w:p>
        </w:tc>
        <w:tc>
          <w:tcPr>
            <w:tcW w:w="1197" w:type="dxa"/>
          </w:tcPr>
          <w:p w14:paraId="2457614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Ла-5</w:t>
            </w:r>
          </w:p>
        </w:tc>
        <w:tc>
          <w:tcPr>
            <w:tcW w:w="750" w:type="dxa"/>
          </w:tcPr>
          <w:p w14:paraId="473BAEA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w:t>
            </w:r>
          </w:p>
        </w:tc>
        <w:tc>
          <w:tcPr>
            <w:tcW w:w="750" w:type="dxa"/>
          </w:tcPr>
          <w:p w14:paraId="57A7BF3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1600</w:t>
            </w:r>
          </w:p>
        </w:tc>
        <w:tc>
          <w:tcPr>
            <w:tcW w:w="750" w:type="dxa"/>
          </w:tcPr>
          <w:p w14:paraId="595F819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400</w:t>
            </w:r>
          </w:p>
        </w:tc>
        <w:tc>
          <w:tcPr>
            <w:tcW w:w="750" w:type="dxa"/>
          </w:tcPr>
          <w:p w14:paraId="3FFA505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2000</w:t>
            </w:r>
          </w:p>
        </w:tc>
        <w:tc>
          <w:tcPr>
            <w:tcW w:w="750" w:type="dxa"/>
          </w:tcPr>
          <w:p w14:paraId="00E83FE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750" w:type="dxa"/>
          </w:tcPr>
          <w:p w14:paraId="68E8E3F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76FFC537" w14:textId="77777777">
        <w:tc>
          <w:tcPr>
            <w:tcW w:w="4158" w:type="dxa"/>
          </w:tcPr>
          <w:p w14:paraId="79A2727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680E00D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603" w:type="dxa"/>
          </w:tcPr>
          <w:p w14:paraId="7C4422F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кмп.</w:t>
            </w:r>
          </w:p>
        </w:tc>
        <w:tc>
          <w:tcPr>
            <w:tcW w:w="1197" w:type="dxa"/>
          </w:tcPr>
          <w:p w14:paraId="5CFEEB5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Як-7 и Як-9</w:t>
            </w:r>
          </w:p>
        </w:tc>
        <w:tc>
          <w:tcPr>
            <w:tcW w:w="750" w:type="dxa"/>
          </w:tcPr>
          <w:p w14:paraId="3A96979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w:t>
            </w:r>
          </w:p>
        </w:tc>
        <w:tc>
          <w:tcPr>
            <w:tcW w:w="750" w:type="dxa"/>
          </w:tcPr>
          <w:p w14:paraId="3E4307F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1980</w:t>
            </w:r>
          </w:p>
        </w:tc>
        <w:tc>
          <w:tcPr>
            <w:tcW w:w="750" w:type="dxa"/>
          </w:tcPr>
          <w:p w14:paraId="2C94CBA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400</w:t>
            </w:r>
          </w:p>
        </w:tc>
        <w:tc>
          <w:tcPr>
            <w:tcW w:w="750" w:type="dxa"/>
          </w:tcPr>
          <w:p w14:paraId="6356498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2380</w:t>
            </w:r>
          </w:p>
        </w:tc>
        <w:tc>
          <w:tcPr>
            <w:tcW w:w="750" w:type="dxa"/>
          </w:tcPr>
          <w:p w14:paraId="004F4A7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750" w:type="dxa"/>
          </w:tcPr>
          <w:p w14:paraId="7CE84DD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34040FDF" w14:textId="77777777">
        <w:tc>
          <w:tcPr>
            <w:tcW w:w="4158" w:type="dxa"/>
          </w:tcPr>
          <w:p w14:paraId="4D3DC48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55A9E22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603" w:type="dxa"/>
          </w:tcPr>
          <w:p w14:paraId="71570F2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кмп.</w:t>
            </w:r>
          </w:p>
        </w:tc>
        <w:tc>
          <w:tcPr>
            <w:tcW w:w="1197" w:type="dxa"/>
          </w:tcPr>
          <w:p w14:paraId="33EDEC9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Як-3</w:t>
            </w:r>
          </w:p>
        </w:tc>
        <w:tc>
          <w:tcPr>
            <w:tcW w:w="750" w:type="dxa"/>
          </w:tcPr>
          <w:p w14:paraId="499B36F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w:t>
            </w:r>
          </w:p>
        </w:tc>
        <w:tc>
          <w:tcPr>
            <w:tcW w:w="750" w:type="dxa"/>
          </w:tcPr>
          <w:p w14:paraId="6297E20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430</w:t>
            </w:r>
          </w:p>
        </w:tc>
        <w:tc>
          <w:tcPr>
            <w:tcW w:w="750" w:type="dxa"/>
          </w:tcPr>
          <w:p w14:paraId="77C78AB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190</w:t>
            </w:r>
          </w:p>
        </w:tc>
        <w:tc>
          <w:tcPr>
            <w:tcW w:w="750" w:type="dxa"/>
          </w:tcPr>
          <w:p w14:paraId="3D20D28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620</w:t>
            </w:r>
          </w:p>
        </w:tc>
        <w:tc>
          <w:tcPr>
            <w:tcW w:w="750" w:type="dxa"/>
          </w:tcPr>
          <w:p w14:paraId="2F39C5F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750" w:type="dxa"/>
          </w:tcPr>
          <w:p w14:paraId="566D23D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35029EAD" w14:textId="77777777">
        <w:tc>
          <w:tcPr>
            <w:tcW w:w="4158" w:type="dxa"/>
          </w:tcPr>
          <w:p w14:paraId="1AE1BD0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611D4EF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603" w:type="dxa"/>
          </w:tcPr>
          <w:p w14:paraId="3C6A637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Pr>
          <w:p w14:paraId="5877C0D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750" w:type="dxa"/>
          </w:tcPr>
          <w:p w14:paraId="052E2A2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750" w:type="dxa"/>
          </w:tcPr>
          <w:p w14:paraId="57134A5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4010</w:t>
            </w:r>
          </w:p>
        </w:tc>
        <w:tc>
          <w:tcPr>
            <w:tcW w:w="750" w:type="dxa"/>
          </w:tcPr>
          <w:p w14:paraId="1A18E73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990</w:t>
            </w:r>
          </w:p>
        </w:tc>
        <w:tc>
          <w:tcPr>
            <w:tcW w:w="750" w:type="dxa"/>
          </w:tcPr>
          <w:p w14:paraId="486A23F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5000</w:t>
            </w:r>
          </w:p>
        </w:tc>
        <w:tc>
          <w:tcPr>
            <w:tcW w:w="750" w:type="dxa"/>
          </w:tcPr>
          <w:p w14:paraId="2AF3449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5000</w:t>
            </w:r>
          </w:p>
        </w:tc>
        <w:tc>
          <w:tcPr>
            <w:tcW w:w="750" w:type="dxa"/>
          </w:tcPr>
          <w:p w14:paraId="519AA6E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1300</w:t>
            </w:r>
          </w:p>
        </w:tc>
      </w:tr>
      <w:tr w:rsidR="005106D0" w:rsidRPr="007224C3" w14:paraId="2BDC5416" w14:textId="77777777">
        <w:tc>
          <w:tcPr>
            <w:tcW w:w="4158" w:type="dxa"/>
          </w:tcPr>
          <w:p w14:paraId="408E1EC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Переговорное устройство</w:t>
            </w:r>
          </w:p>
        </w:tc>
        <w:tc>
          <w:tcPr>
            <w:tcW w:w="810" w:type="dxa"/>
          </w:tcPr>
          <w:p w14:paraId="273E85A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СПУ-Ф</w:t>
            </w:r>
          </w:p>
        </w:tc>
        <w:tc>
          <w:tcPr>
            <w:tcW w:w="603" w:type="dxa"/>
          </w:tcPr>
          <w:p w14:paraId="249AA36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кмп.</w:t>
            </w:r>
          </w:p>
        </w:tc>
        <w:tc>
          <w:tcPr>
            <w:tcW w:w="1197" w:type="dxa"/>
          </w:tcPr>
          <w:p w14:paraId="5B7B555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Ил-2</w:t>
            </w:r>
          </w:p>
        </w:tc>
        <w:tc>
          <w:tcPr>
            <w:tcW w:w="750" w:type="dxa"/>
          </w:tcPr>
          <w:p w14:paraId="25851FC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w:t>
            </w:r>
          </w:p>
        </w:tc>
        <w:tc>
          <w:tcPr>
            <w:tcW w:w="750" w:type="dxa"/>
          </w:tcPr>
          <w:p w14:paraId="7F1FF75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3075</w:t>
            </w:r>
          </w:p>
        </w:tc>
        <w:tc>
          <w:tcPr>
            <w:tcW w:w="750" w:type="dxa"/>
          </w:tcPr>
          <w:p w14:paraId="0860C8B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230</w:t>
            </w:r>
          </w:p>
        </w:tc>
        <w:tc>
          <w:tcPr>
            <w:tcW w:w="750" w:type="dxa"/>
          </w:tcPr>
          <w:p w14:paraId="0400843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3305</w:t>
            </w:r>
          </w:p>
        </w:tc>
        <w:tc>
          <w:tcPr>
            <w:tcW w:w="750" w:type="dxa"/>
          </w:tcPr>
          <w:p w14:paraId="22DD489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750" w:type="dxa"/>
          </w:tcPr>
          <w:p w14:paraId="1E36801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5427FCFF" w14:textId="77777777">
        <w:tc>
          <w:tcPr>
            <w:tcW w:w="4158" w:type="dxa"/>
          </w:tcPr>
          <w:p w14:paraId="3E929B2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1956BB6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603" w:type="dxa"/>
          </w:tcPr>
          <w:p w14:paraId="2F60138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кмп.</w:t>
            </w:r>
          </w:p>
        </w:tc>
        <w:tc>
          <w:tcPr>
            <w:tcW w:w="1197" w:type="dxa"/>
          </w:tcPr>
          <w:p w14:paraId="13DA8D0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Пе-2</w:t>
            </w:r>
          </w:p>
        </w:tc>
        <w:tc>
          <w:tcPr>
            <w:tcW w:w="750" w:type="dxa"/>
          </w:tcPr>
          <w:p w14:paraId="4260C44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w:t>
            </w:r>
          </w:p>
        </w:tc>
        <w:tc>
          <w:tcPr>
            <w:tcW w:w="750" w:type="dxa"/>
          </w:tcPr>
          <w:p w14:paraId="1556618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900</w:t>
            </w:r>
          </w:p>
        </w:tc>
        <w:tc>
          <w:tcPr>
            <w:tcW w:w="750" w:type="dxa"/>
          </w:tcPr>
          <w:p w14:paraId="2DE88FC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750" w:type="dxa"/>
          </w:tcPr>
          <w:p w14:paraId="4DE071F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900</w:t>
            </w:r>
          </w:p>
        </w:tc>
        <w:tc>
          <w:tcPr>
            <w:tcW w:w="750" w:type="dxa"/>
          </w:tcPr>
          <w:p w14:paraId="36805B0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750" w:type="dxa"/>
          </w:tcPr>
          <w:p w14:paraId="75302C7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4CFAC8FA" w14:textId="77777777">
        <w:tc>
          <w:tcPr>
            <w:tcW w:w="4158" w:type="dxa"/>
          </w:tcPr>
          <w:p w14:paraId="1D219C0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2D6B86C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603" w:type="dxa"/>
          </w:tcPr>
          <w:p w14:paraId="111DFF5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кмп.</w:t>
            </w:r>
          </w:p>
        </w:tc>
        <w:tc>
          <w:tcPr>
            <w:tcW w:w="1197" w:type="dxa"/>
          </w:tcPr>
          <w:p w14:paraId="46D8B8C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Ту-2</w:t>
            </w:r>
          </w:p>
        </w:tc>
        <w:tc>
          <w:tcPr>
            <w:tcW w:w="750" w:type="dxa"/>
          </w:tcPr>
          <w:p w14:paraId="0335181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w:t>
            </w:r>
          </w:p>
        </w:tc>
        <w:tc>
          <w:tcPr>
            <w:tcW w:w="750" w:type="dxa"/>
          </w:tcPr>
          <w:p w14:paraId="26E9D88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120</w:t>
            </w:r>
          </w:p>
        </w:tc>
        <w:tc>
          <w:tcPr>
            <w:tcW w:w="750" w:type="dxa"/>
          </w:tcPr>
          <w:p w14:paraId="7423EF3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750" w:type="dxa"/>
          </w:tcPr>
          <w:p w14:paraId="219DB2E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120</w:t>
            </w:r>
          </w:p>
        </w:tc>
        <w:tc>
          <w:tcPr>
            <w:tcW w:w="750" w:type="dxa"/>
          </w:tcPr>
          <w:p w14:paraId="39E432B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750" w:type="dxa"/>
          </w:tcPr>
          <w:p w14:paraId="027B3DB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30E19D79" w14:textId="77777777">
        <w:tc>
          <w:tcPr>
            <w:tcW w:w="4158" w:type="dxa"/>
          </w:tcPr>
          <w:p w14:paraId="4BFD0D9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45FE4FF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603" w:type="dxa"/>
          </w:tcPr>
          <w:p w14:paraId="484F6E5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кмп.</w:t>
            </w:r>
          </w:p>
        </w:tc>
        <w:tc>
          <w:tcPr>
            <w:tcW w:w="1197" w:type="dxa"/>
          </w:tcPr>
          <w:p w14:paraId="2A4983E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Ил-4</w:t>
            </w:r>
          </w:p>
        </w:tc>
        <w:tc>
          <w:tcPr>
            <w:tcW w:w="750" w:type="dxa"/>
          </w:tcPr>
          <w:p w14:paraId="615635D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w:t>
            </w:r>
          </w:p>
        </w:tc>
        <w:tc>
          <w:tcPr>
            <w:tcW w:w="750" w:type="dxa"/>
          </w:tcPr>
          <w:p w14:paraId="435D76A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180</w:t>
            </w:r>
          </w:p>
        </w:tc>
        <w:tc>
          <w:tcPr>
            <w:tcW w:w="750" w:type="dxa"/>
          </w:tcPr>
          <w:p w14:paraId="739D481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750" w:type="dxa"/>
          </w:tcPr>
          <w:p w14:paraId="73E49F3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180</w:t>
            </w:r>
          </w:p>
        </w:tc>
        <w:tc>
          <w:tcPr>
            <w:tcW w:w="750" w:type="dxa"/>
          </w:tcPr>
          <w:p w14:paraId="24BD8FD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750" w:type="dxa"/>
          </w:tcPr>
          <w:p w14:paraId="1744439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181691F2" w14:textId="77777777">
        <w:tc>
          <w:tcPr>
            <w:tcW w:w="4158" w:type="dxa"/>
          </w:tcPr>
          <w:p w14:paraId="5A62E57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1F0A4DD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603" w:type="dxa"/>
          </w:tcPr>
          <w:p w14:paraId="695906B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кмп.</w:t>
            </w:r>
          </w:p>
        </w:tc>
        <w:tc>
          <w:tcPr>
            <w:tcW w:w="1197" w:type="dxa"/>
          </w:tcPr>
          <w:p w14:paraId="1764BED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Ер-2</w:t>
            </w:r>
          </w:p>
        </w:tc>
        <w:tc>
          <w:tcPr>
            <w:tcW w:w="750" w:type="dxa"/>
          </w:tcPr>
          <w:p w14:paraId="0EF9A50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w:t>
            </w:r>
          </w:p>
        </w:tc>
        <w:tc>
          <w:tcPr>
            <w:tcW w:w="750" w:type="dxa"/>
          </w:tcPr>
          <w:p w14:paraId="1A3BF6F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120</w:t>
            </w:r>
          </w:p>
        </w:tc>
        <w:tc>
          <w:tcPr>
            <w:tcW w:w="750" w:type="dxa"/>
          </w:tcPr>
          <w:p w14:paraId="097E7F9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750" w:type="dxa"/>
          </w:tcPr>
          <w:p w14:paraId="54F22C4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120</w:t>
            </w:r>
          </w:p>
        </w:tc>
        <w:tc>
          <w:tcPr>
            <w:tcW w:w="750" w:type="dxa"/>
          </w:tcPr>
          <w:p w14:paraId="6999B13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750" w:type="dxa"/>
          </w:tcPr>
          <w:p w14:paraId="4830ED9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17F6DDF7" w14:textId="77777777">
        <w:tc>
          <w:tcPr>
            <w:tcW w:w="4158" w:type="dxa"/>
          </w:tcPr>
          <w:p w14:paraId="34E9A23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020105C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603" w:type="dxa"/>
          </w:tcPr>
          <w:p w14:paraId="7C46748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кмп.</w:t>
            </w:r>
          </w:p>
        </w:tc>
        <w:tc>
          <w:tcPr>
            <w:tcW w:w="1197" w:type="dxa"/>
          </w:tcPr>
          <w:p w14:paraId="35F27BA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Ла-5 учебный</w:t>
            </w:r>
          </w:p>
        </w:tc>
        <w:tc>
          <w:tcPr>
            <w:tcW w:w="750" w:type="dxa"/>
          </w:tcPr>
          <w:p w14:paraId="327F71A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w:t>
            </w:r>
          </w:p>
        </w:tc>
        <w:tc>
          <w:tcPr>
            <w:tcW w:w="750" w:type="dxa"/>
          </w:tcPr>
          <w:p w14:paraId="5E37799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300</w:t>
            </w:r>
          </w:p>
        </w:tc>
        <w:tc>
          <w:tcPr>
            <w:tcW w:w="750" w:type="dxa"/>
          </w:tcPr>
          <w:p w14:paraId="11408DF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750" w:type="dxa"/>
          </w:tcPr>
          <w:p w14:paraId="74931D1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300</w:t>
            </w:r>
          </w:p>
        </w:tc>
        <w:tc>
          <w:tcPr>
            <w:tcW w:w="750" w:type="dxa"/>
          </w:tcPr>
          <w:p w14:paraId="4ACFC57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750" w:type="dxa"/>
          </w:tcPr>
          <w:p w14:paraId="1FD70C1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5C2C9FE9" w14:textId="77777777">
        <w:tc>
          <w:tcPr>
            <w:tcW w:w="4158" w:type="dxa"/>
          </w:tcPr>
          <w:p w14:paraId="74AE14E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55641F3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603" w:type="dxa"/>
          </w:tcPr>
          <w:p w14:paraId="7D0F017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кмп.</w:t>
            </w:r>
          </w:p>
        </w:tc>
        <w:tc>
          <w:tcPr>
            <w:tcW w:w="1197" w:type="dxa"/>
          </w:tcPr>
          <w:p w14:paraId="43B7DC5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Ще-2</w:t>
            </w:r>
          </w:p>
        </w:tc>
        <w:tc>
          <w:tcPr>
            <w:tcW w:w="750" w:type="dxa"/>
          </w:tcPr>
          <w:p w14:paraId="7F8CD2B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w:t>
            </w:r>
          </w:p>
        </w:tc>
        <w:tc>
          <w:tcPr>
            <w:tcW w:w="750" w:type="dxa"/>
          </w:tcPr>
          <w:p w14:paraId="587D946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75</w:t>
            </w:r>
          </w:p>
        </w:tc>
        <w:tc>
          <w:tcPr>
            <w:tcW w:w="750" w:type="dxa"/>
          </w:tcPr>
          <w:p w14:paraId="64B2CAB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750" w:type="dxa"/>
          </w:tcPr>
          <w:p w14:paraId="3A17E17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75</w:t>
            </w:r>
          </w:p>
        </w:tc>
        <w:tc>
          <w:tcPr>
            <w:tcW w:w="750" w:type="dxa"/>
          </w:tcPr>
          <w:p w14:paraId="413260C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750" w:type="dxa"/>
          </w:tcPr>
          <w:p w14:paraId="44B7D9D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0BE046BE" w14:textId="77777777">
        <w:tc>
          <w:tcPr>
            <w:tcW w:w="4158" w:type="dxa"/>
            <w:tcBorders>
              <w:bottom w:val="single" w:sz="12" w:space="0" w:color="auto"/>
            </w:tcBorders>
          </w:tcPr>
          <w:p w14:paraId="36FF9E3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Borders>
              <w:bottom w:val="single" w:sz="12" w:space="0" w:color="auto"/>
            </w:tcBorders>
          </w:tcPr>
          <w:p w14:paraId="07646A8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603" w:type="dxa"/>
            <w:tcBorders>
              <w:bottom w:val="single" w:sz="12" w:space="0" w:color="auto"/>
            </w:tcBorders>
          </w:tcPr>
          <w:p w14:paraId="3257CE1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Borders>
              <w:bottom w:val="single" w:sz="12" w:space="0" w:color="auto"/>
            </w:tcBorders>
          </w:tcPr>
          <w:p w14:paraId="6D8AAE7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750" w:type="dxa"/>
            <w:tcBorders>
              <w:bottom w:val="single" w:sz="12" w:space="0" w:color="auto"/>
            </w:tcBorders>
          </w:tcPr>
          <w:p w14:paraId="7C53B7B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750" w:type="dxa"/>
            <w:tcBorders>
              <w:bottom w:val="single" w:sz="12" w:space="0" w:color="auto"/>
            </w:tcBorders>
          </w:tcPr>
          <w:p w14:paraId="32BCA39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4770</w:t>
            </w:r>
          </w:p>
        </w:tc>
        <w:tc>
          <w:tcPr>
            <w:tcW w:w="750" w:type="dxa"/>
            <w:tcBorders>
              <w:bottom w:val="single" w:sz="12" w:space="0" w:color="auto"/>
            </w:tcBorders>
          </w:tcPr>
          <w:p w14:paraId="09DD31F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230</w:t>
            </w:r>
          </w:p>
        </w:tc>
        <w:tc>
          <w:tcPr>
            <w:tcW w:w="750" w:type="dxa"/>
            <w:tcBorders>
              <w:bottom w:val="single" w:sz="12" w:space="0" w:color="auto"/>
            </w:tcBorders>
          </w:tcPr>
          <w:p w14:paraId="05D2EDE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5000</w:t>
            </w:r>
          </w:p>
        </w:tc>
        <w:tc>
          <w:tcPr>
            <w:tcW w:w="750" w:type="dxa"/>
            <w:tcBorders>
              <w:bottom w:val="single" w:sz="12" w:space="0" w:color="auto"/>
            </w:tcBorders>
          </w:tcPr>
          <w:p w14:paraId="07FEA07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5000</w:t>
            </w:r>
          </w:p>
        </w:tc>
        <w:tc>
          <w:tcPr>
            <w:tcW w:w="750" w:type="dxa"/>
            <w:tcBorders>
              <w:bottom w:val="single" w:sz="12" w:space="0" w:color="auto"/>
            </w:tcBorders>
          </w:tcPr>
          <w:p w14:paraId="4E5E1F3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1600</w:t>
            </w:r>
          </w:p>
        </w:tc>
      </w:tr>
    </w:tbl>
    <w:p w14:paraId="36069E9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(10527).</w:t>
      </w:r>
    </w:p>
    <w:p w14:paraId="37000B0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B51B5D"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марта 1944</w:t>
      </w:r>
    </w:p>
    <w:p w14:paraId="19E77B41"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отдела УСМ штаба ВВС КА инженер-майор Петров подготовил</w:t>
      </w:r>
    </w:p>
    <w:p w14:paraId="6070367E"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Краткие указания по нумерации материальной части</w:t>
      </w:r>
    </w:p>
    <w:p w14:paraId="4BE75D5C"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Самолеты</w:t>
      </w:r>
    </w:p>
    <w:p w14:paraId="05F5673F"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Номера самолетов отечественного производства устанав</w:t>
      </w:r>
      <w:r w:rsidRPr="007224C3">
        <w:rPr>
          <w:rFonts w:ascii="Times New Roman" w:hAnsi="Times New Roman"/>
          <w:color w:val="000000" w:themeColor="text1"/>
          <w:sz w:val="16"/>
          <w:szCs w:val="16"/>
        </w:rPr>
        <w:softHyphen/>
        <w:t>ливаются заводами иагоговитеяяш. Hoмepа самолета состоит из серии и собственного номера сомолета в данной серии. В каждой серии выспускается определенное количество самолетов, В новой серии номера самолетов повторяются:</w:t>
      </w:r>
    </w:p>
    <w:p w14:paraId="328680AD"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Полнай номер салолета, состояла из серии и номера само</w:t>
      </w:r>
      <w:r w:rsidRPr="007224C3">
        <w:rPr>
          <w:rFonts w:ascii="Times New Roman" w:hAnsi="Times New Roman"/>
          <w:color w:val="000000" w:themeColor="text1"/>
          <w:sz w:val="16"/>
          <w:szCs w:val="16"/>
        </w:rPr>
        <w:softHyphen/>
        <w:t>лет в данной серии, на одном и том же заводе noвторяться не должен.</w:t>
      </w:r>
    </w:p>
    <w:p w14:paraId="6D034DCD"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серии и номеру самолёта в данной серии, некоторые заводы добавляют постоянные не меняющиеся в процессе выпуска данного типа самолета цифры.</w:t>
      </w:r>
    </w:p>
    <w:p w14:paraId="32CCB353"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эти цифры следует обращать самое серьезное внимание при передаче донесений о движенгии и состоянии материальной части. Ниже дается порядок нумерации самолетов по заводам, выпускаемым данный тип самолета.</w:t>
      </w:r>
    </w:p>
    <w:p w14:paraId="720848BF"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Самолет Як-1</w:t>
      </w:r>
    </w:p>
    <w:p w14:paraId="42DBC02C"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Выпускается 292 заводом. Номера еамолетов 4-х и пятизначные до сотой серии номера самолетов четырехзначные, после сотой серии пятизначные. Например: 3598, 04154 - здесь цифры 35 и 04 означают номер самолета в данной сepии, а цифры 98 и 154 означают серию. Номера самолетов до 10 имеют впереди приставку 0, которую следует обязательно писать для указания полного нсмера самолета. В каждой серии заводом выпускается 50 самолетов.</w:t>
      </w:r>
    </w:p>
    <w:p w14:paraId="03682A56"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Самолет ЯК-7-Б.</w:t>
      </w:r>
    </w:p>
    <w:p w14:paraId="4E2CCA42"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Самолеты Як-7-В выпускаются заводами 153 и 82.</w:t>
      </w:r>
    </w:p>
    <w:p w14:paraId="2758157A"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Самолеты 153 завода имеют следующий заводской номер 50153117, 5115316.</w:t>
      </w:r>
    </w:p>
    <w:p w14:paraId="793CB871"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Первые две цифры 50 и 51 означают серию, следующие три цифры 153, вставленные в середину номера, означают завод-изготовитель, а последние три цифры 117 или 16 означают номера самолетов в данной серии.</w:t>
      </w:r>
    </w:p>
    <w:p w14:paraId="297CC010"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Самолеты 82 завода имеют полную нумерацию - 821738. Первые две цифры означают завод изготовитель, следующие две цифры 17 серию и последние дае цифры 38 номер самолета в данной серии. В каждой серии выпускется 50 самолетов</w:t>
      </w:r>
    </w:p>
    <w:p w14:paraId="31E0E6C7"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Caмолет Як-9.</w:t>
      </w:r>
    </w:p>
    <w:p w14:paraId="1C022647"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Самолеты Як-9 выпускаются заводами 152 и 82.</w:t>
      </w:r>
    </w:p>
    <w:p w14:paraId="19833E4C"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Самолеты Як-9 выпуска 153 завода имеют повторяшуюся нумерацию, т.е. под одним номеров, например: .0615323 может быть два самолета Як-9, которые олиичаются друг oт друга установленным вооружением. В начале выпускались самолеты только с установкой пушки ШВАК 20 мм, а затем начали выпускать самолеты с пушкой 37 мм, При этом нумерация самолегой Як-9 началась</w:t>
      </w:r>
      <w:r w:rsidRPr="007224C3">
        <w:rPr>
          <w:rFonts w:ascii="Times New Roman" w:hAnsi="Times New Roman"/>
          <w:color w:val="000000" w:themeColor="text1"/>
          <w:sz w:val="16"/>
          <w:szCs w:val="16"/>
        </w:rPr>
        <w:tab/>
        <w:t>опыть с пепрвой серии.</w:t>
      </w:r>
    </w:p>
    <w:p w14:paraId="5AF9AE8B"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того, чтобы чтобы отличить самолеты Як-9 с пушкой ШВАК от самолетов Як-9 Як-9 с 37 мм. пушкой первым к установленному номеру добавляют букву Д, а вторым - букву Т. При сообщении номера следует писать так: Як-9 Д № 0615328 или Як-9 Т № эг пнаагь мк: Як-9 Як-9 Т № 0615328.</w:t>
      </w:r>
    </w:p>
    <w:p w14:paraId="37A9E888"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Расшифровка номера 06153286: 06 - серия, 153 - завод изготовитель, 28 номер caмолета в данной серии.</w:t>
      </w:r>
    </w:p>
    <w:p w14:paraId="0C4A81AD"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каждой серии выпускается 100 самолетов.</w:t>
      </w:r>
    </w:p>
    <w:p w14:paraId="215D7C47"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Самолеты Як-9 выпуска 166 имеют полный заводской номер 13166025. Здесь первые две цифыры - 13 означают серию, следующие три цифры 166 означают завод-изготовитель и последние три цифры 026 - означают номер самолета в данной серии. Номера самолетов до 100 имеют впереди прискавку воль, В каждой серии выпускаемся 100 самолетов.</w:t>
      </w:r>
    </w:p>
    <w:p w14:paraId="1A756CA3"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Самолет Ла-5.</w:t>
      </w:r>
    </w:p>
    <w:p w14:paraId="25D56F93"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Самолеты Ла-5 выпускаются заводами 21, 99, 381.</w:t>
      </w:r>
    </w:p>
    <w:p w14:paraId="08262363"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Самолеты Ла-5, выпускаемые 21 заводом, в процессе производства претерпели рад конструктивных изменений. Эти конструктивные изменения привидили в новой модификации самолета Ла-5.</w:t>
      </w:r>
    </w:p>
    <w:p w14:paraId="3A283D4B"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выпуске в серию новой модификации самолета Ла-5 нумерация последней начиналась с первой серии.</w:t>
      </w:r>
    </w:p>
    <w:p w14:paraId="34C44628"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Разберем последовательно нумерацию каждой модификации самолета Ла-5, выпускаемой 21 заводом.</w:t>
      </w:r>
    </w:p>
    <w:p w14:paraId="68C43330"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Вначале выпускались самолеты Ла-5 с мотором М-82, без заднего обзора.</w:t>
      </w:r>
    </w:p>
    <w:p w14:paraId="49EC9D4A"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Указанная модификация имела нумерацию 37212764. Здесь цифра 37 означала тип самолета, ввпускаемый заводом, цифра 21 означала завод изготовитель, цифра 27 серию, цифра 64 - номер самолета в данной серии. Выпуск данной модификации заводом прекращен В каждой серии выпускалось 100 самолетов.</w:t>
      </w:r>
    </w:p>
    <w:p w14:paraId="155B0C75"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Второй молификацией стали выпускаться самолеты Ла-5 с мотором М-82 с задним обзором. Нумерация этой модификации началась с первой серии. Ее полный заводской номер 39212921.</w:t>
      </w:r>
    </w:p>
    <w:p w14:paraId="60F99F8C"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Здесь первые две цифры 39 - означают тип самолета Ла-5 в новой модификации. Остальные цифры имеют такое же значение, что у самолетов Ла-5 первой модификации.</w:t>
      </w:r>
    </w:p>
    <w:p w14:paraId="636A9CCB"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Третьей модификацией стали выпускаться самолеты Ла-5 с задним обзором, но с установкой мотора М-82 ФН. Нумерация этой модификации началась с первой серии Ее полный заводской номер пишется как и втопрой модификации, только с прибавкой к номеру букв ФН. Например Ла-5 ФН № 39210928. Значение цифр здесь тоже, что и у второй модификациию.</w:t>
      </w:r>
    </w:p>
    <w:p w14:paraId="0C0DF6E9"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Самолеты Ла-5, ваыпускаемые 391 заводом, имеют полный заводской номер 3810413: здесь цифра 381 означает завод-изготовитель, 04 - серию, 13 номер самолета в ланной серии.</w:t>
      </w:r>
    </w:p>
    <w:p w14:paraId="0EC5EFFC"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Ла-5, выпускаемы 99 заводом, имеют полный заводской номер 37-9906-14. Здесь 37 означает тип самолета, 99 - завод-изготовитель, 06 - серию, 14 номер самолета в данной серии.</w:t>
      </w:r>
    </w:p>
    <w:p w14:paraId="5A9457E2"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Самолет ЛаГГ-3</w:t>
      </w:r>
    </w:p>
    <w:p w14:paraId="07FC61EE"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Самолеты ЛаГГ-3 выпускаются 21 и 31 заводами. В настоящее время выпуск самолетов ЛаГГ-3 на 21 заводе прекращен.</w:t>
      </w:r>
    </w:p>
    <w:p w14:paraId="78459F5B"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Самолеты ЛаГГ-3 выпуска 21 завода нумеруются восьмизначным числом, например, 31213745, гда 31 означает тип саморлета, выпускаемый заводом со дня основания последнего, 21 - завод-тзготовитель, 37 - серия, 45 номер самолета в данной серии.</w:t>
      </w:r>
    </w:p>
    <w:p w14:paraId="21FF533B"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Самолеты ЛаГГ-3, выпускаемые заводом 31 нумеруются четырехзначным числом, например: 6603 - где 66 означает номер серин, а 03 номер самолета в данной серии. В каждой серии выпускается 99 самолетов.</w:t>
      </w:r>
    </w:p>
    <w:p w14:paraId="5B28CAEF"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Самолет Пе-2.</w:t>
      </w:r>
    </w:p>
    <w:p w14:paraId="46FE1E1F"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Самолеты Пе-2 выпускаются 22 заводом. Номер самолета обозначается дробью, например, 8/140, где числителей укавыаается номер самолета, а знаменателем серия. В каждоа серии вьпускается 20 самолетов.</w:t>
      </w:r>
    </w:p>
    <w:p w14:paraId="1DD6694D"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Самолет Ил-4.</w:t>
      </w:r>
    </w:p>
    <w:p w14:paraId="459260E0"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Самолеты Ил-4 выпускаются 126, 39, 23 заводами.</w:t>
      </w:r>
    </w:p>
    <w:p w14:paraId="1B9B4A2B"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Самолеты Ил-4, выпускаемые 126 заводом имеют четырехзначные или пятизначные номере. в зависимости от времени выпуска. До сотой серии номера самолетов чвтырехзначные, после сотой серии пятизначные. Нпример, 9915, 10802 - здесь цафры 99,108 означают серию самолета, цифры 15, 02 вомера самолетов в данной серии.</w:t>
      </w:r>
    </w:p>
    <w:p w14:paraId="2F791077"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Самолеты Ил-4, выпускаемые 23 заводом, имеют полный за</w:t>
      </w:r>
      <w:r w:rsidRPr="007224C3">
        <w:rPr>
          <w:rFonts w:ascii="Times New Roman" w:hAnsi="Times New Roman"/>
          <w:color w:val="000000" w:themeColor="text1"/>
          <w:sz w:val="16"/>
          <w:szCs w:val="16"/>
        </w:rPr>
        <w:softHyphen/>
        <w:t>водской номер 092320, где 09 - серия самолета, 23 завод-изготовитель, -20 номер самолета в данной серии.</w:t>
      </w:r>
    </w:p>
    <w:p w14:paraId="52796B96"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Самолеты Ил-4, .выпускаемое 39 заводом, имеют полный ааводской номер 5043911, где 504 - серия самолета, 39 завод-изготовитель, 11 - номер самолета в данной серий.</w:t>
      </w:r>
    </w:p>
    <w:p w14:paraId="172148D7"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8.Самолет ТУ-2.</w:t>
      </w:r>
    </w:p>
    <w:p w14:paraId="72F4106E"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Ту-2 выпускается 166 заводом. Полный заводской номер100614, где 6 - номер серии, 11 номер самолета в даянной, 100 условно взятое число.</w:t>
      </w:r>
    </w:p>
    <w:p w14:paraId="1827523C"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Самолет Ил-2.</w:t>
      </w:r>
    </w:p>
    <w:p w14:paraId="378A8E75"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Самолеты Ил-2 выпускаются 1, 18 и 30 заводами и ранее выпускались -381 заводом.</w:t>
      </w:r>
    </w:p>
    <w:p w14:paraId="5987DCFE"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Разберем нумерацию самолётов Ил-2 по заводам.</w:t>
      </w:r>
    </w:p>
    <w:p w14:paraId="4C35E8D8"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 1</w:t>
      </w:r>
    </w:p>
    <w:p w14:paraId="4B3287E0"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Номера самолетов четырехзначные, например: 5351. Первые две цифры 53 означают серию самолёта, последние две цифры - 51 означают номер самолета в данной серии. С сотой серия номера самолетов Ил-2 1-го завода будут пятизначные. В каждой серии выпускается 100 самолетов.</w:t>
      </w:r>
    </w:p>
    <w:p w14:paraId="6C937B4F"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 18</w:t>
      </w:r>
    </w:p>
    <w:p w14:paraId="70EE64DB"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Полный заводской номер самолета Ил-2 1871738. Расшифрровка номера - 18 - завод-изготовитель, 7 - тии самолета, выпус</w:t>
      </w:r>
      <w:r w:rsidRPr="007224C3">
        <w:rPr>
          <w:rFonts w:ascii="Times New Roman" w:hAnsi="Times New Roman"/>
          <w:color w:val="000000" w:themeColor="text1"/>
          <w:sz w:val="16"/>
          <w:szCs w:val="16"/>
        </w:rPr>
        <w:softHyphen/>
        <w:t>каемый заводом с момента основания .последнего, 17 - номер само</w:t>
      </w:r>
      <w:r w:rsidRPr="007224C3">
        <w:rPr>
          <w:rFonts w:ascii="Times New Roman" w:hAnsi="Times New Roman"/>
          <w:color w:val="000000" w:themeColor="text1"/>
          <w:sz w:val="16"/>
          <w:szCs w:val="16"/>
        </w:rPr>
        <w:softHyphen/>
        <w:t>лёта даннрй серии, 38 - серия. В каждой серии выпускается 100 самолетов.</w:t>
      </w:r>
    </w:p>
    <w:p w14:paraId="04A019C7"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 30</w:t>
      </w:r>
    </w:p>
    <w:p w14:paraId="0D099048"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Полный заводской ноыбр 301427. Расшифровка - 30 завод изготовитель, 14 - серия, 27 - номер самолета в данной серии. В каждой серии выпускается 100 самолетов.</w:t>
      </w:r>
    </w:p>
    <w:p w14:paraId="42F0DB58"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3авод № 381</w:t>
      </w:r>
    </w:p>
    <w:p w14:paraId="2D1B99DC"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Полный заводской номер 3811019. Расшифровка: 381 - завод изготовитель. 10 - номер самолета данной серии. 19 - серия. Выпуск самолетов ваводом прекращен о апреля месяца 1943 года.</w:t>
      </w:r>
    </w:p>
    <w:p w14:paraId="16EA4D10"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Самолет Ли-2.</w:t>
      </w:r>
    </w:p>
    <w:p w14:paraId="359B24DF"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Самолеты выпускаются 84 заводом. Полный ваводской но</w:t>
      </w:r>
      <w:r w:rsidRPr="007224C3">
        <w:rPr>
          <w:rFonts w:ascii="Times New Roman" w:hAnsi="Times New Roman"/>
          <w:color w:val="000000" w:themeColor="text1"/>
          <w:sz w:val="16"/>
          <w:szCs w:val="16"/>
        </w:rPr>
        <w:softHyphen/>
        <w:t>мер 184800. Расшифровка: 84 - вавод ивготовитель, 1 - тип самолета, 80 - серия, 06 - номер самолета в данной серии. •</w:t>
      </w:r>
    </w:p>
    <w:p w14:paraId="1BE2527C"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Як-6..</w:t>
      </w:r>
    </w:p>
    <w:p w14:paraId="54831FDC"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Самолета Як-6 выпускались 47, 471, 464 заводами. С ноября месяца выпуск самолетов указанными заводами прекращен, Разберем нумерацию самолетов Як-6 по заводам.</w:t>
      </w:r>
    </w:p>
    <w:p w14:paraId="456A1955"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Завода № 47.</w:t>
      </w:r>
    </w:p>
    <w:p w14:paraId="125AA6A0"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Полный ваводской номер 16847. Расшифровка номера: 16 - номер самолета в данной серий, 8 - серия, 47 - завод-изготовитель.</w:t>
      </w:r>
    </w:p>
    <w:p w14:paraId="3AB70C4F"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 471.</w:t>
      </w:r>
    </w:p>
    <w:p w14:paraId="1B6017C8"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Полный заводской ноиер самолета 65571. Расшифраака:номера: 65 серия, 5 номер самодата в данной оерии, 71 постоян</w:t>
      </w:r>
      <w:r w:rsidRPr="007224C3">
        <w:rPr>
          <w:rFonts w:ascii="Times New Roman" w:hAnsi="Times New Roman"/>
          <w:color w:val="000000" w:themeColor="text1"/>
          <w:sz w:val="16"/>
          <w:szCs w:val="16"/>
        </w:rPr>
        <w:softHyphen/>
        <w:t>ное не меняющееся число во всех номерах, указывающее, что самолет выпущен 471 ваводом.</w:t>
      </w:r>
    </w:p>
    <w:p w14:paraId="507D0868"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 464.</w:t>
      </w:r>
    </w:p>
    <w:p w14:paraId="67B852D3"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Полный заводской номер самолета 640549. Расшифровка номера: - постоянное не меняющееся число, укавыващее, что самолет выпущен 464 ваводом, 05 -- серия, 49 - номер самолета</w:t>
      </w:r>
    </w:p>
    <w:p w14:paraId="254E48B6"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С-2.</w:t>
      </w:r>
    </w:p>
    <w:p w14:paraId="474842B6"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Выпускается 494 заводом. Полный заводской номер 940906. Расшифровка номера: 94 - постоянное, не меняющееся число, указывающее, что самолет выпущен 494 заводом, 09 - серия самолет», 06 - номер самолета в данной серии.</w:t>
      </w:r>
    </w:p>
    <w:p w14:paraId="3A341CBB"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Самолет Як-7-В /учебшй/.'</w:t>
      </w:r>
    </w:p>
    <w:p w14:paraId="7C3EF8E3"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Выпускается 153 заводом. Поланый заводской номер 0615396. Расшифровка номера: 06 - серия, 153 - вавод изготовитель, 58 - номер самолета в данной серии.</w:t>
      </w:r>
    </w:p>
    <w:p w14:paraId="16DF1D32"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УТ-2.</w:t>
      </w:r>
    </w:p>
    <w:p w14:paraId="086FBD0B"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Самолеты УT-2 выпускаются 116, 168 заводами и ранее выпускались 47 ваводом. Разберем нумерацию самолетов УT-2 по заводам.</w:t>
      </w:r>
    </w:p>
    <w:p w14:paraId="41B3F31D"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 116.</w:t>
      </w:r>
    </w:p>
    <w:p w14:paraId="2F826824"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Полный заводской номер 01715116. Расшифровка номера: 017. - номер самолета в данной серии, 15 - серия, 116 - вавод изготовитель. В каждой серии выпускается 100 самолетов. Номера самолетов данной серии до 10 имеют впереди два нуля, с 10, до 99 - один нуль. При записях и передачах полного номе</w:t>
      </w:r>
      <w:r w:rsidRPr="007224C3">
        <w:rPr>
          <w:rFonts w:ascii="Times New Roman" w:hAnsi="Times New Roman"/>
          <w:color w:val="000000" w:themeColor="text1"/>
          <w:sz w:val="16"/>
          <w:szCs w:val="16"/>
        </w:rPr>
        <w:softHyphen/>
        <w:t>ре, нули, стояще впереди номера, следует обязательно укавывать.</w:t>
      </w:r>
    </w:p>
    <w:p w14:paraId="38E2074B"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3авод № 168.</w:t>
      </w:r>
    </w:p>
    <w:p w14:paraId="523E9665"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Полный заводской номер 168033S. Расщифровка номера: 160 завод-изготовитель, 03 - серия, 24 номер самолета в дан</w:t>
      </w:r>
      <w:r w:rsidRPr="007224C3">
        <w:rPr>
          <w:rFonts w:ascii="Times New Roman" w:hAnsi="Times New Roman"/>
          <w:color w:val="000000" w:themeColor="text1"/>
          <w:sz w:val="16"/>
          <w:szCs w:val="16"/>
        </w:rPr>
        <w:softHyphen/>
        <w:t>ной серии.</w:t>
      </w:r>
    </w:p>
    <w:p w14:paraId="461C8BD7"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 47</w:t>
      </w:r>
    </w:p>
    <w:p w14:paraId="502D8734"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Полный заводской номер 112147. Расшифровка номера: 11 серия, 21 - номер самолета в даннй серии, 47 завод-изготовитель. Выпуск самолетов УТ-2 заводом № 47 прекращен с ноября 1942 года.</w:t>
      </w:r>
    </w:p>
    <w:p w14:paraId="7DA8B665"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Caмолет У-2</w:t>
      </w:r>
    </w:p>
    <w:p w14:paraId="4C6A3F18"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Самолеты У-2 в настоящее время выпускаются 387 заводом. Полный заводской номер четырехзначный. Например: 5523, где 55 - серия, 23 - номер самолета в данной серии.</w:t>
      </w:r>
    </w:p>
    <w:p w14:paraId="2303660B"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Ранее самолеты У-2 запускались 23 заводом. Нумерация самолетов У-2, выпускаемых 23 заводом, совпадает с нумерацией У-2, выпускаемых 387 заводом, поэтому в денесениях о прибытии или убытии самолетов У-2 с четырехзначными номерами следует указывать завод-изготовитель.</w:t>
      </w:r>
    </w:p>
    <w:p w14:paraId="546E842B"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Самолеты  ИПе-2 и УИл-2 имеют тот же порядок нумерации, как и самолет Пе-2 и Ил-2.</w:t>
      </w:r>
    </w:p>
    <w:p w14:paraId="2ED14D19"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 Моторы</w:t>
      </w:r>
    </w:p>
    <w:p w14:paraId="2E878C01"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Hoмера моторов отечественного производства также уста</w:t>
      </w:r>
      <w:r w:rsidRPr="007224C3">
        <w:rPr>
          <w:rFonts w:ascii="Times New Roman" w:hAnsi="Times New Roman"/>
          <w:color w:val="000000" w:themeColor="text1"/>
          <w:sz w:val="16"/>
          <w:szCs w:val="16"/>
        </w:rPr>
        <w:softHyphen/>
        <w:t>навливаются заводами-изготовителями. В настоящих указаниях дается порядок нумерации только новейших моторов, выпускае</w:t>
      </w:r>
      <w:r w:rsidRPr="007224C3">
        <w:rPr>
          <w:rFonts w:ascii="Times New Roman" w:hAnsi="Times New Roman"/>
          <w:color w:val="000000" w:themeColor="text1"/>
          <w:sz w:val="16"/>
          <w:szCs w:val="16"/>
        </w:rPr>
        <w:softHyphen/>
        <w:t>мых заводами в настоящее вреия.</w:t>
      </w:r>
    </w:p>
    <w:p w14:paraId="2112C6A0"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Мотор М-105 ПФ</w:t>
      </w:r>
    </w:p>
    <w:p w14:paraId="685AADCE"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Мотор М-105 ПФ выпускается заводами 16, 26, 466. Разберем нумерацию моторов М-105 ПФ по заводам.</w:t>
      </w:r>
    </w:p>
    <w:p w14:paraId="79CAB530"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 16</w:t>
      </w:r>
    </w:p>
    <w:p w14:paraId="7095EE37"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Полный заводской номер мотора 34-3168, 32- 2941. Здесь первая цифра 3 в обоих случаях обозначает год выпуска мотора. В данном случае 1943. Цифры 4, 2 обозначают квартал, в котором изготовлен мотор.</w:t>
      </w:r>
    </w:p>
    <w:p w14:paraId="42E0B6E1"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Цифры 3168, 2941 обозначают порядковый номер мотора, вынускаемый в данном квартале, В каждом квартале выпускался определенное количество метороов.</w:t>
      </w:r>
    </w:p>
    <w:p w14:paraId="41D4BC2A"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каждом квартале номера моторов начинаются с первого номера.</w:t>
      </w:r>
    </w:p>
    <w:p w14:paraId="19437CB7"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 26</w:t>
      </w:r>
    </w:p>
    <w:p w14:paraId="4D1429B5"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Полный заводской номер мотора 375-177, 315-2096.</w:t>
      </w:r>
    </w:p>
    <w:p w14:paraId="1990EB8F"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Здесь цифра 3 в обоих случаях обозначает год выпуска мотора, в даниом случае 1943. Цифры 4, 1 обозначают квартал, в котором изготовлен мотор.</w:t>
      </w:r>
    </w:p>
    <w:p w14:paraId="67A98884"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Цифра 5 в обоих cлучаях указывает, что мотор относился к семейству моторов М-105.</w:t>
      </w:r>
    </w:p>
    <w:p w14:paraId="6DE7194D"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Цифры 177, 2096 - обозначают порядковый номер мотора, вы</w:t>
      </w:r>
      <w:r w:rsidRPr="007224C3">
        <w:rPr>
          <w:rFonts w:ascii="Times New Roman" w:hAnsi="Times New Roman"/>
          <w:color w:val="000000" w:themeColor="text1"/>
          <w:sz w:val="16"/>
          <w:szCs w:val="16"/>
        </w:rPr>
        <w:softHyphen/>
        <w:t>пускаемого в данном квартале. В каждом квартале нумерация моторов начинается с первого номера.</w:t>
      </w:r>
    </w:p>
    <w:p w14:paraId="55C287A5"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3авод № 466</w:t>
      </w:r>
    </w:p>
    <w:p w14:paraId="22DABBB4"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Полный заводской номер мотора 405-33, 524-32.</w:t>
      </w:r>
    </w:p>
    <w:p w14:paraId="3C5FBE69"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Здесь цифрф 485, 524 обозначают порядковый номер мотора, выускаемого в данном квартале, цифра 3 в обоих случаях обозначает год выпуска мотора, в даннгом случае 1943.</w:t>
      </w:r>
    </w:p>
    <w:p w14:paraId="401889B4"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Цифры 3, 2 обозначают квартал, в котором изготовлен мотор.</w:t>
      </w:r>
    </w:p>
    <w:p w14:paraId="086783C7"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каждом квартале номера моторов начинаются с первого номера.</w:t>
      </w:r>
    </w:p>
    <w:p w14:paraId="0637246A"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Мотор М-82.</w:t>
      </w:r>
    </w:p>
    <w:p w14:paraId="0C7CB60D"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Выпускается заводом 19.</w:t>
      </w:r>
    </w:p>
    <w:p w14:paraId="2760C566"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Полный заводской номер мoтopa 65031953, 6511316.</w:t>
      </w:r>
    </w:p>
    <w:p w14:paraId="4681A821"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Здесь цифры 65 в обоих случаях являются условным обозначением типа мотора М -82.</w:t>
      </w:r>
    </w:p>
    <w:p w14:paraId="771BDE2A"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Цифра "0" в первом номере является условным обовначением степени редукции мотора 11 : 15.</w:t>
      </w:r>
    </w:p>
    <w:p w14:paraId="0326EBD8"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Цифра 1 во втором номере является условным обозначением степени редукции мотора 9 : 16.</w:t>
      </w:r>
    </w:p>
    <w:p w14:paraId="0732773E" w14:textId="77777777" w:rsidR="00750752" w:rsidRPr="007224C3" w:rsidRDefault="007E039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fldChar w:fldCharType="begin"/>
      </w:r>
      <w:r w:rsidR="00750752" w:rsidRPr="007224C3">
        <w:rPr>
          <w:rFonts w:ascii="Times New Roman" w:hAnsi="Times New Roman"/>
          <w:color w:val="000000" w:themeColor="text1"/>
          <w:sz w:val="16"/>
          <w:szCs w:val="16"/>
        </w:rPr>
        <w:instrText xml:space="preserve"> TOC \o "1-3" \h \z </w:instrText>
      </w:r>
      <w:r w:rsidRPr="007224C3">
        <w:rPr>
          <w:rFonts w:ascii="Times New Roman" w:hAnsi="Times New Roman"/>
          <w:color w:val="000000" w:themeColor="text1"/>
          <w:sz w:val="16"/>
          <w:szCs w:val="16"/>
        </w:rPr>
        <w:fldChar w:fldCharType="separate"/>
      </w:r>
      <w:r w:rsidR="00750752" w:rsidRPr="007224C3">
        <w:rPr>
          <w:rFonts w:ascii="Times New Roman" w:hAnsi="Times New Roman"/>
          <w:color w:val="000000" w:themeColor="text1"/>
          <w:sz w:val="16"/>
          <w:szCs w:val="16"/>
        </w:rPr>
        <w:t>Следующие цифры 3, 1 в обоих номерах обоевачают серию мотора.</w:t>
      </w:r>
    </w:p>
    <w:p w14:paraId="36153ABA"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Цифры 1953, 316 - обозначают порядковый номер мотра в данной серии:</w:t>
      </w:r>
    </w:p>
    <w:p w14:paraId="677ABAB0"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Мoтoр М-82-ФН</w:t>
      </w:r>
    </w:p>
    <w:p w14:paraId="6A58EDA4"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Выпускается 19 заводом. Полаый заводской номер мотора 92111809</w:t>
      </w:r>
    </w:p>
    <w:p w14:paraId="70A1A882"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Здесь цифра 82 является условным обозначением типа мотора М-82-ФН</w:t>
      </w:r>
    </w:p>
    <w:p w14:paraId="04CA6DB4"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Цифра 1 является условным обозначением степени редукции мотора 11 : 16, следующая цифра 1 обозначаеь серию мотора</w:t>
      </w:r>
    </w:p>
    <w:p w14:paraId="64DF4A36"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Цифра 909 обозначает порядковый номер мотора в данной серии.</w:t>
      </w:r>
      <w:r w:rsidR="007E0398" w:rsidRPr="007224C3">
        <w:rPr>
          <w:rFonts w:ascii="Times New Roman" w:hAnsi="Times New Roman"/>
          <w:color w:val="000000" w:themeColor="text1"/>
          <w:sz w:val="16"/>
          <w:szCs w:val="16"/>
        </w:rPr>
        <w:fldChar w:fldCharType="end"/>
      </w:r>
    </w:p>
    <w:p w14:paraId="652EDFD1"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Moтoр АМ-38 - Ф.</w:t>
      </w:r>
    </w:p>
    <w:p w14:paraId="524D4BD6"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Выпускается ваводами 24, 45</w:t>
      </w:r>
    </w:p>
    <w:p w14:paraId="7A6334B1"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Мотор AМ-38Ф, выпускаемый 24 заводом имеет полный заводской-номер 253369.</w:t>
      </w:r>
    </w:p>
    <w:p w14:paraId="4AE97657"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Расшифровка номера: 25 - серия мотора, 3369 - порядковый номер мотора в данной серии.</w:t>
      </w:r>
    </w:p>
    <w:p w14:paraId="796DD42C"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Могор АМ-38-Ф, выпускаемый 45 заводом имеет полный за</w:t>
      </w:r>
      <w:r w:rsidRPr="007224C3">
        <w:rPr>
          <w:rFonts w:ascii="Times New Roman" w:hAnsi="Times New Roman"/>
          <w:color w:val="000000" w:themeColor="text1"/>
          <w:sz w:val="16"/>
          <w:szCs w:val="16"/>
        </w:rPr>
        <w:softHyphen/>
        <w:t>водской номер 4591224.</w:t>
      </w:r>
    </w:p>
    <w:p w14:paraId="0571A3C2"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Расшифровка номера: 45 завод-изгоговитель, 91 - серия моюра, 244 порядковй номер мотора в данной серии.</w:t>
      </w:r>
    </w:p>
    <w:p w14:paraId="73A4020B"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Мотор М-11</w:t>
      </w:r>
    </w:p>
    <w:p w14:paraId="75EF6584"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Выпускается в настоящее время 41 и 154 заводами. </w:t>
      </w:r>
    </w:p>
    <w:p w14:paraId="7C166D2A"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Полный заводской номер мотора, вынускаемого заводом 41 411555</w:t>
      </w:r>
    </w:p>
    <w:p w14:paraId="0366D9F9"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Расшифровка номера: 41 - завод изготовитель 1 - серия мотора, 595 порядковый номер мотора в данной серии.</w:t>
      </w:r>
    </w:p>
    <w:p w14:paraId="1BC4E6B9"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Полный заводской номер мотора, выпускаемый заводом 154 - 09335</w:t>
      </w:r>
    </w:p>
    <w:p w14:paraId="6BD402B3" w14:textId="77777777" w:rsidR="00750752" w:rsidRPr="007224C3" w:rsidRDefault="0075075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Заводом 154 установлена нумерация моторов с начала выпус</w:t>
      </w:r>
      <w:r w:rsidRPr="007224C3">
        <w:rPr>
          <w:rFonts w:ascii="Times New Roman" w:hAnsi="Times New Roman"/>
          <w:color w:val="000000" w:themeColor="text1"/>
          <w:sz w:val="16"/>
          <w:szCs w:val="16"/>
        </w:rPr>
        <w:softHyphen/>
        <w:t>ка с первого номера и в дальнейшем идег в воврастающем порядке (19801).</w:t>
      </w:r>
    </w:p>
    <w:p w14:paraId="3F786F69" w14:textId="77777777" w:rsidR="00750752" w:rsidRPr="007224C3" w:rsidRDefault="00750752" w:rsidP="007224C3">
      <w:pPr>
        <w:spacing w:after="0" w:line="240" w:lineRule="auto"/>
        <w:jc w:val="both"/>
        <w:rPr>
          <w:rFonts w:ascii="Times New Roman" w:hAnsi="Times New Roman"/>
          <w:color w:val="000000" w:themeColor="text1"/>
          <w:sz w:val="16"/>
          <w:szCs w:val="16"/>
        </w:rPr>
      </w:pPr>
    </w:p>
    <w:p w14:paraId="0A56D5A8"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404F3E9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B20CEF1"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марта 1944 г. член Военного совета ГМЧ генерал-лейтенант Л.М. Гайдуков представил члену ГКО Г.М. Маленкову, курировавшему разработку новых образцов оружия и военной техники, проект постановления ГКО о расширении работ по реактивному вооружению, предусматривающего, в том числе, создание в Наркомате боеприпасов новой организации — СКБ для отработки и промышленного освоения новых образцов реактивных снарядов и совершенствования ранее созданных, а также организацию КБ по пусковым установкам на заводе №733 («Компрессор») Наркомата минометного вооружения. В свою очередь нарком боеприпасов Б.Л. Ванников в октябре 1944 г. подготовил проект постановления о создании в Наркомате боеприпасов ОКБ-3 для разработки реактивного вооружения, предусматривавшего назначение его руководителем Ю.А. Победоносцева.</w:t>
      </w:r>
    </w:p>
    <w:p w14:paraId="74AFD435"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 своей стороны, нарком авиационной промышленности А.И. Шахурин обратился к Г.М. Маленкову с предложением организовать на территории бывшего авиационного завода №482 в районе поселка Владыкино, расположенного недалеко от Всесоюзной сельскохозяйственной выставки за пределами тогдашних границ Москвы, Научно-исследовательский институт реактивного вооружения под руководством Ю.А. Победоносцева.</w:t>
      </w:r>
    </w:p>
    <w:p w14:paraId="186CDB3C"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Однако эти предложения не получили в ГКО поддержки (12205).</w:t>
      </w:r>
    </w:p>
    <w:p w14:paraId="23234884" w14:textId="77777777" w:rsidR="00137373" w:rsidRPr="007224C3" w:rsidRDefault="00137373" w:rsidP="007224C3">
      <w:pPr>
        <w:spacing w:after="0" w:line="240" w:lineRule="auto"/>
        <w:jc w:val="both"/>
        <w:rPr>
          <w:rFonts w:ascii="Times New Roman" w:hAnsi="Times New Roman"/>
          <w:color w:val="000000" w:themeColor="text1"/>
          <w:sz w:val="16"/>
          <w:szCs w:val="16"/>
        </w:rPr>
      </w:pPr>
    </w:p>
    <w:p w14:paraId="1BA1C0E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марта 1944 вышло Постановление ГКО № 5380 Об увеличении производства крупных электромоторов, рудничных электровозов и комплектующего электрооборудования для угольной промышленности на заводах Наркомэлектропрома в 1944 г. РГАНИР, Фонд ГКО, д. 218, лл. 159-165,166-171 (11012).</w:t>
      </w:r>
    </w:p>
    <w:p w14:paraId="277131C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C90A346"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марта 1944 вышло Распоряжение ГКО № 5382 [О порядке финансирования восстановительных работ на б. военбазе № 64 в Киеве.] (7198, 174).</w:t>
      </w:r>
    </w:p>
    <w:p w14:paraId="13D47C70"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9B69D84"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марта 1944 вышло Распоряжение ГКО № 5383 [О расходах на строительно-монтажные работы по восстановлению энергетического хозяйства Киева.] (7198, 175).</w:t>
      </w:r>
    </w:p>
    <w:p w14:paraId="4DC5C012"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6665AB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марта 1944 вышло Распоряжение ГКО № 5386. О поставках леса для постройки охотников за подводными лодками на заводе № 640 НКСП. РГАНИР, Фонд ГКО, д. 218, лл. 180-181 (11012).</w:t>
      </w:r>
    </w:p>
    <w:p w14:paraId="0FB1FE3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A722327"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47BB583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934605D" w14:textId="77777777" w:rsidR="00E870E7" w:rsidRPr="007224C3" w:rsidRDefault="00E870E7"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13 марта</w:t>
      </w:r>
      <w:r w:rsidRPr="007224C3">
        <w:rPr>
          <w:rFonts w:ascii="Times New Roman" w:hAnsi="Times New Roman"/>
          <w:color w:val="000000" w:themeColor="text1"/>
          <w:sz w:val="16"/>
          <w:szCs w:val="16"/>
        </w:rPr>
        <w:t xml:space="preserve"> в 1944 году оперативная сводка Совинформбюро:</w:t>
      </w:r>
    </w:p>
    <w:p w14:paraId="6961D1EF" w14:textId="77777777" w:rsidR="00E870E7" w:rsidRPr="007224C3" w:rsidRDefault="00E870E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13 марта наши войска, наступающие к юго-западу от города Волочиск, овладели районным центром Тарнопольской области городом Скалат, крупными населёнными пунктами Тоустолуг, Колодзеювка, Старый Скалат, Качанувка, Ивановка, Чернишовка.</w:t>
      </w:r>
    </w:p>
    <w:p w14:paraId="68BFAB4B" w14:textId="77777777" w:rsidR="00E870E7" w:rsidRPr="007224C3" w:rsidRDefault="00E870E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Проскуровском направлении наши войска, преодолевая сопротивление и контратаки пехоты и танков противника, продолжали вести наступательные бои, в ходе которых заняли несколько населённых пунктов.</w:t>
      </w:r>
    </w:p>
    <w:p w14:paraId="1C1B448C" w14:textId="77777777" w:rsidR="00E870E7" w:rsidRPr="007224C3" w:rsidRDefault="00E870E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Винницком направлении наши войска, перейдя в наступление, овладели районными центрами Винницкой области Липовец, Ильинцы, Дашев и с боями занялиболее 60 других населённых пунктов, в том числе крупные населённые пункты Зозов, Счастливая, Ободное, Поповка, Париевка, Хрынивка, Жаданы, Купчынцы, Семиречка.</w:t>
      </w:r>
    </w:p>
    <w:p w14:paraId="5D2182B4" w14:textId="77777777" w:rsidR="00E870E7" w:rsidRPr="007224C3" w:rsidRDefault="00E870E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и южнее города Умань наши войска продолжали развивать успешное наступление.</w:t>
      </w:r>
    </w:p>
    <w:p w14:paraId="69A0170B" w14:textId="77777777" w:rsidR="00E870E7" w:rsidRPr="007224C3" w:rsidRDefault="00E870E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города Кировоград наши войска, развивая наступление, овладели районным центром Кировоградской области Малые Виски, а также с боями заняли более 100 других населённых пунктов, среди которых крупные населённые пункты Кальни-Болото, Надлак, Коробчино, Полеевка, Россоховатка, Ново-Злынка, Плетёный Ташлык, Ивановка, Захаровка и железнодорожные станции Виска, Плетёный Ташлык.</w:t>
      </w:r>
    </w:p>
    <w:p w14:paraId="3DA0F12A" w14:textId="77777777" w:rsidR="00E870E7" w:rsidRPr="007224C3" w:rsidRDefault="00E870E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города Кривой Рог наши войска с боями продвигались вперёд и овладели районным центром Кировоградской области Устиновка, а также заняли более 50 других населённых пунктов, в том числе крупные населённые пункты Камышевата, Петровка, Новая Егоровка, Ново-Киевка, Израилевка, Червоный Прапор.</w:t>
      </w:r>
    </w:p>
    <w:p w14:paraId="6250AEE0" w14:textId="77777777" w:rsidR="00E870E7" w:rsidRPr="007224C3" w:rsidRDefault="00E870E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Апостолово наши войска, продолжая наступление, овладели районным центром Николаевской области Владимировка и с боями заняли более 100 других населённых пунктов, в том числе крупные населённые пункты Сергеевка, Фёдоровка, Кавказ, Давыдов Брод, Костромка, Крестовоздвиженка, Галагановка, Лиманцы, Тимофеевка, Понятовка, Никольское и железнодорожную станцию Белая Криница.</w:t>
      </w:r>
    </w:p>
    <w:p w14:paraId="4C51A051" w14:textId="77777777" w:rsidR="00E870E7" w:rsidRPr="007224C3" w:rsidRDefault="00E870E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3-го Украинского фронта, форсировав реку Днепр в нижнем течении, 13 марта в результате уличных боёв овладели городом Херсон — крупным узлом железнодорожных и водных коммуникаций и важным опорным пунктом обороны немцев у устья реки Днепр.</w:t>
      </w:r>
    </w:p>
    <w:p w14:paraId="72800E34" w14:textId="77777777" w:rsidR="00E870E7" w:rsidRPr="007224C3" w:rsidRDefault="00E870E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период с 6 по 12 марта включительно войска 3-го Украинского фронта нанесли противнику следующие потери: уничтожено танков — 115, самоходных орудий — 64,орудий разного калибра — 390, миномётов — 230, пулемётов — 950, бронемашин и бронетранспортёров — 68, тракторов — 57, автомашин — 3.830.</w:t>
      </w:r>
    </w:p>
    <w:p w14:paraId="35ADC55F" w14:textId="77777777" w:rsidR="00E870E7" w:rsidRPr="007224C3" w:rsidRDefault="00E870E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Противник оставил на поле боя более 20.000 трупов солдат и офицеров.</w:t>
      </w:r>
    </w:p>
    <w:p w14:paraId="66799750" w14:textId="77777777" w:rsidR="00E870E7" w:rsidRPr="007224C3" w:rsidRDefault="00E870E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Заэто же время войска 3-го Украинского фронта захватили трофеи: танков — 87, самоходных орудий — 50, полевых орудий разного калибра — 338, миномётов — 142, пулемётов — 1.077, винтовок и автоматов — 8.200, бронемашин и бронетранспортёров— 48, тракторов и тягачей — 121, автомашин — 5.342, паровозов — 27, вагонов —242, складов с боеприпасами, вооружением и другим военным имуществом — 63. Взятов плен свыше 2.500 немецких солдат и офицеров.</w:t>
      </w:r>
    </w:p>
    <w:p w14:paraId="61AED50B" w14:textId="77777777" w:rsidR="00E870E7" w:rsidRPr="007224C3" w:rsidRDefault="00E870E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 разведка и в ряде пунктов бои местного значения.</w:t>
      </w:r>
    </w:p>
    <w:p w14:paraId="0B2FDFF1" w14:textId="77777777" w:rsidR="00E870E7" w:rsidRPr="007224C3" w:rsidRDefault="00E870E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12 марта наши войска на всех фронтах подбили и уничтожили 52 немецких танка. В воздушных боях и огнём зенитной артиллерии сбито 23 самолёта противника.».</w:t>
      </w:r>
    </w:p>
    <w:p w14:paraId="46AEC4F7" w14:textId="77777777" w:rsidR="00E870E7" w:rsidRPr="007224C3" w:rsidRDefault="00E870E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Налёт нашей авиации на железнодорожный узел и порт Таллин.</w:t>
      </w:r>
    </w:p>
    <w:p w14:paraId="39C71C36" w14:textId="77777777" w:rsidR="00E870E7" w:rsidRPr="007224C3" w:rsidRDefault="00E870E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днях наша авиация подвергла сильной бомбардировке скопление немецких воинских эшелонов на железнодорожном узле и суда противника в порту Таллин. В результате бомбардировки возникли пожары: горели эшелоны с войсками, горючим и боеприпасами. Пожары сопровождались взрывами. Сильные пожары и взрывы отмеченытакже в старом порту, на территории морского арсенала, бензохранилища, химического завода и пороховых складов. Пожары наблюдались нашими экипажами с расстояния более 250 километров.</w:t>
      </w:r>
    </w:p>
    <w:p w14:paraId="26920D59" w14:textId="77777777" w:rsidR="00E870E7" w:rsidRPr="007224C3" w:rsidRDefault="00E870E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Пять наших самолётов не вернулись на свои базы.».</w:t>
      </w:r>
    </w:p>
    <w:p w14:paraId="4C16DEFB" w14:textId="77777777" w:rsidR="00E870E7" w:rsidRPr="007224C3" w:rsidRDefault="00E870E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города Волочиск наши войска в результате ожесточённых боёв с крупными силами танков и пехоты противника заняли районный центр Тарнопольскойобласти город и железнодорожную станцию Скалат, а также ряд других населённых пунктов. Захвачено у немцев до 1.000 автомашин и крупные склады с продовольствием, боеприпасами и военным имуществом. Уничтожено до 1.200 гитлеровцев, 29 танков и 9 самоходных орудий противника.</w:t>
      </w:r>
    </w:p>
    <w:p w14:paraId="2475203F" w14:textId="77777777" w:rsidR="00E870E7" w:rsidRPr="007224C3" w:rsidRDefault="00E870E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Винницком направлении наши войска перешли в наступление. Советская пехота и танки, при поддержке артиллерии, прорвали вражескую оборону и, успешно продвигаясь вперёд, овладели районными центрами Винницкой области Липовец, Ильинцы и Дашев. Отступая под ударами наших войск, противник несёт огромные потери. Советские части разгромили 18 немецкую артиллерийскую дивизию, захватили много тяжёлых орудий на механической тяге и другие трофеи.</w:t>
      </w:r>
    </w:p>
    <w:p w14:paraId="3C62DB4B" w14:textId="77777777" w:rsidR="00E870E7" w:rsidRPr="007224C3" w:rsidRDefault="00E870E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Западнее города Кривой Рог наши войска продолжали наступление. Части Н-ского соединения, овладевшие вчера городом Шевченково и железнодорожным узлом Долинская, захватили у противника 6 танков, 17 самоходных орудий, 33 полевыхорудия, 347 автомашин, 27 паровозов, 8 железнодорожных эшелонов с боеприпасамии, кроме того, 145 вагонов с различными грузами, 200 бочек с бензином, 13 складов с продовольствием и различным военным имуществом. С боями продвигаясь вперёд, наши войска заняли районный центр Кировоградской области Устиновку и ряд других населённых пунктов. Уничтожено до 1.600 немецких солдат и офицеров. Взято значительное число пленных и захвачены два больших склада авиабомб.</w:t>
      </w:r>
    </w:p>
    <w:p w14:paraId="37838DE2" w14:textId="77777777" w:rsidR="00E870E7" w:rsidRPr="007224C3" w:rsidRDefault="00E870E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города Апостолово наши войска с боями продвигались вперёд. Бойцы Н-ского соединения, преследуя отступающего противника, овладели районным центром Николаевской области Владимировкой. В бою за этот пункт уничтожено свыше батальона гитлеровцев. Захвачены у немцев 2 танка, 16 орудий, два склада боеприпасов и крупный склад продовольствия. На другом участке противник предпринял ряд ожесточённых контратак. Немцы бросали в контратаки пьяных солдат и офицеров. Ружейно-пулемётным огнём все контратаки противника отбиты с большими для него потерями. Перед нашими позициями осталось до 500 вражеских трупов.</w:t>
      </w:r>
    </w:p>
    <w:p w14:paraId="4CE6F570" w14:textId="77777777" w:rsidR="00E870E7" w:rsidRPr="007224C3" w:rsidRDefault="00E870E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3-го Украинского фронта успешно переправились через реку Днепр и стремительным ударом овладели рядом населённых пунктов. Немецкие солдаты и офицеры из этих опорных пунктов в панике бежали в Херсон. Неотступно преследуя немцев, советские бойцы на плечах отступающего противника ворвались в город и завязали уличные бои. Сегодня наши войска полностью овладели Городом Херсон. Захвачено много вооружения и крупные склады противника.</w:t>
      </w:r>
    </w:p>
    <w:p w14:paraId="53629776" w14:textId="77777777" w:rsidR="00E870E7" w:rsidRPr="007224C3" w:rsidRDefault="00E870E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Партизанский отряд, действующий в Каменец-Подольской области, с 16 по 27 февраля вёл непрерывные бои с противником. В этих боях советские патриоты уничтожили две роты гитлеровцев. Другой отряд каменец-подольских партизан в ночьна 27 февраля внезапно напал на немецкий гарнизон, расположенный в одном районном центре. Гитлеровцы в панике бежали. На улицах села осталось свыше 50 вражеских трупов. Партизаны захватили трофеи и пленных.» (15067).</w:t>
      </w:r>
    </w:p>
    <w:p w14:paraId="0859788A" w14:textId="77777777" w:rsidR="00E870E7" w:rsidRPr="007224C3" w:rsidRDefault="00E870E7" w:rsidP="007224C3">
      <w:pPr>
        <w:spacing w:after="0" w:line="240" w:lineRule="auto"/>
        <w:jc w:val="both"/>
        <w:rPr>
          <w:rFonts w:ascii="Times New Roman" w:hAnsi="Times New Roman"/>
          <w:color w:val="000000" w:themeColor="text1"/>
          <w:sz w:val="16"/>
          <w:szCs w:val="16"/>
        </w:rPr>
      </w:pPr>
    </w:p>
    <w:p w14:paraId="6B720479" w14:textId="77777777" w:rsidR="00BC5781" w:rsidRPr="007224C3" w:rsidRDefault="00BC5781" w:rsidP="007224C3">
      <w:pPr>
        <w:pStyle w:val="ae"/>
        <w:spacing w:before="0" w:after="0"/>
        <w:jc w:val="both"/>
        <w:textAlignment w:val="baseline"/>
        <w:rPr>
          <w:color w:val="000000" w:themeColor="text1"/>
          <w:sz w:val="16"/>
          <w:szCs w:val="16"/>
        </w:rPr>
      </w:pPr>
      <w:r w:rsidRPr="007224C3">
        <w:rPr>
          <w:color w:val="000000" w:themeColor="text1"/>
          <w:sz w:val="16"/>
          <w:szCs w:val="16"/>
        </w:rPr>
        <w:t>Утром 13 марта 1944 штурмовики 11-й шад совершили налет на порт Феодосия. В нем приняли участие 30 Ил-2 из 47-го шап и 8-го гв. шап и столько же истребителей сопровождения. На подходе группа была атакована 20 Bf-109G из II./JG52. Последним удалось отсечь эскорт и атаковать штурмовики. В итоге немцы сбили пять «цементбомберов», а три тяжело повредили. Еще один Ил стал жертвой зенитчиков. В свою очередь, советские летчики заявили о семи сбитых мессерах, из которых два записали экипажу лейтенанта Акаева.</w:t>
      </w:r>
    </w:p>
    <w:p w14:paraId="10227498" w14:textId="77777777" w:rsidR="00BC5781" w:rsidRPr="007224C3" w:rsidRDefault="00BC5781" w:rsidP="007224C3">
      <w:pPr>
        <w:pStyle w:val="ae"/>
        <w:spacing w:before="0" w:after="0"/>
        <w:jc w:val="both"/>
        <w:textAlignment w:val="baseline"/>
        <w:rPr>
          <w:color w:val="000000" w:themeColor="text1"/>
          <w:sz w:val="16"/>
          <w:szCs w:val="16"/>
        </w:rPr>
      </w:pPr>
      <w:r w:rsidRPr="007224C3">
        <w:rPr>
          <w:color w:val="000000" w:themeColor="text1"/>
          <w:sz w:val="16"/>
          <w:szCs w:val="16"/>
        </w:rPr>
        <w:t>Днем «спецштурмовики» атаковали конвой из мелких кораблей и барж, обнаруженный в Керченском проливе. Однако этот вылет закончился неудачей. Неповоротливые самолеты с пушечными контейнерами под плоскостями просто не успевали маневрировать, и все выпущенные ими снаряды ложились далеко от целей. В итоге ни одну цель поразить так и не удалось.</w:t>
      </w:r>
    </w:p>
    <w:p w14:paraId="14DFAE95" w14:textId="77777777" w:rsidR="00BC5781" w:rsidRPr="007224C3" w:rsidRDefault="00BC5781" w:rsidP="007224C3">
      <w:pPr>
        <w:pStyle w:val="ae"/>
        <w:spacing w:before="0" w:after="0"/>
        <w:jc w:val="both"/>
        <w:textAlignment w:val="baseline"/>
        <w:rPr>
          <w:color w:val="000000" w:themeColor="text1"/>
          <w:sz w:val="16"/>
          <w:szCs w:val="16"/>
        </w:rPr>
      </w:pPr>
      <w:r w:rsidRPr="007224C3">
        <w:rPr>
          <w:color w:val="000000" w:themeColor="text1"/>
          <w:sz w:val="16"/>
          <w:szCs w:val="16"/>
        </w:rPr>
        <w:t>Вечером того же 13 марта состоялся повторный налет на Феодосию, в котором снова участвовали 30 Ил-2 и уже 38 истребителей из 11-й шад. Прикрытие задачу снова не выполнило. И на этот раз обратно не вернулись семь «горбатых», еще двенадцать получили сильные повреждения и с трудом дотянули до своей территории. Часть из них совершили вынужденные посадки «на живот» с убитыми бортстрелками в задних кабинах.</w:t>
      </w:r>
    </w:p>
    <w:p w14:paraId="643948EB" w14:textId="77777777" w:rsidR="00BC5781" w:rsidRPr="007224C3" w:rsidRDefault="00BC5781" w:rsidP="007224C3">
      <w:pPr>
        <w:pStyle w:val="ae"/>
        <w:spacing w:before="0" w:after="0"/>
        <w:jc w:val="both"/>
        <w:textAlignment w:val="baseline"/>
        <w:rPr>
          <w:color w:val="000000" w:themeColor="text1"/>
          <w:sz w:val="16"/>
          <w:szCs w:val="16"/>
        </w:rPr>
      </w:pPr>
      <w:r w:rsidRPr="007224C3">
        <w:rPr>
          <w:color w:val="000000" w:themeColor="text1"/>
          <w:sz w:val="16"/>
          <w:szCs w:val="16"/>
        </w:rPr>
        <w:t>В тот день пилотам II./JG52 засчитали двенадцать сбитых Ил-2, что соответствует фактическим потерям советской стороны. Отличился фельдфебель Андреас Штерл из 4-й эскадрильи, на чьем счету было сразу четыре «цементбомбера».</w:t>
      </w:r>
    </w:p>
    <w:p w14:paraId="04AF4175" w14:textId="77777777" w:rsidR="00BC5781" w:rsidRPr="007224C3" w:rsidRDefault="00BC5781" w:rsidP="007224C3">
      <w:pPr>
        <w:pStyle w:val="ae"/>
        <w:spacing w:before="0" w:after="0"/>
        <w:jc w:val="both"/>
        <w:textAlignment w:val="baseline"/>
        <w:rPr>
          <w:color w:val="000000" w:themeColor="text1"/>
          <w:sz w:val="16"/>
          <w:szCs w:val="16"/>
        </w:rPr>
      </w:pPr>
      <w:r w:rsidRPr="007224C3">
        <w:rPr>
          <w:color w:val="000000" w:themeColor="text1"/>
          <w:sz w:val="16"/>
          <w:szCs w:val="16"/>
        </w:rPr>
        <w:t>Для выяснения больших потерь 11-й шад создали специальную комиссию, в которую вошли командующий ВВС ВМФ генерал-полковник С. Ф. Жаворонков и командующий ВВС Черноморского флота генерал-лейтенант В. В. Ермаченков. По результатам ее работы командир 8-го гв. шап гвардии подполковник Челноков и командир 47-го шап майор Степанян получили выговоры за плохое планирование операции (19522).</w:t>
      </w:r>
    </w:p>
    <w:p w14:paraId="526ED010" w14:textId="77777777" w:rsidR="00BC5781" w:rsidRPr="007224C3" w:rsidRDefault="00BC5781" w:rsidP="007224C3">
      <w:pPr>
        <w:pStyle w:val="ae"/>
        <w:spacing w:before="0" w:after="0"/>
        <w:jc w:val="both"/>
        <w:textAlignment w:val="baseline"/>
        <w:rPr>
          <w:color w:val="000000" w:themeColor="text1"/>
          <w:sz w:val="16"/>
          <w:szCs w:val="16"/>
        </w:rPr>
      </w:pPr>
    </w:p>
    <w:p w14:paraId="0030D640"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марта 1944 вышло Постановление ГКО № 5384 О дальнейшем развитии Авиации дальнего действия. (7198, 176-177).</w:t>
      </w:r>
    </w:p>
    <w:p w14:paraId="6C97FFF5"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E434861"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марта 1944 вышло Постановление ГКО № 5385 О реорганизации и усилении авиационных школ Авиации дальнего действия. (7198, 178-179).</w:t>
      </w:r>
    </w:p>
    <w:p w14:paraId="163C622B"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58ED68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марта 1944 г. в соответствии с постановлением ГКО N 5384 началось формирование полков на Ер-2 в нескольких корпусах АДД. Понимание, что самолет наверняка потребует доводки, а также отсутствие необходимого количества бомбардировщиков для укомплектования всех авиачастей весной 1944 г. вызвали не совсем обычное решение - не перевооружать имеющиеся полки, ведущие боевую работу, а сформировать совершенно новые. Все семь развернутых авиаполков волею оргмобуправления КА получили по каким-то причинам неиспользованные ранее "трехсотые" номера (к этому времени в составе ВВС и АДД имелись уже и "девятисотые", и даже "тысячные" полки) (3322,46).</w:t>
      </w:r>
    </w:p>
    <w:p w14:paraId="73C9AB4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BC844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марта 1944 года черноморцы совершили налет на Феодосию. В налете участвовали 30 Ил-2 из 47-го ШАП и 8-го ГШАП, а также 30 истребителей прикрытия. Илы 47го полка несли 37-мм пушки - эту модификацию называли термином "спецштурмовики" (2691). Ошибки в навигации привели к тому, что самолеты не сразу вышли к цели, что дало немцам время подготовиться. В воздухе вилось около 20 Вf109 и FW-190, часть которых вступила в бой с истребителями сопровождения, а другая занялась охотой на Илы. Немцам удалось сбить пять штурмовиков, а еще три "летающих танка" получили тяжелые повреждения. Еще один Ил сбили зенитчики. Советские летчики заявили 7 побед, из которых две пришлось на экипаж лейтенанта Ю. Акаева (один самолет сбил пилот, другой - стрелок-радист). Однако понесенные потери были достаточно ощутимы, чтобы с инспекцией в часть прибыл командующий ВВС ВМФ, генерал подполковник С.Ф. Жаворонков и командующий ВВС ЧФ, генерал-лейтенант В.В. Ермаченков. Командиры полков и эскадрилий получили нагоняй за бестолковое планирование операции (2691). Тем временем трагикомический характер приобрела одна операция, проведенная в тот же самый день. Все происходило так. Пара "мессеров" села на хвост разведывательному А-20, в то время как "мессерам" на хвост села четверка Як-9 из 6-го ГИАП. Советские пилоты выжимали из своих самолетов все что только можно, но догнать немцев не могли. В результате А-20 был сбит. Его пилот совершил ошибку, поскольку гнал свой самолет, не давая возможности истребителям прикрытия догнать немцев. После этого события командир звена истребителей был отчислен из части за невыполнение боевого задания (2691).</w:t>
      </w:r>
    </w:p>
    <w:p w14:paraId="4D2B8EB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08D2A1" w14:textId="77777777" w:rsidR="00EC7700" w:rsidRPr="007224C3" w:rsidRDefault="00EC7700"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Утром 13 марта 1944 штурмовики 11</w:t>
      </w:r>
      <w:r w:rsidRPr="007224C3">
        <w:rPr>
          <w:rFonts w:ascii="Times New Roman" w:hAnsi="Times New Roman"/>
          <w:color w:val="0070C0"/>
          <w:sz w:val="16"/>
          <w:szCs w:val="16"/>
        </w:rPr>
        <w:noBreakHyphen/>
        <w:t>й шад совершили налет на порт Феодосия. В нем приняли участие 30 Ил</w:t>
      </w:r>
      <w:r w:rsidRPr="007224C3">
        <w:rPr>
          <w:rFonts w:ascii="Times New Roman" w:hAnsi="Times New Roman"/>
          <w:color w:val="0070C0"/>
          <w:sz w:val="16"/>
          <w:szCs w:val="16"/>
        </w:rPr>
        <w:noBreakHyphen/>
        <w:t>2 из 47</w:t>
      </w:r>
      <w:r w:rsidRPr="007224C3">
        <w:rPr>
          <w:rFonts w:ascii="Times New Roman" w:hAnsi="Times New Roman"/>
          <w:color w:val="0070C0"/>
          <w:sz w:val="16"/>
          <w:szCs w:val="16"/>
        </w:rPr>
        <w:noBreakHyphen/>
        <w:t>го шап и 8</w:t>
      </w:r>
      <w:r w:rsidRPr="007224C3">
        <w:rPr>
          <w:rFonts w:ascii="Times New Roman" w:hAnsi="Times New Roman"/>
          <w:color w:val="0070C0"/>
          <w:sz w:val="16"/>
          <w:szCs w:val="16"/>
        </w:rPr>
        <w:noBreakHyphen/>
        <w:t>го гв. шап и столько же истребителей сопровождения. На подходе группа была атакована 20 Bf</w:t>
      </w:r>
      <w:r w:rsidRPr="007224C3">
        <w:rPr>
          <w:rFonts w:ascii="Times New Roman" w:hAnsi="Times New Roman"/>
          <w:color w:val="0070C0"/>
          <w:sz w:val="16"/>
          <w:szCs w:val="16"/>
        </w:rPr>
        <w:noBreakHyphen/>
        <w:t>109G из II./JG52. Последним удалось отсечь эскорт и атаковать штурмовики. В итоге немцы сбили пять «цементбомберов», а три тяжело повредили. Еще один Ил стал жертвой зенитчиков. В свою очередь, советские летчики заявили о семи сбитых мессерах, из которых два записали экипажу лейтенанта Акаева.</w:t>
      </w:r>
    </w:p>
    <w:p w14:paraId="5A85594E" w14:textId="77777777" w:rsidR="00EC7700" w:rsidRPr="007224C3" w:rsidRDefault="00EC7700"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Днем «спецштурмовики» атаковали конвой из мелких кораблей и барж, обнаруженный в Керченском проливе. Однако этот вылет закончился неудачей. Неповоротливые самолеты с пушечными контейнерами под плоскостями просто не успевали маневрировать, и все выпущенные ими снаряды ложились далеко от целей. В итоге ни одну цель поразить так и не удалось (23199).</w:t>
      </w:r>
    </w:p>
    <w:p w14:paraId="48BFF7FA" w14:textId="77777777" w:rsidR="00EC7700" w:rsidRPr="007224C3" w:rsidRDefault="00EC7700" w:rsidP="007224C3">
      <w:pPr>
        <w:spacing w:after="0" w:line="240" w:lineRule="auto"/>
        <w:jc w:val="both"/>
        <w:rPr>
          <w:rFonts w:ascii="Times New Roman" w:hAnsi="Times New Roman"/>
          <w:color w:val="0070C0"/>
          <w:sz w:val="16"/>
          <w:szCs w:val="16"/>
        </w:rPr>
      </w:pPr>
    </w:p>
    <w:p w14:paraId="07990837" w14:textId="77777777" w:rsidR="00EC7700" w:rsidRPr="007224C3" w:rsidRDefault="00EC7700"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13 марта 1944 состоялся повторный налет на Феодосию, в котором снова участвовали 30 Ил</w:t>
      </w:r>
      <w:r w:rsidRPr="007224C3">
        <w:rPr>
          <w:rFonts w:ascii="Times New Roman" w:hAnsi="Times New Roman"/>
          <w:color w:val="0070C0"/>
          <w:sz w:val="16"/>
          <w:szCs w:val="16"/>
        </w:rPr>
        <w:noBreakHyphen/>
        <w:t>2 и уже 38 истребителей из 11</w:t>
      </w:r>
      <w:r w:rsidRPr="007224C3">
        <w:rPr>
          <w:rFonts w:ascii="Times New Roman" w:hAnsi="Times New Roman"/>
          <w:color w:val="0070C0"/>
          <w:sz w:val="16"/>
          <w:szCs w:val="16"/>
        </w:rPr>
        <w:noBreakHyphen/>
        <w:t>й шад. Прикрытие задачу снова не выполнило. И на этот раз обратно не вернулись семь «горбатых», еще двенадцать получили сильные повреждения и с трудом дотянули до своей территории. Часть из них совершили вынужденные посадки «на живот» с убитыми бортстрелками в задних кабинах.</w:t>
      </w:r>
    </w:p>
    <w:p w14:paraId="14DCEA05" w14:textId="77777777" w:rsidR="00EC7700" w:rsidRPr="007224C3" w:rsidRDefault="00EC7700"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 тот день пилотам II./JG52 засчитали двенадцать сбитых Ил</w:t>
      </w:r>
      <w:r w:rsidRPr="007224C3">
        <w:rPr>
          <w:rFonts w:ascii="Times New Roman" w:hAnsi="Times New Roman"/>
          <w:color w:val="0070C0"/>
          <w:sz w:val="16"/>
          <w:szCs w:val="16"/>
        </w:rPr>
        <w:noBreakHyphen/>
        <w:t>2, что соответствует фактическим потерям советской стороны. Отличился фельдфебель Андреас Штерл из 4</w:t>
      </w:r>
      <w:r w:rsidRPr="007224C3">
        <w:rPr>
          <w:rFonts w:ascii="Times New Roman" w:hAnsi="Times New Roman"/>
          <w:color w:val="0070C0"/>
          <w:sz w:val="16"/>
          <w:szCs w:val="16"/>
        </w:rPr>
        <w:noBreakHyphen/>
        <w:t>й эскадрильи, на чьем счету было сразу четыре «цементбомбера» (23199).</w:t>
      </w:r>
    </w:p>
    <w:p w14:paraId="7A0A7297" w14:textId="77777777" w:rsidR="00EC7700" w:rsidRPr="007224C3" w:rsidRDefault="00EC7700" w:rsidP="007224C3">
      <w:pPr>
        <w:spacing w:after="0" w:line="240" w:lineRule="auto"/>
        <w:jc w:val="both"/>
        <w:rPr>
          <w:rFonts w:ascii="Times New Roman" w:hAnsi="Times New Roman"/>
          <w:color w:val="0070C0"/>
          <w:sz w:val="16"/>
          <w:szCs w:val="16"/>
        </w:rPr>
      </w:pPr>
    </w:p>
    <w:p w14:paraId="1B0E7359"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марта 1944 советские войска освободили от фашистов Херсон (4962).</w:t>
      </w:r>
    </w:p>
    <w:p w14:paraId="146BDCA6"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8FC927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March 13 1944 Soviet troops force Dnieper River and take Kherson (1037).</w:t>
      </w:r>
    </w:p>
    <w:p w14:paraId="5C8AAD2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F2087A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марта 1944 КА форсировала Днепр и взяла Херсон (1037).</w:t>
      </w:r>
    </w:p>
    <w:p w14:paraId="2E01FCF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2813B2" w14:textId="763DD6D8" w:rsidR="007D0B5C" w:rsidRPr="007224C3" w:rsidRDefault="007D0B5C" w:rsidP="007224C3">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7224C3">
        <w:rPr>
          <w:rFonts w:ascii="Times New Roman" w:hAnsi="Times New Roman"/>
          <w:i/>
          <w:iCs/>
          <w:color w:val="000000" w:themeColor="text1"/>
          <w:sz w:val="16"/>
          <w:szCs w:val="16"/>
        </w:rPr>
        <w:t>За рубежом:</w:t>
      </w:r>
    </w:p>
    <w:p w14:paraId="3D8115B5" w14:textId="77777777" w:rsidR="007D0B5C" w:rsidRPr="007224C3" w:rsidRDefault="007D0B5C" w:rsidP="007224C3">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3D681C4C" w14:textId="77777777" w:rsidR="007D0B5C" w:rsidRPr="007224C3" w:rsidRDefault="007D0B5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13–14 марта (ночь) 1944 222 британских бомбардировщика атакуют железнодорожные станции в Ле-Мане, потеряв один галифакс. В ходе рейда был нанесен серьезный ущерб железнодорожной станции и двум ближайшим заводам, а также было уничтожено 15 локомотивов и 800 железнодорожных вагонов (20373).</w:t>
      </w:r>
    </w:p>
    <w:p w14:paraId="5E1264F4" w14:textId="77777777" w:rsidR="007D0B5C" w:rsidRPr="007224C3" w:rsidRDefault="007D0B5C" w:rsidP="007224C3">
      <w:pPr>
        <w:spacing w:after="0" w:line="240" w:lineRule="auto"/>
        <w:jc w:val="both"/>
        <w:rPr>
          <w:rFonts w:ascii="Times New Roman" w:hAnsi="Times New Roman"/>
          <w:color w:val="0070C0"/>
          <w:sz w:val="16"/>
          <w:szCs w:val="16"/>
        </w:rPr>
      </w:pPr>
    </w:p>
    <w:p w14:paraId="1D5393DD" w14:textId="118885C8" w:rsidR="00BC5781" w:rsidRPr="007224C3" w:rsidRDefault="00BC5781"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Жизнь и внутренняя политика:</w:t>
      </w:r>
    </w:p>
    <w:p w14:paraId="2A5C34DE" w14:textId="77777777" w:rsidR="00BC5781" w:rsidRPr="007224C3" w:rsidRDefault="00BC5781"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E64E93D"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14 марта 1944 г.</w:t>
      </w:r>
    </w:p>
    <w:p w14:paraId="705492AA" w14:textId="77777777" w:rsidR="00BC5781" w:rsidRPr="007224C3" w:rsidRDefault="00BC5781" w:rsidP="007224C3">
      <w:pPr>
        <w:pStyle w:val="ae"/>
        <w:spacing w:before="0" w:after="0"/>
        <w:jc w:val="both"/>
        <w:rPr>
          <w:color w:val="000000" w:themeColor="text1"/>
          <w:sz w:val="16"/>
          <w:szCs w:val="16"/>
        </w:rPr>
      </w:pPr>
      <w:r w:rsidRPr="007224C3">
        <w:rPr>
          <w:rStyle w:val="a7"/>
          <w:b w:val="0"/>
          <w:color w:val="000000" w:themeColor="text1"/>
          <w:sz w:val="16"/>
          <w:szCs w:val="16"/>
        </w:rPr>
        <w:t>ДОКЛАДНАЯ ЗАПИСКА</w:t>
      </w:r>
      <w:bookmarkStart w:id="4" w:name="_rtfnr_1"/>
      <w:r w:rsidR="007E0398" w:rsidRPr="007224C3">
        <w:rPr>
          <w:rStyle w:val="a7"/>
          <w:b w:val="0"/>
          <w:color w:val="000000" w:themeColor="text1"/>
          <w:sz w:val="16"/>
          <w:szCs w:val="16"/>
          <w:vertAlign w:val="superscript"/>
        </w:rPr>
        <w:fldChar w:fldCharType="begin"/>
      </w:r>
      <w:r w:rsidRPr="007224C3">
        <w:rPr>
          <w:rStyle w:val="a7"/>
          <w:b w:val="0"/>
          <w:color w:val="000000" w:themeColor="text1"/>
          <w:sz w:val="16"/>
          <w:szCs w:val="16"/>
          <w:vertAlign w:val="superscript"/>
        </w:rPr>
        <w:instrText xml:space="preserve"> HYPERLINK "http://istmat.info/node/62297" \l "_rtfnr_1.1" </w:instrText>
      </w:r>
      <w:r w:rsidR="007E0398" w:rsidRPr="007224C3">
        <w:rPr>
          <w:rStyle w:val="a7"/>
          <w:b w:val="0"/>
          <w:color w:val="000000" w:themeColor="text1"/>
          <w:sz w:val="16"/>
          <w:szCs w:val="16"/>
          <w:vertAlign w:val="superscript"/>
        </w:rPr>
        <w:fldChar w:fldCharType="separate"/>
      </w:r>
      <w:r w:rsidRPr="007224C3">
        <w:rPr>
          <w:rStyle w:val="a5"/>
          <w:rFonts w:eastAsiaTheme="majorEastAsia"/>
          <w:bCs/>
          <w:color w:val="000000" w:themeColor="text1"/>
          <w:sz w:val="16"/>
          <w:szCs w:val="16"/>
          <w:u w:val="none"/>
          <w:vertAlign w:val="superscript"/>
        </w:rPr>
        <w:t>*</w:t>
      </w:r>
      <w:r w:rsidR="007E0398" w:rsidRPr="007224C3">
        <w:rPr>
          <w:rStyle w:val="a7"/>
          <w:b w:val="0"/>
          <w:color w:val="000000" w:themeColor="text1"/>
          <w:sz w:val="16"/>
          <w:szCs w:val="16"/>
          <w:vertAlign w:val="superscript"/>
        </w:rPr>
        <w:fldChar w:fldCharType="end"/>
      </w:r>
      <w:bookmarkEnd w:id="4"/>
    </w:p>
    <w:p w14:paraId="778B64DD"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Секретно</w:t>
      </w:r>
    </w:p>
    <w:p w14:paraId="39A95BB6"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lastRenderedPageBreak/>
        <w:t>Народному Комиссару финансов СССР товарищу А.Г. ЗВЕРЕВУ</w:t>
      </w:r>
    </w:p>
    <w:p w14:paraId="31301E79"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Докладная записка</w:t>
      </w:r>
    </w:p>
    <w:p w14:paraId="1E0DDB21"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Содержание: </w:t>
      </w:r>
    </w:p>
    <w:p w14:paraId="149C4C4B"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 xml:space="preserve">1. Состояние денежного обращения к концу 1944 г. </w:t>
      </w:r>
    </w:p>
    <w:p w14:paraId="4B27A1C7"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 xml:space="preserve">2. Необходимость реорганизации денежной системы СССР. </w:t>
      </w:r>
    </w:p>
    <w:p w14:paraId="4A76228A"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 xml:space="preserve">3. Задачи денежной реформы. </w:t>
      </w:r>
    </w:p>
    <w:p w14:paraId="3117DA68"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4. Предпосылки денежной реформы. </w:t>
      </w:r>
    </w:p>
    <w:p w14:paraId="7B228C30"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 xml:space="preserve">5. Возможности и пути проведения реформы. </w:t>
      </w:r>
    </w:p>
    <w:p w14:paraId="7769076B"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 xml:space="preserve">6. Возможности изъятия из обращения избыточной денежной массы. </w:t>
      </w:r>
    </w:p>
    <w:p w14:paraId="134E88FD"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7. Возможность вовлечения в оборот выпущенной в обращение денежной массы. </w:t>
      </w:r>
    </w:p>
    <w:p w14:paraId="46EA01CA"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 xml:space="preserve">8. Необходимость повышения цен государственно-кооперативной торговли. </w:t>
      </w:r>
    </w:p>
    <w:p w14:paraId="1A537ED9"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 xml:space="preserve">9. Этапы реформы. </w:t>
      </w:r>
    </w:p>
    <w:p w14:paraId="103603DB"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 xml:space="preserve">10. Уровень стабилизации. </w:t>
      </w:r>
    </w:p>
    <w:p w14:paraId="033EA4CE"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 xml:space="preserve">11. Организация эмиссии новых денежных знаков. </w:t>
      </w:r>
    </w:p>
    <w:p w14:paraId="154527D0"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 xml:space="preserve">12. Порядок замены обращающихся денежных знаков и выраженных в них обязательств новыми. </w:t>
      </w:r>
    </w:p>
    <w:p w14:paraId="19151A27"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13. Необходимые мероприятия в ходе реформы.</w:t>
      </w:r>
    </w:p>
    <w:p w14:paraId="59990E80"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Приложения: 1. Динамика среднемесячной денежной массы и розничного товарооборота за 1930-1940 гг. 2. Справка о ценах коммерческой торговли в 1930-1934 гг.[</w:t>
      </w:r>
      <w:bookmarkStart w:id="5" w:name="_rtfnr_2"/>
      <w:r w:rsidR="007E0398" w:rsidRPr="007224C3">
        <w:rPr>
          <w:color w:val="000000" w:themeColor="text1"/>
          <w:sz w:val="16"/>
          <w:szCs w:val="16"/>
          <w:vertAlign w:val="superscript"/>
        </w:rPr>
        <w:fldChar w:fldCharType="begin"/>
      </w:r>
      <w:r w:rsidRPr="007224C3">
        <w:rPr>
          <w:color w:val="000000" w:themeColor="text1"/>
          <w:sz w:val="16"/>
          <w:szCs w:val="16"/>
          <w:vertAlign w:val="superscript"/>
        </w:rPr>
        <w:instrText xml:space="preserve"> HYPERLINK "http://istmat.info/node/62297" \l "_rtfnr_2.1" </w:instrText>
      </w:r>
      <w:r w:rsidR="007E0398" w:rsidRPr="007224C3">
        <w:rPr>
          <w:color w:val="000000" w:themeColor="text1"/>
          <w:sz w:val="16"/>
          <w:szCs w:val="16"/>
          <w:vertAlign w:val="superscript"/>
        </w:rPr>
        <w:fldChar w:fldCharType="separate"/>
      </w:r>
      <w:r w:rsidRPr="007224C3">
        <w:rPr>
          <w:rStyle w:val="a5"/>
          <w:rFonts w:eastAsiaTheme="majorEastAsia"/>
          <w:color w:val="000000" w:themeColor="text1"/>
          <w:sz w:val="16"/>
          <w:szCs w:val="16"/>
          <w:u w:val="none"/>
          <w:vertAlign w:val="superscript"/>
        </w:rPr>
        <w:t>**</w:t>
      </w:r>
      <w:r w:rsidR="007E0398" w:rsidRPr="007224C3">
        <w:rPr>
          <w:color w:val="000000" w:themeColor="text1"/>
          <w:sz w:val="16"/>
          <w:szCs w:val="16"/>
          <w:vertAlign w:val="superscript"/>
        </w:rPr>
        <w:fldChar w:fldCharType="end"/>
      </w:r>
      <w:bookmarkEnd w:id="5"/>
      <w:r w:rsidRPr="007224C3">
        <w:rPr>
          <w:color w:val="000000" w:themeColor="text1"/>
          <w:sz w:val="16"/>
          <w:szCs w:val="16"/>
        </w:rPr>
        <w:t>]</w:t>
      </w:r>
      <w:bookmarkStart w:id="6" w:name="_rtfnr9"/>
      <w:r w:rsidR="007E0398" w:rsidRPr="007224C3">
        <w:rPr>
          <w:color w:val="000000" w:themeColor="text1"/>
          <w:sz w:val="16"/>
          <w:szCs w:val="16"/>
        </w:rPr>
        <w:fldChar w:fldCharType="begin"/>
      </w:r>
      <w:r w:rsidRPr="007224C3">
        <w:rPr>
          <w:color w:val="000000" w:themeColor="text1"/>
          <w:sz w:val="16"/>
          <w:szCs w:val="16"/>
        </w:rPr>
        <w:instrText xml:space="preserve"> HYPERLINK "http://istmat.info/node/62297" \l "_rtfnr9.1" </w:instrText>
      </w:r>
      <w:r w:rsidR="007E0398" w:rsidRPr="007224C3">
        <w:rPr>
          <w:color w:val="000000" w:themeColor="text1"/>
          <w:sz w:val="16"/>
          <w:szCs w:val="16"/>
        </w:rPr>
        <w:fldChar w:fldCharType="separate"/>
      </w:r>
      <w:r w:rsidRPr="007224C3">
        <w:rPr>
          <w:rStyle w:val="a5"/>
          <w:rFonts w:eastAsiaTheme="majorEastAsia"/>
          <w:color w:val="000000" w:themeColor="text1"/>
          <w:sz w:val="16"/>
          <w:szCs w:val="16"/>
          <w:u w:val="none"/>
          <w:vertAlign w:val="superscript"/>
        </w:rPr>
        <w:t>9</w:t>
      </w:r>
      <w:r w:rsidR="007E0398" w:rsidRPr="007224C3">
        <w:rPr>
          <w:color w:val="000000" w:themeColor="text1"/>
          <w:sz w:val="16"/>
          <w:szCs w:val="16"/>
        </w:rPr>
        <w:fldChar w:fldCharType="end"/>
      </w:r>
      <w:bookmarkEnd w:id="6"/>
    </w:p>
    <w:p w14:paraId="5FCE3783" w14:textId="77777777" w:rsidR="00BC5781" w:rsidRPr="007224C3" w:rsidRDefault="00BC5781" w:rsidP="007224C3">
      <w:pPr>
        <w:pStyle w:val="rtecenter"/>
        <w:spacing w:before="0" w:beforeAutospacing="0" w:after="0" w:afterAutospacing="0"/>
        <w:jc w:val="both"/>
        <w:rPr>
          <w:color w:val="000000" w:themeColor="text1"/>
          <w:sz w:val="16"/>
          <w:szCs w:val="16"/>
        </w:rPr>
      </w:pPr>
      <w:r w:rsidRPr="007224C3">
        <w:rPr>
          <w:color w:val="000000" w:themeColor="text1"/>
          <w:sz w:val="16"/>
          <w:szCs w:val="16"/>
        </w:rPr>
        <w:t>1. Состояние денежного обращения к началу 1944 г.</w:t>
      </w:r>
    </w:p>
    <w:p w14:paraId="053495D4"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Состояние денежного обращения к началу 1944 г. характеризуется следующими данными (в млрд руб.)</w:t>
      </w:r>
    </w:p>
    <w:tbl>
      <w:tblPr>
        <w:tblW w:w="0" w:type="auto"/>
        <w:tblBorders>
          <w:top w:val="outset" w:sz="6" w:space="0" w:color="auto"/>
          <w:left w:val="outset" w:sz="6" w:space="0" w:color="auto"/>
          <w:bottom w:val="outset" w:sz="6" w:space="0" w:color="auto"/>
          <w:right w:val="outset" w:sz="6" w:space="0" w:color="auto"/>
        </w:tblBorders>
        <w:shd w:val="clear" w:color="auto" w:fill="F2EEE1"/>
        <w:tblCellMar>
          <w:left w:w="0" w:type="dxa"/>
          <w:right w:w="0" w:type="dxa"/>
        </w:tblCellMar>
        <w:tblLook w:val="04A0" w:firstRow="1" w:lastRow="0" w:firstColumn="1" w:lastColumn="0" w:noHBand="0" w:noVBand="1"/>
      </w:tblPr>
      <w:tblGrid>
        <w:gridCol w:w="4796"/>
        <w:gridCol w:w="861"/>
        <w:gridCol w:w="923"/>
        <w:gridCol w:w="1379"/>
      </w:tblGrid>
      <w:tr w:rsidR="005106D0" w:rsidRPr="007224C3" w14:paraId="2209E2A4" w14:textId="77777777" w:rsidTr="00D03418">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D649572" w14:textId="77777777" w:rsidR="00BC5781" w:rsidRPr="007224C3" w:rsidRDefault="00BC578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6C60F6E"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II кв. 1941 г.</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74AC0B6"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IV кв. 1943 г.</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9CFC01D"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В % ко II кв. 1941 г.</w:t>
            </w:r>
          </w:p>
        </w:tc>
      </w:tr>
      <w:tr w:rsidR="005106D0" w:rsidRPr="007224C3" w14:paraId="56335F6B" w14:textId="77777777" w:rsidTr="00D03418">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04879B4"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1. Среднемесячная денежная масса, выпущенная в обращение</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771DD36"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19,1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6402CF8"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56,1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70A0374"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293,7</w:t>
            </w:r>
          </w:p>
        </w:tc>
      </w:tr>
      <w:tr w:rsidR="005106D0" w:rsidRPr="007224C3" w14:paraId="0283EF4F" w14:textId="77777777" w:rsidTr="00D03418">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BE06377"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2. Розничный товарооборот государственно-кооперативной торговли:</w:t>
            </w:r>
          </w:p>
          <w:p w14:paraId="3A548CAB"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а) в ценах соответствующего периода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8A55E0D"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48,0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B160212"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27,0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65A5536"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56,3</w:t>
            </w:r>
          </w:p>
        </w:tc>
      </w:tr>
      <w:tr w:rsidR="005106D0" w:rsidRPr="007224C3" w14:paraId="60B552BC" w14:textId="77777777" w:rsidTr="00D03418">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A805263"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б) в довоенных ценах</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7E56BA5"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48,0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75F74F4"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22,0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4169094"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45,8</w:t>
            </w:r>
          </w:p>
        </w:tc>
      </w:tr>
      <w:tr w:rsidR="005106D0" w:rsidRPr="007224C3" w14:paraId="15F6E696" w14:textId="77777777" w:rsidTr="00D03418">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733CF63"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3. Отношение розничного товарооборота к денежной массе</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9A7E1AF"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2,51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889AC74"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0,48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4A98242"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w:t>
            </w:r>
          </w:p>
        </w:tc>
      </w:tr>
    </w:tbl>
    <w:p w14:paraId="3BF8BC58"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Денежная масса, выпущенная в обращение, увеличилась с 18,4 млрд руб. на 1 июня 1941 г. до 57.4 млрд руб. на 1 января 1944 г., т. е. на 39 млрд руб., или в 3,1 раза. За январь-февраль 1944 г. новая эмиссия составила 2,6 млрд руб. Розничный товарооборот государственно-кооперативной торговли (включая общественное питание) сократился с 48 млрд руб. во II квартале 1941 г. до 27 млрд руб. в IV квартале 1943 г., т. е. на 21 млрд руб., или в 1,78 раза. В довоенных ценах розничный товарооборот в IV квартале 1943 г. равнялся примерно 22 млрд руб., т. е. снизился по сравнению со II кварталом 1941 г. почти в 2,2 раза.</w:t>
      </w:r>
    </w:p>
    <w:p w14:paraId="505E4A1E"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Выпущенная в обращение денежная масса намного превысила нормальные потребности хозяйственного оборота в деньгах. Во II квартале 1941 г. розничный товарооборот государственно-кооперативной торговли в два с половиной раза ПРЕВЫШАЛ среднемесячную денежную массу в обращении, а в IV квартале 1943 г. был в два раза НИЖЕ среднемесячной денежной массы в обращении. Если исходить из довоенного соотношения, то в IV квартале среднемесячная денежная масса должна была бы составлять 10,7 млрд руб., фактически же она равнялась 56,1 млрд руб., — на 45,4 млрд руб., или в 5,2 раза более.</w:t>
      </w:r>
    </w:p>
    <w:p w14:paraId="4C4E4C0C"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Советское государство располагает широкими возможностями регулирования денежного обращения и товарооборота. Несмотря на большое увеличение денежной массы и значительное сокращение розничного товарооборота, цены государственно-кооперативной торговли повысились примерно лишь на 23 %[</w:t>
      </w:r>
      <w:bookmarkStart w:id="7" w:name="_rtfnr_3"/>
      <w:r w:rsidR="007E0398" w:rsidRPr="007224C3">
        <w:rPr>
          <w:color w:val="000000" w:themeColor="text1"/>
          <w:sz w:val="16"/>
          <w:szCs w:val="16"/>
          <w:vertAlign w:val="superscript"/>
        </w:rPr>
        <w:fldChar w:fldCharType="begin"/>
      </w:r>
      <w:r w:rsidRPr="007224C3">
        <w:rPr>
          <w:color w:val="000000" w:themeColor="text1"/>
          <w:sz w:val="16"/>
          <w:szCs w:val="16"/>
          <w:vertAlign w:val="superscript"/>
        </w:rPr>
        <w:instrText xml:space="preserve"> HYPERLINK "http://istmat.info/node/62297" \l "_rtfnr_3.1" </w:instrText>
      </w:r>
      <w:r w:rsidR="007E0398" w:rsidRPr="007224C3">
        <w:rPr>
          <w:color w:val="000000" w:themeColor="text1"/>
          <w:sz w:val="16"/>
          <w:szCs w:val="16"/>
          <w:vertAlign w:val="superscript"/>
        </w:rPr>
        <w:fldChar w:fldCharType="separate"/>
      </w:r>
      <w:r w:rsidRPr="007224C3">
        <w:rPr>
          <w:rStyle w:val="a5"/>
          <w:rFonts w:eastAsiaTheme="majorEastAsia"/>
          <w:color w:val="000000" w:themeColor="text1"/>
          <w:sz w:val="16"/>
          <w:szCs w:val="16"/>
          <w:u w:val="none"/>
          <w:vertAlign w:val="superscript"/>
        </w:rPr>
        <w:t>***</w:t>
      </w:r>
      <w:r w:rsidR="007E0398" w:rsidRPr="007224C3">
        <w:rPr>
          <w:color w:val="000000" w:themeColor="text1"/>
          <w:sz w:val="16"/>
          <w:szCs w:val="16"/>
          <w:vertAlign w:val="superscript"/>
        </w:rPr>
        <w:fldChar w:fldCharType="end"/>
      </w:r>
      <w:bookmarkEnd w:id="7"/>
      <w:r w:rsidRPr="007224C3">
        <w:rPr>
          <w:color w:val="000000" w:themeColor="text1"/>
          <w:sz w:val="16"/>
          <w:szCs w:val="16"/>
        </w:rPr>
        <w:t>] по сравнению с довоенным их уровнем, причем повышение цен было произведено планомерно, ограничилось спиртными напитками и некоторыми промтоварами. Цены на все продовольственные товары (кроме спиртных напитков, соли, мороженого и цен коммерческих столовых и ресторанов) остались без изменения. Нормированное снабжение населения осуществлялось в основном по неизменным довоенным ценам. Однако все это не устраняет отрицательного влияния избыточной денежной эмиссии.</w:t>
      </w:r>
    </w:p>
    <w:p w14:paraId="72C83874"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Поскольку нормированное снабжение по государственно-кооперативным ценам не покрывает потребностей населения в товарах и продуктах и далеко не соответствует платежеспособности населения, сильно увеличился рыночный спрос на товары и продукты. В условиях недостаточного рыночного предложения товаров и продуктов это привело к быстрому росту рыночных цен, — примерно в 10-15 раз по сравнению с их довоенным уровнем. В июле 1941 г. рыночные цены были выше цен государственно-кооперативной торговли в 1,5 раза, а в июле 1943 года- в 20 - 25 раз.</w:t>
      </w:r>
    </w:p>
    <w:p w14:paraId="062AC104"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В результате резкого повышения рыночных цен избыточная по сравнению с потребностями хозяйственного оборота денежная масса оседает на руках рыночных продавцов, ослабляя тем самым стимулы к расширению продаж с/х продуктов за деньги и порождая спекуляцию товарами и продуктами. Высокие рыночные цены, перекачка денег в руки рыночных продавцов означают внеплановое перераспределение доходов. Избыточная денежная масса и карточная система снабжения подрывают роль денег и денежной зарплаты, ослабляют дифференциацию зарплаты в соответствии с количеством и качеством труда, затрудняют набор и правильное использование рабочей силы, увеличивают непроизводственные издержки обращения, затраты по гужевым перевозкам и т. д.</w:t>
      </w:r>
    </w:p>
    <w:p w14:paraId="313B6822" w14:textId="77777777" w:rsidR="00BC5781" w:rsidRPr="007224C3" w:rsidRDefault="00BC5781" w:rsidP="007224C3">
      <w:pPr>
        <w:pStyle w:val="rtecenter"/>
        <w:spacing w:before="0" w:beforeAutospacing="0" w:after="0" w:afterAutospacing="0"/>
        <w:jc w:val="both"/>
        <w:rPr>
          <w:color w:val="000000" w:themeColor="text1"/>
          <w:sz w:val="16"/>
          <w:szCs w:val="16"/>
        </w:rPr>
      </w:pPr>
      <w:r w:rsidRPr="007224C3">
        <w:rPr>
          <w:color w:val="000000" w:themeColor="text1"/>
          <w:sz w:val="16"/>
          <w:szCs w:val="16"/>
        </w:rPr>
        <w:t>2. Необходимость реорганизации денежной системы СССР</w:t>
      </w:r>
    </w:p>
    <w:p w14:paraId="4F16A43C"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Современная денежная система СССР берет свое начало от денежной реформы 1922-1924 гг. Однако за истекшие годы организация эмиссии подверглась настолько крупным изменениям, что правила и нормы эмиссии, установленные законом 1922-1924 гг., утратили всякое практическое значение. В частности, отпала необходимость в разграничении эмиссии на банковскую и казначейскую, утратили свое значение различия в определении законной платежной силы, норм и порядка эмиссии банковых билетов и казначейской валюты. Фактически и банковские, и казначейские билеты являются в равной мере законным платежным средством, обязательным для приема во все платежи по их номиналу, различаются только купюрами. Червонный счет в практику не вошел и всеобщей единицей денежного учета является рубль с его долей — копейкой. Эмиссия банковских билетов на практике имеет тот же характер, что и эмиссия казначейских билетов, является не частным делом хозрасчетной организации — Госбанка, а государственной денежной эмиссией.</w:t>
      </w:r>
    </w:p>
    <w:p w14:paraId="32A7815E"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Материалы по денежному обращению за 1930 - 1940 гг. показывают, что в нынешней организации денежной эмиссии имеются крупные недостатки. Это выражается, прежде всего, в том, что и до войны, в условиях бездефицитного бюджета, эмиссионные планы выполнялись с большим превышением, что, по сути дела, означало значительную внеплановую денежную эмиссию. В результате и в довоенное время образовывалось несоответствие между количеством выпущенных в обращение денег и потребностями хозяйственного оборота в деньгах. Для ликвидации этого несоответствия и его отрицательных последствий оказывались необходимыми особые меры, в частности — повышение цен государственно-кооперативной торговли.</w:t>
      </w:r>
    </w:p>
    <w:p w14:paraId="5F1AB861"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Повышение цен, тарифов, заработной платы и т. п. означало снижение покупательной силы рубля, т. е. повышение масштаба цен. К настоящему времени масштаб цен (без учета рыночной торговли), повысился примерно в 10 раз по сравнению с 1926 г. и в 15-20 раз — по сравнению с_1913 г. Результатом этого является усложнение счета, постепенный переход оборота к более крупным купюрам денежных знаков, необходимость выражать цены, тарифы, зарплату, все денежные расчеты в крупных суммах, некоторое пренебрежение к «мелочи», сильное расхождение между покупательной силой советской валюты внутри страны и внешними валютными курсами.</w:t>
      </w:r>
    </w:p>
    <w:p w14:paraId="1F205B26"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Для устранения всех этих недостатков представляется необходимым реорганизовать нашу денежную систему, заменить обращающиеся ныне денежные знаки новыми, изменить (усовершенствовать) условия, порядок и нормы денежной эмиссии. При этом реорганизация денежной системы, переход к новой советской валюте предполагает предварительное преодоление избыточной денежной массы, выпущенной в обращение за время войны, ликвидацию отрицательных последствий избыточной денежной массы. Этим и определяются необходимость и содержание денежной реформы.</w:t>
      </w:r>
    </w:p>
    <w:p w14:paraId="37558896" w14:textId="77777777" w:rsidR="00BC5781" w:rsidRPr="007224C3" w:rsidRDefault="00BC5781" w:rsidP="007224C3">
      <w:pPr>
        <w:pStyle w:val="rtecenter"/>
        <w:spacing w:before="0" w:beforeAutospacing="0" w:after="0" w:afterAutospacing="0"/>
        <w:jc w:val="both"/>
        <w:rPr>
          <w:color w:val="000000" w:themeColor="text1"/>
          <w:sz w:val="16"/>
          <w:szCs w:val="16"/>
        </w:rPr>
      </w:pPr>
      <w:r w:rsidRPr="007224C3">
        <w:rPr>
          <w:color w:val="000000" w:themeColor="text1"/>
          <w:sz w:val="16"/>
          <w:szCs w:val="16"/>
        </w:rPr>
        <w:t>3. Задачи денежной реформы</w:t>
      </w:r>
    </w:p>
    <w:p w14:paraId="6765BCC7"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Из изложенного выше вытекают две основные задачи денежной реформы:</w:t>
      </w:r>
    </w:p>
    <w:p w14:paraId="450819C6"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1. В кратчайшие сроки после окончания войны, с максимальным учетом интересов народного хозяйства в целом и отдельных групп населения достичь и закрепить соответствие между количеством денег в обращении и потребностями хозяйственного оборота в деньгах, тем самым:</w:t>
      </w:r>
    </w:p>
    <w:p w14:paraId="62D1A7F4"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а) устранить имеющийся избыток денежной массы, выпущенной в обращение;</w:t>
      </w:r>
    </w:p>
    <w:p w14:paraId="2025327B"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б) преодолеть разрыв между ценами государственно-кооперативной торговли и рыночными ценами, устранить условия, вызывающие рост рыночных цен и перекачку денег и товарных ценностей в руки рыночных продавцов;</w:t>
      </w:r>
    </w:p>
    <w:p w14:paraId="4E0E4F4E"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в) обеспечить условия для ликвидации системы рационирования снабжения (карточной и ордерной системы), для перехода к открытой торговле всеми товарами и продуктами, потребляемыми населением.</w:t>
      </w:r>
    </w:p>
    <w:p w14:paraId="16054D23"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В связи с разрешением этой задачи в ходе реформы необходимо будет пересмотреть и усовершенствовать действующую систему цен, тарифов и заработной платы, систему кредитования и расчетов, организацию оборотных средств хозяйства и т. д., что будет иметь крупное значение для закрепления итогов реформы.</w:t>
      </w:r>
    </w:p>
    <w:p w14:paraId="646CFD79"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lastRenderedPageBreak/>
        <w:t>2. Реорганизовать денежную систему СССР, устранить формально имеющийся ее дуализм, привести ее в соответствие с новыми экономическими условиями и задачами, заменить обращающиеся ныне денежные знаки денежными знаками нового образца.</w:t>
      </w:r>
    </w:p>
    <w:p w14:paraId="4444E8EB"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В связи с разрешением этой задачи необходимо пересмотреть и усовершенствовать условия, порядок и нормы денежной эмиссии, обеспечить в дальнейшем строгое выполнение плановых эмиссионных заданий, предотвратить возможность сверхплановой эмиссии, что также будет иметь крупное значение для закрепления итогов реформы.</w:t>
      </w:r>
    </w:p>
    <w:p w14:paraId="22A850AC"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При замене обращающихся ныне денежных знаков денежными знаками нового образца целесообразно провести деноминацию, т. е. понизить масштаб цен.</w:t>
      </w:r>
    </w:p>
    <w:p w14:paraId="2E2B8D09" w14:textId="77777777" w:rsidR="00BC5781" w:rsidRPr="007224C3" w:rsidRDefault="00BC5781" w:rsidP="007224C3">
      <w:pPr>
        <w:pStyle w:val="rtecenter"/>
        <w:spacing w:before="0" w:beforeAutospacing="0" w:after="0" w:afterAutospacing="0"/>
        <w:jc w:val="both"/>
        <w:rPr>
          <w:color w:val="000000" w:themeColor="text1"/>
          <w:sz w:val="16"/>
          <w:szCs w:val="16"/>
        </w:rPr>
      </w:pPr>
      <w:r w:rsidRPr="007224C3">
        <w:rPr>
          <w:color w:val="000000" w:themeColor="text1"/>
          <w:sz w:val="16"/>
          <w:szCs w:val="16"/>
        </w:rPr>
        <w:t>4. Предпосылки денежной реформы</w:t>
      </w:r>
    </w:p>
    <w:p w14:paraId="57CE4EBC"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Чтобы созданная в результате реформы денежная система была достаточно прочной и устойчивой, необходимо, прежде всего, в ходе реформы успешно и правильно разрешить первую указанную выше задачу.</w:t>
      </w:r>
    </w:p>
    <w:p w14:paraId="20AF728B"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Достижение и закрепление соответствия между количеством денег в обращении и потребностями хозяйственного оборота в деньгах предполагает:</w:t>
      </w:r>
    </w:p>
    <w:p w14:paraId="05C9F5B9"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1) не только ликвидацию бюджетного дефицита и тем самым устранения необходимости денежной эмиссии для его покрытия, но создание и усиление активного баланса госбюджета и кассового плана Госбанка, образование необходимых для успешного завершения реформы бюджетных и эмиссионных резервов;</w:t>
      </w:r>
    </w:p>
    <w:p w14:paraId="2FE468AA"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2) преодоление накопившегося за время войны избыточного платежеспособного спроса населения, превышающего как нормальный уровень потребностей населения в товарах и продуктах, так и возможности удовлетворения этого спроса через государственно-кооперативную и колхозную торговлю;</w:t>
      </w:r>
    </w:p>
    <w:p w14:paraId="68900CE9"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3) насыщение минимальных текущих потребностей населения в товарах и продуктах первой необходимости через государственно-кооперативную торговлю, а также образование необходимых для безусловного успеха реформы материальных резервов.</w:t>
      </w:r>
    </w:p>
    <w:p w14:paraId="794C2799"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Без достижения этих предпосылок невозможно сокращение денежной массы или, по крайней мере, прекращение ее дальнейшего роста в ходе реформы; невозможен будет отказ от нормированного снабжения, переход на открытую торговлю без угроз сосредоточения товарных масс в руках владельцев крупных денежных сумм в ущерб снабжению рабочих и служащих; сохранится повышенный рыночный спрос населения, тем самым не будет обеспечено преодоление высоких рыночных цен и перекачки денег в руки рыночных продавцов.</w:t>
      </w:r>
    </w:p>
    <w:p w14:paraId="79981A6E" w14:textId="77777777" w:rsidR="00BC5781" w:rsidRPr="007224C3" w:rsidRDefault="00BC5781" w:rsidP="007224C3">
      <w:pPr>
        <w:pStyle w:val="rtecenter"/>
        <w:spacing w:before="0" w:beforeAutospacing="0" w:after="0" w:afterAutospacing="0"/>
        <w:jc w:val="both"/>
        <w:rPr>
          <w:color w:val="000000" w:themeColor="text1"/>
          <w:sz w:val="16"/>
          <w:szCs w:val="16"/>
        </w:rPr>
      </w:pPr>
      <w:r w:rsidRPr="007224C3">
        <w:rPr>
          <w:color w:val="000000" w:themeColor="text1"/>
          <w:sz w:val="16"/>
          <w:szCs w:val="16"/>
        </w:rPr>
        <w:t>5. Возможности и пути проведения реформы</w:t>
      </w:r>
    </w:p>
    <w:p w14:paraId="5B3AE5EB"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На первом этапе нэпа денежная реформа была успешно осуществлена в течение трех лет с момента перехода к нэпу. Это было огромным достижением, если учесть состояние народного хозяйства страны к началу нэпа и степень расстройства денежного обращения за годы иностранной интервенции и гражданской войны. В успехе денежной реформы 1922-1924 гг. сказались особенности и преимущества советского строя.</w:t>
      </w:r>
    </w:p>
    <w:p w14:paraId="7D93613A"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Социалистическая индустриализация страны и коллективизация сельского хозяйства в корне изменили характер нашей страны, превратили ее в мощную индустриальную державу. Неизмеримо выросли производительные силы страны, увеличились ресурсы, находящиеся в распоряжении государства, укрепилось и расширилось плановое руководство, повысилась социалистическая организованность всего народного хозяйства. С коллективизацией сельского хозяйства и ликвидацией капиталистических элементов в городе и деревне уничтожена главная основа рыночной стихии. Создан и проверен на практике налаженный хозяйственный, торговый, финансовый аппарат, накоплен большой опыт финансово-экономической работы в условиях социалистической системы хозяйства.</w:t>
      </w:r>
    </w:p>
    <w:p w14:paraId="1A05EDC0"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Социалистическая собственность на орудия и средства производства, плановое руководство позволили организованно, в кратчайшие сроки осуществить перестройку всего народного хозяйства страны в соответствии с условиями и задачами военного времени, в обстановке ожесточенной войны. Несмотря на огромные разрушения производительных сил, причиненные врагом, на временную утрату больших территорий, имеющих весьма важное экономическое значение для всей страны, — обеспечены всем необходимым как потребности фронта, так и наиболее насущные потребности тыла. Более того, уже в ходе войны начались и проводятся в возрастающих масштабах восстановительные работы.</w:t>
      </w:r>
    </w:p>
    <w:p w14:paraId="707EA601"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Особенности и преимущества социалистической системы хозяйства в сочетании с достигнутым уровнем развития производительных сил страны обеспечивают ВОЗМОЖНОСТЬ создания в кратчайшие сроки всех предпосылок, необходимых для успешного проведения денежной реформы.</w:t>
      </w:r>
    </w:p>
    <w:p w14:paraId="45B36A9A"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Соответствие между количеством денег в обращении и потребностями хозяйственного оборота в деньгах может быть достигнуто путем:</w:t>
      </w:r>
    </w:p>
    <w:p w14:paraId="0F0D61B3"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а) сокращения денежной массы в обращении до уровня, определяемого потребностями хозяйственного оборота в деньгах, посредством изъятия из обращения избыточной денежной массы, и</w:t>
      </w:r>
    </w:p>
    <w:p w14:paraId="0F69DC02"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б) расширения самой потребности хозяйственного оборота в деньгах посредством увеличения размеров товарооборота в натуральном выражении (увеличение количества реализуемых товаров и услуг) и повышения цен и тарифов (снижение покупательной силы денег).</w:t>
      </w:r>
    </w:p>
    <w:p w14:paraId="6B29F33E"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Успешное проведение денежной реформы возможно лишь при сочетании этих путей и методов достижения соответствия между количеством денег в обращении и потребностями хозяйственного оборота в деньгах.</w:t>
      </w:r>
    </w:p>
    <w:p w14:paraId="43658C68" w14:textId="77777777" w:rsidR="00BC5781" w:rsidRPr="007224C3" w:rsidRDefault="00BC5781" w:rsidP="007224C3">
      <w:pPr>
        <w:pStyle w:val="rtecenter"/>
        <w:spacing w:before="0" w:beforeAutospacing="0" w:after="0" w:afterAutospacing="0"/>
        <w:jc w:val="both"/>
        <w:rPr>
          <w:color w:val="000000" w:themeColor="text1"/>
          <w:sz w:val="16"/>
          <w:szCs w:val="16"/>
        </w:rPr>
      </w:pPr>
      <w:r w:rsidRPr="007224C3">
        <w:rPr>
          <w:color w:val="000000" w:themeColor="text1"/>
          <w:sz w:val="16"/>
          <w:szCs w:val="16"/>
        </w:rPr>
        <w:t>6. Возможности изъятия из обращения избыточной денежной массы</w:t>
      </w:r>
    </w:p>
    <w:p w14:paraId="29C8476D"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Изъятие избыточной денежной массы из обращения предполагает соответствующее превышение общей суммы текущих доходов государства над его расходами (активное сальдо госбюджета и кассового плана Госбанка).</w:t>
      </w:r>
    </w:p>
    <w:p w14:paraId="0368EBAE"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По плану на 1944 г. розничный товарооборот государственно-кооперативной торговли запроектирован в сумме 100 млрд руб. При этом объеме розничного товарооборота нормальные потребности хозяйственного оборота в деньгах (принимая довоенное соотношение между размерами товарооборота и денежной массы в обращении) составляют около 10 млрд руб. против фактически выпущенных 7 марта 1944 г. в обращение 60 млрд руб. Следовательно, избыточная денежная масса в обращении может быть определена примерно в сумме до 50 млрд руб. В утвержденном на 1944 г. государственном бюджете непокрытая определенными доходными источниками сумма расходов составляет около 17 млрд руб. Стало быть, для изъятия всей избыточной денежной массы из обращения необходимо увеличить доходы или сократить расходы госбюджета против утвержденных на 1944 г. сумм не менее чем на 65 млрд руб.[</w:t>
      </w:r>
      <w:bookmarkStart w:id="8" w:name="_rtfnr_4"/>
      <w:r w:rsidR="007E0398" w:rsidRPr="007224C3">
        <w:rPr>
          <w:color w:val="000000" w:themeColor="text1"/>
          <w:sz w:val="16"/>
          <w:szCs w:val="16"/>
        </w:rPr>
        <w:fldChar w:fldCharType="begin"/>
      </w:r>
      <w:r w:rsidRPr="007224C3">
        <w:rPr>
          <w:color w:val="000000" w:themeColor="text1"/>
          <w:sz w:val="16"/>
          <w:szCs w:val="16"/>
        </w:rPr>
        <w:instrText xml:space="preserve"> HYPERLINK "http://istmat.info/node/62297" \l "_rtfnr_4.1" </w:instrText>
      </w:r>
      <w:r w:rsidR="007E0398" w:rsidRPr="007224C3">
        <w:rPr>
          <w:color w:val="000000" w:themeColor="text1"/>
          <w:sz w:val="16"/>
          <w:szCs w:val="16"/>
        </w:rPr>
        <w:fldChar w:fldCharType="separate"/>
      </w:r>
      <w:r w:rsidRPr="007224C3">
        <w:rPr>
          <w:rStyle w:val="a5"/>
          <w:rFonts w:eastAsiaTheme="majorEastAsia"/>
          <w:color w:val="000000" w:themeColor="text1"/>
          <w:sz w:val="16"/>
          <w:szCs w:val="16"/>
          <w:u w:val="none"/>
          <w:vertAlign w:val="superscript"/>
        </w:rPr>
        <w:t>****</w:t>
      </w:r>
      <w:r w:rsidR="007E0398" w:rsidRPr="007224C3">
        <w:rPr>
          <w:color w:val="000000" w:themeColor="text1"/>
          <w:sz w:val="16"/>
          <w:szCs w:val="16"/>
        </w:rPr>
        <w:fldChar w:fldCharType="end"/>
      </w:r>
      <w:bookmarkEnd w:id="8"/>
      <w:r w:rsidRPr="007224C3">
        <w:rPr>
          <w:color w:val="000000" w:themeColor="text1"/>
          <w:sz w:val="16"/>
          <w:szCs w:val="16"/>
        </w:rPr>
        <w:t>] Какие в этом отношении будут иметься возможности после окончания войны?</w:t>
      </w:r>
    </w:p>
    <w:p w14:paraId="6B2625D6"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По сравнению с довоенным 1940 г. расходы госбюджета изменились следующим образом (в млрд руб.):</w:t>
      </w:r>
    </w:p>
    <w:tbl>
      <w:tblPr>
        <w:tblW w:w="0" w:type="auto"/>
        <w:tblBorders>
          <w:top w:val="outset" w:sz="6" w:space="0" w:color="auto"/>
          <w:left w:val="outset" w:sz="6" w:space="0" w:color="auto"/>
          <w:bottom w:val="outset" w:sz="6" w:space="0" w:color="auto"/>
          <w:right w:val="outset" w:sz="6" w:space="0" w:color="auto"/>
        </w:tblBorders>
        <w:shd w:val="clear" w:color="auto" w:fill="F2EEE1"/>
        <w:tblCellMar>
          <w:left w:w="0" w:type="dxa"/>
          <w:right w:w="0" w:type="dxa"/>
        </w:tblCellMar>
        <w:tblLook w:val="04A0" w:firstRow="1" w:lastRow="0" w:firstColumn="1" w:lastColumn="0" w:noHBand="0" w:noVBand="1"/>
      </w:tblPr>
      <w:tblGrid>
        <w:gridCol w:w="2707"/>
        <w:gridCol w:w="1155"/>
        <w:gridCol w:w="950"/>
        <w:gridCol w:w="2088"/>
      </w:tblGrid>
      <w:tr w:rsidR="005106D0" w:rsidRPr="007224C3" w14:paraId="71C69EC1" w14:textId="77777777" w:rsidTr="00D03418">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186625A" w14:textId="77777777" w:rsidR="00BC5781" w:rsidRPr="007224C3" w:rsidRDefault="00BC578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B77E7D9" w14:textId="77777777" w:rsidR="00BC5781" w:rsidRPr="007224C3" w:rsidRDefault="00BC5781" w:rsidP="007224C3">
            <w:pPr>
              <w:pStyle w:val="rtecenter"/>
              <w:spacing w:before="0" w:beforeAutospacing="0" w:after="0" w:afterAutospacing="0"/>
              <w:jc w:val="both"/>
              <w:rPr>
                <w:color w:val="000000" w:themeColor="text1"/>
                <w:sz w:val="16"/>
                <w:szCs w:val="16"/>
              </w:rPr>
            </w:pPr>
            <w:r w:rsidRPr="007224C3">
              <w:rPr>
                <w:color w:val="000000" w:themeColor="text1"/>
                <w:sz w:val="16"/>
                <w:szCs w:val="16"/>
              </w:rPr>
              <w:t>1943 г. (исполн.)</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2061872" w14:textId="77777777" w:rsidR="00BC5781" w:rsidRPr="007224C3" w:rsidRDefault="00BC5781" w:rsidP="007224C3">
            <w:pPr>
              <w:pStyle w:val="rtecenter"/>
              <w:spacing w:before="0" w:beforeAutospacing="0" w:after="0" w:afterAutospacing="0"/>
              <w:jc w:val="both"/>
              <w:rPr>
                <w:color w:val="000000" w:themeColor="text1"/>
                <w:sz w:val="16"/>
                <w:szCs w:val="16"/>
              </w:rPr>
            </w:pPr>
            <w:r w:rsidRPr="007224C3">
              <w:rPr>
                <w:color w:val="000000" w:themeColor="text1"/>
                <w:sz w:val="16"/>
                <w:szCs w:val="16"/>
              </w:rPr>
              <w:t>1944 г. (план)</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EE49220" w14:textId="77777777" w:rsidR="00BC5781" w:rsidRPr="007224C3" w:rsidRDefault="00BC5781" w:rsidP="007224C3">
            <w:pPr>
              <w:pStyle w:val="rtecenter"/>
              <w:spacing w:before="0" w:beforeAutospacing="0" w:after="0" w:afterAutospacing="0"/>
              <w:jc w:val="both"/>
              <w:rPr>
                <w:color w:val="000000" w:themeColor="text1"/>
                <w:sz w:val="16"/>
                <w:szCs w:val="16"/>
              </w:rPr>
            </w:pPr>
            <w:r w:rsidRPr="007224C3">
              <w:rPr>
                <w:color w:val="000000" w:themeColor="text1"/>
                <w:sz w:val="16"/>
                <w:szCs w:val="16"/>
              </w:rPr>
              <w:t>1944 г. по сравнению с 1943 г.</w:t>
            </w:r>
          </w:p>
        </w:tc>
      </w:tr>
      <w:tr w:rsidR="005106D0" w:rsidRPr="007224C3" w14:paraId="0677A013" w14:textId="77777777" w:rsidTr="00D03418">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BC536BD"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Общая сумма расходов</w:t>
            </w:r>
          </w:p>
          <w:p w14:paraId="07D1EEC5"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в том числе:</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BC1A3A8" w14:textId="77777777" w:rsidR="00BC5781" w:rsidRPr="007224C3" w:rsidRDefault="00BC578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+35,4</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EB01E53" w14:textId="77777777" w:rsidR="00BC5781" w:rsidRPr="007224C3" w:rsidRDefault="00BC578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+75,3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5883C20" w14:textId="77777777" w:rsidR="00BC5781" w:rsidRPr="007224C3" w:rsidRDefault="00BC578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+39,9</w:t>
            </w:r>
          </w:p>
        </w:tc>
      </w:tr>
      <w:tr w:rsidR="005106D0" w:rsidRPr="007224C3" w14:paraId="563CE25A" w14:textId="77777777" w:rsidTr="00D03418">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644A38A"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1.НКО и НКВМФ</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242A62D" w14:textId="77777777" w:rsidR="00BC5781" w:rsidRPr="007224C3" w:rsidRDefault="00BC5781" w:rsidP="007224C3">
            <w:pPr>
              <w:pStyle w:val="rtecenter"/>
              <w:spacing w:before="0" w:beforeAutospacing="0" w:after="0" w:afterAutospacing="0"/>
              <w:jc w:val="both"/>
              <w:rPr>
                <w:color w:val="000000" w:themeColor="text1"/>
                <w:sz w:val="16"/>
                <w:szCs w:val="16"/>
              </w:rPr>
            </w:pPr>
            <w:r w:rsidRPr="007224C3">
              <w:rPr>
                <w:color w:val="000000" w:themeColor="text1"/>
                <w:sz w:val="16"/>
                <w:szCs w:val="16"/>
              </w:rPr>
              <w:t>+67,9</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1EDB2EF" w14:textId="77777777" w:rsidR="00BC5781" w:rsidRPr="007224C3" w:rsidRDefault="00BC5781" w:rsidP="007224C3">
            <w:pPr>
              <w:pStyle w:val="rtecenter"/>
              <w:spacing w:before="0" w:beforeAutospacing="0" w:after="0" w:afterAutospacing="0"/>
              <w:jc w:val="both"/>
              <w:rPr>
                <w:color w:val="000000" w:themeColor="text1"/>
                <w:sz w:val="16"/>
                <w:szCs w:val="16"/>
              </w:rPr>
            </w:pPr>
            <w:r w:rsidRPr="007224C3">
              <w:rPr>
                <w:color w:val="000000" w:themeColor="text1"/>
                <w:sz w:val="16"/>
                <w:szCs w:val="16"/>
              </w:rPr>
              <w:t>+71,6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6F66993" w14:textId="77777777" w:rsidR="00BC5781" w:rsidRPr="007224C3" w:rsidRDefault="00BC5781" w:rsidP="007224C3">
            <w:pPr>
              <w:pStyle w:val="rtecenter"/>
              <w:spacing w:before="0" w:beforeAutospacing="0" w:after="0" w:afterAutospacing="0"/>
              <w:jc w:val="both"/>
              <w:rPr>
                <w:color w:val="000000" w:themeColor="text1"/>
                <w:sz w:val="16"/>
                <w:szCs w:val="16"/>
              </w:rPr>
            </w:pPr>
            <w:r w:rsidRPr="007224C3">
              <w:rPr>
                <w:color w:val="000000" w:themeColor="text1"/>
                <w:sz w:val="16"/>
                <w:szCs w:val="16"/>
              </w:rPr>
              <w:t>+3,9</w:t>
            </w:r>
          </w:p>
        </w:tc>
      </w:tr>
      <w:tr w:rsidR="005106D0" w:rsidRPr="007224C3" w14:paraId="65C9E7FF" w14:textId="77777777" w:rsidTr="00D03418">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8C46824"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2. Народное хозяйство</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1DC17EE" w14:textId="77777777" w:rsidR="00BC5781" w:rsidRPr="007224C3" w:rsidRDefault="00BC5781" w:rsidP="007224C3">
            <w:pPr>
              <w:pStyle w:val="rtecenter"/>
              <w:spacing w:before="0" w:beforeAutospacing="0" w:after="0" w:afterAutospacing="0"/>
              <w:jc w:val="both"/>
              <w:rPr>
                <w:color w:val="000000" w:themeColor="text1"/>
                <w:sz w:val="16"/>
                <w:szCs w:val="16"/>
              </w:rPr>
            </w:pPr>
            <w:r w:rsidRPr="007224C3">
              <w:rPr>
                <w:color w:val="000000" w:themeColor="text1"/>
                <w:sz w:val="16"/>
                <w:szCs w:val="16"/>
              </w:rPr>
              <w:t>-27,3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38EB9D7" w14:textId="77777777" w:rsidR="00BC5781" w:rsidRPr="007224C3" w:rsidRDefault="00BC5781" w:rsidP="007224C3">
            <w:pPr>
              <w:pStyle w:val="rtecenter"/>
              <w:spacing w:before="0" w:beforeAutospacing="0" w:after="0" w:afterAutospacing="0"/>
              <w:jc w:val="both"/>
              <w:rPr>
                <w:color w:val="000000" w:themeColor="text1"/>
                <w:sz w:val="16"/>
                <w:szCs w:val="16"/>
              </w:rPr>
            </w:pPr>
            <w:r w:rsidRPr="007224C3">
              <w:rPr>
                <w:color w:val="000000" w:themeColor="text1"/>
                <w:sz w:val="16"/>
                <w:szCs w:val="16"/>
              </w:rPr>
              <w:t>-13,6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57C1F4E" w14:textId="77777777" w:rsidR="00BC5781" w:rsidRPr="007224C3" w:rsidRDefault="00BC5781" w:rsidP="007224C3">
            <w:pPr>
              <w:pStyle w:val="rtecenter"/>
              <w:spacing w:before="0" w:beforeAutospacing="0" w:after="0" w:afterAutospacing="0"/>
              <w:jc w:val="both"/>
              <w:rPr>
                <w:color w:val="000000" w:themeColor="text1"/>
                <w:sz w:val="16"/>
                <w:szCs w:val="16"/>
              </w:rPr>
            </w:pPr>
            <w:r w:rsidRPr="007224C3">
              <w:rPr>
                <w:color w:val="000000" w:themeColor="text1"/>
                <w:sz w:val="16"/>
                <w:szCs w:val="16"/>
              </w:rPr>
              <w:t>+13,7</w:t>
            </w:r>
          </w:p>
        </w:tc>
      </w:tr>
      <w:tr w:rsidR="005106D0" w:rsidRPr="007224C3" w14:paraId="6C73842B" w14:textId="77777777" w:rsidTr="00D03418">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DD61AB9"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3. Социально-культурные мероприятия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9CBF310" w14:textId="77777777" w:rsidR="00BC5781" w:rsidRPr="007224C3" w:rsidRDefault="00BC5781" w:rsidP="007224C3">
            <w:pPr>
              <w:pStyle w:val="rtecenter"/>
              <w:spacing w:before="0" w:beforeAutospacing="0" w:after="0" w:afterAutospacing="0"/>
              <w:jc w:val="both"/>
              <w:rPr>
                <w:color w:val="000000" w:themeColor="text1"/>
                <w:sz w:val="16"/>
                <w:szCs w:val="16"/>
              </w:rPr>
            </w:pPr>
            <w:r w:rsidRPr="007224C3">
              <w:rPr>
                <w:color w:val="000000" w:themeColor="text1"/>
                <w:sz w:val="16"/>
                <w:szCs w:val="16"/>
              </w:rPr>
              <w:t>-3,6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0388E12" w14:textId="77777777" w:rsidR="00BC5781" w:rsidRPr="007224C3" w:rsidRDefault="00BC5781" w:rsidP="007224C3">
            <w:pPr>
              <w:pStyle w:val="rtecenter"/>
              <w:spacing w:before="0" w:beforeAutospacing="0" w:after="0" w:afterAutospacing="0"/>
              <w:jc w:val="both"/>
              <w:rPr>
                <w:color w:val="000000" w:themeColor="text1"/>
                <w:sz w:val="16"/>
                <w:szCs w:val="16"/>
              </w:rPr>
            </w:pPr>
            <w:r w:rsidRPr="007224C3">
              <w:rPr>
                <w:color w:val="000000" w:themeColor="text1"/>
                <w:sz w:val="16"/>
                <w:szCs w:val="16"/>
              </w:rPr>
              <w:t>+10,5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4AF198A" w14:textId="77777777" w:rsidR="00BC5781" w:rsidRPr="007224C3" w:rsidRDefault="00BC5781" w:rsidP="007224C3">
            <w:pPr>
              <w:pStyle w:val="rtecenter"/>
              <w:spacing w:before="0" w:beforeAutospacing="0" w:after="0" w:afterAutospacing="0"/>
              <w:jc w:val="both"/>
              <w:rPr>
                <w:color w:val="000000" w:themeColor="text1"/>
                <w:sz w:val="16"/>
                <w:szCs w:val="16"/>
              </w:rPr>
            </w:pPr>
            <w:r w:rsidRPr="007224C3">
              <w:rPr>
                <w:color w:val="000000" w:themeColor="text1"/>
                <w:sz w:val="16"/>
                <w:szCs w:val="16"/>
              </w:rPr>
              <w:t>+14,1</w:t>
            </w:r>
          </w:p>
        </w:tc>
      </w:tr>
      <w:tr w:rsidR="005106D0" w:rsidRPr="007224C3" w14:paraId="7CFCF1B1" w14:textId="77777777" w:rsidTr="00D03418">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6A258F0"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Из них: пенсии военные</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D3AB7A5" w14:textId="77777777" w:rsidR="00BC5781" w:rsidRPr="007224C3" w:rsidRDefault="00BC5781" w:rsidP="007224C3">
            <w:pPr>
              <w:pStyle w:val="rtecenter"/>
              <w:spacing w:before="0" w:beforeAutospacing="0" w:after="0" w:afterAutospacing="0"/>
              <w:jc w:val="both"/>
              <w:rPr>
                <w:color w:val="000000" w:themeColor="text1"/>
                <w:sz w:val="16"/>
                <w:szCs w:val="16"/>
              </w:rPr>
            </w:pPr>
            <w:r w:rsidRPr="007224C3">
              <w:rPr>
                <w:color w:val="000000" w:themeColor="text1"/>
                <w:sz w:val="16"/>
                <w:szCs w:val="16"/>
              </w:rPr>
              <w:t>+2,9</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0A40139" w14:textId="77777777" w:rsidR="00BC5781" w:rsidRPr="007224C3" w:rsidRDefault="00BC5781" w:rsidP="007224C3">
            <w:pPr>
              <w:pStyle w:val="rtecenter"/>
              <w:spacing w:before="0" w:beforeAutospacing="0" w:after="0" w:afterAutospacing="0"/>
              <w:jc w:val="both"/>
              <w:rPr>
                <w:color w:val="000000" w:themeColor="text1"/>
                <w:sz w:val="16"/>
                <w:szCs w:val="16"/>
              </w:rPr>
            </w:pPr>
            <w:r w:rsidRPr="007224C3">
              <w:rPr>
                <w:color w:val="000000" w:themeColor="text1"/>
                <w:sz w:val="16"/>
                <w:szCs w:val="16"/>
              </w:rPr>
              <w:t>+5,7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ECF97BC" w14:textId="77777777" w:rsidR="00BC5781" w:rsidRPr="007224C3" w:rsidRDefault="00BC5781" w:rsidP="007224C3">
            <w:pPr>
              <w:pStyle w:val="rtecenter"/>
              <w:spacing w:before="0" w:beforeAutospacing="0" w:after="0" w:afterAutospacing="0"/>
              <w:jc w:val="both"/>
              <w:rPr>
                <w:color w:val="000000" w:themeColor="text1"/>
                <w:sz w:val="16"/>
                <w:szCs w:val="16"/>
              </w:rPr>
            </w:pPr>
            <w:r w:rsidRPr="007224C3">
              <w:rPr>
                <w:color w:val="000000" w:themeColor="text1"/>
                <w:sz w:val="16"/>
                <w:szCs w:val="16"/>
              </w:rPr>
              <w:t>+2,8</w:t>
            </w:r>
          </w:p>
        </w:tc>
      </w:tr>
      <w:tr w:rsidR="005106D0" w:rsidRPr="007224C3" w14:paraId="352C28EF" w14:textId="77777777" w:rsidTr="00D03418">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ED110CF"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пособия семьям военнослужащих</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57E9245" w14:textId="77777777" w:rsidR="00BC5781" w:rsidRPr="007224C3" w:rsidRDefault="00BC5781" w:rsidP="007224C3">
            <w:pPr>
              <w:pStyle w:val="rtecenter"/>
              <w:spacing w:before="0" w:beforeAutospacing="0" w:after="0" w:afterAutospacing="0"/>
              <w:jc w:val="both"/>
              <w:rPr>
                <w:color w:val="000000" w:themeColor="text1"/>
                <w:sz w:val="16"/>
                <w:szCs w:val="16"/>
              </w:rPr>
            </w:pPr>
            <w:r w:rsidRPr="007224C3">
              <w:rPr>
                <w:color w:val="000000" w:themeColor="text1"/>
                <w:sz w:val="16"/>
                <w:szCs w:val="16"/>
              </w:rPr>
              <w:t>+7,2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3BE15F7" w14:textId="77777777" w:rsidR="00BC5781" w:rsidRPr="007224C3" w:rsidRDefault="00BC5781" w:rsidP="007224C3">
            <w:pPr>
              <w:pStyle w:val="rtecenter"/>
              <w:spacing w:before="0" w:beforeAutospacing="0" w:after="0" w:afterAutospacing="0"/>
              <w:jc w:val="both"/>
              <w:rPr>
                <w:color w:val="000000" w:themeColor="text1"/>
                <w:sz w:val="16"/>
                <w:szCs w:val="16"/>
              </w:rPr>
            </w:pPr>
            <w:r w:rsidRPr="007224C3">
              <w:rPr>
                <w:color w:val="000000" w:themeColor="text1"/>
                <w:sz w:val="16"/>
                <w:szCs w:val="16"/>
              </w:rPr>
              <w:t>+6,9</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E5D87B7" w14:textId="77777777" w:rsidR="00BC5781" w:rsidRPr="007224C3" w:rsidRDefault="00BC5781" w:rsidP="007224C3">
            <w:pPr>
              <w:pStyle w:val="rtecenter"/>
              <w:spacing w:before="0" w:beforeAutospacing="0" w:after="0" w:afterAutospacing="0"/>
              <w:jc w:val="both"/>
              <w:rPr>
                <w:color w:val="000000" w:themeColor="text1"/>
                <w:sz w:val="16"/>
                <w:szCs w:val="16"/>
              </w:rPr>
            </w:pPr>
            <w:r w:rsidRPr="007224C3">
              <w:rPr>
                <w:color w:val="000000" w:themeColor="text1"/>
                <w:sz w:val="16"/>
                <w:szCs w:val="16"/>
              </w:rPr>
              <w:t>-0,3</w:t>
            </w:r>
          </w:p>
        </w:tc>
      </w:tr>
      <w:tr w:rsidR="005106D0" w:rsidRPr="007224C3" w14:paraId="28156B48" w14:textId="77777777" w:rsidTr="00D03418">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A2B2E2A"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остальные расходы</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596FD30" w14:textId="77777777" w:rsidR="00BC5781" w:rsidRPr="007224C3" w:rsidRDefault="00BC5781" w:rsidP="007224C3">
            <w:pPr>
              <w:pStyle w:val="rtecenter"/>
              <w:spacing w:before="0" w:beforeAutospacing="0" w:after="0" w:afterAutospacing="0"/>
              <w:jc w:val="both"/>
              <w:rPr>
                <w:color w:val="000000" w:themeColor="text1"/>
                <w:sz w:val="16"/>
                <w:szCs w:val="16"/>
              </w:rPr>
            </w:pPr>
            <w:r w:rsidRPr="007224C3">
              <w:rPr>
                <w:color w:val="000000" w:themeColor="text1"/>
                <w:sz w:val="16"/>
                <w:szCs w:val="16"/>
              </w:rPr>
              <w:t>-13,7</w:t>
            </w:r>
            <w:r w:rsidRPr="007224C3">
              <w:rPr>
                <w:color w:val="000000" w:themeColor="text1"/>
                <w:sz w:val="16"/>
                <w:szCs w:val="16"/>
                <w:vertAlign w:val="superscript"/>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C7C050F" w14:textId="77777777" w:rsidR="00BC5781" w:rsidRPr="007224C3" w:rsidRDefault="00BC5781" w:rsidP="007224C3">
            <w:pPr>
              <w:pStyle w:val="rtecenter"/>
              <w:spacing w:before="0" w:beforeAutospacing="0" w:after="0" w:afterAutospacing="0"/>
              <w:jc w:val="both"/>
              <w:rPr>
                <w:color w:val="000000" w:themeColor="text1"/>
                <w:sz w:val="16"/>
                <w:szCs w:val="16"/>
              </w:rPr>
            </w:pPr>
            <w:r w:rsidRPr="007224C3">
              <w:rPr>
                <w:color w:val="000000" w:themeColor="text1"/>
                <w:sz w:val="16"/>
                <w:szCs w:val="16"/>
              </w:rPr>
              <w:t>-2,1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CDAFC7E" w14:textId="77777777" w:rsidR="00BC5781" w:rsidRPr="007224C3" w:rsidRDefault="00BC5781" w:rsidP="007224C3">
            <w:pPr>
              <w:pStyle w:val="rtecenter"/>
              <w:spacing w:before="0" w:beforeAutospacing="0" w:after="0" w:afterAutospacing="0"/>
              <w:jc w:val="both"/>
              <w:rPr>
                <w:color w:val="000000" w:themeColor="text1"/>
                <w:sz w:val="16"/>
                <w:szCs w:val="16"/>
              </w:rPr>
            </w:pPr>
            <w:r w:rsidRPr="007224C3">
              <w:rPr>
                <w:color w:val="000000" w:themeColor="text1"/>
                <w:sz w:val="16"/>
                <w:szCs w:val="16"/>
              </w:rPr>
              <w:t>+11,6</w:t>
            </w:r>
          </w:p>
        </w:tc>
      </w:tr>
      <w:tr w:rsidR="005106D0" w:rsidRPr="007224C3" w14:paraId="4821CC30" w14:textId="77777777" w:rsidTr="00D03418">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8C16639"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4. НКВД</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E7B73F9" w14:textId="77777777" w:rsidR="00BC5781" w:rsidRPr="007224C3" w:rsidRDefault="00BC5781" w:rsidP="007224C3">
            <w:pPr>
              <w:pStyle w:val="rtecenter"/>
              <w:spacing w:before="0" w:beforeAutospacing="0" w:after="0" w:afterAutospacing="0"/>
              <w:jc w:val="both"/>
              <w:rPr>
                <w:color w:val="000000" w:themeColor="text1"/>
                <w:sz w:val="16"/>
                <w:szCs w:val="16"/>
              </w:rPr>
            </w:pPr>
            <w:r w:rsidRPr="007224C3">
              <w:rPr>
                <w:color w:val="000000" w:themeColor="text1"/>
                <w:sz w:val="16"/>
                <w:szCs w:val="16"/>
              </w:rPr>
              <w:t>-0,9</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11CD413" w14:textId="77777777" w:rsidR="00BC5781" w:rsidRPr="007224C3" w:rsidRDefault="00BC5781" w:rsidP="007224C3">
            <w:pPr>
              <w:pStyle w:val="rtecenter"/>
              <w:spacing w:before="0" w:beforeAutospacing="0" w:after="0" w:afterAutospacing="0"/>
              <w:jc w:val="both"/>
              <w:rPr>
                <w:color w:val="000000" w:themeColor="text1"/>
                <w:sz w:val="16"/>
                <w:szCs w:val="16"/>
              </w:rPr>
            </w:pPr>
            <w:r w:rsidRPr="007224C3">
              <w:rPr>
                <w:color w:val="000000" w:themeColor="text1"/>
                <w:sz w:val="16"/>
                <w:szCs w:val="16"/>
              </w:rPr>
              <w:t>+0,2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A00B4B8" w14:textId="77777777" w:rsidR="00BC5781" w:rsidRPr="007224C3" w:rsidRDefault="00BC5781" w:rsidP="007224C3">
            <w:pPr>
              <w:pStyle w:val="rtecenter"/>
              <w:spacing w:before="0" w:beforeAutospacing="0" w:after="0" w:afterAutospacing="0"/>
              <w:jc w:val="both"/>
              <w:rPr>
                <w:color w:val="000000" w:themeColor="text1"/>
                <w:sz w:val="16"/>
                <w:szCs w:val="16"/>
              </w:rPr>
            </w:pPr>
            <w:r w:rsidRPr="007224C3">
              <w:rPr>
                <w:color w:val="000000" w:themeColor="text1"/>
                <w:sz w:val="16"/>
                <w:szCs w:val="16"/>
              </w:rPr>
              <w:t>+1,1</w:t>
            </w:r>
          </w:p>
        </w:tc>
      </w:tr>
      <w:tr w:rsidR="005106D0" w:rsidRPr="007224C3" w14:paraId="47E4FCA1" w14:textId="77777777" w:rsidTr="00D03418">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3A32301"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5. Управление</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482C7D6" w14:textId="77777777" w:rsidR="00BC5781" w:rsidRPr="007224C3" w:rsidRDefault="00BC5781" w:rsidP="007224C3">
            <w:pPr>
              <w:pStyle w:val="rtecenter"/>
              <w:spacing w:before="0" w:beforeAutospacing="0" w:after="0" w:afterAutospacing="0"/>
              <w:jc w:val="both"/>
              <w:rPr>
                <w:color w:val="000000" w:themeColor="text1"/>
                <w:sz w:val="16"/>
                <w:szCs w:val="16"/>
              </w:rPr>
            </w:pPr>
            <w:r w:rsidRPr="007224C3">
              <w:rPr>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8393ADB" w14:textId="77777777" w:rsidR="00BC5781" w:rsidRPr="007224C3" w:rsidRDefault="00BC5781" w:rsidP="007224C3">
            <w:pPr>
              <w:pStyle w:val="rtecenter"/>
              <w:spacing w:before="0" w:beforeAutospacing="0" w:after="0" w:afterAutospacing="0"/>
              <w:jc w:val="both"/>
              <w:rPr>
                <w:color w:val="000000" w:themeColor="text1"/>
                <w:sz w:val="16"/>
                <w:szCs w:val="16"/>
              </w:rPr>
            </w:pPr>
            <w:r w:rsidRPr="007224C3">
              <w:rPr>
                <w:color w:val="000000" w:themeColor="text1"/>
                <w:sz w:val="16"/>
                <w:szCs w:val="16"/>
              </w:rPr>
              <w:t>-0,1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6939C6D" w14:textId="77777777" w:rsidR="00BC5781" w:rsidRPr="007224C3" w:rsidRDefault="00BC5781" w:rsidP="007224C3">
            <w:pPr>
              <w:pStyle w:val="rtecenter"/>
              <w:spacing w:before="0" w:beforeAutospacing="0" w:after="0" w:afterAutospacing="0"/>
              <w:jc w:val="both"/>
              <w:rPr>
                <w:color w:val="000000" w:themeColor="text1"/>
                <w:sz w:val="16"/>
                <w:szCs w:val="16"/>
              </w:rPr>
            </w:pPr>
            <w:r w:rsidRPr="007224C3">
              <w:rPr>
                <w:color w:val="000000" w:themeColor="text1"/>
                <w:sz w:val="16"/>
                <w:szCs w:val="16"/>
              </w:rPr>
              <w:t>+1,5</w:t>
            </w:r>
          </w:p>
        </w:tc>
      </w:tr>
      <w:tr w:rsidR="005106D0" w:rsidRPr="007224C3" w14:paraId="5C7A031D" w14:textId="77777777" w:rsidTr="00D03418">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6BC9012"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6. Прочие расходы</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AEFC55F" w14:textId="77777777" w:rsidR="00BC5781" w:rsidRPr="007224C3" w:rsidRDefault="00BC5781" w:rsidP="007224C3">
            <w:pPr>
              <w:pStyle w:val="rtecenter"/>
              <w:spacing w:before="0" w:beforeAutospacing="0" w:after="0" w:afterAutospacing="0"/>
              <w:jc w:val="both"/>
              <w:rPr>
                <w:color w:val="000000" w:themeColor="text1"/>
                <w:sz w:val="16"/>
                <w:szCs w:val="16"/>
              </w:rPr>
            </w:pPr>
            <w:r w:rsidRPr="007224C3">
              <w:rPr>
                <w:color w:val="000000" w:themeColor="text1"/>
                <w:sz w:val="16"/>
                <w:szCs w:val="16"/>
              </w:rPr>
              <w:t>+0,9</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B73CE9D" w14:textId="77777777" w:rsidR="00BC5781" w:rsidRPr="007224C3" w:rsidRDefault="00BC5781" w:rsidP="007224C3">
            <w:pPr>
              <w:pStyle w:val="rtecenter"/>
              <w:spacing w:before="0" w:beforeAutospacing="0" w:after="0" w:afterAutospacing="0"/>
              <w:jc w:val="both"/>
              <w:rPr>
                <w:color w:val="000000" w:themeColor="text1"/>
                <w:sz w:val="16"/>
                <w:szCs w:val="16"/>
              </w:rPr>
            </w:pPr>
            <w:r w:rsidRPr="007224C3">
              <w:rPr>
                <w:color w:val="000000" w:themeColor="text1"/>
                <w:sz w:val="16"/>
                <w:szCs w:val="16"/>
              </w:rPr>
              <w:t>+6,7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4CA35AE" w14:textId="77777777" w:rsidR="00BC5781" w:rsidRPr="007224C3" w:rsidRDefault="00BC5781" w:rsidP="007224C3">
            <w:pPr>
              <w:pStyle w:val="rtecenter"/>
              <w:spacing w:before="0" w:beforeAutospacing="0" w:after="0" w:afterAutospacing="0"/>
              <w:jc w:val="both"/>
              <w:rPr>
                <w:color w:val="000000" w:themeColor="text1"/>
                <w:sz w:val="16"/>
                <w:szCs w:val="16"/>
              </w:rPr>
            </w:pPr>
            <w:r w:rsidRPr="007224C3">
              <w:rPr>
                <w:color w:val="000000" w:themeColor="text1"/>
                <w:sz w:val="16"/>
                <w:szCs w:val="16"/>
              </w:rPr>
              <w:t>+5,8</w:t>
            </w:r>
          </w:p>
        </w:tc>
      </w:tr>
    </w:tbl>
    <w:p w14:paraId="4FD6647F"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 Показатели таблицы, подчеркнутые прерывистой линией, в оригинале документа обведены карандашом.</w:t>
      </w:r>
    </w:p>
    <w:p w14:paraId="6EDA4ABA"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В 1944 г. значительно вырастают расходы на народное хозяйство, просвещение и здравоохранение. После окончания войны, по-видимому, расходы на просвещение и здравоохранение будут доведены до довоенного уровня, а расходы на финансирование народного хозяйства превысят довоенный уровень в связи с демилитаризацией хозяйства и восстановительными работами. Это увеличит расходы госбюджета примерно на 20-25 млрд руб. Останутся на высоком уровне расходы по пенсионному обеспечению инвалидов Отечественной войны и семей погибших военнослужащих. Сократятся расходы по финансированию НКО и НКВМФ и на выдачу пособий семьям военнослужащих, однако эти расходы останутся на уровне, значительно превышающем довоенный. Все это говорит о том, что возможности сокращения общей суммы расходов в госбюджете в первое время после окончания войны будут весьма ограниченными. Следовательно, основным путем создания активного баланса госбюджета является увеличение доходов госбюджета.</w:t>
      </w:r>
    </w:p>
    <w:p w14:paraId="4771C5AB"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Доходы госбюджета по сравнению с довоенным 1940 г. изменились следующим образом (в млрд руб.) (см. стр. 67):</w:t>
      </w:r>
    </w:p>
    <w:p w14:paraId="72B913F3"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Общий уровень изъятий в бюджет из текущих доходов населения в настоящее время высок, в значительной мере основывается на обстоятельствах военного времени и после войны вопрос будет стоять скорее о понижении, чем об увеличении относительных размеров изъятий. Имеющийся опыт свидетельствует, что прямые платежи населения в бюджет не в состоянии ни предотвратить сосредоточение крупных денежных сумм в руках рыночных продавцов, ни обеспе-</w:t>
      </w:r>
    </w:p>
    <w:tbl>
      <w:tblPr>
        <w:tblW w:w="0" w:type="auto"/>
        <w:tblBorders>
          <w:top w:val="outset" w:sz="6" w:space="0" w:color="auto"/>
          <w:left w:val="outset" w:sz="6" w:space="0" w:color="auto"/>
          <w:bottom w:val="outset" w:sz="6" w:space="0" w:color="auto"/>
          <w:right w:val="outset" w:sz="6" w:space="0" w:color="auto"/>
        </w:tblBorders>
        <w:shd w:val="clear" w:color="auto" w:fill="F2EEE1"/>
        <w:tblCellMar>
          <w:left w:w="0" w:type="dxa"/>
          <w:right w:w="0" w:type="dxa"/>
        </w:tblCellMar>
        <w:tblLook w:val="04A0" w:firstRow="1" w:lastRow="0" w:firstColumn="1" w:lastColumn="0" w:noHBand="0" w:noVBand="1"/>
      </w:tblPr>
      <w:tblGrid>
        <w:gridCol w:w="3681"/>
        <w:gridCol w:w="1155"/>
        <w:gridCol w:w="910"/>
        <w:gridCol w:w="2088"/>
      </w:tblGrid>
      <w:tr w:rsidR="005106D0" w:rsidRPr="007224C3" w14:paraId="5673BFED" w14:textId="77777777" w:rsidTr="00D03418">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13F4185" w14:textId="77777777" w:rsidR="00BC5781" w:rsidRPr="007224C3" w:rsidRDefault="00BC578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2C1690E"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1943 г. (исполн.)</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0E7FA7A"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1944 г.(план)</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E810399"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1944 г. по сравнению с 1943 г.</w:t>
            </w:r>
          </w:p>
        </w:tc>
      </w:tr>
      <w:tr w:rsidR="005106D0" w:rsidRPr="007224C3" w14:paraId="7CCEAFEF" w14:textId="77777777" w:rsidTr="00D03418">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196BB8B"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Общая сумма доходов в том числе:</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EA5922B"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+22,1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0E5712F"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+52,1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D33F1C3"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+30,0</w:t>
            </w:r>
          </w:p>
        </w:tc>
      </w:tr>
      <w:tr w:rsidR="005106D0" w:rsidRPr="007224C3" w14:paraId="3E2897FE" w14:textId="77777777" w:rsidTr="00D03418">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0406BD2"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1. Налог с оборота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27524D7"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-34,8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31325DF"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-24,4</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0A0A6B7"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+10,4</w:t>
            </w:r>
          </w:p>
        </w:tc>
      </w:tr>
      <w:tr w:rsidR="005106D0" w:rsidRPr="007224C3" w14:paraId="332B2B48" w14:textId="77777777" w:rsidTr="00D03418">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65BB920"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2. Отчисления от прибылей</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7D9CFE5"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A098B22"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B2B9CCC"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+3,1</w:t>
            </w:r>
          </w:p>
        </w:tc>
      </w:tr>
      <w:tr w:rsidR="005106D0" w:rsidRPr="007224C3" w14:paraId="531102E8" w14:textId="77777777" w:rsidTr="00D03418">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A283596"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3. Средства соцстраха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39C7976"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-2,4</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4EC5FA8"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-0,9</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B1EAE49"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+1,5</w:t>
            </w:r>
          </w:p>
        </w:tc>
      </w:tr>
      <w:tr w:rsidR="005106D0" w:rsidRPr="007224C3" w14:paraId="7879BCFE" w14:textId="77777777" w:rsidTr="00D03418">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EA956B2"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lastRenderedPageBreak/>
              <w:t>4. Налоги с населения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16FD164"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+18,7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9C0C44A"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+24,7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337385B"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+6,0</w:t>
            </w:r>
          </w:p>
        </w:tc>
      </w:tr>
      <w:tr w:rsidR="005106D0" w:rsidRPr="007224C3" w14:paraId="24302EEC" w14:textId="77777777" w:rsidTr="00D03418">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154567B"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из них: военный налог</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B86A757"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+17,0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7CE9BC9"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+20,4</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C3B2612"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+3,4</w:t>
            </w:r>
          </w:p>
        </w:tc>
      </w:tr>
      <w:tr w:rsidR="005106D0" w:rsidRPr="007224C3" w14:paraId="67BD4711" w14:textId="77777777" w:rsidTr="00D03418">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784D7EB"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остальные налоги</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E5C3772"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2C811E3"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+4,3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0632CDF"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+2,6</w:t>
            </w:r>
          </w:p>
        </w:tc>
      </w:tr>
      <w:tr w:rsidR="005106D0" w:rsidRPr="007224C3" w14:paraId="4A84C836" w14:textId="77777777" w:rsidTr="00D03418">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35C5222"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5. Госзаймы и лотереи</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7C7BEF6"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+16,5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4F5D0AF"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+23,5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553CA4E"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+7,0</w:t>
            </w:r>
          </w:p>
        </w:tc>
      </w:tr>
      <w:tr w:rsidR="005106D0" w:rsidRPr="007224C3" w14:paraId="2BB43393" w14:textId="77777777" w:rsidTr="00D03418">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3018A18"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из них: госзаймы по подписке</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D1BA9B0"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+7,1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9499F27"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+13,7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86B6951"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+6,6</w:t>
            </w:r>
          </w:p>
        </w:tc>
      </w:tr>
      <w:tr w:rsidR="005106D0" w:rsidRPr="007224C3" w14:paraId="7EC7FD58" w14:textId="77777777" w:rsidTr="00D03418">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B2B5E80"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6. Фонды Обороны, Красной Армии, Восстановления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9D53503"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+5,3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35F65C4"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+0,5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DCFFA74"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-4,8</w:t>
            </w:r>
          </w:p>
        </w:tc>
      </w:tr>
      <w:tr w:rsidR="005106D0" w:rsidRPr="007224C3" w14:paraId="19C13526" w14:textId="77777777" w:rsidTr="00D03418">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94F0491"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7. Таможенные доходы и особый счет НКФ</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76F0238"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+17,6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8B50C7E"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+21,1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4ACF1B3"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+3,5</w:t>
            </w:r>
          </w:p>
        </w:tc>
      </w:tr>
      <w:tr w:rsidR="005106D0" w:rsidRPr="007224C3" w14:paraId="7D77186B" w14:textId="77777777" w:rsidTr="00D03418">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420B378"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из них: особый счет НКФ</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591D312"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+18,2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65B102A"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+20,4</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E87DEB2"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+2,2</w:t>
            </w:r>
          </w:p>
        </w:tc>
      </w:tr>
      <w:tr w:rsidR="005106D0" w:rsidRPr="007224C3" w14:paraId="459779E9" w14:textId="77777777" w:rsidTr="00D03418">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CF0C531"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таможенные доходы</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BC9E09D"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-0,6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ABAAB85"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+0,7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652E7E7"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+1,3</w:t>
            </w:r>
          </w:p>
        </w:tc>
      </w:tr>
    </w:tbl>
    <w:p w14:paraId="5F2CB62F"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чить изъятия накопленных ими сумм. Увеличение доходов госбюджета может, следовательно, основываться на: а) увеличении прибылей социалистических предприятий, б) росте поступлений налога с оборота и в) увеличении поступлений по особому счету НКФ. Первый из этих источников не может дать сразу же крупного увеличения доходов госбюджета. Поступления по третьему источнику после окончания войны скорее всего сократятся. Следовательно, основным источником увеличения доходов госбюджета является налог с оборота, поступления по которому на 1944 г. запроектированы с ростом против 1943 г. на 10,4 млрд руб. (на 14,6 %) и остаются ниже довоенного уровня на 24,4 млрд руб. (на 23 %)[</w:t>
      </w:r>
      <w:bookmarkStart w:id="9" w:name="_rtfnr_5"/>
      <w:r w:rsidR="007E0398" w:rsidRPr="007224C3">
        <w:rPr>
          <w:color w:val="000000" w:themeColor="text1"/>
          <w:sz w:val="16"/>
          <w:szCs w:val="16"/>
          <w:vertAlign w:val="superscript"/>
        </w:rPr>
        <w:fldChar w:fldCharType="begin"/>
      </w:r>
      <w:r w:rsidRPr="007224C3">
        <w:rPr>
          <w:color w:val="000000" w:themeColor="text1"/>
          <w:sz w:val="16"/>
          <w:szCs w:val="16"/>
          <w:vertAlign w:val="superscript"/>
        </w:rPr>
        <w:instrText xml:space="preserve"> HYPERLINK "http://istmat.info/node/62297" \l "_rtfnr_5.1" </w:instrText>
      </w:r>
      <w:r w:rsidR="007E0398" w:rsidRPr="007224C3">
        <w:rPr>
          <w:color w:val="000000" w:themeColor="text1"/>
          <w:sz w:val="16"/>
          <w:szCs w:val="16"/>
          <w:vertAlign w:val="superscript"/>
        </w:rPr>
        <w:fldChar w:fldCharType="separate"/>
      </w:r>
      <w:r w:rsidRPr="007224C3">
        <w:rPr>
          <w:rStyle w:val="a5"/>
          <w:rFonts w:eastAsiaTheme="majorEastAsia"/>
          <w:color w:val="000000" w:themeColor="text1"/>
          <w:sz w:val="16"/>
          <w:szCs w:val="16"/>
          <w:u w:val="none"/>
          <w:vertAlign w:val="superscript"/>
        </w:rPr>
        <w:t>*****</w:t>
      </w:r>
      <w:r w:rsidR="007E0398" w:rsidRPr="007224C3">
        <w:rPr>
          <w:color w:val="000000" w:themeColor="text1"/>
          <w:sz w:val="16"/>
          <w:szCs w:val="16"/>
          <w:vertAlign w:val="superscript"/>
        </w:rPr>
        <w:fldChar w:fldCharType="end"/>
      </w:r>
      <w:bookmarkEnd w:id="9"/>
      <w:r w:rsidRPr="007224C3">
        <w:rPr>
          <w:color w:val="000000" w:themeColor="text1"/>
          <w:sz w:val="16"/>
          <w:szCs w:val="16"/>
        </w:rPr>
        <w:t>].</w:t>
      </w:r>
    </w:p>
    <w:p w14:paraId="51562169"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Чтобы повысить доходы госбюджета на 55 млрд руб. и тем самым создать превышение доходов госбюджета над его расходами, достаточное для изъятия всей избыточной денежной массы из обращения (остальные 10 млрд руб. могут быть отнесены за счет увеличения других доходов госбюджета и за счет сокращения его расходов), необходимо увеличить поступления по налогу с оборота почти на 70 % против запланированной на 1944 г. суммы или на одну треть против уровня 1940 г. При сокращении действующих цен государственно-кооперативной торговли это предполагает доведение объема товарооборота в натуральном выражении до довоенного уровня.</w:t>
      </w:r>
    </w:p>
    <w:p w14:paraId="704C880B"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Таким образом, обеспечение превышения доходов госбюджета над его расходами, достаточное для изъятия всей избыточной денежной массы из обращения, в основном зависит от развертывания товарооборота государственно-кооперативной торговли.</w:t>
      </w:r>
    </w:p>
    <w:p w14:paraId="430BF21A" w14:textId="77777777" w:rsidR="00BC5781" w:rsidRPr="007224C3" w:rsidRDefault="00BC5781" w:rsidP="007224C3">
      <w:pPr>
        <w:pStyle w:val="rtecenter"/>
        <w:spacing w:before="0" w:beforeAutospacing="0" w:after="0" w:afterAutospacing="0"/>
        <w:jc w:val="both"/>
        <w:rPr>
          <w:color w:val="000000" w:themeColor="text1"/>
          <w:sz w:val="16"/>
          <w:szCs w:val="16"/>
        </w:rPr>
      </w:pPr>
      <w:r w:rsidRPr="007224C3">
        <w:rPr>
          <w:color w:val="000000" w:themeColor="text1"/>
          <w:sz w:val="16"/>
          <w:szCs w:val="16"/>
        </w:rPr>
        <w:t>7. Возможность вовлечения в оборот выпущенной в обращение денежной массы</w:t>
      </w:r>
    </w:p>
    <w:p w14:paraId="3C539CB2"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Вовлечение в оборот всей денежной массы, выпущенной в обращение до 7 марта 1944 г. (60 млрд руб.) на основе расширения потребностей хозяйственного оборота в деньгах предполагает доведение объема розничного товарооборота государственно-кооперативной торговли до 140-150 млрд руб. в квартал, т. е. увеличение его в 3 раза по сравнению с довоенным уровнем и почти в 6 раз — по сравнению с нынешним его уровнем. Очевидно, что такое расширение объема розничного товарооборота является совершенно нереальным. Достаточно указать, что такой объем розничного товарооборота государственно-кооперативной торговли в три раза превышал бы все доходы, получаемые населением от государственных и кооперативных предприятий, учреждений и организаций в среднем за квартал 1944 г.</w:t>
      </w:r>
    </w:p>
    <w:p w14:paraId="6EAF3CEA"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Увеличение объема розничного товарооборота будет зависеть от:</w:t>
      </w:r>
    </w:p>
    <w:p w14:paraId="53C0DE8F"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а) расширения производства товаров широкого потребления госпредприятиями и кооперацией, б) увеличения заготовок с/х продуктов, в) сокращения внерыночного потребления товаров и продуктов, г) перспектив развития внешней торговли и ввоза товаров широкого потребления на основе договоров о взаимопомощи, д) быстроты продвижения товаров и продуктов.</w:t>
      </w:r>
    </w:p>
    <w:p w14:paraId="2926F00A"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Демилитаризация промышленности при широком использовании опыта военной организации производства позволит быстро расширить производство товаров широкого потребления после окончания войны. Так, например, представляется возможным значительно увеличить продукцию текстильной промышленности, дающей в настоящее время половину довоенной продукции; предприятия этой отрасли промышленности сравнительно мало пострадали от войны, сырье имеется. Все же расширение производства товаров широкого потребления до довоенного уровня представляет серьезную задачу, как это видно из следующих данных о выпуске продукции в 1940 и 1944 (план) гг.:</w:t>
      </w:r>
    </w:p>
    <w:tbl>
      <w:tblPr>
        <w:tblW w:w="0" w:type="auto"/>
        <w:tblBorders>
          <w:top w:val="outset" w:sz="6" w:space="0" w:color="auto"/>
          <w:left w:val="outset" w:sz="6" w:space="0" w:color="auto"/>
          <w:bottom w:val="outset" w:sz="6" w:space="0" w:color="auto"/>
          <w:right w:val="outset" w:sz="6" w:space="0" w:color="auto"/>
        </w:tblBorders>
        <w:shd w:val="clear" w:color="auto" w:fill="F2EEE1"/>
        <w:tblCellMar>
          <w:left w:w="0" w:type="dxa"/>
          <w:right w:w="0" w:type="dxa"/>
        </w:tblCellMar>
        <w:tblLook w:val="04A0" w:firstRow="1" w:lastRow="0" w:firstColumn="1" w:lastColumn="0" w:noHBand="0" w:noVBand="1"/>
      </w:tblPr>
      <w:tblGrid>
        <w:gridCol w:w="1816"/>
        <w:gridCol w:w="1365"/>
        <w:gridCol w:w="481"/>
        <w:gridCol w:w="873"/>
        <w:gridCol w:w="919"/>
      </w:tblGrid>
      <w:tr w:rsidR="005106D0" w:rsidRPr="007224C3" w14:paraId="4034E59B" w14:textId="77777777" w:rsidTr="00D03418">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5D36C2D"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Наименование продукции</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AE9CB32"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Единица измерения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62516A0"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1940 г.</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7E1F3AF"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План 1944 г.</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24E4834"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В % к 1940 г.</w:t>
            </w:r>
          </w:p>
        </w:tc>
      </w:tr>
      <w:tr w:rsidR="005106D0" w:rsidRPr="007224C3" w14:paraId="1FC96CB2" w14:textId="77777777" w:rsidTr="00D03418">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85948BE"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Мука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4488E45"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тыс. тонн</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E86C077"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17 677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2924F13"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8200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1F06E6F"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46,4</w:t>
            </w:r>
          </w:p>
        </w:tc>
      </w:tr>
      <w:tr w:rsidR="005106D0" w:rsidRPr="007224C3" w14:paraId="222E42D1" w14:textId="77777777" w:rsidTr="00D03418">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D5BB060"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Колбаса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189FFD6"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_"_</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628679E"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335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71BFF0E"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130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81469DE"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36,9</w:t>
            </w:r>
          </w:p>
        </w:tc>
      </w:tr>
      <w:tr w:rsidR="005106D0" w:rsidRPr="007224C3" w14:paraId="71636E0F" w14:textId="77777777" w:rsidTr="00D03418">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3C6053E"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Сахар</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EC41A01"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_"_</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4266338"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2015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FB9206D"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C1DE193"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14,8</w:t>
            </w:r>
          </w:p>
        </w:tc>
      </w:tr>
      <w:tr w:rsidR="005106D0" w:rsidRPr="007224C3" w14:paraId="2EDAF03A" w14:textId="77777777" w:rsidTr="00D03418">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E82355B"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Водка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44599EF"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млн дкл.</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D2F304D"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56,4</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65CE8F1"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13,5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5613FD6"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24,3</w:t>
            </w:r>
          </w:p>
        </w:tc>
      </w:tr>
      <w:tr w:rsidR="005106D0" w:rsidRPr="007224C3" w14:paraId="75D84A25" w14:textId="77777777" w:rsidTr="00D03418">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03EA1BC"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Водочные изделия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DCF79C6"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_"_</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B7F578E"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17,3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F4EA606"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743F9F1"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17,4</w:t>
            </w:r>
          </w:p>
        </w:tc>
      </w:tr>
      <w:tr w:rsidR="005106D0" w:rsidRPr="007224C3" w14:paraId="5490AECB" w14:textId="77777777" w:rsidTr="00D03418">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5A1651B"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Вино виноградное</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BB0736F"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_"_</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B492CC2"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13,1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146FA9A"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B089D8B"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30,5</w:t>
            </w:r>
          </w:p>
        </w:tc>
      </w:tr>
      <w:tr w:rsidR="005106D0" w:rsidRPr="007224C3" w14:paraId="57E811D1" w14:textId="77777777" w:rsidTr="00D03418">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D8E7EA8"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Пиво</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E9DD5DC"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_"_</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822492A"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119</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65DADFF"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28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2E8CC08"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23,5</w:t>
            </w:r>
          </w:p>
        </w:tc>
      </w:tr>
      <w:tr w:rsidR="005106D0" w:rsidRPr="007224C3" w14:paraId="2653D3D7" w14:textId="77777777" w:rsidTr="00D03418">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D0060A1"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Табак</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287FB4D"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тыс. т</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5C0615D"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22,5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063DC97"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34</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2126259"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151,1</w:t>
            </w:r>
          </w:p>
        </w:tc>
      </w:tr>
      <w:tr w:rsidR="005106D0" w:rsidRPr="007224C3" w14:paraId="232EFAF3" w14:textId="77777777" w:rsidTr="00D03418">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8F29AF8"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Махорка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E302152"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тыс. ящ.</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77AF8C4"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4337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3A656F5"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1650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F62FA73"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38,0</w:t>
            </w:r>
          </w:p>
        </w:tc>
      </w:tr>
      <w:tr w:rsidR="005106D0" w:rsidRPr="007224C3" w14:paraId="7F97AE86" w14:textId="77777777" w:rsidTr="00D03418">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C5E08B4"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Папиросы</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E80C5B9"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млрд шт.</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D2E0600"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106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9A905E3"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453D823"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9,4</w:t>
            </w:r>
          </w:p>
        </w:tc>
      </w:tr>
      <w:tr w:rsidR="005106D0" w:rsidRPr="007224C3" w14:paraId="69D3C2D6" w14:textId="77777777" w:rsidTr="00D03418">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90F3586"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Хлопчатобумажные ткани</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78556C8"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млн м</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15F0F4C"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3932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6DAABE1"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E00A557"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50,8</w:t>
            </w:r>
          </w:p>
        </w:tc>
      </w:tr>
      <w:tr w:rsidR="005106D0" w:rsidRPr="007224C3" w14:paraId="5FE5A37C" w14:textId="77777777" w:rsidTr="00D03418">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BE66979"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Шерстяные ткани</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1695013"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_"_</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031D253"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117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25EA9CC"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62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4A4C350"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52,9</w:t>
            </w:r>
          </w:p>
        </w:tc>
      </w:tr>
      <w:tr w:rsidR="005106D0" w:rsidRPr="007224C3" w14:paraId="3F4B5E56" w14:textId="77777777" w:rsidTr="00D03418">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7BDBA92"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Шелковые ткани</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4AB2372"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_"_</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47B8CEE" w14:textId="77777777" w:rsidR="00BC5781" w:rsidRPr="007224C3" w:rsidRDefault="00BC5781" w:rsidP="007224C3">
            <w:pPr>
              <w:pStyle w:val="rtecenter"/>
              <w:spacing w:before="0" w:beforeAutospacing="0" w:after="0" w:afterAutospacing="0"/>
              <w:jc w:val="both"/>
              <w:rPr>
                <w:color w:val="000000" w:themeColor="text1"/>
                <w:sz w:val="16"/>
                <w:szCs w:val="16"/>
              </w:rPr>
            </w:pPr>
            <w:r w:rsidRPr="007224C3">
              <w:rPr>
                <w:color w:val="000000" w:themeColor="text1"/>
                <w:sz w:val="16"/>
                <w:szCs w:val="16"/>
              </w:rPr>
              <w:t>74</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2DA4900"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B2F43DD"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47,2</w:t>
            </w:r>
          </w:p>
        </w:tc>
      </w:tr>
      <w:tr w:rsidR="005106D0" w:rsidRPr="007224C3" w14:paraId="3F8C21BA" w14:textId="77777777" w:rsidTr="00D03418">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96ED60B"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Льняные ткани</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C1644CE"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_"_</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D5A6063"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281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F308FBA"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110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506C3A4"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39,1</w:t>
            </w:r>
          </w:p>
        </w:tc>
      </w:tr>
      <w:tr w:rsidR="005106D0" w:rsidRPr="007224C3" w14:paraId="020B297B" w14:textId="77777777" w:rsidTr="00D03418">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DF6AA6B"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Чулки-носки</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AF4C081"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млн пар</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A8A1BF6"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416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F5F7306"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103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BCC9208"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24,7</w:t>
            </w:r>
          </w:p>
        </w:tc>
      </w:tr>
      <w:tr w:rsidR="005106D0" w:rsidRPr="007224C3" w14:paraId="0CDE211F" w14:textId="77777777" w:rsidTr="00D03418">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1430EBB"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Кожаная обувь</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498D483"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_"_</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61D4F04"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209</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D6D4AB0"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4D7261E"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21,5</w:t>
            </w:r>
          </w:p>
        </w:tc>
      </w:tr>
      <w:tr w:rsidR="005106D0" w:rsidRPr="007224C3" w14:paraId="1A1B151F" w14:textId="77777777" w:rsidTr="00D03418">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0A95C08"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Резиновая обувь</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C3C7A78"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_"_</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7332615"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80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048E154"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5,7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6F903FF"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7,1</w:t>
            </w:r>
          </w:p>
        </w:tc>
      </w:tr>
    </w:tbl>
    <w:p w14:paraId="1C06130E"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Увеличение с/х заготовок связано с восстановлением и развитием сельского хозяйства. Демобилизация части армии, увеличение тракторного и автомобильного парка совхозов и МТС, усиление снабжения совхозов, МТС и колхозов горючим позволяют быстро восстановить зерновое хозяйство, производство большого числа технических культур, а также поголовье мелкого продуктивного скота. Большего времени потребует восстановление поголовья крупного рогатого скота и лошадей, а также таких отраслей сельского хозяйства, как садоводство, виноградарство.</w:t>
      </w:r>
    </w:p>
    <w:p w14:paraId="3015D1A6"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Внерыночное потребление будет сокращаться по мере демобилизации армии и уменьшения потребления некоторых видов сырья военной промышленностью. О том, какие в этом отношении имеются возможности, можно судить по следующим данным (в млн руб. по ценам 1944 г.):</w:t>
      </w:r>
    </w:p>
    <w:tbl>
      <w:tblPr>
        <w:tblW w:w="0" w:type="auto"/>
        <w:tblBorders>
          <w:top w:val="outset" w:sz="6" w:space="0" w:color="auto"/>
          <w:left w:val="outset" w:sz="6" w:space="0" w:color="auto"/>
          <w:bottom w:val="outset" w:sz="6" w:space="0" w:color="auto"/>
          <w:right w:val="outset" w:sz="6" w:space="0" w:color="auto"/>
        </w:tblBorders>
        <w:shd w:val="clear" w:color="auto" w:fill="F2EEE1"/>
        <w:tblCellMar>
          <w:left w:w="0" w:type="dxa"/>
          <w:right w:w="0" w:type="dxa"/>
        </w:tblCellMar>
        <w:tblLook w:val="04A0" w:firstRow="1" w:lastRow="0" w:firstColumn="1" w:lastColumn="0" w:noHBand="0" w:noVBand="1"/>
      </w:tblPr>
      <w:tblGrid>
        <w:gridCol w:w="1924"/>
        <w:gridCol w:w="455"/>
        <w:gridCol w:w="498"/>
        <w:gridCol w:w="446"/>
        <w:gridCol w:w="498"/>
        <w:gridCol w:w="914"/>
        <w:gridCol w:w="914"/>
      </w:tblGrid>
      <w:tr w:rsidR="005106D0" w:rsidRPr="007224C3" w14:paraId="3C8E0DD9" w14:textId="77777777" w:rsidTr="00D03418">
        <w:tc>
          <w:tcPr>
            <w:tcW w:w="0" w:type="auto"/>
            <w:vMerge w:val="restart"/>
            <w:tcBorders>
              <w:top w:val="outset" w:sz="6" w:space="0" w:color="auto"/>
              <w:left w:val="outset" w:sz="6" w:space="0" w:color="auto"/>
              <w:bottom w:val="outset" w:sz="6" w:space="0" w:color="auto"/>
              <w:right w:val="outset" w:sz="6" w:space="0" w:color="auto"/>
            </w:tcBorders>
            <w:shd w:val="clear" w:color="auto" w:fill="auto"/>
            <w:vAlign w:val="center"/>
            <w:hideMark/>
          </w:tcPr>
          <w:p w14:paraId="5018890F" w14:textId="77777777" w:rsidR="00BC5781" w:rsidRPr="007224C3" w:rsidRDefault="00BC578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w:t>
            </w:r>
          </w:p>
        </w:tc>
        <w:tc>
          <w:tcPr>
            <w:tcW w:w="0" w:type="auto"/>
            <w:gridSpan w:val="4"/>
            <w:tcBorders>
              <w:top w:val="outset" w:sz="6" w:space="0" w:color="auto"/>
              <w:left w:val="outset" w:sz="6" w:space="0" w:color="auto"/>
              <w:bottom w:val="outset" w:sz="6" w:space="0" w:color="auto"/>
              <w:right w:val="outset" w:sz="6" w:space="0" w:color="auto"/>
            </w:tcBorders>
            <w:shd w:val="clear" w:color="auto" w:fill="auto"/>
            <w:vAlign w:val="center"/>
            <w:hideMark/>
          </w:tcPr>
          <w:p w14:paraId="584EEC09"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План использования</w:t>
            </w:r>
          </w:p>
        </w:tc>
        <w:tc>
          <w:tcPr>
            <w:tcW w:w="0" w:type="auto"/>
            <w:gridSpan w:val="2"/>
            <w:tcBorders>
              <w:top w:val="outset" w:sz="6" w:space="0" w:color="auto"/>
              <w:left w:val="outset" w:sz="6" w:space="0" w:color="auto"/>
              <w:bottom w:val="outset" w:sz="6" w:space="0" w:color="auto"/>
              <w:right w:val="outset" w:sz="6" w:space="0" w:color="auto"/>
            </w:tcBorders>
            <w:shd w:val="clear" w:color="auto" w:fill="auto"/>
            <w:vAlign w:val="center"/>
            <w:hideMark/>
          </w:tcPr>
          <w:p w14:paraId="66C206DC"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Удельный вес рынка (в %)</w:t>
            </w:r>
          </w:p>
        </w:tc>
      </w:tr>
      <w:tr w:rsidR="005106D0" w:rsidRPr="007224C3" w14:paraId="1D0B8F54" w14:textId="77777777" w:rsidTr="00D03418">
        <w:tc>
          <w:tcPr>
            <w:tcW w:w="0" w:type="auto"/>
            <w:vMerge/>
            <w:tcBorders>
              <w:top w:val="outset" w:sz="6" w:space="0" w:color="auto"/>
              <w:left w:val="outset" w:sz="6" w:space="0" w:color="auto"/>
              <w:bottom w:val="outset" w:sz="6" w:space="0" w:color="auto"/>
              <w:right w:val="outset" w:sz="6" w:space="0" w:color="auto"/>
            </w:tcBorders>
            <w:shd w:val="clear" w:color="auto" w:fill="auto"/>
            <w:vAlign w:val="center"/>
            <w:hideMark/>
          </w:tcPr>
          <w:p w14:paraId="30B61533" w14:textId="77777777" w:rsidR="00BC5781" w:rsidRPr="007224C3" w:rsidRDefault="00BC5781" w:rsidP="007224C3">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shd w:val="clear" w:color="auto" w:fill="auto"/>
            <w:vAlign w:val="center"/>
            <w:hideMark/>
          </w:tcPr>
          <w:p w14:paraId="5458176C"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I кв. 1939 г.</w:t>
            </w:r>
          </w:p>
        </w:tc>
        <w:tc>
          <w:tcPr>
            <w:tcW w:w="0" w:type="auto"/>
            <w:gridSpan w:val="2"/>
            <w:tcBorders>
              <w:top w:val="outset" w:sz="6" w:space="0" w:color="auto"/>
              <w:left w:val="outset" w:sz="6" w:space="0" w:color="auto"/>
              <w:bottom w:val="outset" w:sz="6" w:space="0" w:color="auto"/>
              <w:right w:val="outset" w:sz="6" w:space="0" w:color="auto"/>
            </w:tcBorders>
            <w:shd w:val="clear" w:color="auto" w:fill="auto"/>
            <w:vAlign w:val="center"/>
            <w:hideMark/>
          </w:tcPr>
          <w:p w14:paraId="52877887"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I кв. 1944 г.</w:t>
            </w:r>
          </w:p>
        </w:tc>
        <w:tc>
          <w:tcPr>
            <w:tcW w:w="0" w:type="auto"/>
            <w:vMerge w:val="restart"/>
            <w:tcBorders>
              <w:top w:val="outset" w:sz="6" w:space="0" w:color="auto"/>
              <w:left w:val="outset" w:sz="6" w:space="0" w:color="auto"/>
              <w:bottom w:val="outset" w:sz="6" w:space="0" w:color="auto"/>
              <w:right w:val="outset" w:sz="6" w:space="0" w:color="auto"/>
            </w:tcBorders>
            <w:shd w:val="clear" w:color="auto" w:fill="auto"/>
            <w:vAlign w:val="center"/>
            <w:hideMark/>
          </w:tcPr>
          <w:p w14:paraId="3227BB45"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I кв. 1939 г.</w:t>
            </w:r>
          </w:p>
        </w:tc>
        <w:tc>
          <w:tcPr>
            <w:tcW w:w="0" w:type="auto"/>
            <w:vMerge w:val="restart"/>
            <w:tcBorders>
              <w:top w:val="outset" w:sz="6" w:space="0" w:color="auto"/>
              <w:left w:val="outset" w:sz="6" w:space="0" w:color="auto"/>
              <w:bottom w:val="outset" w:sz="6" w:space="0" w:color="auto"/>
              <w:right w:val="outset" w:sz="6" w:space="0" w:color="auto"/>
            </w:tcBorders>
            <w:shd w:val="clear" w:color="auto" w:fill="auto"/>
            <w:vAlign w:val="center"/>
            <w:hideMark/>
          </w:tcPr>
          <w:p w14:paraId="394812F2"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I кв. 1944 г.</w:t>
            </w:r>
          </w:p>
        </w:tc>
      </w:tr>
      <w:tr w:rsidR="005106D0" w:rsidRPr="007224C3" w14:paraId="32B67AB6" w14:textId="77777777" w:rsidTr="00D03418">
        <w:tc>
          <w:tcPr>
            <w:tcW w:w="0" w:type="auto"/>
            <w:vMerge/>
            <w:tcBorders>
              <w:top w:val="outset" w:sz="6" w:space="0" w:color="auto"/>
              <w:left w:val="outset" w:sz="6" w:space="0" w:color="auto"/>
              <w:bottom w:val="outset" w:sz="6" w:space="0" w:color="auto"/>
              <w:right w:val="outset" w:sz="6" w:space="0" w:color="auto"/>
            </w:tcBorders>
            <w:shd w:val="clear" w:color="auto" w:fill="auto"/>
            <w:vAlign w:val="center"/>
            <w:hideMark/>
          </w:tcPr>
          <w:p w14:paraId="5F8652F2" w14:textId="77777777" w:rsidR="00BC5781" w:rsidRPr="007224C3" w:rsidRDefault="00BC5781" w:rsidP="007224C3">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F28E80E"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рынок</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F5B2845"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прочие</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724A7FA"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рынок</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44CCB2F"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прочие</w:t>
            </w:r>
          </w:p>
        </w:tc>
        <w:tc>
          <w:tcPr>
            <w:tcW w:w="0" w:type="auto"/>
            <w:vMerge/>
            <w:tcBorders>
              <w:top w:val="outset" w:sz="6" w:space="0" w:color="auto"/>
              <w:left w:val="outset" w:sz="6" w:space="0" w:color="auto"/>
              <w:bottom w:val="outset" w:sz="6" w:space="0" w:color="auto"/>
              <w:right w:val="outset" w:sz="6" w:space="0" w:color="auto"/>
            </w:tcBorders>
            <w:shd w:val="clear" w:color="auto" w:fill="auto"/>
            <w:vAlign w:val="center"/>
            <w:hideMark/>
          </w:tcPr>
          <w:p w14:paraId="311B87BE" w14:textId="77777777" w:rsidR="00BC5781" w:rsidRPr="007224C3" w:rsidRDefault="00BC5781" w:rsidP="007224C3">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shd w:val="clear" w:color="auto" w:fill="auto"/>
            <w:vAlign w:val="center"/>
            <w:hideMark/>
          </w:tcPr>
          <w:p w14:paraId="08334A4F" w14:textId="77777777" w:rsidR="00BC5781" w:rsidRPr="007224C3" w:rsidRDefault="00BC5781" w:rsidP="007224C3">
            <w:pPr>
              <w:spacing w:after="0" w:line="240" w:lineRule="auto"/>
              <w:jc w:val="both"/>
              <w:rPr>
                <w:rFonts w:ascii="Times New Roman" w:hAnsi="Times New Roman"/>
                <w:color w:val="000000" w:themeColor="text1"/>
                <w:sz w:val="16"/>
                <w:szCs w:val="16"/>
              </w:rPr>
            </w:pPr>
          </w:p>
        </w:tc>
      </w:tr>
      <w:tr w:rsidR="005106D0" w:rsidRPr="007224C3" w14:paraId="5057983E" w14:textId="77777777" w:rsidTr="00D03418">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D8E72EF"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Все планируемые товары</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CDBF3FE"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18 631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D2C47D1"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1368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6CBF02C"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5526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8C99A42"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7246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92F9A64"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93,2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2429B97"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43,3</w:t>
            </w:r>
          </w:p>
        </w:tc>
      </w:tr>
      <w:tr w:rsidR="005106D0" w:rsidRPr="007224C3" w14:paraId="6CF9341C" w14:textId="77777777" w:rsidTr="00D03418">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B7858B1"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в том числе: Мясопродукты</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2EF6ACC"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1475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5E0EE8D"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329</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12C53E9"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838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C9C16CB"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710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B233B0C"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81,2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19CF1E9"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54,4</w:t>
            </w:r>
          </w:p>
        </w:tc>
      </w:tr>
      <w:tr w:rsidR="005106D0" w:rsidRPr="007224C3" w14:paraId="539D42F8" w14:textId="77777777" w:rsidTr="00D03418">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F51066A"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Сахар</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26FEE3E"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1850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B13A348"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42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B6BC412"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101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04DA1E1"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209</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D482F8C"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97,8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554DC88"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32,6</w:t>
            </w:r>
          </w:p>
        </w:tc>
      </w:tr>
      <w:tr w:rsidR="005106D0" w:rsidRPr="007224C3" w14:paraId="6438692A" w14:textId="77777777" w:rsidTr="00D03418">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31EFDC8"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Хлопчатобумажные ткани</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6FACBC1"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1997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E678CBF"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310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58F48DD"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170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4EB1916"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1283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A2E0974"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86,6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32D8446"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11,7</w:t>
            </w:r>
          </w:p>
        </w:tc>
      </w:tr>
      <w:tr w:rsidR="005106D0" w:rsidRPr="007224C3" w14:paraId="56E93E4C" w14:textId="77777777" w:rsidTr="00D03418">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3275423"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Шерстяные ткани</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6D3A16C"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275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FE49CDA"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110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0623155"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82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20B776E"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429</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CF159A8"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71,4</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2093955"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16,0</w:t>
            </w:r>
          </w:p>
        </w:tc>
      </w:tr>
      <w:tr w:rsidR="005106D0" w:rsidRPr="007224C3" w14:paraId="1975EE39" w14:textId="77777777" w:rsidTr="00D03418">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D07BEB1"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Швейные товары</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D2B5CA0"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1383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38D352D"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B3DCB07"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181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CA2908E"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3905639"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348C338"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98,6</w:t>
            </w:r>
          </w:p>
        </w:tc>
      </w:tr>
      <w:tr w:rsidR="005106D0" w:rsidRPr="007224C3" w14:paraId="3EB4679B" w14:textId="77777777" w:rsidTr="00D03418">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C40C0FF"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Трикотаж</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B38E1A3"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499</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034EC61"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95D07A0"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179</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0FA5C6A"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FB83FCC"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96,9</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A746786"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73,4</w:t>
            </w:r>
          </w:p>
        </w:tc>
      </w:tr>
      <w:tr w:rsidR="005106D0" w:rsidRPr="007224C3" w14:paraId="27750B10" w14:textId="77777777" w:rsidTr="00D03418">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9F77CAD"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Кожаная обувь</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676CABF" w14:textId="77777777" w:rsidR="00BC5781" w:rsidRPr="007224C3" w:rsidRDefault="00BC5781" w:rsidP="007224C3">
            <w:pPr>
              <w:pStyle w:val="rtecenter"/>
              <w:spacing w:before="0" w:beforeAutospacing="0" w:after="0" w:afterAutospacing="0"/>
              <w:jc w:val="both"/>
              <w:rPr>
                <w:color w:val="000000" w:themeColor="text1"/>
                <w:sz w:val="16"/>
                <w:szCs w:val="16"/>
              </w:rPr>
            </w:pPr>
            <w:r w:rsidRPr="007224C3">
              <w:rPr>
                <w:color w:val="000000" w:themeColor="text1"/>
                <w:sz w:val="16"/>
                <w:szCs w:val="16"/>
              </w:rPr>
              <w:t>766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64CC951" w14:textId="77777777" w:rsidR="00BC5781" w:rsidRPr="007224C3" w:rsidRDefault="00BC5781" w:rsidP="007224C3">
            <w:pPr>
              <w:pStyle w:val="rtecenter"/>
              <w:spacing w:before="0" w:beforeAutospacing="0" w:after="0" w:afterAutospacing="0"/>
              <w:jc w:val="both"/>
              <w:rPr>
                <w:color w:val="000000" w:themeColor="text1"/>
                <w:sz w:val="16"/>
                <w:szCs w:val="16"/>
              </w:rPr>
            </w:pPr>
            <w:r w:rsidRPr="007224C3">
              <w:rPr>
                <w:color w:val="000000" w:themeColor="text1"/>
                <w:sz w:val="16"/>
                <w:szCs w:val="16"/>
              </w:rPr>
              <w:t>67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AD410A7" w14:textId="77777777" w:rsidR="00BC5781" w:rsidRPr="007224C3" w:rsidRDefault="00BC5781" w:rsidP="007224C3">
            <w:pPr>
              <w:pStyle w:val="rtecenter"/>
              <w:spacing w:before="0" w:beforeAutospacing="0" w:after="0" w:afterAutospacing="0"/>
              <w:jc w:val="both"/>
              <w:rPr>
                <w:color w:val="000000" w:themeColor="text1"/>
                <w:sz w:val="16"/>
                <w:szCs w:val="16"/>
              </w:rPr>
            </w:pPr>
            <w:r w:rsidRPr="007224C3">
              <w:rPr>
                <w:color w:val="000000" w:themeColor="text1"/>
                <w:sz w:val="16"/>
                <w:szCs w:val="16"/>
              </w:rPr>
              <w:t>115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48FA38C" w14:textId="77777777" w:rsidR="00BC5781" w:rsidRPr="007224C3" w:rsidRDefault="00BC5781" w:rsidP="007224C3">
            <w:pPr>
              <w:pStyle w:val="rtecenter"/>
              <w:spacing w:before="0" w:beforeAutospacing="0" w:after="0" w:afterAutospacing="0"/>
              <w:jc w:val="both"/>
              <w:rPr>
                <w:color w:val="000000" w:themeColor="text1"/>
                <w:sz w:val="16"/>
                <w:szCs w:val="16"/>
              </w:rPr>
            </w:pPr>
            <w:r w:rsidRPr="007224C3">
              <w:rPr>
                <w:color w:val="000000" w:themeColor="text1"/>
                <w:sz w:val="16"/>
                <w:szCs w:val="16"/>
              </w:rPr>
              <w:t>466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581F346" w14:textId="77777777" w:rsidR="00BC5781" w:rsidRPr="007224C3" w:rsidRDefault="00BC5781" w:rsidP="007224C3">
            <w:pPr>
              <w:pStyle w:val="rtecenter"/>
              <w:spacing w:before="0" w:beforeAutospacing="0" w:after="0" w:afterAutospacing="0"/>
              <w:jc w:val="both"/>
              <w:rPr>
                <w:color w:val="000000" w:themeColor="text1"/>
                <w:sz w:val="16"/>
                <w:szCs w:val="16"/>
              </w:rPr>
            </w:pPr>
            <w:r w:rsidRPr="007224C3">
              <w:rPr>
                <w:color w:val="000000" w:themeColor="text1"/>
                <w:sz w:val="16"/>
                <w:szCs w:val="16"/>
              </w:rPr>
              <w:t>91,9</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55E8DDC" w14:textId="77777777" w:rsidR="00BC5781" w:rsidRPr="007224C3" w:rsidRDefault="00BC5781" w:rsidP="007224C3">
            <w:pPr>
              <w:pStyle w:val="rtecenter"/>
              <w:spacing w:before="0" w:beforeAutospacing="0" w:after="0" w:afterAutospacing="0"/>
              <w:jc w:val="both"/>
              <w:rPr>
                <w:color w:val="000000" w:themeColor="text1"/>
                <w:sz w:val="16"/>
                <w:szCs w:val="16"/>
              </w:rPr>
            </w:pPr>
            <w:r w:rsidRPr="007224C3">
              <w:rPr>
                <w:color w:val="000000" w:themeColor="text1"/>
                <w:sz w:val="16"/>
                <w:szCs w:val="16"/>
              </w:rPr>
              <w:t>19,8</w:t>
            </w:r>
          </w:p>
        </w:tc>
      </w:tr>
      <w:tr w:rsidR="005106D0" w:rsidRPr="007224C3" w14:paraId="3BF9A841" w14:textId="77777777" w:rsidTr="00D03418">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0362BFE"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Резиновая обувь</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9429E8B"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319</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BC90A39"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A99EA60"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DC12B28"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6A185E9"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99,4</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D9AF017"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90,9</w:t>
            </w:r>
          </w:p>
        </w:tc>
      </w:tr>
      <w:tr w:rsidR="005106D0" w:rsidRPr="007224C3" w14:paraId="335A13BB" w14:textId="77777777" w:rsidTr="00D03418">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3B88FDD"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Мыло хозяйственное</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A7411B7"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407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1D859D9"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3FB8E70"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153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493FF6E"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101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CBB0743"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97,1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E12692F"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60,2</w:t>
            </w:r>
          </w:p>
        </w:tc>
      </w:tr>
      <w:tr w:rsidR="005106D0" w:rsidRPr="007224C3" w14:paraId="305D04B0" w14:textId="77777777" w:rsidTr="00D03418">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1B3B6BD"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Спички</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6764748"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550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29947BD"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D61C213"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103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A5F3762"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37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1DC8B55"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4DA28D3"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73,6</w:t>
            </w:r>
          </w:p>
        </w:tc>
      </w:tr>
    </w:tbl>
    <w:p w14:paraId="7B89AC33"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После окончания войны будет иметься возможность расширения производства водки и водочных изделий за счет высвобождения из военной промышленности и военного потребления части спирта.</w:t>
      </w:r>
    </w:p>
    <w:p w14:paraId="6BA01FAE"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Возможности расширения импорта товаров широкого потребления определяются состоянием наших валютных резервов, их использованием и характером наших внешних экономических отношений, в частности — размерами и сроками иностранных кредитов. Следует учитывать возможное сокращение поставок взаймы и в аренду, играющих в настоящее время по ряду товаров широкого потребления крупную роль.</w:t>
      </w:r>
    </w:p>
    <w:p w14:paraId="78EC397D"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Учесть влияние всех указанных выше факторов и тем самым подсчитать возможное увеличение объема розничного товарооборота государственно-кооперативной торговли после окончания войны не представляется пока возможным ввиду отсутствия необходимых для этого материалов.</w:t>
      </w:r>
    </w:p>
    <w:p w14:paraId="1966642D"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lastRenderedPageBreak/>
        <w:t>При увеличении объема розничного товарооборота вдвое сравнительно с нынешним уровнем (что в натуральном выражении составит около 85 % довоенного розничного товарооборота), из денежной массы, выпущенной в обращение до 7 марта 1944 г. (60 млрд руб.), в оборот будет вовлечено лишь около 20 млрд руб. Связанное с таким расширением розничного товарооборота увеличение доходов госбюджета (примерно на 12-15 млрд руб. в квартал, или 50 млрд руб. в год) позволит в течение года изъять из обращения денежных знаков на сумму до 20 млрд руб. В обращении останется избыточная денежная масса до 20 млрд руб.</w:t>
      </w:r>
    </w:p>
    <w:p w14:paraId="081DDE41" w14:textId="77777777" w:rsidR="00BC5781" w:rsidRPr="007224C3" w:rsidRDefault="00BC5781" w:rsidP="007224C3">
      <w:pPr>
        <w:pStyle w:val="rtecenter"/>
        <w:spacing w:before="0" w:beforeAutospacing="0" w:after="0" w:afterAutospacing="0"/>
        <w:jc w:val="both"/>
        <w:rPr>
          <w:color w:val="000000" w:themeColor="text1"/>
          <w:sz w:val="16"/>
          <w:szCs w:val="16"/>
        </w:rPr>
      </w:pPr>
      <w:r w:rsidRPr="007224C3">
        <w:rPr>
          <w:color w:val="000000" w:themeColor="text1"/>
          <w:sz w:val="16"/>
          <w:szCs w:val="16"/>
        </w:rPr>
        <w:t>8. Необходимость повышения цен государственно-кооперативной торговли</w:t>
      </w:r>
    </w:p>
    <w:p w14:paraId="7CE41729"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Независимо от того, какие будут иметься возможности расширения объема розничного товарооборота после окончания войны, изъятие из обращения или вовлечение в оборот всей избыточной денежной массы посредством соответствующего увеличения продажи населению товаров по действующим ценам государственно-кооперативной торговли сильно затянуло бы реформу, при большом напряжении финансового положения государства, и привело бы к сосредоточению товарных масс в руках лиц, накопивших за время войны крупные денежные суммы, в ущерб снабжению товарами и продуктами лиц, получающих фиксированные доходы (зарплата, пенсии и т. п.). Вплоть до завершения реформы сохранялась бы избыточная денежная масса в обращении и, стало быть, продолжалось ее отрицательное влияние на хозяйственный оборот. Владельцы крупных денежных сумм получили бы возможность приобретать товары по относительно низким ценам государственно-кооперативной торговли, тогда как накопление у них крупных денежных сумм является следствием в основном продажи и перепродажи товаров и продуктов по высоким рыночным ценам.</w:t>
      </w:r>
    </w:p>
    <w:p w14:paraId="55597EE6"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Отсюда следует, что для изъятия из обращения части избыточной денежной массы и вовлечения в оборот остальной ее части потребуется повышение цен государственно-кооперативной торговли.</w:t>
      </w:r>
    </w:p>
    <w:p w14:paraId="656612E5"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Повышение цен государственно-кооперативной торговли должно будет иметь в проведении денежной реформы крупнейшее значение. Оно позволит достичь соответствия между количеством денег в обращении и потребностями хозяйственного оборота в деньгах, провести денежную реформу в кратчайшие сроки и без особого напряжения государственного хозяйства[</w:t>
      </w:r>
      <w:bookmarkStart w:id="10" w:name="_rtfnr_6"/>
      <w:r w:rsidR="007E0398" w:rsidRPr="007224C3">
        <w:rPr>
          <w:color w:val="000000" w:themeColor="text1"/>
          <w:sz w:val="16"/>
          <w:szCs w:val="16"/>
          <w:vertAlign w:val="superscript"/>
        </w:rPr>
        <w:fldChar w:fldCharType="begin"/>
      </w:r>
      <w:r w:rsidRPr="007224C3">
        <w:rPr>
          <w:color w:val="000000" w:themeColor="text1"/>
          <w:sz w:val="16"/>
          <w:szCs w:val="16"/>
          <w:vertAlign w:val="superscript"/>
        </w:rPr>
        <w:instrText xml:space="preserve"> HYPERLINK "http://istmat.info/node/62297" \l "_rtfnr_6.1" </w:instrText>
      </w:r>
      <w:r w:rsidR="007E0398" w:rsidRPr="007224C3">
        <w:rPr>
          <w:color w:val="000000" w:themeColor="text1"/>
          <w:sz w:val="16"/>
          <w:szCs w:val="16"/>
          <w:vertAlign w:val="superscript"/>
        </w:rPr>
        <w:fldChar w:fldCharType="separate"/>
      </w:r>
      <w:r w:rsidRPr="007224C3">
        <w:rPr>
          <w:rStyle w:val="a5"/>
          <w:rFonts w:eastAsiaTheme="majorEastAsia"/>
          <w:color w:val="000000" w:themeColor="text1"/>
          <w:sz w:val="16"/>
          <w:szCs w:val="16"/>
          <w:u w:val="none"/>
          <w:vertAlign w:val="superscript"/>
        </w:rPr>
        <w:t>******</w:t>
      </w:r>
      <w:r w:rsidR="007E0398" w:rsidRPr="007224C3">
        <w:rPr>
          <w:color w:val="000000" w:themeColor="text1"/>
          <w:sz w:val="16"/>
          <w:szCs w:val="16"/>
          <w:vertAlign w:val="superscript"/>
        </w:rPr>
        <w:fldChar w:fldCharType="end"/>
      </w:r>
      <w:bookmarkEnd w:id="10"/>
      <w:r w:rsidRPr="007224C3">
        <w:rPr>
          <w:color w:val="000000" w:themeColor="text1"/>
          <w:sz w:val="16"/>
          <w:szCs w:val="16"/>
        </w:rPr>
        <w:t>].</w:t>
      </w:r>
    </w:p>
    <w:p w14:paraId="17EFD720"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а) Повышение цен увеличит доходы госбюджета и поступления наличных денег в кассы Госбанка, что позволит не только удовлетворить все необходимые потребности государства (в том числе — связанные с восстановительными работами), не прибегая к денежной эмиссии, но и изъять часть денег из обращения.</w:t>
      </w:r>
    </w:p>
    <w:p w14:paraId="671CAABC"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б) Насыщение платежеспособного спроса на товары и продукты через каналы государственно-кооперативной торговли по повышенным ценам будет содействовать снижению рыночных цен, преодолению разрыва между рыночными ценами и ценами государственно-кооперативной торговли. Тем самым в ходе реформы будут создаваться условия для отмены системы рационирования (при условии увеличения товарных масс в руках государства, направляемых в розничную продажу через государственно-кооперативную торговлю).</w:t>
      </w:r>
    </w:p>
    <w:p w14:paraId="51CECC68"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в) Продажа товаров по повышенным ценам ограничит сосредоточение их в руках лиц, накопивших большие денежные суммы. Посредством дифференцированного повышения цен и тарифов, при сохранении на определенный срок нормированного снабжения по пониженным ценам, достигается охранение в полной мере интересов рабочих и служащих.</w:t>
      </w:r>
    </w:p>
    <w:p w14:paraId="05849105"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г) По мере насыщения платежеспособного спроса по первоначально установленным повышенным ценам государственно-кооперативной торговли (коммерческим ценам), возможно и необходимо будет снижение этих цен, что будет содействовать укреплению рубля в ходе реформы, стимулировать сбережения. Фактические цены государственно-кооперативной торговли окажутся к моменту обмена повышенными в меньшей мере, чем это вытекает из нынешнего соотношения между денежной массой и потребностями хозяйственного оборота в деньгах.</w:t>
      </w:r>
    </w:p>
    <w:p w14:paraId="49BC1B1F"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д) Соответствие между выпущенной в обращение денежной массой и потребностями хозяйственного оборота в деньгах достигается до завершения реформы. Это позволит ограничить задачи обмена ныне обращающихся денежных знаков на новые изменением реквизитов денежных знаков и деноминацией, что исключит напряжение в области товарооборота, образование разменного кризиса: в период обмена старые денежные знаки будут обращаться наравне с новыми, приниматься в платежи не менее охотно, чем денежные знаки нового образца.</w:t>
      </w:r>
    </w:p>
    <w:p w14:paraId="506957D7"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е) В ходе реформы будут складываться те экономические отношения, на базе которых завершается реформа (новая система цен и тарифов, заработной платы и т. д.), чем в максимальной степени обеспечивается твердый успех всей денежной реформы.</w:t>
      </w:r>
    </w:p>
    <w:p w14:paraId="745BBC4D" w14:textId="77777777" w:rsidR="00BC5781" w:rsidRPr="007224C3" w:rsidRDefault="00BC5781" w:rsidP="007224C3">
      <w:pPr>
        <w:pStyle w:val="rtecenter"/>
        <w:spacing w:before="0" w:beforeAutospacing="0" w:after="0" w:afterAutospacing="0"/>
        <w:jc w:val="both"/>
        <w:rPr>
          <w:color w:val="000000" w:themeColor="text1"/>
          <w:sz w:val="16"/>
          <w:szCs w:val="16"/>
        </w:rPr>
      </w:pPr>
      <w:r w:rsidRPr="007224C3">
        <w:rPr>
          <w:color w:val="000000" w:themeColor="text1"/>
          <w:sz w:val="16"/>
          <w:szCs w:val="16"/>
        </w:rPr>
        <w:t>9. Этапы реформы</w:t>
      </w:r>
    </w:p>
    <w:p w14:paraId="7E53D712"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Таким образом, соответствие между количеством денег в обращении и потребностями хозяйственного оборота в деньгах в ходе денежной реформы может быть достигнуто следующими дополняющими друг друга путями:</w:t>
      </w:r>
    </w:p>
    <w:p w14:paraId="716ECC8A"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1. Изъятие из обращения части денежной массы на основе превышения доходов госбюджета над его расходами и на основе активного кассового плана Госбанка. При этом необходимо будет принять все меры к тому, чтобы в первую очередь затронуть денежные суммы, накопленные за время войны у рыночных продавцов за счет продажи и перепродажи товаров и продуктов по весьма высоким рыночным ценам[</w:t>
      </w:r>
      <w:bookmarkStart w:id="11" w:name="_rtfnr_7"/>
      <w:r w:rsidR="007E0398" w:rsidRPr="007224C3">
        <w:rPr>
          <w:color w:val="000000" w:themeColor="text1"/>
          <w:sz w:val="16"/>
          <w:szCs w:val="16"/>
          <w:vertAlign w:val="superscript"/>
        </w:rPr>
        <w:fldChar w:fldCharType="begin"/>
      </w:r>
      <w:r w:rsidRPr="007224C3">
        <w:rPr>
          <w:color w:val="000000" w:themeColor="text1"/>
          <w:sz w:val="16"/>
          <w:szCs w:val="16"/>
          <w:vertAlign w:val="superscript"/>
        </w:rPr>
        <w:instrText xml:space="preserve"> HYPERLINK "http://istmat.info/node/62297" \l "_rtfnr_7.1" </w:instrText>
      </w:r>
      <w:r w:rsidR="007E0398" w:rsidRPr="007224C3">
        <w:rPr>
          <w:color w:val="000000" w:themeColor="text1"/>
          <w:sz w:val="16"/>
          <w:szCs w:val="16"/>
          <w:vertAlign w:val="superscript"/>
        </w:rPr>
        <w:fldChar w:fldCharType="separate"/>
      </w:r>
      <w:r w:rsidRPr="007224C3">
        <w:rPr>
          <w:rStyle w:val="a5"/>
          <w:rFonts w:eastAsiaTheme="majorEastAsia"/>
          <w:color w:val="000000" w:themeColor="text1"/>
          <w:sz w:val="16"/>
          <w:szCs w:val="16"/>
          <w:u w:val="none"/>
          <w:vertAlign w:val="superscript"/>
        </w:rPr>
        <w:t>*******</w:t>
      </w:r>
      <w:r w:rsidR="007E0398" w:rsidRPr="007224C3">
        <w:rPr>
          <w:color w:val="000000" w:themeColor="text1"/>
          <w:sz w:val="16"/>
          <w:szCs w:val="16"/>
          <w:vertAlign w:val="superscript"/>
        </w:rPr>
        <w:fldChar w:fldCharType="end"/>
      </w:r>
      <w:bookmarkEnd w:id="11"/>
      <w:r w:rsidRPr="007224C3">
        <w:rPr>
          <w:color w:val="000000" w:themeColor="text1"/>
          <w:sz w:val="16"/>
          <w:szCs w:val="16"/>
        </w:rPr>
        <w:t>].</w:t>
      </w:r>
    </w:p>
    <w:p w14:paraId="42A9C5D7"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2. Максимально возможное увеличение размеров розничного товарооборота государственно-кооперативной торговли и оборотов колхозной торговли за счет увеличения количества реализуемых товаров и продуктов.</w:t>
      </w:r>
    </w:p>
    <w:p w14:paraId="06179EC1"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3. Повышение цен государственно-кооперативной торговли, тем самым снижение покупательной силы выпущенной в обращение денежной массы до уровня, определяемого потребностями хозяйственного оборота в деньгах.</w:t>
      </w:r>
    </w:p>
    <w:p w14:paraId="5331F6D4"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Из указанных выше (стр. 7-8)[</w:t>
      </w:r>
      <w:bookmarkStart w:id="12" w:name="_rtfnr_8"/>
      <w:r w:rsidR="007E0398" w:rsidRPr="007224C3">
        <w:rPr>
          <w:color w:val="000000" w:themeColor="text1"/>
          <w:sz w:val="16"/>
          <w:szCs w:val="16"/>
          <w:vertAlign w:val="superscript"/>
        </w:rPr>
        <w:fldChar w:fldCharType="begin"/>
      </w:r>
      <w:r w:rsidRPr="007224C3">
        <w:rPr>
          <w:color w:val="000000" w:themeColor="text1"/>
          <w:sz w:val="16"/>
          <w:szCs w:val="16"/>
          <w:vertAlign w:val="superscript"/>
        </w:rPr>
        <w:instrText xml:space="preserve"> HYPERLINK "http://istmat.info/node/62297" \l "_rtfnr_8.1" </w:instrText>
      </w:r>
      <w:r w:rsidR="007E0398" w:rsidRPr="007224C3">
        <w:rPr>
          <w:color w:val="000000" w:themeColor="text1"/>
          <w:sz w:val="16"/>
          <w:szCs w:val="16"/>
          <w:vertAlign w:val="superscript"/>
        </w:rPr>
        <w:fldChar w:fldCharType="separate"/>
      </w:r>
      <w:r w:rsidRPr="007224C3">
        <w:rPr>
          <w:rStyle w:val="a5"/>
          <w:rFonts w:eastAsiaTheme="majorEastAsia"/>
          <w:color w:val="000000" w:themeColor="text1"/>
          <w:sz w:val="16"/>
          <w:szCs w:val="16"/>
          <w:u w:val="none"/>
          <w:vertAlign w:val="superscript"/>
        </w:rPr>
        <w:t>********</w:t>
      </w:r>
      <w:r w:rsidR="007E0398" w:rsidRPr="007224C3">
        <w:rPr>
          <w:color w:val="000000" w:themeColor="text1"/>
          <w:sz w:val="16"/>
          <w:szCs w:val="16"/>
          <w:vertAlign w:val="superscript"/>
        </w:rPr>
        <w:fldChar w:fldCharType="end"/>
      </w:r>
      <w:bookmarkEnd w:id="12"/>
      <w:r w:rsidRPr="007224C3">
        <w:rPr>
          <w:color w:val="000000" w:themeColor="text1"/>
          <w:sz w:val="16"/>
          <w:szCs w:val="16"/>
        </w:rPr>
        <w:t>] трех предпосылок успешного проведения денежной реформы, первая (создание и усиление активного баланса госбюджета и кассового плана Госбанка) и вторая (преодоление накопившегося за время войны избыточного платежеспособного спроса населения) могут быть достигнуты в короткие сроки при условии применения коммерческой торговли. Наиболее трудно достижимой является третья предпосылка — насыщение минимальных текущих потребностей населения в товарах и продуктах первой необходимости через государственно-кооперативную торговлю; она определяет тем самым продолжительность реформы, момент ее завершения.</w:t>
      </w:r>
    </w:p>
    <w:p w14:paraId="3ED6FD01"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Быстрое всеобщее повышение цен государственно-кооперативной торговли до уровня, обеспечивающего соответствие между платежеспособным спросом на товары и товарным предложением, нанесло бы большой ущерб снабжению товарами и продуктами лиц, получающих фиксированные доходы. Поэтому задача повышения цен до указанного уровня может быть разрешена лишь в несколько этапов, в меру насыщения минимальных текущих потребностей населения в товарах и продуктах. Этим и определяются этапы реформы.</w:t>
      </w:r>
    </w:p>
    <w:p w14:paraId="58B4EEF8"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Первый этап: сохранение действующих цен на товары нормированного снабжения и введение коммерческих цен на товары, реализуемые в порядке открытой торговли. Это позволит: а) в значительной мере преодолеть внеплановое перераспределение доходов, перекачку денежных средств в руки рыночных продавцов, б) добиться снижения рыночных цен, в) вовлечь в оборот большую часть избыточной денежной массы. Указанные результаты будут достигнуты в том случае, если: а) коммерческие цены будут установлены на уровне, близком к рыночным ценам, б) выделяемые для продажи по коммерческим ценам товарные фонды достаточны для удовлетворения платежеспособного спроса на товары по этим ценам в местах продажи, в) тем самым не только исключается возможность и необходимость дальнейшего повышения коммерческих цен, но обеспечиваются условия для их снижения.</w:t>
      </w:r>
    </w:p>
    <w:p w14:paraId="3040979B"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Начало коммерческой торговле в Москве уже положено</w:t>
      </w:r>
      <w:bookmarkStart w:id="13" w:name="_rtfnr1"/>
      <w:r w:rsidR="007E0398" w:rsidRPr="007224C3">
        <w:rPr>
          <w:color w:val="000000" w:themeColor="text1"/>
          <w:sz w:val="16"/>
          <w:szCs w:val="16"/>
        </w:rPr>
        <w:fldChar w:fldCharType="begin"/>
      </w:r>
      <w:r w:rsidRPr="007224C3">
        <w:rPr>
          <w:color w:val="000000" w:themeColor="text1"/>
          <w:sz w:val="16"/>
          <w:szCs w:val="16"/>
        </w:rPr>
        <w:instrText xml:space="preserve"> HYPERLINK "http://istmat.info/node/62297" \l "_rtfnr1.1" </w:instrText>
      </w:r>
      <w:r w:rsidR="007E0398" w:rsidRPr="007224C3">
        <w:rPr>
          <w:color w:val="000000" w:themeColor="text1"/>
          <w:sz w:val="16"/>
          <w:szCs w:val="16"/>
        </w:rPr>
        <w:fldChar w:fldCharType="separate"/>
      </w:r>
      <w:r w:rsidRPr="007224C3">
        <w:rPr>
          <w:rStyle w:val="a5"/>
          <w:rFonts w:eastAsiaTheme="majorEastAsia"/>
          <w:color w:val="000000" w:themeColor="text1"/>
          <w:sz w:val="16"/>
          <w:szCs w:val="16"/>
          <w:u w:val="none"/>
          <w:vertAlign w:val="superscript"/>
        </w:rPr>
        <w:t>10</w:t>
      </w:r>
      <w:r w:rsidR="007E0398" w:rsidRPr="007224C3">
        <w:rPr>
          <w:color w:val="000000" w:themeColor="text1"/>
          <w:sz w:val="16"/>
          <w:szCs w:val="16"/>
        </w:rPr>
        <w:fldChar w:fldCharType="end"/>
      </w:r>
      <w:bookmarkEnd w:id="13"/>
      <w:r w:rsidRPr="007224C3">
        <w:rPr>
          <w:color w:val="000000" w:themeColor="text1"/>
          <w:sz w:val="16"/>
          <w:szCs w:val="16"/>
        </w:rPr>
        <w:t>. Задача заключается в том, чтобы: а) определить более широкий круг товаров для продажи по коммерческим ценам, б) распространить коммерческую торговлю на другие города и районы. Эта задача может быть, по-видимому, полностью разрешена только после окончания войны за счет роста производства товаров широкого потребления и сокращения внерыночного потребления.</w:t>
      </w:r>
    </w:p>
    <w:p w14:paraId="3904E449"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Кроме алкогольных напитков и общественного питания (коммерческие столовые и рестораны), коммерческая торговля должна быть в первую очередь распространена на промтовары (текстиль, обувь, швейные товары, табак, керосин, спички), а также на предметы достаточного потребления (меха и меховые изделия, парфюмерия, ювелирные изделия) с тем, чтобы прирост продовольственных фондов в основном направлялся для улучшения карточного снабжения городского населения. Первоначальные коммерческие цены могут быть установлены на 20% ниже существующих рыночных цен или примерно в 10-15 раз выше цен государственно-кооперативной торговли в целом по всем товарам коммерческой торговли.</w:t>
      </w:r>
    </w:p>
    <w:p w14:paraId="0BB6893B"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Второй этап: Расширение коммерческой торговли, распространение ее на всю номенклатуру реализуемых в розничной торговле товаров, снижение цен коммерческой торговли и частичное повышение цен на некоторые товары и продукты нормированного снабжения, при одновременном сжатии объема нормированного снабжения за счет сокращения числа лиц, состоящих на нормированном снабжении, и исключения из нормированного снабжения некоторых товаров и продуктов (алкогольных напитков, ряда промтоваров).</w:t>
      </w:r>
    </w:p>
    <w:p w14:paraId="74BB6590"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Снижение коммерческих цен должно будет производиться последовательно, ориентируясь на снижающиеся рыночные цены и на увеличивающиеся товарные фонды, реализуемые по коммерческим ценам. Цены товаров нормированного снабжения должны повышаться дифференцированно, в зависимости от их отклонения от коммерческих цен и от значения товаров в потребительском бюджете. Сжатие объема и повышение цен нормированного снабжения должно сопровождаться повышением зарплаты, пенсий и пр. фиксированных доходов.</w:t>
      </w:r>
    </w:p>
    <w:p w14:paraId="543429F1"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Третий этап: Отмена нормированного снабжения, переход к открытой торговле всеми товарами и продуктами по единым розничным ценам, введение новой системы цен, тарифов, зарплаты, выпуск в обращение денежных знаков нового образца и объявление обмена на них ныне обращающихся денежных знаков.</w:t>
      </w:r>
    </w:p>
    <w:p w14:paraId="7039DA4A"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 xml:space="preserve">Цены открытой торговли устанавливаются на уровне ниже коммерческих цен, но выше цен нормированного снабжения. Если к моменту завершения реформы удастся изъять из обращения денежных знаков на сумму до 20 млрд руб., т. е. уменьшить денежную массу, выпущенную в обращение, до 40 млрд руб. и увеличить объем розничного товарооборота в натуральном выражении в 2 раза по сравнению с нынешним его объемом (это составит, как уже указывалось, примерно 85% объема довоенного розничного товарооборота), то цены открытой торговли могут быть установлены на уровне, превышающем примерно в 2 раза нынешние и в 2,5 раза — довоенные цены государственно-кооперативной торговли. По сравнению с первоначальными коммерческими ценами цены открытой торговли будут, при </w:t>
      </w:r>
      <w:r w:rsidRPr="007224C3">
        <w:rPr>
          <w:color w:val="000000" w:themeColor="text1"/>
          <w:sz w:val="16"/>
          <w:szCs w:val="16"/>
        </w:rPr>
        <w:lastRenderedPageBreak/>
        <w:t>указанных условиях, снижены в 5-7 раз. По ряду товаров в качестве цен открытой торговли могут быть сохранены установившиеся к моменту отмены нормированного снабжения цены коммерческой торговли, по ряду других товаров — цены, близкие к тем, по которым будет производиться нормированное снабжение к моменту его отмены.</w:t>
      </w:r>
    </w:p>
    <w:p w14:paraId="76783D9E" w14:textId="77777777" w:rsidR="00BC5781" w:rsidRPr="007224C3" w:rsidRDefault="00BC5781" w:rsidP="007224C3">
      <w:pPr>
        <w:pStyle w:val="rtecenter"/>
        <w:spacing w:before="0" w:beforeAutospacing="0" w:after="0" w:afterAutospacing="0"/>
        <w:jc w:val="both"/>
        <w:rPr>
          <w:color w:val="000000" w:themeColor="text1"/>
          <w:sz w:val="16"/>
          <w:szCs w:val="16"/>
        </w:rPr>
      </w:pPr>
      <w:r w:rsidRPr="007224C3">
        <w:rPr>
          <w:color w:val="000000" w:themeColor="text1"/>
          <w:sz w:val="16"/>
          <w:szCs w:val="16"/>
        </w:rPr>
        <w:t>10. Уровень стабилизации</w:t>
      </w:r>
    </w:p>
    <w:p w14:paraId="7DE0D699"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Под уровнем стабилизации подразумеваем: а) тот уровень цен, или иначе, уровень покупательной силы денег, который устанавливается и закрепляется в результате реформы и б) новый масштаб цен, который должен быть установлен при замене обращающихся ныне денежных знаков денежными знаками нового образца.</w:t>
      </w:r>
    </w:p>
    <w:p w14:paraId="3595A3B1"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Установленный в результате реформы уровень покупательной силы денег будет зависеть от проводимых мероприятий по сбалансированию платежеспособного спроса населения и товарного предложения, в частности, от того, какое относительное значение в ходе реформы будут иметь мероприятия по увеличению объема товарооборота и по снижению денежной массы, выпущенной в обращение. Чем больше денег удастся в ходе реформы изъять из обращения, тем меньше будет необходимое повышение цен государственно-кооперативной торговли, снижение покупательной силы денег.</w:t>
      </w:r>
    </w:p>
    <w:p w14:paraId="48B59DBC"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Вопрос о том, во сколько раз необходимо понизить масштаб цен, зависит от уровня покупательной силы денег, который будет достигнут к моменту объявления обмена обращающихся денежных знаков на новые. При этом, очевидно, недопустимо такое изменение масштаба цен, при котором цены и тарифы пришлось бы выражать в мелких долях нашей минимальной счетной единицы — копейки. С другой стороны, в целях облегчения перехода от старого масштаба цен к новому, понижение масштаба цен должно быть произведено в целых единицах, лучше всего — в числах, кратных 10.</w:t>
      </w:r>
    </w:p>
    <w:p w14:paraId="7A71065E"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Если предположить, что к моменту объявления обмена обращающихся ныне денежных знаков на новые уровень цен государственно-кооперативной торговли повысится по сравнению с нынешним примерно в 2 раза, то можно было бы произвести понижение масштаба цен в 20 раз. При этом условии мы вернулись бы приблизительно к тому масштабу цен, который был установлен в результате денежной реформы 1922-1924 гг.</w:t>
      </w:r>
    </w:p>
    <w:p w14:paraId="5D0E3284"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При решении вопроса об уровне стабилизации должно быть принято во внимание соотношение между покупательной силой рубля внутри нашей страны и внешними валютными курсами, с тем, чтобы в максимальной степени сблизить их друг с другом. Разумеется, это отнюдь не означает установления в СССР такой же денежной системы, какая существует в зарубежных странах. Валютному управлению необходимо поручить разработать вопрос о том, какие товары должны быть положены в основу при разрешении вопроса о соответствии покупательной силы рубля и внешних валютных курсов. Возможно, что в этой области необходимо будет принимать во внимание условное золотое содержание советской валюты и наиболее устойчивой валюты зарубежных государств (доллара).</w:t>
      </w:r>
    </w:p>
    <w:p w14:paraId="04B4E13A" w14:textId="77777777" w:rsidR="00BC5781" w:rsidRPr="007224C3" w:rsidRDefault="00BC5781" w:rsidP="007224C3">
      <w:pPr>
        <w:pStyle w:val="rtecenter"/>
        <w:spacing w:before="0" w:beforeAutospacing="0" w:after="0" w:afterAutospacing="0"/>
        <w:jc w:val="both"/>
        <w:rPr>
          <w:color w:val="000000" w:themeColor="text1"/>
          <w:sz w:val="16"/>
          <w:szCs w:val="16"/>
        </w:rPr>
      </w:pPr>
      <w:r w:rsidRPr="007224C3">
        <w:rPr>
          <w:color w:val="000000" w:themeColor="text1"/>
          <w:sz w:val="16"/>
          <w:szCs w:val="16"/>
        </w:rPr>
        <w:t>11. Организация эмиссии новых денежных знаков</w:t>
      </w:r>
    </w:p>
    <w:p w14:paraId="2A31176F"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Вторая основная задача денежной реформы — реорганизация денежной системы — предполагает внедрение в оборот денежных знаков нового образца и пересмотр условий, порядка, основ обеспечения денежной эмиссии, а также усовершенствование системы кредитования и расчетов, организации оборотных средств хозяйства и т. д.</w:t>
      </w:r>
    </w:p>
    <w:p w14:paraId="385CBAFE"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В результате реформы банковые билеты Госбанка и казначейские билеты должны быть заменены денежными знаками нового образца — государственными кредитными билетами, наделенными силой законного платежного средства и обязательными к приему во все платежи по номиналу на всей территории СССР. Червонный счет полностью устраняется. Эмитент — Государственный банк СССР, действующий, однако, не от своего имени, как хозрасчетной организации, а от имени государства.</w:t>
      </w:r>
    </w:p>
    <w:p w14:paraId="587E688E"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Государственные кредитные билеты обеспечиваются всем достоянием государства. Указание на денежных знаках специального их обеспечения (золотом, краткосрочными обязательствами и т. д.) для внутреннего оборота не имеет какого-либо существенного значения. Для внешних же расчетов достаточно будет законом о выпуске государственных кредитных билетов в обращение или же особым постановлением Правительства определить золотое содержание рубля и затем периодически публиковать (от имени Госбанка СССР) курсы иностранных валют.</w:t>
      </w:r>
    </w:p>
    <w:p w14:paraId="047DF7F7"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Весьма существенное значение имеет разработка и проведение в жизнь такого порядка выпуска денег в обращение, который предотвращал бы внеплановую денежную эмиссию, обеспечивал бы максимальное соответствие размеров денежной эмиссии потребностям хозяйственного оборота в деньгах.</w:t>
      </w:r>
    </w:p>
    <w:p w14:paraId="6F9E732D"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Правильная, соответствующая задачам устойчивого денежного обращения, организация эмиссионного дела предполагает такой порядок эмиссии денег, при котором:</w:t>
      </w:r>
    </w:p>
    <w:p w14:paraId="2CB58B3F"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а) выпуск денег был бы непосредственно связан с увеличением потребности хозяйственного оборота в деньгах, что не исключает возможности использования эмиссии для народнохозяйственных целей, но лишь в пределах и на основе плана;</w:t>
      </w:r>
    </w:p>
    <w:p w14:paraId="4BABBA24"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б) при сокращении потребностей хозяйственного оборота в деньгах как средстве обращения, часть денег, превышающая потребности хозяйственного оборота, притекает обратно в кассы эмитента, а не застревает в обороте, не переполняет каналов денежного обращения;</w:t>
      </w:r>
    </w:p>
    <w:p w14:paraId="1610D125"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в) в арсенале эмитента имеются экономические средства и возможности для того, чтобы в случае застревания денег в обращении сверх потребностей хозяйственного оборота в деньгах преодолеть это при помощи текущих дополнительных мероприятий.</w:t>
      </w:r>
    </w:p>
    <w:p w14:paraId="1E3438A8"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Наиболее полно этим требованиям отвечает КРЕДИТНАЯ ЭМИССИЯ. Потребности в ссудах являются отражением роста потребности хозяйственного оборота в деньгах. Погашение ссуды по истечении ее срока означает возвращение денег к эмитенту. Посредством регулирования кредита эмитент может оказывать регулирующее воздействие на денежное обращение: эмитент не обязан предоставлять ссуду при любых условиях, может потребовать дополнительного обеспечения, дополнительных материальных гарантий возвратности ссуды, может ограничить предоставление ссуды определенным кругом операций и т. п. Наоборот, указанным требованиям не удовлетворяет КАЗНАЧЕЙСКАЯ ЭМИССИЯ, т. е. выпуск денег для покрытия расходов госбюджета, так как: а) размеры эмиссии и возврат денег к эмитенту здесь не определяются непосредственно потребностями хозяйственного оборота в деньгах: они определяются потребностями бюджета, причем между доходами и расходами бюджета нет прямой связи; б) бюджет — обязательный, имеющий силу закона, план, тем самым возможности регулирования здесь весьма ограничены.</w:t>
      </w:r>
    </w:p>
    <w:p w14:paraId="546E520E"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По этим причинам эмиссионная деятельность в большинстве стран поручается кредитному учреждению, банку. Эмиссия организуется либо исключительно, как кредитная, либо как смешанная — КРЕДИТНО-КАЗНАЧЕЙСКАЯ, причем во втором случае казначейская часть эмиссии ограничивается минимальными, не снижающимися потребностями хозяйственного оборота в деньгах.</w:t>
      </w:r>
    </w:p>
    <w:p w14:paraId="274ED8CD"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То обстоятельство, что эмитентом является банк, еще не означает само по себе, что эмиссия имеет действительно кредитный характер. Кредитная эмиссия должна удовлетворять следующим условиям: а) она должна быть связана с недостатком не основных фондов, а оборотных средств, причем б) не со всяким недостатком оборотных средств, а с временным их недостатком, с временными потребностями в оборотных средствах. В этом отношении необходимо различать потребности в оборотных средствах, связанные с: 1) расширением производства, 2) продажей товаров в убыток, иммобилизацией оборотных средств, неправильным их использованием и 3) с доведением товаров от производства до потребителя.</w:t>
      </w:r>
    </w:p>
    <w:p w14:paraId="16DFF1AA"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В первых двух случаях мы имеем дело с постоянной потребностью, выражающей нужду не в средствах обращения, а в оборотных фондах; такие потребности должны удовлетворяться не за счет временно свободных средств других хозорганизаций и не за счет эмиссии, а за счет накоплений, в последнем счете за счет госбюджета. В третьем случае мы имеем действительно временную потребность (на срок продвижения товаров), причем выражающую временный недостаток в средствах обращения, а не недостаток в оборотных фондах. Как только товар дошел до потребителя и оплачен им, недостаток в оборотных средствах исчезает. В связи с реализацией новой партии товаров, потребность возобновляется, но опять-таки только на срок продвижения товаров от производства к потребителю. Это и составляет базу для кредитной эмиссии. За счет временно свободных средств одних хозорганизаций банк покрывает такие временные потребности других хозорганизаций; если же общие ресурсы банка оказываются недостаточными для удовлетворения всех вытекающих из здорового обращения товаров потребностей в оборотных средствах, банк может и должен восполнить недостаток своих ресурсов за счет эмиссии.</w:t>
      </w:r>
    </w:p>
    <w:p w14:paraId="2846BB49"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Таким образом, кредит эмиссионного банка должен быть связан с движением товаров в сфере обращения, должен содействовать наиболее быстрому доведению товаров от производства к потребителю. Эмиссионный кредит в этом смысле должен быть подтоварным кредитом, эмиссия должна соответствовать изменению объема товарооборота, восполнять недостаток в деньгах, как средстве обращения.</w:t>
      </w:r>
    </w:p>
    <w:p w14:paraId="3C8B9FA9"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Современная организация работы Госбанка не отвечает этим условиям. Некоторые виды кредита, предоставляемого Госбанком (на сезонные затраты, под незавершенное производство и готовую продукцию на складах, на временные внеплановые нужды) означают в той или иной степени прямую увязку ресурсов банка с оборотными фондами хозорганизаций. Ресурсами Госбанка покрываются в известной мере также неполадки в расчетах между хозорганами (ссуды под расчетные документы в пути), поскольку при акцептной форме расчетов между хозорганами нет непосредственных отношений: между ними в качестве обязательного посредника и своего рода арбитра стоит банк. Средства расчетных счетов хозорганов образуются только за счет выручки от реализации товаров и услуг хозорганами (движение их собственных оборотных средств, высвобождающихся в процессе реализации товаров и услуг) и ссуд банка, но также за счет задолженности хозорганов друг другу и за счет бюджетных ассигнований. Это устраняет прямую связь между движением сумм на расчетных счетах и результатами деятельности хозорганизаций.</w:t>
      </w:r>
    </w:p>
    <w:p w14:paraId="5378DC74"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На 1 января 1940 г., несмотря на неоднократную «расчистку», кредиторская задолженность по промышленности составляла 12,9 млрд руб., не считая 6,2 млрд руб. задолженности кредиторам по степени готовности и прочим кредиторам, приравниваемой к собственным средствам. Таким образом, вся кредиторская задолженность по промышленности на 1 января 1940 г., равнялась 19,1 млрд руб., тогда как вся задолженность промышленности Госбанку на ту же дату составляла 28,4 млрд руб.</w:t>
      </w:r>
    </w:p>
    <w:p w14:paraId="5EAE219C"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 xml:space="preserve">Бюджетные ассигнования в оборотные средства ежегодно составляют большие суммы и значительно превышают фактический прирост собственных оборотных средств хозорганов. По своду балансов промышленности собственные оборотные средства увеличились с 10,1 млрд руб. на 1/1-1933 г. до 47,2 млрд руб. на 1/1-1940 г., т. е. на 37,1 млрд руб., вложения же в собственные оборотные средства промышленности составили за это время 57,4 млрд руб., в том числе из госбюджета — 46,3 </w:t>
      </w:r>
      <w:r w:rsidRPr="007224C3">
        <w:rPr>
          <w:color w:val="000000" w:themeColor="text1"/>
          <w:sz w:val="16"/>
          <w:szCs w:val="16"/>
        </w:rPr>
        <w:lastRenderedPageBreak/>
        <w:t>млрд руб. Происходило «проедание» собственных оборотных средств. Ежегодно хозорганизации забирали со своих расчетных счетов больше собственных средств, чем вносили на них из своей выручки от реализации товаров и услуг. Недостаток покрывали госбюджет и денежная эмиссия.</w:t>
      </w:r>
    </w:p>
    <w:p w14:paraId="594C44D9"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Современная система нормирования собственных оборотных средств является своеобразной системой рационированного снабжения хозорганизаций оборотными средствами. Ежегодно, при составлении и утверждении госбюджета производится перерасчет собственных оборотных средств, излишки изымаются или засчитываются в счет планового прироста собственных оборотных средств, недостатки покрываются ассигнованиями из госбюджета. В основе лежит идея «общегосударственного котла». На этой почве возникают и укрепляются иждивенческие настроения, происходит отмеченное выше «проедание» оборотных средств.</w:t>
      </w:r>
    </w:p>
    <w:p w14:paraId="5DFA173D"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Отрицательное влияние на денежное обращение современной организации расчетов, кредитования и собственных оборотных средств хозорганов усугубляется тем, что: а) между эмиссионными, кредитными, кассовыми и расчетными операциями, возложенными на одно и то же учреждение — Госбанк, — нет необходимого разграничения; денежная эмиссия утратила кредитный характер; б) финансовые показатели работы предприятий и хозорганизаций, эффективность использования ими денежных средств не занимают должного места при оценке качества и результатов работы предприятий и хозорганизаций.</w:t>
      </w:r>
    </w:p>
    <w:p w14:paraId="5E5A7A44"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При проведении денежной реформы необходимо:</w:t>
      </w:r>
    </w:p>
    <w:p w14:paraId="50116D40"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1. Разграничить кредитные, эмиссионные и расчетные операции банка посредством либо разукрупнения Госбанка (создания двух банков: кредитно-эмиссионного и расчетного), либо четкого размежевания операций внутри единого банка. Эмиссионная деятельность должна быть связана с кредитными операциями банка, эмиссия должна иметь кредитный характер.</w:t>
      </w:r>
    </w:p>
    <w:p w14:paraId="47991554"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2. Пересмотреть виды и формы банковского кредита, отказаться от всех видов ссуд со стороны эмиссионного банка, которые противоречат правильной организации эмиссионного дела. Кредит эмиссионного банка должен быть средством ускорения реализации товаров, неразрывно связан со сферой обращения. Решение этого вопроса предполагает также пересмотр организации оборотных средств хозяйства.</w:t>
      </w:r>
    </w:p>
    <w:p w14:paraId="56D412A1" w14:textId="77777777" w:rsidR="00BC5781" w:rsidRPr="007224C3" w:rsidRDefault="00BC5781" w:rsidP="007224C3">
      <w:pPr>
        <w:pStyle w:val="rtecenter"/>
        <w:spacing w:before="0" w:beforeAutospacing="0" w:after="0" w:afterAutospacing="0"/>
        <w:jc w:val="both"/>
        <w:rPr>
          <w:color w:val="000000" w:themeColor="text1"/>
          <w:sz w:val="16"/>
          <w:szCs w:val="16"/>
        </w:rPr>
      </w:pPr>
      <w:r w:rsidRPr="007224C3">
        <w:rPr>
          <w:color w:val="000000" w:themeColor="text1"/>
          <w:sz w:val="16"/>
          <w:szCs w:val="16"/>
        </w:rPr>
        <w:t>12. Порядок замены обращающихся денежных знаков и выраженных в них обязательств новыми</w:t>
      </w:r>
    </w:p>
    <w:p w14:paraId="20DB7F89"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Замена ныне обращающихся денежных знаков новыми — заключительный этап денежной реформы — имеет своей главной целью оформить изменение масштаба цен. Замена будет осуществляться двумя путями: а) прекращение выпуска обратно в обращение денежных знаков нынешнего образца, поступающих в кассы Госбанка, комбанков и сберегательные кассы и б) прямой обмен обращающихся денежных знаков на новые.</w:t>
      </w:r>
    </w:p>
    <w:p w14:paraId="1FB86477"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Прием в платежи и обмен ныне обращающихся денежных знаков должны быть ограничены определенным сроком, достаточным для оповещения всего населения и для совершения самой операции обмена. Денежные знаки, не предъявленные к обмену в установленный срок, лишаются силы законного платежного средства. Выпуск в обращение денежных знаков нынешнего обращения может быть прекращен с момента объявления выпуска новых денежных знаков и обмена на них обращающихся дензнаков, при условии, что к этому времени обеспечено достаточное производство новых денежных знаков и все кассовые учреждения бесперебойно снабжаются новыми дензнаками для производства текущих платежей.</w:t>
      </w:r>
    </w:p>
    <w:p w14:paraId="7FF2FDD2"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Новые денежные знаки будут выпускаться в обращение по двум каналам: а) обмен обращавшихся ранее денежных знаков и б) производство текущих платежей государства.</w:t>
      </w:r>
    </w:p>
    <w:p w14:paraId="28006444"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Обменный курс денежных знаков нового образца должен соответствовать производимому понижению масштаба цен. Согласно изложенным выше расчетам обмен может производиться по курсу: 1 рубль в денежных знаках нового образца = 20 руб. в обращающихся ныне денежных знаках.</w:t>
      </w:r>
    </w:p>
    <w:p w14:paraId="32134BA9"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В связи с заменой обращающихся ныне денежных знаков новыми, возникает вопрос о перечислении в новую валюту всех расчетов между предприятиями, учреждениями и организациями и взаимных обязательствах между государством и населением.</w:t>
      </w:r>
    </w:p>
    <w:p w14:paraId="294A6CC2"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Обязательства государства по отношению к населению состоят из госзаймов, вкладов, страховых возмещений и пенсионного обеспечения. Обязательства населения по отношению к государству (кроме текущих) выражаются в индивидуальных ссудах (по рабжил-строительству, по залогу облигаций займов) и страховых платежах по долгосрочным видам страхования.</w:t>
      </w:r>
    </w:p>
    <w:p w14:paraId="273B2A91"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В связи с пересчетом всех имеющихся к концу денежной реформы обязательств на новую валюту потребуется замена всех старых обязательств новыми. В отношении вкладов, текущих и расчетных счетов, а также взаимных расчетов между предприятиями, учреждениями и организациями это достигается посредством производства новых записей в сберегательных книжках, в книгах кредитных учреждений, в бухгалтерских книгах и т. п. и заменой старых чековых книжек новыми. Также подлежат замене новыми выданные ранее страховые полисы по долгосрочным видам страхования. Что же касается госзаймов, то здесь понадобится произвести конверсию всех ранее выпущенных займов, — объединение их в одном новом займе.</w:t>
      </w:r>
    </w:p>
    <w:p w14:paraId="23DCB938"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Целесообразно было бы к моменту обмена обращающихся денежных знаков на новые и пересчете обязательств предприятий, учреждений и организаций на новую валюту произвести генеральный пересмотр всех обязательств, расчистку их от встречных обязательств и от дебиторско-кредиторской задолженности.</w:t>
      </w:r>
    </w:p>
    <w:p w14:paraId="65BA6A30" w14:textId="77777777" w:rsidR="00BC5781" w:rsidRPr="007224C3" w:rsidRDefault="00BC5781" w:rsidP="007224C3">
      <w:pPr>
        <w:pStyle w:val="rtecenter"/>
        <w:spacing w:before="0" w:beforeAutospacing="0" w:after="0" w:afterAutospacing="0"/>
        <w:jc w:val="both"/>
        <w:rPr>
          <w:color w:val="000000" w:themeColor="text1"/>
          <w:sz w:val="16"/>
          <w:szCs w:val="16"/>
        </w:rPr>
      </w:pPr>
      <w:r w:rsidRPr="007224C3">
        <w:rPr>
          <w:color w:val="000000" w:themeColor="text1"/>
          <w:sz w:val="16"/>
          <w:szCs w:val="16"/>
        </w:rPr>
        <w:t>13. Необходимые мероприятия в ходе реформы</w:t>
      </w:r>
    </w:p>
    <w:p w14:paraId="3B88B344"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В соответствии с изложенным выше, в ходе реформы должны быть проведены следующие мероприятия:</w:t>
      </w:r>
    </w:p>
    <w:p w14:paraId="06520CE7"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а) в области товарооборота, цен и зарплаты:</w:t>
      </w:r>
    </w:p>
    <w:p w14:paraId="14C59B30"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1. Увеличить объем розничного товарооборота за счет расширения производства товаров широкого потребления госпредприятиями и кооперацией (в частности — стимулирования развития местной промышленности и промкооперации), увеличения сельскохозяйственных заготовок и стимулирования роста объема колхозной торговли, расширения импорта товаров, сокращения внерыночного потребления, развития и усовершенствования торговой сети в целях ускорения продвижения товаров от производства к потребителям.</w:t>
      </w:r>
    </w:p>
    <w:p w14:paraId="7BDF4CC9"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2. Ввести коммерческую торговлю с последующим переходом от нормированного снабжения к развернутой, открытой торговле всеми товарами и продуктами, приобретаемыми населением.</w:t>
      </w:r>
    </w:p>
    <w:p w14:paraId="4091BEBE"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3. По мере развертывания коммерческой торговли и при переходе к открытой торговле по единым розничным ценам пересмотреть и усовершенствовать действующую систему розничных цен государственно-кооперативной торговли.</w:t>
      </w:r>
    </w:p>
    <w:p w14:paraId="324F6574"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4. В целях стимулирования более рационального использования основных фондов, максимальной экономии в расходовании сырья, материалов и топлива, широкого использования отходов производства и местных ресурсов — пересмотреть и повысить цены на средства производства.</w:t>
      </w:r>
    </w:p>
    <w:p w14:paraId="2AF3D23B"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5. Повысить и усилить дифференциацию заготовительных цен в соответствии с задачами стимулирования заготовок, с пересмотром цен на промтовары, понижением масштаба цен, экономическими особенностями районов, областей и республик.</w:t>
      </w:r>
    </w:p>
    <w:p w14:paraId="66D4F906"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6. Усилить дифференциацию транспортных пассажирских тарифов в зависимости от предоставляемых пассажирам удобств; повысить квартирную плату и усилить ее дифференциацию по классам городов, районов, улиц в городах, по качеству жилищ и в зависимости от предоставляемых квартиронанимателям удобств; пересмотреть всю систему тарифов за услуги в соответствии с пересмотром розничных цен.</w:t>
      </w:r>
    </w:p>
    <w:p w14:paraId="136241FC"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7. В соответствии с повышением цен на предметы первой необходимости при ликвидации нормированного снабжения и переходе к открытой торговле, повысить уровень зарплаты рабочих и служащих, а также размеры пенсий и иных видов фиксированных доходов, усиливая вместе с тем дифференциацию в оплате труда: для производственного аппарата — посредством более широкого внедрения и правильного применения поощрительных форм оплаты труда, для управленческого аппарата — посредством дифференциации ставок зарплаты в зависимости от звания и должности, стажа (выслуга лет) и образования, звена аппарата, пояса местности и наличия связи с сельским хозяйством.</w:t>
      </w:r>
    </w:p>
    <w:p w14:paraId="3B8A1C1E"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б) в области государственного бюджета:</w:t>
      </w:r>
    </w:p>
    <w:p w14:paraId="3C656DE3"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1. Максимально форсировать затраты, дающие быстрый экономический эффект в отношении удовлетворения потребностей населения в товарах и продуктах, а также в разного рода услугах (транспортных, жилищно-коммунальных и т. п.)</w:t>
      </w:r>
    </w:p>
    <w:p w14:paraId="1A355FC7"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2. Провести относительное (по сравнению с ростом объема работы и числа учреждений и организаций) сокращение административно-хозяйственных расходов, в первую очередь — за счет сокращения и упрощения управленческого аппарата хозорганизаций, усилить режим экономии в административно-хозяйственных расходах.</w:t>
      </w:r>
    </w:p>
    <w:p w14:paraId="0CA8259F"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3. Обеспечить широкое привлечение денежных и трудовых ресурсов населения, колхозов и кооперации к проведению и финансированию восстановительных работ.</w:t>
      </w:r>
    </w:p>
    <w:p w14:paraId="29B7ED73"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4. Усилить и усовершенствовать способы и методы стимулирования снижения себестоимости, всемерного сокращения накладных расходов и всякого рода потерь, выполнения плана накоплений, правильного и экономного использования основных фондов, оборотных средств, ассигнований на административно-хозяйственные расходы. Усилить зависимость финансового положения предприятий и хозорганизаций от степени выполнения ими планов производства и реализации товаров и плана накоплений. Пересмотреть организацию оборотных средств и взаимоотношения хозорганизаций с госбюджетом.</w:t>
      </w:r>
    </w:p>
    <w:p w14:paraId="101D2075"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5. Расширить мобилизацию средств в бюджет через обложение по обороту и в порядке прямых бюджетных изъятий (бюджетная разница) в связи с введением коммерческой торговли и повышением цен при переходе к открытой торговле всеми товарами и продуктами, приобретаемыми населением. В связи с новой системой цен, устанавливаемой в результате денежной реформы, пересмотреть систему изъятий части доходов и накоплений предприятий и хозорганизаций в госбюджет.</w:t>
      </w:r>
    </w:p>
    <w:p w14:paraId="4872ED83"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6. Увеличить доходы от госимущества, от реализации услуг (жилищно-коммунальных, транспортных и т. д.), а также доходы пошлинного характера. Максимально сократить оплату услуг за счет государственных средств и средств кооперации.</w:t>
      </w:r>
    </w:p>
    <w:p w14:paraId="7C0E9F97"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7. Усилить дифференциацию платежей населения в зависимости от наличия и высоты рыночных доходов, в максимально возможных размерах использовать налоги для изъятия части денежных накоплений рыночных продавцов и для форсирования продажи продуктов населением.</w:t>
      </w:r>
    </w:p>
    <w:p w14:paraId="580D5E5D"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8. Расширить привлечение средств на вклады в сберкассы и принять меры к предотвращению отлива вкладов при развертывании открытой торговли.</w:t>
      </w:r>
    </w:p>
    <w:p w14:paraId="13E9EF07"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в) в области денежного оборота и кредита:</w:t>
      </w:r>
    </w:p>
    <w:p w14:paraId="10839FD6"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lastRenderedPageBreak/>
        <w:t>1. Своевременно изготовить в достаточном для насыщения потребностей хозяйственного оборота количестве денежные знаки нового образца разных купюр, в том числе — разменные денежные знаки.</w:t>
      </w:r>
    </w:p>
    <w:p w14:paraId="24978260"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2. Разработать вопрос о порядке и условиях проведения конверсии займов при проведении денежной реформы.</w:t>
      </w:r>
    </w:p>
    <w:p w14:paraId="6371681A"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3. Произвести расчистку взаимных расчетов предприятий, учреждений и организаций при переходе к новой валюте.</w:t>
      </w:r>
    </w:p>
    <w:p w14:paraId="10B39560"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4. Своевременно изготовить облигации нового государственного займа, новых страховых полисов, сберегательных и чековых книжек и т. д. и организовать перечисление всех платежей, расчетов, балансов, смет и т. п. в новую валюту.</w:t>
      </w:r>
    </w:p>
    <w:p w14:paraId="547634E1"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5. Разработать вопрос о паритете новой валюты и о курсах иностранных валют.</w:t>
      </w:r>
    </w:p>
    <w:p w14:paraId="55D76DA2"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6. Пересмотреть виды и формы банковского кредитования и порядок расчетов между хозорганами в связи с пересмотром организации оборотных средств хозяйства; пересмотреть и усовершенствовать формы и методы контроля за денежным обращением; провести четкое разграничение кредитных, эмиссионных и расчетных операций банка, связав эмиссионную деятельность с кредитными операциями банка (кредитование сферы обращения).</w:t>
      </w:r>
    </w:p>
    <w:p w14:paraId="4495CE25"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К разработке и проведению этих мероприятий должны быть привлечены управления и отделы наркомата.</w:t>
      </w:r>
    </w:p>
    <w:p w14:paraId="421249AB"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«14» марта 1944 г.                                                                                                       (В. Дьяченко)</w:t>
      </w:r>
    </w:p>
    <w:p w14:paraId="52A0F1FF" w14:textId="77777777" w:rsidR="00BC5781" w:rsidRPr="007224C3" w:rsidRDefault="00BC5781" w:rsidP="007224C3">
      <w:pPr>
        <w:pStyle w:val="ae"/>
        <w:spacing w:before="0" w:after="0"/>
        <w:jc w:val="both"/>
        <w:rPr>
          <w:color w:val="000000" w:themeColor="text1"/>
          <w:sz w:val="16"/>
          <w:szCs w:val="16"/>
        </w:rPr>
      </w:pPr>
      <w:r w:rsidRPr="007224C3">
        <w:rPr>
          <w:rStyle w:val="af0"/>
          <w:color w:val="000000" w:themeColor="text1"/>
          <w:sz w:val="16"/>
          <w:szCs w:val="16"/>
        </w:rPr>
        <w:t>РГАЭ. Ф. 7733. Оп. 36. Д. 2271. Л. 111-150. Подлинник.</w:t>
      </w:r>
      <w:r w:rsidRPr="007224C3">
        <w:rPr>
          <w:color w:val="000000" w:themeColor="text1"/>
          <w:sz w:val="16"/>
          <w:szCs w:val="16"/>
        </w:rPr>
        <w:t> </w:t>
      </w:r>
      <w:r w:rsidRPr="007224C3">
        <w:rPr>
          <w:rStyle w:val="af0"/>
          <w:color w:val="000000" w:themeColor="text1"/>
          <w:sz w:val="16"/>
          <w:szCs w:val="16"/>
        </w:rPr>
        <w:t>Подпись В.П. Дьяченко — автограф</w:t>
      </w:r>
      <w:r w:rsidRPr="007224C3">
        <w:rPr>
          <w:color w:val="000000" w:themeColor="text1"/>
          <w:sz w:val="16"/>
          <w:szCs w:val="16"/>
        </w:rPr>
        <w:t>[</w:t>
      </w:r>
      <w:bookmarkStart w:id="14" w:name="_rtfnr_9"/>
      <w:r w:rsidR="007E0398" w:rsidRPr="007224C3">
        <w:rPr>
          <w:color w:val="000000" w:themeColor="text1"/>
          <w:sz w:val="16"/>
          <w:szCs w:val="16"/>
        </w:rPr>
        <w:fldChar w:fldCharType="begin"/>
      </w:r>
      <w:r w:rsidRPr="007224C3">
        <w:rPr>
          <w:color w:val="000000" w:themeColor="text1"/>
          <w:sz w:val="16"/>
          <w:szCs w:val="16"/>
        </w:rPr>
        <w:instrText xml:space="preserve"> HYPERLINK "http://istmat.info/node/62297" \l "_rtfnr_9.1" </w:instrText>
      </w:r>
      <w:r w:rsidR="007E0398" w:rsidRPr="007224C3">
        <w:rPr>
          <w:color w:val="000000" w:themeColor="text1"/>
          <w:sz w:val="16"/>
          <w:szCs w:val="16"/>
        </w:rPr>
        <w:fldChar w:fldCharType="separate"/>
      </w:r>
      <w:r w:rsidRPr="007224C3">
        <w:rPr>
          <w:rStyle w:val="a5"/>
          <w:rFonts w:eastAsiaTheme="majorEastAsia"/>
          <w:color w:val="000000" w:themeColor="text1"/>
          <w:sz w:val="16"/>
          <w:szCs w:val="16"/>
          <w:u w:val="none"/>
          <w:vertAlign w:val="superscript"/>
        </w:rPr>
        <w:t>*********</w:t>
      </w:r>
      <w:r w:rsidR="007E0398" w:rsidRPr="007224C3">
        <w:rPr>
          <w:color w:val="000000" w:themeColor="text1"/>
          <w:sz w:val="16"/>
          <w:szCs w:val="16"/>
        </w:rPr>
        <w:fldChar w:fldCharType="end"/>
      </w:r>
      <w:bookmarkEnd w:id="14"/>
      <w:r w:rsidRPr="007224C3">
        <w:rPr>
          <w:color w:val="000000" w:themeColor="text1"/>
          <w:sz w:val="16"/>
          <w:szCs w:val="16"/>
        </w:rPr>
        <w:t>]</w:t>
      </w:r>
      <w:r w:rsidRPr="007224C3">
        <w:rPr>
          <w:rStyle w:val="af0"/>
          <w:color w:val="000000" w:themeColor="text1"/>
          <w:sz w:val="16"/>
          <w:szCs w:val="16"/>
        </w:rPr>
        <w:t>. Публикуется впервые.</w:t>
      </w:r>
    </w:p>
    <w:bookmarkStart w:id="15" w:name="_rtfnr_1.1"/>
    <w:p w14:paraId="0370AB6B" w14:textId="77777777" w:rsidR="00BC5781" w:rsidRPr="007224C3" w:rsidRDefault="007E0398" w:rsidP="007224C3">
      <w:pPr>
        <w:pStyle w:val="rtejustify"/>
        <w:spacing w:before="0" w:after="0"/>
        <w:rPr>
          <w:color w:val="000000" w:themeColor="text1"/>
          <w:sz w:val="16"/>
          <w:szCs w:val="16"/>
        </w:rPr>
      </w:pPr>
      <w:r w:rsidRPr="007224C3">
        <w:rPr>
          <w:color w:val="000000" w:themeColor="text1"/>
          <w:sz w:val="16"/>
          <w:szCs w:val="16"/>
          <w:vertAlign w:val="superscript"/>
        </w:rPr>
        <w:fldChar w:fldCharType="begin"/>
      </w:r>
      <w:r w:rsidR="00BC5781" w:rsidRPr="007224C3">
        <w:rPr>
          <w:color w:val="000000" w:themeColor="text1"/>
          <w:sz w:val="16"/>
          <w:szCs w:val="16"/>
          <w:vertAlign w:val="superscript"/>
        </w:rPr>
        <w:instrText xml:space="preserve"> HYPERLINK "http://istmat.info/node/62297" \l "_rtfnr_1" </w:instrText>
      </w:r>
      <w:r w:rsidRPr="007224C3">
        <w:rPr>
          <w:color w:val="000000" w:themeColor="text1"/>
          <w:sz w:val="16"/>
          <w:szCs w:val="16"/>
          <w:vertAlign w:val="superscript"/>
        </w:rPr>
        <w:fldChar w:fldCharType="separate"/>
      </w:r>
      <w:r w:rsidR="00BC5781" w:rsidRPr="007224C3">
        <w:rPr>
          <w:rStyle w:val="a5"/>
          <w:rFonts w:eastAsiaTheme="majorEastAsia"/>
          <w:color w:val="000000" w:themeColor="text1"/>
          <w:sz w:val="16"/>
          <w:szCs w:val="16"/>
          <w:u w:val="none"/>
          <w:vertAlign w:val="superscript"/>
        </w:rPr>
        <w:t>*</w:t>
      </w:r>
      <w:r w:rsidRPr="007224C3">
        <w:rPr>
          <w:color w:val="000000" w:themeColor="text1"/>
          <w:sz w:val="16"/>
          <w:szCs w:val="16"/>
          <w:vertAlign w:val="superscript"/>
        </w:rPr>
        <w:fldChar w:fldCharType="end"/>
      </w:r>
      <w:bookmarkEnd w:id="15"/>
      <w:r w:rsidR="00BC5781" w:rsidRPr="007224C3">
        <w:rPr>
          <w:color w:val="000000" w:themeColor="text1"/>
          <w:sz w:val="16"/>
          <w:szCs w:val="16"/>
        </w:rPr>
        <w:t> Авторские (машинописные) подчеркивания текста выделяются в документе сплошными линиями, карандашные пометы и подчеркивания, сделанные рукой А. Г. Зверева, — пунктирными.</w:t>
      </w:r>
    </w:p>
    <w:bookmarkStart w:id="16" w:name="_rtfnr_2.1"/>
    <w:p w14:paraId="146CCAF1" w14:textId="77777777" w:rsidR="00BC5781" w:rsidRPr="007224C3" w:rsidRDefault="007E0398" w:rsidP="007224C3">
      <w:pPr>
        <w:pStyle w:val="rtejustify"/>
        <w:spacing w:before="0" w:after="0"/>
        <w:rPr>
          <w:color w:val="000000" w:themeColor="text1"/>
          <w:sz w:val="16"/>
          <w:szCs w:val="16"/>
        </w:rPr>
      </w:pPr>
      <w:r w:rsidRPr="007224C3">
        <w:rPr>
          <w:color w:val="000000" w:themeColor="text1"/>
          <w:sz w:val="16"/>
          <w:szCs w:val="16"/>
          <w:vertAlign w:val="superscript"/>
        </w:rPr>
        <w:fldChar w:fldCharType="begin"/>
      </w:r>
      <w:r w:rsidR="00BC5781" w:rsidRPr="007224C3">
        <w:rPr>
          <w:color w:val="000000" w:themeColor="text1"/>
          <w:sz w:val="16"/>
          <w:szCs w:val="16"/>
          <w:vertAlign w:val="superscript"/>
        </w:rPr>
        <w:instrText xml:space="preserve"> HYPERLINK "http://istmat.info/node/62297" \l "_rtfnr_2" </w:instrText>
      </w:r>
      <w:r w:rsidRPr="007224C3">
        <w:rPr>
          <w:color w:val="000000" w:themeColor="text1"/>
          <w:sz w:val="16"/>
          <w:szCs w:val="16"/>
          <w:vertAlign w:val="superscript"/>
        </w:rPr>
        <w:fldChar w:fldCharType="separate"/>
      </w:r>
      <w:r w:rsidR="00BC5781" w:rsidRPr="007224C3">
        <w:rPr>
          <w:rStyle w:val="a5"/>
          <w:rFonts w:eastAsiaTheme="majorEastAsia"/>
          <w:color w:val="000000" w:themeColor="text1"/>
          <w:sz w:val="16"/>
          <w:szCs w:val="16"/>
          <w:u w:val="none"/>
          <w:vertAlign w:val="superscript"/>
        </w:rPr>
        <w:t>**</w:t>
      </w:r>
      <w:r w:rsidRPr="007224C3">
        <w:rPr>
          <w:color w:val="000000" w:themeColor="text1"/>
          <w:sz w:val="16"/>
          <w:szCs w:val="16"/>
          <w:vertAlign w:val="superscript"/>
        </w:rPr>
        <w:fldChar w:fldCharType="end"/>
      </w:r>
      <w:bookmarkEnd w:id="16"/>
      <w:r w:rsidR="00BC5781" w:rsidRPr="007224C3">
        <w:rPr>
          <w:color w:val="000000" w:themeColor="text1"/>
          <w:sz w:val="16"/>
          <w:szCs w:val="16"/>
        </w:rPr>
        <w:t> В перечне приложений не указано приложение 3: «Первоочередные задания в связи с проведением денежной реформы», текст которого приводится в примечаниях к настоящему разделу (см. примеч. 9). Остальные приложения, как представляющие интерес только для узкого круга специалистов и не укладывающиеся в рамки объема настоящего издания, не публикуются.</w:t>
      </w:r>
    </w:p>
    <w:bookmarkStart w:id="17" w:name="_rtfnr_3.1"/>
    <w:p w14:paraId="2CB23354" w14:textId="77777777" w:rsidR="00BC5781" w:rsidRPr="007224C3" w:rsidRDefault="007E0398" w:rsidP="007224C3">
      <w:pPr>
        <w:pStyle w:val="rtejustify"/>
        <w:spacing w:before="0" w:after="0"/>
        <w:rPr>
          <w:color w:val="000000" w:themeColor="text1"/>
          <w:sz w:val="16"/>
          <w:szCs w:val="16"/>
        </w:rPr>
      </w:pPr>
      <w:r w:rsidRPr="007224C3">
        <w:rPr>
          <w:color w:val="000000" w:themeColor="text1"/>
          <w:sz w:val="16"/>
          <w:szCs w:val="16"/>
          <w:vertAlign w:val="superscript"/>
        </w:rPr>
        <w:fldChar w:fldCharType="begin"/>
      </w:r>
      <w:r w:rsidR="00BC5781" w:rsidRPr="007224C3">
        <w:rPr>
          <w:color w:val="000000" w:themeColor="text1"/>
          <w:sz w:val="16"/>
          <w:szCs w:val="16"/>
          <w:vertAlign w:val="superscript"/>
        </w:rPr>
        <w:instrText xml:space="preserve"> HYPERLINK "http://istmat.info/node/62297" \l "_rtfnr_3" </w:instrText>
      </w:r>
      <w:r w:rsidRPr="007224C3">
        <w:rPr>
          <w:color w:val="000000" w:themeColor="text1"/>
          <w:sz w:val="16"/>
          <w:szCs w:val="16"/>
          <w:vertAlign w:val="superscript"/>
        </w:rPr>
        <w:fldChar w:fldCharType="separate"/>
      </w:r>
      <w:r w:rsidR="00BC5781" w:rsidRPr="007224C3">
        <w:rPr>
          <w:rStyle w:val="a5"/>
          <w:rFonts w:eastAsiaTheme="majorEastAsia"/>
          <w:color w:val="000000" w:themeColor="text1"/>
          <w:sz w:val="16"/>
          <w:szCs w:val="16"/>
          <w:u w:val="none"/>
          <w:vertAlign w:val="superscript"/>
        </w:rPr>
        <w:t>***</w:t>
      </w:r>
      <w:r w:rsidRPr="007224C3">
        <w:rPr>
          <w:color w:val="000000" w:themeColor="text1"/>
          <w:sz w:val="16"/>
          <w:szCs w:val="16"/>
          <w:vertAlign w:val="superscript"/>
        </w:rPr>
        <w:fldChar w:fldCharType="end"/>
      </w:r>
      <w:bookmarkEnd w:id="17"/>
      <w:r w:rsidR="00BC5781" w:rsidRPr="007224C3">
        <w:rPr>
          <w:color w:val="000000" w:themeColor="text1"/>
          <w:sz w:val="16"/>
          <w:szCs w:val="16"/>
        </w:rPr>
        <w:t> Эта часть текста («на 23 %») обведена карандашом.</w:t>
      </w:r>
    </w:p>
    <w:bookmarkStart w:id="18" w:name="_rtfnr_4.1"/>
    <w:p w14:paraId="4B67E4B2" w14:textId="77777777" w:rsidR="00BC5781" w:rsidRPr="007224C3" w:rsidRDefault="007E0398" w:rsidP="007224C3">
      <w:pPr>
        <w:pStyle w:val="rtejustify"/>
        <w:spacing w:before="0" w:after="0"/>
        <w:rPr>
          <w:color w:val="000000" w:themeColor="text1"/>
          <w:sz w:val="16"/>
          <w:szCs w:val="16"/>
        </w:rPr>
      </w:pPr>
      <w:r w:rsidRPr="007224C3">
        <w:rPr>
          <w:color w:val="000000" w:themeColor="text1"/>
          <w:sz w:val="16"/>
          <w:szCs w:val="16"/>
        </w:rPr>
        <w:fldChar w:fldCharType="begin"/>
      </w:r>
      <w:r w:rsidR="00BC5781" w:rsidRPr="007224C3">
        <w:rPr>
          <w:color w:val="000000" w:themeColor="text1"/>
          <w:sz w:val="16"/>
          <w:szCs w:val="16"/>
        </w:rPr>
        <w:instrText xml:space="preserve"> HYPERLINK "http://istmat.info/node/62297" \l "_rtfnr_4" </w:instrText>
      </w:r>
      <w:r w:rsidRPr="007224C3">
        <w:rPr>
          <w:color w:val="000000" w:themeColor="text1"/>
          <w:sz w:val="16"/>
          <w:szCs w:val="16"/>
        </w:rPr>
        <w:fldChar w:fldCharType="separate"/>
      </w:r>
      <w:r w:rsidR="00BC5781" w:rsidRPr="007224C3">
        <w:rPr>
          <w:rStyle w:val="a5"/>
          <w:rFonts w:eastAsiaTheme="majorEastAsia"/>
          <w:color w:val="000000" w:themeColor="text1"/>
          <w:sz w:val="16"/>
          <w:szCs w:val="16"/>
          <w:u w:val="none"/>
          <w:vertAlign w:val="superscript"/>
        </w:rPr>
        <w:t>****</w:t>
      </w:r>
      <w:r w:rsidRPr="007224C3">
        <w:rPr>
          <w:color w:val="000000" w:themeColor="text1"/>
          <w:sz w:val="16"/>
          <w:szCs w:val="16"/>
        </w:rPr>
        <w:fldChar w:fldCharType="end"/>
      </w:r>
      <w:bookmarkEnd w:id="18"/>
      <w:r w:rsidR="00BC5781" w:rsidRPr="007224C3">
        <w:rPr>
          <w:color w:val="000000" w:themeColor="text1"/>
          <w:sz w:val="16"/>
          <w:szCs w:val="16"/>
        </w:rPr>
        <w:t> На левом поле страницы, против слов «Стало быть...» и до «...более чем на 65 млрд руб.» А.Г. Зверевым сделана карандашом «жирная» вертикальная «штриховка».</w:t>
      </w:r>
    </w:p>
    <w:bookmarkStart w:id="19" w:name="_rtfnr_5.1"/>
    <w:p w14:paraId="6BBD6FEE" w14:textId="77777777" w:rsidR="00BC5781" w:rsidRPr="007224C3" w:rsidRDefault="007E0398" w:rsidP="007224C3">
      <w:pPr>
        <w:pStyle w:val="rtejustify"/>
        <w:spacing w:before="0" w:after="0"/>
        <w:rPr>
          <w:color w:val="000000" w:themeColor="text1"/>
          <w:sz w:val="16"/>
          <w:szCs w:val="16"/>
        </w:rPr>
      </w:pPr>
      <w:r w:rsidRPr="007224C3">
        <w:rPr>
          <w:color w:val="000000" w:themeColor="text1"/>
          <w:sz w:val="16"/>
          <w:szCs w:val="16"/>
          <w:vertAlign w:val="superscript"/>
        </w:rPr>
        <w:fldChar w:fldCharType="begin"/>
      </w:r>
      <w:r w:rsidR="00BC5781" w:rsidRPr="007224C3">
        <w:rPr>
          <w:color w:val="000000" w:themeColor="text1"/>
          <w:sz w:val="16"/>
          <w:szCs w:val="16"/>
          <w:vertAlign w:val="superscript"/>
        </w:rPr>
        <w:instrText xml:space="preserve"> HYPERLINK "http://istmat.info/node/62297" \l "_rtfnr_5" </w:instrText>
      </w:r>
      <w:r w:rsidRPr="007224C3">
        <w:rPr>
          <w:color w:val="000000" w:themeColor="text1"/>
          <w:sz w:val="16"/>
          <w:szCs w:val="16"/>
          <w:vertAlign w:val="superscript"/>
        </w:rPr>
        <w:fldChar w:fldCharType="separate"/>
      </w:r>
      <w:r w:rsidR="00BC5781" w:rsidRPr="007224C3">
        <w:rPr>
          <w:rStyle w:val="a5"/>
          <w:rFonts w:eastAsiaTheme="majorEastAsia"/>
          <w:color w:val="000000" w:themeColor="text1"/>
          <w:sz w:val="16"/>
          <w:szCs w:val="16"/>
          <w:u w:val="none"/>
          <w:vertAlign w:val="superscript"/>
        </w:rPr>
        <w:t>*****</w:t>
      </w:r>
      <w:r w:rsidRPr="007224C3">
        <w:rPr>
          <w:color w:val="000000" w:themeColor="text1"/>
          <w:sz w:val="16"/>
          <w:szCs w:val="16"/>
          <w:vertAlign w:val="superscript"/>
        </w:rPr>
        <w:fldChar w:fldCharType="end"/>
      </w:r>
      <w:bookmarkEnd w:id="19"/>
      <w:r w:rsidR="00BC5781" w:rsidRPr="007224C3">
        <w:rPr>
          <w:color w:val="000000" w:themeColor="text1"/>
          <w:sz w:val="16"/>
          <w:szCs w:val="16"/>
        </w:rPr>
        <w:t> На левом поле страницы выделена вертикальной чертой (карандашная помета АГ. Зверева) часть текста от слова «Следовательно...», до «...более чем на 65 млрд руб.».</w:t>
      </w:r>
    </w:p>
    <w:bookmarkStart w:id="20" w:name="_rtfnr_6.1"/>
    <w:p w14:paraId="5D7BF38C" w14:textId="77777777" w:rsidR="00BC5781" w:rsidRPr="007224C3" w:rsidRDefault="007E0398" w:rsidP="007224C3">
      <w:pPr>
        <w:pStyle w:val="rtejustify"/>
        <w:spacing w:before="0" w:after="0"/>
        <w:rPr>
          <w:color w:val="000000" w:themeColor="text1"/>
          <w:sz w:val="16"/>
          <w:szCs w:val="16"/>
        </w:rPr>
      </w:pPr>
      <w:r w:rsidRPr="007224C3">
        <w:rPr>
          <w:color w:val="000000" w:themeColor="text1"/>
          <w:sz w:val="16"/>
          <w:szCs w:val="16"/>
          <w:vertAlign w:val="superscript"/>
        </w:rPr>
        <w:fldChar w:fldCharType="begin"/>
      </w:r>
      <w:r w:rsidR="00BC5781" w:rsidRPr="007224C3">
        <w:rPr>
          <w:color w:val="000000" w:themeColor="text1"/>
          <w:sz w:val="16"/>
          <w:szCs w:val="16"/>
          <w:vertAlign w:val="superscript"/>
        </w:rPr>
        <w:instrText xml:space="preserve"> HYPERLINK "http://istmat.info/node/62297" \l "_rtfnr_6" </w:instrText>
      </w:r>
      <w:r w:rsidRPr="007224C3">
        <w:rPr>
          <w:color w:val="000000" w:themeColor="text1"/>
          <w:sz w:val="16"/>
          <w:szCs w:val="16"/>
          <w:vertAlign w:val="superscript"/>
        </w:rPr>
        <w:fldChar w:fldCharType="separate"/>
      </w:r>
      <w:r w:rsidR="00BC5781" w:rsidRPr="007224C3">
        <w:rPr>
          <w:rStyle w:val="a5"/>
          <w:rFonts w:eastAsiaTheme="majorEastAsia"/>
          <w:color w:val="000000" w:themeColor="text1"/>
          <w:sz w:val="16"/>
          <w:szCs w:val="16"/>
          <w:u w:val="none"/>
          <w:vertAlign w:val="superscript"/>
        </w:rPr>
        <w:t>******</w:t>
      </w:r>
      <w:r w:rsidRPr="007224C3">
        <w:rPr>
          <w:color w:val="000000" w:themeColor="text1"/>
          <w:sz w:val="16"/>
          <w:szCs w:val="16"/>
          <w:vertAlign w:val="superscript"/>
        </w:rPr>
        <w:fldChar w:fldCharType="end"/>
      </w:r>
      <w:bookmarkEnd w:id="20"/>
      <w:r w:rsidR="00BC5781" w:rsidRPr="007224C3">
        <w:rPr>
          <w:color w:val="000000" w:themeColor="text1"/>
          <w:sz w:val="16"/>
          <w:szCs w:val="16"/>
        </w:rPr>
        <w:t> Этот абзац выделен вертикальной чертой на левом поле страницы (карандашная помета А.Г. Зверева).</w:t>
      </w:r>
    </w:p>
    <w:bookmarkStart w:id="21" w:name="_rtfnr_7.1"/>
    <w:p w14:paraId="773B25E3" w14:textId="77777777" w:rsidR="00BC5781" w:rsidRPr="007224C3" w:rsidRDefault="007E0398" w:rsidP="007224C3">
      <w:pPr>
        <w:pStyle w:val="rtejustify"/>
        <w:spacing w:before="0" w:after="0"/>
        <w:rPr>
          <w:color w:val="000000" w:themeColor="text1"/>
          <w:sz w:val="16"/>
          <w:szCs w:val="16"/>
        </w:rPr>
      </w:pPr>
      <w:r w:rsidRPr="007224C3">
        <w:rPr>
          <w:color w:val="000000" w:themeColor="text1"/>
          <w:sz w:val="16"/>
          <w:szCs w:val="16"/>
          <w:vertAlign w:val="superscript"/>
        </w:rPr>
        <w:fldChar w:fldCharType="begin"/>
      </w:r>
      <w:r w:rsidR="00BC5781" w:rsidRPr="007224C3">
        <w:rPr>
          <w:color w:val="000000" w:themeColor="text1"/>
          <w:sz w:val="16"/>
          <w:szCs w:val="16"/>
          <w:vertAlign w:val="superscript"/>
        </w:rPr>
        <w:instrText xml:space="preserve"> HYPERLINK "http://istmat.info/node/62297" \l "_rtfnr_7" </w:instrText>
      </w:r>
      <w:r w:rsidRPr="007224C3">
        <w:rPr>
          <w:color w:val="000000" w:themeColor="text1"/>
          <w:sz w:val="16"/>
          <w:szCs w:val="16"/>
          <w:vertAlign w:val="superscript"/>
        </w:rPr>
        <w:fldChar w:fldCharType="separate"/>
      </w:r>
      <w:r w:rsidR="00BC5781" w:rsidRPr="007224C3">
        <w:rPr>
          <w:rStyle w:val="a5"/>
          <w:rFonts w:eastAsiaTheme="majorEastAsia"/>
          <w:color w:val="000000" w:themeColor="text1"/>
          <w:sz w:val="16"/>
          <w:szCs w:val="16"/>
          <w:u w:val="none"/>
          <w:vertAlign w:val="superscript"/>
        </w:rPr>
        <w:t>*******</w:t>
      </w:r>
      <w:r w:rsidRPr="007224C3">
        <w:rPr>
          <w:color w:val="000000" w:themeColor="text1"/>
          <w:sz w:val="16"/>
          <w:szCs w:val="16"/>
          <w:vertAlign w:val="superscript"/>
        </w:rPr>
        <w:fldChar w:fldCharType="end"/>
      </w:r>
      <w:bookmarkEnd w:id="21"/>
      <w:r w:rsidR="00BC5781" w:rsidRPr="007224C3">
        <w:rPr>
          <w:color w:val="000000" w:themeColor="text1"/>
          <w:sz w:val="16"/>
          <w:szCs w:val="16"/>
        </w:rPr>
        <w:t> Этот абзац выделен вертикальной чертой на левом поле страницы (карандашная помета А.Г. Зверева).</w:t>
      </w:r>
    </w:p>
    <w:bookmarkStart w:id="22" w:name="_rtfnr_8.1"/>
    <w:p w14:paraId="3329621D" w14:textId="77777777" w:rsidR="00BC5781" w:rsidRPr="007224C3" w:rsidRDefault="007E0398" w:rsidP="007224C3">
      <w:pPr>
        <w:pStyle w:val="rtejustify"/>
        <w:spacing w:before="0" w:after="0"/>
        <w:rPr>
          <w:color w:val="000000" w:themeColor="text1"/>
          <w:sz w:val="16"/>
          <w:szCs w:val="16"/>
        </w:rPr>
      </w:pPr>
      <w:r w:rsidRPr="007224C3">
        <w:rPr>
          <w:color w:val="000000" w:themeColor="text1"/>
          <w:sz w:val="16"/>
          <w:szCs w:val="16"/>
          <w:vertAlign w:val="superscript"/>
        </w:rPr>
        <w:fldChar w:fldCharType="begin"/>
      </w:r>
      <w:r w:rsidR="00BC5781" w:rsidRPr="007224C3">
        <w:rPr>
          <w:color w:val="000000" w:themeColor="text1"/>
          <w:sz w:val="16"/>
          <w:szCs w:val="16"/>
          <w:vertAlign w:val="superscript"/>
        </w:rPr>
        <w:instrText xml:space="preserve"> HYPERLINK "http://istmat.info/node/62297" \l "_rtfnr_8" </w:instrText>
      </w:r>
      <w:r w:rsidRPr="007224C3">
        <w:rPr>
          <w:color w:val="000000" w:themeColor="text1"/>
          <w:sz w:val="16"/>
          <w:szCs w:val="16"/>
          <w:vertAlign w:val="superscript"/>
        </w:rPr>
        <w:fldChar w:fldCharType="separate"/>
      </w:r>
      <w:r w:rsidR="00BC5781" w:rsidRPr="007224C3">
        <w:rPr>
          <w:rStyle w:val="a5"/>
          <w:rFonts w:eastAsiaTheme="majorEastAsia"/>
          <w:color w:val="000000" w:themeColor="text1"/>
          <w:sz w:val="16"/>
          <w:szCs w:val="16"/>
          <w:u w:val="none"/>
          <w:vertAlign w:val="superscript"/>
        </w:rPr>
        <w:t>********</w:t>
      </w:r>
      <w:r w:rsidRPr="007224C3">
        <w:rPr>
          <w:color w:val="000000" w:themeColor="text1"/>
          <w:sz w:val="16"/>
          <w:szCs w:val="16"/>
          <w:vertAlign w:val="superscript"/>
        </w:rPr>
        <w:fldChar w:fldCharType="end"/>
      </w:r>
      <w:bookmarkEnd w:id="22"/>
      <w:r w:rsidR="00BC5781" w:rsidRPr="007224C3">
        <w:rPr>
          <w:color w:val="000000" w:themeColor="text1"/>
          <w:sz w:val="16"/>
          <w:szCs w:val="16"/>
        </w:rPr>
        <w:t> В настоящем издании это с. 63.</w:t>
      </w:r>
    </w:p>
    <w:bookmarkStart w:id="23" w:name="_rtfnr_9.1"/>
    <w:p w14:paraId="55A5B4B2" w14:textId="77777777" w:rsidR="00BC5781" w:rsidRPr="007224C3" w:rsidRDefault="007E0398" w:rsidP="007224C3">
      <w:pPr>
        <w:pStyle w:val="rtejustify"/>
        <w:spacing w:before="0" w:after="0"/>
        <w:rPr>
          <w:color w:val="000000" w:themeColor="text1"/>
          <w:sz w:val="16"/>
          <w:szCs w:val="16"/>
        </w:rPr>
      </w:pPr>
      <w:r w:rsidRPr="007224C3">
        <w:rPr>
          <w:color w:val="000000" w:themeColor="text1"/>
          <w:sz w:val="16"/>
          <w:szCs w:val="16"/>
        </w:rPr>
        <w:fldChar w:fldCharType="begin"/>
      </w:r>
      <w:r w:rsidR="00BC5781" w:rsidRPr="007224C3">
        <w:rPr>
          <w:color w:val="000000" w:themeColor="text1"/>
          <w:sz w:val="16"/>
          <w:szCs w:val="16"/>
        </w:rPr>
        <w:instrText xml:space="preserve"> HYPERLINK "http://istmat.info/node/62297" \l "_rtfnr_9" </w:instrText>
      </w:r>
      <w:r w:rsidRPr="007224C3">
        <w:rPr>
          <w:color w:val="000000" w:themeColor="text1"/>
          <w:sz w:val="16"/>
          <w:szCs w:val="16"/>
        </w:rPr>
        <w:fldChar w:fldCharType="separate"/>
      </w:r>
      <w:r w:rsidR="00BC5781" w:rsidRPr="007224C3">
        <w:rPr>
          <w:rStyle w:val="a5"/>
          <w:rFonts w:eastAsiaTheme="majorEastAsia"/>
          <w:color w:val="000000" w:themeColor="text1"/>
          <w:sz w:val="16"/>
          <w:szCs w:val="16"/>
          <w:u w:val="none"/>
          <w:vertAlign w:val="superscript"/>
        </w:rPr>
        <w:t>*********</w:t>
      </w:r>
      <w:r w:rsidRPr="007224C3">
        <w:rPr>
          <w:color w:val="000000" w:themeColor="text1"/>
          <w:sz w:val="16"/>
          <w:szCs w:val="16"/>
        </w:rPr>
        <w:fldChar w:fldCharType="end"/>
      </w:r>
      <w:bookmarkEnd w:id="23"/>
      <w:r w:rsidR="00BC5781" w:rsidRPr="007224C3">
        <w:rPr>
          <w:color w:val="000000" w:themeColor="text1"/>
          <w:sz w:val="16"/>
          <w:szCs w:val="16"/>
        </w:rPr>
        <w:t> В левом нижнем углу последней страницы документа имеется сделанная чернилами помета: «один экземпляр уничтожен», заверенная подписью неуста</w:t>
      </w:r>
      <w:r w:rsidR="00BC5781" w:rsidRPr="007224C3">
        <w:rPr>
          <w:color w:val="000000" w:themeColor="text1"/>
          <w:sz w:val="16"/>
          <w:szCs w:val="16"/>
        </w:rPr>
        <w:softHyphen/>
        <w:t>новленного лица.</w:t>
      </w:r>
    </w:p>
    <w:bookmarkStart w:id="24" w:name="_rtfnr9.1"/>
    <w:p w14:paraId="5111F96A" w14:textId="77777777" w:rsidR="00BC5781" w:rsidRPr="007224C3" w:rsidRDefault="007E0398" w:rsidP="007224C3">
      <w:pPr>
        <w:pStyle w:val="rtejustify"/>
        <w:spacing w:before="0" w:after="0"/>
        <w:rPr>
          <w:color w:val="000000" w:themeColor="text1"/>
          <w:sz w:val="16"/>
          <w:szCs w:val="16"/>
        </w:rPr>
      </w:pPr>
      <w:r w:rsidRPr="007224C3">
        <w:rPr>
          <w:color w:val="000000" w:themeColor="text1"/>
          <w:sz w:val="16"/>
          <w:szCs w:val="16"/>
        </w:rPr>
        <w:fldChar w:fldCharType="begin"/>
      </w:r>
      <w:r w:rsidR="00BC5781" w:rsidRPr="007224C3">
        <w:rPr>
          <w:color w:val="000000" w:themeColor="text1"/>
          <w:sz w:val="16"/>
          <w:szCs w:val="16"/>
        </w:rPr>
        <w:instrText xml:space="preserve"> HYPERLINK "http://istmat.info/node/62297" \l "_rtfnr9" </w:instrText>
      </w:r>
      <w:r w:rsidRPr="007224C3">
        <w:rPr>
          <w:color w:val="000000" w:themeColor="text1"/>
          <w:sz w:val="16"/>
          <w:szCs w:val="16"/>
        </w:rPr>
        <w:fldChar w:fldCharType="separate"/>
      </w:r>
      <w:r w:rsidR="00BC5781" w:rsidRPr="007224C3">
        <w:rPr>
          <w:rStyle w:val="a5"/>
          <w:rFonts w:eastAsiaTheme="majorEastAsia"/>
          <w:color w:val="000000" w:themeColor="text1"/>
          <w:sz w:val="16"/>
          <w:szCs w:val="16"/>
          <w:u w:val="none"/>
          <w:vertAlign w:val="superscript"/>
        </w:rPr>
        <w:t>9</w:t>
      </w:r>
      <w:r w:rsidRPr="007224C3">
        <w:rPr>
          <w:color w:val="000000" w:themeColor="text1"/>
          <w:sz w:val="16"/>
          <w:szCs w:val="16"/>
        </w:rPr>
        <w:fldChar w:fldCharType="end"/>
      </w:r>
      <w:bookmarkEnd w:id="24"/>
      <w:r w:rsidR="00BC5781" w:rsidRPr="007224C3">
        <w:rPr>
          <w:color w:val="000000" w:themeColor="text1"/>
          <w:sz w:val="16"/>
          <w:szCs w:val="16"/>
        </w:rPr>
        <w:t> Приложение 3</w:t>
      </w:r>
    </w:p>
    <w:p w14:paraId="399A2ECD" w14:textId="77777777" w:rsidR="00BC5781" w:rsidRPr="007224C3" w:rsidRDefault="00BC5781" w:rsidP="007224C3">
      <w:pPr>
        <w:pStyle w:val="rtejustify"/>
        <w:spacing w:before="0" w:after="0"/>
        <w:rPr>
          <w:color w:val="000000" w:themeColor="text1"/>
          <w:sz w:val="16"/>
          <w:szCs w:val="16"/>
        </w:rPr>
      </w:pPr>
      <w:r w:rsidRPr="007224C3">
        <w:rPr>
          <w:color w:val="000000" w:themeColor="text1"/>
          <w:sz w:val="16"/>
          <w:szCs w:val="16"/>
        </w:rPr>
        <w:t>Первоочередные задачи в связи с проведением денежной реформы</w:t>
      </w:r>
    </w:p>
    <w:tbl>
      <w:tblPr>
        <w:tblW w:w="0" w:type="auto"/>
        <w:tblBorders>
          <w:top w:val="outset" w:sz="6" w:space="0" w:color="auto"/>
          <w:left w:val="outset" w:sz="6" w:space="0" w:color="auto"/>
          <w:bottom w:val="outset" w:sz="6" w:space="0" w:color="auto"/>
          <w:right w:val="outset" w:sz="6" w:space="0" w:color="auto"/>
        </w:tblBorders>
        <w:shd w:val="clear" w:color="auto" w:fill="F2EEE1"/>
        <w:tblCellMar>
          <w:left w:w="0" w:type="dxa"/>
          <w:right w:w="0" w:type="dxa"/>
        </w:tblCellMar>
        <w:tblLook w:val="04A0" w:firstRow="1" w:lastRow="0" w:firstColumn="1" w:lastColumn="0" w:noHBand="0" w:noVBand="1"/>
      </w:tblPr>
      <w:tblGrid>
        <w:gridCol w:w="8504"/>
        <w:gridCol w:w="2818"/>
      </w:tblGrid>
      <w:tr w:rsidR="005106D0" w:rsidRPr="007224C3" w14:paraId="54F61385" w14:textId="77777777" w:rsidTr="00D03418">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B023966" w14:textId="77777777" w:rsidR="00BC5781" w:rsidRPr="007224C3" w:rsidRDefault="00BC578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Содержание задания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F60F078" w14:textId="77777777" w:rsidR="00BC5781" w:rsidRPr="007224C3" w:rsidRDefault="00BC578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Кому поручается</w:t>
            </w:r>
          </w:p>
        </w:tc>
      </w:tr>
      <w:tr w:rsidR="005106D0" w:rsidRPr="007224C3" w14:paraId="09782D54" w14:textId="77777777" w:rsidTr="00D03418">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F57ACAE"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1. Перспективы увеличения объема розничного товарооборота государственно-кооперативной торговли после окончания войны за счет: а) увеличения производства товаров широкого потребления госпредприятиями и кооперацией,</w:t>
            </w:r>
          </w:p>
          <w:p w14:paraId="61888778"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б) увеличения сельскохозяйственных заготовок,</w:t>
            </w:r>
          </w:p>
          <w:p w14:paraId="4DC1F4F6"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в) сокращения внерыночного потребления,</w:t>
            </w:r>
          </w:p>
          <w:p w14:paraId="24DF7090"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г) ускорения продвижения товаров от производства к потребителям.</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AEE0D12" w14:textId="77777777" w:rsidR="00BC5781" w:rsidRPr="007224C3" w:rsidRDefault="00BC5781" w:rsidP="007224C3">
            <w:pPr>
              <w:pStyle w:val="rtecenter"/>
              <w:spacing w:before="0" w:beforeAutospacing="0" w:after="0" w:afterAutospacing="0"/>
              <w:jc w:val="both"/>
              <w:rPr>
                <w:color w:val="000000" w:themeColor="text1"/>
                <w:sz w:val="16"/>
                <w:szCs w:val="16"/>
              </w:rPr>
            </w:pPr>
            <w:r w:rsidRPr="007224C3">
              <w:rPr>
                <w:color w:val="000000" w:themeColor="text1"/>
                <w:sz w:val="16"/>
                <w:szCs w:val="16"/>
              </w:rPr>
              <w:t>Управление госдоходов и отдел финансирования торговли и заготовок</w:t>
            </w:r>
          </w:p>
        </w:tc>
      </w:tr>
      <w:tr w:rsidR="005106D0" w:rsidRPr="007224C3" w14:paraId="5C5B4953" w14:textId="77777777" w:rsidTr="00D03418">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26FB56C"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2. Перспективы развертывания коммерческой торговли и перехода к открытой торговле всеми товарами и продуктами, приобретаемыми населением, по единым розничным ценам:</w:t>
            </w:r>
          </w:p>
          <w:p w14:paraId="728FDC21"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а) номенклатура товаров коммерческой торговли, ее расширение;</w:t>
            </w:r>
          </w:p>
          <w:p w14:paraId="13FCCD69"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б) размеры товарных фондов, выделяемых для коммерческой торговли;</w:t>
            </w:r>
          </w:p>
          <w:p w14:paraId="6460EC84"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в) цены коммерческой торговли и их изменение;</w:t>
            </w:r>
          </w:p>
          <w:p w14:paraId="755E66B5"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г) доходы госбюджета от продажи товаров по коммерческим ценам.</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1971707" w14:textId="77777777" w:rsidR="00BC5781" w:rsidRPr="007224C3" w:rsidRDefault="00BC5781" w:rsidP="007224C3">
            <w:pPr>
              <w:pStyle w:val="rtecenter"/>
              <w:spacing w:before="0" w:beforeAutospacing="0" w:after="0" w:afterAutospacing="0"/>
              <w:jc w:val="both"/>
              <w:rPr>
                <w:color w:val="000000" w:themeColor="text1"/>
                <w:sz w:val="16"/>
                <w:szCs w:val="16"/>
              </w:rPr>
            </w:pPr>
            <w:r w:rsidRPr="007224C3">
              <w:rPr>
                <w:color w:val="000000" w:themeColor="text1"/>
                <w:sz w:val="16"/>
                <w:szCs w:val="16"/>
              </w:rPr>
              <w:t>Управление госдоходов</w:t>
            </w:r>
          </w:p>
        </w:tc>
      </w:tr>
      <w:tr w:rsidR="005106D0" w:rsidRPr="007224C3" w14:paraId="48694802" w14:textId="77777777" w:rsidTr="00D03418">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518D091"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3. Перспективы сокращения расходов и увеличения доходов госбюджета после окончания войны.</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406153C" w14:textId="77777777" w:rsidR="00BC5781" w:rsidRPr="007224C3" w:rsidRDefault="00BC5781" w:rsidP="007224C3">
            <w:pPr>
              <w:pStyle w:val="rtecenter"/>
              <w:spacing w:before="0" w:beforeAutospacing="0" w:after="0" w:afterAutospacing="0"/>
              <w:jc w:val="both"/>
              <w:rPr>
                <w:color w:val="000000" w:themeColor="text1"/>
                <w:sz w:val="16"/>
                <w:szCs w:val="16"/>
              </w:rPr>
            </w:pPr>
            <w:r w:rsidRPr="007224C3">
              <w:rPr>
                <w:color w:val="000000" w:themeColor="text1"/>
                <w:sz w:val="16"/>
                <w:szCs w:val="16"/>
              </w:rPr>
              <w:t>Бюджетное управление</w:t>
            </w:r>
          </w:p>
        </w:tc>
      </w:tr>
      <w:tr w:rsidR="005106D0" w:rsidRPr="007224C3" w14:paraId="5C5D9B30" w14:textId="77777777" w:rsidTr="00D03418">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9FC4AD3"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4. Возможности усиления дифференциации налоговых платежей населения и более эффективного использования налогов для изъятия части денежных накоплений рыночных продавцов и для расширения объема колхозной торговли. Необходимые изменения в налоговой системе после окончания войны.</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ECF28D1" w14:textId="77777777" w:rsidR="00BC5781" w:rsidRPr="007224C3" w:rsidRDefault="00BC5781" w:rsidP="007224C3">
            <w:pPr>
              <w:pStyle w:val="rtecenter"/>
              <w:spacing w:before="0" w:beforeAutospacing="0" w:after="0" w:afterAutospacing="0"/>
              <w:jc w:val="both"/>
              <w:rPr>
                <w:color w:val="000000" w:themeColor="text1"/>
                <w:sz w:val="16"/>
                <w:szCs w:val="16"/>
              </w:rPr>
            </w:pPr>
            <w:r w:rsidRPr="007224C3">
              <w:rPr>
                <w:color w:val="000000" w:themeColor="text1"/>
                <w:sz w:val="16"/>
                <w:szCs w:val="16"/>
              </w:rPr>
              <w:t>Управление налогов и сборов</w:t>
            </w:r>
          </w:p>
        </w:tc>
      </w:tr>
      <w:tr w:rsidR="005106D0" w:rsidRPr="007224C3" w14:paraId="79381BEB" w14:textId="77777777" w:rsidTr="00D03418">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E17624C"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5. Перспективный баланс денежных доходов и расходов населения и кассовый план Госбанка после окончания войны.</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222B9A1" w14:textId="77777777" w:rsidR="00BC5781" w:rsidRPr="007224C3" w:rsidRDefault="00BC5781" w:rsidP="007224C3">
            <w:pPr>
              <w:pStyle w:val="rtecenter"/>
              <w:spacing w:before="0" w:beforeAutospacing="0" w:after="0" w:afterAutospacing="0"/>
              <w:jc w:val="both"/>
              <w:rPr>
                <w:color w:val="000000" w:themeColor="text1"/>
                <w:sz w:val="16"/>
                <w:szCs w:val="16"/>
              </w:rPr>
            </w:pPr>
            <w:r w:rsidRPr="007224C3">
              <w:rPr>
                <w:color w:val="000000" w:themeColor="text1"/>
                <w:sz w:val="16"/>
                <w:szCs w:val="16"/>
              </w:rPr>
              <w:t>Отдел финансово-экономический статистики</w:t>
            </w:r>
          </w:p>
        </w:tc>
      </w:tr>
      <w:tr w:rsidR="005106D0" w:rsidRPr="007224C3" w14:paraId="354983AC" w14:textId="77777777" w:rsidTr="00D03418">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893FCAE"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6. Порядок и условия проведения конверсии выпущенных государственных займов.</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0519838" w14:textId="77777777" w:rsidR="00BC5781" w:rsidRPr="007224C3" w:rsidRDefault="00BC5781" w:rsidP="007224C3">
            <w:pPr>
              <w:pStyle w:val="rtecenter"/>
              <w:spacing w:before="0" w:beforeAutospacing="0" w:after="0" w:afterAutospacing="0"/>
              <w:jc w:val="both"/>
              <w:rPr>
                <w:color w:val="000000" w:themeColor="text1"/>
                <w:sz w:val="16"/>
                <w:szCs w:val="16"/>
              </w:rPr>
            </w:pPr>
            <w:r w:rsidRPr="007224C3">
              <w:rPr>
                <w:color w:val="000000" w:themeColor="text1"/>
                <w:sz w:val="16"/>
                <w:szCs w:val="16"/>
              </w:rPr>
              <w:t>ГУТСК и ГК</w:t>
            </w:r>
          </w:p>
        </w:tc>
      </w:tr>
      <w:tr w:rsidR="005106D0" w:rsidRPr="007224C3" w14:paraId="3356A704" w14:textId="77777777" w:rsidTr="00D03418">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04D2377"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7. Основы определения паритета советской валюты и курсов иностранных валют.</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A567F19" w14:textId="77777777" w:rsidR="00BC5781" w:rsidRPr="007224C3" w:rsidRDefault="00BC5781" w:rsidP="007224C3">
            <w:pPr>
              <w:pStyle w:val="rtecenter"/>
              <w:spacing w:before="0" w:beforeAutospacing="0" w:after="0" w:afterAutospacing="0"/>
              <w:jc w:val="both"/>
              <w:rPr>
                <w:color w:val="000000" w:themeColor="text1"/>
                <w:sz w:val="16"/>
                <w:szCs w:val="16"/>
              </w:rPr>
            </w:pPr>
            <w:r w:rsidRPr="007224C3">
              <w:rPr>
                <w:color w:val="000000" w:themeColor="text1"/>
                <w:sz w:val="16"/>
                <w:szCs w:val="16"/>
              </w:rPr>
              <w:t>Валютное управление</w:t>
            </w:r>
          </w:p>
        </w:tc>
      </w:tr>
      <w:tr w:rsidR="005106D0" w:rsidRPr="007224C3" w14:paraId="7507DEA3" w14:textId="77777777" w:rsidTr="00D03418">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E52227E"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8. Перспективы импорта товаров широкого потребления после окончания войны.</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001EDAD" w14:textId="77777777" w:rsidR="00BC5781" w:rsidRPr="007224C3" w:rsidRDefault="00BC5781" w:rsidP="007224C3">
            <w:pPr>
              <w:pStyle w:val="rtecenter"/>
              <w:spacing w:before="0" w:beforeAutospacing="0" w:after="0" w:afterAutospacing="0"/>
              <w:jc w:val="both"/>
              <w:rPr>
                <w:color w:val="000000" w:themeColor="text1"/>
                <w:sz w:val="16"/>
                <w:szCs w:val="16"/>
              </w:rPr>
            </w:pPr>
            <w:r w:rsidRPr="007224C3">
              <w:rPr>
                <w:color w:val="000000" w:themeColor="text1"/>
                <w:sz w:val="16"/>
                <w:szCs w:val="16"/>
              </w:rPr>
              <w:t>Валютное управление</w:t>
            </w:r>
          </w:p>
        </w:tc>
      </w:tr>
      <w:tr w:rsidR="005106D0" w:rsidRPr="007224C3" w14:paraId="35F9B733" w14:textId="77777777" w:rsidTr="00D03418">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9F4F66B"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9. Задачи, пут и методы укрепления хозрасчета и системы форм и методов стимулирования себестоимости, выполнения плана, правильного и экономного использования основных фондов, оборотных средств, ассигнований на административно-хозяйственные расходы, сокращения накладных расходов и всякого рода потерь.</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59E5397" w14:textId="77777777" w:rsidR="00BC5781" w:rsidRPr="007224C3" w:rsidRDefault="00BC5781" w:rsidP="007224C3">
            <w:pPr>
              <w:pStyle w:val="rtecenter"/>
              <w:spacing w:before="0" w:beforeAutospacing="0" w:after="0" w:afterAutospacing="0"/>
              <w:jc w:val="both"/>
              <w:rPr>
                <w:color w:val="000000" w:themeColor="text1"/>
                <w:sz w:val="16"/>
                <w:szCs w:val="16"/>
              </w:rPr>
            </w:pPr>
            <w:r w:rsidRPr="007224C3">
              <w:rPr>
                <w:color w:val="000000" w:themeColor="text1"/>
                <w:sz w:val="16"/>
                <w:szCs w:val="16"/>
              </w:rPr>
              <w:t>Отраслевые отделы финансирования</w:t>
            </w:r>
          </w:p>
        </w:tc>
      </w:tr>
      <w:tr w:rsidR="005106D0" w:rsidRPr="007224C3" w14:paraId="3AA45E45" w14:textId="77777777" w:rsidTr="00D03418">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7F5F638" w14:textId="77777777" w:rsidR="00BC5781" w:rsidRPr="007224C3" w:rsidRDefault="00BC5781" w:rsidP="007224C3">
            <w:pPr>
              <w:pStyle w:val="ae"/>
              <w:spacing w:before="0" w:after="0"/>
              <w:jc w:val="both"/>
              <w:rPr>
                <w:color w:val="000000" w:themeColor="text1"/>
                <w:sz w:val="16"/>
                <w:szCs w:val="16"/>
              </w:rPr>
            </w:pPr>
            <w:r w:rsidRPr="007224C3">
              <w:rPr>
                <w:color w:val="000000" w:themeColor="text1"/>
                <w:sz w:val="16"/>
                <w:szCs w:val="16"/>
              </w:rPr>
              <w:t>10. Необходимые изменения в организации расчетов, банковском кредитовании и организации оборотных средств.</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1F3A241" w14:textId="77777777" w:rsidR="00BC5781" w:rsidRPr="007224C3" w:rsidRDefault="00BC5781" w:rsidP="007224C3">
            <w:pPr>
              <w:pStyle w:val="rtecenter"/>
              <w:spacing w:before="0" w:beforeAutospacing="0" w:after="0" w:afterAutospacing="0"/>
              <w:jc w:val="both"/>
              <w:rPr>
                <w:color w:val="000000" w:themeColor="text1"/>
                <w:sz w:val="16"/>
                <w:szCs w:val="16"/>
              </w:rPr>
            </w:pPr>
            <w:r w:rsidRPr="007224C3">
              <w:rPr>
                <w:color w:val="000000" w:themeColor="text1"/>
                <w:sz w:val="16"/>
                <w:szCs w:val="16"/>
              </w:rPr>
              <w:t>Группа денежного обращения</w:t>
            </w:r>
          </w:p>
        </w:tc>
      </w:tr>
      <w:tr w:rsidR="005106D0" w:rsidRPr="007224C3" w14:paraId="1A51DEF6" w14:textId="77777777" w:rsidTr="00D03418">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EC161EB" w14:textId="77777777" w:rsidR="00BC5781" w:rsidRPr="007224C3" w:rsidRDefault="00BC578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Задачи и пути усовершенствования действующей системы тарифов: транспортных, жилищно-коммунальных и др.</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BD660F1" w14:textId="77777777" w:rsidR="00BC5781" w:rsidRPr="007224C3" w:rsidRDefault="00BC578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Группа денежного обращения</w:t>
            </w:r>
          </w:p>
        </w:tc>
      </w:tr>
      <w:tr w:rsidR="005106D0" w:rsidRPr="007224C3" w14:paraId="4E943508" w14:textId="77777777" w:rsidTr="00D03418">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1E33BF0" w14:textId="77777777" w:rsidR="00BC5781" w:rsidRPr="007224C3" w:rsidRDefault="00BC578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Задачи и пути усовершенствования действующей системы цен.</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57F4559" w14:textId="77777777" w:rsidR="00BC5781" w:rsidRPr="007224C3" w:rsidRDefault="00BC578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Группа денежного обращения</w:t>
            </w:r>
          </w:p>
        </w:tc>
      </w:tr>
    </w:tbl>
    <w:bookmarkStart w:id="25" w:name="_rtfnr1.1"/>
    <w:p w14:paraId="26C35B9C" w14:textId="77777777" w:rsidR="00BC5781" w:rsidRPr="007224C3" w:rsidRDefault="007E0398" w:rsidP="007224C3">
      <w:pPr>
        <w:pStyle w:val="ae"/>
        <w:spacing w:before="0" w:after="0"/>
        <w:jc w:val="both"/>
        <w:rPr>
          <w:color w:val="000000" w:themeColor="text1"/>
          <w:sz w:val="16"/>
          <w:szCs w:val="16"/>
        </w:rPr>
      </w:pPr>
      <w:r w:rsidRPr="007224C3">
        <w:rPr>
          <w:color w:val="000000" w:themeColor="text1"/>
          <w:sz w:val="16"/>
          <w:szCs w:val="16"/>
        </w:rPr>
        <w:fldChar w:fldCharType="begin"/>
      </w:r>
      <w:r w:rsidR="00BC5781" w:rsidRPr="007224C3">
        <w:rPr>
          <w:color w:val="000000" w:themeColor="text1"/>
          <w:sz w:val="16"/>
          <w:szCs w:val="16"/>
        </w:rPr>
        <w:instrText xml:space="preserve"> HYPERLINK "http://istmat.info/node/62297" \l "_rtfnr1" </w:instrText>
      </w:r>
      <w:r w:rsidRPr="007224C3">
        <w:rPr>
          <w:color w:val="000000" w:themeColor="text1"/>
          <w:sz w:val="16"/>
          <w:szCs w:val="16"/>
        </w:rPr>
        <w:fldChar w:fldCharType="separate"/>
      </w:r>
      <w:r w:rsidR="00BC5781" w:rsidRPr="007224C3">
        <w:rPr>
          <w:rStyle w:val="a5"/>
          <w:rFonts w:eastAsiaTheme="majorEastAsia"/>
          <w:color w:val="000000" w:themeColor="text1"/>
          <w:sz w:val="16"/>
          <w:szCs w:val="16"/>
          <w:u w:val="none"/>
          <w:vertAlign w:val="superscript"/>
        </w:rPr>
        <w:t>10</w:t>
      </w:r>
      <w:r w:rsidRPr="007224C3">
        <w:rPr>
          <w:color w:val="000000" w:themeColor="text1"/>
          <w:sz w:val="16"/>
          <w:szCs w:val="16"/>
        </w:rPr>
        <w:fldChar w:fldCharType="end"/>
      </w:r>
      <w:bookmarkEnd w:id="25"/>
      <w:r w:rsidR="00BC5781" w:rsidRPr="007224C3">
        <w:rPr>
          <w:color w:val="000000" w:themeColor="text1"/>
          <w:sz w:val="16"/>
          <w:szCs w:val="16"/>
        </w:rPr>
        <w:t> Коммерческая торговля началась в Москве в виде эксперимента ранее срока, указанного в примеч. 7. Об этом и говорит автор записки, ставя вопрос о распространении этого вида торговли на другие города и районы (19662).</w:t>
      </w:r>
    </w:p>
    <w:p w14:paraId="2F9E3222" w14:textId="77777777" w:rsidR="00BC5781" w:rsidRPr="007224C3" w:rsidRDefault="00BC5781" w:rsidP="007224C3">
      <w:pPr>
        <w:spacing w:after="0" w:line="240" w:lineRule="auto"/>
        <w:jc w:val="both"/>
        <w:rPr>
          <w:rFonts w:ascii="Times New Roman" w:hAnsi="Times New Roman"/>
          <w:color w:val="000000" w:themeColor="text1"/>
          <w:sz w:val="16"/>
          <w:szCs w:val="16"/>
        </w:rPr>
      </w:pPr>
    </w:p>
    <w:p w14:paraId="62F6209C"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Внешняя политика:</w:t>
      </w:r>
    </w:p>
    <w:p w14:paraId="174DEDD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3AA43E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марта 1944 года</w:t>
      </w:r>
    </w:p>
    <w:p w14:paraId="55FB8C8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ЛИЧНО И СЕКРЕТНО ОТ ПРЕМЬЕРА И. В. СТАЛИНА ПРЕМЬЕР-МИНИСТРУ г-ну У. ЧЕРЧИЛЛЮ</w:t>
      </w:r>
    </w:p>
    <w:p w14:paraId="2E4AAC7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Благодарю за Ваше сообщение о последнем конвое, который доставил Советскому Союзу нужные грузы. С большим удовлетворением узнал из Вашей телеграммы, что по дороге конвой потопил четыре вражеские подводные лодки (7430).</w:t>
      </w:r>
    </w:p>
    <w:p w14:paraId="01C775D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00E224" w14:textId="77777777" w:rsidR="007A1E0D"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28F076E4" w14:textId="77777777" w:rsidR="007A1E0D" w:rsidRPr="007224C3" w:rsidRDefault="007A1E0D"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C0DE451" w14:textId="77777777" w:rsidR="007A1E0D" w:rsidRPr="007224C3" w:rsidRDefault="007A1E0D"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13 марта</w:t>
      </w:r>
      <w:r w:rsidRPr="007224C3">
        <w:rPr>
          <w:rFonts w:ascii="Times New Roman" w:hAnsi="Times New Roman"/>
          <w:color w:val="000000" w:themeColor="text1"/>
          <w:sz w:val="16"/>
          <w:szCs w:val="16"/>
        </w:rPr>
        <w:t xml:space="preserve"> в 1944 году начало стендовых испытаний двигателя «Х19В» фирмы "Вестингауз". В серию двигатель пошел под названием «J30». Для проведения летных испытаний этого двигателя был специально переоборудован самолет Мартин JM-1 "Мародер» (15067).</w:t>
      </w:r>
    </w:p>
    <w:p w14:paraId="2BFCC8F3" w14:textId="77777777" w:rsidR="007A1E0D" w:rsidRPr="007224C3" w:rsidRDefault="007A1E0D" w:rsidP="007224C3">
      <w:pPr>
        <w:spacing w:after="0" w:line="240" w:lineRule="auto"/>
        <w:jc w:val="both"/>
        <w:rPr>
          <w:rFonts w:ascii="Times New Roman" w:hAnsi="Times New Roman"/>
          <w:color w:val="000000" w:themeColor="text1"/>
          <w:sz w:val="16"/>
          <w:szCs w:val="16"/>
        </w:rPr>
      </w:pPr>
    </w:p>
    <w:p w14:paraId="1BB5DDBC"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2B08256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28FAB6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марта 1944 г., когда самолет уже был закончен по сборке и находился в Москве на авиазаводе № 240 с целью дальней</w:t>
      </w:r>
      <w:r w:rsidRPr="007224C3">
        <w:rPr>
          <w:rFonts w:ascii="Times New Roman" w:hAnsi="Times New Roman"/>
          <w:color w:val="000000" w:themeColor="text1"/>
          <w:sz w:val="16"/>
          <w:szCs w:val="16"/>
        </w:rPr>
        <w:softHyphen/>
        <w:t>шей доводки и проведения испыта</w:t>
      </w:r>
      <w:r w:rsidRPr="007224C3">
        <w:rPr>
          <w:rFonts w:ascii="Times New Roman" w:hAnsi="Times New Roman"/>
          <w:color w:val="000000" w:themeColor="text1"/>
          <w:sz w:val="16"/>
          <w:szCs w:val="16"/>
        </w:rPr>
        <w:softHyphen/>
        <w:t>ний, как следует из до</w:t>
      </w:r>
      <w:r w:rsidRPr="007224C3">
        <w:rPr>
          <w:rFonts w:ascii="Times New Roman" w:hAnsi="Times New Roman"/>
          <w:color w:val="000000" w:themeColor="text1"/>
          <w:sz w:val="16"/>
          <w:szCs w:val="16"/>
        </w:rPr>
        <w:softHyphen/>
        <w:t>кументов, эскизный проект Ил-1 АМ-42 в двухместном варианте только поступил в НИИ ВВС. Очевидно, что в этих условиях внесение каких-либо серьезных из</w:t>
      </w:r>
      <w:r w:rsidRPr="007224C3">
        <w:rPr>
          <w:rFonts w:ascii="Times New Roman" w:hAnsi="Times New Roman"/>
          <w:color w:val="000000" w:themeColor="text1"/>
          <w:sz w:val="16"/>
          <w:szCs w:val="16"/>
        </w:rPr>
        <w:softHyphen/>
        <w:t>менений в конструкцию машины практически исключалось. То есть получается так, что штурмовой ва</w:t>
      </w:r>
      <w:r w:rsidRPr="007224C3">
        <w:rPr>
          <w:rFonts w:ascii="Times New Roman" w:hAnsi="Times New Roman"/>
          <w:color w:val="000000" w:themeColor="text1"/>
          <w:sz w:val="16"/>
          <w:szCs w:val="16"/>
        </w:rPr>
        <w:softHyphen/>
        <w:t>риант самолета Ил-1 строился без утвержденного ВВС эскизного про</w:t>
      </w:r>
      <w:r w:rsidRPr="007224C3">
        <w:rPr>
          <w:rFonts w:ascii="Times New Roman" w:hAnsi="Times New Roman"/>
          <w:color w:val="000000" w:themeColor="text1"/>
          <w:sz w:val="16"/>
          <w:szCs w:val="16"/>
        </w:rPr>
        <w:softHyphen/>
        <w:t>екта и макета.</w:t>
      </w:r>
    </w:p>
    <w:p w14:paraId="0CB0214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Надо полагать, С. В. Ильюшин, затягивая всеми возможными спосо</w:t>
      </w:r>
      <w:r w:rsidRPr="007224C3">
        <w:rPr>
          <w:rFonts w:ascii="Times New Roman" w:hAnsi="Times New Roman"/>
          <w:color w:val="000000" w:themeColor="text1"/>
          <w:sz w:val="16"/>
          <w:szCs w:val="16"/>
        </w:rPr>
        <w:softHyphen/>
        <w:t>бами передачу в НИИ ВВС матери</w:t>
      </w:r>
      <w:r w:rsidRPr="007224C3">
        <w:rPr>
          <w:rFonts w:ascii="Times New Roman" w:hAnsi="Times New Roman"/>
          <w:color w:val="000000" w:themeColor="text1"/>
          <w:sz w:val="16"/>
          <w:szCs w:val="16"/>
        </w:rPr>
        <w:softHyphen/>
        <w:t>алов по новому штурмовику, опасал</w:t>
      </w:r>
      <w:r w:rsidRPr="007224C3">
        <w:rPr>
          <w:rFonts w:ascii="Times New Roman" w:hAnsi="Times New Roman"/>
          <w:color w:val="000000" w:themeColor="text1"/>
          <w:sz w:val="16"/>
          <w:szCs w:val="16"/>
        </w:rPr>
        <w:softHyphen/>
        <w:t>ся, что рассмотрение военными эс</w:t>
      </w:r>
      <w:r w:rsidRPr="007224C3">
        <w:rPr>
          <w:rFonts w:ascii="Times New Roman" w:hAnsi="Times New Roman"/>
          <w:color w:val="000000" w:themeColor="text1"/>
          <w:sz w:val="16"/>
          <w:szCs w:val="16"/>
        </w:rPr>
        <w:softHyphen/>
        <w:t>кизного проекта вполне вероятно закончится перечнем недостатков и требований, которые необходимо будет отрабатывать. Утверждение проекта затянется. В это время спе</w:t>
      </w:r>
      <w:r w:rsidRPr="007224C3">
        <w:rPr>
          <w:rFonts w:ascii="Times New Roman" w:hAnsi="Times New Roman"/>
          <w:color w:val="000000" w:themeColor="text1"/>
          <w:sz w:val="16"/>
          <w:szCs w:val="16"/>
        </w:rPr>
        <w:softHyphen/>
        <w:t>циалисты ОКБ П. О. Сухого сумеют довести Су-6 АМ-42 до требуемого уровня надежности и надобность в Ил-1 отпадет.</w:t>
      </w:r>
    </w:p>
    <w:p w14:paraId="5BF89E5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Как и следовало ожидать, проек</w:t>
      </w:r>
      <w:r w:rsidRPr="007224C3">
        <w:rPr>
          <w:rFonts w:ascii="Times New Roman" w:hAnsi="Times New Roman"/>
          <w:color w:val="000000" w:themeColor="text1"/>
          <w:sz w:val="16"/>
          <w:szCs w:val="16"/>
        </w:rPr>
        <w:softHyphen/>
        <w:t>том самолета Ил-1 специалисты НИИ ВВС остались недовольны. Началь</w:t>
      </w:r>
      <w:r w:rsidRPr="007224C3">
        <w:rPr>
          <w:rFonts w:ascii="Times New Roman" w:hAnsi="Times New Roman"/>
          <w:color w:val="000000" w:themeColor="text1"/>
          <w:sz w:val="16"/>
          <w:szCs w:val="16"/>
        </w:rPr>
        <w:softHyphen/>
        <w:t>ник 4-го отделения 3-го отдела ин</w:t>
      </w:r>
      <w:r w:rsidRPr="007224C3">
        <w:rPr>
          <w:rFonts w:ascii="Times New Roman" w:hAnsi="Times New Roman"/>
          <w:color w:val="000000" w:themeColor="text1"/>
          <w:sz w:val="16"/>
          <w:szCs w:val="16"/>
        </w:rPr>
        <w:softHyphen/>
        <w:t>ститута инженер-майор В. С. Холо</w:t>
      </w:r>
      <w:r w:rsidRPr="007224C3">
        <w:rPr>
          <w:rFonts w:ascii="Times New Roman" w:hAnsi="Times New Roman"/>
          <w:color w:val="000000" w:themeColor="text1"/>
          <w:sz w:val="16"/>
          <w:szCs w:val="16"/>
        </w:rPr>
        <w:softHyphen/>
        <w:t>пов и ведущий инженер 3-го отдела инженер-майор П. Т. Аброщенко писали, что в материалах ОКБ от</w:t>
      </w:r>
      <w:r w:rsidRPr="007224C3">
        <w:rPr>
          <w:rFonts w:ascii="Times New Roman" w:hAnsi="Times New Roman"/>
          <w:color w:val="000000" w:themeColor="text1"/>
          <w:sz w:val="16"/>
          <w:szCs w:val="16"/>
        </w:rPr>
        <w:softHyphen/>
        <w:t>сутствуют: тактическое назначение самолета, описание конструкции и расчет на прочность, состав специ</w:t>
      </w:r>
      <w:r w:rsidRPr="007224C3">
        <w:rPr>
          <w:rFonts w:ascii="Times New Roman" w:hAnsi="Times New Roman"/>
          <w:color w:val="000000" w:themeColor="text1"/>
          <w:sz w:val="16"/>
          <w:szCs w:val="16"/>
        </w:rPr>
        <w:softHyphen/>
        <w:t>ального оборудования и его компо</w:t>
      </w:r>
      <w:r w:rsidRPr="007224C3">
        <w:rPr>
          <w:rFonts w:ascii="Times New Roman" w:hAnsi="Times New Roman"/>
          <w:color w:val="000000" w:themeColor="text1"/>
          <w:sz w:val="16"/>
          <w:szCs w:val="16"/>
        </w:rPr>
        <w:softHyphen/>
        <w:t>новка на самолете, а также расчеты маневренности, устойчивости и по</w:t>
      </w:r>
      <w:r w:rsidRPr="007224C3">
        <w:rPr>
          <w:rFonts w:ascii="Times New Roman" w:hAnsi="Times New Roman"/>
          <w:color w:val="000000" w:themeColor="text1"/>
          <w:sz w:val="16"/>
          <w:szCs w:val="16"/>
        </w:rPr>
        <w:softHyphen/>
        <w:t>ляры крыла. Установка на самолете системы заполнения бензобаков ней</w:t>
      </w:r>
      <w:r w:rsidRPr="007224C3">
        <w:rPr>
          <w:rFonts w:ascii="Times New Roman" w:hAnsi="Times New Roman"/>
          <w:color w:val="000000" w:themeColor="text1"/>
          <w:sz w:val="16"/>
          <w:szCs w:val="16"/>
        </w:rPr>
        <w:softHyphen/>
        <w:t>тральным газом не предполагалась. Не было предусмотрено дублирова</w:t>
      </w:r>
      <w:r w:rsidRPr="007224C3">
        <w:rPr>
          <w:rFonts w:ascii="Times New Roman" w:hAnsi="Times New Roman"/>
          <w:color w:val="000000" w:themeColor="text1"/>
          <w:sz w:val="16"/>
          <w:szCs w:val="16"/>
        </w:rPr>
        <w:softHyphen/>
        <w:t xml:space="preserve">ние в канале управления рулем </w:t>
      </w:r>
      <w:r w:rsidRPr="007224C3">
        <w:rPr>
          <w:rFonts w:ascii="Times New Roman" w:hAnsi="Times New Roman"/>
          <w:color w:val="000000" w:themeColor="text1"/>
          <w:sz w:val="16"/>
          <w:szCs w:val="16"/>
        </w:rPr>
        <w:lastRenderedPageBreak/>
        <w:t>вы</w:t>
      </w:r>
      <w:r w:rsidRPr="007224C3">
        <w:rPr>
          <w:rFonts w:ascii="Times New Roman" w:hAnsi="Times New Roman"/>
          <w:color w:val="000000" w:themeColor="text1"/>
          <w:sz w:val="16"/>
          <w:szCs w:val="16"/>
        </w:rPr>
        <w:softHyphen/>
        <w:t>соты и направления. Воздушный стре</w:t>
      </w:r>
      <w:r w:rsidRPr="007224C3">
        <w:rPr>
          <w:rFonts w:ascii="Times New Roman" w:hAnsi="Times New Roman"/>
          <w:color w:val="000000" w:themeColor="text1"/>
          <w:sz w:val="16"/>
          <w:szCs w:val="16"/>
        </w:rPr>
        <w:softHyphen/>
        <w:t>лок по-прежнему оставался не за</w:t>
      </w:r>
      <w:r w:rsidRPr="007224C3">
        <w:rPr>
          <w:rFonts w:ascii="Times New Roman" w:hAnsi="Times New Roman"/>
          <w:color w:val="000000" w:themeColor="text1"/>
          <w:sz w:val="16"/>
          <w:szCs w:val="16"/>
        </w:rPr>
        <w:softHyphen/>
        <w:t>щищенным от огня сверху-сзади. Все эти недостатки в начале 1944 г. уже считались недопустимыми для само</w:t>
      </w:r>
      <w:r w:rsidRPr="007224C3">
        <w:rPr>
          <w:rFonts w:ascii="Times New Roman" w:hAnsi="Times New Roman"/>
          <w:color w:val="000000" w:themeColor="text1"/>
          <w:sz w:val="16"/>
          <w:szCs w:val="16"/>
        </w:rPr>
        <w:softHyphen/>
        <w:t>лета поля боя.</w:t>
      </w:r>
    </w:p>
    <w:p w14:paraId="6BDF66B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 впечатлили военных и боевые возможности самолета. Вооружение Ил-1 по проекту включало две пуш</w:t>
      </w:r>
      <w:r w:rsidRPr="007224C3">
        <w:rPr>
          <w:rFonts w:ascii="Times New Roman" w:hAnsi="Times New Roman"/>
          <w:color w:val="000000" w:themeColor="text1"/>
          <w:sz w:val="16"/>
          <w:szCs w:val="16"/>
        </w:rPr>
        <w:softHyphen/>
        <w:t>ки ВЯ-23 (300 снарядов), два пуле</w:t>
      </w:r>
      <w:r w:rsidRPr="007224C3">
        <w:rPr>
          <w:rFonts w:ascii="Times New Roman" w:hAnsi="Times New Roman"/>
          <w:color w:val="000000" w:themeColor="text1"/>
          <w:sz w:val="16"/>
          <w:szCs w:val="16"/>
        </w:rPr>
        <w:softHyphen/>
        <w:t>мета ШКАС (1500 патронов), один оборонительный пулемет УБТ (150 патронов), 10 авиационных гранат АГ-2, 200 кг бомб (калибров от 1 до 100 кг) в двух бомбоотсеках и 200 кг (2 ФАБ-100) на внешней подвеске. В перегрузку допускалась подвеска снаружи двух бомб ФАБ-250. Ракет</w:t>
      </w:r>
      <w:r w:rsidRPr="007224C3">
        <w:rPr>
          <w:rFonts w:ascii="Times New Roman" w:hAnsi="Times New Roman"/>
          <w:color w:val="000000" w:themeColor="text1"/>
          <w:sz w:val="16"/>
          <w:szCs w:val="16"/>
        </w:rPr>
        <w:softHyphen/>
        <w:t>ное вооружение не предусматрива</w:t>
      </w:r>
      <w:r w:rsidRPr="007224C3">
        <w:rPr>
          <w:rFonts w:ascii="Times New Roman" w:hAnsi="Times New Roman"/>
          <w:color w:val="000000" w:themeColor="text1"/>
          <w:sz w:val="16"/>
          <w:szCs w:val="16"/>
        </w:rPr>
        <w:softHyphen/>
        <w:t>лось.</w:t>
      </w:r>
    </w:p>
    <w:p w14:paraId="7475598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выводах заключения по эскиз</w:t>
      </w:r>
      <w:r w:rsidRPr="007224C3">
        <w:rPr>
          <w:rFonts w:ascii="Times New Roman" w:hAnsi="Times New Roman"/>
          <w:color w:val="000000" w:themeColor="text1"/>
          <w:sz w:val="16"/>
          <w:szCs w:val="16"/>
        </w:rPr>
        <w:softHyphen/>
        <w:t>ному проекту указывалось: "...Глав</w:t>
      </w:r>
      <w:r w:rsidRPr="007224C3">
        <w:rPr>
          <w:rFonts w:ascii="Times New Roman" w:hAnsi="Times New Roman"/>
          <w:color w:val="000000" w:themeColor="text1"/>
          <w:sz w:val="16"/>
          <w:szCs w:val="16"/>
        </w:rPr>
        <w:softHyphen/>
        <w:t>ный конструктор самолета предла</w:t>
      </w:r>
      <w:r w:rsidRPr="007224C3">
        <w:rPr>
          <w:rFonts w:ascii="Times New Roman" w:hAnsi="Times New Roman"/>
          <w:color w:val="000000" w:themeColor="text1"/>
          <w:sz w:val="16"/>
          <w:szCs w:val="16"/>
        </w:rPr>
        <w:softHyphen/>
        <w:t>гает бронированный штурмовик. Если это так, то в чем заключается смысл постройки этого самолета. При срав</w:t>
      </w:r>
      <w:r w:rsidRPr="007224C3">
        <w:rPr>
          <w:rFonts w:ascii="Times New Roman" w:hAnsi="Times New Roman"/>
          <w:color w:val="000000" w:themeColor="text1"/>
          <w:sz w:val="16"/>
          <w:szCs w:val="16"/>
        </w:rPr>
        <w:softHyphen/>
        <w:t>нении с Су-6 с АМ-42 напрашивает</w:t>
      </w:r>
      <w:r w:rsidRPr="007224C3">
        <w:rPr>
          <w:rFonts w:ascii="Times New Roman" w:hAnsi="Times New Roman"/>
          <w:color w:val="000000" w:themeColor="text1"/>
          <w:sz w:val="16"/>
          <w:szCs w:val="16"/>
        </w:rPr>
        <w:softHyphen/>
        <w:t>ся вывод не в пользу Ил-1 с АМ-42. ...По летным данным Ил-1 превосхо</w:t>
      </w:r>
      <w:r w:rsidRPr="007224C3">
        <w:rPr>
          <w:rFonts w:ascii="Times New Roman" w:hAnsi="Times New Roman"/>
          <w:color w:val="000000" w:themeColor="text1"/>
          <w:sz w:val="16"/>
          <w:szCs w:val="16"/>
        </w:rPr>
        <w:softHyphen/>
        <w:t>дит Су-6, но по бомбовой нагрузке и вооружению уступает. Серийный самолет Ил-2 превосходит по летным данным, но уступает ему по бомбо</w:t>
      </w:r>
      <w:r w:rsidRPr="007224C3">
        <w:rPr>
          <w:rFonts w:ascii="Times New Roman" w:hAnsi="Times New Roman"/>
          <w:color w:val="000000" w:themeColor="text1"/>
          <w:sz w:val="16"/>
          <w:szCs w:val="16"/>
        </w:rPr>
        <w:softHyphen/>
        <w:t>вой нагрузке. ...Бронирование Ил-1 требованиям ВВС не удовлетворяет. ...Конструкция Ил-1 по проекту ба</w:t>
      </w:r>
      <w:r w:rsidRPr="007224C3">
        <w:rPr>
          <w:rFonts w:ascii="Times New Roman" w:hAnsi="Times New Roman"/>
          <w:color w:val="000000" w:themeColor="text1"/>
          <w:sz w:val="16"/>
          <w:szCs w:val="16"/>
        </w:rPr>
        <w:softHyphen/>
        <w:t>зируется на технологии серийного Ил-2, однако для освоения самоле</w:t>
      </w:r>
      <w:r w:rsidRPr="007224C3">
        <w:rPr>
          <w:rFonts w:ascii="Times New Roman" w:hAnsi="Times New Roman"/>
          <w:color w:val="000000" w:themeColor="text1"/>
          <w:sz w:val="16"/>
          <w:szCs w:val="16"/>
        </w:rPr>
        <w:softHyphen/>
        <w:t>та потребуется коренная переделка всего производства".</w:t>
      </w:r>
    </w:p>
    <w:p w14:paraId="54F81CB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Требовалось внести серьезные из</w:t>
      </w:r>
      <w:r w:rsidRPr="007224C3">
        <w:rPr>
          <w:rFonts w:ascii="Times New Roman" w:hAnsi="Times New Roman"/>
          <w:color w:val="000000" w:themeColor="text1"/>
          <w:sz w:val="16"/>
          <w:szCs w:val="16"/>
        </w:rPr>
        <w:softHyphen/>
        <w:t>менения в конструкцию и вооруже</w:t>
      </w:r>
      <w:r w:rsidRPr="007224C3">
        <w:rPr>
          <w:rFonts w:ascii="Times New Roman" w:hAnsi="Times New Roman"/>
          <w:color w:val="000000" w:themeColor="text1"/>
          <w:sz w:val="16"/>
          <w:szCs w:val="16"/>
        </w:rPr>
        <w:softHyphen/>
        <w:t>ние предлагаемого штурмовика. Как показали дальнейшие события, кро</w:t>
      </w:r>
      <w:r w:rsidRPr="007224C3">
        <w:rPr>
          <w:rFonts w:ascii="Times New Roman" w:hAnsi="Times New Roman"/>
          <w:color w:val="000000" w:themeColor="text1"/>
          <w:sz w:val="16"/>
          <w:szCs w:val="16"/>
        </w:rPr>
        <w:softHyphen/>
        <w:t>ме установки пушки Ш-20 ОКБ-15 калибра 20 мм вместо УБТ, других доработок сделано не было (11427).</w:t>
      </w:r>
    </w:p>
    <w:p w14:paraId="4D721A0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D5E5DCF" w14:textId="77777777" w:rsidR="00E23799" w:rsidRPr="007224C3" w:rsidRDefault="00E23799"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14 марта 1944 года в НИИ ВВС поступил эскизный проект Ил-1 АМ-42 в двухместном варианте лишь, когда самолет уже был закончен по сборке и находился в Москве на 240-м заводе. Очевидно, что в этих условиях внесение каких-либо серьезных изменений в конструкцию машины практически исключалось.</w:t>
      </w:r>
    </w:p>
    <w:p w14:paraId="1841960F" w14:textId="77777777" w:rsidR="00E23799" w:rsidRPr="007224C3" w:rsidRDefault="00E23799"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Надо полагать, Ильюшин, затягивая всеми возможными способами передачу в НИИ ВВС материалов по новому штурмовику, опасался, что рассмотрение военными эскизного проекта, вполне вероятно, закончится перечнем недостатков и требований, которые необходимо будет отрабатывать. Утверждение проекта затянется. В это время специалисты ОКБ П. О. Сухого сумеют довести Су-6 АМ-42 до требуемого уровня надежности и надобность в Ил-1 отпадет.</w:t>
      </w:r>
    </w:p>
    <w:p w14:paraId="27267858" w14:textId="77777777" w:rsidR="00E23799" w:rsidRPr="007224C3" w:rsidRDefault="00E23799"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Как и следовало ожидать, проектом самолета Ил-1 в НИИ ВВС остались недовольны. Начальник 4-го отделения 3-го отдела института инженер-майор В. С. Холопов и ведущий инженер 3-го отдела инженер-майор П. Т. Аброщенко писали, что в материалах ОКБ-240 отсутствуют: тактическое назначение самолета, описание конструкции и расчет на прочность</w:t>
      </w:r>
      <w:r w:rsidRPr="007224C3">
        <w:rPr>
          <w:rStyle w:val="BodytextItalic"/>
          <w:rFonts w:eastAsiaTheme="minorHAnsi"/>
          <w:i w:val="0"/>
          <w:color w:val="000000" w:themeColor="text1"/>
          <w:sz w:val="16"/>
          <w:szCs w:val="16"/>
        </w:rPr>
        <w:t>,</w:t>
      </w:r>
      <w:r w:rsidRPr="007224C3">
        <w:rPr>
          <w:rStyle w:val="77"/>
          <w:rFonts w:eastAsiaTheme="minorHAnsi"/>
          <w:color w:val="000000" w:themeColor="text1"/>
          <w:sz w:val="16"/>
          <w:szCs w:val="16"/>
        </w:rPr>
        <w:t xml:space="preserve"> состав специального оборудования и его компоновка на самолете, а также расчеты маневренности, устойчивости и поляры крыла. Установка системы заполнения бензобаков нейтральным газом не предполагалась. Не было предусмотрено дублирование в канале управления рулем высоты и направления. Воздушный стрелок по-прежнему оставался не защищенным от огня сверху-сзади. Все эти недостатки к началу 1944 года уже считались недопустимыми для самолета поля боя.</w:t>
      </w:r>
    </w:p>
    <w:p w14:paraId="09E398F8" w14:textId="77777777" w:rsidR="00E23799" w:rsidRPr="007224C3" w:rsidRDefault="00E23799"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Не впечатлили военных и боевые возможности самолета. Вооружение Ил-1 по проекту включало две пушки ВЯ (300 снарядов), два пулемета ШКАС (1500 патронов), один оборонительный пулемет УБТ (150 патронов), 10 авиационных гранат АГ-2, 200 кг бомб (калибров от 1 до 100 кг) в двух бомбоотсеках и 200 кг (2 ФАБ-100) на внешней подвеске. В перегрузку (всего 500-600 кг) допускалась подвеска двух бомб ФАБ-250 снаружи. Ракетное вооружение не предусматривалось.</w:t>
      </w:r>
    </w:p>
    <w:p w14:paraId="7B702321" w14:textId="77777777" w:rsidR="00E23799" w:rsidRPr="007224C3" w:rsidRDefault="00E23799" w:rsidP="007224C3">
      <w:pPr>
        <w:spacing w:after="0" w:line="240" w:lineRule="auto"/>
        <w:jc w:val="both"/>
        <w:rPr>
          <w:rStyle w:val="77"/>
          <w:rFonts w:eastAsiaTheme="minorHAnsi"/>
          <w:color w:val="000000" w:themeColor="text1"/>
          <w:sz w:val="16"/>
          <w:szCs w:val="16"/>
        </w:rPr>
      </w:pPr>
      <w:r w:rsidRPr="007224C3">
        <w:rPr>
          <w:rStyle w:val="77"/>
          <w:rFonts w:eastAsiaTheme="minorHAnsi"/>
          <w:color w:val="000000" w:themeColor="text1"/>
          <w:sz w:val="16"/>
          <w:szCs w:val="16"/>
        </w:rPr>
        <w:t>В выводах заключения по эскизному проекту указывалось: «Главный конструктор самолета предлагает бронированный штурмовик. Если это так, то в чем заключается смысл постройки этого самолета. При сравнении с Су-6 с АМ-42 напрашивается вывод не в пользу Ил-1 с АМ-42./.. ./По летным данным Ил-1 превосходит Су-6, но по бомбовой нагрузке и вооружению уступает. Серийный самолет Ил-2 превосходит по летным данным, но уступает ему по бомбовой нагрузке./. ../Бронирование Ил-1 требованиям ВВС не удовлетворяет././Конструкция Ил-1 по проекту базируется на технологии серийного Ил-2, однако для освоения самолета потребуется коренная переделка всего производства».</w:t>
      </w:r>
    </w:p>
    <w:p w14:paraId="18009C4E" w14:textId="77777777" w:rsidR="00E23799" w:rsidRPr="007224C3" w:rsidRDefault="00E23799"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Необходимо было вносить серьезные изменения в конструкцию и систему вооружения предлагаемого штурмовика. Однако, как показали дальнейшие события, кроме усиления оборонительного вооружения и некоторого улучшения системы бронирования, других доработок с делано не было.</w:t>
      </w:r>
    </w:p>
    <w:p w14:paraId="6A7924CA" w14:textId="77777777" w:rsidR="00E23799" w:rsidRPr="007224C3" w:rsidRDefault="00E23799"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В ходе доводочных работ на Ил-1 заменили мотор, смонтировали новую оборонительную подвижную установку ВУ-7 с опытной пушкой Ш-20 (150 патронов) конструкции Б. Г. Шпитального (ОКБ-15 НКВ) и кассету ДАГ-10 на 10 авиационных гранат АГ-2. Запас топлива и масла увеличили до 530 и 65 кг соответственно.</w:t>
      </w:r>
    </w:p>
    <w:p w14:paraId="44854C06" w14:textId="77777777" w:rsidR="00E23799" w:rsidRPr="007224C3" w:rsidRDefault="00E23799"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Одновременно слегка «откорректировали» бронирование самолета (без кардинальных переделок бронекорпуса). Распределение толщин листов брони сделали немного более рациональным.</w:t>
      </w:r>
    </w:p>
    <w:p w14:paraId="48C25892" w14:textId="77777777" w:rsidR="00E23799" w:rsidRPr="007224C3" w:rsidRDefault="00E23799"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Дело в том, что, хотя общий вес брони на Ил-1 достигал 1052 кг, специалисты НИИ ВВС при анализе схемы бронирования сделали ряд замечаний и рекомендовали улучшить ее «путем перераспределения» толщины брони.</w:t>
      </w:r>
    </w:p>
    <w:p w14:paraId="62CCC36F" w14:textId="77777777" w:rsidR="00E23799" w:rsidRPr="007224C3" w:rsidRDefault="00E23799"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В результате боковые и нижние стенки бронекапота мотора стали тоньше (4 мм), так же как и борта кабины летчика (6 мм). Броню нижнего бензобака, наоборот, нарастили до 6 мм. Итоговый вес брони составил 1010 кг (15,6 % от полетного веса), в том числе 80 кг - элементы крепления брони.</w:t>
      </w:r>
    </w:p>
    <w:p w14:paraId="647276D4" w14:textId="77777777" w:rsidR="00E23799" w:rsidRPr="007224C3" w:rsidRDefault="00E23799" w:rsidP="007224C3">
      <w:pPr>
        <w:spacing w:after="0" w:line="240" w:lineRule="auto"/>
        <w:jc w:val="both"/>
        <w:rPr>
          <w:rStyle w:val="77"/>
          <w:rFonts w:eastAsiaTheme="minorHAnsi"/>
          <w:color w:val="000000" w:themeColor="text1"/>
          <w:sz w:val="16"/>
          <w:szCs w:val="16"/>
        </w:rPr>
      </w:pPr>
      <w:r w:rsidRPr="007224C3">
        <w:rPr>
          <w:rStyle w:val="77"/>
          <w:rFonts w:eastAsiaTheme="minorHAnsi"/>
          <w:color w:val="000000" w:themeColor="text1"/>
          <w:sz w:val="16"/>
          <w:szCs w:val="16"/>
        </w:rPr>
        <w:t>После всех доработок вес пустого Ил-1 увеличился до 5050 кг, а нормальный полетный вес с 400 кг бомб составил 6300 кг (17490).</w:t>
      </w:r>
    </w:p>
    <w:p w14:paraId="16458660" w14:textId="77777777" w:rsidR="00E23799" w:rsidRPr="007224C3" w:rsidRDefault="00E23799" w:rsidP="007224C3">
      <w:pPr>
        <w:spacing w:after="0" w:line="240" w:lineRule="auto"/>
        <w:jc w:val="both"/>
        <w:rPr>
          <w:rStyle w:val="77"/>
          <w:rFonts w:eastAsiaTheme="minorHAnsi"/>
          <w:color w:val="000000" w:themeColor="text1"/>
          <w:sz w:val="16"/>
          <w:szCs w:val="16"/>
        </w:rPr>
      </w:pPr>
    </w:p>
    <w:p w14:paraId="0440BEC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марта 1944 погода окончательно испортилась, но летать Ил-АМ-42 все равно было бы нельзя, так как у самолета обнаружилась течь бензина из труб</w:t>
      </w:r>
      <w:r w:rsidRPr="007224C3">
        <w:rPr>
          <w:rFonts w:ascii="Times New Roman" w:hAnsi="Times New Roman"/>
          <w:color w:val="000000" w:themeColor="text1"/>
          <w:sz w:val="16"/>
          <w:szCs w:val="16"/>
        </w:rPr>
        <w:softHyphen/>
        <w:t>ки подвода к карбюраторам и по</w:t>
      </w:r>
      <w:r w:rsidRPr="007224C3">
        <w:rPr>
          <w:rFonts w:ascii="Times New Roman" w:hAnsi="Times New Roman"/>
          <w:color w:val="000000" w:themeColor="text1"/>
          <w:sz w:val="16"/>
          <w:szCs w:val="16"/>
        </w:rPr>
        <w:softHyphen/>
        <w:t>ломка уплотнительного кольца вала редуктора. Выявились и другие неис</w:t>
      </w:r>
      <w:r w:rsidRPr="007224C3">
        <w:rPr>
          <w:rFonts w:ascii="Times New Roman" w:hAnsi="Times New Roman"/>
          <w:color w:val="000000" w:themeColor="text1"/>
          <w:sz w:val="16"/>
          <w:szCs w:val="16"/>
        </w:rPr>
        <w:softHyphen/>
        <w:t>правности.</w:t>
      </w:r>
    </w:p>
    <w:p w14:paraId="42E4CBF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Следующие четыре дня прошли в хлопотах по устранению дефектов самолета. Попутно установили но</w:t>
      </w:r>
      <w:r w:rsidRPr="007224C3">
        <w:rPr>
          <w:rFonts w:ascii="Times New Roman" w:hAnsi="Times New Roman"/>
          <w:color w:val="000000" w:themeColor="text1"/>
          <w:sz w:val="16"/>
          <w:szCs w:val="16"/>
        </w:rPr>
        <w:softHyphen/>
        <w:t>вые элероны с увеличенной аэроди</w:t>
      </w:r>
      <w:r w:rsidRPr="007224C3">
        <w:rPr>
          <w:rFonts w:ascii="Times New Roman" w:hAnsi="Times New Roman"/>
          <w:color w:val="000000" w:themeColor="text1"/>
          <w:sz w:val="16"/>
          <w:szCs w:val="16"/>
        </w:rPr>
        <w:softHyphen/>
        <w:t>намической компенсацией (29% вме</w:t>
      </w:r>
      <w:r w:rsidRPr="007224C3">
        <w:rPr>
          <w:rFonts w:ascii="Times New Roman" w:hAnsi="Times New Roman"/>
          <w:color w:val="000000" w:themeColor="text1"/>
          <w:sz w:val="16"/>
          <w:szCs w:val="16"/>
        </w:rPr>
        <w:softHyphen/>
        <w:t>сто 27%) (11427).</w:t>
      </w:r>
    </w:p>
    <w:p w14:paraId="5E708DA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EF6325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марта 1944 года ст. инженер отдела АВ 7-го Гл. управления Журков писал письмо зам. наркома Авиапрома Яковлеву.</w:t>
      </w:r>
    </w:p>
    <w:p w14:paraId="65F690D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Докладываю о работах по авиационным пушкам проводимым ОКБ-16 НКВ, с которыми я был ознакомлен гл. конструктором Нудельманом А.Э.</w:t>
      </w:r>
    </w:p>
    <w:p w14:paraId="3F207D4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Пушка калибра 23 мм</w:t>
      </w:r>
    </w:p>
    <w:p w14:paraId="5C71C99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Разработана в моторном, крыльевом и синхронном варианте под патрон с механическим и электрическим капсюлем.</w:t>
      </w:r>
    </w:p>
    <w:p w14:paraId="1450127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Основные данные:</w:t>
      </w:r>
    </w:p>
    <w:p w14:paraId="5EE1C3F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 - 35 кг; начальная скорость - 720 м/сек.; усилие отдачи - 1500 кг; вес патрона - 330 гр. (Серийная пушка ВЯ-23 соответственно имеет вес - 60 кг; начальная скорость - 910 м/сек.; усилие отдачи 3140 кг при жесткости лафета - 176 кг/мм и отката - 8,7 мм; вес патрона -....</w:t>
      </w:r>
    </w:p>
    <w:p w14:paraId="1628897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Патронная лента составленная из патронов от новой пушки занимает значительно меньший объем, чем с патронами от ВЛ-23.</w:t>
      </w:r>
    </w:p>
    <w:p w14:paraId="2C2D874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ОКБ-16 изготовлено 8 пушек: из них две пушки сданы на государственные наземные испытания в НИИ АВ, одна с большим настрелом передана ОКБ завода N 115 и остальные доводятся.</w:t>
      </w:r>
    </w:p>
    <w:p w14:paraId="69AC40E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синхронной пушке калибра 23 мм тесную связь с Нудельманом держит ОКБ Лавочкина.</w:t>
      </w:r>
    </w:p>
    <w:p w14:paraId="1041E28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Пушка калибра 37 мм.</w:t>
      </w:r>
    </w:p>
    <w:p w14:paraId="4A9B8F3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Проводятся работы по уменьшению силы отдачи серийного образца. Применив дульный тормоз и изменив гидравлический тормоз усилие отдачи крыльевой пушки до..500 кг (вместо.... кг).</w:t>
      </w:r>
    </w:p>
    <w:p w14:paraId="4CD1D95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Опытный образец крыльевой пушки НС-37 сдан на испытания в НИИ АВ.</w:t>
      </w:r>
    </w:p>
    <w:p w14:paraId="298CC15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Проведено облегчение пушки НС-37 на 26 кг. Эту работу Нудельман рассматривает как экспериментальную и они ограничились изготовлением одного образца.</w:t>
      </w:r>
    </w:p>
    <w:p w14:paraId="17E115E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Отрабатываются опытные образцы пушек НС-37 и НС-45 под патроны с электрическим капсюлем. Опытные образцы в конце марта поступят на испытания в НИИ АВ.</w:t>
      </w:r>
    </w:p>
    <w:p w14:paraId="3112BBE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Пушка калибра 45 мм.</w:t>
      </w:r>
    </w:p>
    <w:p w14:paraId="36BE629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Проводятся работы по уменьшению силы отдачи серийного образца НС-45. Применяя те же улучшения, что и в пушке НС-37, усилие отдачи снижено до 4500 кг (вместо 7300 кг). Опытный образец пушки НС-45 в крыльевом варианте находится на испытаниях в НИИ АВ.</w:t>
      </w:r>
    </w:p>
    <w:p w14:paraId="40D9B32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связи с принятием на вооружение мотора М-107 имеющего диаметр отверстия редуктора 68 мм, вместо 54 мм на моторе М-105 Нудельман собирается поставить вопрос о замене на моторной пушке НС-45 тонкого ствола на толстый ствол от крыльевой пушки.</w:t>
      </w:r>
    </w:p>
    <w:p w14:paraId="7ABB50C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Пушка калибра 57 мм.</w:t>
      </w:r>
    </w:p>
    <w:p w14:paraId="7F180D6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Проводятся конструкторские и экспериментальные работы (1825,16).</w:t>
      </w:r>
    </w:p>
    <w:p w14:paraId="58C64FE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F5238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период с 14 по 16 марта 1944 г. проходили заводские испытания самолета У-2ШС на Центральном московском аэродроме им. Фрунзе Летал испытатель майор Гаврилов, кото</w:t>
      </w:r>
      <w:r w:rsidRPr="007224C3">
        <w:rPr>
          <w:rFonts w:ascii="Times New Roman" w:hAnsi="Times New Roman"/>
          <w:color w:val="000000" w:themeColor="text1"/>
          <w:sz w:val="16"/>
          <w:szCs w:val="16"/>
        </w:rPr>
        <w:softHyphen/>
        <w:t>рый отметил, что самолет устойчив, пило</w:t>
      </w:r>
      <w:r w:rsidRPr="007224C3">
        <w:rPr>
          <w:rFonts w:ascii="Times New Roman" w:hAnsi="Times New Roman"/>
          <w:color w:val="000000" w:themeColor="text1"/>
          <w:sz w:val="16"/>
          <w:szCs w:val="16"/>
        </w:rPr>
        <w:softHyphen/>
        <w:t>тирование приятное благодаря наличию триммера, в остальном аппарат практиче</w:t>
      </w:r>
      <w:r w:rsidRPr="007224C3">
        <w:rPr>
          <w:rFonts w:ascii="Times New Roman" w:hAnsi="Times New Roman"/>
          <w:color w:val="000000" w:themeColor="text1"/>
          <w:sz w:val="16"/>
          <w:szCs w:val="16"/>
        </w:rPr>
        <w:softHyphen/>
        <w:t>ски не отличается от обычного У-2 (11085).</w:t>
      </w:r>
    </w:p>
    <w:p w14:paraId="396078C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069E3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марта 1944 г. вышло Распоряжение ГКО № 5392 «Об организации в Ступино опытного винтового завода № 25 НКАП» (Д. 295. Л. 85).</w:t>
      </w:r>
    </w:p>
    <w:p w14:paraId="29EFC29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E08562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марта 1944 вышло Постановление ГКО № 5398 О дополнительных мерах по расширению производства авиационных дизелей А4-30Б на заводе № 500 и об организации производства этих дизелей на заводе № 45 НКавиапрома. РГАНИР, Фонд ГКО, д. 218, лл. 233-236,237-261 (11012).</w:t>
      </w:r>
    </w:p>
    <w:p w14:paraId="50DDB3F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44ED62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14 марта 1944 года согласно постановлению ГКО № 5398сс, завод № 487 был ликвидирован как уставная организация, изготовляющая авиационное вооружение. ОКБ </w:t>
      </w:r>
      <w:r w:rsidRPr="007224C3">
        <w:rPr>
          <w:rFonts w:ascii="Times New Roman" w:hAnsi="Times New Roman"/>
          <w:color w:val="000000" w:themeColor="text1"/>
          <w:sz w:val="16"/>
          <w:szCs w:val="16"/>
        </w:rPr>
        <w:lastRenderedPageBreak/>
        <w:t>(гл. конструктор Шебанов И.П.), состоявшее при заводе № 487, имеющий утвержденный НКАП отдельный, не связанный с заводом план работ по проектированию и изготовлению опытных образцов установок авиавооружения продолжает свою деятельность на прежних площадях (8959).</w:t>
      </w:r>
    </w:p>
    <w:p w14:paraId="3F79E5C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705D01"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6BACD02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FBAF589"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марта 1944 года вышел приказ НКБ № 119с</w:t>
      </w:r>
    </w:p>
    <w:p w14:paraId="226A629C"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соответствии с распоряжением СНК № 5407рс от 10 марта 1944 года Милютинский Мехлеспункт НКБ выделить в самостоятельный завод с присвоением ему № 811 и подчинить Главтопу НКБ (5951, 27).</w:t>
      </w:r>
    </w:p>
    <w:p w14:paraId="6655CC57"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48D255D"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марта 1944 года вышел приказ НКБ № 120с</w:t>
      </w:r>
    </w:p>
    <w:p w14:paraId="35DF08A6"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соответствии с распоряжением СНК № 5054-рс от 6 марта 1944 года:</w:t>
      </w:r>
    </w:p>
    <w:p w14:paraId="485B940F"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Разделить комбинат № 392 на два самостоятельных завода:</w:t>
      </w:r>
    </w:p>
    <w:p w14:paraId="7C4BCF6C"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 129 в составе производств пироксилина, кислот и ТЭЦ</w:t>
      </w:r>
    </w:p>
    <w:p w14:paraId="0361697C"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 388 в составе производств пироксилинового пороха, спиртоэфирного, пороховых зарядов, полигона и тарного цеха (5951, 29).</w:t>
      </w:r>
    </w:p>
    <w:p w14:paraId="4B186847"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265486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марта 1944 г. после освобождения осенью 1943 г. Бердянска на месте эвакуированного завода, на котором был начато восстановление производства, был воссоздан завод (ГС заВОД № 276 НКНП, Берлинский крекинг-завод Наркомтопа, Осипенковский ГС Крекинг-завод НКНП, Осипенковский солидоловый завод Миннефтепрома, Бердянский опытный нефтемаслозавод СНХ, Бердянский Ордена Трудового Красного знамени опытный нефтемаслозавод Миннефтехимпрома, ОАО «Азовские смазки и масла» (A3MOJI) /г. Осипенко,  г. Бердянск Запорожской обл./ /Украина 71114  г. Бердянск Запорожской обл. ул. Шаумяна, 2/), а в 05.1945 г. завод выпустил первую продукцию.</w:t>
      </w:r>
    </w:p>
    <w:p w14:paraId="029784B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18.04.1947 г. завод переименован в Осипенковский солидоловый завод в ведении Миннефтепрома и перепрофилирован на производство смазочных материалов. С 30.10.1958 г. преобразован в Бердянский опытный нефтемаслозавод Запорожского СНХ, с 27.02.1963 г.- Приднепровского СНХ. 7.01.1971 г. получил название Бердянский Ордена Трудового Красного знамени опытный нефтемаслозавод Миннефтехимпрома.</w:t>
      </w:r>
    </w:p>
    <w:p w14:paraId="09CC210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1960 г. введен в эксплуатацию цех синтетических жирных кислот, действовавший до 1990-х  г.</w:t>
      </w:r>
    </w:p>
    <w:p w14:paraId="771BD64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Выпускал смазочные материалы для ВАЗа. В 1992 г. организовано производство моторных, гидравлических и холодильных масел.</w:t>
      </w:r>
    </w:p>
    <w:p w14:paraId="01F7C0E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23.12.1994 г. завод преобразован в ОАО «АЗМОЛ».</w:t>
      </w:r>
    </w:p>
    <w:p w14:paraId="18B0D37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Производство масел (2003 г.).</w:t>
      </w:r>
    </w:p>
    <w:p w14:paraId="52AD126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(1946-79 г.)- С.А. Степанянц, (1979-95 г.)- В.А. Чернышов.</w:t>
      </w:r>
    </w:p>
    <w:p w14:paraId="54A82DF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гл. инженера- Ю.Л. Ищук (11982).</w:t>
      </w:r>
    </w:p>
    <w:p w14:paraId="52F9600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3E60F4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марта 1944 вышло Распоряжение ГКО № 5387. О поставках оборудования для Минно-трального управления НКВМФ. РГАНИР, Фонд ГКО, д. 218, лл. 182 (11012).</w:t>
      </w:r>
    </w:p>
    <w:p w14:paraId="6BE5517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772216F"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марта 1944 вышло Распоряжение ГКО № 5388 О создании Электромеханического завода НКЭС по производству запасных частей и специального инструмента для электростанций Дальнего Востока. (7198, 183,184).</w:t>
      </w:r>
    </w:p>
    <w:p w14:paraId="507980F5"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055047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марта 1944 вышло Постановление ГКО № 5389 Об организации производства запасных частей к танкам старых марок БТ и Т-26 на заводе № 105 НКО (г. Хабаровск). РГАНИР, Фонд ГКО, д. 218, лл. 185-186 (11012).</w:t>
      </w:r>
    </w:p>
    <w:p w14:paraId="3899B57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BD3FE8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марта 1944 вышло Распоряжение ГКО № 5390. О направлении на завод "Севкабель" НКЭП из частей МПВО Ленинграда 10 работавших там ранее работниц. РГАНИР, Фонд ГКО, д. 218, лл. 187 (11012).</w:t>
      </w:r>
    </w:p>
    <w:p w14:paraId="0ED79E5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0E3273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марта 1944 вышло Распоряжение ГКО № 5391. О заработной плате рабочих строительных организаций НКАП. РГАНИР, Фонд ГКО, д. 218, лл. 188 (11012).</w:t>
      </w:r>
    </w:p>
    <w:p w14:paraId="2564ED4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BEFBDBF"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марта 1944 вышло Распоряжение ГКО № 5393 О составе комиссии по рассмотрению предложений академика Образцова В.Н. о восстановлении и дальнейшем развитии промышленного транспорта. (7198, 190,191-196).</w:t>
      </w:r>
    </w:p>
    <w:p w14:paraId="274F1E85"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152932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марта 1944 вышло Распоряжение ГКО № 5394. О поставке строительству Казахского металлургического завода НКЧМ лесоматериалов и импортных товаров народного потребления. РГАНИР, Фонд ГКО, д. 218, лл. 197 (11012).</w:t>
      </w:r>
    </w:p>
    <w:p w14:paraId="77E3C4D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802B4B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марта 1944 вышло Постановление ГКО № 5395 О восстановлении новороссийских цементных заводов Наркомстройматериалов СССР. РГАНИР, Фонд ГКО, д. 218, лл. 198-203,204-208 (11012).</w:t>
      </w:r>
    </w:p>
    <w:p w14:paraId="1ADAF16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C6B9CB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марта 1944 вышло Распоряжение ГКО № 5396. О плане импорта оборудования для цементных заводов НКПСМ СССР на 1945 г. РГАНИР, Фонд ГКО, д. 218, лл. 209 (11012).</w:t>
      </w:r>
    </w:p>
    <w:p w14:paraId="2767D6F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5AED4A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марта 1944 вышло Постановление ГКО № 5397 О мероприятиях по восстановлению заводов Наркомстройматериалов УССР в освобожденных районах Украины. РГАНИР, Фонд ГКО, д. 218, лл. 210-216,217-232 (11012).</w:t>
      </w:r>
    </w:p>
    <w:p w14:paraId="2F215F2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E4CAD32"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марта 1944 вышло Распоряжение ГКО № 5399 [О направлении освобождающихся из ряда лагерей заключенных на гидролизные заводы Главлесоспирта при СНК СССР с освобождением от призыва в КА, правом вызова семей и прописки в соответствующих городах.] (7198, 262).</w:t>
      </w:r>
    </w:p>
    <w:p w14:paraId="4E9D0FF6"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A7A1E1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марта 1944 вышло Постановление ГКО № 5400 О мерах неотложной помощи Кузнецкому металлургическому комбинату по завозу железной руды и ферромарганца. РГАНИР, Фонд ГКО, д. 218, лл. 263-266 (11012).</w:t>
      </w:r>
    </w:p>
    <w:p w14:paraId="39E059E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EE4CF32" w14:textId="77777777" w:rsidR="007A1E0D"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5AEDB5C9" w14:textId="77777777" w:rsidR="007A1E0D" w:rsidRPr="007224C3" w:rsidRDefault="007A1E0D"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C63CD56" w14:textId="77777777" w:rsidR="007A1E0D" w:rsidRPr="007224C3" w:rsidRDefault="007A1E0D"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14 марта</w:t>
      </w:r>
      <w:r w:rsidRPr="007224C3">
        <w:rPr>
          <w:rFonts w:ascii="Times New Roman" w:hAnsi="Times New Roman"/>
          <w:color w:val="000000" w:themeColor="text1"/>
          <w:sz w:val="16"/>
          <w:szCs w:val="16"/>
        </w:rPr>
        <w:t xml:space="preserve"> в 1944 году оперативная сводка Совинформбюро:</w:t>
      </w:r>
    </w:p>
    <w:p w14:paraId="4BC95CF8" w14:textId="77777777" w:rsidR="007A1E0D" w:rsidRPr="007224C3" w:rsidRDefault="007A1E0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14 марта на Проскуровском направлении наши войска, преодолевая сопротивление и контратаки пехоты и танков противника, продолжали вести наступательные бои, в ходе которых заняли несколько населённых пунктов. При отражении контратак пехоты и танков противника наши войска нанесли ему большие потери в живой силе и технике.</w:t>
      </w:r>
    </w:p>
    <w:p w14:paraId="07007256" w14:textId="77777777" w:rsidR="007A1E0D" w:rsidRPr="007224C3" w:rsidRDefault="007A1E0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Винницком направлении наши войска, продолжая наступление, с боями заняли более 30 населённых пунктов, в том числе крупные населённые пункты Прилуки, Вахновка, Журава, Еленовка, Изабеловка, Степановка, Зарудинцы, Михайловка, Комаров и железнодорожную станцию Гуменное (15 километров юго-восточнее Винница).</w:t>
      </w:r>
    </w:p>
    <w:p w14:paraId="372EF15C" w14:textId="77777777" w:rsidR="007A1E0D" w:rsidRPr="007224C3" w:rsidRDefault="007A1E0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и южнее города Умань наши войска, развивая наступление, овладели районным центром Винницкой области городом Гайсин, а также с боями заняли более 60 населённых пунктов, в том числе крупные населённые пункты Шабельная, Буды, Криштофовка, Карбовка, Куна, Зятковцы, Бубновка, Соболевка, Губник, Поборка, Глубочек, Метановка, Завадовка, Чернятка, Ставки, Хащевато, Могильно, Таужна, Грузское и железнодорожные станции Криштофовка, Зятковцы, Губник, Мелешки,Дукля, Генриховка, Хащевато, Мощёная, Таужна.</w:t>
      </w:r>
    </w:p>
    <w:p w14:paraId="1EEE1F08" w14:textId="77777777" w:rsidR="007A1E0D" w:rsidRPr="007224C3" w:rsidRDefault="007A1E0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города Кировоград наши войска, продолжая наступление, овладели районными центрами Кировоградской области Подвысокое, Ново-Архангельск, Хмелевое, а также с боями заняли более 70 других населённых пунктов, среди которых крупные населённые пункты Нерубайка, Торговица, Копенковата, Россоховатец, Скалевое, Тимофеевка, Ерделевка, Миролюбовка, Анастасиевка.</w:t>
      </w:r>
    </w:p>
    <w:p w14:paraId="302929C2" w14:textId="77777777" w:rsidR="007A1E0D" w:rsidRPr="007224C3" w:rsidRDefault="007A1E0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На Николаевском направлении войска 3-го Украинского фронта продолжали успешно развивать наступление и овладели городом Широкая Балка (на северном берегу Днепровского лимана), районными центрами Николаевской области Большая Сейдеминуха, Белозерка, а также с боями заняли более 60 других населённых пунктов, в том числе крупные населённые пункты Явкино, Ново-Александровка, Бармашово, Киселёвка, Чернополье, Ново-Петровка, Спасская, Малеевка, Новый Очаков, Петропавловка, Калузьне, Мураховка, Васильевка, Павловка, Шкуриново-Загоряновка, Музыковка, Чернобаевка, Касперовка и железнодорожные станции Березнеговата, Чеховичи. Войска 3-го Украинского фронта в районе населённых пунктов Березнеговатое-Снигирёвка окружили крупную группировку немцев в </w:t>
      </w:r>
      <w:r w:rsidRPr="007224C3">
        <w:rPr>
          <w:rFonts w:ascii="Times New Roman" w:hAnsi="Times New Roman"/>
          <w:color w:val="000000" w:themeColor="text1"/>
          <w:sz w:val="16"/>
          <w:szCs w:val="16"/>
        </w:rPr>
        <w:lastRenderedPageBreak/>
        <w:t>составе нескольких дивизий. Противник предпринимал неоднократные попытки вырваться из окружения, но был отбит, потеряв при этом убитыми до 10.000 солдати офицеров. Нашими войсками захвачено в этом районе более 300 орудий разного калибра и взято в плен свыше 4.000 немецких солдат и офицеров.</w:t>
      </w:r>
    </w:p>
    <w:p w14:paraId="3633C5A1" w14:textId="77777777" w:rsidR="007A1E0D" w:rsidRPr="007224C3" w:rsidRDefault="007A1E0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 разведка и в ряде пунктов бои местного значения.</w:t>
      </w:r>
    </w:p>
    <w:p w14:paraId="7B317645" w14:textId="77777777" w:rsidR="007A1E0D" w:rsidRPr="007224C3" w:rsidRDefault="007A1E0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13 марта наши войска на всех фронтах подбили и уничтожили 53 немецких танка. В воздушных боях и огнём зенитной артиллерии сбито 20 самолётов противника.</w:t>
      </w:r>
    </w:p>
    <w:p w14:paraId="33932B87" w14:textId="77777777" w:rsidR="007A1E0D" w:rsidRPr="007224C3" w:rsidRDefault="007A1E0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Проскуровском направлении противник подтянул крупные силы пехоты и танков и непрерывно бросал их в контратаки. Советские гвардейцы, при поддержке танкистов и артиллеристов, отбили контратаки немцев и, продвигаясь вперёд, заняли несколько населённых пунктов. На поле боя осталось свыше 300 вражеских трупов. Сожжено и подбито 40 танков и самоходных орудий противника. Танковый экипаж гвардии сержанта Хамитова, выполняя задание по разведке, напал на штаб одной части противника. Танкисты разгромили немецкий штаб и, захватив документы, доставили их в свою часть.</w:t>
      </w:r>
    </w:p>
    <w:p w14:paraId="2FF9BAA0" w14:textId="77777777" w:rsidR="007A1E0D" w:rsidRPr="007224C3" w:rsidRDefault="007A1E0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Винницком направлении наши войска, развивая наступление, заняли ряд населённых пунктов, а также железнодорожную станцию Гуменное, расположенную в 15 километрах юго-восточнее города Винницы. Под ударами советских танкистов и пехотинцев немцы поспешно отступают, бросая боевую технику. За день боёв уничтожено два полка пехоты противника. Захвачено у немцев 30 орудий, 35 миномётов, 111 пулемётов, 154 автомашины, 6 разных складов и другие трофеи. Взято большое число пленных. Советские части, разгромившие вчера 18 немецкую артиллерийскую дивизию, захватили 150 орудий разного калибра и много боеприпасов.</w:t>
      </w:r>
    </w:p>
    <w:p w14:paraId="1A796B23" w14:textId="77777777" w:rsidR="007A1E0D" w:rsidRPr="007224C3" w:rsidRDefault="007A1E0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и южнее города Умань наши войска продолжали успешное наступление. Бойцы Н-ского соединения форсировали реку Соб южнее и севернее города Гайсин и создали немцам угрозу окружения. Другие наши части нанесли противнику удар сфронта и в результате ожесточённых боёв овладели районным центром Винницкой области городом Гайсин.</w:t>
      </w:r>
    </w:p>
    <w:p w14:paraId="3F0FDD7B" w14:textId="77777777" w:rsidR="007A1E0D" w:rsidRPr="007224C3" w:rsidRDefault="007A1E0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подступах к городу и на его улицах остались сотни вражеских трупов. Захвачено много трофеев. Овладев рядом населённых пунктов, наши войска на широком фронте вышли к реке Южный Буг.</w:t>
      </w:r>
    </w:p>
    <w:p w14:paraId="5EB08143" w14:textId="77777777" w:rsidR="007A1E0D" w:rsidRPr="007224C3" w:rsidRDefault="007A1E0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города Кировоград наши войска продолжали наступление и с боями заняли районные центры Кировоградской области Подвысокое, Ново-Архангельск и Хмелевое. Советские бойцы и офицеры проявляют высокие образцы геройства и мужества в боях с немецко-фашистскими захватчиками. В одном районе взвод гвардейцев отрезал пути отхода группе противника. Наши бойцы истребили 160 гитлеровцев и захватили у них танк, 4 бронетранспортёра и 24 пулемёта. Орудийный расчёт гвардии старшины Мирошниченко, сопровождая пехоту, подбил два немецких танка и рассеял большую группу пехоты противника. Гвардеец тов. Анвутов убил немецкого офицера и взял в плен четырёх немецких солдат.</w:t>
      </w:r>
    </w:p>
    <w:p w14:paraId="345BCF6B" w14:textId="77777777" w:rsidR="007A1E0D" w:rsidRPr="007224C3" w:rsidRDefault="007A1E0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Николаевском направлении наши войска продолжали успешное наступление. Несмотря на бездорожье и непролазную грязь, наши подвижные части с боями прошли за сутки до 30 километров. Овладев населёнными пунктами Явкино, Ново-Александровка, Бармашово и Ново-Петровка, наши бойцы с запада вышли к реке Ингулец и отрезали пути отхода крупной группировке противника. В это время другие наши соединения, развивая наступление вдоль левого берега реки Ингулец, заняли районный центр Николаевской области Большая Сейдеминуха, населённые пункты Васильевка и Павловка и тем самым замкнули кольцо вокруг немецких дивизий в районе Березнеговатое-Снигирёвка. Отчаянные попытки противника вырваться из окружения потерпели неудачу. Наши войска сжимают окружённые дивизии немцев инаносят им огромные потери в живой силе и технике.</w:t>
      </w:r>
    </w:p>
    <w:p w14:paraId="4130FAD0" w14:textId="77777777" w:rsidR="007A1E0D" w:rsidRPr="007224C3" w:rsidRDefault="007A1E0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Два партизанских отряда, действующих в Львовской области, напали на колонну немцев, проходившую по шоссе.</w:t>
      </w:r>
    </w:p>
    <w:p w14:paraId="0F12C738" w14:textId="77777777" w:rsidR="007A1E0D" w:rsidRPr="007224C3" w:rsidRDefault="007A1E0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Советские патриоты уничтожили до роты гитлеровцев и захватили их вооружение. Группа партизан из отряда, действующего в Волынской области, в одном населённом пункте напала на немецких полицейских, грабивших мирное население. Партизаны истребили гитлеровцев и вернули жителям зерно и другие продукты, отнятые у них немцами.» (15068).</w:t>
      </w:r>
    </w:p>
    <w:p w14:paraId="5E717806" w14:textId="77777777" w:rsidR="007A1E0D" w:rsidRPr="007224C3" w:rsidRDefault="007A1E0D" w:rsidP="007224C3">
      <w:pPr>
        <w:spacing w:after="0" w:line="240" w:lineRule="auto"/>
        <w:jc w:val="both"/>
        <w:rPr>
          <w:rFonts w:ascii="Times New Roman" w:hAnsi="Times New Roman"/>
          <w:color w:val="000000" w:themeColor="text1"/>
          <w:sz w:val="16"/>
          <w:szCs w:val="16"/>
        </w:rPr>
      </w:pPr>
    </w:p>
    <w:p w14:paraId="42165F5D"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6F553CD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40AE316" w14:textId="77777777" w:rsidR="007A1E0D" w:rsidRPr="007224C3" w:rsidRDefault="007A1E0D"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14 марта</w:t>
      </w:r>
      <w:r w:rsidRPr="007224C3">
        <w:rPr>
          <w:rFonts w:ascii="Times New Roman" w:hAnsi="Times New Roman"/>
          <w:color w:val="000000" w:themeColor="text1"/>
          <w:sz w:val="16"/>
          <w:szCs w:val="16"/>
        </w:rPr>
        <w:t xml:space="preserve"> в 1944 году начало стендовых испытаний двигателя Х19В фирмы «Вестингауз». В серию двигатель пошел под названием J30. Для проведения летных испытаний этого двигателя был специально переоборудован самолет «Мартин JM-1» «Мародер» (15068).</w:t>
      </w:r>
    </w:p>
    <w:p w14:paraId="20B68FA5" w14:textId="77777777" w:rsidR="007A1E0D" w:rsidRPr="007224C3" w:rsidRDefault="007A1E0D" w:rsidP="007224C3">
      <w:pPr>
        <w:spacing w:after="0" w:line="240" w:lineRule="auto"/>
        <w:jc w:val="both"/>
        <w:rPr>
          <w:rFonts w:ascii="Times New Roman" w:hAnsi="Times New Roman"/>
          <w:color w:val="000000" w:themeColor="text1"/>
          <w:sz w:val="16"/>
          <w:szCs w:val="16"/>
        </w:rPr>
      </w:pPr>
    </w:p>
    <w:p w14:paraId="16B17FD1"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марта 1944 глава СС Г. Гиммлер отдал приказ арестовать изобретателя ракеты ФАУ-2 Вернера фон Брауна (4962).</w:t>
      </w:r>
    </w:p>
    <w:p w14:paraId="3281245B"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F5C9013"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3D0FFAA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90F92AA" w14:textId="77777777" w:rsidR="00282955" w:rsidRPr="007224C3" w:rsidRDefault="00282955" w:rsidP="007224C3">
      <w:pPr>
        <w:pStyle w:val="27"/>
        <w:shd w:val="clear" w:color="auto" w:fill="auto"/>
        <w:spacing w:after="0" w:line="240" w:lineRule="auto"/>
        <w:ind w:firstLine="0"/>
        <w:rPr>
          <w:rFonts w:ascii="Times New Roman" w:cs="Times New Roman"/>
          <w:color w:val="000000" w:themeColor="text1"/>
          <w:spacing w:val="0"/>
        </w:rPr>
      </w:pPr>
      <w:r w:rsidRPr="007224C3">
        <w:rPr>
          <w:rFonts w:ascii="Times New Roman" w:cs="Times New Roman"/>
          <w:color w:val="000000" w:themeColor="text1"/>
          <w:spacing w:val="0"/>
        </w:rPr>
        <w:t>Между 15 и 20 марта 1944 у заместителя на</w:t>
      </w:r>
      <w:r w:rsidRPr="007224C3">
        <w:rPr>
          <w:rFonts w:ascii="Times New Roman" w:cs="Times New Roman"/>
          <w:color w:val="000000" w:themeColor="text1"/>
          <w:spacing w:val="0"/>
        </w:rPr>
        <w:softHyphen/>
        <w:t>ркома авиапромышленности А.И. Кузнецова прошло совещание по вопросу о перераспре</w:t>
      </w:r>
      <w:r w:rsidRPr="007224C3">
        <w:rPr>
          <w:rFonts w:ascii="Times New Roman" w:cs="Times New Roman"/>
          <w:color w:val="000000" w:themeColor="text1"/>
          <w:spacing w:val="0"/>
        </w:rPr>
        <w:softHyphen/>
        <w:t>делении брони на Ил-2. По его результатам генерал Лапин 28 марта 1944 г. получил черте</w:t>
      </w:r>
      <w:r w:rsidRPr="007224C3">
        <w:rPr>
          <w:rFonts w:ascii="Times New Roman" w:cs="Times New Roman"/>
          <w:color w:val="000000" w:themeColor="text1"/>
          <w:spacing w:val="0"/>
        </w:rPr>
        <w:softHyphen/>
        <w:t>жи нового бронекорпуса. 1 апреля начальник НИИ ВВС КА генерал-лейтенант П.А. Лосюков доложил Лапину результаты анализа специа</w:t>
      </w:r>
      <w:r w:rsidRPr="007224C3">
        <w:rPr>
          <w:rFonts w:ascii="Times New Roman" w:cs="Times New Roman"/>
          <w:color w:val="000000" w:themeColor="text1"/>
          <w:spacing w:val="0"/>
        </w:rPr>
        <w:softHyphen/>
        <w:t>листами 8-го отдела института предложенного варианта перераспределения и усиления бро</w:t>
      </w:r>
      <w:r w:rsidRPr="007224C3">
        <w:rPr>
          <w:rFonts w:ascii="Times New Roman" w:cs="Times New Roman"/>
          <w:color w:val="000000" w:themeColor="text1"/>
          <w:spacing w:val="0"/>
        </w:rPr>
        <w:softHyphen/>
        <w:t>нирования самолета Ил-2.</w:t>
      </w:r>
    </w:p>
    <w:p w14:paraId="557A4DDC" w14:textId="77777777" w:rsidR="00282955" w:rsidRPr="007224C3" w:rsidRDefault="00282955" w:rsidP="007224C3">
      <w:pPr>
        <w:pStyle w:val="27"/>
        <w:shd w:val="clear" w:color="auto" w:fill="auto"/>
        <w:spacing w:after="0" w:line="240" w:lineRule="auto"/>
        <w:ind w:firstLine="0"/>
        <w:rPr>
          <w:rFonts w:ascii="Times New Roman" w:cs="Times New Roman"/>
          <w:color w:val="000000" w:themeColor="text1"/>
          <w:spacing w:val="0"/>
        </w:rPr>
      </w:pPr>
      <w:r w:rsidRPr="007224C3">
        <w:rPr>
          <w:rFonts w:ascii="Times New Roman" w:cs="Times New Roman"/>
          <w:color w:val="000000" w:themeColor="text1"/>
          <w:spacing w:val="0"/>
        </w:rPr>
        <w:t>По сравнению с серийными самолетами в схему бронирования были внесены следующие изменения: верхняя броня капота толщиной 4 мм заменялась дюралевыми листами той же толщины; вертикальная 7-мм броневая плита под капотом за приборной доской снималась; две полукруглые 6-мм броневые плиты за втул</w:t>
      </w:r>
      <w:r w:rsidRPr="007224C3">
        <w:rPr>
          <w:rFonts w:ascii="Times New Roman" w:cs="Times New Roman"/>
          <w:color w:val="000000" w:themeColor="text1"/>
          <w:spacing w:val="0"/>
        </w:rPr>
        <w:softHyphen/>
        <w:t>кой винта заменялись дюралевыми плитами той же толщины, а две нижние боковые бронеплиты капота толщиной 4 мм заменялись 8-мм броневыми плитами. В поясе кабины лет</w:t>
      </w:r>
      <w:r w:rsidRPr="007224C3">
        <w:rPr>
          <w:rFonts w:ascii="Times New Roman" w:cs="Times New Roman"/>
          <w:color w:val="000000" w:themeColor="text1"/>
          <w:spacing w:val="0"/>
        </w:rPr>
        <w:softHyphen/>
        <w:t>чика две боковые броневые плиты толщиной 4 мм, расположенные в местах примыкания к фюзеляжу крыльев, заменялись 4-мм броней. Передняя и задняя броневые заслонки ради</w:t>
      </w:r>
      <w:r w:rsidRPr="007224C3">
        <w:rPr>
          <w:rFonts w:ascii="Times New Roman" w:cs="Times New Roman"/>
          <w:color w:val="000000" w:themeColor="text1"/>
          <w:spacing w:val="0"/>
        </w:rPr>
        <w:softHyphen/>
        <w:t>атора толщиной 5 мм заменялись броневыми плитами толщиной 12 мм. Задняя 12-мм пе</w:t>
      </w:r>
      <w:r w:rsidRPr="007224C3">
        <w:rPr>
          <w:rFonts w:ascii="Times New Roman" w:cs="Times New Roman"/>
          <w:color w:val="000000" w:themeColor="text1"/>
          <w:spacing w:val="0"/>
        </w:rPr>
        <w:softHyphen/>
        <w:t>регородка за кабиной летчика была оставлена только в верхней части, ниже ее сменила 6-мм бронеплита. В кабине стрелка три 6-мм плиты, защищающие стрелка сзади, снимались. Вме</w:t>
      </w:r>
      <w:r w:rsidRPr="007224C3">
        <w:rPr>
          <w:rFonts w:ascii="Times New Roman" w:cs="Times New Roman"/>
          <w:color w:val="000000" w:themeColor="text1"/>
          <w:spacing w:val="0"/>
        </w:rPr>
        <w:softHyphen/>
        <w:t>сто этого кабина стрелка полностью сзади (по поперечном^-сечению фюзеляжа), с боков (по бортам) и снизу выполнялась из 6-мм брони.</w:t>
      </w:r>
    </w:p>
    <w:p w14:paraId="5009E369" w14:textId="77777777" w:rsidR="00282955" w:rsidRPr="007224C3" w:rsidRDefault="00282955" w:rsidP="007224C3">
      <w:pPr>
        <w:pStyle w:val="27"/>
        <w:shd w:val="clear" w:color="auto" w:fill="auto"/>
        <w:spacing w:after="0" w:line="240" w:lineRule="auto"/>
        <w:ind w:firstLine="0"/>
        <w:rPr>
          <w:rFonts w:ascii="Times New Roman" w:cs="Times New Roman"/>
          <w:color w:val="000000" w:themeColor="text1"/>
          <w:spacing w:val="0"/>
        </w:rPr>
      </w:pPr>
      <w:r w:rsidRPr="007224C3">
        <w:rPr>
          <w:rFonts w:ascii="Times New Roman" w:cs="Times New Roman"/>
          <w:color w:val="000000" w:themeColor="text1"/>
          <w:spacing w:val="0"/>
        </w:rPr>
        <w:t>Таким образом, за счет уменьшения тол</w:t>
      </w:r>
      <w:r w:rsidRPr="007224C3">
        <w:rPr>
          <w:rFonts w:ascii="Times New Roman" w:cs="Times New Roman"/>
          <w:color w:val="000000" w:themeColor="text1"/>
          <w:spacing w:val="0"/>
        </w:rPr>
        <w:softHyphen/>
        <w:t>щины или снятия отдельных бронедеталей в мало поражаемых местах было усилено бро</w:t>
      </w:r>
      <w:r w:rsidRPr="007224C3">
        <w:rPr>
          <w:rFonts w:ascii="Times New Roman" w:cs="Times New Roman"/>
          <w:color w:val="000000" w:themeColor="text1"/>
          <w:spacing w:val="0"/>
        </w:rPr>
        <w:softHyphen/>
        <w:t>нирование наиболее поражаемых участков бронекорпуса. Воздушный стрелок «в</w:t>
      </w:r>
      <w:r w:rsidRPr="007224C3">
        <w:rPr>
          <w:rStyle w:val="aff7"/>
          <w:rFonts w:ascii="Times New Roman" w:hAnsi="Times New Roman" w:cs="Times New Roman"/>
          <w:i w:val="0"/>
          <w:color w:val="000000" w:themeColor="text1"/>
          <w:spacing w:val="0"/>
        </w:rPr>
        <w:t xml:space="preserve"> предъ</w:t>
      </w:r>
      <w:r w:rsidRPr="007224C3">
        <w:rPr>
          <w:rStyle w:val="aff7"/>
          <w:rFonts w:ascii="Times New Roman" w:hAnsi="Times New Roman" w:cs="Times New Roman"/>
          <w:i w:val="0"/>
          <w:color w:val="000000" w:themeColor="text1"/>
          <w:spacing w:val="0"/>
        </w:rPr>
        <w:softHyphen/>
        <w:t>явленном варианте защищен вполне удовлет</w:t>
      </w:r>
      <w:r w:rsidRPr="007224C3">
        <w:rPr>
          <w:rStyle w:val="aff7"/>
          <w:rFonts w:ascii="Times New Roman" w:hAnsi="Times New Roman" w:cs="Times New Roman"/>
          <w:i w:val="0"/>
          <w:color w:val="000000" w:themeColor="text1"/>
          <w:spacing w:val="0"/>
        </w:rPr>
        <w:softHyphen/>
        <w:t>ворительно, за исключением заднего сектора: поперечная броня толщиной 6 мм - недоста</w:t>
      </w:r>
      <w:r w:rsidRPr="007224C3">
        <w:rPr>
          <w:rStyle w:val="aff7"/>
          <w:rFonts w:ascii="Times New Roman" w:hAnsi="Times New Roman" w:cs="Times New Roman"/>
          <w:i w:val="0"/>
          <w:color w:val="000000" w:themeColor="text1"/>
          <w:spacing w:val="0"/>
        </w:rPr>
        <w:softHyphen/>
        <w:t>точна».</w:t>
      </w:r>
      <w:r w:rsidRPr="007224C3">
        <w:rPr>
          <w:rFonts w:ascii="Times New Roman" w:cs="Times New Roman"/>
          <w:color w:val="000000" w:themeColor="text1"/>
          <w:spacing w:val="0"/>
        </w:rPr>
        <w:t xml:space="preserve"> Делался вывод, что новый вариант бронирования Ил-2 обладал значительными преимуществами, повышающими общую жи</w:t>
      </w:r>
      <w:r w:rsidRPr="007224C3">
        <w:rPr>
          <w:rFonts w:ascii="Times New Roman" w:cs="Times New Roman"/>
          <w:color w:val="000000" w:themeColor="text1"/>
          <w:spacing w:val="0"/>
        </w:rPr>
        <w:softHyphen/>
        <w:t>вучесть самолета. Поскольку броня распреде</w:t>
      </w:r>
      <w:r w:rsidRPr="007224C3">
        <w:rPr>
          <w:rFonts w:ascii="Times New Roman" w:cs="Times New Roman"/>
          <w:color w:val="000000" w:themeColor="text1"/>
          <w:spacing w:val="0"/>
        </w:rPr>
        <w:softHyphen/>
        <w:t>лялась по корпусу более рационально и была значительно усилена защита заднего стрелка, то рекомендовалось внедрить данную схему бронирования в серийном производстве вме</w:t>
      </w:r>
      <w:r w:rsidRPr="007224C3">
        <w:rPr>
          <w:rFonts w:ascii="Times New Roman" w:cs="Times New Roman"/>
          <w:color w:val="000000" w:themeColor="text1"/>
          <w:spacing w:val="0"/>
        </w:rPr>
        <w:softHyphen/>
        <w:t>сто существующей.</w:t>
      </w:r>
    </w:p>
    <w:p w14:paraId="266621F7" w14:textId="77777777" w:rsidR="00282955" w:rsidRPr="007224C3" w:rsidRDefault="00282955" w:rsidP="007224C3">
      <w:pPr>
        <w:pStyle w:val="27"/>
        <w:shd w:val="clear" w:color="auto" w:fill="auto"/>
        <w:spacing w:after="0" w:line="240" w:lineRule="auto"/>
        <w:ind w:firstLine="0"/>
        <w:rPr>
          <w:rFonts w:ascii="Times New Roman" w:cs="Times New Roman"/>
          <w:color w:val="000000" w:themeColor="text1"/>
          <w:spacing w:val="0"/>
        </w:rPr>
      </w:pPr>
      <w:r w:rsidRPr="007224C3">
        <w:rPr>
          <w:rFonts w:ascii="Times New Roman" w:cs="Times New Roman"/>
          <w:color w:val="000000" w:themeColor="text1"/>
          <w:spacing w:val="0"/>
        </w:rPr>
        <w:t>Ознакомившись с докладом, генерал-лей- тенант А.А. Лапин дал указание начальнику 1-го отдела ГУ ИАС ВВС КА генерал-майору А.И. Гребеневу</w:t>
      </w:r>
      <w:r w:rsidRPr="007224C3">
        <w:rPr>
          <w:rStyle w:val="aff7"/>
          <w:rFonts w:ascii="Times New Roman" w:hAnsi="Times New Roman" w:cs="Times New Roman"/>
          <w:i w:val="0"/>
          <w:color w:val="000000" w:themeColor="text1"/>
          <w:spacing w:val="0"/>
        </w:rPr>
        <w:t xml:space="preserve"> «заготовить ответ т. Кузнецову и т. Ильюшину с просьбой о срочном изготов</w:t>
      </w:r>
      <w:r w:rsidRPr="007224C3">
        <w:rPr>
          <w:rStyle w:val="aff7"/>
          <w:rFonts w:ascii="Times New Roman" w:hAnsi="Times New Roman" w:cs="Times New Roman"/>
          <w:i w:val="0"/>
          <w:color w:val="000000" w:themeColor="text1"/>
          <w:spacing w:val="0"/>
        </w:rPr>
        <w:softHyphen/>
        <w:t>лении 2-3 с-тов».</w:t>
      </w:r>
      <w:r w:rsidRPr="007224C3">
        <w:rPr>
          <w:rFonts w:ascii="Times New Roman" w:cs="Times New Roman"/>
          <w:color w:val="000000" w:themeColor="text1"/>
          <w:spacing w:val="0"/>
        </w:rPr>
        <w:t xml:space="preserve"> 5 апреля такое письмо ушло в адрес замнаркома авиапромышленности Кузнецова и главного конструктора самолета Ил-2 Ильюшина. Считалось целесообразным вопрос о внедрении улучшенной схемы бро</w:t>
      </w:r>
      <w:r w:rsidRPr="007224C3">
        <w:rPr>
          <w:rFonts w:ascii="Times New Roman" w:cs="Times New Roman"/>
          <w:color w:val="000000" w:themeColor="text1"/>
          <w:spacing w:val="0"/>
        </w:rPr>
        <w:softHyphen/>
        <w:t>нирования в серию решить после проведения испытаний самолета с новым бронекорпусом. Для этого Лапин просил дать указание «о</w:t>
      </w:r>
      <w:r w:rsidRPr="007224C3">
        <w:rPr>
          <w:rStyle w:val="aff7"/>
          <w:rFonts w:ascii="Times New Roman" w:hAnsi="Times New Roman" w:cs="Times New Roman"/>
          <w:i w:val="0"/>
          <w:color w:val="000000" w:themeColor="text1"/>
          <w:spacing w:val="0"/>
        </w:rPr>
        <w:t xml:space="preserve"> сроч</w:t>
      </w:r>
      <w:r w:rsidRPr="007224C3">
        <w:rPr>
          <w:rStyle w:val="aff7"/>
          <w:rFonts w:ascii="Times New Roman" w:hAnsi="Times New Roman" w:cs="Times New Roman"/>
          <w:i w:val="0"/>
          <w:color w:val="000000" w:themeColor="text1"/>
          <w:spacing w:val="0"/>
        </w:rPr>
        <w:softHyphen/>
        <w:t>ном изготовлении 2-3 самолетов Ил-2 с уси</w:t>
      </w:r>
      <w:r w:rsidRPr="007224C3">
        <w:rPr>
          <w:rStyle w:val="aff7"/>
          <w:rFonts w:ascii="Times New Roman" w:hAnsi="Times New Roman" w:cs="Times New Roman"/>
          <w:i w:val="0"/>
          <w:color w:val="000000" w:themeColor="text1"/>
          <w:spacing w:val="0"/>
        </w:rPr>
        <w:softHyphen/>
        <w:t>ленной схемой бронирования и предъявить их в НИИ ВВС». (17478)</w:t>
      </w:r>
    </w:p>
    <w:p w14:paraId="3731CD02" w14:textId="77777777" w:rsidR="00282955" w:rsidRPr="007224C3" w:rsidRDefault="00282955" w:rsidP="007224C3">
      <w:pPr>
        <w:spacing w:after="0" w:line="240" w:lineRule="auto"/>
        <w:jc w:val="both"/>
        <w:rPr>
          <w:rStyle w:val="4c"/>
          <w:rFonts w:ascii="Times New Roman" w:hAnsi="Times New Roman" w:cs="Times New Roman"/>
          <w:i w:val="0"/>
          <w:color w:val="000000" w:themeColor="text1"/>
          <w:sz w:val="16"/>
          <w:szCs w:val="16"/>
        </w:rPr>
      </w:pPr>
    </w:p>
    <w:p w14:paraId="0C929C1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марта 1944 был утвержден отчет ЛИИ по испытаниям самолета N 39210319 Ла-5-АШ82ФН (300,6).</w:t>
      </w:r>
    </w:p>
    <w:p w14:paraId="6F7C154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49DBC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марта 1944 вышло постановление ГКО N 5404 по Ла-5 АШ-82ФН с 3 пушками в 20 мм (742,84).</w:t>
      </w:r>
    </w:p>
    <w:p w14:paraId="5A80382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ГКО своим постановлением N 5404сс от 15 марта 1944 принял к сведению сообщение НКАП, ГК С.А.Л. и нач. ЦАГИ Шишкина о том, что аэродинамически и конструктивно улучшенный самолет Ла-5, с серийным мотором АШ-82ФН, показал при испытаниях в ЛИИ следующие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5106D0" w:rsidRPr="007224C3" w14:paraId="5FB13680" w14:textId="77777777">
        <w:tc>
          <w:tcPr>
            <w:tcW w:w="5636" w:type="dxa"/>
          </w:tcPr>
          <w:p w14:paraId="03F817F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 скорость у земли</w:t>
            </w:r>
          </w:p>
        </w:tc>
        <w:tc>
          <w:tcPr>
            <w:tcW w:w="5636" w:type="dxa"/>
          </w:tcPr>
          <w:p w14:paraId="5FBC8E7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630 км/час</w:t>
            </w:r>
          </w:p>
        </w:tc>
      </w:tr>
      <w:tr w:rsidR="005106D0" w:rsidRPr="007224C3" w14:paraId="3B0558C3" w14:textId="77777777">
        <w:tc>
          <w:tcPr>
            <w:tcW w:w="5636" w:type="dxa"/>
          </w:tcPr>
          <w:p w14:paraId="2C84C83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 скорость на 6000 м</w:t>
            </w:r>
          </w:p>
        </w:tc>
        <w:tc>
          <w:tcPr>
            <w:tcW w:w="5636" w:type="dxa"/>
          </w:tcPr>
          <w:p w14:paraId="7D016ED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685 км/час</w:t>
            </w:r>
          </w:p>
        </w:tc>
      </w:tr>
      <w:tr w:rsidR="005106D0" w:rsidRPr="007224C3" w14:paraId="67486326" w14:textId="77777777">
        <w:tc>
          <w:tcPr>
            <w:tcW w:w="5636" w:type="dxa"/>
          </w:tcPr>
          <w:p w14:paraId="572B0F0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полетн. вес</w:t>
            </w:r>
          </w:p>
        </w:tc>
        <w:tc>
          <w:tcPr>
            <w:tcW w:w="5636" w:type="dxa"/>
          </w:tcPr>
          <w:p w14:paraId="29EC3F6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3250</w:t>
            </w:r>
          </w:p>
        </w:tc>
      </w:tr>
    </w:tbl>
    <w:p w14:paraId="5F108CC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Модификацию Ла-5 принять в дальнейшем именовав Ла-7 с М-82ФН (1628,223).</w:t>
      </w:r>
    </w:p>
    <w:p w14:paraId="18F4D42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7BC8A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марта 1944 вышло Постановление ГКО № 5404 О производстве самолетов Ла-7. РГАНИР, Фонд ГКО, д. 219, лл. 5-6,7-8 (11012).</w:t>
      </w:r>
    </w:p>
    <w:p w14:paraId="3ECDFC3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F50ED37" w14:textId="77777777" w:rsidR="000F027C" w:rsidRPr="007224C3" w:rsidRDefault="000F027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марта 1944 вышло Постановление ГКО № 5404 О производстве самолетов Ла-7</w:t>
      </w:r>
    </w:p>
    <w:p w14:paraId="5EA95C20" w14:textId="77777777" w:rsidR="000F027C" w:rsidRPr="007224C3" w:rsidRDefault="000F027C" w:rsidP="007224C3">
      <w:pPr>
        <w:pStyle w:val="36"/>
        <w:shd w:val="clear" w:color="auto" w:fill="auto"/>
        <w:spacing w:after="0"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Государственный Комитет Обороны постановляет:</w:t>
      </w:r>
    </w:p>
    <w:p w14:paraId="22402F4A" w14:textId="77777777" w:rsidR="000F027C" w:rsidRPr="007224C3" w:rsidRDefault="000F027C" w:rsidP="007224C3">
      <w:pPr>
        <w:pStyle w:val="36"/>
        <w:shd w:val="clear" w:color="auto" w:fill="auto"/>
        <w:tabs>
          <w:tab w:val="left" w:pos="1364"/>
        </w:tabs>
        <w:spacing w:after="0"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1. Принять к сведению сообщение Наркомавиапрома - т.Шахурина, главного конструктора т.Лавочкине и началь</w:t>
      </w:r>
      <w:r w:rsidRPr="007224C3">
        <w:rPr>
          <w:rFonts w:ascii="Times New Roman" w:cs="Times New Roman"/>
          <w:color w:val="000000" w:themeColor="text1"/>
          <w:spacing w:val="0"/>
          <w:sz w:val="16"/>
          <w:szCs w:val="16"/>
        </w:rPr>
        <w:softHyphen/>
        <w:t>ника ЦАГИ - т.Шишкина о том, что аэродинамически и конструктивно улучшенный самолет Ла-5 серийным мото</w:t>
      </w:r>
      <w:r w:rsidRPr="007224C3">
        <w:rPr>
          <w:rFonts w:ascii="Times New Roman" w:cs="Times New Roman"/>
          <w:color w:val="000000" w:themeColor="text1"/>
          <w:spacing w:val="0"/>
          <w:sz w:val="16"/>
          <w:szCs w:val="16"/>
        </w:rPr>
        <w:softHyphen/>
        <w:t>ром АШ-82ФН показал при испытаниях в ЛИИ НКАП следующие данные:</w:t>
      </w:r>
    </w:p>
    <w:p w14:paraId="1362E06F" w14:textId="77777777" w:rsidR="000F027C" w:rsidRPr="007224C3" w:rsidRDefault="000F027C" w:rsidP="007224C3">
      <w:pPr>
        <w:pStyle w:val="36"/>
        <w:shd w:val="clear" w:color="auto" w:fill="auto"/>
        <w:spacing w:after="0"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максимальная скорость у земли - 630 км./час</w:t>
      </w:r>
    </w:p>
    <w:p w14:paraId="5348BECA" w14:textId="77777777" w:rsidR="000F027C" w:rsidRPr="007224C3" w:rsidRDefault="000F027C" w:rsidP="007224C3">
      <w:pPr>
        <w:pStyle w:val="36"/>
        <w:shd w:val="clear" w:color="auto" w:fill="auto"/>
        <w:spacing w:after="0"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максимальная скорость на высоте 600 метров - 685</w:t>
      </w:r>
    </w:p>
    <w:p w14:paraId="28CC3BA1" w14:textId="77777777" w:rsidR="000F027C" w:rsidRPr="007224C3" w:rsidRDefault="000F027C" w:rsidP="007224C3">
      <w:pPr>
        <w:pStyle w:val="36"/>
        <w:shd w:val="clear" w:color="auto" w:fill="auto"/>
        <w:tabs>
          <w:tab w:val="left" w:pos="4372"/>
        </w:tabs>
        <w:spacing w:after="0"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полетный вес - 3250 кг.</w:t>
      </w:r>
    </w:p>
    <w:p w14:paraId="3E1846B6" w14:textId="77777777" w:rsidR="000F027C" w:rsidRPr="007224C3" w:rsidRDefault="000F027C" w:rsidP="007224C3">
      <w:pPr>
        <w:pStyle w:val="36"/>
        <w:shd w:val="clear" w:color="auto" w:fill="auto"/>
        <w:tabs>
          <w:tab w:val="left" w:pos="1358"/>
        </w:tabs>
        <w:spacing w:after="0"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2. Модифицированный самолет Ла-5 конструкции т.Лавочкина в дальнейшем именовать Ла-7 с АШ-82ФН.</w:t>
      </w:r>
    </w:p>
    <w:p w14:paraId="445D88F0" w14:textId="77777777" w:rsidR="000F027C" w:rsidRPr="007224C3" w:rsidRDefault="000F027C" w:rsidP="007224C3">
      <w:pPr>
        <w:pStyle w:val="36"/>
        <w:shd w:val="clear" w:color="auto" w:fill="auto"/>
        <w:tabs>
          <w:tab w:val="left" w:pos="3868"/>
        </w:tabs>
        <w:spacing w:after="0"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lastRenderedPageBreak/>
        <w:t>3. Обязать Наркомавиапром - т.Шахурина, главного конструкторе - т.Лавочкина, директоров заводов № 21 - т.Агадэанова и № 381 - т.Буравлева немедленно присту</w:t>
      </w:r>
      <w:r w:rsidRPr="007224C3">
        <w:rPr>
          <w:rFonts w:ascii="Times New Roman" w:cs="Times New Roman"/>
          <w:color w:val="000000" w:themeColor="text1"/>
          <w:spacing w:val="0"/>
          <w:sz w:val="16"/>
          <w:szCs w:val="16"/>
        </w:rPr>
        <w:softHyphen/>
        <w:t xml:space="preserve">пить к производству самолетов Ла-7 с моторами </w:t>
      </w:r>
      <w:r w:rsidRPr="007224C3">
        <w:rPr>
          <w:rFonts w:ascii="Times New Roman" w:cs="Times New Roman"/>
          <w:color w:val="000000" w:themeColor="text1"/>
          <w:spacing w:val="0"/>
          <w:sz w:val="16"/>
          <w:szCs w:val="16"/>
          <w:lang w:val="en-US"/>
        </w:rPr>
        <w:t>AUI</w:t>
      </w:r>
      <w:r w:rsidRPr="007224C3">
        <w:rPr>
          <w:rFonts w:ascii="Times New Roman" w:cs="Times New Roman"/>
          <w:color w:val="000000" w:themeColor="text1"/>
          <w:spacing w:val="0"/>
          <w:sz w:val="16"/>
          <w:szCs w:val="16"/>
        </w:rPr>
        <w:t>-82Ф</w:t>
      </w:r>
      <w:r w:rsidRPr="007224C3">
        <w:rPr>
          <w:rFonts w:ascii="Times New Roman" w:cs="Times New Roman"/>
          <w:color w:val="000000" w:themeColor="text1"/>
          <w:spacing w:val="0"/>
          <w:sz w:val="16"/>
          <w:szCs w:val="16"/>
          <w:lang w:val="en-US"/>
        </w:rPr>
        <w:t>H</w:t>
      </w:r>
      <w:r w:rsidRPr="007224C3">
        <w:rPr>
          <w:rFonts w:ascii="Times New Roman" w:cs="Times New Roman"/>
          <w:color w:val="000000" w:themeColor="text1"/>
          <w:spacing w:val="0"/>
          <w:sz w:val="16"/>
          <w:szCs w:val="16"/>
        </w:rPr>
        <w:t xml:space="preserve"> с серийным вооружением - двумя пушками швак, калибра 20 мм.</w:t>
      </w:r>
    </w:p>
    <w:p w14:paraId="535B2A57" w14:textId="77777777" w:rsidR="000F027C" w:rsidRPr="007224C3" w:rsidRDefault="000F027C" w:rsidP="007224C3">
      <w:pPr>
        <w:pStyle w:val="36"/>
        <w:shd w:val="clear" w:color="auto" w:fill="auto"/>
        <w:spacing w:after="0"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4. Установить следующий план выпуска самолетов</w:t>
      </w:r>
    </w:p>
    <w:p w14:paraId="6B742C8F" w14:textId="77777777" w:rsidR="000F027C" w:rsidRPr="007224C3" w:rsidRDefault="000F027C" w:rsidP="007224C3">
      <w:pPr>
        <w:pStyle w:val="36"/>
        <w:shd w:val="clear" w:color="auto" w:fill="auto"/>
        <w:spacing w:after="0"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ab/>
        <w:t>в  мае</w:t>
      </w:r>
      <w:r w:rsidRPr="007224C3">
        <w:rPr>
          <w:rFonts w:ascii="Times New Roman" w:cs="Times New Roman"/>
          <w:color w:val="000000" w:themeColor="text1"/>
          <w:spacing w:val="0"/>
          <w:sz w:val="16"/>
          <w:szCs w:val="16"/>
        </w:rPr>
        <w:tab/>
        <w:t>июне</w:t>
      </w:r>
      <w:r w:rsidRPr="007224C3">
        <w:rPr>
          <w:rFonts w:ascii="Times New Roman" w:cs="Times New Roman"/>
          <w:color w:val="000000" w:themeColor="text1"/>
          <w:spacing w:val="0"/>
          <w:sz w:val="16"/>
          <w:szCs w:val="16"/>
        </w:rPr>
        <w:tab/>
        <w:t xml:space="preserve"> июле</w:t>
      </w:r>
      <w:r w:rsidRPr="007224C3">
        <w:rPr>
          <w:rFonts w:ascii="Times New Roman" w:cs="Times New Roman"/>
          <w:color w:val="000000" w:themeColor="text1"/>
          <w:spacing w:val="0"/>
          <w:sz w:val="16"/>
          <w:szCs w:val="16"/>
        </w:rPr>
        <w:tab/>
        <w:t>августе</w:t>
      </w:r>
    </w:p>
    <w:p w14:paraId="62DE6BCC" w14:textId="77777777" w:rsidR="000F027C" w:rsidRPr="007224C3" w:rsidRDefault="000F027C" w:rsidP="007224C3">
      <w:pPr>
        <w:pStyle w:val="36"/>
        <w:shd w:val="clear" w:color="auto" w:fill="auto"/>
        <w:spacing w:after="0"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На заводе № 21</w:t>
      </w:r>
      <w:r w:rsidRPr="007224C3">
        <w:rPr>
          <w:rFonts w:ascii="Times New Roman" w:cs="Times New Roman"/>
          <w:color w:val="000000" w:themeColor="text1"/>
          <w:spacing w:val="0"/>
          <w:sz w:val="16"/>
          <w:szCs w:val="16"/>
        </w:rPr>
        <w:tab/>
      </w:r>
      <w:r w:rsidRPr="007224C3">
        <w:rPr>
          <w:rStyle w:val="TrebuchetMS1pt"/>
          <w:rFonts w:ascii="Times New Roman" w:hAnsi="Times New Roman" w:cs="Times New Roman"/>
          <w:color w:val="000000" w:themeColor="text1"/>
          <w:spacing w:val="0"/>
          <w:sz w:val="16"/>
          <w:szCs w:val="16"/>
        </w:rPr>
        <w:t>20</w:t>
      </w:r>
      <w:r w:rsidRPr="007224C3">
        <w:rPr>
          <w:rStyle w:val="TrebuchetMS1pt"/>
          <w:rFonts w:ascii="Times New Roman" w:hAnsi="Times New Roman" w:cs="Times New Roman"/>
          <w:color w:val="000000" w:themeColor="text1"/>
          <w:spacing w:val="0"/>
          <w:sz w:val="16"/>
          <w:szCs w:val="16"/>
        </w:rPr>
        <w:tab/>
        <w:t>50</w:t>
      </w:r>
      <w:r w:rsidRPr="007224C3">
        <w:rPr>
          <w:rStyle w:val="TrebuchetMS1pt"/>
          <w:rFonts w:ascii="Times New Roman" w:hAnsi="Times New Roman" w:cs="Times New Roman"/>
          <w:color w:val="000000" w:themeColor="text1"/>
          <w:spacing w:val="0"/>
          <w:sz w:val="16"/>
          <w:szCs w:val="16"/>
        </w:rPr>
        <w:tab/>
        <w:t>150</w:t>
      </w:r>
      <w:r w:rsidRPr="007224C3">
        <w:rPr>
          <w:rStyle w:val="TrebuchetMS1pt"/>
          <w:rFonts w:ascii="Times New Roman" w:hAnsi="Times New Roman" w:cs="Times New Roman"/>
          <w:color w:val="000000" w:themeColor="text1"/>
          <w:spacing w:val="0"/>
          <w:sz w:val="16"/>
          <w:szCs w:val="16"/>
        </w:rPr>
        <w:tab/>
        <w:t>250</w:t>
      </w:r>
    </w:p>
    <w:p w14:paraId="09DA6913" w14:textId="77777777" w:rsidR="000F027C" w:rsidRPr="007224C3" w:rsidRDefault="000F027C" w:rsidP="007224C3">
      <w:pPr>
        <w:pStyle w:val="36"/>
        <w:shd w:val="clear" w:color="auto" w:fill="auto"/>
        <w:tabs>
          <w:tab w:val="left" w:pos="3940"/>
        </w:tabs>
        <w:spacing w:after="0"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На заводе № 381</w:t>
      </w:r>
      <w:r w:rsidRPr="007224C3">
        <w:rPr>
          <w:rFonts w:ascii="Times New Roman" w:cs="Times New Roman"/>
          <w:color w:val="000000" w:themeColor="text1"/>
          <w:spacing w:val="0"/>
          <w:sz w:val="16"/>
          <w:szCs w:val="16"/>
        </w:rPr>
        <w:tab/>
        <w:t>-</w:t>
      </w:r>
      <w:r w:rsidRPr="007224C3">
        <w:rPr>
          <w:rFonts w:ascii="Times New Roman" w:cs="Times New Roman"/>
          <w:color w:val="000000" w:themeColor="text1"/>
          <w:spacing w:val="0"/>
          <w:sz w:val="16"/>
          <w:szCs w:val="16"/>
        </w:rPr>
        <w:tab/>
        <w:t>5</w:t>
      </w:r>
      <w:r w:rsidRPr="007224C3">
        <w:rPr>
          <w:rFonts w:ascii="Times New Roman" w:cs="Times New Roman"/>
          <w:color w:val="000000" w:themeColor="text1"/>
          <w:spacing w:val="0"/>
          <w:sz w:val="16"/>
          <w:szCs w:val="16"/>
        </w:rPr>
        <w:tab/>
        <w:t>10</w:t>
      </w:r>
      <w:r w:rsidRPr="007224C3">
        <w:rPr>
          <w:rFonts w:ascii="Times New Roman" w:cs="Times New Roman"/>
          <w:color w:val="000000" w:themeColor="text1"/>
          <w:spacing w:val="0"/>
          <w:sz w:val="16"/>
          <w:szCs w:val="16"/>
        </w:rPr>
        <w:tab/>
        <w:t>25</w:t>
      </w:r>
    </w:p>
    <w:p w14:paraId="1AFDA9F6" w14:textId="77777777" w:rsidR="000F027C" w:rsidRPr="007224C3" w:rsidRDefault="000F027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Переход не выпуск самолетов Яа-7 осуществитб без снижения достигнутого за водами уровня выпуске самолетов по заводу № 21 - 17 самолетов в сутки и заводу № 381 - 3 самолетов в сутки.</w:t>
      </w:r>
    </w:p>
    <w:p w14:paraId="106E14B7" w14:textId="77777777" w:rsidR="000F027C" w:rsidRPr="007224C3" w:rsidRDefault="000F027C" w:rsidP="007224C3">
      <w:pPr>
        <w:tabs>
          <w:tab w:val="left" w:pos="907"/>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Обязать Наркомчермет  - т. Тевосяна:</w:t>
      </w:r>
    </w:p>
    <w:p w14:paraId="6A1D7BDB" w14:textId="77777777" w:rsidR="000F027C" w:rsidRPr="007224C3" w:rsidRDefault="000F027C" w:rsidP="007224C3">
      <w:pPr>
        <w:tabs>
          <w:tab w:val="left" w:pos="906"/>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освоить производство специальных труб для выхлопных  коллекторов из стали ЭЯ1-Т по спецификации НКАП, обеспечив поставку их Наркомавиапрому в количествах: в мае 750 мт., в июне 2500 мт., в июле 5000 мт. и в дальнейшем в количествах, обеспечивающих программу НКАП;</w:t>
      </w:r>
    </w:p>
    <w:p w14:paraId="0825766D" w14:textId="77777777" w:rsidR="000F027C" w:rsidRPr="007224C3" w:rsidRDefault="000F027C" w:rsidP="007224C3">
      <w:pPr>
        <w:tabs>
          <w:tab w:val="left" w:pos="888"/>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выделить в марте-апреле с.г. в счет фондов НКАП, целевым назначением для завода № 21 - 600 штук кислородиых баллонов.</w:t>
      </w:r>
    </w:p>
    <w:p w14:paraId="203CDC5C" w14:textId="77777777" w:rsidR="000F027C" w:rsidRPr="007224C3" w:rsidRDefault="000F027C" w:rsidP="007224C3">
      <w:pPr>
        <w:tabs>
          <w:tab w:val="left" w:pos="888"/>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Обязать Наркомфин СССР - т.Зверева  выаделить из резервного фонда СНК СССР в распоряжение Наркомавиапроий 8 млн. рублей, в том числе:</w:t>
      </w:r>
    </w:p>
    <w:p w14:paraId="59DE8811" w14:textId="77777777" w:rsidR="000F027C" w:rsidRPr="007224C3" w:rsidRDefault="000F027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постановку производства самолетов Ла-7 на заводах № 21 - 3 млн.рублей и № 381 - 2 млн.рублей;</w:t>
      </w:r>
    </w:p>
    <w:p w14:paraId="4916DB6D" w14:textId="77777777" w:rsidR="000F027C" w:rsidRPr="007224C3" w:rsidRDefault="000F027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премирование рабочих завода № 21 - 1,5 млн. рублей и заводе № 381 - 800 тыс.рублей;</w:t>
      </w:r>
    </w:p>
    <w:p w14:paraId="0CECC9FB" w14:textId="77777777" w:rsidR="000F027C" w:rsidRPr="007224C3" w:rsidRDefault="000F027C" w:rsidP="007224C3">
      <w:pPr>
        <w:spacing w:after="0" w:line="240" w:lineRule="auto"/>
        <w:jc w:val="both"/>
        <w:rPr>
          <w:rFonts w:ascii="Times New Roman" w:hAnsi="Times New Roman"/>
          <w:color w:val="000000" w:themeColor="text1"/>
          <w:sz w:val="16"/>
          <w:szCs w:val="16"/>
        </w:rPr>
      </w:pPr>
      <w:r w:rsidRPr="007224C3">
        <w:rPr>
          <w:rStyle w:val="4pt"/>
          <w:rFonts w:ascii="Times New Roman" w:hAnsi="Times New Roman" w:cs="Times New Roman"/>
          <w:color w:val="000000" w:themeColor="text1"/>
          <w:spacing w:val="0"/>
          <w:sz w:val="16"/>
          <w:szCs w:val="16"/>
          <w:u w:val="none"/>
        </w:rPr>
        <w:t>на .премирование рабочих, ИТР, конструкторов и нучных</w:t>
      </w:r>
      <w:r w:rsidRPr="007224C3">
        <w:rPr>
          <w:rFonts w:ascii="Times New Roman" w:hAnsi="Times New Roman"/>
          <w:color w:val="000000" w:themeColor="text1"/>
          <w:sz w:val="16"/>
          <w:szCs w:val="16"/>
        </w:rPr>
        <w:t xml:space="preserve"> работников, отличившихся при постройке улучшенного опытного самолета Ла-7 - 700 тыс.рублей, из них: ОКБ т.Лавочкина - 500 тыс.рублей, ЦАГИ и ЛИИ НКАП - по 100 тыс.рублей.</w:t>
      </w:r>
    </w:p>
    <w:p w14:paraId="730D4C71" w14:textId="77777777" w:rsidR="000F027C" w:rsidRPr="007224C3" w:rsidRDefault="000F027C" w:rsidP="007224C3">
      <w:pPr>
        <w:tabs>
          <w:tab w:val="left" w:pos="875"/>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Утвердить мероприятия по обеспечению выпуска самолета Ла-7 на заводах № 21 и 381 Наркомавиапрома (см. приложение) (10478).</w:t>
      </w:r>
    </w:p>
    <w:p w14:paraId="603A75F9" w14:textId="77777777" w:rsidR="000F027C" w:rsidRPr="007224C3" w:rsidRDefault="000F027C" w:rsidP="007224C3">
      <w:pPr>
        <w:autoSpaceDE w:val="0"/>
        <w:autoSpaceDN w:val="0"/>
        <w:adjustRightInd w:val="0"/>
        <w:spacing w:after="0" w:line="240" w:lineRule="auto"/>
        <w:jc w:val="both"/>
        <w:rPr>
          <w:rFonts w:ascii="Times New Roman" w:hAnsi="Times New Roman"/>
          <w:color w:val="000000" w:themeColor="text1"/>
          <w:sz w:val="16"/>
          <w:szCs w:val="16"/>
        </w:rPr>
      </w:pPr>
    </w:p>
    <w:p w14:paraId="3DCCB31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марта 1944 года Постановлением «О производстве самолетов Ла-7» ГКО приказал начать с мая 1944 года серийный выпуск нового истре</w:t>
      </w:r>
      <w:r w:rsidRPr="007224C3">
        <w:rPr>
          <w:rFonts w:ascii="Times New Roman" w:hAnsi="Times New Roman"/>
          <w:color w:val="000000" w:themeColor="text1"/>
          <w:sz w:val="16"/>
          <w:szCs w:val="16"/>
        </w:rPr>
        <w:softHyphen/>
        <w:t>бителя без снижения достигнутого заводами темпа: по заводу №21 - 17, по заводу №381 - 3 самолета в сутки. Надо сказать, что меньший мос</w:t>
      </w:r>
      <w:r w:rsidRPr="007224C3">
        <w:rPr>
          <w:rFonts w:ascii="Times New Roman" w:hAnsi="Times New Roman"/>
          <w:color w:val="000000" w:themeColor="text1"/>
          <w:sz w:val="16"/>
          <w:szCs w:val="16"/>
        </w:rPr>
        <w:softHyphen/>
        <w:t>ковский завод №381 смог быстрее горьковского выполнить этот приказ, и с мая полностью перешел на выпуск Ла-7, тогда как в Горьком переход с Ла-5ФН на Ла-7 затянулся с июня до ноября 1944 года. Вооружение на серийных Ла-7 было оставлено пока прежним, так как пушки Б-20 еще нуждались в доводке (10714).</w:t>
      </w:r>
    </w:p>
    <w:p w14:paraId="70FF46D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4D2C2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15 марта 1944 Постановлением ГКО предписывалось перейти на выпуск Ла-7 с мая 1944 г., причём без снижения достигнутого темпа сдачи истребителей. Московский завод № 381 выполнил распоряжение точно в назначенный срок. Затем с июня Ла-7 начали осваивать и горьковские самолётостроители. Полностью переход завода № 21 с Ла-5ФН на Ла-7 завершился в ноябре. Здесь производственники именовали Ла-7 "типом 45"; с этого сочетания цифр начинались их серийные номера. В Горьком счёт серий повели по новой, а в Москве продолжили нумерацию серий Ла-5ФН. </w:t>
      </w:r>
    </w:p>
    <w:p w14:paraId="07A4894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Серийные Ла-7 имели много отличий от Ла-5ФН. Переделка носка центроплана дала возможность выдержать один и тот же аэродинамический профиль по всему размаху. Это уменьшило аэродинамическое сопротивление и немного подняло подъёмную силу. Зализ центроплана теперь изготавливали полностью из металла, с каркасом из профилей и обшивкой из листа. Деревянную обшивку под ним ликвидировали.</w:t>
      </w:r>
    </w:p>
    <w:p w14:paraId="4E3219F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фонаре кабины предусмотрели противокапотажную раму, в которую вставлялось бронестекло, защищавшее пилота сзади. Переднее бронестекло выполнили сплошным, из единого куска. Прицел сместили на 30 мм вниз.</w:t>
      </w:r>
    </w:p>
    <w:p w14:paraId="731BF28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Существенно изменилась мотоустановка - в ней использовали все новинки, опробованные на экспериментальных машинах. Воздух для нагнетателя забирался через окна в носке центроплана слева и справа от фюзеляжа; от них шли симметричные рукава наверх, соединявшиеся далее в один. Ликвидация характерного для Ла-5ФН короба над капотом мотора улучшила обзор из пилотской кабины вперёд. Боковые створки, регулировавшие выпуск воздуха, охлаждавшего двигатель, укоротили по высоте и сместили вверх. Это устранило срыв потока с центроплана при полностью открытых створках и благоприятно сказалось на скороподъёмности и манёвренности самолёта. Вместо прежних 10 выхлопных патрубков сделали 14 - по одному на цилиндр; но лишь пять из них находились под регулирующей створкой.</w:t>
      </w:r>
    </w:p>
    <w:p w14:paraId="1233E2F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Улучшили подгонку дефлекторов мотора АШ-82ФН. Храповик для автостартёра на втулке винта убрали, двигатель запускался только сжатым воздухом. Маслорадиатор располагался под фюзеляжем за шпангоутом № 5 в профилированном канале и был тщательно закапотирован снаружи. На стыке его с фюзеляжем был сделан желобок (слив) для предотвращения срыва пограничного слоя воздуха на нижней поверхности фюзеляжа. В противном случае воздействие срыва уменьшило бы эффективность радиатора примерно на 20%.</w:t>
      </w:r>
    </w:p>
    <w:p w14:paraId="6B95C62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Основные стойки шасси удлинили на 80 мм, а хвостовую, наоборот, укоротили. Это увеличило противокапотажный угол. Теперь можно было более резко давать газ на взлёте и энергичнее тормозить на посадке. Щитки, закреплённые на фюзеляже, при убранном шасси полностью закрывали нижнюю часть колёс основных стоек, улучшая аэродинамику. Механизм уборки костыльного колеса усовершенствовали. Костыль уже не складывался самопроизвольно на посадке и не выпадал в полёте, как у Ла-5ФН.</w:t>
      </w:r>
    </w:p>
    <w:p w14:paraId="6BDFFCD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Уменьшили щели между рулями высоты и стабилизатором, а также между рулём направления и килем. Управление рулём высоты облегчили путём увеличения аэродинамической компенсации руля и изменением передаточного отношения от ручки. Сама ручка лишилась "баранки" сверху.</w:t>
      </w:r>
    </w:p>
    <w:p w14:paraId="0AF3BE5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кабине перекомпоновали приборную доску, снабдили её ультрафиолетовой подсветкой. Шкалы приборов, нарисованные специальной краской, теперь светились в темноте при включении невидимой для глаз лётчика лампы. Радиостанцию сместили назад, расположив её за бронеспинкой пилотского кресла; управлялась она дистанционно. Герметизацию кабины улучшили, особенно по шпангоуту № 1, отделяющему её от мотоустановки.</w:t>
      </w:r>
    </w:p>
    <w:p w14:paraId="43D8E6C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Кроме того, различные изменения внесли в бензосистему, герметизацию отдельных узлов, улучшили подгонку лючков, поставили обтекатели в местах вырезов под кронштейны рулей.</w:t>
      </w:r>
    </w:p>
    <w:p w14:paraId="731ACA8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Серийные истребители имели более низкие лётные данные, чем "эталон". Это выявилось на испытаниях машины из головной серии в НИИ ВВС в августе 1944 г. Месяц спустя туда же на контрольные испытания прибыл ещё один Ла-7. Ни один из двух не смог развить скорость более 658 км/ч. Помимо недобора скорости, недостатками сочли перегрев двигателя при длительном наборе высоты и стабильно высокую температуру в кабине.</w:t>
      </w:r>
    </w:p>
    <w:p w14:paraId="65D822C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Практически те же нарекания были высказаны в ходе войсковых испытаний в сентябре-октябре 1944 г. Участвовавшие в них самолёты (и московские, и горьковские, выпущенные в июне - августе того же года) развивали максимальную скорость у земли на номинальном режиме работы мотора 578 км/ч, а на форсаже - 644 км/ч, на 2-й границе высотности (5900 м) - 658 км/ч. Время набора высоты 5000 м составляло 4,95 мин, а виража на высоте 1000 м - 20 с, набор высоты в боевом развороте равнялся 1400 м. Получалось, что по всем лётным данным серийные машины существенно уступали "эталону 1944 г.". Лётчики жаловались на жару в кабине, плохую вентиляцию, слишком тугое управление рулём поворота. Эти недостатки удалось устранить значительно позже, практически перед снятием истребителя с производства (11986).</w:t>
      </w:r>
    </w:p>
    <w:p w14:paraId="2FBC5EF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89384D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марта 1944 вышло Постановление ГКО № 5403 О бомбардировочном варианте самолета Як-9. РГАНИР, Фонд ГКО, д. 219, лл. 4 (11012).</w:t>
      </w:r>
    </w:p>
    <w:p w14:paraId="7E5D046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17EAF65" w14:textId="77777777" w:rsidR="004F20AF" w:rsidRPr="007224C3" w:rsidRDefault="004F20A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марта 1944 вышло Постановление ГКО № 5403 О бомбардировочном варианте самолета Як-9</w:t>
      </w:r>
    </w:p>
    <w:p w14:paraId="041B96BA" w14:textId="77777777" w:rsidR="004F20AF" w:rsidRPr="007224C3" w:rsidRDefault="004F20A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Государственный Комитет Обороны постановляет:</w:t>
      </w:r>
    </w:p>
    <w:p w14:paraId="317219AA" w14:textId="77777777" w:rsidR="004F20AF" w:rsidRPr="007224C3" w:rsidRDefault="004F20AF" w:rsidP="007224C3">
      <w:pPr>
        <w:tabs>
          <w:tab w:val="left" w:pos="852"/>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Принять предложение Наркомавиапроыа т.Шахурина и т.Яковлева о постройке самолета Як-9 с бомбовым вооружением в следующих вариантах бомбовой загрузки и максимальной даль</w:t>
      </w:r>
      <w:r w:rsidRPr="007224C3">
        <w:rPr>
          <w:rFonts w:ascii="Times New Roman" w:hAnsi="Times New Roman"/>
          <w:color w:val="000000" w:themeColor="text1"/>
          <w:sz w:val="16"/>
          <w:szCs w:val="16"/>
        </w:rPr>
        <w:softHyphen/>
        <w:t>ности при наивыгоднейшей скорости полета 325-350 км. в час:</w:t>
      </w:r>
    </w:p>
    <w:p w14:paraId="014F5C2A" w14:textId="77777777" w:rsidR="004F20AF" w:rsidRPr="007224C3" w:rsidRDefault="004F20AF" w:rsidP="007224C3">
      <w:pPr>
        <w:tabs>
          <w:tab w:val="right" w:pos="4631"/>
          <w:tab w:val="left" w:pos="4736"/>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бомбы по 100 кг - дальность - 800 км</w:t>
      </w:r>
    </w:p>
    <w:p w14:paraId="5C8F5CB8" w14:textId="77777777" w:rsidR="004F20AF" w:rsidRPr="007224C3" w:rsidRDefault="004F20AF" w:rsidP="007224C3">
      <w:pPr>
        <w:tabs>
          <w:tab w:val="right" w:pos="4644"/>
          <w:tab w:val="left" w:pos="4749"/>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бомбы по 100 кг - дальность - 1200 км.</w:t>
      </w:r>
    </w:p>
    <w:p w14:paraId="02E4F828" w14:textId="77777777" w:rsidR="004F20AF" w:rsidRPr="007224C3" w:rsidRDefault="004F20A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130 шт. противотанковых бомб ПТАБ- 1,5 и 2,5 кг. - дальность - 1000 км.</w:t>
      </w:r>
    </w:p>
    <w:p w14:paraId="2510D865" w14:textId="77777777" w:rsidR="004F20AF" w:rsidRPr="007224C3" w:rsidRDefault="004F20AF" w:rsidP="007224C3">
      <w:pPr>
        <w:tabs>
          <w:tab w:val="left" w:pos="865"/>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Обязать Главного конструктора т.Яковлева пред"явить самолет Як-9 в бомбардировочном варианте на государственные испытания к 20 марта 1944 г.</w:t>
      </w:r>
    </w:p>
    <w:p w14:paraId="124A6793" w14:textId="77777777" w:rsidR="004F20AF" w:rsidRPr="007224C3" w:rsidRDefault="004F20AF" w:rsidP="007224C3">
      <w:pPr>
        <w:tabs>
          <w:tab w:val="left" w:pos="871"/>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Обязать т.Новикова ВВС КА испытать самолет Як-9 в бомбардировочном варианте в десятидневный срок со дня пред"явления (19477).</w:t>
      </w:r>
    </w:p>
    <w:p w14:paraId="4B742474" w14:textId="77777777" w:rsidR="004F20AF" w:rsidRPr="007224C3" w:rsidRDefault="004F20AF"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A75CD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марта 1944 ГКО в своем постановлении N 5403 принял предложение НКАП о постройке самолета Як-9 с бомбовым вооружением (1625,25).</w:t>
      </w:r>
    </w:p>
    <w:p w14:paraId="4CA28B9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D2CD25" w14:textId="77777777" w:rsidR="00BC5781" w:rsidRPr="007224C3" w:rsidRDefault="00BC5781" w:rsidP="007224C3">
      <w:pPr>
        <w:pStyle w:val="27"/>
        <w:shd w:val="clear" w:color="auto" w:fill="auto"/>
        <w:spacing w:after="0" w:line="240" w:lineRule="auto"/>
        <w:ind w:firstLine="0"/>
        <w:rPr>
          <w:rFonts w:ascii="Times New Roman" w:cs="Times New Roman"/>
          <w:color w:val="000000" w:themeColor="text1"/>
          <w:spacing w:val="0"/>
        </w:rPr>
      </w:pPr>
      <w:r w:rsidRPr="007224C3">
        <w:rPr>
          <w:rFonts w:ascii="Times New Roman" w:cs="Times New Roman"/>
          <w:color w:val="000000" w:themeColor="text1"/>
          <w:spacing w:val="0"/>
        </w:rPr>
        <w:t>15 марта 1944 г. в соответствии с постановлением ГКО на заводе № 115 на основе Як-9Д  изготовили опытную машину с бомбовым вооружением и 23 марта предъявили на госиспытания под обозначением Як-9Л (впоследствии пере</w:t>
      </w:r>
      <w:r w:rsidRPr="007224C3">
        <w:rPr>
          <w:rFonts w:ascii="Times New Roman" w:cs="Times New Roman"/>
          <w:color w:val="000000" w:themeColor="text1"/>
          <w:spacing w:val="0"/>
        </w:rPr>
        <w:softHyphen/>
        <w:t>именовав в Як-9Б). Стрелковое вооружение осталось прежнее, но за кабиной пилота между вторым и четвёртым шпангоутами оборудовали бомбоотсеки. При этом пере</w:t>
      </w:r>
      <w:r w:rsidRPr="007224C3">
        <w:rPr>
          <w:rFonts w:ascii="Times New Roman" w:cs="Times New Roman"/>
          <w:color w:val="000000" w:themeColor="text1"/>
          <w:spacing w:val="0"/>
        </w:rPr>
        <w:softHyphen/>
        <w:t>делали верхнюю и нижнюю панели обшивки фюзеляжа, выполнив в последней четыре люка. Стенки бомбоотсеков наклонили на</w:t>
      </w:r>
      <w:r w:rsidRPr="007224C3">
        <w:rPr>
          <w:rFonts w:ascii="Times New Roman" w:cs="Times New Roman"/>
          <w:color w:val="000000" w:themeColor="text1"/>
          <w:spacing w:val="0"/>
        </w:rPr>
        <w:softHyphen/>
        <w:t>зад под углом 75° к продольной оси машины. Отсеки допускали загрузку противотанковых кумулятивных бомб ПТАБ-2,5-1,5 (в каждом из четырёх отсеков по 32 штуки) или фу</w:t>
      </w:r>
      <w:r w:rsidRPr="007224C3">
        <w:rPr>
          <w:rFonts w:ascii="Times New Roman" w:cs="Times New Roman"/>
          <w:color w:val="000000" w:themeColor="text1"/>
          <w:spacing w:val="0"/>
        </w:rPr>
        <w:softHyphen/>
        <w:t>гасных ФАБ-100 (по одной - всего четыре). Открытие створок люков осуществлялось от аварийного сбрасывателя или с помо</w:t>
      </w:r>
      <w:r w:rsidRPr="007224C3">
        <w:rPr>
          <w:rFonts w:ascii="Times New Roman" w:cs="Times New Roman"/>
          <w:color w:val="000000" w:themeColor="text1"/>
          <w:spacing w:val="0"/>
        </w:rPr>
        <w:softHyphen/>
        <w:t>щью электрических спусковых устройств ЭЛС-1, закрытие - пневмоприводом. Из-за размещения бомбоотсеков тросы проводки управления рулём направления сдвинули к продольной оси самолёта, а радиопере</w:t>
      </w:r>
      <w:r w:rsidRPr="007224C3">
        <w:rPr>
          <w:rFonts w:ascii="Times New Roman" w:cs="Times New Roman"/>
          <w:color w:val="000000" w:themeColor="text1"/>
          <w:spacing w:val="0"/>
        </w:rPr>
        <w:softHyphen/>
        <w:t>датчик и умформер перенесли в хвостовую часть фюзеляжа.</w:t>
      </w:r>
    </w:p>
    <w:p w14:paraId="3C14C661" w14:textId="77777777" w:rsidR="00BC5781" w:rsidRPr="007224C3" w:rsidRDefault="00BC5781" w:rsidP="007224C3">
      <w:pPr>
        <w:pStyle w:val="27"/>
        <w:shd w:val="clear" w:color="auto" w:fill="auto"/>
        <w:spacing w:after="0" w:line="240" w:lineRule="auto"/>
        <w:ind w:firstLine="0"/>
        <w:rPr>
          <w:rFonts w:ascii="Times New Roman" w:cs="Times New Roman"/>
          <w:color w:val="000000" w:themeColor="text1"/>
          <w:spacing w:val="0"/>
        </w:rPr>
      </w:pPr>
      <w:r w:rsidRPr="007224C3">
        <w:rPr>
          <w:rFonts w:ascii="Times New Roman" w:cs="Times New Roman"/>
          <w:color w:val="000000" w:themeColor="text1"/>
          <w:spacing w:val="0"/>
        </w:rPr>
        <w:lastRenderedPageBreak/>
        <w:t>Ведущими по машине на госиспытани</w:t>
      </w:r>
      <w:r w:rsidRPr="007224C3">
        <w:rPr>
          <w:rFonts w:ascii="Times New Roman" w:cs="Times New Roman"/>
          <w:color w:val="000000" w:themeColor="text1"/>
          <w:spacing w:val="0"/>
        </w:rPr>
        <w:softHyphen/>
        <w:t xml:space="preserve">ях были инженер С.А. Старинин, лётчики В.И. Хомяков, А.Г. Прошаков, Ю.А. Антипов и И.А. Доброскокин (последний - из НИИ </w:t>
      </w:r>
      <w:r w:rsidRPr="007224C3">
        <w:rPr>
          <w:rStyle w:val="MSReferenceSansSerif6pt"/>
          <w:rFonts w:ascii="Times New Roman" w:hAnsi="Times New Roman" w:cs="Times New Roman"/>
          <w:color w:val="000000" w:themeColor="text1"/>
          <w:sz w:val="16"/>
          <w:szCs w:val="16"/>
        </w:rPr>
        <w:t>АВ).</w:t>
      </w:r>
    </w:p>
    <w:p w14:paraId="040B4B16" w14:textId="77777777" w:rsidR="00BC5781" w:rsidRPr="007224C3" w:rsidRDefault="00BC5781" w:rsidP="007224C3">
      <w:pPr>
        <w:pStyle w:val="27"/>
        <w:shd w:val="clear" w:color="auto" w:fill="auto"/>
        <w:spacing w:after="0" w:line="240" w:lineRule="auto"/>
        <w:ind w:firstLine="0"/>
        <w:rPr>
          <w:rFonts w:ascii="Times New Roman" w:cs="Times New Roman"/>
          <w:color w:val="000000" w:themeColor="text1"/>
          <w:spacing w:val="0"/>
        </w:rPr>
      </w:pPr>
      <w:r w:rsidRPr="007224C3">
        <w:rPr>
          <w:rFonts w:ascii="Times New Roman" w:cs="Times New Roman"/>
          <w:color w:val="000000" w:themeColor="text1"/>
          <w:spacing w:val="0"/>
        </w:rPr>
        <w:t>В выводах акта по результатам испытаний отмечалось, что Як-9Л может производить бомбометание лишь по площадным целям из-за отсутствия прицела. При сбросе с го</w:t>
      </w:r>
      <w:r w:rsidRPr="007224C3">
        <w:rPr>
          <w:rFonts w:ascii="Times New Roman" w:cs="Times New Roman"/>
          <w:color w:val="000000" w:themeColor="text1"/>
          <w:spacing w:val="0"/>
        </w:rPr>
        <w:softHyphen/>
        <w:t>ризонтального полета лётчик вообще никак не мог прицеливаться. При пикировании с углами до 50° бомбы свободно выпадали из фюзеляжа, а свыше - только при выводе из пикирования. Но недостаточный угол упреж</w:t>
      </w:r>
      <w:r w:rsidRPr="007224C3">
        <w:rPr>
          <w:rFonts w:ascii="Times New Roman" w:cs="Times New Roman"/>
          <w:color w:val="000000" w:themeColor="text1"/>
          <w:spacing w:val="0"/>
        </w:rPr>
        <w:softHyphen/>
        <w:t>дения, ограниченный установкой прицела РБП-1а, исключал точное бомбометание на углах до 50°!</w:t>
      </w:r>
    </w:p>
    <w:p w14:paraId="404C4849" w14:textId="77777777" w:rsidR="00BC5781" w:rsidRPr="007224C3" w:rsidRDefault="00BC5781" w:rsidP="007224C3">
      <w:pPr>
        <w:pStyle w:val="27"/>
        <w:shd w:val="clear" w:color="auto" w:fill="auto"/>
        <w:spacing w:after="0" w:line="240" w:lineRule="auto"/>
        <w:ind w:firstLine="0"/>
        <w:rPr>
          <w:rFonts w:ascii="Times New Roman" w:cs="Times New Roman"/>
          <w:color w:val="000000" w:themeColor="text1"/>
          <w:spacing w:val="0"/>
        </w:rPr>
      </w:pPr>
      <w:r w:rsidRPr="007224C3">
        <w:rPr>
          <w:rFonts w:ascii="Times New Roman" w:cs="Times New Roman"/>
          <w:color w:val="000000" w:themeColor="text1"/>
          <w:spacing w:val="0"/>
        </w:rPr>
        <w:t>Самолёт с полётным весом 3365 кг (из них бомбовая нагрузка - 200 кг, горючее - 485 кг) имел центровку 28,9%, из-за которой на взлёте он становился неустойчивым, а в горизонтальном полёте продольная устой</w:t>
      </w:r>
      <w:r w:rsidRPr="007224C3">
        <w:rPr>
          <w:rFonts w:ascii="Times New Roman" w:cs="Times New Roman"/>
          <w:color w:val="000000" w:themeColor="text1"/>
          <w:spacing w:val="0"/>
        </w:rPr>
        <w:softHyphen/>
        <w:t>чивость приближалась к нейтральной.</w:t>
      </w:r>
    </w:p>
    <w:p w14:paraId="497DE253" w14:textId="77777777" w:rsidR="00BC5781" w:rsidRPr="007224C3" w:rsidRDefault="00BC578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заключение отмечалось, что Як-9Л мож</w:t>
      </w:r>
      <w:r w:rsidRPr="007224C3">
        <w:rPr>
          <w:rFonts w:ascii="Times New Roman" w:hAnsi="Times New Roman"/>
          <w:color w:val="000000" w:themeColor="text1"/>
          <w:sz w:val="16"/>
          <w:szCs w:val="16"/>
        </w:rPr>
        <w:softHyphen/>
        <w:t>но рекомендовать для бомбометания по площадным целям, но с бомбовой нагруз</w:t>
      </w:r>
      <w:r w:rsidRPr="007224C3">
        <w:rPr>
          <w:rFonts w:ascii="Times New Roman" w:hAnsi="Times New Roman"/>
          <w:color w:val="000000" w:themeColor="text1"/>
          <w:sz w:val="16"/>
          <w:szCs w:val="16"/>
        </w:rPr>
        <w:softHyphen/>
        <w:t>кой не более 200 кг. При этом следовало устранить выявленные в ходе испытаний дефекты и доработать бомбовые отсеки, обеспечив свободное выпадение из них бомб при углах до 80° (19103).</w:t>
      </w:r>
    </w:p>
    <w:p w14:paraId="7D6060C4" w14:textId="77777777" w:rsidR="00BC5781" w:rsidRPr="007224C3" w:rsidRDefault="00BC5781" w:rsidP="007224C3">
      <w:pPr>
        <w:spacing w:after="0" w:line="240" w:lineRule="auto"/>
        <w:jc w:val="both"/>
        <w:rPr>
          <w:rFonts w:ascii="Times New Roman" w:hAnsi="Times New Roman"/>
          <w:color w:val="000000" w:themeColor="text1"/>
          <w:sz w:val="16"/>
          <w:szCs w:val="16"/>
        </w:rPr>
      </w:pPr>
    </w:p>
    <w:p w14:paraId="756D3E8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марта 1944 вышло Постановление ГКО № 5402 О переоборудовании четырех самолетов Пе-8 в пассажирский вариант с дизельмоторами А4-30Б. РГАНИР, Фонд ГКО, д. 219, лл. 3 (11012).</w:t>
      </w:r>
    </w:p>
    <w:p w14:paraId="7B03CC1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BB906C9" w14:textId="77777777" w:rsidR="00704B65" w:rsidRPr="007224C3" w:rsidRDefault="00704B6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марта 1944 вышло Постановление ГКО № 5402 О переоборудовании четырех самолетов Пе-8 в пассажирский вариант с дизельмоторами А4-30Б</w:t>
      </w:r>
    </w:p>
    <w:p w14:paraId="64464008" w14:textId="77777777" w:rsidR="00704B65" w:rsidRPr="007224C3" w:rsidRDefault="00704B6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дополнение к постановлению ГОКО № 5320сс от 5 марта с.г. о постройке 4 самолетов Пе-8 в пассажирском варианте с использованием для этой цели самолетов Пе-8 из числа готовых и находящихся в сборочном цехе завода № 22, Госу</w:t>
      </w:r>
      <w:r w:rsidRPr="007224C3">
        <w:rPr>
          <w:rFonts w:ascii="Times New Roman" w:hAnsi="Times New Roman"/>
          <w:color w:val="000000" w:themeColor="text1"/>
          <w:sz w:val="16"/>
          <w:szCs w:val="16"/>
        </w:rPr>
        <w:softHyphen/>
        <w:t>дарственный Комитет Обороны постановляет:</w:t>
      </w:r>
    </w:p>
    <w:p w14:paraId="76136C23" w14:textId="77777777" w:rsidR="00704B65" w:rsidRPr="007224C3" w:rsidRDefault="00704B6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Обязать Наркомавиапром - т.Шахурина, директора за</w:t>
      </w:r>
      <w:r w:rsidRPr="007224C3">
        <w:rPr>
          <w:rFonts w:ascii="Times New Roman" w:hAnsi="Times New Roman"/>
          <w:color w:val="000000" w:themeColor="text1"/>
          <w:sz w:val="16"/>
          <w:szCs w:val="16"/>
        </w:rPr>
        <w:softHyphen/>
        <w:t>вода № 22 - т.Окулова и главного конструктора - т.Невваля обеспечить выпуск 4-х самолетов Пе-8 в пассажирском вариан</w:t>
      </w:r>
      <w:r w:rsidRPr="007224C3">
        <w:rPr>
          <w:rFonts w:ascii="Times New Roman" w:hAnsi="Times New Roman"/>
          <w:color w:val="000000" w:themeColor="text1"/>
          <w:sz w:val="16"/>
          <w:szCs w:val="16"/>
        </w:rPr>
        <w:softHyphen/>
        <w:t>те с дизельмоторами АЧ-30Б, а не с моторами АШ-82Ф.</w:t>
      </w:r>
    </w:p>
    <w:p w14:paraId="622876DF" w14:textId="77777777" w:rsidR="00704B65" w:rsidRPr="007224C3" w:rsidRDefault="00704B6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Установить следующие сроки выпуска самолетов Пе-8 в пассажирском варианте: в июне с.г. - 2 самолета и в июле 2 самолета</w:t>
      </w:r>
    </w:p>
    <w:p w14:paraId="4565221A" w14:textId="77777777" w:rsidR="00704B65" w:rsidRPr="007224C3" w:rsidRDefault="00704B6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Пассажирские самолеты Пе-8 выпустить:</w:t>
      </w:r>
    </w:p>
    <w:p w14:paraId="53DA1829" w14:textId="77777777" w:rsidR="00704B65" w:rsidRPr="007224C3" w:rsidRDefault="00704B65" w:rsidP="007224C3">
      <w:pPr>
        <w:tabs>
          <w:tab w:val="left" w:pos="1314"/>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оборудованными на 14 пассажирских мест;</w:t>
      </w:r>
    </w:p>
    <w:p w14:paraId="70DDB921" w14:textId="77777777" w:rsidR="00704B65" w:rsidRPr="007224C3" w:rsidRDefault="00704B65" w:rsidP="007224C3">
      <w:pPr>
        <w:tabs>
          <w:tab w:val="left" w:pos="1380"/>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с отапливаемой кабиной и антиобледенительными устройствами;</w:t>
      </w:r>
    </w:p>
    <w:p w14:paraId="051417D6" w14:textId="77777777" w:rsidR="00704B65" w:rsidRPr="007224C3" w:rsidRDefault="00704B65" w:rsidP="007224C3">
      <w:pPr>
        <w:tabs>
          <w:tab w:val="left" w:pos="1361"/>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 максимальной дальностью полета в 6000 км, при скорости 0,7 от максимальной, при полетном весе 35,5 тонн;</w:t>
      </w:r>
    </w:p>
    <w:p w14:paraId="6EE30F22" w14:textId="77777777" w:rsidR="00704B65" w:rsidRPr="007224C3" w:rsidRDefault="00704B65" w:rsidP="007224C3">
      <w:pPr>
        <w:tabs>
          <w:tab w:val="left" w:pos="1368"/>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 со следующим вооружением - один пулемет Березина калибра 12,7 мм в носовой башне; одна пушка Швак калибра 20 мм в кормовой башне; 2 пулемета Березина калибра 12,7 мм в шассийных установках; с боезапасом 230 снарядов к пушке ШВАК и по 200 патронов на каждый пулемет Березина (19476).</w:t>
      </w:r>
    </w:p>
    <w:p w14:paraId="17C87381" w14:textId="77777777" w:rsidR="00704B65" w:rsidRPr="007224C3" w:rsidRDefault="00704B65" w:rsidP="007224C3">
      <w:pPr>
        <w:autoSpaceDE w:val="0"/>
        <w:autoSpaceDN w:val="0"/>
        <w:adjustRightInd w:val="0"/>
        <w:spacing w:after="0" w:line="240" w:lineRule="auto"/>
        <w:jc w:val="both"/>
        <w:rPr>
          <w:rFonts w:ascii="Times New Roman" w:hAnsi="Times New Roman"/>
          <w:color w:val="000000" w:themeColor="text1"/>
          <w:sz w:val="16"/>
          <w:szCs w:val="16"/>
        </w:rPr>
      </w:pPr>
    </w:p>
    <w:p w14:paraId="0003E1E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марта 1944 вышло постановление ГКО N 5402 о постройке на заводе 22 самолета Пе-8 (ТБ-7) в пассажирском варианте с АЧ-30Б. Получил N 42712. Имел спальную кабину на 3 человека и пассажирскую на 12 и туалет (434,9).</w:t>
      </w:r>
    </w:p>
    <w:p w14:paraId="2FFEEE3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05281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марта 1944 года вышло Постановление ГОКО №5402, а через два дня второй Приказ НКАП №196 по проектированию и постройке пассажирского варианта самолета Пе-8 с двигателями АЧ-ЗОБ. Согласно приказу самолет должен был удовлетворять следующим требованиям:</w:t>
      </w:r>
    </w:p>
    <w:p w14:paraId="7ADF006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Размещать 14 пассажирских мест.</w:t>
      </w:r>
    </w:p>
    <w:p w14:paraId="581F916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Иметь отапливаемую кабину и антиобледенительные устройства.</w:t>
      </w:r>
    </w:p>
    <w:p w14:paraId="4E1A5E4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Иметь максимальную дальность полета 6000 км при скорости 0,7 от максимальной, при полетной массе 35000 кг.</w:t>
      </w:r>
    </w:p>
    <w:p w14:paraId="649EE02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Иметь вооружение - один пулемет УБТ в носовой башне, одну пушку ШВАК в кормовой башне, два пулемета УБТ в шассийных установках, с боезапасом 250 снарядов к пушке и по 250 патронов на каждый пулемет (7685).</w:t>
      </w:r>
    </w:p>
    <w:p w14:paraId="3E09C0E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3B745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марта 1944 г. вышло постановление ГКО о проектировании и постройке пассажирского варианта Пе-8 на 14 мест с дизелями АЧ-30Б. Самолёт должен был иметь отопление кабин и антиобледенительные устройства. Вооружение должно было складываться из трёх пулемётов УБТ (один в носу и два в мотогондолах) и пушки ШВАК в кормовой установке. Боезапас каждой установки - 250 патронов. Максимальная дальность полёта определялась в 6000 км. Требовалось подготовить две такие машины (позже речь шла о четырёх) (11996).</w:t>
      </w:r>
    </w:p>
    <w:p w14:paraId="5EEA9CB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98C2A3E" w14:textId="77777777" w:rsidR="00903E13" w:rsidRPr="007224C3" w:rsidRDefault="00903E1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марта 1944 года вышло Постановление ГОКО №5402, а через два дня второй Приказ НКАП №196 по проектированию и постройке пассажирского варианта самолета Пе-8 с двигателями АЧ-30Б. Согласно приказу самолет должен был удовлетворять следующим требованиям:</w:t>
      </w:r>
    </w:p>
    <w:p w14:paraId="413D8B14" w14:textId="77777777" w:rsidR="00903E13" w:rsidRPr="007224C3" w:rsidRDefault="00903E13" w:rsidP="007224C3">
      <w:pPr>
        <w:pStyle w:val="afff6"/>
        <w:tabs>
          <w:tab w:val="left" w:pos="467"/>
        </w:tabs>
        <w:autoSpaceDE/>
        <w:autoSpaceDN/>
        <w:adjustRightInd/>
        <w:ind w:left="0"/>
        <w:contextualSpacing w:val="0"/>
        <w:jc w:val="both"/>
        <w:rPr>
          <w:color w:val="000000" w:themeColor="text1"/>
          <w:sz w:val="16"/>
          <w:szCs w:val="16"/>
        </w:rPr>
      </w:pPr>
      <w:r w:rsidRPr="007224C3">
        <w:rPr>
          <w:color w:val="000000" w:themeColor="text1"/>
          <w:sz w:val="16"/>
          <w:szCs w:val="16"/>
        </w:rPr>
        <w:t>1. Размещать 14 пассажирских мест.</w:t>
      </w:r>
    </w:p>
    <w:p w14:paraId="710D5016" w14:textId="77777777" w:rsidR="00903E13" w:rsidRPr="007224C3" w:rsidRDefault="00903E13" w:rsidP="007224C3">
      <w:pPr>
        <w:pStyle w:val="afff6"/>
        <w:tabs>
          <w:tab w:val="left" w:pos="485"/>
        </w:tabs>
        <w:autoSpaceDE/>
        <w:autoSpaceDN/>
        <w:adjustRightInd/>
        <w:ind w:left="0"/>
        <w:contextualSpacing w:val="0"/>
        <w:jc w:val="both"/>
        <w:rPr>
          <w:color w:val="000000" w:themeColor="text1"/>
          <w:sz w:val="16"/>
          <w:szCs w:val="16"/>
        </w:rPr>
      </w:pPr>
      <w:r w:rsidRPr="007224C3">
        <w:rPr>
          <w:color w:val="000000" w:themeColor="text1"/>
          <w:sz w:val="16"/>
          <w:szCs w:val="16"/>
        </w:rPr>
        <w:t>2. Иметь отапливаемую кабину и антиобледенительные устройства.</w:t>
      </w:r>
    </w:p>
    <w:p w14:paraId="26C64352" w14:textId="77777777" w:rsidR="00903E13" w:rsidRPr="007224C3" w:rsidRDefault="00903E13" w:rsidP="007224C3">
      <w:pPr>
        <w:pStyle w:val="afff6"/>
        <w:tabs>
          <w:tab w:val="left" w:pos="482"/>
        </w:tabs>
        <w:autoSpaceDE/>
        <w:autoSpaceDN/>
        <w:adjustRightInd/>
        <w:ind w:left="0"/>
        <w:contextualSpacing w:val="0"/>
        <w:jc w:val="both"/>
        <w:rPr>
          <w:color w:val="000000" w:themeColor="text1"/>
          <w:sz w:val="16"/>
          <w:szCs w:val="16"/>
        </w:rPr>
      </w:pPr>
      <w:r w:rsidRPr="007224C3">
        <w:rPr>
          <w:color w:val="000000" w:themeColor="text1"/>
          <w:sz w:val="16"/>
          <w:szCs w:val="16"/>
        </w:rPr>
        <w:t>3. Иметь максимальную дальность полета 6000 км при скорости 0,7 от максимальной, при полетной массе 35000 кг.</w:t>
      </w:r>
    </w:p>
    <w:p w14:paraId="1F1166D9" w14:textId="77777777" w:rsidR="00903E13" w:rsidRPr="007224C3" w:rsidRDefault="00903E13" w:rsidP="007224C3">
      <w:pPr>
        <w:pStyle w:val="afff6"/>
        <w:tabs>
          <w:tab w:val="left" w:pos="518"/>
        </w:tabs>
        <w:autoSpaceDE/>
        <w:autoSpaceDN/>
        <w:adjustRightInd/>
        <w:ind w:left="0"/>
        <w:contextualSpacing w:val="0"/>
        <w:jc w:val="both"/>
        <w:rPr>
          <w:color w:val="000000" w:themeColor="text1"/>
          <w:sz w:val="16"/>
          <w:szCs w:val="16"/>
        </w:rPr>
      </w:pPr>
      <w:r w:rsidRPr="007224C3">
        <w:rPr>
          <w:color w:val="000000" w:themeColor="text1"/>
          <w:sz w:val="16"/>
          <w:szCs w:val="16"/>
        </w:rPr>
        <w:t>4. Иметь вооружение — один пулемет УБТ в носовой башне, одну пушку ШВАК в кормовой башне, два пулемета УБТ в шассийных установках, с боезапасом 250 снарядов к пушке и по 250 патронов на каждый пулемет.</w:t>
      </w:r>
    </w:p>
    <w:p w14:paraId="79A3664D" w14:textId="77777777" w:rsidR="00903E13" w:rsidRPr="007224C3" w:rsidRDefault="00903E1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соответствии с этими требовани</w:t>
      </w:r>
      <w:r w:rsidRPr="007224C3">
        <w:rPr>
          <w:rFonts w:ascii="Times New Roman" w:hAnsi="Times New Roman"/>
          <w:color w:val="000000" w:themeColor="text1"/>
          <w:sz w:val="16"/>
          <w:szCs w:val="16"/>
        </w:rPr>
        <w:softHyphen/>
        <w:t>ями проходило проектирование само</w:t>
      </w:r>
      <w:r w:rsidRPr="007224C3">
        <w:rPr>
          <w:rFonts w:ascii="Times New Roman" w:hAnsi="Times New Roman"/>
          <w:color w:val="000000" w:themeColor="text1"/>
          <w:sz w:val="16"/>
          <w:szCs w:val="16"/>
        </w:rPr>
        <w:softHyphen/>
        <w:t>лета. Полный комплект рабочих чертежей по машине был выдан производству к 10 апреля 1944 года. Сборка первого самолета была закон</w:t>
      </w:r>
      <w:r w:rsidRPr="007224C3">
        <w:rPr>
          <w:rFonts w:ascii="Times New Roman" w:hAnsi="Times New Roman"/>
          <w:color w:val="000000" w:themeColor="text1"/>
          <w:sz w:val="16"/>
          <w:szCs w:val="16"/>
        </w:rPr>
        <w:softHyphen/>
        <w:t>чена 31 октября, второго самолета — 31 декабря 1944 года. Основные за</w:t>
      </w:r>
      <w:r w:rsidRPr="007224C3">
        <w:rPr>
          <w:rFonts w:ascii="Times New Roman" w:hAnsi="Times New Roman"/>
          <w:color w:val="000000" w:themeColor="text1"/>
          <w:sz w:val="16"/>
          <w:szCs w:val="16"/>
        </w:rPr>
        <w:softHyphen/>
        <w:t>держки сборочных работ произошли из-за долгого отсутствия дизельных двигателей и винтов. В сборочный цех дизеля поступили к 14 октября 1944 года, винты — 30 октября, а для второй машины двигатели поступили только 20 декабря 1944 года.</w:t>
      </w:r>
    </w:p>
    <w:p w14:paraId="0C987F27" w14:textId="77777777" w:rsidR="00903E13" w:rsidRPr="007224C3" w:rsidRDefault="00903E1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проектировании и постройке пассажирского варианта Пе-8 (по ОКБ и заводу шифр самолет "Е") большие проблемы возникли с добыванием необходимых отделочных материалов для салонов самолета. Казанский завод выпускал только боевые машины, естественно, необходимых материалов на его складах не было. На дворе 1944 год, война, всем не до веселеньких обивок. Незвалю пришлось ехать в Москву и вместе с представителем НКАП направиться в Ассортиментный отдел Наркомата легкой промышленности и там подбирать нужные текстильные материалы. В годы войны этот ассортимент был небогатый. С большим трудом удалось получить материал с красивой выработкой для обеих машин: для одной машины выбрали светло-серый материал, для второй темно-бежевый. Этот материал пошел на отделку диванов и стен салонов. Кроме того, ни в ОКБ, ни на заводе никто толком не знал, с какого бока подойти к отделочным работам. Пришлось поездить и посмотреть, как это все выполняется на специализированных заводах.</w:t>
      </w:r>
    </w:p>
    <w:p w14:paraId="5152B34A" w14:textId="77777777" w:rsidR="00903E13" w:rsidRPr="007224C3" w:rsidRDefault="00903E1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Основная пассажирская кабина располагалась в задней части фюзеляжа. В ней размещалось 12 сидячих кресел. Кресла типа "Дуглас", с откидывающимися спинками, позволявшими пассажирам занимать полулежачее положение. В центроплане оборудовалась спальная кабина, с тремя диванами. Позади основной пассажирской кабины находилась изолированная туалетная комната с унитазом, умывальником и небольшим зеркалом. Имелась вешалка для верхней одежды и багажник, размещенный под полом спальной кабины. В пассажирской кабине имелось следующее специальное оборудование:</w:t>
      </w:r>
    </w:p>
    <w:p w14:paraId="6CB4F998" w14:textId="77777777" w:rsidR="00903E13" w:rsidRPr="007224C3" w:rsidRDefault="00903E13" w:rsidP="007224C3">
      <w:pPr>
        <w:tabs>
          <w:tab w:val="left" w:pos="503"/>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Тепловая и звуковая изоляция стенок и пола.</w:t>
      </w:r>
    </w:p>
    <w:p w14:paraId="75D822A5" w14:textId="77777777" w:rsidR="00903E13" w:rsidRPr="007224C3" w:rsidRDefault="00903E13" w:rsidP="007224C3">
      <w:pPr>
        <w:tabs>
          <w:tab w:val="left" w:pos="525"/>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Отопление воздухом, нагретым горячей водой от системы охлаждения двигателей.</w:t>
      </w:r>
    </w:p>
    <w:p w14:paraId="7FB5F977" w14:textId="77777777" w:rsidR="00903E13" w:rsidRPr="007224C3" w:rsidRDefault="00903E13" w:rsidP="007224C3">
      <w:pPr>
        <w:tabs>
          <w:tab w:val="left" w:pos="525"/>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Индивидуальная вентиляция.</w:t>
      </w:r>
    </w:p>
    <w:p w14:paraId="03304F3B" w14:textId="77777777" w:rsidR="00903E13" w:rsidRPr="007224C3" w:rsidRDefault="00903E13" w:rsidP="007224C3">
      <w:pPr>
        <w:tabs>
          <w:tab w:val="left" w:pos="630"/>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Кислородное оборудование, обеспечивавшее кислородом каждое пассажирское место.</w:t>
      </w:r>
    </w:p>
    <w:p w14:paraId="6F5C4DCB" w14:textId="77777777" w:rsidR="00903E13" w:rsidRPr="007224C3" w:rsidRDefault="00903E13" w:rsidP="007224C3">
      <w:pPr>
        <w:tabs>
          <w:tab w:val="left" w:pos="630"/>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Кабинное и индивидуальное освещение</w:t>
      </w:r>
    </w:p>
    <w:p w14:paraId="432149E7" w14:textId="77777777" w:rsidR="00903E13" w:rsidRPr="007224C3" w:rsidRDefault="00903E1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размещения пассажиров потребовалось снять заднюю верхнюю пушечную установку ТАТ, а также грузовой пол над бомбоотсеком в Ф-3, в связи с чем были доработаны ряд шпангоутов и спроектирован новый пол, обеспечивший проход пассажиров в полный рост. Грузовой пол в районе центроплана, являвшийся силовым элементом, сохранили без изменений.</w:t>
      </w:r>
    </w:p>
    <w:p w14:paraId="6F1CF5B6" w14:textId="77777777" w:rsidR="00903E13" w:rsidRPr="007224C3" w:rsidRDefault="00903E1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системе отопления и вентиляции отопительные каналы, со свободным выходом теплого воздуха, размещались по полу по обеим сторонам прохода. Забор воздуха производился через патрубки в носке крыла. Воздух проходил через специальные водяные радиаторы, где он подогревался горячей водой от системы охлаждения двигателей и по трубопроводу подавался в кабину. Воздух для приточной вентиляции поступал через заборники на фюзеляже и подавался по вентиляционным коробам, идущим вдоль бортов фюзеляжа. У каждого пассажирского места имелся специальный вывод воздуха.</w:t>
      </w:r>
    </w:p>
    <w:p w14:paraId="450B3C4E" w14:textId="77777777" w:rsidR="00903E13" w:rsidRPr="007224C3" w:rsidRDefault="00903E1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Из-за установки двигателей АЧ-ЗОБ с ТК использование тепла выхлопных газов не представлялось возможным. Из-за этого в качестве противообледенительного устройства на передних кромках крыла и оперения устанавливались резиновые пневматические антиобледенители типа "Гудрич". Антиобледенители на винтах и стеклах козырька пилота были жидкостные, как и на серийных машинах.</w:t>
      </w:r>
    </w:p>
    <w:p w14:paraId="5B155978" w14:textId="77777777" w:rsidR="00903E13" w:rsidRPr="007224C3" w:rsidRDefault="00903E1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выполнении высотного полета все пассажиры обеспечивались питанием кислородом из расчета 16 литров на человека. Этого запаса хватало для полетов на высотах 6000-8000 м в течение 8 часов.</w:t>
      </w:r>
    </w:p>
    <w:p w14:paraId="5D164854" w14:textId="77777777" w:rsidR="00903E13" w:rsidRPr="007224C3" w:rsidRDefault="00903E1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самолете сохранили все аэронавигационное и радиооборудование серийного бомбардировочного варианта.</w:t>
      </w:r>
    </w:p>
    <w:p w14:paraId="3AE1A265" w14:textId="77777777" w:rsidR="00903E13" w:rsidRPr="007224C3" w:rsidRDefault="00903E1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Были сохранены следующие огневые оборонительные точки:</w:t>
      </w:r>
    </w:p>
    <w:p w14:paraId="7D1FDB66" w14:textId="77777777" w:rsidR="00903E13" w:rsidRPr="007224C3" w:rsidRDefault="00903E13" w:rsidP="007224C3">
      <w:pPr>
        <w:tabs>
          <w:tab w:val="left" w:pos="493"/>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Носовая стрелковая с пулеметом УБТ-12,7 мм на шаровой опоре с запасом патронов 200 штук.</w:t>
      </w:r>
    </w:p>
    <w:p w14:paraId="4A30C8AC" w14:textId="77777777" w:rsidR="00903E13" w:rsidRPr="007224C3" w:rsidRDefault="00903E13" w:rsidP="007224C3">
      <w:pPr>
        <w:tabs>
          <w:tab w:val="left" w:pos="485"/>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Кормовая стрелковая башня КЭБ с пушкой ШВАК-20, с запасом снарядов 230 штук.</w:t>
      </w:r>
    </w:p>
    <w:p w14:paraId="4C8F489F" w14:textId="77777777" w:rsidR="00903E13" w:rsidRPr="007224C3" w:rsidRDefault="00903E13" w:rsidP="007224C3">
      <w:pPr>
        <w:tabs>
          <w:tab w:val="left" w:pos="511"/>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3. Две стрелковые установки ШУ в обтекателях шасси, с пулеметами УБТ-12,7 мм с запасом патронов по 230 штук на каждую.</w:t>
      </w:r>
    </w:p>
    <w:p w14:paraId="2FE1E94F" w14:textId="77777777" w:rsidR="00903E13" w:rsidRPr="007224C3" w:rsidRDefault="00903E1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установке двигателей АЧ-ЗОБ, по сравнению с серийным самолетом, имевшим те же двигатели, в винтомоторной группе были выполнены следующие изменения: улучшена продувка водорадиаторов путем установки туннеля с открытым входом и регулировкой на входе; установлены маслобаки увеличенной емкости с расчетом на 20 часов полета; установлены воздушно-масляные радиаторы вместо водо-масляных; введена топливная система с кольцеванием по всем четырем двигателям; введены винты типа УФ-61В с системой флюгирования.</w:t>
      </w:r>
    </w:p>
    <w:p w14:paraId="08C0449C" w14:textId="77777777" w:rsidR="00903E13" w:rsidRPr="007224C3" w:rsidRDefault="00903E1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отличие от серийных самолетов, на Пе-80Н было внедрено новое вертикальное оперение увеличенной площади с форкилем. Введены дополнительные окна в фюзеляже в районе пассажирской кабины.</w:t>
      </w:r>
    </w:p>
    <w:p w14:paraId="5314BE08" w14:textId="77777777" w:rsidR="00903E13" w:rsidRPr="007224C3" w:rsidRDefault="00903E1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Согласно проектных данных самолет должен был иметь следующие характеристики. Нормальная полетная масса самолета определялась в 30000 кг, масса пустого — в 21520 кг, полезная нагрузка — в 8480 кг, из них экипаж 10 человек — 860 кг, пассажиры 12 человек — 1056 кг, багаж — 200 кг, съемное вооружение и боезапас — 274 кг; масло — 920 кг, топливо — 5150 кг. В перегрузочном варианте полетная масса определялась в 35500 кг, при этом запас масла доводился до 1120 кг, топлива — до 10450 кг.</w:t>
      </w:r>
    </w:p>
    <w:p w14:paraId="5DCB1CEF" w14:textId="77777777" w:rsidR="00903E13" w:rsidRPr="007224C3" w:rsidRDefault="00903E1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нормальной полетной массе максимальная скорость у земли должна была равняться 360 км/ч, на 6000 м — 425 км/ч, посадочная скорость 125 км/ч, время подъема на высоту 5000 м 16,5 мин, практический потолок 9000 м, длина разбега — 485 м, пробега — 620 м. В перегрузочном варианте на 6000 м максимальная скорость падала до 407 км/ч, потолок до 7700 м, разбег увеличивался до 750 м, а время подъема на высоту 5000 м увеличивалось до 24,5 мин. Дальность полета на скорости 0,7 от максимальной на высоте 4000 м (полет без использования кислородного оборудования) в нормальном варианте составляла 3080 км, в перегрузочном — 6050 км. Перегоночная дальность без пассажиров с полными топливными баками составляла 6800 км (12626).</w:t>
      </w:r>
    </w:p>
    <w:p w14:paraId="5421E978" w14:textId="77777777" w:rsidR="00903E13" w:rsidRPr="007224C3" w:rsidRDefault="00903E13" w:rsidP="007224C3">
      <w:pPr>
        <w:spacing w:after="0" w:line="240" w:lineRule="auto"/>
        <w:jc w:val="both"/>
        <w:rPr>
          <w:rFonts w:ascii="Times New Roman" w:hAnsi="Times New Roman"/>
          <w:color w:val="000000" w:themeColor="text1"/>
          <w:sz w:val="16"/>
          <w:szCs w:val="16"/>
        </w:rPr>
      </w:pPr>
    </w:p>
    <w:p w14:paraId="340688F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марта 1944 вышло Постановление ГКО № 5406 Об авиационных лакокрасочных материалах. РГАНИР, Фонд ГКО, д. 219, лл. 21-34,35-61 (11012).</w:t>
      </w:r>
    </w:p>
    <w:p w14:paraId="79C16CE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C7BDFD1" w14:textId="77777777" w:rsidR="00F6766E" w:rsidRPr="007224C3" w:rsidRDefault="00F6766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марта 1944 вышло Постановление ГКО № 5406 Об авиационных лакокрасочных материалах</w:t>
      </w:r>
    </w:p>
    <w:p w14:paraId="07461F2F" w14:textId="77777777" w:rsidR="00F6766E" w:rsidRPr="007224C3" w:rsidRDefault="00F6766E" w:rsidP="007224C3">
      <w:pPr>
        <w:pStyle w:val="36"/>
        <w:shd w:val="clear" w:color="auto" w:fill="auto"/>
        <w:spacing w:after="0"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Государственный Комитет Обороны отмечает, что существующий уровень производства лакокрасочных ма</w:t>
      </w:r>
      <w:r w:rsidRPr="007224C3">
        <w:rPr>
          <w:rFonts w:ascii="Times New Roman" w:cs="Times New Roman"/>
          <w:color w:val="000000" w:themeColor="text1"/>
          <w:spacing w:val="0"/>
          <w:sz w:val="16"/>
          <w:szCs w:val="16"/>
        </w:rPr>
        <w:softHyphen/>
        <w:t>териалов не обеспечивает возрастающей потребности в них самолетостроения и восстановления самолетов в частях ВВС Красной Армии из-за неудовлетворительной работы поставщиков химического сырья.</w:t>
      </w:r>
    </w:p>
    <w:p w14:paraId="282701C7" w14:textId="77777777" w:rsidR="00F6766E" w:rsidRPr="007224C3" w:rsidRDefault="00F6766E" w:rsidP="007224C3">
      <w:pPr>
        <w:pStyle w:val="36"/>
        <w:shd w:val="clear" w:color="auto" w:fill="auto"/>
        <w:spacing w:after="0"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Государственный Комитет Обороны отмечает плохую работу лесохимической промыщленности Наркомлеса СССР, выполнившей в 1943 году план выработки по уксусной кислоте всего лишь на 72% и бутилацетату - на 82%. Наркомлео СССР неудовлетворительно руководит работой лесохимических заводов, вследствие чего имеют место систематические простои лесохимических заводов из-за необеспеченности их сырьем, топливом и&lt; аварийного состояния оборудования.</w:t>
      </w:r>
    </w:p>
    <w:p w14:paraId="7B7BEF81" w14:textId="77777777" w:rsidR="00F6766E" w:rsidRPr="007224C3" w:rsidRDefault="00F6766E" w:rsidP="007224C3">
      <w:pPr>
        <w:pStyle w:val="36"/>
        <w:shd w:val="clear" w:color="auto" w:fill="auto"/>
        <w:spacing w:after="0"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Б целях бесперебойного обеспечения Наркомавиапрма и ВВС Красной Армии лакокрасочными материалами, Государственный К&amp;штет Ооороны постановляет:.</w:t>
      </w:r>
    </w:p>
    <w:p w14:paraId="5CA01B40" w14:textId="77777777" w:rsidR="00F6766E" w:rsidRPr="007224C3" w:rsidRDefault="00F6766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Обязать Наркомхимпром - т.Первухина:</w:t>
      </w:r>
    </w:p>
    <w:p w14:paraId="05425BF7" w14:textId="77777777" w:rsidR="00F6766E" w:rsidRPr="007224C3" w:rsidRDefault="00F6766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к концу текущего гоца довести мощности дейст</w:t>
      </w:r>
      <w:r w:rsidRPr="007224C3">
        <w:rPr>
          <w:rFonts w:ascii="Times New Roman" w:hAnsi="Times New Roman"/>
          <w:color w:val="000000" w:themeColor="text1"/>
          <w:sz w:val="16"/>
          <w:szCs w:val="16"/>
        </w:rPr>
        <w:softHyphen/>
        <w:t>вующих лакокрасочных заводов по производству нитрола</w:t>
      </w:r>
      <w:r w:rsidRPr="007224C3">
        <w:rPr>
          <w:rFonts w:ascii="Times New Roman" w:hAnsi="Times New Roman"/>
          <w:color w:val="000000" w:themeColor="text1"/>
          <w:sz w:val="16"/>
          <w:szCs w:val="16"/>
        </w:rPr>
        <w:softHyphen/>
        <w:t>ков и растворителей - до 7.000 тонн в квартал и по производству аэроэмалей и грунтов - до 3.250 тонн в квартал;</w:t>
      </w:r>
    </w:p>
    <w:p w14:paraId="5DCED3EB" w14:textId="77777777" w:rsidR="00F6766E" w:rsidRPr="007224C3" w:rsidRDefault="00F6766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поставить Наркомавиапрому во П квартале с.г. следующие лакокрасочные материалы:</w:t>
      </w:r>
    </w:p>
    <w:p w14:paraId="62A4B942" w14:textId="77777777" w:rsidR="00F6766E" w:rsidRPr="007224C3" w:rsidRDefault="00F6766E" w:rsidP="007224C3">
      <w:pPr>
        <w:tabs>
          <w:tab w:val="left" w:pos="3879"/>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нитролаки и растворители</w:t>
      </w:r>
      <w:r w:rsidRPr="007224C3">
        <w:rPr>
          <w:rFonts w:ascii="Times New Roman" w:hAnsi="Times New Roman"/>
          <w:color w:val="000000" w:themeColor="text1"/>
          <w:sz w:val="16"/>
          <w:szCs w:val="16"/>
        </w:rPr>
        <w:tab/>
        <w:t>- 3.420 тонн</w:t>
      </w:r>
    </w:p>
    <w:p w14:paraId="6463FF7A" w14:textId="77777777" w:rsidR="00F6766E" w:rsidRPr="007224C3" w:rsidRDefault="007E0398" w:rsidP="007224C3">
      <w:pPr>
        <w:tabs>
          <w:tab w:val="left" w:pos="3879"/>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fldChar w:fldCharType="begin"/>
      </w:r>
      <w:r w:rsidR="00F6766E" w:rsidRPr="007224C3">
        <w:rPr>
          <w:rFonts w:ascii="Times New Roman" w:hAnsi="Times New Roman"/>
          <w:color w:val="000000" w:themeColor="text1"/>
          <w:sz w:val="16"/>
          <w:szCs w:val="16"/>
        </w:rPr>
        <w:instrText xml:space="preserve"> TOC \o "1-3" \h \z </w:instrText>
      </w:r>
      <w:r w:rsidRPr="007224C3">
        <w:rPr>
          <w:rFonts w:ascii="Times New Roman" w:hAnsi="Times New Roman"/>
          <w:color w:val="000000" w:themeColor="text1"/>
          <w:sz w:val="16"/>
          <w:szCs w:val="16"/>
        </w:rPr>
        <w:fldChar w:fldCharType="separate"/>
      </w:r>
      <w:r w:rsidR="00F6766E" w:rsidRPr="007224C3">
        <w:rPr>
          <w:rFonts w:ascii="Times New Roman" w:hAnsi="Times New Roman"/>
          <w:color w:val="000000" w:themeColor="text1"/>
          <w:sz w:val="16"/>
          <w:szCs w:val="16"/>
        </w:rPr>
        <w:t>грунты</w:t>
      </w:r>
      <w:r w:rsidR="00F6766E" w:rsidRPr="007224C3">
        <w:rPr>
          <w:rFonts w:ascii="Times New Roman" w:hAnsi="Times New Roman"/>
          <w:color w:val="000000" w:themeColor="text1"/>
          <w:sz w:val="16"/>
          <w:szCs w:val="16"/>
        </w:rPr>
        <w:tab/>
        <w:t>- 350</w:t>
      </w:r>
    </w:p>
    <w:p w14:paraId="6B4CD7BD" w14:textId="77777777" w:rsidR="00F6766E" w:rsidRPr="007224C3" w:rsidRDefault="00F6766E" w:rsidP="007224C3">
      <w:pPr>
        <w:tabs>
          <w:tab w:val="left" w:pos="3879"/>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аэроэмали</w:t>
      </w:r>
      <w:r w:rsidRPr="007224C3">
        <w:rPr>
          <w:rFonts w:ascii="Times New Roman" w:hAnsi="Times New Roman"/>
          <w:color w:val="000000" w:themeColor="text1"/>
          <w:sz w:val="16"/>
          <w:szCs w:val="16"/>
        </w:rPr>
        <w:tab/>
        <w:t>- 400,</w:t>
      </w:r>
    </w:p>
    <w:p w14:paraId="7DFD677D" w14:textId="77777777" w:rsidR="00F6766E" w:rsidRPr="007224C3" w:rsidRDefault="00F6766E" w:rsidP="007224C3">
      <w:pPr>
        <w:tabs>
          <w:tab w:val="right" w:pos="6244"/>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крепители 4 ГУ</w:t>
      </w:r>
      <w:r w:rsidRPr="007224C3">
        <w:rPr>
          <w:rFonts w:ascii="Times New Roman" w:hAnsi="Times New Roman"/>
          <w:color w:val="000000" w:themeColor="text1"/>
          <w:sz w:val="16"/>
          <w:szCs w:val="16"/>
        </w:rPr>
        <w:tab/>
        <w:t>- 200</w:t>
      </w:r>
    </w:p>
    <w:p w14:paraId="7D783419" w14:textId="77777777" w:rsidR="00F6766E" w:rsidRPr="007224C3" w:rsidRDefault="00F6766E" w:rsidP="007224C3">
      <w:pPr>
        <w:tabs>
          <w:tab w:val="left" w:pos="4222"/>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шпатлевка </w:t>
      </w:r>
      <w:r w:rsidRPr="007224C3">
        <w:rPr>
          <w:rFonts w:ascii="Times New Roman" w:hAnsi="Times New Roman"/>
          <w:color w:val="000000" w:themeColor="text1"/>
          <w:sz w:val="16"/>
          <w:szCs w:val="16"/>
          <w:lang w:val="en-US"/>
        </w:rPr>
        <w:t>AM</w:t>
      </w:r>
      <w:r w:rsidRPr="007224C3">
        <w:rPr>
          <w:rFonts w:ascii="Times New Roman" w:hAnsi="Times New Roman"/>
          <w:color w:val="000000" w:themeColor="text1"/>
          <w:sz w:val="16"/>
          <w:szCs w:val="16"/>
        </w:rPr>
        <w:tab/>
        <w:t>8</w:t>
      </w:r>
    </w:p>
    <w:p w14:paraId="07738F82" w14:textId="77777777" w:rsidR="00F6766E" w:rsidRPr="007224C3" w:rsidRDefault="00F6766E" w:rsidP="007224C3">
      <w:pPr>
        <w:tabs>
          <w:tab w:val="left" w:pos="3893"/>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масло "С"</w:t>
      </w:r>
      <w:r w:rsidRPr="007224C3">
        <w:rPr>
          <w:rFonts w:ascii="Times New Roman" w:hAnsi="Times New Roman"/>
          <w:color w:val="000000" w:themeColor="text1"/>
          <w:sz w:val="16"/>
          <w:szCs w:val="16"/>
        </w:rPr>
        <w:tab/>
        <w:t>~ 350</w:t>
      </w:r>
    </w:p>
    <w:p w14:paraId="77551B68" w14:textId="77777777" w:rsidR="00F6766E" w:rsidRPr="007224C3" w:rsidRDefault="00F6766E" w:rsidP="007224C3">
      <w:pPr>
        <w:tabs>
          <w:tab w:val="left" w:pos="3879"/>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клей казеиновый</w:t>
      </w:r>
      <w:r w:rsidRPr="007224C3">
        <w:rPr>
          <w:rFonts w:ascii="Times New Roman" w:hAnsi="Times New Roman"/>
          <w:color w:val="000000" w:themeColor="text1"/>
          <w:sz w:val="16"/>
          <w:szCs w:val="16"/>
        </w:rPr>
        <w:tab/>
        <w:t>- 350</w:t>
      </w:r>
    </w:p>
    <w:p w14:paraId="170952EE" w14:textId="77777777" w:rsidR="00F6766E" w:rsidRPr="007224C3" w:rsidRDefault="00F6766E" w:rsidP="007224C3">
      <w:pPr>
        <w:tabs>
          <w:tab w:val="left" w:pos="3879"/>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изоляционные лаки</w:t>
      </w:r>
      <w:r w:rsidRPr="007224C3">
        <w:rPr>
          <w:rFonts w:ascii="Times New Roman" w:hAnsi="Times New Roman"/>
          <w:color w:val="000000" w:themeColor="text1"/>
          <w:sz w:val="16"/>
          <w:szCs w:val="16"/>
        </w:rPr>
        <w:tab/>
        <w:t>- 50</w:t>
      </w:r>
    </w:p>
    <w:p w14:paraId="5BBF2889" w14:textId="77777777" w:rsidR="00F6766E" w:rsidRPr="007224C3" w:rsidRDefault="00F6766E" w:rsidP="007224C3">
      <w:pPr>
        <w:tabs>
          <w:tab w:val="left" w:pos="3879"/>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лак РМГ</w:t>
      </w:r>
      <w:r w:rsidRPr="007224C3">
        <w:rPr>
          <w:rFonts w:ascii="Times New Roman" w:hAnsi="Times New Roman"/>
          <w:color w:val="000000" w:themeColor="text1"/>
          <w:sz w:val="16"/>
          <w:szCs w:val="16"/>
        </w:rPr>
        <w:tab/>
        <w:t>- 20</w:t>
      </w:r>
    </w:p>
    <w:p w14:paraId="4F82F2D3" w14:textId="77777777" w:rsidR="00F6766E" w:rsidRPr="007224C3" w:rsidRDefault="00F6766E" w:rsidP="007224C3">
      <w:pPr>
        <w:tabs>
          <w:tab w:val="left" w:pos="3886"/>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лак № 67</w:t>
      </w:r>
      <w:r w:rsidRPr="007224C3">
        <w:rPr>
          <w:rFonts w:ascii="Times New Roman" w:hAnsi="Times New Roman"/>
          <w:color w:val="000000" w:themeColor="text1"/>
          <w:sz w:val="16"/>
          <w:szCs w:val="16"/>
        </w:rPr>
        <w:tab/>
        <w:t>- 15</w:t>
      </w:r>
    </w:p>
    <w:p w14:paraId="6DAA676F" w14:textId="77777777" w:rsidR="00F6766E" w:rsidRPr="007224C3" w:rsidRDefault="00F6766E" w:rsidP="007224C3">
      <w:pPr>
        <w:tabs>
          <w:tab w:val="left" w:pos="3893"/>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разные иасляныее-лаки</w:t>
      </w:r>
      <w:r w:rsidRPr="007224C3">
        <w:rPr>
          <w:rFonts w:ascii="Times New Roman" w:hAnsi="Times New Roman"/>
          <w:color w:val="000000" w:themeColor="text1"/>
          <w:sz w:val="16"/>
          <w:szCs w:val="16"/>
        </w:rPr>
        <w:tab/>
        <w:t>- 70</w:t>
      </w:r>
    </w:p>
    <w:p w14:paraId="3D4F04E9" w14:textId="77777777" w:rsidR="00F6766E" w:rsidRPr="007224C3" w:rsidRDefault="00F6766E" w:rsidP="007224C3">
      <w:pPr>
        <w:tabs>
          <w:tab w:val="left" w:pos="3879"/>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масляные краски</w:t>
      </w:r>
      <w:r w:rsidRPr="007224C3">
        <w:rPr>
          <w:rFonts w:ascii="Times New Roman" w:hAnsi="Times New Roman"/>
          <w:color w:val="000000" w:themeColor="text1"/>
          <w:sz w:val="16"/>
          <w:szCs w:val="16"/>
        </w:rPr>
        <w:tab/>
        <w:t>- 100</w:t>
      </w:r>
    </w:p>
    <w:p w14:paraId="1B7C3497" w14:textId="77777777" w:rsidR="00F6766E" w:rsidRPr="007224C3" w:rsidRDefault="00F6766E" w:rsidP="007224C3">
      <w:pPr>
        <w:tabs>
          <w:tab w:val="left" w:pos="2583"/>
          <w:tab w:val="right" w:pos="5348"/>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лак № 411</w:t>
      </w:r>
      <w:r w:rsidRPr="007224C3">
        <w:rPr>
          <w:rFonts w:ascii="Times New Roman" w:hAnsi="Times New Roman"/>
          <w:color w:val="000000" w:themeColor="text1"/>
          <w:sz w:val="16"/>
          <w:szCs w:val="16"/>
        </w:rPr>
        <w:tab/>
        <w:t>- 5.</w:t>
      </w:r>
    </w:p>
    <w:p w14:paraId="06FA4573" w14:textId="77777777" w:rsidR="00F6766E" w:rsidRPr="007224C3" w:rsidRDefault="00F6766E" w:rsidP="007224C3">
      <w:pPr>
        <w:tabs>
          <w:tab w:val="left" w:pos="3879"/>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двуокись титана</w:t>
      </w:r>
      <w:r w:rsidRPr="007224C3">
        <w:rPr>
          <w:rFonts w:ascii="Times New Roman" w:hAnsi="Times New Roman"/>
          <w:color w:val="000000" w:themeColor="text1"/>
          <w:sz w:val="16"/>
          <w:szCs w:val="16"/>
        </w:rPr>
        <w:tab/>
        <w:t>- 20</w:t>
      </w:r>
    </w:p>
    <w:p w14:paraId="4A46EFEB" w14:textId="77777777" w:rsidR="00F6766E" w:rsidRPr="007224C3" w:rsidRDefault="00F6766E" w:rsidP="007224C3">
      <w:pPr>
        <w:tabs>
          <w:tab w:val="left" w:pos="3893"/>
          <w:tab w:val="left" w:pos="4715"/>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метокриловый лак</w:t>
      </w:r>
      <w:r w:rsidRPr="007224C3">
        <w:rPr>
          <w:rFonts w:ascii="Times New Roman" w:hAnsi="Times New Roman"/>
          <w:color w:val="000000" w:themeColor="text1"/>
          <w:sz w:val="16"/>
          <w:szCs w:val="16"/>
        </w:rPr>
        <w:tab/>
        <w:t>-</w:t>
      </w:r>
      <w:r w:rsidRPr="007224C3">
        <w:rPr>
          <w:rFonts w:ascii="Times New Roman" w:hAnsi="Times New Roman"/>
          <w:color w:val="000000" w:themeColor="text1"/>
          <w:sz w:val="16"/>
          <w:szCs w:val="16"/>
        </w:rPr>
        <w:tab/>
        <w:t>2</w:t>
      </w:r>
      <w:r w:rsidR="007E0398" w:rsidRPr="007224C3">
        <w:rPr>
          <w:rFonts w:ascii="Times New Roman" w:hAnsi="Times New Roman"/>
          <w:color w:val="000000" w:themeColor="text1"/>
          <w:sz w:val="16"/>
          <w:szCs w:val="16"/>
        </w:rPr>
        <w:fldChar w:fldCharType="end"/>
      </w:r>
    </w:p>
    <w:p w14:paraId="1E6EEB7B" w14:textId="77777777" w:rsidR="00F6766E" w:rsidRPr="007224C3" w:rsidRDefault="00F6766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Поставку лакокрасочных материалов Наркомавиапрому производить равномерно по месяцам, впереди всех других потребителей, по декадным графикам, согласованным с Наркомавиапромом.</w:t>
      </w:r>
    </w:p>
    <w:p w14:paraId="204C90BF" w14:textId="77777777" w:rsidR="00F6766E" w:rsidRPr="007224C3" w:rsidRDefault="00F6766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Обязать Наркомместпром РМФСР - т.Смиряева по</w:t>
      </w:r>
      <w:r w:rsidRPr="007224C3">
        <w:rPr>
          <w:rFonts w:ascii="Times New Roman" w:hAnsi="Times New Roman"/>
          <w:color w:val="000000" w:themeColor="text1"/>
          <w:sz w:val="16"/>
          <w:szCs w:val="16"/>
        </w:rPr>
        <w:softHyphen/>
        <w:t>ставить Наркомавиапрому во П квартале с.г. следующие лакокрасочные материалы:</w:t>
      </w:r>
    </w:p>
    <w:p w14:paraId="3459B8AB" w14:textId="77777777" w:rsidR="00F6766E" w:rsidRPr="007224C3" w:rsidRDefault="00F6766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цинк хлористый - 35 т</w:t>
      </w:r>
    </w:p>
    <w:p w14:paraId="710E4452" w14:textId="77777777" w:rsidR="00F6766E" w:rsidRPr="007224C3" w:rsidRDefault="00F6766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цинк сернокислый - 40</w:t>
      </w:r>
    </w:p>
    <w:p w14:paraId="4B5FF393" w14:textId="77777777" w:rsidR="00F6766E" w:rsidRPr="007224C3" w:rsidRDefault="00F6766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паста ГОИ - 5</w:t>
      </w:r>
    </w:p>
    <w:p w14:paraId="3B103CEC" w14:textId="77777777" w:rsidR="00F6766E" w:rsidRPr="007224C3" w:rsidRDefault="00F6766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поташ - 50</w:t>
      </w:r>
    </w:p>
    <w:p w14:paraId="78FE0080" w14:textId="77777777" w:rsidR="00F6766E" w:rsidRPr="007224C3" w:rsidRDefault="00F6766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магнезит "Уста" - 5</w:t>
      </w:r>
    </w:p>
    <w:p w14:paraId="43661560" w14:textId="77777777" w:rsidR="00F6766E" w:rsidRPr="007224C3" w:rsidRDefault="00F6766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бура - 25</w:t>
      </w:r>
    </w:p>
    <w:p w14:paraId="3E4EECDA" w14:textId="77777777" w:rsidR="00F6766E" w:rsidRPr="007224C3" w:rsidRDefault="00F6766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борная кислота - 30</w:t>
      </w:r>
    </w:p>
    <w:p w14:paraId="74E12D07" w14:textId="77777777" w:rsidR="00F6766E" w:rsidRPr="007224C3" w:rsidRDefault="00F6766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растворители и смывки - 400</w:t>
      </w:r>
    </w:p>
    <w:p w14:paraId="7D894A78" w14:textId="77777777" w:rsidR="00F6766E" w:rsidRPr="007224C3" w:rsidRDefault="00F6766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краски эмалевые и тертые - 320</w:t>
      </w:r>
    </w:p>
    <w:p w14:paraId="16FAD136" w14:textId="77777777" w:rsidR="00F6766E" w:rsidRPr="007224C3" w:rsidRDefault="00F6766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крепитель - 150</w:t>
      </w:r>
    </w:p>
    <w:p w14:paraId="2F38C296" w14:textId="77777777" w:rsidR="00F6766E" w:rsidRPr="007224C3" w:rsidRDefault="00F6766E" w:rsidP="007224C3">
      <w:pPr>
        <w:tabs>
          <w:tab w:val="left" w:pos="845"/>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Установить план производства уксусной кислоты на 1944 г. в количестве 7500 тонн, в ток числе по Нар</w:t>
      </w:r>
      <w:r w:rsidRPr="007224C3">
        <w:rPr>
          <w:rFonts w:ascii="Times New Roman" w:hAnsi="Times New Roman"/>
          <w:color w:val="000000" w:themeColor="text1"/>
          <w:sz w:val="16"/>
          <w:szCs w:val="16"/>
        </w:rPr>
        <w:softHyphen/>
        <w:t>ком лесу ССОР - 7000 тонн и Наркомместпрому РСФСР - 500 тонн.</w:t>
      </w:r>
    </w:p>
    <w:p w14:paraId="2F8DB049" w14:textId="77777777" w:rsidR="00F6766E" w:rsidRPr="007224C3" w:rsidRDefault="00F6766E" w:rsidP="007224C3">
      <w:pPr>
        <w:tabs>
          <w:tab w:val="left" w:pos="868"/>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Обязать Наркомлес СССР - т.Салтыкова:</w:t>
      </w:r>
    </w:p>
    <w:p w14:paraId="69B0B868" w14:textId="77777777" w:rsidR="00F6766E" w:rsidRPr="007224C3" w:rsidRDefault="00F6766E" w:rsidP="007224C3">
      <w:pPr>
        <w:tabs>
          <w:tab w:val="left" w:pos="852"/>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при всех условиях обеспечить выработку в 1944 году 7000 тонн уксусной кислоты, в том числе: во П квар</w:t>
      </w:r>
      <w:r w:rsidRPr="007224C3">
        <w:rPr>
          <w:rFonts w:ascii="Times New Roman" w:hAnsi="Times New Roman"/>
          <w:color w:val="000000" w:themeColor="text1"/>
          <w:sz w:val="16"/>
          <w:szCs w:val="16"/>
        </w:rPr>
        <w:softHyphen/>
        <w:t>тале с.г. - 1550 тонн, в Ш квартале с.-гч, - 1800 тонн и в 1У.квартале с.г. - 2100 тонн</w:t>
      </w:r>
    </w:p>
    <w:p w14:paraId="3B9F7075" w14:textId="77777777" w:rsidR="00F6766E" w:rsidRPr="007224C3" w:rsidRDefault="00F6766E" w:rsidP="007224C3">
      <w:pPr>
        <w:tabs>
          <w:tab w:val="left" w:pos="859"/>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к октябрю с.г. довести мощности действующих лесохимических заводов по выработке уксусной кислоты до 8000 тонн в год, в том числе: на Ашинском заводе до 2000 тонн, на Сявском - до 1000 тонн и на Дмитриевском заводе до 5000 тонн и по ацетатным растворителям - до 2000 тонн в квартал;</w:t>
      </w:r>
    </w:p>
    <w:p w14:paraId="6EAA09F3" w14:textId="77777777" w:rsidR="00F6766E" w:rsidRPr="007224C3" w:rsidRDefault="00F6766E" w:rsidP="007224C3">
      <w:pPr>
        <w:tabs>
          <w:tab w:val="left" w:pos="865"/>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выработать на Ижевском лесохимзаводе в 1944 году 7000 тонн уксусно-кальциевого порошка.</w:t>
      </w:r>
    </w:p>
    <w:p w14:paraId="0C4C9A21" w14:textId="77777777" w:rsidR="00F6766E" w:rsidRPr="007224C3" w:rsidRDefault="00F6766E" w:rsidP="007224C3">
      <w:pPr>
        <w:tabs>
          <w:tab w:val="left" w:pos="891"/>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Установить план выработки бутанола, ацетона и ацетатных растворителей на, К квартал с .г.:</w:t>
      </w:r>
    </w:p>
    <w:p w14:paraId="71C1985C" w14:textId="77777777" w:rsidR="00F6766E" w:rsidRPr="007224C3" w:rsidRDefault="00F6766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Наркомкесу СССР - бутилацетата - 750 тонн,</w:t>
      </w:r>
    </w:p>
    <w:p w14:paraId="2AFF005A" w14:textId="77777777" w:rsidR="00F6766E" w:rsidRPr="007224C3" w:rsidRDefault="00F6766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этилацетата - 700 тонн, ацетона - 75 тонн;</w:t>
      </w:r>
    </w:p>
    <w:p w14:paraId="13BD4B26" w14:textId="77777777" w:rsidR="00F6766E" w:rsidRPr="007224C3" w:rsidRDefault="00F6766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Наркомпищепрому СССР - бутанола 1600 тонн аце</w:t>
      </w:r>
      <w:r w:rsidRPr="007224C3">
        <w:rPr>
          <w:rFonts w:ascii="Times New Roman" w:hAnsi="Times New Roman"/>
          <w:color w:val="000000" w:themeColor="text1"/>
          <w:sz w:val="16"/>
          <w:szCs w:val="16"/>
        </w:rPr>
        <w:softHyphen/>
        <w:t>тона - 950 тонн</w:t>
      </w:r>
    </w:p>
    <w:p w14:paraId="5FF8AB19" w14:textId="77777777" w:rsidR="00F6766E" w:rsidRPr="007224C3" w:rsidRDefault="00F6766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Наркомрезинпрому - бутанола 250 тонн</w:t>
      </w:r>
    </w:p>
    <w:p w14:paraId="61C8C40F" w14:textId="77777777" w:rsidR="00F6766E" w:rsidRPr="007224C3" w:rsidRDefault="00F6766E" w:rsidP="007224C3">
      <w:pPr>
        <w:tabs>
          <w:tab w:val="left" w:pos="898"/>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Обявать Каркомпищепром СССР - т.Зотова к 1 июля с.г. довести мощности ацетоно-бутаноловых заводов до 31 тонны бутанола в сутки, в том числе: Грозненского завода до 9 тонн и Докшукинского, завода - до 10 тонн бутанола в су тки.</w:t>
      </w:r>
    </w:p>
    <w:p w14:paraId="6E165574" w14:textId="77777777" w:rsidR="00F6766E" w:rsidRPr="007224C3" w:rsidRDefault="00F6766E" w:rsidP="007224C3">
      <w:pPr>
        <w:tabs>
          <w:tab w:val="left" w:pos="906"/>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Выделить в распоряжение Наркомлеса СССР и Нар компищепрома СССР по 200 тыс. рублей на премирование работников лесхимзаводов и ацетоно-бутаноловых заводов за выполнение в срок задания по развитию мощностей этих заводов</w:t>
      </w:r>
    </w:p>
    <w:p w14:paraId="69D93375" w14:textId="77777777" w:rsidR="00F6766E" w:rsidRPr="007224C3" w:rsidRDefault="00F6766E" w:rsidP="007224C3">
      <w:pPr>
        <w:tabs>
          <w:tab w:val="left" w:pos="906"/>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8. Обязать Наркомпищепром СССР - т.Зотова и Наркоирезинпром - т.Митрохина поставить Наркомлесу СССР </w:t>
      </w:r>
      <w:r w:rsidRPr="007224C3">
        <w:rPr>
          <w:rStyle w:val="2pt"/>
          <w:rFonts w:ascii="Times New Roman" w:hAnsi="Times New Roman" w:cs="Times New Roman"/>
          <w:color w:val="000000" w:themeColor="text1"/>
          <w:spacing w:val="0"/>
          <w:sz w:val="16"/>
          <w:szCs w:val="16"/>
        </w:rPr>
        <w:t>воП</w:t>
      </w:r>
      <w:r w:rsidRPr="007224C3">
        <w:rPr>
          <w:rFonts w:ascii="Times New Roman" w:hAnsi="Times New Roman"/>
          <w:color w:val="000000" w:themeColor="text1"/>
          <w:sz w:val="16"/>
          <w:szCs w:val="16"/>
        </w:rPr>
        <w:t xml:space="preserve"> квартале с.г. 780 тонн бутанола, в том числе: с заводов' Наркомпищепрома - 700 тонн и с заводов Наркомрезинпрома - 80 тонн. Поставку производить равномерно по месяцам.</w:t>
      </w:r>
    </w:p>
    <w:p w14:paraId="4C97F422" w14:textId="77777777" w:rsidR="00F6766E" w:rsidRPr="007224C3" w:rsidRDefault="00F6766E" w:rsidP="007224C3">
      <w:pPr>
        <w:tabs>
          <w:tab w:val="left" w:pos="898"/>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Обявать Наркомпищепром СССР -т.Зотова и Наркомлес СССР - т.Салтыкова поставить Наркомхимпрому во П квартале с.г, целевым назначением для приготовления авиационных лакокрасочных материалов:</w:t>
      </w:r>
    </w:p>
    <w:p w14:paraId="7C7D9404" w14:textId="77777777" w:rsidR="00F6766E" w:rsidRPr="007224C3" w:rsidRDefault="00F6766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бутанола </w:t>
      </w:r>
      <w:r w:rsidRPr="007224C3">
        <w:rPr>
          <w:rStyle w:val="-1pt"/>
          <w:rFonts w:ascii="Times New Roman" w:hAnsi="Times New Roman" w:cs="Times New Roman"/>
          <w:color w:val="000000" w:themeColor="text1"/>
          <w:spacing w:val="0"/>
          <w:sz w:val="16"/>
          <w:szCs w:val="16"/>
        </w:rPr>
        <w:t>565</w:t>
      </w:r>
      <w:r w:rsidRPr="007224C3">
        <w:rPr>
          <w:rFonts w:ascii="Times New Roman" w:hAnsi="Times New Roman"/>
          <w:color w:val="000000" w:themeColor="text1"/>
          <w:sz w:val="16"/>
          <w:szCs w:val="16"/>
        </w:rPr>
        <w:t xml:space="preserve"> тонн от Наркомпищепрома СССР;</w:t>
      </w:r>
    </w:p>
    <w:p w14:paraId="78A44B38" w14:textId="77777777" w:rsidR="00F6766E" w:rsidRPr="007224C3" w:rsidRDefault="00F6766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ацетона 600 тонн, из них 360 тонн от Наркомпищепрома и 240 тонн из импортных поступлений;</w:t>
      </w:r>
    </w:p>
    <w:p w14:paraId="51E6A797" w14:textId="77777777" w:rsidR="00F6766E" w:rsidRPr="007224C3" w:rsidRDefault="00F6766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от Наркомлеса </w:t>
      </w:r>
      <w:r w:rsidRPr="007224C3">
        <w:rPr>
          <w:rStyle w:val="-1pt"/>
          <w:rFonts w:ascii="Times New Roman" w:hAnsi="Times New Roman" w:cs="Times New Roman"/>
          <w:color w:val="000000" w:themeColor="text1"/>
          <w:spacing w:val="0"/>
          <w:sz w:val="16"/>
          <w:szCs w:val="16"/>
        </w:rPr>
        <w:t>СССР -</w:t>
      </w:r>
      <w:r w:rsidRPr="007224C3">
        <w:rPr>
          <w:rFonts w:ascii="Times New Roman" w:hAnsi="Times New Roman"/>
          <w:color w:val="000000" w:themeColor="text1"/>
          <w:sz w:val="16"/>
          <w:szCs w:val="16"/>
        </w:rPr>
        <w:t xml:space="preserve"> 650 тонн бутилацетата и </w:t>
      </w:r>
      <w:r w:rsidRPr="007224C3">
        <w:rPr>
          <w:rStyle w:val="-1pt"/>
          <w:rFonts w:ascii="Times New Roman" w:hAnsi="Times New Roman" w:cs="Times New Roman"/>
          <w:color w:val="000000" w:themeColor="text1"/>
          <w:spacing w:val="0"/>
          <w:sz w:val="16"/>
          <w:szCs w:val="16"/>
        </w:rPr>
        <w:t xml:space="preserve">500 </w:t>
      </w:r>
      <w:r w:rsidRPr="007224C3">
        <w:rPr>
          <w:rFonts w:ascii="Times New Roman" w:hAnsi="Times New Roman"/>
          <w:color w:val="000000" w:themeColor="text1"/>
          <w:sz w:val="16"/>
          <w:szCs w:val="16"/>
        </w:rPr>
        <w:t>тонн этилацетата.</w:t>
      </w:r>
    </w:p>
    <w:p w14:paraId="18B83CA0" w14:textId="77777777" w:rsidR="00F6766E" w:rsidRPr="007224C3" w:rsidRDefault="00F6766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Обязать Наркомчермет - т.Тевосяна, Наркомхим пром - т.Первухина, Наркомстройматериалов СССР - т.Со</w:t>
      </w:r>
      <w:r w:rsidRPr="007224C3">
        <w:rPr>
          <w:rFonts w:ascii="Times New Roman" w:hAnsi="Times New Roman"/>
          <w:color w:val="000000" w:themeColor="text1"/>
          <w:sz w:val="16"/>
          <w:szCs w:val="16"/>
        </w:rPr>
        <w:softHyphen/>
        <w:t xml:space="preserve">сняка, Наркомтанкопром - т; Мвлышева ; Главснаблес при </w:t>
      </w:r>
      <w:r w:rsidRPr="007224C3">
        <w:rPr>
          <w:rFonts w:ascii="Times New Roman" w:hAnsi="Times New Roman"/>
          <w:color w:val="000000" w:themeColor="text1"/>
          <w:sz w:val="16"/>
          <w:szCs w:val="16"/>
          <w:lang w:val="en-US"/>
        </w:rPr>
        <w:t>CHK</w:t>
      </w:r>
      <w:r w:rsidRPr="007224C3">
        <w:rPr>
          <w:rFonts w:ascii="Times New Roman" w:hAnsi="Times New Roman"/>
          <w:color w:val="000000" w:themeColor="text1"/>
          <w:sz w:val="16"/>
          <w:szCs w:val="16"/>
        </w:rPr>
        <w:t xml:space="preserve"> СССР - т. Лопухова, Нарком резинпром - т.Митрохина, Наркомбумпром - т.Чеботарева, Наркомминвооружения - т.Паршина, Наркомэлектропром - т.Кабанова, Наркомсредмащ - т.Акопова, Наркомтяжмаш - т.Казакова, Наркомтек стиль ССОР - т. Акимова, Наркомлегпром СССР - т. Лукина, Наркомбоеприпасов - </w:t>
      </w:r>
      <w:r w:rsidRPr="007224C3">
        <w:rPr>
          <w:rFonts w:ascii="Times New Roman" w:hAnsi="Times New Roman"/>
          <w:color w:val="000000" w:themeColor="text1"/>
          <w:sz w:val="16"/>
          <w:szCs w:val="16"/>
        </w:rPr>
        <w:lastRenderedPageBreak/>
        <w:t>т.Ванникова, Наркомцветмет - т.Ло- мако, НКПС - т.Кагановича, Главнефтеснаб при СНК СССР т.Широкова, Наркомнефть - т.Седина, Нарком станкострое</w:t>
      </w:r>
      <w:r w:rsidRPr="007224C3">
        <w:rPr>
          <w:rFonts w:ascii="Times New Roman" w:hAnsi="Times New Roman"/>
          <w:color w:val="000000" w:themeColor="text1"/>
          <w:sz w:val="16"/>
          <w:szCs w:val="16"/>
        </w:rPr>
        <w:softHyphen/>
        <w:t>ния - т.Ефремова, Наркомпищепром СССР - т,.Зотова, Наркомлес СССР - т. Салтыкова, УПК при СНК РСФСР - т. Крав</w:t>
      </w:r>
      <w:r w:rsidRPr="007224C3">
        <w:rPr>
          <w:rFonts w:ascii="Times New Roman" w:hAnsi="Times New Roman"/>
          <w:color w:val="000000" w:themeColor="text1"/>
          <w:sz w:val="16"/>
          <w:szCs w:val="16"/>
        </w:rPr>
        <w:softHyphen/>
        <w:t xml:space="preserve">чука, Наркомстройматериаяов </w:t>
      </w:r>
      <w:r w:rsidRPr="007224C3">
        <w:rPr>
          <w:rFonts w:ascii="Times New Roman" w:hAnsi="Times New Roman"/>
          <w:color w:val="000000" w:themeColor="text1"/>
          <w:sz w:val="16"/>
          <w:szCs w:val="16"/>
          <w:lang w:val="en-US"/>
        </w:rPr>
        <w:t>PC</w:t>
      </w:r>
      <w:r w:rsidRPr="007224C3">
        <w:rPr>
          <w:rFonts w:ascii="Times New Roman" w:hAnsi="Times New Roman"/>
          <w:color w:val="000000" w:themeColor="text1"/>
          <w:sz w:val="16"/>
          <w:szCs w:val="16"/>
        </w:rPr>
        <w:t>Ф</w:t>
      </w:r>
      <w:r w:rsidRPr="007224C3">
        <w:rPr>
          <w:rFonts w:ascii="Times New Roman" w:hAnsi="Times New Roman"/>
          <w:color w:val="000000" w:themeColor="text1"/>
          <w:sz w:val="16"/>
          <w:szCs w:val="16"/>
          <w:lang w:val="en-US"/>
        </w:rPr>
        <w:t>CP</w:t>
      </w:r>
      <w:r w:rsidRPr="007224C3">
        <w:rPr>
          <w:rFonts w:ascii="Times New Roman" w:hAnsi="Times New Roman"/>
          <w:color w:val="000000" w:themeColor="text1"/>
          <w:sz w:val="16"/>
          <w:szCs w:val="16"/>
        </w:rPr>
        <w:t xml:space="preserve"> - т.Гвовдарева, Нар коммясомолпром - т.Смирнова, Наркомместпром </w:t>
      </w:r>
      <w:r w:rsidRPr="007224C3">
        <w:rPr>
          <w:rFonts w:ascii="Times New Roman" w:hAnsi="Times New Roman"/>
          <w:color w:val="000000" w:themeColor="text1"/>
          <w:sz w:val="16"/>
          <w:szCs w:val="16"/>
          <w:lang w:val="en-US"/>
        </w:rPr>
        <w:t>PC</w:t>
      </w:r>
      <w:r w:rsidRPr="007224C3">
        <w:rPr>
          <w:rFonts w:ascii="Times New Roman" w:hAnsi="Times New Roman"/>
          <w:color w:val="000000" w:themeColor="text1"/>
          <w:sz w:val="16"/>
          <w:szCs w:val="16"/>
        </w:rPr>
        <w:t>Ф</w:t>
      </w:r>
      <w:r w:rsidRPr="007224C3">
        <w:rPr>
          <w:rFonts w:ascii="Times New Roman" w:hAnsi="Times New Roman"/>
          <w:color w:val="000000" w:themeColor="text1"/>
          <w:sz w:val="16"/>
          <w:szCs w:val="16"/>
          <w:lang w:val="en-US"/>
        </w:rPr>
        <w:t>CP</w:t>
      </w:r>
      <w:r w:rsidRPr="007224C3">
        <w:rPr>
          <w:rFonts w:ascii="Times New Roman" w:hAnsi="Times New Roman"/>
          <w:color w:val="000000" w:themeColor="text1"/>
          <w:sz w:val="16"/>
          <w:szCs w:val="16"/>
        </w:rPr>
        <w:t xml:space="preserve"> - т.Смиряева, Наркомздрав СССР - т.Митерева, Наркомвнешторг - т.Крутикова, Наркомавиапром - т.Шахурина обеспе</w:t>
      </w:r>
      <w:r w:rsidRPr="007224C3">
        <w:rPr>
          <w:rFonts w:ascii="Times New Roman" w:hAnsi="Times New Roman"/>
          <w:color w:val="000000" w:themeColor="text1"/>
          <w:sz w:val="16"/>
          <w:szCs w:val="16"/>
        </w:rPr>
        <w:softHyphen/>
        <w:t xml:space="preserve">чить поставку во П квартале с.г. сырья, материалов и Оборудования лакокрасочным заводам Наркомхимпрома, Главхимпрому Наркомместпрома РСФСР, Главлесхиму Нарком леса СССР и ацетоно-бутаноловым заводам Наркомпищепрома СССР в количествах и сроки, согласно прилокениям №№ 1-7 </w:t>
      </w:r>
    </w:p>
    <w:p w14:paraId="6EFA87C2" w14:textId="77777777" w:rsidR="00F6766E" w:rsidRPr="007224C3" w:rsidRDefault="00F6766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Поставку производить наравне с поставками Наркомавиапрому.</w:t>
      </w:r>
    </w:p>
    <w:p w14:paraId="1C37222D" w14:textId="77777777" w:rsidR="00F6766E" w:rsidRPr="007224C3" w:rsidRDefault="00F6766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Запретить.без специального на то, в каждом отдель</w:t>
      </w:r>
      <w:r w:rsidRPr="007224C3">
        <w:rPr>
          <w:rFonts w:ascii="Times New Roman" w:hAnsi="Times New Roman"/>
          <w:color w:val="000000" w:themeColor="text1"/>
          <w:sz w:val="16"/>
          <w:szCs w:val="16"/>
        </w:rPr>
        <w:softHyphen/>
        <w:t>ном случае разрешения ГОКО, изменять сроки поставки и уменьшать количество материалов и оборудования, выде</w:t>
      </w:r>
      <w:r w:rsidRPr="007224C3">
        <w:rPr>
          <w:rFonts w:ascii="Times New Roman" w:hAnsi="Times New Roman"/>
          <w:color w:val="000000" w:themeColor="text1"/>
          <w:sz w:val="16"/>
          <w:szCs w:val="16"/>
        </w:rPr>
        <w:softHyphen/>
        <w:t>ленных настоящим постановлением.</w:t>
      </w:r>
    </w:p>
    <w:p w14:paraId="0A26E634" w14:textId="77777777" w:rsidR="00F6766E" w:rsidRPr="007224C3" w:rsidRDefault="00F6766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Обязать народных комиссаров, поставляющих сырье и материалы для лакокрасочных заводов Наркомхимпрома и их смежников, поставку произодить в строгом моответствии с существующими ОСТ"ами и техническими условиями, равномерно по</w:t>
      </w:r>
      <w:r w:rsidRPr="007224C3">
        <w:rPr>
          <w:rFonts w:ascii="Times New Roman" w:hAnsi="Times New Roman"/>
          <w:color w:val="000000" w:themeColor="text1"/>
          <w:sz w:val="16"/>
          <w:szCs w:val="16"/>
          <w:vertAlign w:val="subscript"/>
        </w:rPr>
        <w:t>;</w:t>
      </w:r>
      <w:r w:rsidRPr="007224C3">
        <w:rPr>
          <w:rFonts w:ascii="Times New Roman" w:hAnsi="Times New Roman"/>
          <w:color w:val="000000" w:themeColor="text1"/>
          <w:sz w:val="16"/>
          <w:szCs w:val="16"/>
        </w:rPr>
        <w:t xml:space="preserve"> месяцам, оканчивая поставку не позже 25 числа каждого месяца. Представлять каждого 5-го числа в Государственный Комитет Оборони отчет о выполнении плана поставок.</w:t>
      </w:r>
    </w:p>
    <w:p w14:paraId="115A01CE" w14:textId="77777777" w:rsidR="00F6766E" w:rsidRPr="007224C3" w:rsidRDefault="00F6766E" w:rsidP="007224C3">
      <w:pPr>
        <w:tabs>
          <w:tab w:val="left" w:pos="1014"/>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Обязать Наркомзаг СССР - т.Субботина поставить во П квартале 1944 г. Наркомпищепрому СССР для ацетоно- бутаноловых заводов 15,2 тыс.тонн кукурузной муки, рав</w:t>
      </w:r>
      <w:r w:rsidRPr="007224C3">
        <w:rPr>
          <w:rFonts w:ascii="Times New Roman" w:hAnsi="Times New Roman"/>
          <w:color w:val="000000" w:themeColor="text1"/>
          <w:sz w:val="16"/>
          <w:szCs w:val="16"/>
        </w:rPr>
        <w:softHyphen/>
        <w:t>ными партиями по месяцам.</w:t>
      </w:r>
    </w:p>
    <w:p w14:paraId="4503F60E" w14:textId="77777777" w:rsidR="00F6766E" w:rsidRPr="007224C3" w:rsidRDefault="00F6766E" w:rsidP="007224C3">
      <w:pPr>
        <w:tabs>
          <w:tab w:val="left" w:pos="1021"/>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Отметить, что Наркомчермет не выполнил поста</w:t>
      </w:r>
      <w:r w:rsidRPr="007224C3">
        <w:rPr>
          <w:rFonts w:ascii="Times New Roman" w:hAnsi="Times New Roman"/>
          <w:color w:val="000000" w:themeColor="text1"/>
          <w:sz w:val="16"/>
          <w:szCs w:val="16"/>
        </w:rPr>
        <w:softHyphen/>
        <w:t>новление СНХ СССР и ЦК В.-ОД(б) № 1290 от 9 мая 1941 года в части постройки в течение 1941-1942 годов установок по производству уксусно-кальциевого порошка.- Обязать Наркомчермет - т.Тевосяна:</w:t>
      </w:r>
    </w:p>
    <w:p w14:paraId="44035618" w14:textId="77777777" w:rsidR="00F6766E" w:rsidRPr="007224C3" w:rsidRDefault="00F6766E" w:rsidP="007224C3">
      <w:pPr>
        <w:tabs>
          <w:tab w:val="left" w:pos="898"/>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ввести в 1944 году двухканальную установку сис</w:t>
      </w:r>
      <w:r w:rsidRPr="007224C3">
        <w:rPr>
          <w:rFonts w:ascii="Times New Roman" w:hAnsi="Times New Roman"/>
          <w:color w:val="000000" w:themeColor="text1"/>
          <w:sz w:val="16"/>
          <w:szCs w:val="16"/>
        </w:rPr>
        <w:softHyphen/>
        <w:t xml:space="preserve">темы Козлова по использованию химпродуктов на Верхне- Синячихинском углежжении, производительностью 1000 тонн в год. Обеспечить работу одного канала печи о 1 мая с.г. и второго канала </w:t>
      </w:r>
      <w:r w:rsidRPr="007224C3">
        <w:rPr>
          <w:rStyle w:val="1pt"/>
          <w:rFonts w:ascii="Times New Roman" w:hAnsi="Times New Roman" w:cs="Times New Roman"/>
          <w:color w:val="000000" w:themeColor="text1"/>
          <w:spacing w:val="0"/>
          <w:sz w:val="16"/>
          <w:szCs w:val="16"/>
        </w:rPr>
        <w:t>печи -с</w:t>
      </w:r>
      <w:r w:rsidRPr="007224C3">
        <w:rPr>
          <w:rFonts w:ascii="Times New Roman" w:hAnsi="Times New Roman"/>
          <w:color w:val="000000" w:themeColor="text1"/>
          <w:sz w:val="16"/>
          <w:szCs w:val="16"/>
        </w:rPr>
        <w:t xml:space="preserve"> 1 сентября </w:t>
      </w:r>
      <w:r w:rsidRPr="007224C3">
        <w:rPr>
          <w:rStyle w:val="1pt"/>
          <w:rFonts w:ascii="Times New Roman" w:hAnsi="Times New Roman" w:cs="Times New Roman"/>
          <w:color w:val="000000" w:themeColor="text1"/>
          <w:spacing w:val="0"/>
          <w:sz w:val="16"/>
          <w:szCs w:val="16"/>
        </w:rPr>
        <w:t>с.г.;</w:t>
      </w:r>
    </w:p>
    <w:p w14:paraId="4F0ABCD8" w14:textId="77777777" w:rsidR="00F6766E" w:rsidRPr="007224C3" w:rsidRDefault="00F6766E" w:rsidP="007224C3">
      <w:pPr>
        <w:tabs>
          <w:tab w:val="left" w:pos="913"/>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б) с 15 мая </w:t>
      </w:r>
      <w:r w:rsidRPr="007224C3">
        <w:rPr>
          <w:rStyle w:val="1pt"/>
          <w:rFonts w:ascii="Times New Roman" w:hAnsi="Times New Roman" w:cs="Times New Roman"/>
          <w:color w:val="000000" w:themeColor="text1"/>
          <w:spacing w:val="0"/>
          <w:sz w:val="16"/>
          <w:szCs w:val="16"/>
        </w:rPr>
        <w:t>с.г.</w:t>
      </w:r>
      <w:r w:rsidRPr="007224C3">
        <w:rPr>
          <w:rFonts w:ascii="Times New Roman" w:hAnsi="Times New Roman"/>
          <w:color w:val="000000" w:themeColor="text1"/>
          <w:sz w:val="16"/>
          <w:szCs w:val="16"/>
        </w:rPr>
        <w:t xml:space="preserve"> пустить в эксплоатацию химзавод на Злаказовском углежжении, с производительностью 1300 тонн уксусно-кальциевого порошка в год;</w:t>
      </w:r>
    </w:p>
    <w:p w14:paraId="69FB9A69" w14:textId="77777777" w:rsidR="00F6766E" w:rsidRPr="007224C3" w:rsidRDefault="00F6766E" w:rsidP="007224C3">
      <w:pPr>
        <w:tabs>
          <w:tab w:val="left" w:pos="891"/>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в 1У квартале с.г-, пустить в эксплоатацию хим</w:t>
      </w:r>
      <w:r w:rsidRPr="007224C3">
        <w:rPr>
          <w:rFonts w:ascii="Times New Roman" w:hAnsi="Times New Roman"/>
          <w:color w:val="000000" w:themeColor="text1"/>
          <w:sz w:val="16"/>
          <w:szCs w:val="16"/>
        </w:rPr>
        <w:softHyphen/>
        <w:t>завод Нижне-Сергинского углежжения, производительностью 1300 тонн порошка</w:t>
      </w:r>
      <w:r w:rsidRPr="007224C3">
        <w:rPr>
          <w:rStyle w:val="Corbel10pt1pt"/>
          <w:rFonts w:ascii="Times New Roman" w:hAnsi="Times New Roman" w:cs="Times New Roman"/>
          <w:color w:val="000000" w:themeColor="text1"/>
          <w:spacing w:val="0"/>
          <w:sz w:val="16"/>
          <w:szCs w:val="16"/>
        </w:rPr>
        <w:t xml:space="preserve"> в</w:t>
      </w:r>
      <w:r w:rsidRPr="007224C3">
        <w:rPr>
          <w:rFonts w:ascii="Times New Roman" w:hAnsi="Times New Roman"/>
          <w:color w:val="000000" w:themeColor="text1"/>
          <w:sz w:val="16"/>
          <w:szCs w:val="16"/>
        </w:rPr>
        <w:t xml:space="preserve"> </w:t>
      </w:r>
      <w:r w:rsidRPr="007224C3">
        <w:rPr>
          <w:rStyle w:val="1pt"/>
          <w:rFonts w:ascii="Times New Roman" w:hAnsi="Times New Roman" w:cs="Times New Roman"/>
          <w:color w:val="000000" w:themeColor="text1"/>
          <w:spacing w:val="0"/>
          <w:sz w:val="16"/>
          <w:szCs w:val="16"/>
        </w:rPr>
        <w:t>год;</w:t>
      </w:r>
    </w:p>
    <w:p w14:paraId="745F9638" w14:textId="77777777" w:rsidR="00F6766E" w:rsidRPr="007224C3" w:rsidRDefault="00F6766E" w:rsidP="007224C3">
      <w:pPr>
        <w:tabs>
          <w:tab w:val="left" w:pos="913"/>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 поставить в 1944 году Наркомлесу СССР - 2900 тонн уксусно-кальциевого порошка, в том чиоле с Каквинсксго химзавода 180С тонн, с Верхне-Синячихинокого химзавода 700 тонн, с Злаказовского химзавода - 4С0 тонн.</w:t>
      </w:r>
    </w:p>
    <w:p w14:paraId="1212C7A6" w14:textId="77777777" w:rsidR="00F6766E" w:rsidRPr="007224C3" w:rsidRDefault="00F6766E" w:rsidP="007224C3">
      <w:pPr>
        <w:tabs>
          <w:tab w:val="left" w:pos="999"/>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Для обеспечения пуска в установленные сроки хи</w:t>
      </w:r>
      <w:r w:rsidRPr="007224C3">
        <w:rPr>
          <w:rFonts w:ascii="Times New Roman" w:hAnsi="Times New Roman"/>
          <w:color w:val="000000" w:themeColor="text1"/>
          <w:sz w:val="16"/>
          <w:szCs w:val="16"/>
        </w:rPr>
        <w:softHyphen/>
        <w:t>мических цехов на вновь вводимых установках Еерхне-Синячихинского, Злаказовского и Нижне-Сергинского углежжениях Наркомчермета и обеспечения развития мощностей по. производству уксусно-кальциевого порошка, обязать:</w:t>
      </w:r>
    </w:p>
    <w:p w14:paraId="7581F4F5" w14:textId="77777777" w:rsidR="00F6766E" w:rsidRPr="007224C3" w:rsidRDefault="00F6766E" w:rsidP="007224C3">
      <w:pPr>
        <w:tabs>
          <w:tab w:val="left" w:pos="832"/>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Наркомиинвооружения - т.Паршина поставить Наркомчермету во П .квартале. с.г. 6 .центробежных Песковых насосов типа ПП-2 производительностью 25-40 кбм. в ми</w:t>
      </w:r>
      <w:r w:rsidRPr="007224C3">
        <w:rPr>
          <w:rFonts w:ascii="Times New Roman" w:hAnsi="Times New Roman"/>
          <w:color w:val="000000" w:themeColor="text1"/>
          <w:sz w:val="16"/>
          <w:szCs w:val="16"/>
        </w:rPr>
        <w:softHyphen/>
        <w:t>нуту, с напором от 10 до 30 метров; о центробежных ки</w:t>
      </w:r>
      <w:r w:rsidRPr="007224C3">
        <w:rPr>
          <w:rFonts w:ascii="Times New Roman" w:hAnsi="Times New Roman"/>
          <w:color w:val="000000" w:themeColor="text1"/>
          <w:sz w:val="16"/>
          <w:szCs w:val="16"/>
        </w:rPr>
        <w:softHyphen/>
        <w:t xml:space="preserve">слотоупорных насосов производительностью 25-40 кбм. в минуту и арматуры разной для химических цехов вновь вводимых установок на сумму </w:t>
      </w:r>
      <w:r w:rsidRPr="007224C3">
        <w:rPr>
          <w:rFonts w:ascii="Times New Roman" w:hAnsi="Times New Roman"/>
          <w:color w:val="000000" w:themeColor="text1"/>
          <w:sz w:val="16"/>
          <w:szCs w:val="16"/>
          <w:lang w:val="en-US"/>
        </w:rPr>
        <w:t>J</w:t>
      </w:r>
      <w:r w:rsidRPr="007224C3">
        <w:rPr>
          <w:rFonts w:ascii="Times New Roman" w:hAnsi="Times New Roman"/>
          <w:color w:val="000000" w:themeColor="text1"/>
          <w:sz w:val="16"/>
          <w:szCs w:val="16"/>
        </w:rPr>
        <w:t>50 тыс.. рублей, по специ</w:t>
      </w:r>
      <w:r w:rsidRPr="007224C3">
        <w:rPr>
          <w:rFonts w:ascii="Times New Roman" w:hAnsi="Times New Roman"/>
          <w:color w:val="000000" w:themeColor="text1"/>
          <w:sz w:val="16"/>
          <w:szCs w:val="16"/>
        </w:rPr>
        <w:softHyphen/>
        <w:t>фикации Наркомчермета;</w:t>
      </w:r>
    </w:p>
    <w:p w14:paraId="159F4A0D" w14:textId="77777777" w:rsidR="00F6766E" w:rsidRPr="007224C3" w:rsidRDefault="00F6766E" w:rsidP="007224C3">
      <w:pPr>
        <w:tabs>
          <w:tab w:val="left" w:pos="819"/>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Наркомтянмаш - т.Казакова поставить Наркомчермету к 1 августа с.г. один локомобиль мощностью 175л.с.  для Нижне-Сергинского химзавода;</w:t>
      </w:r>
    </w:p>
    <w:p w14:paraId="1AE88FB2" w14:textId="77777777" w:rsidR="00F6766E" w:rsidRPr="007224C3" w:rsidRDefault="00F6766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Госплану СССР предусмотреть выделение Наркомчермету указанного оборудования во П квартале с.г.</w:t>
      </w:r>
    </w:p>
    <w:p w14:paraId="66DD5144" w14:textId="77777777" w:rsidR="00F6766E" w:rsidRPr="007224C3" w:rsidRDefault="00F6766E" w:rsidP="007224C3">
      <w:pPr>
        <w:tabs>
          <w:tab w:val="left" w:pos="917"/>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15. Подтвердить постановление ГОКО № 4397 от 23.X- 1943 </w:t>
      </w:r>
      <w:r w:rsidRPr="007224C3">
        <w:rPr>
          <w:rStyle w:val="1pt"/>
          <w:rFonts w:ascii="Times New Roman" w:hAnsi="Times New Roman" w:cs="Times New Roman"/>
          <w:color w:val="000000" w:themeColor="text1"/>
          <w:spacing w:val="0"/>
          <w:sz w:val="16"/>
          <w:szCs w:val="16"/>
        </w:rPr>
        <w:t>г.,</w:t>
      </w:r>
      <w:r w:rsidRPr="007224C3">
        <w:rPr>
          <w:rFonts w:ascii="Times New Roman" w:hAnsi="Times New Roman"/>
          <w:color w:val="000000" w:themeColor="text1"/>
          <w:sz w:val="16"/>
          <w:szCs w:val="16"/>
        </w:rPr>
        <w:t xml:space="preserve"> запрещающее Наркомчермету переугливать дрова в печах Шварца до выполнения поставок дров Ашинскому лесхимзаводу.</w:t>
      </w:r>
    </w:p>
    <w:p w14:paraId="538380FB" w14:textId="77777777" w:rsidR="00F6766E" w:rsidRPr="007224C3" w:rsidRDefault="00F6766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Обязать Наркомчермет - т.Тевосяна обеспечивать по</w:t>
      </w:r>
      <w:r w:rsidRPr="007224C3">
        <w:rPr>
          <w:rFonts w:ascii="Times New Roman" w:hAnsi="Times New Roman"/>
          <w:color w:val="000000" w:themeColor="text1"/>
          <w:sz w:val="16"/>
          <w:szCs w:val="16"/>
        </w:rPr>
        <w:softHyphen/>
        <w:t>ставку Ашинскому заводу Наркомлеса СССР п</w:t>
      </w:r>
      <w:r w:rsidRPr="007224C3">
        <w:rPr>
          <w:rFonts w:ascii="Times New Roman" w:hAnsi="Times New Roman"/>
          <w:color w:val="000000" w:themeColor="text1"/>
          <w:sz w:val="16"/>
          <w:szCs w:val="16"/>
          <w:lang w:val="en-US"/>
        </w:rPr>
        <w:t>o</w:t>
      </w:r>
      <w:r w:rsidRPr="007224C3">
        <w:rPr>
          <w:rFonts w:ascii="Times New Roman" w:hAnsi="Times New Roman"/>
          <w:color w:val="000000" w:themeColor="text1"/>
          <w:sz w:val="16"/>
          <w:szCs w:val="16"/>
        </w:rPr>
        <w:t xml:space="preserve"> 20 тыс.кбм. дров ежемесячно</w:t>
      </w:r>
    </w:p>
    <w:p w14:paraId="76F810DF" w14:textId="77777777" w:rsidR="00F6766E" w:rsidRPr="007224C3" w:rsidRDefault="00F6766E" w:rsidP="007224C3">
      <w:pPr>
        <w:tabs>
          <w:tab w:val="left" w:pos="936"/>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Отметигь, что Управление Промкооперации при СНК РСФС</w:t>
      </w:r>
      <w:r w:rsidRPr="007224C3">
        <w:rPr>
          <w:rFonts w:ascii="Times New Roman" w:hAnsi="Times New Roman"/>
          <w:color w:val="000000" w:themeColor="text1"/>
          <w:sz w:val="16"/>
          <w:szCs w:val="16"/>
          <w:lang w:val="en-US"/>
        </w:rPr>
        <w:t>P</w:t>
      </w:r>
      <w:r w:rsidRPr="007224C3">
        <w:rPr>
          <w:rFonts w:ascii="Times New Roman" w:hAnsi="Times New Roman"/>
          <w:color w:val="000000" w:themeColor="text1"/>
          <w:sz w:val="16"/>
          <w:szCs w:val="16"/>
        </w:rPr>
        <w:t xml:space="preserve"> т.Кравчук систематически срывает поставку Наркомлесу СССР и Наркомместпрому </w:t>
      </w:r>
      <w:r w:rsidRPr="007224C3">
        <w:rPr>
          <w:rFonts w:ascii="Times New Roman" w:hAnsi="Times New Roman"/>
          <w:color w:val="000000" w:themeColor="text1"/>
          <w:sz w:val="16"/>
          <w:szCs w:val="16"/>
          <w:lang w:val="en-US"/>
        </w:rPr>
        <w:t>P</w:t>
      </w:r>
      <w:r w:rsidRPr="007224C3">
        <w:rPr>
          <w:rFonts w:ascii="Times New Roman" w:hAnsi="Times New Roman"/>
          <w:color w:val="000000" w:themeColor="text1"/>
          <w:sz w:val="16"/>
          <w:szCs w:val="16"/>
        </w:rPr>
        <w:t>СФ</w:t>
      </w:r>
      <w:r w:rsidRPr="007224C3">
        <w:rPr>
          <w:rFonts w:ascii="Times New Roman" w:hAnsi="Times New Roman"/>
          <w:color w:val="000000" w:themeColor="text1"/>
          <w:sz w:val="16"/>
          <w:szCs w:val="16"/>
          <w:lang w:val="en-US"/>
        </w:rPr>
        <w:t>CP</w:t>
      </w:r>
      <w:r w:rsidRPr="007224C3">
        <w:rPr>
          <w:rFonts w:ascii="Times New Roman" w:hAnsi="Times New Roman"/>
          <w:color w:val="000000" w:themeColor="text1"/>
          <w:sz w:val="16"/>
          <w:szCs w:val="16"/>
        </w:rPr>
        <w:t xml:space="preserve"> уксусно-кальциевого порошка для выработки уксусной кислоты. За 1943 год Наркомлесу отгружено всего 1940 тонн порошка при плане 5000 тонн.</w:t>
      </w:r>
    </w:p>
    <w:p w14:paraId="25AC263C" w14:textId="77777777" w:rsidR="00F6766E" w:rsidRPr="007224C3" w:rsidRDefault="00F6766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Обязать УПК при СНК</w:t>
      </w:r>
      <w:r w:rsidRPr="007224C3">
        <w:rPr>
          <w:rStyle w:val="-1pt1"/>
          <w:rFonts w:ascii="Times New Roman" w:hAnsi="Times New Roman" w:cs="Times New Roman"/>
          <w:color w:val="000000" w:themeColor="text1"/>
          <w:spacing w:val="0"/>
          <w:sz w:val="16"/>
          <w:szCs w:val="16"/>
          <w:lang w:val="ru-RU"/>
        </w:rPr>
        <w:t xml:space="preserve"> РСФСР</w:t>
      </w:r>
      <w:r w:rsidRPr="007224C3">
        <w:rPr>
          <w:rFonts w:ascii="Times New Roman" w:hAnsi="Times New Roman"/>
          <w:color w:val="000000" w:themeColor="text1"/>
          <w:sz w:val="16"/>
          <w:szCs w:val="16"/>
        </w:rPr>
        <w:t xml:space="preserve"> - т.Кравчука:</w:t>
      </w:r>
    </w:p>
    <w:p w14:paraId="5843A2F0" w14:textId="77777777" w:rsidR="00F6766E" w:rsidRPr="007224C3" w:rsidRDefault="00F6766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обеспечить в течение 1944 года выработку на предприятиях промкооперации не менее 5600 тонн уксусно- кальциевого порошка, в том числё в первом-полугодии с.г. не менее</w:t>
      </w:r>
      <w:r w:rsidRPr="007224C3">
        <w:rPr>
          <w:rStyle w:val="-1pt"/>
          <w:rFonts w:ascii="Times New Roman" w:hAnsi="Times New Roman" w:cs="Times New Roman"/>
          <w:color w:val="000000" w:themeColor="text1"/>
          <w:spacing w:val="0"/>
          <w:sz w:val="16"/>
          <w:szCs w:val="16"/>
        </w:rPr>
        <w:t xml:space="preserve"> '2800</w:t>
      </w:r>
      <w:r w:rsidRPr="007224C3">
        <w:rPr>
          <w:rFonts w:ascii="Times New Roman" w:hAnsi="Times New Roman"/>
          <w:color w:val="000000" w:themeColor="text1"/>
          <w:sz w:val="16"/>
          <w:szCs w:val="16"/>
        </w:rPr>
        <w:t xml:space="preserve"> тонн;</w:t>
      </w:r>
    </w:p>
    <w:p w14:paraId="35CEB48B" w14:textId="77777777" w:rsidR="00F6766E" w:rsidRPr="007224C3" w:rsidRDefault="00F6766E" w:rsidP="007224C3">
      <w:pPr>
        <w:tabs>
          <w:tab w:val="left" w:pos="945"/>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подтвердить к выполнению распоряжения ГОКО № 4974 от 18 января 1944года и обязать УПК при СНК РСФСР при всех условиях  обеспечить поставку до 1 ап</w:t>
      </w:r>
      <w:r w:rsidRPr="007224C3">
        <w:rPr>
          <w:rFonts w:ascii="Times New Roman" w:hAnsi="Times New Roman"/>
          <w:color w:val="000000" w:themeColor="text1"/>
          <w:sz w:val="16"/>
          <w:szCs w:val="16"/>
        </w:rPr>
        <w:softHyphen/>
        <w:t>реля с.г.. Дмитриевскому лесхимзаводу Наркомлеса СССР 5000 тонн у ксусно-кальциевого порошка;</w:t>
      </w:r>
    </w:p>
    <w:p w14:paraId="55F10CCA" w14:textId="77777777" w:rsidR="00F6766E" w:rsidRPr="007224C3" w:rsidRDefault="00F6766E" w:rsidP="007224C3">
      <w:pPr>
        <w:tabs>
          <w:tab w:val="left" w:pos="910"/>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поставить во П квартале о.г. Нижнемальцевскому химзаводу НКМП РСФСР 220 тонн уксусно-кальциевого по</w:t>
      </w:r>
      <w:r w:rsidRPr="007224C3">
        <w:rPr>
          <w:rFonts w:ascii="Times New Roman" w:hAnsi="Times New Roman"/>
          <w:color w:val="000000" w:themeColor="text1"/>
          <w:sz w:val="16"/>
          <w:szCs w:val="16"/>
        </w:rPr>
        <w:softHyphen/>
        <w:t>рошка в счет 5000 тонн порошка, поставляемого Нарком лесу СССР, согласно распоряжению ГОКО № 4974с от 18 января с.г.</w:t>
      </w:r>
    </w:p>
    <w:p w14:paraId="1B84887D" w14:textId="77777777" w:rsidR="00F6766E" w:rsidRPr="007224C3" w:rsidRDefault="00F6766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Предупредить т.Кравчука, что он несет перед ГОКО персональную ответственность за выполнение настоящего постановления.</w:t>
      </w:r>
    </w:p>
    <w:p w14:paraId="4674D47D" w14:textId="77777777" w:rsidR="00F6766E" w:rsidRPr="007224C3" w:rsidRDefault="00F6766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Обязать секретарей обкомов ВКП(б): Горьковского - т.Родионова, Вологодского - т.Николаева, Ива</w:t>
      </w:r>
      <w:r w:rsidRPr="007224C3">
        <w:rPr>
          <w:rFonts w:ascii="Times New Roman" w:hAnsi="Times New Roman"/>
          <w:color w:val="000000" w:themeColor="text1"/>
          <w:sz w:val="16"/>
          <w:szCs w:val="16"/>
        </w:rPr>
        <w:softHyphen/>
        <w:t>новского - т.Пальцева, Архангельского - т.Огородникова, Кировского - т.Лукьянова, Марийской АССР - т.Навозова, Свердловского - т.Андрианова, Новосибирского - т.Кулагина, Кемеровского - т.Задионченко при всех усло</w:t>
      </w:r>
      <w:r w:rsidRPr="007224C3">
        <w:rPr>
          <w:rFonts w:ascii="Times New Roman" w:hAnsi="Times New Roman"/>
          <w:color w:val="000000" w:themeColor="text1"/>
          <w:sz w:val="16"/>
          <w:szCs w:val="16"/>
        </w:rPr>
        <w:softHyphen/>
        <w:t>виях .выполнить распоряжение ГОКО № 4974с от 18 января с.г. "О вывозке на пристанционные базы всего наличия уксусно-кальциевого порошка, имеющегося на предприя</w:t>
      </w:r>
      <w:r w:rsidRPr="007224C3">
        <w:rPr>
          <w:rFonts w:ascii="Times New Roman" w:hAnsi="Times New Roman"/>
          <w:color w:val="000000" w:themeColor="text1"/>
          <w:sz w:val="16"/>
          <w:szCs w:val="16"/>
        </w:rPr>
        <w:softHyphen/>
        <w:t>тиях УПК при СНК РСФСР</w:t>
      </w:r>
    </w:p>
    <w:p w14:paraId="0B089847" w14:textId="77777777" w:rsidR="00F6766E" w:rsidRPr="007224C3" w:rsidRDefault="00F6766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Обязать НКО - т.Смородинова:</w:t>
      </w:r>
    </w:p>
    <w:p w14:paraId="63C69F9A" w14:textId="77777777" w:rsidR="00F6766E" w:rsidRPr="007224C3" w:rsidRDefault="00F6766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 а) направить во П квартале с.г. на лесохимические завода Наркомлеса СССР 3000 человек из числа военнообя</w:t>
      </w:r>
      <w:r w:rsidRPr="007224C3">
        <w:rPr>
          <w:rFonts w:ascii="Times New Roman" w:hAnsi="Times New Roman"/>
          <w:color w:val="000000" w:themeColor="text1"/>
          <w:sz w:val="16"/>
          <w:szCs w:val="16"/>
        </w:rPr>
        <w:softHyphen/>
        <w:t>занных, не. годных к строевой олуабе, но годных к физи</w:t>
      </w:r>
      <w:r w:rsidRPr="007224C3">
        <w:rPr>
          <w:rFonts w:ascii="Times New Roman" w:hAnsi="Times New Roman"/>
          <w:color w:val="000000" w:themeColor="text1"/>
          <w:sz w:val="16"/>
          <w:szCs w:val="16"/>
        </w:rPr>
        <w:softHyphen/>
        <w:t>ческому труду, в том числе:</w:t>
      </w:r>
    </w:p>
    <w:p w14:paraId="55E5BF8B" w14:textId="77777777" w:rsidR="00F6766E" w:rsidRPr="007224C3" w:rsidRDefault="00F6766E" w:rsidP="007224C3">
      <w:pPr>
        <w:tabs>
          <w:tab w:val="left" w:pos="4270"/>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на Сявский. лесхимкомбинат - 2000. человек. </w:t>
      </w:r>
    </w:p>
    <w:p w14:paraId="69F22736" w14:textId="77777777" w:rsidR="00F6766E" w:rsidRPr="007224C3" w:rsidRDefault="00F6766E" w:rsidP="007224C3">
      <w:pPr>
        <w:tabs>
          <w:tab w:val="left" w:pos="4270"/>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Дмитриевский - 500</w:t>
      </w:r>
    </w:p>
    <w:p w14:paraId="09D73C28" w14:textId="77777777" w:rsidR="00F6766E" w:rsidRPr="007224C3" w:rsidRDefault="00F6766E" w:rsidP="007224C3">
      <w:pPr>
        <w:tabs>
          <w:tab w:val="left" w:pos="2898"/>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Ашинский - 500</w:t>
      </w:r>
    </w:p>
    <w:p w14:paraId="212B6F79" w14:textId="77777777" w:rsidR="00F6766E" w:rsidRPr="007224C3" w:rsidRDefault="00F6766E" w:rsidP="007224C3">
      <w:pPr>
        <w:tabs>
          <w:tab w:val="left" w:pos="890"/>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б) до 1 мая выделить Главхимпрому НКМП </w:t>
      </w:r>
      <w:r w:rsidRPr="007224C3">
        <w:rPr>
          <w:rFonts w:ascii="Times New Roman" w:hAnsi="Times New Roman"/>
          <w:color w:val="000000" w:themeColor="text1"/>
          <w:sz w:val="16"/>
          <w:szCs w:val="16"/>
          <w:lang w:val="en-US"/>
        </w:rPr>
        <w:t>P</w:t>
      </w:r>
      <w:r w:rsidRPr="007224C3">
        <w:rPr>
          <w:rFonts w:ascii="Times New Roman" w:hAnsi="Times New Roman"/>
          <w:color w:val="000000" w:themeColor="text1"/>
          <w:sz w:val="16"/>
          <w:szCs w:val="16"/>
        </w:rPr>
        <w:t>СФС</w:t>
      </w:r>
      <w:r w:rsidRPr="007224C3">
        <w:rPr>
          <w:rFonts w:ascii="Times New Roman" w:hAnsi="Times New Roman"/>
          <w:color w:val="000000" w:themeColor="text1"/>
          <w:sz w:val="16"/>
          <w:szCs w:val="16"/>
          <w:lang w:val="en-US"/>
        </w:rPr>
        <w:t>P</w:t>
      </w:r>
      <w:r w:rsidRPr="007224C3">
        <w:rPr>
          <w:rFonts w:ascii="Times New Roman" w:hAnsi="Times New Roman"/>
          <w:color w:val="000000" w:themeColor="text1"/>
          <w:sz w:val="16"/>
          <w:szCs w:val="16"/>
        </w:rPr>
        <w:t xml:space="preserve"> 150 человек ив числа военнообязанных не годных к строевой службе, но годных к физическому - труду;</w:t>
      </w:r>
    </w:p>
    <w:p w14:paraId="1A603D7E" w14:textId="77777777" w:rsidR="00F6766E" w:rsidRPr="007224C3" w:rsidRDefault="00F6766E" w:rsidP="007224C3">
      <w:pPr>
        <w:tabs>
          <w:tab w:val="left" w:pos="877"/>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передать до 1 июля с.г. в распоряжение Наркомхимпрома 150 человек специалистов - лак окрасочников и Наркомлесу СССР 20 человек специалистов лесохимиков по представляемым ими спискам в счет общего количества 3000 человек, выделяемых Наркомлесу СССР.</w:t>
      </w:r>
    </w:p>
    <w:p w14:paraId="7923B7A7" w14:textId="77777777" w:rsidR="00F6766E" w:rsidRPr="007224C3" w:rsidRDefault="00F6766E" w:rsidP="007224C3">
      <w:pPr>
        <w:tabs>
          <w:tab w:val="left" w:pos="993"/>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Обязать Наркомлес СССР т.Салтыкова обеспечить сборку и монтаж, а Наркомстрой - т.Гинзбурга обеспечить в течение П и Ш кварталов 1944 года обмуровку 10 штук новых реторт для выработки уксусной кислоты. на Ашиноком лесхимкомбинате Наркомл</w:t>
      </w:r>
      <w:r w:rsidRPr="007224C3">
        <w:rPr>
          <w:rFonts w:ascii="Times New Roman" w:hAnsi="Times New Roman"/>
          <w:color w:val="000000" w:themeColor="text1"/>
          <w:sz w:val="16"/>
          <w:szCs w:val="16"/>
          <w:lang w:val="en-US"/>
        </w:rPr>
        <w:t>eca</w:t>
      </w:r>
      <w:r w:rsidRPr="007224C3">
        <w:rPr>
          <w:rFonts w:ascii="Times New Roman" w:hAnsi="Times New Roman"/>
          <w:color w:val="000000" w:themeColor="text1"/>
          <w:sz w:val="16"/>
          <w:szCs w:val="16"/>
        </w:rPr>
        <w:t xml:space="preserve">  СССР, а также оказать техническую помощь Наркомлесу в сборке и монтаже реторт.</w:t>
      </w:r>
    </w:p>
    <w:p w14:paraId="6A497A4D" w14:textId="77777777" w:rsidR="00F6766E" w:rsidRPr="007224C3" w:rsidRDefault="00F6766E" w:rsidP="007224C3">
      <w:pPr>
        <w:tabs>
          <w:tab w:val="left" w:pos="993"/>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Обязать Наркомминвооружения - т.Паршина при всех условиях изготовить на Кинешемском заводе им.Кали</w:t>
      </w:r>
      <w:r w:rsidRPr="007224C3">
        <w:rPr>
          <w:rFonts w:ascii="Times New Roman" w:hAnsi="Times New Roman"/>
          <w:color w:val="000000" w:themeColor="text1"/>
          <w:sz w:val="16"/>
          <w:szCs w:val="16"/>
        </w:rPr>
        <w:softHyphen/>
        <w:t xml:space="preserve">нина в 1944 г. 10 шт. комплектных аппаратов Линде для изготовления уксусной кислоты по порошковому методу,, в том числе: для Дмитриевского лесохимзавода Наркомлеса РСФСР: во П квартале с.г. 2 штуки, в </w:t>
      </w:r>
      <w:r w:rsidRPr="007224C3">
        <w:rPr>
          <w:rFonts w:ascii="Times New Roman" w:hAnsi="Times New Roman"/>
          <w:color w:val="000000" w:themeColor="text1"/>
          <w:sz w:val="16"/>
          <w:szCs w:val="16"/>
          <w:lang w:val="en-US"/>
        </w:rPr>
        <w:t>III</w:t>
      </w:r>
      <w:r w:rsidRPr="007224C3">
        <w:rPr>
          <w:rFonts w:ascii="Times New Roman" w:hAnsi="Times New Roman"/>
          <w:color w:val="000000" w:themeColor="text1"/>
          <w:sz w:val="16"/>
          <w:szCs w:val="16"/>
        </w:rPr>
        <w:t xml:space="preserve"> квартале с.г, -4 штуки и в 1У квартале с.г. - 1 штуку, для Нижне-Мальцевского химзавода в Ш квартале с.г. 4 штуки и в 1У квартале с.г. - 2 штуки;</w:t>
      </w:r>
    </w:p>
    <w:p w14:paraId="1FE5C6E6" w14:textId="77777777" w:rsidR="00F6766E" w:rsidRPr="007224C3" w:rsidRDefault="00F6766E" w:rsidP="007224C3">
      <w:pPr>
        <w:tabs>
          <w:tab w:val="left" w:pos="993"/>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Обязать Главснабугодь - т.Курмашева обеспечить во П квартале о.г. бесперебойную и равномерную по меся</w:t>
      </w:r>
      <w:r w:rsidRPr="007224C3">
        <w:rPr>
          <w:rFonts w:ascii="Times New Roman" w:hAnsi="Times New Roman"/>
          <w:color w:val="000000" w:themeColor="text1"/>
          <w:sz w:val="16"/>
          <w:szCs w:val="16"/>
        </w:rPr>
        <w:softHyphen/>
        <w:t>цам поставку угля заводам Наркомлеса СССР и Наркомпище</w:t>
      </w:r>
      <w:r w:rsidRPr="007224C3">
        <w:rPr>
          <w:rFonts w:ascii="Times New Roman" w:hAnsi="Times New Roman"/>
          <w:color w:val="000000" w:themeColor="text1"/>
          <w:sz w:val="16"/>
          <w:szCs w:val="16"/>
        </w:rPr>
        <w:softHyphen/>
        <w:t>прома СССР за счет их фондов и заводам Наркомместпрома РСФСР за счет фондов СНК РСФСР:</w:t>
      </w:r>
    </w:p>
    <w:p w14:paraId="4D0C20BF" w14:textId="77777777" w:rsidR="00F6766E" w:rsidRPr="007224C3" w:rsidRDefault="00F6766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Ашинскоцу лесохимкомбинату кузнецкого угля 6000 тн.</w:t>
      </w:r>
    </w:p>
    <w:p w14:paraId="65512C41" w14:textId="77777777" w:rsidR="00F6766E" w:rsidRPr="007224C3" w:rsidRDefault="00F6766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Наркомлеса СССР - челябинского 7000</w:t>
      </w:r>
    </w:p>
    <w:p w14:paraId="761BB6E4" w14:textId="77777777" w:rsidR="00F6766E" w:rsidRPr="007224C3" w:rsidRDefault="00F6766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Дмитриевскому лесохимком</w:t>
      </w:r>
      <w:r w:rsidRPr="007224C3">
        <w:rPr>
          <w:rFonts w:ascii="Times New Roman" w:hAnsi="Times New Roman"/>
          <w:color w:val="000000" w:themeColor="text1"/>
          <w:sz w:val="16"/>
          <w:szCs w:val="16"/>
        </w:rPr>
        <w:tab/>
        <w:t xml:space="preserve"> донецкого угля .-600. "</w:t>
      </w:r>
    </w:p>
    <w:p w14:paraId="20443DA5" w14:textId="77777777" w:rsidR="00F6766E" w:rsidRPr="007224C3" w:rsidRDefault="00F6766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бинату Наркомлеса СССР</w:t>
      </w:r>
      <w:r w:rsidRPr="007224C3">
        <w:rPr>
          <w:rFonts w:ascii="Times New Roman" w:hAnsi="Times New Roman"/>
          <w:color w:val="000000" w:themeColor="text1"/>
          <w:sz w:val="16"/>
          <w:szCs w:val="16"/>
        </w:rPr>
        <w:tab/>
        <w:t>подмосковного - 5400</w:t>
      </w:r>
    </w:p>
    <w:p w14:paraId="74FD9D4F" w14:textId="77777777" w:rsidR="00F6766E" w:rsidRPr="007224C3" w:rsidRDefault="00F6766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Талицкому бутаноловому</w:t>
      </w:r>
    </w:p>
    <w:p w14:paraId="4088CCA5" w14:textId="77777777" w:rsidR="00F6766E" w:rsidRPr="007224C3" w:rsidRDefault="00F6766E" w:rsidP="007224C3">
      <w:pPr>
        <w:tabs>
          <w:tab w:val="left" w:pos="3269"/>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заводу НКПП СССР</w:t>
      </w:r>
      <w:r w:rsidRPr="007224C3">
        <w:rPr>
          <w:rFonts w:ascii="Times New Roman" w:hAnsi="Times New Roman"/>
          <w:color w:val="000000" w:themeColor="text1"/>
          <w:sz w:val="16"/>
          <w:szCs w:val="16"/>
        </w:rPr>
        <w:tab/>
        <w:t>кузнецкого угля 7000 тн.</w:t>
      </w:r>
    </w:p>
    <w:p w14:paraId="5B1FB3FA" w14:textId="77777777" w:rsidR="00F6766E" w:rsidRPr="007224C3" w:rsidRDefault="00F6766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заводу "Октябрьская ре</w:t>
      </w:r>
      <w:r w:rsidRPr="007224C3">
        <w:rPr>
          <w:rFonts w:ascii="Times New Roman" w:hAnsi="Times New Roman"/>
          <w:color w:val="000000" w:themeColor="text1"/>
          <w:sz w:val="16"/>
          <w:szCs w:val="16"/>
        </w:rPr>
        <w:softHyphen/>
        <w:t>волюция"НКМП РСФСР</w:t>
      </w:r>
      <w:r w:rsidRPr="007224C3">
        <w:rPr>
          <w:rFonts w:ascii="Times New Roman" w:hAnsi="Times New Roman"/>
          <w:color w:val="000000" w:themeColor="text1"/>
          <w:sz w:val="16"/>
          <w:szCs w:val="16"/>
        </w:rPr>
        <w:tab/>
        <w:t xml:space="preserve"> куэнецкого угля 900</w:t>
      </w:r>
    </w:p>
    <w:p w14:paraId="6A485615" w14:textId="77777777" w:rsidR="00F6766E" w:rsidRPr="007224C3" w:rsidRDefault="00F6766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Нижне-мальцевскому хим- </w:t>
      </w:r>
      <w:r w:rsidRPr="007224C3">
        <w:rPr>
          <w:rFonts w:ascii="Times New Roman" w:hAnsi="Times New Roman"/>
          <w:color w:val="000000" w:themeColor="text1"/>
          <w:sz w:val="16"/>
          <w:szCs w:val="16"/>
        </w:rPr>
        <w:tab/>
        <w:t>подмосковного</w:t>
      </w:r>
    </w:p>
    <w:p w14:paraId="741B62C8" w14:textId="77777777" w:rsidR="00F6766E" w:rsidRPr="007224C3" w:rsidRDefault="00F6766E" w:rsidP="007224C3">
      <w:pPr>
        <w:tabs>
          <w:tab w:val="left" w:pos="3255"/>
          <w:tab w:val="left" w:pos="5051"/>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заводу НКМП </w:t>
      </w:r>
      <w:r w:rsidRPr="007224C3">
        <w:rPr>
          <w:rFonts w:ascii="Times New Roman" w:hAnsi="Times New Roman"/>
          <w:color w:val="000000" w:themeColor="text1"/>
          <w:sz w:val="16"/>
          <w:szCs w:val="16"/>
          <w:lang w:val="en-US"/>
        </w:rPr>
        <w:t>PCS</w:t>
      </w:r>
      <w:r w:rsidRPr="007224C3">
        <w:rPr>
          <w:rFonts w:ascii="Times New Roman" w:hAnsi="Times New Roman"/>
          <w:color w:val="000000" w:themeColor="text1"/>
          <w:sz w:val="16"/>
          <w:szCs w:val="16"/>
        </w:rPr>
        <w:t>/</w:t>
      </w:r>
      <w:r w:rsidRPr="007224C3">
        <w:rPr>
          <w:rFonts w:ascii="Times New Roman" w:hAnsi="Times New Roman"/>
          <w:color w:val="000000" w:themeColor="text1"/>
          <w:sz w:val="16"/>
          <w:szCs w:val="16"/>
          <w:lang w:val="en-US"/>
        </w:rPr>
        <w:t>CP</w:t>
      </w:r>
      <w:r w:rsidRPr="007224C3">
        <w:rPr>
          <w:rFonts w:ascii="Times New Roman" w:hAnsi="Times New Roman"/>
          <w:color w:val="000000" w:themeColor="text1"/>
          <w:sz w:val="16"/>
          <w:szCs w:val="16"/>
        </w:rPr>
        <w:tab/>
        <w:t>угля</w:t>
      </w:r>
      <w:r w:rsidRPr="007224C3">
        <w:rPr>
          <w:rFonts w:ascii="Times New Roman" w:hAnsi="Times New Roman"/>
          <w:color w:val="000000" w:themeColor="text1"/>
          <w:sz w:val="16"/>
          <w:szCs w:val="16"/>
        </w:rPr>
        <w:tab/>
        <w:t>1200</w:t>
      </w:r>
    </w:p>
    <w:p w14:paraId="59A975DC" w14:textId="77777777" w:rsidR="00F6766E" w:rsidRPr="007224C3" w:rsidRDefault="00F6766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Отгрузку угля производить до 20 числа каждого ме</w:t>
      </w:r>
      <w:r w:rsidRPr="007224C3">
        <w:rPr>
          <w:rFonts w:ascii="Times New Roman" w:hAnsi="Times New Roman"/>
          <w:color w:val="000000" w:themeColor="text1"/>
          <w:sz w:val="16"/>
          <w:szCs w:val="16"/>
        </w:rPr>
        <w:softHyphen/>
        <w:t>сяца.</w:t>
      </w:r>
    </w:p>
    <w:p w14:paraId="551B65A4" w14:textId="77777777" w:rsidR="00F6766E" w:rsidRPr="007224C3" w:rsidRDefault="00F6766E" w:rsidP="007224C3">
      <w:pPr>
        <w:tabs>
          <w:tab w:val="left" w:pos="1000"/>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 Отметить, что Наркомстанкостроения не выполнил постановление ГОКО №</w:t>
      </w:r>
      <w:r w:rsidRPr="007224C3">
        <w:rPr>
          <w:rStyle w:val="9pt0pt"/>
          <w:rFonts w:ascii="Times New Roman" w:hAnsi="Times New Roman" w:cs="Times New Roman"/>
          <w:color w:val="000000" w:themeColor="text1"/>
          <w:spacing w:val="0"/>
          <w:sz w:val="16"/>
          <w:szCs w:val="16"/>
        </w:rPr>
        <w:t xml:space="preserve"> 4517</w:t>
      </w:r>
      <w:r w:rsidRPr="007224C3">
        <w:rPr>
          <w:rFonts w:ascii="Times New Roman" w:hAnsi="Times New Roman"/>
          <w:color w:val="000000" w:themeColor="text1"/>
          <w:sz w:val="16"/>
          <w:szCs w:val="16"/>
        </w:rPr>
        <w:t xml:space="preserve"> от 12 октября 1943 года о по</w:t>
      </w:r>
      <w:r w:rsidRPr="007224C3">
        <w:rPr>
          <w:rFonts w:ascii="Times New Roman" w:hAnsi="Times New Roman"/>
          <w:color w:val="000000" w:themeColor="text1"/>
          <w:sz w:val="16"/>
          <w:szCs w:val="16"/>
        </w:rPr>
        <w:softHyphen/>
        <w:t>ставке в 1У квартале</w:t>
      </w:r>
      <w:r w:rsidRPr="007224C3">
        <w:rPr>
          <w:rStyle w:val="9pt0pt"/>
          <w:rFonts w:ascii="Times New Roman" w:hAnsi="Times New Roman" w:cs="Times New Roman"/>
          <w:color w:val="000000" w:themeColor="text1"/>
          <w:spacing w:val="0"/>
          <w:sz w:val="16"/>
          <w:szCs w:val="16"/>
        </w:rPr>
        <w:t xml:space="preserve"> 1943</w:t>
      </w:r>
      <w:r w:rsidRPr="007224C3">
        <w:rPr>
          <w:rFonts w:ascii="Times New Roman" w:hAnsi="Times New Roman"/>
          <w:color w:val="000000" w:themeColor="text1"/>
          <w:sz w:val="16"/>
          <w:szCs w:val="16"/>
        </w:rPr>
        <w:t xml:space="preserve"> года лесхимзаводам Наркомлеса СССР окатов к техническим тележкам.</w:t>
      </w:r>
    </w:p>
    <w:p w14:paraId="171733ED" w14:textId="77777777" w:rsidR="00F6766E" w:rsidRPr="007224C3" w:rsidRDefault="00F6766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Обязать Наркомстанкостроения - т.Ефремова при всех условиях до 1 мая с.г. поставить Нарком лесу СС</w:t>
      </w:r>
      <w:r w:rsidRPr="007224C3">
        <w:rPr>
          <w:rFonts w:ascii="Times New Roman" w:hAnsi="Times New Roman"/>
          <w:color w:val="000000" w:themeColor="text1"/>
          <w:sz w:val="16"/>
          <w:szCs w:val="16"/>
          <w:lang w:val="en-US"/>
        </w:rPr>
        <w:t>CP</w:t>
      </w:r>
      <w:r w:rsidRPr="007224C3">
        <w:rPr>
          <w:rFonts w:ascii="Times New Roman" w:hAnsi="Times New Roman"/>
          <w:color w:val="000000" w:themeColor="text1"/>
          <w:sz w:val="16"/>
          <w:szCs w:val="16"/>
        </w:rPr>
        <w:t>-.600 комплектов скатов для технологических тележек, выделенных ему, согласно постановлению ГОКО № 4317 от 12 октяб</w:t>
      </w:r>
      <w:r w:rsidRPr="007224C3">
        <w:rPr>
          <w:rFonts w:ascii="Times New Roman" w:hAnsi="Times New Roman"/>
          <w:color w:val="000000" w:themeColor="text1"/>
          <w:sz w:val="16"/>
          <w:szCs w:val="16"/>
        </w:rPr>
        <w:softHyphen/>
        <w:t>ря 1943 года.</w:t>
      </w:r>
    </w:p>
    <w:p w14:paraId="702FBB6C" w14:textId="77777777" w:rsidR="00F6766E" w:rsidRPr="007224C3" w:rsidRDefault="00F6766E" w:rsidP="007224C3">
      <w:pPr>
        <w:tabs>
          <w:tab w:val="left" w:pos="993"/>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Сбязать Наркометройматериалов СССР - т.Соснина поставить во П квартале с.г. Талицкому ацетоно-бутако</w:t>
      </w:r>
      <w:r w:rsidRPr="007224C3">
        <w:rPr>
          <w:rFonts w:ascii="Times New Roman" w:hAnsi="Times New Roman"/>
          <w:color w:val="000000" w:themeColor="text1"/>
          <w:sz w:val="16"/>
          <w:szCs w:val="16"/>
        </w:rPr>
        <w:softHyphen/>
        <w:t>лов ому заводу НКПП СССР 23 тыс.кбм.дров, равными"партия</w:t>
      </w:r>
      <w:r w:rsidRPr="007224C3">
        <w:rPr>
          <w:rFonts w:ascii="Times New Roman" w:hAnsi="Times New Roman"/>
          <w:color w:val="000000" w:themeColor="text1"/>
          <w:sz w:val="16"/>
          <w:szCs w:val="16"/>
        </w:rPr>
        <w:softHyphen/>
        <w:t>ми по месяцам.</w:t>
      </w:r>
    </w:p>
    <w:p w14:paraId="72362481" w14:textId="77777777" w:rsidR="00F6766E" w:rsidRPr="007224C3" w:rsidRDefault="00F6766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Для .обеспечения поставок наркомстройматериалов дров для Талицкото ацетоно-бутанолового завода, обязать Свердловский облисполком - т.Недосекина выделить Талиц</w:t>
      </w:r>
      <w:r w:rsidRPr="007224C3">
        <w:rPr>
          <w:rFonts w:ascii="Times New Roman" w:hAnsi="Times New Roman"/>
          <w:color w:val="000000" w:themeColor="text1"/>
          <w:sz w:val="16"/>
          <w:szCs w:val="16"/>
        </w:rPr>
        <w:softHyphen/>
        <w:t>кому леспромхозу Наркомстройматериалов СССР с 25 марта 1944 года - ЗОС человек рабочих и 200 подвод с возчика</w:t>
      </w:r>
      <w:r w:rsidRPr="007224C3">
        <w:rPr>
          <w:rFonts w:ascii="Times New Roman" w:hAnsi="Times New Roman"/>
          <w:color w:val="000000" w:themeColor="text1"/>
          <w:sz w:val="16"/>
          <w:szCs w:val="16"/>
        </w:rPr>
        <w:softHyphen/>
        <w:t>ми, не сни год этих количеств на протяжении всего года.</w:t>
      </w:r>
    </w:p>
    <w:p w14:paraId="222355E3" w14:textId="77777777" w:rsidR="00F6766E" w:rsidRPr="007224C3" w:rsidRDefault="00F6766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Обязать Главвоенпромстрой при СНК СССР - т.Про</w:t>
      </w:r>
      <w:r w:rsidRPr="007224C3">
        <w:rPr>
          <w:rFonts w:ascii="Times New Roman" w:hAnsi="Times New Roman"/>
          <w:color w:val="000000" w:themeColor="text1"/>
          <w:sz w:val="16"/>
          <w:szCs w:val="16"/>
        </w:rPr>
        <w:softHyphen/>
        <w:t>кофьева выполнить в 1944 г. строительно-монтажные работы по заводу № 34 на сумму 3 млн.рублей, в том числе в 1 квартале с.г. 0,8 млн. рублей.</w:t>
      </w:r>
    </w:p>
    <w:p w14:paraId="40A2A408" w14:textId="77777777" w:rsidR="00F6766E" w:rsidRPr="007224C3" w:rsidRDefault="00F6766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Основные об"ёкты закончить в следующие сроки:</w:t>
      </w:r>
    </w:p>
    <w:p w14:paraId="3A7B9415" w14:textId="77777777" w:rsidR="00F6766E" w:rsidRPr="007224C3" w:rsidRDefault="00F6766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Склад растворителей (1-я очередь) в мае с.г.</w:t>
      </w:r>
    </w:p>
    <w:p w14:paraId="31ECC6EA" w14:textId="77777777" w:rsidR="00F6766E" w:rsidRPr="007224C3" w:rsidRDefault="00F6766E" w:rsidP="007224C3">
      <w:pPr>
        <w:tabs>
          <w:tab w:val="left" w:pos="3924"/>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Тарный цех в сентябре с.г.</w:t>
      </w:r>
    </w:p>
    <w:p w14:paraId="6397DE51" w14:textId="77777777" w:rsidR="00F6766E" w:rsidRPr="007224C3" w:rsidRDefault="00F6766E" w:rsidP="007224C3">
      <w:pPr>
        <w:tabs>
          <w:tab w:val="left" w:pos="3917"/>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Цех цинковых белил в июне с.г.</w:t>
      </w:r>
    </w:p>
    <w:p w14:paraId="5438A510" w14:textId="77777777" w:rsidR="00F6766E" w:rsidRPr="007224C3" w:rsidRDefault="00F6766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Паропровод от ЧГРЭС со всеми внешними магистралями и внут</w:t>
      </w:r>
      <w:r w:rsidRPr="007224C3">
        <w:rPr>
          <w:rFonts w:ascii="Times New Roman" w:hAnsi="Times New Roman"/>
          <w:color w:val="000000" w:themeColor="text1"/>
          <w:sz w:val="16"/>
          <w:szCs w:val="16"/>
        </w:rPr>
        <w:softHyphen/>
        <w:t>ренними коммуникациями в январе 1945 г.</w:t>
      </w:r>
    </w:p>
    <w:p w14:paraId="1C213646" w14:textId="77777777" w:rsidR="00F6766E" w:rsidRPr="007224C3" w:rsidRDefault="00F6766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Подтвердить к выполнению постановление ГОКО от 22 октября</w:t>
      </w:r>
      <w:r w:rsidRPr="007224C3">
        <w:rPr>
          <w:rStyle w:val="Gungsuh75pt"/>
          <w:rFonts w:ascii="Times New Roman" w:hAnsi="Times New Roman" w:cs="Times New Roman"/>
          <w:color w:val="000000" w:themeColor="text1"/>
          <w:sz w:val="16"/>
          <w:szCs w:val="16"/>
        </w:rPr>
        <w:t xml:space="preserve"> 19</w:t>
      </w:r>
      <w:r w:rsidRPr="007224C3">
        <w:rPr>
          <w:rFonts w:ascii="Times New Roman" w:hAnsi="Times New Roman"/>
          <w:color w:val="000000" w:themeColor="text1"/>
          <w:sz w:val="16"/>
          <w:szCs w:val="16"/>
        </w:rPr>
        <w:t>43 года о закупке и поставке ив импорта Наркомхимпрому бутилацетата, этилацетата, окиси хрома, хромпика, литольшерлаха.</w:t>
      </w:r>
    </w:p>
    <w:p w14:paraId="412BDEA4" w14:textId="77777777" w:rsidR="00F6766E" w:rsidRPr="007224C3" w:rsidRDefault="00F6766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Обязать Наркомвнешторг - т.Микояна:</w:t>
      </w:r>
    </w:p>
    <w:p w14:paraId="4B0910CB" w14:textId="77777777" w:rsidR="00F6766E" w:rsidRPr="007224C3" w:rsidRDefault="00F6766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обеспечить ввод и поставку Наркомхимпрому ука</w:t>
      </w:r>
      <w:r w:rsidRPr="007224C3">
        <w:rPr>
          <w:rFonts w:ascii="Times New Roman" w:hAnsi="Times New Roman"/>
          <w:color w:val="000000" w:themeColor="text1"/>
          <w:sz w:val="16"/>
          <w:szCs w:val="16"/>
        </w:rPr>
        <w:softHyphen/>
        <w:t>занных материалов в течение.1944 года, согласно приложению № 8;</w:t>
      </w:r>
    </w:p>
    <w:p w14:paraId="35D62612" w14:textId="77777777" w:rsidR="00F6766E" w:rsidRPr="007224C3" w:rsidRDefault="00F6766E" w:rsidP="007224C3">
      <w:pPr>
        <w:tabs>
          <w:tab w:val="left" w:pos="819"/>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дополнительно закупить и поставить Наркомхим</w:t>
      </w:r>
      <w:r w:rsidRPr="007224C3">
        <w:rPr>
          <w:rFonts w:ascii="Times New Roman" w:hAnsi="Times New Roman"/>
          <w:color w:val="000000" w:themeColor="text1"/>
          <w:sz w:val="16"/>
          <w:szCs w:val="16"/>
        </w:rPr>
        <w:softHyphen/>
        <w:t>прому в 1944 году 500 тонн колоксилина, 400 тонн смолы эстероль, 2 тонны этидцеллюлозы, 2 тонны ацетобутирато-целлюлозы,5 тонн металлического кадмия и 500 тонн дибутилфтолата;в) выделить во П квартале с.г. лакокрасочным заводам Наркомхимпрома за счет импортных поступлений 100 тн. дибутилфто лата.</w:t>
      </w:r>
    </w:p>
    <w:p w14:paraId="737F50B6" w14:textId="77777777" w:rsidR="00F6766E" w:rsidRPr="007224C3" w:rsidRDefault="00F6766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Для обеспечения научно-исследовательской работы и контроля за качеством нитропродукции обязать Наркомвнешторг т.Крутикова закупить и поставить .в 1944 году для лакокрасочных заводов Наркомхимпрома: 3.штуки аппаратов "Атлас" 2 штуки разрывных машин типа "Шоппера"</w:t>
      </w:r>
    </w:p>
    <w:p w14:paraId="76483D97" w14:textId="77777777" w:rsidR="00F6766E" w:rsidRPr="007224C3" w:rsidRDefault="00F6766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штук аппаратов для измерения толщины нитропленки.</w:t>
      </w:r>
    </w:p>
    <w:p w14:paraId="4C6FC437" w14:textId="77777777" w:rsidR="00F6766E" w:rsidRPr="007224C3" w:rsidRDefault="00F6766E" w:rsidP="007224C3">
      <w:pPr>
        <w:tabs>
          <w:tab w:val="left" w:pos="924"/>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Поручить Наркомвнешторгу разместить заказ на импорт в 1945 году для Наркомхимпрома:</w:t>
      </w:r>
    </w:p>
    <w:p w14:paraId="76C73D48" w14:textId="77777777" w:rsidR="00F6766E" w:rsidRPr="007224C3" w:rsidRDefault="00F6766E" w:rsidP="007224C3">
      <w:pPr>
        <w:tabs>
          <w:tab w:val="left" w:pos="861"/>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комплектного оборудования завода фталевого ангидрида мощностью 2000-3000 тонн в год</w:t>
      </w:r>
      <w:r w:rsidRPr="007224C3">
        <w:rPr>
          <w:rStyle w:val="Consolas95pt"/>
          <w:rFonts w:ascii="Times New Roman" w:hAnsi="Times New Roman" w:cs="Times New Roman"/>
          <w:color w:val="000000" w:themeColor="text1"/>
          <w:sz w:val="16"/>
          <w:szCs w:val="16"/>
        </w:rPr>
        <w:t>;</w:t>
      </w:r>
    </w:p>
    <w:p w14:paraId="5486E20D" w14:textId="77777777" w:rsidR="00F6766E" w:rsidRPr="007224C3" w:rsidRDefault="00F6766E" w:rsidP="007224C3">
      <w:pPr>
        <w:tabs>
          <w:tab w:val="left" w:pos="830"/>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на два полных комплекта оборудования мастерских по изготовлению металлических бидонов, емкостью 16-30 килограммов, производительностью 1500 бидонов в сутки каждого комплекта.</w:t>
      </w:r>
    </w:p>
    <w:p w14:paraId="559ADFF8" w14:textId="77777777" w:rsidR="00F6766E" w:rsidRPr="007224C3" w:rsidRDefault="00F6766E" w:rsidP="007224C3">
      <w:pPr>
        <w:tabs>
          <w:tab w:val="left" w:pos="914"/>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Обязать НКПС (т.Кагановича):</w:t>
      </w:r>
    </w:p>
    <w:p w14:paraId="318EFF5E" w14:textId="77777777" w:rsidR="00F6766E" w:rsidRPr="007224C3" w:rsidRDefault="00F6766E" w:rsidP="007224C3">
      <w:pPr>
        <w:tabs>
          <w:tab w:val="left" w:pos="836"/>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обеспечить бесперебойную подачу вагонов и цис</w:t>
      </w:r>
      <w:r w:rsidRPr="007224C3">
        <w:rPr>
          <w:rFonts w:ascii="Times New Roman" w:hAnsi="Times New Roman"/>
          <w:color w:val="000000" w:themeColor="text1"/>
          <w:sz w:val="16"/>
          <w:szCs w:val="16"/>
        </w:rPr>
        <w:softHyphen/>
        <w:t>терн под отгрузку ацетона, бутанола, этилового спирта, бутилацетата, этилацетата, растительных масел, уйтспирита, хромпика и уксусно-кальциевого порошка;</w:t>
      </w:r>
    </w:p>
    <w:p w14:paraId="55E77D8F" w14:textId="77777777" w:rsidR="00F6766E" w:rsidRPr="007224C3" w:rsidRDefault="00F6766E" w:rsidP="007224C3">
      <w:pPr>
        <w:tabs>
          <w:tab w:val="left" w:pos="824"/>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установить специальное ежесуточное диспетчерское</w:t>
      </w:r>
      <w:r w:rsidRPr="007224C3">
        <w:rPr>
          <w:rStyle w:val="105pt"/>
          <w:rFonts w:eastAsia="Calibri"/>
          <w:color w:val="000000" w:themeColor="text1"/>
          <w:sz w:val="16"/>
          <w:szCs w:val="16"/>
        </w:rPr>
        <w:t xml:space="preserve"> </w:t>
      </w:r>
      <w:r w:rsidRPr="007224C3">
        <w:rPr>
          <w:rFonts w:ascii="Times New Roman" w:hAnsi="Times New Roman"/>
          <w:color w:val="000000" w:themeColor="text1"/>
          <w:sz w:val="16"/>
          <w:szCs w:val="16"/>
        </w:rPr>
        <w:t>наблюдение за подачей цистерн и вагонов под указанные грузы и продвижение их в адреса лесохимических заводов Наркомлеса СССР, лакокрасочных заводов Наркомхимпрома и Главхимпрома Наркомместпрома РСФСР.</w:t>
      </w:r>
    </w:p>
    <w:p w14:paraId="2CC8AA92" w14:textId="77777777" w:rsidR="00F6766E" w:rsidRPr="007224C3" w:rsidRDefault="00F6766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30. Обязать Наркомередмаш - т.Акопова и директора завода им.Сталина т.Лихачева поставить в апреле-мае с.г. автомашин по фондам соответствующих наркоматов, лесхимзаводам Наркомлеса СССР 10 штук, лакокрасочным заводам Наркомхимпрома -- 10 штук, ацетонобутаноловым заводам Наркомпищёпрома СССР -8 штук, заводам Главхимпрома - Наркомместпрома </w:t>
      </w:r>
      <w:r w:rsidRPr="007224C3">
        <w:rPr>
          <w:rFonts w:ascii="Times New Roman" w:hAnsi="Times New Roman"/>
          <w:color w:val="000000" w:themeColor="text1"/>
          <w:sz w:val="16"/>
          <w:szCs w:val="16"/>
          <w:lang w:val="en-US"/>
        </w:rPr>
        <w:t>PC</w:t>
      </w:r>
      <w:r w:rsidRPr="007224C3">
        <w:rPr>
          <w:rFonts w:ascii="Times New Roman" w:hAnsi="Times New Roman"/>
          <w:color w:val="000000" w:themeColor="text1"/>
          <w:sz w:val="16"/>
          <w:szCs w:val="16"/>
        </w:rPr>
        <w:t>ФСР - . 5 щтук, Журавскому охровому заводу Наркомстройматериалов РСФСР - 2 штуки, УПК при СНК РСФСР - 5 газогенераторных автомашин ЗИС-5 и Талицкому леспромхозу Наркомотройматериалов СССР - 5 автомашин ЗИС-5.</w:t>
      </w:r>
    </w:p>
    <w:p w14:paraId="294471CA" w14:textId="77777777" w:rsidR="00F6766E" w:rsidRPr="007224C3" w:rsidRDefault="00F6766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 Освободить на 1944. „год _ от мобил и за:ции в Красную Армию и на другие работы автомобильный и гужевой' транс</w:t>
      </w:r>
      <w:r w:rsidRPr="007224C3">
        <w:rPr>
          <w:rFonts w:ascii="Times New Roman" w:hAnsi="Times New Roman"/>
          <w:color w:val="000000" w:themeColor="text1"/>
          <w:sz w:val="16"/>
          <w:szCs w:val="16"/>
        </w:rPr>
        <w:softHyphen/>
        <w:t>порт лакокрасочных заводов Наркомхимпрома, лесохимических предприятий Наркомлеса СССР, ацетоно-бутаноловых заводов Наркомпищепрома СССР и заводов Глав химпрома НКМП РСФСР, выполняющих заказы Наркомавиапрома.</w:t>
      </w:r>
    </w:p>
    <w:p w14:paraId="41CE288D" w14:textId="77777777" w:rsidR="00F6766E" w:rsidRPr="007224C3" w:rsidRDefault="00F6766E" w:rsidP="007224C3">
      <w:pPr>
        <w:tabs>
          <w:tab w:val="left" w:pos="1053"/>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32. Выделить в распоряжение Наркомместпрома РСФСР для премирования работников предприятий и са</w:t>
      </w:r>
      <w:r w:rsidRPr="007224C3">
        <w:rPr>
          <w:rFonts w:ascii="Times New Roman" w:hAnsi="Times New Roman"/>
          <w:color w:val="000000" w:themeColor="text1"/>
          <w:sz w:val="16"/>
          <w:szCs w:val="16"/>
        </w:rPr>
        <w:softHyphen/>
        <w:t>мого Управления Главхимпрома Наркомместпрома 200 тыс. рублей за счет сверхплановых прибылей Главхимпрома НКМП РСФСР, а также для улучшения снабжения работ</w:t>
      </w:r>
      <w:r w:rsidRPr="007224C3">
        <w:rPr>
          <w:rFonts w:ascii="Times New Roman" w:hAnsi="Times New Roman"/>
          <w:color w:val="000000" w:themeColor="text1"/>
          <w:sz w:val="16"/>
          <w:szCs w:val="16"/>
        </w:rPr>
        <w:softHyphen/>
        <w:t>ников предприятий и самого Управления Главхимпрома 500 метров шерстяных тканей, 2000 метров хлопчато</w:t>
      </w:r>
      <w:r w:rsidRPr="007224C3">
        <w:rPr>
          <w:rFonts w:ascii="Times New Roman" w:hAnsi="Times New Roman"/>
          <w:color w:val="000000" w:themeColor="text1"/>
          <w:sz w:val="16"/>
          <w:szCs w:val="16"/>
        </w:rPr>
        <w:softHyphen/>
        <w:t>бумажных тканей и 500 пар обуви за счет фондов НКМП РСФСР.</w:t>
      </w:r>
    </w:p>
    <w:p w14:paraId="1CF67EB8" w14:textId="77777777" w:rsidR="00F6766E" w:rsidRPr="007224C3" w:rsidRDefault="00F6766E" w:rsidP="007224C3">
      <w:pPr>
        <w:tabs>
          <w:tab w:val="left" w:pos="1075"/>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33. Запретить Совнаркомам автономных республик и областным (краевым), городским и районным исполко</w:t>
      </w:r>
      <w:r w:rsidRPr="007224C3">
        <w:rPr>
          <w:rFonts w:ascii="Times New Roman" w:hAnsi="Times New Roman"/>
          <w:color w:val="000000" w:themeColor="text1"/>
          <w:sz w:val="16"/>
          <w:szCs w:val="16"/>
        </w:rPr>
        <w:softHyphen/>
        <w:t>мам депутатов трудящихся производить мобилизацию ра</w:t>
      </w:r>
      <w:r w:rsidRPr="007224C3">
        <w:rPr>
          <w:rFonts w:ascii="Times New Roman" w:hAnsi="Times New Roman"/>
          <w:color w:val="000000" w:themeColor="text1"/>
          <w:sz w:val="16"/>
          <w:szCs w:val="16"/>
        </w:rPr>
        <w:softHyphen/>
        <w:t xml:space="preserve">бочих, инаенерно-технических работников и автогужтранспорт с лесохимических предприятий Наркомлеса </w:t>
      </w:r>
      <w:r w:rsidRPr="007224C3">
        <w:rPr>
          <w:rFonts w:ascii="Times New Roman" w:hAnsi="Times New Roman"/>
          <w:color w:val="000000" w:themeColor="text1"/>
          <w:sz w:val="16"/>
          <w:szCs w:val="16"/>
          <w:lang w:val="en-US"/>
        </w:rPr>
        <w:t>CC</w:t>
      </w:r>
      <w:r w:rsidRPr="007224C3">
        <w:rPr>
          <w:rFonts w:ascii="Times New Roman" w:hAnsi="Times New Roman"/>
          <w:color w:val="000000" w:themeColor="text1"/>
          <w:sz w:val="16"/>
          <w:szCs w:val="16"/>
        </w:rPr>
        <w:t>С</w:t>
      </w:r>
      <w:r w:rsidRPr="007224C3">
        <w:rPr>
          <w:rFonts w:ascii="Times New Roman" w:hAnsi="Times New Roman"/>
          <w:color w:val="000000" w:themeColor="text1"/>
          <w:sz w:val="16"/>
          <w:szCs w:val="16"/>
          <w:lang w:val="en-US"/>
        </w:rPr>
        <w:t>P</w:t>
      </w:r>
      <w:r w:rsidRPr="007224C3">
        <w:rPr>
          <w:rFonts w:ascii="Times New Roman" w:hAnsi="Times New Roman"/>
          <w:color w:val="000000" w:themeColor="text1"/>
          <w:sz w:val="16"/>
          <w:szCs w:val="16"/>
        </w:rPr>
        <w:t>, ацетоно-бутанолоьых заводов НКПП СССР, лако</w:t>
      </w:r>
      <w:r w:rsidRPr="007224C3">
        <w:rPr>
          <w:rFonts w:ascii="Times New Roman" w:hAnsi="Times New Roman"/>
          <w:color w:val="000000" w:themeColor="text1"/>
          <w:sz w:val="16"/>
          <w:szCs w:val="16"/>
        </w:rPr>
        <w:softHyphen/>
        <w:t>красочных заводов Наркомхимпрома и Главхимпрома НКМП РСФСР на другие" работы.</w:t>
      </w:r>
    </w:p>
    <w:p w14:paraId="376815FC" w14:textId="77777777" w:rsidR="00F6766E" w:rsidRPr="007224C3" w:rsidRDefault="00F6766E" w:rsidP="007224C3">
      <w:pPr>
        <w:tabs>
          <w:tab w:val="left" w:pos="1060"/>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34. Б целях укрепления дисциплины на лесохими</w:t>
      </w:r>
      <w:r w:rsidRPr="007224C3">
        <w:rPr>
          <w:rFonts w:ascii="Times New Roman" w:hAnsi="Times New Roman"/>
          <w:color w:val="000000" w:themeColor="text1"/>
          <w:sz w:val="16"/>
          <w:szCs w:val="16"/>
        </w:rPr>
        <w:softHyphen/>
        <w:t>ческих предприятиях Наркомлеса СССР и ацетоно-бутано- ловых заводах Наркомпищепрома СССР распространить на них действие Указа Верховного Совета СССР от 20 декаб</w:t>
      </w:r>
      <w:r w:rsidRPr="007224C3">
        <w:rPr>
          <w:rFonts w:ascii="Times New Roman" w:hAnsi="Times New Roman"/>
          <w:color w:val="000000" w:themeColor="text1"/>
          <w:sz w:val="16"/>
          <w:szCs w:val="16"/>
        </w:rPr>
        <w:softHyphen/>
        <w:t>ря 1941 года.</w:t>
      </w:r>
    </w:p>
    <w:p w14:paraId="2F2046C7" w14:textId="77777777" w:rsidR="00F6766E" w:rsidRPr="007224C3" w:rsidRDefault="00F6766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35. Обязать Наркомат Государственного Контроля СССР - т.Попова взять выполнение настоящего постановления под особый контроль и ежемесячно докладывать Государственному Комитету Оборона о ходе, его выпол</w:t>
      </w:r>
      <w:r w:rsidRPr="007224C3">
        <w:rPr>
          <w:rFonts w:ascii="Times New Roman" w:hAnsi="Times New Roman"/>
          <w:color w:val="000000" w:themeColor="text1"/>
          <w:sz w:val="16"/>
          <w:szCs w:val="16"/>
        </w:rPr>
        <w:softHyphen/>
        <w:t>нения.</w:t>
      </w:r>
    </w:p>
    <w:p w14:paraId="04481F28" w14:textId="77777777" w:rsidR="00F6766E" w:rsidRPr="007224C3" w:rsidRDefault="00F6766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36. Утвердить мероприятия по заводам Наркомлеса СССР, Нарконхимпрома; Наркомпищепрома СССР и Нарком- меотпрома РСФСР (приложение № 9) (19479).</w:t>
      </w:r>
    </w:p>
    <w:p w14:paraId="5DDFF35B" w14:textId="77777777" w:rsidR="000F027C" w:rsidRPr="007224C3" w:rsidRDefault="000F027C" w:rsidP="007224C3">
      <w:pPr>
        <w:autoSpaceDE w:val="0"/>
        <w:autoSpaceDN w:val="0"/>
        <w:adjustRightInd w:val="0"/>
        <w:spacing w:after="0" w:line="240" w:lineRule="auto"/>
        <w:jc w:val="both"/>
        <w:rPr>
          <w:rFonts w:ascii="Times New Roman" w:hAnsi="Times New Roman"/>
          <w:color w:val="000000" w:themeColor="text1"/>
          <w:sz w:val="16"/>
          <w:szCs w:val="16"/>
        </w:rPr>
      </w:pPr>
    </w:p>
    <w:p w14:paraId="7387E23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марта 1944 г. выходит новый приказ НКАП и ВВС № 194с/045. Директорам заводов № 116 и № 168 предписывается выпускать учебные УТ-2 и УТ-2М с окраской всего самолета в серо-голубой цвет аэролаком АМТ-11 вместо трехцветного камуфляжа верхних и боковых поверхностей и голубой окраски нижних. Срок выпуска машин в новом облике устанавливался для завода № 168 (Волжск) - с 1 мая 1944 г., а для завода № 116 (Се- меновка, Приморский край) - с 1 июня. Перекраска существующего парка самолетов не планировалась. Одновременно опознавательные знаки (звезды) приказывалось наносить красным аэролаком All (Кр) с черной окантовкой (11989).</w:t>
      </w:r>
    </w:p>
    <w:p w14:paraId="3EFF4BD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30DB040"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1F2F811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C77E9C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15 марта 1944 г. завод № 4 им. Калинина (Завод № 4 им. Всероссийского Старосты тов. Калинина ВСНХ, Ленинградский государственный завод № 4 ВСНХ, НКТП, Васильевское отделение Санкт-Петербургского Патронного завода, Петербургский трубочный завод, Петроградский государственный трубочный завод № 1 им. Всероссийского Старосты тов. Калинина ВСНХ, Ленинградский трубочный завод им... Калинина, ГС завод № 4 им. М.И. Калинина НКТП, НКОП, НКБ, МСХМ, МОП, п/я 18, п/я 672, Ордена Ленина и ордена Трудового Красного Знамени ленинградский государственный завод им. М.И. Калинина ММ, ПО «Завод им. М.И. Калинина» ММ, ГПО, ГУП «Завод им. М.И. Калинина» Росбоеприпаса, ФГУП «Завод им. М.И. Калинина» /г. Санкт-Петербург, г. Петроград, г. Ленинград; г. Казань; г. Ленинград/ /199155 г. Санкт-Петербург ул. Уральская, 1 тел. 350-87-04) действовал в Ленинграде, а часть завода в Казани получила статус филиала, на базе которого затем образован завод № 144 им. Калинина. В 12.1942-09.1944 г. завод - в ведении 2ГУ НКБ.</w:t>
      </w:r>
    </w:p>
    <w:p w14:paraId="1F51623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 время ВОВ завод был назначен головным по производству снарядов РС-13 и РС-8. Окончательная сборка снарядов М-13 начата с 1941 г. Завод в годы ВОВ вел работы по трассерам и зажигательным шашкам; снаряжение гранат РПГ-6. Всего за годы войны произведено 135 тыс. снарядов М-13, 4,5 млн. взрывателей, 2,3 млн. запалов для гранат.</w:t>
      </w:r>
    </w:p>
    <w:p w14:paraId="1032DFA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1946 г. ГС завод № 4 - в ведении МСХМ, с 1953 г. - МОП, с 1957 г. - Управления машиностроения ЛенСНХ, имел наименования «п/я 18» (1930-46 г.), «п/я 672» (1949-55 г.-).</w:t>
      </w:r>
      <w:r w:rsidRPr="007224C3">
        <w:rPr>
          <w:rFonts w:ascii="Times New Roman" w:hAnsi="Times New Roman"/>
          <w:color w:val="000000" w:themeColor="text1"/>
          <w:sz w:val="16"/>
          <w:szCs w:val="16"/>
          <w:vertAlign w:val="superscript"/>
        </w:rPr>
        <w:t>ш</w:t>
      </w:r>
      <w:r w:rsidRPr="007224C3">
        <w:rPr>
          <w:rFonts w:ascii="Times New Roman" w:hAnsi="Times New Roman"/>
          <w:color w:val="000000" w:themeColor="text1"/>
          <w:sz w:val="16"/>
          <w:szCs w:val="16"/>
        </w:rPr>
        <w:t xml:space="preserve"> В 11.1965 г. завод передан в ведение ММ и переименован в Ордена Ленина и ордена Трудового Красного Знамени ленинградский государственный завод им. М.И. Калинина.</w:t>
      </w:r>
    </w:p>
    <w:p w14:paraId="0ABA0E0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После войны, кроме механических, производились также электромеханические взрыватели и радиоэлектронные.</w:t>
      </w:r>
    </w:p>
    <w:p w14:paraId="1EB9545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Построен цех по производству КПА.</w:t>
      </w:r>
    </w:p>
    <w:p w14:paraId="46E5B57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1950-е г. на заводе внедрено новое направление - выпуск электроники. В конце 1950-х г. принимал участие вместе с ОКБ ИЛИ (далее - ОКБ «Импульс») в создании полуавтоматических осредняющих и запоминающих устройств (ПОЗУ) станций траекторных измерений «Кварц», «Темп» для запоминания результатов траекторных измерений ИСЗ на научно-измерительных пунктах (НИП) (О.И. Воскресенский, А.В. Захаров). Затем производил изделия разработки НПО «Импульс» для РВСН. С 1965 г. освоен выпуск специальных ЭВМ.</w:t>
      </w:r>
    </w:p>
    <w:p w14:paraId="756EAB7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Имелись производства (2005 г.): заготовительное, металлообрабатывающее, обработки пластмасс, окрасочное, плат печатного монтажа, механосборочное, сборки РЭ аппаратуры, инструментальное, гальваническое.</w:t>
      </w:r>
    </w:p>
    <w:p w14:paraId="31B4879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Численность персонала (1936 г.)- около 11 тыс. чел., (07.1941 г.)- 13365 чел., (12.1942 г.)- 8671 чел.</w:t>
      </w:r>
    </w:p>
    <w:p w14:paraId="75C1740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(1869 г.-)- штабс-капитан В.Н. Зогоскин, (1930 г.)- Ф.И. Холодилин, (1933-8.05.1937 г.)- В.В. Тимофеев (снят), (11.07-11.1937 г.-)- С.Ф. Степанов, (1940 г.)- Г.Н. Брук, (ВОВ)- Н.Г. Миронов, (1940-е)- Е.Д. Бердичевский, (1946 г.)- И.А. Уваров, (1948-; -1970 г.)- Н.А. Кальченко, (1949-50 г.)- Н.Н. Костров, (1972 г.-)- А.В. Захаров. Гендиректор (-2002 г.)- А.В. Захаров, (-2003-05 г.-)- С.В. Сазонкин.</w:t>
      </w:r>
    </w:p>
    <w:p w14:paraId="198E27A3" w14:textId="77777777" w:rsidR="00595BFB" w:rsidRPr="007224C3" w:rsidRDefault="00595BFB" w:rsidP="007224C3">
      <w:pPr>
        <w:tabs>
          <w:tab w:val="left" w:pos="8997"/>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директора (-06-14.07.1937 г.)- Л.Б. Иткин (снят), (06.1937 г.)- Орловский, (10.01.1938 г.-)- В.К. Слепцов; по ПВО и охране (29.11.1938 г.-)- В.В. Гаврилов. Помощник директора по найму и увольнению (-06.1937-09.1938 г.-)- И.П. Емельянов.</w:t>
      </w:r>
    </w:p>
    <w:p w14:paraId="7D93571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Технический директор (-1930 г.)- Н.Н. Кондратьев.</w:t>
      </w:r>
    </w:p>
    <w:p w14:paraId="1880835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инженер (-06-14.07.1937 г.)- Л.Б. Иткин, (10.01.1938 г.-)- В.К. Слепцов, (ВОВ)- Т.И. Агафин (?), И.И. Павловский, (1970-е)- Б.С. Кренев.</w:t>
      </w:r>
    </w:p>
    <w:p w14:paraId="153A876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конструктор (1924-27 г.)- С.А. Керблай, (1931-32 г.)- Н.Н. Кондратьев, (1938 г.)- М.Н. Логинов, (1969-85 г.)- Ю.П. Груздев.</w:t>
      </w:r>
    </w:p>
    <w:p w14:paraId="01685CA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конструкторы: И.И. Павловский, Ю.П. Груздев, И.Ф. Тактин.</w:t>
      </w:r>
    </w:p>
    <w:p w14:paraId="1BB6051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Начальники цехов: химического (03.1937 г.-)- П.Т. Сухометов.</w:t>
      </w:r>
    </w:p>
    <w:p w14:paraId="30ED5E0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Начальники отделов: сборочно-снаряжательного (11.1937 г.)- Миронов.</w:t>
      </w:r>
    </w:p>
    <w:p w14:paraId="1D3E0E4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Создано: взрыватель К-20 для авиационного 23-мм патрона (1941).</w:t>
      </w:r>
    </w:p>
    <w:p w14:paraId="70B5703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Производство: взрыватели: К-3, -6, -20, В-179 (ДВ), РГМ, MP, ГВМЗ, АПУВ (-1941);</w:t>
      </w:r>
      <w:r w:rsidRPr="007224C3">
        <w:rPr>
          <w:rFonts w:ascii="Times New Roman" w:hAnsi="Times New Roman"/>
          <w:color w:val="000000" w:themeColor="text1"/>
          <w:sz w:val="16"/>
          <w:szCs w:val="16"/>
          <w:vertAlign w:val="superscript"/>
        </w:rPr>
        <w:t>132</w:t>
      </w:r>
      <w:r w:rsidRPr="007224C3">
        <w:rPr>
          <w:rFonts w:ascii="Times New Roman" w:hAnsi="Times New Roman"/>
          <w:color w:val="000000" w:themeColor="text1"/>
          <w:sz w:val="16"/>
          <w:szCs w:val="16"/>
        </w:rPr>
        <w:t xml:space="preserve"> для артснарядов В-429 (1955-92); радиовзрыватели для ЗУР С-75, С-200, С-300, для РСЗО «Град», «Смерч»; ударные приборы и минные механизмы для мины I IJ IT, гидростатические коробки для авиационных мин (1939); телевизионная ГСН «Крым» для КАБ-500Кр, КАБ-1500Кр; электронно-вычислительное устройство «Блок» для ГСН КАБ-500, КАБ-1500; электронный блок для ГСН ПЗРК «Игла»; пультовая аппаратура (21 наименование) для проверки работы взрывателей (в т.ч. непосредственно в войсках); аппаратура системы мягкой посадки «Кактус» и «Квант» (12 модификаций) для КА и парашютных платформ; станции траекторных измерений «Кварц», «Темп», «Буфер-ИМ»; спецтехника для систем боевого управления РВСН полкового звена, ЦКП РВСН, ЦКП ГШ, СВГК (1960-е-2000-е), информационно-расчетная система РВСН «Ярус» (1980-), система боевого управления РВСН в особых условиях (1980-), системы дистанционного управления РК; система автоматической передачи цветной картографической информации «Цвет» (1980-); система поиска кораблей и КА в космосе «Аре»; навигационная система для кораблей «Вектор-ТК»;</w:t>
      </w:r>
    </w:p>
    <w:p w14:paraId="7B9E268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термопластавтомат МЛГП, пресс ПЦЦ-1000, пресс пневматический ППС-2; гидродомкраты для автосервиса, компрессор «Темп»; бытовая техника, системы охранной сигнализации;</w:t>
      </w:r>
      <w:r w:rsidRPr="007224C3">
        <w:rPr>
          <w:rFonts w:ascii="Times New Roman" w:hAnsi="Times New Roman"/>
          <w:color w:val="000000" w:themeColor="text1"/>
          <w:sz w:val="16"/>
          <w:szCs w:val="16"/>
          <w:vertAlign w:val="superscript"/>
        </w:rPr>
        <w:t>101</w:t>
      </w:r>
      <w:r w:rsidRPr="007224C3">
        <w:rPr>
          <w:rFonts w:ascii="Times New Roman" w:hAnsi="Times New Roman"/>
          <w:color w:val="000000" w:themeColor="text1"/>
          <w:sz w:val="16"/>
          <w:szCs w:val="16"/>
        </w:rPr>
        <w:t xml:space="preserve"> магнитофоны: «Квазар-303, -308С, П-405С»; усилители: «Форум» У-001С, 180У-001С, 500УМ-001С; радиоприемники «Чайка», «Чайка-201»; абонентский громкоговоритель ГДМ-0,5, абонентский приемник «Балтика» (1950-е) (11982).</w:t>
      </w:r>
    </w:p>
    <w:p w14:paraId="7D393B7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7AA70F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15 марта 1944 г. в целях наращивания производства танков ИС, выпуск танков Т-34 на ЧКЗ был прекращен. Все силы были сконцентриро</w:t>
      </w:r>
      <w:r w:rsidRPr="007224C3">
        <w:rPr>
          <w:rFonts w:ascii="Times New Roman" w:hAnsi="Times New Roman"/>
          <w:color w:val="000000" w:themeColor="text1"/>
          <w:sz w:val="16"/>
          <w:szCs w:val="16"/>
        </w:rPr>
        <w:softHyphen/>
        <w:t>ваны на производстве танков ИС-2. За шесть месяцев (март - август 1944 г.) заводу необходимо было изготовить 1075 танков ИС-2 и 1400 САУ на базе этого танка. Для реализации плана производства танков и САУ на заводе № 200 в Челябинске опережающими темпами шло увеличение выпуска башен. С начала производства и до июня 1944 г. на заводе собиралось корпусов танка больше, чем башен, а недостающие башни поставлялись с УЗТМ. Начиная с июля 1944 г., программа выпуска бронекорпусов с башнями для танков ИС-2 распределилась следующим образом: 200 корпусов с башнями собирал завод № 200 и 50 - УЗТМ (10703).</w:t>
      </w:r>
    </w:p>
    <w:p w14:paraId="00BD550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73D37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марта 1944 г. ввиду необходимости наращивания вы</w:t>
      </w:r>
      <w:r w:rsidRPr="007224C3">
        <w:rPr>
          <w:rFonts w:ascii="Times New Roman" w:hAnsi="Times New Roman"/>
          <w:color w:val="000000" w:themeColor="text1"/>
          <w:sz w:val="16"/>
          <w:szCs w:val="16"/>
        </w:rPr>
        <w:softHyphen/>
        <w:t>пуска танков ИС производство Т-34 на ЧКЗ было прекра</w:t>
      </w:r>
      <w:r w:rsidRPr="007224C3">
        <w:rPr>
          <w:rFonts w:ascii="Times New Roman" w:hAnsi="Times New Roman"/>
          <w:color w:val="000000" w:themeColor="text1"/>
          <w:sz w:val="16"/>
          <w:szCs w:val="16"/>
        </w:rPr>
        <w:softHyphen/>
        <w:t>щено. Поскольку первые танки ИС отличались низким ка</w:t>
      </w:r>
      <w:r w:rsidRPr="007224C3">
        <w:rPr>
          <w:rFonts w:ascii="Times New Roman" w:hAnsi="Times New Roman"/>
          <w:color w:val="000000" w:themeColor="text1"/>
          <w:sz w:val="16"/>
          <w:szCs w:val="16"/>
        </w:rPr>
        <w:softHyphen/>
        <w:t>чеством механизмов, то задачей первейшей важности, по</w:t>
      </w:r>
      <w:r w:rsidRPr="007224C3">
        <w:rPr>
          <w:rFonts w:ascii="Times New Roman" w:hAnsi="Times New Roman"/>
          <w:color w:val="000000" w:themeColor="text1"/>
          <w:sz w:val="16"/>
          <w:szCs w:val="16"/>
        </w:rPr>
        <w:softHyphen/>
        <w:t>ставленной перед технологами ЧКЗ на март-май 1944 г., стала задача повышения качества МТО. В конце февраля 1944 г. замнаркома Ж. Котин был назначен по совмести</w:t>
      </w:r>
      <w:r w:rsidRPr="007224C3">
        <w:rPr>
          <w:rFonts w:ascii="Times New Roman" w:hAnsi="Times New Roman"/>
          <w:color w:val="000000" w:themeColor="text1"/>
          <w:sz w:val="16"/>
          <w:szCs w:val="16"/>
        </w:rPr>
        <w:softHyphen/>
        <w:t>тельству главным конструктором ЧКЗ с личной ответст</w:t>
      </w:r>
      <w:r w:rsidRPr="007224C3">
        <w:rPr>
          <w:rFonts w:ascii="Times New Roman" w:hAnsi="Times New Roman"/>
          <w:color w:val="000000" w:themeColor="text1"/>
          <w:sz w:val="16"/>
          <w:szCs w:val="16"/>
        </w:rPr>
        <w:softHyphen/>
        <w:t>венностью за каждую выпускаемую партию танков. В это время все новые разработки на ЧКЗ и заводе № 100 были прекращены. Порядок приемки танков изменился. Теперь один танк (на выбор) из каждых пятидесяти обязательно испытывался на 300-км сдаточной трассе, а один танк в ме</w:t>
      </w:r>
      <w:r w:rsidRPr="007224C3">
        <w:rPr>
          <w:rFonts w:ascii="Times New Roman" w:hAnsi="Times New Roman"/>
          <w:color w:val="000000" w:themeColor="text1"/>
          <w:sz w:val="16"/>
          <w:szCs w:val="16"/>
        </w:rPr>
        <w:softHyphen/>
        <w:t>сяц, кроме того, проходил испытания на гарантированный пробег в 1000 км. Сначала каждые 3 дня, затем каждые 5 дней Ж. Котин собирал информацию и докладывал в нар</w:t>
      </w:r>
      <w:r w:rsidRPr="007224C3">
        <w:rPr>
          <w:rFonts w:ascii="Times New Roman" w:hAnsi="Times New Roman"/>
          <w:color w:val="000000" w:themeColor="text1"/>
          <w:sz w:val="16"/>
          <w:szCs w:val="16"/>
        </w:rPr>
        <w:softHyphen/>
        <w:t>комат о дефектах серийных танков и путях их устранения. В воинские части отправлялись заводские бригады для оперативного устранения дефектов, обнаруженных при освоении новых танков. Наиболее характерные дефекты, меры по борьбе с ними и пути их устранения были сведены в памятки механику-водителю, ремонтной роте и «ин</w:t>
      </w:r>
      <w:r w:rsidRPr="007224C3">
        <w:rPr>
          <w:rFonts w:ascii="Times New Roman" w:hAnsi="Times New Roman"/>
          <w:color w:val="000000" w:themeColor="text1"/>
          <w:sz w:val="16"/>
          <w:szCs w:val="16"/>
        </w:rPr>
        <w:softHyphen/>
        <w:t>струкции по эксплуатации тяжелого танка» (11135).</w:t>
      </w:r>
    </w:p>
    <w:p w14:paraId="4883977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B5616D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марта 1944 г. выпуск тан</w:t>
      </w:r>
      <w:r w:rsidRPr="007224C3">
        <w:rPr>
          <w:rFonts w:ascii="Times New Roman" w:hAnsi="Times New Roman"/>
          <w:color w:val="000000" w:themeColor="text1"/>
          <w:sz w:val="16"/>
          <w:szCs w:val="16"/>
        </w:rPr>
        <w:softHyphen/>
        <w:t>ков Т-34 на ЧКЗ был прекращен на основании поста</w:t>
      </w:r>
      <w:r w:rsidRPr="007224C3">
        <w:rPr>
          <w:rFonts w:ascii="Times New Roman" w:hAnsi="Times New Roman"/>
          <w:color w:val="000000" w:themeColor="text1"/>
          <w:sz w:val="16"/>
          <w:szCs w:val="16"/>
        </w:rPr>
        <w:softHyphen/>
        <w:t>новления ГКО, согласно которому все силы завода должны были быть сконцентрированы на производстве только тяжелых танков ИС-2. С ав</w:t>
      </w:r>
      <w:r w:rsidRPr="007224C3">
        <w:rPr>
          <w:rFonts w:ascii="Times New Roman" w:hAnsi="Times New Roman"/>
          <w:color w:val="000000" w:themeColor="text1"/>
          <w:sz w:val="16"/>
          <w:szCs w:val="16"/>
        </w:rPr>
        <w:softHyphen/>
        <w:t>густа 1942 г. по апрель 1944 г. ЧКЗ выпустил 5094 танка Т-34 (10703).</w:t>
      </w:r>
    </w:p>
    <w:p w14:paraId="30B6AD1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1C132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15 марта 1944 г. к серийному производству танка Т-34-85 присту</w:t>
      </w:r>
      <w:r w:rsidRPr="007224C3">
        <w:rPr>
          <w:rFonts w:ascii="Times New Roman" w:hAnsi="Times New Roman"/>
          <w:color w:val="000000" w:themeColor="text1"/>
          <w:sz w:val="16"/>
          <w:szCs w:val="16"/>
        </w:rPr>
        <w:softHyphen/>
        <w:t>пил и завод № 183, на котором к концу года было изготовлено 6583 тан</w:t>
      </w:r>
      <w:r w:rsidRPr="007224C3">
        <w:rPr>
          <w:rFonts w:ascii="Times New Roman" w:hAnsi="Times New Roman"/>
          <w:color w:val="000000" w:themeColor="text1"/>
          <w:sz w:val="16"/>
          <w:szCs w:val="16"/>
        </w:rPr>
        <w:softHyphen/>
        <w:t>ка Т-34-85, вооруженных пушками ЗИС-С-53 (10703).</w:t>
      </w:r>
    </w:p>
    <w:p w14:paraId="2F18261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7A6007" w14:textId="77777777" w:rsidR="00137373" w:rsidRPr="007224C3" w:rsidRDefault="00137373" w:rsidP="007224C3">
      <w:pPr>
        <w:pStyle w:val="a3"/>
        <w:rPr>
          <w:color w:val="000000" w:themeColor="text1"/>
          <w:lang w:val="ru-RU"/>
        </w:rPr>
      </w:pPr>
      <w:r w:rsidRPr="007224C3">
        <w:rPr>
          <w:color w:val="000000" w:themeColor="text1"/>
          <w:lang w:val="ru-RU"/>
        </w:rPr>
        <w:t>15 марта 1944 года Завод № 183 начал производство Т-34-85, а завод № 174 - в июне 1944 года. Одновременно с введением новой пушки на танки начали устанавливать прицелы нового типа - шарнирные (иногда называемые ломающимися). Преимущество этих прицелов перед применявшимися ранее состояло в том, что при изменении угла возвышения орудия наводчику не нужно было опускать или поднимать голову, так как обращённая к нему часть прицела оставалась неподвижной. Такой прицел значительно облегчал работу наводчика (12290).</w:t>
      </w:r>
    </w:p>
    <w:p w14:paraId="0DC2C94F" w14:textId="77777777" w:rsidR="00137373" w:rsidRPr="007224C3" w:rsidRDefault="00137373" w:rsidP="007224C3">
      <w:pPr>
        <w:pStyle w:val="a3"/>
        <w:rPr>
          <w:color w:val="000000" w:themeColor="text1"/>
          <w:lang w:val="ru-RU"/>
        </w:rPr>
      </w:pPr>
    </w:p>
    <w:p w14:paraId="04B18A3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марта 1944 Уральский Танковый завод им. Сталина (г. Нижний Тагил) начал серийный выпуск танков Т-34-85. Эти танки немного отличались от производимых на заводе № 112. В частности, новая башня была удлинена на 105 мм, на ее крыше у заряжающего и командира танка (позднее и у наводчика) появились приборы МК-4, была увеличена до 56 выстрелов боеукладка танка (11153).</w:t>
      </w:r>
    </w:p>
    <w:p w14:paraId="2A10CB8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5DE36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марта 1944 г. была подготовлена ДОКЛАДНАЯ ЗАПИСКА НАЧАЛЬНИКА ГАВТУ КА НАРКОМУ СРЕДНЕГО МАШИНОСТРОЕНИЯ СССР С.А. АКОПОВУ ПО АВТОМОБИЛЮ ГАЗ-63</w:t>
      </w:r>
    </w:p>
    <w:p w14:paraId="69EA821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Автомобиль ГАЗ-63, изготовленный автозаводом им. Молотова, очень нужная для Красной Армии машина.</w:t>
      </w:r>
    </w:p>
    <w:p w14:paraId="648DC71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Этот автомобиль будет использован как армейский грузовик высокой проходимости и как тягач артиллерийских систем.</w:t>
      </w:r>
    </w:p>
    <w:p w14:paraId="2E1B4DD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Полигонные и заводские испытания первых образцов ГАЗ-63, проведенные в период 1940-1943 гг. показали хорошие динамические и тяговые качества автомобиля.</w:t>
      </w:r>
    </w:p>
    <w:p w14:paraId="6886097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Ввиду того, что завод учел конструктивные и производственные недостатки машины, выяв</w:t>
      </w:r>
      <w:r w:rsidRPr="007224C3">
        <w:rPr>
          <w:rFonts w:ascii="Times New Roman" w:hAnsi="Times New Roman"/>
          <w:color w:val="000000" w:themeColor="text1"/>
          <w:sz w:val="16"/>
          <w:szCs w:val="16"/>
        </w:rPr>
        <w:softHyphen/>
        <w:t>ленные в процессе испытаний, серийный выпуск автомобилей ГАЗ-63 можно начать, не дожидаясь окончания полигонных испытаний образца, изготовленного в 1943 г.</w:t>
      </w:r>
    </w:p>
    <w:p w14:paraId="79253A2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Прошу Вашего приказания директору автозавода им. Молотова начать в марте месяце выпуск автомашин ГАЗ-63.</w:t>
      </w:r>
    </w:p>
    <w:p w14:paraId="2435891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 Ваших распоряжениях прошу сообщить.</w:t>
      </w:r>
    </w:p>
    <w:p w14:paraId="34D83E5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Приложение: основные выводы по полигонным и заводским испытаниям автомобиля ГАЗ-63.22</w:t>
      </w:r>
      <w:r w:rsidRPr="007224C3">
        <w:rPr>
          <w:rFonts w:ascii="Times New Roman" w:hAnsi="Times New Roman"/>
          <w:color w:val="000000" w:themeColor="text1"/>
          <w:sz w:val="16"/>
          <w:szCs w:val="16"/>
          <w:vertAlign w:val="superscript"/>
        </w:rPr>
        <w:t>1</w:t>
      </w:r>
    </w:p>
    <w:p w14:paraId="66DCA8C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ГАВТУ КА генерал-лейтенант технических войск Тягунов</w:t>
      </w:r>
    </w:p>
    <w:p w14:paraId="3A42FEC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41. Оп. 11593. Д. 303. Л. 8. Копия (11403).</w:t>
      </w:r>
    </w:p>
    <w:p w14:paraId="373606F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EB7162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марта 1944 вышло Распоряжение ГКО № 5401. О мерах по обеспечению лесоматериалами и солью рыбных промыслов южных бассейнов. РГАНИР, Фонд ГКО, д. 219, лл. 1-2 (11012).</w:t>
      </w:r>
    </w:p>
    <w:p w14:paraId="40DA259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BE0237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марта 1944 вышло Постановление ГКО № 5405 О развитии добычи угля и шахтного строительства в Узбекской ССР. РГАНИР, Фонд ГКО, д. 219, лл. 9-16,17-20 (11012).</w:t>
      </w:r>
    </w:p>
    <w:p w14:paraId="30BE36E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C4CC9C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марта 1944 вышло Постановление ГКО № 5407 Об организации в Ленинграде филиала лаборатории № 2 АН СССР и особого конструкторского бюро при нем. РГАНИР, Фонд ГКО, д. 219, лл. 62-64,65 (11012).</w:t>
      </w:r>
    </w:p>
    <w:p w14:paraId="78E5C84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2416F1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марта 1944 г. в Ленинграде образован филиал лаборатории № 2, который возглавил И.К. Кикоин. 15 января 1944 г. И.К. Кикоиным организовано Отделение молекулярной физики, основной задачей которого стало разделение изотопов урана с целью получения оружейного U-235. Была создана газодиффузионная технология разделения. Позднее Отделение преобразовано в ИМФ. В 1950-е г. были возобновлены работы по газовым центрифугам, которые доведены до серийного производства (11982).</w:t>
      </w:r>
    </w:p>
    <w:p w14:paraId="434E8AD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731EFCA"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марта/18 апреля 1944 года вышел приказ № 55с/185с НКБ и НКХП</w:t>
      </w:r>
    </w:p>
    <w:p w14:paraId="11C8F85E"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соответствии с распоряжением Совнаркома № 6617-рс от 24 марта 1944 года:</w:t>
      </w:r>
    </w:p>
    <w:p w14:paraId="65ECFBC6"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Начальнику 1 Гл. управления НКБ передать, а начальнику 1 Гл. управления НКХП принять завод № 570 (Сумгаит АзССР) (6013, 89).</w:t>
      </w:r>
    </w:p>
    <w:p w14:paraId="4F83BBA9"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BC32F5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15 марта 1944 г. </w:t>
      </w:r>
    </w:p>
    <w:p w14:paraId="59FBFA7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Постановление ГКО № 5407сс </w:t>
      </w:r>
    </w:p>
    <w:p w14:paraId="32C57E1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об организации филиала Лаборатории № 2 1 </w:t>
      </w:r>
    </w:p>
    <w:p w14:paraId="5D838C7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Сов. секретно </w:t>
      </w:r>
    </w:p>
    <w:p w14:paraId="1AB106C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Государственный комитет обороны </w:t>
      </w:r>
    </w:p>
    <w:p w14:paraId="145DCDB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Постановление ГОКО № 5407сс </w:t>
      </w:r>
    </w:p>
    <w:p w14:paraId="6DA8F17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От 15 марта 1944 г. Москва, Кремль </w:t>
      </w:r>
    </w:p>
    <w:p w14:paraId="054541B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Государственный комитет обороны постановляет: </w:t>
      </w:r>
    </w:p>
    <w:p w14:paraId="4CF70CA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1. Организовать в г. Ленинграде Филиал Лаборатории № 2 Академии наук СССР и Особое конструкторское бюро при нем2. </w:t>
      </w:r>
    </w:p>
    <w:p w14:paraId="3CAE4B1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Возложить руководство филиалом Лаборатории № 2 на члена-корреспондента Академии наук СССР т. Кикоина И.К. </w:t>
      </w:r>
    </w:p>
    <w:p w14:paraId="0582E5E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Утвердить начальником Особого конструкторского бюро члена-корреспондента Академии наук СССР т. Вознесенского И.Н. </w:t>
      </w:r>
    </w:p>
    <w:p w14:paraId="09BAAC2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Установить срок начала работ Особого конструкторского бюро 15 апреля 1944 г. </w:t>
      </w:r>
    </w:p>
    <w:p w14:paraId="596A465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 xml:space="preserve">2. Обязать Ленинградский горисполком (т. Попкова) освободить и передать к 10 апреля 1944 г. Ленинградскому филиалу Лаборатории № 2 Академии наук СССР здание бывш[ее] Института химической физики Академии наук СССР (Лесное, Приютская ул., д. 3) и жилой дом, требующий небольших восстановительных работ3. </w:t>
      </w:r>
    </w:p>
    <w:p w14:paraId="5D18E44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3. Обязать Комитет по делам высшей школы при СНК СССР (т. Кафтанова), Ленинградский горисполком (т. Попкова), Леноблисполком (т. Соловьева), Наркомпищепром СССР (т. Зотова) и Наркомвоенморфлот (т. Кузнецова) откомандировать для работы в Особом конструкторском бюро Филиала Лаборатории № 2 Академии наук СССР инженеров-конструкторов - бывших сотрудников Гидромашинной лаборатории профессора Вознесенского И.Н. Ленинградского политехнического института согласно приложению. </w:t>
      </w:r>
    </w:p>
    <w:p w14:paraId="1EFA308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4. Обязать секретаря Ленинградского горкома ВКП(б) т. Капустина и председателя Ленгорисполкома т. Попкова4 лично оказывать систематическую помощь Филиалу Лаборатории № 2 Академии наук СССР и Особому конструкторскому бюро при нем. </w:t>
      </w:r>
    </w:p>
    <w:p w14:paraId="7F23FEA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5. Поручить тт. Первухину, Капустину и Попкову совместно с Лабораторией № 2 Академии наук СССР представить к 25 апреля 1944 г. в Государственный комитет обороны предложение об организации производственной базы опытного завода Филиала Лаборатории № 2 с обеспечением ее станочным оборудованием, материалами, транспортом и кадрами. </w:t>
      </w:r>
    </w:p>
    <w:p w14:paraId="22EE6B6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6. Обязать Наркомторг СССР (т. Любимова) выделить 15 карточек литер «Б» с абонементами для Ленинградского филиала Лаборатории № 2 Академии наук СССР. </w:t>
      </w:r>
    </w:p>
    <w:p w14:paraId="2F9AEA3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7. Обязать Всесоюзный комитет по делам высшей школы при СНК СССР (т. Кафтанова) выделить часть Гидромашинной лаборатории проф[ессора] Вознесенского Ленинградского политехнического института в распоряжение Особого конструкторского бюро Филиала Лаборатории № 2 Академии наук СССР. </w:t>
      </w:r>
    </w:p>
    <w:p w14:paraId="651828B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8. Перевести к 15 апреля 1944 г. лабораторию проф[ессора] Кикоина Уральского филиала Академии наук СССР в полном составе (с членами семей сотрудников) и с оборудованием из г. Свердловска в г. Ленинград5. </w:t>
      </w:r>
    </w:p>
    <w:p w14:paraId="6ADF653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9. 6 Обязать Государственную штатную комиссию при СНК СССР рассмотреть и утвердить штат Филиала Лаборатории № 2 Академии наук СССР и Особого конструкторского бюро при нем. </w:t>
      </w:r>
    </w:p>
    <w:p w14:paraId="173B2D0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Зам[еститель] председателя Государственного комитета обороны В. Молотов </w:t>
      </w:r>
    </w:p>
    <w:p w14:paraId="543A250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Приложение к Постановлению ГОКО </w:t>
      </w:r>
    </w:p>
    <w:p w14:paraId="55AC4B9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 5407сс от 15 марта 1944 года </w:t>
      </w:r>
    </w:p>
    <w:p w14:paraId="4DDC16C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Список </w:t>
      </w:r>
    </w:p>
    <w:p w14:paraId="0F638C7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инженеров-конструкторов, бывших работников Гидромашинной лаборатории </w:t>
      </w:r>
    </w:p>
    <w:p w14:paraId="7911855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Ленинградского политехнического института, подлежащих переводу на работу </w:t>
      </w:r>
    </w:p>
    <w:p w14:paraId="3034D34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 Особое конструкторское бюро Лаборатории № 2 Академии наук СССР </w:t>
      </w:r>
    </w:p>
    <w:tbl>
      <w:tblPr>
        <w:tblW w:w="0" w:type="auto"/>
        <w:tblInd w:w="18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00" w:firstRow="0" w:lastRow="0" w:firstColumn="0" w:lastColumn="0" w:noHBand="0" w:noVBand="0"/>
      </w:tblPr>
      <w:tblGrid>
        <w:gridCol w:w="779"/>
        <w:gridCol w:w="2943"/>
        <w:gridCol w:w="2943"/>
        <w:gridCol w:w="2943"/>
      </w:tblGrid>
      <w:tr w:rsidR="005106D0" w:rsidRPr="007224C3" w14:paraId="361F6544" w14:textId="77777777">
        <w:trPr>
          <w:trHeight w:val="445"/>
        </w:trPr>
        <w:tc>
          <w:tcPr>
            <w:tcW w:w="779" w:type="dxa"/>
            <w:tcBorders>
              <w:top w:val="single" w:sz="12" w:space="0" w:color="000000"/>
            </w:tcBorders>
            <w:shd w:val="clear" w:color="auto" w:fill="FFFFFF"/>
          </w:tcPr>
          <w:p w14:paraId="759992F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 </w:t>
            </w:r>
          </w:p>
          <w:p w14:paraId="1FA827E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пп </w:t>
            </w:r>
          </w:p>
        </w:tc>
        <w:tc>
          <w:tcPr>
            <w:tcW w:w="2943" w:type="dxa"/>
            <w:tcBorders>
              <w:top w:val="single" w:sz="12" w:space="0" w:color="000000"/>
            </w:tcBorders>
            <w:shd w:val="clear" w:color="auto" w:fill="FFFFFF"/>
          </w:tcPr>
          <w:p w14:paraId="1110CEC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Фамилия, имя и отчество</w:t>
            </w:r>
          </w:p>
        </w:tc>
        <w:tc>
          <w:tcPr>
            <w:tcW w:w="2943" w:type="dxa"/>
            <w:tcBorders>
              <w:top w:val="single" w:sz="12" w:space="0" w:color="000000"/>
            </w:tcBorders>
            <w:shd w:val="clear" w:color="auto" w:fill="FFFFFF"/>
          </w:tcPr>
          <w:p w14:paraId="4CD9385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Место работы </w:t>
            </w:r>
          </w:p>
        </w:tc>
        <w:tc>
          <w:tcPr>
            <w:tcW w:w="2943" w:type="dxa"/>
            <w:tcBorders>
              <w:top w:val="single" w:sz="12" w:space="0" w:color="000000"/>
            </w:tcBorders>
            <w:shd w:val="clear" w:color="auto" w:fill="FFFFFF"/>
          </w:tcPr>
          <w:p w14:paraId="4452C36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Кто должен откомандировать </w:t>
            </w:r>
          </w:p>
        </w:tc>
      </w:tr>
      <w:tr w:rsidR="005106D0" w:rsidRPr="007224C3" w14:paraId="54BD46EF" w14:textId="77777777">
        <w:trPr>
          <w:trHeight w:val="653"/>
        </w:trPr>
        <w:tc>
          <w:tcPr>
            <w:tcW w:w="779" w:type="dxa"/>
            <w:shd w:val="clear" w:color="auto" w:fill="FFFFFF"/>
          </w:tcPr>
          <w:p w14:paraId="6D7CBE8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1. </w:t>
            </w:r>
          </w:p>
        </w:tc>
        <w:tc>
          <w:tcPr>
            <w:tcW w:w="2943" w:type="dxa"/>
            <w:shd w:val="clear" w:color="auto" w:fill="FFFFFF"/>
          </w:tcPr>
          <w:p w14:paraId="65A68FF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Гурьев Виктор Павлович </w:t>
            </w:r>
          </w:p>
        </w:tc>
        <w:tc>
          <w:tcPr>
            <w:tcW w:w="2943" w:type="dxa"/>
            <w:shd w:val="clear" w:color="auto" w:fill="FFFFFF"/>
          </w:tcPr>
          <w:p w14:paraId="41EEF7C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Политехнический </w:t>
            </w:r>
          </w:p>
          <w:p w14:paraId="07A4C52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ин[ститу]т, </w:t>
            </w:r>
          </w:p>
          <w:p w14:paraId="572CD2B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г. Ленинград </w:t>
            </w:r>
          </w:p>
        </w:tc>
        <w:tc>
          <w:tcPr>
            <w:tcW w:w="2943" w:type="dxa"/>
            <w:shd w:val="clear" w:color="auto" w:fill="FFFFFF"/>
          </w:tcPr>
          <w:p w14:paraId="6D9CBD5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Комитет по делам </w:t>
            </w:r>
          </w:p>
          <w:p w14:paraId="3118FDB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высшей школы </w:t>
            </w:r>
          </w:p>
          <w:p w14:paraId="26CAFF9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при СНК СССР </w:t>
            </w:r>
          </w:p>
        </w:tc>
      </w:tr>
      <w:tr w:rsidR="005106D0" w:rsidRPr="007224C3" w14:paraId="3EF4F4A5" w14:textId="77777777">
        <w:trPr>
          <w:trHeight w:val="239"/>
        </w:trPr>
        <w:tc>
          <w:tcPr>
            <w:tcW w:w="779" w:type="dxa"/>
            <w:shd w:val="clear" w:color="auto" w:fill="FFFFFF"/>
          </w:tcPr>
          <w:p w14:paraId="7C57264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2. </w:t>
            </w:r>
          </w:p>
        </w:tc>
        <w:tc>
          <w:tcPr>
            <w:tcW w:w="2943" w:type="dxa"/>
            <w:shd w:val="clear" w:color="auto" w:fill="FFFFFF"/>
          </w:tcPr>
          <w:p w14:paraId="36652BE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Богорад Мария Львовна </w:t>
            </w:r>
          </w:p>
        </w:tc>
        <w:tc>
          <w:tcPr>
            <w:tcW w:w="2943" w:type="dxa"/>
            <w:shd w:val="clear" w:color="auto" w:fill="FFFFFF"/>
          </w:tcPr>
          <w:p w14:paraId="6251B47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 » — </w:t>
            </w:r>
          </w:p>
        </w:tc>
        <w:tc>
          <w:tcPr>
            <w:tcW w:w="2943" w:type="dxa"/>
            <w:shd w:val="clear" w:color="auto" w:fill="FFFFFF"/>
          </w:tcPr>
          <w:p w14:paraId="73848BD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 » — </w:t>
            </w:r>
          </w:p>
        </w:tc>
      </w:tr>
      <w:tr w:rsidR="005106D0" w:rsidRPr="007224C3" w14:paraId="5A9D5096" w14:textId="77777777">
        <w:trPr>
          <w:trHeight w:val="653"/>
        </w:trPr>
        <w:tc>
          <w:tcPr>
            <w:tcW w:w="779" w:type="dxa"/>
            <w:shd w:val="clear" w:color="auto" w:fill="FFFFFF"/>
          </w:tcPr>
          <w:p w14:paraId="565A336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3. </w:t>
            </w:r>
          </w:p>
        </w:tc>
        <w:tc>
          <w:tcPr>
            <w:tcW w:w="2943" w:type="dxa"/>
            <w:shd w:val="clear" w:color="auto" w:fill="FFFFFF"/>
          </w:tcPr>
          <w:p w14:paraId="5D740CD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Колокольцев НикитаАлександрович </w:t>
            </w:r>
          </w:p>
        </w:tc>
        <w:tc>
          <w:tcPr>
            <w:tcW w:w="2943" w:type="dxa"/>
            <w:shd w:val="clear" w:color="auto" w:fill="FFFFFF"/>
          </w:tcPr>
          <w:p w14:paraId="481D033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П[олевая] п[очта] 75751-ш, </w:t>
            </w:r>
          </w:p>
          <w:p w14:paraId="1C1266C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вольнонаемный </w:t>
            </w:r>
          </w:p>
        </w:tc>
        <w:tc>
          <w:tcPr>
            <w:tcW w:w="2943" w:type="dxa"/>
            <w:shd w:val="clear" w:color="auto" w:fill="FFFFFF"/>
          </w:tcPr>
          <w:p w14:paraId="08FC859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Наркомат обороны </w:t>
            </w:r>
          </w:p>
        </w:tc>
      </w:tr>
      <w:tr w:rsidR="005106D0" w:rsidRPr="007224C3" w14:paraId="1823005A" w14:textId="77777777">
        <w:trPr>
          <w:trHeight w:val="653"/>
        </w:trPr>
        <w:tc>
          <w:tcPr>
            <w:tcW w:w="779" w:type="dxa"/>
            <w:shd w:val="clear" w:color="auto" w:fill="FFFFFF"/>
          </w:tcPr>
          <w:p w14:paraId="602971D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4. </w:t>
            </w:r>
          </w:p>
        </w:tc>
        <w:tc>
          <w:tcPr>
            <w:tcW w:w="2943" w:type="dxa"/>
            <w:shd w:val="clear" w:color="auto" w:fill="FFFFFF"/>
          </w:tcPr>
          <w:p w14:paraId="31004B4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Воинов ЕвгенийМихайлович </w:t>
            </w:r>
          </w:p>
        </w:tc>
        <w:tc>
          <w:tcPr>
            <w:tcW w:w="2943" w:type="dxa"/>
            <w:shd w:val="clear" w:color="auto" w:fill="FFFFFF"/>
          </w:tcPr>
          <w:p w14:paraId="735488E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Артель </w:t>
            </w:r>
          </w:p>
          <w:p w14:paraId="0D15FDC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«Металлоштамп», </w:t>
            </w:r>
          </w:p>
          <w:p w14:paraId="1FB4D98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г. Ленинград </w:t>
            </w:r>
          </w:p>
        </w:tc>
        <w:tc>
          <w:tcPr>
            <w:tcW w:w="2943" w:type="dxa"/>
            <w:shd w:val="clear" w:color="auto" w:fill="FFFFFF"/>
          </w:tcPr>
          <w:p w14:paraId="78094ED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Управление промкооперации при СНК РСФСР </w:t>
            </w:r>
          </w:p>
        </w:tc>
      </w:tr>
      <w:tr w:rsidR="005106D0" w:rsidRPr="007224C3" w14:paraId="07A2CBF5" w14:textId="77777777">
        <w:trPr>
          <w:trHeight w:val="447"/>
        </w:trPr>
        <w:tc>
          <w:tcPr>
            <w:tcW w:w="779" w:type="dxa"/>
            <w:shd w:val="clear" w:color="auto" w:fill="FFFFFF"/>
          </w:tcPr>
          <w:p w14:paraId="11D1399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5. </w:t>
            </w:r>
          </w:p>
        </w:tc>
        <w:tc>
          <w:tcPr>
            <w:tcW w:w="2943" w:type="dxa"/>
            <w:shd w:val="clear" w:color="auto" w:fill="FFFFFF"/>
          </w:tcPr>
          <w:p w14:paraId="229C095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Зурабов НиколайИванович </w:t>
            </w:r>
          </w:p>
        </w:tc>
        <w:tc>
          <w:tcPr>
            <w:tcW w:w="2943" w:type="dxa"/>
            <w:shd w:val="clear" w:color="auto" w:fill="FFFFFF"/>
          </w:tcPr>
          <w:p w14:paraId="571FF9A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Хлебозавод № 10, </w:t>
            </w:r>
          </w:p>
          <w:p w14:paraId="00B9060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г. Ленинград </w:t>
            </w:r>
          </w:p>
        </w:tc>
        <w:tc>
          <w:tcPr>
            <w:tcW w:w="2943" w:type="dxa"/>
            <w:shd w:val="clear" w:color="auto" w:fill="FFFFFF"/>
          </w:tcPr>
          <w:p w14:paraId="5528571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Наркомпищепром СССР </w:t>
            </w:r>
          </w:p>
        </w:tc>
      </w:tr>
      <w:tr w:rsidR="005106D0" w:rsidRPr="007224C3" w14:paraId="4B8148C7" w14:textId="77777777">
        <w:trPr>
          <w:trHeight w:val="653"/>
        </w:trPr>
        <w:tc>
          <w:tcPr>
            <w:tcW w:w="779" w:type="dxa"/>
            <w:shd w:val="clear" w:color="auto" w:fill="FFFFFF"/>
          </w:tcPr>
          <w:p w14:paraId="0B771B7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6. </w:t>
            </w:r>
          </w:p>
        </w:tc>
        <w:tc>
          <w:tcPr>
            <w:tcW w:w="2943" w:type="dxa"/>
            <w:shd w:val="clear" w:color="auto" w:fill="FFFFFF"/>
          </w:tcPr>
          <w:p w14:paraId="73659D8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Плоткина Анна Григорьевна </w:t>
            </w:r>
          </w:p>
        </w:tc>
        <w:tc>
          <w:tcPr>
            <w:tcW w:w="2943" w:type="dxa"/>
            <w:shd w:val="clear" w:color="auto" w:fill="FFFFFF"/>
          </w:tcPr>
          <w:p w14:paraId="1C5993E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РЖУ </w:t>
            </w:r>
          </w:p>
          <w:p w14:paraId="338B8D3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Смольнинского района,</w:t>
            </w:r>
          </w:p>
          <w:p w14:paraId="0BB616D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г. Ленинград </w:t>
            </w:r>
          </w:p>
        </w:tc>
        <w:tc>
          <w:tcPr>
            <w:tcW w:w="2943" w:type="dxa"/>
            <w:shd w:val="clear" w:color="auto" w:fill="FFFFFF"/>
          </w:tcPr>
          <w:p w14:paraId="6397A42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Ленгорисполком </w:t>
            </w:r>
          </w:p>
        </w:tc>
      </w:tr>
      <w:tr w:rsidR="005106D0" w:rsidRPr="007224C3" w14:paraId="1C6987BA" w14:textId="77777777">
        <w:trPr>
          <w:trHeight w:val="653"/>
        </w:trPr>
        <w:tc>
          <w:tcPr>
            <w:tcW w:w="779" w:type="dxa"/>
            <w:shd w:val="clear" w:color="auto" w:fill="FFFFFF"/>
          </w:tcPr>
          <w:p w14:paraId="39D1E79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7. </w:t>
            </w:r>
          </w:p>
        </w:tc>
        <w:tc>
          <w:tcPr>
            <w:tcW w:w="2943" w:type="dxa"/>
            <w:shd w:val="clear" w:color="auto" w:fill="FFFFFF"/>
          </w:tcPr>
          <w:p w14:paraId="44AF4C6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Пашкевич Станислав Семенович </w:t>
            </w:r>
          </w:p>
        </w:tc>
        <w:tc>
          <w:tcPr>
            <w:tcW w:w="2943" w:type="dxa"/>
            <w:shd w:val="clear" w:color="auto" w:fill="FFFFFF"/>
          </w:tcPr>
          <w:p w14:paraId="1412C12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Ленинградское </w:t>
            </w:r>
          </w:p>
          <w:p w14:paraId="2E8864F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отделение </w:t>
            </w:r>
          </w:p>
          <w:p w14:paraId="4196E86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«Сельэлектро» </w:t>
            </w:r>
          </w:p>
        </w:tc>
        <w:tc>
          <w:tcPr>
            <w:tcW w:w="2943" w:type="dxa"/>
            <w:shd w:val="clear" w:color="auto" w:fill="FFFFFF"/>
          </w:tcPr>
          <w:p w14:paraId="555E442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Леноблисполком </w:t>
            </w:r>
          </w:p>
        </w:tc>
      </w:tr>
      <w:tr w:rsidR="005106D0" w:rsidRPr="007224C3" w14:paraId="2CFC387F" w14:textId="77777777">
        <w:trPr>
          <w:trHeight w:val="653"/>
        </w:trPr>
        <w:tc>
          <w:tcPr>
            <w:tcW w:w="779" w:type="dxa"/>
            <w:tcBorders>
              <w:bottom w:val="single" w:sz="12" w:space="0" w:color="000000"/>
            </w:tcBorders>
            <w:shd w:val="clear" w:color="auto" w:fill="FFFFFF"/>
          </w:tcPr>
          <w:p w14:paraId="1788B23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8. </w:t>
            </w:r>
          </w:p>
        </w:tc>
        <w:tc>
          <w:tcPr>
            <w:tcW w:w="2943" w:type="dxa"/>
            <w:tcBorders>
              <w:bottom w:val="single" w:sz="12" w:space="0" w:color="000000"/>
            </w:tcBorders>
            <w:shd w:val="clear" w:color="auto" w:fill="FFFFFF"/>
          </w:tcPr>
          <w:p w14:paraId="7229413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Школьников Александр Леопольдович </w:t>
            </w:r>
          </w:p>
        </w:tc>
        <w:tc>
          <w:tcPr>
            <w:tcW w:w="2943" w:type="dxa"/>
            <w:tcBorders>
              <w:bottom w:val="single" w:sz="12" w:space="0" w:color="000000"/>
            </w:tcBorders>
            <w:shd w:val="clear" w:color="auto" w:fill="FFFFFF"/>
          </w:tcPr>
          <w:p w14:paraId="33B8C4E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Инженер на аэродроме авиации Балтийского флота </w:t>
            </w:r>
          </w:p>
        </w:tc>
        <w:tc>
          <w:tcPr>
            <w:tcW w:w="2943" w:type="dxa"/>
            <w:tcBorders>
              <w:bottom w:val="single" w:sz="12" w:space="0" w:color="000000"/>
            </w:tcBorders>
            <w:shd w:val="clear" w:color="auto" w:fill="FFFFFF"/>
          </w:tcPr>
          <w:p w14:paraId="5265F88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Наркомвоенморфлот (11323).</w:t>
            </w:r>
          </w:p>
        </w:tc>
      </w:tr>
    </w:tbl>
    <w:p w14:paraId="631037B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036C16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марта 1944 Адмиралтейцы завершили ремонт 5 бронекатеров (10671).</w:t>
      </w:r>
    </w:p>
    <w:p w14:paraId="4FA53B7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0E64768"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6D4E0B1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60D496D" w14:textId="77777777" w:rsidR="007A1E0D" w:rsidRPr="007224C3" w:rsidRDefault="007A1E0D"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15 марта</w:t>
      </w:r>
      <w:r w:rsidRPr="007224C3">
        <w:rPr>
          <w:rFonts w:ascii="Times New Roman" w:hAnsi="Times New Roman"/>
          <w:color w:val="000000" w:themeColor="text1"/>
          <w:sz w:val="16"/>
          <w:szCs w:val="16"/>
        </w:rPr>
        <w:t xml:space="preserve"> в 1944 году оперативная сводка Совинформбюро:</w:t>
      </w:r>
    </w:p>
    <w:p w14:paraId="26C6B809" w14:textId="77777777" w:rsidR="007A1E0D" w:rsidRPr="007224C3" w:rsidRDefault="007A1E0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15 марта на Проскуровском направлении наши войска отбивали контратаки крупных сил пехоты и танков противника и нанесли ему большие потери в живой силе и технике.</w:t>
      </w:r>
    </w:p>
    <w:p w14:paraId="308EF827" w14:textId="77777777" w:rsidR="007A1E0D" w:rsidRPr="007224C3" w:rsidRDefault="007A1E0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Винницком направлении наши войска, продолжая развивать наступление, овладели районными центрами Винницкой области городом и железнодорожным узлом Калиновка, Турбов, Вороновица, Ситковцы, а также с боями заняли более 50 других населённых пунктов, в том числе крупные населённые пункты Павловка, Холявинцы, Косаковка, Большие Крушлинцы, Писаревка, Янков, Пилява, Хвостовцы, Жорнище, Криковцы, Ометинцы, Мельниковцы и железнодорожные станции Гулевицы, Турбов, Вороновица, Фердинандовка, Ситковцы.</w:t>
      </w:r>
    </w:p>
    <w:p w14:paraId="77D2C38F" w14:textId="77777777" w:rsidR="007A1E0D" w:rsidRPr="007224C3" w:rsidRDefault="007A1E0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Умани войска 2-го Украинского фронта успешно форсировали реку Южный Буг на 100-километровом фронте и, сломив сопротивление противника на правом берегу реки, продвинулись вперёд от 20 до 30 километров. Войска фронта овладели районными центрами Винницкой области городом Бершадь, городом Тростянец, Ободовка, Ольгополь, с боями заняли более 100 других населённых пунктов, в том числе крупные населённые пункты Мачуха, Михалёвка, Холодовка, Клебань, Кирнасовка, Демковка, Савинцы, Левков, Цыбуливка, Жабокричка, Бандуровка, Белый Камень, Кидрасовка, Ляхова и железнодорожные станции Ладыжин, Ульяновка, Демковка, Тростянец, Устье, Бершадь. Южнее города Умань войска 2-го Украинского фронта овладели районными центрами Одесской области Грушка, Голованевск, населёнными пунктами Шамраевка, Данилова Балка, Межиричка, Шипиловка и железнодорожными станциями Грушка, Голованевск.</w:t>
      </w:r>
    </w:p>
    <w:p w14:paraId="6BA54B85" w14:textId="77777777" w:rsidR="007A1E0D" w:rsidRPr="007224C3" w:rsidRDefault="007A1E0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города Кировоград наши войска с боями продвигались вперёд и овладели районным центром Кировоградской области Тишковка, а также заняли более 60 других населённых пунктов, среди которых крупные населённые пункты Покатилово, Терновка, Карбовка, Ново-Николаевка, Казак-Балка, Афанасьевка. Дружелюбовка, Ново-Марьяновка, Злынка, Каменный Мост, Вороновка и железнодорожные станции Капустино, Новаковка.</w:t>
      </w:r>
    </w:p>
    <w:p w14:paraId="3F4F0FD9" w14:textId="77777777" w:rsidR="007A1E0D" w:rsidRPr="007224C3" w:rsidRDefault="007A1E0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Долинская наши войска продолжали вести наступательные бои, в ходе которых заняли более 50 населённых пунктов и среди них Громуха, Водяная, Софиевка, Старая Вербовка, Богодаровка, Шевченко, Орлова Балка.</w:t>
      </w:r>
    </w:p>
    <w:p w14:paraId="571FCC46" w14:textId="77777777" w:rsidR="007A1E0D" w:rsidRPr="007224C3" w:rsidRDefault="007A1E0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Николаевском направлении наши войска овладели районными центрами Николаевской области Березнеговатое, Снигирёвка, а также с боями заняли более 50 других населённых пунктов, среди которых крупные населённые пункты Семёновка, Водяно-Лорино, Акимовка, Сухой Еланец, Суворовка, Красно-Владимировка, Бухольцево, Киселёвка, Надеждовка, Станислав, Александровка и железнодорожные станции Туркулы, Снигирёвка, Галагановка, Копани. Окружённая в районе Березнеговатое-Снигирёвка группировка противника расчленена на отдельные части и успешно уничтожается нашими войсками.</w:t>
      </w:r>
    </w:p>
    <w:p w14:paraId="79EC8E77" w14:textId="77777777" w:rsidR="007A1E0D" w:rsidRPr="007224C3" w:rsidRDefault="007A1E0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 бои местного значения.</w:t>
      </w:r>
    </w:p>
    <w:p w14:paraId="032260CC" w14:textId="77777777" w:rsidR="007A1E0D" w:rsidRPr="007224C3" w:rsidRDefault="007A1E0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14 марта наши войска на всех фронтах подбили и уничтожили 82 немецких танка. В воздушных боях и огнём зенитной артиллерии сбито 35 самолётов противника.</w:t>
      </w:r>
    </w:p>
    <w:p w14:paraId="58E8256F" w14:textId="77777777" w:rsidR="007A1E0D" w:rsidRPr="007224C3" w:rsidRDefault="007A1E0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На Проскуровском направлении противник, собрав крупные силы танков и пехоты, предпринял ряд ожесточённых контратак. Не добившись успеха в одном месте, немцы меняли направление удара и вновь бросались в атаку. Советские пехотинцы, артиллеристы и бронебойщики отбили все контратаки гитлеровцев и уничтожили до 60 танков, 13 самоходных орудий и 8 бронетранспортёров противника. Перед нашими позициями осталось свыше 1.500 трупов немецких солдат и офицеров.</w:t>
      </w:r>
    </w:p>
    <w:p w14:paraId="5CF0FD6C" w14:textId="77777777" w:rsidR="007A1E0D" w:rsidRPr="007224C3" w:rsidRDefault="007A1E0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города Умань наши войска, сломив сопротивление противника, вышлик реке Южный Буг. Не давая немцам передышки и времени, чтобы привести себя в порядок, наши бойцы на лодках, плотах и понтонах переправились через реку. Вдоль правого берега Южного Буга противник построил сильно укреплённую оборону. Траншеи и окопы полного профиля, противотанковые рвы, дзоты и блиндажи, минныеполя и проволочные заграждения представляли собой трудно преодолимые препятствия. Немцы спешно бросили к переправам танки, самоходные орудия ипытались контратаками сбросить советских бойцов в реку. Наши передовые отряды выдержали натиск противника и обеспечили переправу через Южный Буг основных сил советских войск. После упорных и ожесточённых боёв войска 2-го Украинского фронта на широком фронте прорвали южно-бугскую оборону немцев. Ударами наших войск противник сбит с занимаемых им позиций и отброшен на 20-30 километров. В результате стремительного обходного манёвра части Н-ского соединения овладели городом Тростянец. Очищены от немцев город Бершадь, районные центры Винницкойобласти Ободовка, Ольгополь и более ста других населённых пунктов. Разгромленные части противника, отступая, оставляют не только орудия и другое тяжёлое вооружение, но бросают также пулемёты, винтовки и самое различное военное имущество. На железнодорожных станциях захвачены эшелоны с боеприпасами. Взято много пленных.</w:t>
      </w:r>
    </w:p>
    <w:p w14:paraId="243710DF" w14:textId="77777777" w:rsidR="007A1E0D" w:rsidRPr="007224C3" w:rsidRDefault="007A1E0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3-го Украинского фронта продолжали вести бои по уничтожению группировки противника, окружённой в районе Березнеговатое и Снигирёвка. Ночью немцы предприняли отчаянную попытку пробиться к реке Ингул и выйти из окружения. Три колонны пехоты и танков противника двинулись на запад. У населённых пунктов Тарасовки, Ново-Горожана, Ново-Сергеевки и хутора Шевченко гитлеровцы быливстречены ураганным огнём артиллерийских и миномётных батарей. Затем советские танковые и пехотные части нанесли гитлеровцам уничтожающий удар с флангов итыла, рассекли немецкую группировку на несколько отдельных частей и ведут успешные бои по их ликвидации. На поле боя остались тысячи трупов немецких солдат и офицеров. Всюду видны брошенные противником танки, орудия и пулемёты. Сжимая кольцо окружения, наши войска заняли районные центры Николаевской области Березнеговатое, Снигирёвка и более 50 других населённых пунктов. Захваченыбольшие трофеи, в том числе 35 танков и самоходных орудий, 18 крупных складов, свыше 1.000 вагонов с военными материалами. На сборные пункты прибывают всё новые группы немцев, взятых в плен нашими войсками.</w:t>
      </w:r>
    </w:p>
    <w:p w14:paraId="6F8EFF6B" w14:textId="77777777" w:rsidR="007A1E0D" w:rsidRPr="007224C3" w:rsidRDefault="007A1E0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Баренцовом море потоплены тральщик и транспорт противника водоизмещением в 5 тысяч тонн. Кроме того, сильно повреждены два немецких транспорта общим водоизмещением в 11 тысяч тонн.</w:t>
      </w:r>
    </w:p>
    <w:p w14:paraId="5BE9A5DA" w14:textId="77777777" w:rsidR="007A1E0D" w:rsidRPr="007224C3" w:rsidRDefault="007A1E0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Несколько партизанских отрядов, действующих в Минской области, разгромили немецкий гарнизон в крупном населённом пункте. Партизаны разрушили казармы, в которых жили немцы, сожгли полицейскую управу и военные склады противника. Убито130 гитлеровцев. Советские патриоты захватили много трофеев.</w:t>
      </w:r>
    </w:p>
    <w:p w14:paraId="2D8C914F" w14:textId="77777777" w:rsidR="007A1E0D" w:rsidRPr="007224C3" w:rsidRDefault="007A1E0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2-м Прибалтийском фронте перешёл на сторону советских войск солдат 42 немецкой автоколонны «Тодт» болгарин Лимонов Валин Васильевич, 1912 года рождения; родился и проживал в селе Гайтанево, Новосельского района, Софийскойобласти. Пленный написал на имя командования Красной Армии заявление, в котором говорится: «Я, шофёр 42 немецкой автоколонны Лимонов Валин Васильевич, по национальности болгарин, болгарский подданный, заявляю следующее: в октябре 1939 года я был мобилизован болгарскими властями и послан на работу в Германию. Вместе со мною из Софии поездом выехало 800 болгар. Мне сказали, что я еду в Германию на полгода, а в действительности я проработал в Линце, а затем в Штутгарте свыше двух лет. Десятого января 1942 года меня, Илью Сабева, Ивана Тодорова и других болгар отправили в Берлин и против нашей воли насильно мобилизовали в немецкую армию, заставили одеть немецкую форму и направили на Восточный фронт. Мы находились в Латвии, в городе Резекне, и в Литве, в городе Мариямполе, где работали на строительстве укреплений. Позднее нас перебросили на фронт в район Пустошки. Мне известны и другие факты, когда немцы насильно мобилизовали болгар в германскую армию и отправляли на советско-германский фронт» (15069).</w:t>
      </w:r>
    </w:p>
    <w:p w14:paraId="04AF59DF" w14:textId="77777777" w:rsidR="007A1E0D" w:rsidRPr="007224C3" w:rsidRDefault="007A1E0D" w:rsidP="007224C3">
      <w:pPr>
        <w:spacing w:after="0" w:line="240" w:lineRule="auto"/>
        <w:jc w:val="both"/>
        <w:rPr>
          <w:rFonts w:ascii="Times New Roman" w:hAnsi="Times New Roman"/>
          <w:color w:val="000000" w:themeColor="text1"/>
          <w:sz w:val="16"/>
          <w:szCs w:val="16"/>
        </w:rPr>
      </w:pPr>
    </w:p>
    <w:p w14:paraId="56176F24" w14:textId="77777777" w:rsidR="007A1E0D" w:rsidRPr="007224C3" w:rsidRDefault="007A1E0D"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15 марта</w:t>
      </w:r>
      <w:r w:rsidRPr="007224C3">
        <w:rPr>
          <w:rFonts w:ascii="Times New Roman" w:hAnsi="Times New Roman"/>
          <w:color w:val="000000" w:themeColor="text1"/>
          <w:sz w:val="16"/>
          <w:szCs w:val="16"/>
        </w:rPr>
        <w:t xml:space="preserve"> в 1944 году началась Полесская наступательная операция советских войск. Войска 2—го Белорусского фронта (генерал—полковник П.А.Курочкин) нанесли поражение противнику и вышли в район Ковеля. Были созданы условия для проведения наступления на Люблинском и Брестском направлениях. Завершилась 4 апреля (15069).</w:t>
      </w:r>
    </w:p>
    <w:p w14:paraId="5C0F9B95" w14:textId="77777777" w:rsidR="007A1E0D" w:rsidRPr="007224C3" w:rsidRDefault="007A1E0D" w:rsidP="007224C3">
      <w:pPr>
        <w:spacing w:after="0" w:line="240" w:lineRule="auto"/>
        <w:jc w:val="both"/>
        <w:rPr>
          <w:rFonts w:ascii="Times New Roman" w:hAnsi="Times New Roman"/>
          <w:color w:val="000000" w:themeColor="text1"/>
          <w:sz w:val="16"/>
          <w:szCs w:val="16"/>
        </w:rPr>
      </w:pPr>
    </w:p>
    <w:p w14:paraId="5DD0855C"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марта 1944 войска 1-го Украинского фронта вышли к реке Буг - государственной границе СССР (4963 ).</w:t>
      </w:r>
    </w:p>
    <w:p w14:paraId="2398F948"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EA01759"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марта 1944 началась Полесская наступательная операция войск 2-го Белорусского фронта, проведённая 15 марта - 5 апреля с целью разгрома ковельской группировки противника (4963 ).</w:t>
      </w:r>
    </w:p>
    <w:p w14:paraId="1EAC8328"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B30567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March 15th, 1944: The Soviet 1st Ukrainian Front breaks through German defenses and reaches the Bug river, a 1941 German starting line for Operation Barbarossa (3819).</w:t>
      </w:r>
    </w:p>
    <w:p w14:paraId="68730C1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0A4CDC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15 марта по 4 апреля 1944 была Полесская операция по уничтожению Ковельской группировки и 2БФ (П.А.Курочкин) продвинулся на 30-40 км и вышли в район Ковеля (2443,30).</w:t>
      </w:r>
    </w:p>
    <w:p w14:paraId="6D769D2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7725BF"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Жизнь и внутренняя политика:</w:t>
      </w:r>
    </w:p>
    <w:p w14:paraId="47F00F1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F7FC53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C 15 марта 1944 повсеместно начали исполнять официальный гимн СССР (3398,9), который впервые по радио прозвучал 1 января 1944. На смену интернационалу пришел Союз нерушимый... (2070,173).</w:t>
      </w:r>
    </w:p>
    <w:p w14:paraId="43BCA87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98AC63" w14:textId="77777777" w:rsidR="007A1E0D" w:rsidRPr="007224C3" w:rsidRDefault="007A1E0D"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15 марта</w:t>
      </w:r>
      <w:r w:rsidRPr="007224C3">
        <w:rPr>
          <w:rFonts w:ascii="Times New Roman" w:hAnsi="Times New Roman"/>
          <w:color w:val="000000" w:themeColor="text1"/>
          <w:sz w:val="16"/>
          <w:szCs w:val="16"/>
        </w:rPr>
        <w:t xml:space="preserve"> в 1944 году официально стал исполняться Государственный гимн СССР "Союз нерушимых республик свободных» (15069).</w:t>
      </w:r>
    </w:p>
    <w:p w14:paraId="771A17CC" w14:textId="77777777" w:rsidR="007A1E0D" w:rsidRPr="007224C3" w:rsidRDefault="007A1E0D" w:rsidP="007224C3">
      <w:pPr>
        <w:spacing w:after="0" w:line="240" w:lineRule="auto"/>
        <w:jc w:val="both"/>
        <w:rPr>
          <w:rFonts w:ascii="Times New Roman" w:hAnsi="Times New Roman"/>
          <w:color w:val="000000" w:themeColor="text1"/>
          <w:sz w:val="16"/>
          <w:szCs w:val="16"/>
        </w:rPr>
      </w:pPr>
    </w:p>
    <w:p w14:paraId="3F0FD20A"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5CF996E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E1E405A"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15 марта</w:t>
      </w:r>
      <w:r w:rsidRPr="007224C3">
        <w:rPr>
          <w:rFonts w:ascii="Times New Roman" w:hAnsi="Times New Roman"/>
          <w:color w:val="000000" w:themeColor="text1"/>
          <w:sz w:val="16"/>
          <w:szCs w:val="16"/>
        </w:rPr>
        <w:t xml:space="preserve"> в 1944 году при попытке взлета в сильный холод разбился последний (третий) английский легкий транспортный самолет </w:t>
      </w:r>
      <w:hyperlink r:id="rId74" w:tgtFrame="_blank" w:history="1">
        <w:r w:rsidRPr="007224C3">
          <w:rPr>
            <w:rFonts w:ascii="Times New Roman" w:hAnsi="Times New Roman"/>
            <w:color w:val="000000" w:themeColor="text1"/>
            <w:sz w:val="16"/>
            <w:szCs w:val="16"/>
          </w:rPr>
          <w:t>«Short» «S.22» «Scion Senior».</w:t>
        </w:r>
      </w:hyperlink>
    </w:p>
    <w:p w14:paraId="1997BE40" w14:textId="77777777" w:rsidR="00FA2B3C" w:rsidRPr="007224C3" w:rsidRDefault="00FA2B3C" w:rsidP="007224C3">
      <w:pPr>
        <w:spacing w:after="0" w:line="240" w:lineRule="auto"/>
        <w:jc w:val="both"/>
        <w:rPr>
          <w:rFonts w:ascii="Times New Roman" w:hAnsi="Times New Roman"/>
          <w:color w:val="000000" w:themeColor="text1"/>
          <w:sz w:val="16"/>
          <w:szCs w:val="16"/>
        </w:rPr>
      </w:pPr>
    </w:p>
    <w:p w14:paraId="7B9AFD3B" w14:textId="77777777" w:rsidR="007D0B5C" w:rsidRPr="007224C3" w:rsidRDefault="007D0B5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15–16 марта (ночь) 1944 863 британских бомбардировщика атаковали Штутгарт, Германия, потеряв 37 самолетов (4,3 процента своих сил). Некоторые бомбы падают в центре и в юго-западной части города, но многие разбросаны по открытой местности (20373).</w:t>
      </w:r>
    </w:p>
    <w:p w14:paraId="03F1C523" w14:textId="77777777" w:rsidR="007D0B5C" w:rsidRPr="007224C3" w:rsidRDefault="007D0B5C" w:rsidP="007224C3">
      <w:pPr>
        <w:spacing w:after="0" w:line="240" w:lineRule="auto"/>
        <w:jc w:val="both"/>
        <w:rPr>
          <w:rFonts w:ascii="Times New Roman" w:hAnsi="Times New Roman"/>
          <w:color w:val="0070C0"/>
          <w:sz w:val="16"/>
          <w:szCs w:val="16"/>
        </w:rPr>
      </w:pPr>
    </w:p>
    <w:p w14:paraId="6D247733" w14:textId="77777777" w:rsidR="007D0B5C" w:rsidRPr="007224C3" w:rsidRDefault="007D0B5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15–16 марта (ночь) 1944 140 британских бомбардировщиков успешно атаковали железнодорожные станции в Амьене, Франция, потеряв три самолета (20373).</w:t>
      </w:r>
    </w:p>
    <w:p w14:paraId="2AFDD52B" w14:textId="77777777" w:rsidR="007D0B5C" w:rsidRPr="007224C3" w:rsidRDefault="007D0B5C" w:rsidP="007224C3">
      <w:pPr>
        <w:spacing w:after="0" w:line="240" w:lineRule="auto"/>
        <w:jc w:val="both"/>
        <w:rPr>
          <w:rFonts w:ascii="Times New Roman" w:hAnsi="Times New Roman"/>
          <w:color w:val="0070C0"/>
          <w:sz w:val="16"/>
          <w:szCs w:val="16"/>
        </w:rPr>
      </w:pPr>
    </w:p>
    <w:p w14:paraId="6D6A52F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Рано утром 15 марта 1944, согласно Вилли Лею, Дорнбергеру из Берхтесгадена (резиденция Гитлера) позвонил генерал Буле. Дорнбергеру было приказано немедленно явиться в Берхтесгаден к фельдмаршалу Кейтелю. Когда он туда прибыл, Буле сообщил ему, что доктор фон Браун и инженеры Клаус Ридель и Гельмут Греттруп арестованы гестапо. На следующий день Кейтель разъяснил Дорнбергеру, что арестованные, вероятно, будут казнены, так как обвиняются в саботаже разработки проекта ракеты А-4. Был якобы подслушан их разговор о том, что работа над ракетой А-4 ведется ими по принуждению, тогда как их заветной целью являются межпланетные путешествия.</w:t>
      </w:r>
    </w:p>
    <w:p w14:paraId="22FDFD5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&lt;…&gt; Арестованные были освобождены благодаря заявлению Дорнбергера под присягой, что эти люди необходимы для завершения работ над проектом ракеты А-4».</w:t>
      </w:r>
    </w:p>
    <w:p w14:paraId="04EDA9A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Эту же историю, но своими словами пересказывает и Альберт Шпеер (11688).</w:t>
      </w:r>
    </w:p>
    <w:p w14:paraId="2C91855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5B4499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March 15 1944 Second Allied attempt to capture Monte Cassino begins (1050).</w:t>
      </w:r>
    </w:p>
    <w:p w14:paraId="5079206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1DC8F0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марта 1944 была еще одна попытка штурма Монте Кассино (1050). Полностью разбомбили (2100), а по другим оценкам - третья (3907,248).</w:t>
      </w:r>
    </w:p>
    <w:p w14:paraId="1568765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916755"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15 марта</w:t>
      </w:r>
      <w:r w:rsidRPr="007224C3">
        <w:rPr>
          <w:rFonts w:ascii="Times New Roman" w:hAnsi="Times New Roman"/>
          <w:color w:val="000000" w:themeColor="text1"/>
          <w:sz w:val="16"/>
          <w:szCs w:val="16"/>
        </w:rPr>
        <w:t xml:space="preserve"> в 1944 году новозеландские и индийские войска на итальянском фронте вошли в Кассино, однако, в городе завязались ожесточенные бои (15069).</w:t>
      </w:r>
    </w:p>
    <w:p w14:paraId="5C3625C2" w14:textId="77777777" w:rsidR="00FA2B3C" w:rsidRPr="007224C3" w:rsidRDefault="00FA2B3C" w:rsidP="007224C3">
      <w:pPr>
        <w:spacing w:after="0" w:line="240" w:lineRule="auto"/>
        <w:jc w:val="both"/>
        <w:rPr>
          <w:rFonts w:ascii="Times New Roman" w:hAnsi="Times New Roman"/>
          <w:color w:val="000000" w:themeColor="text1"/>
          <w:sz w:val="16"/>
          <w:szCs w:val="16"/>
        </w:rPr>
      </w:pPr>
    </w:p>
    <w:p w14:paraId="24536350"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15 марта</w:t>
      </w:r>
      <w:r w:rsidRPr="007224C3">
        <w:rPr>
          <w:rFonts w:ascii="Times New Roman" w:hAnsi="Times New Roman"/>
          <w:color w:val="000000" w:themeColor="text1"/>
          <w:sz w:val="16"/>
          <w:szCs w:val="16"/>
        </w:rPr>
        <w:t xml:space="preserve"> в 1944 году начало наступления союзных войск в Центральной Италии (15069).</w:t>
      </w:r>
    </w:p>
    <w:p w14:paraId="2E15B3C1" w14:textId="77777777" w:rsidR="00FA2B3C" w:rsidRPr="007224C3" w:rsidRDefault="00FA2B3C" w:rsidP="007224C3">
      <w:pPr>
        <w:spacing w:after="0" w:line="240" w:lineRule="auto"/>
        <w:jc w:val="both"/>
        <w:rPr>
          <w:rFonts w:ascii="Times New Roman" w:hAnsi="Times New Roman"/>
          <w:color w:val="000000" w:themeColor="text1"/>
          <w:sz w:val="16"/>
          <w:szCs w:val="16"/>
        </w:rPr>
      </w:pPr>
    </w:p>
    <w:p w14:paraId="03FAD8E8" w14:textId="77777777" w:rsidR="00571952" w:rsidRPr="007224C3" w:rsidRDefault="00571952"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15–16 марта (ночь) 1944, совершив путешествие на расстояние 3500 морских миль (6 481 км) и обратно от острова Кваджалейн, 13 самолетов B-24 Liberators седьмого флота военно-воздушных сил США нанесли удар по японским базам на атолле Трук (20373).</w:t>
      </w:r>
    </w:p>
    <w:p w14:paraId="495FF155" w14:textId="77777777" w:rsidR="00571952" w:rsidRPr="007224C3" w:rsidRDefault="00571952" w:rsidP="007224C3">
      <w:pPr>
        <w:spacing w:after="0" w:line="240" w:lineRule="auto"/>
        <w:jc w:val="both"/>
        <w:rPr>
          <w:rFonts w:ascii="Times New Roman" w:hAnsi="Times New Roman"/>
          <w:color w:val="0070C0"/>
          <w:sz w:val="16"/>
          <w:szCs w:val="16"/>
        </w:rPr>
      </w:pPr>
    </w:p>
    <w:p w14:paraId="71C49A5A" w14:textId="77777777" w:rsidR="00F757E3" w:rsidRPr="007224C3" w:rsidRDefault="00F757E3"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1E6275DE" w14:textId="77777777" w:rsidR="00F757E3" w:rsidRPr="007224C3" w:rsidRDefault="00F757E3"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B2CFF52" w14:textId="77777777" w:rsidR="00F757E3" w:rsidRPr="007224C3" w:rsidRDefault="00F757E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 середине марта 1944 г., когда испытания опытной машины только завершились, был готов Головной серийный Ла-7. Самолеты выпуска весны 1944 г. по летным характеристикам почти не уступали опытной машине, но постепенно скорости слегка снизились. Традиционной причиной тому были уступки требованиям технологичности, вернее, упрощения конструкции в угоду производству. Но имели место и отклонения от конструкторской и технологической документации, а проще говоря — брак. Иногда и служба контроля качества, и военприемка соглашались «пропускать» такие самолеты, чтобы из-за «мелочей» не допускать срыва поставок. Но, как известно, в авиации мелочей нет, и это оборачивалось снижением летных данных, а то и авариями. Машины массового выпуска выдавали в середине 1944 г. не более 660 км/ч на высоте 6 000 м — впрочем, это было в допуске 3 %, заложенном в технические условия на поставку самолета. Но и при этом Ла-7 оставался быстрее серийного Як-3 того же периода на большинстве высот. Его преимущество на форсаже у земли было 33 … 58 км/ч, а на 1 900 м — 42 … 52 км/ч. Лучший истребитель Яковлева вырывался вперед на высотах 3 800 … 4 000 м и выигрывал до 12 км/ч, но выше 5 000 м снова отставал и на шести километрах отставал на 34 км/ч.</w:t>
      </w:r>
    </w:p>
    <w:p w14:paraId="684BDCA8" w14:textId="77777777" w:rsidR="00F757E3" w:rsidRPr="007224C3" w:rsidRDefault="00F757E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Новый «Лавочкин» оказался лучше серийного Як-3 в установившемся вираже, замыкая круг на высоте 1 000 м за 18 … 19 секунд — быстрее на 2 … 3 секунды. Но на неустановившихся маневрах выигрывал легкий и менее инертный Як-3, к тому же он отличался и лучшей управляемостью. Скороподъемность Ла-7 у земли была выше, чем у Як-3 примерно на 1,7 м/с, но уже на подходе к высоте 3 км преимущество переходило к «Яку» и до высоты 5 000 м составляло около 2 м/с, а далее снова выигрывал Ла-7, но немного. В итоге в наборе зачетных 5 000 м Лавочкин-7 уступал Яковлеву-3 символические 6 секунд. Набор высоты за боевой разворот был примерно равным — 1 200 м (22769).</w:t>
      </w:r>
    </w:p>
    <w:p w14:paraId="415CFA23" w14:textId="77777777" w:rsidR="00F757E3" w:rsidRPr="007224C3" w:rsidRDefault="00F757E3" w:rsidP="007224C3">
      <w:pPr>
        <w:spacing w:after="0" w:line="240" w:lineRule="auto"/>
        <w:jc w:val="both"/>
        <w:rPr>
          <w:rFonts w:ascii="Times New Roman" w:hAnsi="Times New Roman"/>
          <w:color w:val="0070C0"/>
          <w:sz w:val="16"/>
          <w:szCs w:val="16"/>
        </w:rPr>
      </w:pPr>
    </w:p>
    <w:p w14:paraId="119DB5BA"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6A51666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FD26259" w14:textId="77777777" w:rsidR="00137373" w:rsidRPr="007224C3" w:rsidRDefault="00137373" w:rsidP="007224C3">
      <w:pPr>
        <w:pStyle w:val="a3"/>
        <w:rPr>
          <w:color w:val="000000" w:themeColor="text1"/>
          <w:lang w:val="ru-RU"/>
        </w:rPr>
      </w:pPr>
      <w:r w:rsidRPr="007224C3">
        <w:rPr>
          <w:color w:val="000000" w:themeColor="text1"/>
          <w:lang w:val="ru-RU"/>
        </w:rPr>
        <w:t>С середины марта 1944 г. сборку танков Т-34 на ЧКЗ полностью прекратили. Совершенство</w:t>
      </w:r>
      <w:r w:rsidRPr="007224C3">
        <w:rPr>
          <w:color w:val="000000" w:themeColor="text1"/>
          <w:lang w:val="ru-RU"/>
        </w:rPr>
        <w:softHyphen/>
        <w:t>валась технология производства тяжелых танков, выстраивались новые поточные линии, задействовались новые виды оборудования, использовались все имеющиеся резервы про</w:t>
      </w:r>
      <w:r w:rsidRPr="007224C3">
        <w:rPr>
          <w:color w:val="000000" w:themeColor="text1"/>
          <w:lang w:val="ru-RU"/>
        </w:rPr>
        <w:softHyphen/>
        <w:t>изводства. Постановлением ГКО завод обязы</w:t>
      </w:r>
      <w:r w:rsidRPr="007224C3">
        <w:rPr>
          <w:color w:val="000000" w:themeColor="text1"/>
          <w:lang w:val="ru-RU"/>
        </w:rPr>
        <w:softHyphen/>
        <w:t>вался довести ежемесячный выпуск танков ИС до 500 шт.</w:t>
      </w:r>
    </w:p>
    <w:p w14:paraId="5513BD82" w14:textId="77777777" w:rsidR="00137373" w:rsidRPr="007224C3" w:rsidRDefault="00137373" w:rsidP="007224C3">
      <w:pPr>
        <w:pStyle w:val="a3"/>
        <w:rPr>
          <w:color w:val="000000" w:themeColor="text1"/>
          <w:lang w:val="ru-RU"/>
        </w:rPr>
      </w:pPr>
      <w:r w:rsidRPr="007224C3">
        <w:rPr>
          <w:color w:val="000000" w:themeColor="text1"/>
          <w:lang w:val="ru-RU"/>
        </w:rPr>
        <w:t>Следует отметить, что начиная с 1943 г. ЧКЗ выпускал практически поровну два типа тяжелых боевых машин — танки и САУ. Количе</w:t>
      </w:r>
      <w:r w:rsidRPr="007224C3">
        <w:rPr>
          <w:color w:val="000000" w:themeColor="text1"/>
          <w:lang w:val="ru-RU"/>
        </w:rPr>
        <w:softHyphen/>
        <w:t>ственное соотношение между ними менялось не столь существенно, чтобы влиять на общее число выпускаемых машин. А зависело оно, в основном, от поставок заводу артиллерийских орудий различного типа и калибра предприя</w:t>
      </w:r>
      <w:r w:rsidRPr="007224C3">
        <w:rPr>
          <w:color w:val="000000" w:themeColor="text1"/>
          <w:lang w:val="ru-RU"/>
        </w:rPr>
        <w:softHyphen/>
        <w:t>тиями Наркомата вооружения.</w:t>
      </w:r>
    </w:p>
    <w:p w14:paraId="715A0182" w14:textId="77777777" w:rsidR="00137373" w:rsidRPr="007224C3" w:rsidRDefault="00137373" w:rsidP="007224C3">
      <w:pPr>
        <w:pStyle w:val="a3"/>
        <w:rPr>
          <w:color w:val="000000" w:themeColor="text1"/>
          <w:lang w:val="ru-RU"/>
        </w:rPr>
      </w:pPr>
      <w:r w:rsidRPr="007224C3">
        <w:rPr>
          <w:color w:val="000000" w:themeColor="text1"/>
          <w:lang w:val="ru-RU"/>
        </w:rPr>
        <w:t>За разработку и внедрение в производ</w:t>
      </w:r>
      <w:r w:rsidRPr="007224C3">
        <w:rPr>
          <w:color w:val="000000" w:themeColor="text1"/>
          <w:lang w:val="ru-RU"/>
        </w:rPr>
        <w:softHyphen/>
        <w:t>ство новых тяжелых танков ИС Г.Н. Москвин в числе других работников Кировского и Опыт</w:t>
      </w:r>
      <w:r w:rsidRPr="007224C3">
        <w:rPr>
          <w:color w:val="000000" w:themeColor="text1"/>
          <w:lang w:val="ru-RU"/>
        </w:rPr>
        <w:softHyphen/>
        <w:t>ного заводов в 1944 г. был награжден орденом Ленина (12617).</w:t>
      </w:r>
    </w:p>
    <w:p w14:paraId="24F8DDE7" w14:textId="77777777" w:rsidR="00137373" w:rsidRPr="007224C3" w:rsidRDefault="00137373" w:rsidP="007224C3">
      <w:pPr>
        <w:pStyle w:val="a3"/>
        <w:rPr>
          <w:color w:val="000000" w:themeColor="text1"/>
          <w:lang w:val="ru-RU"/>
        </w:rPr>
      </w:pPr>
    </w:p>
    <w:p w14:paraId="7A659C3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середине марта 1944 г. началась разработка эскизного проекта машины, первоначально названной ЭСУ-100. В те</w:t>
      </w:r>
      <w:r w:rsidRPr="007224C3">
        <w:rPr>
          <w:rFonts w:ascii="Times New Roman" w:hAnsi="Times New Roman"/>
          <w:color w:val="000000" w:themeColor="text1"/>
          <w:sz w:val="16"/>
          <w:szCs w:val="16"/>
        </w:rPr>
        <w:softHyphen/>
        <w:t>чение месяца были спроектированы ее основные узлы: бронекорпус, подвеска на торсионных валах с использованием опорных катков Т-34, электротрансмиссия, боевое отделение под 85-мм орудие большой мощности и 100-мм орудие Д-10. В целом проект был одобрен к исполнению на пленуме НКТП в апреле 1944 г. (11417)</w:t>
      </w:r>
    </w:p>
    <w:p w14:paraId="2725E34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38C44B3" w14:textId="77777777" w:rsidR="00137373"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67346C2E" w14:textId="77777777" w:rsidR="00137373" w:rsidRPr="007224C3" w:rsidRDefault="00137373"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12702F1"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середине марта 1944 в одну из ночей в Ушачи опять стартовали аэросцепки. Первой вылетела четвёрка А-7 - их тянули бомбардировщики СБ. Планё</w:t>
      </w:r>
      <w:r w:rsidRPr="007224C3">
        <w:rPr>
          <w:rFonts w:ascii="Times New Roman" w:hAnsi="Times New Roman"/>
          <w:color w:val="000000" w:themeColor="text1"/>
          <w:sz w:val="16"/>
          <w:szCs w:val="16"/>
        </w:rPr>
        <w:softHyphen/>
        <w:t>ры пилотировали сержанты Тетерев, Карасев, Дедюлин и Матвеев. А-7 Те</w:t>
      </w:r>
      <w:r w:rsidRPr="007224C3">
        <w:rPr>
          <w:rFonts w:ascii="Times New Roman" w:hAnsi="Times New Roman"/>
          <w:color w:val="000000" w:themeColor="text1"/>
          <w:sz w:val="16"/>
          <w:szCs w:val="16"/>
        </w:rPr>
        <w:softHyphen/>
        <w:t>терева был загружен толом и противо</w:t>
      </w:r>
      <w:r w:rsidRPr="007224C3">
        <w:rPr>
          <w:rFonts w:ascii="Times New Roman" w:hAnsi="Times New Roman"/>
          <w:color w:val="000000" w:themeColor="text1"/>
          <w:sz w:val="16"/>
          <w:szCs w:val="16"/>
        </w:rPr>
        <w:softHyphen/>
        <w:t>танковыми гранатами так, что пилоту пришлось залезать в кабину не через дверь, а через снятый плексигласовый колпак фонаря.</w:t>
      </w:r>
    </w:p>
    <w:p w14:paraId="30A8B669"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высоте 3000 м четвёрка подошла к расчётной точке отцепки, и пилоты увидели на земле мерцающие огни в виде буквы «Т». Миганием ручного фонаря стрелок-радист буксировщика подал планеристу команду на отцепку. Тетерев, не без труда рассчитав посад</w:t>
      </w:r>
      <w:r w:rsidRPr="007224C3">
        <w:rPr>
          <w:rFonts w:ascii="Times New Roman" w:hAnsi="Times New Roman"/>
          <w:color w:val="000000" w:themeColor="text1"/>
          <w:sz w:val="16"/>
          <w:szCs w:val="16"/>
        </w:rPr>
        <w:softHyphen/>
        <w:t>ку, приземлился около третьего костра. «За мной идут ещё три!» - сообщил он подбежавшим партизанам. Но его то</w:t>
      </w:r>
      <w:r w:rsidRPr="007224C3">
        <w:rPr>
          <w:rFonts w:ascii="Times New Roman" w:hAnsi="Times New Roman"/>
          <w:color w:val="000000" w:themeColor="text1"/>
          <w:sz w:val="16"/>
          <w:szCs w:val="16"/>
        </w:rPr>
        <w:softHyphen/>
        <w:t>варищи не прилетели - один разбился в 5-7 км от площадки, второй планёр сорвался с троса во время выполнения противозенитного манёвра, однако груз удалось передать другому партизанс</w:t>
      </w:r>
      <w:r w:rsidRPr="007224C3">
        <w:rPr>
          <w:rFonts w:ascii="Times New Roman" w:hAnsi="Times New Roman"/>
          <w:color w:val="000000" w:themeColor="text1"/>
          <w:sz w:val="16"/>
          <w:szCs w:val="16"/>
        </w:rPr>
        <w:softHyphen/>
        <w:t>кому отряду, а у третьего обрыв буксира произошёл над линией фронта; он сел, к счастью, на нашей стороне (12266).</w:t>
      </w:r>
    </w:p>
    <w:p w14:paraId="536AB256" w14:textId="77777777" w:rsidR="00137373" w:rsidRPr="007224C3" w:rsidRDefault="00137373" w:rsidP="007224C3">
      <w:pPr>
        <w:spacing w:after="0" w:line="240" w:lineRule="auto"/>
        <w:jc w:val="both"/>
        <w:rPr>
          <w:rFonts w:ascii="Times New Roman" w:hAnsi="Times New Roman"/>
          <w:color w:val="000000" w:themeColor="text1"/>
          <w:sz w:val="16"/>
          <w:szCs w:val="16"/>
        </w:rPr>
      </w:pPr>
    </w:p>
    <w:p w14:paraId="3F485F10" w14:textId="17F3BF02" w:rsidR="00595BFB" w:rsidRPr="007224C3" w:rsidRDefault="00595BFB" w:rsidP="007224C3">
      <w:pPr>
        <w:widowControl w:val="0"/>
        <w:autoSpaceDE w:val="0"/>
        <w:autoSpaceDN w:val="0"/>
        <w:adjustRightInd w:val="0"/>
        <w:spacing w:after="0" w:line="240" w:lineRule="auto"/>
        <w:jc w:val="both"/>
        <w:rPr>
          <w:rFonts w:ascii="Times New Roman" w:hAnsi="Times New Roman"/>
          <w:i/>
          <w:color w:val="000000" w:themeColor="text1"/>
          <w:sz w:val="16"/>
          <w:szCs w:val="16"/>
        </w:rPr>
      </w:pPr>
      <w:r w:rsidRPr="007224C3">
        <w:rPr>
          <w:rFonts w:ascii="Times New Roman" w:hAnsi="Times New Roman"/>
          <w:i/>
          <w:color w:val="000000" w:themeColor="text1"/>
          <w:sz w:val="16"/>
          <w:szCs w:val="16"/>
        </w:rPr>
        <w:t>За ру</w:t>
      </w:r>
      <w:r w:rsidR="00F757E3" w:rsidRPr="007224C3">
        <w:rPr>
          <w:rFonts w:ascii="Times New Roman" w:hAnsi="Times New Roman"/>
          <w:i/>
          <w:color w:val="000000" w:themeColor="text1"/>
          <w:sz w:val="16"/>
          <w:szCs w:val="16"/>
        </w:rPr>
        <w:t>б</w:t>
      </w:r>
      <w:r w:rsidRPr="007224C3">
        <w:rPr>
          <w:rFonts w:ascii="Times New Roman" w:hAnsi="Times New Roman"/>
          <w:i/>
          <w:color w:val="000000" w:themeColor="text1"/>
          <w:sz w:val="16"/>
          <w:szCs w:val="16"/>
        </w:rPr>
        <w:t>ежом;</w:t>
      </w:r>
    </w:p>
    <w:p w14:paraId="5673D02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
          <w:color w:val="000000" w:themeColor="text1"/>
          <w:sz w:val="16"/>
          <w:szCs w:val="16"/>
        </w:rPr>
      </w:pPr>
    </w:p>
    <w:p w14:paraId="3404BB1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середине марта 1944 года решение не было найдено, Министерству вооружений показалось, что пришла пора закрыть проект. Группа представителей генералов отправилась на полигон, чтобы присутствовать при демонстрации проделанной работы – увиденное строгую комиссию не порадовало, и работа Кендерса была взята под строгий контроль. В конечном итоге это пошло на пользу. Шесть различных фирм, включая кампанию «Шкода» и заводы Круппа, получили заказы и разработали удовлетворительные варианты снарядов. Проблемы затвора были решены подключением запирающего поршня между снарядом и первоначальным зарядом, и уже эти меры решили проблему строгого контроля за последовательностью детонации вспомогательных зарядов. К концу мая изготовлявшееся опытное орудие демонстрировало вполне удовлетворительные результаты: дальность полета снаряда достигала 80 км. Но тут, после двадцать пятого выстрела, две боковые камеры экспериментального ствола «V-3» взорвались, в следствие чего орудие получило серьезные повреждения. Были заказаны новые экземпляры камер, а следующее испытание наметили на начало июля.</w:t>
      </w:r>
    </w:p>
    <w:p w14:paraId="3489215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июля снова были проведены стрельбы из испытательных образцов орудия. На этот раз удалось сделать восемь выстрелов и достигнуть дальности стрельбы в 93 км. После чего экспериментальное орудие снова взорвалось.</w:t>
      </w:r>
    </w:p>
    <w:p w14:paraId="0BCFE55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6 июля английские ВВС совершили очередной налет на строящиеся позиции. Итоги рейда бомбардировщиков элитной 617-й эскадрильи были опустошительными. Площадка была полностью выведена из строя, и до самого захвата этой территории союзными войсками там никакие работы уже не проводились.</w:t>
      </w:r>
    </w:p>
    <w:p w14:paraId="419ED87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Есть сведения, что разработка «V-3» еще продолжалась. Когда союзные войска захватили Хиллерслебен, они нашли там два орудия в поврежденном состоянии, одно – с 10 парами вспомогательных камер (сконструированных под прямым углом к оси канала ствола), и второе – с пятью парами под углом в 45°. Оба орудия имели длину 75 м. Есть свидетельства и о том, что эти две короткоствольных версии были все же использованы против американских войск во время боев 30 декабря 1944 года и 2 января 1945 года, обстреливая Люксембург, находившийся в 40 км от них (11688).</w:t>
      </w:r>
    </w:p>
    <w:p w14:paraId="05E2D8C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A5BB1ED" w14:textId="77777777" w:rsidR="00FC06BB" w:rsidRPr="007224C3" w:rsidRDefault="00FC06BB"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 xml:space="preserve">К середине марта 1944 года удовлетворительное решение стабилизации снарядов к пушке </w:t>
      </w:r>
      <w:r w:rsidRPr="007224C3">
        <w:rPr>
          <w:rFonts w:ascii="Times New Roman" w:hAnsi="Times New Roman"/>
          <w:color w:val="0070C0"/>
          <w:sz w:val="16"/>
          <w:szCs w:val="16"/>
          <w:lang w:val="en-US"/>
        </w:rPr>
        <w:t>V</w:t>
      </w:r>
      <w:r w:rsidRPr="007224C3">
        <w:rPr>
          <w:rFonts w:ascii="Times New Roman" w:hAnsi="Times New Roman"/>
          <w:color w:val="0070C0"/>
          <w:sz w:val="16"/>
          <w:szCs w:val="16"/>
        </w:rPr>
        <w:t>-3 в полете так и не было найдено, Министерству вооружений показалось, что пришла пора закрыть проект. Группа представителей генералов отправилась на полигон, чтобы присутствовать при демонстрации проделанной работы — увиденное комиссию не порадовало, и работа Кендерса была взята под строгий контроль. В конечном итоге это пошло на пользу. Шесть различных фирм, включая компанию «Шкода» и заводы Круппа, получили заказы и разработали удовлетворительные варианты снарядов. К концу мая изготовлявшееся опытное орудие демонстрировало вполне сносные результаты: дальность полета снаряда достигала 80 км. Но тут, после двадцать пятого выстрела, две боковые камеры экспериментального ствола «V-3» взорвались, вследствие чего орудие получило серьезные повреждения. Были заказаны новые экземпляры камер, а следующее испытание наметили на начало июля. 4 июля снова были проведены стрельбы из экспериментального орудия. На этот раз удалось сделать восемь выстрелов и достигнуть дальности стрельбы в 93 км. После чего экспериментальное орудие снова взорвалось (22870).</w:t>
      </w:r>
    </w:p>
    <w:p w14:paraId="4AC59D00" w14:textId="77777777" w:rsidR="00FC06BB" w:rsidRPr="007224C3" w:rsidRDefault="00FC06BB" w:rsidP="007224C3">
      <w:pPr>
        <w:spacing w:after="0" w:line="240" w:lineRule="auto"/>
        <w:jc w:val="both"/>
        <w:rPr>
          <w:rFonts w:ascii="Times New Roman" w:hAnsi="Times New Roman"/>
          <w:color w:val="0070C0"/>
          <w:sz w:val="16"/>
          <w:szCs w:val="16"/>
        </w:rPr>
      </w:pPr>
    </w:p>
    <w:p w14:paraId="6AA2D65B"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0406444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F75AB0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марта 1944 г. в Омске был собран первый серийный Як-9У. Тогда, в марте, заводской летчик капитан М.Я.Федотов вынужден был совершить посадку уже через 10 минут полета во избежание худшего: из мотора пошел дым. Изменения в выхлопных патрубках оказались не единственными. Кроме того, для снижения температуры в подкапотном пространстве сделали жабры на боковых крышках капотов и усилили кожухи обдува коллекторов. Более совершенной стала схема суфлирования мотора и маслобака. Для снижения усилий на ручке, несколько уменьшили площадь руля высоты. Кстати, начиная с этого времени моторы М-107А получили наименование ВК-107А в честь главного конструктора Владимира Климова. После облета первого серийного самолета, старший военпред завода инженер-подполковник подготовил дефектную ведомость, которая включапа 30 пунктов, причем 28 из них относились к конструктивным недостаткам. Военная премка в этом конфликте выступила на стороне дирекции завода, посчитав, что главный конструктор и его представители не проявляют настойчивости в устранении дефектов новой машины.</w:t>
      </w:r>
    </w:p>
    <w:p w14:paraId="60304DC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Согласно архивным даным, серийный самолет отличался от опытного не только в лучшую сторону. Внешняя отделка была далеко не столь совершенна: отсутствовала полировка поверхностей и не было специальных перегородок, закрывающих шели. Фонарь серийного самолета не имел механизма аварийного сброса, а бронезащита пилота была в конструктивном отношении подобна установленной на серийном Як-9 с мотором М-105ПФ, и в нынешних условиях уже не соответствовала требованиям ВВС Красной Армии (4842).</w:t>
      </w:r>
    </w:p>
    <w:p w14:paraId="38253B9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6BD75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16 марта 1944 г. закончились заводские испытания самолета У-2ШС на Центральном московском аэродроме им. Фрунзе, которые проходили с 14 марта. Летал испытатель майор Гаврилов, кото</w:t>
      </w:r>
      <w:r w:rsidRPr="007224C3">
        <w:rPr>
          <w:rFonts w:ascii="Times New Roman" w:hAnsi="Times New Roman"/>
          <w:color w:val="000000" w:themeColor="text1"/>
          <w:sz w:val="16"/>
          <w:szCs w:val="16"/>
        </w:rPr>
        <w:softHyphen/>
        <w:t>рый отметил, что самолет устойчив, пило</w:t>
      </w:r>
      <w:r w:rsidRPr="007224C3">
        <w:rPr>
          <w:rFonts w:ascii="Times New Roman" w:hAnsi="Times New Roman"/>
          <w:color w:val="000000" w:themeColor="text1"/>
          <w:sz w:val="16"/>
          <w:szCs w:val="16"/>
        </w:rPr>
        <w:softHyphen/>
        <w:t>тирование приятное благодаря наличию триммера, в остальном аппарат практиче</w:t>
      </w:r>
      <w:r w:rsidRPr="007224C3">
        <w:rPr>
          <w:rFonts w:ascii="Times New Roman" w:hAnsi="Times New Roman"/>
          <w:color w:val="000000" w:themeColor="text1"/>
          <w:sz w:val="16"/>
          <w:szCs w:val="16"/>
        </w:rPr>
        <w:softHyphen/>
        <w:t>ски не отличается от обычного У-2 (11085).</w:t>
      </w:r>
    </w:p>
    <w:p w14:paraId="4F30E30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821C6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марта 1944 А.Г.Кочетков и и Ф.П.Супрун, вылетевшие с ЦА в США по северному маршруту 17 февраля 1944, прилетели в Вашингтон только (172,168).</w:t>
      </w:r>
    </w:p>
    <w:p w14:paraId="17891A6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C6999E"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3AFFFEB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9DB94C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16 марта по 22 апреля 1944 в НИМАПе (научно-исследовательском морском полигоне) были проведены испытания опытного образца 4-У-23 для катеров, разработанного на основе ВЯ (1116,51).</w:t>
      </w:r>
    </w:p>
    <w:p w14:paraId="47E7DFD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83793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16 марта по 22 апреля 1944 года на НИМАПе были проведены полигонные испытания счетверенной флотской зенитной установки 4-У-23. Установка была принята на вооружение и поступила в валовое производство. Несколько 4-У-23 поступили на катера и успели принять боевое крещение в самом конце войны. После войны работы над 23-мм установками с автоматами ВЯ были прекращены, так как огневая мощь их была признана недостаточной для вооружения кораблей.</w:t>
      </w:r>
    </w:p>
    <w:p w14:paraId="3FCD6C8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После войны работы над 23-мм установками с автоматами ВЯ были прекращены, так как огневая мощь их была признана недостаточной для вооружения кораблей. В 1960 году были построены два торпедных катера пр.125, а в 1963-1967 годах - шестнадцать пограничных катеров на подводных крыльях пр.125А. Их артиллерийское вооружение состояло из двух спаренных АУ с 23-мм авиационными автоматами АМ-23 конструкции Афанасьева и Макарова (3861).</w:t>
      </w:r>
    </w:p>
    <w:p w14:paraId="46CA1A9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6AE3A1"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марта 1944 года вышел приказ № 160с НКТП</w:t>
      </w:r>
    </w:p>
    <w:p w14:paraId="69AB69FB"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связи прекращением производства танков Т-34 на Кировском заводе и бронекорпусов танков Т-34 на Уралмашзаводе с марта 1944 года (6210, 44).</w:t>
      </w:r>
    </w:p>
    <w:p w14:paraId="700DC1DC"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AD3028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марта 1944 г. были начаты испытания стрельбой 203-мм самоходной гаубицы на шасси танка КВ-1с, с которого была снята башня и установлена вращающаяся часть 203-мм гаубицы Б-4 - гаубицы С-51. В ходе полигонных испытаний было сделано 209 выстрелов и пройдено 244 км. Стрельба велась бронебойным снарядом весом 100 кг. Были отмечены большой отход системы назад при выстреле, сбиваемость наводки, а также большое боковое рассеивание, обусловленное боковым смещением орудия при выстреле. При малых углах возвышения из-за откатывания самохода "бойцы слетали с платформы установки и падали на грунт". Во время пробега по шоссе со средней скоростью 32 км/час запас хода оказался 200 км, а по грунтовой дороге со скоростью 23 км/час запас хода 160 км. Максимальный преодолеваемый подъем 22 (3861).</w:t>
      </w:r>
    </w:p>
    <w:p w14:paraId="6C155E7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D50DFD" w14:textId="77777777" w:rsidR="00282955" w:rsidRPr="007224C3" w:rsidRDefault="00282955" w:rsidP="007224C3">
      <w:pPr>
        <w:pStyle w:val="a3"/>
        <w:rPr>
          <w:color w:val="000000" w:themeColor="text1"/>
          <w:lang w:val="ru-RU"/>
        </w:rPr>
      </w:pPr>
      <w:r w:rsidRPr="007224C3">
        <w:rPr>
          <w:color w:val="000000" w:themeColor="text1"/>
          <w:lang w:val="ru-RU"/>
        </w:rPr>
        <w:t>16 марта 1944 года начались испытания самоходной установки. Ввиду отсутствия на АНИОП фугасных снарядов для Б-4 стрельбу на кучность проводили бетонобойными боеприпасами, что одновремен</w:t>
      </w:r>
      <w:r w:rsidRPr="007224C3">
        <w:rPr>
          <w:color w:val="000000" w:themeColor="text1"/>
          <w:lang w:val="ru-RU"/>
        </w:rPr>
        <w:softHyphen/>
        <w:t>но сократило программу полигонных испытаний. 16-го числа было сделано 18 выстрелов. Всего же за время огневых испытаний, про</w:t>
      </w:r>
      <w:r w:rsidRPr="007224C3">
        <w:rPr>
          <w:color w:val="000000" w:themeColor="text1"/>
          <w:lang w:val="ru-RU"/>
        </w:rPr>
        <w:softHyphen/>
        <w:t>должавшихся до 24 марта, было произведено 209 выстрелов, из них 135 усиленным зарядом.</w:t>
      </w:r>
    </w:p>
    <w:p w14:paraId="2A865CFB" w14:textId="77777777" w:rsidR="00282955" w:rsidRPr="007224C3" w:rsidRDefault="00282955" w:rsidP="007224C3">
      <w:pPr>
        <w:pStyle w:val="a3"/>
        <w:rPr>
          <w:color w:val="000000" w:themeColor="text1"/>
          <w:lang w:val="ru-RU"/>
        </w:rPr>
      </w:pPr>
      <w:r w:rsidRPr="007224C3">
        <w:rPr>
          <w:color w:val="000000" w:themeColor="text1"/>
          <w:lang w:val="ru-RU"/>
        </w:rPr>
        <w:t>В ходе стрельбы под углом 30 градусов выяснилось, что во время про</w:t>
      </w:r>
      <w:r w:rsidRPr="007224C3">
        <w:rPr>
          <w:color w:val="000000" w:themeColor="text1"/>
          <w:lang w:val="ru-RU"/>
        </w:rPr>
        <w:softHyphen/>
        <w:t>ведения выстрела С-51 отходит на 1000 — 1300 мм, а накат вперед состав</w:t>
      </w:r>
      <w:r w:rsidRPr="007224C3">
        <w:rPr>
          <w:color w:val="000000" w:themeColor="text1"/>
          <w:lang w:val="ru-RU"/>
        </w:rPr>
        <w:softHyphen/>
        <w:t>лял 200 мм. При стрельбе носовая часть самоходной установки поднима</w:t>
      </w:r>
      <w:r w:rsidRPr="007224C3">
        <w:rPr>
          <w:color w:val="000000" w:themeColor="text1"/>
          <w:lang w:val="ru-RU"/>
        </w:rPr>
        <w:softHyphen/>
        <w:t>лась вверх на величину от 250 до 450 мм, в то время как корма приседала на 200—300 мм. Одновременно отмечалось, что величина прыжка право</w:t>
      </w:r>
      <w:r w:rsidRPr="007224C3">
        <w:rPr>
          <w:color w:val="000000" w:themeColor="text1"/>
          <w:lang w:val="ru-RU"/>
        </w:rPr>
        <w:softHyphen/>
        <w:t>го борта была на 100 мм выше, чем левого. При стрельбе на угол 45</w:t>
      </w:r>
      <w:r w:rsidRPr="007224C3">
        <w:rPr>
          <w:rStyle w:val="BodytextConstantia"/>
          <w:rFonts w:ascii="Times New Roman" w:hAnsi="Times New Roman" w:cs="Times New Roman"/>
          <w:b w:val="0"/>
          <w:color w:val="000000" w:themeColor="text1"/>
          <w:sz w:val="16"/>
          <w:szCs w:val="16"/>
          <w:lang w:val="ru-RU"/>
        </w:rPr>
        <w:t>гра</w:t>
      </w:r>
      <w:r w:rsidRPr="007224C3">
        <w:rPr>
          <w:color w:val="000000" w:themeColor="text1"/>
          <w:lang w:val="ru-RU"/>
        </w:rPr>
        <w:t>дусов отход самохода достигал 750—1000 мм, а накат 330 мм, носоваячасть поднималась на 100—180 мм, а кормовая приседала на 120—140 мм. Стрельба на угле 57 градусов выявила отход 400—750 мм, накат 300 мм, подъем носовой части на 60—150 мм, а оседание кормовой части на 50— 100 мм. Таким образом, устойчивость С-51 признали неудовлетвори</w:t>
      </w:r>
      <w:r w:rsidRPr="007224C3">
        <w:rPr>
          <w:color w:val="000000" w:themeColor="text1"/>
          <w:lang w:val="ru-RU"/>
        </w:rPr>
        <w:softHyphen/>
        <w:t>тельной, кроме того, отмечалась высокая сбиваемость прицела.</w:t>
      </w:r>
    </w:p>
    <w:p w14:paraId="7FA9DA41" w14:textId="77777777" w:rsidR="00282955" w:rsidRPr="007224C3" w:rsidRDefault="00282955" w:rsidP="007224C3">
      <w:pPr>
        <w:pStyle w:val="a3"/>
        <w:rPr>
          <w:color w:val="000000" w:themeColor="text1"/>
          <w:lang w:val="ru-RU"/>
        </w:rPr>
      </w:pPr>
      <w:r w:rsidRPr="007224C3">
        <w:rPr>
          <w:color w:val="000000" w:themeColor="text1"/>
          <w:lang w:val="ru-RU"/>
        </w:rPr>
        <w:t>Стрельба на прочность (100 выстрелов усиленным зарядом) про</w:t>
      </w:r>
      <w:r w:rsidRPr="007224C3">
        <w:rPr>
          <w:color w:val="000000" w:themeColor="text1"/>
          <w:lang w:val="ru-RU"/>
        </w:rPr>
        <w:softHyphen/>
        <w:t>блем не выявила, повреждений осмотром не обнаружилось. Испыта</w:t>
      </w:r>
      <w:r w:rsidRPr="007224C3">
        <w:rPr>
          <w:color w:val="000000" w:themeColor="text1"/>
          <w:lang w:val="ru-RU"/>
        </w:rPr>
        <w:softHyphen/>
        <w:t>ния на скорострельность, в которых принимало участие 7 человек рас</w:t>
      </w:r>
      <w:r w:rsidRPr="007224C3">
        <w:rPr>
          <w:color w:val="000000" w:themeColor="text1"/>
          <w:lang w:val="ru-RU"/>
        </w:rPr>
        <w:softHyphen/>
        <w:t>чета, выявила среднюю цифру, равную 1 выстрелу в 1,5 минуты.</w:t>
      </w:r>
    </w:p>
    <w:p w14:paraId="3226DDFC" w14:textId="77777777" w:rsidR="00282955" w:rsidRPr="007224C3" w:rsidRDefault="00282955" w:rsidP="007224C3">
      <w:pPr>
        <w:pStyle w:val="a3"/>
        <w:rPr>
          <w:color w:val="000000" w:themeColor="text1"/>
          <w:lang w:val="ru-RU"/>
        </w:rPr>
      </w:pPr>
      <w:r w:rsidRPr="007224C3">
        <w:rPr>
          <w:color w:val="000000" w:themeColor="text1"/>
          <w:lang w:val="ru-RU"/>
        </w:rPr>
        <w:t>Испытания пробегом проводились с 25 марта по 4 апреля. Само</w:t>
      </w:r>
      <w:r w:rsidRPr="007224C3">
        <w:rPr>
          <w:color w:val="000000" w:themeColor="text1"/>
          <w:lang w:val="ru-RU"/>
        </w:rPr>
        <w:softHyphen/>
        <w:t>ходную установку проверяли в различных дорожных условиях, глуби</w:t>
      </w:r>
      <w:r w:rsidRPr="007224C3">
        <w:rPr>
          <w:color w:val="000000" w:themeColor="text1"/>
          <w:lang w:val="ru-RU"/>
        </w:rPr>
        <w:softHyphen/>
        <w:t>на снежного покрова при этом достигала 200 мм. В общей сложности С-51 прошла 524 километра, из них 16 по булыжной мостовой и 40 по бездорожью. Основной объем ходовых испытаний пришелся на ас</w:t>
      </w:r>
      <w:r w:rsidRPr="007224C3">
        <w:rPr>
          <w:color w:val="000000" w:themeColor="text1"/>
          <w:lang w:val="ru-RU"/>
        </w:rPr>
        <w:softHyphen/>
        <w:t>фальтированное шоссе, поскольку требовались поездки на завод № 112. В ходе ходовых испытаний на шоссе была достигнута максимальная скорость 32 км/ч, а по бездорожью 22 км/ч. Специальных испыта</w:t>
      </w:r>
      <w:r w:rsidRPr="007224C3">
        <w:rPr>
          <w:color w:val="000000" w:themeColor="text1"/>
          <w:lang w:val="ru-RU"/>
        </w:rPr>
        <w:softHyphen/>
        <w:t>ний не проводилось, поскольку имелись различные поломки ходовой части. На 240-м километре вышли их строя правый бортовой фрикци</w:t>
      </w:r>
      <w:r w:rsidRPr="007224C3">
        <w:rPr>
          <w:color w:val="000000" w:themeColor="text1"/>
          <w:lang w:val="ru-RU"/>
        </w:rPr>
        <w:softHyphen/>
        <w:t>он и тормозная лента, еще раз правый фрикцион дал о себе знать на 360-м километре. Несколько раз имели место проблемы с гусеничны</w:t>
      </w:r>
      <w:r w:rsidRPr="007224C3">
        <w:rPr>
          <w:color w:val="000000" w:themeColor="text1"/>
          <w:lang w:val="ru-RU"/>
        </w:rPr>
        <w:softHyphen/>
        <w:t>ми лентами, срезало болты на крышках катков. Вместе с тем с двига</w:t>
      </w:r>
      <w:r w:rsidRPr="007224C3">
        <w:rPr>
          <w:color w:val="000000" w:themeColor="text1"/>
          <w:lang w:val="ru-RU"/>
        </w:rPr>
        <w:softHyphen/>
        <w:t>телем и торсионами проблем не возникало, что лишний раз подтверж</w:t>
      </w:r>
      <w:r w:rsidRPr="007224C3">
        <w:rPr>
          <w:color w:val="000000" w:themeColor="text1"/>
          <w:lang w:val="ru-RU"/>
        </w:rPr>
        <w:softHyphen/>
        <w:t>дало прочность ходовой части после программы огневых испытаний.</w:t>
      </w:r>
    </w:p>
    <w:p w14:paraId="181ED574" w14:textId="77777777" w:rsidR="00282955" w:rsidRPr="007224C3" w:rsidRDefault="00282955" w:rsidP="007224C3">
      <w:pPr>
        <w:pStyle w:val="a3"/>
        <w:rPr>
          <w:color w:val="000000" w:themeColor="text1"/>
          <w:lang w:val="ru-RU"/>
        </w:rPr>
      </w:pPr>
      <w:r w:rsidRPr="007224C3">
        <w:rPr>
          <w:color w:val="000000" w:themeColor="text1"/>
          <w:lang w:val="ru-RU"/>
        </w:rPr>
        <w:t>Завершились испытания 6 апреля, а 9-го числа комиссия АНИОП дала заключение по их результатам:</w:t>
      </w:r>
    </w:p>
    <w:p w14:paraId="71EF92DD" w14:textId="77777777" w:rsidR="00282955" w:rsidRPr="007224C3" w:rsidRDefault="00282955" w:rsidP="007224C3">
      <w:pPr>
        <w:pStyle w:val="Bodytext141"/>
        <w:shd w:val="clear" w:color="auto" w:fill="auto"/>
        <w:spacing w:line="240" w:lineRule="auto"/>
        <w:ind w:firstLine="0"/>
        <w:jc w:val="both"/>
        <w:rPr>
          <w:i w:val="0"/>
          <w:color w:val="000000" w:themeColor="text1"/>
          <w:sz w:val="16"/>
          <w:szCs w:val="16"/>
        </w:rPr>
      </w:pPr>
      <w:r w:rsidRPr="007224C3">
        <w:rPr>
          <w:i w:val="0"/>
          <w:color w:val="000000" w:themeColor="text1"/>
          <w:sz w:val="16"/>
          <w:szCs w:val="16"/>
        </w:rPr>
        <w:t>«1. Самоходная гаубица «С-51» в основном испытания выдержала, так как:</w:t>
      </w:r>
    </w:p>
    <w:p w14:paraId="0EE20C51" w14:textId="77777777" w:rsidR="00282955" w:rsidRPr="007224C3" w:rsidRDefault="00282955" w:rsidP="007224C3">
      <w:pPr>
        <w:pStyle w:val="Bodytext141"/>
        <w:shd w:val="clear" w:color="auto" w:fill="auto"/>
        <w:tabs>
          <w:tab w:val="left" w:pos="905"/>
        </w:tabs>
        <w:spacing w:line="240" w:lineRule="auto"/>
        <w:ind w:firstLine="0"/>
        <w:jc w:val="both"/>
        <w:rPr>
          <w:i w:val="0"/>
          <w:color w:val="000000" w:themeColor="text1"/>
          <w:sz w:val="16"/>
          <w:szCs w:val="16"/>
        </w:rPr>
      </w:pPr>
      <w:r w:rsidRPr="007224C3">
        <w:rPr>
          <w:i w:val="0"/>
          <w:color w:val="000000" w:themeColor="text1"/>
          <w:sz w:val="16"/>
          <w:szCs w:val="16"/>
        </w:rPr>
        <w:t>а) работа и прочность агрегатов и механизмов орудия — удовлет</w:t>
      </w:r>
      <w:r w:rsidRPr="007224C3">
        <w:rPr>
          <w:i w:val="0"/>
          <w:color w:val="000000" w:themeColor="text1"/>
          <w:sz w:val="16"/>
          <w:szCs w:val="16"/>
        </w:rPr>
        <w:softHyphen/>
        <w:t>ворительные.</w:t>
      </w:r>
    </w:p>
    <w:p w14:paraId="10FF45C9" w14:textId="77777777" w:rsidR="00282955" w:rsidRPr="007224C3" w:rsidRDefault="00282955" w:rsidP="007224C3">
      <w:pPr>
        <w:pStyle w:val="Bodytext141"/>
        <w:shd w:val="clear" w:color="auto" w:fill="auto"/>
        <w:tabs>
          <w:tab w:val="left" w:pos="900"/>
        </w:tabs>
        <w:spacing w:line="240" w:lineRule="auto"/>
        <w:ind w:firstLine="0"/>
        <w:jc w:val="both"/>
        <w:rPr>
          <w:i w:val="0"/>
          <w:color w:val="000000" w:themeColor="text1"/>
          <w:sz w:val="16"/>
          <w:szCs w:val="16"/>
        </w:rPr>
      </w:pPr>
      <w:r w:rsidRPr="007224C3">
        <w:rPr>
          <w:i w:val="0"/>
          <w:color w:val="000000" w:themeColor="text1"/>
          <w:sz w:val="16"/>
          <w:szCs w:val="16"/>
        </w:rPr>
        <w:t>б) прочность установочных частей орудия — достаточная.</w:t>
      </w:r>
    </w:p>
    <w:p w14:paraId="2C24F900" w14:textId="77777777" w:rsidR="00282955" w:rsidRPr="007224C3" w:rsidRDefault="00282955" w:rsidP="007224C3">
      <w:pPr>
        <w:pStyle w:val="Bodytext141"/>
        <w:shd w:val="clear" w:color="auto" w:fill="auto"/>
        <w:tabs>
          <w:tab w:val="left" w:pos="866"/>
        </w:tabs>
        <w:spacing w:line="240" w:lineRule="auto"/>
        <w:ind w:firstLine="0"/>
        <w:jc w:val="both"/>
        <w:rPr>
          <w:i w:val="0"/>
          <w:color w:val="000000" w:themeColor="text1"/>
          <w:sz w:val="16"/>
          <w:szCs w:val="16"/>
        </w:rPr>
      </w:pPr>
      <w:r w:rsidRPr="007224C3">
        <w:rPr>
          <w:i w:val="0"/>
          <w:color w:val="000000" w:themeColor="text1"/>
          <w:sz w:val="16"/>
          <w:szCs w:val="16"/>
        </w:rPr>
        <w:t>в) работа и прочность агрегатов и механизмов самохода — удовлет</w:t>
      </w:r>
      <w:r w:rsidRPr="007224C3">
        <w:rPr>
          <w:i w:val="0"/>
          <w:color w:val="000000" w:themeColor="text1"/>
          <w:sz w:val="16"/>
          <w:szCs w:val="16"/>
        </w:rPr>
        <w:softHyphen/>
        <w:t>ворительная, за исключением трансмиссионной группы, которая во время испытаний имела ряд дефектов, вызванных общим пло</w:t>
      </w:r>
      <w:r w:rsidRPr="007224C3">
        <w:rPr>
          <w:i w:val="0"/>
          <w:color w:val="000000" w:themeColor="text1"/>
          <w:sz w:val="16"/>
          <w:szCs w:val="16"/>
        </w:rPr>
        <w:softHyphen/>
        <w:t>хим техническим состоянием ее до испытаний и изношенностью деталей.</w:t>
      </w:r>
    </w:p>
    <w:p w14:paraId="21714BB2" w14:textId="77777777" w:rsidR="00282955" w:rsidRPr="007224C3" w:rsidRDefault="00282955" w:rsidP="007224C3">
      <w:pPr>
        <w:pStyle w:val="Bodytext141"/>
        <w:shd w:val="clear" w:color="auto" w:fill="auto"/>
        <w:spacing w:line="240" w:lineRule="auto"/>
        <w:ind w:firstLine="0"/>
        <w:jc w:val="both"/>
        <w:rPr>
          <w:i w:val="0"/>
          <w:color w:val="000000" w:themeColor="text1"/>
          <w:sz w:val="16"/>
          <w:szCs w:val="16"/>
        </w:rPr>
      </w:pPr>
      <w:r w:rsidRPr="007224C3">
        <w:rPr>
          <w:i w:val="0"/>
          <w:color w:val="000000" w:themeColor="text1"/>
          <w:sz w:val="16"/>
          <w:szCs w:val="16"/>
        </w:rPr>
        <w:t>2. Существенными недостатками самоходной гаубицы «С-51» при</w:t>
      </w:r>
    </w:p>
    <w:p w14:paraId="1271A536" w14:textId="77777777" w:rsidR="00282955" w:rsidRPr="007224C3" w:rsidRDefault="00282955" w:rsidP="007224C3">
      <w:pPr>
        <w:pStyle w:val="Bodytext141"/>
        <w:shd w:val="clear" w:color="auto" w:fill="auto"/>
        <w:spacing w:line="240" w:lineRule="auto"/>
        <w:ind w:firstLine="0"/>
        <w:jc w:val="both"/>
        <w:rPr>
          <w:i w:val="0"/>
          <w:color w:val="000000" w:themeColor="text1"/>
          <w:sz w:val="16"/>
          <w:szCs w:val="16"/>
        </w:rPr>
      </w:pPr>
      <w:r w:rsidRPr="007224C3">
        <w:rPr>
          <w:i w:val="0"/>
          <w:color w:val="000000" w:themeColor="text1"/>
          <w:sz w:val="16"/>
          <w:szCs w:val="16"/>
        </w:rPr>
        <w:t>стрельбе являются:</w:t>
      </w:r>
    </w:p>
    <w:p w14:paraId="2CDBCF47" w14:textId="77777777" w:rsidR="00282955" w:rsidRPr="007224C3" w:rsidRDefault="00282955" w:rsidP="007224C3">
      <w:pPr>
        <w:pStyle w:val="Bodytext141"/>
        <w:shd w:val="clear" w:color="auto" w:fill="auto"/>
        <w:tabs>
          <w:tab w:val="left" w:pos="905"/>
        </w:tabs>
        <w:spacing w:line="240" w:lineRule="auto"/>
        <w:ind w:firstLine="0"/>
        <w:jc w:val="both"/>
        <w:rPr>
          <w:i w:val="0"/>
          <w:color w:val="000000" w:themeColor="text1"/>
          <w:sz w:val="16"/>
          <w:szCs w:val="16"/>
        </w:rPr>
      </w:pPr>
      <w:r w:rsidRPr="007224C3">
        <w:rPr>
          <w:i w:val="0"/>
          <w:color w:val="000000" w:themeColor="text1"/>
          <w:sz w:val="16"/>
          <w:szCs w:val="16"/>
        </w:rPr>
        <w:t>а) большой отход назад и сбиваемость наводки, особенно при малых углах возвышения, вследствие неудовлетворительной устойчиво</w:t>
      </w:r>
      <w:r w:rsidRPr="007224C3">
        <w:rPr>
          <w:i w:val="0"/>
          <w:color w:val="000000" w:themeColor="text1"/>
          <w:sz w:val="16"/>
          <w:szCs w:val="16"/>
        </w:rPr>
        <w:softHyphen/>
        <w:t>сти самохода при выстреле.</w:t>
      </w:r>
    </w:p>
    <w:p w14:paraId="07AB9549" w14:textId="77777777" w:rsidR="00282955" w:rsidRPr="007224C3" w:rsidRDefault="0028295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Большое боковое рассеивание снарядов вследствие бокового сме</w:t>
      </w:r>
      <w:r w:rsidRPr="007224C3">
        <w:rPr>
          <w:rFonts w:ascii="Times New Roman" w:hAnsi="Times New Roman"/>
          <w:color w:val="000000" w:themeColor="text1"/>
          <w:sz w:val="16"/>
          <w:szCs w:val="16"/>
        </w:rPr>
        <w:softHyphen/>
        <w:t>щения орудия при выстреле.</w:t>
      </w:r>
    </w:p>
    <w:p w14:paraId="5C8AD7BA" w14:textId="77777777" w:rsidR="00282955" w:rsidRPr="007224C3" w:rsidRDefault="00282955" w:rsidP="007224C3">
      <w:pPr>
        <w:pStyle w:val="Bodytext141"/>
        <w:shd w:val="clear" w:color="auto" w:fill="auto"/>
        <w:spacing w:line="240" w:lineRule="auto"/>
        <w:ind w:firstLine="0"/>
        <w:jc w:val="both"/>
        <w:rPr>
          <w:i w:val="0"/>
          <w:color w:val="000000" w:themeColor="text1"/>
          <w:sz w:val="16"/>
          <w:szCs w:val="16"/>
        </w:rPr>
      </w:pPr>
      <w:r w:rsidRPr="007224C3">
        <w:rPr>
          <w:i w:val="0"/>
          <w:color w:val="000000" w:themeColor="text1"/>
          <w:sz w:val="16"/>
          <w:szCs w:val="16"/>
        </w:rPr>
        <w:t>Данные недостатки возможно устранить путем постановки сошни</w:t>
      </w:r>
      <w:r w:rsidRPr="007224C3">
        <w:rPr>
          <w:i w:val="0"/>
          <w:color w:val="000000" w:themeColor="text1"/>
          <w:sz w:val="16"/>
          <w:szCs w:val="16"/>
        </w:rPr>
        <w:softHyphen/>
        <w:t>ков в задней части корпуса самохода, как это было применено на 203-мм самоходной установке «СУ-14» конструкции и изготовления Кировского завода, проходившей испытания на НИАПе в 1936 году.</w:t>
      </w:r>
    </w:p>
    <w:p w14:paraId="5582DBFA" w14:textId="77777777" w:rsidR="00282955" w:rsidRPr="007224C3" w:rsidRDefault="00282955" w:rsidP="007224C3">
      <w:pPr>
        <w:pStyle w:val="Bodytext141"/>
        <w:shd w:val="clear" w:color="auto" w:fill="auto"/>
        <w:spacing w:line="240" w:lineRule="auto"/>
        <w:ind w:firstLine="0"/>
        <w:jc w:val="both"/>
        <w:rPr>
          <w:i w:val="0"/>
          <w:color w:val="000000" w:themeColor="text1"/>
          <w:sz w:val="16"/>
          <w:szCs w:val="16"/>
        </w:rPr>
      </w:pPr>
      <w:r w:rsidRPr="007224C3">
        <w:rPr>
          <w:i w:val="0"/>
          <w:color w:val="000000" w:themeColor="text1"/>
          <w:sz w:val="16"/>
          <w:szCs w:val="16"/>
        </w:rPr>
        <w:t>Учитывая, что гаубица в основном будет вести стрельбу при больших углах возвышения, при которых отход назад и сбиваемость наводки менее значительны, для устранения отхода самохода при сравнительно редких и эпизодических стрельбах под малыми углами возвышения можно реко</w:t>
      </w:r>
      <w:r w:rsidRPr="007224C3">
        <w:rPr>
          <w:i w:val="0"/>
          <w:color w:val="000000" w:themeColor="text1"/>
          <w:sz w:val="16"/>
          <w:szCs w:val="16"/>
        </w:rPr>
        <w:softHyphen/>
        <w:t>мендовать подкладывать сзади под гусеницы деревянные брусья из подруч</w:t>
      </w:r>
      <w:r w:rsidRPr="007224C3">
        <w:rPr>
          <w:i w:val="0"/>
          <w:color w:val="000000" w:themeColor="text1"/>
          <w:sz w:val="16"/>
          <w:szCs w:val="16"/>
        </w:rPr>
        <w:softHyphen/>
        <w:t>ного материала.</w:t>
      </w:r>
    </w:p>
    <w:p w14:paraId="183DE4C2" w14:textId="77777777" w:rsidR="00282955" w:rsidRPr="007224C3" w:rsidRDefault="00282955" w:rsidP="007224C3">
      <w:pPr>
        <w:pStyle w:val="Bodytext141"/>
        <w:shd w:val="clear" w:color="auto" w:fill="auto"/>
        <w:spacing w:line="240" w:lineRule="auto"/>
        <w:ind w:firstLine="0"/>
        <w:jc w:val="both"/>
        <w:rPr>
          <w:i w:val="0"/>
          <w:color w:val="000000" w:themeColor="text1"/>
          <w:sz w:val="16"/>
          <w:szCs w:val="16"/>
        </w:rPr>
      </w:pPr>
      <w:r w:rsidRPr="007224C3">
        <w:rPr>
          <w:i w:val="0"/>
          <w:color w:val="000000" w:themeColor="text1"/>
          <w:sz w:val="16"/>
          <w:szCs w:val="16"/>
        </w:rPr>
        <w:t>3. АНИОП считает, что 203 мм самоходная гаубица «С-51 по срав</w:t>
      </w:r>
      <w:r w:rsidRPr="007224C3">
        <w:rPr>
          <w:i w:val="0"/>
          <w:color w:val="000000" w:themeColor="text1"/>
          <w:sz w:val="16"/>
          <w:szCs w:val="16"/>
        </w:rPr>
        <w:softHyphen/>
        <w:t>нению с 203-мм гаубицей «Б-4» обладает большей маневренностью движения и огня при сохранении своего огневого могущества и по устранении недостатков, выявленных при испытании и отмеченных в настоящем отчете, может быть рекомендована на вооружение Красной Армии» (17484).</w:t>
      </w:r>
    </w:p>
    <w:p w14:paraId="197D9F46" w14:textId="77777777" w:rsidR="00282955" w:rsidRPr="007224C3" w:rsidRDefault="00282955" w:rsidP="007224C3">
      <w:pPr>
        <w:spacing w:after="0" w:line="240" w:lineRule="auto"/>
        <w:jc w:val="both"/>
        <w:rPr>
          <w:rFonts w:ascii="Times New Roman" w:hAnsi="Times New Roman"/>
          <w:color w:val="000000" w:themeColor="text1"/>
          <w:sz w:val="16"/>
          <w:szCs w:val="16"/>
        </w:rPr>
      </w:pPr>
    </w:p>
    <w:p w14:paraId="03540E2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марта 1944 вышло Распоряжение ГКО № 5408. О мобилизации дополнительно 4,1 тыс. чел. на торфоразработки на Украине до 15 ноября 1944 г. РГАНИР, Фонд ГКО, д. 219, лл. 66 (11012).</w:t>
      </w:r>
    </w:p>
    <w:p w14:paraId="4AAEEFB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42E1BC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марта 1944 вышло Распоряжение ГКО № 5409. О мерах по обеспечению кооперированных поставок бронекорпусов СУ-76 заводу № 40 с заводов № 176 и 177. РГАНИР, Фонд ГКО, д. 219, лл. 67,68 (11012).</w:t>
      </w:r>
    </w:p>
    <w:p w14:paraId="67EBFD1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359B28C"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марта 1944 вышло Распоряжение ГКО № 5410 О плане ремонта автомобилей и моторов на 1944 г. (7199, 69,70).</w:t>
      </w:r>
    </w:p>
    <w:p w14:paraId="0323987A"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79D3E37"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366878C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0EF69D7"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16 марта</w:t>
      </w:r>
      <w:r w:rsidRPr="007224C3">
        <w:rPr>
          <w:rFonts w:ascii="Times New Roman" w:hAnsi="Times New Roman"/>
          <w:color w:val="000000" w:themeColor="text1"/>
          <w:sz w:val="16"/>
          <w:szCs w:val="16"/>
        </w:rPr>
        <w:t xml:space="preserve"> в 1944 году оперативная сводка Совинформбюро:</w:t>
      </w:r>
    </w:p>
    <w:p w14:paraId="5BBC470D"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16 марта на Проскуровском направлении наши войска успешно отбили контратаки пехоты и танков противника и нанесли ему большие потери в живой силеи технике.</w:t>
      </w:r>
    </w:p>
    <w:p w14:paraId="60FEB7C7"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Винницком направлении наши войска, продолжая наступление, овладели районными центрами Винницкой области городом Немиров, Тывров, а также с боями заняли более 40 других населённых пунктов, в том числе крупные населённые пункты Сальник, Медведка, Сосонка, Стадница, Тяжилов, Витава, Ворошиловка, Сутиски,Лука Немировская, Стрельчинцы, Каролина и железнодорожные станции Тюшки, Гнивань.</w:t>
      </w:r>
    </w:p>
    <w:p w14:paraId="26DD4960"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2-го Украинского фронта, развивая наступление, в результате стремительной атаки танковых соединений и пехоты овладели крупным железнодорожным узлом и городом Вапнярка, перерезав, таким образом, важнейшую железнодорожную магистраль Жмеринка-Одесса, районным центром Винницкой области городом Тульчин, а также заняли более 30 других населённых пунктов, в том числе крупные населённые пункты Должек, Гриненки, Крищинцы, Войтовка, Липовка, Слободашарапановка, Соколовка, Гербино.</w:t>
      </w:r>
    </w:p>
    <w:p w14:paraId="1254B9ED"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При занятии станции Вапнярка войсками 2-го Украинского фронта захвачены трофеи: паровозов — 12, вагонов — 500, эшелонов с военным имуществом — 2, автомашин — 1.300, большие артиллерийские склады и много другого военного имущества, подсчёт которого продолжается.</w:t>
      </w:r>
    </w:p>
    <w:p w14:paraId="576D689A"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и южнее города Кировоград наши войска, продолжая развивать наступление, овладели районными центрами Кировоградской области городом Бобринец, Ровное и с боями заняли более 60 других населённых пунктов, среди которых крупные населённые пункты Андреевка, Липняжка, Глодосы, Евдокимовка, Шутенька, Карказелевка, Григоровка, Алексеевка, Солонцеватка.</w:t>
      </w:r>
    </w:p>
    <w:p w14:paraId="1B52BBEE"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Николаевском направлении наши войска продолжали вести наступательные бои, в ходе которых овладели районным центром Николаевской области Новая Одесса, а также с боями заняли более 40 других населённых пунктов, в том числе крупные населённые пункты Михайловка, Троицкое, Христофоровка, Балацкое, Ново-Данциг, Добрая Криница и железнодорожные станции Лоцкино, Грейгово. В районе Березнеговатое-Снигирёвка наши войска полностью ликвидировали остатки окружённой группировки противника. Захвачено большое количество трофеев и много пленных.</w:t>
      </w:r>
    </w:p>
    <w:p w14:paraId="50006716"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в ряде пунктов шли бои местного значения.</w:t>
      </w:r>
    </w:p>
    <w:p w14:paraId="3A7F97BA"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15 марта наши войска на всех фронтах подбили и уничтожили 43 немецких танка. В воздушных боях и огнём зенитной артиллерии сбито 42 самолёта противника.</w:t>
      </w:r>
    </w:p>
    <w:p w14:paraId="4BEC8127"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Проскуровском направлении наши войска успешно отбили контратаки крупных сил пехоты и танков противника. Немцы стремились любой ценой оттеснить наши войска от Проскурова. Особенно ожесточённые бои сегодня происходили к северо-востоку от города. В ходе этих боёв немцы понесли тяжёлые потери. Советские артиллеристы и бронебойщики сожгли и подбили 27 немецких танков и 6 самоходных орудий.</w:t>
      </w:r>
    </w:p>
    <w:p w14:paraId="4B23930E"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Винницком направлении наши войска продолжали наступление. Части Н-ского соединения, преодолев сопротивление противника, заняли важный узел шоссейных и грунтовых дорог — город Немиров. С боями продвигаясь вперёд, наши подвижные части вышли к Южному Бугу северо-западнее и южнее города Винницы. На подступах к городу с востока под ударами советских войск противник теряет одну позицию за другой. В населённом пункте Тяжилов, находящемся в двух-трёх километрах от города Винницы, уничтожено до двух батальонов гитлеровцев. Захвачено у немцев 4 самоходных и 16 полевых орудий, 69 пулемётов, большой склад с продовольствием и другие трофеи.</w:t>
      </w:r>
    </w:p>
    <w:p w14:paraId="2ECD4A6B"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2-го Украинского фронта продолжали успешное наступление. Советские танки и пехота стремительной атакой овладели городом и крупным железнодорожным узлом Вапнярка и тем самым перерезали важнейшую коммуникацию противника железную дорогу Жмеринка-Одесса. Поспешно отступая, гитлеровцы бросили много вооружения и военных материалов. Нашими войсками занят также районный центр Винницкой области город Тульчин и более 30 других населённых пунктов. Попытки противника задержать наступающие советские части не имели никакого успеха и были отбиты с большими для немцев потерями.</w:t>
      </w:r>
    </w:p>
    <w:p w14:paraId="14ACA58B"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Николаевском направлении наши войска с боями овладели районным центром Николаевской области Новая Одесса, населёнными пунктами Михайловка, Троицкое и вышли к реке Южный Буг. Части другого нашего соединения, овладев железнодорожной станцией Лоцкино, захватили несколько танков, 17 орудий, 100 автомашин, 2 склада с боеприпасами и 4 склада с зерном. В районе Березнеговатое-Снигирёвка полностью ликвидированы остатки окружённой группировки противника. Большая колонна немецкой пехоты ночью предприняла отчаянную попытку вырваться из «котла». Советские танкисты врезались во вражескую колонну и огнём и гусеницами уничтожали гитлеровцев. Видя безнадёжность своего положения, сотни немцев сложили оружие и сдались в плен. В районе населённых пунктов Краснополье и Манчжурия наши войска уничтожили другую группу немцев и захватили большие трофеи.</w:t>
      </w:r>
    </w:p>
    <w:p w14:paraId="3E578197"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Баренцовом море потоплен транспорт водоизмещением в 7 тысяч тонн, четыре шхуны, пять дрифтерботов (моторные рыболовные суда), два мотобота и три сторожевых катера противника.</w:t>
      </w:r>
    </w:p>
    <w:p w14:paraId="3E134B42"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Партизанские отряды, действующие в Витебской области, разгромили немецкие гарнизоны в трёх населённых пунктах. Партизаны убили и ранили свыше 200 гитлеровцев и взорвали 6 военных складов противника. В середине февраля немцы угнали на каторгу всё работоспособное население из одной деревни, находящейся около города Полоцка. Стариков и детей фашистские изверги заперли в сарай и сожгли живьём. Такая же участь ожидала детей в деревне Бельчица, расположенной в трёх километрах южнее Полоцка. Узнав о злодейском замысле немецко-фашистских мерзавцев, партизаны ворвались в деревню и освободили 145 запертых в сараях детей в возрасте от двух до одиннадцати лет. В настоящее время дети находятся в безопасном месте под защитой партизан.» (15070).</w:t>
      </w:r>
    </w:p>
    <w:p w14:paraId="053AEECF" w14:textId="77777777" w:rsidR="00FA2B3C" w:rsidRPr="007224C3" w:rsidRDefault="00FA2B3C" w:rsidP="007224C3">
      <w:pPr>
        <w:spacing w:after="0" w:line="240" w:lineRule="auto"/>
        <w:jc w:val="both"/>
        <w:rPr>
          <w:rFonts w:ascii="Times New Roman" w:hAnsi="Times New Roman"/>
          <w:color w:val="000000" w:themeColor="text1"/>
          <w:sz w:val="16"/>
          <w:szCs w:val="16"/>
        </w:rPr>
      </w:pPr>
    </w:p>
    <w:p w14:paraId="40E827C8"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16 марта</w:t>
      </w:r>
      <w:r w:rsidRPr="007224C3">
        <w:rPr>
          <w:rFonts w:ascii="Times New Roman" w:hAnsi="Times New Roman"/>
          <w:color w:val="000000" w:themeColor="text1"/>
          <w:sz w:val="16"/>
          <w:szCs w:val="16"/>
        </w:rPr>
        <w:t xml:space="preserve"> в 1944 году латвийский легион СС принял «боевое крещение» в сражении с советскими войсками под Великими Луками, на реке Великая в районе Опочки. Была проведена первая совместная операция двух дивизий латышского добровольческого легиона СС (15070).</w:t>
      </w:r>
    </w:p>
    <w:p w14:paraId="254B006B" w14:textId="77777777" w:rsidR="00FA2B3C" w:rsidRPr="007224C3" w:rsidRDefault="00FA2B3C" w:rsidP="007224C3">
      <w:pPr>
        <w:spacing w:after="0" w:line="240" w:lineRule="auto"/>
        <w:jc w:val="both"/>
        <w:rPr>
          <w:rFonts w:ascii="Times New Roman" w:hAnsi="Times New Roman"/>
          <w:color w:val="000000" w:themeColor="text1"/>
          <w:sz w:val="16"/>
          <w:szCs w:val="16"/>
        </w:rPr>
      </w:pPr>
    </w:p>
    <w:p w14:paraId="495BDDC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марта 1944 в ходе Проскуровско-Черновицкой наступательной операции "Тигры" открыв огонь из засады, подбили четыре ИСа-1 1-й ГвТТПП (командир - подполковник Н.И. Буланов), два из которых сгорели вместе с экипажами..В результате этих боев появилось заключение ГБТУ о несоответствии вооружения ИС-85 и его бронирования аналогичным показателям немецких тяжелых танков. В нем рекомендовалось изменить форму и бронирование лобовой части корпуса и усилить вооружение танков ИС. (3862).</w:t>
      </w:r>
    </w:p>
    <w:p w14:paraId="64577A5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FC9EFE" w14:textId="77777777" w:rsidR="00D96E9F" w:rsidRPr="007224C3" w:rsidRDefault="00D96E9F"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Жизнь и внутренняя политика:</w:t>
      </w:r>
    </w:p>
    <w:p w14:paraId="186C2BC6" w14:textId="77777777" w:rsidR="00D96E9F" w:rsidRPr="007224C3" w:rsidRDefault="00D96E9F"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8D818EF" w14:textId="77777777" w:rsidR="00D96E9F" w:rsidRPr="007224C3" w:rsidRDefault="00D96E9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марта 1944. СНК СССР принял постановление "Об организации магазинов и ресторанов в г. Москве для обслуживания работников науки, техники, искусства и литературы, а также высшего офицерского состава Красной Армии" (18692).</w:t>
      </w:r>
    </w:p>
    <w:p w14:paraId="65413FAB" w14:textId="77777777" w:rsidR="00D96E9F" w:rsidRPr="007224C3" w:rsidRDefault="00D96E9F" w:rsidP="007224C3">
      <w:pPr>
        <w:spacing w:after="0" w:line="240" w:lineRule="auto"/>
        <w:jc w:val="both"/>
        <w:rPr>
          <w:rFonts w:ascii="Times New Roman" w:hAnsi="Times New Roman"/>
          <w:color w:val="000000" w:themeColor="text1"/>
          <w:sz w:val="16"/>
          <w:szCs w:val="16"/>
        </w:rPr>
      </w:pPr>
    </w:p>
    <w:p w14:paraId="133481D4"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Внешняя политика:</w:t>
      </w:r>
    </w:p>
    <w:p w14:paraId="60655B6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B70AA3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марта 1944 года</w:t>
      </w:r>
    </w:p>
    <w:p w14:paraId="1C3F602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СЕКРЕТНО И ЛИЧНО ОТ ПРЕМЬЕРА И. В. СТАЛИНА ПРЕМЬЕР-МИНИСТРУ г-ну У. ЧЕРЧИЛЛЮ</w:t>
      </w:r>
    </w:p>
    <w:p w14:paraId="4659171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Ваше послание по польскому вопросу от 7 марта получил от г. Керра 12 марта.</w:t>
      </w:r>
    </w:p>
    <w:p w14:paraId="62D742B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Благодарю Вас за разъяснения, которые Вы сделали в этом послании.</w:t>
      </w:r>
    </w:p>
    <w:p w14:paraId="7727484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Несмотря на то, что наша переписка считается секретной и личной, с некоторого времени содержание моих посланий на Ваше имя стало появляться в английской печати, и притом с большими извращениями, которые я не имею возможности опровергнуть. Я считаю это нарушением секретности. Это обстоятельство затрудняет мне возможность свободно высказывать свое мнение. Надеюсь, что Вы меня поняли (7430).</w:t>
      </w:r>
    </w:p>
    <w:p w14:paraId="390C0DC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786FAB"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0D60C2B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1F23B0C" w14:textId="77777777" w:rsidR="00490368" w:rsidRPr="007224C3" w:rsidRDefault="00490368"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16-17 марта (ночь) 1944 130 британских бомбардировщиков без потерь атаковали железнодорожные станции Амьена (20373).</w:t>
      </w:r>
    </w:p>
    <w:p w14:paraId="64D00636" w14:textId="77777777" w:rsidR="00490368" w:rsidRPr="007224C3" w:rsidRDefault="00490368" w:rsidP="007224C3">
      <w:pPr>
        <w:spacing w:after="0" w:line="240" w:lineRule="auto"/>
        <w:jc w:val="both"/>
        <w:rPr>
          <w:rFonts w:ascii="Times New Roman" w:hAnsi="Times New Roman"/>
          <w:color w:val="0070C0"/>
          <w:sz w:val="16"/>
          <w:szCs w:val="16"/>
        </w:rPr>
      </w:pPr>
    </w:p>
    <w:p w14:paraId="1B8B3111" w14:textId="77777777" w:rsidR="00490368" w:rsidRPr="007224C3" w:rsidRDefault="00490368"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16-17 марта (ночь) 1944 22 британских Ланкастера, в основном из 617-й эскадрильи, совершают успешную высокоточную атаку на шинный завод Michelin в Клермон-Ферране, Франция (20373).</w:t>
      </w:r>
    </w:p>
    <w:p w14:paraId="45E61EC9" w14:textId="77777777" w:rsidR="00490368" w:rsidRPr="007224C3" w:rsidRDefault="00490368" w:rsidP="007224C3">
      <w:pPr>
        <w:spacing w:after="0" w:line="240" w:lineRule="auto"/>
        <w:jc w:val="both"/>
        <w:rPr>
          <w:rFonts w:ascii="Times New Roman" w:hAnsi="Times New Roman"/>
          <w:color w:val="0070C0"/>
          <w:sz w:val="16"/>
          <w:szCs w:val="16"/>
        </w:rPr>
      </w:pPr>
    </w:p>
    <w:p w14:paraId="5419FCC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16 марта 1944 возобновились бомбардировки Болгарии англичанами По том бомбили 17, 18, 19, 24, 29 и максимума достигли 30 марта (2885,48).</w:t>
      </w:r>
    </w:p>
    <w:p w14:paraId="04026D0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1C80A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March 16th, 1944: On the Italian front, repeated attempts by the British 8th Army (Alexander) to break through the Gustav Line at Cassino fail. In the North Atlantic, two U-boat wolf packs, code-named Raubgraf and Sturmer, attack Convoys HX229 and SC122, and over a period of four days and nights sink 21 ships (141,000 tons total), for the loss of one U-boat, U-384 (Oblt. von Rosenberg-Gruszinski) (3819).</w:t>
      </w:r>
    </w:p>
    <w:p w14:paraId="1C7F5BF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CF88EB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марта 1944 возобновились попытки британской 8А (Александр) прорваться через линию Густава у Кассино. В северной Атлантике 4 группы подлодок Раубграф и Штюрмер атаковали конвой HX229 и SC122 и за 4 дня и ночи потопили 21 судно (141 тыс. т) при потере одной лодки У-384 (Розенберг-Грусинский) (3919).</w:t>
      </w:r>
    </w:p>
    <w:p w14:paraId="4687D6D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4A30E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lang w:val="en-US"/>
        </w:rPr>
        <w:t xml:space="preserve">March 16, 1944. NACA proposes that a jet-propelled transonic research airplane be developed. </w:t>
      </w:r>
      <w:r w:rsidRPr="007224C3">
        <w:rPr>
          <w:rFonts w:ascii="Times New Roman" w:hAnsi="Times New Roman"/>
          <w:color w:val="000000" w:themeColor="text1"/>
          <w:sz w:val="16"/>
          <w:szCs w:val="16"/>
        </w:rPr>
        <w:t>This ultimately leads to the Bell X-1 (1089).</w:t>
      </w:r>
    </w:p>
    <w:p w14:paraId="0D42E13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C7BA6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марта 1944 НАСА предложила разработать сверхзвуковой реактивный истребитель и на основе этого предложения затем появился Bell X-1 (1089).</w:t>
      </w:r>
    </w:p>
    <w:p w14:paraId="5E46C1B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47573C" w14:textId="77777777" w:rsidR="00490368" w:rsidRPr="007224C3" w:rsidRDefault="00490368"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16 марта 1945 - Со стартовой позиции в Ренардире на полуострове Сен-Мандрьер, вблизи военно-морской базы Тулон (Лазурный берег Средиземного моря, Франция) произведен пуск французской баллистической ракеты «EA-1941», работающей на жидком топливе. Пуск завершился аварией. Не открылся клапан, горение топлива проходило без давления. Через 10 секунд ракета взорвалась на стартовой позиции уничтожив стартовую площадку и оборудование.</w:t>
      </w:r>
    </w:p>
    <w:p w14:paraId="12EA8269" w14:textId="77777777" w:rsidR="00490368" w:rsidRPr="007224C3" w:rsidRDefault="00490368"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lastRenderedPageBreak/>
        <w:t>Конструктором первой французской ракеты EA-1941 стал пионер ракетостроения франции военный инженер Жан-Жак Барре. Финансирование проекта обеспечил Центральный отдел закупок и поставок по секретному приказу военного министра правительства Виши в декабре 1940 года. Для того, что бы скрыть работу от немецких оккупационных властей, проект преподносили, как работу над автомобильным газовым генератором. В июле 1941 года министерство обороны заказывает 22 изделия названных «Газогенераторы». Поэтому первая французская ракета получила аббревиатуру EA-1941.</w:t>
      </w:r>
    </w:p>
    <w:p w14:paraId="4999BDB3" w14:textId="77777777" w:rsidR="00490368" w:rsidRPr="007224C3" w:rsidRDefault="00490368"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Статические испытания ракеты EA-1941 в тайне от немцев проводились в ноябре 1941 года на полигоне Ларзак командой Службы технической поддержки артиллерии, а затем в окрестностях Лиона. Для проведения летных испытаний планировалось перевести оборудование и модели в Алжир. Однако немецкая оккупация юга Франции не позволила это осуществить. После освобождения Франции работа над ракетой EA-1941 продолжилась, и уже в марте 1945 года прошли певые испытательные пуски. Однако, дальше испытательных пусков дело не пошло. Ракета EA-1941 не была запущена в серийное производство.</w:t>
      </w:r>
    </w:p>
    <w:p w14:paraId="2A0F67C7" w14:textId="77777777" w:rsidR="00490368" w:rsidRPr="007224C3" w:rsidRDefault="00490368"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Сведений об устройстве первой французской ракеты EA-1941 не много. В качестве топлива использовался керосин и жидкий кислород. Система подачи компонентов топлива в камеру сгорания была вытеснительная, давление создавалось сжатым азотом. Пуск ракеты EA-1941 производился с помощью направляющей наклонной башни (22566).</w:t>
      </w:r>
    </w:p>
    <w:p w14:paraId="2C0CF86A" w14:textId="77777777" w:rsidR="00490368" w:rsidRPr="007224C3" w:rsidRDefault="00490368" w:rsidP="007224C3">
      <w:pPr>
        <w:spacing w:after="0" w:line="240" w:lineRule="auto"/>
        <w:jc w:val="both"/>
        <w:rPr>
          <w:rFonts w:ascii="Times New Roman" w:hAnsi="Times New Roman"/>
          <w:color w:val="0070C0"/>
          <w:sz w:val="16"/>
          <w:szCs w:val="16"/>
        </w:rPr>
      </w:pPr>
    </w:p>
    <w:p w14:paraId="5B8210BF"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27C960F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2BCF814" w14:textId="77777777" w:rsidR="004D5E52" w:rsidRPr="007224C3" w:rsidRDefault="004D5E52"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17 марта 1944 г.</w:t>
      </w:r>
    </w:p>
    <w:p w14:paraId="7685D215" w14:textId="77777777" w:rsidR="004D5E52" w:rsidRPr="007224C3" w:rsidRDefault="004D5E52"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Из приказа по 10-му Главному Управлению НКАП СССР о деятельности завода № 18 за 1943 год</w:t>
      </w:r>
    </w:p>
    <w:p w14:paraId="06D96006" w14:textId="77777777" w:rsidR="004D5E52" w:rsidRPr="007224C3" w:rsidRDefault="004D5E52"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17 марта 1944 г.</w:t>
      </w:r>
    </w:p>
    <w:p w14:paraId="5C458B56" w14:textId="77777777" w:rsidR="004D5E52" w:rsidRPr="007224C3" w:rsidRDefault="004D5E52"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Рассмотрев представленный заводом № 18 годовой отчет о производственной и финансово-хозяйственной деятельности завода за 1943 год, отмечаю:</w:t>
      </w:r>
    </w:p>
    <w:p w14:paraId="72FF552E" w14:textId="77777777" w:rsidR="004D5E52" w:rsidRPr="007224C3" w:rsidRDefault="004D5E52"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Установленный план на 1943 год заводом выполнен:</w:t>
      </w:r>
    </w:p>
    <w:p w14:paraId="4873B7FA" w14:textId="77777777" w:rsidR="004D5E52" w:rsidRPr="007224C3" w:rsidRDefault="004D5E52"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а) по товарной продукции в неизменных ценах</w:t>
      </w:r>
      <w:r w:rsidRPr="007224C3">
        <w:rPr>
          <w:rFonts w:ascii="Times New Roman" w:hAnsi="Times New Roman"/>
          <w:color w:val="0070C0"/>
          <w:sz w:val="16"/>
          <w:szCs w:val="16"/>
        </w:rPr>
        <w:tab/>
        <w:t>- на 106,5%,</w:t>
      </w:r>
    </w:p>
    <w:p w14:paraId="1A65CBD0" w14:textId="77777777" w:rsidR="004D5E52" w:rsidRPr="007224C3" w:rsidRDefault="004D5E52"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б) по валовой продукции -»-</w:t>
      </w:r>
      <w:r w:rsidRPr="007224C3">
        <w:rPr>
          <w:rFonts w:ascii="Times New Roman" w:hAnsi="Times New Roman"/>
          <w:color w:val="0070C0"/>
          <w:sz w:val="16"/>
          <w:szCs w:val="16"/>
        </w:rPr>
        <w:tab/>
        <w:t>- на 101,7%,</w:t>
      </w:r>
    </w:p>
    <w:p w14:paraId="4E48A3CF" w14:textId="77777777" w:rsidR="004D5E52" w:rsidRPr="007224C3" w:rsidRDefault="004D5E52"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 по капитальному строительству</w:t>
      </w:r>
      <w:r w:rsidRPr="007224C3">
        <w:rPr>
          <w:rFonts w:ascii="Times New Roman" w:hAnsi="Times New Roman"/>
          <w:color w:val="0070C0"/>
          <w:sz w:val="16"/>
          <w:szCs w:val="16"/>
        </w:rPr>
        <w:tab/>
        <w:t>- на 122%</w:t>
      </w:r>
    </w:p>
    <w:p w14:paraId="53C10D58" w14:textId="77777777" w:rsidR="004D5E52" w:rsidRPr="007224C3" w:rsidRDefault="004D5E52"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г) по вводу в эксплуатацию объектов строительства - на 158%.</w:t>
      </w:r>
    </w:p>
    <w:p w14:paraId="3029DE4F" w14:textId="77777777" w:rsidR="004D5E52" w:rsidRPr="007224C3" w:rsidRDefault="004D5E52"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Завод перевыполнил установленную годовую программу при соблюдении равномерности и ритмичности в выпуске самолетов, благодаря чему удерживал в течение 9-ти месяцев 1943 года Знамя Государственного Комитета Обороны.</w:t>
      </w:r>
    </w:p>
    <w:p w14:paraId="51424168" w14:textId="77777777" w:rsidR="004D5E52" w:rsidRPr="007224C3" w:rsidRDefault="004D5E52"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Помимо основной программы завод отремонтировал в частях ВВС КА 1296 самолетов, перевыполнив задание II полугодия на 39,6% и одновременно провел большую работу по оказанию технической помощи и инструктажу летно-технического персонала воинских частей.</w:t>
      </w:r>
    </w:p>
    <w:p w14:paraId="75D42246" w14:textId="77777777" w:rsidR="004D5E52" w:rsidRPr="007224C3" w:rsidRDefault="004D5E52"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Завод имел также ряд достижений в области механизации и усовершенствования технологических процессов, как-то: внедрено большое количество многоместных приспособлений по механическим цехам, применена обработка деталей методом непрерывного фрезерования, изготовление ряда деталей переведено на литье в кокиль с применением многоместных кокилей и на литье под давлением, внедрено рафинирование жидкого металла, внедрено в серийное производство большое количество высокопроизводительного специального инструмента и приспособлений, проведена большая работа по улучшению антикоррозийных свойств деталей, окончательно освоен новый разработанный заводом сплав АЛЗ-АТ, применение которого дало заводу в 1943 году большую экономию чушкового алюминия и электроэнергии и ряд других достижений.</w:t>
      </w:r>
    </w:p>
    <w:p w14:paraId="6633BC0E" w14:textId="77777777" w:rsidR="004D5E52" w:rsidRPr="007224C3" w:rsidRDefault="004D5E52"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Технически грамотно и просто завод разрешил задачу перевода на поток внестапельных работ по центроплану, добившись на этом участке значительного сокращения производственного цикла и снижения трудоемкости.</w:t>
      </w:r>
    </w:p>
    <w:p w14:paraId="69C26330" w14:textId="77777777" w:rsidR="004D5E52" w:rsidRPr="007224C3" w:rsidRDefault="004D5E52"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Завод в 1943 году перевел мазутные печи, расходовавшие в месяц до 120 тонн мазута, на газ от Бугурусланского газопровода и значительно улучшил эксплуатацию карбидной печи.</w:t>
      </w:r>
    </w:p>
    <w:p w14:paraId="61641D2D" w14:textId="77777777" w:rsidR="004D5E52" w:rsidRPr="007224C3" w:rsidRDefault="004D5E52"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Установленный заводу план накоплений перевыполнен на 7,4 млн. руб., остаток нормированных материальных ценностей сокращен ниже установленных Главным Управлением нормативов, дебиторская задолженность снижена на 81 %.</w:t>
      </w:r>
    </w:p>
    <w:p w14:paraId="58C02109" w14:textId="77777777" w:rsidR="004D5E52" w:rsidRPr="007224C3" w:rsidRDefault="004D5E52"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Наряду с перевыполнением плана по капитальному строительству на 22% и вводу в эксплуатацию объектов на 58%, снижен остаток незавершенного производства на 2,9 млн. руб. и мобилизованы внутренние ресурсы, за счет снижения остатка материальных ценностей, на 971 тыс. руб.</w:t>
      </w:r>
    </w:p>
    <w:p w14:paraId="5DC0405E" w14:textId="77777777" w:rsidR="004D5E52" w:rsidRPr="007224C3" w:rsidRDefault="004D5E52"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Деятельность завода № 18 за 1943 год в части основного производства считаю хорошей, по капитальному строительству удовлетворительной.</w:t>
      </w:r>
    </w:p>
    <w:p w14:paraId="337237C8" w14:textId="77777777" w:rsidR="004D5E52" w:rsidRPr="007224C3" w:rsidRDefault="004D5E52"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Годовой отчет представлен в срок. Качество отчета хорошее.</w:t>
      </w:r>
    </w:p>
    <w:p w14:paraId="3FD2C122" w14:textId="77777777" w:rsidR="004D5E52" w:rsidRPr="007224C3" w:rsidRDefault="004D5E52"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Реальность отчета подтверждается проведенной инвентаризацией, результаты которой отражены в балансе...</w:t>
      </w:r>
    </w:p>
    <w:p w14:paraId="13480826" w14:textId="77777777" w:rsidR="004D5E52" w:rsidRPr="007224C3" w:rsidRDefault="004D5E52"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Заместитель Народного Комиссара авиационной промышленности</w:t>
      </w:r>
      <w:r w:rsidRPr="007224C3">
        <w:rPr>
          <w:rFonts w:ascii="Times New Roman" w:hAnsi="Times New Roman"/>
          <w:color w:val="0070C0"/>
          <w:sz w:val="16"/>
          <w:szCs w:val="16"/>
        </w:rPr>
        <w:tab/>
        <w:t>А. Кузнецов</w:t>
      </w:r>
    </w:p>
    <w:p w14:paraId="4D6D68A1" w14:textId="77777777" w:rsidR="004D5E52" w:rsidRPr="007224C3" w:rsidRDefault="004D5E52"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ГАСО</w:t>
      </w:r>
      <w:r w:rsidRPr="007224C3">
        <w:rPr>
          <w:rFonts w:ascii="Times New Roman" w:hAnsi="Times New Roman"/>
          <w:color w:val="0070C0"/>
          <w:sz w:val="16"/>
          <w:szCs w:val="16"/>
          <w:lang w:val="en-US"/>
        </w:rPr>
        <w:t xml:space="preserve">. </w:t>
      </w:r>
      <w:r w:rsidRPr="007224C3">
        <w:rPr>
          <w:rFonts w:ascii="Times New Roman" w:hAnsi="Times New Roman"/>
          <w:color w:val="0070C0"/>
          <w:sz w:val="16"/>
          <w:szCs w:val="16"/>
        </w:rPr>
        <w:t>Ф</w:t>
      </w:r>
      <w:r w:rsidRPr="007224C3">
        <w:rPr>
          <w:rFonts w:ascii="Times New Roman" w:hAnsi="Times New Roman"/>
          <w:color w:val="0070C0"/>
          <w:sz w:val="16"/>
          <w:szCs w:val="16"/>
          <w:lang w:val="en-US"/>
        </w:rPr>
        <w:t xml:space="preserve">. P-3454. On. 2. </w:t>
      </w:r>
      <w:r w:rsidRPr="007224C3">
        <w:rPr>
          <w:rFonts w:ascii="Times New Roman" w:hAnsi="Times New Roman"/>
          <w:color w:val="0070C0"/>
          <w:sz w:val="16"/>
          <w:szCs w:val="16"/>
        </w:rPr>
        <w:t>Д</w:t>
      </w:r>
      <w:r w:rsidRPr="007224C3">
        <w:rPr>
          <w:rFonts w:ascii="Times New Roman" w:hAnsi="Times New Roman"/>
          <w:color w:val="0070C0"/>
          <w:sz w:val="16"/>
          <w:szCs w:val="16"/>
          <w:lang w:val="en-US"/>
        </w:rPr>
        <w:t xml:space="preserve">. 26. </w:t>
      </w:r>
      <w:r w:rsidRPr="007224C3">
        <w:rPr>
          <w:rFonts w:ascii="Times New Roman" w:hAnsi="Times New Roman"/>
          <w:color w:val="0070C0"/>
          <w:sz w:val="16"/>
          <w:szCs w:val="16"/>
        </w:rPr>
        <w:t>Л</w:t>
      </w:r>
      <w:r w:rsidRPr="007224C3">
        <w:rPr>
          <w:rFonts w:ascii="Times New Roman" w:hAnsi="Times New Roman"/>
          <w:color w:val="0070C0"/>
          <w:sz w:val="16"/>
          <w:szCs w:val="16"/>
          <w:lang w:val="en-US"/>
        </w:rPr>
        <w:t>. 108-108</w:t>
      </w:r>
      <w:r w:rsidRPr="007224C3">
        <w:rPr>
          <w:rFonts w:ascii="Times New Roman" w:hAnsi="Times New Roman"/>
          <w:color w:val="0070C0"/>
          <w:sz w:val="16"/>
          <w:szCs w:val="16"/>
        </w:rPr>
        <w:t>а</w:t>
      </w:r>
      <w:r w:rsidRPr="007224C3">
        <w:rPr>
          <w:rFonts w:ascii="Times New Roman" w:hAnsi="Times New Roman"/>
          <w:color w:val="0070C0"/>
          <w:sz w:val="16"/>
          <w:szCs w:val="16"/>
          <w:lang w:val="en-US"/>
        </w:rPr>
        <w:t xml:space="preserve">. </w:t>
      </w:r>
      <w:r w:rsidRPr="007224C3">
        <w:rPr>
          <w:rFonts w:ascii="Times New Roman" w:hAnsi="Times New Roman"/>
          <w:color w:val="0070C0"/>
          <w:sz w:val="16"/>
          <w:szCs w:val="16"/>
        </w:rPr>
        <w:t>Подлинник (20781).</w:t>
      </w:r>
    </w:p>
    <w:p w14:paraId="7953C59F" w14:textId="77777777" w:rsidR="004D5E52" w:rsidRPr="007224C3" w:rsidRDefault="004D5E52" w:rsidP="007224C3">
      <w:pPr>
        <w:spacing w:after="0" w:line="240" w:lineRule="auto"/>
        <w:jc w:val="both"/>
        <w:rPr>
          <w:rFonts w:ascii="Times New Roman" w:hAnsi="Times New Roman"/>
          <w:color w:val="0070C0"/>
          <w:sz w:val="16"/>
          <w:szCs w:val="16"/>
        </w:rPr>
      </w:pPr>
    </w:p>
    <w:p w14:paraId="739A3EBE" w14:textId="77777777" w:rsidR="00282955" w:rsidRPr="007224C3" w:rsidRDefault="00282955" w:rsidP="007224C3">
      <w:pPr>
        <w:pStyle w:val="7"/>
        <w:shd w:val="clear" w:color="auto" w:fill="auto"/>
        <w:spacing w:line="240" w:lineRule="auto"/>
        <w:rPr>
          <w:rFonts w:ascii="Times New Roman" w:cs="Times New Roman"/>
          <w:color w:val="000000" w:themeColor="text1"/>
          <w:spacing w:val="0"/>
          <w:sz w:val="16"/>
          <w:szCs w:val="16"/>
        </w:rPr>
      </w:pPr>
      <w:r w:rsidRPr="007224C3">
        <w:rPr>
          <w:rStyle w:val="75"/>
          <w:rFonts w:ascii="Times New Roman" w:hAnsi="Times New Roman" w:cs="Times New Roman"/>
          <w:i w:val="0"/>
          <w:color w:val="000000" w:themeColor="text1"/>
          <w:sz w:val="16"/>
          <w:szCs w:val="16"/>
        </w:rPr>
        <w:t>17 марта 1944 г., ознакомившись с первыми результата</w:t>
      </w:r>
      <w:r w:rsidRPr="007224C3">
        <w:rPr>
          <w:rStyle w:val="75"/>
          <w:rFonts w:ascii="Times New Roman" w:hAnsi="Times New Roman" w:cs="Times New Roman"/>
          <w:i w:val="0"/>
          <w:color w:val="000000" w:themeColor="text1"/>
          <w:sz w:val="16"/>
          <w:szCs w:val="16"/>
        </w:rPr>
        <w:softHyphen/>
        <w:t>ми испытаний английской прозрачной брони, главный инженер ВВС КА генерал-полковник А.К. Репин направил соот</w:t>
      </w:r>
      <w:r w:rsidRPr="007224C3">
        <w:rPr>
          <w:rStyle w:val="75"/>
          <w:rFonts w:ascii="Times New Roman" w:hAnsi="Times New Roman" w:cs="Times New Roman"/>
          <w:i w:val="0"/>
          <w:color w:val="000000" w:themeColor="text1"/>
          <w:sz w:val="16"/>
          <w:szCs w:val="16"/>
        </w:rPr>
        <w:softHyphen/>
        <w:t>ветствующий доклад секретарю ЦК ВКП(б) Г.М. Маленкову. В докладе отмечалось:</w:t>
      </w:r>
      <w:r w:rsidRPr="007224C3">
        <w:rPr>
          <w:rFonts w:ascii="Times New Roman" w:cs="Times New Roman"/>
          <w:color w:val="000000" w:themeColor="text1"/>
          <w:spacing w:val="0"/>
          <w:sz w:val="16"/>
          <w:szCs w:val="16"/>
        </w:rPr>
        <w:t xml:space="preserve"> «Не</w:t>
      </w:r>
      <w:r w:rsidRPr="007224C3">
        <w:rPr>
          <w:rFonts w:ascii="Times New Roman" w:cs="Times New Roman"/>
          <w:color w:val="000000" w:themeColor="text1"/>
          <w:spacing w:val="0"/>
          <w:sz w:val="16"/>
          <w:szCs w:val="16"/>
        </w:rPr>
        <w:softHyphen/>
        <w:t>смотря на длительный срок, прошедший с мо</w:t>
      </w:r>
      <w:r w:rsidRPr="007224C3">
        <w:rPr>
          <w:rFonts w:ascii="Times New Roman" w:cs="Times New Roman"/>
          <w:color w:val="000000" w:themeColor="text1"/>
          <w:spacing w:val="0"/>
          <w:sz w:val="16"/>
          <w:szCs w:val="16"/>
        </w:rPr>
        <w:softHyphen/>
        <w:t>мента выхода Постановлений ГОКО(№№2732 от 10.1.43 и 3218 от 21.4.43г.) и неодно</w:t>
      </w:r>
      <w:r w:rsidRPr="007224C3">
        <w:rPr>
          <w:rFonts w:ascii="Times New Roman" w:cs="Times New Roman"/>
          <w:color w:val="000000" w:themeColor="text1"/>
          <w:spacing w:val="0"/>
          <w:sz w:val="16"/>
          <w:szCs w:val="16"/>
        </w:rPr>
        <w:softHyphen/>
        <w:t>кратные требования ВВС КА, НКХП и НКПСМ до настоящего времени не предъявили ни од</w:t>
      </w:r>
      <w:r w:rsidRPr="007224C3">
        <w:rPr>
          <w:rFonts w:ascii="Times New Roman" w:cs="Times New Roman"/>
          <w:color w:val="000000" w:themeColor="text1"/>
          <w:spacing w:val="0"/>
          <w:sz w:val="16"/>
          <w:szCs w:val="16"/>
        </w:rPr>
        <w:softHyphen/>
        <w:t>ного опытного образца прозрачной брони, от</w:t>
      </w:r>
      <w:r w:rsidRPr="007224C3">
        <w:rPr>
          <w:rFonts w:ascii="Times New Roman" w:cs="Times New Roman"/>
          <w:color w:val="000000" w:themeColor="text1"/>
          <w:spacing w:val="0"/>
          <w:sz w:val="16"/>
          <w:szCs w:val="16"/>
        </w:rPr>
        <w:softHyphen/>
        <w:t>вечающего Тактико-Техническим Требованиям ВВС КА. Поставляемая ими серийная прозрач</w:t>
      </w:r>
      <w:r w:rsidRPr="007224C3">
        <w:rPr>
          <w:rFonts w:ascii="Times New Roman" w:cs="Times New Roman"/>
          <w:color w:val="000000" w:themeColor="text1"/>
          <w:spacing w:val="0"/>
          <w:sz w:val="16"/>
          <w:szCs w:val="16"/>
        </w:rPr>
        <w:softHyphen/>
        <w:t>ная броня по-прежнему не удовлетворяет ВВС КА по оптическим свойствам (большие иска</w:t>
      </w:r>
      <w:r w:rsidRPr="007224C3">
        <w:rPr>
          <w:rFonts w:ascii="Times New Roman" w:cs="Times New Roman"/>
          <w:color w:val="000000" w:themeColor="text1"/>
          <w:spacing w:val="0"/>
          <w:sz w:val="16"/>
          <w:szCs w:val="16"/>
        </w:rPr>
        <w:softHyphen/>
        <w:t>жения) и подвержена пузыреобразованию в процессе эксплуатации».</w:t>
      </w:r>
    </w:p>
    <w:p w14:paraId="7F65FCC0" w14:textId="77777777" w:rsidR="00282955" w:rsidRPr="007224C3" w:rsidRDefault="00282955" w:rsidP="007224C3">
      <w:pPr>
        <w:pStyle w:val="7"/>
        <w:shd w:val="clear" w:color="auto" w:fill="auto"/>
        <w:spacing w:line="240" w:lineRule="auto"/>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«В целях скорейшего обеспечения частей ВВС КА высококачественной прозрачной бро</w:t>
      </w:r>
      <w:r w:rsidRPr="007224C3">
        <w:rPr>
          <w:rFonts w:ascii="Times New Roman" w:cs="Times New Roman"/>
          <w:color w:val="000000" w:themeColor="text1"/>
          <w:spacing w:val="0"/>
          <w:sz w:val="16"/>
          <w:szCs w:val="16"/>
        </w:rPr>
        <w:softHyphen/>
        <w:t>ней»</w:t>
      </w:r>
      <w:r w:rsidRPr="007224C3">
        <w:rPr>
          <w:rStyle w:val="75"/>
          <w:rFonts w:ascii="Times New Roman" w:hAnsi="Times New Roman" w:cs="Times New Roman"/>
          <w:i w:val="0"/>
          <w:color w:val="000000" w:themeColor="text1"/>
          <w:sz w:val="16"/>
          <w:szCs w:val="16"/>
        </w:rPr>
        <w:t xml:space="preserve"> генерал Репин просил Маленкова дать указания</w:t>
      </w:r>
      <w:r w:rsidRPr="007224C3">
        <w:rPr>
          <w:rFonts w:ascii="Times New Roman" w:cs="Times New Roman"/>
          <w:color w:val="000000" w:themeColor="text1"/>
          <w:spacing w:val="0"/>
          <w:sz w:val="16"/>
          <w:szCs w:val="16"/>
        </w:rPr>
        <w:t xml:space="preserve"> «НКХП и НКПСМ всемерно форсиро</w:t>
      </w:r>
      <w:r w:rsidRPr="007224C3">
        <w:rPr>
          <w:rFonts w:ascii="Times New Roman" w:cs="Times New Roman"/>
          <w:color w:val="000000" w:themeColor="text1"/>
          <w:spacing w:val="0"/>
          <w:sz w:val="16"/>
          <w:szCs w:val="16"/>
        </w:rPr>
        <w:softHyphen/>
        <w:t>вать работы по изготовлению для ВВС КА улуч</w:t>
      </w:r>
      <w:r w:rsidRPr="007224C3">
        <w:rPr>
          <w:rFonts w:ascii="Times New Roman" w:cs="Times New Roman"/>
          <w:color w:val="000000" w:themeColor="text1"/>
          <w:spacing w:val="0"/>
          <w:sz w:val="16"/>
          <w:szCs w:val="16"/>
        </w:rPr>
        <w:softHyphen/>
        <w:t>шенных образцов прозрачной брони с исполь</w:t>
      </w:r>
      <w:r w:rsidRPr="007224C3">
        <w:rPr>
          <w:rFonts w:ascii="Times New Roman" w:cs="Times New Roman"/>
          <w:color w:val="000000" w:themeColor="text1"/>
          <w:spacing w:val="0"/>
          <w:sz w:val="16"/>
          <w:szCs w:val="16"/>
        </w:rPr>
        <w:softHyphen/>
        <w:t>зованием опыта англичан» (17481).</w:t>
      </w:r>
    </w:p>
    <w:p w14:paraId="069E4A2A" w14:textId="77777777" w:rsidR="00282955" w:rsidRPr="007224C3" w:rsidRDefault="00282955" w:rsidP="007224C3">
      <w:pPr>
        <w:spacing w:after="0" w:line="240" w:lineRule="auto"/>
        <w:jc w:val="both"/>
        <w:rPr>
          <w:rFonts w:ascii="Times New Roman" w:hAnsi="Times New Roman"/>
          <w:color w:val="000000" w:themeColor="text1"/>
          <w:sz w:val="16"/>
          <w:szCs w:val="16"/>
        </w:rPr>
      </w:pPr>
    </w:p>
    <w:p w14:paraId="018FDCD7"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17 марта 1944 начальник НИИ АВ генерал-майор М.В. Гуревич утвердил отчет по испытаниям са</w:t>
      </w:r>
      <w:r w:rsidRPr="007224C3">
        <w:rPr>
          <w:rFonts w:ascii="Times New Roman" w:hAnsi="Times New Roman" w:cs="Times New Roman"/>
          <w:color w:val="000000" w:themeColor="text1"/>
          <w:sz w:val="16"/>
          <w:szCs w:val="16"/>
        </w:rPr>
        <w:softHyphen/>
        <w:t>молета Харрикей зав. № КХ-305, который по</w:t>
      </w:r>
      <w:r w:rsidRPr="007224C3">
        <w:rPr>
          <w:rFonts w:ascii="Times New Roman" w:hAnsi="Times New Roman" w:cs="Times New Roman"/>
          <w:color w:val="000000" w:themeColor="text1"/>
          <w:sz w:val="16"/>
          <w:szCs w:val="16"/>
        </w:rPr>
        <w:softHyphen/>
        <w:t>ступил в НИИ АВ ВВС для производства кон</w:t>
      </w:r>
      <w:r w:rsidRPr="007224C3">
        <w:rPr>
          <w:rFonts w:ascii="Times New Roman" w:hAnsi="Times New Roman" w:cs="Times New Roman"/>
          <w:color w:val="000000" w:themeColor="text1"/>
          <w:sz w:val="16"/>
          <w:szCs w:val="16"/>
        </w:rPr>
        <w:softHyphen/>
        <w:t>трольных испытаний вооружения в феврале 1944 из НИИ ВВС.</w:t>
      </w:r>
    </w:p>
    <w:p w14:paraId="0717E4B3"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Испытания в НИИ ВВС проводились объединенной бригадой специалистов 3-го и 4-го отделов института. Ведущим инженером по испытаниям был назначен инженер-капитан Рабкин (3-й отдел), его помощником - инженер-капитан Колосов (4-й отдел). На самолетах летали: летчик- испытатель 3-го отдела майор Голофастов и летчик-испытатель 4-го отдела старший лейтенант Поминальный.</w:t>
      </w:r>
    </w:p>
    <w:p w14:paraId="3AAD4A2C"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В НИИ АВ к испытаниям привлекались специалисты 7-го отдела института: майор В.С. Полубиченко - ответственный по ис</w:t>
      </w:r>
      <w:r w:rsidRPr="007224C3">
        <w:rPr>
          <w:rFonts w:ascii="Times New Roman" w:hAnsi="Times New Roman" w:cs="Times New Roman"/>
          <w:color w:val="000000" w:themeColor="text1"/>
          <w:sz w:val="16"/>
          <w:szCs w:val="16"/>
        </w:rPr>
        <w:softHyphen/>
        <w:t>пытаниям, старший техник-лейтенант Ф.Ф. Сивцов, летчик-испытатель капитан А.В. Кусакин и механик по вооружению старший сержант Ф.Я. Анохин.</w:t>
      </w:r>
    </w:p>
    <w:p w14:paraId="2503403B"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Всего в НИИ ВВС было выполнено 27 полетов с суммарным налетом 18 ч 40 мин, втом числе: на самолете зав. N9 КХ-305 -16 полетов (12 ч 10 мин), на самолете зав. № КХ-171 - 11 полетов (6 ч 30 мин). С начала эксплуатации мотор «Мерлин» XX №87591 на самолете зав. № КХ-305 наработал 52 ч 14 мин, а мотор № 87437 на самолете зав. № КХ-171 -71 ч 11 мин.</w:t>
      </w:r>
    </w:p>
    <w:p w14:paraId="08C3E91C"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В НИИ АВ ВВС на самолете зав. № КХ- 305 выполнили еще 9 контрольных полетов на отстрел вооружения в воздухе по воз</w:t>
      </w:r>
      <w:r w:rsidRPr="007224C3">
        <w:rPr>
          <w:rFonts w:ascii="Times New Roman" w:hAnsi="Times New Roman" w:cs="Times New Roman"/>
          <w:color w:val="000000" w:themeColor="text1"/>
          <w:sz w:val="16"/>
          <w:szCs w:val="16"/>
        </w:rPr>
        <w:softHyphen/>
        <w:t>душным и наземным целям.</w:t>
      </w:r>
    </w:p>
    <w:p w14:paraId="5ED28A32"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Судя по песчаному камуфляжу, само</w:t>
      </w:r>
      <w:r w:rsidRPr="007224C3">
        <w:rPr>
          <w:rFonts w:ascii="Times New Roman" w:hAnsi="Times New Roman" w:cs="Times New Roman"/>
          <w:color w:val="000000" w:themeColor="text1"/>
          <w:sz w:val="16"/>
          <w:szCs w:val="16"/>
        </w:rPr>
        <w:softHyphen/>
        <w:t>леты применялись в Северной Африке.</w:t>
      </w:r>
    </w:p>
    <w:p w14:paraId="4E0C94C0"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Истребители оснащались пылефильтром, установленным на всасывающем патрубке мотора.</w:t>
      </w:r>
    </w:p>
    <w:p w14:paraId="53B37BDD"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Штурмовой вариант самолета «Харрикейн» 1Ю представлял собой серийный самолет «Харрикейн» НС с усиленным бро</w:t>
      </w:r>
      <w:r w:rsidRPr="007224C3">
        <w:rPr>
          <w:rFonts w:ascii="Times New Roman" w:hAnsi="Times New Roman" w:cs="Times New Roman"/>
          <w:color w:val="000000" w:themeColor="text1"/>
          <w:sz w:val="16"/>
          <w:szCs w:val="16"/>
        </w:rPr>
        <w:softHyphen/>
        <w:t>нированием, доработанный под установку крупнокалиберных пушек.</w:t>
      </w:r>
    </w:p>
    <w:p w14:paraId="27A3BFA1"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На самолете устанавливался дере</w:t>
      </w:r>
      <w:r w:rsidRPr="007224C3">
        <w:rPr>
          <w:rFonts w:ascii="Times New Roman" w:hAnsi="Times New Roman" w:cs="Times New Roman"/>
          <w:color w:val="000000" w:themeColor="text1"/>
          <w:sz w:val="16"/>
          <w:szCs w:val="16"/>
        </w:rPr>
        <w:softHyphen/>
        <w:t>вянный трехлопастный воздушный винт изменяемого в полете шага фирмы Ротол Н5-5/3 диаметром 3,43 м. Система разжи</w:t>
      </w:r>
      <w:r w:rsidRPr="007224C3">
        <w:rPr>
          <w:rFonts w:ascii="Times New Roman" w:hAnsi="Times New Roman" w:cs="Times New Roman"/>
          <w:color w:val="000000" w:themeColor="text1"/>
          <w:sz w:val="16"/>
          <w:szCs w:val="16"/>
        </w:rPr>
        <w:softHyphen/>
        <w:t>жения масла бензином, невыключаемый воздушный фильтр и другие агрегаты си</w:t>
      </w:r>
      <w:r w:rsidRPr="007224C3">
        <w:rPr>
          <w:rFonts w:ascii="Times New Roman" w:hAnsi="Times New Roman" w:cs="Times New Roman"/>
          <w:color w:val="000000" w:themeColor="text1"/>
          <w:sz w:val="16"/>
          <w:szCs w:val="16"/>
        </w:rPr>
        <w:softHyphen/>
        <w:t>стемы винтомоторной группы такие же, как у Мк.ПС. Вместо двух кислородных балло</w:t>
      </w:r>
      <w:r w:rsidRPr="007224C3">
        <w:rPr>
          <w:rFonts w:ascii="Times New Roman" w:hAnsi="Times New Roman" w:cs="Times New Roman"/>
          <w:color w:val="000000" w:themeColor="text1"/>
          <w:sz w:val="16"/>
          <w:szCs w:val="16"/>
        </w:rPr>
        <w:softHyphen/>
        <w:t>нов оставлен один.</w:t>
      </w:r>
    </w:p>
    <w:p w14:paraId="4FFB3E02"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Под крылом Мк.1Ю размещались две пушки Виккерс 5 калибра 40 мм с суммар</w:t>
      </w:r>
      <w:r w:rsidRPr="007224C3">
        <w:rPr>
          <w:rFonts w:ascii="Times New Roman" w:hAnsi="Times New Roman" w:cs="Times New Roman"/>
          <w:color w:val="000000" w:themeColor="text1"/>
          <w:sz w:val="16"/>
          <w:szCs w:val="16"/>
        </w:rPr>
        <w:softHyphen/>
        <w:t>ным боекомплектом 30 снарядов и в кры</w:t>
      </w:r>
      <w:r w:rsidRPr="007224C3">
        <w:rPr>
          <w:rFonts w:ascii="Times New Roman" w:hAnsi="Times New Roman" w:cs="Times New Roman"/>
          <w:color w:val="000000" w:themeColor="text1"/>
          <w:sz w:val="16"/>
          <w:szCs w:val="16"/>
        </w:rPr>
        <w:softHyphen/>
        <w:t>ле два пулемета Кольт-Браунинг калибра 7,69 мм с боекомплектом 1300 патронов. Вместо пушек допускалась подвеска до</w:t>
      </w:r>
      <w:r w:rsidRPr="007224C3">
        <w:rPr>
          <w:rFonts w:ascii="Times New Roman" w:hAnsi="Times New Roman" w:cs="Times New Roman"/>
          <w:color w:val="000000" w:themeColor="text1"/>
          <w:sz w:val="16"/>
          <w:szCs w:val="16"/>
        </w:rPr>
        <w:softHyphen/>
        <w:t>полнительных бензобаков.</w:t>
      </w:r>
    </w:p>
    <w:p w14:paraId="7486A73E"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В правом крыле предусматривалась установка фотокинопулемета для учебных целей и для контроля результатов стрельб, но на поступивших в НИИ ВВС самолетах фотокинопулеметы отсутствовали.</w:t>
      </w:r>
    </w:p>
    <w:p w14:paraId="6CCAF187"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Управление огнем пушек и пулеме</w:t>
      </w:r>
      <w:r w:rsidRPr="007224C3">
        <w:rPr>
          <w:rFonts w:ascii="Times New Roman" w:hAnsi="Times New Roman" w:cs="Times New Roman"/>
          <w:color w:val="000000" w:themeColor="text1"/>
          <w:sz w:val="16"/>
          <w:szCs w:val="16"/>
        </w:rPr>
        <w:softHyphen/>
        <w:t>тов раздельное," электропневматическое. Стрельба из пулеметов велась с помощью электрокнопки, смонтированной на ручке управления, а из пушек, также электрокноп</w:t>
      </w:r>
      <w:r w:rsidRPr="007224C3">
        <w:rPr>
          <w:rFonts w:ascii="Times New Roman" w:hAnsi="Times New Roman" w:cs="Times New Roman"/>
          <w:color w:val="000000" w:themeColor="text1"/>
          <w:sz w:val="16"/>
          <w:szCs w:val="16"/>
        </w:rPr>
        <w:softHyphen/>
        <w:t>кой, но смонтированной на секторе газа.</w:t>
      </w:r>
    </w:p>
    <w:p w14:paraId="40A0B98F"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Для прицеливания при стрельбе ис</w:t>
      </w:r>
      <w:r w:rsidRPr="007224C3">
        <w:rPr>
          <w:rFonts w:ascii="Times New Roman" w:hAnsi="Times New Roman" w:cs="Times New Roman"/>
          <w:color w:val="000000" w:themeColor="text1"/>
          <w:sz w:val="16"/>
          <w:szCs w:val="16"/>
        </w:rPr>
        <w:softHyphen/>
        <w:t>пользовался коллиматорный прицел Реф</w:t>
      </w:r>
      <w:r w:rsidRPr="007224C3">
        <w:rPr>
          <w:rFonts w:ascii="Times New Roman" w:hAnsi="Times New Roman" w:cs="Times New Roman"/>
          <w:color w:val="000000" w:themeColor="text1"/>
          <w:sz w:val="16"/>
          <w:szCs w:val="16"/>
        </w:rPr>
        <w:softHyphen/>
        <w:t>лектор Сайт Мк.115 с электрической под</w:t>
      </w:r>
      <w:r w:rsidRPr="007224C3">
        <w:rPr>
          <w:rFonts w:ascii="Times New Roman" w:hAnsi="Times New Roman" w:cs="Times New Roman"/>
          <w:color w:val="000000" w:themeColor="text1"/>
          <w:sz w:val="16"/>
          <w:szCs w:val="16"/>
        </w:rPr>
        <w:softHyphen/>
        <w:t>светкой.</w:t>
      </w:r>
    </w:p>
    <w:p w14:paraId="70FB83FB"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Установка пулеметов Кольт-Баунинг ничем не отличалась от установки на се</w:t>
      </w:r>
      <w:r w:rsidRPr="007224C3">
        <w:rPr>
          <w:rFonts w:ascii="Times New Roman" w:hAnsi="Times New Roman" w:cs="Times New Roman"/>
          <w:color w:val="000000" w:themeColor="text1"/>
          <w:sz w:val="16"/>
          <w:szCs w:val="16"/>
        </w:rPr>
        <w:softHyphen/>
        <w:t>рийном самолете типа Мк.ПС, за исклю</w:t>
      </w:r>
      <w:r w:rsidRPr="007224C3">
        <w:rPr>
          <w:rFonts w:ascii="Times New Roman" w:hAnsi="Times New Roman" w:cs="Times New Roman"/>
          <w:color w:val="000000" w:themeColor="text1"/>
          <w:sz w:val="16"/>
          <w:szCs w:val="16"/>
        </w:rPr>
        <w:softHyphen/>
        <w:t>чением увеличенного боезапаса (лента в патронном ящике).</w:t>
      </w:r>
    </w:p>
    <w:p w14:paraId="7C0316A3"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Пушки помещались в специальном об</w:t>
      </w:r>
      <w:r w:rsidRPr="007224C3">
        <w:rPr>
          <w:rFonts w:ascii="Times New Roman" w:hAnsi="Times New Roman" w:cs="Times New Roman"/>
          <w:color w:val="000000" w:themeColor="text1"/>
          <w:sz w:val="16"/>
          <w:szCs w:val="16"/>
        </w:rPr>
        <w:softHyphen/>
        <w:t>текателе под крылом и крепились на двух узлах, из которых передний являлся сило</w:t>
      </w:r>
      <w:r w:rsidRPr="007224C3">
        <w:rPr>
          <w:rFonts w:ascii="Times New Roman" w:hAnsi="Times New Roman" w:cs="Times New Roman"/>
          <w:color w:val="000000" w:themeColor="text1"/>
          <w:sz w:val="16"/>
          <w:szCs w:val="16"/>
        </w:rPr>
        <w:softHyphen/>
        <w:t>вым, а задний - регулировочным. При этом стволы пушек на 1080 мм выступали за переднюю кромку крыла.</w:t>
      </w:r>
    </w:p>
    <w:p w14:paraId="1D885F22"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lastRenderedPageBreak/>
        <w:t>Автоматика пушек Виккерс 8 работала на принципе отдачи с длинным ходом ство</w:t>
      </w:r>
      <w:r w:rsidRPr="007224C3">
        <w:rPr>
          <w:rFonts w:ascii="Times New Roman" w:hAnsi="Times New Roman" w:cs="Times New Roman"/>
          <w:color w:val="000000" w:themeColor="text1"/>
          <w:sz w:val="16"/>
          <w:szCs w:val="16"/>
        </w:rPr>
        <w:softHyphen/>
        <w:t>ла, запирание клиновое. Сила отдачи при стрельбе поглощалась работой автомати</w:t>
      </w:r>
      <w:r w:rsidRPr="007224C3">
        <w:rPr>
          <w:rFonts w:ascii="Times New Roman" w:hAnsi="Times New Roman" w:cs="Times New Roman"/>
          <w:color w:val="000000" w:themeColor="text1"/>
          <w:sz w:val="16"/>
          <w:szCs w:val="16"/>
        </w:rPr>
        <w:softHyphen/>
        <w:t>ки, возвратной и буферной пружинами и гидравлическим тормозом. В гидротормоз заливалось веретенное масло или смесь веретенного масла с техническим кероси</w:t>
      </w:r>
      <w:r w:rsidRPr="007224C3">
        <w:rPr>
          <w:rFonts w:ascii="Times New Roman" w:hAnsi="Times New Roman" w:cs="Times New Roman"/>
          <w:color w:val="000000" w:themeColor="text1"/>
          <w:sz w:val="16"/>
          <w:szCs w:val="16"/>
        </w:rPr>
        <w:softHyphen/>
        <w:t>ном (в соотношении 60/40).</w:t>
      </w:r>
    </w:p>
    <w:p w14:paraId="13B64ED5"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Питание пушек - магазинное. Магазин на 15 снарядов жестко крепился к пушке болтами. Зарядка магазина производи</w:t>
      </w:r>
      <w:r w:rsidRPr="007224C3">
        <w:rPr>
          <w:rFonts w:ascii="Times New Roman" w:hAnsi="Times New Roman" w:cs="Times New Roman"/>
          <w:color w:val="000000" w:themeColor="text1"/>
          <w:sz w:val="16"/>
          <w:szCs w:val="16"/>
        </w:rPr>
        <w:softHyphen/>
        <w:t>лась непосредственно на самолете.</w:t>
      </w:r>
    </w:p>
    <w:p w14:paraId="53FAECB0"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Перезарядка пушек осуществлялась вручную с помощью специальной рукоятки с цепной передачей. Перезаряжать пушку можно было только на земле. В воздухе летчик имел возможность лишь повторно взвести ударник. Для этого на левом бор</w:t>
      </w:r>
      <w:r w:rsidRPr="007224C3">
        <w:rPr>
          <w:rFonts w:ascii="Times New Roman" w:hAnsi="Times New Roman" w:cs="Times New Roman"/>
          <w:color w:val="000000" w:themeColor="text1"/>
          <w:sz w:val="16"/>
          <w:szCs w:val="16"/>
        </w:rPr>
        <w:softHyphen/>
        <w:t>ту располагалась гашетка пневмовзвода ударников пушек. С ее помощью летчик в полете мог повторно взвести ударники пу</w:t>
      </w:r>
      <w:r w:rsidRPr="007224C3">
        <w:rPr>
          <w:rFonts w:ascii="Times New Roman" w:hAnsi="Times New Roman" w:cs="Times New Roman"/>
          <w:color w:val="000000" w:themeColor="text1"/>
          <w:sz w:val="16"/>
          <w:szCs w:val="16"/>
        </w:rPr>
        <w:softHyphen/>
        <w:t>шек и продолжить стрельбу.</w:t>
      </w:r>
    </w:p>
    <w:p w14:paraId="5C56F553"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Длина пушки достигала 2970 мм, при высоте с магазином 533 мм (без магазина 278 мм) и ширине 210 мм. Общий вес пуш</w:t>
      </w:r>
      <w:r w:rsidRPr="007224C3">
        <w:rPr>
          <w:rFonts w:ascii="Times New Roman" w:hAnsi="Times New Roman" w:cs="Times New Roman"/>
          <w:color w:val="000000" w:themeColor="text1"/>
          <w:sz w:val="16"/>
          <w:szCs w:val="16"/>
        </w:rPr>
        <w:softHyphen/>
        <w:t>ки с магазином и 15 бронебойными снаря</w:t>
      </w:r>
      <w:r w:rsidRPr="007224C3">
        <w:rPr>
          <w:rFonts w:ascii="Times New Roman" w:hAnsi="Times New Roman" w:cs="Times New Roman"/>
          <w:color w:val="000000" w:themeColor="text1"/>
          <w:sz w:val="16"/>
          <w:szCs w:val="16"/>
        </w:rPr>
        <w:softHyphen/>
        <w:t>дами составлял 180,2 кг, в том числе: сама пушка - 141,7 кг, магазин без патронов - 16,0 кг, боекомплект - 22,5 кг.</w:t>
      </w:r>
    </w:p>
    <w:p w14:paraId="0F0E65BE"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Броней на самолете защищались: летчик, мотор, водо- и маслорадиаторы. Общий вес брони достигал 185 кг.</w:t>
      </w:r>
    </w:p>
    <w:p w14:paraId="3661F5C7"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Бронекозырек кабины летчика состоял из трех плит пулестойкого стекла. Средняя плита имела толщину 35 мм, а боковые</w:t>
      </w:r>
    </w:p>
    <w:p w14:paraId="671E9F45" w14:textId="77777777" w:rsidR="00903E13" w:rsidRPr="007224C3" w:rsidRDefault="00903E13" w:rsidP="007224C3">
      <w:pPr>
        <w:pStyle w:val="47"/>
        <w:numPr>
          <w:ilvl w:val="0"/>
          <w:numId w:val="1"/>
        </w:numPr>
        <w:shd w:val="clear" w:color="auto" w:fill="auto"/>
        <w:tabs>
          <w:tab w:val="left" w:pos="169"/>
        </w:tabs>
        <w:autoSpaceDE/>
        <w:autoSpaceDN/>
        <w:adjustRightInd/>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по 32 мм. Спереди сверху летчик защи</w:t>
      </w:r>
      <w:r w:rsidRPr="007224C3">
        <w:rPr>
          <w:rFonts w:ascii="Times New Roman" w:hAnsi="Times New Roman" w:cs="Times New Roman"/>
          <w:color w:val="000000" w:themeColor="text1"/>
          <w:sz w:val="16"/>
          <w:szCs w:val="16"/>
        </w:rPr>
        <w:softHyphen/>
        <w:t>щался двумя бронеплитами толщиной по 4,75 мм, одна из которых устанавливалась перед расширительным бачком, а вторая</w:t>
      </w:r>
    </w:p>
    <w:p w14:paraId="1CD0FAF3" w14:textId="77777777" w:rsidR="00903E13" w:rsidRPr="007224C3" w:rsidRDefault="00903E13" w:rsidP="007224C3">
      <w:pPr>
        <w:pStyle w:val="47"/>
        <w:numPr>
          <w:ilvl w:val="0"/>
          <w:numId w:val="1"/>
        </w:numPr>
        <w:shd w:val="clear" w:color="auto" w:fill="auto"/>
        <w:tabs>
          <w:tab w:val="left" w:pos="222"/>
        </w:tabs>
        <w:autoSpaceDE/>
        <w:autoSpaceDN/>
        <w:adjustRightInd/>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перед резервным бензобаком. Снизу спереди летчика прикрывали две бронеплиты по 4,75 мм под боковыми капотами мотора, по одной с каждой стороны. Под сиденьем располагалась бронеплита тол</w:t>
      </w:r>
      <w:r w:rsidRPr="007224C3">
        <w:rPr>
          <w:rFonts w:ascii="Times New Roman" w:hAnsi="Times New Roman" w:cs="Times New Roman"/>
          <w:color w:val="000000" w:themeColor="text1"/>
          <w:sz w:val="16"/>
          <w:szCs w:val="16"/>
        </w:rPr>
        <w:softHyphen/>
        <w:t>щиной 7,5 мм. Со стороны задней полу</w:t>
      </w:r>
      <w:r w:rsidRPr="007224C3">
        <w:rPr>
          <w:rFonts w:ascii="Times New Roman" w:hAnsi="Times New Roman" w:cs="Times New Roman"/>
          <w:color w:val="000000" w:themeColor="text1"/>
          <w:sz w:val="16"/>
          <w:szCs w:val="16"/>
        </w:rPr>
        <w:softHyphen/>
        <w:t>сферы летчик защищался бронеспинкой, состоящей из четырех 4,75-мм бронеплит и бронезаголовника толщиной 10,25 мм.</w:t>
      </w:r>
    </w:p>
    <w:p w14:paraId="183810CD"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Водо- и маслорадиаторы защища</w:t>
      </w:r>
      <w:r w:rsidRPr="007224C3">
        <w:rPr>
          <w:rFonts w:ascii="Times New Roman" w:hAnsi="Times New Roman" w:cs="Times New Roman"/>
          <w:color w:val="000000" w:themeColor="text1"/>
          <w:sz w:val="16"/>
          <w:szCs w:val="16"/>
        </w:rPr>
        <w:softHyphen/>
        <w:t>лись снизу пятью 4,5-мм бронеплитами. Бронирование мотора включало четыре бронеплиты с левой стороны толщиной 4,25 и 4,75 мм, три плиты с правой сто</w:t>
      </w:r>
      <w:r w:rsidRPr="007224C3">
        <w:rPr>
          <w:rFonts w:ascii="Times New Roman" w:hAnsi="Times New Roman" w:cs="Times New Roman"/>
          <w:color w:val="000000" w:themeColor="text1"/>
          <w:sz w:val="16"/>
          <w:szCs w:val="16"/>
        </w:rPr>
        <w:softHyphen/>
        <w:t>роны толщиной 4,75, 5,25 и 6,75 мм и три бронеплиты снизу толщиной 7,5 мм, 5,25 и 4,75 мм. Все плиты крепились к подкосам моторной рамы и закрывались капотами мотора.</w:t>
      </w:r>
    </w:p>
    <w:p w14:paraId="39E937C1"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Масса пустого самолета составлял 2763 кг. Нормальный полетный вес - 3650 кг.</w:t>
      </w:r>
    </w:p>
    <w:p w14:paraId="430CB231"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На номинальном режиме работы мо</w:t>
      </w:r>
      <w:r w:rsidRPr="007224C3">
        <w:rPr>
          <w:rFonts w:ascii="Times New Roman" w:hAnsi="Times New Roman" w:cs="Times New Roman"/>
          <w:color w:val="000000" w:themeColor="text1"/>
          <w:sz w:val="16"/>
          <w:szCs w:val="16"/>
        </w:rPr>
        <w:softHyphen/>
        <w:t>тора максимальная скорость самолета «Харрикейн» 1Ю зав. № КХ-305 достигала 398 км/ч - у земли, 460 км/ч - на 1-й гра</w:t>
      </w:r>
      <w:r w:rsidRPr="007224C3">
        <w:rPr>
          <w:rFonts w:ascii="Times New Roman" w:hAnsi="Times New Roman" w:cs="Times New Roman"/>
          <w:color w:val="000000" w:themeColor="text1"/>
          <w:sz w:val="16"/>
          <w:szCs w:val="16"/>
        </w:rPr>
        <w:softHyphen/>
        <w:t>нице высотности (3400 м), 478 км/ч - на 2-й границе высотности (5300 м). На бое</w:t>
      </w:r>
      <w:r w:rsidRPr="007224C3">
        <w:rPr>
          <w:rFonts w:ascii="Times New Roman" w:hAnsi="Times New Roman" w:cs="Times New Roman"/>
          <w:color w:val="000000" w:themeColor="text1"/>
          <w:sz w:val="16"/>
          <w:szCs w:val="16"/>
        </w:rPr>
        <w:softHyphen/>
        <w:t>вом режиме работы мотора, который мож</w:t>
      </w:r>
      <w:r w:rsidRPr="007224C3">
        <w:rPr>
          <w:rFonts w:ascii="Times New Roman" w:hAnsi="Times New Roman" w:cs="Times New Roman"/>
          <w:color w:val="000000" w:themeColor="text1"/>
          <w:sz w:val="16"/>
          <w:szCs w:val="16"/>
        </w:rPr>
        <w:softHyphen/>
        <w:t>но было использовать в течение не более 5 мин, скорость самолета на высоте воз</w:t>
      </w:r>
      <w:r w:rsidRPr="007224C3">
        <w:rPr>
          <w:rFonts w:ascii="Times New Roman" w:hAnsi="Times New Roman" w:cs="Times New Roman"/>
          <w:color w:val="000000" w:themeColor="text1"/>
          <w:sz w:val="16"/>
          <w:szCs w:val="16"/>
        </w:rPr>
        <w:softHyphen/>
        <w:t>растала на 6-8 км/ч. При этом границы вы</w:t>
      </w:r>
      <w:r w:rsidRPr="007224C3">
        <w:rPr>
          <w:rFonts w:ascii="Times New Roman" w:hAnsi="Times New Roman" w:cs="Times New Roman"/>
          <w:color w:val="000000" w:themeColor="text1"/>
          <w:sz w:val="16"/>
          <w:szCs w:val="16"/>
        </w:rPr>
        <w:softHyphen/>
        <w:t>сотности несколько смещались вверх на 300-350 м. Практический потолок - 9650 м.</w:t>
      </w:r>
    </w:p>
    <w:p w14:paraId="591CDBCA"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Вертикальная скорость у земли состав</w:t>
      </w:r>
      <w:r w:rsidRPr="007224C3">
        <w:rPr>
          <w:rFonts w:ascii="Times New Roman" w:hAnsi="Times New Roman" w:cs="Times New Roman"/>
          <w:color w:val="000000" w:themeColor="text1"/>
          <w:sz w:val="16"/>
          <w:szCs w:val="16"/>
        </w:rPr>
        <w:softHyphen/>
        <w:t>ляла 9,7 м/с, на высоте 2000 м - 10,5 м/с, а на 3000 м -11,2 м/с. Соответственно, на вы</w:t>
      </w:r>
      <w:r w:rsidRPr="007224C3">
        <w:rPr>
          <w:rFonts w:ascii="Times New Roman" w:hAnsi="Times New Roman" w:cs="Times New Roman"/>
          <w:color w:val="000000" w:themeColor="text1"/>
          <w:sz w:val="16"/>
          <w:szCs w:val="16"/>
        </w:rPr>
        <w:softHyphen/>
        <w:t>соту 1000 м самолет забирался за 1,8 мин, на 3000 м - за 5,0 мин, а на 5000 м - за 8,5 мин.</w:t>
      </w:r>
    </w:p>
    <w:p w14:paraId="4328B3FE"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Самолет на высоте 1000 м разгонялся при даче полного газа от скорости 0,7 до 0,95 максимальной за 0,72 мин, а тормо</w:t>
      </w:r>
      <w:r w:rsidRPr="007224C3">
        <w:rPr>
          <w:rFonts w:ascii="Times New Roman" w:hAnsi="Times New Roman" w:cs="Times New Roman"/>
          <w:color w:val="000000" w:themeColor="text1"/>
          <w:sz w:val="16"/>
          <w:szCs w:val="16"/>
        </w:rPr>
        <w:softHyphen/>
        <w:t>зил при сбросе газа до скорости 0,7 макси</w:t>
      </w:r>
      <w:r w:rsidRPr="007224C3">
        <w:rPr>
          <w:rFonts w:ascii="Times New Roman" w:hAnsi="Times New Roman" w:cs="Times New Roman"/>
          <w:color w:val="000000" w:themeColor="text1"/>
          <w:sz w:val="16"/>
          <w:szCs w:val="16"/>
        </w:rPr>
        <w:softHyphen/>
        <w:t>мальной за 0,48 мин.</w:t>
      </w:r>
    </w:p>
    <w:p w14:paraId="0B8DE86D"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Скорость, скороподъемность и раз</w:t>
      </w:r>
      <w:r w:rsidRPr="007224C3">
        <w:rPr>
          <w:rFonts w:ascii="Times New Roman" w:hAnsi="Times New Roman" w:cs="Times New Roman"/>
          <w:color w:val="000000" w:themeColor="text1"/>
          <w:sz w:val="16"/>
          <w:szCs w:val="16"/>
        </w:rPr>
        <w:softHyphen/>
        <w:t>гонные характеристики замерялись с пылефильтром, установленным на всасы</w:t>
      </w:r>
      <w:r w:rsidRPr="007224C3">
        <w:rPr>
          <w:rFonts w:ascii="Times New Roman" w:hAnsi="Times New Roman" w:cs="Times New Roman"/>
          <w:color w:val="000000" w:themeColor="text1"/>
          <w:sz w:val="16"/>
          <w:szCs w:val="16"/>
        </w:rPr>
        <w:softHyphen/>
        <w:t>вающем патрубке мотора, при закрытом фонаре и полностью открытой заслонке радиаторов.</w:t>
      </w:r>
    </w:p>
    <w:p w14:paraId="5E1A4635"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За один боевой разворот (левый и пра</w:t>
      </w:r>
      <w:r w:rsidRPr="007224C3">
        <w:rPr>
          <w:rFonts w:ascii="Times New Roman" w:hAnsi="Times New Roman" w:cs="Times New Roman"/>
          <w:color w:val="000000" w:themeColor="text1"/>
          <w:sz w:val="16"/>
          <w:szCs w:val="16"/>
        </w:rPr>
        <w:softHyphen/>
        <w:t>вый) с высоты 5000 м при скорости ввода 412 км/ч самолет набирал 460 м. Скорость выхода в горизонтальный полет - 267 км/ч. На выполнение маневра затрачивалось 28 сек.</w:t>
      </w:r>
    </w:p>
    <w:p w14:paraId="31044A54"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При выполнении правого переворота при скорости ввода 207-215 км/ч самолет терял до 700 м высоты, а при выполнении левого переворота - 830 м. Скорость на выходе из переворота - 309-329 км/ч.</w:t>
      </w:r>
    </w:p>
    <w:p w14:paraId="0CA441A6"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Виражи самолет выполнял устойчиво и легко сохранял заданный крен. Время полного виража на высоте 1000 м состав</w:t>
      </w:r>
      <w:r w:rsidRPr="007224C3">
        <w:rPr>
          <w:rFonts w:ascii="Times New Roman" w:hAnsi="Times New Roman" w:cs="Times New Roman"/>
          <w:color w:val="000000" w:themeColor="text1"/>
          <w:sz w:val="16"/>
          <w:szCs w:val="16"/>
        </w:rPr>
        <w:softHyphen/>
        <w:t>ляло 22 с при выполнении левого виража и 29-30 с при выполнении правого вира</w:t>
      </w:r>
      <w:r w:rsidRPr="007224C3">
        <w:rPr>
          <w:rFonts w:ascii="Times New Roman" w:hAnsi="Times New Roman" w:cs="Times New Roman"/>
          <w:color w:val="000000" w:themeColor="text1"/>
          <w:sz w:val="16"/>
          <w:szCs w:val="16"/>
        </w:rPr>
        <w:softHyphen/>
        <w:t>жа. При этом радиус виража не превышал 315 и 470 м, соответственно.</w:t>
      </w:r>
    </w:p>
    <w:p w14:paraId="14773B93"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Разбег самолета при взлете находил</w:t>
      </w:r>
      <w:r w:rsidRPr="007224C3">
        <w:rPr>
          <w:rFonts w:ascii="Times New Roman" w:hAnsi="Times New Roman" w:cs="Times New Roman"/>
          <w:color w:val="000000" w:themeColor="text1"/>
          <w:sz w:val="16"/>
          <w:szCs w:val="16"/>
        </w:rPr>
        <w:softHyphen/>
        <w:t>ся в пределах 420 м. Скорость отрыва - 152 км/ч. Посадочная скорость равнялась 123 км/ч. Пробег при посадке со щитками, отклоненными на 80', не превышал 440 м.</w:t>
      </w:r>
    </w:p>
    <w:p w14:paraId="3D3527B5"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Максимальная дальность полета на высоте 910-950 м при скорости полета 265 км/ч достигала 825 км (3 ч).</w:t>
      </w:r>
    </w:p>
    <w:p w14:paraId="3B411229"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В ходе испытаний было выполнено че</w:t>
      </w:r>
      <w:r w:rsidRPr="007224C3">
        <w:rPr>
          <w:rFonts w:ascii="Times New Roman" w:hAnsi="Times New Roman" w:cs="Times New Roman"/>
          <w:color w:val="000000" w:themeColor="text1"/>
          <w:sz w:val="16"/>
          <w:szCs w:val="16"/>
        </w:rPr>
        <w:softHyphen/>
        <w:t>тыре полета на пикирование под углами от 30' до 55°. Максимальная скорость на пики</w:t>
      </w:r>
      <w:r w:rsidRPr="007224C3">
        <w:rPr>
          <w:rFonts w:ascii="Times New Roman" w:hAnsi="Times New Roman" w:cs="Times New Roman"/>
          <w:color w:val="000000" w:themeColor="text1"/>
          <w:sz w:val="16"/>
          <w:szCs w:val="16"/>
        </w:rPr>
        <w:softHyphen/>
        <w:t>ровании доводилась до 630 км/ч (скорость ввода 380 км/ч), а перегрузка на выводе из пикирования до 3 единиц.</w:t>
      </w:r>
    </w:p>
    <w:p w14:paraId="4A628CB4"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Пикировал самолет устойчиво. Поведение самолета с триммерами руля поворота, установленными нейтрально, было нормальным, тенденции к затяги</w:t>
      </w:r>
      <w:r w:rsidRPr="007224C3">
        <w:rPr>
          <w:rFonts w:ascii="Times New Roman" w:hAnsi="Times New Roman" w:cs="Times New Roman"/>
          <w:color w:val="000000" w:themeColor="text1"/>
          <w:sz w:val="16"/>
          <w:szCs w:val="16"/>
        </w:rPr>
        <w:softHyphen/>
        <w:t>ванию в пикирование не наблюдалось. Усилия на рули нормальные. Однако при достижении скорости 610-620 км/ч из-за отсасывания и срыва воздушного потока с замков обтекателей подкрыльевых пушек появлялась заметная тряска плоскостей и вибрация педалей ножного управления.</w:t>
      </w:r>
    </w:p>
    <w:p w14:paraId="41BCBF1D"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Летчики, облетавшие «Харрикейн» 1Ю, отмечали хороший обзор вперед, в сторону и вверх и неудовлетворительный - вперед- вниз и назад. Габариты кабины позволяли летчику наклоняться в стороны, что сочли недостатком самолета. Бронестекло ко</w:t>
      </w:r>
      <w:r w:rsidRPr="007224C3">
        <w:rPr>
          <w:rFonts w:ascii="Times New Roman" w:hAnsi="Times New Roman" w:cs="Times New Roman"/>
          <w:color w:val="000000" w:themeColor="text1"/>
          <w:sz w:val="16"/>
          <w:szCs w:val="16"/>
        </w:rPr>
        <w:softHyphen/>
        <w:t>зырька фонаря и целлулоид подвижной части имели удовлетворительную про</w:t>
      </w:r>
      <w:r w:rsidRPr="007224C3">
        <w:rPr>
          <w:rFonts w:ascii="Times New Roman" w:hAnsi="Times New Roman" w:cs="Times New Roman"/>
          <w:color w:val="000000" w:themeColor="text1"/>
          <w:sz w:val="16"/>
          <w:szCs w:val="16"/>
        </w:rPr>
        <w:softHyphen/>
        <w:t>зрачность и почти не давали искажений. Случаев отколов и обмерзания бронестек</w:t>
      </w:r>
      <w:r w:rsidRPr="007224C3">
        <w:rPr>
          <w:rFonts w:ascii="Times New Roman" w:hAnsi="Times New Roman" w:cs="Times New Roman"/>
          <w:color w:val="000000" w:themeColor="text1"/>
          <w:sz w:val="16"/>
          <w:szCs w:val="16"/>
        </w:rPr>
        <w:softHyphen/>
        <w:t>ла и целлулоида при полетах в условиях зимы не наблюдалось. Размещение не</w:t>
      </w:r>
      <w:r w:rsidRPr="007224C3">
        <w:rPr>
          <w:rFonts w:ascii="Times New Roman" w:hAnsi="Times New Roman" w:cs="Times New Roman"/>
          <w:color w:val="000000" w:themeColor="text1"/>
          <w:sz w:val="16"/>
          <w:szCs w:val="16"/>
        </w:rPr>
        <w:softHyphen/>
        <w:t>которых приборов на приборной доске и рычагов управления оказалось неудобным (например, рычаг управления уборкой и выпуском шасси).</w:t>
      </w:r>
    </w:p>
    <w:p w14:paraId="00FCA0B1"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Анализ схемы бронирования показал, что броня прикрывала летчика в горизон</w:t>
      </w:r>
      <w:r w:rsidRPr="007224C3">
        <w:rPr>
          <w:rFonts w:ascii="Times New Roman" w:hAnsi="Times New Roman" w:cs="Times New Roman"/>
          <w:color w:val="000000" w:themeColor="text1"/>
          <w:sz w:val="16"/>
          <w:szCs w:val="16"/>
        </w:rPr>
        <w:softHyphen/>
        <w:t>тальной плоскости в угловом конусе 30-40° и в вертикальной плоскости до 10-15" вверх и 15-20° вниз по отношению к продольной оси самолета. В этом диапазоне углов вполне обеспечивалась защита от пора</w:t>
      </w:r>
      <w:r w:rsidRPr="007224C3">
        <w:rPr>
          <w:rFonts w:ascii="Times New Roman" w:hAnsi="Times New Roman" w:cs="Times New Roman"/>
          <w:color w:val="000000" w:themeColor="text1"/>
          <w:sz w:val="16"/>
          <w:szCs w:val="16"/>
        </w:rPr>
        <w:softHyphen/>
        <w:t>жения бронебойными пулями нормально</w:t>
      </w:r>
      <w:r w:rsidRPr="007224C3">
        <w:rPr>
          <w:rFonts w:ascii="Times New Roman" w:hAnsi="Times New Roman" w:cs="Times New Roman"/>
          <w:color w:val="000000" w:themeColor="text1"/>
          <w:sz w:val="16"/>
          <w:szCs w:val="16"/>
        </w:rPr>
        <w:softHyphen/>
        <w:t>го калибра при стрельбе с дистанции не менее 100-150 м и бронебойными пулями крупного калибра с дистанции 400-500 м и более. Между тем летчик не имел броне</w:t>
      </w:r>
      <w:r w:rsidRPr="007224C3">
        <w:rPr>
          <w:rFonts w:ascii="Times New Roman" w:hAnsi="Times New Roman" w:cs="Times New Roman"/>
          <w:color w:val="000000" w:themeColor="text1"/>
          <w:sz w:val="16"/>
          <w:szCs w:val="16"/>
        </w:rPr>
        <w:softHyphen/>
        <w:t>вой защиты сбоку и сверху. Совершенно не были защищены бензо- и маслобаки. Защита мотора, водо- и маслорадиатора считалась недостаточной. Мотор не имел брони сверху, водо- и маслорадиаторы не защищались со стороны входа и выхода воздушного тоннеля.</w:t>
      </w:r>
    </w:p>
    <w:p w14:paraId="76AD6204"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По общему мнению летчиков увели</w:t>
      </w:r>
      <w:r w:rsidRPr="007224C3">
        <w:rPr>
          <w:rFonts w:ascii="Times New Roman" w:hAnsi="Times New Roman" w:cs="Times New Roman"/>
          <w:color w:val="000000" w:themeColor="text1"/>
          <w:sz w:val="16"/>
          <w:szCs w:val="16"/>
        </w:rPr>
        <w:softHyphen/>
        <w:t>чение полетного веса и ухудшение аэро</w:t>
      </w:r>
      <w:r w:rsidRPr="007224C3">
        <w:rPr>
          <w:rFonts w:ascii="Times New Roman" w:hAnsi="Times New Roman" w:cs="Times New Roman"/>
          <w:color w:val="000000" w:themeColor="text1"/>
          <w:sz w:val="16"/>
          <w:szCs w:val="16"/>
        </w:rPr>
        <w:softHyphen/>
        <w:t>динамики самолета Мк.1Ю по сравнению с Мк.НС привело к заметному понижению летных данных и маневренности самолета, как в вертикальной, так и в горизонталь</w:t>
      </w:r>
      <w:r w:rsidRPr="007224C3">
        <w:rPr>
          <w:rFonts w:ascii="Times New Roman" w:hAnsi="Times New Roman" w:cs="Times New Roman"/>
          <w:color w:val="000000" w:themeColor="text1"/>
          <w:sz w:val="16"/>
          <w:szCs w:val="16"/>
        </w:rPr>
        <w:softHyphen/>
        <w:t>ной плоскости. Для выполнения фигур, «скорости приходится держать больше на 5-7 миль/ч, так как самолет тяжелее и инер</w:t>
      </w:r>
      <w:r w:rsidRPr="007224C3">
        <w:rPr>
          <w:rFonts w:ascii="Times New Roman" w:hAnsi="Times New Roman" w:cs="Times New Roman"/>
          <w:color w:val="000000" w:themeColor="text1"/>
          <w:sz w:val="16"/>
          <w:szCs w:val="16"/>
        </w:rPr>
        <w:softHyphen/>
        <w:t>тнее». Продольная и поперечная устойчи</w:t>
      </w:r>
      <w:r w:rsidRPr="007224C3">
        <w:rPr>
          <w:rFonts w:ascii="Times New Roman" w:hAnsi="Times New Roman" w:cs="Times New Roman"/>
          <w:color w:val="000000" w:themeColor="text1"/>
          <w:sz w:val="16"/>
          <w:szCs w:val="16"/>
        </w:rPr>
        <w:softHyphen/>
        <w:t>вость самолета оставляла желать лучшего. Сбалансированность самолета в горизон</w:t>
      </w:r>
      <w:r w:rsidRPr="007224C3">
        <w:rPr>
          <w:rFonts w:ascii="Times New Roman" w:hAnsi="Times New Roman" w:cs="Times New Roman"/>
          <w:color w:val="000000" w:themeColor="text1"/>
          <w:sz w:val="16"/>
          <w:szCs w:val="16"/>
        </w:rPr>
        <w:softHyphen/>
        <w:t>тальном полете была затруднена и требо</w:t>
      </w:r>
      <w:r w:rsidRPr="007224C3">
        <w:rPr>
          <w:rFonts w:ascii="Times New Roman" w:hAnsi="Times New Roman" w:cs="Times New Roman"/>
          <w:color w:val="000000" w:themeColor="text1"/>
          <w:sz w:val="16"/>
          <w:szCs w:val="16"/>
        </w:rPr>
        <w:softHyphen/>
        <w:t>вала постоянной регулировки положения триммера при изменении скорости поле</w:t>
      </w:r>
      <w:r w:rsidRPr="007224C3">
        <w:rPr>
          <w:rFonts w:ascii="Times New Roman" w:hAnsi="Times New Roman" w:cs="Times New Roman"/>
          <w:color w:val="000000" w:themeColor="text1"/>
          <w:sz w:val="16"/>
          <w:szCs w:val="16"/>
        </w:rPr>
        <w:softHyphen/>
        <w:t>та. На вертикальных фигурах самолет бы</w:t>
      </w:r>
      <w:r w:rsidRPr="007224C3">
        <w:rPr>
          <w:rFonts w:ascii="Times New Roman" w:hAnsi="Times New Roman" w:cs="Times New Roman"/>
          <w:color w:val="000000" w:themeColor="text1"/>
          <w:sz w:val="16"/>
          <w:szCs w:val="16"/>
        </w:rPr>
        <w:softHyphen/>
        <w:t>стро терял скорость, набор высоты на им</w:t>
      </w:r>
      <w:r w:rsidRPr="007224C3">
        <w:rPr>
          <w:rFonts w:ascii="Times New Roman" w:hAnsi="Times New Roman" w:cs="Times New Roman"/>
          <w:color w:val="000000" w:themeColor="text1"/>
          <w:sz w:val="16"/>
          <w:szCs w:val="16"/>
        </w:rPr>
        <w:softHyphen/>
        <w:t>мельмане и боевом развороте сократился. В то же время техника пилотирования Мк.1Ю практически ничем не отличалась от самолетов «Харрикейн» НС или ИВ.</w:t>
      </w:r>
    </w:p>
    <w:p w14:paraId="74962ABD"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Проведенный 27 декабря 1943 г. учеб</w:t>
      </w:r>
      <w:r w:rsidRPr="007224C3">
        <w:rPr>
          <w:rFonts w:ascii="Times New Roman" w:hAnsi="Times New Roman" w:cs="Times New Roman"/>
          <w:color w:val="000000" w:themeColor="text1"/>
          <w:sz w:val="16"/>
          <w:szCs w:val="16"/>
        </w:rPr>
        <w:softHyphen/>
        <w:t>ный воздушный бой с трофейным истре</w:t>
      </w:r>
      <w:r w:rsidRPr="007224C3">
        <w:rPr>
          <w:rFonts w:ascii="Times New Roman" w:hAnsi="Times New Roman" w:cs="Times New Roman"/>
          <w:color w:val="000000" w:themeColor="text1"/>
          <w:sz w:val="16"/>
          <w:szCs w:val="16"/>
        </w:rPr>
        <w:softHyphen/>
        <w:t>бителем В1109С-4 показал, что самолет «Харрикейн» 1Ю воздушный бой с ним вести не может. Причем не только наступатель</w:t>
      </w:r>
      <w:r w:rsidRPr="007224C3">
        <w:rPr>
          <w:rFonts w:ascii="Times New Roman" w:hAnsi="Times New Roman" w:cs="Times New Roman"/>
          <w:color w:val="000000" w:themeColor="text1"/>
          <w:sz w:val="16"/>
          <w:szCs w:val="16"/>
        </w:rPr>
        <w:softHyphen/>
        <w:t>ный бой, но и оборонительный. Немецкий истребитель имел явное преимущество в горизонтальной и в вертикальной плоско</w:t>
      </w:r>
      <w:r w:rsidRPr="007224C3">
        <w:rPr>
          <w:rFonts w:ascii="Times New Roman" w:hAnsi="Times New Roman" w:cs="Times New Roman"/>
          <w:color w:val="000000" w:themeColor="text1"/>
          <w:sz w:val="16"/>
          <w:szCs w:val="16"/>
        </w:rPr>
        <w:softHyphen/>
        <w:t>сти. На виражах «мессер» заходил в хвост «Харрикейну» уже после первого виража на левом вираже и после двух виражей - на правом. При атаках ВШ9С-4 сверху-сза</w:t>
      </w:r>
      <w:r w:rsidRPr="007224C3">
        <w:rPr>
          <w:rFonts w:ascii="Times New Roman" w:hAnsi="Times New Roman" w:cs="Times New Roman"/>
          <w:color w:val="000000" w:themeColor="text1"/>
          <w:sz w:val="16"/>
          <w:szCs w:val="16"/>
        </w:rPr>
        <w:softHyphen/>
        <w:t>ди старшему лейтенанту Поминальному, пилотировавшему «Харрикейн», удавалось вывернуться только из-под первой атаки «мессершмитта», уйти от последующих атак не получалось. Подавляющее пре</w:t>
      </w:r>
      <w:r w:rsidRPr="007224C3">
        <w:rPr>
          <w:rFonts w:ascii="Times New Roman" w:hAnsi="Times New Roman" w:cs="Times New Roman"/>
          <w:color w:val="000000" w:themeColor="text1"/>
          <w:sz w:val="16"/>
          <w:szCs w:val="16"/>
        </w:rPr>
        <w:softHyphen/>
        <w:t>имущество в вертикальном маневре не</w:t>
      </w:r>
      <w:r w:rsidRPr="007224C3">
        <w:rPr>
          <w:rFonts w:ascii="Times New Roman" w:hAnsi="Times New Roman" w:cs="Times New Roman"/>
          <w:color w:val="000000" w:themeColor="text1"/>
          <w:sz w:val="16"/>
          <w:szCs w:val="16"/>
        </w:rPr>
        <w:softHyphen/>
        <w:t>мецкого истребителя позволяло капитану Кувшинову, который летал на ВГ109С-4, свободно занимать выгодную для ата</w:t>
      </w:r>
      <w:r w:rsidRPr="007224C3">
        <w:rPr>
          <w:rFonts w:ascii="Times New Roman" w:hAnsi="Times New Roman" w:cs="Times New Roman"/>
          <w:color w:val="000000" w:themeColor="text1"/>
          <w:sz w:val="16"/>
          <w:szCs w:val="16"/>
        </w:rPr>
        <w:softHyphen/>
        <w:t>ки позицию и атаковать «Харрикейн» Поминального из любого положения.</w:t>
      </w:r>
    </w:p>
    <w:p w14:paraId="3FF280A2"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После обмена мнениями летчика</w:t>
      </w:r>
      <w:r w:rsidRPr="007224C3">
        <w:rPr>
          <w:rFonts w:ascii="Times New Roman" w:hAnsi="Times New Roman" w:cs="Times New Roman"/>
          <w:color w:val="000000" w:themeColor="text1"/>
          <w:sz w:val="16"/>
          <w:szCs w:val="16"/>
        </w:rPr>
        <w:softHyphen/>
        <w:t>ми был сделан вывод о недопустимости воздушного боя одиночного самолета «Харрикейн» 1Ю не только с группой но даже и с одиночным истребителем про</w:t>
      </w:r>
      <w:r w:rsidRPr="007224C3">
        <w:rPr>
          <w:rFonts w:ascii="Times New Roman" w:hAnsi="Times New Roman" w:cs="Times New Roman"/>
          <w:color w:val="000000" w:themeColor="text1"/>
          <w:sz w:val="16"/>
          <w:szCs w:val="16"/>
        </w:rPr>
        <w:softHyphen/>
        <w:t>тивника. Рекомендовалось боевые зада-.' выполнять только группой и воздушньГ- бой вести в боевом порядке круг или вы</w:t>
      </w:r>
      <w:r w:rsidRPr="007224C3">
        <w:rPr>
          <w:rFonts w:ascii="Times New Roman" w:hAnsi="Times New Roman" w:cs="Times New Roman"/>
          <w:color w:val="000000" w:themeColor="text1"/>
          <w:sz w:val="16"/>
          <w:szCs w:val="16"/>
        </w:rPr>
        <w:softHyphen/>
        <w:t>полняя ножницы с оттягиванием на свою территорию.</w:t>
      </w:r>
    </w:p>
    <w:p w14:paraId="553D96F3"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Вооружение самолета отстрели</w:t>
      </w:r>
      <w:r w:rsidRPr="007224C3">
        <w:rPr>
          <w:rFonts w:ascii="Times New Roman" w:hAnsi="Times New Roman" w:cs="Times New Roman"/>
          <w:color w:val="000000" w:themeColor="text1"/>
          <w:sz w:val="16"/>
          <w:szCs w:val="16"/>
        </w:rPr>
        <w:softHyphen/>
        <w:t>валось как на земле, так и в воздухе. Стрельба велась снарядами, «снаряжен</w:t>
      </w:r>
      <w:r w:rsidRPr="007224C3">
        <w:rPr>
          <w:rFonts w:ascii="Times New Roman" w:hAnsi="Times New Roman" w:cs="Times New Roman"/>
          <w:color w:val="000000" w:themeColor="text1"/>
          <w:sz w:val="16"/>
          <w:szCs w:val="16"/>
        </w:rPr>
        <w:softHyphen/>
        <w:t>ными стальными корпусами бронебойных снарядов, так как других боекомплектов для пушек МК-Н - 40 мм, в снабжающих организациях ВВС не имелось». При этом в снарядах отсутствовали «разрывной заряд ВВ и донный взрыватель, заглуш</w:t>
      </w:r>
      <w:r w:rsidRPr="007224C3">
        <w:rPr>
          <w:rFonts w:ascii="Times New Roman" w:hAnsi="Times New Roman" w:cs="Times New Roman"/>
          <w:color w:val="000000" w:themeColor="text1"/>
          <w:sz w:val="16"/>
          <w:szCs w:val="16"/>
        </w:rPr>
        <w:softHyphen/>
        <w:t>ка вместо него не поставлена», так что внутренняя полость снаряда сообщалась с зарядной каморой патрона. То есть, снаряды «не имели ни фугасного, ни за</w:t>
      </w:r>
      <w:r w:rsidRPr="007224C3">
        <w:rPr>
          <w:rFonts w:ascii="Times New Roman" w:hAnsi="Times New Roman" w:cs="Times New Roman"/>
          <w:color w:val="000000" w:themeColor="text1"/>
          <w:sz w:val="16"/>
          <w:szCs w:val="16"/>
        </w:rPr>
        <w:softHyphen/>
        <w:t>жигательного действия, а внутренняя и внешняя баллистика его отличалась от баллистики боевого снаряда». Очевидно, такие снаряды боевого значения не име</w:t>
      </w:r>
      <w:r w:rsidRPr="007224C3">
        <w:rPr>
          <w:rFonts w:ascii="Times New Roman" w:hAnsi="Times New Roman" w:cs="Times New Roman"/>
          <w:color w:val="000000" w:themeColor="text1"/>
          <w:sz w:val="16"/>
          <w:szCs w:val="16"/>
        </w:rPr>
        <w:softHyphen/>
        <w:t>ли, их использование ограничивалось только учебными целями. Но других сна</w:t>
      </w:r>
      <w:r w:rsidRPr="007224C3">
        <w:rPr>
          <w:rFonts w:ascii="Times New Roman" w:hAnsi="Times New Roman" w:cs="Times New Roman"/>
          <w:color w:val="000000" w:themeColor="text1"/>
          <w:sz w:val="16"/>
          <w:szCs w:val="16"/>
        </w:rPr>
        <w:softHyphen/>
        <w:t>рядов союзники не поставили!</w:t>
      </w:r>
    </w:p>
    <w:p w14:paraId="36D4C8C9"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В общей сложности из пушек было вы</w:t>
      </w:r>
      <w:r w:rsidRPr="007224C3">
        <w:rPr>
          <w:rFonts w:ascii="Times New Roman" w:hAnsi="Times New Roman" w:cs="Times New Roman"/>
          <w:color w:val="000000" w:themeColor="text1"/>
          <w:sz w:val="16"/>
          <w:szCs w:val="16"/>
        </w:rPr>
        <w:softHyphen/>
        <w:t>полнено 620 выстрелов, в том числе 212 выстрелов на земле и 408 в воздухе.</w:t>
      </w:r>
    </w:p>
    <w:p w14:paraId="1C279F10"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Пушки пристреливались сходящимся веером на стандартную для ВВС КА дистан</w:t>
      </w:r>
      <w:r w:rsidRPr="007224C3">
        <w:rPr>
          <w:rFonts w:ascii="Times New Roman" w:hAnsi="Times New Roman" w:cs="Times New Roman"/>
          <w:color w:val="000000" w:themeColor="text1"/>
          <w:sz w:val="16"/>
          <w:szCs w:val="16"/>
        </w:rPr>
        <w:softHyphen/>
        <w:t>цию - 400 м. Рассеивание определялось стрельбой на земле и в воздухе по щитам. Стрельба велась одиночно и очередями.</w:t>
      </w:r>
    </w:p>
    <w:p w14:paraId="370DECB3"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На земле рассеивание определялось одиночной стрельбой на дальность 50 и 400 м по щиту 2x2 м, поставленному верти</w:t>
      </w:r>
      <w:r w:rsidRPr="007224C3">
        <w:rPr>
          <w:rFonts w:ascii="Times New Roman" w:hAnsi="Times New Roman" w:cs="Times New Roman"/>
          <w:color w:val="000000" w:themeColor="text1"/>
          <w:sz w:val="16"/>
          <w:szCs w:val="16"/>
        </w:rPr>
        <w:softHyphen/>
        <w:t>кально. При стрельбе овальных отверстий в щите обнаружено не было, что характе</w:t>
      </w:r>
      <w:r w:rsidRPr="007224C3">
        <w:rPr>
          <w:rFonts w:ascii="Times New Roman" w:hAnsi="Times New Roman" w:cs="Times New Roman"/>
          <w:color w:val="000000" w:themeColor="text1"/>
          <w:sz w:val="16"/>
          <w:szCs w:val="16"/>
        </w:rPr>
        <w:softHyphen/>
        <w:t>ризовало хорошую устойчивость снаряда в полете на данных дистанциях.</w:t>
      </w:r>
    </w:p>
    <w:p w14:paraId="2C3E583C"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Для левой пушки боковое отклоне</w:t>
      </w:r>
      <w:r w:rsidRPr="007224C3">
        <w:rPr>
          <w:rFonts w:ascii="Times New Roman" w:hAnsi="Times New Roman" w:cs="Times New Roman"/>
          <w:color w:val="000000" w:themeColor="text1"/>
          <w:sz w:val="16"/>
          <w:szCs w:val="16"/>
        </w:rPr>
        <w:softHyphen/>
        <w:t>ние на дистанции 400 м составило всего 10,3 см, вертикальное - 17,0 см, а для пра</w:t>
      </w:r>
      <w:r w:rsidRPr="007224C3">
        <w:rPr>
          <w:rFonts w:ascii="Times New Roman" w:hAnsi="Times New Roman" w:cs="Times New Roman"/>
          <w:color w:val="000000" w:themeColor="text1"/>
          <w:sz w:val="16"/>
          <w:szCs w:val="16"/>
        </w:rPr>
        <w:softHyphen/>
        <w:t>вой пушки -13,0 и 16,2 см, соответственно. При стрельбе пулеметов Кольт-Браунинг отклонение оказалось даже выше, чем при стрельбе из пушек: боковое и вертикаль</w:t>
      </w:r>
      <w:r w:rsidRPr="007224C3">
        <w:rPr>
          <w:rFonts w:ascii="Times New Roman" w:hAnsi="Times New Roman" w:cs="Times New Roman"/>
          <w:color w:val="000000" w:themeColor="text1"/>
          <w:sz w:val="16"/>
          <w:szCs w:val="16"/>
        </w:rPr>
        <w:softHyphen/>
        <w:t>ное отклонения для левого пулемета рав</w:t>
      </w:r>
      <w:r w:rsidRPr="007224C3">
        <w:rPr>
          <w:rFonts w:ascii="Times New Roman" w:hAnsi="Times New Roman" w:cs="Times New Roman"/>
          <w:color w:val="000000" w:themeColor="text1"/>
          <w:sz w:val="16"/>
          <w:szCs w:val="16"/>
        </w:rPr>
        <w:softHyphen/>
        <w:t>нялись 23,6 и 26,7 см, для правого пулеме</w:t>
      </w:r>
      <w:r w:rsidRPr="007224C3">
        <w:rPr>
          <w:rFonts w:ascii="Times New Roman" w:hAnsi="Times New Roman" w:cs="Times New Roman"/>
          <w:color w:val="000000" w:themeColor="text1"/>
          <w:sz w:val="16"/>
          <w:szCs w:val="16"/>
        </w:rPr>
        <w:softHyphen/>
        <w:t>та-20,6 и 35,8 см.</w:t>
      </w:r>
    </w:p>
    <w:p w14:paraId="6ECBBB07"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Коэффициент искажения рассеивания с увеличением дистанции стрельбы до</w:t>
      </w:r>
      <w:r w:rsidRPr="007224C3">
        <w:rPr>
          <w:rFonts w:ascii="Times New Roman" w:hAnsi="Times New Roman" w:cs="Times New Roman"/>
          <w:color w:val="000000" w:themeColor="text1"/>
          <w:sz w:val="16"/>
          <w:szCs w:val="16"/>
        </w:rPr>
        <w:softHyphen/>
        <w:t>стигал величин 0,63-1,32 - у пушек и 0,78- 1,77 - у пулеметов, что «указывает на невы</w:t>
      </w:r>
      <w:r w:rsidRPr="007224C3">
        <w:rPr>
          <w:rFonts w:ascii="Times New Roman" w:hAnsi="Times New Roman" w:cs="Times New Roman"/>
          <w:color w:val="000000" w:themeColor="text1"/>
          <w:sz w:val="16"/>
          <w:szCs w:val="16"/>
        </w:rPr>
        <w:softHyphen/>
        <w:t>сокие баллистические качества оружия на данной установке».</w:t>
      </w:r>
    </w:p>
    <w:p w14:paraId="18D2F574"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В воздухе пушки отстреляли капитаны Голофастов, Кувшинов, Пикуленко, Кусакин и старший лейтенант Поминальный. Стрельба велась в горизонтальном полете, на виражах, на наборе высоты, а после вы</w:t>
      </w:r>
      <w:r w:rsidRPr="007224C3">
        <w:rPr>
          <w:rFonts w:ascii="Times New Roman" w:hAnsi="Times New Roman" w:cs="Times New Roman"/>
          <w:color w:val="000000" w:themeColor="text1"/>
          <w:sz w:val="16"/>
          <w:szCs w:val="16"/>
        </w:rPr>
        <w:softHyphen/>
        <w:t>полнения пилотажа и по наземной цели с пикирования (по щитам и контуру самоле</w:t>
      </w:r>
      <w:r w:rsidRPr="007224C3">
        <w:rPr>
          <w:rFonts w:ascii="Times New Roman" w:hAnsi="Times New Roman" w:cs="Times New Roman"/>
          <w:color w:val="000000" w:themeColor="text1"/>
          <w:sz w:val="16"/>
          <w:szCs w:val="16"/>
        </w:rPr>
        <w:softHyphen/>
        <w:t>та:. Кроме того, один полет был выполнен для стрельбы на большой высоте.</w:t>
      </w:r>
    </w:p>
    <w:p w14:paraId="701F2AFF"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lastRenderedPageBreak/>
        <w:t>Пушки при стрельбе в воздухе пока</w:t>
      </w:r>
      <w:r w:rsidRPr="007224C3">
        <w:rPr>
          <w:rFonts w:ascii="Times New Roman" w:hAnsi="Times New Roman" w:cs="Times New Roman"/>
          <w:color w:val="000000" w:themeColor="text1"/>
          <w:sz w:val="16"/>
          <w:szCs w:val="16"/>
        </w:rPr>
        <w:softHyphen/>
        <w:t>зан/ себя, как надежное и безотказное оружие. Отдача при стрельбе из пушек более мягкая, чем при стрельбе из 37-мм -ушек НС-37 на самолетах Як-9т и ЛаГГ-3. С/нхронность стрельбы оценивалась как отличная.</w:t>
      </w:r>
    </w:p>
    <w:p w14:paraId="76C159E4"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При стрельбе в горизонтальном поле</w:t>
      </w:r>
      <w:r w:rsidRPr="007224C3">
        <w:rPr>
          <w:rFonts w:ascii="Times New Roman" w:hAnsi="Times New Roman" w:cs="Times New Roman"/>
          <w:color w:val="000000" w:themeColor="text1"/>
          <w:sz w:val="16"/>
          <w:szCs w:val="16"/>
        </w:rPr>
        <w:softHyphen/>
        <w:t>те самолет «ощущает толчки и зарывается носом вниз». Такие же толчки имели место и на всех других режимах. На пикировании самолет во время стрельбы стремился увеличить угол пикирования и «его необ</w:t>
      </w:r>
      <w:r w:rsidRPr="007224C3">
        <w:rPr>
          <w:rFonts w:ascii="Times New Roman" w:hAnsi="Times New Roman" w:cs="Times New Roman"/>
          <w:color w:val="000000" w:themeColor="text1"/>
          <w:sz w:val="16"/>
          <w:szCs w:val="16"/>
        </w:rPr>
        <w:softHyphen/>
        <w:t>ходимо удерживать ручкой управления». Сила отдачи при стрельбе «несколько при</w:t>
      </w:r>
      <w:r w:rsidRPr="007224C3">
        <w:rPr>
          <w:rFonts w:ascii="Times New Roman" w:hAnsi="Times New Roman" w:cs="Times New Roman"/>
          <w:color w:val="000000" w:themeColor="text1"/>
          <w:sz w:val="16"/>
          <w:szCs w:val="16"/>
        </w:rPr>
        <w:softHyphen/>
        <w:t>тормаживает самолет, снижая скорость самолета на пикировании». При стрельбе во время набора высоты наблюдалось не</w:t>
      </w:r>
      <w:r w:rsidRPr="007224C3">
        <w:rPr>
          <w:rFonts w:ascii="Times New Roman" w:hAnsi="Times New Roman" w:cs="Times New Roman"/>
          <w:color w:val="000000" w:themeColor="text1"/>
          <w:sz w:val="16"/>
          <w:szCs w:val="16"/>
        </w:rPr>
        <w:softHyphen/>
        <w:t>которое уменьшение угла.</w:t>
      </w:r>
    </w:p>
    <w:p w14:paraId="72A27756"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Чем длиннее очередь из пушек, «тем опускание носа самолета и толчки более за</w:t>
      </w:r>
      <w:r w:rsidRPr="007224C3">
        <w:rPr>
          <w:rFonts w:ascii="Times New Roman" w:hAnsi="Times New Roman" w:cs="Times New Roman"/>
          <w:color w:val="000000" w:themeColor="text1"/>
          <w:sz w:val="16"/>
          <w:szCs w:val="16"/>
        </w:rPr>
        <w:softHyphen/>
        <w:t>метны». При очередях свыше 5-6 снарядов «удержать самолет от зарывания носом ста</w:t>
      </w:r>
      <w:r w:rsidRPr="007224C3">
        <w:rPr>
          <w:rFonts w:ascii="Times New Roman" w:hAnsi="Times New Roman" w:cs="Times New Roman"/>
          <w:color w:val="000000" w:themeColor="text1"/>
          <w:sz w:val="16"/>
          <w:szCs w:val="16"/>
        </w:rPr>
        <w:softHyphen/>
        <w:t>новится затруднительно», «самолет начина</w:t>
      </w:r>
      <w:r w:rsidRPr="007224C3">
        <w:rPr>
          <w:rFonts w:ascii="Times New Roman" w:hAnsi="Times New Roman" w:cs="Times New Roman"/>
          <w:color w:val="000000" w:themeColor="text1"/>
          <w:sz w:val="16"/>
          <w:szCs w:val="16"/>
        </w:rPr>
        <w:softHyphen/>
        <w:t>ет раскачиваться в полете» и «прицельная стрельба становится"'невозможной».</w:t>
      </w:r>
    </w:p>
    <w:p w14:paraId="5DC913A7"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Для обеспечения более точного по</w:t>
      </w:r>
      <w:r w:rsidRPr="007224C3">
        <w:rPr>
          <w:rFonts w:ascii="Times New Roman" w:hAnsi="Times New Roman" w:cs="Times New Roman"/>
          <w:color w:val="000000" w:themeColor="text1"/>
          <w:sz w:val="16"/>
          <w:szCs w:val="16"/>
        </w:rPr>
        <w:softHyphen/>
        <w:t>ражения цели рекомендовалось произво</w:t>
      </w:r>
      <w:r w:rsidRPr="007224C3">
        <w:rPr>
          <w:rFonts w:ascii="Times New Roman" w:hAnsi="Times New Roman" w:cs="Times New Roman"/>
          <w:color w:val="000000" w:themeColor="text1"/>
          <w:sz w:val="16"/>
          <w:szCs w:val="16"/>
        </w:rPr>
        <w:softHyphen/>
        <w:t>дить стрельбу очередями по 2-3 максимум 4 снаряда из каждой пушки. При этом ко</w:t>
      </w:r>
      <w:r w:rsidRPr="007224C3">
        <w:rPr>
          <w:rFonts w:ascii="Times New Roman" w:hAnsi="Times New Roman" w:cs="Times New Roman"/>
          <w:color w:val="000000" w:themeColor="text1"/>
          <w:sz w:val="16"/>
          <w:szCs w:val="16"/>
        </w:rPr>
        <w:softHyphen/>
        <w:t>роткая очередь была рациональна и с точки зрения тактического применения самолета (более экономного расхода небольшого боекомплекта к пушкам).</w:t>
      </w:r>
    </w:p>
    <w:p w14:paraId="0603DFCA"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При стрельбе из одной пушки (правой или левой) самолет разворачивался в сто</w:t>
      </w:r>
      <w:r w:rsidRPr="007224C3">
        <w:rPr>
          <w:rFonts w:ascii="Times New Roman" w:hAnsi="Times New Roman" w:cs="Times New Roman"/>
          <w:color w:val="000000" w:themeColor="text1"/>
          <w:sz w:val="16"/>
          <w:szCs w:val="16"/>
        </w:rPr>
        <w:softHyphen/>
        <w:t>рону стреляющей пушки, а так как «темп стрельбы очень мал, то держать самолет ногой, парируя рулями его отход от цели, почти невозможно». По заявлениям летчи</w:t>
      </w:r>
      <w:r w:rsidRPr="007224C3">
        <w:rPr>
          <w:rFonts w:ascii="Times New Roman" w:hAnsi="Times New Roman" w:cs="Times New Roman"/>
          <w:color w:val="000000" w:themeColor="text1"/>
          <w:sz w:val="16"/>
          <w:szCs w:val="16"/>
        </w:rPr>
        <w:softHyphen/>
        <w:t>ков «получается разбалтывание самолета относительно вертикальной оси на ли</w:t>
      </w:r>
      <w:r w:rsidRPr="007224C3">
        <w:rPr>
          <w:rFonts w:ascii="Times New Roman" w:hAnsi="Times New Roman" w:cs="Times New Roman"/>
          <w:color w:val="000000" w:themeColor="text1"/>
          <w:sz w:val="16"/>
          <w:szCs w:val="16"/>
        </w:rPr>
        <w:softHyphen/>
        <w:t>нии прицеливания, что ухудшает качество стрельбы». То есть прицельным был только первый снаряд в очереди.</w:t>
      </w:r>
    </w:p>
    <w:p w14:paraId="5DACEDFF"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Наиболее удобными углами пикирова</w:t>
      </w:r>
      <w:r w:rsidRPr="007224C3">
        <w:rPr>
          <w:rFonts w:ascii="Times New Roman" w:hAnsi="Times New Roman" w:cs="Times New Roman"/>
          <w:color w:val="000000" w:themeColor="text1"/>
          <w:sz w:val="16"/>
          <w:szCs w:val="16"/>
        </w:rPr>
        <w:softHyphen/>
        <w:t>ния при стрельбе по наземной цели с точки зрения потери высоты и увеличения скоро</w:t>
      </w:r>
      <w:r w:rsidRPr="007224C3">
        <w:rPr>
          <w:rFonts w:ascii="Times New Roman" w:hAnsi="Times New Roman" w:cs="Times New Roman"/>
          <w:color w:val="000000" w:themeColor="text1"/>
          <w:sz w:val="16"/>
          <w:szCs w:val="16"/>
        </w:rPr>
        <w:softHyphen/>
        <w:t>сти на пикировании, а также удобства при</w:t>
      </w:r>
      <w:r w:rsidRPr="007224C3">
        <w:rPr>
          <w:rFonts w:ascii="Times New Roman" w:hAnsi="Times New Roman" w:cs="Times New Roman"/>
          <w:color w:val="000000" w:themeColor="text1"/>
          <w:sz w:val="16"/>
          <w:szCs w:val="16"/>
        </w:rPr>
        <w:softHyphen/>
        <w:t>целивания считался диапазон 35-45°. При высоте ввода в пикирование 500-550 м дистанция огня составляла 500-700 м, что было более чем достаточно для прицели</w:t>
      </w:r>
      <w:r w:rsidRPr="007224C3">
        <w:rPr>
          <w:rFonts w:ascii="Times New Roman" w:hAnsi="Times New Roman" w:cs="Times New Roman"/>
          <w:color w:val="000000" w:themeColor="text1"/>
          <w:sz w:val="16"/>
          <w:szCs w:val="16"/>
        </w:rPr>
        <w:softHyphen/>
        <w:t>вания и производства 2-3 очередей.</w:t>
      </w:r>
    </w:p>
    <w:p w14:paraId="4E333085"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Важно отметить, что при стрельбе в воздухе по наземной цели «Харрикейн» допускал перенос огня от первоначальной точки наводки в боковом направлении и по дальности в пределах 10-15°, «что было за</w:t>
      </w:r>
      <w:r w:rsidRPr="007224C3">
        <w:rPr>
          <w:rFonts w:ascii="Times New Roman" w:hAnsi="Times New Roman" w:cs="Times New Roman"/>
          <w:color w:val="000000" w:themeColor="text1"/>
          <w:sz w:val="16"/>
          <w:szCs w:val="16"/>
        </w:rPr>
        <w:softHyphen/>
        <w:t>труднено, а порой неосуществимо, на са</w:t>
      </w:r>
      <w:r w:rsidRPr="007224C3">
        <w:rPr>
          <w:rFonts w:ascii="Times New Roman" w:hAnsi="Times New Roman" w:cs="Times New Roman"/>
          <w:color w:val="000000" w:themeColor="text1"/>
          <w:sz w:val="16"/>
          <w:szCs w:val="16"/>
        </w:rPr>
        <w:softHyphen/>
        <w:t>молете Ил-2 с 37-мм пушками».</w:t>
      </w:r>
    </w:p>
    <w:p w14:paraId="1CD932D7"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Летчикам понравилось удобное распо</w:t>
      </w:r>
      <w:r w:rsidRPr="007224C3">
        <w:rPr>
          <w:rFonts w:ascii="Times New Roman" w:hAnsi="Times New Roman" w:cs="Times New Roman"/>
          <w:color w:val="000000" w:themeColor="text1"/>
          <w:sz w:val="16"/>
          <w:szCs w:val="16"/>
        </w:rPr>
        <w:softHyphen/>
        <w:t>ложение электрокнопки управления огнем из пушек на секторе газа под левую руку. Поскольку пулеметы приводились в дей</w:t>
      </w:r>
      <w:r w:rsidRPr="007224C3">
        <w:rPr>
          <w:rFonts w:ascii="Times New Roman" w:hAnsi="Times New Roman" w:cs="Times New Roman"/>
          <w:color w:val="000000" w:themeColor="text1"/>
          <w:sz w:val="16"/>
          <w:szCs w:val="16"/>
        </w:rPr>
        <w:softHyphen/>
        <w:t>ствие кнопкой на ручке управления само</w:t>
      </w:r>
      <w:r w:rsidRPr="007224C3">
        <w:rPr>
          <w:rFonts w:ascii="Times New Roman" w:hAnsi="Times New Roman" w:cs="Times New Roman"/>
          <w:color w:val="000000" w:themeColor="text1"/>
          <w:sz w:val="16"/>
          <w:szCs w:val="16"/>
        </w:rPr>
        <w:softHyphen/>
        <w:t>летом, то такое расположение управления пушками позволяло вести одновременный огонь из пушек и пулеметов.</w:t>
      </w:r>
    </w:p>
    <w:p w14:paraId="53801162"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Существенным недостатком системы управления вооружением посчитали от</w:t>
      </w:r>
      <w:r w:rsidRPr="007224C3">
        <w:rPr>
          <w:rFonts w:ascii="Times New Roman" w:hAnsi="Times New Roman" w:cs="Times New Roman"/>
          <w:color w:val="000000" w:themeColor="text1"/>
          <w:sz w:val="16"/>
          <w:szCs w:val="16"/>
        </w:rPr>
        <w:softHyphen/>
        <w:t>сутствие приспособления перезарядки пушек в воздухе. По этой причине устра</w:t>
      </w:r>
      <w:r w:rsidRPr="007224C3">
        <w:rPr>
          <w:rFonts w:ascii="Times New Roman" w:hAnsi="Times New Roman" w:cs="Times New Roman"/>
          <w:color w:val="000000" w:themeColor="text1"/>
          <w:sz w:val="16"/>
          <w:szCs w:val="16"/>
        </w:rPr>
        <w:softHyphen/>
        <w:t>нить возможные задержки в стрельбе лет</w:t>
      </w:r>
      <w:r w:rsidRPr="007224C3">
        <w:rPr>
          <w:rFonts w:ascii="Times New Roman" w:hAnsi="Times New Roman" w:cs="Times New Roman"/>
          <w:color w:val="000000" w:themeColor="text1"/>
          <w:sz w:val="16"/>
          <w:szCs w:val="16"/>
        </w:rPr>
        <w:softHyphen/>
        <w:t>чик не мог. В полете в случае осечки лет</w:t>
      </w:r>
      <w:r w:rsidRPr="007224C3">
        <w:rPr>
          <w:rFonts w:ascii="Times New Roman" w:hAnsi="Times New Roman" w:cs="Times New Roman"/>
          <w:color w:val="000000" w:themeColor="text1"/>
          <w:sz w:val="16"/>
          <w:szCs w:val="16"/>
        </w:rPr>
        <w:softHyphen/>
        <w:t>чик мог только повторно взвести ударный механизм, «что отсутствие системы пере</w:t>
      </w:r>
      <w:r w:rsidRPr="007224C3">
        <w:rPr>
          <w:rFonts w:ascii="Times New Roman" w:hAnsi="Times New Roman" w:cs="Times New Roman"/>
          <w:color w:val="000000" w:themeColor="text1"/>
          <w:sz w:val="16"/>
          <w:szCs w:val="16"/>
        </w:rPr>
        <w:softHyphen/>
        <w:t>зарядки не компенсирует». В то же время взведение ударника (с помощью гашетки на левом борту) и контроль давления в воздушной системе управления оружием (с помощью манометра) осуществлялось просто и удобно.</w:t>
      </w:r>
    </w:p>
    <w:p w14:paraId="7327CE0A"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Прицеливание при помощи прицела Рефлектор Сайт Мк.115 простое. Включать прицел и регулировать накал лампы под</w:t>
      </w:r>
      <w:r w:rsidRPr="007224C3">
        <w:rPr>
          <w:rFonts w:ascii="Times New Roman" w:hAnsi="Times New Roman" w:cs="Times New Roman"/>
          <w:color w:val="000000" w:themeColor="text1"/>
          <w:sz w:val="16"/>
          <w:szCs w:val="16"/>
        </w:rPr>
        <w:softHyphen/>
        <w:t>светки удобно.</w:t>
      </w:r>
    </w:p>
    <w:p w14:paraId="591855FC"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Попытка отстрелять все вооружение самолета на высоте 7500-8000 м оказа</w:t>
      </w:r>
      <w:r w:rsidRPr="007224C3">
        <w:rPr>
          <w:rFonts w:ascii="Times New Roman" w:hAnsi="Times New Roman" w:cs="Times New Roman"/>
          <w:color w:val="000000" w:themeColor="text1"/>
          <w:sz w:val="16"/>
          <w:szCs w:val="16"/>
        </w:rPr>
        <w:softHyphen/>
        <w:t>лась неудачной. Из-за низкой температу</w:t>
      </w:r>
      <w:r w:rsidRPr="007224C3">
        <w:rPr>
          <w:rFonts w:ascii="Times New Roman" w:hAnsi="Times New Roman" w:cs="Times New Roman"/>
          <w:color w:val="000000" w:themeColor="text1"/>
          <w:sz w:val="16"/>
          <w:szCs w:val="16"/>
        </w:rPr>
        <w:softHyphen/>
        <w:t>ры воздуха - около -54°С, оружие отказало в действии. На земле были определены не</w:t>
      </w:r>
      <w:r w:rsidRPr="007224C3">
        <w:rPr>
          <w:rFonts w:ascii="Times New Roman" w:hAnsi="Times New Roman" w:cs="Times New Roman"/>
          <w:color w:val="000000" w:themeColor="text1"/>
          <w:sz w:val="16"/>
          <w:szCs w:val="16"/>
        </w:rPr>
        <w:softHyphen/>
        <w:t>отдачи в пушках и пулеметах, хотя оружие было смазано незамерзающей смазкой.</w:t>
      </w:r>
    </w:p>
    <w:p w14:paraId="15A7843C"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Летчики сочли, что «боекомплект 15 снарядов на пушку и темп стрельбы 100-110 выстрелов в минуту не могут удовлетворить ТТТ, предъявляемым ВВС к самолету-истребителю». Боекомплект к пулеметам был вполне достаточным.</w:t>
      </w:r>
    </w:p>
    <w:p w14:paraId="5688A38C"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Основные результаты при стрельбе по щиту с пикирования под углом 45° с дистан</w:t>
      </w:r>
      <w:r w:rsidRPr="007224C3">
        <w:rPr>
          <w:rFonts w:ascii="Times New Roman" w:hAnsi="Times New Roman" w:cs="Times New Roman"/>
          <w:color w:val="000000" w:themeColor="text1"/>
          <w:sz w:val="16"/>
          <w:szCs w:val="16"/>
        </w:rPr>
        <w:softHyphen/>
        <w:t>ции 500-700 м сводились к следующему. Боковое отклонение и отклонение по даль</w:t>
      </w:r>
      <w:r w:rsidRPr="007224C3">
        <w:rPr>
          <w:rFonts w:ascii="Times New Roman" w:hAnsi="Times New Roman" w:cs="Times New Roman"/>
          <w:color w:val="000000" w:themeColor="text1"/>
          <w:sz w:val="16"/>
          <w:szCs w:val="16"/>
        </w:rPr>
        <w:softHyphen/>
        <w:t>ности достигали: короткая очередь (2-3 снаряда) -1,08 и 1,70 м, длинная очередь (6-7 снарядов) - 1,51 и 2,39 м, рассеива</w:t>
      </w:r>
      <w:r w:rsidRPr="007224C3">
        <w:rPr>
          <w:rFonts w:ascii="Times New Roman" w:hAnsi="Times New Roman" w:cs="Times New Roman"/>
          <w:color w:val="000000" w:themeColor="text1"/>
          <w:sz w:val="16"/>
          <w:szCs w:val="16"/>
        </w:rPr>
        <w:softHyphen/>
        <w:t>ние коротких очередей (5 очередей) - 1,55 и 3,11 м, рассеивание длинных очередей (2 очереди)-2,02 и 5,32 м.</w:t>
      </w:r>
    </w:p>
    <w:p w14:paraId="52F72313"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Наблюдались значительные отклоне</w:t>
      </w:r>
      <w:r w:rsidRPr="007224C3">
        <w:rPr>
          <w:rFonts w:ascii="Times New Roman" w:hAnsi="Times New Roman" w:cs="Times New Roman"/>
          <w:color w:val="000000" w:themeColor="text1"/>
          <w:sz w:val="16"/>
          <w:szCs w:val="16"/>
        </w:rPr>
        <w:softHyphen/>
        <w:t>ния центра группирования в вертикальной плоскости (по дальности) с увеличением длины очереди. Если при стрельбе корот</w:t>
      </w:r>
      <w:r w:rsidRPr="007224C3">
        <w:rPr>
          <w:rFonts w:ascii="Times New Roman" w:hAnsi="Times New Roman" w:cs="Times New Roman"/>
          <w:color w:val="000000" w:themeColor="text1"/>
          <w:sz w:val="16"/>
          <w:szCs w:val="16"/>
        </w:rPr>
        <w:softHyphen/>
        <w:t>кими очередями рассеивание центра груп</w:t>
      </w:r>
      <w:r w:rsidRPr="007224C3">
        <w:rPr>
          <w:rFonts w:ascii="Times New Roman" w:hAnsi="Times New Roman" w:cs="Times New Roman"/>
          <w:color w:val="000000" w:themeColor="text1"/>
          <w:sz w:val="16"/>
          <w:szCs w:val="16"/>
        </w:rPr>
        <w:softHyphen/>
        <w:t>пирования очереди находилось в пределах от -1,1 до -2,4 м, то при переходе к стрель</w:t>
      </w:r>
      <w:r w:rsidRPr="007224C3">
        <w:rPr>
          <w:rFonts w:ascii="Times New Roman" w:hAnsi="Times New Roman" w:cs="Times New Roman"/>
          <w:color w:val="000000" w:themeColor="text1"/>
          <w:sz w:val="16"/>
          <w:szCs w:val="16"/>
        </w:rPr>
        <w:softHyphen/>
        <w:t>бе длинными очередями резко возраста</w:t>
      </w:r>
      <w:r w:rsidRPr="007224C3">
        <w:rPr>
          <w:rFonts w:ascii="Times New Roman" w:hAnsi="Times New Roman" w:cs="Times New Roman"/>
          <w:color w:val="000000" w:themeColor="text1"/>
          <w:sz w:val="16"/>
          <w:szCs w:val="16"/>
        </w:rPr>
        <w:softHyphen/>
        <w:t>ло - до -3,12-4,47 м. Это обстоятельство вполне соответствовало показаниям лет</w:t>
      </w:r>
      <w:r w:rsidRPr="007224C3">
        <w:rPr>
          <w:rFonts w:ascii="Times New Roman" w:hAnsi="Times New Roman" w:cs="Times New Roman"/>
          <w:color w:val="000000" w:themeColor="text1"/>
          <w:sz w:val="16"/>
          <w:szCs w:val="16"/>
        </w:rPr>
        <w:softHyphen/>
        <w:t>чиков о стремлении самолета «зарываться носом при стрельбе на пикировании».</w:t>
      </w:r>
    </w:p>
    <w:p w14:paraId="6E097B59"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При стрельбе из одной пушки с увели</w:t>
      </w:r>
      <w:r w:rsidRPr="007224C3">
        <w:rPr>
          <w:rFonts w:ascii="Times New Roman" w:hAnsi="Times New Roman" w:cs="Times New Roman"/>
          <w:color w:val="000000" w:themeColor="text1"/>
          <w:sz w:val="16"/>
          <w:szCs w:val="16"/>
        </w:rPr>
        <w:softHyphen/>
        <w:t>чением длины очереди центр группирова</w:t>
      </w:r>
      <w:r w:rsidRPr="007224C3">
        <w:rPr>
          <w:rFonts w:ascii="Times New Roman" w:hAnsi="Times New Roman" w:cs="Times New Roman"/>
          <w:color w:val="000000" w:themeColor="text1"/>
          <w:sz w:val="16"/>
          <w:szCs w:val="16"/>
        </w:rPr>
        <w:softHyphen/>
        <w:t>ния очереди «резко смещался в сторону стреляющей пушки под самолет», причем «тенденция эта одинаковая как для правой, так и для левой пушки».</w:t>
      </w:r>
    </w:p>
    <w:tbl>
      <w:tblPr>
        <w:tblW w:w="0" w:type="auto"/>
        <w:tblLayout w:type="fixed"/>
        <w:tblCellMar>
          <w:left w:w="10" w:type="dxa"/>
          <w:right w:w="10" w:type="dxa"/>
        </w:tblCellMar>
        <w:tblLook w:val="04A0" w:firstRow="1" w:lastRow="0" w:firstColumn="1" w:lastColumn="0" w:noHBand="0" w:noVBand="1"/>
      </w:tblPr>
      <w:tblGrid>
        <w:gridCol w:w="2050"/>
        <w:gridCol w:w="926"/>
        <w:gridCol w:w="922"/>
        <w:gridCol w:w="926"/>
        <w:gridCol w:w="922"/>
        <w:gridCol w:w="931"/>
      </w:tblGrid>
      <w:tr w:rsidR="005106D0" w:rsidRPr="007224C3" w14:paraId="4BC25332" w14:textId="77777777" w:rsidTr="00903E13">
        <w:trPr>
          <w:trHeight w:val="211"/>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7CCDF14D" w14:textId="77777777" w:rsidR="00903E13" w:rsidRPr="007224C3" w:rsidRDefault="00903E13" w:rsidP="007224C3">
            <w:pPr>
              <w:pStyle w:val="45"/>
              <w:shd w:val="clear" w:color="auto" w:fill="auto"/>
              <w:spacing w:before="0" w:line="240" w:lineRule="auto"/>
              <w:jc w:val="both"/>
              <w:rPr>
                <w:rFonts w:ascii="Times New Roman" w:cs="Times New Roman"/>
                <w:color w:val="000000" w:themeColor="text1"/>
                <w:sz w:val="16"/>
                <w:szCs w:val="16"/>
              </w:rPr>
            </w:pPr>
            <w:r w:rsidRPr="007224C3">
              <w:rPr>
                <w:rFonts w:ascii="Times New Roman" w:cs="Times New Roman"/>
                <w:color w:val="000000" w:themeColor="text1"/>
                <w:sz w:val="16"/>
                <w:szCs w:val="16"/>
              </w:rPr>
              <w:t>Характеристика/тип пушки</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03AF0D70" w14:textId="77777777" w:rsidR="00903E13" w:rsidRPr="007224C3" w:rsidRDefault="00903E13" w:rsidP="007224C3">
            <w:pPr>
              <w:pStyle w:val="45"/>
              <w:shd w:val="clear" w:color="auto" w:fill="auto"/>
              <w:spacing w:before="0" w:line="240" w:lineRule="auto"/>
              <w:jc w:val="both"/>
              <w:rPr>
                <w:rFonts w:ascii="Times New Roman" w:cs="Times New Roman"/>
                <w:color w:val="000000" w:themeColor="text1"/>
                <w:sz w:val="16"/>
                <w:szCs w:val="16"/>
              </w:rPr>
            </w:pPr>
            <w:r w:rsidRPr="007224C3">
              <w:rPr>
                <w:rFonts w:ascii="Times New Roman" w:cs="Times New Roman"/>
                <w:color w:val="000000" w:themeColor="text1"/>
                <w:sz w:val="16"/>
                <w:szCs w:val="16"/>
              </w:rPr>
              <w:t>НС-45</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6DA33BE8" w14:textId="77777777" w:rsidR="00903E13" w:rsidRPr="007224C3" w:rsidRDefault="00903E13" w:rsidP="007224C3">
            <w:pPr>
              <w:pStyle w:val="45"/>
              <w:shd w:val="clear" w:color="auto" w:fill="auto"/>
              <w:spacing w:before="0" w:line="240" w:lineRule="auto"/>
              <w:jc w:val="both"/>
              <w:rPr>
                <w:rFonts w:ascii="Times New Roman" w:cs="Times New Roman"/>
                <w:color w:val="000000" w:themeColor="text1"/>
                <w:sz w:val="16"/>
                <w:szCs w:val="16"/>
              </w:rPr>
            </w:pPr>
            <w:r w:rsidRPr="007224C3">
              <w:rPr>
                <w:rFonts w:ascii="Times New Roman" w:cs="Times New Roman"/>
                <w:color w:val="000000" w:themeColor="text1"/>
                <w:sz w:val="16"/>
                <w:szCs w:val="16"/>
              </w:rPr>
              <w:t>«Виккерс» 3</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2A3E124B" w14:textId="77777777" w:rsidR="00903E13" w:rsidRPr="007224C3" w:rsidRDefault="00903E13" w:rsidP="007224C3">
            <w:pPr>
              <w:pStyle w:val="45"/>
              <w:shd w:val="clear" w:color="auto" w:fill="auto"/>
              <w:spacing w:before="0" w:line="240" w:lineRule="auto"/>
              <w:jc w:val="both"/>
              <w:rPr>
                <w:rFonts w:ascii="Times New Roman" w:cs="Times New Roman"/>
                <w:color w:val="000000" w:themeColor="text1"/>
                <w:sz w:val="16"/>
                <w:szCs w:val="16"/>
              </w:rPr>
            </w:pPr>
            <w:r w:rsidRPr="007224C3">
              <w:rPr>
                <w:rFonts w:ascii="Times New Roman" w:cs="Times New Roman"/>
                <w:color w:val="000000" w:themeColor="text1"/>
                <w:sz w:val="16"/>
                <w:szCs w:val="16"/>
              </w:rPr>
              <w:t>М4</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2A508703" w14:textId="77777777" w:rsidR="00903E13" w:rsidRPr="007224C3" w:rsidRDefault="00903E13" w:rsidP="007224C3">
            <w:pPr>
              <w:pStyle w:val="45"/>
              <w:shd w:val="clear" w:color="auto" w:fill="auto"/>
              <w:spacing w:before="0" w:line="240" w:lineRule="auto"/>
              <w:jc w:val="both"/>
              <w:rPr>
                <w:rFonts w:ascii="Times New Roman" w:cs="Times New Roman"/>
                <w:color w:val="000000" w:themeColor="text1"/>
                <w:sz w:val="16"/>
                <w:szCs w:val="16"/>
              </w:rPr>
            </w:pPr>
            <w:r w:rsidRPr="007224C3">
              <w:rPr>
                <w:rFonts w:ascii="Times New Roman" w:cs="Times New Roman"/>
                <w:color w:val="000000" w:themeColor="text1"/>
                <w:sz w:val="16"/>
                <w:szCs w:val="16"/>
              </w:rPr>
              <w:t>НС-37</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6E5847AB" w14:textId="77777777" w:rsidR="00903E13" w:rsidRPr="007224C3" w:rsidRDefault="00903E13" w:rsidP="007224C3">
            <w:pPr>
              <w:pStyle w:val="45"/>
              <w:shd w:val="clear" w:color="auto" w:fill="auto"/>
              <w:spacing w:before="0" w:line="240" w:lineRule="auto"/>
              <w:jc w:val="both"/>
              <w:rPr>
                <w:rFonts w:ascii="Times New Roman" w:cs="Times New Roman"/>
                <w:color w:val="000000" w:themeColor="text1"/>
                <w:sz w:val="16"/>
                <w:szCs w:val="16"/>
              </w:rPr>
            </w:pPr>
            <w:r w:rsidRPr="007224C3">
              <w:rPr>
                <w:rFonts w:ascii="Times New Roman" w:cs="Times New Roman"/>
                <w:color w:val="000000" w:themeColor="text1"/>
                <w:sz w:val="16"/>
                <w:szCs w:val="16"/>
              </w:rPr>
              <w:t>ВЯ</w:t>
            </w:r>
          </w:p>
        </w:tc>
      </w:tr>
      <w:tr w:rsidR="005106D0" w:rsidRPr="007224C3" w14:paraId="15DED722" w14:textId="77777777" w:rsidTr="00903E13">
        <w:trPr>
          <w:trHeight w:val="202"/>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78FE8A8A"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Калибр, мм</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5815C71E"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45</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5684B4D2"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40</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3C19BDD9"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37</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4294F457"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37</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676E8485"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23</w:t>
            </w:r>
          </w:p>
        </w:tc>
      </w:tr>
      <w:tr w:rsidR="005106D0" w:rsidRPr="007224C3" w14:paraId="6B512101" w14:textId="77777777" w:rsidTr="00903E13">
        <w:trPr>
          <w:trHeight w:val="226"/>
        </w:trPr>
        <w:tc>
          <w:tcPr>
            <w:tcW w:w="2050" w:type="dxa"/>
            <w:tcBorders>
              <w:top w:val="single" w:sz="4" w:space="0" w:color="auto"/>
              <w:left w:val="single" w:sz="4" w:space="0" w:color="auto"/>
              <w:right w:val="single" w:sz="4" w:space="0" w:color="auto"/>
            </w:tcBorders>
            <w:shd w:val="clear" w:color="auto" w:fill="FFFFFF"/>
          </w:tcPr>
          <w:p w14:paraId="20EFEDA6" w14:textId="77777777" w:rsidR="00903E13" w:rsidRPr="007224C3" w:rsidRDefault="00903E13" w:rsidP="007224C3">
            <w:pPr>
              <w:spacing w:after="0" w:line="240" w:lineRule="auto"/>
              <w:jc w:val="both"/>
              <w:rPr>
                <w:rFonts w:ascii="Times New Roman" w:hAnsi="Times New Roman"/>
                <w:color w:val="000000" w:themeColor="text1"/>
                <w:sz w:val="16"/>
                <w:szCs w:val="16"/>
              </w:rPr>
            </w:pPr>
          </w:p>
        </w:tc>
        <w:tc>
          <w:tcPr>
            <w:tcW w:w="926" w:type="dxa"/>
            <w:tcBorders>
              <w:top w:val="single" w:sz="4" w:space="0" w:color="auto"/>
              <w:left w:val="single" w:sz="4" w:space="0" w:color="auto"/>
              <w:right w:val="single" w:sz="4" w:space="0" w:color="auto"/>
            </w:tcBorders>
            <w:shd w:val="clear" w:color="auto" w:fill="FFFFFF"/>
          </w:tcPr>
          <w:p w14:paraId="2F7CB8EC"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Отдача при</w:t>
            </w:r>
          </w:p>
        </w:tc>
        <w:tc>
          <w:tcPr>
            <w:tcW w:w="922" w:type="dxa"/>
            <w:tcBorders>
              <w:top w:val="single" w:sz="4" w:space="0" w:color="auto"/>
              <w:left w:val="single" w:sz="4" w:space="0" w:color="auto"/>
              <w:right w:val="single" w:sz="4" w:space="0" w:color="auto"/>
            </w:tcBorders>
            <w:shd w:val="clear" w:color="auto" w:fill="FFFFFF"/>
          </w:tcPr>
          <w:p w14:paraId="5ECEF160"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Отдача при</w:t>
            </w:r>
          </w:p>
        </w:tc>
        <w:tc>
          <w:tcPr>
            <w:tcW w:w="926" w:type="dxa"/>
            <w:tcBorders>
              <w:top w:val="single" w:sz="4" w:space="0" w:color="auto"/>
              <w:left w:val="single" w:sz="4" w:space="0" w:color="auto"/>
              <w:right w:val="single" w:sz="4" w:space="0" w:color="auto"/>
            </w:tcBorders>
            <w:shd w:val="clear" w:color="auto" w:fill="FFFFFF"/>
          </w:tcPr>
          <w:p w14:paraId="440EE031"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Отдача при</w:t>
            </w:r>
          </w:p>
        </w:tc>
        <w:tc>
          <w:tcPr>
            <w:tcW w:w="922" w:type="dxa"/>
            <w:tcBorders>
              <w:top w:val="single" w:sz="4" w:space="0" w:color="auto"/>
              <w:left w:val="single" w:sz="4" w:space="0" w:color="auto"/>
              <w:right w:val="single" w:sz="4" w:space="0" w:color="auto"/>
            </w:tcBorders>
            <w:shd w:val="clear" w:color="auto" w:fill="FFFFFF"/>
          </w:tcPr>
          <w:p w14:paraId="09BB9C5C"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Отдача при</w:t>
            </w:r>
          </w:p>
        </w:tc>
        <w:tc>
          <w:tcPr>
            <w:tcW w:w="931" w:type="dxa"/>
            <w:tcBorders>
              <w:top w:val="single" w:sz="4" w:space="0" w:color="auto"/>
              <w:left w:val="single" w:sz="4" w:space="0" w:color="auto"/>
              <w:right w:val="single" w:sz="4" w:space="0" w:color="auto"/>
            </w:tcBorders>
            <w:shd w:val="clear" w:color="auto" w:fill="FFFFFF"/>
          </w:tcPr>
          <w:p w14:paraId="7D6A1FC1"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Отвод газов</w:t>
            </w:r>
          </w:p>
        </w:tc>
      </w:tr>
      <w:tr w:rsidR="005106D0" w:rsidRPr="007224C3" w14:paraId="1E674CA5" w14:textId="77777777" w:rsidTr="00903E13">
        <w:trPr>
          <w:trHeight w:val="197"/>
        </w:trPr>
        <w:tc>
          <w:tcPr>
            <w:tcW w:w="2050" w:type="dxa"/>
            <w:tcBorders>
              <w:left w:val="single" w:sz="4" w:space="0" w:color="auto"/>
              <w:right w:val="single" w:sz="4" w:space="0" w:color="auto"/>
            </w:tcBorders>
            <w:shd w:val="clear" w:color="auto" w:fill="FFFFFF"/>
          </w:tcPr>
          <w:p w14:paraId="226C00CD"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Принцип действия</w:t>
            </w:r>
          </w:p>
        </w:tc>
        <w:tc>
          <w:tcPr>
            <w:tcW w:w="926" w:type="dxa"/>
            <w:tcBorders>
              <w:left w:val="single" w:sz="4" w:space="0" w:color="auto"/>
              <w:right w:val="single" w:sz="4" w:space="0" w:color="auto"/>
            </w:tcBorders>
            <w:shd w:val="clear" w:color="auto" w:fill="FFFFFF"/>
          </w:tcPr>
          <w:p w14:paraId="24677F6F"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коротком</w:t>
            </w:r>
          </w:p>
        </w:tc>
        <w:tc>
          <w:tcPr>
            <w:tcW w:w="922" w:type="dxa"/>
            <w:tcBorders>
              <w:left w:val="single" w:sz="4" w:space="0" w:color="auto"/>
              <w:right w:val="single" w:sz="4" w:space="0" w:color="auto"/>
            </w:tcBorders>
            <w:shd w:val="clear" w:color="auto" w:fill="FFFFFF"/>
          </w:tcPr>
          <w:p w14:paraId="31907953"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длинном</w:t>
            </w:r>
          </w:p>
        </w:tc>
        <w:tc>
          <w:tcPr>
            <w:tcW w:w="926" w:type="dxa"/>
            <w:tcBorders>
              <w:left w:val="single" w:sz="4" w:space="0" w:color="auto"/>
              <w:right w:val="single" w:sz="4" w:space="0" w:color="auto"/>
            </w:tcBorders>
            <w:shd w:val="clear" w:color="auto" w:fill="FFFFFF"/>
          </w:tcPr>
          <w:p w14:paraId="0E8B413E"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коротком</w:t>
            </w:r>
          </w:p>
        </w:tc>
        <w:tc>
          <w:tcPr>
            <w:tcW w:w="922" w:type="dxa"/>
            <w:tcBorders>
              <w:left w:val="single" w:sz="4" w:space="0" w:color="auto"/>
              <w:right w:val="single" w:sz="4" w:space="0" w:color="auto"/>
            </w:tcBorders>
            <w:shd w:val="clear" w:color="auto" w:fill="FFFFFF"/>
          </w:tcPr>
          <w:p w14:paraId="0F52A412"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коротком</w:t>
            </w:r>
          </w:p>
        </w:tc>
        <w:tc>
          <w:tcPr>
            <w:tcW w:w="931" w:type="dxa"/>
            <w:tcBorders>
              <w:left w:val="single" w:sz="4" w:space="0" w:color="auto"/>
              <w:right w:val="single" w:sz="4" w:space="0" w:color="auto"/>
            </w:tcBorders>
            <w:shd w:val="clear" w:color="auto" w:fill="FFFFFF"/>
          </w:tcPr>
          <w:p w14:paraId="706CF105"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из канала</w:t>
            </w:r>
          </w:p>
        </w:tc>
      </w:tr>
      <w:tr w:rsidR="005106D0" w:rsidRPr="007224C3" w14:paraId="14CAEF54" w14:textId="77777777" w:rsidTr="00903E13">
        <w:trPr>
          <w:trHeight w:val="163"/>
        </w:trPr>
        <w:tc>
          <w:tcPr>
            <w:tcW w:w="2050" w:type="dxa"/>
            <w:tcBorders>
              <w:left w:val="single" w:sz="4" w:space="0" w:color="auto"/>
              <w:bottom w:val="single" w:sz="4" w:space="0" w:color="auto"/>
              <w:right w:val="single" w:sz="4" w:space="0" w:color="auto"/>
            </w:tcBorders>
            <w:shd w:val="clear" w:color="auto" w:fill="FFFFFF"/>
          </w:tcPr>
          <w:p w14:paraId="7BF42B48" w14:textId="77777777" w:rsidR="00903E13" w:rsidRPr="007224C3" w:rsidRDefault="00903E13" w:rsidP="007224C3">
            <w:pPr>
              <w:spacing w:after="0" w:line="240" w:lineRule="auto"/>
              <w:jc w:val="both"/>
              <w:rPr>
                <w:rFonts w:ascii="Times New Roman" w:hAnsi="Times New Roman"/>
                <w:color w:val="000000" w:themeColor="text1"/>
                <w:sz w:val="16"/>
                <w:szCs w:val="16"/>
              </w:rPr>
            </w:pPr>
          </w:p>
        </w:tc>
        <w:tc>
          <w:tcPr>
            <w:tcW w:w="926" w:type="dxa"/>
            <w:tcBorders>
              <w:left w:val="single" w:sz="4" w:space="0" w:color="auto"/>
              <w:bottom w:val="single" w:sz="4" w:space="0" w:color="auto"/>
              <w:right w:val="single" w:sz="4" w:space="0" w:color="auto"/>
            </w:tcBorders>
            <w:shd w:val="clear" w:color="auto" w:fill="FFFFFF"/>
          </w:tcPr>
          <w:p w14:paraId="612D6516"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ходе ствола</w:t>
            </w:r>
          </w:p>
        </w:tc>
        <w:tc>
          <w:tcPr>
            <w:tcW w:w="922" w:type="dxa"/>
            <w:tcBorders>
              <w:left w:val="single" w:sz="4" w:space="0" w:color="auto"/>
              <w:bottom w:val="single" w:sz="4" w:space="0" w:color="auto"/>
              <w:right w:val="single" w:sz="4" w:space="0" w:color="auto"/>
            </w:tcBorders>
            <w:shd w:val="clear" w:color="auto" w:fill="FFFFFF"/>
          </w:tcPr>
          <w:p w14:paraId="258BE79E"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ходе ствола</w:t>
            </w:r>
          </w:p>
        </w:tc>
        <w:tc>
          <w:tcPr>
            <w:tcW w:w="926" w:type="dxa"/>
            <w:tcBorders>
              <w:left w:val="single" w:sz="4" w:space="0" w:color="auto"/>
              <w:bottom w:val="single" w:sz="4" w:space="0" w:color="auto"/>
              <w:right w:val="single" w:sz="4" w:space="0" w:color="auto"/>
            </w:tcBorders>
            <w:shd w:val="clear" w:color="auto" w:fill="FFFFFF"/>
          </w:tcPr>
          <w:p w14:paraId="03415E16"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ходе ствола</w:t>
            </w:r>
          </w:p>
        </w:tc>
        <w:tc>
          <w:tcPr>
            <w:tcW w:w="922" w:type="dxa"/>
            <w:tcBorders>
              <w:left w:val="single" w:sz="4" w:space="0" w:color="auto"/>
              <w:bottom w:val="single" w:sz="4" w:space="0" w:color="auto"/>
              <w:right w:val="single" w:sz="4" w:space="0" w:color="auto"/>
            </w:tcBorders>
            <w:shd w:val="clear" w:color="auto" w:fill="FFFFFF"/>
          </w:tcPr>
          <w:p w14:paraId="7DC3229E"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ходе ствола</w:t>
            </w:r>
          </w:p>
        </w:tc>
        <w:tc>
          <w:tcPr>
            <w:tcW w:w="931" w:type="dxa"/>
            <w:tcBorders>
              <w:left w:val="single" w:sz="4" w:space="0" w:color="auto"/>
              <w:bottom w:val="single" w:sz="4" w:space="0" w:color="auto"/>
              <w:right w:val="single" w:sz="4" w:space="0" w:color="auto"/>
            </w:tcBorders>
            <w:shd w:val="clear" w:color="auto" w:fill="FFFFFF"/>
          </w:tcPr>
          <w:p w14:paraId="4214032F"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ствола</w:t>
            </w:r>
          </w:p>
        </w:tc>
      </w:tr>
      <w:tr w:rsidR="005106D0" w:rsidRPr="007224C3" w14:paraId="5F0A9285" w14:textId="77777777" w:rsidTr="00903E13">
        <w:trPr>
          <w:trHeight w:val="206"/>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484C2768"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Питание</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2C909BF8"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Звеньевое</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42BC551B"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Магазин</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4E19C8BF"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Магазин</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4E371C5B"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Звеньевое</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3347A826"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Зеньевое</w:t>
            </w:r>
          </w:p>
        </w:tc>
      </w:tr>
      <w:tr w:rsidR="005106D0" w:rsidRPr="007224C3" w14:paraId="42F31318" w14:textId="77777777" w:rsidTr="00903E13">
        <w:trPr>
          <w:trHeight w:val="206"/>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33A3D48E"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Темп стрельбы, выстр./мин</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2F1E1611"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250</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304152C8"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110</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55119CDE"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150</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1FBBE52A"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250</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0653410C"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600</w:t>
            </w:r>
          </w:p>
        </w:tc>
      </w:tr>
      <w:tr w:rsidR="005106D0" w:rsidRPr="007224C3" w14:paraId="6555F334" w14:textId="77777777" w:rsidTr="00903E13">
        <w:trPr>
          <w:trHeight w:val="202"/>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0230603B"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Начальная скорость, м/с</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14E8691D"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781</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3315416C"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585</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517BAC71"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610</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10934D96"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878</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7E14217F"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915</w:t>
            </w:r>
          </w:p>
        </w:tc>
      </w:tr>
      <w:tr w:rsidR="005106D0" w:rsidRPr="007224C3" w14:paraId="5667BF4E" w14:textId="77777777" w:rsidTr="00903E13">
        <w:trPr>
          <w:trHeight w:val="206"/>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2D600BA7"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Вес пушки, кг</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58ABBF83"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163,8</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4FDEE71F"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157,7</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355564A2"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108</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2802628F"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162,5</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7E8BDB44"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66</w:t>
            </w:r>
          </w:p>
        </w:tc>
      </w:tr>
      <w:tr w:rsidR="005106D0" w:rsidRPr="007224C3" w14:paraId="3342DC35" w14:textId="77777777" w:rsidTr="00903E13">
        <w:trPr>
          <w:trHeight w:val="202"/>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6522FA10"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Вес снаряда, кг</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09E012C7"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1,065</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743D2366"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1,041</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6883E85A"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0,65</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2775BEE8"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0,732</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6B298792"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0,197</w:t>
            </w:r>
          </w:p>
        </w:tc>
      </w:tr>
      <w:tr w:rsidR="005106D0" w:rsidRPr="007224C3" w14:paraId="7E4EE319" w14:textId="77777777" w:rsidTr="00903E13">
        <w:trPr>
          <w:trHeight w:val="202"/>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2706B3F3"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Вес секундного залпа, кг</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47322AD2"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4,44</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6AA1A74F"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1,91</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569C668D"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1,63</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49171BCB"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3,05</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16921C28"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1,97</w:t>
            </w:r>
          </w:p>
        </w:tc>
      </w:tr>
      <w:tr w:rsidR="005106D0" w:rsidRPr="007224C3" w14:paraId="60E17627" w14:textId="77777777" w:rsidTr="00903E13">
        <w:trPr>
          <w:trHeight w:val="206"/>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336B3B9B"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Дульная энергия, кг</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33DA7729"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33110</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5F1A2F2B"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18158</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0A906535"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12327</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60875AE6"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28761</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43B70FAF"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8406</w:t>
            </w:r>
          </w:p>
        </w:tc>
      </w:tr>
      <w:tr w:rsidR="005106D0" w:rsidRPr="007224C3" w14:paraId="73A155C9" w14:textId="77777777" w:rsidTr="00903E13">
        <w:trPr>
          <w:trHeight w:val="206"/>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447E9E3E"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Дульная мощность, кг/с</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488995D4"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137956</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6145AFAB"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33289</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4971222A"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30819</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14388671"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119837</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578A6714"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84064</w:t>
            </w:r>
          </w:p>
        </w:tc>
      </w:tr>
      <w:tr w:rsidR="005106D0" w:rsidRPr="007224C3" w14:paraId="3DEF0849" w14:textId="77777777" w:rsidTr="00903E13">
        <w:trPr>
          <w:trHeight w:val="211"/>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0F64F2F6"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Показатель качества оружия</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2EC9936C"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842</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062957BA"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211</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7B17249A"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285</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41E42454"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737</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68527212"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1274</w:t>
            </w:r>
          </w:p>
        </w:tc>
      </w:tr>
    </w:tbl>
    <w:p w14:paraId="161DBA01"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Как положительный факт отмечалась простая эксплуатация пушек: «пушки ос</w:t>
      </w:r>
      <w:r w:rsidRPr="007224C3">
        <w:rPr>
          <w:rFonts w:ascii="Times New Roman" w:hAnsi="Times New Roman" w:cs="Times New Roman"/>
          <w:color w:val="000000" w:themeColor="text1"/>
          <w:sz w:val="16"/>
          <w:szCs w:val="16"/>
        </w:rPr>
        <w:softHyphen/>
        <w:t>ваиваются техническим составом легко и быстро». Подходы к пушкам удобные. Зарядка магазина производилась непо</w:t>
      </w:r>
      <w:r w:rsidRPr="007224C3">
        <w:rPr>
          <w:rFonts w:ascii="Times New Roman" w:hAnsi="Times New Roman" w:cs="Times New Roman"/>
          <w:color w:val="000000" w:themeColor="text1"/>
          <w:sz w:val="16"/>
          <w:szCs w:val="16"/>
        </w:rPr>
        <w:softHyphen/>
        <w:t>средственно на самолете. При двух рабо</w:t>
      </w:r>
      <w:r w:rsidRPr="007224C3">
        <w:rPr>
          <w:rFonts w:ascii="Times New Roman" w:hAnsi="Times New Roman" w:cs="Times New Roman"/>
          <w:color w:val="000000" w:themeColor="text1"/>
          <w:sz w:val="16"/>
          <w:szCs w:val="16"/>
        </w:rPr>
        <w:softHyphen/>
        <w:t>тающих техниках на приведение в боевую готовность одной пушки после стрельбы (снятие обтекателя пушки, частичная раз</w:t>
      </w:r>
      <w:r w:rsidRPr="007224C3">
        <w:rPr>
          <w:rFonts w:ascii="Times New Roman" w:hAnsi="Times New Roman" w:cs="Times New Roman"/>
          <w:color w:val="000000" w:themeColor="text1"/>
          <w:sz w:val="16"/>
          <w:szCs w:val="16"/>
        </w:rPr>
        <w:softHyphen/>
        <w:t>борка, чистка и смазка пушки, зарядка ма</w:t>
      </w:r>
      <w:r w:rsidRPr="007224C3">
        <w:rPr>
          <w:rFonts w:ascii="Times New Roman" w:hAnsi="Times New Roman" w:cs="Times New Roman"/>
          <w:color w:val="000000" w:themeColor="text1"/>
          <w:sz w:val="16"/>
          <w:szCs w:val="16"/>
        </w:rPr>
        <w:softHyphen/>
        <w:t>газина, постановка обтекателя) уходило не более 26 мин, в том числе всего 2 мин - на зарядку пушки.</w:t>
      </w:r>
    </w:p>
    <w:p w14:paraId="0D7577E8"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тронного ящика, чистка, смазка, укладка ленты в ящик, зарядка пулемета и закрытие лючка) около 20 мин, подготовка оружия занимала не более полутора часов.</w:t>
      </w:r>
    </w:p>
    <w:p w14:paraId="6E85B3F4"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В ходе стрельб пушки и пушечные установки показали высокую надежность. Если исключить из рассмотрения резуль</w:t>
      </w:r>
      <w:r w:rsidRPr="007224C3">
        <w:rPr>
          <w:rFonts w:ascii="Times New Roman" w:hAnsi="Times New Roman" w:cs="Times New Roman"/>
          <w:color w:val="000000" w:themeColor="text1"/>
          <w:sz w:val="16"/>
          <w:szCs w:val="16"/>
        </w:rPr>
        <w:softHyphen/>
        <w:t>таты стрельбы на большой высоте (7500- 8000 м), то процент задержек в стрельбе по вине пушек составил всего 0,16%, а пулеметов 0,13% от общего числа выстре</w:t>
      </w:r>
      <w:r w:rsidRPr="007224C3">
        <w:rPr>
          <w:rFonts w:ascii="Times New Roman" w:hAnsi="Times New Roman" w:cs="Times New Roman"/>
          <w:color w:val="000000" w:themeColor="text1"/>
          <w:sz w:val="16"/>
          <w:szCs w:val="16"/>
        </w:rPr>
        <w:softHyphen/>
        <w:t>лов. При этом после устранения дефекта, вызвавшего задержку в стрельбе пушки, отказы пушек больше не повторялись. По пулеметам все отказы относились только к правому пулемету, который имел «не</w:t>
      </w:r>
      <w:r w:rsidRPr="007224C3">
        <w:rPr>
          <w:rFonts w:ascii="Times New Roman" w:hAnsi="Times New Roman" w:cs="Times New Roman"/>
          <w:color w:val="000000" w:themeColor="text1"/>
          <w:sz w:val="16"/>
          <w:szCs w:val="16"/>
        </w:rPr>
        <w:softHyphen/>
        <w:t>устранимый дефект - тугой ход подвиж</w:t>
      </w:r>
      <w:r w:rsidRPr="007224C3">
        <w:rPr>
          <w:rFonts w:ascii="Times New Roman" w:hAnsi="Times New Roman" w:cs="Times New Roman"/>
          <w:color w:val="000000" w:themeColor="text1"/>
          <w:sz w:val="16"/>
          <w:szCs w:val="16"/>
        </w:rPr>
        <w:softHyphen/>
        <w:t>ных частей, не зависящий от конструкции оружия».</w:t>
      </w:r>
    </w:p>
    <w:p w14:paraId="1A558C15"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По вине пушечной установки задержек не было вовсе. Пневмосистема и электроп</w:t>
      </w:r>
      <w:r w:rsidRPr="007224C3">
        <w:rPr>
          <w:rFonts w:ascii="Times New Roman" w:hAnsi="Times New Roman" w:cs="Times New Roman"/>
          <w:color w:val="000000" w:themeColor="text1"/>
          <w:sz w:val="16"/>
          <w:szCs w:val="16"/>
        </w:rPr>
        <w:softHyphen/>
        <w:t>невматическое управление вооружением работали надежно и безотказно.</w:t>
      </w:r>
    </w:p>
    <w:p w14:paraId="5EEBBF98"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Имелись и недостатки. Пушки было трудно снаряжать - «стеснен подход к ру</w:t>
      </w:r>
      <w:r w:rsidRPr="007224C3">
        <w:rPr>
          <w:rFonts w:ascii="Times New Roman" w:hAnsi="Times New Roman" w:cs="Times New Roman"/>
          <w:color w:val="000000" w:themeColor="text1"/>
          <w:sz w:val="16"/>
          <w:szCs w:val="16"/>
        </w:rPr>
        <w:softHyphen/>
        <w:t>коятке магазина при заряжании, особенно при зимней эксплуатации». Конструкция защелок, фиксирующих положение руко</w:t>
      </w:r>
      <w:r w:rsidRPr="007224C3">
        <w:rPr>
          <w:rFonts w:ascii="Times New Roman" w:hAnsi="Times New Roman" w:cs="Times New Roman"/>
          <w:color w:val="000000" w:themeColor="text1"/>
          <w:sz w:val="16"/>
          <w:szCs w:val="16"/>
        </w:rPr>
        <w:softHyphen/>
        <w:t>ятки магазина, оказалась неудачной и не</w:t>
      </w:r>
      <w:r w:rsidRPr="007224C3">
        <w:rPr>
          <w:rFonts w:ascii="Times New Roman" w:hAnsi="Times New Roman" w:cs="Times New Roman"/>
          <w:color w:val="000000" w:themeColor="text1"/>
          <w:sz w:val="16"/>
          <w:szCs w:val="16"/>
        </w:rPr>
        <w:softHyphen/>
        <w:t>прочной. Окно магазина пушки распола</w:t>
      </w:r>
      <w:r w:rsidRPr="007224C3">
        <w:rPr>
          <w:rFonts w:ascii="Times New Roman" w:hAnsi="Times New Roman" w:cs="Times New Roman"/>
          <w:color w:val="000000" w:themeColor="text1"/>
          <w:sz w:val="16"/>
          <w:szCs w:val="16"/>
        </w:rPr>
        <w:softHyphen/>
        <w:t>галось крайне неудобно, что затрудняло работу при снаряжении магазина патро</w:t>
      </w:r>
      <w:r w:rsidRPr="007224C3">
        <w:rPr>
          <w:rFonts w:ascii="Times New Roman" w:hAnsi="Times New Roman" w:cs="Times New Roman"/>
          <w:color w:val="000000" w:themeColor="text1"/>
          <w:sz w:val="16"/>
          <w:szCs w:val="16"/>
        </w:rPr>
        <w:softHyphen/>
        <w:t>нами. К тому же можно было повредить руки. Гильзоотводное окно имело разме</w:t>
      </w:r>
      <w:r w:rsidRPr="007224C3">
        <w:rPr>
          <w:rFonts w:ascii="Times New Roman" w:hAnsi="Times New Roman" w:cs="Times New Roman"/>
          <w:color w:val="000000" w:themeColor="text1"/>
          <w:sz w:val="16"/>
          <w:szCs w:val="16"/>
        </w:rPr>
        <w:softHyphen/>
        <w:t>ры ровно под размер гильзы, поэтому для извлечения гильзы или снаряда из патрон</w:t>
      </w:r>
      <w:r w:rsidRPr="007224C3">
        <w:rPr>
          <w:rFonts w:ascii="Times New Roman" w:hAnsi="Times New Roman" w:cs="Times New Roman"/>
          <w:color w:val="000000" w:themeColor="text1"/>
          <w:sz w:val="16"/>
          <w:szCs w:val="16"/>
        </w:rPr>
        <w:softHyphen/>
        <w:t>ника необходимо было производить не</w:t>
      </w:r>
      <w:r w:rsidRPr="007224C3">
        <w:rPr>
          <w:rFonts w:ascii="Times New Roman" w:hAnsi="Times New Roman" w:cs="Times New Roman"/>
          <w:color w:val="000000" w:themeColor="text1"/>
          <w:sz w:val="16"/>
          <w:szCs w:val="16"/>
        </w:rPr>
        <w:softHyphen/>
        <w:t>полную разборку пушки. Регулировочное приспособление пушек было выполнено неудачно - «при снятии пушки с самолета нарушается пристрелка». Легкосъемные замки крышек лючков пулеметов в ходе эксплуатации быстро деформировались. Как следствие, открывание и закрывание лючков становилось затруднительным. Обтекатели пушек оказались недостаточ</w:t>
      </w:r>
      <w:r w:rsidRPr="007224C3">
        <w:rPr>
          <w:rFonts w:ascii="Times New Roman" w:hAnsi="Times New Roman" w:cs="Times New Roman"/>
          <w:color w:val="000000" w:themeColor="text1"/>
          <w:sz w:val="16"/>
          <w:szCs w:val="16"/>
        </w:rPr>
        <w:softHyphen/>
        <w:t>но жесткими и при резком выводе из пики</w:t>
      </w:r>
      <w:r w:rsidRPr="007224C3">
        <w:rPr>
          <w:rFonts w:ascii="Times New Roman" w:hAnsi="Times New Roman" w:cs="Times New Roman"/>
          <w:color w:val="000000" w:themeColor="text1"/>
          <w:sz w:val="16"/>
          <w:szCs w:val="16"/>
        </w:rPr>
        <w:softHyphen/>
        <w:t>рования деформировались. Так, старший лейтенант Поминальный 12 декабря при пикировании под углом 55° на выходе из пикирования создал перегрузку близкой к 3 единицам и обтекатели пушек дефор</w:t>
      </w:r>
      <w:r w:rsidRPr="007224C3">
        <w:rPr>
          <w:rFonts w:ascii="Times New Roman" w:hAnsi="Times New Roman" w:cs="Times New Roman"/>
          <w:color w:val="000000" w:themeColor="text1"/>
          <w:sz w:val="16"/>
          <w:szCs w:val="16"/>
        </w:rPr>
        <w:softHyphen/>
        <w:t>мировались.</w:t>
      </w:r>
    </w:p>
    <w:p w14:paraId="15220C61"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Сравнение летно-боевых качеств «Харрикейн» 1Ю с советскими истребите</w:t>
      </w:r>
      <w:r w:rsidRPr="007224C3">
        <w:rPr>
          <w:rFonts w:ascii="Times New Roman" w:hAnsi="Times New Roman" w:cs="Times New Roman"/>
          <w:color w:val="000000" w:themeColor="text1"/>
          <w:sz w:val="16"/>
          <w:szCs w:val="16"/>
        </w:rPr>
        <w:softHyphen/>
        <w:t>лями Як-9т, ЛаГГ-3 и штурмовиком Ил-2, вооруженных пушками калибра 37 мм НС- 37, оказалось не в пользу «англичанина».</w:t>
      </w:r>
    </w:p>
    <w:p w14:paraId="564196C4"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Отмечалось, что «пушка Виккерс 5 калибра 40 мм по темпу стрельбы и на</w:t>
      </w:r>
      <w:r w:rsidRPr="007224C3">
        <w:rPr>
          <w:rFonts w:ascii="Times New Roman" w:hAnsi="Times New Roman" w:cs="Times New Roman"/>
          <w:color w:val="000000" w:themeColor="text1"/>
          <w:sz w:val="16"/>
          <w:szCs w:val="16"/>
        </w:rPr>
        <w:softHyphen/>
        <w:t>чальной скорости снаряда стоит ниже современных систем авиационных авто</w:t>
      </w:r>
      <w:r w:rsidRPr="007224C3">
        <w:rPr>
          <w:rFonts w:ascii="Times New Roman" w:hAnsi="Times New Roman" w:cs="Times New Roman"/>
          <w:color w:val="000000" w:themeColor="text1"/>
          <w:sz w:val="16"/>
          <w:szCs w:val="16"/>
        </w:rPr>
        <w:softHyphen/>
        <w:t>матических пушек и значительно ниже от</w:t>
      </w:r>
      <w:r w:rsidRPr="007224C3">
        <w:rPr>
          <w:rFonts w:ascii="Times New Roman" w:hAnsi="Times New Roman" w:cs="Times New Roman"/>
          <w:color w:val="000000" w:themeColor="text1"/>
          <w:sz w:val="16"/>
          <w:szCs w:val="16"/>
        </w:rPr>
        <w:softHyphen/>
        <w:t>ечественной 37-мм пушки НС-37 ОКБ-16». Пушка имеет большой относительный вес. Коэффициент использования металла по отношению к дульной мощности (показа</w:t>
      </w:r>
      <w:r w:rsidRPr="007224C3">
        <w:rPr>
          <w:rFonts w:ascii="Times New Roman" w:hAnsi="Times New Roman" w:cs="Times New Roman"/>
          <w:color w:val="000000" w:themeColor="text1"/>
          <w:sz w:val="16"/>
          <w:szCs w:val="16"/>
        </w:rPr>
        <w:softHyphen/>
        <w:t>тель качества оружия) у Виккерс 5 в 1,35 раза меньше, чем у американской 37-мм пушки М-4, в 3,5 раза меньше, чем у НС-37 и в 4 раза меньше, чем у НС-45.</w:t>
      </w:r>
    </w:p>
    <w:tbl>
      <w:tblPr>
        <w:tblW w:w="0" w:type="auto"/>
        <w:tblLayout w:type="fixed"/>
        <w:tblCellMar>
          <w:left w:w="10" w:type="dxa"/>
          <w:right w:w="10" w:type="dxa"/>
        </w:tblCellMar>
        <w:tblLook w:val="04A0" w:firstRow="1" w:lastRow="0" w:firstColumn="1" w:lastColumn="0" w:noHBand="0" w:noVBand="1"/>
      </w:tblPr>
      <w:tblGrid>
        <w:gridCol w:w="1867"/>
        <w:gridCol w:w="686"/>
        <w:gridCol w:w="883"/>
        <w:gridCol w:w="610"/>
        <w:gridCol w:w="686"/>
        <w:gridCol w:w="547"/>
        <w:gridCol w:w="691"/>
        <w:gridCol w:w="706"/>
      </w:tblGrid>
      <w:tr w:rsidR="005106D0" w:rsidRPr="007224C3" w14:paraId="729CC9AB" w14:textId="77777777" w:rsidTr="00903E13">
        <w:trPr>
          <w:trHeight w:val="206"/>
        </w:trPr>
        <w:tc>
          <w:tcPr>
            <w:tcW w:w="1867" w:type="dxa"/>
            <w:tcBorders>
              <w:top w:val="single" w:sz="4" w:space="0" w:color="auto"/>
              <w:left w:val="single" w:sz="4" w:space="0" w:color="auto"/>
              <w:bottom w:val="single" w:sz="4" w:space="0" w:color="auto"/>
              <w:right w:val="single" w:sz="4" w:space="0" w:color="auto"/>
            </w:tcBorders>
            <w:shd w:val="clear" w:color="auto" w:fill="FFFFFF"/>
          </w:tcPr>
          <w:p w14:paraId="2D41B984" w14:textId="77777777" w:rsidR="00903E13" w:rsidRPr="007224C3" w:rsidRDefault="00903E13" w:rsidP="007224C3">
            <w:pPr>
              <w:pStyle w:val="45"/>
              <w:shd w:val="clear" w:color="auto" w:fill="auto"/>
              <w:spacing w:before="0" w:line="240" w:lineRule="auto"/>
              <w:jc w:val="both"/>
              <w:rPr>
                <w:rFonts w:ascii="Times New Roman" w:cs="Times New Roman"/>
                <w:color w:val="000000" w:themeColor="text1"/>
                <w:sz w:val="16"/>
                <w:szCs w:val="16"/>
              </w:rPr>
            </w:pPr>
            <w:r w:rsidRPr="007224C3">
              <w:rPr>
                <w:rFonts w:ascii="Times New Roman" w:cs="Times New Roman"/>
                <w:color w:val="000000" w:themeColor="text1"/>
                <w:sz w:val="16"/>
                <w:szCs w:val="16"/>
              </w:rPr>
              <w:t>Калибр, мм</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4D76CE66" w14:textId="77777777" w:rsidR="00903E13" w:rsidRPr="007224C3" w:rsidRDefault="00903E13" w:rsidP="007224C3">
            <w:pPr>
              <w:pStyle w:val="45"/>
              <w:shd w:val="clear" w:color="auto" w:fill="auto"/>
              <w:spacing w:before="0" w:line="240" w:lineRule="auto"/>
              <w:jc w:val="both"/>
              <w:rPr>
                <w:rFonts w:ascii="Times New Roman" w:cs="Times New Roman"/>
                <w:color w:val="000000" w:themeColor="text1"/>
                <w:sz w:val="16"/>
                <w:szCs w:val="16"/>
              </w:rPr>
            </w:pPr>
            <w:r w:rsidRPr="007224C3">
              <w:rPr>
                <w:rFonts w:ascii="Times New Roman" w:cs="Times New Roman"/>
                <w:color w:val="000000" w:themeColor="text1"/>
                <w:sz w:val="16"/>
                <w:szCs w:val="16"/>
              </w:rPr>
              <w:t>45</w:t>
            </w:r>
          </w:p>
        </w:tc>
        <w:tc>
          <w:tcPr>
            <w:tcW w:w="883" w:type="dxa"/>
            <w:tcBorders>
              <w:top w:val="single" w:sz="4" w:space="0" w:color="auto"/>
              <w:left w:val="single" w:sz="4" w:space="0" w:color="auto"/>
              <w:bottom w:val="single" w:sz="4" w:space="0" w:color="auto"/>
              <w:right w:val="single" w:sz="4" w:space="0" w:color="auto"/>
            </w:tcBorders>
            <w:shd w:val="clear" w:color="auto" w:fill="FFFFFF"/>
          </w:tcPr>
          <w:p w14:paraId="61D909E7" w14:textId="77777777" w:rsidR="00903E13" w:rsidRPr="007224C3" w:rsidRDefault="00903E13" w:rsidP="007224C3">
            <w:pPr>
              <w:pStyle w:val="45"/>
              <w:shd w:val="clear" w:color="auto" w:fill="auto"/>
              <w:spacing w:before="0" w:line="240" w:lineRule="auto"/>
              <w:jc w:val="both"/>
              <w:rPr>
                <w:rFonts w:ascii="Times New Roman" w:cs="Times New Roman"/>
                <w:color w:val="000000" w:themeColor="text1"/>
                <w:sz w:val="16"/>
                <w:szCs w:val="16"/>
              </w:rPr>
            </w:pPr>
            <w:r w:rsidRPr="007224C3">
              <w:rPr>
                <w:rFonts w:ascii="Times New Roman" w:cs="Times New Roman"/>
                <w:color w:val="000000" w:themeColor="text1"/>
                <w:sz w:val="16"/>
                <w:szCs w:val="16"/>
              </w:rPr>
              <w:t>40</w:t>
            </w:r>
          </w:p>
        </w:tc>
        <w:tc>
          <w:tcPr>
            <w:tcW w:w="610" w:type="dxa"/>
            <w:tcBorders>
              <w:top w:val="single" w:sz="4" w:space="0" w:color="auto"/>
              <w:left w:val="single" w:sz="4" w:space="0" w:color="auto"/>
              <w:bottom w:val="single" w:sz="4" w:space="0" w:color="auto"/>
              <w:right w:val="single" w:sz="4" w:space="0" w:color="auto"/>
            </w:tcBorders>
            <w:shd w:val="clear" w:color="auto" w:fill="FFFFFF"/>
          </w:tcPr>
          <w:p w14:paraId="5E5DBD81" w14:textId="77777777" w:rsidR="00903E13" w:rsidRPr="007224C3" w:rsidRDefault="00903E13" w:rsidP="007224C3">
            <w:pPr>
              <w:pStyle w:val="45"/>
              <w:shd w:val="clear" w:color="auto" w:fill="auto"/>
              <w:spacing w:before="0" w:line="240" w:lineRule="auto"/>
              <w:jc w:val="both"/>
              <w:rPr>
                <w:rFonts w:ascii="Times New Roman" w:cs="Times New Roman"/>
                <w:color w:val="000000" w:themeColor="text1"/>
                <w:sz w:val="16"/>
                <w:szCs w:val="16"/>
              </w:rPr>
            </w:pPr>
            <w:r w:rsidRPr="007224C3">
              <w:rPr>
                <w:rFonts w:ascii="Times New Roman" w:cs="Times New Roman"/>
                <w:color w:val="000000" w:themeColor="text1"/>
                <w:sz w:val="16"/>
                <w:szCs w:val="16"/>
              </w:rPr>
              <w:t>37</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4D3BEEDB" w14:textId="77777777" w:rsidR="00903E13" w:rsidRPr="007224C3" w:rsidRDefault="00903E13" w:rsidP="007224C3">
            <w:pPr>
              <w:pStyle w:val="45"/>
              <w:shd w:val="clear" w:color="auto" w:fill="auto"/>
              <w:spacing w:before="0" w:line="240" w:lineRule="auto"/>
              <w:jc w:val="both"/>
              <w:rPr>
                <w:rFonts w:ascii="Times New Roman" w:cs="Times New Roman"/>
                <w:color w:val="000000" w:themeColor="text1"/>
                <w:sz w:val="16"/>
                <w:szCs w:val="16"/>
              </w:rPr>
            </w:pPr>
            <w:r w:rsidRPr="007224C3">
              <w:rPr>
                <w:rFonts w:ascii="Times New Roman" w:cs="Times New Roman"/>
                <w:color w:val="000000" w:themeColor="text1"/>
                <w:sz w:val="16"/>
                <w:szCs w:val="16"/>
              </w:rPr>
              <w:t>37</w:t>
            </w:r>
          </w:p>
        </w:tc>
        <w:tc>
          <w:tcPr>
            <w:tcW w:w="547" w:type="dxa"/>
            <w:tcBorders>
              <w:top w:val="single" w:sz="4" w:space="0" w:color="auto"/>
              <w:left w:val="single" w:sz="4" w:space="0" w:color="auto"/>
              <w:bottom w:val="single" w:sz="4" w:space="0" w:color="auto"/>
              <w:right w:val="single" w:sz="4" w:space="0" w:color="auto"/>
            </w:tcBorders>
            <w:shd w:val="clear" w:color="auto" w:fill="FFFFFF"/>
          </w:tcPr>
          <w:p w14:paraId="0F471E1B" w14:textId="77777777" w:rsidR="00903E13" w:rsidRPr="007224C3" w:rsidRDefault="00903E13" w:rsidP="007224C3">
            <w:pPr>
              <w:pStyle w:val="45"/>
              <w:shd w:val="clear" w:color="auto" w:fill="auto"/>
              <w:spacing w:before="0" w:line="240" w:lineRule="auto"/>
              <w:jc w:val="both"/>
              <w:rPr>
                <w:rFonts w:ascii="Times New Roman" w:cs="Times New Roman"/>
                <w:color w:val="000000" w:themeColor="text1"/>
                <w:sz w:val="16"/>
                <w:szCs w:val="16"/>
              </w:rPr>
            </w:pPr>
            <w:r w:rsidRPr="007224C3">
              <w:rPr>
                <w:rFonts w:ascii="Times New Roman" w:cs="Times New Roman"/>
                <w:color w:val="000000" w:themeColor="text1"/>
                <w:sz w:val="16"/>
                <w:szCs w:val="16"/>
              </w:rPr>
              <w:t>23</w:t>
            </w:r>
          </w:p>
        </w:tc>
        <w:tc>
          <w:tcPr>
            <w:tcW w:w="691" w:type="dxa"/>
            <w:tcBorders>
              <w:top w:val="single" w:sz="4" w:space="0" w:color="auto"/>
              <w:left w:val="single" w:sz="4" w:space="0" w:color="auto"/>
              <w:bottom w:val="single" w:sz="4" w:space="0" w:color="auto"/>
              <w:right w:val="single" w:sz="4" w:space="0" w:color="auto"/>
            </w:tcBorders>
            <w:shd w:val="clear" w:color="auto" w:fill="FFFFFF"/>
          </w:tcPr>
          <w:p w14:paraId="365A9D6B" w14:textId="77777777" w:rsidR="00903E13" w:rsidRPr="007224C3" w:rsidRDefault="00903E13" w:rsidP="007224C3">
            <w:pPr>
              <w:pStyle w:val="45"/>
              <w:shd w:val="clear" w:color="auto" w:fill="auto"/>
              <w:spacing w:before="0" w:line="240" w:lineRule="auto"/>
              <w:jc w:val="both"/>
              <w:rPr>
                <w:rFonts w:ascii="Times New Roman" w:cs="Times New Roman"/>
                <w:color w:val="000000" w:themeColor="text1"/>
                <w:sz w:val="16"/>
                <w:szCs w:val="16"/>
              </w:rPr>
            </w:pPr>
            <w:r w:rsidRPr="007224C3">
              <w:rPr>
                <w:rFonts w:ascii="Times New Roman" w:cs="Times New Roman"/>
                <w:color w:val="000000" w:themeColor="text1"/>
                <w:sz w:val="16"/>
                <w:szCs w:val="16"/>
              </w:rPr>
              <w:t>20</w:t>
            </w:r>
          </w:p>
        </w:tc>
        <w:tc>
          <w:tcPr>
            <w:tcW w:w="706" w:type="dxa"/>
            <w:tcBorders>
              <w:top w:val="single" w:sz="4" w:space="0" w:color="auto"/>
              <w:left w:val="single" w:sz="4" w:space="0" w:color="auto"/>
              <w:bottom w:val="single" w:sz="4" w:space="0" w:color="auto"/>
              <w:right w:val="single" w:sz="4" w:space="0" w:color="auto"/>
            </w:tcBorders>
            <w:shd w:val="clear" w:color="auto" w:fill="FFFFFF"/>
          </w:tcPr>
          <w:p w14:paraId="4D55E0C5" w14:textId="77777777" w:rsidR="00903E13" w:rsidRPr="007224C3" w:rsidRDefault="00903E13" w:rsidP="007224C3">
            <w:pPr>
              <w:pStyle w:val="45"/>
              <w:shd w:val="clear" w:color="auto" w:fill="auto"/>
              <w:spacing w:before="0" w:line="240" w:lineRule="auto"/>
              <w:jc w:val="both"/>
              <w:rPr>
                <w:rFonts w:ascii="Times New Roman" w:cs="Times New Roman"/>
                <w:color w:val="000000" w:themeColor="text1"/>
                <w:sz w:val="16"/>
                <w:szCs w:val="16"/>
              </w:rPr>
            </w:pPr>
            <w:r w:rsidRPr="007224C3">
              <w:rPr>
                <w:rFonts w:ascii="Times New Roman" w:cs="Times New Roman"/>
                <w:color w:val="000000" w:themeColor="text1"/>
                <w:sz w:val="16"/>
                <w:szCs w:val="16"/>
              </w:rPr>
              <w:t>20</w:t>
            </w:r>
          </w:p>
        </w:tc>
      </w:tr>
      <w:tr w:rsidR="005106D0" w:rsidRPr="007224C3" w14:paraId="28195BC1" w14:textId="77777777" w:rsidTr="00903E13">
        <w:trPr>
          <w:trHeight w:val="206"/>
        </w:trPr>
        <w:tc>
          <w:tcPr>
            <w:tcW w:w="1867" w:type="dxa"/>
            <w:tcBorders>
              <w:top w:val="single" w:sz="4" w:space="0" w:color="auto"/>
              <w:left w:val="single" w:sz="4" w:space="0" w:color="auto"/>
              <w:bottom w:val="single" w:sz="4" w:space="0" w:color="auto"/>
              <w:right w:val="single" w:sz="4" w:space="0" w:color="auto"/>
            </w:tcBorders>
            <w:shd w:val="clear" w:color="auto" w:fill="FFFFFF"/>
          </w:tcPr>
          <w:p w14:paraId="03F198BD"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Характеристика/тип пушки</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667D48A0"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НС-45</w:t>
            </w:r>
          </w:p>
        </w:tc>
        <w:tc>
          <w:tcPr>
            <w:tcW w:w="883" w:type="dxa"/>
            <w:tcBorders>
              <w:top w:val="single" w:sz="4" w:space="0" w:color="auto"/>
              <w:left w:val="single" w:sz="4" w:space="0" w:color="auto"/>
              <w:bottom w:val="single" w:sz="4" w:space="0" w:color="auto"/>
              <w:right w:val="single" w:sz="4" w:space="0" w:color="auto"/>
            </w:tcBorders>
            <w:shd w:val="clear" w:color="auto" w:fill="FFFFFF"/>
          </w:tcPr>
          <w:p w14:paraId="6F580447"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«Виккерс» 3</w:t>
            </w:r>
          </w:p>
        </w:tc>
        <w:tc>
          <w:tcPr>
            <w:tcW w:w="610" w:type="dxa"/>
            <w:tcBorders>
              <w:top w:val="single" w:sz="4" w:space="0" w:color="auto"/>
              <w:left w:val="single" w:sz="4" w:space="0" w:color="auto"/>
              <w:bottom w:val="single" w:sz="4" w:space="0" w:color="auto"/>
              <w:right w:val="single" w:sz="4" w:space="0" w:color="auto"/>
            </w:tcBorders>
            <w:shd w:val="clear" w:color="auto" w:fill="FFFFFF"/>
          </w:tcPr>
          <w:p w14:paraId="1EA9160D"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М4</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57BFA6BF"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НС-37</w:t>
            </w:r>
          </w:p>
        </w:tc>
        <w:tc>
          <w:tcPr>
            <w:tcW w:w="547" w:type="dxa"/>
            <w:tcBorders>
              <w:top w:val="single" w:sz="4" w:space="0" w:color="auto"/>
              <w:left w:val="single" w:sz="4" w:space="0" w:color="auto"/>
              <w:bottom w:val="single" w:sz="4" w:space="0" w:color="auto"/>
              <w:right w:val="single" w:sz="4" w:space="0" w:color="auto"/>
            </w:tcBorders>
            <w:shd w:val="clear" w:color="auto" w:fill="FFFFFF"/>
          </w:tcPr>
          <w:p w14:paraId="6E6CC5CD"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вя</w:t>
            </w:r>
          </w:p>
        </w:tc>
        <w:tc>
          <w:tcPr>
            <w:tcW w:w="691" w:type="dxa"/>
            <w:tcBorders>
              <w:top w:val="single" w:sz="4" w:space="0" w:color="auto"/>
              <w:left w:val="single" w:sz="4" w:space="0" w:color="auto"/>
              <w:bottom w:val="single" w:sz="4" w:space="0" w:color="auto"/>
              <w:right w:val="single" w:sz="4" w:space="0" w:color="auto"/>
            </w:tcBorders>
            <w:shd w:val="clear" w:color="auto" w:fill="FFFFFF"/>
          </w:tcPr>
          <w:p w14:paraId="5DED3033"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«Испано»</w:t>
            </w:r>
          </w:p>
        </w:tc>
        <w:tc>
          <w:tcPr>
            <w:tcW w:w="706" w:type="dxa"/>
            <w:tcBorders>
              <w:top w:val="single" w:sz="4" w:space="0" w:color="auto"/>
              <w:left w:val="single" w:sz="4" w:space="0" w:color="auto"/>
              <w:bottom w:val="single" w:sz="4" w:space="0" w:color="auto"/>
              <w:right w:val="single" w:sz="4" w:space="0" w:color="auto"/>
            </w:tcBorders>
            <w:shd w:val="clear" w:color="auto" w:fill="FFFFFF"/>
          </w:tcPr>
          <w:p w14:paraId="6F5EEF90"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МП-20</w:t>
            </w:r>
          </w:p>
        </w:tc>
      </w:tr>
      <w:tr w:rsidR="005106D0" w:rsidRPr="007224C3" w14:paraId="7ABF2564" w14:textId="77777777" w:rsidTr="00903E13">
        <w:trPr>
          <w:trHeight w:val="600"/>
        </w:trPr>
        <w:tc>
          <w:tcPr>
            <w:tcW w:w="1867" w:type="dxa"/>
            <w:tcBorders>
              <w:top w:val="single" w:sz="4" w:space="0" w:color="auto"/>
              <w:left w:val="single" w:sz="4" w:space="0" w:color="auto"/>
              <w:bottom w:val="single" w:sz="4" w:space="0" w:color="auto"/>
              <w:right w:val="single" w:sz="4" w:space="0" w:color="auto"/>
            </w:tcBorders>
            <w:shd w:val="clear" w:color="auto" w:fill="FFFFFF"/>
          </w:tcPr>
          <w:p w14:paraId="6FE1B914"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Бронепробиваемость, толщина/300 м/ 0 град (мм/м/град)</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4186166C"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43,3</w:t>
            </w:r>
          </w:p>
        </w:tc>
        <w:tc>
          <w:tcPr>
            <w:tcW w:w="883" w:type="dxa"/>
            <w:tcBorders>
              <w:top w:val="single" w:sz="4" w:space="0" w:color="auto"/>
              <w:left w:val="single" w:sz="4" w:space="0" w:color="auto"/>
              <w:bottom w:val="single" w:sz="4" w:space="0" w:color="auto"/>
              <w:right w:val="single" w:sz="4" w:space="0" w:color="auto"/>
            </w:tcBorders>
            <w:shd w:val="clear" w:color="auto" w:fill="FFFFFF"/>
          </w:tcPr>
          <w:p w14:paraId="50170546"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39,5</w:t>
            </w:r>
          </w:p>
        </w:tc>
        <w:tc>
          <w:tcPr>
            <w:tcW w:w="610" w:type="dxa"/>
            <w:tcBorders>
              <w:top w:val="single" w:sz="4" w:space="0" w:color="auto"/>
              <w:left w:val="single" w:sz="4" w:space="0" w:color="auto"/>
              <w:bottom w:val="single" w:sz="4" w:space="0" w:color="auto"/>
              <w:right w:val="single" w:sz="4" w:space="0" w:color="auto"/>
            </w:tcBorders>
            <w:shd w:val="clear" w:color="auto" w:fill="FFFFFF"/>
          </w:tcPr>
          <w:p w14:paraId="1E3238AE"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41</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07B5346B"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48,3</w:t>
            </w:r>
          </w:p>
        </w:tc>
        <w:tc>
          <w:tcPr>
            <w:tcW w:w="547" w:type="dxa"/>
            <w:tcBorders>
              <w:top w:val="single" w:sz="4" w:space="0" w:color="auto"/>
              <w:left w:val="single" w:sz="4" w:space="0" w:color="auto"/>
              <w:bottom w:val="single" w:sz="4" w:space="0" w:color="auto"/>
              <w:right w:val="single" w:sz="4" w:space="0" w:color="auto"/>
            </w:tcBorders>
            <w:shd w:val="clear" w:color="auto" w:fill="FFFFFF"/>
          </w:tcPr>
          <w:p w14:paraId="4DA8B21B"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32,5</w:t>
            </w:r>
          </w:p>
        </w:tc>
        <w:tc>
          <w:tcPr>
            <w:tcW w:w="691" w:type="dxa"/>
            <w:tcBorders>
              <w:top w:val="single" w:sz="4" w:space="0" w:color="auto"/>
              <w:left w:val="single" w:sz="4" w:space="0" w:color="auto"/>
              <w:bottom w:val="single" w:sz="4" w:space="0" w:color="auto"/>
              <w:right w:val="single" w:sz="4" w:space="0" w:color="auto"/>
            </w:tcBorders>
            <w:shd w:val="clear" w:color="auto" w:fill="FFFFFF"/>
          </w:tcPr>
          <w:p w14:paraId="5BC5895A"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28,5</w:t>
            </w:r>
          </w:p>
        </w:tc>
        <w:tc>
          <w:tcPr>
            <w:tcW w:w="706" w:type="dxa"/>
            <w:tcBorders>
              <w:top w:val="single" w:sz="4" w:space="0" w:color="auto"/>
              <w:left w:val="single" w:sz="4" w:space="0" w:color="auto"/>
              <w:bottom w:val="single" w:sz="4" w:space="0" w:color="auto"/>
              <w:right w:val="single" w:sz="4" w:space="0" w:color="auto"/>
            </w:tcBorders>
            <w:shd w:val="clear" w:color="auto" w:fill="FFFFFF"/>
          </w:tcPr>
          <w:p w14:paraId="44332FD7"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19</w:t>
            </w:r>
          </w:p>
        </w:tc>
      </w:tr>
    </w:tbl>
    <w:p w14:paraId="120A68D0"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lastRenderedPageBreak/>
        <w:t>Несмотря на больший калибр, броне- пробиваемость английской пушки оказа</w:t>
      </w:r>
      <w:r w:rsidRPr="007224C3">
        <w:rPr>
          <w:rFonts w:ascii="Times New Roman" w:hAnsi="Times New Roman" w:cs="Times New Roman"/>
          <w:color w:val="000000" w:themeColor="text1"/>
          <w:sz w:val="16"/>
          <w:szCs w:val="16"/>
        </w:rPr>
        <w:softHyphen/>
        <w:t>лась хуже отечественной пушки калибра 37 мм НС-37. С дистанции 300 м броне</w:t>
      </w:r>
      <w:r w:rsidRPr="007224C3">
        <w:rPr>
          <w:rFonts w:ascii="Times New Roman" w:hAnsi="Times New Roman" w:cs="Times New Roman"/>
          <w:color w:val="000000" w:themeColor="text1"/>
          <w:sz w:val="16"/>
          <w:szCs w:val="16"/>
        </w:rPr>
        <w:softHyphen/>
        <w:t>бойный снаряд к пушке НС-37 пробивал при нормальном попадании до 48,3 мм гомогенной танковой брони, тогда как бронебойный снаряд к пушке Виккерс 5 - только 38-41 мм.</w:t>
      </w:r>
    </w:p>
    <w:p w14:paraId="3463B43A"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Советские истребители Як-9т и ЛаГГ- 3, хотя и имели несколько меньший вес се</w:t>
      </w:r>
      <w:r w:rsidRPr="007224C3">
        <w:rPr>
          <w:rFonts w:ascii="Times New Roman" w:hAnsi="Times New Roman" w:cs="Times New Roman"/>
          <w:color w:val="000000" w:themeColor="text1"/>
          <w:sz w:val="16"/>
          <w:szCs w:val="16"/>
        </w:rPr>
        <w:softHyphen/>
        <w:t>кундного залпа, но заметно превосходили английский истребитель танков по летным данным.</w:t>
      </w:r>
    </w:p>
    <w:p w14:paraId="7005E58A"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Наступательное стрелково-пушечное вооружение Ил-2 по сравнению с оружи</w:t>
      </w:r>
      <w:r w:rsidRPr="007224C3">
        <w:rPr>
          <w:rFonts w:ascii="Times New Roman" w:hAnsi="Times New Roman" w:cs="Times New Roman"/>
          <w:color w:val="000000" w:themeColor="text1"/>
          <w:sz w:val="16"/>
          <w:szCs w:val="16"/>
        </w:rPr>
        <w:softHyphen/>
        <w:t>ем «Харрикейн» 1Ю имело почти в 1,5 раза больший вес секундного залпа. При этом боекомплект к пушкам у Ил-2 по времени непрерывной стрельбы был также больше. Если принять во внимание значительно лучшее бронирование самолета Ил-2, на</w:t>
      </w:r>
      <w:r w:rsidRPr="007224C3">
        <w:rPr>
          <w:rFonts w:ascii="Times New Roman" w:hAnsi="Times New Roman" w:cs="Times New Roman"/>
          <w:color w:val="000000" w:themeColor="text1"/>
          <w:sz w:val="16"/>
          <w:szCs w:val="16"/>
        </w:rPr>
        <w:softHyphen/>
        <w:t>личие обороны задней полусферы и бом</w:t>
      </w:r>
      <w:r w:rsidRPr="007224C3">
        <w:rPr>
          <w:rFonts w:ascii="Times New Roman" w:hAnsi="Times New Roman" w:cs="Times New Roman"/>
          <w:color w:val="000000" w:themeColor="text1"/>
          <w:sz w:val="16"/>
          <w:szCs w:val="16"/>
        </w:rPr>
        <w:softHyphen/>
        <w:t>бового вооружения, то преимущество его системы вооружения считались несомнен</w:t>
      </w:r>
      <w:r w:rsidRPr="007224C3">
        <w:rPr>
          <w:rFonts w:ascii="Times New Roman" w:hAnsi="Times New Roman" w:cs="Times New Roman"/>
          <w:color w:val="000000" w:themeColor="text1"/>
          <w:sz w:val="16"/>
          <w:szCs w:val="16"/>
        </w:rPr>
        <w:softHyphen/>
        <w:t>ными.</w:t>
      </w:r>
    </w:p>
    <w:p w14:paraId="2D43E27C"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Зато у «Харрикейна» было другое пре</w:t>
      </w:r>
      <w:r w:rsidRPr="007224C3">
        <w:rPr>
          <w:rFonts w:ascii="Times New Roman" w:hAnsi="Times New Roman" w:cs="Times New Roman"/>
          <w:color w:val="000000" w:themeColor="text1"/>
          <w:sz w:val="16"/>
          <w:szCs w:val="16"/>
        </w:rPr>
        <w:softHyphen/>
        <w:t>имущество. Рассеивание нескольких оче</w:t>
      </w:r>
      <w:r w:rsidRPr="007224C3">
        <w:rPr>
          <w:rFonts w:ascii="Times New Roman" w:hAnsi="Times New Roman" w:cs="Times New Roman"/>
          <w:color w:val="000000" w:themeColor="text1"/>
          <w:sz w:val="16"/>
          <w:szCs w:val="16"/>
        </w:rPr>
        <w:softHyphen/>
        <w:t>редей при стрельбе в воздухе из пушек по полотнищам, расположенным на земле, у самолета «Харрикейн» оказалось при</w:t>
      </w:r>
      <w:r w:rsidRPr="007224C3">
        <w:rPr>
          <w:rFonts w:ascii="Times New Roman" w:hAnsi="Times New Roman" w:cs="Times New Roman"/>
          <w:color w:val="000000" w:themeColor="text1"/>
          <w:sz w:val="16"/>
          <w:szCs w:val="16"/>
        </w:rPr>
        <w:softHyphen/>
        <w:t>мерно в 2-2,5 раза меньше, чем у само</w:t>
      </w:r>
      <w:r w:rsidRPr="007224C3">
        <w:rPr>
          <w:rFonts w:ascii="Times New Roman" w:hAnsi="Times New Roman" w:cs="Times New Roman"/>
          <w:color w:val="000000" w:themeColor="text1"/>
          <w:sz w:val="16"/>
          <w:szCs w:val="16"/>
        </w:rPr>
        <w:softHyphen/>
        <w:t>летов ЛаГГ-3 и Як-9т с пушкой НС-37, и в 6-6,5 раз меньше, чем у самолета Ил-2 с пушками НС-37. Смещение центров груп</w:t>
      </w:r>
      <w:r w:rsidRPr="007224C3">
        <w:rPr>
          <w:rFonts w:ascii="Times New Roman" w:hAnsi="Times New Roman" w:cs="Times New Roman"/>
          <w:color w:val="000000" w:themeColor="text1"/>
          <w:sz w:val="16"/>
          <w:szCs w:val="16"/>
        </w:rPr>
        <w:softHyphen/>
        <w:t>пирования попаданий по отношению точки наводки прицела у самолета «Харрикейн» меньше, чем у Ил-2 с НС-37 примерно в 4-11 раз меньше.</w:t>
      </w:r>
    </w:p>
    <w:p w14:paraId="2054728F"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Рассеивание при стрельбе в воздухе из пушек у самолета «Харрикейн» 1Ю, по сравнению с рассеиванием при стрельбе на земле, возрастало в 10-18 раз, а у само</w:t>
      </w:r>
      <w:r w:rsidRPr="007224C3">
        <w:rPr>
          <w:rFonts w:ascii="Times New Roman" w:hAnsi="Times New Roman" w:cs="Times New Roman"/>
          <w:color w:val="000000" w:themeColor="text1"/>
          <w:sz w:val="16"/>
          <w:szCs w:val="16"/>
        </w:rPr>
        <w:softHyphen/>
        <w:t>лета Ил-2 - в 30-100 раз. Следовательно, ведение прицельного огня в воздухе с самолета «Харрикейн» 1Ю «значительно удобнее и точнее, чем со сравниваемыми отечественными самолетами».к правому пулемету, который имел «не</w:t>
      </w:r>
      <w:r w:rsidRPr="007224C3">
        <w:rPr>
          <w:rFonts w:ascii="Times New Roman" w:hAnsi="Times New Roman" w:cs="Times New Roman"/>
          <w:color w:val="000000" w:themeColor="text1"/>
          <w:sz w:val="16"/>
          <w:szCs w:val="16"/>
        </w:rPr>
        <w:softHyphen/>
        <w:t>устранимый дефект - тугой ход подвиж</w:t>
      </w:r>
      <w:r w:rsidRPr="007224C3">
        <w:rPr>
          <w:rFonts w:ascii="Times New Roman" w:hAnsi="Times New Roman" w:cs="Times New Roman"/>
          <w:color w:val="000000" w:themeColor="text1"/>
          <w:sz w:val="16"/>
          <w:szCs w:val="16"/>
        </w:rPr>
        <w:softHyphen/>
        <w:t>ных частей, не зависящий от конструкции оружия».</w:t>
      </w:r>
    </w:p>
    <w:p w14:paraId="62BBA4AD"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По вине пушечной установки задержек не было вовсе. Пневмосистема и электроп</w:t>
      </w:r>
      <w:r w:rsidRPr="007224C3">
        <w:rPr>
          <w:rFonts w:ascii="Times New Roman" w:hAnsi="Times New Roman" w:cs="Times New Roman"/>
          <w:color w:val="000000" w:themeColor="text1"/>
          <w:sz w:val="16"/>
          <w:szCs w:val="16"/>
        </w:rPr>
        <w:softHyphen/>
        <w:t>невматическое управление вооружением работали надежно и безотказно.</w:t>
      </w:r>
    </w:p>
    <w:p w14:paraId="53A95AB0"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Имелись и недостатки. Пушки было трудно снаряжать - «стеснен подход к ру</w:t>
      </w:r>
      <w:r w:rsidRPr="007224C3">
        <w:rPr>
          <w:rFonts w:ascii="Times New Roman" w:hAnsi="Times New Roman" w:cs="Times New Roman"/>
          <w:color w:val="000000" w:themeColor="text1"/>
          <w:sz w:val="16"/>
          <w:szCs w:val="16"/>
        </w:rPr>
        <w:softHyphen/>
        <w:t>коятке магазина при заряжании, особенно при зимней эксплуатации». Конструкция защелок, фиксирующих положение руко</w:t>
      </w:r>
      <w:r w:rsidRPr="007224C3">
        <w:rPr>
          <w:rFonts w:ascii="Times New Roman" w:hAnsi="Times New Roman" w:cs="Times New Roman"/>
          <w:color w:val="000000" w:themeColor="text1"/>
          <w:sz w:val="16"/>
          <w:szCs w:val="16"/>
        </w:rPr>
        <w:softHyphen/>
        <w:t>ятки магазина, оказалась неудачной и не</w:t>
      </w:r>
      <w:r w:rsidRPr="007224C3">
        <w:rPr>
          <w:rFonts w:ascii="Times New Roman" w:hAnsi="Times New Roman" w:cs="Times New Roman"/>
          <w:color w:val="000000" w:themeColor="text1"/>
          <w:sz w:val="16"/>
          <w:szCs w:val="16"/>
        </w:rPr>
        <w:softHyphen/>
        <w:t>прочной. Окно магазина пушки распола</w:t>
      </w:r>
      <w:r w:rsidRPr="007224C3">
        <w:rPr>
          <w:rFonts w:ascii="Times New Roman" w:hAnsi="Times New Roman" w:cs="Times New Roman"/>
          <w:color w:val="000000" w:themeColor="text1"/>
          <w:sz w:val="16"/>
          <w:szCs w:val="16"/>
        </w:rPr>
        <w:softHyphen/>
        <w:t>галось крайне неудобно, что затрудняло работу при снаряжении магазина патро</w:t>
      </w:r>
      <w:r w:rsidRPr="007224C3">
        <w:rPr>
          <w:rFonts w:ascii="Times New Roman" w:hAnsi="Times New Roman" w:cs="Times New Roman"/>
          <w:color w:val="000000" w:themeColor="text1"/>
          <w:sz w:val="16"/>
          <w:szCs w:val="16"/>
        </w:rPr>
        <w:softHyphen/>
        <w:t>нами. К тому же можно было повредить руки. Гильзоотводное окно имело разме</w:t>
      </w:r>
      <w:r w:rsidRPr="007224C3">
        <w:rPr>
          <w:rFonts w:ascii="Times New Roman" w:hAnsi="Times New Roman" w:cs="Times New Roman"/>
          <w:color w:val="000000" w:themeColor="text1"/>
          <w:sz w:val="16"/>
          <w:szCs w:val="16"/>
        </w:rPr>
        <w:softHyphen/>
        <w:t>ры ровно под размер гильзы, поэтому для извлечения гильзы или снаряда из патрон</w:t>
      </w:r>
      <w:r w:rsidRPr="007224C3">
        <w:rPr>
          <w:rFonts w:ascii="Times New Roman" w:hAnsi="Times New Roman" w:cs="Times New Roman"/>
          <w:color w:val="000000" w:themeColor="text1"/>
          <w:sz w:val="16"/>
          <w:szCs w:val="16"/>
        </w:rPr>
        <w:softHyphen/>
        <w:t>ника необходимо было производить не</w:t>
      </w:r>
      <w:r w:rsidRPr="007224C3">
        <w:rPr>
          <w:rFonts w:ascii="Times New Roman" w:hAnsi="Times New Roman" w:cs="Times New Roman"/>
          <w:color w:val="000000" w:themeColor="text1"/>
          <w:sz w:val="16"/>
          <w:szCs w:val="16"/>
        </w:rPr>
        <w:softHyphen/>
        <w:t>полную разборку пушки. Регулировочное приспособление пушек было выполнено неудачно - «при снятии пушки с самолета нарушается пристрелка». Легкосъемные замки крышек лючков пулеметов в ходе эксплуатации быстро деформировались. Как следствие, открывание и закрывание лючков становилось затруднительным. Обтекатели пушек оказались недостаточ</w:t>
      </w:r>
      <w:r w:rsidRPr="007224C3">
        <w:rPr>
          <w:rFonts w:ascii="Times New Roman" w:hAnsi="Times New Roman" w:cs="Times New Roman"/>
          <w:color w:val="000000" w:themeColor="text1"/>
          <w:sz w:val="16"/>
          <w:szCs w:val="16"/>
        </w:rPr>
        <w:softHyphen/>
        <w:t>но жесткими и при резком выводе из пики</w:t>
      </w:r>
      <w:r w:rsidRPr="007224C3">
        <w:rPr>
          <w:rFonts w:ascii="Times New Roman" w:hAnsi="Times New Roman" w:cs="Times New Roman"/>
          <w:color w:val="000000" w:themeColor="text1"/>
          <w:sz w:val="16"/>
          <w:szCs w:val="16"/>
        </w:rPr>
        <w:softHyphen/>
        <w:t>рования деформировались. Так, старший лейтенант Поминальный 12 декабря при пикировании под углом 55" на выходе из пикирования создал перегрузку близкой к 3 единицам и обтекатели пушек дефор</w:t>
      </w:r>
      <w:r w:rsidRPr="007224C3">
        <w:rPr>
          <w:rFonts w:ascii="Times New Roman" w:hAnsi="Times New Roman" w:cs="Times New Roman"/>
          <w:color w:val="000000" w:themeColor="text1"/>
          <w:sz w:val="16"/>
          <w:szCs w:val="16"/>
        </w:rPr>
        <w:softHyphen/>
        <w:t>мировались.</w:t>
      </w:r>
    </w:p>
    <w:p w14:paraId="2308E39D"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Сравнение летно-боевых качеств «Харрикейн» 1Ю с советскими истребите</w:t>
      </w:r>
      <w:r w:rsidRPr="007224C3">
        <w:rPr>
          <w:rFonts w:ascii="Times New Roman" w:hAnsi="Times New Roman" w:cs="Times New Roman"/>
          <w:color w:val="000000" w:themeColor="text1"/>
          <w:sz w:val="16"/>
          <w:szCs w:val="16"/>
        </w:rPr>
        <w:softHyphen/>
        <w:t>лями Як-9т, ЛаГГ-3 и штурмовиком Ил-2, вооруженных пушками калибра 37 мм НС- 37, оказалось не в пользу «англичанина».</w:t>
      </w:r>
    </w:p>
    <w:p w14:paraId="2710B110"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Отмечалось, что «пушка Виккерс 3 калибра 40 мм по темпу стрельбы и на</w:t>
      </w:r>
      <w:r w:rsidRPr="007224C3">
        <w:rPr>
          <w:rFonts w:ascii="Times New Roman" w:hAnsi="Times New Roman" w:cs="Times New Roman"/>
          <w:color w:val="000000" w:themeColor="text1"/>
          <w:sz w:val="16"/>
          <w:szCs w:val="16"/>
        </w:rPr>
        <w:softHyphen/>
        <w:t>чальной скорости снаряда стоит ниже современных систем авиационных авто</w:t>
      </w:r>
      <w:r w:rsidRPr="007224C3">
        <w:rPr>
          <w:rFonts w:ascii="Times New Roman" w:hAnsi="Times New Roman" w:cs="Times New Roman"/>
          <w:color w:val="000000" w:themeColor="text1"/>
          <w:sz w:val="16"/>
          <w:szCs w:val="16"/>
        </w:rPr>
        <w:softHyphen/>
        <w:t>матических пушек и значительно ниже от</w:t>
      </w:r>
      <w:r w:rsidRPr="007224C3">
        <w:rPr>
          <w:rFonts w:ascii="Times New Roman" w:hAnsi="Times New Roman" w:cs="Times New Roman"/>
          <w:color w:val="000000" w:themeColor="text1"/>
          <w:sz w:val="16"/>
          <w:szCs w:val="16"/>
        </w:rPr>
        <w:softHyphen/>
        <w:t>ечественной 37-мм пушки НС-37 ОКБ-16». Пушка имеет большой относительный вес. Коэффициент использования металла по отношению к дульной мощности (показа</w:t>
      </w:r>
      <w:r w:rsidRPr="007224C3">
        <w:rPr>
          <w:rFonts w:ascii="Times New Roman" w:hAnsi="Times New Roman" w:cs="Times New Roman"/>
          <w:color w:val="000000" w:themeColor="text1"/>
          <w:sz w:val="16"/>
          <w:szCs w:val="16"/>
        </w:rPr>
        <w:softHyphen/>
        <w:t>тель качества оружия) у Виккерс 5 в 1,35 раза меньше, чем у американской 37-мм пушки М-4, в 3,5 раза меньше, чем у НС-37 и в 4 раза меньше, чем у НС-45.</w:t>
      </w:r>
    </w:p>
    <w:p w14:paraId="4665810A" w14:textId="77777777" w:rsidR="00903E13" w:rsidRPr="007224C3" w:rsidRDefault="00903E13" w:rsidP="007224C3">
      <w:pPr>
        <w:pStyle w:val="aff2"/>
        <w:shd w:val="clear" w:color="auto" w:fill="auto"/>
        <w:spacing w:line="240" w:lineRule="auto"/>
        <w:rPr>
          <w:rFonts w:ascii="Times New Roman" w:hAnsi="Times New Roman" w:cs="Times New Roman"/>
          <w:i w:val="0"/>
          <w:color w:val="000000" w:themeColor="text1"/>
          <w:sz w:val="16"/>
          <w:szCs w:val="16"/>
          <w:lang w:val="ru-RU"/>
        </w:rPr>
      </w:pPr>
      <w:r w:rsidRPr="007224C3">
        <w:rPr>
          <w:rFonts w:ascii="Times New Roman" w:hAnsi="Times New Roman" w:cs="Times New Roman"/>
          <w:i w:val="0"/>
          <w:color w:val="000000" w:themeColor="text1"/>
          <w:sz w:val="16"/>
          <w:szCs w:val="16"/>
          <w:lang w:val="ru-RU"/>
        </w:rPr>
        <w:t>Деформация обтекателей правой и левой пушек после пикирования и резкого вывода 19.12.43 (старший лейтенант Поминальный)</w:t>
      </w:r>
    </w:p>
    <w:tbl>
      <w:tblPr>
        <w:tblW w:w="0" w:type="auto"/>
        <w:tblLayout w:type="fixed"/>
        <w:tblCellMar>
          <w:left w:w="10" w:type="dxa"/>
          <w:right w:w="10" w:type="dxa"/>
        </w:tblCellMar>
        <w:tblLook w:val="04A0" w:firstRow="1" w:lastRow="0" w:firstColumn="1" w:lastColumn="0" w:noHBand="0" w:noVBand="1"/>
      </w:tblPr>
      <w:tblGrid>
        <w:gridCol w:w="1867"/>
        <w:gridCol w:w="686"/>
        <w:gridCol w:w="883"/>
        <w:gridCol w:w="610"/>
        <w:gridCol w:w="686"/>
        <w:gridCol w:w="547"/>
        <w:gridCol w:w="691"/>
        <w:gridCol w:w="706"/>
      </w:tblGrid>
      <w:tr w:rsidR="005106D0" w:rsidRPr="007224C3" w14:paraId="190058F7" w14:textId="77777777" w:rsidTr="00903E13">
        <w:trPr>
          <w:trHeight w:val="206"/>
        </w:trPr>
        <w:tc>
          <w:tcPr>
            <w:tcW w:w="1867" w:type="dxa"/>
            <w:tcBorders>
              <w:top w:val="single" w:sz="4" w:space="0" w:color="auto"/>
              <w:left w:val="single" w:sz="4" w:space="0" w:color="auto"/>
              <w:bottom w:val="single" w:sz="4" w:space="0" w:color="auto"/>
              <w:right w:val="single" w:sz="4" w:space="0" w:color="auto"/>
            </w:tcBorders>
            <w:shd w:val="clear" w:color="auto" w:fill="FFFFFF"/>
          </w:tcPr>
          <w:p w14:paraId="3F142863" w14:textId="77777777" w:rsidR="00903E13" w:rsidRPr="007224C3" w:rsidRDefault="00903E13" w:rsidP="007224C3">
            <w:pPr>
              <w:pStyle w:val="45"/>
              <w:shd w:val="clear" w:color="auto" w:fill="auto"/>
              <w:spacing w:before="0" w:line="240" w:lineRule="auto"/>
              <w:jc w:val="both"/>
              <w:rPr>
                <w:rFonts w:ascii="Times New Roman" w:cs="Times New Roman"/>
                <w:color w:val="000000" w:themeColor="text1"/>
                <w:sz w:val="16"/>
                <w:szCs w:val="16"/>
              </w:rPr>
            </w:pPr>
            <w:r w:rsidRPr="007224C3">
              <w:rPr>
                <w:rFonts w:ascii="Times New Roman" w:cs="Times New Roman"/>
                <w:color w:val="000000" w:themeColor="text1"/>
                <w:sz w:val="16"/>
                <w:szCs w:val="16"/>
              </w:rPr>
              <w:t>Калибр, мм</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035E29F2" w14:textId="77777777" w:rsidR="00903E13" w:rsidRPr="007224C3" w:rsidRDefault="00903E13" w:rsidP="007224C3">
            <w:pPr>
              <w:pStyle w:val="45"/>
              <w:shd w:val="clear" w:color="auto" w:fill="auto"/>
              <w:spacing w:before="0" w:line="240" w:lineRule="auto"/>
              <w:jc w:val="both"/>
              <w:rPr>
                <w:rFonts w:ascii="Times New Roman" w:cs="Times New Roman"/>
                <w:color w:val="000000" w:themeColor="text1"/>
                <w:sz w:val="16"/>
                <w:szCs w:val="16"/>
              </w:rPr>
            </w:pPr>
            <w:r w:rsidRPr="007224C3">
              <w:rPr>
                <w:rFonts w:ascii="Times New Roman" w:cs="Times New Roman"/>
                <w:color w:val="000000" w:themeColor="text1"/>
                <w:sz w:val="16"/>
                <w:szCs w:val="16"/>
              </w:rPr>
              <w:t>45</w:t>
            </w:r>
          </w:p>
        </w:tc>
        <w:tc>
          <w:tcPr>
            <w:tcW w:w="883" w:type="dxa"/>
            <w:tcBorders>
              <w:top w:val="single" w:sz="4" w:space="0" w:color="auto"/>
              <w:left w:val="single" w:sz="4" w:space="0" w:color="auto"/>
              <w:bottom w:val="single" w:sz="4" w:space="0" w:color="auto"/>
              <w:right w:val="single" w:sz="4" w:space="0" w:color="auto"/>
            </w:tcBorders>
            <w:shd w:val="clear" w:color="auto" w:fill="FFFFFF"/>
          </w:tcPr>
          <w:p w14:paraId="4E7BE36F" w14:textId="77777777" w:rsidR="00903E13" w:rsidRPr="007224C3" w:rsidRDefault="00903E13" w:rsidP="007224C3">
            <w:pPr>
              <w:pStyle w:val="45"/>
              <w:shd w:val="clear" w:color="auto" w:fill="auto"/>
              <w:spacing w:before="0" w:line="240" w:lineRule="auto"/>
              <w:jc w:val="both"/>
              <w:rPr>
                <w:rFonts w:ascii="Times New Roman" w:cs="Times New Roman"/>
                <w:color w:val="000000" w:themeColor="text1"/>
                <w:sz w:val="16"/>
                <w:szCs w:val="16"/>
              </w:rPr>
            </w:pPr>
            <w:r w:rsidRPr="007224C3">
              <w:rPr>
                <w:rFonts w:ascii="Times New Roman" w:cs="Times New Roman"/>
                <w:color w:val="000000" w:themeColor="text1"/>
                <w:sz w:val="16"/>
                <w:szCs w:val="16"/>
              </w:rPr>
              <w:t>40</w:t>
            </w:r>
          </w:p>
        </w:tc>
        <w:tc>
          <w:tcPr>
            <w:tcW w:w="610" w:type="dxa"/>
            <w:tcBorders>
              <w:top w:val="single" w:sz="4" w:space="0" w:color="auto"/>
              <w:left w:val="single" w:sz="4" w:space="0" w:color="auto"/>
              <w:bottom w:val="single" w:sz="4" w:space="0" w:color="auto"/>
              <w:right w:val="single" w:sz="4" w:space="0" w:color="auto"/>
            </w:tcBorders>
            <w:shd w:val="clear" w:color="auto" w:fill="FFFFFF"/>
          </w:tcPr>
          <w:p w14:paraId="01D0EDD9" w14:textId="77777777" w:rsidR="00903E13" w:rsidRPr="007224C3" w:rsidRDefault="00903E13" w:rsidP="007224C3">
            <w:pPr>
              <w:pStyle w:val="45"/>
              <w:shd w:val="clear" w:color="auto" w:fill="auto"/>
              <w:spacing w:before="0" w:line="240" w:lineRule="auto"/>
              <w:jc w:val="both"/>
              <w:rPr>
                <w:rFonts w:ascii="Times New Roman" w:cs="Times New Roman"/>
                <w:color w:val="000000" w:themeColor="text1"/>
                <w:sz w:val="16"/>
                <w:szCs w:val="16"/>
              </w:rPr>
            </w:pPr>
            <w:r w:rsidRPr="007224C3">
              <w:rPr>
                <w:rFonts w:ascii="Times New Roman" w:cs="Times New Roman"/>
                <w:color w:val="000000" w:themeColor="text1"/>
                <w:sz w:val="16"/>
                <w:szCs w:val="16"/>
              </w:rPr>
              <w:t>37</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47414D1D" w14:textId="77777777" w:rsidR="00903E13" w:rsidRPr="007224C3" w:rsidRDefault="00903E13" w:rsidP="007224C3">
            <w:pPr>
              <w:pStyle w:val="45"/>
              <w:shd w:val="clear" w:color="auto" w:fill="auto"/>
              <w:spacing w:before="0" w:line="240" w:lineRule="auto"/>
              <w:jc w:val="both"/>
              <w:rPr>
                <w:rFonts w:ascii="Times New Roman" w:cs="Times New Roman"/>
                <w:color w:val="000000" w:themeColor="text1"/>
                <w:sz w:val="16"/>
                <w:szCs w:val="16"/>
              </w:rPr>
            </w:pPr>
            <w:r w:rsidRPr="007224C3">
              <w:rPr>
                <w:rFonts w:ascii="Times New Roman" w:cs="Times New Roman"/>
                <w:color w:val="000000" w:themeColor="text1"/>
                <w:sz w:val="16"/>
                <w:szCs w:val="16"/>
              </w:rPr>
              <w:t>37</w:t>
            </w:r>
          </w:p>
        </w:tc>
        <w:tc>
          <w:tcPr>
            <w:tcW w:w="547" w:type="dxa"/>
            <w:tcBorders>
              <w:top w:val="single" w:sz="4" w:space="0" w:color="auto"/>
              <w:left w:val="single" w:sz="4" w:space="0" w:color="auto"/>
              <w:bottom w:val="single" w:sz="4" w:space="0" w:color="auto"/>
              <w:right w:val="single" w:sz="4" w:space="0" w:color="auto"/>
            </w:tcBorders>
            <w:shd w:val="clear" w:color="auto" w:fill="FFFFFF"/>
          </w:tcPr>
          <w:p w14:paraId="2F381C9E" w14:textId="77777777" w:rsidR="00903E13" w:rsidRPr="007224C3" w:rsidRDefault="00903E13" w:rsidP="007224C3">
            <w:pPr>
              <w:pStyle w:val="45"/>
              <w:shd w:val="clear" w:color="auto" w:fill="auto"/>
              <w:spacing w:before="0" w:line="240" w:lineRule="auto"/>
              <w:jc w:val="both"/>
              <w:rPr>
                <w:rFonts w:ascii="Times New Roman" w:cs="Times New Roman"/>
                <w:color w:val="000000" w:themeColor="text1"/>
                <w:sz w:val="16"/>
                <w:szCs w:val="16"/>
              </w:rPr>
            </w:pPr>
            <w:r w:rsidRPr="007224C3">
              <w:rPr>
                <w:rFonts w:ascii="Times New Roman" w:cs="Times New Roman"/>
                <w:color w:val="000000" w:themeColor="text1"/>
                <w:sz w:val="16"/>
                <w:szCs w:val="16"/>
              </w:rPr>
              <w:t>23</w:t>
            </w:r>
          </w:p>
        </w:tc>
        <w:tc>
          <w:tcPr>
            <w:tcW w:w="691" w:type="dxa"/>
            <w:tcBorders>
              <w:top w:val="single" w:sz="4" w:space="0" w:color="auto"/>
              <w:left w:val="single" w:sz="4" w:space="0" w:color="auto"/>
              <w:bottom w:val="single" w:sz="4" w:space="0" w:color="auto"/>
              <w:right w:val="single" w:sz="4" w:space="0" w:color="auto"/>
            </w:tcBorders>
            <w:shd w:val="clear" w:color="auto" w:fill="FFFFFF"/>
          </w:tcPr>
          <w:p w14:paraId="16AEA408" w14:textId="77777777" w:rsidR="00903E13" w:rsidRPr="007224C3" w:rsidRDefault="00903E13" w:rsidP="007224C3">
            <w:pPr>
              <w:pStyle w:val="45"/>
              <w:shd w:val="clear" w:color="auto" w:fill="auto"/>
              <w:spacing w:before="0" w:line="240" w:lineRule="auto"/>
              <w:jc w:val="both"/>
              <w:rPr>
                <w:rFonts w:ascii="Times New Roman" w:cs="Times New Roman"/>
                <w:color w:val="000000" w:themeColor="text1"/>
                <w:sz w:val="16"/>
                <w:szCs w:val="16"/>
              </w:rPr>
            </w:pPr>
            <w:r w:rsidRPr="007224C3">
              <w:rPr>
                <w:rFonts w:ascii="Times New Roman" w:cs="Times New Roman"/>
                <w:color w:val="000000" w:themeColor="text1"/>
                <w:sz w:val="16"/>
                <w:szCs w:val="16"/>
              </w:rPr>
              <w:t>20</w:t>
            </w:r>
          </w:p>
        </w:tc>
        <w:tc>
          <w:tcPr>
            <w:tcW w:w="706" w:type="dxa"/>
            <w:tcBorders>
              <w:top w:val="single" w:sz="4" w:space="0" w:color="auto"/>
              <w:left w:val="single" w:sz="4" w:space="0" w:color="auto"/>
              <w:bottom w:val="single" w:sz="4" w:space="0" w:color="auto"/>
              <w:right w:val="single" w:sz="4" w:space="0" w:color="auto"/>
            </w:tcBorders>
            <w:shd w:val="clear" w:color="auto" w:fill="FFFFFF"/>
          </w:tcPr>
          <w:p w14:paraId="44D77716" w14:textId="77777777" w:rsidR="00903E13" w:rsidRPr="007224C3" w:rsidRDefault="00903E13" w:rsidP="007224C3">
            <w:pPr>
              <w:pStyle w:val="45"/>
              <w:shd w:val="clear" w:color="auto" w:fill="auto"/>
              <w:spacing w:before="0" w:line="240" w:lineRule="auto"/>
              <w:jc w:val="both"/>
              <w:rPr>
                <w:rFonts w:ascii="Times New Roman" w:cs="Times New Roman"/>
                <w:color w:val="000000" w:themeColor="text1"/>
                <w:sz w:val="16"/>
                <w:szCs w:val="16"/>
              </w:rPr>
            </w:pPr>
            <w:r w:rsidRPr="007224C3">
              <w:rPr>
                <w:rFonts w:ascii="Times New Roman" w:cs="Times New Roman"/>
                <w:color w:val="000000" w:themeColor="text1"/>
                <w:sz w:val="16"/>
                <w:szCs w:val="16"/>
              </w:rPr>
              <w:t>20</w:t>
            </w:r>
          </w:p>
        </w:tc>
      </w:tr>
      <w:tr w:rsidR="005106D0" w:rsidRPr="007224C3" w14:paraId="5AD183F7" w14:textId="77777777" w:rsidTr="00903E13">
        <w:trPr>
          <w:trHeight w:val="206"/>
        </w:trPr>
        <w:tc>
          <w:tcPr>
            <w:tcW w:w="1867" w:type="dxa"/>
            <w:tcBorders>
              <w:top w:val="single" w:sz="4" w:space="0" w:color="auto"/>
              <w:left w:val="single" w:sz="4" w:space="0" w:color="auto"/>
              <w:bottom w:val="single" w:sz="4" w:space="0" w:color="auto"/>
              <w:right w:val="single" w:sz="4" w:space="0" w:color="auto"/>
            </w:tcBorders>
            <w:shd w:val="clear" w:color="auto" w:fill="FFFFFF"/>
          </w:tcPr>
          <w:p w14:paraId="3D61CAA1"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Характеристика/тип пушки</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6BA76697"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НС-45</w:t>
            </w:r>
          </w:p>
        </w:tc>
        <w:tc>
          <w:tcPr>
            <w:tcW w:w="883" w:type="dxa"/>
            <w:tcBorders>
              <w:top w:val="single" w:sz="4" w:space="0" w:color="auto"/>
              <w:left w:val="single" w:sz="4" w:space="0" w:color="auto"/>
              <w:bottom w:val="single" w:sz="4" w:space="0" w:color="auto"/>
              <w:right w:val="single" w:sz="4" w:space="0" w:color="auto"/>
            </w:tcBorders>
            <w:shd w:val="clear" w:color="auto" w:fill="FFFFFF"/>
          </w:tcPr>
          <w:p w14:paraId="1017A279"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«Виккерс» 3</w:t>
            </w:r>
          </w:p>
        </w:tc>
        <w:tc>
          <w:tcPr>
            <w:tcW w:w="610" w:type="dxa"/>
            <w:tcBorders>
              <w:top w:val="single" w:sz="4" w:space="0" w:color="auto"/>
              <w:left w:val="single" w:sz="4" w:space="0" w:color="auto"/>
              <w:bottom w:val="single" w:sz="4" w:space="0" w:color="auto"/>
              <w:right w:val="single" w:sz="4" w:space="0" w:color="auto"/>
            </w:tcBorders>
            <w:shd w:val="clear" w:color="auto" w:fill="FFFFFF"/>
          </w:tcPr>
          <w:p w14:paraId="75C0B9EB"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М4</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7DA974E3"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НС-37</w:t>
            </w:r>
          </w:p>
        </w:tc>
        <w:tc>
          <w:tcPr>
            <w:tcW w:w="547" w:type="dxa"/>
            <w:tcBorders>
              <w:top w:val="single" w:sz="4" w:space="0" w:color="auto"/>
              <w:left w:val="single" w:sz="4" w:space="0" w:color="auto"/>
              <w:bottom w:val="single" w:sz="4" w:space="0" w:color="auto"/>
              <w:right w:val="single" w:sz="4" w:space="0" w:color="auto"/>
            </w:tcBorders>
            <w:shd w:val="clear" w:color="auto" w:fill="FFFFFF"/>
          </w:tcPr>
          <w:p w14:paraId="68F626DE"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вя</w:t>
            </w:r>
          </w:p>
        </w:tc>
        <w:tc>
          <w:tcPr>
            <w:tcW w:w="691" w:type="dxa"/>
            <w:tcBorders>
              <w:top w:val="single" w:sz="4" w:space="0" w:color="auto"/>
              <w:left w:val="single" w:sz="4" w:space="0" w:color="auto"/>
              <w:bottom w:val="single" w:sz="4" w:space="0" w:color="auto"/>
              <w:right w:val="single" w:sz="4" w:space="0" w:color="auto"/>
            </w:tcBorders>
            <w:shd w:val="clear" w:color="auto" w:fill="FFFFFF"/>
          </w:tcPr>
          <w:p w14:paraId="463DFCF9"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«Испано»</w:t>
            </w:r>
          </w:p>
        </w:tc>
        <w:tc>
          <w:tcPr>
            <w:tcW w:w="706" w:type="dxa"/>
            <w:tcBorders>
              <w:top w:val="single" w:sz="4" w:space="0" w:color="auto"/>
              <w:left w:val="single" w:sz="4" w:space="0" w:color="auto"/>
              <w:bottom w:val="single" w:sz="4" w:space="0" w:color="auto"/>
              <w:right w:val="single" w:sz="4" w:space="0" w:color="auto"/>
            </w:tcBorders>
            <w:shd w:val="clear" w:color="auto" w:fill="FFFFFF"/>
          </w:tcPr>
          <w:p w14:paraId="531EACA1"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МП-20</w:t>
            </w:r>
          </w:p>
        </w:tc>
      </w:tr>
      <w:tr w:rsidR="005106D0" w:rsidRPr="007224C3" w14:paraId="59CCC441" w14:textId="77777777" w:rsidTr="00903E13">
        <w:trPr>
          <w:trHeight w:val="595"/>
        </w:trPr>
        <w:tc>
          <w:tcPr>
            <w:tcW w:w="1867" w:type="dxa"/>
            <w:tcBorders>
              <w:top w:val="single" w:sz="4" w:space="0" w:color="auto"/>
              <w:left w:val="single" w:sz="4" w:space="0" w:color="auto"/>
              <w:bottom w:val="single" w:sz="4" w:space="0" w:color="auto"/>
              <w:right w:val="single" w:sz="4" w:space="0" w:color="auto"/>
            </w:tcBorders>
            <w:shd w:val="clear" w:color="auto" w:fill="FFFFFF"/>
          </w:tcPr>
          <w:p w14:paraId="32C06EA7"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Бронепробиваемость, толщина/300 м/ 0 град (мм/м/град)</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1B61C0EE"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43,3</w:t>
            </w:r>
          </w:p>
        </w:tc>
        <w:tc>
          <w:tcPr>
            <w:tcW w:w="883" w:type="dxa"/>
            <w:tcBorders>
              <w:top w:val="single" w:sz="4" w:space="0" w:color="auto"/>
              <w:left w:val="single" w:sz="4" w:space="0" w:color="auto"/>
              <w:bottom w:val="single" w:sz="4" w:space="0" w:color="auto"/>
              <w:right w:val="single" w:sz="4" w:space="0" w:color="auto"/>
            </w:tcBorders>
            <w:shd w:val="clear" w:color="auto" w:fill="FFFFFF"/>
          </w:tcPr>
          <w:p w14:paraId="10333026"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39,5</w:t>
            </w:r>
          </w:p>
        </w:tc>
        <w:tc>
          <w:tcPr>
            <w:tcW w:w="610" w:type="dxa"/>
            <w:tcBorders>
              <w:top w:val="single" w:sz="4" w:space="0" w:color="auto"/>
              <w:left w:val="single" w:sz="4" w:space="0" w:color="auto"/>
              <w:bottom w:val="single" w:sz="4" w:space="0" w:color="auto"/>
              <w:right w:val="single" w:sz="4" w:space="0" w:color="auto"/>
            </w:tcBorders>
            <w:shd w:val="clear" w:color="auto" w:fill="FFFFFF"/>
          </w:tcPr>
          <w:p w14:paraId="16CAD270"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41</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7DF7C1BD"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48,3</w:t>
            </w:r>
          </w:p>
        </w:tc>
        <w:tc>
          <w:tcPr>
            <w:tcW w:w="547" w:type="dxa"/>
            <w:tcBorders>
              <w:top w:val="single" w:sz="4" w:space="0" w:color="auto"/>
              <w:left w:val="single" w:sz="4" w:space="0" w:color="auto"/>
              <w:bottom w:val="single" w:sz="4" w:space="0" w:color="auto"/>
              <w:right w:val="single" w:sz="4" w:space="0" w:color="auto"/>
            </w:tcBorders>
            <w:shd w:val="clear" w:color="auto" w:fill="FFFFFF"/>
          </w:tcPr>
          <w:p w14:paraId="24D07290"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32,5</w:t>
            </w:r>
          </w:p>
        </w:tc>
        <w:tc>
          <w:tcPr>
            <w:tcW w:w="691" w:type="dxa"/>
            <w:tcBorders>
              <w:top w:val="single" w:sz="4" w:space="0" w:color="auto"/>
              <w:left w:val="single" w:sz="4" w:space="0" w:color="auto"/>
              <w:bottom w:val="single" w:sz="4" w:space="0" w:color="auto"/>
              <w:right w:val="single" w:sz="4" w:space="0" w:color="auto"/>
            </w:tcBorders>
            <w:shd w:val="clear" w:color="auto" w:fill="FFFFFF"/>
          </w:tcPr>
          <w:p w14:paraId="6BC7BE60"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28,5</w:t>
            </w:r>
          </w:p>
        </w:tc>
        <w:tc>
          <w:tcPr>
            <w:tcW w:w="706" w:type="dxa"/>
            <w:tcBorders>
              <w:top w:val="single" w:sz="4" w:space="0" w:color="auto"/>
              <w:left w:val="single" w:sz="4" w:space="0" w:color="auto"/>
              <w:bottom w:val="single" w:sz="4" w:space="0" w:color="auto"/>
              <w:right w:val="single" w:sz="4" w:space="0" w:color="auto"/>
            </w:tcBorders>
            <w:shd w:val="clear" w:color="auto" w:fill="FFFFFF"/>
          </w:tcPr>
          <w:p w14:paraId="68DF4E53" w14:textId="77777777" w:rsidR="00903E13" w:rsidRPr="007224C3" w:rsidRDefault="00903E13" w:rsidP="007224C3">
            <w:pPr>
              <w:pStyle w:val="34"/>
              <w:shd w:val="clear" w:color="auto" w:fill="auto"/>
              <w:spacing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19</w:t>
            </w:r>
          </w:p>
        </w:tc>
      </w:tr>
    </w:tbl>
    <w:p w14:paraId="1F91E65B"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По результатам испытаний самолета «Харрикейн» 1Ю и его вооружения управ</w:t>
      </w:r>
      <w:r w:rsidRPr="007224C3">
        <w:rPr>
          <w:rFonts w:ascii="Times New Roman" w:hAnsi="Times New Roman" w:cs="Times New Roman"/>
          <w:color w:val="000000" w:themeColor="text1"/>
          <w:sz w:val="16"/>
          <w:szCs w:val="16"/>
        </w:rPr>
        <w:softHyphen/>
        <w:t>ление технической эксплуатации ВВС КА в марте 1944 г. специальным информа</w:t>
      </w:r>
      <w:r w:rsidRPr="007224C3">
        <w:rPr>
          <w:rFonts w:ascii="Times New Roman" w:hAnsi="Times New Roman" w:cs="Times New Roman"/>
          <w:color w:val="000000" w:themeColor="text1"/>
          <w:sz w:val="16"/>
          <w:szCs w:val="16"/>
        </w:rPr>
        <w:softHyphen/>
        <w:t>ционным письмом довело до сведения летного и технического состава строевых полков ВВС КА особенности техники пи-</w:t>
      </w:r>
    </w:p>
    <w:p w14:paraId="3B3EE463"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лотирования самолета и его основные летные данные. Указывалось, что по тех</w:t>
      </w:r>
      <w:r w:rsidRPr="007224C3">
        <w:rPr>
          <w:rFonts w:ascii="Times New Roman" w:hAnsi="Times New Roman" w:cs="Times New Roman"/>
          <w:color w:val="000000" w:themeColor="text1"/>
          <w:sz w:val="16"/>
          <w:szCs w:val="16"/>
        </w:rPr>
        <w:softHyphen/>
        <w:t>нике пилотирования самолет «Харрикейн» 1Ю не отличается от «Харрикейна» ПС. Дальность и продолжительность полета «Харрикейна» 1Ю и Харрикейна» ПС прак</w:t>
      </w:r>
      <w:r w:rsidRPr="007224C3">
        <w:rPr>
          <w:rFonts w:ascii="Times New Roman" w:hAnsi="Times New Roman" w:cs="Times New Roman"/>
          <w:color w:val="000000" w:themeColor="text1"/>
          <w:sz w:val="16"/>
          <w:szCs w:val="16"/>
        </w:rPr>
        <w:softHyphen/>
        <w:t>тически равны. В связи с появлением тря</w:t>
      </w:r>
      <w:r w:rsidRPr="007224C3">
        <w:rPr>
          <w:rFonts w:ascii="Times New Roman" w:hAnsi="Times New Roman" w:cs="Times New Roman"/>
          <w:color w:val="000000" w:themeColor="text1"/>
          <w:sz w:val="16"/>
          <w:szCs w:val="16"/>
        </w:rPr>
        <w:softHyphen/>
        <w:t>ски при скорости порядка 380-385 миль/ч (610-620 км/ч) скорость пикирования са</w:t>
      </w:r>
      <w:r w:rsidRPr="007224C3">
        <w:rPr>
          <w:rFonts w:ascii="Times New Roman" w:hAnsi="Times New Roman" w:cs="Times New Roman"/>
          <w:color w:val="000000" w:themeColor="text1"/>
          <w:sz w:val="16"/>
          <w:szCs w:val="16"/>
        </w:rPr>
        <w:softHyphen/>
        <w:t>молета «Харрикейн» НО ограничивалась 375 миль/ч (600 км/ч).</w:t>
      </w:r>
    </w:p>
    <w:p w14:paraId="76CC6DB2"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17 мая 1944 г. заместитель начальни</w:t>
      </w:r>
      <w:r w:rsidRPr="007224C3">
        <w:rPr>
          <w:rFonts w:ascii="Times New Roman" w:hAnsi="Times New Roman" w:cs="Times New Roman"/>
          <w:color w:val="000000" w:themeColor="text1"/>
          <w:sz w:val="16"/>
          <w:szCs w:val="16"/>
        </w:rPr>
        <w:softHyphen/>
        <w:t>ка оперативного управления ВВС КА ге- нерал-майор А.П. Некрасов направил на</w:t>
      </w:r>
      <w:r w:rsidRPr="007224C3">
        <w:rPr>
          <w:rFonts w:ascii="Times New Roman" w:hAnsi="Times New Roman" w:cs="Times New Roman"/>
          <w:color w:val="000000" w:themeColor="text1"/>
          <w:sz w:val="16"/>
          <w:szCs w:val="16"/>
        </w:rPr>
        <w:softHyphen/>
        <w:t>чальнику штаба ВВС генерал-полковнику С.А. Худякову заключение о боевых воз</w:t>
      </w:r>
      <w:r w:rsidRPr="007224C3">
        <w:rPr>
          <w:rFonts w:ascii="Times New Roman" w:hAnsi="Times New Roman" w:cs="Times New Roman"/>
          <w:color w:val="000000" w:themeColor="text1"/>
          <w:sz w:val="16"/>
          <w:szCs w:val="16"/>
        </w:rPr>
        <w:softHyphen/>
        <w:t>можностях самолета «Харрикейн» !Ю.</w:t>
      </w:r>
    </w:p>
    <w:p w14:paraId="1B994DA9"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В документе констатировалось, что «вследствие слабого могущества выстре</w:t>
      </w:r>
      <w:r w:rsidRPr="007224C3">
        <w:rPr>
          <w:rFonts w:ascii="Times New Roman" w:hAnsi="Times New Roman" w:cs="Times New Roman"/>
          <w:color w:val="000000" w:themeColor="text1"/>
          <w:sz w:val="16"/>
          <w:szCs w:val="16"/>
        </w:rPr>
        <w:softHyphen/>
        <w:t>ла стрелково-пушечного оружия, отсут</w:t>
      </w:r>
      <w:r w:rsidRPr="007224C3">
        <w:rPr>
          <w:rFonts w:ascii="Times New Roman" w:hAnsi="Times New Roman" w:cs="Times New Roman"/>
          <w:color w:val="000000" w:themeColor="text1"/>
          <w:sz w:val="16"/>
          <w:szCs w:val="16"/>
        </w:rPr>
        <w:softHyphen/>
        <w:t>ствия бомбардировочного вооружения и недостаточного бронирования, самолет «Харрикейн» 1Ю не может быть эффек</w:t>
      </w:r>
      <w:r w:rsidRPr="007224C3">
        <w:rPr>
          <w:rFonts w:ascii="Times New Roman" w:hAnsi="Times New Roman" w:cs="Times New Roman"/>
          <w:color w:val="000000" w:themeColor="text1"/>
          <w:sz w:val="16"/>
          <w:szCs w:val="16"/>
        </w:rPr>
        <w:softHyphen/>
        <w:t>тивно использован, как истребитель тан</w:t>
      </w:r>
      <w:r w:rsidRPr="007224C3">
        <w:rPr>
          <w:rFonts w:ascii="Times New Roman" w:hAnsi="Times New Roman" w:cs="Times New Roman"/>
          <w:color w:val="000000" w:themeColor="text1"/>
          <w:sz w:val="16"/>
          <w:szCs w:val="16"/>
        </w:rPr>
        <w:softHyphen/>
        <w:t>ков или штурмовик». Боеприпасы пушек НС-37 калибра 37 мм и ВЯ калибра 23 мм, состоящие из осколочно-зажигательных и бронебойно-зажигательных снарядов, имеют больший разрушающий эффект у цели по сравнению с боеприпасами к пуш</w:t>
      </w:r>
      <w:r w:rsidRPr="007224C3">
        <w:rPr>
          <w:rFonts w:ascii="Times New Roman" w:hAnsi="Times New Roman" w:cs="Times New Roman"/>
          <w:color w:val="000000" w:themeColor="text1"/>
          <w:sz w:val="16"/>
          <w:szCs w:val="16"/>
        </w:rPr>
        <w:softHyphen/>
        <w:t>ке Виккерс 5, а бронебойный снаряд пушки НС-37 обладает к тому же еще и большей бронепробиваемостью.</w:t>
      </w:r>
    </w:p>
    <w:p w14:paraId="634519F2"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 xml:space="preserve">Внимание руководства обращалось на ненормальную ситуацию со снабжением ВВС КА снарядами к пушкам Виккерс 5. По этому поводу в докладе указывалось: </w:t>
      </w:r>
      <w:r w:rsidRPr="007224C3">
        <w:rPr>
          <w:rStyle w:val="aff7"/>
          <w:rFonts w:ascii="Times New Roman" w:hAnsi="Times New Roman" w:cs="Times New Roman"/>
          <w:i w:val="0"/>
          <w:color w:val="000000" w:themeColor="text1"/>
        </w:rPr>
        <w:t>«Получаемые нами бронебойные снаряды от англичан, являются недозаряженны- ми (нет взрывчатого вещества и донного взрывателя), вследствие чего баллистиче</w:t>
      </w:r>
      <w:r w:rsidRPr="007224C3">
        <w:rPr>
          <w:rStyle w:val="aff7"/>
          <w:rFonts w:ascii="Times New Roman" w:hAnsi="Times New Roman" w:cs="Times New Roman"/>
          <w:i w:val="0"/>
          <w:color w:val="000000" w:themeColor="text1"/>
        </w:rPr>
        <w:softHyphen/>
        <w:t>ские характеристики снарядов плохие и не отвечают тактико-техническим требовани</w:t>
      </w:r>
      <w:r w:rsidRPr="007224C3">
        <w:rPr>
          <w:rStyle w:val="aff7"/>
          <w:rFonts w:ascii="Times New Roman" w:hAnsi="Times New Roman" w:cs="Times New Roman"/>
          <w:i w:val="0"/>
          <w:color w:val="000000" w:themeColor="text1"/>
        </w:rPr>
        <w:softHyphen/>
        <w:t>ям к боеприпасам воздушного боя. Такой тип снаряда не в состоянии пробить броню среднего танка в 45 мм на дистанции 300 м под углом встречи к нормали 30°, а бронь толщиной меньше, чем 30 мм, или пла</w:t>
      </w:r>
      <w:r w:rsidRPr="007224C3">
        <w:rPr>
          <w:rStyle w:val="aff7"/>
          <w:rFonts w:ascii="Times New Roman" w:hAnsi="Times New Roman" w:cs="Times New Roman"/>
          <w:i w:val="0"/>
          <w:color w:val="000000" w:themeColor="text1"/>
        </w:rPr>
        <w:softHyphen/>
        <w:t>нер самолета, он способен пробить, но не разрушить, так как снаряд не имеет ни за</w:t>
      </w:r>
      <w:r w:rsidRPr="007224C3">
        <w:rPr>
          <w:rStyle w:val="aff7"/>
          <w:rFonts w:ascii="Times New Roman" w:hAnsi="Times New Roman" w:cs="Times New Roman"/>
          <w:i w:val="0"/>
          <w:color w:val="000000" w:themeColor="text1"/>
        </w:rPr>
        <w:softHyphen/>
        <w:t>жигательного, ни фугасного снаряжения. Поэтому такие снаряды могут быть исполь</w:t>
      </w:r>
      <w:r w:rsidRPr="007224C3">
        <w:rPr>
          <w:rStyle w:val="aff7"/>
          <w:rFonts w:ascii="Times New Roman" w:hAnsi="Times New Roman" w:cs="Times New Roman"/>
          <w:i w:val="0"/>
          <w:color w:val="000000" w:themeColor="text1"/>
        </w:rPr>
        <w:softHyphen/>
        <w:t>зованы для учебных целей или каклафето- пробные. Для поражения самолетов в воз</w:t>
      </w:r>
      <w:r w:rsidRPr="007224C3">
        <w:rPr>
          <w:rStyle w:val="aff7"/>
          <w:rFonts w:ascii="Times New Roman" w:hAnsi="Times New Roman" w:cs="Times New Roman"/>
          <w:i w:val="0"/>
          <w:color w:val="000000" w:themeColor="text1"/>
        </w:rPr>
        <w:softHyphen/>
        <w:t>духе нужны снаряды осколочно-фугасного действия».</w:t>
      </w:r>
    </w:p>
    <w:p w14:paraId="6D0132AD"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При сопоставимых летных данных у земли основной ударный самолет ВВС КА штурмовик Ил-2 имел значительно более сильное бронирование, бомбардировоч</w:t>
      </w:r>
      <w:r w:rsidRPr="007224C3">
        <w:rPr>
          <w:rFonts w:ascii="Times New Roman" w:hAnsi="Times New Roman" w:cs="Times New Roman"/>
          <w:color w:val="000000" w:themeColor="text1"/>
          <w:sz w:val="16"/>
          <w:szCs w:val="16"/>
        </w:rPr>
        <w:softHyphen/>
        <w:t>ное вооружение и воздушного стрелка для защиты от атак истребителей против</w:t>
      </w:r>
      <w:r w:rsidRPr="007224C3">
        <w:rPr>
          <w:rFonts w:ascii="Times New Roman" w:hAnsi="Times New Roman" w:cs="Times New Roman"/>
          <w:color w:val="000000" w:themeColor="text1"/>
          <w:sz w:val="16"/>
          <w:szCs w:val="16"/>
        </w:rPr>
        <w:softHyphen/>
        <w:t>ника со стороны задней полусферы. По этим причинам боевые качества Ил-2 оценивались специалистами оператив</w:t>
      </w:r>
      <w:r w:rsidRPr="007224C3">
        <w:rPr>
          <w:rFonts w:ascii="Times New Roman" w:hAnsi="Times New Roman" w:cs="Times New Roman"/>
          <w:color w:val="000000" w:themeColor="text1"/>
          <w:sz w:val="16"/>
          <w:szCs w:val="16"/>
        </w:rPr>
        <w:softHyphen/>
        <w:t>ного управления значительно выше, чем «Харрикейна»1Ю.</w:t>
      </w:r>
    </w:p>
    <w:p w14:paraId="620207EA"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На основании этого делался вывод, что «самолет «Харрикейн» НО в качестве штурмовика применять нецелесообразно, вследствие слабого могущества выстре</w:t>
      </w:r>
      <w:r w:rsidRPr="007224C3">
        <w:rPr>
          <w:rFonts w:ascii="Times New Roman" w:hAnsi="Times New Roman" w:cs="Times New Roman"/>
          <w:color w:val="000000" w:themeColor="text1"/>
          <w:sz w:val="16"/>
          <w:szCs w:val="16"/>
        </w:rPr>
        <w:softHyphen/>
        <w:t>ла стрелково-пушечного вооружения, от</w:t>
      </w:r>
      <w:r w:rsidRPr="007224C3">
        <w:rPr>
          <w:rFonts w:ascii="Times New Roman" w:hAnsi="Times New Roman" w:cs="Times New Roman"/>
          <w:color w:val="000000" w:themeColor="text1"/>
          <w:sz w:val="16"/>
          <w:szCs w:val="16"/>
        </w:rPr>
        <w:softHyphen/>
        <w:t>сутствия бомбардировочного вооружения и слабого бронирования». Истребитель предлагалось использовать в системе ПВО страны в качестве истребителя-перехват- чика, но при условии использования бое</w:t>
      </w:r>
      <w:r w:rsidRPr="007224C3">
        <w:rPr>
          <w:rFonts w:ascii="Times New Roman" w:hAnsi="Times New Roman" w:cs="Times New Roman"/>
          <w:color w:val="000000" w:themeColor="text1"/>
          <w:sz w:val="16"/>
          <w:szCs w:val="16"/>
        </w:rPr>
        <w:softHyphen/>
        <w:t>припасов «осколочно-трассирующего или осколочно-зажигательного снаряжения».</w:t>
      </w:r>
    </w:p>
    <w:p w14:paraId="02F67999" w14:textId="77777777" w:rsidR="00903E13" w:rsidRPr="007224C3" w:rsidRDefault="00903E1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Известна резолюция генерала Худяко</w:t>
      </w:r>
      <w:r w:rsidRPr="007224C3">
        <w:rPr>
          <w:rStyle w:val="2f1"/>
          <w:rFonts w:ascii="Times New Roman" w:hAnsi="Times New Roman" w:cs="Times New Roman"/>
          <w:i w:val="0"/>
          <w:color w:val="000000" w:themeColor="text1"/>
          <w:sz w:val="16"/>
          <w:szCs w:val="16"/>
        </w:rPr>
        <w:t>ва, которую тот наложил на документ:</w:t>
      </w:r>
      <w:r w:rsidRPr="007224C3">
        <w:rPr>
          <w:rFonts w:ascii="Times New Roman" w:hAnsi="Times New Roman"/>
          <w:color w:val="000000" w:themeColor="text1"/>
          <w:sz w:val="16"/>
          <w:szCs w:val="16"/>
        </w:rPr>
        <w:t xml:space="preserve"> «ОУ. Подготовить справку такого же содержа</w:t>
      </w:r>
      <w:r w:rsidRPr="007224C3">
        <w:rPr>
          <w:rFonts w:ascii="Times New Roman" w:hAnsi="Times New Roman"/>
          <w:color w:val="000000" w:themeColor="text1"/>
          <w:sz w:val="16"/>
          <w:szCs w:val="16"/>
        </w:rPr>
        <w:softHyphen/>
        <w:t>ния главному инженеру ВВС за моей под</w:t>
      </w:r>
      <w:r w:rsidRPr="007224C3">
        <w:rPr>
          <w:rFonts w:ascii="Times New Roman" w:hAnsi="Times New Roman"/>
          <w:color w:val="000000" w:themeColor="text1"/>
          <w:sz w:val="16"/>
          <w:szCs w:val="16"/>
        </w:rPr>
        <w:softHyphen/>
        <w:t>писью».</w:t>
      </w:r>
      <w:r w:rsidRPr="007224C3">
        <w:rPr>
          <w:rStyle w:val="2f1"/>
          <w:rFonts w:ascii="Times New Roman" w:hAnsi="Times New Roman" w:cs="Times New Roman"/>
          <w:i w:val="0"/>
          <w:color w:val="000000" w:themeColor="text1"/>
          <w:sz w:val="16"/>
          <w:szCs w:val="16"/>
        </w:rPr>
        <w:t xml:space="preserve"> Уже 23 мая справка ушла в аппарат генерала Репина.</w:t>
      </w:r>
    </w:p>
    <w:p w14:paraId="44A3910A"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Пока «Харрикейны» 1Ю зав. №№ КХ-171 и КХ-305 испытывались и принималось ре</w:t>
      </w:r>
      <w:r w:rsidRPr="007224C3">
        <w:rPr>
          <w:rFonts w:ascii="Times New Roman" w:hAnsi="Times New Roman" w:cs="Times New Roman"/>
          <w:color w:val="000000" w:themeColor="text1"/>
          <w:sz w:val="16"/>
          <w:szCs w:val="16"/>
        </w:rPr>
        <w:softHyphen/>
        <w:t>шение о целесообразности применения самолетов этого типа в ВВС КА, личный состав 246-го иап начиная с октября 1943 г. прошел полный курс переучивания на английский противотанковый истребитель в 25-м запасном истребительном авиапол</w:t>
      </w:r>
      <w:r w:rsidRPr="007224C3">
        <w:rPr>
          <w:rFonts w:ascii="Times New Roman" w:hAnsi="Times New Roman" w:cs="Times New Roman"/>
          <w:color w:val="000000" w:themeColor="text1"/>
          <w:sz w:val="16"/>
          <w:szCs w:val="16"/>
        </w:rPr>
        <w:softHyphen/>
        <w:t>ку ВВС Закавказского военного округа (г. Аджи-Кабул) (12735).</w:t>
      </w:r>
    </w:p>
    <w:p w14:paraId="51FFF7CA" w14:textId="77777777" w:rsidR="00903E13" w:rsidRPr="007224C3" w:rsidRDefault="00903E13"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p>
    <w:p w14:paraId="63D1D1FA"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марта 1944 г. Историческая справка по самолету ТБ-7 (Пе-8), составленная главным конструктором самолета на заводе № 22 И. Ф. Незваль</w:t>
      </w:r>
    </w:p>
    <w:p w14:paraId="03715C9C"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ТБ-7 задуман в варианте высотного бомбардировщика, оборудованного специальным агрегатом центрального наддува. Первоначальный эскизный проект самолета был составлен А. Н. Туполевым во второй половине 1934 г., в это же время под руководством В. М. Петлякова начались первые изыскания и исследовательские работы по прочности и выбору конструкции.</w:t>
      </w:r>
    </w:p>
    <w:p w14:paraId="2EFA78A8"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Проектирование всей машины началось с начала 1935 г. Окончательный эскизный проект самолета был закончен и предъявлен ВВС осенью 1935 г. Макет самолета был построен и предъявлен в феврале 1936 г. Выдача чертежей в производство началась с апреля 1935 г. и закончилась по основной массе чертежей в марте 1936 г. Производственные работы начались в мае 1935 г. Постройка самолета без установки моторов была закончена в середине 1936 г. Моторы были получены осенью 1936 г. Самолет вывезен на аэродром в ноябре 1936 г. В течение ноября и декабря производилась сборка самолета и отработка ВМГ на земле. Первый вылет состоялся 27 декабря 1936 г.</w:t>
      </w:r>
    </w:p>
    <w:p w14:paraId="59F39068"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Таким образом, на проектирование с изысканиями затрачено около двух лет, а вместе с постройкой – два с половиной года. Опытный самолет ТБ-7 был оборудован четырьмя моторами АМ-34ФРНБ и агрегатом центрального наддува АЦН-2 с мотором М-100 и имел следующее стрелковое вооружение:</w:t>
      </w:r>
    </w:p>
    <w:p w14:paraId="6FF7DBA4"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носу шаровую башню с пушкой Швак-20.</w:t>
      </w:r>
    </w:p>
    <w:p w14:paraId="12B21812"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корме шаровую башню с пушкой Швак-20.</w:t>
      </w:r>
    </w:p>
    <w:p w14:paraId="555216D2"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верху турель с пулеметом Шкас – 7,62.</w:t>
      </w:r>
    </w:p>
    <w:p w14:paraId="49425D8A"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шассийных установках 2 пушки Швак-20.</w:t>
      </w:r>
    </w:p>
    <w:p w14:paraId="120B5C84"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После первых испытаний в марте 1937 г. машина встала на доводки и переделку винто-моторной группы, заключавшуюся в размещении водорадиаторов двух моторов впереди гондола шасси (т. е. так, как в настоящее время) вместо отдельных радиаторов под каждым мотором. Переделка и доводки были закончены в мае 1937 г.</w:t>
      </w:r>
    </w:p>
    <w:p w14:paraId="58E8DE36"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В конце мая 1937 г. при первом испытательном полете на аэродроме 8-го отдела ЦАГИ в Подлипках машина потерпела аварию по причине ошибки пилотирования и два месяца простояла на ремонте.</w:t>
      </w:r>
    </w:p>
    <w:p w14:paraId="78A1A889"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августе 1937 г. самолет был передан в НИИ ВВС на совместные испытания, 1-й этап которых закончился в октябре 1937 г. После смены моторов, выработавших ресурсы, и проведения работ по установке зимнего шасси, в феврале 1938 г. самолет был снова передан в НИИ ВВС, где прошел зимние испытания на лыжах.</w:t>
      </w:r>
    </w:p>
    <w:p w14:paraId="6CCB97B0"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марта 1938 г. самолет перелетел в Евпаторию, где проходил 2-й этап государственных испытаний. В апреле испытания были закончены, в результате которых получены следующие летные данные:</w:t>
      </w:r>
    </w:p>
    <w:tbl>
      <w:tblPr>
        <w:tblW w:w="8926" w:type="dxa"/>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673"/>
        <w:gridCol w:w="1418"/>
        <w:gridCol w:w="1417"/>
        <w:gridCol w:w="1418"/>
      </w:tblGrid>
      <w:tr w:rsidR="005106D0" w:rsidRPr="007224C3" w14:paraId="597C04D4" w14:textId="77777777" w:rsidTr="00EB5859">
        <w:trPr>
          <w:tblCellSpacing w:w="0" w:type="dxa"/>
        </w:trPr>
        <w:tc>
          <w:tcPr>
            <w:tcW w:w="4673" w:type="dxa"/>
            <w:hideMark/>
          </w:tcPr>
          <w:p w14:paraId="598727F5"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полетный вес</w:t>
            </w:r>
          </w:p>
        </w:tc>
        <w:tc>
          <w:tcPr>
            <w:tcW w:w="1418" w:type="dxa"/>
            <w:hideMark/>
          </w:tcPr>
          <w:p w14:paraId="3114C6EF"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24000</w:t>
            </w:r>
          </w:p>
        </w:tc>
        <w:tc>
          <w:tcPr>
            <w:tcW w:w="1417" w:type="dxa"/>
            <w:hideMark/>
          </w:tcPr>
          <w:p w14:paraId="05208C01"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26000</w:t>
            </w:r>
          </w:p>
        </w:tc>
        <w:tc>
          <w:tcPr>
            <w:tcW w:w="1418" w:type="dxa"/>
            <w:hideMark/>
          </w:tcPr>
          <w:p w14:paraId="4CA7B949"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28000</w:t>
            </w:r>
          </w:p>
        </w:tc>
      </w:tr>
      <w:tr w:rsidR="005106D0" w:rsidRPr="007224C3" w14:paraId="56600158" w14:textId="77777777" w:rsidTr="00EB5859">
        <w:trPr>
          <w:tblCellSpacing w:w="0" w:type="dxa"/>
        </w:trPr>
        <w:tc>
          <w:tcPr>
            <w:tcW w:w="4673" w:type="dxa"/>
            <w:hideMark/>
          </w:tcPr>
          <w:p w14:paraId="05D214A8"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Максимальная скорость у земли</w:t>
            </w:r>
          </w:p>
        </w:tc>
        <w:tc>
          <w:tcPr>
            <w:tcW w:w="1418" w:type="dxa"/>
            <w:hideMark/>
          </w:tcPr>
          <w:p w14:paraId="676F2A20"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315 км/ч</w:t>
            </w:r>
          </w:p>
        </w:tc>
        <w:tc>
          <w:tcPr>
            <w:tcW w:w="1417" w:type="dxa"/>
            <w:hideMark/>
          </w:tcPr>
          <w:p w14:paraId="2EAFF733"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312 км/ч</w:t>
            </w:r>
          </w:p>
        </w:tc>
        <w:tc>
          <w:tcPr>
            <w:tcW w:w="1418" w:type="dxa"/>
            <w:hideMark/>
          </w:tcPr>
          <w:p w14:paraId="2FAB36BF"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305 км/ч</w:t>
            </w:r>
          </w:p>
        </w:tc>
      </w:tr>
      <w:tr w:rsidR="005106D0" w:rsidRPr="007224C3" w14:paraId="5427BD05" w14:textId="77777777" w:rsidTr="00EB5859">
        <w:trPr>
          <w:tblCellSpacing w:w="0" w:type="dxa"/>
        </w:trPr>
        <w:tc>
          <w:tcPr>
            <w:tcW w:w="4673" w:type="dxa"/>
            <w:hideMark/>
          </w:tcPr>
          <w:p w14:paraId="3C208382"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Максимальная скорость без АЦН на высоте 4700 м</w:t>
            </w:r>
          </w:p>
        </w:tc>
        <w:tc>
          <w:tcPr>
            <w:tcW w:w="1418" w:type="dxa"/>
            <w:hideMark/>
          </w:tcPr>
          <w:p w14:paraId="4661D357"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375 км/ч</w:t>
            </w:r>
          </w:p>
        </w:tc>
        <w:tc>
          <w:tcPr>
            <w:tcW w:w="1417" w:type="dxa"/>
            <w:hideMark/>
          </w:tcPr>
          <w:p w14:paraId="31F58487"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371 км/ч</w:t>
            </w:r>
          </w:p>
        </w:tc>
        <w:tc>
          <w:tcPr>
            <w:tcW w:w="1418" w:type="dxa"/>
            <w:hideMark/>
          </w:tcPr>
          <w:p w14:paraId="32E9F34E"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361 км/ч</w:t>
            </w:r>
          </w:p>
        </w:tc>
      </w:tr>
      <w:tr w:rsidR="005106D0" w:rsidRPr="007224C3" w14:paraId="09F759D6" w14:textId="77777777" w:rsidTr="00EB5859">
        <w:trPr>
          <w:tblCellSpacing w:w="0" w:type="dxa"/>
        </w:trPr>
        <w:tc>
          <w:tcPr>
            <w:tcW w:w="4673" w:type="dxa"/>
            <w:hideMark/>
          </w:tcPr>
          <w:p w14:paraId="138B3FD0"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Максимальная скорость с АЦН на высоте 8600 м</w:t>
            </w:r>
          </w:p>
        </w:tc>
        <w:tc>
          <w:tcPr>
            <w:tcW w:w="1418" w:type="dxa"/>
            <w:hideMark/>
          </w:tcPr>
          <w:p w14:paraId="601BBD9E"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430 км/ч</w:t>
            </w:r>
          </w:p>
        </w:tc>
        <w:tc>
          <w:tcPr>
            <w:tcW w:w="1417" w:type="dxa"/>
            <w:hideMark/>
          </w:tcPr>
          <w:p w14:paraId="234632F0"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420 км/ч</w:t>
            </w:r>
          </w:p>
        </w:tc>
        <w:tc>
          <w:tcPr>
            <w:tcW w:w="1418" w:type="dxa"/>
            <w:hideMark/>
          </w:tcPr>
          <w:p w14:paraId="571CE12D"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406 км/ч</w:t>
            </w:r>
          </w:p>
        </w:tc>
      </w:tr>
      <w:tr w:rsidR="005106D0" w:rsidRPr="007224C3" w14:paraId="47929067" w14:textId="77777777" w:rsidTr="00EB5859">
        <w:trPr>
          <w:tblCellSpacing w:w="0" w:type="dxa"/>
        </w:trPr>
        <w:tc>
          <w:tcPr>
            <w:tcW w:w="4673" w:type="dxa"/>
            <w:hideMark/>
          </w:tcPr>
          <w:p w14:paraId="713E1C17"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Время подъема на 5000 м без АЦН</w:t>
            </w:r>
          </w:p>
        </w:tc>
        <w:tc>
          <w:tcPr>
            <w:tcW w:w="1418" w:type="dxa"/>
            <w:hideMark/>
          </w:tcPr>
          <w:p w14:paraId="76C884C8"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мин.</w:t>
            </w:r>
          </w:p>
        </w:tc>
        <w:tc>
          <w:tcPr>
            <w:tcW w:w="1417" w:type="dxa"/>
            <w:hideMark/>
          </w:tcPr>
          <w:p w14:paraId="059AD230"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19,1 мин.</w:t>
            </w:r>
          </w:p>
        </w:tc>
        <w:tc>
          <w:tcPr>
            <w:tcW w:w="1418" w:type="dxa"/>
            <w:hideMark/>
          </w:tcPr>
          <w:p w14:paraId="1F7E33B6"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23,3 мин.</w:t>
            </w:r>
          </w:p>
        </w:tc>
      </w:tr>
      <w:tr w:rsidR="005106D0" w:rsidRPr="007224C3" w14:paraId="6208A6DA" w14:textId="77777777" w:rsidTr="00EB5859">
        <w:trPr>
          <w:tblCellSpacing w:w="0" w:type="dxa"/>
        </w:trPr>
        <w:tc>
          <w:tcPr>
            <w:tcW w:w="4673" w:type="dxa"/>
            <w:hideMark/>
          </w:tcPr>
          <w:p w14:paraId="5CBA9D9A"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Время подъема на 5000 м с АЦН</w:t>
            </w:r>
          </w:p>
        </w:tc>
        <w:tc>
          <w:tcPr>
            <w:tcW w:w="1418" w:type="dxa"/>
            <w:hideMark/>
          </w:tcPr>
          <w:p w14:paraId="7E3D0325"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16,3 мин.</w:t>
            </w:r>
          </w:p>
        </w:tc>
        <w:tc>
          <w:tcPr>
            <w:tcW w:w="1417" w:type="dxa"/>
            <w:hideMark/>
          </w:tcPr>
          <w:p w14:paraId="05AE995B"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18,8 мин.</w:t>
            </w:r>
          </w:p>
        </w:tc>
        <w:tc>
          <w:tcPr>
            <w:tcW w:w="1418" w:type="dxa"/>
            <w:hideMark/>
          </w:tcPr>
          <w:p w14:paraId="163DF5BA"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162EF997" w14:textId="77777777" w:rsidTr="00EB5859">
        <w:trPr>
          <w:tblCellSpacing w:w="0" w:type="dxa"/>
        </w:trPr>
        <w:tc>
          <w:tcPr>
            <w:tcW w:w="4673" w:type="dxa"/>
            <w:hideMark/>
          </w:tcPr>
          <w:p w14:paraId="00F5E193"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Практический потолок без АЦН</w:t>
            </w:r>
          </w:p>
        </w:tc>
        <w:tc>
          <w:tcPr>
            <w:tcW w:w="1418" w:type="dxa"/>
            <w:hideMark/>
          </w:tcPr>
          <w:p w14:paraId="73DB78D9"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8200 м</w:t>
            </w:r>
          </w:p>
        </w:tc>
        <w:tc>
          <w:tcPr>
            <w:tcW w:w="1417" w:type="dxa"/>
            <w:hideMark/>
          </w:tcPr>
          <w:p w14:paraId="45B822BB"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7300 м</w:t>
            </w:r>
          </w:p>
        </w:tc>
        <w:tc>
          <w:tcPr>
            <w:tcW w:w="1418" w:type="dxa"/>
            <w:hideMark/>
          </w:tcPr>
          <w:p w14:paraId="441935BA"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5700 м</w:t>
            </w:r>
          </w:p>
        </w:tc>
      </w:tr>
      <w:tr w:rsidR="005106D0" w:rsidRPr="007224C3" w14:paraId="26B8043E" w14:textId="77777777" w:rsidTr="00EB5859">
        <w:trPr>
          <w:tblCellSpacing w:w="0" w:type="dxa"/>
        </w:trPr>
        <w:tc>
          <w:tcPr>
            <w:tcW w:w="4673" w:type="dxa"/>
            <w:hideMark/>
          </w:tcPr>
          <w:p w14:paraId="2329C13E"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Практический потолок с АЦН</w:t>
            </w:r>
          </w:p>
        </w:tc>
        <w:tc>
          <w:tcPr>
            <w:tcW w:w="1418" w:type="dxa"/>
            <w:hideMark/>
          </w:tcPr>
          <w:p w14:paraId="13E72185"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417" w:type="dxa"/>
            <w:hideMark/>
          </w:tcPr>
          <w:p w14:paraId="24FDB56C"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10200 м</w:t>
            </w:r>
          </w:p>
        </w:tc>
        <w:tc>
          <w:tcPr>
            <w:tcW w:w="1418" w:type="dxa"/>
            <w:hideMark/>
          </w:tcPr>
          <w:p w14:paraId="3425BC5D"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0A06219A" w14:textId="77777777" w:rsidTr="00EB5859">
        <w:trPr>
          <w:tblCellSpacing w:w="0" w:type="dxa"/>
        </w:trPr>
        <w:tc>
          <w:tcPr>
            <w:tcW w:w="4673" w:type="dxa"/>
            <w:hideMark/>
          </w:tcPr>
          <w:p w14:paraId="7C878ACC"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Время набора потолка без АЦН</w:t>
            </w:r>
          </w:p>
        </w:tc>
        <w:tc>
          <w:tcPr>
            <w:tcW w:w="1418" w:type="dxa"/>
            <w:hideMark/>
          </w:tcPr>
          <w:p w14:paraId="76E4B0DD"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65 мин.</w:t>
            </w:r>
          </w:p>
        </w:tc>
        <w:tc>
          <w:tcPr>
            <w:tcW w:w="1417" w:type="dxa"/>
            <w:hideMark/>
          </w:tcPr>
          <w:p w14:paraId="3E61F8C2"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65,2 мин.</w:t>
            </w:r>
          </w:p>
        </w:tc>
        <w:tc>
          <w:tcPr>
            <w:tcW w:w="1418" w:type="dxa"/>
            <w:hideMark/>
          </w:tcPr>
          <w:p w14:paraId="4F9108A9"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64 мин.</w:t>
            </w:r>
          </w:p>
        </w:tc>
      </w:tr>
      <w:tr w:rsidR="005106D0" w:rsidRPr="007224C3" w14:paraId="7146CD1D" w14:textId="77777777" w:rsidTr="00EB5859">
        <w:trPr>
          <w:tblCellSpacing w:w="0" w:type="dxa"/>
        </w:trPr>
        <w:tc>
          <w:tcPr>
            <w:tcW w:w="4673" w:type="dxa"/>
            <w:hideMark/>
          </w:tcPr>
          <w:p w14:paraId="2843BB22"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Время набора потолка с АЦН</w:t>
            </w:r>
          </w:p>
        </w:tc>
        <w:tc>
          <w:tcPr>
            <w:tcW w:w="1418" w:type="dxa"/>
            <w:hideMark/>
          </w:tcPr>
          <w:p w14:paraId="496EC4F1"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417" w:type="dxa"/>
            <w:hideMark/>
          </w:tcPr>
          <w:p w14:paraId="3986373B"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57 мин.</w:t>
            </w:r>
          </w:p>
        </w:tc>
        <w:tc>
          <w:tcPr>
            <w:tcW w:w="1418" w:type="dxa"/>
            <w:hideMark/>
          </w:tcPr>
          <w:p w14:paraId="6D019890"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0CEF7A09" w14:textId="77777777" w:rsidTr="00EB5859">
        <w:trPr>
          <w:tblCellSpacing w:w="0" w:type="dxa"/>
        </w:trPr>
        <w:tc>
          <w:tcPr>
            <w:tcW w:w="4673" w:type="dxa"/>
            <w:hideMark/>
          </w:tcPr>
          <w:p w14:paraId="4437B4AA"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Длина разбега со щитками</w:t>
            </w:r>
          </w:p>
        </w:tc>
        <w:tc>
          <w:tcPr>
            <w:tcW w:w="1418" w:type="dxa"/>
            <w:hideMark/>
          </w:tcPr>
          <w:p w14:paraId="281AC396"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280 м</w:t>
            </w:r>
          </w:p>
        </w:tc>
        <w:tc>
          <w:tcPr>
            <w:tcW w:w="1417" w:type="dxa"/>
            <w:hideMark/>
          </w:tcPr>
          <w:p w14:paraId="25CE2590"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405 м</w:t>
            </w:r>
          </w:p>
        </w:tc>
        <w:tc>
          <w:tcPr>
            <w:tcW w:w="1418" w:type="dxa"/>
            <w:hideMark/>
          </w:tcPr>
          <w:p w14:paraId="7083D782"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538 м</w:t>
            </w:r>
          </w:p>
        </w:tc>
      </w:tr>
      <w:tr w:rsidR="005106D0" w:rsidRPr="007224C3" w14:paraId="4704D32C" w14:textId="77777777" w:rsidTr="00EB5859">
        <w:trPr>
          <w:tblCellSpacing w:w="0" w:type="dxa"/>
        </w:trPr>
        <w:tc>
          <w:tcPr>
            <w:tcW w:w="4673" w:type="dxa"/>
            <w:hideMark/>
          </w:tcPr>
          <w:p w14:paraId="5A295CA5"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Время разбега со щитками</w:t>
            </w:r>
          </w:p>
        </w:tc>
        <w:tc>
          <w:tcPr>
            <w:tcW w:w="1418" w:type="dxa"/>
            <w:hideMark/>
          </w:tcPr>
          <w:p w14:paraId="7FD41AAD"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16,8 мин.</w:t>
            </w:r>
          </w:p>
        </w:tc>
        <w:tc>
          <w:tcPr>
            <w:tcW w:w="1417" w:type="dxa"/>
            <w:hideMark/>
          </w:tcPr>
          <w:p w14:paraId="07105EE7"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22,2 мин.</w:t>
            </w:r>
          </w:p>
        </w:tc>
        <w:tc>
          <w:tcPr>
            <w:tcW w:w="1418" w:type="dxa"/>
            <w:hideMark/>
          </w:tcPr>
          <w:p w14:paraId="1A1587BB"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28,5 мин.</w:t>
            </w:r>
          </w:p>
        </w:tc>
      </w:tr>
    </w:tbl>
    <w:p w14:paraId="1F260857"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Длина разбега при полетном весе в 30000 кг получена 770 м. В отчете об испытаниях дана очень хорошая оценка самолета и настоятельная рекомендация о выпуске в серию. По окончании этих испытаний состоялось решение правительства о запуске самолета ТБ-7 с 4АМ-34ФРНБ + М-100 в серию на заводе № 124.</w:t>
      </w:r>
    </w:p>
    <w:p w14:paraId="111AC4C7"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1937 г. был запущен в производство 2-й экземпляр самолета ТБ-7 «Дублер», отличавшийся от первого несколько расширенным фюзеляжем, измененным вооружением, расширенной штурманской кабиной. В процессе постройки, осенью 1937 г., было введено неподвижное свободнонесущее горизонтальное оперение. Испытания «Дублера» закончились летом 1938 г.</w:t>
      </w:r>
    </w:p>
    <w:p w14:paraId="4AFBD198"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серию самолет был запущен по типу «Дублера», но со снятой выступающей вниз кабиной штурмана и с добавлением люковой стрелковой установки в Ф-3. Остальное стрелковое вооружение состояло из спарки пулеметов Шкас-7,62 в шаровых башнях на носу и на корме, одной пушки Швак-20 на верху и двух пулеметов Шкас-7,62 в шассийных установках.</w:t>
      </w:r>
    </w:p>
    <w:p w14:paraId="39A4A31D"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 чертежи по самолету были переданы заводу № 124 в течение мая и июня 1938 г. В этот же период началась подготовка производства. В 1938 г. завод не выпустил ни одного самолета. Первый самолет вышел летом 1939 г. Серийные самолеты сначала выпускались с моторами АМ-34ФРНВ + М-101 (4 самолета), а последующие – с моторами АМ-35, ввиду снятия с производства моторов АМ-34ФРНВ.</w:t>
      </w:r>
    </w:p>
    <w:p w14:paraId="7C1262C7"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1940 г. решением правительства самолет ТБ-7 был снят с производства как устаревший. В марте 1940 г. была уничтожена вся оснастка для этого самолета (использована для оснастки самолета ПС-64). К этому времени было построено и сдано ВВС 10 самолетов, а на заводе остался задел планеров и агрегатов еще на 7 самолетов.</w:t>
      </w:r>
    </w:p>
    <w:p w14:paraId="686464ED"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Решением правительства от мая 1940 г. производство самолетов ТБ-7 было восстановлено вновь, с выпуском первых машин с моторами АМ-35А без АЦН, а последующих с дизель-моторами М-40Ф и М-30.</w:t>
      </w:r>
    </w:p>
    <w:p w14:paraId="6E80C305"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Сначала была построена одна машина с моторами АМ-35А, прошедшая госиспытания в НИИ ВВС в начале 1941 г. и показавшая хорошие результаты, а именно:</w:t>
      </w:r>
    </w:p>
    <w:p w14:paraId="5CC6785F"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полетном весе 27000 кг самолет ТБ-7 имел:</w:t>
      </w:r>
    </w:p>
    <w:p w14:paraId="4504C188"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Максимальную скорость у земли – 347 км/час</w:t>
      </w:r>
    </w:p>
    <w:p w14:paraId="62816342"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Максимальную скорость на высоте 6360 м – 443 км/час</w:t>
      </w:r>
    </w:p>
    <w:p w14:paraId="18C9C78D"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Время подъема на 5000 м – 14,6 мин.</w:t>
      </w:r>
    </w:p>
    <w:p w14:paraId="0FF92745"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Практический потолок – 9300 м</w:t>
      </w:r>
    </w:p>
    <w:p w14:paraId="64643AA3"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Время набора потолка – 43,5 мин.</w:t>
      </w:r>
    </w:p>
    <w:p w14:paraId="742A5E5F"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Длина разбега на номинале – 485 м</w:t>
      </w:r>
    </w:p>
    <w:p w14:paraId="18735694"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Время разбега – 18 сек.</w:t>
      </w:r>
    </w:p>
    <w:p w14:paraId="1BCD2D2E"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Этот самолет был также оборудован десантной кабиной.</w:t>
      </w:r>
    </w:p>
    <w:p w14:paraId="294B0724"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Помимо этого были выпущены два самолета с дизелями: один осенью 1940 г. с моторами М-40, а другой в феврале 1941 г. с моторами М-30, первый прошел заводские и государственные испытания, но в дальнейшем серийные самолеты выпускались уже с моторами М-40Ф. На самолете ТБ-7 с моторами М-30 в связи с началом войны испытания не были закончены, и он был передан в воинскую часть для боевой эксплуатации. Самолеты ТБ-7 с моторами М-40Ф по той же причине полностью испытаны не были.</w:t>
      </w:r>
    </w:p>
    <w:p w14:paraId="3E5DCA38"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1941 г. в связи с запуском на заводе № 124 самолета Пе-2, производство самолетов ТБ-7 было фактически прекращено. В начале войны, при формировании дивизии дальнего действия, самолеты подверглись переоборудованию и полному перевооружению, а также частичному бронированию экипажа. При перевооружении легкие пулеметы на корме были заменены пушкой Швак-20, а в шассийных точках на УБТ-12,7. В это же время была использована часть имевшегося задела планеров. В декабре 1941 г. при слиянии заводов № 124 и 22 решением ГОКО производство самолетов было законсервировано. Производилась только доделка нескольких незаконченных самолетов. Вся оснастка была снята с мест и вывезена из производственных цехов. За период консервации, в связи с недоработанностью моторов М-40Ф, на многих готовых самолетах была произведена замена моторов на М-30, но после выявления ряда серьезных дефектов моторов М-30 последние также были сняты со всех самолетов и заменены моторами АМ-35А.</w:t>
      </w:r>
    </w:p>
    <w:p w14:paraId="2F238D87"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этот же период был выпущен один самолет, оборудованный моторами М-82, испытания которого были закончены осенью 1942 г.</w:t>
      </w:r>
    </w:p>
    <w:p w14:paraId="01F93CF4"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июне 1942 г. решением ГОКО производство самолетов ТБ-7 на заводе № 22 было снова возобновлено с выделением на заводе отдельного производства с месячным выпуском по пять самолетов Пе-8 с моторами М-82.</w:t>
      </w:r>
    </w:p>
    <w:p w14:paraId="51A40600"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Однако это решение по существу выполнено не было как в части организации производства, так и в отношении количества выпускаемых машин. До последнего времени завод выпускал не более чем три машины в месяц.</w:t>
      </w:r>
    </w:p>
    <w:p w14:paraId="1C871209"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Решением ГОКО от 5 марта 1944 г. вновь прекращено производство этих машин и дано задание еще раз их переоборудовать под пассажирский вариант с моторами М-30.</w:t>
      </w:r>
    </w:p>
    <w:p w14:paraId="04CB9A32"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Главный конструктор И. Ф. Незваль</w:t>
      </w:r>
    </w:p>
    <w:p w14:paraId="11E7291D"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РТ. Ф. Р-2845. Оп. 3. Д. 277. Л. 71-73 об. Отпуск (15494).</w:t>
      </w:r>
    </w:p>
    <w:p w14:paraId="6C20F2CF" w14:textId="77777777" w:rsidR="00FA2B3C" w:rsidRPr="007224C3" w:rsidRDefault="00FA2B3C" w:rsidP="007224C3">
      <w:pPr>
        <w:spacing w:after="0" w:line="240" w:lineRule="auto"/>
        <w:jc w:val="both"/>
        <w:rPr>
          <w:rFonts w:ascii="Times New Roman" w:hAnsi="Times New Roman"/>
          <w:color w:val="000000" w:themeColor="text1"/>
          <w:sz w:val="16"/>
          <w:szCs w:val="16"/>
        </w:rPr>
      </w:pPr>
    </w:p>
    <w:p w14:paraId="470FCEA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марта 1944 вышел приказ НКАП N 196сс "О переоборудовании 4-х самолетов Пе-8 в пассажирский вариант с дизель-моторами АЧ-30Б" (1629,42).</w:t>
      </w:r>
    </w:p>
    <w:p w14:paraId="4477ECC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C28D4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марта 1944 года Приказ НКАП №196 во исполнение Постановления ГОКО №5402 по проектированию и постройке пассажирского варианта самолета Пе-8 с двигателями АЧ-ЗОБ. Согласно приказу самолет должен был удовлетворять следующим требованиям:</w:t>
      </w:r>
    </w:p>
    <w:p w14:paraId="0DB24BC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Размещать 14 пассажирских мест.</w:t>
      </w:r>
    </w:p>
    <w:p w14:paraId="0C122EF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Иметь отапливаемую кабину и антиобледенительные устройства.</w:t>
      </w:r>
    </w:p>
    <w:p w14:paraId="309FB3F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Иметь максимальную дальность полета 6000 км при скорости 0,7 от максимальной, при полетной массе 35000 кг.</w:t>
      </w:r>
    </w:p>
    <w:p w14:paraId="79C89B9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Иметь вооружение - один пулемет УБТ в носовой башне, одну пушку ШВАК в кормовой башне, два пулемета УБТ в шассийных установках, с боезапасом 250 снарядов к пушке и по 250 патронов на каждый пулемет (7685).</w:t>
      </w:r>
    </w:p>
    <w:p w14:paraId="2006EAC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695079" w14:textId="77777777" w:rsidR="00903E13" w:rsidRPr="007224C3" w:rsidRDefault="00903E1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марта 1944 вышел второй Приказ НКАП №196 во исполнение Постановления ГОКО №5402 от 15 марта 1944 года по проектированию и постройке пассажирского варианта самолета Пе-8 с двигателями АЧ-ЗОБ. Согласно приказу самолет должен был удовлетворять следующим требованиям:</w:t>
      </w:r>
    </w:p>
    <w:p w14:paraId="174101AF" w14:textId="77777777" w:rsidR="00903E13" w:rsidRPr="007224C3" w:rsidRDefault="00903E13" w:rsidP="007224C3">
      <w:pPr>
        <w:pStyle w:val="afff6"/>
        <w:tabs>
          <w:tab w:val="left" w:pos="467"/>
        </w:tabs>
        <w:autoSpaceDE/>
        <w:autoSpaceDN/>
        <w:adjustRightInd/>
        <w:ind w:left="0"/>
        <w:contextualSpacing w:val="0"/>
        <w:jc w:val="both"/>
        <w:rPr>
          <w:color w:val="000000" w:themeColor="text1"/>
          <w:sz w:val="16"/>
          <w:szCs w:val="16"/>
        </w:rPr>
      </w:pPr>
      <w:r w:rsidRPr="007224C3">
        <w:rPr>
          <w:color w:val="000000" w:themeColor="text1"/>
          <w:sz w:val="16"/>
          <w:szCs w:val="16"/>
        </w:rPr>
        <w:t>1. Размещать 14 пассажирских мест.</w:t>
      </w:r>
    </w:p>
    <w:p w14:paraId="33EA543E" w14:textId="77777777" w:rsidR="00903E13" w:rsidRPr="007224C3" w:rsidRDefault="00903E13" w:rsidP="007224C3">
      <w:pPr>
        <w:pStyle w:val="afff6"/>
        <w:tabs>
          <w:tab w:val="left" w:pos="485"/>
        </w:tabs>
        <w:autoSpaceDE/>
        <w:autoSpaceDN/>
        <w:adjustRightInd/>
        <w:ind w:left="0"/>
        <w:contextualSpacing w:val="0"/>
        <w:jc w:val="both"/>
        <w:rPr>
          <w:color w:val="000000" w:themeColor="text1"/>
          <w:sz w:val="16"/>
          <w:szCs w:val="16"/>
        </w:rPr>
      </w:pPr>
      <w:r w:rsidRPr="007224C3">
        <w:rPr>
          <w:color w:val="000000" w:themeColor="text1"/>
          <w:sz w:val="16"/>
          <w:szCs w:val="16"/>
        </w:rPr>
        <w:t>2. Иметь отапливаемую кабину и антиобледенительные устройства.</w:t>
      </w:r>
    </w:p>
    <w:p w14:paraId="3FAE94CE" w14:textId="77777777" w:rsidR="00903E13" w:rsidRPr="007224C3" w:rsidRDefault="00903E13" w:rsidP="007224C3">
      <w:pPr>
        <w:pStyle w:val="afff6"/>
        <w:tabs>
          <w:tab w:val="left" w:pos="482"/>
        </w:tabs>
        <w:autoSpaceDE/>
        <w:autoSpaceDN/>
        <w:adjustRightInd/>
        <w:ind w:left="0"/>
        <w:contextualSpacing w:val="0"/>
        <w:jc w:val="both"/>
        <w:rPr>
          <w:color w:val="000000" w:themeColor="text1"/>
          <w:sz w:val="16"/>
          <w:szCs w:val="16"/>
        </w:rPr>
      </w:pPr>
      <w:r w:rsidRPr="007224C3">
        <w:rPr>
          <w:color w:val="000000" w:themeColor="text1"/>
          <w:sz w:val="16"/>
          <w:szCs w:val="16"/>
        </w:rPr>
        <w:t>3. Иметь максимальную дальность полета 6000 км при скорости 0,7 от максимальной, при полетной массе 35000 кг.</w:t>
      </w:r>
    </w:p>
    <w:p w14:paraId="278F8B36" w14:textId="77777777" w:rsidR="00903E13" w:rsidRPr="007224C3" w:rsidRDefault="00903E13" w:rsidP="007224C3">
      <w:pPr>
        <w:pStyle w:val="afff6"/>
        <w:tabs>
          <w:tab w:val="left" w:pos="518"/>
        </w:tabs>
        <w:autoSpaceDE/>
        <w:autoSpaceDN/>
        <w:adjustRightInd/>
        <w:ind w:left="0"/>
        <w:contextualSpacing w:val="0"/>
        <w:jc w:val="both"/>
        <w:rPr>
          <w:color w:val="000000" w:themeColor="text1"/>
          <w:sz w:val="16"/>
          <w:szCs w:val="16"/>
        </w:rPr>
      </w:pPr>
      <w:r w:rsidRPr="007224C3">
        <w:rPr>
          <w:color w:val="000000" w:themeColor="text1"/>
          <w:sz w:val="16"/>
          <w:szCs w:val="16"/>
        </w:rPr>
        <w:t>4. Иметь вооружение — один пулемет УБТ в носовой башне, одну пушку ШВАК в кормовой башне, два пулемета УБТ в шассийных установках, с боезапасом 250 снарядов к пушке и по 250 патронов на каждый пулемет.</w:t>
      </w:r>
    </w:p>
    <w:p w14:paraId="48DC716E" w14:textId="77777777" w:rsidR="00903E13" w:rsidRPr="007224C3" w:rsidRDefault="00903E1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В соответствии с этими требовани</w:t>
      </w:r>
      <w:r w:rsidRPr="007224C3">
        <w:rPr>
          <w:rFonts w:ascii="Times New Roman" w:hAnsi="Times New Roman"/>
          <w:color w:val="000000" w:themeColor="text1"/>
          <w:sz w:val="16"/>
          <w:szCs w:val="16"/>
        </w:rPr>
        <w:softHyphen/>
        <w:t>ями проходило проектирование само</w:t>
      </w:r>
      <w:r w:rsidRPr="007224C3">
        <w:rPr>
          <w:rFonts w:ascii="Times New Roman" w:hAnsi="Times New Roman"/>
          <w:color w:val="000000" w:themeColor="text1"/>
          <w:sz w:val="16"/>
          <w:szCs w:val="16"/>
        </w:rPr>
        <w:softHyphen/>
        <w:t>лета. Полный комплект рабочих чертежей по машине был выдан производству к 10 апреля 1944 года. Сборка первого самолета была закон</w:t>
      </w:r>
      <w:r w:rsidRPr="007224C3">
        <w:rPr>
          <w:rFonts w:ascii="Times New Roman" w:hAnsi="Times New Roman"/>
          <w:color w:val="000000" w:themeColor="text1"/>
          <w:sz w:val="16"/>
          <w:szCs w:val="16"/>
        </w:rPr>
        <w:softHyphen/>
        <w:t>чена 31 октября, второго самолета — 31 декабря 1944 года. Основные за</w:t>
      </w:r>
      <w:r w:rsidRPr="007224C3">
        <w:rPr>
          <w:rFonts w:ascii="Times New Roman" w:hAnsi="Times New Roman"/>
          <w:color w:val="000000" w:themeColor="text1"/>
          <w:sz w:val="16"/>
          <w:szCs w:val="16"/>
        </w:rPr>
        <w:softHyphen/>
        <w:t>держки сборочных работ произошли из-за долгого отсутствия дизельных двигателей и винтов. В сборочный цех дизеля поступили к 14 октября 1944 года, винты — 30 октября, а для второй машины двигатели поступили только 20 декабря 1944 года.</w:t>
      </w:r>
    </w:p>
    <w:p w14:paraId="4BF8687E" w14:textId="77777777" w:rsidR="00903E13" w:rsidRPr="007224C3" w:rsidRDefault="00903E1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проектировании и постройке пассажирского варианта Пе-8 (по ОКБ и заводу шифр самолет "Е") большие проблемы возникли с добыванием необходимых отделочных материалов для салонов самолета. Казанский завод выпускал только боевые машины, естественно, необходимых материалов на его складах не было. На дворе 1944 год, война, всем не до веселеньких обивок. Незвалю пришлось ехать в Москву и вместе с представителем НКАП направиться в Ассортиментный отдел Наркомата легкой промышленности и там подбирать нужные текстильные материалы. В годы войны этот ассортимент был небогатый. С большим трудом удалось получить материал с красивой выработкой для обеих машин: для одной машины выбрали светло-серый материал, для второй темно-бежевый. Этот материал пошел на отделку диванов и стен салонов. Кроме того, ни в ОКБ, ни на заводе никто толком не знал, с какого бока подойти к отделочным работам. Пришлось поездить и посмотреть, как это все выполняется на специализированных заводах.</w:t>
      </w:r>
    </w:p>
    <w:p w14:paraId="13CD9A52" w14:textId="77777777" w:rsidR="00903E13" w:rsidRPr="007224C3" w:rsidRDefault="00903E1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Основная пассажирская кабина располагалась в задней части фюзеляжа. В ней размещалось 12 сидячих кресел. Кресла типа "Дуглас", с откидывающимися спинками, позволявшими пассажирам занимать полулежачее положение. В центроплане оборудовалась спальная кабина, с тремя диванами. Позади основной пассажирской кабины находилась изолированная туалетная комната с унитазом, умывальником и небольшим зеркалом. Имелась вешалка для верхней одежды и багажник, размещенный под полом спальной кабины. В пассажирской кабине имелось следующее специальное оборудование:</w:t>
      </w:r>
    </w:p>
    <w:p w14:paraId="51A5E885" w14:textId="77777777" w:rsidR="00903E13" w:rsidRPr="007224C3" w:rsidRDefault="00903E13" w:rsidP="007224C3">
      <w:pPr>
        <w:tabs>
          <w:tab w:val="left" w:pos="503"/>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Тепловая и звуковая изоляция стенок и пола.</w:t>
      </w:r>
    </w:p>
    <w:p w14:paraId="64D62103" w14:textId="77777777" w:rsidR="00903E13" w:rsidRPr="007224C3" w:rsidRDefault="00903E13" w:rsidP="007224C3">
      <w:pPr>
        <w:tabs>
          <w:tab w:val="left" w:pos="525"/>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Отопление воздухом, нагретым горячей водой от системы охлаждения двигателей.</w:t>
      </w:r>
    </w:p>
    <w:p w14:paraId="05BD631C" w14:textId="77777777" w:rsidR="00903E13" w:rsidRPr="007224C3" w:rsidRDefault="00903E13" w:rsidP="007224C3">
      <w:pPr>
        <w:tabs>
          <w:tab w:val="left" w:pos="525"/>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Индивидуальная вентиляция.</w:t>
      </w:r>
    </w:p>
    <w:p w14:paraId="4D8FD5AE" w14:textId="77777777" w:rsidR="00903E13" w:rsidRPr="007224C3" w:rsidRDefault="00903E13" w:rsidP="007224C3">
      <w:pPr>
        <w:tabs>
          <w:tab w:val="left" w:pos="630"/>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Кислородное оборудование, обеспечивавшее кислородом каждое пассажирское место.</w:t>
      </w:r>
    </w:p>
    <w:p w14:paraId="22054A02" w14:textId="77777777" w:rsidR="00903E13" w:rsidRPr="007224C3" w:rsidRDefault="00903E13" w:rsidP="007224C3">
      <w:pPr>
        <w:tabs>
          <w:tab w:val="left" w:pos="630"/>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Кабинное и индивидуальное освещение</w:t>
      </w:r>
    </w:p>
    <w:p w14:paraId="3FF4E161" w14:textId="77777777" w:rsidR="00903E13" w:rsidRPr="007224C3" w:rsidRDefault="00903E1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размещения пассажиров потребовалось снять заднюю верхнюю пушечную установку ТАТ, а также грузовой пол над бомбоотсеком в Ф-3, в связи с чем были доработаны ряд шпангоутов и спроектирован новый пол, обеспечивший проход пассажиров в полный рост. Грузовой пол в районе центроплана, являвшийся силовым элементом, сохранили без изменений.</w:t>
      </w:r>
    </w:p>
    <w:p w14:paraId="307717FC" w14:textId="77777777" w:rsidR="00903E13" w:rsidRPr="007224C3" w:rsidRDefault="00903E1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системе отопления и вентиляции отопительные каналы, со свободным выходом теплого воздуха, размещались по полу по обеим сторонам прохода. Забор воздуха производился через патрубки в носке крыла. Воздух проходил через специальные водяные радиаторы, где он подогревался горячей водой от системы охлаждения двигателей и по трубопроводу подавался в кабину. Воздух для приточной вентиляции поступал через заборники на фюзеляже и подавался по вентиляционным коробам, идущим вдоль бортов фюзеляжа. У каждого пассажирского места имелся специальный вывод воздуха.</w:t>
      </w:r>
    </w:p>
    <w:p w14:paraId="63DFFEE7" w14:textId="77777777" w:rsidR="00903E13" w:rsidRPr="007224C3" w:rsidRDefault="00903E1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Из-за установки двигателей АЧ-ЗОБ с ТК использование тепла выхлопных газов не представлялось возможным. Из-за этого в качестве противообледенительного устройства на передних кромках крыла и оперения устанавливались резиновые пневматические антиобледенители типа "Гудрич". Антиобледенители на винтах и стеклах козырька пилота были жидкостные, как и на серийных машинах.</w:t>
      </w:r>
    </w:p>
    <w:p w14:paraId="2342D463" w14:textId="77777777" w:rsidR="00903E13" w:rsidRPr="007224C3" w:rsidRDefault="00903E1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выполнении высотного полета все пассажиры обеспечивались питанием кислородом из расчета 16 литров на человека. Этого запаса хватало для полетов на высотах 6000-8000 м в течение 8 часов.</w:t>
      </w:r>
    </w:p>
    <w:p w14:paraId="55DAA617" w14:textId="77777777" w:rsidR="00903E13" w:rsidRPr="007224C3" w:rsidRDefault="00903E1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самолете сохранили все аэронавигационное и радиооборудование серийного бомбардировочного варианта.</w:t>
      </w:r>
    </w:p>
    <w:p w14:paraId="4022AF2D" w14:textId="77777777" w:rsidR="00903E13" w:rsidRPr="007224C3" w:rsidRDefault="00903E1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Были сохранены следующие огневые оборонительные точки:</w:t>
      </w:r>
    </w:p>
    <w:p w14:paraId="0DA71DA1" w14:textId="77777777" w:rsidR="00903E13" w:rsidRPr="007224C3" w:rsidRDefault="00903E13" w:rsidP="007224C3">
      <w:pPr>
        <w:tabs>
          <w:tab w:val="left" w:pos="493"/>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Носовая стрелковая с пулеметом УБТ-12,7 мм на шаровой опоре с запасом патронов 200 штук.</w:t>
      </w:r>
    </w:p>
    <w:p w14:paraId="5F285984" w14:textId="77777777" w:rsidR="00903E13" w:rsidRPr="007224C3" w:rsidRDefault="00903E13" w:rsidP="007224C3">
      <w:pPr>
        <w:tabs>
          <w:tab w:val="left" w:pos="485"/>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Кормовая стрелковая башня КЭБ с пушкой ШВАК-20, с запасом снарядов 230 штук.</w:t>
      </w:r>
    </w:p>
    <w:p w14:paraId="29FF075A" w14:textId="77777777" w:rsidR="00903E13" w:rsidRPr="007224C3" w:rsidRDefault="00903E13" w:rsidP="007224C3">
      <w:pPr>
        <w:tabs>
          <w:tab w:val="left" w:pos="511"/>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Две стрелковые установки ШУ в обтекателях шасси, с пулеметами УБТ-12,7 мм с запасом патронов по 230 штук на каждую.</w:t>
      </w:r>
    </w:p>
    <w:p w14:paraId="37C9DED6" w14:textId="77777777" w:rsidR="00903E13" w:rsidRPr="007224C3" w:rsidRDefault="00903E1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установке двигателей АЧ-ЗОБ, по сравнению с серийным самолетом, имевшим те же двигатели, в винтомоторной группе были выполнены следующие изменения: улучшена продувка водорадиаторов путем установки туннеля с открытым входом и регулировкой на входе; установлены маслобаки увеличенной емкости с расчетом на 20 часов полета; установлены воздушно-масляные радиаторы вместо водо-масляных; введена топливная система с кольцеванием по всем четырем двигателям; введены винты типа УФ-61В с системой флюгирования.</w:t>
      </w:r>
    </w:p>
    <w:p w14:paraId="56769B19" w14:textId="77777777" w:rsidR="00903E13" w:rsidRPr="007224C3" w:rsidRDefault="00903E1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отличие от серийных самолетов, на Пе-80Н было внедрено новое вертикальное оперение увеличенной площади с форкилем. Введены дополнительные окна в фюзеляже в районе пассажирской кабины.</w:t>
      </w:r>
    </w:p>
    <w:p w14:paraId="1F28E261" w14:textId="77777777" w:rsidR="00903E13" w:rsidRPr="007224C3" w:rsidRDefault="00903E1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Согласно проектных данных самолет должен был иметь следующие характеристики. Нормальная полетная масса самолета определялась в 30000 кг, масса пустого — в 21520 кг, полезная нагрузка — в 8480 кг, из них экипаж 10 человек — 860 кг, пассажиры 12 человек — 1056 кг, багаж — 200 кг, съемное вооружение и боезапас — 274 кг; масло — 920 кг, топливо — 5150 кг. В перегрузочном варианте полетная масса определялась в 35500 кг, при этом запас масла доводился до 1120 кг, топлива — до 10450 кг.</w:t>
      </w:r>
    </w:p>
    <w:p w14:paraId="7E8163F9" w14:textId="77777777" w:rsidR="00903E13" w:rsidRPr="007224C3" w:rsidRDefault="00903E1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нормальной полетной массе максимальная скорость у земли должна была равняться 360 км/ч, на 6000 м — 425 км/ч, посадочная скорость 125 км/ч, время подъема на высоту 5000 м 16,5 мин, практический потолок 9000 м, длина разбега — 485 м, пробега — 620 м. В перегрузочном варианте на 6000 м максимальная скорость падала до 407 км/ч, потолок до 7700 м, разбег увеличивался до 750 м, а время подъема на высоту 5000 м увеличивалось до 24,5 мин. Дальность полета на скорости 0,7 от максимальной на высоте 4000 м (полет без использования кислородного оборудования) в нормальном варианте составляла 3080 км, в перегрузочном — 6050 км. Перегоночная дальность без пассажиров с полными топливными баками составляла 6800 км (12626).</w:t>
      </w:r>
    </w:p>
    <w:p w14:paraId="44E54543" w14:textId="77777777" w:rsidR="00903E13" w:rsidRPr="007224C3" w:rsidRDefault="00903E13" w:rsidP="007224C3">
      <w:pPr>
        <w:spacing w:after="0" w:line="240" w:lineRule="auto"/>
        <w:jc w:val="both"/>
        <w:rPr>
          <w:rFonts w:ascii="Times New Roman" w:hAnsi="Times New Roman"/>
          <w:color w:val="000000" w:themeColor="text1"/>
          <w:sz w:val="16"/>
          <w:szCs w:val="16"/>
        </w:rPr>
      </w:pPr>
    </w:p>
    <w:p w14:paraId="2A9EF44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марта 1944 г. главным конструктором самолета на заводе № 22 И. Ф. Незвалем была составлена Историческая справка по самолету ТБ-7 (Пе-8).</w:t>
      </w:r>
    </w:p>
    <w:p w14:paraId="2F0E38F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ТБ-7 задуман в варианте высотного бомбардировщика, оборудованного специальным агрегатом центрального наддува. Первоначальный эскизный проект самолета был составлен А. Н. Туполевым во второй половине 1934 г., в это же время под руководством В. М. Петлякова начались первые изыскания и исследовательские работы по прочности и выбору конструкции.</w:t>
      </w:r>
    </w:p>
    <w:p w14:paraId="4FAB0D4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Проектирование всей машины началось с начала 1935 г. Окончательный эскизный проект самолета был закончен и предъявлен ВВС осенью 1935 г. Макет самолета был построен и предъявлен в феврале 1936 г. Выдача чертежей в производство началась с апреля 1935 г. и закончилась по основной массе чертежей в марте 1936 г. Производственные работы начались в мае 1935 г. Постройка самолета без установки моторов была закончена в середине 1936 г. Моторы были получены осенью 1936 г. Самолет вывезен на аэродром в ноябре 1936 г. В течение ноября и декабря производилась сборка самолета и отработка ВМГ на земле. Первый вылет состоялся 27 декабря 1936 г.</w:t>
      </w:r>
    </w:p>
    <w:p w14:paraId="702A331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Таким образом, на проектирование с изысканиями затрачено около двух лет, а вместе с постройкой - два с половиной года. Опытный самолет ТБ-7 был оборудован четырьмя моторами АМ-34ФРНБ и агрегатом центрального наддува АЦН-2 с мотором М-100 и имел следующее стрелковое вооружение:</w:t>
      </w:r>
    </w:p>
    <w:p w14:paraId="1DF5E2D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носу шаровую башню с пушкой Швак-20.</w:t>
      </w:r>
    </w:p>
    <w:p w14:paraId="7D0B95C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корме шаровую башню с пушкой Швак-20.</w:t>
      </w:r>
    </w:p>
    <w:p w14:paraId="407E37C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верху турель с пулеметом Шкас-7,62.</w:t>
      </w:r>
    </w:p>
    <w:p w14:paraId="452DCB2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шассийных установках 2 пушки Швак-20.</w:t>
      </w:r>
    </w:p>
    <w:p w14:paraId="08D710B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После первых испытаний в марте 1937 г. машина встала на доводки и переделку винто-моторной группы, заключавшуюся в размещении водорадиаторов двух моторов впереди гондола шасси (т. е. так, как в настоящее время) вместо отдельных радиаторов под каждым мотором. Переделка и доводки были закончены в мае 1937 г.</w:t>
      </w:r>
    </w:p>
    <w:p w14:paraId="3DA9719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конце мая 1937 г. при первом испытательном полете на аэродроме 8-го отдела ЦАГИ в Подлипках машина потерпела аварию по причине ошибки пилотирования и два месяца простояла на ремонте.</w:t>
      </w:r>
    </w:p>
    <w:p w14:paraId="28773BF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августе 1937 г. самолет был передан в НИИ ВВС на совместные испытания, 1-й этап которых закончился в октябре 1937 г. После смены моторов, выработавших ресурсы, и проведения работ по установке зимнего шасси, в феврале 1938 г. самолет был снова передан в НИИ ВВС, где прошел зимние испытания на лыжах.</w:t>
      </w:r>
    </w:p>
    <w:p w14:paraId="01436C1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марта 1938 г. самолет перелетел в Евпаторию, где проходил 2-й этап государственных испытаний. В апреле испытания были закончены, в результате которых получены следующие летные данные:</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783"/>
        <w:gridCol w:w="856"/>
        <w:gridCol w:w="856"/>
        <w:gridCol w:w="856"/>
      </w:tblGrid>
      <w:tr w:rsidR="005106D0" w:rsidRPr="007224C3" w14:paraId="217F8AB1" w14:textId="77777777">
        <w:tc>
          <w:tcPr>
            <w:tcW w:w="2783" w:type="dxa"/>
            <w:tcBorders>
              <w:top w:val="single" w:sz="12" w:space="0" w:color="auto"/>
            </w:tcBorders>
          </w:tcPr>
          <w:p w14:paraId="1296522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Максимальная скорость у земли</w:t>
            </w:r>
          </w:p>
        </w:tc>
        <w:tc>
          <w:tcPr>
            <w:tcW w:w="856" w:type="dxa"/>
            <w:tcBorders>
              <w:top w:val="single" w:sz="12" w:space="0" w:color="auto"/>
            </w:tcBorders>
          </w:tcPr>
          <w:p w14:paraId="2BDB351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315 км/ч</w:t>
            </w:r>
          </w:p>
        </w:tc>
        <w:tc>
          <w:tcPr>
            <w:tcW w:w="856" w:type="dxa"/>
            <w:tcBorders>
              <w:top w:val="single" w:sz="12" w:space="0" w:color="auto"/>
            </w:tcBorders>
          </w:tcPr>
          <w:p w14:paraId="1390367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312 км/ч</w:t>
            </w:r>
          </w:p>
        </w:tc>
        <w:tc>
          <w:tcPr>
            <w:tcW w:w="856" w:type="dxa"/>
            <w:tcBorders>
              <w:top w:val="single" w:sz="12" w:space="0" w:color="auto"/>
            </w:tcBorders>
          </w:tcPr>
          <w:p w14:paraId="1E864E8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305 км/ч</w:t>
            </w:r>
          </w:p>
        </w:tc>
      </w:tr>
      <w:tr w:rsidR="005106D0" w:rsidRPr="007224C3" w14:paraId="07FF41F4" w14:textId="77777777">
        <w:tc>
          <w:tcPr>
            <w:tcW w:w="2783" w:type="dxa"/>
          </w:tcPr>
          <w:p w14:paraId="34F86AE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Максимальная скорость без АЦН** на высоте 4700 м.</w:t>
            </w:r>
          </w:p>
        </w:tc>
        <w:tc>
          <w:tcPr>
            <w:tcW w:w="856" w:type="dxa"/>
          </w:tcPr>
          <w:p w14:paraId="3928E8E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375 км/ч</w:t>
            </w:r>
          </w:p>
        </w:tc>
        <w:tc>
          <w:tcPr>
            <w:tcW w:w="856" w:type="dxa"/>
          </w:tcPr>
          <w:p w14:paraId="717BE01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371 км/ч</w:t>
            </w:r>
          </w:p>
        </w:tc>
        <w:tc>
          <w:tcPr>
            <w:tcW w:w="856" w:type="dxa"/>
          </w:tcPr>
          <w:p w14:paraId="38509F6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361 км/ч</w:t>
            </w:r>
          </w:p>
        </w:tc>
      </w:tr>
      <w:tr w:rsidR="005106D0" w:rsidRPr="007224C3" w14:paraId="4EBA1ECA" w14:textId="77777777">
        <w:tc>
          <w:tcPr>
            <w:tcW w:w="2783" w:type="dxa"/>
          </w:tcPr>
          <w:p w14:paraId="6691EED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Максимальная скорость с АЦН на высоте 8600 м.</w:t>
            </w:r>
          </w:p>
        </w:tc>
        <w:tc>
          <w:tcPr>
            <w:tcW w:w="856" w:type="dxa"/>
          </w:tcPr>
          <w:p w14:paraId="078415E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430 км/ч</w:t>
            </w:r>
          </w:p>
        </w:tc>
        <w:tc>
          <w:tcPr>
            <w:tcW w:w="856" w:type="dxa"/>
          </w:tcPr>
          <w:p w14:paraId="7149256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420 км/ч</w:t>
            </w:r>
          </w:p>
        </w:tc>
        <w:tc>
          <w:tcPr>
            <w:tcW w:w="856" w:type="dxa"/>
          </w:tcPr>
          <w:p w14:paraId="1E2D664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406 км/ч</w:t>
            </w:r>
          </w:p>
        </w:tc>
      </w:tr>
      <w:tr w:rsidR="005106D0" w:rsidRPr="007224C3" w14:paraId="7C527E3A" w14:textId="77777777">
        <w:tc>
          <w:tcPr>
            <w:tcW w:w="2783" w:type="dxa"/>
          </w:tcPr>
          <w:p w14:paraId="553C198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Время подъема на 5000 м. без АЦН</w:t>
            </w:r>
          </w:p>
        </w:tc>
        <w:tc>
          <w:tcPr>
            <w:tcW w:w="856" w:type="dxa"/>
          </w:tcPr>
          <w:p w14:paraId="7DAC2A5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мин.</w:t>
            </w:r>
          </w:p>
        </w:tc>
        <w:tc>
          <w:tcPr>
            <w:tcW w:w="856" w:type="dxa"/>
          </w:tcPr>
          <w:p w14:paraId="50E0D3F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19,1 мин.</w:t>
            </w:r>
          </w:p>
        </w:tc>
        <w:tc>
          <w:tcPr>
            <w:tcW w:w="856" w:type="dxa"/>
          </w:tcPr>
          <w:p w14:paraId="5C31C4A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23,3 мин.</w:t>
            </w:r>
          </w:p>
        </w:tc>
      </w:tr>
      <w:tr w:rsidR="005106D0" w:rsidRPr="007224C3" w14:paraId="3DB37E8C" w14:textId="77777777">
        <w:tc>
          <w:tcPr>
            <w:tcW w:w="2783" w:type="dxa"/>
          </w:tcPr>
          <w:p w14:paraId="03C17A6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Время подъема на 5000 м. с АЦН</w:t>
            </w:r>
          </w:p>
        </w:tc>
        <w:tc>
          <w:tcPr>
            <w:tcW w:w="856" w:type="dxa"/>
          </w:tcPr>
          <w:p w14:paraId="308244B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16,3 мин.</w:t>
            </w:r>
          </w:p>
        </w:tc>
        <w:tc>
          <w:tcPr>
            <w:tcW w:w="856" w:type="dxa"/>
          </w:tcPr>
          <w:p w14:paraId="1094201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18,8 мин.</w:t>
            </w:r>
          </w:p>
        </w:tc>
        <w:tc>
          <w:tcPr>
            <w:tcW w:w="856" w:type="dxa"/>
          </w:tcPr>
          <w:p w14:paraId="1DA0D26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0758737F" w14:textId="77777777">
        <w:tc>
          <w:tcPr>
            <w:tcW w:w="2783" w:type="dxa"/>
          </w:tcPr>
          <w:p w14:paraId="2A0A9A4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Практический потолок без АЦН</w:t>
            </w:r>
          </w:p>
        </w:tc>
        <w:tc>
          <w:tcPr>
            <w:tcW w:w="856" w:type="dxa"/>
          </w:tcPr>
          <w:p w14:paraId="73CC577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8200 м.</w:t>
            </w:r>
          </w:p>
        </w:tc>
        <w:tc>
          <w:tcPr>
            <w:tcW w:w="856" w:type="dxa"/>
          </w:tcPr>
          <w:p w14:paraId="0144AF1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7300 м.</w:t>
            </w:r>
          </w:p>
        </w:tc>
        <w:tc>
          <w:tcPr>
            <w:tcW w:w="856" w:type="dxa"/>
          </w:tcPr>
          <w:p w14:paraId="42FD37F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5700 м.</w:t>
            </w:r>
          </w:p>
        </w:tc>
      </w:tr>
      <w:tr w:rsidR="005106D0" w:rsidRPr="007224C3" w14:paraId="2225D2D7" w14:textId="77777777">
        <w:tc>
          <w:tcPr>
            <w:tcW w:w="2783" w:type="dxa"/>
          </w:tcPr>
          <w:p w14:paraId="675384A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7. Практический потолок с АЦН</w:t>
            </w:r>
          </w:p>
        </w:tc>
        <w:tc>
          <w:tcPr>
            <w:tcW w:w="856" w:type="dxa"/>
          </w:tcPr>
          <w:p w14:paraId="0A142F3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6" w:type="dxa"/>
          </w:tcPr>
          <w:p w14:paraId="43642E3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10200 м.</w:t>
            </w:r>
          </w:p>
        </w:tc>
        <w:tc>
          <w:tcPr>
            <w:tcW w:w="856" w:type="dxa"/>
          </w:tcPr>
          <w:p w14:paraId="754CE62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146192EA" w14:textId="77777777">
        <w:tc>
          <w:tcPr>
            <w:tcW w:w="2783" w:type="dxa"/>
          </w:tcPr>
          <w:p w14:paraId="20163AF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Время набора потолка без АЦН</w:t>
            </w:r>
          </w:p>
        </w:tc>
        <w:tc>
          <w:tcPr>
            <w:tcW w:w="856" w:type="dxa"/>
          </w:tcPr>
          <w:p w14:paraId="0FE15D7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65 мин.</w:t>
            </w:r>
          </w:p>
        </w:tc>
        <w:tc>
          <w:tcPr>
            <w:tcW w:w="856" w:type="dxa"/>
          </w:tcPr>
          <w:p w14:paraId="53CC67F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65,2 мин.</w:t>
            </w:r>
          </w:p>
        </w:tc>
        <w:tc>
          <w:tcPr>
            <w:tcW w:w="856" w:type="dxa"/>
          </w:tcPr>
          <w:p w14:paraId="63BE3E1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64 мин.</w:t>
            </w:r>
          </w:p>
        </w:tc>
      </w:tr>
      <w:tr w:rsidR="005106D0" w:rsidRPr="007224C3" w14:paraId="3705E28D" w14:textId="77777777">
        <w:tc>
          <w:tcPr>
            <w:tcW w:w="2783" w:type="dxa"/>
          </w:tcPr>
          <w:p w14:paraId="7E4DCD3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Время набора потолка с АЦН</w:t>
            </w:r>
          </w:p>
        </w:tc>
        <w:tc>
          <w:tcPr>
            <w:tcW w:w="856" w:type="dxa"/>
          </w:tcPr>
          <w:p w14:paraId="09C65EE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6" w:type="dxa"/>
          </w:tcPr>
          <w:p w14:paraId="1A34302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57 мин.</w:t>
            </w:r>
          </w:p>
        </w:tc>
        <w:tc>
          <w:tcPr>
            <w:tcW w:w="856" w:type="dxa"/>
          </w:tcPr>
          <w:p w14:paraId="5F28B07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3CC749F4" w14:textId="77777777">
        <w:tc>
          <w:tcPr>
            <w:tcW w:w="2783" w:type="dxa"/>
          </w:tcPr>
          <w:p w14:paraId="77D10C9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Длина разбега со щитками</w:t>
            </w:r>
          </w:p>
        </w:tc>
        <w:tc>
          <w:tcPr>
            <w:tcW w:w="856" w:type="dxa"/>
          </w:tcPr>
          <w:p w14:paraId="29DD071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280 м.</w:t>
            </w:r>
          </w:p>
        </w:tc>
        <w:tc>
          <w:tcPr>
            <w:tcW w:w="856" w:type="dxa"/>
          </w:tcPr>
          <w:p w14:paraId="1F6628D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405 м.</w:t>
            </w:r>
          </w:p>
        </w:tc>
        <w:tc>
          <w:tcPr>
            <w:tcW w:w="856" w:type="dxa"/>
          </w:tcPr>
          <w:p w14:paraId="2D3A9DD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538 м.</w:t>
            </w:r>
          </w:p>
        </w:tc>
      </w:tr>
      <w:tr w:rsidR="005106D0" w:rsidRPr="007224C3" w14:paraId="0E7188C5" w14:textId="77777777">
        <w:tc>
          <w:tcPr>
            <w:tcW w:w="2783" w:type="dxa"/>
            <w:tcBorders>
              <w:bottom w:val="single" w:sz="12" w:space="0" w:color="auto"/>
            </w:tcBorders>
          </w:tcPr>
          <w:p w14:paraId="446CFC9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Время разбега со щитками</w:t>
            </w:r>
          </w:p>
        </w:tc>
        <w:tc>
          <w:tcPr>
            <w:tcW w:w="856" w:type="dxa"/>
            <w:tcBorders>
              <w:bottom w:val="single" w:sz="12" w:space="0" w:color="auto"/>
            </w:tcBorders>
          </w:tcPr>
          <w:p w14:paraId="24231CB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16,8 мин.</w:t>
            </w:r>
          </w:p>
        </w:tc>
        <w:tc>
          <w:tcPr>
            <w:tcW w:w="856" w:type="dxa"/>
            <w:tcBorders>
              <w:bottom w:val="single" w:sz="12" w:space="0" w:color="auto"/>
            </w:tcBorders>
          </w:tcPr>
          <w:p w14:paraId="7211C65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22,2 мин.</w:t>
            </w:r>
          </w:p>
        </w:tc>
        <w:tc>
          <w:tcPr>
            <w:tcW w:w="856" w:type="dxa"/>
            <w:tcBorders>
              <w:bottom w:val="single" w:sz="12" w:space="0" w:color="auto"/>
            </w:tcBorders>
          </w:tcPr>
          <w:p w14:paraId="2EF1D47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28,5 мин.</w:t>
            </w:r>
          </w:p>
        </w:tc>
      </w:tr>
    </w:tbl>
    <w:p w14:paraId="34989A6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Длина разбега при полетном весе в 30 000 кг получена 770 м. В отчете об испытаниях дана очень хорошая оценка самолета и настоятельная рекомендация о выпуске в серию. По окончании этих испытаний состоялось решение правительства о запуске самолета ТБ-7 с 4АМ-34ФРНБ + М-100 в серию на заводе № 124.</w:t>
      </w:r>
    </w:p>
    <w:p w14:paraId="5D67202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1937 г. был запущен в производство 2-й экземпляр самолета ТБ-7 «Дублер», отличавшийся от первого несколько расширенным фюзеляжем, измененным вооружением, расширенной штурманской кабиной. В процессе постройки, осенью 1937 г. было введено неподвижное свободнонесущее горизонтальное оперение. Испытания «Дублера» закончились летом 1938 г.</w:t>
      </w:r>
    </w:p>
    <w:p w14:paraId="584A4D3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серию самолет был запущен по типу «Дублера», но со снятой выступающей вниз кабиной штурмана и с добавлением люковой стрелковой установки в Ф-3. Остальное стрелковое вооружение состояло из спарки пулеметов Шкас-7,62 в шаровых башнях на носу и на корме, одной пушки Швак-20 на верху и двух пулеметов Шкас-7,62 в шассийных установках.</w:t>
      </w:r>
    </w:p>
    <w:p w14:paraId="358216C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 чертежи по самолету были переданы заводу № 124 в течение мая и июня 1938 г. В этот же период началась подготовка производства. В 1938 г. завод не выпустил ни одного самолета. Первый самолет вышел летом 1939 г. Серийные самолеты сначала выпускались с моторами АМ-34ФРНВ + М-101 (4 самолета), а последующие - с моторами АМ-35, ввиду снятия с производства моторов АМ-34ФРНВ.</w:t>
      </w:r>
    </w:p>
    <w:p w14:paraId="5AB055D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1940 г. решением правительства самолет ТБ-7 был снят с производства как устаревший. В марте 1940 г. была уничтожена вся оснастка для этого самолета (использована для оснастки самолета ПС-64). К этому времени было построено и сдано ВВС 10 самолетов, а на заводе остался задел планеров и агрегатов еще на 7 самолетов.</w:t>
      </w:r>
    </w:p>
    <w:p w14:paraId="39D9DD8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Решением правительства от мая 1940 г. производство самолетов ТБ-7 было восстановлено вновь: с выпуском первых машин с моторами АМ-35А без АЦН, а последующих с дизель-моторами М-40Ф и М-30.</w:t>
      </w:r>
    </w:p>
    <w:p w14:paraId="7613E49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Сначала была построена одна машина с моторами АМ-35А, прошедшая госиспытания в НИИ ВВС в начале 1941 г. и показавшая хорошие результаты, а именно:</w:t>
      </w:r>
    </w:p>
    <w:p w14:paraId="7434AA2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полетном весе 27 000 кг самолет ТБ-7 имел:</w:t>
      </w:r>
    </w:p>
    <w:p w14:paraId="2370706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Максимальную скорость у земли - 347 км/час.</w:t>
      </w:r>
    </w:p>
    <w:p w14:paraId="2B9548A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Максимальную скорость на высоте 6 360 м - 443 км/час.</w:t>
      </w:r>
    </w:p>
    <w:p w14:paraId="1912219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Время подъема на 5 000 м - 14,6 мин.</w:t>
      </w:r>
    </w:p>
    <w:p w14:paraId="679E6FC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Практический потолок - 9 300 м.</w:t>
      </w:r>
    </w:p>
    <w:p w14:paraId="4433C0D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Время набора потолка - 43,5 мин.</w:t>
      </w:r>
    </w:p>
    <w:p w14:paraId="10791EB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Длина разбега на номинале - 485 м.</w:t>
      </w:r>
    </w:p>
    <w:p w14:paraId="119C37F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Время разбега - 18 сек.</w:t>
      </w:r>
    </w:p>
    <w:p w14:paraId="311AA36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Этот самолет был также оборудован десантной кабиной.</w:t>
      </w:r>
    </w:p>
    <w:p w14:paraId="65FC004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Помимо этого были выпущены два самолета с дизелями: один осенью 1940 г. с моторами М-40, а другой в феврале 1941 г. с моторами М-30, первый прошел заводские и государственные испытания, но в дальнейшем серийные самолеты выпускались уже с моторами М-40Ф. На самолете ТБ-7 с моторами М-30 в связи с началом войны испытания не были закончены, и он был передан в воинскую часть для боевой эксплуатации. Самолеты ТБ-7 с моторами М-40Ф по той же причине полностью испытаны не были.</w:t>
      </w:r>
    </w:p>
    <w:p w14:paraId="0FA4B8A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1941 г. в связи с запуском на заводе № 124 самолета Пе-2 производство самолетов ТБ-7 было фактически прекращено. В начале войны, при формировании дивизии дальнего действия, самолеты подверглись переоборудованию и полному перевооружению, а также частичному бронированию экипажа. При перевооружении легкие пулеметы на корме были заменены пушкой Швак-20, а в шассийных точках - на УБТ-12,7. В это же время была использована часть имевшегося задела планеров. В декабре 1941 г. при слиянии заводов № 124 и 22 решением ГОКО* производство самолетов было законсервировано. Производилась только доделка нескольких незаконченных самолетов. Вся оснастка была снята с мест и вывезена из производственных цехов. За период консервации, в связи с недоработанностью моторов М-40Ф, на многих готовых самолетах была произведена замена моторов на М-30, но после выявления ряда серьезных дефектов моторов М-30, последние также были сняты со всех самолетов и заменены моторами АМ-35А.</w:t>
      </w:r>
    </w:p>
    <w:p w14:paraId="3D4BE1D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этот же период был выпущен один самолет, оборудованный моторами М-82, испытания которого были закончены осенью 1942 г.</w:t>
      </w:r>
    </w:p>
    <w:p w14:paraId="2323B76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июне 1942 г. решением ГОКО производство самолетов ТБ-7 на заводе № 22 было снова возобновлено с выделением на заводе отдельного производства с месячным выпуском по пять самолетов Пе-8 с моторами М-82.</w:t>
      </w:r>
    </w:p>
    <w:p w14:paraId="2C40543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Однако это решение по существу выполнено не было: как в части организации производства, так и в отношении количества выпускаемых машин. До последнего времени завод выпускал не более чем три машины в месяц.</w:t>
      </w:r>
    </w:p>
    <w:p w14:paraId="3AEAD13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Решением ГОКО от 5 марта 1944 г. вновь прекращено производство этих машин, и дано задание еще раз их переоборудовать под пассажирский вариант с моторами М-30.</w:t>
      </w:r>
    </w:p>
    <w:p w14:paraId="5D68F6A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Главный конструктор И. Ф. Незваль (подпись).</w:t>
      </w:r>
    </w:p>
    <w:p w14:paraId="1ECB766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РТ, ф. Р-2845, оп. 3, д. 277, л. 71-73 об. (11315).</w:t>
      </w:r>
    </w:p>
    <w:p w14:paraId="7E8A326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6BD2D6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марта 1944 вышел приказ НКАП N 198сс в исполнение постановления ГКО N 5376сс от 12 марта 1944:</w:t>
      </w:r>
    </w:p>
    <w:p w14:paraId="7282BB7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Зам. наркома, нач. ПГУ Воронину и директору завода 153 Лисицину построить на заводе 153 самолеты Як-9 с М-107А</w:t>
      </w:r>
    </w:p>
    <w:p w14:paraId="1C5F1DF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Установить след. план выпуска самолетов Як-9 с М-107А на заводе 153 без снижения достигнутого уровня ежесуточного выпуска 17 самолетов в день. В мае - 3, в июне - 30, в июле - 60 с выходом на 10 в день в декабре 1944 (1629,56).</w:t>
      </w:r>
    </w:p>
    <w:p w14:paraId="080DAD9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C9C61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марта 1944 на заводе N 21 в г. Горьком были начаты летные испытания Ла-5 с АШ-82ФН и 2 ТК-3. Летал л ЛИИ Шиянов. В полетах наблюдалась ненормальная температура головок цилиндров, доходившая до 240-260 градусов на высотах более 2000 м, а также ряд дефектов в работе бензиновой и масляной помп, а также системы зажигания. С высоты 5000 м падало давление бензина, а также начиналось сильное дымление из ТК. Дым попадал в кабину пилота, что заставляло прекращать полеты. Для принятия мер по устранению дефектов агрегатов мотора, сообщено 8 гл. управлению (1825).</w:t>
      </w:r>
    </w:p>
    <w:p w14:paraId="4AC1FFD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814CAD"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марта 1944 начались лётные испытания Ла-5 с М-82ФН и двумя ТК-3, увеличенной длиной и площадью крыла и увеличенной площадью опере</w:t>
      </w:r>
      <w:r w:rsidRPr="007224C3">
        <w:rPr>
          <w:rFonts w:ascii="Times New Roman" w:hAnsi="Times New Roman"/>
          <w:color w:val="000000" w:themeColor="text1"/>
          <w:sz w:val="16"/>
          <w:szCs w:val="16"/>
        </w:rPr>
        <w:softHyphen/>
        <w:t>ния, с запланированной боевой высотой 13500 м, также называемый как самолёт «А» или Ла-5А, их проводил лётчик-испытатель Г.М. Шиянов. Провели семь полётов, снова отмечалась высокая температура головок ци</w:t>
      </w:r>
      <w:r w:rsidRPr="007224C3">
        <w:rPr>
          <w:rFonts w:ascii="Times New Roman" w:hAnsi="Times New Roman"/>
          <w:color w:val="000000" w:themeColor="text1"/>
          <w:sz w:val="16"/>
          <w:szCs w:val="16"/>
        </w:rPr>
        <w:softHyphen/>
        <w:t>линдров, на высотах более 2000 м доходившая до 240-260°С, а с высоты 5000 м на</w:t>
      </w:r>
      <w:r w:rsidRPr="007224C3">
        <w:rPr>
          <w:rFonts w:ascii="Times New Roman" w:hAnsi="Times New Roman"/>
          <w:color w:val="000000" w:themeColor="text1"/>
          <w:sz w:val="16"/>
          <w:szCs w:val="16"/>
        </w:rPr>
        <w:softHyphen/>
        <w:t>чинало падать давление бензина и возникало сильное дымление из турбокомпрессора, причём дым попадал в кабину пилота, и полёт приходилось прекращать. Также имели место дефекты в работе бензо- и маслопомп и системы зажигания (15830).</w:t>
      </w:r>
    </w:p>
    <w:p w14:paraId="6E6753B3" w14:textId="77777777" w:rsidR="00FA2B3C" w:rsidRPr="007224C3" w:rsidRDefault="00FA2B3C" w:rsidP="007224C3">
      <w:pPr>
        <w:spacing w:after="0" w:line="240" w:lineRule="auto"/>
        <w:jc w:val="both"/>
        <w:rPr>
          <w:rFonts w:ascii="Times New Roman" w:hAnsi="Times New Roman"/>
          <w:color w:val="000000" w:themeColor="text1"/>
          <w:sz w:val="16"/>
          <w:szCs w:val="16"/>
        </w:rPr>
      </w:pPr>
    </w:p>
    <w:p w14:paraId="0D02E57A"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17 марта</w:t>
      </w:r>
      <w:r w:rsidRPr="007224C3">
        <w:rPr>
          <w:rFonts w:ascii="Times New Roman" w:hAnsi="Times New Roman"/>
          <w:color w:val="000000" w:themeColor="text1"/>
          <w:sz w:val="16"/>
          <w:szCs w:val="16"/>
        </w:rPr>
        <w:t xml:space="preserve"> в 1944 году летчик Г.М.Шиянов начал летные испытания второго высотного </w:t>
      </w:r>
      <w:hyperlink r:id="rId75" w:tgtFrame="_blank" w:history="1">
        <w:r w:rsidRPr="007224C3">
          <w:rPr>
            <w:rFonts w:ascii="Times New Roman" w:hAnsi="Times New Roman"/>
            <w:color w:val="000000" w:themeColor="text1"/>
            <w:sz w:val="16"/>
            <w:szCs w:val="16"/>
          </w:rPr>
          <w:t xml:space="preserve">«Ла-5ФН» </w:t>
        </w:r>
      </w:hyperlink>
      <w:r w:rsidRPr="007224C3">
        <w:rPr>
          <w:rFonts w:ascii="Times New Roman" w:hAnsi="Times New Roman"/>
          <w:color w:val="000000" w:themeColor="text1"/>
          <w:sz w:val="16"/>
          <w:szCs w:val="16"/>
        </w:rPr>
        <w:t xml:space="preserve">с «ТК-3» и крылом увеличенной площади. На этой машине встретились с теми же дефектами, что у первого перехватчика. Видимо, в 1944 году все работы по «Ла-5ФН» с турбокомпрессорами прекратились, поскольку уже появился более скоростной </w:t>
      </w:r>
      <w:hyperlink r:id="rId76" w:tgtFrame="_blank" w:history="1">
        <w:r w:rsidRPr="007224C3">
          <w:rPr>
            <w:rFonts w:ascii="Times New Roman" w:hAnsi="Times New Roman"/>
            <w:color w:val="000000" w:themeColor="text1"/>
            <w:sz w:val="16"/>
            <w:szCs w:val="16"/>
          </w:rPr>
          <w:t xml:space="preserve">«Ла-7» </w:t>
        </w:r>
      </w:hyperlink>
      <w:r w:rsidRPr="007224C3">
        <w:rPr>
          <w:rFonts w:ascii="Times New Roman" w:hAnsi="Times New Roman"/>
          <w:color w:val="000000" w:themeColor="text1"/>
          <w:sz w:val="16"/>
          <w:szCs w:val="16"/>
        </w:rPr>
        <w:t>аналогичного назначения (15071).</w:t>
      </w:r>
    </w:p>
    <w:p w14:paraId="432A3F14" w14:textId="77777777" w:rsidR="00FA2B3C" w:rsidRPr="007224C3" w:rsidRDefault="00FA2B3C" w:rsidP="007224C3">
      <w:pPr>
        <w:spacing w:after="0" w:line="240" w:lineRule="auto"/>
        <w:jc w:val="both"/>
        <w:rPr>
          <w:rFonts w:ascii="Times New Roman" w:hAnsi="Times New Roman"/>
          <w:color w:val="000000" w:themeColor="text1"/>
          <w:sz w:val="16"/>
          <w:szCs w:val="16"/>
        </w:rPr>
      </w:pPr>
    </w:p>
    <w:p w14:paraId="46C2C03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марта 1944 летчик Г.М. Шиянов начал летные испытания второго высотного Ла-5. Но и на этой машине встретились с теми же дефектами, что у первого перехватчика. В 1944 году все работы по самолету Ла-5ФН с турбокомпрессорами прекратились, поскольку уже появился более скоростной Ла-7 аналогичного назначения (12032).</w:t>
      </w:r>
    </w:p>
    <w:p w14:paraId="3855425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9DFED0F"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5E963B4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46D0309" w14:textId="77777777" w:rsidR="006E2E37" w:rsidRPr="007224C3" w:rsidRDefault="006E2E37" w:rsidP="007224C3">
      <w:pPr>
        <w:pStyle w:val="ae"/>
        <w:spacing w:before="0" w:after="0"/>
        <w:jc w:val="both"/>
        <w:textAlignment w:val="baseline"/>
        <w:rPr>
          <w:color w:val="000000" w:themeColor="text1"/>
          <w:sz w:val="16"/>
          <w:szCs w:val="16"/>
        </w:rPr>
      </w:pPr>
      <w:r w:rsidRPr="007224C3">
        <w:rPr>
          <w:color w:val="000000" w:themeColor="text1"/>
          <w:sz w:val="16"/>
          <w:szCs w:val="16"/>
        </w:rPr>
        <w:t xml:space="preserve">17 марта 1944 в адрес Л.П. Берии был направлен доклад с результатами испытаний Т-44. В нём указывалось, что необходимо увеличить толщину лба корпуса до 90 мм. Причины роста толщины брони следует искать в изучении опыта </w:t>
      </w:r>
      <w:hyperlink r:id="rId77" w:history="1">
        <w:r w:rsidRPr="007224C3">
          <w:rPr>
            <w:rStyle w:val="a5"/>
            <w:bCs/>
            <w:iCs/>
            <w:color w:val="000000" w:themeColor="text1"/>
            <w:sz w:val="16"/>
            <w:szCs w:val="16"/>
            <w:bdr w:val="none" w:sz="0" w:space="0" w:color="auto" w:frame="1"/>
          </w:rPr>
          <w:t>Курской дуги</w:t>
        </w:r>
      </w:hyperlink>
      <w:r w:rsidRPr="007224C3">
        <w:rPr>
          <w:color w:val="000000" w:themeColor="text1"/>
          <w:sz w:val="16"/>
          <w:szCs w:val="16"/>
        </w:rPr>
        <w:t>, а также первого применения тяжёлых танков ИС-85 на фронте. Выяснилось, что бронебойные снаряды орудий немецких танков </w:t>
      </w:r>
      <w:hyperlink r:id="rId78" w:history="1">
        <w:r w:rsidRPr="007224C3">
          <w:rPr>
            <w:rStyle w:val="a5"/>
            <w:bCs/>
            <w:iCs/>
            <w:color w:val="000000" w:themeColor="text1"/>
            <w:sz w:val="16"/>
            <w:szCs w:val="16"/>
            <w:bdr w:val="none" w:sz="0" w:space="0" w:color="auto" w:frame="1"/>
          </w:rPr>
          <w:t>Pz.Kpfw.Panther</w:t>
        </w:r>
      </w:hyperlink>
      <w:r w:rsidRPr="007224C3">
        <w:rPr>
          <w:color w:val="000000" w:themeColor="text1"/>
          <w:sz w:val="16"/>
          <w:szCs w:val="16"/>
        </w:rPr>
        <w:t xml:space="preserve"> пробивают новый советский тяжёлый танк не только в лоб башни, но и в лоб корпуса, причём на дистанции в километр. Поэтому руководство ГБТУ КА настаивало на усилении брони. Также в ГБТУ КА настаивали на разработке планетарной трансмиссии. 20 апреля 1944 года в адрес Берии было направлено аналогичное письмо за подписями маршала Федоренко и генерал-лейтенанта Бирюкова. В нём они повторно указывали на необходимость усиления лба корпуса. Впрочем, обращение к Берии, а затем и письмо начальника ГБТУ КА генерал-лейтенанта Вершинина в адрес </w:t>
      </w:r>
      <w:r w:rsidRPr="007224C3">
        <w:rPr>
          <w:color w:val="000000" w:themeColor="text1"/>
          <w:sz w:val="16"/>
          <w:szCs w:val="16"/>
        </w:rPr>
        <w:lastRenderedPageBreak/>
        <w:t>Малышева не изменили ситуацию.</w:t>
      </w:r>
    </w:p>
    <w:p w14:paraId="251A4DDB" w14:textId="77777777" w:rsidR="006E2E37" w:rsidRPr="007224C3" w:rsidRDefault="006E2E37" w:rsidP="007224C3">
      <w:pPr>
        <w:spacing w:after="0" w:line="240" w:lineRule="auto"/>
        <w:jc w:val="both"/>
        <w:textAlignment w:val="baseline"/>
        <w:rPr>
          <w:rFonts w:ascii="Times New Roman" w:hAnsi="Times New Roman"/>
          <w:color w:val="000000" w:themeColor="text1"/>
          <w:sz w:val="16"/>
          <w:szCs w:val="16"/>
        </w:rPr>
      </w:pPr>
      <w:r w:rsidRPr="007224C3">
        <w:rPr>
          <w:rFonts w:ascii="Times New Roman" w:hAnsi="Times New Roman"/>
          <w:color w:val="000000" w:themeColor="text1"/>
          <w:sz w:val="16"/>
          <w:szCs w:val="16"/>
        </w:rPr>
        <w:t>Существенно доработали не только корпус, но и башню (18950).</w:t>
      </w:r>
    </w:p>
    <w:p w14:paraId="7D299F60" w14:textId="77777777" w:rsidR="006E2E37" w:rsidRPr="007224C3" w:rsidRDefault="006E2E37" w:rsidP="007224C3">
      <w:pPr>
        <w:spacing w:after="0" w:line="240" w:lineRule="auto"/>
        <w:jc w:val="both"/>
        <w:textAlignment w:val="baseline"/>
        <w:rPr>
          <w:rFonts w:ascii="Times New Roman" w:hAnsi="Times New Roman"/>
          <w:color w:val="000000" w:themeColor="text1"/>
          <w:sz w:val="16"/>
          <w:szCs w:val="16"/>
        </w:rPr>
      </w:pPr>
    </w:p>
    <w:p w14:paraId="40D41764" w14:textId="77777777" w:rsidR="00FA2B3C" w:rsidRPr="007224C3" w:rsidRDefault="00FA2B3C" w:rsidP="007224C3">
      <w:pPr>
        <w:pStyle w:val="ae"/>
        <w:shd w:val="clear" w:color="auto" w:fill="FFFFFF"/>
        <w:spacing w:before="0" w:after="0"/>
        <w:jc w:val="both"/>
        <w:rPr>
          <w:color w:val="000000" w:themeColor="text1"/>
          <w:sz w:val="16"/>
          <w:szCs w:val="16"/>
        </w:rPr>
      </w:pPr>
      <w:r w:rsidRPr="007224C3">
        <w:rPr>
          <w:color w:val="000000" w:themeColor="text1"/>
          <w:sz w:val="16"/>
          <w:szCs w:val="16"/>
        </w:rPr>
        <w:t>В письме от 17 марта 1944 заместитель Наркомата Внешней Торговли И. Ф. Семичастнов запросил мнение Федоренко о целесообразности закупки «Кромвелей». В письме делался акцент на то, что, по данным Семичастнова, «Кромвели» являлись наилучшими танками, производившимися в Великобритании. К тому времени поставки английской бронетанковой техники подходили к концу.</w:t>
      </w:r>
    </w:p>
    <w:p w14:paraId="2392385D" w14:textId="77777777" w:rsidR="00FA2B3C" w:rsidRPr="007224C3" w:rsidRDefault="00FA2B3C" w:rsidP="007224C3">
      <w:pPr>
        <w:pStyle w:val="ae"/>
        <w:shd w:val="clear" w:color="auto" w:fill="FFFFFF"/>
        <w:spacing w:before="0" w:after="0"/>
        <w:jc w:val="both"/>
        <w:rPr>
          <w:color w:val="000000" w:themeColor="text1"/>
          <w:sz w:val="16"/>
          <w:szCs w:val="16"/>
        </w:rPr>
      </w:pPr>
      <w:r w:rsidRPr="007224C3">
        <w:rPr>
          <w:color w:val="000000" w:themeColor="text1"/>
          <w:sz w:val="16"/>
          <w:szCs w:val="16"/>
        </w:rPr>
        <w:t>На сей раз дело пошло значительно дальше простой переписки. ГБТУ КА заказало 6 танков, часть которых пошла на испытания, включая обстрел корпуса и башни, а как минимум пара машин отправлялась в профильные учреждения для разборки и изучения. По различным причинам 6 танков прибыли в порт Баку только 18 августа 1944 года. Согласно документам, на эшелон их должны были погрузить 24 августа, но реально произошла задержка на 5 дней (15737).</w:t>
      </w:r>
    </w:p>
    <w:p w14:paraId="3B8903E1" w14:textId="77777777" w:rsidR="00FA2B3C" w:rsidRPr="007224C3" w:rsidRDefault="00FA2B3C" w:rsidP="007224C3">
      <w:pPr>
        <w:pStyle w:val="ae"/>
        <w:shd w:val="clear" w:color="auto" w:fill="FFFFFF"/>
        <w:spacing w:before="0" w:after="0"/>
        <w:jc w:val="both"/>
        <w:rPr>
          <w:color w:val="000000" w:themeColor="text1"/>
          <w:sz w:val="16"/>
          <w:szCs w:val="16"/>
        </w:rPr>
      </w:pPr>
    </w:p>
    <w:p w14:paraId="12669C24" w14:textId="77777777" w:rsidR="00E23799" w:rsidRPr="007224C3" w:rsidRDefault="00E23799"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17 марта 1944 заместитель Наркомата Внешней Торговли И. Ф. Семичастнов запросил мнение Федоренко о целесообразности закупки Кромвелей. В письме делался акцент на то, что, по данным Семичастнова, «Кромвели» являлись наилучшими танками, производившимися в Великобритании. К тому времени поставки английской бронетанковой техники подходили к концу.</w:t>
      </w:r>
    </w:p>
    <w:p w14:paraId="0580DCE9" w14:textId="77777777" w:rsidR="00E23799" w:rsidRPr="007224C3" w:rsidRDefault="00E23799"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На сей раз дело пошло значительно дальше простой переписки. ГБТУ КА заказало 6 танков, часть которых пошла на испытания, включая обстрел корпуса и башни, а как минимум пара машин отправлялась в профильные учреждения для разборки и изучения. По различным причинам 6 танков прибыли в порт Баку только 18 августа 1944 года. Согласно документам, на эшелон их должны были погрузить 24 августа, но реально произошла задержка на 5 дней.</w:t>
      </w:r>
    </w:p>
    <w:p w14:paraId="3BA7833A" w14:textId="77777777" w:rsidR="00E23799" w:rsidRPr="007224C3" w:rsidRDefault="00E23799"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присланные машины относились к наиболее массовой версии, Cromwell IV. Танки были произведены в мае 1944 года, то есть в СССР прибыли новые машины. Единственная странность состоит в том, что тип их корпуса указан в документах как “E”. Если надмоторная плита соответствует этой спецификации корпуса, то люк помощника механика-водителя соответствует корпусам типа “B” и “C”.</w:t>
      </w:r>
    </w:p>
    <w:p w14:paraId="246224D5" w14:textId="77777777" w:rsidR="00E23799" w:rsidRPr="007224C3" w:rsidRDefault="00E23799"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К моменту прибытия «Кромвелей» в Советский Союз машины этой модели уже третий месяц активно воевали в Нормандии. Лишь 7-я танковая дивизия имела «Кромвели» в качестве основных боевых машин. В 11-й и Гвардейской танковых дивизиях «Кромвели» составляли примерно треть от танкового парка, основой же боевой лошадкой был Sherman V (M4A4 Medium Tank в английской комплектации). Примерно в том же соотношении были «Кромвели» у 1-й польской танковой дивизии. Ещё одним танковым соединением, которое имело «Кромвели», была Чехословацкая танковая бригада, практически полностью укомплектованная английскими машинами.</w:t>
      </w:r>
    </w:p>
    <w:p w14:paraId="642BD445" w14:textId="77777777" w:rsidR="00E23799" w:rsidRPr="007224C3" w:rsidRDefault="00E23799"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В целом, английские танкисты относились к «Кромвелям» со скепсисом, считая «Шерманы» более удачными. Американские танки были более надёжными, менее прожорливыми и нисколько не уступали английским в огневой мощи, имея при этом более удачные по конструкции корпус и башню (18645).</w:t>
      </w:r>
    </w:p>
    <w:p w14:paraId="007B538E" w14:textId="77777777" w:rsidR="00E23799" w:rsidRPr="007224C3" w:rsidRDefault="00E23799" w:rsidP="007224C3">
      <w:pPr>
        <w:spacing w:after="0" w:line="240" w:lineRule="auto"/>
        <w:jc w:val="both"/>
        <w:rPr>
          <w:rStyle w:val="77"/>
          <w:rFonts w:eastAsiaTheme="minorHAnsi"/>
          <w:color w:val="000000" w:themeColor="text1"/>
          <w:sz w:val="16"/>
          <w:szCs w:val="16"/>
        </w:rPr>
      </w:pPr>
    </w:p>
    <w:p w14:paraId="1641251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марта 1944 вышло Распоряжение ГКО № 5411. О выделении 1,8 тыс. чел. из строительных колонн МПВО на восстановление Донецкого и Славянских содовых заводов НКХП. РГАНИР, Фонд ГКО, д. 219, лл. 71 (11012).</w:t>
      </w:r>
    </w:p>
    <w:p w14:paraId="5C378C5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A0EB290"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марта 1944 вышло Распоряжение ГКО № 5412 [О выделении ГУЛАГу НКВД хлопчатобумажных тканей.] (7199, 72).</w:t>
      </w:r>
    </w:p>
    <w:p w14:paraId="00E52A37"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29122AB"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44EBFE2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C81B8C5"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17 марта</w:t>
      </w:r>
      <w:r w:rsidRPr="007224C3">
        <w:rPr>
          <w:rFonts w:ascii="Times New Roman" w:hAnsi="Times New Roman"/>
          <w:color w:val="000000" w:themeColor="text1"/>
          <w:sz w:val="16"/>
          <w:szCs w:val="16"/>
        </w:rPr>
        <w:t xml:space="preserve"> в 1944 году оперативная сводка Совинформбюро:</w:t>
      </w:r>
    </w:p>
    <w:p w14:paraId="079A238E"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1-го Украинского фронта, развивая наступление, 17 марта в результате обходного манёвра овладели городом Дубно — важным опорным пунктом обороны немцев на Львовском направлении, а также с боями заняли более 40 других населённых пунктов, в том числе районный центр Ровенской области Демидовка и крупные населённые пункты Велниче, Торговица, Войница, Бокуйма, Смордва, Рудка, Пелча.</w:t>
      </w:r>
    </w:p>
    <w:p w14:paraId="3F52A4BA"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17 марта на Проскуровском направлении наши войска продолжали отбивать контратаки пехоты и танков противника и нанесли ему большие потери в живой силе и технике.</w:t>
      </w:r>
    </w:p>
    <w:p w14:paraId="60863881"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Южнее города Винница наши войска продолжали вести наступательные бои, в ходе которых заняли несколько населённых пунктов и среди них Потоки, Сидава, Гришевцы, Маянив, Шершни, Василевка, Звониха, Колюхов, Канава.</w:t>
      </w:r>
    </w:p>
    <w:p w14:paraId="18328AE7"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и юго-западнее города Умань наши войска, продолжая развивать наступление, овладели районными центрами Винницкой области городом Брацлав, городом Томашполь, городом и крупной железнодорожной станцией Крыжополь, Чечельник, районным центром Одесской области Песчана, а также с боями заняли более 150 других населённых пунктов, в том числе крупные населённые пункты Жабокрич, Орловка, Юрковка, Журавлёвка, Великая Русава, Игнатково, Клембовка, Мястковка, Ольшанка, Горячковка, Городище, Вербка, Стратиевка, Каменовато и железнодорожные станции Юрковка, Журавлёвка, Княжево.</w:t>
      </w:r>
    </w:p>
    <w:p w14:paraId="660771D1"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города Кировоград наши войска, продолжая наступление, овладели районными центрами Кировоградской области городом и крупной железнодорожной станцией Ново-Украинка, Добровеличковка, а также с боями заняли более 100 других населённых пунктов, в том числе крупные населённые пункты Ново-Александровка, Весёлый Кут, Леонтовичи, Ново-Егорьевка, Цибульки, Варваровка, Трудолюбовка, Бердихино, Кривоносовка, Марьяновка и железнодорожную станцию Адабаш.</w:t>
      </w:r>
    </w:p>
    <w:p w14:paraId="46A65E14"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и южнее города Бобринец наши войска с боями продвигались вперёди заняли более 70 населённых пунктов, среди которых крупные населённые пункты Бобринка, Пеньково, Ново-Александровка, Шевченко, Водяно-Михайловка, Базелево, Ольгополь, Воссиятское, Богодаровка, Щербаны.</w:t>
      </w:r>
    </w:p>
    <w:p w14:paraId="77740878"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Николаевском направлении наши войска продолжали вести наступательные бои, в ходе которых заняли более 30 населённых пунктов; среди них Новопетровское, Костичи, Лобриевка, Ингулка, Еленовка, Копани, Цареводар.</w:t>
      </w:r>
    </w:p>
    <w:p w14:paraId="3975D051"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 поиски разведчиков.</w:t>
      </w:r>
    </w:p>
    <w:p w14:paraId="77C57C7A"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16 марта наши войска на всех фронтах подбили и уничтожили 35 немецких танков. В воздушных боях и огнём зенитной артиллерии сбито 10 самолётов противника.</w:t>
      </w:r>
    </w:p>
    <w:p w14:paraId="6E455857"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1-го Украинского фронта про должали наступление. Части Н-ского соединения в результате ожесточённых боёв прорвали сильную оборону немцев. Развивая успех, наши бойцы переправились через реку Иква и устремились на северо-запад, в обход города Дубно с юга. Другие наши части обошли город с севера, а затем ворвались на его западную окраину. Немцы пытались удержаться в старинной дубенской крепости, но были уничтожены. Сегодня наши войска полностью овладели городом Дубно — важным опорным пунктом обороны немцев на Львовском направлении. В боях за Дубно противник понёс тяжёлые потери в живой силе и технике.</w:t>
      </w:r>
    </w:p>
    <w:p w14:paraId="755B03E7"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Южнее города Винница части Н-ского соединения переправились через реку Южный Буг и, сломив сопротивление немцев, выбили их из нескольких населённых пунктов. Советские бойцы овладели селом Сидава, расположенным на подступах к крупному железнодорожному узлу Жмеринка. В безуспешных попытках задержать продвижение советских войск противник несёт большие потери. Только на одном участке наши части за день истребили до 1.500 вражеских солдат и офицеров, захватили 80 орудий, 70 автомашин, склад боеприпасов и другие трофеи. В другом районе наши бойцы окружили и ликвидировали батальон 223 немецкой пехотной дивизии.</w:t>
      </w:r>
    </w:p>
    <w:p w14:paraId="3FB1B053"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и юго-западнее города Умань наши войска продолжали успешное наступление. В районе города Томашполь советские части вышли к промежуточному оборонительному рубежу противника. Наши танкисты прорвались в тыл немцев и обошли их оборонительные линии. Противник поспешно отступил, оставив на поле боя много убитых и раненых своих солдат и офицеров. Развивая успех, наши бойцы овладели городом Томашполь. Нашими войсками заняты также районные центры Винницкой области город Брацлав, город Крыжополь, Чечельник, районный центр Одесской области Песчана и много других населённых пунктов. В одном районе батальон нашей пехоты проник в тыл противника и оседлал дорогу, по которой отступал полк немецкой пехоты. Советские бойцы внезапно атаковали противника и истребили свыше 800 гитлеровцев. Остальные немецкие солдаты и офицеры, бросив обозы и оружие, в панике бежали.</w:t>
      </w:r>
    </w:p>
    <w:p w14:paraId="1EC6404A"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Николаевском направлении наши войска вели наступательные бои. Части Н-ского гвардейского соединения, стремительно продвигаясь вперёд, разгромили два полка пехоты противника. Захвачено у немцев 10 орудий, 40 автомашин, 1.300 повозок и много стрелкового вооружения. На другом участке советские танкисты и пехотинцы внезапным ударом овладели населённым пунктом Ингулка. В бою за это село уничтожено до 2.000 гитлеровцев. Захвачены большие трофеи и взято в плен более тысячи немецких солдат и офицеров.</w:t>
      </w:r>
    </w:p>
    <w:p w14:paraId="369D0C15"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налёте советской авиации на аэродром противника в районе Николаева снарядом был подбит истребитель младшего лейтенанта Стапа. Самолёт стал быстро терять высоту и сел на территории, занятой немцами. Младший лейтенант штурмовик Милованов, увидев, что его боевой товарищ попал в беду, немедленно пошёл на посадку, но потерпел аварию. Оказалось, что зенитный огонь повредил и его машину. Тогда ведущий группы штурмовиков лейтенант Демёхин сел рядом с потерпевшими аварию лётчиками. Неподалёку работали колхозники, наблюдавшие за происходящим на поле. Несмотря на опасность, группа колхозников прибежала на помощь советским лётчикам. Через несколько минут тов. Демёхин, взяв на борт лётчика Стапа и экипаж штурмовика Милованова, поднялся в воздух и благополучно доставил их на свой аэродром.</w:t>
      </w:r>
    </w:p>
    <w:p w14:paraId="41E55A1F"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Партизанский отряд, действующий в Львовской области, 25 февраля совершил смелый налёт на немецкий гарнизон. Партизаны уничтожили 70 вражеских солдат и офицеров и разрушили узел связи. На другой день советские патриоты взорвали железнодорожный мост и пустили под откос воинский эшелон противника. Разбит паровоз и 22 вагона с боеприпасами.» (15071).</w:t>
      </w:r>
    </w:p>
    <w:p w14:paraId="16BF1E99" w14:textId="77777777" w:rsidR="00FA2B3C" w:rsidRPr="007224C3" w:rsidRDefault="00FA2B3C" w:rsidP="007224C3">
      <w:pPr>
        <w:spacing w:after="0" w:line="240" w:lineRule="auto"/>
        <w:jc w:val="both"/>
        <w:rPr>
          <w:rFonts w:ascii="Times New Roman" w:hAnsi="Times New Roman"/>
          <w:color w:val="000000" w:themeColor="text1"/>
          <w:sz w:val="16"/>
          <w:szCs w:val="16"/>
        </w:rPr>
      </w:pPr>
    </w:p>
    <w:p w14:paraId="3D058410" w14:textId="77777777" w:rsidR="006E2E37" w:rsidRPr="007224C3" w:rsidRDefault="006E2E37" w:rsidP="007224C3">
      <w:pPr>
        <w:pStyle w:val="ae"/>
        <w:spacing w:before="0" w:after="0"/>
        <w:jc w:val="both"/>
        <w:textAlignment w:val="baseline"/>
        <w:rPr>
          <w:color w:val="000000" w:themeColor="text1"/>
          <w:sz w:val="16"/>
          <w:szCs w:val="16"/>
        </w:rPr>
      </w:pPr>
      <w:r w:rsidRPr="007224C3">
        <w:rPr>
          <w:color w:val="000000" w:themeColor="text1"/>
          <w:sz w:val="16"/>
          <w:szCs w:val="16"/>
        </w:rPr>
        <w:t>Утром 17 марта 1944 г. разведчик А-20 все из того же 118-го омрап обнаружил у норвежского побережья, в районе Конгс-фьорда, конвой в составе трех транспортов и множества кораблей охранения. Первый удар по нему в 12.27 нанесли Р-40 из 27-го иап ВВС СФ майора А. Я. Дижевского, сбросившие бомбы ФАБ-100. Затем в море были отосланы семь Ил-2 из 46-го шап, семь «Киттихауков» и четыре A-20J. Ударную группу сопровождали 16 «Аэрокобр» и Як-7.</w:t>
      </w:r>
    </w:p>
    <w:p w14:paraId="17A8214C" w14:textId="77777777" w:rsidR="006E2E37" w:rsidRPr="007224C3" w:rsidRDefault="006E2E37" w:rsidP="007224C3">
      <w:pPr>
        <w:pStyle w:val="ae"/>
        <w:spacing w:before="0" w:after="0"/>
        <w:jc w:val="both"/>
        <w:textAlignment w:val="baseline"/>
        <w:rPr>
          <w:color w:val="000000" w:themeColor="text1"/>
          <w:sz w:val="16"/>
          <w:szCs w:val="16"/>
        </w:rPr>
      </w:pPr>
      <w:r w:rsidRPr="007224C3">
        <w:rPr>
          <w:color w:val="000000" w:themeColor="text1"/>
          <w:sz w:val="16"/>
          <w:szCs w:val="16"/>
        </w:rPr>
        <w:t>Согласно штабному плану, сначала должны были атаковать штурмовики, а затем торпедоносцы, но на практике вышло все наоборот. Первыми в 12.58 на цель вышли «Бостоны». Сброшенные ими торпеды прошли мимо, зато все четыре машины были одна за другой сбиты и, пылая, рухнули в море. Видимо, это зрелище так отвлекло корабельных зенитчиков, что Илы смогли пройти над конвоем без потерь, сбросив 36 фугасных бомб и выпустив 37 «эрэсов». Но, несмотря на это, корабли так и не были поражены.</w:t>
      </w:r>
    </w:p>
    <w:p w14:paraId="28121F07" w14:textId="77777777" w:rsidR="006E2E37" w:rsidRPr="007224C3" w:rsidRDefault="006E2E37" w:rsidP="007224C3">
      <w:pPr>
        <w:pStyle w:val="ae"/>
        <w:spacing w:before="0" w:after="0"/>
        <w:jc w:val="both"/>
        <w:textAlignment w:val="baseline"/>
        <w:rPr>
          <w:color w:val="000000" w:themeColor="text1"/>
          <w:sz w:val="16"/>
          <w:szCs w:val="16"/>
        </w:rPr>
      </w:pPr>
      <w:r w:rsidRPr="007224C3">
        <w:rPr>
          <w:color w:val="000000" w:themeColor="text1"/>
          <w:sz w:val="16"/>
          <w:szCs w:val="16"/>
        </w:rPr>
        <w:t>В завязавшемся воздушном бою истребители III./JG5 сбили две «Аэрокобры», в одной из которых на дно морское ушел командир 255-го иап майор Николай Чертов. В свою очередь, советские летчики «скромно» заявили о девяти сбитых мессерах, но в документах люфтваффе нет упоминаний хотя бы об одном поврежденном в тот день истребителе из эскадры «Айсмеер».</w:t>
      </w:r>
    </w:p>
    <w:p w14:paraId="5A3D0EC8" w14:textId="77777777" w:rsidR="006E2E37" w:rsidRPr="007224C3" w:rsidRDefault="006E2E37" w:rsidP="007224C3">
      <w:pPr>
        <w:pStyle w:val="ae"/>
        <w:spacing w:before="0" w:after="0"/>
        <w:jc w:val="both"/>
        <w:textAlignment w:val="baseline"/>
        <w:rPr>
          <w:color w:val="000000" w:themeColor="text1"/>
          <w:sz w:val="16"/>
          <w:szCs w:val="16"/>
        </w:rPr>
      </w:pPr>
      <w:r w:rsidRPr="007224C3">
        <w:rPr>
          <w:color w:val="000000" w:themeColor="text1"/>
          <w:sz w:val="16"/>
          <w:szCs w:val="16"/>
        </w:rPr>
        <w:t>Командование авиации Северного флота не унималось, и уже вечером в 17.20 и в 17.30 конвой снова атаковали группы Ил-2 и Р-40. Попаданий опять не было, и вторая массированная атака закончилась крахом. Однако, исходя из оптимистических донесений летчиков, следующие операции против кораблей планировались все с таким же размахом (19522).</w:t>
      </w:r>
    </w:p>
    <w:p w14:paraId="736CF42E" w14:textId="77777777" w:rsidR="006E2E37" w:rsidRPr="007224C3" w:rsidRDefault="006E2E37" w:rsidP="007224C3">
      <w:pPr>
        <w:pStyle w:val="ae"/>
        <w:spacing w:before="0" w:after="0"/>
        <w:jc w:val="both"/>
        <w:textAlignment w:val="baseline"/>
        <w:rPr>
          <w:color w:val="000000" w:themeColor="text1"/>
          <w:sz w:val="16"/>
          <w:szCs w:val="16"/>
        </w:rPr>
      </w:pPr>
    </w:p>
    <w:p w14:paraId="35E08DA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марта 1944 года разведка обнаружила немецкий конвой, состоявших из 4 транспортов и 20 кораблей эскорта. Первую атаку провели 4 торпедоносца из 9-го ГМТАП (командир звена, капитан Л.И. Марков) в сопровождении 8 истребителей из 255-го ИАП. Два А-20 были сбиты немецкими Вf109 еще на подлете, а два торпедоносца пали жертвой немецкой зенитной артиллерии. Отряд прикрытия также понес потери - две машины. Среди погибших был командир полка Н.Г. Чертов. Советская сторона заявила две победы. В одной из последующих атак на конвой погиб заместитель командира 78-го ИАП, капитан В.С. Адонкин, имевший на своем боевом счету не менее 15 воздушных побед. По данным советской стороны удалось потопить два транспорта и два сторожевых корабля, а также сбить 15 самолетов. В действительности же все корабли и транспорты конвоя дошли до цели, а число сбитых самолетов также оказалось завышенным (2691).</w:t>
      </w:r>
    </w:p>
    <w:p w14:paraId="02A662B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284316" w14:textId="77777777" w:rsidR="00EC7700" w:rsidRPr="007224C3" w:rsidRDefault="00EC7700"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Утром 17 марта 1944 г. разведчик А</w:t>
      </w:r>
      <w:r w:rsidRPr="007224C3">
        <w:rPr>
          <w:rFonts w:ascii="Times New Roman" w:hAnsi="Times New Roman"/>
          <w:color w:val="0070C0"/>
          <w:sz w:val="16"/>
          <w:szCs w:val="16"/>
        </w:rPr>
        <w:noBreakHyphen/>
        <w:t>20 все из того же 118</w:t>
      </w:r>
      <w:r w:rsidRPr="007224C3">
        <w:rPr>
          <w:rFonts w:ascii="Times New Roman" w:hAnsi="Times New Roman"/>
          <w:color w:val="0070C0"/>
          <w:sz w:val="16"/>
          <w:szCs w:val="16"/>
        </w:rPr>
        <w:noBreakHyphen/>
        <w:t>го омрап обнаружил у норвежского побережья, в районе Конгс</w:t>
      </w:r>
      <w:r w:rsidRPr="007224C3">
        <w:rPr>
          <w:rFonts w:ascii="Times New Roman" w:hAnsi="Times New Roman"/>
          <w:color w:val="0070C0"/>
          <w:sz w:val="16"/>
          <w:szCs w:val="16"/>
        </w:rPr>
        <w:noBreakHyphen/>
        <w:t>фьорда, конвой в составе трех транспортов и множества кораблей охранения. Первый удар по нему в 12.27 нанесли Р</w:t>
      </w:r>
      <w:r w:rsidRPr="007224C3">
        <w:rPr>
          <w:rFonts w:ascii="Times New Roman" w:hAnsi="Times New Roman"/>
          <w:color w:val="0070C0"/>
          <w:sz w:val="16"/>
          <w:szCs w:val="16"/>
        </w:rPr>
        <w:noBreakHyphen/>
        <w:t>40 из 27</w:t>
      </w:r>
      <w:r w:rsidRPr="007224C3">
        <w:rPr>
          <w:rFonts w:ascii="Times New Roman" w:hAnsi="Times New Roman"/>
          <w:color w:val="0070C0"/>
          <w:sz w:val="16"/>
          <w:szCs w:val="16"/>
        </w:rPr>
        <w:noBreakHyphen/>
        <w:t>го иап ВВС СФ майора А.Я. Дижевского, сбросившие бомбы ФАБ</w:t>
      </w:r>
      <w:r w:rsidRPr="007224C3">
        <w:rPr>
          <w:rFonts w:ascii="Times New Roman" w:hAnsi="Times New Roman"/>
          <w:color w:val="0070C0"/>
          <w:sz w:val="16"/>
          <w:szCs w:val="16"/>
        </w:rPr>
        <w:noBreakHyphen/>
        <w:t>100. Затем в море были отосланы семь Ил</w:t>
      </w:r>
      <w:r w:rsidRPr="007224C3">
        <w:rPr>
          <w:rFonts w:ascii="Times New Roman" w:hAnsi="Times New Roman"/>
          <w:color w:val="0070C0"/>
          <w:sz w:val="16"/>
          <w:szCs w:val="16"/>
        </w:rPr>
        <w:noBreakHyphen/>
        <w:t>2 из 46</w:t>
      </w:r>
      <w:r w:rsidRPr="007224C3">
        <w:rPr>
          <w:rFonts w:ascii="Times New Roman" w:hAnsi="Times New Roman"/>
          <w:color w:val="0070C0"/>
          <w:sz w:val="16"/>
          <w:szCs w:val="16"/>
        </w:rPr>
        <w:noBreakHyphen/>
        <w:t>го шап, семь «Киттихауков» и четыре A</w:t>
      </w:r>
      <w:r w:rsidRPr="007224C3">
        <w:rPr>
          <w:rFonts w:ascii="Times New Roman" w:hAnsi="Times New Roman"/>
          <w:color w:val="0070C0"/>
          <w:sz w:val="16"/>
          <w:szCs w:val="16"/>
        </w:rPr>
        <w:noBreakHyphen/>
        <w:t>20J. Ударную группу сопровождали 16 «Аэрокобр» и Як</w:t>
      </w:r>
      <w:r w:rsidRPr="007224C3">
        <w:rPr>
          <w:rFonts w:ascii="Times New Roman" w:hAnsi="Times New Roman"/>
          <w:color w:val="0070C0"/>
          <w:sz w:val="16"/>
          <w:szCs w:val="16"/>
        </w:rPr>
        <w:noBreakHyphen/>
        <w:t>7.</w:t>
      </w:r>
    </w:p>
    <w:p w14:paraId="36A27B2F" w14:textId="77777777" w:rsidR="00EC7700" w:rsidRPr="007224C3" w:rsidRDefault="00EC7700"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Согласно штабному плану, сначала должны были атаковать штурмовики, а затем торпедоносцы, но на практике вышло все наоборот. Первыми в 12.58 на цель вышли «Бостоны». Сброшенные ими торпеды прошли мимо, зато все четыре машины были одна за другой сбиты и, пылая, рухнули в море. Видимо, это зрелище так отвлекло корабельных зенитчиков, что Илы смогли пройти над конвоем без потерь, сбросив 36 фугасных бомб и выпустив 37 «эрэсов». Но, несмотря на это, корабли так и не были поражены.</w:t>
      </w:r>
    </w:p>
    <w:p w14:paraId="125C8BE6" w14:textId="77777777" w:rsidR="00EC7700" w:rsidRPr="007224C3" w:rsidRDefault="00EC7700"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 завязавшемся воздушном бою истребители III./JG5 сбили две «Аэрокобры», в одной из которых на дно морское ушел командир 255</w:t>
      </w:r>
      <w:r w:rsidRPr="007224C3">
        <w:rPr>
          <w:rFonts w:ascii="Times New Roman" w:hAnsi="Times New Roman"/>
          <w:color w:val="0070C0"/>
          <w:sz w:val="16"/>
          <w:szCs w:val="16"/>
        </w:rPr>
        <w:noBreakHyphen/>
        <w:t>го иап майор Николай Чертов. В свою очередь, советские летчики «скромно» заявили о девяти сбитых мессерах, но в документах люфтваффе нет упоминаний хотя бы об одном поврежденном в тот день истребителе из эскадры «Айсмеер».</w:t>
      </w:r>
    </w:p>
    <w:p w14:paraId="036FB786" w14:textId="77777777" w:rsidR="00EC7700" w:rsidRPr="007224C3" w:rsidRDefault="00EC7700"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Командование авиации Северного флота не унималось, и уже вечером в 17.20 и в 17.30 конвой снова атаковали группы Ил</w:t>
      </w:r>
      <w:r w:rsidRPr="007224C3">
        <w:rPr>
          <w:rFonts w:ascii="Times New Roman" w:hAnsi="Times New Roman"/>
          <w:color w:val="0070C0"/>
          <w:sz w:val="16"/>
          <w:szCs w:val="16"/>
        </w:rPr>
        <w:noBreakHyphen/>
        <w:t>2 и Р</w:t>
      </w:r>
      <w:r w:rsidRPr="007224C3">
        <w:rPr>
          <w:rFonts w:ascii="Times New Roman" w:hAnsi="Times New Roman"/>
          <w:color w:val="0070C0"/>
          <w:sz w:val="16"/>
          <w:szCs w:val="16"/>
        </w:rPr>
        <w:noBreakHyphen/>
        <w:t>40. Попаданий опять не было, и вторая массированная атака закончилась крахом. Однако, исходя из оптимистических донесений летчиков, следующие операции против кораблей планировались все с таким же размахом (23199).</w:t>
      </w:r>
    </w:p>
    <w:p w14:paraId="6FE02F4C" w14:textId="77777777" w:rsidR="00EC7700" w:rsidRPr="007224C3" w:rsidRDefault="00EC7700" w:rsidP="007224C3">
      <w:pPr>
        <w:spacing w:after="0" w:line="240" w:lineRule="auto"/>
        <w:jc w:val="both"/>
        <w:rPr>
          <w:rFonts w:ascii="Times New Roman" w:hAnsi="Times New Roman"/>
          <w:color w:val="0070C0"/>
          <w:sz w:val="16"/>
          <w:szCs w:val="16"/>
        </w:rPr>
      </w:pPr>
    </w:p>
    <w:p w14:paraId="44249D7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марта 1944 советские войска форсировали Днестр (3907,248).</w:t>
      </w:r>
    </w:p>
    <w:p w14:paraId="4BB948B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27F365"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Жизнь и внутренняя политика:</w:t>
      </w:r>
    </w:p>
    <w:p w14:paraId="7DB12BC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0E9531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марта 1944 приказом № 00286 в связи с массовыми переселениями в Казахстан и Киргизию чеченцев, ингушей, карачаевцев и балкарцев Отдел спецпоселений был выделен из ГУЛАГа в самостоятельный отдел НКВД, начальником которого был назначен бывший офицер для особых поручений при наркоме внутренних дел полковник ГБ М. В. Кузнецов, а прежний начальник отдела П. И. Мальцев стал его заместителем. Всего за 1941-1944 годы было переселено более 1,5 миллиона немцев, карачаевцев, чеченцев, ингушей, балкарцев, калмыков, крымских татар, греков, болгар, армян, а также турок, курдов и хемшилов (7560).</w:t>
      </w:r>
    </w:p>
    <w:p w14:paraId="6224DB6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015CDA"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Внешняя политика:</w:t>
      </w:r>
    </w:p>
    <w:p w14:paraId="3E53E2A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32AD0C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марта 1944 года</w:t>
      </w:r>
    </w:p>
    <w:p w14:paraId="0C9806F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СЕКРЕТНО И ЛИЧНО ОТ ПРЕМЬЕРА И. В. СТАЛИНА ПРЕЗИДЕНТУ г-ну Ф. РУЗВЕЛЬТУ И ПРЕМЬЕР-МИНИСТРУ г-ну У. ЧЕРЧИЛЛЮ</w:t>
      </w:r>
    </w:p>
    <w:p w14:paraId="3F4ED1D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Ваше послание по поводу передачи Советскому Союзу Британским Правительством восьми эсминцев получил. Я готов согласиться, что эти эсминцы вполне пригодны для эскортной работы, но Вам, конечно, понятно, что Советскому Союзу нужны эсминцы, пригодные также и для других боевых операций. Право союзников распоряжаться итальянским военно-морским флотом, разумеется, совершенно бесспорно, и Итальянскому Правительству следует дать это понять, в частности в отношении итальянских судов, подлежащих передаче Советскому Союзу (7430).</w:t>
      </w:r>
    </w:p>
    <w:p w14:paraId="4DD52F3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80884E"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0BF9C47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7F308E9"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17 марта</w:t>
      </w:r>
      <w:r w:rsidRPr="007224C3">
        <w:rPr>
          <w:rFonts w:ascii="Times New Roman" w:hAnsi="Times New Roman"/>
          <w:color w:val="000000" w:themeColor="text1"/>
          <w:sz w:val="16"/>
          <w:szCs w:val="16"/>
        </w:rPr>
        <w:t xml:space="preserve"> в 1944 году начато проектирование нового турбореактивного двигателя фирмы «Роллс-Ройс» RB-40 (15071).</w:t>
      </w:r>
    </w:p>
    <w:p w14:paraId="11A999E8" w14:textId="77777777" w:rsidR="00FA2B3C" w:rsidRPr="007224C3" w:rsidRDefault="00FA2B3C" w:rsidP="007224C3">
      <w:pPr>
        <w:spacing w:after="0" w:line="240" w:lineRule="auto"/>
        <w:jc w:val="both"/>
        <w:rPr>
          <w:rFonts w:ascii="Times New Roman" w:hAnsi="Times New Roman"/>
          <w:color w:val="000000" w:themeColor="text1"/>
          <w:sz w:val="16"/>
          <w:szCs w:val="16"/>
        </w:rPr>
      </w:pPr>
    </w:p>
    <w:p w14:paraId="328202CB"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марта 1944 Вена подверглась первой американской бомбардировке (4962).</w:t>
      </w:r>
    </w:p>
    <w:p w14:paraId="40B1F159"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584C7B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марта 1944 авиация США первый раз бомбила Вену (2100).</w:t>
      </w:r>
    </w:p>
    <w:p w14:paraId="51EF606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52E30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17 March 1944 Heavy fighting in the ruins of Monte Cassino (270).</w:t>
      </w:r>
    </w:p>
    <w:p w14:paraId="71DB7A0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BE612A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марта 1944 проходили тяжелые бои в Монте Кассино (270).</w:t>
      </w:r>
    </w:p>
    <w:p w14:paraId="1466408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C71752"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3DD6842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9996E9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марта 1944 появилась запись из донесения в/преда завода 1:</w:t>
      </w:r>
    </w:p>
    <w:p w14:paraId="3E34723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Взвешивание агрегатов серийного самолета за декабрь 1943 г.:</w:t>
      </w:r>
    </w:p>
    <w:p w14:paraId="7D0DABB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хвост часть фюзеляжа - 212,2_кг</w:t>
      </w:r>
    </w:p>
    <w:p w14:paraId="1082B87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бронекорпус - 828 кг</w:t>
      </w:r>
    </w:p>
    <w:p w14:paraId="01EAC33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центроплан без шасси - 392 кг</w:t>
      </w:r>
    </w:p>
    <w:p w14:paraId="264FA14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 консоль левая - 316 кг, правая 314 кг (462,43).</w:t>
      </w:r>
    </w:p>
    <w:p w14:paraId="57EAA5D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E813EC"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 xml:space="preserve">18 марта </w:t>
      </w:r>
      <w:r w:rsidRPr="007224C3">
        <w:rPr>
          <w:rFonts w:ascii="Times New Roman" w:hAnsi="Times New Roman"/>
          <w:color w:val="000000" w:themeColor="text1"/>
          <w:sz w:val="16"/>
          <w:szCs w:val="16"/>
        </w:rPr>
        <w:t>в 1944 году катастрофа при переучивании на истребитель «Як-9Т» столкновение в воздухе 2 истребителей полка "Нормандия - Неман". Оба пилота - аспиранты Жуара и Бурдье погибли (15072).</w:t>
      </w:r>
    </w:p>
    <w:p w14:paraId="65512C22" w14:textId="77777777" w:rsidR="00FA2B3C" w:rsidRPr="007224C3" w:rsidRDefault="00FA2B3C" w:rsidP="007224C3">
      <w:pPr>
        <w:spacing w:after="0" w:line="240" w:lineRule="auto"/>
        <w:jc w:val="both"/>
        <w:rPr>
          <w:rFonts w:ascii="Times New Roman" w:hAnsi="Times New Roman"/>
          <w:color w:val="000000" w:themeColor="text1"/>
          <w:sz w:val="16"/>
          <w:szCs w:val="16"/>
        </w:rPr>
      </w:pPr>
    </w:p>
    <w:p w14:paraId="761707A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марта 1944 появилась запись из донесения военпреда завода 18 по состоянию на 20 февраля 1944.</w:t>
      </w:r>
    </w:p>
    <w:p w14:paraId="6C8DF38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Сроки введения в серию крыла с увеличенной стреловидностью срываются из-за неготовности стапелей по сборке, отсутствия металла и квалифицированной рабочей силы. Завод принимает меры, чтобы с 29 февраля 1944 снова войти в график перехода (462,44).</w:t>
      </w:r>
    </w:p>
    <w:p w14:paraId="1CC3615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796F5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марта 1944 появилась запись из донесения военпреда завода 1 по состоянию на 01 февраля 1944.</w:t>
      </w:r>
    </w:p>
    <w:p w14:paraId="63B038C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По введению металлического крыла с увеличенной стреловидностью (приказ НКАП N 664с от 9 ноября 1943). На 1 февраля 1944 изготовлено 2 комплекта деталей, к сборке крыла не приступали.</w:t>
      </w:r>
    </w:p>
    <w:p w14:paraId="7A805AD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Из донесения военпреда зав 1 по состоянию на 20 февраля 1944.</w:t>
      </w:r>
    </w:p>
    <w:p w14:paraId="292A4E7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Собрано 7 комплектов крыльев с повышенной стрельчатостью. Завод должен к 15 мая 1944 полностью перейти на серийный выпуск нового крыла без снижения выпуска самолетов (462,44).</w:t>
      </w:r>
    </w:p>
    <w:p w14:paraId="5711DD7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69DFB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марта 1944 был подписан акт гос. испытаний в НИИ ВВС самолета По-2 N 4504 (1692,35).</w:t>
      </w:r>
    </w:p>
    <w:p w14:paraId="6FB8663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372E8B"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3001520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DB5A87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марта 1944 г. вышел ПРИКАЗ КОМАНДУЮЩЕГО БТ и МВ КА, НКТП, НАРОДНОГО КОМИССАРА ВООРУЖЕНИЯ И НАЧАЛЬНИКА ГАУ КА ОБ ИСПЫТАНИИ ОПЫТНЫХ ОБРАЗЦОВ 100-мм ПУШЕК В ТАНКАХ ИС №032</w:t>
      </w:r>
    </w:p>
    <w:p w14:paraId="7D0CE51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 исполнение Постановления ГОКО №4851 ее от 27.12.1943 г. ПРИКАЗЫВАЕМ: Провести полигонные испытания опытных образцов 100-мм пушек С-34 конструкции ЦАКБ и Д-10 конструкции завода №9, устанавливаемых в танках ИС. Для проведения испытаний назначаем комиссию:</w:t>
      </w:r>
    </w:p>
    <w:p w14:paraId="72BCEFC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Председатель Пом. начальника ТУ ГБТУ КА гвардии полковник т. Кульчицкий Члены: От ГАУ КА инженер-полковник т. Юдов</w:t>
      </w:r>
    </w:p>
    <w:p w14:paraId="55488CD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 УСА ГБТУ КА инженер-капитан т. Уткин</w:t>
      </w:r>
    </w:p>
    <w:p w14:paraId="5B513B8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 академии БТ и МВ КА инженер-капитан т. Хохлов</w:t>
      </w:r>
    </w:p>
    <w:p w14:paraId="56656ED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 НИБТ полигона инженер-капитан т. Радичук</w:t>
      </w:r>
    </w:p>
    <w:p w14:paraId="0C598B1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 НКВ — по назначению Наркома вооружения</w:t>
      </w:r>
    </w:p>
    <w:p w14:paraId="623AB80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 НКТП — по назначению директора завода №100</w:t>
      </w:r>
    </w:p>
    <w:p w14:paraId="01B3560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Испытания провести в пятидневный срок с момента подачи танков на полигон по программе ГАУ КА на Гороховецком АНИОПе.</w:t>
      </w:r>
    </w:p>
    <w:p w14:paraId="57F8818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Председателю комиссии ежедневно представлять сводки о ходе испытаний Народному комиссару танковой промышленности, Народному комиссару вооружения, начальнику ГБТУ КА через УСА, председателю АК ГАУ КА.</w:t>
      </w:r>
    </w:p>
    <w:p w14:paraId="738D948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По результатам испытаний председателю комиссии составить отчет в пятидневный срок после окончания испытаний для представления его члену Государственного комитета обороны т. Берия, Народному комиссару танковой промышленности, Народному комиссару вооружения, начальнику ГАУ КА, начальнику ГБТУ КА, начальнику УСА ГБТУ КА, начальнику ЦАКБ НКВ, директору завода №9.</w:t>
      </w:r>
    </w:p>
    <w:p w14:paraId="1987B4E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отчете должна быть сравнительная оценка 122-мм и 100-мм пушек и заключение о целесоо</w:t>
      </w:r>
      <w:r w:rsidRPr="007224C3">
        <w:rPr>
          <w:rFonts w:ascii="Times New Roman" w:hAnsi="Times New Roman"/>
          <w:color w:val="000000" w:themeColor="text1"/>
          <w:sz w:val="16"/>
          <w:szCs w:val="16"/>
        </w:rPr>
        <w:softHyphen/>
        <w:t>бразности принятия 100-мм пушки на вооружение танка ИС.</w:t>
      </w:r>
    </w:p>
    <w:p w14:paraId="063465E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Начальнику АК ГАУ КА обеспечить испытания 100-мм пушек выстрелами согласно програм</w:t>
      </w:r>
      <w:r w:rsidRPr="007224C3">
        <w:rPr>
          <w:rFonts w:ascii="Times New Roman" w:hAnsi="Times New Roman"/>
          <w:color w:val="000000" w:themeColor="text1"/>
          <w:sz w:val="16"/>
          <w:szCs w:val="16"/>
        </w:rPr>
        <w:softHyphen/>
        <w:t>мы испытаний.</w:t>
      </w:r>
    </w:p>
    <w:p w14:paraId="233704A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Начальнику УСА ГБТУ КА обеспечить испытания горючими и смазочными материалами, а также питанием членов комиссии.</w:t>
      </w:r>
    </w:p>
    <w:p w14:paraId="10BB109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Народный комиссар танковой промышленности Малышев</w:t>
      </w:r>
    </w:p>
    <w:p w14:paraId="7377CC4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народного комиссара вооружения Рябиков</w:t>
      </w:r>
    </w:p>
    <w:p w14:paraId="55E51A8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Командующий БТ и МВ КА маршал бронетанковых войск Федоренко</w:t>
      </w:r>
    </w:p>
    <w:p w14:paraId="5136CF2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Врид. начальника ГАУ КА генерал-лейтенант артиллерии Волкотрубенко</w:t>
      </w:r>
    </w:p>
    <w:p w14:paraId="3EB61AE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38. Оп. 11355. Д. 2211. Л. 16-17. Копия (11403).</w:t>
      </w:r>
    </w:p>
    <w:p w14:paraId="6B32126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AF93CD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марта 1944 г. была подготовлена ДОКЛАДНАЯ ЗАПИСКА НАЧАЛЬНИКА 2-го ОТДЕЛА УЭТ ГБТУ КА НАЧАЛЬНИКУ УПРАВЛЕНИЯ О ГРУППЕ ЗАКАЗОВ И СНАБЖЕНИЯ ВОЙСК СРЕДСТВАМИ ОБОГРЕВА И ПАРКОВОГО ОБОРУДОВАНИЯ</w:t>
      </w:r>
    </w:p>
    <w:p w14:paraId="469F866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Приказом ГБТУ КА №09 от 11 марта 1943 года в 9 отдел УРТ были переданы дела и группа работ</w:t>
      </w:r>
      <w:r w:rsidRPr="007224C3">
        <w:rPr>
          <w:rFonts w:ascii="Times New Roman" w:hAnsi="Times New Roman"/>
          <w:color w:val="000000" w:themeColor="text1"/>
          <w:sz w:val="16"/>
          <w:szCs w:val="16"/>
        </w:rPr>
        <w:softHyphen/>
        <w:t>ников 2 отдела УЭТ в составе 4 человек, ведущая заказы промышленности и снабжение БТ и МВ средствами обогрева и паркового оборудования.</w:t>
      </w:r>
    </w:p>
    <w:p w14:paraId="70F4F5B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Это мероприятие проведено в целях централизации заказов промышленности и снабжения войск, а также изжития параллелизма в этом между управлениями УЭТ и УРТ.</w:t>
      </w:r>
    </w:p>
    <w:p w14:paraId="0083397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связи с реорганизацией УРТ в Главное ремонтное управление вопрос о группе заказов и снабжения войск средствами обогрева и паркового оборудования окончательного разреше</w:t>
      </w:r>
      <w:r w:rsidRPr="007224C3">
        <w:rPr>
          <w:rFonts w:ascii="Times New Roman" w:hAnsi="Times New Roman"/>
          <w:color w:val="000000" w:themeColor="text1"/>
          <w:sz w:val="16"/>
          <w:szCs w:val="16"/>
        </w:rPr>
        <w:softHyphen/>
        <w:t>ния не получил.</w:t>
      </w:r>
    </w:p>
    <w:p w14:paraId="45401E8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заявке начальника 9 отдела УРТ инженер-полковника Шилова при составлении нового штата отдела оборудования, они не учитывали работников по группе средств обогрева и пар</w:t>
      </w:r>
      <w:r w:rsidRPr="007224C3">
        <w:rPr>
          <w:rFonts w:ascii="Times New Roman" w:hAnsi="Times New Roman"/>
          <w:color w:val="000000" w:themeColor="text1"/>
          <w:sz w:val="16"/>
          <w:szCs w:val="16"/>
        </w:rPr>
        <w:softHyphen/>
        <w:t>кового оборудования.</w:t>
      </w:r>
    </w:p>
    <w:p w14:paraId="47E0503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проекте нового штата УЭТ нами также не учитывалась эта группа.</w:t>
      </w:r>
    </w:p>
    <w:p w14:paraId="037299F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Заказы в промышленность на парковое оборудование и средства обогрева и снабжение ими войск всегда производилось отделом снабжения ГБТУ (АБТУ), а поэтому считаю, что группа работ</w:t>
      </w:r>
      <w:r w:rsidRPr="007224C3">
        <w:rPr>
          <w:rFonts w:ascii="Times New Roman" w:hAnsi="Times New Roman"/>
          <w:color w:val="000000" w:themeColor="text1"/>
          <w:sz w:val="16"/>
          <w:szCs w:val="16"/>
        </w:rPr>
        <w:softHyphen/>
        <w:t>ников в составе 3-4 человек должна быть включена в штат отдела оборудования управления снабже</w:t>
      </w:r>
      <w:r w:rsidRPr="007224C3">
        <w:rPr>
          <w:rFonts w:ascii="Times New Roman" w:hAnsi="Times New Roman"/>
          <w:color w:val="000000" w:themeColor="text1"/>
          <w:sz w:val="16"/>
          <w:szCs w:val="16"/>
        </w:rPr>
        <w:softHyphen/>
        <w:t>ния Главного ремонтного управления.</w:t>
      </w:r>
    </w:p>
    <w:p w14:paraId="5E884FF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Докладывая вышеизложенное прошу Ваших указаний.</w:t>
      </w:r>
    </w:p>
    <w:p w14:paraId="2E71D23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2 отдела УЭТ ГБТУ КА инженер-подполковник Слонов</w:t>
      </w:r>
    </w:p>
    <w:p w14:paraId="5F9B378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38. Оп. 11362. Д. 112. Л. 15. Подлинник (11403).</w:t>
      </w:r>
    </w:p>
    <w:p w14:paraId="60AD961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6514E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марта 1944 г. была подготовлена ДОКЛАДНАЯ ЗАПИСКА КОМАНДУЮЩЕГО БТ и МВ КА ЧЛЕНУ ГКО СССР Л.П. БЕРИИ О ВВЕДЕНИИ НА СНАБЖЕНИЕ БРОНЕТАНКОВЫХ ВОЙСК КРАСНОЙ АРМИИ ОГНЕЗАЩИТНЫХ КОСТЮМОВ ИЗ ТКАНИ «ТОЗ»</w:t>
      </w:r>
    </w:p>
    <w:p w14:paraId="06E0B6F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Представляю на рассмотрение и утверждение проект постановления ГОКО о введении на снаб</w:t>
      </w:r>
      <w:r w:rsidRPr="007224C3">
        <w:rPr>
          <w:rFonts w:ascii="Times New Roman" w:hAnsi="Times New Roman"/>
          <w:color w:val="000000" w:themeColor="text1"/>
          <w:sz w:val="16"/>
          <w:szCs w:val="16"/>
        </w:rPr>
        <w:softHyphen/>
        <w:t>жение бронетанковых войск Красной Армии огнезащитных костюмов из ткани «ТОЗ».</w:t>
      </w:r>
    </w:p>
    <w:p w14:paraId="75D9018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Изготовление ткани и костюмов освоено Наркомлегпромом, и с 1942 г. изготовлено около 20.000 танковых костюмов.</w:t>
      </w:r>
    </w:p>
    <w:p w14:paraId="211C1D9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Огнезащитные костюмы «ТОЗ» нашли практическое применение для защиты боевых экипажей от огня при возникновении пожара в танке, и оправдали свое назначение.</w:t>
      </w:r>
    </w:p>
    <w:p w14:paraId="4EA7EE6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Водонепроницаемость костюмов «ТОЗ» также значительно улучшает условия работы танко</w:t>
      </w:r>
      <w:r w:rsidRPr="007224C3">
        <w:rPr>
          <w:rFonts w:ascii="Times New Roman" w:hAnsi="Times New Roman"/>
          <w:color w:val="000000" w:themeColor="text1"/>
          <w:sz w:val="16"/>
          <w:szCs w:val="16"/>
        </w:rPr>
        <w:softHyphen/>
        <w:t>вых экипажей.</w:t>
      </w:r>
    </w:p>
    <w:p w14:paraId="1B723A1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Считаю целесообразным ввести на снабжение танковых частей и частей самоходной артилле</w:t>
      </w:r>
      <w:r w:rsidRPr="007224C3">
        <w:rPr>
          <w:rFonts w:ascii="Times New Roman" w:hAnsi="Times New Roman"/>
          <w:color w:val="000000" w:themeColor="text1"/>
          <w:sz w:val="16"/>
          <w:szCs w:val="16"/>
        </w:rPr>
        <w:softHyphen/>
        <w:t>рии (для экипажей танков и самоходных артустановок) огнезащитные костюмы «ТОЗ». Представляемый проект</w:t>
      </w:r>
      <w:r w:rsidRPr="007224C3">
        <w:rPr>
          <w:rFonts w:ascii="Times New Roman" w:hAnsi="Times New Roman"/>
          <w:color w:val="000000" w:themeColor="text1"/>
          <w:sz w:val="16"/>
          <w:szCs w:val="16"/>
          <w:vertAlign w:val="superscript"/>
        </w:rPr>
        <w:t>1</w:t>
      </w:r>
      <w:r w:rsidRPr="007224C3">
        <w:rPr>
          <w:rFonts w:ascii="Times New Roman" w:hAnsi="Times New Roman"/>
          <w:color w:val="000000" w:themeColor="text1"/>
          <w:sz w:val="16"/>
          <w:szCs w:val="16"/>
        </w:rPr>
        <w:t xml:space="preserve"> постановления ГОКО, прошу утвердить.</w:t>
      </w:r>
    </w:p>
    <w:p w14:paraId="082A64B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Командующий БТ и МВ Красной Армии маршал бронетанковых войск Федоренко</w:t>
      </w:r>
    </w:p>
    <w:p w14:paraId="5D65647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Главного военно-химического управления Красной Армии</w:t>
      </w:r>
    </w:p>
    <w:p w14:paraId="15CD043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генерал-лейтенант артиллерии Аборенков</w:t>
      </w:r>
    </w:p>
    <w:p w14:paraId="7527DF5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38. Оп. 11355. Д. 2514. Л. 14. Копия (11403).</w:t>
      </w:r>
    </w:p>
    <w:p w14:paraId="15B0D8C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7892EC"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марта 1944 года вышел приказ № 167с/169с НКТП и Управлению промысловой кооперации при СНК РСФСР</w:t>
      </w:r>
    </w:p>
    <w:p w14:paraId="78A938A7"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соответствии с распоряжением Совнаркома № 5829рс от 15 марта 1944 года:</w:t>
      </w:r>
    </w:p>
    <w:p w14:paraId="0EEF6578"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Передать по состоянию на 1 марта 1944 года Управлению промысловой кооперации завод № 138 НКТП в городе Энгельс (6210, 70).</w:t>
      </w:r>
    </w:p>
    <w:p w14:paraId="11145762"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468F336"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594749B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EE2D46F"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 xml:space="preserve">18 марта </w:t>
      </w:r>
      <w:r w:rsidRPr="007224C3">
        <w:rPr>
          <w:rFonts w:ascii="Times New Roman" w:hAnsi="Times New Roman"/>
          <w:color w:val="000000" w:themeColor="text1"/>
          <w:sz w:val="16"/>
          <w:szCs w:val="16"/>
        </w:rPr>
        <w:t>в 1944 году оперативная сводка Совинформбюро:</w:t>
      </w:r>
    </w:p>
    <w:p w14:paraId="7EFC6496"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18 марта западнее и юго-западнее города Дубно наши войска, продолжая развивать наступление, с боями заняли более 50 населённых пунктов и среди них крупные населённые пункты Волновые, Боратын, Хотын, Иващуки, Козин, Сады Вельке, Пиратын, Тараканов.</w:t>
      </w:r>
    </w:p>
    <w:p w14:paraId="33ABCC86"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Северо-западнее Винница наши войска форсировали реку Южный Буг и, сломив сопротивление противника, овладели сильно укреплёнными опорными пунктами его обороны Поповцы, Думенки, Лелетка, Вугриновка, Голодьки, Куриловка, Николаевка, Пикивская Слободка.</w:t>
      </w:r>
    </w:p>
    <w:p w14:paraId="60D1F83C"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1-го Украинского фронта в результате двухдневных упорных боёв 18 марта овладели оперативно-важным узлом железных дорог и городом Жмеринка. Юго-западнее города Умань наши войска, развивая наступление, вышли на реку Днестр и овладели городом Ямполь, а также с боями заняли более 100 других населённых пунктов, в том числе районные центры Винницкой области Черневцы, Песчанка, крупные населённые пункты Березовка, Боровка, Бабчинцы, Дзыговка, Гальжбиевка, Качкивка, Ольшанка, Батрацкое, Попелюхи, Черномин и железнодорожные станции Рудница, Попелюхи.</w:t>
      </w:r>
    </w:p>
    <w:p w14:paraId="722D018B"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2-го Украинского фронта, продолжая наступление, овладели городом и важным железнодорожным узлом Помошная, а также с боями заняли более 80 других населённых пунктов, в том числе районный центр Кировоградской области Песчаный Брод, районный центр Одесской области Ольшанка, крупные населённые пункты Добрянка, Ново-Станковата, Ново-Лудковка, Фурмановка, Ново-Михайловка, Николаевка, Антоновка, Анновка, Фадеевка, и железнодорожную станцию Никольская.</w:t>
      </w:r>
    </w:p>
    <w:p w14:paraId="43A112FA"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Юго-западнее города Бобринец наши войска, развивая наступление, с боями заняли более 100 населённых пунктов, среди которых крупные населённые пункты Софиевка, Витязевка, Лашкул, Николо-Бабанка, Бурдей, Братолюбовка, МаловоссиятскоЕ.</w:t>
      </w:r>
    </w:p>
    <w:p w14:paraId="1561E6CD"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Николаевском направлении наши войска продолжали вести наступательные бои, в ходе которых заняли более 30 населённых пунктов, в том числе крупные населённые пункты Касперовка, Спиридоновка, Ново-Петровское, Себино, Ново-Матвеевка, Пересадовка, Шевченко, Пузыри, Ефимовка, и железнодорожную станцию Котлярово.</w:t>
      </w:r>
    </w:p>
    <w:p w14:paraId="67E0021D"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шли бои местного значения.</w:t>
      </w:r>
    </w:p>
    <w:p w14:paraId="17BE02DB"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17 марта наши войска на всех фронтах подбили и уничтожили 31 немецкий танк. В воздушных боях и огнём зенитной артиллерии сбито 37 самолётов противника.</w:t>
      </w:r>
    </w:p>
    <w:p w14:paraId="6F8049BF"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Северо-западнее города Винницы наши войска форсировали реку Южный Буг и с боями заняли ряд сильно укреплённых опорных пунктов обороны немцев. ЧастиН-ского соединения в бою за один населённый пункт уничтожили до 600 солдат и офицеров противника. Захвачены у немцев 10 танков, в том числе 3 типа «Тигр», 24орудия, 270 автомашин и 33 тягача. В другом районе противник ввёл в бой свежую дивизию, только что прибывшую на фронт. Советские пехотинцы и танкисты, в результате успешного манёвра, окружили и уничтожили два полка этой дивизии. Всё их вооружение захвачено нашими войсками. Большое число немцев взято в плен.</w:t>
      </w:r>
    </w:p>
    <w:p w14:paraId="279A1B73"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1-го Украинского фронта сегодня овладели крупным узлом железных дороги городом Жмеринка. Противник оказывал упорное сопротивление. Советские части штурмом заняли опорные пункты немцев Браилов, Малая Жмеринка и тем самым дезорганизовали вражескую оборону. Одновременно наши войска ворвались в Жмеринку с востока и юга. В результате двухдневных ожесточённых боев противник был разгромлен. Остатки немецких войск, оборонявшихся в городе, в беспорядке отступили. В городе и особенно на железнодорожном узле захвачено большое количество вооружения и военных материалов.</w:t>
      </w:r>
    </w:p>
    <w:p w14:paraId="5E1BD661"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города Умань наши войска, развивая стремительное наступление, вышли на реку Днестр. На плечах отступающего противника советские бойцы ворвались в город Ямполь и в результате ожесточённого боя очистили его от немецко-фашистских захватчиков. Прижатые к реке гитлеровцы понесли огромные потери в живой силе. Захвачено 50 орудий, свыше 1.000 автомашин, склады с вооружением, боеприпасами, продовольствием и военным имуществом. Взято в плен до 1.000 немецких солдат и офицеров.</w:t>
      </w:r>
    </w:p>
    <w:p w14:paraId="6CFC2BA4"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города Бобринец наши войска продолжали наступление. Немцы пытались задержаться, опираясь на промежуточные рубежи на речках и высотах. Стремительными ударами наши подвижные части смяли войска противника и, преследуя их, заняли более ста населённых пунктов. Уничтожено не менее полка немецкой пехоты. Захвачено 3 танка, 10 орудий, 400 автомашин, 3 склада с военным имуществом и передвижная электростанция.</w:t>
      </w:r>
    </w:p>
    <w:p w14:paraId="21231BB4"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Николаевском направлении наши гвардейские части форсировали реку Ингул в её нижнем течении и прорвались в тылы противники. Воспользовавшись возникшей среди немцев паникой, советские танкисты и автоматчики рассеяли крупные силы противника и истребили до 1.600 гитлеровцев. Уничтожено 3 самоходных и 17 полевых орудий, 11 бронетранспортёров и 46 автомашин. Захвачено у немцев 19 полевых орудий, 60 пулемётов, 36 миномётов, 1.700 винтовок, 73 автомашины и 150 повозок. Другие наши части, преодолевая сопротивление противника, овладели несколькими населёнными пунктами и железнодорожной станцией Котлярово, находящейся в 15 километрах от Николаева.</w:t>
      </w:r>
    </w:p>
    <w:p w14:paraId="5AEA9C3C"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Артиллерийские батареи и авиация Черноморского флота разгромили в Днепровско-Бугском лимане крупный караван судов противника, шедший из Николаева в Очаков. Потоплены сторожевой катер, три самоходных понтона, одна десантная баржа и две сухогрузные баржи. Остальные суда каравана сильно повреждены.</w:t>
      </w:r>
    </w:p>
    <w:p w14:paraId="75788D73"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Партизанский отряд имени Кастуся Калиновского, действующий в Белостокской области, пустил под откос воинский эшелон противника. Паровоз и 15 классных вагонов полностью разбиты. Партизанская разведка установила, что гитлеровцы извлекли из-под обломков вагонов около 200 трупов. Через четыре дня партизаны этого отряда организовали крушение ещё одного немецкого эшелона.».</w:t>
      </w:r>
    </w:p>
    <w:p w14:paraId="2CD764F2"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Потери немцев и трофеи войск 3-го Украинского фронта за период боев от 6 по16 марта сего года.</w:t>
      </w:r>
    </w:p>
    <w:p w14:paraId="5E486E9B"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«3-й Украинский фронт под командованием генерала армии Малиновского после прорыва обороны немцев на реке Ингулец и выхода на реку Южный Буг, т. е. с 6 по 16 марта с. г., фактически полностью разгромил 6-ю немецкую армию генерал-полковника Холидт. Главное поражение нанесено противнику в период 13-16марта с. г., когда немецкое командование в связи с выходом гвардейской группы генерал-лейтенанта Плиева на немецкие тылы потеряло всякое управление войсками и отдало приказ — пробиваться на запад мелкими группами и даже одиночным порядком. После этого ряд колонн противника был окружён и изолированно уничтожался быстрыми и решительными действиями наших дивизий и корпусов, причём уничтожение противника шло настолько быстро и решительно, что противник не смог свои отрезанные войска собрать в общую группу, что дало нам возможность уничтожить их по частям, главным образом в районе Ново-Севастополь, Ново-Сергеевка, хутора Шевченко и в районе Березнеговатое, Явкино, Снигирёвка.</w:t>
      </w:r>
    </w:p>
    <w:p w14:paraId="1BC81038"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этих боях на полное уничтожение врага полностью разгромлены и ликвидированы: 3, 97 горно-стрелковые дивизии, 17, 123, 125, 258, 302, 294, 387пехотные дивизии, 9 танковая дивизия; нанесены тяжёлые поражения, в результате чего эти соединения противника почти потеряли боеспособность: 9, 15, 46, 62, 79, 304, 306, 335 пехотным дивизиям, 23 и 24 танковым дивизиям и 16 мотодивизии; понесли большие потери, но сохранили некоторую боеспособность: 76,111,257, 370 пехотные дивизии.</w:t>
      </w:r>
    </w:p>
    <w:p w14:paraId="6522FB00"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Потеряли почти всю материальную часть следующие отдельные части: 45, 51, 53,115, 127 и 140 артполки резерва главного командования, 52, 77, 148, 154, 707,711, 732, 736 и 737 артдивизионы резерва главного командования, 209, 232, 236, 238, 243, 277, 278 и 281 дивизионы штурмовых орудий и 560 тяжёлый дивизион штурмовых орудий. Кроме того, разгромлены 25 отдельных батальонов: сапёрных, строительных, штрафных, охранных, жандармских и маршевых, которые действовали как пехота и бросались в бой с хода.</w:t>
      </w:r>
    </w:p>
    <w:p w14:paraId="0A0413DB"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этот период захвачено в плен 13.859 немецких солдат и офицеров, убито и осталось на нашей территории 36.800 человек.</w:t>
      </w:r>
    </w:p>
    <w:p w14:paraId="597A7EC4"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Захвачено: танков 131, самоходных орудий 74, орудий 678, пулемётов 1.646, автомашин 9.100 (большинство неисправных), тягачей 517, бронетранспортёров 115,повозок 1.500, мотоциклов 605, раций 44, винтовок 30.750, автоматов 10.220, миномётов 453, складов разных 99, железнодорожных эшелонов с боеприпасами 13, паровозов 27, мотовозов 5, снарядов 28.000, складов авиабомб 2, огнеприпасов в штабелях на 1.800 вагонов, лошадей свыше 2.000 и один речной пароход.</w:t>
      </w:r>
    </w:p>
    <w:p w14:paraId="4B5E069C"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Уничтожено и оставлено противником на нашей территории: танков 144, самоходных орудий 118, орудий 540, миномётов 559, пулемётов 1.458, автомашин 6.931, тягачей 67, бронетранспортёров 88, повозок 5.724, лошадей 2.510, складов разных 20, мотоциклов 120, самолётов 10, бронекатеров 5.</w:t>
      </w:r>
    </w:p>
    <w:p w14:paraId="71306D9A"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Таким образом 6 армия немцев потеряла всего по главным видам боевой техники и людского состава: пленными и убитыми 50.659, не считая: вывезенных противником раненых, лошадей 4.510, орудий 1.218, миномётов 1.012, пулемётов 3.104, танков 275, самоходных орудий 192, бронетранспортёров 203, автомашин 16.031 и много другой техники и средств материального обеспечения.</w:t>
      </w:r>
    </w:p>
    <w:p w14:paraId="69E9B277"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Спаслись лишь некоторые бежавшие штабы и небольшие остатки разбитых соединений немцев.</w:t>
      </w:r>
    </w:p>
    <w:p w14:paraId="45707372"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Руководящую помощь в деле разгрома 6-ой немецкой армии оказывал 3-му Украинскому фронту уполномоченный Ставки Верховного Главнокомандования Маршал Советского Союза Василевский.» (15072).</w:t>
      </w:r>
    </w:p>
    <w:p w14:paraId="0609ABB1" w14:textId="77777777" w:rsidR="00FA2B3C" w:rsidRPr="007224C3" w:rsidRDefault="00FA2B3C" w:rsidP="007224C3">
      <w:pPr>
        <w:spacing w:after="0" w:line="240" w:lineRule="auto"/>
        <w:jc w:val="both"/>
        <w:rPr>
          <w:rFonts w:ascii="Times New Roman" w:hAnsi="Times New Roman"/>
          <w:color w:val="000000" w:themeColor="text1"/>
          <w:sz w:val="16"/>
          <w:szCs w:val="16"/>
        </w:rPr>
      </w:pPr>
    </w:p>
    <w:p w14:paraId="3C0C5F85"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 xml:space="preserve">18 марта </w:t>
      </w:r>
      <w:r w:rsidRPr="007224C3">
        <w:rPr>
          <w:rFonts w:ascii="Times New Roman" w:hAnsi="Times New Roman"/>
          <w:color w:val="000000" w:themeColor="text1"/>
          <w:sz w:val="16"/>
          <w:szCs w:val="16"/>
        </w:rPr>
        <w:t>в 1944 году войска 2-го Белорусского фронта блокировали Ковель (15072).</w:t>
      </w:r>
    </w:p>
    <w:p w14:paraId="41B95053" w14:textId="77777777" w:rsidR="00FA2B3C" w:rsidRPr="007224C3" w:rsidRDefault="00FA2B3C" w:rsidP="007224C3">
      <w:pPr>
        <w:spacing w:after="0" w:line="240" w:lineRule="auto"/>
        <w:jc w:val="both"/>
        <w:rPr>
          <w:rFonts w:ascii="Times New Roman" w:hAnsi="Times New Roman"/>
          <w:color w:val="000000" w:themeColor="text1"/>
          <w:sz w:val="16"/>
          <w:szCs w:val="16"/>
        </w:rPr>
      </w:pPr>
    </w:p>
    <w:p w14:paraId="7D4B6647"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марта 1944 25-й советский армейский инженерный батальон вышел к реке Днестр на Украине (4963 ).</w:t>
      </w:r>
    </w:p>
    <w:p w14:paraId="509FA1BC"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70C918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марта 1944 советские войска вышли на границу с Румынией (2100).</w:t>
      </w:r>
    </w:p>
    <w:p w14:paraId="58378E8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64C55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марта 1944 в районе ст. Идрица Е.В.Михайлов направил свой подбитый самолет на эшелон. Стал ГСС (438,897).</w:t>
      </w:r>
    </w:p>
    <w:p w14:paraId="42F44A3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CFFA1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марта 1944 в полку Нормандия произошла катастрофа: в воздухе столкнулись “Яки” аспирантов Жуара и Бурдье. Оба пило</w:t>
      </w:r>
      <w:r w:rsidRPr="007224C3">
        <w:rPr>
          <w:rFonts w:ascii="Times New Roman" w:hAnsi="Times New Roman"/>
          <w:color w:val="000000" w:themeColor="text1"/>
          <w:sz w:val="16"/>
          <w:szCs w:val="16"/>
        </w:rPr>
        <w:softHyphen/>
        <w:t>та погибли. Однако неприятности на этом не закончились. Летчики Эмоне и Шик за два дня поломали три боевых самолета. А 21 апреля, выполняя “за</w:t>
      </w:r>
      <w:r w:rsidRPr="007224C3">
        <w:rPr>
          <w:rFonts w:ascii="Times New Roman" w:hAnsi="Times New Roman"/>
          <w:color w:val="000000" w:themeColor="text1"/>
          <w:sz w:val="16"/>
          <w:szCs w:val="16"/>
        </w:rPr>
        <w:softHyphen/>
        <w:t>медленную бочку” на малой высоте по</w:t>
      </w:r>
      <w:r w:rsidRPr="007224C3">
        <w:rPr>
          <w:rFonts w:ascii="Times New Roman" w:hAnsi="Times New Roman"/>
          <w:color w:val="000000" w:themeColor="text1"/>
          <w:sz w:val="16"/>
          <w:szCs w:val="16"/>
        </w:rPr>
        <w:softHyphen/>
        <w:t>гиб лейтенант Фуко (3956).</w:t>
      </w:r>
    </w:p>
    <w:p w14:paraId="35BB3E7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576451"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Внешняя политика:</w:t>
      </w:r>
    </w:p>
    <w:p w14:paraId="12B06D8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5661E9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марта 1944 года было получено:</w:t>
      </w:r>
    </w:p>
    <w:p w14:paraId="09B1800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 РУЗВЕЛЬТ И. В. СТАЛИНУ*</w:t>
      </w:r>
    </w:p>
    <w:p w14:paraId="798A0E5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 отправил сегодня самолетом личное письмо Президенту Иненю по вопросу о хроме, так как мне ясно, какое важное значение турецкий хром имеет для Германии. Я послал письмо Послу Штейнгардту в Анкару для передачи. Я уверен, что Вы будете согласны, но, пожалуйста, сообщите мне, если эта акция противоречит каким-либо шагам, которые Вы теперь предпринимаете или намечаете, с тем чтобы я смог задержать передачу письма. Текст моего письма Президенту Иненю в перефразированном виде гласит:</w:t>
      </w:r>
    </w:p>
    <w:p w14:paraId="40562D5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“Почти ежедневно возникает много вопросов, о которых я хотел бы поговорить с Вами, и я очень хотел бы, чтобы Вас и меня не разделяли тысячи миль.</w:t>
      </w:r>
    </w:p>
    <w:p w14:paraId="4515A8B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настоящее время я желаю написать Вам по вопросу о хроме.</w:t>
      </w:r>
    </w:p>
    <w:p w14:paraId="6AF5321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Как Вам известно, русские, взяв Никополь, лишили немцев важного источника получения марганца. Для многих целей турецкая хромовая руда может заменить марганец, и лишение немцев никопольского марганца увеличивает, следовательно, важность турецкого хрома для германского военного производства.</w:t>
      </w:r>
    </w:p>
    <w:p w14:paraId="5B907BF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Понятно, что продолжающаяся отправка большого количества хромовой руды в Германию из Турции теперь стала вопросом, которым Объединенные Нации серьезно озабочены. Вам лучше решить, каким образом немцы могут быть лишёны дальнейшего доступа к турецкой хромовой руде. Зная о Ваших творческих талантах, я надеюсь, что Вы найдете какой-либо метод для осуществления этого. Я твердо верю, что Вы должным образом оцените эту возможность для Турции внести единственный в своем роде вклад в то, что действительно обеспечивает благополучие всего мира.</w:t>
      </w:r>
    </w:p>
    <w:p w14:paraId="50F1AA0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Нет нужды сообщать Вам, как я был рад нашим беседам в Каире, и я полагаю, что Вы и я можем беседовать друг с другом, как старые друзья.</w:t>
      </w:r>
    </w:p>
    <w:p w14:paraId="621561F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 посылаю Вам мои самые добрые пожелания и рассчитываю на нашу новую встречу в ближайшем будущем”.</w:t>
      </w:r>
    </w:p>
    <w:p w14:paraId="695CA8E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 направляю аналогичную телеграмму г-ну Черчиллю (7430).</w:t>
      </w:r>
    </w:p>
    <w:p w14:paraId="22C9AEF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4B1BC5"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127511B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8117867" w14:textId="77777777" w:rsidR="004D5E52" w:rsidRPr="007224C3" w:rsidRDefault="004D5E52"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18–19 марта (ночь) 1944 846 британских бомбардировщиков атаковали Франкфурт-на-Майне, Германия, сильно повредив центральную, восточную и западную части города. Погибло 22 бомбардировщика (2,6 процента) (20373).</w:t>
      </w:r>
    </w:p>
    <w:p w14:paraId="3144DD5D" w14:textId="77777777" w:rsidR="004D5E52" w:rsidRPr="007224C3" w:rsidRDefault="004D5E52" w:rsidP="007224C3">
      <w:pPr>
        <w:spacing w:after="0" w:line="240" w:lineRule="auto"/>
        <w:jc w:val="both"/>
        <w:rPr>
          <w:rFonts w:ascii="Times New Roman" w:hAnsi="Times New Roman"/>
          <w:color w:val="0070C0"/>
          <w:sz w:val="16"/>
          <w:szCs w:val="16"/>
        </w:rPr>
      </w:pPr>
    </w:p>
    <w:p w14:paraId="39ECF960" w14:textId="77777777" w:rsidR="004D5E52" w:rsidRPr="007224C3" w:rsidRDefault="004D5E52"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18–19 марта (ночь) 1944 19 Ланкастеров (13 из 617-й эскадрильи) совершают успешный прицельный налет на завод взрывчатых веществ в Бержераке, Франция (20373).</w:t>
      </w:r>
    </w:p>
    <w:p w14:paraId="5327A161" w14:textId="77777777" w:rsidR="004D5E52" w:rsidRPr="007224C3" w:rsidRDefault="004D5E52" w:rsidP="007224C3">
      <w:pPr>
        <w:spacing w:after="0" w:line="240" w:lineRule="auto"/>
        <w:jc w:val="both"/>
        <w:rPr>
          <w:rFonts w:ascii="Times New Roman" w:hAnsi="Times New Roman"/>
          <w:color w:val="0070C0"/>
          <w:sz w:val="16"/>
          <w:szCs w:val="16"/>
        </w:rPr>
      </w:pPr>
    </w:p>
    <w:p w14:paraId="30352EFC" w14:textId="77777777" w:rsidR="00FA2B3C" w:rsidRPr="007224C3" w:rsidRDefault="00FA2B3C"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18 March 1944 Heaviest raids on Hamburg so far by the RAF - 3000 tons of bombs dropped (270).</w:t>
      </w:r>
    </w:p>
    <w:p w14:paraId="03585869" w14:textId="77777777" w:rsidR="00FA2B3C" w:rsidRPr="007224C3" w:rsidRDefault="00FA2B3C"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F4465F8" w14:textId="77777777" w:rsidR="00FA2B3C" w:rsidRPr="007224C3" w:rsidRDefault="00FA2B3C"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марта 1944 состоялся самый большой налет RAF на Гамбург и было сброшено 3000 т бомб (270).</w:t>
      </w:r>
    </w:p>
    <w:p w14:paraId="2E08D348" w14:textId="77777777" w:rsidR="00FA2B3C" w:rsidRPr="007224C3" w:rsidRDefault="00FA2B3C"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9E321F"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марта 1944 Венгерский глава государства регент Хорти был приглашен в Зальцбург для ведения переговоров с Гитлером. В ходе переговоров Гитлер бросил Хорти и сопровождавшим его политическим и военным деятелям серьезный упрек в том, что позиция Венгрии становится все более ненадежной, и сообщил им, что отдал приказ о военной оккупации Венгрии,которая в данный момент уже осуществляется (4963 ).</w:t>
      </w:r>
    </w:p>
    <w:p w14:paraId="06F59540"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66B5E64" w14:textId="77777777" w:rsidR="00FA2B3C" w:rsidRPr="007224C3" w:rsidRDefault="00FA2B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 xml:space="preserve">18 марта </w:t>
      </w:r>
      <w:r w:rsidRPr="007224C3">
        <w:rPr>
          <w:rFonts w:ascii="Times New Roman" w:hAnsi="Times New Roman"/>
          <w:color w:val="000000" w:themeColor="text1"/>
          <w:sz w:val="16"/>
          <w:szCs w:val="16"/>
        </w:rPr>
        <w:t>в 1944 году на германо-венгерских переговорах от Венгрии было потребовано: передать вооруженные силы под контроль германского командования, разместить в стране немецкие войска и сформировать новое правительство, которое продолжило бы ведение войны (15072).</w:t>
      </w:r>
    </w:p>
    <w:p w14:paraId="3010E743" w14:textId="77777777" w:rsidR="00FA2B3C" w:rsidRPr="007224C3" w:rsidRDefault="00FA2B3C" w:rsidP="007224C3">
      <w:pPr>
        <w:spacing w:after="0" w:line="240" w:lineRule="auto"/>
        <w:jc w:val="both"/>
        <w:rPr>
          <w:rFonts w:ascii="Times New Roman" w:hAnsi="Times New Roman"/>
          <w:color w:val="000000" w:themeColor="text1"/>
          <w:sz w:val="16"/>
          <w:szCs w:val="16"/>
        </w:rPr>
      </w:pPr>
    </w:p>
    <w:p w14:paraId="1384D361"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марта 1944 немецкие войска оккупировали Венгрию (4962).</w:t>
      </w:r>
    </w:p>
    <w:p w14:paraId="69ADE223"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9EAE5D2" w14:textId="77777777" w:rsidR="004D5E52" w:rsidRPr="007224C3" w:rsidRDefault="004D5E52"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18 марта 1944 самолеты ВМС США с авианосца USS Lexington (CV-16) наносят удар по атоллу Мили (20373).</w:t>
      </w:r>
    </w:p>
    <w:p w14:paraId="637F7171" w14:textId="77777777" w:rsidR="004D5E52" w:rsidRPr="007224C3" w:rsidRDefault="004D5E52" w:rsidP="007224C3">
      <w:pPr>
        <w:spacing w:after="0" w:line="240" w:lineRule="auto"/>
        <w:jc w:val="both"/>
        <w:rPr>
          <w:rFonts w:ascii="Times New Roman" w:hAnsi="Times New Roman"/>
          <w:color w:val="0070C0"/>
          <w:sz w:val="16"/>
          <w:szCs w:val="16"/>
        </w:rPr>
      </w:pPr>
    </w:p>
    <w:p w14:paraId="4EC957DE"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1D3CC2D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F0C11E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марта 1944 Несмотря на неблагоприятные метеоусловия, удалось выполнить 8 непродолжительных поле</w:t>
      </w:r>
      <w:r w:rsidRPr="007224C3">
        <w:rPr>
          <w:rFonts w:ascii="Times New Roman" w:hAnsi="Times New Roman"/>
          <w:color w:val="000000" w:themeColor="text1"/>
          <w:sz w:val="16"/>
          <w:szCs w:val="16"/>
        </w:rPr>
        <w:softHyphen/>
        <w:t>тов Ил-АМ-42, в том числе: 5 - на определе</w:t>
      </w:r>
      <w:r w:rsidRPr="007224C3">
        <w:rPr>
          <w:rFonts w:ascii="Times New Roman" w:hAnsi="Times New Roman"/>
          <w:color w:val="000000" w:themeColor="text1"/>
          <w:sz w:val="16"/>
          <w:szCs w:val="16"/>
        </w:rPr>
        <w:softHyphen/>
        <w:t>ние взлетно-посадочных свойств, и по одному полету на бомбометание, проверку действия в воздухе ВАП-250 и замер расхода горючего. Все</w:t>
      </w:r>
      <w:r w:rsidRPr="007224C3">
        <w:rPr>
          <w:rFonts w:ascii="Times New Roman" w:hAnsi="Times New Roman"/>
          <w:color w:val="000000" w:themeColor="text1"/>
          <w:sz w:val="16"/>
          <w:szCs w:val="16"/>
        </w:rPr>
        <w:softHyphen/>
        <w:t>го за день налетали 1 ч 55 мин. В ходе последнего полета сгорели про</w:t>
      </w:r>
      <w:r w:rsidRPr="007224C3">
        <w:rPr>
          <w:rFonts w:ascii="Times New Roman" w:hAnsi="Times New Roman"/>
          <w:color w:val="000000" w:themeColor="text1"/>
          <w:sz w:val="16"/>
          <w:szCs w:val="16"/>
        </w:rPr>
        <w:softHyphen/>
        <w:t>кладки всасывающих патрубков.</w:t>
      </w:r>
    </w:p>
    <w:p w14:paraId="4D182D5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Устранение вновь выявленных не</w:t>
      </w:r>
      <w:r w:rsidRPr="007224C3">
        <w:rPr>
          <w:rFonts w:ascii="Times New Roman" w:hAnsi="Times New Roman"/>
          <w:color w:val="000000" w:themeColor="text1"/>
          <w:sz w:val="16"/>
          <w:szCs w:val="16"/>
        </w:rPr>
        <w:softHyphen/>
        <w:t>исправностей затянулось до 22 мар</w:t>
      </w:r>
      <w:r w:rsidRPr="007224C3">
        <w:rPr>
          <w:rFonts w:ascii="Times New Roman" w:hAnsi="Times New Roman"/>
          <w:color w:val="000000" w:themeColor="text1"/>
          <w:sz w:val="16"/>
          <w:szCs w:val="16"/>
        </w:rPr>
        <w:softHyphen/>
        <w:t>та, но в этот день погода опять ока</w:t>
      </w:r>
      <w:r w:rsidRPr="007224C3">
        <w:rPr>
          <w:rFonts w:ascii="Times New Roman" w:hAnsi="Times New Roman"/>
          <w:color w:val="000000" w:themeColor="text1"/>
          <w:sz w:val="16"/>
          <w:szCs w:val="16"/>
        </w:rPr>
        <w:softHyphen/>
        <w:t>залась нелетной. Только на следую</w:t>
      </w:r>
      <w:r w:rsidRPr="007224C3">
        <w:rPr>
          <w:rFonts w:ascii="Times New Roman" w:hAnsi="Times New Roman"/>
          <w:color w:val="000000" w:themeColor="text1"/>
          <w:sz w:val="16"/>
          <w:szCs w:val="16"/>
        </w:rPr>
        <w:softHyphen/>
        <w:t>щий день удалось выполнить один ча</w:t>
      </w:r>
      <w:r w:rsidRPr="007224C3">
        <w:rPr>
          <w:rFonts w:ascii="Times New Roman" w:hAnsi="Times New Roman"/>
          <w:color w:val="000000" w:themeColor="text1"/>
          <w:sz w:val="16"/>
          <w:szCs w:val="16"/>
        </w:rPr>
        <w:softHyphen/>
        <w:t>совой полет на замер расхода го</w:t>
      </w:r>
      <w:r w:rsidRPr="007224C3">
        <w:rPr>
          <w:rFonts w:ascii="Times New Roman" w:hAnsi="Times New Roman"/>
          <w:color w:val="000000" w:themeColor="text1"/>
          <w:sz w:val="16"/>
          <w:szCs w:val="16"/>
        </w:rPr>
        <w:softHyphen/>
        <w:t>рючего. Затем последовал четырех</w:t>
      </w:r>
      <w:r w:rsidRPr="007224C3">
        <w:rPr>
          <w:rFonts w:ascii="Times New Roman" w:hAnsi="Times New Roman"/>
          <w:color w:val="000000" w:themeColor="text1"/>
          <w:sz w:val="16"/>
          <w:szCs w:val="16"/>
        </w:rPr>
        <w:softHyphen/>
        <w:t>дневный перерыв в полетах из-за плохой погоды. Наконец, 28 марта установилась устойчивая летная по</w:t>
      </w:r>
      <w:r w:rsidRPr="007224C3">
        <w:rPr>
          <w:rFonts w:ascii="Times New Roman" w:hAnsi="Times New Roman"/>
          <w:color w:val="000000" w:themeColor="text1"/>
          <w:sz w:val="16"/>
          <w:szCs w:val="16"/>
        </w:rPr>
        <w:softHyphen/>
        <w:t>года, которая продержалась три дня. В эти дни бригада испытателей ра</w:t>
      </w:r>
      <w:r w:rsidRPr="007224C3">
        <w:rPr>
          <w:rFonts w:ascii="Times New Roman" w:hAnsi="Times New Roman"/>
          <w:color w:val="000000" w:themeColor="text1"/>
          <w:sz w:val="16"/>
          <w:szCs w:val="16"/>
        </w:rPr>
        <w:softHyphen/>
        <w:t>ботала весьма активно и 30 марта в 18.00 рапортовала руководству ин</w:t>
      </w:r>
      <w:r w:rsidRPr="007224C3">
        <w:rPr>
          <w:rFonts w:ascii="Times New Roman" w:hAnsi="Times New Roman"/>
          <w:color w:val="000000" w:themeColor="text1"/>
          <w:sz w:val="16"/>
          <w:szCs w:val="16"/>
        </w:rPr>
        <w:softHyphen/>
        <w:t>ститута об успешном завершении го</w:t>
      </w:r>
      <w:r w:rsidRPr="007224C3">
        <w:rPr>
          <w:rFonts w:ascii="Times New Roman" w:hAnsi="Times New Roman"/>
          <w:color w:val="000000" w:themeColor="text1"/>
          <w:sz w:val="16"/>
          <w:szCs w:val="16"/>
        </w:rPr>
        <w:softHyphen/>
        <w:t>сударственных испытаний (11427).</w:t>
      </w:r>
    </w:p>
    <w:p w14:paraId="3390AC6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3231DF" w14:textId="77777777" w:rsidR="00E23799" w:rsidRPr="007224C3" w:rsidRDefault="00E2379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марта 1944 на Ил-АМ-42 со «старым» проверенным винтом АВ-5 л-18Б в ходе госиспытаний, начавшихся 29 февраля, удалось выполнить 8 непродолжительных полетов, в том числе 5 – на определение взлетно-посадочных свойств и по одному полету на бомбометание, проверку действия в воздухе ВАП-250 и замер расхода горючего. Всего за день налетали 1 ч 55 мин. В ходе последнего полета сгорели прокладки всасывающих патрубков.</w:t>
      </w:r>
    </w:p>
    <w:p w14:paraId="30B02509" w14:textId="77777777" w:rsidR="00E23799" w:rsidRPr="007224C3" w:rsidRDefault="00E2379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Устранение вновь выявленных неисправностей затянулось до 22 марта, но в этот день погода опять оказалась нелетной. Только на следующий день удалось выполнить один часовой полет на замер расхода горючего. Затем последовал четырехдневный перерыв в полетах из-за плохой погоды. Наконец, 28 марта установилась устойчивая летная погода, которая продержалась три дня. В эти дни бригада испытателей работала весьма активно и 30 марта в 18.00 рапортовала руководству института об успешном завершении государственных испытаний.</w:t>
      </w:r>
    </w:p>
    <w:p w14:paraId="708988C2" w14:textId="77777777" w:rsidR="00E23799" w:rsidRPr="007224C3" w:rsidRDefault="00E2379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Таким образом, испытания Ил-АМ-42 (экз. № 1) продолжались в течение 31 календарного дня, из которых летных дней было всего 10, нелетных – 14. Еще 7 дней пришлось затратить на ремонт и доводку самолета. В общей сложности было выполнено 44 полета с налетом 19 ч 30 мин.</w:t>
      </w:r>
    </w:p>
    <w:p w14:paraId="6750670C" w14:textId="77777777" w:rsidR="00E23799" w:rsidRPr="007224C3" w:rsidRDefault="00E2379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ходе испытаний самолет облетали ведущий инженер-летчик 3-го отдела НИИ ВВС инженер-майор А. В. Синельников, летчик-испытатель 4-го отдела майор М. П. Субботин, старший летчик-испытатель 3-го отдела майор В. С. Журавлев и летчик-испытатель подполковник М. А. Нюхтиков. В качестве штурманов облета участвовали капитан Т. Ф. Горбунов, заместитель начальника 4-го отдела полковник Н. И. Шауров, помощник начальника 6-го отдела капитан Васильев, штурман-испытатель капитан В. Н. Ковынев, штурман-испытатель подполковник Н. П. Цветков.</w:t>
      </w:r>
    </w:p>
    <w:p w14:paraId="128E18D8" w14:textId="77777777" w:rsidR="00E23799" w:rsidRPr="007224C3" w:rsidRDefault="00E2379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Как следует из документов, самолет проходил испытания в двух вариантах: разведчика-корректировщика и штурмовика-бомбардировщика, которые отличались друг от друга фактически только бомбовой нагрузкой и заправкой самолета горючим и маслом. Состав фото- и радиооборудования самолета в ходе испытаний оставался неизменным и соответствовал «следопыту».</w:t>
      </w:r>
    </w:p>
    <w:p w14:paraId="705BD601" w14:textId="77777777" w:rsidR="00E23799" w:rsidRPr="007224C3" w:rsidRDefault="00E2379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Стрелково-пушечное вооружение самолета в обоих вариантах назначения было одинаковым и включало две пушки ВЯ (300 патронов), два пулемета ШКАС (1500 патронов) и оборонительный пулемет УБК (3 диска по 50 патронов) на ВУ-8. Ракетное вооружение не предусматривалось.</w:t>
      </w:r>
    </w:p>
    <w:p w14:paraId="0E2DE5C5" w14:textId="77777777" w:rsidR="00E23799" w:rsidRPr="007224C3" w:rsidRDefault="00E2379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Нормальный полетный вес штурмовика-бомбардировщика устанавливался в 7260 кг, в перегрузку – 7660 кг. Полезная нагрузка при нормальном полетном весе составляла 1995 кг.</w:t>
      </w:r>
    </w:p>
    <w:p w14:paraId="11D45E5B" w14:textId="77777777" w:rsidR="00E23799" w:rsidRPr="007224C3" w:rsidRDefault="00E2379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перегрузочном варианте допускалась подвеска до 1000 кг бомб, в том числе на двух внешних узлах две бомбы типа ФАБ-500 или два выливных авиаприбора ВАП-250 или УХАП-250.</w:t>
      </w:r>
    </w:p>
    <w:p w14:paraId="1B348DD8" w14:textId="77777777" w:rsidR="00E23799" w:rsidRPr="007224C3" w:rsidRDefault="00E2379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Нагрузка в варианте «следопыта» ограничивалась 1460 кг и отличалась от штурмового варианта отсутствием бомбовой нагрузки и увеличенным до 120 кг весом съемного оборудования.</w:t>
      </w:r>
    </w:p>
    <w:p w14:paraId="4A326791" w14:textId="77777777" w:rsidR="00E23799" w:rsidRPr="007224C3" w:rsidRDefault="00E2379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Поскольку состав съемного оборудования на самолете Ил-АМ-42 (экз. № 1) соответствовал варианту разведчика-корректировщика, то при загрузке 600 кг бомб и полной заправке горючим и маслом вес самолета на 65 кг превышал нормальный полетный вес, установленный для штурмовика-бомбардировщика. Поэтому при проведении испытательных полетов в варианте штурмовика вес горючего уменьшался ровно на 65 кг.</w:t>
      </w:r>
    </w:p>
    <w:p w14:paraId="0ABC0630" w14:textId="77777777" w:rsidR="00E23799" w:rsidRPr="007224C3" w:rsidRDefault="00E2379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Мотор АМ-42 на протяжении всего времени испытаний работал с недостатками: дымление, тряска, непостоянство наддува на режиме номинальной мощности, течь масла из-под уплотнения вала редуктора мотора, из-под крышки блоков, из корпуса нагнетателя через дренаж (после остановки мотора), а также засорение воздушных клапанов карбюраторов, быстрый износ поршневых колец и т. д. Отмечался и большой расход горючего на номинальном режиме работы мотора, который при контрольном полете 19 марта составил 295–315 г/л. с. ч.</w:t>
      </w:r>
    </w:p>
    <w:p w14:paraId="6A46111D" w14:textId="77777777" w:rsidR="00E23799" w:rsidRPr="007224C3" w:rsidRDefault="00E2379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ходе испытаний пришлось заменить маслоуплотнитель носка вала редуктора мотора, регулятор давления наддува, прокладки под всасывающими патрубками (для чего был демонтирован карбюратор). Дважды заменили весь комплект свечей, по одному разу все свечи внешнего ряда, водяную трубку (подводящую охлаждающую воду к левому блоку цилиндров мотора от помпы) и бензотрубку (подводящую топливо к карбюраторам). Из-за течи по сварке трижды ремонтировались маслобаки. Одновременно были отремонтированы все карбюраторы и коллекторы нагнетателя.</w:t>
      </w:r>
    </w:p>
    <w:p w14:paraId="1D0B6FC9" w14:textId="77777777" w:rsidR="00E23799" w:rsidRPr="007224C3" w:rsidRDefault="00E2379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выполнении работ по устранению недостатков и дефектов «в полный рост» проявилась непродуманность конструкции винтомоторной группы с точки зрения удобства эксплуатации. Например, для того чтобы снять водяную трубку, необходимо было демонтировать блоки мотора, выхлопные патрубки и левый маслобак, а затем вернуть их на свои места. Замена трубопровода, подводящего горючее к карбюраторам, выливалась в полный демонтаж всасывающей трубы нагнетателя и карбюратора. Испытатели отмечали трудоемкую замену свечей внутренней стороны, и особенно проводников к свечам. На их замену затрачивалось до 5–6 часов. Трубки, подводящие воду к блокам, имели слишком большую длину (без технологических разъемов), что серьезно усложняло их замену и ремонт.</w:t>
      </w:r>
    </w:p>
    <w:p w14:paraId="5ACC3B39" w14:textId="77777777" w:rsidR="00E23799" w:rsidRPr="007224C3" w:rsidRDefault="00E2379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общем, проблем с мотором хватало с избытком, но бригаде НИИ ВВС все же удалось отлетать программу испытаний почти в полном объеме.</w:t>
      </w:r>
    </w:p>
    <w:p w14:paraId="6808E54D" w14:textId="77777777" w:rsidR="00E23799" w:rsidRPr="007224C3" w:rsidRDefault="00E2379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В первую очередь определялись летно-технические данные Ил-АМ-42 (экз. № 1) в варианте штурмовика-бомбардировщика и только затем – в варианте разведчика-корректировщика. Как показали полеты, основные данные нового самолета заметно превосходили Ил-2, хотя, по мнению военных, уже не отвечали в полном объеме современным требованиям.</w:t>
      </w:r>
    </w:p>
    <w:p w14:paraId="3851B4E2" w14:textId="77777777" w:rsidR="00E23799" w:rsidRPr="007224C3" w:rsidRDefault="00E2379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нормальном полетном весе (600 кг бомб на внутренней подвеске) максимальная скорость полета оказалась равной 472 км/ч на высоте 2500 м и 428 км/ч – у земли. Вертикальная скорость не превышала 7 м/с на высоте 1000 м и 6,7 м/с – у земли. Разбег самолета с отклоненными на 17° щитками и с форсажем мотора составил 435 м. Пробег при посадочном весе 5900 кг с применением тормозов и отклонением щитков на 45° оказался в пределах 465 м. Посадочная скорость равнялась 136 км/ч.</w:t>
      </w:r>
    </w:p>
    <w:p w14:paraId="319509E2" w14:textId="77777777" w:rsidR="00E23799" w:rsidRPr="007224C3" w:rsidRDefault="00E2379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Разведчик-корректировщик на всех высотах летал на 8 км/ч быстрее штурмовика-бомбардировщика. Примерно на 22 % была выше скороподъемность и на 11 % горизонтальная маневренность. Лучшими были и взлетно-посадочные характеристики. Из-за непостоянства наддува в полете при работе мотора, тряски и выработки ресурса мотора (к моменту начала полетов в варианте «следопыта» остаток ресурса составлял 4–5 часов) измерить скороподъемность выше границы высотности не удалось.</w:t>
      </w:r>
    </w:p>
    <w:p w14:paraId="3DA8FD64" w14:textId="77777777" w:rsidR="00E23799" w:rsidRPr="007224C3" w:rsidRDefault="00E2379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всех вариантах полетного веса центровка самолета (шасси выпущено) находилась в пределах от 19,9 % САХ (пустой самолет) до 23,3 % (перегрузочный вариант с 1000 кг бомб).</w:t>
      </w:r>
    </w:p>
    <w:p w14:paraId="170DBA73" w14:textId="77777777" w:rsidR="00E23799" w:rsidRPr="007224C3" w:rsidRDefault="00E2379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Дальность полета на высоте 1000 м и скорости 308 км/ч составила 820 км – на 155 км больше дальности полета Ил-2 АМ-38ф. При этом отмечалось, что дальность полета 2-го экземпляра Ил-АМ-42, на котором установлены бензобаки емкостью 1020 л, будет достигать 980 км.</w:t>
      </w:r>
    </w:p>
    <w:p w14:paraId="04B68E72" w14:textId="77777777" w:rsidR="00E23799" w:rsidRPr="007224C3" w:rsidRDefault="00E2379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своим пилотажным свойствам Ил-АМ-42 оказался достаточно простым и легким в управлении. В сравнении с Ил-2 новый самолет обладал значительно лучшей продольной устойчивостью и управляемостью, что упростило технику пилотирования, особенно на виражах и бреющих полетах. Летчики-испытатели отмечали, что Ил-АМ-42 в отличие от Ил-2 «на вираже позволяет значительно выбирать ручку руля высоты на себя, для уменьшения радиуса виража». Пикировал самолет устойчиво. Просадка на выводе оказалась несколько больше, чем у серийного Ил-2. Сила отдачи при стрельбе из пушек почти не сказывалась на пилотировании самолетом и прицеливании. Маневренность Ил-АМ-42 в вертикальной и горизонтальной плоскостях оказалась почти такой же, как у серийной «двойки», даже несколько хуже, и считалась недостаточной для условий боевых действий завершающего периода войны. Тем не менее в целом самолет оставил у военных летчиков-испытателей хорошее впечатление. «Специального переучивания летного состава для перехода с Ил-2 не требует», – указывалось в отчете по испытаниям.</w:t>
      </w:r>
    </w:p>
    <w:p w14:paraId="6A835586" w14:textId="77777777" w:rsidR="00E23799" w:rsidRPr="007224C3" w:rsidRDefault="00E2379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улучшения пилотажных качеств машины летчики предлагали на руль поворота установить триммер, а на элероны «наклепать ножи для регулировки от подваливания».</w:t>
      </w:r>
    </w:p>
    <w:p w14:paraId="4B74D2AA" w14:textId="77777777" w:rsidR="00E23799" w:rsidRPr="007224C3" w:rsidRDefault="00E2379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Указывалось, что Ил-АМ-42 строился по нормам прочности 1941 года и относится к классу Б – ограниченно маневренных самолетов. При полетном весе 7250 кг разрушающая перегрузка равнялась 7,5 единицы, эксплуатационная перегрузка («установленная главным конструктором самолета») – 4,96 единицы.</w:t>
      </w:r>
    </w:p>
    <w:p w14:paraId="5BC2AD8E" w14:textId="77777777" w:rsidR="00E23799" w:rsidRPr="007224C3" w:rsidRDefault="00E2379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Помимо неудовлетворительной работы мотора АМ-42 отмечались и ряд других недостатков, отнесенных специалистами института к разряду основных.</w:t>
      </w:r>
    </w:p>
    <w:p w14:paraId="56890CB5" w14:textId="77777777" w:rsidR="00E23799" w:rsidRPr="007224C3" w:rsidRDefault="00E2379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частности, для самолета боя представлялось обязательным наличие системы заполнения бензобаков нейтральным газом. На Ил-АМ-42, как указывалось выше, такая система имелась, но на государственные испытания официально она не предъявлялась, так как не была доведена до рабочего состояния.</w:t>
      </w:r>
    </w:p>
    <w:p w14:paraId="62B959B6" w14:textId="77777777" w:rsidR="00E23799" w:rsidRPr="007224C3" w:rsidRDefault="00E2379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Схему бронирования Ил-АМ-42 специалисты НИИ ВВС оценили как не отвечающую современным требованиям. Соответствующее заключение начальник 8-го отдела института инженер-полковник Лагутин утвердил 24 марта. В ряду особо уязвимых мест значились задняя бронеперегородка штурмана-стрелка (толщина 12 мм) и моторная часть снизу-сбоку (толщина 4 мм). Боевой опыт показал, что именно эти места бронекорпуса Ил-2 наиболее часто поражаются огнем противника. Предлагалось усилить эти участки путем перераспределения толщины брони при сохранении веса брони на прежнем уровне. Для этого рекомендовалось «снять с корпуса/…/передние броневые детали за втулкой винта, уменьшить с 5 до 2,5 мм толщину деталей пояса кабины летчика в местах примыкания крыла к фюзеляжу». Кроме этого, требовалось заднюю перегородку штурмана установить по образцу 2-го экземпляра Ил-АМ-42, то есть сделать экранированной две бронеплиты по 8 мм и обеспечить защиту головы штурмана бронестеклом.</w:t>
      </w:r>
    </w:p>
    <w:p w14:paraId="7BB392C6" w14:textId="77777777" w:rsidR="00E23799" w:rsidRPr="007224C3" w:rsidRDefault="00E2379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то же время отмечалось, что обе кабины – летчика и штурмана-стрелка – в сравнении с Ил-2 имеют увеличенные размеры, что улучшает условия боевой работы экипажа. В кабине штурмана-стрелка вместо брезентовой ленты (как на Ил-2) устанавливалось постоянное откидное сиденье. Штурман облета капитан Т. Ф. Горбунов отмечал, что в кабине «тепло, задуваний нет, можно работать без летных очков». Посадка в кабину через нижний люк в бронекорпусе была признана удобной. В аварийной ситуации штурман легко покидал кабину с парашютом. Однако при посадке на фюзеляж выбраться из своей кабины штурман не мог, «так как фонарь летчика при открытии надвигается на фонарь штурмана».</w:t>
      </w:r>
    </w:p>
    <w:p w14:paraId="3312B935" w14:textId="77777777" w:rsidR="00E23799" w:rsidRPr="007224C3" w:rsidRDefault="00E2379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достоинству машины было отнесено применение электрической системы управления заслонками водо- и маслорадиаторов, а также пневмоэлектрической системы управления огнем и перезарядки стрелково-пушечного вооружения, поскольку это сильно облегчало работу летчика в бою.</w:t>
      </w:r>
    </w:p>
    <w:p w14:paraId="7057E2B8" w14:textId="77777777" w:rsidR="00E23799" w:rsidRPr="007224C3" w:rsidRDefault="00E2379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Положительно оценили наличие дублирования в каналах управления рулем высоты, поворота, элеронами и триммерами.</w:t>
      </w:r>
    </w:p>
    <w:p w14:paraId="76A19D15" w14:textId="77777777" w:rsidR="00E23799" w:rsidRPr="007224C3" w:rsidRDefault="00E2379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Установка в кабине пилота прицела ПБП-1б на легкосъемном кронштейне обеспечивала летчику дополнительную безопасность при посадке с убранным шасси. Как известно, на Ил-2 ранних серий летчики часто ударялись о прицел ПБП-1 головой во время вынужденных посадок, что нередко приводило к серьезным травмам, а в ряде случаев – и к смертельным исходам.</w:t>
      </w:r>
    </w:p>
    <w:p w14:paraId="311432BB" w14:textId="77777777" w:rsidR="00E23799" w:rsidRPr="007224C3" w:rsidRDefault="00E2379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Бомбовое вооружение штурмовика-бомбардировщика Ил-АМ-42 по номенклатуре бомб и весу в целом соответствовало требованиям войны. Бомбометание допускалось как с горизонтального полета, так и с пикирования, но под углами не более 25–30°, хотя на испытаниях самолет пикировал до 40° без каких-либо нареканий. Для бомбометания с горизонтального полета предназначался прицел ОПБ-1р. Сброс бомб мог осуществляться и штурманом, и летчиком. Однако прицельно сбросить бомбы ни тот ни другой не могли. Из-за плохого обзора передней полусферы штурман без помощи летчика «не может вывести самолет на нехарактерную цель» (объект удара), то есть «заранее найти цель, опознать ее, а затем осуществить наводку». Как отмечалось в отчете, «выполнить все это через прицел не представляется возможным». В свою очередь, «вследствие неудовлетворительного качества прицельных устройств» летчик мог прицеливаться и бомбить «с горизонта» лишь по наитию. Фактически получалось так, что при бомбометании с горизонтального полета наводку на цель и выход на боевой курс должен был выполнять непосредственно летчик, а прицеливание – штурман, «что требует соответствующей методической проработки».</w:t>
      </w:r>
    </w:p>
    <w:p w14:paraId="6EEAEC66" w14:textId="77777777" w:rsidR="00E23799" w:rsidRPr="007224C3" w:rsidRDefault="00E2379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Кроме этого, бомбовый прицел штурмана в полете нещадно забрызгивался маслом, которое выбивалось из-под уплотнительного кольца втулки винта и носка коленчатого вала мотора. По этим причинам в первом же полете на испытание бомбового вооружения 9 марта штурман капитан Т. Ф. Горбунов был вынужден сбросить все бомбы залпом, неприцельно, за один заход. Для предохранения прицела от попадания масла на заводе № 240 был изготовлен специальный щиток. Установка щитка на самолет положение не улучшило – оптика забрызгивалась маслом. Прицельное бомбометание по-прежнему оставалось невозможным. В испытательном полете 19 марта со щитком из-за замасливания оптики Горбунов сбросил все бомбы аварийно. В то же время отмечалось, что работать с ОПБ-1р в боевом положении удобно, а сам прицел является наиболее подходящим для установки на Ил-АМ-42, если, конечно, «устранить забрызгивание оптики прицела маслом».</w:t>
      </w:r>
    </w:p>
    <w:p w14:paraId="457BF54C" w14:textId="77777777" w:rsidR="00E23799" w:rsidRPr="007224C3" w:rsidRDefault="00E2379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этим причинам для бомбометания с горизонтального полета рекомендовалось использовать прицельную систему, отработанную для Ил-2: разметку и визирные штыри на бронекапоте самолета, метки и прицельные линии на лобовом и боковых бронестеклах фонаря кабины.</w:t>
      </w:r>
    </w:p>
    <w:p w14:paraId="3F7E4258" w14:textId="77777777" w:rsidR="00E23799" w:rsidRPr="007224C3" w:rsidRDefault="00E2379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Бомбометание с пикирования по методике ничем не отличалось от таковой на Ил-2 и в целом показало хорошие результаты вследствие лучшей устойчивости самолета при пикировании.</w:t>
      </w:r>
    </w:p>
    <w:p w14:paraId="69C40CB9" w14:textId="77777777" w:rsidR="00E23799" w:rsidRPr="007224C3" w:rsidRDefault="00E2379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Отметим, что маслом забрызгивалось и переднее бронестекло фонаря кабины пилота, что, естественно, ухудшало условия прицеливания.</w:t>
      </w:r>
    </w:p>
    <w:p w14:paraId="2128FE7C" w14:textId="77777777" w:rsidR="00E23799" w:rsidRPr="007224C3" w:rsidRDefault="00E2379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отработки стрелково-пушечного вооружения было выполнено в общей сложности 19 полетов, из них «9 полетов со стрельбой по наземным целям и 10 полетов с ВУ-8».</w:t>
      </w:r>
    </w:p>
    <w:p w14:paraId="3CB79664" w14:textId="77777777" w:rsidR="00E23799" w:rsidRPr="007224C3" w:rsidRDefault="00E2379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Если к пушкам ВЯ и пулеметам ШКАС при стрельбе в воздухе каких-либо серьезных претензий у военных испытателей не было, то работой оборонительной установки ВУ-8 с пулеметом УБК и ее возможностями они остались недовольны.</w:t>
      </w:r>
    </w:p>
    <w:p w14:paraId="6A114EC5" w14:textId="77777777" w:rsidR="00E23799" w:rsidRPr="007224C3" w:rsidRDefault="00E2379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 недостатки ВУ-8 в явном виде проявились в воздушном бою с немецким истребителем Bf109G-2, который состоялся 30 апреля. За воздушного стрелка вылетал штурман-испытатель подполковник Н. П. Цветков. Атаки выполнялись со всех возможных в реальном бою направлений. При этом на маршруте полета от Чкаловской до Ногинска «мессер» успевал выполнить до 8–9 атак, находясь всегда в задней полусфере и отворачивая всякий раз в сторону с набором высоты.</w:t>
      </w:r>
    </w:p>
    <w:p w14:paraId="3507D09B" w14:textId="77777777" w:rsidR="00E23799" w:rsidRPr="007224C3" w:rsidRDefault="00E2379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Оказалось, что за время одной атаки «мессершмитта» штурман успевал только развернуть установку в сторону истребителя и выставить пулемет в необходимое положение для стрельбы по нему, а на прицеливание оставалось «такое незначительное время, что точно навести прицел с требуемой поправкой на скорость цели не удалось ни разу». С одной стороны, это обуславливалось большими угловыми скоростями цели, а с другой – значительными усилиями для удерживания пулемета при прицеливании и стрельбе. Дело в том, что для выполнения грубой наводки на цель штурману приходилось одной рукой (правой) удерживать пулемет, а другой рукой (левой) – фиксировать стопор каретки установки и одновременно «доворачивать пулеметную установку на цель». После окончания грубой наводки штурман переносил левую руку на пулемет для точного прицеливания, но положение цели за это время менялось настолько, что она оказывалась за пределами углового сектора точной наводки пулемета. Требовалось вновь перемещать саму установку и выполнять точную наводку пулеметом и т. д. То есть «одной рукой довести пулемет и прицелиться невозможно».</w:t>
      </w:r>
    </w:p>
    <w:p w14:paraId="07DA9983" w14:textId="77777777" w:rsidR="00E23799" w:rsidRPr="007224C3" w:rsidRDefault="00E2379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Положение усугублялось еще и тем обстоятельством, что при работе с пулеметом имело место «много мелких трудноуловимых препятствий, затруднявших маневр пулеметом и установкой».</w:t>
      </w:r>
    </w:p>
    <w:p w14:paraId="683FE9D7" w14:textId="77777777" w:rsidR="00E23799" w:rsidRPr="007224C3" w:rsidRDefault="00E2379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Как следует из донесения Цветкова, производить прицеливание при стрельбе вверх было крайне неудобно, так как «приходится опускаться на корточки, и получается очень напряженное, неустойчивое положение». При поворотах установки на левый борт очень трудно использовать доводочные углы пулемета, требовалось менять </w:t>
      </w:r>
      <w:r w:rsidRPr="007224C3">
        <w:rPr>
          <w:rFonts w:ascii="Times New Roman" w:hAnsi="Times New Roman"/>
          <w:color w:val="000000" w:themeColor="text1"/>
          <w:sz w:val="16"/>
          <w:szCs w:val="16"/>
        </w:rPr>
        <w:lastRenderedPageBreak/>
        <w:t>положение туловища относительно оружия, а поскольку прицел располагался слева от пулемета, то для прицеливания нужно было втиснуться между пулеметом и установкой. К тому же сильно мешал установленный в кабине штурмана фотоаппарат АЩАФА-2. Положение стрелка было недостаточно устойчивым – во время прицеливания и стрельбы все время приходилось подыскивать место, куда бы поставить ноги. Отсюда потеря времени на прицеливание. Практически получалось так, что обеспечить прицельный огонь с левого борта было нельзя.</w:t>
      </w:r>
    </w:p>
    <w:p w14:paraId="76FAC03C" w14:textId="77777777" w:rsidR="00E23799" w:rsidRPr="007224C3" w:rsidRDefault="00E2379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Стрельба с незастопоренной установкой показала, что пулемет в этом случае резко уходит к правому борту, а при стрельбе с застопоренной установкой пулемет сильно трясет.</w:t>
      </w:r>
    </w:p>
    <w:p w14:paraId="0CADA38E" w14:textId="77777777" w:rsidR="00E23799" w:rsidRPr="007224C3" w:rsidRDefault="00E2379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Ведение прицельного огня на виражах оказалось невозможным, так как пулемет прижимает вниз, а «приподнять и удержать его не хватает силы», не говоря уже о том, чтобы одновременно с этим еще и поворачивать установку в сторону цели. Во время воздушного боя на виражах истребитель легко держался в хвосте и на первом же вираже заходил строго в хвост на дистанцию открытия действительного огня 100–150 м.</w:t>
      </w:r>
    </w:p>
    <w:p w14:paraId="7C682578" w14:textId="77777777" w:rsidR="00E23799" w:rsidRPr="007224C3" w:rsidRDefault="00E2379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мнению подполковника Цветкова, маневренность ВУ-8 и пулемета в целом явно недостаточная для эффективного отражения атак истребителей, «в лучшем случае она может позволить сделать одну прицельную очередь, и то с недостаточной точностью прицеливания». Одновременно отмечалось, что сама установка ВУ-8 заметно лучше, чем блистерная установка БЛУБ на Су-6, и несколько лучше, чем ВУБ-3 на Ил-2.</w:t>
      </w:r>
    </w:p>
    <w:p w14:paraId="42727736" w14:textId="77777777" w:rsidR="00E23799" w:rsidRPr="007224C3" w:rsidRDefault="00E2379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Справедливости ради следует отметить, что при всех атаках со стороны задней полусферы летчик по команде штурмана энергичным маневром успевал доворачивать самолет таким образом, чтобы штурман мог держать противника в секторе обстрела. Это до некоторой степени компенсировало ограниченность углов обстрела установки, однако не обеспечивало ведение прицельной стрельбы.</w:t>
      </w:r>
    </w:p>
    <w:p w14:paraId="3C542DF5" w14:textId="77777777" w:rsidR="00E23799" w:rsidRPr="007224C3" w:rsidRDefault="00E2379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отражении атак истребителя со стороны солнца выявилась еще одна интересная особенность ВУ-8 – плексиглас козырька установки слепил штурмана еще больше, чем солнце, вследствие чего прицеливаться было невозможно.</w:t>
      </w:r>
    </w:p>
    <w:p w14:paraId="0473D398" w14:textId="77777777" w:rsidR="00E23799" w:rsidRPr="007224C3" w:rsidRDefault="00E2379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Кроме этого, переговорное устройство штурмана и летчика работало неудовлетворительно: «… сильный треск и шум не давали разговаривать, переключатель абонентской коробки во время боя несколько раз самопроизвольно переключался в положение РС или РК, что нарушало связь с летчиком».</w:t>
      </w:r>
    </w:p>
    <w:p w14:paraId="6A891B8C" w14:textId="77777777" w:rsidR="00E23799" w:rsidRPr="007224C3" w:rsidRDefault="00E2379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Серьезными недостатками ВУ-8 считались небольшая емкость магазина пулемета УБК и большое время его смены. Полсотни патронов в магазине оказалось недостаточно для отражения даже одной атаки истребителя. В то же время на его замену уходило около одной минуты, что было совершенно неприемлемым для реальных условий боя. В отчете указывалось, что за счет некоторых конструктивных улучшений можно сократить время смены магазина до 45–50 секунд, но все равно оно оставалось большим.</w:t>
      </w:r>
    </w:p>
    <w:p w14:paraId="28F2C5F1" w14:textId="77777777" w:rsidR="00E23799" w:rsidRPr="007224C3" w:rsidRDefault="00E2379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сравнению с ранее принятыми подобными установками преимуществ не имеет, за исключением того, что защищает стрелка от задувания», – констатировал подполковник Цветков после проведенного им воздушного боя с немецким истребителем.</w:t>
      </w:r>
    </w:p>
    <w:p w14:paraId="04A0809A" w14:textId="77777777" w:rsidR="00E23799" w:rsidRPr="007224C3" w:rsidRDefault="00E2379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выводах отчета предлагалось увеличить углы обстрела вверх и по горизонту и емкость магазина, хотя бы до 75 патронов, а также «отработать механизм, компенсирующий вес пулемета и магазина».</w:t>
      </w:r>
    </w:p>
    <w:p w14:paraId="1C724374" w14:textId="77777777" w:rsidR="00E23799" w:rsidRPr="007224C3" w:rsidRDefault="00E2379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Предъявлялись претензии и к спецоборудованию самолета. В частности, отмечалась плохая конструктивная проработка экранировки системы зажигания мотора, вследствие чего «уровень помех радиоприема вырастает до недопустимых величин». Схема коммутации средств радио- и внутрисамолетной связи не учитывала особенности работы экипажа на данном самолете – «летчик и штурман совмещают лишние функции».</w:t>
      </w:r>
    </w:p>
    <w:p w14:paraId="669272C2" w14:textId="77777777" w:rsidR="00E23799" w:rsidRPr="007224C3" w:rsidRDefault="00E2379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Несмотря на столь обширный перечень дефектов и недостатков Ил-АМ-42, в заключении акта по испытаниям самолет был рекомендован к запуску в серийное производство в вариантах штурмовика-бомбардировщика и разведчика-корректировщика.</w:t>
      </w:r>
    </w:p>
    <w:p w14:paraId="1B497078" w14:textId="77777777" w:rsidR="00E23799" w:rsidRPr="007224C3" w:rsidRDefault="00E2379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целью выявления боевых качеств Ил-АМ-42 предлагалось «выпустить войсковую серию этих самолетов». Причем когда акт подписывал начальник НИИ ВВС генерал-лейтенант П. А. Лосюков, то он собственноручно дописал к этому пункту документа: «…даже с 50 час. ресурсом АМ-42 (если не успеют моторы со 100 час. ресурсом)».</w:t>
      </w:r>
    </w:p>
    <w:p w14:paraId="6B6C65F6" w14:textId="77777777" w:rsidR="00E23799" w:rsidRPr="007224C3" w:rsidRDefault="00E2379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Военные специалисты считали необходимым «просить Наркома авиапромышленности тов. Шахурина А. И. дать задания: а) Главному конструктору мотора АМ-42 тов. Микулину А. А. довести опытный мотор до состояния пригодного к нормальной эксплуатации. б) Главному конструктору самолета Ил с АМ-42 тов. Ильюшину С. В. до запуска в серийное производство устранить дефекты, отмеченные в выводах…»</w:t>
      </w:r>
    </w:p>
    <w:p w14:paraId="38907B50" w14:textId="77777777" w:rsidR="00E23799" w:rsidRPr="007224C3" w:rsidRDefault="00E2379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Что касается установки на самолет кассет ДАГ-10 и крупнокалиберных пушек 11П, а также величины бомбовой нагрузки с этими пушками, то решение планировалось принять после проведения испытаний 2-го экземпляра самолета Ил-АМ-42 (17490).</w:t>
      </w:r>
    </w:p>
    <w:p w14:paraId="19D78A1A" w14:textId="77777777" w:rsidR="00E23799" w:rsidRPr="007224C3" w:rsidRDefault="00E23799" w:rsidP="007224C3">
      <w:pPr>
        <w:spacing w:after="0" w:line="240" w:lineRule="auto"/>
        <w:jc w:val="both"/>
        <w:rPr>
          <w:rFonts w:ascii="Times New Roman" w:hAnsi="Times New Roman"/>
          <w:color w:val="000000" w:themeColor="text1"/>
          <w:sz w:val="16"/>
          <w:szCs w:val="16"/>
        </w:rPr>
      </w:pPr>
    </w:p>
    <w:p w14:paraId="7CD9B95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19 по 22 марта 1944 г. прошли дополнительные испытания в НИИ ВВС КА взлетных лыж, после чего распоряжением главного инженера ВВС КА генерал-полковника ИАС Репина от 29 июля взлетные лыжи были приняты и на вооружение ВВС КА (12048).</w:t>
      </w:r>
    </w:p>
    <w:p w14:paraId="47A8641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215DC8B"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3BBA8DD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EDF9C82"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марта 1944 года вышел приказ № 166с НКТП</w:t>
      </w:r>
    </w:p>
    <w:p w14:paraId="638424A8"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 передаче завода № 138 Управлению Промкооперации при Совнаркоме РСФСР (6210, 67).</w:t>
      </w:r>
    </w:p>
    <w:p w14:paraId="5F7F1D91"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A9E2A0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марта 1944 года - Формулировка И.В. Курчатовым технических требований к химической чистоте урановых материалов, поставляемых в Лабораторию No.2 (10549).</w:t>
      </w:r>
    </w:p>
    <w:p w14:paraId="10BF2D0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12F4142" w14:textId="77777777" w:rsidR="00EB585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5CE7410A" w14:textId="77777777" w:rsidR="00EB5859" w:rsidRPr="007224C3" w:rsidRDefault="00EB585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EB70216"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19 марта</w:t>
      </w:r>
      <w:r w:rsidRPr="007224C3">
        <w:rPr>
          <w:rFonts w:ascii="Times New Roman" w:hAnsi="Times New Roman"/>
          <w:color w:val="000000" w:themeColor="text1"/>
          <w:sz w:val="16"/>
          <w:szCs w:val="16"/>
        </w:rPr>
        <w:t xml:space="preserve"> в 1944 году оперативная сводка Совинформбюро:</w:t>
      </w:r>
    </w:p>
    <w:p w14:paraId="3DD7DD95"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1-го Украинского фронта в результате обходного манёвра и атаки с фронта 19 марта овладели городом Кременец — мощной естественной крепостью на хребте Кременецких гор, усиленной немцами развитой сетью искусственных оборонительных сооружений, а также с боями заняли более 40 других населённых пунктов, в числе которых крупные населённые пункты Плащувка, Сестратын, Сребно, Крупец, Михалувка, Подзамче, Круки, Ситно, Янувка, Бялогрудка, Каменица и железнодорожные станции Каменица Волынская, Рудня Почаювская, Михалувка.</w:t>
      </w:r>
    </w:p>
    <w:p w14:paraId="1D5C83EF"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19 марта северо-западнее Винница наши войска с боями продвигались вперёд и овладели крупными населёнными пунктами Лука, Кожухов, Медведовка, Кусиковцы, Ивча, Осолынка, Николаевка, Майдан, Мизяковские Хутора, Стрижавка.</w:t>
      </w:r>
    </w:p>
    <w:p w14:paraId="013E2365"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югу от города Жмеринка наши войска, продолжая развивать наступление, овладели районными центрами Винницкой области Станиславчик, Шпиков, а также с боями заняли более 50 других населённых пунктов, в том числе крупные населённые пункты Тарасовка, Пеньковка, Михайловка, Мурафа, Рахны Лесовые, Деребчин, Зведеновка, Джурин, Хоменки, Политанки, Карповка, Ротмистровка, Серебрия и железнодорожные станции Будки, Ярошенка, Рахны. Наши войска подошли к городу Могилёв-Подольский и завязали бои на окраинах города.</w:t>
      </w:r>
    </w:p>
    <w:p w14:paraId="47E09CAD"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2-го Украинского фронта вышли на реку Днестр на фронте более 100 километров, форсировали её на участке протяжённостью более 50 километров, заняли на правом берегу реки более 40 населённых пунктов и в их числе уездный город Молдавской ССР Сороки.</w:t>
      </w:r>
    </w:p>
    <w:p w14:paraId="0EE78187"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Ново-Украинка наши войска продолжали вести наступательные бои, в ходе которых заняли более 80 населённых пунктов, в том числе крупные населённые пункты Дорожинка, Юзефполь, Сухой Ташлык, Лащевка, Подгурье, Станковата, Михайловка, Любомирка, Трудолюбовка, Ново-Григорьевка, Воеводское, Жуково и железнодорожные станции Бешкетово, Глиняная.</w:t>
      </w:r>
    </w:p>
    <w:p w14:paraId="6260CD77"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города Бобринец наши войска, продолжая развивать наступление, овладели районным центром Николаевской области Еланец, районным центром Одесской области Братское, а также с боями заняли более 70 других населённых пунктов, в том числе крупные населённые пункты Каменоватка, Кривая Пустошь, Ново-Александровка, Ивановка, Надеждовка, Никольское, Михайловка, Малое Солоное, Рацев, Белоусовка.</w:t>
      </w:r>
    </w:p>
    <w:p w14:paraId="36B73BA0"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 поиски разведчиков.</w:t>
      </w:r>
    </w:p>
    <w:p w14:paraId="2E774A75"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18 марта наши войска на всех фронтах подбили и уничтожили 45 немецких танков. В воздушных боях и огнём зенитной артиллерии сбито 52 самолёта противника.</w:t>
      </w:r>
    </w:p>
    <w:p w14:paraId="31704279"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1-го Украинского фронта, развивая успешное наступление, вышли на подступы к городу Кременец, расположенному на хребте Кременецких гор. Город представлял собой очень удобные для обороны позиции. Многочисленные дзоты и траншеи, до предела насыщенные огневыми средствами, а также другие инженерные сооружения превращали Кременец в неприступную крепость. Наши войска в результате обходного манёвра перерезали все дороги к городу. У немцев остался лишь один выход на северо-запад. В это же время другие наши части предприняли атаку с фронта. Советские бойцы, действуя мелкими группами, просачивались в расположение противника и истребляли гитлеровцев огнём, штыком и гранатами. Не выдержав натиска наших войск, немцы стали поспешно отступать. Овладев городом Кременец и продолжая преследовать врага по пятам, наши бойцы нанесли ему большой урон вживой силе и технике. В городе захвачено много брошенного немцами вооружения и крупные склады с военными материалами.</w:t>
      </w:r>
    </w:p>
    <w:p w14:paraId="3AB2D8E0"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Северо-западнее Винницы наши войска продолжали наступление по правому берегу реки Южный Буг. Части Н-ского соединения, продвигаясь вдоль шоссе от города Хмельники на юг, отрезали пути отхода одной группе немецких войск. За два дня бойцы этого соединения уничтожили 1.500 гитлеровцев и захватили 45 танков и </w:t>
      </w:r>
      <w:r w:rsidRPr="007224C3">
        <w:rPr>
          <w:rFonts w:ascii="Times New Roman" w:hAnsi="Times New Roman"/>
          <w:color w:val="000000" w:themeColor="text1"/>
          <w:sz w:val="16"/>
          <w:szCs w:val="16"/>
        </w:rPr>
        <w:lastRenderedPageBreak/>
        <w:t>самоходных орудий, 36 бронетранспортёров, 96 автомашин, несколько складов с боеприпасами, а также много бочек с бензином. Бойцы под командованием подполковника Бодунова стремительной атакой выбили немцев из сильно укреплённого села Лавривки. Удар был настолько внезапным, что немцы бежали в панике, бросив всё свое оружие.</w:t>
      </w:r>
    </w:p>
    <w:p w14:paraId="7A36D6B3"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югу от города Жмеринки наши войска овладели районными центрами Винницкой области Станиславчик и Шпиков. Части Н-ского соединения, выбив вчера немцев из местечка Черневцы, устремились вдоль шоссе на юго-запад и заняли более 50 населённых пунктов, в том числе село Карповку, находящееся в трёх километрах северо-восточнее города Могилёв-Подольский, и село Серебрия — в двух километрах западнее города. Развивая успех, советские бойцы с хода прорвались к городу Могилёв-Подольский и завязали бои на его окраинах.</w:t>
      </w:r>
    </w:p>
    <w:p w14:paraId="24D77C40"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западу от города Брацлав наши подвижные части в результате успешно проведённого обходного манёвра перехватили дороги, по которым отступали немецкие войска. Пойманные в ловушку, гитлеровцы были вынуждены принять бой в невыгодных для себя условиях. Наши пехотинцы и танкисты атаковали врага со всех сторон и в результате ожесточённого боя разгромили группировку противника в составе трёх пехотных дивизий немцев и трёх батальонов румын. На поле боя осталось свыше 4 тысяч вражеских трупов. Взято более 500 пленных и захвачено у немцев 150 орудий, 700 автомашин и много другого военного имущества.</w:t>
      </w:r>
    </w:p>
    <w:p w14:paraId="79C67A63"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2-го Украинского фронта на широком фронте вышли к реке Днестр. Наступление советских частей было настолько стремительным и ошеломляющим, что немцы в ряде мест не успели даже уничтожить переправы. Противник был прижат к реке и понёс огромные потери. Наши войска переправились через Днестр и отвоевали у немцев на правом берегу реки, уездный город Молдавской ССР Сороки и более 40 других населённых пунктов. Украинские партизаны оказывают активную помощь наступающим частям Красной Армии. Партизанские отряды перехватили пути отхода полкам 34 пехотной дивизии противника, разгромили штабы и захватили у немцев знамёна трёх подков, знамя 34 дивизии, штабные документы и другие трофеи. Советские патриоты взяли в плен более 200 немецких солдат и офицеров.</w:t>
      </w:r>
    </w:p>
    <w:p w14:paraId="4E5231AF"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города Бобринец части Н-ского соединения, продвигаясь по размякшим после дождя дорогам, уничтожали немецкие колонны и обозы, скопившиеся в балках и у переправ. В этих боях уничтожено до полка пехоты противника. Захвачено 21 орудие, 20 тракторов и тягачей, 150 автомашин и много стрелкового вооружения.</w:t>
      </w:r>
    </w:p>
    <w:p w14:paraId="4248DB05"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результате комбинированных торпедо-бомбовых ударов по каравану противника в Баренцовом море потоплены два немецких транспорта общим водоизмещением в 10 тысяч тонн и два сторожевых корабля. Кроме того, сильно повреждены два других транспорта, следовавших в составе этого каравана. Немецкие сообщения о том, что они якобы сбили во время этой операции 37 советских самолётов, являются очередным враньём гитлеровцев. В воздушных боях над атакованным караваном противника сбито 15 немецких самолётов. Наша авиация потеряла 6 самолётов.</w:t>
      </w:r>
    </w:p>
    <w:p w14:paraId="00071D7F"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Финском заливе потоплен транспорт противника водоизмещением в 2 тысячи тонн.</w:t>
      </w:r>
    </w:p>
    <w:p w14:paraId="2C0339F9"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марта крымские партизаны разгромили несколько отрядов противника, охранявших шоссейные магистрали. Советские патриоты истребили 240 гитлеровцев и захватили 400 лошадей, 110 повозок с боеприпасами, снаряжением и продовольствием.» (15073).</w:t>
      </w:r>
    </w:p>
    <w:p w14:paraId="12D3DF13" w14:textId="77777777" w:rsidR="00EB5859" w:rsidRPr="007224C3" w:rsidRDefault="00EB5859" w:rsidP="007224C3">
      <w:pPr>
        <w:spacing w:after="0" w:line="240" w:lineRule="auto"/>
        <w:jc w:val="both"/>
        <w:rPr>
          <w:rFonts w:ascii="Times New Roman" w:hAnsi="Times New Roman"/>
          <w:color w:val="000000" w:themeColor="text1"/>
          <w:sz w:val="16"/>
          <w:szCs w:val="16"/>
        </w:rPr>
      </w:pPr>
    </w:p>
    <w:p w14:paraId="6521A64E" w14:textId="77777777" w:rsidR="006E2E37" w:rsidRPr="007224C3" w:rsidRDefault="006E2E37" w:rsidP="007224C3">
      <w:pPr>
        <w:pStyle w:val="ae"/>
        <w:spacing w:before="0" w:after="0"/>
        <w:jc w:val="both"/>
        <w:textAlignment w:val="baseline"/>
        <w:rPr>
          <w:color w:val="000000" w:themeColor="text1"/>
          <w:sz w:val="16"/>
          <w:szCs w:val="16"/>
        </w:rPr>
      </w:pPr>
      <w:r w:rsidRPr="007224C3">
        <w:rPr>
          <w:color w:val="000000" w:themeColor="text1"/>
          <w:sz w:val="16"/>
          <w:szCs w:val="16"/>
        </w:rPr>
        <w:t>19 марта 1944 11 Ил-2 из 23-го шап майора И. И. Трушина совместно с торпедоносцами A-20J и бомбардировщиками Пе-2 участвовали в атаке немецко-румынского конвоя в районе мыса Тарханкут, на западном побережье Крыма. В результате массированного налета удалось потопить германский транспорт «Лариса» тоннажем 1820 брт. Но этот успех, скорее всего, принадлежал не штурмовикам, которые тогда лишились трех самолетов (19522).</w:t>
      </w:r>
    </w:p>
    <w:p w14:paraId="56F5E656" w14:textId="77777777" w:rsidR="006E2E37" w:rsidRPr="007224C3" w:rsidRDefault="006E2E37" w:rsidP="007224C3">
      <w:pPr>
        <w:pStyle w:val="ae"/>
        <w:spacing w:before="0" w:after="0"/>
        <w:jc w:val="both"/>
        <w:textAlignment w:val="baseline"/>
        <w:rPr>
          <w:color w:val="000000" w:themeColor="text1"/>
          <w:sz w:val="16"/>
          <w:szCs w:val="16"/>
        </w:rPr>
      </w:pPr>
    </w:p>
    <w:p w14:paraId="32924F94"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Внешняя политика:</w:t>
      </w:r>
    </w:p>
    <w:p w14:paraId="3203AE8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24BD2CD"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19 марта</w:t>
      </w:r>
      <w:r w:rsidRPr="007224C3">
        <w:rPr>
          <w:rFonts w:ascii="Times New Roman" w:hAnsi="Times New Roman"/>
          <w:color w:val="000000" w:themeColor="text1"/>
          <w:sz w:val="16"/>
          <w:szCs w:val="16"/>
        </w:rPr>
        <w:t xml:space="preserve"> в 1944 году посол Великобритании в СССР заявил Советскому правительству, что отказ отсрочить решение вопроса восточных польских границ на послевоенное время создаст затруднения в советско-английских отношениях и осложнит ведение войны (15073).</w:t>
      </w:r>
    </w:p>
    <w:p w14:paraId="41E2E72D" w14:textId="77777777" w:rsidR="00EB5859" w:rsidRPr="007224C3" w:rsidRDefault="00EB5859" w:rsidP="007224C3">
      <w:pPr>
        <w:spacing w:after="0" w:line="240" w:lineRule="auto"/>
        <w:jc w:val="both"/>
        <w:rPr>
          <w:rFonts w:ascii="Times New Roman" w:hAnsi="Times New Roman"/>
          <w:color w:val="000000" w:themeColor="text1"/>
          <w:sz w:val="16"/>
          <w:szCs w:val="16"/>
        </w:rPr>
      </w:pPr>
    </w:p>
    <w:p w14:paraId="38CB87FC"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19 марта</w:t>
      </w:r>
      <w:r w:rsidRPr="007224C3">
        <w:rPr>
          <w:rFonts w:ascii="Times New Roman" w:hAnsi="Times New Roman"/>
          <w:color w:val="000000" w:themeColor="text1"/>
          <w:sz w:val="16"/>
          <w:szCs w:val="16"/>
        </w:rPr>
        <w:t xml:space="preserve"> в 1944 году советское правительство потребовало незамедлительного изменения состава итальянского правительства маршала Бадольо за счет включения в его состав представителей левых партий (15073).</w:t>
      </w:r>
    </w:p>
    <w:p w14:paraId="732C91D4" w14:textId="77777777" w:rsidR="00EB5859" w:rsidRPr="007224C3" w:rsidRDefault="00EB5859" w:rsidP="007224C3">
      <w:pPr>
        <w:spacing w:after="0" w:line="240" w:lineRule="auto"/>
        <w:jc w:val="both"/>
        <w:rPr>
          <w:rFonts w:ascii="Times New Roman" w:hAnsi="Times New Roman"/>
          <w:color w:val="000000" w:themeColor="text1"/>
          <w:sz w:val="16"/>
          <w:szCs w:val="16"/>
        </w:rPr>
      </w:pPr>
    </w:p>
    <w:p w14:paraId="0FE37691" w14:textId="77777777" w:rsidR="00EB585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24485897" w14:textId="77777777" w:rsidR="00EB5859" w:rsidRPr="007224C3" w:rsidRDefault="00EB585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67B706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марта 1944 в ходе операции Margarette немцы оккупировали основные города Венгрии (2247,2).</w:t>
      </w:r>
    </w:p>
    <w:p w14:paraId="4892CC5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B63205"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марта 1944 Венгрия оккупирована немецкими фашистами (4962).</w:t>
      </w:r>
    </w:p>
    <w:p w14:paraId="62A9D2CA"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8087B95"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6879C1B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20896D8" w14:textId="77777777" w:rsidR="00E23799" w:rsidRPr="007224C3" w:rsidRDefault="00E23799"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К 20 марта 1944 в 4-й лаборатории ЛИИ НКАП была завершена работа по определению си</w:t>
      </w:r>
      <w:r w:rsidRPr="007224C3">
        <w:rPr>
          <w:color w:val="000000" w:themeColor="text1"/>
          <w:sz w:val="16"/>
          <w:szCs w:val="16"/>
        </w:rPr>
        <w:softHyphen/>
        <w:t>лы отдачи пушки 11П при закреплении на лафете с различной жесткостью.</w:t>
      </w:r>
    </w:p>
    <w:p w14:paraId="3E8F9364" w14:textId="77777777" w:rsidR="00E23799" w:rsidRPr="007224C3" w:rsidRDefault="00E23799"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Испытывалась пушка серийного изготовления, полученная со склада завода № 30. В цилиндр ги</w:t>
      </w:r>
      <w:r w:rsidRPr="007224C3">
        <w:rPr>
          <w:color w:val="000000" w:themeColor="text1"/>
          <w:sz w:val="16"/>
          <w:szCs w:val="16"/>
        </w:rPr>
        <w:softHyphen/>
        <w:t>дротормоза заливалась штатная водоглицериновая смесь. Все стрельбы выполнялись при температуре окружающего воздуха 5—10°</w:t>
      </w:r>
      <w:r w:rsidRPr="007224C3">
        <w:rPr>
          <w:color w:val="000000" w:themeColor="text1"/>
          <w:sz w:val="16"/>
          <w:szCs w:val="16"/>
          <w:lang w:val="en-US"/>
        </w:rPr>
        <w:t>C</w:t>
      </w:r>
      <w:r w:rsidRPr="007224C3">
        <w:rPr>
          <w:color w:val="000000" w:themeColor="text1"/>
          <w:sz w:val="16"/>
          <w:szCs w:val="16"/>
        </w:rPr>
        <w:t>.</w:t>
      </w:r>
    </w:p>
    <w:p w14:paraId="251642A4" w14:textId="77777777" w:rsidR="00E23799" w:rsidRPr="007224C3" w:rsidRDefault="00E2379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Было установлено, что сила отдачи пушки «зави</w:t>
      </w:r>
      <w:r w:rsidRPr="007224C3">
        <w:rPr>
          <w:rFonts w:ascii="Times New Roman" w:hAnsi="Times New Roman"/>
          <w:color w:val="000000" w:themeColor="text1"/>
          <w:sz w:val="16"/>
          <w:szCs w:val="16"/>
        </w:rPr>
        <w:softHyphen/>
        <w:t>сит от жесткости ее опоры и для испытанного об</w:t>
      </w:r>
      <w:r w:rsidRPr="007224C3">
        <w:rPr>
          <w:rFonts w:ascii="Times New Roman" w:hAnsi="Times New Roman"/>
          <w:color w:val="000000" w:themeColor="text1"/>
          <w:sz w:val="16"/>
          <w:szCs w:val="16"/>
        </w:rPr>
        <w:softHyphen/>
        <w:t>разца пушки изменяется в пределах 3400—5000 кг и выше (при жесткостях выше 700 кг/мм)». При определении силы отдачи пушки необходимо учи</w:t>
      </w:r>
      <w:r w:rsidRPr="007224C3">
        <w:rPr>
          <w:rFonts w:ascii="Times New Roman" w:hAnsi="Times New Roman"/>
          <w:color w:val="000000" w:themeColor="text1"/>
          <w:sz w:val="16"/>
          <w:szCs w:val="16"/>
        </w:rPr>
        <w:softHyphen/>
        <w:t>тывать смещение крепления пушки при стрельбе: «при статической силе, равной силе отдачи, кре</w:t>
      </w:r>
      <w:r w:rsidRPr="007224C3">
        <w:rPr>
          <w:rFonts w:ascii="Times New Roman" w:hAnsi="Times New Roman"/>
          <w:color w:val="000000" w:themeColor="text1"/>
          <w:sz w:val="16"/>
          <w:szCs w:val="16"/>
        </w:rPr>
        <w:softHyphen/>
        <w:t>пление перемещается на 6—8 мм (без учета дефор</w:t>
      </w:r>
      <w:r w:rsidRPr="007224C3">
        <w:rPr>
          <w:rFonts w:ascii="Times New Roman" w:hAnsi="Times New Roman"/>
          <w:color w:val="000000" w:themeColor="text1"/>
          <w:sz w:val="16"/>
          <w:szCs w:val="16"/>
        </w:rPr>
        <w:softHyphen/>
        <w:t>мации изгиба крыла)».</w:t>
      </w:r>
    </w:p>
    <w:p w14:paraId="620742DA" w14:textId="77777777" w:rsidR="00E23799" w:rsidRPr="007224C3" w:rsidRDefault="00E23799"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При стрельбах имели место удары ствола пуш</w:t>
      </w:r>
      <w:r w:rsidRPr="007224C3">
        <w:rPr>
          <w:color w:val="000000" w:themeColor="text1"/>
          <w:sz w:val="16"/>
          <w:szCs w:val="16"/>
        </w:rPr>
        <w:softHyphen/>
        <w:t>ки в конце отката, что приводило к значительному увеличению силы отдачи. После регулировки дли</w:t>
      </w:r>
      <w:r w:rsidRPr="007224C3">
        <w:rPr>
          <w:color w:val="000000" w:themeColor="text1"/>
          <w:sz w:val="16"/>
          <w:szCs w:val="16"/>
        </w:rPr>
        <w:softHyphen/>
        <w:t>ны отката ствола согласно инструкции удары ство</w:t>
      </w:r>
      <w:r w:rsidRPr="007224C3">
        <w:rPr>
          <w:color w:val="000000" w:themeColor="text1"/>
          <w:sz w:val="16"/>
          <w:szCs w:val="16"/>
        </w:rPr>
        <w:softHyphen/>
        <w:t>ла пушки прекратились. Как следствие, значение силы отдачи пушки оказалось в пределах 3600— 4600 кг при всех значениях жесткости лафета.</w:t>
      </w:r>
    </w:p>
    <w:p w14:paraId="4B9C84A7" w14:textId="77777777" w:rsidR="00E23799" w:rsidRPr="007224C3" w:rsidRDefault="00E23799"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На основании этого был сделан вывод, что «си</w:t>
      </w:r>
      <w:r w:rsidRPr="007224C3">
        <w:rPr>
          <w:color w:val="000000" w:themeColor="text1"/>
          <w:sz w:val="16"/>
          <w:szCs w:val="16"/>
        </w:rPr>
        <w:softHyphen/>
        <w:t>ла отдачи пушки целиком определяется регулиров</w:t>
      </w:r>
      <w:r w:rsidRPr="007224C3">
        <w:rPr>
          <w:color w:val="000000" w:themeColor="text1"/>
          <w:sz w:val="16"/>
          <w:szCs w:val="16"/>
        </w:rPr>
        <w:softHyphen/>
        <w:t>кой и условиями работы ее гидротормоза, поэтому приведенные выше данные могут касаться только данного конкретного экземпляра пушки, испытан</w:t>
      </w:r>
      <w:r w:rsidRPr="007224C3">
        <w:rPr>
          <w:color w:val="000000" w:themeColor="text1"/>
          <w:sz w:val="16"/>
          <w:szCs w:val="16"/>
        </w:rPr>
        <w:softHyphen/>
        <w:t>ного при данных температурах и проч. условиях».</w:t>
      </w:r>
    </w:p>
    <w:p w14:paraId="4E99E43E" w14:textId="77777777" w:rsidR="00E23799" w:rsidRPr="007224C3" w:rsidRDefault="00E23799"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В этой связи предлагалось определить «степень постоянства работы гидротормоза» при специаль</w:t>
      </w:r>
      <w:r w:rsidRPr="007224C3">
        <w:rPr>
          <w:color w:val="000000" w:themeColor="text1"/>
          <w:sz w:val="16"/>
          <w:szCs w:val="16"/>
        </w:rPr>
        <w:softHyphen/>
        <w:t>ных испытаниях, а также «поставить ряд исследо</w:t>
      </w:r>
      <w:r w:rsidRPr="007224C3">
        <w:rPr>
          <w:color w:val="000000" w:themeColor="text1"/>
          <w:sz w:val="16"/>
          <w:szCs w:val="16"/>
        </w:rPr>
        <w:softHyphen/>
        <w:t>вательских работ для дальнейшего изучения силы отдачи пушки 11П и изучения воздействия на само</w:t>
      </w:r>
      <w:r w:rsidRPr="007224C3">
        <w:rPr>
          <w:color w:val="000000" w:themeColor="text1"/>
          <w:sz w:val="16"/>
          <w:szCs w:val="16"/>
        </w:rPr>
        <w:softHyphen/>
        <w:t>лет силы отдачи оружия крупного калибра» (17500).</w:t>
      </w:r>
    </w:p>
    <w:p w14:paraId="00D5F5BF" w14:textId="77777777" w:rsidR="00E23799" w:rsidRPr="007224C3" w:rsidRDefault="00E23799" w:rsidP="007224C3">
      <w:pPr>
        <w:spacing w:after="0" w:line="240" w:lineRule="auto"/>
        <w:jc w:val="both"/>
        <w:rPr>
          <w:rFonts w:ascii="Times New Roman" w:hAnsi="Times New Roman"/>
          <w:color w:val="000000" w:themeColor="text1"/>
          <w:sz w:val="16"/>
          <w:szCs w:val="16"/>
        </w:rPr>
      </w:pPr>
    </w:p>
    <w:p w14:paraId="2B413DF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20 марта 1944 был готов Як-9Б (заводской индекс - Як-9Л) с ВК-105ПФ и 4хФАБ-100 или 128 ПТАБ-2,5-1,5, сделанный ОКБ А.С.Я. на основе серийной машины N 14-20 (65,135).</w:t>
      </w:r>
    </w:p>
    <w:p w14:paraId="00F3BCB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9BD1D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20 марта 1944 шесть машин Як-9Б переделали в бомбардировщики - 4хФАБ или 4хкассета по 32 ПТАБ. Потом неудачно провели войсковые испытания с 18 декабря 1944 по 20 февраля 1945 и построили 109 машин, которыми полностью вооружили 130 иад (4237,25).</w:t>
      </w:r>
    </w:p>
    <w:p w14:paraId="71CD47D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4A931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марта 1944 в НИИ спецслужб КА закончились гос. испытания разведывательного оборудования самолета Ту-2Р, сделанного на базе N 406, которые шли с 18 декабря 1943. На самолете был дополнительный бензобак на 750 л и доработали топливную систему. Фотооборудование включало два качающихся АФА-3с/50 (1835,53).</w:t>
      </w:r>
    </w:p>
    <w:p w14:paraId="26F9E75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2CFCE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20 марта 1944 состояние опытного строительства на 21 заводе было следующим:</w:t>
      </w:r>
    </w:p>
    <w:p w14:paraId="44EEECE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53 серии “ф” и с 17 серии “фн” с 20 марта 1944 начата установка кислородных приборов КП-12</w:t>
      </w:r>
    </w:p>
    <w:p w14:paraId="1D03429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17 серии с-та “ф” и с 53 серии “фн” (наверное, ошибка) устанавливается удлиненные, полностью закрывающие вход тоннеля, совки (заслонки) м/радиаторов (март 1944).</w:t>
      </w:r>
    </w:p>
    <w:p w14:paraId="211E918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 Ла-5 М-83 - выведен нааэродром. Устраняются дефекты ВМГ (март 1944) (738,18).</w:t>
      </w:r>
    </w:p>
    <w:p w14:paraId="2CC2508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98D68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марта 1944 три Р-47, представленных США для ознакомления, и вылетевшие из США 16 ноября 1944, приземлились па Центральном аэродроме в Москве (3457,84).</w:t>
      </w:r>
    </w:p>
    <w:p w14:paraId="436B312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491716"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490754C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94C0919" w14:textId="77777777" w:rsidR="006E2E37" w:rsidRPr="007224C3" w:rsidRDefault="006E2E3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20 марта 1944 на ЧКЗ прекращался выпуск Т-34, что расширяло производственные возможности по выпуску самоходок.</w:t>
      </w:r>
    </w:p>
    <w:p w14:paraId="3505D468" w14:textId="77777777" w:rsidR="006E2E37" w:rsidRPr="007224C3" w:rsidRDefault="006E2E3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Резкий рост объёмов выпуска усложнил работу, но сдавал машины завод вполне ритмично. Одновременно велась перестройка заводского производства: из-за прекращения выпуска Т-34 часть производственного цикла (в частности, рубочный и дефектный участки) была переведена в цех СБ-34. Одновременно в конструкцию САУ продолжали вноситься изменения. Например, правый топливный бак был изменён, что сделало возможной замену кривошипа ленивца (18171).</w:t>
      </w:r>
    </w:p>
    <w:p w14:paraId="3BB268D5" w14:textId="77777777" w:rsidR="006E2E37" w:rsidRPr="007224C3" w:rsidRDefault="006E2E37" w:rsidP="007224C3">
      <w:pPr>
        <w:spacing w:after="0" w:line="240" w:lineRule="auto"/>
        <w:jc w:val="both"/>
        <w:rPr>
          <w:rFonts w:ascii="Times New Roman" w:hAnsi="Times New Roman"/>
          <w:color w:val="000000" w:themeColor="text1"/>
          <w:sz w:val="16"/>
          <w:szCs w:val="16"/>
        </w:rPr>
      </w:pPr>
    </w:p>
    <w:p w14:paraId="466C7F0E" w14:textId="77777777" w:rsidR="00E23799" w:rsidRPr="007224C3" w:rsidRDefault="00E23799"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20 марта 1944 года заводское КБ з-да 174 представило результат работ по перспективному легкому танку. К этому моменту был проработан корпус и, в теории, ходовая часть. Длина корпуса составила 5450 мм (более чем на полметра больше, чем у Т-50). Ширина оказалось больше всего на 10 см, а высота – на 3 см. Для установки башни с большим диаметром погона (1660 мм — больше, чем у Т-34–85) борта корпуса изготовлялись из двух частей. Несмотря на существенные отличия от Т-50, в конструкции корпуса была явно заметна конструкторская школа завода №174. Что же касается ходовой части, то здесь больше прослеживалось влияние завода №185. Вместо индивидуальной торсионной подвески катки предполагалось блокировать в тележки, по два катка на каждой, а вот сама тележка устанавливалась на торсионной подвеске. Похожая схема (но с пружинной подвеской) предполагалась изначально на тяжелом танке Т-100 разработки завода №185.</w:t>
      </w:r>
    </w:p>
    <w:p w14:paraId="4B532775" w14:textId="77777777" w:rsidR="00E23799" w:rsidRPr="007224C3" w:rsidRDefault="00E23799"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Предполагалось использовать один из двух типов моторов: либо В-4, либо перспективный 8-цилиндровый двигатель В-20. Согласно проекту, при 1750 об/мин он должен был развивать мощность 300 л.с.. Также предполагался форсированный вариант мотора, максимальная мощность которого оценивалась в 400–450 л.с. На выбор предлагались и трансмиссии. Базовой коробкой была обычная механическая с шестью передачами вперед и двумя назад. В качестве альтернативы разрабатывалась 6-скоростная планетарная коробка передач с электромагнитным управлением. Коробку предполагалось группировать с механизмом поворота по типу танка ИС. Прорабатывались также 2 варианта планетарного механизма поворота. Планировалось изготовить 2 опытных образца танка, отличающихся друг от друга трансмиссиями/</w:t>
      </w:r>
    </w:p>
    <w:p w14:paraId="501D9882" w14:textId="77777777" w:rsidR="00E23799" w:rsidRPr="007224C3" w:rsidRDefault="00E23799"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Но к моменту, когда проектирование корпуса и ходовой части закончилось, аппетиты ГАБТУ КА выросли. Бронирование лобового листа корпуса в 75 мм заказчика уже не устраивало. Согласно правкам, новый легкий танк должен был получить лобовой листа корпуса толщиной в 90 мм, такую же толщину должны были иметь и верхние бортовые листы. Толщина лба башни сначала увеличилась до 90 мм, но в последующих правках появилась цифра в… 200 мм! Борта башни «потолстели» с 60 до 90 мм. При этом масса проектируемого танка достигла 22 тонн.</w:t>
      </w:r>
    </w:p>
    <w:p w14:paraId="1A708760" w14:textId="77777777" w:rsidR="00E23799" w:rsidRPr="007224C3" w:rsidRDefault="00E23799"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Не устраивало ГАБТУ и вооружение: вместо С-54, которую забросили в конце 1943 года, танк предполагалось вооружить 85-мм пушкой Д-5Т. Кроме того, танк должен был оснащаться зенитным пулеметом ГВГ, позже замененным на ДШК. В итоге к концу марта 1944 года на горизонте замаячил проект, который иначе, как легким танком тяжелого бронирования и не назвать. Для сравнения: 90 мм катаный лобовой лист предполагался для тяжелого танка ИС-2, на дальних дистанциях он не пробивался 88-мм пушкой Pak 43. Именно с таким названием (ЛТТБ, «легкий танк тяжелого бронирования») эта машина и попала в World of Tanks, поскольку никаких индексов потенциальному изделию не присвоили (17639).</w:t>
      </w:r>
    </w:p>
    <w:p w14:paraId="6A0620AD" w14:textId="77777777" w:rsidR="00E23799" w:rsidRPr="007224C3" w:rsidRDefault="00E23799" w:rsidP="007224C3">
      <w:pPr>
        <w:pStyle w:val="123"/>
        <w:shd w:val="clear" w:color="auto" w:fill="auto"/>
        <w:spacing w:after="0" w:line="240" w:lineRule="auto"/>
        <w:jc w:val="both"/>
        <w:rPr>
          <w:color w:val="000000" w:themeColor="text1"/>
          <w:sz w:val="16"/>
          <w:szCs w:val="16"/>
        </w:rPr>
      </w:pPr>
    </w:p>
    <w:p w14:paraId="08206C89" w14:textId="77777777" w:rsidR="00E23799" w:rsidRPr="007224C3" w:rsidRDefault="00E23799"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val="en-US" w:eastAsia="ru-RU"/>
        </w:rPr>
        <w:t>C</w:t>
      </w:r>
      <w:r w:rsidRPr="007224C3">
        <w:rPr>
          <w:rFonts w:ascii="Times New Roman" w:eastAsia="Times New Roman" w:hAnsi="Times New Roman"/>
          <w:color w:val="000000" w:themeColor="text1"/>
          <w:sz w:val="16"/>
          <w:szCs w:val="16"/>
          <w:lang w:eastAsia="ru-RU"/>
        </w:rPr>
        <w:t xml:space="preserve"> 20 марта 1944 года после докладной записки никаких новостей с завода №174 не поступало. Связано это было, в том числе, и с тем, что разработка нового легкого танка шла в свободное от остальной работы время. Весной 1944 года этого времени практически не осталось. Работа КБ сконцентрировалась на Т-34–85, и тут уже было не до легких танков. К тому же в апреле 1944 года СКБ-75 фактически забросило работы по двигателю В-20. ГАБТУ КА пыталось найти возможность возобновить работы в другом месте, но безуспешно. Ничем на тот момент закончилась и попытка возобновить производство В-4. Нет двигателя – нет танка.</w:t>
      </w:r>
    </w:p>
    <w:p w14:paraId="5EF07585" w14:textId="77777777" w:rsidR="00E23799" w:rsidRPr="007224C3" w:rsidRDefault="00E23799"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На этом можно было бы ставить точку в этой истории, но не все так просто. В июле 1945 года с санкции ГАБТУ КА провели научную работу по изучения вопроса усиления бронирования Т-50. Грубый математический подсчет показывал, что при увеличении массы до 24 тонн танк получал бронирование, адекватное тяжелому танку ИС-2. При этом его башня, согласно описанию, по своей форме должна была напоминать башню ИС-3. А вот дальше начинается самое интересное. В это же время в документах появляется некий легкий танк под индексом Т-64. Никаких изображений этой машины нет. Есть только описание, но и оно поражает воображение. По задумке, 26-тонная машина должна была иметь толщину верхнего лобового листа 45 мм, но под углом наклона всего в 8 градусов. Толщина литой лобовой детали и вовсе зашкаливает – 200 мм! Толщина бортов корпуса оценивались в 150 мм, а кормы — в 75 мм. Толщина башни оценивалась в 220 мм. И это уже получался настоящий «легкий танк сверхтяжелого бронирования».</w:t>
      </w:r>
    </w:p>
    <w:p w14:paraId="49D96088" w14:textId="77777777" w:rsidR="00E23799" w:rsidRPr="007224C3" w:rsidRDefault="00E23799"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Можно предположить, что эти наброски не более, чем грубый математический подсчет, и никаких серьезных работ на этом направлении не велось. Но это не так. На той же базе предполагалось делать и самоходные установки. Эти самые установки фигурируют в перспективных планах по вооружению РККА, датированных октябрем 1945 года. Первой такой машиной должна была стать САУ, вооруженная 100-мм пушкой и с бронезащитой, гарантирующей непробитие 75-мм немецкой пушкой со всех дистанций. Судя по всему, речь велась о 7.5 cm KwK 42 L/70, которая устанавливалась на «Пантере» и истребителе Panzer IV/70. Можно было бы предположить, что в описании речь идет о СУ-101 (Уралмаш-1), но боевая масса самохода оценивалась в 25 тонн, что на 10 тонн легче свердловской машины. Второй самоход должен был иметь массу 20 тонн и оснащаться 122-мм гаубицей. В планах по развитию самоходной артиллерии на 1946–50 годы ответственным за эти самоходы назначался завод №40 (ныне ММЗ, г. Мытищи). Первые 50 САУ обоих типов планировалось получить в 1947 году (17639).</w:t>
      </w:r>
    </w:p>
    <w:p w14:paraId="33592CDB" w14:textId="77777777" w:rsidR="00E23799" w:rsidRPr="007224C3" w:rsidRDefault="00E23799" w:rsidP="007224C3">
      <w:pPr>
        <w:pStyle w:val="123"/>
        <w:shd w:val="clear" w:color="auto" w:fill="auto"/>
        <w:spacing w:after="0" w:line="240" w:lineRule="auto"/>
        <w:jc w:val="both"/>
        <w:rPr>
          <w:color w:val="000000" w:themeColor="text1"/>
          <w:sz w:val="16"/>
          <w:szCs w:val="16"/>
        </w:rPr>
      </w:pPr>
    </w:p>
    <w:p w14:paraId="7F1A932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марта 1944 вышло Распоряжение ГКО № 5413. О мобилизации на торфоразработки вместо сельского населения 2 тыс. служащих Москвы. РГАНИР, Фонд ГКО, д. 219, лл. 73 (11012).</w:t>
      </w:r>
    </w:p>
    <w:p w14:paraId="398CA8A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42E9B7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марта 1944 вышло Распоряжение ГКО № 5415. О выделении 3,5 тыс. военнослужащих, не годных к строевой службе, на строительство вольфрамовых и молибденовых предприятий Читинской обл. РГАНИР, Фонд ГКО, д. 219, лл. 75 (11012).</w:t>
      </w:r>
    </w:p>
    <w:p w14:paraId="6B0F99D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08DDD5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марта 1944 вышло Распоряжение ГКО № 5416. О снятии взыскания с директора завода № 200 НКТП Щербакова. РГАНИР, Фонд ГКО, д. 219, лл. 76 (11012).</w:t>
      </w:r>
    </w:p>
    <w:p w14:paraId="6D7145C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D8E776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марта 1944 вышло Распоряжение ГКО № 5417. О продлении до 20 апреля 1944 г. срока работы мобилизованных на лесозаготовки для Белорецкого металлургического комбината НКЧМ в Башкирии. РГАНИР, Фонд ГКО, д. 219, лл. 77 (11012).</w:t>
      </w:r>
    </w:p>
    <w:p w14:paraId="4D866B6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8D40E5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марта 1944 вышло Распоряжение ГКО № 5418. Об освобождении 1 тыс. проверенных окруженцев из спецлагеря на строительстве Северо-Уральских бокситовых рудников и передаче их тресту "Бокситострой" и на Северо-Уральские бокситовые рудники НКЦМ. РГАНИР, Фонд ГКО, д. 219, лл. 78 (11012).</w:t>
      </w:r>
    </w:p>
    <w:p w14:paraId="3A37D07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A4628E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марта 1944 вышло Распоряжение ГКО № 5419. О сроках восстановления ротора турбин 50 тыс. квт Зуевской ГРЭС и перевозке ротора турбины и ротора генератора в Донбасс. РГАНИР, Фонд ГКО, д. 219, лл. 79 (11012).</w:t>
      </w:r>
    </w:p>
    <w:p w14:paraId="409CB39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6A250C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марта 1944 вышло Распоряжение ГКО № 5420. О техническом водоснабжении Бакинского трубопрокатного завода НКЧМ. РГАНИР, Фонд ГКО, д. 219, лл. 80 (11012).</w:t>
      </w:r>
    </w:p>
    <w:p w14:paraId="2C014FC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95EB10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марта 1944 вышло Распоряжение ГКО № 5421. О мерах по обеспечению восстанавливаемых заводов и строек черной металлургии мягкой кровлей. РГАНИР, Фонд ГКО, д. 219, лл. 81 (11012).</w:t>
      </w:r>
    </w:p>
    <w:p w14:paraId="50BA3FA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429731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марта 1944 вышло Постановление ГКО № 5422 О распространении на Наркомат станкостроения постановления ГОКО № 5034 от 27.1.1944 г. "О порядке обязательного перевода рабочих 4 и 5-го разрядов с одних предприятий Hаркомата боеприпасов на другие". РГАНИР, Фонд ГКО, д. 219, лл. 82 (11012).</w:t>
      </w:r>
    </w:p>
    <w:p w14:paraId="153014E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09E2DC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марта 1944 вышло Распоряжение ГКО № 5423. О доработке и новых полигонных испытаниях дистанционных тахометров для ГБТУ КА. РГАНИР, Фонд ГКО, д. 219, лл. 83 (11012).</w:t>
      </w:r>
    </w:p>
    <w:p w14:paraId="7F4EA83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7985B77"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марта 1944 вышло Постановление ГКО № 5424 О мерах неотложной помощи по обеспечению бесперебойной работы Златоустовского металлургического завода им. Сталина Наркомчермета. (7199, 84-92,93-98).</w:t>
      </w:r>
    </w:p>
    <w:p w14:paraId="7AF9A617"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665B398"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марта 1944 вышло Постановление ГКО № 5425 О проектировании и изготовлении в НИИ-20 Наркомэлектропрома образцов и опытных серий радиолокационных станций для авиации и Военно-Морского Флота. (7199, 99-104,105-113).</w:t>
      </w:r>
    </w:p>
    <w:p w14:paraId="16A7B626"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B0380C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марта 1944 вышло Постановление ГКО № 5426 Об изготовлении в 1944 году специального оборудования, инструмента и приспособлений для подвижных снаряжательных мастерских Главного артиллерийского управления Красной Армии и Артиллерийского управления Военно-Морского Флота. РГАНИР, Фонд ГКО, д. 219, лл. 114-135 (11012).</w:t>
      </w:r>
    </w:p>
    <w:p w14:paraId="1071571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727220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марта 1944 вышло Постановление ГКО № 5427 О восстановлении первой очереди Киевской ТЭЦ № 3 Д 219, лл. 136-139,140-155 (11012).</w:t>
      </w:r>
    </w:p>
    <w:p w14:paraId="6350B55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A48B14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марта 1944 вышло Постановление ГКО № 5428 О неотложных мерах помощи электростанциям Ивановской области по обеспечению топливом. РГАНИР, Фонд ГКО, д. 219, лл. 156-158 (11012).</w:t>
      </w:r>
    </w:p>
    <w:p w14:paraId="41C6BEC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090952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марта 1944 вышло Постановление ГКО № 5429 О мероприятиях по обеспечению производства художественных кинокартин в 1944 году. РГАНИР, Фонд ГКО, д. 219, лл. 159-162,163-166 (11012).</w:t>
      </w:r>
    </w:p>
    <w:p w14:paraId="45B7DFD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A13756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марта 1944 вышло Постановление ГКО № 5430 О мерах по увеличению производства электротехнического фарфора на заводе № 674 Наркомата электропромышленности. РГАНИР, Фонд ГКО, д. 219, лл. 167-170,171-173 (11012).</w:t>
      </w:r>
    </w:p>
    <w:p w14:paraId="178ADE9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58ACE61"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марта 1944 вышло Постановление ГКО № 5430 О мерах по увеличению производства электротехнического фарфора на заводе № 674 Наркомата электропромышленности. (7199, 167-170,171-173).</w:t>
      </w:r>
    </w:p>
    <w:p w14:paraId="791C328E"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9CC713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марта 1944 вышло Распоряжение ГКО № 5431. О расширении сети баз по сортировке, ремонту и отгрузке возвращаемой с фронтов спецукупорки. РГАНИР, Фонд ГКО, д. 219, лл. 174 (11012).</w:t>
      </w:r>
    </w:p>
    <w:p w14:paraId="431F252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CE19739"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марта 1944 вышло Распоряжение ГКО № 5432 О мерах неотложной помощи строительству Фархадской ГЭС для пропуска весенне-летнего паводка 1944 г. (7199, 175-176).</w:t>
      </w:r>
    </w:p>
    <w:p w14:paraId="15732CD1"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E8B0FD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марта 1944 вышло Постановление ГКО № 5433 Об оказании неотложной помощи Балахнинскому и Марийскому бумкомбинатам Наркомбумпрома . РГАНИР, Фонд ГКО, д. 219, лл. 177-179 (11012).</w:t>
      </w:r>
    </w:p>
    <w:p w14:paraId="37EC652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2F086B9"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марта 1944 вышло Распоряжение ГКО № 5434 [О мерах по удовлетворению возросшей потребности КА и освобожденных районов в средствах междугородней телефонной связи.] (7199, 180-182,183-184).</w:t>
      </w:r>
    </w:p>
    <w:p w14:paraId="606D119D"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349ACE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марта 1944 вышло Постановление ГКО № 5435 О выделении рабочей силы для центральных артиллерийских баз, складов, арсеналов, полигонов и тракторных ремонтных заводов ГАУ КА. РГАНИР, Фонд ГКО, д. 219, лл. 185,186-188 (11012).</w:t>
      </w:r>
    </w:p>
    <w:p w14:paraId="4C7ABD8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BC508C8"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марта 1944 вышло Распоряжение ГКО № 5437 [О передаче из КА 50 автомашин ГАЗ-АА, требующих капитального ремонта, Ворошиловградскому облисполкому.] (7199, 190).</w:t>
      </w:r>
    </w:p>
    <w:p w14:paraId="70EEB15A"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016BB9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марта 1944 вышло Распоряжение ГКО № 5438. О составе комиссии по рассмотрению предложений Наркомата станкостроения "О неотложных мероприятиях по развороту кузнечно-прессового машиностроения в СССР". РГАНИР, Фонд ГКО, д. 219, лл. 191 (11012).</w:t>
      </w:r>
    </w:p>
    <w:p w14:paraId="532746E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4D8DF58"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марта 1944 вышло Постановление ГКО № 5439 О производстве на заводе № 678 Наркомэлектропрома артиллерийских радиолокационных станций и мощных радиопередатчиков. (7199, 192-195,196-203).</w:t>
      </w:r>
    </w:p>
    <w:p w14:paraId="2EFD065E"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BE9FDF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марта 1944 г. вышло постановление ГКО № 5439 о производстве на заводе № 678 НКЭП (Завод № 678 НКЭП /г. Ленинград/) артиллерийских РЛС и мощных радиопередатчиков. 6.08.1944 г. вышло постановление ГКО № 6328 об обеспечении строительства завода.</w:t>
      </w:r>
    </w:p>
    <w:p w14:paraId="1AC1DBC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ЦКБ-678 /г. Ленинград/</w:t>
      </w:r>
    </w:p>
    <w:p w14:paraId="1A1A423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Создано: антенна для станции дальней связи с КА (1960-е) (11982).</w:t>
      </w:r>
    </w:p>
    <w:p w14:paraId="7C6AB2F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4605AB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марта 1944 вышло Постановление ГКО № 5441 О материально-техническом обеспечении строительства Михайловского содового комбината. РГАНИР, Фонд ГКО, д. 219, лл. 212-213,214-216 (11012).</w:t>
      </w:r>
    </w:p>
    <w:p w14:paraId="1F83EB2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2E2040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марта 1944 вышло Распоряжение ГКО № 5442. О поставках лесоматериалов на восстановление СТЗ. РГАНИР, Фонд ГКО, д. 219, лл. 217 (11012).</w:t>
      </w:r>
    </w:p>
    <w:p w14:paraId="53C047F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296CCDE"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марта 1944 вышло Постановление ГКО № 5443 Об организации производства высоковольтной коммутационной аппаратуры на заводах Наркомэлектропрома в 1944 г. (7199, 218-221,222-235).</w:t>
      </w:r>
    </w:p>
    <w:p w14:paraId="3E3E2236"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0B348F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марта 1944 вышло Распоряжение ГКО № 5444. О передаче под охрану войск НКВД Владивостокского, Красноводского и Бакинского портов. РГАНИР, Фонд ГКО, д. 219, лл. 236 (11012).</w:t>
      </w:r>
    </w:p>
    <w:p w14:paraId="2903BD7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F87866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марта 1944 На Балтийском заводе спущен на воду с железнодорожной платформы с помощью крана 11-й стотонник типа МТ-1. Завершен ремонт ПЛ М-90, 49 КТЩ типа КМ-4, 2 МО, 6 МБК, 6 БМО, 12 ТК типа Д-3 и др (10671).</w:t>
      </w:r>
    </w:p>
    <w:p w14:paraId="5D3CA61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ABBA2EE"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0B666C9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3618917"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20 марта</w:t>
      </w:r>
      <w:r w:rsidRPr="007224C3">
        <w:rPr>
          <w:rFonts w:ascii="Times New Roman" w:hAnsi="Times New Roman"/>
          <w:color w:val="000000" w:themeColor="text1"/>
          <w:sz w:val="16"/>
          <w:szCs w:val="16"/>
        </w:rPr>
        <w:t xml:space="preserve"> в 1944 году оперативная сводка Совинформбюро:</w:t>
      </w:r>
    </w:p>
    <w:p w14:paraId="7FD5312F"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20 марта юго-западнее и южнее города Дубно наши войска, продолжая наступление, овладели районным центром Ровенской области городом Червоноармейск (Радзивилов), а также с боями заняли более 50 других населённых пунктов, среди которых крупные населённые пункты Вербень, Остров, Мытница, Королувка, Корсув, Лешнюв, Шныров, Турья, Бережце, Лосятын, Ледухов, Новые Залосцы и железнодорожные станции Смыга, Радзивилов.</w:t>
      </w:r>
    </w:p>
    <w:p w14:paraId="30CCE5C4"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1-го Украинского фронта 20 марта в результате штурма и обходного манёвра с флангов овладели областным и крупным промышленным центром Украины городом Винница, превращённым немцами в мощный опорный пункт обороны на Южном Буге, а также с боями заняли более 30 других населённых пунктов, в том числе районный центр Винницкой области город Литин и крупные населённые пункты Погорелое, Дьяковцы, Литинка, Кулыга, Сосны, Селище, Балын, Пеньковка, Майдан Супруновский.</w:t>
      </w:r>
    </w:p>
    <w:p w14:paraId="3F975643"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2-го Украинского фронта в результате стремительного манёвра танковых соединений и пехоты вчера, 19 марта, овладели городом Могилёв-Подольский —крупным железнодорожным узлом и важным опорным пунктом обороны немцев на Днестре.</w:t>
      </w:r>
    </w:p>
    <w:p w14:paraId="2BD51BD0"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20 марта войска 2-го Украинского фронта продолжали вести успешныебои по расширению плацдармов, захваченных на правом берегу Днестра.</w:t>
      </w:r>
    </w:p>
    <w:p w14:paraId="2998BB61"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и южнее Ново-Украинка наши войска продолжали вестинаступательные бои, в ходе которых заняли несколько населённых пунктов и срединих Долгая Пристань, Токаровка, Ново-Павловка, Обуховка, Сергеевка ижелезнодорожные станции Шайторово, Людмиловка.</w:t>
      </w:r>
    </w:p>
    <w:p w14:paraId="63593048"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города Бобринец наши войска, продолжая наступление, с боями заняли более 30 населённых пунктов, в том числе Озериновка, Ворошиловка, Большая Сербуловка, Большое Солоное, Петропавловка.</w:t>
      </w:r>
    </w:p>
    <w:p w14:paraId="6F9E3543"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в ряде пунктов шли бои местного значения.</w:t>
      </w:r>
    </w:p>
    <w:p w14:paraId="236E35E4"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19 марта наши войска на всех фронтах подбили и уничтожили 50немецких танков. В воздушных боях и огнём зенитной артиллерии сбит 61 самолёт противника.</w:t>
      </w:r>
    </w:p>
    <w:p w14:paraId="56162AB1"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марта немецкое радио передало сообщение о том, что советские самолёты якобы бомбардировали Хельсинки 19 марта. Совинформбюро может с полным основанием заявить, что это немецкое сообщение является ложным.</w:t>
      </w:r>
    </w:p>
    <w:p w14:paraId="2B70B15A"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и южнее города Дубно наши войска, продолжая наступление, вышли к городу Червоноармейск (Радзивилов) и завязали бои на его окраинах. Сосредоточенными ударами с разных направлений советские бойцы сломили сопротивление немцев и овладели городом. Захвачены склады с боеприпасами, продовольствием и военным имуществом. На другом участке части Н-ского соединения разгромили полк пехоты противника, только-что прибывший на фронт. На поле боя осталось свыше 1.200 вражеских трупов. Захвачено 31 орудие, 70 пулемётов, 16 миномётов и 30 автомашин. Взяты пленные.</w:t>
      </w:r>
    </w:p>
    <w:p w14:paraId="1D509680"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Войска 1-го Украинского фронта стремительным ударом ворвались в южную часть города Винница, а затем овладели железнодорожной станцией и восточной окраиной Винницы. После ожесточённых уличных боёв немцы поспешно отступили за Южный Буг, взорвали за собой мосты и закрепились в заречной, западной части города. Заняв выгодные позиции, противник рассчитывал, что ему удастся надолго удержать за собою эту часть города. Однако гитлеровцы просчитались. </w:t>
      </w:r>
      <w:r w:rsidRPr="007224C3">
        <w:rPr>
          <w:rFonts w:ascii="Times New Roman" w:hAnsi="Times New Roman"/>
          <w:color w:val="000000" w:themeColor="text1"/>
          <w:sz w:val="16"/>
          <w:szCs w:val="16"/>
        </w:rPr>
        <w:lastRenderedPageBreak/>
        <w:t>Советские войска форсировали Южный Буг северо-западнее Винницы и, совершив обходный манёвр, овладели Слободой Стрижавской. Немцы, ожидавшие главного удара с севера, сосредоточили здесь свои основные силы и огневые средства. Вчера ночью части Н-ского соединения быстро и неожиданно для врага переправились через реку Южный Буг и ворвались в город с юга. Противник был застигнут врасплох. Сегодня войска1-го Украинского фронта полностью овладели областным и крупным промышленным центром Украины городом Винница. Многочисленный немецкий гарнизон почти полностью уничтожен. Лишь небольшая группа гитлеровцев бежала и преследуется нашими подвижными отрядами. В Виннице захвачены большие трофеи.</w:t>
      </w:r>
    </w:p>
    <w:p w14:paraId="37AA66F2"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2-го Украинского фронта продолжали наступление. Советские пехотинцы и танкисты в результате стремительного манёвра вчера овладели городом и крупным железнодорожным узлом Могилёв-Подольский. Наши войска захватили у немцев много вооружения и огромное количество военных материалов. Сегодня войска 2-го Украинского фронта продолжали вести успешные бои по расширению плацдармов на правом берегу Днестра. На одном участке противник ввёл в бой две румынские пехотные дивизии. Военнопленные сообщают, что румынским дивизиям было приказано удерживать позиции на берегу Днестра и прикрыть отход разбитых войск противника. Под ударами наших войск это прикрытие было опрокинуто. Взято большое число пленных.</w:t>
      </w:r>
    </w:p>
    <w:p w14:paraId="1F3C1F78"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города Ново-Украинка бойцы Н-ского соединения, преодолевая сопротивление противника, заняли ряд населённых пунктов. Около деревни Ивановка, Ольшанского района, Одесской области, противник укрепился на заранее подготовленном рубеже. Первую линию траншей занимали румыны. Советские бойцы вчера вечером атаковали румын, и они в беспорядке отступили. Сегодня наши части нанесли противнику ещё один удар и захватили вторую оборонительную линию. В противотанковом рву обнаружено 170 трупов румынских солдат и офицеров. Все они убиты выстрелом в затылок. По показаниям пленных, немцы расстреляли румын за то, что они оставили первую линию траншей.</w:t>
      </w:r>
    </w:p>
    <w:p w14:paraId="608FF1FE"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города Бобринец части Н-ского соединения переправились через реку Мертвовод и заняли несколько населённых пунктов на её западном берегу. Противник оставил на поле боя до 800 трупов своих солдат и офицеров. Захвачено у немцев 130 орудий (в большинстве неисправных), 200 автомашин, много боеприпасов и два больших склада с зерном.</w:t>
      </w:r>
    </w:p>
    <w:p w14:paraId="0D438E58"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Воздушной разведкой Черноморского флота был обнаружен следовавший в Крым караван противника в составе трёх транспортов, пяти самоходных барж, восьми быстроходных десантных барж и восьми сторожевых катеров. В течение дня авиация флота нанесла три последовательных удара по этому каравану и потопила одиннадцать судов противника, в том числе один транспорт.</w:t>
      </w:r>
    </w:p>
    <w:p w14:paraId="73B87D1D"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Белорусский партизанский отряд, действующий в Минской области, в марте разгромил немецкие гарнизоны в восьми населённых пунктах. Советские патриоты уничтожили свыше 200 гитлеровцев. В течение месяца партизаны пустили под откос 10 немецких воинских эшелонов.» (15074).</w:t>
      </w:r>
    </w:p>
    <w:p w14:paraId="07A4B5C1" w14:textId="77777777" w:rsidR="00EB5859" w:rsidRPr="007224C3" w:rsidRDefault="00EB5859" w:rsidP="007224C3">
      <w:pPr>
        <w:spacing w:after="0" w:line="240" w:lineRule="auto"/>
        <w:jc w:val="both"/>
        <w:rPr>
          <w:rFonts w:ascii="Times New Roman" w:hAnsi="Times New Roman"/>
          <w:color w:val="000000" w:themeColor="text1"/>
          <w:sz w:val="16"/>
          <w:szCs w:val="16"/>
        </w:rPr>
      </w:pPr>
    </w:p>
    <w:p w14:paraId="54DD5619"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20 марта</w:t>
      </w:r>
      <w:r w:rsidRPr="007224C3">
        <w:rPr>
          <w:rFonts w:ascii="Times New Roman" w:hAnsi="Times New Roman"/>
          <w:color w:val="000000" w:themeColor="text1"/>
          <w:sz w:val="16"/>
          <w:szCs w:val="16"/>
        </w:rPr>
        <w:t xml:space="preserve"> в 1944 году танки танковой колонны «Давид Сасунский» (армянское название - «Սասունցի Դավիթ» տանկային շարասյուն) поступили в 119-й отдельный танковый полк, который в тот момент в составе 10-й гвардейской армии после тяжёлых боёв под Ельней был переброшен из состава Западного фронта во 2-й Прибалтийский фронт. 26 мая 1944 года полк был переформирован в 119-й отдельный инженерно-танковый полк. Другой частью, получившей танки Т-34-85 с пушкой Д-5Т, стал 119-й танковый полк, который вошел в состав 2-го Украинского фронта 20 марта 1944 г. Танковая колонна «Давид Сасунский» — танковая колонна, созданная во время Великой Отечественной войны на средства, собранные армянской диаспорой и переданная 119-му отдельному танковому полку, воевавшему в составе 2-го Прибалтийского фронта. Колонна была названа в честь персонажа средневекового армянского эпоса «Давид Сасунский». Колонна формировалась с января 1943 года в городе Вагаршапат (ныне Эчмиадзин) Армянской ССР (где находится резиденция Католикоса всех армян) на деньги, собранные представителями армянской диаспоры со всего мира. Сбор денег был организован заместителем Католикоса всех армян Геворгом Чорекчяном (из США поступило 115.000 долларов США, из Канады — 37.000 канадских долларов, из Ливана — 185.000 ливанских фунтов, из Сирии — 276.000 сирийских фунтов, из Египта — 14.000 египетских фунтов, из Ирана — 2,5 млн реалов). Собранных средств хватило на создание к февралю 1944 года материальной части для полка из 21 танка. Колонна была укомплектована новейшими танками Т-34-85 с 85-мм пушкой Д-5-Т85, на башнях танков была выполнена надпись «Սասունցի Դավիթ» («Давид Сасунский» по-армянски). Машины были приобретены на средства жителей Армянской ССР и имели на башнях надпись «Давид Сасунский», которая была выведена буквами национального алфавита. 15 июня 1944 года полк вошёл в оперативное подчинение командующего 6-й гвардейской армией с задачей инженерного обеспечения наступления войск армии северо-западнее города Витебск в направлении на Сиротино. 4 июля поддержка танков полка позволила сапёрам-штурмовикам 47-го отдельного штурмового инженерно-строительного батальона захватить мост через Западную Двину, подготовленный противником ко взрыву. Тем самым была обеспечена беспрепятственная переправа наших войск на правый берег и полное освобождение Полоцка в ходе операции «Багратион». 23 июля 1944 года полк был награждён орденом Красного Знамени. С марта 1945 г. полк входил в состав Московского военного округа. Позднее на его основе был сформирован 135-й гвардейский танковый полк (15074).</w:t>
      </w:r>
    </w:p>
    <w:p w14:paraId="4A3CE4A2" w14:textId="77777777" w:rsidR="00EB5859" w:rsidRPr="007224C3" w:rsidRDefault="00EB5859" w:rsidP="007224C3">
      <w:pPr>
        <w:spacing w:after="0" w:line="240" w:lineRule="auto"/>
        <w:jc w:val="both"/>
        <w:rPr>
          <w:rFonts w:ascii="Times New Roman" w:hAnsi="Times New Roman"/>
          <w:color w:val="000000" w:themeColor="text1"/>
          <w:sz w:val="16"/>
          <w:szCs w:val="16"/>
        </w:rPr>
      </w:pPr>
    </w:p>
    <w:p w14:paraId="1D1BF5B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марта 1944 г. был утвержден АНАЛИЗ ИЗМЕНЕНИЯ КОЛИЧЕСТВЕННОГО И КАЧЕСТВЕННОГО СОСТОЯНИЯ ТАНКОВОГО ПАРКА ГЕРМАНСКОЙ АРМИИ В 1943 г. И ПЕРСПЕКТИВЫ ЕГО РАЗВИТИЯ К ЛЕТУ 1944 г № 482798</w:t>
      </w:r>
    </w:p>
    <w:p w14:paraId="54AF3A2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«Утверждаю»</w:t>
      </w:r>
    </w:p>
    <w:p w14:paraId="6157235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штаба БТ и МВ КА генерал-майор танковых войск М.Салминов</w:t>
      </w:r>
    </w:p>
    <w:p w14:paraId="66F2ADE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I. Качественное превосходство советских танков и артиллерии и вызванные этим огромные потери танков Германской армии за 1941 и 1942 годы войны заставили германское командование в ходе войны экстренно перевооружить свой танковый парк. К летнему наступлению танковый парк Германской армии был в значительной степени усилен путем модернизации средних танков Т-3 и Т-4 и введением на вооружение новых типов тяжелых танков Т-5 и Т-6 с мощной броней и вооружением.</w:t>
      </w:r>
    </w:p>
    <w:p w14:paraId="0706115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Если к началу войны с Советским Союзом танковый парк Германской армии, согласно данным ГРУ КА, состоял на 50% из легких танков, вооруженных 20-мм и 37-мм пушками, и 50% средних тан</w:t>
      </w:r>
      <w:r w:rsidRPr="007224C3">
        <w:rPr>
          <w:rFonts w:ascii="Times New Roman" w:hAnsi="Times New Roman"/>
          <w:color w:val="000000" w:themeColor="text1"/>
          <w:sz w:val="16"/>
          <w:szCs w:val="16"/>
        </w:rPr>
        <w:softHyphen/>
        <w:t>ков, вооруженных 50-мм и 75-мм пушками, то в 1943 г. легкие танки с вооружения были сняты и встречались только единицами. Основным танком Германской армии к лету 1943 г. был средний танк Т-4 и в небольшом количестве средний танк Т-3, вооруженный короткоствольной 75-мм пушкой. Кроме того, в летнем наступлении на основных направлениях немцы применяли новые тяжелые танки Т-5 (Пантера) и Т-6 (Тигр), как основное средство прорыва.</w:t>
      </w:r>
    </w:p>
    <w:p w14:paraId="0ED5219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Новые типы тяжелых танков, как показал опыт боевых действий, немцы в начале лета приме</w:t>
      </w:r>
      <w:r w:rsidRPr="007224C3">
        <w:rPr>
          <w:rFonts w:ascii="Times New Roman" w:hAnsi="Times New Roman"/>
          <w:color w:val="000000" w:themeColor="text1"/>
          <w:sz w:val="16"/>
          <w:szCs w:val="16"/>
        </w:rPr>
        <w:softHyphen/>
        <w:t>нили в массовом количестве только на главных направлениях (Белгородское и Орловско-Кромское направление, июльское наступление), а на других фронтах танки Пантера и Тигр отмечались в крайне незначительном количестве. Этот факт свидетельствует о том, что германская танковая про</w:t>
      </w:r>
      <w:r w:rsidRPr="007224C3">
        <w:rPr>
          <w:rFonts w:ascii="Times New Roman" w:hAnsi="Times New Roman"/>
          <w:color w:val="000000" w:themeColor="text1"/>
          <w:sz w:val="16"/>
          <w:szCs w:val="16"/>
        </w:rPr>
        <w:softHyphen/>
        <w:t>мышленность к лету 1943 г, не сумела обеспечить в достаточном количестве танковые части новы</w:t>
      </w:r>
      <w:r w:rsidRPr="007224C3">
        <w:rPr>
          <w:rFonts w:ascii="Times New Roman" w:hAnsi="Times New Roman"/>
          <w:color w:val="000000" w:themeColor="text1"/>
          <w:sz w:val="16"/>
          <w:szCs w:val="16"/>
        </w:rPr>
        <w:softHyphen/>
        <w:t>ми танками. Общее число тяжелых танков Т-5 и Т-6 в период летних боев перед фронтом СССР в Германской армии, по-видимому, не превышало 400-500 танков. К концу 1943 года общее количество тяжелых танков Т-5 значительно увеличилось, и эти типы танков стали применяться почти на всех направлениях,</w:t>
      </w:r>
    </w:p>
    <w:p w14:paraId="21753FB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II. Качественное состояние танкового парка Германской армии</w:t>
      </w:r>
    </w:p>
    <w:p w14:paraId="2A1953D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Качественно танковый парк Германской армии значительно вырос, что видно из следующих таблиц: Таблица № 1. Характеристика танкового парка Германской армии в 1941 году.</w:t>
      </w:r>
    </w:p>
    <w:tbl>
      <w:tblPr>
        <w:tblW w:w="0" w:type="auto"/>
        <w:tblInd w:w="40" w:type="dxa"/>
        <w:tblLayout w:type="fixed"/>
        <w:tblCellMar>
          <w:left w:w="40" w:type="dxa"/>
          <w:right w:w="40" w:type="dxa"/>
        </w:tblCellMar>
        <w:tblLook w:val="0000" w:firstRow="0" w:lastRow="0" w:firstColumn="0" w:lastColumn="0" w:noHBand="0" w:noVBand="0"/>
      </w:tblPr>
      <w:tblGrid>
        <w:gridCol w:w="1680"/>
        <w:gridCol w:w="749"/>
        <w:gridCol w:w="749"/>
        <w:gridCol w:w="739"/>
        <w:gridCol w:w="701"/>
        <w:gridCol w:w="941"/>
        <w:gridCol w:w="893"/>
        <w:gridCol w:w="1229"/>
        <w:gridCol w:w="643"/>
        <w:gridCol w:w="634"/>
        <w:gridCol w:w="634"/>
      </w:tblGrid>
      <w:tr w:rsidR="005106D0" w:rsidRPr="007224C3" w14:paraId="4CF4894E" w14:textId="77777777">
        <w:trPr>
          <w:trHeight w:val="221"/>
        </w:trPr>
        <w:tc>
          <w:tcPr>
            <w:tcW w:w="1680" w:type="dxa"/>
            <w:tcBorders>
              <w:top w:val="single" w:sz="6" w:space="0" w:color="auto"/>
              <w:left w:val="single" w:sz="6" w:space="0" w:color="auto"/>
              <w:bottom w:val="nil"/>
              <w:right w:val="single" w:sz="6" w:space="0" w:color="auto"/>
            </w:tcBorders>
          </w:tcPr>
          <w:p w14:paraId="28B290E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Типы танков</w:t>
            </w:r>
          </w:p>
          <w:p w14:paraId="656E15C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nil"/>
              <w:right w:val="single" w:sz="6" w:space="0" w:color="auto"/>
            </w:tcBorders>
          </w:tcPr>
          <w:p w14:paraId="4B45888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w:t>
            </w:r>
          </w:p>
          <w:p w14:paraId="4593366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gridSpan w:val="3"/>
            <w:tcBorders>
              <w:top w:val="single" w:sz="6" w:space="0" w:color="auto"/>
              <w:left w:val="single" w:sz="6" w:space="0" w:color="auto"/>
              <w:bottom w:val="single" w:sz="6" w:space="0" w:color="auto"/>
              <w:right w:val="single" w:sz="6" w:space="0" w:color="auto"/>
            </w:tcBorders>
          </w:tcPr>
          <w:p w14:paraId="3B99D57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Броня</w:t>
            </w:r>
          </w:p>
          <w:p w14:paraId="179F393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063" w:type="dxa"/>
            <w:gridSpan w:val="3"/>
            <w:tcBorders>
              <w:top w:val="single" w:sz="6" w:space="0" w:color="auto"/>
              <w:left w:val="single" w:sz="6" w:space="0" w:color="auto"/>
              <w:bottom w:val="single" w:sz="6" w:space="0" w:color="auto"/>
              <w:right w:val="single" w:sz="6" w:space="0" w:color="auto"/>
            </w:tcBorders>
          </w:tcPr>
          <w:p w14:paraId="52626D3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Вооружение</w:t>
            </w:r>
          </w:p>
          <w:p w14:paraId="25048AF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11" w:type="dxa"/>
            <w:gridSpan w:val="3"/>
            <w:tcBorders>
              <w:top w:val="single" w:sz="6" w:space="0" w:color="auto"/>
              <w:left w:val="single" w:sz="6" w:space="0" w:color="auto"/>
              <w:bottom w:val="single" w:sz="6" w:space="0" w:color="auto"/>
              <w:right w:val="single" w:sz="6" w:space="0" w:color="auto"/>
            </w:tcBorders>
          </w:tcPr>
          <w:p w14:paraId="3A549B4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Бронебойность</w:t>
            </w:r>
          </w:p>
          <w:p w14:paraId="5AD588F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D9A15C1" w14:textId="77777777">
        <w:trPr>
          <w:trHeight w:val="374"/>
        </w:trPr>
        <w:tc>
          <w:tcPr>
            <w:tcW w:w="1680" w:type="dxa"/>
            <w:tcBorders>
              <w:top w:val="nil"/>
              <w:left w:val="single" w:sz="6" w:space="0" w:color="auto"/>
              <w:bottom w:val="single" w:sz="6" w:space="0" w:color="auto"/>
              <w:right w:val="single" w:sz="6" w:space="0" w:color="auto"/>
            </w:tcBorders>
          </w:tcPr>
          <w:p w14:paraId="5C444EC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38FE3A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nil"/>
              <w:left w:val="single" w:sz="6" w:space="0" w:color="auto"/>
              <w:bottom w:val="single" w:sz="6" w:space="0" w:color="auto"/>
              <w:right w:val="single" w:sz="6" w:space="0" w:color="auto"/>
            </w:tcBorders>
          </w:tcPr>
          <w:p w14:paraId="021DDEC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EF75E7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02EFD89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Лобовая</w:t>
            </w:r>
          </w:p>
          <w:p w14:paraId="4655162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493F0B2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Бортовая</w:t>
            </w:r>
          </w:p>
          <w:p w14:paraId="129C41E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0F99B14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Крыша</w:t>
            </w:r>
          </w:p>
          <w:p w14:paraId="1632F9F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3CAD28C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Калибр пушек</w:t>
            </w:r>
          </w:p>
          <w:p w14:paraId="5A02AAF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3365C0E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Кол-во пулеметов</w:t>
            </w:r>
          </w:p>
          <w:p w14:paraId="61A69C2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29" w:type="dxa"/>
            <w:tcBorders>
              <w:top w:val="single" w:sz="6" w:space="0" w:color="auto"/>
              <w:left w:val="single" w:sz="6" w:space="0" w:color="auto"/>
              <w:bottom w:val="single" w:sz="6" w:space="0" w:color="auto"/>
              <w:right w:val="single" w:sz="6" w:space="0" w:color="auto"/>
            </w:tcBorders>
          </w:tcPr>
          <w:p w14:paraId="4FC1B1D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Начальная ско</w:t>
            </w:r>
            <w:r w:rsidRPr="007224C3">
              <w:rPr>
                <w:rFonts w:ascii="Times New Roman" w:hAnsi="Times New Roman"/>
                <w:color w:val="000000" w:themeColor="text1"/>
                <w:sz w:val="16"/>
                <w:szCs w:val="16"/>
              </w:rPr>
              <w:softHyphen/>
              <w:t>рость снаряда</w:t>
            </w:r>
          </w:p>
          <w:p w14:paraId="54D0D3A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6A55B21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 м</w:t>
            </w:r>
          </w:p>
          <w:p w14:paraId="749E348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Borders>
              <w:top w:val="single" w:sz="6" w:space="0" w:color="auto"/>
              <w:left w:val="single" w:sz="6" w:space="0" w:color="auto"/>
              <w:bottom w:val="single" w:sz="6" w:space="0" w:color="auto"/>
              <w:right w:val="single" w:sz="6" w:space="0" w:color="auto"/>
            </w:tcBorders>
          </w:tcPr>
          <w:p w14:paraId="7452423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1000 м</w:t>
            </w:r>
          </w:p>
          <w:p w14:paraId="12C3E95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Borders>
              <w:top w:val="single" w:sz="6" w:space="0" w:color="auto"/>
              <w:left w:val="single" w:sz="6" w:space="0" w:color="auto"/>
              <w:bottom w:val="single" w:sz="6" w:space="0" w:color="auto"/>
              <w:right w:val="single" w:sz="6" w:space="0" w:color="auto"/>
            </w:tcBorders>
          </w:tcPr>
          <w:p w14:paraId="00DA831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2000м</w:t>
            </w:r>
          </w:p>
          <w:p w14:paraId="59E4122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83BC17F" w14:textId="77777777">
        <w:trPr>
          <w:trHeight w:val="240"/>
        </w:trPr>
        <w:tc>
          <w:tcPr>
            <w:tcW w:w="1680" w:type="dxa"/>
            <w:tcBorders>
              <w:top w:val="single" w:sz="6" w:space="0" w:color="auto"/>
              <w:left w:val="single" w:sz="6" w:space="0" w:color="auto"/>
              <w:bottom w:val="single" w:sz="6" w:space="0" w:color="auto"/>
              <w:right w:val="single" w:sz="6" w:space="0" w:color="auto"/>
            </w:tcBorders>
          </w:tcPr>
          <w:p w14:paraId="3B413E0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Легкий танк Т-1</w:t>
            </w:r>
          </w:p>
          <w:p w14:paraId="50F5F6E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070EAE2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5т</w:t>
            </w:r>
          </w:p>
          <w:p w14:paraId="593BCFA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669A306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w:t>
            </w:r>
          </w:p>
          <w:p w14:paraId="4440C1F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035E81B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w:t>
            </w:r>
          </w:p>
          <w:p w14:paraId="5BA41B6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41BC464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p w14:paraId="6EE05E3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308C4B9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113BA17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37AE170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p w14:paraId="2CB5C48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29" w:type="dxa"/>
            <w:tcBorders>
              <w:top w:val="single" w:sz="6" w:space="0" w:color="auto"/>
              <w:left w:val="single" w:sz="6" w:space="0" w:color="auto"/>
              <w:bottom w:val="single" w:sz="6" w:space="0" w:color="auto"/>
              <w:right w:val="single" w:sz="6" w:space="0" w:color="auto"/>
            </w:tcBorders>
          </w:tcPr>
          <w:p w14:paraId="544235B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0B141EF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1DF520B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5FF488F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Borders>
              <w:top w:val="single" w:sz="6" w:space="0" w:color="auto"/>
              <w:left w:val="single" w:sz="6" w:space="0" w:color="auto"/>
              <w:bottom w:val="single" w:sz="6" w:space="0" w:color="auto"/>
              <w:right w:val="single" w:sz="6" w:space="0" w:color="auto"/>
            </w:tcBorders>
          </w:tcPr>
          <w:p w14:paraId="43370A9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319E897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Borders>
              <w:top w:val="single" w:sz="6" w:space="0" w:color="auto"/>
              <w:left w:val="single" w:sz="6" w:space="0" w:color="auto"/>
              <w:bottom w:val="single" w:sz="6" w:space="0" w:color="auto"/>
              <w:right w:val="single" w:sz="6" w:space="0" w:color="auto"/>
            </w:tcBorders>
          </w:tcPr>
          <w:p w14:paraId="2A0D6E8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605717D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4C5C3A4" w14:textId="77777777">
        <w:trPr>
          <w:trHeight w:val="221"/>
        </w:trPr>
        <w:tc>
          <w:tcPr>
            <w:tcW w:w="1680" w:type="dxa"/>
            <w:tcBorders>
              <w:top w:val="single" w:sz="6" w:space="0" w:color="auto"/>
              <w:left w:val="single" w:sz="6" w:space="0" w:color="auto"/>
              <w:bottom w:val="single" w:sz="6" w:space="0" w:color="auto"/>
              <w:right w:val="single" w:sz="6" w:space="0" w:color="auto"/>
            </w:tcBorders>
          </w:tcPr>
          <w:p w14:paraId="777AE5C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Легкий танк Т-26</w:t>
            </w:r>
          </w:p>
          <w:p w14:paraId="40CEB9F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55C0560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8,8т</w:t>
            </w:r>
          </w:p>
          <w:p w14:paraId="4EB2021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1E07369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w:t>
            </w:r>
          </w:p>
          <w:p w14:paraId="15C66A4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77E8897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w:t>
            </w:r>
          </w:p>
          <w:p w14:paraId="2EEFCD9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40ADF40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w:t>
            </w:r>
          </w:p>
          <w:p w14:paraId="6C77FE9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526EFAB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мм</w:t>
            </w:r>
          </w:p>
          <w:p w14:paraId="06941A5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AC249D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p w14:paraId="0A98F5E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29" w:type="dxa"/>
            <w:tcBorders>
              <w:top w:val="single" w:sz="6" w:space="0" w:color="auto"/>
              <w:left w:val="single" w:sz="6" w:space="0" w:color="auto"/>
              <w:bottom w:val="single" w:sz="6" w:space="0" w:color="auto"/>
              <w:right w:val="single" w:sz="6" w:space="0" w:color="auto"/>
            </w:tcBorders>
          </w:tcPr>
          <w:p w14:paraId="291EB5E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850 м/с</w:t>
            </w:r>
          </w:p>
          <w:p w14:paraId="1A35129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01181DF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мм</w:t>
            </w:r>
          </w:p>
          <w:p w14:paraId="1542CCD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Borders>
              <w:top w:val="single" w:sz="6" w:space="0" w:color="auto"/>
              <w:left w:val="single" w:sz="6" w:space="0" w:color="auto"/>
              <w:bottom w:val="single" w:sz="6" w:space="0" w:color="auto"/>
              <w:right w:val="single" w:sz="6" w:space="0" w:color="auto"/>
            </w:tcBorders>
          </w:tcPr>
          <w:p w14:paraId="3EB9702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6B1187C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Borders>
              <w:top w:val="single" w:sz="6" w:space="0" w:color="auto"/>
              <w:left w:val="single" w:sz="6" w:space="0" w:color="auto"/>
              <w:bottom w:val="single" w:sz="6" w:space="0" w:color="auto"/>
              <w:right w:val="single" w:sz="6" w:space="0" w:color="auto"/>
            </w:tcBorders>
          </w:tcPr>
          <w:p w14:paraId="1A922D5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74E232D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E653DA8" w14:textId="77777777">
        <w:trPr>
          <w:trHeight w:val="230"/>
        </w:trPr>
        <w:tc>
          <w:tcPr>
            <w:tcW w:w="1680" w:type="dxa"/>
            <w:tcBorders>
              <w:top w:val="single" w:sz="6" w:space="0" w:color="auto"/>
              <w:left w:val="single" w:sz="6" w:space="0" w:color="auto"/>
              <w:bottom w:val="single" w:sz="6" w:space="0" w:color="auto"/>
              <w:right w:val="single" w:sz="6" w:space="0" w:color="auto"/>
            </w:tcBorders>
          </w:tcPr>
          <w:p w14:paraId="51EF3A8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Легкий «Прага» 38 т</w:t>
            </w:r>
          </w:p>
          <w:p w14:paraId="61A51F9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16BAAA5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т</w:t>
            </w:r>
          </w:p>
          <w:p w14:paraId="1224CEE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29232A5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w:t>
            </w:r>
          </w:p>
          <w:p w14:paraId="451C606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6CAB924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w:t>
            </w:r>
          </w:p>
          <w:p w14:paraId="0D18A55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058B966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w:t>
            </w:r>
          </w:p>
          <w:p w14:paraId="5715D62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7BC606E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37 мм</w:t>
            </w:r>
          </w:p>
          <w:p w14:paraId="770409E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0FE083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p w14:paraId="5C8EF41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29" w:type="dxa"/>
            <w:tcBorders>
              <w:top w:val="single" w:sz="6" w:space="0" w:color="auto"/>
              <w:left w:val="single" w:sz="6" w:space="0" w:color="auto"/>
              <w:bottom w:val="single" w:sz="6" w:space="0" w:color="auto"/>
              <w:right w:val="single" w:sz="6" w:space="0" w:color="auto"/>
            </w:tcBorders>
          </w:tcPr>
          <w:p w14:paraId="7336C76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750 м/с</w:t>
            </w:r>
          </w:p>
          <w:p w14:paraId="178DC63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34F909C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46 мм</w:t>
            </w:r>
          </w:p>
          <w:p w14:paraId="50F84E0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Borders>
              <w:top w:val="single" w:sz="6" w:space="0" w:color="auto"/>
              <w:left w:val="single" w:sz="6" w:space="0" w:color="auto"/>
              <w:bottom w:val="single" w:sz="6" w:space="0" w:color="auto"/>
              <w:right w:val="single" w:sz="6" w:space="0" w:color="auto"/>
            </w:tcBorders>
          </w:tcPr>
          <w:p w14:paraId="60D5B09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мм</w:t>
            </w:r>
          </w:p>
          <w:p w14:paraId="00E37E9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Borders>
              <w:top w:val="single" w:sz="6" w:space="0" w:color="auto"/>
              <w:left w:val="single" w:sz="6" w:space="0" w:color="auto"/>
              <w:bottom w:val="single" w:sz="6" w:space="0" w:color="auto"/>
              <w:right w:val="single" w:sz="6" w:space="0" w:color="auto"/>
            </w:tcBorders>
          </w:tcPr>
          <w:p w14:paraId="327C77D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6C0E5F2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3943F67" w14:textId="77777777">
        <w:trPr>
          <w:trHeight w:val="230"/>
        </w:trPr>
        <w:tc>
          <w:tcPr>
            <w:tcW w:w="1680" w:type="dxa"/>
            <w:tcBorders>
              <w:top w:val="single" w:sz="6" w:space="0" w:color="auto"/>
              <w:left w:val="single" w:sz="6" w:space="0" w:color="auto"/>
              <w:bottom w:val="single" w:sz="6" w:space="0" w:color="auto"/>
              <w:right w:val="single" w:sz="6" w:space="0" w:color="auto"/>
            </w:tcBorders>
          </w:tcPr>
          <w:p w14:paraId="0CFB609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Легкий 2КД 35 т</w:t>
            </w:r>
          </w:p>
          <w:p w14:paraId="22B4BBB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0A9182C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10,8т</w:t>
            </w:r>
          </w:p>
          <w:p w14:paraId="0B5270A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74B842C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w:t>
            </w:r>
          </w:p>
          <w:p w14:paraId="5BE7C30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65310C6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w:t>
            </w:r>
          </w:p>
          <w:p w14:paraId="25B59BB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4324971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w:t>
            </w:r>
          </w:p>
          <w:p w14:paraId="6DC47F9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265F3C2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37 мм</w:t>
            </w:r>
          </w:p>
          <w:p w14:paraId="2E92EFC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60619D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p w14:paraId="431AE1F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29" w:type="dxa"/>
            <w:tcBorders>
              <w:top w:val="single" w:sz="6" w:space="0" w:color="auto"/>
              <w:left w:val="single" w:sz="6" w:space="0" w:color="auto"/>
              <w:bottom w:val="single" w:sz="6" w:space="0" w:color="auto"/>
              <w:right w:val="single" w:sz="6" w:space="0" w:color="auto"/>
            </w:tcBorders>
          </w:tcPr>
          <w:p w14:paraId="795BA0C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750 м/с</w:t>
            </w:r>
          </w:p>
          <w:p w14:paraId="4B3439F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2DA1088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46 мм</w:t>
            </w:r>
          </w:p>
          <w:p w14:paraId="15D0312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Borders>
              <w:top w:val="single" w:sz="6" w:space="0" w:color="auto"/>
              <w:left w:val="single" w:sz="6" w:space="0" w:color="auto"/>
              <w:bottom w:val="single" w:sz="6" w:space="0" w:color="auto"/>
              <w:right w:val="single" w:sz="6" w:space="0" w:color="auto"/>
            </w:tcBorders>
          </w:tcPr>
          <w:p w14:paraId="6EFA7B6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мм</w:t>
            </w:r>
          </w:p>
          <w:p w14:paraId="1A5D479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Borders>
              <w:top w:val="single" w:sz="6" w:space="0" w:color="auto"/>
              <w:left w:val="single" w:sz="6" w:space="0" w:color="auto"/>
              <w:bottom w:val="single" w:sz="6" w:space="0" w:color="auto"/>
              <w:right w:val="single" w:sz="6" w:space="0" w:color="auto"/>
            </w:tcBorders>
          </w:tcPr>
          <w:p w14:paraId="0790E4D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5CA7FCA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80A4C32" w14:textId="77777777">
        <w:trPr>
          <w:trHeight w:val="230"/>
        </w:trPr>
        <w:tc>
          <w:tcPr>
            <w:tcW w:w="1680" w:type="dxa"/>
            <w:tcBorders>
              <w:top w:val="single" w:sz="6" w:space="0" w:color="auto"/>
              <w:left w:val="single" w:sz="6" w:space="0" w:color="auto"/>
              <w:bottom w:val="single" w:sz="6" w:space="0" w:color="auto"/>
              <w:right w:val="single" w:sz="6" w:space="0" w:color="auto"/>
            </w:tcBorders>
          </w:tcPr>
          <w:p w14:paraId="595116C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Средний Т-3</w:t>
            </w:r>
          </w:p>
          <w:p w14:paraId="16E2B6C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128A501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20т</w:t>
            </w:r>
          </w:p>
          <w:p w14:paraId="5F2EBEB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1F568BA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w:t>
            </w:r>
          </w:p>
          <w:p w14:paraId="563963F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72BC8E5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w:t>
            </w:r>
          </w:p>
          <w:p w14:paraId="46AE4FE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283BAA0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w:t>
            </w:r>
          </w:p>
          <w:p w14:paraId="13F6C45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7CD6B90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 мм</w:t>
            </w:r>
          </w:p>
          <w:p w14:paraId="5485650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C81F14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p w14:paraId="4012C11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29" w:type="dxa"/>
            <w:tcBorders>
              <w:top w:val="single" w:sz="6" w:space="0" w:color="auto"/>
              <w:left w:val="single" w:sz="6" w:space="0" w:color="auto"/>
              <w:bottom w:val="single" w:sz="6" w:space="0" w:color="auto"/>
              <w:right w:val="single" w:sz="6" w:space="0" w:color="auto"/>
            </w:tcBorders>
          </w:tcPr>
          <w:p w14:paraId="2A861F9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685 м/с</w:t>
            </w:r>
          </w:p>
          <w:p w14:paraId="7677B3D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693ADE8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 мм</w:t>
            </w:r>
          </w:p>
          <w:p w14:paraId="1276B28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Borders>
              <w:top w:val="single" w:sz="6" w:space="0" w:color="auto"/>
              <w:left w:val="single" w:sz="6" w:space="0" w:color="auto"/>
              <w:bottom w:val="single" w:sz="6" w:space="0" w:color="auto"/>
              <w:right w:val="single" w:sz="6" w:space="0" w:color="auto"/>
            </w:tcBorders>
          </w:tcPr>
          <w:p w14:paraId="6EAC0A0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5909D40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Borders>
              <w:top w:val="single" w:sz="6" w:space="0" w:color="auto"/>
              <w:left w:val="single" w:sz="6" w:space="0" w:color="auto"/>
              <w:bottom w:val="single" w:sz="6" w:space="0" w:color="auto"/>
              <w:right w:val="single" w:sz="6" w:space="0" w:color="auto"/>
            </w:tcBorders>
          </w:tcPr>
          <w:p w14:paraId="691926B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04EFA14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E5C74DD" w14:textId="77777777">
        <w:trPr>
          <w:trHeight w:val="250"/>
        </w:trPr>
        <w:tc>
          <w:tcPr>
            <w:tcW w:w="1680" w:type="dxa"/>
            <w:tcBorders>
              <w:top w:val="single" w:sz="6" w:space="0" w:color="auto"/>
              <w:left w:val="single" w:sz="6" w:space="0" w:color="auto"/>
              <w:bottom w:val="single" w:sz="6" w:space="0" w:color="auto"/>
              <w:right w:val="single" w:sz="6" w:space="0" w:color="auto"/>
            </w:tcBorders>
          </w:tcPr>
          <w:p w14:paraId="3E1A179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Средний Т-4</w:t>
            </w:r>
          </w:p>
          <w:p w14:paraId="0A07FEC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6FC5187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24т</w:t>
            </w:r>
          </w:p>
          <w:p w14:paraId="77486BB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3059274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w:t>
            </w:r>
          </w:p>
          <w:p w14:paraId="6744492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41B8054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w:t>
            </w:r>
          </w:p>
          <w:p w14:paraId="4BAF955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2A01F47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w:t>
            </w:r>
          </w:p>
          <w:p w14:paraId="280B5CD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56F6142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75 мм</w:t>
            </w:r>
          </w:p>
          <w:p w14:paraId="3970DB4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399970A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p w14:paraId="4E83E7D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29" w:type="dxa"/>
            <w:tcBorders>
              <w:top w:val="single" w:sz="6" w:space="0" w:color="auto"/>
              <w:left w:val="single" w:sz="6" w:space="0" w:color="auto"/>
              <w:bottom w:val="single" w:sz="6" w:space="0" w:color="auto"/>
              <w:right w:val="single" w:sz="6" w:space="0" w:color="auto"/>
            </w:tcBorders>
          </w:tcPr>
          <w:p w14:paraId="3563461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385 м/с</w:t>
            </w:r>
          </w:p>
          <w:p w14:paraId="3C85497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605FEA9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38 мм</w:t>
            </w:r>
          </w:p>
          <w:p w14:paraId="5AB6871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Borders>
              <w:top w:val="single" w:sz="6" w:space="0" w:color="auto"/>
              <w:left w:val="single" w:sz="6" w:space="0" w:color="auto"/>
              <w:bottom w:val="single" w:sz="6" w:space="0" w:color="auto"/>
              <w:right w:val="single" w:sz="6" w:space="0" w:color="auto"/>
            </w:tcBorders>
          </w:tcPr>
          <w:p w14:paraId="2768F24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 мм</w:t>
            </w:r>
          </w:p>
          <w:p w14:paraId="0022F90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Borders>
              <w:top w:val="single" w:sz="6" w:space="0" w:color="auto"/>
              <w:left w:val="single" w:sz="6" w:space="0" w:color="auto"/>
              <w:bottom w:val="single" w:sz="6" w:space="0" w:color="auto"/>
              <w:right w:val="single" w:sz="6" w:space="0" w:color="auto"/>
            </w:tcBorders>
          </w:tcPr>
          <w:p w14:paraId="58B8C26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4306FE7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3BFC427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Таблица № 2. Характеристика танкового парка Германской армии в 1943 году.</w:t>
      </w:r>
    </w:p>
    <w:tbl>
      <w:tblPr>
        <w:tblW w:w="0" w:type="auto"/>
        <w:tblInd w:w="40" w:type="dxa"/>
        <w:tblLayout w:type="fixed"/>
        <w:tblCellMar>
          <w:left w:w="40" w:type="dxa"/>
          <w:right w:w="40" w:type="dxa"/>
        </w:tblCellMar>
        <w:tblLook w:val="0000" w:firstRow="0" w:lastRow="0" w:firstColumn="0" w:lastColumn="0" w:noHBand="0" w:noVBand="0"/>
      </w:tblPr>
      <w:tblGrid>
        <w:gridCol w:w="1181"/>
        <w:gridCol w:w="749"/>
        <w:gridCol w:w="797"/>
        <w:gridCol w:w="797"/>
        <w:gridCol w:w="854"/>
        <w:gridCol w:w="941"/>
        <w:gridCol w:w="931"/>
        <w:gridCol w:w="1229"/>
        <w:gridCol w:w="662"/>
        <w:gridCol w:w="662"/>
        <w:gridCol w:w="816"/>
      </w:tblGrid>
      <w:tr w:rsidR="005106D0" w:rsidRPr="007224C3" w14:paraId="53218FA0" w14:textId="77777777">
        <w:trPr>
          <w:trHeight w:val="230"/>
        </w:trPr>
        <w:tc>
          <w:tcPr>
            <w:tcW w:w="1181" w:type="dxa"/>
            <w:tcBorders>
              <w:top w:val="single" w:sz="6" w:space="0" w:color="auto"/>
              <w:left w:val="single" w:sz="6" w:space="0" w:color="auto"/>
              <w:bottom w:val="nil"/>
              <w:right w:val="single" w:sz="6" w:space="0" w:color="auto"/>
            </w:tcBorders>
          </w:tcPr>
          <w:p w14:paraId="578F872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Типы танков</w:t>
            </w:r>
          </w:p>
          <w:p w14:paraId="3840E9E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nil"/>
              <w:right w:val="single" w:sz="6" w:space="0" w:color="auto"/>
            </w:tcBorders>
          </w:tcPr>
          <w:p w14:paraId="2D5999E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w:t>
            </w:r>
          </w:p>
          <w:p w14:paraId="617331F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48" w:type="dxa"/>
            <w:gridSpan w:val="3"/>
            <w:tcBorders>
              <w:top w:val="single" w:sz="6" w:space="0" w:color="auto"/>
              <w:left w:val="single" w:sz="6" w:space="0" w:color="auto"/>
              <w:bottom w:val="single" w:sz="6" w:space="0" w:color="auto"/>
              <w:right w:val="single" w:sz="6" w:space="0" w:color="auto"/>
            </w:tcBorders>
          </w:tcPr>
          <w:p w14:paraId="1B50261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Броня</w:t>
            </w:r>
          </w:p>
          <w:p w14:paraId="6CD2595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101" w:type="dxa"/>
            <w:gridSpan w:val="3"/>
            <w:tcBorders>
              <w:top w:val="single" w:sz="6" w:space="0" w:color="auto"/>
              <w:left w:val="single" w:sz="6" w:space="0" w:color="auto"/>
              <w:bottom w:val="single" w:sz="6" w:space="0" w:color="auto"/>
              <w:right w:val="single" w:sz="6" w:space="0" w:color="auto"/>
            </w:tcBorders>
          </w:tcPr>
          <w:p w14:paraId="5CBAF4D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Вооружение</w:t>
            </w:r>
          </w:p>
          <w:p w14:paraId="0B4EBA0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40" w:type="dxa"/>
            <w:gridSpan w:val="3"/>
            <w:tcBorders>
              <w:top w:val="single" w:sz="6" w:space="0" w:color="auto"/>
              <w:left w:val="single" w:sz="6" w:space="0" w:color="auto"/>
              <w:bottom w:val="single" w:sz="6" w:space="0" w:color="auto"/>
              <w:right w:val="single" w:sz="6" w:space="0" w:color="auto"/>
            </w:tcBorders>
          </w:tcPr>
          <w:p w14:paraId="6643C96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Бронебойность</w:t>
            </w:r>
          </w:p>
          <w:p w14:paraId="51916D7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787835B" w14:textId="77777777">
        <w:trPr>
          <w:trHeight w:val="374"/>
        </w:trPr>
        <w:tc>
          <w:tcPr>
            <w:tcW w:w="1181" w:type="dxa"/>
            <w:tcBorders>
              <w:top w:val="nil"/>
              <w:left w:val="single" w:sz="6" w:space="0" w:color="auto"/>
              <w:bottom w:val="single" w:sz="6" w:space="0" w:color="auto"/>
              <w:right w:val="single" w:sz="6" w:space="0" w:color="auto"/>
            </w:tcBorders>
          </w:tcPr>
          <w:p w14:paraId="498FD0B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D46729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nil"/>
              <w:left w:val="single" w:sz="6" w:space="0" w:color="auto"/>
              <w:bottom w:val="single" w:sz="6" w:space="0" w:color="auto"/>
              <w:right w:val="single" w:sz="6" w:space="0" w:color="auto"/>
            </w:tcBorders>
          </w:tcPr>
          <w:p w14:paraId="02A6E59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7C2D0C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67D07D5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Лобовая</w:t>
            </w:r>
          </w:p>
          <w:p w14:paraId="44649C8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62D532B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Бортовая</w:t>
            </w:r>
          </w:p>
          <w:p w14:paraId="2808851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69E72DB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Крыша</w:t>
            </w:r>
          </w:p>
          <w:p w14:paraId="64D23F5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70D5CA3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Калибр пушек</w:t>
            </w:r>
          </w:p>
          <w:p w14:paraId="54BBB4B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4010996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Кол-во пулеметов</w:t>
            </w:r>
          </w:p>
          <w:p w14:paraId="57D93AB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29" w:type="dxa"/>
            <w:tcBorders>
              <w:top w:val="single" w:sz="6" w:space="0" w:color="auto"/>
              <w:left w:val="single" w:sz="6" w:space="0" w:color="auto"/>
              <w:bottom w:val="single" w:sz="6" w:space="0" w:color="auto"/>
              <w:right w:val="single" w:sz="6" w:space="0" w:color="auto"/>
            </w:tcBorders>
          </w:tcPr>
          <w:p w14:paraId="43AD55F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Начальная ско</w:t>
            </w:r>
            <w:r w:rsidRPr="007224C3">
              <w:rPr>
                <w:rFonts w:ascii="Times New Roman" w:hAnsi="Times New Roman"/>
                <w:color w:val="000000" w:themeColor="text1"/>
                <w:sz w:val="16"/>
                <w:szCs w:val="16"/>
              </w:rPr>
              <w:softHyphen/>
              <w:t>рость снаряда</w:t>
            </w:r>
          </w:p>
          <w:p w14:paraId="6BC7D16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Borders>
              <w:top w:val="single" w:sz="6" w:space="0" w:color="auto"/>
              <w:left w:val="single" w:sz="6" w:space="0" w:color="auto"/>
              <w:bottom w:val="single" w:sz="6" w:space="0" w:color="auto"/>
              <w:right w:val="single" w:sz="6" w:space="0" w:color="auto"/>
            </w:tcBorders>
          </w:tcPr>
          <w:p w14:paraId="6BB8383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100 м</w:t>
            </w:r>
          </w:p>
          <w:p w14:paraId="1552CA2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Borders>
              <w:top w:val="single" w:sz="6" w:space="0" w:color="auto"/>
              <w:left w:val="single" w:sz="6" w:space="0" w:color="auto"/>
              <w:bottom w:val="single" w:sz="6" w:space="0" w:color="auto"/>
              <w:right w:val="single" w:sz="6" w:space="0" w:color="auto"/>
            </w:tcBorders>
          </w:tcPr>
          <w:p w14:paraId="2421874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1000м</w:t>
            </w:r>
          </w:p>
          <w:p w14:paraId="3550154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5C4CEDC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2000м</w:t>
            </w:r>
          </w:p>
          <w:p w14:paraId="0E4AD2D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3994754" w14:textId="77777777">
        <w:trPr>
          <w:trHeight w:val="230"/>
        </w:trPr>
        <w:tc>
          <w:tcPr>
            <w:tcW w:w="1181" w:type="dxa"/>
            <w:tcBorders>
              <w:top w:val="single" w:sz="6" w:space="0" w:color="auto"/>
              <w:left w:val="single" w:sz="6" w:space="0" w:color="auto"/>
              <w:bottom w:val="single" w:sz="6" w:space="0" w:color="auto"/>
              <w:right w:val="single" w:sz="6" w:space="0" w:color="auto"/>
            </w:tcBorders>
          </w:tcPr>
          <w:p w14:paraId="54C7208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Средний Т-3</w:t>
            </w:r>
          </w:p>
          <w:p w14:paraId="7638FA5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02E9E1F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22т</w:t>
            </w:r>
          </w:p>
          <w:p w14:paraId="618F418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4FD1049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w:t>
            </w:r>
          </w:p>
          <w:p w14:paraId="20A95EE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1CAACC8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32</w:t>
            </w:r>
          </w:p>
          <w:p w14:paraId="5F749C7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17A2BFF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w:t>
            </w:r>
          </w:p>
          <w:p w14:paraId="59AB5EE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1E651E5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75 ММ</w:t>
            </w:r>
          </w:p>
          <w:p w14:paraId="28498F3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2908709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p w14:paraId="43D37C5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29" w:type="dxa"/>
            <w:tcBorders>
              <w:top w:val="single" w:sz="6" w:space="0" w:color="auto"/>
              <w:left w:val="single" w:sz="6" w:space="0" w:color="auto"/>
              <w:bottom w:val="single" w:sz="6" w:space="0" w:color="auto"/>
              <w:right w:val="single" w:sz="6" w:space="0" w:color="auto"/>
            </w:tcBorders>
          </w:tcPr>
          <w:p w14:paraId="2355CD4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385 м/с</w:t>
            </w:r>
          </w:p>
          <w:p w14:paraId="2DB0F50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Borders>
              <w:top w:val="single" w:sz="6" w:space="0" w:color="auto"/>
              <w:left w:val="single" w:sz="6" w:space="0" w:color="auto"/>
              <w:bottom w:val="single" w:sz="6" w:space="0" w:color="auto"/>
              <w:right w:val="single" w:sz="6" w:space="0" w:color="auto"/>
            </w:tcBorders>
          </w:tcPr>
          <w:p w14:paraId="78B6193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38</w:t>
            </w:r>
          </w:p>
          <w:p w14:paraId="7CF31C5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Borders>
              <w:top w:val="single" w:sz="6" w:space="0" w:color="auto"/>
              <w:left w:val="single" w:sz="6" w:space="0" w:color="auto"/>
              <w:bottom w:val="single" w:sz="6" w:space="0" w:color="auto"/>
              <w:right w:val="single" w:sz="6" w:space="0" w:color="auto"/>
            </w:tcBorders>
          </w:tcPr>
          <w:p w14:paraId="1594088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w:t>
            </w:r>
          </w:p>
          <w:p w14:paraId="6B172C4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730AA3D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7A3B64D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2632AAF" w14:textId="77777777">
        <w:trPr>
          <w:trHeight w:val="230"/>
        </w:trPr>
        <w:tc>
          <w:tcPr>
            <w:tcW w:w="1181" w:type="dxa"/>
            <w:tcBorders>
              <w:top w:val="single" w:sz="6" w:space="0" w:color="auto"/>
              <w:left w:val="single" w:sz="6" w:space="0" w:color="auto"/>
              <w:bottom w:val="single" w:sz="6" w:space="0" w:color="auto"/>
              <w:right w:val="single" w:sz="6" w:space="0" w:color="auto"/>
            </w:tcBorders>
          </w:tcPr>
          <w:p w14:paraId="3A5241A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Средний Т-3</w:t>
            </w:r>
          </w:p>
          <w:p w14:paraId="00AD58D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1537152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22т</w:t>
            </w:r>
          </w:p>
          <w:p w14:paraId="7D32CD6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20FF177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w:t>
            </w:r>
          </w:p>
          <w:p w14:paraId="7534ECA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0A679F2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32</w:t>
            </w:r>
          </w:p>
          <w:p w14:paraId="4450948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625EA2D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w:t>
            </w:r>
          </w:p>
          <w:p w14:paraId="639AA50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3EB9752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 ММ</w:t>
            </w:r>
          </w:p>
          <w:p w14:paraId="6BD025D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2B47BC2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p w14:paraId="7A0A46D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29" w:type="dxa"/>
            <w:tcBorders>
              <w:top w:val="single" w:sz="6" w:space="0" w:color="auto"/>
              <w:left w:val="single" w:sz="6" w:space="0" w:color="auto"/>
              <w:bottom w:val="single" w:sz="6" w:space="0" w:color="auto"/>
              <w:right w:val="single" w:sz="6" w:space="0" w:color="auto"/>
            </w:tcBorders>
          </w:tcPr>
          <w:p w14:paraId="774C66B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835 м/с</w:t>
            </w:r>
          </w:p>
          <w:p w14:paraId="490C845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Borders>
              <w:top w:val="single" w:sz="6" w:space="0" w:color="auto"/>
              <w:left w:val="single" w:sz="6" w:space="0" w:color="auto"/>
              <w:bottom w:val="single" w:sz="6" w:space="0" w:color="auto"/>
              <w:right w:val="single" w:sz="6" w:space="0" w:color="auto"/>
            </w:tcBorders>
          </w:tcPr>
          <w:p w14:paraId="003D068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80</w:t>
            </w:r>
          </w:p>
          <w:p w14:paraId="4030EAA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Borders>
              <w:top w:val="single" w:sz="6" w:space="0" w:color="auto"/>
              <w:left w:val="single" w:sz="6" w:space="0" w:color="auto"/>
              <w:bottom w:val="single" w:sz="6" w:space="0" w:color="auto"/>
              <w:right w:val="single" w:sz="6" w:space="0" w:color="auto"/>
            </w:tcBorders>
          </w:tcPr>
          <w:p w14:paraId="2FA6A83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279019E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5E3E772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1D6EE56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8ED684C" w14:textId="77777777">
        <w:trPr>
          <w:trHeight w:val="221"/>
        </w:trPr>
        <w:tc>
          <w:tcPr>
            <w:tcW w:w="1181" w:type="dxa"/>
            <w:tcBorders>
              <w:top w:val="single" w:sz="6" w:space="0" w:color="auto"/>
              <w:left w:val="single" w:sz="6" w:space="0" w:color="auto"/>
              <w:bottom w:val="single" w:sz="6" w:space="0" w:color="auto"/>
              <w:right w:val="single" w:sz="6" w:space="0" w:color="auto"/>
            </w:tcBorders>
          </w:tcPr>
          <w:p w14:paraId="716950F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Средний Т-4</w:t>
            </w:r>
          </w:p>
          <w:p w14:paraId="7054FCC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077377A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26т</w:t>
            </w:r>
          </w:p>
          <w:p w14:paraId="73C11AA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5228573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w:t>
            </w:r>
          </w:p>
          <w:p w14:paraId="70A72EE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58BF1DC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w:t>
            </w:r>
          </w:p>
          <w:p w14:paraId="36E6F8D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55E5593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w:t>
            </w:r>
          </w:p>
          <w:p w14:paraId="5A9CC8F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4BD726E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75 мм</w:t>
            </w:r>
          </w:p>
          <w:p w14:paraId="17FBCD4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31FEC51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p w14:paraId="15DC6C0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29" w:type="dxa"/>
            <w:tcBorders>
              <w:top w:val="single" w:sz="6" w:space="0" w:color="auto"/>
              <w:left w:val="single" w:sz="6" w:space="0" w:color="auto"/>
              <w:bottom w:val="single" w:sz="6" w:space="0" w:color="auto"/>
              <w:right w:val="single" w:sz="6" w:space="0" w:color="auto"/>
            </w:tcBorders>
          </w:tcPr>
          <w:p w14:paraId="4428625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770 м/с</w:t>
            </w:r>
          </w:p>
          <w:p w14:paraId="5C5186B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Borders>
              <w:top w:val="single" w:sz="6" w:space="0" w:color="auto"/>
              <w:left w:val="single" w:sz="6" w:space="0" w:color="auto"/>
              <w:bottom w:val="single" w:sz="6" w:space="0" w:color="auto"/>
              <w:right w:val="single" w:sz="6" w:space="0" w:color="auto"/>
            </w:tcBorders>
          </w:tcPr>
          <w:p w14:paraId="3EAAC00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83</w:t>
            </w:r>
          </w:p>
          <w:p w14:paraId="37967FD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Borders>
              <w:top w:val="single" w:sz="6" w:space="0" w:color="auto"/>
              <w:left w:val="single" w:sz="6" w:space="0" w:color="auto"/>
              <w:bottom w:val="single" w:sz="6" w:space="0" w:color="auto"/>
              <w:right w:val="single" w:sz="6" w:space="0" w:color="auto"/>
            </w:tcBorders>
          </w:tcPr>
          <w:p w14:paraId="23B297F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w:t>
            </w:r>
          </w:p>
          <w:p w14:paraId="157CE88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73F137F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42</w:t>
            </w:r>
          </w:p>
          <w:p w14:paraId="07FBFB8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4E40FFA" w14:textId="77777777">
        <w:trPr>
          <w:trHeight w:val="240"/>
        </w:trPr>
        <w:tc>
          <w:tcPr>
            <w:tcW w:w="1181" w:type="dxa"/>
            <w:tcBorders>
              <w:top w:val="single" w:sz="6" w:space="0" w:color="auto"/>
              <w:left w:val="single" w:sz="6" w:space="0" w:color="auto"/>
              <w:bottom w:val="single" w:sz="6" w:space="0" w:color="auto"/>
              <w:right w:val="single" w:sz="6" w:space="0" w:color="auto"/>
            </w:tcBorders>
          </w:tcPr>
          <w:p w14:paraId="76C707E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Тяжелый Т-5</w:t>
            </w:r>
          </w:p>
          <w:p w14:paraId="4C87BA2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0DFE61A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45т</w:t>
            </w:r>
          </w:p>
          <w:p w14:paraId="72F4656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24E333A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85</w:t>
            </w:r>
          </w:p>
          <w:p w14:paraId="3B4164A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56BF7CD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w:t>
            </w:r>
          </w:p>
          <w:p w14:paraId="0B24141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0223E97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w:t>
            </w:r>
          </w:p>
          <w:p w14:paraId="36BF25C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5E1A51E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75 мм</w:t>
            </w:r>
          </w:p>
          <w:p w14:paraId="32C5551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575D964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p w14:paraId="3C5B6D4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29" w:type="dxa"/>
            <w:tcBorders>
              <w:top w:val="single" w:sz="6" w:space="0" w:color="auto"/>
              <w:left w:val="single" w:sz="6" w:space="0" w:color="auto"/>
              <w:bottom w:val="single" w:sz="6" w:space="0" w:color="auto"/>
              <w:right w:val="single" w:sz="6" w:space="0" w:color="auto"/>
            </w:tcBorders>
          </w:tcPr>
          <w:p w14:paraId="1A7CE35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1000 м/с</w:t>
            </w:r>
          </w:p>
          <w:p w14:paraId="442A353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Borders>
              <w:top w:val="single" w:sz="6" w:space="0" w:color="auto"/>
              <w:left w:val="single" w:sz="6" w:space="0" w:color="auto"/>
              <w:bottom w:val="single" w:sz="6" w:space="0" w:color="auto"/>
              <w:right w:val="single" w:sz="6" w:space="0" w:color="auto"/>
            </w:tcBorders>
          </w:tcPr>
          <w:p w14:paraId="2247F95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120</w:t>
            </w:r>
          </w:p>
          <w:p w14:paraId="3E3626B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Borders>
              <w:top w:val="single" w:sz="6" w:space="0" w:color="auto"/>
              <w:left w:val="single" w:sz="6" w:space="0" w:color="auto"/>
              <w:bottom w:val="single" w:sz="6" w:space="0" w:color="auto"/>
              <w:right w:val="single" w:sz="6" w:space="0" w:color="auto"/>
            </w:tcBorders>
          </w:tcPr>
          <w:p w14:paraId="3E785B0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w:t>
            </w:r>
          </w:p>
          <w:p w14:paraId="2A49E56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6FF1840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88</w:t>
            </w:r>
          </w:p>
          <w:p w14:paraId="1F63709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E6444E9" w14:textId="77777777">
        <w:trPr>
          <w:trHeight w:val="240"/>
        </w:trPr>
        <w:tc>
          <w:tcPr>
            <w:tcW w:w="1181" w:type="dxa"/>
            <w:tcBorders>
              <w:top w:val="single" w:sz="6" w:space="0" w:color="auto"/>
              <w:left w:val="single" w:sz="6" w:space="0" w:color="auto"/>
              <w:bottom w:val="single" w:sz="6" w:space="0" w:color="auto"/>
              <w:right w:val="single" w:sz="6" w:space="0" w:color="auto"/>
            </w:tcBorders>
          </w:tcPr>
          <w:p w14:paraId="7C45B49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Тяжелый Т-6</w:t>
            </w:r>
          </w:p>
          <w:p w14:paraId="192E361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1CDCCD9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56т</w:t>
            </w:r>
          </w:p>
          <w:p w14:paraId="5DC8FD0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029F5B6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w:t>
            </w:r>
          </w:p>
          <w:p w14:paraId="3681FC7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33BF6C1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82</w:t>
            </w:r>
          </w:p>
          <w:p w14:paraId="51A1F5A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4D5934C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w:t>
            </w:r>
          </w:p>
          <w:p w14:paraId="724B53F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4EE227F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88 мм</w:t>
            </w:r>
          </w:p>
          <w:p w14:paraId="55240FC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637D8E4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p w14:paraId="62C8C70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29" w:type="dxa"/>
            <w:tcBorders>
              <w:top w:val="single" w:sz="6" w:space="0" w:color="auto"/>
              <w:left w:val="single" w:sz="6" w:space="0" w:color="auto"/>
              <w:bottom w:val="single" w:sz="6" w:space="0" w:color="auto"/>
              <w:right w:val="single" w:sz="6" w:space="0" w:color="auto"/>
            </w:tcBorders>
          </w:tcPr>
          <w:p w14:paraId="4B8789E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1000м/с</w:t>
            </w:r>
          </w:p>
          <w:p w14:paraId="29C2CF5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Borders>
              <w:top w:val="single" w:sz="6" w:space="0" w:color="auto"/>
              <w:left w:val="single" w:sz="6" w:space="0" w:color="auto"/>
              <w:bottom w:val="single" w:sz="6" w:space="0" w:color="auto"/>
              <w:right w:val="single" w:sz="6" w:space="0" w:color="auto"/>
            </w:tcBorders>
          </w:tcPr>
          <w:p w14:paraId="3198333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137</w:t>
            </w:r>
          </w:p>
          <w:p w14:paraId="36F08D5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Borders>
              <w:top w:val="single" w:sz="6" w:space="0" w:color="auto"/>
              <w:left w:val="single" w:sz="6" w:space="0" w:color="auto"/>
              <w:bottom w:val="single" w:sz="6" w:space="0" w:color="auto"/>
              <w:right w:val="single" w:sz="6" w:space="0" w:color="auto"/>
            </w:tcBorders>
          </w:tcPr>
          <w:p w14:paraId="456AC80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121</w:t>
            </w:r>
          </w:p>
          <w:p w14:paraId="2C8784D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65FFE19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100-110</w:t>
            </w:r>
          </w:p>
          <w:p w14:paraId="247EC55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7B476F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Анализ таблицы показывает, что усиление мощности танкового парка Германской армии в 1943 г. произошло за счет снятия с вооружения танков легкого типа, модернизации средних танков и введения на вооружение танков тяжелого типа.</w:t>
      </w:r>
    </w:p>
    <w:p w14:paraId="4145814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Значительно увеличилась бронебойность танковых пушек, например: 75 мм пушка, установленная на тяжелом танке Т-5, на дистанции 2000 м пробивает броню толщиной 88 мм; 88-мм пушка, установленная на танке Т-6, на дистанции 2000 м пробивает броню тол</w:t>
      </w:r>
      <w:r w:rsidRPr="007224C3">
        <w:rPr>
          <w:rFonts w:ascii="Times New Roman" w:hAnsi="Times New Roman"/>
          <w:color w:val="000000" w:themeColor="text1"/>
          <w:sz w:val="16"/>
          <w:szCs w:val="16"/>
        </w:rPr>
        <w:softHyphen/>
        <w:t>щиной 100-110 мм.</w:t>
      </w:r>
    </w:p>
    <w:p w14:paraId="227E6C6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Примечание: Помимо вышеуказанных типов танков в 1943 г. в ограниченном количестве при</w:t>
      </w:r>
      <w:r w:rsidRPr="007224C3">
        <w:rPr>
          <w:rFonts w:ascii="Times New Roman" w:hAnsi="Times New Roman"/>
          <w:color w:val="000000" w:themeColor="text1"/>
          <w:sz w:val="16"/>
          <w:szCs w:val="16"/>
        </w:rPr>
        <w:softHyphen/>
        <w:t>менялись:</w:t>
      </w:r>
    </w:p>
    <w:p w14:paraId="671231F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огнеметные танки на шасси танка Т-3,</w:t>
      </w:r>
    </w:p>
    <w:p w14:paraId="4013BC8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телетанки Б-4.</w:t>
      </w:r>
    </w:p>
    <w:p w14:paraId="503555A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Соотношение танкового парка Германской армии по типам машин в 1943 году</w:t>
      </w:r>
    </w:p>
    <w:p w14:paraId="2924894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Анализ подбитых и уничтоженных танков за период с 1.07.1943 г. по 1.01.1944 г., согласно донесениям штабов БТ и МБ Ленинградского, Волховского, 1 и 2 Прибалтийских, Белорусского и 3 Украинского фронтов, показывает следующее соотношение:</w:t>
      </w:r>
    </w:p>
    <w:p w14:paraId="79B2D11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 общего числа подбитых и уничтоженных танков:</w:t>
      </w:r>
    </w:p>
    <w:p w14:paraId="5C0D367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p w14:paraId="01EECFC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танки легкого типа составляют танки среднего типа Т-3 и Т-4 танки тяжелого типа Т-5 и Т-6</w:t>
      </w:r>
    </w:p>
    <w:p w14:paraId="41A6557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75% 20%</w:t>
      </w:r>
    </w:p>
    <w:p w14:paraId="2528C0D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Кроме того, по данным ГРУ КА, план выпуска танков в Германии на вторую половину 1943 года по типам машин был намечен:</w:t>
      </w:r>
    </w:p>
    <w:p w14:paraId="277A10E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средних танков Т-3 и Т-4 тяжелых танков</w:t>
      </w:r>
    </w:p>
    <w:p w14:paraId="10E84FB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77% 23%</w:t>
      </w:r>
    </w:p>
    <w:p w14:paraId="3B47878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Сравнивая вышеуказанные данные, можно сделать следующий вывод, что в 1943 г. соотношение танков по типам машин в Германской армии, по-видимому, составляло:</w:t>
      </w:r>
    </w:p>
    <w:p w14:paraId="42275B0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легких танков всех марок средних танков Т-3 и Т-4 тяжелых танков Т-5 и Т-6</w:t>
      </w:r>
    </w:p>
    <w:p w14:paraId="7ADAECB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w:t>
      </w:r>
    </w:p>
    <w:p w14:paraId="3BB8CB0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75% (из них Т-4 - 70%)</w:t>
      </w:r>
    </w:p>
    <w:p w14:paraId="3B529B2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w:t>
      </w:r>
    </w:p>
    <w:p w14:paraId="6B16CA1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сводной инструкции по вооружению Верховного командования сухопутной Германской армии от 1 августа также отмечается, что основным типом танка, состоящим на вооружении танко</w:t>
      </w:r>
      <w:r w:rsidRPr="007224C3">
        <w:rPr>
          <w:rFonts w:ascii="Times New Roman" w:hAnsi="Times New Roman"/>
          <w:color w:val="000000" w:themeColor="text1"/>
          <w:sz w:val="16"/>
          <w:szCs w:val="16"/>
        </w:rPr>
        <w:softHyphen/>
        <w:t>вых дивизий, являются танки Т-4 с длинноствольной пушкой и танки Т-5 «Пантера», производство же танков Т-3 прекращено.</w:t>
      </w:r>
    </w:p>
    <w:p w14:paraId="64537A3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Общее количество танкового парка по сравнению с 1941 годом значительно уменьшилось и к концу 1943 г., предположительно, составляло не более 10000 танков. Уменьшение количества танкового парка произошло за счет огромных потерь, которые не восполняются германской танковой промышленнос</w:t>
      </w:r>
      <w:r w:rsidRPr="007224C3">
        <w:rPr>
          <w:rFonts w:ascii="Times New Roman" w:hAnsi="Times New Roman"/>
          <w:color w:val="000000" w:themeColor="text1"/>
          <w:sz w:val="16"/>
          <w:szCs w:val="16"/>
        </w:rPr>
        <w:softHyphen/>
        <w:t>тью, а также за счет снятия с производства и вооружения танков легкого типа и танков Т-3.</w:t>
      </w:r>
    </w:p>
    <w:p w14:paraId="71839FA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Состояние танковой промышленности Германии</w:t>
      </w:r>
    </w:p>
    <w:p w14:paraId="61910BE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1943 году в танковой промышленности Германии произошли следующие изменения:</w:t>
      </w:r>
    </w:p>
    <w:p w14:paraId="1481AFC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Заводы, ранее производившие танки легкого типа и средние танки Т-3, переведены на произ</w:t>
      </w:r>
      <w:r w:rsidRPr="007224C3">
        <w:rPr>
          <w:rFonts w:ascii="Times New Roman" w:hAnsi="Times New Roman"/>
          <w:color w:val="000000" w:themeColor="text1"/>
          <w:sz w:val="16"/>
          <w:szCs w:val="16"/>
        </w:rPr>
        <w:softHyphen/>
        <w:t>водство самоходных орудий.</w:t>
      </w:r>
    </w:p>
    <w:p w14:paraId="4E4019A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Ряд заводов танковой промышленности стали серийно выпускать тяжелые танки Т-5 и Т-6.</w:t>
      </w:r>
    </w:p>
    <w:p w14:paraId="0C24679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осени 1943 г. германская танковая промышленность имела до 32 танковых и танкосборочных заводов, выпускающих танки Т-4, Т-5 и Т-6, 4 моторостроительных завода.</w:t>
      </w:r>
    </w:p>
    <w:p w14:paraId="6BA702D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 32 танковых заводов производили и собирали средние танки — 14 заводов, тяжелые танки — 12 заводов и 6 заводов производили танки, тип которых еще не установлен.</w:t>
      </w:r>
    </w:p>
    <w:p w14:paraId="0124DD0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Производственная мощность всех заводов, согласно имеющимся данным, составляла 1480-1500 танков в месяц, но фактический месячный выпуск танков достигал не более 60% от установленной месячной производительности и составлял 850-900 танков.</w:t>
      </w:r>
    </w:p>
    <w:p w14:paraId="7E40372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Сокращение месячного выпуска танков происходит вследствие следующих причин:</w:t>
      </w:r>
    </w:p>
    <w:p w14:paraId="009186D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Разрушений, вызванных бомбардировкой авиации союзников основных центров танковой промышленности: городов Берлина, Касселя, Мюнхена, Дюссельдорфа, Ганновера, Брауншвейга, Штейера и др.</w:t>
      </w:r>
    </w:p>
    <w:p w14:paraId="69EE2AF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Затруднениями в производстве, вызванными переходом на выпуск тяжелых танков нового типа.</w:t>
      </w:r>
    </w:p>
    <w:p w14:paraId="70F3F9A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Отсутствие в достаточном количестве специальных материалов (хром, марганец и др.) для изготовления брони и высококачественных сталей.</w:t>
      </w:r>
    </w:p>
    <w:p w14:paraId="5ABEA8B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Отсутствием достаточного количества квалифицированных рабочих.</w:t>
      </w:r>
    </w:p>
    <w:p w14:paraId="5F5B049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Танковая промышленность Германии не восполняла огромные потери, которые несла Германская армия на Советском фронте, вследствие этого большинство танковых дивизий действу</w:t>
      </w:r>
      <w:r w:rsidRPr="007224C3">
        <w:rPr>
          <w:rFonts w:ascii="Times New Roman" w:hAnsi="Times New Roman"/>
          <w:color w:val="000000" w:themeColor="text1"/>
          <w:sz w:val="16"/>
          <w:szCs w:val="16"/>
        </w:rPr>
        <w:softHyphen/>
        <w:t>ющей армии укомплектованы танками на 50-60%.</w:t>
      </w:r>
    </w:p>
    <w:p w14:paraId="41CBF0B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 больших потерях танков, которые не может восполнить танковая промышленность Германии, также свидетельствуют приказы №23 от 7.12.1943 г. и №26 от 14.01.1944 г., подписанные начальником Генерального штаба Германской армии Цейтцлером, отданные им по поручению Гитлера.</w:t>
      </w:r>
    </w:p>
    <w:p w14:paraId="47DE90D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Ориентировочно можно предположить, что месячный выпуск танков германской танковой про</w:t>
      </w:r>
      <w:r w:rsidRPr="007224C3">
        <w:rPr>
          <w:rFonts w:ascii="Times New Roman" w:hAnsi="Times New Roman"/>
          <w:color w:val="000000" w:themeColor="text1"/>
          <w:sz w:val="16"/>
          <w:szCs w:val="16"/>
        </w:rPr>
        <w:softHyphen/>
        <w:t>мышленностью по типам машин в первой половине 1944 г. составит:</w:t>
      </w:r>
    </w:p>
    <w:p w14:paraId="40678BA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средних танков Т-4 — 50% или 450 танков в месяц тяжелых танков Т-5 — 40% или 360 танков в месяц тяжелых танков Т-6 — 10% или 90-100 танков в месяц</w:t>
      </w:r>
    </w:p>
    <w:p w14:paraId="5F666A8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 900-910 танков в месяц</w:t>
      </w:r>
    </w:p>
    <w:p w14:paraId="771282F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Самоходная артиллерия</w:t>
      </w:r>
    </w:p>
    <w:p w14:paraId="1C37B64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Впервые в боях 1943 г. немцы применили большое количество самоходных орудий, используя их как средство поддержки пехоты и как подвижные средства противотанковой обороны.</w:t>
      </w:r>
    </w:p>
    <w:p w14:paraId="20583BE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1943 г. в Германской армии отмечалось свыше 20 типов самоходных орудий. Основная масса орудий калибра 75 мм монтировалась на базе легких танков Т-2Б и чехословацких танков 38-Т (см. таблицу №3).</w:t>
      </w:r>
    </w:p>
    <w:p w14:paraId="73FDCCC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Орудия калибра 88 мм, 105 мм и 150 мм главным образом монтировались на базе средних танков Т-3 и Т-4.</w:t>
      </w:r>
    </w:p>
    <w:p w14:paraId="6AA6B8C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Орудия «Фердинанд» и орудия калибра 128 мм монтировались на специальной базе (перед фронтом СССР отмечались в небольшом количестве).</w:t>
      </w:r>
    </w:p>
    <w:p w14:paraId="190C72B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Таблица №3. Краткая характеристика основных самоходных орудий Германской армии, при</w:t>
      </w:r>
      <w:r w:rsidRPr="007224C3">
        <w:rPr>
          <w:rFonts w:ascii="Times New Roman" w:hAnsi="Times New Roman"/>
          <w:color w:val="000000" w:themeColor="text1"/>
          <w:sz w:val="16"/>
          <w:szCs w:val="16"/>
        </w:rPr>
        <w:softHyphen/>
        <w:t>меняемых в 1943 году.</w:t>
      </w:r>
    </w:p>
    <w:tbl>
      <w:tblPr>
        <w:tblW w:w="0" w:type="auto"/>
        <w:tblInd w:w="40" w:type="dxa"/>
        <w:tblLayout w:type="fixed"/>
        <w:tblCellMar>
          <w:left w:w="40" w:type="dxa"/>
          <w:right w:w="40" w:type="dxa"/>
        </w:tblCellMar>
        <w:tblLook w:val="0000" w:firstRow="0" w:lastRow="0" w:firstColumn="0" w:lastColumn="0" w:noHBand="0" w:noVBand="0"/>
      </w:tblPr>
      <w:tblGrid>
        <w:gridCol w:w="1987"/>
        <w:gridCol w:w="509"/>
        <w:gridCol w:w="998"/>
        <w:gridCol w:w="499"/>
        <w:gridCol w:w="499"/>
        <w:gridCol w:w="509"/>
        <w:gridCol w:w="2410"/>
        <w:gridCol w:w="749"/>
        <w:gridCol w:w="442"/>
        <w:gridCol w:w="518"/>
        <w:gridCol w:w="509"/>
      </w:tblGrid>
      <w:tr w:rsidR="005106D0" w:rsidRPr="007224C3" w14:paraId="3475BFAC" w14:textId="77777777">
        <w:trPr>
          <w:trHeight w:val="221"/>
        </w:trPr>
        <w:tc>
          <w:tcPr>
            <w:tcW w:w="1987" w:type="dxa"/>
            <w:tcBorders>
              <w:top w:val="single" w:sz="6" w:space="0" w:color="auto"/>
              <w:left w:val="single" w:sz="6" w:space="0" w:color="auto"/>
              <w:bottom w:val="nil"/>
              <w:right w:val="single" w:sz="6" w:space="0" w:color="auto"/>
            </w:tcBorders>
          </w:tcPr>
          <w:p w14:paraId="0D99424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Тип самоходных орудий</w:t>
            </w:r>
          </w:p>
          <w:p w14:paraId="4B8F697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nil"/>
              <w:right w:val="single" w:sz="6" w:space="0" w:color="auto"/>
            </w:tcBorders>
          </w:tcPr>
          <w:p w14:paraId="57CCE5D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 тонн</w:t>
            </w:r>
          </w:p>
          <w:p w14:paraId="6A9B835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nil"/>
              <w:right w:val="single" w:sz="6" w:space="0" w:color="auto"/>
            </w:tcBorders>
          </w:tcPr>
          <w:p w14:paraId="6B0A669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Тип базы орудия</w:t>
            </w:r>
          </w:p>
          <w:p w14:paraId="090E7B5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gridSpan w:val="3"/>
            <w:tcBorders>
              <w:top w:val="single" w:sz="6" w:space="0" w:color="auto"/>
              <w:left w:val="single" w:sz="6" w:space="0" w:color="auto"/>
              <w:bottom w:val="single" w:sz="6" w:space="0" w:color="auto"/>
              <w:right w:val="single" w:sz="6" w:space="0" w:color="auto"/>
            </w:tcBorders>
          </w:tcPr>
          <w:p w14:paraId="0B9F3D6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Броня, мм</w:t>
            </w:r>
          </w:p>
          <w:p w14:paraId="770489F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nil"/>
              <w:right w:val="single" w:sz="6" w:space="0" w:color="auto"/>
            </w:tcBorders>
          </w:tcPr>
          <w:p w14:paraId="042D9CE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Вооружение</w:t>
            </w:r>
          </w:p>
          <w:p w14:paraId="64E8169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nil"/>
              <w:right w:val="single" w:sz="6" w:space="0" w:color="auto"/>
            </w:tcBorders>
          </w:tcPr>
          <w:p w14:paraId="36B86BB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w:t>
            </w:r>
            <w:r w:rsidRPr="007224C3">
              <w:rPr>
                <w:rFonts w:ascii="Times New Roman" w:hAnsi="Times New Roman"/>
                <w:color w:val="000000" w:themeColor="text1"/>
                <w:sz w:val="16"/>
                <w:szCs w:val="16"/>
              </w:rPr>
              <w:softHyphen/>
              <w:t>ная скорость, м/с</w:t>
            </w:r>
          </w:p>
          <w:p w14:paraId="5C0812E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69" w:type="dxa"/>
            <w:gridSpan w:val="3"/>
            <w:tcBorders>
              <w:top w:val="single" w:sz="6" w:space="0" w:color="auto"/>
              <w:left w:val="single" w:sz="6" w:space="0" w:color="auto"/>
              <w:bottom w:val="single" w:sz="6" w:space="0" w:color="auto"/>
              <w:right w:val="single" w:sz="6" w:space="0" w:color="auto"/>
            </w:tcBorders>
          </w:tcPr>
          <w:p w14:paraId="3CCB260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Бронебойность, мм</w:t>
            </w:r>
          </w:p>
          <w:p w14:paraId="587FA8A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8B357A5" w14:textId="77777777">
        <w:trPr>
          <w:trHeight w:val="480"/>
        </w:trPr>
        <w:tc>
          <w:tcPr>
            <w:tcW w:w="1987" w:type="dxa"/>
            <w:tcBorders>
              <w:top w:val="nil"/>
              <w:left w:val="single" w:sz="6" w:space="0" w:color="auto"/>
              <w:bottom w:val="single" w:sz="6" w:space="0" w:color="auto"/>
              <w:right w:val="single" w:sz="6" w:space="0" w:color="auto"/>
            </w:tcBorders>
          </w:tcPr>
          <w:p w14:paraId="2446FB6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226A68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nil"/>
              <w:left w:val="single" w:sz="6" w:space="0" w:color="auto"/>
              <w:bottom w:val="single" w:sz="6" w:space="0" w:color="auto"/>
              <w:right w:val="single" w:sz="6" w:space="0" w:color="auto"/>
            </w:tcBorders>
          </w:tcPr>
          <w:p w14:paraId="2FCF97A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9F8EEB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nil"/>
              <w:left w:val="single" w:sz="6" w:space="0" w:color="auto"/>
              <w:bottom w:val="single" w:sz="6" w:space="0" w:color="auto"/>
              <w:right w:val="single" w:sz="6" w:space="0" w:color="auto"/>
            </w:tcBorders>
          </w:tcPr>
          <w:p w14:paraId="6DEB3D5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49D48C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Borders>
              <w:top w:val="single" w:sz="6" w:space="0" w:color="auto"/>
              <w:left w:val="single" w:sz="6" w:space="0" w:color="auto"/>
              <w:bottom w:val="single" w:sz="6" w:space="0" w:color="auto"/>
              <w:right w:val="single" w:sz="6" w:space="0" w:color="auto"/>
            </w:tcBorders>
          </w:tcPr>
          <w:p w14:paraId="50FD3AF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Лобо</w:t>
            </w:r>
            <w:r w:rsidRPr="007224C3">
              <w:rPr>
                <w:rFonts w:ascii="Times New Roman" w:hAnsi="Times New Roman"/>
                <w:color w:val="000000" w:themeColor="text1"/>
                <w:sz w:val="16"/>
                <w:szCs w:val="16"/>
              </w:rPr>
              <w:softHyphen/>
              <w:t>вая</w:t>
            </w:r>
          </w:p>
          <w:p w14:paraId="1DCC767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Borders>
              <w:top w:val="single" w:sz="6" w:space="0" w:color="auto"/>
              <w:left w:val="single" w:sz="6" w:space="0" w:color="auto"/>
              <w:bottom w:val="single" w:sz="6" w:space="0" w:color="auto"/>
              <w:right w:val="single" w:sz="6" w:space="0" w:color="auto"/>
            </w:tcBorders>
          </w:tcPr>
          <w:p w14:paraId="47E89CE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Борто</w:t>
            </w:r>
            <w:r w:rsidRPr="007224C3">
              <w:rPr>
                <w:rFonts w:ascii="Times New Roman" w:hAnsi="Times New Roman"/>
                <w:color w:val="000000" w:themeColor="text1"/>
                <w:sz w:val="16"/>
                <w:szCs w:val="16"/>
              </w:rPr>
              <w:softHyphen/>
              <w:t>вая</w:t>
            </w:r>
          </w:p>
          <w:p w14:paraId="41D8FBB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3C3CE66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Кры</w:t>
            </w:r>
            <w:r w:rsidRPr="007224C3">
              <w:rPr>
                <w:rFonts w:ascii="Times New Roman" w:hAnsi="Times New Roman"/>
                <w:color w:val="000000" w:themeColor="text1"/>
                <w:sz w:val="16"/>
                <w:szCs w:val="16"/>
              </w:rPr>
              <w:softHyphen/>
              <w:t>ша</w:t>
            </w:r>
          </w:p>
          <w:p w14:paraId="0760F31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nil"/>
              <w:left w:val="single" w:sz="6" w:space="0" w:color="auto"/>
              <w:bottom w:val="single" w:sz="6" w:space="0" w:color="auto"/>
              <w:right w:val="single" w:sz="6" w:space="0" w:color="auto"/>
            </w:tcBorders>
          </w:tcPr>
          <w:p w14:paraId="2D5A66C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025238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nil"/>
              <w:left w:val="single" w:sz="6" w:space="0" w:color="auto"/>
              <w:bottom w:val="single" w:sz="6" w:space="0" w:color="auto"/>
              <w:right w:val="single" w:sz="6" w:space="0" w:color="auto"/>
            </w:tcBorders>
          </w:tcPr>
          <w:p w14:paraId="2BD0BFF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61635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6D2CC51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 м</w:t>
            </w:r>
          </w:p>
          <w:p w14:paraId="6991DDF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1BFC6E8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1000 м</w:t>
            </w:r>
          </w:p>
          <w:p w14:paraId="3E29BE5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6277BC0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2000 м</w:t>
            </w:r>
          </w:p>
          <w:p w14:paraId="26759A7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1386A3D" w14:textId="77777777">
        <w:trPr>
          <w:trHeight w:val="230"/>
        </w:trPr>
        <w:tc>
          <w:tcPr>
            <w:tcW w:w="9629" w:type="dxa"/>
            <w:gridSpan w:val="11"/>
            <w:tcBorders>
              <w:top w:val="single" w:sz="6" w:space="0" w:color="auto"/>
              <w:left w:val="single" w:sz="6" w:space="0" w:color="auto"/>
              <w:bottom w:val="single" w:sz="6" w:space="0" w:color="auto"/>
              <w:right w:val="single" w:sz="6" w:space="0" w:color="auto"/>
            </w:tcBorders>
          </w:tcPr>
          <w:p w14:paraId="6335FFF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 Самоходные орудия с открытой башней:</w:t>
            </w:r>
          </w:p>
          <w:p w14:paraId="29A8F12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0327932" w14:textId="77777777">
        <w:trPr>
          <w:trHeight w:val="230"/>
        </w:trPr>
        <w:tc>
          <w:tcPr>
            <w:tcW w:w="1987" w:type="dxa"/>
            <w:tcBorders>
              <w:top w:val="single" w:sz="6" w:space="0" w:color="auto"/>
              <w:left w:val="single" w:sz="6" w:space="0" w:color="auto"/>
              <w:bottom w:val="single" w:sz="6" w:space="0" w:color="auto"/>
              <w:right w:val="single" w:sz="6" w:space="0" w:color="auto"/>
            </w:tcBorders>
          </w:tcPr>
          <w:p w14:paraId="7C5096C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75-мм орудие</w:t>
            </w:r>
          </w:p>
          <w:p w14:paraId="3AB52A5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5326CBC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w:t>
            </w:r>
          </w:p>
          <w:p w14:paraId="1264B8F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3D1962A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Танк 38-Т</w:t>
            </w:r>
          </w:p>
          <w:p w14:paraId="11EA88F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Borders>
              <w:top w:val="single" w:sz="6" w:space="0" w:color="auto"/>
              <w:left w:val="single" w:sz="6" w:space="0" w:color="auto"/>
              <w:bottom w:val="single" w:sz="6" w:space="0" w:color="auto"/>
              <w:right w:val="single" w:sz="6" w:space="0" w:color="auto"/>
            </w:tcBorders>
          </w:tcPr>
          <w:p w14:paraId="6D9565F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w:t>
            </w:r>
          </w:p>
          <w:p w14:paraId="17748BD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Borders>
              <w:top w:val="single" w:sz="6" w:space="0" w:color="auto"/>
              <w:left w:val="single" w:sz="6" w:space="0" w:color="auto"/>
              <w:bottom w:val="single" w:sz="6" w:space="0" w:color="auto"/>
              <w:right w:val="single" w:sz="6" w:space="0" w:color="auto"/>
            </w:tcBorders>
          </w:tcPr>
          <w:p w14:paraId="6D25A76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w:t>
            </w:r>
          </w:p>
          <w:p w14:paraId="5894BEC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5D681C3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w:t>
            </w:r>
          </w:p>
          <w:p w14:paraId="7E0FDCE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419A38C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75-мм ПТО обр. 1940 г.</w:t>
            </w:r>
          </w:p>
          <w:p w14:paraId="547FE57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49928CD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990</w:t>
            </w:r>
          </w:p>
          <w:p w14:paraId="163153E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7D6C387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120</w:t>
            </w:r>
          </w:p>
          <w:p w14:paraId="3BBF9AA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409DD08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82</w:t>
            </w:r>
          </w:p>
          <w:p w14:paraId="0155207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39CC084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w:t>
            </w:r>
          </w:p>
          <w:p w14:paraId="6366F78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3B7CDA9" w14:textId="77777777">
        <w:trPr>
          <w:trHeight w:val="230"/>
        </w:trPr>
        <w:tc>
          <w:tcPr>
            <w:tcW w:w="1987" w:type="dxa"/>
            <w:tcBorders>
              <w:top w:val="single" w:sz="6" w:space="0" w:color="auto"/>
              <w:left w:val="single" w:sz="6" w:space="0" w:color="auto"/>
              <w:bottom w:val="single" w:sz="6" w:space="0" w:color="auto"/>
              <w:right w:val="single" w:sz="6" w:space="0" w:color="auto"/>
            </w:tcBorders>
          </w:tcPr>
          <w:p w14:paraId="2B60186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75-мм орудие</w:t>
            </w:r>
          </w:p>
          <w:p w14:paraId="20950BD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10F36EC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8,8</w:t>
            </w:r>
          </w:p>
          <w:p w14:paraId="65EE7D7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094F697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Танк Т-26</w:t>
            </w:r>
          </w:p>
          <w:p w14:paraId="468EA98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Borders>
              <w:top w:val="single" w:sz="6" w:space="0" w:color="auto"/>
              <w:left w:val="single" w:sz="6" w:space="0" w:color="auto"/>
              <w:bottom w:val="single" w:sz="6" w:space="0" w:color="auto"/>
              <w:right w:val="single" w:sz="6" w:space="0" w:color="auto"/>
            </w:tcBorders>
          </w:tcPr>
          <w:p w14:paraId="6A0AF7C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15</w:t>
            </w:r>
          </w:p>
          <w:p w14:paraId="41CFCB8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Borders>
              <w:top w:val="single" w:sz="6" w:space="0" w:color="auto"/>
              <w:left w:val="single" w:sz="6" w:space="0" w:color="auto"/>
              <w:bottom w:val="single" w:sz="6" w:space="0" w:color="auto"/>
              <w:right w:val="single" w:sz="6" w:space="0" w:color="auto"/>
            </w:tcBorders>
          </w:tcPr>
          <w:p w14:paraId="5BBF01A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15</w:t>
            </w:r>
          </w:p>
          <w:p w14:paraId="49AE81A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46B11A1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10</w:t>
            </w:r>
          </w:p>
          <w:p w14:paraId="1343D60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2C7792C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75-мм ПТОобр. 1940 г.</w:t>
            </w:r>
          </w:p>
          <w:p w14:paraId="0247B9C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14AE27E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990</w:t>
            </w:r>
          </w:p>
          <w:p w14:paraId="783DE6B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79C8FFD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120</w:t>
            </w:r>
          </w:p>
          <w:p w14:paraId="2F0C345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02401DD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82</w:t>
            </w:r>
          </w:p>
          <w:p w14:paraId="70C456E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3745D6E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50</w:t>
            </w:r>
          </w:p>
          <w:p w14:paraId="0D52FCC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89931F1" w14:textId="77777777">
        <w:trPr>
          <w:trHeight w:val="230"/>
        </w:trPr>
        <w:tc>
          <w:tcPr>
            <w:tcW w:w="1987" w:type="dxa"/>
            <w:tcBorders>
              <w:top w:val="single" w:sz="6" w:space="0" w:color="auto"/>
              <w:left w:val="single" w:sz="6" w:space="0" w:color="auto"/>
              <w:bottom w:val="single" w:sz="6" w:space="0" w:color="auto"/>
              <w:right w:val="single" w:sz="6" w:space="0" w:color="auto"/>
            </w:tcBorders>
          </w:tcPr>
          <w:p w14:paraId="7D5999C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76-мм орудие</w:t>
            </w:r>
          </w:p>
          <w:p w14:paraId="716DF2E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220DB42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w:t>
            </w:r>
          </w:p>
          <w:p w14:paraId="02C4593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419E624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Огн. танк</w:t>
            </w:r>
          </w:p>
          <w:p w14:paraId="742DF1F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Borders>
              <w:top w:val="single" w:sz="6" w:space="0" w:color="auto"/>
              <w:left w:val="single" w:sz="6" w:space="0" w:color="auto"/>
              <w:bottom w:val="single" w:sz="6" w:space="0" w:color="auto"/>
              <w:right w:val="single" w:sz="6" w:space="0" w:color="auto"/>
            </w:tcBorders>
          </w:tcPr>
          <w:p w14:paraId="21A8D1A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w:t>
            </w:r>
          </w:p>
          <w:p w14:paraId="648082D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Borders>
              <w:top w:val="single" w:sz="6" w:space="0" w:color="auto"/>
              <w:left w:val="single" w:sz="6" w:space="0" w:color="auto"/>
              <w:bottom w:val="single" w:sz="6" w:space="0" w:color="auto"/>
              <w:right w:val="single" w:sz="6" w:space="0" w:color="auto"/>
            </w:tcBorders>
          </w:tcPr>
          <w:p w14:paraId="31280CE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w:t>
            </w:r>
          </w:p>
          <w:p w14:paraId="6884E15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4CC5F9D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w:t>
            </w:r>
          </w:p>
          <w:p w14:paraId="620E4CC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59A527F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76-мм пушка обр. 1936 г.</w:t>
            </w:r>
          </w:p>
          <w:p w14:paraId="2FFA2FB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2C05D0F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990</w:t>
            </w:r>
          </w:p>
          <w:p w14:paraId="762F01E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0469CBA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120</w:t>
            </w:r>
          </w:p>
          <w:p w14:paraId="69B65E2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144780A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82</w:t>
            </w:r>
          </w:p>
          <w:p w14:paraId="1620134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6790B85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w:t>
            </w:r>
          </w:p>
          <w:p w14:paraId="35FC3C1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B046B0F" w14:textId="77777777">
        <w:trPr>
          <w:trHeight w:val="230"/>
        </w:trPr>
        <w:tc>
          <w:tcPr>
            <w:tcW w:w="1987" w:type="dxa"/>
            <w:tcBorders>
              <w:top w:val="single" w:sz="6" w:space="0" w:color="auto"/>
              <w:left w:val="single" w:sz="6" w:space="0" w:color="auto"/>
              <w:bottom w:val="single" w:sz="6" w:space="0" w:color="auto"/>
              <w:right w:val="single" w:sz="6" w:space="0" w:color="auto"/>
            </w:tcBorders>
          </w:tcPr>
          <w:p w14:paraId="181DB54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76-мм орудие</w:t>
            </w:r>
          </w:p>
          <w:p w14:paraId="46BF5C2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363E057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w:t>
            </w:r>
          </w:p>
          <w:p w14:paraId="0464E89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2E3BEFC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Танк 38-Т</w:t>
            </w:r>
          </w:p>
          <w:p w14:paraId="4C6B6A7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Borders>
              <w:top w:val="single" w:sz="6" w:space="0" w:color="auto"/>
              <w:left w:val="single" w:sz="6" w:space="0" w:color="auto"/>
              <w:bottom w:val="single" w:sz="6" w:space="0" w:color="auto"/>
              <w:right w:val="single" w:sz="6" w:space="0" w:color="auto"/>
            </w:tcBorders>
          </w:tcPr>
          <w:p w14:paraId="4FE0D6C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w:t>
            </w:r>
          </w:p>
          <w:p w14:paraId="7F9DB32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Borders>
              <w:top w:val="single" w:sz="6" w:space="0" w:color="auto"/>
              <w:left w:val="single" w:sz="6" w:space="0" w:color="auto"/>
              <w:bottom w:val="single" w:sz="6" w:space="0" w:color="auto"/>
              <w:right w:val="single" w:sz="6" w:space="0" w:color="auto"/>
            </w:tcBorders>
          </w:tcPr>
          <w:p w14:paraId="5FEE542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w:t>
            </w:r>
          </w:p>
          <w:p w14:paraId="551F418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2B22687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w:t>
            </w:r>
          </w:p>
          <w:p w14:paraId="620F219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798918D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76-мм пушка обр. 1936 г.</w:t>
            </w:r>
          </w:p>
          <w:p w14:paraId="1B8BC32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5BCAAC8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990</w:t>
            </w:r>
          </w:p>
          <w:p w14:paraId="0949661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5FDEA99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120</w:t>
            </w:r>
          </w:p>
          <w:p w14:paraId="7C1DF8B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24DCBC3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82</w:t>
            </w:r>
          </w:p>
          <w:p w14:paraId="432E259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5C64B28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w:t>
            </w:r>
          </w:p>
          <w:p w14:paraId="1E21A00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AEA25CB" w14:textId="77777777">
        <w:trPr>
          <w:trHeight w:val="230"/>
        </w:trPr>
        <w:tc>
          <w:tcPr>
            <w:tcW w:w="1987" w:type="dxa"/>
            <w:tcBorders>
              <w:top w:val="single" w:sz="6" w:space="0" w:color="auto"/>
              <w:left w:val="single" w:sz="6" w:space="0" w:color="auto"/>
              <w:bottom w:val="single" w:sz="6" w:space="0" w:color="auto"/>
              <w:right w:val="single" w:sz="6" w:space="0" w:color="auto"/>
            </w:tcBorders>
          </w:tcPr>
          <w:p w14:paraId="438BDB5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88-мм орудие (Горниссе)</w:t>
            </w:r>
          </w:p>
          <w:p w14:paraId="676B727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2013772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26,5</w:t>
            </w:r>
          </w:p>
          <w:p w14:paraId="25CFF6C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363B0CA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Танк Т-4</w:t>
            </w:r>
          </w:p>
          <w:p w14:paraId="126247A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Borders>
              <w:top w:val="single" w:sz="6" w:space="0" w:color="auto"/>
              <w:left w:val="single" w:sz="6" w:space="0" w:color="auto"/>
              <w:bottom w:val="single" w:sz="6" w:space="0" w:color="auto"/>
              <w:right w:val="single" w:sz="6" w:space="0" w:color="auto"/>
            </w:tcBorders>
          </w:tcPr>
          <w:p w14:paraId="5F62ABD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w:t>
            </w:r>
          </w:p>
          <w:p w14:paraId="6767A52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Borders>
              <w:top w:val="single" w:sz="6" w:space="0" w:color="auto"/>
              <w:left w:val="single" w:sz="6" w:space="0" w:color="auto"/>
              <w:bottom w:val="single" w:sz="6" w:space="0" w:color="auto"/>
              <w:right w:val="single" w:sz="6" w:space="0" w:color="auto"/>
            </w:tcBorders>
          </w:tcPr>
          <w:p w14:paraId="0E37DD0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w:t>
            </w:r>
          </w:p>
          <w:p w14:paraId="1026314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243E2AD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w:t>
            </w:r>
          </w:p>
          <w:p w14:paraId="7FFD779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39E158E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88-мм ПТОобр. 1943 г.</w:t>
            </w:r>
          </w:p>
          <w:p w14:paraId="151D9F8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2C7D6AD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1000</w:t>
            </w:r>
          </w:p>
          <w:p w14:paraId="627966F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666F106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137</w:t>
            </w:r>
          </w:p>
          <w:p w14:paraId="4DD52BF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06056A5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121</w:t>
            </w:r>
          </w:p>
          <w:p w14:paraId="18CC845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78FE9C9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104</w:t>
            </w:r>
          </w:p>
          <w:p w14:paraId="5AC9CDD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74526D2" w14:textId="77777777">
        <w:trPr>
          <w:trHeight w:val="230"/>
        </w:trPr>
        <w:tc>
          <w:tcPr>
            <w:tcW w:w="1987" w:type="dxa"/>
            <w:tcBorders>
              <w:top w:val="single" w:sz="6" w:space="0" w:color="auto"/>
              <w:left w:val="single" w:sz="6" w:space="0" w:color="auto"/>
              <w:bottom w:val="single" w:sz="6" w:space="0" w:color="auto"/>
              <w:right w:val="single" w:sz="6" w:space="0" w:color="auto"/>
            </w:tcBorders>
          </w:tcPr>
          <w:p w14:paraId="53B8A62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128-мм орудие</w:t>
            </w:r>
          </w:p>
          <w:p w14:paraId="6DCBE67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4256109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35</w:t>
            </w:r>
          </w:p>
          <w:p w14:paraId="7AC7604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4DC53B1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Спец. база</w:t>
            </w:r>
          </w:p>
          <w:p w14:paraId="2278BD4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Borders>
              <w:top w:val="single" w:sz="6" w:space="0" w:color="auto"/>
              <w:left w:val="single" w:sz="6" w:space="0" w:color="auto"/>
              <w:bottom w:val="single" w:sz="6" w:space="0" w:color="auto"/>
              <w:right w:val="single" w:sz="6" w:space="0" w:color="auto"/>
            </w:tcBorders>
          </w:tcPr>
          <w:p w14:paraId="0D02BB3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w:t>
            </w:r>
          </w:p>
          <w:p w14:paraId="3CD5061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Borders>
              <w:top w:val="single" w:sz="6" w:space="0" w:color="auto"/>
              <w:left w:val="single" w:sz="6" w:space="0" w:color="auto"/>
              <w:bottom w:val="single" w:sz="6" w:space="0" w:color="auto"/>
              <w:right w:val="single" w:sz="6" w:space="0" w:color="auto"/>
            </w:tcBorders>
          </w:tcPr>
          <w:p w14:paraId="5356B94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w:t>
            </w:r>
          </w:p>
          <w:p w14:paraId="410DCED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49C54BA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w:t>
            </w:r>
          </w:p>
          <w:p w14:paraId="30F4F47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4052E05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128-мм пушка обр. 1940 г.</w:t>
            </w:r>
          </w:p>
          <w:p w14:paraId="4675D13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30E7C96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750</w:t>
            </w:r>
          </w:p>
          <w:p w14:paraId="4726448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221F5C7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282AF2E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12B5988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5BA9629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0C38E64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7DE6B89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14BAAE5" w14:textId="77777777">
        <w:trPr>
          <w:trHeight w:val="221"/>
        </w:trPr>
        <w:tc>
          <w:tcPr>
            <w:tcW w:w="9629" w:type="dxa"/>
            <w:gridSpan w:val="11"/>
            <w:tcBorders>
              <w:top w:val="single" w:sz="6" w:space="0" w:color="auto"/>
              <w:left w:val="single" w:sz="6" w:space="0" w:color="auto"/>
              <w:bottom w:val="single" w:sz="6" w:space="0" w:color="auto"/>
              <w:right w:val="single" w:sz="6" w:space="0" w:color="auto"/>
            </w:tcBorders>
          </w:tcPr>
          <w:p w14:paraId="52EEFA5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Штурмовые самоходные орудия:</w:t>
            </w:r>
          </w:p>
          <w:p w14:paraId="3507A4D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8525924" w14:textId="77777777">
        <w:trPr>
          <w:trHeight w:val="432"/>
        </w:trPr>
        <w:tc>
          <w:tcPr>
            <w:tcW w:w="1987" w:type="dxa"/>
            <w:tcBorders>
              <w:top w:val="single" w:sz="6" w:space="0" w:color="auto"/>
              <w:left w:val="single" w:sz="6" w:space="0" w:color="auto"/>
              <w:bottom w:val="single" w:sz="6" w:space="0" w:color="auto"/>
              <w:right w:val="single" w:sz="6" w:space="0" w:color="auto"/>
            </w:tcBorders>
          </w:tcPr>
          <w:p w14:paraId="4EE7BE0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75-мм орудие</w:t>
            </w:r>
          </w:p>
          <w:p w14:paraId="2B72CEA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6E6F422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w:t>
            </w:r>
          </w:p>
          <w:p w14:paraId="3D4A79D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6D30D74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Танк Т-3</w:t>
            </w:r>
          </w:p>
          <w:p w14:paraId="05C015D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Borders>
              <w:top w:val="single" w:sz="6" w:space="0" w:color="auto"/>
              <w:left w:val="single" w:sz="6" w:space="0" w:color="auto"/>
              <w:bottom w:val="single" w:sz="6" w:space="0" w:color="auto"/>
              <w:right w:val="single" w:sz="6" w:space="0" w:color="auto"/>
            </w:tcBorders>
          </w:tcPr>
          <w:p w14:paraId="3512989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w:t>
            </w:r>
          </w:p>
          <w:p w14:paraId="2573ED1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Borders>
              <w:top w:val="single" w:sz="6" w:space="0" w:color="auto"/>
              <w:left w:val="single" w:sz="6" w:space="0" w:color="auto"/>
              <w:bottom w:val="single" w:sz="6" w:space="0" w:color="auto"/>
              <w:right w:val="single" w:sz="6" w:space="0" w:color="auto"/>
            </w:tcBorders>
          </w:tcPr>
          <w:p w14:paraId="6B5C1D5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w:t>
            </w:r>
          </w:p>
          <w:p w14:paraId="47DF82F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64AFA26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w:t>
            </w:r>
          </w:p>
          <w:p w14:paraId="40F557F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1F3CEB8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75-мм танковая пушка обр. 1940 г.</w:t>
            </w:r>
          </w:p>
          <w:p w14:paraId="7F23C45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1A2F85C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770</w:t>
            </w:r>
          </w:p>
          <w:p w14:paraId="2C2C3D9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3842E3C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83</w:t>
            </w:r>
          </w:p>
          <w:p w14:paraId="792A208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602F2BA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w:t>
            </w:r>
          </w:p>
          <w:p w14:paraId="0CAA26C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769F090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4E29E56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1BCB76F" w14:textId="77777777">
        <w:trPr>
          <w:trHeight w:val="230"/>
        </w:trPr>
        <w:tc>
          <w:tcPr>
            <w:tcW w:w="1987" w:type="dxa"/>
            <w:tcBorders>
              <w:top w:val="single" w:sz="6" w:space="0" w:color="auto"/>
              <w:left w:val="single" w:sz="6" w:space="0" w:color="auto"/>
              <w:bottom w:val="single" w:sz="6" w:space="0" w:color="auto"/>
              <w:right w:val="single" w:sz="6" w:space="0" w:color="auto"/>
            </w:tcBorders>
          </w:tcPr>
          <w:p w14:paraId="4A3280C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105-мм гауб. (Веспе)</w:t>
            </w:r>
          </w:p>
          <w:p w14:paraId="0E84710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09F0B54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w:t>
            </w:r>
          </w:p>
          <w:p w14:paraId="7266D37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6DCC177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Танк Т-3</w:t>
            </w:r>
          </w:p>
          <w:p w14:paraId="49ACD46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Borders>
              <w:top w:val="single" w:sz="6" w:space="0" w:color="auto"/>
              <w:left w:val="single" w:sz="6" w:space="0" w:color="auto"/>
              <w:bottom w:val="single" w:sz="6" w:space="0" w:color="auto"/>
              <w:right w:val="single" w:sz="6" w:space="0" w:color="auto"/>
            </w:tcBorders>
          </w:tcPr>
          <w:p w14:paraId="065E02E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80</w:t>
            </w:r>
          </w:p>
          <w:p w14:paraId="5FA1752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Borders>
              <w:top w:val="single" w:sz="6" w:space="0" w:color="auto"/>
              <w:left w:val="single" w:sz="6" w:space="0" w:color="auto"/>
              <w:bottom w:val="single" w:sz="6" w:space="0" w:color="auto"/>
              <w:right w:val="single" w:sz="6" w:space="0" w:color="auto"/>
            </w:tcBorders>
          </w:tcPr>
          <w:p w14:paraId="501896A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w:t>
            </w:r>
          </w:p>
          <w:p w14:paraId="5A58B96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18CD360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w:t>
            </w:r>
          </w:p>
          <w:p w14:paraId="139E785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417AAA1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105-мм гаубица</w:t>
            </w:r>
          </w:p>
          <w:p w14:paraId="19DC3F6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3179F0D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475</w:t>
            </w:r>
          </w:p>
          <w:p w14:paraId="2E1A5E4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44A067C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58BABCF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0EEF86D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1614309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1F998FF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6135A30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C377BE4" w14:textId="77777777">
        <w:trPr>
          <w:trHeight w:val="432"/>
        </w:trPr>
        <w:tc>
          <w:tcPr>
            <w:tcW w:w="1987" w:type="dxa"/>
            <w:tcBorders>
              <w:top w:val="single" w:sz="6" w:space="0" w:color="auto"/>
              <w:left w:val="single" w:sz="6" w:space="0" w:color="auto"/>
              <w:bottom w:val="single" w:sz="6" w:space="0" w:color="auto"/>
              <w:right w:val="single" w:sz="6" w:space="0" w:color="auto"/>
            </w:tcBorders>
          </w:tcPr>
          <w:p w14:paraId="1FD6006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105-мм орудие</w:t>
            </w:r>
          </w:p>
          <w:p w14:paraId="6FD9680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02787F6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w:t>
            </w:r>
          </w:p>
          <w:p w14:paraId="63BC685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4DFC786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Танк Т-3</w:t>
            </w:r>
          </w:p>
          <w:p w14:paraId="69A2DB6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Borders>
              <w:top w:val="single" w:sz="6" w:space="0" w:color="auto"/>
              <w:left w:val="single" w:sz="6" w:space="0" w:color="auto"/>
              <w:bottom w:val="single" w:sz="6" w:space="0" w:color="auto"/>
              <w:right w:val="single" w:sz="6" w:space="0" w:color="auto"/>
            </w:tcBorders>
          </w:tcPr>
          <w:p w14:paraId="27C716A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w:t>
            </w:r>
          </w:p>
          <w:p w14:paraId="1BBC7BD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Borders>
              <w:top w:val="single" w:sz="6" w:space="0" w:color="auto"/>
              <w:left w:val="single" w:sz="6" w:space="0" w:color="auto"/>
              <w:bottom w:val="single" w:sz="6" w:space="0" w:color="auto"/>
              <w:right w:val="single" w:sz="6" w:space="0" w:color="auto"/>
            </w:tcBorders>
          </w:tcPr>
          <w:p w14:paraId="28E73D3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w:t>
            </w:r>
          </w:p>
          <w:p w14:paraId="4A2478F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7440891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w:t>
            </w:r>
          </w:p>
          <w:p w14:paraId="6AD84BD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06E337B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105-мм пехотное оруд. обр. 1933 г.</w:t>
            </w:r>
          </w:p>
          <w:p w14:paraId="55DD975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3103A3F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240</w:t>
            </w:r>
          </w:p>
          <w:p w14:paraId="73B73AB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57553AF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7BC46C3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3979AE8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0C28BAB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11900A9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5DF35CA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3D76CBA" w14:textId="77777777">
        <w:trPr>
          <w:trHeight w:val="432"/>
        </w:trPr>
        <w:tc>
          <w:tcPr>
            <w:tcW w:w="1987" w:type="dxa"/>
            <w:tcBorders>
              <w:top w:val="single" w:sz="6" w:space="0" w:color="auto"/>
              <w:left w:val="single" w:sz="6" w:space="0" w:color="auto"/>
              <w:bottom w:val="single" w:sz="6" w:space="0" w:color="auto"/>
              <w:right w:val="single" w:sz="6" w:space="0" w:color="auto"/>
            </w:tcBorders>
          </w:tcPr>
          <w:p w14:paraId="5798BD4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105-мм орудие (Хуммель)</w:t>
            </w:r>
          </w:p>
          <w:p w14:paraId="19A1683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6028CF2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w:t>
            </w:r>
          </w:p>
          <w:p w14:paraId="189F6FE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3794798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Танк Т-4</w:t>
            </w:r>
          </w:p>
          <w:p w14:paraId="5607525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Borders>
              <w:top w:val="single" w:sz="6" w:space="0" w:color="auto"/>
              <w:left w:val="single" w:sz="6" w:space="0" w:color="auto"/>
              <w:bottom w:val="single" w:sz="6" w:space="0" w:color="auto"/>
              <w:right w:val="single" w:sz="6" w:space="0" w:color="auto"/>
            </w:tcBorders>
          </w:tcPr>
          <w:p w14:paraId="71EE97B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w:t>
            </w:r>
          </w:p>
          <w:p w14:paraId="693F259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Borders>
              <w:top w:val="single" w:sz="6" w:space="0" w:color="auto"/>
              <w:left w:val="single" w:sz="6" w:space="0" w:color="auto"/>
              <w:bottom w:val="single" w:sz="6" w:space="0" w:color="auto"/>
              <w:right w:val="single" w:sz="6" w:space="0" w:color="auto"/>
            </w:tcBorders>
          </w:tcPr>
          <w:p w14:paraId="3691F11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w:t>
            </w:r>
          </w:p>
          <w:p w14:paraId="17DAD40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4104CDC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w:t>
            </w:r>
          </w:p>
          <w:p w14:paraId="705674A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3FC6EB9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105-мм пехотное оруд. обр. 1933 г.</w:t>
            </w:r>
          </w:p>
          <w:p w14:paraId="4D48B22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78E6979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240</w:t>
            </w:r>
          </w:p>
          <w:p w14:paraId="41537D5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3AFD211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1BEB541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2E04A21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02CAE94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3D6426F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46382B0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BAD286D" w14:textId="77777777">
        <w:trPr>
          <w:trHeight w:val="451"/>
        </w:trPr>
        <w:tc>
          <w:tcPr>
            <w:tcW w:w="1987" w:type="dxa"/>
            <w:tcBorders>
              <w:top w:val="single" w:sz="6" w:space="0" w:color="auto"/>
              <w:left w:val="single" w:sz="6" w:space="0" w:color="auto"/>
              <w:bottom w:val="single" w:sz="6" w:space="0" w:color="auto"/>
              <w:right w:val="single" w:sz="6" w:space="0" w:color="auto"/>
            </w:tcBorders>
          </w:tcPr>
          <w:p w14:paraId="2A731CD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88-мм орудие (Фердинанд)</w:t>
            </w:r>
          </w:p>
          <w:p w14:paraId="1D258AD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444D33A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67</w:t>
            </w:r>
          </w:p>
          <w:p w14:paraId="60C4433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6452BCB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Спец.база</w:t>
            </w:r>
          </w:p>
          <w:p w14:paraId="551E935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Borders>
              <w:top w:val="single" w:sz="6" w:space="0" w:color="auto"/>
              <w:left w:val="single" w:sz="6" w:space="0" w:color="auto"/>
              <w:bottom w:val="single" w:sz="6" w:space="0" w:color="auto"/>
              <w:right w:val="single" w:sz="6" w:space="0" w:color="auto"/>
            </w:tcBorders>
          </w:tcPr>
          <w:p w14:paraId="110863A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200</w:t>
            </w:r>
          </w:p>
          <w:p w14:paraId="09E3C3B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Borders>
              <w:top w:val="single" w:sz="6" w:space="0" w:color="auto"/>
              <w:left w:val="single" w:sz="6" w:space="0" w:color="auto"/>
              <w:bottom w:val="single" w:sz="6" w:space="0" w:color="auto"/>
              <w:right w:val="single" w:sz="6" w:space="0" w:color="auto"/>
            </w:tcBorders>
          </w:tcPr>
          <w:p w14:paraId="01D88A0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85</w:t>
            </w:r>
          </w:p>
          <w:p w14:paraId="6B3488C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59714B9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w:t>
            </w:r>
          </w:p>
          <w:p w14:paraId="6A6E8B7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2DEA493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88-мм ПТО обр. 1943 г.</w:t>
            </w:r>
          </w:p>
          <w:p w14:paraId="1007F17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1BC823D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1000</w:t>
            </w:r>
          </w:p>
          <w:p w14:paraId="6813203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40C760D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137</w:t>
            </w:r>
          </w:p>
          <w:p w14:paraId="3BDA7B1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47B1AFB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121</w:t>
            </w:r>
          </w:p>
          <w:p w14:paraId="06AE274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622623B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104</w:t>
            </w:r>
          </w:p>
          <w:p w14:paraId="6C35EC0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6CF4D3E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Анализируя данные, приводимые в таблице, можно сделать следующий вывод:</w:t>
      </w:r>
    </w:p>
    <w:p w14:paraId="0772644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Самоходные орудия калибра 75 мм с открытой башней, а также орудия калибра 88 мм и 128 мм по своим тактико-техническим данным предназначаются главным образом для борьбы с танками и организационно входят в состав противотанковых дивизионов.</w:t>
      </w:r>
    </w:p>
    <w:p w14:paraId="4A7E523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Штурмовые орудия (закрытая башня) калибра 75 мм, 105 мм и 150 мм представляют собой специальный тип самоходной артиллерии и предназначаются главным образом для артиллерийской поддержки пехоты.</w:t>
      </w:r>
    </w:p>
    <w:p w14:paraId="6B24A79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Самоходные орудия типа «Фердинанд» по своему вооружению и броне представляют собой сильное средство борьбы с танками, а также используются как средство прорыва при наступлении.</w:t>
      </w:r>
    </w:p>
    <w:p w14:paraId="783E8B7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Согласно сводной инструкции Верховного командования сухопутной армии Германии, в даль</w:t>
      </w:r>
      <w:r w:rsidRPr="007224C3">
        <w:rPr>
          <w:rFonts w:ascii="Times New Roman" w:hAnsi="Times New Roman"/>
          <w:color w:val="000000" w:themeColor="text1"/>
          <w:sz w:val="16"/>
          <w:szCs w:val="16"/>
        </w:rPr>
        <w:softHyphen/>
        <w:t>нейшем все самоходные орудия калибра 75 мм с открытой башней будут монтироваться только на базе чехословацкого танка 38-Т. По-видимому, германское командование стремится ликвидировать большую разнотипность самоходных орудий, которая существовала в 1943 году.</w:t>
      </w:r>
    </w:p>
    <w:p w14:paraId="12787FC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1944 г. самоходные орудия различных калибров будут производиться только на базе чехосло</w:t>
      </w:r>
      <w:r w:rsidRPr="007224C3">
        <w:rPr>
          <w:rFonts w:ascii="Times New Roman" w:hAnsi="Times New Roman"/>
          <w:color w:val="000000" w:themeColor="text1"/>
          <w:sz w:val="16"/>
          <w:szCs w:val="16"/>
        </w:rPr>
        <w:softHyphen/>
        <w:t>вацкого танка 38-Т и немецких танков Т-3 и Т-4. Возможно появление самоходных орудий калибра 88 мм и 128 мм на базе танка Т-5 или Т-6. Орудие типа «Фердинанд» будет производиться, но в огра</w:t>
      </w:r>
      <w:r w:rsidRPr="007224C3">
        <w:rPr>
          <w:rFonts w:ascii="Times New Roman" w:hAnsi="Times New Roman"/>
          <w:color w:val="000000" w:themeColor="text1"/>
          <w:sz w:val="16"/>
          <w:szCs w:val="16"/>
        </w:rPr>
        <w:softHyphen/>
        <w:t>ниченном количестве.</w:t>
      </w:r>
    </w:p>
    <w:p w14:paraId="33CB271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Учитывая все увеличивающееся количество самоходных орудий, организационно входящих в состав противотанковых дивизионов германских танковых, моторизованных и пехотных дивизий, а также отдельных штурмовых дивизионов, можно предположить, что к лету 1944 г. количество само</w:t>
      </w:r>
      <w:r w:rsidRPr="007224C3">
        <w:rPr>
          <w:rFonts w:ascii="Times New Roman" w:hAnsi="Times New Roman"/>
          <w:color w:val="000000" w:themeColor="text1"/>
          <w:sz w:val="16"/>
          <w:szCs w:val="16"/>
        </w:rPr>
        <w:softHyphen/>
        <w:t>ходных орудий перед фронтом СССР составит 3000-3500 орудий различного типа и калибра.</w:t>
      </w:r>
    </w:p>
    <w:p w14:paraId="13A7C53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Выводы</w:t>
      </w:r>
    </w:p>
    <w:p w14:paraId="2644E43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1943 г. танковый парк Германской армии в качественном отношении значительно вырос, но в количественном отношении значительно уменьшился.</w:t>
      </w:r>
    </w:p>
    <w:p w14:paraId="3BF3A55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Танковая промышленность Германии не восполняет огромные потери в танках, которые несет Германская армия на Восточном фронте, вследствие этого общее количество танков Германии непрерывно уменьшается:</w:t>
      </w:r>
    </w:p>
    <w:p w14:paraId="0D19C2A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июлю 1941 г. танковый парк Германии, по английским данным, насчитывал 22000 танков.</w:t>
      </w:r>
    </w:p>
    <w:p w14:paraId="304D83A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июню 1942 г. танковый парк Германии, также по английским данным, насчитывал 21000 танков.</w:t>
      </w:r>
    </w:p>
    <w:p w14:paraId="28C017E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июню 1943 г. танковый парк Германии, по нашим расчетным данным, насчитывал 15000 танков.</w:t>
      </w:r>
    </w:p>
    <w:p w14:paraId="6C61ACE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январю 1944 г. танковый парк Германии, предположительно по расчетным данным составляет 10000 танков.</w:t>
      </w:r>
    </w:p>
    <w:p w14:paraId="7A338F7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Учитывая большие потери, которые несут танковые войска Германской армии в зимних боях 1944 г., танковый парк Германии к лету 1944 г. ориентировочно будет иметь 10000-10500 танков.</w:t>
      </w:r>
    </w:p>
    <w:p w14:paraId="27135E7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Ориентировочно можно предположить, что соотношение танков по типам машин во всем танко</w:t>
      </w:r>
      <w:r w:rsidRPr="007224C3">
        <w:rPr>
          <w:rFonts w:ascii="Times New Roman" w:hAnsi="Times New Roman"/>
          <w:color w:val="000000" w:themeColor="text1"/>
          <w:sz w:val="16"/>
          <w:szCs w:val="16"/>
        </w:rPr>
        <w:softHyphen/>
        <w:t>вом парке Германской армии будет составлять:</w:t>
      </w:r>
    </w:p>
    <w:p w14:paraId="2D1C92F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средних танков Т-4 и Т-3 до 60% или 6000-6300 танков, тяжелых танков Т-5 30% или 3000-3150 танков,</w:t>
      </w:r>
    </w:p>
    <w:p w14:paraId="3C3DDD8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тяжелых танков Т-6 10% или 1000-1050 танков. Распределение танкового парка в Германской армии может составить: В действующей армии до 70% или 7000 танков. В резерве или учебных частях — 20% или 2000 танков. В ремонте на заводах промышленности — 10% или 1000 танков.</w:t>
      </w:r>
    </w:p>
    <w:p w14:paraId="2C6748F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 числа танков, находящихся в действующей армии, перед фронтом СССР может быть до 70% или 4900-5000 танков.</w:t>
      </w:r>
    </w:p>
    <w:p w14:paraId="116656C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маркам и типам (учитывая, что в учебных частях немцы используют в большой степени типы старых марок, а тяжелые танки будут, главным образом, поступать в действующую армию) соотно</w:t>
      </w:r>
      <w:r w:rsidRPr="007224C3">
        <w:rPr>
          <w:rFonts w:ascii="Times New Roman" w:hAnsi="Times New Roman"/>
          <w:color w:val="000000" w:themeColor="text1"/>
          <w:sz w:val="16"/>
          <w:szCs w:val="16"/>
        </w:rPr>
        <w:softHyphen/>
        <w:t>шение танков перед фронтом СССР может быть:</w:t>
      </w:r>
    </w:p>
    <w:p w14:paraId="1E1B516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средних танков Т-4 до 40% или 2000 танков, тяжелых танков Т-5 до 40% или 2000 танков, тяжелых танков Т-6 до 20% или 1000 танков,</w:t>
      </w:r>
    </w:p>
    <w:p w14:paraId="190FB39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Это предположение подтверждается следующими данными, согласно трофейным документам: 1. Донесение штаба танковой дивизии «Адольф Гитлер» о состоянии штатного и фактического соста</w:t>
      </w:r>
      <w:r w:rsidRPr="007224C3">
        <w:rPr>
          <w:rFonts w:ascii="Times New Roman" w:hAnsi="Times New Roman"/>
          <w:color w:val="000000" w:themeColor="text1"/>
          <w:sz w:val="16"/>
          <w:szCs w:val="16"/>
        </w:rPr>
        <w:softHyphen/>
        <w:t>ва дивизии на 13.12.1943 г. показывает, что на вооружении дивизии состояла следующая мат. часть: Всего — 167 танков, из них по типам машин:</w:t>
      </w:r>
    </w:p>
    <w:tbl>
      <w:tblPr>
        <w:tblW w:w="0" w:type="auto"/>
        <w:tblInd w:w="40" w:type="dxa"/>
        <w:tblLayout w:type="fixed"/>
        <w:tblCellMar>
          <w:left w:w="40" w:type="dxa"/>
          <w:right w:w="40" w:type="dxa"/>
        </w:tblCellMar>
        <w:tblLook w:val="0000" w:firstRow="0" w:lastRow="0" w:firstColumn="0" w:lastColumn="0" w:noHBand="0" w:noVBand="0"/>
      </w:tblPr>
      <w:tblGrid>
        <w:gridCol w:w="3168"/>
        <w:gridCol w:w="1498"/>
        <w:gridCol w:w="1699"/>
      </w:tblGrid>
      <w:tr w:rsidR="005106D0" w:rsidRPr="007224C3" w14:paraId="7B6A4BD4" w14:textId="77777777">
        <w:trPr>
          <w:trHeight w:val="269"/>
        </w:trPr>
        <w:tc>
          <w:tcPr>
            <w:tcW w:w="3168" w:type="dxa"/>
            <w:tcBorders>
              <w:top w:val="single" w:sz="6" w:space="0" w:color="auto"/>
              <w:left w:val="single" w:sz="6" w:space="0" w:color="auto"/>
              <w:bottom w:val="single" w:sz="6" w:space="0" w:color="auto"/>
              <w:right w:val="single" w:sz="6" w:space="0" w:color="auto"/>
            </w:tcBorders>
          </w:tcPr>
          <w:p w14:paraId="0A697E6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Название и тип танка</w:t>
            </w:r>
          </w:p>
          <w:p w14:paraId="0C22E10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311F987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Количество</w:t>
            </w:r>
          </w:p>
          <w:p w14:paraId="24280B2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2F40CAC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63B03EE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E57569A" w14:textId="77777777">
        <w:trPr>
          <w:trHeight w:val="278"/>
        </w:trPr>
        <w:tc>
          <w:tcPr>
            <w:tcW w:w="3168" w:type="dxa"/>
            <w:tcBorders>
              <w:top w:val="single" w:sz="6" w:space="0" w:color="auto"/>
              <w:left w:val="single" w:sz="6" w:space="0" w:color="auto"/>
              <w:bottom w:val="single" w:sz="6" w:space="0" w:color="auto"/>
              <w:right w:val="single" w:sz="6" w:space="0" w:color="auto"/>
            </w:tcBorders>
          </w:tcPr>
          <w:p w14:paraId="37EC066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средних танков Т-3</w:t>
            </w:r>
          </w:p>
          <w:p w14:paraId="74BE064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390333A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p w14:paraId="4AE226B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60F46DD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или 3%</w:t>
            </w:r>
          </w:p>
          <w:p w14:paraId="1C2764E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3666CD5" w14:textId="77777777">
        <w:trPr>
          <w:trHeight w:val="278"/>
        </w:trPr>
        <w:tc>
          <w:tcPr>
            <w:tcW w:w="3168" w:type="dxa"/>
            <w:tcBorders>
              <w:top w:val="single" w:sz="6" w:space="0" w:color="auto"/>
              <w:left w:val="single" w:sz="6" w:space="0" w:color="auto"/>
              <w:bottom w:val="single" w:sz="6" w:space="0" w:color="auto"/>
              <w:right w:val="single" w:sz="6" w:space="0" w:color="auto"/>
            </w:tcBorders>
          </w:tcPr>
          <w:p w14:paraId="67A2138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средних танков Т-4</w:t>
            </w:r>
          </w:p>
          <w:p w14:paraId="4FD3399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75554E1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63</w:t>
            </w:r>
          </w:p>
          <w:p w14:paraId="64A29CD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4D67593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или 38%</w:t>
            </w:r>
          </w:p>
          <w:p w14:paraId="10D76C6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8231C42" w14:textId="77777777">
        <w:trPr>
          <w:trHeight w:val="269"/>
        </w:trPr>
        <w:tc>
          <w:tcPr>
            <w:tcW w:w="3168" w:type="dxa"/>
            <w:tcBorders>
              <w:top w:val="single" w:sz="6" w:space="0" w:color="auto"/>
              <w:left w:val="single" w:sz="6" w:space="0" w:color="auto"/>
              <w:bottom w:val="single" w:sz="6" w:space="0" w:color="auto"/>
              <w:right w:val="single" w:sz="6" w:space="0" w:color="auto"/>
            </w:tcBorders>
          </w:tcPr>
          <w:p w14:paraId="7B69F0C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тяжелых танков Т-5</w:t>
            </w:r>
          </w:p>
          <w:p w14:paraId="2A480F5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298143D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75</w:t>
            </w:r>
          </w:p>
          <w:p w14:paraId="5F15452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4E0B017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или 45%</w:t>
            </w:r>
          </w:p>
          <w:p w14:paraId="1745498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2182AFC" w14:textId="77777777">
        <w:trPr>
          <w:trHeight w:val="278"/>
        </w:trPr>
        <w:tc>
          <w:tcPr>
            <w:tcW w:w="3168" w:type="dxa"/>
            <w:tcBorders>
              <w:top w:val="single" w:sz="6" w:space="0" w:color="auto"/>
              <w:left w:val="single" w:sz="6" w:space="0" w:color="auto"/>
              <w:bottom w:val="single" w:sz="6" w:space="0" w:color="auto"/>
              <w:right w:val="single" w:sz="6" w:space="0" w:color="auto"/>
            </w:tcBorders>
          </w:tcPr>
          <w:p w14:paraId="55FFE3B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тяжелых танков Т-6</w:t>
            </w:r>
          </w:p>
          <w:p w14:paraId="54D0F31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6F09EDD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w:t>
            </w:r>
          </w:p>
          <w:p w14:paraId="6AF5B44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6F11248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или 14%</w:t>
            </w:r>
          </w:p>
          <w:p w14:paraId="7FB29C0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238215E" w14:textId="77777777">
        <w:trPr>
          <w:trHeight w:val="298"/>
        </w:trPr>
        <w:tc>
          <w:tcPr>
            <w:tcW w:w="3168" w:type="dxa"/>
            <w:tcBorders>
              <w:top w:val="single" w:sz="6" w:space="0" w:color="auto"/>
              <w:left w:val="single" w:sz="6" w:space="0" w:color="auto"/>
              <w:bottom w:val="single" w:sz="6" w:space="0" w:color="auto"/>
              <w:right w:val="single" w:sz="6" w:space="0" w:color="auto"/>
            </w:tcBorders>
          </w:tcPr>
          <w:p w14:paraId="7435BDD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BFE49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78B0D0A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167</w:t>
            </w:r>
          </w:p>
          <w:p w14:paraId="3241EDD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264F048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или 100%</w:t>
            </w:r>
          </w:p>
          <w:p w14:paraId="406DE00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4E64EF2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т.е. процент средних танков составляет к общему количеству танков — 41%, тяжелых — 59%.</w:t>
      </w:r>
    </w:p>
    <w:p w14:paraId="1137D3D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Танковая дивизия «Адольф Гитлер» прибыла с запада на Восточный фронт после укомплектова</w:t>
      </w:r>
      <w:r w:rsidRPr="007224C3">
        <w:rPr>
          <w:rFonts w:ascii="Times New Roman" w:hAnsi="Times New Roman"/>
          <w:color w:val="000000" w:themeColor="text1"/>
          <w:sz w:val="16"/>
          <w:szCs w:val="16"/>
        </w:rPr>
        <w:softHyphen/>
        <w:t>ния в ноябре месяце и состояние ее танкового парка, по-видимому, является характерным для новых формирований танковых дивизий.</w:t>
      </w:r>
    </w:p>
    <w:p w14:paraId="25C6675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Приказ Ставки верховного командования сухопутных войск Германской армии №1/4430/43 от 24.09.1943 г. вводит единую новую организацию для всех танковых дивизий, танковый полк кото</w:t>
      </w:r>
      <w:r w:rsidRPr="007224C3">
        <w:rPr>
          <w:rFonts w:ascii="Times New Roman" w:hAnsi="Times New Roman"/>
          <w:color w:val="000000" w:themeColor="text1"/>
          <w:sz w:val="16"/>
          <w:szCs w:val="16"/>
        </w:rPr>
        <w:softHyphen/>
        <w:t>рых состоит из 2 танковых батальонов с общим количеством 200 танков, из них 50% танков Т-4 и 50% танков Т-5.</w:t>
      </w:r>
    </w:p>
    <w:p w14:paraId="47779A6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 исключена возможность появления в небольшом количестве новых типов тяжелых танков, вооруженных 128-мм пушкой, сконструированных на базе танка Т-5 или Т-6. Телетанки Б-4, по-видимому, будут применяться, но в ограниченном количестве.</w:t>
      </w:r>
    </w:p>
    <w:p w14:paraId="526BF9F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Самоходные орудия получат еще большее развитие, чем в 1943 году, причем разнотипность ору</w:t>
      </w:r>
      <w:r w:rsidRPr="007224C3">
        <w:rPr>
          <w:rFonts w:ascii="Times New Roman" w:hAnsi="Times New Roman"/>
          <w:color w:val="000000" w:themeColor="text1"/>
          <w:sz w:val="16"/>
          <w:szCs w:val="16"/>
        </w:rPr>
        <w:softHyphen/>
        <w:t>дий будет сведена до минимума за счет стандартизации выпуска самоходных орудий на базе чехос</w:t>
      </w:r>
      <w:r w:rsidRPr="007224C3">
        <w:rPr>
          <w:rFonts w:ascii="Times New Roman" w:hAnsi="Times New Roman"/>
          <w:color w:val="000000" w:themeColor="text1"/>
          <w:sz w:val="16"/>
          <w:szCs w:val="16"/>
        </w:rPr>
        <w:softHyphen/>
        <w:t>ловацких танков 38-Т и средних танков Т-3 и Т-4.</w:t>
      </w:r>
    </w:p>
    <w:p w14:paraId="1360BB8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разведывательного отдела штаба БТ и МВ КА</w:t>
      </w:r>
    </w:p>
    <w:p w14:paraId="0106817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гвардии полковник Сидорович</w:t>
      </w:r>
    </w:p>
    <w:p w14:paraId="71A047E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Ст. помощник начальника разведывательного отдела штаба БТ и МВ КА</w:t>
      </w:r>
    </w:p>
    <w:p w14:paraId="2CF44FA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инженер-подполковник Андреев</w:t>
      </w:r>
    </w:p>
    <w:p w14:paraId="33A1798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Согласовано: Ст. помощник начальника 7 отдела 2 управления ГРУ КА</w:t>
      </w:r>
    </w:p>
    <w:p w14:paraId="54C066D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полковник Баженов</w:t>
      </w:r>
    </w:p>
    <w:p w14:paraId="7437344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Согласовано:</w:t>
      </w:r>
    </w:p>
    <w:p w14:paraId="04DD7BA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38. Оп. 11355. Д. 2726. Л. 1-8. Копия.</w:t>
      </w:r>
    </w:p>
    <w:p w14:paraId="3FDCC8C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 помощник начальника 4 отдела РУ ГШ КА инженер-подполковник Кузнецов (11403).</w:t>
      </w:r>
    </w:p>
    <w:p w14:paraId="141016E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4A3DE8"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марта 1944 советские войска освободили от фашистов Винницу и форсировали Южный Буг (4962) в ходе Проскуровско-Черновицкой операции (4963 ).</w:t>
      </w:r>
    </w:p>
    <w:p w14:paraId="6335BF67"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FFCAF4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March 20th, 1944: The Red Army recaptures Vinnitsa in the Ukraine, Hitler's HQ in 1943 (3819).</w:t>
      </w:r>
    </w:p>
    <w:p w14:paraId="3BDC2C7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8A3125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марта 1944 1УФ (Г.К.Ж.) освободил Винницу (3398,118).</w:t>
      </w:r>
    </w:p>
    <w:p w14:paraId="7302B0F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4D2557"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Жизнь и внутренняя политика:</w:t>
      </w:r>
    </w:p>
    <w:p w14:paraId="2F9E5A7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90060BD"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марта 1944 вышло Постановление ГКО № 5414 [О мерах по обеспечению педагогическими кадрами школ национальных республик и освобожденных районов.] (7199, 74).</w:t>
      </w:r>
    </w:p>
    <w:p w14:paraId="4E8C1BA2"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00D020C"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марта 1944 вышло Распоряжение ГКО № 5436 [О направлении на обучение шоферской специальности без отрыва от основной работы в учебной сети НКАТ РСФСР военнообязанных запаса до 35 лет, не годных к строевой службе.] (7199, 189).</w:t>
      </w:r>
    </w:p>
    <w:p w14:paraId="3E146B4A"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064C323"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марта 1944 вышло Постановление ГКО № 5440 О восстановлении в освобожденных районах хлебофуражных и продтоварных баз Главного управления государственных материальных резервов при Совнаркоме СССР. (7199, 204-206,207-211).</w:t>
      </w:r>
    </w:p>
    <w:p w14:paraId="249ED39C"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C28BC7E"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41D4302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BF5A363" w14:textId="77777777" w:rsidR="004D5E52" w:rsidRPr="007224C3" w:rsidRDefault="004D5E52"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20–21 марта (ночь) 1944 двадцать Ланкастеров (14 из 617-й эскадрильи) совершают успешный прицельный налет на завод взрывчатых веществ в Ангулеме, Франция (20373).</w:t>
      </w:r>
    </w:p>
    <w:p w14:paraId="198A188F" w14:textId="77777777" w:rsidR="004D5E52" w:rsidRPr="007224C3" w:rsidRDefault="004D5E52" w:rsidP="007224C3">
      <w:pPr>
        <w:spacing w:after="0" w:line="240" w:lineRule="auto"/>
        <w:jc w:val="both"/>
        <w:rPr>
          <w:rFonts w:ascii="Times New Roman" w:hAnsi="Times New Roman"/>
          <w:color w:val="0070C0"/>
          <w:sz w:val="16"/>
          <w:szCs w:val="16"/>
        </w:rPr>
      </w:pPr>
    </w:p>
    <w:p w14:paraId="0447FDBF"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марта 1944 в Алжире расстрелян бывший министр внутренних дел вишистской Франции Пьер Пюше (4962).</w:t>
      </w:r>
    </w:p>
    <w:p w14:paraId="58DE36FE"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FF0875D"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2985D38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E0FB1B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 21 марта 1944 в ходе заводских испытаний, которые шли с 22 февраля, на Су-6 АМ-42 удалось выполнить 8 полетов с суммарным налетом 4 ч 50 мин. Были получены неплохие летные данные. Максимальная скорость у земли составила 490 км/ч. Длина разбега — 420 м.</w:t>
      </w:r>
    </w:p>
    <w:p w14:paraId="0B226A2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Винтомоторная группа на всех режимах работала устойчиво. При пикировании скорость достигала 530 км/ч по прибору. Самолет вел себя устойчиво. Никаких ненормальностей не наблюдалось. Для уменьшения нагрузок на ручку управления самалетоми педали от рулей несколько изменили роговую и осевую компенсации.</w:t>
      </w:r>
    </w:p>
    <w:p w14:paraId="424EAFA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Вместе с тем отмечалось, что «мотор работает богато», а свечи ВГ-27 обеспечивают нормальную работу мотора только в течение 2 ч, после чего их приходится заменять.</w:t>
      </w:r>
    </w:p>
    <w:p w14:paraId="5FB6A6C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целом по летным и эксплуатационным данным самолет оценили положительно. Былшо решено передать его на государ</w:t>
      </w:r>
      <w:r w:rsidRPr="007224C3">
        <w:rPr>
          <w:rFonts w:ascii="Times New Roman" w:hAnsi="Times New Roman"/>
          <w:color w:val="000000" w:themeColor="text1"/>
          <w:sz w:val="16"/>
          <w:szCs w:val="16"/>
        </w:rPr>
        <w:softHyphen/>
        <w:t>ственные испытания (11474,434).</w:t>
      </w:r>
    </w:p>
    <w:p w14:paraId="7D29618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C9AD7F" w14:textId="77777777" w:rsidR="004D5E52" w:rsidRPr="007224C3" w:rsidRDefault="004D5E52"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До 21 марта 1944 с 22 февраля в рамках заводских испытаний на Су-6 АМ-42 уда</w:t>
      </w:r>
      <w:r w:rsidRPr="007224C3">
        <w:rPr>
          <w:rFonts w:ascii="Times New Roman" w:hAnsi="Times New Roman"/>
          <w:color w:val="0070C0"/>
          <w:sz w:val="16"/>
          <w:szCs w:val="16"/>
        </w:rPr>
        <w:softHyphen/>
        <w:t>лось выполнить 8 полетов с суммарным налетом 4 ч 50 мин. Были получены не</w:t>
      </w:r>
      <w:r w:rsidRPr="007224C3">
        <w:rPr>
          <w:rFonts w:ascii="Times New Roman" w:hAnsi="Times New Roman"/>
          <w:color w:val="0070C0"/>
          <w:sz w:val="16"/>
          <w:szCs w:val="16"/>
        </w:rPr>
        <w:softHyphen/>
        <w:t>плохие летные данные. Максимальная скорость у земли достигала 490 км/ч. Раз</w:t>
      </w:r>
      <w:r w:rsidRPr="007224C3">
        <w:rPr>
          <w:rFonts w:ascii="Times New Roman" w:hAnsi="Times New Roman"/>
          <w:color w:val="0070C0"/>
          <w:sz w:val="16"/>
          <w:szCs w:val="16"/>
        </w:rPr>
        <w:softHyphen/>
        <w:t>бег составил 420 м. При пикировании скорость доводилась до 530 км/ч по при</w:t>
      </w:r>
      <w:r w:rsidRPr="007224C3">
        <w:rPr>
          <w:rFonts w:ascii="Times New Roman" w:hAnsi="Times New Roman"/>
          <w:color w:val="0070C0"/>
          <w:sz w:val="16"/>
          <w:szCs w:val="16"/>
        </w:rPr>
        <w:softHyphen/>
        <w:t>бору. Самолет вел себя устойчиво. Ника</w:t>
      </w:r>
      <w:r w:rsidRPr="007224C3">
        <w:rPr>
          <w:rFonts w:ascii="Times New Roman" w:hAnsi="Times New Roman"/>
          <w:color w:val="0070C0"/>
          <w:sz w:val="16"/>
          <w:szCs w:val="16"/>
        </w:rPr>
        <w:softHyphen/>
        <w:t>ких ненормальностей не наблюдалось.</w:t>
      </w:r>
    </w:p>
    <w:p w14:paraId="0E119A3C" w14:textId="77777777" w:rsidR="004D5E52" w:rsidRPr="007224C3" w:rsidRDefault="004D5E52"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Для уменьшения нагрузок на ручку управ</w:t>
      </w:r>
      <w:r w:rsidRPr="007224C3">
        <w:rPr>
          <w:rFonts w:ascii="Times New Roman" w:hAnsi="Times New Roman"/>
          <w:color w:val="0070C0"/>
          <w:sz w:val="16"/>
          <w:szCs w:val="16"/>
        </w:rPr>
        <w:softHyphen/>
        <w:t>ления самолетом и педали от рулей не</w:t>
      </w:r>
      <w:r w:rsidRPr="007224C3">
        <w:rPr>
          <w:rFonts w:ascii="Times New Roman" w:hAnsi="Times New Roman"/>
          <w:color w:val="0070C0"/>
          <w:sz w:val="16"/>
          <w:szCs w:val="16"/>
        </w:rPr>
        <w:softHyphen/>
        <w:t>сколько изменили роговую и осевую ком</w:t>
      </w:r>
      <w:r w:rsidRPr="007224C3">
        <w:rPr>
          <w:rFonts w:ascii="Times New Roman" w:hAnsi="Times New Roman"/>
          <w:color w:val="0070C0"/>
          <w:sz w:val="16"/>
          <w:szCs w:val="16"/>
        </w:rPr>
        <w:softHyphen/>
        <w:t>пенсации. Вместе с тем отмечалось, что «мотор работает богато», а свечи ВГ-27 обеспечивают нормальную работу мотора только в течение 2 ч, после чего их при</w:t>
      </w:r>
      <w:r w:rsidRPr="007224C3">
        <w:rPr>
          <w:rFonts w:ascii="Times New Roman" w:hAnsi="Times New Roman"/>
          <w:color w:val="0070C0"/>
          <w:sz w:val="16"/>
          <w:szCs w:val="16"/>
        </w:rPr>
        <w:softHyphen/>
        <w:t>ходится менять.</w:t>
      </w:r>
    </w:p>
    <w:p w14:paraId="5456B302" w14:textId="77777777" w:rsidR="004D5E52" w:rsidRPr="007224C3" w:rsidRDefault="004D5E52"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Самолет решили передать на госу</w:t>
      </w:r>
      <w:r w:rsidRPr="007224C3">
        <w:rPr>
          <w:rFonts w:ascii="Times New Roman" w:hAnsi="Times New Roman"/>
          <w:color w:val="0070C0"/>
          <w:sz w:val="16"/>
          <w:szCs w:val="16"/>
        </w:rPr>
        <w:softHyphen/>
        <w:t>дарственные испытания. Однако 29 марта при жесткой посадке на аэродром Чкаловская (ГК НИИ ВВС) хвостовая часть и оперение получили серьезные поврежде</w:t>
      </w:r>
      <w:r w:rsidRPr="007224C3">
        <w:rPr>
          <w:rFonts w:ascii="Times New Roman" w:hAnsi="Times New Roman"/>
          <w:color w:val="0070C0"/>
          <w:sz w:val="16"/>
          <w:szCs w:val="16"/>
        </w:rPr>
        <w:softHyphen/>
        <w:t>ния. Самолет перевезли на завод №289 для ремонта. (19853).</w:t>
      </w:r>
    </w:p>
    <w:p w14:paraId="1D1E41F3" w14:textId="77777777" w:rsidR="004D5E52" w:rsidRPr="007224C3" w:rsidRDefault="004D5E52" w:rsidP="007224C3">
      <w:pPr>
        <w:spacing w:after="0" w:line="240" w:lineRule="auto"/>
        <w:jc w:val="both"/>
        <w:rPr>
          <w:rFonts w:ascii="Times New Roman" w:hAnsi="Times New Roman"/>
          <w:color w:val="0070C0"/>
          <w:sz w:val="16"/>
          <w:szCs w:val="16"/>
        </w:rPr>
      </w:pPr>
    </w:p>
    <w:p w14:paraId="378F898E" w14:textId="77777777" w:rsidR="00133AA8" w:rsidRPr="007224C3" w:rsidRDefault="00133AA8"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21 марта 1944 закончились ис</w:t>
      </w:r>
      <w:r w:rsidRPr="007224C3">
        <w:rPr>
          <w:color w:val="000000" w:themeColor="text1"/>
          <w:sz w:val="16"/>
          <w:szCs w:val="16"/>
        </w:rPr>
        <w:softHyphen/>
        <w:t>пытания Су-6 АМ-42, которые шли с 22 февраля 1944. Испытания проводили ведущий инженер В. П. Балуев, ведущий летчик Г. И. Комаров.на Су-6 АМ-42 удалось вы</w:t>
      </w:r>
      <w:r w:rsidRPr="007224C3">
        <w:rPr>
          <w:color w:val="000000" w:themeColor="text1"/>
          <w:sz w:val="16"/>
          <w:szCs w:val="16"/>
        </w:rPr>
        <w:softHyphen/>
        <w:t>полнить всего 8 полетов с суммарным налетом 4 ч 50 мин. Были получены неплохие летные дан</w:t>
      </w:r>
      <w:r w:rsidRPr="007224C3">
        <w:rPr>
          <w:color w:val="000000" w:themeColor="text1"/>
          <w:sz w:val="16"/>
          <w:szCs w:val="16"/>
        </w:rPr>
        <w:softHyphen/>
        <w:t>ные. Максимальная скорость у земли составила 490 км/ч. Длина разбега — 420 м (17500).</w:t>
      </w:r>
    </w:p>
    <w:p w14:paraId="189CDCD6" w14:textId="77777777" w:rsidR="00133AA8" w:rsidRPr="007224C3" w:rsidRDefault="00133AA8" w:rsidP="007224C3">
      <w:pPr>
        <w:spacing w:after="0" w:line="240" w:lineRule="auto"/>
        <w:jc w:val="both"/>
        <w:rPr>
          <w:rFonts w:ascii="Times New Roman" w:hAnsi="Times New Roman"/>
          <w:color w:val="000000" w:themeColor="text1"/>
          <w:sz w:val="16"/>
          <w:szCs w:val="16"/>
        </w:rPr>
      </w:pPr>
    </w:p>
    <w:p w14:paraId="54D0C5D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 марта 1944 решением Правительства были утверждены Максимальные скорости самолета Ла-7, которые в серийном выпуске были ниже заявленных гл. конструктором по причине существенного отличия серийного самолета от эталона, прошедшего государственные испытания. Самолет имел ряд конструктивных дефектов, снижающих летно-технические данные, например - высокая температура в кабине летчика, доходящая до 50-60 градусов, высокая температура винтомоторной группы, приводящая к перегреву головок цилиндра и масла, попадание выхлопных газов в кабину летчика, переохлаждение масла на крейсерском режиме полета, неудовлетворительная работа регулятора смеси и насоса непосредственного впрыска, наконец, течь масла через уплотнения мотора (2633,10).</w:t>
      </w:r>
    </w:p>
    <w:p w14:paraId="6841FF7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F1C9C6"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44D6997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7C9DFE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 марта 1944 г. на основе полученных донесений о боевом примене</w:t>
      </w:r>
      <w:r w:rsidRPr="007224C3">
        <w:rPr>
          <w:rFonts w:ascii="Times New Roman" w:hAnsi="Times New Roman"/>
          <w:color w:val="000000" w:themeColor="text1"/>
          <w:sz w:val="16"/>
          <w:szCs w:val="16"/>
        </w:rPr>
        <w:softHyphen/>
        <w:t>нии первых танков ИС-1 во время проведения Корсунь-Шевченков-ской наступательной операции начальник ГБТУ генерал-лейтенант танковых войск Б.Г. Вершинин уточнил выданные ЧКЗ тактико-техни</w:t>
      </w:r>
      <w:r w:rsidRPr="007224C3">
        <w:rPr>
          <w:rFonts w:ascii="Times New Roman" w:hAnsi="Times New Roman"/>
          <w:color w:val="000000" w:themeColor="text1"/>
          <w:sz w:val="16"/>
          <w:szCs w:val="16"/>
        </w:rPr>
        <w:softHyphen/>
        <w:t>ческие требования на проектирование тяжелого танка. В этих уточнен</w:t>
      </w:r>
      <w:r w:rsidRPr="007224C3">
        <w:rPr>
          <w:rFonts w:ascii="Times New Roman" w:hAnsi="Times New Roman"/>
          <w:color w:val="000000" w:themeColor="text1"/>
          <w:sz w:val="16"/>
          <w:szCs w:val="16"/>
        </w:rPr>
        <w:softHyphen/>
        <w:t>ных ТТТ вместо конкретно заданных толщин брони корпуса и башни танка были указаны лишь требования, предъявляемые к его броневой защите: лобовая часть корпуса и башни и бортовая броня подбашенной коробки не должны поражаться снарядами пушек танков Т-VI "Тигр I", Т-У "Пантера" и САУ "Фердинанд" ("Элефант") со всех дистанций, а борт башни и нижняя часть борта корпуса - не должны пробиваться снарядами вышеуказанных пушек с дистанции 500 м. На основании вышеперечисленных ТТТ в НКТП было разработано несколько проектов нового тяжелого танка. Один из проектов тяжелого танка, получившего условное наименование ИС-2М, был разработан весной 1944 г. группой Н.Ф. Шашмурина. Эта машина отличалась от се</w:t>
      </w:r>
      <w:r w:rsidRPr="007224C3">
        <w:rPr>
          <w:rFonts w:ascii="Times New Roman" w:hAnsi="Times New Roman"/>
          <w:color w:val="000000" w:themeColor="text1"/>
          <w:sz w:val="16"/>
          <w:szCs w:val="16"/>
        </w:rPr>
        <w:softHyphen/>
        <w:t>рийного образца нетрадиционной схемой компоновки, улучшенной броневой защитой лобовой проекции корпуса и башни. Компоновочная схема танка предусматривала размещение боевого отделения с вращаю</w:t>
      </w:r>
      <w:r w:rsidRPr="007224C3">
        <w:rPr>
          <w:rFonts w:ascii="Times New Roman" w:hAnsi="Times New Roman"/>
          <w:color w:val="000000" w:themeColor="text1"/>
          <w:sz w:val="16"/>
          <w:szCs w:val="16"/>
        </w:rPr>
        <w:softHyphen/>
        <w:t>щейся башней и трансмиссионного отделения в кормовой части танка. Отделение управления располагалось в носовой части корпуса, мотор</w:t>
      </w:r>
      <w:r w:rsidRPr="007224C3">
        <w:rPr>
          <w:rFonts w:ascii="Times New Roman" w:hAnsi="Times New Roman"/>
          <w:color w:val="000000" w:themeColor="text1"/>
          <w:sz w:val="16"/>
          <w:szCs w:val="16"/>
        </w:rPr>
        <w:softHyphen/>
        <w:t>ное отделение - в средней. В ходовой части использовались опорные катки увеличенного диаметра без поддерживающих катков и ведущие колеса кормового расположения. Крутящий момент от коленчатого ва</w:t>
      </w:r>
      <w:r w:rsidRPr="007224C3">
        <w:rPr>
          <w:rFonts w:ascii="Times New Roman" w:hAnsi="Times New Roman"/>
          <w:color w:val="000000" w:themeColor="text1"/>
          <w:sz w:val="16"/>
          <w:szCs w:val="16"/>
        </w:rPr>
        <w:softHyphen/>
        <w:t>ла двигателя к агрегатам трансмиссии передавался с помощью кардан</w:t>
      </w:r>
      <w:r w:rsidRPr="007224C3">
        <w:rPr>
          <w:rFonts w:ascii="Times New Roman" w:hAnsi="Times New Roman"/>
          <w:color w:val="000000" w:themeColor="text1"/>
          <w:sz w:val="16"/>
          <w:szCs w:val="16"/>
        </w:rPr>
        <w:softHyphen/>
        <w:t>ного вала, проходившего под полом боевого отделения. Расположение боевого отделения в кормовой части корпуса исключало возможность утыкания длинноствольной 122-мм пушки в грунт при преодолении препятствий и облегчало маневрирование машины в ограниченных проходах. Ввиду того, что в начале лета 1944 г. усилия КБ завода № 100 были направлены на разработку нового тяжелого танка ИС-6 ("Объект 252" и "Объект 253"), дальнейшая проработка варианта танка ИС-2М была прекращена. Параллельно с разработкой проектов новых тяжелых танков на Опытном заводе № 100 непрерывно велись работы по улучшению кон</w:t>
      </w:r>
      <w:r w:rsidRPr="007224C3">
        <w:rPr>
          <w:rFonts w:ascii="Times New Roman" w:hAnsi="Times New Roman"/>
          <w:color w:val="000000" w:themeColor="text1"/>
          <w:sz w:val="16"/>
          <w:szCs w:val="16"/>
        </w:rPr>
        <w:softHyphen/>
        <w:t>струкции узлов и агрегатов серийно выпускавшихся танков ИС (10703).</w:t>
      </w:r>
    </w:p>
    <w:p w14:paraId="169F051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944143" w14:textId="77777777" w:rsidR="00133AA8" w:rsidRPr="007224C3" w:rsidRDefault="00133AA8"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21 марта 1944 года появились уточнённые ТТТ на тяжелый танк, согласно которым боевая масса танка оценивалась в районе 55–56 тонн. Цифры толщины брони из требований исчезли, зато появилось указание надёжно защитить танк от орудий «Тигра», «Пантеры» и «Фердинанда» в лобовой проекции. С борта он не должен был пробиваться на дистанции в 500 метров и далее. Вооружать танк предполагалось 122-мм пушкой с начальной скоростью полёта снаряда 1000 м/с и с боекомплектом 30–40 выстрелов. Приводить в движение машину должен был 1000-сильный дизельный двигатель, обеспечивающий максимальную скорость 40 км/ч и среднюю скорость по грунтовой дороге 24–26 км/ч. Танк оснащался либо электрической, либо механической трансмиссией, в последнем случае использовалась 6-скоростная планетарная коробка передач с 2-ступенчатым механизмом поворота.</w:t>
      </w:r>
    </w:p>
    <w:p w14:paraId="6B98A0B9" w14:textId="77777777" w:rsidR="00133AA8" w:rsidRPr="007224C3" w:rsidRDefault="00133AA8"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lastRenderedPageBreak/>
        <w:t>Эти требования были реализованы в виде эскизного проекта, разработанного под руководством Н.Ф. Шашмурина. Танк получил кормовое расположение башни, в корпусе размещались механик-водитель и радист. Конструкции башни, ходовой части и отчасти корпуса как раз и стали отправной точкой при разработке менее радикальной модернизации ИС-2 (17756).</w:t>
      </w:r>
    </w:p>
    <w:p w14:paraId="595ABCEF" w14:textId="77777777" w:rsidR="00133AA8" w:rsidRPr="007224C3" w:rsidRDefault="00133AA8" w:rsidP="007224C3">
      <w:pPr>
        <w:pStyle w:val="Bodytext1"/>
        <w:shd w:val="clear" w:color="auto" w:fill="auto"/>
        <w:spacing w:line="240" w:lineRule="auto"/>
        <w:ind w:firstLine="0"/>
        <w:rPr>
          <w:rFonts w:ascii="Times New Roman" w:hAnsi="Times New Roman" w:cs="Times New Roman"/>
          <w:color w:val="000000" w:themeColor="text1"/>
          <w:sz w:val="16"/>
          <w:szCs w:val="16"/>
        </w:rPr>
      </w:pPr>
    </w:p>
    <w:p w14:paraId="090F140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 марта 1944 вышло Постановление ГКО № 5445 Об отгрузке цемента, стекла и кровельных материалов стройкам Наркомстроя. РГАНИР, Фонд ГКО, д. 220, лл. 1-2,3-4 (11012).</w:t>
      </w:r>
    </w:p>
    <w:p w14:paraId="228076B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557DF7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 марта 1944 вышло Постановление ГКО № 5446 Об увеличении производства аэрофотоматериалов в 1944 году и мерах помощи кинопленочной промышленности. РГАНИР, Фонд ГКО, д. 220, лл. 5-9,10-22 (11012).</w:t>
      </w:r>
    </w:p>
    <w:p w14:paraId="0725AC6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B53DE22"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 марта 1944 вышло Распоряжение ГКО № 5447 [О мобилизации 60 возчиков с лошадьми на строительство железнодорожной ветки от Чебоксарской электростанции до торфопредприятия.] (7200, 23).</w:t>
      </w:r>
    </w:p>
    <w:p w14:paraId="6B7D9BB6"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CCB7B6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 марта 1944 Балтийцы спустили на воду 12-й стотонник типа МТ-1 (10671).</w:t>
      </w:r>
    </w:p>
    <w:p w14:paraId="3549A94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5F015F5"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468739E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CC66F2C"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21 марта</w:t>
      </w:r>
      <w:r w:rsidRPr="007224C3">
        <w:rPr>
          <w:rFonts w:ascii="Times New Roman" w:hAnsi="Times New Roman"/>
          <w:color w:val="000000" w:themeColor="text1"/>
          <w:sz w:val="16"/>
          <w:szCs w:val="16"/>
        </w:rPr>
        <w:t xml:space="preserve"> в 1944 году оперативная сводка Совинформбюро:</w:t>
      </w:r>
    </w:p>
    <w:p w14:paraId="73A3D3A8"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21 марта юго-западнее города Дубно наши войска, продолжаянаступление, овладели районным центром Ровенской области Верба, районным центром Львовской области Подкамень, а также с боями заняли более 60 других населённых пунктов, в том числе крупные населённые пункты: Столбец, Града, Бучина,Суховоля, Накваша, Немяч, Лопушна.</w:t>
      </w:r>
    </w:p>
    <w:p w14:paraId="6EFBCAB7"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и юго-западнее города Винница наши войска продолжали наступление и с боями заняли более 50 населённых пунктов, среди которых крупные населённыепункты Сусловцы, Багриновцы, Боркив, Микулинцы, Дашковцы, Юзвин, Медвежье Ушко, Широкая Гребля, Браилов, Коростовцы, Степанки, Кудиевцы, Носкивцы и железнодорожные станции Браилов, Матейково.</w:t>
      </w:r>
    </w:p>
    <w:p w14:paraId="4C9CC3E5"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югу от города Жмеринка наши войска, развивая наступление, овладели районными центрами Винницкой области городом Шаргород, Копайгород, а также сбоями заняли более 80 других населённых пунктов, в том числе крупные населённые пункты Пасынки, Мовчаны, Плебановка, Снитков, Высший Ольчедаев, Лучинец, Лазова, Тропово, Сугаки, Вендичаны, Ломозов и железнодорожные станции Котюжаны, Немерчи, Вендичаны, Израилевка, Сулятицкая.</w:t>
      </w:r>
    </w:p>
    <w:p w14:paraId="3513F3F2"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Южнее города Могилёв-Подольский наши войска продолжали вести успешные бои по расширению плацдармов на правом берегу Днестра, овладели районным центром Молдавской ССР Атаки, а также с боями заняли более 40 других населённых пунктов, среди них крупные — Арконешть, Висока, Котова, Мындык, Дрокия, Шурели, Кетросы, Згурица и перерезали железную дорогу Бельцы—Черновицы.</w:t>
      </w:r>
    </w:p>
    <w:p w14:paraId="598256E4"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Ново-Украинка наши войска вели наступательные бои, в ходе которых овладели районными центрами Одесской области Благодатное, Арбузинка, атакже с боями заняли более 50 других населённых пунктов, среди которых крупные населённые пункты Синюхин Брод, Ново-Александровка, Лысая Гора, Софиевка, Никольское, Новокрасное, Демидовка, Ивановка, Алексеевка и железнодорожные станции Синюхи, Подгородная, Бандурка, Новокрасное, Кавуны.</w:t>
      </w:r>
    </w:p>
    <w:p w14:paraId="784C49B5"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города Бобринец наши войска продолжали наступление и с боями заняли более 40 населённых пунктов, среди которых крупные населённые пункты Новосёловка, Николаевка, Зелёный Яр, Трикраты, Вознесенский, Вороновка.</w:t>
      </w:r>
    </w:p>
    <w:p w14:paraId="21B49FA3"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 бои местного значения.</w:t>
      </w:r>
    </w:p>
    <w:p w14:paraId="295D05DC"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20 марта наши войска на всех фронтах подбили и уничтожили 29 немецких танков. В воздушных боях и огнём зенитной артиллерии сбито 47 самолётов противника.</w:t>
      </w:r>
    </w:p>
    <w:p w14:paraId="70B693FF"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города Дубно наши войска продолжали наступление. Противник, усилив свои боевые порядки 361 пехотной дивизией, только что прибывшей из Дании, предпринял несколько контратак. Советские части отбили вражеские контратаки и, продвигаясь вперёд, заняли районный центр Ровенской области Вербу, а также более 60 других населённых пунктов. В ходе боёв уничтожено 900 немецких солдат и офицеров, 9 танков и самоходных орудий. Захвачено 24 орудия, 52 пулемёта, 2 склада боеприпасов и склад с инженерным имуществом. Несмотря на бездорожье и распутицу, наши подвижные части совершили 30-километровый марш, вышли на шоссе Броды-Тарнополь и стремительной атакой овладели районным центром Львовскойобласти Подкамень. Захвачены большие трофеи. На улицах города Кременец, на-днях занятого нашими войсками, обнаружено до 1.500 трупов немецких солдат и офицеров.</w:t>
      </w:r>
    </w:p>
    <w:p w14:paraId="27589DFE"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югу от города Жмеринка части Н-ского соединения овладели важным узлом грунтовых дорог — городом Шаргород. Бойцы другого нашего соединения сломили упорное сопротивление немцев и, преследуя их, заняли районный центр Винницкойобласти Копайгород. Отступая под ударами советских войск, противник бросает орудия, автомашины и различное военное имущество. Бойцы Н-ской части, выбив гитлеровцев из одного села, захватили 17 орудий, из них 4 самоходных с заведёнными моторами. На другом участке советские танкисты атаковали роту противника. Немецкие солдаты и офицеры не оказали сопротивления. Они сложили оружие и сдались в плен.</w:t>
      </w:r>
    </w:p>
    <w:p w14:paraId="0DB1D299"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Южнее города Могилёв-Подольский наши войска вели успешные бои по расширению плацдармов на правом берегу Днестра. Советские части, занявшие город Могилёв-Подольский, не теряя ни одной минуты, переправились через реку и штурмом овладели районным центром Молдавской ССР Атаки и рядом других населённых пунктов. Развивая успех и преодолевая днестровскую оборону немцев, наши бойцы перерезали важную железнодорожную магистраль Бельцы-Черновицы. Попытки противника контратаками задержать наступление наших войск потерпели неудачу.</w:t>
      </w:r>
    </w:p>
    <w:p w14:paraId="79E8E955"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города Бобринец части Н-ского соединения продолжали развивать наступление и заняли более 40 населённых пунктов. Противник оказывал сильное огневое сопротивление и неоднократно бросал в контратаки пехоту и мелкие группытанков. Все контратаки гитлеровцев отбиты. Бойцы Н-ской части за день с боями прошли до 14 километров и истребили 600 немецких солдат и офицеров. Захвачено унемцев свыше 200 автомашин, 53 мотоцикла, 3 склада с продовольствием и склад с зерном. Взяты пленные. В самый разгар боя за один населённый пункт расчёт старшего сержанта Солянина заметил, что к его орудию приближаются несколько танков и два самоходных орудия противника. Прямой наводкой наводчик Кутявин подбил один немецкий танк, а затем самоходное орудие «Фердинанд». Остальные немецкие танки быстро повернули обратно.</w:t>
      </w:r>
    </w:p>
    <w:p w14:paraId="774C5318"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Партизанский отряд, действующий в Львовской области, в боях с численно превосходящими силами противника попал в окружение. Заняв круговую оборону, советские патриоты в шестичасовом бою подбили два немецких танка и истребили до 200 гитлеровцев. Ночью партизаны стремительной атакой прорвали кольцо окружения. Отряд партизан занял выгодные позиции и продолжает наносить удары немцам.</w:t>
      </w:r>
    </w:p>
    <w:p w14:paraId="461CAB3E"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Жители села Ново-Мыиск, Ровенской области, рассказали о зверствах немецко-фашистских захватчиков: «Тяжёлые страдания и неслыханные издевательства пережили мы за время фашистской оккупации. Гитлеровские изверги нагло заявляли,что украинцев они не считают людьми. В первые же дни оккупации нашего села немцы отобрали у крестьян землю, которую им дала советская власть после присоединения областей Западной Украины к УССР. Землю вместе с посевом захватили немецкие колонисты. Гитлеровцы вконец разорили всё население и обрекли его на голодную смерть. Немецко-фашистские палачи замучили и расстреляли многих ни в чем неповинных жителей нашего села» (15075).</w:t>
      </w:r>
    </w:p>
    <w:p w14:paraId="54E2362D" w14:textId="77777777" w:rsidR="00EB5859" w:rsidRPr="007224C3" w:rsidRDefault="00EB5859" w:rsidP="007224C3">
      <w:pPr>
        <w:spacing w:after="0" w:line="240" w:lineRule="auto"/>
        <w:jc w:val="both"/>
        <w:rPr>
          <w:rFonts w:ascii="Times New Roman" w:hAnsi="Times New Roman"/>
          <w:color w:val="000000" w:themeColor="text1"/>
          <w:sz w:val="16"/>
          <w:szCs w:val="16"/>
        </w:rPr>
      </w:pPr>
    </w:p>
    <w:p w14:paraId="05452F39"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21 марта</w:t>
      </w:r>
      <w:r w:rsidRPr="007224C3">
        <w:rPr>
          <w:rFonts w:ascii="Times New Roman" w:hAnsi="Times New Roman"/>
          <w:color w:val="000000" w:themeColor="text1"/>
          <w:sz w:val="16"/>
          <w:szCs w:val="16"/>
        </w:rPr>
        <w:t xml:space="preserve"> в 1944 году контрудар немецких войск у Проскурова (15075).</w:t>
      </w:r>
    </w:p>
    <w:p w14:paraId="4A314D23" w14:textId="77777777" w:rsidR="00EB5859" w:rsidRPr="007224C3" w:rsidRDefault="00EB5859" w:rsidP="007224C3">
      <w:pPr>
        <w:spacing w:after="0" w:line="240" w:lineRule="auto"/>
        <w:jc w:val="both"/>
        <w:rPr>
          <w:rFonts w:ascii="Times New Roman" w:hAnsi="Times New Roman"/>
          <w:color w:val="000000" w:themeColor="text1"/>
          <w:sz w:val="16"/>
          <w:szCs w:val="16"/>
        </w:rPr>
      </w:pPr>
    </w:p>
    <w:p w14:paraId="606910B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 марта 1944, когда войска 1УФ возобновили наступление, после ночных действий АДД ФА на рассвете были нанесены мощные удары в ходе авиационной подготовки (430,190).</w:t>
      </w:r>
    </w:p>
    <w:p w14:paraId="39B3A7A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349E9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 марта 1944 г. один из пилотов 6/JG5 - фельдфебель Морс, который возглавил II/JG5, базировавшийся на аэродроме Аллакурти, заявил об уничтожении сразу семи Ил-2, крупные группы которых в это время наносили удары по наземным целям армейской группы "Лапландия", которая, в свою очередь, вела отчаянную борьбу за свое существование, а всего за этот день его боевой счет пополнили восемь воздушных побед (3480).</w:t>
      </w:r>
    </w:p>
    <w:p w14:paraId="49B4112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02849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 марта 1944 г. была подготовлена ДИРЕКТИВА НАЧАЛЬНИКА ШТАБА БТ и МВ КА ОБ ОРГАНИЗАЦИИ ТЩАТЕЛЬНОЙ РАЗВЕДКИ РАЙОНОВ РАСПОЛОЖЕНИЯ ВОЙСК № 482583</w:t>
      </w:r>
    </w:p>
    <w:p w14:paraId="27A49D7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Отмечены случаи, когда танковые и механизированные соединения, выводимые в резерв Ставки, по прибытии в новые районы расположения, на местности, где велись боевые действия, не организуют тщательной разведки районов и дорог для определения и обезвреживания минных полей, в результате чего имеют место потери личного состава и материальной части из-за подрыва на минах.</w:t>
      </w:r>
    </w:p>
    <w:p w14:paraId="713ADD6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Командующий БТ и МВ КА ПРИКАЗАЛ:</w:t>
      </w:r>
    </w:p>
    <w:p w14:paraId="7A4D01E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Командующим танковыми военными лагерями, командирам танковых и механизированных корпусов при занятии частями нового района производить тщательную инженерную разведку на предмет определения минированных участков, оставшихся не разминированными после боя.</w:t>
      </w:r>
    </w:p>
    <w:p w14:paraId="774EBF0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2. В случае обнаружения минных полей принимать немедленные меры к разминированию последних. До разминирования минные поля огораживать проволокой и ставить указатели, опреде</w:t>
      </w:r>
      <w:r w:rsidRPr="007224C3">
        <w:rPr>
          <w:rFonts w:ascii="Times New Roman" w:hAnsi="Times New Roman"/>
          <w:color w:val="000000" w:themeColor="text1"/>
          <w:sz w:val="16"/>
          <w:szCs w:val="16"/>
        </w:rPr>
        <w:softHyphen/>
        <w:t>ляющие места движения.</w:t>
      </w:r>
    </w:p>
    <w:p w14:paraId="23034DB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В каждом лагере, соединении (части) иметь карту бывших минных полей, которая должна быть изучена всем офицерским составом.</w:t>
      </w:r>
    </w:p>
    <w:p w14:paraId="50C9BED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При организации полевых занятий штабов и соединений (частей) организовать инженерную разведку района занятий, принимая все меры к предотвращению подрыва личного состава и мате</w:t>
      </w:r>
      <w:r w:rsidRPr="007224C3">
        <w:rPr>
          <w:rFonts w:ascii="Times New Roman" w:hAnsi="Times New Roman"/>
          <w:color w:val="000000" w:themeColor="text1"/>
          <w:sz w:val="16"/>
          <w:szCs w:val="16"/>
        </w:rPr>
        <w:softHyphen/>
        <w:t>риальной части на минах.</w:t>
      </w:r>
    </w:p>
    <w:p w14:paraId="66AB625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О проведенных Вами мероприятиях, в соответствии с настоящей директивой, донести к 15 апреля 1944 года.</w:t>
      </w:r>
    </w:p>
    <w:p w14:paraId="57E8D02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штаба БТ и МВ Красной Армии генерал-майор танковых войск Салминов</w:t>
      </w:r>
    </w:p>
    <w:p w14:paraId="1986C15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38. Оп. 11353. Д. 199. Л. 98. Копия (11403).</w:t>
      </w:r>
    </w:p>
    <w:p w14:paraId="61B2DCA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5C89EAF"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Внешняя политика:</w:t>
      </w:r>
    </w:p>
    <w:p w14:paraId="1C7C5E2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A34584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 марта 1944 Финляндия отклонила советские предложения о перемирии (2100).</w:t>
      </w:r>
    </w:p>
    <w:p w14:paraId="752A92E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5260D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 марта 1944 года</w:t>
      </w:r>
    </w:p>
    <w:p w14:paraId="5C5AD9E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ЛИЧНО И СТРОГО СЕКРЕТНО ПОСЛАНИЕ ОТ г-на ЧЕРЧИЛЛЯ МАРШАЛУ СТАЛИНУ</w:t>
      </w:r>
    </w:p>
    <w:p w14:paraId="2467124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Вашу телеграмму от 16 марта.</w:t>
      </w:r>
    </w:p>
    <w:p w14:paraId="2134AB3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Во-первых, должен еще раз поздравить Вас со всеми замечательными победами Ваших армий, а также с Вашим весьма умеренным обращением с финнами. Мне кажется, что интернирование в Финляндии девяти немецких дивизий доставляет им заботу, так как они боятся, что эти девять немецких дивизий могут их интернировать. Мы очень Вам благодарны за то, что Вы информировали нас о всех Ваших действиях на этом театре.</w:t>
      </w:r>
    </w:p>
    <w:p w14:paraId="7C9A62F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Что касается поляков, то я ни в коей степени не виноват в разглашении Ваших секретных посланий. Информация была дана как американскому корреспонденту “Геральд Трибюн”, так и корреспонденту лондонского “Тайме” Советским Посольством в Лондоне. В последнем случае она была дана лично Послом Гусевым.</w:t>
      </w:r>
    </w:p>
    <w:p w14:paraId="49D421E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В весьма скором времени мне придется сделать заявление в Палате общин по польскому вопросу. Это приведет к тому, что я должен буду сказать, что попытки достигнуть договоренности между Советским и Польским Правительствами.потерпели неудачу; что мы продолжаем признавать Польское Правительство, с которым мы были в постоянных отношениях с момента вторжения в Польшу в 1939 году; что мы теперь считаем, что все вопросы о территориальных изменениях должны быть отложены до перемирия или до мирной конференции держав-победительниц в что тем временем мы не можем признавать никаких передач территории, произведенных силой.</w:t>
      </w:r>
    </w:p>
    <w:p w14:paraId="6A24A7C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Я посылаю копию этой телеграммы Президенту Соединенных Штатов. Хотелось бы только ради нас всех, чтобы у меня были для него лучшие вести.</w:t>
      </w:r>
    </w:p>
    <w:p w14:paraId="1B4469F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Наконец, позвольте мне выразить искреннюю надежду на то, что неудача, происшедшая между нами по поводу Польши, не будет иметь никакого влияния на наше сотрудничество в иных сферах, где сохранение единства наших действий является вопросом величайшей важности.</w:t>
      </w:r>
    </w:p>
    <w:p w14:paraId="2AA2BE5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Лондон (7430).</w:t>
      </w:r>
    </w:p>
    <w:p w14:paraId="406CE89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24ED83"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7CB8749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B5D689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марта 1944 А.И.Ш., Дементьев и А.С.Я. писали И.В.С. письмо N 1995:</w:t>
      </w:r>
    </w:p>
    <w:p w14:paraId="598281C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целях ускорения перехода завода 292 в Саратове на производство самолета Як-3 и заводов 1 и 30 на производство самолетов Ил-2 с металлическими крыльями считаем необходимым:</w:t>
      </w:r>
    </w:p>
    <w:p w14:paraId="7EB9CB7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Уменьшить заводу 292 в апреле и мае выпуск до 8 самолетов в день вместо выпускаемых в настоящее время 10</w:t>
      </w:r>
    </w:p>
    <w:p w14:paraId="38BE9C9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Уменьшение выпуска старых самолетов Як-1 позволит заводу 292 значительно сократить сроки внедрения в серийное производство самолетов Як-3 и обеспечить выпуск их в марте 20, апреле 45 и в июне 135 самолетов</w:t>
      </w:r>
    </w:p>
    <w:p w14:paraId="038963E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Уменьшить в апреле и мае выпуска самолетов Ил-2 на заводе 1 с деревянными крыльями до 11 самолетов в день вместо выпускаемых в настоящее время 14 и на заводе 30 до 9 вместо 10</w:t>
      </w:r>
    </w:p>
    <w:p w14:paraId="48C99C9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Сокращение выпуска самолетов Ил-2 с деревянными крыльями в апреле и мае не скажется на обеспечении фронта самолетами Ил-2. В данное время на аэродромах запасных полков и на других промежуточных аэродромах имеется большое количество самолетов Ил-2, неукомплектованных экипажами и тех. составом.</w:t>
      </w:r>
    </w:p>
    <w:p w14:paraId="7988E4E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Сокращение выпуска самолетов Ил-2 с деревянными крыльями на заводах 1 и 30 даст возможность перебросить большее количество квалифицированных рабочих на производство самолетов Ил-2 с металлическими крыльями (1755,28).</w:t>
      </w:r>
    </w:p>
    <w:p w14:paraId="13C27DE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642CA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марта 1944 вышел приказ по 10 ГУ НКАП N 11:</w:t>
      </w:r>
    </w:p>
    <w:p w14:paraId="4910FB0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второго полугодия 1943 завод 30 провел работу по улучшению своей продукции и добился повышения качества выпускаемых самолетов.</w:t>
      </w:r>
    </w:p>
    <w:p w14:paraId="2B7BDE0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Однако, за последнее время выявились факты, свидетельствующие об ослаблении на заводе 30 повседневной борьбы за дальнейшее повышение качества, а именно:</w:t>
      </w:r>
    </w:p>
    <w:p w14:paraId="4A0207F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Машина N 303501 не прошла гос. испытаний в НИИ ВВС по причине плохой работы радиосвязи и наличия большого количества производственных дефектов. Всего на этом самолете было обнаружено 48 дефектов, из которых 13 были отмечены в акте по испытаниям эталонного самолета N 302804.</w:t>
      </w:r>
    </w:p>
    <w:p w14:paraId="4AF7680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Машина N 303748 по тем же причинам была снята с гос. испытаний.</w:t>
      </w:r>
    </w:p>
    <w:p w14:paraId="105E358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На машинах 4113, 4135, 4138 были обнаружены некачественные стыковые болты...</w:t>
      </w:r>
    </w:p>
    <w:p w14:paraId="093827E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Внешняя отделка машин в цехе 18 ухудшилась." (Кузнецов) (2479,37).</w:t>
      </w:r>
    </w:p>
    <w:p w14:paraId="4A5EA02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33DC7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марта 1944 А.И.Ш., Дементьев и А.С.Я. писали И.В.С. письмо N 1995:</w:t>
      </w:r>
    </w:p>
    <w:p w14:paraId="7F9D1C8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целях ускорения перехода завода 292 в Саратове на производство самолета Як-3 и заводов 1 и 30 на производство самолетов Ил-2 с металлическими крыльями считаем необходимым:</w:t>
      </w:r>
    </w:p>
    <w:p w14:paraId="495BCDA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Уменьшить заводу 292 в апреле и мае выпуск до 8 самолетов в день вместо выпускаемых в настоящее время 10</w:t>
      </w:r>
    </w:p>
    <w:p w14:paraId="61ECF6C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Уменьшение выпуска старых самолетов Як-1 позволит заводу 292 значительно сократить сроки внедрения в серийное производство самолетов Як-3 и обеспечить выпуск их в марте 20, апреле 45 и в июне 135 самолетов</w:t>
      </w:r>
    </w:p>
    <w:p w14:paraId="5AC30C5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Уменьшить в апреле и мае выпуска самолетов Ил-2 на заводе 1 с деревянными крыльями до 11 самолетов в день вместо выпускаемых в настоящее время 14 и на заводе 30 до 9 вместо 10</w:t>
      </w:r>
    </w:p>
    <w:p w14:paraId="07BDA20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Сокращение выпуска самолетов Ил-2 с деревянными крыльями в апреле и мае не скажется на обеспечении фронта самолетами Ил-2. В данное время на аэродромах запасных полков и на других промежуточных аэродромах имеется большое количество самолетов Ил-2, неукомплектованных экипажами и тех. составом.</w:t>
      </w:r>
    </w:p>
    <w:p w14:paraId="10FE9FE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Сокращение выпуска самолетов Ил-2 с деревянными крыльями на заводах 1 и 30 даст возможность перебросить большее количество квалифицированных рабочих на производство самолетов Ил-2 с металлическими крыльями (1755,28).</w:t>
      </w:r>
    </w:p>
    <w:p w14:paraId="1348DF7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B2D3A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марта 1944 вышел приказ НКАП N 208с:</w:t>
      </w:r>
    </w:p>
    <w:p w14:paraId="006F1A5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целях развития опытных работ ГК С.А.Л.:</w:t>
      </w:r>
    </w:p>
    <w:p w14:paraId="41535A7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Выделить ОКБ С.А.Л., размещенное в площади завода 381, в самостоятельный опытный завод, присвоив ему номер 81</w:t>
      </w:r>
    </w:p>
    <w:p w14:paraId="35C3858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ГК завода 21 С.А.Л. назначить по совместительству директором и ГК завода 81</w:t>
      </w:r>
    </w:p>
    <w:p w14:paraId="28E5F3E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Считать основной опытной базой ГК С.А.Л. опытную базу завода 21, определить местом основной работы и пребывания С.А.Л. завод 21 по людям и оборудованию и обязать обеспечить на опытной базе завода 21 все остальные опытные работы по самолетам Ла-5 и Ла-7 (1628,215).</w:t>
      </w:r>
    </w:p>
    <w:p w14:paraId="18CB457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35419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марта 1944 года на территории московского завода № 381 был организован филиале ОКБ Лавочкина (завод № 81), в котором, как и в Казани под руководством С.М. Алексеева и С.П. Королева соответственно велась работа по установке РД-1 и на Ла-5ФН. Королев, взяв за основу Ла-5ФН, предложил два варианта высотного истребителя "ВИ": один с тремя ЖРД РД-1, установленными в фюзеляже и консолях крыла, а другой - с одним трехкамерным РД-3. По замыслам Сергея Павловича для "ВИ" требовалось увеличить площадь крыла до 22 м2 , установить пару турбокомпрессоров ТК-3 и четыре пулемета БС калибра 12,7 мм.</w:t>
      </w:r>
    </w:p>
    <w:p w14:paraId="1B23449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Ожидалось, что прирост скорости первого варианта истребителя составит 100-140 км/ч, второго - 215-290 км/ч, потолок возрастет на 4000 и 6500 м соответственно. При этом продолжительность полета на высоте 14 000 м с использованием поршневого двигателя будет в пределах 15-20 минут. Но все эти проекты остались на бумаге, поскольку в конце 1943 года московский филиал ОКБ Лавочкина срочно приступил к доработкам Ла-7 под ЖРД (12032). </w:t>
      </w:r>
    </w:p>
    <w:p w14:paraId="330BD1F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82BA8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марта 1944 вышел приказ НКАП N 210с "О производстве заводов Ла-7 на заводах 21 и 381"</w:t>
      </w:r>
    </w:p>
    <w:p w14:paraId="1D3AF06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"ГКО своим постановлением N 5404сс от 15 марта 1944 принял к сведению сообщение НКАП, ГК С.А.Л. и нач. ЦАГИ Шишкина о том, что аэродинамически и </w:t>
      </w:r>
      <w:r w:rsidRPr="007224C3">
        <w:rPr>
          <w:rFonts w:ascii="Times New Roman" w:hAnsi="Times New Roman"/>
          <w:color w:val="000000" w:themeColor="text1"/>
          <w:sz w:val="16"/>
          <w:szCs w:val="16"/>
        </w:rPr>
        <w:lastRenderedPageBreak/>
        <w:t>конструктивно улучшенный самолет Ла-5, с серийным мотором АШ-82ФН, показал при испытаниях в ЛИИ следующие данные: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5106D0" w:rsidRPr="007224C3" w14:paraId="02686515" w14:textId="77777777">
        <w:tc>
          <w:tcPr>
            <w:tcW w:w="5636" w:type="dxa"/>
            <w:tcBorders>
              <w:top w:val="single" w:sz="12" w:space="0" w:color="auto"/>
            </w:tcBorders>
          </w:tcPr>
          <w:p w14:paraId="7924DEE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 скорость у земли</w:t>
            </w:r>
          </w:p>
        </w:tc>
        <w:tc>
          <w:tcPr>
            <w:tcW w:w="5636" w:type="dxa"/>
            <w:tcBorders>
              <w:top w:val="single" w:sz="12" w:space="0" w:color="auto"/>
            </w:tcBorders>
          </w:tcPr>
          <w:p w14:paraId="1688351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630 км/час</w:t>
            </w:r>
          </w:p>
        </w:tc>
      </w:tr>
      <w:tr w:rsidR="005106D0" w:rsidRPr="007224C3" w14:paraId="26AC0340" w14:textId="77777777">
        <w:tc>
          <w:tcPr>
            <w:tcW w:w="5636" w:type="dxa"/>
          </w:tcPr>
          <w:p w14:paraId="79FA87E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 скорость на 6000 м</w:t>
            </w:r>
          </w:p>
        </w:tc>
        <w:tc>
          <w:tcPr>
            <w:tcW w:w="5636" w:type="dxa"/>
          </w:tcPr>
          <w:p w14:paraId="1B3DA33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685 км/час</w:t>
            </w:r>
          </w:p>
        </w:tc>
      </w:tr>
      <w:tr w:rsidR="005106D0" w:rsidRPr="007224C3" w14:paraId="42023DF7" w14:textId="77777777">
        <w:tc>
          <w:tcPr>
            <w:tcW w:w="5636" w:type="dxa"/>
            <w:tcBorders>
              <w:bottom w:val="single" w:sz="12" w:space="0" w:color="auto"/>
            </w:tcBorders>
          </w:tcPr>
          <w:p w14:paraId="3005688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полетн. вес</w:t>
            </w:r>
          </w:p>
        </w:tc>
        <w:tc>
          <w:tcPr>
            <w:tcW w:w="5636" w:type="dxa"/>
            <w:tcBorders>
              <w:bottom w:val="single" w:sz="12" w:space="0" w:color="auto"/>
            </w:tcBorders>
          </w:tcPr>
          <w:p w14:paraId="5A88827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3250</w:t>
            </w:r>
          </w:p>
        </w:tc>
      </w:tr>
    </w:tbl>
    <w:p w14:paraId="6B0FF6A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Модификацию Ла-5 принять в дальнейшем именовав Ла-7 с М-82ФН</w:t>
      </w:r>
    </w:p>
    <w:p w14:paraId="5E777C2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исполнение постановления ГКО:</w:t>
      </w:r>
    </w:p>
    <w:p w14:paraId="28E1CED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зам. наркома, нач. ПГУ Воронину, ГК С.А.Л. и директорам заводов 21 Агаджанову и 381 Журавлеву немедленно приступить к производству самолетов Як-7 с АШ-82ФН с серийным вооружением двумя пушками ШВАК 20 мм с вышеуказанными ЛД</w:t>
      </w:r>
    </w:p>
    <w:p w14:paraId="79C8C13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Установить план: на 21 - с 20 в мае до 250 в августе, на 381 с 5 в июне до 25 в августе</w:t>
      </w:r>
    </w:p>
    <w:p w14:paraId="25A8E37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Переход на выпуск Ла-7 осуществить без снижения достигнутого уровня выпуска самолетов по заводу 21 - 17 в сутки, по заводу 381 - 3 в сутки (1628,223).</w:t>
      </w:r>
    </w:p>
    <w:p w14:paraId="5B2A7A7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283266" w14:textId="77777777" w:rsidR="004D5E52" w:rsidRPr="007224C3" w:rsidRDefault="004D5E52"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 xml:space="preserve">22 марта 1944 Наркомат авиапромышленности издал приказ № 210с: </w:t>
      </w:r>
    </w:p>
    <w:p w14:paraId="4B223CA2" w14:textId="77777777" w:rsidR="004D5E52" w:rsidRPr="007224C3" w:rsidRDefault="004D5E52"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 исполнение постановления ГКО:</w:t>
      </w:r>
    </w:p>
    <w:p w14:paraId="7B7CFAEC" w14:textId="77777777" w:rsidR="004D5E52" w:rsidRPr="007224C3" w:rsidRDefault="004D5E52"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 xml:space="preserve">1. Зам. наркома, нач. ПГУ Воронину, гл. конструктору Лавочкину и директорам заводов 21 Агаджанову и 381 Журавлеву немедленно приступить к производству самолетов Ла-7 с мотором АШ-82ФН с серийным вооружением двумя пушками ШВАК 20 мм… </w:t>
      </w:r>
    </w:p>
    <w:p w14:paraId="04B33B68" w14:textId="77777777" w:rsidR="004D5E52" w:rsidRPr="007224C3" w:rsidRDefault="004D5E52"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 Установить план: на заводе 21 — с 20 самолетов в мае до 250 в августе, на заводе 381 с 5 самолетов в июне до 25 в августе. Переход на выпуск Ла-7 осуществить без снижения достигнутого уровня выпуска самолетов по заводу 21 — 17 в сутки, по заводу 381 — 3 в сутки».</w:t>
      </w:r>
    </w:p>
    <w:p w14:paraId="6AFAA812" w14:textId="77777777" w:rsidR="004D5E52" w:rsidRPr="007224C3" w:rsidRDefault="004D5E52"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По итогам 1944 г., в Горьком было сдано 1 558 серийных Ла-7 и 3 503 штуки Ла-5, что на 442 машины превысило программу 1943 г. и на 57 штук перекрыло даже скорректированный в сторону увеличения годовой план. Но в справке по предварительным итогам работы НКАП в 1944 г., подписанной 6 января 1945 г., на 31 декабря за 21-м заводом значится не 5 061, а только 4 981 Ла-5 и Ла-7. Московский завод № 381 в 1944-м построил 638 самолетов Ла-7 и получил «нагоняй» — в этом документе за ним значится только 834 штук Ла-5 и Ла-7, а должно было быть на 40 машин больше. В том же году к производству Ла-7 присоединился и завод № 99 в УланУдэ, сдав 40 машин — тоже меньше плана (22769).</w:t>
      </w:r>
    </w:p>
    <w:p w14:paraId="2D0EA996" w14:textId="77777777" w:rsidR="004D5E52" w:rsidRPr="007224C3" w:rsidRDefault="004D5E52" w:rsidP="007224C3">
      <w:pPr>
        <w:spacing w:after="0" w:line="240" w:lineRule="auto"/>
        <w:jc w:val="both"/>
        <w:rPr>
          <w:rFonts w:ascii="Times New Roman" w:hAnsi="Times New Roman"/>
          <w:color w:val="0070C0"/>
          <w:sz w:val="16"/>
          <w:szCs w:val="16"/>
        </w:rPr>
      </w:pPr>
    </w:p>
    <w:p w14:paraId="07A9BA5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марта 1944 г. по приказу № 209с филиал ОКБ-21 НКАП (или к тому веремени уже ОКБ-381 НКАП) гл. конструктора С.А. Лавочкина, размещенный на территории завода № 381 НКАП в Москве, был реорганизован в самостоятельный завод № 81 НКАП при 7ГУ на той же площадке для проведения работ по опытному самолетостроению. Основной базой ОКБ-21 С.А. Лавочкина оставался завод № 21.</w:t>
      </w:r>
    </w:p>
    <w:p w14:paraId="155F816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10.1944 г. на завод № 81 перебазировалась часть ОКБ-21 С.А. Лавочкина с завода № 21 ( г. Горький). Здесь ОКБ получило название КБ-81.</w:t>
      </w:r>
    </w:p>
    <w:p w14:paraId="0BF3999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соответствии с приказом НКАП № 393с от 2.10.1945 г. завод № 81 переводится на площадку авиаремонтного завода № 301 НКАП ( г. Химки) и объединяется (с 1.09.1945 г.) с ним под названием Завод № 301 НКАП (первоначально планировалось в конце 1945 г. перевести завод № 81 на территорию завода № 134 в Тушино, а гл. конструктора П.О. Сухого перевести с этой территории на Московскую базу завода № 134). Часть помещений (ангар им. Ильича и ангар № 6) по приказу № 494с от 21.12.1945 г. передана в распоряжение НИСО, куда была переведена ЛИС этого института. Основная часть помещений передана обратно заводу № 381 НКАП.</w:t>
      </w:r>
    </w:p>
    <w:p w14:paraId="1B59166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(1944 г.-)- С.А. Лавочкин.</w:t>
      </w:r>
    </w:p>
    <w:p w14:paraId="43BCEBE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конструктор (1944 г.)- С.А. Лавочкин, (10.1944-03.1945 г.-)- Л.А. Закс.</w:t>
      </w:r>
    </w:p>
    <w:p w14:paraId="41B37E4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Директора (10.1944-03.1945 г.-)- Л.А. Закс (11982).</w:t>
      </w:r>
    </w:p>
    <w:p w14:paraId="1E0100F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78F48B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марта 1944 г. по приказу № 209с филиал ОКБ-21 (или ОКБ-381 НКАП) с 04.1944 г. реорганизован в самостоятельный опытный Завод № 81 НКАП. 10 августа 1943 г. для усиления опытной базы гл. конструктора С.А. Лавочкина был образован Филиал ОКБ-21 при заводе приказом № 487с. Размещен на площадке цеха № 25 и корпуса статиспытаний ОКБ Ильюшина (опытное производство). Работы по Ла-5 с М-71 (11982).</w:t>
      </w:r>
    </w:p>
    <w:p w14:paraId="3EE582C6" w14:textId="77777777" w:rsidR="00EB5859" w:rsidRPr="007224C3" w:rsidRDefault="00EB5859" w:rsidP="007224C3">
      <w:pPr>
        <w:autoSpaceDE w:val="0"/>
        <w:autoSpaceDN w:val="0"/>
        <w:adjustRightInd w:val="0"/>
        <w:spacing w:after="0" w:line="240" w:lineRule="auto"/>
        <w:jc w:val="both"/>
        <w:rPr>
          <w:rFonts w:ascii="Times New Roman" w:hAnsi="Times New Roman"/>
          <w:color w:val="000000" w:themeColor="text1"/>
          <w:sz w:val="16"/>
          <w:szCs w:val="16"/>
        </w:rPr>
      </w:pPr>
    </w:p>
    <w:p w14:paraId="05D6CE2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марта 1944 из-за заводского брака (плохой склейки) на рулении разрушился 12-й шпангоут Ла-5ФН “эталон 1944”. Но основная программа испытаний к этому времени уже была отработана.</w:t>
      </w:r>
    </w:p>
    <w:p w14:paraId="1CAFA16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мнению Кубышкина, управлять самолётом стало легче, и решили, что такое состояние вполне приемлемо, за исключением руля поворота, нагрузки от которого заметно ощущались при изменении режима работы мотора. Из- за отсутствия триммера на этом руле лётчику приходилось прикладывать значительные усилия, чтобы на взлёте удержать истребитель от разворота. Температура в кабине, доходившая позднее в жару до 40°С, приносила, конечно, пилоту неудобства. Из-за плохой вентиляции в кабине постоянно чувствовалось присутствие отработанных газов и запах горелой резины. Но в целом самолёт по своим данным мог считаться одним из лучших истребителей своего времени.</w:t>
      </w:r>
    </w:p>
    <w:p w14:paraId="18CFFA8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выводах отчёта по государственным испытаниям отмечалось: "Модифицированный самолёт Ла-5 эталон 1944 г.... по максимальной скорости, скороподъёмности стоит на уровне лучших современных истребительных самолётов, находящихся на вооружении ВВС КА и иностранных государств". Специалисты НИИ ВВС знали, что говорили, - ведь через их руки проходили не только советские боевые машины, но и трофейные немецкие, а также самолёты, поступавшие из Великобритании и США.</w:t>
      </w:r>
    </w:p>
    <w:p w14:paraId="7DCC096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заключении того же отчёта было записано: "Заданные постановлением ГКО № 5404 от 15 марта 1944 г. для улучшенного Ла-5 максимальная скорость 685 км/ч на высоте 6000 м и полётный вес 3250 кг... практически достигнуты. Рекомендовать в серийное производство самолёт Ла-5 эталон 1944 г. (Ла-7), как имеющий значительные преимущества в лётных данных над... Ла-5, с устранением отмеченных дефектов. Так как на самолёте... установлены опытные пушки УБ-20, испытания которых не закончены в НИИ АВ ВВС, считать целесообразным выпускать самолёты с серийным вооружением, т.е. две пушки СП-20 с боезапасом 340 патронов" (11986).</w:t>
      </w:r>
    </w:p>
    <w:p w14:paraId="1790A86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398587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марта 1944 г. закончились дополнительные испытания в НИИ ВВС КА взлетных лыж, которые шли с 19 марта, после чего распоряжением главного инженера ВВС КА генерал-полковника ИАС Репина от 29 июля взлетные лыжи были приняты и на вооружение ВВС КА (12048).</w:t>
      </w:r>
    </w:p>
    <w:p w14:paraId="2687D00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343CEB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марта 1944 года Приказом НКАП № 254/к на должность директора завода назначен Коваль Б.А.</w:t>
      </w:r>
    </w:p>
    <w:p w14:paraId="1B5D40B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Приказом МАП от 17 апреля 1946 года за № 256/к на должность директора завода назначен Виштынецкий И.С. 23 августа 1950 года на должность директора завода назначен Десятков М.Д.</w:t>
      </w:r>
    </w:p>
    <w:p w14:paraId="6388228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Приказом МАП от 28 июня 1954 года за № 304/К директором завода назначен Шапошников В.А., а приказом МАП за № 468 от 22 октября 1955 года Шапошников В.А. по совместительству утвержден в должности гл. конструктора ОКБ-65. 19 августа 1959 года на должность директора завода назначен Квасов Ф.И., в должности гл. конструктора ОКБ-65 оставлен Шапошников В.А.</w:t>
      </w:r>
    </w:p>
    <w:p w14:paraId="78A0F5B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связи с организацией института на базе ОКБ и завода № 65, приказом председателя ГКАТ от 28 октября 1961 года за № 169к на члена Госкомитета Белова М.Ф. возложено исполнение обязанностей начальника ВНИИТЛиСС.</w:t>
      </w:r>
    </w:p>
    <w:p w14:paraId="51FF96E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Адрес: Москва, Кунцево, ул. Горбунова, д. 20 (9894).</w:t>
      </w:r>
    </w:p>
    <w:p w14:paraId="554C9D3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373E02"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1D52D16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D3948CC"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марта 1944 года вышел приказ № 138с НКВ</w:t>
      </w:r>
    </w:p>
    <w:p w14:paraId="69AA79CC"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соответствии с Постановлением ГКО от 8 марта 1944 года № 5331сс:</w:t>
      </w:r>
    </w:p>
    <w:p w14:paraId="4C0F7015"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Начальнику 2 Гл. управления и директору завода № 357 Манину:</w:t>
      </w:r>
    </w:p>
    <w:p w14:paraId="074BC1D4"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Принять в свое ведение здания, сооружения и жилой фонд, принадлежавший до эвакуации заводу № 357 НКВ в Ленинграде.</w:t>
      </w:r>
    </w:p>
    <w:p w14:paraId="0057A096"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Присвоить бывшему заводу № 357 в Ленинграде временно № 357-ф.</w:t>
      </w:r>
    </w:p>
    <w:p w14:paraId="3CB8414E"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Приступить к подготовительным работам по организации оптико-механического производства на базе бывшего завода № 357 (6419, 21).</w:t>
      </w:r>
    </w:p>
    <w:p w14:paraId="03AE2AA1"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BA6037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марта 1944 вышло Распоряжение ГКО № 5448. О мерах по обеспечению заводов НКРП основным технологическим сырьем. РГАНИР, Фонд ГКО, д. 220, лл. 24 (11012).</w:t>
      </w:r>
    </w:p>
    <w:p w14:paraId="3ADF765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9CBFBD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марта 1944 вышло Постановление ГКО № 5450 О тов. Никитине А.В. РГАНИР, Фонд ГКО, д. 220, лл. 27 (11012).</w:t>
      </w:r>
    </w:p>
    <w:p w14:paraId="11883F5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2F2D236"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марта 1944 вышло Постановление ГКО № 5451 О завозе каменноугольного топлива для флота речных пароходств к открытию навигации 1944 г. (7200, 28-29,30-</w:t>
      </w:r>
      <w:r w:rsidRPr="007224C3">
        <w:rPr>
          <w:rFonts w:ascii="Times New Roman" w:hAnsi="Times New Roman"/>
          <w:color w:val="000000" w:themeColor="text1"/>
          <w:sz w:val="16"/>
          <w:szCs w:val="16"/>
        </w:rPr>
        <w:lastRenderedPageBreak/>
        <w:t>32).</w:t>
      </w:r>
    </w:p>
    <w:p w14:paraId="287720C9"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D317736"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6DB75BA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E4444C7"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22 марта</w:t>
      </w:r>
      <w:r w:rsidRPr="007224C3">
        <w:rPr>
          <w:rFonts w:ascii="Times New Roman" w:hAnsi="Times New Roman"/>
          <w:color w:val="000000" w:themeColor="text1"/>
          <w:sz w:val="16"/>
          <w:szCs w:val="16"/>
        </w:rPr>
        <w:t xml:space="preserve"> в 1944 году оперативная сводка Совинформбюро:</w:t>
      </w:r>
    </w:p>
    <w:p w14:paraId="0C0F4CCE"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22 марта западнее и юго-западнее города Кременец наши войска, преодолевая сопротивление и контратаки противника, продолжали вести наступательные бои, в ходе которых заняли несколько населённых пунктов.</w:t>
      </w:r>
    </w:p>
    <w:p w14:paraId="42022B64"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и юго-западнее города Винница наши войска продолжали вести наступательные бои, в результате которых заняли более 30 населённых пунктов и среди них крупные населённые пункты Вербка, Бохны, Белецкое, Сахни, Майдансовин, Стампивка, Лыса Горка, Почапинец, Лысенка, Людовка, Севериновка, Маньковцы, Мальчевцы, Мартыновка, Володиевцы и железнодорожные станции Бар, Мытки, Копай.</w:t>
      </w:r>
    </w:p>
    <w:p w14:paraId="684769C7"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югу от города Жмеринка наши войска овладели районными центрами Винницкойобласти Мурованые Куриловцы, Ярышев.</w:t>
      </w:r>
    </w:p>
    <w:p w14:paraId="16B1D7F4"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Южнее города Могилёв-Подольский наши войска, продолжая вести бои по расширению плацдарма на правом берегу Днестра, заняли более 15 населённых пунктов, в том числе районный центр Молдавской ССР Надушита.</w:t>
      </w:r>
    </w:p>
    <w:p w14:paraId="3FB66B41"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2-го Украинского фронта 22 марта, после двухдневных упорных боёв, овладели городом Первомайск — важным железнодорожным узлом и сильным опорным пунктом обороны немцев на среднем течении Южного Буга.</w:t>
      </w:r>
    </w:p>
    <w:p w14:paraId="543D7E9E"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города Бобринец наши войска продолжали наступление и с боями заняли более 30 населённых пунктов, в том числе крупные населённые пункты Семёновка, Ивановка, Алексеевка, Константиновка, Бугский, Александровка и железнодорожные станции Константиновка, Трикратное, Александровка.</w:t>
      </w:r>
    </w:p>
    <w:p w14:paraId="562F63B7"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Николаевском направлении наши войска в результате упорных наступательных боёв овладели населёнными пунктами Калиновка, Гороховка, Богоявленск, Балабановка и железнодорожной станцией Гороховка.</w:t>
      </w:r>
    </w:p>
    <w:p w14:paraId="73114808"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в ряде пунктов шли бои местного значения.</w:t>
      </w:r>
    </w:p>
    <w:p w14:paraId="790551F7"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21 марта наши войска на всех фронтах подбили и уничтожили 27 немецких танков. В воздушных боях и огнём зенитной артиллерии сбито 29 самолётов противника.</w:t>
      </w:r>
    </w:p>
    <w:p w14:paraId="5C2662B2"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и юго-западнее города Кременец немцы, подтянув новые силы, неоднократно переходили в контратаки. После ожесточённых боёв наши войска потеснили противника и заняли несколько населённых пунктов. В районе населённого пункта Подзамче наши части в результате обходного манёвра окружили и ликвидировали подразделения 361 пехотной и 454 охранной дивизий немцев. На поле боя осталось свыше тысячи вражеских трупов. Взято значительное число пленных. Захвачено много вооружения, автомашин и военных материалов.</w:t>
      </w:r>
    </w:p>
    <w:p w14:paraId="47A52B25"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югу от города Жмеринка наши войска продолжали вести наступательные бои.Части Н-ского соединения, с боями продвигаясь вперёд, овладели районными центрами Винницкой области Мурованые Куриловцы и Ярышев. В другом районе немецкая пехота пыталась перейти в контратаку. Мощным миномётным и пулемётным огнём гитлеровцы были прижаты к земле. Тем временем наши танки прорвались в тыл противника и врезались в боевые порядки немцев. На поле боя осталось 700 трупов немецких солдат и офицеров.</w:t>
      </w:r>
    </w:p>
    <w:p w14:paraId="2674F42C"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2-го Украинского фронта, продолжая успешное наступление, два дня назад вышли на подступы к городу Первомайск. Город расположен при впадении реки Синюхи в Южный Буг и представлял весьма выгодные позиции для обороны. Противник усилил эти позиции многочисленными инженерными сооружениями, превратил каменные постройки города в узлы сопротивления и приготовился к длительной обороне. Наши войска овладели селом Синюхин Брод и, продвигаясь на юг, ворвались на окраины Первомайска. Завязались ожесточённые уличные бои. Тем временем другие советские части подошли к городу с востока. В ожесточённых боях немецкий гарнизон в Первомайске был прижат к Южному Бугу и уничтожен. Сотни гитлеровцев утонули вреке. Овладев городом Первомайск, наши войска захватили большие трофеи и много пленных.</w:t>
      </w:r>
    </w:p>
    <w:p w14:paraId="6FC80BA1"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города Бобринец части Н-ского соединения сломили сопротивление противника и штурмом овладели крупным населённым пунктом Константиновка. В этом бою уничтожено свыше 400 немецких солдат и офицеров. Захвачено несколько артиллерийских батарей, склад боеприпасов и 30 автомашин. Другие наши части, наступая вдоль железной дороги, заняли крупный населённый пункт и станцию Александровка и завязали бои на подступах к городу Вознесенск.</w:t>
      </w:r>
    </w:p>
    <w:p w14:paraId="687322E9"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Николаевском направлении части Н-ского соединения, продвигаясь на юг вдоль реки Ингул, в результате упорных боёв овладели населённым пунктом и железнодорожной станцией Гороховка. Развивая успех, наши бойцы предприняли ночную атаку и выбили немцев из нескольких других населённых пунктов. На подступах к городу Николаев противник создал несколько оборонительных поясов.Огнём нашей артиллерии разбито несколько дзотов, уничтожено 6 артиллерийскихбатарей, паровоз и 15 вагонов с боеприпасами, рассеяно и частью уничтожено до батальона гитлеровцев.</w:t>
      </w:r>
    </w:p>
    <w:p w14:paraId="240F3590"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Авиацией Краснознамённого Балтийского флота в Финском заливе потоплен сторожевой корабль противника.</w:t>
      </w:r>
    </w:p>
    <w:p w14:paraId="7686A4E2"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Отряд украинских партизан в ночь на 3 марта внезапно напал на немецкий гарнизон, расположенный в одном из сёл Винницкой области. Советские патриоты истребили 80 гитлеровцев. Захвачены трофеи: склад с обмундированием, склад спродовольствием и 6 автомашин с боеприпасами. Румынский самолёт совершил вынужденную посадку на окраине одной деревни в Молдавской ССР. Действующие поблизости молдавские партизаны уничтожили лётчиков и сожгли самолёт.</w:t>
      </w:r>
    </w:p>
    <w:p w14:paraId="26706E8F"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Николаевском направлении сдался в плен 1 батальон 667 полка 370 немецкой пехотной дивизии. Пленный командир батальона капитан Герман Эккерман заявил: «Русские обошли мой батальон и прижали нас к реке Ингул. Передо мной встал вопрос, что делать: сопротивляться до последнего человека, как этого требует Гитлер, и погубить всех солдат или сдаться в плен и сохранить не только свою жизнь, но и жизнь подчинённых. Я отдал приказ сложить оружие и сдаться в плен. Вскоре прибыл русский офицер с двумя солдатами, которому я передал 229 солдат иофицеров и всё наше вооружение. На такой шаг я решился потому, что убедился в неизбежном поражении Германии. Сколько бы немецкая армия ни сопротивлялась, она уже ничего изменить не может». Вместе с капитаном Эккерманом сдались в плен командир 2 роты лейтенант Кушацкий, командир 3 роты лейтенант Карл; Зольте и другие немецкие офицеры.» (15076).</w:t>
      </w:r>
    </w:p>
    <w:p w14:paraId="424E328D" w14:textId="77777777" w:rsidR="00EB5859" w:rsidRPr="007224C3" w:rsidRDefault="00EB5859" w:rsidP="007224C3">
      <w:pPr>
        <w:spacing w:after="0" w:line="240" w:lineRule="auto"/>
        <w:jc w:val="both"/>
        <w:rPr>
          <w:rFonts w:ascii="Times New Roman" w:hAnsi="Times New Roman"/>
          <w:color w:val="000000" w:themeColor="text1"/>
          <w:sz w:val="16"/>
          <w:szCs w:val="16"/>
        </w:rPr>
      </w:pPr>
    </w:p>
    <w:p w14:paraId="4CF61374"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марта 1944 вышло Постановление ГКО № 5449 О перебазировании Военной академии командно-штурманского состава ВВС Красной Армии. (7200, 25-26).</w:t>
      </w:r>
    </w:p>
    <w:p w14:paraId="175526E1"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8C14222"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Внешняя политика:</w:t>
      </w:r>
    </w:p>
    <w:p w14:paraId="6912D54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28C4D0D"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марта 1944 вышло Постановление ГКО № 5452 О строительстве обхода оползневых участков у гор. Саратова. (7200, 33).</w:t>
      </w:r>
    </w:p>
    <w:p w14:paraId="2B7499CE"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33D4283"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502D6AC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966A0FE"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22 марта</w:t>
      </w:r>
      <w:r w:rsidRPr="007224C3">
        <w:rPr>
          <w:rFonts w:ascii="Times New Roman" w:hAnsi="Times New Roman"/>
          <w:color w:val="000000" w:themeColor="text1"/>
          <w:sz w:val="16"/>
          <w:szCs w:val="16"/>
        </w:rPr>
        <w:t xml:space="preserve"> в 1944 году совершил первый полет «ХР-56» № 2, заводской номер 42-38353, («Northrop» «P-56» «Black Bullet»). В воздух его поднимал новый летчик-испытатель - Гарри Кросби. Он с трудом оторвал машину от земли на скорости 250 км/ч. Для удержания самолета в воздухе летчику, как и прежде, приходилось изо всех сил двумя руками тянуть на себя ручку управления. Новая же система управления по курсу была вполне контролируемой, хотя и излишне чувствительной. Истребитель медленно набирал высоту, мощности силовой установки явно не хватало для разгона пятитонной машины. Через семь минут полета отказал топливомер, и Кросби посадил самолет (15076).</w:t>
      </w:r>
    </w:p>
    <w:p w14:paraId="713B39C4" w14:textId="77777777" w:rsidR="00EB5859" w:rsidRPr="007224C3" w:rsidRDefault="00EB5859" w:rsidP="007224C3">
      <w:pPr>
        <w:spacing w:after="0" w:line="240" w:lineRule="auto"/>
        <w:jc w:val="both"/>
        <w:rPr>
          <w:rFonts w:ascii="Times New Roman" w:hAnsi="Times New Roman"/>
          <w:color w:val="000000" w:themeColor="text1"/>
          <w:sz w:val="16"/>
          <w:szCs w:val="16"/>
        </w:rPr>
      </w:pPr>
    </w:p>
    <w:p w14:paraId="0823FA09" w14:textId="77777777" w:rsidR="00D4630C" w:rsidRPr="007224C3" w:rsidRDefault="00D4630C" w:rsidP="007224C3">
      <w:pPr>
        <w:pStyle w:val="ae"/>
        <w:shd w:val="clear" w:color="auto" w:fill="FFFFFF"/>
        <w:spacing w:before="0" w:after="0"/>
        <w:jc w:val="both"/>
        <w:rPr>
          <w:color w:val="000000" w:themeColor="text1"/>
          <w:sz w:val="16"/>
          <w:szCs w:val="16"/>
        </w:rPr>
      </w:pPr>
      <w:r w:rsidRPr="007224C3">
        <w:rPr>
          <w:rStyle w:val="a7"/>
          <w:b w:val="0"/>
          <w:color w:val="000000" w:themeColor="text1"/>
          <w:sz w:val="16"/>
          <w:szCs w:val="16"/>
        </w:rPr>
        <w:t>22 марта 1944 года</w:t>
      </w:r>
      <w:r w:rsidRPr="007224C3">
        <w:rPr>
          <w:color w:val="000000" w:themeColor="text1"/>
          <w:sz w:val="16"/>
          <w:szCs w:val="16"/>
        </w:rPr>
        <w:t xml:space="preserve"> Берлин атаковали уже американцы: 460 В-17 и 197 </w:t>
      </w:r>
      <w:hyperlink r:id="rId79" w:history="1">
        <w:r w:rsidRPr="007224C3">
          <w:rPr>
            <w:rStyle w:val="a5"/>
            <w:rFonts w:eastAsia="Times New Roman"/>
            <w:color w:val="000000" w:themeColor="text1"/>
            <w:sz w:val="16"/>
            <w:szCs w:val="16"/>
            <w:u w:val="none"/>
          </w:rPr>
          <w:t xml:space="preserve">B-24 </w:t>
        </w:r>
      </w:hyperlink>
      <w:r w:rsidRPr="007224C3">
        <w:rPr>
          <w:color w:val="000000" w:themeColor="text1"/>
          <w:sz w:val="16"/>
          <w:szCs w:val="16"/>
        </w:rPr>
        <w:t>нанесли удар по авиационным заводам Ораниенбурга и Бадсдорфа. Почти 1,5 миллиона жителей города остались без крова, однако это было только начало. Американцы пока только пробовали силы. До начала мая они потеряли 38</w:t>
      </w:r>
      <w:hyperlink r:id="rId80" w:history="1">
        <w:r w:rsidRPr="007224C3">
          <w:rPr>
            <w:rStyle w:val="a5"/>
            <w:rFonts w:eastAsia="Times New Roman"/>
            <w:color w:val="000000" w:themeColor="text1"/>
            <w:sz w:val="16"/>
            <w:szCs w:val="16"/>
            <w:u w:val="none"/>
          </w:rPr>
          <w:t xml:space="preserve"> «Летающих крепостей» B-17</w:t>
        </w:r>
      </w:hyperlink>
      <w:r w:rsidRPr="007224C3">
        <w:rPr>
          <w:color w:val="000000" w:themeColor="text1"/>
          <w:sz w:val="16"/>
          <w:szCs w:val="16"/>
        </w:rPr>
        <w:t xml:space="preserve"> и 25 </w:t>
      </w:r>
      <w:hyperlink r:id="rId81" w:history="1">
        <w:r w:rsidRPr="007224C3">
          <w:rPr>
            <w:rStyle w:val="a5"/>
            <w:rFonts w:eastAsia="Times New Roman"/>
            <w:color w:val="000000" w:themeColor="text1"/>
            <w:sz w:val="16"/>
            <w:szCs w:val="16"/>
            <w:u w:val="none"/>
          </w:rPr>
          <w:t>B-24</w:t>
        </w:r>
      </w:hyperlink>
      <w:r w:rsidRPr="007224C3">
        <w:rPr>
          <w:color w:val="000000" w:themeColor="text1"/>
          <w:sz w:val="16"/>
          <w:szCs w:val="16"/>
        </w:rPr>
        <w:t>.</w:t>
      </w:r>
    </w:p>
    <w:p w14:paraId="673BD90C" w14:textId="77777777" w:rsidR="00D4630C" w:rsidRPr="007224C3" w:rsidRDefault="00D4630C" w:rsidP="007224C3">
      <w:pPr>
        <w:pStyle w:val="ae"/>
        <w:shd w:val="clear" w:color="auto" w:fill="FFFFFF"/>
        <w:spacing w:before="0" w:after="0"/>
        <w:jc w:val="both"/>
        <w:rPr>
          <w:color w:val="000000" w:themeColor="text1"/>
          <w:sz w:val="16"/>
          <w:szCs w:val="16"/>
        </w:rPr>
      </w:pPr>
      <w:r w:rsidRPr="007224C3">
        <w:rPr>
          <w:rStyle w:val="a7"/>
          <w:b w:val="0"/>
          <w:color w:val="000000" w:themeColor="text1"/>
          <w:sz w:val="16"/>
          <w:szCs w:val="16"/>
        </w:rPr>
        <w:t>7 мая 1944 года</w:t>
      </w:r>
      <w:r w:rsidRPr="007224C3">
        <w:rPr>
          <w:color w:val="000000" w:themeColor="text1"/>
          <w:sz w:val="16"/>
          <w:szCs w:val="16"/>
        </w:rPr>
        <w:t xml:space="preserve"> 600 самоле</w:t>
      </w:r>
      <w:r w:rsidRPr="007224C3">
        <w:rPr>
          <w:color w:val="000000" w:themeColor="text1"/>
          <w:sz w:val="16"/>
          <w:szCs w:val="16"/>
        </w:rPr>
        <w:softHyphen/>
        <w:t xml:space="preserve">тов сбросили 1246 тонн бомб на центр Берлина, потеряв 6 машин. </w:t>
      </w:r>
      <w:r w:rsidRPr="007224C3">
        <w:rPr>
          <w:rStyle w:val="a7"/>
          <w:b w:val="0"/>
          <w:color w:val="000000" w:themeColor="text1"/>
          <w:sz w:val="16"/>
          <w:szCs w:val="16"/>
        </w:rPr>
        <w:t>8 мая</w:t>
      </w:r>
      <w:r w:rsidRPr="007224C3">
        <w:rPr>
          <w:color w:val="000000" w:themeColor="text1"/>
          <w:sz w:val="16"/>
          <w:szCs w:val="16"/>
        </w:rPr>
        <w:t xml:space="preserve"> 386 самолетов (25 сбито), а </w:t>
      </w:r>
      <w:r w:rsidRPr="007224C3">
        <w:rPr>
          <w:rStyle w:val="a7"/>
          <w:b w:val="0"/>
          <w:color w:val="000000" w:themeColor="text1"/>
          <w:sz w:val="16"/>
          <w:szCs w:val="16"/>
        </w:rPr>
        <w:t>19 мая</w:t>
      </w:r>
      <w:r w:rsidRPr="007224C3">
        <w:rPr>
          <w:color w:val="000000" w:themeColor="text1"/>
          <w:sz w:val="16"/>
          <w:szCs w:val="16"/>
        </w:rPr>
        <w:t xml:space="preserve"> 465 самолетов продолжили бомбардировку жилых районов. Всего до </w:t>
      </w:r>
      <w:r w:rsidRPr="007224C3">
        <w:rPr>
          <w:rStyle w:val="a7"/>
          <w:b w:val="0"/>
          <w:color w:val="000000" w:themeColor="text1"/>
          <w:sz w:val="16"/>
          <w:szCs w:val="16"/>
        </w:rPr>
        <w:t>21 июня 1944 года</w:t>
      </w:r>
      <w:r w:rsidRPr="007224C3">
        <w:rPr>
          <w:color w:val="000000" w:themeColor="text1"/>
          <w:sz w:val="16"/>
          <w:szCs w:val="16"/>
        </w:rPr>
        <w:t xml:space="preserve"> они потеряли 113 бомбардировщиков, из них 44 машины были уничтожены на земле, на дозаправке.</w:t>
      </w:r>
    </w:p>
    <w:p w14:paraId="7E02A0E2" w14:textId="77777777" w:rsidR="00D4630C" w:rsidRPr="007224C3" w:rsidRDefault="00D4630C" w:rsidP="007224C3">
      <w:pPr>
        <w:pStyle w:val="ae"/>
        <w:shd w:val="clear" w:color="auto" w:fill="FFFFFF"/>
        <w:spacing w:before="0" w:after="0"/>
        <w:jc w:val="both"/>
        <w:rPr>
          <w:color w:val="000000" w:themeColor="text1"/>
          <w:sz w:val="16"/>
          <w:szCs w:val="16"/>
        </w:rPr>
      </w:pPr>
      <w:r w:rsidRPr="007224C3">
        <w:rPr>
          <w:color w:val="000000" w:themeColor="text1"/>
          <w:sz w:val="16"/>
          <w:szCs w:val="16"/>
        </w:rPr>
        <w:t>До самой осени продолжалось относительное затишье, вызванное высадкой союзных войск в Нормандии, куда была отвлечена значительная часть бомбардировочной авиации. Немецкая столица все же была атакована:</w:t>
      </w:r>
    </w:p>
    <w:p w14:paraId="45E30426" w14:textId="77777777" w:rsidR="00D4630C" w:rsidRPr="007224C3" w:rsidRDefault="00D4630C" w:rsidP="007224C3">
      <w:pPr>
        <w:pStyle w:val="ae"/>
        <w:shd w:val="clear" w:color="auto" w:fill="FFFFFF"/>
        <w:spacing w:before="0" w:after="0"/>
        <w:jc w:val="both"/>
        <w:rPr>
          <w:rStyle w:val="a7"/>
          <w:b w:val="0"/>
          <w:color w:val="000000" w:themeColor="text1"/>
          <w:sz w:val="16"/>
          <w:szCs w:val="16"/>
        </w:rPr>
      </w:pPr>
      <w:r w:rsidRPr="007224C3">
        <w:rPr>
          <w:rStyle w:val="a7"/>
          <w:b w:val="0"/>
          <w:color w:val="000000" w:themeColor="text1"/>
          <w:sz w:val="16"/>
          <w:szCs w:val="16"/>
        </w:rPr>
        <w:t>6 августа 1944 г.</w:t>
      </w:r>
      <w:r w:rsidRPr="007224C3">
        <w:rPr>
          <w:color w:val="000000" w:themeColor="text1"/>
          <w:sz w:val="16"/>
          <w:szCs w:val="16"/>
        </w:rPr>
        <w:t xml:space="preserve">, 128 B-17, а затем </w:t>
      </w:r>
      <w:r w:rsidRPr="007224C3">
        <w:rPr>
          <w:rStyle w:val="a7"/>
          <w:b w:val="0"/>
          <w:color w:val="000000" w:themeColor="text1"/>
          <w:sz w:val="16"/>
          <w:szCs w:val="16"/>
        </w:rPr>
        <w:t>6 октября</w:t>
      </w:r>
      <w:r w:rsidRPr="007224C3">
        <w:rPr>
          <w:color w:val="000000" w:themeColor="text1"/>
          <w:sz w:val="16"/>
          <w:szCs w:val="16"/>
        </w:rPr>
        <w:t xml:space="preserve"> 382 B-17 бомбили Берлин и танковые заводы в Тегеле и Шпандау. За это время было потеряно 17 машин. Ещё раз эти цели и другие заводы подверглись атаке с воздуха </w:t>
      </w:r>
      <w:r w:rsidRPr="007224C3">
        <w:rPr>
          <w:rStyle w:val="a7"/>
          <w:b w:val="0"/>
          <w:color w:val="000000" w:themeColor="text1"/>
          <w:sz w:val="16"/>
          <w:szCs w:val="16"/>
        </w:rPr>
        <w:t>5 декабря (17416).</w:t>
      </w:r>
    </w:p>
    <w:p w14:paraId="3122FDFF" w14:textId="77777777" w:rsidR="00D4630C" w:rsidRPr="007224C3" w:rsidRDefault="00D4630C" w:rsidP="007224C3">
      <w:pPr>
        <w:pStyle w:val="ae"/>
        <w:shd w:val="clear" w:color="auto" w:fill="FFFFFF"/>
        <w:spacing w:before="0" w:after="0"/>
        <w:jc w:val="both"/>
        <w:rPr>
          <w:rStyle w:val="a7"/>
          <w:b w:val="0"/>
          <w:color w:val="000000" w:themeColor="text1"/>
          <w:sz w:val="16"/>
          <w:szCs w:val="16"/>
        </w:rPr>
      </w:pPr>
    </w:p>
    <w:p w14:paraId="5A111403" w14:textId="77777777" w:rsidR="004D5E52" w:rsidRPr="007224C3" w:rsidRDefault="004D5E52"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22–23 марта (ночь) 1944 816 британских бомбардировщиков совершают налет на Франкфурт-на-Майне. Немногочисленные немецкие ночные истребители перехватывают их, 33 бомбардировщика (4 процента сил) потеряны. Рейд оказался даже более успешным, чем рейд 18–19 марта, он нанес серьезный ущерб большей части города, в результате чего половина города осталась без воды, электричества и природного газа, а также были нанесены большие разрушения промышленным районам (20373).</w:t>
      </w:r>
    </w:p>
    <w:p w14:paraId="5C399114" w14:textId="77777777" w:rsidR="004D5E52" w:rsidRPr="007224C3" w:rsidRDefault="004D5E52" w:rsidP="007224C3">
      <w:pPr>
        <w:spacing w:after="0" w:line="240" w:lineRule="auto"/>
        <w:jc w:val="both"/>
        <w:rPr>
          <w:rFonts w:ascii="Times New Roman" w:hAnsi="Times New Roman"/>
          <w:color w:val="0070C0"/>
          <w:sz w:val="16"/>
          <w:szCs w:val="16"/>
        </w:rPr>
      </w:pPr>
    </w:p>
    <w:p w14:paraId="2676F176"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марта 1944 во время пыток в парижском гестапо покончил с собой один из лидеров французского Сопротивления Пьер Броссолет (4962).</w:t>
      </w:r>
    </w:p>
    <w:p w14:paraId="3C19FCD5"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C053D5D"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22 марта 1944 германское командованием отдало приказ о возвращении подводных лодок из Центральной Атлантики (4963 ).</w:t>
      </w:r>
    </w:p>
    <w:p w14:paraId="000FE54B"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CDC0CD0"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марта 1944 японские войска вторглись на территорию Индии (4962).</w:t>
      </w:r>
    </w:p>
    <w:p w14:paraId="20E48BF7"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ADA425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марта 1944 японские войска вторглись в Индию (2247,2).</w:t>
      </w:r>
    </w:p>
    <w:p w14:paraId="22300BF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483FC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марта 1944 с полигона White Sands был произведен запуск ракеты для исследования атмосферы и поднялась на 80 км (2990).</w:t>
      </w:r>
    </w:p>
    <w:p w14:paraId="76C3737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322CBF"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марта 1944 Китай и Канада подписали договор о взаимопомощи (4962).</w:t>
      </w:r>
    </w:p>
    <w:p w14:paraId="76EB66FD"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FDADC50"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4A42D23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0864F3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марта 1944 вышел приказ НКАП N 212с:</w:t>
      </w:r>
    </w:p>
    <w:p w14:paraId="3B9980F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"Проведенные в ЛИИ летные испытания самолета Як-9 с мотором М-105ПД показали, что достигнутая высота полета 13000 м удовлетворяет поставленным требованиям, но для этого самолета она близка к пределу.</w:t>
      </w:r>
    </w:p>
    <w:p w14:paraId="0AF46B7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связи с тем, что задача дальнейшего повышения высотности требует весьма значительных изменений конструкции серийного Як-9:</w:t>
      </w:r>
    </w:p>
    <w:p w14:paraId="5DCC090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Отменить постройку самолета Як-9 с ВК-105ПД с боевой высотой 13500 м, предусмотренную приказом N 523сс от 31 августа 1943 (1627,9).</w:t>
      </w:r>
    </w:p>
    <w:p w14:paraId="778325F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55299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23 марта по август 1944 проходили гос. испытания Як-9Б (заводской индекс - Як-9Л) с ВК-105ПФ и 4хФАБ-100 или 128 ПТАБ-2,5-1,5 в четыре приема и летали многие, в т.ч. А.Г.Прошаков, Ю.А.Антипов, А.Г.Кубышкин, а ви был А.Т.Степанец. Собственно с 23 по 24 марта осуществляли облет и взвешивание (65,135).</w:t>
      </w:r>
    </w:p>
    <w:p w14:paraId="47292ED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F6D5BC"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23 марта</w:t>
      </w:r>
      <w:r w:rsidRPr="007224C3">
        <w:rPr>
          <w:rFonts w:ascii="Times New Roman" w:hAnsi="Times New Roman"/>
          <w:color w:val="000000" w:themeColor="text1"/>
          <w:sz w:val="16"/>
          <w:szCs w:val="16"/>
        </w:rPr>
        <w:t xml:space="preserve"> в 1944 году первый полет истребителя-бомбардировщика </w:t>
      </w:r>
      <w:hyperlink r:id="rId82" w:tgtFrame="_blank" w:history="1">
        <w:r w:rsidRPr="007224C3">
          <w:rPr>
            <w:rFonts w:ascii="Times New Roman" w:hAnsi="Times New Roman"/>
            <w:color w:val="000000" w:themeColor="text1"/>
            <w:sz w:val="16"/>
            <w:szCs w:val="16"/>
          </w:rPr>
          <w:t xml:space="preserve">«Як-9Б» </w:t>
        </w:r>
      </w:hyperlink>
      <w:r w:rsidRPr="007224C3">
        <w:rPr>
          <w:rFonts w:ascii="Times New Roman" w:hAnsi="Times New Roman"/>
          <w:color w:val="000000" w:themeColor="text1"/>
          <w:sz w:val="16"/>
          <w:szCs w:val="16"/>
        </w:rPr>
        <w:t>«Як-9», созданный в конце 1942 года, стал самым массовым истребителем советских ВВС в период Великой Отечественной войны. За 1942-1945 гг. авиапромышленность выпустила 15470 самолетов этого типа. При его создании за основу был взят истребитель «Як-7Б» с мотором «М-105ПФ» (15077).</w:t>
      </w:r>
    </w:p>
    <w:p w14:paraId="457248CA" w14:textId="77777777" w:rsidR="00EB5859" w:rsidRPr="007224C3" w:rsidRDefault="00EB5859" w:rsidP="007224C3">
      <w:pPr>
        <w:spacing w:after="0" w:line="240" w:lineRule="auto"/>
        <w:jc w:val="both"/>
        <w:rPr>
          <w:rFonts w:ascii="Times New Roman" w:hAnsi="Times New Roman"/>
          <w:color w:val="000000" w:themeColor="text1"/>
          <w:sz w:val="16"/>
          <w:szCs w:val="16"/>
        </w:rPr>
      </w:pPr>
    </w:p>
    <w:p w14:paraId="4C5F4FC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марта 1944 г. в НИИ ВВС начались Государственные испытания истребителя-бомбардировщика Як-9Л (самолет "Л"), впоследствии переименованного в Як-9Б. Машину переделали из серийного Як-9Д № 09-75 на опытном заводе № 115 в Москве в соответствие с постановлением ГКО от 15 марта 1944 г.</w:t>
      </w:r>
    </w:p>
    <w:p w14:paraId="7F83D8A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Стрелковое вооружение осталось прежнее, но за кабиной пилота между вторым и четвертым шпангоутами оборудовали бомбовые отсеки. При этом переделали верхнюю и нижнюю панели обшивки фюзеляжа, причем в последней выполнили четыре люка. Стенки четырех бомбоотсеков наклонили назад под углом 75 градусов к продольной оси истребителя. Бомбоотсеки допускали подвеску противотанковых ПТАБ-2,5-1,5 (4x32 бомбы) или до четырех фугасных авиабомб ФАБ-100.</w:t>
      </w:r>
    </w:p>
    <w:p w14:paraId="001AB52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Открытие створок бомбового отсека осуществлялось от аварийного сбрасывателя или с помощью электрических спусковых устройств ЭЛС-1. Закрытие створок - пневмоприводом. Тросы проводки управления рулем направления сдвинули к продольной оси самолета. Радиопередатчик и умформер перенесли в хвостовую часть фюзеляжа.</w:t>
      </w:r>
    </w:p>
    <w:p w14:paraId="1BA4DEE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Ведущими по машине на этапе государственных испытаний были инженер С.А. Ста- ринин, летчики В.И. Хомяков, А.Г. Проша- ков, Ю.А. Антипов и И.А. Доброскокин (НИИ авиационного вооружения ВВС).</w:t>
      </w:r>
    </w:p>
    <w:p w14:paraId="1F082B2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выводах "Акта по результатам государственных испытаний..." отмечалось, что Як-9Л может производить бомбометание по площадным целям. Прицельное бомбометание было невозможно из-за отсутствия прицела.</w:t>
      </w:r>
    </w:p>
    <w:p w14:paraId="176D046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пикировании с углами до 50 градусов бомбы свободно выпадали из фюзеляжа, а свыше - только при выводе из пикирования. Недостаточный угол упреждения, ограниченный установкой прицела РБП-1а, исключал точное бомбометание на углах пикирования до 50 градусов.</w:t>
      </w:r>
    </w:p>
    <w:p w14:paraId="4C4E15C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с полетным весом 3365 кг (бомбовая нагрузка - 200 кг, горючее - 485 кг) имел центровку 28,9 процента, при которой на взлете он становился неустойчивым, а в горизонтальном полете его продольная устойчивость была близка к нейтральной.</w:t>
      </w:r>
    </w:p>
    <w:p w14:paraId="6AA6DFB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заключение отмечалось, что Як-9Л можно рекомендовать для бомбометания по площадным целям, но с бомбовой нагрузкой не более 200 кг. При этом следовало устранить выявленные в ходе испытаний дефекты на всех машинах, выпускавшихся в соответствии с февральским 1944 года постановлением ГКО, и доработать бомбовые отсеки, обеспечив прицельное бомбометание на углах пикирования до 80 градусов и свободное выпадение из них авиабомб (12046).</w:t>
      </w:r>
    </w:p>
    <w:p w14:paraId="1EE0661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1B848B5"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35CA19E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54F8337" w14:textId="77777777" w:rsidR="006E2E37" w:rsidRPr="007224C3" w:rsidRDefault="006E2E37" w:rsidP="007224C3">
      <w:pPr>
        <w:pStyle w:val="ae"/>
        <w:spacing w:before="0" w:after="0"/>
        <w:jc w:val="both"/>
        <w:textAlignment w:val="baseline"/>
        <w:rPr>
          <w:color w:val="000000" w:themeColor="text1"/>
          <w:sz w:val="16"/>
          <w:szCs w:val="16"/>
        </w:rPr>
      </w:pPr>
      <w:r w:rsidRPr="007224C3">
        <w:rPr>
          <w:color w:val="000000" w:themeColor="text1"/>
          <w:sz w:val="16"/>
          <w:szCs w:val="16"/>
        </w:rPr>
        <w:t>23 марта 1944 нарком танковой промышленности В.А. Малышев дал указание о постройке двух опытных образцов Т-44, в которых устранялись обнаруженные на испытаниях недочёты. Кроме того, диаметр опорных катков увеличивался до 830 мм (аналогично Т-34) (18950).</w:t>
      </w:r>
    </w:p>
    <w:p w14:paraId="76698A7A" w14:textId="77777777" w:rsidR="006E2E37" w:rsidRPr="007224C3" w:rsidRDefault="006E2E37" w:rsidP="007224C3">
      <w:pPr>
        <w:spacing w:after="0" w:line="240" w:lineRule="auto"/>
        <w:jc w:val="both"/>
        <w:textAlignment w:val="baseline"/>
        <w:rPr>
          <w:rFonts w:ascii="Times New Roman" w:hAnsi="Times New Roman"/>
          <w:color w:val="000000" w:themeColor="text1"/>
          <w:sz w:val="16"/>
          <w:szCs w:val="16"/>
        </w:rPr>
      </w:pPr>
    </w:p>
    <w:p w14:paraId="49F25EA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марта 1944 г. вышло ПОСТАНОВЛЕНИЕ № 3 ВОЕННОГО СОВЕТА БТ и МВ КА</w:t>
      </w:r>
    </w:p>
    <w:p w14:paraId="72273CD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Присутствовали: генерал-лейтенант т. Вершинин</w:t>
      </w:r>
    </w:p>
    <w:p w14:paraId="6656A33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генерал-лейтенант т. Лебедев генерал-майор т. Афонин генерал-майор т. Павловский генерал-майор т. Алымов генерал-майор т. Печеникин генерал-майор т. Романов подполковник т. Киркевич</w:t>
      </w:r>
    </w:p>
    <w:p w14:paraId="24C0EA1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Слушали: О результатах гарантийных испытаний танков и самоходных установок.</w:t>
      </w:r>
    </w:p>
    <w:p w14:paraId="17E0940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Доклад генерал-лейтенанта т. Вершинина.</w:t>
      </w:r>
    </w:p>
    <w:p w14:paraId="1D9A873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Военный совет констатирует:</w:t>
      </w:r>
    </w:p>
    <w:p w14:paraId="4C41F9D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Качество выпускаемых танков продолжает оставаться неудовлетворительным. На 1000 кило</w:t>
      </w:r>
      <w:r w:rsidRPr="007224C3">
        <w:rPr>
          <w:rFonts w:ascii="Times New Roman" w:hAnsi="Times New Roman"/>
          <w:color w:val="000000" w:themeColor="text1"/>
          <w:sz w:val="16"/>
          <w:szCs w:val="16"/>
        </w:rPr>
        <w:softHyphen/>
        <w:t>метров пробега гарантийные испытания выдержало только 33% танков, на 300 километров пробега выдержало только 73%.</w:t>
      </w:r>
    </w:p>
    <w:p w14:paraId="1A1A4AB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Постановление ГОКО от 29.03.1943 г. о повышении качества танков заводами выполняется неудовлетворительно.</w:t>
      </w:r>
    </w:p>
    <w:p w14:paraId="7DB0AB8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Военный совет ПОСТАНОВЛЯЕТ:</w:t>
      </w:r>
    </w:p>
    <w:p w14:paraId="7DB29AC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Просить правительство увеличить число танков для гарантийного пробега один от каждых 50 шт.</w:t>
      </w:r>
    </w:p>
    <w:p w14:paraId="47E90B6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Ввести строгую документацию пробега танков. (Учет дефектов).</w:t>
      </w:r>
    </w:p>
    <w:p w14:paraId="5266538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Ведущим инженерам усилить контроль за качеством выпускаемых танков и самоходных уста</w:t>
      </w:r>
      <w:r w:rsidRPr="007224C3">
        <w:rPr>
          <w:rFonts w:ascii="Times New Roman" w:hAnsi="Times New Roman"/>
          <w:color w:val="000000" w:themeColor="text1"/>
          <w:sz w:val="16"/>
          <w:szCs w:val="16"/>
        </w:rPr>
        <w:softHyphen/>
        <w:t>новок.</w:t>
      </w:r>
    </w:p>
    <w:p w14:paraId="3A9FC40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Товарищу Вершинину каждый месяц докладывать Военному совету о качестве танков и СУ.</w:t>
      </w:r>
    </w:p>
    <w:p w14:paraId="1E3013C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Поручить т. Коробкову, т. Вершинину и т. Афонину переработать доклад в разрезе указания Военного совета и подготовить проект постановления ГОКО к 25.03.1944 г.</w:t>
      </w:r>
    </w:p>
    <w:p w14:paraId="3573FEA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Слушали: О выборе марок танков для ввоза из Англии и Америки.</w:t>
      </w:r>
    </w:p>
    <w:p w14:paraId="3DFD377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Докладчик т. Вершинин.</w:t>
      </w:r>
    </w:p>
    <w:p w14:paraId="3644BDA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Постановили: Утвердить представленный список марок машин, подлежащих ввозу в СССР.</w:t>
      </w:r>
    </w:p>
    <w:p w14:paraId="062D3E3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Слушали: О представлении к правительственным наградам военпредов заводов. Докладчик т. Афонин.</w:t>
      </w:r>
    </w:p>
    <w:p w14:paraId="10B959F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Постановили: Поручить тт. Вершинину и Афонину представить список военпредов заводов для награждения орденами к 31 марта 1944 г. Приложение</w:t>
      </w:r>
      <w:r w:rsidRPr="007224C3">
        <w:rPr>
          <w:rFonts w:ascii="Times New Roman" w:hAnsi="Times New Roman"/>
          <w:color w:val="000000" w:themeColor="text1"/>
          <w:sz w:val="16"/>
          <w:szCs w:val="16"/>
          <w:vertAlign w:val="superscript"/>
        </w:rPr>
        <w:t>1</w:t>
      </w:r>
      <w:r w:rsidRPr="007224C3">
        <w:rPr>
          <w:rFonts w:ascii="Times New Roman" w:hAnsi="Times New Roman"/>
          <w:color w:val="000000" w:themeColor="text1"/>
          <w:sz w:val="16"/>
          <w:szCs w:val="16"/>
        </w:rPr>
        <w:t>:</w:t>
      </w:r>
    </w:p>
    <w:p w14:paraId="31BD2E3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Доклад т. Вершинина о качестве танков и самоходных установок.</w:t>
      </w:r>
    </w:p>
    <w:p w14:paraId="41A3243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Список танков и других машин, подлежащих выписке из-за границы.</w:t>
      </w:r>
    </w:p>
    <w:p w14:paraId="2AB10DD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Командующий БТ и МВ Красной Армии маршал бронетанковых войск Федоренко</w:t>
      </w:r>
    </w:p>
    <w:p w14:paraId="656D1CB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Член Военного совета БТ и МВ Красной Армии генерал-лейтенант танковых войск Н. Бирюков</w:t>
      </w:r>
    </w:p>
    <w:p w14:paraId="25F28A7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38. Оп. 11389. Д. 18. Л. 12-13. Подлинник (11403).</w:t>
      </w:r>
    </w:p>
    <w:p w14:paraId="64B7D59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B8A0F8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марта 1944 г. была подготовлена ДОКЛАДНАЯ ЗАПИСКА НАЧАЛЬНИКА ГЛАВНОГО УФ и БП БТ и МВ КА НАЧАЛЬНИКУ ГБТУ КА ОБ УКОМПЛЕКТОВАНИИ БРОНЕТЕХНИКИ ПИСТОЛЕТАМИ-ПУЛЕМЕТАМИ ППШ И АПТЕЧКАМИ № 502653</w:t>
      </w:r>
    </w:p>
    <w:p w14:paraId="7A8333D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Танки, самоходные установки, бронеавтомобили и бронетранспортеры, поступающие в форми</w:t>
      </w:r>
      <w:r w:rsidRPr="007224C3">
        <w:rPr>
          <w:rFonts w:ascii="Times New Roman" w:hAnsi="Times New Roman"/>
          <w:color w:val="000000" w:themeColor="text1"/>
          <w:sz w:val="16"/>
          <w:szCs w:val="16"/>
        </w:rPr>
        <w:softHyphen/>
        <w:t>руемые части с заводов и отделов военной приемки, не укомплектовываются пистолетами-пулеме</w:t>
      </w:r>
      <w:r w:rsidRPr="007224C3">
        <w:rPr>
          <w:rFonts w:ascii="Times New Roman" w:hAnsi="Times New Roman"/>
          <w:color w:val="000000" w:themeColor="text1"/>
          <w:sz w:val="16"/>
          <w:szCs w:val="16"/>
        </w:rPr>
        <w:softHyphen/>
        <w:t>тами ППШ и аптечками с набором положенных медикаментов.</w:t>
      </w:r>
    </w:p>
    <w:p w14:paraId="1668B22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Прошу Вашего распоряжения об укомплектовании с 10 апреля с.г. боевых машин на заводах и в военных приемках положенными пистолетами-пулеметами ППШ и аптечками на каждую машину.</w:t>
      </w:r>
    </w:p>
    <w:p w14:paraId="4986223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Вопрос об отпуске пистолетов-пулеметов ППШ мною согласован с заместителем начальника ГАУ КА генерал-лейтенантом артиллерии т. Волкотрубенко; об отпуске аптечек - с начальником управле</w:t>
      </w:r>
      <w:r w:rsidRPr="007224C3">
        <w:rPr>
          <w:rFonts w:ascii="Times New Roman" w:hAnsi="Times New Roman"/>
          <w:color w:val="000000" w:themeColor="text1"/>
          <w:sz w:val="16"/>
          <w:szCs w:val="16"/>
        </w:rPr>
        <w:softHyphen/>
        <w:t>ния снабжения медсанхозимуществом главсанупра полковником мед. службы т. Тиманьковым.</w:t>
      </w:r>
    </w:p>
    <w:p w14:paraId="39DB280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Врид. начальника главного управления формирования и боевой подготовки БТ и МВ КА</w:t>
      </w:r>
    </w:p>
    <w:p w14:paraId="279AF65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полковник Колосов</w:t>
      </w:r>
    </w:p>
    <w:p w14:paraId="7EE9867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управления формирования и укомплектования БТ и МВ КА</w:t>
      </w:r>
    </w:p>
    <w:p w14:paraId="5FD7ECF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генерал-майор танковых войск Кабанов</w:t>
      </w:r>
    </w:p>
    <w:p w14:paraId="79AB0EC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38. Оп. 11355. Д. 2515. Л. 59. Подлинник (11403).</w:t>
      </w:r>
    </w:p>
    <w:p w14:paraId="3261FD7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44D7A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марта 1944 вышло Постановление ГКО № 5453 Об обеспечении рабочей силой объектов НКО, предусмотренных постановлением ГОКО № 3385сс от 15 мая 1943 г. РГАНИР, Фонд ГКО, д. 220, лл. 34 (11012).</w:t>
      </w:r>
    </w:p>
    <w:p w14:paraId="1012085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ED605F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марта 1944 вышло Постановление ГКО № 5454 Об обеспечении военной промышленности черными металлами во II квартале 1944 года. РГАНИР, Фонд ГКО, д. 220, лл. 35-36 (11012).</w:t>
      </w:r>
    </w:p>
    <w:p w14:paraId="13AE7AF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7B11B9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марта 1944 вышло Постановление ГКО № 5455 О разгрузке Уралмашзавода НКТП от производства изделий, не связанных с производством танков и пушек. РГАНИР, Фонд ГКО, д. 220, лл. 37-38 (11012).</w:t>
      </w:r>
    </w:p>
    <w:p w14:paraId="507C6E5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0A1A41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марта 1944 вышло Постановление ГКО № 5456 О мероприятиях по обеспечению выполнения плана осенне-зимних заготовок авиалеса. РГАНИР, Фонд ГКО, д. 220, лл. 39-46 (11012).</w:t>
      </w:r>
    </w:p>
    <w:p w14:paraId="6421182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4A8EF3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марта 1944 вышло Распоряжение ГКО № 5457. О подготовке проекта постановления "О мерах по завозу горючего и масел во II квартале 1944 года для весенних сельскохозяйственных работ". РГАНИР, Фонд ГКО, д. 220, лл. 47,48-63 (11012).</w:t>
      </w:r>
    </w:p>
    <w:p w14:paraId="3FEE7A7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ADCB40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марта 1944 вышло Постановление ГКО № 5458 О материально-техническом обеспечении производства тяжелых танков и артиллерийских самоходных установок, мощных танковых пушек и 122-152 мм снарядов. РГАНИР, Фонд ГКО, д. 220, лл. 64-65,66-186 (11012).</w:t>
      </w:r>
    </w:p>
    <w:p w14:paraId="3FF3E62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AD1766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марта 1944 вышло Постановление ГКО№ 5459 Об улучшении работы военторгов по обслуживанию действующей армии. РГАНИР, Фонд ГКО, д. 220, лл. 187-194,195-224 (11012).</w:t>
      </w:r>
    </w:p>
    <w:p w14:paraId="20B8408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78F951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марта 1944 вышло Постановление ГКО № 5461 О строительстве Закавказского металлургического завода в Грузинской ССР. РГАНИР, Фонд ГКО, д. 220, лл. 226-232,233-281 (11012).</w:t>
      </w:r>
    </w:p>
    <w:p w14:paraId="3A567ED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34D2439"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61736CE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426D894"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23 марта</w:t>
      </w:r>
      <w:r w:rsidRPr="007224C3">
        <w:rPr>
          <w:rFonts w:ascii="Times New Roman" w:hAnsi="Times New Roman"/>
          <w:color w:val="000000" w:themeColor="text1"/>
          <w:sz w:val="16"/>
          <w:szCs w:val="16"/>
        </w:rPr>
        <w:t xml:space="preserve"> в 1944 году оперативная сводка Совинформбюро:</w:t>
      </w:r>
    </w:p>
    <w:p w14:paraId="014F71BF"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23 марта юго-западнее города Кременец наши войска продолжали вести наступательные бои, в ходе которых овладели районными центрами Тарнопольской области Заложцы, Глубочек Великий, а также с боями заняли более 20 других населённых пунктов.</w:t>
      </w:r>
    </w:p>
    <w:p w14:paraId="5FCB66E7"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На-днях войска 1-го Украинского фронта возобновили наступление на участке Тарнополь-Проскуров и, прорвав оборону противника, за три дня наступательных боёв продвинулись вперёд от 40 до 60 километров. В ходе наступления наши войска овладели районными центрами Тарнопольской области — городом и крупным железнодорожным узлом Копычинцы, городом и крупной железнодорожной станцией Трембовля, Микулинцы, Гримайлов, районным центром Каменец-Подольской области Фельштин, а также заняли более 200 других населённых пунктов, в том числе крупные населённые пункты Березовица Велька, Мышковица, Настасув, Сущин, Илавче, Глещава, Ивановка, Мшанец, Яблонов, Хоростков, Остапе, Турувка, Рыпна, Соломно, Немиринцы, Александровка, Варовцы, Борщёвка, Кузьмин, Аленсинец-Подлесный, Алексинец-Польный, Кадиевка, Андрейковцы и железнодорожные станции Березовица-Остров, Прошова, Микулинцы-Струсов, Деренювка, Хоростков, Гримайлов. Под ударами наших войск противник понес большие потери в живой силе итехнике.</w:t>
      </w:r>
    </w:p>
    <w:p w14:paraId="1937A6CE"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и юго-западнее Винница наши войска, преодолевая сопротивление и контратаки противника, продолжали наступление и овладели районным центром Каменец-Подольской области городом Летичев, а также с боями заняли более 25 других населённых пунктов, среди которых крупные населённые пункты Буцни, Голенищево, Дубовая, Куриловцы, Лопатенцы, Ражепы, Голодки, Мигалевцы, Ялтушков.</w:t>
      </w:r>
    </w:p>
    <w:p w14:paraId="0706E795"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Южнее города Могилёв-Подольский наши войска, продолжая развивать наступление на правом берегу Днестра, овладели районными центрами Молдавской ССР городом Рышкановка, Тырново, Вертюжаны, а также с боями заняли более 40 других населённых пунктов.</w:t>
      </w:r>
    </w:p>
    <w:p w14:paraId="2EEF0231"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и южнее города Гайворон наши войска с боями продвигались вперёд и овладели районным центром Одесской области городом и крупной железнодорожной станцией Кодыма, а также заняли более 30 других населённых пунктов, в том числе Баштанково, Ивашково, Волова, Шляхово, Ракулово, Юзефовка.</w:t>
      </w:r>
    </w:p>
    <w:p w14:paraId="2233DB15"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Николаевском направлении наши войска, продолжая вести бои по очищению от противника восточного берега реки Южный Буг, овладели населёнными пунктами Болгарка, Раково, Ново-Григорьевск, Арнаутовка, Пески, Гурьевка, Константиновка. Наши войска вплотную подошли к городу Вознесенск и завязали бои на окраинах города.</w:t>
      </w:r>
    </w:p>
    <w:p w14:paraId="3A6880D5"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 бои местного значения.</w:t>
      </w:r>
    </w:p>
    <w:p w14:paraId="56233ACD"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22 марта наши войска на всех фронтах подбили и уничтожили 51 немецкий танк. В воздушных боях и огнём зенитной артиллерии сбито 24 самолёта противника.</w:t>
      </w:r>
    </w:p>
    <w:p w14:paraId="2093B8FE"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1-го Украинского фронта три дня тому назад возобновили наступление на участке Тарнополь-Проскуров. В последнее время в этом районе немцы предпринимали контратаки, стремясь вновь захватить железную дорогу, соединяющую города Проскуров и Тарнополь. Когда немецкие танковые и пехотные дивизии в бесплодных контратаках были измотаны, наши войска внезапно перешли в наступление. Советские танки и пехота в первый же день наступления прорвали оборону противника и устремились на юг. За три дня боёв наши войска продвинулись вперёд от 40 до 60 километров. Бойцы Н-ского соединения штурмом овладели городом и крупной железнодорожной станцией Трембовля. Затем был нанесён удар по крупному железнодорожному узду и городу Копычинцы. Советские бойцы разгромили немецкий гарнизон и, овладев городом, перерезали железную дорогу Чертков-Гусятин. Другиенаши соединения развернули успешное наступление западнее города Проскуров и разорвали немецкую оборону на отдельные изолированные друг от друга звенья. В этих боях наши войска нанесли противнику тяжёлые поражения. Только на участке Скалат—Городница подбито и сожжено свыше 50 немецких танков. В районе города Трембовля взято в плен 800 немецких солдат и офицеров и захвачены большие трофеи. У населённого пункта Андрейковцы наши бойцы захватили два железнодорожных эшелона с немецкими танками и автомашинами. Под ударами советских войск немцы отступают, бросая на своём пути вооружение и военные материалы.</w:t>
      </w:r>
    </w:p>
    <w:p w14:paraId="5E2CBF0A"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и юго-западнее города Винница наши войска продолжали наступление. Бойцы Н-ского соединения сегодня овладели важным узлом грунтовых дорог, районным центром Каменец-Подольской области, городом Летичев. Другие наши части, сломив сопротивление противника, продвинулись вперёд на 15 километров и выбили немцев из крупного населённого пункта Ялтушков. Уничтожено свыше 800 вражеских солдат и офицеров. Захвачено несколько артиллерийских батарей и большой склад боеприпасов.</w:t>
      </w:r>
    </w:p>
    <w:p w14:paraId="75A9C982"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Южнее города Могилёв-Подольский наши войска продолжали наступление на правом берегу Днестра. С боями продвигаясь вперёд, советские танкисты и пехотинцы заняли районный центр Молдавской ССР город Рышкановка и районные центры Тырново и Вертюжаны. Противник понёс большие потери в людях и технике. Бойцы Н-ской части разгромили до полка немецкой пехоты и захватили 8 самоходных орудий, 30 противотанковых пушек и большой обоз с имуществом, награбленным немцами у местных жителей. Взято в плен свыше 1.000 немецких и румынских солдат и офицеров.</w:t>
      </w:r>
    </w:p>
    <w:p w14:paraId="0DA46921"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Николаевском направлении наши войска продолжали наступательные бои. Немцы, закрепившись на высотах, у железной дороги и шоссе на подступах к городу Вознесенск, оказывали сильное огневое сопротивление. Наши части, окружая и ликвидируя узлы вражеской обороны, настойчиво продвигались вперёд. Сегодня, овладев селом Болгарка, советские бойцы ворвались на окраины города Вознесенска и завязали уличные бои. Захвачено у немцев 25 орудий, 60 пулемётов и свыше 100 автомашин. Части Н-ского соединения, с боями заняв населённые пункты Пески, Гурьевка, Константиновка, очищали восточный берег Южного Буга от немецко-фашистских захватчиков.</w:t>
      </w:r>
    </w:p>
    <w:p w14:paraId="7761D5DA"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Минский партизанский отряд «Смерть фашизму» за месяц пустил под откос 27 немецких воинских эшелонов. На шоссейных и грунтовых дорогах советские патриоты подорвали на минах 98 автомашин. Из засад убито свыше 200 немецких солдат и офицеров.» (15077).</w:t>
      </w:r>
    </w:p>
    <w:p w14:paraId="7F55F53E" w14:textId="77777777" w:rsidR="00EB5859" w:rsidRPr="007224C3" w:rsidRDefault="00EB5859" w:rsidP="007224C3">
      <w:pPr>
        <w:spacing w:after="0" w:line="240" w:lineRule="auto"/>
        <w:jc w:val="both"/>
        <w:rPr>
          <w:rFonts w:ascii="Times New Roman" w:hAnsi="Times New Roman"/>
          <w:color w:val="000000" w:themeColor="text1"/>
          <w:sz w:val="16"/>
          <w:szCs w:val="16"/>
        </w:rPr>
      </w:pPr>
    </w:p>
    <w:p w14:paraId="1FAE3ED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23 марта 1944 г. восемь Ил-2 из состава 7-го Гв. ЩАП, ведомые командиром полка подполковником А.Е. Мазуренко, нанесли удар по кораблям противника в Нарвском заливе. Штурмовик помощника командира полка майора В. Н.Каштанкина был подбит зенитным огнем и загорелся. Но после пролета над целью Каштан-кин </w:t>
      </w:r>
      <w:r w:rsidRPr="007224C3">
        <w:rPr>
          <w:rFonts w:ascii="Times New Roman" w:hAnsi="Times New Roman"/>
          <w:color w:val="000000" w:themeColor="text1"/>
          <w:sz w:val="16"/>
          <w:szCs w:val="16"/>
        </w:rPr>
        <w:lastRenderedPageBreak/>
        <w:t>развернул горящий самолет и направил его на немецкий тральщик. 31 мая того же года летчику и его стрелку-радисту сержанту В, Г. Кузнецову присвоено звание Героев Советского Союза посмертно. Этот боевой эпизод до сих пор остается загадкой, так как немецкие документы ни о каких своих потерях или повреждениях в корабельном составе в этот день не сообщают (8942).</w:t>
      </w:r>
    </w:p>
    <w:p w14:paraId="7AAD868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100E96" w14:textId="77777777" w:rsidR="006E2E37" w:rsidRPr="007224C3" w:rsidRDefault="006E2E37" w:rsidP="007224C3">
      <w:pPr>
        <w:pStyle w:val="ae"/>
        <w:spacing w:before="0" w:after="0"/>
        <w:jc w:val="both"/>
        <w:textAlignment w:val="baseline"/>
        <w:rPr>
          <w:color w:val="000000" w:themeColor="text1"/>
          <w:sz w:val="16"/>
          <w:szCs w:val="16"/>
        </w:rPr>
      </w:pPr>
      <w:r w:rsidRPr="007224C3">
        <w:rPr>
          <w:color w:val="000000" w:themeColor="text1"/>
          <w:sz w:val="16"/>
          <w:szCs w:val="16"/>
        </w:rPr>
        <w:t>23 марта 1944 г. восьмерка штурмовиков во главе с командиром 7-го гв. пшап гвардии майором Мазуренко нанесла удар по немецким кораблям в Нарвском заливе. При этом огнем корабельной зенитной артиллерии был подбит Ил-2 помощника командира полка гвардии майора Виктора Каштанкина. Согласно официальной версии, 34-летний пилот пролетел над целью, после чего развернул свой горящий штурмовик и направил его то ли на тральщик, то ли на сторожевой корабль. Каштанкин был посмертно представлен к званию Героя Советского Союза, которое затем 31 мая того же года и было ему присвоено. В то же время в немецких документах нет никаких упоминаний о потопленных кораблях в тот день в Нарвском заливе (19522).</w:t>
      </w:r>
    </w:p>
    <w:p w14:paraId="790C8D65" w14:textId="77777777" w:rsidR="006E2E37" w:rsidRPr="007224C3" w:rsidRDefault="006E2E37" w:rsidP="007224C3">
      <w:pPr>
        <w:pStyle w:val="ae"/>
        <w:spacing w:before="0" w:after="0"/>
        <w:jc w:val="both"/>
        <w:textAlignment w:val="baseline"/>
        <w:rPr>
          <w:color w:val="000000" w:themeColor="text1"/>
          <w:sz w:val="16"/>
          <w:szCs w:val="16"/>
        </w:rPr>
      </w:pPr>
    </w:p>
    <w:p w14:paraId="71995419"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марта 1944 вышло Постановление ГКО № 5460 О формировании четырех запасных стрелковых бригад для обучения советских граждан, мобилизуемых в освобождаемых от немецкой оккупации районах Западной Украины и Западной Белоруссии. (7200, 225).</w:t>
      </w:r>
    </w:p>
    <w:p w14:paraId="223C3F64"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C589FFD"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марта 1944 советские войска окружили немецкую армию под Тернополем (4962).</w:t>
      </w:r>
    </w:p>
    <w:p w14:paraId="6EFEA3BE"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9DCB386"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Жизнь и внутренняя политика:</w:t>
      </w:r>
    </w:p>
    <w:p w14:paraId="62DFED2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398CF79"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марта 1944 создан подпольный Национальный комитет Эстонской республики (4962).</w:t>
      </w:r>
    </w:p>
    <w:p w14:paraId="585C2F8B"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398D87C"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марта 1944 учрежден Киевский ботанический сад (4962).</w:t>
      </w:r>
    </w:p>
    <w:p w14:paraId="79B609F3"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7A8A79C" w14:textId="77777777" w:rsidR="00EB585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Внешняя политика:</w:t>
      </w:r>
    </w:p>
    <w:p w14:paraId="7C330115" w14:textId="77777777" w:rsidR="00EB5859" w:rsidRPr="007224C3" w:rsidRDefault="00EB585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BBD74AB"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23 марта</w:t>
      </w:r>
      <w:r w:rsidRPr="007224C3">
        <w:rPr>
          <w:rFonts w:ascii="Times New Roman" w:hAnsi="Times New Roman"/>
          <w:color w:val="000000" w:themeColor="text1"/>
          <w:sz w:val="16"/>
          <w:szCs w:val="16"/>
        </w:rPr>
        <w:t xml:space="preserve"> в 1944 году И.В.Сталин в личном послании Черчиллю выразил категорическое несогласие с претензиями польского эмигрантского правительства на территории Западной Украины и Западной Белоруссии и удивление поддержкой этих усилий со стороны Великобритании (15077).</w:t>
      </w:r>
    </w:p>
    <w:p w14:paraId="3E31AFA5" w14:textId="77777777" w:rsidR="00EB5859" w:rsidRPr="007224C3" w:rsidRDefault="00EB5859" w:rsidP="007224C3">
      <w:pPr>
        <w:spacing w:after="0" w:line="240" w:lineRule="auto"/>
        <w:jc w:val="both"/>
        <w:rPr>
          <w:rFonts w:ascii="Times New Roman" w:hAnsi="Times New Roman"/>
          <w:color w:val="000000" w:themeColor="text1"/>
          <w:sz w:val="16"/>
          <w:szCs w:val="16"/>
        </w:rPr>
      </w:pPr>
    </w:p>
    <w:p w14:paraId="132C1985"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1DDBCF3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4A97143"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23 марта</w:t>
      </w:r>
      <w:r w:rsidRPr="007224C3">
        <w:rPr>
          <w:rFonts w:ascii="Times New Roman" w:hAnsi="Times New Roman"/>
          <w:color w:val="000000" w:themeColor="text1"/>
          <w:sz w:val="16"/>
          <w:szCs w:val="16"/>
        </w:rPr>
        <w:t xml:space="preserve"> в 1944 году была осуществлена первая поставка RAF палубных истребителей </w:t>
      </w:r>
      <w:hyperlink r:id="rId83" w:tgtFrame="_blank" w:history="1">
        <w:r w:rsidRPr="007224C3">
          <w:rPr>
            <w:rFonts w:ascii="Times New Roman" w:hAnsi="Times New Roman"/>
            <w:color w:val="000000" w:themeColor="text1"/>
            <w:sz w:val="16"/>
            <w:szCs w:val="16"/>
          </w:rPr>
          <w:t xml:space="preserve">«Chance Vought» «F4U» «Corsair», </w:t>
        </w:r>
      </w:hyperlink>
      <w:r w:rsidRPr="007224C3">
        <w:rPr>
          <w:rFonts w:ascii="Times New Roman" w:hAnsi="Times New Roman"/>
          <w:color w:val="000000" w:themeColor="text1"/>
          <w:sz w:val="16"/>
          <w:szCs w:val="16"/>
        </w:rPr>
        <w:t>когда первые тридцать самолетов были доставлены в мастерские на Эспирити-Санто на Новых Гебридах. Самолеты часто доставлялись на палубах эскортных авианосцев, что требовало тщательного осмотра и замены поврежденных коррозией, во время длительного морского путешествия, деталей. Позже самолеты стали поступать в разобранном виде. Для сборки и ремонта самолетов в Эспирито-Санто было создано специальное подразделение. Для переучивания новозеландских летчиков с "Киттихауков" ("Kittyhawk") и "Вархауков" ("Warhawk") и облета собранных "Корсаров" была создана специальная эскадрилья. Темп сборки достиг двух "Корсаров" в день, первые 100 самолетов были готовы 2 июня 1944 года. Всего здесь было собрано 287 самолетов F4U-1A и "-1D". Сборка самолетов на Эспирити-Санто закончилась в декабре 1944 года. Место сборки было перенесено в Лос-Негрос на Адмиральских островах, где позже стали собирать «FG-1D». Последние две эскадрильи реорганизованы 13 августа 1946 года. Всего же в рамках поставок по ленд-лизу Великобритания получила 2021 "Корсар": 95 «F4U-1», 510 «F4U-1A», 430 «F3A-1» ("Corsair F Mk.III) и 977 «FG-1» ("Corsair F Mk.IV") (15077).</w:t>
      </w:r>
    </w:p>
    <w:p w14:paraId="436AC99E" w14:textId="77777777" w:rsidR="00EB5859" w:rsidRPr="007224C3" w:rsidRDefault="00EB5859" w:rsidP="007224C3">
      <w:pPr>
        <w:spacing w:after="0" w:line="240" w:lineRule="auto"/>
        <w:jc w:val="both"/>
        <w:rPr>
          <w:rFonts w:ascii="Times New Roman" w:hAnsi="Times New Roman"/>
          <w:color w:val="000000" w:themeColor="text1"/>
          <w:sz w:val="16"/>
          <w:szCs w:val="16"/>
        </w:rPr>
      </w:pPr>
    </w:p>
    <w:p w14:paraId="72C587AA"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23 марта</w:t>
      </w:r>
      <w:r w:rsidRPr="007224C3">
        <w:rPr>
          <w:rFonts w:ascii="Times New Roman" w:hAnsi="Times New Roman"/>
          <w:color w:val="000000" w:themeColor="text1"/>
          <w:sz w:val="16"/>
          <w:szCs w:val="16"/>
        </w:rPr>
        <w:t xml:space="preserve"> в 1944 году закончились испытания самолета </w:t>
      </w:r>
      <w:hyperlink r:id="rId84" w:tgtFrame="_blank" w:history="1">
        <w:r w:rsidRPr="007224C3">
          <w:rPr>
            <w:rFonts w:ascii="Times New Roman" w:hAnsi="Times New Roman"/>
            <w:color w:val="000000" w:themeColor="text1"/>
            <w:sz w:val="16"/>
            <w:szCs w:val="16"/>
          </w:rPr>
          <w:t xml:space="preserve">«Vickers Windso»r «Type 447» </w:t>
        </w:r>
      </w:hyperlink>
      <w:r w:rsidRPr="007224C3">
        <w:rPr>
          <w:rFonts w:ascii="Times New Roman" w:hAnsi="Times New Roman"/>
          <w:color w:val="000000" w:themeColor="text1"/>
          <w:sz w:val="16"/>
          <w:szCs w:val="16"/>
        </w:rPr>
        <w:t>с двигателями «Rolls-Royce» «Merlin 65». Первый полет прототипа самолета («DW506») состоялся 23 января 1943 года. На испытаниях, включавшие 33 часа полетов, самолет показал максимальную скорость 486 км/ч на высоте 7620 метров (15077).</w:t>
      </w:r>
    </w:p>
    <w:p w14:paraId="1EF279B9" w14:textId="77777777" w:rsidR="00EB5859" w:rsidRPr="007224C3" w:rsidRDefault="00EB5859" w:rsidP="007224C3">
      <w:pPr>
        <w:spacing w:after="0" w:line="240" w:lineRule="auto"/>
        <w:jc w:val="both"/>
        <w:rPr>
          <w:rFonts w:ascii="Times New Roman" w:hAnsi="Times New Roman"/>
          <w:color w:val="000000" w:themeColor="text1"/>
          <w:sz w:val="16"/>
          <w:szCs w:val="16"/>
        </w:rPr>
      </w:pPr>
    </w:p>
    <w:p w14:paraId="57347683"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23 марта</w:t>
      </w:r>
      <w:r w:rsidRPr="007224C3">
        <w:rPr>
          <w:rFonts w:ascii="Times New Roman" w:hAnsi="Times New Roman"/>
          <w:color w:val="000000" w:themeColor="text1"/>
          <w:sz w:val="16"/>
          <w:szCs w:val="16"/>
        </w:rPr>
        <w:t xml:space="preserve"> в 1944 году возобновились летные испытания американского истребителя бомбардировщиков </w:t>
      </w:r>
      <w:hyperlink r:id="rId85" w:tgtFrame="_blank" w:history="1">
        <w:r w:rsidRPr="007224C3">
          <w:rPr>
            <w:rFonts w:ascii="Times New Roman" w:hAnsi="Times New Roman"/>
            <w:color w:val="000000" w:themeColor="text1"/>
            <w:sz w:val="16"/>
            <w:szCs w:val="16"/>
          </w:rPr>
          <w:t xml:space="preserve">«McDonnell» «P-67» «Bat» </w:t>
        </w:r>
      </w:hyperlink>
      <w:r w:rsidRPr="007224C3">
        <w:rPr>
          <w:rFonts w:ascii="Times New Roman" w:hAnsi="Times New Roman"/>
          <w:color w:val="000000" w:themeColor="text1"/>
          <w:sz w:val="16"/>
          <w:szCs w:val="16"/>
        </w:rPr>
        <w:t>и проходили без особых происшествий, хотя работа двигателей вызывала постоянные нарекания. Поэтому фирма постоянно бомбардировала ВВС предложениями о замене двигателей. Предлагались даже такие варианты, как комбинированная силовая установка - два поршневых мотора «Аллисон» или «Роллс-Ройс» и пара ТРД. Но военные твердо стояли на своем и лишь приказали установить новую, более мощную (2000 л.с. на взлетном режиме), модификацию Континенталя с впрыском воды в цилиндры. В период с 11 по 13 мая 1944 г. машину облетали три летчика ВВС. Они расценили пилотажные характеристики истребителя как нормальные, хотя и отмечалась склонность к колебаниям типа "Голландский шаг", но отметили недостаточную мощность двигателей, что сказывалось на длине разбега и скороподъемности. Но 6 сентября 1944 г., во время обычного заводского полета, начался пожар правого двигателя. Эллиоту удалось посадить самолет, но восстановлению он уже не подлежал. Так завершилась история неудачливого первенца фирмы «Макдоннелл» (15077).</w:t>
      </w:r>
    </w:p>
    <w:p w14:paraId="12B3644C" w14:textId="77777777" w:rsidR="00EB5859" w:rsidRPr="007224C3" w:rsidRDefault="00EB5859" w:rsidP="007224C3">
      <w:pPr>
        <w:spacing w:after="0" w:line="240" w:lineRule="auto"/>
        <w:jc w:val="both"/>
        <w:rPr>
          <w:rFonts w:ascii="Times New Roman" w:hAnsi="Times New Roman"/>
          <w:color w:val="000000" w:themeColor="text1"/>
          <w:sz w:val="16"/>
          <w:szCs w:val="16"/>
        </w:rPr>
      </w:pPr>
    </w:p>
    <w:p w14:paraId="05A66F28" w14:textId="77777777" w:rsidR="004D5E52" w:rsidRPr="007224C3" w:rsidRDefault="004D5E52"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 xml:space="preserve">23–24 марта (ночь) 1944 143 британских бомбардировщика атакуют железнодорожные станции в Лаоне, Франция, сбрасывая около половины своих бомб на цель и перерезая железнодорожные пути, но разбросав остальные, попав в 83 дома и убив семь и ранив девять французских мирных жителей (20373). </w:t>
      </w:r>
    </w:p>
    <w:p w14:paraId="5D030FCC" w14:textId="77777777" w:rsidR="004D5E52" w:rsidRPr="007224C3" w:rsidRDefault="004D5E52" w:rsidP="007224C3">
      <w:pPr>
        <w:spacing w:after="0" w:line="240" w:lineRule="auto"/>
        <w:jc w:val="both"/>
        <w:rPr>
          <w:rFonts w:ascii="Times New Roman" w:hAnsi="Times New Roman"/>
          <w:color w:val="0070C0"/>
          <w:sz w:val="16"/>
          <w:szCs w:val="16"/>
        </w:rPr>
      </w:pPr>
    </w:p>
    <w:p w14:paraId="071B6FE2"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марта 1944 в Риме партизанами взорваны 32 немецких солдата (4962).</w:t>
      </w:r>
    </w:p>
    <w:p w14:paraId="429FF463"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D6F5827"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0395900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BC26D4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марта 1944 А.И.Ш. писал Г.М.М. письмо N Н-33/1496:</w:t>
      </w:r>
    </w:p>
    <w:p w14:paraId="0CE6FA6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"Внедрение в серийное производство новых самолетов Як-3 на заводе 292 и модификации самолетов Ил-2 с металлическими крыльями на заводах 1 и 30 задерживается ввиду напряженной программы по старым самолетам.</w:t>
      </w:r>
    </w:p>
    <w:p w14:paraId="1420674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быстрейшего внедрения в серийное производство новых самолетов Як-3 на заводе 292 и самолетов Ил-2 с металлическими крыльями на заводах 1 считаем целесообразным уменьшить программу выпуска освоенных машин на этих заводах с тем, чтобы переключить основные кадры на освоение и выпуск новых модифицированных самолетов (1755,27).</w:t>
      </w:r>
    </w:p>
    <w:p w14:paraId="3A26FB4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 № 08-85 изготовления завода 153 в ноябре 1943 и сборки завода 301</w:t>
      </w:r>
    </w:p>
    <w:p w14:paraId="0483205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Отв. исполнители Рабкин, м Топорков</w:t>
      </w:r>
    </w:p>
    <w:p w14:paraId="357BCCD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Выполнили 26 полетов с налетом 21:33</w:t>
      </w:r>
    </w:p>
    <w:p w14:paraId="696E594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Установлено 4 б\б общей емкостью 645 л вместо 2-х емкостью 440 л.</w:t>
      </w:r>
    </w:p>
    <w:p w14:paraId="4962E3D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Установлен м/б увеличенной до 60 л емкостью</w:t>
      </w:r>
    </w:p>
    <w:p w14:paraId="71CB5EA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Установлена прозрачная броня за головой л и в передней неподвижной части фонаря</w:t>
      </w:r>
    </w:p>
    <w:p w14:paraId="21FC468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Электросхема выполнена по однопроводной схеме</w:t>
      </w:r>
    </w:p>
    <w:p w14:paraId="662A72B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Установлен калиматорный прицел ПБП-1 вместо кольцевого механического прицела</w:t>
      </w:r>
    </w:p>
    <w:p w14:paraId="057F05B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Установлены электроспуск ЭЛС-1</w:t>
      </w:r>
    </w:p>
    <w:p w14:paraId="750AD1E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Управление огнем - кнопки на стандартной ручке</w:t>
      </w:r>
    </w:p>
    <w:p w14:paraId="3B24AE3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 пустого 2350 кг, нормальный взлетный - 3117</w:t>
      </w:r>
    </w:p>
    <w:p w14:paraId="093C5F8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ЦТ 23% - 25%</w:t>
      </w:r>
    </w:p>
    <w:p w14:paraId="6C28A47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 горючего 486 кг, масла - 45 кг</w:t>
      </w:r>
    </w:p>
    <w:p w14:paraId="6E394EF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Вооружение: 1хМПШ-20 со 120 снарядами + 1хУВС с 200 патронами, всего 767 кг</w:t>
      </w:r>
    </w:p>
    <w:p w14:paraId="2796C0A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Скорости по высотам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51"/>
        <w:gridCol w:w="1134"/>
        <w:gridCol w:w="1134"/>
        <w:gridCol w:w="1126"/>
        <w:gridCol w:w="1142"/>
      </w:tblGrid>
      <w:tr w:rsidR="005106D0" w:rsidRPr="007224C3" w14:paraId="4866878C" w14:textId="77777777">
        <w:tc>
          <w:tcPr>
            <w:tcW w:w="1951" w:type="dxa"/>
            <w:tcBorders>
              <w:top w:val="single" w:sz="12" w:space="0" w:color="auto"/>
            </w:tcBorders>
          </w:tcPr>
          <w:p w14:paraId="5D68C02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Высота</w:t>
            </w:r>
          </w:p>
        </w:tc>
        <w:tc>
          <w:tcPr>
            <w:tcW w:w="1134" w:type="dxa"/>
            <w:tcBorders>
              <w:top w:val="single" w:sz="12" w:space="0" w:color="auto"/>
            </w:tcBorders>
          </w:tcPr>
          <w:p w14:paraId="16A1301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Скорость</w:t>
            </w:r>
          </w:p>
        </w:tc>
        <w:tc>
          <w:tcPr>
            <w:tcW w:w="1134" w:type="dxa"/>
            <w:tcBorders>
              <w:top w:val="single" w:sz="12" w:space="0" w:color="auto"/>
            </w:tcBorders>
          </w:tcPr>
          <w:p w14:paraId="40BF204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давление</w:t>
            </w:r>
          </w:p>
        </w:tc>
        <w:tc>
          <w:tcPr>
            <w:tcW w:w="1126" w:type="dxa"/>
            <w:tcBorders>
              <w:top w:val="single" w:sz="12" w:space="0" w:color="auto"/>
            </w:tcBorders>
          </w:tcPr>
          <w:p w14:paraId="7F46EF0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верт. скорость</w:t>
            </w:r>
          </w:p>
        </w:tc>
        <w:tc>
          <w:tcPr>
            <w:tcW w:w="1142" w:type="dxa"/>
            <w:tcBorders>
              <w:top w:val="single" w:sz="12" w:space="0" w:color="auto"/>
            </w:tcBorders>
          </w:tcPr>
          <w:p w14:paraId="5F4DD80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время</w:t>
            </w:r>
          </w:p>
        </w:tc>
      </w:tr>
      <w:tr w:rsidR="005106D0" w:rsidRPr="007224C3" w14:paraId="06CEA444" w14:textId="77777777">
        <w:tc>
          <w:tcPr>
            <w:tcW w:w="1951" w:type="dxa"/>
          </w:tcPr>
          <w:p w14:paraId="206AE65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w:t>
            </w:r>
          </w:p>
        </w:tc>
        <w:tc>
          <w:tcPr>
            <w:tcW w:w="1134" w:type="dxa"/>
          </w:tcPr>
          <w:p w14:paraId="40147C3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535</w:t>
            </w:r>
          </w:p>
        </w:tc>
        <w:tc>
          <w:tcPr>
            <w:tcW w:w="1134" w:type="dxa"/>
          </w:tcPr>
          <w:p w14:paraId="6CED27A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1060</w:t>
            </w:r>
          </w:p>
        </w:tc>
        <w:tc>
          <w:tcPr>
            <w:tcW w:w="1126" w:type="dxa"/>
          </w:tcPr>
          <w:p w14:paraId="6118542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15,7</w:t>
            </w:r>
          </w:p>
        </w:tc>
        <w:tc>
          <w:tcPr>
            <w:tcW w:w="1142" w:type="dxa"/>
          </w:tcPr>
          <w:p w14:paraId="7D60D4B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60197374" w14:textId="77777777">
        <w:tc>
          <w:tcPr>
            <w:tcW w:w="1951" w:type="dxa"/>
          </w:tcPr>
          <w:p w14:paraId="4080885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1000</w:t>
            </w:r>
          </w:p>
        </w:tc>
        <w:tc>
          <w:tcPr>
            <w:tcW w:w="1134" w:type="dxa"/>
          </w:tcPr>
          <w:p w14:paraId="1DFC327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554</w:t>
            </w:r>
          </w:p>
        </w:tc>
        <w:tc>
          <w:tcPr>
            <w:tcW w:w="1134" w:type="dxa"/>
          </w:tcPr>
          <w:p w14:paraId="6F28375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1060</w:t>
            </w:r>
          </w:p>
        </w:tc>
        <w:tc>
          <w:tcPr>
            <w:tcW w:w="1126" w:type="dxa"/>
          </w:tcPr>
          <w:p w14:paraId="74E1304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15,9</w:t>
            </w:r>
          </w:p>
        </w:tc>
        <w:tc>
          <w:tcPr>
            <w:tcW w:w="1142" w:type="dxa"/>
          </w:tcPr>
          <w:p w14:paraId="7E06A5F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w:t>
            </w:r>
          </w:p>
        </w:tc>
      </w:tr>
      <w:tr w:rsidR="005106D0" w:rsidRPr="007224C3" w14:paraId="5950D3E3" w14:textId="77777777">
        <w:tc>
          <w:tcPr>
            <w:tcW w:w="1951" w:type="dxa"/>
          </w:tcPr>
          <w:p w14:paraId="4B6F260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1650 (гр. высотности)</w:t>
            </w:r>
          </w:p>
        </w:tc>
        <w:tc>
          <w:tcPr>
            <w:tcW w:w="1134" w:type="dxa"/>
          </w:tcPr>
          <w:p w14:paraId="02136C5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562</w:t>
            </w:r>
          </w:p>
        </w:tc>
        <w:tc>
          <w:tcPr>
            <w:tcW w:w="1134" w:type="dxa"/>
          </w:tcPr>
          <w:p w14:paraId="3E2FC7C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1060</w:t>
            </w:r>
          </w:p>
        </w:tc>
        <w:tc>
          <w:tcPr>
            <w:tcW w:w="1126" w:type="dxa"/>
          </w:tcPr>
          <w:p w14:paraId="4A10016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w:t>
            </w:r>
          </w:p>
        </w:tc>
        <w:tc>
          <w:tcPr>
            <w:tcW w:w="1142" w:type="dxa"/>
          </w:tcPr>
          <w:p w14:paraId="63128A4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w:t>
            </w:r>
          </w:p>
        </w:tc>
      </w:tr>
      <w:tr w:rsidR="005106D0" w:rsidRPr="007224C3" w14:paraId="10F21A60" w14:textId="77777777">
        <w:tc>
          <w:tcPr>
            <w:tcW w:w="1951" w:type="dxa"/>
          </w:tcPr>
          <w:p w14:paraId="0CDD877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2000</w:t>
            </w:r>
          </w:p>
        </w:tc>
        <w:tc>
          <w:tcPr>
            <w:tcW w:w="1134" w:type="dxa"/>
          </w:tcPr>
          <w:p w14:paraId="29A32F4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561</w:t>
            </w:r>
          </w:p>
        </w:tc>
        <w:tc>
          <w:tcPr>
            <w:tcW w:w="1134" w:type="dxa"/>
          </w:tcPr>
          <w:p w14:paraId="7458CBF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1010</w:t>
            </w:r>
          </w:p>
        </w:tc>
        <w:tc>
          <w:tcPr>
            <w:tcW w:w="1126" w:type="dxa"/>
          </w:tcPr>
          <w:p w14:paraId="0D94DC0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14,2</w:t>
            </w:r>
          </w:p>
        </w:tc>
        <w:tc>
          <w:tcPr>
            <w:tcW w:w="1142" w:type="dxa"/>
          </w:tcPr>
          <w:p w14:paraId="22C8EB2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w:t>
            </w:r>
          </w:p>
        </w:tc>
      </w:tr>
      <w:tr w:rsidR="005106D0" w:rsidRPr="007224C3" w14:paraId="76BA9A1A" w14:textId="77777777">
        <w:tc>
          <w:tcPr>
            <w:tcW w:w="1951" w:type="dxa"/>
          </w:tcPr>
          <w:p w14:paraId="32EA9B3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2100 (преключение)</w:t>
            </w:r>
          </w:p>
        </w:tc>
        <w:tc>
          <w:tcPr>
            <w:tcW w:w="1134" w:type="dxa"/>
          </w:tcPr>
          <w:p w14:paraId="6D5215C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520</w:t>
            </w:r>
          </w:p>
        </w:tc>
        <w:tc>
          <w:tcPr>
            <w:tcW w:w="1134" w:type="dxa"/>
          </w:tcPr>
          <w:p w14:paraId="011A49F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990</w:t>
            </w:r>
          </w:p>
        </w:tc>
        <w:tc>
          <w:tcPr>
            <w:tcW w:w="1126" w:type="dxa"/>
          </w:tcPr>
          <w:p w14:paraId="6895288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13,7 (2250)</w:t>
            </w:r>
          </w:p>
        </w:tc>
        <w:tc>
          <w:tcPr>
            <w:tcW w:w="1142" w:type="dxa"/>
          </w:tcPr>
          <w:p w14:paraId="3D40B70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w:t>
            </w:r>
          </w:p>
        </w:tc>
      </w:tr>
      <w:tr w:rsidR="005106D0" w:rsidRPr="007224C3" w14:paraId="6159874F" w14:textId="77777777">
        <w:tc>
          <w:tcPr>
            <w:tcW w:w="1951" w:type="dxa"/>
          </w:tcPr>
          <w:p w14:paraId="6FB6BC5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3000</w:t>
            </w:r>
          </w:p>
        </w:tc>
        <w:tc>
          <w:tcPr>
            <w:tcW w:w="1134" w:type="dxa"/>
          </w:tcPr>
          <w:p w14:paraId="50657C2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578</w:t>
            </w:r>
          </w:p>
        </w:tc>
        <w:tc>
          <w:tcPr>
            <w:tcW w:w="1134" w:type="dxa"/>
          </w:tcPr>
          <w:p w14:paraId="6057BBF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1070</w:t>
            </w:r>
          </w:p>
        </w:tc>
        <w:tc>
          <w:tcPr>
            <w:tcW w:w="1126" w:type="dxa"/>
          </w:tcPr>
          <w:p w14:paraId="20D261C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13,7</w:t>
            </w:r>
          </w:p>
        </w:tc>
        <w:tc>
          <w:tcPr>
            <w:tcW w:w="1142" w:type="dxa"/>
          </w:tcPr>
          <w:p w14:paraId="41FEA70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3,4</w:t>
            </w:r>
          </w:p>
        </w:tc>
      </w:tr>
      <w:tr w:rsidR="005106D0" w:rsidRPr="007224C3" w14:paraId="1EDF7657" w14:textId="77777777">
        <w:tc>
          <w:tcPr>
            <w:tcW w:w="1951" w:type="dxa"/>
          </w:tcPr>
          <w:p w14:paraId="42A8D98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3650 (гр. высотности)</w:t>
            </w:r>
          </w:p>
        </w:tc>
        <w:tc>
          <w:tcPr>
            <w:tcW w:w="1134" w:type="dxa"/>
          </w:tcPr>
          <w:p w14:paraId="62AD3B1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591</w:t>
            </w:r>
          </w:p>
        </w:tc>
        <w:tc>
          <w:tcPr>
            <w:tcW w:w="1134" w:type="dxa"/>
          </w:tcPr>
          <w:p w14:paraId="2AC0227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1070</w:t>
            </w:r>
          </w:p>
        </w:tc>
        <w:tc>
          <w:tcPr>
            <w:tcW w:w="1126" w:type="dxa"/>
          </w:tcPr>
          <w:p w14:paraId="27F8066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13,7 (3250)</w:t>
            </w:r>
          </w:p>
        </w:tc>
        <w:tc>
          <w:tcPr>
            <w:tcW w:w="1142" w:type="dxa"/>
          </w:tcPr>
          <w:p w14:paraId="711A73F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3,7</w:t>
            </w:r>
          </w:p>
        </w:tc>
      </w:tr>
      <w:tr w:rsidR="005106D0" w:rsidRPr="007224C3" w14:paraId="2F9CC16C" w14:textId="77777777">
        <w:tc>
          <w:tcPr>
            <w:tcW w:w="1951" w:type="dxa"/>
          </w:tcPr>
          <w:p w14:paraId="7DCBB6A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4000</w:t>
            </w:r>
          </w:p>
        </w:tc>
        <w:tc>
          <w:tcPr>
            <w:tcW w:w="1134" w:type="dxa"/>
          </w:tcPr>
          <w:p w14:paraId="0B2B16B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586</w:t>
            </w:r>
          </w:p>
        </w:tc>
        <w:tc>
          <w:tcPr>
            <w:tcW w:w="1134" w:type="dxa"/>
          </w:tcPr>
          <w:p w14:paraId="0F13094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1016</w:t>
            </w:r>
          </w:p>
        </w:tc>
        <w:tc>
          <w:tcPr>
            <w:tcW w:w="1126" w:type="dxa"/>
          </w:tcPr>
          <w:p w14:paraId="6857B55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12,0</w:t>
            </w:r>
          </w:p>
        </w:tc>
        <w:tc>
          <w:tcPr>
            <w:tcW w:w="1142" w:type="dxa"/>
          </w:tcPr>
          <w:p w14:paraId="07D5C96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4,6</w:t>
            </w:r>
          </w:p>
        </w:tc>
      </w:tr>
      <w:tr w:rsidR="005106D0" w:rsidRPr="007224C3" w14:paraId="098BFA18" w14:textId="77777777">
        <w:tc>
          <w:tcPr>
            <w:tcW w:w="1951" w:type="dxa"/>
          </w:tcPr>
          <w:p w14:paraId="2BB524E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5000</w:t>
            </w:r>
          </w:p>
        </w:tc>
        <w:tc>
          <w:tcPr>
            <w:tcW w:w="1134" w:type="dxa"/>
          </w:tcPr>
          <w:p w14:paraId="5F547AA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565</w:t>
            </w:r>
          </w:p>
        </w:tc>
        <w:tc>
          <w:tcPr>
            <w:tcW w:w="1134" w:type="dxa"/>
          </w:tcPr>
          <w:p w14:paraId="46F1DA8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876</w:t>
            </w:r>
          </w:p>
        </w:tc>
        <w:tc>
          <w:tcPr>
            <w:tcW w:w="1126" w:type="dxa"/>
          </w:tcPr>
          <w:p w14:paraId="4759CEB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9,8</w:t>
            </w:r>
          </w:p>
        </w:tc>
        <w:tc>
          <w:tcPr>
            <w:tcW w:w="1142" w:type="dxa"/>
          </w:tcPr>
          <w:p w14:paraId="5B5C934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6,1</w:t>
            </w:r>
          </w:p>
        </w:tc>
      </w:tr>
      <w:tr w:rsidR="005106D0" w:rsidRPr="007224C3" w14:paraId="2D787806" w14:textId="77777777">
        <w:tc>
          <w:tcPr>
            <w:tcW w:w="1951" w:type="dxa"/>
          </w:tcPr>
          <w:p w14:paraId="5A062DA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6000</w:t>
            </w:r>
          </w:p>
        </w:tc>
        <w:tc>
          <w:tcPr>
            <w:tcW w:w="1134" w:type="dxa"/>
          </w:tcPr>
          <w:p w14:paraId="3A115B3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540</w:t>
            </w:r>
          </w:p>
        </w:tc>
        <w:tc>
          <w:tcPr>
            <w:tcW w:w="1134" w:type="dxa"/>
          </w:tcPr>
          <w:p w14:paraId="46E4619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740</w:t>
            </w:r>
          </w:p>
        </w:tc>
        <w:tc>
          <w:tcPr>
            <w:tcW w:w="1126" w:type="dxa"/>
          </w:tcPr>
          <w:p w14:paraId="42816C5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7,15</w:t>
            </w:r>
          </w:p>
        </w:tc>
        <w:tc>
          <w:tcPr>
            <w:tcW w:w="1142" w:type="dxa"/>
          </w:tcPr>
          <w:p w14:paraId="7A26618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8,1</w:t>
            </w:r>
          </w:p>
        </w:tc>
      </w:tr>
      <w:tr w:rsidR="005106D0" w:rsidRPr="007224C3" w14:paraId="58FDC437" w14:textId="77777777">
        <w:tc>
          <w:tcPr>
            <w:tcW w:w="1951" w:type="dxa"/>
          </w:tcPr>
          <w:p w14:paraId="01A13AF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7000</w:t>
            </w:r>
          </w:p>
        </w:tc>
        <w:tc>
          <w:tcPr>
            <w:tcW w:w="1134" w:type="dxa"/>
          </w:tcPr>
          <w:p w14:paraId="215F3BA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511</w:t>
            </w:r>
          </w:p>
        </w:tc>
        <w:tc>
          <w:tcPr>
            <w:tcW w:w="1134" w:type="dxa"/>
          </w:tcPr>
          <w:p w14:paraId="5D80DC3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640</w:t>
            </w:r>
          </w:p>
        </w:tc>
        <w:tc>
          <w:tcPr>
            <w:tcW w:w="1126" w:type="dxa"/>
          </w:tcPr>
          <w:p w14:paraId="338D588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5.3</w:t>
            </w:r>
          </w:p>
        </w:tc>
        <w:tc>
          <w:tcPr>
            <w:tcW w:w="1142" w:type="dxa"/>
          </w:tcPr>
          <w:p w14:paraId="5089FEB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10,7</w:t>
            </w:r>
          </w:p>
        </w:tc>
      </w:tr>
      <w:tr w:rsidR="005106D0" w:rsidRPr="007224C3" w14:paraId="47AA4F7A" w14:textId="77777777">
        <w:tc>
          <w:tcPr>
            <w:tcW w:w="1951" w:type="dxa"/>
          </w:tcPr>
          <w:p w14:paraId="1A5D56F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8000</w:t>
            </w:r>
          </w:p>
        </w:tc>
        <w:tc>
          <w:tcPr>
            <w:tcW w:w="1134" w:type="dxa"/>
          </w:tcPr>
          <w:p w14:paraId="09DED5B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4B8C07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6" w:type="dxa"/>
          </w:tcPr>
          <w:p w14:paraId="7EBC74E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tc>
        <w:tc>
          <w:tcPr>
            <w:tcW w:w="1142" w:type="dxa"/>
          </w:tcPr>
          <w:p w14:paraId="1EDE0D2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14,7</w:t>
            </w:r>
          </w:p>
        </w:tc>
      </w:tr>
      <w:tr w:rsidR="005106D0" w:rsidRPr="007224C3" w14:paraId="5B20232D" w14:textId="77777777">
        <w:tc>
          <w:tcPr>
            <w:tcW w:w="1951" w:type="dxa"/>
          </w:tcPr>
          <w:p w14:paraId="6BB7E6C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9000</w:t>
            </w:r>
          </w:p>
        </w:tc>
        <w:tc>
          <w:tcPr>
            <w:tcW w:w="1134" w:type="dxa"/>
          </w:tcPr>
          <w:p w14:paraId="091CD92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2C4637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6" w:type="dxa"/>
          </w:tcPr>
          <w:p w14:paraId="3327ECE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0,7</w:t>
            </w:r>
          </w:p>
        </w:tc>
        <w:tc>
          <w:tcPr>
            <w:tcW w:w="1142" w:type="dxa"/>
          </w:tcPr>
          <w:p w14:paraId="1DB8F1C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25,5</w:t>
            </w:r>
          </w:p>
        </w:tc>
      </w:tr>
      <w:tr w:rsidR="005106D0" w:rsidRPr="007224C3" w14:paraId="284E4F50" w14:textId="77777777">
        <w:tc>
          <w:tcPr>
            <w:tcW w:w="1951" w:type="dxa"/>
            <w:tcBorders>
              <w:bottom w:val="single" w:sz="12" w:space="0" w:color="auto"/>
            </w:tcBorders>
          </w:tcPr>
          <w:p w14:paraId="7AF264E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9100</w:t>
            </w:r>
          </w:p>
        </w:tc>
        <w:tc>
          <w:tcPr>
            <w:tcW w:w="1134" w:type="dxa"/>
            <w:tcBorders>
              <w:bottom w:val="single" w:sz="12" w:space="0" w:color="auto"/>
            </w:tcBorders>
          </w:tcPr>
          <w:p w14:paraId="4016509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bottom w:val="single" w:sz="12" w:space="0" w:color="auto"/>
            </w:tcBorders>
          </w:tcPr>
          <w:p w14:paraId="331F1DD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6" w:type="dxa"/>
            <w:tcBorders>
              <w:bottom w:val="single" w:sz="12" w:space="0" w:color="auto"/>
            </w:tcBorders>
          </w:tcPr>
          <w:p w14:paraId="4BC9225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0,5</w:t>
            </w:r>
          </w:p>
        </w:tc>
        <w:tc>
          <w:tcPr>
            <w:tcW w:w="1142" w:type="dxa"/>
            <w:tcBorders>
              <w:bottom w:val="single" w:sz="12" w:space="0" w:color="auto"/>
            </w:tcBorders>
          </w:tcPr>
          <w:p w14:paraId="7E373DE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w:t>
            </w:r>
          </w:p>
        </w:tc>
      </w:tr>
    </w:tbl>
    <w:p w14:paraId="5F4570B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Сравнительная таблица летных данных с-та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43"/>
        <w:gridCol w:w="1235"/>
        <w:gridCol w:w="1358"/>
        <w:gridCol w:w="1235"/>
      </w:tblGrid>
      <w:tr w:rsidR="005106D0" w:rsidRPr="007224C3" w14:paraId="7DCC734B" w14:textId="77777777">
        <w:tc>
          <w:tcPr>
            <w:tcW w:w="2943" w:type="dxa"/>
            <w:tcBorders>
              <w:top w:val="single" w:sz="12" w:space="0" w:color="auto"/>
            </w:tcBorders>
          </w:tcPr>
          <w:p w14:paraId="0602600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Наименование</w:t>
            </w:r>
          </w:p>
        </w:tc>
        <w:tc>
          <w:tcPr>
            <w:tcW w:w="1235" w:type="dxa"/>
            <w:tcBorders>
              <w:top w:val="single" w:sz="12" w:space="0" w:color="auto"/>
            </w:tcBorders>
          </w:tcPr>
          <w:p w14:paraId="242B62F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Як-9Д ПФ № 08-85 завода 153, испытан в феврале 1944</w:t>
            </w:r>
          </w:p>
        </w:tc>
        <w:tc>
          <w:tcPr>
            <w:tcW w:w="1358" w:type="dxa"/>
            <w:tcBorders>
              <w:top w:val="single" w:sz="12" w:space="0" w:color="auto"/>
            </w:tcBorders>
          </w:tcPr>
          <w:p w14:paraId="2F8120F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Як-9ПФ № 03-016 завода 166, испытан в июле 1943</w:t>
            </w:r>
          </w:p>
        </w:tc>
        <w:tc>
          <w:tcPr>
            <w:tcW w:w="1235" w:type="dxa"/>
            <w:tcBorders>
              <w:top w:val="single" w:sz="12" w:space="0" w:color="auto"/>
            </w:tcBorders>
          </w:tcPr>
          <w:p w14:paraId="07DB294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Ме-19 G-2, испытан в январе 1943</w:t>
            </w:r>
          </w:p>
        </w:tc>
      </w:tr>
      <w:tr w:rsidR="005106D0" w:rsidRPr="007224C3" w14:paraId="041E9DCD" w14:textId="77777777">
        <w:tc>
          <w:tcPr>
            <w:tcW w:w="2943" w:type="dxa"/>
          </w:tcPr>
          <w:p w14:paraId="276FFBE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Полный вес</w:t>
            </w:r>
          </w:p>
        </w:tc>
        <w:tc>
          <w:tcPr>
            <w:tcW w:w="1235" w:type="dxa"/>
          </w:tcPr>
          <w:p w14:paraId="0E1FD04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3117</w:t>
            </w:r>
          </w:p>
        </w:tc>
        <w:tc>
          <w:tcPr>
            <w:tcW w:w="1358" w:type="dxa"/>
          </w:tcPr>
          <w:p w14:paraId="7585AA8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2873</w:t>
            </w:r>
          </w:p>
        </w:tc>
        <w:tc>
          <w:tcPr>
            <w:tcW w:w="1235" w:type="dxa"/>
          </w:tcPr>
          <w:p w14:paraId="23EADCA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3235</w:t>
            </w:r>
          </w:p>
        </w:tc>
      </w:tr>
      <w:tr w:rsidR="005106D0" w:rsidRPr="007224C3" w14:paraId="7D87E355" w14:textId="77777777">
        <w:tc>
          <w:tcPr>
            <w:tcW w:w="2943" w:type="dxa"/>
          </w:tcPr>
          <w:p w14:paraId="2598736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Нагрузка на м2</w:t>
            </w:r>
          </w:p>
        </w:tc>
        <w:tc>
          <w:tcPr>
            <w:tcW w:w="1235" w:type="dxa"/>
          </w:tcPr>
          <w:p w14:paraId="648F02A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185</w:t>
            </w:r>
          </w:p>
        </w:tc>
        <w:tc>
          <w:tcPr>
            <w:tcW w:w="1358" w:type="dxa"/>
          </w:tcPr>
          <w:p w14:paraId="5D6616F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167,5</w:t>
            </w:r>
          </w:p>
        </w:tc>
        <w:tc>
          <w:tcPr>
            <w:tcW w:w="1235" w:type="dxa"/>
          </w:tcPr>
          <w:p w14:paraId="308BC81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202</w:t>
            </w:r>
          </w:p>
        </w:tc>
      </w:tr>
      <w:tr w:rsidR="005106D0" w:rsidRPr="007224C3" w14:paraId="78F5418B" w14:textId="77777777">
        <w:tc>
          <w:tcPr>
            <w:tcW w:w="2943" w:type="dxa"/>
          </w:tcPr>
          <w:p w14:paraId="612930E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 скорость у земли</w:t>
            </w:r>
          </w:p>
        </w:tc>
        <w:tc>
          <w:tcPr>
            <w:tcW w:w="1235" w:type="dxa"/>
          </w:tcPr>
          <w:p w14:paraId="044720D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535</w:t>
            </w:r>
          </w:p>
        </w:tc>
        <w:tc>
          <w:tcPr>
            <w:tcW w:w="1358" w:type="dxa"/>
          </w:tcPr>
          <w:p w14:paraId="37C272D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512</w:t>
            </w:r>
          </w:p>
        </w:tc>
        <w:tc>
          <w:tcPr>
            <w:tcW w:w="1235" w:type="dxa"/>
          </w:tcPr>
          <w:p w14:paraId="39BBE96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505</w:t>
            </w:r>
          </w:p>
        </w:tc>
      </w:tr>
      <w:tr w:rsidR="005106D0" w:rsidRPr="007224C3" w14:paraId="37B04EDB" w14:textId="77777777">
        <w:tc>
          <w:tcPr>
            <w:tcW w:w="2943" w:type="dxa"/>
          </w:tcPr>
          <w:p w14:paraId="73E075B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 ск. на 1 гр. высотности</w:t>
            </w:r>
          </w:p>
        </w:tc>
        <w:tc>
          <w:tcPr>
            <w:tcW w:w="1235" w:type="dxa"/>
          </w:tcPr>
          <w:p w14:paraId="0511EAC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567/1650</w:t>
            </w:r>
          </w:p>
        </w:tc>
        <w:tc>
          <w:tcPr>
            <w:tcW w:w="1358" w:type="dxa"/>
          </w:tcPr>
          <w:p w14:paraId="1B692F7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552/1800</w:t>
            </w:r>
          </w:p>
        </w:tc>
        <w:tc>
          <w:tcPr>
            <w:tcW w:w="1235" w:type="dxa"/>
          </w:tcPr>
          <w:p w14:paraId="2D4E80C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583/2750</w:t>
            </w:r>
          </w:p>
        </w:tc>
      </w:tr>
      <w:tr w:rsidR="005106D0" w:rsidRPr="007224C3" w14:paraId="01654DC6" w14:textId="77777777">
        <w:tc>
          <w:tcPr>
            <w:tcW w:w="2943" w:type="dxa"/>
          </w:tcPr>
          <w:p w14:paraId="01CDF03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 ск. на 2 гр. высотности</w:t>
            </w:r>
          </w:p>
        </w:tc>
        <w:tc>
          <w:tcPr>
            <w:tcW w:w="1235" w:type="dxa"/>
          </w:tcPr>
          <w:p w14:paraId="5486355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591/3650</w:t>
            </w:r>
          </w:p>
        </w:tc>
        <w:tc>
          <w:tcPr>
            <w:tcW w:w="1358" w:type="dxa"/>
          </w:tcPr>
          <w:p w14:paraId="3BB93B0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577/3900</w:t>
            </w:r>
          </w:p>
        </w:tc>
        <w:tc>
          <w:tcPr>
            <w:tcW w:w="1235" w:type="dxa"/>
          </w:tcPr>
          <w:p w14:paraId="4C194B2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650/7000</w:t>
            </w:r>
          </w:p>
        </w:tc>
      </w:tr>
      <w:tr w:rsidR="005106D0" w:rsidRPr="007224C3" w14:paraId="57E89848" w14:textId="77777777">
        <w:tc>
          <w:tcPr>
            <w:tcW w:w="2943" w:type="dxa"/>
          </w:tcPr>
          <w:p w14:paraId="26654B4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 ск. На 5000 м</w:t>
            </w:r>
          </w:p>
        </w:tc>
        <w:tc>
          <w:tcPr>
            <w:tcW w:w="1235" w:type="dxa"/>
          </w:tcPr>
          <w:p w14:paraId="1706561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566</w:t>
            </w:r>
          </w:p>
        </w:tc>
        <w:tc>
          <w:tcPr>
            <w:tcW w:w="1358" w:type="dxa"/>
          </w:tcPr>
          <w:p w14:paraId="6921672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572</w:t>
            </w:r>
          </w:p>
        </w:tc>
        <w:tc>
          <w:tcPr>
            <w:tcW w:w="1235" w:type="dxa"/>
          </w:tcPr>
          <w:p w14:paraId="417F9E4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593</w:t>
            </w:r>
          </w:p>
        </w:tc>
      </w:tr>
      <w:tr w:rsidR="005106D0" w:rsidRPr="007224C3" w14:paraId="3F68C98F" w14:textId="77777777">
        <w:tc>
          <w:tcPr>
            <w:tcW w:w="2943" w:type="dxa"/>
          </w:tcPr>
          <w:p w14:paraId="1126F7B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Потолок</w:t>
            </w:r>
          </w:p>
        </w:tc>
        <w:tc>
          <w:tcPr>
            <w:tcW w:w="1235" w:type="dxa"/>
          </w:tcPr>
          <w:p w14:paraId="1EFA277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9100</w:t>
            </w:r>
          </w:p>
        </w:tc>
        <w:tc>
          <w:tcPr>
            <w:tcW w:w="1358" w:type="dxa"/>
          </w:tcPr>
          <w:p w14:paraId="7DC896A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10750</w:t>
            </w:r>
          </w:p>
        </w:tc>
        <w:tc>
          <w:tcPr>
            <w:tcW w:w="1235" w:type="dxa"/>
          </w:tcPr>
          <w:p w14:paraId="1347AA9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11250</w:t>
            </w:r>
          </w:p>
        </w:tc>
      </w:tr>
      <w:tr w:rsidR="005106D0" w:rsidRPr="007224C3" w14:paraId="3F6635E7" w14:textId="77777777">
        <w:tc>
          <w:tcPr>
            <w:tcW w:w="2943" w:type="dxa"/>
          </w:tcPr>
          <w:p w14:paraId="3209573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Время набора 5000 м</w:t>
            </w:r>
          </w:p>
        </w:tc>
        <w:tc>
          <w:tcPr>
            <w:tcW w:w="1235" w:type="dxa"/>
          </w:tcPr>
          <w:p w14:paraId="2B63411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6,1</w:t>
            </w:r>
          </w:p>
        </w:tc>
        <w:tc>
          <w:tcPr>
            <w:tcW w:w="1358" w:type="dxa"/>
          </w:tcPr>
          <w:p w14:paraId="19C4784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5,1</w:t>
            </w:r>
          </w:p>
        </w:tc>
        <w:tc>
          <w:tcPr>
            <w:tcW w:w="1235" w:type="dxa"/>
          </w:tcPr>
          <w:p w14:paraId="214717B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5,1</w:t>
            </w:r>
          </w:p>
        </w:tc>
      </w:tr>
      <w:tr w:rsidR="005106D0" w:rsidRPr="007224C3" w14:paraId="78C6C963" w14:textId="77777777">
        <w:tc>
          <w:tcPr>
            <w:tcW w:w="2943" w:type="dxa"/>
          </w:tcPr>
          <w:p w14:paraId="4F2EB80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Время набора практ. потолка</w:t>
            </w:r>
          </w:p>
        </w:tc>
        <w:tc>
          <w:tcPr>
            <w:tcW w:w="1235" w:type="dxa"/>
          </w:tcPr>
          <w:p w14:paraId="4E55FD7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w:t>
            </w:r>
          </w:p>
        </w:tc>
        <w:tc>
          <w:tcPr>
            <w:tcW w:w="1358" w:type="dxa"/>
          </w:tcPr>
          <w:p w14:paraId="53E8B44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27,2</w:t>
            </w:r>
          </w:p>
        </w:tc>
        <w:tc>
          <w:tcPr>
            <w:tcW w:w="1235" w:type="dxa"/>
          </w:tcPr>
          <w:p w14:paraId="2159455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27,2</w:t>
            </w:r>
          </w:p>
        </w:tc>
      </w:tr>
      <w:tr w:rsidR="005106D0" w:rsidRPr="007224C3" w14:paraId="5128288A" w14:textId="77777777">
        <w:tc>
          <w:tcPr>
            <w:tcW w:w="2943" w:type="dxa"/>
          </w:tcPr>
          <w:p w14:paraId="7D28DB8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Время виража на 1000 м</w:t>
            </w:r>
          </w:p>
        </w:tc>
        <w:tc>
          <w:tcPr>
            <w:tcW w:w="1235" w:type="dxa"/>
          </w:tcPr>
          <w:p w14:paraId="237B31A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w:t>
            </w:r>
          </w:p>
        </w:tc>
        <w:tc>
          <w:tcPr>
            <w:tcW w:w="1358" w:type="dxa"/>
          </w:tcPr>
          <w:p w14:paraId="482C722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16-17</w:t>
            </w:r>
          </w:p>
        </w:tc>
        <w:tc>
          <w:tcPr>
            <w:tcW w:w="1235" w:type="dxa"/>
          </w:tcPr>
          <w:p w14:paraId="6C248C5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22,7</w:t>
            </w:r>
          </w:p>
        </w:tc>
      </w:tr>
      <w:tr w:rsidR="005106D0" w:rsidRPr="007224C3" w14:paraId="70476357" w14:textId="77777777">
        <w:tc>
          <w:tcPr>
            <w:tcW w:w="2943" w:type="dxa"/>
          </w:tcPr>
          <w:p w14:paraId="0CA80EA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Скорость посадочная</w:t>
            </w:r>
          </w:p>
        </w:tc>
        <w:tc>
          <w:tcPr>
            <w:tcW w:w="1235" w:type="dxa"/>
          </w:tcPr>
          <w:p w14:paraId="2645D77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141</w:t>
            </w:r>
          </w:p>
        </w:tc>
        <w:tc>
          <w:tcPr>
            <w:tcW w:w="1358" w:type="dxa"/>
          </w:tcPr>
          <w:p w14:paraId="60677A5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140</w:t>
            </w:r>
          </w:p>
        </w:tc>
        <w:tc>
          <w:tcPr>
            <w:tcW w:w="1235" w:type="dxa"/>
          </w:tcPr>
          <w:p w14:paraId="7CCD6FC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149</w:t>
            </w:r>
          </w:p>
        </w:tc>
      </w:tr>
      <w:tr w:rsidR="005106D0" w:rsidRPr="007224C3" w14:paraId="33DC2A2A" w14:textId="77777777">
        <w:tc>
          <w:tcPr>
            <w:tcW w:w="2943" w:type="dxa"/>
          </w:tcPr>
          <w:p w14:paraId="7DBAE64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Разбег</w:t>
            </w:r>
          </w:p>
        </w:tc>
        <w:tc>
          <w:tcPr>
            <w:tcW w:w="1235" w:type="dxa"/>
          </w:tcPr>
          <w:p w14:paraId="062144B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370</w:t>
            </w:r>
          </w:p>
        </w:tc>
        <w:tc>
          <w:tcPr>
            <w:tcW w:w="1358" w:type="dxa"/>
          </w:tcPr>
          <w:p w14:paraId="4556750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320</w:t>
            </w:r>
          </w:p>
        </w:tc>
        <w:tc>
          <w:tcPr>
            <w:tcW w:w="1235" w:type="dxa"/>
          </w:tcPr>
          <w:p w14:paraId="20D559A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450</w:t>
            </w:r>
          </w:p>
        </w:tc>
      </w:tr>
      <w:tr w:rsidR="005106D0" w:rsidRPr="007224C3" w14:paraId="2389742D" w14:textId="77777777">
        <w:tc>
          <w:tcPr>
            <w:tcW w:w="2943" w:type="dxa"/>
          </w:tcPr>
          <w:p w14:paraId="204A5B5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Пробег</w:t>
            </w:r>
          </w:p>
        </w:tc>
        <w:tc>
          <w:tcPr>
            <w:tcW w:w="1235" w:type="dxa"/>
          </w:tcPr>
          <w:p w14:paraId="5F9EB00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550</w:t>
            </w:r>
          </w:p>
        </w:tc>
        <w:tc>
          <w:tcPr>
            <w:tcW w:w="1358" w:type="dxa"/>
          </w:tcPr>
          <w:p w14:paraId="65D503A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485</w:t>
            </w:r>
          </w:p>
        </w:tc>
        <w:tc>
          <w:tcPr>
            <w:tcW w:w="1235" w:type="dxa"/>
          </w:tcPr>
          <w:p w14:paraId="37FA974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475</w:t>
            </w:r>
          </w:p>
        </w:tc>
      </w:tr>
      <w:tr w:rsidR="005106D0" w:rsidRPr="007224C3" w14:paraId="73B01D64" w14:textId="77777777">
        <w:tc>
          <w:tcPr>
            <w:tcW w:w="2943" w:type="dxa"/>
          </w:tcPr>
          <w:p w14:paraId="6B3ABAD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 горючего</w:t>
            </w:r>
          </w:p>
        </w:tc>
        <w:tc>
          <w:tcPr>
            <w:tcW w:w="1235" w:type="dxa"/>
          </w:tcPr>
          <w:p w14:paraId="471E917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486</w:t>
            </w:r>
          </w:p>
        </w:tc>
        <w:tc>
          <w:tcPr>
            <w:tcW w:w="1358" w:type="dxa"/>
          </w:tcPr>
          <w:p w14:paraId="7ABE4C8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3200</w:t>
            </w:r>
          </w:p>
        </w:tc>
        <w:tc>
          <w:tcPr>
            <w:tcW w:w="1235" w:type="dxa"/>
          </w:tcPr>
          <w:p w14:paraId="718AC4E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300</w:t>
            </w:r>
          </w:p>
        </w:tc>
      </w:tr>
      <w:tr w:rsidR="005106D0" w:rsidRPr="007224C3" w14:paraId="68DE04F0" w14:textId="77777777">
        <w:tc>
          <w:tcPr>
            <w:tcW w:w="2943" w:type="dxa"/>
          </w:tcPr>
          <w:p w14:paraId="466478F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Дальность на режиме макс. дальности</w:t>
            </w:r>
          </w:p>
        </w:tc>
        <w:tc>
          <w:tcPr>
            <w:tcW w:w="1235" w:type="dxa"/>
          </w:tcPr>
          <w:p w14:paraId="178099E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1360/430</w:t>
            </w:r>
          </w:p>
        </w:tc>
        <w:tc>
          <w:tcPr>
            <w:tcW w:w="1358" w:type="dxa"/>
          </w:tcPr>
          <w:p w14:paraId="3B9C2EE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848/243</w:t>
            </w:r>
          </w:p>
        </w:tc>
        <w:tc>
          <w:tcPr>
            <w:tcW w:w="1235" w:type="dxa"/>
          </w:tcPr>
          <w:p w14:paraId="71BFDF1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1B3B03FE" w14:textId="77777777">
        <w:tc>
          <w:tcPr>
            <w:tcW w:w="2943" w:type="dxa"/>
            <w:tcBorders>
              <w:bottom w:val="single" w:sz="12" w:space="0" w:color="auto"/>
            </w:tcBorders>
          </w:tcPr>
          <w:p w14:paraId="2870630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Вооружение</w:t>
            </w:r>
          </w:p>
        </w:tc>
        <w:tc>
          <w:tcPr>
            <w:tcW w:w="1235" w:type="dxa"/>
            <w:tcBorders>
              <w:bottom w:val="single" w:sz="12" w:space="0" w:color="auto"/>
            </w:tcBorders>
          </w:tcPr>
          <w:p w14:paraId="7A92BB7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1х20мм, 120</w:t>
            </w:r>
          </w:p>
          <w:p w14:paraId="6A2F5EA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1хУБС, 200</w:t>
            </w:r>
          </w:p>
        </w:tc>
        <w:tc>
          <w:tcPr>
            <w:tcW w:w="1358" w:type="dxa"/>
            <w:tcBorders>
              <w:bottom w:val="single" w:sz="12" w:space="0" w:color="auto"/>
            </w:tcBorders>
          </w:tcPr>
          <w:p w14:paraId="364E5DE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то же</w:t>
            </w:r>
          </w:p>
        </w:tc>
        <w:tc>
          <w:tcPr>
            <w:tcW w:w="1235" w:type="dxa"/>
            <w:tcBorders>
              <w:bottom w:val="single" w:sz="12" w:space="0" w:color="auto"/>
            </w:tcBorders>
          </w:tcPr>
          <w:p w14:paraId="7775DDE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3хМС-181 20 мм, 480 патронов</w:t>
            </w:r>
          </w:p>
          <w:p w14:paraId="7FCDF4F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2х7,92</w:t>
            </w:r>
          </w:p>
        </w:tc>
      </w:tr>
    </w:tbl>
    <w:p w14:paraId="4214E88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(712,4).</w:t>
      </w:r>
    </w:p>
    <w:p w14:paraId="3729B1A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902981"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24 марта</w:t>
      </w:r>
      <w:r w:rsidRPr="007224C3">
        <w:rPr>
          <w:rFonts w:ascii="Times New Roman" w:hAnsi="Times New Roman"/>
          <w:color w:val="000000" w:themeColor="text1"/>
          <w:sz w:val="16"/>
          <w:szCs w:val="16"/>
        </w:rPr>
        <w:t xml:space="preserve"> в 1944 году в ЛИИ начались (по 12 декабря) испытания «Як-7Б» «М-105ПФ», ОКБ Яковлева. Ведущий летчик - С.Н.Анохин (ЛИИ). «Як-7Б» с «М-105ПФ» и двумя прямоточными воздушно-реактивными двигателями (ПВРД) «ДМ-4С» конструкции И.А.Меркулова являлся по существу летающей лабораторией для испытания и отработки одного из первых отечественных реактивных двигателей. «ДМ-4С» имел диаметр 500 мм, длину 2300 мм, массу 45 кг и максимальный расход горючего 11...12 кг/мин. ПВРД размешались под крылом «Як-7Б», по одному на каждой консоли. Горючим для них служил бензин из основных баков самолета. ПВРД использовались как ускорители для кратковременного увеличения максимальной скорости полета. Для лётных испытаний «ДМ-4С» был выбран «Як-7Б»как обладавший достаточно высокой максимальной скоростью, хорошими устойчивостью и управляемостью и, кроме того, позволявший легко оборудовать вторую кабину, благодаря чему в испытаниях мог принять участие инженер-экспериментатор. Продолжением работ стал самолет </w:t>
      </w:r>
      <w:hyperlink r:id="rId86" w:tgtFrame="_blank" w:history="1">
        <w:r w:rsidRPr="007224C3">
          <w:rPr>
            <w:rFonts w:ascii="Times New Roman" w:hAnsi="Times New Roman"/>
            <w:color w:val="000000" w:themeColor="text1"/>
            <w:sz w:val="16"/>
            <w:szCs w:val="16"/>
          </w:rPr>
          <w:t>«Як-7Р» (реактивный).</w:t>
        </w:r>
      </w:hyperlink>
    </w:p>
    <w:p w14:paraId="169526A9" w14:textId="77777777" w:rsidR="00EB5859" w:rsidRPr="007224C3" w:rsidRDefault="00EB5859" w:rsidP="007224C3">
      <w:pPr>
        <w:spacing w:after="0" w:line="240" w:lineRule="auto"/>
        <w:jc w:val="both"/>
        <w:rPr>
          <w:rFonts w:ascii="Times New Roman" w:hAnsi="Times New Roman"/>
          <w:color w:val="000000" w:themeColor="text1"/>
          <w:sz w:val="16"/>
          <w:szCs w:val="16"/>
        </w:rPr>
      </w:pPr>
    </w:p>
    <w:p w14:paraId="72F8F157" w14:textId="77777777" w:rsidR="00962976" w:rsidRPr="007224C3" w:rsidRDefault="00962976" w:rsidP="007224C3">
      <w:pPr>
        <w:pStyle w:val="Bodytext1"/>
        <w:shd w:val="clear" w:color="auto" w:fill="auto"/>
        <w:spacing w:line="240" w:lineRule="auto"/>
        <w:ind w:firstLine="0"/>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24 или 28 марта 1944 г. доработанный и разоруженный Як-7Б №0803 - самолет-лаборатория, оборудованный ПВРД Меркулова, поступил на испытания. Их прово</w:t>
      </w:r>
      <w:r w:rsidRPr="007224C3">
        <w:rPr>
          <w:rFonts w:ascii="Times New Roman" w:hAnsi="Times New Roman" w:cs="Times New Roman"/>
          <w:color w:val="000000" w:themeColor="text1"/>
          <w:sz w:val="16"/>
          <w:szCs w:val="16"/>
        </w:rPr>
        <w:softHyphen/>
      </w:r>
      <w:r w:rsidRPr="007224C3">
        <w:rPr>
          <w:rStyle w:val="BodytextBold29"/>
          <w:rFonts w:ascii="Times New Roman" w:eastAsiaTheme="minorHAnsi" w:hAnsi="Times New Roman" w:cs="Times New Roman"/>
          <w:b w:val="0"/>
          <w:color w:val="000000" w:themeColor="text1"/>
          <w:sz w:val="16"/>
          <w:szCs w:val="16"/>
        </w:rPr>
        <w:t>дили</w:t>
      </w:r>
      <w:r w:rsidRPr="007224C3">
        <w:rPr>
          <w:rFonts w:ascii="Times New Roman" w:hAnsi="Times New Roman" w:cs="Times New Roman"/>
          <w:color w:val="000000" w:themeColor="text1"/>
          <w:sz w:val="16"/>
          <w:szCs w:val="16"/>
        </w:rPr>
        <w:t xml:space="preserve"> ведущий инженер </w:t>
      </w:r>
      <w:r w:rsidRPr="007224C3">
        <w:rPr>
          <w:rFonts w:ascii="Times New Roman" w:hAnsi="Times New Roman" w:cs="Times New Roman"/>
          <w:color w:val="000000" w:themeColor="text1"/>
          <w:sz w:val="16"/>
          <w:szCs w:val="16"/>
          <w:lang w:val="en-US"/>
        </w:rPr>
        <w:t>B</w:t>
      </w:r>
      <w:r w:rsidRPr="007224C3">
        <w:rPr>
          <w:rFonts w:ascii="Times New Roman" w:hAnsi="Times New Roman" w:cs="Times New Roman"/>
          <w:color w:val="000000" w:themeColor="text1"/>
          <w:sz w:val="16"/>
          <w:szCs w:val="16"/>
        </w:rPr>
        <w:t>.</w:t>
      </w:r>
      <w:r w:rsidRPr="007224C3">
        <w:rPr>
          <w:rFonts w:ascii="Times New Roman" w:hAnsi="Times New Roman" w:cs="Times New Roman"/>
          <w:color w:val="000000" w:themeColor="text1"/>
          <w:sz w:val="16"/>
          <w:szCs w:val="16"/>
          <w:lang w:val="en-US"/>
        </w:rPr>
        <w:t>C</w:t>
      </w:r>
      <w:r w:rsidRPr="007224C3">
        <w:rPr>
          <w:rFonts w:ascii="Times New Roman" w:hAnsi="Times New Roman" w:cs="Times New Roman"/>
          <w:color w:val="000000" w:themeColor="text1"/>
          <w:sz w:val="16"/>
          <w:szCs w:val="16"/>
        </w:rPr>
        <w:t>. Чиколини и пи</w:t>
      </w:r>
      <w:r w:rsidRPr="007224C3">
        <w:rPr>
          <w:rFonts w:ascii="Times New Roman" w:hAnsi="Times New Roman" w:cs="Times New Roman"/>
          <w:color w:val="000000" w:themeColor="text1"/>
          <w:sz w:val="16"/>
          <w:szCs w:val="16"/>
        </w:rPr>
        <w:softHyphen/>
        <w:t>лот С.Н. Анохин из ЛИИ НКАП при участии ведущего инженера СКБ-84 А.А. Мельникова. Для Меркулова это был очень важный момент - наконец-то возобновляются лет</w:t>
      </w:r>
      <w:r w:rsidRPr="007224C3">
        <w:rPr>
          <w:rFonts w:ascii="Times New Roman" w:hAnsi="Times New Roman" w:cs="Times New Roman"/>
          <w:color w:val="000000" w:themeColor="text1"/>
          <w:sz w:val="16"/>
          <w:szCs w:val="16"/>
        </w:rPr>
        <w:softHyphen/>
        <w:t>ные испытания его двигателей!</w:t>
      </w:r>
    </w:p>
    <w:p w14:paraId="534F8F8A" w14:textId="77777777" w:rsidR="00962976" w:rsidRPr="007224C3" w:rsidRDefault="00962976" w:rsidP="007224C3">
      <w:pPr>
        <w:pStyle w:val="Bodytext1"/>
        <w:shd w:val="clear" w:color="auto" w:fill="auto"/>
        <w:spacing w:line="240" w:lineRule="auto"/>
        <w:ind w:firstLine="0"/>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 xml:space="preserve">На первом этапе, закончившемся </w:t>
      </w:r>
    </w:p>
    <w:p w14:paraId="2E428191" w14:textId="77777777" w:rsidR="00962976" w:rsidRPr="007224C3" w:rsidRDefault="00962976" w:rsidP="007224C3">
      <w:pPr>
        <w:pStyle w:val="Bodytext1"/>
        <w:shd w:val="clear" w:color="auto" w:fill="auto"/>
        <w:spacing w:line="240" w:lineRule="auto"/>
        <w:ind w:firstLine="0"/>
        <w:rPr>
          <w:rFonts w:ascii="Times New Roman" w:hAnsi="Times New Roman" w:cs="Times New Roman"/>
          <w:color w:val="000000" w:themeColor="text1"/>
          <w:sz w:val="16"/>
          <w:szCs w:val="16"/>
        </w:rPr>
      </w:pPr>
    </w:p>
    <w:p w14:paraId="487168BF" w14:textId="77777777" w:rsidR="006E2E37" w:rsidRPr="007224C3" w:rsidRDefault="006E2E37" w:rsidP="007224C3">
      <w:pPr>
        <w:pStyle w:val="ae"/>
        <w:shd w:val="clear" w:color="auto" w:fill="FFFFFF"/>
        <w:spacing w:before="0" w:after="0"/>
        <w:jc w:val="both"/>
        <w:rPr>
          <w:color w:val="000000" w:themeColor="text1"/>
          <w:sz w:val="16"/>
          <w:szCs w:val="16"/>
        </w:rPr>
      </w:pPr>
      <w:r w:rsidRPr="007224C3">
        <w:rPr>
          <w:color w:val="000000" w:themeColor="text1"/>
          <w:sz w:val="16"/>
          <w:szCs w:val="16"/>
        </w:rPr>
        <w:t>С 24 марта по 12 декабря 1944 г. в ЛИИ на Як-7Б М-105ПФ  проходили летные испытания ДМ-4С Бондарюка</w:t>
      </w:r>
    </w:p>
    <w:p w14:paraId="41CC55C2" w14:textId="77777777" w:rsidR="006E2E37" w:rsidRPr="007224C3" w:rsidRDefault="006E2E37" w:rsidP="007224C3">
      <w:pPr>
        <w:pStyle w:val="ae"/>
        <w:shd w:val="clear" w:color="auto" w:fill="FFFFFF"/>
        <w:spacing w:before="0" w:after="0"/>
        <w:jc w:val="both"/>
        <w:rPr>
          <w:color w:val="000000" w:themeColor="text1"/>
          <w:sz w:val="16"/>
          <w:szCs w:val="16"/>
        </w:rPr>
      </w:pPr>
      <w:r w:rsidRPr="007224C3">
        <w:rPr>
          <w:color w:val="000000" w:themeColor="text1"/>
          <w:sz w:val="16"/>
          <w:szCs w:val="16"/>
        </w:rPr>
        <w:t>Первый полет с включенными ДМ-4С состоялся 15 мая 1944 г.</w:t>
      </w:r>
    </w:p>
    <w:p w14:paraId="5702BC4E" w14:textId="77777777" w:rsidR="006E2E37" w:rsidRPr="007224C3" w:rsidRDefault="006E2E37" w:rsidP="007224C3">
      <w:pPr>
        <w:pStyle w:val="ae"/>
        <w:shd w:val="clear" w:color="auto" w:fill="FFFFFF"/>
        <w:spacing w:before="0" w:after="0"/>
        <w:jc w:val="both"/>
        <w:rPr>
          <w:color w:val="000000" w:themeColor="text1"/>
          <w:sz w:val="16"/>
          <w:szCs w:val="16"/>
        </w:rPr>
      </w:pPr>
      <w:r w:rsidRPr="007224C3">
        <w:rPr>
          <w:color w:val="000000" w:themeColor="text1"/>
          <w:sz w:val="16"/>
          <w:szCs w:val="16"/>
        </w:rPr>
        <w:t>Самолетом управлял ведущий летчик-испытатель ЛИИ С.Н. Анохин. Двигатели ДМ-4С запускались на высотах до 5000 м. Конструкция ДМ-4С позволяла производить останов ки и последующие запуски двигателей в полете. Эксплуата ция ДМ-4С была простой. Управление двигателями в полете затруднений не вызывала. Двигатели работали на бензине из тех же баков, что и основной двигатель.</w:t>
      </w:r>
    </w:p>
    <w:p w14:paraId="1EFEEB75" w14:textId="77777777" w:rsidR="006E2E37" w:rsidRPr="007224C3" w:rsidRDefault="006E2E37" w:rsidP="007224C3">
      <w:pPr>
        <w:pStyle w:val="ae"/>
        <w:shd w:val="clear" w:color="auto" w:fill="FFFFFF"/>
        <w:spacing w:before="0" w:after="0"/>
        <w:jc w:val="both"/>
        <w:rPr>
          <w:color w:val="000000" w:themeColor="text1"/>
          <w:sz w:val="16"/>
          <w:szCs w:val="16"/>
        </w:rPr>
      </w:pPr>
      <w:r w:rsidRPr="007224C3">
        <w:rPr>
          <w:color w:val="000000" w:themeColor="text1"/>
          <w:sz w:val="16"/>
          <w:szCs w:val="16"/>
        </w:rPr>
        <w:t>Была достигнута равномерная работа обоих двигателей.</w:t>
      </w:r>
    </w:p>
    <w:p w14:paraId="349BA94B" w14:textId="77777777" w:rsidR="006E2E37" w:rsidRPr="007224C3" w:rsidRDefault="006E2E37" w:rsidP="007224C3">
      <w:pPr>
        <w:pStyle w:val="ae"/>
        <w:shd w:val="clear" w:color="auto" w:fill="FFFFFF"/>
        <w:spacing w:before="0" w:after="0"/>
        <w:jc w:val="both"/>
        <w:rPr>
          <w:color w:val="000000" w:themeColor="text1"/>
          <w:sz w:val="16"/>
          <w:szCs w:val="16"/>
        </w:rPr>
      </w:pPr>
      <w:r w:rsidRPr="007224C3">
        <w:rPr>
          <w:color w:val="000000" w:themeColor="text1"/>
          <w:sz w:val="16"/>
          <w:szCs w:val="16"/>
        </w:rPr>
        <w:t>После проведения этого этапа летных испытаний предполага лось снять подробные тяговые характеристики при различных параметрах конструкции двигателя и дальнейшем его совер шенствовании. Поэтому запуск ПВРД и другие задачи перво го этапа испытаний отрабатывались с произвольными агрегатами и параметрами двигателя, а не с теми, которые на осно вании теоретических расчетов и исследований в трубе представлялись оптимальными. Однако после выполнения первого этапа, летные испытания были прекращены по мотивам боль шого расхода бензина на работу ДМ-4С.</w:t>
      </w:r>
    </w:p>
    <w:p w14:paraId="52BA6827" w14:textId="77777777" w:rsidR="006E2E37" w:rsidRPr="007224C3" w:rsidRDefault="006E2E37" w:rsidP="007224C3">
      <w:pPr>
        <w:pStyle w:val="ae"/>
        <w:shd w:val="clear" w:color="auto" w:fill="FFFFFF"/>
        <w:spacing w:before="0" w:after="0"/>
        <w:jc w:val="both"/>
        <w:rPr>
          <w:color w:val="000000" w:themeColor="text1"/>
          <w:sz w:val="16"/>
          <w:szCs w:val="16"/>
        </w:rPr>
      </w:pPr>
      <w:r w:rsidRPr="007224C3">
        <w:rPr>
          <w:color w:val="000000" w:themeColor="text1"/>
          <w:sz w:val="16"/>
          <w:szCs w:val="16"/>
        </w:rPr>
        <w:t>Максимальная горизонтальная скорость самолета при нера ботающих ДМ-4С из-за их лобового сопротивления уменьшилась до 460 против 494 км/ч у Як-7Б № 803 без ДМ-4С. При работе ДМ-4С на высоте 2340 м максимальная горизонтальная скорость увеличивалась до 513 км/ч, т.е. на 53 км/ч, но она была лишь на 19 км/ч больше, чем скорость исходного Як-7Б. При оценке этого результата следует учесть, что оба ПВРД были подвешены под крыльями без зализов или обтекателей, и что при такой под веске была весьма велика интерференция двигателя и крыла.</w:t>
      </w:r>
    </w:p>
    <w:p w14:paraId="543A8C10" w14:textId="77777777" w:rsidR="006E2E37" w:rsidRPr="007224C3" w:rsidRDefault="006E2E37" w:rsidP="007224C3">
      <w:pPr>
        <w:pStyle w:val="ae"/>
        <w:shd w:val="clear" w:color="auto" w:fill="FFFFFF"/>
        <w:spacing w:before="0" w:after="0"/>
        <w:jc w:val="both"/>
        <w:rPr>
          <w:color w:val="000000" w:themeColor="text1"/>
          <w:sz w:val="16"/>
          <w:szCs w:val="16"/>
        </w:rPr>
      </w:pPr>
      <w:r w:rsidRPr="007224C3">
        <w:rPr>
          <w:color w:val="000000" w:themeColor="text1"/>
          <w:sz w:val="16"/>
          <w:szCs w:val="16"/>
        </w:rPr>
        <w:t>Предполагалось, что при повышении расхода топлива с 22 до 30 кг/мин на истребителе, имеющем скорость полета порядка 600 км/ч, дополнительные двигатели ДМ-4С смогут обеспечить прирост скорости в 130 км/ч, а при установке двигателей на более скоростные самолеты эффект от их применения станет еще больше. Установка ДМ-4С осуществлялась весьма просто и могла быть выполнена даже в полевых условиях, что позво ляло оборудовать этими двигателями существующий парк са молетов. Таким образом, для ВВС был создан резерв на случай непредвиденных обстоятельств. Предполагалась установка ПВРД также на Як-1, при этом ожидался прирост скорости 100 км/ч в течение 10 мин. Но этот проект не был реализован. ПВРД практически не использовались в связи с окончанием войны и последующим появлением турбореактивных двигателей, кото рые имели преимущества перед ПВРД в тяге (19586).</w:t>
      </w:r>
    </w:p>
    <w:p w14:paraId="651C313B" w14:textId="77777777" w:rsidR="006E2E37" w:rsidRPr="007224C3" w:rsidRDefault="006E2E37" w:rsidP="007224C3">
      <w:pPr>
        <w:pStyle w:val="ae"/>
        <w:shd w:val="clear" w:color="auto" w:fill="FFFFFF"/>
        <w:spacing w:before="0" w:after="0"/>
        <w:jc w:val="both"/>
        <w:rPr>
          <w:color w:val="000000" w:themeColor="text1"/>
          <w:sz w:val="16"/>
          <w:szCs w:val="16"/>
        </w:rPr>
      </w:pPr>
    </w:p>
    <w:p w14:paraId="0599821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C 24 (28 - 539) марта по 12 декабря 1944 в ЛИИ испытывали ПВРД ДМ-4С И.А.Меркулова на Як-7В с М-106ПФ N 803. Ведущий летчик - С.Н.Анохин из ЛИИ (65,102).</w:t>
      </w:r>
    </w:p>
    <w:p w14:paraId="6D20AE8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D37843" w14:textId="77777777" w:rsidR="00133AA8" w:rsidRPr="007224C3" w:rsidRDefault="00133AA8" w:rsidP="007224C3">
      <w:pPr>
        <w:pStyle w:val="Bodytext1"/>
        <w:shd w:val="clear" w:color="auto" w:fill="auto"/>
        <w:spacing w:line="240" w:lineRule="auto"/>
        <w:ind w:firstLine="0"/>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24 или 28 марта 1944 г. доработанный и разоруженный Як-7Б №0803 - самолет-лаборатория, оборудованный ПВРД Меркулова, поступил на испытания. Их прово</w:t>
      </w:r>
      <w:r w:rsidRPr="007224C3">
        <w:rPr>
          <w:rFonts w:ascii="Times New Roman" w:hAnsi="Times New Roman" w:cs="Times New Roman"/>
          <w:color w:val="000000" w:themeColor="text1"/>
          <w:sz w:val="16"/>
          <w:szCs w:val="16"/>
        </w:rPr>
        <w:softHyphen/>
      </w:r>
      <w:r w:rsidRPr="007224C3">
        <w:rPr>
          <w:rStyle w:val="BodytextBold29"/>
          <w:rFonts w:ascii="Times New Roman" w:eastAsiaTheme="minorHAnsi" w:hAnsi="Times New Roman" w:cs="Times New Roman"/>
          <w:b w:val="0"/>
          <w:color w:val="000000" w:themeColor="text1"/>
          <w:sz w:val="16"/>
          <w:szCs w:val="16"/>
        </w:rPr>
        <w:t>дили</w:t>
      </w:r>
      <w:r w:rsidRPr="007224C3">
        <w:rPr>
          <w:rFonts w:ascii="Times New Roman" w:hAnsi="Times New Roman" w:cs="Times New Roman"/>
          <w:color w:val="000000" w:themeColor="text1"/>
          <w:sz w:val="16"/>
          <w:szCs w:val="16"/>
        </w:rPr>
        <w:t xml:space="preserve"> ведущий инженер </w:t>
      </w:r>
      <w:r w:rsidRPr="007224C3">
        <w:rPr>
          <w:rFonts w:ascii="Times New Roman" w:hAnsi="Times New Roman" w:cs="Times New Roman"/>
          <w:color w:val="000000" w:themeColor="text1"/>
          <w:sz w:val="16"/>
          <w:szCs w:val="16"/>
          <w:lang w:val="en-US"/>
        </w:rPr>
        <w:t>B</w:t>
      </w:r>
      <w:r w:rsidRPr="007224C3">
        <w:rPr>
          <w:rFonts w:ascii="Times New Roman" w:hAnsi="Times New Roman" w:cs="Times New Roman"/>
          <w:color w:val="000000" w:themeColor="text1"/>
          <w:sz w:val="16"/>
          <w:szCs w:val="16"/>
        </w:rPr>
        <w:t>.</w:t>
      </w:r>
      <w:r w:rsidRPr="007224C3">
        <w:rPr>
          <w:rFonts w:ascii="Times New Roman" w:hAnsi="Times New Roman" w:cs="Times New Roman"/>
          <w:color w:val="000000" w:themeColor="text1"/>
          <w:sz w:val="16"/>
          <w:szCs w:val="16"/>
          <w:lang w:val="en-US"/>
        </w:rPr>
        <w:t>C</w:t>
      </w:r>
      <w:r w:rsidRPr="007224C3">
        <w:rPr>
          <w:rFonts w:ascii="Times New Roman" w:hAnsi="Times New Roman" w:cs="Times New Roman"/>
          <w:color w:val="000000" w:themeColor="text1"/>
          <w:sz w:val="16"/>
          <w:szCs w:val="16"/>
        </w:rPr>
        <w:t>. Чиколини и пи</w:t>
      </w:r>
      <w:r w:rsidRPr="007224C3">
        <w:rPr>
          <w:rFonts w:ascii="Times New Roman" w:hAnsi="Times New Roman" w:cs="Times New Roman"/>
          <w:color w:val="000000" w:themeColor="text1"/>
          <w:sz w:val="16"/>
          <w:szCs w:val="16"/>
        </w:rPr>
        <w:softHyphen/>
        <w:t>лот С.Н. Анохин из ЛИИ НКАП при участии ведущего инженера СКБ-84 А.А. Мельникова. Для Меркулова это был очень важный момент - наконец-то возобновляются лет</w:t>
      </w:r>
      <w:r w:rsidRPr="007224C3">
        <w:rPr>
          <w:rFonts w:ascii="Times New Roman" w:hAnsi="Times New Roman" w:cs="Times New Roman"/>
          <w:color w:val="000000" w:themeColor="text1"/>
          <w:sz w:val="16"/>
          <w:szCs w:val="16"/>
        </w:rPr>
        <w:softHyphen/>
        <w:t>ные испытания его двигателей!</w:t>
      </w:r>
    </w:p>
    <w:p w14:paraId="60B95D4F" w14:textId="77777777" w:rsidR="00133AA8" w:rsidRPr="007224C3" w:rsidRDefault="00133AA8" w:rsidP="007224C3">
      <w:pPr>
        <w:pStyle w:val="Bodytext1"/>
        <w:shd w:val="clear" w:color="auto" w:fill="auto"/>
        <w:spacing w:line="240" w:lineRule="auto"/>
        <w:ind w:firstLine="0"/>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На первом этапе, закончившемся 11 мая 1944 г., самолет-лаборатория был опро</w:t>
      </w:r>
      <w:r w:rsidRPr="007224C3">
        <w:rPr>
          <w:rFonts w:ascii="Times New Roman" w:hAnsi="Times New Roman" w:cs="Times New Roman"/>
          <w:color w:val="000000" w:themeColor="text1"/>
          <w:sz w:val="16"/>
          <w:szCs w:val="16"/>
        </w:rPr>
        <w:softHyphen/>
        <w:t>бован в воздухе без ПВРД и были сняты его летные данные на режимах, на кото</w:t>
      </w:r>
      <w:r w:rsidRPr="007224C3">
        <w:rPr>
          <w:rFonts w:ascii="Times New Roman" w:hAnsi="Times New Roman" w:cs="Times New Roman"/>
          <w:color w:val="000000" w:themeColor="text1"/>
          <w:sz w:val="16"/>
          <w:szCs w:val="16"/>
        </w:rPr>
        <w:softHyphen/>
        <w:t>рых предполагалось их включать. В конце дня И мая «дополнительные моторы» поставили, и на следующий день Анохин совершил первый полет II этапа с ними, а 15 мая впервые включил ДМ-4с.</w:t>
      </w:r>
    </w:p>
    <w:p w14:paraId="423D77AA" w14:textId="77777777" w:rsidR="00133AA8" w:rsidRPr="007224C3" w:rsidRDefault="00133AA8" w:rsidP="007224C3">
      <w:pPr>
        <w:pStyle w:val="Bodytext1"/>
        <w:shd w:val="clear" w:color="auto" w:fill="auto"/>
        <w:spacing w:line="240" w:lineRule="auto"/>
        <w:ind w:firstLine="0"/>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Летные испытания самолета заверши</w:t>
      </w:r>
      <w:r w:rsidRPr="007224C3">
        <w:rPr>
          <w:rFonts w:ascii="Times New Roman" w:hAnsi="Times New Roman" w:cs="Times New Roman"/>
          <w:color w:val="000000" w:themeColor="text1"/>
          <w:sz w:val="16"/>
          <w:szCs w:val="16"/>
        </w:rPr>
        <w:softHyphen/>
        <w:t>лись 12 декабря 1944 г. как было указано в отчете «с положительными результа</w:t>
      </w:r>
      <w:r w:rsidRPr="007224C3">
        <w:rPr>
          <w:rFonts w:ascii="Times New Roman" w:hAnsi="Times New Roman" w:cs="Times New Roman"/>
          <w:color w:val="000000" w:themeColor="text1"/>
          <w:sz w:val="16"/>
          <w:szCs w:val="16"/>
        </w:rPr>
        <w:softHyphen/>
        <w:t>тами», хотя на первый взгляд таковыми их назвать было трудно. Неработающие ПВРД дали снижение скорости на высоте 2340 м на 34 км/ч (с 494 до 460 км/ч), а прирост от их включения по сравнению с самоле</w:t>
      </w:r>
      <w:r w:rsidRPr="007224C3">
        <w:rPr>
          <w:rFonts w:ascii="Times New Roman" w:hAnsi="Times New Roman" w:cs="Times New Roman"/>
          <w:color w:val="000000" w:themeColor="text1"/>
          <w:sz w:val="16"/>
          <w:szCs w:val="16"/>
        </w:rPr>
        <w:softHyphen/>
        <w:t>том без ПВРД был лишь 19 км/ч - с 494 до 513 км/ч. Максимальные скорости этого самолета с неработающими ПВРД оказа</w:t>
      </w:r>
      <w:r w:rsidRPr="007224C3">
        <w:rPr>
          <w:rFonts w:ascii="Times New Roman" w:hAnsi="Times New Roman" w:cs="Times New Roman"/>
          <w:color w:val="000000" w:themeColor="text1"/>
          <w:sz w:val="16"/>
          <w:szCs w:val="16"/>
        </w:rPr>
        <w:softHyphen/>
        <w:t>лись на 70-80 км/ч ниже, чем у серийного Як-</w:t>
      </w:r>
      <w:r w:rsidRPr="007224C3">
        <w:rPr>
          <w:rFonts w:ascii="Times New Roman" w:hAnsi="Times New Roman" w:cs="Times New Roman"/>
          <w:color w:val="000000" w:themeColor="text1"/>
          <w:sz w:val="16"/>
          <w:szCs w:val="16"/>
        </w:rPr>
        <w:lastRenderedPageBreak/>
        <w:t>7Б нормального качества изготовления, что объяснялось как недостатками этого конкретного экземпляра машины, так и большими размерами ПВРД - ДМ-4с имел диаметр 500 мм, что увеличивало мидель самолета более чем на 30%.</w:t>
      </w:r>
    </w:p>
    <w:p w14:paraId="4B24980A" w14:textId="77777777" w:rsidR="00133AA8" w:rsidRPr="007224C3" w:rsidRDefault="00133AA8" w:rsidP="007224C3">
      <w:pPr>
        <w:pStyle w:val="Bodytext1"/>
        <w:shd w:val="clear" w:color="auto" w:fill="auto"/>
        <w:spacing w:line="240" w:lineRule="auto"/>
        <w:ind w:firstLine="0"/>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Из-за нештатной работы бензонасоса БНК-10Ф расход топлива был 22 кг/мин вместо номинального значения 24 кг/мин, но суммарная тяга двигателей оказалась меньше явно непропорционально этой потере - он+а должна была быть 300 кгс, а получили лишь 158.</w:t>
      </w:r>
    </w:p>
    <w:p w14:paraId="55E984F5" w14:textId="77777777" w:rsidR="00133AA8" w:rsidRPr="007224C3" w:rsidRDefault="00133AA8" w:rsidP="007224C3">
      <w:pPr>
        <w:pStyle w:val="Bodytext1"/>
        <w:shd w:val="clear" w:color="auto" w:fill="auto"/>
        <w:spacing w:line="240" w:lineRule="auto"/>
        <w:ind w:firstLine="0"/>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Это могло быть связано как с недостат</w:t>
      </w:r>
      <w:r w:rsidRPr="007224C3">
        <w:rPr>
          <w:rFonts w:ascii="Times New Roman" w:hAnsi="Times New Roman" w:cs="Times New Roman"/>
          <w:color w:val="000000" w:themeColor="text1"/>
          <w:sz w:val="16"/>
          <w:szCs w:val="16"/>
        </w:rPr>
        <w:softHyphen/>
        <w:t>ками самих двигателей, так и с тем, что их испытания велись на пониженных скоро</w:t>
      </w:r>
      <w:r w:rsidRPr="007224C3">
        <w:rPr>
          <w:rFonts w:ascii="Times New Roman" w:hAnsi="Times New Roman" w:cs="Times New Roman"/>
          <w:color w:val="000000" w:themeColor="text1"/>
          <w:sz w:val="16"/>
          <w:szCs w:val="16"/>
        </w:rPr>
        <w:softHyphen/>
        <w:t>стях и скоростных напорах. Но выводы все же были оптимистичны.</w:t>
      </w:r>
    </w:p>
    <w:p w14:paraId="7A9E9639" w14:textId="77777777" w:rsidR="00133AA8" w:rsidRPr="007224C3" w:rsidRDefault="00133AA8" w:rsidP="007224C3">
      <w:pPr>
        <w:pStyle w:val="Bodytext1"/>
        <w:shd w:val="clear" w:color="auto" w:fill="auto"/>
        <w:spacing w:line="240" w:lineRule="auto"/>
        <w:ind w:firstLine="0"/>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Во-первых, в отчете появилась столь желанная для КБ Меркулова фраза, что ПВРД работоспособны и могут быть при</w:t>
      </w:r>
      <w:r w:rsidRPr="007224C3">
        <w:rPr>
          <w:rFonts w:ascii="Times New Roman" w:hAnsi="Times New Roman" w:cs="Times New Roman"/>
          <w:color w:val="000000" w:themeColor="text1"/>
          <w:sz w:val="16"/>
          <w:szCs w:val="16"/>
        </w:rPr>
        <w:softHyphen/>
        <w:t>менены на самолетах-истребителях в качестве ускорителя, что они просты в изготовлении и обслуживании, поставить их на истребитель можно даже в поле</w:t>
      </w:r>
      <w:r w:rsidRPr="007224C3">
        <w:rPr>
          <w:rFonts w:ascii="Times New Roman" w:hAnsi="Times New Roman" w:cs="Times New Roman"/>
          <w:color w:val="000000" w:themeColor="text1"/>
          <w:sz w:val="16"/>
          <w:szCs w:val="16"/>
        </w:rPr>
        <w:softHyphen/>
        <w:t>вых условиях. Во-вторых, была выражена надежда на больший прирост скорости и высотности - достаточный для перехвата любого самолета противника. Далее было отмечено, что хотя радиус действия са</w:t>
      </w:r>
      <w:r w:rsidRPr="007224C3">
        <w:rPr>
          <w:rFonts w:ascii="Times New Roman" w:hAnsi="Times New Roman" w:cs="Times New Roman"/>
          <w:color w:val="000000" w:themeColor="text1"/>
          <w:sz w:val="16"/>
          <w:szCs w:val="16"/>
        </w:rPr>
        <w:softHyphen/>
        <w:t>молета с ПВРД существенно сокращается из-за большого расхода топлива и увели</w:t>
      </w:r>
      <w:r w:rsidRPr="007224C3">
        <w:rPr>
          <w:rFonts w:ascii="Times New Roman" w:hAnsi="Times New Roman" w:cs="Times New Roman"/>
          <w:color w:val="000000" w:themeColor="text1"/>
          <w:sz w:val="16"/>
          <w:szCs w:val="16"/>
        </w:rPr>
        <w:softHyphen/>
        <w:t>чения аэродинамического сопротивления, но такие самолеты использовать для при</w:t>
      </w:r>
      <w:r w:rsidRPr="007224C3">
        <w:rPr>
          <w:rFonts w:ascii="Times New Roman" w:hAnsi="Times New Roman" w:cs="Times New Roman"/>
          <w:color w:val="000000" w:themeColor="text1"/>
          <w:sz w:val="16"/>
          <w:szCs w:val="16"/>
        </w:rPr>
        <w:softHyphen/>
        <w:t>крытия важных объектов целесообразно. Однако моделирование возможных такти</w:t>
      </w:r>
      <w:r w:rsidRPr="007224C3">
        <w:rPr>
          <w:rFonts w:ascii="Times New Roman" w:hAnsi="Times New Roman" w:cs="Times New Roman"/>
          <w:color w:val="000000" w:themeColor="text1"/>
          <w:sz w:val="16"/>
          <w:szCs w:val="16"/>
        </w:rPr>
        <w:softHyphen/>
        <w:t>ческих ситуаций было проведено не для задач ПВО, а исходя из действий авиа</w:t>
      </w:r>
      <w:r w:rsidRPr="007224C3">
        <w:rPr>
          <w:rFonts w:ascii="Times New Roman" w:hAnsi="Times New Roman" w:cs="Times New Roman"/>
          <w:color w:val="000000" w:themeColor="text1"/>
          <w:sz w:val="16"/>
          <w:szCs w:val="16"/>
        </w:rPr>
        <w:softHyphen/>
        <w:t>ции фронтовой. Было сказано, что с уве</w:t>
      </w:r>
      <w:r w:rsidRPr="007224C3">
        <w:rPr>
          <w:rFonts w:ascii="Times New Roman" w:hAnsi="Times New Roman" w:cs="Times New Roman"/>
          <w:color w:val="000000" w:themeColor="text1"/>
          <w:sz w:val="16"/>
          <w:szCs w:val="16"/>
        </w:rPr>
        <w:softHyphen/>
        <w:t>личением расхода топлива до 30 кг/мин добавка скорости составит до 130 км/ч и тогда для догона появившегося на пре</w:t>
      </w:r>
      <w:r w:rsidRPr="007224C3">
        <w:rPr>
          <w:rFonts w:ascii="Times New Roman" w:hAnsi="Times New Roman" w:cs="Times New Roman"/>
          <w:color w:val="000000" w:themeColor="text1"/>
          <w:sz w:val="16"/>
          <w:szCs w:val="16"/>
        </w:rPr>
        <w:softHyphen/>
        <w:t>деле видимости истребителя противника над будет не более 3 мин, а для выхода из зоны действия его эффективного огня на дистанцию свыше 500 м - до 15 с при технической возможности использования ПВРД в течение 5-6 мин.</w:t>
      </w:r>
    </w:p>
    <w:p w14:paraId="30F60623" w14:textId="77777777" w:rsidR="00133AA8" w:rsidRPr="007224C3" w:rsidRDefault="00133AA8" w:rsidP="007224C3">
      <w:pPr>
        <w:pStyle w:val="Bodytext1"/>
        <w:shd w:val="clear" w:color="auto" w:fill="auto"/>
        <w:spacing w:line="240" w:lineRule="auto"/>
        <w:ind w:firstLine="0"/>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Меркулов выразил уверенность, что сможет не только довести тягу своих дви</w:t>
      </w:r>
      <w:r w:rsidRPr="007224C3">
        <w:rPr>
          <w:rFonts w:ascii="Times New Roman" w:hAnsi="Times New Roman" w:cs="Times New Roman"/>
          <w:color w:val="000000" w:themeColor="text1"/>
          <w:sz w:val="16"/>
          <w:szCs w:val="16"/>
        </w:rPr>
        <w:softHyphen/>
        <w:t>гателей до заданных 150 кгс, но и снизить их массу с 45 до 15-18 кг.</w:t>
      </w:r>
    </w:p>
    <w:p w14:paraId="69564940" w14:textId="77777777" w:rsidR="00133AA8" w:rsidRPr="007224C3" w:rsidRDefault="00133AA8" w:rsidP="007224C3">
      <w:pPr>
        <w:pStyle w:val="Bodytext1"/>
        <w:shd w:val="clear" w:color="auto" w:fill="auto"/>
        <w:spacing w:line="240" w:lineRule="auto"/>
        <w:ind w:firstLine="0"/>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Специалисты ЛИИ провели оценку возможных выгод от ПВРД, определив, что наилучшие результаты дает установка двух ДМ в хвосте - тогда скорость Як-7 на одном моторе М-105ПФ на границе вы</w:t>
      </w:r>
      <w:r w:rsidRPr="007224C3">
        <w:rPr>
          <w:rFonts w:ascii="Times New Roman" w:hAnsi="Times New Roman" w:cs="Times New Roman"/>
          <w:color w:val="000000" w:themeColor="text1"/>
          <w:sz w:val="16"/>
          <w:szCs w:val="16"/>
        </w:rPr>
        <w:softHyphen/>
        <w:t>сотности сохранится на уровне 600 км/ч, а после их включения возрастет до 800 км/ч.</w:t>
      </w:r>
    </w:p>
    <w:p w14:paraId="2E45029A" w14:textId="77777777" w:rsidR="00133AA8" w:rsidRPr="007224C3" w:rsidRDefault="00133AA8" w:rsidP="007224C3">
      <w:pPr>
        <w:pStyle w:val="Bodytext1"/>
        <w:shd w:val="clear" w:color="auto" w:fill="auto"/>
        <w:spacing w:line="240" w:lineRule="auto"/>
        <w:ind w:firstLine="0"/>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Яковлев выполнил проект доработки Як-7 установкой двух ДМ-4с в полевых условиях, что он рассматривал как пер</w:t>
      </w:r>
      <w:r w:rsidRPr="007224C3">
        <w:rPr>
          <w:rFonts w:ascii="Times New Roman" w:hAnsi="Times New Roman" w:cs="Times New Roman"/>
          <w:color w:val="000000" w:themeColor="text1"/>
          <w:sz w:val="16"/>
          <w:szCs w:val="16"/>
        </w:rPr>
        <w:softHyphen/>
        <w:t>вый ответ на появление у противника большого числа реактивных истребите</w:t>
      </w:r>
      <w:r w:rsidRPr="007224C3">
        <w:rPr>
          <w:rFonts w:ascii="Times New Roman" w:hAnsi="Times New Roman" w:cs="Times New Roman"/>
          <w:color w:val="000000" w:themeColor="text1"/>
          <w:sz w:val="16"/>
          <w:szCs w:val="16"/>
        </w:rPr>
        <w:softHyphen/>
        <w:t>лей до появления своих таких самолетов в серийном производстве. Но разработку Як-7Р он прекратил (17742).</w:t>
      </w:r>
    </w:p>
    <w:p w14:paraId="2881AC6F" w14:textId="77777777" w:rsidR="00133AA8" w:rsidRPr="007224C3" w:rsidRDefault="00133AA8" w:rsidP="007224C3">
      <w:pPr>
        <w:spacing w:after="0" w:line="240" w:lineRule="auto"/>
        <w:jc w:val="both"/>
        <w:rPr>
          <w:rFonts w:ascii="Times New Roman" w:hAnsi="Times New Roman"/>
          <w:color w:val="000000" w:themeColor="text1"/>
          <w:sz w:val="16"/>
          <w:szCs w:val="16"/>
        </w:rPr>
      </w:pPr>
    </w:p>
    <w:p w14:paraId="11C0D3A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марта 1944 в письме № Н-38/1500 Сандлер писал:</w:t>
      </w:r>
    </w:p>
    <w:p w14:paraId="2D8553E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...одним из крупнейших поставщиков спецтканей для самолетостроения является фабрика Заря Социализма, находящаяся в г. Гаврилов-Ям, Ярославской обл. (2553, 182).</w:t>
      </w:r>
    </w:p>
    <w:p w14:paraId="6EF0F71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4451AD"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30FE1A5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F46245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марта 1944 г. был подготовлен ДОКЛАД НАЧАЛЬНИКА ГБТУ КА ВОЕННОМУ СОВЕТУ БТ и МВ КА О РЕЗУЛЬТАТАХ ПРОБЕГОВЫХ ИСПЫТАНИЙ СЕРИЙНЫХ ТАНКОВ И САМОХОДНЫХ АРТУСТАНОВОК №521387</w:t>
      </w:r>
    </w:p>
    <w:p w14:paraId="60EC430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Докладываю о результатах испытаний серийных танков, самоходных арт. установок на гаран</w:t>
      </w:r>
      <w:r w:rsidRPr="007224C3">
        <w:rPr>
          <w:rFonts w:ascii="Times New Roman" w:hAnsi="Times New Roman"/>
          <w:color w:val="000000" w:themeColor="text1"/>
          <w:sz w:val="16"/>
          <w:szCs w:val="16"/>
        </w:rPr>
        <w:softHyphen/>
        <w:t>тийный километраж (1000 км) и пробегами на 300 км, проведенных в феврале месяце 1944 года.</w:t>
      </w:r>
    </w:p>
    <w:p w14:paraId="62D3D98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По танкам Испытаниям было подвергнуто: всего 33 танка выпуска конца января и начала февраля 1944 года.</w:t>
      </w:r>
    </w:p>
    <w:p w14:paraId="744BF6A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танков Т-34 - 28 штук</w:t>
      </w:r>
    </w:p>
    <w:p w14:paraId="2142B89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танков ИС с пушкой калибра 122 мм - 5 штук</w:t>
      </w:r>
    </w:p>
    <w:p w14:paraId="17AF603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 них были испытаны:</w:t>
      </w:r>
    </w:p>
    <w:p w14:paraId="3E0B6AD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Гарантийным пробегом на 1000 км (НИБТ полигоном)</w:t>
      </w:r>
    </w:p>
    <w:p w14:paraId="570E5E7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Т-34 - 7;</w:t>
      </w:r>
    </w:p>
    <w:p w14:paraId="5D4A18E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ИС-2 - 2;</w:t>
      </w:r>
    </w:p>
    <w:p w14:paraId="7EAB09F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 - 9 танков.</w:t>
      </w:r>
    </w:p>
    <w:p w14:paraId="02A97E8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Пробегом на 300 км (при заводах) Т-34- 21; ИС-2 - 3; Всего: - 24 танка.</w:t>
      </w:r>
    </w:p>
    <w:p w14:paraId="3B68C7F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Испытания танков проводились в период с 8 по 24 февраля с.г. специальными комиссиями, по программе ГБТУ КА.</w:t>
      </w:r>
    </w:p>
    <w:p w14:paraId="3DCBC89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Результаты испытания следующие:</w:t>
      </w:r>
    </w:p>
    <w:tbl>
      <w:tblPr>
        <w:tblW w:w="0" w:type="auto"/>
        <w:tblInd w:w="40" w:type="dxa"/>
        <w:tblLayout w:type="fixed"/>
        <w:tblCellMar>
          <w:left w:w="40" w:type="dxa"/>
          <w:right w:w="40" w:type="dxa"/>
        </w:tblCellMar>
        <w:tblLook w:val="0000" w:firstRow="0" w:lastRow="0" w:firstColumn="0" w:lastColumn="0" w:noHBand="0" w:noVBand="0"/>
      </w:tblPr>
      <w:tblGrid>
        <w:gridCol w:w="1642"/>
        <w:gridCol w:w="1574"/>
        <w:gridCol w:w="1440"/>
        <w:gridCol w:w="816"/>
        <w:gridCol w:w="806"/>
        <w:gridCol w:w="1450"/>
        <w:gridCol w:w="874"/>
        <w:gridCol w:w="883"/>
      </w:tblGrid>
      <w:tr w:rsidR="005106D0" w:rsidRPr="007224C3" w14:paraId="093DFAA4" w14:textId="77777777">
        <w:trPr>
          <w:trHeight w:val="432"/>
        </w:trPr>
        <w:tc>
          <w:tcPr>
            <w:tcW w:w="1642" w:type="dxa"/>
            <w:tcBorders>
              <w:top w:val="single" w:sz="6" w:space="0" w:color="auto"/>
              <w:left w:val="single" w:sz="6" w:space="0" w:color="auto"/>
              <w:bottom w:val="nil"/>
              <w:right w:val="single" w:sz="6" w:space="0" w:color="auto"/>
            </w:tcBorders>
          </w:tcPr>
          <w:p w14:paraId="4DDB176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изготовитель</w:t>
            </w:r>
          </w:p>
          <w:p w14:paraId="691CCBD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tcBorders>
              <w:top w:val="single" w:sz="6" w:space="0" w:color="auto"/>
              <w:left w:val="single" w:sz="6" w:space="0" w:color="auto"/>
              <w:bottom w:val="nil"/>
              <w:right w:val="single" w:sz="6" w:space="0" w:color="auto"/>
            </w:tcBorders>
          </w:tcPr>
          <w:p w14:paraId="10C5BF2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Тип танка</w:t>
            </w:r>
          </w:p>
          <w:p w14:paraId="0D42AA7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062" w:type="dxa"/>
            <w:gridSpan w:val="3"/>
            <w:tcBorders>
              <w:top w:val="single" w:sz="6" w:space="0" w:color="auto"/>
              <w:left w:val="single" w:sz="6" w:space="0" w:color="auto"/>
              <w:bottom w:val="single" w:sz="6" w:space="0" w:color="auto"/>
              <w:right w:val="single" w:sz="6" w:space="0" w:color="auto"/>
            </w:tcBorders>
          </w:tcPr>
          <w:p w14:paraId="5192374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Гарантийные испытания на 1000 км</w:t>
            </w:r>
          </w:p>
          <w:p w14:paraId="716054E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207" w:type="dxa"/>
            <w:gridSpan w:val="3"/>
            <w:tcBorders>
              <w:top w:val="single" w:sz="6" w:space="0" w:color="auto"/>
              <w:left w:val="single" w:sz="6" w:space="0" w:color="auto"/>
              <w:bottom w:val="single" w:sz="6" w:space="0" w:color="auto"/>
              <w:right w:val="single" w:sz="6" w:space="0" w:color="auto"/>
            </w:tcBorders>
          </w:tcPr>
          <w:p w14:paraId="17A6B44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Испытания на 300 км</w:t>
            </w:r>
          </w:p>
          <w:p w14:paraId="715FF4C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155697B" w14:textId="77777777">
        <w:trPr>
          <w:trHeight w:val="422"/>
        </w:trPr>
        <w:tc>
          <w:tcPr>
            <w:tcW w:w="1642" w:type="dxa"/>
            <w:tcBorders>
              <w:top w:val="nil"/>
              <w:left w:val="single" w:sz="6" w:space="0" w:color="auto"/>
              <w:bottom w:val="nil"/>
              <w:right w:val="single" w:sz="6" w:space="0" w:color="auto"/>
            </w:tcBorders>
          </w:tcPr>
          <w:p w14:paraId="29C52DB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C785C1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574" w:type="dxa"/>
            <w:tcBorders>
              <w:top w:val="nil"/>
              <w:left w:val="single" w:sz="6" w:space="0" w:color="auto"/>
              <w:bottom w:val="nil"/>
              <w:right w:val="single" w:sz="6" w:space="0" w:color="auto"/>
            </w:tcBorders>
          </w:tcPr>
          <w:p w14:paraId="0070B8B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F6A20D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nil"/>
              <w:right w:val="single" w:sz="6" w:space="0" w:color="auto"/>
            </w:tcBorders>
          </w:tcPr>
          <w:p w14:paraId="257A96F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Кол-во танков, подвергнутых испытаниям</w:t>
            </w:r>
          </w:p>
          <w:p w14:paraId="6AFE9CC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gridSpan w:val="2"/>
            <w:tcBorders>
              <w:top w:val="single" w:sz="6" w:space="0" w:color="auto"/>
              <w:left w:val="single" w:sz="6" w:space="0" w:color="auto"/>
              <w:bottom w:val="single" w:sz="6" w:space="0" w:color="auto"/>
              <w:right w:val="single" w:sz="6" w:space="0" w:color="auto"/>
            </w:tcBorders>
          </w:tcPr>
          <w:p w14:paraId="44D0913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Выдержали испытания</w:t>
            </w:r>
          </w:p>
          <w:p w14:paraId="105F196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nil"/>
              <w:right w:val="single" w:sz="6" w:space="0" w:color="auto"/>
            </w:tcBorders>
          </w:tcPr>
          <w:p w14:paraId="2B5DA5D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Кол-во танков, подвергнутых испытаниям</w:t>
            </w:r>
          </w:p>
          <w:p w14:paraId="42B0B9E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57" w:type="dxa"/>
            <w:gridSpan w:val="2"/>
            <w:tcBorders>
              <w:top w:val="single" w:sz="6" w:space="0" w:color="auto"/>
              <w:left w:val="single" w:sz="6" w:space="0" w:color="auto"/>
              <w:bottom w:val="single" w:sz="6" w:space="0" w:color="auto"/>
              <w:right w:val="single" w:sz="6" w:space="0" w:color="auto"/>
            </w:tcBorders>
          </w:tcPr>
          <w:p w14:paraId="10D953C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Выдержали испытания</w:t>
            </w:r>
          </w:p>
          <w:p w14:paraId="7C6F9FE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25A613C" w14:textId="77777777">
        <w:trPr>
          <w:trHeight w:val="269"/>
        </w:trPr>
        <w:tc>
          <w:tcPr>
            <w:tcW w:w="1642" w:type="dxa"/>
            <w:tcBorders>
              <w:top w:val="nil"/>
              <w:left w:val="single" w:sz="6" w:space="0" w:color="auto"/>
              <w:bottom w:val="single" w:sz="6" w:space="0" w:color="auto"/>
              <w:right w:val="single" w:sz="6" w:space="0" w:color="auto"/>
            </w:tcBorders>
          </w:tcPr>
          <w:p w14:paraId="24BC7F8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E74605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574" w:type="dxa"/>
            <w:tcBorders>
              <w:top w:val="nil"/>
              <w:left w:val="single" w:sz="6" w:space="0" w:color="auto"/>
              <w:bottom w:val="single" w:sz="6" w:space="0" w:color="auto"/>
              <w:right w:val="single" w:sz="6" w:space="0" w:color="auto"/>
            </w:tcBorders>
          </w:tcPr>
          <w:p w14:paraId="019FBED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8693FF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single" w:sz="6" w:space="0" w:color="auto"/>
              <w:right w:val="single" w:sz="6" w:space="0" w:color="auto"/>
            </w:tcBorders>
          </w:tcPr>
          <w:p w14:paraId="28C76B8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574F0F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724CDBD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танков</w:t>
            </w:r>
          </w:p>
          <w:p w14:paraId="0999C19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6AA4574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3DB4488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nil"/>
              <w:left w:val="single" w:sz="6" w:space="0" w:color="auto"/>
              <w:bottom w:val="single" w:sz="6" w:space="0" w:color="auto"/>
              <w:right w:val="single" w:sz="6" w:space="0" w:color="auto"/>
            </w:tcBorders>
          </w:tcPr>
          <w:p w14:paraId="485057A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3FD3B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24A943A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танков</w:t>
            </w:r>
          </w:p>
          <w:p w14:paraId="0C96594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7EEAF3C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1697A32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D30ADB2" w14:textId="77777777">
        <w:trPr>
          <w:trHeight w:val="269"/>
        </w:trPr>
        <w:tc>
          <w:tcPr>
            <w:tcW w:w="1642" w:type="dxa"/>
            <w:tcBorders>
              <w:top w:val="single" w:sz="6" w:space="0" w:color="auto"/>
              <w:left w:val="single" w:sz="6" w:space="0" w:color="auto"/>
              <w:bottom w:val="single" w:sz="6" w:space="0" w:color="auto"/>
              <w:right w:val="single" w:sz="6" w:space="0" w:color="auto"/>
            </w:tcBorders>
          </w:tcPr>
          <w:p w14:paraId="70512DB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 183</w:t>
            </w:r>
          </w:p>
          <w:p w14:paraId="7554778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tcBorders>
              <w:top w:val="single" w:sz="6" w:space="0" w:color="auto"/>
              <w:left w:val="single" w:sz="6" w:space="0" w:color="auto"/>
              <w:bottom w:val="single" w:sz="6" w:space="0" w:color="auto"/>
              <w:right w:val="single" w:sz="6" w:space="0" w:color="auto"/>
            </w:tcBorders>
          </w:tcPr>
          <w:p w14:paraId="447BA94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Т-34</w:t>
            </w:r>
          </w:p>
          <w:p w14:paraId="571ACEA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3A76DB2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p w14:paraId="7CC20BA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3B46177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p w14:paraId="0AFF8F7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092EC00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w:t>
            </w:r>
          </w:p>
          <w:p w14:paraId="6189046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607A26E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w:t>
            </w:r>
          </w:p>
          <w:p w14:paraId="4932423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2822B52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w:t>
            </w:r>
          </w:p>
          <w:p w14:paraId="568BB6F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48F5EA0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w:t>
            </w:r>
          </w:p>
          <w:p w14:paraId="1D1F19E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F3B0647" w14:textId="77777777">
        <w:trPr>
          <w:trHeight w:val="278"/>
        </w:trPr>
        <w:tc>
          <w:tcPr>
            <w:tcW w:w="1642" w:type="dxa"/>
            <w:tcBorders>
              <w:top w:val="single" w:sz="6" w:space="0" w:color="auto"/>
              <w:left w:val="single" w:sz="6" w:space="0" w:color="auto"/>
              <w:bottom w:val="single" w:sz="6" w:space="0" w:color="auto"/>
              <w:right w:val="single" w:sz="6" w:space="0" w:color="auto"/>
            </w:tcBorders>
          </w:tcPr>
          <w:p w14:paraId="5F84612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 112</w:t>
            </w:r>
          </w:p>
          <w:p w14:paraId="748FE6B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tcBorders>
              <w:top w:val="single" w:sz="6" w:space="0" w:color="auto"/>
              <w:left w:val="single" w:sz="6" w:space="0" w:color="auto"/>
              <w:bottom w:val="single" w:sz="6" w:space="0" w:color="auto"/>
              <w:right w:val="single" w:sz="6" w:space="0" w:color="auto"/>
            </w:tcBorders>
          </w:tcPr>
          <w:p w14:paraId="4F91DFC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Т-34</w:t>
            </w:r>
          </w:p>
          <w:p w14:paraId="2A41C5A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3848900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p w14:paraId="52C9454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0E72FF7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p w14:paraId="6CBE85A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641AAF0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w:t>
            </w:r>
          </w:p>
          <w:p w14:paraId="6EB8E16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45ACFC8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p w14:paraId="18615AB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69E18F0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p w14:paraId="0D39892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734FE6D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w:t>
            </w:r>
          </w:p>
          <w:p w14:paraId="5B58F85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78DB9FF" w14:textId="77777777">
        <w:trPr>
          <w:trHeight w:val="278"/>
        </w:trPr>
        <w:tc>
          <w:tcPr>
            <w:tcW w:w="1642" w:type="dxa"/>
            <w:tcBorders>
              <w:top w:val="single" w:sz="6" w:space="0" w:color="auto"/>
              <w:left w:val="single" w:sz="6" w:space="0" w:color="auto"/>
              <w:bottom w:val="single" w:sz="6" w:space="0" w:color="auto"/>
              <w:right w:val="single" w:sz="6" w:space="0" w:color="auto"/>
            </w:tcBorders>
          </w:tcPr>
          <w:p w14:paraId="166CBD3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 1 74</w:t>
            </w:r>
          </w:p>
          <w:p w14:paraId="64A4B94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tcBorders>
              <w:top w:val="single" w:sz="6" w:space="0" w:color="auto"/>
              <w:left w:val="single" w:sz="6" w:space="0" w:color="auto"/>
              <w:bottom w:val="single" w:sz="6" w:space="0" w:color="auto"/>
              <w:right w:val="single" w:sz="6" w:space="0" w:color="auto"/>
            </w:tcBorders>
          </w:tcPr>
          <w:p w14:paraId="1E64DD1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Т-34</w:t>
            </w:r>
          </w:p>
          <w:p w14:paraId="1E83993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3998F01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p w14:paraId="3B3EEBB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77E6552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w:t>
            </w:r>
          </w:p>
          <w:p w14:paraId="5A5E7CE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75EBB1B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w:t>
            </w:r>
          </w:p>
          <w:p w14:paraId="6E0DB1F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1E712D9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p w14:paraId="76EDEF9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210E2F0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p w14:paraId="382E129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5A8C849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66</w:t>
            </w:r>
          </w:p>
          <w:p w14:paraId="5BC7B59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6014BD8" w14:textId="77777777">
        <w:trPr>
          <w:trHeight w:val="278"/>
        </w:trPr>
        <w:tc>
          <w:tcPr>
            <w:tcW w:w="1642" w:type="dxa"/>
            <w:tcBorders>
              <w:top w:val="single" w:sz="6" w:space="0" w:color="auto"/>
              <w:left w:val="single" w:sz="6" w:space="0" w:color="auto"/>
              <w:bottom w:val="single" w:sz="6" w:space="0" w:color="auto"/>
              <w:right w:val="single" w:sz="6" w:space="0" w:color="auto"/>
            </w:tcBorders>
          </w:tcPr>
          <w:p w14:paraId="33252D3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Кировский завод</w:t>
            </w:r>
          </w:p>
          <w:p w14:paraId="3443D4E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tcBorders>
              <w:top w:val="single" w:sz="6" w:space="0" w:color="auto"/>
              <w:left w:val="single" w:sz="6" w:space="0" w:color="auto"/>
              <w:bottom w:val="single" w:sz="6" w:space="0" w:color="auto"/>
              <w:right w:val="single" w:sz="6" w:space="0" w:color="auto"/>
            </w:tcBorders>
          </w:tcPr>
          <w:p w14:paraId="294B271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Т-34</w:t>
            </w:r>
          </w:p>
          <w:p w14:paraId="4327654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596589B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p w14:paraId="2762314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7D08BF1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p w14:paraId="5398AB5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22F18FA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w:t>
            </w:r>
          </w:p>
          <w:p w14:paraId="2820E73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1152F1E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p w14:paraId="3616613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139B527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p w14:paraId="48B78BE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447DF8C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w:t>
            </w:r>
          </w:p>
          <w:p w14:paraId="2FBCB89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46AC144" w14:textId="77777777">
        <w:trPr>
          <w:trHeight w:val="470"/>
        </w:trPr>
        <w:tc>
          <w:tcPr>
            <w:tcW w:w="1642" w:type="dxa"/>
            <w:tcBorders>
              <w:top w:val="single" w:sz="6" w:space="0" w:color="auto"/>
              <w:left w:val="single" w:sz="6" w:space="0" w:color="auto"/>
              <w:bottom w:val="single" w:sz="6" w:space="0" w:color="auto"/>
              <w:right w:val="single" w:sz="6" w:space="0" w:color="auto"/>
            </w:tcBorders>
          </w:tcPr>
          <w:p w14:paraId="2AC78E0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Кировский завод</w:t>
            </w:r>
          </w:p>
          <w:p w14:paraId="449FDC5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tcBorders>
              <w:top w:val="single" w:sz="6" w:space="0" w:color="auto"/>
              <w:left w:val="single" w:sz="6" w:space="0" w:color="auto"/>
              <w:bottom w:val="single" w:sz="6" w:space="0" w:color="auto"/>
              <w:right w:val="single" w:sz="6" w:space="0" w:color="auto"/>
            </w:tcBorders>
          </w:tcPr>
          <w:p w14:paraId="43D4A18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 с пушкой калибр 122 мм</w:t>
            </w:r>
          </w:p>
          <w:p w14:paraId="4F45095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2685086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p w14:paraId="58A04C8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18A4D39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w:t>
            </w:r>
          </w:p>
          <w:p w14:paraId="065583E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19B1CBB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w:t>
            </w:r>
          </w:p>
          <w:p w14:paraId="54E04DE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3C19290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p w14:paraId="2C48AFE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7B9175D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p w14:paraId="16622D5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4F724F0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66</w:t>
            </w:r>
          </w:p>
          <w:p w14:paraId="6F4E930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AAAEB56" w14:textId="77777777">
        <w:trPr>
          <w:trHeight w:val="298"/>
        </w:trPr>
        <w:tc>
          <w:tcPr>
            <w:tcW w:w="1642" w:type="dxa"/>
            <w:tcBorders>
              <w:top w:val="single" w:sz="6" w:space="0" w:color="auto"/>
              <w:left w:val="single" w:sz="6" w:space="0" w:color="auto"/>
              <w:bottom w:val="single" w:sz="6" w:space="0" w:color="auto"/>
              <w:right w:val="single" w:sz="6" w:space="0" w:color="auto"/>
            </w:tcBorders>
          </w:tcPr>
          <w:p w14:paraId="7E852C2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w:t>
            </w:r>
          </w:p>
          <w:p w14:paraId="55FD092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tcBorders>
              <w:top w:val="single" w:sz="6" w:space="0" w:color="auto"/>
              <w:left w:val="single" w:sz="6" w:space="0" w:color="auto"/>
              <w:bottom w:val="single" w:sz="6" w:space="0" w:color="auto"/>
              <w:right w:val="single" w:sz="6" w:space="0" w:color="auto"/>
            </w:tcBorders>
          </w:tcPr>
          <w:p w14:paraId="6754DD3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DB805E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57C6AD0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w:t>
            </w:r>
          </w:p>
          <w:p w14:paraId="7BE9D8E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55325E6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p w14:paraId="085C321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53FB722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33</w:t>
            </w:r>
          </w:p>
          <w:p w14:paraId="70581AE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7F0D526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w:t>
            </w:r>
          </w:p>
          <w:p w14:paraId="3D20347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178A298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w:t>
            </w:r>
          </w:p>
          <w:p w14:paraId="2A67E78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6F29E47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79</w:t>
            </w:r>
          </w:p>
          <w:p w14:paraId="352E421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1A1320C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Таким образом, выдержали испытания в феврале 1944 года:</w:t>
      </w:r>
    </w:p>
    <w:p w14:paraId="6ADE3B2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гарантийные на 1000 км 33% танков</w:t>
      </w:r>
    </w:p>
    <w:p w14:paraId="6A90297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испытания на 300 км 79% танков</w:t>
      </w:r>
    </w:p>
    <w:p w14:paraId="3793ECC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Сравнение результатов испытаний за прошлые месяцы 1943 г. показывают, что количество танков, выдерживающих испытания на 300 км пробегах, увеличивается, т.е. качество изготовления танков постепенно улучшается.</w:t>
      </w:r>
    </w:p>
    <w:p w14:paraId="40EFAF1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Выдержали</w:t>
      </w:r>
    </w:p>
    <w:p w14:paraId="461CD78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апрель</w:t>
      </w:r>
    </w:p>
    <w:p w14:paraId="5B86200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май</w:t>
      </w:r>
    </w:p>
    <w:p w14:paraId="4387844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июнь</w:t>
      </w:r>
    </w:p>
    <w:p w14:paraId="40EAB2E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июль</w:t>
      </w:r>
    </w:p>
    <w:p w14:paraId="06DDD4E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август</w:t>
      </w:r>
    </w:p>
    <w:p w14:paraId="073CA5D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сентябрь</w:t>
      </w:r>
    </w:p>
    <w:p w14:paraId="3CB2E46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октябрь</w:t>
      </w:r>
    </w:p>
    <w:p w14:paraId="35F0045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ноябрь</w:t>
      </w:r>
    </w:p>
    <w:p w14:paraId="53E3C37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декабрь</w:t>
      </w:r>
    </w:p>
    <w:p w14:paraId="63CF879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январь</w:t>
      </w:r>
    </w:p>
    <w:p w14:paraId="2B91D5B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февраль</w:t>
      </w:r>
    </w:p>
    <w:p w14:paraId="14C0C53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испытания</w:t>
      </w:r>
    </w:p>
    <w:p w14:paraId="425AB2D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1943 г. 1943 г. 1943 г. 1943 г. 1943 г. 1943 г. 1943 г. 1943 г.</w:t>
      </w:r>
    </w:p>
    <w:p w14:paraId="2C8C80A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1943 г. 1944 г.</w:t>
      </w:r>
    </w:p>
    <w:p w14:paraId="252F911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1944 г.</w:t>
      </w:r>
    </w:p>
    <w:p w14:paraId="2CDE92E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330 км пробегом:</w:t>
      </w:r>
    </w:p>
    <w:p w14:paraId="71B55B9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- 10,1% танков</w:t>
      </w:r>
    </w:p>
    <w:p w14:paraId="55877CE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- 23% танков</w:t>
      </w:r>
    </w:p>
    <w:p w14:paraId="49CEB97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- 7,7% танков</w:t>
      </w:r>
    </w:p>
    <w:p w14:paraId="1AAD585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- 28,6% танков</w:t>
      </w:r>
    </w:p>
    <w:p w14:paraId="0722696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- 43% танков</w:t>
      </w:r>
    </w:p>
    <w:p w14:paraId="4E327AE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- 46% танков</w:t>
      </w:r>
    </w:p>
    <w:p w14:paraId="01A275C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- 78% танков</w:t>
      </w:r>
    </w:p>
    <w:p w14:paraId="508DC03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- 57% танков</w:t>
      </w:r>
    </w:p>
    <w:p w14:paraId="6913E52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- 83,6% танков</w:t>
      </w:r>
    </w:p>
    <w:p w14:paraId="3B4B196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- 83,4% танков</w:t>
      </w:r>
    </w:p>
    <w:p w14:paraId="4B1A778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- 79% танков</w:t>
      </w:r>
    </w:p>
    <w:p w14:paraId="5167901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Улучшающееся качество изготовления танков видно также из следующих таблиц:</w:t>
      </w:r>
    </w:p>
    <w:p w14:paraId="0D0EADD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Таблица результатов приемо-сдаточных пробегов</w:t>
      </w:r>
    </w:p>
    <w:tbl>
      <w:tblPr>
        <w:tblW w:w="0" w:type="auto"/>
        <w:tblInd w:w="40" w:type="dxa"/>
        <w:tblLayout w:type="fixed"/>
        <w:tblCellMar>
          <w:left w:w="40" w:type="dxa"/>
          <w:right w:w="40" w:type="dxa"/>
        </w:tblCellMar>
        <w:tblLook w:val="0000" w:firstRow="0" w:lastRow="0" w:firstColumn="0" w:lastColumn="0" w:noHBand="0" w:noVBand="0"/>
      </w:tblPr>
      <w:tblGrid>
        <w:gridCol w:w="2477"/>
        <w:gridCol w:w="1757"/>
        <w:gridCol w:w="1766"/>
        <w:gridCol w:w="1757"/>
        <w:gridCol w:w="1757"/>
      </w:tblGrid>
      <w:tr w:rsidR="005106D0" w:rsidRPr="007224C3" w14:paraId="28D2E9E8" w14:textId="77777777">
        <w:trPr>
          <w:trHeight w:val="269"/>
        </w:trPr>
        <w:tc>
          <w:tcPr>
            <w:tcW w:w="2477" w:type="dxa"/>
            <w:tcBorders>
              <w:top w:val="single" w:sz="6" w:space="0" w:color="auto"/>
              <w:left w:val="single" w:sz="6" w:space="0" w:color="auto"/>
              <w:bottom w:val="nil"/>
              <w:right w:val="single" w:sz="6" w:space="0" w:color="auto"/>
            </w:tcBorders>
          </w:tcPr>
          <w:p w14:paraId="0730373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Периоды контрольно - сдаточных пробегов</w:t>
            </w:r>
          </w:p>
          <w:p w14:paraId="5FC353E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37" w:type="dxa"/>
            <w:gridSpan w:val="4"/>
            <w:tcBorders>
              <w:top w:val="single" w:sz="6" w:space="0" w:color="auto"/>
              <w:left w:val="single" w:sz="6" w:space="0" w:color="auto"/>
              <w:bottom w:val="single" w:sz="6" w:space="0" w:color="auto"/>
              <w:right w:val="single" w:sz="6" w:space="0" w:color="auto"/>
            </w:tcBorders>
          </w:tcPr>
          <w:p w14:paraId="6377C39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Заводы - изготовители</w:t>
            </w:r>
          </w:p>
          <w:p w14:paraId="0496D0B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EB85045" w14:textId="77777777">
        <w:trPr>
          <w:trHeight w:val="259"/>
        </w:trPr>
        <w:tc>
          <w:tcPr>
            <w:tcW w:w="2477" w:type="dxa"/>
            <w:tcBorders>
              <w:top w:val="nil"/>
              <w:left w:val="single" w:sz="6" w:space="0" w:color="auto"/>
              <w:bottom w:val="nil"/>
              <w:right w:val="single" w:sz="6" w:space="0" w:color="auto"/>
            </w:tcBorders>
          </w:tcPr>
          <w:p w14:paraId="3E643DC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6A3B71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757" w:type="dxa"/>
            <w:tcBorders>
              <w:top w:val="single" w:sz="6" w:space="0" w:color="auto"/>
              <w:left w:val="single" w:sz="6" w:space="0" w:color="auto"/>
              <w:bottom w:val="single" w:sz="6" w:space="0" w:color="auto"/>
              <w:right w:val="single" w:sz="6" w:space="0" w:color="auto"/>
            </w:tcBorders>
          </w:tcPr>
          <w:p w14:paraId="71B4C4F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183</w:t>
            </w:r>
          </w:p>
          <w:p w14:paraId="3EF584C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66" w:type="dxa"/>
            <w:tcBorders>
              <w:top w:val="single" w:sz="6" w:space="0" w:color="auto"/>
              <w:left w:val="single" w:sz="6" w:space="0" w:color="auto"/>
              <w:bottom w:val="single" w:sz="6" w:space="0" w:color="auto"/>
              <w:right w:val="single" w:sz="6" w:space="0" w:color="auto"/>
            </w:tcBorders>
          </w:tcPr>
          <w:p w14:paraId="6BF4D8E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112</w:t>
            </w:r>
          </w:p>
          <w:p w14:paraId="2B312E3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57" w:type="dxa"/>
            <w:tcBorders>
              <w:top w:val="single" w:sz="6" w:space="0" w:color="auto"/>
              <w:left w:val="single" w:sz="6" w:space="0" w:color="auto"/>
              <w:bottom w:val="single" w:sz="6" w:space="0" w:color="auto"/>
              <w:right w:val="nil"/>
            </w:tcBorders>
          </w:tcPr>
          <w:p w14:paraId="18C6E53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Кировский завод</w:t>
            </w:r>
          </w:p>
          <w:p w14:paraId="21539A9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57" w:type="dxa"/>
            <w:tcBorders>
              <w:top w:val="single" w:sz="6" w:space="0" w:color="auto"/>
              <w:left w:val="nil"/>
              <w:bottom w:val="single" w:sz="6" w:space="0" w:color="auto"/>
              <w:right w:val="single" w:sz="6" w:space="0" w:color="auto"/>
            </w:tcBorders>
          </w:tcPr>
          <w:p w14:paraId="1F5F3EA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№174</w:t>
            </w:r>
          </w:p>
          <w:p w14:paraId="23F30FF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CCCB88A" w14:textId="77777777">
        <w:trPr>
          <w:trHeight w:val="259"/>
        </w:trPr>
        <w:tc>
          <w:tcPr>
            <w:tcW w:w="2477" w:type="dxa"/>
            <w:tcBorders>
              <w:top w:val="nil"/>
              <w:left w:val="single" w:sz="6" w:space="0" w:color="auto"/>
              <w:bottom w:val="single" w:sz="6" w:space="0" w:color="auto"/>
              <w:right w:val="single" w:sz="6" w:space="0" w:color="auto"/>
            </w:tcBorders>
          </w:tcPr>
          <w:p w14:paraId="3FEC433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5DBF1F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7037" w:type="dxa"/>
            <w:gridSpan w:val="4"/>
            <w:tcBorders>
              <w:top w:val="single" w:sz="6" w:space="0" w:color="auto"/>
              <w:left w:val="single" w:sz="6" w:space="0" w:color="auto"/>
              <w:bottom w:val="single" w:sz="6" w:space="0" w:color="auto"/>
              <w:right w:val="single" w:sz="6" w:space="0" w:color="auto"/>
            </w:tcBorders>
          </w:tcPr>
          <w:p w14:paraId="41DD9DA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танков, принятых после первого военпредовского пробега</w:t>
            </w:r>
          </w:p>
          <w:p w14:paraId="6DF5766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9CC6E8F" w14:textId="77777777">
        <w:trPr>
          <w:trHeight w:val="278"/>
        </w:trPr>
        <w:tc>
          <w:tcPr>
            <w:tcW w:w="2477" w:type="dxa"/>
            <w:tcBorders>
              <w:top w:val="single" w:sz="6" w:space="0" w:color="auto"/>
              <w:left w:val="single" w:sz="6" w:space="0" w:color="auto"/>
              <w:bottom w:val="single" w:sz="6" w:space="0" w:color="auto"/>
              <w:right w:val="single" w:sz="6" w:space="0" w:color="auto"/>
            </w:tcBorders>
          </w:tcPr>
          <w:p w14:paraId="54D0860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II кв. 1943 г.</w:t>
            </w:r>
          </w:p>
          <w:p w14:paraId="5EB2E38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57" w:type="dxa"/>
            <w:tcBorders>
              <w:top w:val="single" w:sz="6" w:space="0" w:color="auto"/>
              <w:left w:val="single" w:sz="6" w:space="0" w:color="auto"/>
              <w:bottom w:val="single" w:sz="6" w:space="0" w:color="auto"/>
              <w:right w:val="single" w:sz="6" w:space="0" w:color="auto"/>
            </w:tcBorders>
          </w:tcPr>
          <w:p w14:paraId="0FCEBCB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82,0</w:t>
            </w:r>
          </w:p>
          <w:p w14:paraId="092A345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66" w:type="dxa"/>
            <w:tcBorders>
              <w:top w:val="single" w:sz="6" w:space="0" w:color="auto"/>
              <w:left w:val="single" w:sz="6" w:space="0" w:color="auto"/>
              <w:bottom w:val="single" w:sz="6" w:space="0" w:color="auto"/>
              <w:right w:val="single" w:sz="6" w:space="0" w:color="auto"/>
            </w:tcBorders>
          </w:tcPr>
          <w:p w14:paraId="332787A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78,3</w:t>
            </w:r>
          </w:p>
          <w:p w14:paraId="0E8B465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57" w:type="dxa"/>
            <w:tcBorders>
              <w:top w:val="single" w:sz="6" w:space="0" w:color="auto"/>
              <w:left w:val="single" w:sz="6" w:space="0" w:color="auto"/>
              <w:bottom w:val="single" w:sz="6" w:space="0" w:color="auto"/>
              <w:right w:val="single" w:sz="6" w:space="0" w:color="auto"/>
            </w:tcBorders>
          </w:tcPr>
          <w:p w14:paraId="101748F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72,7</w:t>
            </w:r>
          </w:p>
          <w:p w14:paraId="6855C8E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57" w:type="dxa"/>
            <w:tcBorders>
              <w:top w:val="single" w:sz="6" w:space="0" w:color="auto"/>
              <w:left w:val="single" w:sz="6" w:space="0" w:color="auto"/>
              <w:bottom w:val="single" w:sz="6" w:space="0" w:color="auto"/>
              <w:right w:val="single" w:sz="6" w:space="0" w:color="auto"/>
            </w:tcBorders>
          </w:tcPr>
          <w:p w14:paraId="3E09E63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90,2</w:t>
            </w:r>
          </w:p>
          <w:p w14:paraId="1CD2B09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6E63128" w14:textId="77777777">
        <w:trPr>
          <w:trHeight w:val="278"/>
        </w:trPr>
        <w:tc>
          <w:tcPr>
            <w:tcW w:w="2477" w:type="dxa"/>
            <w:tcBorders>
              <w:top w:val="single" w:sz="6" w:space="0" w:color="auto"/>
              <w:left w:val="single" w:sz="6" w:space="0" w:color="auto"/>
              <w:bottom w:val="single" w:sz="6" w:space="0" w:color="auto"/>
              <w:right w:val="single" w:sz="6" w:space="0" w:color="auto"/>
            </w:tcBorders>
          </w:tcPr>
          <w:p w14:paraId="12BA538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III кв. 1943 г.</w:t>
            </w:r>
          </w:p>
          <w:p w14:paraId="1122DA8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57" w:type="dxa"/>
            <w:tcBorders>
              <w:top w:val="single" w:sz="6" w:space="0" w:color="auto"/>
              <w:left w:val="single" w:sz="6" w:space="0" w:color="auto"/>
              <w:bottom w:val="single" w:sz="6" w:space="0" w:color="auto"/>
              <w:right w:val="single" w:sz="6" w:space="0" w:color="auto"/>
            </w:tcBorders>
          </w:tcPr>
          <w:p w14:paraId="012726C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90,4</w:t>
            </w:r>
          </w:p>
          <w:p w14:paraId="56071B5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66" w:type="dxa"/>
            <w:tcBorders>
              <w:top w:val="single" w:sz="6" w:space="0" w:color="auto"/>
              <w:left w:val="single" w:sz="6" w:space="0" w:color="auto"/>
              <w:bottom w:val="single" w:sz="6" w:space="0" w:color="auto"/>
              <w:right w:val="single" w:sz="6" w:space="0" w:color="auto"/>
            </w:tcBorders>
          </w:tcPr>
          <w:p w14:paraId="69B0FF9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86,3</w:t>
            </w:r>
          </w:p>
          <w:p w14:paraId="464B575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57" w:type="dxa"/>
            <w:tcBorders>
              <w:top w:val="single" w:sz="6" w:space="0" w:color="auto"/>
              <w:left w:val="single" w:sz="6" w:space="0" w:color="auto"/>
              <w:bottom w:val="single" w:sz="6" w:space="0" w:color="auto"/>
              <w:right w:val="single" w:sz="6" w:space="0" w:color="auto"/>
            </w:tcBorders>
          </w:tcPr>
          <w:p w14:paraId="5362A9F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93,4</w:t>
            </w:r>
          </w:p>
          <w:p w14:paraId="0B1FC1F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57" w:type="dxa"/>
            <w:tcBorders>
              <w:top w:val="single" w:sz="6" w:space="0" w:color="auto"/>
              <w:left w:val="single" w:sz="6" w:space="0" w:color="auto"/>
              <w:bottom w:val="single" w:sz="6" w:space="0" w:color="auto"/>
              <w:right w:val="single" w:sz="6" w:space="0" w:color="auto"/>
            </w:tcBorders>
          </w:tcPr>
          <w:p w14:paraId="5C6050D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83,9</w:t>
            </w:r>
          </w:p>
          <w:p w14:paraId="760AC9A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CAD327A" w14:textId="77777777">
        <w:trPr>
          <w:trHeight w:val="278"/>
        </w:trPr>
        <w:tc>
          <w:tcPr>
            <w:tcW w:w="2477" w:type="dxa"/>
            <w:tcBorders>
              <w:top w:val="single" w:sz="6" w:space="0" w:color="auto"/>
              <w:left w:val="single" w:sz="6" w:space="0" w:color="auto"/>
              <w:bottom w:val="single" w:sz="6" w:space="0" w:color="auto"/>
              <w:right w:val="single" w:sz="6" w:space="0" w:color="auto"/>
            </w:tcBorders>
          </w:tcPr>
          <w:p w14:paraId="17F8953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IV кв. 1943 г.</w:t>
            </w:r>
          </w:p>
          <w:p w14:paraId="36801B1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57" w:type="dxa"/>
            <w:tcBorders>
              <w:top w:val="single" w:sz="6" w:space="0" w:color="auto"/>
              <w:left w:val="single" w:sz="6" w:space="0" w:color="auto"/>
              <w:bottom w:val="single" w:sz="6" w:space="0" w:color="auto"/>
              <w:right w:val="single" w:sz="6" w:space="0" w:color="auto"/>
            </w:tcBorders>
          </w:tcPr>
          <w:p w14:paraId="6B9D2F1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93,9</w:t>
            </w:r>
          </w:p>
          <w:p w14:paraId="082402A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66" w:type="dxa"/>
            <w:tcBorders>
              <w:top w:val="single" w:sz="6" w:space="0" w:color="auto"/>
              <w:left w:val="single" w:sz="6" w:space="0" w:color="auto"/>
              <w:bottom w:val="single" w:sz="6" w:space="0" w:color="auto"/>
              <w:right w:val="single" w:sz="6" w:space="0" w:color="auto"/>
            </w:tcBorders>
          </w:tcPr>
          <w:p w14:paraId="6886D28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80,7</w:t>
            </w:r>
          </w:p>
          <w:p w14:paraId="17485E2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57" w:type="dxa"/>
            <w:tcBorders>
              <w:top w:val="single" w:sz="6" w:space="0" w:color="auto"/>
              <w:left w:val="single" w:sz="6" w:space="0" w:color="auto"/>
              <w:bottom w:val="single" w:sz="6" w:space="0" w:color="auto"/>
              <w:right w:val="single" w:sz="6" w:space="0" w:color="auto"/>
            </w:tcBorders>
          </w:tcPr>
          <w:p w14:paraId="4E513D2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94,2</w:t>
            </w:r>
          </w:p>
          <w:p w14:paraId="1DA427D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57" w:type="dxa"/>
            <w:tcBorders>
              <w:top w:val="single" w:sz="6" w:space="0" w:color="auto"/>
              <w:left w:val="single" w:sz="6" w:space="0" w:color="auto"/>
              <w:bottom w:val="single" w:sz="6" w:space="0" w:color="auto"/>
              <w:right w:val="single" w:sz="6" w:space="0" w:color="auto"/>
            </w:tcBorders>
          </w:tcPr>
          <w:p w14:paraId="3D9808D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92,4</w:t>
            </w:r>
          </w:p>
          <w:p w14:paraId="0C97F56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3EF281A" w14:textId="77777777">
        <w:trPr>
          <w:trHeight w:val="298"/>
        </w:trPr>
        <w:tc>
          <w:tcPr>
            <w:tcW w:w="2477" w:type="dxa"/>
            <w:tcBorders>
              <w:top w:val="single" w:sz="6" w:space="0" w:color="auto"/>
              <w:left w:val="single" w:sz="6" w:space="0" w:color="auto"/>
              <w:bottom w:val="single" w:sz="6" w:space="0" w:color="auto"/>
              <w:right w:val="single" w:sz="6" w:space="0" w:color="auto"/>
            </w:tcBorders>
          </w:tcPr>
          <w:p w14:paraId="5B763A8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январь, февраль 1 944 года</w:t>
            </w:r>
          </w:p>
          <w:p w14:paraId="61B110F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57" w:type="dxa"/>
            <w:tcBorders>
              <w:top w:val="single" w:sz="6" w:space="0" w:color="auto"/>
              <w:left w:val="single" w:sz="6" w:space="0" w:color="auto"/>
              <w:bottom w:val="single" w:sz="6" w:space="0" w:color="auto"/>
              <w:right w:val="single" w:sz="6" w:space="0" w:color="auto"/>
            </w:tcBorders>
          </w:tcPr>
          <w:p w14:paraId="60E469C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96,1</w:t>
            </w:r>
          </w:p>
          <w:p w14:paraId="35BA20C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66" w:type="dxa"/>
            <w:tcBorders>
              <w:top w:val="single" w:sz="6" w:space="0" w:color="auto"/>
              <w:left w:val="single" w:sz="6" w:space="0" w:color="auto"/>
              <w:bottom w:val="single" w:sz="6" w:space="0" w:color="auto"/>
              <w:right w:val="single" w:sz="6" w:space="0" w:color="auto"/>
            </w:tcBorders>
          </w:tcPr>
          <w:p w14:paraId="4087477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85,3</w:t>
            </w:r>
          </w:p>
          <w:p w14:paraId="20CD27F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57" w:type="dxa"/>
            <w:tcBorders>
              <w:top w:val="single" w:sz="6" w:space="0" w:color="auto"/>
              <w:left w:val="single" w:sz="6" w:space="0" w:color="auto"/>
              <w:bottom w:val="single" w:sz="6" w:space="0" w:color="auto"/>
              <w:right w:val="single" w:sz="6" w:space="0" w:color="auto"/>
            </w:tcBorders>
          </w:tcPr>
          <w:p w14:paraId="798263F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94,0</w:t>
            </w:r>
          </w:p>
          <w:p w14:paraId="1A4156D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57" w:type="dxa"/>
            <w:tcBorders>
              <w:top w:val="single" w:sz="6" w:space="0" w:color="auto"/>
              <w:left w:val="single" w:sz="6" w:space="0" w:color="auto"/>
              <w:bottom w:val="single" w:sz="6" w:space="0" w:color="auto"/>
              <w:right w:val="single" w:sz="6" w:space="0" w:color="auto"/>
            </w:tcBorders>
          </w:tcPr>
          <w:p w14:paraId="57AD4FC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94,0</w:t>
            </w:r>
          </w:p>
          <w:p w14:paraId="2EDB08D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8E23AE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Таблица всех поломок и неисправностей, обнаружившихся при гарантийных пробегах</w:t>
      </w:r>
    </w:p>
    <w:tbl>
      <w:tblPr>
        <w:tblW w:w="0" w:type="auto"/>
        <w:tblInd w:w="40" w:type="dxa"/>
        <w:tblLayout w:type="fixed"/>
        <w:tblCellMar>
          <w:left w:w="40" w:type="dxa"/>
          <w:right w:w="40" w:type="dxa"/>
        </w:tblCellMar>
        <w:tblLook w:val="0000" w:firstRow="0" w:lastRow="0" w:firstColumn="0" w:lastColumn="0" w:noHBand="0" w:noVBand="0"/>
      </w:tblPr>
      <w:tblGrid>
        <w:gridCol w:w="2486"/>
        <w:gridCol w:w="1354"/>
        <w:gridCol w:w="1344"/>
        <w:gridCol w:w="1363"/>
        <w:gridCol w:w="1354"/>
        <w:gridCol w:w="1632"/>
      </w:tblGrid>
      <w:tr w:rsidR="005106D0" w:rsidRPr="007224C3" w14:paraId="35E6702D" w14:textId="77777777">
        <w:trPr>
          <w:trHeight w:val="269"/>
        </w:trPr>
        <w:tc>
          <w:tcPr>
            <w:tcW w:w="2486" w:type="dxa"/>
            <w:tcBorders>
              <w:top w:val="single" w:sz="6" w:space="0" w:color="auto"/>
              <w:left w:val="single" w:sz="6" w:space="0" w:color="auto"/>
              <w:bottom w:val="nil"/>
              <w:right w:val="single" w:sz="6" w:space="0" w:color="auto"/>
            </w:tcBorders>
          </w:tcPr>
          <w:p w14:paraId="09FB428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Период испытания на гарантийный пробег</w:t>
            </w:r>
          </w:p>
          <w:p w14:paraId="07342A3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47" w:type="dxa"/>
            <w:gridSpan w:val="5"/>
            <w:tcBorders>
              <w:top w:val="single" w:sz="6" w:space="0" w:color="auto"/>
              <w:left w:val="single" w:sz="6" w:space="0" w:color="auto"/>
              <w:bottom w:val="single" w:sz="6" w:space="0" w:color="auto"/>
              <w:right w:val="single" w:sz="6" w:space="0" w:color="auto"/>
            </w:tcBorders>
          </w:tcPr>
          <w:p w14:paraId="7744F69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Заводы - изготовители</w:t>
            </w:r>
          </w:p>
          <w:p w14:paraId="2BB4106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4A77096" w14:textId="77777777">
        <w:trPr>
          <w:trHeight w:val="422"/>
        </w:trPr>
        <w:tc>
          <w:tcPr>
            <w:tcW w:w="2486" w:type="dxa"/>
            <w:tcBorders>
              <w:top w:val="nil"/>
              <w:left w:val="single" w:sz="6" w:space="0" w:color="auto"/>
              <w:bottom w:val="nil"/>
              <w:right w:val="single" w:sz="6" w:space="0" w:color="auto"/>
            </w:tcBorders>
          </w:tcPr>
          <w:p w14:paraId="646A34A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971ECD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0298B51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183</w:t>
            </w:r>
          </w:p>
          <w:p w14:paraId="37685F9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Borders>
              <w:top w:val="single" w:sz="6" w:space="0" w:color="auto"/>
              <w:left w:val="single" w:sz="6" w:space="0" w:color="auto"/>
              <w:bottom w:val="single" w:sz="6" w:space="0" w:color="auto"/>
              <w:right w:val="single" w:sz="6" w:space="0" w:color="auto"/>
            </w:tcBorders>
          </w:tcPr>
          <w:p w14:paraId="3A28FA9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112</w:t>
            </w:r>
          </w:p>
          <w:p w14:paraId="5121E9D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1D15A4E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Кировский завод</w:t>
            </w:r>
          </w:p>
          <w:p w14:paraId="626498D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48488FA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174</w:t>
            </w:r>
          </w:p>
          <w:p w14:paraId="22BAE25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32" w:type="dxa"/>
            <w:tcBorders>
              <w:top w:val="single" w:sz="6" w:space="0" w:color="auto"/>
              <w:left w:val="single" w:sz="6" w:space="0" w:color="auto"/>
              <w:bottom w:val="single" w:sz="6" w:space="0" w:color="auto"/>
              <w:right w:val="single" w:sz="6" w:space="0" w:color="auto"/>
            </w:tcBorders>
          </w:tcPr>
          <w:p w14:paraId="7688F43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 по всем заводам</w:t>
            </w:r>
          </w:p>
          <w:p w14:paraId="7F0D19E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6224F27" w14:textId="77777777">
        <w:trPr>
          <w:trHeight w:val="259"/>
        </w:trPr>
        <w:tc>
          <w:tcPr>
            <w:tcW w:w="2486" w:type="dxa"/>
            <w:tcBorders>
              <w:top w:val="nil"/>
              <w:left w:val="single" w:sz="6" w:space="0" w:color="auto"/>
              <w:bottom w:val="single" w:sz="6" w:space="0" w:color="auto"/>
              <w:right w:val="single" w:sz="6" w:space="0" w:color="auto"/>
            </w:tcBorders>
          </w:tcPr>
          <w:p w14:paraId="1696F0D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7A2A42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7047" w:type="dxa"/>
            <w:gridSpan w:val="5"/>
            <w:tcBorders>
              <w:top w:val="single" w:sz="6" w:space="0" w:color="auto"/>
              <w:left w:val="single" w:sz="6" w:space="0" w:color="auto"/>
              <w:bottom w:val="single" w:sz="6" w:space="0" w:color="auto"/>
              <w:right w:val="single" w:sz="6" w:space="0" w:color="auto"/>
            </w:tcBorders>
          </w:tcPr>
          <w:p w14:paraId="7581290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Количество поломок</w:t>
            </w:r>
          </w:p>
          <w:p w14:paraId="7710448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02332D8" w14:textId="77777777">
        <w:trPr>
          <w:trHeight w:val="278"/>
        </w:trPr>
        <w:tc>
          <w:tcPr>
            <w:tcW w:w="2486" w:type="dxa"/>
            <w:tcBorders>
              <w:top w:val="single" w:sz="6" w:space="0" w:color="auto"/>
              <w:left w:val="single" w:sz="6" w:space="0" w:color="auto"/>
              <w:bottom w:val="single" w:sz="6" w:space="0" w:color="auto"/>
              <w:right w:val="single" w:sz="6" w:space="0" w:color="auto"/>
            </w:tcBorders>
          </w:tcPr>
          <w:p w14:paraId="2D43701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февраль 1943 г.</w:t>
            </w:r>
          </w:p>
          <w:p w14:paraId="0F303C4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48848D4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62</w:t>
            </w:r>
          </w:p>
          <w:p w14:paraId="202C22A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Borders>
              <w:top w:val="single" w:sz="6" w:space="0" w:color="auto"/>
              <w:left w:val="single" w:sz="6" w:space="0" w:color="auto"/>
              <w:bottom w:val="single" w:sz="6" w:space="0" w:color="auto"/>
              <w:right w:val="single" w:sz="6" w:space="0" w:color="auto"/>
            </w:tcBorders>
          </w:tcPr>
          <w:p w14:paraId="583A15F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w:t>
            </w:r>
          </w:p>
          <w:p w14:paraId="47689E0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13829C4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148</w:t>
            </w:r>
          </w:p>
          <w:p w14:paraId="14B30D3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340DD4C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11A80D0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32" w:type="dxa"/>
            <w:tcBorders>
              <w:top w:val="single" w:sz="6" w:space="0" w:color="auto"/>
              <w:left w:val="single" w:sz="6" w:space="0" w:color="auto"/>
              <w:bottom w:val="single" w:sz="6" w:space="0" w:color="auto"/>
              <w:right w:val="single" w:sz="6" w:space="0" w:color="auto"/>
            </w:tcBorders>
          </w:tcPr>
          <w:p w14:paraId="7708139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310</w:t>
            </w:r>
          </w:p>
          <w:p w14:paraId="0BE3759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7856F95" w14:textId="77777777">
        <w:trPr>
          <w:trHeight w:val="278"/>
        </w:trPr>
        <w:tc>
          <w:tcPr>
            <w:tcW w:w="2486" w:type="dxa"/>
            <w:tcBorders>
              <w:top w:val="single" w:sz="6" w:space="0" w:color="auto"/>
              <w:left w:val="single" w:sz="6" w:space="0" w:color="auto"/>
              <w:bottom w:val="single" w:sz="6" w:space="0" w:color="auto"/>
              <w:right w:val="single" w:sz="6" w:space="0" w:color="auto"/>
            </w:tcBorders>
          </w:tcPr>
          <w:p w14:paraId="51624E2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апрель 1943 г.</w:t>
            </w:r>
          </w:p>
          <w:p w14:paraId="435D052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629BCB5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109</w:t>
            </w:r>
          </w:p>
          <w:p w14:paraId="0DD3989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Borders>
              <w:top w:val="single" w:sz="6" w:space="0" w:color="auto"/>
              <w:left w:val="single" w:sz="6" w:space="0" w:color="auto"/>
              <w:bottom w:val="single" w:sz="6" w:space="0" w:color="auto"/>
              <w:right w:val="single" w:sz="6" w:space="0" w:color="auto"/>
            </w:tcBorders>
          </w:tcPr>
          <w:p w14:paraId="09920BF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51</w:t>
            </w:r>
          </w:p>
          <w:p w14:paraId="42E0AE4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408BE86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142</w:t>
            </w:r>
          </w:p>
          <w:p w14:paraId="525FEA9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44B6C87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47</w:t>
            </w:r>
          </w:p>
          <w:p w14:paraId="3336615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32" w:type="dxa"/>
            <w:tcBorders>
              <w:top w:val="single" w:sz="6" w:space="0" w:color="auto"/>
              <w:left w:val="single" w:sz="6" w:space="0" w:color="auto"/>
              <w:bottom w:val="single" w:sz="6" w:space="0" w:color="auto"/>
              <w:right w:val="single" w:sz="6" w:space="0" w:color="auto"/>
            </w:tcBorders>
          </w:tcPr>
          <w:p w14:paraId="4842139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349</w:t>
            </w:r>
          </w:p>
          <w:p w14:paraId="29F6436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2D83FFD" w14:textId="77777777">
        <w:trPr>
          <w:trHeight w:val="278"/>
        </w:trPr>
        <w:tc>
          <w:tcPr>
            <w:tcW w:w="2486" w:type="dxa"/>
            <w:tcBorders>
              <w:top w:val="single" w:sz="6" w:space="0" w:color="auto"/>
              <w:left w:val="single" w:sz="6" w:space="0" w:color="auto"/>
              <w:bottom w:val="single" w:sz="6" w:space="0" w:color="auto"/>
              <w:right w:val="single" w:sz="6" w:space="0" w:color="auto"/>
            </w:tcBorders>
          </w:tcPr>
          <w:p w14:paraId="05168FC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июнь 1943 г.</w:t>
            </w:r>
          </w:p>
          <w:p w14:paraId="4D97A22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4D34CDF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125</w:t>
            </w:r>
          </w:p>
          <w:p w14:paraId="7DCD889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Borders>
              <w:top w:val="single" w:sz="6" w:space="0" w:color="auto"/>
              <w:left w:val="single" w:sz="6" w:space="0" w:color="auto"/>
              <w:bottom w:val="single" w:sz="6" w:space="0" w:color="auto"/>
              <w:right w:val="single" w:sz="6" w:space="0" w:color="auto"/>
            </w:tcBorders>
          </w:tcPr>
          <w:p w14:paraId="50FDF43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w:t>
            </w:r>
          </w:p>
          <w:p w14:paraId="398F3A2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46B69EE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w:t>
            </w:r>
          </w:p>
          <w:p w14:paraId="66FB726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57612C9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83</w:t>
            </w:r>
          </w:p>
          <w:p w14:paraId="45F78B4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32" w:type="dxa"/>
            <w:tcBorders>
              <w:top w:val="single" w:sz="6" w:space="0" w:color="auto"/>
              <w:left w:val="single" w:sz="6" w:space="0" w:color="auto"/>
              <w:bottom w:val="single" w:sz="6" w:space="0" w:color="auto"/>
              <w:right w:val="single" w:sz="6" w:space="0" w:color="auto"/>
            </w:tcBorders>
          </w:tcPr>
          <w:p w14:paraId="44A6B2A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268</w:t>
            </w:r>
          </w:p>
          <w:p w14:paraId="4A21842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06FCB64" w14:textId="77777777">
        <w:trPr>
          <w:trHeight w:val="278"/>
        </w:trPr>
        <w:tc>
          <w:tcPr>
            <w:tcW w:w="2486" w:type="dxa"/>
            <w:tcBorders>
              <w:top w:val="single" w:sz="6" w:space="0" w:color="auto"/>
              <w:left w:val="single" w:sz="6" w:space="0" w:color="auto"/>
              <w:bottom w:val="single" w:sz="6" w:space="0" w:color="auto"/>
              <w:right w:val="single" w:sz="6" w:space="0" w:color="auto"/>
            </w:tcBorders>
          </w:tcPr>
          <w:p w14:paraId="3D1B82A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август 1943 г.</w:t>
            </w:r>
          </w:p>
          <w:p w14:paraId="636F63C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4352F15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w:t>
            </w:r>
          </w:p>
          <w:p w14:paraId="6000F3E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Borders>
              <w:top w:val="single" w:sz="6" w:space="0" w:color="auto"/>
              <w:left w:val="single" w:sz="6" w:space="0" w:color="auto"/>
              <w:bottom w:val="single" w:sz="6" w:space="0" w:color="auto"/>
              <w:right w:val="single" w:sz="6" w:space="0" w:color="auto"/>
            </w:tcBorders>
          </w:tcPr>
          <w:p w14:paraId="1F9A2E0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39</w:t>
            </w:r>
          </w:p>
          <w:p w14:paraId="78E48A1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7292CCD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w:t>
            </w:r>
          </w:p>
          <w:p w14:paraId="04C8C2A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24E027D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37</w:t>
            </w:r>
          </w:p>
          <w:p w14:paraId="4665D65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32" w:type="dxa"/>
            <w:tcBorders>
              <w:top w:val="single" w:sz="6" w:space="0" w:color="auto"/>
              <w:left w:val="single" w:sz="6" w:space="0" w:color="auto"/>
              <w:bottom w:val="single" w:sz="6" w:space="0" w:color="auto"/>
              <w:right w:val="single" w:sz="6" w:space="0" w:color="auto"/>
            </w:tcBorders>
          </w:tcPr>
          <w:p w14:paraId="4BDBF8D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108</w:t>
            </w:r>
          </w:p>
          <w:p w14:paraId="50E6C71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270D2EE" w14:textId="77777777">
        <w:trPr>
          <w:trHeight w:val="269"/>
        </w:trPr>
        <w:tc>
          <w:tcPr>
            <w:tcW w:w="2486" w:type="dxa"/>
            <w:tcBorders>
              <w:top w:val="single" w:sz="6" w:space="0" w:color="auto"/>
              <w:left w:val="single" w:sz="6" w:space="0" w:color="auto"/>
              <w:bottom w:val="single" w:sz="6" w:space="0" w:color="auto"/>
              <w:right w:val="single" w:sz="6" w:space="0" w:color="auto"/>
            </w:tcBorders>
          </w:tcPr>
          <w:p w14:paraId="1BDA8A9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октябрь 1943 г.</w:t>
            </w:r>
          </w:p>
          <w:p w14:paraId="2A04168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79E1180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w:t>
            </w:r>
          </w:p>
          <w:p w14:paraId="4B6490D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Borders>
              <w:top w:val="single" w:sz="6" w:space="0" w:color="auto"/>
              <w:left w:val="single" w:sz="6" w:space="0" w:color="auto"/>
              <w:bottom w:val="single" w:sz="6" w:space="0" w:color="auto"/>
              <w:right w:val="single" w:sz="6" w:space="0" w:color="auto"/>
            </w:tcBorders>
          </w:tcPr>
          <w:p w14:paraId="6C15C4D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53</w:t>
            </w:r>
          </w:p>
          <w:p w14:paraId="1A2DA7E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648E1DB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w:t>
            </w:r>
          </w:p>
          <w:p w14:paraId="3B1680B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6954F61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74</w:t>
            </w:r>
          </w:p>
          <w:p w14:paraId="7B72F6F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32" w:type="dxa"/>
            <w:tcBorders>
              <w:top w:val="single" w:sz="6" w:space="0" w:color="auto"/>
              <w:left w:val="single" w:sz="6" w:space="0" w:color="auto"/>
              <w:bottom w:val="single" w:sz="6" w:space="0" w:color="auto"/>
              <w:right w:val="single" w:sz="6" w:space="0" w:color="auto"/>
            </w:tcBorders>
          </w:tcPr>
          <w:p w14:paraId="0478B38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163</w:t>
            </w:r>
          </w:p>
          <w:p w14:paraId="258B0CA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0FDA24C" w14:textId="77777777">
        <w:trPr>
          <w:trHeight w:val="278"/>
        </w:trPr>
        <w:tc>
          <w:tcPr>
            <w:tcW w:w="2486" w:type="dxa"/>
            <w:tcBorders>
              <w:top w:val="single" w:sz="6" w:space="0" w:color="auto"/>
              <w:left w:val="single" w:sz="6" w:space="0" w:color="auto"/>
              <w:bottom w:val="single" w:sz="6" w:space="0" w:color="auto"/>
              <w:right w:val="single" w:sz="6" w:space="0" w:color="auto"/>
            </w:tcBorders>
          </w:tcPr>
          <w:p w14:paraId="1D58EF1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декабрь 1943 г.</w:t>
            </w:r>
          </w:p>
          <w:p w14:paraId="77DA38F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09C98C7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w:t>
            </w:r>
          </w:p>
          <w:p w14:paraId="141DA3F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Borders>
              <w:top w:val="single" w:sz="6" w:space="0" w:color="auto"/>
              <w:left w:val="single" w:sz="6" w:space="0" w:color="auto"/>
              <w:bottom w:val="single" w:sz="6" w:space="0" w:color="auto"/>
              <w:right w:val="single" w:sz="6" w:space="0" w:color="auto"/>
            </w:tcBorders>
          </w:tcPr>
          <w:p w14:paraId="5029120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w:t>
            </w:r>
          </w:p>
          <w:p w14:paraId="52A6613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53EBD19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w:t>
            </w:r>
          </w:p>
          <w:p w14:paraId="18D5906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5411E93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w:t>
            </w:r>
          </w:p>
          <w:p w14:paraId="4E2C60A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32" w:type="dxa"/>
            <w:tcBorders>
              <w:top w:val="single" w:sz="6" w:space="0" w:color="auto"/>
              <w:left w:val="single" w:sz="6" w:space="0" w:color="auto"/>
              <w:bottom w:val="single" w:sz="6" w:space="0" w:color="auto"/>
              <w:right w:val="single" w:sz="6" w:space="0" w:color="auto"/>
            </w:tcBorders>
          </w:tcPr>
          <w:p w14:paraId="1784F50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49</w:t>
            </w:r>
          </w:p>
          <w:p w14:paraId="62B9123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E0D2E16" w14:textId="77777777">
        <w:trPr>
          <w:trHeight w:val="298"/>
        </w:trPr>
        <w:tc>
          <w:tcPr>
            <w:tcW w:w="2486" w:type="dxa"/>
            <w:tcBorders>
              <w:top w:val="single" w:sz="6" w:space="0" w:color="auto"/>
              <w:left w:val="single" w:sz="6" w:space="0" w:color="auto"/>
              <w:bottom w:val="single" w:sz="6" w:space="0" w:color="auto"/>
              <w:right w:val="single" w:sz="6" w:space="0" w:color="auto"/>
            </w:tcBorders>
          </w:tcPr>
          <w:p w14:paraId="4D482C4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февраль 1944 г.</w:t>
            </w:r>
          </w:p>
          <w:p w14:paraId="64D7849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3B05BAA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p w14:paraId="65D60B1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Borders>
              <w:top w:val="single" w:sz="6" w:space="0" w:color="auto"/>
              <w:left w:val="single" w:sz="6" w:space="0" w:color="auto"/>
              <w:bottom w:val="single" w:sz="6" w:space="0" w:color="auto"/>
              <w:right w:val="single" w:sz="6" w:space="0" w:color="auto"/>
            </w:tcBorders>
          </w:tcPr>
          <w:p w14:paraId="5F74E95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w:t>
            </w:r>
          </w:p>
          <w:p w14:paraId="23299DD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0E98B05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w:t>
            </w:r>
          </w:p>
          <w:p w14:paraId="12B11F9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3016C47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w:t>
            </w:r>
          </w:p>
          <w:p w14:paraId="747C01C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32" w:type="dxa"/>
            <w:tcBorders>
              <w:top w:val="single" w:sz="6" w:space="0" w:color="auto"/>
              <w:left w:val="single" w:sz="6" w:space="0" w:color="auto"/>
              <w:bottom w:val="single" w:sz="6" w:space="0" w:color="auto"/>
              <w:right w:val="single" w:sz="6" w:space="0" w:color="auto"/>
            </w:tcBorders>
          </w:tcPr>
          <w:p w14:paraId="545D863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37</w:t>
            </w:r>
          </w:p>
          <w:p w14:paraId="22F1B72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4AADDBA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Таблица поломок, по которым танки считаются не выдержавшими гарантийных испытаний</w:t>
      </w:r>
    </w:p>
    <w:tbl>
      <w:tblPr>
        <w:tblW w:w="0" w:type="auto"/>
        <w:tblInd w:w="40" w:type="dxa"/>
        <w:tblLayout w:type="fixed"/>
        <w:tblCellMar>
          <w:left w:w="40" w:type="dxa"/>
          <w:right w:w="40" w:type="dxa"/>
        </w:tblCellMar>
        <w:tblLook w:val="0000" w:firstRow="0" w:lastRow="0" w:firstColumn="0" w:lastColumn="0" w:noHBand="0" w:noVBand="0"/>
      </w:tblPr>
      <w:tblGrid>
        <w:gridCol w:w="2304"/>
        <w:gridCol w:w="1258"/>
        <w:gridCol w:w="1258"/>
        <w:gridCol w:w="1171"/>
        <w:gridCol w:w="1181"/>
        <w:gridCol w:w="1162"/>
        <w:gridCol w:w="1190"/>
      </w:tblGrid>
      <w:tr w:rsidR="005106D0" w:rsidRPr="007224C3" w14:paraId="1CBA5F63" w14:textId="77777777">
        <w:trPr>
          <w:trHeight w:val="269"/>
        </w:trPr>
        <w:tc>
          <w:tcPr>
            <w:tcW w:w="2304" w:type="dxa"/>
            <w:tcBorders>
              <w:top w:val="single" w:sz="6" w:space="0" w:color="auto"/>
              <w:left w:val="single" w:sz="6" w:space="0" w:color="auto"/>
              <w:bottom w:val="nil"/>
              <w:right w:val="single" w:sz="6" w:space="0" w:color="auto"/>
            </w:tcBorders>
          </w:tcPr>
          <w:p w14:paraId="0AD18C5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Периоды испытаний на гарантийный пробег</w:t>
            </w:r>
          </w:p>
          <w:p w14:paraId="2400945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20" w:type="dxa"/>
            <w:gridSpan w:val="6"/>
            <w:tcBorders>
              <w:top w:val="single" w:sz="6" w:space="0" w:color="auto"/>
              <w:left w:val="single" w:sz="6" w:space="0" w:color="auto"/>
              <w:bottom w:val="single" w:sz="6" w:space="0" w:color="auto"/>
              <w:right w:val="single" w:sz="6" w:space="0" w:color="auto"/>
            </w:tcBorders>
          </w:tcPr>
          <w:p w14:paraId="45474E5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Заводы - изготовители</w:t>
            </w:r>
          </w:p>
          <w:p w14:paraId="5B95CBD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71338B0" w14:textId="77777777">
        <w:trPr>
          <w:trHeight w:val="259"/>
        </w:trPr>
        <w:tc>
          <w:tcPr>
            <w:tcW w:w="2304" w:type="dxa"/>
            <w:tcBorders>
              <w:top w:val="nil"/>
              <w:left w:val="single" w:sz="6" w:space="0" w:color="auto"/>
              <w:bottom w:val="nil"/>
              <w:right w:val="single" w:sz="6" w:space="0" w:color="auto"/>
            </w:tcBorders>
          </w:tcPr>
          <w:p w14:paraId="34EA0FB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26A970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nil"/>
              <w:right w:val="single" w:sz="6" w:space="0" w:color="auto"/>
            </w:tcBorders>
          </w:tcPr>
          <w:p w14:paraId="1E30F1C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Т-34 №138</w:t>
            </w:r>
          </w:p>
          <w:p w14:paraId="56B88AB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nil"/>
              <w:right w:val="single" w:sz="6" w:space="0" w:color="auto"/>
            </w:tcBorders>
          </w:tcPr>
          <w:p w14:paraId="00AEF23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Т-34 №112</w:t>
            </w:r>
          </w:p>
          <w:p w14:paraId="528DF58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52" w:type="dxa"/>
            <w:gridSpan w:val="2"/>
            <w:tcBorders>
              <w:top w:val="single" w:sz="6" w:space="0" w:color="auto"/>
              <w:left w:val="single" w:sz="6" w:space="0" w:color="auto"/>
              <w:bottom w:val="single" w:sz="6" w:space="0" w:color="auto"/>
              <w:right w:val="single" w:sz="6" w:space="0" w:color="auto"/>
            </w:tcBorders>
          </w:tcPr>
          <w:p w14:paraId="2B10161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Кировский</w:t>
            </w:r>
          </w:p>
          <w:p w14:paraId="232BD5C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tcBorders>
              <w:top w:val="single" w:sz="6" w:space="0" w:color="auto"/>
              <w:left w:val="single" w:sz="6" w:space="0" w:color="auto"/>
              <w:bottom w:val="nil"/>
              <w:right w:val="single" w:sz="6" w:space="0" w:color="auto"/>
            </w:tcBorders>
          </w:tcPr>
          <w:p w14:paraId="63B43AC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Т-34 №174</w:t>
            </w:r>
          </w:p>
          <w:p w14:paraId="1440EE0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nil"/>
              <w:right w:val="single" w:sz="6" w:space="0" w:color="auto"/>
            </w:tcBorders>
          </w:tcPr>
          <w:p w14:paraId="19F8E37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 по всем заводам</w:t>
            </w:r>
          </w:p>
          <w:p w14:paraId="7C3BA41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2D445F5" w14:textId="77777777">
        <w:trPr>
          <w:trHeight w:val="269"/>
        </w:trPr>
        <w:tc>
          <w:tcPr>
            <w:tcW w:w="2304" w:type="dxa"/>
            <w:tcBorders>
              <w:top w:val="nil"/>
              <w:left w:val="single" w:sz="6" w:space="0" w:color="auto"/>
              <w:bottom w:val="nil"/>
              <w:right w:val="single" w:sz="6" w:space="0" w:color="auto"/>
            </w:tcBorders>
          </w:tcPr>
          <w:p w14:paraId="5772771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D4FFF0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nil"/>
              <w:left w:val="single" w:sz="6" w:space="0" w:color="auto"/>
              <w:bottom w:val="single" w:sz="6" w:space="0" w:color="auto"/>
              <w:right w:val="single" w:sz="6" w:space="0" w:color="auto"/>
            </w:tcBorders>
          </w:tcPr>
          <w:p w14:paraId="60F6AC0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233044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nil"/>
              <w:left w:val="single" w:sz="6" w:space="0" w:color="auto"/>
              <w:bottom w:val="single" w:sz="6" w:space="0" w:color="auto"/>
              <w:right w:val="single" w:sz="6" w:space="0" w:color="auto"/>
            </w:tcBorders>
          </w:tcPr>
          <w:p w14:paraId="2A38E3C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388039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73FF9D8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Т-34</w:t>
            </w:r>
          </w:p>
          <w:p w14:paraId="304C7CF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01641AD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w:t>
            </w:r>
          </w:p>
          <w:p w14:paraId="786608D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tcBorders>
              <w:top w:val="nil"/>
              <w:left w:val="single" w:sz="6" w:space="0" w:color="auto"/>
              <w:bottom w:val="single" w:sz="6" w:space="0" w:color="auto"/>
              <w:right w:val="single" w:sz="6" w:space="0" w:color="auto"/>
            </w:tcBorders>
          </w:tcPr>
          <w:p w14:paraId="7D6DE11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B60412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nil"/>
              <w:left w:val="single" w:sz="6" w:space="0" w:color="auto"/>
              <w:bottom w:val="single" w:sz="6" w:space="0" w:color="auto"/>
              <w:right w:val="single" w:sz="6" w:space="0" w:color="auto"/>
            </w:tcBorders>
          </w:tcPr>
          <w:p w14:paraId="36AFAE3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BB270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1E66E2E" w14:textId="77777777">
        <w:trPr>
          <w:trHeight w:val="259"/>
        </w:trPr>
        <w:tc>
          <w:tcPr>
            <w:tcW w:w="2304" w:type="dxa"/>
            <w:tcBorders>
              <w:top w:val="nil"/>
              <w:left w:val="single" w:sz="6" w:space="0" w:color="auto"/>
              <w:bottom w:val="single" w:sz="6" w:space="0" w:color="auto"/>
              <w:right w:val="single" w:sz="6" w:space="0" w:color="auto"/>
            </w:tcBorders>
          </w:tcPr>
          <w:p w14:paraId="248C6D6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A4D87A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7220" w:type="dxa"/>
            <w:gridSpan w:val="6"/>
            <w:tcBorders>
              <w:top w:val="single" w:sz="6" w:space="0" w:color="auto"/>
              <w:left w:val="single" w:sz="6" w:space="0" w:color="auto"/>
              <w:bottom w:val="single" w:sz="6" w:space="0" w:color="auto"/>
              <w:right w:val="single" w:sz="6" w:space="0" w:color="auto"/>
            </w:tcBorders>
          </w:tcPr>
          <w:p w14:paraId="4B5AA30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Количество поломок</w:t>
            </w:r>
          </w:p>
          <w:p w14:paraId="6F2C4F2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B137F48" w14:textId="77777777">
        <w:trPr>
          <w:trHeight w:val="278"/>
        </w:trPr>
        <w:tc>
          <w:tcPr>
            <w:tcW w:w="2304" w:type="dxa"/>
            <w:tcBorders>
              <w:top w:val="single" w:sz="6" w:space="0" w:color="auto"/>
              <w:left w:val="single" w:sz="6" w:space="0" w:color="auto"/>
              <w:bottom w:val="single" w:sz="6" w:space="0" w:color="auto"/>
              <w:right w:val="single" w:sz="6" w:space="0" w:color="auto"/>
            </w:tcBorders>
          </w:tcPr>
          <w:p w14:paraId="501DA5D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февраль 1 943 г.</w:t>
            </w:r>
          </w:p>
          <w:p w14:paraId="1C70F03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33BD560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p w14:paraId="0199829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79348C7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p w14:paraId="6FFE6DE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0ECA274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p w14:paraId="7C51C73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6853EBC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7688519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tcBorders>
              <w:top w:val="single" w:sz="6" w:space="0" w:color="auto"/>
              <w:left w:val="single" w:sz="6" w:space="0" w:color="auto"/>
              <w:bottom w:val="single" w:sz="6" w:space="0" w:color="auto"/>
              <w:right w:val="single" w:sz="6" w:space="0" w:color="auto"/>
            </w:tcBorders>
          </w:tcPr>
          <w:p w14:paraId="66AFA93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7BFC3B6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16810CF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p w14:paraId="6FDAE1C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95D74F4" w14:textId="77777777">
        <w:trPr>
          <w:trHeight w:val="278"/>
        </w:trPr>
        <w:tc>
          <w:tcPr>
            <w:tcW w:w="2304" w:type="dxa"/>
            <w:tcBorders>
              <w:top w:val="single" w:sz="6" w:space="0" w:color="auto"/>
              <w:left w:val="single" w:sz="6" w:space="0" w:color="auto"/>
              <w:bottom w:val="single" w:sz="6" w:space="0" w:color="auto"/>
              <w:right w:val="single" w:sz="6" w:space="0" w:color="auto"/>
            </w:tcBorders>
          </w:tcPr>
          <w:p w14:paraId="7606C2C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апрель 1943 г.</w:t>
            </w:r>
          </w:p>
          <w:p w14:paraId="7C6BFD8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55EAE45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p w14:paraId="2F478B0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66ADF4D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w:t>
            </w:r>
          </w:p>
          <w:p w14:paraId="3A97DA9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6EAA9D7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p w14:paraId="2266BAD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5A19916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21EC267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tcBorders>
              <w:top w:val="single" w:sz="6" w:space="0" w:color="auto"/>
              <w:left w:val="single" w:sz="6" w:space="0" w:color="auto"/>
              <w:bottom w:val="single" w:sz="6" w:space="0" w:color="auto"/>
              <w:right w:val="single" w:sz="6" w:space="0" w:color="auto"/>
            </w:tcBorders>
          </w:tcPr>
          <w:p w14:paraId="7B8B607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p w14:paraId="2D01986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31400D4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w:t>
            </w:r>
          </w:p>
          <w:p w14:paraId="0149DAD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EA65E60" w14:textId="77777777">
        <w:trPr>
          <w:trHeight w:val="269"/>
        </w:trPr>
        <w:tc>
          <w:tcPr>
            <w:tcW w:w="2304" w:type="dxa"/>
            <w:tcBorders>
              <w:top w:val="single" w:sz="6" w:space="0" w:color="auto"/>
              <w:left w:val="single" w:sz="6" w:space="0" w:color="auto"/>
              <w:bottom w:val="single" w:sz="6" w:space="0" w:color="auto"/>
              <w:right w:val="single" w:sz="6" w:space="0" w:color="auto"/>
            </w:tcBorders>
          </w:tcPr>
          <w:p w14:paraId="615C580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июнь 1943 г.</w:t>
            </w:r>
          </w:p>
          <w:p w14:paraId="2EA91FE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2938C02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p w14:paraId="012F46B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0DB9CCE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p w14:paraId="2BF77B2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503BC74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p w14:paraId="205954B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1E139EC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71BF689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tcBorders>
              <w:top w:val="single" w:sz="6" w:space="0" w:color="auto"/>
              <w:left w:val="single" w:sz="6" w:space="0" w:color="auto"/>
              <w:bottom w:val="single" w:sz="6" w:space="0" w:color="auto"/>
              <w:right w:val="single" w:sz="6" w:space="0" w:color="auto"/>
            </w:tcBorders>
          </w:tcPr>
          <w:p w14:paraId="571C9EC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p w14:paraId="0004396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3D1AB04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w:t>
            </w:r>
          </w:p>
          <w:p w14:paraId="43E8A24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149C39C" w14:textId="77777777">
        <w:trPr>
          <w:trHeight w:val="278"/>
        </w:trPr>
        <w:tc>
          <w:tcPr>
            <w:tcW w:w="2304" w:type="dxa"/>
            <w:tcBorders>
              <w:top w:val="single" w:sz="6" w:space="0" w:color="auto"/>
              <w:left w:val="single" w:sz="6" w:space="0" w:color="auto"/>
              <w:bottom w:val="single" w:sz="6" w:space="0" w:color="auto"/>
              <w:right w:val="single" w:sz="6" w:space="0" w:color="auto"/>
            </w:tcBorders>
          </w:tcPr>
          <w:p w14:paraId="5F7F67E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август 1943 г.</w:t>
            </w:r>
          </w:p>
          <w:p w14:paraId="35C12F3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4F3DB40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p w14:paraId="0D2FBF2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7BC5938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p w14:paraId="65BAC4F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492326D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p w14:paraId="64963AF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72619B7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25959D0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tcBorders>
              <w:top w:val="single" w:sz="6" w:space="0" w:color="auto"/>
              <w:left w:val="single" w:sz="6" w:space="0" w:color="auto"/>
              <w:bottom w:val="single" w:sz="6" w:space="0" w:color="auto"/>
              <w:right w:val="single" w:sz="6" w:space="0" w:color="auto"/>
            </w:tcBorders>
          </w:tcPr>
          <w:p w14:paraId="77B651A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w:t>
            </w:r>
          </w:p>
          <w:p w14:paraId="2868AA9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52658B8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w:t>
            </w:r>
          </w:p>
          <w:p w14:paraId="1CA6424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9A292EA" w14:textId="77777777">
        <w:trPr>
          <w:trHeight w:val="278"/>
        </w:trPr>
        <w:tc>
          <w:tcPr>
            <w:tcW w:w="2304" w:type="dxa"/>
            <w:tcBorders>
              <w:top w:val="single" w:sz="6" w:space="0" w:color="auto"/>
              <w:left w:val="single" w:sz="6" w:space="0" w:color="auto"/>
              <w:bottom w:val="single" w:sz="6" w:space="0" w:color="auto"/>
              <w:right w:val="single" w:sz="6" w:space="0" w:color="auto"/>
            </w:tcBorders>
          </w:tcPr>
          <w:p w14:paraId="75E2106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сентябрь 1943 г.</w:t>
            </w:r>
          </w:p>
          <w:p w14:paraId="7C9B823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74DECF7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w:t>
            </w:r>
          </w:p>
          <w:p w14:paraId="22C9181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17ACFAF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p w14:paraId="62240DA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1C2C7D3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p w14:paraId="71CB52C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2033B34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7A715E9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tcBorders>
              <w:top w:val="single" w:sz="6" w:space="0" w:color="auto"/>
              <w:left w:val="single" w:sz="6" w:space="0" w:color="auto"/>
              <w:bottom w:val="single" w:sz="6" w:space="0" w:color="auto"/>
              <w:right w:val="single" w:sz="6" w:space="0" w:color="auto"/>
            </w:tcBorders>
          </w:tcPr>
          <w:p w14:paraId="6A45CE3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p w14:paraId="130529C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481FFB8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w:t>
            </w:r>
          </w:p>
          <w:p w14:paraId="0E00394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D3E1DA3" w14:textId="77777777">
        <w:trPr>
          <w:trHeight w:val="278"/>
        </w:trPr>
        <w:tc>
          <w:tcPr>
            <w:tcW w:w="2304" w:type="dxa"/>
            <w:tcBorders>
              <w:top w:val="single" w:sz="6" w:space="0" w:color="auto"/>
              <w:left w:val="single" w:sz="6" w:space="0" w:color="auto"/>
              <w:bottom w:val="single" w:sz="6" w:space="0" w:color="auto"/>
              <w:right w:val="single" w:sz="6" w:space="0" w:color="auto"/>
            </w:tcBorders>
          </w:tcPr>
          <w:p w14:paraId="2CEAFC5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декабрь 1 943 г.</w:t>
            </w:r>
          </w:p>
          <w:p w14:paraId="4DDF6D9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0F7B5D5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w:t>
            </w:r>
          </w:p>
          <w:p w14:paraId="0AB7E01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4B1DA3C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w:t>
            </w:r>
          </w:p>
          <w:p w14:paraId="4B20208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2A8D50E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p w14:paraId="0A64C68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57209CA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p w14:paraId="19279A2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tcBorders>
              <w:top w:val="single" w:sz="6" w:space="0" w:color="auto"/>
              <w:left w:val="single" w:sz="6" w:space="0" w:color="auto"/>
              <w:bottom w:val="single" w:sz="6" w:space="0" w:color="auto"/>
              <w:right w:val="single" w:sz="6" w:space="0" w:color="auto"/>
            </w:tcBorders>
          </w:tcPr>
          <w:p w14:paraId="1F52777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w:t>
            </w:r>
          </w:p>
          <w:p w14:paraId="39BD857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36B513E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p w14:paraId="5BC91BD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FFEE1C3" w14:textId="77777777">
        <w:trPr>
          <w:trHeight w:val="298"/>
        </w:trPr>
        <w:tc>
          <w:tcPr>
            <w:tcW w:w="2304" w:type="dxa"/>
            <w:tcBorders>
              <w:top w:val="single" w:sz="6" w:space="0" w:color="auto"/>
              <w:left w:val="single" w:sz="6" w:space="0" w:color="auto"/>
              <w:bottom w:val="single" w:sz="6" w:space="0" w:color="auto"/>
              <w:right w:val="single" w:sz="6" w:space="0" w:color="auto"/>
            </w:tcBorders>
          </w:tcPr>
          <w:p w14:paraId="6303CCD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февраль 1944 г.</w:t>
            </w:r>
          </w:p>
          <w:p w14:paraId="23D5E05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5F0B749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p w14:paraId="5583C32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3AE29F4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p w14:paraId="23049CF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030772F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w:t>
            </w:r>
          </w:p>
          <w:p w14:paraId="4FD284D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5A3FD3E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p w14:paraId="5DB1FA1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tcBorders>
              <w:top w:val="single" w:sz="6" w:space="0" w:color="auto"/>
              <w:left w:val="single" w:sz="6" w:space="0" w:color="auto"/>
              <w:bottom w:val="single" w:sz="6" w:space="0" w:color="auto"/>
              <w:right w:val="single" w:sz="6" w:space="0" w:color="auto"/>
            </w:tcBorders>
          </w:tcPr>
          <w:p w14:paraId="0FD36F9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p w14:paraId="3D6DA32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321966E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w:t>
            </w:r>
          </w:p>
          <w:p w14:paraId="138CEA2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1027AD4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Характер поломок у танков выпуска февраля 1944 г., не выдержавших испытаний:</w:t>
      </w:r>
    </w:p>
    <w:p w14:paraId="5D2FB33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 б-ти танков, не выдержавших гарантийных испытаний — 4, вышли из строя по двигателю, 1</w:t>
      </w:r>
    </w:p>
    <w:p w14:paraId="09FC36A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трансмиссии и 1 по ходовой части.</w:t>
      </w:r>
    </w:p>
    <w:p w14:paraId="2BCA6CE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 пяти танков, не выдержавших испытаний на 300 километров, вышли из строя — 2 по причине</w:t>
      </w:r>
    </w:p>
    <w:p w14:paraId="0FC1B76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наличия сколов зубьев шестерен коробок перемены передач, 1 по дефекту бортового редуктора, 2 по</w:t>
      </w:r>
    </w:p>
    <w:p w14:paraId="15A50B0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дефектам кривошипа ленивца.</w:t>
      </w:r>
    </w:p>
    <w:p w14:paraId="77A5295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Причины поломок</w:t>
      </w:r>
    </w:p>
    <w:p w14:paraId="162FDCF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Дизельмотор:</w:t>
      </w:r>
    </w:p>
    <w:p w14:paraId="453D2BB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Обрыв шатуна, вследствие наличия неметаллических включений в материале шатуна.</w:t>
      </w:r>
    </w:p>
    <w:p w14:paraId="56C34E4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Поломка верхнего вертикального валика, вследствие неправильной термической обработки валика и наличия неметаллических включений в материале валика.</w:t>
      </w:r>
    </w:p>
    <w:p w14:paraId="1D9F774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Разрушение зубьев шестерни привода топливного насоса, обрыв 2-х шпилек крепления кор</w:t>
      </w:r>
      <w:r w:rsidRPr="007224C3">
        <w:rPr>
          <w:rFonts w:ascii="Times New Roman" w:hAnsi="Times New Roman"/>
          <w:color w:val="000000" w:themeColor="text1"/>
          <w:sz w:val="16"/>
          <w:szCs w:val="16"/>
        </w:rPr>
        <w:softHyphen/>
        <w:t>пуса привода топливного насоса — вследствие неправильной термической обработки деталей. Коробка перемены передач:</w:t>
      </w:r>
    </w:p>
    <w:p w14:paraId="09AFA51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Сколы на зубьях шестерен вследствие неправильной термической обработки (шестерен Т-34). Трансмиссия и ходовая часть:</w:t>
      </w:r>
    </w:p>
    <w:p w14:paraId="325CB24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Обрыв кривошипа ленивца, вследствие наличия трещин, образовавшихся при штамповке (Т-34).</w:t>
      </w:r>
    </w:p>
    <w:p w14:paraId="2930289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Разрушение 2-х пружин передних подвесов, вследствие некондиционности материала (Т-34).</w:t>
      </w:r>
    </w:p>
    <w:p w14:paraId="3792A1D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Разрушение подшипников сателлитов планетарного механизма поворота — конструктивный недостаток. Применение безсепараторного подшипника (ИС).</w:t>
      </w:r>
    </w:p>
    <w:p w14:paraId="0F57A5A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 основные агрегаты танков Т-34 выпуска февраля месяца 1944 г. как-то: коробки перемены передач, главные и бортовые фрикционы, бортовые передачи, тормозы и вся ходовая часть за время гарантийных испытаний дефектов не имели, работали надежно и пригодны к дальнейшей эксплу</w:t>
      </w:r>
      <w:r w:rsidRPr="007224C3">
        <w:rPr>
          <w:rFonts w:ascii="Times New Roman" w:hAnsi="Times New Roman"/>
          <w:color w:val="000000" w:themeColor="text1"/>
          <w:sz w:val="16"/>
          <w:szCs w:val="16"/>
        </w:rPr>
        <w:softHyphen/>
        <w:t>атации (за исключением разрушения резины на одном опорном катке, на 569 км пробега на танке Кировского завода).</w:t>
      </w:r>
    </w:p>
    <w:p w14:paraId="307AA46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Танки Т-34 выпусков II и III кварталов 1943 г. в основном выходили из строя и не выдерживали гарантийных испытаний по дефектам вышеперечисленных агрегатов.</w:t>
      </w:r>
    </w:p>
    <w:p w14:paraId="6C01C7C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Таким образом, результаты испытаний танков выпуска января — февраля месяцев с.г. на 300 и 1000 км, а также характер дефектов, имевших место на этих испытаниях свидетельствуют о повы</w:t>
      </w:r>
      <w:r w:rsidRPr="007224C3">
        <w:rPr>
          <w:rFonts w:ascii="Times New Roman" w:hAnsi="Times New Roman"/>
          <w:color w:val="000000" w:themeColor="text1"/>
          <w:sz w:val="16"/>
          <w:szCs w:val="16"/>
        </w:rPr>
        <w:softHyphen/>
        <w:t>шении танковыми заводами качества танков Т-34, особенно заводом №183 в сравнении с качеством их выпуска II и III кварталов 1943 года, но еще не в такой степени, как это требуется Постановлением ГОКО №3092 с от 29.03.1943 г. по повышению качества изготовления танков и самоходных артилле</w:t>
      </w:r>
      <w:r w:rsidRPr="007224C3">
        <w:rPr>
          <w:rFonts w:ascii="Times New Roman" w:hAnsi="Times New Roman"/>
          <w:color w:val="000000" w:themeColor="text1"/>
          <w:sz w:val="16"/>
          <w:szCs w:val="16"/>
        </w:rPr>
        <w:softHyphen/>
        <w:t>рийских установок.</w:t>
      </w:r>
    </w:p>
    <w:p w14:paraId="1B5903C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Качество двигателей В-2-34 продолжает оставаться еще на чрезвычайно низком уровне — из 6 танков, не выдержавших гарантийные испытания, 4 танка вышли из строя по дефектам двигателей (два двигателя завода №77 и два двигателя Кировского завода).</w:t>
      </w:r>
    </w:p>
    <w:p w14:paraId="40F2492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Тяжелые танки на гарантийных испытаниях пробегов на 300 км имели большое количество существенных дефектов, а именно:</w:t>
      </w:r>
    </w:p>
    <w:p w14:paraId="29ED139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Разрушение подшипников сателлитов планетарного механизма поворота — 1 случай;</w:t>
      </w:r>
    </w:p>
    <w:p w14:paraId="0714769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Обрыв болтов (9 шт.), крепления кронштейнов поддерживающих катков;</w:t>
      </w:r>
    </w:p>
    <w:p w14:paraId="3715912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Поломка торсионного вала опорного катка — 1 случай;</w:t>
      </w:r>
    </w:p>
    <w:p w14:paraId="516EAEB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 Вышел из строя бортовой редуктор — 1 случай;</w:t>
      </w:r>
    </w:p>
    <w:p w14:paraId="1E3217C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 Сгорело феррадо главного фрикциона — 2 случая;</w:t>
      </w:r>
    </w:p>
    <w:p w14:paraId="02C7BB1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е) Поломка стакана упора переднего правого балансира — 1 случай;</w:t>
      </w:r>
    </w:p>
    <w:p w14:paraId="4361FE6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ж) Поломка стопора башни — 1 случай;</w:t>
      </w:r>
    </w:p>
    <w:p w14:paraId="2168CDF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 Снарядная укладка боекомплекта ненадежна, вследствие расстегивания замков. Этот дефект приводит к выпадению снарядов.</w:t>
      </w:r>
    </w:p>
    <w:p w14:paraId="4CB18D5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Кроме этого танки имели 20 случаев самоотвертывания и обрыва болтов, узлов трансмиссии и ходовой части.</w:t>
      </w:r>
    </w:p>
    <w:p w14:paraId="52870C1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Указанные дефекты имеют место и при эксплуатации танков в войсковых частях и приводят к выходу из строя танка, еще до боя.</w:t>
      </w:r>
    </w:p>
    <w:p w14:paraId="21E7493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Необходимо в кратчайшие сроки принять меры по устранению этих дефектов в производ</w:t>
      </w:r>
      <w:r w:rsidRPr="007224C3">
        <w:rPr>
          <w:rFonts w:ascii="Times New Roman" w:hAnsi="Times New Roman"/>
          <w:color w:val="000000" w:themeColor="text1"/>
          <w:sz w:val="16"/>
          <w:szCs w:val="16"/>
        </w:rPr>
        <w:softHyphen/>
        <w:t>стве танков.</w:t>
      </w:r>
    </w:p>
    <w:p w14:paraId="40EF7BD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Испытаниями установлено, что установка вооружения на серийных танках крайне неудовлет</w:t>
      </w:r>
      <w:r w:rsidRPr="007224C3">
        <w:rPr>
          <w:rFonts w:ascii="Times New Roman" w:hAnsi="Times New Roman"/>
          <w:color w:val="000000" w:themeColor="text1"/>
          <w:sz w:val="16"/>
          <w:szCs w:val="16"/>
        </w:rPr>
        <w:softHyphen/>
        <w:t>ворительна, а именно:</w:t>
      </w:r>
    </w:p>
    <w:p w14:paraId="3E6E08C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Недопустимо большие значения люфтов по горизонту, доходящих в отдельных случаях до 18-ти тысячных, вместо допустимых 5 тысячных;</w:t>
      </w:r>
    </w:p>
    <w:p w14:paraId="1E53537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Недопустимо большие усилия на рукоятках поворотных механизмов башен, доходящих до 30-35 кг на танках Т-34 и до 40 кг на тяжелых танках (при крене в 15°).</w:t>
      </w:r>
    </w:p>
    <w:p w14:paraId="7DB5FDA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Чрезмерно большие усилия на педали спуска пушки, доходящие, как правило, на танках Т-34 до 40 кг.</w:t>
      </w:r>
    </w:p>
    <w:p w14:paraId="49CFFDE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Указанные недостатки установки вооружения снижают меткость огня, а при кренах танка даже при 5° делают невозможным ведение прицельного огня из пушки.</w:t>
      </w:r>
    </w:p>
    <w:p w14:paraId="4B4D516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Выводы:</w:t>
      </w:r>
    </w:p>
    <w:p w14:paraId="7039A4C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После выхода Постановления ГОКО №3092с качество танков улучшилось, однако, большой % танков не выдерживают гарантийных испытаний, особенно по двигателям В-2. Требуется решитель</w:t>
      </w:r>
      <w:r w:rsidRPr="007224C3">
        <w:rPr>
          <w:rFonts w:ascii="Times New Roman" w:hAnsi="Times New Roman"/>
          <w:color w:val="000000" w:themeColor="text1"/>
          <w:sz w:val="16"/>
          <w:szCs w:val="16"/>
        </w:rPr>
        <w:softHyphen/>
        <w:t>ное усиление внимания и дальнейшая работа заводов по улучшению качества производства.</w:t>
      </w:r>
    </w:p>
    <w:p w14:paraId="6E72580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Основными причинами низкого качества двигателей и наличия дефектов механизмов танков Т-34, имевших место на испытаниях, являются:</w:t>
      </w:r>
    </w:p>
    <w:p w14:paraId="33A6FAC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Небрежность монтажа механизмов;</w:t>
      </w:r>
    </w:p>
    <w:p w14:paraId="27EE703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Отсутствие систематического контроля за качеством металла ответственных деталей;</w:t>
      </w:r>
    </w:p>
    <w:p w14:paraId="0154C1D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Отсутствие стабильности технологии изготовления и термической обработки деталей;</w:t>
      </w:r>
    </w:p>
    <w:p w14:paraId="2B9DC56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 Низкое качество изготовления болтовых соединений.</w:t>
      </w:r>
    </w:p>
    <w:p w14:paraId="5EAAC7E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 дефекты танков Т-34 и двигателей могут быть изжиты в производстве более тщательным контролем ОТК заводов и устранением перечисленных причин.</w:t>
      </w:r>
    </w:p>
    <w:p w14:paraId="58C3B2D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Дефекты тяжелых танков могут быть устранены, главным образом, путем улучшения качества изготовления и монтажа отдельных узлов и агрегатов и частично, конструктивной доработки отдель</w:t>
      </w:r>
      <w:r w:rsidRPr="007224C3">
        <w:rPr>
          <w:rFonts w:ascii="Times New Roman" w:hAnsi="Times New Roman"/>
          <w:color w:val="000000" w:themeColor="text1"/>
          <w:sz w:val="16"/>
          <w:szCs w:val="16"/>
        </w:rPr>
        <w:softHyphen/>
        <w:t>ных деталей и узлов.</w:t>
      </w:r>
    </w:p>
    <w:p w14:paraId="66B089A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По самоходным артустановкам</w:t>
      </w:r>
    </w:p>
    <w:p w14:paraId="1D9E3B5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Испытанию были подвергнуты:</w:t>
      </w:r>
    </w:p>
    <w:p w14:paraId="5A583B3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- 5 шт.</w:t>
      </w:r>
    </w:p>
    <w:p w14:paraId="05E5BF4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- 4 шт.</w:t>
      </w:r>
    </w:p>
    <w:p w14:paraId="59E79CA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- 22 шт.</w:t>
      </w:r>
    </w:p>
    <w:p w14:paraId="25724DD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 31 шт.</w:t>
      </w:r>
    </w:p>
    <w:p w14:paraId="2D205B3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Из них было испытано:</w:t>
      </w:r>
    </w:p>
    <w:p w14:paraId="4D5906D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Пробегом на гарантийный километраж (1000 км)</w:t>
      </w:r>
    </w:p>
    <w:p w14:paraId="6B68D54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ИСУ-152 -2шт.</w:t>
      </w:r>
    </w:p>
    <w:p w14:paraId="2FCAD6D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СУ-85 - 1 шт.</w:t>
      </w:r>
    </w:p>
    <w:p w14:paraId="13A0CC0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СУ-76 - 6 шт.</w:t>
      </w:r>
    </w:p>
    <w:p w14:paraId="1AC0CF5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 9 шт. 2. Пробегом на 300 км (при заводах).</w:t>
      </w:r>
    </w:p>
    <w:p w14:paraId="71DDF99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ИСУ-152 -Зшт.</w:t>
      </w:r>
    </w:p>
    <w:p w14:paraId="6BBC10C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СУ-85 - 3 шт.</w:t>
      </w:r>
    </w:p>
    <w:p w14:paraId="28DCB21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 6 шт. 3. Пробегом на 200 км (при заводах).</w:t>
      </w:r>
    </w:p>
    <w:p w14:paraId="35A898F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СУ-76 -16 штук</w:t>
      </w:r>
    </w:p>
    <w:p w14:paraId="2001CEB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Испытания самоходных арт. установок проводились в период с 8 по 24 февраля с.г. специальны</w:t>
      </w:r>
      <w:r w:rsidRPr="007224C3">
        <w:rPr>
          <w:rFonts w:ascii="Times New Roman" w:hAnsi="Times New Roman"/>
          <w:color w:val="000000" w:themeColor="text1"/>
          <w:sz w:val="16"/>
          <w:szCs w:val="16"/>
        </w:rPr>
        <w:softHyphen/>
        <w:t>ми комиссиями по программе ГБТУ КА.</w:t>
      </w:r>
    </w:p>
    <w:p w14:paraId="0064342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Результаты испытания СУ по заводам следующие:</w:t>
      </w:r>
    </w:p>
    <w:p w14:paraId="1F315E5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ИСУ-152</w:t>
      </w:r>
    </w:p>
    <w:p w14:paraId="43FCDC7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СУ-85</w:t>
      </w:r>
    </w:p>
    <w:p w14:paraId="56A3881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СУ-76</w:t>
      </w:r>
    </w:p>
    <w:tbl>
      <w:tblPr>
        <w:tblW w:w="0" w:type="auto"/>
        <w:tblInd w:w="40" w:type="dxa"/>
        <w:tblLayout w:type="fixed"/>
        <w:tblCellMar>
          <w:left w:w="40" w:type="dxa"/>
          <w:right w:w="40" w:type="dxa"/>
        </w:tblCellMar>
        <w:tblLook w:val="0000" w:firstRow="0" w:lastRow="0" w:firstColumn="0" w:lastColumn="0" w:noHBand="0" w:noVBand="0"/>
      </w:tblPr>
      <w:tblGrid>
        <w:gridCol w:w="384"/>
        <w:gridCol w:w="2362"/>
        <w:gridCol w:w="883"/>
        <w:gridCol w:w="1181"/>
        <w:gridCol w:w="902"/>
        <w:gridCol w:w="902"/>
        <w:gridCol w:w="1258"/>
        <w:gridCol w:w="816"/>
        <w:gridCol w:w="826"/>
      </w:tblGrid>
      <w:tr w:rsidR="005106D0" w:rsidRPr="007224C3" w14:paraId="2449054A" w14:textId="77777777">
        <w:trPr>
          <w:trHeight w:val="221"/>
        </w:trPr>
        <w:tc>
          <w:tcPr>
            <w:tcW w:w="384" w:type="dxa"/>
            <w:tcBorders>
              <w:top w:val="single" w:sz="6" w:space="0" w:color="auto"/>
              <w:left w:val="single" w:sz="6" w:space="0" w:color="auto"/>
              <w:bottom w:val="nil"/>
              <w:right w:val="single" w:sz="6" w:space="0" w:color="auto"/>
            </w:tcBorders>
          </w:tcPr>
          <w:p w14:paraId="5AA7DA2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п/п</w:t>
            </w:r>
          </w:p>
          <w:p w14:paraId="7468EC2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62" w:type="dxa"/>
            <w:tcBorders>
              <w:top w:val="single" w:sz="6" w:space="0" w:color="auto"/>
              <w:left w:val="single" w:sz="6" w:space="0" w:color="auto"/>
              <w:bottom w:val="nil"/>
              <w:right w:val="single" w:sz="6" w:space="0" w:color="auto"/>
            </w:tcBorders>
          </w:tcPr>
          <w:p w14:paraId="7839444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изготовитель</w:t>
            </w:r>
          </w:p>
          <w:p w14:paraId="47FE229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nil"/>
              <w:right w:val="single" w:sz="6" w:space="0" w:color="auto"/>
            </w:tcBorders>
          </w:tcPr>
          <w:p w14:paraId="7B8245A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Тип СУ</w:t>
            </w:r>
          </w:p>
          <w:p w14:paraId="4FB83F5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985" w:type="dxa"/>
            <w:gridSpan w:val="3"/>
            <w:tcBorders>
              <w:top w:val="single" w:sz="6" w:space="0" w:color="auto"/>
              <w:left w:val="single" w:sz="6" w:space="0" w:color="auto"/>
              <w:bottom w:val="single" w:sz="6" w:space="0" w:color="auto"/>
              <w:right w:val="single" w:sz="6" w:space="0" w:color="auto"/>
            </w:tcBorders>
          </w:tcPr>
          <w:p w14:paraId="6A61B9E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Гарантийные испытания наЮОО км</w:t>
            </w:r>
          </w:p>
          <w:p w14:paraId="4225A49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900" w:type="dxa"/>
            <w:gridSpan w:val="3"/>
            <w:tcBorders>
              <w:top w:val="single" w:sz="6" w:space="0" w:color="auto"/>
              <w:left w:val="single" w:sz="6" w:space="0" w:color="auto"/>
              <w:bottom w:val="single" w:sz="6" w:space="0" w:color="auto"/>
              <w:right w:val="single" w:sz="6" w:space="0" w:color="auto"/>
            </w:tcBorders>
          </w:tcPr>
          <w:p w14:paraId="39280E3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Испытания на 200-300 км</w:t>
            </w:r>
          </w:p>
          <w:p w14:paraId="50B7551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F1154D4" w14:textId="77777777">
        <w:trPr>
          <w:trHeight w:val="221"/>
        </w:trPr>
        <w:tc>
          <w:tcPr>
            <w:tcW w:w="384" w:type="dxa"/>
            <w:tcBorders>
              <w:top w:val="nil"/>
              <w:left w:val="single" w:sz="6" w:space="0" w:color="auto"/>
              <w:bottom w:val="nil"/>
              <w:right w:val="single" w:sz="6" w:space="0" w:color="auto"/>
            </w:tcBorders>
          </w:tcPr>
          <w:p w14:paraId="205CB3D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F6CDFC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2362" w:type="dxa"/>
            <w:tcBorders>
              <w:top w:val="nil"/>
              <w:left w:val="single" w:sz="6" w:space="0" w:color="auto"/>
              <w:bottom w:val="nil"/>
              <w:right w:val="single" w:sz="6" w:space="0" w:color="auto"/>
            </w:tcBorders>
          </w:tcPr>
          <w:p w14:paraId="2ED2B65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4AA96B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nil"/>
              <w:left w:val="single" w:sz="6" w:space="0" w:color="auto"/>
              <w:bottom w:val="nil"/>
              <w:right w:val="single" w:sz="6" w:space="0" w:color="auto"/>
            </w:tcBorders>
          </w:tcPr>
          <w:p w14:paraId="7F64427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456CF9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nil"/>
              <w:right w:val="single" w:sz="6" w:space="0" w:color="auto"/>
            </w:tcBorders>
          </w:tcPr>
          <w:p w14:paraId="516666D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Кол-во СУ под</w:t>
            </w:r>
            <w:r w:rsidRPr="007224C3">
              <w:rPr>
                <w:rFonts w:ascii="Times New Roman" w:hAnsi="Times New Roman"/>
                <w:color w:val="000000" w:themeColor="text1"/>
                <w:sz w:val="16"/>
                <w:szCs w:val="16"/>
              </w:rPr>
              <w:softHyphen/>
              <w:t>верг, испыт.</w:t>
            </w:r>
          </w:p>
          <w:p w14:paraId="608311A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04" w:type="dxa"/>
            <w:gridSpan w:val="2"/>
            <w:tcBorders>
              <w:top w:val="single" w:sz="6" w:space="0" w:color="auto"/>
              <w:left w:val="single" w:sz="6" w:space="0" w:color="auto"/>
              <w:bottom w:val="single" w:sz="6" w:space="0" w:color="auto"/>
              <w:right w:val="single" w:sz="6" w:space="0" w:color="auto"/>
            </w:tcBorders>
          </w:tcPr>
          <w:p w14:paraId="1F4A0B1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Выдержали испытания</w:t>
            </w:r>
          </w:p>
          <w:p w14:paraId="7697504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nil"/>
              <w:right w:val="single" w:sz="6" w:space="0" w:color="auto"/>
            </w:tcBorders>
          </w:tcPr>
          <w:p w14:paraId="25EEDFF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Кол-во СУ под</w:t>
            </w:r>
            <w:r w:rsidRPr="007224C3">
              <w:rPr>
                <w:rFonts w:ascii="Times New Roman" w:hAnsi="Times New Roman"/>
                <w:color w:val="000000" w:themeColor="text1"/>
                <w:sz w:val="16"/>
                <w:szCs w:val="16"/>
              </w:rPr>
              <w:softHyphen/>
              <w:t>верг, испыт.</w:t>
            </w:r>
          </w:p>
          <w:p w14:paraId="58123D6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4EC96C6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Выдержали испытания</w:t>
            </w:r>
          </w:p>
          <w:p w14:paraId="204FC3A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88BD080" w14:textId="77777777">
        <w:trPr>
          <w:trHeight w:val="211"/>
        </w:trPr>
        <w:tc>
          <w:tcPr>
            <w:tcW w:w="384" w:type="dxa"/>
            <w:tcBorders>
              <w:top w:val="nil"/>
              <w:left w:val="single" w:sz="6" w:space="0" w:color="auto"/>
              <w:bottom w:val="single" w:sz="6" w:space="0" w:color="auto"/>
              <w:right w:val="single" w:sz="6" w:space="0" w:color="auto"/>
            </w:tcBorders>
          </w:tcPr>
          <w:p w14:paraId="46F0123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2F7D9F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2362" w:type="dxa"/>
            <w:tcBorders>
              <w:top w:val="nil"/>
              <w:left w:val="single" w:sz="6" w:space="0" w:color="auto"/>
              <w:bottom w:val="single" w:sz="6" w:space="0" w:color="auto"/>
              <w:right w:val="single" w:sz="6" w:space="0" w:color="auto"/>
            </w:tcBorders>
          </w:tcPr>
          <w:p w14:paraId="7970C61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66C74D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nil"/>
              <w:left w:val="single" w:sz="6" w:space="0" w:color="auto"/>
              <w:bottom w:val="single" w:sz="6" w:space="0" w:color="auto"/>
              <w:right w:val="single" w:sz="6" w:space="0" w:color="auto"/>
            </w:tcBorders>
          </w:tcPr>
          <w:p w14:paraId="39CC33A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9E660C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nil"/>
              <w:left w:val="single" w:sz="6" w:space="0" w:color="auto"/>
              <w:bottom w:val="single" w:sz="6" w:space="0" w:color="auto"/>
              <w:right w:val="single" w:sz="6" w:space="0" w:color="auto"/>
            </w:tcBorders>
          </w:tcPr>
          <w:p w14:paraId="461B038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56391C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7DC9EE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К-во СУ</w:t>
            </w:r>
          </w:p>
          <w:p w14:paraId="55C8669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415BAC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50AB360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nil"/>
              <w:left w:val="single" w:sz="6" w:space="0" w:color="auto"/>
              <w:bottom w:val="single" w:sz="6" w:space="0" w:color="auto"/>
              <w:right w:val="single" w:sz="6" w:space="0" w:color="auto"/>
            </w:tcBorders>
          </w:tcPr>
          <w:p w14:paraId="5344FDF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8D0C36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1BE42C5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К-во СУ</w:t>
            </w:r>
          </w:p>
          <w:p w14:paraId="1B86DA9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1F7D389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21F0A8E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52EFC4C" w14:textId="77777777">
        <w:trPr>
          <w:trHeight w:val="230"/>
        </w:trPr>
        <w:tc>
          <w:tcPr>
            <w:tcW w:w="384" w:type="dxa"/>
            <w:tcBorders>
              <w:top w:val="single" w:sz="6" w:space="0" w:color="auto"/>
              <w:left w:val="single" w:sz="6" w:space="0" w:color="auto"/>
              <w:bottom w:val="single" w:sz="6" w:space="0" w:color="auto"/>
              <w:right w:val="single" w:sz="6" w:space="0" w:color="auto"/>
            </w:tcBorders>
          </w:tcPr>
          <w:p w14:paraId="16CA95A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p w14:paraId="74DB97E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62" w:type="dxa"/>
            <w:tcBorders>
              <w:top w:val="single" w:sz="6" w:space="0" w:color="auto"/>
              <w:left w:val="single" w:sz="6" w:space="0" w:color="auto"/>
              <w:bottom w:val="single" w:sz="6" w:space="0" w:color="auto"/>
              <w:right w:val="single" w:sz="6" w:space="0" w:color="auto"/>
            </w:tcBorders>
          </w:tcPr>
          <w:p w14:paraId="2760801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Кировский з-д НКТП</w:t>
            </w:r>
          </w:p>
          <w:p w14:paraId="3C1FE61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2ECA455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ИСУ-152</w:t>
            </w:r>
          </w:p>
          <w:p w14:paraId="20D1E2C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2EF6E36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p w14:paraId="507E0BA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E92ED5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w:t>
            </w:r>
          </w:p>
          <w:p w14:paraId="35A75E3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0D5843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w:t>
            </w:r>
          </w:p>
          <w:p w14:paraId="4A3E534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540E8DA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p w14:paraId="4D5D5A5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115ED20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p w14:paraId="7DAC595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57ED4A8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66,6</w:t>
            </w:r>
          </w:p>
          <w:p w14:paraId="4551261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D6DB105" w14:textId="77777777">
        <w:trPr>
          <w:trHeight w:val="230"/>
        </w:trPr>
        <w:tc>
          <w:tcPr>
            <w:tcW w:w="384" w:type="dxa"/>
            <w:tcBorders>
              <w:top w:val="single" w:sz="6" w:space="0" w:color="auto"/>
              <w:left w:val="single" w:sz="6" w:space="0" w:color="auto"/>
              <w:bottom w:val="single" w:sz="6" w:space="0" w:color="auto"/>
              <w:right w:val="single" w:sz="6" w:space="0" w:color="auto"/>
            </w:tcBorders>
          </w:tcPr>
          <w:p w14:paraId="0691D57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p w14:paraId="23B5FDC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62" w:type="dxa"/>
            <w:tcBorders>
              <w:top w:val="single" w:sz="6" w:space="0" w:color="auto"/>
              <w:left w:val="single" w:sz="6" w:space="0" w:color="auto"/>
              <w:bottom w:val="single" w:sz="6" w:space="0" w:color="auto"/>
              <w:right w:val="single" w:sz="6" w:space="0" w:color="auto"/>
            </w:tcBorders>
          </w:tcPr>
          <w:p w14:paraId="17D4CDA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Уралмашзавод НКТП</w:t>
            </w:r>
          </w:p>
          <w:p w14:paraId="59E3234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79CDA59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СУ-85</w:t>
            </w:r>
          </w:p>
          <w:p w14:paraId="6157B98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7D743D5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p w14:paraId="6F62044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1E4AF15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p w14:paraId="3C19261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BD8176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w:t>
            </w:r>
          </w:p>
          <w:p w14:paraId="1C05ACD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20C4B4A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p w14:paraId="35546BB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02B5835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p w14:paraId="087D0A2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3FFB810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66,6</w:t>
            </w:r>
          </w:p>
          <w:p w14:paraId="2E924BA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0ABCCAA" w14:textId="77777777">
        <w:trPr>
          <w:trHeight w:val="230"/>
        </w:trPr>
        <w:tc>
          <w:tcPr>
            <w:tcW w:w="384" w:type="dxa"/>
            <w:tcBorders>
              <w:top w:val="single" w:sz="6" w:space="0" w:color="auto"/>
              <w:left w:val="single" w:sz="6" w:space="0" w:color="auto"/>
              <w:bottom w:val="single" w:sz="6" w:space="0" w:color="auto"/>
              <w:right w:val="single" w:sz="6" w:space="0" w:color="auto"/>
            </w:tcBorders>
          </w:tcPr>
          <w:p w14:paraId="342CD4C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p w14:paraId="36EA8B9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62" w:type="dxa"/>
            <w:tcBorders>
              <w:top w:val="single" w:sz="6" w:space="0" w:color="auto"/>
              <w:left w:val="single" w:sz="6" w:space="0" w:color="auto"/>
              <w:bottom w:val="single" w:sz="6" w:space="0" w:color="auto"/>
              <w:right w:val="single" w:sz="6" w:space="0" w:color="auto"/>
            </w:tcBorders>
          </w:tcPr>
          <w:p w14:paraId="5EFAD2E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 38 НКТП</w:t>
            </w:r>
          </w:p>
          <w:p w14:paraId="577A1C6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02A124A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СУ-76</w:t>
            </w:r>
          </w:p>
          <w:p w14:paraId="7B0867E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0C86A9B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p w14:paraId="252A97A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E08629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p w14:paraId="52BA356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C9FC3C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w:t>
            </w:r>
          </w:p>
          <w:p w14:paraId="2827745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0CA680B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p w14:paraId="6AA51A9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5AFAD7F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p w14:paraId="643C244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72479F5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w:t>
            </w:r>
          </w:p>
          <w:p w14:paraId="40B7A7C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9D00D26" w14:textId="77777777">
        <w:trPr>
          <w:trHeight w:val="230"/>
        </w:trPr>
        <w:tc>
          <w:tcPr>
            <w:tcW w:w="384" w:type="dxa"/>
            <w:tcBorders>
              <w:top w:val="single" w:sz="6" w:space="0" w:color="auto"/>
              <w:left w:val="single" w:sz="6" w:space="0" w:color="auto"/>
              <w:bottom w:val="single" w:sz="6" w:space="0" w:color="auto"/>
              <w:right w:val="single" w:sz="6" w:space="0" w:color="auto"/>
            </w:tcBorders>
          </w:tcPr>
          <w:p w14:paraId="39D7740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w:t>
            </w:r>
          </w:p>
          <w:p w14:paraId="198AAAA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62" w:type="dxa"/>
            <w:tcBorders>
              <w:top w:val="single" w:sz="6" w:space="0" w:color="auto"/>
              <w:left w:val="single" w:sz="6" w:space="0" w:color="auto"/>
              <w:bottom w:val="single" w:sz="6" w:space="0" w:color="auto"/>
              <w:right w:val="single" w:sz="6" w:space="0" w:color="auto"/>
            </w:tcBorders>
          </w:tcPr>
          <w:p w14:paraId="77C0888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ГАЗ им. Молотова НКСМ</w:t>
            </w:r>
          </w:p>
          <w:p w14:paraId="30436D8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25CE9C7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СУ-76</w:t>
            </w:r>
          </w:p>
          <w:p w14:paraId="0254ED0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0F14F13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p w14:paraId="3175B6A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BEBF01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w:t>
            </w:r>
          </w:p>
          <w:p w14:paraId="756685A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9218B8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w:t>
            </w:r>
          </w:p>
          <w:p w14:paraId="16F3185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06FA323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w:t>
            </w:r>
          </w:p>
          <w:p w14:paraId="4764B1E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7D08FF6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w:t>
            </w:r>
          </w:p>
          <w:p w14:paraId="5D3AACC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2F03BF3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w:t>
            </w:r>
          </w:p>
          <w:p w14:paraId="3DCA6D4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536C9DB" w14:textId="77777777">
        <w:trPr>
          <w:trHeight w:val="230"/>
        </w:trPr>
        <w:tc>
          <w:tcPr>
            <w:tcW w:w="384" w:type="dxa"/>
            <w:tcBorders>
              <w:top w:val="single" w:sz="6" w:space="0" w:color="auto"/>
              <w:left w:val="single" w:sz="6" w:space="0" w:color="auto"/>
              <w:bottom w:val="single" w:sz="6" w:space="0" w:color="auto"/>
              <w:right w:val="single" w:sz="6" w:space="0" w:color="auto"/>
            </w:tcBorders>
          </w:tcPr>
          <w:p w14:paraId="5D952D0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5.</w:t>
            </w:r>
          </w:p>
          <w:p w14:paraId="3EEDC85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62" w:type="dxa"/>
            <w:tcBorders>
              <w:top w:val="single" w:sz="6" w:space="0" w:color="auto"/>
              <w:left w:val="single" w:sz="6" w:space="0" w:color="auto"/>
              <w:bottom w:val="single" w:sz="6" w:space="0" w:color="auto"/>
              <w:right w:val="single" w:sz="6" w:space="0" w:color="auto"/>
            </w:tcBorders>
          </w:tcPr>
          <w:p w14:paraId="432BF7D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№40 НКСМ</w:t>
            </w:r>
          </w:p>
          <w:p w14:paraId="08D0CAF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4D06BB2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СУ-76</w:t>
            </w:r>
          </w:p>
          <w:p w14:paraId="16475A3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4A5D5BB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p w14:paraId="7A93F32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18E465E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w:t>
            </w:r>
          </w:p>
          <w:p w14:paraId="0D25377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7CE8C9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w:t>
            </w:r>
          </w:p>
          <w:p w14:paraId="79F3DF4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1BC8CA7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p w14:paraId="010CB2E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5F3899D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p w14:paraId="1973B1D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067A626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w:t>
            </w:r>
          </w:p>
          <w:p w14:paraId="201D75A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416F930" w14:textId="77777777">
        <w:trPr>
          <w:trHeight w:val="240"/>
        </w:trPr>
        <w:tc>
          <w:tcPr>
            <w:tcW w:w="384" w:type="dxa"/>
            <w:tcBorders>
              <w:top w:val="single" w:sz="6" w:space="0" w:color="auto"/>
              <w:left w:val="single" w:sz="6" w:space="0" w:color="auto"/>
              <w:bottom w:val="single" w:sz="6" w:space="0" w:color="auto"/>
              <w:right w:val="single" w:sz="6" w:space="0" w:color="auto"/>
            </w:tcBorders>
          </w:tcPr>
          <w:p w14:paraId="41EA8FA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95E33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62" w:type="dxa"/>
            <w:tcBorders>
              <w:top w:val="single" w:sz="6" w:space="0" w:color="auto"/>
              <w:left w:val="single" w:sz="6" w:space="0" w:color="auto"/>
              <w:bottom w:val="single" w:sz="6" w:space="0" w:color="auto"/>
              <w:right w:val="single" w:sz="6" w:space="0" w:color="auto"/>
            </w:tcBorders>
          </w:tcPr>
          <w:p w14:paraId="373B98B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w:t>
            </w:r>
          </w:p>
          <w:p w14:paraId="045F74F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5D17B7B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СУ</w:t>
            </w:r>
          </w:p>
          <w:p w14:paraId="71EFF55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1DA31EB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w:t>
            </w:r>
          </w:p>
          <w:p w14:paraId="15DDF06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E5B7EE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p w14:paraId="1720FAB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73F871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w:t>
            </w:r>
          </w:p>
          <w:p w14:paraId="0B2D545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650889A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w:t>
            </w:r>
          </w:p>
          <w:p w14:paraId="1395D0E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757B930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w:t>
            </w:r>
          </w:p>
          <w:p w14:paraId="20C3F8A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19266C8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73</w:t>
            </w:r>
          </w:p>
          <w:p w14:paraId="721ED67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0626B7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bl>
      <w:tblPr>
        <w:tblW w:w="0" w:type="auto"/>
        <w:tblInd w:w="40" w:type="dxa"/>
        <w:tblLayout w:type="fixed"/>
        <w:tblCellMar>
          <w:left w:w="40" w:type="dxa"/>
          <w:right w:w="40" w:type="dxa"/>
        </w:tblCellMar>
        <w:tblLook w:val="0000" w:firstRow="0" w:lastRow="0" w:firstColumn="0" w:lastColumn="0" w:noHBand="0" w:noVBand="0"/>
      </w:tblPr>
      <w:tblGrid>
        <w:gridCol w:w="2342"/>
        <w:gridCol w:w="1296"/>
        <w:gridCol w:w="1296"/>
        <w:gridCol w:w="1296"/>
        <w:gridCol w:w="1296"/>
        <w:gridCol w:w="1315"/>
      </w:tblGrid>
      <w:tr w:rsidR="005106D0" w:rsidRPr="007224C3" w14:paraId="5A0D2207" w14:textId="77777777">
        <w:trPr>
          <w:trHeight w:val="384"/>
        </w:trPr>
        <w:tc>
          <w:tcPr>
            <w:tcW w:w="2342" w:type="dxa"/>
            <w:tcBorders>
              <w:top w:val="single" w:sz="6" w:space="0" w:color="auto"/>
              <w:left w:val="single" w:sz="6" w:space="0" w:color="auto"/>
              <w:bottom w:val="nil"/>
              <w:right w:val="single" w:sz="6" w:space="0" w:color="auto"/>
            </w:tcBorders>
          </w:tcPr>
          <w:p w14:paraId="7AC0D96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Периоды испытаний</w:t>
            </w:r>
          </w:p>
          <w:p w14:paraId="5361B20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65F71CB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З-д № 38 СУ-76</w:t>
            </w:r>
          </w:p>
          <w:p w14:paraId="541498F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353C9CA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З-д № 40 СУ-76</w:t>
            </w:r>
          </w:p>
          <w:p w14:paraId="7151E47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6DB5AAF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ГАЗ СУ-76</w:t>
            </w:r>
          </w:p>
          <w:p w14:paraId="6D6D104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0C15B34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УЗТМ СУ-85</w:t>
            </w:r>
          </w:p>
          <w:p w14:paraId="378B9C0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01ECE42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Кировский завод ИСУ-152.СУ-152</w:t>
            </w:r>
          </w:p>
          <w:p w14:paraId="77FA57F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9BF0CE1" w14:textId="77777777">
        <w:trPr>
          <w:trHeight w:val="211"/>
        </w:trPr>
        <w:tc>
          <w:tcPr>
            <w:tcW w:w="2342" w:type="dxa"/>
            <w:tcBorders>
              <w:top w:val="nil"/>
              <w:left w:val="single" w:sz="6" w:space="0" w:color="auto"/>
              <w:bottom w:val="single" w:sz="6" w:space="0" w:color="auto"/>
              <w:right w:val="single" w:sz="6" w:space="0" w:color="auto"/>
            </w:tcBorders>
          </w:tcPr>
          <w:p w14:paraId="44DF572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71F99F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6499" w:type="dxa"/>
            <w:gridSpan w:val="5"/>
            <w:tcBorders>
              <w:top w:val="single" w:sz="6" w:space="0" w:color="auto"/>
              <w:left w:val="single" w:sz="6" w:space="0" w:color="auto"/>
              <w:bottom w:val="single" w:sz="6" w:space="0" w:color="auto"/>
              <w:right w:val="single" w:sz="6" w:space="0" w:color="auto"/>
            </w:tcBorders>
          </w:tcPr>
          <w:p w14:paraId="2262329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СУ выдержавших испытания</w:t>
            </w:r>
          </w:p>
          <w:p w14:paraId="2C3B4B2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747421D" w14:textId="77777777">
        <w:trPr>
          <w:trHeight w:val="230"/>
        </w:trPr>
        <w:tc>
          <w:tcPr>
            <w:tcW w:w="2342" w:type="dxa"/>
            <w:tcBorders>
              <w:top w:val="single" w:sz="6" w:space="0" w:color="auto"/>
              <w:left w:val="single" w:sz="6" w:space="0" w:color="auto"/>
              <w:bottom w:val="single" w:sz="6" w:space="0" w:color="auto"/>
              <w:right w:val="single" w:sz="6" w:space="0" w:color="auto"/>
            </w:tcBorders>
          </w:tcPr>
          <w:p w14:paraId="315DFB4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август 1 943 г.</w:t>
            </w:r>
          </w:p>
          <w:p w14:paraId="7D7E20E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6AC1CBC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27B4A88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58B2253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4549ED6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4025FE2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0C95228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505A332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w:t>
            </w:r>
          </w:p>
          <w:p w14:paraId="2F69ACD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0418CB7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w:t>
            </w:r>
          </w:p>
          <w:p w14:paraId="4642446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9A08730" w14:textId="77777777">
        <w:trPr>
          <w:trHeight w:val="230"/>
        </w:trPr>
        <w:tc>
          <w:tcPr>
            <w:tcW w:w="2342" w:type="dxa"/>
            <w:tcBorders>
              <w:top w:val="single" w:sz="6" w:space="0" w:color="auto"/>
              <w:left w:val="single" w:sz="6" w:space="0" w:color="auto"/>
              <w:bottom w:val="single" w:sz="6" w:space="0" w:color="auto"/>
              <w:right w:val="single" w:sz="6" w:space="0" w:color="auto"/>
            </w:tcBorders>
          </w:tcPr>
          <w:p w14:paraId="03C047C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сентябрь 1943 г.</w:t>
            </w:r>
          </w:p>
          <w:p w14:paraId="028F414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4CC8881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441A2D9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3B53795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0C62814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3A07557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4667998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0F7A2A0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w:t>
            </w:r>
          </w:p>
          <w:p w14:paraId="5CAA77A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12BC1A5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554BD7B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F1A8C30" w14:textId="77777777">
        <w:trPr>
          <w:trHeight w:val="230"/>
        </w:trPr>
        <w:tc>
          <w:tcPr>
            <w:tcW w:w="2342" w:type="dxa"/>
            <w:tcBorders>
              <w:top w:val="single" w:sz="6" w:space="0" w:color="auto"/>
              <w:left w:val="single" w:sz="6" w:space="0" w:color="auto"/>
              <w:bottom w:val="single" w:sz="6" w:space="0" w:color="auto"/>
              <w:right w:val="single" w:sz="6" w:space="0" w:color="auto"/>
            </w:tcBorders>
          </w:tcPr>
          <w:p w14:paraId="7E6F1D3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октябрь 1943 г.</w:t>
            </w:r>
          </w:p>
          <w:p w14:paraId="07C1C77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300CED8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w:t>
            </w:r>
          </w:p>
          <w:p w14:paraId="7B0125B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7610B6D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w:t>
            </w:r>
          </w:p>
          <w:p w14:paraId="7A44574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2AD66AD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7ECE48D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4ACC846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w:t>
            </w:r>
          </w:p>
          <w:p w14:paraId="22FFE3F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4DD878C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049F520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1230962" w14:textId="77777777">
        <w:trPr>
          <w:trHeight w:val="230"/>
        </w:trPr>
        <w:tc>
          <w:tcPr>
            <w:tcW w:w="2342" w:type="dxa"/>
            <w:tcBorders>
              <w:top w:val="single" w:sz="6" w:space="0" w:color="auto"/>
              <w:left w:val="single" w:sz="6" w:space="0" w:color="auto"/>
              <w:bottom w:val="single" w:sz="6" w:space="0" w:color="auto"/>
              <w:right w:val="single" w:sz="6" w:space="0" w:color="auto"/>
            </w:tcBorders>
          </w:tcPr>
          <w:p w14:paraId="68810FB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ноябрь 1943 г.</w:t>
            </w:r>
          </w:p>
          <w:p w14:paraId="3A459AB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1B4CCB7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6C25CF5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01914C2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w:t>
            </w:r>
          </w:p>
          <w:p w14:paraId="3E222E9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4061E47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w:t>
            </w:r>
          </w:p>
          <w:p w14:paraId="06879D5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1BAB540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w:t>
            </w:r>
          </w:p>
          <w:p w14:paraId="16C3EA2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74FA06C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36E2AD6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F9F1229" w14:textId="77777777">
        <w:trPr>
          <w:trHeight w:val="230"/>
        </w:trPr>
        <w:tc>
          <w:tcPr>
            <w:tcW w:w="2342" w:type="dxa"/>
            <w:tcBorders>
              <w:top w:val="single" w:sz="6" w:space="0" w:color="auto"/>
              <w:left w:val="single" w:sz="6" w:space="0" w:color="auto"/>
              <w:bottom w:val="single" w:sz="6" w:space="0" w:color="auto"/>
              <w:right w:val="single" w:sz="6" w:space="0" w:color="auto"/>
            </w:tcBorders>
          </w:tcPr>
          <w:p w14:paraId="282BBA9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декабрь 1943 г.</w:t>
            </w:r>
          </w:p>
          <w:p w14:paraId="30A1D8F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4C0E739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w:t>
            </w:r>
          </w:p>
          <w:p w14:paraId="6174861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4E485F2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4977CD6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1410185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w:t>
            </w:r>
          </w:p>
          <w:p w14:paraId="4882FB0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63E6111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w:t>
            </w:r>
          </w:p>
          <w:p w14:paraId="0C298FD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3181178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40718F9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798E151" w14:textId="77777777">
        <w:trPr>
          <w:trHeight w:val="250"/>
        </w:trPr>
        <w:tc>
          <w:tcPr>
            <w:tcW w:w="2342" w:type="dxa"/>
            <w:tcBorders>
              <w:top w:val="single" w:sz="6" w:space="0" w:color="auto"/>
              <w:left w:val="single" w:sz="6" w:space="0" w:color="auto"/>
              <w:bottom w:val="single" w:sz="6" w:space="0" w:color="auto"/>
              <w:right w:val="single" w:sz="6" w:space="0" w:color="auto"/>
            </w:tcBorders>
          </w:tcPr>
          <w:p w14:paraId="74889B7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январь-февраль 1943 г.</w:t>
            </w:r>
          </w:p>
          <w:p w14:paraId="37C105A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03021D2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w:t>
            </w:r>
          </w:p>
          <w:p w14:paraId="032519F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4161E66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w:t>
            </w:r>
          </w:p>
          <w:p w14:paraId="63D208A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0BA3138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w:t>
            </w:r>
          </w:p>
          <w:p w14:paraId="0A30537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7AFE017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80%</w:t>
            </w:r>
          </w:p>
          <w:p w14:paraId="7D8C511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0B106F4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75%</w:t>
            </w:r>
          </w:p>
          <w:p w14:paraId="10898AA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0F08A03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Результаты испытаний приемно-сдаточными пробегами</w:t>
      </w:r>
    </w:p>
    <w:tbl>
      <w:tblPr>
        <w:tblW w:w="0" w:type="auto"/>
        <w:tblInd w:w="40" w:type="dxa"/>
        <w:tblLayout w:type="fixed"/>
        <w:tblCellMar>
          <w:left w:w="40" w:type="dxa"/>
          <w:right w:w="40" w:type="dxa"/>
        </w:tblCellMar>
        <w:tblLook w:val="0000" w:firstRow="0" w:lastRow="0" w:firstColumn="0" w:lastColumn="0" w:noHBand="0" w:noVBand="0"/>
      </w:tblPr>
      <w:tblGrid>
        <w:gridCol w:w="2179"/>
        <w:gridCol w:w="1238"/>
        <w:gridCol w:w="1229"/>
        <w:gridCol w:w="1238"/>
        <w:gridCol w:w="1229"/>
        <w:gridCol w:w="1258"/>
      </w:tblGrid>
      <w:tr w:rsidR="005106D0" w:rsidRPr="007224C3" w14:paraId="246F6285" w14:textId="77777777">
        <w:trPr>
          <w:trHeight w:val="230"/>
        </w:trPr>
        <w:tc>
          <w:tcPr>
            <w:tcW w:w="2179" w:type="dxa"/>
            <w:tcBorders>
              <w:top w:val="single" w:sz="6" w:space="0" w:color="auto"/>
              <w:left w:val="single" w:sz="6" w:space="0" w:color="auto"/>
              <w:bottom w:val="nil"/>
              <w:right w:val="single" w:sz="6" w:space="0" w:color="auto"/>
            </w:tcBorders>
          </w:tcPr>
          <w:p w14:paraId="58F6416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Периоды приемо-сдаточных пробегов</w:t>
            </w:r>
          </w:p>
          <w:p w14:paraId="7A370E4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92" w:type="dxa"/>
            <w:gridSpan w:val="5"/>
            <w:tcBorders>
              <w:top w:val="single" w:sz="6" w:space="0" w:color="auto"/>
              <w:left w:val="single" w:sz="6" w:space="0" w:color="auto"/>
              <w:bottom w:val="single" w:sz="6" w:space="0" w:color="auto"/>
              <w:right w:val="single" w:sz="6" w:space="0" w:color="auto"/>
            </w:tcBorders>
          </w:tcPr>
          <w:p w14:paraId="2D2CF85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Заводы - изготовители</w:t>
            </w:r>
          </w:p>
          <w:p w14:paraId="3140F7C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A993E97" w14:textId="77777777">
        <w:trPr>
          <w:trHeight w:val="211"/>
        </w:trPr>
        <w:tc>
          <w:tcPr>
            <w:tcW w:w="2179" w:type="dxa"/>
            <w:tcBorders>
              <w:top w:val="nil"/>
              <w:left w:val="single" w:sz="6" w:space="0" w:color="auto"/>
              <w:bottom w:val="nil"/>
              <w:right w:val="single" w:sz="6" w:space="0" w:color="auto"/>
            </w:tcBorders>
          </w:tcPr>
          <w:p w14:paraId="6023432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3D35FB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6192" w:type="dxa"/>
            <w:gridSpan w:val="5"/>
            <w:tcBorders>
              <w:top w:val="single" w:sz="6" w:space="0" w:color="auto"/>
              <w:left w:val="single" w:sz="6" w:space="0" w:color="auto"/>
              <w:bottom w:val="single" w:sz="6" w:space="0" w:color="auto"/>
              <w:right w:val="single" w:sz="6" w:space="0" w:color="auto"/>
            </w:tcBorders>
          </w:tcPr>
          <w:p w14:paraId="1F0CE78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СУ-76 СУ-85 | СУ-152иИСУ-152</w:t>
            </w:r>
          </w:p>
          <w:p w14:paraId="4D1BB27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13A8C85" w14:textId="77777777">
        <w:trPr>
          <w:trHeight w:val="211"/>
        </w:trPr>
        <w:tc>
          <w:tcPr>
            <w:tcW w:w="2179" w:type="dxa"/>
            <w:tcBorders>
              <w:top w:val="nil"/>
              <w:left w:val="single" w:sz="6" w:space="0" w:color="auto"/>
              <w:bottom w:val="nil"/>
              <w:right w:val="single" w:sz="6" w:space="0" w:color="auto"/>
            </w:tcBorders>
          </w:tcPr>
          <w:p w14:paraId="240300C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2415E3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nil"/>
            </w:tcBorders>
          </w:tcPr>
          <w:p w14:paraId="40C7EC8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з-д №38</w:t>
            </w:r>
          </w:p>
          <w:p w14:paraId="50C99F4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29" w:type="dxa"/>
            <w:tcBorders>
              <w:top w:val="single" w:sz="6" w:space="0" w:color="auto"/>
              <w:left w:val="nil"/>
              <w:bottom w:val="single" w:sz="6" w:space="0" w:color="auto"/>
              <w:right w:val="nil"/>
            </w:tcBorders>
          </w:tcPr>
          <w:p w14:paraId="61F0556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з-д №40</w:t>
            </w:r>
          </w:p>
          <w:p w14:paraId="5C0894B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nil"/>
              <w:bottom w:val="single" w:sz="6" w:space="0" w:color="auto"/>
              <w:right w:val="nil"/>
            </w:tcBorders>
          </w:tcPr>
          <w:p w14:paraId="503D79C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ГАЗ</w:t>
            </w:r>
          </w:p>
          <w:p w14:paraId="6175D6E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29" w:type="dxa"/>
            <w:tcBorders>
              <w:top w:val="single" w:sz="6" w:space="0" w:color="auto"/>
              <w:left w:val="nil"/>
              <w:bottom w:val="single" w:sz="6" w:space="0" w:color="auto"/>
              <w:right w:val="nil"/>
            </w:tcBorders>
          </w:tcPr>
          <w:p w14:paraId="00C34A2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УЗТМ</w:t>
            </w:r>
          </w:p>
          <w:p w14:paraId="5F01281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nil"/>
              <w:bottom w:val="single" w:sz="6" w:space="0" w:color="auto"/>
              <w:right w:val="single" w:sz="6" w:space="0" w:color="auto"/>
            </w:tcBorders>
          </w:tcPr>
          <w:p w14:paraId="4A6AE2D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Кировский завод</w:t>
            </w:r>
          </w:p>
          <w:p w14:paraId="018D9FD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3B238FD" w14:textId="77777777">
        <w:trPr>
          <w:trHeight w:val="221"/>
        </w:trPr>
        <w:tc>
          <w:tcPr>
            <w:tcW w:w="2179" w:type="dxa"/>
            <w:tcBorders>
              <w:top w:val="nil"/>
              <w:left w:val="single" w:sz="6" w:space="0" w:color="auto"/>
              <w:bottom w:val="single" w:sz="6" w:space="0" w:color="auto"/>
              <w:right w:val="single" w:sz="6" w:space="0" w:color="auto"/>
            </w:tcBorders>
          </w:tcPr>
          <w:p w14:paraId="2E2D9CB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6E2DC8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6192" w:type="dxa"/>
            <w:gridSpan w:val="5"/>
            <w:tcBorders>
              <w:top w:val="single" w:sz="6" w:space="0" w:color="auto"/>
              <w:left w:val="single" w:sz="6" w:space="0" w:color="auto"/>
              <w:bottom w:val="single" w:sz="6" w:space="0" w:color="auto"/>
              <w:right w:val="single" w:sz="6" w:space="0" w:color="auto"/>
            </w:tcBorders>
          </w:tcPr>
          <w:p w14:paraId="6832414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СУ принятых после первого приемо-сдаточного пробега.</w:t>
            </w:r>
          </w:p>
          <w:p w14:paraId="6AFE2A8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9FC368C" w14:textId="77777777">
        <w:trPr>
          <w:trHeight w:val="230"/>
        </w:trPr>
        <w:tc>
          <w:tcPr>
            <w:tcW w:w="2179" w:type="dxa"/>
            <w:tcBorders>
              <w:top w:val="single" w:sz="6" w:space="0" w:color="auto"/>
              <w:left w:val="single" w:sz="6" w:space="0" w:color="auto"/>
              <w:bottom w:val="single" w:sz="6" w:space="0" w:color="auto"/>
              <w:right w:val="single" w:sz="6" w:space="0" w:color="auto"/>
            </w:tcBorders>
          </w:tcPr>
          <w:p w14:paraId="5741016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III квартал 1943 г.</w:t>
            </w:r>
          </w:p>
          <w:p w14:paraId="73DE93F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3CDE7D1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47</w:t>
            </w:r>
          </w:p>
          <w:p w14:paraId="3E727F0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29" w:type="dxa"/>
            <w:tcBorders>
              <w:top w:val="single" w:sz="6" w:space="0" w:color="auto"/>
              <w:left w:val="single" w:sz="6" w:space="0" w:color="auto"/>
              <w:bottom w:val="single" w:sz="6" w:space="0" w:color="auto"/>
              <w:right w:val="single" w:sz="6" w:space="0" w:color="auto"/>
            </w:tcBorders>
          </w:tcPr>
          <w:p w14:paraId="4980F46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33</w:t>
            </w:r>
          </w:p>
          <w:p w14:paraId="732E109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493ED7D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0AEAC6B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29" w:type="dxa"/>
            <w:tcBorders>
              <w:top w:val="single" w:sz="6" w:space="0" w:color="auto"/>
              <w:left w:val="single" w:sz="6" w:space="0" w:color="auto"/>
              <w:bottom w:val="single" w:sz="6" w:space="0" w:color="auto"/>
              <w:right w:val="single" w:sz="6" w:space="0" w:color="auto"/>
            </w:tcBorders>
          </w:tcPr>
          <w:p w14:paraId="6BD741F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86</w:t>
            </w:r>
          </w:p>
          <w:p w14:paraId="3C0B4E0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18BCD7D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70</w:t>
            </w:r>
          </w:p>
          <w:p w14:paraId="1FB0BAD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C075E8C" w14:textId="77777777">
        <w:trPr>
          <w:trHeight w:val="230"/>
        </w:trPr>
        <w:tc>
          <w:tcPr>
            <w:tcW w:w="2179" w:type="dxa"/>
            <w:tcBorders>
              <w:top w:val="single" w:sz="6" w:space="0" w:color="auto"/>
              <w:left w:val="single" w:sz="6" w:space="0" w:color="auto"/>
              <w:bottom w:val="single" w:sz="6" w:space="0" w:color="auto"/>
              <w:right w:val="single" w:sz="6" w:space="0" w:color="auto"/>
            </w:tcBorders>
          </w:tcPr>
          <w:p w14:paraId="3BC5896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IV квартал 1943 г.</w:t>
            </w:r>
          </w:p>
          <w:p w14:paraId="2435078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216E174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65</w:t>
            </w:r>
          </w:p>
          <w:p w14:paraId="17803E8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29" w:type="dxa"/>
            <w:tcBorders>
              <w:top w:val="single" w:sz="6" w:space="0" w:color="auto"/>
              <w:left w:val="single" w:sz="6" w:space="0" w:color="auto"/>
              <w:bottom w:val="single" w:sz="6" w:space="0" w:color="auto"/>
              <w:right w:val="single" w:sz="6" w:space="0" w:color="auto"/>
            </w:tcBorders>
          </w:tcPr>
          <w:p w14:paraId="2DEBE0A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55</w:t>
            </w:r>
          </w:p>
          <w:p w14:paraId="4D15C95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57DB1A8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59</w:t>
            </w:r>
          </w:p>
          <w:p w14:paraId="0B957EC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29" w:type="dxa"/>
            <w:tcBorders>
              <w:top w:val="single" w:sz="6" w:space="0" w:color="auto"/>
              <w:left w:val="single" w:sz="6" w:space="0" w:color="auto"/>
              <w:bottom w:val="single" w:sz="6" w:space="0" w:color="auto"/>
              <w:right w:val="single" w:sz="6" w:space="0" w:color="auto"/>
            </w:tcBorders>
          </w:tcPr>
          <w:p w14:paraId="012DEBB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85</w:t>
            </w:r>
          </w:p>
          <w:p w14:paraId="59B9A22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418D981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81</w:t>
            </w:r>
          </w:p>
          <w:p w14:paraId="70118AD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AC234EA" w14:textId="77777777">
        <w:trPr>
          <w:trHeight w:val="221"/>
        </w:trPr>
        <w:tc>
          <w:tcPr>
            <w:tcW w:w="2179" w:type="dxa"/>
            <w:tcBorders>
              <w:top w:val="single" w:sz="6" w:space="0" w:color="auto"/>
              <w:left w:val="single" w:sz="6" w:space="0" w:color="auto"/>
              <w:bottom w:val="single" w:sz="6" w:space="0" w:color="auto"/>
              <w:right w:val="single" w:sz="6" w:space="0" w:color="auto"/>
            </w:tcBorders>
          </w:tcPr>
          <w:p w14:paraId="71C30CF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январь 1944 г.</w:t>
            </w:r>
          </w:p>
          <w:p w14:paraId="62D5D73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40AE57A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67</w:t>
            </w:r>
          </w:p>
          <w:p w14:paraId="7B66B45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29" w:type="dxa"/>
            <w:tcBorders>
              <w:top w:val="single" w:sz="6" w:space="0" w:color="auto"/>
              <w:left w:val="single" w:sz="6" w:space="0" w:color="auto"/>
              <w:bottom w:val="single" w:sz="6" w:space="0" w:color="auto"/>
              <w:right w:val="single" w:sz="6" w:space="0" w:color="auto"/>
            </w:tcBorders>
          </w:tcPr>
          <w:p w14:paraId="2E20FFF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64</w:t>
            </w:r>
          </w:p>
          <w:p w14:paraId="43086D8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355F139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69</w:t>
            </w:r>
          </w:p>
          <w:p w14:paraId="1B7E394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29" w:type="dxa"/>
            <w:tcBorders>
              <w:top w:val="single" w:sz="6" w:space="0" w:color="auto"/>
              <w:left w:val="single" w:sz="6" w:space="0" w:color="auto"/>
              <w:bottom w:val="single" w:sz="6" w:space="0" w:color="auto"/>
              <w:right w:val="single" w:sz="6" w:space="0" w:color="auto"/>
            </w:tcBorders>
          </w:tcPr>
          <w:p w14:paraId="54683AF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88</w:t>
            </w:r>
          </w:p>
          <w:p w14:paraId="3DAA542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4A6BD1E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80</w:t>
            </w:r>
          </w:p>
          <w:p w14:paraId="25618F4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531BC4C" w14:textId="77777777">
        <w:trPr>
          <w:trHeight w:val="250"/>
        </w:trPr>
        <w:tc>
          <w:tcPr>
            <w:tcW w:w="2179" w:type="dxa"/>
            <w:tcBorders>
              <w:top w:val="single" w:sz="6" w:space="0" w:color="auto"/>
              <w:left w:val="single" w:sz="6" w:space="0" w:color="auto"/>
              <w:bottom w:val="single" w:sz="6" w:space="0" w:color="auto"/>
              <w:right w:val="single" w:sz="6" w:space="0" w:color="auto"/>
            </w:tcBorders>
          </w:tcPr>
          <w:p w14:paraId="7774CF9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февраль 1 944 г.</w:t>
            </w:r>
          </w:p>
          <w:p w14:paraId="574CEB3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3CE84D2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82</w:t>
            </w:r>
          </w:p>
          <w:p w14:paraId="36E4EFD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29" w:type="dxa"/>
            <w:tcBorders>
              <w:top w:val="single" w:sz="6" w:space="0" w:color="auto"/>
              <w:left w:val="single" w:sz="6" w:space="0" w:color="auto"/>
              <w:bottom w:val="single" w:sz="6" w:space="0" w:color="auto"/>
              <w:right w:val="single" w:sz="6" w:space="0" w:color="auto"/>
            </w:tcBorders>
          </w:tcPr>
          <w:p w14:paraId="07D2E68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73</w:t>
            </w:r>
          </w:p>
          <w:p w14:paraId="40E36CF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6FD80CF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54</w:t>
            </w:r>
          </w:p>
          <w:p w14:paraId="4E76DD7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29" w:type="dxa"/>
            <w:tcBorders>
              <w:top w:val="single" w:sz="6" w:space="0" w:color="auto"/>
              <w:left w:val="single" w:sz="6" w:space="0" w:color="auto"/>
              <w:bottom w:val="single" w:sz="6" w:space="0" w:color="auto"/>
              <w:right w:val="single" w:sz="6" w:space="0" w:color="auto"/>
            </w:tcBorders>
          </w:tcPr>
          <w:p w14:paraId="4119ED0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88</w:t>
            </w:r>
          </w:p>
          <w:p w14:paraId="1AA6E92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104A6AB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71</w:t>
            </w:r>
          </w:p>
          <w:p w14:paraId="11EB914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30115F1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Таблица всех поломок и неисправностей, обнаруженных при гарантийных пробегах</w:t>
      </w:r>
    </w:p>
    <w:tbl>
      <w:tblPr>
        <w:tblW w:w="0" w:type="auto"/>
        <w:tblInd w:w="40" w:type="dxa"/>
        <w:tblLayout w:type="fixed"/>
        <w:tblCellMar>
          <w:left w:w="40" w:type="dxa"/>
          <w:right w:w="40" w:type="dxa"/>
        </w:tblCellMar>
        <w:tblLook w:val="0000" w:firstRow="0" w:lastRow="0" w:firstColumn="0" w:lastColumn="0" w:noHBand="0" w:noVBand="0"/>
      </w:tblPr>
      <w:tblGrid>
        <w:gridCol w:w="2093"/>
        <w:gridCol w:w="1094"/>
        <w:gridCol w:w="1094"/>
        <w:gridCol w:w="1094"/>
        <w:gridCol w:w="1094"/>
        <w:gridCol w:w="1114"/>
      </w:tblGrid>
      <w:tr w:rsidR="005106D0" w:rsidRPr="007224C3" w14:paraId="1403DE34" w14:textId="77777777">
        <w:trPr>
          <w:trHeight w:val="278"/>
        </w:trPr>
        <w:tc>
          <w:tcPr>
            <w:tcW w:w="2093" w:type="dxa"/>
            <w:tcBorders>
              <w:top w:val="single" w:sz="6" w:space="0" w:color="auto"/>
              <w:left w:val="single" w:sz="6" w:space="0" w:color="auto"/>
              <w:bottom w:val="nil"/>
              <w:right w:val="single" w:sz="6" w:space="0" w:color="auto"/>
            </w:tcBorders>
          </w:tcPr>
          <w:p w14:paraId="257ABB8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Периоды испытаний гаран</w:t>
            </w:r>
            <w:r w:rsidRPr="007224C3">
              <w:rPr>
                <w:rFonts w:ascii="Times New Roman" w:hAnsi="Times New Roman"/>
                <w:color w:val="000000" w:themeColor="text1"/>
                <w:sz w:val="16"/>
                <w:szCs w:val="16"/>
              </w:rPr>
              <w:softHyphen/>
              <w:t>тийный пробег.</w:t>
            </w:r>
          </w:p>
          <w:p w14:paraId="7078AAF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90" w:type="dxa"/>
            <w:gridSpan w:val="5"/>
            <w:tcBorders>
              <w:top w:val="single" w:sz="6" w:space="0" w:color="auto"/>
              <w:left w:val="single" w:sz="6" w:space="0" w:color="auto"/>
              <w:bottom w:val="single" w:sz="6" w:space="0" w:color="auto"/>
              <w:right w:val="single" w:sz="6" w:space="0" w:color="auto"/>
            </w:tcBorders>
          </w:tcPr>
          <w:p w14:paraId="6042C04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Заводы - изготовители</w:t>
            </w:r>
          </w:p>
          <w:p w14:paraId="7BD7772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670F436" w14:textId="77777777">
        <w:trPr>
          <w:trHeight w:val="259"/>
        </w:trPr>
        <w:tc>
          <w:tcPr>
            <w:tcW w:w="2093" w:type="dxa"/>
            <w:tcBorders>
              <w:top w:val="nil"/>
              <w:left w:val="single" w:sz="6" w:space="0" w:color="auto"/>
              <w:bottom w:val="nil"/>
              <w:right w:val="single" w:sz="6" w:space="0" w:color="auto"/>
            </w:tcBorders>
          </w:tcPr>
          <w:p w14:paraId="7370373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3045B3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single" w:sz="6" w:space="0" w:color="auto"/>
              <w:left w:val="single" w:sz="6" w:space="0" w:color="auto"/>
              <w:bottom w:val="single" w:sz="6" w:space="0" w:color="auto"/>
              <w:right w:val="nil"/>
            </w:tcBorders>
          </w:tcPr>
          <w:p w14:paraId="492CBD4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З-д №38</w:t>
            </w:r>
          </w:p>
          <w:p w14:paraId="5466144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single" w:sz="6" w:space="0" w:color="auto"/>
              <w:left w:val="nil"/>
              <w:bottom w:val="single" w:sz="6" w:space="0" w:color="auto"/>
              <w:right w:val="nil"/>
            </w:tcBorders>
          </w:tcPr>
          <w:p w14:paraId="6B24A63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З-д №40</w:t>
            </w:r>
          </w:p>
          <w:p w14:paraId="780924D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single" w:sz="6" w:space="0" w:color="auto"/>
              <w:left w:val="nil"/>
              <w:bottom w:val="single" w:sz="6" w:space="0" w:color="auto"/>
              <w:right w:val="nil"/>
            </w:tcBorders>
          </w:tcPr>
          <w:p w14:paraId="11D7CB1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ГАЗ</w:t>
            </w:r>
          </w:p>
          <w:p w14:paraId="1E96E9A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single" w:sz="6" w:space="0" w:color="auto"/>
              <w:left w:val="nil"/>
              <w:bottom w:val="single" w:sz="6" w:space="0" w:color="auto"/>
              <w:right w:val="nil"/>
            </w:tcBorders>
          </w:tcPr>
          <w:p w14:paraId="1E8D88C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УЗТМ</w:t>
            </w:r>
          </w:p>
          <w:p w14:paraId="36C4F21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Borders>
              <w:top w:val="single" w:sz="6" w:space="0" w:color="auto"/>
              <w:left w:val="nil"/>
              <w:bottom w:val="single" w:sz="6" w:space="0" w:color="auto"/>
              <w:right w:val="single" w:sz="6" w:space="0" w:color="auto"/>
            </w:tcBorders>
          </w:tcPr>
          <w:p w14:paraId="3C8928B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Кировский</w:t>
            </w:r>
          </w:p>
          <w:p w14:paraId="74ECAB3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F4D4455" w14:textId="77777777">
        <w:trPr>
          <w:trHeight w:val="259"/>
        </w:trPr>
        <w:tc>
          <w:tcPr>
            <w:tcW w:w="2093" w:type="dxa"/>
            <w:tcBorders>
              <w:top w:val="nil"/>
              <w:left w:val="single" w:sz="6" w:space="0" w:color="auto"/>
              <w:bottom w:val="single" w:sz="6" w:space="0" w:color="auto"/>
              <w:right w:val="single" w:sz="6" w:space="0" w:color="auto"/>
            </w:tcBorders>
          </w:tcPr>
          <w:p w14:paraId="26557B1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85FA8B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5490" w:type="dxa"/>
            <w:gridSpan w:val="5"/>
            <w:tcBorders>
              <w:top w:val="single" w:sz="6" w:space="0" w:color="auto"/>
              <w:left w:val="single" w:sz="6" w:space="0" w:color="auto"/>
              <w:bottom w:val="single" w:sz="6" w:space="0" w:color="auto"/>
              <w:right w:val="single" w:sz="6" w:space="0" w:color="auto"/>
            </w:tcBorders>
          </w:tcPr>
          <w:p w14:paraId="48D7AD3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Количество поломок</w:t>
            </w:r>
          </w:p>
          <w:p w14:paraId="151D478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D322F7D" w14:textId="77777777">
        <w:trPr>
          <w:trHeight w:val="278"/>
        </w:trPr>
        <w:tc>
          <w:tcPr>
            <w:tcW w:w="2093" w:type="dxa"/>
            <w:tcBorders>
              <w:top w:val="single" w:sz="6" w:space="0" w:color="auto"/>
              <w:left w:val="single" w:sz="6" w:space="0" w:color="auto"/>
              <w:bottom w:val="single" w:sz="6" w:space="0" w:color="auto"/>
              <w:right w:val="single" w:sz="6" w:space="0" w:color="auto"/>
            </w:tcBorders>
          </w:tcPr>
          <w:p w14:paraId="72433F4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сентябрь 1943 г.</w:t>
            </w:r>
          </w:p>
          <w:p w14:paraId="18DE7A4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single" w:sz="6" w:space="0" w:color="auto"/>
              <w:left w:val="single" w:sz="6" w:space="0" w:color="auto"/>
              <w:bottom w:val="single" w:sz="6" w:space="0" w:color="auto"/>
              <w:right w:val="single" w:sz="6" w:space="0" w:color="auto"/>
            </w:tcBorders>
          </w:tcPr>
          <w:p w14:paraId="2A06C62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60EC620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single" w:sz="6" w:space="0" w:color="auto"/>
              <w:left w:val="single" w:sz="6" w:space="0" w:color="auto"/>
              <w:bottom w:val="single" w:sz="6" w:space="0" w:color="auto"/>
              <w:right w:val="single" w:sz="6" w:space="0" w:color="auto"/>
            </w:tcBorders>
          </w:tcPr>
          <w:p w14:paraId="677A095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w:t>
            </w:r>
          </w:p>
          <w:p w14:paraId="4FC594D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single" w:sz="6" w:space="0" w:color="auto"/>
              <w:left w:val="single" w:sz="6" w:space="0" w:color="auto"/>
              <w:bottom w:val="single" w:sz="6" w:space="0" w:color="auto"/>
              <w:right w:val="single" w:sz="6" w:space="0" w:color="auto"/>
            </w:tcBorders>
          </w:tcPr>
          <w:p w14:paraId="69ECD3F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3D8C002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single" w:sz="6" w:space="0" w:color="auto"/>
              <w:left w:val="single" w:sz="6" w:space="0" w:color="auto"/>
              <w:bottom w:val="single" w:sz="6" w:space="0" w:color="auto"/>
              <w:right w:val="single" w:sz="6" w:space="0" w:color="auto"/>
            </w:tcBorders>
          </w:tcPr>
          <w:p w14:paraId="3EEF6B3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01F188B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6" w:space="0" w:color="auto"/>
              <w:right w:val="single" w:sz="6" w:space="0" w:color="auto"/>
            </w:tcBorders>
          </w:tcPr>
          <w:p w14:paraId="2A164C2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3474BAE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80BE314" w14:textId="77777777">
        <w:trPr>
          <w:trHeight w:val="278"/>
        </w:trPr>
        <w:tc>
          <w:tcPr>
            <w:tcW w:w="2093" w:type="dxa"/>
            <w:tcBorders>
              <w:top w:val="single" w:sz="6" w:space="0" w:color="auto"/>
              <w:left w:val="single" w:sz="6" w:space="0" w:color="auto"/>
              <w:bottom w:val="single" w:sz="6" w:space="0" w:color="auto"/>
              <w:right w:val="single" w:sz="6" w:space="0" w:color="auto"/>
            </w:tcBorders>
          </w:tcPr>
          <w:p w14:paraId="0954C1E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октябрь 1943 г.</w:t>
            </w:r>
          </w:p>
          <w:p w14:paraId="139E84C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single" w:sz="6" w:space="0" w:color="auto"/>
              <w:left w:val="single" w:sz="6" w:space="0" w:color="auto"/>
              <w:bottom w:val="single" w:sz="6" w:space="0" w:color="auto"/>
              <w:right w:val="single" w:sz="6" w:space="0" w:color="auto"/>
            </w:tcBorders>
          </w:tcPr>
          <w:p w14:paraId="43583D9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w:t>
            </w:r>
          </w:p>
          <w:p w14:paraId="2B40141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single" w:sz="6" w:space="0" w:color="auto"/>
              <w:left w:val="single" w:sz="6" w:space="0" w:color="auto"/>
              <w:bottom w:val="single" w:sz="6" w:space="0" w:color="auto"/>
              <w:right w:val="single" w:sz="6" w:space="0" w:color="auto"/>
            </w:tcBorders>
          </w:tcPr>
          <w:p w14:paraId="544F735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0708F1A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single" w:sz="6" w:space="0" w:color="auto"/>
              <w:left w:val="single" w:sz="6" w:space="0" w:color="auto"/>
              <w:bottom w:val="single" w:sz="6" w:space="0" w:color="auto"/>
              <w:right w:val="single" w:sz="6" w:space="0" w:color="auto"/>
            </w:tcBorders>
          </w:tcPr>
          <w:p w14:paraId="7D2A6E3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5FD37E8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single" w:sz="6" w:space="0" w:color="auto"/>
              <w:left w:val="single" w:sz="6" w:space="0" w:color="auto"/>
              <w:bottom w:val="single" w:sz="6" w:space="0" w:color="auto"/>
              <w:right w:val="single" w:sz="6" w:space="0" w:color="auto"/>
            </w:tcBorders>
          </w:tcPr>
          <w:p w14:paraId="4FA9408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w:t>
            </w:r>
          </w:p>
          <w:p w14:paraId="2B1D6C3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6" w:space="0" w:color="auto"/>
              <w:right w:val="single" w:sz="6" w:space="0" w:color="auto"/>
            </w:tcBorders>
          </w:tcPr>
          <w:p w14:paraId="22CC2B8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w:t>
            </w:r>
          </w:p>
          <w:p w14:paraId="0DAFB05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9036519" w14:textId="77777777">
        <w:trPr>
          <w:trHeight w:val="278"/>
        </w:trPr>
        <w:tc>
          <w:tcPr>
            <w:tcW w:w="2093" w:type="dxa"/>
            <w:tcBorders>
              <w:top w:val="single" w:sz="6" w:space="0" w:color="auto"/>
              <w:left w:val="single" w:sz="6" w:space="0" w:color="auto"/>
              <w:bottom w:val="single" w:sz="6" w:space="0" w:color="auto"/>
              <w:right w:val="single" w:sz="6" w:space="0" w:color="auto"/>
            </w:tcBorders>
          </w:tcPr>
          <w:p w14:paraId="6B132CF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ноябрь 1 943 г.</w:t>
            </w:r>
          </w:p>
          <w:p w14:paraId="59B0CA2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single" w:sz="6" w:space="0" w:color="auto"/>
              <w:left w:val="single" w:sz="6" w:space="0" w:color="auto"/>
              <w:bottom w:val="single" w:sz="6" w:space="0" w:color="auto"/>
              <w:right w:val="single" w:sz="6" w:space="0" w:color="auto"/>
            </w:tcBorders>
          </w:tcPr>
          <w:p w14:paraId="6E47626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4397D4E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single" w:sz="6" w:space="0" w:color="auto"/>
              <w:left w:val="single" w:sz="6" w:space="0" w:color="auto"/>
              <w:bottom w:val="single" w:sz="6" w:space="0" w:color="auto"/>
              <w:right w:val="single" w:sz="6" w:space="0" w:color="auto"/>
            </w:tcBorders>
          </w:tcPr>
          <w:p w14:paraId="32CF6B9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5A5EAF1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single" w:sz="6" w:space="0" w:color="auto"/>
              <w:left w:val="single" w:sz="6" w:space="0" w:color="auto"/>
              <w:bottom w:val="single" w:sz="6" w:space="0" w:color="auto"/>
              <w:right w:val="single" w:sz="6" w:space="0" w:color="auto"/>
            </w:tcBorders>
          </w:tcPr>
          <w:p w14:paraId="7D6F99C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p w14:paraId="3D6C8A9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single" w:sz="6" w:space="0" w:color="auto"/>
              <w:left w:val="single" w:sz="6" w:space="0" w:color="auto"/>
              <w:bottom w:val="single" w:sz="6" w:space="0" w:color="auto"/>
              <w:right w:val="single" w:sz="6" w:space="0" w:color="auto"/>
            </w:tcBorders>
          </w:tcPr>
          <w:p w14:paraId="080DAE6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0FE78BD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6" w:space="0" w:color="auto"/>
              <w:right w:val="single" w:sz="6" w:space="0" w:color="auto"/>
            </w:tcBorders>
          </w:tcPr>
          <w:p w14:paraId="40EB9CD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29EC4AE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92019EB" w14:textId="77777777">
        <w:trPr>
          <w:trHeight w:val="278"/>
        </w:trPr>
        <w:tc>
          <w:tcPr>
            <w:tcW w:w="2093" w:type="dxa"/>
            <w:tcBorders>
              <w:top w:val="single" w:sz="6" w:space="0" w:color="auto"/>
              <w:left w:val="single" w:sz="6" w:space="0" w:color="auto"/>
              <w:bottom w:val="single" w:sz="6" w:space="0" w:color="auto"/>
              <w:right w:val="single" w:sz="6" w:space="0" w:color="auto"/>
            </w:tcBorders>
          </w:tcPr>
          <w:p w14:paraId="424A6BB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декабрь 1 943 г.</w:t>
            </w:r>
          </w:p>
          <w:p w14:paraId="3C131A1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single" w:sz="6" w:space="0" w:color="auto"/>
              <w:left w:val="single" w:sz="6" w:space="0" w:color="auto"/>
              <w:bottom w:val="single" w:sz="6" w:space="0" w:color="auto"/>
              <w:right w:val="single" w:sz="6" w:space="0" w:color="auto"/>
            </w:tcBorders>
          </w:tcPr>
          <w:p w14:paraId="43DC5FD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p w14:paraId="785658A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single" w:sz="6" w:space="0" w:color="auto"/>
              <w:left w:val="single" w:sz="6" w:space="0" w:color="auto"/>
              <w:bottom w:val="single" w:sz="6" w:space="0" w:color="auto"/>
              <w:right w:val="single" w:sz="6" w:space="0" w:color="auto"/>
            </w:tcBorders>
          </w:tcPr>
          <w:p w14:paraId="239407C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p w14:paraId="00FB937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single" w:sz="6" w:space="0" w:color="auto"/>
              <w:left w:val="single" w:sz="6" w:space="0" w:color="auto"/>
              <w:bottom w:val="single" w:sz="6" w:space="0" w:color="auto"/>
              <w:right w:val="single" w:sz="6" w:space="0" w:color="auto"/>
            </w:tcBorders>
          </w:tcPr>
          <w:p w14:paraId="4E5445B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w:t>
            </w:r>
          </w:p>
          <w:p w14:paraId="120289D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single" w:sz="6" w:space="0" w:color="auto"/>
              <w:left w:val="single" w:sz="6" w:space="0" w:color="auto"/>
              <w:bottom w:val="single" w:sz="6" w:space="0" w:color="auto"/>
              <w:right w:val="single" w:sz="6" w:space="0" w:color="auto"/>
            </w:tcBorders>
          </w:tcPr>
          <w:p w14:paraId="066FE48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p w14:paraId="0D9F424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6" w:space="0" w:color="auto"/>
              <w:right w:val="single" w:sz="6" w:space="0" w:color="auto"/>
            </w:tcBorders>
          </w:tcPr>
          <w:p w14:paraId="31BE3D7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p w14:paraId="6A49B7E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EBEA43C" w14:textId="77777777">
        <w:trPr>
          <w:trHeight w:val="278"/>
        </w:trPr>
        <w:tc>
          <w:tcPr>
            <w:tcW w:w="2093" w:type="dxa"/>
            <w:tcBorders>
              <w:top w:val="single" w:sz="6" w:space="0" w:color="auto"/>
              <w:left w:val="single" w:sz="6" w:space="0" w:color="auto"/>
              <w:bottom w:val="single" w:sz="6" w:space="0" w:color="auto"/>
              <w:right w:val="single" w:sz="6" w:space="0" w:color="auto"/>
            </w:tcBorders>
          </w:tcPr>
          <w:p w14:paraId="4F8F046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январь 1944 г.</w:t>
            </w:r>
          </w:p>
          <w:p w14:paraId="3CA9519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single" w:sz="6" w:space="0" w:color="auto"/>
              <w:left w:val="single" w:sz="6" w:space="0" w:color="auto"/>
              <w:bottom w:val="single" w:sz="6" w:space="0" w:color="auto"/>
              <w:right w:val="single" w:sz="6" w:space="0" w:color="auto"/>
            </w:tcBorders>
          </w:tcPr>
          <w:p w14:paraId="46ACDE9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70E3DF3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single" w:sz="6" w:space="0" w:color="auto"/>
              <w:left w:val="single" w:sz="6" w:space="0" w:color="auto"/>
              <w:bottom w:val="single" w:sz="6" w:space="0" w:color="auto"/>
              <w:right w:val="single" w:sz="6" w:space="0" w:color="auto"/>
            </w:tcBorders>
          </w:tcPr>
          <w:p w14:paraId="70F6CF5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477E1E3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single" w:sz="6" w:space="0" w:color="auto"/>
              <w:left w:val="single" w:sz="6" w:space="0" w:color="auto"/>
              <w:bottom w:val="single" w:sz="6" w:space="0" w:color="auto"/>
              <w:right w:val="single" w:sz="6" w:space="0" w:color="auto"/>
            </w:tcBorders>
          </w:tcPr>
          <w:p w14:paraId="4C591DE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p w14:paraId="11DE356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single" w:sz="6" w:space="0" w:color="auto"/>
              <w:left w:val="single" w:sz="6" w:space="0" w:color="auto"/>
              <w:bottom w:val="single" w:sz="6" w:space="0" w:color="auto"/>
              <w:right w:val="single" w:sz="6" w:space="0" w:color="auto"/>
            </w:tcBorders>
          </w:tcPr>
          <w:p w14:paraId="14B2EF7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2F9922D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6" w:space="0" w:color="auto"/>
              <w:right w:val="single" w:sz="6" w:space="0" w:color="auto"/>
            </w:tcBorders>
          </w:tcPr>
          <w:p w14:paraId="20DA429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p w14:paraId="70393BF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66ABDD2" w14:textId="77777777">
        <w:trPr>
          <w:trHeight w:val="288"/>
        </w:trPr>
        <w:tc>
          <w:tcPr>
            <w:tcW w:w="2093" w:type="dxa"/>
            <w:tcBorders>
              <w:top w:val="single" w:sz="6" w:space="0" w:color="auto"/>
              <w:left w:val="single" w:sz="6" w:space="0" w:color="auto"/>
              <w:bottom w:val="single" w:sz="6" w:space="0" w:color="auto"/>
              <w:right w:val="single" w:sz="6" w:space="0" w:color="auto"/>
            </w:tcBorders>
          </w:tcPr>
          <w:p w14:paraId="52AF777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февраль 1944 г.</w:t>
            </w:r>
          </w:p>
          <w:p w14:paraId="3087497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single" w:sz="6" w:space="0" w:color="auto"/>
              <w:left w:val="single" w:sz="6" w:space="0" w:color="auto"/>
              <w:bottom w:val="single" w:sz="6" w:space="0" w:color="auto"/>
              <w:right w:val="single" w:sz="6" w:space="0" w:color="auto"/>
            </w:tcBorders>
          </w:tcPr>
          <w:p w14:paraId="5119C19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w:t>
            </w:r>
          </w:p>
          <w:p w14:paraId="64242DD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single" w:sz="6" w:space="0" w:color="auto"/>
              <w:left w:val="single" w:sz="6" w:space="0" w:color="auto"/>
              <w:bottom w:val="single" w:sz="6" w:space="0" w:color="auto"/>
              <w:right w:val="single" w:sz="6" w:space="0" w:color="auto"/>
            </w:tcBorders>
          </w:tcPr>
          <w:p w14:paraId="5AFEB01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129</w:t>
            </w:r>
          </w:p>
          <w:p w14:paraId="77B59A1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single" w:sz="6" w:space="0" w:color="auto"/>
              <w:left w:val="single" w:sz="6" w:space="0" w:color="auto"/>
              <w:bottom w:val="single" w:sz="6" w:space="0" w:color="auto"/>
              <w:right w:val="single" w:sz="6" w:space="0" w:color="auto"/>
            </w:tcBorders>
          </w:tcPr>
          <w:p w14:paraId="0CE6939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w:t>
            </w:r>
          </w:p>
          <w:p w14:paraId="04B808B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single" w:sz="6" w:space="0" w:color="auto"/>
              <w:left w:val="single" w:sz="6" w:space="0" w:color="auto"/>
              <w:bottom w:val="single" w:sz="6" w:space="0" w:color="auto"/>
              <w:right w:val="single" w:sz="6" w:space="0" w:color="auto"/>
            </w:tcBorders>
          </w:tcPr>
          <w:p w14:paraId="2332B1D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w:t>
            </w:r>
          </w:p>
          <w:p w14:paraId="6ADE484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6" w:space="0" w:color="auto"/>
              <w:right w:val="single" w:sz="6" w:space="0" w:color="auto"/>
            </w:tcBorders>
          </w:tcPr>
          <w:p w14:paraId="6C8768D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p w14:paraId="21CED26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1800D33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Примечание: прочерк (-) означает отсутствие испытаний машин.</w:t>
      </w:r>
    </w:p>
    <w:p w14:paraId="72B2D79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Таблица поломок, по которым СУ считается невыдержавшими гарантийные испытания</w:t>
      </w:r>
    </w:p>
    <w:tbl>
      <w:tblPr>
        <w:tblW w:w="0" w:type="auto"/>
        <w:tblInd w:w="40" w:type="dxa"/>
        <w:tblLayout w:type="fixed"/>
        <w:tblCellMar>
          <w:left w:w="40" w:type="dxa"/>
          <w:right w:w="40" w:type="dxa"/>
        </w:tblCellMar>
        <w:tblLook w:val="0000" w:firstRow="0" w:lastRow="0" w:firstColumn="0" w:lastColumn="0" w:noHBand="0" w:noVBand="0"/>
      </w:tblPr>
      <w:tblGrid>
        <w:gridCol w:w="2102"/>
        <w:gridCol w:w="1114"/>
        <w:gridCol w:w="1114"/>
        <w:gridCol w:w="1114"/>
        <w:gridCol w:w="902"/>
        <w:gridCol w:w="1315"/>
      </w:tblGrid>
      <w:tr w:rsidR="005106D0" w:rsidRPr="007224C3" w14:paraId="51E74C24" w14:textId="77777777">
        <w:trPr>
          <w:trHeight w:val="269"/>
        </w:trPr>
        <w:tc>
          <w:tcPr>
            <w:tcW w:w="2102" w:type="dxa"/>
            <w:tcBorders>
              <w:top w:val="single" w:sz="6" w:space="0" w:color="auto"/>
              <w:left w:val="single" w:sz="6" w:space="0" w:color="auto"/>
              <w:bottom w:val="nil"/>
              <w:right w:val="single" w:sz="6" w:space="0" w:color="auto"/>
            </w:tcBorders>
          </w:tcPr>
          <w:p w14:paraId="52059F0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Периоды испытаний на гарантийный километраж</w:t>
            </w:r>
          </w:p>
          <w:p w14:paraId="3CB3EF2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59" w:type="dxa"/>
            <w:gridSpan w:val="5"/>
            <w:tcBorders>
              <w:top w:val="single" w:sz="6" w:space="0" w:color="auto"/>
              <w:left w:val="single" w:sz="6" w:space="0" w:color="auto"/>
              <w:bottom w:val="single" w:sz="6" w:space="0" w:color="auto"/>
              <w:right w:val="single" w:sz="6" w:space="0" w:color="auto"/>
            </w:tcBorders>
          </w:tcPr>
          <w:p w14:paraId="5DEB33F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Заводы изготовители и тип СУ</w:t>
            </w:r>
          </w:p>
          <w:p w14:paraId="2335616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AA9D701" w14:textId="77777777">
        <w:trPr>
          <w:trHeight w:val="269"/>
        </w:trPr>
        <w:tc>
          <w:tcPr>
            <w:tcW w:w="2102" w:type="dxa"/>
            <w:tcBorders>
              <w:top w:val="nil"/>
              <w:left w:val="single" w:sz="6" w:space="0" w:color="auto"/>
              <w:bottom w:val="nil"/>
              <w:right w:val="single" w:sz="6" w:space="0" w:color="auto"/>
            </w:tcBorders>
          </w:tcPr>
          <w:p w14:paraId="3160EE1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E9B19E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3342" w:type="dxa"/>
            <w:gridSpan w:val="3"/>
            <w:tcBorders>
              <w:top w:val="single" w:sz="6" w:space="0" w:color="auto"/>
              <w:left w:val="single" w:sz="6" w:space="0" w:color="auto"/>
              <w:bottom w:val="single" w:sz="6" w:space="0" w:color="auto"/>
              <w:right w:val="single" w:sz="6" w:space="0" w:color="auto"/>
            </w:tcBorders>
          </w:tcPr>
          <w:p w14:paraId="4F3ED26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СУ-76</w:t>
            </w:r>
          </w:p>
          <w:p w14:paraId="381A4E2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nil"/>
              <w:right w:val="single" w:sz="6" w:space="0" w:color="auto"/>
            </w:tcBorders>
          </w:tcPr>
          <w:p w14:paraId="6435D3E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СУ-85 УЗТМ</w:t>
            </w:r>
          </w:p>
          <w:p w14:paraId="000E868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single" w:sz="6" w:space="0" w:color="auto"/>
              <w:left w:val="single" w:sz="6" w:space="0" w:color="auto"/>
              <w:bottom w:val="nil"/>
              <w:right w:val="single" w:sz="6" w:space="0" w:color="auto"/>
            </w:tcBorders>
          </w:tcPr>
          <w:p w14:paraId="484AD0F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СУ-152ИСУ-152 Кировский завод</w:t>
            </w:r>
          </w:p>
          <w:p w14:paraId="793E6B5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66E2659" w14:textId="77777777">
        <w:trPr>
          <w:trHeight w:val="259"/>
        </w:trPr>
        <w:tc>
          <w:tcPr>
            <w:tcW w:w="2102" w:type="dxa"/>
            <w:tcBorders>
              <w:top w:val="nil"/>
              <w:left w:val="single" w:sz="6" w:space="0" w:color="auto"/>
              <w:bottom w:val="nil"/>
              <w:right w:val="single" w:sz="6" w:space="0" w:color="auto"/>
            </w:tcBorders>
          </w:tcPr>
          <w:p w14:paraId="10AA23E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A2FDC8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6" w:space="0" w:color="auto"/>
              <w:right w:val="single" w:sz="6" w:space="0" w:color="auto"/>
            </w:tcBorders>
          </w:tcPr>
          <w:p w14:paraId="492D480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3-д №38</w:t>
            </w:r>
          </w:p>
          <w:p w14:paraId="6930BB2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6" w:space="0" w:color="auto"/>
              <w:right w:val="nil"/>
            </w:tcBorders>
          </w:tcPr>
          <w:p w14:paraId="0D8806F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3-д №40</w:t>
            </w:r>
          </w:p>
          <w:p w14:paraId="367FA54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Borders>
              <w:top w:val="single" w:sz="6" w:space="0" w:color="auto"/>
              <w:left w:val="nil"/>
              <w:bottom w:val="single" w:sz="6" w:space="0" w:color="auto"/>
              <w:right w:val="single" w:sz="6" w:space="0" w:color="auto"/>
            </w:tcBorders>
          </w:tcPr>
          <w:p w14:paraId="59F5023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ГАЗ</w:t>
            </w:r>
          </w:p>
          <w:p w14:paraId="2763CFC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nil"/>
              <w:left w:val="single" w:sz="6" w:space="0" w:color="auto"/>
              <w:bottom w:val="single" w:sz="6" w:space="0" w:color="auto"/>
              <w:right w:val="single" w:sz="6" w:space="0" w:color="auto"/>
            </w:tcBorders>
          </w:tcPr>
          <w:p w14:paraId="3B25E0A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29243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nil"/>
              <w:left w:val="single" w:sz="6" w:space="0" w:color="auto"/>
              <w:bottom w:val="single" w:sz="6" w:space="0" w:color="auto"/>
              <w:right w:val="single" w:sz="6" w:space="0" w:color="auto"/>
            </w:tcBorders>
          </w:tcPr>
          <w:p w14:paraId="405F23E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CF036A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6C6F9DB" w14:textId="77777777">
        <w:trPr>
          <w:trHeight w:val="259"/>
        </w:trPr>
        <w:tc>
          <w:tcPr>
            <w:tcW w:w="2102" w:type="dxa"/>
            <w:tcBorders>
              <w:top w:val="nil"/>
              <w:left w:val="single" w:sz="6" w:space="0" w:color="auto"/>
              <w:bottom w:val="single" w:sz="6" w:space="0" w:color="auto"/>
              <w:right w:val="single" w:sz="6" w:space="0" w:color="auto"/>
            </w:tcBorders>
          </w:tcPr>
          <w:p w14:paraId="0AC1F13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D4F660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5559" w:type="dxa"/>
            <w:gridSpan w:val="5"/>
            <w:tcBorders>
              <w:top w:val="single" w:sz="6" w:space="0" w:color="auto"/>
              <w:left w:val="single" w:sz="6" w:space="0" w:color="auto"/>
              <w:bottom w:val="single" w:sz="6" w:space="0" w:color="auto"/>
              <w:right w:val="single" w:sz="6" w:space="0" w:color="auto"/>
            </w:tcBorders>
          </w:tcPr>
          <w:p w14:paraId="7A0A0A5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Количество поломок</w:t>
            </w:r>
          </w:p>
          <w:p w14:paraId="6E3B5F6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8923859" w14:textId="77777777">
        <w:trPr>
          <w:trHeight w:val="278"/>
        </w:trPr>
        <w:tc>
          <w:tcPr>
            <w:tcW w:w="2102" w:type="dxa"/>
            <w:tcBorders>
              <w:top w:val="single" w:sz="6" w:space="0" w:color="auto"/>
              <w:left w:val="single" w:sz="6" w:space="0" w:color="auto"/>
              <w:bottom w:val="single" w:sz="6" w:space="0" w:color="auto"/>
              <w:right w:val="single" w:sz="6" w:space="0" w:color="auto"/>
            </w:tcBorders>
          </w:tcPr>
          <w:p w14:paraId="4A6C3CD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сентябрь 1943 г.</w:t>
            </w:r>
          </w:p>
          <w:p w14:paraId="356809A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6" w:space="0" w:color="auto"/>
              <w:right w:val="single" w:sz="6" w:space="0" w:color="auto"/>
            </w:tcBorders>
          </w:tcPr>
          <w:p w14:paraId="7347594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1339048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6" w:space="0" w:color="auto"/>
              <w:right w:val="single" w:sz="6" w:space="0" w:color="auto"/>
            </w:tcBorders>
          </w:tcPr>
          <w:p w14:paraId="0D6FCC7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p w14:paraId="1503E32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6" w:space="0" w:color="auto"/>
              <w:right w:val="single" w:sz="6" w:space="0" w:color="auto"/>
            </w:tcBorders>
          </w:tcPr>
          <w:p w14:paraId="512CF9B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45740EE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106CD40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3A0F63D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7B7611A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7B8F6E9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F934E75" w14:textId="77777777">
        <w:trPr>
          <w:trHeight w:val="278"/>
        </w:trPr>
        <w:tc>
          <w:tcPr>
            <w:tcW w:w="2102" w:type="dxa"/>
            <w:tcBorders>
              <w:top w:val="single" w:sz="6" w:space="0" w:color="auto"/>
              <w:left w:val="single" w:sz="6" w:space="0" w:color="auto"/>
              <w:bottom w:val="single" w:sz="6" w:space="0" w:color="auto"/>
              <w:right w:val="single" w:sz="6" w:space="0" w:color="auto"/>
            </w:tcBorders>
          </w:tcPr>
          <w:p w14:paraId="2C888FA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октябрь 1943 г.</w:t>
            </w:r>
          </w:p>
          <w:p w14:paraId="0DFC44B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6" w:space="0" w:color="auto"/>
              <w:right w:val="single" w:sz="6" w:space="0" w:color="auto"/>
            </w:tcBorders>
          </w:tcPr>
          <w:p w14:paraId="21E5507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p w14:paraId="754D98B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6" w:space="0" w:color="auto"/>
              <w:right w:val="single" w:sz="6" w:space="0" w:color="auto"/>
            </w:tcBorders>
          </w:tcPr>
          <w:p w14:paraId="3CE94F8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5D9C787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6" w:space="0" w:color="auto"/>
              <w:right w:val="single" w:sz="6" w:space="0" w:color="auto"/>
            </w:tcBorders>
          </w:tcPr>
          <w:p w14:paraId="56C603D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058EE33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55AF9C1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w:t>
            </w:r>
          </w:p>
          <w:p w14:paraId="4D03A91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2079F06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w:t>
            </w:r>
          </w:p>
          <w:p w14:paraId="0108899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047B1F2" w14:textId="77777777">
        <w:trPr>
          <w:trHeight w:val="278"/>
        </w:trPr>
        <w:tc>
          <w:tcPr>
            <w:tcW w:w="2102" w:type="dxa"/>
            <w:tcBorders>
              <w:top w:val="single" w:sz="6" w:space="0" w:color="auto"/>
              <w:left w:val="single" w:sz="6" w:space="0" w:color="auto"/>
              <w:bottom w:val="single" w:sz="6" w:space="0" w:color="auto"/>
              <w:right w:val="single" w:sz="6" w:space="0" w:color="auto"/>
            </w:tcBorders>
          </w:tcPr>
          <w:p w14:paraId="1135A7D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ноябрь 1 943 г.</w:t>
            </w:r>
          </w:p>
          <w:p w14:paraId="5275818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6" w:space="0" w:color="auto"/>
              <w:right w:val="single" w:sz="6" w:space="0" w:color="auto"/>
            </w:tcBorders>
          </w:tcPr>
          <w:p w14:paraId="00F80E3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4746F1F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6" w:space="0" w:color="auto"/>
              <w:right w:val="single" w:sz="6" w:space="0" w:color="auto"/>
            </w:tcBorders>
          </w:tcPr>
          <w:p w14:paraId="07BE106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218781F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6" w:space="0" w:color="auto"/>
              <w:right w:val="single" w:sz="6" w:space="0" w:color="auto"/>
            </w:tcBorders>
          </w:tcPr>
          <w:p w14:paraId="66922FC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p w14:paraId="113EFA7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81AC08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7557ED9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4942230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0945A7E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5B3D967" w14:textId="77777777">
        <w:trPr>
          <w:trHeight w:val="269"/>
        </w:trPr>
        <w:tc>
          <w:tcPr>
            <w:tcW w:w="2102" w:type="dxa"/>
            <w:tcBorders>
              <w:top w:val="single" w:sz="6" w:space="0" w:color="auto"/>
              <w:left w:val="single" w:sz="6" w:space="0" w:color="auto"/>
              <w:bottom w:val="single" w:sz="6" w:space="0" w:color="auto"/>
              <w:right w:val="single" w:sz="6" w:space="0" w:color="auto"/>
            </w:tcBorders>
          </w:tcPr>
          <w:p w14:paraId="6982670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декабрь 1943 г.</w:t>
            </w:r>
          </w:p>
          <w:p w14:paraId="4AB6864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6" w:space="0" w:color="auto"/>
              <w:right w:val="single" w:sz="6" w:space="0" w:color="auto"/>
            </w:tcBorders>
          </w:tcPr>
          <w:p w14:paraId="57492CE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w:t>
            </w:r>
          </w:p>
          <w:p w14:paraId="2D4B6F3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6" w:space="0" w:color="auto"/>
              <w:right w:val="single" w:sz="6" w:space="0" w:color="auto"/>
            </w:tcBorders>
          </w:tcPr>
          <w:p w14:paraId="41F70CD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p w14:paraId="3DB3745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6" w:space="0" w:color="auto"/>
              <w:right w:val="single" w:sz="6" w:space="0" w:color="auto"/>
            </w:tcBorders>
          </w:tcPr>
          <w:p w14:paraId="2883BD5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w:t>
            </w:r>
          </w:p>
          <w:p w14:paraId="6104B81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D16DDE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r w:rsidRPr="007224C3">
              <w:rPr>
                <w:rFonts w:ascii="Times New Roman" w:hAnsi="Times New Roman"/>
                <w:color w:val="000000" w:themeColor="text1"/>
                <w:sz w:val="16"/>
                <w:szCs w:val="16"/>
                <w:vertAlign w:val="superscript"/>
              </w:rPr>
              <w:t>Ч</w:t>
            </w:r>
            <w:r w:rsidRPr="007224C3">
              <w:rPr>
                <w:rFonts w:ascii="Times New Roman" w:hAnsi="Times New Roman"/>
                <w:color w:val="000000" w:themeColor="text1"/>
                <w:sz w:val="16"/>
                <w:szCs w:val="16"/>
              </w:rPr>
              <w:t>&gt;</w:t>
            </w:r>
          </w:p>
          <w:p w14:paraId="414C1D2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2006E4B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4380226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6B474D4" w14:textId="77777777">
        <w:trPr>
          <w:trHeight w:val="278"/>
        </w:trPr>
        <w:tc>
          <w:tcPr>
            <w:tcW w:w="2102" w:type="dxa"/>
            <w:tcBorders>
              <w:top w:val="single" w:sz="6" w:space="0" w:color="auto"/>
              <w:left w:val="single" w:sz="6" w:space="0" w:color="auto"/>
              <w:bottom w:val="single" w:sz="6" w:space="0" w:color="auto"/>
              <w:right w:val="single" w:sz="6" w:space="0" w:color="auto"/>
            </w:tcBorders>
          </w:tcPr>
          <w:p w14:paraId="7FA8090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январь 1944 г.</w:t>
            </w:r>
          </w:p>
          <w:p w14:paraId="6C70203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6" w:space="0" w:color="auto"/>
              <w:right w:val="single" w:sz="6" w:space="0" w:color="auto"/>
            </w:tcBorders>
          </w:tcPr>
          <w:p w14:paraId="2491F9B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0F25997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6" w:space="0" w:color="auto"/>
              <w:right w:val="single" w:sz="6" w:space="0" w:color="auto"/>
            </w:tcBorders>
          </w:tcPr>
          <w:p w14:paraId="307CC4E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3D9B33A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6" w:space="0" w:color="auto"/>
              <w:right w:val="single" w:sz="6" w:space="0" w:color="auto"/>
            </w:tcBorders>
          </w:tcPr>
          <w:p w14:paraId="061A588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w:t>
            </w:r>
          </w:p>
          <w:p w14:paraId="3BC3F7D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808763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27ABAD7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002987E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p w14:paraId="544F066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01FA745" w14:textId="77777777">
        <w:trPr>
          <w:trHeight w:val="298"/>
        </w:trPr>
        <w:tc>
          <w:tcPr>
            <w:tcW w:w="2102" w:type="dxa"/>
            <w:tcBorders>
              <w:top w:val="single" w:sz="6" w:space="0" w:color="auto"/>
              <w:left w:val="single" w:sz="6" w:space="0" w:color="auto"/>
              <w:bottom w:val="single" w:sz="6" w:space="0" w:color="auto"/>
              <w:right w:val="single" w:sz="6" w:space="0" w:color="auto"/>
            </w:tcBorders>
          </w:tcPr>
          <w:p w14:paraId="03F2DD1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февраль 1944 г.</w:t>
            </w:r>
          </w:p>
          <w:p w14:paraId="1718300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6" w:space="0" w:color="auto"/>
              <w:right w:val="single" w:sz="6" w:space="0" w:color="auto"/>
            </w:tcBorders>
          </w:tcPr>
          <w:p w14:paraId="15F7DF6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p w14:paraId="614332B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6" w:space="0" w:color="auto"/>
              <w:right w:val="single" w:sz="6" w:space="0" w:color="auto"/>
            </w:tcBorders>
          </w:tcPr>
          <w:p w14:paraId="69FE43D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w:t>
            </w:r>
          </w:p>
          <w:p w14:paraId="5A7D7E5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6" w:space="0" w:color="auto"/>
              <w:right w:val="single" w:sz="6" w:space="0" w:color="auto"/>
            </w:tcBorders>
          </w:tcPr>
          <w:p w14:paraId="1B65F89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w:t>
            </w:r>
          </w:p>
          <w:p w14:paraId="31FEE99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1B54F25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24E0F5C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6542944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p w14:paraId="463F940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960AEC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vertAlign w:val="superscript"/>
        </w:rPr>
        <w:t>х</w:t>
      </w:r>
      <w:r w:rsidRPr="007224C3">
        <w:rPr>
          <w:rFonts w:ascii="Times New Roman" w:hAnsi="Times New Roman"/>
          <w:color w:val="000000" w:themeColor="text1"/>
          <w:sz w:val="16"/>
          <w:szCs w:val="16"/>
        </w:rPr>
        <w:t>' Кроме того, у СУ-85 выявлен увеличенный люфт в поворотном механизме пушек. Характер поломок в самоходных арт. установках прошедших гарантийные испытания в феврале месяце 1944 года на НИБТ полигоне следующий:</w:t>
      </w:r>
    </w:p>
    <w:p w14:paraId="7D1EB2C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 числа 5 шт. СУ-76 не выдержавших испытания вышли из строя по:</w:t>
      </w:r>
    </w:p>
    <w:p w14:paraId="1DBE7BD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электрооборудованию - 1,</w:t>
      </w:r>
    </w:p>
    <w:p w14:paraId="2FA22D2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трансмиссии - 2,</w:t>
      </w:r>
    </w:p>
    <w:p w14:paraId="7BAA9AD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ходовой части - 2.</w:t>
      </w:r>
    </w:p>
    <w:p w14:paraId="5B02FEF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Обе ИСУ-152 не выдержали испытания по ходовой части.</w:t>
      </w:r>
    </w:p>
    <w:p w14:paraId="1CFD753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испытании на 200 и 300 км не выдержали испытания:</w:t>
      </w:r>
    </w:p>
    <w:p w14:paraId="4285E2F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СУ-76 (из 16 испытанных):</w:t>
      </w:r>
    </w:p>
    <w:p w14:paraId="25611BD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p w14:paraId="1975AF1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2. 1.</w:t>
      </w:r>
    </w:p>
    <w:p w14:paraId="52CBEB9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бронекорпусу —</w:t>
      </w:r>
    </w:p>
    <w:p w14:paraId="7419C39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коробке перемены передач —</w:t>
      </w:r>
    </w:p>
    <w:p w14:paraId="1B71597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двигателю —</w:t>
      </w:r>
    </w:p>
    <w:p w14:paraId="6682DDF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ИСУ-152 (из 3-х испытанных):</w:t>
      </w:r>
    </w:p>
    <w:p w14:paraId="458A002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двигателю и ходовой части —</w:t>
      </w:r>
    </w:p>
    <w:p w14:paraId="5A33E30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p w14:paraId="139A6D9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Поломки механизмов прошедшие при гарантийных испытаниях (на 1000 км). Самоходная установка ИСУ-152.</w:t>
      </w:r>
    </w:p>
    <w:p w14:paraId="266B546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Ходовая часть — разрушение щеки кривошипа правого направляющего колеса (у одной СУ на 51 км у другой — на 165 км).</w:t>
      </w:r>
    </w:p>
    <w:p w14:paraId="7E92F59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Разрушение торсиона правого переднего опорного катка и проушины малой тормозной ленты — 1 случай.</w:t>
      </w:r>
    </w:p>
    <w:p w14:paraId="66E4CF2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Двигатель — попадание воды в цилиндры двигателя — 1 случай. Самоходная арт. установка СУ-76.</w:t>
      </w:r>
    </w:p>
    <w:p w14:paraId="72EC5D5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Электрооборудование — поломка дистрибьютора, вследствие установки бракованной детали (нет заклепочного соединения).</w:t>
      </w:r>
    </w:p>
    <w:p w14:paraId="70C5BFB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Трансмиссия — поломка чашки соединительной муфты, вследствие неправильной центровки двигателя и коробкой перемены передач и поломка хвостиков ведущей шестерни главной передачи.</w:t>
      </w:r>
    </w:p>
    <w:p w14:paraId="6D5821D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Ходовая часть — поломка торсионного вала, вследствие пережога металла при нагреве перед высадкой концов.</w:t>
      </w:r>
    </w:p>
    <w:p w14:paraId="69176A5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Поломки и дефекты самоходных арт. установок, происшедшие при испытании на 300 и 200 кило</w:t>
      </w:r>
      <w:r w:rsidRPr="007224C3">
        <w:rPr>
          <w:rFonts w:ascii="Times New Roman" w:hAnsi="Times New Roman"/>
          <w:color w:val="000000" w:themeColor="text1"/>
          <w:sz w:val="16"/>
          <w:szCs w:val="16"/>
        </w:rPr>
        <w:softHyphen/>
        <w:t>метров.</w:t>
      </w:r>
    </w:p>
    <w:p w14:paraId="42580DE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Самоходная арт. установка ИСУ-152.</w:t>
      </w:r>
    </w:p>
    <w:p w14:paraId="4719755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Поломка кривошипа ленивца.</w:t>
      </w:r>
    </w:p>
    <w:p w14:paraId="36B8379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Пробита прокладка головки блока двигателя.</w:t>
      </w:r>
    </w:p>
    <w:p w14:paraId="54398EA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Складывание цементированного слоя шестерен задней передачи коробки перемены передач.</w:t>
      </w:r>
    </w:p>
    <w:p w14:paraId="3F22344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Разрушение сепаратора подшипника планетарного механизма поворота.</w:t>
      </w:r>
    </w:p>
    <w:p w14:paraId="1E3C1D3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Ослабление гаек на ведущих валах редукторов.</w:t>
      </w:r>
    </w:p>
    <w:p w14:paraId="0339EB9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Разбит подшипник первого левого опорного катка.</w:t>
      </w:r>
    </w:p>
    <w:p w14:paraId="601028E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Ослабление крепления главного фрикциона.</w:t>
      </w:r>
    </w:p>
    <w:p w14:paraId="66FDAAA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Самоходная арт. установка СУ-85.</w:t>
      </w:r>
    </w:p>
    <w:p w14:paraId="2C88311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Одна СУ-85 вышла из строя, вследствие подсоса воздуха в соединения АМ подводящего штуцера БНК, в результате чего мотор работал с перебоями и глох.</w:t>
      </w:r>
    </w:p>
    <w:p w14:paraId="7FCF2AB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Самоходная арт. установка СУ-76.</w:t>
      </w:r>
    </w:p>
    <w:p w14:paraId="49A5E07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Испытания СУ-76 показали низкое качество коробок перемены передач, двигателей и электро</w:t>
      </w:r>
      <w:r w:rsidRPr="007224C3">
        <w:rPr>
          <w:rFonts w:ascii="Times New Roman" w:hAnsi="Times New Roman"/>
          <w:color w:val="000000" w:themeColor="text1"/>
          <w:sz w:val="16"/>
          <w:szCs w:val="16"/>
        </w:rPr>
        <w:softHyphen/>
        <w:t>оборудования.</w:t>
      </w:r>
    </w:p>
    <w:p w14:paraId="7BA1A53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Дефекты монтажа вооружения</w:t>
      </w:r>
    </w:p>
    <w:p w14:paraId="034C740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ИСУ-152 - не заполнены до нормы противооткатные устройства гаубицы — пушки в резуль</w:t>
      </w:r>
      <w:r w:rsidRPr="007224C3">
        <w:rPr>
          <w:rFonts w:ascii="Times New Roman" w:hAnsi="Times New Roman"/>
          <w:color w:val="000000" w:themeColor="text1"/>
          <w:sz w:val="16"/>
          <w:szCs w:val="16"/>
        </w:rPr>
        <w:softHyphen/>
        <w:t>тате чего сорвало указатель отката при выстреле.</w:t>
      </w:r>
    </w:p>
    <w:p w14:paraId="270C990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СУ-85 - увеличение усилий на маховиках механизмов наведения, вследствие разбалтывания системы при движении без стопора по-походному.</w:t>
      </w:r>
    </w:p>
    <w:p w14:paraId="29582D0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Выводы:</w:t>
      </w:r>
    </w:p>
    <w:p w14:paraId="36C4B4A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Если по танкам после постановления ГОКО заметно улучшилось качество, то по самоходным артиллерийским установкам оно остается на прежнем уровне, особенно НКСМ, не предпринимает мер к улучшению производства СУ-76.</w:t>
      </w:r>
    </w:p>
    <w:p w14:paraId="3352F9E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результате этого наибольшее количество дефектов оказалось в самоходных арт. установках, изготовленных заводами ГАЗ им. Молотова, №40 (СУ-76) и Кировского завода (ИСУ-152).</w:t>
      </w:r>
    </w:p>
    <w:p w14:paraId="114901B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Основными причинами низкого качества СУ-76 оказались:</w:t>
      </w:r>
    </w:p>
    <w:p w14:paraId="38D355D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низкое качество монтажа;</w:t>
      </w:r>
    </w:p>
    <w:p w14:paraId="1E91183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пропуск на сборку бракованных деталей;</w:t>
      </w:r>
    </w:p>
    <w:p w14:paraId="3F599F5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низкое качество термообработки и сварки.</w:t>
      </w:r>
    </w:p>
    <w:p w14:paraId="6C418A8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Основными причинами низкого качества ИСУ — 152 оказались:</w:t>
      </w:r>
    </w:p>
    <w:p w14:paraId="296CBF1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дефекты в изготовлении деталей механизмов;</w:t>
      </w:r>
    </w:p>
    <w:p w14:paraId="4BEC22B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конструктивная недоработка отдельных узлов;</w:t>
      </w:r>
    </w:p>
    <w:p w14:paraId="3CFD5B6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отсутствие надлежащего контроля в производстве за качеством металла и сборкой арт. уста</w:t>
      </w:r>
      <w:r w:rsidRPr="007224C3">
        <w:rPr>
          <w:rFonts w:ascii="Times New Roman" w:hAnsi="Times New Roman"/>
          <w:color w:val="000000" w:themeColor="text1"/>
          <w:sz w:val="16"/>
          <w:szCs w:val="16"/>
        </w:rPr>
        <w:softHyphen/>
        <w:t>новки.</w:t>
      </w:r>
    </w:p>
    <w:p w14:paraId="5EA8D88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поднятия качества самоходных арт. установок, необходимо обязать Наркоматы и заводы провести мероприятия по улучшению качества изготовления агрегатов и механизмов, конструктив</w:t>
      </w:r>
      <w:r w:rsidRPr="007224C3">
        <w:rPr>
          <w:rFonts w:ascii="Times New Roman" w:hAnsi="Times New Roman"/>
          <w:color w:val="000000" w:themeColor="text1"/>
          <w:sz w:val="16"/>
          <w:szCs w:val="16"/>
        </w:rPr>
        <w:softHyphen/>
        <w:t>ной доработке слабых узлов, усилению контроля за качеством изготовления деталей и сборки СУ, а также по улучшению технологии производства.</w:t>
      </w:r>
    </w:p>
    <w:p w14:paraId="0E87D03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Прошу Вас поставить вопрос перед ГОКО о следующем:</w:t>
      </w:r>
    </w:p>
    <w:p w14:paraId="0B4CB78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Обязать Народного комиссара танковой промышленности т. Малышева и Народного комис</w:t>
      </w:r>
      <w:r w:rsidRPr="007224C3">
        <w:rPr>
          <w:rFonts w:ascii="Times New Roman" w:hAnsi="Times New Roman"/>
          <w:color w:val="000000" w:themeColor="text1"/>
          <w:sz w:val="16"/>
          <w:szCs w:val="16"/>
        </w:rPr>
        <w:softHyphen/>
        <w:t>сара среднего машиностроения т. Акопова:</w:t>
      </w:r>
    </w:p>
    <w:p w14:paraId="1928E00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привлечь к ответственности лиц, допускающих брак. Решительно взяться за улучшение каче</w:t>
      </w:r>
      <w:r w:rsidRPr="007224C3">
        <w:rPr>
          <w:rFonts w:ascii="Times New Roman" w:hAnsi="Times New Roman"/>
          <w:color w:val="000000" w:themeColor="text1"/>
          <w:sz w:val="16"/>
          <w:szCs w:val="16"/>
        </w:rPr>
        <w:softHyphen/>
        <w:t>ства производства;</w:t>
      </w:r>
    </w:p>
    <w:p w14:paraId="5027324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повысить качество изготовления и монтажа танков и самоходных арт. установок, особо обра</w:t>
      </w:r>
      <w:r w:rsidRPr="007224C3">
        <w:rPr>
          <w:rFonts w:ascii="Times New Roman" w:hAnsi="Times New Roman"/>
          <w:color w:val="000000" w:themeColor="text1"/>
          <w:sz w:val="16"/>
          <w:szCs w:val="16"/>
        </w:rPr>
        <w:softHyphen/>
        <w:t>тив внимание на низкое качество дизель-моторов В-2 , двигателей ГАЗ-203 и коробок перемены передач СУ-76 поставляемых Миасским заводом;</w:t>
      </w:r>
    </w:p>
    <w:p w14:paraId="0AC191F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создать, для ускорения восстановления танков, самоходных арт. установок, вышедших из строя по вине заводов изготовителей, при каждом фронтовом складе, в распоряжении главного инспектора Наркомата, рекламационный фонд запчастей и агрегатов.</w:t>
      </w:r>
    </w:p>
    <w:p w14:paraId="3F084F1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Установить максимальный срок для восстановления рекламированного танка, самоходной арт. установки - 5 суток.</w:t>
      </w:r>
    </w:p>
    <w:p w14:paraId="3CD0352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Восстановить, для танков и самоходных арт. установок гарантийный километраж 1500-2000 км, так как установленный гарантийный километраж 1000 км недостаточен и значительно сокраща</w:t>
      </w:r>
      <w:r w:rsidRPr="007224C3">
        <w:rPr>
          <w:rFonts w:ascii="Times New Roman" w:hAnsi="Times New Roman"/>
          <w:color w:val="000000" w:themeColor="text1"/>
          <w:sz w:val="16"/>
          <w:szCs w:val="16"/>
        </w:rPr>
        <w:softHyphen/>
        <w:t>ет дальность действия танковых войск.</w:t>
      </w:r>
    </w:p>
    <w:p w14:paraId="1A94BBD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С целью повышения ответственности за качество танков и самоходных арт. установок установить, что в том случае, когда танк и самоходная установка не выдерживает гарантийного испытания - они в план заводу не засчитываются, при этом все расходы по проведению испытания и стоимость машин относятся за счет завода. Завод-поставщик обязан в этом случае представить ГБТУ КА на гарантийные испытания следующие машины выпуска того же месяца.</w:t>
      </w:r>
    </w:p>
    <w:p w14:paraId="56F60AC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Обязать НКТП (т. Малышева), НКСМ (т. Акопова) и директоров заводов, изготовить и сдать ГБТУ КА до 1.04.1944 г. танки и самоходные арт. установки взамен тех, которые не выдержали гаран</w:t>
      </w:r>
      <w:r w:rsidRPr="007224C3">
        <w:rPr>
          <w:rFonts w:ascii="Times New Roman" w:hAnsi="Times New Roman"/>
          <w:color w:val="000000" w:themeColor="text1"/>
          <w:sz w:val="16"/>
          <w:szCs w:val="16"/>
        </w:rPr>
        <w:softHyphen/>
        <w:t>тийные испытания в I квартале 1944 года, а именно:</w:t>
      </w:r>
    </w:p>
    <w:p w14:paraId="38095E6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№183 танк Т-34 - 1 шт.</w:t>
      </w:r>
    </w:p>
    <w:p w14:paraId="5A782A0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№112 танк Т-34 - 1 шт.</w:t>
      </w:r>
    </w:p>
    <w:p w14:paraId="4EF2263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№174 танк Т-34 -2шт.</w:t>
      </w:r>
    </w:p>
    <w:p w14:paraId="3AB1D31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Кировский завод ИС-2 - 2 шт.</w:t>
      </w:r>
    </w:p>
    <w:p w14:paraId="52FD016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Кировский самоходная арт. установка - 2 шт.</w:t>
      </w:r>
    </w:p>
    <w:p w14:paraId="4F2B047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№38 танк СУ-76 - 1 шт.</w:t>
      </w:r>
    </w:p>
    <w:p w14:paraId="4057FAD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№40 танк СУ-76 - 2 шт.</w:t>
      </w:r>
    </w:p>
    <w:p w14:paraId="0A3FC6C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ГАЗ танк СУ-76 - 2 шт.</w:t>
      </w:r>
    </w:p>
    <w:p w14:paraId="4BB8A51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ГБТУ КА генерал-лейтенант танковых войск Вершинин</w:t>
      </w:r>
    </w:p>
    <w:p w14:paraId="05A342E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танкового управления ГБТУ КА генерал-майор инженерно-танковой службы Афонин</w:t>
      </w:r>
    </w:p>
    <w:p w14:paraId="634B151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управления самоходной артиллерии ГБТУ КА генерал-майор инженерно-танковой службы Алымов</w:t>
      </w:r>
    </w:p>
    <w:p w14:paraId="5275573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ЦАМО. Ф. 38. Оп. 11389. Д. 18. Л. 15-25. Подлинник (11403).</w:t>
      </w:r>
    </w:p>
    <w:p w14:paraId="7A9FD1D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41FE6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марта 1944 вышло РАСПОРЯЖЕНИЕ НАЧАЛЬНИКА УЭТ ГБТУ КА НАЧАЛЬНИКУ НИБТ ПОЛИГОНА О ПРОИЗВЕДЕНИИ ДОПОЛНИТЕЛЬНОГО ИСПЫТАНИЯ ГЛИНЫ ДЛЯ ОБМАЗКИ ТАНКОВ №152</w:t>
      </w:r>
    </w:p>
    <w:p w14:paraId="5ECA3C7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Прошу произвести дополнительное испытание глины для обмазки танков на предмет стойкости и защиты машин, от действия зажигательных жидкостей. Заключение прошу представить к 1 апреля с.г.</w:t>
      </w:r>
    </w:p>
    <w:p w14:paraId="0F7F7DA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УЭТ ГБТУ КА генерал-майор инженерно-танковой службы Печеникин</w:t>
      </w:r>
    </w:p>
    <w:p w14:paraId="290414E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38. Оп. 11362. Д. 112. Л. 17. Копия (11403).</w:t>
      </w:r>
    </w:p>
    <w:p w14:paraId="1CA2ECB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5EDEB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марта 1944 г. была подготовлена ДОКЛАДНАЯ ЗАПИСКА КОМАНДУЮЩЕГО БТ и МВ КА НАРОДНОМУ КОМИССАРУ ВНЕШНЕЙ ТОРГОВЛИ СССР А.И. МИКОЯНУ О ПОСТАВКАХ ИМПОРТНОЙ БРОНЕТЕХНИКИ №521388</w:t>
      </w:r>
    </w:p>
    <w:p w14:paraId="1F924CC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данное время в Советский Союз поступают из-за границы импортные танки и самоходные артиллерийские установки следующих марок:</w:t>
      </w:r>
    </w:p>
    <w:p w14:paraId="4A990AC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Американские танки М4А2.</w:t>
      </w:r>
    </w:p>
    <w:p w14:paraId="6C40020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Американские ремонтные танки Т-2, на шасси танка М-3 среднего.</w:t>
      </w:r>
    </w:p>
    <w:p w14:paraId="6E9AE98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Английские танки «Валентин» 3, 5, 7, и 10.</w:t>
      </w:r>
    </w:p>
    <w:p w14:paraId="47FD232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Американские самоходные установки М-10.</w:t>
      </w:r>
    </w:p>
    <w:p w14:paraId="5539690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Общее количество ввозимых танков очень мало. По своим боевым качествам они уступают нашим танкам, особенно по броне и вооружению.</w:t>
      </w:r>
    </w:p>
    <w:p w14:paraId="167FFD2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Кроме того, количество средних танков все уменьшается, в то время как количество легких тан</w:t>
      </w:r>
      <w:r w:rsidRPr="007224C3">
        <w:rPr>
          <w:rFonts w:ascii="Times New Roman" w:hAnsi="Times New Roman"/>
          <w:color w:val="000000" w:themeColor="text1"/>
          <w:sz w:val="16"/>
          <w:szCs w:val="16"/>
        </w:rPr>
        <w:softHyphen/>
        <w:t>ков увеличивается.</w:t>
      </w:r>
    </w:p>
    <w:p w14:paraId="47207EF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Это подтверждается следующими данными:</w:t>
      </w:r>
    </w:p>
    <w:p w14:paraId="44B2A3F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В 1942 году было ввезено:</w:t>
      </w:r>
    </w:p>
    <w:p w14:paraId="144A02D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Легких танков - 55,4% Средних танков - 42,2% Тяжелых танков - 2,4% В 1943 году было ввезено:</w:t>
      </w:r>
    </w:p>
    <w:p w14:paraId="765BDB7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Легких танков - 69,0%</w:t>
      </w:r>
    </w:p>
    <w:p w14:paraId="3CFED9D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Средних танков - 25,3%</w:t>
      </w:r>
    </w:p>
    <w:p w14:paraId="17F6F75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Тяжелых танков - 5,7%</w:t>
      </w:r>
    </w:p>
    <w:p w14:paraId="787B012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Удельный вес тяжелых танков, в общем количестве поставок танков, является чрезвычайно малым.</w:t>
      </w:r>
    </w:p>
    <w:p w14:paraId="21E8BC8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среднем в 1943 году мы получали ежемесячно около 250 танков, из них больше половины были легкие танки.</w:t>
      </w:r>
    </w:p>
    <w:p w14:paraId="7895E5F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Учитывая вышеизложенное, прошу Вас поставить вопрос о ввозе из-за границы в Советский Союз во второй половине 1944 года следующих танков:</w:t>
      </w:r>
    </w:p>
    <w:p w14:paraId="29A3AA1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Английских танков «Кромвелл» с 75-мм пушками и с дизель-моторами.</w:t>
      </w:r>
    </w:p>
    <w:p w14:paraId="06C1164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Американских танков М4А2 с 75-мм пушками (модернизированных).</w:t>
      </w:r>
    </w:p>
    <w:p w14:paraId="3880D7D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Английских танков «Валентин» 9-10 с 57-мм пушками (желательно «Валентин» 10).</w:t>
      </w:r>
    </w:p>
    <w:p w14:paraId="41E6485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Наиболее современными из этих типов танков являются английские танки «Кромвель».</w:t>
      </w:r>
    </w:p>
    <w:p w14:paraId="3A71687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Поэтому, если англичане будут согласны дать нам эти танки в значительных количествах, то целесообразно соответственно отказаться от ввоза танков «Валентин» 9 и 10.</w:t>
      </w:r>
    </w:p>
    <w:p w14:paraId="2BC1DF5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Кроме того, прошу Вас принять меры к выяснению производства более новых типов танков, главным образом, тяжелых и средних, и возможности их закупки.</w:t>
      </w:r>
    </w:p>
    <w:p w14:paraId="47A30B3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Учитывая, что количество ввозимых в данное время танков недостаточно, необходимо получать их, начиная со второй половины 1944 года не менее, чем 1000 танков ежемесячно.</w:t>
      </w:r>
    </w:p>
    <w:p w14:paraId="54F11BC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Прошу так же заказать следующее бронетанковое вооружение и имущество:</w:t>
      </w:r>
    </w:p>
    <w:p w14:paraId="40C4B93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Американских самоходных артиллерийских установок М-10 — 500 шт.</w:t>
      </w:r>
    </w:p>
    <w:p w14:paraId="5601D40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Американских бронетранспортеров М-2 — 1500шт.</w:t>
      </w:r>
    </w:p>
    <w:p w14:paraId="1F30367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Американских бронетранспортеров М-3 А1 — 1500шт.</w:t>
      </w:r>
    </w:p>
    <w:p w14:paraId="17A5200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Американских мотоциклов (желательно с коляской) марки «Наг1еу-Оау1Й8оп» - 6000 шт.</w:t>
      </w:r>
    </w:p>
    <w:p w14:paraId="34C9C4D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Американских специальных подвижных ремонтных мастерских, смонтированных на автома</w:t>
      </w:r>
      <w:r w:rsidRPr="007224C3">
        <w:rPr>
          <w:rFonts w:ascii="Times New Roman" w:hAnsi="Times New Roman"/>
          <w:color w:val="000000" w:themeColor="text1"/>
          <w:sz w:val="16"/>
          <w:szCs w:val="16"/>
        </w:rPr>
        <w:softHyphen/>
        <w:t>шинах — 100 комплектов.</w:t>
      </w:r>
    </w:p>
    <w:p w14:paraId="3B915D5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каждый комплект ремонтной мастерской входят следующие машины:</w:t>
      </w:r>
    </w:p>
    <w:p w14:paraId="52B5FE3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Механическая мастерская М-16 «А» - 1</w:t>
      </w:r>
    </w:p>
    <w:p w14:paraId="2AE72FC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Механическая мастерская М-16 «Б» - 1</w:t>
      </w:r>
    </w:p>
    <w:p w14:paraId="0220689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Слесарно-механическая мастерская М-8 «А» - 1</w:t>
      </w:r>
    </w:p>
    <w:p w14:paraId="3059426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 Слесарно-механическая мастерская М-8 «В» - 1</w:t>
      </w:r>
    </w:p>
    <w:p w14:paraId="6B54F8D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 Кузнечно-сварочная мастерская М-12 - 1</w:t>
      </w:r>
    </w:p>
    <w:p w14:paraId="35DBC41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е) Электроремонтная мастерская М-18 - 1</w:t>
      </w:r>
    </w:p>
    <w:p w14:paraId="4AFDD09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ж) Спецмашина с краном и лебедкой М-1 - 1 з) Спецмашина для перевозки и ремонта инструмента и приспособлений - 1</w:t>
      </w:r>
    </w:p>
    <w:p w14:paraId="0636FEF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Американских транспортеров фирмы «О1апопс1» с 45 тонными прицепами фирмы «Койег-ТгаПег» - 500 шт.</w:t>
      </w:r>
    </w:p>
    <w:p w14:paraId="06E08E6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Кранов, смонтированных на автомашине или тракторе, грузоподъемностью до 8 тонн — 50 шт.</w:t>
      </w:r>
    </w:p>
    <w:p w14:paraId="6FC4714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Кранов, смонтированных на автомашине или тракторе, грузоподъемностью от 10 до 15 тонн — 50 шт.</w:t>
      </w:r>
    </w:p>
    <w:p w14:paraId="5E3B1C9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случае затруднений в тоннаже при перевозке в Советский Союз танков, самоходных артил</w:t>
      </w:r>
      <w:r w:rsidRPr="007224C3">
        <w:rPr>
          <w:rFonts w:ascii="Times New Roman" w:hAnsi="Times New Roman"/>
          <w:color w:val="000000" w:themeColor="text1"/>
          <w:sz w:val="16"/>
          <w:szCs w:val="16"/>
        </w:rPr>
        <w:softHyphen/>
        <w:t>лерийских установок, бронетранспортеров и другого бронетанкового вооружения — прошу учесть, что в первую очередь нам необходимо получать танки, даже если это будет связано с необходимос</w:t>
      </w:r>
      <w:r w:rsidRPr="007224C3">
        <w:rPr>
          <w:rFonts w:ascii="Times New Roman" w:hAnsi="Times New Roman"/>
          <w:color w:val="000000" w:themeColor="text1"/>
          <w:sz w:val="16"/>
          <w:szCs w:val="16"/>
        </w:rPr>
        <w:softHyphen/>
        <w:t>тью отказаться от поставок всего остального бронетанкового вооружения и имущества.</w:t>
      </w:r>
    </w:p>
    <w:p w14:paraId="1CC4BEA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 ввоза всех остальных типов танков, самоходных артиллерийских установок и другого бронетан</w:t>
      </w:r>
      <w:r w:rsidRPr="007224C3">
        <w:rPr>
          <w:rFonts w:ascii="Times New Roman" w:hAnsi="Times New Roman"/>
          <w:color w:val="000000" w:themeColor="text1"/>
          <w:sz w:val="16"/>
          <w:szCs w:val="16"/>
        </w:rPr>
        <w:softHyphen/>
        <w:t>кового вооружения (танков «Валентин» 3, 5, 7, ремонтных танков Т-2, СУ-57, бронетранспортеров МК-1 «Универсал», американских транспортеров с прицепами фирмы «Иео») — необходимо отказаться.</w:t>
      </w:r>
    </w:p>
    <w:p w14:paraId="42D3A2F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Командующий БТ и МВ КА маршал бронетанковых войск Федоренко</w:t>
      </w:r>
    </w:p>
    <w:p w14:paraId="4C1F35A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Член военного совета генерал-лейтенант танковых войск Бирюков</w:t>
      </w:r>
    </w:p>
    <w:p w14:paraId="6459CDF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38. Оп. 11389. Д. 18. Л. 14-14 об. Копия (11403).</w:t>
      </w:r>
    </w:p>
    <w:p w14:paraId="643F3A1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8A4A1D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марта 1944 г. вышел ПРИКАЗ КОМАНДУЮЩЕГО БТ и МВ КА О МЕРОПРИЯТИЯХ ПО УСТРАНЕНИЮ НЕДОСТАТКОВ В ЭКСПЛУАТАЦИИ ИНОСТРАННЫХ ТАН КОВ №041</w:t>
      </w:r>
    </w:p>
    <w:p w14:paraId="0EE2210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Несмотря на мой приказ №0131 от 19.11.1943 г. о плохой эксплуатации американских танков в 134 танковом полку, в танковых механизированных частях и соединениях до сих пор продолжают иметь место частые случаи выхода из строя танков иностранных марок по техническим неисправностям.</w:t>
      </w:r>
    </w:p>
    <w:p w14:paraId="141AEF6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Расследованием этих случаев установлено, что они являются следствием грубого нарушения правил эксплуатации и обслуживания танков, а также недостаточной технической подготовки офи</w:t>
      </w:r>
      <w:r w:rsidRPr="007224C3">
        <w:rPr>
          <w:rFonts w:ascii="Times New Roman" w:hAnsi="Times New Roman"/>
          <w:color w:val="000000" w:themeColor="text1"/>
          <w:sz w:val="16"/>
          <w:szCs w:val="16"/>
        </w:rPr>
        <w:softHyphen/>
        <w:t>церского состава и танковых экипажей.</w:t>
      </w:r>
    </w:p>
    <w:p w14:paraId="685F09A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Особенно плохо с эксплуатацией этих танков обстоит в 5 механизированном корпусе (командир корпуса генерал-лейтенант танковых войск Волков).</w:t>
      </w:r>
    </w:p>
    <w:p w14:paraId="210301B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период с 14 января по 14 февраля с.г. в частях корпуса было зарегистрировано 16 аварий, из которых 10 случаев заклинивания поршней двигателей и 3 случая сгорания главных фрикционов танков М4-А2. При разгрузке танков М4-А2 в пункте формирования начальник эшелона капитан Понятовский из 27 учебного танкового полка допустил запуск и работу двигателей танков в течении 15-20 минут без воды в системах охлаждения двигателей, что привело к заклиниванию поршней. Помощники командиров бри</w:t>
      </w:r>
      <w:r w:rsidRPr="007224C3">
        <w:rPr>
          <w:rFonts w:ascii="Times New Roman" w:hAnsi="Times New Roman"/>
          <w:color w:val="000000" w:themeColor="text1"/>
          <w:sz w:val="16"/>
          <w:szCs w:val="16"/>
        </w:rPr>
        <w:softHyphen/>
        <w:t>гад и полков по технической части разгрузкой танков не руководили, на разгрузке не присутствовали и, тем самым, этого грубейшего нарушения элементарных правил эксплуатации танков не предупредили. Одновременно из-за слабых практических навыков по обслуживанию танков у механиков-водителей, прибывших из 16 и 27 учебных танковых полков, и из-за отсутствия контроля за обслуживанием танков в 5 МК, имели место случаи размораживания рубашек блоков цилиндров двигателей.</w:t>
      </w:r>
    </w:p>
    <w:p w14:paraId="0B65E1D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период сколачивания корпуса его штаб и технический отдел не организовали технической подготовки с личным составом корпуса и не обеспечили изучения офицерским техническим соста</w:t>
      </w:r>
      <w:r w:rsidRPr="007224C3">
        <w:rPr>
          <w:rFonts w:ascii="Times New Roman" w:hAnsi="Times New Roman"/>
          <w:color w:val="000000" w:themeColor="text1"/>
          <w:sz w:val="16"/>
          <w:szCs w:val="16"/>
        </w:rPr>
        <w:softHyphen/>
        <w:t>вом и ремонтниками материальной части и особенностей эксплуатации танка М4-А2.</w:t>
      </w:r>
    </w:p>
    <w:p w14:paraId="5E94A69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Помощник командира корпуса по технической части инженер-полковник Щербаков и помощ</w:t>
      </w:r>
      <w:r w:rsidRPr="007224C3">
        <w:rPr>
          <w:rFonts w:ascii="Times New Roman" w:hAnsi="Times New Roman"/>
          <w:color w:val="000000" w:themeColor="text1"/>
          <w:sz w:val="16"/>
          <w:szCs w:val="16"/>
        </w:rPr>
        <w:softHyphen/>
        <w:t>ники командиров бригад и полков по технической части должной борьбы с аварийностью не вели, аварий не расследовали, а скрывали их и виновных к ответственности не привлекали, внесрочные донесения об авариях не представляли, работой технических контрольных бригад не руководили.</w:t>
      </w:r>
    </w:p>
    <w:p w14:paraId="07C84B1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5 МК допускалась замена прибывших, обученных на танках М4-А2 экипажей на экипажи, не знающие этого танка. Танки экипажам по актам не сдавались и запись о вводе танков в строй про</w:t>
      </w:r>
      <w:r w:rsidRPr="007224C3">
        <w:rPr>
          <w:rFonts w:ascii="Times New Roman" w:hAnsi="Times New Roman"/>
          <w:color w:val="000000" w:themeColor="text1"/>
          <w:sz w:val="16"/>
          <w:szCs w:val="16"/>
        </w:rPr>
        <w:softHyphen/>
        <w:t>изводилась задним числом.</w:t>
      </w:r>
    </w:p>
    <w:p w14:paraId="29F4C55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При выгрузке танков и совершении марша в район сосредоточения грубо нарушались требо</w:t>
      </w:r>
      <w:r w:rsidRPr="007224C3">
        <w:rPr>
          <w:rFonts w:ascii="Times New Roman" w:hAnsi="Times New Roman"/>
          <w:color w:val="000000" w:themeColor="text1"/>
          <w:sz w:val="16"/>
          <w:szCs w:val="16"/>
        </w:rPr>
        <w:softHyphen/>
        <w:t>вания «Краткой инструкции по предупреждению выхода танков из строя» от 13.03.1943 г. и моего приказа №092с 1943 г.: не соблюдалась дисциплина марша, плохо были организованы службы регу</w:t>
      </w:r>
      <w:r w:rsidRPr="007224C3">
        <w:rPr>
          <w:rFonts w:ascii="Times New Roman" w:hAnsi="Times New Roman"/>
          <w:color w:val="000000" w:themeColor="text1"/>
          <w:sz w:val="16"/>
          <w:szCs w:val="16"/>
        </w:rPr>
        <w:softHyphen/>
        <w:t>лирования и технического замыкания. Все это привело к попаданию танков в кюветы, к отставанию большого количества танков и к затоплению 4 танков М4-А2 при переправе через реку.</w:t>
      </w:r>
    </w:p>
    <w:p w14:paraId="2E42446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Помощник командира корпуса по технической части инженер-полковник Щербаков во время марша со всем составом технического отдела остался в районе формирования, перепоручив своему помощнику по ремонту и эксплуатации инженер - подполковнику Рябову руководство материально-техническим обеспечением марша корпуса.</w:t>
      </w:r>
    </w:p>
    <w:p w14:paraId="3F4657E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Командир корпуса и командиры бригад никаких мер к предупреждению и устранению безоб</w:t>
      </w:r>
      <w:r w:rsidRPr="007224C3">
        <w:rPr>
          <w:rFonts w:ascii="Times New Roman" w:hAnsi="Times New Roman"/>
          <w:color w:val="000000" w:themeColor="text1"/>
          <w:sz w:val="16"/>
          <w:szCs w:val="16"/>
        </w:rPr>
        <w:softHyphen/>
        <w:t>разных явлений в эксплуатации материальной части, имевших место в корпусе, не предприняли.</w:t>
      </w:r>
    </w:p>
    <w:p w14:paraId="08A69C1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Приказываю:</w:t>
      </w:r>
    </w:p>
    <w:p w14:paraId="7ABE3AF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Всему личному составу ВТ и МВ Красной Армии изучить и твердо знать «Краткую инструк</w:t>
      </w:r>
      <w:r w:rsidRPr="007224C3">
        <w:rPr>
          <w:rFonts w:ascii="Times New Roman" w:hAnsi="Times New Roman"/>
          <w:color w:val="000000" w:themeColor="text1"/>
          <w:sz w:val="16"/>
          <w:szCs w:val="16"/>
        </w:rPr>
        <w:softHyphen/>
        <w:t>цию по предупреждению выхода танков из строя по техническим неисправностям» от 13.03.1943 г. и мои приказы №092с и №0131 1943 года. Командирам частей и соединений обеспечить строгое и неуклонное соблюдение требований инструкций и приказов в подчиненных частях.</w:t>
      </w:r>
    </w:p>
    <w:p w14:paraId="6EEA4E6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Запретить отправку на фронт частей и соединений, а также маршевых рот (батарей), не закон</w:t>
      </w:r>
      <w:r w:rsidRPr="007224C3">
        <w:rPr>
          <w:rFonts w:ascii="Times New Roman" w:hAnsi="Times New Roman"/>
          <w:color w:val="000000" w:themeColor="text1"/>
          <w:sz w:val="16"/>
          <w:szCs w:val="16"/>
        </w:rPr>
        <w:softHyphen/>
        <w:t>чивших установленной программы обучения.</w:t>
      </w:r>
    </w:p>
    <w:p w14:paraId="2DCDE84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Начальнику ГУФ и БП ВТ и МВ Красной Армии:</w:t>
      </w:r>
    </w:p>
    <w:p w14:paraId="4F54F48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установить систематический контроль за боевой подготовкой формируемых частей и соеди</w:t>
      </w:r>
      <w:r w:rsidRPr="007224C3">
        <w:rPr>
          <w:rFonts w:ascii="Times New Roman" w:hAnsi="Times New Roman"/>
          <w:color w:val="000000" w:themeColor="text1"/>
          <w:sz w:val="16"/>
          <w:szCs w:val="16"/>
        </w:rPr>
        <w:softHyphen/>
        <w:t>нений и маршевых рот (батарей), не допускать отправки на фронт необученных и несколоченных подразделений, частей и соединений, докладывая мне о всех нарушениях этого требования;</w:t>
      </w:r>
    </w:p>
    <w:p w14:paraId="0936189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в кратчайший срок улучшить качество подготовки офицерского, сержантского и рядового состава для танков иностранных марок;</w:t>
      </w:r>
    </w:p>
    <w:p w14:paraId="7B59429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не допускать назначения на танки механиков-водителей без присвоения установленной Приказом НКО №372 1942 г. квалификации.</w:t>
      </w:r>
    </w:p>
    <w:p w14:paraId="2A5DC6B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Начальнику ГБТУ Красной Армии установить жесткий контроль за выполнением частями и сое</w:t>
      </w:r>
      <w:r w:rsidRPr="007224C3">
        <w:rPr>
          <w:rFonts w:ascii="Times New Roman" w:hAnsi="Times New Roman"/>
          <w:color w:val="000000" w:themeColor="text1"/>
          <w:sz w:val="16"/>
          <w:szCs w:val="16"/>
        </w:rPr>
        <w:softHyphen/>
        <w:t>динениями наставлений, инструкций и приказов по эксплуатации материальной части, обратив особое внимание на подготовку помощников командиров по технической части рот, батальонов, полков, бригад и корпусов, особенно для частей и соединений, укомплектованных танками иностранных марок.</w:t>
      </w:r>
    </w:p>
    <w:p w14:paraId="6A9C7B1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Обращаю внимание командира 5 МК генерал-лейтенанта танковых войск Волкова на слабую организацию службы технического обеспечения при разгрузке и совершении корпусом марша.</w:t>
      </w:r>
    </w:p>
    <w:p w14:paraId="102B3F2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Отстраненного от должности помощника командира 5 МК по технической части инженер - пол</w:t>
      </w:r>
      <w:r w:rsidRPr="007224C3">
        <w:rPr>
          <w:rFonts w:ascii="Times New Roman" w:hAnsi="Times New Roman"/>
          <w:color w:val="000000" w:themeColor="text1"/>
          <w:sz w:val="16"/>
          <w:szCs w:val="16"/>
        </w:rPr>
        <w:softHyphen/>
        <w:t>ковника Щербакова назначить с понижением.</w:t>
      </w:r>
    </w:p>
    <w:p w14:paraId="6622A98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Начальника эшелона, сопровождавшего танки в 5 МК из 27 УТП, капитана Понятовского за грубое нарушение правил эксплуатации танков арестовать на 15 суток домашним арестом с исполне</w:t>
      </w:r>
      <w:r w:rsidRPr="007224C3">
        <w:rPr>
          <w:rFonts w:ascii="Times New Roman" w:hAnsi="Times New Roman"/>
          <w:color w:val="000000" w:themeColor="text1"/>
          <w:sz w:val="16"/>
          <w:szCs w:val="16"/>
        </w:rPr>
        <w:softHyphen/>
        <w:t>нием служебных обязанностей и удержанием 50% денежного содержания за каждые сутки ареста.</w:t>
      </w:r>
    </w:p>
    <w:p w14:paraId="5ACEDBF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Командующему 6 танковой армии генерал-лейтенанту Кравченко проверить состояние экс</w:t>
      </w:r>
      <w:r w:rsidRPr="007224C3">
        <w:rPr>
          <w:rFonts w:ascii="Times New Roman" w:hAnsi="Times New Roman"/>
          <w:color w:val="000000" w:themeColor="text1"/>
          <w:sz w:val="16"/>
          <w:szCs w:val="16"/>
        </w:rPr>
        <w:softHyphen/>
        <w:t>плуатации и обслуживание танков в частях и соединениях 5 МК в соответствии с требованиями настоящего приказа и к 25 апреля с.г. донести мне.</w:t>
      </w:r>
    </w:p>
    <w:p w14:paraId="4CD95B7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Командующий ВТ и МВ Красной Армии маршал бронетанковых войск Федоренко</w:t>
      </w:r>
    </w:p>
    <w:p w14:paraId="49978C3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Член военного совета генерал-лейтенант танковых войск Бирюков</w:t>
      </w:r>
    </w:p>
    <w:p w14:paraId="55EA466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штаба ВТ и МВ Красной Армии генерал-майор танковых войск Салминов</w:t>
      </w:r>
    </w:p>
    <w:p w14:paraId="179CFC3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38. Оп. 11369. Д. 257. Л. 42, 42 об. 43. Подлинник (11403).</w:t>
      </w:r>
    </w:p>
    <w:p w14:paraId="7C84DFC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0891981"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76A41F6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156E0A9"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24 марта</w:t>
      </w:r>
      <w:r w:rsidRPr="007224C3">
        <w:rPr>
          <w:rFonts w:ascii="Times New Roman" w:hAnsi="Times New Roman"/>
          <w:color w:val="000000" w:themeColor="text1"/>
          <w:sz w:val="16"/>
          <w:szCs w:val="16"/>
        </w:rPr>
        <w:t xml:space="preserve"> в 1944 году оперативная сводка Совинформбюро:</w:t>
      </w:r>
    </w:p>
    <w:p w14:paraId="4CF56645"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24 марта северо-западнее города Тарнополь наши войска, успешно форсировав реку Серет, с боями продвигались вперёд и заняли более 30 населённых пунктов, в том числе крупные населённые пункты Звыжин, Манайюв, Тросьцянец, Лопушаны, Бялогловы, Бзовица, Нестеровица, Цебров, Анелювка и железнодорожную станцию Цебров. Наши войска перерезали железную и шоссейную дороги Тарнополь-Львов.</w:t>
      </w:r>
    </w:p>
    <w:p w14:paraId="7D614BB7"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1-го Украинского фронта, продолжая успешно развивать наступление, за четыре дня наступательных боёв продвинулись вперёд от 60 до 100 километров, овладели городом и оперативно важным железнодорожным узлом Чертков, районнымицентрами Тарнопольской области — городом Гусятин, городом и железнодорожнымузлом Залещики на реке Днестр, городом и крупной железнодорожной станцией Тлусте, городом Струсов, а также с боями заняли более 400 других населённых пунктов, в том числе крупные населённые пункты Марьянка, Юзефовка, Ладычин, Варваринцы, Кобыловлоки, Ягельница, Дзвиняг, Шупарки, Езежаны, Пробужна, Великие Чарноконьце, Тлустеньке, Васильковцы, Чабаровка, Голенищево, Кузьминчик, Лесоводы, Кременная, Новоселки, Старое и Новое Поречье и железнодорожные станции Чабаровка, Васильковцы, Выгнанка, Ягельница, Ворвулинцы.</w:t>
      </w:r>
    </w:p>
    <w:p w14:paraId="18A2A5D7"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этих боях войсками 1-го Украинского фронта, по неполным данным, захвачены следующие трофеи: танков и самоходных орудий около 300, бронеавтомобилей и бронетранспортёров — 120, орудий разных калибров более 500, миномётов — 490, пулемётов — 760, автомашин более 5.000, 8 железнодорожных эшелонов с танками и другими военными грузами, складов разных — 30. Противник оставил на поле боя до 20.000 трупов солдат и офицеров. Захвачено в плен свыше 3.500 немецких солдат и офицеров.</w:t>
      </w:r>
    </w:p>
    <w:p w14:paraId="32C0F469"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Проскуровском направлении наши войска вели наступательные бои, в ходе которых овладели районным центром Каменец-Подольской области городом Меджибож, атакже с боями заняли более 40 других населённых пунктов, среди которых крупные населённые пункты Олешин, Заречье, Лезнево, Давидковцы, Пироговцы, Русановцы, Трибуховцы, Рудня, Войтовцы, Черниливцы. Наши войска вплотную подошли к городу Проскуров и завязали бои на окраинах города.</w:t>
      </w:r>
    </w:p>
    <w:p w14:paraId="2F6D28AD"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западу и югу от города Могилёв-Подольский наши войска, продолжая развивать наступление, овладели районным центром Черновицкой области Секуряны, районным центром Молдавской ССР Флорешты, а также с боями заняли более 50 других населённых пунктов, в том числе крупные населённые пункты Окница, Бырнова, Чернолеука, Корбу, Цауль, Михайлень, Пелиния, Куболта, Фрумушика, Гвоздова, Кошерница и железнодорожные станции София, Петрени, Пелиния. Наши войска вплотную подошли к городу Бельцы и завязали бои на его окраинах.</w:t>
      </w:r>
    </w:p>
    <w:p w14:paraId="09BE4819"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города Гайворон наши войска с боями продвигались вперёд и овладели районным центром Молдавской ССР городом Каменка (на левом берегуДнестра), а также заняли более 20 других населённых пунктов, в том числе крупные населённые пункты Подойма, Загнитков, Писаревка, Шершенцы, Лабушная, Будеи, Смолянка, Саражинка.</w:t>
      </w:r>
    </w:p>
    <w:p w14:paraId="63E092FD"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3-го Украинского фронта, после двухдневных упорных боёв, овладели городом и крупной железнодорожной станцией Вознесенск — сильным опорным пунктом противника в нижнем течении Южного Буга.</w:t>
      </w:r>
    </w:p>
    <w:p w14:paraId="3973DEAF"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 поиски разведчиков.</w:t>
      </w:r>
    </w:p>
    <w:p w14:paraId="2D32B332"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23 марта наши войска на всех фронтах подбили и уничтожили 82 танка. В воздушных боях и огнём зенитной артиллерии сбито 24 самолёта противника.</w:t>
      </w:r>
    </w:p>
    <w:p w14:paraId="0D1153EB"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1-го Украинского фронта продолжали успешное наступление. Все попытки немцев оказать сопротивление советским частям были ликвидированы сокрушительными ударами наших танковых соединений и пехоты. Разбитые наголову немецкие дивизии отступают, бросая на огневых позициях и на дорогах орудия, танки, самоходныеустановки и автомашины. Наши войска, овладевшие вчера городом Копычинцы, сегодня нанесли стремительный удар по вражескому гарнизону в городе Чертков. Советские танки и моторизованная пехота опрокинули противника и заняли город и оперативно важный железнодорожный узел Чертков. Быстро переправившись через реку Серет, наши подвижные соединения устремились на юг, громя на своём пути резервные части, тылы и штабы противника. Один за другим были очищены от немецко-фашистских захватчиков крупный населённый пункт Ягельница, город Тлусте, город и крупная железнодорожная станция Залещики на реке Днестр. Другие наши части в результате упорных боёв овладели городом Гусятин, городом Струсов, а также заняли более 400 других населённых пунктов. В ряде районов окружены и успешно ликвидированы гарнизоны и группы войск противника.</w:t>
      </w:r>
    </w:p>
    <w:p w14:paraId="6CCD0E2C"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Проскуровском направлении противник контратаками пытался остановить наши наступающие войска. Части Н-ского соединения в результате успешного манёвра отбросили немцев и овладели районным центром Каменец-Подольской области городом Меджибож. Другие наши соединения, преодолев упорное сопротивление немцев, вплотную подошли к городу Проскуров и завязали уличные бои. В течение дня уничтожено до 2.000 немецких солдат и офицеров. Подбито и сожжено 30 танков и самоходных орудий противника.</w:t>
      </w:r>
    </w:p>
    <w:p w14:paraId="11A5A9D8"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3-го Украинского фронта продолжали наступление. Используя сильно пересечённую местность, высоты и овраги, немцы создали вокруг города Вознесенска сильные укрепления. На помощь гарнизону они бросили крупные силы пехоты, танков и самоходных орудий. Наши войска, подошедшие к Вознесенску с юга, завязали уличные бои и сковали основные силы гитлеровцев. Другие наши части, преодолевая сопротивление противника на промежуточных рубежах, вышли на восточные и северные окраины города. В результате ожесточённых уличных боёв наши войска разгромили многочисленный гарнизон противника, а его остатки сбросили в Южный Буг. Захвачены большие трофеи и много пленных.</w:t>
      </w:r>
    </w:p>
    <w:p w14:paraId="1B7180B0"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Авиаразведкой Краснознамённого Балтийского флота в Финским заливе были обнаружены две группы кораблей противника. Советские лётчики нанесли несколько бомбо-штурмовых ударов и потопили два немецких транспорта водоизмещением по 2 тысячи тонн каждый, сторожевой корабль и сторожевой катер. Сторожевой корабль противника был потоплен лётчиком тов. Каштанкиным, который погиб при этом смертью героя. Советский патриот направил свой самолёт на судно и врезался в него. Произошёл сильный взрыв. Корабль немедленно пошёл ко дну. Преследуя караван немецких судов, наши лётчики в порту Ассери взорвали и потопили ещё один сторожевой корабль противника.</w:t>
      </w:r>
    </w:p>
    <w:p w14:paraId="6C62A2C5"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В Чёрном море подорвался на мине и затонул транспорт противника водоизмещением в 1.600 тонн.</w:t>
      </w:r>
    </w:p>
    <w:p w14:paraId="1F0B60AC"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Литовский партизанский отряд «Вильнюс» за десять дней пустил под откос пять воинских эшелонов противника. Движение поездов на этом участке было прервано на несколько дней. Другой отряд литовских партизан разгромил вражеский гарнизон, расположенный в крупном немецком имении. Немецкие солдаты и офицеры, а также управляющий имением убиты. Партизаны этого же отряда подорвали на минах два поезда. Во время крушений разбиты два паровоза и 16 вагонов с военной техникой противника.» (15078).</w:t>
      </w:r>
    </w:p>
    <w:p w14:paraId="128858C4" w14:textId="77777777" w:rsidR="00EB5859" w:rsidRPr="007224C3" w:rsidRDefault="00EB5859" w:rsidP="007224C3">
      <w:pPr>
        <w:spacing w:after="0" w:line="240" w:lineRule="auto"/>
        <w:jc w:val="both"/>
        <w:rPr>
          <w:rFonts w:ascii="Times New Roman" w:hAnsi="Times New Roman"/>
          <w:color w:val="000000" w:themeColor="text1"/>
          <w:sz w:val="16"/>
          <w:szCs w:val="16"/>
        </w:rPr>
      </w:pPr>
    </w:p>
    <w:p w14:paraId="13C2061C"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24 марта</w:t>
      </w:r>
      <w:r w:rsidRPr="007224C3">
        <w:rPr>
          <w:rFonts w:ascii="Times New Roman" w:hAnsi="Times New Roman"/>
          <w:color w:val="000000" w:themeColor="text1"/>
          <w:sz w:val="16"/>
          <w:szCs w:val="16"/>
        </w:rPr>
        <w:t xml:space="preserve"> в 1944 году две советские бригады (17-я гвардейская механизированная и 63-я гвардейская танковая) овладели местечком Должок близ Каменец-Подольского на Западной Украине, в этот день они захватили 40 танков, 55 орудий и 1 000 автомашин (15078).</w:t>
      </w:r>
    </w:p>
    <w:p w14:paraId="15712EC6" w14:textId="77777777" w:rsidR="00EB5859" w:rsidRPr="007224C3" w:rsidRDefault="00EB5859" w:rsidP="007224C3">
      <w:pPr>
        <w:spacing w:after="0" w:line="240" w:lineRule="auto"/>
        <w:jc w:val="both"/>
        <w:rPr>
          <w:rFonts w:ascii="Times New Roman" w:hAnsi="Times New Roman"/>
          <w:color w:val="000000" w:themeColor="text1"/>
          <w:sz w:val="16"/>
          <w:szCs w:val="16"/>
        </w:rPr>
      </w:pPr>
    </w:p>
    <w:p w14:paraId="321C2A2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марта 1944 л ВВС БФ м В.Н.Каштанкин во время штурмовки каравана был подбит и направил самолет на корабль, потопив его (438,898).</w:t>
      </w:r>
    </w:p>
    <w:p w14:paraId="7D8A44A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77B73F"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марта 1944 2 советские бригады (17-я гвардейская механизированная и 63-я гвардейская танковая) овладели местечком Должок близ Каменец-Подольского на Западной Украине, в этот день они захватили 40 танков, 55 орудий и 1 000 автомашин (4963 ).</w:t>
      </w:r>
    </w:p>
    <w:p w14:paraId="57BDAEF2"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2ED698F"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Внешняя политика:</w:t>
      </w:r>
    </w:p>
    <w:p w14:paraId="08F75F2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50A2A9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24 по 26 мая 1944 согласно доклада начальника Дальстроя И. Ф. Никишова Берии вице-президент США Уоллес с тремя сотрудниками и четырьмя офицерами посетил город Магадан. В городе осмотрел порт, авторемонтный завод, школу-десятилетку, столовую, магазин, склад пушнины, свиносовхоз в 23 километрах от гор. Магадана, дом культуры. 25 мая с. г. вечером в Магадане слушал концерт. На Нижнем Сеймчане осмотрел поселок Южного горнопромышленного управления, также осмотрел школу, столовую, детский интернат, парткабинет и в клубе смотрел кинокартину “Два бойца”. В Западном горнопромышленном управлении осмотрел Сусуманский совхоз, один участок прииска им. Фрунзе и был на одном приборе на прииске “Комсомолец”. На обоих этих приисках работает вольнонаемный состав. На прииске имени Фрунзе Уоллес беседовал с рабочими. 29 мая 1944 года. Дальстрой НКВД, Никишов” (7560).</w:t>
      </w:r>
    </w:p>
    <w:p w14:paraId="4210D16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3D26A5"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3700487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0E8730B"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24 марта</w:t>
      </w:r>
      <w:r w:rsidRPr="007224C3">
        <w:rPr>
          <w:rFonts w:ascii="Times New Roman" w:hAnsi="Times New Roman"/>
          <w:color w:val="000000" w:themeColor="text1"/>
          <w:sz w:val="16"/>
          <w:szCs w:val="16"/>
        </w:rPr>
        <w:t xml:space="preserve"> в 1944 году с начала воздушной «битвы за Берлин» (ноября 1943 года) британская авиация совершила 16 массированных авианалетов, сбросила на город 25 тысяч тонн бомб, что привело к разрушению четвертой части города. Безкроваосталось 1,5 млн. берлинцев (15078).</w:t>
      </w:r>
    </w:p>
    <w:p w14:paraId="10922BDD" w14:textId="77777777" w:rsidR="00EB5859" w:rsidRPr="007224C3" w:rsidRDefault="00EB5859" w:rsidP="007224C3">
      <w:pPr>
        <w:spacing w:after="0" w:line="240" w:lineRule="auto"/>
        <w:jc w:val="both"/>
        <w:rPr>
          <w:rFonts w:ascii="Times New Roman" w:hAnsi="Times New Roman"/>
          <w:color w:val="000000" w:themeColor="text1"/>
          <w:sz w:val="16"/>
          <w:szCs w:val="16"/>
        </w:rPr>
      </w:pPr>
    </w:p>
    <w:p w14:paraId="7BA218DB" w14:textId="77777777" w:rsidR="00003C7F" w:rsidRPr="007224C3" w:rsidRDefault="00003C7F"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24–25 марта (ночь) 1944 811 бомбардировщиков совершают последний крупный британский налет на Берлин времен Второй мировой войны. Сильный ветер уносит их с курса, и большая часть их бомб не попадает в цели. Многие непреднамеренно пролетали над ПВО Рура по пути домой и там были сбиты. 72 машины потеряны (8,9 процента сил), около 50 погибло от зенитных орудий, а остальные - от ночных истребителей (20373).</w:t>
      </w:r>
    </w:p>
    <w:p w14:paraId="14A09394" w14:textId="77777777" w:rsidR="00003C7F" w:rsidRPr="007224C3" w:rsidRDefault="00003C7F" w:rsidP="007224C3">
      <w:pPr>
        <w:spacing w:after="0" w:line="240" w:lineRule="auto"/>
        <w:jc w:val="both"/>
        <w:rPr>
          <w:rFonts w:ascii="Times New Roman" w:hAnsi="Times New Roman"/>
          <w:color w:val="0070C0"/>
          <w:sz w:val="16"/>
          <w:szCs w:val="16"/>
        </w:rPr>
      </w:pPr>
    </w:p>
    <w:p w14:paraId="52A97FF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March 24th, 1944: The Luftwaffe attacks London with 90 medium bombers (He-111s and Ju-88s), while the RAF bombs Berlin with 810 heavy Lancasters. In Italy, the US Fifth Army's (Clark) bridgehead at Anzio is bombarded by German heavy long-range guns (Screaming Mimies) and Luftwaffe aircraft using guided bombs, causing severe casualties in men, ships, and equipment. Persistent US and British attacks against the Gustav Line at Cassino are repulsed by the German defenders (3819).</w:t>
      </w:r>
    </w:p>
    <w:p w14:paraId="4B9F404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77104C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марта 1944 Люфтваффе выполнили налет на Лондон силами 90 средних бомбардировщиков (Не-111 и Ju-88), а Королевские ВВС бомбили Берлин силами 810 Ланкастеров. Плацдарм 5А (Кларк) США у Анцио подвергся обстрелу дальнобойной артиллерии и Люфтваффе, использующих управляемые бомбы. Немцы отбивают атаки на линию Густава у Монте Кассино (3819).</w:t>
      </w:r>
    </w:p>
    <w:p w14:paraId="05D1609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03F97F" w14:textId="77777777" w:rsidR="00003C7F" w:rsidRPr="007224C3" w:rsidRDefault="00003C7F"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24 марта 1944 - 1000 бомбардировщиков 8-й воздушной армии ВВС США совершили налет на Рейнский промышленный район Германии (22558).</w:t>
      </w:r>
    </w:p>
    <w:p w14:paraId="72875A32" w14:textId="77777777" w:rsidR="00003C7F" w:rsidRPr="007224C3" w:rsidRDefault="00003C7F" w:rsidP="007224C3">
      <w:pPr>
        <w:spacing w:after="0" w:line="240" w:lineRule="auto"/>
        <w:jc w:val="both"/>
        <w:rPr>
          <w:rFonts w:ascii="Times New Roman" w:hAnsi="Times New Roman"/>
          <w:color w:val="0070C0"/>
          <w:sz w:val="16"/>
          <w:szCs w:val="16"/>
        </w:rPr>
      </w:pPr>
    </w:p>
    <w:p w14:paraId="4D9C20EE" w14:textId="77777777" w:rsidR="00003C7F" w:rsidRPr="007224C3" w:rsidRDefault="00003C7F"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24 марта 1944 B-17G Flying Fortress 422 - й бомбардировочной эскадрильи триста пятой бомбардировочной группы (Heavy) взрывается в Yielden, Англия, на взлете из RAF Chelveston, убивая все 10 человек на борту бомбардировщика и 11 человек на земле (20373).</w:t>
      </w:r>
    </w:p>
    <w:p w14:paraId="79A83288" w14:textId="77777777" w:rsidR="00003C7F" w:rsidRPr="007224C3" w:rsidRDefault="00003C7F" w:rsidP="007224C3">
      <w:pPr>
        <w:spacing w:after="0" w:line="240" w:lineRule="auto"/>
        <w:jc w:val="both"/>
        <w:rPr>
          <w:rFonts w:ascii="Times New Roman" w:hAnsi="Times New Roman"/>
          <w:color w:val="0070C0"/>
          <w:sz w:val="16"/>
          <w:szCs w:val="16"/>
        </w:rPr>
      </w:pPr>
    </w:p>
    <w:p w14:paraId="44A79713" w14:textId="77777777" w:rsidR="00003C7F" w:rsidRPr="007224C3" w:rsidRDefault="00003C7F"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24 марта 1944 из-за невозможности достичь своей главной цели, Швайнфурта, 162 B-17 Летающие Крепости Восьмой армии ВВС вместо этого бомбит Франкфурт- на -Майне. В дневнике Франкфурта-на-Майне говорится: «Три авианалета 18, 22 и 24 марта были осуществлены совместным планом британских и американских военно-воздушных сил, и их совместный эффект заключался в нанесении худшего и самого рокового удара. Удар просто положил конец существованию Франкфурта, построенного со времен средневековья» (20373).</w:t>
      </w:r>
    </w:p>
    <w:p w14:paraId="6C5B7D8E" w14:textId="77777777" w:rsidR="00003C7F" w:rsidRPr="007224C3" w:rsidRDefault="00003C7F" w:rsidP="007224C3">
      <w:pPr>
        <w:spacing w:after="0" w:line="240" w:lineRule="auto"/>
        <w:jc w:val="both"/>
        <w:rPr>
          <w:rFonts w:ascii="Times New Roman" w:hAnsi="Times New Roman"/>
          <w:color w:val="0070C0"/>
          <w:sz w:val="16"/>
          <w:szCs w:val="16"/>
        </w:rPr>
      </w:pPr>
    </w:p>
    <w:p w14:paraId="4C729ACD" w14:textId="77777777" w:rsidR="00A76CAC" w:rsidRPr="007224C3" w:rsidRDefault="00A76CAC" w:rsidP="007224C3">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В ночь на 24 марта 1944 г. 40 британских бомбардировщиков атаковали Софию. Бомбы легли в пригороде в районе царского «дворца Врана». Дворец серьезно пострадал, но жертв не было (19104).</w:t>
      </w:r>
    </w:p>
    <w:p w14:paraId="63A99B8A" w14:textId="77777777" w:rsidR="00A76CAC" w:rsidRPr="007224C3" w:rsidRDefault="00A76CAC" w:rsidP="007224C3">
      <w:pPr>
        <w:pStyle w:val="172"/>
        <w:shd w:val="clear" w:color="auto" w:fill="auto"/>
        <w:spacing w:before="0" w:line="240" w:lineRule="auto"/>
        <w:ind w:firstLine="0"/>
        <w:jc w:val="both"/>
        <w:rPr>
          <w:rFonts w:ascii="Times New Roman" w:hAnsi="Times New Roman" w:cs="Times New Roman"/>
          <w:color w:val="000000" w:themeColor="text1"/>
          <w:sz w:val="16"/>
          <w:szCs w:val="16"/>
        </w:rPr>
      </w:pPr>
    </w:p>
    <w:p w14:paraId="7CC0DAA4" w14:textId="77777777" w:rsidR="00EB5859" w:rsidRPr="007224C3" w:rsidRDefault="00EB585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марта 1944 за взрыв бомбы во время парада СС в Риме гестаповцами казнены 336 итальянских заложников (4962).</w:t>
      </w:r>
    </w:p>
    <w:p w14:paraId="0D90B9CC" w14:textId="77777777" w:rsidR="00EB5859" w:rsidRPr="007224C3" w:rsidRDefault="00EB5859"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434701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24-28 мая 1944 Пермети. Состоялся Антифашистский Национально-Освободительный Конгресс, образовавший Антифашистские Национально Освободительные Совет (АНОС) и Комитет (АНОК) в качестве органов власти и принявший решение о формировании 1 Ударной дивизии НОАА (7594).</w:t>
      </w:r>
    </w:p>
    <w:p w14:paraId="6ABD304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F1A1F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марта 1944 была построена первая из 4 баз для В-29 в Китае (1051,25).</w:t>
      </w:r>
    </w:p>
    <w:p w14:paraId="2EDEF42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48F580"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марта 1944 в Бирме в авиакатастрофе погиб английский генерал О. Вингейт, не послушавшийся предупреждений о шторме (4962).</w:t>
      </w:r>
    </w:p>
    <w:p w14:paraId="1BFF02F9"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121CB46"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287FF47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FD2C11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марта 1944 вышел приказ НКАП N 529с по внедрению гидравлического агрегата, объединяющего управление винтом и газом на самолете Ил-2 с АМ-38 (1820,70).</w:t>
      </w:r>
    </w:p>
    <w:p w14:paraId="63456D5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81477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марта 1944 завершились заводские испыта</w:t>
      </w:r>
      <w:r w:rsidRPr="007224C3">
        <w:rPr>
          <w:rFonts w:ascii="Times New Roman" w:hAnsi="Times New Roman"/>
          <w:color w:val="000000" w:themeColor="text1"/>
          <w:sz w:val="16"/>
          <w:szCs w:val="16"/>
        </w:rPr>
        <w:softHyphen/>
        <w:t>ния Пе-2И. Три дня понадобилось для отправки самолета в НИИ ВВС.</w:t>
      </w:r>
    </w:p>
    <w:p w14:paraId="6FA0D49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Впервые за всю историю своего существования Пе-2 подвергся коренной переделке. Прежде всего с крыла сняли тормозные решетки и уменьшили пло</w:t>
      </w:r>
      <w:r w:rsidRPr="007224C3">
        <w:rPr>
          <w:rFonts w:ascii="Times New Roman" w:hAnsi="Times New Roman"/>
          <w:color w:val="000000" w:themeColor="text1"/>
          <w:sz w:val="16"/>
          <w:szCs w:val="16"/>
        </w:rPr>
        <w:softHyphen/>
        <w:t>щадь элеронов, изменив величину аэродинамической компенсации.</w:t>
      </w:r>
    </w:p>
    <w:p w14:paraId="0809601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Существенные изменения претерпел фюзеляж. Увеличение его длины на метр и высоты на 0,Зм, а так</w:t>
      </w:r>
      <w:r w:rsidRPr="007224C3">
        <w:rPr>
          <w:rFonts w:ascii="Times New Roman" w:hAnsi="Times New Roman"/>
          <w:color w:val="000000" w:themeColor="text1"/>
          <w:sz w:val="16"/>
          <w:szCs w:val="16"/>
        </w:rPr>
        <w:softHyphen/>
        <w:t>же новая компоновка бомбоотсека позволили размес</w:t>
      </w:r>
      <w:r w:rsidRPr="007224C3">
        <w:rPr>
          <w:rFonts w:ascii="Times New Roman" w:hAnsi="Times New Roman"/>
          <w:color w:val="000000" w:themeColor="text1"/>
          <w:sz w:val="16"/>
          <w:szCs w:val="16"/>
        </w:rPr>
        <w:softHyphen/>
        <w:t>тить в нем бомбу ФАБ-1000. Из акта по результатам государственных испытаний следует, что этого дос</w:t>
      </w:r>
      <w:r w:rsidRPr="007224C3">
        <w:rPr>
          <w:rFonts w:ascii="Times New Roman" w:hAnsi="Times New Roman"/>
          <w:color w:val="000000" w:themeColor="text1"/>
          <w:sz w:val="16"/>
          <w:szCs w:val="16"/>
        </w:rPr>
        <w:softHyphen/>
        <w:t>тигли смещением центроплана вверх на 300 мм. В дей</w:t>
      </w:r>
      <w:r w:rsidRPr="007224C3">
        <w:rPr>
          <w:rFonts w:ascii="Times New Roman" w:hAnsi="Times New Roman"/>
          <w:color w:val="000000" w:themeColor="text1"/>
          <w:sz w:val="16"/>
          <w:szCs w:val="16"/>
        </w:rPr>
        <w:softHyphen/>
        <w:t>ствительности, как объяснил мне Л.Л. Селяков, цен</w:t>
      </w:r>
      <w:r w:rsidRPr="007224C3">
        <w:rPr>
          <w:rFonts w:ascii="Times New Roman" w:hAnsi="Times New Roman"/>
          <w:color w:val="000000" w:themeColor="text1"/>
          <w:sz w:val="16"/>
          <w:szCs w:val="16"/>
        </w:rPr>
        <w:softHyphen/>
        <w:t>троплан никуда не смещали. Для размещения бомбы вырезали часть нижних стальных поясов лонжерона центроплана и заменили их арочными коваными вкла</w:t>
      </w:r>
      <w:r w:rsidRPr="007224C3">
        <w:rPr>
          <w:rFonts w:ascii="Times New Roman" w:hAnsi="Times New Roman"/>
          <w:color w:val="000000" w:themeColor="text1"/>
          <w:sz w:val="16"/>
          <w:szCs w:val="16"/>
        </w:rPr>
        <w:softHyphen/>
        <w:t>дышами. В результате высота лонжерона по оси само</w:t>
      </w:r>
      <w:r w:rsidRPr="007224C3">
        <w:rPr>
          <w:rFonts w:ascii="Times New Roman" w:hAnsi="Times New Roman"/>
          <w:color w:val="000000" w:themeColor="text1"/>
          <w:sz w:val="16"/>
          <w:szCs w:val="16"/>
        </w:rPr>
        <w:softHyphen/>
        <w:t>лета уменьшилась ровно на половину. Затем нарасти</w:t>
      </w:r>
      <w:r w:rsidRPr="007224C3">
        <w:rPr>
          <w:rFonts w:ascii="Times New Roman" w:hAnsi="Times New Roman"/>
          <w:color w:val="000000" w:themeColor="text1"/>
          <w:sz w:val="16"/>
          <w:szCs w:val="16"/>
        </w:rPr>
        <w:softHyphen/>
        <w:t>ли фюзеляж, заменив его круглое сечение овальным, и тем самым увеличили его высоту.</w:t>
      </w:r>
    </w:p>
    <w:p w14:paraId="6AB7BF6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Экипаж сократили с трех до двух человек — летчи</w:t>
      </w:r>
      <w:r w:rsidRPr="007224C3">
        <w:rPr>
          <w:rFonts w:ascii="Times New Roman" w:hAnsi="Times New Roman"/>
          <w:color w:val="000000" w:themeColor="text1"/>
          <w:sz w:val="16"/>
          <w:szCs w:val="16"/>
        </w:rPr>
        <w:softHyphen/>
        <w:t>ка и штурмана.</w:t>
      </w:r>
    </w:p>
    <w:p w14:paraId="2636879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Оборонительное вооружение включало два круп</w:t>
      </w:r>
      <w:r w:rsidRPr="007224C3">
        <w:rPr>
          <w:rFonts w:ascii="Times New Roman" w:hAnsi="Times New Roman"/>
          <w:color w:val="000000" w:themeColor="text1"/>
          <w:sz w:val="16"/>
          <w:szCs w:val="16"/>
        </w:rPr>
        <w:softHyphen/>
        <w:t>нокалиберных пулемета УБК: один в носу и один на дистанционной электрифицированной установке ДЭУ в хвосте.</w:t>
      </w:r>
    </w:p>
    <w:p w14:paraId="14FD90E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Особенностью бомбардировщика Пе-2 была его склонность к прогрессирующим «козлам» при посад</w:t>
      </w:r>
      <w:r w:rsidRPr="007224C3">
        <w:rPr>
          <w:rFonts w:ascii="Times New Roman" w:hAnsi="Times New Roman"/>
          <w:color w:val="000000" w:themeColor="text1"/>
          <w:sz w:val="16"/>
          <w:szCs w:val="16"/>
        </w:rPr>
        <w:softHyphen/>
        <w:t>ке. Устранить этот дефект полностью так и не удалось, но немного укротить «козлиный» нрав самолета позво</w:t>
      </w:r>
      <w:r w:rsidRPr="007224C3">
        <w:rPr>
          <w:rFonts w:ascii="Times New Roman" w:hAnsi="Times New Roman"/>
          <w:color w:val="000000" w:themeColor="text1"/>
          <w:sz w:val="16"/>
          <w:szCs w:val="16"/>
        </w:rPr>
        <w:softHyphen/>
        <w:t>лило применение на Пе-2И шасси с увеличенным хо</w:t>
      </w:r>
      <w:r w:rsidRPr="007224C3">
        <w:rPr>
          <w:rFonts w:ascii="Times New Roman" w:hAnsi="Times New Roman"/>
          <w:color w:val="000000" w:themeColor="text1"/>
          <w:sz w:val="16"/>
          <w:szCs w:val="16"/>
        </w:rPr>
        <w:softHyphen/>
        <w:t>дом амортизации.</w:t>
      </w:r>
    </w:p>
    <w:p w14:paraId="5EAC422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Сильное влияние на летные характеристики оказа</w:t>
      </w:r>
      <w:r w:rsidRPr="007224C3">
        <w:rPr>
          <w:rFonts w:ascii="Times New Roman" w:hAnsi="Times New Roman"/>
          <w:color w:val="000000" w:themeColor="text1"/>
          <w:sz w:val="16"/>
          <w:szCs w:val="16"/>
        </w:rPr>
        <w:softHyphen/>
        <w:t>ла установка новых двигателей ВК-107А с двухскоро-стными нагнетателями и регуляторами постоянных оборотов. На высоте 4500 м ВК-107А развивал мощ</w:t>
      </w:r>
      <w:r w:rsidRPr="007224C3">
        <w:rPr>
          <w:rFonts w:ascii="Times New Roman" w:hAnsi="Times New Roman"/>
          <w:color w:val="000000" w:themeColor="text1"/>
          <w:sz w:val="16"/>
          <w:szCs w:val="16"/>
        </w:rPr>
        <w:softHyphen/>
        <w:t>ность 1500 л.с. (11446)</w:t>
      </w:r>
    </w:p>
    <w:p w14:paraId="1172F5B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4A1B2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марта 1944 г. вышел приказ директора завода № 16:</w:t>
      </w:r>
    </w:p>
    <w:p w14:paraId="700018D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«НКАП и Командующим ВВС утвержден отчет о совместных испытаниях двигателя РД-1. Приказом НКАП № 184сс от 13.03.43 г. завод № 16 обязывается изготовить и сдать в эксплуатацию первую серию двигателя РД-1.</w:t>
      </w:r>
    </w:p>
    <w:p w14:paraId="4EC66F2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Приказываю: присвоить условный заводской шифр двигателя РД-1 (вместо – заказ 5050).</w:t>
      </w:r>
    </w:p>
    <w:p w14:paraId="2DA3748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Начальнику ОКБ Бекетову выдать главному технологу завода чертежи и спецификации двигателя» (12049).</w:t>
      </w:r>
    </w:p>
    <w:p w14:paraId="72B92EF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54B72C0"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7A7E126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195E844" w14:textId="77777777" w:rsidR="00282955" w:rsidRPr="007224C3" w:rsidRDefault="00282955" w:rsidP="007224C3">
      <w:pPr>
        <w:pStyle w:val="a3"/>
        <w:rPr>
          <w:color w:val="000000" w:themeColor="text1"/>
          <w:lang w:val="ru-RU"/>
        </w:rPr>
      </w:pPr>
      <w:r w:rsidRPr="007224C3">
        <w:rPr>
          <w:color w:val="000000" w:themeColor="text1"/>
          <w:lang w:val="ru-RU"/>
        </w:rPr>
        <w:t>С 25 марта по 4 апреля 1944 проводились испытания пробегом СУ С-51. Само</w:t>
      </w:r>
      <w:r w:rsidRPr="007224C3">
        <w:rPr>
          <w:color w:val="000000" w:themeColor="text1"/>
          <w:lang w:val="ru-RU"/>
        </w:rPr>
        <w:softHyphen/>
        <w:t>ходную установку проверяли в различных дорожных условиях, глуби</w:t>
      </w:r>
      <w:r w:rsidRPr="007224C3">
        <w:rPr>
          <w:color w:val="000000" w:themeColor="text1"/>
          <w:lang w:val="ru-RU"/>
        </w:rPr>
        <w:softHyphen/>
        <w:t>на снежного покрова при этом достигала 200 мм. В общей сложности С-51 прошла 524 километра, из них 16 по булыжной мостовой и 40 по бездорожью. Основной объем ходовых испытаний пришелся на ас</w:t>
      </w:r>
      <w:r w:rsidRPr="007224C3">
        <w:rPr>
          <w:color w:val="000000" w:themeColor="text1"/>
          <w:lang w:val="ru-RU"/>
        </w:rPr>
        <w:softHyphen/>
        <w:t>фальтированное шоссе, поскольку требовались поездки на завод № 112. В ходе ходовых испытаний на шоссе была достигнута максимальная скорость 32 км/ч, а по бездорожью 22 км/ч. Специальных испыта</w:t>
      </w:r>
      <w:r w:rsidRPr="007224C3">
        <w:rPr>
          <w:color w:val="000000" w:themeColor="text1"/>
          <w:lang w:val="ru-RU"/>
        </w:rPr>
        <w:softHyphen/>
        <w:t>ний не проводилось, поскольку имелись различные поломки ходовой части. На 240-м километре вышли их строя правый бортовой фрикци</w:t>
      </w:r>
      <w:r w:rsidRPr="007224C3">
        <w:rPr>
          <w:color w:val="000000" w:themeColor="text1"/>
          <w:lang w:val="ru-RU"/>
        </w:rPr>
        <w:softHyphen/>
        <w:t>он и тормозная лента, еще раз правый фрикцион дал о себе знать на 360-м километре. Несколько раз имели место проблемы с гусеничны</w:t>
      </w:r>
      <w:r w:rsidRPr="007224C3">
        <w:rPr>
          <w:color w:val="000000" w:themeColor="text1"/>
          <w:lang w:val="ru-RU"/>
        </w:rPr>
        <w:softHyphen/>
        <w:t>ми лентами, срезало болты на крышках катков. Вместе с тем с двига</w:t>
      </w:r>
      <w:r w:rsidRPr="007224C3">
        <w:rPr>
          <w:color w:val="000000" w:themeColor="text1"/>
          <w:lang w:val="ru-RU"/>
        </w:rPr>
        <w:softHyphen/>
        <w:t>телем и торсионами проблем не возникало, что лишний раз подтверж</w:t>
      </w:r>
      <w:r w:rsidRPr="007224C3">
        <w:rPr>
          <w:color w:val="000000" w:themeColor="text1"/>
          <w:lang w:val="ru-RU"/>
        </w:rPr>
        <w:softHyphen/>
        <w:t>дало прочность ходовой части после программы огневых испытаний.</w:t>
      </w:r>
    </w:p>
    <w:p w14:paraId="7EFC5E87" w14:textId="77777777" w:rsidR="00282955" w:rsidRPr="007224C3" w:rsidRDefault="00282955" w:rsidP="007224C3">
      <w:pPr>
        <w:pStyle w:val="a3"/>
        <w:rPr>
          <w:color w:val="000000" w:themeColor="text1"/>
          <w:lang w:val="ru-RU"/>
        </w:rPr>
      </w:pPr>
      <w:r w:rsidRPr="007224C3">
        <w:rPr>
          <w:color w:val="000000" w:themeColor="text1"/>
          <w:lang w:val="ru-RU"/>
        </w:rPr>
        <w:t>Завершились испытания 6 апреля, а 9-го числа комиссия АНИОП дала заключение по их результатам:</w:t>
      </w:r>
    </w:p>
    <w:p w14:paraId="32C35B7A" w14:textId="77777777" w:rsidR="00282955" w:rsidRPr="007224C3" w:rsidRDefault="00282955" w:rsidP="007224C3">
      <w:pPr>
        <w:pStyle w:val="Bodytext141"/>
        <w:shd w:val="clear" w:color="auto" w:fill="auto"/>
        <w:spacing w:line="240" w:lineRule="auto"/>
        <w:ind w:firstLine="0"/>
        <w:jc w:val="both"/>
        <w:rPr>
          <w:i w:val="0"/>
          <w:color w:val="000000" w:themeColor="text1"/>
          <w:sz w:val="16"/>
          <w:szCs w:val="16"/>
        </w:rPr>
      </w:pPr>
      <w:r w:rsidRPr="007224C3">
        <w:rPr>
          <w:i w:val="0"/>
          <w:color w:val="000000" w:themeColor="text1"/>
          <w:sz w:val="16"/>
          <w:szCs w:val="16"/>
        </w:rPr>
        <w:t>«1. Самоходная гаубица «С-51» в основном испытания выдержала, так как:</w:t>
      </w:r>
    </w:p>
    <w:p w14:paraId="0B9929AC" w14:textId="77777777" w:rsidR="00282955" w:rsidRPr="007224C3" w:rsidRDefault="00282955" w:rsidP="007224C3">
      <w:pPr>
        <w:pStyle w:val="Bodytext141"/>
        <w:shd w:val="clear" w:color="auto" w:fill="auto"/>
        <w:tabs>
          <w:tab w:val="left" w:pos="905"/>
        </w:tabs>
        <w:spacing w:line="240" w:lineRule="auto"/>
        <w:ind w:firstLine="0"/>
        <w:jc w:val="both"/>
        <w:rPr>
          <w:i w:val="0"/>
          <w:color w:val="000000" w:themeColor="text1"/>
          <w:sz w:val="16"/>
          <w:szCs w:val="16"/>
        </w:rPr>
      </w:pPr>
      <w:r w:rsidRPr="007224C3">
        <w:rPr>
          <w:i w:val="0"/>
          <w:color w:val="000000" w:themeColor="text1"/>
          <w:sz w:val="16"/>
          <w:szCs w:val="16"/>
        </w:rPr>
        <w:t>а) работа и прочность агрегатов и механизмов орудия — удовлет</w:t>
      </w:r>
      <w:r w:rsidRPr="007224C3">
        <w:rPr>
          <w:i w:val="0"/>
          <w:color w:val="000000" w:themeColor="text1"/>
          <w:sz w:val="16"/>
          <w:szCs w:val="16"/>
        </w:rPr>
        <w:softHyphen/>
        <w:t>ворительные.</w:t>
      </w:r>
    </w:p>
    <w:p w14:paraId="0DE05081" w14:textId="77777777" w:rsidR="00282955" w:rsidRPr="007224C3" w:rsidRDefault="00282955" w:rsidP="007224C3">
      <w:pPr>
        <w:pStyle w:val="Bodytext141"/>
        <w:shd w:val="clear" w:color="auto" w:fill="auto"/>
        <w:tabs>
          <w:tab w:val="left" w:pos="900"/>
        </w:tabs>
        <w:spacing w:line="240" w:lineRule="auto"/>
        <w:ind w:firstLine="0"/>
        <w:jc w:val="both"/>
        <w:rPr>
          <w:i w:val="0"/>
          <w:color w:val="000000" w:themeColor="text1"/>
          <w:sz w:val="16"/>
          <w:szCs w:val="16"/>
        </w:rPr>
      </w:pPr>
      <w:r w:rsidRPr="007224C3">
        <w:rPr>
          <w:i w:val="0"/>
          <w:color w:val="000000" w:themeColor="text1"/>
          <w:sz w:val="16"/>
          <w:szCs w:val="16"/>
        </w:rPr>
        <w:t>б) прочность установочных частей орудия — достаточная.</w:t>
      </w:r>
    </w:p>
    <w:p w14:paraId="717D0DFF" w14:textId="77777777" w:rsidR="00282955" w:rsidRPr="007224C3" w:rsidRDefault="00282955" w:rsidP="007224C3">
      <w:pPr>
        <w:pStyle w:val="Bodytext141"/>
        <w:shd w:val="clear" w:color="auto" w:fill="auto"/>
        <w:tabs>
          <w:tab w:val="left" w:pos="866"/>
        </w:tabs>
        <w:spacing w:line="240" w:lineRule="auto"/>
        <w:ind w:firstLine="0"/>
        <w:jc w:val="both"/>
        <w:rPr>
          <w:i w:val="0"/>
          <w:color w:val="000000" w:themeColor="text1"/>
          <w:sz w:val="16"/>
          <w:szCs w:val="16"/>
        </w:rPr>
      </w:pPr>
      <w:r w:rsidRPr="007224C3">
        <w:rPr>
          <w:i w:val="0"/>
          <w:color w:val="000000" w:themeColor="text1"/>
          <w:sz w:val="16"/>
          <w:szCs w:val="16"/>
        </w:rPr>
        <w:t>в) работа и прочность агрегатов и механизмов самохода — удовлет</w:t>
      </w:r>
      <w:r w:rsidRPr="007224C3">
        <w:rPr>
          <w:i w:val="0"/>
          <w:color w:val="000000" w:themeColor="text1"/>
          <w:sz w:val="16"/>
          <w:szCs w:val="16"/>
        </w:rPr>
        <w:softHyphen/>
        <w:t>ворительная, за исключением трансмиссионной группы, которая во время испытаний имела ряд дефектов, вызванных общим пло</w:t>
      </w:r>
      <w:r w:rsidRPr="007224C3">
        <w:rPr>
          <w:i w:val="0"/>
          <w:color w:val="000000" w:themeColor="text1"/>
          <w:sz w:val="16"/>
          <w:szCs w:val="16"/>
        </w:rPr>
        <w:softHyphen/>
        <w:t>хим техническим состоянием ее до испытаний и изношенностью деталей.</w:t>
      </w:r>
    </w:p>
    <w:p w14:paraId="658EE51F" w14:textId="77777777" w:rsidR="00282955" w:rsidRPr="007224C3" w:rsidRDefault="00282955" w:rsidP="007224C3">
      <w:pPr>
        <w:pStyle w:val="Bodytext141"/>
        <w:shd w:val="clear" w:color="auto" w:fill="auto"/>
        <w:spacing w:line="240" w:lineRule="auto"/>
        <w:ind w:firstLine="0"/>
        <w:jc w:val="both"/>
        <w:rPr>
          <w:i w:val="0"/>
          <w:color w:val="000000" w:themeColor="text1"/>
          <w:sz w:val="16"/>
          <w:szCs w:val="16"/>
        </w:rPr>
      </w:pPr>
      <w:r w:rsidRPr="007224C3">
        <w:rPr>
          <w:i w:val="0"/>
          <w:color w:val="000000" w:themeColor="text1"/>
          <w:sz w:val="16"/>
          <w:szCs w:val="16"/>
        </w:rPr>
        <w:t>2. Существенными недостатками самоходной гаубицы «С-51» при</w:t>
      </w:r>
    </w:p>
    <w:p w14:paraId="35F8CF46" w14:textId="77777777" w:rsidR="00282955" w:rsidRPr="007224C3" w:rsidRDefault="00282955" w:rsidP="007224C3">
      <w:pPr>
        <w:pStyle w:val="Bodytext141"/>
        <w:shd w:val="clear" w:color="auto" w:fill="auto"/>
        <w:spacing w:line="240" w:lineRule="auto"/>
        <w:ind w:firstLine="0"/>
        <w:jc w:val="both"/>
        <w:rPr>
          <w:i w:val="0"/>
          <w:color w:val="000000" w:themeColor="text1"/>
          <w:sz w:val="16"/>
          <w:szCs w:val="16"/>
        </w:rPr>
      </w:pPr>
      <w:r w:rsidRPr="007224C3">
        <w:rPr>
          <w:i w:val="0"/>
          <w:color w:val="000000" w:themeColor="text1"/>
          <w:sz w:val="16"/>
          <w:szCs w:val="16"/>
        </w:rPr>
        <w:t>стрельбе являются:</w:t>
      </w:r>
    </w:p>
    <w:p w14:paraId="25347152" w14:textId="77777777" w:rsidR="00282955" w:rsidRPr="007224C3" w:rsidRDefault="00282955" w:rsidP="007224C3">
      <w:pPr>
        <w:pStyle w:val="Bodytext141"/>
        <w:shd w:val="clear" w:color="auto" w:fill="auto"/>
        <w:tabs>
          <w:tab w:val="left" w:pos="905"/>
        </w:tabs>
        <w:spacing w:line="240" w:lineRule="auto"/>
        <w:ind w:firstLine="0"/>
        <w:jc w:val="both"/>
        <w:rPr>
          <w:i w:val="0"/>
          <w:color w:val="000000" w:themeColor="text1"/>
          <w:sz w:val="16"/>
          <w:szCs w:val="16"/>
        </w:rPr>
      </w:pPr>
      <w:r w:rsidRPr="007224C3">
        <w:rPr>
          <w:i w:val="0"/>
          <w:color w:val="000000" w:themeColor="text1"/>
          <w:sz w:val="16"/>
          <w:szCs w:val="16"/>
        </w:rPr>
        <w:t>а) большой отход назад и сбиваемость наводки, особенно при малых углах возвышения, вследствие неудовлетворительной устойчиво</w:t>
      </w:r>
      <w:r w:rsidRPr="007224C3">
        <w:rPr>
          <w:i w:val="0"/>
          <w:color w:val="000000" w:themeColor="text1"/>
          <w:sz w:val="16"/>
          <w:szCs w:val="16"/>
        </w:rPr>
        <w:softHyphen/>
        <w:t>сти самохода при выстреле.</w:t>
      </w:r>
    </w:p>
    <w:p w14:paraId="67EC15CD" w14:textId="77777777" w:rsidR="00282955" w:rsidRPr="007224C3" w:rsidRDefault="0028295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Большое боковое рассеивание снарядов вследствие бокового сме</w:t>
      </w:r>
      <w:r w:rsidRPr="007224C3">
        <w:rPr>
          <w:rFonts w:ascii="Times New Roman" w:hAnsi="Times New Roman"/>
          <w:color w:val="000000" w:themeColor="text1"/>
          <w:sz w:val="16"/>
          <w:szCs w:val="16"/>
        </w:rPr>
        <w:softHyphen/>
        <w:t>щения орудия при выстреле.</w:t>
      </w:r>
    </w:p>
    <w:p w14:paraId="670D5075" w14:textId="77777777" w:rsidR="00282955" w:rsidRPr="007224C3" w:rsidRDefault="00282955" w:rsidP="007224C3">
      <w:pPr>
        <w:pStyle w:val="Bodytext141"/>
        <w:shd w:val="clear" w:color="auto" w:fill="auto"/>
        <w:spacing w:line="240" w:lineRule="auto"/>
        <w:ind w:firstLine="0"/>
        <w:jc w:val="both"/>
        <w:rPr>
          <w:i w:val="0"/>
          <w:color w:val="000000" w:themeColor="text1"/>
          <w:sz w:val="16"/>
          <w:szCs w:val="16"/>
        </w:rPr>
      </w:pPr>
      <w:r w:rsidRPr="007224C3">
        <w:rPr>
          <w:i w:val="0"/>
          <w:color w:val="000000" w:themeColor="text1"/>
          <w:sz w:val="16"/>
          <w:szCs w:val="16"/>
        </w:rPr>
        <w:t>Данные недостатки возможно устранить путем постановки сошни</w:t>
      </w:r>
      <w:r w:rsidRPr="007224C3">
        <w:rPr>
          <w:i w:val="0"/>
          <w:color w:val="000000" w:themeColor="text1"/>
          <w:sz w:val="16"/>
          <w:szCs w:val="16"/>
        </w:rPr>
        <w:softHyphen/>
        <w:t>ков в задней части корпуса самохода, как это было применено на 203-мм самоходной установке «СУ-14» конструкции и изготовления Кировского завода, проходившей испытания на НИАПе в 1936 году.</w:t>
      </w:r>
    </w:p>
    <w:p w14:paraId="04D4836E" w14:textId="77777777" w:rsidR="00282955" w:rsidRPr="007224C3" w:rsidRDefault="00282955" w:rsidP="007224C3">
      <w:pPr>
        <w:pStyle w:val="Bodytext141"/>
        <w:shd w:val="clear" w:color="auto" w:fill="auto"/>
        <w:spacing w:line="240" w:lineRule="auto"/>
        <w:ind w:firstLine="0"/>
        <w:jc w:val="both"/>
        <w:rPr>
          <w:i w:val="0"/>
          <w:color w:val="000000" w:themeColor="text1"/>
          <w:sz w:val="16"/>
          <w:szCs w:val="16"/>
        </w:rPr>
      </w:pPr>
      <w:r w:rsidRPr="007224C3">
        <w:rPr>
          <w:i w:val="0"/>
          <w:color w:val="000000" w:themeColor="text1"/>
          <w:sz w:val="16"/>
          <w:szCs w:val="16"/>
        </w:rPr>
        <w:t>Учитывая, что гаубица в основном будет вести стрельбу при больших углах возвышения, при которых отход назад и сбиваемость наводки менее значительны, для устранения отхода самохода при сравнительно редких и эпизодических стрельбах под малыми углами возвышения можно реко</w:t>
      </w:r>
      <w:r w:rsidRPr="007224C3">
        <w:rPr>
          <w:i w:val="0"/>
          <w:color w:val="000000" w:themeColor="text1"/>
          <w:sz w:val="16"/>
          <w:szCs w:val="16"/>
        </w:rPr>
        <w:softHyphen/>
        <w:t>мендовать подкладывать сзади под гусеницы деревянные брусья из подруч</w:t>
      </w:r>
      <w:r w:rsidRPr="007224C3">
        <w:rPr>
          <w:i w:val="0"/>
          <w:color w:val="000000" w:themeColor="text1"/>
          <w:sz w:val="16"/>
          <w:szCs w:val="16"/>
        </w:rPr>
        <w:softHyphen/>
        <w:t>ного материала.</w:t>
      </w:r>
    </w:p>
    <w:p w14:paraId="67C2CE27" w14:textId="77777777" w:rsidR="00282955" w:rsidRPr="007224C3" w:rsidRDefault="00282955" w:rsidP="007224C3">
      <w:pPr>
        <w:pStyle w:val="Bodytext141"/>
        <w:shd w:val="clear" w:color="auto" w:fill="auto"/>
        <w:spacing w:line="240" w:lineRule="auto"/>
        <w:ind w:firstLine="0"/>
        <w:jc w:val="both"/>
        <w:rPr>
          <w:i w:val="0"/>
          <w:color w:val="000000" w:themeColor="text1"/>
          <w:sz w:val="16"/>
          <w:szCs w:val="16"/>
        </w:rPr>
      </w:pPr>
      <w:r w:rsidRPr="007224C3">
        <w:rPr>
          <w:i w:val="0"/>
          <w:color w:val="000000" w:themeColor="text1"/>
          <w:sz w:val="16"/>
          <w:szCs w:val="16"/>
        </w:rPr>
        <w:t>3. АНИОП считает, что 203 мм самоходная гаубица «С-51 по срав</w:t>
      </w:r>
      <w:r w:rsidRPr="007224C3">
        <w:rPr>
          <w:i w:val="0"/>
          <w:color w:val="000000" w:themeColor="text1"/>
          <w:sz w:val="16"/>
          <w:szCs w:val="16"/>
        </w:rPr>
        <w:softHyphen/>
        <w:t>нению с 203-мм гаубицей «Б-4» обладает большей маневренностью движения и огня при сохранении своего огневого могущества и по устранении недостатков, выявленных при испытании и отмеченных в настоящем отчете, может быть рекомендована на вооружение Красной Армии» (17484).</w:t>
      </w:r>
    </w:p>
    <w:p w14:paraId="376B9B0A" w14:textId="77777777" w:rsidR="00282955" w:rsidRPr="007224C3" w:rsidRDefault="00282955" w:rsidP="007224C3">
      <w:pPr>
        <w:spacing w:after="0" w:line="240" w:lineRule="auto"/>
        <w:jc w:val="both"/>
        <w:rPr>
          <w:rFonts w:ascii="Times New Roman" w:hAnsi="Times New Roman"/>
          <w:color w:val="000000" w:themeColor="text1"/>
          <w:sz w:val="16"/>
          <w:szCs w:val="16"/>
        </w:rPr>
      </w:pPr>
    </w:p>
    <w:p w14:paraId="3627A58D" w14:textId="77777777" w:rsidR="00133AA8" w:rsidRPr="007224C3" w:rsidRDefault="00133AA8" w:rsidP="007224C3">
      <w:pPr>
        <w:pStyle w:val="ae"/>
        <w:shd w:val="clear" w:color="auto" w:fill="FFFFFF"/>
        <w:spacing w:before="0" w:after="0"/>
        <w:jc w:val="both"/>
        <w:rPr>
          <w:color w:val="000000" w:themeColor="text1"/>
          <w:sz w:val="16"/>
          <w:szCs w:val="16"/>
        </w:rPr>
      </w:pPr>
      <w:r w:rsidRPr="007224C3">
        <w:rPr>
          <w:color w:val="000000" w:themeColor="text1"/>
          <w:sz w:val="16"/>
          <w:szCs w:val="16"/>
        </w:rPr>
        <w:t>С 25 марта по 4 апреля 1944 проходили испытания С-51 пробегом. Самоходную установку проверяли в различных дорожных условиях, глубина снежного покрова при этом достигала 200 мм. В общей сложности С-51 прошла 524 километра, в том числе 16 по булыжной мостовой и 40 по бездорожью. Основной объём ходовых испытаний пришёлся на асфальтированное шоссе благодаря тому, что САУ совершала поездки на завод №112. Была достигнута максимальная скорость 32 км/ч, а по бездорожью — 22 км/ч. Специальных испытаний САУ не проводилось, поскольку имели место различные поломки ходовой части. На 240-м километре вышли из строя правый бортовой фрикцион и тормозная лента, ещё раз правый фрикцион дал о себе знать на 360-м километре. Имели место проблемы с гусеничными лентами, срезало болты на крышках катков. А вот с двигателем и торсионами проблем не возникало.</w:t>
      </w:r>
    </w:p>
    <w:p w14:paraId="2A06E0AD" w14:textId="77777777" w:rsidR="00133AA8" w:rsidRPr="007224C3" w:rsidRDefault="00133AA8" w:rsidP="007224C3">
      <w:pPr>
        <w:pStyle w:val="ae"/>
        <w:shd w:val="clear" w:color="auto" w:fill="FFFFFF"/>
        <w:spacing w:before="0" w:after="0"/>
        <w:jc w:val="both"/>
        <w:rPr>
          <w:color w:val="000000" w:themeColor="text1"/>
          <w:sz w:val="16"/>
          <w:szCs w:val="16"/>
        </w:rPr>
      </w:pPr>
      <w:r w:rsidRPr="007224C3">
        <w:rPr>
          <w:color w:val="000000" w:themeColor="text1"/>
          <w:sz w:val="16"/>
          <w:szCs w:val="16"/>
        </w:rPr>
        <w:t>Комиссия АНИОП признала С-51 выдержавшей испытания. Вместе с тем, к САУ имелись претензии. Наблюдалось большое рассеивание снарядов из-за бокового смещения орудия при стрельбе. Недостаточная устойчивость при выстреле приводила к сбитию наводки и отходу машины назад. Эту проблему предлагалось решить установкой сошников. Тем не менее довольно удачные результаты испытаний позволили Грабину говорить о запуске С-51 в серию. Для начала речь шла о 20–30 САУ. К этой идее отрицательно отнеслись в Управлении самоходной артиллерии, где посчитали нерациональным использовать шасси КВ-1с для изготовления тяжёлой САУ с лёгким щитовым прикрытием. Кроме того, боевая масса С-51 составляла 50 тонн, а ситуация первой половины 1942 года, когда у доведенных до такой массы КВ-1 «сыпались» агрегаты моторно-трансмиссионной группы, была ещё свежа в памяти руководства ГБТУ КА. Было решено провести дополнительные испытания самоходной установки, которые так и не состоялись: шасси после весенних пробегов требовало капитального ремонта (18075).</w:t>
      </w:r>
    </w:p>
    <w:p w14:paraId="64E60724" w14:textId="77777777" w:rsidR="00133AA8" w:rsidRPr="007224C3" w:rsidRDefault="00133AA8" w:rsidP="007224C3">
      <w:pPr>
        <w:shd w:val="clear" w:color="auto" w:fill="FFFFFF"/>
        <w:spacing w:after="0" w:line="240" w:lineRule="auto"/>
        <w:jc w:val="both"/>
        <w:rPr>
          <w:rFonts w:ascii="Times New Roman" w:hAnsi="Times New Roman"/>
          <w:noProof/>
          <w:color w:val="000000" w:themeColor="text1"/>
          <w:sz w:val="16"/>
          <w:szCs w:val="16"/>
          <w:lang w:eastAsia="ru-RU"/>
        </w:rPr>
      </w:pPr>
    </w:p>
    <w:p w14:paraId="67ACD60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марта 1944 вышло Постановление ГКО № 5462 О мероприятиях по усилению продовольственной базы промышленных центров Свердловской области. РГАНИР, Фонд ГКО, д. 221, лл. 1-21,22-26 (11012).</w:t>
      </w:r>
    </w:p>
    <w:p w14:paraId="6C9CB91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37597A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марта 1944 года По решению ГОКО в Свердловске организован филиал Всесоюзного института растениеводства (8950).</w:t>
      </w:r>
    </w:p>
    <w:p w14:paraId="6148861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4DDE3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марта 1944 вышло Распоряжение ГКО № 5463. О своевременных поставках подшипниковой стали подшипниковым заводам НКСМ. РГАНИР, Фонд ГКО, д. 221, лл. 27 (11012).</w:t>
      </w:r>
    </w:p>
    <w:p w14:paraId="6452384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146996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марта 1944 вышло Постановление ГКО № 5464 О неотложных мерах по восстановлению завода сельхозмашиностроения "Гомсельмаш" НКМВ в гор. Гомеле. РГАНИР, Фонд ГКО, д. 221, лл. 28-29,30-40 (11012).</w:t>
      </w:r>
    </w:p>
    <w:p w14:paraId="4C78879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6F6B75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марта 1944 вышло Постановление ГКО № 5465 Об организационно-технических мероприятиях и материально-техническом обеспечении жилищно-гражданского строительства, осуществляемого Наркомгражданстроем РСФСР. РГАНИР, Фонд ГКО, д. 221, лл. 41-47,48-60 (11012).</w:t>
      </w:r>
    </w:p>
    <w:p w14:paraId="01E5999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0422D24"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65CA9E8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92FEFAB"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25 марта</w:t>
      </w:r>
      <w:r w:rsidRPr="007224C3">
        <w:rPr>
          <w:rFonts w:ascii="Times New Roman" w:hAnsi="Times New Roman"/>
          <w:color w:val="000000" w:themeColor="text1"/>
          <w:sz w:val="16"/>
          <w:szCs w:val="16"/>
        </w:rPr>
        <w:t xml:space="preserve"> в 1944 году оперативная сводка Совинформбюро:</w:t>
      </w:r>
    </w:p>
    <w:p w14:paraId="2F0A3210"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1-го Украинского фронта после упорных боёв 25 марта штурмом овладели городом и крупным железнодорожным узлом Проскуров — сильным опорным пунктом обороны немцев и, продолжая развивать наступление, с боями заняли более 150 других населённых пунктов, в том числе районные центры Каменец-Подольской области — город и крупную железнодорожную станцию Деражня, город Сатанов, город Городок, Волковинцы, Чемировцы, Оринин, районные центры Тарнопольской области —город Бучач, город Борщёв, Скала, Буданов, крупные населённые пункты Бенява, Дарахов, Хмелёвка, Доброполе, Лясковце, Вежбовец, Устечко, Летава, Лянцкорунь, Ольховцы, Свиржковцы, Ивахновцы, Мудроголовы, Сказинцы, Копыстин, Масиовцы, Гатна Деражня, Галузинцы, Луки Барские, Комаровцы, Ивановцы и железнодорожные станции Закупное, Лесоводы, Виктория, Скибнево, Комаровцы, Бучач, Белобожница. Наши войска вплотную подошли к городу Каменец-Подольск, завязали бои на его окраинах и вышли на реку Днестр на фронте до 80 километров.</w:t>
      </w:r>
    </w:p>
    <w:p w14:paraId="352F5978"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западу и югу от города Могилёв-Подольский наши войска, продолжая развивать наступление, овладели районными центрами Молдавской ССР городом Единцы, Братушаны, а также с боями заняли более 50 других населённых пунктов, в том числе крупные населённые пункты Ожево, Кобольчин, Гвоздовцы, Мендыковцы, Корыстоуцы, Марковцы, Чепелевцы, Александрены, Стольничаны, Загайканы, Пыржота, Стурдзяны, Балан, Стрымба, Реуцел и железнодорожные станции Дондушени, Гринауцы, Окница, Секуряны, Реуцел.</w:t>
      </w:r>
    </w:p>
    <w:p w14:paraId="74881945"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и южнее города Гайворон наши войска с боями продвигались вперёд и заняли более 40 населённых пунктов, среди которых крупные населённые пункты Рашков, Катериновка, Строинци, Большой Молокиш, Красненькое, Крутые, Слободзея, Ксендзовка, Мошняги, Мироны, Бендзары, Немировское, Пасат, и железнодорожную станцию Абамелеково.</w:t>
      </w:r>
    </w:p>
    <w:p w14:paraId="243E739D"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Николаевском направлении наши войска, преодолевая упорное сопротивление и контратаки противника, продолжали вести наступательные бои, в ходе которых овладели сильно укреплёнными опорными пунктами Погорелова, Мешково, Широкая Балка и железнодорожными станциями Кульбакино, Водопой (3 километра юго-восточнее города Николаев).</w:t>
      </w:r>
    </w:p>
    <w:p w14:paraId="0AE61825"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в ряде пунктов шли бои местного значения.</w:t>
      </w:r>
    </w:p>
    <w:p w14:paraId="3838E935"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24 марта наши войска на всех фронтах подбили и уничтожили 42 немецких танка. В воздушных боях и огнём зенитной артиллерии сбито 28 самолётов противника.</w:t>
      </w:r>
    </w:p>
    <w:p w14:paraId="7A575EB5"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Войска 1-го Украинского фронта продолжали успешное наступление. Тесня крупные силы противника, наши войска вчера овладели предместьем Проскурова — Заречье, а затем форсировали Южный Буг и завязали уличные бои в городе. Другие наши части ворвались в Проскуров с запада. В ожесточённых уличных боях немецкий гарнизон был разгромлен. Овладев городом Проскуров, наши войска захватили огромные трофеи и взяли свыше 1.000 пленных. На подступах к городу и </w:t>
      </w:r>
      <w:r w:rsidRPr="007224C3">
        <w:rPr>
          <w:rFonts w:ascii="Times New Roman" w:hAnsi="Times New Roman"/>
          <w:color w:val="000000" w:themeColor="text1"/>
          <w:sz w:val="16"/>
          <w:szCs w:val="16"/>
        </w:rPr>
        <w:lastRenderedPageBreak/>
        <w:t>на его улицах остались тысячи вражеских трупов и много разбитой техники противника. Наши подвижныеотряды, преследуя отступающих гитлеровцев, захватили более 3.000 автомашин с различными грузами.</w:t>
      </w:r>
    </w:p>
    <w:p w14:paraId="04D93866"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Советские подвижные соединения стремительными ударами овладели городами Борщёв, Скала, районными центрами Каменец-Подольской области Чемировцы, Оринин. Вражеские гарнизоны этих и ряда других населённых пунктов разбиты. Многие немцы сложили оружие и сдались в плен. Тысячи гитлеровцев побросали оружие и разбежались по лесам. Пройдя с боями за день до 50 километров, наши войска вышли на подступы к городу Каменец-Подольску и завязали бои на его северной и западной окраинах.</w:t>
      </w:r>
    </w:p>
    <w:p w14:paraId="1C55513C"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городе Гусятин наши войска захватили у немцев 30 танков, 300 автомашин, 3 эшелона с артиллерией, большие склады с продовольствием, оружием, военным снаряжением и боеприпасами. В другом районе советским частям достались в исправном состоянии немецкие танки, в том числе 10 «Тигров» и 15 «Пантер». В городе Деражня захвачено свыше 1.000 автомашин и много других трофеев.</w:t>
      </w:r>
    </w:p>
    <w:p w14:paraId="101A3CC6"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западу и к югу от города Могилёв-Подольский наши войска успешно продвигались вперёд. Бойцы Н-ского соединения, развивая наступление, овладели районными центрами Молдавской ССР городом Единцы, Братушаны. Другие наши части штурмом заняли населённый пункт и железнодорожную станцию Реуцел и тем самым перерезали железную дорогу Бельцы-Яссы. Взято в плен несколько сот немецких солдат и офицеров. На окраинах города Бельцы продолжались бои. Преодолевая упорное сопротивление противника, советские части захватили выгодные позиции. В течение дня уничтожено до 2.000 солдат и офицеров противника.</w:t>
      </w:r>
    </w:p>
    <w:p w14:paraId="599A2077"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и южнее города Гайворон немцы, опираясь на заранее подготовленный оборонительный рубеж, проходящий по оврагам около населённых пунктов Большой Молокиш, Крутые, оказывали упорное сопротивление. Противник сосредоточил здесь крупные силы и любой ценой пытался удержать в своих руках железную дорогу. Советские танкисты в ожесточённом бою разгромили части двух пехотных дивизий противника и прорвали оборону немцев. Другие наши части с боями продвинулись вперёд на 20 километров и вышли на подступы к городу Балта. Противник несёт огромные потери в живой силе и технике.</w:t>
      </w:r>
    </w:p>
    <w:p w14:paraId="08DC5957"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Баренцовом море наши корабли потопили немецкий транспорт водоизмещением в 10 тысяч тонн и сторожевой катер противника.</w:t>
      </w:r>
    </w:p>
    <w:p w14:paraId="085C057F"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Вчера Советское Информбюро сообщало о разгроме немецкого каравана судов в Финском заливе. Сегодня получены дополнительные сведения об этой успешной операции советских лётчиков. Наши штурмовики и истребители начали преследование вражеских судов рано утром. К двум часам дня советские лётчики потопили два транспорта водоизмещением по 2 тысячи тонн каждый, один сторожевой корабль и катер. Корабли противника вели сильный зенитный огонь. Снарядом был повреждён самолёт майора Каштанкина. Лётчик направил свой горящий самолёт на немецкий корабль и таранным ударом потопил его. Майор Каштанкин погиб смертью героя. Во второй половине дня наши лётчики настигли суда противника в порту Ассери. Сброшенными бомбами взорван и потоплен ещё один сторожевой корабль противника. Другой сторожевой корабль был подожжён. В результате бомбардировки в порту отмечен сильный взрыв. В воздушных боях сбито 6 немецких самолётов. Наши потери — 4 самолёта.</w:t>
      </w:r>
    </w:p>
    <w:p w14:paraId="4D4B9707" w14:textId="77777777" w:rsidR="00EB5859" w:rsidRPr="007224C3" w:rsidRDefault="00EB585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Отряд латвийских партизан «Лачплесис» за две недели пустил под откос семь немецких воинских эшелонов. В бою с немецкой карательной экспедицией советские патриоты истребили 60 гитлеровцев. Группа латвийских партизан из отряда «Смерть немецким захватчикам» ночью проникла на железнодорожную станцию и заминировала входные стрелки. На поставленных партизанами минах подорвался немецкий воинский эшелон. Разбиты паровоз и 27 вагонов. Через несколько минут на обломки разбитого эшелона наскочил встречный поезд и также потерпел аварию. Железнодорожное сообщение на этом участке прервано на несколько дней.» (15079).</w:t>
      </w:r>
    </w:p>
    <w:p w14:paraId="67EDC2BB" w14:textId="77777777" w:rsidR="00EB5859" w:rsidRPr="007224C3" w:rsidRDefault="00EB5859" w:rsidP="007224C3">
      <w:pPr>
        <w:spacing w:after="0" w:line="240" w:lineRule="auto"/>
        <w:jc w:val="both"/>
        <w:rPr>
          <w:rFonts w:ascii="Times New Roman" w:hAnsi="Times New Roman"/>
          <w:color w:val="000000" w:themeColor="text1"/>
          <w:sz w:val="16"/>
          <w:szCs w:val="16"/>
        </w:rPr>
      </w:pPr>
    </w:p>
    <w:p w14:paraId="27545BF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марта 1944 г. вышел ПРИКАЗ НАЧАЛЬНИКА ГАВТУ КА О ПОДНЯТИИ БОЕВОЙ ГОТОВНОСТИ АВТОМОБИЛЬНЫХ ЧАСТЕЙ КРАСНОЙ АРМИИ №042</w:t>
      </w:r>
    </w:p>
    <w:p w14:paraId="6A582ED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целях повышения готовности автомобильных частей и учреждений, находящихся в действу</w:t>
      </w:r>
      <w:r w:rsidRPr="007224C3">
        <w:rPr>
          <w:rFonts w:ascii="Times New Roman" w:hAnsi="Times New Roman"/>
          <w:color w:val="000000" w:themeColor="text1"/>
          <w:sz w:val="16"/>
          <w:szCs w:val="16"/>
        </w:rPr>
        <w:softHyphen/>
        <w:t>ющей армии, для борьбы с диверсионно-шпионскими группами, оставляемыми противником при отходе на нашей территории, - ПРИКАЗЫВАЮ:</w:t>
      </w:r>
    </w:p>
    <w:p w14:paraId="540A362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Потребовать от всех командиров автомобильных частей и подразделений:</w:t>
      </w:r>
    </w:p>
    <w:p w14:paraId="26CCC25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точного выполнения уставных требований по охране автомобильных частей и подразделений как при расположении на месте — сторожевое охранение, так и на марше — походное охранение;</w:t>
      </w:r>
    </w:p>
    <w:p w14:paraId="1848A90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особого внимания к охране грузов и транспортов в пути, что в значительной мере достигается строжайшим соблюдением дисциплины марша (нормальная растяжка колонн, отсутствие отстав</w:t>
      </w:r>
      <w:r w:rsidRPr="007224C3">
        <w:rPr>
          <w:rFonts w:ascii="Times New Roman" w:hAnsi="Times New Roman"/>
          <w:color w:val="000000" w:themeColor="text1"/>
          <w:sz w:val="16"/>
          <w:szCs w:val="16"/>
        </w:rPr>
        <w:softHyphen/>
        <w:t>ших машин, меры наблюдения и охраны при всяких остановках и т.д.).</w:t>
      </w:r>
    </w:p>
    <w:p w14:paraId="368A0D9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Для успешных действий частей и подразделений при нападении диверсионных групп, обучить весь личный состав автомобильных войск владению оружием и ручными гранатами. Для этой цели личный состав авточастей немедленно обеспечить положенным оружием.</w:t>
      </w:r>
    </w:p>
    <w:p w14:paraId="6938710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План обороны своих объектов (рубежи обороны и огневые позиции, боевой расчет личного состава, порядок сбора по тревоге и пр.) иметь при всякой обстановке.</w:t>
      </w:r>
    </w:p>
    <w:p w14:paraId="35563B6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Навести строжайший порядок в войсковых частях (учреждениях), применив решительные меры по охране штабов (учреждений) и автотранспорта по изолированию его от местного населения.</w:t>
      </w:r>
    </w:p>
    <w:p w14:paraId="4832521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Начальникам управления эксплуатации и автоперевозок, ремонтного управления и автомо</w:t>
      </w:r>
      <w:r w:rsidRPr="007224C3">
        <w:rPr>
          <w:rFonts w:ascii="Times New Roman" w:hAnsi="Times New Roman"/>
          <w:color w:val="000000" w:themeColor="text1"/>
          <w:sz w:val="16"/>
          <w:szCs w:val="16"/>
        </w:rPr>
        <w:softHyphen/>
        <w:t>бильных управлений фронтов (округов) донести мне о принятых мерах и достигнутых результатах к 1 мая 1944 г.</w:t>
      </w:r>
    </w:p>
    <w:p w14:paraId="4D83E42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Приказ объявить всему офицерскому составу автомобильных войск до командира роты вклю</w:t>
      </w:r>
      <w:r w:rsidRPr="007224C3">
        <w:rPr>
          <w:rFonts w:ascii="Times New Roman" w:hAnsi="Times New Roman"/>
          <w:color w:val="000000" w:themeColor="text1"/>
          <w:sz w:val="16"/>
          <w:szCs w:val="16"/>
        </w:rPr>
        <w:softHyphen/>
        <w:t>чительно.</w:t>
      </w:r>
    </w:p>
    <w:p w14:paraId="57D4243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ГАВТУ КА генерал-лейтенант технических войск Тягунов</w:t>
      </w:r>
    </w:p>
    <w:p w14:paraId="007E952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41. Оп. 11593. Д. 192. Л. 37. Копия (11403).</w:t>
      </w:r>
    </w:p>
    <w:p w14:paraId="132D732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1A69108"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марта 1944 советские войска освободили Проскуров (ныне Хмельницкий) (4962). 1944 году части 4-й советской танковой армии освободили от немцев Каменец-Подольский на Западной Украине. Гарнизон города до начала штурма: 9 000 солдат, 85 танков, 62 орудия и 300 пулеметов; советскими войсками было захвачено 72 танка и 400 автомашин</w:t>
      </w:r>
    </w:p>
    <w:p w14:paraId="7E16AF4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74FA810"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Внешняя политика:</w:t>
      </w:r>
    </w:p>
    <w:p w14:paraId="55EF432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6F02B1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марта 1944 года</w:t>
      </w:r>
    </w:p>
    <w:p w14:paraId="56B2488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ЛИЧНО И СЕКРЕТНО ОТ ПРЕМЬЕРА И. В. СТАЛИНА ПРЕМЬЕР-МИНИСТРУ г-ну У. ЧЕРЧИЛЛЮ</w:t>
      </w:r>
    </w:p>
    <w:p w14:paraId="10964DB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Мною произведена строгая проверка Вашего сообщения о том, что разглашение переписки между мною и Вами произошло по вине Советского Посольства в Лондоне и лично Посла Ф. Т. Гусева. Эта проверка показала, что ни Посольство, ни лично Ф Т. Гусев в этом совершенно неповинны и даже вовсе не имели некоторых из документов, содержание которых было оглашено в английских газетах. Таким образом, разглашение произошло не с советской, а с английской стороны. Гусев согласен пойти на любое расследование этого дела, чтобы доказать, что он и люди из его аппарата совершенно не причастны к делу разглашения содержания нашей переписки. Мне кажется, что Вас ввели в заблуждение насчет Гусева и Советского Посольства (2430).</w:t>
      </w:r>
    </w:p>
    <w:p w14:paraId="712F84E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0A4039"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6F4EAE6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886CF76" w14:textId="77777777" w:rsidR="004F35D0" w:rsidRPr="007224C3" w:rsidRDefault="004F35D0"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25 марта</w:t>
      </w:r>
      <w:r w:rsidRPr="007224C3">
        <w:rPr>
          <w:rFonts w:ascii="Times New Roman" w:hAnsi="Times New Roman"/>
          <w:color w:val="000000" w:themeColor="text1"/>
          <w:sz w:val="16"/>
          <w:szCs w:val="16"/>
        </w:rPr>
        <w:t xml:space="preserve"> в 1944 году в воздух поднялся очередной прототип – </w:t>
      </w:r>
      <w:hyperlink r:id="rId87" w:tgtFrame="_blank" w:history="1">
        <w:r w:rsidRPr="007224C3">
          <w:rPr>
            <w:rFonts w:ascii="Times New Roman" w:hAnsi="Times New Roman"/>
            <w:color w:val="000000" w:themeColor="text1"/>
            <w:sz w:val="16"/>
            <w:szCs w:val="16"/>
          </w:rPr>
          <w:t xml:space="preserve">«Do-335V6» </w:t>
        </w:r>
      </w:hyperlink>
      <w:r w:rsidRPr="007224C3">
        <w:rPr>
          <w:rFonts w:ascii="Times New Roman" w:hAnsi="Times New Roman"/>
          <w:color w:val="000000" w:themeColor="text1"/>
          <w:sz w:val="16"/>
          <w:szCs w:val="16"/>
        </w:rPr>
        <w:t>(CP+UF, W.Nr. 230006), предназначенный для испытаний оборудования. На этом прототипе испытывался, в частности, радиоальтиметр «FuG101». Полеты на шестом прототипе проводил Альтрогге. Вероятно (хотя точной информации нет), «V6» был дублером «V7» в программе испытаний двигателя «Jumo213», проводившихся летом 1944 года на фирме «Junkers» в Дессау. До этого времени испытания прототипов проходили без серьезных проблем. Единственным серьезным недостатком была недостаточность системы охлаждения заднего двигателя (15079).</w:t>
      </w:r>
    </w:p>
    <w:p w14:paraId="26D1B484" w14:textId="77777777" w:rsidR="004F35D0" w:rsidRPr="007224C3" w:rsidRDefault="004F35D0" w:rsidP="007224C3">
      <w:pPr>
        <w:spacing w:after="0" w:line="240" w:lineRule="auto"/>
        <w:jc w:val="both"/>
        <w:rPr>
          <w:rFonts w:ascii="Times New Roman" w:hAnsi="Times New Roman"/>
          <w:color w:val="000000" w:themeColor="text1"/>
          <w:sz w:val="16"/>
          <w:szCs w:val="16"/>
        </w:rPr>
      </w:pPr>
    </w:p>
    <w:p w14:paraId="1E8F5361" w14:textId="77777777" w:rsidR="00003C7F" w:rsidRPr="007224C3" w:rsidRDefault="00003C7F"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25 марта 1944 британский двухмоторный самолет впервые приземляется на авианосец, когда лейтенант-коммандер Э. М. Браун приземляет военно-морской де Havilland Mosquito VI на британский авианосец HMS Indefatigable (20373).</w:t>
      </w:r>
    </w:p>
    <w:p w14:paraId="7B7E673B" w14:textId="77777777" w:rsidR="00003C7F" w:rsidRPr="007224C3" w:rsidRDefault="00003C7F" w:rsidP="007224C3">
      <w:pPr>
        <w:spacing w:after="0" w:line="240" w:lineRule="auto"/>
        <w:jc w:val="both"/>
        <w:rPr>
          <w:rFonts w:ascii="Times New Roman" w:hAnsi="Times New Roman"/>
          <w:color w:val="0070C0"/>
          <w:sz w:val="16"/>
          <w:szCs w:val="16"/>
        </w:rPr>
      </w:pPr>
    </w:p>
    <w:p w14:paraId="3B4B4F13" w14:textId="77777777" w:rsidR="00003C7F" w:rsidRPr="007224C3" w:rsidRDefault="00003C7F"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25–26 марта (ночь) 1944 192 британских бомбардировщика без потерь атаковали железнодорожные станции в Аульном, Франция (20373).</w:t>
      </w:r>
    </w:p>
    <w:p w14:paraId="5325637E" w14:textId="77777777" w:rsidR="00003C7F" w:rsidRPr="007224C3" w:rsidRDefault="00003C7F" w:rsidP="007224C3">
      <w:pPr>
        <w:spacing w:after="0" w:line="240" w:lineRule="auto"/>
        <w:jc w:val="both"/>
        <w:rPr>
          <w:rFonts w:ascii="Times New Roman" w:hAnsi="Times New Roman"/>
          <w:color w:val="0070C0"/>
          <w:sz w:val="16"/>
          <w:szCs w:val="16"/>
        </w:rPr>
      </w:pPr>
    </w:p>
    <w:p w14:paraId="5C66BF93" w14:textId="77777777" w:rsidR="00003C7F" w:rsidRPr="007224C3" w:rsidRDefault="00003C7F"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25–26 марта (ночь) 1944 22 Британских Ланкастеров без потерь ударил по заводу авиационных двигателей в Лионе, Франция (20373).</w:t>
      </w:r>
    </w:p>
    <w:p w14:paraId="6CD04C55" w14:textId="77777777" w:rsidR="00003C7F" w:rsidRPr="007224C3" w:rsidRDefault="00003C7F" w:rsidP="007224C3">
      <w:pPr>
        <w:spacing w:after="0" w:line="240" w:lineRule="auto"/>
        <w:jc w:val="both"/>
        <w:rPr>
          <w:rFonts w:ascii="Times New Roman" w:hAnsi="Times New Roman"/>
          <w:color w:val="0070C0"/>
          <w:sz w:val="16"/>
          <w:szCs w:val="16"/>
        </w:rPr>
      </w:pPr>
    </w:p>
    <w:p w14:paraId="5606ECD7"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марта 1944 после двух лет сооружения подземного туннеля в лагере Саган (128 км от Берлина) 76 военнопленных ночью бежали по нему (туннель был снабжен вентиляцией и железной дорогой) (4962).</w:t>
      </w:r>
    </w:p>
    <w:p w14:paraId="62B8D97B"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87C3AA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марта 1944 летчики союзников совершали массовый побег из немецкого концлагеря Stalag Luft (2247,2).</w:t>
      </w:r>
    </w:p>
    <w:p w14:paraId="00E39D0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0C908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March 25, 1944. Fifteenth Air Force crews close the Brenner Pass between Italy and Austria. This mission, against the Aviso viaduct, is the first operational use of the VB-I Azon (Azimuth Only) radio-controlled bomb (1089).</w:t>
      </w:r>
    </w:p>
    <w:p w14:paraId="78125E1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3B0A11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марта 1944 15ВА перекрыла перевал Бреннер между Италией и Австрией и впервые была использована радиоуправляемая бомба VB-I Azon (Azimuth Only) (2247,2).</w:t>
      </w:r>
    </w:p>
    <w:p w14:paraId="5A2128F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2CEFA2"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67F1EF4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775069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26/28 марта 1944 вышел приказ командующего ВВС и НКАП N 061/219с "О проведении войсковых испытаний винтов АВ-5Л-158 с текстолитовыми радиальными подшипниками на самолетах Ил-2 с АМ-38Ф к 1 июня 1944" (1627,72).</w:t>
      </w:r>
    </w:p>
    <w:p w14:paraId="6F8B284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95CA1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26 марта по 2 апреля 1944 на аэродроме у Медвежьих озер на базе отдельной испытательной эскадрильи проходил первый этап испытаний 37-мм противотанковых пушек. Второй этап - стрельбы - проходил на курсах им. Ворошилова с 3 по 18 апреля 1944 (3861).</w:t>
      </w:r>
    </w:p>
    <w:p w14:paraId="3576D68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10004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марта 1944 года инженер-подполковник Кокорин подготовил Рапорт выводов по результатам проведенных в г. Иркутске на заводе N 39 испытаний головных серийных модифицированных самолетов N 7013901 с винтами АВ5 116 и N 7013903 с винтами ВИШ 24</w:t>
      </w:r>
    </w:p>
    <w:p w14:paraId="1FE6C55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Примечание:</w:t>
      </w:r>
    </w:p>
    <w:p w14:paraId="732C3FA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Выводы подлежат проверке и уточнению и редактированию в процессе дальнейших испытаний самолетов Ер-2 N 7013901 2АЧ30Б с винтами АВ5 116 на аэродроме НИИ ВВС в Чкаловской.</w:t>
      </w:r>
    </w:p>
    <w:p w14:paraId="0393400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Выводы действительны только после утверждения гл. инженером ВВС генерал-полковником Репиным, начальником НИИ ВВС генерал-лейтенантом ИАС Лосюковым и гл. инженером АДД Марковым.</w:t>
      </w:r>
    </w:p>
    <w:p w14:paraId="430C8D0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Проект выводов подлежит возвращению НИИ ВВС после получения директором завода акта по испытаниям самолета Ер-2 N 7013901.</w:t>
      </w:r>
    </w:p>
    <w:p w14:paraId="538B5E1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Директору завода N 39 Абрамову.</w:t>
      </w:r>
    </w:p>
    <w:p w14:paraId="24A5B80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Направляю проект выводов.</w:t>
      </w:r>
    </w:p>
    <w:p w14:paraId="0491C14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г. Иркутске проведены на заводе N 39 испытания головных серийных модифицированных самолетов Ер-2 N 7013901 с мотором 2-АЧ-30Б и винтами АВ-5 и АМ3 116 и N 7013903 и винтами АЧ и ВИШ-24.</w:t>
      </w:r>
    </w:p>
    <w:p w14:paraId="66B1A23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время испытаний на самолете N 70139701 произведено 15 полетов общей продолжительностью 2. часов 7 мин. и на самолете N 7013903 11 полетов продолжительностью 18 часов 10 минут.</w:t>
      </w:r>
    </w:p>
    <w:p w14:paraId="47A9838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самолете 7013901 из полетов выполнены 6, остальные полеты были прекращены из-за конструктивной неисправности материальной части в полете.</w:t>
      </w:r>
    </w:p>
    <w:p w14:paraId="4D28BB6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самолете 701393 из 11 полетов выполнено 9 и только 2 полета прекращены по конструктивной неисправности материальной части в полете.</w:t>
      </w:r>
    </w:p>
    <w:p w14:paraId="2EAAFA1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результате испытаний получены следующие данные по максимальной скорости и скороподъемности:</w:t>
      </w:r>
    </w:p>
    <w:p w14:paraId="70495F1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 скорость горизонтального полета, скороподъемность с полетным весом: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5106D0" w:rsidRPr="007224C3" w14:paraId="0A8F322D" w14:textId="77777777">
        <w:tc>
          <w:tcPr>
            <w:tcW w:w="5636" w:type="dxa"/>
          </w:tcPr>
          <w:p w14:paraId="49D185D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Высота в м</w:t>
            </w:r>
          </w:p>
        </w:tc>
        <w:tc>
          <w:tcPr>
            <w:tcW w:w="5636" w:type="dxa"/>
          </w:tcPr>
          <w:p w14:paraId="0608617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Время набора</w:t>
            </w:r>
          </w:p>
        </w:tc>
      </w:tr>
      <w:tr w:rsidR="005106D0" w:rsidRPr="007224C3" w14:paraId="6FABA0E3" w14:textId="77777777">
        <w:tc>
          <w:tcPr>
            <w:tcW w:w="5636" w:type="dxa"/>
          </w:tcPr>
          <w:p w14:paraId="3284A11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2523F64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высоты в мин.</w:t>
            </w:r>
          </w:p>
        </w:tc>
      </w:tr>
      <w:tr w:rsidR="005106D0" w:rsidRPr="007224C3" w14:paraId="4CF53689" w14:textId="77777777">
        <w:tc>
          <w:tcPr>
            <w:tcW w:w="5636" w:type="dxa"/>
          </w:tcPr>
          <w:p w14:paraId="26480CE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w:t>
            </w:r>
          </w:p>
        </w:tc>
        <w:tc>
          <w:tcPr>
            <w:tcW w:w="5636" w:type="dxa"/>
          </w:tcPr>
          <w:p w14:paraId="35244EF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w:t>
            </w:r>
          </w:p>
        </w:tc>
      </w:tr>
      <w:tr w:rsidR="005106D0" w:rsidRPr="007224C3" w14:paraId="06EE50B7" w14:textId="77777777">
        <w:tc>
          <w:tcPr>
            <w:tcW w:w="5636" w:type="dxa"/>
          </w:tcPr>
          <w:p w14:paraId="763A0E7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1000</w:t>
            </w:r>
          </w:p>
        </w:tc>
        <w:tc>
          <w:tcPr>
            <w:tcW w:w="5636" w:type="dxa"/>
          </w:tcPr>
          <w:p w14:paraId="2C48FBB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4,38</w:t>
            </w:r>
          </w:p>
        </w:tc>
      </w:tr>
      <w:tr w:rsidR="005106D0" w:rsidRPr="007224C3" w14:paraId="3FE3E7FA" w14:textId="77777777">
        <w:tc>
          <w:tcPr>
            <w:tcW w:w="5636" w:type="dxa"/>
          </w:tcPr>
          <w:p w14:paraId="7F9B21C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2000</w:t>
            </w:r>
          </w:p>
        </w:tc>
        <w:tc>
          <w:tcPr>
            <w:tcW w:w="5636" w:type="dxa"/>
          </w:tcPr>
          <w:p w14:paraId="7D6C541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8,76</w:t>
            </w:r>
          </w:p>
        </w:tc>
      </w:tr>
      <w:tr w:rsidR="005106D0" w:rsidRPr="007224C3" w14:paraId="42D89B99" w14:textId="77777777">
        <w:tc>
          <w:tcPr>
            <w:tcW w:w="5636" w:type="dxa"/>
          </w:tcPr>
          <w:p w14:paraId="25473D0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3000</w:t>
            </w:r>
          </w:p>
        </w:tc>
        <w:tc>
          <w:tcPr>
            <w:tcW w:w="5636" w:type="dxa"/>
          </w:tcPr>
          <w:p w14:paraId="38FC51B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13,14</w:t>
            </w:r>
          </w:p>
        </w:tc>
      </w:tr>
      <w:tr w:rsidR="005106D0" w:rsidRPr="007224C3" w14:paraId="3D2D00C7" w14:textId="77777777">
        <w:tc>
          <w:tcPr>
            <w:tcW w:w="5636" w:type="dxa"/>
          </w:tcPr>
          <w:p w14:paraId="0AD6118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4000</w:t>
            </w:r>
          </w:p>
        </w:tc>
        <w:tc>
          <w:tcPr>
            <w:tcW w:w="5636" w:type="dxa"/>
          </w:tcPr>
          <w:p w14:paraId="516C275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17,9</w:t>
            </w:r>
          </w:p>
        </w:tc>
      </w:tr>
      <w:tr w:rsidR="005106D0" w:rsidRPr="007224C3" w14:paraId="65770A12" w14:textId="77777777">
        <w:tc>
          <w:tcPr>
            <w:tcW w:w="5636" w:type="dxa"/>
          </w:tcPr>
          <w:p w14:paraId="0283AE8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5000</w:t>
            </w:r>
          </w:p>
        </w:tc>
        <w:tc>
          <w:tcPr>
            <w:tcW w:w="5636" w:type="dxa"/>
          </w:tcPr>
          <w:p w14:paraId="10CB61E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23,85</w:t>
            </w:r>
          </w:p>
        </w:tc>
      </w:tr>
      <w:tr w:rsidR="005106D0" w:rsidRPr="007224C3" w14:paraId="5000A1EC" w14:textId="77777777">
        <w:tc>
          <w:tcPr>
            <w:tcW w:w="5636" w:type="dxa"/>
          </w:tcPr>
          <w:p w14:paraId="22CA45C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6000</w:t>
            </w:r>
          </w:p>
        </w:tc>
        <w:tc>
          <w:tcPr>
            <w:tcW w:w="5636" w:type="dxa"/>
          </w:tcPr>
          <w:p w14:paraId="44E2E88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31,6</w:t>
            </w:r>
          </w:p>
        </w:tc>
      </w:tr>
      <w:tr w:rsidR="005106D0" w:rsidRPr="007224C3" w14:paraId="7027AB9D" w14:textId="77777777">
        <w:tc>
          <w:tcPr>
            <w:tcW w:w="5636" w:type="dxa"/>
          </w:tcPr>
          <w:p w14:paraId="4350AAC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7000</w:t>
            </w:r>
          </w:p>
        </w:tc>
        <w:tc>
          <w:tcPr>
            <w:tcW w:w="5636" w:type="dxa"/>
          </w:tcPr>
          <w:p w14:paraId="08B3AE0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42,3</w:t>
            </w:r>
          </w:p>
        </w:tc>
      </w:tr>
      <w:tr w:rsidR="005106D0" w:rsidRPr="007224C3" w14:paraId="7647B838" w14:textId="77777777">
        <w:tc>
          <w:tcPr>
            <w:tcW w:w="5636" w:type="dxa"/>
          </w:tcPr>
          <w:p w14:paraId="3CEF8FE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8000</w:t>
            </w:r>
          </w:p>
        </w:tc>
        <w:tc>
          <w:tcPr>
            <w:tcW w:w="5636" w:type="dxa"/>
          </w:tcPr>
          <w:p w14:paraId="4D70AA7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w:t>
            </w:r>
          </w:p>
        </w:tc>
      </w:tr>
      <w:tr w:rsidR="005106D0" w:rsidRPr="007224C3" w14:paraId="7F5D7C98" w14:textId="77777777">
        <w:tc>
          <w:tcPr>
            <w:tcW w:w="5636" w:type="dxa"/>
          </w:tcPr>
          <w:p w14:paraId="3873304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8250</w:t>
            </w:r>
          </w:p>
        </w:tc>
        <w:tc>
          <w:tcPr>
            <w:tcW w:w="5636" w:type="dxa"/>
          </w:tcPr>
          <w:p w14:paraId="360F2DD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90</w:t>
            </w:r>
          </w:p>
        </w:tc>
      </w:tr>
    </w:tbl>
    <w:p w14:paraId="4081D2F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Примечание:</w:t>
      </w:r>
    </w:p>
    <w:p w14:paraId="4F8768C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Жалюзи водорадиаторов открыты на 10 градусов, маслорадиаторы на 20 градусов. Оружие в походном положении. Бомбы внутри фюзеляжа.</w:t>
      </w:r>
    </w:p>
    <w:p w14:paraId="18CAAD3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Практический потолок 8250 м.</w:t>
      </w:r>
    </w:p>
    <w:p w14:paraId="3263456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Набор практического потолка 1 час 30 мин.</w:t>
      </w:r>
    </w:p>
    <w:p w14:paraId="2569A1D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Аэродинамическая поправка у самолета Ер-2 равна 0.</w:t>
      </w:r>
    </w:p>
    <w:p w14:paraId="607345E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Указанные данные подлежат проверке и уточнению в НИИ ВВС, т.к. испытательную аппаратуру тарировать на заводе с достаточной точностью не представлялось возможным. Техническая дальность полета самолета не может быть определена до проведения специальных полетов на дальность. Весовые данные также будут проверены на весах в НИИ ВВС, т.к. имеющиеся на заводе весы не позволяют достаточно точно определить весовые данные самолета. В условиях завода возможно будет только проверить бомбардировочное вооружение со сбросом бомб ФАБ-100 и ФАБ-500 на земле как с внутренних, так и с наружных держателей. Проверка бомбардировочного вооружения будет проведена в НИИ ВВС, т.к. на заводе нет полигона для бомбометания.</w:t>
      </w:r>
    </w:p>
    <w:p w14:paraId="414E2FC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Дефекты, выявленные в процессе испытания, вновь вам были предъявлены и приняты вами и гл. конструктором к устранению, согласно протокола от 25 марта 1944 года.</w:t>
      </w:r>
    </w:p>
    <w:p w14:paraId="6F8B8BE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Проект выводов на 11 листах.</w:t>
      </w:r>
    </w:p>
    <w:p w14:paraId="5782257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Ведущий инженер НИИ ВВС инженер-подполковник Кокорин 3 апреля 1944 года.</w:t>
      </w:r>
    </w:p>
    <w:p w14:paraId="36E4CB8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Выводы</w:t>
      </w:r>
    </w:p>
    <w:p w14:paraId="025FFC5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Полетные данные.</w:t>
      </w:r>
    </w:p>
    <w:p w14:paraId="375F6AD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Максимальная скорость горизонтального полета самолета Ер-2 с нормальным полетным весом 14600 кг. Оружие в походном положении. Жалюзи маслорадиаторов открыты на 15 градусов и водорадиаторов на 8 градусов; подлежат уточнению в НИИ ВВС.</w:t>
      </w:r>
    </w:p>
    <w:p w14:paraId="6292BBE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Наружная подвеска ФАБ-500 уменьшает максимальную скорость горизонтального полета с нормальным полетным весом 14600 кг. Величина уменьшения скорости будет установлена после уточнения максимальной скорости в НИИ ВВС.</w:t>
      </w:r>
    </w:p>
    <w:p w14:paraId="323EAEA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Практический потолок самолета определен не был вследствие падения давления масла до недопустимого предела на высотах выше 6500-7000 м.</w:t>
      </w:r>
    </w:p>
    <w:p w14:paraId="29BF4FE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Самолет с нормальным полетным весом 14600 кг позволяет выполнять виражи с глубиной крена до 45-50 градусов на скорости 290-300 км/час по приборам. На Виражах самолет устойчив и легко управляем.</w:t>
      </w:r>
    </w:p>
    <w:p w14:paraId="2B6927D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Горизонтальный полет самолета с полетным весом 13600 кг на одном работающем моторе на номинальной мощности с правым выключенным винтом выключенного мотора установить на большой шаг невозможно. В этих условиях самолет снижается:</w:t>
      </w:r>
    </w:p>
    <w:p w14:paraId="7C2A0B3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на высоте 400 м со скоростью 1,5 м в сек.</w:t>
      </w:r>
    </w:p>
    <w:p w14:paraId="73FC377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на высоте 2000 м и ниже со скоростью 0,25 м в сек.</w:t>
      </w:r>
    </w:p>
    <w:p w14:paraId="2DE869A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левым работающим мотором 0,75 в сек., с правым работающим мотором скорость снижения увеличивается на 0,75 - 1,25 м в сек. при установке винта выключенного мотора на легкий шаг.</w:t>
      </w:r>
    </w:p>
    <w:p w14:paraId="4829358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Разбег самолета с полетным весом 14600 кг не определен.</w:t>
      </w:r>
    </w:p>
    <w:p w14:paraId="6FF684E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Пробег самолета меньше, чем у опытного самолета Ер-2 N 4. Эффективность тормозов новых колес недостаточна.</w:t>
      </w:r>
    </w:p>
    <w:p w14:paraId="5F55997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Техническая дальность полета самолета будет указана после проведения специальных полетов на дальность на высотах 1000-5000 и 6000 м.</w:t>
      </w:r>
    </w:p>
    <w:p w14:paraId="71ED345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Устойчивость самолета и техника пилотирования.</w:t>
      </w:r>
    </w:p>
    <w:p w14:paraId="33FD935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Устойчивость самолета путевая хорошая, поперечная удовлетворительная и продольная нейтральная, с незначительным положительным градиентом на скорости более 290-300 км/час (Вес 14600 кг, центровка 27%).</w:t>
      </w:r>
    </w:p>
    <w:p w14:paraId="220B6BF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Самолет с полетным весом 14600 кг устойчиво удерживается во время горизонтального полета с брошенным управлением на скорости 290-300 км/час и выше. На меньших скоростях самолет с брошенным управлением в режиме горизонтального полета удерживается в течение 10-20 сек., после чего начинается планирование с стремлением перейти в спираль.</w:t>
      </w:r>
    </w:p>
    <w:p w14:paraId="2B39D55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На взлете тенденция к развороту незначительная и самолет легко удерживается в направлении взлета отклонением рулей поворота.</w:t>
      </w:r>
    </w:p>
    <w:p w14:paraId="64BB73E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Техника выполнения посадок проста. Тенденции к сваливанию на крыло при нормальной высоте выдерживания нет. Запас рулей для выполнения трехточечной посадки вполне достаточен.</w:t>
      </w:r>
    </w:p>
    <w:p w14:paraId="065A4F5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13. Минимальная безопасная скорость горизонтального полета самолета с полетным весом 14600 кг равна 230 кг/час по приборам. Начальная потеря эффективности рулей высоты, поворота и элеронов наступает на скорости 190 км/час по приборам. Непроизвольный срыв в штопор от потери скорости в горизонтальном полете </w:t>
      </w:r>
      <w:r w:rsidRPr="007224C3">
        <w:rPr>
          <w:rFonts w:ascii="Times New Roman" w:hAnsi="Times New Roman"/>
          <w:color w:val="000000" w:themeColor="text1"/>
          <w:sz w:val="16"/>
          <w:szCs w:val="16"/>
        </w:rPr>
        <w:lastRenderedPageBreak/>
        <w:t>наступает при скорости 180 км/час по приборам.</w:t>
      </w:r>
    </w:p>
    <w:p w14:paraId="51A1AD9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В горизонтальном полете самолет легко балансируется триммерами на всем диапазоне скорости от 230 км/час по приборам до максимальной.</w:t>
      </w:r>
    </w:p>
    <w:p w14:paraId="428C770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Техника пилотирования самолетом проста. Управление легкое. Самолет по технике пилотирования легко доступен летчику средней квалификации, проще самолетов Ил-4 и Пе-2.</w:t>
      </w:r>
    </w:p>
    <w:p w14:paraId="21BF423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весовым данным.</w:t>
      </w:r>
    </w:p>
    <w:p w14:paraId="415B85A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Вес пустого самолета равен 10350 кг и больше веса пустого опытного самолета Ер-2 N 4 на 340 кг, вследствие:</w:t>
      </w:r>
    </w:p>
    <w:p w14:paraId="6F2248E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замены колес</w:t>
      </w:r>
    </w:p>
    <w:p w14:paraId="1154AB5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установки турели ТУМ-5</w:t>
      </w:r>
    </w:p>
    <w:p w14:paraId="783D797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бронирования мест второго пилота,</w:t>
      </w:r>
    </w:p>
    <w:p w14:paraId="696A0D7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 конструктивных изменений вследствие модификации.</w:t>
      </w:r>
    </w:p>
    <w:p w14:paraId="2494826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Нормальный полетный вес самолета равен 14640 кг и больше нормального полетного веса опытного самолета Ер-2 N 4 на 450 кг вследствие его увеличения:</w:t>
      </w:r>
    </w:p>
    <w:p w14:paraId="705B64E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вес пустого самолета 340 кг,</w:t>
      </w:r>
    </w:p>
    <w:p w14:paraId="7D3B210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вес нагрузки 110 кг.</w:t>
      </w:r>
    </w:p>
    <w:p w14:paraId="606ED00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Максимальный полетный вес самолета с 1000 кг бомбами равен без подвесных бомб 16650 кг, с подвесными бомбами 18060 кг.</w:t>
      </w:r>
    </w:p>
    <w:p w14:paraId="163059B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стрелковому вооружению.</w:t>
      </w:r>
    </w:p>
    <w:p w14:paraId="57EE96E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Стрелковая установка НУ-134 под пулемет УБТ-12,7 мм после устранения дефектов в процессе испытания работала удовлетворительно. Количество задержек пулевой установки составляет 0,69% от общего количества произведенных 1600 выстрелов на земле и в воздухе.</w:t>
      </w:r>
    </w:p>
    <w:p w14:paraId="771FD21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Предъявленная серийная стрелковая установка НУ-134 имеет ряд конструктивных изменений по сравнению с опытной, вследствие чего имеет ряд дефектов, устранение которых обязательно до передачи самолета в строевые части.</w:t>
      </w:r>
    </w:p>
    <w:p w14:paraId="1ACBA2B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 Люковая установка Лу УБК под пулемет УБК 12,7 мм работала хорошо. Количество задержек пулевой установки равно 0,14% от общего количества произведенных 390 выстрелов на земле и в воздухе.</w:t>
      </w:r>
    </w:p>
    <w:p w14:paraId="112DD86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Замена ЛУ-ОБК пулемета УБТ 12,7 мм на пулемет 12,7 мм УБК. Установка пневмоперезарядки пулемета. Вместо ручной перезарядки, установка пружинного компенсатора, облегчающего маневрирование оружием в вертикальной плоскости значительно облегчила эксплуатацию стрелковой установки. ЛУ-УБК на самолете Ер-2 по сравнению с однотипными установками на других самолетах (Ил-4, Пе-2).</w:t>
      </w:r>
    </w:p>
    <w:p w14:paraId="26D3379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Турельная установка ТУМ-5 под пушку Швак калибра 20 мм после устранения дефектов в процессе испытаний обеспечила безотказную стрельбу. Количество задержек пулевой установки составляет 0,31% от общего количества произведенных 2200 выстрелов на земле и в воздухе. Задержки по вине гильзоотвода после доработки не повторялись.</w:t>
      </w:r>
    </w:p>
    <w:p w14:paraId="1009603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Третья угловая скорость вращения турели в воздухе увеличивает диапазон доводки после плюс 3 градусов и минус 15 градусов удовлетворительно.</w:t>
      </w:r>
    </w:p>
    <w:p w14:paraId="52BD2A8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Недостаточна мощность электромотора МУ-510, установленного для вращения ТУМ-5 с полным боевым снаряжением и аэрокомпенсацией. Потребляемая мощность при работе с турелью в воздухе при высоких температурах и больших скоростях полета возрастает в течение 3 или 4 сек. до 1350 ватт, вследствие чего предохранители на 40 амп. перегорают.</w:t>
      </w:r>
    </w:p>
    <w:p w14:paraId="3E160D6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Ручное вращение турели тяжелое, повернуть турель вручную в воздухе больше чем на 75 градусов влево и на 45-50 градусов вправо невозможно, аэрокомпенсация же турели мало эффективна.</w:t>
      </w:r>
    </w:p>
    <w:p w14:paraId="6F0D32B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Рассеивание установки в вертикальной плоскости велико и в 2 раза превышает тактико-технические требования.</w:t>
      </w:r>
    </w:p>
    <w:p w14:paraId="68603BF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Углы доводки пушки вправо (плюс 3 градуса) недостаточны. На углах доводки влево - 15 градусов происходит сваливание оружия до 6 градусов.</w:t>
      </w:r>
    </w:p>
    <w:p w14:paraId="4EE9AC0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Управление огнем и электроуправление турелью раздельные, не сосредоточенные в одной ручке, вследствие этого стрелок при доводке турели отвлекается от стрельбы. Отсутствует разработанная установка фотопулемета на всех стрелковых установках.</w:t>
      </w:r>
    </w:p>
    <w:p w14:paraId="757969F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бомбардировочному вооружению.</w:t>
      </w:r>
    </w:p>
    <w:p w14:paraId="4DE26E3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Механическое управление аварийного сбрасывания бомб имеет большие люфты 22-25% хода ручки аварийного сбрасывателя, вследствие чего отрегулировать положение кулачковых валиков и предохранительных реек на кассетах соответственно положению АСП и АСШ-340 невозможно.</w:t>
      </w:r>
    </w:p>
    <w:p w14:paraId="02AAECD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 Люфты в управлении аварийного сбрасывателя бомб образуются вследствие сложной конструкции и большого количества передаточных механизмов в управлении, производственных отступлений при монтаже в АСП и АСШ.</w:t>
      </w:r>
    </w:p>
    <w:p w14:paraId="724D3BD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32. Усилие на ручки АСП и АСШ выше в 1,5-2 раза допустимого по техническим требованиям, вследствие:</w:t>
      </w:r>
    </w:p>
    <w:p w14:paraId="17FE70D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перекосов при установке распределительных коробочек по отношению друг к другу во всех трех плоскостях, что влечет за собой поворачивание коробочек и нарушение кинематики,</w:t>
      </w:r>
    </w:p>
    <w:p w14:paraId="173CCE7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тугого вращения вертикальных валиков на Дер-19-20, вследствие загрязнения в производстве подшипников грязью и стружками при монтаже,</w:t>
      </w:r>
    </w:p>
    <w:p w14:paraId="12CA631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перекосов и биения вертикальных валиков,</w:t>
      </w:r>
    </w:p>
    <w:p w14:paraId="7947F60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 трения вертикальных валиков о станки валиков,</w:t>
      </w:r>
    </w:p>
    <w:p w14:paraId="58B5EC0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 малого угла опережения кулачков, 8-10 градусов, что приводит к одновременному нажатию кулачка вертикального валика, кассет и спусковых штырей замков,</w:t>
      </w:r>
    </w:p>
    <w:p w14:paraId="562D2DB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е) большое количество механизмов типа соединений сложны в производстве, требуют высокого класса точности в изготовлении и при отклонениях в производственном выполнении нарушают кинематику.</w:t>
      </w:r>
    </w:p>
    <w:p w14:paraId="1E40EAB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33. Присоединение жгутов к электропроводке, к АД-2 и АД-3 выполнено на КР-1 ненадежно, к эксплуатации непригодно.</w:t>
      </w:r>
    </w:p>
    <w:p w14:paraId="3B79C27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34. Отсутствует блокировка нижних концов кассет к АД-2 и АД-.. через блок контакта бомболюков, вследствие чего возможен сбор бомб при закрытых бомболюках, при выключенной вилке в розетке, деблокировка бомболюков.</w:t>
      </w:r>
    </w:p>
    <w:p w14:paraId="4925B0A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35. Не обеспечены углы визирования для прицела НКПБ-7 при открытом и закрытом положении лючка под НКПБ-7.</w:t>
      </w:r>
    </w:p>
    <w:p w14:paraId="45F7190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облегчения эксплуатации бомбардировочного вооружения и обеспечения надежности его работы необходимо:</w:t>
      </w:r>
    </w:p>
    <w:p w14:paraId="33885FB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уменьшить усилия на ручку АСП и АСШ до 25 кг,</w:t>
      </w:r>
    </w:p>
    <w:p w14:paraId="11CCA31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уменьшить ход ручки АСП и АСШ до убирания люфта управления до 4-6 градусов,</w:t>
      </w:r>
    </w:p>
    <w:p w14:paraId="729A226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снять предохранительные рейки кассет к АД-2 и АД-3,</w:t>
      </w:r>
    </w:p>
    <w:p w14:paraId="1E27340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 опереженье вертикальных валиков установить 40 градусов вместо 8-5 градусов,</w:t>
      </w:r>
    </w:p>
    <w:p w14:paraId="610372D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 заменить соединение жгутов на КР-1 на соединение типа Кенон,</w:t>
      </w:r>
    </w:p>
    <w:p w14:paraId="5C5A7A5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е) на аварийной проводке сбрасывателя сделать разъем, отключив управление кассет до первого хода АСШ,</w:t>
      </w:r>
    </w:p>
    <w:p w14:paraId="1613AD8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ж) установить блокировку нижних замков кассет к АД-2 и АД-3 через бомболюк.</w:t>
      </w:r>
    </w:p>
    <w:p w14:paraId="0BF4D2B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36. Для разработки новых кассет монтаж бомбардировочного оборудования на заводе N 39 взять под особый контроль со стороны ОТК и военной приемки.</w:t>
      </w:r>
    </w:p>
    <w:p w14:paraId="4A4357B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спецоборудованию.</w:t>
      </w:r>
    </w:p>
    <w:p w14:paraId="1489070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37. Специальное оборудование, установленное на самолете по своему объему и назначению соответствует техническим требованиям, предъявляемым для дальнего двухмоторного бомбардировщика.</w:t>
      </w:r>
    </w:p>
    <w:p w14:paraId="67DEB76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38. Источник электроэнергии на самолете - 2 электрогенератора ГС-1000 и аккумуляторная батарея 12А30. При установке двух моторов СБ, шасси и посадочных щитков и двух фар типа СС-240 с лампами по 500 ватт, это конечно нормального потребления электроэнергии не обеспечит (см. энергетический баланс) и требует замены на более мощный генератор типа ГС-1500.</w:t>
      </w:r>
    </w:p>
    <w:p w14:paraId="662F0F4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39. Примененное на самолете ультрафиолетовое облучение приборов и агрегатов является более удобным средством освещения, чем применявшийся на опытном самолете Ер-2 N 4 фотосвет через плексиглас, и может быть рекомендован для серии при условии устранения дефектов на УФО, указанных в отчете:</w:t>
      </w:r>
    </w:p>
    <w:p w14:paraId="3669483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59. При полетах на высотах выше 6 тыс. м давление масла резко падает и выполнение полета становится затруднительным вследствие возможного выхода мотора из строя.</w:t>
      </w:r>
    </w:p>
    <w:p w14:paraId="00036B4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 Плохое качество масляных шлангов, подводящих масло к ТК и к нагнетателю, к лампе. Шланги разбухают и подача масла нарушается.</w:t>
      </w:r>
    </w:p>
    <w:p w14:paraId="1E363BD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конструктивным изменениям.</w:t>
      </w:r>
    </w:p>
    <w:p w14:paraId="21A336F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61. Замена турели ТУМ-2 с пулеметом УБТ калибра 12,7 мм на турель ТУМ-5 с пушкой Швак 20 мм значительно усилила оборону самолета сзади верхней полусферы.</w:t>
      </w:r>
    </w:p>
    <w:p w14:paraId="0D7FC94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62. Оборудование кабины для размещения двух пилотов рядом облегчает боевую эксплуатацию самолета и подготовку и вывозку летного состава на самолете Ер-2.</w:t>
      </w:r>
    </w:p>
    <w:p w14:paraId="7A59857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63. Поставленные колеса шасси размером 1325х485 вместо 1200х450 отвечают полетным весом самолета, но эффективность торможения колес, при давлении в тормозах 10 атм, недостаточна. Кроме того колеса по конструктивному выполнению недоработаны. Масло из мотогондол попадает на тормоза и выводит их из строя.</w:t>
      </w:r>
    </w:p>
    <w:p w14:paraId="57611DA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64. Увеличение площади вертикального и горизонтального оперенья улучшило управляемость самолетом и его летные качества (1823).</w:t>
      </w:r>
    </w:p>
    <w:p w14:paraId="43BC3B0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30884E"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0BE9E43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6E5D21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26 марта 1944 г. была подготовлена ДОКЛАДНАЯ ЗАПИСКА КОМАНДУЮЩЕГО БТ и МВ КА ЧЛЕНУ ГКО Л.П.БЕРИИ ОБ УСИЛЕНИИ БРОНИРОВАНИЯ НОСОВОЙ ЧАСТИ ТАНКА Т-34</w:t>
      </w:r>
    </w:p>
    <w:p w14:paraId="59B8FB8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период Отечественной войны резко изменилось противотанковое и танковое вооружение немецкой армии. Немцы применяют противотанковые и танковые пушки калибра 72 и 88 мм с начальными скоростями снаряда до 900 м/с, а также противотанковые пушки калибра 20/28, 28/42 и 55/75 мм с коническими стволами, имеющими начальные скорости до 1400 м/с.</w:t>
      </w:r>
    </w:p>
    <w:p w14:paraId="2896D8C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Броневая защита танков Т-34 с начала Отечественной войны не изменялась и в настоящее время является, безусловно, неудовлетворительной против новых противотанковых снарядов и танкового вооружения немецкой армии.</w:t>
      </w:r>
    </w:p>
    <w:p w14:paraId="3E06A5C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более успешного применения танков на фронте считаю необходимым перейти на изготов</w:t>
      </w:r>
      <w:r w:rsidRPr="007224C3">
        <w:rPr>
          <w:rFonts w:ascii="Times New Roman" w:hAnsi="Times New Roman"/>
          <w:color w:val="000000" w:themeColor="text1"/>
          <w:sz w:val="16"/>
          <w:szCs w:val="16"/>
        </w:rPr>
        <w:softHyphen/>
        <w:t>ление танков Т-34 со следующими изменениями.</w:t>
      </w:r>
    </w:p>
    <w:p w14:paraId="2013981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Увеличить толщину брони:</w:t>
      </w:r>
    </w:p>
    <w:p w14:paraId="2ABDA1E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верхнего лобового листа корпуса с 45 до 80 мм;</w:t>
      </w:r>
    </w:p>
    <w:p w14:paraId="47F94A6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нижнего лобового листа корпуса с 45 до 60 мм;</w:t>
      </w:r>
    </w:p>
    <w:p w14:paraId="41A8145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лобовой части башни и лобового щита пушки до 90 мм.</w:t>
      </w:r>
    </w:p>
    <w:p w14:paraId="6820BC3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Для снижения общего веса танка провести уменьшение толщины брони в отдельных местах, менее поражаемых.</w:t>
      </w:r>
    </w:p>
    <w:p w14:paraId="4AE1AB2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Упразднить курсовой пулемет и защиту ДТ и отдельные детали корпуса.</w:t>
      </w:r>
    </w:p>
    <w:p w14:paraId="4E6FC5D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Для облегчения веса передней части танка, перенести топливные баки из боевого отделения в моторное.</w:t>
      </w:r>
    </w:p>
    <w:p w14:paraId="3105BEA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Указанная модернизация танка Т-34 увеличивает общий вес танка, ориентировочно, на 700-750 кг против серийного танка и не требует существенных изменений в ходовой части.</w:t>
      </w:r>
    </w:p>
    <w:p w14:paraId="44707FB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Считаю необходимым выпуск модернизированных танков Т-34 на заводах №183, 112 и 174 начать с мая месяца с.г.</w:t>
      </w:r>
    </w:p>
    <w:p w14:paraId="2AE1326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Представляю проект постановления ГОКО, прошу его рассмотреть.</w:t>
      </w:r>
    </w:p>
    <w:p w14:paraId="1C58655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Приложение: Проект решения ГОКО на 1 листе'.</w:t>
      </w:r>
    </w:p>
    <w:p w14:paraId="0634FAC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Командующий БТ и МБ КА маршал бронетанковых войск Федоренко</w:t>
      </w:r>
    </w:p>
    <w:p w14:paraId="39863A6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Член военного совета генерал-лейтенант танковых войск Бирюков</w:t>
      </w:r>
    </w:p>
    <w:p w14:paraId="6D7C4B0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38. Оп. 11355. Д. 2198. Л. 25-26. Копия (11403).</w:t>
      </w:r>
    </w:p>
    <w:p w14:paraId="545726C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E788FF8" w14:textId="77777777" w:rsidR="00A76CAC" w:rsidRPr="007224C3" w:rsidRDefault="00A76CA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марта 1944 завод №92 отправили изготовил второй и третий образцы С-34 на завод №100. В ходе испытаний отстрелом орудия №2 (всего произвели 18 выстрелов) обнаружилось заедание оси кривошипного механизма. Ровно те же дефекты обнаружились и на орудии №3, из которого сделали 22 выстрела. 11 мая 1944 года нарком танковой промышленности Малышев подверг С-34 резкой критике. По его словам, системы, предназначенные для установки в ИС-2 и СУ-100, оказались неприспособленными для установки ни в танк, ни в САУ. Разумеется, системы дорабатывались, но время шло, а С-34 всё никак не устанавливалась в САУ. Поскольку особого прогресса с исправлениями не наблюдалось, то и на УЗТМ не особо торопились. Представитель ЦАКБ гвардии капитан Боглевский, прибывший на завод 23 апреля, сообщил, что с января никакой деятельности на УТЗМ по данной теме не велось (18252).</w:t>
      </w:r>
    </w:p>
    <w:p w14:paraId="6237DC7B" w14:textId="77777777" w:rsidR="00A76CAC" w:rsidRPr="007224C3" w:rsidRDefault="00A76CAC" w:rsidP="007224C3">
      <w:pPr>
        <w:spacing w:after="0" w:line="240" w:lineRule="auto"/>
        <w:jc w:val="both"/>
        <w:rPr>
          <w:rFonts w:ascii="Times New Roman" w:hAnsi="Times New Roman"/>
          <w:color w:val="000000" w:themeColor="text1"/>
          <w:sz w:val="16"/>
          <w:szCs w:val="16"/>
        </w:rPr>
      </w:pPr>
    </w:p>
    <w:p w14:paraId="14124E2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марта 1944 вышло Постановление ГКО № 5466 О восстановлении Таганрогского металлургического завода им. Андреева и Мариупольского трубопрокатного завода имени Куйбышева Наркомчермета. РГАНИР, Фонд ГКО, д. 221, лл. 61-63,64-78 (11012).</w:t>
      </w:r>
    </w:p>
    <w:p w14:paraId="1D4CDE2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8F22EB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марта 1944 вышло Постановление ГКО № 5467 О восстановлении ТЭЦ Ново-Краматорского завода имени Сталина в Донбассе. РГАНИР, Фонд ГКО, д. 221, лл. 79-81,82-84 (11012).</w:t>
      </w:r>
    </w:p>
    <w:p w14:paraId="6DF6179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4F2D24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марта 1944 вышло Распоряжение ГКО № 5468. Об изготовлении НКТП оборудования для Енакиевского завода НКЧМ. РГАНИР, Фонд ГКО, д. 221, лл. 85,86-89 (11012).</w:t>
      </w:r>
    </w:p>
    <w:p w14:paraId="427A5F2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BA09E0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марта 1944 вышло Распоряжение ГКО № 5469. О поставках пиломатериалов Новокраматорскому заводу им. Сталина. РГАНИР, Фонд ГКО, д. 221, лл. 90 (11012).</w:t>
      </w:r>
    </w:p>
    <w:p w14:paraId="0BDB43F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5CC2BD4"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марта 1944 вышло Постановление ГКО № 5470 Об организации производства индивидуальных переправочных средств для Военно-Морского Флота и Красной Армии. (7201, 91-93).</w:t>
      </w:r>
    </w:p>
    <w:p w14:paraId="34BA6BF0"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ECB9CD8"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марта 1944 вышло Постановление ГКО № 5471 О развитии энергетического хозяйства г. Уфы и Уфимского района. (7201, 94-95).</w:t>
      </w:r>
    </w:p>
    <w:p w14:paraId="144CEF53"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686098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марта 1944 вышло Распоряжение ГКО № 5472. О мерах по улучшению питания работников НИИ-108 НКЭП, работающих в особо вредных условиях. РГАНИР, Фонд ГКО, д. 221, лл. 96 (11012).</w:t>
      </w:r>
    </w:p>
    <w:p w14:paraId="3F27AF9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0874AB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марта 1944 вышло Распоряжение ГКО № 5474. О помощи топливом Саранской ТЭЦ. РГАНИР, Фонд ГКО, д. 221, лл. 99 (11012).</w:t>
      </w:r>
    </w:p>
    <w:p w14:paraId="114AC7D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CE1701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марта 1944 вышло Распоряжение ГКО № 5475. Об обеспечении электроэнергией вводимых в действие прокатных станов и мартеновских печей сталинградского металлургического завода "Красный Октябрь" НКЧМ. РГАНИР, Фонд ГКО, д. 221, лл. 100 (11012).</w:t>
      </w:r>
    </w:p>
    <w:p w14:paraId="6F97607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D5D150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марта 1944 вышло Распоряжение ГКО № 5477. О выделении из госрезерва 300 куб. м фанеры для тюменских предприятий НКЧМ. РГАНИР, Фонд ГКО, д. 221, лл. 103 (11012).</w:t>
      </w:r>
    </w:p>
    <w:p w14:paraId="16FD100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55DA06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марта 1944 вышло Распоряжение ГКО № 5478. О выделении 2,5 тыс. военнослужащих из состава строительных колонн МПВО на предприятия НКЧМ для постоянной работы. РГАНИР, Фонд ГКО, д. 221, лл. 104 (11012).</w:t>
      </w:r>
    </w:p>
    <w:p w14:paraId="73DEAB6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061E25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марта 1944 вышло Распоряжение ГКО № 5479. О передислокации Центрального авторемонтного завода № 51 НКО из Краснодара в Днепропетровск. РГАНИР, Фонд ГКО, д. 221, лл. 105 (11012).</w:t>
      </w:r>
    </w:p>
    <w:p w14:paraId="0635C4C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7C9F814"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марта 1944 вышло Распоряжение ГКО № 5473 [О переводе Государственного института по проектированию предприятий коксохимической промышленности из Свердловска в Харьков.] (7201, 97-98).</w:t>
      </w:r>
    </w:p>
    <w:p w14:paraId="7A3EFA8B"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D1E9A2F"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марта 1944 вышло Распоряжение ГКО № 5476 [О переводе Орского районного управления энергетического хозяйства в Чкалов и его переименовании в Чкаловэнерго.] (7201, 101-102).</w:t>
      </w:r>
    </w:p>
    <w:p w14:paraId="7A0DE84B"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29582AE"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марта 1944 вышло Постановление ГКО № 5480 О достройке Черноморской железнодорожной линии. (7201, 106-110,111-113).</w:t>
      </w:r>
    </w:p>
    <w:p w14:paraId="3CC30362"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065ACF5"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марта 1944 вышло Постановление ГКО № 5481 О строительстве железнодорожной линии Боржоми - Ахалцихе - Вале. (7201, 114-116,117-118).</w:t>
      </w:r>
    </w:p>
    <w:p w14:paraId="77A90220"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9C37EA3"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марта 1944 вышло Распоряжение ГКО № 5482 [О выделении одной импортной машины "Виллис" Комитету по учету и распределению рабочей силы при СНК СССР.] (7201, 119).</w:t>
      </w:r>
    </w:p>
    <w:p w14:paraId="4BDDF42D"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CED4EB2"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56F0CF2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F48698D" w14:textId="77777777" w:rsidR="004F35D0" w:rsidRPr="007224C3" w:rsidRDefault="004F35D0"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26 марта</w:t>
      </w:r>
      <w:r w:rsidRPr="007224C3">
        <w:rPr>
          <w:rFonts w:ascii="Times New Roman" w:hAnsi="Times New Roman"/>
          <w:color w:val="000000" w:themeColor="text1"/>
          <w:sz w:val="16"/>
          <w:szCs w:val="16"/>
        </w:rPr>
        <w:t xml:space="preserve"> в 1944 году оперативная сводка Совинформбюро:</w:t>
      </w:r>
    </w:p>
    <w:p w14:paraId="48064A9F" w14:textId="77777777" w:rsidR="004F35D0" w:rsidRPr="007224C3" w:rsidRDefault="004F35D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26 марта войска 1-го Украинского фронта, продолжая развивать наступление, овладели районным центром Каменец-Подольской области Михалполь, районным центром Винницкой области городом Бар, районными центрами Тарнопольской области Козлов, Золотники, а также с боями заняли более 100 других населённых пунктов, в том числе крупные населённые пункты Росоховатец, Котузов, Гниловоды, Вишневчик, Купин, Малая Карабчеевка, Саввинцы, Шумовцы, Коржовцы, Загинцы, Божиковцы, Женишковцы, Иолтухи, Замехов, Струга и железнодорожные станции Коржовцы, Богдановцы. Наши войска окружили гарнизоны противника в городе Тарнополь и в городе Каменец-Подольск.</w:t>
      </w:r>
    </w:p>
    <w:p w14:paraId="34698E1A" w14:textId="77777777" w:rsidR="004F35D0" w:rsidRPr="007224C3" w:rsidRDefault="004F35D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Войска 2-го Украинского фронта, продолжая стремительное наступление, несколько дней назад форсировали реку Днестр на участке протяжением 175 километров, овладели городом и важным железнодорожным узлом Бельцы, с боями заняли районные центры Молдавской ССР город Фалешты, Глодяны, Болотина и, развивая наступление, вышли на нашу государственную границу — реку Прут — нафронте протяжением в 85 километров.</w:t>
      </w:r>
    </w:p>
    <w:p w14:paraId="507D5B34" w14:textId="77777777" w:rsidR="004F35D0" w:rsidRPr="007224C3" w:rsidRDefault="004F35D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и юго-западнее города Первомайск наши войска продолжали вести наступательные бои, в ходе которых заняли несколько населённых пунктов.</w:t>
      </w:r>
    </w:p>
    <w:p w14:paraId="7420B8F9" w14:textId="77777777" w:rsidR="004F35D0" w:rsidRPr="007224C3" w:rsidRDefault="004F35D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 бои местного значения.</w:t>
      </w:r>
    </w:p>
    <w:p w14:paraId="2665158E" w14:textId="77777777" w:rsidR="004F35D0" w:rsidRPr="007224C3" w:rsidRDefault="004F35D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25 марта наши войска на всех фронтах подбили и уничтожили 44 немецких танка. В воздушных боях и огнём зенитной артиллерии сбито 18 самолётов противника.</w:t>
      </w:r>
    </w:p>
    <w:p w14:paraId="0EF8AE0C" w14:textId="77777777" w:rsidR="004F35D0" w:rsidRPr="007224C3" w:rsidRDefault="004F35D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1-го Украинского фронта продолжали успешное наступление. Наши войска переправились через реку Серет севернее города Тарнополь и соединились с частями, обошедшими город с юга. Тем самым тарнопольская группировка немцев была окружена и отрезана. Тесня противника со всех сторон, советские бойцы с тыла атаковали артиллерийские и миномётные позиции немцев, находящиеся на высотах около Тарнополя. В ожесточённом бою немецкие артиллерийские и миномётные подразделения были разгромлены. Советские войска уничтожают немецкий гарнизон города Тарнополя, очищая одну улицу за другой. Ведя бои по ликвидации окружённой группировки немцев, наши войска с боями продвигались на запад и овладели районным центром Тарнопольской области Козлов. Сегодня противник из района Езерны силами танков и пехоты пытался прорваться на помощь к окружённому в Тарнополе гарнизону. Ударами с севера и юга немцы были зажаты в тиски и оставили на поле боя более 20 танков и несколько сот трупов своих солдат и офицеров. Остатки этой группы противника в панике бежали.</w:t>
      </w:r>
    </w:p>
    <w:p w14:paraId="7539C471" w14:textId="77777777" w:rsidR="004F35D0" w:rsidRPr="007224C3" w:rsidRDefault="004F35D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Наши войска плотным кольцом окружили немецкий гарнизон в городе Каменец-Подольск и перерезали шоссе Каменец-Подольск—Черновицы. Штурмуя немцев с севера, востока, запада и юга, советские части ведут успешные уличные бои, нанося противнику огромные потери. Танковые части Н-ского соединения за пять дней боёв истребили свыше 8 тысяч гитлеровцев и взяли в плен 1500 немецких солдат и офицеров. Танкистами захвачено у немцев 92 орудия, около 2000 автомашин, 1.140 повозок, 1280 лошадей и 30 разных складов.</w:t>
      </w:r>
    </w:p>
    <w:p w14:paraId="44322B32" w14:textId="77777777" w:rsidR="004F35D0" w:rsidRPr="007224C3" w:rsidRDefault="004F35D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Советские части, овладевшие вчера городом Проскуров, захватили 95 танков, 52 орудия крупного калибра, 320 автомашин, 70 тракторов и тягачей, 10 бронетранспортёров, 3 эшелона с продовольствием, 50 вагонов с углем в 60 вагонов с различными грузами, 11 складов с боеприпасами, 4 склада с горючим, 8 складов с продовольствием, 3 склада с имуществом связи и другие трофеи.</w:t>
      </w:r>
    </w:p>
    <w:p w14:paraId="53AFF8A7" w14:textId="77777777" w:rsidR="004F35D0" w:rsidRPr="007224C3" w:rsidRDefault="004F35D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2-го Украинского фронта продолжали наступление. Части Н-ского соединения окружили гарнизон противника в городе Бельцы. Немцы, предприняв отчаянные попытки вырваться из мешка, понесли огромные потери, но успеха не добились. Сегодня советские танки и пехота, ворвавшись в город, сломили сопротивление противника. Многие немецкие подразделения сложили оружие и сдались в плен. Овладев городом и важным железнодорожным узлом Бельцы, наши войска захватили большие трофеи.</w:t>
      </w:r>
    </w:p>
    <w:p w14:paraId="20E2F031" w14:textId="77777777" w:rsidR="004F35D0" w:rsidRPr="007224C3" w:rsidRDefault="004F35D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Развивая успешное наступление и громя противника, войска 2-го Украинского фронта овладели районными центрами Молдавской ССР городом Фалешты, Глодяны и Болотина. Советские войска на широком фронте вышли на нашу государственнуюграницу — реку Прут. Многочисленные группы противника, не успевшие переправиться через реку, уничтожены. Взято в плен свыше 500 гитлеровцев. На берегу реки Прут захвачено много боевой техники и автомашин противника.</w:t>
      </w:r>
    </w:p>
    <w:p w14:paraId="3D255341" w14:textId="77777777" w:rsidR="004F35D0" w:rsidRPr="007224C3" w:rsidRDefault="004F35D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и юго-западнее города Первомайск части Н-ского соединения, с боями продвигаясь вперёд, заняли несколько населённых пунктов. Захвачены 7 самоходных орудий и крупный обоз с военным имуществом. На другом участке наши подвижные отряды прорвались во вражеский тыл и нанесли внезапный удар по отступающей колонне немцев. Советские бойцы истребили 700 гитлеровцев и захватили 9 орудий, 60 автомашин и другие трофеи. Взяты пленные.</w:t>
      </w:r>
    </w:p>
    <w:p w14:paraId="5BF7BB14" w14:textId="77777777" w:rsidR="004F35D0" w:rsidRPr="007224C3" w:rsidRDefault="004F35D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Николаевском направлении наши войска продолжали вести бои с противником.На подступах к Николаеву немцы располагают выгодными для обороны естественными рубежами. С севера город прикрыт рекой Ингул, с юга — Южным Бугом. Трёхкилометровый перешеек между этими реками сильно укреплён и до предела насыщен артиллерией и другими огневыми средствами. Наши части, действуя мелкими штурмовыми группами, овладели сильно укреплённым рубежом, в бою за который уничтожено свыше 800 гитлеровцев. Захвачено 7 орудий, 21 миномёт, 30 пулемётов, 20 автомашин, 6 складов с авиабомбами и 5 складов с военным имуществом.</w:t>
      </w:r>
    </w:p>
    <w:p w14:paraId="49D0DFA2" w14:textId="77777777" w:rsidR="004F35D0" w:rsidRPr="007224C3" w:rsidRDefault="004F35D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Авиация Краснознамённого Балтийского флота потопила два сторожевых корабля и повредила два тральщика противника.</w:t>
      </w:r>
    </w:p>
    <w:p w14:paraId="6D201CDF" w14:textId="77777777" w:rsidR="004F35D0" w:rsidRPr="007224C3" w:rsidRDefault="004F35D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Несколько партизанских отрядов, действующих в Калининской области, за месяц пустили под откос 26 немецких воинских эшелонов. Разбито и повреждено 23 паровоза и 140 вагонов. Кроме того, взорваны 5 железнодорожных мостов и 1500 рельсов. На шоссейных и грунтовых дорогах советские патриоты уничтожили 2 бронемашины, 90 автомашин и 40 повозок противника. Партизаны захватили радиостанцию, 20 пулемётов, 150 автоматов и винтовок, 17 повозок с боеприпасамии другие трофеи. В ходе боёв партизанами уничтожено до батальона гитлеровцев.» (15080).</w:t>
      </w:r>
    </w:p>
    <w:p w14:paraId="04007ABF" w14:textId="77777777" w:rsidR="004F35D0" w:rsidRPr="007224C3" w:rsidRDefault="004F35D0" w:rsidP="007224C3">
      <w:pPr>
        <w:spacing w:after="0" w:line="240" w:lineRule="auto"/>
        <w:jc w:val="both"/>
        <w:rPr>
          <w:rFonts w:ascii="Times New Roman" w:hAnsi="Times New Roman"/>
          <w:color w:val="000000" w:themeColor="text1"/>
          <w:sz w:val="16"/>
          <w:szCs w:val="16"/>
        </w:rPr>
      </w:pPr>
    </w:p>
    <w:p w14:paraId="21719BE0" w14:textId="77777777" w:rsidR="004F35D0" w:rsidRPr="007224C3" w:rsidRDefault="004F35D0"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26 марта</w:t>
      </w:r>
      <w:r w:rsidRPr="007224C3">
        <w:rPr>
          <w:rFonts w:ascii="Times New Roman" w:hAnsi="Times New Roman"/>
          <w:color w:val="000000" w:themeColor="text1"/>
          <w:sz w:val="16"/>
          <w:szCs w:val="16"/>
        </w:rPr>
        <w:t xml:space="preserve"> в 1944 году началась Одесская наступательная операция войск 3-го Украинского фронта (командующий маршал Р.Я.Малиновский) при содействии сил Черноморского флота (адмирал Ф.С.Октябрьский) во взаимодействии с 2-м Украинским фронтом. Завершилась 14 апреля. В результате операции были освобождены Николаевская и Одесская области и значительная часть советской Молдавии; созданы условия для полного освобождения Молдавии, продвижения в глубь Румынии и на Балканы (15080).</w:t>
      </w:r>
    </w:p>
    <w:p w14:paraId="1E75937A" w14:textId="77777777" w:rsidR="004F35D0" w:rsidRPr="007224C3" w:rsidRDefault="004F35D0" w:rsidP="007224C3">
      <w:pPr>
        <w:spacing w:after="0" w:line="240" w:lineRule="auto"/>
        <w:jc w:val="both"/>
        <w:rPr>
          <w:rFonts w:ascii="Times New Roman" w:hAnsi="Times New Roman"/>
          <w:color w:val="000000" w:themeColor="text1"/>
          <w:sz w:val="16"/>
          <w:szCs w:val="16"/>
        </w:rPr>
      </w:pPr>
    </w:p>
    <w:p w14:paraId="1FA78484" w14:textId="77777777" w:rsidR="004F35D0" w:rsidRPr="007224C3" w:rsidRDefault="004F35D0"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26 марта</w:t>
      </w:r>
      <w:r w:rsidRPr="007224C3">
        <w:rPr>
          <w:rFonts w:ascii="Times New Roman" w:hAnsi="Times New Roman"/>
          <w:color w:val="000000" w:themeColor="text1"/>
          <w:sz w:val="16"/>
          <w:szCs w:val="16"/>
        </w:rPr>
        <w:t xml:space="preserve"> в 1944 году в Николаевском порту с рыбачьих лодок высажен десант морских пехотинцев (55 человек) 384-го отдельного батальона с 12 армейскими саперами под руководством старшего лейтенанта К.Ф.Ольшанского. Вел отряд добровольцев из местных рыбаков А.Н.Андреев. Десантом в Николаевском порту захвачено несколько строений, прилегающих к элеватору, занята круговая оборона. Днем моряки отразили 18 атак гитлеровцев. Горстка раненых во главе со старшиной 2-й статьи К.В.Бочковичем удерживала позиции до утра 28 марта, когда подошли части Красной Армии, освободившие город. На счету десантников свыше 700 уничтоженных солдат и офицеров врага. Из 67 осталось в живых 12 человек. Все участники десанта удостоены звания Героя Советского Союза, а проводнику Андрееву это звание присвоено в 1965 г (15080).</w:t>
      </w:r>
    </w:p>
    <w:p w14:paraId="78938395" w14:textId="77777777" w:rsidR="004F35D0" w:rsidRPr="007224C3" w:rsidRDefault="004F35D0" w:rsidP="007224C3">
      <w:pPr>
        <w:spacing w:after="0" w:line="240" w:lineRule="auto"/>
        <w:jc w:val="both"/>
        <w:rPr>
          <w:rFonts w:ascii="Times New Roman" w:hAnsi="Times New Roman"/>
          <w:color w:val="000000" w:themeColor="text1"/>
          <w:sz w:val="16"/>
          <w:szCs w:val="16"/>
        </w:rPr>
      </w:pPr>
    </w:p>
    <w:p w14:paraId="4E2BDDD8"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марта 1944 в Николаевском порту высадился десант во главе со ст. лейтенантом К.Ф.Ольшанским для содействия войскам 3-го Укр. фронта в овладении городом (4963 ).</w:t>
      </w:r>
    </w:p>
    <w:p w14:paraId="03EA84E9"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6F97F2A"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марта 1944 началась Одесская наступательная операция войск 3-го Укр. фронта при содействии сил Черноморского флота во взаимодействии со 2-м Укр. Фронтом (4963 ).</w:t>
      </w:r>
    </w:p>
    <w:p w14:paraId="3C9041A7"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53383E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26 марта по 14 апреля 1944 была Одесская операция 3УФ (Р.Я.Малиновский). Ударили с Южного Буга и продвинулись на 180 км (2438,466).</w:t>
      </w:r>
    </w:p>
    <w:p w14:paraId="24570AE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4A3AA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26 марта 1944 была высадка Николаевского десанта в ходе Одесской операции. </w:t>
      </w:r>
    </w:p>
    <w:p w14:paraId="4CB8E06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 середине марта войска левого крыла 3-го Украинского фронта вышли к Николаеву. Чтобы оказать помощь войскам в овладении городом, воспрепятствовать противнику вывезти людей и ценности, не дать ему разрушить порт, было решено высадить тактический десант в порт Николаев с задачей отвлечь часть сил противника с фронта. Выполнение задачи было возложено на 384-й отдельный батальон морской пехоты (командир майор Ф. Е. Котанов), входивший в состав Одесской ВМБ. Для десанта было отобрано 55 добровольцев, а также 10 саперов и 2 связиста с рацией. В ночь на 26.3 десантный отряд под командованием старшего лейтенанта К. Ф. Ольшанского (заместитель по политической части капитан А. Ф. Головлев, начальник штаба лейтенант Г. С. Волошко) на семи рыбачьих лодках вышел из пос. Октябрьский в Николаев. Отряд вел проводник-доброволец А. И. Андреев. В 5 ч десантники скрытно высадились в порту и, сняв часовых, заняли здания нового элеватора и порта. </w:t>
      </w:r>
    </w:p>
    <w:p w14:paraId="6B84963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Обнаружив десант, противник атаковал его сначала небольшими силами, а затем тремя батальонами пехоты при поддержке танков, орудий, минометов и огнеметов. В течение двух суток десантники отбили 18 ожесточенных атак врага, уничтожив более 700 солдат и офицеров, 2 танка, 4 орудия. Отряд нес потери, но неравный бой продолжался. Когда неприятель подошел вплотную, командир отряда вызвал огонь нашей артиллерии на себя. Горстка раненых во главе со старшиной 2-й статьи К. В. Бочковичем удерживала позицию до утра 28.3, когда в порт ворвались наступающие с фронта войска. </w:t>
      </w:r>
    </w:p>
    <w:p w14:paraId="5882D56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Советское правительство высоко оценило подвиг десантников. За мужество и героизм всем 67 десантникам (из них 55 посмертно) и проводнику А. И. Андрееву было присвоено звание Героя Советского Союза (11712).</w:t>
      </w:r>
    </w:p>
    <w:p w14:paraId="2E41B72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A1BE168"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марта 1944 советские войска вышли к границе СССР на реке Прут (4962), войска 2-го Украинского фронта вышли на Гос. границу с Румынией на р. Прут севернее г. Унгены (4963 ).</w:t>
      </w:r>
    </w:p>
    <w:p w14:paraId="0AA319E4"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E2501C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марта 1944 войска 2-го Украинского фронта вышли на реку Прут - госграницу СССР (337,82).</w:t>
      </w:r>
    </w:p>
    <w:p w14:paraId="5CC1900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C0000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марта 1944 года на советско-германском фронте Люфтваффе располагали 326 боевыми истребителями - вдвое меньше, чем на Западе (3573).</w:t>
      </w:r>
    </w:p>
    <w:p w14:paraId="48CD634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65B19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26 марта 1944 в Николаевском порту с рыбачьих лодок был высажен десант морской пехоты (55 чел.) 384 об с 12 армейскими саперами под руководством ст.-л </w:t>
      </w:r>
      <w:r w:rsidRPr="007224C3">
        <w:rPr>
          <w:rFonts w:ascii="Times New Roman" w:hAnsi="Times New Roman"/>
          <w:color w:val="000000" w:themeColor="text1"/>
          <w:sz w:val="16"/>
          <w:szCs w:val="16"/>
        </w:rPr>
        <w:lastRenderedPageBreak/>
        <w:t>К.Ф.Ольшанского. Держались до прихода наших сил, выдержав 18 атак. все стали ГСС (3398,124).</w:t>
      </w:r>
    </w:p>
    <w:p w14:paraId="7A5AED2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4908A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March 26th, 1944: The Red Army recaptures Kamenets-Podolsk. in the Ukraine (3819).</w:t>
      </w:r>
    </w:p>
    <w:p w14:paraId="45DE931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6BE973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марта 1944 1УФ (Г.К.Ж.) освободил Каменец-Подольский (3398,124).</w:t>
      </w:r>
    </w:p>
    <w:p w14:paraId="58BB6D4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5CDA6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марта 1944 из полета не вернулся Герой Советского Союза А.П.Чернышев. Последнюю передачу Чернышев сделал в 21:37, находясь в районе мыса Юминданина, восточнее Таллинна. Вылетевший вслед за ним «Ильюшин» в 23:25 на подходе к бухте Кунда наблюдал падение в воду горящего объекта, а спустя 10 минут - самолет неизвестного типа с включенной фарой. Примерно в тот же час пропали без вести два других «Ила», вылетавших на минирование Таллиннской бухты (9965).</w:t>
      </w:r>
    </w:p>
    <w:p w14:paraId="6A34249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D6CC05F" w14:textId="77777777" w:rsidR="004F35D0"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001CDE99" w14:textId="77777777" w:rsidR="004F35D0" w:rsidRPr="007224C3" w:rsidRDefault="004F35D0"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A581424" w14:textId="77777777" w:rsidR="00003C7F" w:rsidRPr="007224C3" w:rsidRDefault="00003C7F"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26 марта 1944 во время авиаудара США по Понапе японцы впервые за шесть недель поднимают истребители в центральной части Тихого океана, но почти все они сбиты (20373).</w:t>
      </w:r>
    </w:p>
    <w:p w14:paraId="40097A87" w14:textId="77777777" w:rsidR="00003C7F" w:rsidRPr="007224C3" w:rsidRDefault="00003C7F" w:rsidP="007224C3">
      <w:pPr>
        <w:spacing w:after="0" w:line="240" w:lineRule="auto"/>
        <w:jc w:val="both"/>
        <w:rPr>
          <w:rFonts w:ascii="Times New Roman" w:hAnsi="Times New Roman"/>
          <w:color w:val="0070C0"/>
          <w:sz w:val="16"/>
          <w:szCs w:val="16"/>
        </w:rPr>
      </w:pPr>
    </w:p>
    <w:p w14:paraId="46AE5187" w14:textId="77777777" w:rsidR="00003C7F" w:rsidRPr="007224C3" w:rsidRDefault="00003C7F"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26–27 марта (ночь) 1944 705 британских бомбардировщиков атакуют Эссен, Германия, и совершают успешную юомбаожировку сквозь облака. Удивленные внезапным перемещением бомбардировочного командования к цели в Рур, реакция немецких ночных истребителей минимальна, и только девять британских бомбардировщиков (1,3 процента) потеряны (20373).</w:t>
      </w:r>
    </w:p>
    <w:p w14:paraId="287A82A2" w14:textId="77777777" w:rsidR="00003C7F" w:rsidRPr="007224C3" w:rsidRDefault="00003C7F" w:rsidP="007224C3">
      <w:pPr>
        <w:spacing w:after="0" w:line="240" w:lineRule="auto"/>
        <w:jc w:val="both"/>
        <w:rPr>
          <w:rFonts w:ascii="Times New Roman" w:hAnsi="Times New Roman"/>
          <w:color w:val="0070C0"/>
          <w:sz w:val="16"/>
          <w:szCs w:val="16"/>
        </w:rPr>
      </w:pPr>
    </w:p>
    <w:p w14:paraId="7EF24B7A" w14:textId="77777777" w:rsidR="00003C7F" w:rsidRPr="007224C3" w:rsidRDefault="00003C7F"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26–27 марта (ночь) 1944 109 британских бомбардировщиков без потерь атакуют железнодорожные станции Куртре, Бельгия (20373).</w:t>
      </w:r>
    </w:p>
    <w:p w14:paraId="3046843A" w14:textId="77777777" w:rsidR="00003C7F" w:rsidRPr="007224C3" w:rsidRDefault="00003C7F" w:rsidP="007224C3">
      <w:pPr>
        <w:spacing w:after="0" w:line="240" w:lineRule="auto"/>
        <w:jc w:val="both"/>
        <w:rPr>
          <w:rFonts w:ascii="Times New Roman" w:hAnsi="Times New Roman"/>
          <w:color w:val="0070C0"/>
          <w:sz w:val="16"/>
          <w:szCs w:val="16"/>
        </w:rPr>
      </w:pPr>
    </w:p>
    <w:p w14:paraId="6E943E37" w14:textId="77777777" w:rsidR="004F35D0" w:rsidRPr="007224C3" w:rsidRDefault="004F35D0"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26 марта</w:t>
      </w:r>
      <w:r w:rsidRPr="007224C3">
        <w:rPr>
          <w:rFonts w:ascii="Times New Roman" w:hAnsi="Times New Roman"/>
          <w:color w:val="000000" w:themeColor="text1"/>
          <w:sz w:val="16"/>
          <w:szCs w:val="16"/>
        </w:rPr>
        <w:t xml:space="preserve"> в 1944 году единственная успешно завершившая поход в Европу (вернувшаяся назад) японская подводная лодка «I-18» атаковала датский транспорт. Весь экипаж датчан (92 человека) был изрублен самурайскими мечами (15080).</w:t>
      </w:r>
    </w:p>
    <w:p w14:paraId="4823AB62" w14:textId="77777777" w:rsidR="004F35D0" w:rsidRPr="007224C3" w:rsidRDefault="004F35D0" w:rsidP="007224C3">
      <w:pPr>
        <w:spacing w:after="0" w:line="240" w:lineRule="auto"/>
        <w:jc w:val="both"/>
        <w:rPr>
          <w:rFonts w:ascii="Times New Roman" w:hAnsi="Times New Roman"/>
          <w:color w:val="000000" w:themeColor="text1"/>
          <w:sz w:val="16"/>
          <w:szCs w:val="16"/>
        </w:rPr>
      </w:pPr>
    </w:p>
    <w:p w14:paraId="1B72A9F1"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18EE462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805806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марта - 1 апреля 1944 г. VII пленум ЦК профсоюза авиапромышленности:</w:t>
      </w:r>
    </w:p>
    <w:p w14:paraId="561C11D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 постановления пленума: "... Героическая Красная Армия под водительством великого полководца, Маршала Советского Союза товарища Сталина, в упорной борьбе, преодолевая сопротивление, изгоняет врага не только с советской земли, но и перенесла борьбу на его территорию... ... Выпуск самолетов в январе 1944 года увеличился по сравнению с июнем 1941 года на 130,1%. Некоторые заводы добились увеличения выпуска от 2-х до 5-ти раз (заводы, где директорами т.т. Белянский, Агаджанов, Окулов, Лисицин и др.). Выработка на одного рабочего по Наркомату возросла на 48,7%; по заводам, где директорами т.т. Белянский, Агаджанов, Жезлов, она составляет от 115 до 260%... ... считать в 1944 году одной из своих основных задач... полное выполнение плана по жилищному и культурно-бытовому строительству... ... За 1943 год подсобные хозяйства заводов АП выполнили план посева на 101%. Особенно увеличена посевная площадь против 1942 года по картофелю - на 50% и овощам - на 51% ... Хороших результатов в проведении сельхозработ и увеличении урожайности добились заводы №№ 28, 43, 150, 156 и др... ... Президиуму ЦК союза, завкомам и месткомам для обеспечения повышения урожайности овощей и картофеля развернуть социалистическое соревнование среди всех коллективов, всех отдельных огородников за достижение показателей, установлен-ных ВЦСПС, т.е. по картофелю - не менее 3 кг с квадратного метра,. по капусте - не менее 5 кг, по корнеплодам - не менее 2 кг лука на репку; широко организовать агротехническую пропаганду среди огородников..."</w:t>
      </w:r>
    </w:p>
    <w:p w14:paraId="0DE61D5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01.01.1944 г. членами союза были 76.5 % работающих в АП (11764).</w:t>
      </w:r>
    </w:p>
    <w:p w14:paraId="50001BB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F354E5F"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2B0C602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4D0FF7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марта 1944 на АНИОПе в Гороховце закончилисьгосударственные испытания СУ-100, которые проходили с 9 марта 1944. Самоход произвел 1040 выстрелов и прошел 864 км. В своем заключении комиссия отметила, что опытный образец испытания выдержал и может быть принят на вооружение Красной Армии после внесения некоторых изменений (9637).</w:t>
      </w:r>
    </w:p>
    <w:p w14:paraId="30E4A55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EA8984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марта 1944 г. вышел ПРИКАЗ НАЧАЛЬНИКА ГБТУ КА О ПРОВЕДЕНИИ ПРОБЕГОВЫХ ИСПЫТАНИЙ МОТОЦИКЛОВ М-72 №016</w:t>
      </w:r>
    </w:p>
    <w:p w14:paraId="34E7D90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целью проверки надежности работы всех агрегатов деталей мотоцикла М-72, выявления конструктивных и производственных недостатков, а также соответствия выпускаемых мотоциклов техническим условиям на производство мотоциклов, ПРИКАЗЫВАЮ:</w:t>
      </w:r>
    </w:p>
    <w:p w14:paraId="3D7DC29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НИБТ полигону ГБТУ КА в период с 20 апреля по 1 июля с.г. провести дорожные испытания серийных мотоциклов М-72 по два образца Горьковского и Ирбитского мотозаводов.</w:t>
      </w:r>
    </w:p>
    <w:p w14:paraId="1C9E63D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Испытания мотоциклов М-72 провести по прилагаемой программе, утвержденной ГБТУ КА.</w:t>
      </w:r>
    </w:p>
    <w:p w14:paraId="0369BC5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Материально-техническое обеспечение испытаний возлагаю на начальника НИБТ полигона ГБТУ КА генерал-майора танковых войск т. Романова.</w:t>
      </w:r>
    </w:p>
    <w:p w14:paraId="0A6A87F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Управлению бронепоездов и бронемашин ГБТУ КА выдать НИБТ полигону ГБТУ КА по 2 серийных образца мотоциклов производства Ирбитского и Горьковского мотозаводов.</w:t>
      </w:r>
    </w:p>
    <w:p w14:paraId="33EF7B2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Заключение по испытаниям мотоциклов М-72 представить в ГБТУ КА 1 июля 1944 г. и полный отчет к 15 июля 1944 г.</w:t>
      </w:r>
    </w:p>
    <w:p w14:paraId="05537DC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Главного бронетанкового управления Красной Армии генерал-лейтенант танковых войск Вершинин</w:t>
      </w:r>
    </w:p>
    <w:p w14:paraId="6F0C03A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38. Оп. 11377. Д. 117. Л. 34. Подлинник (11403).</w:t>
      </w:r>
    </w:p>
    <w:p w14:paraId="3AF4A31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62079A6" w14:textId="77777777" w:rsidR="00A76CAC" w:rsidRPr="007224C3" w:rsidRDefault="00A76CA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марта 1944 г. постановлением ГКО была определена окончательно специализация завода «Красная заря». В соответствии с этим документом на предприятие возлагалась задача организации производства АТС. 3-м ГУ НКЭП «Красной заре» было выдано задание на освоение выпуска станции для учреждений емкостью на 100-300 номеров, разработка которой была осуществлена в ГСПЭИ № 56. Для СССР это была совершенно новая система, никогда ранее не выпускавшаяся. Чтобы обеспечить такое производство, необходимо было освоить изготовление целого ряда новых узлов и полуфабрикатов. Прежде всего это было реле типа РМ, являвшегося копией изделия фирмы «Строуджер», а также восстановленные на «Красной заре» искатели типа «И» и реле МРЦ.</w:t>
      </w:r>
    </w:p>
    <w:p w14:paraId="36E7B12B" w14:textId="77777777" w:rsidR="00A76CAC" w:rsidRPr="007224C3" w:rsidRDefault="00A76CA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Полученная от ГСПЭИ-56 техническая документация на АТС оказалась незавершенной, в ней не были учтены все недостатки, выявленные на опытном образце. Это потребовало изготовления или переработки документации на девять узлов станции (18297).</w:t>
      </w:r>
    </w:p>
    <w:p w14:paraId="71848C9E" w14:textId="77777777" w:rsidR="00A76CAC" w:rsidRPr="007224C3" w:rsidRDefault="00A76CAC" w:rsidP="007224C3">
      <w:pPr>
        <w:spacing w:after="0" w:line="240" w:lineRule="auto"/>
        <w:jc w:val="both"/>
        <w:rPr>
          <w:rFonts w:ascii="Times New Roman" w:hAnsi="Times New Roman"/>
          <w:color w:val="000000" w:themeColor="text1"/>
          <w:sz w:val="16"/>
          <w:szCs w:val="16"/>
        </w:rPr>
      </w:pPr>
    </w:p>
    <w:p w14:paraId="05138CFA"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марта 1944 вышло Постановление ГКО № 5483 Об обеспечении выпуска турбокислородных установок системы академика Капицы. (7201, 120-122,123-155).</w:t>
      </w:r>
    </w:p>
    <w:p w14:paraId="5A1404CC"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D08E5D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марта 1944 вышло Постановление ГКО № 5484 О мерах по увеличению добычи угля по комбинатам "Приморскуголь", "Хабаровск- уголь" и тресту "Востуголь" в первом полугодии 1944 г. РГАНИР, Фонд ГКО, д. 221, лл. 156-167,168-170 (11012).</w:t>
      </w:r>
    </w:p>
    <w:p w14:paraId="696754B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C2A7708"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марта 1944 вышло Постановление ГКО № 5485 Об усилении отгрузки НКПС металла и других материалов по фондам I квартала 1944 г. (7201, 171-178).</w:t>
      </w:r>
    </w:p>
    <w:p w14:paraId="4425335D"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2305F3C"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74C2629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04CA32D" w14:textId="77777777" w:rsidR="004F35D0" w:rsidRPr="007224C3" w:rsidRDefault="004F35D0"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27 марта</w:t>
      </w:r>
      <w:r w:rsidRPr="007224C3">
        <w:rPr>
          <w:rFonts w:ascii="Times New Roman" w:hAnsi="Times New Roman"/>
          <w:color w:val="000000" w:themeColor="text1"/>
          <w:sz w:val="16"/>
          <w:szCs w:val="16"/>
        </w:rPr>
        <w:t xml:space="preserve"> в 1944 году оперативная сводка Совинформбюро:</w:t>
      </w:r>
    </w:p>
    <w:p w14:paraId="771CE643" w14:textId="77777777" w:rsidR="004F35D0" w:rsidRPr="007224C3" w:rsidRDefault="004F35D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1-го Украинского фронта, развивая наступление, вчера, 26 марта, в результате стремительного удара танковых соединений и пехоты овладели областнымцентром Украины городом Каменец-Подольск — сильным опорным пунктом обороны немцев на Днестре. В боях за овладение городом Каменец-Подольск отличились части полковника Смирнова, полковника Жукова, полковника Денисова, полковника Фомичева, полковника Медведева, полковника Туркина, полковника Рывжа, полковника Рубасова, полковника Котельникова, полковника Нечипоренко, полковника Епифанова, полковника Селиванчика, подполковника Скирда, полковника Горохова, полковника Пархоменко, полковника Николюка, подполковника Диденко, майора Козлова, подполковника Яшанина, майора Курчатнина, подполковника Власькина, майора Артеева, майора Чапиля, подполковника Иакимова, подполковника Гудимова, подполковника Сергеева.</w:t>
      </w:r>
    </w:p>
    <w:p w14:paraId="2ABA8E47" w14:textId="77777777" w:rsidR="004F35D0" w:rsidRPr="007224C3" w:rsidRDefault="004F35D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 течение 27 марта войска 1-го Украинского фронта, продолжая наступление, овладели районными центрами Тарнопольской области городом Монастыриска, Коропец, Золотой Поток, районными центрами Каменец-Подольской области городом Ярмолинцы,Смотричь, Воньковцы, Новая Ушица, Должок, а также с боями заняли более 80 других населённых пунктов, в том числе крупные населённые пункты Ленчувка, Голгоче, Швейкув, Барыш, Порхова, Соколув, Сновидув, </w:t>
      </w:r>
      <w:r w:rsidRPr="007224C3">
        <w:rPr>
          <w:rFonts w:ascii="Times New Roman" w:hAnsi="Times New Roman"/>
          <w:color w:val="000000" w:themeColor="text1"/>
          <w:sz w:val="16"/>
          <w:szCs w:val="16"/>
        </w:rPr>
        <w:lastRenderedPageBreak/>
        <w:t>Косцельники, Беремяны, Лотач, Кадиевцы, Шаровка, Петраши, Дашковцы, Говоры, Куча. Войска фронта, успешно форсировав реку Днестр, овладели районным центром Станиславской области городом и крупной железнодорожной станцией Городенка, районными центрами Черновицкойобласти городом Заставна, Садагура.</w:t>
      </w:r>
    </w:p>
    <w:p w14:paraId="51F11009" w14:textId="77777777" w:rsidR="004F35D0" w:rsidRPr="007224C3" w:rsidRDefault="004F35D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2-го Украинского фронта, продолжая развивать наступление между реками Днестр и Прут, овладели районными центрами Молдавской ССР городом Бричаны, Скуляны, а также с боями заняли более 100 других населённых пунктов, в том числе крупные населённые пункты Михалкова, Романковцы, Шубутинцы, Яноуцы, Бузовицы, Новоселицы, Табаны, Каракушаны, Коржеуцы, Тицканы, Карпач, Костешты, Бранешты, Кухнешты, Калинешты, Столничаны, Скумпия, Марандени и железнодорожные станции Романковцы, Васкауцы, Яноуцы, Марандени, Катранык, Скумпия, Столничаны.</w:t>
      </w:r>
    </w:p>
    <w:p w14:paraId="280105BC" w14:textId="77777777" w:rsidR="004F35D0" w:rsidRPr="007224C3" w:rsidRDefault="004F35D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и юго-западнее города Первомайск наши войска продолжали вести наступательные бои, в ходе которых овладели районным центром Одесской области Саврань, а также с боями заняли более 30 других населённых пунктов, в том числе Байбузовка, Бакша, Капустянка, Струтинка, Михалково, Очеретна, Тридубы, Бурилово, Секретарка, Ленино, Богачёвка, Конецполь, Голта, Грушевка.</w:t>
      </w:r>
    </w:p>
    <w:p w14:paraId="4A45B651" w14:textId="77777777" w:rsidR="004F35D0" w:rsidRPr="007224C3" w:rsidRDefault="004F35D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Николаевском направлении наши войска с боями овладели населёнными пунктами Баловная, Матвеевка, Терновка (4 километра севернее города Николаев), Водопой и завязали бои на окраинах города Николаев.</w:t>
      </w:r>
    </w:p>
    <w:p w14:paraId="6F702407" w14:textId="77777777" w:rsidR="004F35D0" w:rsidRPr="007224C3" w:rsidRDefault="004F35D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 бои местного значения.</w:t>
      </w:r>
    </w:p>
    <w:p w14:paraId="3C23223F" w14:textId="77777777" w:rsidR="004F35D0" w:rsidRPr="007224C3" w:rsidRDefault="004F35D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26 марта наши войска на всех фронтах подбили и уничтожили 28 немецких танков. В воздушных боях и огнём зенитной артиллерии сбито 18 самолётов противника.</w:t>
      </w:r>
    </w:p>
    <w:p w14:paraId="2AE58E8C" w14:textId="77777777" w:rsidR="004F35D0" w:rsidRPr="007224C3" w:rsidRDefault="004F35D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1-го Украинского фронта вчера овладели областным центром Украины городом Каменец-Подольск. Немцы превратили Каменец-Подольск в сильный опорный пункт своей обороны на Днестре. Реки Смотричь и Мукша с высокими обрывистыми берегами, протекающие у западной и восточной окраин города, образуют естественные рубежи обороны. Однако застигнутые врасплох немцы не могли использовать все преимущества своих оборонительных позиций. Советские танкисты и пехотинцы стремительным ударом со всех сторон ворвались в Каменец-Подольск и в ожесточённых уличных боях полностью разгромили немецкий гарнизон. Нашими войсками захвачены в городе большие трофеи.</w:t>
      </w:r>
    </w:p>
    <w:p w14:paraId="439A6B86" w14:textId="77777777" w:rsidR="004F35D0" w:rsidRPr="007224C3" w:rsidRDefault="004F35D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Ожесточённые бои происходили в районе города Ярмолинцы. В течение нескольких дней крупные силы танков и пехоты противника предпринимали контратаки и ценой огромных потерь стремились удержать в своих руках этот опорный пункт. Наши войска, отбивая контратаки немцев, перемалывали их живую силу и технику. Сегодня решительным ударом с севера и запада советские бойцы овладели городом Ярмолинцы. В боях в этом районе немцы, по предварительным данным, потеряли свыше 100 танков и до 5 тысяч солдат и офицеров. Другие наши части, с боями продвигаясь вперёд, заняли районный центр Каменец-Подольской области Воньковцы и захватили у немцев 15 исправных танков, более 100 орудий, 18 бронемашин, 24 бронетранспортёра, несколько сот автомашин, 2 склада боеприпасов и 5 складов с продовольствием. В районе Зяньковцы в панике отступающие гитлеровцы бросили 80 исправных орудий.</w:t>
      </w:r>
    </w:p>
    <w:p w14:paraId="161BC548" w14:textId="77777777" w:rsidR="004F35D0" w:rsidRPr="007224C3" w:rsidRDefault="004F35D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1-го Украинского фронта на широком фронте вышли к Днестру и захватили ряд переправ. С хода форсировав Днестр, наши подвижные части сегодня овладели районным центром Станиславской области городом и крупной железнодорожной станцией Городенка. В бою за Городенку уничтожен полк венгерской пехоты. Другие наши соединения, быстро продвигаясь вперёд, овладели районным центром Черновицкой области городом Заставна и районным центром Садагура (севернее города Черновицы).</w:t>
      </w:r>
    </w:p>
    <w:p w14:paraId="426C0737" w14:textId="77777777" w:rsidR="004F35D0" w:rsidRPr="007224C3" w:rsidRDefault="004F35D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2-го Украинского фронта развивали наступление между реками Днестр и Прут. Части Н-ского соединения продвинулись вперёд на 20 километров и заняли ряд населённых пунктов, в том числе город Бричаны. В беспорядке отступая под ударами советских войск, противник несёт тяжёлые потери. В одном районе наш подвижной отряд прорвался в тыл противника и разгромил полк вражеской пехоты. На другом участке наши танки ворвались на железнодорожную станцию и уничтожили свыше 1.000 немцев и румын, грузившихся в вагоны. Захвачено много орудий и автомашин с военным имуществом.</w:t>
      </w:r>
    </w:p>
    <w:p w14:paraId="455D9B54" w14:textId="77777777" w:rsidR="004F35D0" w:rsidRPr="007224C3" w:rsidRDefault="004F35D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Николаевском направлении наши войска продолжали вести наступательные бои.Севернее Николаева бойцы Н-ского соединения, сломив упорное сопротивление противника, овладели населёнными пунктами Баловная, Матвеевка и Терновка. На поле боя остались сотни вражеских трупов. Другие наши части стремительной атакой овладели селом Водопой и ведут бои на окраинах города Николаева.</w:t>
      </w:r>
    </w:p>
    <w:p w14:paraId="331CB0E5" w14:textId="77777777" w:rsidR="004F35D0" w:rsidRPr="007224C3" w:rsidRDefault="004F35D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Финском заливе потоплены тральщик, сторожевой корабль и сторожевой катер противника.</w:t>
      </w:r>
    </w:p>
    <w:p w14:paraId="6EBB10B0" w14:textId="77777777" w:rsidR="004F35D0" w:rsidRPr="007224C3" w:rsidRDefault="004F35D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Украинский партизанский отряд, действующий в Тарнопольской области, внезапно напал на немецкий гарнизон. Партизаны истребили 120 вражеских солдат и офицеров и взяли 22 пленных. Захвачены 11 пулемётов, 4 миномёта, свыше 100 винтовок и автоматов. Группа молдавских партизан проникла на одну железнодорожную станцию и, уничтожив немецких часовых, взорвала склад боеприпасов.» (15081).</w:t>
      </w:r>
    </w:p>
    <w:p w14:paraId="197C256E" w14:textId="77777777" w:rsidR="004F35D0" w:rsidRPr="007224C3" w:rsidRDefault="004F35D0" w:rsidP="007224C3">
      <w:pPr>
        <w:spacing w:after="0" w:line="240" w:lineRule="auto"/>
        <w:jc w:val="both"/>
        <w:rPr>
          <w:rFonts w:ascii="Times New Roman" w:hAnsi="Times New Roman"/>
          <w:color w:val="000000" w:themeColor="text1"/>
          <w:sz w:val="16"/>
          <w:szCs w:val="16"/>
        </w:rPr>
      </w:pPr>
    </w:p>
    <w:p w14:paraId="4AB4993E" w14:textId="77777777" w:rsidR="004F35D0" w:rsidRPr="007224C3" w:rsidRDefault="004F35D0"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27 марта</w:t>
      </w:r>
      <w:r w:rsidRPr="007224C3">
        <w:rPr>
          <w:rFonts w:ascii="Times New Roman" w:hAnsi="Times New Roman"/>
          <w:color w:val="000000" w:themeColor="text1"/>
          <w:sz w:val="16"/>
          <w:szCs w:val="16"/>
        </w:rPr>
        <w:t xml:space="preserve"> в 1944 году вступление советских войск на территорию Румынии (15081).</w:t>
      </w:r>
    </w:p>
    <w:p w14:paraId="0D67C6C7" w14:textId="77777777" w:rsidR="004F35D0" w:rsidRPr="007224C3" w:rsidRDefault="004F35D0" w:rsidP="007224C3">
      <w:pPr>
        <w:spacing w:after="0" w:line="240" w:lineRule="auto"/>
        <w:jc w:val="both"/>
        <w:rPr>
          <w:rFonts w:ascii="Times New Roman" w:hAnsi="Times New Roman"/>
          <w:color w:val="000000" w:themeColor="text1"/>
          <w:sz w:val="16"/>
          <w:szCs w:val="16"/>
        </w:rPr>
      </w:pPr>
    </w:p>
    <w:p w14:paraId="61417F4E"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марта 1944 советские войска освободили от фашистов Каменец-Подольский (4962).</w:t>
      </w:r>
    </w:p>
    <w:p w14:paraId="28BDCA53"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40796B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марта 1944 согласно сообщение Совинформбюро две группы немецких б пытались бомбить г Сарны, но были встречены и и отступили, потеряв 24 с без потерь с нашей стороны (438,898).</w:t>
      </w:r>
    </w:p>
    <w:p w14:paraId="022DA5A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39A45B"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Жизнь и внутренняя политика:</w:t>
      </w:r>
    </w:p>
    <w:p w14:paraId="3A630DF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51C1547"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марта 1944 в Каунасе фашистами убито около 2 тысяч евреев (4962).</w:t>
      </w:r>
    </w:p>
    <w:p w14:paraId="2168F606"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2B3049E"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марта 1944 в рижском гетто гестаповцами расстреляны 40 евреев (4962).</w:t>
      </w:r>
    </w:p>
    <w:p w14:paraId="38C50355"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91D96D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марта 1944 в Каунасе были убиты тысячи евреев, а в Риге расстреляны еврейские полицейские из гетто (2100).</w:t>
      </w:r>
    </w:p>
    <w:p w14:paraId="7F3184F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C6A1C4" w14:textId="77777777" w:rsidR="004F35D0"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Внешняя политика:</w:t>
      </w:r>
    </w:p>
    <w:p w14:paraId="4438B24C" w14:textId="77777777" w:rsidR="004F35D0" w:rsidRPr="007224C3" w:rsidRDefault="004F35D0"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E1CDC22" w14:textId="77777777" w:rsidR="004F35D0" w:rsidRPr="007224C3" w:rsidRDefault="004F35D0"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27 марта</w:t>
      </w:r>
      <w:r w:rsidRPr="007224C3">
        <w:rPr>
          <w:rFonts w:ascii="Times New Roman" w:hAnsi="Times New Roman"/>
          <w:color w:val="000000" w:themeColor="text1"/>
          <w:sz w:val="16"/>
          <w:szCs w:val="16"/>
        </w:rPr>
        <w:t xml:space="preserve"> в 1944 году (27-29 марта) на советско-финской встрече в Москве обсуждались условия перемирия (15081).</w:t>
      </w:r>
    </w:p>
    <w:p w14:paraId="4435EBFA" w14:textId="77777777" w:rsidR="004F35D0" w:rsidRPr="007224C3" w:rsidRDefault="004F35D0" w:rsidP="007224C3">
      <w:pPr>
        <w:spacing w:after="0" w:line="240" w:lineRule="auto"/>
        <w:jc w:val="both"/>
        <w:rPr>
          <w:rFonts w:ascii="Times New Roman" w:hAnsi="Times New Roman"/>
          <w:color w:val="000000" w:themeColor="text1"/>
          <w:sz w:val="16"/>
          <w:szCs w:val="16"/>
        </w:rPr>
      </w:pPr>
    </w:p>
    <w:p w14:paraId="63AAB7AD"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27554A3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E0D7FDF" w14:textId="77777777" w:rsidR="004F35D0" w:rsidRPr="007224C3" w:rsidRDefault="004F35D0"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27 марта</w:t>
      </w:r>
      <w:r w:rsidRPr="007224C3">
        <w:rPr>
          <w:rFonts w:ascii="Times New Roman" w:hAnsi="Times New Roman"/>
          <w:color w:val="000000" w:themeColor="text1"/>
          <w:sz w:val="16"/>
          <w:szCs w:val="16"/>
        </w:rPr>
        <w:t xml:space="preserve"> в 1944 году на авианосце «Индефатигейбл» приступили к выполнению реальных полётов на торпедоносцах </w:t>
      </w:r>
      <w:hyperlink r:id="rId88" w:tgtFrame="_blank" w:history="1">
        <w:r w:rsidRPr="007224C3">
          <w:rPr>
            <w:rFonts w:ascii="Times New Roman" w:hAnsi="Times New Roman"/>
            <w:color w:val="000000" w:themeColor="text1"/>
            <w:sz w:val="16"/>
            <w:szCs w:val="16"/>
          </w:rPr>
          <w:t xml:space="preserve">«Mosquito» «TF/TR» </w:t>
        </w:r>
      </w:hyperlink>
      <w:r w:rsidRPr="007224C3">
        <w:rPr>
          <w:rFonts w:ascii="Times New Roman" w:hAnsi="Times New Roman"/>
          <w:color w:val="000000" w:themeColor="text1"/>
          <w:sz w:val="16"/>
          <w:szCs w:val="16"/>
        </w:rPr>
        <w:t>(разработчик: «de Havilland», Великобритания). Первые полёты пилот Э.Браун из лётно-испытательного центра «Боскомб Даун» выполнял при минимально допустимой массе машины, с учетом возможности ухода в случае неудачи на ближайший береговой аэродром. К моменту появления «Москито» авианосец развернулся против ветра и дал полный ход. Пилоту по радио передали, что скорость воздушного потока над палубой составляет 74 км/ч. Браун, которому прежде не приходилось садиться на корабль, вполне уверенно выполнил заход на посадку. «Мосси» захватил второй трос аэрофинишера и быстро остановился. Адмирал Портал, флаг-офицер Морского авиационного командования, поздравил Брауна с первой в истории авиации посадкой двухмоторного самолета на авианосец (15081).</w:t>
      </w:r>
    </w:p>
    <w:p w14:paraId="36EF3799" w14:textId="77777777" w:rsidR="004F35D0" w:rsidRPr="007224C3" w:rsidRDefault="004F35D0" w:rsidP="007224C3">
      <w:pPr>
        <w:spacing w:after="0" w:line="240" w:lineRule="auto"/>
        <w:jc w:val="both"/>
        <w:rPr>
          <w:rFonts w:ascii="Times New Roman" w:hAnsi="Times New Roman"/>
          <w:color w:val="000000" w:themeColor="text1"/>
          <w:sz w:val="16"/>
          <w:szCs w:val="16"/>
        </w:rPr>
      </w:pPr>
    </w:p>
    <w:p w14:paraId="60EEACEF" w14:textId="77777777" w:rsidR="00003C7F" w:rsidRPr="007224C3" w:rsidRDefault="00003C7F"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27 марта 1944 Объединенный комитет начальников штабов дает генералу Дуайт Д. Эйзенхауэр - верховному главнокомандующиемуОВС НАТО в Европе и верховному главнокомандующему ОВС НАТО экспедиционных сил союзников - контроль над воздушными операциями на северо - западе Европы, чтобы обеспечить поддержку с воздуха для предстоящего вторжения в Европу. Эйзенхауэр командует Восьмай армией ВВС и RAF Bomber Command, чтобы сосредоточить операции на разрушение французской сети железных дорог и уменьшить возможность Германий получать родкрепление для плацдарма вторжения (20373).</w:t>
      </w:r>
    </w:p>
    <w:p w14:paraId="3F6D3D85" w14:textId="77777777" w:rsidR="00003C7F" w:rsidRPr="007224C3" w:rsidRDefault="00003C7F" w:rsidP="007224C3">
      <w:pPr>
        <w:spacing w:after="0" w:line="240" w:lineRule="auto"/>
        <w:jc w:val="both"/>
        <w:rPr>
          <w:rFonts w:ascii="Times New Roman" w:hAnsi="Times New Roman"/>
          <w:color w:val="0070C0"/>
          <w:sz w:val="16"/>
          <w:szCs w:val="16"/>
        </w:rPr>
      </w:pPr>
    </w:p>
    <w:p w14:paraId="5CDDE8FD" w14:textId="77777777" w:rsidR="00003C7F" w:rsidRPr="007224C3" w:rsidRDefault="00003C7F"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27 марта 1944 арктический конвой JW 58 отходит из Шотландии, направляясь в Кольский заливе в Советском Союзе. Британские авианосцы HMS Activity и HMS Tracker сопровождают JW 58 и обратный конвой RA 58, который достигает озера Лох-Эве 14 апреля. Во время рейса их самолеты топят или способствуют потоплению двух немецких подводных лодок, атакуют еще три и сбивают шесть немецких самолетов без потерь торгового корабля (20373).</w:t>
      </w:r>
    </w:p>
    <w:p w14:paraId="48400B4D" w14:textId="77777777" w:rsidR="00003C7F" w:rsidRPr="007224C3" w:rsidRDefault="00003C7F" w:rsidP="007224C3">
      <w:pPr>
        <w:spacing w:after="0" w:line="240" w:lineRule="auto"/>
        <w:jc w:val="both"/>
        <w:rPr>
          <w:rFonts w:ascii="Times New Roman" w:hAnsi="Times New Roman"/>
          <w:color w:val="0070C0"/>
          <w:sz w:val="16"/>
          <w:szCs w:val="16"/>
        </w:rPr>
      </w:pPr>
    </w:p>
    <w:p w14:paraId="1234BB28"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марта 1944 вишисткое правительство Франции разрешило французам вступать в СС (4962).</w:t>
      </w:r>
    </w:p>
    <w:p w14:paraId="0BFCA774"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6B0D046"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7833040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82EE22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марта 1944 установилась устойчивая летная по</w:t>
      </w:r>
      <w:r w:rsidRPr="007224C3">
        <w:rPr>
          <w:rFonts w:ascii="Times New Roman" w:hAnsi="Times New Roman"/>
          <w:color w:val="000000" w:themeColor="text1"/>
          <w:sz w:val="16"/>
          <w:szCs w:val="16"/>
        </w:rPr>
        <w:softHyphen/>
        <w:t>года, которая продержалась три дня. В эти дни бригада испытателей ра</w:t>
      </w:r>
      <w:r w:rsidRPr="007224C3">
        <w:rPr>
          <w:rFonts w:ascii="Times New Roman" w:hAnsi="Times New Roman"/>
          <w:color w:val="000000" w:themeColor="text1"/>
          <w:sz w:val="16"/>
          <w:szCs w:val="16"/>
        </w:rPr>
        <w:softHyphen/>
        <w:t>ботала весьма активно и 30 марта в 18.00 рапортовала руководству ин</w:t>
      </w:r>
      <w:r w:rsidRPr="007224C3">
        <w:rPr>
          <w:rFonts w:ascii="Times New Roman" w:hAnsi="Times New Roman"/>
          <w:color w:val="000000" w:themeColor="text1"/>
          <w:sz w:val="16"/>
          <w:szCs w:val="16"/>
        </w:rPr>
        <w:softHyphen/>
        <w:t>ститута об успешном завершении го</w:t>
      </w:r>
      <w:r w:rsidRPr="007224C3">
        <w:rPr>
          <w:rFonts w:ascii="Times New Roman" w:hAnsi="Times New Roman"/>
          <w:color w:val="000000" w:themeColor="text1"/>
          <w:sz w:val="16"/>
          <w:szCs w:val="16"/>
        </w:rPr>
        <w:softHyphen/>
        <w:t>сударственных испытаний Ил-АМ-42 (11427).</w:t>
      </w:r>
    </w:p>
    <w:p w14:paraId="19A6C90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E7A3F93" w14:textId="77777777" w:rsidR="00133AA8" w:rsidRPr="007224C3" w:rsidRDefault="00133AA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28 марта 1944 в ходе госиспытаний Ил-АМ-42 со «старым» проверенным винтом АВ-5 л-18Б, начавшихся 29 февраля, установилась устойчивая летная погода, которая продержалась три дня. В эти дни бригада испытателей работала весьма активно и 30 марта в 18.00 рапортовала руководству института об успешном завершении государственных испытаний.</w:t>
      </w:r>
    </w:p>
    <w:p w14:paraId="22E5A8D2" w14:textId="77777777" w:rsidR="00133AA8" w:rsidRPr="007224C3" w:rsidRDefault="00133AA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Таким образом, испытания Ил-АМ-42 (экз. № 1) продолжались в течение 31 календарного дня, из которых летных дней было всего 10, нелетных – 14. Еще 7 дней пришлось затратить на ремонт и доводку самолета. В общей сложности было выполнено 44 полета с налетом 19 ч 30 мин.</w:t>
      </w:r>
    </w:p>
    <w:p w14:paraId="5F8A3F87" w14:textId="77777777" w:rsidR="00133AA8" w:rsidRPr="007224C3" w:rsidRDefault="00133AA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ходе испытаний самолет облетали ведущий инженер-летчик 3-го отдела НИИ ВВС инженер-майор А. В. Синельников, летчик-испытатель 4-го отдела майор М. П. Субботин, старший летчик-испытатель 3-го отдела майор В. С. Журавлев и летчик-испытатель подполковник М. А. Нюхтиков. В качестве штурманов облета участвовали капитан Т. Ф. Горбунов, заместитель начальника 4-го отдела полковник Н. И. Шауров, помощник начальника 6-го отдела капитан Васильев, штурман-испытатель капитан В. Н. Ковынев, штурман-испытатель подполковник Н. П. Цветков.</w:t>
      </w:r>
    </w:p>
    <w:p w14:paraId="55B40392" w14:textId="77777777" w:rsidR="00133AA8" w:rsidRPr="007224C3" w:rsidRDefault="00133AA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Как следует из документов, самолет проходил испытания в двух вариантах: разведчика-корректировщика и штурмовика-бомбардировщика, которые отличались друг от друга фактически только бомбовой нагрузкой и заправкой самолета горючим и маслом. Состав фото- и радиооборудования самолета в ходе испытаний оставался неизменным и соответствовал «следопыту».</w:t>
      </w:r>
    </w:p>
    <w:p w14:paraId="75F9D698" w14:textId="77777777" w:rsidR="00133AA8" w:rsidRPr="007224C3" w:rsidRDefault="00133AA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Стрелково-пушечное вооружение самолета в обоих вариантах назначения было одинаковым и включало две пушки ВЯ (300 патронов), два пулемета ШКАС (1500 патронов) и оборонительный пулемет УБК (3 диска по 50 патронов) на ВУ-8. Ракетное вооружение не предусматривалось.</w:t>
      </w:r>
    </w:p>
    <w:p w14:paraId="0CAA8E44" w14:textId="77777777" w:rsidR="00133AA8" w:rsidRPr="007224C3" w:rsidRDefault="00133AA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Нормальный полетный вес штурмовика-бомбардировщика устанавливался в 7260 кг, в перегрузку – 7660 кг. Полезная нагрузка при нормальном полетном весе составляла 1995 кг.</w:t>
      </w:r>
    </w:p>
    <w:p w14:paraId="062082B9" w14:textId="77777777" w:rsidR="00133AA8" w:rsidRPr="007224C3" w:rsidRDefault="00133AA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перегрузочном варианте допускалась подвеска до 1000 кг бомб, в том числе на двух внешних узлах две бомбы типа ФАБ-500 или два выливных авиаприбора ВАП-250 или УХАП-250.</w:t>
      </w:r>
    </w:p>
    <w:p w14:paraId="2843B9A4" w14:textId="77777777" w:rsidR="00133AA8" w:rsidRPr="007224C3" w:rsidRDefault="00133AA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Нагрузка в варианте «следопыта» ограничивалась 1460 кг и отличалась от штурмового варианта отсутствием бомбовой нагрузки и увеличенным до 120 кг весом съемного оборудования.</w:t>
      </w:r>
    </w:p>
    <w:p w14:paraId="49359887" w14:textId="77777777" w:rsidR="00133AA8" w:rsidRPr="007224C3" w:rsidRDefault="00133AA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Поскольку состав съемного оборудования на самолете Ил-АМ-42 (экз. № 1) соответствовал варианту разведчика-корректировщика, то при загрузке 600 кг бомб и полной заправке горючим и маслом вес самолета на 65 кг превышал нормальный полетный вес, установленный для штурмовика-бомбардировщика. Поэтому при проведении испытательных полетов в варианте штурмовика вес горючего уменьшался ровно на 65 кг.</w:t>
      </w:r>
    </w:p>
    <w:p w14:paraId="2829459E" w14:textId="77777777" w:rsidR="00133AA8" w:rsidRPr="007224C3" w:rsidRDefault="00133AA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Мотор АМ-42 на протяжении всего времени испытаний работал с недостатками: дымление, тряска, непостоянство наддува на режиме номинальной мощности, течь масла из-под уплотнения вала редуктора мотора, из-под крышки блоков, из корпуса нагнетателя через дренаж (после остановки мотора), а также засорение воздушных клапанов карбюраторов, быстрый износ поршневых колец и т. д. Отмечался и большой расход горючего на номинальном режиме работы мотора, который при контрольном полете 19 марта составил 295–315 г/л. с. ч.</w:t>
      </w:r>
    </w:p>
    <w:p w14:paraId="52607851" w14:textId="77777777" w:rsidR="00133AA8" w:rsidRPr="007224C3" w:rsidRDefault="00133AA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ходе испытаний пришлось заменить маслоуплотнитель носка вала редуктора мотора, регулятор давления наддува, прокладки под всасывающими патрубками (для чего был демонтирован карбюратор). Дважды заменили весь комплект свечей, по одному разу все свечи внешнего ряда, водяную трубку (подводящую охлаждающую воду к левому блоку цилиндров мотора от помпы) и бензотрубку (подводящую топливо к карбюраторам). Из-за течи по сварке трижды ремонтировались маслобаки. Одновременно были отремонтированы все карбюраторы и коллекторы нагнетателя.</w:t>
      </w:r>
    </w:p>
    <w:p w14:paraId="59F4A4EC" w14:textId="77777777" w:rsidR="00133AA8" w:rsidRPr="007224C3" w:rsidRDefault="00133AA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выполнении работ по устранению недостатков и дефектов «в полный рост» проявилась непродуманность конструкции винтомоторной группы с точки зрения удобства эксплуатации. Например, для того чтобы снять водяную трубку, необходимо было демонтировать блоки мотора, выхлопные патрубки и левый маслобак, а затем вернуть их на свои места. Замена трубопровода, подводящего горючее к карбюраторам, выливалась в полный демонтаж всасывающей трубы нагнетателя и карбюратора. Испытатели отмечали трудоемкую замену свечей внутренней стороны, и особенно проводников к свечам. На их замену затрачивалось до 5–6 часов. Трубки, подводящие воду к блокам, имели слишком большую длину (без технологических разъемов), что серьезно усложняло их замену и ремонт.</w:t>
      </w:r>
    </w:p>
    <w:p w14:paraId="1967E859" w14:textId="77777777" w:rsidR="00133AA8" w:rsidRPr="007224C3" w:rsidRDefault="00133AA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общем, проблем с мотором хватало с избытком, но бригаде НИИ ВВС все же удалось отлетать программу испытаний почти в полном объеме.</w:t>
      </w:r>
    </w:p>
    <w:p w14:paraId="4249666A" w14:textId="77777777" w:rsidR="00133AA8" w:rsidRPr="007224C3" w:rsidRDefault="00133AA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первую очередь определялись летно-технические данные Ил-АМ-42 (экз. № 1) в варианте штурмовика-бомбардировщика и только затем – в варианте разведчика-корректировщика. Как показали полеты, основные данные нового самолета заметно превосходили Ил-2, хотя, по мнению военных, уже не отвечали в полном объеме современным требованиям.</w:t>
      </w:r>
    </w:p>
    <w:p w14:paraId="14EAC04F" w14:textId="77777777" w:rsidR="00133AA8" w:rsidRPr="007224C3" w:rsidRDefault="00133AA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нормальном полетном весе (600 кг бомб на внутренней подвеске) максимальная скорость полета оказалась равной 472 км/ч на высоте 2500 м и 428 км/ч – у земли. Вертикальная скорость не превышала 7 м/с на высоте 1000 м и 6,7 м/с – у земли. Разбег самолета с отклоненными на 17° щитками и с форсажем мотора составил 435 м. Пробег при посадочном весе 5900 кг с применением тормозов и отклонением щитков на 45° оказался в пределах 465 м. Посадочная скорость равнялась 136 км/ч.</w:t>
      </w:r>
    </w:p>
    <w:p w14:paraId="0CE05B56" w14:textId="77777777" w:rsidR="00133AA8" w:rsidRPr="007224C3" w:rsidRDefault="00133AA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Разведчик-корректировщик на всех высотах летал на 8 км/ч быстрее штурмовика-бомбардировщика. Примерно на 22 % была выше скороподъемность и на 11 % горизонтальная маневренность. Лучшими были и взлетно-посадочные характеристики. Из-за непостоянства наддува в полете при работе мотора, тряски и выработки ресурса мотора (к моменту начала полетов в варианте «следопыта» остаток ресурса составлял 4–5 часов) измерить скороподъемность выше границы высотности не удалось.</w:t>
      </w:r>
    </w:p>
    <w:p w14:paraId="161CB468" w14:textId="77777777" w:rsidR="00133AA8" w:rsidRPr="007224C3" w:rsidRDefault="00133AA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всех вариантах полетного веса центровка самолета (шасси выпущено) находилась в пределах от 19,9 % САХ (пустой самолет) до 23,3 % (перегрузочный вариант с 1000 кг бомб).</w:t>
      </w:r>
    </w:p>
    <w:p w14:paraId="6641BC2A" w14:textId="77777777" w:rsidR="00133AA8" w:rsidRPr="007224C3" w:rsidRDefault="00133AA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Дальность полета на высоте 1000 м и скорости 308 км/ч составила 820 км – на 155 км больше дальности полета Ил-2 АМ-38ф. При этом отмечалось, что дальность полета 2-го экземпляра Ил-АМ-42, на котором установлены бензобаки емкостью 1020 л, будет достигать 980 км.</w:t>
      </w:r>
    </w:p>
    <w:p w14:paraId="02DC94EB" w14:textId="77777777" w:rsidR="00133AA8" w:rsidRPr="007224C3" w:rsidRDefault="00133AA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своим пилотажным свойствам Ил-АМ-42 оказался достаточно простым и легким в управлении. В сравнении с Ил-2 новый самолет обладал значительно лучшей продольной устойчивостью и управляемостью, что упростило технику пилотирования, особенно на виражах и бреющих полетах. Летчики-испытатели отмечали, что Ил-АМ-42 в отличие от Ил-2 «на вираже позволяет значительно выбирать ручку руля высоты на себя, для уменьшения радиуса виража». Пикировал самолет устойчиво. Просадка на выводе оказалась несколько больше, чем у серийного Ил-2. Сила отдачи при стрельбе из пушек почти не сказывалась на пилотировании самолетом и прицеливании. Маневренность Ил-АМ-42 в вертикальной и горизонтальной плоскостях оказалась почти такой же, как у серийной «двойки», даже несколько хуже, и считалась недостаточной для условий боевых действий завершающего периода войны. Тем не менее в целом самолет оставил у военных летчиков-испытателей хорошее впечатление. «Специального переучивания летного состава для перехода с Ил-2 не требует», – указывалось в отчете по испытаниям.</w:t>
      </w:r>
    </w:p>
    <w:p w14:paraId="63499FEF" w14:textId="77777777" w:rsidR="00133AA8" w:rsidRPr="007224C3" w:rsidRDefault="00133AA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улучшения пилотажных качеств машины летчики предлагали на руль поворота установить триммер, а на элероны «наклепать ножи для регулировки от подваливания».</w:t>
      </w:r>
    </w:p>
    <w:p w14:paraId="1A89863F" w14:textId="77777777" w:rsidR="00133AA8" w:rsidRPr="007224C3" w:rsidRDefault="00133AA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Указывалось, что Ил-АМ-42 строился по нормам прочности 1941 года и относится к классу Б – ограниченно маневренных самолетов. При полетном весе 7250 кг разрушающая перегрузка равнялась 7,5 единицы, эксплуатационная перегрузка («установленная главным конструктором самолета») – 4,96 единицы.</w:t>
      </w:r>
    </w:p>
    <w:p w14:paraId="28EFD104" w14:textId="77777777" w:rsidR="00133AA8" w:rsidRPr="007224C3" w:rsidRDefault="00133AA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Помимо неудовлетворительной работы мотора АМ-42 отмечались и ряд других недостатков, отнесенных специалистами института к разряду основных.</w:t>
      </w:r>
    </w:p>
    <w:p w14:paraId="13324DCA" w14:textId="77777777" w:rsidR="00133AA8" w:rsidRPr="007224C3" w:rsidRDefault="00133AA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частности, для самолета боя представлялось обязательным наличие системы заполнения бензобаков нейтральным газом. На Ил-АМ-42, как указывалось выше, такая система имелась, но на государственные испытания официально она не предъявлялась, так как не была доведена до рабочего состояния.</w:t>
      </w:r>
    </w:p>
    <w:p w14:paraId="0BDEEEDD" w14:textId="77777777" w:rsidR="00133AA8" w:rsidRPr="007224C3" w:rsidRDefault="00133AA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Схему бронирования Ил-АМ-42 специалисты НИИ ВВС оценили как не отвечающую современным требованиям. Соответствующее заключение начальник 8-го отдела института инженер-полковник Лагутин утвердил 24 марта. В ряду особо уязвимых мест значились задняя бронеперегородка штурмана-стрелка (толщина 12 мм) и моторная часть снизу-сбоку (толщина 4 мм). Боевой опыт показал, что именно эти места бронекорпуса Ил-2 наиболее часто поражаются огнем противника. Предлагалось усилить эти участки путем перераспределения толщины брони при сохранении веса брони на прежнем уровне. Для этого рекомендовалось «снять с корпуса/…/передние броневые детали за втулкой винта, уменьшить с 5 до 2,5 мм толщину деталей пояса кабины летчика в местах примыкания крыла к фюзеляжу». Кроме этого, требовалось заднюю перегородку штурмана установить по образцу 2-го экземпляра Ил-АМ-42, то есть сделать экранированной две бронеплиты по 8 мм и обеспечить защиту головы штурмана бронестеклом.</w:t>
      </w:r>
    </w:p>
    <w:p w14:paraId="027E5BC5" w14:textId="77777777" w:rsidR="00133AA8" w:rsidRPr="007224C3" w:rsidRDefault="00133AA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то же время отмечалось, что обе кабины – летчика и штурмана-стрелка – в сравнении с Ил-2 имеют увеличенные размеры, что улучшает условия боевой работы экипажа. В кабине штурмана-стрелка вместо брезентовой ленты (как на Ил-2) устанавливалось постоянное откидное сиденье. Штурман облета капитан Т. Ф. Горбунов отмечал, что в кабине «тепло, задуваний нет, можно работать без летных очков». Посадка в кабину через нижний люк в бронекорпусе была признана удобной. В аварийной ситуации штурман легко покидал кабину с парашютом. Однако при посадке на фюзеляж выбраться из своей кабины штурман не мог, «так как фонарь летчика при открытии надвигается на фонарь штурмана».</w:t>
      </w:r>
    </w:p>
    <w:p w14:paraId="449352FB" w14:textId="77777777" w:rsidR="00133AA8" w:rsidRPr="007224C3" w:rsidRDefault="00133AA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достоинству машины было отнесено применение электрической системы управления заслонками водо- и маслорадиаторов, а также пневмоэлектрической системы управления огнем и перезарядки стрелково-пушечного вооружения, поскольку это сильно облегчало работу летчика в бою.</w:t>
      </w:r>
    </w:p>
    <w:p w14:paraId="62E34CC9" w14:textId="77777777" w:rsidR="00133AA8" w:rsidRPr="007224C3" w:rsidRDefault="00133AA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Положительно оценили наличие дублирования в каналах управления рулем высоты, поворота, элеронами и триммерами.</w:t>
      </w:r>
    </w:p>
    <w:p w14:paraId="4505B78D" w14:textId="77777777" w:rsidR="00133AA8" w:rsidRPr="007224C3" w:rsidRDefault="00133AA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Установка в кабине пилота прицела ПБП-1б на легкосъемном кронштейне обеспечивала летчику дополнительную безопасность при посадке с убранным шасси. Как известно, на Ил-2 ранних серий летчики часто ударялись о прицел ПБП-1 головой во время вынужденных посадок, что нередко приводило к серьезным травмам, а в ряде случаев – и к смертельным исходам.</w:t>
      </w:r>
    </w:p>
    <w:p w14:paraId="075F71B8" w14:textId="77777777" w:rsidR="00133AA8" w:rsidRPr="007224C3" w:rsidRDefault="00133AA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Бомбовое вооружение штурмовика-бомбардировщика Ил-АМ-42 по номенклатуре бомб и весу в целом соответствовало требованиям войны. Бомбометание допускалось как с горизонтального полета, так и с пикирования, но под углами не более 25–30°, хотя на испытаниях самолет пикировал до 40° без каких-либо </w:t>
      </w:r>
      <w:r w:rsidRPr="007224C3">
        <w:rPr>
          <w:rFonts w:ascii="Times New Roman" w:hAnsi="Times New Roman"/>
          <w:color w:val="000000" w:themeColor="text1"/>
          <w:sz w:val="16"/>
          <w:szCs w:val="16"/>
        </w:rPr>
        <w:lastRenderedPageBreak/>
        <w:t>нареканий. Для бомбометания с горизонтального полета предназначался прицел ОПБ-1р. Сброс бомб мог осуществляться и штурманом, и летчиком. Однако прицельно сбросить бомбы ни тот ни другой не могли. Из-за плохого обзора передней полусферы штурман без помощи летчика «не может вывести самолет на нехарактерную цель» (объект удара), то есть «заранее найти цель, опознать ее, а затем осуществить наводку». Как отмечалось в отчете, «выполнить все это через прицел не представляется возможным». В свою очередь, «вследствие неудовлетворительного качества прицельных устройств» летчик мог прицеливаться и бомбить «с горизонта» лишь по наитию. Фактически получалось так, что при бомбометании с горизонтального полета наводку на цель и выход на боевой курс должен был выполнять непосредственно летчик, а прицеливание – штурман, «что требует соответствующей методической проработки».</w:t>
      </w:r>
    </w:p>
    <w:p w14:paraId="739A5CFB" w14:textId="77777777" w:rsidR="00133AA8" w:rsidRPr="007224C3" w:rsidRDefault="00133AA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Кроме этого, бомбовый прицел штурмана в полете нещадно забрызгивался маслом, которое выбивалось из-под уплотнительного кольца втулки винта и носка коленчатого вала мотора. По этим причинам в первом же полете на испытание бомбового вооружения 9 марта штурман капитан Т. Ф. Горбунов был вынужден сбросить все бомбы залпом, неприцельно, за один заход. Для предохранения прицела от попадания масла на заводе № 240 был изготовлен специальный щиток. Установка щитка на самолет положение не улучшило – оптика забрызгивалась маслом. Прицельное бомбометание по-прежнему оставалось невозможным. В испытательном полете 19 марта со щитком из-за замасливания оптики Горбунов сбросил все бомбы аварийно. В то же время отмечалось, что работать с ОПБ-1р в боевом положении удобно, а сам прицел является наиболее подходящим для установки на Ил-АМ-42, если, конечно, «устранить забрызгивание оптики прицела маслом».</w:t>
      </w:r>
    </w:p>
    <w:p w14:paraId="03EE11C8" w14:textId="77777777" w:rsidR="00133AA8" w:rsidRPr="007224C3" w:rsidRDefault="00133AA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этим причинам для бомбометания с горизонтального полета рекомендовалось использовать прицельную систему, отработанную для Ил-2: разметку и визирные штыри на бронекапоте самолета, метки и прицельные линии на лобовом и боковых бронестеклах фонаря кабины.</w:t>
      </w:r>
    </w:p>
    <w:p w14:paraId="5F2CDE3A" w14:textId="77777777" w:rsidR="00133AA8" w:rsidRPr="007224C3" w:rsidRDefault="00133AA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Бомбометание с пикирования по методике ничем не отличалось от таковой на Ил-2 и в целом показало хорошие результаты вследствие лучшей устойчивости самолета при пикировании.</w:t>
      </w:r>
    </w:p>
    <w:p w14:paraId="5756363A" w14:textId="77777777" w:rsidR="00133AA8" w:rsidRPr="007224C3" w:rsidRDefault="00133AA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Отметим, что маслом забрызгивалось и переднее бронестекло фонаря кабины пилота, что, естественно, ухудшало условия прицеливания.</w:t>
      </w:r>
    </w:p>
    <w:p w14:paraId="216B4323" w14:textId="77777777" w:rsidR="00133AA8" w:rsidRPr="007224C3" w:rsidRDefault="00133AA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отработки стрелково-пушечного вооружения было выполнено в общей сложности 19 полетов, из них «9 полетов со стрельбой по наземным целям и 10 полетов с ВУ-8».</w:t>
      </w:r>
    </w:p>
    <w:p w14:paraId="2AFB570E" w14:textId="77777777" w:rsidR="00133AA8" w:rsidRPr="007224C3" w:rsidRDefault="00133AA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Если к пушкам ВЯ и пулеметам ШКАС при стрельбе в воздухе каких-либо серьезных претензий у военных испытателей не было, то работой оборонительной установки ВУ-8 с пулеметом УБК и ее возможностями они остались недовольны.</w:t>
      </w:r>
    </w:p>
    <w:p w14:paraId="0747768D" w14:textId="77777777" w:rsidR="00133AA8" w:rsidRPr="007224C3" w:rsidRDefault="00133AA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 недостатки ВУ-8 в явном виде проявились в воздушном бою с немецким истребителем Bf109G-2, который состоялся 30 апреля. За воздушного стрелка вылетал штурман-испытатель подполковник Н. П. Цветков. Атаки выполнялись со всех возможных в реальном бою направлений. При этом на маршруте полета от Чкаловской до Ногинска «мессер» успевал выполнить до 8–9 атак, находясь всегда в задней полусфере и отворачивая всякий раз в сторону с набором высоты.</w:t>
      </w:r>
    </w:p>
    <w:p w14:paraId="5B9BB71E" w14:textId="77777777" w:rsidR="00133AA8" w:rsidRPr="007224C3" w:rsidRDefault="00133AA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Оказалось, что за время одной атаки «мессершмитта» штурман успевал только развернуть установку в сторону истребителя и выставить пулемет в необходимое положение для стрельбы по нему, а на прицеливание оставалось «такое незначительное время, что точно навести прицел с требуемой поправкой на скорость цели не удалось ни разу». С одной стороны, это обуславливалось большими угловыми скоростями цели, а с другой – значительными усилиями для удерживания пулемета при прицеливании и стрельбе. Дело в том, что для выполнения грубой наводки на цель штурману приходилось одной рукой (правой) удерживать пулемет, а другой рукой (левой) – фиксировать стопор каретки установки и одновременно «доворачивать пулеметную установку на цель». После окончания грубой наводки штурман переносил левую руку на пулемет для точного прицеливания, но положение цели за это время менялось настолько, что она оказывалась за пределами углового сектора точной наводки пулемета. Требовалось вновь перемещать саму установку и выполнять точную наводку пулеметом и т. д. То есть «одной рукой довести пулемет и прицелиться невозможно».</w:t>
      </w:r>
    </w:p>
    <w:p w14:paraId="7FCCE711" w14:textId="77777777" w:rsidR="00133AA8" w:rsidRPr="007224C3" w:rsidRDefault="00133AA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Положение усугублялось еще и тем обстоятельством, что при работе с пулеметом имело место «много мелких трудноуловимых препятствий, затруднявших маневр пулеметом и установкой».</w:t>
      </w:r>
    </w:p>
    <w:p w14:paraId="72C969F7" w14:textId="77777777" w:rsidR="00133AA8" w:rsidRPr="007224C3" w:rsidRDefault="00133AA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Как следует из донесения Цветкова, производить прицеливание при стрельбе вверх было крайне неудобно, так как «приходится опускаться на корточки, и получается очень напряженное, неустойчивое положение». При поворотах установки на левый борт очень трудно использовать доводочные углы пулемета, требовалось менять положение туловища относительно оружия, а поскольку прицел располагался слева от пулемета, то для прицеливания нужно было втиснуться между пулеметом и установкой. К тому же сильно мешал установленный в кабине штурмана фотоаппарат АЩАФА-2. Положение стрелка было недостаточно устойчивым – во время прицеливания и стрельбы все время приходилось подыскивать место, куда бы поставить ноги. Отсюда потеря времени на прицеливание. Практически получалось так, что обеспечить прицельный огонь с левого борта было нельзя.</w:t>
      </w:r>
    </w:p>
    <w:p w14:paraId="33F30D0F" w14:textId="77777777" w:rsidR="00133AA8" w:rsidRPr="007224C3" w:rsidRDefault="00133AA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Стрельба с незастопоренной установкой показала, что пулемет в этом случае резко уходит к правому борту, а при стрельбе с застопоренной установкой пулемет сильно трясет.</w:t>
      </w:r>
    </w:p>
    <w:p w14:paraId="0E48DAAF" w14:textId="77777777" w:rsidR="00133AA8" w:rsidRPr="007224C3" w:rsidRDefault="00133AA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Ведение прицельного огня на виражах оказалось невозможным, так как пулемет прижимает вниз, а «приподнять и удержать его не хватает силы», не говоря уже о том, чтобы одновременно с этим еще и поворачивать установку в сторону цели. Во время воздушного боя на виражах истребитель легко держался в хвосте и на первом же вираже заходил строго в хвост на дистанцию открытия действительного огня 100–150 м.</w:t>
      </w:r>
    </w:p>
    <w:p w14:paraId="1BFA2413" w14:textId="77777777" w:rsidR="00133AA8" w:rsidRPr="007224C3" w:rsidRDefault="00133AA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мнению подполковника Цветкова, маневренность ВУ-8 и пулемета в целом явно недостаточная для эффективного отражения атак истребителей, «в лучшем случае она может позволить сделать одну прицельную очередь, и то с недостаточной точностью прицеливания». Одновременно отмечалось, что сама установка ВУ-8 заметно лучше, чем блистерная установка БЛУБ на Су-6, и несколько лучше, чем ВУБ-3 на Ил-2.</w:t>
      </w:r>
    </w:p>
    <w:p w14:paraId="66469EBA" w14:textId="77777777" w:rsidR="00133AA8" w:rsidRPr="007224C3" w:rsidRDefault="00133AA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Справедливости ради следует отметить, что при всех атаках со стороны задней полусферы летчик по команде штурмана энергичным маневром успевал доворачивать самолет таким образом, чтобы штурман мог держать противника в секторе обстрела. Это до некоторой степени компенсировало ограниченность углов обстрела установки, однако не обеспечивало ведение прицельной стрельбы.</w:t>
      </w:r>
    </w:p>
    <w:p w14:paraId="3E443DC1" w14:textId="77777777" w:rsidR="00133AA8" w:rsidRPr="007224C3" w:rsidRDefault="00133AA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отражении атак истребителя со стороны солнца выявилась еще одна интересная особенность ВУ-8 – плексиглас козырька установки слепил штурмана еще больше, чем солнце, вследствие чего прицеливаться было невозможно.</w:t>
      </w:r>
    </w:p>
    <w:p w14:paraId="5B01FC70" w14:textId="77777777" w:rsidR="00133AA8" w:rsidRPr="007224C3" w:rsidRDefault="00133AA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Кроме этого, переговорное устройство штурмана и летчика работало неудовлетворительно: «… сильный треск и шум не давали разговаривать, переключатель абонентской коробки во время боя несколько раз самопроизвольно переключался в положение РС или РК, что нарушало связь с летчиком».</w:t>
      </w:r>
    </w:p>
    <w:p w14:paraId="763E4108" w14:textId="77777777" w:rsidR="00133AA8" w:rsidRPr="007224C3" w:rsidRDefault="00133AA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Серьезными недостатками ВУ-8 считались небольшая емкость магазина пулемета УБК и большое время его смены. Полсотни патронов в магазине оказалось недостаточно для отражения даже одной атаки истребителя. В то же время на его замену уходило около одной минуты, что было совершенно неприемлемым для реальных условий боя. В отчете указывалось, что за счет некоторых конструктивных улучшений можно сократить время смены магазина до 45–50 секунд, но все равно оно оставалось большим.</w:t>
      </w:r>
    </w:p>
    <w:p w14:paraId="4D51C2C5" w14:textId="77777777" w:rsidR="00133AA8" w:rsidRPr="007224C3" w:rsidRDefault="00133AA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сравнению с ранее принятыми подобными установками преимуществ не имеет, за исключением того, что защищает стрелка от задувания», – констатировал подполковник Цветков после проведенного им воздушного боя с немецким истребителем.</w:t>
      </w:r>
    </w:p>
    <w:p w14:paraId="54A9EAF0" w14:textId="77777777" w:rsidR="00133AA8" w:rsidRPr="007224C3" w:rsidRDefault="00133AA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выводах отчета предлагалось увеличить углы обстрела вверх и по горизонту и емкость магазина, хотя бы до 75 патронов, а также «отработать механизм, компенсирующий вес пулемета и магазина».</w:t>
      </w:r>
    </w:p>
    <w:p w14:paraId="15A6DE32" w14:textId="77777777" w:rsidR="00133AA8" w:rsidRPr="007224C3" w:rsidRDefault="00133AA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Предъявлялись претензии и к спецоборудованию самолета. В частности, отмечалась плохая конструктивная проработка экранировки системы зажигания мотора, вследствие чего «уровень помех радиоприема вырастает до недопустимых величин». Схема коммутации средств радио- и внутрисамолетной связи не учитывала особенности работы экипажа на данном самолете – «летчик и штурман совмещают лишние функции».</w:t>
      </w:r>
    </w:p>
    <w:p w14:paraId="3DA6D1F2" w14:textId="77777777" w:rsidR="00133AA8" w:rsidRPr="007224C3" w:rsidRDefault="00133AA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Несмотря на столь обширный перечень дефектов и недостатков Ил-АМ-42, в заключении акта по испытаниям самолет был рекомендован к запуску в серийное производство в вариантах штурмовика-бомбардировщика и разведчика-корректировщика.</w:t>
      </w:r>
    </w:p>
    <w:p w14:paraId="43D10A14" w14:textId="77777777" w:rsidR="00133AA8" w:rsidRPr="007224C3" w:rsidRDefault="00133AA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целью выявления боевых качеств Ил-АМ-42 предлагалось «выпустить войсковую серию этих самолетов». Причем когда акт подписывал начальник НИИ ВВС генерал-лейтенант П. А. Лосюков, то он собственноручно дописал к этому пункту документа: «…даже с 50 час. ресурсом АМ-42 (если не успеют моторы со 100 час. ресурсом)».</w:t>
      </w:r>
    </w:p>
    <w:p w14:paraId="457C80F3" w14:textId="77777777" w:rsidR="00133AA8" w:rsidRPr="007224C3" w:rsidRDefault="00133AA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Военные специалисты считали необходимым «просить Наркома авиапромышленности тов. Шахурина А. И. дать задания: а) Главному конструктору мотора АМ-42 тов. Микулину А. А. довести опытный мотор до состояния пригодного к нормальной эксплуатации. б) Главному конструктору самолета Ил с АМ-42 тов. Ильюшину С. В. до запуска в серийное производство устранить дефекты, отмеченные в выводах…»</w:t>
      </w:r>
    </w:p>
    <w:p w14:paraId="546BC264" w14:textId="77777777" w:rsidR="00133AA8" w:rsidRPr="007224C3" w:rsidRDefault="00133AA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Что касается установки на самолет кассет ДАГ-10 и крупнокалиберных пушек 11П, а также величины бомбовой нагрузки с этими пушками, то решение планировалось принять после проведения испытаний 2-го экземпляра самолета Ил-АМ-42 (17490).</w:t>
      </w:r>
    </w:p>
    <w:p w14:paraId="450D678B" w14:textId="77777777" w:rsidR="00133AA8" w:rsidRPr="007224C3" w:rsidRDefault="00133AA8" w:rsidP="007224C3">
      <w:pPr>
        <w:spacing w:after="0" w:line="240" w:lineRule="auto"/>
        <w:jc w:val="both"/>
        <w:rPr>
          <w:rFonts w:ascii="Times New Roman" w:hAnsi="Times New Roman"/>
          <w:color w:val="000000" w:themeColor="text1"/>
          <w:sz w:val="16"/>
          <w:szCs w:val="16"/>
        </w:rPr>
      </w:pPr>
    </w:p>
    <w:p w14:paraId="2E4A2AF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марта 1944 через три дня после завершения заводских испыта</w:t>
      </w:r>
      <w:r w:rsidRPr="007224C3">
        <w:rPr>
          <w:rFonts w:ascii="Times New Roman" w:hAnsi="Times New Roman"/>
          <w:color w:val="000000" w:themeColor="text1"/>
          <w:sz w:val="16"/>
          <w:szCs w:val="16"/>
        </w:rPr>
        <w:softHyphen/>
        <w:t>ний (Заводские испытания самолета «И» проводил лет</w:t>
      </w:r>
      <w:r w:rsidRPr="007224C3">
        <w:rPr>
          <w:rFonts w:ascii="Times New Roman" w:hAnsi="Times New Roman"/>
          <w:color w:val="000000" w:themeColor="text1"/>
          <w:sz w:val="16"/>
          <w:szCs w:val="16"/>
        </w:rPr>
        <w:softHyphen/>
        <w:t>чик А. Г. Васильченко) Пе-2И был отправлен в НИИ ВВС.</w:t>
      </w:r>
    </w:p>
    <w:p w14:paraId="6E5E4B8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Впервые за всю историю своего существования Пе-2 подвергся коренной переделке. Прежде всего с крыла сняли тормозные решетки и уменьшили пло</w:t>
      </w:r>
      <w:r w:rsidRPr="007224C3">
        <w:rPr>
          <w:rFonts w:ascii="Times New Roman" w:hAnsi="Times New Roman"/>
          <w:color w:val="000000" w:themeColor="text1"/>
          <w:sz w:val="16"/>
          <w:szCs w:val="16"/>
        </w:rPr>
        <w:softHyphen/>
        <w:t>щадь элеронов, изменив величину аэродинамической компенсации.</w:t>
      </w:r>
    </w:p>
    <w:p w14:paraId="328423B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Существенные изменения претерпел фюзеляж. Увеличение его длины на метр и высоты на 0,Зм, а так</w:t>
      </w:r>
      <w:r w:rsidRPr="007224C3">
        <w:rPr>
          <w:rFonts w:ascii="Times New Roman" w:hAnsi="Times New Roman"/>
          <w:color w:val="000000" w:themeColor="text1"/>
          <w:sz w:val="16"/>
          <w:szCs w:val="16"/>
        </w:rPr>
        <w:softHyphen/>
        <w:t>же новая компоновка бомбоотсека позволили размес</w:t>
      </w:r>
      <w:r w:rsidRPr="007224C3">
        <w:rPr>
          <w:rFonts w:ascii="Times New Roman" w:hAnsi="Times New Roman"/>
          <w:color w:val="000000" w:themeColor="text1"/>
          <w:sz w:val="16"/>
          <w:szCs w:val="16"/>
        </w:rPr>
        <w:softHyphen/>
        <w:t>тить в нем бомбу ФАБ-1000. Из акта по результатам государственных испытаний следует, что этого дос</w:t>
      </w:r>
      <w:r w:rsidRPr="007224C3">
        <w:rPr>
          <w:rFonts w:ascii="Times New Roman" w:hAnsi="Times New Roman"/>
          <w:color w:val="000000" w:themeColor="text1"/>
          <w:sz w:val="16"/>
          <w:szCs w:val="16"/>
        </w:rPr>
        <w:softHyphen/>
        <w:t>тигли смещением центроплана вверх на 300 мм. В дей</w:t>
      </w:r>
      <w:r w:rsidRPr="007224C3">
        <w:rPr>
          <w:rFonts w:ascii="Times New Roman" w:hAnsi="Times New Roman"/>
          <w:color w:val="000000" w:themeColor="text1"/>
          <w:sz w:val="16"/>
          <w:szCs w:val="16"/>
        </w:rPr>
        <w:softHyphen/>
        <w:t>ствительности, как объяснил мне Л.Л. Селяков, цен</w:t>
      </w:r>
      <w:r w:rsidRPr="007224C3">
        <w:rPr>
          <w:rFonts w:ascii="Times New Roman" w:hAnsi="Times New Roman"/>
          <w:color w:val="000000" w:themeColor="text1"/>
          <w:sz w:val="16"/>
          <w:szCs w:val="16"/>
        </w:rPr>
        <w:softHyphen/>
        <w:t xml:space="preserve">троплан никуда не смещали. Для размещения бомбы вырезали часть нижних стальных поясов лонжерона центроплана и заменили их </w:t>
      </w:r>
      <w:r w:rsidRPr="007224C3">
        <w:rPr>
          <w:rFonts w:ascii="Times New Roman" w:hAnsi="Times New Roman"/>
          <w:color w:val="000000" w:themeColor="text1"/>
          <w:sz w:val="16"/>
          <w:szCs w:val="16"/>
        </w:rPr>
        <w:lastRenderedPageBreak/>
        <w:t>арочными коваными вкла</w:t>
      </w:r>
      <w:r w:rsidRPr="007224C3">
        <w:rPr>
          <w:rFonts w:ascii="Times New Roman" w:hAnsi="Times New Roman"/>
          <w:color w:val="000000" w:themeColor="text1"/>
          <w:sz w:val="16"/>
          <w:szCs w:val="16"/>
        </w:rPr>
        <w:softHyphen/>
        <w:t>дышами. В результате высота лонжерона по оси само</w:t>
      </w:r>
      <w:r w:rsidRPr="007224C3">
        <w:rPr>
          <w:rFonts w:ascii="Times New Roman" w:hAnsi="Times New Roman"/>
          <w:color w:val="000000" w:themeColor="text1"/>
          <w:sz w:val="16"/>
          <w:szCs w:val="16"/>
        </w:rPr>
        <w:softHyphen/>
        <w:t>лета уменьшилась ровно на половину. Затем нарасти</w:t>
      </w:r>
      <w:r w:rsidRPr="007224C3">
        <w:rPr>
          <w:rFonts w:ascii="Times New Roman" w:hAnsi="Times New Roman"/>
          <w:color w:val="000000" w:themeColor="text1"/>
          <w:sz w:val="16"/>
          <w:szCs w:val="16"/>
        </w:rPr>
        <w:softHyphen/>
        <w:t>ли фюзеляж, заменив его круглое сечение овальным, и тем самым увеличили его высоту.</w:t>
      </w:r>
    </w:p>
    <w:p w14:paraId="125A89E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Экипаж сократили с трех до двух человек — летчи</w:t>
      </w:r>
      <w:r w:rsidRPr="007224C3">
        <w:rPr>
          <w:rFonts w:ascii="Times New Roman" w:hAnsi="Times New Roman"/>
          <w:color w:val="000000" w:themeColor="text1"/>
          <w:sz w:val="16"/>
          <w:szCs w:val="16"/>
        </w:rPr>
        <w:softHyphen/>
        <w:t>ка и штурмана.</w:t>
      </w:r>
    </w:p>
    <w:p w14:paraId="366A4BA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Оборонительное вооружение включало два круп</w:t>
      </w:r>
      <w:r w:rsidRPr="007224C3">
        <w:rPr>
          <w:rFonts w:ascii="Times New Roman" w:hAnsi="Times New Roman"/>
          <w:color w:val="000000" w:themeColor="text1"/>
          <w:sz w:val="16"/>
          <w:szCs w:val="16"/>
        </w:rPr>
        <w:softHyphen/>
        <w:t>нокалиберных пулемета УБК: один в носу и один на дистанционной электрифицированной установке ДЭУ в хвосте.</w:t>
      </w:r>
    </w:p>
    <w:p w14:paraId="26E3FCA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Особенностью бомбардировщика Пе-2 была его склонность к прогрессирующим «козлам» при посад</w:t>
      </w:r>
      <w:r w:rsidRPr="007224C3">
        <w:rPr>
          <w:rFonts w:ascii="Times New Roman" w:hAnsi="Times New Roman"/>
          <w:color w:val="000000" w:themeColor="text1"/>
          <w:sz w:val="16"/>
          <w:szCs w:val="16"/>
        </w:rPr>
        <w:softHyphen/>
        <w:t>ке. Устранить этот дефект полностью так и не удалось, но немного укротить «козлиный» нрав самолета позво</w:t>
      </w:r>
      <w:r w:rsidRPr="007224C3">
        <w:rPr>
          <w:rFonts w:ascii="Times New Roman" w:hAnsi="Times New Roman"/>
          <w:color w:val="000000" w:themeColor="text1"/>
          <w:sz w:val="16"/>
          <w:szCs w:val="16"/>
        </w:rPr>
        <w:softHyphen/>
        <w:t>лило применение на Пе-2И шасси с увеличенным хо</w:t>
      </w:r>
      <w:r w:rsidRPr="007224C3">
        <w:rPr>
          <w:rFonts w:ascii="Times New Roman" w:hAnsi="Times New Roman"/>
          <w:color w:val="000000" w:themeColor="text1"/>
          <w:sz w:val="16"/>
          <w:szCs w:val="16"/>
        </w:rPr>
        <w:softHyphen/>
        <w:t>дом амортизации.</w:t>
      </w:r>
    </w:p>
    <w:p w14:paraId="135FC5F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Сильное влияние на летные характеристики оказа</w:t>
      </w:r>
      <w:r w:rsidRPr="007224C3">
        <w:rPr>
          <w:rFonts w:ascii="Times New Roman" w:hAnsi="Times New Roman"/>
          <w:color w:val="000000" w:themeColor="text1"/>
          <w:sz w:val="16"/>
          <w:szCs w:val="16"/>
        </w:rPr>
        <w:softHyphen/>
        <w:t>ла установка новых двигателей ВК-107А с двухскоро-стными нагнетателями и регуляторами постоянных оборотов. На высоте 4500 м ВК-107А развивал мощ</w:t>
      </w:r>
      <w:r w:rsidRPr="007224C3">
        <w:rPr>
          <w:rFonts w:ascii="Times New Roman" w:hAnsi="Times New Roman"/>
          <w:color w:val="000000" w:themeColor="text1"/>
          <w:sz w:val="16"/>
          <w:szCs w:val="16"/>
        </w:rPr>
        <w:softHyphen/>
        <w:t>ность 1500 л.с. (11446)</w:t>
      </w:r>
    </w:p>
    <w:p w14:paraId="5C39886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32360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марта 1944 все необ</w:t>
      </w:r>
      <w:r w:rsidRPr="007224C3">
        <w:rPr>
          <w:rFonts w:ascii="Times New Roman" w:hAnsi="Times New Roman"/>
          <w:color w:val="000000" w:themeColor="text1"/>
          <w:sz w:val="16"/>
          <w:szCs w:val="16"/>
        </w:rPr>
        <w:softHyphen/>
        <w:t>ходимые изменения У-2ШС согласно рекомендаци</w:t>
      </w:r>
      <w:r w:rsidRPr="007224C3">
        <w:rPr>
          <w:rFonts w:ascii="Times New Roman" w:hAnsi="Times New Roman"/>
          <w:color w:val="000000" w:themeColor="text1"/>
          <w:sz w:val="16"/>
          <w:szCs w:val="16"/>
        </w:rPr>
        <w:softHyphen/>
        <w:t>ям военных испытателей осуществили на специальном макете. Подготовили новый вариант расширенного на 100 мм фюзеляжа, гаргрот в месте размещения раненых подня</w:t>
      </w:r>
      <w:r w:rsidRPr="007224C3">
        <w:rPr>
          <w:rFonts w:ascii="Times New Roman" w:hAnsi="Times New Roman"/>
          <w:color w:val="000000" w:themeColor="text1"/>
          <w:sz w:val="16"/>
          <w:szCs w:val="16"/>
        </w:rPr>
        <w:softHyphen/>
        <w:t>ли на 50 мм, фонарь пассажирской кабины сделали съемным. Посадочный трап на ниж</w:t>
      </w:r>
      <w:r w:rsidRPr="007224C3">
        <w:rPr>
          <w:rFonts w:ascii="Times New Roman" w:hAnsi="Times New Roman"/>
          <w:color w:val="000000" w:themeColor="text1"/>
          <w:sz w:val="16"/>
          <w:szCs w:val="16"/>
        </w:rPr>
        <w:softHyphen/>
        <w:t>нем крыле расширили на 150 мм. Так как разговор шел уже о серийном производстве, все изменения реализовали в У-2ШС № 9440101 войсковой серии, изготовленном в августе 1944 г. на заводе № 494. Самолет ос</w:t>
      </w:r>
      <w:r w:rsidRPr="007224C3">
        <w:rPr>
          <w:rFonts w:ascii="Times New Roman" w:hAnsi="Times New Roman"/>
          <w:color w:val="000000" w:themeColor="text1"/>
          <w:sz w:val="16"/>
          <w:szCs w:val="16"/>
        </w:rPr>
        <w:softHyphen/>
        <w:t>настили распространенным двигателем М-11Д мощностью 115 л.с. Кроме уже перечис</w:t>
      </w:r>
      <w:r w:rsidRPr="007224C3">
        <w:rPr>
          <w:rFonts w:ascii="Times New Roman" w:hAnsi="Times New Roman"/>
          <w:color w:val="000000" w:themeColor="text1"/>
          <w:sz w:val="16"/>
          <w:szCs w:val="16"/>
        </w:rPr>
        <w:softHyphen/>
        <w:t>ленного, для более эффективной баланси</w:t>
      </w:r>
      <w:r w:rsidRPr="007224C3">
        <w:rPr>
          <w:rFonts w:ascii="Times New Roman" w:hAnsi="Times New Roman"/>
          <w:color w:val="000000" w:themeColor="text1"/>
          <w:sz w:val="16"/>
          <w:szCs w:val="16"/>
        </w:rPr>
        <w:softHyphen/>
        <w:t>ровки самолета триммером изменили угол установки стабилизатора, увеличили ком</w:t>
      </w:r>
      <w:r w:rsidRPr="007224C3">
        <w:rPr>
          <w:rFonts w:ascii="Times New Roman" w:hAnsi="Times New Roman"/>
          <w:color w:val="000000" w:themeColor="text1"/>
          <w:sz w:val="16"/>
          <w:szCs w:val="16"/>
        </w:rPr>
        <w:softHyphen/>
        <w:t>пенсацию элеронов (25% вместо 19%), верх</w:t>
      </w:r>
      <w:r w:rsidRPr="007224C3">
        <w:rPr>
          <w:rFonts w:ascii="Times New Roman" w:hAnsi="Times New Roman"/>
          <w:color w:val="000000" w:themeColor="text1"/>
          <w:sz w:val="16"/>
          <w:szCs w:val="16"/>
        </w:rPr>
        <w:softHyphen/>
        <w:t>нее крыло подняли на 90 мм, увеличили площадь киля. Заднее пассажирское кресло опустили на 50 мм (ранее пассажир упирал</w:t>
      </w:r>
      <w:r w:rsidRPr="007224C3">
        <w:rPr>
          <w:rFonts w:ascii="Times New Roman" w:hAnsi="Times New Roman"/>
          <w:color w:val="000000" w:themeColor="text1"/>
          <w:sz w:val="16"/>
          <w:szCs w:val="16"/>
        </w:rPr>
        <w:softHyphen/>
        <w:t>ся в переплет фонаря), посадочную фару пе</w:t>
      </w:r>
      <w:r w:rsidRPr="007224C3">
        <w:rPr>
          <w:rFonts w:ascii="Times New Roman" w:hAnsi="Times New Roman"/>
          <w:color w:val="000000" w:themeColor="text1"/>
          <w:sz w:val="16"/>
          <w:szCs w:val="16"/>
        </w:rPr>
        <w:softHyphen/>
        <w:t>ренесли под левое крыло, приборную доску пилота отодвинули вперед на 80 мм. Радио</w:t>
      </w:r>
      <w:r w:rsidRPr="007224C3">
        <w:rPr>
          <w:rFonts w:ascii="Times New Roman" w:hAnsi="Times New Roman"/>
          <w:color w:val="000000" w:themeColor="text1"/>
          <w:sz w:val="16"/>
          <w:szCs w:val="16"/>
        </w:rPr>
        <w:softHyphen/>
        <w:t>станцию и генератор сняли (11085).</w:t>
      </w:r>
    </w:p>
    <w:p w14:paraId="6F4E776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047058E"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2FACE45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6C0A99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марта 1944 г. была подготовлена ИНФОРМАЦИЯ ОТДЕЛА ЭКСПЛУАТАЦИИ УПРАВЛЕНИЯ БТ И МВ 1 -го БЕЛОРУССКОГО ФРОНТА КОМАНДУЮЩЕМУ БТ и МВ КА О ТРОФЕЙНОЙ САМОХОДНОЙ УСТАНОВКЕ СО 105-мм ПУШКОЙ</w:t>
      </w:r>
    </w:p>
    <w:p w14:paraId="78369A0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Самоходная установка захвачена в боях за г. Рогачев 36 ТП 3 армии.</w:t>
      </w:r>
    </w:p>
    <w:p w14:paraId="61BF399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Особенности самоходной установки следующие:</w:t>
      </w:r>
    </w:p>
    <w:p w14:paraId="0011EB5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Самоходная установка выполнена на шасси немецкого танка Т-1И, башня и подбашенная коробка которого заменены на бронезащиту боевого отделения.</w:t>
      </w:r>
    </w:p>
    <w:p w14:paraId="4A7D4D8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передней части боевого отделения в маске смонтирована пушка. Лобовая часть самоходной установ</w:t>
      </w:r>
      <w:r w:rsidRPr="007224C3">
        <w:rPr>
          <w:rFonts w:ascii="Times New Roman" w:hAnsi="Times New Roman"/>
          <w:color w:val="000000" w:themeColor="text1"/>
          <w:sz w:val="16"/>
          <w:szCs w:val="16"/>
        </w:rPr>
        <w:softHyphen/>
        <w:t>ки защищена дополнительно экранировкой. Менее поражаемая часть лба самоходной установки (нижние наклонные бронелисты и вертикальный лист) экранированы 30 мм броневыми листами, приваренными к основной броне: более поражаемая часть лба самоходной установки (верхние наклонные бронелисты по бокам маски пуп тки) усилены железно-бетонными плитами, помещенными снаружи основной брони. Бетон залит в коробчатые отсеки, образованные бронелистами бортов, вертикальным лобовым листом, бронели-стами маски пушки, броней крыши боевого отделения и наклонными верхними лобовыми бронелистами.</w:t>
      </w:r>
    </w:p>
    <w:p w14:paraId="441327D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Внутри железо-бетонных плит имеется арматура в виде сетки с крупной ячейкой из 6 мм кругло</w:t>
      </w:r>
      <w:r w:rsidRPr="007224C3">
        <w:rPr>
          <w:rFonts w:ascii="Times New Roman" w:hAnsi="Times New Roman"/>
          <w:color w:val="000000" w:themeColor="text1"/>
          <w:sz w:val="16"/>
          <w:szCs w:val="16"/>
        </w:rPr>
        <w:softHyphen/>
        <w:t>го железа. Сетка приварена к стенкам отсеков.</w:t>
      </w:r>
    </w:p>
    <w:p w14:paraId="2DECC37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Бетон кварцовистый, с примесью кремневой гальки. Толщина бетонных плит 150-200 мм.</w:t>
      </w:r>
    </w:p>
    <w:p w14:paraId="6F12997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Смонтированная на установке артсистема имеет следующие особенности.</w:t>
      </w:r>
    </w:p>
    <w:p w14:paraId="37958A9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Пушка обладает коротким откатом; казенная часть пушки изготовлена удобной для действия в танке. Пушка снабжена дульным тормозом. Длина пушки от казенной части до дульного среза 2900 мм.</w:t>
      </w:r>
    </w:p>
    <w:p w14:paraId="7EF3D84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Углы поворота артсистемы следующие: максимальный угол возвышения 30°, угол снижения 10°, углы поворота в горизонтальной плоскости по 15° в обе стороны. Пушка раздельного заряжа</w:t>
      </w:r>
      <w:r w:rsidRPr="007224C3">
        <w:rPr>
          <w:rFonts w:ascii="Times New Roman" w:hAnsi="Times New Roman"/>
          <w:color w:val="000000" w:themeColor="text1"/>
          <w:sz w:val="16"/>
          <w:szCs w:val="16"/>
        </w:rPr>
        <w:softHyphen/>
        <w:t>ния. Боекомплект 40 выстрелов. Состав боекомплекта фугасные и кумулятивные снаряды (70% фугасных снарядов и 30% кумулятивных).</w:t>
      </w:r>
    </w:p>
    <w:p w14:paraId="6BBD899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Боекомплект размещен справа от артустановки в кассетах.</w:t>
      </w:r>
    </w:p>
    <w:p w14:paraId="61553A4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Прицельное приспособление пушки состоит из панорамы, установленной на люльке пушки в специальном кронштейне. Головка панорамы через отверстие в крышке самоходной установки сильно выступает наружу.</w:t>
      </w:r>
    </w:p>
    <w:p w14:paraId="1DA8B0F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Пулеметного вооружения самоходная установка не имеет.</w:t>
      </w:r>
    </w:p>
    <w:p w14:paraId="6B990BE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В дополнение к обычному смотровому прибору у водителя имеется над смотровым прибором два круглых отверстия, ступенчатого сечения, расположенных против глаз.</w:t>
      </w:r>
    </w:p>
    <w:p w14:paraId="69699A0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Состав экипажа самоходной установки 3 человека.</w:t>
      </w:r>
    </w:p>
    <w:p w14:paraId="13467F3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Борта самоходной установки защищены навесными экранами из 4-х мм железа, как и у танков Т-ГУ.</w:t>
      </w:r>
    </w:p>
    <w:p w14:paraId="128B532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Гусеница самоходной установки имеет дополнительные шпоры противоскольжения, предна</w:t>
      </w:r>
      <w:r w:rsidRPr="007224C3">
        <w:rPr>
          <w:rFonts w:ascii="Times New Roman" w:hAnsi="Times New Roman"/>
          <w:color w:val="000000" w:themeColor="text1"/>
          <w:sz w:val="16"/>
          <w:szCs w:val="16"/>
        </w:rPr>
        <w:softHyphen/>
        <w:t>значенные для улучшения сцепления с грунтом и уменьшения бокового скольжения.</w:t>
      </w:r>
    </w:p>
    <w:p w14:paraId="060291E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Борьба с самоходной установкой</w:t>
      </w:r>
    </w:p>
    <w:p w14:paraId="2BA5343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Стрельба бронебойными снарядами в лоб самоходной установки малоэффективна.</w:t>
      </w:r>
    </w:p>
    <w:p w14:paraId="7BD1439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Стрельба бронебойными снарядами по бортам установки будет выводить ее из строя.</w:t>
      </w:r>
    </w:p>
    <w:p w14:paraId="261B3D1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Огонь ПТР действителен по корме самоходной установки, по самой пушке и по смотровому при</w:t>
      </w:r>
      <w:r w:rsidRPr="007224C3">
        <w:rPr>
          <w:rFonts w:ascii="Times New Roman" w:hAnsi="Times New Roman"/>
          <w:color w:val="000000" w:themeColor="text1"/>
          <w:sz w:val="16"/>
          <w:szCs w:val="16"/>
        </w:rPr>
        <w:softHyphen/>
        <w:t>бору водителя.</w:t>
      </w:r>
    </w:p>
    <w:p w14:paraId="7E02920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Пулеметный и автоматный огонь по крыше установки поразит панораму пушки и ослепит стрел</w:t>
      </w:r>
      <w:r w:rsidRPr="007224C3">
        <w:rPr>
          <w:rFonts w:ascii="Times New Roman" w:hAnsi="Times New Roman"/>
          <w:color w:val="000000" w:themeColor="text1"/>
          <w:sz w:val="16"/>
          <w:szCs w:val="16"/>
        </w:rPr>
        <w:softHyphen/>
        <w:t>ков установки.</w:t>
      </w:r>
    </w:p>
    <w:p w14:paraId="43A858F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 пом. начальника отдела эксплуатации УБТ и МВ 1-го Белорусского фронта</w:t>
      </w:r>
    </w:p>
    <w:p w14:paraId="2C6956C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инженер-майор Цыганов</w:t>
      </w:r>
    </w:p>
    <w:p w14:paraId="60336E8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38. Оп. 11362. Д. 88. Л. 2. Подлинник (11403).</w:t>
      </w:r>
    </w:p>
    <w:p w14:paraId="3024278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60C605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марта 1944 вышло Постановление ГКО № 5486 О мероприятиях по обеспечению предприятий Наркомтекстиля СССР запасными деталями и вспомогательными материалами. РГАНИР, Фонд ГКО, д. 222, лл. 1-4,5-15 (11012).</w:t>
      </w:r>
    </w:p>
    <w:p w14:paraId="53D9F48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B87AF8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марта 1944 вышло Постановление ГКО № 5487 О восстановлении сети гидрометеорологической службы Красной Армии на освобожденной от противника территории. РГАНИР, Фонд ГКО, д. 222, лл. 16-19,20-25 (11012).</w:t>
      </w:r>
    </w:p>
    <w:p w14:paraId="4F665E0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532408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марта 1944 вышло Постановление ГКО № 5488 Об организации станкоинструментального завода Наркомстанкостроения в г. Ереване Армянской ССР. РГАНИР, Фонд ГКО, д. 222, лл. 26-28,29-34 (11012).</w:t>
      </w:r>
    </w:p>
    <w:p w14:paraId="13E2834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3D283B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марта 1944 вышло Постановление ГКО № 5489 Об обеспечении гильзовых заводов Наркомбоеприпасов запасными частями для прокатного и прессового оборудования. РГАНИР, Фонд ГКО, д. 222, лл. 35-37,38-42 (11012).</w:t>
      </w:r>
    </w:p>
    <w:p w14:paraId="6E1416A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3B5618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марта 1944 вышло Постановление ГКО № 5491 О восстановлении производства орудийных станков на заводе "Красный пролетарий" Наркомата станкостроения. РГАНИР, Фонд ГКО, д. 222, лл. 46-48 (11012).</w:t>
      </w:r>
    </w:p>
    <w:p w14:paraId="306B4AB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F1D2931"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марта 1944 вышло Постановление ГКО № 5492 О мероприятиях по увеличению производства газовой сажи. (7202, 49-51).</w:t>
      </w:r>
    </w:p>
    <w:p w14:paraId="3CC1FBD1"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8E6518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марта 1944 вышло Постановление ГКО № 5493 О строительстве Широковской и Понышской гидроэлектростанций на Урале. РГАНИР, Фонд ГКО, д. 222, лл. 52-53,54-63 (11012).</w:t>
      </w:r>
    </w:p>
    <w:p w14:paraId="36D352C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41BA44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марта 1944 вышло Распоряжение ГКО № 5494. О срочной помощи топливом ленинградским электростанциям. РГАНИР, Фонд ГКО, д. 222, лл. 64 (11012).</w:t>
      </w:r>
    </w:p>
    <w:p w14:paraId="137A785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C68343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марта 1944 вышло Постановление ГКО № 5495 О восстановлении в г. Киеве завода № 512 Наркомтекстиля СССР. РГАНИР, Фонд ГКО, д. 222, лл. 65-66,67 (11012).</w:t>
      </w:r>
    </w:p>
    <w:p w14:paraId="24A8172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F8DA9C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марта 1944 вышло Постановление ГКО № 5496 О мерах по улучшению строительства импортных нефтеперерабатывающих заводов в г.г. Орске и Красноводске. РГАНИР, Фонд ГКО, д. 222, лл. 68-73,74-75 (11012).</w:t>
      </w:r>
    </w:p>
    <w:p w14:paraId="58B648D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41590B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марта 1944 вышло Распоряжение ГКО № 5497. Об обеспечении аэростатных частей КА водородом. РГАНИР, Фонд ГКО, д. 222, лл. 76,77-79 (11012).</w:t>
      </w:r>
    </w:p>
    <w:p w14:paraId="2A5D74D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E57B34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28 марта 1944 вышло Распоряжение ГКО № 5498. О временном переводе из Харькова и Мариуполя 1000 рабочих на завод № 183 НКТП для укомплектования металлургических цехов. РГАНИР, Фонд ГКО, д. 222, лл. 80 (11012).</w:t>
      </w:r>
    </w:p>
    <w:p w14:paraId="6585382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2C7309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марта 1944 вышло Распоряжение ГКО № 5499. Об усилении противопожарных мероприятий на объектах НКБ. РГАНИР, Фонд ГКО, д. 222, лл. 81-82,83-84 (11012).</w:t>
      </w:r>
    </w:p>
    <w:p w14:paraId="6E9EF7B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39183BD"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марта 1944 вышло Распоряжение ГКО № 5499 [Об усилении противопожарных мероприятий на объектах НКБ.] (7202, 81-82,83-84).</w:t>
      </w:r>
    </w:p>
    <w:p w14:paraId="6077D149"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FA4BF6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марта 1944 вышло Распоряжение ГКО № 5502. О выделении 32 рудничных электровозов НКЧМ для восстановительных работ в Криворожском железорудном бассейне. РГАНИР, Фонд ГКО, д. 222, лл. 87 (11012).</w:t>
      </w:r>
    </w:p>
    <w:p w14:paraId="1E4EA84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A99B27C"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марта 1944 вышло Постановление ГКО № 5503 О производстве дизелей для Военно-Морского Флота на Коломенском машиностроительном заводе им. Куйбышева Наркомтяжмаша. (7202, 88-93,94-106).</w:t>
      </w:r>
    </w:p>
    <w:p w14:paraId="056115F8"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894732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марта 1944 Адмиралтейцы заложили 16-й МБК (10671).</w:t>
      </w:r>
    </w:p>
    <w:p w14:paraId="72138C5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2FCD846"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6901E57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8CC3589" w14:textId="77777777" w:rsidR="004F35D0" w:rsidRPr="007224C3" w:rsidRDefault="004F35D0"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28 марта</w:t>
      </w:r>
      <w:r w:rsidRPr="007224C3">
        <w:rPr>
          <w:rFonts w:ascii="Times New Roman" w:hAnsi="Times New Roman"/>
          <w:color w:val="000000" w:themeColor="text1"/>
          <w:sz w:val="16"/>
          <w:szCs w:val="16"/>
        </w:rPr>
        <w:t xml:space="preserve"> в 1944 году оперативная сводка Совинформбюро:</w:t>
      </w:r>
    </w:p>
    <w:p w14:paraId="1D2E8A8F" w14:textId="77777777" w:rsidR="004F35D0" w:rsidRPr="007224C3" w:rsidRDefault="004F35D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28 марта войска 1-го Украинского фронта, продолжая наступление,овладели районным центром Станиславском области городом Гвоздец, районным центром Черновицкой области городом Кицмань, районным центром Каменец-Подольской области Миньковцы, а также с боями заняли более 70 других населённых пунктов, среди которых крупные населённые пункты Сороки, Киселёв, Кадобовцы, Веренчанка, Погореловка, Подметы, Старая и Новая Соколовка, Барановка, Зиньков, Покутинцы, Малиевцы, Синяковцы, Лысец, Соколец и железнодорожные станции Окна, Юрковцы, Киселёв, Ясенев Польны.</w:t>
      </w:r>
    </w:p>
    <w:p w14:paraId="1D8655DC" w14:textId="77777777" w:rsidR="004F35D0" w:rsidRPr="007224C3" w:rsidRDefault="004F35D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западу от города Могилёв-Подольский наши войска, наступающие между реками Днестр и Прут, овладели районным центром Черновицкой области Кельменцы, а также с боями заняли несколько других населённых пунктов, среди которых крупные населённые пункты Бабино, Линковцы, Волченец, Нелиповцы, Вартиковцы, Медвежа и железнодорожные станции Ларга, Медвежа.</w:t>
      </w:r>
    </w:p>
    <w:p w14:paraId="45989E75" w14:textId="77777777" w:rsidR="004F35D0" w:rsidRPr="007224C3" w:rsidRDefault="004F35D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югу и востоку от города Бельцы наши войска продолжали вести наступательные бои, в ходе которых заняли более 30 населённых пунктов, в том числе крупные населённые пункты Кошень, Кетросы, Биличени, Драганешти, Чутулешти и железнодорожные станции Александрены, Путинешты, Маркулешты, Цира, Рогожены.</w:t>
      </w:r>
    </w:p>
    <w:p w14:paraId="0B03B790" w14:textId="77777777" w:rsidR="004F35D0" w:rsidRPr="007224C3" w:rsidRDefault="004F35D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Северо-восточнее, восточнее и юго-восточнее города Рыбница наши войска с боями овладели железнодорожным узлом Слободка, а также заняли несколько других населённых пунктов, среди которых крупные населённые пункты Михайловка, Колбасная, Воронково, Тимков, Затишье, Гонората и железнодорожные станции Колбасная, Воронковка.</w:t>
      </w:r>
    </w:p>
    <w:p w14:paraId="28A5C69D" w14:textId="77777777" w:rsidR="004F35D0" w:rsidRPr="007224C3" w:rsidRDefault="004F35D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города Первомайск наши войска в результате наступательных боёв овладели населёнными пунктами Ясиново, Большой Бобрик, Кричуново, Волощино, Лукановка, Большие Кумары, Кодымка и железнодорожными станциями Конецполь, Каменный Мост.</w:t>
      </w:r>
    </w:p>
    <w:p w14:paraId="7AC12A75" w14:textId="77777777" w:rsidR="004F35D0" w:rsidRPr="007224C3" w:rsidRDefault="004F35D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Северо-западнее города Вознесенск наши войска, успешно форсировав реку Южный Буг, с боями продвигались вперед и овладели районным центром Одесской области Доманевка, а также заняли более 40 других населённых пунктов, в том числе крупные населённые пункты Степковка, Зелёный Гай, Викторовка, Новосёлки,Анетовка, Акмечеть, Забара, Слава.</w:t>
      </w:r>
    </w:p>
    <w:p w14:paraId="5F86B7E6" w14:textId="77777777" w:rsidR="004F35D0" w:rsidRPr="007224C3" w:rsidRDefault="004F35D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3-го Украинского фронта сегодня, 28 марта, после упорных боёв, штурмом овладели крупным областным и промышленным центром Украины городом Николаев —важным железнодорожным узлом, одним из крупнейших портов на Чёрном море и сильным опорным пунктом обороны немцев у устья Южного Буга.</w:t>
      </w:r>
    </w:p>
    <w:p w14:paraId="4E49D3E3" w14:textId="77777777" w:rsidR="004F35D0" w:rsidRPr="007224C3" w:rsidRDefault="004F35D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в ряде пунктов шли бои местного значения.</w:t>
      </w:r>
    </w:p>
    <w:p w14:paraId="0152836F" w14:textId="77777777" w:rsidR="004F35D0" w:rsidRPr="007224C3" w:rsidRDefault="004F35D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27 марта наши войска на всех фронтах подбили и уничтожили 28 немецких танков. В воздушных боях и огнём зенитной артиллерии сбито 85 самолётов противника.</w:t>
      </w:r>
    </w:p>
    <w:p w14:paraId="5588F63D" w14:textId="77777777" w:rsidR="004F35D0" w:rsidRPr="007224C3" w:rsidRDefault="004F35D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1-го Украинского фронта продолжали наступление. За Днестром советские подвижные соединения, с боями продвигаясь вперёд, овладели районным центром Станиславской области городом Гвоздец, разгромив крупный гарнизон противника. На железнодорожной станции уничтожено три немецких эшелона с горючим и военным имуществом. Захвачено много пленных. В этом же районе сдались в плен, не оказав сопротивления, свыше 200 венгерских солдат и офицеров во главе с подполковником.</w:t>
      </w:r>
    </w:p>
    <w:p w14:paraId="025B75DB" w14:textId="77777777" w:rsidR="004F35D0" w:rsidRPr="007224C3" w:rsidRDefault="004F35D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боях за город Каменец-Подольск наши войска разгромили штаб 16 немецкой танковой дивизии и взяли в плен до 2.000 солдат и офицеров противника. Захвачено у немцев 50 орудий, около 4 тысяч автомашин, 250 мотоциклов, 10 складов с военным имуществом и много других трофеев.</w:t>
      </w:r>
    </w:p>
    <w:p w14:paraId="09C4FC86" w14:textId="77777777" w:rsidR="004F35D0" w:rsidRPr="007224C3" w:rsidRDefault="004F35D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Южнее города Ярмолинцы части Н-ского соединения истребили до полка немецкой пехоты. Преследуя разбитые части противника, наши бойцы захватили 21 танк, 10 бронеавтомобилей, 400 автомашин с грузами и много различных военных материалов.</w:t>
      </w:r>
    </w:p>
    <w:p w14:paraId="6518495E" w14:textId="77777777" w:rsidR="004F35D0" w:rsidRPr="007224C3" w:rsidRDefault="004F35D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Северо-восточнее, восточнее и юго-восточнее города Рыбница наши войска продолжали наступление. Ожесточённые бои происходили сегодня в районе города Слободка. Противник упорно защищал этот железнодорожный узел, от которого расходятся пути на Рыбницу, Жмеринку, Первомайск и Одессу. Советские части,овладев населёнными пунктами Тимков, Гонората, Колбасная, зажали немцев в клещи. Стремительными ударами с трёх сторон наши бойцы разгромили противника и овладели городом и железнодорожным узлом Слободка. Захвачены крупные склады с военным имуществом, подвижной состав и много вооружения, брошенного немцами при поспешном отступлении.</w:t>
      </w:r>
    </w:p>
    <w:p w14:paraId="6FC37DD1" w14:textId="77777777" w:rsidR="004F35D0" w:rsidRPr="007224C3" w:rsidRDefault="004F35D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Северо-западнее города Вознесенск наши войска вели успешные наступательные бои. Части Н-ского соединения ночью форсировали реку Южный Буг. Пройдя с боями до 20 километров, советские бойцы овладели узлом грунтовых дорог, районным центром Одесской области Доманевка и заняли более 40 других населённых пунктов. В боях за эти пункты уничтожено свыше 1.000 немецких солдат и офицеров.</w:t>
      </w:r>
    </w:p>
    <w:p w14:paraId="39BEB44F" w14:textId="77777777" w:rsidR="004F35D0" w:rsidRPr="007224C3" w:rsidRDefault="004F35D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3-го Украинского фронта штурмом овладели крупным областным ипромышленным центром Украины — городом Николаев. Противник придавал огромное значение Николаеву, одному из крупнейших портов на Чёрном море, и считал его неприступной крепостью. Немецкое командование приказало своим войскам во что быто ни стало удержать Николаев. С севера, юга и запада город защищён водным рубежом, а весь район к востоку от Николаева был изрыт окопами полного профиля, опутан проволокой в несколько рядов и до предела насыщен огневыми средствами. На танкодоступных направлениях немцы отрыли глубокие противотанковые рвы и расставили минные поля. Вчера советские войска прорвали немецкую оборону на всю глубину и завязали бои на восточной окраине города. Пехотинцы и танкисты были поддержаны решительными действиями морских десантных отрядов, высадившихся на южной окраине Николаева. Всю ночь происходили ожесточённые уличные бои. Гитлеровцы оказывали упорное сопротивление, но не выдержали ударов наших войск. На рассвете 28 марта город Николаев был полностью очищен от немецко-фашистских захватчиков. Остатки гитлеровцев, пытавшихся переправиться через Бугский лиман, были уничтожены и потоплены. Взято много пленных и захвачены большие трофеи.</w:t>
      </w:r>
    </w:p>
    <w:p w14:paraId="64181E6D" w14:textId="77777777" w:rsidR="004F35D0" w:rsidRPr="007224C3" w:rsidRDefault="004F35D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днях две группы немецких самолётов пытались произвести налёт на военные и промышленные объекты города Сарны. В налётах участвовало до 60 бомбардировщиков противника. Встреченные нашей авиацией, немецкие самолёты к городу не были допущены. В воздушных боях советские лётчики сбили 24 немецких самолёта. Все наши самолёты, участвовавшие в этом бою, вернулись на свои аэродромы.</w:t>
      </w:r>
    </w:p>
    <w:p w14:paraId="0C5432BD" w14:textId="77777777" w:rsidR="004F35D0" w:rsidRPr="007224C3" w:rsidRDefault="004F35D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Авиация Ленинградского фронта в течение дня уничтожила 40 немецких самолётов. Лётчики-истребители авиационной части, где командиром майор Гринченко, провели 19 воздушных боёв, в ходе которых сбили 12 бомбардировщиков и 9 истребителей противника, не понеся при этом потерь. Капитан Литвиненко, старший лейтенантМитрохин, лейтенант Санкин и младший лейтенант Шиянов за день сбили по три вражеских самолёта каждый.</w:t>
      </w:r>
    </w:p>
    <w:p w14:paraId="152B28CC" w14:textId="77777777" w:rsidR="004F35D0" w:rsidRPr="007224C3" w:rsidRDefault="004F35D0" w:rsidP="007224C3">
      <w:pPr>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rPr>
        <w:t xml:space="preserve">Несколько белорусских партизанских отрядов, действующих в Брестской области, за месяц пустили под откос более ста немецких воинских эшелонов. Разбито 164 паровоза и около 1.500 вагонов с войсками и военными грузами. За это же время брестские партизаны разрушили 138 километров телеграфно-телефонной линии связи и уничтожили 85 автомашин противника. Партизаны из отряда имени Щорса ружейно-пулемётным огнём сбили немецкий самолёт.» </w:t>
      </w:r>
      <w:r w:rsidRPr="007224C3">
        <w:rPr>
          <w:rFonts w:ascii="Times New Roman" w:hAnsi="Times New Roman"/>
          <w:color w:val="000000" w:themeColor="text1"/>
          <w:sz w:val="16"/>
          <w:szCs w:val="16"/>
          <w:lang w:val="en-US"/>
        </w:rPr>
        <w:t>(15082).</w:t>
      </w:r>
    </w:p>
    <w:p w14:paraId="33C8CD10" w14:textId="77777777" w:rsidR="004F35D0" w:rsidRPr="007224C3" w:rsidRDefault="004F35D0" w:rsidP="007224C3">
      <w:pPr>
        <w:spacing w:after="0" w:line="240" w:lineRule="auto"/>
        <w:jc w:val="both"/>
        <w:rPr>
          <w:rFonts w:ascii="Times New Roman" w:hAnsi="Times New Roman"/>
          <w:color w:val="000000" w:themeColor="text1"/>
          <w:sz w:val="16"/>
          <w:szCs w:val="16"/>
          <w:lang w:val="en-US"/>
        </w:rPr>
      </w:pPr>
    </w:p>
    <w:p w14:paraId="396FA61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March 28th, 1944: The Red Army recaptures Nikolaev on the Black Sea and enters Rumanian territory (3819).</w:t>
      </w:r>
    </w:p>
    <w:p w14:paraId="0B42D06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D423E1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марта 1944 прорвав укрепления на Южном Буге КА взяла Николаев (430,195) - 3УФ Р.Я.Малиновского (3398,127).</w:t>
      </w:r>
    </w:p>
    <w:p w14:paraId="11559C9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649C87" w14:textId="77777777" w:rsidR="004F35D0" w:rsidRPr="007224C3" w:rsidRDefault="004F35D0"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28 марта</w:t>
      </w:r>
      <w:r w:rsidRPr="007224C3">
        <w:rPr>
          <w:rFonts w:ascii="Times New Roman" w:hAnsi="Times New Roman"/>
          <w:color w:val="000000" w:themeColor="text1"/>
          <w:sz w:val="16"/>
          <w:szCs w:val="16"/>
        </w:rPr>
        <w:t xml:space="preserve"> в 1944 году войска 2-го Украинского фронта в ночь с 28 на 29 марта с ходу форсировали реку Прут и перенесли боевые действия на территорию Румынии (15082).</w:t>
      </w:r>
    </w:p>
    <w:p w14:paraId="5AD5BAD0" w14:textId="77777777" w:rsidR="004F35D0" w:rsidRPr="007224C3" w:rsidRDefault="004F35D0" w:rsidP="007224C3">
      <w:pPr>
        <w:spacing w:after="0" w:line="240" w:lineRule="auto"/>
        <w:jc w:val="both"/>
        <w:rPr>
          <w:rFonts w:ascii="Times New Roman" w:hAnsi="Times New Roman"/>
          <w:color w:val="000000" w:themeColor="text1"/>
          <w:sz w:val="16"/>
          <w:szCs w:val="16"/>
        </w:rPr>
      </w:pPr>
    </w:p>
    <w:p w14:paraId="546C9A3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марта 1944 согласно сообщению Совинформбюро на ЛФ ли иап м Гринченко провели 19 боев и сбили 12 б и 9 и, не понеся потерь. К Литвиненко, ст.л Митрохин, л Санкин и мл.л. Шиянов сбили по 3 (438,898).</w:t>
      </w:r>
    </w:p>
    <w:p w14:paraId="6566572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2B2F98"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lastRenderedPageBreak/>
        <w:t>Жизнь и внутренняя политика:</w:t>
      </w:r>
    </w:p>
    <w:p w14:paraId="6DCD905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22652D0"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марта 1944 вышло Распоряжение ГКО № 5500 [Об изменении режима въезда в Куйбышев и область.] (7202, 85).</w:t>
      </w:r>
    </w:p>
    <w:p w14:paraId="1343B1E2"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70BE70C"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марта 1944 СС-овцами расстреляны все еврейские дети до 13 лет в Ковно (Литва) (4962).</w:t>
      </w:r>
    </w:p>
    <w:p w14:paraId="0EAB8DD4"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66CC904"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Внешняя политика:</w:t>
      </w:r>
    </w:p>
    <w:p w14:paraId="766897D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595D079"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марта 1944 вышло Постановление ГКО № 5490 О поставке лошадей, закупленных в МНР. (7202, 43-45).</w:t>
      </w:r>
    </w:p>
    <w:p w14:paraId="7F6B82CD"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A85F24D" w14:textId="77777777" w:rsidR="004F35D0"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5FAD4950" w14:textId="77777777" w:rsidR="004F35D0" w:rsidRPr="007224C3" w:rsidRDefault="004F35D0"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5E27DFF" w14:textId="77777777" w:rsidR="004F35D0" w:rsidRPr="007224C3" w:rsidRDefault="004F35D0"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28 марта</w:t>
      </w:r>
      <w:r w:rsidRPr="007224C3">
        <w:rPr>
          <w:rFonts w:ascii="Times New Roman" w:hAnsi="Times New Roman"/>
          <w:color w:val="000000" w:themeColor="text1"/>
          <w:sz w:val="16"/>
          <w:szCs w:val="16"/>
        </w:rPr>
        <w:t xml:space="preserve"> в 1944 году первый полёт первого прототипа истребителя «G.56» («ММ.536») (разработчик: «Fiat», Италия). Самолётом, получившим немецкие опознавательные знаки, но управлял им итальянский пилот Валентино Кус. Испытания проводились под полным немецким контролем, но уже тогда было ясно, что </w:t>
      </w:r>
      <w:hyperlink r:id="rId89" w:tgtFrame="_blank" w:history="1">
        <w:r w:rsidRPr="007224C3">
          <w:rPr>
            <w:rFonts w:ascii="Times New Roman" w:hAnsi="Times New Roman"/>
            <w:color w:val="000000" w:themeColor="text1"/>
            <w:sz w:val="16"/>
            <w:szCs w:val="16"/>
          </w:rPr>
          <w:t xml:space="preserve">«G.56» </w:t>
        </w:r>
      </w:hyperlink>
      <w:r w:rsidRPr="007224C3">
        <w:rPr>
          <w:rFonts w:ascii="Times New Roman" w:hAnsi="Times New Roman"/>
          <w:color w:val="000000" w:themeColor="text1"/>
          <w:sz w:val="16"/>
          <w:szCs w:val="16"/>
        </w:rPr>
        <w:t>вряд ли окажется лучше основных немецких истребителей «Bf.109G» и «FW-190A». Интерес к нему значительно снизился, но тестовые полёты решили продолжить в экспериментальных целях (15082).</w:t>
      </w:r>
    </w:p>
    <w:p w14:paraId="2D0863BF" w14:textId="77777777" w:rsidR="004F35D0" w:rsidRPr="007224C3" w:rsidRDefault="004F35D0" w:rsidP="007224C3">
      <w:pPr>
        <w:spacing w:after="0" w:line="240" w:lineRule="auto"/>
        <w:jc w:val="both"/>
        <w:rPr>
          <w:rFonts w:ascii="Times New Roman" w:hAnsi="Times New Roman"/>
          <w:color w:val="000000" w:themeColor="text1"/>
          <w:sz w:val="16"/>
          <w:szCs w:val="16"/>
        </w:rPr>
      </w:pPr>
    </w:p>
    <w:p w14:paraId="6873569D" w14:textId="77777777" w:rsidR="00003C7F" w:rsidRPr="007224C3" w:rsidRDefault="00003C7F"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28 марта 1944 - Первый полёт первого прототипа истребителя G.56 (ММ.536) (разработчик: Fiat, Италия). Самолётом, получившим немецкие опознавательные знаки, но управлял им итальянский пилот Валентино Кус. Испытания проводились под полным немецким контролем, но уже тогда было ясно, что G.56 вряд ли окажется лучше основных немецких истребителей Bf.109G и FW-190A. Интерес к нему значительно снизился, но тестовые полёты решили продолжить в экспериментальных целях (22554).</w:t>
      </w:r>
    </w:p>
    <w:p w14:paraId="2BCEC58A" w14:textId="77777777" w:rsidR="00003C7F" w:rsidRPr="007224C3" w:rsidRDefault="00003C7F" w:rsidP="007224C3">
      <w:pPr>
        <w:spacing w:after="0" w:line="240" w:lineRule="auto"/>
        <w:jc w:val="both"/>
        <w:rPr>
          <w:rFonts w:ascii="Times New Roman" w:hAnsi="Times New Roman"/>
          <w:color w:val="0070C0"/>
          <w:sz w:val="16"/>
          <w:szCs w:val="16"/>
        </w:rPr>
      </w:pPr>
    </w:p>
    <w:p w14:paraId="35E7747F" w14:textId="77777777" w:rsidR="00A76CAC" w:rsidRPr="007224C3" w:rsidRDefault="00A76CAC" w:rsidP="007224C3">
      <w:pPr>
        <w:pStyle w:val="172"/>
        <w:shd w:val="clear" w:color="auto" w:fill="auto"/>
        <w:tabs>
          <w:tab w:val="left" w:pos="497"/>
        </w:tabs>
        <w:spacing w:before="0"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28 марта 1944 - новый ночной налет 50 британских бомбардировщи</w:t>
      </w:r>
      <w:r w:rsidRPr="007224C3">
        <w:rPr>
          <w:rFonts w:ascii="Times New Roman" w:hAnsi="Times New Roman" w:cs="Times New Roman"/>
          <w:color w:val="000000" w:themeColor="text1"/>
          <w:sz w:val="16"/>
          <w:szCs w:val="16"/>
        </w:rPr>
        <w:softHyphen/>
        <w:t>ков на Софию. Англичане отбомбились по пустырю, так что обошлось без жертв (19104).</w:t>
      </w:r>
    </w:p>
    <w:p w14:paraId="0B6D0B60" w14:textId="77777777" w:rsidR="00A76CAC" w:rsidRPr="007224C3" w:rsidRDefault="00A76CAC" w:rsidP="007224C3">
      <w:pPr>
        <w:pStyle w:val="172"/>
        <w:shd w:val="clear" w:color="auto" w:fill="auto"/>
        <w:tabs>
          <w:tab w:val="left" w:pos="497"/>
        </w:tabs>
        <w:spacing w:before="0" w:line="240" w:lineRule="auto"/>
        <w:ind w:firstLine="0"/>
        <w:jc w:val="both"/>
        <w:rPr>
          <w:rFonts w:ascii="Times New Roman" w:hAnsi="Times New Roman" w:cs="Times New Roman"/>
          <w:color w:val="000000" w:themeColor="text1"/>
          <w:sz w:val="16"/>
          <w:szCs w:val="16"/>
        </w:rPr>
      </w:pPr>
    </w:p>
    <w:p w14:paraId="5082E22D" w14:textId="77777777" w:rsidR="00003C7F" w:rsidRPr="007224C3" w:rsidRDefault="00003C7F"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28 марта 1944 японские бомбардировщики-торпедоносцы атакуют оперативную группу ВМС США 58, когда она приближается к островам Палау, не нанеся повреждений (20373).</w:t>
      </w:r>
    </w:p>
    <w:p w14:paraId="482BBEED" w14:textId="77777777" w:rsidR="00003C7F" w:rsidRPr="007224C3" w:rsidRDefault="00003C7F" w:rsidP="007224C3">
      <w:pPr>
        <w:spacing w:after="0" w:line="240" w:lineRule="auto"/>
        <w:jc w:val="both"/>
        <w:rPr>
          <w:rFonts w:ascii="Times New Roman" w:hAnsi="Times New Roman"/>
          <w:color w:val="0070C0"/>
          <w:sz w:val="16"/>
          <w:szCs w:val="16"/>
        </w:rPr>
      </w:pPr>
    </w:p>
    <w:p w14:paraId="715A102E"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272B984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E7E382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марта 1944 вместо 1 апреля 1944 самолет Ил-8-2 АМ-42, который находился в летном состоянии по состоянию на 1 января 1944 и в 1-м кв. прошел заводские испытания, был сдан на гос. испытания на 3 дня раньше срока (2217).</w:t>
      </w:r>
    </w:p>
    <w:p w14:paraId="5B3D383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A3509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марта 1944 года в процессе передачи на госиспытания в НИИ ВВС КА Су-6 АМ-42 потерпел ава</w:t>
      </w:r>
      <w:r w:rsidRPr="007224C3">
        <w:rPr>
          <w:rFonts w:ascii="Times New Roman" w:hAnsi="Times New Roman"/>
          <w:color w:val="000000" w:themeColor="text1"/>
          <w:sz w:val="16"/>
          <w:szCs w:val="16"/>
        </w:rPr>
        <w:softHyphen/>
        <w:t>рию, в результате которой была разрушена хвостовая часть фюзе</w:t>
      </w:r>
      <w:r w:rsidRPr="007224C3">
        <w:rPr>
          <w:rFonts w:ascii="Times New Roman" w:hAnsi="Times New Roman"/>
          <w:color w:val="000000" w:themeColor="text1"/>
          <w:sz w:val="16"/>
          <w:szCs w:val="16"/>
        </w:rPr>
        <w:softHyphen/>
        <w:t>ляжа и оперение. Самолет отпра</w:t>
      </w:r>
      <w:r w:rsidRPr="007224C3">
        <w:rPr>
          <w:rFonts w:ascii="Times New Roman" w:hAnsi="Times New Roman"/>
          <w:color w:val="000000" w:themeColor="text1"/>
          <w:sz w:val="16"/>
          <w:szCs w:val="16"/>
        </w:rPr>
        <w:softHyphen/>
        <w:t>вили на завод №289 для ремонта (11845).</w:t>
      </w:r>
    </w:p>
    <w:p w14:paraId="525818F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D88003" w14:textId="77777777" w:rsidR="00003C7F" w:rsidRPr="007224C3" w:rsidRDefault="00003C7F"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29 марта 1944 при жесткой посадке Су-6 с АМ-42 на аэродром Чкаловская (ГК НИИ ВВС) хвостовая часть и оперение получили серьезные поврежде</w:t>
      </w:r>
      <w:r w:rsidRPr="007224C3">
        <w:rPr>
          <w:rFonts w:ascii="Times New Roman" w:hAnsi="Times New Roman"/>
          <w:color w:val="0070C0"/>
          <w:sz w:val="16"/>
          <w:szCs w:val="16"/>
        </w:rPr>
        <w:softHyphen/>
        <w:t>ния. Самолет перевезли на завод №289 для ремонта. (19853).</w:t>
      </w:r>
    </w:p>
    <w:p w14:paraId="4BB3E2A8" w14:textId="77777777" w:rsidR="00003C7F" w:rsidRPr="007224C3" w:rsidRDefault="00003C7F" w:rsidP="007224C3">
      <w:pPr>
        <w:spacing w:after="0" w:line="240" w:lineRule="auto"/>
        <w:jc w:val="both"/>
        <w:rPr>
          <w:rFonts w:ascii="Times New Roman" w:hAnsi="Times New Roman"/>
          <w:color w:val="0070C0"/>
          <w:sz w:val="16"/>
          <w:szCs w:val="16"/>
        </w:rPr>
      </w:pPr>
    </w:p>
    <w:p w14:paraId="18C34AC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марта 1944 вышел приказ № 230с.065 НКАП и Командующего ВВС:</w:t>
      </w:r>
    </w:p>
    <w:p w14:paraId="17175B0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целях приближения к линии фронта базы по сборке с-тов истребителей:</w:t>
      </w:r>
    </w:p>
    <w:p w14:paraId="760AF22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 6 ГУ Комарову и д-ру з-да 473 Пенек организовать на з-де 473 в Киеве сборку с-тов типа Як- 1 и 9 пр-ва з-в 153, 166 и 292 в к-ве 150 шт. В месяц.</w:t>
      </w:r>
    </w:p>
    <w:p w14:paraId="1CF7C1B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Дементьев, Никитин (1626, 90-92).</w:t>
      </w:r>
    </w:p>
    <w:p w14:paraId="67D0634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7D58AF" w14:textId="77777777" w:rsidR="00A2482E" w:rsidRPr="007224C3" w:rsidRDefault="00A2482E"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29 марта 1944 в НИИ АВ ВВС закончились испытания мотор-пушки 111П (МП-45), установленной на се</w:t>
      </w:r>
      <w:r w:rsidRPr="007224C3">
        <w:rPr>
          <w:color w:val="000000" w:themeColor="text1"/>
          <w:sz w:val="16"/>
          <w:szCs w:val="16"/>
        </w:rPr>
        <w:softHyphen/>
        <w:t>рийном самолете Як-9т зав. № 01-21 производства завода № 153, которые проходили с 13 по 17 января и с 23 января. Ответственным исполнителем был ведущий инженер 3-го отдела института инже</w:t>
      </w:r>
      <w:r w:rsidRPr="007224C3">
        <w:rPr>
          <w:color w:val="000000" w:themeColor="text1"/>
          <w:sz w:val="16"/>
          <w:szCs w:val="16"/>
        </w:rPr>
        <w:softHyphen/>
        <w:t>нер-майор А. Т. Степанец, ведущий летчик-испыта</w:t>
      </w:r>
      <w:r w:rsidRPr="007224C3">
        <w:rPr>
          <w:color w:val="000000" w:themeColor="text1"/>
          <w:sz w:val="16"/>
          <w:szCs w:val="16"/>
        </w:rPr>
        <w:softHyphen/>
        <w:t>тель — майор В. Е. Голофастов. Всего выполнено 19 полетов с налетом 12 ч 16 мин. Отчет по испытани</w:t>
      </w:r>
      <w:r w:rsidRPr="007224C3">
        <w:rPr>
          <w:color w:val="000000" w:themeColor="text1"/>
          <w:sz w:val="16"/>
          <w:szCs w:val="16"/>
        </w:rPr>
        <w:softHyphen/>
        <w:t>ям утвержден 9 апреля 1944 г. (17500).</w:t>
      </w:r>
    </w:p>
    <w:p w14:paraId="23C00CC4" w14:textId="77777777" w:rsidR="00A2482E" w:rsidRPr="007224C3" w:rsidRDefault="00A2482E" w:rsidP="007224C3">
      <w:pPr>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hAnsi="Times New Roman"/>
          <w:color w:val="000000" w:themeColor="text1"/>
          <w:sz w:val="16"/>
          <w:szCs w:val="16"/>
        </w:rPr>
        <w:t>Пушка МП-45 располагалась в развале блока цилиндров мотора и крепилась в 3 точках на мото</w:t>
      </w:r>
      <w:r w:rsidRPr="007224C3">
        <w:rPr>
          <w:rFonts w:ascii="Times New Roman" w:hAnsi="Times New Roman"/>
          <w:color w:val="000000" w:themeColor="text1"/>
          <w:sz w:val="16"/>
          <w:szCs w:val="16"/>
        </w:rPr>
        <w:softHyphen/>
        <w:t>ре — 2 передних и 1 заднего. Ствол проходил через полый вал редуктора мотора и втулку винта. Ради</w:t>
      </w:r>
      <w:r w:rsidRPr="007224C3">
        <w:rPr>
          <w:rFonts w:ascii="Times New Roman" w:hAnsi="Times New Roman"/>
          <w:color w:val="000000" w:themeColor="text1"/>
          <w:sz w:val="16"/>
          <w:szCs w:val="16"/>
        </w:rPr>
        <w:softHyphen/>
        <w:t>альный зазор между стволом пушки и внутренней стенкой вала редуктора мотора составлял всего 0,75 мм. По этой причине на втулке винта имелось специальное приспособление с шарикоподшипни</w:t>
      </w:r>
      <w:r w:rsidRPr="007224C3">
        <w:rPr>
          <w:rFonts w:ascii="Times New Roman" w:hAnsi="Times New Roman"/>
          <w:color w:val="000000" w:themeColor="text1"/>
          <w:sz w:val="16"/>
          <w:szCs w:val="16"/>
        </w:rPr>
        <w:softHyphen/>
        <w:t>ком, которое центрировало ствол пушки по оси ва</w:t>
      </w:r>
      <w:r w:rsidRPr="007224C3">
        <w:rPr>
          <w:rFonts w:ascii="Times New Roman" w:hAnsi="Times New Roman"/>
          <w:color w:val="000000" w:themeColor="text1"/>
          <w:sz w:val="16"/>
          <w:szCs w:val="16"/>
        </w:rPr>
        <w:softHyphen/>
        <w:t>ла редуктора мотора. Ствол пушки был сделан бо</w:t>
      </w:r>
      <w:r w:rsidRPr="007224C3">
        <w:rPr>
          <w:rFonts w:ascii="Times New Roman" w:hAnsi="Times New Roman"/>
          <w:color w:val="000000" w:themeColor="text1"/>
          <w:sz w:val="16"/>
          <w:szCs w:val="16"/>
        </w:rPr>
        <w:softHyphen/>
        <w:t>лее тонким. На расстоянии 650 мм от дульного сре</w:t>
      </w:r>
      <w:r w:rsidRPr="007224C3">
        <w:rPr>
          <w:rFonts w:ascii="Times New Roman" w:hAnsi="Times New Roman"/>
          <w:color w:val="000000" w:themeColor="text1"/>
          <w:sz w:val="16"/>
          <w:szCs w:val="16"/>
        </w:rPr>
        <w:softHyphen/>
        <w:t>за толщина стенки ствола пушки равнялась 3,75 мм против 7,1 мм у штатного ствола пушки 11П. Пушка оснащалась дульным тормозом, поглощавшим зна</w:t>
      </w:r>
      <w:r w:rsidRPr="007224C3">
        <w:rPr>
          <w:rFonts w:ascii="Times New Roman" w:hAnsi="Times New Roman"/>
          <w:color w:val="000000" w:themeColor="text1"/>
          <w:sz w:val="16"/>
          <w:szCs w:val="16"/>
        </w:rPr>
        <w:softHyphen/>
        <w:t>чительную часть энергии отдачи (до 85%).</w:t>
      </w:r>
    </w:p>
    <w:p w14:paraId="19B670DB" w14:textId="77777777" w:rsidR="00A2482E" w:rsidRPr="007224C3" w:rsidRDefault="00A2482E"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Средний темп стрельбы, зафиксированный в хо</w:t>
      </w:r>
      <w:r w:rsidRPr="007224C3">
        <w:rPr>
          <w:color w:val="000000" w:themeColor="text1"/>
          <w:sz w:val="16"/>
          <w:szCs w:val="16"/>
        </w:rPr>
        <w:softHyphen/>
        <w:t>де испытаний, равнялся 270 выстр./мин. Питание пушки МП-45 выполнялось от рассыпной ленты из металлических звеньев. Боекомплект к пушке включал 29 снарядов. Вес пушки с агрегатами — 163,8 кг, общий вес пушки с уста</w:t>
      </w:r>
      <w:r w:rsidRPr="007224C3">
        <w:rPr>
          <w:color w:val="000000" w:themeColor="text1"/>
          <w:sz w:val="16"/>
          <w:szCs w:val="16"/>
        </w:rPr>
        <w:softHyphen/>
        <w:t>новкой — 191,1 кг, вес боезапаса — 69 кг. Гильзы и звенья собирались в специальные сборники под пуш</w:t>
      </w:r>
      <w:r w:rsidRPr="007224C3">
        <w:rPr>
          <w:color w:val="000000" w:themeColor="text1"/>
          <w:sz w:val="16"/>
          <w:szCs w:val="16"/>
        </w:rPr>
        <w:softHyphen/>
        <w:t>кой. На приборной доске в кабине летчика имелся счетчик оставших</w:t>
      </w:r>
      <w:r w:rsidRPr="007224C3">
        <w:rPr>
          <w:color w:val="000000" w:themeColor="text1"/>
          <w:sz w:val="16"/>
          <w:szCs w:val="16"/>
        </w:rPr>
        <w:softHyphen/>
        <w:t>ся снарядов пушки. Управление ог</w:t>
      </w:r>
      <w:r w:rsidRPr="007224C3">
        <w:rPr>
          <w:color w:val="000000" w:themeColor="text1"/>
          <w:sz w:val="16"/>
          <w:szCs w:val="16"/>
        </w:rPr>
        <w:softHyphen/>
        <w:t>нем — электропневматическое при помощи кнопки, расположенной на ручке управления. Прицел кол- лиматорный ПБП-1а. Нормальный полетный вес Як-9т с МП-45 состав</w:t>
      </w:r>
      <w:r w:rsidRPr="007224C3">
        <w:rPr>
          <w:color w:val="000000" w:themeColor="text1"/>
          <w:sz w:val="16"/>
          <w:szCs w:val="16"/>
        </w:rPr>
        <w:softHyphen/>
        <w:t>лял 3028 кг (вес топлива 322 кг). Вес секундного залпа достигал 5,531 кг.</w:t>
      </w:r>
    </w:p>
    <w:p w14:paraId="07143723" w14:textId="77777777" w:rsidR="00A2482E" w:rsidRPr="007224C3" w:rsidRDefault="00A2482E"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Летные данные, маневренность и взлетно-посадочные характеристики Як-9т с пуш</w:t>
      </w:r>
      <w:r w:rsidRPr="007224C3">
        <w:rPr>
          <w:color w:val="000000" w:themeColor="text1"/>
          <w:sz w:val="16"/>
          <w:szCs w:val="16"/>
        </w:rPr>
        <w:softHyphen/>
        <w:t>кой МП-45 несколько ухудшились, но по технике пилотирования самолет ничем не отличался от обычных Як-9т.</w:t>
      </w:r>
    </w:p>
    <w:p w14:paraId="2D93E852" w14:textId="77777777" w:rsidR="00A2482E" w:rsidRPr="007224C3" w:rsidRDefault="00A2482E"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Максимальная скорость у земли составила 516 км/ч, на высоте 3900 м — 573 км/ч, на 5000 м — 566 км/ч. Время подъема на 5000 м — 5,7 мин. Вре</w:t>
      </w:r>
      <w:r w:rsidRPr="007224C3">
        <w:rPr>
          <w:color w:val="000000" w:themeColor="text1"/>
          <w:sz w:val="16"/>
          <w:szCs w:val="16"/>
        </w:rPr>
        <w:softHyphen/>
        <w:t>мя виража на 1000 м — 21,4 с. Набор высоты за бо</w:t>
      </w:r>
      <w:r w:rsidRPr="007224C3">
        <w:rPr>
          <w:color w:val="000000" w:themeColor="text1"/>
          <w:sz w:val="16"/>
          <w:szCs w:val="16"/>
        </w:rPr>
        <w:softHyphen/>
        <w:t>евой разворот с высоты 1000—1050 м. Дальность полета — 598 км.</w:t>
      </w:r>
    </w:p>
    <w:p w14:paraId="1E446AE2" w14:textId="77777777" w:rsidR="00A2482E" w:rsidRPr="007224C3" w:rsidRDefault="00A2482E"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Стрельба из пушки МП-45 при скорости полета менее 350 км/ч «сопровождается сильной отдачей (сила отдачи 6975 кг. —</w:t>
      </w:r>
      <w:r w:rsidRPr="007224C3">
        <w:rPr>
          <w:rStyle w:val="BodytextItalic"/>
          <w:i w:val="0"/>
          <w:color w:val="000000" w:themeColor="text1"/>
          <w:sz w:val="16"/>
          <w:szCs w:val="16"/>
        </w:rPr>
        <w:t xml:space="preserve"> Авт.),</w:t>
      </w:r>
      <w:r w:rsidRPr="007224C3">
        <w:rPr>
          <w:color w:val="000000" w:themeColor="text1"/>
          <w:sz w:val="16"/>
          <w:szCs w:val="16"/>
        </w:rPr>
        <w:t xml:space="preserve"> самолет раскачива</w:t>
      </w:r>
      <w:r w:rsidRPr="007224C3">
        <w:rPr>
          <w:color w:val="000000" w:themeColor="text1"/>
          <w:sz w:val="16"/>
          <w:szCs w:val="16"/>
        </w:rPr>
        <w:softHyphen/>
        <w:t>ется, летчик движется вперед-назад, что затрудняет прицельную стрельбу». Как отмечалось в отчете по испытаниям, «прицельным может быть только пер</w:t>
      </w:r>
      <w:r w:rsidRPr="007224C3">
        <w:rPr>
          <w:color w:val="000000" w:themeColor="text1"/>
          <w:sz w:val="16"/>
          <w:szCs w:val="16"/>
        </w:rPr>
        <w:softHyphen/>
        <w:t>вый выстрел». Чем больше была скорость полета и угол пикирования, тем меньшее влияние на само</w:t>
      </w:r>
      <w:r w:rsidRPr="007224C3">
        <w:rPr>
          <w:color w:val="000000" w:themeColor="text1"/>
          <w:sz w:val="16"/>
          <w:szCs w:val="16"/>
        </w:rPr>
        <w:softHyphen/>
        <w:t>лет оказывала отдача. Прицельная стрельба была возможна и эффективна только на скоростях более 350 км/ч и при коротких очередях в 2—3 снаряда. Фактически стрельбу из пушки МП-45 можно было вести лишь одиночными выстрелами на скоростях, близких к максимальной скорости. Однако благо</w:t>
      </w:r>
      <w:r w:rsidRPr="007224C3">
        <w:rPr>
          <w:color w:val="000000" w:themeColor="text1"/>
          <w:sz w:val="16"/>
          <w:szCs w:val="16"/>
        </w:rPr>
        <w:softHyphen/>
        <w:t>даря наличию дымного следа от трассера снаряда бледно-розового цвета, хорошо видимого как днем, так и в вечерние и утренние сумерки, вероятность попадания в цель не уменьшалась.</w:t>
      </w:r>
    </w:p>
    <w:p w14:paraId="41C51274" w14:textId="77777777" w:rsidR="00A2482E" w:rsidRPr="007224C3" w:rsidRDefault="00A2482E"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Большая сила отдачи пушки МП-45 оказывала существенное влияние на конструкцию самоле</w:t>
      </w:r>
      <w:r w:rsidRPr="007224C3">
        <w:rPr>
          <w:color w:val="000000" w:themeColor="text1"/>
          <w:sz w:val="16"/>
          <w:szCs w:val="16"/>
        </w:rPr>
        <w:softHyphen/>
        <w:t>та, приводя к течи масла и воды через различные уплотнения и трещины в трубопроводах, радиато</w:t>
      </w:r>
      <w:r w:rsidRPr="007224C3">
        <w:rPr>
          <w:color w:val="000000" w:themeColor="text1"/>
          <w:sz w:val="16"/>
          <w:szCs w:val="16"/>
        </w:rPr>
        <w:softHyphen/>
        <w:t>рах и т.д. В кабину летчика при стрельбе из пушки проникало очень много пороховых газов.</w:t>
      </w:r>
    </w:p>
    <w:p w14:paraId="4061C861" w14:textId="77777777" w:rsidR="00A2482E" w:rsidRPr="007224C3" w:rsidRDefault="00A2482E"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В то же время автоматика пушки работала хоро</w:t>
      </w:r>
      <w:r w:rsidRPr="007224C3">
        <w:rPr>
          <w:color w:val="000000" w:themeColor="text1"/>
          <w:sz w:val="16"/>
          <w:szCs w:val="16"/>
        </w:rPr>
        <w:softHyphen/>
        <w:t>шо при всех условиях полета и стрельбы в возду</w:t>
      </w:r>
      <w:r w:rsidRPr="007224C3">
        <w:rPr>
          <w:color w:val="000000" w:themeColor="text1"/>
          <w:sz w:val="16"/>
          <w:szCs w:val="16"/>
        </w:rPr>
        <w:softHyphen/>
        <w:t>хе. Надежность и живучесть деталей и узлов пушки были в пределах установленных требований.</w:t>
      </w:r>
    </w:p>
    <w:p w14:paraId="0250FBB9" w14:textId="77777777" w:rsidR="00A2482E" w:rsidRPr="007224C3" w:rsidRDefault="00A2482E"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К числу основных недостатков пушки МП-45 и пушечной установки на Як-9т относились из</w:t>
      </w:r>
      <w:r w:rsidRPr="007224C3">
        <w:rPr>
          <w:color w:val="000000" w:themeColor="text1"/>
          <w:sz w:val="16"/>
          <w:szCs w:val="16"/>
        </w:rPr>
        <w:softHyphen/>
        <w:t>лишне большая сила отдачи пушки при стрельбе, ненадежное соединение штока гидротормоза со ствольной коробкой, а также имевшее место разъ</w:t>
      </w:r>
      <w:r w:rsidRPr="007224C3">
        <w:rPr>
          <w:color w:val="000000" w:themeColor="text1"/>
          <w:sz w:val="16"/>
          <w:szCs w:val="16"/>
        </w:rPr>
        <w:softHyphen/>
        <w:t>единение цилиндра подачи приемника с рычагом подачи.</w:t>
      </w:r>
    </w:p>
    <w:p w14:paraId="77D58A72" w14:textId="77777777" w:rsidR="00A2482E" w:rsidRPr="007224C3" w:rsidRDefault="00A2482E"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Начальник НИИ АВ генерал-майор М. В. Гуре- вич в своем докладе заместителю председателя СНК СССР маршалу К. Е. Ворошилову констатиро</w:t>
      </w:r>
      <w:r w:rsidRPr="007224C3">
        <w:rPr>
          <w:color w:val="000000" w:themeColor="text1"/>
          <w:sz w:val="16"/>
          <w:szCs w:val="16"/>
        </w:rPr>
        <w:softHyphen/>
        <w:t>вал: «В результате сравнительных испытаний 45-мм авиапушек ОКБ-15 и ОКБ-16 выявлены преимуще</w:t>
      </w:r>
      <w:r w:rsidRPr="007224C3">
        <w:rPr>
          <w:color w:val="000000" w:themeColor="text1"/>
          <w:sz w:val="16"/>
          <w:szCs w:val="16"/>
        </w:rPr>
        <w:softHyphen/>
        <w:t>ства пушки ОКБ-16 и как удовлетворяющая ТТТ ВВС КА государственные испытания выдержала. Пушка ОКБ-15 из-за малой живучести испытаний не вы</w:t>
      </w:r>
      <w:r w:rsidRPr="007224C3">
        <w:rPr>
          <w:color w:val="000000" w:themeColor="text1"/>
          <w:sz w:val="16"/>
          <w:szCs w:val="16"/>
        </w:rPr>
        <w:softHyphen/>
        <w:t>держала».</w:t>
      </w:r>
    </w:p>
    <w:p w14:paraId="562D37FE" w14:textId="77777777" w:rsidR="00A2482E" w:rsidRPr="007224C3" w:rsidRDefault="00A2482E"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Самолет Як-9т с пушкой МП-45 рекомендовался «в малую серию для дальнейших войсковых испы</w:t>
      </w:r>
      <w:r w:rsidRPr="007224C3">
        <w:rPr>
          <w:color w:val="000000" w:themeColor="text1"/>
          <w:sz w:val="16"/>
          <w:szCs w:val="16"/>
        </w:rPr>
        <w:softHyphen/>
        <w:t>таний во фронтовых условиях» (17500).</w:t>
      </w:r>
    </w:p>
    <w:p w14:paraId="1FC9F081" w14:textId="77777777" w:rsidR="00A2482E" w:rsidRPr="007224C3" w:rsidRDefault="00A2482E" w:rsidP="007224C3">
      <w:pPr>
        <w:spacing w:after="0" w:line="240" w:lineRule="auto"/>
        <w:jc w:val="both"/>
        <w:rPr>
          <w:rFonts w:ascii="Times New Roman" w:eastAsia="Times New Roman" w:hAnsi="Times New Roman"/>
          <w:color w:val="000000" w:themeColor="text1"/>
          <w:sz w:val="16"/>
          <w:szCs w:val="16"/>
          <w:lang w:eastAsia="ru-RU"/>
        </w:rPr>
      </w:pPr>
    </w:p>
    <w:p w14:paraId="211C478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29 марта 1944 увидел свет приказ Наркома ВМФ №0225 "О проектировании и изготовлении в НИИ-20 Наркомэлектропрома образцов и опытных серий РЛС для авиации и ВМФ". Он базировался на постановлении ГКО от 20 марта, так что имел наивысший приоритет выполнения. Одним из пунктов приказа значилось представить к полигонным испытаниям к июню 44-го "самолетную станцию для торпедоносцев обнаружения надводных целей "Гнейс-5м" (конструктор А.А. Фин). По заданию станция должна была иметь следующие ТТХ: дальность обнаружения эсминца - 30 км, подводной лодки - 10 км, определять пеленг на цель с ошибкой не более 5', иметь возможность размещения на двухмоторном самолете и питаться от его бортовой электросети. НИИ-20 обязывался сдать флоту в течение первого полугодия 10, второго полугодия - 20 станций "Гнейс-5м". Выполнение заказа несколько затянулось, но 18.7.1944 очередным приказом предписывалось провести государственные испытания на базе НИИ-20 в течение 20 дней. Они завершились успешно и по плану распределения РЛС в IV квартале года ВМФ должен был получить пять первых комплектов. Испытания новой станции, по-видимому, снова проводились на Каспии. В приказе о принятии ее на вооружение (НК ВМФ №0069 </w:t>
      </w:r>
      <w:r w:rsidRPr="007224C3">
        <w:rPr>
          <w:rFonts w:ascii="Times New Roman" w:hAnsi="Times New Roman"/>
          <w:color w:val="000000" w:themeColor="text1"/>
          <w:sz w:val="16"/>
          <w:szCs w:val="16"/>
        </w:rPr>
        <w:lastRenderedPageBreak/>
        <w:t>от 19.4.1945) указывались основные ТТХ: дальность обнаружения транспорта 9-12 000 т - 36 км, корабля водоизмещением 750 т - 28 км, катера 50 т - 10,5 км, ширина просматриваемой полосы - 30 км, дальность обнаружения береговой черты - 60 км, наивыгоднейшая высота поиска, от 800 до 4000 м. На войсковые испытания новая станция попала в том же месяце. Проводили их на базе 1-го гмтап ВВС КБФ, который к тому времени оставался единственным действующим флотом. 27 и 28 апреля торпедоносец, пилотировавшийся Героем Советского Союза A.M. Гагиевым, дважды совершал торпедные атаки, отыскав цели в сложных метеоусловиях благодаря "Гнейс-5м", но успеха не добился. Таким образом, отечественная наука решила задачу обеспечения МТА радиолокационной станцией, обладавшей вполне удовлетворительными характеристиками, но произошло это всего за 20 дней до окончания войны (12002).</w:t>
      </w:r>
    </w:p>
    <w:p w14:paraId="54F1B90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853FBFC"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28F6E67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2F416A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марта 1944 вышло Распоряжение ГКО № 5504. О продлении до 1 октября 1944 г. срока работы 100 рабочих, мобилизованных на строительство цеха завода "Новатор" НКлеса СССР Вологодской обл. РГАНИР, Фонд ГКО, д. 222, лл. 107 (11012).</w:t>
      </w:r>
    </w:p>
    <w:p w14:paraId="09150F8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802981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марта 1944 вышло Постановление ГКО № 5509 О первоочередных мероприятиях по восстановлению промышленности и городского хозяйства Ленинграда в 1944 году. РГАНИР, Фонд ГКО, д. 222, лл. 131-151,152-239 (11012).</w:t>
      </w:r>
    </w:p>
    <w:p w14:paraId="6691C4E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13CD41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марта 1944 г. по распоряжению СНК СССР на базе Та</w:t>
      </w:r>
      <w:r w:rsidRPr="007224C3">
        <w:rPr>
          <w:rFonts w:ascii="Times New Roman" w:hAnsi="Times New Roman"/>
          <w:color w:val="000000" w:themeColor="text1"/>
          <w:sz w:val="16"/>
          <w:szCs w:val="16"/>
        </w:rPr>
        <w:softHyphen/>
        <w:t>ганрогского судоремонтного завода был создан Азовский филиал архангельского завода "Красная кузница", который сразу же приступил к постройке крупнотоннажньхх морских барж (3898).</w:t>
      </w:r>
    </w:p>
    <w:p w14:paraId="15A1A3A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108FC4"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176843D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5FF1AB9" w14:textId="77777777" w:rsidR="004F35D0" w:rsidRPr="007224C3" w:rsidRDefault="004F35D0"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29 марта</w:t>
      </w:r>
      <w:r w:rsidRPr="007224C3">
        <w:rPr>
          <w:rFonts w:ascii="Times New Roman" w:hAnsi="Times New Roman"/>
          <w:color w:val="000000" w:themeColor="text1"/>
          <w:sz w:val="16"/>
          <w:szCs w:val="16"/>
        </w:rPr>
        <w:t xml:space="preserve"> в 1944 году оперативная сводка Совинформбюро:</w:t>
      </w:r>
    </w:p>
    <w:p w14:paraId="76B0E499" w14:textId="77777777" w:rsidR="004F35D0" w:rsidRPr="007224C3" w:rsidRDefault="004F35D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1-го Украинского фронта в результате умелого манёвра танковых соединений и пехоты овладели городом и крупным железнодорожным узлом Коломыя — важным опорным пунктом обороны немцев в предгорьях Карпат. В боях за город Коломыя, по предварительным данным, нашими войсками захвачены следующие трофеи: исправных танков типа «Тигр» — 13, железнодорожных эшелонов с военными грузами —15, паровозов — 45, складов разных — 10, автомашин — 450 и много другого военного имущества.</w:t>
      </w:r>
    </w:p>
    <w:p w14:paraId="7B3EC707" w14:textId="77777777" w:rsidR="004F35D0" w:rsidRPr="007224C3" w:rsidRDefault="004F35D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29 марта войска 1-го Украинского фронта, продолжая наступление, овладели районными центрами Каменец-Подольской области Солобковцы, Старая Ушица. Войска фронта форсировали реку ПРУТ, подошли к городу Черновицы и завязали бои на его окраинах.</w:t>
      </w:r>
    </w:p>
    <w:p w14:paraId="326644B7" w14:textId="77777777" w:rsidR="004F35D0" w:rsidRPr="007224C3" w:rsidRDefault="004F35D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города Могилёв-Подольский наши войска, продолжая наступление, овладели населёнными пунктами Коновка, Перковцы, Ливинцы, Михайловка, Толбуряны, Балковцы, Ларга, Белявинцы, Шировцы, Перерита.</w:t>
      </w:r>
    </w:p>
    <w:p w14:paraId="1866ECFC" w14:textId="77777777" w:rsidR="004F35D0" w:rsidRPr="007224C3" w:rsidRDefault="004F35D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югу и востоку от города Бельцы наши войска с боями продвигались вперёд и овладели районными центрами Молдавской ССР Кишкарени, Сынджерей, Котюжаны, а также заняли более 30 других населённых пунктов.</w:t>
      </w:r>
    </w:p>
    <w:p w14:paraId="3F9E447B" w14:textId="77777777" w:rsidR="004F35D0" w:rsidRPr="007224C3" w:rsidRDefault="004F35D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города Первомайск наши войска, продолжая наступление, овладели районными центрами Одесской области городом Балта, Кривое Озеро, Большая Врадиевка, а также с боями заняли более 40 других населённых пунктов, в том числе крупные населённые пункты Любомирка, Посицелы 1-е и 2-е, Жеребково, Михайловка, Гвоздавка, Ивановка, Сырово, Адамовка, Мариновка и железнодорожные станции Кирилловка, Большая Врадиевка, Сырово, Заплазы, Чихачёво, Жеребково, Перелет, Балта.</w:t>
      </w:r>
    </w:p>
    <w:p w14:paraId="35B600B8" w14:textId="77777777" w:rsidR="004F35D0" w:rsidRPr="007224C3" w:rsidRDefault="004F35D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западу, югу и юго-востоку от города Вознесенск наши войска, успешно развивая наступление, с боями заняли более 80 населённых пунктов, в том числе крупные населённые пункты Царедаровка, Копани, Новосёловка, Александровка, Владимировка, Лидиевка, Молдавка, Старая Кантакузенка, Дмитриевка, Новое Воскресенское, Покровское, Катериненталь, Карлсруе, Ковалёвка, Терноватая и железнодорожные станции Ястребиновка, Молдавка.</w:t>
      </w:r>
    </w:p>
    <w:p w14:paraId="22466B1D" w14:textId="77777777" w:rsidR="004F35D0" w:rsidRPr="007224C3" w:rsidRDefault="004F35D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шли бои местного значения.</w:t>
      </w:r>
    </w:p>
    <w:p w14:paraId="0287E9F7" w14:textId="77777777" w:rsidR="004F35D0" w:rsidRPr="007224C3" w:rsidRDefault="004F35D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28 марта наши войска на всех фронтах подбили и уничтожили 35 немецких танков. В воздушных боях и огнём зенитной артиллерии сбито 38 самолётов противника.</w:t>
      </w:r>
    </w:p>
    <w:p w14:paraId="33276593" w14:textId="77777777" w:rsidR="004F35D0" w:rsidRPr="007224C3" w:rsidRDefault="004F35D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1-го Украинского фронта продолжали успешное наступление. За Днестром наши танкисты и пехотинцы, стремительно продвигаясь вперёд, с хода ворвались в город Коломыя. Внезапное появление наших войск в городе вызвало панику среди гитлеровцев. Советские бойцы разгромили немецкий гарнизон и овладели крупным узлом железных и шоссейных дорог — городом Коломыя. Захвачены трофеи и много пленных.</w:t>
      </w:r>
    </w:p>
    <w:p w14:paraId="09707EC4" w14:textId="77777777" w:rsidR="004F35D0" w:rsidRPr="007224C3" w:rsidRDefault="004F35D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Наши войска, овладев районным центром Садагура, вышли на левый берег реки Прут и завязали бои за мост, ведущий в город Черновицы с севера. Сегодня бойцы Н-ской части штурмом прорвались через мост и ведут бои на северной окраине города. В то же время наши танковые силы и мотопехота форсировали реку вброд западнее Черновиц и завязали бои на западной окраине города. В ходе этих боёв противник несёт большие потери в живой силе.</w:t>
      </w:r>
    </w:p>
    <w:p w14:paraId="3BBBDED3" w14:textId="77777777" w:rsidR="004F35D0" w:rsidRPr="007224C3" w:rsidRDefault="004F35D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Гвардейское стрелковое соединение, действующее совместно с танкистами южнее Ярмолинц, за три дня боёв истребило до 2.000 гитлеровцев, уничтожило несколько десятков немецких танков и свыше 1.500 автомашин. Захвачены у противника танки, орудия, тракторы-тягачи, бронетранспортёры и склады с различным военным имуществом.</w:t>
      </w:r>
    </w:p>
    <w:p w14:paraId="31601247" w14:textId="77777777" w:rsidR="004F35D0" w:rsidRPr="007224C3" w:rsidRDefault="004F35D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Советские части, продвигаясь вдоль левого берега реки Днестр на запад, овладели районным центром Каменец-Подольской области Старая Ушица, а такж езаняли ряд других населённых пунктов. За день боёв уничтожено 800 гитлеровцев. Захвачено у немцев 8 танков, 37 орудий, 86 миномётов, свыше 200 пулемётов и 7 складов с боеприпасами.</w:t>
      </w:r>
    </w:p>
    <w:p w14:paraId="4DAA0E86" w14:textId="77777777" w:rsidR="004F35D0" w:rsidRPr="007224C3" w:rsidRDefault="004F35D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югу и востоку от города Бельцы наши войска продолжали наступление. На одном участке противник бросил в контратаку крупные силы пехоты. Наши бойцы подпустили гитлеровцев на близкое расстояние и открыли огонь из всех видов оружия. Немцы поспешно отступили, оставив на поле боя сотни убитых и раненых солдат и офицеров. На другом участке наши наступающие части в коротком встречном бою разгромили кавалерийский румынский полк. Бойцы Н-ского соединения за последние дни захватили 28 танков, 6 самоходных и 60 полевых орудий, 400 автомашин, 14 артиллерийских и продовольственных складов. Взято в плен свыше 1.500 немецких солдат и офицеров.</w:t>
      </w:r>
    </w:p>
    <w:p w14:paraId="0FFC17A1" w14:textId="77777777" w:rsidR="004F35D0" w:rsidRPr="007224C3" w:rsidRDefault="004F35D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города Первомайск наши войска вели успешные наступательные бои.Н есколько дней назад советские части, совершив обходный манёвр, окружили районный центр Одесской области город Балта. Многочисленный вражеский гарнизон, состоявший из подразделений танковой дивизии СС «Мёртвая голова», 11 танковойдивизии и курсантов унтер-офицерской школы, оказывал упорное сопротивление. В результате штурма и ожесточённых уличных боёв советские бойцы сегодня разгромили немецкий гарнизон и овладели городом Балта. Лишь отдельным мелким группам немцев удалось бежать через балки, бросив всю свою боевую технику. Взято несколько сот пленных и среди них много эсэсовцев. На улицах города Балта подсчитано свыше 2.000 вражеских трупов.</w:t>
      </w:r>
    </w:p>
    <w:p w14:paraId="55233302" w14:textId="77777777" w:rsidR="004F35D0" w:rsidRPr="007224C3" w:rsidRDefault="004F35D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Авиация Ленинградского фронта совершила налёт на крупный немецкий аэродром, расположенный в глубоком тылу противника. Одну группу бомбардировщиков вели лётчик Герой Советского Союза гвардии майор Стольников и штурман гвардии майор Козельков, другую — лётчик гвардии майор Тузов и штурман гвардии капитан Вдовиченко. Несмотря на неблагоприятные метеорологические условия, все советские самолёты точно по курсу вышли к намеченному объекту и обрушили бомбовый груз на аэродром, на котором находилось около 60 самолётов противника. Уничтожено на земле 22 немецких самолёта. В воздушном бою над аэродромом наши истребители сбили 3 самолёта противника.</w:t>
      </w:r>
    </w:p>
    <w:p w14:paraId="4268C46B" w14:textId="77777777" w:rsidR="004F35D0" w:rsidRPr="007224C3" w:rsidRDefault="004F35D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рассвете 28 марта самолёты-разведчики Краснознамённого Балтийского флота обнаружили в Нарвском заливе несколько групп немецких кораблей. В течение всегодня наши пикирующие бомбардировщики и штурмовики наносили удары по судам противника и прямым попаданием бомб потопили два сторожевых корабля, три тральщика и два сторожевых катера.</w:t>
      </w:r>
    </w:p>
    <w:p w14:paraId="48441DE7" w14:textId="77777777" w:rsidR="004F35D0" w:rsidRPr="007224C3" w:rsidRDefault="004F35D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Украинский партизанский отряд 15 марта совершил смелый налёт на гарнизон противника, расположенный в населённом пункте Каменец-Подольской области. Партизаны уничтожили до роты немецкой пехоты. Партизаны другого украинского отряда в бою с отступающими частями и обозами противника истребили до 200 гитлеровцев и захватили 230 повозок с военными грузами. Взято в плен 90 немцев. Советские патриоты освободили свыше 5.000 местных жителей, которых немцы угоняли на каторгу в Германию.» (15083).</w:t>
      </w:r>
    </w:p>
    <w:p w14:paraId="783C095F" w14:textId="77777777" w:rsidR="004F35D0" w:rsidRPr="007224C3" w:rsidRDefault="004F35D0" w:rsidP="007224C3">
      <w:pPr>
        <w:spacing w:after="0" w:line="240" w:lineRule="auto"/>
        <w:jc w:val="both"/>
        <w:rPr>
          <w:rFonts w:ascii="Times New Roman" w:hAnsi="Times New Roman"/>
          <w:color w:val="000000" w:themeColor="text1"/>
          <w:sz w:val="16"/>
          <w:szCs w:val="16"/>
        </w:rPr>
      </w:pPr>
    </w:p>
    <w:p w14:paraId="32407547" w14:textId="77777777" w:rsidR="008079B6" w:rsidRPr="007224C3" w:rsidRDefault="008079B6" w:rsidP="007224C3">
      <w:pPr>
        <w:pStyle w:val="ae"/>
        <w:shd w:val="clear" w:color="auto" w:fill="FFFFFF"/>
        <w:spacing w:before="0" w:after="0"/>
        <w:jc w:val="both"/>
        <w:rPr>
          <w:color w:val="000000" w:themeColor="text1"/>
          <w:sz w:val="16"/>
          <w:szCs w:val="16"/>
        </w:rPr>
      </w:pPr>
      <w:r w:rsidRPr="007224C3">
        <w:rPr>
          <w:color w:val="000000" w:themeColor="text1"/>
          <w:sz w:val="16"/>
          <w:szCs w:val="16"/>
        </w:rPr>
        <w:t>29 марта 1944 года 54-й отдельный танковый полк при переформировании получил 20 таких Матильда 9. На каждый танк было получено всего по 8 осколочно-фугасных снарядов, но и это уже было хоть что-то. Стоит отметить, что до этого полк воевал на лёгких танках Т-80, поэтому вряд ли там восприняли английскую машину как более плохую. Действуя в составе 12-й гвардейской кавалерийской дивизии, полк в основном воевал с пехотой и артиллерией противника. К 14 мая в его составе оставалось 12 Valentine IX. Эти машины в войсках обычно обозначались как MK-IX, МК9 или Mk-9. Стоит отметить, что в танковых полках при кавалерийских частях таких танков было довольно много. Например, в 61-м отдельном танковом полку по состоянию на 8 июля 1944 года имелось 15 МК9.</w:t>
      </w:r>
    </w:p>
    <w:p w14:paraId="6DDFF0B1" w14:textId="77777777" w:rsidR="008079B6" w:rsidRPr="007224C3" w:rsidRDefault="008079B6" w:rsidP="007224C3">
      <w:pPr>
        <w:pStyle w:val="ae"/>
        <w:shd w:val="clear" w:color="auto" w:fill="FFFFFF"/>
        <w:spacing w:before="0" w:after="0"/>
        <w:jc w:val="both"/>
        <w:rPr>
          <w:color w:val="000000" w:themeColor="text1"/>
          <w:sz w:val="16"/>
          <w:szCs w:val="16"/>
        </w:rPr>
      </w:pPr>
      <w:r w:rsidRPr="007224C3">
        <w:rPr>
          <w:color w:val="000000" w:themeColor="text1"/>
          <w:sz w:val="16"/>
          <w:szCs w:val="16"/>
        </w:rPr>
        <w:t>Несмотря на определённые проблемы, английские лёгкие танки, вооружённые 57-мм пушками, оставили в Красной армии о себе добрую память. Довольно низкая и тихая в движении машина неплохо справлялась со своими обязанностями. Тихоходность её была относительной: при движении по бездорожью и просёлку разница в скорости с другими танками оказывалась не столь и существенной. Кроме того, «Валентины» отличались довольно высокой надёжностью, особенно если их эксплуатировали в соответствии с инструкциями. Неудивительно, что много этих танков оставалось в строю и в 1945 году.</w:t>
      </w:r>
    </w:p>
    <w:p w14:paraId="4321B694" w14:textId="77777777" w:rsidR="008079B6" w:rsidRPr="007224C3" w:rsidRDefault="008079B6" w:rsidP="007224C3">
      <w:pPr>
        <w:pStyle w:val="ae"/>
        <w:shd w:val="clear" w:color="auto" w:fill="FFFFFF"/>
        <w:spacing w:before="0" w:after="0"/>
        <w:jc w:val="both"/>
        <w:rPr>
          <w:color w:val="000000" w:themeColor="text1"/>
          <w:sz w:val="16"/>
          <w:szCs w:val="16"/>
        </w:rPr>
      </w:pPr>
      <w:r w:rsidRPr="007224C3">
        <w:rPr>
          <w:color w:val="000000" w:themeColor="text1"/>
          <w:sz w:val="16"/>
          <w:szCs w:val="16"/>
        </w:rPr>
        <w:lastRenderedPageBreak/>
        <w:t>До наших дней дожил всего один Valentine IX, воевавший в составе Красной армии. В январе 1945 года эта машина провалилась в реку Варта, сражаясь на территории Польши. Танк с WD-номером T.122834, изготовленный в феврале 1943 года Elswick Works, прибыл в СССР через Иран 29 декабря 1943 года. Сейчас он находится на реставрации у одного из польских коллекционеров (17709).</w:t>
      </w:r>
    </w:p>
    <w:p w14:paraId="7F662467" w14:textId="77777777" w:rsidR="008079B6" w:rsidRPr="007224C3" w:rsidRDefault="008079B6" w:rsidP="007224C3">
      <w:pPr>
        <w:spacing w:after="0" w:line="240" w:lineRule="auto"/>
        <w:jc w:val="both"/>
        <w:rPr>
          <w:rFonts w:ascii="Times New Roman" w:eastAsia="Times New Roman" w:hAnsi="Times New Roman"/>
          <w:color w:val="000000" w:themeColor="text1"/>
          <w:sz w:val="16"/>
          <w:szCs w:val="16"/>
          <w:lang w:eastAsia="ru-RU"/>
        </w:rPr>
      </w:pPr>
    </w:p>
    <w:p w14:paraId="0C8F7F0E"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марта 1944 вышло Распоряжение ГКО № 5505 [Об обязанности Тыла КА сохранить все заготовленное сено, а не передавать часть его колхозам и совхозам.] (7202, 108).</w:t>
      </w:r>
    </w:p>
    <w:p w14:paraId="7809E478"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E8ECC20"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марта 1944 вышло Постановление ГКО № 5506 О передислокации Артиллерийской ордена Ленина академии им. Дзержинского из гор. Самарканда Уз[бекской] ССР в гор. Москву. (7202, 109-111,112-119).</w:t>
      </w:r>
    </w:p>
    <w:p w14:paraId="3739BD45"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1ECB25"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марта 1944 вышло Постановление ГКО № 5507 Об усилении противовоздушной обороны Ленинграда. (7202, 120-123).</w:t>
      </w:r>
    </w:p>
    <w:p w14:paraId="6164246E"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9D66F91"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марта 1944 вышло Постановление ГКО № 5508 О мероприятиях по улучшению управления действующими войсками ПВО Красной Армии. (7202, 124-130).</w:t>
      </w:r>
    </w:p>
    <w:p w14:paraId="12830531"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76AD16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марта 1944 1УФ (Г.К.Ж.) освободил Черновцы (3398,129).</w:t>
      </w:r>
    </w:p>
    <w:p w14:paraId="67F0943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72F17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марта 1944 года постановлением ГКО “О мероприятиях по улучшению управления действующими войсками ПВО” Западный фронт ПВО реорганизован в Северный фронт ПВО, Восточный фронт ПВО реорганизован в Южный фронт ПВО, Закавказская зона ПВО реорганизована в Закавказский фронт ПВО (10109).</w:t>
      </w:r>
    </w:p>
    <w:p w14:paraId="3BA6939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78B92A" w14:textId="77777777" w:rsidR="00A76CAC" w:rsidRPr="007224C3" w:rsidRDefault="00A76CAC"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Жизнь и внутренняя политика:</w:t>
      </w:r>
    </w:p>
    <w:p w14:paraId="3264214D" w14:textId="77777777" w:rsidR="00A76CAC" w:rsidRPr="007224C3" w:rsidRDefault="00A76CAC"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65E64C9" w14:textId="77777777" w:rsidR="00A76CAC" w:rsidRPr="007224C3" w:rsidRDefault="00A76CA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марта 1944 г. постановлением ГКО СССР № 5509сс «О первоочередных мерах по восстановлению промышленности и городского хозяйства Ленинграда в 1944 году».</w:t>
      </w:r>
    </w:p>
    <w:p w14:paraId="2E4D41E2" w14:textId="77777777" w:rsidR="00A76CAC" w:rsidRPr="007224C3" w:rsidRDefault="00A76CA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Предусматривалось развитие ленинградских электротехнических заводов до уровня, обеспечивающего выполнение плана производства валовой продукции в размере 239 млн. руб. С этой целью для предприятий Ленинграда целевым назначением предписывалось поставить за счет фондов НКЭП в течение года 460 единиц различного металлообрабатывающего оборудования. Еще 307 станков предстояло поставить самому наркомату электропромышленности из числа незагруженных на других заводах, а 68 – капитально отремонтировать. Для электропромышленности Ленинграда утверждался план капитальных работ на 1945 г. в размере 45 млн. руб., при этом внимание было уделено восстановлению не только производственной, но и социальной инфраструктуры отрасли (18297).</w:t>
      </w:r>
    </w:p>
    <w:p w14:paraId="64E54893" w14:textId="77777777" w:rsidR="00A76CAC" w:rsidRPr="007224C3" w:rsidRDefault="00A76CAC" w:rsidP="007224C3">
      <w:pPr>
        <w:spacing w:after="0" w:line="240" w:lineRule="auto"/>
        <w:jc w:val="both"/>
        <w:rPr>
          <w:rFonts w:ascii="Times New Roman" w:hAnsi="Times New Roman"/>
          <w:color w:val="000000" w:themeColor="text1"/>
          <w:sz w:val="16"/>
          <w:szCs w:val="16"/>
        </w:rPr>
      </w:pPr>
    </w:p>
    <w:p w14:paraId="4B1E2890"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5F06EB2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7777ADA" w14:textId="77777777" w:rsidR="004F35D0" w:rsidRPr="007224C3" w:rsidRDefault="004F35D0"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29 марта</w:t>
      </w:r>
      <w:r w:rsidRPr="007224C3">
        <w:rPr>
          <w:rFonts w:ascii="Times New Roman" w:hAnsi="Times New Roman"/>
          <w:color w:val="000000" w:themeColor="text1"/>
          <w:sz w:val="16"/>
          <w:szCs w:val="16"/>
        </w:rPr>
        <w:t xml:space="preserve"> в 1944 году был подписан контракт на постройку двух прототипов «ХР-83» (15083).</w:t>
      </w:r>
    </w:p>
    <w:p w14:paraId="2DB0CE92" w14:textId="77777777" w:rsidR="004F35D0" w:rsidRPr="007224C3" w:rsidRDefault="004F35D0" w:rsidP="007224C3">
      <w:pPr>
        <w:spacing w:after="0" w:line="240" w:lineRule="auto"/>
        <w:jc w:val="both"/>
        <w:rPr>
          <w:rFonts w:ascii="Times New Roman" w:hAnsi="Times New Roman"/>
          <w:color w:val="000000" w:themeColor="text1"/>
          <w:sz w:val="16"/>
          <w:szCs w:val="16"/>
        </w:rPr>
      </w:pPr>
    </w:p>
    <w:p w14:paraId="2164A43A" w14:textId="77777777" w:rsidR="00003C7F" w:rsidRPr="007224C3" w:rsidRDefault="00003C7F"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29–30 марта (ночь) 1944 84 британских бомбардировщика совершают ночную атаку на железнодорожные станции в Вере, Франция, в результате чего взорвались два эшелона с боеприпасами. Один бомбардировщик не возвращается (20373).</w:t>
      </w:r>
    </w:p>
    <w:p w14:paraId="2CFD03C9" w14:textId="77777777" w:rsidR="00003C7F" w:rsidRPr="007224C3" w:rsidRDefault="00003C7F" w:rsidP="007224C3">
      <w:pPr>
        <w:spacing w:after="0" w:line="240" w:lineRule="auto"/>
        <w:jc w:val="both"/>
        <w:rPr>
          <w:rFonts w:ascii="Times New Roman" w:hAnsi="Times New Roman"/>
          <w:color w:val="0070C0"/>
          <w:sz w:val="16"/>
          <w:szCs w:val="16"/>
        </w:rPr>
      </w:pPr>
    </w:p>
    <w:p w14:paraId="01871123" w14:textId="77777777" w:rsidR="00003C7F" w:rsidRPr="007224C3" w:rsidRDefault="00003C7F"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29–30 марта (ночь) 1944 по 1–2 апреля (ночь) 1944 американские бомбардировщики, базирующиеся в Кваджалейне, совершают ночные атаки на атолл Трук четыре вечера подряд (20373).</w:t>
      </w:r>
    </w:p>
    <w:p w14:paraId="35A91A65" w14:textId="77777777" w:rsidR="00003C7F" w:rsidRPr="007224C3" w:rsidRDefault="00003C7F" w:rsidP="007224C3">
      <w:pPr>
        <w:spacing w:after="0" w:line="240" w:lineRule="auto"/>
        <w:jc w:val="both"/>
        <w:rPr>
          <w:rFonts w:ascii="Times New Roman" w:hAnsi="Times New Roman"/>
          <w:color w:val="0070C0"/>
          <w:sz w:val="16"/>
          <w:szCs w:val="16"/>
        </w:rPr>
      </w:pPr>
    </w:p>
    <w:p w14:paraId="7F90E4CE" w14:textId="77777777" w:rsidR="00003C7F" w:rsidRPr="007224C3" w:rsidRDefault="00003C7F"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29-30 марта 1944 самолеты совершают дневные рейды против японских баз на Трук Атолл (20373).</w:t>
      </w:r>
    </w:p>
    <w:p w14:paraId="74A6A1E0" w14:textId="77777777" w:rsidR="00003C7F" w:rsidRPr="007224C3" w:rsidRDefault="00003C7F" w:rsidP="007224C3">
      <w:pPr>
        <w:spacing w:after="0" w:line="240" w:lineRule="auto"/>
        <w:jc w:val="both"/>
        <w:rPr>
          <w:rFonts w:ascii="Times New Roman" w:hAnsi="Times New Roman"/>
          <w:color w:val="0070C0"/>
          <w:sz w:val="16"/>
          <w:szCs w:val="16"/>
        </w:rPr>
      </w:pPr>
    </w:p>
    <w:p w14:paraId="72F1748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марта 1944 в Северо-восточной Индии началось сражение за Импалу и длилось до 22 июня. Японские войска окружили город (3907,248).</w:t>
      </w:r>
    </w:p>
    <w:p w14:paraId="34114A4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5C0FDE"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64D96B5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3F81BE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марта 1944-го успешно закончились госиспытания тяжелого штурмовика Ил-8 с АМ-42 (первый опытный экземпляр), которые проходили с 29 февраля 1944 несмотря на дефекты мотора (дымление, тряска, засорение воздушных клапанов карбюраторов, быстрый износ поршневых колец и т.д.</w:t>
      </w:r>
    </w:p>
    <w:p w14:paraId="605386A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Ведущий летчик-испытатель - А.К.Долгов, ведущий инженер - П.Т.Аброщенко. Самолет был рекомендован к запуску в серийное производство в вариантах тяжелого штурмовика-бомбардировщика и разведчика-корректировщика.</w:t>
      </w:r>
    </w:p>
    <w:p w14:paraId="7F6243D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своим пилотажным свойствам штурмовик оказался в целом простым и достаточно легким в управлении. Основные летно-технические данные Ил-8 заметно превосходили Ил-2, хотя уже и не отвечали в полном объеме современным требованиям.</w:t>
      </w:r>
    </w:p>
    <w:p w14:paraId="77D129E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нормальном взлетном весе 7260 кг (против 6160 кг у Ил-2 АМ-38ф) новый штурмовик имел максимальную скорость 472 км/ч на высоте 2500 м (у Ил-2 - 416 км/ч на высоте 1400 м). Дальность же полета Ил-8 почти в два раза превысила таковую у Ил-2 и составила 1180 км.</w:t>
      </w:r>
    </w:p>
    <w:p w14:paraId="2E426A8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Однако его маневренность в вертикальной и горизонтальной плоскостях была хуже, чем у Ил-2, и была явно недостаточной для условий боевых действий заключительного периода войны.</w:t>
      </w:r>
    </w:p>
    <w:p w14:paraId="44FC7EA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серию Ил-8 не пошел. Было решено путем улучшения аэродинамики повысить его основные летные данные.</w:t>
      </w:r>
    </w:p>
    <w:p w14:paraId="2593917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соответствии с этим решением на втором опытном самолете Ил-8 АМ-42 была полностью перекомпонована система охлаждения и смазки мотора, установлены новые крыло, оперение и шасси, доработаны элероны, рули высоты и направления, внесены изменения в оборудование самолета, трехлопастный воздушный винт был заменен на четырехлопастный.</w:t>
      </w:r>
    </w:p>
    <w:p w14:paraId="293FDF3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Общий вес брони на самолете увеличился до 1120 кг. Распределение толщины брони было сделано с учетом опыта боевого применения штурмовика Ил-2.</w:t>
      </w:r>
    </w:p>
    <w:p w14:paraId="126407A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Мотор и агрегаты прикрывались снизу и с боков броней толщиной 4, б и 8 мм. Наиболее поражаемые участки бронекорпуса штурмовика (снизу с боку) имели толщину брони 8 мм.</w:t>
      </w:r>
    </w:p>
    <w:p w14:paraId="2287032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Верхняя часть бронекорпуса, имевшая поверхность двойной кривизны, выполнялась из дюралюмино-вых листов толщиной от 1,5 до 4,0 мм.</w:t>
      </w:r>
    </w:p>
    <w:p w14:paraId="3091262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Дело в том, что верхняя передняя часть бронекорпуса Ил-2, как показал опыт его боевого применения, практически не поражалась в воздушных боях.</w:t>
      </w:r>
    </w:p>
    <w:p w14:paraId="4B7122A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Кабина пилота с боков и снизу бронировалась листами толщиной 4,5 и б мм. Козырек фонаря пилота выполнялся из 64-мм прозрачной брони с металлической окантовкой.</w:t>
      </w:r>
    </w:p>
    <w:p w14:paraId="4E4AFF8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Боковые крышки фонаря выполнялись из металлической брони (толщиной б мм) и плексигласа. Сбоку фонаря имелись сдвижные форточки. Сверху над головой пилота устанавливалась бронеплита толщиной 8 мм.</w:t>
      </w:r>
    </w:p>
    <w:p w14:paraId="2E3A24A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сравнении с первой опытной машиной, со стороны задней полусферы пилот и штурман-стрелок прикрывались, защищались более эффективными бронестенками, образованными двумя рядом стоящими бронеплитами толщиной по 8 мм каждая, с промежутком между ними.</w:t>
      </w:r>
    </w:p>
    <w:p w14:paraId="079DEEF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Такая схема бронирования эффективно защищала стрелка и пилота от поражения 20-мм снарядов авиапушек. Снизу и с боков стрелок прикрывался броней 4 и 6 мм.</w:t>
      </w:r>
    </w:p>
    <w:p w14:paraId="50E6609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Отметим, что в дальнейшем при запуске Ил-8-го в серийное производство защиту стрелка со стороны задней полусферы предполагалось усилить путем установки двух бронеплит толщиной 4 мм (внутренняя бронеплита) и 12 мм (внешняя бронеплита), отстоящих друг от друга на небольшом расстоянии.</w:t>
      </w:r>
    </w:p>
    <w:p w14:paraId="3113496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Полигонные испытания показали, что бронестойкость системы броне-листов при неизменном расстоянии между ними значительно повышается, если увеличивать разнос толщин листов.</w:t>
      </w:r>
    </w:p>
    <w:p w14:paraId="4BF4E7F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этом случае разворот оси снаряда при прохождении последнего через внешнюю бронеплиту (толщина 12 мм), играющей роль своеобразного экрана, существенно увеличивался, а это приводило к резкому снижению бронепробиваемых свойств снаряда.</w:t>
      </w:r>
    </w:p>
    <w:p w14:paraId="0D74A56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Воздух для охлаждения радиаторов модифицированного штурмовика Ил-8 АМ-42, поступал теперь по двум тоннелям: справа и слева от мотора.</w:t>
      </w:r>
    </w:p>
    <w:p w14:paraId="4EF97D9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Вход в тоннель образовывался вырезом в носке центроплана и углублением в боковой части капота мотора.</w:t>
      </w:r>
    </w:p>
    <w:p w14:paraId="5453CD4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правому тоннелю подводился воздух только к трубчато-пластинча-тому водорадиатору (фронтовая поверхность 5ф=33,5 дм2), а по левому, имевшему два рукава, - к водо- и мас-лорадиаторам (фронтовая поверхность маслорадиатора 5ф=12 дм2).</w:t>
      </w:r>
    </w:p>
    <w:p w14:paraId="2DF77C0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Температура воды и масла регулировалась открытием бронезаслонок на выходе тоннеля. Бронезаслонки (толщина брони 5 и б мм) управлялись из кабины пилота. Снизутоннели прикрывались б-мм броней, а с боков -4-мм броневым корпусом. Со стороны заднего лонжерона тоннели прикрывались б-мм броней.</w:t>
      </w:r>
    </w:p>
    <w:p w14:paraId="0A5D105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Такое компоновочное решение позволило сделать более плавными обводы бронекорпуса, чем у первого опытного Ил-8, а более выгодная в аэродинамическом отношении схема продува радиаторов уменьшило их размеры и сопротивление.</w:t>
      </w:r>
    </w:p>
    <w:p w14:paraId="2F48117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На самолете установили более совершенные пушки конструкции А. Нудельмана и А. Суранова НС-23 калибра 23 мм с боезапасом 300 снарядов, прошедших к 4 мая 1944 г. весь комплекс наземных, а к 7 мая 44-го - и летных государственных испытаний на истребителе Як-9.</w:t>
      </w:r>
    </w:p>
    <w:p w14:paraId="7AD245A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Пушки НС-23 были разработаны в ОКБ-16 под новый 23-мм патрон с уменьшенным зарядом и имели, по сравнению с ВЯ-23, почти вдвое меньший вес (37,5-38,2 кг) и в 1,6 раз меньшую отдачу при стрельбе.</w:t>
      </w:r>
    </w:p>
    <w:p w14:paraId="6FC853C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Это обстоятельство позволило спроектировать на штурмовике более простую и легкую крыльевую пушечную установку, значительно упрощавшую эксплуатацию новых пушек.</w:t>
      </w:r>
    </w:p>
    <w:p w14:paraId="7342768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 два оружейника могли, примерно, за 10 мин демонтировать обе пушки, уложить снаряды в патронные ящики, смонтировать и зарядить пушки. Аналогичная работа на штурмовике Ил-2 с пушками ВЯ требовала не менее 30 мин.</w:t>
      </w:r>
    </w:p>
    <w:p w14:paraId="57C9B0F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Главное же преимущество при установке на новый штурмовик пушек НС-23 заключалось в повышении точности стрельбы из них, так как рассеивание снарядов при автоматической стрельбе из них с самолета было примерно в 2-3 раза меньше, чем у пушек ВЯ.</w:t>
      </w:r>
    </w:p>
    <w:p w14:paraId="6F960BA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Два крыльевых пулемета ШКАС так же, как и на серийных Ил-2, имели суммарный боезапас в 1500 патронов.</w:t>
      </w:r>
    </w:p>
    <w:p w14:paraId="6A49FA6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Оборонительное вооружение было усилено: вместо УБК в кабине стрелка на подвижной установке ВУ-9 устанавливалась новая 20-мм авиапушка конструкции М.Е.Березина УБ-20, имевшая, в сравнении с пушкой ШВАК, меньший вес (25 кг против 42 кг) и габариты.</w:t>
      </w:r>
    </w:p>
    <w:p w14:paraId="3318419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Отметим, что в августе 44-го установка пушки Березина УБ-20 на турели ВУБ-3 успешно прошла испытания на одном из серийных Ил-2 АМ-38Ф. Однако в серию установку внедрять не стали по причине еще низкой надежности самой пушки.</w:t>
      </w:r>
    </w:p>
    <w:p w14:paraId="449A426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защиты задней нижней полусферы в хвостовой части опытного Ил-8-го №2 была установлена кассета ДАГ-10 с десятью авиационными гранатами АГ-2.</w:t>
      </w:r>
    </w:p>
    <w:p w14:paraId="6CF375B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Более мощным стало и бомбовое вооружение. Нормальная бомбовая нагрузка тяжелого штурмовика, в отличие от серийных Ил-2, была доведена до 1000 кг.</w:t>
      </w:r>
    </w:p>
    <w:p w14:paraId="52F7BBB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Нормальный бомбовый груз размещался в четырех центропланных бом-боотсеках.</w:t>
      </w:r>
    </w:p>
    <w:p w14:paraId="04E8DA8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Штурмовик мог взять на борт 346 противотанковых авиабомб ПТАБ-2,5-1,5. Это на 46 и 150 бомб больше, чем могли взять, соответственно, Ил-8 № 1 и Ил-2 АМ-38Ф. Наружные бомбовые держатели штурмовика обеспечивали подвеску двух ФАБ-500.</w:t>
      </w:r>
    </w:p>
    <w:p w14:paraId="7413793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был снабжен компасом ПДК-43Ф, радиопередатчиком РСИ-ЗМГ и радиоприемником РСИ-бМУ (управление приемником дистанционное), радиополукомпасом РПКО-10 и радиоопознавателем СЧ-3. Для обеспечения работы радиооборудования на машине были установлены две антенны: одна для СЧ-3, вторая для связной радиостанции и РПКО.</w:t>
      </w:r>
    </w:p>
    <w:p w14:paraId="2A1DA0C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Фотооборудование штурмовика состояло из фотоустановки под фотоаппарат АФА-ИМ, обеспечивающая плановую съемку и съемку назад под углами 25° и 50°.</w:t>
      </w:r>
    </w:p>
    <w:p w14:paraId="4DADA08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Словом, получился весьма неплохой штурмовик-бомбардировщик, имевший повышенную боевую эффективность при действиях по бронетех-нике вермахта.</w:t>
      </w:r>
    </w:p>
    <w:p w14:paraId="18F4114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Оценки показывают, что летчик с хорошей летной и стрелковой подготовкой на Ил-8 АМ-42 с НС-23 в реальных боевых условиях вполне мог уже в первой атаке обеспечить гарантированное поражение, например, немецкого истребителя танков типа Jg Pz 38(t) “Hetzer” (атака сбоку, угол планирования 25-30°, дистанция открытия огня 300-400 м) - вероятность поражения 0,94-0,63, тогда как пилот Ил-2 с ВЯ-23 в этих же условиях мог поразить “Hetzer” лишь с вероятностью около 0,24-0,15.</w:t>
      </w:r>
    </w:p>
    <w:p w14:paraId="6648313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Поражение тяжелой бронетехники было возможно лишь бомбовым вооружением (9649).</w:t>
      </w:r>
    </w:p>
    <w:p w14:paraId="7A94724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F003B4" w14:textId="77777777" w:rsidR="004F35D0" w:rsidRPr="007224C3" w:rsidRDefault="004F35D0"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30 марта</w:t>
      </w:r>
      <w:r w:rsidRPr="007224C3">
        <w:rPr>
          <w:rFonts w:ascii="Times New Roman" w:hAnsi="Times New Roman"/>
          <w:color w:val="000000" w:themeColor="text1"/>
          <w:sz w:val="16"/>
          <w:szCs w:val="16"/>
        </w:rPr>
        <w:t xml:space="preserve"> в 1944 году завершились (начались 29 февраля) Государственные испытания тяжелого штурмовика </w:t>
      </w:r>
      <w:hyperlink r:id="rId90" w:tgtFrame="_blank" w:history="1">
        <w:r w:rsidRPr="007224C3">
          <w:rPr>
            <w:rFonts w:ascii="Times New Roman" w:hAnsi="Times New Roman"/>
            <w:color w:val="000000" w:themeColor="text1"/>
            <w:sz w:val="16"/>
            <w:szCs w:val="16"/>
          </w:rPr>
          <w:t xml:space="preserve">«Ил-8». </w:t>
        </w:r>
      </w:hyperlink>
    </w:p>
    <w:p w14:paraId="31CACD02" w14:textId="77777777" w:rsidR="004F35D0" w:rsidRPr="007224C3" w:rsidRDefault="004F35D0" w:rsidP="007224C3">
      <w:pPr>
        <w:spacing w:after="0" w:line="240" w:lineRule="auto"/>
        <w:jc w:val="both"/>
        <w:rPr>
          <w:rFonts w:ascii="Times New Roman" w:hAnsi="Times New Roman"/>
          <w:color w:val="000000" w:themeColor="text1"/>
          <w:sz w:val="16"/>
          <w:szCs w:val="16"/>
        </w:rPr>
      </w:pPr>
    </w:p>
    <w:p w14:paraId="4C279D8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марта 1944 в НИИ ВВС закончились гос. испытания опытного двухместного самолета ИЛ с мотором АМ-42 и винтом АВ-5Л-18Б конструкции С.В.И. (экз. 1, производство завода 240 мая 1943), которые шли с 29 февраля 1944. Прибыл 26 февраля 1944.</w:t>
      </w:r>
    </w:p>
    <w:p w14:paraId="26D3B2D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Цель испытаний:</w:t>
      </w:r>
    </w:p>
    <w:p w14:paraId="2280B7A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Определение ЛТД</w:t>
      </w:r>
    </w:p>
    <w:p w14:paraId="3F132BF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Оценка ВМГ, вооружения, спецоборудования и броневой защиты</w:t>
      </w:r>
    </w:p>
    <w:p w14:paraId="5D8A341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Выявление целесообразности принятия на вооружение ВВС КА вместо серийного Ил-2 с АМ-38Ф.</w:t>
      </w:r>
    </w:p>
    <w:p w14:paraId="19FE1BC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Конструкция крыла - цельнометаллическая. Хвостовая часть - в двух вариантах. На экз. 1 - деревянная, на экз. 2 - металлическая. Внизу бронекорпуса - входной люк штурмана. АМ-42 гос. испытания не прошел. Винт - 3.8 м. 2хВЯ-23 с 300, 2хШКАС с 1500, УБК на ВУ-8 с 150 в трех сменных магазинах. На экз. 2 - две 11-П 37 мм с 100 снарядами. Прицел ПБП-1Б, ф/п ПАУ-22. В варианте р-к бомб нет, в варианте ш-б - 600 кг с ВЯ и 400 кг с 11-П, на экз. 2 - ДАГ-10. Броня - как на Ил-2, но с защитой стрелка-штурмана. Общий вес брони - 1236 кг, т.е. на 335 больше, чем на серийном Ил-2.</w:t>
      </w:r>
    </w:p>
    <w:p w14:paraId="447C293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Выполнил 44 полета с общим налетом 19:30.</w:t>
      </w:r>
    </w:p>
    <w:p w14:paraId="6A46C66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Проходил испытания в двух вариантах:</w:t>
      </w:r>
    </w:p>
    <w:p w14:paraId="38353A1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разведчика-корректировщика</w:t>
      </w:r>
    </w:p>
    <w:p w14:paraId="6D01C5A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штурмовика-бомбардировщика</w:t>
      </w:r>
    </w:p>
    <w:p w14:paraId="7807FD2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Полеты проводились с нормальным и перегрузочным весом с внутренней и наружной подвеской бомб</w:t>
      </w:r>
    </w:p>
    <w:p w14:paraId="658742E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Гос. испытания выдержал и был рекомендован в серию в двух вариантах. Решение по машине с 11-П и ДАГ-10 решили принять после окончания испытаний 2-го экз. Сочли целесообразным в серии выпускать машины с металлическими хвостами. Решили выпустить войсковую серию даже с 50 час. ресурсом мотора. Просили А.А.М. - доработать двигатель, С.В.И. - устранить недостатки, ЦАГИ провести статические и динамические испытания один из самолетов головной серии (1865).</w:t>
      </w:r>
    </w:p>
    <w:p w14:paraId="111E059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C82BE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марта 1944 бри</w:t>
      </w:r>
      <w:r w:rsidRPr="007224C3">
        <w:rPr>
          <w:rFonts w:ascii="Times New Roman" w:hAnsi="Times New Roman"/>
          <w:color w:val="000000" w:themeColor="text1"/>
          <w:sz w:val="16"/>
          <w:szCs w:val="16"/>
        </w:rPr>
        <w:softHyphen/>
        <w:t>гада испытателей НИИ ВВС рапортова</w:t>
      </w:r>
      <w:r w:rsidRPr="007224C3">
        <w:rPr>
          <w:rFonts w:ascii="Times New Roman" w:hAnsi="Times New Roman"/>
          <w:color w:val="000000" w:themeColor="text1"/>
          <w:sz w:val="16"/>
          <w:szCs w:val="16"/>
        </w:rPr>
        <w:softHyphen/>
        <w:t>ла руководству об успешном заверше</w:t>
      </w:r>
      <w:r w:rsidRPr="007224C3">
        <w:rPr>
          <w:rFonts w:ascii="Times New Roman" w:hAnsi="Times New Roman"/>
          <w:color w:val="000000" w:themeColor="text1"/>
          <w:sz w:val="16"/>
          <w:szCs w:val="16"/>
        </w:rPr>
        <w:softHyphen/>
        <w:t>нии государственных летных испыта</w:t>
      </w:r>
      <w:r w:rsidRPr="007224C3">
        <w:rPr>
          <w:rFonts w:ascii="Times New Roman" w:hAnsi="Times New Roman"/>
          <w:color w:val="000000" w:themeColor="text1"/>
          <w:sz w:val="16"/>
          <w:szCs w:val="16"/>
        </w:rPr>
        <w:softHyphen/>
        <w:t>ний опытного штурмовика Ил-8 АМ-42 с более высокими, чем у Ил-2, летными данными. Самолет имел много общего с Ил-2, и в случае внедрения его в мас</w:t>
      </w:r>
      <w:r w:rsidRPr="007224C3">
        <w:rPr>
          <w:rFonts w:ascii="Times New Roman" w:hAnsi="Times New Roman"/>
          <w:color w:val="000000" w:themeColor="text1"/>
          <w:sz w:val="16"/>
          <w:szCs w:val="16"/>
        </w:rPr>
        <w:softHyphen/>
        <w:t>совое производство можно было ис</w:t>
      </w:r>
      <w:r w:rsidRPr="007224C3">
        <w:rPr>
          <w:rFonts w:ascii="Times New Roman" w:hAnsi="Times New Roman"/>
          <w:color w:val="000000" w:themeColor="text1"/>
          <w:sz w:val="16"/>
          <w:szCs w:val="16"/>
        </w:rPr>
        <w:softHyphen/>
        <w:t>пользовать те же конвейеры и боль</w:t>
      </w:r>
      <w:r w:rsidRPr="007224C3">
        <w:rPr>
          <w:rFonts w:ascii="Times New Roman" w:hAnsi="Times New Roman"/>
          <w:color w:val="000000" w:themeColor="text1"/>
          <w:sz w:val="16"/>
          <w:szCs w:val="16"/>
        </w:rPr>
        <w:softHyphen/>
        <w:t>шую часть имеющейся оснастки. По этой причине наркомат авиапромыш</w:t>
      </w:r>
      <w:r w:rsidRPr="007224C3">
        <w:rPr>
          <w:rFonts w:ascii="Times New Roman" w:hAnsi="Times New Roman"/>
          <w:color w:val="000000" w:themeColor="text1"/>
          <w:sz w:val="16"/>
          <w:szCs w:val="16"/>
        </w:rPr>
        <w:softHyphen/>
        <w:t>ленности вынашивал планы перевода производства авиазавода № 18 на се</w:t>
      </w:r>
      <w:r w:rsidRPr="007224C3">
        <w:rPr>
          <w:rFonts w:ascii="Times New Roman" w:hAnsi="Times New Roman"/>
          <w:color w:val="000000" w:themeColor="text1"/>
          <w:sz w:val="16"/>
          <w:szCs w:val="16"/>
        </w:rPr>
        <w:softHyphen/>
        <w:t>рийный выпуск Ил-8 уже с лета 1944 г., а авиазаводов № 1 и № 30 - в первом полугодии следующего года. Кроме этого, на завершающей стадии заводс</w:t>
      </w:r>
      <w:r w:rsidRPr="007224C3">
        <w:rPr>
          <w:rFonts w:ascii="Times New Roman" w:hAnsi="Times New Roman"/>
          <w:color w:val="000000" w:themeColor="text1"/>
          <w:sz w:val="16"/>
          <w:szCs w:val="16"/>
        </w:rPr>
        <w:softHyphen/>
        <w:t>ких испытаний находился опытный штурмовик ОКБ П. 0. Сухого Су-б, кото</w:t>
      </w:r>
      <w:r w:rsidRPr="007224C3">
        <w:rPr>
          <w:rFonts w:ascii="Times New Roman" w:hAnsi="Times New Roman"/>
          <w:color w:val="000000" w:themeColor="text1"/>
          <w:sz w:val="16"/>
          <w:szCs w:val="16"/>
        </w:rPr>
        <w:softHyphen/>
        <w:t>рый лучше подходил для боя, чем Ил-8. На подходе был еще один опытный штурмовик-Ил-10 АМ-42. Учитывая эти обстоятельства, было решено с форси</w:t>
      </w:r>
      <w:r w:rsidRPr="007224C3">
        <w:rPr>
          <w:rFonts w:ascii="Times New Roman" w:hAnsi="Times New Roman"/>
          <w:color w:val="000000" w:themeColor="text1"/>
          <w:sz w:val="16"/>
          <w:szCs w:val="16"/>
        </w:rPr>
        <w:softHyphen/>
        <w:t>рованием выпуска модифицированно</w:t>
      </w:r>
      <w:r w:rsidRPr="007224C3">
        <w:rPr>
          <w:rFonts w:ascii="Times New Roman" w:hAnsi="Times New Roman"/>
          <w:color w:val="000000" w:themeColor="text1"/>
          <w:sz w:val="16"/>
          <w:szCs w:val="16"/>
        </w:rPr>
        <w:softHyphen/>
        <w:t>го Ил-2 на 18-м авиазаводе подождать до тех пор, пока не станет ясно, какой из трех опытных штурмовиков будет поставлен на вооружение ВВС.</w:t>
      </w:r>
    </w:p>
    <w:p w14:paraId="6548CE1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Авиазавод № 18 вышел на плано</w:t>
      </w:r>
      <w:r w:rsidRPr="007224C3">
        <w:rPr>
          <w:rFonts w:ascii="Times New Roman" w:hAnsi="Times New Roman"/>
          <w:color w:val="000000" w:themeColor="text1"/>
          <w:sz w:val="16"/>
          <w:szCs w:val="16"/>
        </w:rPr>
        <w:softHyphen/>
        <w:t>вый уровень производства самолетов Ил-2 с металлическим крылом «стрель</w:t>
      </w:r>
      <w:r w:rsidRPr="007224C3">
        <w:rPr>
          <w:rFonts w:ascii="Times New Roman" w:hAnsi="Times New Roman"/>
          <w:color w:val="000000" w:themeColor="text1"/>
          <w:sz w:val="16"/>
          <w:szCs w:val="16"/>
        </w:rPr>
        <w:softHyphen/>
        <w:t>чатой конструкции» лишь к июню, а 1-й и 30-й заводы - к сентябрю 1944 г. В общей сложности к концу года в стро</w:t>
      </w:r>
      <w:r w:rsidRPr="007224C3">
        <w:rPr>
          <w:rFonts w:ascii="Times New Roman" w:hAnsi="Times New Roman"/>
          <w:color w:val="000000" w:themeColor="text1"/>
          <w:sz w:val="16"/>
          <w:szCs w:val="16"/>
        </w:rPr>
        <w:softHyphen/>
        <w:t xml:space="preserve">евые части ВВС было отправлено 7377 Ил-2 </w:t>
      </w:r>
      <w:r w:rsidRPr="007224C3">
        <w:rPr>
          <w:rFonts w:ascii="Times New Roman" w:hAnsi="Times New Roman"/>
          <w:iCs/>
          <w:color w:val="000000" w:themeColor="text1"/>
          <w:sz w:val="16"/>
          <w:szCs w:val="16"/>
        </w:rPr>
        <w:t xml:space="preserve">«крыло со стрелкой». </w:t>
      </w:r>
      <w:r w:rsidRPr="007224C3">
        <w:rPr>
          <w:rFonts w:ascii="Times New Roman" w:hAnsi="Times New Roman"/>
          <w:color w:val="000000" w:themeColor="text1"/>
          <w:sz w:val="16"/>
          <w:szCs w:val="16"/>
        </w:rPr>
        <w:t>При этом авиазаводы № 1 и № 30 выпускали са</w:t>
      </w:r>
      <w:r w:rsidRPr="007224C3">
        <w:rPr>
          <w:rFonts w:ascii="Times New Roman" w:hAnsi="Times New Roman"/>
          <w:color w:val="000000" w:themeColor="text1"/>
          <w:sz w:val="16"/>
          <w:szCs w:val="16"/>
        </w:rPr>
        <w:softHyphen/>
        <w:t>молеты и с металлическим, и с дере</w:t>
      </w:r>
      <w:r w:rsidRPr="007224C3">
        <w:rPr>
          <w:rFonts w:ascii="Times New Roman" w:hAnsi="Times New Roman"/>
          <w:color w:val="000000" w:themeColor="text1"/>
          <w:sz w:val="16"/>
          <w:szCs w:val="16"/>
        </w:rPr>
        <w:softHyphen/>
        <w:t>вянным крылом. Все самолеты имели «стандартное» для 1944 г. наступатель</w:t>
      </w:r>
      <w:r w:rsidRPr="007224C3">
        <w:rPr>
          <w:rFonts w:ascii="Times New Roman" w:hAnsi="Times New Roman"/>
          <w:color w:val="000000" w:themeColor="text1"/>
          <w:sz w:val="16"/>
          <w:szCs w:val="16"/>
        </w:rPr>
        <w:softHyphen/>
        <w:t>ное вооружение: пушки ВЯ, пулеметы ШКАС, «эрэсы» и бомбы (11215).</w:t>
      </w:r>
    </w:p>
    <w:p w14:paraId="35169F9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FF56B4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марта 1944 в 18.00 рапортовала руководству ин</w:t>
      </w:r>
      <w:r w:rsidRPr="007224C3">
        <w:rPr>
          <w:rFonts w:ascii="Times New Roman" w:hAnsi="Times New Roman"/>
          <w:color w:val="000000" w:themeColor="text1"/>
          <w:sz w:val="16"/>
          <w:szCs w:val="16"/>
        </w:rPr>
        <w:softHyphen/>
        <w:t>ститута об успешном завершении го</w:t>
      </w:r>
      <w:r w:rsidRPr="007224C3">
        <w:rPr>
          <w:rFonts w:ascii="Times New Roman" w:hAnsi="Times New Roman"/>
          <w:color w:val="000000" w:themeColor="text1"/>
          <w:sz w:val="16"/>
          <w:szCs w:val="16"/>
        </w:rPr>
        <w:softHyphen/>
        <w:t>сударственных испытаний Ил-АМ-42.</w:t>
      </w:r>
    </w:p>
    <w:p w14:paraId="452058B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Таким образом, испытания Ил-АМ-42 (экз. № 1) продолжались в течение 31 календарного дня, из которых летных дней было всего 10, нелетных - 14. Еще 7 дней пришлось затратить на ремонт и доводку са</w:t>
      </w:r>
      <w:r w:rsidRPr="007224C3">
        <w:rPr>
          <w:rFonts w:ascii="Times New Roman" w:hAnsi="Times New Roman"/>
          <w:color w:val="000000" w:themeColor="text1"/>
          <w:sz w:val="16"/>
          <w:szCs w:val="16"/>
        </w:rPr>
        <w:softHyphen/>
        <w:t>молета. В общей сложности было вы</w:t>
      </w:r>
      <w:r w:rsidRPr="007224C3">
        <w:rPr>
          <w:rFonts w:ascii="Times New Roman" w:hAnsi="Times New Roman"/>
          <w:color w:val="000000" w:themeColor="text1"/>
          <w:sz w:val="16"/>
          <w:szCs w:val="16"/>
        </w:rPr>
        <w:softHyphen/>
        <w:t>полнено 44 полета с налетом 19 ч 30 мин.</w:t>
      </w:r>
    </w:p>
    <w:p w14:paraId="04F7E52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ходе испытаний самолет обле</w:t>
      </w:r>
      <w:r w:rsidRPr="007224C3">
        <w:rPr>
          <w:rFonts w:ascii="Times New Roman" w:hAnsi="Times New Roman"/>
          <w:color w:val="000000" w:themeColor="text1"/>
          <w:sz w:val="16"/>
          <w:szCs w:val="16"/>
        </w:rPr>
        <w:softHyphen/>
        <w:t>тали ведущий инженер-летчик 3-го от</w:t>
      </w:r>
      <w:r w:rsidRPr="007224C3">
        <w:rPr>
          <w:rFonts w:ascii="Times New Roman" w:hAnsi="Times New Roman"/>
          <w:color w:val="000000" w:themeColor="text1"/>
          <w:sz w:val="16"/>
          <w:szCs w:val="16"/>
        </w:rPr>
        <w:softHyphen/>
        <w:t>дела НИИ ВВС инженер-майор А. В. Синельников, летчик-испытатель 4-го отдела м-р М. П. Субботин, стар</w:t>
      </w:r>
      <w:r w:rsidRPr="007224C3">
        <w:rPr>
          <w:rFonts w:ascii="Times New Roman" w:hAnsi="Times New Roman"/>
          <w:color w:val="000000" w:themeColor="text1"/>
          <w:sz w:val="16"/>
          <w:szCs w:val="16"/>
        </w:rPr>
        <w:softHyphen/>
        <w:t>ший летчик-испытатель 3-го отдела м-р В. С. Журавлев и летчик испыта</w:t>
      </w:r>
      <w:r w:rsidRPr="007224C3">
        <w:rPr>
          <w:rFonts w:ascii="Times New Roman" w:hAnsi="Times New Roman"/>
          <w:color w:val="000000" w:themeColor="text1"/>
          <w:sz w:val="16"/>
          <w:szCs w:val="16"/>
        </w:rPr>
        <w:softHyphen/>
        <w:t>тель п-п-к М. А. Нюхтиков. В каче</w:t>
      </w:r>
      <w:r w:rsidRPr="007224C3">
        <w:rPr>
          <w:rFonts w:ascii="Times New Roman" w:hAnsi="Times New Roman"/>
          <w:color w:val="000000" w:themeColor="text1"/>
          <w:sz w:val="16"/>
          <w:szCs w:val="16"/>
        </w:rPr>
        <w:softHyphen/>
        <w:t>стве штурманов облета участвовали к-н Т. Ф. Горбунов, заместитель на</w:t>
      </w:r>
      <w:r w:rsidRPr="007224C3">
        <w:rPr>
          <w:rFonts w:ascii="Times New Roman" w:hAnsi="Times New Roman"/>
          <w:color w:val="000000" w:themeColor="text1"/>
          <w:sz w:val="16"/>
          <w:szCs w:val="16"/>
        </w:rPr>
        <w:softHyphen/>
        <w:t>чальника 4-го отдела п-к Н. И. Шауров, помощник начальника 6-го от</w:t>
      </w:r>
      <w:r w:rsidRPr="007224C3">
        <w:rPr>
          <w:rFonts w:ascii="Times New Roman" w:hAnsi="Times New Roman"/>
          <w:color w:val="000000" w:themeColor="text1"/>
          <w:sz w:val="16"/>
          <w:szCs w:val="16"/>
        </w:rPr>
        <w:softHyphen/>
        <w:t>дела к-н Васильев, штурман-испыта</w:t>
      </w:r>
      <w:r w:rsidRPr="007224C3">
        <w:rPr>
          <w:rFonts w:ascii="Times New Roman" w:hAnsi="Times New Roman"/>
          <w:color w:val="000000" w:themeColor="text1"/>
          <w:sz w:val="16"/>
          <w:szCs w:val="16"/>
        </w:rPr>
        <w:softHyphen/>
        <w:t>тель к-н В. Н. Ковынев, штурман-ис</w:t>
      </w:r>
      <w:r w:rsidRPr="007224C3">
        <w:rPr>
          <w:rFonts w:ascii="Times New Roman" w:hAnsi="Times New Roman"/>
          <w:color w:val="000000" w:themeColor="text1"/>
          <w:sz w:val="16"/>
          <w:szCs w:val="16"/>
        </w:rPr>
        <w:softHyphen/>
        <w:t>пытатель п-п-к Н. П. Цветков.</w:t>
      </w:r>
    </w:p>
    <w:p w14:paraId="351EFB5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Как следует из документов, само</w:t>
      </w:r>
      <w:r w:rsidRPr="007224C3">
        <w:rPr>
          <w:rFonts w:ascii="Times New Roman" w:hAnsi="Times New Roman"/>
          <w:color w:val="000000" w:themeColor="text1"/>
          <w:sz w:val="16"/>
          <w:szCs w:val="16"/>
        </w:rPr>
        <w:softHyphen/>
        <w:t>лет проходил испытания в двух вари</w:t>
      </w:r>
      <w:r w:rsidRPr="007224C3">
        <w:rPr>
          <w:rFonts w:ascii="Times New Roman" w:hAnsi="Times New Roman"/>
          <w:color w:val="000000" w:themeColor="text1"/>
          <w:sz w:val="16"/>
          <w:szCs w:val="16"/>
        </w:rPr>
        <w:softHyphen/>
        <w:t>антах: разведчика-корректировщика и штурмовика-бомбардировщика, ко</w:t>
      </w:r>
      <w:r w:rsidRPr="007224C3">
        <w:rPr>
          <w:rFonts w:ascii="Times New Roman" w:hAnsi="Times New Roman"/>
          <w:color w:val="000000" w:themeColor="text1"/>
          <w:sz w:val="16"/>
          <w:szCs w:val="16"/>
        </w:rPr>
        <w:softHyphen/>
        <w:t>торые отличались друг от друга фак</w:t>
      </w:r>
      <w:r w:rsidRPr="007224C3">
        <w:rPr>
          <w:rFonts w:ascii="Times New Roman" w:hAnsi="Times New Roman"/>
          <w:color w:val="000000" w:themeColor="text1"/>
          <w:sz w:val="16"/>
          <w:szCs w:val="16"/>
        </w:rPr>
        <w:softHyphen/>
        <w:t>тически только бомбовой нагрузкой и заправкой самолета горючим и маслом. Состав фото- и радиообо</w:t>
      </w:r>
      <w:r w:rsidRPr="007224C3">
        <w:rPr>
          <w:rFonts w:ascii="Times New Roman" w:hAnsi="Times New Roman"/>
          <w:color w:val="000000" w:themeColor="text1"/>
          <w:sz w:val="16"/>
          <w:szCs w:val="16"/>
        </w:rPr>
        <w:softHyphen/>
        <w:t>рудования самолета в ходе испыта</w:t>
      </w:r>
      <w:r w:rsidRPr="007224C3">
        <w:rPr>
          <w:rFonts w:ascii="Times New Roman" w:hAnsi="Times New Roman"/>
          <w:color w:val="000000" w:themeColor="text1"/>
          <w:sz w:val="16"/>
          <w:szCs w:val="16"/>
        </w:rPr>
        <w:softHyphen/>
        <w:t>ний оставался неизменным и соот</w:t>
      </w:r>
      <w:r w:rsidRPr="007224C3">
        <w:rPr>
          <w:rFonts w:ascii="Times New Roman" w:hAnsi="Times New Roman"/>
          <w:color w:val="000000" w:themeColor="text1"/>
          <w:sz w:val="16"/>
          <w:szCs w:val="16"/>
        </w:rPr>
        <w:softHyphen/>
        <w:t>ветствовал "следопыту".</w:t>
      </w:r>
    </w:p>
    <w:p w14:paraId="009DCB5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Стрелково-пушечное вооружение самолета в обоих вариантах назна</w:t>
      </w:r>
      <w:r w:rsidRPr="007224C3">
        <w:rPr>
          <w:rFonts w:ascii="Times New Roman" w:hAnsi="Times New Roman"/>
          <w:color w:val="000000" w:themeColor="text1"/>
          <w:sz w:val="16"/>
          <w:szCs w:val="16"/>
        </w:rPr>
        <w:softHyphen/>
        <w:t>чения было одинаковым и включало две пушки ВЯ-23 (300 снарядов), два пулемета ШКАС (1500 патронов) и оборонительный пулемет УБК (3 дис</w:t>
      </w:r>
      <w:r w:rsidRPr="007224C3">
        <w:rPr>
          <w:rFonts w:ascii="Times New Roman" w:hAnsi="Times New Roman"/>
          <w:color w:val="000000" w:themeColor="text1"/>
          <w:sz w:val="16"/>
          <w:szCs w:val="16"/>
        </w:rPr>
        <w:softHyphen/>
        <w:t>ка по 50 патронов) на ВУ-8. Ракет</w:t>
      </w:r>
      <w:r w:rsidRPr="007224C3">
        <w:rPr>
          <w:rFonts w:ascii="Times New Roman" w:hAnsi="Times New Roman"/>
          <w:color w:val="000000" w:themeColor="text1"/>
          <w:sz w:val="16"/>
          <w:szCs w:val="16"/>
        </w:rPr>
        <w:softHyphen/>
        <w:t>ное вооружение не предусматрива</w:t>
      </w:r>
      <w:r w:rsidRPr="007224C3">
        <w:rPr>
          <w:rFonts w:ascii="Times New Roman" w:hAnsi="Times New Roman"/>
          <w:color w:val="000000" w:themeColor="text1"/>
          <w:sz w:val="16"/>
          <w:szCs w:val="16"/>
        </w:rPr>
        <w:softHyphen/>
        <w:t>лось.</w:t>
      </w:r>
    </w:p>
    <w:p w14:paraId="408FB1E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варианте штурмовика-бомбар</w:t>
      </w:r>
      <w:r w:rsidRPr="007224C3">
        <w:rPr>
          <w:rFonts w:ascii="Times New Roman" w:hAnsi="Times New Roman"/>
          <w:color w:val="000000" w:themeColor="text1"/>
          <w:sz w:val="16"/>
          <w:szCs w:val="16"/>
        </w:rPr>
        <w:softHyphen/>
        <w:t>дировщика нормальный полетный вес устанавливался 7260 кг, в перегрузку - 7660 кг. Полезная нагрузка при нормальном полетном весе не пре</w:t>
      </w:r>
      <w:r w:rsidRPr="007224C3">
        <w:rPr>
          <w:rFonts w:ascii="Times New Roman" w:hAnsi="Times New Roman"/>
          <w:color w:val="000000" w:themeColor="text1"/>
          <w:sz w:val="16"/>
          <w:szCs w:val="16"/>
        </w:rPr>
        <w:softHyphen/>
        <w:t>вышала 1995 кг и включала: экипаж - 180 кг, горючее - 670 кг, масло -65 кг, стрелково-пушечное вооруже</w:t>
      </w:r>
      <w:r w:rsidRPr="007224C3">
        <w:rPr>
          <w:rFonts w:ascii="Times New Roman" w:hAnsi="Times New Roman"/>
          <w:color w:val="000000" w:themeColor="text1"/>
          <w:sz w:val="16"/>
          <w:szCs w:val="16"/>
        </w:rPr>
        <w:softHyphen/>
        <w:t>ние с боекомплектом — 420 кг, бом</w:t>
      </w:r>
      <w:r w:rsidRPr="007224C3">
        <w:rPr>
          <w:rFonts w:ascii="Times New Roman" w:hAnsi="Times New Roman"/>
          <w:color w:val="000000" w:themeColor="text1"/>
          <w:sz w:val="16"/>
          <w:szCs w:val="16"/>
        </w:rPr>
        <w:softHyphen/>
        <w:t>бовая нагрузка — 600 кг, и съемное оборудование - 60 кг.</w:t>
      </w:r>
    </w:p>
    <w:p w14:paraId="63A90C8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перегрузочном варианте допус</w:t>
      </w:r>
      <w:r w:rsidRPr="007224C3">
        <w:rPr>
          <w:rFonts w:ascii="Times New Roman" w:hAnsi="Times New Roman"/>
          <w:color w:val="000000" w:themeColor="text1"/>
          <w:sz w:val="16"/>
          <w:szCs w:val="16"/>
        </w:rPr>
        <w:softHyphen/>
        <w:t>калась подвеска до 1000 кг бомб, в том числе на двух внешних узлах две бомбы типа ФАБ-500 или ВАП-250 или УХАП-250.</w:t>
      </w:r>
    </w:p>
    <w:p w14:paraId="6752E7B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Полезная нагрузка в варианте "следопыта" ограничивалась 1460 кг и отличалась от штурмового вари</w:t>
      </w:r>
      <w:r w:rsidRPr="007224C3">
        <w:rPr>
          <w:rFonts w:ascii="Times New Roman" w:hAnsi="Times New Roman"/>
          <w:color w:val="000000" w:themeColor="text1"/>
          <w:sz w:val="16"/>
          <w:szCs w:val="16"/>
        </w:rPr>
        <w:softHyphen/>
        <w:t>анта отсутствием бомбовой нагруз</w:t>
      </w:r>
      <w:r w:rsidRPr="007224C3">
        <w:rPr>
          <w:rFonts w:ascii="Times New Roman" w:hAnsi="Times New Roman"/>
          <w:color w:val="000000" w:themeColor="text1"/>
          <w:sz w:val="16"/>
          <w:szCs w:val="16"/>
        </w:rPr>
        <w:softHyphen/>
        <w:t>ки и увеличенным до 120 кг весом съемного оборудования.</w:t>
      </w:r>
    </w:p>
    <w:p w14:paraId="729052A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Поскольку состав съемного обо</w:t>
      </w:r>
      <w:r w:rsidRPr="007224C3">
        <w:rPr>
          <w:rFonts w:ascii="Times New Roman" w:hAnsi="Times New Roman"/>
          <w:color w:val="000000" w:themeColor="text1"/>
          <w:sz w:val="16"/>
          <w:szCs w:val="16"/>
        </w:rPr>
        <w:softHyphen/>
        <w:t>рудования на самолете Ил-АМ-42 (экз. № 1) соответствовал варианту разведчика-корректировщика, то при загрузке 600 кг бомб и полной зап</w:t>
      </w:r>
      <w:r w:rsidRPr="007224C3">
        <w:rPr>
          <w:rFonts w:ascii="Times New Roman" w:hAnsi="Times New Roman"/>
          <w:color w:val="000000" w:themeColor="text1"/>
          <w:sz w:val="16"/>
          <w:szCs w:val="16"/>
        </w:rPr>
        <w:softHyphen/>
        <w:t>равке горючим и маслом вес само</w:t>
      </w:r>
      <w:r w:rsidRPr="007224C3">
        <w:rPr>
          <w:rFonts w:ascii="Times New Roman" w:hAnsi="Times New Roman"/>
          <w:color w:val="000000" w:themeColor="text1"/>
          <w:sz w:val="16"/>
          <w:szCs w:val="16"/>
        </w:rPr>
        <w:softHyphen/>
        <w:t>лета на 65 кг превышал нормальный полетный вес, установленный для штурмовика-бомбардировщика. По</w:t>
      </w:r>
      <w:r w:rsidRPr="007224C3">
        <w:rPr>
          <w:rFonts w:ascii="Times New Roman" w:hAnsi="Times New Roman"/>
          <w:color w:val="000000" w:themeColor="text1"/>
          <w:sz w:val="16"/>
          <w:szCs w:val="16"/>
        </w:rPr>
        <w:softHyphen/>
        <w:t>этому при проведении полетов в ва</w:t>
      </w:r>
      <w:r w:rsidRPr="007224C3">
        <w:rPr>
          <w:rFonts w:ascii="Times New Roman" w:hAnsi="Times New Roman"/>
          <w:color w:val="000000" w:themeColor="text1"/>
          <w:sz w:val="16"/>
          <w:szCs w:val="16"/>
        </w:rPr>
        <w:softHyphen/>
        <w:t>рианте штурмовика вес горючего уменьшался ровно на 65 кг.</w:t>
      </w:r>
    </w:p>
    <w:p w14:paraId="25C00EE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Мотор АМ-42 на протяжении все</w:t>
      </w:r>
      <w:r w:rsidRPr="007224C3">
        <w:rPr>
          <w:rFonts w:ascii="Times New Roman" w:hAnsi="Times New Roman"/>
          <w:color w:val="000000" w:themeColor="text1"/>
          <w:sz w:val="16"/>
          <w:szCs w:val="16"/>
        </w:rPr>
        <w:softHyphen/>
        <w:t>го времени испытаний работал с се</w:t>
      </w:r>
      <w:r w:rsidRPr="007224C3">
        <w:rPr>
          <w:rFonts w:ascii="Times New Roman" w:hAnsi="Times New Roman"/>
          <w:color w:val="000000" w:themeColor="text1"/>
          <w:sz w:val="16"/>
          <w:szCs w:val="16"/>
        </w:rPr>
        <w:softHyphen/>
        <w:t>рьезными недостатками: дымление, тряска, непостоянство наддува на ре</w:t>
      </w:r>
      <w:r w:rsidRPr="007224C3">
        <w:rPr>
          <w:rFonts w:ascii="Times New Roman" w:hAnsi="Times New Roman"/>
          <w:color w:val="000000" w:themeColor="text1"/>
          <w:sz w:val="16"/>
          <w:szCs w:val="16"/>
        </w:rPr>
        <w:softHyphen/>
        <w:t>жиме номинальной мощности, течь масла из-под уплотнения вала редук</w:t>
      </w:r>
      <w:r w:rsidRPr="007224C3">
        <w:rPr>
          <w:rFonts w:ascii="Times New Roman" w:hAnsi="Times New Roman"/>
          <w:color w:val="000000" w:themeColor="text1"/>
          <w:sz w:val="16"/>
          <w:szCs w:val="16"/>
        </w:rPr>
        <w:softHyphen/>
        <w:t>тора мотора, из-под крышки блоков, из корпуса нагнетателя через дре</w:t>
      </w:r>
      <w:r w:rsidRPr="007224C3">
        <w:rPr>
          <w:rFonts w:ascii="Times New Roman" w:hAnsi="Times New Roman"/>
          <w:color w:val="000000" w:themeColor="text1"/>
          <w:sz w:val="16"/>
          <w:szCs w:val="16"/>
        </w:rPr>
        <w:softHyphen/>
        <w:t>наж (после остановки мотора), а так</w:t>
      </w:r>
      <w:r w:rsidRPr="007224C3">
        <w:rPr>
          <w:rFonts w:ascii="Times New Roman" w:hAnsi="Times New Roman"/>
          <w:color w:val="000000" w:themeColor="text1"/>
          <w:sz w:val="16"/>
          <w:szCs w:val="16"/>
        </w:rPr>
        <w:softHyphen/>
        <w:t>же засорение воздушных клапанов карбюраторов, быстрый износ пор</w:t>
      </w:r>
      <w:r w:rsidRPr="007224C3">
        <w:rPr>
          <w:rFonts w:ascii="Times New Roman" w:hAnsi="Times New Roman"/>
          <w:color w:val="000000" w:themeColor="text1"/>
          <w:sz w:val="16"/>
          <w:szCs w:val="16"/>
        </w:rPr>
        <w:softHyphen/>
        <w:t>шневых колец и т.д. Отмечался и большой расход горючего на номи</w:t>
      </w:r>
      <w:r w:rsidRPr="007224C3">
        <w:rPr>
          <w:rFonts w:ascii="Times New Roman" w:hAnsi="Times New Roman"/>
          <w:color w:val="000000" w:themeColor="text1"/>
          <w:sz w:val="16"/>
          <w:szCs w:val="16"/>
        </w:rPr>
        <w:softHyphen/>
        <w:t>нальном режиме работы мотора, который при контрольном полете 19 марта составил 295-315 гр/л.с.час.</w:t>
      </w:r>
    </w:p>
    <w:p w14:paraId="5408E1A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ходе испытаний пришлось за</w:t>
      </w:r>
      <w:r w:rsidRPr="007224C3">
        <w:rPr>
          <w:rFonts w:ascii="Times New Roman" w:hAnsi="Times New Roman"/>
          <w:color w:val="000000" w:themeColor="text1"/>
          <w:sz w:val="16"/>
          <w:szCs w:val="16"/>
        </w:rPr>
        <w:softHyphen/>
        <w:t>менить маслоуплотнитель носка вала редуктора мотора, регулятор давле</w:t>
      </w:r>
      <w:r w:rsidRPr="007224C3">
        <w:rPr>
          <w:rFonts w:ascii="Times New Roman" w:hAnsi="Times New Roman"/>
          <w:color w:val="000000" w:themeColor="text1"/>
          <w:sz w:val="16"/>
          <w:szCs w:val="16"/>
        </w:rPr>
        <w:softHyphen/>
        <w:t>ния наддува, прокладки под всасы</w:t>
      </w:r>
      <w:r w:rsidRPr="007224C3">
        <w:rPr>
          <w:rFonts w:ascii="Times New Roman" w:hAnsi="Times New Roman"/>
          <w:color w:val="000000" w:themeColor="text1"/>
          <w:sz w:val="16"/>
          <w:szCs w:val="16"/>
        </w:rPr>
        <w:softHyphen/>
        <w:t>вающими патрубками (для чего был демонтирован карбюратор), дважды заменили весь комплект свечей и один раз свечи внешнего ряда. Из-за течи по сварке трижды ремонти</w:t>
      </w:r>
      <w:r w:rsidRPr="007224C3">
        <w:rPr>
          <w:rFonts w:ascii="Times New Roman" w:hAnsi="Times New Roman"/>
          <w:color w:val="000000" w:themeColor="text1"/>
          <w:sz w:val="16"/>
          <w:szCs w:val="16"/>
        </w:rPr>
        <w:softHyphen/>
        <w:t>ровались маслобаки и по одному разу водяная труба, подводящая ох</w:t>
      </w:r>
      <w:r w:rsidRPr="007224C3">
        <w:rPr>
          <w:rFonts w:ascii="Times New Roman" w:hAnsi="Times New Roman"/>
          <w:color w:val="000000" w:themeColor="text1"/>
          <w:sz w:val="16"/>
          <w:szCs w:val="16"/>
        </w:rPr>
        <w:softHyphen/>
        <w:t>лаждающую воду к левому блоку ци</w:t>
      </w:r>
      <w:r w:rsidRPr="007224C3">
        <w:rPr>
          <w:rFonts w:ascii="Times New Roman" w:hAnsi="Times New Roman"/>
          <w:color w:val="000000" w:themeColor="text1"/>
          <w:sz w:val="16"/>
          <w:szCs w:val="16"/>
        </w:rPr>
        <w:softHyphen/>
        <w:t>линдров мотора от помпы, и бензо-трубка, подводящая горючее к кар</w:t>
      </w:r>
      <w:r w:rsidRPr="007224C3">
        <w:rPr>
          <w:rFonts w:ascii="Times New Roman" w:hAnsi="Times New Roman"/>
          <w:color w:val="000000" w:themeColor="text1"/>
          <w:sz w:val="16"/>
          <w:szCs w:val="16"/>
        </w:rPr>
        <w:softHyphen/>
        <w:t>бюраторам. Одновременно были от</w:t>
      </w:r>
      <w:r w:rsidRPr="007224C3">
        <w:rPr>
          <w:rFonts w:ascii="Times New Roman" w:hAnsi="Times New Roman"/>
          <w:color w:val="000000" w:themeColor="text1"/>
          <w:sz w:val="16"/>
          <w:szCs w:val="16"/>
        </w:rPr>
        <w:softHyphen/>
        <w:t>ремонтированы все карбюраторы и коллекторы нагнетателя.</w:t>
      </w:r>
    </w:p>
    <w:p w14:paraId="73C68C4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Работы по устранению недостат</w:t>
      </w:r>
      <w:r w:rsidRPr="007224C3">
        <w:rPr>
          <w:rFonts w:ascii="Times New Roman" w:hAnsi="Times New Roman"/>
          <w:color w:val="000000" w:themeColor="text1"/>
          <w:sz w:val="16"/>
          <w:szCs w:val="16"/>
        </w:rPr>
        <w:softHyphen/>
        <w:t>ков и дефектов выявили непродуман</w:t>
      </w:r>
      <w:r w:rsidRPr="007224C3">
        <w:rPr>
          <w:rFonts w:ascii="Times New Roman" w:hAnsi="Times New Roman"/>
          <w:color w:val="000000" w:themeColor="text1"/>
          <w:sz w:val="16"/>
          <w:szCs w:val="16"/>
        </w:rPr>
        <w:softHyphen/>
        <w:t>ность конструкции винтомоторной группы с точки зрения удобства экс</w:t>
      </w:r>
      <w:r w:rsidRPr="007224C3">
        <w:rPr>
          <w:rFonts w:ascii="Times New Roman" w:hAnsi="Times New Roman"/>
          <w:color w:val="000000" w:themeColor="text1"/>
          <w:sz w:val="16"/>
          <w:szCs w:val="16"/>
        </w:rPr>
        <w:softHyphen/>
        <w:t>плуатации. Например, для того, что</w:t>
      </w:r>
      <w:r w:rsidRPr="007224C3">
        <w:rPr>
          <w:rFonts w:ascii="Times New Roman" w:hAnsi="Times New Roman"/>
          <w:color w:val="000000" w:themeColor="text1"/>
          <w:sz w:val="16"/>
          <w:szCs w:val="16"/>
        </w:rPr>
        <w:softHyphen/>
        <w:t>бы снять водяную трубку пришлось демонтировать блоки мотора, вых</w:t>
      </w:r>
      <w:r w:rsidRPr="007224C3">
        <w:rPr>
          <w:rFonts w:ascii="Times New Roman" w:hAnsi="Times New Roman"/>
          <w:color w:val="000000" w:themeColor="text1"/>
          <w:sz w:val="16"/>
          <w:szCs w:val="16"/>
        </w:rPr>
        <w:softHyphen/>
        <w:t>лопные патрубки и левый маслобак, а затем установить их на свои мес</w:t>
      </w:r>
      <w:r w:rsidRPr="007224C3">
        <w:rPr>
          <w:rFonts w:ascii="Times New Roman" w:hAnsi="Times New Roman"/>
          <w:color w:val="000000" w:themeColor="text1"/>
          <w:sz w:val="16"/>
          <w:szCs w:val="16"/>
        </w:rPr>
        <w:softHyphen/>
        <w:t>та. Замена трубопровода, подводя</w:t>
      </w:r>
      <w:r w:rsidRPr="007224C3">
        <w:rPr>
          <w:rFonts w:ascii="Times New Roman" w:hAnsi="Times New Roman"/>
          <w:color w:val="000000" w:themeColor="text1"/>
          <w:sz w:val="16"/>
          <w:szCs w:val="16"/>
        </w:rPr>
        <w:softHyphen/>
        <w:t>щего горючее к карбюраторам, по</w:t>
      </w:r>
      <w:r w:rsidRPr="007224C3">
        <w:rPr>
          <w:rFonts w:ascii="Times New Roman" w:hAnsi="Times New Roman"/>
          <w:color w:val="000000" w:themeColor="text1"/>
          <w:sz w:val="16"/>
          <w:szCs w:val="16"/>
        </w:rPr>
        <w:softHyphen/>
        <w:t>требовала полного демонтажа вса</w:t>
      </w:r>
      <w:r w:rsidRPr="007224C3">
        <w:rPr>
          <w:rFonts w:ascii="Times New Roman" w:hAnsi="Times New Roman"/>
          <w:color w:val="000000" w:themeColor="text1"/>
          <w:sz w:val="16"/>
          <w:szCs w:val="16"/>
        </w:rPr>
        <w:softHyphen/>
        <w:t>сывающей трубы нагнетателя и кар</w:t>
      </w:r>
      <w:r w:rsidRPr="007224C3">
        <w:rPr>
          <w:rFonts w:ascii="Times New Roman" w:hAnsi="Times New Roman"/>
          <w:color w:val="000000" w:themeColor="text1"/>
          <w:sz w:val="16"/>
          <w:szCs w:val="16"/>
        </w:rPr>
        <w:softHyphen/>
        <w:t>бюратора. Испытатели отмечали трудную замену свечей внутренней стороны и особенно проводников к свечам. На их замену затрачивалось до 5-6 часов. Трубки, подводящие воду к блокам, имели слишком боль</w:t>
      </w:r>
      <w:r w:rsidRPr="007224C3">
        <w:rPr>
          <w:rFonts w:ascii="Times New Roman" w:hAnsi="Times New Roman"/>
          <w:color w:val="000000" w:themeColor="text1"/>
          <w:sz w:val="16"/>
          <w:szCs w:val="16"/>
        </w:rPr>
        <w:softHyphen/>
        <w:t>шую длину (без технологических разъемов), что серьезно усложняло их замену и ремонт.</w:t>
      </w:r>
    </w:p>
    <w:p w14:paraId="230159B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общем, проблем с мотором хва</w:t>
      </w:r>
      <w:r w:rsidRPr="007224C3">
        <w:rPr>
          <w:rFonts w:ascii="Times New Roman" w:hAnsi="Times New Roman"/>
          <w:color w:val="000000" w:themeColor="text1"/>
          <w:sz w:val="16"/>
          <w:szCs w:val="16"/>
        </w:rPr>
        <w:softHyphen/>
        <w:t>тало с избытком, но бригаде НИИ ВВС все же удалось отлетать про</w:t>
      </w:r>
      <w:r w:rsidRPr="007224C3">
        <w:rPr>
          <w:rFonts w:ascii="Times New Roman" w:hAnsi="Times New Roman"/>
          <w:color w:val="000000" w:themeColor="text1"/>
          <w:sz w:val="16"/>
          <w:szCs w:val="16"/>
        </w:rPr>
        <w:softHyphen/>
        <w:t>грамму испытаний почти в полном объеме.</w:t>
      </w:r>
    </w:p>
    <w:p w14:paraId="05DC739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первую очередь определялись летно-технические данные Ил-АМ-42 (экз. № 1) в варианте штурмовика-бомбардировщика и только затем -в варианте разведчика-корректиров</w:t>
      </w:r>
      <w:r w:rsidRPr="007224C3">
        <w:rPr>
          <w:rFonts w:ascii="Times New Roman" w:hAnsi="Times New Roman"/>
          <w:color w:val="000000" w:themeColor="text1"/>
          <w:sz w:val="16"/>
          <w:szCs w:val="16"/>
        </w:rPr>
        <w:softHyphen/>
        <w:t>щика. Как показали полеты, основ</w:t>
      </w:r>
      <w:r w:rsidRPr="007224C3">
        <w:rPr>
          <w:rFonts w:ascii="Times New Roman" w:hAnsi="Times New Roman"/>
          <w:color w:val="000000" w:themeColor="text1"/>
          <w:sz w:val="16"/>
          <w:szCs w:val="16"/>
        </w:rPr>
        <w:softHyphen/>
        <w:t>ные данные нового самолета замет</w:t>
      </w:r>
      <w:r w:rsidRPr="007224C3">
        <w:rPr>
          <w:rFonts w:ascii="Times New Roman" w:hAnsi="Times New Roman"/>
          <w:color w:val="000000" w:themeColor="text1"/>
          <w:sz w:val="16"/>
          <w:szCs w:val="16"/>
        </w:rPr>
        <w:softHyphen/>
        <w:t>но превосходили Ил-2, хотя, по мне</w:t>
      </w:r>
      <w:r w:rsidRPr="007224C3">
        <w:rPr>
          <w:rFonts w:ascii="Times New Roman" w:hAnsi="Times New Roman"/>
          <w:color w:val="000000" w:themeColor="text1"/>
          <w:sz w:val="16"/>
          <w:szCs w:val="16"/>
        </w:rPr>
        <w:softHyphen/>
        <w:t>нию военных, уже не отвечали в пол</w:t>
      </w:r>
      <w:r w:rsidRPr="007224C3">
        <w:rPr>
          <w:rFonts w:ascii="Times New Roman" w:hAnsi="Times New Roman"/>
          <w:color w:val="000000" w:themeColor="text1"/>
          <w:sz w:val="16"/>
          <w:szCs w:val="16"/>
        </w:rPr>
        <w:softHyphen/>
        <w:t>ном объеме современным требова</w:t>
      </w:r>
      <w:r w:rsidRPr="007224C3">
        <w:rPr>
          <w:rFonts w:ascii="Times New Roman" w:hAnsi="Times New Roman"/>
          <w:color w:val="000000" w:themeColor="text1"/>
          <w:sz w:val="16"/>
          <w:szCs w:val="16"/>
        </w:rPr>
        <w:softHyphen/>
        <w:t>ниям.</w:t>
      </w:r>
    </w:p>
    <w:p w14:paraId="754A353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нормальном полетном весе 7260 кг (600 кг бомб на внутренней подвеске) максимальная скорость по</w:t>
      </w:r>
      <w:r w:rsidRPr="007224C3">
        <w:rPr>
          <w:rFonts w:ascii="Times New Roman" w:hAnsi="Times New Roman"/>
          <w:color w:val="000000" w:themeColor="text1"/>
          <w:sz w:val="16"/>
          <w:szCs w:val="16"/>
        </w:rPr>
        <w:softHyphen/>
        <w:t>лета оказалась равной 472 км/ч на высоте 2500 м и 428 км/ч - у земли. Вертикальная скорость у земли не превышала 6,7 м/с, а на высоте 1000 м - 7 м/с. Разбег самолета с откло</w:t>
      </w:r>
      <w:r w:rsidRPr="007224C3">
        <w:rPr>
          <w:rFonts w:ascii="Times New Roman" w:hAnsi="Times New Roman"/>
          <w:color w:val="000000" w:themeColor="text1"/>
          <w:sz w:val="16"/>
          <w:szCs w:val="16"/>
        </w:rPr>
        <w:softHyphen/>
        <w:t>ненными на 17° щитками и с форса</w:t>
      </w:r>
      <w:r w:rsidRPr="007224C3">
        <w:rPr>
          <w:rFonts w:ascii="Times New Roman" w:hAnsi="Times New Roman"/>
          <w:color w:val="000000" w:themeColor="text1"/>
          <w:sz w:val="16"/>
          <w:szCs w:val="16"/>
        </w:rPr>
        <w:softHyphen/>
        <w:t>жем мотора составил 435 м. Пробег при посадочном весе 5900 кг с при</w:t>
      </w:r>
      <w:r w:rsidRPr="007224C3">
        <w:rPr>
          <w:rFonts w:ascii="Times New Roman" w:hAnsi="Times New Roman"/>
          <w:color w:val="000000" w:themeColor="text1"/>
          <w:sz w:val="16"/>
          <w:szCs w:val="16"/>
        </w:rPr>
        <w:softHyphen/>
        <w:t>менением тормозов и отклонением щитков на 45° оказался в пределах 465 м. При этом посадочная скорость равнялась 136 км/ч.</w:t>
      </w:r>
    </w:p>
    <w:p w14:paraId="3AE8CAB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Разведчик-корректировщик на всех высотах летал на 8 км/ч быст</w:t>
      </w:r>
      <w:r w:rsidRPr="007224C3">
        <w:rPr>
          <w:rFonts w:ascii="Times New Roman" w:hAnsi="Times New Roman"/>
          <w:color w:val="000000" w:themeColor="text1"/>
          <w:sz w:val="16"/>
          <w:szCs w:val="16"/>
        </w:rPr>
        <w:softHyphen/>
        <w:t>рее штурмовика-бомбардировщика. Примерно на 22% была выше ско</w:t>
      </w:r>
      <w:r w:rsidRPr="007224C3">
        <w:rPr>
          <w:rFonts w:ascii="Times New Roman" w:hAnsi="Times New Roman"/>
          <w:color w:val="000000" w:themeColor="text1"/>
          <w:sz w:val="16"/>
          <w:szCs w:val="16"/>
        </w:rPr>
        <w:softHyphen/>
        <w:t>роподъемность и на 11% горизон</w:t>
      </w:r>
      <w:r w:rsidRPr="007224C3">
        <w:rPr>
          <w:rFonts w:ascii="Times New Roman" w:hAnsi="Times New Roman"/>
          <w:color w:val="000000" w:themeColor="text1"/>
          <w:sz w:val="16"/>
          <w:szCs w:val="16"/>
        </w:rPr>
        <w:softHyphen/>
        <w:t>тальная маневренность. Лучшими были и взлетно-посадочные характе</w:t>
      </w:r>
      <w:r w:rsidRPr="007224C3">
        <w:rPr>
          <w:rFonts w:ascii="Times New Roman" w:hAnsi="Times New Roman"/>
          <w:color w:val="000000" w:themeColor="text1"/>
          <w:sz w:val="16"/>
          <w:szCs w:val="16"/>
        </w:rPr>
        <w:softHyphen/>
        <w:t>ристики. При этом из-за непостоян</w:t>
      </w:r>
      <w:r w:rsidRPr="007224C3">
        <w:rPr>
          <w:rFonts w:ascii="Times New Roman" w:hAnsi="Times New Roman"/>
          <w:color w:val="000000" w:themeColor="text1"/>
          <w:sz w:val="16"/>
          <w:szCs w:val="16"/>
        </w:rPr>
        <w:softHyphen/>
        <w:t>ства наддува в полете при работе мотора, его тряски и выработки ре</w:t>
      </w:r>
      <w:r w:rsidRPr="007224C3">
        <w:rPr>
          <w:rFonts w:ascii="Times New Roman" w:hAnsi="Times New Roman"/>
          <w:color w:val="000000" w:themeColor="text1"/>
          <w:sz w:val="16"/>
          <w:szCs w:val="16"/>
        </w:rPr>
        <w:softHyphen/>
        <w:t>сурса (к моменту начала полетов в варианте "следопыта" остаток ресур</w:t>
      </w:r>
      <w:r w:rsidRPr="007224C3">
        <w:rPr>
          <w:rFonts w:ascii="Times New Roman" w:hAnsi="Times New Roman"/>
          <w:color w:val="000000" w:themeColor="text1"/>
          <w:sz w:val="16"/>
          <w:szCs w:val="16"/>
        </w:rPr>
        <w:softHyphen/>
        <w:t>са составлял 4-5 часов) измерить ско</w:t>
      </w:r>
      <w:r w:rsidRPr="007224C3">
        <w:rPr>
          <w:rFonts w:ascii="Times New Roman" w:hAnsi="Times New Roman"/>
          <w:color w:val="000000" w:themeColor="text1"/>
          <w:sz w:val="16"/>
          <w:szCs w:val="16"/>
        </w:rPr>
        <w:softHyphen/>
        <w:t>роподъемность выше границы высот</w:t>
      </w:r>
      <w:r w:rsidRPr="007224C3">
        <w:rPr>
          <w:rFonts w:ascii="Times New Roman" w:hAnsi="Times New Roman"/>
          <w:color w:val="000000" w:themeColor="text1"/>
          <w:sz w:val="16"/>
          <w:szCs w:val="16"/>
        </w:rPr>
        <w:softHyphen/>
        <w:t>ности не удалось.</w:t>
      </w:r>
    </w:p>
    <w:p w14:paraId="0FB57D7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всех вариантах полетного веса центровка самолета (шасси вы</w:t>
      </w:r>
      <w:r w:rsidRPr="007224C3">
        <w:rPr>
          <w:rFonts w:ascii="Times New Roman" w:hAnsi="Times New Roman"/>
          <w:color w:val="000000" w:themeColor="text1"/>
          <w:sz w:val="16"/>
          <w:szCs w:val="16"/>
        </w:rPr>
        <w:softHyphen/>
        <w:t>пущено) находилась в пределах от 19,9% САХ (пустой самолет) до 23,3% (перегрузочный вариант с 1000 кг бомб).</w:t>
      </w:r>
    </w:p>
    <w:p w14:paraId="409AED7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 техническая даль</w:t>
      </w:r>
      <w:r w:rsidRPr="007224C3">
        <w:rPr>
          <w:rFonts w:ascii="Times New Roman" w:hAnsi="Times New Roman"/>
          <w:color w:val="000000" w:themeColor="text1"/>
          <w:sz w:val="16"/>
          <w:szCs w:val="16"/>
        </w:rPr>
        <w:softHyphen/>
        <w:t>ность полета на высоте 1000 м и ско</w:t>
      </w:r>
      <w:r w:rsidRPr="007224C3">
        <w:rPr>
          <w:rFonts w:ascii="Times New Roman" w:hAnsi="Times New Roman"/>
          <w:color w:val="000000" w:themeColor="text1"/>
          <w:sz w:val="16"/>
          <w:szCs w:val="16"/>
        </w:rPr>
        <w:softHyphen/>
        <w:t>рости 308 км/ч составила 820 км -на 155 км больше дальности полета Ил-2 АМ-38ф. При этом отмечалось, что дальность полета второго экзем</w:t>
      </w:r>
      <w:r w:rsidRPr="007224C3">
        <w:rPr>
          <w:rFonts w:ascii="Times New Roman" w:hAnsi="Times New Roman"/>
          <w:color w:val="000000" w:themeColor="text1"/>
          <w:sz w:val="16"/>
          <w:szCs w:val="16"/>
        </w:rPr>
        <w:softHyphen/>
        <w:t>пляра Ил-АМ-42, на котором уста</w:t>
      </w:r>
      <w:r w:rsidRPr="007224C3">
        <w:rPr>
          <w:rFonts w:ascii="Times New Roman" w:hAnsi="Times New Roman"/>
          <w:color w:val="000000" w:themeColor="text1"/>
          <w:sz w:val="16"/>
          <w:szCs w:val="16"/>
        </w:rPr>
        <w:softHyphen/>
        <w:t>новлены бензобаки емкостью 1020 л, увеличится до 980 км.</w:t>
      </w:r>
    </w:p>
    <w:p w14:paraId="1293A5C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своим пилотажным свойствам Ил-АМ-42 оказался достаточно про</w:t>
      </w:r>
      <w:r w:rsidRPr="007224C3">
        <w:rPr>
          <w:rFonts w:ascii="Times New Roman" w:hAnsi="Times New Roman"/>
          <w:color w:val="000000" w:themeColor="text1"/>
          <w:sz w:val="16"/>
          <w:szCs w:val="16"/>
        </w:rPr>
        <w:softHyphen/>
        <w:t>стым и легким в управлении. В срав</w:t>
      </w:r>
      <w:r w:rsidRPr="007224C3">
        <w:rPr>
          <w:rFonts w:ascii="Times New Roman" w:hAnsi="Times New Roman"/>
          <w:color w:val="000000" w:themeColor="text1"/>
          <w:sz w:val="16"/>
          <w:szCs w:val="16"/>
        </w:rPr>
        <w:softHyphen/>
        <w:t>нении с Ил-2 новый самолет обла</w:t>
      </w:r>
      <w:r w:rsidRPr="007224C3">
        <w:rPr>
          <w:rFonts w:ascii="Times New Roman" w:hAnsi="Times New Roman"/>
          <w:color w:val="000000" w:themeColor="text1"/>
          <w:sz w:val="16"/>
          <w:szCs w:val="16"/>
        </w:rPr>
        <w:softHyphen/>
        <w:t>дал значительно лучшей продольной устойчивостью и управляемостью, что упростило технику пилотирования, особенно на виражах и бреющих по</w:t>
      </w:r>
      <w:r w:rsidRPr="007224C3">
        <w:rPr>
          <w:rFonts w:ascii="Times New Roman" w:hAnsi="Times New Roman"/>
          <w:color w:val="000000" w:themeColor="text1"/>
          <w:sz w:val="16"/>
          <w:szCs w:val="16"/>
        </w:rPr>
        <w:softHyphen/>
        <w:t>летах. Летчики-испытатели отмечали, что Ил-АМ-42, в отличие от Ил-2, "на вираже позволяет значительно выби</w:t>
      </w:r>
      <w:r w:rsidRPr="007224C3">
        <w:rPr>
          <w:rFonts w:ascii="Times New Roman" w:hAnsi="Times New Roman"/>
          <w:color w:val="000000" w:themeColor="text1"/>
          <w:sz w:val="16"/>
          <w:szCs w:val="16"/>
        </w:rPr>
        <w:softHyphen/>
        <w:t>рать ручку руля высоты на себя, для уменьшения радиуса виража". Пики</w:t>
      </w:r>
      <w:r w:rsidRPr="007224C3">
        <w:rPr>
          <w:rFonts w:ascii="Times New Roman" w:hAnsi="Times New Roman"/>
          <w:color w:val="000000" w:themeColor="text1"/>
          <w:sz w:val="16"/>
          <w:szCs w:val="16"/>
        </w:rPr>
        <w:softHyphen/>
        <w:t>ровал самолет устойчиво. Просадка на выводе оказалась несколько боль</w:t>
      </w:r>
      <w:r w:rsidRPr="007224C3">
        <w:rPr>
          <w:rFonts w:ascii="Times New Roman" w:hAnsi="Times New Roman"/>
          <w:color w:val="000000" w:themeColor="text1"/>
          <w:sz w:val="16"/>
          <w:szCs w:val="16"/>
        </w:rPr>
        <w:softHyphen/>
        <w:t>ше, чем у серийного Ил-2. Сила от</w:t>
      </w:r>
      <w:r w:rsidRPr="007224C3">
        <w:rPr>
          <w:rFonts w:ascii="Times New Roman" w:hAnsi="Times New Roman"/>
          <w:color w:val="000000" w:themeColor="text1"/>
          <w:sz w:val="16"/>
          <w:szCs w:val="16"/>
        </w:rPr>
        <w:softHyphen/>
        <w:t>дачи при стрельбе из пушек почти не сказывалась на пилотировании самолетом и прицеливании. Манев</w:t>
      </w:r>
      <w:r w:rsidRPr="007224C3">
        <w:rPr>
          <w:rFonts w:ascii="Times New Roman" w:hAnsi="Times New Roman"/>
          <w:color w:val="000000" w:themeColor="text1"/>
          <w:sz w:val="16"/>
          <w:szCs w:val="16"/>
        </w:rPr>
        <w:softHyphen/>
        <w:t>ренность Ил-АМ-42 в вертикальной и горизонтальной плоскости оказа</w:t>
      </w:r>
      <w:r w:rsidRPr="007224C3">
        <w:rPr>
          <w:rFonts w:ascii="Times New Roman" w:hAnsi="Times New Roman"/>
          <w:color w:val="000000" w:themeColor="text1"/>
          <w:sz w:val="16"/>
          <w:szCs w:val="16"/>
        </w:rPr>
        <w:softHyphen/>
        <w:t>лась почти такой же, как у серийной "двойки", даже несколько хуже, и счи</w:t>
      </w:r>
      <w:r w:rsidRPr="007224C3">
        <w:rPr>
          <w:rFonts w:ascii="Times New Roman" w:hAnsi="Times New Roman"/>
          <w:color w:val="000000" w:themeColor="text1"/>
          <w:sz w:val="16"/>
          <w:szCs w:val="16"/>
        </w:rPr>
        <w:softHyphen/>
        <w:t>талась недостаточной для условий боевых действий завершающего периода войны. Тем не менее, в целом самолет оставил у военных летчиков-испытателей хорошее впечатление. "Специального переучивания летно</w:t>
      </w:r>
      <w:r w:rsidRPr="007224C3">
        <w:rPr>
          <w:rFonts w:ascii="Times New Roman" w:hAnsi="Times New Roman"/>
          <w:color w:val="000000" w:themeColor="text1"/>
          <w:sz w:val="16"/>
          <w:szCs w:val="16"/>
        </w:rPr>
        <w:softHyphen/>
        <w:t>го состава для перехода с Ил-2 не требует", - указывалось в отчете по испытаниям.</w:t>
      </w:r>
    </w:p>
    <w:p w14:paraId="454C613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улучшения пилотажных ка</w:t>
      </w:r>
      <w:r w:rsidRPr="007224C3">
        <w:rPr>
          <w:rFonts w:ascii="Times New Roman" w:hAnsi="Times New Roman"/>
          <w:color w:val="000000" w:themeColor="text1"/>
          <w:sz w:val="16"/>
          <w:szCs w:val="16"/>
        </w:rPr>
        <w:softHyphen/>
        <w:t>честв машины летчики предлагали на руль поворота установить триммер, а на элероны "наклепать ножи для регулировки от подваливания".</w:t>
      </w:r>
    </w:p>
    <w:p w14:paraId="1E3A809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Помимо неудовлетворительной работы мотора АМ-42, указывался и ряд других недостатков, отнесен</w:t>
      </w:r>
      <w:r w:rsidRPr="007224C3">
        <w:rPr>
          <w:rFonts w:ascii="Times New Roman" w:hAnsi="Times New Roman"/>
          <w:color w:val="000000" w:themeColor="text1"/>
          <w:sz w:val="16"/>
          <w:szCs w:val="16"/>
        </w:rPr>
        <w:softHyphen/>
        <w:t>ных специалистами института к раз</w:t>
      </w:r>
      <w:r w:rsidRPr="007224C3">
        <w:rPr>
          <w:rFonts w:ascii="Times New Roman" w:hAnsi="Times New Roman"/>
          <w:color w:val="000000" w:themeColor="text1"/>
          <w:sz w:val="16"/>
          <w:szCs w:val="16"/>
        </w:rPr>
        <w:softHyphen/>
        <w:t>ряду основных.</w:t>
      </w:r>
    </w:p>
    <w:p w14:paraId="4563826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частности, для самолета боя представлялось обязательным нали</w:t>
      </w:r>
      <w:r w:rsidRPr="007224C3">
        <w:rPr>
          <w:rFonts w:ascii="Times New Roman" w:hAnsi="Times New Roman"/>
          <w:color w:val="000000" w:themeColor="text1"/>
          <w:sz w:val="16"/>
          <w:szCs w:val="16"/>
        </w:rPr>
        <w:softHyphen/>
        <w:t>чие системы заполнения бензобаков нейтральным газом. На Ил-АМ-42 та</w:t>
      </w:r>
      <w:r w:rsidRPr="007224C3">
        <w:rPr>
          <w:rFonts w:ascii="Times New Roman" w:hAnsi="Times New Roman"/>
          <w:color w:val="000000" w:themeColor="text1"/>
          <w:sz w:val="16"/>
          <w:szCs w:val="16"/>
        </w:rPr>
        <w:softHyphen/>
        <w:t>кая система имелась, но на государ</w:t>
      </w:r>
      <w:r w:rsidRPr="007224C3">
        <w:rPr>
          <w:rFonts w:ascii="Times New Roman" w:hAnsi="Times New Roman"/>
          <w:color w:val="000000" w:themeColor="text1"/>
          <w:sz w:val="16"/>
          <w:szCs w:val="16"/>
        </w:rPr>
        <w:softHyphen/>
        <w:t>ственные испытания она не предъяв</w:t>
      </w:r>
      <w:r w:rsidRPr="007224C3">
        <w:rPr>
          <w:rFonts w:ascii="Times New Roman" w:hAnsi="Times New Roman"/>
          <w:color w:val="000000" w:themeColor="text1"/>
          <w:sz w:val="16"/>
          <w:szCs w:val="16"/>
        </w:rPr>
        <w:softHyphen/>
        <w:t>лялась, так как не была доведена до рабочего состояния.</w:t>
      </w:r>
    </w:p>
    <w:p w14:paraId="158FBFE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Схему бронирования Ил-АМ-42 специалисты НИИ ВВС оценили как не отвечающую современным требо</w:t>
      </w:r>
      <w:r w:rsidRPr="007224C3">
        <w:rPr>
          <w:rFonts w:ascii="Times New Roman" w:hAnsi="Times New Roman"/>
          <w:color w:val="000000" w:themeColor="text1"/>
          <w:sz w:val="16"/>
          <w:szCs w:val="16"/>
        </w:rPr>
        <w:softHyphen/>
        <w:t>ваниям. Соответствующее заключе</w:t>
      </w:r>
      <w:r w:rsidRPr="007224C3">
        <w:rPr>
          <w:rFonts w:ascii="Times New Roman" w:hAnsi="Times New Roman"/>
          <w:color w:val="000000" w:themeColor="text1"/>
          <w:sz w:val="16"/>
          <w:szCs w:val="16"/>
        </w:rPr>
        <w:softHyphen/>
        <w:t>ние начальник 8-го отдела институ</w:t>
      </w:r>
      <w:r w:rsidRPr="007224C3">
        <w:rPr>
          <w:rFonts w:ascii="Times New Roman" w:hAnsi="Times New Roman"/>
          <w:color w:val="000000" w:themeColor="text1"/>
          <w:sz w:val="16"/>
          <w:szCs w:val="16"/>
        </w:rPr>
        <w:softHyphen/>
        <w:t>та инженер-полковник Лагутин утвер</w:t>
      </w:r>
      <w:r w:rsidRPr="007224C3">
        <w:rPr>
          <w:rFonts w:ascii="Times New Roman" w:hAnsi="Times New Roman"/>
          <w:color w:val="000000" w:themeColor="text1"/>
          <w:sz w:val="16"/>
          <w:szCs w:val="16"/>
        </w:rPr>
        <w:softHyphen/>
        <w:t>дил 24 марта. В качестве особо уяз</w:t>
      </w:r>
      <w:r w:rsidRPr="007224C3">
        <w:rPr>
          <w:rFonts w:ascii="Times New Roman" w:hAnsi="Times New Roman"/>
          <w:color w:val="000000" w:themeColor="text1"/>
          <w:sz w:val="16"/>
          <w:szCs w:val="16"/>
        </w:rPr>
        <w:softHyphen/>
        <w:t>вимых мест указывались задняя бро-неперегородка штурмана-стрелка (толщина 12 мм) и моторная часть снизу-сбоку (толщина 4 мм). Боевой опыт показал, что именно эти места бронекорпуса Ил-2 наиболее часто поражаются огнем противника. Предлагалось усилить эти участки путем перераспределения толщины брони при сохранении веса брони на прежнем уровне. Для этого реко</w:t>
      </w:r>
      <w:r w:rsidRPr="007224C3">
        <w:rPr>
          <w:rFonts w:ascii="Times New Roman" w:hAnsi="Times New Roman"/>
          <w:color w:val="000000" w:themeColor="text1"/>
          <w:sz w:val="16"/>
          <w:szCs w:val="16"/>
        </w:rPr>
        <w:softHyphen/>
        <w:t>мендовалось "снять с корпуса ...пе</w:t>
      </w:r>
      <w:r w:rsidRPr="007224C3">
        <w:rPr>
          <w:rFonts w:ascii="Times New Roman" w:hAnsi="Times New Roman"/>
          <w:color w:val="000000" w:themeColor="text1"/>
          <w:sz w:val="16"/>
          <w:szCs w:val="16"/>
        </w:rPr>
        <w:softHyphen/>
        <w:t>редние броневые детали за втулкой винта, уменьшить с 5 до 2,5 мм тол</w:t>
      </w:r>
      <w:r w:rsidRPr="007224C3">
        <w:rPr>
          <w:rFonts w:ascii="Times New Roman" w:hAnsi="Times New Roman"/>
          <w:color w:val="000000" w:themeColor="text1"/>
          <w:sz w:val="16"/>
          <w:szCs w:val="16"/>
        </w:rPr>
        <w:softHyphen/>
        <w:t>щину деталей пояса кабины летчика в местах примыкания крыла к фюзе</w:t>
      </w:r>
      <w:r w:rsidRPr="007224C3">
        <w:rPr>
          <w:rFonts w:ascii="Times New Roman" w:hAnsi="Times New Roman"/>
          <w:color w:val="000000" w:themeColor="text1"/>
          <w:sz w:val="16"/>
          <w:szCs w:val="16"/>
        </w:rPr>
        <w:softHyphen/>
        <w:t>ляжу". Кроме этого, требовалось заднюю перегородку штурмана устано</w:t>
      </w:r>
      <w:r w:rsidRPr="007224C3">
        <w:rPr>
          <w:rFonts w:ascii="Times New Roman" w:hAnsi="Times New Roman"/>
          <w:color w:val="000000" w:themeColor="text1"/>
          <w:sz w:val="16"/>
          <w:szCs w:val="16"/>
        </w:rPr>
        <w:softHyphen/>
        <w:t>вить по образцу 2-го экземпляра Ил-АМ-42, то есть, сделать экраниро</w:t>
      </w:r>
      <w:r w:rsidRPr="007224C3">
        <w:rPr>
          <w:rFonts w:ascii="Times New Roman" w:hAnsi="Times New Roman"/>
          <w:color w:val="000000" w:themeColor="text1"/>
          <w:sz w:val="16"/>
          <w:szCs w:val="16"/>
        </w:rPr>
        <w:softHyphen/>
        <w:t>ванной - две бронеплиты по 8 мм, и обеспечить защиту головы штурма</w:t>
      </w:r>
      <w:r w:rsidRPr="007224C3">
        <w:rPr>
          <w:rFonts w:ascii="Times New Roman" w:hAnsi="Times New Roman"/>
          <w:color w:val="000000" w:themeColor="text1"/>
          <w:sz w:val="16"/>
          <w:szCs w:val="16"/>
        </w:rPr>
        <w:softHyphen/>
        <w:t>на бронестеклом.</w:t>
      </w:r>
    </w:p>
    <w:p w14:paraId="46C1EA1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тоже время отмечалось, что обе кабины - летчика и штурмана-стрел</w:t>
      </w:r>
      <w:r w:rsidRPr="007224C3">
        <w:rPr>
          <w:rFonts w:ascii="Times New Roman" w:hAnsi="Times New Roman"/>
          <w:color w:val="000000" w:themeColor="text1"/>
          <w:sz w:val="16"/>
          <w:szCs w:val="16"/>
        </w:rPr>
        <w:softHyphen/>
        <w:t>ка, в сравнении с Ил-2 имели увели</w:t>
      </w:r>
      <w:r w:rsidRPr="007224C3">
        <w:rPr>
          <w:rFonts w:ascii="Times New Roman" w:hAnsi="Times New Roman"/>
          <w:color w:val="000000" w:themeColor="text1"/>
          <w:sz w:val="16"/>
          <w:szCs w:val="16"/>
        </w:rPr>
        <w:softHyphen/>
        <w:t>ченные размеры, что улучшало ус</w:t>
      </w:r>
      <w:r w:rsidRPr="007224C3">
        <w:rPr>
          <w:rFonts w:ascii="Times New Roman" w:hAnsi="Times New Roman"/>
          <w:color w:val="000000" w:themeColor="text1"/>
          <w:sz w:val="16"/>
          <w:szCs w:val="16"/>
        </w:rPr>
        <w:softHyphen/>
        <w:t>ловия боевой работы экипажа. В кабине штурмана-стрелка вместо брезентовой ленты как на Ил-2 ус</w:t>
      </w:r>
      <w:r w:rsidRPr="007224C3">
        <w:rPr>
          <w:rFonts w:ascii="Times New Roman" w:hAnsi="Times New Roman"/>
          <w:color w:val="000000" w:themeColor="text1"/>
          <w:sz w:val="16"/>
          <w:szCs w:val="16"/>
        </w:rPr>
        <w:softHyphen/>
        <w:t>танавливалось постоянное откидное сиденье. Штурман облета к-н Т. Ф. Горбунов отмечал, что в кабине "теп</w:t>
      </w:r>
      <w:r w:rsidRPr="007224C3">
        <w:rPr>
          <w:rFonts w:ascii="Times New Roman" w:hAnsi="Times New Roman"/>
          <w:color w:val="000000" w:themeColor="text1"/>
          <w:sz w:val="16"/>
          <w:szCs w:val="16"/>
        </w:rPr>
        <w:softHyphen/>
        <w:t>ло, задуваний нет, можно работать без летных очков". Посадка в каби</w:t>
      </w:r>
      <w:r w:rsidRPr="007224C3">
        <w:rPr>
          <w:rFonts w:ascii="Times New Roman" w:hAnsi="Times New Roman"/>
          <w:color w:val="000000" w:themeColor="text1"/>
          <w:sz w:val="16"/>
          <w:szCs w:val="16"/>
        </w:rPr>
        <w:softHyphen/>
        <w:t>ну через нижний люк в бронекорпу-се была признана удобной. В ава</w:t>
      </w:r>
      <w:r w:rsidRPr="007224C3">
        <w:rPr>
          <w:rFonts w:ascii="Times New Roman" w:hAnsi="Times New Roman"/>
          <w:color w:val="000000" w:themeColor="text1"/>
          <w:sz w:val="16"/>
          <w:szCs w:val="16"/>
        </w:rPr>
        <w:softHyphen/>
        <w:t>рийной ситуации штурман легко по</w:t>
      </w:r>
      <w:r w:rsidRPr="007224C3">
        <w:rPr>
          <w:rFonts w:ascii="Times New Roman" w:hAnsi="Times New Roman"/>
          <w:color w:val="000000" w:themeColor="text1"/>
          <w:sz w:val="16"/>
          <w:szCs w:val="16"/>
        </w:rPr>
        <w:softHyphen/>
        <w:t>кидал кабину с парашютом. Однако при посадке на фюзеляж выбраться из своей кабины штурман не мог, "так как фонарь летчика при открытии надвигается на фонарь штурмана".</w:t>
      </w:r>
    </w:p>
    <w:p w14:paraId="183F5BA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достоинству машины было от</w:t>
      </w:r>
      <w:r w:rsidRPr="007224C3">
        <w:rPr>
          <w:rFonts w:ascii="Times New Roman" w:hAnsi="Times New Roman"/>
          <w:color w:val="000000" w:themeColor="text1"/>
          <w:sz w:val="16"/>
          <w:szCs w:val="16"/>
        </w:rPr>
        <w:softHyphen/>
        <w:t>несено применение электрической системы управления заслонками водо- и маслорадиаторов, а также пневмоэлектрической системы управ</w:t>
      </w:r>
      <w:r w:rsidRPr="007224C3">
        <w:rPr>
          <w:rFonts w:ascii="Times New Roman" w:hAnsi="Times New Roman"/>
          <w:color w:val="000000" w:themeColor="text1"/>
          <w:sz w:val="16"/>
          <w:szCs w:val="16"/>
        </w:rPr>
        <w:softHyphen/>
        <w:t>ления огнем и перезарядки стрелко-во-пушечного вооружения, посколь</w:t>
      </w:r>
      <w:r w:rsidRPr="007224C3">
        <w:rPr>
          <w:rFonts w:ascii="Times New Roman" w:hAnsi="Times New Roman"/>
          <w:color w:val="000000" w:themeColor="text1"/>
          <w:sz w:val="16"/>
          <w:szCs w:val="16"/>
        </w:rPr>
        <w:softHyphen/>
        <w:t>ку это сильно облегчало работу лет</w:t>
      </w:r>
      <w:r w:rsidRPr="007224C3">
        <w:rPr>
          <w:rFonts w:ascii="Times New Roman" w:hAnsi="Times New Roman"/>
          <w:color w:val="000000" w:themeColor="text1"/>
          <w:sz w:val="16"/>
          <w:szCs w:val="16"/>
        </w:rPr>
        <w:softHyphen/>
        <w:t>чика в бою.</w:t>
      </w:r>
    </w:p>
    <w:p w14:paraId="51AB54C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Положительно оценили военные летчики и наличие легкосъемного кронштейна прицела ПБП-16, уста</w:t>
      </w:r>
      <w:r w:rsidRPr="007224C3">
        <w:rPr>
          <w:rFonts w:ascii="Times New Roman" w:hAnsi="Times New Roman"/>
          <w:color w:val="000000" w:themeColor="text1"/>
          <w:sz w:val="16"/>
          <w:szCs w:val="16"/>
        </w:rPr>
        <w:softHyphen/>
        <w:t>новленного в кабине пилота. Это обеспечивало летчику дополнитель</w:t>
      </w:r>
      <w:r w:rsidRPr="007224C3">
        <w:rPr>
          <w:rFonts w:ascii="Times New Roman" w:hAnsi="Times New Roman"/>
          <w:color w:val="000000" w:themeColor="text1"/>
          <w:sz w:val="16"/>
          <w:szCs w:val="16"/>
        </w:rPr>
        <w:softHyphen/>
        <w:t>ную безопасность при посадке с убранными шасси. Как известно, на Ил-2 ранних серий летчики часто уда</w:t>
      </w:r>
      <w:r w:rsidRPr="007224C3">
        <w:rPr>
          <w:rFonts w:ascii="Times New Roman" w:hAnsi="Times New Roman"/>
          <w:color w:val="000000" w:themeColor="text1"/>
          <w:sz w:val="16"/>
          <w:szCs w:val="16"/>
        </w:rPr>
        <w:softHyphen/>
        <w:t>рялись о прицел ПБП-16 головой во время вынужденных посадок, что не</w:t>
      </w:r>
      <w:r w:rsidRPr="007224C3">
        <w:rPr>
          <w:rFonts w:ascii="Times New Roman" w:hAnsi="Times New Roman"/>
          <w:color w:val="000000" w:themeColor="text1"/>
          <w:sz w:val="16"/>
          <w:szCs w:val="16"/>
        </w:rPr>
        <w:softHyphen/>
        <w:t>редко приводило к серьезным трав</w:t>
      </w:r>
      <w:r w:rsidRPr="007224C3">
        <w:rPr>
          <w:rFonts w:ascii="Times New Roman" w:hAnsi="Times New Roman"/>
          <w:color w:val="000000" w:themeColor="text1"/>
          <w:sz w:val="16"/>
          <w:szCs w:val="16"/>
        </w:rPr>
        <w:softHyphen/>
        <w:t>мам, а в ряде случаев - и к смер</w:t>
      </w:r>
      <w:r w:rsidRPr="007224C3">
        <w:rPr>
          <w:rFonts w:ascii="Times New Roman" w:hAnsi="Times New Roman"/>
          <w:color w:val="000000" w:themeColor="text1"/>
          <w:sz w:val="16"/>
          <w:szCs w:val="16"/>
        </w:rPr>
        <w:softHyphen/>
        <w:t>тельным исходам. По этим причи</w:t>
      </w:r>
      <w:r w:rsidRPr="007224C3">
        <w:rPr>
          <w:rFonts w:ascii="Times New Roman" w:hAnsi="Times New Roman"/>
          <w:color w:val="000000" w:themeColor="text1"/>
          <w:sz w:val="16"/>
          <w:szCs w:val="16"/>
        </w:rPr>
        <w:softHyphen/>
        <w:t>нам по настоянию летного состава ПБП-1 б в полках снимался, а в 1942 г. вместо него на Ил-2 стал устанав</w:t>
      </w:r>
      <w:r w:rsidRPr="007224C3">
        <w:rPr>
          <w:rFonts w:ascii="Times New Roman" w:hAnsi="Times New Roman"/>
          <w:color w:val="000000" w:themeColor="text1"/>
          <w:sz w:val="16"/>
          <w:szCs w:val="16"/>
        </w:rPr>
        <w:softHyphen/>
        <w:t>ливаться механический прицел ВВ-1.</w:t>
      </w:r>
    </w:p>
    <w:p w14:paraId="34E04AF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Бомбовое вооружение штурмови</w:t>
      </w:r>
      <w:r w:rsidRPr="007224C3">
        <w:rPr>
          <w:rFonts w:ascii="Times New Roman" w:hAnsi="Times New Roman"/>
          <w:color w:val="000000" w:themeColor="text1"/>
          <w:sz w:val="16"/>
          <w:szCs w:val="16"/>
        </w:rPr>
        <w:softHyphen/>
        <w:t>ка-бомбардировщика Ил-АМ-42 по номенклатуре бомб и весу в целом соответствовало требованиям войны. Бомбометание допускалось как с го</w:t>
      </w:r>
      <w:r w:rsidRPr="007224C3">
        <w:rPr>
          <w:rFonts w:ascii="Times New Roman" w:hAnsi="Times New Roman"/>
          <w:color w:val="000000" w:themeColor="text1"/>
          <w:sz w:val="16"/>
          <w:szCs w:val="16"/>
        </w:rPr>
        <w:softHyphen/>
        <w:t>ризонтального полета, так и с пики</w:t>
      </w:r>
      <w:r w:rsidRPr="007224C3">
        <w:rPr>
          <w:rFonts w:ascii="Times New Roman" w:hAnsi="Times New Roman"/>
          <w:color w:val="000000" w:themeColor="text1"/>
          <w:sz w:val="16"/>
          <w:szCs w:val="16"/>
        </w:rPr>
        <w:softHyphen/>
        <w:t>рования, но под углами не более 25-30°, хотя на испытаниях самолет пи</w:t>
      </w:r>
      <w:r w:rsidRPr="007224C3">
        <w:rPr>
          <w:rFonts w:ascii="Times New Roman" w:hAnsi="Times New Roman"/>
          <w:color w:val="000000" w:themeColor="text1"/>
          <w:sz w:val="16"/>
          <w:szCs w:val="16"/>
        </w:rPr>
        <w:softHyphen/>
        <w:t>кировал до 40° без каких либо на</w:t>
      </w:r>
      <w:r w:rsidRPr="007224C3">
        <w:rPr>
          <w:rFonts w:ascii="Times New Roman" w:hAnsi="Times New Roman"/>
          <w:color w:val="000000" w:themeColor="text1"/>
          <w:sz w:val="16"/>
          <w:szCs w:val="16"/>
        </w:rPr>
        <w:softHyphen/>
        <w:t>реканий. Для бомбометания с гори</w:t>
      </w:r>
      <w:r w:rsidRPr="007224C3">
        <w:rPr>
          <w:rFonts w:ascii="Times New Roman" w:hAnsi="Times New Roman"/>
          <w:color w:val="000000" w:themeColor="text1"/>
          <w:sz w:val="16"/>
          <w:szCs w:val="16"/>
        </w:rPr>
        <w:softHyphen/>
        <w:t>зонтального полета предназначался прицел ОПБ-1р. Сброс бомб мог осуществляться и штурманом, и лет</w:t>
      </w:r>
      <w:r w:rsidRPr="007224C3">
        <w:rPr>
          <w:rFonts w:ascii="Times New Roman" w:hAnsi="Times New Roman"/>
          <w:color w:val="000000" w:themeColor="text1"/>
          <w:sz w:val="16"/>
          <w:szCs w:val="16"/>
        </w:rPr>
        <w:softHyphen/>
        <w:t>чиком. Однако прицельно сбросить бомбы ни тот, ни другой не могли. Из-за плохого обзора передней по</w:t>
      </w:r>
      <w:r w:rsidRPr="007224C3">
        <w:rPr>
          <w:rFonts w:ascii="Times New Roman" w:hAnsi="Times New Roman"/>
          <w:color w:val="000000" w:themeColor="text1"/>
          <w:sz w:val="16"/>
          <w:szCs w:val="16"/>
        </w:rPr>
        <w:softHyphen/>
        <w:t>лусферы штурман без помощи летчика не может вывести самолет на нехарактерную цель "(объект удара), то есть "заранее найти цель, опоз</w:t>
      </w:r>
      <w:r w:rsidRPr="007224C3">
        <w:rPr>
          <w:rFonts w:ascii="Times New Roman" w:hAnsi="Times New Roman"/>
          <w:color w:val="000000" w:themeColor="text1"/>
          <w:sz w:val="16"/>
          <w:szCs w:val="16"/>
        </w:rPr>
        <w:softHyphen/>
        <w:t>нать ее, а затем осуществить навод</w:t>
      </w:r>
      <w:r w:rsidRPr="007224C3">
        <w:rPr>
          <w:rFonts w:ascii="Times New Roman" w:hAnsi="Times New Roman"/>
          <w:color w:val="000000" w:themeColor="text1"/>
          <w:sz w:val="16"/>
          <w:szCs w:val="16"/>
        </w:rPr>
        <w:softHyphen/>
        <w:t>ку". Как отмечалось в отчете, "вы</w:t>
      </w:r>
      <w:r w:rsidRPr="007224C3">
        <w:rPr>
          <w:rFonts w:ascii="Times New Roman" w:hAnsi="Times New Roman"/>
          <w:color w:val="000000" w:themeColor="text1"/>
          <w:sz w:val="16"/>
          <w:szCs w:val="16"/>
        </w:rPr>
        <w:softHyphen/>
        <w:t>полнить все это через прицел не представляется возможным". В свою очередь, "вследствие неудовлетвори</w:t>
      </w:r>
      <w:r w:rsidRPr="007224C3">
        <w:rPr>
          <w:rFonts w:ascii="Times New Roman" w:hAnsi="Times New Roman"/>
          <w:color w:val="000000" w:themeColor="text1"/>
          <w:sz w:val="16"/>
          <w:szCs w:val="16"/>
        </w:rPr>
        <w:softHyphen/>
        <w:t>тельного качества прицельных уст</w:t>
      </w:r>
      <w:r w:rsidRPr="007224C3">
        <w:rPr>
          <w:rFonts w:ascii="Times New Roman" w:hAnsi="Times New Roman"/>
          <w:color w:val="000000" w:themeColor="text1"/>
          <w:sz w:val="16"/>
          <w:szCs w:val="16"/>
        </w:rPr>
        <w:softHyphen/>
        <w:t>ройств" летчик мог прицеливаться и бомбить "с горизонта" лишь по наи</w:t>
      </w:r>
      <w:r w:rsidRPr="007224C3">
        <w:rPr>
          <w:rFonts w:ascii="Times New Roman" w:hAnsi="Times New Roman"/>
          <w:color w:val="000000" w:themeColor="text1"/>
          <w:sz w:val="16"/>
          <w:szCs w:val="16"/>
        </w:rPr>
        <w:softHyphen/>
        <w:t>тию. Фактически получалось так, что при бомбометании с горизонтально</w:t>
      </w:r>
      <w:r w:rsidRPr="007224C3">
        <w:rPr>
          <w:rFonts w:ascii="Times New Roman" w:hAnsi="Times New Roman"/>
          <w:color w:val="000000" w:themeColor="text1"/>
          <w:sz w:val="16"/>
          <w:szCs w:val="16"/>
        </w:rPr>
        <w:softHyphen/>
        <w:t>го полета наводку на цель и выход на боевой курс должен был выпол</w:t>
      </w:r>
      <w:r w:rsidRPr="007224C3">
        <w:rPr>
          <w:rFonts w:ascii="Times New Roman" w:hAnsi="Times New Roman"/>
          <w:color w:val="000000" w:themeColor="text1"/>
          <w:sz w:val="16"/>
          <w:szCs w:val="16"/>
        </w:rPr>
        <w:softHyphen/>
        <w:t>нять непосредственно летчик, а при</w:t>
      </w:r>
      <w:r w:rsidRPr="007224C3">
        <w:rPr>
          <w:rFonts w:ascii="Times New Roman" w:hAnsi="Times New Roman"/>
          <w:color w:val="000000" w:themeColor="text1"/>
          <w:sz w:val="16"/>
          <w:szCs w:val="16"/>
        </w:rPr>
        <w:softHyphen/>
        <w:t>целивание — штурман, "что требует соответствующей методической про</w:t>
      </w:r>
      <w:r w:rsidRPr="007224C3">
        <w:rPr>
          <w:rFonts w:ascii="Times New Roman" w:hAnsi="Times New Roman"/>
          <w:color w:val="000000" w:themeColor="text1"/>
          <w:sz w:val="16"/>
          <w:szCs w:val="16"/>
        </w:rPr>
        <w:softHyphen/>
        <w:t>работки".</w:t>
      </w:r>
    </w:p>
    <w:p w14:paraId="1BA86BB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Кроме этого, бомбовый прицел штурмана в полете нещадно забрыз</w:t>
      </w:r>
      <w:r w:rsidRPr="007224C3">
        <w:rPr>
          <w:rFonts w:ascii="Times New Roman" w:hAnsi="Times New Roman"/>
          <w:color w:val="000000" w:themeColor="text1"/>
          <w:sz w:val="16"/>
          <w:szCs w:val="16"/>
        </w:rPr>
        <w:softHyphen/>
        <w:t>гивался маслом, которое выбивалось из-под уплотнительного кольца втул</w:t>
      </w:r>
      <w:r w:rsidRPr="007224C3">
        <w:rPr>
          <w:rFonts w:ascii="Times New Roman" w:hAnsi="Times New Roman"/>
          <w:color w:val="000000" w:themeColor="text1"/>
          <w:sz w:val="16"/>
          <w:szCs w:val="16"/>
        </w:rPr>
        <w:softHyphen/>
        <w:t>ки винта и носка коленчатого вала мотора. По этим причинам в первом же полете на испытание бомбового вооружения 9 марта штурман к-н Т. Ф. Горбунов был вынужден сбросить все бомбы залпом не прицельно за один заход. Для предохранения при</w:t>
      </w:r>
      <w:r w:rsidRPr="007224C3">
        <w:rPr>
          <w:rFonts w:ascii="Times New Roman" w:hAnsi="Times New Roman"/>
          <w:color w:val="000000" w:themeColor="text1"/>
          <w:sz w:val="16"/>
          <w:szCs w:val="16"/>
        </w:rPr>
        <w:softHyphen/>
        <w:t>цела от попадания масла на заводе № 240 был изготовлен и затем ус</w:t>
      </w:r>
      <w:r w:rsidRPr="007224C3">
        <w:rPr>
          <w:rFonts w:ascii="Times New Roman" w:hAnsi="Times New Roman"/>
          <w:color w:val="000000" w:themeColor="text1"/>
          <w:sz w:val="16"/>
          <w:szCs w:val="16"/>
        </w:rPr>
        <w:softHyphen/>
        <w:t>тановлен на самолет специальный щиток. Установка щитка положение не улучшило — оптика забрызгива</w:t>
      </w:r>
      <w:r w:rsidRPr="007224C3">
        <w:rPr>
          <w:rFonts w:ascii="Times New Roman" w:hAnsi="Times New Roman"/>
          <w:color w:val="000000" w:themeColor="text1"/>
          <w:sz w:val="16"/>
          <w:szCs w:val="16"/>
        </w:rPr>
        <w:softHyphen/>
        <w:t>лась маслом. Прицельное бомбоме</w:t>
      </w:r>
      <w:r w:rsidRPr="007224C3">
        <w:rPr>
          <w:rFonts w:ascii="Times New Roman" w:hAnsi="Times New Roman"/>
          <w:color w:val="000000" w:themeColor="text1"/>
          <w:sz w:val="16"/>
          <w:szCs w:val="16"/>
        </w:rPr>
        <w:softHyphen/>
        <w:t>тание, по-прежнему, оставалось не</w:t>
      </w:r>
      <w:r w:rsidRPr="007224C3">
        <w:rPr>
          <w:rFonts w:ascii="Times New Roman" w:hAnsi="Times New Roman"/>
          <w:color w:val="000000" w:themeColor="text1"/>
          <w:sz w:val="16"/>
          <w:szCs w:val="16"/>
        </w:rPr>
        <w:softHyphen/>
        <w:t>возможным. В испытательном поле</w:t>
      </w:r>
      <w:r w:rsidRPr="007224C3">
        <w:rPr>
          <w:rFonts w:ascii="Times New Roman" w:hAnsi="Times New Roman"/>
          <w:color w:val="000000" w:themeColor="text1"/>
          <w:sz w:val="16"/>
          <w:szCs w:val="16"/>
        </w:rPr>
        <w:softHyphen/>
        <w:t>те 19 марта с установленным щит</w:t>
      </w:r>
      <w:r w:rsidRPr="007224C3">
        <w:rPr>
          <w:rFonts w:ascii="Times New Roman" w:hAnsi="Times New Roman"/>
          <w:color w:val="000000" w:themeColor="text1"/>
          <w:sz w:val="16"/>
          <w:szCs w:val="16"/>
        </w:rPr>
        <w:softHyphen/>
        <w:t>ком из-за замасливания оптики Гор</w:t>
      </w:r>
      <w:r w:rsidRPr="007224C3">
        <w:rPr>
          <w:rFonts w:ascii="Times New Roman" w:hAnsi="Times New Roman"/>
          <w:color w:val="000000" w:themeColor="text1"/>
          <w:sz w:val="16"/>
          <w:szCs w:val="16"/>
        </w:rPr>
        <w:softHyphen/>
        <w:t>бунов сбросил все бомбы аварий</w:t>
      </w:r>
      <w:r w:rsidRPr="007224C3">
        <w:rPr>
          <w:rFonts w:ascii="Times New Roman" w:hAnsi="Times New Roman"/>
          <w:color w:val="000000" w:themeColor="text1"/>
          <w:sz w:val="16"/>
          <w:szCs w:val="16"/>
        </w:rPr>
        <w:softHyphen/>
        <w:t>но. В тоже время отмечалось, что ра</w:t>
      </w:r>
      <w:r w:rsidRPr="007224C3">
        <w:rPr>
          <w:rFonts w:ascii="Times New Roman" w:hAnsi="Times New Roman"/>
          <w:color w:val="000000" w:themeColor="text1"/>
          <w:sz w:val="16"/>
          <w:szCs w:val="16"/>
        </w:rPr>
        <w:softHyphen/>
        <w:t>ботать с ОПБ-1р в боевом положе</w:t>
      </w:r>
      <w:r w:rsidRPr="007224C3">
        <w:rPr>
          <w:rFonts w:ascii="Times New Roman" w:hAnsi="Times New Roman"/>
          <w:color w:val="000000" w:themeColor="text1"/>
          <w:sz w:val="16"/>
          <w:szCs w:val="16"/>
        </w:rPr>
        <w:softHyphen/>
        <w:t>нии удобно, а сам прицел является наиболее подходящим для установ</w:t>
      </w:r>
      <w:r w:rsidRPr="007224C3">
        <w:rPr>
          <w:rFonts w:ascii="Times New Roman" w:hAnsi="Times New Roman"/>
          <w:color w:val="000000" w:themeColor="text1"/>
          <w:sz w:val="16"/>
          <w:szCs w:val="16"/>
        </w:rPr>
        <w:softHyphen/>
        <w:t>ки на Ил-АМ-42 если, конечно, "уст</w:t>
      </w:r>
      <w:r w:rsidRPr="007224C3">
        <w:rPr>
          <w:rFonts w:ascii="Times New Roman" w:hAnsi="Times New Roman"/>
          <w:color w:val="000000" w:themeColor="text1"/>
          <w:sz w:val="16"/>
          <w:szCs w:val="16"/>
        </w:rPr>
        <w:softHyphen/>
        <w:t>ранить забрызгивание оптики прице</w:t>
      </w:r>
      <w:r w:rsidRPr="007224C3">
        <w:rPr>
          <w:rFonts w:ascii="Times New Roman" w:hAnsi="Times New Roman"/>
          <w:color w:val="000000" w:themeColor="text1"/>
          <w:sz w:val="16"/>
          <w:szCs w:val="16"/>
        </w:rPr>
        <w:softHyphen/>
        <w:t>ла маслом".</w:t>
      </w:r>
    </w:p>
    <w:p w14:paraId="2739866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Бомбометание с пикирования по методике ничем не отличалось от та</w:t>
      </w:r>
      <w:r w:rsidRPr="007224C3">
        <w:rPr>
          <w:rFonts w:ascii="Times New Roman" w:hAnsi="Times New Roman"/>
          <w:color w:val="000000" w:themeColor="text1"/>
          <w:sz w:val="16"/>
          <w:szCs w:val="16"/>
        </w:rPr>
        <w:softHyphen/>
        <w:t>ковой на Ил-2 и в целом показало хорошие результаты вследствие луч</w:t>
      </w:r>
      <w:r w:rsidRPr="007224C3">
        <w:rPr>
          <w:rFonts w:ascii="Times New Roman" w:hAnsi="Times New Roman"/>
          <w:color w:val="000000" w:themeColor="text1"/>
          <w:sz w:val="16"/>
          <w:szCs w:val="16"/>
        </w:rPr>
        <w:softHyphen/>
        <w:t>шей устойчивости самолета.</w:t>
      </w:r>
    </w:p>
    <w:p w14:paraId="64E6E4D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Отметим, что маслом забрызги</w:t>
      </w:r>
      <w:r w:rsidRPr="007224C3">
        <w:rPr>
          <w:rFonts w:ascii="Times New Roman" w:hAnsi="Times New Roman"/>
          <w:color w:val="000000" w:themeColor="text1"/>
          <w:sz w:val="16"/>
          <w:szCs w:val="16"/>
        </w:rPr>
        <w:softHyphen/>
        <w:t>валось и переднее бронестекло фо</w:t>
      </w:r>
      <w:r w:rsidRPr="007224C3">
        <w:rPr>
          <w:rFonts w:ascii="Times New Roman" w:hAnsi="Times New Roman"/>
          <w:color w:val="000000" w:themeColor="text1"/>
          <w:sz w:val="16"/>
          <w:szCs w:val="16"/>
        </w:rPr>
        <w:softHyphen/>
        <w:t>наря кабины пилота, что, естествен</w:t>
      </w:r>
      <w:r w:rsidRPr="007224C3">
        <w:rPr>
          <w:rFonts w:ascii="Times New Roman" w:hAnsi="Times New Roman"/>
          <w:color w:val="000000" w:themeColor="text1"/>
          <w:sz w:val="16"/>
          <w:szCs w:val="16"/>
        </w:rPr>
        <w:softHyphen/>
        <w:t>но, ухудшало условия прицеливания.</w:t>
      </w:r>
    </w:p>
    <w:p w14:paraId="08E6768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отработки стрелково-пушечного вооружения было выполнено в общей сложности 19 полетов, из них: "9 полетов со стрельбой по назем</w:t>
      </w:r>
      <w:r w:rsidRPr="007224C3">
        <w:rPr>
          <w:rFonts w:ascii="Times New Roman" w:hAnsi="Times New Roman"/>
          <w:color w:val="000000" w:themeColor="text1"/>
          <w:sz w:val="16"/>
          <w:szCs w:val="16"/>
        </w:rPr>
        <w:softHyphen/>
        <w:t>ным целям и 10 полетов с ВУ-8".</w:t>
      </w:r>
    </w:p>
    <w:p w14:paraId="0C5F0CF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Если к пушкам ВЯ и пулеметам ШКАС при стрельбе в воздухе, ка</w:t>
      </w:r>
      <w:r w:rsidRPr="007224C3">
        <w:rPr>
          <w:rFonts w:ascii="Times New Roman" w:hAnsi="Times New Roman"/>
          <w:color w:val="000000" w:themeColor="text1"/>
          <w:sz w:val="16"/>
          <w:szCs w:val="16"/>
        </w:rPr>
        <w:softHyphen/>
        <w:t>ких либо серьезных претензий у во</w:t>
      </w:r>
      <w:r w:rsidRPr="007224C3">
        <w:rPr>
          <w:rFonts w:ascii="Times New Roman" w:hAnsi="Times New Roman"/>
          <w:color w:val="000000" w:themeColor="text1"/>
          <w:sz w:val="16"/>
          <w:szCs w:val="16"/>
        </w:rPr>
        <w:softHyphen/>
        <w:t>енных испытателей не было, то ра</w:t>
      </w:r>
      <w:r w:rsidRPr="007224C3">
        <w:rPr>
          <w:rFonts w:ascii="Times New Roman" w:hAnsi="Times New Roman"/>
          <w:color w:val="000000" w:themeColor="text1"/>
          <w:sz w:val="16"/>
          <w:szCs w:val="16"/>
        </w:rPr>
        <w:softHyphen/>
        <w:t>ботой оборонительной установки ВУ-8 с пулеметом УБК и ее возмож</w:t>
      </w:r>
      <w:r w:rsidRPr="007224C3">
        <w:rPr>
          <w:rFonts w:ascii="Times New Roman" w:hAnsi="Times New Roman"/>
          <w:color w:val="000000" w:themeColor="text1"/>
          <w:sz w:val="16"/>
          <w:szCs w:val="16"/>
        </w:rPr>
        <w:softHyphen/>
        <w:t>ностями они остались недовольны.</w:t>
      </w:r>
    </w:p>
    <w:p w14:paraId="358212D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 недостатки ВУ-8 в явном виде проявились в воздушном бою с не</w:t>
      </w:r>
      <w:r w:rsidRPr="007224C3">
        <w:rPr>
          <w:rFonts w:ascii="Times New Roman" w:hAnsi="Times New Roman"/>
          <w:color w:val="000000" w:themeColor="text1"/>
          <w:sz w:val="16"/>
          <w:szCs w:val="16"/>
        </w:rPr>
        <w:softHyphen/>
        <w:t>мецким истребителем ВЛ09С-2, ко</w:t>
      </w:r>
      <w:r w:rsidRPr="007224C3">
        <w:rPr>
          <w:rFonts w:ascii="Times New Roman" w:hAnsi="Times New Roman"/>
          <w:color w:val="000000" w:themeColor="text1"/>
          <w:sz w:val="16"/>
          <w:szCs w:val="16"/>
        </w:rPr>
        <w:softHyphen/>
        <w:t>торый состоялся 30 апреля. В каче</w:t>
      </w:r>
      <w:r w:rsidRPr="007224C3">
        <w:rPr>
          <w:rFonts w:ascii="Times New Roman" w:hAnsi="Times New Roman"/>
          <w:color w:val="000000" w:themeColor="text1"/>
          <w:sz w:val="16"/>
          <w:szCs w:val="16"/>
        </w:rPr>
        <w:softHyphen/>
        <w:t>стве воздушного стрелка выступал штурман-испытатель п-п-к Н. П. Цвет</w:t>
      </w:r>
      <w:r w:rsidRPr="007224C3">
        <w:rPr>
          <w:rFonts w:ascii="Times New Roman" w:hAnsi="Times New Roman"/>
          <w:color w:val="000000" w:themeColor="text1"/>
          <w:sz w:val="16"/>
          <w:szCs w:val="16"/>
        </w:rPr>
        <w:softHyphen/>
        <w:t>ков. Атаки выполнялись со всех воз</w:t>
      </w:r>
      <w:r w:rsidRPr="007224C3">
        <w:rPr>
          <w:rFonts w:ascii="Times New Roman" w:hAnsi="Times New Roman"/>
          <w:color w:val="000000" w:themeColor="text1"/>
          <w:sz w:val="16"/>
          <w:szCs w:val="16"/>
        </w:rPr>
        <w:softHyphen/>
        <w:t>можных в реальном бою направле</w:t>
      </w:r>
      <w:r w:rsidRPr="007224C3">
        <w:rPr>
          <w:rFonts w:ascii="Times New Roman" w:hAnsi="Times New Roman"/>
          <w:color w:val="000000" w:themeColor="text1"/>
          <w:sz w:val="16"/>
          <w:szCs w:val="16"/>
        </w:rPr>
        <w:softHyphen/>
        <w:t>ний. При этом на маршруте полета от Чкаловской до Ногинска "мессер" успевал выполнить до 8-9 атак, на</w:t>
      </w:r>
      <w:r w:rsidRPr="007224C3">
        <w:rPr>
          <w:rFonts w:ascii="Times New Roman" w:hAnsi="Times New Roman"/>
          <w:color w:val="000000" w:themeColor="text1"/>
          <w:sz w:val="16"/>
          <w:szCs w:val="16"/>
        </w:rPr>
        <w:softHyphen/>
        <w:t>ходясь всегда в задней полусфере, и отворачивая всякий раз в сторону с набором высоты.</w:t>
      </w:r>
    </w:p>
    <w:p w14:paraId="5A1A70A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Оказалось, что за время одной атаки "мессера" штурман успевал только развернуть установку в сто</w:t>
      </w:r>
      <w:r w:rsidRPr="007224C3">
        <w:rPr>
          <w:rFonts w:ascii="Times New Roman" w:hAnsi="Times New Roman"/>
          <w:color w:val="000000" w:themeColor="text1"/>
          <w:sz w:val="16"/>
          <w:szCs w:val="16"/>
        </w:rPr>
        <w:softHyphen/>
        <w:t>рону истребителя и выставить пуле</w:t>
      </w:r>
      <w:r w:rsidRPr="007224C3">
        <w:rPr>
          <w:rFonts w:ascii="Times New Roman" w:hAnsi="Times New Roman"/>
          <w:color w:val="000000" w:themeColor="text1"/>
          <w:sz w:val="16"/>
          <w:szCs w:val="16"/>
        </w:rPr>
        <w:softHyphen/>
        <w:t>мет в необходимое положение для стрельбы по нему, а на прицелива</w:t>
      </w:r>
      <w:r w:rsidRPr="007224C3">
        <w:rPr>
          <w:rFonts w:ascii="Times New Roman" w:hAnsi="Times New Roman"/>
          <w:color w:val="000000" w:themeColor="text1"/>
          <w:sz w:val="16"/>
          <w:szCs w:val="16"/>
        </w:rPr>
        <w:softHyphen/>
        <w:t>ние оставалось "такое незначитель</w:t>
      </w:r>
      <w:r w:rsidRPr="007224C3">
        <w:rPr>
          <w:rFonts w:ascii="Times New Roman" w:hAnsi="Times New Roman"/>
          <w:color w:val="000000" w:themeColor="text1"/>
          <w:sz w:val="16"/>
          <w:szCs w:val="16"/>
        </w:rPr>
        <w:softHyphen/>
        <w:t>ное время, что точно навести при</w:t>
      </w:r>
      <w:r w:rsidRPr="007224C3">
        <w:rPr>
          <w:rFonts w:ascii="Times New Roman" w:hAnsi="Times New Roman"/>
          <w:color w:val="000000" w:themeColor="text1"/>
          <w:sz w:val="16"/>
          <w:szCs w:val="16"/>
        </w:rPr>
        <w:softHyphen/>
        <w:t>цел, с требуемой поправкой на ско</w:t>
      </w:r>
      <w:r w:rsidRPr="007224C3">
        <w:rPr>
          <w:rFonts w:ascii="Times New Roman" w:hAnsi="Times New Roman"/>
          <w:color w:val="000000" w:themeColor="text1"/>
          <w:sz w:val="16"/>
          <w:szCs w:val="16"/>
        </w:rPr>
        <w:softHyphen/>
        <w:t xml:space="preserve">рость цели, не удалось ни </w:t>
      </w:r>
      <w:r w:rsidRPr="007224C3">
        <w:rPr>
          <w:rFonts w:ascii="Times New Roman" w:hAnsi="Times New Roman"/>
          <w:color w:val="000000" w:themeColor="text1"/>
          <w:sz w:val="16"/>
          <w:szCs w:val="16"/>
        </w:rPr>
        <w:lastRenderedPageBreak/>
        <w:t>разу". С одной стороны, это обуславливалось большими угловыми скоростями цели, а с другой, значительными усилиями для удерживания пулемета при при</w:t>
      </w:r>
      <w:r w:rsidRPr="007224C3">
        <w:rPr>
          <w:rFonts w:ascii="Times New Roman" w:hAnsi="Times New Roman"/>
          <w:color w:val="000000" w:themeColor="text1"/>
          <w:sz w:val="16"/>
          <w:szCs w:val="16"/>
        </w:rPr>
        <w:softHyphen/>
        <w:t>целивании и стрельбе. Дело в том, что для выполнения грубой наводки на цель штурману приходилось од</w:t>
      </w:r>
      <w:r w:rsidRPr="007224C3">
        <w:rPr>
          <w:rFonts w:ascii="Times New Roman" w:hAnsi="Times New Roman"/>
          <w:color w:val="000000" w:themeColor="text1"/>
          <w:sz w:val="16"/>
          <w:szCs w:val="16"/>
        </w:rPr>
        <w:softHyphen/>
        <w:t>ной рукой (правой) удерживать пу</w:t>
      </w:r>
      <w:r w:rsidRPr="007224C3">
        <w:rPr>
          <w:rFonts w:ascii="Times New Roman" w:hAnsi="Times New Roman"/>
          <w:color w:val="000000" w:themeColor="text1"/>
          <w:sz w:val="16"/>
          <w:szCs w:val="16"/>
        </w:rPr>
        <w:softHyphen/>
        <w:t>лемет, а другой рукой (левой) - сто</w:t>
      </w:r>
      <w:r w:rsidRPr="007224C3">
        <w:rPr>
          <w:rFonts w:ascii="Times New Roman" w:hAnsi="Times New Roman"/>
          <w:color w:val="000000" w:themeColor="text1"/>
          <w:sz w:val="16"/>
          <w:szCs w:val="16"/>
        </w:rPr>
        <w:softHyphen/>
        <w:t>пор каретки установки, и одновре</w:t>
      </w:r>
      <w:r w:rsidRPr="007224C3">
        <w:rPr>
          <w:rFonts w:ascii="Times New Roman" w:hAnsi="Times New Roman"/>
          <w:color w:val="000000" w:themeColor="text1"/>
          <w:sz w:val="16"/>
          <w:szCs w:val="16"/>
        </w:rPr>
        <w:softHyphen/>
        <w:t>менно "доворачивать пулеметную ус</w:t>
      </w:r>
      <w:r w:rsidRPr="007224C3">
        <w:rPr>
          <w:rFonts w:ascii="Times New Roman" w:hAnsi="Times New Roman"/>
          <w:color w:val="000000" w:themeColor="text1"/>
          <w:sz w:val="16"/>
          <w:szCs w:val="16"/>
        </w:rPr>
        <w:softHyphen/>
        <w:t>тановку на цель". После окончания грубой наводки штурман переносил левую руку на пулемет для точного прицеливания, но положение цели за это время менялось настолько, что она оказывалась за пределами уг</w:t>
      </w:r>
      <w:r w:rsidRPr="007224C3">
        <w:rPr>
          <w:rFonts w:ascii="Times New Roman" w:hAnsi="Times New Roman"/>
          <w:color w:val="000000" w:themeColor="text1"/>
          <w:sz w:val="16"/>
          <w:szCs w:val="16"/>
        </w:rPr>
        <w:softHyphen/>
        <w:t>лового сектора точной наводки пу</w:t>
      </w:r>
      <w:r w:rsidRPr="007224C3">
        <w:rPr>
          <w:rFonts w:ascii="Times New Roman" w:hAnsi="Times New Roman"/>
          <w:color w:val="000000" w:themeColor="text1"/>
          <w:sz w:val="16"/>
          <w:szCs w:val="16"/>
        </w:rPr>
        <w:softHyphen/>
        <w:t>лемета. Требовалось вновь переме</w:t>
      </w:r>
      <w:r w:rsidRPr="007224C3">
        <w:rPr>
          <w:rFonts w:ascii="Times New Roman" w:hAnsi="Times New Roman"/>
          <w:color w:val="000000" w:themeColor="text1"/>
          <w:sz w:val="16"/>
          <w:szCs w:val="16"/>
        </w:rPr>
        <w:softHyphen/>
        <w:t>щать саму установку и выполнять точ</w:t>
      </w:r>
      <w:r w:rsidRPr="007224C3">
        <w:rPr>
          <w:rFonts w:ascii="Times New Roman" w:hAnsi="Times New Roman"/>
          <w:color w:val="000000" w:themeColor="text1"/>
          <w:sz w:val="16"/>
          <w:szCs w:val="16"/>
        </w:rPr>
        <w:softHyphen/>
        <w:t>ную наводку пулеметом и т.д. То есть, "одной рукой довести пулемет и при</w:t>
      </w:r>
      <w:r w:rsidRPr="007224C3">
        <w:rPr>
          <w:rFonts w:ascii="Times New Roman" w:hAnsi="Times New Roman"/>
          <w:color w:val="000000" w:themeColor="text1"/>
          <w:sz w:val="16"/>
          <w:szCs w:val="16"/>
        </w:rPr>
        <w:softHyphen/>
        <w:t>целиться невозможно".</w:t>
      </w:r>
    </w:p>
    <w:p w14:paraId="4361156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Положение усугублялось еще и тем обстоятельством, что при рабо</w:t>
      </w:r>
      <w:r w:rsidRPr="007224C3">
        <w:rPr>
          <w:rFonts w:ascii="Times New Roman" w:hAnsi="Times New Roman"/>
          <w:color w:val="000000" w:themeColor="text1"/>
          <w:sz w:val="16"/>
          <w:szCs w:val="16"/>
        </w:rPr>
        <w:softHyphen/>
        <w:t>те с пулеметом имели место "много мелких трудноуловимых препятствий, затруднявших маневр пулеметом и установкой".</w:t>
      </w:r>
    </w:p>
    <w:p w14:paraId="7E7FF77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Как следует из донесения Цветкова, производить прицеливание при стрельбе вверх было крайне неудоб</w:t>
      </w:r>
      <w:r w:rsidRPr="007224C3">
        <w:rPr>
          <w:rFonts w:ascii="Times New Roman" w:hAnsi="Times New Roman"/>
          <w:color w:val="000000" w:themeColor="text1"/>
          <w:sz w:val="16"/>
          <w:szCs w:val="16"/>
        </w:rPr>
        <w:softHyphen/>
        <w:t>но, так как "приходится опускаться на корточки и получается очень на</w:t>
      </w:r>
      <w:r w:rsidRPr="007224C3">
        <w:rPr>
          <w:rFonts w:ascii="Times New Roman" w:hAnsi="Times New Roman"/>
          <w:color w:val="000000" w:themeColor="text1"/>
          <w:sz w:val="16"/>
          <w:szCs w:val="16"/>
        </w:rPr>
        <w:softHyphen/>
        <w:t>пряженное, неустойчивое положе</w:t>
      </w:r>
      <w:r w:rsidRPr="007224C3">
        <w:rPr>
          <w:rFonts w:ascii="Times New Roman" w:hAnsi="Times New Roman"/>
          <w:color w:val="000000" w:themeColor="text1"/>
          <w:sz w:val="16"/>
          <w:szCs w:val="16"/>
        </w:rPr>
        <w:softHyphen/>
        <w:t>ние". При поворотах установки на левый борт очень трудно использо</w:t>
      </w:r>
      <w:r w:rsidRPr="007224C3">
        <w:rPr>
          <w:rFonts w:ascii="Times New Roman" w:hAnsi="Times New Roman"/>
          <w:color w:val="000000" w:themeColor="text1"/>
          <w:sz w:val="16"/>
          <w:szCs w:val="16"/>
        </w:rPr>
        <w:softHyphen/>
        <w:t>вать доводочные углы пулемета, тре</w:t>
      </w:r>
      <w:r w:rsidRPr="007224C3">
        <w:rPr>
          <w:rFonts w:ascii="Times New Roman" w:hAnsi="Times New Roman"/>
          <w:color w:val="000000" w:themeColor="text1"/>
          <w:sz w:val="16"/>
          <w:szCs w:val="16"/>
        </w:rPr>
        <w:softHyphen/>
        <w:t>бовалось менять положение тулови</w:t>
      </w:r>
      <w:r w:rsidRPr="007224C3">
        <w:rPr>
          <w:rFonts w:ascii="Times New Roman" w:hAnsi="Times New Roman"/>
          <w:color w:val="000000" w:themeColor="text1"/>
          <w:sz w:val="16"/>
          <w:szCs w:val="16"/>
        </w:rPr>
        <w:softHyphen/>
        <w:t>ща относительно оружия, а поскольку прицел располагался слева от пуле</w:t>
      </w:r>
      <w:r w:rsidRPr="007224C3">
        <w:rPr>
          <w:rFonts w:ascii="Times New Roman" w:hAnsi="Times New Roman"/>
          <w:color w:val="000000" w:themeColor="text1"/>
          <w:sz w:val="16"/>
          <w:szCs w:val="16"/>
        </w:rPr>
        <w:softHyphen/>
        <w:t>мета, то для прицеливания нужно было втиснуться между пулеметом и установкой. К тому же сильно мешал установленный в кабине штурмана фотоаппарат АЩАФА-2. Положение стрелка было недостаточно устойчи</w:t>
      </w:r>
      <w:r w:rsidRPr="007224C3">
        <w:rPr>
          <w:rFonts w:ascii="Times New Roman" w:hAnsi="Times New Roman"/>
          <w:color w:val="000000" w:themeColor="text1"/>
          <w:sz w:val="16"/>
          <w:szCs w:val="16"/>
        </w:rPr>
        <w:softHyphen/>
        <w:t>вым — во время прицеливания и стрельбы все время приходилось по</w:t>
      </w:r>
      <w:r w:rsidRPr="007224C3">
        <w:rPr>
          <w:rFonts w:ascii="Times New Roman" w:hAnsi="Times New Roman"/>
          <w:color w:val="000000" w:themeColor="text1"/>
          <w:sz w:val="16"/>
          <w:szCs w:val="16"/>
        </w:rPr>
        <w:softHyphen/>
        <w:t>дыскивать место, куда бы поставить ноги. Отсюда потеря времени на прицеливание. Практически, получа</w:t>
      </w:r>
      <w:r w:rsidRPr="007224C3">
        <w:rPr>
          <w:rFonts w:ascii="Times New Roman" w:hAnsi="Times New Roman"/>
          <w:color w:val="000000" w:themeColor="text1"/>
          <w:sz w:val="16"/>
          <w:szCs w:val="16"/>
        </w:rPr>
        <w:softHyphen/>
        <w:t>лось так, что обеспечить прицельный огонь с левого борта было нельзя.</w:t>
      </w:r>
    </w:p>
    <w:p w14:paraId="0E45C6F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Стрельба с незастопоренной ус</w:t>
      </w:r>
      <w:r w:rsidRPr="007224C3">
        <w:rPr>
          <w:rFonts w:ascii="Times New Roman" w:hAnsi="Times New Roman"/>
          <w:color w:val="000000" w:themeColor="text1"/>
          <w:sz w:val="16"/>
          <w:szCs w:val="16"/>
        </w:rPr>
        <w:softHyphen/>
        <w:t>тановкой показала, что пулемет в этом случае резко уходит к правому борту, а при стрельбе с застопорен</w:t>
      </w:r>
      <w:r w:rsidRPr="007224C3">
        <w:rPr>
          <w:rFonts w:ascii="Times New Roman" w:hAnsi="Times New Roman"/>
          <w:color w:val="000000" w:themeColor="text1"/>
          <w:sz w:val="16"/>
          <w:szCs w:val="16"/>
        </w:rPr>
        <w:softHyphen/>
        <w:t>ной установкой пулемет сильно тря</w:t>
      </w:r>
      <w:r w:rsidRPr="007224C3">
        <w:rPr>
          <w:rFonts w:ascii="Times New Roman" w:hAnsi="Times New Roman"/>
          <w:color w:val="000000" w:themeColor="text1"/>
          <w:sz w:val="16"/>
          <w:szCs w:val="16"/>
        </w:rPr>
        <w:softHyphen/>
        <w:t>сет.</w:t>
      </w:r>
    </w:p>
    <w:p w14:paraId="25EF65E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Ведение прицельного огня на ви</w:t>
      </w:r>
      <w:r w:rsidRPr="007224C3">
        <w:rPr>
          <w:rFonts w:ascii="Times New Roman" w:hAnsi="Times New Roman"/>
          <w:color w:val="000000" w:themeColor="text1"/>
          <w:sz w:val="16"/>
          <w:szCs w:val="16"/>
        </w:rPr>
        <w:softHyphen/>
        <w:t>ражах оказалось невозможным, так как пулемет прижимает вниз, а "при</w:t>
      </w:r>
      <w:r w:rsidRPr="007224C3">
        <w:rPr>
          <w:rFonts w:ascii="Times New Roman" w:hAnsi="Times New Roman"/>
          <w:color w:val="000000" w:themeColor="text1"/>
          <w:sz w:val="16"/>
          <w:szCs w:val="16"/>
        </w:rPr>
        <w:softHyphen/>
        <w:t>поднять и удержать его не хватает силы", не говоря уже о том, чтобы одновременно с этим еще и повора</w:t>
      </w:r>
      <w:r w:rsidRPr="007224C3">
        <w:rPr>
          <w:rFonts w:ascii="Times New Roman" w:hAnsi="Times New Roman"/>
          <w:color w:val="000000" w:themeColor="text1"/>
          <w:sz w:val="16"/>
          <w:szCs w:val="16"/>
        </w:rPr>
        <w:softHyphen/>
        <w:t>чивать установку в сторону цели. Во время воздушного боя на виражах истребитель легко держался в хвос</w:t>
      </w:r>
      <w:r w:rsidRPr="007224C3">
        <w:rPr>
          <w:rFonts w:ascii="Times New Roman" w:hAnsi="Times New Roman"/>
          <w:color w:val="000000" w:themeColor="text1"/>
          <w:sz w:val="16"/>
          <w:szCs w:val="16"/>
        </w:rPr>
        <w:softHyphen/>
        <w:t>те и на первом же вираже заходил строго в хвост на дистанцию откры</w:t>
      </w:r>
      <w:r w:rsidRPr="007224C3">
        <w:rPr>
          <w:rFonts w:ascii="Times New Roman" w:hAnsi="Times New Roman"/>
          <w:color w:val="000000" w:themeColor="text1"/>
          <w:sz w:val="16"/>
          <w:szCs w:val="16"/>
        </w:rPr>
        <w:softHyphen/>
        <w:t>тия действительного огня 100-150 м.</w:t>
      </w:r>
    </w:p>
    <w:p w14:paraId="6C25E74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мнению подполковника Цветкова, маневренность ВУ-8 и пулеме</w:t>
      </w:r>
      <w:r w:rsidRPr="007224C3">
        <w:rPr>
          <w:rFonts w:ascii="Times New Roman" w:hAnsi="Times New Roman"/>
          <w:color w:val="000000" w:themeColor="text1"/>
          <w:sz w:val="16"/>
          <w:szCs w:val="16"/>
        </w:rPr>
        <w:softHyphen/>
        <w:t>та в целом была явно недостаточ</w:t>
      </w:r>
      <w:r w:rsidRPr="007224C3">
        <w:rPr>
          <w:rFonts w:ascii="Times New Roman" w:hAnsi="Times New Roman"/>
          <w:color w:val="000000" w:themeColor="text1"/>
          <w:sz w:val="16"/>
          <w:szCs w:val="16"/>
        </w:rPr>
        <w:softHyphen/>
        <w:t>ной для эффективного отражения атак истребителей, "в лучшем слу</w:t>
      </w:r>
      <w:r w:rsidRPr="007224C3">
        <w:rPr>
          <w:rFonts w:ascii="Times New Roman" w:hAnsi="Times New Roman"/>
          <w:color w:val="000000" w:themeColor="text1"/>
          <w:sz w:val="16"/>
          <w:szCs w:val="16"/>
        </w:rPr>
        <w:softHyphen/>
        <w:t>чае она может позволить сделать одну прицельную очередь и то с не</w:t>
      </w:r>
      <w:r w:rsidRPr="007224C3">
        <w:rPr>
          <w:rFonts w:ascii="Times New Roman" w:hAnsi="Times New Roman"/>
          <w:color w:val="000000" w:themeColor="text1"/>
          <w:sz w:val="16"/>
          <w:szCs w:val="16"/>
        </w:rPr>
        <w:softHyphen/>
        <w:t>достаточной точностью прицелива</w:t>
      </w:r>
      <w:r w:rsidRPr="007224C3">
        <w:rPr>
          <w:rFonts w:ascii="Times New Roman" w:hAnsi="Times New Roman"/>
          <w:color w:val="000000" w:themeColor="text1"/>
          <w:sz w:val="16"/>
          <w:szCs w:val="16"/>
        </w:rPr>
        <w:softHyphen/>
        <w:t>ния". Одновременно отмечалось, что сама установка ВУ-8 значительно лучше, чем блистерная установка БЛУБ на Су-6, и несколько лучше, чем ВУБ-3 на Ил-2.</w:t>
      </w:r>
    </w:p>
    <w:p w14:paraId="0527434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Справедливости ради, следует от</w:t>
      </w:r>
      <w:r w:rsidRPr="007224C3">
        <w:rPr>
          <w:rFonts w:ascii="Times New Roman" w:hAnsi="Times New Roman"/>
          <w:color w:val="000000" w:themeColor="text1"/>
          <w:sz w:val="16"/>
          <w:szCs w:val="16"/>
        </w:rPr>
        <w:softHyphen/>
        <w:t>метить, что при всех атаках со сто</w:t>
      </w:r>
      <w:r w:rsidRPr="007224C3">
        <w:rPr>
          <w:rFonts w:ascii="Times New Roman" w:hAnsi="Times New Roman"/>
          <w:color w:val="000000" w:themeColor="text1"/>
          <w:sz w:val="16"/>
          <w:szCs w:val="16"/>
        </w:rPr>
        <w:softHyphen/>
        <w:t>роны задней полусферы летчик по команде штурмана энергичным ма</w:t>
      </w:r>
      <w:r w:rsidRPr="007224C3">
        <w:rPr>
          <w:rFonts w:ascii="Times New Roman" w:hAnsi="Times New Roman"/>
          <w:color w:val="000000" w:themeColor="text1"/>
          <w:sz w:val="16"/>
          <w:szCs w:val="16"/>
        </w:rPr>
        <w:softHyphen/>
        <w:t>невром успевал доворачивать само</w:t>
      </w:r>
      <w:r w:rsidRPr="007224C3">
        <w:rPr>
          <w:rFonts w:ascii="Times New Roman" w:hAnsi="Times New Roman"/>
          <w:color w:val="000000" w:themeColor="text1"/>
          <w:sz w:val="16"/>
          <w:szCs w:val="16"/>
        </w:rPr>
        <w:softHyphen/>
        <w:t>лет таким образом, чтобы штурман мог держать противника в секторе обстрела. Это до некоторой степе</w:t>
      </w:r>
      <w:r w:rsidRPr="007224C3">
        <w:rPr>
          <w:rFonts w:ascii="Times New Roman" w:hAnsi="Times New Roman"/>
          <w:color w:val="000000" w:themeColor="text1"/>
          <w:sz w:val="16"/>
          <w:szCs w:val="16"/>
        </w:rPr>
        <w:softHyphen/>
        <w:t>ни компенсировало ограниченность углов обстрела установки, однако не обеспечивало ведение прицельной стрельбы.</w:t>
      </w:r>
    </w:p>
    <w:p w14:paraId="4E4CA73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отражении атак истребите</w:t>
      </w:r>
      <w:r w:rsidRPr="007224C3">
        <w:rPr>
          <w:rFonts w:ascii="Times New Roman" w:hAnsi="Times New Roman"/>
          <w:color w:val="000000" w:themeColor="text1"/>
          <w:sz w:val="16"/>
          <w:szCs w:val="16"/>
        </w:rPr>
        <w:softHyphen/>
        <w:t>ля со стороны солнца выявилась еще одна интересная особенность ВУ-8 - плексиглас козырька установки сле</w:t>
      </w:r>
      <w:r w:rsidRPr="007224C3">
        <w:rPr>
          <w:rFonts w:ascii="Times New Roman" w:hAnsi="Times New Roman"/>
          <w:color w:val="000000" w:themeColor="text1"/>
          <w:sz w:val="16"/>
          <w:szCs w:val="16"/>
        </w:rPr>
        <w:softHyphen/>
        <w:t>пил штурмана еще больше, чем сол</w:t>
      </w:r>
      <w:r w:rsidRPr="007224C3">
        <w:rPr>
          <w:rFonts w:ascii="Times New Roman" w:hAnsi="Times New Roman"/>
          <w:color w:val="000000" w:themeColor="text1"/>
          <w:sz w:val="16"/>
          <w:szCs w:val="16"/>
        </w:rPr>
        <w:softHyphen/>
        <w:t>нце, вследствие чего прицеливаться было невозможно.</w:t>
      </w:r>
    </w:p>
    <w:p w14:paraId="6DB82AE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Кроме этого, переговорное уст</w:t>
      </w:r>
      <w:r w:rsidRPr="007224C3">
        <w:rPr>
          <w:rFonts w:ascii="Times New Roman" w:hAnsi="Times New Roman"/>
          <w:color w:val="000000" w:themeColor="text1"/>
          <w:sz w:val="16"/>
          <w:szCs w:val="16"/>
        </w:rPr>
        <w:softHyphen/>
        <w:t>ройство штурмана и летчика рабо</w:t>
      </w:r>
      <w:r w:rsidRPr="007224C3">
        <w:rPr>
          <w:rFonts w:ascii="Times New Roman" w:hAnsi="Times New Roman"/>
          <w:color w:val="000000" w:themeColor="text1"/>
          <w:sz w:val="16"/>
          <w:szCs w:val="16"/>
        </w:rPr>
        <w:softHyphen/>
        <w:t>тало неудовлетворительно: "...силь</w:t>
      </w:r>
      <w:r w:rsidRPr="007224C3">
        <w:rPr>
          <w:rFonts w:ascii="Times New Roman" w:hAnsi="Times New Roman"/>
          <w:color w:val="000000" w:themeColor="text1"/>
          <w:sz w:val="16"/>
          <w:szCs w:val="16"/>
        </w:rPr>
        <w:softHyphen/>
        <w:t>ный треск и шум не давали разгова</w:t>
      </w:r>
      <w:r w:rsidRPr="007224C3">
        <w:rPr>
          <w:rFonts w:ascii="Times New Roman" w:hAnsi="Times New Roman"/>
          <w:color w:val="000000" w:themeColor="text1"/>
          <w:sz w:val="16"/>
          <w:szCs w:val="16"/>
        </w:rPr>
        <w:softHyphen/>
        <w:t>ривать, переключатель абонентской коробки во время боя несколько раз самопроизвольно переключался в положение РС или РК, что наруша</w:t>
      </w:r>
      <w:r w:rsidRPr="007224C3">
        <w:rPr>
          <w:rFonts w:ascii="Times New Roman" w:hAnsi="Times New Roman"/>
          <w:color w:val="000000" w:themeColor="text1"/>
          <w:sz w:val="16"/>
          <w:szCs w:val="16"/>
        </w:rPr>
        <w:softHyphen/>
        <w:t>ло связь с летчиком".</w:t>
      </w:r>
    </w:p>
    <w:p w14:paraId="4D52705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Серьезными недостатками ВУ-8 считались небольшая емкость мага</w:t>
      </w:r>
      <w:r w:rsidRPr="007224C3">
        <w:rPr>
          <w:rFonts w:ascii="Times New Roman" w:hAnsi="Times New Roman"/>
          <w:color w:val="000000" w:themeColor="text1"/>
          <w:sz w:val="16"/>
          <w:szCs w:val="16"/>
        </w:rPr>
        <w:softHyphen/>
        <w:t>зина пулемета УБК и большое вре</w:t>
      </w:r>
      <w:r w:rsidRPr="007224C3">
        <w:rPr>
          <w:rFonts w:ascii="Times New Roman" w:hAnsi="Times New Roman"/>
          <w:color w:val="000000" w:themeColor="text1"/>
          <w:sz w:val="16"/>
          <w:szCs w:val="16"/>
        </w:rPr>
        <w:softHyphen/>
        <w:t>мя его смены. Полсотни патронов в магазине оказалось недостаточно для отражения даже одной атаки истребителя. В тоже время на его замену уходило около одной мину</w:t>
      </w:r>
      <w:r w:rsidRPr="007224C3">
        <w:rPr>
          <w:rFonts w:ascii="Times New Roman" w:hAnsi="Times New Roman"/>
          <w:color w:val="000000" w:themeColor="text1"/>
          <w:sz w:val="16"/>
          <w:szCs w:val="16"/>
        </w:rPr>
        <w:softHyphen/>
        <w:t>ты, что было совершенно неприем</w:t>
      </w:r>
      <w:r w:rsidRPr="007224C3">
        <w:rPr>
          <w:rFonts w:ascii="Times New Roman" w:hAnsi="Times New Roman"/>
          <w:color w:val="000000" w:themeColor="text1"/>
          <w:sz w:val="16"/>
          <w:szCs w:val="16"/>
        </w:rPr>
        <w:softHyphen/>
        <w:t>лемым для реальных условий боя. В отчете указывалось, что за счет не</w:t>
      </w:r>
      <w:r w:rsidRPr="007224C3">
        <w:rPr>
          <w:rFonts w:ascii="Times New Roman" w:hAnsi="Times New Roman"/>
          <w:color w:val="000000" w:themeColor="text1"/>
          <w:sz w:val="16"/>
          <w:szCs w:val="16"/>
        </w:rPr>
        <w:softHyphen/>
        <w:t>которых конструктивных улучшений можно сократить время смены мага</w:t>
      </w:r>
      <w:r w:rsidRPr="007224C3">
        <w:rPr>
          <w:rFonts w:ascii="Times New Roman" w:hAnsi="Times New Roman"/>
          <w:color w:val="000000" w:themeColor="text1"/>
          <w:sz w:val="16"/>
          <w:szCs w:val="16"/>
        </w:rPr>
        <w:softHyphen/>
        <w:t>зина до 45-50 секунд, но все равно оно оставалось большим.</w:t>
      </w:r>
    </w:p>
    <w:p w14:paraId="6EAC17F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сравнению с ранее приня</w:t>
      </w:r>
      <w:r w:rsidRPr="007224C3">
        <w:rPr>
          <w:rFonts w:ascii="Times New Roman" w:hAnsi="Times New Roman"/>
          <w:color w:val="000000" w:themeColor="text1"/>
          <w:sz w:val="16"/>
          <w:szCs w:val="16"/>
        </w:rPr>
        <w:softHyphen/>
        <w:t>тыми подобными установками пре</w:t>
      </w:r>
      <w:r w:rsidRPr="007224C3">
        <w:rPr>
          <w:rFonts w:ascii="Times New Roman" w:hAnsi="Times New Roman"/>
          <w:color w:val="000000" w:themeColor="text1"/>
          <w:sz w:val="16"/>
          <w:szCs w:val="16"/>
        </w:rPr>
        <w:softHyphen/>
        <w:t>имуществ не имеет, за исключением того, что защищает стрелка от заду</w:t>
      </w:r>
      <w:r w:rsidRPr="007224C3">
        <w:rPr>
          <w:rFonts w:ascii="Times New Roman" w:hAnsi="Times New Roman"/>
          <w:color w:val="000000" w:themeColor="text1"/>
          <w:sz w:val="16"/>
          <w:szCs w:val="16"/>
        </w:rPr>
        <w:softHyphen/>
        <w:t>вания", - констатировал п-п-к Цвет</w:t>
      </w:r>
      <w:r w:rsidRPr="007224C3">
        <w:rPr>
          <w:rFonts w:ascii="Times New Roman" w:hAnsi="Times New Roman"/>
          <w:color w:val="000000" w:themeColor="text1"/>
          <w:sz w:val="16"/>
          <w:szCs w:val="16"/>
        </w:rPr>
        <w:softHyphen/>
        <w:t>ков после проведенного им воздуш</w:t>
      </w:r>
      <w:r w:rsidRPr="007224C3">
        <w:rPr>
          <w:rFonts w:ascii="Times New Roman" w:hAnsi="Times New Roman"/>
          <w:color w:val="000000" w:themeColor="text1"/>
          <w:sz w:val="16"/>
          <w:szCs w:val="16"/>
        </w:rPr>
        <w:softHyphen/>
        <w:t>ного боя с немецким истребителем.</w:t>
      </w:r>
    </w:p>
    <w:p w14:paraId="5B20233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выводах отчета предлагалось увеличить углы обстрела вверх и по горизонту и емкость магазина, хотя бы до 75 патронов, а также "отра</w:t>
      </w:r>
      <w:r w:rsidRPr="007224C3">
        <w:rPr>
          <w:rFonts w:ascii="Times New Roman" w:hAnsi="Times New Roman"/>
          <w:color w:val="000000" w:themeColor="text1"/>
          <w:sz w:val="16"/>
          <w:szCs w:val="16"/>
        </w:rPr>
        <w:softHyphen/>
        <w:t>ботать механизм, компенсирующий вес пулемета и магазина".</w:t>
      </w:r>
    </w:p>
    <w:p w14:paraId="7AF3CFB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Предъявлялись претензии и к спе</w:t>
      </w:r>
      <w:r w:rsidRPr="007224C3">
        <w:rPr>
          <w:rFonts w:ascii="Times New Roman" w:hAnsi="Times New Roman"/>
          <w:color w:val="000000" w:themeColor="text1"/>
          <w:sz w:val="16"/>
          <w:szCs w:val="16"/>
        </w:rPr>
        <w:softHyphen/>
        <w:t>цоборудованию самолета. В частно</w:t>
      </w:r>
      <w:r w:rsidRPr="007224C3">
        <w:rPr>
          <w:rFonts w:ascii="Times New Roman" w:hAnsi="Times New Roman"/>
          <w:color w:val="000000" w:themeColor="text1"/>
          <w:sz w:val="16"/>
          <w:szCs w:val="16"/>
        </w:rPr>
        <w:softHyphen/>
        <w:t>сти отмечалась плохая конструктив</w:t>
      </w:r>
      <w:r w:rsidRPr="007224C3">
        <w:rPr>
          <w:rFonts w:ascii="Times New Roman" w:hAnsi="Times New Roman"/>
          <w:color w:val="000000" w:themeColor="text1"/>
          <w:sz w:val="16"/>
          <w:szCs w:val="16"/>
        </w:rPr>
        <w:softHyphen/>
        <w:t>ная проработка экранировки систе</w:t>
      </w:r>
      <w:r w:rsidRPr="007224C3">
        <w:rPr>
          <w:rFonts w:ascii="Times New Roman" w:hAnsi="Times New Roman"/>
          <w:color w:val="000000" w:themeColor="text1"/>
          <w:sz w:val="16"/>
          <w:szCs w:val="16"/>
        </w:rPr>
        <w:softHyphen/>
        <w:t>мы зажигания мотора, вследствие чего "уровень помех радиоприема вырастает до недопустимых величин". Схема коммутации средств радио- и внутрисамолетной связи не учитыва</w:t>
      </w:r>
      <w:r w:rsidRPr="007224C3">
        <w:rPr>
          <w:rFonts w:ascii="Times New Roman" w:hAnsi="Times New Roman"/>
          <w:color w:val="000000" w:themeColor="text1"/>
          <w:sz w:val="16"/>
          <w:szCs w:val="16"/>
        </w:rPr>
        <w:softHyphen/>
        <w:t>ла особенности работы экипажа на данном самолете — "летчик и штурман совмещают лишние функции".</w:t>
      </w:r>
    </w:p>
    <w:p w14:paraId="76749E6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Несмотря на столь обширный пе</w:t>
      </w:r>
      <w:r w:rsidRPr="007224C3">
        <w:rPr>
          <w:rFonts w:ascii="Times New Roman" w:hAnsi="Times New Roman"/>
          <w:color w:val="000000" w:themeColor="text1"/>
          <w:sz w:val="16"/>
          <w:szCs w:val="16"/>
        </w:rPr>
        <w:softHyphen/>
        <w:t>речень дефектов и недостатков Ил-АМ-42, в заключение Акта по испы</w:t>
      </w:r>
      <w:r w:rsidRPr="007224C3">
        <w:rPr>
          <w:rFonts w:ascii="Times New Roman" w:hAnsi="Times New Roman"/>
          <w:color w:val="000000" w:themeColor="text1"/>
          <w:sz w:val="16"/>
          <w:szCs w:val="16"/>
        </w:rPr>
        <w:softHyphen/>
        <w:t>таниям самолет был рекомендован к запуску в серийное производство в вариантах штурмовика-бомбарди</w:t>
      </w:r>
      <w:r w:rsidRPr="007224C3">
        <w:rPr>
          <w:rFonts w:ascii="Times New Roman" w:hAnsi="Times New Roman"/>
          <w:color w:val="000000" w:themeColor="text1"/>
          <w:sz w:val="16"/>
          <w:szCs w:val="16"/>
        </w:rPr>
        <w:softHyphen/>
        <w:t>ровщика и разведчика-корректиров</w:t>
      </w:r>
      <w:r w:rsidRPr="007224C3">
        <w:rPr>
          <w:rFonts w:ascii="Times New Roman" w:hAnsi="Times New Roman"/>
          <w:color w:val="000000" w:themeColor="text1"/>
          <w:sz w:val="16"/>
          <w:szCs w:val="16"/>
        </w:rPr>
        <w:softHyphen/>
        <w:t>щика.</w:t>
      </w:r>
    </w:p>
    <w:p w14:paraId="72EDF09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целью выявления боевых ка</w:t>
      </w:r>
      <w:r w:rsidRPr="007224C3">
        <w:rPr>
          <w:rFonts w:ascii="Times New Roman" w:hAnsi="Times New Roman"/>
          <w:color w:val="000000" w:themeColor="text1"/>
          <w:sz w:val="16"/>
          <w:szCs w:val="16"/>
        </w:rPr>
        <w:softHyphen/>
        <w:t>честв Ил-АМ-42 предлагалось "...вы</w:t>
      </w:r>
      <w:r w:rsidRPr="007224C3">
        <w:rPr>
          <w:rFonts w:ascii="Times New Roman" w:hAnsi="Times New Roman"/>
          <w:color w:val="000000" w:themeColor="text1"/>
          <w:sz w:val="16"/>
          <w:szCs w:val="16"/>
        </w:rPr>
        <w:softHyphen/>
        <w:t>пустить войсковую серию этих само</w:t>
      </w:r>
      <w:r w:rsidRPr="007224C3">
        <w:rPr>
          <w:rFonts w:ascii="Times New Roman" w:hAnsi="Times New Roman"/>
          <w:color w:val="000000" w:themeColor="text1"/>
          <w:sz w:val="16"/>
          <w:szCs w:val="16"/>
        </w:rPr>
        <w:softHyphen/>
        <w:t>летов". Причем, когда Акт подписы</w:t>
      </w:r>
      <w:r w:rsidRPr="007224C3">
        <w:rPr>
          <w:rFonts w:ascii="Times New Roman" w:hAnsi="Times New Roman"/>
          <w:color w:val="000000" w:themeColor="text1"/>
          <w:sz w:val="16"/>
          <w:szCs w:val="16"/>
        </w:rPr>
        <w:softHyphen/>
        <w:t>вал начальник НИИ ВВС генерал-лейтенант П. А. Лосюков, то он соб</w:t>
      </w:r>
      <w:r w:rsidRPr="007224C3">
        <w:rPr>
          <w:rFonts w:ascii="Times New Roman" w:hAnsi="Times New Roman"/>
          <w:color w:val="000000" w:themeColor="text1"/>
          <w:sz w:val="16"/>
          <w:szCs w:val="16"/>
        </w:rPr>
        <w:softHyphen/>
        <w:t>ственноручно дописал к этому пунк</w:t>
      </w:r>
      <w:r w:rsidRPr="007224C3">
        <w:rPr>
          <w:rFonts w:ascii="Times New Roman" w:hAnsi="Times New Roman"/>
          <w:color w:val="000000" w:themeColor="text1"/>
          <w:sz w:val="16"/>
          <w:szCs w:val="16"/>
        </w:rPr>
        <w:softHyphen/>
        <w:t>ту документа: "даже с 50 час. ре</w:t>
      </w:r>
      <w:r w:rsidRPr="007224C3">
        <w:rPr>
          <w:rFonts w:ascii="Times New Roman" w:hAnsi="Times New Roman"/>
          <w:color w:val="000000" w:themeColor="text1"/>
          <w:sz w:val="16"/>
          <w:szCs w:val="16"/>
        </w:rPr>
        <w:softHyphen/>
        <w:t>сурсом АМ-42 (если не успеют мо</w:t>
      </w:r>
      <w:r w:rsidRPr="007224C3">
        <w:rPr>
          <w:rFonts w:ascii="Times New Roman" w:hAnsi="Times New Roman"/>
          <w:color w:val="000000" w:themeColor="text1"/>
          <w:sz w:val="16"/>
          <w:szCs w:val="16"/>
        </w:rPr>
        <w:softHyphen/>
        <w:t>торы со 100 час. ресурсом)".</w:t>
      </w:r>
    </w:p>
    <w:p w14:paraId="2D33D7F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Военные специалисты считали не</w:t>
      </w:r>
      <w:r w:rsidRPr="007224C3">
        <w:rPr>
          <w:rFonts w:ascii="Times New Roman" w:hAnsi="Times New Roman"/>
          <w:color w:val="000000" w:themeColor="text1"/>
          <w:sz w:val="16"/>
          <w:szCs w:val="16"/>
        </w:rPr>
        <w:softHyphen/>
        <w:t>обходимым "просить Наркома авиапромышленности тов. Шахурина А. И. дать задания: а) Главному конструктору мотора АМ-42 тов. Ми-купину А. А. довести опытный мотор до состояния пригодного к нормаль</w:t>
      </w:r>
      <w:r w:rsidRPr="007224C3">
        <w:rPr>
          <w:rFonts w:ascii="Times New Roman" w:hAnsi="Times New Roman"/>
          <w:color w:val="000000" w:themeColor="text1"/>
          <w:sz w:val="16"/>
          <w:szCs w:val="16"/>
        </w:rPr>
        <w:softHyphen/>
        <w:t>ной эксплуатации, б) Главному кон</w:t>
      </w:r>
      <w:r w:rsidRPr="007224C3">
        <w:rPr>
          <w:rFonts w:ascii="Times New Roman" w:hAnsi="Times New Roman"/>
          <w:color w:val="000000" w:themeColor="text1"/>
          <w:sz w:val="16"/>
          <w:szCs w:val="16"/>
        </w:rPr>
        <w:softHyphen/>
        <w:t>структору самолета Ил с АМ-42 тов. Ильюшину С. В. до запуска в серий</w:t>
      </w:r>
      <w:r w:rsidRPr="007224C3">
        <w:rPr>
          <w:rFonts w:ascii="Times New Roman" w:hAnsi="Times New Roman"/>
          <w:color w:val="000000" w:themeColor="text1"/>
          <w:sz w:val="16"/>
          <w:szCs w:val="16"/>
        </w:rPr>
        <w:softHyphen/>
        <w:t>ное производство устранить дефек</w:t>
      </w:r>
      <w:r w:rsidRPr="007224C3">
        <w:rPr>
          <w:rFonts w:ascii="Times New Roman" w:hAnsi="Times New Roman"/>
          <w:color w:val="000000" w:themeColor="text1"/>
          <w:sz w:val="16"/>
          <w:szCs w:val="16"/>
        </w:rPr>
        <w:softHyphen/>
        <w:t>ты, отмеченные в выводах..."</w:t>
      </w:r>
    </w:p>
    <w:p w14:paraId="38F0724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отношении установки на само</w:t>
      </w:r>
      <w:r w:rsidRPr="007224C3">
        <w:rPr>
          <w:rFonts w:ascii="Times New Roman" w:hAnsi="Times New Roman"/>
          <w:color w:val="000000" w:themeColor="text1"/>
          <w:sz w:val="16"/>
          <w:szCs w:val="16"/>
        </w:rPr>
        <w:softHyphen/>
        <w:t>лет кассет ДАГ-1 0 и крупнокалибер</w:t>
      </w:r>
      <w:r w:rsidRPr="007224C3">
        <w:rPr>
          <w:rFonts w:ascii="Times New Roman" w:hAnsi="Times New Roman"/>
          <w:color w:val="000000" w:themeColor="text1"/>
          <w:sz w:val="16"/>
          <w:szCs w:val="16"/>
        </w:rPr>
        <w:softHyphen/>
        <w:t>ных пушек 1 1 П, а также о величине бомбовой нагрузки с этими пушка</w:t>
      </w:r>
      <w:r w:rsidRPr="007224C3">
        <w:rPr>
          <w:rFonts w:ascii="Times New Roman" w:hAnsi="Times New Roman"/>
          <w:color w:val="000000" w:themeColor="text1"/>
          <w:sz w:val="16"/>
          <w:szCs w:val="16"/>
        </w:rPr>
        <w:softHyphen/>
        <w:t>ми, решение планировалось принять после проведения испытаний 2-го эк</w:t>
      </w:r>
      <w:r w:rsidRPr="007224C3">
        <w:rPr>
          <w:rFonts w:ascii="Times New Roman" w:hAnsi="Times New Roman"/>
          <w:color w:val="000000" w:themeColor="text1"/>
          <w:sz w:val="16"/>
          <w:szCs w:val="16"/>
        </w:rPr>
        <w:softHyphen/>
        <w:t>земпляра самолета Ил-АМ-42 (11427).</w:t>
      </w:r>
    </w:p>
    <w:p w14:paraId="7B5DB27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494457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марта 1944 бригада испытателей НИИ ВВС рапортовала руководству об успешном завершении государственных летных испытаний опытного штурмовика Ил-8 АМ-42 с более высокими, чем у Ил-2, летными данными. Самолет имел много общего с Ил-2, и в случае внедрения его в массовое производство можно было использовать те же конвейеры и большую часть имеющейся оснастки. По этой причине наркомат авиапромышленности вынашивал планы перевода производства авиазавода № 18 на серийный выпуск Ил-8 уже с лета 1944 г., а авиазаводов № 1 и № 30 - в первом полугодии следующего года. Кроме этого, на завершающей стадии заводских испытаний находился опытный штурмовик ОКБ Сухого Су-6, который лучше подходил для боя, чем Ил-8. На подходе был еще один опытный штурмовик - Ил-10 АМ-42 (12020).</w:t>
      </w:r>
    </w:p>
    <w:p w14:paraId="5738BB2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714686" w14:textId="77777777" w:rsidR="008E2CE5" w:rsidRPr="007224C3" w:rsidRDefault="008E2CE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марта 1944 в 18.00 бригада испытателей, которая последние 3 дня работала весьма активно, рапортовала руководству института об успешном завершении государственных испытаний Ил-АМ-42 со «старым» проверенным винтом АВ-5 л-18Б, начавшихся 29 февраля.</w:t>
      </w:r>
    </w:p>
    <w:p w14:paraId="32AB5DB8" w14:textId="77777777" w:rsidR="008E2CE5" w:rsidRPr="007224C3" w:rsidRDefault="008E2CE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Таким образом, испытания Ил-АМ-42 (экз. № 1) продолжались в течение 31 календарного дня, из которых летных дней было всего 10, нелетных – 14. Еще 7 дней пришлось затратить на ремонт и доводку самолета. В общей сложности было выполнено 44 полета с налетом 19 ч 30 мин.</w:t>
      </w:r>
    </w:p>
    <w:p w14:paraId="733729EB" w14:textId="77777777" w:rsidR="008E2CE5" w:rsidRPr="007224C3" w:rsidRDefault="008E2CE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ходе испытаний самолет облетали ведущий инженер-летчик 3-го отдела НИИ ВВС инженер-майор А. В. Синельников, летчик-испытатель 4-го отдела майор М. П. Субботин, старший летчик-испытатель 3-го отдела майор В. С. Журавлев и летчик-испытатель подполковник М. А. Нюхтиков. В качестве штурманов облета участвовали капитан Т. Ф. Горбунов, заместитель начальника 4-го отдела полковник Н. И. Шауров, помощник начальника 6-го отдела капитан Васильев, штурман-испытатель капитан В. Н. Ковынев, штурман-испытатель подполковник Н. П. Цветков.</w:t>
      </w:r>
    </w:p>
    <w:p w14:paraId="2650008D" w14:textId="77777777" w:rsidR="008E2CE5" w:rsidRPr="007224C3" w:rsidRDefault="008E2CE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Как следует из документов, самолет проходил испытания в двух вариантах: разведчика-корректировщика и штурмовика-бомбардировщика, которые отличались друг от друга фактически только бомбовой нагрузкой и заправкой самолета горючим и маслом. Состав фото- и радиооборудования самолета в ходе испытаний оставался неизменным и соответствовал «следопыту».</w:t>
      </w:r>
    </w:p>
    <w:p w14:paraId="6631F584" w14:textId="77777777" w:rsidR="008E2CE5" w:rsidRPr="007224C3" w:rsidRDefault="008E2CE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Стрелково-пушечное вооружение самолета в обоих вариантах назначения было одинаковым и включало две пушки ВЯ (300 патронов), два пулемета ШКАС (1500 патронов) и оборонительный пулемет УБК (3 диска по 50 патронов) на ВУ-8. Ракетное вооружение не предусматривалось.</w:t>
      </w:r>
    </w:p>
    <w:p w14:paraId="25A4B00E" w14:textId="77777777" w:rsidR="008E2CE5" w:rsidRPr="007224C3" w:rsidRDefault="008E2CE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Нормальный полетный вес штурмовика-бомбардировщика устанавливался в 7260 кг, в перегрузку – 7660 кг. Полезная нагрузка при нормальном полетном весе составляла 1995 кг.</w:t>
      </w:r>
    </w:p>
    <w:p w14:paraId="3A02E087" w14:textId="77777777" w:rsidR="008E2CE5" w:rsidRPr="007224C3" w:rsidRDefault="008E2CE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перегрузочном варианте допускалась подвеска до 1000 кг бомб, в том числе на двух внешних узлах две бомбы типа ФАБ-500 или два выливных авиаприбора ВАП-250 или УХАП-250.</w:t>
      </w:r>
    </w:p>
    <w:p w14:paraId="1B6C73E9" w14:textId="77777777" w:rsidR="008E2CE5" w:rsidRPr="007224C3" w:rsidRDefault="008E2CE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Нагрузка в варианте «следопыта» ограничивалась 1460 кг и отличалась от штурмового варианта отсутствием бомбовой нагрузки и увеличенным до 120 кг весом съемного оборудования.</w:t>
      </w:r>
    </w:p>
    <w:p w14:paraId="2AA77575" w14:textId="77777777" w:rsidR="008E2CE5" w:rsidRPr="007224C3" w:rsidRDefault="008E2CE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Поскольку состав съемного оборудования на самолете Ил-АМ-42 (экз. № 1) соответствовал варианту разведчика-корректировщика, то при загрузке 600 кг бомб и полной заправке горючим и маслом вес самолета на 65 кг превышал нормальный полетный вес, установленный для штурмовика-бомбардировщика. Поэтому при проведении испытательных полетов в варианте штурмовика вес горючего уменьшался ровно на 65 кг.</w:t>
      </w:r>
    </w:p>
    <w:p w14:paraId="7551CBBD" w14:textId="77777777" w:rsidR="008E2CE5" w:rsidRPr="007224C3" w:rsidRDefault="008E2CE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Мотор АМ-42 на протяжении всего времени испытаний работал с недостатками: дымление, тряска, непостоянство наддува на режиме номинальной мощности, течь масла из-под уплотнения вала редуктора мотора, из-под крышки блоков, из корпуса нагнетателя через дренаж (после остановки мотора), а также засорение воздушных клапанов карбюраторов, быстрый износ поршневых колец и т. д. Отмечался и большой расход горючего на номинальном режиме работы мотора, который при контрольном полете 19 марта составил 295–315 г/л. с. ч.</w:t>
      </w:r>
    </w:p>
    <w:p w14:paraId="5E020160" w14:textId="77777777" w:rsidR="008E2CE5" w:rsidRPr="007224C3" w:rsidRDefault="008E2CE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В ходе испытаний пришлось заменить маслоуплотнитель носка вала редуктора мотора, регулятор давления наддува, прокладки под всасывающими патрубками (для чего был демонтирован карбюратор). Дважды заменили весь комплект свечей, по одному разу все свечи внешнего ряда, водяную трубку (подводящую охлаждающую воду к левому блоку цилиндров мотора от помпы) и бензотрубку (подводящую топливо к карбюраторам). Из-за течи по сварке трижды ремонтировались маслобаки. Одновременно были отремонтированы все карбюраторы и коллекторы нагнетателя.</w:t>
      </w:r>
    </w:p>
    <w:p w14:paraId="0DFBB97D" w14:textId="77777777" w:rsidR="008E2CE5" w:rsidRPr="007224C3" w:rsidRDefault="008E2CE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выполнении работ по устранению недостатков и дефектов «в полный рост» проявилась непродуманность конструкции винтомоторной группы с точки зрения удобства эксплуатации. Например, для того чтобы снять водяную трубку, необходимо было демонтировать блоки мотора, выхлопные патрубки и левый маслобак, а затем вернуть их на свои места. Замена трубопровода, подводящего горючее к карбюраторам, выливалась в полный демонтаж всасывающей трубы нагнетателя и карбюратора. Испытатели отмечали трудоемкую замену свечей внутренней стороны, и особенно проводников к свечам. На их замену затрачивалось до 5–6 часов. Трубки, подводящие воду к блокам, имели слишком большую длину (без технологических разъемов), что серьезно усложняло их замену и ремонт.</w:t>
      </w:r>
    </w:p>
    <w:p w14:paraId="0D079C52" w14:textId="77777777" w:rsidR="008E2CE5" w:rsidRPr="007224C3" w:rsidRDefault="008E2CE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общем, проблем с мотором хватало с избытком, но бригаде НИИ ВВС все же удалось отлетать программу испытаний почти в полном объеме.</w:t>
      </w:r>
    </w:p>
    <w:p w14:paraId="7804BA32" w14:textId="77777777" w:rsidR="008E2CE5" w:rsidRPr="007224C3" w:rsidRDefault="008E2CE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первую очередь определялись летно-технические данные Ил-АМ-42 (экз. № 1) в варианте штурмовика-бомбардировщика и только затем – в варианте разведчика-корректировщика. Как показали полеты, основные данные нового самолета заметно превосходили Ил-2, хотя, по мнению военных, уже не отвечали в полном объеме современным требованиям.</w:t>
      </w:r>
    </w:p>
    <w:p w14:paraId="68680A25" w14:textId="77777777" w:rsidR="008E2CE5" w:rsidRPr="007224C3" w:rsidRDefault="008E2CE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нормальном полетном весе (600 кг бомб на внутренней подвеске) максимальная скорость полета оказалась равной 472 км/ч на высоте 2500 м и 428 км/ч – у земли. Вертикальная скорость не превышала 7 м/с на высоте 1000 м и 6,7 м/с – у земли. Разбег самолета с отклоненными на 17° щитками и с форсажем мотора составил 435 м. Пробег при посадочном весе 5900 кг с применением тормозов и отклонением щитков на 45° оказался в пределах 465 м. Посадочная скорость равнялась 136 км/ч.</w:t>
      </w:r>
    </w:p>
    <w:p w14:paraId="7A5A228D" w14:textId="77777777" w:rsidR="008E2CE5" w:rsidRPr="007224C3" w:rsidRDefault="008E2CE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Разведчик-корректировщик на всех высотах летал на 8 км/ч быстрее штурмовика-бомбардировщика. Примерно на 22 % была выше скороподъемность и на 11 % горизонтальная маневренность. Лучшими были и взлетно-посадочные характеристики. Из-за непостоянства наддува в полете при работе мотора, тряски и выработки ресурса мотора (к моменту начала полетов в варианте «следопыта» остаток ресурса составлял 4–5 часов) измерить скороподъемность выше границы высотности не удалось.</w:t>
      </w:r>
    </w:p>
    <w:p w14:paraId="6EEC77C0" w14:textId="77777777" w:rsidR="008E2CE5" w:rsidRPr="007224C3" w:rsidRDefault="008E2CE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всех вариантах полетного веса центровка самолета (шасси выпущено) находилась в пределах от 19,9 % САХ (пустой самолет) до 23,3 % (перегрузочный вариант с 1000 кг бомб).</w:t>
      </w:r>
    </w:p>
    <w:p w14:paraId="00BAFCC3" w14:textId="77777777" w:rsidR="008E2CE5" w:rsidRPr="007224C3" w:rsidRDefault="008E2CE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Дальность полета на высоте 1000 м и скорости 308 км/ч составила 820 км – на 155 км больше дальности полета Ил-2 АМ-38ф. При этом отмечалось, что дальность полета 2-го экземпляра Ил-АМ-42, на котором установлены бензобаки емкостью 1020 л, будет достигать 980 км.</w:t>
      </w:r>
    </w:p>
    <w:p w14:paraId="207F69A2" w14:textId="77777777" w:rsidR="008E2CE5" w:rsidRPr="007224C3" w:rsidRDefault="008E2CE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своим пилотажным свойствам Ил-АМ-42 оказался достаточно простым и легким в управлении. В сравнении с Ил-2 новый самолет обладал значительно лучшей продольной устойчивостью и управляемостью, что упростило технику пилотирования, особенно на виражах и бреющих полетах. Летчики-испытатели отмечали, что Ил-АМ-42 в отличие от Ил-2 «на вираже позволяет значительно выбирать ручку руля высоты на себя, для уменьшения радиуса виража». Пикировал самолет устойчиво. Просадка на выводе оказалась несколько больше, чем у серийного Ил-2. Сила отдачи при стрельбе из пушек почти не сказывалась на пилотировании самолетом и прицеливании. Маневренность Ил-АМ-42 в вертикальной и горизонтальной плоскостях оказалась почти такой же, как у серийной «двойки», даже несколько хуже, и считалась недостаточной для условий боевых действий завершающего периода войны. Тем не менее в целом самолет оставил у военных летчиков-испытателей хорошее впечатление. «Специального переучивания летного состава для перехода с Ил-2 не требует», – указывалось в отчете по испытаниям.</w:t>
      </w:r>
    </w:p>
    <w:p w14:paraId="53042672" w14:textId="77777777" w:rsidR="008E2CE5" w:rsidRPr="007224C3" w:rsidRDefault="008E2CE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улучшения пилотажных качеств машины летчики предлагали на руль поворота установить триммер, а на элероны «наклепать ножи для регулировки от подваливания».</w:t>
      </w:r>
    </w:p>
    <w:p w14:paraId="6143CA67" w14:textId="77777777" w:rsidR="008E2CE5" w:rsidRPr="007224C3" w:rsidRDefault="008E2CE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Указывалось, что Ил-АМ-42 строился по нормам прочности 1941 года и относится к классу Б – ограниченно маневренных самолетов. При полетном весе 7250 кг разрушающая перегрузка равнялась 7,5 единицы, эксплуатационная перегрузка («установленная главным конструктором самолета») – 4,96 единицы.</w:t>
      </w:r>
    </w:p>
    <w:p w14:paraId="00B8B1A1" w14:textId="77777777" w:rsidR="008E2CE5" w:rsidRPr="007224C3" w:rsidRDefault="008E2CE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Помимо неудовлетворительной работы мотора АМ-42 отмечались и ряд других недостатков, отнесенных специалистами института к разряду основных.</w:t>
      </w:r>
    </w:p>
    <w:p w14:paraId="488329A8" w14:textId="77777777" w:rsidR="008E2CE5" w:rsidRPr="007224C3" w:rsidRDefault="008E2CE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частности, для самолета боя представлялось обязательным наличие системы заполнения бензобаков нейтральным газом. На Ил-АМ-42, как указывалось выше, такая система имелась, но на государственные испытания официально она не предъявлялась, так как не была доведена до рабочего состояния.</w:t>
      </w:r>
    </w:p>
    <w:p w14:paraId="6AE1E666" w14:textId="77777777" w:rsidR="008E2CE5" w:rsidRPr="007224C3" w:rsidRDefault="008E2CE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Схему бронирования Ил-АМ-42 специалисты НИИ ВВС оценили как не отвечающую современным требованиям. Соответствующее заключение начальник 8-го отдела института инженер-полковник Лагутин утвердил 24 марта. В ряду особо уязвимых мест значились задняя бронеперегородка штурмана-стрелка (толщина 12 мм) и моторная часть снизу-сбоку (толщина 4 мм). Боевой опыт показал, что именно эти места бронекорпуса Ил-2 наиболее часто поражаются огнем противника. Предлагалось усилить эти участки путем перераспределения толщины брони при сохранении веса брони на прежнем уровне. Для этого рекомендовалось «снять с корпуса/…/передние броневые детали за втулкой винта, уменьшить с 5 до 2,5 мм толщину деталей пояса кабины летчика в местах примыкания крыла к фюзеляжу». Кроме этого, требовалось заднюю перегородку штурмана установить по образцу 2-го экземпляра Ил-АМ-42, то есть сделать экранированной две бронеплиты по 8 мм и обеспечить защиту головы штурмана бронестеклом.</w:t>
      </w:r>
    </w:p>
    <w:p w14:paraId="7750D096" w14:textId="77777777" w:rsidR="008E2CE5" w:rsidRPr="007224C3" w:rsidRDefault="008E2CE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то же время отмечалось, что обе кабины – летчика и штурмана-стрелка – в сравнении с Ил-2 имеют увеличенные размеры, что улучшает условия боевой работы экипажа. В кабине штурмана-стрелка вместо брезентовой ленты (как на Ил-2) устанавливалось постоянное откидное сиденье. Штурман облета капитан Т. Ф. Горбунов отмечал, что в кабине «тепло, задуваний нет, можно работать без летных очков». Посадка в кабину через нижний люк в бронекорпусе была признана удобной. В аварийной ситуации штурман легко покидал кабину с парашютом. Однако при посадке на фюзеляж выбраться из своей кабины штурман не мог, «так как фонарь летчика при открытии надвигается на фонарь штурмана».</w:t>
      </w:r>
    </w:p>
    <w:p w14:paraId="725EFC4E" w14:textId="77777777" w:rsidR="008E2CE5" w:rsidRPr="007224C3" w:rsidRDefault="008E2CE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достоинству машины было отнесено применение электрической системы управления заслонками водо- и маслорадиаторов, а также пневмоэлектрической системы управления огнем и перезарядки стрелково-пушечного вооружения, поскольку это сильно облегчало работу летчика в бою.</w:t>
      </w:r>
    </w:p>
    <w:p w14:paraId="4102393E" w14:textId="77777777" w:rsidR="008E2CE5" w:rsidRPr="007224C3" w:rsidRDefault="008E2CE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Положительно оценили наличие дублирования в каналах управления рулем высоты, поворота, элеронами и триммерами.</w:t>
      </w:r>
    </w:p>
    <w:p w14:paraId="0D5AD193" w14:textId="77777777" w:rsidR="008E2CE5" w:rsidRPr="007224C3" w:rsidRDefault="008E2CE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Установка в кабине пилота прицела ПБП-1б на легкосъемном кронштейне обеспечивала летчику дополнительную безопасность при посадке с убранным шасси. Как известно, на Ил-2 ранних серий летчики часто ударялись о прицел ПБП-1 головой во время вынужденных посадок, что нередко приводило к серьезным травмам, а в ряде случаев – и к смертельным исходам.</w:t>
      </w:r>
    </w:p>
    <w:p w14:paraId="7026A3E7" w14:textId="77777777" w:rsidR="008E2CE5" w:rsidRPr="007224C3" w:rsidRDefault="008E2CE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Бомбовое вооружение штурмовика-бомбардировщика Ил-АМ-42 по номенклатуре бомб и весу в целом соответствовало требованиям войны. Бомбометание допускалось как с горизонтального полета, так и с пикирования, но под углами не более 25–30°, хотя на испытаниях самолет пикировал до 40° без каких-либо нареканий. Для бомбометания с горизонтального полета предназначался прицел ОПБ-1р. Сброс бомб мог осуществляться и штурманом, и летчиком. Однако прицельно сбросить бомбы ни тот ни другой не могли. Из-за плохого обзора передней полусферы штурман без помощи летчика «не может вывести самолет на нехарактерную цель» (объект удара), то есть «заранее найти цель, опознать ее, а затем осуществить наводку». Как отмечалось в отчете, «выполнить все это через прицел не представляется возможным». В свою очередь, «вследствие неудовлетворительного качества прицельных устройств» летчик мог прицеливаться и бомбить «с горизонта» лишь по наитию. Фактически получалось так, что при бомбометании с горизонтального полета наводку на цель и выход на боевой курс должен был выполнять непосредственно летчик, а прицеливание – штурман, «что требует соответствующей методической проработки».</w:t>
      </w:r>
    </w:p>
    <w:p w14:paraId="156ADB44" w14:textId="77777777" w:rsidR="008E2CE5" w:rsidRPr="007224C3" w:rsidRDefault="008E2CE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Кроме этого, бомбовый прицел штурмана в полете нещадно забрызгивался маслом, которое выбивалось из-под уплотнительного кольца втулки винта и носка коленчатого вала мотора. По этим причинам в первом же полете на испытание бомбового вооружения 9 марта штурман капитан Т. Ф. Горбунов был вынужден сбросить все бомбы залпом, неприцельно, за один заход. Для предохранения прицела от попадания масла на заводе № 240 был изготовлен специальный щиток. Установка щитка на самолет положение не улучшило – оптика забрызгивалась маслом. Прицельное бомбометание по-прежнему оставалось невозможным. В испытательном полете 19 марта со щитком из-за замасливания оптики Горбунов сбросил все бомбы аварийно. В то же время отмечалось, что работать с ОПБ-1р в боевом положении удобно, а сам прицел является наиболее подходящим для установки на Ил-АМ-42, если, конечно, «устранить забрызгивание оптики прицела маслом».</w:t>
      </w:r>
    </w:p>
    <w:p w14:paraId="3F6A8D67" w14:textId="77777777" w:rsidR="008E2CE5" w:rsidRPr="007224C3" w:rsidRDefault="008E2CE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этим причинам для бомбометания с горизонтального полета рекомендовалось использовать прицельную систему, отработанную для Ил-2: разметку и визирные штыри на бронекапоте самолета, метки и прицельные линии на лобовом и боковых бронестеклах фонаря кабины.</w:t>
      </w:r>
    </w:p>
    <w:p w14:paraId="75BF901E" w14:textId="77777777" w:rsidR="008E2CE5" w:rsidRPr="007224C3" w:rsidRDefault="008E2CE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Бомбометание с пикирования по методике ничем не отличалось от таковой на Ил-2 и в целом показало хорошие результаты вследствие лучшей устойчивости самолета при пикировании.</w:t>
      </w:r>
    </w:p>
    <w:p w14:paraId="5108B7B9" w14:textId="77777777" w:rsidR="008E2CE5" w:rsidRPr="007224C3" w:rsidRDefault="008E2CE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Отметим, что маслом забрызгивалось и переднее бронестекло фонаря кабины пилота, что, естественно, ухудшало условия прицеливания.</w:t>
      </w:r>
    </w:p>
    <w:p w14:paraId="567D128A" w14:textId="77777777" w:rsidR="008E2CE5" w:rsidRPr="007224C3" w:rsidRDefault="008E2CE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отработки стрелково-пушечного вооружения было выполнено в общей сложности 19 полетов, из них «9 полетов со стрельбой по наземным целям и 10 полетов с ВУ-8».</w:t>
      </w:r>
    </w:p>
    <w:p w14:paraId="173D2C46" w14:textId="77777777" w:rsidR="008E2CE5" w:rsidRPr="007224C3" w:rsidRDefault="008E2CE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Если к пушкам ВЯ и пулеметам ШКАС при стрельбе в воздухе каких-либо серьезных претензий у военных испытателей не было, то работой оборонительной установки ВУ-8 с пулеметом УБК и ее возможностями они остались недовольны.</w:t>
      </w:r>
    </w:p>
    <w:p w14:paraId="20D841BD" w14:textId="77777777" w:rsidR="008E2CE5" w:rsidRPr="007224C3" w:rsidRDefault="008E2CE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 недостатки ВУ-8 в явном виде проявились в воздушном бою с немецким истребителем Bf109G-2, который состоялся 30 апреля. За воздушного стрелка вылетал штурман-испытатель подполковник Н. П. Цветков. Атаки выполнялись со всех возможных в реальном бою направлений. При этом на маршруте полета от Чкаловской до Ногинска «мессер» успевал выполнить до 8–9 атак, находясь всегда в задней полусфере и отворачивая всякий раз в сторону с набором высоты.</w:t>
      </w:r>
    </w:p>
    <w:p w14:paraId="235EAE01" w14:textId="77777777" w:rsidR="008E2CE5" w:rsidRPr="007224C3" w:rsidRDefault="008E2CE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Оказалось, что за время одной атаки «мессершмитта» штурман успевал только развернуть установку в сторону истребителя и выставить пулемет в необходимое положение для стрельбы по нему, а на прицеливание оставалось «такое незначительное время, что точно навести прицел с требуемой поправкой на скорость цели не </w:t>
      </w:r>
      <w:r w:rsidRPr="007224C3">
        <w:rPr>
          <w:rFonts w:ascii="Times New Roman" w:hAnsi="Times New Roman"/>
          <w:color w:val="000000" w:themeColor="text1"/>
          <w:sz w:val="16"/>
          <w:szCs w:val="16"/>
        </w:rPr>
        <w:lastRenderedPageBreak/>
        <w:t>удалось ни разу». С одной стороны, это обуславливалось большими угловыми скоростями цели, а с другой – значительными усилиями для удерживания пулемета при прицеливании и стрельбе. Дело в том, что для выполнения грубой наводки на цель штурману приходилось одной рукой (правой) удерживать пулемет, а другой рукой (левой) – фиксировать стопор каретки установки и одновременно «доворачивать пулеметную установку на цель». После окончания грубой наводки штурман переносил левую руку на пулемет для точного прицеливания, но положение цели за это время менялось настолько, что она оказывалась за пределами углового сектора точной наводки пулемета. Требовалось вновь перемещать саму установку и выполнять точную наводку пулеметом и т. д. То есть «одной рукой довести пулемет и прицелиться невозможно».</w:t>
      </w:r>
    </w:p>
    <w:p w14:paraId="024614A3" w14:textId="77777777" w:rsidR="008E2CE5" w:rsidRPr="007224C3" w:rsidRDefault="008E2CE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Положение усугублялось еще и тем обстоятельством, что при работе с пулеметом имело место «много мелких трудноуловимых препятствий, затруднявших маневр пулеметом и установкой».</w:t>
      </w:r>
    </w:p>
    <w:p w14:paraId="55927480" w14:textId="77777777" w:rsidR="008E2CE5" w:rsidRPr="007224C3" w:rsidRDefault="008E2CE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Как следует из донесения Цветкова, производить прицеливание при стрельбе вверх было крайне неудобно, так как «приходится опускаться на корточки, и получается очень напряженное, неустойчивое положение». При поворотах установки на левый борт очень трудно использовать доводочные углы пулемета, требовалось менять положение туловища относительно оружия, а поскольку прицел располагался слева от пулемета, то для прицеливания нужно было втиснуться между пулеметом и установкой. К тому же сильно мешал установленный в кабине штурмана фотоаппарат АЩАФА-2. Положение стрелка было недостаточно устойчивым – во время прицеливания и стрельбы все время приходилось подыскивать место, куда бы поставить ноги. Отсюда потеря времени на прицеливание. Практически получалось так, что обеспечить прицельный огонь с левого борта было нельзя.</w:t>
      </w:r>
    </w:p>
    <w:p w14:paraId="6E8C30AF" w14:textId="77777777" w:rsidR="008E2CE5" w:rsidRPr="007224C3" w:rsidRDefault="008E2CE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Стрельба с незастопоренной установкой показала, что пулемет в этом случае резко уходит к правому борту, а при стрельбе с застопоренной установкой пулемет сильно трясет.</w:t>
      </w:r>
    </w:p>
    <w:p w14:paraId="1334A6C8" w14:textId="77777777" w:rsidR="008E2CE5" w:rsidRPr="007224C3" w:rsidRDefault="008E2CE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Ведение прицельного огня на виражах оказалось невозможным, так как пулемет прижимает вниз, а «приподнять и удержать его не хватает силы», не говоря уже о том, чтобы одновременно с этим еще и поворачивать установку в сторону цели. Во время воздушного боя на виражах истребитель легко держался в хвосте и на первом же вираже заходил строго в хвост на дистанцию открытия действительного огня 100–150 м.</w:t>
      </w:r>
    </w:p>
    <w:p w14:paraId="65EF0E36" w14:textId="77777777" w:rsidR="008E2CE5" w:rsidRPr="007224C3" w:rsidRDefault="008E2CE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мнению подполковника Цветкова, маневренность ВУ-8 и пулемета в целом явно недостаточная для эффективного отражения атак истребителей, «в лучшем случае она может позволить сделать одну прицельную очередь, и то с недостаточной точностью прицеливания». Одновременно отмечалось, что сама установка ВУ-8 заметно лучше, чем блистерная установка БЛУБ на Су-6, и несколько лучше, чем ВУБ-3 на Ил-2.</w:t>
      </w:r>
    </w:p>
    <w:p w14:paraId="1F01195E" w14:textId="77777777" w:rsidR="008E2CE5" w:rsidRPr="007224C3" w:rsidRDefault="008E2CE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Справедливости ради следует отметить, что при всех атаках со стороны задней полусферы летчик по команде штурмана энергичным маневром успевал доворачивать самолет таким образом, чтобы штурман мог держать противника в секторе обстрела. Это до некоторой степени компенсировало ограниченность углов обстрела установки, однако не обеспечивало ведение прицельной стрельбы.</w:t>
      </w:r>
    </w:p>
    <w:p w14:paraId="0836E645" w14:textId="77777777" w:rsidR="008E2CE5" w:rsidRPr="007224C3" w:rsidRDefault="008E2CE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отражении атак истребителя со стороны солнца выявилась еще одна интересная особенность ВУ-8 – плексиглас козырька установки слепил штурмана еще больше, чем солнце, вследствие чего прицеливаться было невозможно.</w:t>
      </w:r>
    </w:p>
    <w:p w14:paraId="3D2CA49B" w14:textId="77777777" w:rsidR="008E2CE5" w:rsidRPr="007224C3" w:rsidRDefault="008E2CE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Кроме этого, переговорное устройство штурмана и летчика работало неудовлетворительно: «… сильный треск и шум не давали разговаривать, переключатель абонентской коробки во время боя несколько раз самопроизвольно переключался в положение РС или РК, что нарушало связь с летчиком».</w:t>
      </w:r>
    </w:p>
    <w:p w14:paraId="74B3A958" w14:textId="77777777" w:rsidR="008E2CE5" w:rsidRPr="007224C3" w:rsidRDefault="008E2CE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Серьезными недостатками ВУ-8 считались небольшая емкость магазина пулемета УБК и большое время его смены. Полсотни патронов в магазине оказалось недостаточно для отражения даже одной атаки истребителя. В то же время на его замену уходило около одной минуты, что было совершенно неприемлемым для реальных условий боя. В отчете указывалось, что за счет некоторых конструктивных улучшений можно сократить время смены магазина до 45–50 секунд, но все равно оно оставалось большим.</w:t>
      </w:r>
    </w:p>
    <w:p w14:paraId="2B748969" w14:textId="77777777" w:rsidR="008E2CE5" w:rsidRPr="007224C3" w:rsidRDefault="008E2CE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сравнению с ранее принятыми подобными установками преимуществ не имеет, за исключением того, что защищает стрелка от задувания», – констатировал подполковник Цветков после проведенного им воздушного боя с немецким истребителем.</w:t>
      </w:r>
    </w:p>
    <w:p w14:paraId="30C83F1D" w14:textId="77777777" w:rsidR="008E2CE5" w:rsidRPr="007224C3" w:rsidRDefault="008E2CE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выводах отчета предлагалось увеличить углы обстрела вверх и по горизонту и емкость магазина, хотя бы до 75 патронов, а также «отработать механизм, компенсирующий вес пулемета и магазина».</w:t>
      </w:r>
    </w:p>
    <w:p w14:paraId="0D29F755" w14:textId="77777777" w:rsidR="008E2CE5" w:rsidRPr="007224C3" w:rsidRDefault="008E2CE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Предъявлялись претензии и к спецоборудованию самолета. В частности, отмечалась плохая конструктивная проработка экранировки системы зажигания мотора, вследствие чего «уровень помех радиоприема вырастает до недопустимых величин». Схема коммутации средств радио- и внутрисамолетной связи не учитывала особенности работы экипажа на данном самолете – «летчик и штурман совмещают лишние функции».</w:t>
      </w:r>
    </w:p>
    <w:p w14:paraId="1E022969" w14:textId="77777777" w:rsidR="008E2CE5" w:rsidRPr="007224C3" w:rsidRDefault="008E2CE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Несмотря на столь обширный перечень дефектов и недостатков Ил-АМ-42, в заключении акта по испытаниям самолет был рекомендован к запуску в серийное производство в вариантах штурмовика-бомбардировщика и разведчика-корректировщика.</w:t>
      </w:r>
    </w:p>
    <w:p w14:paraId="53FB5718" w14:textId="77777777" w:rsidR="008E2CE5" w:rsidRPr="007224C3" w:rsidRDefault="008E2CE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целью выявления боевых качеств Ил-АМ-42 предлагалось «выпустить войсковую серию этих самолетов». Причем когда акт подписывал начальник НИИ ВВС генерал-лейтенант П. А. Лосюков, то он собственноручно дописал к этому пункту документа: «…даже с 50 час. ресурсом АМ-42 (если не успеют моторы со 100 час. ресурсом)».</w:t>
      </w:r>
    </w:p>
    <w:p w14:paraId="6C49052A" w14:textId="77777777" w:rsidR="008E2CE5" w:rsidRPr="007224C3" w:rsidRDefault="008E2CE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Военные специалисты считали необходимым «просить Наркома авиапромышленности тов. Шахурина А. И. дать задания: а) Главному конструктору мотора АМ-42 тов. Микулину А. А. довести опытный мотор до состояния пригодного к нормальной эксплуатации. б) Главному конструктору самолета Ил с АМ-42 тов. Ильюшину С. В. до запуска в серийное производство устранить дефекты, отмеченные в выводах…»</w:t>
      </w:r>
    </w:p>
    <w:p w14:paraId="4858071B" w14:textId="77777777" w:rsidR="008E2CE5" w:rsidRPr="007224C3" w:rsidRDefault="008E2CE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Что касается установки на самолет кассет ДАГ-10 и крупнокалиберных пушек 11П, а также величины бомбовой нагрузки с этими пушками, то решение планировалось принять после проведения испытаний 2-го экземпляра самолета Ил-АМ-42 (17490).</w:t>
      </w:r>
    </w:p>
    <w:p w14:paraId="7415718B" w14:textId="77777777" w:rsidR="008E2CE5" w:rsidRPr="007224C3" w:rsidRDefault="008E2CE5" w:rsidP="007224C3">
      <w:pPr>
        <w:spacing w:after="0" w:line="240" w:lineRule="auto"/>
        <w:jc w:val="both"/>
        <w:rPr>
          <w:rFonts w:ascii="Times New Roman" w:hAnsi="Times New Roman"/>
          <w:color w:val="000000" w:themeColor="text1"/>
          <w:sz w:val="16"/>
          <w:szCs w:val="16"/>
        </w:rPr>
      </w:pPr>
    </w:p>
    <w:p w14:paraId="01503F1E" w14:textId="77777777" w:rsidR="00427F3D" w:rsidRPr="007224C3" w:rsidRDefault="00427F3D"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30 марта 1944 г. в НИИ ВВС с общим налетом 19 часов 30 минут в 44 полетах успешно завершились госиспытания опытного двухместного «тяжелого» «Ил» № 1 с мотором АМ42 и винтом АВ-5Л-18Б конструкции С.В. Ильюшина (экземпляр № 1, производство завода № 240 мая 1943 года). Самолет был рекомендован в серию в двух вариантах, однако моторов, пригодных к установке на этой самой серии, по сути, так и не было. Более того, по предложению наркома авиапромышленности А.И. Шахурина, И.В. Сталин, постановлением ГКО № 5525с от 3 апреля освободил Александра Александровича Микулина от обязанностей Главного конструктора завода № 24 в Куйбышеве. Этот пост занял Михаил Романович Флисский, которому и предстояло спасать АМ-42. Завод № 18 неспешно (по меркам того времени) приступил к освоению производства штурмовика Ил-8 или изделия «М» по внутризаводскому шифру. Однако этим планам не суждено было сбыться. Во второй половине апреля Сергей Владимирович Ильюшин завершил «операцию прикрытия». Двухместный вариант самолета Ил-1 после выполнения комплекса доработок на заводе № 240 получил (сначала полуофициально) новое наименование – Ил-10. События стали развиваться в ускоренном темпе. 18 апреля Владимир Константинович Коккинаки выполнил на новой машине первый вылет, а уже 27 мая с положительной оценкой завершились государственные испытания в НИИ ВВС. За следующие два месяца была проделана огромная работа по организации, планированиюи подготовке производстваИл-10 (21005)</w:t>
      </w:r>
    </w:p>
    <w:p w14:paraId="7E9207BC" w14:textId="77777777" w:rsidR="00427F3D" w:rsidRPr="007224C3" w:rsidRDefault="00427F3D" w:rsidP="007224C3">
      <w:pPr>
        <w:shd w:val="clear" w:color="auto" w:fill="FFFFFF"/>
        <w:spacing w:after="0" w:line="240" w:lineRule="auto"/>
        <w:jc w:val="both"/>
        <w:rPr>
          <w:rFonts w:ascii="Times New Roman" w:hAnsi="Times New Roman"/>
          <w:color w:val="0070C0"/>
          <w:sz w:val="16"/>
          <w:szCs w:val="16"/>
        </w:rPr>
      </w:pPr>
    </w:p>
    <w:p w14:paraId="75B1E06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марта 1944 года начальник НИИ ВВС генерал-лейтенант инженерной службы Лосюков и начальник 3-го отдела НИИ ВВС инженер-полковник Сафронов писали письмо N 3/0454 гл. инженеру ВВС генерал-полковнику Репину А.К., Шахурину, управление кадров ЦК ВКП(б) генерал лейтенанту авиации Шиманову Н.С.</w:t>
      </w:r>
    </w:p>
    <w:p w14:paraId="43FB840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Докладываю, что государственные испытания опытного самолета Як-9У, конструкции Яковлева, с установленным 27 февраля 1944 года вторым мотором ВК-107А, временно прекращены. В полете выбивает масло через уплотнение вала редуктора и из суфлерной трубы мотора (1821,133).</w:t>
      </w:r>
    </w:p>
    <w:p w14:paraId="2305A11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01DC4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марта 1944 года была подготовлена справка:</w:t>
      </w:r>
    </w:p>
    <w:p w14:paraId="246D53D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 время оккупации Таганрога на базе завода № 86 НКАП был организован ремонтный завод фирмы “Юнкерс”. Отступая из Таганрога немцы эвакуировали завод в Умань. (Реэвакуировать оборудование ранее принадлежавшее заводу № 86 НКАП) (8951).</w:t>
      </w:r>
    </w:p>
    <w:p w14:paraId="1136E94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9F1D4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марта 1944 года Н.С.Хрущева - тогда Первый секретарь ЦК КП(б)У и Председатель Совмина Украины, высказал предложения по восстановлению ГА в Украине (9631).</w:t>
      </w:r>
    </w:p>
    <w:p w14:paraId="2D33359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9C957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марта 1944 Нач. 12 ГУ НКАП Васильев писал письмо № 44/893 в ЦК ВКП(б) Управление кадров, Авиационный Отдел - т. Серову:</w:t>
      </w:r>
    </w:p>
    <w:p w14:paraId="321DCC8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Потребность самолетных заводов в концевых выключателях на 2-1 кв. 1944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38"/>
        <w:gridCol w:w="4500"/>
        <w:gridCol w:w="1206"/>
        <w:gridCol w:w="1206"/>
        <w:gridCol w:w="1206"/>
        <w:gridCol w:w="1206"/>
        <w:gridCol w:w="1206"/>
      </w:tblGrid>
      <w:tr w:rsidR="005106D0" w:rsidRPr="007224C3" w14:paraId="2AC42FD9" w14:textId="77777777">
        <w:tc>
          <w:tcPr>
            <w:tcW w:w="738" w:type="dxa"/>
            <w:tcBorders>
              <w:top w:val="single" w:sz="12" w:space="0" w:color="auto"/>
            </w:tcBorders>
          </w:tcPr>
          <w:p w14:paraId="3C3BD43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п/п</w:t>
            </w:r>
          </w:p>
        </w:tc>
        <w:tc>
          <w:tcPr>
            <w:tcW w:w="4500" w:type="dxa"/>
            <w:tcBorders>
              <w:top w:val="single" w:sz="12" w:space="0" w:color="auto"/>
            </w:tcBorders>
          </w:tcPr>
          <w:p w14:paraId="5E485FB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Наименование</w:t>
            </w:r>
          </w:p>
        </w:tc>
        <w:tc>
          <w:tcPr>
            <w:tcW w:w="1206" w:type="dxa"/>
            <w:tcBorders>
              <w:top w:val="single" w:sz="12" w:space="0" w:color="auto"/>
            </w:tcBorders>
          </w:tcPr>
          <w:p w14:paraId="198E1D9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Тип</w:t>
            </w:r>
          </w:p>
        </w:tc>
        <w:tc>
          <w:tcPr>
            <w:tcW w:w="1206" w:type="dxa"/>
            <w:tcBorders>
              <w:top w:val="single" w:sz="12" w:space="0" w:color="auto"/>
            </w:tcBorders>
          </w:tcPr>
          <w:p w14:paraId="7C11353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Назначение</w:t>
            </w:r>
          </w:p>
        </w:tc>
        <w:tc>
          <w:tcPr>
            <w:tcW w:w="1206" w:type="dxa"/>
            <w:tcBorders>
              <w:top w:val="single" w:sz="12" w:space="0" w:color="auto"/>
            </w:tcBorders>
          </w:tcPr>
          <w:p w14:paraId="3B3279C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Норма</w:t>
            </w:r>
          </w:p>
        </w:tc>
        <w:tc>
          <w:tcPr>
            <w:tcW w:w="1206" w:type="dxa"/>
            <w:tcBorders>
              <w:top w:val="single" w:sz="12" w:space="0" w:color="auto"/>
            </w:tcBorders>
          </w:tcPr>
          <w:p w14:paraId="1A75E31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Потребность для обеспечения выпуска самолетов</w:t>
            </w:r>
          </w:p>
        </w:tc>
        <w:tc>
          <w:tcPr>
            <w:tcW w:w="1206" w:type="dxa"/>
            <w:tcBorders>
              <w:top w:val="single" w:sz="12" w:space="0" w:color="auto"/>
            </w:tcBorders>
          </w:tcPr>
          <w:p w14:paraId="3796AEF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Примечание</w:t>
            </w:r>
          </w:p>
        </w:tc>
      </w:tr>
      <w:tr w:rsidR="005106D0" w:rsidRPr="007224C3" w14:paraId="7B11407B" w14:textId="77777777">
        <w:tc>
          <w:tcPr>
            <w:tcW w:w="738" w:type="dxa"/>
          </w:tcPr>
          <w:p w14:paraId="436C6F0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tc>
        <w:tc>
          <w:tcPr>
            <w:tcW w:w="4500" w:type="dxa"/>
          </w:tcPr>
          <w:p w14:paraId="31ED09A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Концевой выключатель с дополнительным устройством</w:t>
            </w:r>
          </w:p>
        </w:tc>
        <w:tc>
          <w:tcPr>
            <w:tcW w:w="1206" w:type="dxa"/>
          </w:tcPr>
          <w:p w14:paraId="6D994EB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ВК-41</w:t>
            </w:r>
          </w:p>
        </w:tc>
        <w:tc>
          <w:tcPr>
            <w:tcW w:w="1206" w:type="dxa"/>
          </w:tcPr>
          <w:p w14:paraId="2D6EDCD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И-2</w:t>
            </w:r>
          </w:p>
        </w:tc>
        <w:tc>
          <w:tcPr>
            <w:tcW w:w="1206" w:type="dxa"/>
          </w:tcPr>
          <w:p w14:paraId="111BDE4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tc>
        <w:tc>
          <w:tcPr>
            <w:tcW w:w="1206" w:type="dxa"/>
          </w:tcPr>
          <w:p w14:paraId="752B3B6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14950</w:t>
            </w:r>
          </w:p>
        </w:tc>
        <w:tc>
          <w:tcPr>
            <w:tcW w:w="1206" w:type="dxa"/>
          </w:tcPr>
          <w:p w14:paraId="1692068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6D734B55" w14:textId="77777777">
        <w:tc>
          <w:tcPr>
            <w:tcW w:w="738" w:type="dxa"/>
          </w:tcPr>
          <w:p w14:paraId="5FE3ADE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4500" w:type="dxa"/>
          </w:tcPr>
          <w:p w14:paraId="3C93ADF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206" w:type="dxa"/>
          </w:tcPr>
          <w:p w14:paraId="0885D34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206" w:type="dxa"/>
          </w:tcPr>
          <w:p w14:paraId="1106BF2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Ла-5</w:t>
            </w:r>
          </w:p>
        </w:tc>
        <w:tc>
          <w:tcPr>
            <w:tcW w:w="1206" w:type="dxa"/>
          </w:tcPr>
          <w:p w14:paraId="4AE11BA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tc>
        <w:tc>
          <w:tcPr>
            <w:tcW w:w="1206" w:type="dxa"/>
          </w:tcPr>
          <w:p w14:paraId="38EDDA1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4788</w:t>
            </w:r>
          </w:p>
        </w:tc>
        <w:tc>
          <w:tcPr>
            <w:tcW w:w="1206" w:type="dxa"/>
          </w:tcPr>
          <w:p w14:paraId="17D5503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1779BE93" w14:textId="77777777">
        <w:tc>
          <w:tcPr>
            <w:tcW w:w="738" w:type="dxa"/>
          </w:tcPr>
          <w:p w14:paraId="7B1DF7A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4500" w:type="dxa"/>
          </w:tcPr>
          <w:p w14:paraId="47B2EAE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206" w:type="dxa"/>
          </w:tcPr>
          <w:p w14:paraId="35EB92E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206" w:type="dxa"/>
          </w:tcPr>
          <w:p w14:paraId="296EF3E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Пе-2</w:t>
            </w:r>
          </w:p>
        </w:tc>
        <w:tc>
          <w:tcPr>
            <w:tcW w:w="1206" w:type="dxa"/>
          </w:tcPr>
          <w:p w14:paraId="209055F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w:t>
            </w:r>
          </w:p>
        </w:tc>
        <w:tc>
          <w:tcPr>
            <w:tcW w:w="1206" w:type="dxa"/>
          </w:tcPr>
          <w:p w14:paraId="5C3EA52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14706</w:t>
            </w:r>
          </w:p>
        </w:tc>
        <w:tc>
          <w:tcPr>
            <w:tcW w:w="1206" w:type="dxa"/>
          </w:tcPr>
          <w:p w14:paraId="6A53448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5CF52DA3" w14:textId="77777777">
        <w:tc>
          <w:tcPr>
            <w:tcW w:w="738" w:type="dxa"/>
          </w:tcPr>
          <w:p w14:paraId="3490CFB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4500" w:type="dxa"/>
          </w:tcPr>
          <w:p w14:paraId="327D6FC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206" w:type="dxa"/>
          </w:tcPr>
          <w:p w14:paraId="113700E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206" w:type="dxa"/>
          </w:tcPr>
          <w:p w14:paraId="0629D02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Ту-2</w:t>
            </w:r>
          </w:p>
        </w:tc>
        <w:tc>
          <w:tcPr>
            <w:tcW w:w="1206" w:type="dxa"/>
          </w:tcPr>
          <w:p w14:paraId="0D22E07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w:t>
            </w:r>
          </w:p>
        </w:tc>
        <w:tc>
          <w:tcPr>
            <w:tcW w:w="1206" w:type="dxa"/>
          </w:tcPr>
          <w:p w14:paraId="0E0980C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720</w:t>
            </w:r>
          </w:p>
        </w:tc>
        <w:tc>
          <w:tcPr>
            <w:tcW w:w="1206" w:type="dxa"/>
          </w:tcPr>
          <w:p w14:paraId="1D9E4CC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19F199D5" w14:textId="77777777">
        <w:tc>
          <w:tcPr>
            <w:tcW w:w="738" w:type="dxa"/>
          </w:tcPr>
          <w:p w14:paraId="44E4A5E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4500" w:type="dxa"/>
          </w:tcPr>
          <w:p w14:paraId="12BD40A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206" w:type="dxa"/>
          </w:tcPr>
          <w:p w14:paraId="0166D15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206" w:type="dxa"/>
          </w:tcPr>
          <w:p w14:paraId="6079BBB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ЛаГГ-3</w:t>
            </w:r>
          </w:p>
        </w:tc>
        <w:tc>
          <w:tcPr>
            <w:tcW w:w="1206" w:type="dxa"/>
          </w:tcPr>
          <w:p w14:paraId="39223AE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tc>
        <w:tc>
          <w:tcPr>
            <w:tcW w:w="1206" w:type="dxa"/>
          </w:tcPr>
          <w:p w14:paraId="713AD82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w:t>
            </w:r>
          </w:p>
        </w:tc>
        <w:tc>
          <w:tcPr>
            <w:tcW w:w="1206" w:type="dxa"/>
          </w:tcPr>
          <w:p w14:paraId="798261D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5517221F" w14:textId="77777777">
        <w:tc>
          <w:tcPr>
            <w:tcW w:w="738" w:type="dxa"/>
          </w:tcPr>
          <w:p w14:paraId="64A7308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4500" w:type="dxa"/>
          </w:tcPr>
          <w:p w14:paraId="7CFEAFE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206" w:type="dxa"/>
          </w:tcPr>
          <w:p w14:paraId="51AFBFA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206" w:type="dxa"/>
          </w:tcPr>
          <w:p w14:paraId="5E578E0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Ер-2</w:t>
            </w:r>
          </w:p>
        </w:tc>
        <w:tc>
          <w:tcPr>
            <w:tcW w:w="1206" w:type="dxa"/>
          </w:tcPr>
          <w:p w14:paraId="5FF09D2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w:t>
            </w:r>
          </w:p>
        </w:tc>
        <w:tc>
          <w:tcPr>
            <w:tcW w:w="1206" w:type="dxa"/>
          </w:tcPr>
          <w:p w14:paraId="2CC8B4C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360</w:t>
            </w:r>
          </w:p>
        </w:tc>
        <w:tc>
          <w:tcPr>
            <w:tcW w:w="1206" w:type="dxa"/>
          </w:tcPr>
          <w:p w14:paraId="2ACB520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73BBAFF5" w14:textId="77777777">
        <w:tc>
          <w:tcPr>
            <w:tcW w:w="738" w:type="dxa"/>
          </w:tcPr>
          <w:p w14:paraId="7384ECF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4500" w:type="dxa"/>
          </w:tcPr>
          <w:p w14:paraId="4D8349D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206" w:type="dxa"/>
          </w:tcPr>
          <w:p w14:paraId="40B4D16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206" w:type="dxa"/>
          </w:tcPr>
          <w:p w14:paraId="73D1AEB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Як-1</w:t>
            </w:r>
          </w:p>
        </w:tc>
        <w:tc>
          <w:tcPr>
            <w:tcW w:w="1206" w:type="dxa"/>
          </w:tcPr>
          <w:p w14:paraId="4E285D9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w:t>
            </w:r>
          </w:p>
        </w:tc>
        <w:tc>
          <w:tcPr>
            <w:tcW w:w="1206" w:type="dxa"/>
          </w:tcPr>
          <w:p w14:paraId="7D9B9C8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1232</w:t>
            </w:r>
          </w:p>
        </w:tc>
        <w:tc>
          <w:tcPr>
            <w:tcW w:w="1206" w:type="dxa"/>
          </w:tcPr>
          <w:p w14:paraId="55D1FBF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373224B8" w14:textId="77777777">
        <w:tc>
          <w:tcPr>
            <w:tcW w:w="738" w:type="dxa"/>
          </w:tcPr>
          <w:p w14:paraId="025A2E9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4500" w:type="dxa"/>
          </w:tcPr>
          <w:p w14:paraId="58B8F4C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206" w:type="dxa"/>
          </w:tcPr>
          <w:p w14:paraId="4A940F9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206" w:type="dxa"/>
          </w:tcPr>
          <w:p w14:paraId="2D26669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Як-9</w:t>
            </w:r>
          </w:p>
        </w:tc>
        <w:tc>
          <w:tcPr>
            <w:tcW w:w="1206" w:type="dxa"/>
          </w:tcPr>
          <w:p w14:paraId="353AE08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tc>
        <w:tc>
          <w:tcPr>
            <w:tcW w:w="1206" w:type="dxa"/>
          </w:tcPr>
          <w:p w14:paraId="2EC3CEC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1520</w:t>
            </w:r>
          </w:p>
        </w:tc>
        <w:tc>
          <w:tcPr>
            <w:tcW w:w="1206" w:type="dxa"/>
          </w:tcPr>
          <w:p w14:paraId="28E0127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7EABF2EA" w14:textId="77777777">
        <w:tc>
          <w:tcPr>
            <w:tcW w:w="738" w:type="dxa"/>
          </w:tcPr>
          <w:p w14:paraId="19B7827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4500" w:type="dxa"/>
          </w:tcPr>
          <w:p w14:paraId="3015882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w:t>
            </w:r>
          </w:p>
        </w:tc>
        <w:tc>
          <w:tcPr>
            <w:tcW w:w="1206" w:type="dxa"/>
          </w:tcPr>
          <w:p w14:paraId="4514B6A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206" w:type="dxa"/>
          </w:tcPr>
          <w:p w14:paraId="46AFFBE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206" w:type="dxa"/>
          </w:tcPr>
          <w:p w14:paraId="685EF76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206" w:type="dxa"/>
          </w:tcPr>
          <w:p w14:paraId="1E46E0C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38326</w:t>
            </w:r>
          </w:p>
        </w:tc>
        <w:tc>
          <w:tcPr>
            <w:tcW w:w="1206" w:type="dxa"/>
          </w:tcPr>
          <w:p w14:paraId="2029CD0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4F6A924" w14:textId="77777777">
        <w:tc>
          <w:tcPr>
            <w:tcW w:w="738" w:type="dxa"/>
          </w:tcPr>
          <w:p w14:paraId="2592E5A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4500" w:type="dxa"/>
          </w:tcPr>
          <w:p w14:paraId="0F803D9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Заявка</w:t>
            </w:r>
          </w:p>
        </w:tc>
        <w:tc>
          <w:tcPr>
            <w:tcW w:w="1206" w:type="dxa"/>
          </w:tcPr>
          <w:p w14:paraId="45C867A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206" w:type="dxa"/>
          </w:tcPr>
          <w:p w14:paraId="343C832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206" w:type="dxa"/>
          </w:tcPr>
          <w:p w14:paraId="108025B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206" w:type="dxa"/>
          </w:tcPr>
          <w:p w14:paraId="1F33C05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30000</w:t>
            </w:r>
          </w:p>
        </w:tc>
        <w:tc>
          <w:tcPr>
            <w:tcW w:w="1206" w:type="dxa"/>
          </w:tcPr>
          <w:p w14:paraId="1F6586F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69E0A36" w14:textId="77777777">
        <w:tc>
          <w:tcPr>
            <w:tcW w:w="738" w:type="dxa"/>
          </w:tcPr>
          <w:p w14:paraId="55C3788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tc>
        <w:tc>
          <w:tcPr>
            <w:tcW w:w="4500" w:type="dxa"/>
          </w:tcPr>
          <w:p w14:paraId="46F3EAE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Выключатель концевой без дополнительного устройства</w:t>
            </w:r>
          </w:p>
        </w:tc>
        <w:tc>
          <w:tcPr>
            <w:tcW w:w="1206" w:type="dxa"/>
          </w:tcPr>
          <w:p w14:paraId="168840B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ВК-41</w:t>
            </w:r>
          </w:p>
        </w:tc>
        <w:tc>
          <w:tcPr>
            <w:tcW w:w="1206" w:type="dxa"/>
          </w:tcPr>
          <w:p w14:paraId="0426A1C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Як-3</w:t>
            </w:r>
          </w:p>
        </w:tc>
        <w:tc>
          <w:tcPr>
            <w:tcW w:w="1206" w:type="dxa"/>
          </w:tcPr>
          <w:p w14:paraId="591993E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tc>
        <w:tc>
          <w:tcPr>
            <w:tcW w:w="1206" w:type="dxa"/>
          </w:tcPr>
          <w:p w14:paraId="454BF6B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1200</w:t>
            </w:r>
          </w:p>
        </w:tc>
        <w:tc>
          <w:tcPr>
            <w:tcW w:w="1206" w:type="dxa"/>
          </w:tcPr>
          <w:p w14:paraId="0E4560C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4BD4BF1C" w14:textId="77777777">
        <w:tc>
          <w:tcPr>
            <w:tcW w:w="738" w:type="dxa"/>
          </w:tcPr>
          <w:p w14:paraId="47FA664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4500" w:type="dxa"/>
          </w:tcPr>
          <w:p w14:paraId="6C326F2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206" w:type="dxa"/>
          </w:tcPr>
          <w:p w14:paraId="65DF48A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206" w:type="dxa"/>
          </w:tcPr>
          <w:p w14:paraId="41F39AC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Як-9</w:t>
            </w:r>
          </w:p>
        </w:tc>
        <w:tc>
          <w:tcPr>
            <w:tcW w:w="1206" w:type="dxa"/>
          </w:tcPr>
          <w:p w14:paraId="3985387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tc>
        <w:tc>
          <w:tcPr>
            <w:tcW w:w="1206" w:type="dxa"/>
          </w:tcPr>
          <w:p w14:paraId="46D39F8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3730</w:t>
            </w:r>
          </w:p>
        </w:tc>
        <w:tc>
          <w:tcPr>
            <w:tcW w:w="1206" w:type="dxa"/>
          </w:tcPr>
          <w:p w14:paraId="3F9B81F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7A5A9CA9" w14:textId="77777777">
        <w:tc>
          <w:tcPr>
            <w:tcW w:w="738" w:type="dxa"/>
          </w:tcPr>
          <w:p w14:paraId="3BB476B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4500" w:type="dxa"/>
          </w:tcPr>
          <w:p w14:paraId="153BAA7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206" w:type="dxa"/>
          </w:tcPr>
          <w:p w14:paraId="2D0687F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206" w:type="dxa"/>
          </w:tcPr>
          <w:p w14:paraId="6E9B038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Ла-5</w:t>
            </w:r>
          </w:p>
        </w:tc>
        <w:tc>
          <w:tcPr>
            <w:tcW w:w="1206" w:type="dxa"/>
          </w:tcPr>
          <w:p w14:paraId="4BE3CC2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tc>
        <w:tc>
          <w:tcPr>
            <w:tcW w:w="1206" w:type="dxa"/>
          </w:tcPr>
          <w:p w14:paraId="7D1BDA4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3192</w:t>
            </w:r>
          </w:p>
        </w:tc>
        <w:tc>
          <w:tcPr>
            <w:tcW w:w="1206" w:type="dxa"/>
          </w:tcPr>
          <w:p w14:paraId="30925F3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5C1CB23F" w14:textId="77777777">
        <w:tc>
          <w:tcPr>
            <w:tcW w:w="738" w:type="dxa"/>
          </w:tcPr>
          <w:p w14:paraId="0138F2A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4500" w:type="dxa"/>
          </w:tcPr>
          <w:p w14:paraId="00C118C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206" w:type="dxa"/>
          </w:tcPr>
          <w:p w14:paraId="0AE061A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206" w:type="dxa"/>
          </w:tcPr>
          <w:p w14:paraId="5D0F6DC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ЛаГГ-3</w:t>
            </w:r>
          </w:p>
        </w:tc>
        <w:tc>
          <w:tcPr>
            <w:tcW w:w="1206" w:type="dxa"/>
          </w:tcPr>
          <w:p w14:paraId="33F3C45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tc>
        <w:tc>
          <w:tcPr>
            <w:tcW w:w="1206" w:type="dxa"/>
          </w:tcPr>
          <w:p w14:paraId="29BFCB7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w:t>
            </w:r>
          </w:p>
        </w:tc>
        <w:tc>
          <w:tcPr>
            <w:tcW w:w="1206" w:type="dxa"/>
          </w:tcPr>
          <w:p w14:paraId="3DED853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76FB925D" w14:textId="77777777">
        <w:tc>
          <w:tcPr>
            <w:tcW w:w="738" w:type="dxa"/>
          </w:tcPr>
          <w:p w14:paraId="53EF133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4500" w:type="dxa"/>
          </w:tcPr>
          <w:p w14:paraId="15C1409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w:t>
            </w:r>
          </w:p>
        </w:tc>
        <w:tc>
          <w:tcPr>
            <w:tcW w:w="1206" w:type="dxa"/>
          </w:tcPr>
          <w:p w14:paraId="31D85E6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206" w:type="dxa"/>
          </w:tcPr>
          <w:p w14:paraId="54AAD5C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206" w:type="dxa"/>
          </w:tcPr>
          <w:p w14:paraId="38D757B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206" w:type="dxa"/>
          </w:tcPr>
          <w:p w14:paraId="384D7C1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8147</w:t>
            </w:r>
          </w:p>
        </w:tc>
        <w:tc>
          <w:tcPr>
            <w:tcW w:w="1206" w:type="dxa"/>
          </w:tcPr>
          <w:p w14:paraId="0F9F8D4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74A5A78" w14:textId="77777777">
        <w:tc>
          <w:tcPr>
            <w:tcW w:w="738" w:type="dxa"/>
            <w:tcBorders>
              <w:bottom w:val="single" w:sz="12" w:space="0" w:color="auto"/>
            </w:tcBorders>
          </w:tcPr>
          <w:p w14:paraId="2C2AF51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4500" w:type="dxa"/>
            <w:tcBorders>
              <w:bottom w:val="single" w:sz="12" w:space="0" w:color="auto"/>
            </w:tcBorders>
          </w:tcPr>
          <w:p w14:paraId="070A592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Заявка</w:t>
            </w:r>
          </w:p>
        </w:tc>
        <w:tc>
          <w:tcPr>
            <w:tcW w:w="1206" w:type="dxa"/>
            <w:tcBorders>
              <w:bottom w:val="single" w:sz="12" w:space="0" w:color="auto"/>
            </w:tcBorders>
          </w:tcPr>
          <w:p w14:paraId="330A7A5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206" w:type="dxa"/>
            <w:tcBorders>
              <w:bottom w:val="single" w:sz="12" w:space="0" w:color="auto"/>
            </w:tcBorders>
          </w:tcPr>
          <w:p w14:paraId="34053C2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206" w:type="dxa"/>
            <w:tcBorders>
              <w:bottom w:val="single" w:sz="12" w:space="0" w:color="auto"/>
            </w:tcBorders>
          </w:tcPr>
          <w:p w14:paraId="47E122A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206" w:type="dxa"/>
            <w:tcBorders>
              <w:bottom w:val="single" w:sz="12" w:space="0" w:color="auto"/>
            </w:tcBorders>
          </w:tcPr>
          <w:p w14:paraId="22FBE20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10000</w:t>
            </w:r>
          </w:p>
        </w:tc>
        <w:tc>
          <w:tcPr>
            <w:tcW w:w="1206" w:type="dxa"/>
            <w:tcBorders>
              <w:bottom w:val="single" w:sz="12" w:space="0" w:color="auto"/>
            </w:tcBorders>
          </w:tcPr>
          <w:p w14:paraId="341BBDB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r>
    </w:tbl>
    <w:p w14:paraId="6A7D758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(10527,6).</w:t>
      </w:r>
    </w:p>
    <w:p w14:paraId="6A127DE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74FA28"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3CADB84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F84782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марта 1944:</w:t>
      </w:r>
    </w:p>
    <w:p w14:paraId="4801642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 докладной записки Красноярского крайкома ВКП (б) в Наркоматы Внутренних дел, боеприпасов и строительства О строительстве завода №580</w:t>
      </w:r>
    </w:p>
    <w:p w14:paraId="786B0D3E" w14:textId="77777777" w:rsidR="00595BFB" w:rsidRPr="007224C3" w:rsidRDefault="00595BFB" w:rsidP="007224C3">
      <w:pPr>
        <w:tabs>
          <w:tab w:val="left" w:pos="708"/>
          <w:tab w:val="center" w:pos="5425"/>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г.Красноярск 30 марта 1944 г.</w:t>
      </w:r>
    </w:p>
    <w:p w14:paraId="3DE7F9C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Народному комиссару Внутренних дел СССР тов. Берия Л.П.</w:t>
      </w:r>
    </w:p>
    <w:p w14:paraId="0765799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Народному Комиссару боеприпасов СССР тов. Ванникову Б.Л.</w:t>
      </w:r>
    </w:p>
    <w:p w14:paraId="5AF6883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Народному Комиссару по строительству тов. Гинзбург С.З.</w:t>
      </w:r>
    </w:p>
    <w:p w14:paraId="3ED3C70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г. Красноярске коллективом строителей и монтажников первого стройуправления Особой Строительно-монтажной части №26 Наркомстроя, в соответствии с решением Государственного Комитета Обороны СССР от 13-го мая 1943 года, построены, смонтированы и сданы в эксплуатацию нижеследующие производства порохового завода №580 Наркомата Боеприпасов.</w:t>
      </w:r>
    </w:p>
    <w:p w14:paraId="5D87EBE1" w14:textId="77777777" w:rsidR="00595BFB" w:rsidRPr="007224C3" w:rsidRDefault="00595BFB" w:rsidP="007224C3">
      <w:pPr>
        <w:tabs>
          <w:tab w:val="left" w:pos="720"/>
          <w:tab w:val="left" w:pos="1287"/>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r w:rsidRPr="007224C3">
        <w:rPr>
          <w:rFonts w:ascii="Times New Roman" w:hAnsi="Times New Roman"/>
          <w:color w:val="000000" w:themeColor="text1"/>
          <w:sz w:val="16"/>
          <w:szCs w:val="16"/>
        </w:rPr>
        <w:tab/>
        <w:t>Завод серной кислоты</w:t>
      </w:r>
    </w:p>
    <w:p w14:paraId="4270EC62" w14:textId="77777777" w:rsidR="00595BFB" w:rsidRPr="007224C3" w:rsidRDefault="00595BFB" w:rsidP="007224C3">
      <w:pPr>
        <w:tabs>
          <w:tab w:val="left" w:pos="720"/>
          <w:tab w:val="left" w:pos="1287"/>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r w:rsidRPr="007224C3">
        <w:rPr>
          <w:rFonts w:ascii="Times New Roman" w:hAnsi="Times New Roman"/>
          <w:color w:val="000000" w:themeColor="text1"/>
          <w:sz w:val="16"/>
          <w:szCs w:val="16"/>
        </w:rPr>
        <w:tab/>
        <w:t>Спирто-эфирный завод</w:t>
      </w:r>
    </w:p>
    <w:p w14:paraId="012936AF" w14:textId="77777777" w:rsidR="00E5636B" w:rsidRPr="007224C3" w:rsidRDefault="00595BFB" w:rsidP="007224C3">
      <w:pPr>
        <w:tabs>
          <w:tab w:val="left" w:pos="720"/>
          <w:tab w:val="left" w:pos="1287"/>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r w:rsidRPr="007224C3">
        <w:rPr>
          <w:rFonts w:ascii="Times New Roman" w:hAnsi="Times New Roman"/>
          <w:color w:val="000000" w:themeColor="text1"/>
          <w:sz w:val="16"/>
          <w:szCs w:val="16"/>
        </w:rPr>
        <w:tab/>
        <w:t>Завод пироксилин</w:t>
      </w:r>
      <w:r w:rsidR="00E5636B" w:rsidRPr="007224C3">
        <w:rPr>
          <w:rFonts w:ascii="Times New Roman" w:hAnsi="Times New Roman"/>
          <w:color w:val="000000" w:themeColor="text1"/>
          <w:sz w:val="16"/>
          <w:szCs w:val="16"/>
        </w:rPr>
        <w:t>а</w:t>
      </w:r>
    </w:p>
    <w:p w14:paraId="25238B34" w14:textId="77777777" w:rsidR="00595BFB" w:rsidRPr="007224C3" w:rsidRDefault="00595BFB" w:rsidP="007224C3">
      <w:pPr>
        <w:tabs>
          <w:tab w:val="left" w:pos="720"/>
          <w:tab w:val="left" w:pos="1287"/>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w:t>
      </w:r>
      <w:r w:rsidRPr="007224C3">
        <w:rPr>
          <w:rFonts w:ascii="Times New Roman" w:hAnsi="Times New Roman"/>
          <w:color w:val="000000" w:themeColor="text1"/>
          <w:sz w:val="16"/>
          <w:szCs w:val="16"/>
        </w:rPr>
        <w:tab/>
        <w:t>Зарядные мастерские</w:t>
      </w:r>
    </w:p>
    <w:p w14:paraId="5FA00323" w14:textId="77777777" w:rsidR="00595BFB" w:rsidRPr="007224C3" w:rsidRDefault="00595BFB" w:rsidP="007224C3">
      <w:pPr>
        <w:tabs>
          <w:tab w:val="left" w:pos="720"/>
          <w:tab w:val="left" w:pos="1287"/>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r w:rsidRPr="007224C3">
        <w:rPr>
          <w:rFonts w:ascii="Times New Roman" w:hAnsi="Times New Roman"/>
          <w:color w:val="000000" w:themeColor="text1"/>
          <w:sz w:val="16"/>
          <w:szCs w:val="16"/>
        </w:rPr>
        <w:tab/>
        <w:t>Кислородный завод</w:t>
      </w:r>
    </w:p>
    <w:p w14:paraId="18A5325E" w14:textId="77777777" w:rsidR="00595BFB" w:rsidRPr="007224C3" w:rsidRDefault="00595BFB" w:rsidP="007224C3">
      <w:pPr>
        <w:tabs>
          <w:tab w:val="left" w:pos="720"/>
          <w:tab w:val="left" w:pos="1287"/>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w:t>
      </w:r>
      <w:r w:rsidRPr="007224C3">
        <w:rPr>
          <w:rFonts w:ascii="Times New Roman" w:hAnsi="Times New Roman"/>
          <w:color w:val="000000" w:themeColor="text1"/>
          <w:sz w:val="16"/>
          <w:szCs w:val="16"/>
        </w:rPr>
        <w:tab/>
        <w:t>Артиллерийский полигон</w:t>
      </w:r>
    </w:p>
    <w:p w14:paraId="1489F77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Отстроен и пущен в эксплуатацию также жилпосёлок для рабочих завода.</w:t>
      </w:r>
    </w:p>
    <w:p w14:paraId="0BE6AC3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 указанные производства освоены и выдают продукцию.</w:t>
      </w:r>
    </w:p>
    <w:p w14:paraId="2B690DE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23-му февраля 1944 года, 26-й годовщине Красной Армии, наиболее сложное и ответственное производство – завод пироксилина – выдал первую промышленную продукцию.</w:t>
      </w:r>
    </w:p>
    <w:p w14:paraId="7847F81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Все указанные производства запроектированы, построены и смонтированы в период Отечественной войны. </w:t>
      </w:r>
    </w:p>
    <w:p w14:paraId="7C047C2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Коллектив строителей и монтажников стройуправления №1 ОСМЧ-26 систематически перевыполняет установленные государственные планы работ по заводу №580.</w:t>
      </w:r>
    </w:p>
    <w:p w14:paraId="531B548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План работ 1943 года выполнен на 126%. План работ 1-го квартала 1944 года выполнен свыше чем на 100%. ОСМЧ-26 в 1943 году дважды присуждалось во Всесоюзном соревновании строителей переходящее Красное знамя Государственного Комитета Обороны СССР.</w:t>
      </w:r>
    </w:p>
    <w:p w14:paraId="5A85DA9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Коллективом строителей и монтажников в процессе строительства были осуществлены изменения и упрощения проектов, давшие значительную экономию в дефицитных материалах и стоимости строительства в целом и позволившие осуществить строительство сложного химического завода в короткие сроки.</w:t>
      </w:r>
    </w:p>
    <w:p w14:paraId="5C1EB04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Отмечая заслуги коллектива строителей в деле строительства завода №580, а также принимая во внимание большой объём выполненных работ в столь короткие сроки краевой комитет партии просит Вас поддержать нашу просьбу о представлении к правительственной награде наиболее отличившихся в строительстве рабочих, инженерно-технических работников и служащих.</w:t>
      </w:r>
    </w:p>
    <w:p w14:paraId="205CCE0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Секретарь Красноярского краевого комитета ВКП (б) подпись И. Голубев</w:t>
      </w:r>
    </w:p>
    <w:p w14:paraId="235904FD" w14:textId="77777777" w:rsidR="00595BFB" w:rsidRPr="007224C3" w:rsidRDefault="00595BFB" w:rsidP="007224C3">
      <w:pPr>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Cs/>
          <w:color w:val="000000" w:themeColor="text1"/>
          <w:sz w:val="16"/>
          <w:szCs w:val="16"/>
        </w:rPr>
        <w:t xml:space="preserve">ГАКК. Ф.П-26. Оп.14. Д.1. Л.68-70. Подлинник. Машинопись (11836). </w:t>
      </w:r>
    </w:p>
    <w:p w14:paraId="29212FF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9399FD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марта 1944 г. было СООБЩЕНИЕ ЗАМЕСТИТЕЛЯ КОМАНДУЮЩЕГО БТ и МВ КА НАРОДНОМУ КОМИССАРУ ТАНКОВОЙ ПРОМЫШЛЕННОСТИ СССР В. МАЛЫШЕВУ ОБ ИСПЫТАНИЯХ ТАНКА ИС-2 И АРТСАМОХОДА ИСУ-152 В УСЛОВИЯХ ВЫСОКИХ ТЕМПЕРАТУР №521508</w:t>
      </w:r>
    </w:p>
    <w:p w14:paraId="32B70DF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Сообщаю, что с необходимостью испытаний танка ИС-2 и артсамохода ИСУ-152 на гарантийный километраж; в г. Ташкенте, с целью изучения их работы в условиях высоких температур, согласен.</w:t>
      </w:r>
    </w:p>
    <w:p w14:paraId="33A0BD5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 как выделить машины для этих испытаний из планового поступления не представляется воз</w:t>
      </w:r>
      <w:r w:rsidRPr="007224C3">
        <w:rPr>
          <w:rFonts w:ascii="Times New Roman" w:hAnsi="Times New Roman"/>
          <w:color w:val="000000" w:themeColor="text1"/>
          <w:sz w:val="16"/>
          <w:szCs w:val="16"/>
        </w:rPr>
        <w:softHyphen/>
        <w:t>можным, из-за ограниченного их выпуска, то испытания считаю целесообразным провести на танке ИС-2 и самоходе ИСУ-152, изготовленных сверх плана.</w:t>
      </w:r>
    </w:p>
    <w:p w14:paraId="388C73F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Убедительно прошу Вас дать указания директору Кировского завода т. Зальцман, об изготовле</w:t>
      </w:r>
      <w:r w:rsidRPr="007224C3">
        <w:rPr>
          <w:rFonts w:ascii="Times New Roman" w:hAnsi="Times New Roman"/>
          <w:color w:val="000000" w:themeColor="text1"/>
          <w:sz w:val="16"/>
          <w:szCs w:val="16"/>
        </w:rPr>
        <w:softHyphen/>
        <w:t>нии в апреле месяце 1944 года сверх плана одного танка ИС-2 и одного самохода ИСУ-152. О принятом Вами решении прошу поставить меня в известность.</w:t>
      </w:r>
    </w:p>
    <w:p w14:paraId="7F48CD5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командующего БТ и МВ КА генерал-лейтенант танковых войск Коробков</w:t>
      </w:r>
    </w:p>
    <w:p w14:paraId="26FBBA2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Член военного совета генерал-лейтенант танковых войск Н.Бирюков</w:t>
      </w:r>
    </w:p>
    <w:p w14:paraId="222097A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38. Оп. 11355. Д. 2218. Л. 29. Копия (11403).</w:t>
      </w:r>
    </w:p>
    <w:p w14:paraId="57677BD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8070FE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марта 1944 вышло Постановление ГКО № 5510 О мерах по обеспечению снабжения населения продовольственными товарами в апреле 1944 года. РГАНИР, Фонд ГКО, д. 222, лл. 240-244,245-266 (11012).</w:t>
      </w:r>
    </w:p>
    <w:p w14:paraId="01FA8D4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40AADA5"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марта 1944 вышло Постановление ГКО № 5511 Об общем плане перевозок народнохозяйственных и воинских грузов по железнодорожному и морскому транспорту на апрель 1944 г. и по речному транспорту на апрель-май 1944 г. (7202, 267).</w:t>
      </w:r>
    </w:p>
    <w:p w14:paraId="28B4460C"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6F0002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марта 1944 вышло Распоряжение ГКО № 5512. О срочной вывозке из-за угрозы затопления готовых корпусов 82 мм мин с завода № 707 НКМВ в Кургане. РГАНИР, Фонд ГКО, д. 222, лл. 268-269 (11012).</w:t>
      </w:r>
    </w:p>
    <w:p w14:paraId="6043E0C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7122DDC"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марта 1944 вышло Постановление ГКО № 5513 О плане перевозок народнохозяйственных грузов по железнодорожному и морскому транспорту на апрель и речному транспорту на апрель-май 1944 г. (7203, 1-8,9-273).</w:t>
      </w:r>
    </w:p>
    <w:p w14:paraId="7F7615B4"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02B90DA"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5260DBC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8DC4060" w14:textId="77777777" w:rsidR="004F35D0" w:rsidRPr="007224C3" w:rsidRDefault="004F35D0"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30 марта</w:t>
      </w:r>
      <w:r w:rsidRPr="007224C3">
        <w:rPr>
          <w:rFonts w:ascii="Times New Roman" w:hAnsi="Times New Roman"/>
          <w:color w:val="000000" w:themeColor="text1"/>
          <w:sz w:val="16"/>
          <w:szCs w:val="16"/>
        </w:rPr>
        <w:t xml:space="preserve"> в 1944 году оперативная сводка Совинформбюро:</w:t>
      </w:r>
    </w:p>
    <w:p w14:paraId="649E8FF8" w14:textId="77777777" w:rsidR="004F35D0" w:rsidRPr="007224C3" w:rsidRDefault="004F35D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1-го украинского фронта, развивая наступление, форсировали реку Прут и штурмом овладели областным городом Украины — Черновицы, важным хозяйственно-политическим центром Северной Буковины и мощным опорным пунктом обороны немцев на реке Прут, прикрывающим подступы к границам Венгрии и Румынии. В боях за город Черновицы отличились части полковника Моргунова, подполковника Кошелева, подполковника Гусаковского, подполковника Бойко, подполковника Кочура, полковника Вишневского, полковника Каменского, полковника Харчевина, полковника Нечипоренко, полковника Федульева, подполковника Бондаренко, подполковника Суровова, подполковника Поддубного, подполковника Щедрина, майора Пивинь, майора Стукалова, подполковника Горяинова, майора Гилинкова, подполковника Ромова, майора Роянова, майора Васильева, майора Яковлева, майора Князева, майора Чабунина.</w:t>
      </w:r>
    </w:p>
    <w:p w14:paraId="320608EB" w14:textId="77777777" w:rsidR="004F35D0" w:rsidRPr="007224C3" w:rsidRDefault="004F35D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 течение 30 марта войска 1-го Украинского фронта, продолжая наступление, овладели районными центрами Станиславской области городом Тлумач, городом Тысменица, городом Надворная, городом Делятин, городом Обертин, городом Заболотов, городом Снятын, районным центром Черновицкой области городом </w:t>
      </w:r>
      <w:r w:rsidRPr="007224C3">
        <w:rPr>
          <w:rFonts w:ascii="Times New Roman" w:hAnsi="Times New Roman"/>
          <w:color w:val="000000" w:themeColor="text1"/>
          <w:sz w:val="16"/>
          <w:szCs w:val="16"/>
        </w:rPr>
        <w:lastRenderedPageBreak/>
        <w:t>Сторожинец, а также с боями заняли более 100 других населённых пунктов, в том числе крупные населённые пункты Пядыки, Ценева, Ганьковцы, Задубровцы, Стецова, Иванковцы, Лужаны, Раранче, Топоровцы, Нестеровцы, Гановка, Подлесный Мукаров, Нефедовцы, Крушановка, Китайгород.</w:t>
      </w:r>
    </w:p>
    <w:p w14:paraId="2C90E176" w14:textId="77777777" w:rsidR="004F35D0" w:rsidRPr="007224C3" w:rsidRDefault="004F35D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западу от города Могилёв-Подольский наши войска овладели районным центром Молдавской ССР городом и крупной железнодорожной станцией Липканы и с боями заняли несколько других населённых пунктов.</w:t>
      </w:r>
    </w:p>
    <w:p w14:paraId="4D262749" w14:textId="77777777" w:rsidR="004F35D0" w:rsidRPr="007224C3" w:rsidRDefault="004F35D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югу и востоку от города Бельцы наши войска, продолжая наступление, с боями заняли более 50 населённых пунктов, среди которых крупные населённые пункты Петрешты, Тодорешты, Тешкурень, Думбровица, Синешти, Паланка, Онишкань, Мындрешти, Стырча, Пепени, Ордашей, Распопени, Олишкани, Шолданешти, Поркань, Попауци, Чорна и железнодорожные станции Кобыльня, Шолданешти, Резина.</w:t>
      </w:r>
    </w:p>
    <w:p w14:paraId="4BBDF6EF" w14:textId="77777777" w:rsidR="004F35D0" w:rsidRPr="007224C3" w:rsidRDefault="004F35D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2-го Украинского фронта, в результате упорных боёв, овладели районным центром Молдавской ССР, городом и крупной железнодорожной станцией Рыбница.</w:t>
      </w:r>
    </w:p>
    <w:p w14:paraId="51B6F961" w14:textId="77777777" w:rsidR="004F35D0" w:rsidRPr="007224C3" w:rsidRDefault="004F35D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города Первомайск наши войска с боями продвигались вперёд, и овладели районным центром Одесской области Любашёвка, а также заняли более 60 других населённых пунктов, в том числе крупные населённые пункты Липецкое, Точилово, Ново-Георгиевка, Петровка, Боково, Софиевка, Яновка, Марьяновка, Ляхова, Гуляницкое, Тарасовка, Ново-Павловка. Нашими войсками полностью очищенаот противника железная дорога Первомайск-Слободка-Рыбница-Бельцы.</w:t>
      </w:r>
    </w:p>
    <w:p w14:paraId="7389CDCF" w14:textId="77777777" w:rsidR="004F35D0" w:rsidRPr="007224C3" w:rsidRDefault="004F35D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западу и югу от города Вознесенск наши войска, преследуя отступающие войска немцев, овладели районными центрами Одесской области Мостовое, Веселиново, а также заняли более 150 других населённых пунктов, среди которых крупные населённые пункты Весёлая, Алексеевка, Каратаево, Васильевка, Софиевка, Николаевка 2-я, Капитанка, Ново-Покровка, Михайловка, Ватэрлоо, Весёлый Кут и железнодорожные станции Мартыновская, Мостовое, Веселиново, Анновка.</w:t>
      </w:r>
    </w:p>
    <w:p w14:paraId="08A97AA9" w14:textId="77777777" w:rsidR="004F35D0" w:rsidRPr="007224C3" w:rsidRDefault="004F35D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районе города Николаев наши войска успешно форсировали реку Южный Буг и Бугский лиман и западнее Николаева с боями заняли более 60 населённых пунктов, в том числе районный центр Николаевской области город Варваровка и крупные населённые пункты Петровское, Большая Корениха, Новая Богдановка, Ильинское,Кринички, Петровка, Владимировка, Беляковичи, Нечаянное, Баланов, Турчаное.</w:t>
      </w:r>
    </w:p>
    <w:p w14:paraId="68D34DA1" w14:textId="77777777" w:rsidR="004F35D0" w:rsidRPr="007224C3" w:rsidRDefault="004F35D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 поиски разведчиков.</w:t>
      </w:r>
    </w:p>
    <w:p w14:paraId="0D560816" w14:textId="77777777" w:rsidR="004F35D0" w:rsidRPr="007224C3" w:rsidRDefault="004F35D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29 марта наши войска на всех фронтах подбили и уничтожили 46 немецких танков. В воздушных боях и огнём зенитной артиллерии сбито 74 самолёта противника.</w:t>
      </w:r>
    </w:p>
    <w:p w14:paraId="3880EB5D" w14:textId="77777777" w:rsidR="004F35D0" w:rsidRPr="007224C3" w:rsidRDefault="004F35D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1-го Украинского фронта продолжали успешное наступление и, форсировав реку Прут, штурмом овладели областным городом Украины — Черновицы. Многочисленный гарнизон противника наголову разбит. Захвачены большие трофеи и пленные. Развивая успех, советские части заняли город Сторожинец, находящийся в17 километрах к юго-западу от Черновицы.</w:t>
      </w:r>
    </w:p>
    <w:p w14:paraId="44D2318A" w14:textId="77777777" w:rsidR="004F35D0" w:rsidRPr="007224C3" w:rsidRDefault="004F35D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Наши подвижные соединения, с боями продвигаясь вперёд, овладели в Станиславской области городами Тлумач, Тысменица, Надворная, Делятин, Обертин,Заболотов, Снятын, а также заняли много других населённых пунктов. Удары советских войск были настолько стремительны, что в ряде пунктов немцы были разгромлены, не успев развернуться в боевые порядки. Оставшиеся в живых гитлеровцы бежали, бросив всё своё вооружение.</w:t>
      </w:r>
    </w:p>
    <w:p w14:paraId="4EC36468" w14:textId="77777777" w:rsidR="004F35D0" w:rsidRPr="007224C3" w:rsidRDefault="004F35D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Ожесточённый бой произошёл в городе Тлумач. Этот город обороняли немецкие части и полк 7 венгерской пехотной дивизии. В рукопашной схватке советские бойцы разгромили противника. Свыше 300 венгерских солдат сдались в плен. Моторизованные части Н-ского соединения в бою за город Заболотов истребили 700 гитлеровцев и захватили 12 исправных немецких танков, 23 полевых и 4 самоходных орудия, 250 вагонов с грузами и несколько складов.</w:t>
      </w:r>
    </w:p>
    <w:p w14:paraId="38EFCB7D" w14:textId="77777777" w:rsidR="004F35D0" w:rsidRPr="007224C3" w:rsidRDefault="004F35D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Советские части ликвидировали окружённую в лесу восточнее Миньковцы группу противника. На поле боя осталось свыше 2.000 вражеских трупов. Взято много пленных.</w:t>
      </w:r>
    </w:p>
    <w:p w14:paraId="625E4EDA" w14:textId="77777777" w:rsidR="004F35D0" w:rsidRPr="007224C3" w:rsidRDefault="004F35D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день боёв войсками фронта, по неполным данным, захвачено у немцев 90 танков, свыше 500 автомашин, 25 паровозов, много железнодорожных вагонов и склады с боеприпасами, продовольствием и военным имуществом.</w:t>
      </w:r>
    </w:p>
    <w:p w14:paraId="5703F63B" w14:textId="77777777" w:rsidR="004F35D0" w:rsidRPr="007224C3" w:rsidRDefault="004F35D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югу и востоку от города Бельцы наши войска вели успешные наступательныебои. Бойцы Н-ского соединения продвинулись вперёд на 20 километров и заняли ряд населенных пунктов. Советские подразделения разгромили два батальона пехоты и крупный отряд конницы румын. Захвачено 8 орудий, свыше 200 лошадей и другие трофеи. В районе одного села наши бойцы окружили роту румынских солдат. Румыны без сопротивления сложили оружие и сдались в плен.</w:t>
      </w:r>
    </w:p>
    <w:p w14:paraId="4E0A2AFF" w14:textId="77777777" w:rsidR="004F35D0" w:rsidRPr="007224C3" w:rsidRDefault="004F35D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города Первомайск наши войска, с боями продвигаясь вперёд, овладели районным центром Одесской области Любашёвка, а также заняли более 60 других населённых пунктов. Разгромленные части противника в беспорядке отступают, бросая вооружение и военные материалы. В одном селе наши бойцы захватили на огневых позициях 4 полевых и 11 противотанковых орудий, 5 крупнокалиберных миномётов и склад боеприпасов. На другом участке советские танкисты отрезали пути отхода вражеской колонне и внезапным ударом разгромили её. Захвачено 80 автомашин с различными грузами. Взято в плен 700 немецких солдат и офицеров.</w:t>
      </w:r>
    </w:p>
    <w:p w14:paraId="7720523F" w14:textId="77777777" w:rsidR="004F35D0" w:rsidRPr="007224C3" w:rsidRDefault="004F35D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и южнее города Вознесенск наши войска, неотступно преследуя отступающего противника, врываются в боевые порядки немцев и наносят им тяжёлые потери. В районе Николаевки 2-й советские бойцы настигли колонну отступающих гитлеровцев и с хода атаковали её. Истреблено свыше 400 вражеских солдат и офицеров. Захвачено 8 танков, 6 тракторов и 110 автомашин. Большое количество немцев взято в плен. Части Н-ского соединения стремительным броском вышли в тыл противнику и отрезали ему пути отхода. Завязался ожесточённый бой. Наши бойцы разгромили немцев и овладели районным центром и железнодорожной станцией Веселиново. На поле боя осталось до 800 убитых и раненых гитлеровцев. Захвачено 2 самоходных орудия, 25 бронетранспортёров и 150 железнодорожных вагонов с боеприпасами и продовольствием.</w:t>
      </w:r>
    </w:p>
    <w:p w14:paraId="2E004462" w14:textId="77777777" w:rsidR="004F35D0" w:rsidRPr="007224C3" w:rsidRDefault="004F35D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Авиация Краснознамённого Балтийского флота 29 марта атаковала корабли противника в Нарвском заливе. Прямым попаданием бомб потоплены две десантные баржи и один сторожевой катер. Трём другим судам противника нанесены серьёзные повреждения.</w:t>
      </w:r>
    </w:p>
    <w:p w14:paraId="5B4C2311" w14:textId="77777777" w:rsidR="004F35D0" w:rsidRPr="007224C3" w:rsidRDefault="004F35D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Чёрном море наши корабли потопили транспорт противника водоизмещением в 5 тысяч тонн.</w:t>
      </w:r>
    </w:p>
    <w:p w14:paraId="12EA1740" w14:textId="77777777" w:rsidR="004F35D0" w:rsidRPr="007224C3" w:rsidRDefault="004F35D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Украинский партизанский отряд организовал несколько засад на шоссейной дороге в Волынской области. Ночью, когда на шоссе появилась колонна венгерских войск, партизаны с разных сторон открыли огонь из пулемётов и автоматов. Попав под перекрёстный огонь, венгры в панике разбежались, оставив на дороге 70 трупов своих солдат и офицеров. Молдавский партизанский отряд разгромил обоз отступавшей немецкой пехотной дивизии. В бою истреблено 130 гитлеровцев. Партизанами захвачено более 100 лошадей и 40 повозок с патронами.» (15084).</w:t>
      </w:r>
    </w:p>
    <w:p w14:paraId="398A9E15" w14:textId="77777777" w:rsidR="004F35D0" w:rsidRPr="007224C3" w:rsidRDefault="004F35D0" w:rsidP="007224C3">
      <w:pPr>
        <w:spacing w:after="0" w:line="240" w:lineRule="auto"/>
        <w:jc w:val="both"/>
        <w:rPr>
          <w:rFonts w:ascii="Times New Roman" w:hAnsi="Times New Roman"/>
          <w:color w:val="000000" w:themeColor="text1"/>
          <w:sz w:val="16"/>
          <w:szCs w:val="16"/>
        </w:rPr>
      </w:pPr>
    </w:p>
    <w:p w14:paraId="15DF6F70" w14:textId="77777777" w:rsidR="00A76CAC" w:rsidRPr="007224C3" w:rsidRDefault="00A76CA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ночь с 30 на 31 марта 1944 45-я АДДД совершила налет на железнодорожный узел Tana (Эстония). В вылете принимал участие двадцать один корабль. Само</w:t>
      </w:r>
      <w:r w:rsidRPr="007224C3">
        <w:rPr>
          <w:rFonts w:ascii="Times New Roman" w:hAnsi="Times New Roman"/>
          <w:color w:val="000000" w:themeColor="text1"/>
          <w:sz w:val="16"/>
          <w:szCs w:val="16"/>
        </w:rPr>
        <w:softHyphen/>
        <w:t>леты взлетели в период с 18 ч. 31 мин. по 19 ч. 21 мин. Один самолет (№ 42711, командир корабля Марусиченко, штурман Глухое) из 890-го АПДД через 45 минут после взлета вернулся и сел на своем аэродроме из-за того, что помощник борттехника лейтенант Алехин во время осмотра моторов в воздухе случайно открыл кран воздушно-масляного ради</w:t>
      </w:r>
      <w:r w:rsidRPr="007224C3">
        <w:rPr>
          <w:rFonts w:ascii="Times New Roman" w:hAnsi="Times New Roman"/>
          <w:color w:val="000000" w:themeColor="text1"/>
          <w:sz w:val="16"/>
          <w:szCs w:val="16"/>
        </w:rPr>
        <w:softHyphen/>
        <w:t>атора. Когда это обнаружили, то через открытый кран уже выбило все масло. Пе-8 №42078 (командир корабля Белков, штурман Сидоров) через четыре минуты после взлета тоже вернулся, так как в полете летчики обнаружили, что у них не работают указатели скорости. На земле обнаружив неисправность (у указателей скорости разъединилась проводка в ме</w:t>
      </w:r>
      <w:r w:rsidRPr="007224C3">
        <w:rPr>
          <w:rFonts w:ascii="Times New Roman" w:hAnsi="Times New Roman"/>
          <w:color w:val="000000" w:themeColor="text1"/>
          <w:sz w:val="16"/>
          <w:szCs w:val="16"/>
        </w:rPr>
        <w:softHyphen/>
        <w:t>сте ее соединения дюритом), техники ее быстро устранили и через 38 минут по</w:t>
      </w:r>
      <w:r w:rsidRPr="007224C3">
        <w:rPr>
          <w:rFonts w:ascii="Times New Roman" w:hAnsi="Times New Roman"/>
          <w:color w:val="000000" w:themeColor="text1"/>
          <w:sz w:val="16"/>
          <w:szCs w:val="16"/>
        </w:rPr>
        <w:softHyphen/>
        <w:t>сле посадки экипаж повторно взлетел.</w:t>
      </w:r>
    </w:p>
    <w:p w14:paraId="37C2CD11" w14:textId="77777777" w:rsidR="00A76CAC" w:rsidRPr="007224C3" w:rsidRDefault="00A76CA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Над целью была сильная облачность, что сделало невозможным прицельное бомбометание, поэтому 16 кораблей бомбили основную цель из-за облаков, по расчету времени в период с 22 ч. 20 мин. по 22 ч. 55 мин. Четыре корабля бомбили запасные цели. На основную цель было сброшено: 20 ФАБ-2000, 9 ФАБ-2000тга, 1 ФАБ-ЮООтга, 14 ОД5- 500тга, 22 ФАБ-500.16 ФАБ-250тга, 15 ЗАБ-100цк, 1 ФОТАБ-50-35. Из состава 25-го гв. АПДД основную цель бомбили Пе-8 с заводскими номерами: 42076 (ко</w:t>
      </w:r>
      <w:r w:rsidRPr="007224C3">
        <w:rPr>
          <w:rFonts w:ascii="Times New Roman" w:hAnsi="Times New Roman"/>
          <w:color w:val="000000" w:themeColor="text1"/>
          <w:sz w:val="16"/>
          <w:szCs w:val="16"/>
        </w:rPr>
        <w:softHyphen/>
        <w:t>мандир корабля Адамов), 42028 (коман</w:t>
      </w:r>
      <w:r w:rsidRPr="007224C3">
        <w:rPr>
          <w:rFonts w:ascii="Times New Roman" w:hAnsi="Times New Roman"/>
          <w:color w:val="000000" w:themeColor="text1"/>
          <w:sz w:val="16"/>
          <w:szCs w:val="16"/>
        </w:rPr>
        <w:softHyphen/>
        <w:t>дир корабля Симонов), 42088 (командир корабля Сугак), 42059 (командир кора</w:t>
      </w:r>
      <w:r w:rsidRPr="007224C3">
        <w:rPr>
          <w:rFonts w:ascii="Times New Roman" w:hAnsi="Times New Roman"/>
          <w:color w:val="000000" w:themeColor="text1"/>
          <w:sz w:val="16"/>
          <w:szCs w:val="16"/>
        </w:rPr>
        <w:softHyphen/>
        <w:t>бля Шатров), 42210 (командир корабля Бездольный), 42811 (командир корабля Пономаренко), 42911 (командир корабля Чурилин). Из состава 890-го АПДД бом</w:t>
      </w:r>
      <w:r w:rsidRPr="007224C3">
        <w:rPr>
          <w:rFonts w:ascii="Times New Roman" w:hAnsi="Times New Roman"/>
          <w:color w:val="000000" w:themeColor="text1"/>
          <w:sz w:val="16"/>
          <w:szCs w:val="16"/>
        </w:rPr>
        <w:softHyphen/>
        <w:t>били основную цель Пе-8 с заводскими номерами: 4214 (командир корабля Откидач), предположительно бомбил 42098 (командир корабля Кокарев),  42710 (командир корабля Черниченко), 42810 (командир кора</w:t>
      </w:r>
      <w:r w:rsidRPr="007224C3">
        <w:rPr>
          <w:rFonts w:ascii="Times New Roman" w:hAnsi="Times New Roman"/>
          <w:color w:val="000000" w:themeColor="text1"/>
          <w:sz w:val="16"/>
          <w:szCs w:val="16"/>
        </w:rPr>
        <w:softHyphen/>
        <w:t>бля Бобов), 42910 (командир корабля Шамрай), 42111 (коман</w:t>
      </w:r>
      <w:r w:rsidRPr="007224C3">
        <w:rPr>
          <w:rFonts w:ascii="Times New Roman" w:hAnsi="Times New Roman"/>
          <w:color w:val="000000" w:themeColor="text1"/>
          <w:sz w:val="16"/>
          <w:szCs w:val="16"/>
        </w:rPr>
        <w:softHyphen/>
        <w:t>дир корабля Самохин), 42211 (командир корабля Невенчянный), 42411(командир корабля Романов), 421011 (командир корабля Вихорев).</w:t>
      </w:r>
    </w:p>
    <w:p w14:paraId="4741D38D" w14:textId="77777777" w:rsidR="00A76CAC" w:rsidRPr="007224C3" w:rsidRDefault="00A76CA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Корабль 42067 (командир корабля Обухов, штурман Коно- ненко) из 25-го гв. АПДД и 42078 (командир корабля Белков, штурман Сидоров) из 890-го АПДД бомбили с 22 ч. 49 мин. по 23 ч. 20 мин. железнодорожную станцию Реквере. Оба этих корабля сбросили 4 ФАБ-1000тга, 4 ФАБ-500тга, 6 ФАБ-250тга, 2 ФОТАБ-50-35. Корабль 42410 (командир корабля Ищенко, штурман Иконников) из 25-го гв. АПДД сбросил (юмбы в рай</w:t>
      </w:r>
      <w:r w:rsidRPr="007224C3">
        <w:rPr>
          <w:rFonts w:ascii="Times New Roman" w:hAnsi="Times New Roman"/>
          <w:color w:val="000000" w:themeColor="text1"/>
          <w:sz w:val="16"/>
          <w:szCs w:val="16"/>
        </w:rPr>
        <w:softHyphen/>
        <w:t>оне населенного пункта Ракке (35 километров юго-восточнее основной цели) в 22 ч. 48 мин. На цель сброшено: 2 ФАБ-2000, 2 ФАБ-500. Пе-8 42311 (командир корабля Зеленский, штурман Бурак), из 25-го гв. АПДД в 22 ч. 45 мин. сбросил бомбы в рай</w:t>
      </w:r>
      <w:r w:rsidRPr="007224C3">
        <w:rPr>
          <w:rFonts w:ascii="Times New Roman" w:hAnsi="Times New Roman"/>
          <w:color w:val="000000" w:themeColor="text1"/>
          <w:sz w:val="16"/>
          <w:szCs w:val="16"/>
        </w:rPr>
        <w:softHyphen/>
        <w:t>оне населенного пункта Лайс (70 километров юго-восточнее основной цели). На цель сброшено: 2 ФАБ-2000, 2 ФАБ-500.</w:t>
      </w:r>
    </w:p>
    <w:p w14:paraId="435DA1E9" w14:textId="77777777" w:rsidR="00A76CAC" w:rsidRPr="007224C3" w:rsidRDefault="00A76CA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Пе-8 №42098 (командир корабля Кокарев, штурман Се</w:t>
      </w:r>
      <w:r w:rsidRPr="007224C3">
        <w:rPr>
          <w:rFonts w:ascii="Times New Roman" w:hAnsi="Times New Roman"/>
          <w:color w:val="000000" w:themeColor="text1"/>
          <w:sz w:val="16"/>
          <w:szCs w:val="16"/>
        </w:rPr>
        <w:softHyphen/>
        <w:t>лезнев) из 890-го АПДД был сбит истребителями противника. В период 22 ч. 05 мин. по 22 ч. 07 мин. два экипажа видели загоревшийся в воздухе самолет, который упал и взорвался в районе южнее порта Кунда (при этом огня зенитной артилле</w:t>
      </w:r>
      <w:r w:rsidRPr="007224C3">
        <w:rPr>
          <w:rFonts w:ascii="Times New Roman" w:hAnsi="Times New Roman"/>
          <w:color w:val="000000" w:themeColor="text1"/>
          <w:sz w:val="16"/>
          <w:szCs w:val="16"/>
        </w:rPr>
        <w:softHyphen/>
        <w:t>рии они не видели). После выполнения задания шестнадцать самолетов приземлились на своем аэродроме в период с 01 ч. 25 мин по 02 ч. 11 мин. Три самолета совершили посадки на других аэродромах: №42078 сел на аэродроме Мигалово из-за малого остатка топлива, №421011 приземлился на аэродроме Чкаловская, так как командир корабля принял его за свой, а №42810 сел на аэродроме Выползово, так как штурман поте</w:t>
      </w:r>
      <w:r w:rsidRPr="007224C3">
        <w:rPr>
          <w:rFonts w:ascii="Times New Roman" w:hAnsi="Times New Roman"/>
          <w:color w:val="000000" w:themeColor="text1"/>
          <w:sz w:val="16"/>
          <w:szCs w:val="16"/>
        </w:rPr>
        <w:softHyphen/>
        <w:t>рял ориентировку (19559).</w:t>
      </w:r>
    </w:p>
    <w:p w14:paraId="7A1951BD" w14:textId="77777777" w:rsidR="00A76CAC" w:rsidRPr="007224C3" w:rsidRDefault="00A76CAC" w:rsidP="007224C3">
      <w:pPr>
        <w:spacing w:after="0" w:line="240" w:lineRule="auto"/>
        <w:jc w:val="both"/>
        <w:rPr>
          <w:rFonts w:ascii="Times New Roman" w:hAnsi="Times New Roman"/>
          <w:color w:val="000000" w:themeColor="text1"/>
          <w:sz w:val="16"/>
          <w:szCs w:val="16"/>
        </w:rPr>
      </w:pPr>
    </w:p>
    <w:p w14:paraId="3861C7A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марта 1944 были освобождена Черновцы (1348,224).</w:t>
      </w:r>
    </w:p>
    <w:p w14:paraId="1A35459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BB3EE6"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марта 1944 за поражения на Восточном фронте Гитлер уволил фельдмаршалов Манштейна и Клейста (4962).</w:t>
      </w:r>
    </w:p>
    <w:p w14:paraId="1268A1E6"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317ABB3" w14:textId="77777777" w:rsidR="004F35D0"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Внешняя политика:</w:t>
      </w:r>
    </w:p>
    <w:p w14:paraId="4E22E63E" w14:textId="77777777" w:rsidR="004F35D0" w:rsidRPr="007224C3" w:rsidRDefault="004F35D0"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BE7A7CD" w14:textId="77777777" w:rsidR="004F35D0" w:rsidRPr="007224C3" w:rsidRDefault="004F35D0"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30 марта</w:t>
      </w:r>
      <w:r w:rsidRPr="007224C3">
        <w:rPr>
          <w:rFonts w:ascii="Times New Roman" w:hAnsi="Times New Roman"/>
          <w:color w:val="000000" w:themeColor="text1"/>
          <w:sz w:val="16"/>
          <w:szCs w:val="16"/>
        </w:rPr>
        <w:t xml:space="preserve"> в 1944 году подписано советско-японское соглашение о ликвидации японских угольной и нефтяной концессий на Северном Сахалине и о продлении на пять лет рыболовной конвенции 1928 года (15084).</w:t>
      </w:r>
    </w:p>
    <w:p w14:paraId="711D1DB0" w14:textId="77777777" w:rsidR="004F35D0" w:rsidRPr="007224C3" w:rsidRDefault="004F35D0" w:rsidP="007224C3">
      <w:pPr>
        <w:spacing w:after="0" w:line="240" w:lineRule="auto"/>
        <w:jc w:val="both"/>
        <w:rPr>
          <w:rFonts w:ascii="Times New Roman" w:hAnsi="Times New Roman"/>
          <w:color w:val="000000" w:themeColor="text1"/>
          <w:sz w:val="16"/>
          <w:szCs w:val="16"/>
        </w:rPr>
      </w:pPr>
    </w:p>
    <w:p w14:paraId="0508EE50"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42AB32D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CC9B899" w14:textId="77777777" w:rsidR="004F35D0" w:rsidRPr="007224C3" w:rsidRDefault="004F35D0"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30 марта</w:t>
      </w:r>
      <w:r w:rsidRPr="007224C3">
        <w:rPr>
          <w:rFonts w:ascii="Times New Roman" w:hAnsi="Times New Roman"/>
          <w:color w:val="000000" w:themeColor="text1"/>
          <w:sz w:val="16"/>
          <w:szCs w:val="16"/>
        </w:rPr>
        <w:t xml:space="preserve"> в 1944 году завершились окончательные испытания конструкции третьего прототипа «G4M3A» японского дальнего бомбардировщика </w:t>
      </w:r>
      <w:hyperlink r:id="rId91" w:tgtFrame="_blank" w:history="1">
        <w:r w:rsidRPr="007224C3">
          <w:rPr>
            <w:rFonts w:ascii="Times New Roman" w:hAnsi="Times New Roman"/>
            <w:color w:val="000000" w:themeColor="text1"/>
            <w:sz w:val="16"/>
            <w:szCs w:val="16"/>
          </w:rPr>
          <w:t xml:space="preserve">«G4M» </w:t>
        </w:r>
      </w:hyperlink>
      <w:r w:rsidRPr="007224C3">
        <w:rPr>
          <w:rFonts w:ascii="Times New Roman" w:hAnsi="Times New Roman"/>
          <w:color w:val="000000" w:themeColor="text1"/>
          <w:sz w:val="16"/>
          <w:szCs w:val="16"/>
        </w:rPr>
        <w:t>Переданный на испытания 20 февраля 1944 г., третий прототип при взлетном весе 11.000 кг достиг скорости 464 км/ч на высоте 2400 м, а на высоте 5065 м была зафиксирована скорость 481 км/ч. При этом выяснилось, что новое крыло обладает недостаточной прочностью, что вынудило конструкторов усилить лонжерон. Окончательные испытания конструкции закончились 30 марта 1944 г., когда было сделано заключение, что прочность крыла соответствует максимальному весу равному 13.000 кг. Получив такую "фору" (около 2000 кг) по величине взлетной массы, которая по мнению конструкторов позже должна была быть израсходована на дальнейшее наращивание пассивной защиты экипажа, а также наиболее важных узлов и агрегатов, японские адмиралы не удержались от соблазна и перед началом серийного производства предложили разработчикам установить еще два крыльевых топливных бака! Кроме того, была переработана хвостовая стрелковая точка, в конструкции которой были использованы многие технические решения заимствованные у американских механизированных турелей, устанавливаемых на бомбардировщиках «В-17», «В-24», «В-25» и «В-26». Это уменьшило общую длину фюзеляжа на 0,5 м, вызвав смещение центра тяжести всего самолета, последствия чего были скомпенсированы путем изменения угла установки хвостового оперения. Все эти изменения существенно задержали начало серийного производства «G4M3A» и первая машина выкатилась из стен сборочного цеха лишь в конце октября 1944 г (15084).</w:t>
      </w:r>
    </w:p>
    <w:p w14:paraId="21BB874C" w14:textId="77777777" w:rsidR="004F35D0" w:rsidRPr="007224C3" w:rsidRDefault="004F35D0" w:rsidP="007224C3">
      <w:pPr>
        <w:spacing w:after="0" w:line="240" w:lineRule="auto"/>
        <w:jc w:val="both"/>
        <w:rPr>
          <w:rFonts w:ascii="Times New Roman" w:hAnsi="Times New Roman"/>
          <w:color w:val="000000" w:themeColor="text1"/>
          <w:sz w:val="16"/>
          <w:szCs w:val="16"/>
        </w:rPr>
      </w:pPr>
    </w:p>
    <w:p w14:paraId="0FE5DB8F" w14:textId="77777777" w:rsidR="001A195C" w:rsidRPr="007224C3" w:rsidRDefault="001A195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30–31 марта (ночь) 2944 795 британских бомбардировщиков атакуют Нюрнберг, Германия, при ярком лунном свете, рассчитывая на защиту от прогнозируемой высокой облачности, которая не материализуется. Немецкие ночные истребители перехватывают их над Бельгией, прежде чем они пересекают немецкую границу, и продолжают атаковать их в течение следующего часа, сбив 82 бомбардировщика, когда они летят в Нюрнберг и над целью. Еще 13 бомбардировщиков потеряны при обратном полете, а общее количество потерянных бомбардировщиков (11,9%) - это самые высокие потери бомбардировочного командования за один налет во время Второй мировой войны. Рейд наносит небольшой урон Нюрнбергу из-за облачности, ветра и маркировки целей, из-за которых большая часть бомб падает в открытой местности, а 120 самолетов по ошибке бомбят Швайнфурт, где они широко разбрасывают свои бомбы, также поражая в основном открытую и сельскую местность. убивают двух человек. Пилот-офицер Сирил Джо Бартон на «Галифаксе», прорывается в Нюрнберг, несмотря на серьезные повреждения своего бомбардировщика в результате атаки ночного истребителя, затем возвращает самолет домой и умирает при аварийной посадке с незначительными травмами членов экипажа. Посмертно получает Крест Виктории (20373).</w:t>
      </w:r>
    </w:p>
    <w:p w14:paraId="0024BBD1" w14:textId="77777777" w:rsidR="001A195C" w:rsidRPr="007224C3" w:rsidRDefault="001A195C" w:rsidP="007224C3">
      <w:pPr>
        <w:spacing w:after="0" w:line="240" w:lineRule="auto"/>
        <w:jc w:val="both"/>
        <w:rPr>
          <w:rFonts w:ascii="Times New Roman" w:hAnsi="Times New Roman"/>
          <w:color w:val="0070C0"/>
          <w:sz w:val="16"/>
          <w:szCs w:val="16"/>
        </w:rPr>
      </w:pPr>
    </w:p>
    <w:p w14:paraId="32422D8D"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марта 1944 в ходе налета на Нюрнберг немецкая авиация потеряла 95 самолетов (4962).</w:t>
      </w:r>
    </w:p>
    <w:p w14:paraId="2FDA43E1"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36AD76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March 30 1944 Royal Air Force bombing raid on Nurnberg suffers extremely heavy losses (1037).</w:t>
      </w:r>
    </w:p>
    <w:p w14:paraId="14D7050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7E9B41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марта 1944 RAF в ходе рейда на Нюрнберг понесли особенно тяжелые потери (1037) - 795 вылетело и 95 было сбито, а 59 серьезно повреждено. 12 разбились по пути в Англию (2605).</w:t>
      </w:r>
    </w:p>
    <w:p w14:paraId="7BAFA80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CF1407" w14:textId="77777777" w:rsidR="004F35D0" w:rsidRPr="007224C3" w:rsidRDefault="004F35D0"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30 марта</w:t>
      </w:r>
      <w:r w:rsidRPr="007224C3">
        <w:rPr>
          <w:rFonts w:ascii="Times New Roman" w:hAnsi="Times New Roman"/>
          <w:color w:val="000000" w:themeColor="text1"/>
          <w:sz w:val="16"/>
          <w:szCs w:val="16"/>
        </w:rPr>
        <w:t xml:space="preserve"> в 1944 году за поражения на Восточном фронте Адольф Гитлер уволил фельдмаршалов Манштейна и Клейста (15084).</w:t>
      </w:r>
    </w:p>
    <w:p w14:paraId="4F401C98" w14:textId="77777777" w:rsidR="004F35D0" w:rsidRPr="007224C3" w:rsidRDefault="004F35D0" w:rsidP="007224C3">
      <w:pPr>
        <w:spacing w:after="0" w:line="240" w:lineRule="auto"/>
        <w:jc w:val="both"/>
        <w:rPr>
          <w:rFonts w:ascii="Times New Roman" w:hAnsi="Times New Roman"/>
          <w:color w:val="000000" w:themeColor="text1"/>
          <w:sz w:val="16"/>
          <w:szCs w:val="16"/>
        </w:rPr>
      </w:pPr>
    </w:p>
    <w:p w14:paraId="6995DB11" w14:textId="77777777" w:rsidR="00AD7E02" w:rsidRPr="007224C3" w:rsidRDefault="00AD7E0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марта 1944 состоялся большой дневной налет на Софию. «410 бомбардировщиков В-25 «Митчелл», В-24 «Либерейтор», В-17 тя</w:t>
      </w:r>
      <w:r w:rsidRPr="007224C3">
        <w:rPr>
          <w:rFonts w:ascii="Times New Roman" w:hAnsi="Times New Roman"/>
          <w:color w:val="000000" w:themeColor="text1"/>
          <w:sz w:val="16"/>
          <w:szCs w:val="16"/>
        </w:rPr>
        <w:softHyphen/>
        <w:t>желых самолетов и «Галифакс» в сопровождении 150 истребите</w:t>
      </w:r>
      <w:r w:rsidRPr="007224C3">
        <w:rPr>
          <w:rFonts w:ascii="Times New Roman" w:hAnsi="Times New Roman"/>
          <w:color w:val="000000" w:themeColor="text1"/>
          <w:sz w:val="16"/>
          <w:szCs w:val="16"/>
        </w:rPr>
        <w:softHyphen/>
        <w:t xml:space="preserve">лей «Лайтнинг» в 9.30 утра пересекли болгарскую границу. На их перехват были подняты 20 </w:t>
      </w:r>
      <w:r w:rsidRPr="007224C3">
        <w:rPr>
          <w:rFonts w:ascii="Times New Roman" w:hAnsi="Times New Roman"/>
          <w:color w:val="000000" w:themeColor="text1"/>
          <w:sz w:val="16"/>
          <w:szCs w:val="16"/>
          <w:lang w:val="en-US"/>
        </w:rPr>
        <w:t>Bf</w:t>
      </w:r>
      <w:r w:rsidRPr="007224C3">
        <w:rPr>
          <w:rFonts w:ascii="Times New Roman" w:hAnsi="Times New Roman"/>
          <w:color w:val="000000" w:themeColor="text1"/>
          <w:sz w:val="16"/>
          <w:szCs w:val="16"/>
        </w:rPr>
        <w:t>.</w:t>
      </w:r>
      <w:r w:rsidRPr="007224C3">
        <w:rPr>
          <w:rFonts w:ascii="Times New Roman" w:hAnsi="Times New Roman"/>
          <w:color w:val="000000" w:themeColor="text1"/>
          <w:sz w:val="16"/>
          <w:szCs w:val="16"/>
          <w:lang w:val="en-US"/>
        </w:rPr>
        <w:t>l</w:t>
      </w:r>
      <w:r w:rsidRPr="007224C3">
        <w:rPr>
          <w:rFonts w:ascii="Times New Roman" w:hAnsi="Times New Roman"/>
          <w:color w:val="000000" w:themeColor="text1"/>
          <w:sz w:val="16"/>
          <w:szCs w:val="16"/>
        </w:rPr>
        <w:t>09</w:t>
      </w:r>
      <w:r w:rsidRPr="007224C3">
        <w:rPr>
          <w:rFonts w:ascii="Times New Roman" w:hAnsi="Times New Roman"/>
          <w:color w:val="000000" w:themeColor="text1"/>
          <w:sz w:val="16"/>
          <w:szCs w:val="16"/>
          <w:lang w:val="en-US"/>
        </w:rPr>
        <w:t>G</w:t>
      </w:r>
      <w:r w:rsidRPr="007224C3">
        <w:rPr>
          <w:rFonts w:ascii="Times New Roman" w:hAnsi="Times New Roman"/>
          <w:color w:val="000000" w:themeColor="text1"/>
          <w:sz w:val="16"/>
          <w:szCs w:val="16"/>
        </w:rPr>
        <w:t xml:space="preserve">-2 с аэродрома Божуршите, 19 </w:t>
      </w:r>
      <w:r w:rsidRPr="007224C3">
        <w:rPr>
          <w:rFonts w:ascii="Times New Roman" w:hAnsi="Times New Roman"/>
          <w:color w:val="000000" w:themeColor="text1"/>
          <w:sz w:val="16"/>
          <w:szCs w:val="16"/>
          <w:lang w:val="en-US"/>
        </w:rPr>
        <w:t>Bf</w:t>
      </w:r>
      <w:r w:rsidRPr="007224C3">
        <w:rPr>
          <w:rFonts w:ascii="Times New Roman" w:hAnsi="Times New Roman"/>
          <w:color w:val="000000" w:themeColor="text1"/>
          <w:sz w:val="16"/>
          <w:szCs w:val="16"/>
        </w:rPr>
        <w:t>.</w:t>
      </w:r>
      <w:r w:rsidRPr="007224C3">
        <w:rPr>
          <w:rFonts w:ascii="Times New Roman" w:hAnsi="Times New Roman"/>
          <w:color w:val="000000" w:themeColor="text1"/>
          <w:sz w:val="16"/>
          <w:szCs w:val="16"/>
          <w:lang w:val="en-US"/>
        </w:rPr>
        <w:t>l</w:t>
      </w:r>
      <w:r w:rsidRPr="007224C3">
        <w:rPr>
          <w:rFonts w:ascii="Times New Roman" w:hAnsi="Times New Roman"/>
          <w:color w:val="000000" w:themeColor="text1"/>
          <w:sz w:val="16"/>
          <w:szCs w:val="16"/>
        </w:rPr>
        <w:t>09</w:t>
      </w:r>
      <w:r w:rsidRPr="007224C3">
        <w:rPr>
          <w:rFonts w:ascii="Times New Roman" w:hAnsi="Times New Roman"/>
          <w:color w:val="000000" w:themeColor="text1"/>
          <w:sz w:val="16"/>
          <w:szCs w:val="16"/>
          <w:lang w:val="en-US"/>
        </w:rPr>
        <w:t>G</w:t>
      </w:r>
      <w:r w:rsidRPr="007224C3">
        <w:rPr>
          <w:rFonts w:ascii="Times New Roman" w:hAnsi="Times New Roman"/>
          <w:color w:val="000000" w:themeColor="text1"/>
          <w:sz w:val="16"/>
          <w:szCs w:val="16"/>
        </w:rPr>
        <w:t xml:space="preserve">-6 и 6 </w:t>
      </w:r>
      <w:r w:rsidRPr="007224C3">
        <w:rPr>
          <w:rFonts w:ascii="Times New Roman" w:hAnsi="Times New Roman"/>
          <w:color w:val="000000" w:themeColor="text1"/>
          <w:sz w:val="16"/>
          <w:szCs w:val="16"/>
          <w:lang w:val="en-US"/>
        </w:rPr>
        <w:t>D</w:t>
      </w:r>
      <w:r w:rsidRPr="007224C3">
        <w:rPr>
          <w:rFonts w:ascii="Times New Roman" w:hAnsi="Times New Roman"/>
          <w:color w:val="000000" w:themeColor="text1"/>
          <w:sz w:val="16"/>
          <w:szCs w:val="16"/>
        </w:rPr>
        <w:t xml:space="preserve">.520 с аэродрома Враждебна и 25 </w:t>
      </w:r>
      <w:r w:rsidRPr="007224C3">
        <w:rPr>
          <w:rFonts w:ascii="Times New Roman" w:hAnsi="Times New Roman"/>
          <w:color w:val="000000" w:themeColor="text1"/>
          <w:sz w:val="16"/>
          <w:szCs w:val="16"/>
          <w:lang w:val="en-US"/>
        </w:rPr>
        <w:t>D</w:t>
      </w:r>
      <w:r w:rsidRPr="007224C3">
        <w:rPr>
          <w:rFonts w:ascii="Times New Roman" w:hAnsi="Times New Roman"/>
          <w:color w:val="000000" w:themeColor="text1"/>
          <w:sz w:val="16"/>
          <w:szCs w:val="16"/>
        </w:rPr>
        <w:t>.520 с аэродрома Карлово. Навстречу бомбардировщикам вылетели и четыре Авиа В-135 истребительной школы. На этих учебных машинах пушки были сняты и из вооружения остались только по два 7,92-мм пу</w:t>
      </w:r>
      <w:r w:rsidRPr="007224C3">
        <w:rPr>
          <w:rFonts w:ascii="Times New Roman" w:hAnsi="Times New Roman"/>
          <w:color w:val="000000" w:themeColor="text1"/>
          <w:sz w:val="16"/>
          <w:szCs w:val="16"/>
        </w:rPr>
        <w:softHyphen/>
        <w:t>лемета. Но пилотировавшие авиаинструкторы храбро атаковали «Либерейторы» и подбили один из них (19104).</w:t>
      </w:r>
    </w:p>
    <w:p w14:paraId="350211F0" w14:textId="77777777" w:rsidR="00AD7E02" w:rsidRPr="007224C3" w:rsidRDefault="00AD7E02" w:rsidP="007224C3">
      <w:pPr>
        <w:spacing w:after="0" w:line="240" w:lineRule="auto"/>
        <w:jc w:val="both"/>
        <w:rPr>
          <w:rFonts w:ascii="Times New Roman" w:hAnsi="Times New Roman"/>
          <w:color w:val="000000" w:themeColor="text1"/>
          <w:sz w:val="16"/>
          <w:szCs w:val="16"/>
        </w:rPr>
      </w:pPr>
    </w:p>
    <w:p w14:paraId="2B76FA3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30 March - l April 1944 Strikes on the Western Carolines 1944 In an operation designed to eliminate opposition to the landings at Hollandia and to gather photo intelligence for future campaigns, a strong Fifth Fleet force, built around Task Force 58 (Vice Admiral M. A. Mitscher) with 11 carriers, launched a series of attacks on Palau, Yap, Ulithi, and Woleai, and shipping in the area. Aerial mining of Paliu Harbor by Torpedo Squadrons 2, 8, and 16, was the first such mission by carrier aircraft and the first large scale daylight mining operation of the Pacific war. The attacks accounted for 157 enemy aircraft destroyed, 28 ships of 108,000 tons sunk, and denial of the harbor to the enemy for an estimated 6 weeks (1090).</w:t>
      </w:r>
    </w:p>
    <w:p w14:paraId="0E698AD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F0279F4" w14:textId="77777777" w:rsidR="001A195C" w:rsidRPr="007224C3" w:rsidRDefault="001A195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lang w:val="en-US"/>
        </w:rPr>
        <w:t xml:space="preserve">30–31 </w:t>
      </w:r>
      <w:r w:rsidRPr="007224C3">
        <w:rPr>
          <w:rFonts w:ascii="Times New Roman" w:hAnsi="Times New Roman"/>
          <w:color w:val="0070C0"/>
          <w:sz w:val="16"/>
          <w:szCs w:val="16"/>
        </w:rPr>
        <w:t>марта</w:t>
      </w:r>
      <w:r w:rsidRPr="007224C3">
        <w:rPr>
          <w:rFonts w:ascii="Times New Roman" w:hAnsi="Times New Roman"/>
          <w:color w:val="0070C0"/>
          <w:sz w:val="16"/>
          <w:szCs w:val="16"/>
          <w:lang w:val="en-US"/>
        </w:rPr>
        <w:t xml:space="preserve"> 1944 </w:t>
      </w:r>
      <w:r w:rsidRPr="007224C3">
        <w:rPr>
          <w:rFonts w:ascii="Times New Roman" w:hAnsi="Times New Roman"/>
          <w:color w:val="0070C0"/>
          <w:sz w:val="16"/>
          <w:szCs w:val="16"/>
        </w:rPr>
        <w:t>в</w:t>
      </w:r>
      <w:r w:rsidRPr="007224C3">
        <w:rPr>
          <w:rFonts w:ascii="Times New Roman" w:hAnsi="Times New Roman"/>
          <w:color w:val="0070C0"/>
          <w:sz w:val="16"/>
          <w:szCs w:val="16"/>
          <w:lang w:val="en-US"/>
        </w:rPr>
        <w:t xml:space="preserve"> </w:t>
      </w:r>
      <w:r w:rsidRPr="007224C3">
        <w:rPr>
          <w:rFonts w:ascii="Times New Roman" w:hAnsi="Times New Roman"/>
          <w:color w:val="0070C0"/>
          <w:sz w:val="16"/>
          <w:szCs w:val="16"/>
        </w:rPr>
        <w:t>операции</w:t>
      </w:r>
      <w:r w:rsidRPr="007224C3">
        <w:rPr>
          <w:rFonts w:ascii="Times New Roman" w:hAnsi="Times New Roman"/>
          <w:color w:val="0070C0"/>
          <w:sz w:val="16"/>
          <w:szCs w:val="16"/>
          <w:lang w:val="en-US"/>
        </w:rPr>
        <w:t xml:space="preserve"> Desecrate One, </w:t>
      </w:r>
      <w:r w:rsidRPr="007224C3">
        <w:rPr>
          <w:rFonts w:ascii="Times New Roman" w:hAnsi="Times New Roman"/>
          <w:color w:val="0070C0"/>
          <w:sz w:val="16"/>
          <w:szCs w:val="16"/>
        </w:rPr>
        <w:t>авианосцы</w:t>
      </w:r>
      <w:r w:rsidRPr="007224C3">
        <w:rPr>
          <w:rFonts w:ascii="Times New Roman" w:hAnsi="Times New Roman"/>
          <w:color w:val="0070C0"/>
          <w:sz w:val="16"/>
          <w:szCs w:val="16"/>
          <w:lang w:val="en-US"/>
        </w:rPr>
        <w:t xml:space="preserve"> </w:t>
      </w:r>
      <w:r w:rsidRPr="007224C3">
        <w:rPr>
          <w:rFonts w:ascii="Times New Roman" w:hAnsi="Times New Roman"/>
          <w:color w:val="0070C0"/>
          <w:sz w:val="16"/>
          <w:szCs w:val="16"/>
        </w:rPr>
        <w:t>оперативной</w:t>
      </w:r>
      <w:r w:rsidRPr="007224C3">
        <w:rPr>
          <w:rFonts w:ascii="Times New Roman" w:hAnsi="Times New Roman"/>
          <w:color w:val="0070C0"/>
          <w:sz w:val="16"/>
          <w:szCs w:val="16"/>
          <w:lang w:val="en-US"/>
        </w:rPr>
        <w:t xml:space="preserve"> </w:t>
      </w:r>
      <w:r w:rsidRPr="007224C3">
        <w:rPr>
          <w:rFonts w:ascii="Times New Roman" w:hAnsi="Times New Roman"/>
          <w:color w:val="0070C0"/>
          <w:sz w:val="16"/>
          <w:szCs w:val="16"/>
        </w:rPr>
        <w:t>группы</w:t>
      </w:r>
      <w:r w:rsidRPr="007224C3">
        <w:rPr>
          <w:rFonts w:ascii="Times New Roman" w:hAnsi="Times New Roman"/>
          <w:color w:val="0070C0"/>
          <w:sz w:val="16"/>
          <w:szCs w:val="16"/>
          <w:lang w:val="en-US"/>
        </w:rPr>
        <w:t xml:space="preserve"> 58 </w:t>
      </w:r>
      <w:r w:rsidRPr="007224C3">
        <w:rPr>
          <w:rFonts w:ascii="Times New Roman" w:hAnsi="Times New Roman"/>
          <w:color w:val="0070C0"/>
          <w:sz w:val="16"/>
          <w:szCs w:val="16"/>
        </w:rPr>
        <w:t>ВМС</w:t>
      </w:r>
      <w:r w:rsidRPr="007224C3">
        <w:rPr>
          <w:rFonts w:ascii="Times New Roman" w:hAnsi="Times New Roman"/>
          <w:color w:val="0070C0"/>
          <w:sz w:val="16"/>
          <w:szCs w:val="16"/>
          <w:lang w:val="en-US"/>
        </w:rPr>
        <w:t xml:space="preserve"> </w:t>
      </w:r>
      <w:r w:rsidRPr="007224C3">
        <w:rPr>
          <w:rFonts w:ascii="Times New Roman" w:hAnsi="Times New Roman"/>
          <w:color w:val="0070C0"/>
          <w:sz w:val="16"/>
          <w:szCs w:val="16"/>
        </w:rPr>
        <w:t>США</w:t>
      </w:r>
      <w:r w:rsidRPr="007224C3">
        <w:rPr>
          <w:rFonts w:ascii="Times New Roman" w:hAnsi="Times New Roman"/>
          <w:color w:val="0070C0"/>
          <w:sz w:val="16"/>
          <w:szCs w:val="16"/>
          <w:lang w:val="en-US"/>
        </w:rPr>
        <w:t xml:space="preserve"> USS Enterprise (CV-6), USS Bunker Hill (CV-17), USS Hornet (CV-12), USS Yorktown (CV-10), USS Lexington (CV-16), USS Monterey (CV-26), USS Belleau Wood (CVL-24), USS Cowpens (CVL-25), USS Cabot (CVL-28), USS Princeton (CVL-23) </w:t>
      </w:r>
      <w:r w:rsidRPr="007224C3">
        <w:rPr>
          <w:rFonts w:ascii="Times New Roman" w:hAnsi="Times New Roman"/>
          <w:color w:val="0070C0"/>
          <w:sz w:val="16"/>
          <w:szCs w:val="16"/>
        </w:rPr>
        <w:t>и</w:t>
      </w:r>
      <w:r w:rsidRPr="007224C3">
        <w:rPr>
          <w:rFonts w:ascii="Times New Roman" w:hAnsi="Times New Roman"/>
          <w:color w:val="0070C0"/>
          <w:sz w:val="16"/>
          <w:szCs w:val="16"/>
          <w:lang w:val="en-US"/>
        </w:rPr>
        <w:t xml:space="preserve"> </w:t>
      </w:r>
      <w:r w:rsidRPr="007224C3">
        <w:rPr>
          <w:rFonts w:ascii="Times New Roman" w:hAnsi="Times New Roman"/>
          <w:color w:val="0070C0"/>
          <w:sz w:val="16"/>
          <w:szCs w:val="16"/>
        </w:rPr>
        <w:t>Военный</w:t>
      </w:r>
      <w:r w:rsidRPr="007224C3">
        <w:rPr>
          <w:rFonts w:ascii="Times New Roman" w:hAnsi="Times New Roman"/>
          <w:color w:val="0070C0"/>
          <w:sz w:val="16"/>
          <w:szCs w:val="16"/>
          <w:lang w:val="en-US"/>
        </w:rPr>
        <w:t xml:space="preserve"> </w:t>
      </w:r>
      <w:r w:rsidRPr="007224C3">
        <w:rPr>
          <w:rFonts w:ascii="Times New Roman" w:hAnsi="Times New Roman"/>
          <w:color w:val="0070C0"/>
          <w:sz w:val="16"/>
          <w:szCs w:val="16"/>
        </w:rPr>
        <w:t>корабль</w:t>
      </w:r>
      <w:r w:rsidRPr="007224C3">
        <w:rPr>
          <w:rFonts w:ascii="Times New Roman" w:hAnsi="Times New Roman"/>
          <w:color w:val="0070C0"/>
          <w:sz w:val="16"/>
          <w:szCs w:val="16"/>
          <w:lang w:val="en-US"/>
        </w:rPr>
        <w:t xml:space="preserve"> </w:t>
      </w:r>
      <w:r w:rsidRPr="007224C3">
        <w:rPr>
          <w:rFonts w:ascii="Times New Roman" w:hAnsi="Times New Roman"/>
          <w:color w:val="0070C0"/>
          <w:sz w:val="16"/>
          <w:szCs w:val="16"/>
        </w:rPr>
        <w:t>США</w:t>
      </w:r>
      <w:r w:rsidRPr="007224C3">
        <w:rPr>
          <w:rFonts w:ascii="Times New Roman" w:hAnsi="Times New Roman"/>
          <w:color w:val="0070C0"/>
          <w:sz w:val="16"/>
          <w:szCs w:val="16"/>
          <w:lang w:val="en-US"/>
        </w:rPr>
        <w:t xml:space="preserve"> " </w:t>
      </w:r>
      <w:r w:rsidRPr="007224C3">
        <w:rPr>
          <w:rFonts w:ascii="Times New Roman" w:hAnsi="Times New Roman"/>
          <w:color w:val="0070C0"/>
          <w:sz w:val="16"/>
          <w:szCs w:val="16"/>
        </w:rPr>
        <w:t>Лэнгли</w:t>
      </w:r>
      <w:r w:rsidRPr="007224C3">
        <w:rPr>
          <w:rFonts w:ascii="Times New Roman" w:hAnsi="Times New Roman"/>
          <w:color w:val="0070C0"/>
          <w:sz w:val="16"/>
          <w:szCs w:val="16"/>
          <w:lang w:val="en-US"/>
        </w:rPr>
        <w:t xml:space="preserve">" (CVL-27) </w:t>
      </w:r>
      <w:r w:rsidRPr="007224C3">
        <w:rPr>
          <w:rFonts w:ascii="Times New Roman" w:hAnsi="Times New Roman"/>
          <w:color w:val="0070C0"/>
          <w:sz w:val="16"/>
          <w:szCs w:val="16"/>
        </w:rPr>
        <w:t>наносят</w:t>
      </w:r>
      <w:r w:rsidRPr="007224C3">
        <w:rPr>
          <w:rFonts w:ascii="Times New Roman" w:hAnsi="Times New Roman"/>
          <w:color w:val="0070C0"/>
          <w:sz w:val="16"/>
          <w:szCs w:val="16"/>
          <w:lang w:val="en-US"/>
        </w:rPr>
        <w:t xml:space="preserve"> </w:t>
      </w:r>
      <w:r w:rsidRPr="007224C3">
        <w:rPr>
          <w:rFonts w:ascii="Times New Roman" w:hAnsi="Times New Roman"/>
          <w:color w:val="0070C0"/>
          <w:sz w:val="16"/>
          <w:szCs w:val="16"/>
        </w:rPr>
        <w:t>удар</w:t>
      </w:r>
      <w:r w:rsidRPr="007224C3">
        <w:rPr>
          <w:rFonts w:ascii="Times New Roman" w:hAnsi="Times New Roman"/>
          <w:color w:val="0070C0"/>
          <w:sz w:val="16"/>
          <w:szCs w:val="16"/>
          <w:lang w:val="en-US"/>
        </w:rPr>
        <w:t xml:space="preserve"> </w:t>
      </w:r>
      <w:r w:rsidRPr="007224C3">
        <w:rPr>
          <w:rFonts w:ascii="Times New Roman" w:hAnsi="Times New Roman"/>
          <w:color w:val="0070C0"/>
          <w:sz w:val="16"/>
          <w:szCs w:val="16"/>
        </w:rPr>
        <w:t>по</w:t>
      </w:r>
      <w:r w:rsidRPr="007224C3">
        <w:rPr>
          <w:rFonts w:ascii="Times New Roman" w:hAnsi="Times New Roman"/>
          <w:color w:val="0070C0"/>
          <w:sz w:val="16"/>
          <w:szCs w:val="16"/>
          <w:lang w:val="en-US"/>
        </w:rPr>
        <w:t xml:space="preserve"> </w:t>
      </w:r>
      <w:r w:rsidRPr="007224C3">
        <w:rPr>
          <w:rFonts w:ascii="Times New Roman" w:hAnsi="Times New Roman"/>
          <w:color w:val="0070C0"/>
          <w:sz w:val="16"/>
          <w:szCs w:val="16"/>
        </w:rPr>
        <w:t>японским</w:t>
      </w:r>
      <w:r w:rsidRPr="007224C3">
        <w:rPr>
          <w:rFonts w:ascii="Times New Roman" w:hAnsi="Times New Roman"/>
          <w:color w:val="0070C0"/>
          <w:sz w:val="16"/>
          <w:szCs w:val="16"/>
          <w:lang w:val="en-US"/>
        </w:rPr>
        <w:t xml:space="preserve"> </w:t>
      </w:r>
      <w:r w:rsidRPr="007224C3">
        <w:rPr>
          <w:rFonts w:ascii="Times New Roman" w:hAnsi="Times New Roman"/>
          <w:color w:val="0070C0"/>
          <w:sz w:val="16"/>
          <w:szCs w:val="16"/>
        </w:rPr>
        <w:t>базам</w:t>
      </w:r>
      <w:r w:rsidRPr="007224C3">
        <w:rPr>
          <w:rFonts w:ascii="Times New Roman" w:hAnsi="Times New Roman"/>
          <w:color w:val="0070C0"/>
          <w:sz w:val="16"/>
          <w:szCs w:val="16"/>
          <w:lang w:val="en-US"/>
        </w:rPr>
        <w:t xml:space="preserve"> </w:t>
      </w:r>
      <w:r w:rsidRPr="007224C3">
        <w:rPr>
          <w:rFonts w:ascii="Times New Roman" w:hAnsi="Times New Roman"/>
          <w:color w:val="0070C0"/>
          <w:sz w:val="16"/>
          <w:szCs w:val="16"/>
        </w:rPr>
        <w:t>на</w:t>
      </w:r>
      <w:r w:rsidRPr="007224C3">
        <w:rPr>
          <w:rFonts w:ascii="Times New Roman" w:hAnsi="Times New Roman"/>
          <w:color w:val="0070C0"/>
          <w:sz w:val="16"/>
          <w:szCs w:val="16"/>
          <w:lang w:val="en-US"/>
        </w:rPr>
        <w:t xml:space="preserve"> </w:t>
      </w:r>
      <w:r w:rsidRPr="007224C3">
        <w:rPr>
          <w:rFonts w:ascii="Times New Roman" w:hAnsi="Times New Roman"/>
          <w:color w:val="0070C0"/>
          <w:sz w:val="16"/>
          <w:szCs w:val="16"/>
        </w:rPr>
        <w:t>островах</w:t>
      </w:r>
      <w:r w:rsidRPr="007224C3">
        <w:rPr>
          <w:rFonts w:ascii="Times New Roman" w:hAnsi="Times New Roman"/>
          <w:color w:val="0070C0"/>
          <w:sz w:val="16"/>
          <w:szCs w:val="16"/>
          <w:lang w:val="en-US"/>
        </w:rPr>
        <w:t xml:space="preserve"> </w:t>
      </w:r>
      <w:r w:rsidRPr="007224C3">
        <w:rPr>
          <w:rFonts w:ascii="Times New Roman" w:hAnsi="Times New Roman"/>
          <w:color w:val="0070C0"/>
          <w:sz w:val="16"/>
          <w:szCs w:val="16"/>
        </w:rPr>
        <w:t>Палау</w:t>
      </w:r>
      <w:r w:rsidRPr="007224C3">
        <w:rPr>
          <w:rFonts w:ascii="Times New Roman" w:hAnsi="Times New Roman"/>
          <w:color w:val="0070C0"/>
          <w:sz w:val="16"/>
          <w:szCs w:val="16"/>
          <w:lang w:val="en-US"/>
        </w:rPr>
        <w:t xml:space="preserve">. </w:t>
      </w:r>
      <w:r w:rsidRPr="007224C3">
        <w:rPr>
          <w:rFonts w:ascii="Times New Roman" w:hAnsi="Times New Roman"/>
          <w:color w:val="0070C0"/>
          <w:sz w:val="16"/>
          <w:szCs w:val="16"/>
        </w:rPr>
        <w:t>За два дня ударов потопили или повредили 36 японских кораблей. Кроме того, TBF и TBM Avengers с авианосцев закладывают морские мины во время ударов, что является первым тактическим применением мин, установленных авианосцами во время войны на Тихом океане (20373).</w:t>
      </w:r>
    </w:p>
    <w:p w14:paraId="6D0D44CE" w14:textId="77777777" w:rsidR="001A195C" w:rsidRPr="007224C3" w:rsidRDefault="001A195C" w:rsidP="007224C3">
      <w:pPr>
        <w:spacing w:after="0" w:line="240" w:lineRule="auto"/>
        <w:jc w:val="both"/>
        <w:rPr>
          <w:rFonts w:ascii="Times New Roman" w:hAnsi="Times New Roman"/>
          <w:color w:val="0070C0"/>
          <w:sz w:val="16"/>
          <w:szCs w:val="16"/>
        </w:rPr>
      </w:pPr>
    </w:p>
    <w:p w14:paraId="31157166" w14:textId="77777777" w:rsidR="001A195C" w:rsidRPr="007224C3" w:rsidRDefault="001A195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30–31 марта 1944 пятый ылот ВВС нпсинает свой первый большой дневной удар, атакуя японские аэродромы в Hollandia районе на Новой Гвинее с использованием 80 B-24 освободителей и 59 P-38 Молнии в первый день и аналогичные силы на второй день. Они повреждают большинство японских самолетов и заявляют, что 199 из них уничтожены (20373).</w:t>
      </w:r>
    </w:p>
    <w:p w14:paraId="1EAC1286" w14:textId="77777777" w:rsidR="001A195C" w:rsidRPr="007224C3" w:rsidRDefault="001A195C" w:rsidP="007224C3">
      <w:pPr>
        <w:spacing w:after="0" w:line="240" w:lineRule="auto"/>
        <w:jc w:val="both"/>
        <w:rPr>
          <w:rFonts w:ascii="Times New Roman" w:hAnsi="Times New Roman"/>
          <w:color w:val="0070C0"/>
          <w:sz w:val="16"/>
          <w:szCs w:val="16"/>
        </w:rPr>
      </w:pPr>
    </w:p>
    <w:p w14:paraId="4A4F688F" w14:textId="77777777" w:rsidR="001A195C" w:rsidRPr="007224C3" w:rsidRDefault="001A195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30 марта - 1 апреля 1944 во время рейдов на острова Палау, Яп и Волеи самолеты оперативной группы 58 потопили или сильно повредили 36 японских кораблей общим тоннажем 130 000 тонн, еще 32 заперли в гаванях с помощью морских мин и уничтожили много японских самолетов при потере 25 самолетов США.</w:t>
      </w:r>
    </w:p>
    <w:p w14:paraId="636B1388" w14:textId="77777777" w:rsidR="001A195C" w:rsidRPr="007224C3" w:rsidRDefault="001A195C" w:rsidP="007224C3">
      <w:pPr>
        <w:spacing w:after="0" w:line="240" w:lineRule="auto"/>
        <w:jc w:val="both"/>
        <w:rPr>
          <w:rFonts w:ascii="Times New Roman" w:hAnsi="Times New Roman"/>
          <w:color w:val="0070C0"/>
          <w:sz w:val="16"/>
          <w:szCs w:val="16"/>
        </w:rPr>
      </w:pPr>
    </w:p>
    <w:p w14:paraId="01FF12F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30 марта по 1 апреля 1944 американцы нанесли удары по западным Каролинским островам (1090).</w:t>
      </w:r>
    </w:p>
    <w:p w14:paraId="3186AF6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039B99"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0075084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4CAB75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 марта 1944 был отпечатан Отчет об испытаниях самолета "Лавочкин-5" с мотором М-71 N 39210204 в трубе Т-101 ЦАГИ. Ведущий по испытаниям - А.К.Мартынов. Сделали вывод, что возможна скорость 720 км/ч. Испытания были проведены 23-25 сентября 1943 (507).</w:t>
      </w:r>
    </w:p>
    <w:p w14:paraId="0FE8B65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 Т Ч Е Т об испытаниях: самолета "Лавочкин-5” с мотором М-71</w:t>
      </w:r>
    </w:p>
    <w:p w14:paraId="6DA7E0E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Ведущий по самолету проф. Мартынов А.К.</w:t>
      </w:r>
    </w:p>
    <w:p w14:paraId="5C6B4C4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Краткое содержание</w:t>
      </w:r>
    </w:p>
    <w:p w14:paraId="1B5A1FE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аэродинамической самолетной трубе Т-101 ДАГИ бнли проведены испытания самолета “Лавочкин-5” № 39210204. Отличие этого самолета от серийного заключалось в постановке более мощного мотора, М-71 с большими габаритами, что отрази</w:t>
      </w:r>
      <w:r w:rsidRPr="007224C3">
        <w:rPr>
          <w:rFonts w:ascii="Times New Roman" w:hAnsi="Times New Roman"/>
          <w:color w:val="000000" w:themeColor="text1"/>
          <w:sz w:val="16"/>
          <w:szCs w:val="16"/>
        </w:rPr>
        <w:softHyphen/>
        <w:t>лось на форме фюзеляжа. Кроме этого, на данном самолете бы</w:t>
      </w:r>
      <w:r w:rsidRPr="007224C3">
        <w:rPr>
          <w:rFonts w:ascii="Times New Roman" w:hAnsi="Times New Roman"/>
          <w:color w:val="000000" w:themeColor="text1"/>
          <w:sz w:val="16"/>
          <w:szCs w:val="16"/>
        </w:rPr>
        <w:softHyphen/>
        <w:t>ли частично осуществлены рекомендованные ЦАГИ в 1942 г. мероприятия по увеличению максимальной скорости серийных само</w:t>
      </w:r>
      <w:r w:rsidRPr="007224C3">
        <w:rPr>
          <w:rFonts w:ascii="Times New Roman" w:hAnsi="Times New Roman"/>
          <w:color w:val="000000" w:themeColor="text1"/>
          <w:sz w:val="16"/>
          <w:szCs w:val="16"/>
        </w:rPr>
        <w:softHyphen/>
        <w:t>летов “Лавочкин-5”. В связи с установкой более мощного мото</w:t>
      </w:r>
      <w:r w:rsidRPr="007224C3">
        <w:rPr>
          <w:rFonts w:ascii="Times New Roman" w:hAnsi="Times New Roman"/>
          <w:color w:val="000000" w:themeColor="text1"/>
          <w:sz w:val="16"/>
          <w:szCs w:val="16"/>
        </w:rPr>
        <w:softHyphen/>
        <w:t>ра возрос и вес самолета.</w:t>
      </w:r>
    </w:p>
    <w:p w14:paraId="6B87A2A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Целью испытаний являло ев получение общих аэро динамиче</w:t>
      </w:r>
      <w:r w:rsidRPr="007224C3">
        <w:rPr>
          <w:rFonts w:ascii="Times New Roman" w:hAnsi="Times New Roman"/>
          <w:color w:val="000000" w:themeColor="text1"/>
          <w:sz w:val="16"/>
          <w:szCs w:val="16"/>
        </w:rPr>
        <w:softHyphen/>
        <w:t>ских характеристик, устойчивости и управляемости самолета.</w:t>
      </w:r>
    </w:p>
    <w:p w14:paraId="4D7805E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основании результатов испытаний разработаны рекомен</w:t>
      </w:r>
      <w:r w:rsidRPr="007224C3">
        <w:rPr>
          <w:rFonts w:ascii="Times New Roman" w:hAnsi="Times New Roman"/>
          <w:color w:val="000000" w:themeColor="text1"/>
          <w:sz w:val="16"/>
          <w:szCs w:val="16"/>
        </w:rPr>
        <w:softHyphen/>
        <w:t>дации по увеличению максимальной скорости данного самолета.</w:t>
      </w:r>
    </w:p>
    <w:p w14:paraId="10869CE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Цель испытаний</w:t>
      </w:r>
    </w:p>
    <w:p w14:paraId="173CF4D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Получение аэродинамических характеристик: подъемной си</w:t>
      </w:r>
      <w:r w:rsidRPr="007224C3">
        <w:rPr>
          <w:rFonts w:ascii="Times New Roman" w:hAnsi="Times New Roman"/>
          <w:color w:val="000000" w:themeColor="text1"/>
          <w:sz w:val="16"/>
          <w:szCs w:val="16"/>
        </w:rPr>
        <w:softHyphen/>
        <w:t>лы, лобового сопротивления, моментов, определяющих устойчи</w:t>
      </w:r>
      <w:r w:rsidRPr="007224C3">
        <w:rPr>
          <w:rFonts w:ascii="Times New Roman" w:hAnsi="Times New Roman"/>
          <w:color w:val="000000" w:themeColor="text1"/>
          <w:sz w:val="16"/>
          <w:szCs w:val="16"/>
        </w:rPr>
        <w:softHyphen/>
        <w:t>вость и управляемость самолета “Лавочкин-5” с мотором М-71 для сравнения с подобным же самолетом, снабженным мотором М-71 и разработка рекомендаций по улучшению испытанного самолета.</w:t>
      </w:r>
    </w:p>
    <w:p w14:paraId="1889060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 Об”ект испытания.</w:t>
      </w:r>
    </w:p>
    <w:p w14:paraId="5BB8863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Объектом испытания был самолет “Лавочкин-5” выпуска за</w:t>
      </w:r>
      <w:r w:rsidRPr="007224C3">
        <w:rPr>
          <w:rFonts w:ascii="Times New Roman" w:hAnsi="Times New Roman"/>
          <w:color w:val="000000" w:themeColor="text1"/>
          <w:sz w:val="16"/>
          <w:szCs w:val="16"/>
        </w:rPr>
        <w:softHyphen/>
        <w:t>вода № 21 № 39210204 с мотором М-71. Установка мотора боль</w:t>
      </w:r>
      <w:r w:rsidRPr="007224C3">
        <w:rPr>
          <w:rFonts w:ascii="Times New Roman" w:hAnsi="Times New Roman"/>
          <w:color w:val="000000" w:themeColor="text1"/>
          <w:sz w:val="16"/>
          <w:szCs w:val="16"/>
        </w:rPr>
        <w:softHyphen/>
        <w:t>ших габаритных размеров, по сравнению в мотором М-82 Ш, выз</w:t>
      </w:r>
      <w:r w:rsidRPr="007224C3">
        <w:rPr>
          <w:rFonts w:ascii="Times New Roman" w:hAnsi="Times New Roman"/>
          <w:color w:val="000000" w:themeColor="text1"/>
          <w:sz w:val="16"/>
          <w:szCs w:val="16"/>
        </w:rPr>
        <w:softHyphen/>
        <w:t>вала увеличение миделя фюзеляжа, в остальном планер самолета остался без изменения.</w:t>
      </w:r>
    </w:p>
    <w:p w14:paraId="5102DA9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самолете частично осуществлены улучшения согласно рекомендаций ЦАГИ 1942 г. по увеличению максимальной скоро</w:t>
      </w:r>
      <w:r w:rsidRPr="007224C3">
        <w:rPr>
          <w:rFonts w:ascii="Times New Roman" w:hAnsi="Times New Roman"/>
          <w:color w:val="000000" w:themeColor="text1"/>
          <w:sz w:val="16"/>
          <w:szCs w:val="16"/>
        </w:rPr>
        <w:softHyphen/>
        <w:t>сти.</w:t>
      </w:r>
    </w:p>
    <w:p w14:paraId="75893D3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Отличие самолета "Лавочкин-5” с М-71 от аналогичных са</w:t>
      </w:r>
      <w:r w:rsidRPr="007224C3">
        <w:rPr>
          <w:rFonts w:ascii="Times New Roman" w:hAnsi="Times New Roman"/>
          <w:color w:val="000000" w:themeColor="text1"/>
          <w:sz w:val="16"/>
          <w:szCs w:val="16"/>
        </w:rPr>
        <w:softHyphen/>
        <w:t>молетов с М-82 заключается в том, что всасывающий патрубок, стоявший наверху капота, перенесен вниз, масляный радиатор передвинут назад и установлен за 4 шпангоутом, полностью закрываются крышками купола шасси (последнее стало возможным после перестановки маслорадиатора). На самолете стоит фонарь пилота с задним обзором, подвижная часть фонаря при полном закрытии образует кривую плавно, переходящую в верхний контур фюзеляжа. Стекатель на подвижной части фонаря в закрытом положении не образует уступа.</w:t>
      </w:r>
    </w:p>
    <w:p w14:paraId="2CFEE0D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Осмотр самолета показал наличие ряда дефектов, могущих 1-вызвать ухудшение аэродинамических свойств само лета. Пере- \ чевь этих дефектов приводится ниже.</w:t>
      </w:r>
    </w:p>
    <w:p w14:paraId="490575C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I. Недостаточна наружная герметизация: имеют место большие щели в местах стыковки капота, около всасывающего патрубка, в натяжных замках капота и у створок капота.</w:t>
      </w:r>
    </w:p>
    <w:p w14:paraId="7184E21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Недостаточна внутренняя герметизация, например: имеют место лишние отверстия во внутреннем капоте.</w:t>
      </w:r>
    </w:p>
    <w:p w14:paraId="11E22AB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Всасывающий патрубок недостаточно плавно сопрягается с капотом. Вход в патрубок имеет острые края.</w:t>
      </w:r>
    </w:p>
    <w:p w14:paraId="2C8D049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Основные данные самолета «Лавочкин-5» с М-71 № 39210204 и их сравнение с данными по самолету с М-82ВН № 39210405 при</w:t>
      </w:r>
      <w:r w:rsidRPr="007224C3">
        <w:rPr>
          <w:rFonts w:ascii="Times New Roman" w:hAnsi="Times New Roman"/>
          <w:color w:val="000000" w:themeColor="text1"/>
          <w:sz w:val="16"/>
          <w:szCs w:val="16"/>
        </w:rPr>
        <w:softHyphen/>
        <w:t>водятся ниже.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68"/>
        <w:gridCol w:w="2160"/>
        <w:gridCol w:w="2880"/>
        <w:gridCol w:w="3151"/>
      </w:tblGrid>
      <w:tr w:rsidR="005106D0" w:rsidRPr="007224C3" w14:paraId="57FBEB65" w14:textId="77777777">
        <w:tc>
          <w:tcPr>
            <w:tcW w:w="468" w:type="dxa"/>
            <w:tcBorders>
              <w:top w:val="single" w:sz="12" w:space="0" w:color="auto"/>
            </w:tcBorders>
          </w:tcPr>
          <w:p w14:paraId="38F626D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п/п</w:t>
            </w:r>
          </w:p>
        </w:tc>
        <w:tc>
          <w:tcPr>
            <w:tcW w:w="2160" w:type="dxa"/>
            <w:tcBorders>
              <w:top w:val="single" w:sz="12" w:space="0" w:color="auto"/>
            </w:tcBorders>
          </w:tcPr>
          <w:p w14:paraId="563BF37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Наименование данных</w:t>
            </w:r>
          </w:p>
        </w:tc>
        <w:tc>
          <w:tcPr>
            <w:tcW w:w="2880" w:type="dxa"/>
            <w:tcBorders>
              <w:top w:val="single" w:sz="12" w:space="0" w:color="auto"/>
            </w:tcBorders>
          </w:tcPr>
          <w:p w14:paraId="54F830B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Ла-5 с М-71 № 39210204</w:t>
            </w:r>
          </w:p>
        </w:tc>
        <w:tc>
          <w:tcPr>
            <w:tcW w:w="3151" w:type="dxa"/>
            <w:tcBorders>
              <w:top w:val="single" w:sz="12" w:space="0" w:color="auto"/>
            </w:tcBorders>
          </w:tcPr>
          <w:p w14:paraId="50729CF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Ла-5 с М-82 № 39210405</w:t>
            </w:r>
          </w:p>
        </w:tc>
      </w:tr>
      <w:tr w:rsidR="005106D0" w:rsidRPr="007224C3" w14:paraId="33B5A574" w14:textId="77777777">
        <w:tc>
          <w:tcPr>
            <w:tcW w:w="468" w:type="dxa"/>
          </w:tcPr>
          <w:p w14:paraId="768268B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tc>
        <w:tc>
          <w:tcPr>
            <w:tcW w:w="2160" w:type="dxa"/>
          </w:tcPr>
          <w:p w14:paraId="03F82B5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Площадь крыла м.</w:t>
            </w:r>
          </w:p>
        </w:tc>
        <w:tc>
          <w:tcPr>
            <w:tcW w:w="2880" w:type="dxa"/>
          </w:tcPr>
          <w:p w14:paraId="62A29F8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17,5</w:t>
            </w:r>
          </w:p>
        </w:tc>
        <w:tc>
          <w:tcPr>
            <w:tcW w:w="3151" w:type="dxa"/>
          </w:tcPr>
          <w:p w14:paraId="13D028B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17,5</w:t>
            </w:r>
          </w:p>
        </w:tc>
      </w:tr>
      <w:tr w:rsidR="005106D0" w:rsidRPr="007224C3" w14:paraId="0C31B39B" w14:textId="77777777">
        <w:tc>
          <w:tcPr>
            <w:tcW w:w="468" w:type="dxa"/>
          </w:tcPr>
          <w:p w14:paraId="5A9931D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tc>
        <w:tc>
          <w:tcPr>
            <w:tcW w:w="2160" w:type="dxa"/>
          </w:tcPr>
          <w:p w14:paraId="421A427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Размах крыла в м.</w:t>
            </w:r>
          </w:p>
        </w:tc>
        <w:tc>
          <w:tcPr>
            <w:tcW w:w="2880" w:type="dxa"/>
          </w:tcPr>
          <w:p w14:paraId="04740FD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9.8</w:t>
            </w:r>
          </w:p>
        </w:tc>
        <w:tc>
          <w:tcPr>
            <w:tcW w:w="3151" w:type="dxa"/>
          </w:tcPr>
          <w:p w14:paraId="739091A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9,8</w:t>
            </w:r>
          </w:p>
        </w:tc>
      </w:tr>
      <w:tr w:rsidR="005106D0" w:rsidRPr="007224C3" w14:paraId="06763E24" w14:textId="77777777">
        <w:tc>
          <w:tcPr>
            <w:tcW w:w="468" w:type="dxa"/>
          </w:tcPr>
          <w:p w14:paraId="69C3EA4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tc>
        <w:tc>
          <w:tcPr>
            <w:tcW w:w="2160" w:type="dxa"/>
          </w:tcPr>
          <w:p w14:paraId="1C0026C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Удлинение</w:t>
            </w:r>
          </w:p>
        </w:tc>
        <w:tc>
          <w:tcPr>
            <w:tcW w:w="2880" w:type="dxa"/>
          </w:tcPr>
          <w:p w14:paraId="4CDD3AF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5,48</w:t>
            </w:r>
          </w:p>
        </w:tc>
        <w:tc>
          <w:tcPr>
            <w:tcW w:w="3151" w:type="dxa"/>
          </w:tcPr>
          <w:p w14:paraId="5E2D2F2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5,48</w:t>
            </w:r>
          </w:p>
        </w:tc>
      </w:tr>
      <w:tr w:rsidR="005106D0" w:rsidRPr="007224C3" w14:paraId="6E0B2C79" w14:textId="77777777">
        <w:tc>
          <w:tcPr>
            <w:tcW w:w="468" w:type="dxa"/>
          </w:tcPr>
          <w:p w14:paraId="013A983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w:t>
            </w:r>
          </w:p>
        </w:tc>
        <w:tc>
          <w:tcPr>
            <w:tcW w:w="2160" w:type="dxa"/>
          </w:tcPr>
          <w:p w14:paraId="3FED2A4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Площадь горизонт. Оперения в м</w:t>
            </w:r>
          </w:p>
        </w:tc>
        <w:tc>
          <w:tcPr>
            <w:tcW w:w="2880" w:type="dxa"/>
          </w:tcPr>
          <w:p w14:paraId="087AB7A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3,34</w:t>
            </w:r>
          </w:p>
        </w:tc>
        <w:tc>
          <w:tcPr>
            <w:tcW w:w="3151" w:type="dxa"/>
          </w:tcPr>
          <w:p w14:paraId="66E4AE9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3,25</w:t>
            </w:r>
          </w:p>
        </w:tc>
      </w:tr>
      <w:tr w:rsidR="005106D0" w:rsidRPr="007224C3" w14:paraId="1C80A3A4" w14:textId="77777777">
        <w:tc>
          <w:tcPr>
            <w:tcW w:w="468" w:type="dxa"/>
          </w:tcPr>
          <w:p w14:paraId="3DB618B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tc>
        <w:tc>
          <w:tcPr>
            <w:tcW w:w="2160" w:type="dxa"/>
          </w:tcPr>
          <w:p w14:paraId="0DDE062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Площадь рулей высоты м кв</w:t>
            </w:r>
          </w:p>
        </w:tc>
        <w:tc>
          <w:tcPr>
            <w:tcW w:w="2880" w:type="dxa"/>
          </w:tcPr>
          <w:p w14:paraId="199F0DC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1,33</w:t>
            </w:r>
          </w:p>
        </w:tc>
        <w:tc>
          <w:tcPr>
            <w:tcW w:w="3151" w:type="dxa"/>
          </w:tcPr>
          <w:p w14:paraId="05E0CF6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1,37</w:t>
            </w:r>
          </w:p>
        </w:tc>
      </w:tr>
      <w:tr w:rsidR="005106D0" w:rsidRPr="007224C3" w14:paraId="7485C374" w14:textId="77777777">
        <w:tc>
          <w:tcPr>
            <w:tcW w:w="468" w:type="dxa"/>
          </w:tcPr>
          <w:p w14:paraId="0E12978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w:t>
            </w:r>
          </w:p>
        </w:tc>
        <w:tc>
          <w:tcPr>
            <w:tcW w:w="2160" w:type="dxa"/>
          </w:tcPr>
          <w:p w14:paraId="7A4C04C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Площадь осевой компенсации РВ м кв</w:t>
            </w:r>
          </w:p>
        </w:tc>
        <w:tc>
          <w:tcPr>
            <w:tcW w:w="2880" w:type="dxa"/>
          </w:tcPr>
          <w:p w14:paraId="51607EB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0,18</w:t>
            </w:r>
          </w:p>
        </w:tc>
        <w:tc>
          <w:tcPr>
            <w:tcW w:w="3151" w:type="dxa"/>
          </w:tcPr>
          <w:p w14:paraId="7DE926E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0,116</w:t>
            </w:r>
          </w:p>
        </w:tc>
      </w:tr>
      <w:tr w:rsidR="005106D0" w:rsidRPr="007224C3" w14:paraId="3964D382" w14:textId="77777777">
        <w:tc>
          <w:tcPr>
            <w:tcW w:w="468" w:type="dxa"/>
          </w:tcPr>
          <w:p w14:paraId="4AA8360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w:t>
            </w:r>
          </w:p>
        </w:tc>
        <w:tc>
          <w:tcPr>
            <w:tcW w:w="2160" w:type="dxa"/>
          </w:tcPr>
          <w:p w14:paraId="322E3C6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Площадь вертикального оперения м</w:t>
            </w:r>
          </w:p>
        </w:tc>
        <w:tc>
          <w:tcPr>
            <w:tcW w:w="2880" w:type="dxa"/>
          </w:tcPr>
          <w:p w14:paraId="32D037A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1,315</w:t>
            </w:r>
          </w:p>
        </w:tc>
        <w:tc>
          <w:tcPr>
            <w:tcW w:w="3151" w:type="dxa"/>
          </w:tcPr>
          <w:p w14:paraId="78F3BB4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1,34</w:t>
            </w:r>
          </w:p>
        </w:tc>
      </w:tr>
      <w:tr w:rsidR="005106D0" w:rsidRPr="007224C3" w14:paraId="6039294E" w14:textId="77777777">
        <w:tc>
          <w:tcPr>
            <w:tcW w:w="468" w:type="dxa"/>
          </w:tcPr>
          <w:p w14:paraId="6C1302F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w:t>
            </w:r>
          </w:p>
        </w:tc>
        <w:tc>
          <w:tcPr>
            <w:tcW w:w="2160" w:type="dxa"/>
          </w:tcPr>
          <w:p w14:paraId="30655DF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Площадь руля направления</w:t>
            </w:r>
          </w:p>
        </w:tc>
        <w:tc>
          <w:tcPr>
            <w:tcW w:w="2880" w:type="dxa"/>
          </w:tcPr>
          <w:p w14:paraId="3BD2115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0,898</w:t>
            </w:r>
          </w:p>
        </w:tc>
        <w:tc>
          <w:tcPr>
            <w:tcW w:w="3151" w:type="dxa"/>
          </w:tcPr>
          <w:p w14:paraId="04EF025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0,92</w:t>
            </w:r>
          </w:p>
        </w:tc>
      </w:tr>
      <w:tr w:rsidR="005106D0" w:rsidRPr="007224C3" w14:paraId="5CAB164D" w14:textId="77777777">
        <w:tc>
          <w:tcPr>
            <w:tcW w:w="468" w:type="dxa"/>
          </w:tcPr>
          <w:p w14:paraId="0BF2788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w:t>
            </w:r>
          </w:p>
        </w:tc>
        <w:tc>
          <w:tcPr>
            <w:tcW w:w="2160" w:type="dxa"/>
          </w:tcPr>
          <w:p w14:paraId="700732D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Полная длина самолета</w:t>
            </w:r>
          </w:p>
        </w:tc>
        <w:tc>
          <w:tcPr>
            <w:tcW w:w="2880" w:type="dxa"/>
          </w:tcPr>
          <w:p w14:paraId="5F36C48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8,31</w:t>
            </w:r>
          </w:p>
        </w:tc>
        <w:tc>
          <w:tcPr>
            <w:tcW w:w="3151" w:type="dxa"/>
          </w:tcPr>
          <w:p w14:paraId="531EB8F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8,67</w:t>
            </w:r>
          </w:p>
        </w:tc>
      </w:tr>
      <w:tr w:rsidR="005106D0" w:rsidRPr="007224C3" w14:paraId="1BACAD63" w14:textId="77777777">
        <w:tc>
          <w:tcPr>
            <w:tcW w:w="468" w:type="dxa"/>
          </w:tcPr>
          <w:p w14:paraId="2A836CC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w:t>
            </w:r>
          </w:p>
        </w:tc>
        <w:tc>
          <w:tcPr>
            <w:tcW w:w="2160" w:type="dxa"/>
          </w:tcPr>
          <w:p w14:paraId="0EEFE75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Диаметр капота м</w:t>
            </w:r>
          </w:p>
        </w:tc>
        <w:tc>
          <w:tcPr>
            <w:tcW w:w="2880" w:type="dxa"/>
          </w:tcPr>
          <w:p w14:paraId="248B4D3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1,395</w:t>
            </w:r>
          </w:p>
        </w:tc>
        <w:tc>
          <w:tcPr>
            <w:tcW w:w="3151" w:type="dxa"/>
          </w:tcPr>
          <w:p w14:paraId="0F1E624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1,285</w:t>
            </w:r>
          </w:p>
        </w:tc>
      </w:tr>
      <w:tr w:rsidR="005106D0" w:rsidRPr="007224C3" w14:paraId="45A334A6" w14:textId="77777777">
        <w:tc>
          <w:tcPr>
            <w:tcW w:w="468" w:type="dxa"/>
          </w:tcPr>
          <w:p w14:paraId="4A846AE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w:t>
            </w:r>
          </w:p>
        </w:tc>
        <w:tc>
          <w:tcPr>
            <w:tcW w:w="2160" w:type="dxa"/>
          </w:tcPr>
          <w:p w14:paraId="55062C1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 самолета</w:t>
            </w:r>
          </w:p>
        </w:tc>
        <w:tc>
          <w:tcPr>
            <w:tcW w:w="2880" w:type="dxa"/>
          </w:tcPr>
          <w:p w14:paraId="68D7023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3526</w:t>
            </w:r>
          </w:p>
        </w:tc>
        <w:tc>
          <w:tcPr>
            <w:tcW w:w="3151" w:type="dxa"/>
          </w:tcPr>
          <w:p w14:paraId="1B7DD6B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3290</w:t>
            </w:r>
          </w:p>
        </w:tc>
      </w:tr>
      <w:tr w:rsidR="005106D0" w:rsidRPr="007224C3" w14:paraId="37D5BF93" w14:textId="77777777">
        <w:tc>
          <w:tcPr>
            <w:tcW w:w="468" w:type="dxa"/>
          </w:tcPr>
          <w:p w14:paraId="21279C0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w:t>
            </w:r>
          </w:p>
        </w:tc>
        <w:tc>
          <w:tcPr>
            <w:tcW w:w="2160" w:type="dxa"/>
          </w:tcPr>
          <w:p w14:paraId="079A46B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Нагрузка на кв метр</w:t>
            </w:r>
          </w:p>
        </w:tc>
        <w:tc>
          <w:tcPr>
            <w:tcW w:w="2880" w:type="dxa"/>
          </w:tcPr>
          <w:p w14:paraId="449873F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200</w:t>
            </w:r>
          </w:p>
        </w:tc>
        <w:tc>
          <w:tcPr>
            <w:tcW w:w="3151" w:type="dxa"/>
          </w:tcPr>
          <w:p w14:paraId="27A674A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188</w:t>
            </w:r>
          </w:p>
        </w:tc>
      </w:tr>
      <w:tr w:rsidR="005106D0" w:rsidRPr="007224C3" w14:paraId="1CA9276F" w14:textId="77777777">
        <w:tc>
          <w:tcPr>
            <w:tcW w:w="468" w:type="dxa"/>
            <w:tcBorders>
              <w:bottom w:val="single" w:sz="12" w:space="0" w:color="auto"/>
            </w:tcBorders>
          </w:tcPr>
          <w:p w14:paraId="1E2337E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w:t>
            </w:r>
          </w:p>
        </w:tc>
        <w:tc>
          <w:tcPr>
            <w:tcW w:w="2160" w:type="dxa"/>
            <w:tcBorders>
              <w:bottom w:val="single" w:sz="12" w:space="0" w:color="auto"/>
            </w:tcBorders>
          </w:tcPr>
          <w:p w14:paraId="4823858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Нагрузка на л.с.</w:t>
            </w:r>
          </w:p>
        </w:tc>
        <w:tc>
          <w:tcPr>
            <w:tcW w:w="2880" w:type="dxa"/>
            <w:tcBorders>
              <w:bottom w:val="single" w:sz="12" w:space="0" w:color="auto"/>
            </w:tcBorders>
          </w:tcPr>
          <w:p w14:paraId="15C6A79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w:t>
            </w:r>
          </w:p>
        </w:tc>
        <w:tc>
          <w:tcPr>
            <w:tcW w:w="3151" w:type="dxa"/>
            <w:tcBorders>
              <w:bottom w:val="single" w:sz="12" w:space="0" w:color="auto"/>
            </w:tcBorders>
          </w:tcPr>
          <w:p w14:paraId="01184F5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2,24</w:t>
            </w:r>
          </w:p>
        </w:tc>
      </w:tr>
    </w:tbl>
    <w:p w14:paraId="205A8AD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(507).</w:t>
      </w:r>
    </w:p>
    <w:p w14:paraId="4C8D445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EF11E5" w14:textId="77777777" w:rsidR="009D0558" w:rsidRPr="007224C3" w:rsidRDefault="009D0558" w:rsidP="007224C3">
      <w:pPr>
        <w:shd w:val="clear" w:color="auto" w:fill="FFFFFF"/>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31 марта 1944 г. На</w:t>
      </w:r>
      <w:r w:rsidRPr="007224C3">
        <w:rPr>
          <w:rFonts w:ascii="Times New Roman" w:hAnsi="Times New Roman"/>
          <w:color w:val="0070C0"/>
          <w:sz w:val="16"/>
          <w:szCs w:val="16"/>
        </w:rPr>
        <w:softHyphen/>
        <w:t>чальник НИИ ВВС ге</w:t>
      </w:r>
      <w:r w:rsidRPr="007224C3">
        <w:rPr>
          <w:rFonts w:ascii="Times New Roman" w:hAnsi="Times New Roman"/>
          <w:color w:val="0070C0"/>
          <w:sz w:val="16"/>
          <w:szCs w:val="16"/>
        </w:rPr>
        <w:softHyphen/>
        <w:t>нерал-лейтенант Лосю</w:t>
      </w:r>
      <w:r w:rsidRPr="007224C3">
        <w:rPr>
          <w:rFonts w:ascii="Times New Roman" w:hAnsi="Times New Roman"/>
          <w:color w:val="0070C0"/>
          <w:sz w:val="16"/>
          <w:szCs w:val="16"/>
        </w:rPr>
        <w:softHyphen/>
        <w:t>ков направил письмо в Комитет по делам выс</w:t>
      </w:r>
      <w:r w:rsidRPr="007224C3">
        <w:rPr>
          <w:rFonts w:ascii="Times New Roman" w:hAnsi="Times New Roman"/>
          <w:color w:val="0070C0"/>
          <w:sz w:val="16"/>
          <w:szCs w:val="16"/>
        </w:rPr>
        <w:softHyphen/>
        <w:t>шей школы при СНК СССР, в котором сооб</w:t>
      </w:r>
      <w:r w:rsidRPr="007224C3">
        <w:rPr>
          <w:rFonts w:ascii="Times New Roman" w:hAnsi="Times New Roman"/>
          <w:color w:val="0070C0"/>
          <w:sz w:val="16"/>
          <w:szCs w:val="16"/>
        </w:rPr>
        <w:softHyphen/>
        <w:t>щил следующее:</w:t>
      </w:r>
    </w:p>
    <w:p w14:paraId="6B8E35DC" w14:textId="77777777" w:rsidR="009D0558" w:rsidRPr="007224C3" w:rsidRDefault="009D0558"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«Инженером Вахмистровым В.С. за период времени с 1931 года по 1941 г. проделана большая работа по раз</w:t>
      </w:r>
      <w:r w:rsidRPr="007224C3">
        <w:rPr>
          <w:rFonts w:ascii="Times New Roman" w:hAnsi="Times New Roman"/>
          <w:color w:val="0070C0"/>
          <w:sz w:val="16"/>
          <w:szCs w:val="16"/>
        </w:rPr>
        <w:softHyphen/>
        <w:t>работке, предложенной им идеи «соединенных самолетов».</w:t>
      </w:r>
    </w:p>
    <w:p w14:paraId="49B5378D" w14:textId="77777777" w:rsidR="009D0558" w:rsidRPr="007224C3" w:rsidRDefault="009D0558"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Будучи инженером НИИ ВВС КА, тов. Вахмистров в 1931 г. предложил установить на крыльях самолета ТБ-1 два са</w:t>
      </w:r>
      <w:r w:rsidRPr="007224C3">
        <w:rPr>
          <w:rFonts w:ascii="Times New Roman" w:hAnsi="Times New Roman"/>
          <w:color w:val="0070C0"/>
          <w:sz w:val="16"/>
          <w:szCs w:val="16"/>
        </w:rPr>
        <w:softHyphen/>
        <w:t>молета И-4. Обосновав свою идею теоретическими рас</w:t>
      </w:r>
      <w:r w:rsidRPr="007224C3">
        <w:rPr>
          <w:rFonts w:ascii="Times New Roman" w:hAnsi="Times New Roman"/>
          <w:color w:val="0070C0"/>
          <w:sz w:val="16"/>
          <w:szCs w:val="16"/>
        </w:rPr>
        <w:softHyphen/>
        <w:t>четами и наследованиями в аэродинамической трубе, тов. Вахмистров добился реализации своего предложения.</w:t>
      </w:r>
    </w:p>
    <w:p w14:paraId="4820F52A" w14:textId="77777777" w:rsidR="009D0558" w:rsidRPr="007224C3" w:rsidRDefault="009D0558"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Летные испытания полностью подтвердили все расчеты».</w:t>
      </w:r>
    </w:p>
    <w:p w14:paraId="336A170A" w14:textId="77777777" w:rsidR="009D0558" w:rsidRPr="007224C3" w:rsidRDefault="009D0558"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 последующих своих работах тов. Вахмистров продол</w:t>
      </w:r>
      <w:r w:rsidRPr="007224C3">
        <w:rPr>
          <w:rFonts w:ascii="Times New Roman" w:hAnsi="Times New Roman"/>
          <w:color w:val="0070C0"/>
          <w:sz w:val="16"/>
          <w:szCs w:val="16"/>
        </w:rPr>
        <w:softHyphen/>
        <w:t>жал развивать свою идею и осенью 1941 г. комбинация ТБ-3+2И-16 с бомбами ФАБ-250 была с большим эффек</w:t>
      </w:r>
      <w:r w:rsidRPr="007224C3">
        <w:rPr>
          <w:rFonts w:ascii="Times New Roman" w:hAnsi="Times New Roman"/>
          <w:color w:val="0070C0"/>
          <w:sz w:val="16"/>
          <w:szCs w:val="16"/>
        </w:rPr>
        <w:softHyphen/>
        <w:t>том применена на фронте против румынских захватчиков.</w:t>
      </w:r>
    </w:p>
    <w:p w14:paraId="080298C1" w14:textId="77777777" w:rsidR="009D0558" w:rsidRPr="007224C3" w:rsidRDefault="009D0558"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Исходя из вышеизложенного, НИИ ВВС КА ходатайству</w:t>
      </w:r>
      <w:r w:rsidRPr="007224C3">
        <w:rPr>
          <w:rFonts w:ascii="Times New Roman" w:hAnsi="Times New Roman"/>
          <w:color w:val="0070C0"/>
          <w:sz w:val="16"/>
          <w:szCs w:val="16"/>
        </w:rPr>
        <w:softHyphen/>
        <w:t>ет перед Комитетом по Делам Высшей Школы при СНК СССР о присвоении инженеру Вахмистрову Владимиру Сергеевичу ученой степени «Кандидата Технических Наук» без защиты диссертации» (20364).</w:t>
      </w:r>
    </w:p>
    <w:p w14:paraId="66AAC77A" w14:textId="77777777" w:rsidR="009D0558" w:rsidRPr="007224C3" w:rsidRDefault="009D0558" w:rsidP="007224C3">
      <w:pPr>
        <w:shd w:val="clear" w:color="auto" w:fill="FFFFFF"/>
        <w:spacing w:after="0" w:line="240" w:lineRule="auto"/>
        <w:jc w:val="both"/>
        <w:rPr>
          <w:rFonts w:ascii="Times New Roman" w:hAnsi="Times New Roman"/>
          <w:color w:val="0070C0"/>
          <w:sz w:val="16"/>
          <w:szCs w:val="16"/>
        </w:rPr>
      </w:pPr>
    </w:p>
    <w:p w14:paraId="6282B054"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4AB3610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E9E339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 марта 1944 вышло Постановление ГКО № 5514 Об обеспечении производства траков к танкам ИС и самоходным установкам ИСУ штамповками. РГАНИР, Фонд ГКО, д. 224, лл. 1 (11012).</w:t>
      </w:r>
    </w:p>
    <w:p w14:paraId="762D1C5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BA5073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 марта 1944 г. вышла ДИРЕКТИВА ЗАМЕСТИТЕЛЯ НАЧАЛЬНИКА ГШ КА О СФОРМИРОВАНИИ БРОНЕТАНКОВОГО РЕМОНТНОГО ЗАВОДА №Орг/3/307103</w:t>
      </w:r>
    </w:p>
    <w:p w14:paraId="4512286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Во исполнение Постановления ГОКО №5377сс от 12 марта 1944 г. к 20 апреля 1944 г. сфор</w:t>
      </w:r>
      <w:r w:rsidRPr="007224C3">
        <w:rPr>
          <w:rFonts w:ascii="Times New Roman" w:hAnsi="Times New Roman"/>
          <w:color w:val="000000" w:themeColor="text1"/>
          <w:sz w:val="16"/>
          <w:szCs w:val="16"/>
        </w:rPr>
        <w:softHyphen/>
        <w:t>мировать бронетанковый ремонтный завод по капитальному ремонту импортных танков по штату №010/140, численностью 500 человек военнослужащих.</w:t>
      </w:r>
    </w:p>
    <w:p w14:paraId="64A4374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Заводу присвоить № 137 и подчинить его начальнику Главного управления ремонта танков Красной Армии.</w:t>
      </w:r>
    </w:p>
    <w:p w14:paraId="0AE98C6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Место дислокации завода — г. Горький.</w:t>
      </w:r>
    </w:p>
    <w:p w14:paraId="3CBC8E6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Командующему войсками Московского военного округа обеспечить формируемый завод казарменным фондом и зачислить на все виды довольствия.</w:t>
      </w:r>
    </w:p>
    <w:p w14:paraId="28AF113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Начальникам главных управлений НКО укомплектовать формируемый завод личным соста</w:t>
      </w:r>
      <w:r w:rsidRPr="007224C3">
        <w:rPr>
          <w:rFonts w:ascii="Times New Roman" w:hAnsi="Times New Roman"/>
          <w:color w:val="000000" w:themeColor="text1"/>
          <w:sz w:val="16"/>
          <w:szCs w:val="16"/>
        </w:rPr>
        <w:softHyphen/>
        <w:t>вом, обеспечить матчастью, вооружением и всеми видами имущества, согласно штату и табелям. Исполнение прошу донести к 20 апреля 1944 г.</w:t>
      </w:r>
    </w:p>
    <w:p w14:paraId="5F33DC4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Заместитель начальника Генштаба КА генерал-лейтенант Карпоносов</w:t>
      </w:r>
    </w:p>
    <w:p w14:paraId="6397125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оргучетного управления генерал-лейтенант Четвериков</w:t>
      </w:r>
    </w:p>
    <w:p w14:paraId="35A89A4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41. Оп. 11584. Д. 553. Л. 62. Копия (11403).</w:t>
      </w:r>
    </w:p>
    <w:p w14:paraId="203398D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67B6464" w14:textId="77777777" w:rsidR="004F35D0"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 марта 1944 состоялась закладка 17-го МБК (10671). Балтийцы спустили на воду 13-й ТЩ типа МТ-1, заложили последние два ТЩ того же типа (10671).</w:t>
      </w:r>
    </w:p>
    <w:p w14:paraId="76C74CEE" w14:textId="77777777" w:rsidR="004F35D0" w:rsidRPr="007224C3" w:rsidRDefault="004F35D0" w:rsidP="007224C3">
      <w:pPr>
        <w:autoSpaceDE w:val="0"/>
        <w:autoSpaceDN w:val="0"/>
        <w:adjustRightInd w:val="0"/>
        <w:spacing w:after="0" w:line="240" w:lineRule="auto"/>
        <w:jc w:val="both"/>
        <w:rPr>
          <w:rFonts w:ascii="Times New Roman" w:hAnsi="Times New Roman"/>
          <w:color w:val="000000" w:themeColor="text1"/>
          <w:sz w:val="16"/>
          <w:szCs w:val="16"/>
        </w:rPr>
      </w:pPr>
    </w:p>
    <w:p w14:paraId="56DF495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31 марта 1944 г. вышел ПРИКАЗ НК ВМФ ОБ ОПРЕДЕЛЕНИИ КЛАССОВ КОРАБЛЕЙ И КАТЕРОВ, ИМЕЮЩИХ ОСНОВНЫМ НАЗНАЧЕНИЕМ БОРЬБУ С ПОДВОДНЫМИ ЛОДКАМИ ПРОТИВНИКА № 0235 </w:t>
      </w:r>
    </w:p>
    <w:p w14:paraId="4F0E34D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определения принадлежности кораблей и катеров, имеющих основным назначением борьбу с подводными лодками противника, к соответственным классам приказываю:</w:t>
      </w:r>
    </w:p>
    <w:p w14:paraId="6F0E4E4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Корабли, имеющие основной задачей поиск и уничтожение подводных лодок противника, вооруженные необходимыми для выполнения этой задачи боевыми средствами (УЗПН, большие глубинные бомбы, минометы, бомбометы и др.) и обладающие скоростью хода не менее 18 узлов, отнести к классу кораблей «Большие охотники за подводными лодками» (БО).</w:t>
      </w:r>
    </w:p>
    <w:p w14:paraId="12DE1E1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Катера, имеющие основной задачей поиск и уничтожение подводных лодок противника, вооруженные необходимыми для выполнения этой задачи боевыми средствами (УЗПН, большие глубинные бомбы и др.) и обладающие скоростью хода не менее 18 узлов, отнести к классу катеров «Малые охотники за подводными лодками» (МО).</w:t>
      </w:r>
    </w:p>
    <w:p w14:paraId="6E35FF0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В соответствии с вышеуказанным</w:t>
      </w:r>
    </w:p>
    <w:p w14:paraId="2886584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в класс кораблей «Большие охотники за подводными лодками» (БО) включить: корабли 3 ранга проекта 122, с наименованием типа этих кораблей - тип «БО-2», и 110 футовые корабли, приобретенные в США, с наименованием типа последних - тип «БО-1»;</w:t>
      </w:r>
    </w:p>
    <w:p w14:paraId="44F4C13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в класс катеров - «Малые охотники за подводными лодками» (МО) включить катера типов: «МО-2», «МО-4», «МО-6» (деревянные и стальные), «БМО», «ОД-200», «Д-3», удовлетворяющие требования п. 2 настоящего приказа;</w:t>
      </w:r>
    </w:p>
    <w:p w14:paraId="7CA4D0F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катера всех типов, не удовлетворяющие требованиям п. 2 настоящего приказа, включить в класс «Сторожевые катера» (СКА).</w:t>
      </w:r>
    </w:p>
    <w:p w14:paraId="59F07A5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В соответствии с п. 3 в действующие приказы и уставные документы внести необходимые изменения в объявленное моим приказом № 0686-43 г. Наставление по боевой деятельности катеров-истребителей подводных лодок» (НКИПЛ-43) впредь именовать - «Наставление по боевой деятельности охотников за подводными лодками» (НОПЛ-43).</w:t>
      </w:r>
    </w:p>
    <w:p w14:paraId="7992AF9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5. Начальнику Главного морского штаба разработать организацию соединений кораблей «Большие охотники за подводными лодками» (БО) и катеров «Малые охотники за подводными лодками» (МО). </w:t>
      </w:r>
    </w:p>
    <w:p w14:paraId="0B66954A" w14:textId="77777777" w:rsidR="00595BFB" w:rsidRPr="007224C3" w:rsidRDefault="00595BFB" w:rsidP="007224C3">
      <w:pPr>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Cs/>
          <w:color w:val="000000" w:themeColor="text1"/>
          <w:sz w:val="16"/>
          <w:szCs w:val="16"/>
        </w:rPr>
        <w:lastRenderedPageBreak/>
        <w:t>КУЗНЕЦОВ (11459).</w:t>
      </w:r>
    </w:p>
    <w:p w14:paraId="7979E72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4A60156"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Жизнь и внутренняя политика:</w:t>
      </w:r>
    </w:p>
    <w:p w14:paraId="7F8E1A6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996E8C9"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 марта 1944 нарком внутренних дел СССР Л. Берия подписал приказ о высылке в Красноярск членов семей боевиков украинских формирований ОУН и УПА (4962).</w:t>
      </w:r>
    </w:p>
    <w:p w14:paraId="7D6D3012"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0DA2690"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2C063E4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68EF239" w14:textId="77777777" w:rsidR="00C71B1D" w:rsidRPr="007224C3" w:rsidRDefault="00C71B1D"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31 марта</w:t>
      </w:r>
      <w:r w:rsidRPr="007224C3">
        <w:rPr>
          <w:rFonts w:ascii="Times New Roman" w:hAnsi="Times New Roman"/>
          <w:color w:val="000000" w:themeColor="text1"/>
          <w:sz w:val="16"/>
          <w:szCs w:val="16"/>
        </w:rPr>
        <w:t xml:space="preserve"> в 1944 году оперативная сводка Совинформбюро:</w:t>
      </w:r>
    </w:p>
    <w:p w14:paraId="34EF276F" w14:textId="77777777" w:rsidR="00C71B1D" w:rsidRPr="007224C3" w:rsidRDefault="00C71B1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31 марта войска 1-го Украинского фронта, продолжая наступление, овладели районным центром Каменец-Подольской области городом Дунаевцы — важным узлом дорог и сильно укреплённым опорным пунктом обороны немцев, а также с боями заняли населённые пункты Смотричёвка, Зеленчи, Чаньков, Залесцы, Панасовка, Воробеевка, Иванковцы, Дзержановка, Яцковецная Гута, Ксаверовка, Княжполь, Выхватневцы, Студеница, Демшин, Фурмановка, Врублевцы.</w:t>
      </w:r>
    </w:p>
    <w:p w14:paraId="55C8A60A" w14:textId="77777777" w:rsidR="00C71B1D" w:rsidRPr="007224C3" w:rsidRDefault="00C71B1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Южнее города Каменец-Подольск наши войска, наступающие между реками, Днестр и Прут, овладели населёнными пунктами Дарабаны, Каплевка, Данковцы, Белевцы, Кишласалиева, Мамалыга, Крива и железнодорожными станциями Крива, Мамалыга.</w:t>
      </w:r>
    </w:p>
    <w:p w14:paraId="0D96A9DF" w14:textId="77777777" w:rsidR="00C71B1D" w:rsidRPr="007224C3" w:rsidRDefault="00C71B1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Кишинёвском направлении наши войска с боями продвигались вперёд и заняли более 40 населённых пунктов, в том числе крупные населённые пункты Паркань, Шипотень, Пепени, Вадулека, Брынзени, Тыршицей, Сыркова, Царени, Выхватинцы, Зозуляны, Попенки, Кульна и железнодорожную станцию Шипотень, перерезав, таким образом, железную дорогу Кишинёв-Яссы.</w:t>
      </w:r>
    </w:p>
    <w:p w14:paraId="67FF9A7D" w14:textId="77777777" w:rsidR="00C71B1D" w:rsidRPr="007224C3" w:rsidRDefault="00C71B1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Тираспольском направлении наши войска, продолжая развивать наступление, овладели районными центрами Одесской области городом и крупной железнодорожной станцией Котовск, городом Ананьев, Андреево-Ивановка, а также с боями заняли более 100 других населённых пунктов, в том числе крупные населённые пункты Валярка, Елизаветовка, Гондрабура, Шелехово, Екатериновка, Покровка, Николаевка, Исаево, Островка, Ивановка, и железнодорожную станцию Чубовка.</w:t>
      </w:r>
    </w:p>
    <w:p w14:paraId="53D69C61" w14:textId="77777777" w:rsidR="00C71B1D" w:rsidRPr="007224C3" w:rsidRDefault="00C71B1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Одесском направлении наши войска, преследуя отступающего противника, овладели районным центром Одесской области городом и крупной железнодорожной станцией Берёзовка, районным центром Николаевской области Тилигуло-Березанка (Суворово), а также с боями заняли более 160 других населённых пунктов, среди которых крупные населённые пункты Стрюково, Шварцево, Петровка, Богорождественка, Оскаровка, Заводовка, Вормс, Рорбах, Основа, Игнатовка, Комиссаровка, Адамово, Андреевка и железнодорожные станции Колосовка, Калаглея.</w:t>
      </w:r>
    </w:p>
    <w:p w14:paraId="6B3A0F73" w14:textId="77777777" w:rsidR="00C71B1D" w:rsidRPr="007224C3" w:rsidRDefault="00C71B1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3-го Украинского фронта, развивая наступление, овладели крепостью игородом Очаков — важным опорным пунктом обороны немцев, запирающим вход в Днепровско-Бугский лиман.</w:t>
      </w:r>
    </w:p>
    <w:p w14:paraId="2D6FA34B" w14:textId="77777777" w:rsidR="00C71B1D" w:rsidRPr="007224C3" w:rsidRDefault="00C71B1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в ряде пунктов шли бои местного значения.</w:t>
      </w:r>
    </w:p>
    <w:p w14:paraId="2ED8391B" w14:textId="77777777" w:rsidR="00C71B1D" w:rsidRPr="007224C3" w:rsidRDefault="00C71B1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30 марта наши войска на всех фронтах подбили и уничтожили 29 немецких танков. В воздушных боях и огнём зенитной артиллерии сбито 35 самолётов противника.</w:t>
      </w:r>
    </w:p>
    <w:p w14:paraId="381397E0" w14:textId="77777777" w:rsidR="00C71B1D" w:rsidRPr="007224C3" w:rsidRDefault="00C71B1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1-го Украинского фронта продолжали успешное наступление. Ожесточённые бои происходили сегодня на подступах к районному центру Каменец-Подольской области городу Дунаевцы. Немцы стремились любой ценой удержать в своих руках этот опорный пункт и важный узел шоссейных дорог, дававший им возможность маневрировать своими силами. Бойцы Н-ского соединения сломили сопротивление противника и решительным ударом выбили немцев из города Дунаевцы. На поле боя осталось много вражеских трупов. Нашими войсками захвачено большое количество вооружения и военных материалов.</w:t>
      </w:r>
    </w:p>
    <w:p w14:paraId="62B648C3" w14:textId="77777777" w:rsidR="00C71B1D" w:rsidRPr="007224C3" w:rsidRDefault="00C71B1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бою за город Черновицы наши войска уничтожили более 1.500 гитлеровцев и взяли в плен 900 вражеских солдат и офицеров. Захвачены трофеи, в числе которых14 железнодорожных эшелонов и, кроме того, 312 вагонов и платформ с разнымигрузами, 12 крупных складов с продовольствием, вооружением и боеприпасами, несколько сот автомашин, а также много различного вооружения. В ходе боёв за Черновицы танкисты под командованием тов. Иванова внезапно ворвались на аэродром, на котором находилось 40 транспортных и боевых самолётов противника. Ни один немецкий самолёт не успел подняться в воздух. Часть вражеских самолётов танкисты уничтожили, а остальные захватили в исправном состоянии.</w:t>
      </w:r>
    </w:p>
    <w:p w14:paraId="06123942" w14:textId="77777777" w:rsidR="00C71B1D" w:rsidRPr="007224C3" w:rsidRDefault="00C71B1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Кишинёвском направлении наши войска вели наступательные бои. Части Н-ского соединения стремительным броском продвинулись вперёд и заняли железнодорожную станцию Шипотень. Таким образом, железная дорога Кишинёв-Яссы, имеющая большое значение для южной группировки немцев, перерезана советскими войсками. Части другого нашего соединения в последних боях уничтожили свыше 2 тысяч гитлеровцев. Преследуя отступающего противника, советские бойцы захватили 52 орудия, 34 миномёта, 35 бронетранспортёров и 300 автомашин. Взято в плен свыше 500 немецкихи румынских солдат и офицеров.</w:t>
      </w:r>
    </w:p>
    <w:p w14:paraId="042B5958" w14:textId="77777777" w:rsidR="00C71B1D" w:rsidRPr="007224C3" w:rsidRDefault="00C71B1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Одесском направлении наши войска, преследуя отступающего противника, наносят ему один удар за другим. Бойцы Н-ского соединения продвинулись вперёд на15 километров и овладели городом и крупной железнодорожной станцией Берёзовка. Другие советские части заняли районный центр Николаевской области Тилигуло-Березанка (Суворово) и более 160 других населённых пунктов. В одном районе несколько советских танков ворвались в крупный населённый пункт. Находившиеся в этом селе гитлеровцы, боясь окружения, в панике бежали, оставив 16 орудий, 100 автомашин, обоз с продовольствием и парк с переправочным имуществом. На железнодорожной станции Колосовка нашими бойцами захвачено 2 эшелона противника с военным имуществом.</w:t>
      </w:r>
    </w:p>
    <w:p w14:paraId="0E0F3992" w14:textId="77777777" w:rsidR="00C71B1D" w:rsidRPr="007224C3" w:rsidRDefault="00C71B1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3-го Украинского фронта продолжали успешное наступление. Части Н-ского соединения, совершив обходный манёвр, поставили под угрозу окружения немецкий гарнизон крепости и города Очаков. Одновременно десантная группа береговойобороны Черноморского флота с Кинбургской косы форсировала Днепро-Бугский лиман и ворвалась в Очаковский порт. В результате совместных действий с суши и с моря наши войска овладели крепостью и городом Очаков. Десантная группа Черноморского флота заняла также остров Первомайский. Таким образом, вход в Днепро-Бугский лиман полностью очищен от немецко-фашистских захватчиков.</w:t>
      </w:r>
    </w:p>
    <w:p w14:paraId="79205D25" w14:textId="77777777" w:rsidR="00C71B1D" w:rsidRPr="007224C3" w:rsidRDefault="00C71B1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Воздушная разведка авиации Краснознамённого Балтийского флота на рассвете обнаружила в Нарвском заливе группу кораблей противника. Советские бомбардировщики и штурмовики в сопровождении истребителей немедленно поднялись ввоздух и атаковали вражеские суда. Несмотря на сильный зенитный огонь, наши лётчики прорвались к цели и потопили два сторожевых корабля и два сторожевых катера противника. В воздушных боях наши лётчики сбили 6 немецких самолётов.</w:t>
      </w:r>
    </w:p>
    <w:p w14:paraId="69A23CBD" w14:textId="77777777" w:rsidR="00C71B1D" w:rsidRPr="007224C3" w:rsidRDefault="00C71B1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Немецкое командование создало в Крыму специальный штаб по борьбе с партизанами. Однако все попытки немецких военных властей ликвидировать партизанское движение потерпели полный провал. Деятельность партизан запоследнее время приняла ещё более широкий размах. Во второй половине марта крымские партизаны истребили до 400 немецких и румынских оккупантов. На станции Джанкой партизаны-подрывники взорвали железнодорожный состав с горючим.» (15085).</w:t>
      </w:r>
    </w:p>
    <w:p w14:paraId="100118DF" w14:textId="77777777" w:rsidR="00C71B1D" w:rsidRPr="007224C3" w:rsidRDefault="00C71B1D" w:rsidP="007224C3">
      <w:pPr>
        <w:spacing w:after="0" w:line="240" w:lineRule="auto"/>
        <w:jc w:val="both"/>
        <w:rPr>
          <w:rFonts w:ascii="Times New Roman" w:hAnsi="Times New Roman"/>
          <w:color w:val="000000" w:themeColor="text1"/>
          <w:sz w:val="16"/>
          <w:szCs w:val="16"/>
        </w:rPr>
      </w:pPr>
    </w:p>
    <w:p w14:paraId="1523E04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 марта 1944 с 15 до 16 час. несколько групп самолетов наносили удар по немецкой группировки, окруженной в районе Тернополя. Пб атаковали артиллерийские позиции на западе города, а ш - опорные позиции на северной и южной окраинах. Для отвлечения и за 15 минут до удара появились и. Наземные войска вошли в город сразу после авиаатаки (340,190).</w:t>
      </w:r>
    </w:p>
    <w:p w14:paraId="1C60DA2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9D6DB2"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14861E9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850EB15" w14:textId="77777777" w:rsidR="00C71B1D" w:rsidRPr="007224C3" w:rsidRDefault="00C71B1D"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31 марта</w:t>
      </w:r>
      <w:r w:rsidRPr="007224C3">
        <w:rPr>
          <w:rFonts w:ascii="Times New Roman" w:hAnsi="Times New Roman"/>
          <w:color w:val="000000" w:themeColor="text1"/>
          <w:sz w:val="16"/>
          <w:szCs w:val="16"/>
        </w:rPr>
        <w:t xml:space="preserve"> в 1944 году первый полёт бомбардировщика-штурмовика </w:t>
      </w:r>
      <w:hyperlink r:id="rId92" w:tgtFrame="_blank" w:history="1">
        <w:r w:rsidRPr="007224C3">
          <w:rPr>
            <w:rFonts w:ascii="Times New Roman" w:hAnsi="Times New Roman"/>
            <w:color w:val="000000" w:themeColor="text1"/>
            <w:sz w:val="16"/>
            <w:szCs w:val="16"/>
          </w:rPr>
          <w:t xml:space="preserve">«NA-98X» </w:t>
        </w:r>
      </w:hyperlink>
      <w:r w:rsidRPr="007224C3">
        <w:rPr>
          <w:rFonts w:ascii="Times New Roman" w:hAnsi="Times New Roman"/>
          <w:color w:val="000000" w:themeColor="text1"/>
          <w:sz w:val="16"/>
          <w:szCs w:val="16"/>
        </w:rPr>
        <w:t>(разработчик: «North American», США). Планировалось два варианта самолета - бомбардировщик и бомбардировочно-штурмовой самолёт "Super Strafer". Второй вариант должен был нести восемь 12.7-мм пулемётов в носу (400 выстрелов на ствол), еще два пулемёта в верхней турели (400 выстрелов на ствол), два в хвосте (600 выстрелов на ствол, а также два в бортах (200 выстрелов на ствол). В качестве альтернативы предусматривалась возможность установить четыре пулемёта в бортах носовой части фюзеляжа - итого 18 крупнокалиберных пулемётов. На прототипе также сохранили 75-мм пушку. У бомбардировочного варианта был остекленный нос с двумя неподвижными и одним наводимым пулемётом (300 выстрелов на ствол). Оказалось, что самолёт развивает большую максимальную скорость и отличается лучшей динамикой, устойчивее держит курс и испытывает меньшие вибрации. На полном форсаже самолёт мог набрать высоту 3050 м за 4,9 минут, максимальная скорость на уровне моря 527 км/ч. Максимальная скорость 563 км/ч представляла собой огромный скачок вперед по сравнению с 447 км/ч у «B-25G». Однако в ходе пробных полётов мощность двигателей ограничили, при этом скорость самолёта составила 547 км/ч. После аварии дальнейшие работы над «NA-98X» прекратили (15085).</w:t>
      </w:r>
    </w:p>
    <w:p w14:paraId="53578F78" w14:textId="77777777" w:rsidR="00C71B1D" w:rsidRPr="007224C3" w:rsidRDefault="00C71B1D" w:rsidP="007224C3">
      <w:pPr>
        <w:spacing w:after="0" w:line="240" w:lineRule="auto"/>
        <w:jc w:val="both"/>
        <w:rPr>
          <w:rFonts w:ascii="Times New Roman" w:hAnsi="Times New Roman"/>
          <w:color w:val="000000" w:themeColor="text1"/>
          <w:sz w:val="16"/>
          <w:szCs w:val="16"/>
        </w:rPr>
      </w:pPr>
    </w:p>
    <w:p w14:paraId="6127DEC2"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 марта 1944 в Девоне (Англия) в условиях, приближенных к условиям Нормандии, проведена репетиция высадки войск союзников во Франции, закончившаяся полным провалом (4962).</w:t>
      </w:r>
    </w:p>
    <w:p w14:paraId="5199B575"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0D32272"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 марта 1944 в Тихом океане в авиакатастрофе погиб командующий японским флотом адмирал Минеиши Кога (4962).</w:t>
      </w:r>
    </w:p>
    <w:p w14:paraId="0EDD3A32"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F5C29AD" w14:textId="77777777" w:rsidR="009D0558" w:rsidRPr="007224C3" w:rsidRDefault="009D0558"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31 марта 1944 летающая лодка адмирала Кога, Минэити, главнокомандующего Императорского японского флота исчезает после взлета с Бабелтуапа; никаких обломков или тел не найдено. Вторая летающая лодка, на борту которой находился контр-адмирал Сигеру Фукудоме из штаба Коги, совершившая такой же полет, потерпела крушение во время шторма; Фукудоме проводит две недели в руках туземцев на Себу, прежде чем его спасают (29373).</w:t>
      </w:r>
    </w:p>
    <w:p w14:paraId="5DB780D4" w14:textId="77777777" w:rsidR="009D0558" w:rsidRPr="007224C3" w:rsidRDefault="009D0558" w:rsidP="007224C3">
      <w:pPr>
        <w:spacing w:after="0" w:line="240" w:lineRule="auto"/>
        <w:jc w:val="both"/>
        <w:rPr>
          <w:rFonts w:ascii="Times New Roman" w:hAnsi="Times New Roman"/>
          <w:color w:val="0070C0"/>
          <w:sz w:val="16"/>
          <w:szCs w:val="16"/>
        </w:rPr>
      </w:pPr>
    </w:p>
    <w:p w14:paraId="580E4E47"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37DDE9E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762791D" w14:textId="77777777" w:rsidR="00E23482" w:rsidRPr="007224C3" w:rsidRDefault="00E23482" w:rsidP="007224C3">
      <w:pPr>
        <w:pStyle w:val="ae"/>
        <w:shd w:val="clear" w:color="auto" w:fill="FFFFFF"/>
        <w:spacing w:before="0" w:after="0"/>
        <w:jc w:val="both"/>
        <w:textAlignment w:val="baseline"/>
        <w:rPr>
          <w:color w:val="000000" w:themeColor="text1"/>
          <w:sz w:val="16"/>
          <w:szCs w:val="16"/>
        </w:rPr>
      </w:pPr>
      <w:r w:rsidRPr="007224C3">
        <w:rPr>
          <w:color w:val="000000" w:themeColor="text1"/>
          <w:sz w:val="16"/>
          <w:szCs w:val="16"/>
        </w:rPr>
        <w:t>В конце марта 1944 года ОКБ завода №100 под руководством Н.Ф. Шашмурина разработало проект глубокой модернизации Ис-2 с кормовым расположением боевого отделения. Параллельно, судя по эскизам, предполагалось создание на той же базе и самоходной артиллерийской установки с кормовым расположением боевого отделения. По ряду причин дальше проекты не продвинулись, но уже летом 1944 года эстафета перешла к УЗТМ (19525).</w:t>
      </w:r>
    </w:p>
    <w:p w14:paraId="77CD2A98" w14:textId="77777777" w:rsidR="00E23482" w:rsidRPr="007224C3" w:rsidRDefault="00E23482" w:rsidP="007224C3">
      <w:pPr>
        <w:pStyle w:val="ae"/>
        <w:shd w:val="clear" w:color="auto" w:fill="FFFFFF"/>
        <w:spacing w:before="0" w:after="0"/>
        <w:jc w:val="both"/>
        <w:textAlignment w:val="baseline"/>
        <w:rPr>
          <w:color w:val="000000" w:themeColor="text1"/>
          <w:sz w:val="16"/>
          <w:szCs w:val="16"/>
        </w:rPr>
      </w:pPr>
    </w:p>
    <w:p w14:paraId="14E7F9F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конце марта 1944 третий изготовленный образец Т-44 был перевооружен новой 85-мм пушкой С-53 вместо Д-25-44. Мартовские испытания его вооружения увенчались успе</w:t>
      </w:r>
      <w:r w:rsidRPr="007224C3">
        <w:rPr>
          <w:rFonts w:ascii="Times New Roman" w:hAnsi="Times New Roman"/>
          <w:color w:val="000000" w:themeColor="text1"/>
          <w:sz w:val="16"/>
          <w:szCs w:val="16"/>
        </w:rPr>
        <w:softHyphen/>
        <w:t>хом, но неожиданно сломался двигатель и государственные испытания Т-44 вновь были отложены.</w:t>
      </w:r>
    </w:p>
    <w:p w14:paraId="226E20A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Вопреки сложившемуся мнению, что Т-44 стал разви</w:t>
      </w:r>
      <w:r w:rsidRPr="007224C3">
        <w:rPr>
          <w:rFonts w:ascii="Times New Roman" w:hAnsi="Times New Roman"/>
          <w:color w:val="000000" w:themeColor="text1"/>
          <w:sz w:val="16"/>
          <w:szCs w:val="16"/>
        </w:rPr>
        <w:softHyphen/>
        <w:t>тием, своеобразным улучшением Т-34, новый танк являл собой машину абсолютно нового типа, на что неоднократ</w:t>
      </w:r>
      <w:r w:rsidRPr="007224C3">
        <w:rPr>
          <w:rFonts w:ascii="Times New Roman" w:hAnsi="Times New Roman"/>
          <w:color w:val="000000" w:themeColor="text1"/>
          <w:sz w:val="16"/>
          <w:szCs w:val="16"/>
        </w:rPr>
        <w:softHyphen/>
        <w:t>но обращал внимание А. Морозов.</w:t>
      </w:r>
    </w:p>
    <w:p w14:paraId="75E6591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техническом описании 1944 г. сказано, что Т-44 — «талстобронный скоростной маневренный танк принципиаль</w:t>
      </w:r>
      <w:r w:rsidRPr="007224C3">
        <w:rPr>
          <w:rFonts w:ascii="Times New Roman" w:hAnsi="Times New Roman"/>
          <w:color w:val="000000" w:themeColor="text1"/>
          <w:sz w:val="16"/>
          <w:szCs w:val="16"/>
        </w:rPr>
        <w:softHyphen/>
        <w:t>но нового типа с мощным артиллерийским вооружением».</w:t>
      </w:r>
    </w:p>
    <w:p w14:paraId="20F3AAD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Пресловутую «принципиальную новизну типа» танка А. Морозов постоянно подчеркивал во всех документах того периода. И это было оправданно, так как по массе танк был средним, а по вооружению и бронированию представлял со</w:t>
      </w:r>
      <w:r w:rsidRPr="007224C3">
        <w:rPr>
          <w:rFonts w:ascii="Times New Roman" w:hAnsi="Times New Roman"/>
          <w:color w:val="000000" w:themeColor="text1"/>
          <w:sz w:val="16"/>
          <w:szCs w:val="16"/>
        </w:rPr>
        <w:softHyphen/>
        <w:t>бой эквивалент тяжелых боевых машин того времени.</w:t>
      </w:r>
    </w:p>
    <w:p w14:paraId="3EED762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Корпус</w:t>
      </w:r>
      <w:r w:rsidRPr="007224C3">
        <w:rPr>
          <w:rFonts w:ascii="Times New Roman" w:hAnsi="Times New Roman"/>
          <w:b/>
          <w:bCs/>
          <w:color w:val="000000" w:themeColor="text1"/>
          <w:sz w:val="16"/>
          <w:szCs w:val="16"/>
        </w:rPr>
        <w:t xml:space="preserve"> </w:t>
      </w:r>
      <w:r w:rsidRPr="007224C3">
        <w:rPr>
          <w:rFonts w:ascii="Times New Roman" w:hAnsi="Times New Roman"/>
          <w:color w:val="000000" w:themeColor="text1"/>
          <w:sz w:val="16"/>
          <w:szCs w:val="16"/>
        </w:rPr>
        <w:t>танка собирался сваркой из катаных броневых листов высокой твердости. Ширина корпуса была выбрана из расчета установки башни с кругом обслуживания 1800 мм. Длина корпуса была почти аналогичной длине корпуса Т-34, а.высота была максимально сокращена и составляла всего 830 мм в передней части и 965 мм в кормовой.</w:t>
      </w:r>
    </w:p>
    <w:p w14:paraId="36D9DE8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Носовая часть корпуса состояла из двух броневых листов толщиной 75 мм, причем верхний лист был установлен под углом 60°. Борта и корма танка собирались из броневых лис</w:t>
      </w:r>
      <w:r w:rsidRPr="007224C3">
        <w:rPr>
          <w:rFonts w:ascii="Times New Roman" w:hAnsi="Times New Roman"/>
          <w:color w:val="000000" w:themeColor="text1"/>
          <w:sz w:val="16"/>
          <w:szCs w:val="16"/>
        </w:rPr>
        <w:softHyphen/>
        <w:t>тов толщиной 45 мм. В верхней, наиболее поражаемой части бортов, они были усилены наваркой 30-мм экранов. Крыша и передняя часть днища имели толщину 20 мм.</w:t>
      </w:r>
    </w:p>
    <w:p w14:paraId="5F39C0C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Боевое отделение танка отгораживалось от моторно-трансмиссионного перегородкой, состоящей из двух отсеков для топливных баков, причем задняя стенка отсеков явля</w:t>
      </w:r>
      <w:r w:rsidRPr="007224C3">
        <w:rPr>
          <w:rFonts w:ascii="Times New Roman" w:hAnsi="Times New Roman"/>
          <w:color w:val="000000" w:themeColor="text1"/>
          <w:sz w:val="16"/>
          <w:szCs w:val="16"/>
        </w:rPr>
        <w:softHyphen/>
        <w:t>лась одновременно стойкой подмоторного фундамента.</w:t>
      </w:r>
    </w:p>
    <w:p w14:paraId="45A5317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Крыша корпуса в его передней части приваривалась к корпусу, а крыша моторно-трансмиссионного отделения вы</w:t>
      </w:r>
      <w:r w:rsidRPr="007224C3">
        <w:rPr>
          <w:rFonts w:ascii="Times New Roman" w:hAnsi="Times New Roman"/>
          <w:color w:val="000000" w:themeColor="text1"/>
          <w:sz w:val="16"/>
          <w:szCs w:val="16"/>
        </w:rPr>
        <w:softHyphen/>
        <w:t>полнялась съемной. В верхнем носовом листе крыши предсерийных машин слева было вварено литое основание башен</w:t>
      </w:r>
      <w:r w:rsidRPr="007224C3">
        <w:rPr>
          <w:rFonts w:ascii="Times New Roman" w:hAnsi="Times New Roman"/>
          <w:color w:val="000000" w:themeColor="text1"/>
          <w:sz w:val="16"/>
          <w:szCs w:val="16"/>
        </w:rPr>
        <w:softHyphen/>
        <w:t>ки механика-водителя, в котором спереди монтировался смотровой люк-пробка, а сверху — люк-лаз. Крышка люка-пробки имела толщину 90 мм и могла открываться на петлях вперед-вверх. При закрытом люке-пробке механик-водитель мог вести наблюдение за полем боя через перископ, смонти</w:t>
      </w:r>
      <w:r w:rsidRPr="007224C3">
        <w:rPr>
          <w:rFonts w:ascii="Times New Roman" w:hAnsi="Times New Roman"/>
          <w:color w:val="000000" w:themeColor="text1"/>
          <w:sz w:val="16"/>
          <w:szCs w:val="16"/>
        </w:rPr>
        <w:softHyphen/>
        <w:t>рованный во вращающемся основании люка-лаза.</w:t>
      </w:r>
    </w:p>
    <w:p w14:paraId="6D676B4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Башня Т-44, разработанная сначала, была довольно оригинальна. Ее корпус состоял из литой носовой части, ли</w:t>
      </w:r>
      <w:r w:rsidRPr="007224C3">
        <w:rPr>
          <w:rFonts w:ascii="Times New Roman" w:hAnsi="Times New Roman"/>
          <w:color w:val="000000" w:themeColor="text1"/>
          <w:sz w:val="16"/>
          <w:szCs w:val="16"/>
        </w:rPr>
        <w:softHyphen/>
        <w:t>той башенной ниши, соединенных вварными бортовыми вставками из катаной брони и приварной крышей. Такая конструкция была продиктована тем, что до начала 1945 г. отечественные литые башни были довольно хрупкими, осо</w:t>
      </w:r>
      <w:r w:rsidRPr="007224C3">
        <w:rPr>
          <w:rFonts w:ascii="Times New Roman" w:hAnsi="Times New Roman"/>
          <w:color w:val="000000" w:themeColor="text1"/>
          <w:sz w:val="16"/>
          <w:szCs w:val="16"/>
        </w:rPr>
        <w:softHyphen/>
        <w:t>бенно в бортовой части. Наличие вставок из катаной брони толщиной 75 мм должно было повысить сопротивляемость Ц башни при ее обстреле бронебойными снарядами. Лобовая «часть башни имела толщину 90 мм, а кормовая - 70-75 мм.</w:t>
      </w:r>
    </w:p>
    <w:p w14:paraId="338BAD2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Однако массовое производство таких составных башен было сочтено нецелесообразным, и уже в марте 1943 г. было принято решение о разработке цельнолитых башен Т-44.</w:t>
      </w:r>
    </w:p>
    <w:p w14:paraId="107F99A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Башня устанавливалась на погоне диаметром 1800 мм с шариковой беговой дорожкой. На крыше башни размещались два люка-лаза, один из которых стоял в крыше командирской башенки. Командирский люк имел вращающуюся крышу с одностворчатой крышкой. В задней части крыши располагался вентилятор боевого отделения.</w:t>
      </w:r>
    </w:p>
    <w:p w14:paraId="0A364A4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Вооружение танка Т-44 должно было стать очень мощ</w:t>
      </w:r>
      <w:r w:rsidRPr="007224C3">
        <w:rPr>
          <w:rFonts w:ascii="Times New Roman" w:hAnsi="Times New Roman"/>
          <w:color w:val="000000" w:themeColor="text1"/>
          <w:sz w:val="16"/>
          <w:szCs w:val="16"/>
        </w:rPr>
        <w:softHyphen/>
        <w:t>ным. Оно предусматривалось из 85-мм пушки Д-5Т для линейных танков и 122-мм пушки Д-25Т для танков ар</w:t>
      </w:r>
      <w:r w:rsidRPr="007224C3">
        <w:rPr>
          <w:rFonts w:ascii="Times New Roman" w:hAnsi="Times New Roman"/>
          <w:color w:val="000000" w:themeColor="text1"/>
          <w:sz w:val="16"/>
          <w:szCs w:val="16"/>
        </w:rPr>
        <w:softHyphen/>
        <w:t>тиллерийского усиления. Но если 85-мм пушка ничем не отличалась от своих собратьев, «прописавшихся» в танках К.В-85, ИС-85 и первой серии Т-34-85, то вторая была до</w:t>
      </w:r>
      <w:r w:rsidRPr="007224C3">
        <w:rPr>
          <w:rFonts w:ascii="Times New Roman" w:hAnsi="Times New Roman"/>
          <w:color w:val="000000" w:themeColor="text1"/>
          <w:sz w:val="16"/>
          <w:szCs w:val="16"/>
        </w:rPr>
        <w:softHyphen/>
        <w:t>вольно оригинальна. От орудия Д-25-Т, установленного в ИС-122, пушка отличалась, во-первых, унитарным (или полуунитарным) выстрелом, во-вторых, немного умень</w:t>
      </w:r>
      <w:r w:rsidRPr="007224C3">
        <w:rPr>
          <w:rFonts w:ascii="Times New Roman" w:hAnsi="Times New Roman"/>
          <w:color w:val="000000" w:themeColor="text1"/>
          <w:sz w:val="16"/>
          <w:szCs w:val="16"/>
        </w:rPr>
        <w:softHyphen/>
        <w:t>шенной длиной ствола и, в-третьих, уменьшенным на 2,3—3,2% пороховым зарядом. Правда, уже первые испы</w:t>
      </w:r>
      <w:r w:rsidRPr="007224C3">
        <w:rPr>
          <w:rFonts w:ascii="Times New Roman" w:hAnsi="Times New Roman"/>
          <w:color w:val="000000" w:themeColor="text1"/>
          <w:sz w:val="16"/>
          <w:szCs w:val="16"/>
        </w:rPr>
        <w:softHyphen/>
        <w:t>тания орудий вызвали легкий шок. Не говоря уже о запре</w:t>
      </w:r>
      <w:r w:rsidRPr="007224C3">
        <w:rPr>
          <w:rFonts w:ascii="Times New Roman" w:hAnsi="Times New Roman"/>
          <w:color w:val="000000" w:themeColor="text1"/>
          <w:sz w:val="16"/>
          <w:szCs w:val="16"/>
        </w:rPr>
        <w:softHyphen/>
        <w:t>дельной массе унитарного выстрела Д-25Т-44, заряжать указанную пушку в Т-44, ввиду ее низкой посадки и не</w:t>
      </w:r>
      <w:r w:rsidRPr="007224C3">
        <w:rPr>
          <w:rFonts w:ascii="Times New Roman" w:hAnsi="Times New Roman"/>
          <w:color w:val="000000" w:themeColor="text1"/>
          <w:sz w:val="16"/>
          <w:szCs w:val="16"/>
        </w:rPr>
        <w:softHyphen/>
        <w:t>достаточного «заднего отрезка» даже в башне с кругом обслуживания 1800 мм оказалось крайне затруднитель</w:t>
      </w:r>
      <w:r w:rsidRPr="007224C3">
        <w:rPr>
          <w:rFonts w:ascii="Times New Roman" w:hAnsi="Times New Roman"/>
          <w:color w:val="000000" w:themeColor="text1"/>
          <w:sz w:val="16"/>
          <w:szCs w:val="16"/>
        </w:rPr>
        <w:softHyphen/>
        <w:t>ным. Переход же к раздельному заряжанию резко снижал скорострельность, которая составила на опробовании не свыше 1 выстр./мин.</w:t>
      </w:r>
    </w:p>
    <w:p w14:paraId="5FCC388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Т-44 была проведена модернизация механизмов управления огнем. Танк получил все новейшие достиже</w:t>
      </w:r>
      <w:r w:rsidRPr="007224C3">
        <w:rPr>
          <w:rFonts w:ascii="Times New Roman" w:hAnsi="Times New Roman"/>
          <w:color w:val="000000" w:themeColor="text1"/>
          <w:sz w:val="16"/>
          <w:szCs w:val="16"/>
        </w:rPr>
        <w:softHyphen/>
        <w:t>ния в данной области - ломающийся прицел, кнопочный анектроспуск орудия и пулемета, объединенное управле</w:t>
      </w:r>
      <w:r w:rsidRPr="007224C3">
        <w:rPr>
          <w:rFonts w:ascii="Times New Roman" w:hAnsi="Times New Roman"/>
          <w:color w:val="000000" w:themeColor="text1"/>
          <w:sz w:val="16"/>
          <w:szCs w:val="16"/>
        </w:rPr>
        <w:softHyphen/>
        <w:t>ние ручным и моторным приводом поворота башни. Все эти нововведения, будучи отлаженными на Т-44, позже были внедрены также и на Т-34-85.</w:t>
      </w:r>
    </w:p>
    <w:p w14:paraId="38A11F0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Поворотный механизм башни управлялся от рукояти ручного поворотного механизма, что позволяло перейти с ручного на моторный привод башни, не отрывая руки от рукоятки поворотного механизма.</w:t>
      </w:r>
    </w:p>
    <w:p w14:paraId="1830522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Большая часть боеукладки танка (44 выстрела) распола</w:t>
      </w:r>
      <w:r w:rsidRPr="007224C3">
        <w:rPr>
          <w:rFonts w:ascii="Times New Roman" w:hAnsi="Times New Roman"/>
          <w:color w:val="000000" w:themeColor="text1"/>
          <w:sz w:val="16"/>
          <w:szCs w:val="16"/>
        </w:rPr>
        <w:softHyphen/>
        <w:t>галась в специальном стеллаже, установленном на месте, освободившемся от удаленного стрелка-радиста. Еще 16 вы</w:t>
      </w:r>
      <w:r w:rsidRPr="007224C3">
        <w:rPr>
          <w:rFonts w:ascii="Times New Roman" w:hAnsi="Times New Roman"/>
          <w:color w:val="000000" w:themeColor="text1"/>
          <w:sz w:val="16"/>
          <w:szCs w:val="16"/>
        </w:rPr>
        <w:softHyphen/>
        <w:t>стрелов было размещено в башне (12 — в кормовой нише, 4 — на правом борту), а последние пять (у левого борта кор</w:t>
      </w:r>
      <w:r w:rsidRPr="007224C3">
        <w:rPr>
          <w:rFonts w:ascii="Times New Roman" w:hAnsi="Times New Roman"/>
          <w:color w:val="000000" w:themeColor="text1"/>
          <w:sz w:val="16"/>
          <w:szCs w:val="16"/>
        </w:rPr>
        <w:softHyphen/>
        <w:t>пуса. Магазины к пулемету находились также в корпусе (11135).</w:t>
      </w:r>
    </w:p>
    <w:p w14:paraId="10CC1FE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1F16958"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256308D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3562E7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 второй половине марта 1944 в полк “Нормандия” прибыла еще одна группа летчиков-истребителей под командо</w:t>
      </w:r>
      <w:r w:rsidRPr="007224C3">
        <w:rPr>
          <w:rFonts w:ascii="Times New Roman" w:hAnsi="Times New Roman"/>
          <w:color w:val="000000" w:themeColor="text1"/>
          <w:sz w:val="16"/>
          <w:szCs w:val="16"/>
        </w:rPr>
        <w:softHyphen/>
        <w:t>ванием капитана Дельфино. Она долж</w:t>
      </w:r>
      <w:r w:rsidRPr="007224C3">
        <w:rPr>
          <w:rFonts w:ascii="Times New Roman" w:hAnsi="Times New Roman"/>
          <w:color w:val="000000" w:themeColor="text1"/>
          <w:sz w:val="16"/>
          <w:szCs w:val="16"/>
        </w:rPr>
        <w:softHyphen/>
        <w:t>на была составить основу второго ис</w:t>
      </w:r>
      <w:r w:rsidRPr="007224C3">
        <w:rPr>
          <w:rFonts w:ascii="Times New Roman" w:hAnsi="Times New Roman"/>
          <w:color w:val="000000" w:themeColor="text1"/>
          <w:sz w:val="16"/>
          <w:szCs w:val="16"/>
        </w:rPr>
        <w:softHyphen/>
        <w:t>требительного авиаполка “Париж”, ко</w:t>
      </w:r>
      <w:r w:rsidRPr="007224C3">
        <w:rPr>
          <w:rFonts w:ascii="Times New Roman" w:hAnsi="Times New Roman"/>
          <w:color w:val="000000" w:themeColor="text1"/>
          <w:sz w:val="16"/>
          <w:szCs w:val="16"/>
        </w:rPr>
        <w:softHyphen/>
        <w:t>торый предполагалось сформировать в 1944 г. Однако из-за отсутствия доста</w:t>
      </w:r>
      <w:r w:rsidRPr="007224C3">
        <w:rPr>
          <w:rFonts w:ascii="Times New Roman" w:hAnsi="Times New Roman"/>
          <w:color w:val="000000" w:themeColor="text1"/>
          <w:sz w:val="16"/>
          <w:szCs w:val="16"/>
        </w:rPr>
        <w:softHyphen/>
        <w:t>точного числа пилотов формирование его было временно отложено, и все прибывшие вошли в состав “Нормандии” (3956).</w:t>
      </w:r>
    </w:p>
    <w:p w14:paraId="7C4080D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9B7F23"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5569430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23DFB5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марте 1944 г. конструкторы ОКБ Ильюшина предприняли очередную попытку повысить оборонительные возможности Ил-2. На заводе № 30 построили Ил-2 с задней оборонительной установ</w:t>
      </w:r>
      <w:r w:rsidRPr="007224C3">
        <w:rPr>
          <w:rFonts w:ascii="Times New Roman" w:hAnsi="Times New Roman"/>
          <w:color w:val="000000" w:themeColor="text1"/>
          <w:sz w:val="16"/>
          <w:szCs w:val="16"/>
        </w:rPr>
        <w:softHyphen/>
        <w:t>кой УБШ конструкции КБ завода № 487 наркомата вооружений под пулемет УБТ. Главный конструктор установки УБШ И.П. Ше-банов. Боекомплект пулемета состоял из 4 магазинов по 50 патро</w:t>
      </w:r>
      <w:r w:rsidRPr="007224C3">
        <w:rPr>
          <w:rFonts w:ascii="Times New Roman" w:hAnsi="Times New Roman"/>
          <w:color w:val="000000" w:themeColor="text1"/>
          <w:sz w:val="16"/>
          <w:szCs w:val="16"/>
        </w:rPr>
        <w:softHyphen/>
        <w:t>нов. Угол вертикального наведения установки УБШ составлял вверх +57°, вниз с бортов 8° вправо и 2° влево; угол горизонтально</w:t>
      </w:r>
      <w:r w:rsidRPr="007224C3">
        <w:rPr>
          <w:rFonts w:ascii="Times New Roman" w:hAnsi="Times New Roman"/>
          <w:color w:val="000000" w:themeColor="text1"/>
          <w:sz w:val="16"/>
          <w:szCs w:val="16"/>
        </w:rPr>
        <w:softHyphen/>
        <w:t>го наведения влево 45°, вправо 32°. Но испытания показали, что Ил-2 с УБШ не имеет явных пре</w:t>
      </w:r>
      <w:r w:rsidRPr="007224C3">
        <w:rPr>
          <w:rFonts w:ascii="Times New Roman" w:hAnsi="Times New Roman"/>
          <w:color w:val="000000" w:themeColor="text1"/>
          <w:sz w:val="16"/>
          <w:szCs w:val="16"/>
        </w:rPr>
        <w:softHyphen/>
        <w:t>имуществ перед уже состоящими на вооружении Ил-2 с ВУБ-3 и не повышает обороноспособности Ил-2 со стороны верхней задней полусферы. К этому времени уже стало ясно, что для обороны этой полусферы необходимы 20-мм авиапушки. Поэтому от внедрения в серийное производство Ил-2 с турелью УБШ отказались, а заводу № 487 рекомендовали установить на Ил-2 20-мм авиапушку Бере</w:t>
      </w:r>
      <w:r w:rsidRPr="007224C3">
        <w:rPr>
          <w:rFonts w:ascii="Times New Roman" w:hAnsi="Times New Roman"/>
          <w:color w:val="000000" w:themeColor="text1"/>
          <w:sz w:val="16"/>
          <w:szCs w:val="16"/>
        </w:rPr>
        <w:softHyphen/>
        <w:t>зина УБ-20 и предъявить турель на повторные испытания.(10695).</w:t>
      </w:r>
    </w:p>
    <w:p w14:paraId="5EDF826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F9BA9A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марте 1944 г. ОКБ С.В.Ильюшина была сделана очередная попытка повысить оборонительные воз</w:t>
      </w:r>
      <w:r w:rsidRPr="007224C3">
        <w:rPr>
          <w:rFonts w:ascii="Times New Roman" w:hAnsi="Times New Roman"/>
          <w:color w:val="000000" w:themeColor="text1"/>
          <w:sz w:val="16"/>
          <w:szCs w:val="16"/>
        </w:rPr>
        <w:softHyphen/>
        <w:t>можности Ил-2. Заводом № 30 был по</w:t>
      </w:r>
      <w:r w:rsidRPr="007224C3">
        <w:rPr>
          <w:rFonts w:ascii="Times New Roman" w:hAnsi="Times New Roman"/>
          <w:color w:val="000000" w:themeColor="text1"/>
          <w:sz w:val="16"/>
          <w:szCs w:val="16"/>
        </w:rPr>
        <w:softHyphen/>
        <w:t>строен Ил-2 с задней оборонительной установкой УБШ конструкции КБ завода № 487 НКВ (Главный конструктор Шебанов) под пулемет УБТ. Боекомплект к пулемету был увеличен до 200 патронов (4 магазина по 50 патронов). Конструк</w:t>
      </w:r>
      <w:r w:rsidRPr="007224C3">
        <w:rPr>
          <w:rFonts w:ascii="Times New Roman" w:hAnsi="Times New Roman"/>
          <w:color w:val="000000" w:themeColor="text1"/>
          <w:sz w:val="16"/>
          <w:szCs w:val="16"/>
        </w:rPr>
        <w:softHyphen/>
        <w:t>ция УБШ обеспечивала увеличенные, по сравнению с ВУБ-3, углы обстрела зад</w:t>
      </w:r>
      <w:r w:rsidRPr="007224C3">
        <w:rPr>
          <w:rFonts w:ascii="Times New Roman" w:hAnsi="Times New Roman"/>
          <w:color w:val="000000" w:themeColor="text1"/>
          <w:sz w:val="16"/>
          <w:szCs w:val="16"/>
        </w:rPr>
        <w:softHyphen/>
        <w:t>ней полусферы: вверх - 57°, вправо - 32°, влево - 45° и вниз с бортов - 8° вправо и 2° влево.</w:t>
      </w:r>
    </w:p>
    <w:p w14:paraId="51C8308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Всесторонние испытания модифици</w:t>
      </w:r>
      <w:r w:rsidRPr="007224C3">
        <w:rPr>
          <w:rFonts w:ascii="Times New Roman" w:hAnsi="Times New Roman"/>
          <w:color w:val="000000" w:themeColor="text1"/>
          <w:sz w:val="16"/>
          <w:szCs w:val="16"/>
        </w:rPr>
        <w:softHyphen/>
        <w:t>рованного Ил-2 в НИИ АВ ВВС показа</w:t>
      </w:r>
      <w:r w:rsidRPr="007224C3">
        <w:rPr>
          <w:rFonts w:ascii="Times New Roman" w:hAnsi="Times New Roman"/>
          <w:color w:val="000000" w:themeColor="text1"/>
          <w:sz w:val="16"/>
          <w:szCs w:val="16"/>
        </w:rPr>
        <w:softHyphen/>
        <w:t>ли, что УБШ не имеет явных преиму</w:t>
      </w:r>
      <w:r w:rsidRPr="007224C3">
        <w:rPr>
          <w:rFonts w:ascii="Times New Roman" w:hAnsi="Times New Roman"/>
          <w:color w:val="000000" w:themeColor="text1"/>
          <w:sz w:val="16"/>
          <w:szCs w:val="16"/>
        </w:rPr>
        <w:softHyphen/>
        <w:t>ществ перед стоящей на вооружении ВУБ-3 и не повышает обороноспособ</w:t>
      </w:r>
      <w:r w:rsidRPr="007224C3">
        <w:rPr>
          <w:rFonts w:ascii="Times New Roman" w:hAnsi="Times New Roman"/>
          <w:color w:val="000000" w:themeColor="text1"/>
          <w:sz w:val="16"/>
          <w:szCs w:val="16"/>
        </w:rPr>
        <w:softHyphen/>
        <w:t>ность Ил-2 со стороны верхней задней полусферы. К тому же уже стало ясно, что для эффективной обороны со сто</w:t>
      </w:r>
      <w:r w:rsidRPr="007224C3">
        <w:rPr>
          <w:rFonts w:ascii="Times New Roman" w:hAnsi="Times New Roman"/>
          <w:color w:val="000000" w:themeColor="text1"/>
          <w:sz w:val="16"/>
          <w:szCs w:val="16"/>
        </w:rPr>
        <w:softHyphen/>
        <w:t>роны задней полусферы необходимо использовать как минимум 20-мм авиа</w:t>
      </w:r>
      <w:r w:rsidRPr="007224C3">
        <w:rPr>
          <w:rFonts w:ascii="Times New Roman" w:hAnsi="Times New Roman"/>
          <w:color w:val="000000" w:themeColor="text1"/>
          <w:sz w:val="16"/>
          <w:szCs w:val="16"/>
        </w:rPr>
        <w:softHyphen/>
        <w:t>пушки. В силу этого был сделан вывод о нецелесообразности внедрения туре</w:t>
      </w:r>
      <w:r w:rsidRPr="007224C3">
        <w:rPr>
          <w:rFonts w:ascii="Times New Roman" w:hAnsi="Times New Roman"/>
          <w:color w:val="000000" w:themeColor="text1"/>
          <w:sz w:val="16"/>
          <w:szCs w:val="16"/>
        </w:rPr>
        <w:softHyphen/>
        <w:t>ли УБШ в серийное производство, а 487-му заводу было рекомендовано устра</w:t>
      </w:r>
      <w:r w:rsidRPr="007224C3">
        <w:rPr>
          <w:rFonts w:ascii="Times New Roman" w:hAnsi="Times New Roman"/>
          <w:color w:val="000000" w:themeColor="text1"/>
          <w:sz w:val="16"/>
          <w:szCs w:val="16"/>
        </w:rPr>
        <w:softHyphen/>
        <w:t>нить отмеченные недостатки, усилить вооружение путем установки 20-мм авиапушки М.Е.Березина УБ-20 и предъявить турель на повторные испы</w:t>
      </w:r>
      <w:r w:rsidRPr="007224C3">
        <w:rPr>
          <w:rFonts w:ascii="Times New Roman" w:hAnsi="Times New Roman"/>
          <w:color w:val="000000" w:themeColor="text1"/>
          <w:sz w:val="16"/>
          <w:szCs w:val="16"/>
        </w:rPr>
        <w:softHyphen/>
        <w:t>тания (6467).</w:t>
      </w:r>
    </w:p>
    <w:p w14:paraId="07FA821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5E488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марте 1944 г. была еще одна попытка повысить оборонительные возможности Ил-2. Заводом № 30 был построен Ил-2 с оборонительной установкой УБШ конструкции Шебанова (завод № 487 НКВ). Боекомплект к УБТ включал 200 патронов в четырех магазинах.</w:t>
      </w:r>
    </w:p>
    <w:p w14:paraId="2C126E5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Всесторонние испытания модифицированного Ил-2 в НИИ АВ ВВС показали, что УБШ не имеет явных преимуществ в сравнении с ВУБ-3. К тому же, установка имела недостаточную живучесть. В 7 полетах из 11 со стрельбой в воздухе были неустранимые в воздухе задержки в стрельбе. В силу этого, был сделан вывод о нецелесообразности внедрения турели УБШ в серийное производство (12020).</w:t>
      </w:r>
    </w:p>
    <w:p w14:paraId="5A20CC8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752988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марте 1944 при контрольном испытании Ил-2 завода 30 N 304201 были достигнуты скорости 404 км/час у земли и 417 км/час на границе высотности (1823,28).</w:t>
      </w:r>
    </w:p>
    <w:p w14:paraId="76B346B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ABDC9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марта 1944 года завод № 45 параллельно с выпуском моторов АМ-38Ф включил в производство изготовление деталей и агрегатов дизеля АЧ-30Б. С сентября 1945 года выпуск моторов АМ-38Ф с производства снят и оставлен в производстве только дизель-мотор АЧ-30Б</w:t>
      </w:r>
    </w:p>
    <w:p w14:paraId="1A3AD3C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Адрес: Москва, Мейеровский пр., 14 (территория Б, В), территория А – Ткацкая ул.</w:t>
      </w:r>
    </w:p>
    <w:p w14:paraId="5DDBD00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Производственный профиль – моторный (9829).</w:t>
      </w:r>
    </w:p>
    <w:p w14:paraId="54C8D97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4A744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марте 1944 после установки нового мотора АМ-42 и отладки всех систем С.В.Ильюшин направил “...Заместителю Народного комиссара Авиационной промышленности товарищу Яковлеву А.С.” докладную записку, в которой указывал, что “...двухместный бронированный штурмовик Ил-10 с мотором АМ-42 готов к первому вылету, на что и прошу Вашего разрешения” (9649).</w:t>
      </w:r>
    </w:p>
    <w:p w14:paraId="1B5CAD4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70479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марте 1944 в процессе отработки программы государственных летных испытаний был выявлен ряд серьезных конструктивных и производственных дефектов установленного на самолете эк</w:t>
      </w:r>
      <w:r w:rsidRPr="007224C3">
        <w:rPr>
          <w:rFonts w:ascii="Times New Roman" w:hAnsi="Times New Roman"/>
          <w:color w:val="000000" w:themeColor="text1"/>
          <w:sz w:val="16"/>
          <w:szCs w:val="16"/>
        </w:rPr>
        <w:softHyphen/>
        <w:t>земпляра АМ-42 (возгорание смеси во всасывающих патруб</w:t>
      </w:r>
      <w:r w:rsidRPr="007224C3">
        <w:rPr>
          <w:rFonts w:ascii="Times New Roman" w:hAnsi="Times New Roman"/>
          <w:color w:val="000000" w:themeColor="text1"/>
          <w:sz w:val="16"/>
          <w:szCs w:val="16"/>
        </w:rPr>
        <w:softHyphen/>
        <w:t>ках, повышенный в 4—5 раз расход масла). Ни в одном из по</w:t>
      </w:r>
      <w:r w:rsidRPr="007224C3">
        <w:rPr>
          <w:rFonts w:ascii="Times New Roman" w:hAnsi="Times New Roman"/>
          <w:color w:val="000000" w:themeColor="text1"/>
          <w:sz w:val="16"/>
          <w:szCs w:val="16"/>
        </w:rPr>
        <w:softHyphen/>
        <w:t>летов мотор нормально не работал. По этой причине летные характеристики Су-6 АМ-42 в полном объеме снять не уда</w:t>
      </w:r>
      <w:r w:rsidRPr="007224C3">
        <w:rPr>
          <w:rFonts w:ascii="Times New Roman" w:hAnsi="Times New Roman"/>
          <w:color w:val="000000" w:themeColor="text1"/>
          <w:sz w:val="16"/>
          <w:szCs w:val="16"/>
        </w:rPr>
        <w:softHyphen/>
        <w:t>лось.</w:t>
      </w:r>
    </w:p>
    <w:p w14:paraId="6776908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 скорость Су-6 АМ-42 при полетном весе 6200 кг на высоте 1000 м составила 508 км/ч, на высоте 2000 м — 519 км/ч. На высоту 1000 м самолет забирался за 2 мин.</w:t>
      </w:r>
    </w:p>
    <w:p w14:paraId="4A93080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ходе испытаний крупнокалиберные пушки НС-37 были заменены стандартными пушками штурмовой авиации Крас</w:t>
      </w:r>
      <w:r w:rsidRPr="007224C3">
        <w:rPr>
          <w:rFonts w:ascii="Times New Roman" w:hAnsi="Times New Roman"/>
          <w:color w:val="000000" w:themeColor="text1"/>
          <w:sz w:val="16"/>
          <w:szCs w:val="16"/>
        </w:rPr>
        <w:softHyphen/>
        <w:t>ной Армии — ВЯ-23 (боекомплект 240 снарядов). Вес пусто</w:t>
      </w:r>
      <w:r w:rsidRPr="007224C3">
        <w:rPr>
          <w:rFonts w:ascii="Times New Roman" w:hAnsi="Times New Roman"/>
          <w:color w:val="000000" w:themeColor="text1"/>
          <w:sz w:val="16"/>
          <w:szCs w:val="16"/>
        </w:rPr>
        <w:softHyphen/>
        <w:t>го самолета стал — 4366 кг. Вес бомбовой нагрузки вырос до 600 кг (11474,433).</w:t>
      </w:r>
    </w:p>
    <w:p w14:paraId="05A8840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DD1DCA" w14:textId="77777777" w:rsidR="008E2CE5" w:rsidRPr="007224C3" w:rsidRDefault="008E2CE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марта 1944 года Су-8 2М-71 проходил заводские испытания. С учетом требований войны вместо 37-мм пушек и пулеметов УБК под фюзеляжем установили четыре пушки НС-45 калибра 45 мм. Остальной состав вооружения остался без изменений. Вес нормальной бомбовой нагрузки – 600 кг (в перегрузку 1400 кг). Допускалась подвеска трех бомб калибра 250 кг либо двух бомб калибра 500 кг.</w:t>
      </w:r>
    </w:p>
    <w:p w14:paraId="39CC98CA" w14:textId="77777777" w:rsidR="008E2CE5" w:rsidRPr="007224C3" w:rsidRDefault="008E2CE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Схема бронирования обеспечивала защиту от огня крупнокалиберных пулеметов: летчика, стрелка-радиста, моторов (не забронированы только цилиндры), крыльевых бензобаков, маслобаков, маслорадиаторов и цилиндров винтов. Спереди летчика защищали бронестекла толщиной 64 мм. Общий вес брони на самолете достигал 1680 кг.</w:t>
      </w:r>
    </w:p>
    <w:p w14:paraId="790E3F04" w14:textId="77777777" w:rsidR="008E2CE5" w:rsidRPr="007224C3" w:rsidRDefault="008E2CE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нормальном полетном весе 12 413 кг (600 кг бомб) максимальная скорость полета составила 500 км/ч у земли и 550 км/ч – на высоте 4600 м. Время подъема на высоту 4000 м – 7,26 мин. Дальность полета на высоте 1000 м (скорость 335 км/ч) – 1000 км (в перегрузку 1500 км).</w:t>
      </w:r>
    </w:p>
    <w:p w14:paraId="32948127" w14:textId="77777777" w:rsidR="008E2CE5" w:rsidRPr="007224C3" w:rsidRDefault="008E2CE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Заводские испытания самолета Су-8 продолжались с небольшими перерывами до весны 1945 года. На государственные испытания самолет не предъявлялся (17490).</w:t>
      </w:r>
    </w:p>
    <w:p w14:paraId="062B8306" w14:textId="77777777" w:rsidR="008E2CE5" w:rsidRPr="007224C3" w:rsidRDefault="008E2CE5" w:rsidP="007224C3">
      <w:pPr>
        <w:spacing w:after="0" w:line="240" w:lineRule="auto"/>
        <w:jc w:val="both"/>
        <w:rPr>
          <w:rFonts w:ascii="Times New Roman" w:eastAsia="Times New Roman" w:hAnsi="Times New Roman"/>
          <w:color w:val="000000" w:themeColor="text1"/>
          <w:sz w:val="16"/>
          <w:szCs w:val="16"/>
          <w:lang w:eastAsia="ru-RU"/>
        </w:rPr>
      </w:pPr>
    </w:p>
    <w:p w14:paraId="4E4E261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марте 1944 г. С.В.Ильюшин утвердил компоновку и общий вид двухмоторного Ил-12 с дизелями АЧ-31. Началось эскизное проектирование, полностью подчиненное стремлению создать высоконадежный и безопасный авиалайнер. При этом особое внимание уделялось отработке совместно с ЦАГИ аэродинамической компоновки крыла, принятию мер по обеспечению длительного полета на одном двигателе.</w:t>
      </w:r>
    </w:p>
    <w:p w14:paraId="271820F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Основой экономической эффективности и безопасности полета пассажирского самолета является высокое аэродинамическое совершенство его крыла. Оно характеризуется не только величиной максимального аэродинамического качества, достижение которого само но себе является одной из труднейших задач проектирования. Большое значение имеют и особенности обтекания крыла на различных режимах полета, прежде всего, на так называемых околокритических углах атаки, когда происходит возникновение и развитие срыва потока с поверхности крыла, особенно на его концах. Резкий срыв потока с концевых частей крыла при полете на больших углах атаки может привести к потере поперечной управляемости из-за уменьшения эффективности элеронов. Если же концевые срывы по каким-либо причинам развиваются несимметрично, например из-за недостаточно точного соблюдения в производстве заданных теоретических контуров, то на больших углах атаки возникает поперечная неустойчивость и повышается вероятность сваливания на крыло с последующим самопроизвольным переходом в штопор, что для авиалайнера совершенно недопустимо.</w:t>
      </w:r>
    </w:p>
    <w:p w14:paraId="63B4763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целью создания для Ил-12 крыла с высоким аэродинамическим совершенством на всех эксплуатационных режимах, в ЦАГИ и ОКБ провели обширные теоретические и экспериментальные исследования различных аэродинамических компоновок крыльев и на их основе создали крыло большого удлинения и умеренного сужения с безотрывным обтеканием концевых частей.</w:t>
      </w:r>
    </w:p>
    <w:p w14:paraId="1D27424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Особенность аэродинамической компоновки крыла Ил-12 заключалась и в том, что, в отличие от других авиалайнеров того времени, крыло спроектировали не для максимальных, а для крейсерских скоростей полета (несущие свойства в наибольшей степени реализовывались на крейсерской скорости). В сочетании со специально подобранными воздушными винтами, максимальный КПД которых также соответствовал режиму крейсерской скорости, это обеспечивало Ил-12 большую путевую скорость и высокую экономическую эффективность.</w:t>
      </w:r>
    </w:p>
    <w:p w14:paraId="062700D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Достижение высокого аэродинамического совершенства при проектировании еще не решало полностью проблему безопасности полета. Добиваться нужно было и того, чтобы самолет мог выполнять длительный полет с полной коммерческой нагрузкой при отказе одного двигателя. В СССР эту задачу впервые решили при создании Ил-12. Одновременно приняли меры но обеспечению безотказной работы в этих условиях всех основных систем, пилотажно-навигационного и радиосвязного оборудования самолета.</w:t>
      </w:r>
    </w:p>
    <w:p w14:paraId="215786B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Безопасность и регулярность полетов, а следовательно, и экономическая эффективность пассажирского самолета средних высот, каким на этапе эскизного проектирования стал Ил-12, во многом зависят от надежно работающей и простой в эксплуатации противообледенительной системы. В 1944 г. основным типом проти-вообледенительного устройства для защиты передних кромок крыла и оперения на пассажирских самолетах 1 был механический противообледенитель американской фирмы “Гудрич”. Широко применявшийся на самолетах ПС-84, ОС-3 п С-47, он представлял собой наклеенные на переднюю кромку крыла и стабилизатора резиновые протекторы. Внутри них располагались воздушные камеры, куда при обледенении попеременно поступал и выпускался сжатый воздух от установленных на двигателях компрессоров. На других самолетах применялись тепловые противообледенительные системы с использованием в качестве источников тепла автономных подогревателей - так называемых бензиновых печей.</w:t>
      </w:r>
    </w:p>
    <w:p w14:paraId="35D872E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С.В.Ильюшин принял решение сосредоточить основные усилия на создании для Ил-12 противообледенительной системы с использованием выхлопных газов, конструктивно более простой по сравнению с механической системой типа “Гудрич” и значительно более пожаробезопасной, чем бензиновые подогреватели. На Ил-12 противообледенительная система предусматривала непосредственный обогрев обшивки носовой части крыла выхлопными газами в смеси с наружным воздухом. Предусматривалась защита от обледенения и других частей самолета.</w:t>
      </w:r>
    </w:p>
    <w:p w14:paraId="4BBBC50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Особое внимание при проектировании Ил-12 уделили пожарной безопасности: приняли все меры по исключению каких бы то ни было течей топлива и масла. Предполагавшаяся установка дизелей с керосином в качестве основного топлива потребовала от проектировщиков особенно тщательной герметизации топли-вопроводов, т.к. при малейшей течи медленно испаряющийся керосин не только пропитывал все окружающие конструктивные элементы, но и распространялся по самолету, создавая огромную потенциальную угрозу пожара. Опыт проектирования и эксплуатации Ил-6 с дизелями, на котором в ОКБ отработали новые приемы герметизации трубопроводов керосиновой топливной системы, помог справиться и с этой проблемой. Кроме профилактических мер, на Ил-12 предусматривалась установка различных систем пожаротушения как в мотогондолах, так и в пассажирском салоне (9528).</w:t>
      </w:r>
    </w:p>
    <w:p w14:paraId="7D828C9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5837A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марте 1944 г. С.В.Ильюшин утвердил компоновку и общий вид самолета Ил-12 с двумя дизелями АЧ-31. В ходе дальнейшего проектирования особое внимание уделялось обеспечению безопасности полетов, и в частности возможности продолжать взлет при отказе одного двигателя. Для этого потребовалось создать систему охлаждения, которая обеспечила работу исправного мотора на повышенных режимах в течение достаточно продолжительного времени и при небольшой скорости полета (до 180 км/ч). Разработчики Ил-12 также предприняли все возможные меры для усиления пожарной безопасности своего детища. Для этого была предусмотрена установка в мотогондолах и пассажирской кабине различных быстродействующих огнегасящих средств и предпринят комплекс мер для предотвращения течи топлива и масла.</w:t>
      </w:r>
    </w:p>
    <w:p w14:paraId="175CB1F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Важнейшее значение для пассажирского самолета, работающего на средних высотах, приобрела противообледени-тельная система (ПОС). От ее надежности зависела не только безопасность, но и регулярность полетов, а следовательно, экономическая эффективность лайнера. Ильюшин отказался от применения наиболее распространенной в то время механической ПОС типа "Гудрич”" и решил разрабатывать тепловую систему, основанную на использовании выхлопных газов. Для этого их следовало подать от двигателей во внутреннюю полость носка крыла. Однако выхлопные газы были слишком горячими и могли воздействовать на конструкцию самолета самым фатальным образом. Решением этой проблемы стала созданная в ОКБ система, в которой газы охлаждались до приемлемого уровня, смешиваясь с наружным воздухом, и по стальным коробам подавались в крыло. Эта система применялась, напоимер, на DC-3. Она представляла собой резиновый протектоо. наклеенный на переднюю кромку крыла и оперения. внутри которого находились воздушные камеры. При обледенении камеры надувались. и лед скалывался. Однако такая система обладала относительно невысокими ресурсом и надежностью, а также негативно влияла на аэродинамику самолета (5156).</w:t>
      </w:r>
    </w:p>
    <w:p w14:paraId="5A23A9C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34B30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Сначала Ил-12 был задуман 4-х двигательный, но в марте 1944 стали работать над двухдвигательным вариантом под АЧ-31 (24,352).</w:t>
      </w:r>
    </w:p>
    <w:p w14:paraId="71C4B97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0B93E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В марте 1944 С.В.И. утвердил компоновку и общий вид двухдвигательного варианта Ил-12 с дизельными двигателями АЧ-31 жидкостного охлаждения (3846,19).</w:t>
      </w:r>
    </w:p>
    <w:p w14:paraId="0E35A2A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AE31D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марте 1944 в ОКБ П.О.С. был разработан проект второго варианта (который стал Су-5) одноместного истребителя с моторами М-107 и ВРДК, разработанного в феврале 1944 (1454,67).</w:t>
      </w:r>
    </w:p>
    <w:p w14:paraId="47BBF0E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14E2C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марте 1944 в НИИ ВВС П.Стефановский закончил гос. испытания серийного Пе-2 М-82 N 1/232, которые проходили с января 1944. Не оценили (2205,41).</w:t>
      </w:r>
    </w:p>
    <w:p w14:paraId="0C4C832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500BA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марте 1944 г. серийный самолет Пе-2 с М-82 закончил испытания в НИИ ВВС, которые шли с января, причем это был не зав. № 1/226 (на нем входе заводских испытаний на одном из моторов оборвался шатун, и самолет вышел из строя), а машина зав. № 1/232. Из-за неудовлетворительной работы карбюраторов и высотных корректоров двигатели на высоте более 3000-4000 м не развивали полную мощность, поэтому максимальная скорость самолета на второй границе высотности оказалась меньше, чем на первой границе (526 км/ч). Летчик-испытатель генерал- майор авиации П.М. Стефановский в донесении об облете серийного Пе-2 с М-82 написал:</w:t>
      </w:r>
    </w:p>
    <w:p w14:paraId="0FDB6D5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"Положительным качеством данного самолета является возможность производить полеты на одном моторе с полетным весом 8300 кг как с убранными, так и с выпущенными шасси... Глиссада планирования за счет больших оборотов моторов с убранным газом несколько более пологая... В остальном самолет остается таким же сложным и неудобным для экипажа, как и серийные самолеты Пе-2 с М-105ПФ".</w:t>
      </w:r>
    </w:p>
    <w:p w14:paraId="6FFD951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Основными причинами, сдерживавшими серийный выпуск Пе-2 с моторами воздушного охлаждения, оказались очень низкое качество маслорадиаторов и дефицитность самих двигателей, прежний резерв которых "съели" истребители Ла-5. Остается загадкой, как мог Государственный Комитет Обороны планировать массовый выпуск "пешек" с М-82, если их не хватало даже для самолетов Лавочкина (12042).</w:t>
      </w:r>
    </w:p>
    <w:p w14:paraId="6E4C827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8351E2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марте 1944 г. в НИИ ВВС были проведены испытания самолета Ту-2 N 716 с увеличенными килями. На испытаниях была подобрана площадь килей, обеспечивающая самолету Ту-2 хорошую путевую устойчивость. Увеличенное вертикальное оперение рекомендовано для серийных самолетов (1821).</w:t>
      </w:r>
    </w:p>
    <w:p w14:paraId="78D3077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D395F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марте 1944 ОКБ А.Н.Т. окончило исследовательские работы в ходе испытаний машины N 716 с увеличенной площадью вертикального оперения, которые начались с февраля. Рекомендовали в серию (1835,32).</w:t>
      </w:r>
    </w:p>
    <w:p w14:paraId="1A2CDDE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49B11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марте 1944 состоялись контрольные гос. испытания в НИИ ВВС Ту-2 с АШ-82ФН N 18/11. Макс. скорость 482 км/час у земли и 549 км/час на 5400 м (1880,168).</w:t>
      </w:r>
    </w:p>
    <w:p w14:paraId="141BDF2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4DAC0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C марта 1944 по июль 1945 проводились испытания ДВБ-102 с М-71 и ТК-3 (4,192).</w:t>
      </w:r>
    </w:p>
    <w:p w14:paraId="1ACE150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08E6F5" w14:textId="77777777" w:rsidR="008E2CE5" w:rsidRPr="007224C3" w:rsidRDefault="008E2CE5" w:rsidP="007224C3">
      <w:pPr>
        <w:pStyle w:val="a3"/>
        <w:rPr>
          <w:color w:val="000000" w:themeColor="text1"/>
          <w:lang w:val="ru-RU"/>
        </w:rPr>
      </w:pPr>
      <w:r w:rsidRPr="007224C3">
        <w:rPr>
          <w:color w:val="000000" w:themeColor="text1"/>
          <w:lang w:val="ru-RU"/>
        </w:rPr>
        <w:t>В марте 1944 г. выполнили установку новых моторов, наземную отработку «от</w:t>
      </w:r>
      <w:r w:rsidRPr="007224C3">
        <w:rPr>
          <w:color w:val="000000" w:themeColor="text1"/>
          <w:lang w:val="ru-RU"/>
        </w:rPr>
        <w:softHyphen/>
        <w:t>гоняли» в апреле, так что в мае ДВБ-102 снова мог летать.</w:t>
      </w:r>
    </w:p>
    <w:p w14:paraId="43914129" w14:textId="77777777" w:rsidR="008E2CE5" w:rsidRPr="007224C3" w:rsidRDefault="008E2CE5" w:rsidP="007224C3">
      <w:pPr>
        <w:pStyle w:val="a3"/>
        <w:rPr>
          <w:color w:val="000000" w:themeColor="text1"/>
          <w:lang w:val="ru-RU"/>
        </w:rPr>
      </w:pPr>
      <w:r w:rsidRPr="007224C3">
        <w:rPr>
          <w:color w:val="000000" w:themeColor="text1"/>
          <w:lang w:val="ru-RU"/>
        </w:rPr>
        <w:t>Для выполнения полетов была назна</w:t>
      </w:r>
      <w:r w:rsidRPr="007224C3">
        <w:rPr>
          <w:color w:val="000000" w:themeColor="text1"/>
          <w:lang w:val="ru-RU"/>
        </w:rPr>
        <w:softHyphen/>
        <w:t>чена бригада в составе летчика-испыта- теля Ф.Ф. Опадчего и ведущего инженера А.В. Лурье от завода, от ЛИИ НКАП - лет</w:t>
      </w:r>
      <w:r w:rsidRPr="007224C3">
        <w:rPr>
          <w:color w:val="000000" w:themeColor="text1"/>
          <w:lang w:val="ru-RU"/>
        </w:rPr>
        <w:softHyphen/>
        <w:t>чика И.И. Шунейко и инженера Н.И. Квитко, от НИИ ВВС - летчика В.И. Жданова, штур</w:t>
      </w:r>
      <w:r w:rsidRPr="007224C3">
        <w:rPr>
          <w:color w:val="000000" w:themeColor="text1"/>
          <w:lang w:val="ru-RU"/>
        </w:rPr>
        <w:softHyphen/>
        <w:t>мана Н.П. Цветкова, ведущего инженера М.И. Ефимова и инженера по силовой установке А.Ф. Абашина (17739).</w:t>
      </w:r>
    </w:p>
    <w:p w14:paraId="367D9AFC" w14:textId="77777777" w:rsidR="008E2CE5" w:rsidRPr="007224C3" w:rsidRDefault="008E2CE5" w:rsidP="007224C3">
      <w:pPr>
        <w:spacing w:after="0" w:line="240" w:lineRule="auto"/>
        <w:jc w:val="both"/>
        <w:rPr>
          <w:rFonts w:ascii="Times New Roman" w:eastAsia="Times New Roman" w:hAnsi="Times New Roman"/>
          <w:color w:val="000000" w:themeColor="text1"/>
          <w:sz w:val="16"/>
          <w:szCs w:val="16"/>
          <w:lang w:eastAsia="ru-RU"/>
        </w:rPr>
      </w:pPr>
    </w:p>
    <w:p w14:paraId="0BAF8E4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марте 1944 на заводе № 39 построили восемнадцать Ер-2 и пятнадцать Ил-4. В июле 1944 г. было построено тридцать Ер-2 параллельно с последними десятью Ил-4.</w:t>
      </w:r>
    </w:p>
    <w:p w14:paraId="68F17C9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сравнению со своим предшественником, дизельный образец Ер-2 внешне отличался более вытянутыми обводами фюзеляжа, роговой компенсацией рулей поворота, большими колесами, несколько измененной конструкцией жалюзей тоннельных радиаторов и, соответственно, крыла (на носках консолей появились характерные "стаканчики").</w:t>
      </w:r>
    </w:p>
    <w:p w14:paraId="1345043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Иркутский вариант Ер-2 имел увеличенную взлетную массу и площадь крыла, усиленное оборонительное вооружение, состоявшее из двух крупнокалиберных пулеметов УБТ и УБК, а также пушки ШВАК на ту- рельной установке ТУМ-5. Максимальная бомбовая нагрузка возросла до 5000 кг, сделав Ер-2 самым мощным двухмоторным бомбардировщиком отечественной постройки.</w:t>
      </w:r>
    </w:p>
    <w:p w14:paraId="59C0AD7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Строившиеся серийные самолеты отнюдь не были "близнецами" и между собой. Так длительная и сложная технология изготовления эллипсовидной носовой части и, соответственно, жесткие требования к сборочной оснастке и геометрическим контурам, побудили конструкторов изменить обводы штурманской кабины.</w:t>
      </w:r>
    </w:p>
    <w:p w14:paraId="4FCC94F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Был разработан вариант "со спрямленным носом", позволявший, в частности, упростить и ускорить изготовление остекления. Аэродинамика при этом не ухудшилась. Комплект упрощенных стапелей запустили в производство параллельно с уже использующейся старой оснасткой. Самолет, в зависимости от того, на какую линию сборки он попадал, мог получить разные носовые части. Таким образом, различия в иркутских машинах, которые можно видеть на сохранившихся фотоснимках, объясняются этой причиной, а не временем выпуска и серией машины. Например, уже среди первых 22 иркутских Ер-2 с симметричной кабиной пилота, часть самолетов имела новую носовую часть.</w:t>
      </w:r>
    </w:p>
    <w:p w14:paraId="767C7C0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Поскольку еще в начале войны опыт использования самолетов ДБ-3, Ил-4 и Ер-2 в составе АДД выявил необходимость иметь в составе экипажа дальнего бомбардировщика второго летчика, возобновление производства Ер-2 дало благоприятную возможность реализовать это требование. Ранее были разработаны два варианта двухместной кабины: в первом - летчики сидели друг за другом по схеме "таtщем ", под доработа11 - ным ассиметричным фонарем, во втором - их кресла стояли рядом, боковое обзорное остекление правого борта устранялось и самолет оснащался классическим фонарем (этот вариант В.Г. Ермолаев и утвердил 18 ноября 1943 г.).</w:t>
      </w:r>
    </w:p>
    <w:p w14:paraId="20B0369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Варианты самолета имели, соответственно, наименования Ер-1 и Ер-2, что вносило путаницу в директивную конструкторско-тех- нологическую документацию. В производстве еще находился исходный "одноместный" бомбардировщик Ер-2, а службам подготовки уже стала поступать документация на "двухместный" Ер-1, потом на "двухместный" Ер-2!</w:t>
      </w:r>
    </w:p>
    <w:p w14:paraId="232B5BD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Когда же дошла директива "о приостановке работ над самолетом "Ер-1", руководство завода, для наведения ясности "в обозначении производимых изделий", временно ввело для "внутреннего пользования" свои индексы. Исходный "одноместный" бомбардировщик с асимметричной кабиной именовался Ер-2/1, новый, "двухместный" - Ер-2/2. Позже, когда в производстве остался только самолет с двумя летчиками, надобность в этих индексах отпала и вернулись к первоначальному обозначению Ер-2.</w:t>
      </w:r>
    </w:p>
    <w:p w14:paraId="516EC27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Бомбардировщик нравился строевым летчикам за его удобную кабину с отличным обзором, хорошую устойчивость и легкость в управлении, высокую живучесть, значительно возросшие возможности стрелкового и бомбового вооружения. Иркутские "Ермошки" интенсивно использовались на северо-западном и прибалтийском направлениях. В частности, своими крупнокалиберными бомбами они внесли существенный вклад в успех штурма Кенигсберга.</w:t>
      </w:r>
    </w:p>
    <w:p w14:paraId="2126F8A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Дизельные двигатели АЧ-ЗОБ, официально считавшимися вполне надежными для серии, не переставали подбрасывать проблемы. Выходила из строя масляная система, прогорали поршневые кольца и т.п. Но зачастую причинами отказов были отнюдь не конструктивные дефекты. Для многих двигателей использовался металл, содержащий некачественные заменители дефицитных легирующих добавок, доставлявшихся из-за рубежа. "Эрзац" не выдерживал иногда даже штатной "напряженной" работы, не говоря уже о форсированных режимах... Это явилось причиной некоторых аварий на перегонах Ер-2 в строевые части, а также ряда вынужденных посадок на заводских испытаниях.</w:t>
      </w:r>
    </w:p>
    <w:p w14:paraId="6F1E7CC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Например, на опытной машине, оснащенной флюгерными винтами, предполагалось проверить их работу при отключаемых двигателях. Новый вариант Ер-2 испытывал экипаж завода № 39 - летчик И.П. Яшин, контрольный бортмеханик П.Ф. Крейсик и бортрадист В.И. Кишкин. В воздухе левый дизель "решил играть честно" - масляная система вышла из строя и флюгировать винт пришлось в реальной аварийной ситуации. С одним работающим двигателем возникла резкая тряска и экипажу была дана команда покинуть самолет, но Яшин и Крейсик, предупредив радиста, дотянули все-таки до заводского аэродрома (12037).</w:t>
      </w:r>
    </w:p>
    <w:p w14:paraId="7FA4E0A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34AB60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марте 1944 г., завод № 300 приступил к серийному производству ТК-3 для высотных самолетов Мясищева и Лавочкина. За месяц было выпущено 15 экземпляров. Наркомат авиапрома затягивал принятие решения о дальнейшем производстве ТК-3, а потом выдал совершенно нереальный заказ на изготовление 90 экземпляров (9030).</w:t>
      </w:r>
    </w:p>
    <w:p w14:paraId="14367BF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3EA6F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марте 1944 г. сложился облик ББ Н.Н.П. Взлетный вес са</w:t>
      </w:r>
      <w:r w:rsidRPr="007224C3">
        <w:rPr>
          <w:rFonts w:ascii="Times New Roman" w:hAnsi="Times New Roman"/>
          <w:color w:val="000000" w:themeColor="text1"/>
          <w:sz w:val="16"/>
          <w:szCs w:val="16"/>
        </w:rPr>
        <w:softHyphen/>
        <w:t>молета составлял 26 т, площадь крыла - 100 м</w:t>
      </w:r>
      <w:r w:rsidRPr="007224C3">
        <w:rPr>
          <w:rFonts w:ascii="Times New Roman" w:hAnsi="Times New Roman"/>
          <w:color w:val="000000" w:themeColor="text1"/>
          <w:sz w:val="16"/>
          <w:szCs w:val="16"/>
          <w:vertAlign w:val="superscript"/>
        </w:rPr>
        <w:t>2</w:t>
      </w:r>
      <w:r w:rsidRPr="007224C3">
        <w:rPr>
          <w:rFonts w:ascii="Times New Roman" w:hAnsi="Times New Roman"/>
          <w:color w:val="000000" w:themeColor="text1"/>
          <w:sz w:val="16"/>
          <w:szCs w:val="16"/>
        </w:rPr>
        <w:t>, размах -24,5 м, четыре двигателя должны были обеспечить до</w:t>
      </w:r>
      <w:r w:rsidRPr="007224C3">
        <w:rPr>
          <w:rFonts w:ascii="Times New Roman" w:hAnsi="Times New Roman"/>
          <w:color w:val="000000" w:themeColor="text1"/>
          <w:sz w:val="16"/>
          <w:szCs w:val="16"/>
        </w:rPr>
        <w:softHyphen/>
        <w:t>стижение требуемой максимальной скорости (не ниже 550 км/ч) и высотности. Экипаж размещался в передней и задней гермокабинах, а также в двух гермокабинах, размещенных под крылом в прилегающих к фюзеляжу мотогондолах. Оборонительное вооружение включало:</w:t>
      </w:r>
    </w:p>
    <w:p w14:paraId="4397613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спарен</w:t>
      </w:r>
      <w:r w:rsidRPr="007224C3">
        <w:rPr>
          <w:rFonts w:ascii="Times New Roman" w:hAnsi="Times New Roman"/>
          <w:color w:val="000000" w:themeColor="text1"/>
          <w:sz w:val="16"/>
          <w:szCs w:val="16"/>
        </w:rPr>
        <w:softHyphen/>
        <w:t>ные пушки калибра 23 мм на передней и кормовой уста</w:t>
      </w:r>
      <w:r w:rsidRPr="007224C3">
        <w:rPr>
          <w:rFonts w:ascii="Times New Roman" w:hAnsi="Times New Roman"/>
          <w:color w:val="000000" w:themeColor="text1"/>
          <w:sz w:val="16"/>
          <w:szCs w:val="16"/>
        </w:rPr>
        <w:softHyphen/>
        <w:t>новках;</w:t>
      </w:r>
    </w:p>
    <w:p w14:paraId="21784F0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по одной 23 мм пушке под крылом в установках за гондолами внутренних двигателей;</w:t>
      </w:r>
    </w:p>
    <w:p w14:paraId="1F7C51D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по одной 23 мм пушке в средней части фюзеляжа по каж</w:t>
      </w:r>
      <w:r w:rsidRPr="007224C3">
        <w:rPr>
          <w:rFonts w:ascii="Times New Roman" w:hAnsi="Times New Roman"/>
          <w:color w:val="000000" w:themeColor="text1"/>
          <w:sz w:val="16"/>
          <w:szCs w:val="16"/>
        </w:rPr>
        <w:softHyphen/>
        <w:t>дому борту на дистанционной установке;</w:t>
      </w:r>
    </w:p>
    <w:p w14:paraId="7F5BF1C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4) две 25 мм пушки и одна пушка калибра 45 мм в двух верхних ту</w:t>
      </w:r>
      <w:r w:rsidRPr="007224C3">
        <w:rPr>
          <w:rFonts w:ascii="Times New Roman" w:hAnsi="Times New Roman"/>
          <w:color w:val="000000" w:themeColor="text1"/>
          <w:sz w:val="16"/>
          <w:szCs w:val="16"/>
        </w:rPr>
        <w:softHyphen/>
        <w:t>релях, располагавшихся вместе ближе к килю уступом, «как на крейсерах», или - предпочтительный вариант -две верхние турели с одной 45 мм пушкой.</w:t>
      </w:r>
    </w:p>
    <w:p w14:paraId="05574F3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Главной осо</w:t>
      </w:r>
      <w:r w:rsidRPr="007224C3">
        <w:rPr>
          <w:rFonts w:ascii="Times New Roman" w:hAnsi="Times New Roman"/>
          <w:color w:val="000000" w:themeColor="text1"/>
          <w:sz w:val="16"/>
          <w:szCs w:val="16"/>
        </w:rPr>
        <w:softHyphen/>
        <w:t>бенностью вооружения являлось стремление добиться не только кругового обстрела, но и по возможности для большинства секторов - перекрестного (10667).</w:t>
      </w:r>
    </w:p>
    <w:p w14:paraId="0187990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A06480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марте 1944 года еще на Ла-5ФН типа 41 на заводе № 21 в серию пошли Ла-5 с металлическими лонжеронами. Снижение веса путем замены деревянных лон</w:t>
      </w:r>
      <w:r w:rsidRPr="007224C3">
        <w:rPr>
          <w:rFonts w:ascii="Times New Roman" w:hAnsi="Times New Roman"/>
          <w:color w:val="000000" w:themeColor="text1"/>
          <w:sz w:val="16"/>
          <w:szCs w:val="16"/>
        </w:rPr>
        <w:softHyphen/>
        <w:t>жеронов крыла на металлические было осуществлено ОКБ еще в нача</w:t>
      </w:r>
      <w:r w:rsidRPr="007224C3">
        <w:rPr>
          <w:rFonts w:ascii="Times New Roman" w:hAnsi="Times New Roman"/>
          <w:color w:val="000000" w:themeColor="text1"/>
          <w:sz w:val="16"/>
          <w:szCs w:val="16"/>
        </w:rPr>
        <w:softHyphen/>
        <w:t>ле 1943 года на опытном самолете Ла-5ФН «Дублер». Но внедрение в серию этого мероприятия было отло</w:t>
      </w:r>
      <w:r w:rsidRPr="007224C3">
        <w:rPr>
          <w:rFonts w:ascii="Times New Roman" w:hAnsi="Times New Roman"/>
          <w:color w:val="000000" w:themeColor="text1"/>
          <w:sz w:val="16"/>
          <w:szCs w:val="16"/>
        </w:rPr>
        <w:softHyphen/>
        <w:t>жено до весны 1944 года, так как только к этому времени завод №21 смог получить необходимое металлорежу</w:t>
      </w:r>
      <w:r w:rsidRPr="007224C3">
        <w:rPr>
          <w:rFonts w:ascii="Times New Roman" w:hAnsi="Times New Roman"/>
          <w:color w:val="000000" w:themeColor="text1"/>
          <w:sz w:val="16"/>
          <w:szCs w:val="16"/>
        </w:rPr>
        <w:softHyphen/>
        <w:t>щее оборудование. Таких машин было построено 89 штук. Так что металлические лон</w:t>
      </w:r>
      <w:r w:rsidRPr="007224C3">
        <w:rPr>
          <w:rFonts w:ascii="Times New Roman" w:hAnsi="Times New Roman"/>
          <w:color w:val="000000" w:themeColor="text1"/>
          <w:sz w:val="16"/>
          <w:szCs w:val="16"/>
        </w:rPr>
        <w:softHyphen/>
        <w:t>жероны будущий Ла-7 получил, так сказать, по наследству (10714).</w:t>
      </w:r>
    </w:p>
    <w:p w14:paraId="6E0728D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3B77B2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марта 1944 г. часть Ла-5ФН выпускалась как "тип 41" с лонжеронами, имевшими полки из легированной стали и стенки из алюминиевых сплавов. Такие истребители были легче деревянных и превосходили их во всех отношениях (11986).</w:t>
      </w:r>
    </w:p>
    <w:p w14:paraId="50FD65E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43B591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марта 1944 г. часть Ла-5ФН выпускалась как "тип 41" с лонжеронами, имевшими полки из легированной стали и стенки из алюминиевых сплавов. Такие истребители были легче своих деревянных "собратьев" и превосходили их во всех отношениях (11990).</w:t>
      </w:r>
    </w:p>
    <w:p w14:paraId="13D578B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F8592A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марте 1944 года в передвижных авиационных мастерских ПАМ-30 1-й ВА один из серийных самолетов Jla-5 переделали на двухместный Ла-5УТИ. В ходе государственных испытаний выявилась тряска хвостового оперения (видимо, из-за ослабления хвостовой части фюзеляжа) при заходе на посадку и на парашютировании. Это обстоятельство и привело к прекращению работ по машине (12032).</w:t>
      </w:r>
    </w:p>
    <w:p w14:paraId="4258AA2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E85442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марте 1944 состоялись гос. испытания Ла-7-АШ82ФН (300,7).</w:t>
      </w:r>
    </w:p>
    <w:p w14:paraId="39949B2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1030B6" w14:textId="77777777" w:rsidR="00C71B1D" w:rsidRPr="007224C3" w:rsidRDefault="00C71B1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марте 1944 г. Ла-5ФН с 2ТК-3 совершил ещё три полёта до высо</w:t>
      </w:r>
      <w:r w:rsidRPr="007224C3">
        <w:rPr>
          <w:rFonts w:ascii="Times New Roman" w:hAnsi="Times New Roman"/>
          <w:color w:val="000000" w:themeColor="text1"/>
          <w:sz w:val="16"/>
          <w:szCs w:val="16"/>
        </w:rPr>
        <w:softHyphen/>
        <w:t>ты 12000 м, в которых винтомоторная группа работала нормально, а в начале апреля, по причине изношенности материальной части, самолёт поставили в цех на восстано</w:t>
      </w:r>
      <w:r w:rsidRPr="007224C3">
        <w:rPr>
          <w:rFonts w:ascii="Times New Roman" w:hAnsi="Times New Roman"/>
          <w:color w:val="000000" w:themeColor="text1"/>
          <w:sz w:val="16"/>
          <w:szCs w:val="16"/>
        </w:rPr>
        <w:softHyphen/>
        <w:t>вительный ремонт (15830).</w:t>
      </w:r>
    </w:p>
    <w:p w14:paraId="292962ED" w14:textId="77777777" w:rsidR="00C71B1D" w:rsidRPr="007224C3" w:rsidRDefault="00C71B1D" w:rsidP="007224C3">
      <w:pPr>
        <w:spacing w:after="0" w:line="240" w:lineRule="auto"/>
        <w:jc w:val="both"/>
        <w:rPr>
          <w:rFonts w:ascii="Times New Roman" w:hAnsi="Times New Roman"/>
          <w:color w:val="000000" w:themeColor="text1"/>
          <w:sz w:val="16"/>
          <w:szCs w:val="16"/>
        </w:rPr>
      </w:pPr>
    </w:p>
    <w:p w14:paraId="33C4E967" w14:textId="77777777" w:rsidR="00E23482" w:rsidRPr="007224C3" w:rsidRDefault="00E23482"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В марте 1944 г. С.А. Лавочкин поручил выполнение зада чи по испытанию своих поршневых истребителей с ускорите лями ЖРД своему заместителю СМ. Алексееву, который ра ботал в это время в филиале ОКБ С.А. Лавочкин (опытный завод № 81) в г. Москве. Само ОКБ тогда еще находилось в эвакуации в г. Горьком на заводе № 2 1. Филиал этот нахо дился на территории авиационного завода № 381 и выпускал самолеты Ла-7. 21 октября 1944 г. под данное задание была закончена переделка первого серийно выпускавшегося Ла-7, который получил индекс — Ла-7Р-1.</w:t>
      </w:r>
    </w:p>
    <w:p w14:paraId="243ADCF3" w14:textId="77777777" w:rsidR="00E23482" w:rsidRPr="007224C3" w:rsidRDefault="00E23482"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Далее последовал еще один истребитель с индексом Ла-7Р-2.</w:t>
      </w:r>
    </w:p>
    <w:p w14:paraId="013B2987" w14:textId="77777777" w:rsidR="00E23482" w:rsidRPr="007224C3" w:rsidRDefault="00E23482"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На самолетах была доработана хвостовая часть фюзеляжа для размещения там РУ-1 с ЖРД РД-1 и дополнительно, связан ным с ним оборудованием. Центральный бензобак был заме нен баком с запасом азотной кислоты до 270 кг, а в правом крыле установили бак с запасом тракторного керосина 60 кг.</w:t>
      </w:r>
    </w:p>
    <w:p w14:paraId="55B4CBF3" w14:textId="77777777" w:rsidR="00E23482" w:rsidRPr="007224C3" w:rsidRDefault="00E23482"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По расчетам этого топлива должно было хватить для работы РД-1 в течение 3,5...3,8 мин. Запас бензина для поршневого двигателя АШ-82ФН был сокращен с 340 до 210 кг. Для по дачи компонентов топлива в камеру сгорания РД-1 примени ли помпу, которая приводилась во вращение специальным ва лом, имеющим фрикционное соединение с храповиком на зад ней крышке двигателя АШ-82ФН.</w:t>
      </w:r>
    </w:p>
    <w:p w14:paraId="1401140E" w14:textId="77777777" w:rsidR="00E23482" w:rsidRPr="007224C3" w:rsidRDefault="00E23482"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Давление в магистралях подачи кислоты и керосина со ставляло 40... 50 атм. Давление в камере сгорания РД-1 - 23 атм.</w:t>
      </w:r>
    </w:p>
    <w:p w14:paraId="086B15CF" w14:textId="77777777" w:rsidR="00E23482" w:rsidRPr="007224C3" w:rsidRDefault="00E23482"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Для управления работой РД-1 использовались ручка сектора газа и пусковой воздушный кран.</w:t>
      </w:r>
    </w:p>
    <w:p w14:paraId="0F306CEF" w14:textId="77777777" w:rsidR="00E23482" w:rsidRPr="007224C3" w:rsidRDefault="00E23482"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Для защиты от коррозии, к которой приводили даже не значительные пары азотной кислоты, была сделана тщатель ная изоляция в конструкции самолета, а в системе подачи и хранения кислоты применили более стойкие к кислотной ере де материалы (алюминий и его сплавы, нержавеющую сталь) (19586).</w:t>
      </w:r>
    </w:p>
    <w:p w14:paraId="4FCFD248" w14:textId="77777777" w:rsidR="00E23482" w:rsidRPr="007224C3" w:rsidRDefault="00E23482"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72C2FC9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марте 1944 г. в ОКБ-155 был проработан вариант истребителя МиГ-3 с мотором Пратт-Уитни R-2800-63 и турбокомпрессором Дженерал Электрик С-23, которые устанавливались на американском истребителе Рипаблик Р-47D-10RE "Тандерболт". За основу проекта был принят истребитель МиГ-9Е (И-211). При расчетной мощности 2250 л.с. (с учетом скоростного наддува) самолет должен был иметь максимальную скорость 740 км/ч на высоте 10000 м и практический потолок 14500 м. Полетная масса должна была составить 3800 кг. 8 апреля 1944 г. материалы были представлены на рассмотрение в НКАП, однако дальше теоретических разработок дело не пошло (5485,29).</w:t>
      </w:r>
    </w:p>
    <w:p w14:paraId="3D61A81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7A55D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марте 1944 г. вышел на испытания Як-9Б. Ближний разведчик Як-9Р представ</w:t>
      </w:r>
      <w:r w:rsidRPr="007224C3">
        <w:rPr>
          <w:rFonts w:ascii="Times New Roman" w:hAnsi="Times New Roman"/>
          <w:color w:val="000000" w:themeColor="text1"/>
          <w:sz w:val="16"/>
          <w:szCs w:val="16"/>
        </w:rPr>
        <w:softHyphen/>
        <w:t>лял собой переделку обычного Як-9, в свободном отсеке фюзеляжа которого размещался аэрофотоаппарат, позволяв</w:t>
      </w:r>
      <w:r w:rsidRPr="007224C3">
        <w:rPr>
          <w:rFonts w:ascii="Times New Roman" w:hAnsi="Times New Roman"/>
          <w:color w:val="000000" w:themeColor="text1"/>
          <w:sz w:val="16"/>
          <w:szCs w:val="16"/>
        </w:rPr>
        <w:softHyphen/>
        <w:t>ший вести плановую съемку с высот от 300 до 3000 м. Небольшими партиями этот самолет выпускался авиазаводами, кроме того, в полевых авиаремонт</w:t>
      </w:r>
      <w:r w:rsidRPr="007224C3">
        <w:rPr>
          <w:rFonts w:ascii="Times New Roman" w:hAnsi="Times New Roman"/>
          <w:color w:val="000000" w:themeColor="text1"/>
          <w:sz w:val="16"/>
          <w:szCs w:val="16"/>
        </w:rPr>
        <w:softHyphen/>
        <w:t>ных мастерских или на рембазах в такой разведчик переделывали се</w:t>
      </w:r>
      <w:r w:rsidRPr="007224C3">
        <w:rPr>
          <w:rFonts w:ascii="Times New Roman" w:hAnsi="Times New Roman"/>
          <w:color w:val="000000" w:themeColor="text1"/>
          <w:sz w:val="16"/>
          <w:szCs w:val="16"/>
        </w:rPr>
        <w:softHyphen/>
        <w:t>рийные Як-9. Второй вариант Як-9Р — даль</w:t>
      </w:r>
      <w:r w:rsidRPr="007224C3">
        <w:rPr>
          <w:rFonts w:ascii="Times New Roman" w:hAnsi="Times New Roman"/>
          <w:color w:val="000000" w:themeColor="text1"/>
          <w:sz w:val="16"/>
          <w:szCs w:val="16"/>
        </w:rPr>
        <w:softHyphen/>
        <w:t>ний разведчик, являлся модифика</w:t>
      </w:r>
      <w:r w:rsidRPr="007224C3">
        <w:rPr>
          <w:rFonts w:ascii="Times New Roman" w:hAnsi="Times New Roman"/>
          <w:color w:val="000000" w:themeColor="text1"/>
          <w:sz w:val="16"/>
          <w:szCs w:val="16"/>
        </w:rPr>
        <w:softHyphen/>
        <w:t>цией Як-9Д и отличался не только наличием фотоаппарата, но и бо</w:t>
      </w:r>
      <w:r w:rsidRPr="007224C3">
        <w:rPr>
          <w:rFonts w:ascii="Times New Roman" w:hAnsi="Times New Roman"/>
          <w:color w:val="000000" w:themeColor="text1"/>
          <w:sz w:val="16"/>
          <w:szCs w:val="16"/>
        </w:rPr>
        <w:softHyphen/>
        <w:t>лее богатым оборудованием. Не</w:t>
      </w:r>
      <w:r w:rsidRPr="007224C3">
        <w:rPr>
          <w:rFonts w:ascii="Times New Roman" w:hAnsi="Times New Roman"/>
          <w:color w:val="000000" w:themeColor="text1"/>
          <w:sz w:val="16"/>
          <w:szCs w:val="16"/>
        </w:rPr>
        <w:softHyphen/>
        <w:t>большое количество таких Як-9Р было построено на заводе №166. Як-9Р старались применять там, где проведение воздушной разведки другими самолетами, например Пе-2, было сопряжено с большим риском. Хотя ради спра</w:t>
      </w:r>
      <w:r w:rsidRPr="007224C3">
        <w:rPr>
          <w:rFonts w:ascii="Times New Roman" w:hAnsi="Times New Roman"/>
          <w:color w:val="000000" w:themeColor="text1"/>
          <w:sz w:val="16"/>
          <w:szCs w:val="16"/>
        </w:rPr>
        <w:softHyphen/>
        <w:t>ведливости следует сказать, что полностью заменить Пе-2 в подоб</w:t>
      </w:r>
      <w:r w:rsidRPr="007224C3">
        <w:rPr>
          <w:rFonts w:ascii="Times New Roman" w:hAnsi="Times New Roman"/>
          <w:color w:val="000000" w:themeColor="text1"/>
          <w:sz w:val="16"/>
          <w:szCs w:val="16"/>
        </w:rPr>
        <w:softHyphen/>
        <w:t>ных операциях Як-9Р не мог по при</w:t>
      </w:r>
      <w:r w:rsidRPr="007224C3">
        <w:rPr>
          <w:rFonts w:ascii="Times New Roman" w:hAnsi="Times New Roman"/>
          <w:color w:val="000000" w:themeColor="text1"/>
          <w:sz w:val="16"/>
          <w:szCs w:val="16"/>
        </w:rPr>
        <w:softHyphen/>
        <w:t>чине ограниченной видимости из кабины пилота. Летчик и штурман Пе-2 лучше наводили самолет на интересующий объект. Тем не ме</w:t>
      </w:r>
      <w:r w:rsidRPr="007224C3">
        <w:rPr>
          <w:rFonts w:ascii="Times New Roman" w:hAnsi="Times New Roman"/>
          <w:color w:val="000000" w:themeColor="text1"/>
          <w:sz w:val="16"/>
          <w:szCs w:val="16"/>
        </w:rPr>
        <w:softHyphen/>
        <w:t>нее, эти самолеты хорошо допол</w:t>
      </w:r>
      <w:r w:rsidRPr="007224C3">
        <w:rPr>
          <w:rFonts w:ascii="Times New Roman" w:hAnsi="Times New Roman"/>
          <w:color w:val="000000" w:themeColor="text1"/>
          <w:sz w:val="16"/>
          <w:szCs w:val="16"/>
        </w:rPr>
        <w:softHyphen/>
        <w:t>няли друг друга. Во Второй мировой войне ист</w:t>
      </w:r>
      <w:r w:rsidRPr="007224C3">
        <w:rPr>
          <w:rFonts w:ascii="Times New Roman" w:hAnsi="Times New Roman"/>
          <w:color w:val="000000" w:themeColor="text1"/>
          <w:sz w:val="16"/>
          <w:szCs w:val="16"/>
        </w:rPr>
        <w:softHyphen/>
        <w:t>ребители часто использовали для нанесения бомбовых ударов. В этих случаях боевой груз, включав</w:t>
      </w:r>
      <w:r w:rsidRPr="007224C3">
        <w:rPr>
          <w:rFonts w:ascii="Times New Roman" w:hAnsi="Times New Roman"/>
          <w:color w:val="000000" w:themeColor="text1"/>
          <w:sz w:val="16"/>
          <w:szCs w:val="16"/>
        </w:rPr>
        <w:softHyphen/>
        <w:t>ший одну или несколько бомб, под</w:t>
      </w:r>
      <w:r w:rsidRPr="007224C3">
        <w:rPr>
          <w:rFonts w:ascii="Times New Roman" w:hAnsi="Times New Roman"/>
          <w:color w:val="000000" w:themeColor="text1"/>
          <w:sz w:val="16"/>
          <w:szCs w:val="16"/>
        </w:rPr>
        <w:softHyphen/>
        <w:t>вешивали под фюзеляжем или кры</w:t>
      </w:r>
      <w:r w:rsidRPr="007224C3">
        <w:rPr>
          <w:rFonts w:ascii="Times New Roman" w:hAnsi="Times New Roman"/>
          <w:color w:val="000000" w:themeColor="text1"/>
          <w:sz w:val="16"/>
          <w:szCs w:val="16"/>
        </w:rPr>
        <w:softHyphen/>
        <w:t>лом, из-за чего существенно воз</w:t>
      </w:r>
      <w:r w:rsidRPr="007224C3">
        <w:rPr>
          <w:rFonts w:ascii="Times New Roman" w:hAnsi="Times New Roman"/>
          <w:color w:val="000000" w:themeColor="text1"/>
          <w:sz w:val="16"/>
          <w:szCs w:val="16"/>
        </w:rPr>
        <w:softHyphen/>
        <w:t>растало аэродинамическое сопротивление. На Як-9 был реализован иной способ размещения бомб — внутри фюзеляжа. За основу новой модификации, полу</w:t>
      </w:r>
      <w:r w:rsidRPr="007224C3">
        <w:rPr>
          <w:rFonts w:ascii="Times New Roman" w:hAnsi="Times New Roman"/>
          <w:color w:val="000000" w:themeColor="text1"/>
          <w:sz w:val="16"/>
          <w:szCs w:val="16"/>
        </w:rPr>
        <w:softHyphen/>
        <w:t>чившей обозначение сначала Як-9Л, а за</w:t>
      </w:r>
      <w:r w:rsidRPr="007224C3">
        <w:rPr>
          <w:rFonts w:ascii="Times New Roman" w:hAnsi="Times New Roman"/>
          <w:color w:val="000000" w:themeColor="text1"/>
          <w:sz w:val="16"/>
          <w:szCs w:val="16"/>
        </w:rPr>
        <w:softHyphen/>
        <w:t>тем Як-9Б, был взят истребитель Як-9Д. В свободном пространстве фюзеляжа за ка</w:t>
      </w:r>
      <w:r w:rsidRPr="007224C3">
        <w:rPr>
          <w:rFonts w:ascii="Times New Roman" w:hAnsi="Times New Roman"/>
          <w:color w:val="000000" w:themeColor="text1"/>
          <w:sz w:val="16"/>
          <w:szCs w:val="16"/>
        </w:rPr>
        <w:softHyphen/>
        <w:t>биной летчика конструкторы оборудовали бомбоотсек, содержащий четыре трубы, в которые можно было подвешивать четыре 100-кг бомбы или же размещать 4 кассеты по 32 про</w:t>
      </w:r>
      <w:r w:rsidRPr="007224C3">
        <w:rPr>
          <w:rFonts w:ascii="Times New Roman" w:hAnsi="Times New Roman"/>
          <w:color w:val="000000" w:themeColor="text1"/>
          <w:sz w:val="16"/>
          <w:szCs w:val="16"/>
        </w:rPr>
        <w:softHyphen/>
        <w:t>тивотанковые кумулятивные бомбы калибром 1,5 или 2,5 кг. Подвеска бомбового вооружения занимала 20-25 минут. Чтобы оценить, много или мало бомб мог нести Як-9Б, достаточно от</w:t>
      </w:r>
      <w:r w:rsidRPr="007224C3">
        <w:rPr>
          <w:rFonts w:ascii="Times New Roman" w:hAnsi="Times New Roman"/>
          <w:color w:val="000000" w:themeColor="text1"/>
          <w:sz w:val="16"/>
          <w:szCs w:val="16"/>
        </w:rPr>
        <w:softHyphen/>
        <w:t>метить, что его возможности соответствовали нормальной нагрузке штурмовика Ил-2.Испытания показали, что во фронтовых частях Як-9Б лучше использовать с бомбовой нагрузкой 200 кг, поскольку при загрузке 400 кг статиче</w:t>
      </w:r>
      <w:r w:rsidRPr="007224C3">
        <w:rPr>
          <w:rFonts w:ascii="Times New Roman" w:hAnsi="Times New Roman"/>
          <w:color w:val="000000" w:themeColor="text1"/>
          <w:sz w:val="16"/>
          <w:szCs w:val="16"/>
        </w:rPr>
        <w:softHyphen/>
        <w:t>ская устойчивость самолета недопустимо сни</w:t>
      </w:r>
      <w:r w:rsidRPr="007224C3">
        <w:rPr>
          <w:rFonts w:ascii="Times New Roman" w:hAnsi="Times New Roman"/>
          <w:color w:val="000000" w:themeColor="text1"/>
          <w:sz w:val="16"/>
          <w:szCs w:val="16"/>
        </w:rPr>
        <w:softHyphen/>
        <w:t>жалась, и в этом случае полеты на нем разре</w:t>
      </w:r>
      <w:r w:rsidRPr="007224C3">
        <w:rPr>
          <w:rFonts w:ascii="Times New Roman" w:hAnsi="Times New Roman"/>
          <w:color w:val="000000" w:themeColor="text1"/>
          <w:sz w:val="16"/>
          <w:szCs w:val="16"/>
        </w:rPr>
        <w:softHyphen/>
        <w:t>шались только летчикам с хорошей и отличной подготовкой. Самолетами Як-9Б была вооружена 130-я истребительная авиационная дивизия, дейст</w:t>
      </w:r>
      <w:r w:rsidRPr="007224C3">
        <w:rPr>
          <w:rFonts w:ascii="Times New Roman" w:hAnsi="Times New Roman"/>
          <w:color w:val="000000" w:themeColor="text1"/>
          <w:sz w:val="16"/>
          <w:szCs w:val="16"/>
        </w:rPr>
        <w:softHyphen/>
        <w:t>вовавшая на 3-м Белорусском фронте. Инте</w:t>
      </w:r>
      <w:r w:rsidRPr="007224C3">
        <w:rPr>
          <w:rFonts w:ascii="Times New Roman" w:hAnsi="Times New Roman"/>
          <w:color w:val="000000" w:themeColor="text1"/>
          <w:sz w:val="16"/>
          <w:szCs w:val="16"/>
        </w:rPr>
        <w:softHyphen/>
        <w:t>ресны результаты боевой работы этого соеди</w:t>
      </w:r>
      <w:r w:rsidRPr="007224C3">
        <w:rPr>
          <w:rFonts w:ascii="Times New Roman" w:hAnsi="Times New Roman"/>
          <w:color w:val="000000" w:themeColor="text1"/>
          <w:sz w:val="16"/>
          <w:szCs w:val="16"/>
        </w:rPr>
        <w:softHyphen/>
        <w:t>нения. В архиве Министерства обороны России имеются сведения о ее действиях с 18 декабря 1944 г. по 20 февраля 1945 г. За этот период ди визия совершила 2494 боевых вылета. Было сброшено 356,5 т бомб и проведено 53 воздуш</w:t>
      </w:r>
      <w:r w:rsidRPr="007224C3">
        <w:rPr>
          <w:rFonts w:ascii="Times New Roman" w:hAnsi="Times New Roman"/>
          <w:color w:val="000000" w:themeColor="text1"/>
          <w:sz w:val="16"/>
          <w:szCs w:val="16"/>
        </w:rPr>
        <w:softHyphen/>
        <w:t>ных боя, в которых противник потерял 25 само</w:t>
      </w:r>
      <w:r w:rsidRPr="007224C3">
        <w:rPr>
          <w:rFonts w:ascii="Times New Roman" w:hAnsi="Times New Roman"/>
          <w:color w:val="000000" w:themeColor="text1"/>
          <w:sz w:val="16"/>
          <w:szCs w:val="16"/>
        </w:rPr>
        <w:softHyphen/>
        <w:t>летов (20 FW190, 2 Bf1099О, 1 Аг56, 2 Нh129). В этих же боях сбито 4 Як-9Б и столько же подби</w:t>
      </w:r>
      <w:r w:rsidRPr="007224C3">
        <w:rPr>
          <w:rFonts w:ascii="Times New Roman" w:hAnsi="Times New Roman"/>
          <w:color w:val="000000" w:themeColor="text1"/>
          <w:sz w:val="16"/>
          <w:szCs w:val="16"/>
        </w:rPr>
        <w:softHyphen/>
        <w:t>то. Результаты бомбардировок: уничтожено танков — 29, бронетранспортеров — 11, авто</w:t>
      </w:r>
      <w:r w:rsidRPr="007224C3">
        <w:rPr>
          <w:rFonts w:ascii="Times New Roman" w:hAnsi="Times New Roman"/>
          <w:color w:val="000000" w:themeColor="text1"/>
          <w:sz w:val="16"/>
          <w:szCs w:val="16"/>
        </w:rPr>
        <w:softHyphen/>
        <w:t>машин — 1014, орудий — 7, паровозов — 18, железнодорожных вагонов — 161, станционных зданий — 20, складов горючего — 4 и т.д. Несмотря на, казалось бы, положительные ре</w:t>
      </w:r>
      <w:r w:rsidRPr="007224C3">
        <w:rPr>
          <w:rFonts w:ascii="Times New Roman" w:hAnsi="Times New Roman"/>
          <w:color w:val="000000" w:themeColor="text1"/>
          <w:sz w:val="16"/>
          <w:szCs w:val="16"/>
        </w:rPr>
        <w:softHyphen/>
        <w:t>зультаты боевой работы Як-9Б, фронтовые летчи</w:t>
      </w:r>
      <w:r w:rsidRPr="007224C3">
        <w:rPr>
          <w:rFonts w:ascii="Times New Roman" w:hAnsi="Times New Roman"/>
          <w:color w:val="000000" w:themeColor="text1"/>
          <w:sz w:val="16"/>
          <w:szCs w:val="16"/>
        </w:rPr>
        <w:softHyphen/>
        <w:t>ки дали ему невысокую оценку. Причина была до обидного простой — отсутствие специального прицела, который и установить в кабине одно</w:t>
      </w:r>
      <w:r w:rsidRPr="007224C3">
        <w:rPr>
          <w:rFonts w:ascii="Times New Roman" w:hAnsi="Times New Roman"/>
          <w:color w:val="000000" w:themeColor="text1"/>
          <w:sz w:val="16"/>
          <w:szCs w:val="16"/>
        </w:rPr>
        <w:softHyphen/>
        <w:t>местного истребителя не представлялось воз</w:t>
      </w:r>
      <w:r w:rsidRPr="007224C3">
        <w:rPr>
          <w:rFonts w:ascii="Times New Roman" w:hAnsi="Times New Roman"/>
          <w:color w:val="000000" w:themeColor="text1"/>
          <w:sz w:val="16"/>
          <w:szCs w:val="16"/>
        </w:rPr>
        <w:softHyphen/>
        <w:t>можным. Летчики вынуждены были использовать простейшие и далеко не самые эффективные способы прицеливания, которые, к тому же, для разных режимов бомбометания существенно от</w:t>
      </w:r>
      <w:r w:rsidRPr="007224C3">
        <w:rPr>
          <w:rFonts w:ascii="Times New Roman" w:hAnsi="Times New Roman"/>
          <w:color w:val="000000" w:themeColor="text1"/>
          <w:sz w:val="16"/>
          <w:szCs w:val="16"/>
        </w:rPr>
        <w:softHyphen/>
        <w:t>личались. Например, при бомбометании с гори</w:t>
      </w:r>
      <w:r w:rsidRPr="007224C3">
        <w:rPr>
          <w:rFonts w:ascii="Times New Roman" w:hAnsi="Times New Roman"/>
          <w:color w:val="000000" w:themeColor="text1"/>
          <w:sz w:val="16"/>
          <w:szCs w:val="16"/>
        </w:rPr>
        <w:softHyphen/>
        <w:t>зонтального полета летчик должен был визиро</w:t>
      </w:r>
      <w:r w:rsidRPr="007224C3">
        <w:rPr>
          <w:rFonts w:ascii="Times New Roman" w:hAnsi="Times New Roman"/>
          <w:color w:val="000000" w:themeColor="text1"/>
          <w:sz w:val="16"/>
          <w:szCs w:val="16"/>
        </w:rPr>
        <w:softHyphen/>
        <w:t>вать цель по капоту мотора, наметить впереди цели ориентир и выдерживать по нему курс, а бомбы сбросить через 3 секунды после «подхода цели к носу самолета». Не удивительно, что точ</w:t>
      </w:r>
      <w:r w:rsidRPr="007224C3">
        <w:rPr>
          <w:rFonts w:ascii="Times New Roman" w:hAnsi="Times New Roman"/>
          <w:color w:val="000000" w:themeColor="text1"/>
          <w:sz w:val="16"/>
          <w:szCs w:val="16"/>
        </w:rPr>
        <w:softHyphen/>
        <w:t>ность попадания оказывалась низкой. По этой причине Як-9Б не получил широкого распростра</w:t>
      </w:r>
      <w:r w:rsidRPr="007224C3">
        <w:rPr>
          <w:rFonts w:ascii="Times New Roman" w:hAnsi="Times New Roman"/>
          <w:color w:val="000000" w:themeColor="text1"/>
          <w:sz w:val="16"/>
          <w:szCs w:val="16"/>
        </w:rPr>
        <w:softHyphen/>
        <w:t>нения*. В общей сложности было построено 109 таких истребителей-бомбардировщиков (10712).</w:t>
      </w:r>
    </w:p>
    <w:p w14:paraId="7E3C10F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64ABB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марте 1944 заводской летчик капитан М.Я.Федотов вынужден был совершить посадку на первом серийном Як-9У с М-107А уже через 10 минут полета во избежание худшего: из мотора пошел дым. Изменения в выхлопных патрубках оказались не единственными. Кроме того, для снижения температуры в подкапотном пространстве сделали жабры на боковых крышках капотов и усилили кожухи обдува коллекторов. Более совершенной стала схема суфлирования мотора и маслобака. Для снижения усилий на ручке, несколько уменьшили площадь руля высоты. Кстати, начиная с этого времени моторы М-107А получили наименование ВК-107А в честь главного конструктора Владимира Климова. После облета первого серийного самолета, старший военпред завода инженер-подполковник подготовил дефектную ведомость, которая включапа 30 пунктов, причем 28 из них относились к конструктивным недостаткам. Военная премка в этом конфликте выступила на стороне дирекции завода, посчитав, что главный конструктор и его представители не проявляют настойчивости в устранении дефектов новой машины.</w:t>
      </w:r>
    </w:p>
    <w:p w14:paraId="6E1CD51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Согласно архивным даным, серийный самолет отличался от опытного не только в лучшую сторону. Внешняя отделка была далеко не столь совершенна: отсутствовала полировка поверхностей и не было специальных перегородок, закрывающих шели. Фонарь серийного самолета не имел механизма аварийного сброса, а бронезащита пилота была в конструктивном отношении подобна установленной на серийном Як-9 с мотором М-105ПФ, и в нынешних условиях уже не соответствовала требованиям ВВС Красной Армии (4842).</w:t>
      </w:r>
    </w:p>
    <w:p w14:paraId="63288B8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7CC94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В марте 1944 51 заводом ОКБ Н.Н.П. был выпущен У-2 ШС (Штабной самолет) - 5 местный лимузин по инициативе самого Н.Н.П. согласно пожеланиям ВВС. Остался в двух опытных экз. из-за смерти Н.Н.П. (1076,722).</w:t>
      </w:r>
    </w:p>
    <w:p w14:paraId="3F42747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7B0AF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марте 1944 г. на месте завода № 35 в Смоленске образован новый завод № 475 НКАП.</w:t>
      </w:r>
    </w:p>
    <w:p w14:paraId="52608AB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Количество оборудования: (11.1940 г.)-105 металлорежущих станков.</w:t>
      </w:r>
    </w:p>
    <w:p w14:paraId="5CB7227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Управляющий (1926 г.-)- М.В. Бавтуто. Директор (-06.1937-03.1940 г.)- М.А. Филатов, (03.1940 г.-)- И.Д. Алексеев.</w:t>
      </w:r>
    </w:p>
    <w:p w14:paraId="78B1223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директора (9.05.1938 г.-)- Я.Я. Вилямовский. Помощник директора по найму и увольнению (1.09.1938 г.-)- И.Л. Наздрев.</w:t>
      </w:r>
    </w:p>
    <w:p w14:paraId="3E7A77A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Технический директор (11.03.1937 г.-)- М.И. Исаев.</w:t>
      </w:r>
    </w:p>
    <w:p w14:paraId="7B4D8CF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инженер (9.05.1938 г.-)- Я.Я. Вилямовский.</w:t>
      </w:r>
    </w:p>
    <w:p w14:paraId="6925181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конструктор (-1938 г.)- В.А. Чижевский.</w:t>
      </w:r>
    </w:p>
    <w:p w14:paraId="4F1A5E6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Производство: самолеты: Р-5 (1937-38), БОК-1, БОК-5, БОК-7, БОК-11, БОК-15 (1938), БОК-17 (11982).</w:t>
      </w:r>
    </w:p>
    <w:p w14:paraId="41A4A821" w14:textId="77777777" w:rsidR="00C71B1D" w:rsidRPr="007224C3" w:rsidRDefault="00C71B1D"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D2C67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марте 1944 Р.Л.Б. сказал П.Дузю, что проектирует двухдвигательную транспортную и пассажирскую машину для номенклатуры областного и республиканского масштаба и с двумя вольнонаемными заканчивает эскизный проект (1105,7).</w:t>
      </w:r>
    </w:p>
    <w:p w14:paraId="051594B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F6C1C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марте 1944 г. АМ-39А на базе АМ-38Ф, 1500/1800 л.с. (по заданию 1700/1800 л.с.), карбюраторный, с нагнетателем от АМ-38Ф, но с двухскоростной передачей, водо-воздушным интеркулером проходил госиспытания в июле — летные испытания (11852).</w:t>
      </w:r>
    </w:p>
    <w:p w14:paraId="40753AA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57CB1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марте 1944 испытали планер Г-11 В.К.Грибовского, производство которого было восстановлено в Рязани с конца 1943. Л ст.л. Чубуков писал: “Управляемость планера достаточная. Запас рулей вполне обеспечивает вывод планера из самого тяжелого положенияю Управление Г-11 подобрано чрезвычайно удачно, будучи не таким строгим как у планера А-7, вместе с тем обеспечивает полную управляемость в трудных условиях при любых вариантах загрузки. При выполнении фигур пилотажа - штопора, переворота и бочки планер быстро выходит без запаздывания в нормальное положение. Посадка во всех вариантах загрузки проста и выполняется на малых скоростях...” (9080, 25).</w:t>
      </w:r>
    </w:p>
    <w:p w14:paraId="7F173AE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3C5C75" w14:textId="77777777" w:rsidR="00E23482" w:rsidRPr="007224C3" w:rsidRDefault="00E2348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марте 1944 г. в Рязани собрали первый Г-11, а к маю их изготовили более десятка. За образец взяли аппараты последних серий завода № 471 (19014).</w:t>
      </w:r>
    </w:p>
    <w:p w14:paraId="5BB3BD8F" w14:textId="77777777" w:rsidR="00E23482" w:rsidRPr="007224C3" w:rsidRDefault="00E23482" w:rsidP="007224C3">
      <w:pPr>
        <w:spacing w:after="0" w:line="240" w:lineRule="auto"/>
        <w:jc w:val="both"/>
        <w:rPr>
          <w:rFonts w:ascii="Times New Roman" w:hAnsi="Times New Roman"/>
          <w:color w:val="000000" w:themeColor="text1"/>
          <w:sz w:val="16"/>
          <w:szCs w:val="16"/>
        </w:rPr>
      </w:pPr>
    </w:p>
    <w:p w14:paraId="197BF49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 марте 1944 г. испытали первый «рязанский» Г-11. Планерист-испытатель старший лейтенант Чубуков написал в своем отзыве: «Управляемость планера достаточная. Запас рулей вполне обеспечивает вывод планера из самого тяжелого положения. Управление Г-11 подобрано чрезвычайно удачно, будучи не таким строгим, как у планера Г-14, вместе с тем обеспечивает полную управляемость в трудных условиях при любых вариантах загрузки. При выполнении фигур пилотажа — штопора, переворота и бочки планер быстро выходит без запаздывания в нормальное положение. Посадка во всех вариантах загрузки проста и выполняется на малых скоростях». В ходе серийного производства в конструкцию Г-11 вносились изменения. Начиная с экземпляра №21 на левом борту фюзеляжа оборудовали увеличенный грузовой люк шириной 1400 мм, а дверь на правом борту упразднили. С октября 1944 г. выпускались планеры с двойным управлением, амортизацией посадочной лыжи и дополнительными усилениями конструкции. В серии эти аппараты, дополнительным внешним отличием которых стал небольшой форкиль, получили обозначение Г-11У. Производство Г-11У прекратилось в середине 1945 г., однако, спустя год возобновилось и продолжалось вплоть до 1948 г. (точных данных о количестве Г-11, произведенных в этот период, не обнаружено). Использование Г-11 в период Великой Отечественной войны показало их высокую надежность и достаточную эффективность. Особенно активно планеры использовались для снабжения партизан в 1943–44 гг. В августе 1944-го конструктор Грибовский за доставку грузов планерами Г-11 партизанам Белоруссии был награжден медалью «Партизан Отечественной войны» (11810). </w:t>
      </w:r>
    </w:p>
    <w:p w14:paraId="4363E07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9A6D5E6"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марте 1944 г. первый планёр Г-11 собрали в Рязани, а к маю их изготовили более десятка. За образец взяли аппа</w:t>
      </w:r>
      <w:r w:rsidRPr="007224C3">
        <w:rPr>
          <w:rFonts w:ascii="Times New Roman" w:hAnsi="Times New Roman"/>
          <w:color w:val="000000" w:themeColor="text1"/>
          <w:sz w:val="16"/>
          <w:szCs w:val="16"/>
        </w:rPr>
        <w:softHyphen/>
        <w:t>раты последних серий завода № 471. В мае головной образец облетал стар</w:t>
      </w:r>
      <w:r w:rsidRPr="007224C3">
        <w:rPr>
          <w:rFonts w:ascii="Times New Roman" w:hAnsi="Times New Roman"/>
          <w:color w:val="000000" w:themeColor="text1"/>
          <w:sz w:val="16"/>
          <w:szCs w:val="16"/>
        </w:rPr>
        <w:softHyphen/>
        <w:t>ший лейтенант В. Чубуков с Опытно-испытательного полигона Воздушно-де- сантных войск. Взвешивание показало, что Г-11 № 63001 рязанского изготов</w:t>
      </w:r>
      <w:r w:rsidRPr="007224C3">
        <w:rPr>
          <w:rFonts w:ascii="Times New Roman" w:hAnsi="Times New Roman"/>
          <w:color w:val="000000" w:themeColor="text1"/>
          <w:sz w:val="16"/>
          <w:szCs w:val="16"/>
        </w:rPr>
        <w:softHyphen/>
        <w:t>ления на 64 кг тяжелее сделанного в Шумерли. По своей центровке, лётным данным и характеристикам пилотиро</w:t>
      </w:r>
      <w:r w:rsidRPr="007224C3">
        <w:rPr>
          <w:rFonts w:ascii="Times New Roman" w:hAnsi="Times New Roman"/>
          <w:color w:val="000000" w:themeColor="text1"/>
          <w:sz w:val="16"/>
          <w:szCs w:val="16"/>
        </w:rPr>
        <w:softHyphen/>
        <w:t>вания они не различались. Планёр показал себя устойчивым в полёте, отличался хорошей управляемостью. На нём даже выполняли штопор, пере</w:t>
      </w:r>
      <w:r w:rsidRPr="007224C3">
        <w:rPr>
          <w:rFonts w:ascii="Times New Roman" w:hAnsi="Times New Roman"/>
          <w:color w:val="000000" w:themeColor="text1"/>
          <w:sz w:val="16"/>
          <w:szCs w:val="16"/>
        </w:rPr>
        <w:softHyphen/>
        <w:t>ворот и бочку. При этом пилотирование Г-11 было проще, чем А-7.</w:t>
      </w:r>
    </w:p>
    <w:p w14:paraId="4068B9E3"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Начиная с 21-го экземпляра рязанс</w:t>
      </w:r>
      <w:r w:rsidRPr="007224C3">
        <w:rPr>
          <w:rFonts w:ascii="Times New Roman" w:hAnsi="Times New Roman"/>
          <w:color w:val="000000" w:themeColor="text1"/>
          <w:sz w:val="16"/>
          <w:szCs w:val="16"/>
        </w:rPr>
        <w:softHyphen/>
        <w:t>кой сборки ввели грузовой люк вместо двери на правом борту. Он закрывался двумя створками. На крыле появились интерцепторы. Позже предусмотрели резиновые пластинчатые амортизато</w:t>
      </w:r>
      <w:r w:rsidRPr="007224C3">
        <w:rPr>
          <w:rFonts w:ascii="Times New Roman" w:hAnsi="Times New Roman"/>
          <w:color w:val="000000" w:themeColor="text1"/>
          <w:sz w:val="16"/>
          <w:szCs w:val="16"/>
        </w:rPr>
        <w:softHyphen/>
        <w:t>ры для посадочной лыжи и установили небольшой форкиль (12266).</w:t>
      </w:r>
    </w:p>
    <w:p w14:paraId="0CB0116F" w14:textId="77777777" w:rsidR="00137373" w:rsidRPr="007224C3" w:rsidRDefault="00137373" w:rsidP="007224C3">
      <w:pPr>
        <w:spacing w:after="0" w:line="240" w:lineRule="auto"/>
        <w:jc w:val="both"/>
        <w:rPr>
          <w:rFonts w:ascii="Times New Roman" w:hAnsi="Times New Roman"/>
          <w:color w:val="000000" w:themeColor="text1"/>
          <w:sz w:val="16"/>
          <w:szCs w:val="16"/>
        </w:rPr>
      </w:pPr>
    </w:p>
    <w:p w14:paraId="59998C3D"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марте 1944 г. в Рязани собрали Первый планер Г-11, а к маю их изготовили более десятка. За образец взя</w:t>
      </w:r>
      <w:r w:rsidRPr="007224C3">
        <w:rPr>
          <w:rFonts w:ascii="Times New Roman" w:hAnsi="Times New Roman"/>
          <w:color w:val="000000" w:themeColor="text1"/>
          <w:sz w:val="16"/>
          <w:szCs w:val="16"/>
        </w:rPr>
        <w:softHyphen/>
        <w:t>ли аппараты последних серий завода № 471. В 1943 г. положение на фронтах улучшилось и на</w:t>
      </w:r>
      <w:r w:rsidRPr="007224C3">
        <w:rPr>
          <w:rFonts w:ascii="Times New Roman" w:hAnsi="Times New Roman"/>
          <w:color w:val="000000" w:themeColor="text1"/>
          <w:sz w:val="16"/>
          <w:szCs w:val="16"/>
        </w:rPr>
        <w:softHyphen/>
        <w:t>ладилось снабжение партизан с помощью планеров, так что производство Г-11 решили восстановить на заводе в Рязани. Туда из Тюмени перевели один из заводов, в котором Грибовского назначили главным конструктором. В мае головной образец облетал старший лейтенант В. Чу</w:t>
      </w:r>
      <w:r w:rsidRPr="007224C3">
        <w:rPr>
          <w:rFonts w:ascii="Times New Roman" w:hAnsi="Times New Roman"/>
          <w:color w:val="000000" w:themeColor="text1"/>
          <w:sz w:val="16"/>
          <w:szCs w:val="16"/>
        </w:rPr>
        <w:softHyphen/>
        <w:t>буков с Опытно-испытательного полигона Воздушно- десантных войск. Взвешивание показало, что Г-11 № 63001 рязанского изготовления на 64 кг тяжелее сделанного в Шумерли. По своей центровке, лет</w:t>
      </w:r>
      <w:r w:rsidRPr="007224C3">
        <w:rPr>
          <w:rFonts w:ascii="Times New Roman" w:hAnsi="Times New Roman"/>
          <w:color w:val="000000" w:themeColor="text1"/>
          <w:sz w:val="16"/>
          <w:szCs w:val="16"/>
        </w:rPr>
        <w:softHyphen/>
        <w:t>ным данным и характеристикам пилотирования они не различались. Планер показал себя устойчивым в полете, отличался хорошей управляемостью. На нем даже выполняли штопор, переворот и бочку. При этом пилотирование Г-11 было проще, чем А-7.</w:t>
      </w:r>
    </w:p>
    <w:p w14:paraId="72A5F3D9"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Начиная с 21-го экземпляра рязанской сборки ввели грузовой люк вместо двери на правом борту. Он закрывался двумя створками. На крыле появились интерцепторы. Позже предусмотрели резиновые пластинчатые амортизаторы для посадочной лыжи и установили небольшой форкиль.</w:t>
      </w:r>
    </w:p>
    <w:p w14:paraId="6388B70D"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ходе серийного производства в конструкцию Г-11 вносились изменения. Когда стало ясно, что сбрасывать парашютистов из планера не имеет смысла, то упразднили дверь на правом борту (с эк</w:t>
      </w:r>
      <w:r w:rsidRPr="007224C3">
        <w:rPr>
          <w:rFonts w:ascii="Times New Roman" w:hAnsi="Times New Roman"/>
          <w:color w:val="000000" w:themeColor="text1"/>
          <w:sz w:val="16"/>
          <w:szCs w:val="16"/>
        </w:rPr>
        <w:softHyphen/>
        <w:t>земпляра № 21), оставив ее только слева. Обобщив опыт применения Г-11, на рязанских планерах стали устанавливать широкую (1400 мм) грузовую дверь (12300).</w:t>
      </w:r>
    </w:p>
    <w:p w14:paraId="0EE36B3B" w14:textId="77777777" w:rsidR="00137373" w:rsidRPr="007224C3" w:rsidRDefault="00137373" w:rsidP="007224C3">
      <w:pPr>
        <w:spacing w:after="0" w:line="240" w:lineRule="auto"/>
        <w:jc w:val="both"/>
        <w:rPr>
          <w:rFonts w:ascii="Times New Roman" w:hAnsi="Times New Roman"/>
          <w:color w:val="000000" w:themeColor="text1"/>
          <w:sz w:val="16"/>
          <w:szCs w:val="16"/>
        </w:rPr>
      </w:pPr>
    </w:p>
    <w:p w14:paraId="4595736D" w14:textId="77777777" w:rsidR="00137373" w:rsidRPr="007224C3" w:rsidRDefault="00137373" w:rsidP="007224C3">
      <w:pPr>
        <w:shd w:val="clear" w:color="auto" w:fill="FFFFFF"/>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марте 1944 г. первый «рязанский» Г-11 испытали. Планерист-испытатель старший лейтенант Чубуков написал в своем отзыве:</w:t>
      </w:r>
    </w:p>
    <w:p w14:paraId="1179F0E5" w14:textId="77777777" w:rsidR="00137373" w:rsidRPr="007224C3" w:rsidRDefault="00137373" w:rsidP="007224C3">
      <w:pPr>
        <w:shd w:val="clear" w:color="auto" w:fill="FFFFFF"/>
        <w:spacing w:after="0" w:line="240" w:lineRule="auto"/>
        <w:jc w:val="both"/>
        <w:rPr>
          <w:rFonts w:ascii="Times New Roman" w:hAnsi="Times New Roman"/>
          <w:iCs/>
          <w:color w:val="000000" w:themeColor="text1"/>
          <w:sz w:val="16"/>
          <w:szCs w:val="16"/>
        </w:rPr>
      </w:pPr>
      <w:r w:rsidRPr="007224C3">
        <w:rPr>
          <w:rFonts w:ascii="Times New Roman" w:hAnsi="Times New Roman"/>
          <w:iCs/>
          <w:color w:val="000000" w:themeColor="text1"/>
          <w:sz w:val="16"/>
          <w:szCs w:val="16"/>
        </w:rPr>
        <w:t>«Управляемость планера достаточная. Запас рулей вполне обеспечивает вывод планера из самого тяжелого положения. Управление Г-11 подобрано чрезвычайно удачно, будучи не таким строгим, как у планера А-7, вместе с тем обеспечивает полную управляемость в трудных условиях при любых вариантах загрузки. При выполнении фигур пилотажа - штопора, переворота и бочки планер быстро выходит без запаздывания в нормальное положение. Посадка во всех вариантах загрузки проста и выполняется на малых скоростях».</w:t>
      </w:r>
    </w:p>
    <w:p w14:paraId="0E1B41EF" w14:textId="77777777" w:rsidR="00137373" w:rsidRPr="007224C3" w:rsidRDefault="00137373" w:rsidP="007224C3">
      <w:pPr>
        <w:shd w:val="clear" w:color="auto" w:fill="FFFFFF"/>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ходе серийного производства в конструкцию Г-11 вносились изменения. Начиная с экземпляра №21 на левом борту фюзеляжа оборудовали увеличенный грузовой люк шириной 1400 мм, а дверь на правом борту упразднили. С октября 1944 г. выпускались планеры с двойным управлением, амортизацией посадочной лыжи и дополнительными усилениями конструкции. В серии эти аппараты, дополнительным внешним отличием которых стал небольшой форкиль, получили обозначение Г-11У.</w:t>
      </w:r>
    </w:p>
    <w:p w14:paraId="46BD1EE7" w14:textId="77777777" w:rsidR="00137373" w:rsidRPr="007224C3" w:rsidRDefault="00137373" w:rsidP="007224C3">
      <w:pPr>
        <w:shd w:val="clear" w:color="auto" w:fill="FFFFFF"/>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Производство Г-11У прекратилось в середине 1945 г., однако, спустя год возобновилось и продолжалось вплоть до 1948 г. (точных данных о количестве Г-11, произведенных в этот период, не обнаружено).</w:t>
      </w:r>
    </w:p>
    <w:p w14:paraId="60575CC8" w14:textId="77777777" w:rsidR="00137373" w:rsidRPr="007224C3" w:rsidRDefault="00137373" w:rsidP="007224C3">
      <w:pPr>
        <w:shd w:val="clear" w:color="auto" w:fill="FFFFFF"/>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Использование Г-11 в период Великой Отечественной войны показало их высокую надежность и достаточную эффективность. Особенно активно планеры использовались для снабжения партизан в 1943-44 гг. В августе 1944-го конструктор Грибовский за доставку грузов планерами Г-11 партизанам Белоруссии был награжден медалью «Партизан Отечественной войны».</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677"/>
        <w:gridCol w:w="6645"/>
      </w:tblGrid>
      <w:tr w:rsidR="005106D0" w:rsidRPr="007224C3" w14:paraId="2D278DC1" w14:textId="77777777" w:rsidTr="00137373">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28F4ED5"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Модификация</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ED0039E"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Г-11</w:t>
            </w:r>
          </w:p>
        </w:tc>
      </w:tr>
      <w:tr w:rsidR="005106D0" w:rsidRPr="007224C3" w14:paraId="1E450E2F" w14:textId="77777777" w:rsidTr="00137373">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175F848"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Размах крыла, м</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5C2D3D4"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18.00</w:t>
            </w:r>
          </w:p>
        </w:tc>
      </w:tr>
      <w:tr w:rsidR="005106D0" w:rsidRPr="007224C3" w14:paraId="511EEA39" w14:textId="77777777" w:rsidTr="00137373">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A3DF451"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Длина, м</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5D2C010"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10.84</w:t>
            </w:r>
          </w:p>
        </w:tc>
      </w:tr>
      <w:tr w:rsidR="005106D0" w:rsidRPr="007224C3" w14:paraId="7EE617DE" w14:textId="77777777" w:rsidTr="00137373">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A0C6054"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Высота, м</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7D84544"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w:t>
            </w:r>
          </w:p>
        </w:tc>
      </w:tr>
      <w:tr w:rsidR="005106D0" w:rsidRPr="007224C3" w14:paraId="2C28E340" w14:textId="77777777" w:rsidTr="00137373">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C2E9B81"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Площадь крыла, м²</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3108772"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30.00</w:t>
            </w:r>
          </w:p>
        </w:tc>
      </w:tr>
      <w:tr w:rsidR="005106D0" w:rsidRPr="007224C3" w14:paraId="14FE30EC" w14:textId="77777777" w:rsidTr="00137373">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7A2E8FE"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Масса, кг</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FD1217A"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w:t>
            </w:r>
          </w:p>
        </w:tc>
      </w:tr>
      <w:tr w:rsidR="005106D0" w:rsidRPr="007224C3" w14:paraId="6FED1F9B" w14:textId="77777777" w:rsidTr="00137373">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6A77AEA"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пустого снаряженного</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2235128"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960</w:t>
            </w:r>
          </w:p>
        </w:tc>
      </w:tr>
      <w:tr w:rsidR="005106D0" w:rsidRPr="007224C3" w14:paraId="0716A815" w14:textId="77777777" w:rsidTr="00137373">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6E2605C"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максимальная взлетная</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597AEB8"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1660</w:t>
            </w:r>
          </w:p>
        </w:tc>
      </w:tr>
      <w:tr w:rsidR="005106D0" w:rsidRPr="007224C3" w14:paraId="606AAF9E" w14:textId="77777777" w:rsidTr="00137373">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B3ADBF0"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 скорость, км/ч</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C144367"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220</w:t>
            </w:r>
          </w:p>
        </w:tc>
      </w:tr>
      <w:tr w:rsidR="005106D0" w:rsidRPr="007224C3" w14:paraId="57F8269B" w14:textId="77777777" w:rsidTr="00137373">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7E01B22"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Полезная нагрузка:</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B7DE647"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11 десантников</w:t>
            </w:r>
          </w:p>
        </w:tc>
      </w:tr>
    </w:tbl>
    <w:p w14:paraId="65EDE90A" w14:textId="77777777" w:rsidR="00137373" w:rsidRPr="007224C3" w:rsidRDefault="00137373" w:rsidP="007224C3">
      <w:pPr>
        <w:pBdr>
          <w:bottom w:val="single" w:sz="6" w:space="2" w:color="EBEBEB"/>
        </w:pBdr>
        <w:shd w:val="clear" w:color="auto" w:fill="FFFFFF"/>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(12682).</w:t>
      </w:r>
    </w:p>
    <w:p w14:paraId="73121193" w14:textId="77777777" w:rsidR="00137373" w:rsidRPr="007224C3" w:rsidRDefault="00137373" w:rsidP="007224C3">
      <w:pPr>
        <w:pBdr>
          <w:bottom w:val="single" w:sz="6" w:space="2" w:color="EBEBEB"/>
        </w:pBdr>
        <w:shd w:val="clear" w:color="auto" w:fill="FFFFFF"/>
        <w:spacing w:after="0" w:line="240" w:lineRule="auto"/>
        <w:jc w:val="both"/>
        <w:rPr>
          <w:rFonts w:ascii="Times New Roman" w:hAnsi="Times New Roman"/>
          <w:color w:val="000000" w:themeColor="text1"/>
          <w:sz w:val="16"/>
          <w:szCs w:val="16"/>
        </w:rPr>
      </w:pPr>
    </w:p>
    <w:p w14:paraId="173938A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марте 1944 был утвержден Отчет по совместным 50-часовым испытаниям мотора АШ-83</w:t>
      </w:r>
    </w:p>
    <w:p w14:paraId="093F291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Конструктор А.Швецов, з-д № 19</w:t>
      </w:r>
    </w:p>
    <w:p w14:paraId="57177F8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Конструктивные отличия АШ-83 от АШ-82ФН следующие:</w:t>
      </w:r>
    </w:p>
    <w:p w14:paraId="3B84AF7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Гильзы цилиндров имеют увеличенное оребрение на 22%</w:t>
      </w:r>
    </w:p>
    <w:p w14:paraId="6C4C5C5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Крепление всасывающих труб к цилиндрам и выхлопных патрубков задних цилиндров осуществлено при помощи накидных гаек</w:t>
      </w:r>
    </w:p>
    <w:p w14:paraId="488070D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Диаметро крыльчатки нагнетателя 305 мм вместо 288 мм</w:t>
      </w:r>
    </w:p>
    <w:p w14:paraId="0274E6B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Основные дефекты:</w:t>
      </w:r>
    </w:p>
    <w:p w14:paraId="59C36CF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Прогар выхлопного клапана 14 цилиндра</w:t>
      </w:r>
    </w:p>
    <w:p w14:paraId="393931C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Задир поршня 5 цилиндра</w:t>
      </w:r>
    </w:p>
    <w:p w14:paraId="62387B0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Заключение:</w:t>
      </w:r>
    </w:p>
    <w:p w14:paraId="2BD4E1E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Надежность всех деталей и агрегатов удовлетворительная</w:t>
      </w:r>
    </w:p>
    <w:p w14:paraId="20EA7E3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Мотор АШ-83 может быть запущен в серийное пр-во со сроком службы между переборками - 50 часов</w:t>
      </w:r>
    </w:p>
    <w:p w14:paraId="5EF9832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ноябре 1944 прошел 100 часовые госиспытания (735,13).</w:t>
      </w:r>
    </w:p>
    <w:p w14:paraId="252A958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Мотор АШ-83</w:t>
      </w:r>
    </w:p>
    <w:p w14:paraId="6DB7A57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Взлетная мощность 1900 лс.с. при числе оборотов 25000 и наддуве 1240мм</w:t>
      </w:r>
    </w:p>
    <w:p w14:paraId="3953103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Удельный расхо топлива - 320-340 г/лс/час</w:t>
      </w:r>
    </w:p>
    <w:p w14:paraId="42A19C9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Номинальнаяч мощность:</w:t>
      </w:r>
    </w:p>
    <w:p w14:paraId="4D0136C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 земли 1550 л.с., число оборотов 2450, Рк 10140, удельный расход 290-315</w:t>
      </w:r>
    </w:p>
    <w:p w14:paraId="42A0508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1 гр высотности - 1700, 2450, 1040, расчетная всота 2000 м, удельный расход топлива 280-305, масла - 12, передаточное число 7,14 к 1</w:t>
      </w:r>
    </w:p>
    <w:p w14:paraId="1B3E472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2 гр. высотности - 1500, 2450, 1040, 5800, 305-325, 12, 10 к 1</w:t>
      </w:r>
    </w:p>
    <w:p w14:paraId="3F3B68A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Диаметр цилиндров - 155,5, ход поршня 155, литраж - 41,2, степень сжатия 7, степень редукции 11/16, площадь лба - 1,245 м2, сухой вес 916, уд. Вес 0,45 на взлетном.</w:t>
      </w:r>
    </w:p>
    <w:p w14:paraId="652B645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Габариты - длина 2013, диаметр 1260</w:t>
      </w:r>
    </w:p>
    <w:p w14:paraId="4CB5B0A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Топливо 4Б-78, масло МЗС, МК</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51"/>
        <w:gridCol w:w="1418"/>
        <w:gridCol w:w="1275"/>
        <w:gridCol w:w="1985"/>
        <w:gridCol w:w="1701"/>
      </w:tblGrid>
      <w:tr w:rsidR="005106D0" w:rsidRPr="007224C3" w14:paraId="67854662" w14:textId="77777777">
        <w:tc>
          <w:tcPr>
            <w:tcW w:w="1951" w:type="dxa"/>
            <w:tcBorders>
              <w:top w:val="single" w:sz="12" w:space="0" w:color="auto"/>
            </w:tcBorders>
          </w:tcPr>
          <w:p w14:paraId="7147D0D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Предельные величины</w:t>
            </w:r>
          </w:p>
        </w:tc>
        <w:tc>
          <w:tcPr>
            <w:tcW w:w="1418" w:type="dxa"/>
            <w:tcBorders>
              <w:top w:val="single" w:sz="12" w:space="0" w:color="auto"/>
            </w:tcBorders>
          </w:tcPr>
          <w:p w14:paraId="6B23827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 бенз. кг/см2</w:t>
            </w:r>
          </w:p>
        </w:tc>
        <w:tc>
          <w:tcPr>
            <w:tcW w:w="1275" w:type="dxa"/>
            <w:tcBorders>
              <w:top w:val="single" w:sz="12" w:space="0" w:color="auto"/>
            </w:tcBorders>
          </w:tcPr>
          <w:p w14:paraId="4C5148F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 масла кг/см2</w:t>
            </w:r>
          </w:p>
        </w:tc>
        <w:tc>
          <w:tcPr>
            <w:tcW w:w="1985" w:type="dxa"/>
            <w:tcBorders>
              <w:top w:val="single" w:sz="12" w:space="0" w:color="auto"/>
            </w:tcBorders>
          </w:tcPr>
          <w:p w14:paraId="656983B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температура масла</w:t>
            </w:r>
          </w:p>
        </w:tc>
        <w:tc>
          <w:tcPr>
            <w:tcW w:w="1701" w:type="dxa"/>
            <w:tcBorders>
              <w:top w:val="single" w:sz="12" w:space="0" w:color="auto"/>
            </w:tcBorders>
          </w:tcPr>
          <w:p w14:paraId="1BF029E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температура головок цилиндров</w:t>
            </w:r>
          </w:p>
        </w:tc>
      </w:tr>
      <w:tr w:rsidR="005106D0" w:rsidRPr="007224C3" w14:paraId="01CED249" w14:textId="77777777">
        <w:tc>
          <w:tcPr>
            <w:tcW w:w="1951" w:type="dxa"/>
          </w:tcPr>
          <w:p w14:paraId="7EE9FCE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Минимальная</w:t>
            </w:r>
          </w:p>
        </w:tc>
        <w:tc>
          <w:tcPr>
            <w:tcW w:w="1418" w:type="dxa"/>
          </w:tcPr>
          <w:p w14:paraId="7198524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w:t>
            </w:r>
          </w:p>
          <w:p w14:paraId="7B9973B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1,5-2</w:t>
            </w:r>
          </w:p>
        </w:tc>
        <w:tc>
          <w:tcPr>
            <w:tcW w:w="1275" w:type="dxa"/>
          </w:tcPr>
          <w:p w14:paraId="48F8178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w:t>
            </w:r>
          </w:p>
          <w:p w14:paraId="70AC7CB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5-6</w:t>
            </w:r>
          </w:p>
        </w:tc>
        <w:tc>
          <w:tcPr>
            <w:tcW w:w="1985" w:type="dxa"/>
          </w:tcPr>
          <w:p w14:paraId="2439B2C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вх. 50, вых. 60</w:t>
            </w:r>
          </w:p>
        </w:tc>
        <w:tc>
          <w:tcPr>
            <w:tcW w:w="1701" w:type="dxa"/>
          </w:tcPr>
          <w:p w14:paraId="548B5F2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120</w:t>
            </w:r>
          </w:p>
        </w:tc>
      </w:tr>
      <w:tr w:rsidR="005106D0" w:rsidRPr="007224C3" w14:paraId="2905D81A" w14:textId="77777777">
        <w:tc>
          <w:tcPr>
            <w:tcW w:w="1951" w:type="dxa"/>
          </w:tcPr>
          <w:p w14:paraId="7665EFF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Рекомендуемая</w:t>
            </w:r>
          </w:p>
        </w:tc>
        <w:tc>
          <w:tcPr>
            <w:tcW w:w="1418" w:type="dxa"/>
          </w:tcPr>
          <w:p w14:paraId="3FB2DDF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w:t>
            </w:r>
          </w:p>
        </w:tc>
        <w:tc>
          <w:tcPr>
            <w:tcW w:w="1275" w:type="dxa"/>
          </w:tcPr>
          <w:p w14:paraId="4BF9855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5,5-6,5</w:t>
            </w:r>
          </w:p>
        </w:tc>
        <w:tc>
          <w:tcPr>
            <w:tcW w:w="1985" w:type="dxa"/>
          </w:tcPr>
          <w:p w14:paraId="3E7C970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вх. 60-75, вых. 80-100</w:t>
            </w:r>
          </w:p>
        </w:tc>
        <w:tc>
          <w:tcPr>
            <w:tcW w:w="1701" w:type="dxa"/>
          </w:tcPr>
          <w:p w14:paraId="4CBA7AC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215</w:t>
            </w:r>
          </w:p>
        </w:tc>
      </w:tr>
      <w:tr w:rsidR="005106D0" w:rsidRPr="007224C3" w14:paraId="7640FAF4" w14:textId="77777777">
        <w:tc>
          <w:tcPr>
            <w:tcW w:w="1951" w:type="dxa"/>
            <w:tcBorders>
              <w:bottom w:val="single" w:sz="12" w:space="0" w:color="auto"/>
            </w:tcBorders>
          </w:tcPr>
          <w:p w14:paraId="604017D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w:t>
            </w:r>
          </w:p>
        </w:tc>
        <w:tc>
          <w:tcPr>
            <w:tcW w:w="1418" w:type="dxa"/>
            <w:tcBorders>
              <w:bottom w:val="single" w:sz="12" w:space="0" w:color="auto"/>
            </w:tcBorders>
          </w:tcPr>
          <w:p w14:paraId="15DE738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w:t>
            </w:r>
          </w:p>
        </w:tc>
        <w:tc>
          <w:tcPr>
            <w:tcW w:w="1275" w:type="dxa"/>
            <w:tcBorders>
              <w:bottom w:val="single" w:sz="12" w:space="0" w:color="auto"/>
            </w:tcBorders>
          </w:tcPr>
          <w:p w14:paraId="1202201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5,5-6,5</w:t>
            </w:r>
          </w:p>
        </w:tc>
        <w:tc>
          <w:tcPr>
            <w:tcW w:w="1985" w:type="dxa"/>
            <w:tcBorders>
              <w:bottom w:val="single" w:sz="12" w:space="0" w:color="auto"/>
            </w:tcBorders>
          </w:tcPr>
          <w:p w14:paraId="7696C2D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вх. 85, вых. 125</w:t>
            </w:r>
          </w:p>
        </w:tc>
        <w:tc>
          <w:tcPr>
            <w:tcW w:w="1701" w:type="dxa"/>
            <w:tcBorders>
              <w:bottom w:val="single" w:sz="12" w:space="0" w:color="auto"/>
            </w:tcBorders>
          </w:tcPr>
          <w:p w14:paraId="10BE795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250</w:t>
            </w:r>
          </w:p>
        </w:tc>
      </w:tr>
    </w:tbl>
    <w:p w14:paraId="35E85D6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(735,13).</w:t>
      </w:r>
    </w:p>
    <w:p w14:paraId="2E52F3B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5D2E3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марте 1944 г. завод № 300 приступил к се</w:t>
      </w:r>
      <w:r w:rsidRPr="007224C3">
        <w:rPr>
          <w:rFonts w:ascii="Times New Roman" w:hAnsi="Times New Roman"/>
          <w:color w:val="000000" w:themeColor="text1"/>
          <w:sz w:val="16"/>
          <w:szCs w:val="16"/>
        </w:rPr>
        <w:softHyphen/>
        <w:t>рийному производству турбокомпрессоров ТК-3 для высотных са</w:t>
      </w:r>
      <w:r w:rsidRPr="007224C3">
        <w:rPr>
          <w:rFonts w:ascii="Times New Roman" w:hAnsi="Times New Roman"/>
          <w:color w:val="000000" w:themeColor="text1"/>
          <w:sz w:val="16"/>
          <w:szCs w:val="16"/>
        </w:rPr>
        <w:softHyphen/>
        <w:t>молетов Мясищева и Лавочкина. За месяц было выпущено 15 эк</w:t>
      </w:r>
      <w:r w:rsidRPr="007224C3">
        <w:rPr>
          <w:rFonts w:ascii="Times New Roman" w:hAnsi="Times New Roman"/>
          <w:color w:val="000000" w:themeColor="text1"/>
          <w:sz w:val="16"/>
          <w:szCs w:val="16"/>
        </w:rPr>
        <w:softHyphen/>
        <w:t>земпляров ТК-3. Два из них проходили комиссионные испытания. Выявились недостатки, потребовавшие доработки уже готовых тур</w:t>
      </w:r>
      <w:r w:rsidRPr="007224C3">
        <w:rPr>
          <w:rFonts w:ascii="Times New Roman" w:hAnsi="Times New Roman"/>
          <w:color w:val="000000" w:themeColor="text1"/>
          <w:sz w:val="16"/>
          <w:szCs w:val="16"/>
        </w:rPr>
        <w:softHyphen/>
        <w:t>бокомпрессоров. После переделки ТК работали нормально, и заказ</w:t>
      </w:r>
      <w:r w:rsidRPr="007224C3">
        <w:rPr>
          <w:rFonts w:ascii="Times New Roman" w:hAnsi="Times New Roman"/>
          <w:color w:val="000000" w:themeColor="text1"/>
          <w:sz w:val="16"/>
          <w:szCs w:val="16"/>
        </w:rPr>
        <w:softHyphen/>
        <w:t>чику сдали 34 агрегата. Наркомат авиапрома затягивал принятие решения о дальнейшем производстве ТК-3, а потом выдал совершен</w:t>
      </w:r>
      <w:r w:rsidRPr="007224C3">
        <w:rPr>
          <w:rFonts w:ascii="Times New Roman" w:hAnsi="Times New Roman"/>
          <w:color w:val="000000" w:themeColor="text1"/>
          <w:sz w:val="16"/>
          <w:szCs w:val="16"/>
        </w:rPr>
        <w:softHyphen/>
        <w:t>но нереальный заказ на изготовление 90 экземпляров. Даже с уче</w:t>
      </w:r>
      <w:r w:rsidRPr="007224C3">
        <w:rPr>
          <w:rFonts w:ascii="Times New Roman" w:hAnsi="Times New Roman"/>
          <w:color w:val="000000" w:themeColor="text1"/>
          <w:sz w:val="16"/>
          <w:szCs w:val="16"/>
        </w:rPr>
        <w:softHyphen/>
        <w:t xml:space="preserve">том собранных в 1945 г., заказчику было сдано всего 64 агрегата (10781). Параллельно с ТК-3 Микулин разрабатывал турбокомпрессор собственной конструкции ТК-300, затем ТК-300Б, которые явились прототипами уникального турбокомпрессора. </w:t>
      </w:r>
    </w:p>
    <w:p w14:paraId="74C1DEC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8D1F8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марте 1944 г. проводили госиспытания на стенде М-12, прерванные из-за поломки через 30 ч. Всего изготовили шесть-семь опытных экземпляров. Работы по М-12 Коссов вел до осени 1944 г. Впоследствии узлы коссовского М-12 скомбинировали с цилиндровой группой двигателя М-11Д, получив М-11ФР, запущенный в серию (11478).</w:t>
      </w:r>
    </w:p>
    <w:p w14:paraId="5CFEB18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1EDE9E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марте 1944 г. АМ-39 про</w:t>
      </w:r>
      <w:r w:rsidRPr="007224C3">
        <w:rPr>
          <w:rFonts w:ascii="Times New Roman" w:hAnsi="Times New Roman"/>
          <w:color w:val="000000" w:themeColor="text1"/>
          <w:sz w:val="16"/>
          <w:szCs w:val="16"/>
        </w:rPr>
        <w:softHyphen/>
        <w:t>шел госиспытания, но в большую серию не запускался. В апреле 1944 г. 10 АМ-39 изготовили на заводе № 45, в мае — июне того же года 22 экз. переделали на заводе № 300 из АМ-38Ф с исполь</w:t>
      </w:r>
      <w:r w:rsidRPr="007224C3">
        <w:rPr>
          <w:rFonts w:ascii="Times New Roman" w:hAnsi="Times New Roman"/>
          <w:color w:val="000000" w:themeColor="text1"/>
          <w:sz w:val="16"/>
          <w:szCs w:val="16"/>
        </w:rPr>
        <w:softHyphen/>
        <w:t>зованием узлов, изготовленных заводом № 45.</w:t>
      </w:r>
    </w:p>
    <w:p w14:paraId="0F32220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Характеристики:</w:t>
      </w:r>
    </w:p>
    <w:p w14:paraId="115100E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12-цилиндровый рядный У-образный, четырехтактный, водяного охлаждения, редукторный, с двухскоростным ПЦН и интеркулером;</w:t>
      </w:r>
    </w:p>
    <w:p w14:paraId="6B9B550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диаметр цилиндра/ход поршня 160/190 мм (в цилиндрах с прицепными шатунами 196,8 мм);</w:t>
      </w:r>
    </w:p>
    <w:p w14:paraId="411A14E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объем 46,66 л;</w:t>
      </w:r>
    </w:p>
    <w:p w14:paraId="20A1E69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мощность и вес в зависимости от модификации;</w:t>
      </w:r>
    </w:p>
    <w:p w14:paraId="7E174F6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запуск сжатым воздухом;</w:t>
      </w:r>
    </w:p>
    <w:p w14:paraId="5F4DC62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возможна установка синхронизатора. Известны модификации:</w:t>
      </w:r>
    </w:p>
    <w:p w14:paraId="45B7DF1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АМ-39 на базе АМ-38, 1500/1800 л.с., карбюраторный.</w:t>
      </w:r>
    </w:p>
    <w:p w14:paraId="39F6918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АМ-39А на базе АМ-38Ф, 1500/1800 л.с. (по заданию 1700/1800 л.с.), карбюраторный, с нагнетателем от АМ-38Ф, но с двухскоростной передачей, водо-воздушным интеркулером. Проходил госиспытания в марте 1944 г., в июле — летные испытания.</w:t>
      </w:r>
    </w:p>
    <w:p w14:paraId="4338F06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АМ-39А-ТК с турбонагнетателями ТК-Б. Испытывался на самолете И-224 в феврале 1944 г.</w:t>
      </w:r>
    </w:p>
    <w:p w14:paraId="7A6AB65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АМ-39Б (АМ-39Б-ТК), 1580/1890 л.с., вариант предыдущего типа с двумя турбонагнетателями ТК-ЗООБ и воздухо-воздушным интеркуле</w:t>
      </w:r>
      <w:r w:rsidRPr="007224C3">
        <w:rPr>
          <w:rFonts w:ascii="Times New Roman" w:hAnsi="Times New Roman"/>
          <w:color w:val="000000" w:themeColor="text1"/>
          <w:sz w:val="16"/>
          <w:szCs w:val="16"/>
        </w:rPr>
        <w:softHyphen/>
        <w:t>ром. Испытывался в июне 1944 г. на И-224.</w:t>
      </w:r>
    </w:p>
    <w:p w14:paraId="6AE31B0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АМ-39В с одним турбонагнетателем АМТК-1, установленным только на одном блоке двигателя (асимметрично); с другой стороны — вы</w:t>
      </w:r>
      <w:r w:rsidRPr="007224C3">
        <w:rPr>
          <w:rFonts w:ascii="Times New Roman" w:hAnsi="Times New Roman"/>
          <w:color w:val="000000" w:themeColor="text1"/>
          <w:sz w:val="16"/>
          <w:szCs w:val="16"/>
        </w:rPr>
        <w:softHyphen/>
        <w:t>хлопные патрубки.</w:t>
      </w:r>
    </w:p>
    <w:p w14:paraId="25909E2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Мотор АМ-39 с турбонагнетателем АМТК</w:t>
      </w:r>
    </w:p>
    <w:p w14:paraId="38102A7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АМ-39Ф с новым односкоростным ПЦН, форсирован по оборотам и наддуву, мощность 1800/1800 л.с. В ноябре 1944 г. прошел заводские испытания, затем летные на самолете «63».</w:t>
      </w:r>
    </w:p>
    <w:p w14:paraId="5F38F69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АМ-39Ф — вариант предыдущего с впрыском воды на режиме фор</w:t>
      </w:r>
      <w:r w:rsidRPr="007224C3">
        <w:rPr>
          <w:rFonts w:ascii="Times New Roman" w:hAnsi="Times New Roman"/>
          <w:color w:val="000000" w:themeColor="text1"/>
          <w:sz w:val="16"/>
          <w:szCs w:val="16"/>
        </w:rPr>
        <w:softHyphen/>
        <w:t>сажа.</w:t>
      </w:r>
    </w:p>
    <w:p w14:paraId="2758A18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АМ-39ФК с форкамерным зажиганием, 1600/1850 л.с. В начале 1946 г. изготовили два опытных экземпляра и начали заводские испытания. В 1947 г. выпустили еще семь двигателей. На государственные ис</w:t>
      </w:r>
      <w:r w:rsidRPr="007224C3">
        <w:rPr>
          <w:rFonts w:ascii="Times New Roman" w:hAnsi="Times New Roman"/>
          <w:color w:val="000000" w:themeColor="text1"/>
          <w:sz w:val="16"/>
          <w:szCs w:val="16"/>
        </w:rPr>
        <w:softHyphen/>
        <w:t>пытания АМ-39ФК не предъявлялся.</w:t>
      </w:r>
    </w:p>
    <w:p w14:paraId="0E3A558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 АМ-39ФН (ФНВ), форсированный, с непосредственным впрыском, на базе АМ-38Ф. Разрабатывался в ОКБ-300 с середины 1944 г. От</w:t>
      </w:r>
      <w:r w:rsidRPr="007224C3">
        <w:rPr>
          <w:rFonts w:ascii="Times New Roman" w:hAnsi="Times New Roman"/>
          <w:color w:val="000000" w:themeColor="text1"/>
          <w:sz w:val="16"/>
          <w:szCs w:val="16"/>
        </w:rPr>
        <w:softHyphen/>
        <w:t>личался улучшенной гидравликой ПЦН, увеличенным диаметром его крыльчатки, увеличенным диаметром клапанов, всасывающими па</w:t>
      </w:r>
      <w:r w:rsidRPr="007224C3">
        <w:rPr>
          <w:rFonts w:ascii="Times New Roman" w:hAnsi="Times New Roman"/>
          <w:color w:val="000000" w:themeColor="text1"/>
          <w:sz w:val="16"/>
          <w:szCs w:val="16"/>
        </w:rPr>
        <w:softHyphen/>
        <w:t>трубками по типу мотора Аллисон У-1710. Мощность первоначально 1600/1850 л.с., затем 1730/2130 л.с., вес 970 кг. Испытания велись с августа 1944 г., официальные заводские испытания проходили в январе 1945 г. Летом того же года моторы испытывались на бомбардиров</w:t>
      </w:r>
      <w:r w:rsidRPr="007224C3">
        <w:rPr>
          <w:rFonts w:ascii="Times New Roman" w:hAnsi="Times New Roman"/>
          <w:color w:val="000000" w:themeColor="text1"/>
          <w:sz w:val="16"/>
          <w:szCs w:val="16"/>
        </w:rPr>
        <w:softHyphen/>
        <w:t>щике Ту-2. Работы прекращены в сентябре 1945 г. по распоряжению Микулина в связи с успехом модификации АМ-39ФН2. - АМ-39ФН2, аналог АМ-39ФН на базе АМ-42, 1600/1850 л.с., вес 1080 кг. В 1-м квартале 1946 г. изготовлены пять экземпляров, на которых вели госиспытания.</w:t>
      </w:r>
    </w:p>
    <w:p w14:paraId="6EEFAB1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Двигатели семейства АМ-39 устанавливали на опытных самолетах «68» (Ту-4), И-231 (2Д, МиГ-ЗДД), ИТП (М-2), ВП(К), ТИС-МА, И-224 (МиГ-7), на малой серии бомбардировщиков Ту-10. Их применение преду</w:t>
      </w:r>
      <w:r w:rsidRPr="007224C3">
        <w:rPr>
          <w:rFonts w:ascii="Times New Roman" w:hAnsi="Times New Roman"/>
          <w:color w:val="000000" w:themeColor="text1"/>
          <w:sz w:val="16"/>
          <w:szCs w:val="16"/>
        </w:rPr>
        <w:softHyphen/>
        <w:t>сматривалось проектом самолета СПС (11852).</w:t>
      </w:r>
    </w:p>
    <w:p w14:paraId="7B83F1D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E1A67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марте 1944 г. прошли полигонные госиспытания ФАБ-2000М43, снаряженных аммотолом 50/50 методом горячей заливки. В ходе их с бомбардировщика Пе-8 с высот 2000-4000 м при скорости носителя 280 км/ч сбросили 10 авиабомб по песчаному грунту со слоем мерзлоты толщиной 0,1 м. Половину партии боеприпасов оснастили в головное очко взрывателями АВ-1, а в донное - взрывателями АПУВ. Остальные были окончательно снаряжены взрывателями АВ-1 с 22-секундным замедлением. Для сравнения с высоты 2000 м сбрасывали ФАБ-2000св, снаряженные тротилом, а также взрывателями АТП в головном очке и взрывателями АДП - в донном.</w:t>
      </w:r>
    </w:p>
    <w:p w14:paraId="5EBAEEB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Испытания показали, что при бомбометании новых боеприпасов с высоты 2000 м в грунте образуются воронки диаметром 20 м и глубиной 4 м. Авиабомбы сработали от донного взрывателя АПУВ-М с замедлением 0,3 с, дав полный взрыв, при котором был виден огонь. Последнее свидетельствовало о незначительном заглублении боеприпаса в землю. В аналогичных условиях взрыв ФАБ-2000св с тротиловым снаряжением создал воронки глубиной 5 м и диаметром 15 м. В первом случае объем выброшенного грунта составил 578 м3, а во втором - 291 м3 (7453).</w:t>
      </w:r>
    </w:p>
    <w:p w14:paraId="44653FD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4E247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марте 1944 г. в Наркомате боеприпасов от НИИ-6 НКБ потребовали повысить характеристики пиротехнических фотоосветительных средств и оптимизировать методику измерения светотехнических характеристик. Дело в том, что специалисты НИИ-6 утверждали, что “максимум вспышки” у серийных фотобомб наступает не через 0,01 с, как это предусматривалось, а через 0,3 с. В связи с этим представители заказчика также заинтересовались проверкой спорных вопросов (7453).</w:t>
      </w:r>
    </w:p>
    <w:p w14:paraId="7FDAE15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04CD0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марте 1944 НКБ потребовал от НИИ-6 повысить характеристики пиротехнических фотоосветительных средств (7453, 577).</w:t>
      </w:r>
    </w:p>
    <w:p w14:paraId="523B804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B6119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марте 1944 состоялось заседание коллегии НКАП по вопросам внедрения поточных методов с участием директоров самолетостроительных и двигателестроительных заводов (173,225).</w:t>
      </w:r>
    </w:p>
    <w:p w14:paraId="16CDC53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13B66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марте 1944 был подготовлен перечень заводов НКАП, на которых установили усиленное медико-санитарное обслуживание: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75"/>
        <w:gridCol w:w="3532"/>
        <w:gridCol w:w="3532"/>
        <w:gridCol w:w="2859"/>
      </w:tblGrid>
      <w:tr w:rsidR="005106D0" w:rsidRPr="007224C3" w14:paraId="66DF15AF" w14:textId="77777777">
        <w:tc>
          <w:tcPr>
            <w:tcW w:w="675" w:type="dxa"/>
          </w:tcPr>
          <w:p w14:paraId="62489A8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Номер</w:t>
            </w:r>
          </w:p>
        </w:tc>
        <w:tc>
          <w:tcPr>
            <w:tcW w:w="3532" w:type="dxa"/>
          </w:tcPr>
          <w:p w14:paraId="165E020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Город</w:t>
            </w:r>
          </w:p>
        </w:tc>
        <w:tc>
          <w:tcPr>
            <w:tcW w:w="3532" w:type="dxa"/>
          </w:tcPr>
          <w:p w14:paraId="2F812C4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w:t>
            </w:r>
          </w:p>
        </w:tc>
        <w:tc>
          <w:tcPr>
            <w:tcW w:w="2859" w:type="dxa"/>
          </w:tcPr>
          <w:p w14:paraId="098C4FD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п/я</w:t>
            </w:r>
          </w:p>
        </w:tc>
      </w:tr>
      <w:tr w:rsidR="005106D0" w:rsidRPr="007224C3" w14:paraId="3F5092C0" w14:textId="77777777">
        <w:tc>
          <w:tcPr>
            <w:tcW w:w="675" w:type="dxa"/>
          </w:tcPr>
          <w:p w14:paraId="174FD81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tc>
        <w:tc>
          <w:tcPr>
            <w:tcW w:w="3532" w:type="dxa"/>
          </w:tcPr>
          <w:p w14:paraId="6D215A9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Куйбышев</w:t>
            </w:r>
          </w:p>
        </w:tc>
        <w:tc>
          <w:tcPr>
            <w:tcW w:w="3532" w:type="dxa"/>
          </w:tcPr>
          <w:p w14:paraId="339E5A0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Третьяков</w:t>
            </w:r>
          </w:p>
        </w:tc>
        <w:tc>
          <w:tcPr>
            <w:tcW w:w="2859" w:type="dxa"/>
          </w:tcPr>
          <w:p w14:paraId="5CF1B24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208</w:t>
            </w:r>
          </w:p>
        </w:tc>
      </w:tr>
      <w:tr w:rsidR="005106D0" w:rsidRPr="007224C3" w14:paraId="34FB4EE2" w14:textId="77777777">
        <w:tc>
          <w:tcPr>
            <w:tcW w:w="675" w:type="dxa"/>
          </w:tcPr>
          <w:p w14:paraId="111AA47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w:t>
            </w:r>
          </w:p>
        </w:tc>
        <w:tc>
          <w:tcPr>
            <w:tcW w:w="3532" w:type="dxa"/>
          </w:tcPr>
          <w:p w14:paraId="4625605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Казань</w:t>
            </w:r>
          </w:p>
        </w:tc>
        <w:tc>
          <w:tcPr>
            <w:tcW w:w="3532" w:type="dxa"/>
          </w:tcPr>
          <w:p w14:paraId="22ED0ED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Лукин</w:t>
            </w:r>
          </w:p>
        </w:tc>
        <w:tc>
          <w:tcPr>
            <w:tcW w:w="2859" w:type="dxa"/>
          </w:tcPr>
          <w:p w14:paraId="7B6035C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735</w:t>
            </w:r>
          </w:p>
        </w:tc>
      </w:tr>
      <w:tr w:rsidR="005106D0" w:rsidRPr="007224C3" w14:paraId="76D05272" w14:textId="77777777">
        <w:tc>
          <w:tcPr>
            <w:tcW w:w="675" w:type="dxa"/>
          </w:tcPr>
          <w:p w14:paraId="280E143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w:t>
            </w:r>
          </w:p>
        </w:tc>
        <w:tc>
          <w:tcPr>
            <w:tcW w:w="3532" w:type="dxa"/>
          </w:tcPr>
          <w:p w14:paraId="3F2B1D5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Куйбышев</w:t>
            </w:r>
          </w:p>
        </w:tc>
        <w:tc>
          <w:tcPr>
            <w:tcW w:w="3532" w:type="dxa"/>
          </w:tcPr>
          <w:p w14:paraId="74122AE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Белянский</w:t>
            </w:r>
          </w:p>
        </w:tc>
        <w:tc>
          <w:tcPr>
            <w:tcW w:w="2859" w:type="dxa"/>
          </w:tcPr>
          <w:p w14:paraId="78051A5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143</w:t>
            </w:r>
          </w:p>
        </w:tc>
      </w:tr>
      <w:tr w:rsidR="005106D0" w:rsidRPr="007224C3" w14:paraId="1A697ADC" w14:textId="77777777">
        <w:tc>
          <w:tcPr>
            <w:tcW w:w="675" w:type="dxa"/>
          </w:tcPr>
          <w:p w14:paraId="30F7CD5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w:t>
            </w:r>
          </w:p>
        </w:tc>
        <w:tc>
          <w:tcPr>
            <w:tcW w:w="3532" w:type="dxa"/>
          </w:tcPr>
          <w:p w14:paraId="2D8D21B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Молотов</w:t>
            </w:r>
          </w:p>
        </w:tc>
        <w:tc>
          <w:tcPr>
            <w:tcW w:w="3532" w:type="dxa"/>
          </w:tcPr>
          <w:p w14:paraId="1A52B87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Солдатов</w:t>
            </w:r>
          </w:p>
        </w:tc>
        <w:tc>
          <w:tcPr>
            <w:tcW w:w="2859" w:type="dxa"/>
          </w:tcPr>
          <w:p w14:paraId="727C021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211</w:t>
            </w:r>
          </w:p>
        </w:tc>
      </w:tr>
      <w:tr w:rsidR="005106D0" w:rsidRPr="007224C3" w14:paraId="2F1456A0" w14:textId="77777777">
        <w:tc>
          <w:tcPr>
            <w:tcW w:w="675" w:type="dxa"/>
          </w:tcPr>
          <w:p w14:paraId="5B9B147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w:t>
            </w:r>
          </w:p>
        </w:tc>
        <w:tc>
          <w:tcPr>
            <w:tcW w:w="3532" w:type="dxa"/>
          </w:tcPr>
          <w:p w14:paraId="676D5BE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Омск</w:t>
            </w:r>
          </w:p>
        </w:tc>
        <w:tc>
          <w:tcPr>
            <w:tcW w:w="3532" w:type="dxa"/>
          </w:tcPr>
          <w:p w14:paraId="696B364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Кругленин</w:t>
            </w:r>
          </w:p>
        </w:tc>
        <w:tc>
          <w:tcPr>
            <w:tcW w:w="2859" w:type="dxa"/>
          </w:tcPr>
          <w:p w14:paraId="510E5D0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38</w:t>
            </w:r>
          </w:p>
        </w:tc>
      </w:tr>
      <w:tr w:rsidR="005106D0" w:rsidRPr="007224C3" w14:paraId="3994A1E8" w14:textId="77777777">
        <w:tc>
          <w:tcPr>
            <w:tcW w:w="675" w:type="dxa"/>
          </w:tcPr>
          <w:p w14:paraId="3A4BF39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w:t>
            </w:r>
          </w:p>
        </w:tc>
        <w:tc>
          <w:tcPr>
            <w:tcW w:w="3532" w:type="dxa"/>
          </w:tcPr>
          <w:p w14:paraId="0ECDD6C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Горький</w:t>
            </w:r>
          </w:p>
        </w:tc>
        <w:tc>
          <w:tcPr>
            <w:tcW w:w="3532" w:type="dxa"/>
          </w:tcPr>
          <w:p w14:paraId="09B57D1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Агаджанов</w:t>
            </w:r>
          </w:p>
        </w:tc>
        <w:tc>
          <w:tcPr>
            <w:tcW w:w="2859" w:type="dxa"/>
          </w:tcPr>
          <w:p w14:paraId="128CAB4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200</w:t>
            </w:r>
          </w:p>
        </w:tc>
      </w:tr>
      <w:tr w:rsidR="005106D0" w:rsidRPr="007224C3" w14:paraId="531045BD" w14:textId="77777777">
        <w:tc>
          <w:tcPr>
            <w:tcW w:w="675" w:type="dxa"/>
          </w:tcPr>
          <w:p w14:paraId="1614219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w:t>
            </w:r>
          </w:p>
        </w:tc>
        <w:tc>
          <w:tcPr>
            <w:tcW w:w="3532" w:type="dxa"/>
          </w:tcPr>
          <w:p w14:paraId="1D587AD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Казань</w:t>
            </w:r>
          </w:p>
        </w:tc>
        <w:tc>
          <w:tcPr>
            <w:tcW w:w="3532" w:type="dxa"/>
          </w:tcPr>
          <w:p w14:paraId="666C4DC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Окулов</w:t>
            </w:r>
          </w:p>
        </w:tc>
        <w:tc>
          <w:tcPr>
            <w:tcW w:w="2859" w:type="dxa"/>
          </w:tcPr>
          <w:p w14:paraId="63F1ECA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747</w:t>
            </w:r>
          </w:p>
        </w:tc>
      </w:tr>
      <w:tr w:rsidR="005106D0" w:rsidRPr="007224C3" w14:paraId="5A75ABB2" w14:textId="77777777">
        <w:tc>
          <w:tcPr>
            <w:tcW w:w="675" w:type="dxa"/>
          </w:tcPr>
          <w:p w14:paraId="32504EA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w:t>
            </w:r>
          </w:p>
        </w:tc>
        <w:tc>
          <w:tcPr>
            <w:tcW w:w="3532" w:type="dxa"/>
          </w:tcPr>
          <w:p w14:paraId="4DE66B8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Москва</w:t>
            </w:r>
          </w:p>
        </w:tc>
        <w:tc>
          <w:tcPr>
            <w:tcW w:w="3532" w:type="dxa"/>
          </w:tcPr>
          <w:p w14:paraId="1BB90F5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Иосилович</w:t>
            </w:r>
          </w:p>
        </w:tc>
        <w:tc>
          <w:tcPr>
            <w:tcW w:w="2859" w:type="dxa"/>
          </w:tcPr>
          <w:p w14:paraId="258E2D8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222</w:t>
            </w:r>
          </w:p>
        </w:tc>
      </w:tr>
      <w:tr w:rsidR="005106D0" w:rsidRPr="007224C3" w14:paraId="187B18D4" w14:textId="77777777">
        <w:tc>
          <w:tcPr>
            <w:tcW w:w="675" w:type="dxa"/>
          </w:tcPr>
          <w:p w14:paraId="6F48BE1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w:t>
            </w:r>
          </w:p>
        </w:tc>
        <w:tc>
          <w:tcPr>
            <w:tcW w:w="3532" w:type="dxa"/>
          </w:tcPr>
          <w:p w14:paraId="54B0ED1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Куйбышев</w:t>
            </w:r>
          </w:p>
        </w:tc>
        <w:tc>
          <w:tcPr>
            <w:tcW w:w="3532" w:type="dxa"/>
          </w:tcPr>
          <w:p w14:paraId="2285687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Жезлов</w:t>
            </w:r>
          </w:p>
        </w:tc>
        <w:tc>
          <w:tcPr>
            <w:tcW w:w="2859" w:type="dxa"/>
          </w:tcPr>
          <w:p w14:paraId="7304C15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32</w:t>
            </w:r>
          </w:p>
        </w:tc>
      </w:tr>
      <w:tr w:rsidR="005106D0" w:rsidRPr="007224C3" w14:paraId="2B84E9F7" w14:textId="77777777">
        <w:tc>
          <w:tcPr>
            <w:tcW w:w="675" w:type="dxa"/>
          </w:tcPr>
          <w:p w14:paraId="4574433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w:t>
            </w:r>
          </w:p>
        </w:tc>
        <w:tc>
          <w:tcPr>
            <w:tcW w:w="3532" w:type="dxa"/>
          </w:tcPr>
          <w:p w14:paraId="1843C31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Уфа</w:t>
            </w:r>
          </w:p>
        </w:tc>
        <w:tc>
          <w:tcPr>
            <w:tcW w:w="3532" w:type="dxa"/>
          </w:tcPr>
          <w:p w14:paraId="7AA10E7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Баландин</w:t>
            </w:r>
          </w:p>
        </w:tc>
        <w:tc>
          <w:tcPr>
            <w:tcW w:w="2859" w:type="dxa"/>
          </w:tcPr>
          <w:p w14:paraId="0FB4F0C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w:t>
            </w:r>
          </w:p>
        </w:tc>
      </w:tr>
      <w:tr w:rsidR="005106D0" w:rsidRPr="007224C3" w14:paraId="2C0106DE" w14:textId="77777777">
        <w:tc>
          <w:tcPr>
            <w:tcW w:w="675" w:type="dxa"/>
          </w:tcPr>
          <w:p w14:paraId="2510780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w:t>
            </w:r>
          </w:p>
        </w:tc>
        <w:tc>
          <w:tcPr>
            <w:tcW w:w="3532" w:type="dxa"/>
          </w:tcPr>
          <w:p w14:paraId="03D89EF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Омск</w:t>
            </w:r>
          </w:p>
        </w:tc>
        <w:tc>
          <w:tcPr>
            <w:tcW w:w="3532" w:type="dxa"/>
          </w:tcPr>
          <w:p w14:paraId="285688E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Борисов</w:t>
            </w:r>
          </w:p>
        </w:tc>
        <w:tc>
          <w:tcPr>
            <w:tcW w:w="2859" w:type="dxa"/>
          </w:tcPr>
          <w:p w14:paraId="1ACFABD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64</w:t>
            </w:r>
          </w:p>
        </w:tc>
      </w:tr>
      <w:tr w:rsidR="005106D0" w:rsidRPr="007224C3" w14:paraId="606B26EE" w14:textId="77777777">
        <w:tc>
          <w:tcPr>
            <w:tcW w:w="675" w:type="dxa"/>
          </w:tcPr>
          <w:p w14:paraId="3E71345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w:t>
            </w:r>
          </w:p>
        </w:tc>
        <w:tc>
          <w:tcPr>
            <w:tcW w:w="3532" w:type="dxa"/>
          </w:tcPr>
          <w:p w14:paraId="17F292B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Москва</w:t>
            </w:r>
          </w:p>
        </w:tc>
        <w:tc>
          <w:tcPr>
            <w:tcW w:w="3532" w:type="dxa"/>
          </w:tcPr>
          <w:p w14:paraId="4FF3B33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Смирнов</w:t>
            </w:r>
          </w:p>
        </w:tc>
        <w:tc>
          <w:tcPr>
            <w:tcW w:w="2859" w:type="dxa"/>
          </w:tcPr>
          <w:p w14:paraId="532F80C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2402</w:t>
            </w:r>
          </w:p>
        </w:tc>
      </w:tr>
      <w:tr w:rsidR="005106D0" w:rsidRPr="007224C3" w14:paraId="5282B4A1" w14:textId="77777777">
        <w:tc>
          <w:tcPr>
            <w:tcW w:w="675" w:type="dxa"/>
          </w:tcPr>
          <w:p w14:paraId="09C168D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32</w:t>
            </w:r>
          </w:p>
        </w:tc>
        <w:tc>
          <w:tcPr>
            <w:tcW w:w="3532" w:type="dxa"/>
          </w:tcPr>
          <w:p w14:paraId="5BE05EB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Киров</w:t>
            </w:r>
          </w:p>
        </w:tc>
        <w:tc>
          <w:tcPr>
            <w:tcW w:w="3532" w:type="dxa"/>
          </w:tcPr>
          <w:p w14:paraId="499E856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Горюнов</w:t>
            </w:r>
          </w:p>
        </w:tc>
        <w:tc>
          <w:tcPr>
            <w:tcW w:w="2859" w:type="dxa"/>
          </w:tcPr>
          <w:p w14:paraId="61714C2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211</w:t>
            </w:r>
          </w:p>
        </w:tc>
      </w:tr>
      <w:tr w:rsidR="005106D0" w:rsidRPr="007224C3" w14:paraId="286C7B28" w14:textId="77777777">
        <w:tc>
          <w:tcPr>
            <w:tcW w:w="675" w:type="dxa"/>
          </w:tcPr>
          <w:p w14:paraId="7B585D2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39</w:t>
            </w:r>
          </w:p>
        </w:tc>
        <w:tc>
          <w:tcPr>
            <w:tcW w:w="3532" w:type="dxa"/>
          </w:tcPr>
          <w:p w14:paraId="07F9904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Иркутск</w:t>
            </w:r>
          </w:p>
        </w:tc>
        <w:tc>
          <w:tcPr>
            <w:tcW w:w="3532" w:type="dxa"/>
          </w:tcPr>
          <w:p w14:paraId="0C2002B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Абрамов</w:t>
            </w:r>
          </w:p>
        </w:tc>
        <w:tc>
          <w:tcPr>
            <w:tcW w:w="2859" w:type="dxa"/>
          </w:tcPr>
          <w:p w14:paraId="43156FB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w:t>
            </w:r>
          </w:p>
        </w:tc>
      </w:tr>
      <w:tr w:rsidR="005106D0" w:rsidRPr="007224C3" w14:paraId="3944D5EF" w14:textId="77777777">
        <w:tc>
          <w:tcPr>
            <w:tcW w:w="675" w:type="dxa"/>
          </w:tcPr>
          <w:p w14:paraId="64BD6AA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w:t>
            </w:r>
          </w:p>
        </w:tc>
        <w:tc>
          <w:tcPr>
            <w:tcW w:w="3532" w:type="dxa"/>
          </w:tcPr>
          <w:p w14:paraId="51B22AB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Москва</w:t>
            </w:r>
          </w:p>
        </w:tc>
        <w:tc>
          <w:tcPr>
            <w:tcW w:w="3532" w:type="dxa"/>
          </w:tcPr>
          <w:p w14:paraId="3B1D8D5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Комаров</w:t>
            </w:r>
          </w:p>
        </w:tc>
        <w:tc>
          <w:tcPr>
            <w:tcW w:w="2859" w:type="dxa"/>
          </w:tcPr>
          <w:p w14:paraId="77C41AC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299</w:t>
            </w:r>
          </w:p>
        </w:tc>
      </w:tr>
      <w:tr w:rsidR="005106D0" w:rsidRPr="007224C3" w14:paraId="4087EBFB" w14:textId="77777777">
        <w:tc>
          <w:tcPr>
            <w:tcW w:w="675" w:type="dxa"/>
          </w:tcPr>
          <w:p w14:paraId="20CFF2C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82</w:t>
            </w:r>
          </w:p>
        </w:tc>
        <w:tc>
          <w:tcPr>
            <w:tcW w:w="3532" w:type="dxa"/>
          </w:tcPr>
          <w:p w14:paraId="64A1F55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Химки</w:t>
            </w:r>
          </w:p>
        </w:tc>
        <w:tc>
          <w:tcPr>
            <w:tcW w:w="3532" w:type="dxa"/>
          </w:tcPr>
          <w:p w14:paraId="344EE3A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Климовицкий</w:t>
            </w:r>
          </w:p>
        </w:tc>
        <w:tc>
          <w:tcPr>
            <w:tcW w:w="2859" w:type="dxa"/>
          </w:tcPr>
          <w:p w14:paraId="5180429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1309</w:t>
            </w:r>
          </w:p>
        </w:tc>
      </w:tr>
      <w:tr w:rsidR="005106D0" w:rsidRPr="007224C3" w14:paraId="5361C8EC" w14:textId="77777777">
        <w:tc>
          <w:tcPr>
            <w:tcW w:w="675" w:type="dxa"/>
          </w:tcPr>
          <w:p w14:paraId="3974D47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84</w:t>
            </w:r>
          </w:p>
        </w:tc>
        <w:tc>
          <w:tcPr>
            <w:tcW w:w="3532" w:type="dxa"/>
          </w:tcPr>
          <w:p w14:paraId="5207189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Ташкент</w:t>
            </w:r>
          </w:p>
        </w:tc>
        <w:tc>
          <w:tcPr>
            <w:tcW w:w="3532" w:type="dxa"/>
          </w:tcPr>
          <w:p w14:paraId="754655E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Ярунин</w:t>
            </w:r>
          </w:p>
        </w:tc>
        <w:tc>
          <w:tcPr>
            <w:tcW w:w="2859" w:type="dxa"/>
          </w:tcPr>
          <w:p w14:paraId="2659857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116</w:t>
            </w:r>
          </w:p>
        </w:tc>
      </w:tr>
      <w:tr w:rsidR="005106D0" w:rsidRPr="007224C3" w14:paraId="7F5EE29A" w14:textId="77777777">
        <w:tc>
          <w:tcPr>
            <w:tcW w:w="675" w:type="dxa"/>
          </w:tcPr>
          <w:p w14:paraId="6965E36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95</w:t>
            </w:r>
          </w:p>
        </w:tc>
        <w:tc>
          <w:tcPr>
            <w:tcW w:w="3532" w:type="dxa"/>
          </w:tcPr>
          <w:p w14:paraId="04D1757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Верхняя салда</w:t>
            </w:r>
          </w:p>
        </w:tc>
        <w:tc>
          <w:tcPr>
            <w:tcW w:w="3532" w:type="dxa"/>
          </w:tcPr>
          <w:p w14:paraId="7294B6B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Лещенко</w:t>
            </w:r>
          </w:p>
        </w:tc>
        <w:tc>
          <w:tcPr>
            <w:tcW w:w="2859" w:type="dxa"/>
          </w:tcPr>
          <w:p w14:paraId="4E326BD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tc>
      </w:tr>
      <w:tr w:rsidR="005106D0" w:rsidRPr="007224C3" w14:paraId="083EB0C7" w14:textId="77777777">
        <w:tc>
          <w:tcPr>
            <w:tcW w:w="675" w:type="dxa"/>
          </w:tcPr>
          <w:p w14:paraId="7628183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150</w:t>
            </w:r>
          </w:p>
        </w:tc>
        <w:tc>
          <w:tcPr>
            <w:tcW w:w="3532" w:type="dxa"/>
          </w:tcPr>
          <w:p w14:paraId="7B34FF8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Ступино</w:t>
            </w:r>
          </w:p>
        </w:tc>
        <w:tc>
          <w:tcPr>
            <w:tcW w:w="3532" w:type="dxa"/>
          </w:tcPr>
          <w:p w14:paraId="3B3B649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Белов</w:t>
            </w:r>
          </w:p>
        </w:tc>
        <w:tc>
          <w:tcPr>
            <w:tcW w:w="2859" w:type="dxa"/>
          </w:tcPr>
          <w:p w14:paraId="708DBAA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w:t>
            </w:r>
          </w:p>
        </w:tc>
      </w:tr>
      <w:tr w:rsidR="005106D0" w:rsidRPr="007224C3" w14:paraId="42D44D59" w14:textId="77777777">
        <w:tc>
          <w:tcPr>
            <w:tcW w:w="675" w:type="dxa"/>
          </w:tcPr>
          <w:p w14:paraId="68106B9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153</w:t>
            </w:r>
          </w:p>
        </w:tc>
        <w:tc>
          <w:tcPr>
            <w:tcW w:w="3532" w:type="dxa"/>
          </w:tcPr>
          <w:p w14:paraId="58FBE9D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Новосибирск</w:t>
            </w:r>
          </w:p>
        </w:tc>
        <w:tc>
          <w:tcPr>
            <w:tcW w:w="3532" w:type="dxa"/>
          </w:tcPr>
          <w:p w14:paraId="5346346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Лисунов</w:t>
            </w:r>
          </w:p>
        </w:tc>
        <w:tc>
          <w:tcPr>
            <w:tcW w:w="2859" w:type="dxa"/>
          </w:tcPr>
          <w:p w14:paraId="4755D4D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1100</w:t>
            </w:r>
          </w:p>
        </w:tc>
      </w:tr>
      <w:tr w:rsidR="005106D0" w:rsidRPr="007224C3" w14:paraId="77872D35" w14:textId="77777777">
        <w:tc>
          <w:tcPr>
            <w:tcW w:w="675" w:type="dxa"/>
          </w:tcPr>
          <w:p w14:paraId="65A81D1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166</w:t>
            </w:r>
          </w:p>
        </w:tc>
        <w:tc>
          <w:tcPr>
            <w:tcW w:w="3532" w:type="dxa"/>
          </w:tcPr>
          <w:p w14:paraId="7D71837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Омск</w:t>
            </w:r>
          </w:p>
        </w:tc>
        <w:tc>
          <w:tcPr>
            <w:tcW w:w="3532" w:type="dxa"/>
          </w:tcPr>
          <w:p w14:paraId="06CDC40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Соколов</w:t>
            </w:r>
          </w:p>
        </w:tc>
        <w:tc>
          <w:tcPr>
            <w:tcW w:w="2859" w:type="dxa"/>
          </w:tcPr>
          <w:p w14:paraId="1EE5F8D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w:t>
            </w:r>
          </w:p>
        </w:tc>
      </w:tr>
      <w:tr w:rsidR="005106D0" w:rsidRPr="007224C3" w14:paraId="11A146D4" w14:textId="77777777">
        <w:tc>
          <w:tcPr>
            <w:tcW w:w="675" w:type="dxa"/>
          </w:tcPr>
          <w:p w14:paraId="17DE4EC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213</w:t>
            </w:r>
          </w:p>
        </w:tc>
        <w:tc>
          <w:tcPr>
            <w:tcW w:w="3532" w:type="dxa"/>
          </w:tcPr>
          <w:p w14:paraId="4681F4C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Энгельс</w:t>
            </w:r>
          </w:p>
        </w:tc>
        <w:tc>
          <w:tcPr>
            <w:tcW w:w="3532" w:type="dxa"/>
          </w:tcPr>
          <w:p w14:paraId="0297414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Березин</w:t>
            </w:r>
          </w:p>
        </w:tc>
        <w:tc>
          <w:tcPr>
            <w:tcW w:w="2859" w:type="dxa"/>
          </w:tcPr>
          <w:p w14:paraId="7FAFAD8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w:t>
            </w:r>
          </w:p>
        </w:tc>
      </w:tr>
      <w:tr w:rsidR="005106D0" w:rsidRPr="007224C3" w14:paraId="1B517ED4" w14:textId="77777777">
        <w:tc>
          <w:tcPr>
            <w:tcW w:w="675" w:type="dxa"/>
          </w:tcPr>
          <w:p w14:paraId="7326E65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219</w:t>
            </w:r>
          </w:p>
        </w:tc>
        <w:tc>
          <w:tcPr>
            <w:tcW w:w="3532" w:type="dxa"/>
          </w:tcPr>
          <w:p w14:paraId="365F81B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Балашиха</w:t>
            </w:r>
          </w:p>
        </w:tc>
        <w:tc>
          <w:tcPr>
            <w:tcW w:w="3532" w:type="dxa"/>
          </w:tcPr>
          <w:p w14:paraId="08FFB80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Жихарев</w:t>
            </w:r>
          </w:p>
        </w:tc>
        <w:tc>
          <w:tcPr>
            <w:tcW w:w="2859" w:type="dxa"/>
          </w:tcPr>
          <w:p w14:paraId="55438BA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845</w:t>
            </w:r>
          </w:p>
        </w:tc>
      </w:tr>
      <w:tr w:rsidR="005106D0" w:rsidRPr="007224C3" w14:paraId="0D2A1740" w14:textId="77777777">
        <w:tc>
          <w:tcPr>
            <w:tcW w:w="675" w:type="dxa"/>
          </w:tcPr>
          <w:p w14:paraId="207B59D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292</w:t>
            </w:r>
          </w:p>
        </w:tc>
        <w:tc>
          <w:tcPr>
            <w:tcW w:w="3532" w:type="dxa"/>
          </w:tcPr>
          <w:p w14:paraId="37326A3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Саратов</w:t>
            </w:r>
          </w:p>
        </w:tc>
        <w:tc>
          <w:tcPr>
            <w:tcW w:w="3532" w:type="dxa"/>
          </w:tcPr>
          <w:p w14:paraId="24229DE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Левин</w:t>
            </w:r>
          </w:p>
        </w:tc>
        <w:tc>
          <w:tcPr>
            <w:tcW w:w="2859" w:type="dxa"/>
          </w:tcPr>
          <w:p w14:paraId="5F103E1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tc>
      </w:tr>
      <w:tr w:rsidR="005106D0" w:rsidRPr="007224C3" w14:paraId="73B331B9" w14:textId="77777777">
        <w:tc>
          <w:tcPr>
            <w:tcW w:w="675" w:type="dxa"/>
          </w:tcPr>
          <w:p w14:paraId="22CABC8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268</w:t>
            </w:r>
          </w:p>
        </w:tc>
        <w:tc>
          <w:tcPr>
            <w:tcW w:w="3532" w:type="dxa"/>
          </w:tcPr>
          <w:p w14:paraId="56AE7AE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Каменск Уральский</w:t>
            </w:r>
          </w:p>
        </w:tc>
        <w:tc>
          <w:tcPr>
            <w:tcW w:w="3532" w:type="dxa"/>
          </w:tcPr>
          <w:p w14:paraId="7EAEBCA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Герасимов</w:t>
            </w:r>
          </w:p>
        </w:tc>
        <w:tc>
          <w:tcPr>
            <w:tcW w:w="2859" w:type="dxa"/>
          </w:tcPr>
          <w:p w14:paraId="108905E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w:t>
            </w:r>
          </w:p>
        </w:tc>
      </w:tr>
      <w:tr w:rsidR="005106D0" w:rsidRPr="007224C3" w14:paraId="6D91216D" w14:textId="77777777">
        <w:tc>
          <w:tcPr>
            <w:tcW w:w="675" w:type="dxa"/>
          </w:tcPr>
          <w:p w14:paraId="3C876DC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381</w:t>
            </w:r>
          </w:p>
        </w:tc>
        <w:tc>
          <w:tcPr>
            <w:tcW w:w="3532" w:type="dxa"/>
          </w:tcPr>
          <w:p w14:paraId="328A868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Москва</w:t>
            </w:r>
          </w:p>
        </w:tc>
        <w:tc>
          <w:tcPr>
            <w:tcW w:w="3532" w:type="dxa"/>
          </w:tcPr>
          <w:p w14:paraId="0757440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Журовлев</w:t>
            </w:r>
          </w:p>
        </w:tc>
        <w:tc>
          <w:tcPr>
            <w:tcW w:w="2859" w:type="dxa"/>
          </w:tcPr>
          <w:p w14:paraId="39D9A4B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2400</w:t>
            </w:r>
          </w:p>
        </w:tc>
      </w:tr>
      <w:tr w:rsidR="005106D0" w:rsidRPr="007224C3" w14:paraId="372F0B3A" w14:textId="77777777">
        <w:tc>
          <w:tcPr>
            <w:tcW w:w="675" w:type="dxa"/>
          </w:tcPr>
          <w:p w14:paraId="73BC32B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466</w:t>
            </w:r>
          </w:p>
        </w:tc>
        <w:tc>
          <w:tcPr>
            <w:tcW w:w="3532" w:type="dxa"/>
          </w:tcPr>
          <w:p w14:paraId="15F30B9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Горький</w:t>
            </w:r>
          </w:p>
        </w:tc>
        <w:tc>
          <w:tcPr>
            <w:tcW w:w="3532" w:type="dxa"/>
          </w:tcPr>
          <w:p w14:paraId="280FBF9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Лукин</w:t>
            </w:r>
          </w:p>
        </w:tc>
        <w:tc>
          <w:tcPr>
            <w:tcW w:w="2859" w:type="dxa"/>
          </w:tcPr>
          <w:p w14:paraId="7F35349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404</w:t>
            </w:r>
          </w:p>
        </w:tc>
      </w:tr>
      <w:tr w:rsidR="005106D0" w:rsidRPr="007224C3" w14:paraId="465F0963" w14:textId="77777777">
        <w:tc>
          <w:tcPr>
            <w:tcW w:w="675" w:type="dxa"/>
          </w:tcPr>
          <w:p w14:paraId="22CE747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500</w:t>
            </w:r>
          </w:p>
        </w:tc>
        <w:tc>
          <w:tcPr>
            <w:tcW w:w="3532" w:type="dxa"/>
          </w:tcPr>
          <w:p w14:paraId="6557664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Тушино</w:t>
            </w:r>
          </w:p>
        </w:tc>
        <w:tc>
          <w:tcPr>
            <w:tcW w:w="3532" w:type="dxa"/>
          </w:tcPr>
          <w:p w14:paraId="64FC8D1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Петров</w:t>
            </w:r>
          </w:p>
        </w:tc>
        <w:tc>
          <w:tcPr>
            <w:tcW w:w="2859" w:type="dxa"/>
          </w:tcPr>
          <w:p w14:paraId="47BD5B2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1321</w:t>
            </w:r>
          </w:p>
        </w:tc>
      </w:tr>
      <w:tr w:rsidR="005106D0" w:rsidRPr="007224C3" w14:paraId="7C0E9379" w14:textId="77777777">
        <w:tc>
          <w:tcPr>
            <w:tcW w:w="675" w:type="dxa"/>
          </w:tcPr>
          <w:p w14:paraId="46F7FE7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532" w:type="dxa"/>
          </w:tcPr>
          <w:p w14:paraId="32EA23D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532" w:type="dxa"/>
          </w:tcPr>
          <w:p w14:paraId="5B6D348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859" w:type="dxa"/>
          </w:tcPr>
          <w:p w14:paraId="07845DC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(2553, 148)</w:t>
            </w:r>
          </w:p>
        </w:tc>
      </w:tr>
    </w:tbl>
    <w:p w14:paraId="563C96A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6C245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марте 1944 СКБ завода Компрессор закончила рабочие чертежи корабельной ПУ 16-М-13. Образец изготовил завод 760 в августе 1944 и в ноябре прошла испытания на ЧМ (4305,35).</w:t>
      </w:r>
    </w:p>
    <w:p w14:paraId="68BBD74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3DBFF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марте 1944 была подготовлена справка по поставщикам НКАП:</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59"/>
        <w:gridCol w:w="992"/>
        <w:gridCol w:w="1559"/>
        <w:gridCol w:w="7763"/>
      </w:tblGrid>
      <w:tr w:rsidR="005106D0" w:rsidRPr="007224C3" w14:paraId="6146658E" w14:textId="77777777">
        <w:tc>
          <w:tcPr>
            <w:tcW w:w="959" w:type="dxa"/>
          </w:tcPr>
          <w:p w14:paraId="20F9468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Номер</w:t>
            </w:r>
          </w:p>
        </w:tc>
        <w:tc>
          <w:tcPr>
            <w:tcW w:w="992" w:type="dxa"/>
          </w:tcPr>
          <w:p w14:paraId="1613C24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Наркомат</w:t>
            </w:r>
          </w:p>
        </w:tc>
        <w:tc>
          <w:tcPr>
            <w:tcW w:w="1559" w:type="dxa"/>
          </w:tcPr>
          <w:p w14:paraId="0F10BC5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Город</w:t>
            </w:r>
          </w:p>
        </w:tc>
        <w:tc>
          <w:tcPr>
            <w:tcW w:w="7763" w:type="dxa"/>
          </w:tcPr>
          <w:p w14:paraId="101719D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Поставки</w:t>
            </w:r>
          </w:p>
        </w:tc>
      </w:tr>
      <w:tr w:rsidR="005106D0" w:rsidRPr="007224C3" w14:paraId="28502D86" w14:textId="77777777">
        <w:tc>
          <w:tcPr>
            <w:tcW w:w="959" w:type="dxa"/>
          </w:tcPr>
          <w:p w14:paraId="64B2D16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705</w:t>
            </w:r>
          </w:p>
        </w:tc>
        <w:tc>
          <w:tcPr>
            <w:tcW w:w="992" w:type="dxa"/>
          </w:tcPr>
          <w:p w14:paraId="3B17331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НКРП</w:t>
            </w:r>
          </w:p>
        </w:tc>
        <w:tc>
          <w:tcPr>
            <w:tcW w:w="1559" w:type="dxa"/>
          </w:tcPr>
          <w:p w14:paraId="040F72F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763" w:type="dxa"/>
          </w:tcPr>
          <w:p w14:paraId="5FBB1CE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губка оназон для протектирования бензобаков</w:t>
            </w:r>
          </w:p>
        </w:tc>
      </w:tr>
      <w:tr w:rsidR="005106D0" w:rsidRPr="007224C3" w14:paraId="31C99D3E" w14:textId="77777777">
        <w:tc>
          <w:tcPr>
            <w:tcW w:w="959" w:type="dxa"/>
          </w:tcPr>
          <w:p w14:paraId="26EF273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623</w:t>
            </w:r>
          </w:p>
        </w:tc>
        <w:tc>
          <w:tcPr>
            <w:tcW w:w="992" w:type="dxa"/>
          </w:tcPr>
          <w:p w14:paraId="3FC0A2B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НКРП</w:t>
            </w:r>
          </w:p>
        </w:tc>
        <w:tc>
          <w:tcPr>
            <w:tcW w:w="1559" w:type="dxa"/>
          </w:tcPr>
          <w:p w14:paraId="5C2F9E6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Казань</w:t>
            </w:r>
          </w:p>
        </w:tc>
        <w:tc>
          <w:tcPr>
            <w:tcW w:w="7763" w:type="dxa"/>
          </w:tcPr>
          <w:p w14:paraId="29DD81C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губка оназон для протектирования бензобаков</w:t>
            </w:r>
          </w:p>
        </w:tc>
      </w:tr>
      <w:tr w:rsidR="005106D0" w:rsidRPr="007224C3" w14:paraId="37D4F7B7" w14:textId="77777777">
        <w:tc>
          <w:tcPr>
            <w:tcW w:w="959" w:type="dxa"/>
          </w:tcPr>
          <w:p w14:paraId="1EA2327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140</w:t>
            </w:r>
          </w:p>
        </w:tc>
        <w:tc>
          <w:tcPr>
            <w:tcW w:w="992" w:type="dxa"/>
          </w:tcPr>
          <w:p w14:paraId="4F7691A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НКАП</w:t>
            </w:r>
          </w:p>
        </w:tc>
        <w:tc>
          <w:tcPr>
            <w:tcW w:w="1559" w:type="dxa"/>
          </w:tcPr>
          <w:p w14:paraId="12BEF47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Москва</w:t>
            </w:r>
          </w:p>
        </w:tc>
        <w:tc>
          <w:tcPr>
            <w:tcW w:w="7763" w:type="dxa"/>
          </w:tcPr>
          <w:p w14:paraId="42B5143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Конденсаторы</w:t>
            </w:r>
          </w:p>
        </w:tc>
      </w:tr>
      <w:tr w:rsidR="005106D0" w:rsidRPr="007224C3" w14:paraId="2486EAA9" w14:textId="77777777">
        <w:tc>
          <w:tcPr>
            <w:tcW w:w="959" w:type="dxa"/>
          </w:tcPr>
          <w:p w14:paraId="003005B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695</w:t>
            </w:r>
          </w:p>
        </w:tc>
        <w:tc>
          <w:tcPr>
            <w:tcW w:w="992" w:type="dxa"/>
          </w:tcPr>
          <w:p w14:paraId="4D5910D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НКАП</w:t>
            </w:r>
          </w:p>
        </w:tc>
        <w:tc>
          <w:tcPr>
            <w:tcW w:w="1559" w:type="dxa"/>
          </w:tcPr>
          <w:p w14:paraId="6CE787C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Москва</w:t>
            </w:r>
          </w:p>
        </w:tc>
        <w:tc>
          <w:tcPr>
            <w:tcW w:w="7763" w:type="dxa"/>
          </w:tcPr>
          <w:p w14:paraId="0951DC8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Конденсаторы безиндукционные</w:t>
            </w:r>
          </w:p>
        </w:tc>
      </w:tr>
      <w:tr w:rsidR="005106D0" w:rsidRPr="007224C3" w14:paraId="6FFC2A53" w14:textId="77777777">
        <w:tc>
          <w:tcPr>
            <w:tcW w:w="959" w:type="dxa"/>
          </w:tcPr>
          <w:p w14:paraId="66E51C4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590</w:t>
            </w:r>
          </w:p>
        </w:tc>
        <w:tc>
          <w:tcPr>
            <w:tcW w:w="992" w:type="dxa"/>
          </w:tcPr>
          <w:p w14:paraId="7E7AA32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41D348A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Новосибирск</w:t>
            </w:r>
          </w:p>
        </w:tc>
        <w:tc>
          <w:tcPr>
            <w:tcW w:w="7763" w:type="dxa"/>
          </w:tcPr>
          <w:p w14:paraId="6196C47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Конденсаторы безиндукционные</w:t>
            </w:r>
          </w:p>
        </w:tc>
      </w:tr>
      <w:tr w:rsidR="005106D0" w:rsidRPr="007224C3" w14:paraId="63B940E5" w14:textId="77777777">
        <w:tc>
          <w:tcPr>
            <w:tcW w:w="959" w:type="dxa"/>
          </w:tcPr>
          <w:p w14:paraId="37F0A03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355</w:t>
            </w:r>
          </w:p>
        </w:tc>
        <w:tc>
          <w:tcPr>
            <w:tcW w:w="992" w:type="dxa"/>
          </w:tcPr>
          <w:p w14:paraId="253F7E1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НКВ</w:t>
            </w:r>
          </w:p>
        </w:tc>
        <w:tc>
          <w:tcPr>
            <w:tcW w:w="1559" w:type="dxa"/>
          </w:tcPr>
          <w:p w14:paraId="0FD58BA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763" w:type="dxa"/>
          </w:tcPr>
          <w:p w14:paraId="0E5B683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прицелы</w:t>
            </w:r>
          </w:p>
        </w:tc>
      </w:tr>
      <w:tr w:rsidR="005106D0" w:rsidRPr="007224C3" w14:paraId="4C4A0E02" w14:textId="77777777">
        <w:tc>
          <w:tcPr>
            <w:tcW w:w="959" w:type="dxa"/>
          </w:tcPr>
          <w:p w14:paraId="54FB7F4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78</w:t>
            </w:r>
          </w:p>
        </w:tc>
        <w:tc>
          <w:tcPr>
            <w:tcW w:w="992" w:type="dxa"/>
          </w:tcPr>
          <w:p w14:paraId="4F4E00A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НКБ</w:t>
            </w:r>
          </w:p>
        </w:tc>
        <w:tc>
          <w:tcPr>
            <w:tcW w:w="1559" w:type="dxa"/>
          </w:tcPr>
          <w:p w14:paraId="7E7C2CA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Челябинск</w:t>
            </w:r>
          </w:p>
        </w:tc>
        <w:tc>
          <w:tcPr>
            <w:tcW w:w="7763" w:type="dxa"/>
          </w:tcPr>
          <w:p w14:paraId="7CC9298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5055D21" w14:textId="77777777">
        <w:tc>
          <w:tcPr>
            <w:tcW w:w="959" w:type="dxa"/>
          </w:tcPr>
          <w:p w14:paraId="50083BF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67</w:t>
            </w:r>
          </w:p>
        </w:tc>
        <w:tc>
          <w:tcPr>
            <w:tcW w:w="992" w:type="dxa"/>
          </w:tcPr>
          <w:p w14:paraId="66F1596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НКБ</w:t>
            </w:r>
          </w:p>
        </w:tc>
        <w:tc>
          <w:tcPr>
            <w:tcW w:w="1559" w:type="dxa"/>
          </w:tcPr>
          <w:p w14:paraId="53FED89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763" w:type="dxa"/>
          </w:tcPr>
          <w:p w14:paraId="72C830C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DD7730A" w14:textId="77777777">
        <w:tc>
          <w:tcPr>
            <w:tcW w:w="959" w:type="dxa"/>
          </w:tcPr>
          <w:p w14:paraId="39D26C1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76</w:t>
            </w:r>
          </w:p>
        </w:tc>
        <w:tc>
          <w:tcPr>
            <w:tcW w:w="992" w:type="dxa"/>
          </w:tcPr>
          <w:p w14:paraId="5888A10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НКБ</w:t>
            </w:r>
          </w:p>
        </w:tc>
        <w:tc>
          <w:tcPr>
            <w:tcW w:w="1559" w:type="dxa"/>
          </w:tcPr>
          <w:p w14:paraId="0C96E6C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763" w:type="dxa"/>
          </w:tcPr>
          <w:p w14:paraId="1421557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7585DA4" w14:textId="77777777">
        <w:tc>
          <w:tcPr>
            <w:tcW w:w="959" w:type="dxa"/>
          </w:tcPr>
          <w:p w14:paraId="2D65402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78</w:t>
            </w:r>
          </w:p>
        </w:tc>
        <w:tc>
          <w:tcPr>
            <w:tcW w:w="992" w:type="dxa"/>
          </w:tcPr>
          <w:p w14:paraId="205B7CE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НКБ</w:t>
            </w:r>
          </w:p>
        </w:tc>
        <w:tc>
          <w:tcPr>
            <w:tcW w:w="1559" w:type="dxa"/>
          </w:tcPr>
          <w:p w14:paraId="70D458A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763" w:type="dxa"/>
          </w:tcPr>
          <w:p w14:paraId="1D58EBB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3E7C83F" w14:textId="77777777">
        <w:tc>
          <w:tcPr>
            <w:tcW w:w="959" w:type="dxa"/>
          </w:tcPr>
          <w:p w14:paraId="140D4E5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D826F7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6FF9F8B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763" w:type="dxa"/>
          </w:tcPr>
          <w:p w14:paraId="63C8A82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(7480 24-68)</w:t>
            </w:r>
          </w:p>
        </w:tc>
      </w:tr>
    </w:tbl>
    <w:p w14:paraId="0DF9D7D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4D9A9AC" w14:textId="77777777" w:rsidR="00C71B1D" w:rsidRPr="007224C3" w:rsidRDefault="00C71B1D" w:rsidP="007224C3">
      <w:pPr>
        <w:pStyle w:val="book"/>
        <w:ind w:firstLine="0"/>
        <w:jc w:val="both"/>
        <w:rPr>
          <w:color w:val="000000" w:themeColor="text1"/>
          <w:sz w:val="16"/>
          <w:szCs w:val="16"/>
        </w:rPr>
      </w:pPr>
      <w:r w:rsidRPr="007224C3">
        <w:rPr>
          <w:color w:val="000000" w:themeColor="text1"/>
          <w:sz w:val="16"/>
          <w:szCs w:val="16"/>
        </w:rPr>
        <w:t xml:space="preserve">В марте 1944 г. Вильгельма Бурхардта начал работы над 15-см снарядом «Бура-127». Стабилизация снаряда осуществлялась с помощью четырех крыльев тех же размеров, что и у М-13. Крылья стабилизатора были поставлены косо под углом 1,5° к оси снаряда. Это обеспечивало проворачивание снаряда в полете и устраняло эксцентриситет двигателя. Двигатель снаряда Бурхардта имел одно сопло и семь шашек размером 780 х 45/10. Фугасное действие снаряда «Бура-127» было почти одинаковое с М-13, но осколочное действие существенно превосходило М-13. Вес осколков немецкого снаряда был около 10 кг. Дальность стрельбы в полтора раза </w:t>
      </w:r>
      <w:r w:rsidRPr="007224C3">
        <w:rPr>
          <w:color w:val="000000" w:themeColor="text1"/>
          <w:sz w:val="16"/>
          <w:szCs w:val="16"/>
        </w:rPr>
        <w:lastRenderedPageBreak/>
        <w:t>превосходила М-13. Снаряд Бурхардта имел головной механический взрыватель двойного действия, то есть ударного и дистанционного. Снаряды Бурхардта изготавливало Акционерное общество Рурсталь. Всего было изготовлено 350 снарядов. На полигоне в Куммерсдорфе было отстреляно 150 снарядов. Стрельба велась с направляющих, «содранных» почти один в один с наших установок БМ-13. Снаряды «Бура-127» были близки к принятию на вооружение, но по неясным причинам в конце 1944 г. работы над ними были прерваны. Документация Бурхардта попала в руки советской «Комиссии по изучению немецкой реактивной техники», и на базе «Буры-127» начались уже советские разработки. После окончания Великой Отечественной войны основные работы над неуправляемыми снарядами сухопутных войск велись в КБ-2 МСХМ по двум направлениям: модернизации советских неуправляемых снарядов периода Великой Отечественной войны и доработке немецких турбореактивных неуправляемых снарядов. Начиная с 1947 г. в КБ-2 МСХМ параллельно шли работы над оперенным 132-мм снарядом М-13А (модернизация старого снаряда М-13 знаменитой «Катюши») и турбореактивным снарядом. В начале 1948 г. КБ-2 на основе германского 15-см реактивного снаряда от шестиствольного миномета разработало эскизный проект 163-мм турбореактивного снаряда. Вес снаряда 48,5 кг, вес боевой части 21 кг, вес ВВ 4,7 кг, вес семишашечного порохового заряда 10,4 кг. Длина снаряда 1030/6,3 мм/ клб. Расчетная максимальная дальность стрельбы 9,9 км. Однако, чтобы уменьшить длину снаряда в калибрах, был разработан вместо 163-мм турбореактивный снаряд калибра 170 мм со следующими данными: длина 980 мм, вес снаряда 46,55 кг, вес ВВ 4,67 кг, вес 18-шашечного порохового заряда из пороха Н-31 9,37 кг. Снаряд получил обозначение ТРС-17-ОФ (ТРС-170), а его чертежу присвоили номер 10164-СВ. 27 февраля 1948 г. на техническом совете КБ-2 рассмотрели проект этого снаряда и решили принять его к дальнейшей отработке. В марте 1948 г. изготовили 25 таких снарядов. Первая группа в 14 снарядов была отстреляна 22 апреля 1948 г. на Софринском полигоне. Однако и эти, и последующие испытания прошли неудачно, и в ноябре 1948 г. приступили к разработке турбореактивного снаряда калибра 132 мм (ТРС-132). В конце декабря 1948 г. — начале января 1949 г. на Софринском полигоне были испытаны четыре варианта снаряда ТРС-132. Однако все они имели большое рассеивание. После многочисленных опытов с 132-мм снарядом, так и не добившись кучности, удовлетворявшей тактико-техническим требованиям, КБ-2 решило разрабатывать снаряд калибра 140 мм — максимально допустимом тактико-техническими требованиями. В дальнейшем этот калибр стал основным и единственным, в котором проводились отработка и испытания. Работы над новыми реактивными снарядами серьезно затруднялись Постановлением Совмина № 1175—440 от 14 апреля 1948 г., где содержалось требование использовать новые реактивные снаряды со старых пусковых установок БМ-13Н. Лишь Постановлением Совмина от 27 декабря 1949 г. это ограничение было снято. В результате в 1950 г. работы шли лишь над ТРС-140. В IV квартале 1951 г. прошли государственные испытания ТРС-140 в объеме почти полутора тысяч выстрелов. Постановлением Совмина № 4964—1235 от 25 ноября 1952 г. снаряд ТРС-140 был принят на вооружение под индексом М-14-ОФ (М-14 осколочно-фугасный). Тем же Постановлением была принята на вооружение боевая машина БМ-14, созданная в СКБ МОП под руководством В.П. Бармина. БМ-14 имела шасси от автомобиля ЗИС-151 (15225).</w:t>
      </w:r>
    </w:p>
    <w:p w14:paraId="6D4EF42A" w14:textId="77777777" w:rsidR="00C71B1D" w:rsidRPr="007224C3" w:rsidRDefault="00C71B1D" w:rsidP="007224C3">
      <w:pPr>
        <w:pStyle w:val="book"/>
        <w:ind w:firstLine="0"/>
        <w:jc w:val="both"/>
        <w:rPr>
          <w:color w:val="000000" w:themeColor="text1"/>
          <w:sz w:val="16"/>
          <w:szCs w:val="16"/>
        </w:rPr>
      </w:pPr>
    </w:p>
    <w:p w14:paraId="08F9D072" w14:textId="77777777" w:rsidR="00E23482" w:rsidRPr="007224C3" w:rsidRDefault="00E23482" w:rsidP="007224C3">
      <w:pPr>
        <w:pStyle w:val="rtejustify"/>
        <w:shd w:val="clear" w:color="auto" w:fill="FFFFFF"/>
        <w:spacing w:before="0" w:after="0"/>
        <w:rPr>
          <w:color w:val="000000" w:themeColor="text1"/>
          <w:sz w:val="16"/>
          <w:szCs w:val="16"/>
        </w:rPr>
      </w:pPr>
      <w:r w:rsidRPr="007224C3">
        <w:rPr>
          <w:color w:val="000000" w:themeColor="text1"/>
          <w:sz w:val="16"/>
          <w:szCs w:val="16"/>
        </w:rPr>
        <w:t>В марте 1944 г. увидел свет сборник “Немецкие самолеты”, в основу которого были положены материалы, полученные при изучении и испытаниях в НИИ ВВС Красной Армии трофейных самолетов. В сборнике содержалось описание большинства массовых машин, а также тяжелого истребителя Ме-210, бомбардировщика До-217, высотного разведчика Ю-86П, штурмовика Хш-129, ближнего разведчика Хш-126, транспортного Ю-52. Представлял большой интерес раздел о многоцелевом Ю-88, где показана эволюция самолета за годы войны и место его в люфтваффе (19179).</w:t>
      </w:r>
    </w:p>
    <w:p w14:paraId="72BE4927" w14:textId="77777777" w:rsidR="00E23482" w:rsidRPr="007224C3" w:rsidRDefault="00E23482" w:rsidP="007224C3">
      <w:pPr>
        <w:pStyle w:val="rtejustify"/>
        <w:shd w:val="clear" w:color="auto" w:fill="FFFFFF"/>
        <w:spacing w:before="0" w:after="0"/>
        <w:rPr>
          <w:color w:val="000000" w:themeColor="text1"/>
          <w:sz w:val="16"/>
          <w:szCs w:val="16"/>
        </w:rPr>
      </w:pPr>
    </w:p>
    <w:p w14:paraId="09094FA9" w14:textId="77777777" w:rsidR="00E23482" w:rsidRPr="007224C3" w:rsidRDefault="00E2348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марте 1944 г. БНТ ЦАГИ издал сборник «Немецкие самолеты в НИИ ВВС Красной Армии», содержащий описания и характеристики основных типов самолетов, стоявших на вооружении люфтваффе (19727).</w:t>
      </w:r>
    </w:p>
    <w:p w14:paraId="4541CEDA" w14:textId="77777777" w:rsidR="00E23482" w:rsidRPr="007224C3" w:rsidRDefault="00E23482" w:rsidP="007224C3">
      <w:pPr>
        <w:spacing w:after="0" w:line="240" w:lineRule="auto"/>
        <w:jc w:val="both"/>
        <w:rPr>
          <w:rFonts w:ascii="Times New Roman" w:hAnsi="Times New Roman"/>
          <w:color w:val="000000" w:themeColor="text1"/>
          <w:sz w:val="16"/>
          <w:szCs w:val="16"/>
        </w:rPr>
      </w:pPr>
    </w:p>
    <w:p w14:paraId="08A94D7A"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620DF15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BF0CDBB" w14:textId="77777777" w:rsidR="00C71B1D" w:rsidRPr="007224C3" w:rsidRDefault="00C71B1D" w:rsidP="007224C3">
      <w:pPr>
        <w:spacing w:after="0" w:line="240" w:lineRule="auto"/>
        <w:jc w:val="both"/>
        <w:rPr>
          <w:rFonts w:ascii="Times New Roman" w:hAnsi="Times New Roman"/>
          <w:color w:val="000000" w:themeColor="text1"/>
          <w:sz w:val="16"/>
          <w:szCs w:val="16"/>
        </w:rPr>
      </w:pPr>
      <w:r w:rsidRPr="007224C3">
        <w:rPr>
          <w:rStyle w:val="Bodytext2"/>
          <w:rFonts w:eastAsia="Calibri"/>
          <w:color w:val="000000" w:themeColor="text1"/>
          <w:sz w:val="16"/>
          <w:szCs w:val="16"/>
        </w:rPr>
        <w:t xml:space="preserve">Март 1944 г. </w:t>
      </w:r>
      <w:r w:rsidRPr="007224C3">
        <w:rPr>
          <w:rStyle w:val="Heading22"/>
          <w:rFonts w:eastAsia="Calibri"/>
          <w:color w:val="000000" w:themeColor="text1"/>
          <w:sz w:val="16"/>
          <w:szCs w:val="16"/>
        </w:rPr>
        <w:t>Из доклада командующего артиллерией Красной армии в Ставку ВГК</w:t>
      </w:r>
    </w:p>
    <w:p w14:paraId="70115613" w14:textId="77777777" w:rsidR="00C71B1D" w:rsidRPr="007224C3" w:rsidRDefault="00C71B1D" w:rsidP="007224C3">
      <w:pPr>
        <w:pStyle w:val="621"/>
        <w:shd w:val="clear" w:color="auto" w:fill="auto"/>
        <w:spacing w:before="0" w:line="240" w:lineRule="auto"/>
        <w:rPr>
          <w:rStyle w:val="16"/>
          <w:rFonts w:ascii="Times New Roman" w:cs="Times New Roman"/>
          <w:color w:val="000000" w:themeColor="text1"/>
          <w:spacing w:val="0"/>
          <w:u w:val="none"/>
        </w:rPr>
      </w:pPr>
      <w:r w:rsidRPr="007224C3">
        <w:rPr>
          <w:rStyle w:val="16"/>
          <w:rFonts w:ascii="Times New Roman" w:cs="Times New Roman"/>
          <w:color w:val="000000" w:themeColor="text1"/>
          <w:spacing w:val="0"/>
          <w:u w:val="none"/>
        </w:rPr>
        <w:t>В ходе войны определилась необходимость непрерывного сопровождения войск огнем и колесами зенитной артиллерии для обеспечения их от ударов авиации противника. Ши</w:t>
      </w:r>
      <w:r w:rsidRPr="007224C3">
        <w:rPr>
          <w:rStyle w:val="16"/>
          <w:rFonts w:ascii="Times New Roman" w:cs="Times New Roman"/>
          <w:color w:val="000000" w:themeColor="text1"/>
          <w:spacing w:val="0"/>
          <w:u w:val="none"/>
        </w:rPr>
        <w:softHyphen/>
        <w:t>рокое маневрирование зенитных средств является основой своевременного реагирования на изменения в воздушной обстановке. Установлено также, что наибольший успех в авиации наши войска имеют при условии мощного прикрытия с воздуха. Однако эти задачи при существующей неукомплектованности зенитной артиллерии автотранспортом и автотя</w:t>
      </w:r>
      <w:r w:rsidRPr="007224C3">
        <w:rPr>
          <w:rStyle w:val="16"/>
          <w:rFonts w:ascii="Times New Roman" w:cs="Times New Roman"/>
          <w:color w:val="000000" w:themeColor="text1"/>
          <w:spacing w:val="0"/>
          <w:u w:val="none"/>
        </w:rPr>
        <w:softHyphen/>
        <w:t>гачами не могут выполняться. Зенитные артиллерийские части вынуждены перемещать материальную часть и боеприпасы в 2—3 рейса, вследствие чего отстают от войск, особенно от подвижных групп (15123).</w:t>
      </w:r>
    </w:p>
    <w:p w14:paraId="641FFA41" w14:textId="77777777" w:rsidR="00C71B1D" w:rsidRPr="007224C3" w:rsidRDefault="00C71B1D" w:rsidP="007224C3">
      <w:pPr>
        <w:pStyle w:val="621"/>
        <w:shd w:val="clear" w:color="auto" w:fill="auto"/>
        <w:spacing w:before="0" w:line="240" w:lineRule="auto"/>
        <w:rPr>
          <w:color w:val="000000" w:themeColor="text1"/>
          <w:sz w:val="16"/>
          <w:szCs w:val="16"/>
        </w:rPr>
      </w:pPr>
    </w:p>
    <w:p w14:paraId="39D08A6C" w14:textId="77777777" w:rsidR="006B6140" w:rsidRPr="007224C3" w:rsidRDefault="006B614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марте 1944 завод №92 изготовил второй и третий образцы С-34, а 26 числа их отправили на завод №100. В ходе испытаний отстрелом орудия №2 (всего произвели 18 выстрелов) обнаружилось заедание оси кривошипного механизма. Ровно те же дефекты обнаружились и на орудии №3, из которого сделали 22 выстрела. 11 мая 1944 года нарком танковой промышленности Малышев подверг С-34 резкой критике. По его словам, системы, предназначенные для установки в ИС-2 и СУ-100, оказались неприспособленными для установки ни в танк, ни в САУ. Разумеется, системы дорабатывались, но время шло, а С-34 всё никак не устанавливалась в САУ. Поскольку особого прогресса с исправлениями не наблюдалось, то и на УЗТМ не особо торопились. Представитель ЦАКБ гвардии капитан Боглевский, прибывший на завод 23 апреля, сообщил, что с января никакой деятельности на УТЗМ по данной теме не велось (18252).</w:t>
      </w:r>
    </w:p>
    <w:p w14:paraId="105B1FEA" w14:textId="77777777" w:rsidR="006B6140" w:rsidRPr="007224C3" w:rsidRDefault="006B6140" w:rsidP="007224C3">
      <w:pPr>
        <w:spacing w:after="0" w:line="240" w:lineRule="auto"/>
        <w:jc w:val="both"/>
        <w:rPr>
          <w:rFonts w:ascii="Times New Roman" w:hAnsi="Times New Roman"/>
          <w:color w:val="000000" w:themeColor="text1"/>
          <w:sz w:val="16"/>
          <w:szCs w:val="16"/>
        </w:rPr>
      </w:pPr>
    </w:p>
    <w:p w14:paraId="12E3FCD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марте 1944 г. командование бронетанковых войск и руководство НКТП с нетерпением ждали, какие же новинки в новой кампании предложит им фашистская Германия?</w:t>
      </w:r>
    </w:p>
    <w:p w14:paraId="4F67C41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Уже отмечалось, что ожидания сводились главным об</w:t>
      </w:r>
      <w:r w:rsidRPr="007224C3">
        <w:rPr>
          <w:rFonts w:ascii="Times New Roman" w:hAnsi="Times New Roman"/>
          <w:color w:val="000000" w:themeColor="text1"/>
          <w:sz w:val="16"/>
          <w:szCs w:val="16"/>
        </w:rPr>
        <w:softHyphen/>
        <w:t>разом к следующему:</w:t>
      </w:r>
    </w:p>
    <w:p w14:paraId="5ADA3CC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«Новая кампания пройдет для фашистской Германии под знаком стратегической обороны... Это может привес</w:t>
      </w:r>
      <w:r w:rsidRPr="007224C3">
        <w:rPr>
          <w:rFonts w:ascii="Times New Roman" w:hAnsi="Times New Roman"/>
          <w:color w:val="000000" w:themeColor="text1"/>
          <w:sz w:val="16"/>
          <w:szCs w:val="16"/>
        </w:rPr>
        <w:softHyphen/>
        <w:t>ти к значительному усилению роли противотанковых само-ходно-артиллерийских установок и штурмовых орудий... Появление на фронте новых образцов танков маловероят</w:t>
      </w:r>
      <w:r w:rsidRPr="007224C3">
        <w:rPr>
          <w:rFonts w:ascii="Times New Roman" w:hAnsi="Times New Roman"/>
          <w:color w:val="000000" w:themeColor="text1"/>
          <w:sz w:val="16"/>
          <w:szCs w:val="16"/>
        </w:rPr>
        <w:softHyphen/>
        <w:t>но... Более разумным была бы модернизация существующих танков путем замены в них артиллерийского вооружения на одну ступень (в танке «Пантера» вместо 75-мм танковой пушки обр 42 возможно появление 85-мм танковой пушки обр. 36 или даже обр. 43. Возможно появление тяжелых танков и противотанковых САУкал. 105-мм или даже 128-мм... Прекращение выпуска легких танков в пользу САУ...</w:t>
      </w:r>
    </w:p>
    <w:p w14:paraId="0159C43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Броневая защита немецких танков вряд ли претерпит ра</w:t>
      </w:r>
      <w:r w:rsidRPr="007224C3">
        <w:rPr>
          <w:rFonts w:ascii="Times New Roman" w:hAnsi="Times New Roman"/>
          <w:color w:val="000000" w:themeColor="text1"/>
          <w:sz w:val="16"/>
          <w:szCs w:val="16"/>
        </w:rPr>
        <w:softHyphen/>
        <w:t>дикальные изменения... Новые образцы немецких танков ожи</w:t>
      </w:r>
      <w:r w:rsidRPr="007224C3">
        <w:rPr>
          <w:rFonts w:ascii="Times New Roman" w:hAnsi="Times New Roman"/>
          <w:color w:val="000000" w:themeColor="text1"/>
          <w:sz w:val="16"/>
          <w:szCs w:val="16"/>
        </w:rPr>
        <w:softHyphen/>
        <w:t>даются на фронте в ходе весенее-летней кампании 1944 г.».</w:t>
      </w:r>
    </w:p>
    <w:p w14:paraId="6BC9D88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 противник не спешил «радовать» новинками своего танкостроения. Производившиеся серийно «Тигр» и «Пан</w:t>
      </w:r>
      <w:r w:rsidRPr="007224C3">
        <w:rPr>
          <w:rFonts w:ascii="Times New Roman" w:hAnsi="Times New Roman"/>
          <w:color w:val="000000" w:themeColor="text1"/>
          <w:sz w:val="16"/>
          <w:szCs w:val="16"/>
        </w:rPr>
        <w:softHyphen/>
        <w:t>тера» сохраняли свое бронирование и вооружение, лишь упрощаясь в конструкции. К весне 1944 г. танк «Пантера» стал широко распространенной моделью на всех фронтах.</w:t>
      </w:r>
    </w:p>
    <w:p w14:paraId="3984D61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Сообщения же о массовом применении танков «Тигр» следует отнести на счет модернизированных ТIV.</w:t>
      </w:r>
    </w:p>
    <w:p w14:paraId="3815F8F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Интересно отметить также, что в этот момент многие не</w:t>
      </w:r>
      <w:r w:rsidRPr="007224C3">
        <w:rPr>
          <w:rFonts w:ascii="Times New Roman" w:hAnsi="Times New Roman"/>
          <w:color w:val="000000" w:themeColor="text1"/>
          <w:sz w:val="16"/>
          <w:szCs w:val="16"/>
        </w:rPr>
        <w:softHyphen/>
        <w:t>мецкие танки получили так называемую «керамическую об</w:t>
      </w:r>
      <w:r w:rsidRPr="007224C3">
        <w:rPr>
          <w:rFonts w:ascii="Times New Roman" w:hAnsi="Times New Roman"/>
          <w:color w:val="000000" w:themeColor="text1"/>
          <w:sz w:val="16"/>
          <w:szCs w:val="16"/>
        </w:rPr>
        <w:softHyphen/>
        <w:t>мазку», или,«циммерит». Официально принята версия, что «циммерит» наносился на корпус танка для защиты от маг</w:t>
      </w:r>
      <w:r w:rsidRPr="007224C3">
        <w:rPr>
          <w:rFonts w:ascii="Times New Roman" w:hAnsi="Times New Roman"/>
          <w:color w:val="000000" w:themeColor="text1"/>
          <w:sz w:val="16"/>
          <w:szCs w:val="16"/>
        </w:rPr>
        <w:softHyphen/>
        <w:t>нитных кумулятивных боеприпасов, но опыты показывают, что это, скорее всего, не так. Впрочем, в рамках данного из</w:t>
      </w:r>
      <w:r w:rsidRPr="007224C3">
        <w:rPr>
          <w:rFonts w:ascii="Times New Roman" w:hAnsi="Times New Roman"/>
          <w:color w:val="000000" w:themeColor="text1"/>
          <w:sz w:val="16"/>
          <w:szCs w:val="16"/>
        </w:rPr>
        <w:softHyphen/>
        <w:t>дания мы не станем разбираться с истинностью или ложнос</w:t>
      </w:r>
      <w:r w:rsidRPr="007224C3">
        <w:rPr>
          <w:rFonts w:ascii="Times New Roman" w:hAnsi="Times New Roman"/>
          <w:color w:val="000000" w:themeColor="text1"/>
          <w:sz w:val="16"/>
          <w:szCs w:val="16"/>
        </w:rPr>
        <w:softHyphen/>
        <w:t>тью данного предположения и лишь констатируем сей факт (11135).</w:t>
      </w:r>
    </w:p>
    <w:p w14:paraId="3DFCCF9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B4554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марте 1944 г. на стол и.о. начальника ОГК НКТП Бе-ра легло послание следующего содержания:</w:t>
      </w:r>
    </w:p>
    <w:p w14:paraId="6F386FF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«Согласно имеющимся данным, немецкие танкостроите</w:t>
      </w:r>
      <w:r w:rsidRPr="007224C3">
        <w:rPr>
          <w:rFonts w:ascii="Times New Roman" w:hAnsi="Times New Roman"/>
          <w:color w:val="000000" w:themeColor="text1"/>
          <w:sz w:val="16"/>
          <w:szCs w:val="16"/>
        </w:rPr>
        <w:softHyphen/>
        <w:t>ли создают тяжелый 60-тонный танк нового типа, называе</w:t>
      </w:r>
      <w:r w:rsidRPr="007224C3">
        <w:rPr>
          <w:rFonts w:ascii="Times New Roman" w:hAnsi="Times New Roman"/>
          <w:color w:val="000000" w:themeColor="text1"/>
          <w:sz w:val="16"/>
          <w:szCs w:val="16"/>
        </w:rPr>
        <w:softHyphen/>
        <w:t>мый Т-9 или Т-10...</w:t>
      </w:r>
    </w:p>
    <w:p w14:paraId="632B40A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Вооружение нового танка очень сильное и состоит из но</w:t>
      </w:r>
      <w:r w:rsidRPr="007224C3">
        <w:rPr>
          <w:rFonts w:ascii="Times New Roman" w:hAnsi="Times New Roman"/>
          <w:color w:val="000000" w:themeColor="text1"/>
          <w:sz w:val="16"/>
          <w:szCs w:val="16"/>
        </w:rPr>
        <w:softHyphen/>
        <w:t>вой 88-мм или 128-мм пушки с большой длиной ствола и 3-х пулеметов (1 зенитный).</w:t>
      </w:r>
    </w:p>
    <w:p w14:paraId="0D5C00E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Предположительно, что танк имеет мощный авиацион</w:t>
      </w:r>
      <w:r w:rsidRPr="007224C3">
        <w:rPr>
          <w:rFonts w:ascii="Times New Roman" w:hAnsi="Times New Roman"/>
          <w:color w:val="000000" w:themeColor="text1"/>
          <w:sz w:val="16"/>
          <w:szCs w:val="16"/>
        </w:rPr>
        <w:softHyphen/>
        <w:t>ный мотор «Даймлер-Бенц» и бензо-электрическую транс</w:t>
      </w:r>
      <w:r w:rsidRPr="007224C3">
        <w:rPr>
          <w:rFonts w:ascii="Times New Roman" w:hAnsi="Times New Roman"/>
          <w:color w:val="000000" w:themeColor="text1"/>
          <w:sz w:val="16"/>
          <w:szCs w:val="16"/>
        </w:rPr>
        <w:softHyphen/>
        <w:t>миссию по типу трансмиссии САУ «Фердинанд»...</w:t>
      </w:r>
    </w:p>
    <w:p w14:paraId="1D9AE37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Броневая защита нового танка имеет толщину не менее 150 — 200мм с курсовых углов обстрела... Главной особенностью нового германского танка является широкое использование крупных литых броневых деталей в конструкции его корпуса и башни (есть сведения о применении в конструкции танка цель-нолитого корпуса и башни), делающих его пригодным к массово</w:t>
      </w:r>
      <w:r w:rsidRPr="007224C3">
        <w:rPr>
          <w:rFonts w:ascii="Times New Roman" w:hAnsi="Times New Roman"/>
          <w:color w:val="000000" w:themeColor="text1"/>
          <w:sz w:val="16"/>
          <w:szCs w:val="16"/>
        </w:rPr>
        <w:softHyphen/>
        <w:t>му выпуску и придающих ему форму, выгодную с точки зрения склонности бронебойных снарядов к рикошету... В настоящее время немецкие предприятия ведут серийный выпуск литых ба</w:t>
      </w:r>
      <w:r w:rsidRPr="007224C3">
        <w:rPr>
          <w:rFonts w:ascii="Times New Roman" w:hAnsi="Times New Roman"/>
          <w:color w:val="000000" w:themeColor="text1"/>
          <w:sz w:val="16"/>
          <w:szCs w:val="16"/>
        </w:rPr>
        <w:softHyphen/>
        <w:t>шен для нового тяжелого танка, который ожидается осенью-Возможно, что появление этого танка вызвано изучением немецких конструкторов литых башен и корпусных деталей танков Т-34, КВ-1 и нашего нового тяжелого танка ИС».</w:t>
      </w:r>
    </w:p>
    <w:p w14:paraId="5A157F1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Откуда была получена данная информация - неизвест</w:t>
      </w:r>
      <w:r w:rsidRPr="007224C3">
        <w:rPr>
          <w:rFonts w:ascii="Times New Roman" w:hAnsi="Times New Roman"/>
          <w:color w:val="000000" w:themeColor="text1"/>
          <w:sz w:val="16"/>
          <w:szCs w:val="16"/>
        </w:rPr>
        <w:softHyphen/>
        <w:t>но, как неизвестна и точная дата ее появления в СССР. Види</w:t>
      </w:r>
      <w:r w:rsidRPr="007224C3">
        <w:rPr>
          <w:rFonts w:ascii="Times New Roman" w:hAnsi="Times New Roman"/>
          <w:color w:val="000000" w:themeColor="text1"/>
          <w:sz w:val="16"/>
          <w:szCs w:val="16"/>
        </w:rPr>
        <w:softHyphen/>
        <w:t>мо, здесь переплелись разрозненные данные о новом танке, более известном под названием «Королевский Тигр» (первые машины этого типа действительно несли ли</w:t>
      </w:r>
      <w:r w:rsidRPr="007224C3">
        <w:rPr>
          <w:rFonts w:ascii="Times New Roman" w:hAnsi="Times New Roman"/>
          <w:color w:val="000000" w:themeColor="text1"/>
          <w:sz w:val="16"/>
          <w:szCs w:val="16"/>
        </w:rPr>
        <w:softHyphen/>
        <w:t>тые башни конструкции Ф. Порше), а также слухи об уже ис</w:t>
      </w:r>
      <w:r w:rsidRPr="007224C3">
        <w:rPr>
          <w:rFonts w:ascii="Times New Roman" w:hAnsi="Times New Roman"/>
          <w:color w:val="000000" w:themeColor="text1"/>
          <w:sz w:val="16"/>
          <w:szCs w:val="16"/>
        </w:rPr>
        <w:softHyphen/>
        <w:t>пытывающемся «мышонке» и немецкие пропагандистские издания второй половины войны. Скорее всего, именно та</w:t>
      </w:r>
      <w:r w:rsidRPr="007224C3">
        <w:rPr>
          <w:rFonts w:ascii="Times New Roman" w:hAnsi="Times New Roman"/>
          <w:color w:val="000000" w:themeColor="text1"/>
          <w:sz w:val="16"/>
          <w:szCs w:val="16"/>
        </w:rPr>
        <w:softHyphen/>
        <w:t>кая ура-патриотическая фантастическая публикация в «Бер-линер иллюстрирте цайтунг» и послужила тем самым источ</w:t>
      </w:r>
      <w:r w:rsidRPr="007224C3">
        <w:rPr>
          <w:rFonts w:ascii="Times New Roman" w:hAnsi="Times New Roman"/>
          <w:color w:val="000000" w:themeColor="text1"/>
          <w:sz w:val="16"/>
          <w:szCs w:val="16"/>
        </w:rPr>
        <w:softHyphen/>
        <w:t>ником, на который ссьшались в приведенном выше письме. Вряд ли такой мифический проект имел место в Германии в конце войны, но в СССР он вызвал некоторый переполох (11135).</w:t>
      </w:r>
    </w:p>
    <w:p w14:paraId="05B9389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DBC211E" w14:textId="77777777" w:rsidR="000B533C" w:rsidRPr="007224C3" w:rsidRDefault="000B53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Март 1944 стал пиковым месяцем для выпуска ИСУ-152 на ЧКЗ. Дело в том, что с апреля 1944 года началось производство ИСУ-122 (Объект 242). Бытует мнение, что появление этих машин связано с нехваткой систем МЛ-20с для вооружения ИСУ-152, но это не так. САУ со 122-мм пушкой А-19 в качестве эффективного противотанкового средства Красная армия хотела получить ещё с весны 1943 года.</w:t>
      </w:r>
    </w:p>
    <w:p w14:paraId="254F3AD7" w14:textId="77777777" w:rsidR="000B533C" w:rsidRPr="007224C3" w:rsidRDefault="000B53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Запуск производства ИСУ-122 особых проблем не вызвал, поскольку отличалась эта машина от ИСУ-152 орудийной системой и укладками, причём по большинству деталей МЛ-20с и А-19 были унифицированы. ЧКЗ в соответствии с планами постепенно выходил на объём ежемесячного выпуска в 250 танков и 250 САУ. При этом </w:t>
      </w:r>
      <w:r w:rsidRPr="007224C3">
        <w:rPr>
          <w:rFonts w:ascii="Times New Roman" w:hAnsi="Times New Roman"/>
          <w:color w:val="000000" w:themeColor="text1"/>
          <w:sz w:val="16"/>
          <w:szCs w:val="16"/>
        </w:rPr>
        <w:lastRenderedPageBreak/>
        <w:t>темп производства ИСУ-152 пришлось снижать: в апреле их сдали 130 штук. Продолжалось внесение усовершенствований в конструкцию, например, были улучшены замки в снарядных укладках (18171).</w:t>
      </w:r>
    </w:p>
    <w:p w14:paraId="6B9113C2" w14:textId="77777777" w:rsidR="000B533C" w:rsidRPr="007224C3" w:rsidRDefault="000B533C" w:rsidP="007224C3">
      <w:pPr>
        <w:spacing w:after="0" w:line="240" w:lineRule="auto"/>
        <w:jc w:val="both"/>
        <w:rPr>
          <w:rFonts w:ascii="Times New Roman" w:hAnsi="Times New Roman"/>
          <w:color w:val="000000" w:themeColor="text1"/>
          <w:sz w:val="16"/>
          <w:szCs w:val="16"/>
        </w:rPr>
      </w:pPr>
    </w:p>
    <w:p w14:paraId="37AFE88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марта 1944 года на ИС-122 дульный тормоз немецкого типа заменили более эффективным - конструкции ЦАКБ. С этого же времени танки ИС-85 были переименованы в ИС-1, а ИС-122 - в ИС-2. (3862).</w:t>
      </w:r>
    </w:p>
    <w:p w14:paraId="727817A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30134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марта 1944 г. на ЧКЗ стали выпускаться танки ИС-2, оснащенные пушкой Д-25 с клиновым затвором и новой конструкцией дульного тор</w:t>
      </w:r>
      <w:r w:rsidRPr="007224C3">
        <w:rPr>
          <w:rFonts w:ascii="Times New Roman" w:hAnsi="Times New Roman"/>
          <w:color w:val="000000" w:themeColor="text1"/>
          <w:sz w:val="16"/>
          <w:szCs w:val="16"/>
        </w:rPr>
        <w:softHyphen/>
        <w:t>моза. Всего было изготовлено 850 танков, которые широко применя</w:t>
      </w:r>
      <w:r w:rsidRPr="007224C3">
        <w:rPr>
          <w:rFonts w:ascii="Times New Roman" w:hAnsi="Times New Roman"/>
          <w:color w:val="000000" w:themeColor="text1"/>
          <w:sz w:val="16"/>
          <w:szCs w:val="16"/>
        </w:rPr>
        <w:softHyphen/>
        <w:t>лись в третьем периоде Великой Отечественной войны. В связи с установкой пушки калибра 122-мм, имевшей значительно большие габариты по сравнению с 85-мм пушкой Д-5Т-85, рабочие ме</w:t>
      </w:r>
      <w:r w:rsidRPr="007224C3">
        <w:rPr>
          <w:rFonts w:ascii="Times New Roman" w:hAnsi="Times New Roman"/>
          <w:color w:val="000000" w:themeColor="text1"/>
          <w:sz w:val="16"/>
          <w:szCs w:val="16"/>
        </w:rPr>
        <w:softHyphen/>
        <w:t>ста наводчика и командира танка в башне были сдвинуты влево, соот</w:t>
      </w:r>
      <w:r w:rsidRPr="007224C3">
        <w:rPr>
          <w:rFonts w:ascii="Times New Roman" w:hAnsi="Times New Roman"/>
          <w:color w:val="000000" w:themeColor="text1"/>
          <w:sz w:val="16"/>
          <w:szCs w:val="16"/>
        </w:rPr>
        <w:softHyphen/>
        <w:t>ветственно конструкция башни в части установки командирской ба</w:t>
      </w:r>
      <w:r w:rsidRPr="007224C3">
        <w:rPr>
          <w:rFonts w:ascii="Times New Roman" w:hAnsi="Times New Roman"/>
          <w:color w:val="000000" w:themeColor="text1"/>
          <w:sz w:val="16"/>
          <w:szCs w:val="16"/>
        </w:rPr>
        <w:softHyphen/>
        <w:t>шенки была изменена. Численность экипажа осталась без изменений и составляла четыре человека (10703).</w:t>
      </w:r>
    </w:p>
    <w:p w14:paraId="4360217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19829E" w14:textId="77777777" w:rsidR="00A01DE5" w:rsidRPr="007224C3" w:rsidRDefault="00A01DE5" w:rsidP="007224C3">
      <w:pPr>
        <w:spacing w:after="0" w:line="240" w:lineRule="auto"/>
        <w:jc w:val="both"/>
        <w:rPr>
          <w:rFonts w:ascii="Times New Roman" w:hAnsi="Times New Roman"/>
          <w:color w:val="0070C0"/>
          <w:sz w:val="16"/>
          <w:szCs w:val="16"/>
        </w:rPr>
      </w:pPr>
      <w:r w:rsidRPr="007224C3">
        <w:rPr>
          <w:rStyle w:val="712"/>
          <w:rFonts w:ascii="Times New Roman" w:hAnsi="Times New Roman" w:cs="Times New Roman"/>
          <w:color w:val="0070C0"/>
          <w:sz w:val="16"/>
          <w:szCs w:val="16"/>
        </w:rPr>
        <w:t>В марте 1944 года произошли очередные изменения конструкции ИС-2. Этот месяц для ЧКЗ был крайне тяжелым, поскольку вовсю шла перестройка производственного цикла на поточный метод, а смежники, прежде всего завод № 9, сдавали свою продукцию не</w:t>
      </w:r>
      <w:r w:rsidRPr="007224C3">
        <w:rPr>
          <w:rStyle w:val="712"/>
          <w:rFonts w:ascii="Times New Roman" w:hAnsi="Times New Roman" w:cs="Times New Roman"/>
          <w:color w:val="0070C0"/>
          <w:sz w:val="16"/>
          <w:szCs w:val="16"/>
        </w:rPr>
        <w:softHyphen/>
        <w:t>ритмично. Всего за март было введено 12 пунктов улучшений конструкции танка, часть из которых повлияли и на внешний вид. Кнопку связи с экипажем перенесли на пра</w:t>
      </w:r>
      <w:r w:rsidRPr="007224C3">
        <w:rPr>
          <w:rStyle w:val="712"/>
          <w:rFonts w:ascii="Times New Roman" w:hAnsi="Times New Roman" w:cs="Times New Roman"/>
          <w:color w:val="0070C0"/>
          <w:sz w:val="16"/>
          <w:szCs w:val="16"/>
        </w:rPr>
        <w:softHyphen/>
        <w:t>вую сторону кормы корпуса. Была усилена сетка воздухозаборников: в дополнение к поперечным ребрам жесткости появилось еще и продольное. Впрочем, более суще</w:t>
      </w:r>
      <w:r w:rsidRPr="007224C3">
        <w:rPr>
          <w:rStyle w:val="712"/>
          <w:rFonts w:ascii="Times New Roman" w:hAnsi="Times New Roman" w:cs="Times New Roman"/>
          <w:color w:val="0070C0"/>
          <w:sz w:val="16"/>
          <w:szCs w:val="16"/>
        </w:rPr>
        <w:softHyphen/>
        <w:t>ственными стали изменения по корпусам и башням. С марта 1944 года начался выпуск корпусов и башен из стали высокой твердо</w:t>
      </w:r>
      <w:r w:rsidRPr="007224C3">
        <w:rPr>
          <w:rStyle w:val="712"/>
          <w:rFonts w:ascii="Times New Roman" w:hAnsi="Times New Roman" w:cs="Times New Roman"/>
          <w:color w:val="0070C0"/>
          <w:sz w:val="16"/>
          <w:szCs w:val="16"/>
        </w:rPr>
        <w:softHyphen/>
        <w:t>сти 70Л. 78 из 116 корпусов и 62 из 82 башен, выпущенных за месяц заводом № 200, имели лобовые детали из брони высокой твердости.</w:t>
      </w:r>
    </w:p>
    <w:p w14:paraId="48B49448" w14:textId="77777777" w:rsidR="00A01DE5" w:rsidRPr="007224C3" w:rsidRDefault="00A01DE5" w:rsidP="007224C3">
      <w:pPr>
        <w:spacing w:after="0" w:line="240" w:lineRule="auto"/>
        <w:jc w:val="both"/>
        <w:rPr>
          <w:rFonts w:ascii="Times New Roman" w:hAnsi="Times New Roman"/>
          <w:color w:val="0070C0"/>
          <w:sz w:val="16"/>
          <w:szCs w:val="16"/>
        </w:rPr>
      </w:pPr>
      <w:r w:rsidRPr="007224C3">
        <w:rPr>
          <w:rStyle w:val="712"/>
          <w:rFonts w:ascii="Times New Roman" w:hAnsi="Times New Roman" w:cs="Times New Roman"/>
          <w:color w:val="0070C0"/>
          <w:sz w:val="16"/>
          <w:szCs w:val="16"/>
        </w:rPr>
        <w:t>Тогда же сталь 70Л стала применяться и на УЗТМ. Данное изменение существенно по</w:t>
      </w:r>
      <w:r w:rsidRPr="007224C3">
        <w:rPr>
          <w:rStyle w:val="712"/>
          <w:rFonts w:ascii="Times New Roman" w:hAnsi="Times New Roman" w:cs="Times New Roman"/>
          <w:color w:val="0070C0"/>
          <w:sz w:val="16"/>
          <w:szCs w:val="16"/>
        </w:rPr>
        <w:softHyphen/>
        <w:t>влияло на снарядостойкость: дистанция про</w:t>
      </w:r>
      <w:r w:rsidRPr="007224C3">
        <w:rPr>
          <w:rStyle w:val="712"/>
          <w:rFonts w:ascii="Times New Roman" w:hAnsi="Times New Roman" w:cs="Times New Roman"/>
          <w:color w:val="0070C0"/>
          <w:sz w:val="16"/>
          <w:szCs w:val="16"/>
        </w:rPr>
        <w:softHyphen/>
        <w:t>бития 75-мм орудием «Пантеры» верхнего лобового листа корпуса снизилась до 570 метров. Улучшению показателей способство</w:t>
      </w:r>
      <w:r w:rsidRPr="007224C3">
        <w:rPr>
          <w:rStyle w:val="712"/>
          <w:rFonts w:ascii="Times New Roman" w:hAnsi="Times New Roman" w:cs="Times New Roman"/>
          <w:color w:val="0070C0"/>
          <w:sz w:val="16"/>
          <w:szCs w:val="16"/>
        </w:rPr>
        <w:softHyphen/>
        <w:t>вало и повышение качества литья лобовых деталей корпуса. В результате танк даже со старой конструкцией лобовой детали корпу</w:t>
      </w:r>
      <w:r w:rsidRPr="007224C3">
        <w:rPr>
          <w:rStyle w:val="712"/>
          <w:rFonts w:ascii="Times New Roman" w:hAnsi="Times New Roman" w:cs="Times New Roman"/>
          <w:color w:val="0070C0"/>
          <w:sz w:val="16"/>
          <w:szCs w:val="16"/>
        </w:rPr>
        <w:softHyphen/>
        <w:t>са стал «держать» снаряды на тех дистан</w:t>
      </w:r>
      <w:r w:rsidRPr="007224C3">
        <w:rPr>
          <w:rStyle w:val="712"/>
          <w:rFonts w:ascii="Times New Roman" w:hAnsi="Times New Roman" w:cs="Times New Roman"/>
          <w:color w:val="0070C0"/>
          <w:sz w:val="16"/>
          <w:szCs w:val="16"/>
        </w:rPr>
        <w:softHyphen/>
        <w:t>циях, где раньше его пробивали. Неудиви</w:t>
      </w:r>
      <w:r w:rsidRPr="007224C3">
        <w:rPr>
          <w:rStyle w:val="712"/>
          <w:rFonts w:ascii="Times New Roman" w:hAnsi="Times New Roman" w:cs="Times New Roman"/>
          <w:color w:val="0070C0"/>
          <w:sz w:val="16"/>
          <w:szCs w:val="16"/>
        </w:rPr>
        <w:softHyphen/>
        <w:t>тельно, что в отчетах о поражаемости ИС-2, основным калибром, которым немцы проби</w:t>
      </w:r>
      <w:r w:rsidRPr="007224C3">
        <w:rPr>
          <w:rStyle w:val="712"/>
          <w:rFonts w:ascii="Times New Roman" w:hAnsi="Times New Roman" w:cs="Times New Roman"/>
          <w:color w:val="0070C0"/>
          <w:sz w:val="16"/>
          <w:szCs w:val="16"/>
        </w:rPr>
        <w:softHyphen/>
        <w:t>вали данные танки, стал 88 мм. При этом чаще всего речь идет о снарядах орудия 8.8 cm Pak 43 L/71 и его производных.</w:t>
      </w:r>
    </w:p>
    <w:p w14:paraId="52A9606D" w14:textId="77777777" w:rsidR="00A01DE5" w:rsidRPr="007224C3" w:rsidRDefault="00A01DE5" w:rsidP="007224C3">
      <w:pPr>
        <w:spacing w:after="0" w:line="240" w:lineRule="auto"/>
        <w:jc w:val="both"/>
        <w:rPr>
          <w:rFonts w:ascii="Times New Roman" w:hAnsi="Times New Roman"/>
          <w:color w:val="0070C0"/>
          <w:sz w:val="16"/>
          <w:szCs w:val="16"/>
        </w:rPr>
      </w:pPr>
      <w:r w:rsidRPr="007224C3">
        <w:rPr>
          <w:rStyle w:val="712"/>
          <w:rFonts w:ascii="Times New Roman" w:hAnsi="Times New Roman" w:cs="Times New Roman"/>
          <w:color w:val="0070C0"/>
          <w:sz w:val="16"/>
          <w:szCs w:val="16"/>
        </w:rPr>
        <w:t>Не менее важным изменением марта стало появление башен производства еще двух за</w:t>
      </w:r>
      <w:r w:rsidRPr="007224C3">
        <w:rPr>
          <w:rStyle w:val="712"/>
          <w:rFonts w:ascii="Times New Roman" w:hAnsi="Times New Roman" w:cs="Times New Roman"/>
          <w:color w:val="0070C0"/>
          <w:sz w:val="16"/>
          <w:szCs w:val="16"/>
        </w:rPr>
        <w:softHyphen/>
        <w:t>водов. Первым из них стал Таганрогский госу</w:t>
      </w:r>
      <w:r w:rsidRPr="007224C3">
        <w:rPr>
          <w:rStyle w:val="712"/>
          <w:rFonts w:ascii="Times New Roman" w:hAnsi="Times New Roman" w:cs="Times New Roman"/>
          <w:color w:val="0070C0"/>
          <w:sz w:val="16"/>
          <w:szCs w:val="16"/>
        </w:rPr>
        <w:softHyphen/>
        <w:t>дарственный металлургический завод им. Андреева. Таганрог освободили 30 августа 1943 года, а с февраля 1944 года там освоили выпуск башен для ИС-2 из стали 70Л. В февра</w:t>
      </w:r>
      <w:r w:rsidRPr="007224C3">
        <w:rPr>
          <w:rStyle w:val="712"/>
          <w:rFonts w:ascii="Times New Roman" w:hAnsi="Times New Roman" w:cs="Times New Roman"/>
          <w:color w:val="0070C0"/>
          <w:sz w:val="16"/>
          <w:szCs w:val="16"/>
        </w:rPr>
        <w:softHyphen/>
        <w:t>ле сдали 31 башню, в марте 71 и в апреле 85. Получателем выступал завод № 200. В Челя</w:t>
      </w:r>
      <w:r w:rsidRPr="007224C3">
        <w:rPr>
          <w:rStyle w:val="712"/>
          <w:rFonts w:ascii="Times New Roman" w:hAnsi="Times New Roman" w:cs="Times New Roman"/>
          <w:color w:val="0070C0"/>
          <w:sz w:val="16"/>
          <w:szCs w:val="16"/>
        </w:rPr>
        <w:softHyphen/>
        <w:t>бинск поступали полуфабрикаты: башни про</w:t>
      </w:r>
      <w:r w:rsidRPr="007224C3">
        <w:rPr>
          <w:rStyle w:val="712"/>
          <w:rFonts w:ascii="Times New Roman" w:hAnsi="Times New Roman" w:cs="Times New Roman"/>
          <w:color w:val="0070C0"/>
          <w:sz w:val="16"/>
          <w:szCs w:val="16"/>
        </w:rPr>
        <w:softHyphen/>
        <w:t>ходили обрубку, отрезку прибылей, разделку дефектов под заварку, после чего отгружа</w:t>
      </w:r>
      <w:r w:rsidRPr="007224C3">
        <w:rPr>
          <w:rStyle w:val="712"/>
          <w:rFonts w:ascii="Times New Roman" w:hAnsi="Times New Roman" w:cs="Times New Roman"/>
          <w:color w:val="0070C0"/>
          <w:sz w:val="16"/>
          <w:szCs w:val="16"/>
        </w:rPr>
        <w:softHyphen/>
        <w:t>лись на завод № 200. В результате башни, формально выпущенные в Челябинске, не</w:t>
      </w:r>
      <w:r w:rsidRPr="007224C3">
        <w:rPr>
          <w:rStyle w:val="712"/>
          <w:rFonts w:ascii="Times New Roman" w:hAnsi="Times New Roman" w:cs="Times New Roman"/>
          <w:color w:val="0070C0"/>
          <w:sz w:val="16"/>
          <w:szCs w:val="16"/>
        </w:rPr>
        <w:softHyphen/>
        <w:t>много отличались друг от друга. Четвертым производителем башен стал Мариупольский металлургический завод им. Ильича. В сен</w:t>
      </w:r>
      <w:r w:rsidRPr="007224C3">
        <w:rPr>
          <w:rStyle w:val="712"/>
          <w:rFonts w:ascii="Times New Roman" w:hAnsi="Times New Roman" w:cs="Times New Roman"/>
          <w:color w:val="0070C0"/>
          <w:sz w:val="16"/>
          <w:szCs w:val="16"/>
        </w:rPr>
        <w:softHyphen/>
        <w:t>тябре 1943 года Мариуполь был освобожден Красной Армией, почти сразу же началось возрождение броневого производства. Вы</w:t>
      </w:r>
      <w:r w:rsidRPr="007224C3">
        <w:rPr>
          <w:rStyle w:val="712"/>
          <w:rFonts w:ascii="Times New Roman" w:hAnsi="Times New Roman" w:cs="Times New Roman"/>
          <w:color w:val="0070C0"/>
          <w:sz w:val="16"/>
          <w:szCs w:val="16"/>
        </w:rPr>
        <w:softHyphen/>
        <w:t>пуск башен для ИС-2 там освоили с апреля 1943 года, также в виде полуфабрикатов. Если с башнями из Таганрога пока не очень понятно, чем именно они отличались, то ма</w:t>
      </w:r>
      <w:r w:rsidRPr="007224C3">
        <w:rPr>
          <w:rStyle w:val="712"/>
          <w:rFonts w:ascii="Times New Roman" w:hAnsi="Times New Roman" w:cs="Times New Roman"/>
          <w:color w:val="0070C0"/>
          <w:sz w:val="16"/>
          <w:szCs w:val="16"/>
        </w:rPr>
        <w:softHyphen/>
        <w:t>риупольские изделия отличить несложно. Форма башни напоминала ту, что была у УЗТМ, также использовались короткие поручни. В районе установки кормового пулемета отсут</w:t>
      </w:r>
      <w:r w:rsidRPr="007224C3">
        <w:rPr>
          <w:rStyle w:val="712"/>
          <w:rFonts w:ascii="Times New Roman" w:hAnsi="Times New Roman" w:cs="Times New Roman"/>
          <w:color w:val="0070C0"/>
          <w:sz w:val="16"/>
          <w:szCs w:val="16"/>
        </w:rPr>
        <w:softHyphen/>
        <w:t>ствовали «ребра». Наконец, на продукции Ма</w:t>
      </w:r>
      <w:r w:rsidRPr="007224C3">
        <w:rPr>
          <w:rStyle w:val="712"/>
          <w:rFonts w:ascii="Times New Roman" w:hAnsi="Times New Roman" w:cs="Times New Roman"/>
          <w:color w:val="0070C0"/>
          <w:sz w:val="16"/>
          <w:szCs w:val="16"/>
        </w:rPr>
        <w:softHyphen/>
        <w:t>риупольского металлургического завода име</w:t>
      </w:r>
      <w:r w:rsidRPr="007224C3">
        <w:rPr>
          <w:rStyle w:val="712"/>
          <w:rFonts w:ascii="Times New Roman" w:hAnsi="Times New Roman" w:cs="Times New Roman"/>
          <w:color w:val="0070C0"/>
          <w:sz w:val="16"/>
          <w:szCs w:val="16"/>
        </w:rPr>
        <w:softHyphen/>
        <w:t>лись литьевые номера, отличающиеся от че</w:t>
      </w:r>
      <w:r w:rsidRPr="007224C3">
        <w:rPr>
          <w:rStyle w:val="712"/>
          <w:rFonts w:ascii="Times New Roman" w:hAnsi="Times New Roman" w:cs="Times New Roman"/>
          <w:color w:val="0070C0"/>
          <w:sz w:val="16"/>
          <w:szCs w:val="16"/>
        </w:rPr>
        <w:softHyphen/>
        <w:t>лябинских. При этом крыши и командирские башенки ставились заводом № 200. Первое время с мариупольскими башнями имелись проблемы по качеству, например, наблюда</w:t>
      </w:r>
      <w:r w:rsidRPr="007224C3">
        <w:rPr>
          <w:rStyle w:val="712"/>
          <w:rFonts w:ascii="Times New Roman" w:hAnsi="Times New Roman" w:cs="Times New Roman"/>
          <w:color w:val="0070C0"/>
          <w:sz w:val="16"/>
          <w:szCs w:val="16"/>
        </w:rPr>
        <w:softHyphen/>
        <w:t>лось существенное превышение массы (19874).</w:t>
      </w:r>
    </w:p>
    <w:p w14:paraId="46E5205F" w14:textId="77777777" w:rsidR="00A01DE5" w:rsidRPr="007224C3" w:rsidRDefault="00A01DE5" w:rsidP="007224C3">
      <w:pPr>
        <w:shd w:val="clear" w:color="auto" w:fill="FFFFFF"/>
        <w:spacing w:after="0" w:line="240" w:lineRule="auto"/>
        <w:jc w:val="both"/>
        <w:rPr>
          <w:rStyle w:val="712"/>
          <w:rFonts w:ascii="Times New Roman" w:hAnsi="Times New Roman" w:cs="Times New Roman"/>
          <w:color w:val="0070C0"/>
          <w:sz w:val="16"/>
          <w:szCs w:val="16"/>
        </w:rPr>
      </w:pPr>
    </w:p>
    <w:p w14:paraId="59F1E06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марта 1944 г. доработанный вариант 122 мм пушки Д-25 с поршневым затвором, созданной на основе корпус</w:t>
      </w:r>
      <w:r w:rsidRPr="007224C3">
        <w:rPr>
          <w:rFonts w:ascii="Times New Roman" w:hAnsi="Times New Roman"/>
          <w:color w:val="000000" w:themeColor="text1"/>
          <w:sz w:val="16"/>
          <w:szCs w:val="16"/>
        </w:rPr>
        <w:softHyphen/>
        <w:t>ной пушки А-19 с полуавтоматическим горизонтальным клиновым затвором под индек</w:t>
      </w:r>
      <w:r w:rsidRPr="007224C3">
        <w:rPr>
          <w:rFonts w:ascii="Times New Roman" w:hAnsi="Times New Roman"/>
          <w:color w:val="000000" w:themeColor="text1"/>
          <w:sz w:val="16"/>
          <w:szCs w:val="16"/>
        </w:rPr>
        <w:softHyphen/>
        <w:t>сом Д-25Т стал устанавливаться в тяжелый танк ИС-2. 122-мм нарезная танковая пушка Д-25Т производства завода № 9 НКВ представляла собой укороченный на 245 мм ствол корпусной пуш</w:t>
      </w:r>
      <w:r w:rsidRPr="007224C3">
        <w:rPr>
          <w:rFonts w:ascii="Times New Roman" w:hAnsi="Times New Roman"/>
          <w:color w:val="000000" w:themeColor="text1"/>
          <w:sz w:val="16"/>
          <w:szCs w:val="16"/>
        </w:rPr>
        <w:softHyphen/>
        <w:t>ки обр. 1931/37 гг. (А-19), наложенный на люльку 85-мм танковой пуш</w:t>
      </w:r>
      <w:r w:rsidRPr="007224C3">
        <w:rPr>
          <w:rFonts w:ascii="Times New Roman" w:hAnsi="Times New Roman"/>
          <w:color w:val="000000" w:themeColor="text1"/>
          <w:sz w:val="16"/>
          <w:szCs w:val="16"/>
        </w:rPr>
        <w:softHyphen/>
        <w:t>ки Д-5Т-85, но с несколько удлиненными цилиндрами и штоками тор</w:t>
      </w:r>
      <w:r w:rsidRPr="007224C3">
        <w:rPr>
          <w:rFonts w:ascii="Times New Roman" w:hAnsi="Times New Roman"/>
          <w:color w:val="000000" w:themeColor="text1"/>
          <w:sz w:val="16"/>
          <w:szCs w:val="16"/>
        </w:rPr>
        <w:softHyphen/>
        <w:t>моза отката и накатника. Ствол пушки состоял из трубы-моноблока, казенника, муфты и дуль</w:t>
      </w:r>
      <w:r w:rsidRPr="007224C3">
        <w:rPr>
          <w:rFonts w:ascii="Times New Roman" w:hAnsi="Times New Roman"/>
          <w:color w:val="000000" w:themeColor="text1"/>
          <w:sz w:val="16"/>
          <w:szCs w:val="16"/>
        </w:rPr>
        <w:softHyphen/>
        <w:t>ного тормоза. Труба-моноблок имела ступенчатую цилиндрическую форму и в дульной части была обработан^ на конус. Цилиндрической ча</w:t>
      </w:r>
      <w:r w:rsidRPr="007224C3">
        <w:rPr>
          <w:rFonts w:ascii="Times New Roman" w:hAnsi="Times New Roman"/>
          <w:color w:val="000000" w:themeColor="text1"/>
          <w:sz w:val="16"/>
          <w:szCs w:val="16"/>
        </w:rPr>
        <w:softHyphen/>
        <w:t>стью диаметром 260 мм труба входила в направляющие бронзовые вкла</w:t>
      </w:r>
      <w:r w:rsidRPr="007224C3">
        <w:rPr>
          <w:rFonts w:ascii="Times New Roman" w:hAnsi="Times New Roman"/>
          <w:color w:val="000000" w:themeColor="text1"/>
          <w:sz w:val="16"/>
          <w:szCs w:val="16"/>
        </w:rPr>
        <w:softHyphen/>
        <w:t>дыши люльки, по которым она скользила при откате и накате. У дульно</w:t>
      </w:r>
      <w:r w:rsidRPr="007224C3">
        <w:rPr>
          <w:rFonts w:ascii="Times New Roman" w:hAnsi="Times New Roman"/>
          <w:color w:val="000000" w:themeColor="text1"/>
          <w:sz w:val="16"/>
          <w:szCs w:val="16"/>
        </w:rPr>
        <w:softHyphen/>
        <w:t>го среза на трубе имелась ленточная резьба для навинчивания дульного тормоза. Поршневой затвор, применявшийся на первых образцах пушки Д-25Т был заимствован у 122-мм корпусной пушки А-19. Казенник пуш</w:t>
      </w:r>
      <w:r w:rsidRPr="007224C3">
        <w:rPr>
          <w:rFonts w:ascii="Times New Roman" w:hAnsi="Times New Roman"/>
          <w:color w:val="000000" w:themeColor="text1"/>
          <w:sz w:val="16"/>
          <w:szCs w:val="16"/>
        </w:rPr>
        <w:softHyphen/>
        <w:t>ки был несколько изменен, введен лоток для облегчения заряжания и поставлен усиленный подъемный механизм. Литая люлька обойменного типа качалась на двух цапфах, укрепленных в кронштейнах амбразуры башни. Противооткатные устройства (гидравлический тормоз веретен</w:t>
      </w:r>
      <w:r w:rsidRPr="007224C3">
        <w:rPr>
          <w:rFonts w:ascii="Times New Roman" w:hAnsi="Times New Roman"/>
          <w:color w:val="000000" w:themeColor="text1"/>
          <w:sz w:val="16"/>
          <w:szCs w:val="16"/>
        </w:rPr>
        <w:softHyphen/>
        <w:t>ного типа и гидропневматический накатник) располагались над стволом, что обеспечивало динамическую уравновешенность ствола при выстре</w:t>
      </w:r>
      <w:r w:rsidRPr="007224C3">
        <w:rPr>
          <w:rFonts w:ascii="Times New Roman" w:hAnsi="Times New Roman"/>
          <w:color w:val="000000" w:themeColor="text1"/>
          <w:sz w:val="16"/>
          <w:szCs w:val="16"/>
        </w:rPr>
        <w:softHyphen/>
        <w:t>ле и удобство обслуживания противооткатных устройств. Нормальная длина отката была 490 - 550 мм, предельная - 570 мм. Существенным недостатком применения в конструкции пушки поршневого затвора яв</w:t>
      </w:r>
      <w:r w:rsidRPr="007224C3">
        <w:rPr>
          <w:rFonts w:ascii="Times New Roman" w:hAnsi="Times New Roman"/>
          <w:color w:val="000000" w:themeColor="text1"/>
          <w:sz w:val="16"/>
          <w:szCs w:val="16"/>
        </w:rPr>
        <w:softHyphen/>
        <w:t>лялась низкая скорострельность - 2 - 3 выстр./мин. Для устранения этого недостатка с марта 1943 г. в конструкцию пушки был введен гори</w:t>
      </w:r>
      <w:r w:rsidRPr="007224C3">
        <w:rPr>
          <w:rFonts w:ascii="Times New Roman" w:hAnsi="Times New Roman"/>
          <w:color w:val="000000" w:themeColor="text1"/>
          <w:sz w:val="16"/>
          <w:szCs w:val="16"/>
        </w:rPr>
        <w:softHyphen/>
        <w:t>зонтальный клиновой с полуавтоматикой копирного типа затвор, кото</w:t>
      </w:r>
      <w:r w:rsidRPr="007224C3">
        <w:rPr>
          <w:rFonts w:ascii="Times New Roman" w:hAnsi="Times New Roman"/>
          <w:color w:val="000000" w:themeColor="text1"/>
          <w:sz w:val="16"/>
          <w:szCs w:val="16"/>
        </w:rPr>
        <w:softHyphen/>
        <w:t>рый повысил скорострельность до 3,5 выстр./мин. Пушка имела ручной спусковой механизм. Спуск осуществлялся нажатием на рычаг электроспуска, располагавшийся на рукоятке подъ</w:t>
      </w:r>
      <w:r w:rsidRPr="007224C3">
        <w:rPr>
          <w:rFonts w:ascii="Times New Roman" w:hAnsi="Times New Roman"/>
          <w:color w:val="000000" w:themeColor="text1"/>
          <w:sz w:val="16"/>
          <w:szCs w:val="16"/>
        </w:rPr>
        <w:softHyphen/>
        <w:t>емного механизма пушки. Кроме электроспуска имелся рычаг механи</w:t>
      </w:r>
      <w:r w:rsidRPr="007224C3">
        <w:rPr>
          <w:rFonts w:ascii="Times New Roman" w:hAnsi="Times New Roman"/>
          <w:color w:val="000000" w:themeColor="text1"/>
          <w:sz w:val="16"/>
          <w:szCs w:val="16"/>
        </w:rPr>
        <w:softHyphen/>
        <w:t>ческого спуска, располагавшийся на левом щите ограждения пушки. Для стрельбы из пушки использовались выстрелы раздельно-гиль-' зового заряжания 122-мм пушки обр. 1931 г. (А-19): дальнобойный ос</w:t>
      </w:r>
      <w:r w:rsidRPr="007224C3">
        <w:rPr>
          <w:rFonts w:ascii="Times New Roman" w:hAnsi="Times New Roman"/>
          <w:color w:val="000000" w:themeColor="text1"/>
          <w:sz w:val="16"/>
          <w:szCs w:val="16"/>
        </w:rPr>
        <w:softHyphen/>
        <w:t>колочно-фугасный выстрел 53-ВОФ-471 со снарядом 53-ОФ-471 м взрывателем РГМ; бронебойно-трассирующий выстрел 53-ВБР-471 со снарядом 53-БР-471 и взрывателем ДР. По могуществу действия снарядов по цели и их разрушительному воздействию 122-мм пушка Д-25Т являлась самой мощной танков пушкой, устанавливавшейся на серийных танках Второй мировойны. Длина ствола этой пушки составляла 48 калибров, начальная (скорость бронебойного снаряда массой 25 кг достигала 795 м/с. Даль прямого выстрела по средним и тяжелым танкам находилась в пределах 1000 - 1100 м, прицельная дальность составляла 5000 м. Дуль энергия пушки достигала 806 тс-м, в то время как у 88-мм длинноствольной пушки немецкого тяжелого танка Т-У1В "Тигр-П" она была лишь 520 тс/м. Пушка Д-25Т уверенно пробивала лобовую броню "Пантеры" тупо головым бронебойным снарядом на дальностях свыше 2500 м, а пушка танка Т-У1В "Тигр II" пробивала эту же деталь на дистанции не более 650 м. По могуществу фугасного действия 122-мм снаряд превосхо в 1,4 раза немецкий 88-мм осколочно-фугасный снаряд. К серийному производству пушки были привлечены заводы №№ 9, 75 и 221. Всего было выпущено свыше 5500 танковых пушек Д-25Т. Эта пушка являлась основным оружием тяжелых танков ИС-2 и ИС-3. Работы по совершенствованию 122-мм орудий вели ЦАКБ НКВ и ОКБ завода № 9. В 1944 г. ЦАКБ НКВ на базе 100-мм танковой пушки С-34 было спроектировано орудие С-34-П калибра 122 мм. Это орудие обладало рядом преимуществ по сравнению с пушкой Д-25Т: оно не имело дульного тормоза, было оснащено досылателем выстрелов для облегчения работы заряжающего и механизмом продувки канала ство</w:t>
      </w:r>
      <w:r w:rsidRPr="007224C3">
        <w:rPr>
          <w:rFonts w:ascii="Times New Roman" w:hAnsi="Times New Roman"/>
          <w:color w:val="000000" w:themeColor="text1"/>
          <w:sz w:val="16"/>
          <w:szCs w:val="16"/>
        </w:rPr>
        <w:softHyphen/>
        <w:t>ла сжатым воздухом после выстрела. Однако для установки этой пушки в танк требовалось создание новой башни, так как рабочее место заря</w:t>
      </w:r>
      <w:r w:rsidRPr="007224C3">
        <w:rPr>
          <w:rFonts w:ascii="Times New Roman" w:hAnsi="Times New Roman"/>
          <w:color w:val="000000" w:themeColor="text1"/>
          <w:sz w:val="16"/>
          <w:szCs w:val="16"/>
        </w:rPr>
        <w:softHyphen/>
        <w:t>жающего находились слева от пушки, а командира танка и наводчика — справа. Поэтому основным оружием серийных тяжелых танков до кон</w:t>
      </w:r>
      <w:r w:rsidRPr="007224C3">
        <w:rPr>
          <w:rFonts w:ascii="Times New Roman" w:hAnsi="Times New Roman"/>
          <w:color w:val="000000" w:themeColor="text1"/>
          <w:sz w:val="16"/>
          <w:szCs w:val="16"/>
        </w:rPr>
        <w:softHyphen/>
        <w:t>ца войны осталась пушка Д-25Т (10703).</w:t>
      </w:r>
    </w:p>
    <w:p w14:paraId="2F3A8C0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Отечественные пушки серийных танков периода Великой Отечественной войны</w:t>
      </w:r>
    </w:p>
    <w:tbl>
      <w:tblPr>
        <w:tblW w:w="0" w:type="auto"/>
        <w:tblInd w:w="40" w:type="dxa"/>
        <w:tblLayout w:type="fixed"/>
        <w:tblCellMar>
          <w:left w:w="40" w:type="dxa"/>
          <w:right w:w="40" w:type="dxa"/>
        </w:tblCellMar>
        <w:tblLook w:val="0000" w:firstRow="0" w:lastRow="0" w:firstColumn="0" w:lastColumn="0" w:noHBand="0" w:noVBand="0"/>
      </w:tblPr>
      <w:tblGrid>
        <w:gridCol w:w="2726"/>
        <w:gridCol w:w="1286"/>
        <w:gridCol w:w="1277"/>
        <w:gridCol w:w="1133"/>
        <w:gridCol w:w="1123"/>
        <w:gridCol w:w="960"/>
        <w:gridCol w:w="960"/>
        <w:gridCol w:w="1296"/>
      </w:tblGrid>
      <w:tr w:rsidR="005106D0" w:rsidRPr="007224C3" w14:paraId="29B1EAE3" w14:textId="77777777">
        <w:trPr>
          <w:trHeight w:val="221"/>
        </w:trPr>
        <w:tc>
          <w:tcPr>
            <w:tcW w:w="2726" w:type="dxa"/>
            <w:tcBorders>
              <w:top w:val="single" w:sz="6" w:space="0" w:color="auto"/>
              <w:left w:val="single" w:sz="6" w:space="0" w:color="auto"/>
              <w:bottom w:val="nil"/>
              <w:right w:val="single" w:sz="6" w:space="0" w:color="auto"/>
            </w:tcBorders>
          </w:tcPr>
          <w:p w14:paraId="741B0D1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Характеристики</w:t>
            </w:r>
          </w:p>
        </w:tc>
        <w:tc>
          <w:tcPr>
            <w:tcW w:w="8035" w:type="dxa"/>
            <w:gridSpan w:val="7"/>
            <w:tcBorders>
              <w:top w:val="single" w:sz="6" w:space="0" w:color="auto"/>
              <w:left w:val="single" w:sz="6" w:space="0" w:color="auto"/>
              <w:bottom w:val="single" w:sz="6" w:space="0" w:color="auto"/>
              <w:right w:val="single" w:sz="6" w:space="0" w:color="auto"/>
            </w:tcBorders>
          </w:tcPr>
          <w:p w14:paraId="4CD1DA5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Марка пушки</w:t>
            </w:r>
          </w:p>
        </w:tc>
      </w:tr>
      <w:tr w:rsidR="005106D0" w:rsidRPr="007224C3" w14:paraId="2127A6AE" w14:textId="77777777">
        <w:trPr>
          <w:trHeight w:val="384"/>
        </w:trPr>
        <w:tc>
          <w:tcPr>
            <w:tcW w:w="2726" w:type="dxa"/>
            <w:tcBorders>
              <w:top w:val="nil"/>
              <w:left w:val="single" w:sz="6" w:space="0" w:color="auto"/>
              <w:bottom w:val="single" w:sz="6" w:space="0" w:color="auto"/>
              <w:right w:val="single" w:sz="6" w:space="0" w:color="auto"/>
            </w:tcBorders>
          </w:tcPr>
          <w:p w14:paraId="298CD18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1A4F9B7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20-мм ТНШ</w:t>
            </w:r>
          </w:p>
        </w:tc>
        <w:tc>
          <w:tcPr>
            <w:tcW w:w="1277" w:type="dxa"/>
            <w:tcBorders>
              <w:top w:val="single" w:sz="6" w:space="0" w:color="auto"/>
              <w:left w:val="single" w:sz="6" w:space="0" w:color="auto"/>
              <w:bottom w:val="single" w:sz="6" w:space="0" w:color="auto"/>
              <w:right w:val="single" w:sz="6" w:space="0" w:color="auto"/>
            </w:tcBorders>
          </w:tcPr>
          <w:p w14:paraId="7B0CC3A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45-мм обр. 1942 г.</w:t>
            </w:r>
          </w:p>
        </w:tc>
        <w:tc>
          <w:tcPr>
            <w:tcW w:w="1133" w:type="dxa"/>
            <w:tcBorders>
              <w:top w:val="single" w:sz="6" w:space="0" w:color="auto"/>
              <w:left w:val="single" w:sz="6" w:space="0" w:color="auto"/>
              <w:bottom w:val="single" w:sz="6" w:space="0" w:color="auto"/>
              <w:right w:val="single" w:sz="6" w:space="0" w:color="auto"/>
            </w:tcBorders>
          </w:tcPr>
          <w:p w14:paraId="33BAD52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Ф-32</w:t>
            </w:r>
          </w:p>
        </w:tc>
        <w:tc>
          <w:tcPr>
            <w:tcW w:w="1123" w:type="dxa"/>
            <w:tcBorders>
              <w:top w:val="single" w:sz="6" w:space="0" w:color="auto"/>
              <w:left w:val="single" w:sz="6" w:space="0" w:color="auto"/>
              <w:bottom w:val="single" w:sz="6" w:space="0" w:color="auto"/>
              <w:right w:val="single" w:sz="6" w:space="0" w:color="auto"/>
            </w:tcBorders>
          </w:tcPr>
          <w:p w14:paraId="219114C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Ф-34, ЗИС-5</w:t>
            </w:r>
          </w:p>
        </w:tc>
        <w:tc>
          <w:tcPr>
            <w:tcW w:w="960" w:type="dxa"/>
            <w:tcBorders>
              <w:top w:val="single" w:sz="6" w:space="0" w:color="auto"/>
              <w:left w:val="single" w:sz="6" w:space="0" w:color="auto"/>
              <w:bottom w:val="single" w:sz="6" w:space="0" w:color="auto"/>
              <w:right w:val="single" w:sz="6" w:space="0" w:color="auto"/>
            </w:tcBorders>
          </w:tcPr>
          <w:p w14:paraId="55D6488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ЗИС-С-53</w:t>
            </w:r>
          </w:p>
        </w:tc>
        <w:tc>
          <w:tcPr>
            <w:tcW w:w="960" w:type="dxa"/>
            <w:tcBorders>
              <w:top w:val="single" w:sz="6" w:space="0" w:color="auto"/>
              <w:left w:val="single" w:sz="6" w:space="0" w:color="auto"/>
              <w:bottom w:val="single" w:sz="6" w:space="0" w:color="auto"/>
              <w:right w:val="single" w:sz="6" w:space="0" w:color="auto"/>
            </w:tcBorders>
          </w:tcPr>
          <w:p w14:paraId="18A8DB5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Д-5Т-85</w:t>
            </w:r>
          </w:p>
        </w:tc>
        <w:tc>
          <w:tcPr>
            <w:tcW w:w="1296" w:type="dxa"/>
            <w:tcBorders>
              <w:top w:val="single" w:sz="6" w:space="0" w:color="auto"/>
              <w:left w:val="single" w:sz="6" w:space="0" w:color="auto"/>
              <w:bottom w:val="single" w:sz="6" w:space="0" w:color="auto"/>
              <w:right w:val="single" w:sz="6" w:space="0" w:color="auto"/>
            </w:tcBorders>
          </w:tcPr>
          <w:p w14:paraId="20F2E42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Д-25Т</w:t>
            </w:r>
          </w:p>
        </w:tc>
      </w:tr>
      <w:tr w:rsidR="005106D0" w:rsidRPr="007224C3" w14:paraId="0C309CD3" w14:textId="77777777">
        <w:trPr>
          <w:trHeight w:val="202"/>
        </w:trPr>
        <w:tc>
          <w:tcPr>
            <w:tcW w:w="2726" w:type="dxa"/>
            <w:tcBorders>
              <w:top w:val="single" w:sz="6" w:space="0" w:color="auto"/>
              <w:left w:val="single" w:sz="6" w:space="0" w:color="auto"/>
              <w:bottom w:val="single" w:sz="6" w:space="0" w:color="auto"/>
              <w:right w:val="single" w:sz="6" w:space="0" w:color="auto"/>
            </w:tcBorders>
          </w:tcPr>
          <w:p w14:paraId="0932140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Калибр пушки, мм</w:t>
            </w:r>
          </w:p>
        </w:tc>
        <w:tc>
          <w:tcPr>
            <w:tcW w:w="1286" w:type="dxa"/>
            <w:tcBorders>
              <w:top w:val="single" w:sz="6" w:space="0" w:color="auto"/>
              <w:left w:val="single" w:sz="6" w:space="0" w:color="auto"/>
              <w:bottom w:val="single" w:sz="6" w:space="0" w:color="auto"/>
              <w:right w:val="single" w:sz="6" w:space="0" w:color="auto"/>
            </w:tcBorders>
          </w:tcPr>
          <w:p w14:paraId="613696C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w:t>
            </w:r>
          </w:p>
        </w:tc>
        <w:tc>
          <w:tcPr>
            <w:tcW w:w="1277" w:type="dxa"/>
            <w:tcBorders>
              <w:top w:val="single" w:sz="6" w:space="0" w:color="auto"/>
              <w:left w:val="single" w:sz="6" w:space="0" w:color="auto"/>
              <w:bottom w:val="single" w:sz="6" w:space="0" w:color="auto"/>
              <w:right w:val="single" w:sz="6" w:space="0" w:color="auto"/>
            </w:tcBorders>
          </w:tcPr>
          <w:p w14:paraId="0643020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w:t>
            </w:r>
          </w:p>
        </w:tc>
        <w:tc>
          <w:tcPr>
            <w:tcW w:w="1133" w:type="dxa"/>
            <w:tcBorders>
              <w:top w:val="single" w:sz="6" w:space="0" w:color="auto"/>
              <w:left w:val="single" w:sz="6" w:space="0" w:color="auto"/>
              <w:bottom w:val="single" w:sz="6" w:space="0" w:color="auto"/>
              <w:right w:val="single" w:sz="6" w:space="0" w:color="auto"/>
            </w:tcBorders>
          </w:tcPr>
          <w:p w14:paraId="53B2513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76,2</w:t>
            </w:r>
          </w:p>
        </w:tc>
        <w:tc>
          <w:tcPr>
            <w:tcW w:w="1123" w:type="dxa"/>
            <w:tcBorders>
              <w:top w:val="single" w:sz="6" w:space="0" w:color="auto"/>
              <w:left w:val="single" w:sz="6" w:space="0" w:color="auto"/>
              <w:bottom w:val="single" w:sz="6" w:space="0" w:color="auto"/>
              <w:right w:val="single" w:sz="6" w:space="0" w:color="auto"/>
            </w:tcBorders>
          </w:tcPr>
          <w:p w14:paraId="7AE2701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76,2</w:t>
            </w:r>
          </w:p>
        </w:tc>
        <w:tc>
          <w:tcPr>
            <w:tcW w:w="960" w:type="dxa"/>
            <w:tcBorders>
              <w:top w:val="single" w:sz="6" w:space="0" w:color="auto"/>
              <w:left w:val="single" w:sz="6" w:space="0" w:color="auto"/>
              <w:bottom w:val="single" w:sz="6" w:space="0" w:color="auto"/>
              <w:right w:val="single" w:sz="6" w:space="0" w:color="auto"/>
            </w:tcBorders>
          </w:tcPr>
          <w:p w14:paraId="5BF201C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85</w:t>
            </w:r>
          </w:p>
        </w:tc>
        <w:tc>
          <w:tcPr>
            <w:tcW w:w="960" w:type="dxa"/>
            <w:tcBorders>
              <w:top w:val="single" w:sz="6" w:space="0" w:color="auto"/>
              <w:left w:val="single" w:sz="6" w:space="0" w:color="auto"/>
              <w:bottom w:val="single" w:sz="6" w:space="0" w:color="auto"/>
              <w:right w:val="single" w:sz="6" w:space="0" w:color="auto"/>
            </w:tcBorders>
          </w:tcPr>
          <w:p w14:paraId="6E3B4C1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85</w:t>
            </w:r>
          </w:p>
        </w:tc>
        <w:tc>
          <w:tcPr>
            <w:tcW w:w="1296" w:type="dxa"/>
            <w:tcBorders>
              <w:top w:val="single" w:sz="6" w:space="0" w:color="auto"/>
              <w:left w:val="single" w:sz="6" w:space="0" w:color="auto"/>
              <w:bottom w:val="single" w:sz="6" w:space="0" w:color="auto"/>
              <w:right w:val="single" w:sz="6" w:space="0" w:color="auto"/>
            </w:tcBorders>
          </w:tcPr>
          <w:p w14:paraId="73E3FB6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122</w:t>
            </w:r>
          </w:p>
        </w:tc>
      </w:tr>
      <w:tr w:rsidR="005106D0" w:rsidRPr="007224C3" w14:paraId="6AE0EAB3" w14:textId="77777777">
        <w:trPr>
          <w:trHeight w:val="557"/>
        </w:trPr>
        <w:tc>
          <w:tcPr>
            <w:tcW w:w="2726" w:type="dxa"/>
            <w:tcBorders>
              <w:top w:val="single" w:sz="6" w:space="0" w:color="auto"/>
              <w:left w:val="single" w:sz="6" w:space="0" w:color="auto"/>
              <w:bottom w:val="single" w:sz="6" w:space="0" w:color="auto"/>
              <w:right w:val="single" w:sz="6" w:space="0" w:color="auto"/>
            </w:tcBorders>
          </w:tcPr>
          <w:p w14:paraId="3FFD0E9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Объект установки (марка танка)</w:t>
            </w:r>
          </w:p>
        </w:tc>
        <w:tc>
          <w:tcPr>
            <w:tcW w:w="1286" w:type="dxa"/>
            <w:tcBorders>
              <w:top w:val="single" w:sz="6" w:space="0" w:color="auto"/>
              <w:left w:val="single" w:sz="6" w:space="0" w:color="auto"/>
              <w:bottom w:val="single" w:sz="6" w:space="0" w:color="auto"/>
              <w:right w:val="single" w:sz="6" w:space="0" w:color="auto"/>
            </w:tcBorders>
          </w:tcPr>
          <w:p w14:paraId="6A266D3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Т-60; Т-30; Т-40С</w:t>
            </w:r>
          </w:p>
        </w:tc>
        <w:tc>
          <w:tcPr>
            <w:tcW w:w="1277" w:type="dxa"/>
            <w:tcBorders>
              <w:top w:val="single" w:sz="6" w:space="0" w:color="auto"/>
              <w:left w:val="single" w:sz="6" w:space="0" w:color="auto"/>
              <w:bottom w:val="single" w:sz="6" w:space="0" w:color="auto"/>
              <w:right w:val="single" w:sz="6" w:space="0" w:color="auto"/>
            </w:tcBorders>
          </w:tcPr>
          <w:p w14:paraId="5F3871B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Т-70;Т-80</w:t>
            </w:r>
          </w:p>
        </w:tc>
        <w:tc>
          <w:tcPr>
            <w:tcW w:w="1133" w:type="dxa"/>
            <w:tcBorders>
              <w:top w:val="single" w:sz="6" w:space="0" w:color="auto"/>
              <w:left w:val="single" w:sz="6" w:space="0" w:color="auto"/>
              <w:bottom w:val="single" w:sz="6" w:space="0" w:color="auto"/>
              <w:right w:val="single" w:sz="6" w:space="0" w:color="auto"/>
            </w:tcBorders>
          </w:tcPr>
          <w:p w14:paraId="136FE6D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КВ-1</w:t>
            </w:r>
          </w:p>
        </w:tc>
        <w:tc>
          <w:tcPr>
            <w:tcW w:w="1123" w:type="dxa"/>
            <w:tcBorders>
              <w:top w:val="single" w:sz="6" w:space="0" w:color="auto"/>
              <w:left w:val="single" w:sz="6" w:space="0" w:color="auto"/>
              <w:bottom w:val="single" w:sz="6" w:space="0" w:color="auto"/>
              <w:right w:val="single" w:sz="6" w:space="0" w:color="auto"/>
            </w:tcBorders>
          </w:tcPr>
          <w:p w14:paraId="46F823D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Т-34-76; КВ-1 С</w:t>
            </w:r>
          </w:p>
        </w:tc>
        <w:tc>
          <w:tcPr>
            <w:tcW w:w="960" w:type="dxa"/>
            <w:tcBorders>
              <w:top w:val="single" w:sz="6" w:space="0" w:color="auto"/>
              <w:left w:val="single" w:sz="6" w:space="0" w:color="auto"/>
              <w:bottom w:val="single" w:sz="6" w:space="0" w:color="auto"/>
              <w:right w:val="single" w:sz="6" w:space="0" w:color="auto"/>
            </w:tcBorders>
          </w:tcPr>
          <w:p w14:paraId="3882F4F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Т-34-85; Т-44</w:t>
            </w:r>
          </w:p>
        </w:tc>
        <w:tc>
          <w:tcPr>
            <w:tcW w:w="960" w:type="dxa"/>
            <w:tcBorders>
              <w:top w:val="single" w:sz="6" w:space="0" w:color="auto"/>
              <w:left w:val="single" w:sz="6" w:space="0" w:color="auto"/>
              <w:bottom w:val="single" w:sz="6" w:space="0" w:color="auto"/>
              <w:right w:val="single" w:sz="6" w:space="0" w:color="auto"/>
            </w:tcBorders>
          </w:tcPr>
          <w:p w14:paraId="12FCCB7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Т-34-85; КВ-85; ИС-1</w:t>
            </w:r>
          </w:p>
        </w:tc>
        <w:tc>
          <w:tcPr>
            <w:tcW w:w="1296" w:type="dxa"/>
            <w:tcBorders>
              <w:top w:val="single" w:sz="6" w:space="0" w:color="auto"/>
              <w:left w:val="single" w:sz="6" w:space="0" w:color="auto"/>
              <w:bottom w:val="single" w:sz="6" w:space="0" w:color="auto"/>
              <w:right w:val="single" w:sz="6" w:space="0" w:color="auto"/>
            </w:tcBorders>
          </w:tcPr>
          <w:p w14:paraId="0715D03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ИС-2; ИС-3</w:t>
            </w:r>
          </w:p>
        </w:tc>
      </w:tr>
      <w:tr w:rsidR="005106D0" w:rsidRPr="007224C3" w14:paraId="4B4FD5F0" w14:textId="77777777">
        <w:trPr>
          <w:trHeight w:val="202"/>
        </w:trPr>
        <w:tc>
          <w:tcPr>
            <w:tcW w:w="2726" w:type="dxa"/>
            <w:tcBorders>
              <w:top w:val="single" w:sz="6" w:space="0" w:color="auto"/>
              <w:left w:val="single" w:sz="6" w:space="0" w:color="auto"/>
              <w:bottom w:val="single" w:sz="6" w:space="0" w:color="auto"/>
              <w:right w:val="single" w:sz="6" w:space="0" w:color="auto"/>
            </w:tcBorders>
          </w:tcPr>
          <w:p w14:paraId="5198BB6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Дульная энергия, тс- м</w:t>
            </w:r>
          </w:p>
        </w:tc>
        <w:tc>
          <w:tcPr>
            <w:tcW w:w="1286" w:type="dxa"/>
            <w:tcBorders>
              <w:top w:val="single" w:sz="6" w:space="0" w:color="auto"/>
              <w:left w:val="single" w:sz="6" w:space="0" w:color="auto"/>
              <w:bottom w:val="single" w:sz="6" w:space="0" w:color="auto"/>
              <w:right w:val="single" w:sz="6" w:space="0" w:color="auto"/>
            </w:tcBorders>
          </w:tcPr>
          <w:p w14:paraId="6B5956D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5D6692A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42</w:t>
            </w:r>
          </w:p>
        </w:tc>
        <w:tc>
          <w:tcPr>
            <w:tcW w:w="1133" w:type="dxa"/>
            <w:tcBorders>
              <w:top w:val="single" w:sz="6" w:space="0" w:color="auto"/>
              <w:left w:val="single" w:sz="6" w:space="0" w:color="auto"/>
              <w:bottom w:val="single" w:sz="6" w:space="0" w:color="auto"/>
              <w:right w:val="single" w:sz="6" w:space="0" w:color="auto"/>
            </w:tcBorders>
          </w:tcPr>
          <w:p w14:paraId="43153BB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122</w:t>
            </w:r>
          </w:p>
        </w:tc>
        <w:tc>
          <w:tcPr>
            <w:tcW w:w="1123" w:type="dxa"/>
            <w:tcBorders>
              <w:top w:val="single" w:sz="6" w:space="0" w:color="auto"/>
              <w:left w:val="single" w:sz="6" w:space="0" w:color="auto"/>
              <w:bottom w:val="single" w:sz="6" w:space="0" w:color="auto"/>
              <w:right w:val="single" w:sz="6" w:space="0" w:color="auto"/>
            </w:tcBorders>
          </w:tcPr>
          <w:p w14:paraId="20A142B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145</w:t>
            </w:r>
          </w:p>
        </w:tc>
        <w:tc>
          <w:tcPr>
            <w:tcW w:w="960" w:type="dxa"/>
            <w:tcBorders>
              <w:top w:val="single" w:sz="6" w:space="0" w:color="auto"/>
              <w:left w:val="single" w:sz="6" w:space="0" w:color="auto"/>
              <w:bottom w:val="single" w:sz="6" w:space="0" w:color="auto"/>
              <w:right w:val="single" w:sz="6" w:space="0" w:color="auto"/>
            </w:tcBorders>
          </w:tcPr>
          <w:p w14:paraId="6589086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294</w:t>
            </w:r>
          </w:p>
        </w:tc>
        <w:tc>
          <w:tcPr>
            <w:tcW w:w="960" w:type="dxa"/>
            <w:tcBorders>
              <w:top w:val="single" w:sz="6" w:space="0" w:color="auto"/>
              <w:left w:val="single" w:sz="6" w:space="0" w:color="auto"/>
              <w:bottom w:val="single" w:sz="6" w:space="0" w:color="auto"/>
              <w:right w:val="single" w:sz="6" w:space="0" w:color="auto"/>
            </w:tcBorders>
          </w:tcPr>
          <w:p w14:paraId="5514FBF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300</w:t>
            </w:r>
          </w:p>
        </w:tc>
        <w:tc>
          <w:tcPr>
            <w:tcW w:w="1296" w:type="dxa"/>
            <w:tcBorders>
              <w:top w:val="single" w:sz="6" w:space="0" w:color="auto"/>
              <w:left w:val="single" w:sz="6" w:space="0" w:color="auto"/>
              <w:bottom w:val="single" w:sz="6" w:space="0" w:color="auto"/>
              <w:right w:val="single" w:sz="6" w:space="0" w:color="auto"/>
            </w:tcBorders>
          </w:tcPr>
          <w:p w14:paraId="211204D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806(815)</w:t>
            </w:r>
          </w:p>
        </w:tc>
      </w:tr>
      <w:tr w:rsidR="005106D0" w:rsidRPr="007224C3" w14:paraId="0F6C9E86" w14:textId="77777777">
        <w:trPr>
          <w:trHeight w:val="374"/>
        </w:trPr>
        <w:tc>
          <w:tcPr>
            <w:tcW w:w="2726" w:type="dxa"/>
            <w:tcBorders>
              <w:top w:val="single" w:sz="6" w:space="0" w:color="auto"/>
              <w:left w:val="single" w:sz="6" w:space="0" w:color="auto"/>
              <w:bottom w:val="single" w:sz="6" w:space="0" w:color="auto"/>
              <w:right w:val="single" w:sz="6" w:space="0" w:color="auto"/>
            </w:tcBorders>
          </w:tcPr>
          <w:p w14:paraId="50CF365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Бронепробиваемость БрС на Д= 1000 м по нормали, мм</w:t>
            </w:r>
          </w:p>
        </w:tc>
        <w:tc>
          <w:tcPr>
            <w:tcW w:w="1286" w:type="dxa"/>
            <w:tcBorders>
              <w:top w:val="single" w:sz="6" w:space="0" w:color="auto"/>
              <w:left w:val="single" w:sz="6" w:space="0" w:color="auto"/>
              <w:bottom w:val="single" w:sz="6" w:space="0" w:color="auto"/>
              <w:right w:val="single" w:sz="6" w:space="0" w:color="auto"/>
            </w:tcBorders>
          </w:tcPr>
          <w:p w14:paraId="3865C0B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(до 400м)</w:t>
            </w:r>
          </w:p>
        </w:tc>
        <w:tc>
          <w:tcPr>
            <w:tcW w:w="1277" w:type="dxa"/>
            <w:tcBorders>
              <w:top w:val="single" w:sz="6" w:space="0" w:color="auto"/>
              <w:left w:val="single" w:sz="6" w:space="0" w:color="auto"/>
              <w:bottom w:val="single" w:sz="6" w:space="0" w:color="auto"/>
              <w:right w:val="single" w:sz="6" w:space="0" w:color="auto"/>
            </w:tcBorders>
          </w:tcPr>
          <w:p w14:paraId="329EFD0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51</w:t>
            </w:r>
          </w:p>
        </w:tc>
        <w:tc>
          <w:tcPr>
            <w:tcW w:w="1133" w:type="dxa"/>
            <w:tcBorders>
              <w:top w:val="single" w:sz="6" w:space="0" w:color="auto"/>
              <w:left w:val="single" w:sz="6" w:space="0" w:color="auto"/>
              <w:bottom w:val="single" w:sz="6" w:space="0" w:color="auto"/>
              <w:right w:val="single" w:sz="6" w:space="0" w:color="auto"/>
            </w:tcBorders>
          </w:tcPr>
          <w:p w14:paraId="185DD98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61</w:t>
            </w:r>
          </w:p>
        </w:tc>
        <w:tc>
          <w:tcPr>
            <w:tcW w:w="1123" w:type="dxa"/>
            <w:tcBorders>
              <w:top w:val="single" w:sz="6" w:space="0" w:color="auto"/>
              <w:left w:val="single" w:sz="6" w:space="0" w:color="auto"/>
              <w:bottom w:val="single" w:sz="6" w:space="0" w:color="auto"/>
              <w:right w:val="single" w:sz="6" w:space="0" w:color="auto"/>
            </w:tcBorders>
          </w:tcPr>
          <w:p w14:paraId="636DC2D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61</w:t>
            </w:r>
          </w:p>
        </w:tc>
        <w:tc>
          <w:tcPr>
            <w:tcW w:w="1920" w:type="dxa"/>
            <w:gridSpan w:val="2"/>
            <w:tcBorders>
              <w:top w:val="single" w:sz="6" w:space="0" w:color="auto"/>
              <w:left w:val="single" w:sz="6" w:space="0" w:color="auto"/>
              <w:bottom w:val="single" w:sz="6" w:space="0" w:color="auto"/>
              <w:right w:val="single" w:sz="6" w:space="0" w:color="auto"/>
            </w:tcBorders>
          </w:tcPr>
          <w:p w14:paraId="04D7921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w:t>
            </w:r>
          </w:p>
        </w:tc>
        <w:tc>
          <w:tcPr>
            <w:tcW w:w="1296" w:type="dxa"/>
            <w:tcBorders>
              <w:top w:val="single" w:sz="6" w:space="0" w:color="auto"/>
              <w:left w:val="single" w:sz="6" w:space="0" w:color="auto"/>
              <w:bottom w:val="single" w:sz="6" w:space="0" w:color="auto"/>
              <w:right w:val="single" w:sz="6" w:space="0" w:color="auto"/>
            </w:tcBorders>
          </w:tcPr>
          <w:p w14:paraId="5D0B23E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145</w:t>
            </w:r>
          </w:p>
        </w:tc>
      </w:tr>
      <w:tr w:rsidR="005106D0" w:rsidRPr="007224C3" w14:paraId="2C3ECA3D" w14:textId="77777777">
        <w:trPr>
          <w:trHeight w:val="202"/>
        </w:trPr>
        <w:tc>
          <w:tcPr>
            <w:tcW w:w="2726" w:type="dxa"/>
            <w:tcBorders>
              <w:top w:val="single" w:sz="6" w:space="0" w:color="auto"/>
              <w:left w:val="single" w:sz="6" w:space="0" w:color="auto"/>
              <w:bottom w:val="single" w:sz="6" w:space="0" w:color="auto"/>
              <w:right w:val="single" w:sz="6" w:space="0" w:color="auto"/>
            </w:tcBorders>
          </w:tcPr>
          <w:p w14:paraId="550A331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Скорострельность, выстр./мин</w:t>
            </w:r>
          </w:p>
        </w:tc>
        <w:tc>
          <w:tcPr>
            <w:tcW w:w="1286" w:type="dxa"/>
            <w:tcBorders>
              <w:top w:val="single" w:sz="6" w:space="0" w:color="auto"/>
              <w:left w:val="single" w:sz="6" w:space="0" w:color="auto"/>
              <w:bottom w:val="single" w:sz="6" w:space="0" w:color="auto"/>
              <w:right w:val="single" w:sz="6" w:space="0" w:color="auto"/>
            </w:tcBorders>
          </w:tcPr>
          <w:p w14:paraId="03573DA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200</w:t>
            </w:r>
          </w:p>
        </w:tc>
        <w:tc>
          <w:tcPr>
            <w:tcW w:w="1277" w:type="dxa"/>
            <w:tcBorders>
              <w:top w:val="single" w:sz="6" w:space="0" w:color="auto"/>
              <w:left w:val="single" w:sz="6" w:space="0" w:color="auto"/>
              <w:bottom w:val="single" w:sz="6" w:space="0" w:color="auto"/>
              <w:right w:val="single" w:sz="6" w:space="0" w:color="auto"/>
            </w:tcBorders>
          </w:tcPr>
          <w:p w14:paraId="44E59F1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7-12</w:t>
            </w:r>
          </w:p>
        </w:tc>
        <w:tc>
          <w:tcPr>
            <w:tcW w:w="1133" w:type="dxa"/>
            <w:tcBorders>
              <w:top w:val="single" w:sz="6" w:space="0" w:color="auto"/>
              <w:left w:val="single" w:sz="6" w:space="0" w:color="auto"/>
              <w:bottom w:val="single" w:sz="6" w:space="0" w:color="auto"/>
              <w:right w:val="single" w:sz="6" w:space="0" w:color="auto"/>
            </w:tcBorders>
          </w:tcPr>
          <w:p w14:paraId="38140FC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5-11</w:t>
            </w:r>
          </w:p>
        </w:tc>
        <w:tc>
          <w:tcPr>
            <w:tcW w:w="1123" w:type="dxa"/>
            <w:tcBorders>
              <w:top w:val="single" w:sz="6" w:space="0" w:color="auto"/>
              <w:left w:val="single" w:sz="6" w:space="0" w:color="auto"/>
              <w:bottom w:val="single" w:sz="6" w:space="0" w:color="auto"/>
              <w:right w:val="single" w:sz="6" w:space="0" w:color="auto"/>
            </w:tcBorders>
          </w:tcPr>
          <w:p w14:paraId="74AD9BB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5-10</w:t>
            </w:r>
          </w:p>
        </w:tc>
        <w:tc>
          <w:tcPr>
            <w:tcW w:w="960" w:type="dxa"/>
            <w:tcBorders>
              <w:top w:val="single" w:sz="6" w:space="0" w:color="auto"/>
              <w:left w:val="single" w:sz="6" w:space="0" w:color="auto"/>
              <w:bottom w:val="single" w:sz="6" w:space="0" w:color="auto"/>
              <w:right w:val="nil"/>
            </w:tcBorders>
          </w:tcPr>
          <w:p w14:paraId="433B4FD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5-8</w:t>
            </w:r>
          </w:p>
        </w:tc>
        <w:tc>
          <w:tcPr>
            <w:tcW w:w="960" w:type="dxa"/>
            <w:tcBorders>
              <w:top w:val="single" w:sz="6" w:space="0" w:color="auto"/>
              <w:left w:val="nil"/>
              <w:bottom w:val="single" w:sz="6" w:space="0" w:color="auto"/>
              <w:right w:val="single" w:sz="6" w:space="0" w:color="auto"/>
            </w:tcBorders>
          </w:tcPr>
          <w:p w14:paraId="5573945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6-7</w:t>
            </w:r>
          </w:p>
        </w:tc>
        <w:tc>
          <w:tcPr>
            <w:tcW w:w="1296" w:type="dxa"/>
            <w:tcBorders>
              <w:top w:val="single" w:sz="6" w:space="0" w:color="auto"/>
              <w:left w:val="single" w:sz="6" w:space="0" w:color="auto"/>
              <w:bottom w:val="single" w:sz="6" w:space="0" w:color="auto"/>
              <w:right w:val="single" w:sz="6" w:space="0" w:color="auto"/>
            </w:tcBorders>
          </w:tcPr>
          <w:p w14:paraId="4E0EE39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tc>
      </w:tr>
      <w:tr w:rsidR="005106D0" w:rsidRPr="007224C3" w14:paraId="09E53F4E" w14:textId="77777777">
        <w:trPr>
          <w:trHeight w:val="384"/>
        </w:trPr>
        <w:tc>
          <w:tcPr>
            <w:tcW w:w="2726" w:type="dxa"/>
            <w:tcBorders>
              <w:top w:val="single" w:sz="6" w:space="0" w:color="auto"/>
              <w:left w:val="single" w:sz="6" w:space="0" w:color="auto"/>
              <w:bottom w:val="single" w:sz="6" w:space="0" w:color="auto"/>
              <w:right w:val="single" w:sz="6" w:space="0" w:color="auto"/>
            </w:tcBorders>
          </w:tcPr>
          <w:p w14:paraId="7FE1559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Заряжание, тип</w:t>
            </w:r>
          </w:p>
        </w:tc>
        <w:tc>
          <w:tcPr>
            <w:tcW w:w="1286" w:type="dxa"/>
            <w:tcBorders>
              <w:top w:val="single" w:sz="6" w:space="0" w:color="auto"/>
              <w:left w:val="single" w:sz="6" w:space="0" w:color="auto"/>
              <w:bottom w:val="single" w:sz="6" w:space="0" w:color="auto"/>
              <w:right w:val="single" w:sz="6" w:space="0" w:color="auto"/>
            </w:tcBorders>
          </w:tcPr>
          <w:p w14:paraId="029D23A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автомат</w:t>
            </w:r>
          </w:p>
        </w:tc>
        <w:tc>
          <w:tcPr>
            <w:tcW w:w="5453" w:type="dxa"/>
            <w:gridSpan w:val="5"/>
            <w:tcBorders>
              <w:top w:val="single" w:sz="6" w:space="0" w:color="auto"/>
              <w:left w:val="single" w:sz="6" w:space="0" w:color="auto"/>
              <w:bottom w:val="single" w:sz="6" w:space="0" w:color="auto"/>
              <w:right w:val="single" w:sz="6" w:space="0" w:color="auto"/>
            </w:tcBorders>
          </w:tcPr>
          <w:p w14:paraId="616D6E2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унитарное</w:t>
            </w:r>
          </w:p>
        </w:tc>
        <w:tc>
          <w:tcPr>
            <w:tcW w:w="1296" w:type="dxa"/>
            <w:tcBorders>
              <w:top w:val="single" w:sz="6" w:space="0" w:color="auto"/>
              <w:left w:val="single" w:sz="6" w:space="0" w:color="auto"/>
              <w:bottom w:val="single" w:sz="6" w:space="0" w:color="auto"/>
              <w:right w:val="single" w:sz="6" w:space="0" w:color="auto"/>
            </w:tcBorders>
          </w:tcPr>
          <w:p w14:paraId="3E276F4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раздельно-гильзовое</w:t>
            </w:r>
          </w:p>
        </w:tc>
      </w:tr>
      <w:tr w:rsidR="005106D0" w:rsidRPr="007224C3" w14:paraId="44511DF5" w14:textId="77777777">
        <w:trPr>
          <w:trHeight w:val="202"/>
        </w:trPr>
        <w:tc>
          <w:tcPr>
            <w:tcW w:w="2726" w:type="dxa"/>
            <w:tcBorders>
              <w:top w:val="single" w:sz="6" w:space="0" w:color="auto"/>
              <w:left w:val="single" w:sz="6" w:space="0" w:color="auto"/>
              <w:bottom w:val="single" w:sz="6" w:space="0" w:color="auto"/>
              <w:right w:val="single" w:sz="6" w:space="0" w:color="auto"/>
            </w:tcBorders>
          </w:tcPr>
          <w:p w14:paraId="3ABA498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Длина ствола, клб</w:t>
            </w:r>
          </w:p>
        </w:tc>
        <w:tc>
          <w:tcPr>
            <w:tcW w:w="1286" w:type="dxa"/>
            <w:tcBorders>
              <w:top w:val="single" w:sz="6" w:space="0" w:color="auto"/>
              <w:left w:val="single" w:sz="6" w:space="0" w:color="auto"/>
              <w:bottom w:val="single" w:sz="6" w:space="0" w:color="auto"/>
              <w:right w:val="single" w:sz="6" w:space="0" w:color="auto"/>
            </w:tcBorders>
          </w:tcPr>
          <w:p w14:paraId="17A2E69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82,4</w:t>
            </w:r>
          </w:p>
        </w:tc>
        <w:tc>
          <w:tcPr>
            <w:tcW w:w="1277" w:type="dxa"/>
            <w:tcBorders>
              <w:top w:val="single" w:sz="6" w:space="0" w:color="auto"/>
              <w:left w:val="single" w:sz="6" w:space="0" w:color="auto"/>
              <w:bottom w:val="single" w:sz="6" w:space="0" w:color="auto"/>
              <w:right w:val="nil"/>
            </w:tcBorders>
          </w:tcPr>
          <w:p w14:paraId="5F749A4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46</w:t>
            </w:r>
          </w:p>
        </w:tc>
        <w:tc>
          <w:tcPr>
            <w:tcW w:w="1133" w:type="dxa"/>
            <w:tcBorders>
              <w:top w:val="single" w:sz="6" w:space="0" w:color="auto"/>
              <w:left w:val="nil"/>
              <w:bottom w:val="single" w:sz="6" w:space="0" w:color="auto"/>
              <w:right w:val="nil"/>
            </w:tcBorders>
          </w:tcPr>
          <w:p w14:paraId="174E64F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31,5</w:t>
            </w:r>
          </w:p>
        </w:tc>
        <w:tc>
          <w:tcPr>
            <w:tcW w:w="1123" w:type="dxa"/>
            <w:tcBorders>
              <w:top w:val="single" w:sz="6" w:space="0" w:color="auto"/>
              <w:left w:val="nil"/>
              <w:bottom w:val="single" w:sz="6" w:space="0" w:color="auto"/>
              <w:right w:val="nil"/>
            </w:tcBorders>
          </w:tcPr>
          <w:p w14:paraId="358417C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41,5</w:t>
            </w:r>
          </w:p>
        </w:tc>
        <w:tc>
          <w:tcPr>
            <w:tcW w:w="960" w:type="dxa"/>
            <w:tcBorders>
              <w:top w:val="single" w:sz="6" w:space="0" w:color="auto"/>
              <w:left w:val="nil"/>
              <w:bottom w:val="single" w:sz="6" w:space="0" w:color="auto"/>
              <w:right w:val="nil"/>
            </w:tcBorders>
          </w:tcPr>
          <w:p w14:paraId="2791AC3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51,6</w:t>
            </w:r>
          </w:p>
        </w:tc>
        <w:tc>
          <w:tcPr>
            <w:tcW w:w="960" w:type="dxa"/>
            <w:tcBorders>
              <w:top w:val="single" w:sz="6" w:space="0" w:color="auto"/>
              <w:left w:val="nil"/>
              <w:bottom w:val="single" w:sz="6" w:space="0" w:color="auto"/>
              <w:right w:val="single" w:sz="6" w:space="0" w:color="auto"/>
            </w:tcBorders>
          </w:tcPr>
          <w:p w14:paraId="1A87F81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52</w:t>
            </w:r>
          </w:p>
        </w:tc>
        <w:tc>
          <w:tcPr>
            <w:tcW w:w="1296" w:type="dxa"/>
            <w:tcBorders>
              <w:top w:val="single" w:sz="6" w:space="0" w:color="auto"/>
              <w:left w:val="single" w:sz="6" w:space="0" w:color="auto"/>
              <w:bottom w:val="single" w:sz="6" w:space="0" w:color="auto"/>
              <w:right w:val="single" w:sz="6" w:space="0" w:color="auto"/>
            </w:tcBorders>
          </w:tcPr>
          <w:p w14:paraId="6D467DB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48</w:t>
            </w:r>
          </w:p>
        </w:tc>
      </w:tr>
      <w:tr w:rsidR="005106D0" w:rsidRPr="007224C3" w14:paraId="51B23794" w14:textId="77777777">
        <w:trPr>
          <w:trHeight w:val="374"/>
        </w:trPr>
        <w:tc>
          <w:tcPr>
            <w:tcW w:w="2726" w:type="dxa"/>
            <w:tcBorders>
              <w:top w:val="single" w:sz="6" w:space="0" w:color="auto"/>
              <w:left w:val="single" w:sz="6" w:space="0" w:color="auto"/>
              <w:bottom w:val="single" w:sz="6" w:space="0" w:color="auto"/>
              <w:right w:val="single" w:sz="6" w:space="0" w:color="auto"/>
            </w:tcBorders>
          </w:tcPr>
          <w:p w14:paraId="76F7296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Затвор, тип</w:t>
            </w:r>
          </w:p>
        </w:tc>
        <w:tc>
          <w:tcPr>
            <w:tcW w:w="1286" w:type="dxa"/>
            <w:tcBorders>
              <w:top w:val="single" w:sz="6" w:space="0" w:color="auto"/>
              <w:left w:val="single" w:sz="6" w:space="0" w:color="auto"/>
              <w:bottom w:val="single" w:sz="6" w:space="0" w:color="auto"/>
              <w:right w:val="single" w:sz="6" w:space="0" w:color="auto"/>
            </w:tcBorders>
          </w:tcPr>
          <w:p w14:paraId="02FD2A3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5453" w:type="dxa"/>
            <w:gridSpan w:val="5"/>
            <w:tcBorders>
              <w:top w:val="single" w:sz="6" w:space="0" w:color="auto"/>
              <w:left w:val="single" w:sz="6" w:space="0" w:color="auto"/>
              <w:bottom w:val="single" w:sz="6" w:space="0" w:color="auto"/>
              <w:right w:val="single" w:sz="6" w:space="0" w:color="auto"/>
            </w:tcBorders>
          </w:tcPr>
          <w:p w14:paraId="454A58E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клиновой, вертикальный</w:t>
            </w:r>
          </w:p>
        </w:tc>
        <w:tc>
          <w:tcPr>
            <w:tcW w:w="1296" w:type="dxa"/>
            <w:tcBorders>
              <w:top w:val="single" w:sz="6" w:space="0" w:color="auto"/>
              <w:left w:val="single" w:sz="6" w:space="0" w:color="auto"/>
              <w:bottom w:val="single" w:sz="6" w:space="0" w:color="auto"/>
              <w:right w:val="single" w:sz="6" w:space="0" w:color="auto"/>
            </w:tcBorders>
          </w:tcPr>
          <w:p w14:paraId="504066B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клиновой, горизонтальный</w:t>
            </w:r>
          </w:p>
        </w:tc>
      </w:tr>
      <w:tr w:rsidR="005106D0" w:rsidRPr="007224C3" w14:paraId="50D68CCF" w14:textId="77777777">
        <w:trPr>
          <w:trHeight w:val="202"/>
        </w:trPr>
        <w:tc>
          <w:tcPr>
            <w:tcW w:w="2726" w:type="dxa"/>
            <w:tcBorders>
              <w:top w:val="single" w:sz="6" w:space="0" w:color="auto"/>
              <w:left w:val="single" w:sz="6" w:space="0" w:color="auto"/>
              <w:bottom w:val="single" w:sz="6" w:space="0" w:color="auto"/>
              <w:right w:val="single" w:sz="6" w:space="0" w:color="auto"/>
            </w:tcBorders>
          </w:tcPr>
          <w:p w14:paraId="3D0AF73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Длина отката, мм</w:t>
            </w:r>
          </w:p>
        </w:tc>
        <w:tc>
          <w:tcPr>
            <w:tcW w:w="1286" w:type="dxa"/>
            <w:tcBorders>
              <w:top w:val="single" w:sz="6" w:space="0" w:color="auto"/>
              <w:left w:val="single" w:sz="6" w:space="0" w:color="auto"/>
              <w:bottom w:val="single" w:sz="6" w:space="0" w:color="auto"/>
              <w:right w:val="single" w:sz="6" w:space="0" w:color="auto"/>
            </w:tcBorders>
          </w:tcPr>
          <w:p w14:paraId="68BAD9A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185,5"</w:t>
            </w:r>
          </w:p>
        </w:tc>
        <w:tc>
          <w:tcPr>
            <w:tcW w:w="1277" w:type="dxa"/>
            <w:tcBorders>
              <w:top w:val="single" w:sz="6" w:space="0" w:color="auto"/>
              <w:left w:val="single" w:sz="6" w:space="0" w:color="auto"/>
              <w:bottom w:val="single" w:sz="6" w:space="0" w:color="auto"/>
              <w:right w:val="nil"/>
            </w:tcBorders>
          </w:tcPr>
          <w:p w14:paraId="633C283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230-270</w:t>
            </w:r>
          </w:p>
        </w:tc>
        <w:tc>
          <w:tcPr>
            <w:tcW w:w="2256" w:type="dxa"/>
            <w:gridSpan w:val="2"/>
            <w:tcBorders>
              <w:top w:val="single" w:sz="6" w:space="0" w:color="auto"/>
              <w:left w:val="nil"/>
              <w:bottom w:val="single" w:sz="6" w:space="0" w:color="auto"/>
              <w:right w:val="nil"/>
            </w:tcBorders>
          </w:tcPr>
          <w:p w14:paraId="15DEC1C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320 - 370</w:t>
            </w:r>
          </w:p>
        </w:tc>
        <w:tc>
          <w:tcPr>
            <w:tcW w:w="960" w:type="dxa"/>
            <w:tcBorders>
              <w:top w:val="single" w:sz="6" w:space="0" w:color="auto"/>
              <w:left w:val="nil"/>
              <w:bottom w:val="single" w:sz="6" w:space="0" w:color="auto"/>
              <w:right w:val="nil"/>
            </w:tcBorders>
          </w:tcPr>
          <w:p w14:paraId="1DBDEC2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280-320</w:t>
            </w:r>
          </w:p>
        </w:tc>
        <w:tc>
          <w:tcPr>
            <w:tcW w:w="960" w:type="dxa"/>
            <w:tcBorders>
              <w:top w:val="single" w:sz="6" w:space="0" w:color="auto"/>
              <w:left w:val="nil"/>
              <w:bottom w:val="single" w:sz="6" w:space="0" w:color="auto"/>
              <w:right w:val="single" w:sz="6" w:space="0" w:color="auto"/>
            </w:tcBorders>
          </w:tcPr>
          <w:p w14:paraId="1A1978B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270-320</w:t>
            </w:r>
          </w:p>
        </w:tc>
        <w:tc>
          <w:tcPr>
            <w:tcW w:w="1296" w:type="dxa"/>
            <w:tcBorders>
              <w:top w:val="single" w:sz="6" w:space="0" w:color="auto"/>
              <w:left w:val="single" w:sz="6" w:space="0" w:color="auto"/>
              <w:bottom w:val="single" w:sz="6" w:space="0" w:color="auto"/>
              <w:right w:val="single" w:sz="6" w:space="0" w:color="auto"/>
            </w:tcBorders>
          </w:tcPr>
          <w:p w14:paraId="5E3921E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490-550</w:t>
            </w:r>
          </w:p>
        </w:tc>
      </w:tr>
      <w:tr w:rsidR="005106D0" w:rsidRPr="007224C3" w14:paraId="17BA6994" w14:textId="77777777">
        <w:trPr>
          <w:trHeight w:val="202"/>
        </w:trPr>
        <w:tc>
          <w:tcPr>
            <w:tcW w:w="2726" w:type="dxa"/>
            <w:tcBorders>
              <w:top w:val="single" w:sz="6" w:space="0" w:color="auto"/>
              <w:left w:val="single" w:sz="6" w:space="0" w:color="auto"/>
              <w:bottom w:val="single" w:sz="6" w:space="0" w:color="auto"/>
              <w:right w:val="single" w:sz="6" w:space="0" w:color="auto"/>
            </w:tcBorders>
          </w:tcPr>
          <w:p w14:paraId="51E4BEA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Дульный тормоз</w:t>
            </w:r>
          </w:p>
        </w:tc>
        <w:tc>
          <w:tcPr>
            <w:tcW w:w="4819" w:type="dxa"/>
            <w:gridSpan w:val="4"/>
            <w:tcBorders>
              <w:top w:val="single" w:sz="6" w:space="0" w:color="auto"/>
              <w:left w:val="single" w:sz="6" w:space="0" w:color="auto"/>
              <w:bottom w:val="single" w:sz="6" w:space="0" w:color="auto"/>
              <w:right w:val="nil"/>
            </w:tcBorders>
          </w:tcPr>
          <w:p w14:paraId="4F723A1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отсутствует</w:t>
            </w:r>
          </w:p>
        </w:tc>
        <w:tc>
          <w:tcPr>
            <w:tcW w:w="1920" w:type="dxa"/>
            <w:gridSpan w:val="2"/>
            <w:tcBorders>
              <w:top w:val="single" w:sz="6" w:space="0" w:color="auto"/>
              <w:left w:val="nil"/>
              <w:bottom w:val="single" w:sz="6" w:space="0" w:color="auto"/>
              <w:right w:val="single" w:sz="6" w:space="0" w:color="auto"/>
            </w:tcBorders>
          </w:tcPr>
          <w:p w14:paraId="6C2BA47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6151BC8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есть</w:t>
            </w:r>
          </w:p>
        </w:tc>
      </w:tr>
      <w:tr w:rsidR="005106D0" w:rsidRPr="007224C3" w14:paraId="52747A40" w14:textId="77777777">
        <w:trPr>
          <w:trHeight w:val="374"/>
        </w:trPr>
        <w:tc>
          <w:tcPr>
            <w:tcW w:w="2726" w:type="dxa"/>
            <w:tcBorders>
              <w:top w:val="single" w:sz="6" w:space="0" w:color="auto"/>
              <w:left w:val="single" w:sz="6" w:space="0" w:color="auto"/>
              <w:bottom w:val="single" w:sz="6" w:space="0" w:color="auto"/>
              <w:right w:val="single" w:sz="6" w:space="0" w:color="auto"/>
            </w:tcBorders>
          </w:tcPr>
          <w:p w14:paraId="657100C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 дальность стрельбы, м</w:t>
            </w:r>
          </w:p>
        </w:tc>
        <w:tc>
          <w:tcPr>
            <w:tcW w:w="1286" w:type="dxa"/>
            <w:tcBorders>
              <w:top w:val="single" w:sz="6" w:space="0" w:color="auto"/>
              <w:left w:val="single" w:sz="6" w:space="0" w:color="auto"/>
              <w:bottom w:val="single" w:sz="6" w:space="0" w:color="auto"/>
              <w:right w:val="single" w:sz="6" w:space="0" w:color="auto"/>
            </w:tcBorders>
          </w:tcPr>
          <w:p w14:paraId="3B3773A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6800</w:t>
            </w:r>
          </w:p>
        </w:tc>
        <w:tc>
          <w:tcPr>
            <w:tcW w:w="1277" w:type="dxa"/>
            <w:tcBorders>
              <w:top w:val="single" w:sz="6" w:space="0" w:color="auto"/>
              <w:left w:val="single" w:sz="6" w:space="0" w:color="auto"/>
              <w:bottom w:val="single" w:sz="6" w:space="0" w:color="auto"/>
              <w:right w:val="single" w:sz="6" w:space="0" w:color="auto"/>
            </w:tcBorders>
          </w:tcPr>
          <w:p w14:paraId="595C078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4800 (для Т-80 = 6000)</w:t>
            </w:r>
          </w:p>
        </w:tc>
        <w:tc>
          <w:tcPr>
            <w:tcW w:w="1133" w:type="dxa"/>
            <w:tcBorders>
              <w:top w:val="single" w:sz="6" w:space="0" w:color="auto"/>
              <w:left w:val="single" w:sz="6" w:space="0" w:color="auto"/>
              <w:bottom w:val="single" w:sz="6" w:space="0" w:color="auto"/>
              <w:right w:val="single" w:sz="6" w:space="0" w:color="auto"/>
            </w:tcBorders>
          </w:tcPr>
          <w:p w14:paraId="3A99EC0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10000</w:t>
            </w:r>
          </w:p>
        </w:tc>
        <w:tc>
          <w:tcPr>
            <w:tcW w:w="1123" w:type="dxa"/>
            <w:tcBorders>
              <w:top w:val="single" w:sz="6" w:space="0" w:color="auto"/>
              <w:left w:val="single" w:sz="6" w:space="0" w:color="auto"/>
              <w:bottom w:val="single" w:sz="6" w:space="0" w:color="auto"/>
              <w:right w:val="single" w:sz="6" w:space="0" w:color="auto"/>
            </w:tcBorders>
          </w:tcPr>
          <w:p w14:paraId="3DFFEF6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11200</w:t>
            </w:r>
          </w:p>
        </w:tc>
        <w:tc>
          <w:tcPr>
            <w:tcW w:w="960" w:type="dxa"/>
            <w:tcBorders>
              <w:top w:val="single" w:sz="6" w:space="0" w:color="auto"/>
              <w:left w:val="single" w:sz="6" w:space="0" w:color="auto"/>
              <w:bottom w:val="single" w:sz="6" w:space="0" w:color="auto"/>
              <w:right w:val="single" w:sz="6" w:space="0" w:color="auto"/>
            </w:tcBorders>
          </w:tcPr>
          <w:p w14:paraId="1E8F303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13600</w:t>
            </w:r>
          </w:p>
        </w:tc>
        <w:tc>
          <w:tcPr>
            <w:tcW w:w="960" w:type="dxa"/>
            <w:tcBorders>
              <w:top w:val="single" w:sz="6" w:space="0" w:color="auto"/>
              <w:left w:val="single" w:sz="6" w:space="0" w:color="auto"/>
              <w:bottom w:val="single" w:sz="6" w:space="0" w:color="auto"/>
              <w:right w:val="single" w:sz="6" w:space="0" w:color="auto"/>
            </w:tcBorders>
          </w:tcPr>
          <w:p w14:paraId="763A390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12900</w:t>
            </w:r>
          </w:p>
        </w:tc>
        <w:tc>
          <w:tcPr>
            <w:tcW w:w="1296" w:type="dxa"/>
            <w:tcBorders>
              <w:top w:val="single" w:sz="6" w:space="0" w:color="auto"/>
              <w:left w:val="single" w:sz="6" w:space="0" w:color="auto"/>
              <w:bottom w:val="single" w:sz="6" w:space="0" w:color="auto"/>
              <w:right w:val="single" w:sz="6" w:space="0" w:color="auto"/>
            </w:tcBorders>
          </w:tcPr>
          <w:p w14:paraId="32AA831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13500</w:t>
            </w:r>
          </w:p>
        </w:tc>
      </w:tr>
      <w:tr w:rsidR="005106D0" w:rsidRPr="007224C3" w14:paraId="1705C33A" w14:textId="77777777">
        <w:trPr>
          <w:trHeight w:val="749"/>
        </w:trPr>
        <w:tc>
          <w:tcPr>
            <w:tcW w:w="2726" w:type="dxa"/>
            <w:tcBorders>
              <w:top w:val="single" w:sz="6" w:space="0" w:color="auto"/>
              <w:left w:val="single" w:sz="6" w:space="0" w:color="auto"/>
              <w:bottom w:val="single" w:sz="6" w:space="0" w:color="auto"/>
              <w:right w:val="single" w:sz="6" w:space="0" w:color="auto"/>
            </w:tcBorders>
          </w:tcPr>
          <w:p w14:paraId="5982C21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Начальная скорость снаряда, м/с: БПС БрС ОФС</w:t>
            </w:r>
          </w:p>
        </w:tc>
        <w:tc>
          <w:tcPr>
            <w:tcW w:w="1286" w:type="dxa"/>
            <w:tcBorders>
              <w:top w:val="single" w:sz="6" w:space="0" w:color="auto"/>
              <w:left w:val="single" w:sz="6" w:space="0" w:color="auto"/>
              <w:bottom w:val="single" w:sz="6" w:space="0" w:color="auto"/>
              <w:right w:val="single" w:sz="6" w:space="0" w:color="auto"/>
            </w:tcBorders>
          </w:tcPr>
          <w:p w14:paraId="085DBCB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817 800</w:t>
            </w:r>
          </w:p>
        </w:tc>
        <w:tc>
          <w:tcPr>
            <w:tcW w:w="1277" w:type="dxa"/>
            <w:tcBorders>
              <w:top w:val="single" w:sz="6" w:space="0" w:color="auto"/>
              <w:left w:val="single" w:sz="6" w:space="0" w:color="auto"/>
              <w:bottom w:val="single" w:sz="6" w:space="0" w:color="auto"/>
              <w:right w:val="single" w:sz="6" w:space="0" w:color="auto"/>
            </w:tcBorders>
          </w:tcPr>
          <w:p w14:paraId="0F1D545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760 335</w:t>
            </w:r>
          </w:p>
        </w:tc>
        <w:tc>
          <w:tcPr>
            <w:tcW w:w="2256" w:type="dxa"/>
            <w:gridSpan w:val="2"/>
            <w:tcBorders>
              <w:top w:val="single" w:sz="6" w:space="0" w:color="auto"/>
              <w:left w:val="single" w:sz="6" w:space="0" w:color="auto"/>
              <w:bottom w:val="single" w:sz="6" w:space="0" w:color="auto"/>
              <w:right w:val="single" w:sz="6" w:space="0" w:color="auto"/>
            </w:tcBorders>
          </w:tcPr>
          <w:p w14:paraId="7339F06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950 662 680</w:t>
            </w:r>
          </w:p>
        </w:tc>
        <w:tc>
          <w:tcPr>
            <w:tcW w:w="1920" w:type="dxa"/>
            <w:gridSpan w:val="2"/>
            <w:tcBorders>
              <w:top w:val="single" w:sz="6" w:space="0" w:color="auto"/>
              <w:left w:val="single" w:sz="6" w:space="0" w:color="auto"/>
              <w:bottom w:val="single" w:sz="6" w:space="0" w:color="auto"/>
              <w:right w:val="single" w:sz="6" w:space="0" w:color="auto"/>
            </w:tcBorders>
          </w:tcPr>
          <w:p w14:paraId="10C8E5A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792 785</w:t>
            </w:r>
          </w:p>
        </w:tc>
        <w:tc>
          <w:tcPr>
            <w:tcW w:w="1296" w:type="dxa"/>
            <w:tcBorders>
              <w:top w:val="single" w:sz="6" w:space="0" w:color="auto"/>
              <w:left w:val="single" w:sz="6" w:space="0" w:color="auto"/>
              <w:bottom w:val="single" w:sz="6" w:space="0" w:color="auto"/>
              <w:right w:val="single" w:sz="6" w:space="0" w:color="auto"/>
            </w:tcBorders>
          </w:tcPr>
          <w:p w14:paraId="06200FA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795 781</w:t>
            </w:r>
          </w:p>
        </w:tc>
      </w:tr>
      <w:tr w:rsidR="005106D0" w:rsidRPr="007224C3" w14:paraId="24BD999F" w14:textId="77777777">
        <w:trPr>
          <w:trHeight w:val="758"/>
        </w:trPr>
        <w:tc>
          <w:tcPr>
            <w:tcW w:w="2726" w:type="dxa"/>
            <w:tcBorders>
              <w:top w:val="single" w:sz="6" w:space="0" w:color="auto"/>
              <w:left w:val="single" w:sz="6" w:space="0" w:color="auto"/>
              <w:bottom w:val="single" w:sz="6" w:space="0" w:color="auto"/>
              <w:right w:val="single" w:sz="6" w:space="0" w:color="auto"/>
            </w:tcBorders>
          </w:tcPr>
          <w:p w14:paraId="531F531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Масса снаряда, кг: БПС БрС ОФС</w:t>
            </w:r>
          </w:p>
        </w:tc>
        <w:tc>
          <w:tcPr>
            <w:tcW w:w="1286" w:type="dxa"/>
            <w:tcBorders>
              <w:top w:val="single" w:sz="6" w:space="0" w:color="auto"/>
              <w:left w:val="single" w:sz="6" w:space="0" w:color="auto"/>
              <w:bottom w:val="single" w:sz="6" w:space="0" w:color="auto"/>
              <w:right w:val="single" w:sz="6" w:space="0" w:color="auto"/>
            </w:tcBorders>
          </w:tcPr>
          <w:p w14:paraId="73C2D2E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0,096 0,096</w:t>
            </w:r>
          </w:p>
        </w:tc>
        <w:tc>
          <w:tcPr>
            <w:tcW w:w="1277" w:type="dxa"/>
            <w:tcBorders>
              <w:top w:val="single" w:sz="6" w:space="0" w:color="auto"/>
              <w:left w:val="single" w:sz="6" w:space="0" w:color="auto"/>
              <w:bottom w:val="single" w:sz="6" w:space="0" w:color="auto"/>
              <w:right w:val="single" w:sz="6" w:space="0" w:color="auto"/>
            </w:tcBorders>
          </w:tcPr>
          <w:p w14:paraId="14228B7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1,425 2,135</w:t>
            </w:r>
          </w:p>
        </w:tc>
        <w:tc>
          <w:tcPr>
            <w:tcW w:w="2256" w:type="dxa"/>
            <w:gridSpan w:val="2"/>
            <w:tcBorders>
              <w:top w:val="single" w:sz="6" w:space="0" w:color="auto"/>
              <w:left w:val="single" w:sz="6" w:space="0" w:color="auto"/>
              <w:bottom w:val="single" w:sz="6" w:space="0" w:color="auto"/>
              <w:right w:val="single" w:sz="6" w:space="0" w:color="auto"/>
            </w:tcBorders>
          </w:tcPr>
          <w:p w14:paraId="0C4D251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3,05 6,50 6,23</w:t>
            </w:r>
          </w:p>
        </w:tc>
        <w:tc>
          <w:tcPr>
            <w:tcW w:w="1920" w:type="dxa"/>
            <w:gridSpan w:val="2"/>
            <w:tcBorders>
              <w:top w:val="single" w:sz="6" w:space="0" w:color="auto"/>
              <w:left w:val="single" w:sz="6" w:space="0" w:color="auto"/>
              <w:bottom w:val="single" w:sz="6" w:space="0" w:color="auto"/>
              <w:right w:val="single" w:sz="6" w:space="0" w:color="auto"/>
            </w:tcBorders>
          </w:tcPr>
          <w:p w14:paraId="069449B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9,20 9,54</w:t>
            </w:r>
          </w:p>
        </w:tc>
        <w:tc>
          <w:tcPr>
            <w:tcW w:w="1296" w:type="dxa"/>
            <w:tcBorders>
              <w:top w:val="single" w:sz="6" w:space="0" w:color="auto"/>
              <w:left w:val="single" w:sz="6" w:space="0" w:color="auto"/>
              <w:bottom w:val="single" w:sz="6" w:space="0" w:color="auto"/>
              <w:right w:val="single" w:sz="6" w:space="0" w:color="auto"/>
            </w:tcBorders>
          </w:tcPr>
          <w:p w14:paraId="01DD602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25 25</w:t>
            </w:r>
          </w:p>
        </w:tc>
      </w:tr>
    </w:tbl>
    <w:p w14:paraId="18BB351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 данные отсутствуют</w:t>
      </w:r>
    </w:p>
    <w:p w14:paraId="60F18DE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 длина хода подвижных частей</w:t>
      </w:r>
    </w:p>
    <w:p w14:paraId="2DDD8DC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Отечественные пушки опытных танков периода Великой Отечественной войны</w:t>
      </w:r>
    </w:p>
    <w:tbl>
      <w:tblPr>
        <w:tblW w:w="0" w:type="auto"/>
        <w:tblInd w:w="40" w:type="dxa"/>
        <w:tblLayout w:type="fixed"/>
        <w:tblCellMar>
          <w:left w:w="40" w:type="dxa"/>
          <w:right w:w="40" w:type="dxa"/>
        </w:tblCellMar>
        <w:tblLook w:val="0000" w:firstRow="0" w:lastRow="0" w:firstColumn="0" w:lastColumn="0" w:noHBand="0" w:noVBand="0"/>
      </w:tblPr>
      <w:tblGrid>
        <w:gridCol w:w="3091"/>
        <w:gridCol w:w="1066"/>
        <w:gridCol w:w="1075"/>
        <w:gridCol w:w="1075"/>
        <w:gridCol w:w="1382"/>
        <w:gridCol w:w="1699"/>
        <w:gridCol w:w="1382"/>
      </w:tblGrid>
      <w:tr w:rsidR="005106D0" w:rsidRPr="007224C3" w14:paraId="3148F0B3" w14:textId="77777777">
        <w:trPr>
          <w:trHeight w:val="269"/>
        </w:trPr>
        <w:tc>
          <w:tcPr>
            <w:tcW w:w="3091" w:type="dxa"/>
            <w:tcBorders>
              <w:top w:val="single" w:sz="6" w:space="0" w:color="auto"/>
              <w:left w:val="single" w:sz="6" w:space="0" w:color="auto"/>
              <w:bottom w:val="nil"/>
              <w:right w:val="single" w:sz="6" w:space="0" w:color="auto"/>
            </w:tcBorders>
          </w:tcPr>
          <w:p w14:paraId="2794708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Характеристики</w:t>
            </w:r>
          </w:p>
        </w:tc>
        <w:tc>
          <w:tcPr>
            <w:tcW w:w="7679" w:type="dxa"/>
            <w:gridSpan w:val="6"/>
            <w:tcBorders>
              <w:top w:val="single" w:sz="6" w:space="0" w:color="auto"/>
              <w:left w:val="single" w:sz="6" w:space="0" w:color="auto"/>
              <w:bottom w:val="single" w:sz="6" w:space="0" w:color="auto"/>
              <w:right w:val="single" w:sz="6" w:space="0" w:color="auto"/>
            </w:tcBorders>
          </w:tcPr>
          <w:p w14:paraId="04AE644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Марка пушки</w:t>
            </w:r>
          </w:p>
        </w:tc>
      </w:tr>
      <w:tr w:rsidR="005106D0" w:rsidRPr="007224C3" w14:paraId="118D3CF8" w14:textId="77777777">
        <w:trPr>
          <w:trHeight w:val="192"/>
        </w:trPr>
        <w:tc>
          <w:tcPr>
            <w:tcW w:w="3091" w:type="dxa"/>
            <w:tcBorders>
              <w:top w:val="nil"/>
              <w:left w:val="single" w:sz="6" w:space="0" w:color="auto"/>
              <w:bottom w:val="single" w:sz="6" w:space="0" w:color="auto"/>
              <w:right w:val="single" w:sz="6" w:space="0" w:color="auto"/>
            </w:tcBorders>
          </w:tcPr>
          <w:p w14:paraId="5646C9C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74B7034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ЗИС-19</w:t>
            </w:r>
          </w:p>
        </w:tc>
        <w:tc>
          <w:tcPr>
            <w:tcW w:w="1075" w:type="dxa"/>
            <w:tcBorders>
              <w:top w:val="single" w:sz="6" w:space="0" w:color="auto"/>
              <w:left w:val="single" w:sz="6" w:space="0" w:color="auto"/>
              <w:bottom w:val="single" w:sz="6" w:space="0" w:color="auto"/>
              <w:right w:val="single" w:sz="6" w:space="0" w:color="auto"/>
            </w:tcBorders>
          </w:tcPr>
          <w:p w14:paraId="2C06631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ЗИС-4</w:t>
            </w:r>
          </w:p>
        </w:tc>
        <w:tc>
          <w:tcPr>
            <w:tcW w:w="1075" w:type="dxa"/>
            <w:tcBorders>
              <w:top w:val="single" w:sz="6" w:space="0" w:color="auto"/>
              <w:left w:val="single" w:sz="6" w:space="0" w:color="auto"/>
              <w:bottom w:val="single" w:sz="6" w:space="0" w:color="auto"/>
              <w:right w:val="single" w:sz="6" w:space="0" w:color="auto"/>
            </w:tcBorders>
          </w:tcPr>
          <w:p w14:paraId="0C13186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С-54</w:t>
            </w:r>
          </w:p>
        </w:tc>
        <w:tc>
          <w:tcPr>
            <w:tcW w:w="1382" w:type="dxa"/>
            <w:tcBorders>
              <w:top w:val="single" w:sz="6" w:space="0" w:color="auto"/>
              <w:left w:val="single" w:sz="6" w:space="0" w:color="auto"/>
              <w:bottom w:val="single" w:sz="6" w:space="0" w:color="auto"/>
              <w:right w:val="single" w:sz="6" w:space="0" w:color="auto"/>
            </w:tcBorders>
          </w:tcPr>
          <w:p w14:paraId="539B2A9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С-50</w:t>
            </w:r>
          </w:p>
        </w:tc>
        <w:tc>
          <w:tcPr>
            <w:tcW w:w="1699" w:type="dxa"/>
            <w:tcBorders>
              <w:top w:val="single" w:sz="6" w:space="0" w:color="auto"/>
              <w:left w:val="single" w:sz="6" w:space="0" w:color="auto"/>
              <w:bottom w:val="single" w:sz="6" w:space="0" w:color="auto"/>
              <w:right w:val="single" w:sz="6" w:space="0" w:color="auto"/>
            </w:tcBorders>
          </w:tcPr>
          <w:p w14:paraId="02BDA52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С-31</w:t>
            </w:r>
          </w:p>
        </w:tc>
        <w:tc>
          <w:tcPr>
            <w:tcW w:w="1382" w:type="dxa"/>
            <w:tcBorders>
              <w:top w:val="single" w:sz="6" w:space="0" w:color="auto"/>
              <w:left w:val="single" w:sz="6" w:space="0" w:color="auto"/>
              <w:bottom w:val="single" w:sz="6" w:space="0" w:color="auto"/>
              <w:right w:val="single" w:sz="6" w:space="0" w:color="auto"/>
            </w:tcBorders>
          </w:tcPr>
          <w:p w14:paraId="407632F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С-34</w:t>
            </w:r>
          </w:p>
        </w:tc>
      </w:tr>
      <w:tr w:rsidR="005106D0" w:rsidRPr="007224C3" w14:paraId="3B5A4333" w14:textId="77777777">
        <w:trPr>
          <w:trHeight w:val="240"/>
        </w:trPr>
        <w:tc>
          <w:tcPr>
            <w:tcW w:w="3091" w:type="dxa"/>
            <w:tcBorders>
              <w:top w:val="single" w:sz="6" w:space="0" w:color="auto"/>
              <w:left w:val="single" w:sz="6" w:space="0" w:color="auto"/>
              <w:bottom w:val="single" w:sz="6" w:space="0" w:color="auto"/>
              <w:right w:val="single" w:sz="6" w:space="0" w:color="auto"/>
            </w:tcBorders>
          </w:tcPr>
          <w:p w14:paraId="7268B26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Калибр пушки, мм</w:t>
            </w:r>
          </w:p>
        </w:tc>
        <w:tc>
          <w:tcPr>
            <w:tcW w:w="1066" w:type="dxa"/>
            <w:tcBorders>
              <w:top w:val="single" w:sz="6" w:space="0" w:color="auto"/>
              <w:left w:val="single" w:sz="6" w:space="0" w:color="auto"/>
              <w:bottom w:val="single" w:sz="6" w:space="0" w:color="auto"/>
              <w:right w:val="single" w:sz="6" w:space="0" w:color="auto"/>
            </w:tcBorders>
          </w:tcPr>
          <w:p w14:paraId="3591487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37</w:t>
            </w:r>
          </w:p>
        </w:tc>
        <w:tc>
          <w:tcPr>
            <w:tcW w:w="1075" w:type="dxa"/>
            <w:tcBorders>
              <w:top w:val="single" w:sz="6" w:space="0" w:color="auto"/>
              <w:left w:val="single" w:sz="6" w:space="0" w:color="auto"/>
              <w:bottom w:val="single" w:sz="6" w:space="0" w:color="auto"/>
              <w:right w:val="single" w:sz="6" w:space="0" w:color="auto"/>
            </w:tcBorders>
          </w:tcPr>
          <w:p w14:paraId="2195499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57</w:t>
            </w:r>
          </w:p>
        </w:tc>
        <w:tc>
          <w:tcPr>
            <w:tcW w:w="1075" w:type="dxa"/>
            <w:tcBorders>
              <w:top w:val="single" w:sz="6" w:space="0" w:color="auto"/>
              <w:left w:val="single" w:sz="6" w:space="0" w:color="auto"/>
              <w:bottom w:val="single" w:sz="6" w:space="0" w:color="auto"/>
              <w:right w:val="single" w:sz="6" w:space="0" w:color="auto"/>
            </w:tcBorders>
          </w:tcPr>
          <w:p w14:paraId="7735936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76,2</w:t>
            </w:r>
          </w:p>
        </w:tc>
        <w:tc>
          <w:tcPr>
            <w:tcW w:w="1382" w:type="dxa"/>
            <w:tcBorders>
              <w:top w:val="single" w:sz="6" w:space="0" w:color="auto"/>
              <w:left w:val="single" w:sz="6" w:space="0" w:color="auto"/>
              <w:bottom w:val="single" w:sz="6" w:space="0" w:color="auto"/>
              <w:right w:val="single" w:sz="6" w:space="0" w:color="auto"/>
            </w:tcBorders>
          </w:tcPr>
          <w:p w14:paraId="5D63C26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85</w:t>
            </w:r>
          </w:p>
        </w:tc>
        <w:tc>
          <w:tcPr>
            <w:tcW w:w="1699" w:type="dxa"/>
            <w:tcBorders>
              <w:top w:val="single" w:sz="6" w:space="0" w:color="auto"/>
              <w:left w:val="single" w:sz="6" w:space="0" w:color="auto"/>
              <w:bottom w:val="single" w:sz="6" w:space="0" w:color="auto"/>
              <w:right w:val="single" w:sz="6" w:space="0" w:color="auto"/>
            </w:tcBorders>
          </w:tcPr>
          <w:p w14:paraId="5727003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85</w:t>
            </w:r>
          </w:p>
        </w:tc>
        <w:tc>
          <w:tcPr>
            <w:tcW w:w="1382" w:type="dxa"/>
            <w:tcBorders>
              <w:top w:val="single" w:sz="6" w:space="0" w:color="auto"/>
              <w:left w:val="single" w:sz="6" w:space="0" w:color="auto"/>
              <w:bottom w:val="single" w:sz="6" w:space="0" w:color="auto"/>
              <w:right w:val="single" w:sz="6" w:space="0" w:color="auto"/>
            </w:tcBorders>
          </w:tcPr>
          <w:p w14:paraId="0E3FA99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w:t>
            </w:r>
          </w:p>
        </w:tc>
      </w:tr>
      <w:tr w:rsidR="005106D0" w:rsidRPr="007224C3" w14:paraId="4B18B6E3" w14:textId="77777777">
        <w:trPr>
          <w:trHeight w:val="490"/>
        </w:trPr>
        <w:tc>
          <w:tcPr>
            <w:tcW w:w="3091" w:type="dxa"/>
            <w:tcBorders>
              <w:top w:val="single" w:sz="6" w:space="0" w:color="auto"/>
              <w:left w:val="single" w:sz="6" w:space="0" w:color="auto"/>
              <w:bottom w:val="single" w:sz="6" w:space="0" w:color="auto"/>
              <w:right w:val="single" w:sz="6" w:space="0" w:color="auto"/>
            </w:tcBorders>
          </w:tcPr>
          <w:p w14:paraId="10D0D59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Объект установки (марка танка)</w:t>
            </w:r>
          </w:p>
        </w:tc>
        <w:tc>
          <w:tcPr>
            <w:tcW w:w="1066" w:type="dxa"/>
            <w:tcBorders>
              <w:top w:val="single" w:sz="6" w:space="0" w:color="auto"/>
              <w:left w:val="single" w:sz="6" w:space="0" w:color="auto"/>
              <w:bottom w:val="single" w:sz="6" w:space="0" w:color="auto"/>
              <w:right w:val="single" w:sz="6" w:space="0" w:color="auto"/>
            </w:tcBorders>
          </w:tcPr>
          <w:p w14:paraId="369EE86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Т-60</w:t>
            </w:r>
          </w:p>
        </w:tc>
        <w:tc>
          <w:tcPr>
            <w:tcW w:w="1075" w:type="dxa"/>
            <w:tcBorders>
              <w:top w:val="single" w:sz="6" w:space="0" w:color="auto"/>
              <w:left w:val="single" w:sz="6" w:space="0" w:color="auto"/>
              <w:bottom w:val="single" w:sz="6" w:space="0" w:color="auto"/>
              <w:right w:val="single" w:sz="6" w:space="0" w:color="auto"/>
            </w:tcBorders>
          </w:tcPr>
          <w:p w14:paraId="0947B75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Т-34-76 обр. 1942 г.</w:t>
            </w:r>
          </w:p>
        </w:tc>
        <w:tc>
          <w:tcPr>
            <w:tcW w:w="1075" w:type="dxa"/>
            <w:tcBorders>
              <w:top w:val="single" w:sz="6" w:space="0" w:color="auto"/>
              <w:left w:val="single" w:sz="6" w:space="0" w:color="auto"/>
              <w:bottom w:val="single" w:sz="6" w:space="0" w:color="auto"/>
              <w:right w:val="single" w:sz="6" w:space="0" w:color="auto"/>
            </w:tcBorders>
          </w:tcPr>
          <w:p w14:paraId="1F51C70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Т-34-76 обр. 1942 г.</w:t>
            </w:r>
          </w:p>
        </w:tc>
        <w:tc>
          <w:tcPr>
            <w:tcW w:w="1382" w:type="dxa"/>
            <w:tcBorders>
              <w:top w:val="single" w:sz="6" w:space="0" w:color="auto"/>
              <w:left w:val="single" w:sz="6" w:space="0" w:color="auto"/>
              <w:bottom w:val="single" w:sz="6" w:space="0" w:color="auto"/>
              <w:right w:val="single" w:sz="6" w:space="0" w:color="auto"/>
            </w:tcBorders>
          </w:tcPr>
          <w:p w14:paraId="1F4DD88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Т-34-85 обр. 1943 г.</w:t>
            </w:r>
          </w:p>
        </w:tc>
        <w:tc>
          <w:tcPr>
            <w:tcW w:w="1699" w:type="dxa"/>
            <w:tcBorders>
              <w:top w:val="single" w:sz="6" w:space="0" w:color="auto"/>
              <w:left w:val="single" w:sz="6" w:space="0" w:color="auto"/>
              <w:bottom w:val="single" w:sz="6" w:space="0" w:color="auto"/>
              <w:right w:val="single" w:sz="6" w:space="0" w:color="auto"/>
            </w:tcBorders>
          </w:tcPr>
          <w:p w14:paraId="08794DC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"Объект 237" "Объект 239"</w:t>
            </w:r>
          </w:p>
        </w:tc>
        <w:tc>
          <w:tcPr>
            <w:tcW w:w="1382" w:type="dxa"/>
            <w:tcBorders>
              <w:top w:val="single" w:sz="6" w:space="0" w:color="auto"/>
              <w:left w:val="single" w:sz="6" w:space="0" w:color="auto"/>
              <w:bottom w:val="single" w:sz="6" w:space="0" w:color="auto"/>
              <w:right w:val="single" w:sz="6" w:space="0" w:color="auto"/>
            </w:tcBorders>
          </w:tcPr>
          <w:p w14:paraId="30A87EE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ИС-5, "Объект 248"</w:t>
            </w:r>
          </w:p>
        </w:tc>
      </w:tr>
      <w:tr w:rsidR="005106D0" w:rsidRPr="007224C3" w14:paraId="1E488758" w14:textId="77777777">
        <w:trPr>
          <w:trHeight w:val="230"/>
        </w:trPr>
        <w:tc>
          <w:tcPr>
            <w:tcW w:w="3091" w:type="dxa"/>
            <w:tcBorders>
              <w:top w:val="single" w:sz="6" w:space="0" w:color="auto"/>
              <w:left w:val="single" w:sz="6" w:space="0" w:color="auto"/>
              <w:bottom w:val="single" w:sz="6" w:space="0" w:color="auto"/>
              <w:right w:val="single" w:sz="6" w:space="0" w:color="auto"/>
            </w:tcBorders>
          </w:tcPr>
          <w:p w14:paraId="0E2CF5F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Дульная энергия, том</w:t>
            </w:r>
          </w:p>
        </w:tc>
        <w:tc>
          <w:tcPr>
            <w:tcW w:w="1066" w:type="dxa"/>
            <w:tcBorders>
              <w:top w:val="single" w:sz="6" w:space="0" w:color="auto"/>
              <w:left w:val="single" w:sz="6" w:space="0" w:color="auto"/>
              <w:bottom w:val="single" w:sz="6" w:space="0" w:color="auto"/>
              <w:right w:val="single" w:sz="6" w:space="0" w:color="auto"/>
            </w:tcBorders>
          </w:tcPr>
          <w:p w14:paraId="6DE3B8F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075" w:type="dxa"/>
            <w:tcBorders>
              <w:top w:val="single" w:sz="6" w:space="0" w:color="auto"/>
              <w:left w:val="single" w:sz="6" w:space="0" w:color="auto"/>
              <w:bottom w:val="single" w:sz="6" w:space="0" w:color="auto"/>
              <w:right w:val="single" w:sz="6" w:space="0" w:color="auto"/>
            </w:tcBorders>
          </w:tcPr>
          <w:p w14:paraId="543D136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160</w:t>
            </w:r>
          </w:p>
        </w:tc>
        <w:tc>
          <w:tcPr>
            <w:tcW w:w="1075" w:type="dxa"/>
            <w:tcBorders>
              <w:top w:val="single" w:sz="6" w:space="0" w:color="auto"/>
              <w:left w:val="single" w:sz="6" w:space="0" w:color="auto"/>
              <w:bottom w:val="single" w:sz="6" w:space="0" w:color="auto"/>
              <w:right w:val="single" w:sz="6" w:space="0" w:color="auto"/>
            </w:tcBorders>
          </w:tcPr>
          <w:p w14:paraId="461E77E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226,5</w:t>
            </w:r>
          </w:p>
        </w:tc>
        <w:tc>
          <w:tcPr>
            <w:tcW w:w="1382" w:type="dxa"/>
            <w:tcBorders>
              <w:top w:val="single" w:sz="6" w:space="0" w:color="auto"/>
              <w:left w:val="single" w:sz="6" w:space="0" w:color="auto"/>
              <w:bottom w:val="single" w:sz="6" w:space="0" w:color="auto"/>
              <w:right w:val="single" w:sz="6" w:space="0" w:color="auto"/>
            </w:tcBorders>
          </w:tcPr>
          <w:p w14:paraId="19EA2A0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300</w:t>
            </w:r>
          </w:p>
        </w:tc>
        <w:tc>
          <w:tcPr>
            <w:tcW w:w="1699" w:type="dxa"/>
            <w:tcBorders>
              <w:top w:val="single" w:sz="6" w:space="0" w:color="auto"/>
              <w:left w:val="single" w:sz="6" w:space="0" w:color="auto"/>
              <w:bottom w:val="single" w:sz="6" w:space="0" w:color="auto"/>
              <w:right w:val="single" w:sz="6" w:space="0" w:color="auto"/>
            </w:tcBorders>
          </w:tcPr>
          <w:p w14:paraId="475A9A2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300</w:t>
            </w:r>
          </w:p>
        </w:tc>
        <w:tc>
          <w:tcPr>
            <w:tcW w:w="1382" w:type="dxa"/>
            <w:tcBorders>
              <w:top w:val="single" w:sz="6" w:space="0" w:color="auto"/>
              <w:left w:val="single" w:sz="6" w:space="0" w:color="auto"/>
              <w:bottom w:val="single" w:sz="6" w:space="0" w:color="auto"/>
              <w:right w:val="single" w:sz="6" w:space="0" w:color="auto"/>
            </w:tcBorders>
          </w:tcPr>
          <w:p w14:paraId="79D93EB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58E9A84C" w14:textId="77777777">
        <w:trPr>
          <w:trHeight w:val="499"/>
        </w:trPr>
        <w:tc>
          <w:tcPr>
            <w:tcW w:w="3091" w:type="dxa"/>
            <w:tcBorders>
              <w:top w:val="single" w:sz="6" w:space="0" w:color="auto"/>
              <w:left w:val="single" w:sz="6" w:space="0" w:color="auto"/>
              <w:bottom w:val="single" w:sz="6" w:space="0" w:color="auto"/>
              <w:right w:val="single" w:sz="6" w:space="0" w:color="auto"/>
            </w:tcBorders>
          </w:tcPr>
          <w:p w14:paraId="5F7CF4B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Бронепробиваемость БрС на Д= 1000 м по нормали, мм</w:t>
            </w:r>
          </w:p>
        </w:tc>
        <w:tc>
          <w:tcPr>
            <w:tcW w:w="1066" w:type="dxa"/>
            <w:tcBorders>
              <w:top w:val="single" w:sz="6" w:space="0" w:color="auto"/>
              <w:left w:val="single" w:sz="6" w:space="0" w:color="auto"/>
              <w:bottom w:val="single" w:sz="6" w:space="0" w:color="auto"/>
              <w:right w:val="single" w:sz="6" w:space="0" w:color="auto"/>
            </w:tcBorders>
          </w:tcPr>
          <w:p w14:paraId="57C5D23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41 (Д = 500м)</w:t>
            </w:r>
          </w:p>
        </w:tc>
        <w:tc>
          <w:tcPr>
            <w:tcW w:w="1075" w:type="dxa"/>
            <w:tcBorders>
              <w:top w:val="single" w:sz="6" w:space="0" w:color="auto"/>
              <w:left w:val="single" w:sz="6" w:space="0" w:color="auto"/>
              <w:bottom w:val="single" w:sz="6" w:space="0" w:color="auto"/>
              <w:right w:val="single" w:sz="6" w:space="0" w:color="auto"/>
            </w:tcBorders>
          </w:tcPr>
          <w:p w14:paraId="5B1EAD3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89</w:t>
            </w:r>
          </w:p>
        </w:tc>
        <w:tc>
          <w:tcPr>
            <w:tcW w:w="1075" w:type="dxa"/>
            <w:tcBorders>
              <w:top w:val="single" w:sz="6" w:space="0" w:color="auto"/>
              <w:left w:val="single" w:sz="6" w:space="0" w:color="auto"/>
              <w:bottom w:val="single" w:sz="6" w:space="0" w:color="auto"/>
              <w:right w:val="single" w:sz="6" w:space="0" w:color="auto"/>
            </w:tcBorders>
          </w:tcPr>
          <w:p w14:paraId="42E744D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68</w:t>
            </w:r>
          </w:p>
        </w:tc>
        <w:tc>
          <w:tcPr>
            <w:tcW w:w="1382" w:type="dxa"/>
            <w:tcBorders>
              <w:top w:val="single" w:sz="6" w:space="0" w:color="auto"/>
              <w:left w:val="single" w:sz="6" w:space="0" w:color="auto"/>
              <w:bottom w:val="single" w:sz="6" w:space="0" w:color="auto"/>
              <w:right w:val="single" w:sz="6" w:space="0" w:color="auto"/>
            </w:tcBorders>
          </w:tcPr>
          <w:p w14:paraId="3D4982C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118</w:t>
            </w:r>
          </w:p>
        </w:tc>
        <w:tc>
          <w:tcPr>
            <w:tcW w:w="1699" w:type="dxa"/>
            <w:tcBorders>
              <w:top w:val="single" w:sz="6" w:space="0" w:color="auto"/>
              <w:left w:val="single" w:sz="6" w:space="0" w:color="auto"/>
              <w:bottom w:val="single" w:sz="6" w:space="0" w:color="auto"/>
              <w:right w:val="single" w:sz="6" w:space="0" w:color="auto"/>
            </w:tcBorders>
          </w:tcPr>
          <w:p w14:paraId="482A60A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w:t>
            </w:r>
          </w:p>
        </w:tc>
        <w:tc>
          <w:tcPr>
            <w:tcW w:w="1382" w:type="dxa"/>
            <w:tcBorders>
              <w:top w:val="single" w:sz="6" w:space="0" w:color="auto"/>
              <w:left w:val="single" w:sz="6" w:space="0" w:color="auto"/>
              <w:bottom w:val="single" w:sz="6" w:space="0" w:color="auto"/>
              <w:right w:val="single" w:sz="6" w:space="0" w:color="auto"/>
            </w:tcBorders>
          </w:tcPr>
          <w:p w14:paraId="1CCBFE5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56EA26BC" w14:textId="77777777">
        <w:trPr>
          <w:trHeight w:val="240"/>
        </w:trPr>
        <w:tc>
          <w:tcPr>
            <w:tcW w:w="3091" w:type="dxa"/>
            <w:tcBorders>
              <w:top w:val="single" w:sz="6" w:space="0" w:color="auto"/>
              <w:left w:val="single" w:sz="6" w:space="0" w:color="auto"/>
              <w:bottom w:val="single" w:sz="6" w:space="0" w:color="auto"/>
              <w:right w:val="single" w:sz="6" w:space="0" w:color="auto"/>
            </w:tcBorders>
          </w:tcPr>
          <w:p w14:paraId="16EA512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Скорострельность, выстр./мин</w:t>
            </w:r>
          </w:p>
        </w:tc>
        <w:tc>
          <w:tcPr>
            <w:tcW w:w="1066" w:type="dxa"/>
            <w:tcBorders>
              <w:top w:val="single" w:sz="6" w:space="0" w:color="auto"/>
              <w:left w:val="single" w:sz="6" w:space="0" w:color="auto"/>
              <w:bottom w:val="single" w:sz="6" w:space="0" w:color="auto"/>
              <w:right w:val="single" w:sz="6" w:space="0" w:color="auto"/>
            </w:tcBorders>
          </w:tcPr>
          <w:p w14:paraId="36378A4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8-15</w:t>
            </w:r>
          </w:p>
        </w:tc>
        <w:tc>
          <w:tcPr>
            <w:tcW w:w="1075" w:type="dxa"/>
            <w:tcBorders>
              <w:top w:val="single" w:sz="6" w:space="0" w:color="auto"/>
              <w:left w:val="single" w:sz="6" w:space="0" w:color="auto"/>
              <w:bottom w:val="single" w:sz="6" w:space="0" w:color="auto"/>
              <w:right w:val="single" w:sz="6" w:space="0" w:color="auto"/>
            </w:tcBorders>
          </w:tcPr>
          <w:p w14:paraId="0BC0821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6-10</w:t>
            </w:r>
          </w:p>
        </w:tc>
        <w:tc>
          <w:tcPr>
            <w:tcW w:w="1075" w:type="dxa"/>
            <w:tcBorders>
              <w:top w:val="single" w:sz="6" w:space="0" w:color="auto"/>
              <w:left w:val="single" w:sz="6" w:space="0" w:color="auto"/>
              <w:bottom w:val="single" w:sz="6" w:space="0" w:color="auto"/>
              <w:right w:val="single" w:sz="6" w:space="0" w:color="auto"/>
            </w:tcBorders>
          </w:tcPr>
          <w:p w14:paraId="734C4E7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8-10</w:t>
            </w:r>
          </w:p>
        </w:tc>
        <w:tc>
          <w:tcPr>
            <w:tcW w:w="1382" w:type="dxa"/>
            <w:tcBorders>
              <w:top w:val="single" w:sz="6" w:space="0" w:color="auto"/>
              <w:left w:val="single" w:sz="6" w:space="0" w:color="auto"/>
              <w:bottom w:val="single" w:sz="6" w:space="0" w:color="auto"/>
              <w:right w:val="single" w:sz="6" w:space="0" w:color="auto"/>
            </w:tcBorders>
          </w:tcPr>
          <w:p w14:paraId="516B842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24B979F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8-10</w:t>
            </w:r>
          </w:p>
        </w:tc>
        <w:tc>
          <w:tcPr>
            <w:tcW w:w="1382" w:type="dxa"/>
            <w:tcBorders>
              <w:top w:val="single" w:sz="6" w:space="0" w:color="auto"/>
              <w:left w:val="single" w:sz="6" w:space="0" w:color="auto"/>
              <w:bottom w:val="single" w:sz="6" w:space="0" w:color="auto"/>
              <w:right w:val="single" w:sz="6" w:space="0" w:color="auto"/>
            </w:tcBorders>
          </w:tcPr>
          <w:p w14:paraId="7A88387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w:t>
            </w:r>
          </w:p>
        </w:tc>
      </w:tr>
      <w:tr w:rsidR="005106D0" w:rsidRPr="007224C3" w14:paraId="65AB850B" w14:textId="77777777">
        <w:trPr>
          <w:trHeight w:val="250"/>
        </w:trPr>
        <w:tc>
          <w:tcPr>
            <w:tcW w:w="3091" w:type="dxa"/>
            <w:tcBorders>
              <w:top w:val="single" w:sz="6" w:space="0" w:color="auto"/>
              <w:left w:val="single" w:sz="6" w:space="0" w:color="auto"/>
              <w:bottom w:val="single" w:sz="6" w:space="0" w:color="auto"/>
              <w:right w:val="single" w:sz="6" w:space="0" w:color="auto"/>
            </w:tcBorders>
          </w:tcPr>
          <w:p w14:paraId="6FDCD27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Длина ствола, клб</w:t>
            </w:r>
          </w:p>
        </w:tc>
        <w:tc>
          <w:tcPr>
            <w:tcW w:w="1066" w:type="dxa"/>
            <w:tcBorders>
              <w:top w:val="single" w:sz="6" w:space="0" w:color="auto"/>
              <w:left w:val="single" w:sz="6" w:space="0" w:color="auto"/>
              <w:bottom w:val="single" w:sz="6" w:space="0" w:color="auto"/>
              <w:right w:val="single" w:sz="6" w:space="0" w:color="auto"/>
            </w:tcBorders>
          </w:tcPr>
          <w:p w14:paraId="0583D73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66,7</w:t>
            </w:r>
          </w:p>
        </w:tc>
        <w:tc>
          <w:tcPr>
            <w:tcW w:w="1075" w:type="dxa"/>
            <w:tcBorders>
              <w:top w:val="single" w:sz="6" w:space="0" w:color="auto"/>
              <w:left w:val="single" w:sz="6" w:space="0" w:color="auto"/>
              <w:bottom w:val="single" w:sz="6" w:space="0" w:color="auto"/>
              <w:right w:val="single" w:sz="6" w:space="0" w:color="auto"/>
            </w:tcBorders>
          </w:tcPr>
          <w:p w14:paraId="2DE4D9C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73</w:t>
            </w:r>
          </w:p>
        </w:tc>
        <w:tc>
          <w:tcPr>
            <w:tcW w:w="1075" w:type="dxa"/>
            <w:tcBorders>
              <w:top w:val="single" w:sz="6" w:space="0" w:color="auto"/>
              <w:left w:val="single" w:sz="6" w:space="0" w:color="auto"/>
              <w:bottom w:val="single" w:sz="6" w:space="0" w:color="auto"/>
              <w:right w:val="single" w:sz="6" w:space="0" w:color="auto"/>
            </w:tcBorders>
          </w:tcPr>
          <w:p w14:paraId="3F82D3D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55</w:t>
            </w:r>
          </w:p>
        </w:tc>
        <w:tc>
          <w:tcPr>
            <w:tcW w:w="1382" w:type="dxa"/>
            <w:tcBorders>
              <w:top w:val="single" w:sz="6" w:space="0" w:color="auto"/>
              <w:left w:val="single" w:sz="6" w:space="0" w:color="auto"/>
              <w:bottom w:val="single" w:sz="6" w:space="0" w:color="auto"/>
              <w:right w:val="single" w:sz="6" w:space="0" w:color="auto"/>
            </w:tcBorders>
          </w:tcPr>
          <w:p w14:paraId="1905122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w:t>
            </w:r>
          </w:p>
        </w:tc>
        <w:tc>
          <w:tcPr>
            <w:tcW w:w="1699" w:type="dxa"/>
            <w:tcBorders>
              <w:top w:val="single" w:sz="6" w:space="0" w:color="auto"/>
              <w:left w:val="single" w:sz="6" w:space="0" w:color="auto"/>
              <w:bottom w:val="single" w:sz="6" w:space="0" w:color="auto"/>
              <w:right w:val="single" w:sz="6" w:space="0" w:color="auto"/>
            </w:tcBorders>
          </w:tcPr>
          <w:p w14:paraId="72964D7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51,2</w:t>
            </w:r>
          </w:p>
        </w:tc>
        <w:tc>
          <w:tcPr>
            <w:tcW w:w="1382" w:type="dxa"/>
            <w:tcBorders>
              <w:top w:val="single" w:sz="6" w:space="0" w:color="auto"/>
              <w:left w:val="single" w:sz="6" w:space="0" w:color="auto"/>
              <w:bottom w:val="single" w:sz="6" w:space="0" w:color="auto"/>
              <w:right w:val="single" w:sz="6" w:space="0" w:color="auto"/>
            </w:tcBorders>
          </w:tcPr>
          <w:p w14:paraId="0B26AC4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55,9</w:t>
            </w:r>
          </w:p>
        </w:tc>
      </w:tr>
      <w:tr w:rsidR="005106D0" w:rsidRPr="007224C3" w14:paraId="3ECE4E2F" w14:textId="77777777">
        <w:trPr>
          <w:trHeight w:val="250"/>
        </w:trPr>
        <w:tc>
          <w:tcPr>
            <w:tcW w:w="3091" w:type="dxa"/>
            <w:tcBorders>
              <w:top w:val="single" w:sz="6" w:space="0" w:color="auto"/>
              <w:left w:val="single" w:sz="6" w:space="0" w:color="auto"/>
              <w:bottom w:val="single" w:sz="6" w:space="0" w:color="auto"/>
              <w:right w:val="single" w:sz="6" w:space="0" w:color="auto"/>
            </w:tcBorders>
          </w:tcPr>
          <w:p w14:paraId="001BD6C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Затвор, тип •</w:t>
            </w:r>
          </w:p>
        </w:tc>
        <w:tc>
          <w:tcPr>
            <w:tcW w:w="3216" w:type="dxa"/>
            <w:gridSpan w:val="3"/>
            <w:tcBorders>
              <w:top w:val="single" w:sz="6" w:space="0" w:color="auto"/>
              <w:left w:val="single" w:sz="6" w:space="0" w:color="auto"/>
              <w:bottom w:val="single" w:sz="6" w:space="0" w:color="auto"/>
              <w:right w:val="single" w:sz="6" w:space="0" w:color="auto"/>
            </w:tcBorders>
          </w:tcPr>
          <w:p w14:paraId="470A893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клиновой, вертикальный</w:t>
            </w:r>
          </w:p>
        </w:tc>
        <w:tc>
          <w:tcPr>
            <w:tcW w:w="4463" w:type="dxa"/>
            <w:gridSpan w:val="3"/>
            <w:tcBorders>
              <w:top w:val="single" w:sz="6" w:space="0" w:color="auto"/>
              <w:left w:val="single" w:sz="6" w:space="0" w:color="auto"/>
              <w:bottom w:val="single" w:sz="6" w:space="0" w:color="auto"/>
              <w:right w:val="single" w:sz="6" w:space="0" w:color="auto"/>
            </w:tcBorders>
          </w:tcPr>
          <w:p w14:paraId="7A3E304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клиновой, горизонтальный</w:t>
            </w:r>
          </w:p>
        </w:tc>
      </w:tr>
      <w:tr w:rsidR="005106D0" w:rsidRPr="007224C3" w14:paraId="08DA6274" w14:textId="77777777">
        <w:trPr>
          <w:trHeight w:val="250"/>
        </w:trPr>
        <w:tc>
          <w:tcPr>
            <w:tcW w:w="3091" w:type="dxa"/>
            <w:tcBorders>
              <w:top w:val="single" w:sz="6" w:space="0" w:color="auto"/>
              <w:left w:val="single" w:sz="6" w:space="0" w:color="auto"/>
              <w:bottom w:val="single" w:sz="6" w:space="0" w:color="auto"/>
              <w:right w:val="single" w:sz="6" w:space="0" w:color="auto"/>
            </w:tcBorders>
          </w:tcPr>
          <w:p w14:paraId="0B9A44C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Длина отката, мм</w:t>
            </w:r>
          </w:p>
        </w:tc>
        <w:tc>
          <w:tcPr>
            <w:tcW w:w="1066" w:type="dxa"/>
            <w:tcBorders>
              <w:top w:val="single" w:sz="6" w:space="0" w:color="auto"/>
              <w:left w:val="single" w:sz="6" w:space="0" w:color="auto"/>
              <w:bottom w:val="single" w:sz="6" w:space="0" w:color="auto"/>
              <w:right w:val="single" w:sz="6" w:space="0" w:color="auto"/>
            </w:tcBorders>
          </w:tcPr>
          <w:p w14:paraId="384E639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32502A2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350-380</w:t>
            </w:r>
          </w:p>
        </w:tc>
        <w:tc>
          <w:tcPr>
            <w:tcW w:w="1075" w:type="dxa"/>
            <w:tcBorders>
              <w:top w:val="single" w:sz="6" w:space="0" w:color="auto"/>
              <w:left w:val="single" w:sz="6" w:space="0" w:color="auto"/>
              <w:bottom w:val="single" w:sz="6" w:space="0" w:color="auto"/>
              <w:right w:val="single" w:sz="6" w:space="0" w:color="auto"/>
            </w:tcBorders>
          </w:tcPr>
          <w:p w14:paraId="486E8CE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320-370</w:t>
            </w:r>
          </w:p>
        </w:tc>
        <w:tc>
          <w:tcPr>
            <w:tcW w:w="1382" w:type="dxa"/>
            <w:tcBorders>
              <w:top w:val="single" w:sz="6" w:space="0" w:color="auto"/>
              <w:left w:val="single" w:sz="6" w:space="0" w:color="auto"/>
              <w:bottom w:val="single" w:sz="6" w:space="0" w:color="auto"/>
              <w:right w:val="single" w:sz="6" w:space="0" w:color="auto"/>
            </w:tcBorders>
          </w:tcPr>
          <w:p w14:paraId="54219A7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260-350</w:t>
            </w:r>
          </w:p>
        </w:tc>
        <w:tc>
          <w:tcPr>
            <w:tcW w:w="1699" w:type="dxa"/>
            <w:tcBorders>
              <w:top w:val="single" w:sz="6" w:space="0" w:color="auto"/>
              <w:left w:val="single" w:sz="6" w:space="0" w:color="auto"/>
              <w:bottom w:val="single" w:sz="6" w:space="0" w:color="auto"/>
              <w:right w:val="single" w:sz="6" w:space="0" w:color="auto"/>
            </w:tcBorders>
          </w:tcPr>
          <w:p w14:paraId="282ED74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480-550</w:t>
            </w:r>
          </w:p>
        </w:tc>
        <w:tc>
          <w:tcPr>
            <w:tcW w:w="1382" w:type="dxa"/>
            <w:tcBorders>
              <w:top w:val="single" w:sz="6" w:space="0" w:color="auto"/>
              <w:left w:val="single" w:sz="6" w:space="0" w:color="auto"/>
              <w:bottom w:val="single" w:sz="6" w:space="0" w:color="auto"/>
              <w:right w:val="single" w:sz="6" w:space="0" w:color="auto"/>
            </w:tcBorders>
          </w:tcPr>
          <w:p w14:paraId="2805FD7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400-450</w:t>
            </w:r>
          </w:p>
        </w:tc>
      </w:tr>
      <w:tr w:rsidR="005106D0" w:rsidRPr="007224C3" w14:paraId="2F9923AE" w14:textId="77777777">
        <w:trPr>
          <w:trHeight w:val="240"/>
        </w:trPr>
        <w:tc>
          <w:tcPr>
            <w:tcW w:w="3091" w:type="dxa"/>
            <w:tcBorders>
              <w:top w:val="single" w:sz="6" w:space="0" w:color="auto"/>
              <w:left w:val="single" w:sz="6" w:space="0" w:color="auto"/>
              <w:bottom w:val="single" w:sz="6" w:space="0" w:color="auto"/>
              <w:right w:val="single" w:sz="6" w:space="0" w:color="auto"/>
            </w:tcBorders>
          </w:tcPr>
          <w:p w14:paraId="3CFFBEE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 дальность стрельбы, м</w:t>
            </w:r>
          </w:p>
        </w:tc>
        <w:tc>
          <w:tcPr>
            <w:tcW w:w="1066" w:type="dxa"/>
            <w:tcBorders>
              <w:top w:val="single" w:sz="6" w:space="0" w:color="auto"/>
              <w:left w:val="single" w:sz="6" w:space="0" w:color="auto"/>
              <w:bottom w:val="single" w:sz="6" w:space="0" w:color="auto"/>
              <w:right w:val="single" w:sz="6" w:space="0" w:color="auto"/>
            </w:tcBorders>
          </w:tcPr>
          <w:p w14:paraId="3A4B77B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10000</w:t>
            </w:r>
          </w:p>
        </w:tc>
        <w:tc>
          <w:tcPr>
            <w:tcW w:w="1075" w:type="dxa"/>
            <w:tcBorders>
              <w:top w:val="single" w:sz="6" w:space="0" w:color="auto"/>
              <w:left w:val="single" w:sz="6" w:space="0" w:color="auto"/>
              <w:bottom w:val="single" w:sz="6" w:space="0" w:color="auto"/>
              <w:right w:val="single" w:sz="6" w:space="0" w:color="auto"/>
            </w:tcBorders>
          </w:tcPr>
          <w:p w14:paraId="7C3B779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12500</w:t>
            </w:r>
          </w:p>
        </w:tc>
        <w:tc>
          <w:tcPr>
            <w:tcW w:w="1075" w:type="dxa"/>
            <w:tcBorders>
              <w:top w:val="single" w:sz="6" w:space="0" w:color="auto"/>
              <w:left w:val="single" w:sz="6" w:space="0" w:color="auto"/>
              <w:bottom w:val="single" w:sz="6" w:space="0" w:color="auto"/>
              <w:right w:val="single" w:sz="6" w:space="0" w:color="auto"/>
            </w:tcBorders>
          </w:tcPr>
          <w:p w14:paraId="1069030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13000</w:t>
            </w:r>
          </w:p>
        </w:tc>
        <w:tc>
          <w:tcPr>
            <w:tcW w:w="1382" w:type="dxa"/>
            <w:tcBorders>
              <w:top w:val="single" w:sz="6" w:space="0" w:color="auto"/>
              <w:left w:val="single" w:sz="6" w:space="0" w:color="auto"/>
              <w:bottom w:val="single" w:sz="6" w:space="0" w:color="auto"/>
              <w:right w:val="single" w:sz="6" w:space="0" w:color="auto"/>
            </w:tcBorders>
          </w:tcPr>
          <w:p w14:paraId="27A6DFF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699" w:type="dxa"/>
            <w:tcBorders>
              <w:top w:val="single" w:sz="6" w:space="0" w:color="auto"/>
              <w:left w:val="single" w:sz="6" w:space="0" w:color="auto"/>
              <w:bottom w:val="single" w:sz="6" w:space="0" w:color="auto"/>
              <w:right w:val="single" w:sz="6" w:space="0" w:color="auto"/>
            </w:tcBorders>
          </w:tcPr>
          <w:p w14:paraId="47EAE33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12500</w:t>
            </w:r>
          </w:p>
        </w:tc>
        <w:tc>
          <w:tcPr>
            <w:tcW w:w="1382" w:type="dxa"/>
            <w:tcBorders>
              <w:top w:val="single" w:sz="6" w:space="0" w:color="auto"/>
              <w:left w:val="single" w:sz="6" w:space="0" w:color="auto"/>
              <w:bottom w:val="single" w:sz="6" w:space="0" w:color="auto"/>
              <w:right w:val="single" w:sz="6" w:space="0" w:color="auto"/>
            </w:tcBorders>
          </w:tcPr>
          <w:p w14:paraId="191AAE3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15000</w:t>
            </w:r>
          </w:p>
        </w:tc>
      </w:tr>
      <w:tr w:rsidR="005106D0" w:rsidRPr="007224C3" w14:paraId="5FD92802" w14:textId="77777777">
        <w:trPr>
          <w:trHeight w:val="874"/>
        </w:trPr>
        <w:tc>
          <w:tcPr>
            <w:tcW w:w="3091" w:type="dxa"/>
            <w:tcBorders>
              <w:top w:val="single" w:sz="6" w:space="0" w:color="auto"/>
              <w:left w:val="single" w:sz="6" w:space="0" w:color="auto"/>
              <w:bottom w:val="single" w:sz="6" w:space="0" w:color="auto"/>
              <w:right w:val="single" w:sz="6" w:space="0" w:color="auto"/>
            </w:tcBorders>
          </w:tcPr>
          <w:p w14:paraId="20FAA58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Начальная скорость снаряда, м/с: бронебойно-подкалиберного бронебойного осколочно-фугасного</w:t>
            </w:r>
          </w:p>
        </w:tc>
        <w:tc>
          <w:tcPr>
            <w:tcW w:w="1066" w:type="dxa"/>
            <w:tcBorders>
              <w:top w:val="single" w:sz="6" w:space="0" w:color="auto"/>
              <w:left w:val="single" w:sz="6" w:space="0" w:color="auto"/>
              <w:bottom w:val="single" w:sz="6" w:space="0" w:color="auto"/>
              <w:right w:val="single" w:sz="6" w:space="0" w:color="auto"/>
            </w:tcBorders>
          </w:tcPr>
          <w:p w14:paraId="4AADD5C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915</w:t>
            </w:r>
          </w:p>
        </w:tc>
        <w:tc>
          <w:tcPr>
            <w:tcW w:w="1075" w:type="dxa"/>
            <w:tcBorders>
              <w:top w:val="single" w:sz="6" w:space="0" w:color="auto"/>
              <w:left w:val="single" w:sz="6" w:space="0" w:color="auto"/>
              <w:bottom w:val="single" w:sz="6" w:space="0" w:color="auto"/>
              <w:right w:val="single" w:sz="6" w:space="0" w:color="auto"/>
            </w:tcBorders>
          </w:tcPr>
          <w:p w14:paraId="09F039E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997 700</w:t>
            </w:r>
          </w:p>
        </w:tc>
        <w:tc>
          <w:tcPr>
            <w:tcW w:w="1075" w:type="dxa"/>
            <w:tcBorders>
              <w:top w:val="single" w:sz="6" w:space="0" w:color="auto"/>
              <w:left w:val="single" w:sz="6" w:space="0" w:color="auto"/>
              <w:bottom w:val="single" w:sz="6" w:space="0" w:color="auto"/>
              <w:right w:val="single" w:sz="6" w:space="0" w:color="auto"/>
            </w:tcBorders>
          </w:tcPr>
          <w:p w14:paraId="5FE9DBE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1154 810 800</w:t>
            </w:r>
          </w:p>
        </w:tc>
        <w:tc>
          <w:tcPr>
            <w:tcW w:w="1382" w:type="dxa"/>
            <w:tcBorders>
              <w:top w:val="single" w:sz="6" w:space="0" w:color="auto"/>
              <w:left w:val="single" w:sz="6" w:space="0" w:color="auto"/>
              <w:bottom w:val="single" w:sz="6" w:space="0" w:color="auto"/>
              <w:right w:val="single" w:sz="6" w:space="0" w:color="auto"/>
            </w:tcBorders>
          </w:tcPr>
          <w:p w14:paraId="29A64BB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800 793</w:t>
            </w:r>
          </w:p>
        </w:tc>
        <w:tc>
          <w:tcPr>
            <w:tcW w:w="1699" w:type="dxa"/>
            <w:tcBorders>
              <w:top w:val="single" w:sz="6" w:space="0" w:color="auto"/>
              <w:left w:val="single" w:sz="6" w:space="0" w:color="auto"/>
              <w:bottom w:val="single" w:sz="6" w:space="0" w:color="auto"/>
              <w:right w:val="single" w:sz="6" w:space="0" w:color="auto"/>
            </w:tcBorders>
          </w:tcPr>
          <w:p w14:paraId="6BB29B2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800</w:t>
            </w:r>
          </w:p>
        </w:tc>
        <w:tc>
          <w:tcPr>
            <w:tcW w:w="1382" w:type="dxa"/>
            <w:tcBorders>
              <w:top w:val="single" w:sz="6" w:space="0" w:color="auto"/>
              <w:left w:val="single" w:sz="6" w:space="0" w:color="auto"/>
              <w:bottom w:val="single" w:sz="6" w:space="0" w:color="auto"/>
              <w:right w:val="single" w:sz="6" w:space="0" w:color="auto"/>
            </w:tcBorders>
          </w:tcPr>
          <w:p w14:paraId="3DF7A09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900</w:t>
            </w:r>
          </w:p>
        </w:tc>
      </w:tr>
      <w:tr w:rsidR="005106D0" w:rsidRPr="007224C3" w14:paraId="4A113539" w14:textId="77777777">
        <w:trPr>
          <w:trHeight w:val="902"/>
        </w:trPr>
        <w:tc>
          <w:tcPr>
            <w:tcW w:w="3091" w:type="dxa"/>
            <w:tcBorders>
              <w:top w:val="single" w:sz="6" w:space="0" w:color="auto"/>
              <w:left w:val="single" w:sz="6" w:space="0" w:color="auto"/>
              <w:bottom w:val="single" w:sz="6" w:space="0" w:color="auto"/>
              <w:right w:val="single" w:sz="6" w:space="0" w:color="auto"/>
            </w:tcBorders>
          </w:tcPr>
          <w:p w14:paraId="28E0BC6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Масса снаряда, кг бронебойно-подкалиберного бронебойного осколочно-фугасного</w:t>
            </w:r>
          </w:p>
        </w:tc>
        <w:tc>
          <w:tcPr>
            <w:tcW w:w="1066" w:type="dxa"/>
            <w:tcBorders>
              <w:top w:val="single" w:sz="6" w:space="0" w:color="auto"/>
              <w:left w:val="single" w:sz="6" w:space="0" w:color="auto"/>
              <w:bottom w:val="single" w:sz="6" w:space="0" w:color="auto"/>
              <w:right w:val="single" w:sz="6" w:space="0" w:color="auto"/>
            </w:tcBorders>
          </w:tcPr>
          <w:p w14:paraId="50A98A6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0,765 0,732"</w:t>
            </w:r>
          </w:p>
        </w:tc>
        <w:tc>
          <w:tcPr>
            <w:tcW w:w="1075" w:type="dxa"/>
            <w:tcBorders>
              <w:top w:val="single" w:sz="6" w:space="0" w:color="auto"/>
              <w:left w:val="single" w:sz="6" w:space="0" w:color="auto"/>
              <w:bottom w:val="single" w:sz="6" w:space="0" w:color="auto"/>
              <w:right w:val="single" w:sz="6" w:space="0" w:color="auto"/>
            </w:tcBorders>
          </w:tcPr>
          <w:p w14:paraId="13302F7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3,14</w:t>
            </w:r>
          </w:p>
        </w:tc>
        <w:tc>
          <w:tcPr>
            <w:tcW w:w="1075" w:type="dxa"/>
            <w:tcBorders>
              <w:top w:val="single" w:sz="6" w:space="0" w:color="auto"/>
              <w:left w:val="single" w:sz="6" w:space="0" w:color="auto"/>
              <w:bottom w:val="single" w:sz="6" w:space="0" w:color="auto"/>
              <w:right w:val="single" w:sz="6" w:space="0" w:color="auto"/>
            </w:tcBorders>
          </w:tcPr>
          <w:p w14:paraId="3A9AE1F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3,5 6,5 6,95</w:t>
            </w:r>
          </w:p>
        </w:tc>
        <w:tc>
          <w:tcPr>
            <w:tcW w:w="1382" w:type="dxa"/>
            <w:tcBorders>
              <w:top w:val="single" w:sz="6" w:space="0" w:color="auto"/>
              <w:left w:val="single" w:sz="6" w:space="0" w:color="auto"/>
              <w:bottom w:val="single" w:sz="6" w:space="0" w:color="auto"/>
              <w:right w:val="single" w:sz="6" w:space="0" w:color="auto"/>
            </w:tcBorders>
          </w:tcPr>
          <w:p w14:paraId="62DACD5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9,20 9,54</w:t>
            </w:r>
          </w:p>
        </w:tc>
        <w:tc>
          <w:tcPr>
            <w:tcW w:w="1699" w:type="dxa"/>
            <w:tcBorders>
              <w:top w:val="single" w:sz="6" w:space="0" w:color="auto"/>
              <w:left w:val="single" w:sz="6" w:space="0" w:color="auto"/>
              <w:bottom w:val="single" w:sz="6" w:space="0" w:color="auto"/>
              <w:right w:val="single" w:sz="6" w:space="0" w:color="auto"/>
            </w:tcBorders>
          </w:tcPr>
          <w:p w14:paraId="7F0466E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9,20 9,54</w:t>
            </w:r>
          </w:p>
        </w:tc>
        <w:tc>
          <w:tcPr>
            <w:tcW w:w="1382" w:type="dxa"/>
            <w:tcBorders>
              <w:top w:val="single" w:sz="6" w:space="0" w:color="auto"/>
              <w:left w:val="single" w:sz="6" w:space="0" w:color="auto"/>
              <w:bottom w:val="single" w:sz="6" w:space="0" w:color="auto"/>
              <w:right w:val="single" w:sz="6" w:space="0" w:color="auto"/>
            </w:tcBorders>
          </w:tcPr>
          <w:p w14:paraId="66EDC0F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15,6 29,8</w:t>
            </w:r>
          </w:p>
        </w:tc>
      </w:tr>
    </w:tbl>
    <w:p w14:paraId="1133B5F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 данные отсутствуют</w:t>
      </w:r>
    </w:p>
    <w:p w14:paraId="07D8413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 осколочно-трассирующего</w:t>
      </w:r>
    </w:p>
    <w:p w14:paraId="0E4A79D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A3173B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марта 1944 г. по 1945 г. было выпущено 16199 танков Т-34-85 обр. 1944 года, причем танк был командирским. Серийное производстве машины продояжалось до 1947 г. (10703).</w:t>
      </w:r>
    </w:p>
    <w:p w14:paraId="363207C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62442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марте 1944 завод 183 в Нижнем Тагиле начал выпуск Т-34-85 с ЗИС-С-53 (3547).</w:t>
      </w:r>
    </w:p>
    <w:p w14:paraId="2CDC54B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ABE40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марте 1944 на Т-34-85 пушку Д-5Т заменили на ЗИС-С-53 (1031,32).</w:t>
      </w:r>
    </w:p>
    <w:p w14:paraId="2C58973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AD362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марта 1944 начался выпуск танковых 85-мм пушек С-53 в пуско-наладочном режиме, а с мая - в потоке. Соответственно с марта Т-34-85 с С-53 начал выпускать нижнетагильский завод 183, а потом и омский 174 и 112 Красное Сормово - наряду с машинами с Д-5Т (4390).</w:t>
      </w:r>
    </w:p>
    <w:p w14:paraId="5903399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C5B51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марте 1944 года прекратили выпуск Т-34 на ЧКЗ (3862).</w:t>
      </w:r>
    </w:p>
    <w:p w14:paraId="1AC02B2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43AF2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марте 1944 г. на заводе N 183 начался серийный выпуск Т-34-85. Затем их стал собирать и завод №174 (в 1944 г. "тридцатьчетверку" выпускали эти три завода, так как СТЗ после освобождения Сталинграда не вернулся к производству танков, УЗТМ выпускал только СУ на базе Т-34, а ЧКЗ полностью сосредоточил свои усилия на выпуске тяжелых танков ИС-2 и СУ на их базе - ИСУ-152 и ИСУ-122). Наблюдались некоторые различия по заводам: на некоторых машинах применялись штампованные катки или литые с развитым оребрением, но уже с обрезинкой ("напряженка" с резиной, благодаря поставкам из США уменьшилась). Башни несколько отличались формой, числом и местом размещения на их крышах бронеколпаков вентиляторов, поручнями и т.д (3905).</w:t>
      </w:r>
    </w:p>
    <w:p w14:paraId="14A3A2B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A72D9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марте 1944 года пушка ЗИС-С-53 ("С" - Савин) заменила Д-5Т Петрова на сборочных линиях завода "Красное Сормово" и после ее установки новый танк получил обозначение Т-34/85 образца 1944 года. Боевая масса новой машины возросла до 32 тонн. Бронирование - 90...75 мм, удельное давление на грунт - 0,85 кг/см2. Вооружение - пушка ЗИС-С-53 с длиной ствола 54,6 калибра и два пулемета ДТМ. Угол возвышения орудия + 20°, склонения -5°, максимальная скорость поворота башни - 17 град/сек (3862).</w:t>
      </w:r>
    </w:p>
    <w:p w14:paraId="7C8DAAA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Несмотря на некоторое увеличение массы, маневренные характеристики танка остались на достаточно высоком уровне. Одно из наиболее существенных преимуществ Т-34/85 заключалось в том, что создание этой более мощной боевой машины, способной противостоять новому поколению немецких танков, не отразилось на темпах и количестве выпускаемых в Советском Союзе танков. Совершенство основной конструкции танка и заложенные в ней технические резервы давали советским танковым заводам огромные преимущества в том, что касалось количества выпускаемых боевых машин (3862).</w:t>
      </w:r>
    </w:p>
    <w:p w14:paraId="61D9124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Кроме новой башни, Т-34/85 образца 1943 года практически не отличался от Т-34/76 модели 1943 года, на базе которого он был построен. Радиостанция по-прежнему размещалась в правой передней части корпуса, на башню устанавливали перископы ПТК-5 и только на некоторых машинах стояли перископы нового образца МК-4 (3862).</w:t>
      </w:r>
    </w:p>
    <w:p w14:paraId="5F9FE60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Однако со временем ряд изменений все же ввели. На ранних Т-34/85 командирская башенка располагалась примерно посередине крыши башни. Хотя такое конструктивное решение позволило получить большой свободный объем в задней части башни, оно однако вынуждало заряжающего сидеть буквально на коленях командира танка (3862).</w:t>
      </w:r>
    </w:p>
    <w:p w14:paraId="144823B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8DD08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марте 1944 года начали сходить с конвейера Уральского танкового завода Т-34-85, принятые на вооружение 15 декабря 1943 года (9154).</w:t>
      </w:r>
    </w:p>
    <w:p w14:paraId="1186CB9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B3CA72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марта 1944 г. завод № 9 перешел на производство пушек Д-25 с клиновым затвором (10703).</w:t>
      </w:r>
    </w:p>
    <w:p w14:paraId="60E4B04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4C31A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марте 1944 г. по заданию НКТП заводом № 38 было начато проек</w:t>
      </w:r>
      <w:r w:rsidRPr="007224C3">
        <w:rPr>
          <w:rFonts w:ascii="Times New Roman" w:hAnsi="Times New Roman"/>
          <w:color w:val="000000" w:themeColor="text1"/>
          <w:sz w:val="16"/>
          <w:szCs w:val="16"/>
        </w:rPr>
        <w:softHyphen/>
        <w:t>тирование и изготовление опытного образца самоходной установки, во</w:t>
      </w:r>
      <w:r w:rsidRPr="007224C3">
        <w:rPr>
          <w:rFonts w:ascii="Times New Roman" w:hAnsi="Times New Roman"/>
          <w:color w:val="000000" w:themeColor="text1"/>
          <w:sz w:val="16"/>
          <w:szCs w:val="16"/>
        </w:rPr>
        <w:softHyphen/>
        <w:t>оруженного 85-мм пушкой ЗИС-С-53. В июне того же года был изготов</w:t>
      </w:r>
      <w:r w:rsidRPr="007224C3">
        <w:rPr>
          <w:rFonts w:ascii="Times New Roman" w:hAnsi="Times New Roman"/>
          <w:color w:val="000000" w:themeColor="text1"/>
          <w:sz w:val="16"/>
          <w:szCs w:val="16"/>
        </w:rPr>
        <w:softHyphen/>
        <w:t>лен опытный образец установки, но в связи с передислокацией завода в Харьков на территорию бывшего завода № 183, испытания машины не были закончены и дальнейшие работы прекращены (10703).</w:t>
      </w:r>
    </w:p>
    <w:p w14:paraId="46195F3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6664D0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марте 1944 года в Нижнем Тагиле изготовили несколько эталонных образцов N-44, но производство нового танка было решено начать на прежнем Харьковском заводе (приказ ГКО от 18 июля 1944 г.) (3905).</w:t>
      </w:r>
    </w:p>
    <w:p w14:paraId="2DA6823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DDCB3F" w14:textId="77777777" w:rsidR="00137373" w:rsidRPr="007224C3" w:rsidRDefault="00137373" w:rsidP="007224C3">
      <w:pPr>
        <w:pStyle w:val="a3"/>
        <w:rPr>
          <w:color w:val="000000" w:themeColor="text1"/>
          <w:lang w:val="ru-RU"/>
        </w:rPr>
      </w:pPr>
      <w:r w:rsidRPr="007224C3">
        <w:rPr>
          <w:color w:val="000000" w:themeColor="text1"/>
          <w:lang w:val="ru-RU"/>
        </w:rPr>
        <w:t>В марте 1944 года начальник ГБТУ генерал- лейтенант Б. Г. Вершинин при обсуждении проекта постановления о производстве Т-44 на заводе № 183 занял жесткую позицию (Главное автобронетанковое управление. Люди, события, факты в документах - 1943-1944 гг. С. 667-670). Он ни в коем случае не соглашался на неизбежное при освоении нового танка временное сокращение производства (НКТП планировал, что по этой причине будет изготовлено на 475 танков меньше). Вершинин обращал внимание на то, что производство Т-34 сворачивается ещё и на Кировском заводе, что приведёт к падению общего производства этого танка в 1944 году на 1105 штук. Кроме того, ГБТУ опасалось потенциальной нехватки запчастей в случае сворачивания производства танка на заводе № 183, так как другие заводы не смогли бы покрыть потребности танковых войск. В целом Вершинин не был против освоения нового танка, но не желал ни в малейшей степени поступиться ради этого объёмами производства. Он на основании каких-то своих данных составлял собственные графики, в которых освоение Т-44 не приводило к падению производства. Если бы главой наркомата был всё ещё И. М. Зальцман, авантюрист по натуре, то он, возможно, включился бы в эту игру с ГБТУ и принял их условия, рассчитывая потом как-нибудь выкрутиться. Но В. А. Малышев не был человеком, который по своей собственной воле берёт на себя невыполнимые обязательства. Кроме того, возможно, свою роль в судьбе танка сыграли неудачные мартовские испытания, после которых комиссия под председательством Е. А. Кульчицкого не рекомендовала танк к принятию на вооружение до устранения обнаруженных дефектов. Следовательно, начало производства танка неизбежно откладывалось (12290).</w:t>
      </w:r>
    </w:p>
    <w:p w14:paraId="42CB1F3B" w14:textId="77777777" w:rsidR="00137373" w:rsidRPr="007224C3" w:rsidRDefault="00137373" w:rsidP="007224C3">
      <w:pPr>
        <w:pStyle w:val="a3"/>
        <w:rPr>
          <w:color w:val="000000" w:themeColor="text1"/>
          <w:lang w:val="ru-RU"/>
        </w:rPr>
      </w:pPr>
    </w:p>
    <w:p w14:paraId="0579F12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марту 1944 г. новый средний танк Т-44, казалось бы, обрел тот внешний вид, который отвечал всем чаяниям. Третий образец, вооруженный вместо 122-мм Д-25-44 85-мм пушкой С-53 и получивший улучшенную трансмиссию, про</w:t>
      </w:r>
      <w:r w:rsidRPr="007224C3">
        <w:rPr>
          <w:rFonts w:ascii="Times New Roman" w:hAnsi="Times New Roman"/>
          <w:color w:val="000000" w:themeColor="text1"/>
          <w:sz w:val="16"/>
          <w:szCs w:val="16"/>
        </w:rPr>
        <w:softHyphen/>
        <w:t>шел весь цикл испытаний, которые увенчались бы полным успехом, не сломайся в самом конце их двигатель В-2ИС.</w:t>
      </w:r>
    </w:p>
    <w:p w14:paraId="3224388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 Т-44 были отремонтированы и с апреля по август проходили «огонь, воду и медные трубы» на полигонах. Производители и конструкторы внимательно изучали их, пытаясь еще более удешевить конструкцию и улучшить на</w:t>
      </w:r>
      <w:r w:rsidRPr="007224C3">
        <w:rPr>
          <w:rFonts w:ascii="Times New Roman" w:hAnsi="Times New Roman"/>
          <w:color w:val="000000" w:themeColor="text1"/>
          <w:sz w:val="16"/>
          <w:szCs w:val="16"/>
        </w:rPr>
        <w:softHyphen/>
        <w:t>дежность работы агрегатов. Запланированные на май 1944 г. изготовление и испытание «улучшенного» танка Т-44А с пушкой С-53 и Т-44-100 с пушкой Д-10 не состоялись по причине отсутствия затребованных у Кировского завода ди</w:t>
      </w:r>
      <w:r w:rsidRPr="007224C3">
        <w:rPr>
          <w:rFonts w:ascii="Times New Roman" w:hAnsi="Times New Roman"/>
          <w:color w:val="000000" w:themeColor="text1"/>
          <w:sz w:val="16"/>
          <w:szCs w:val="16"/>
        </w:rPr>
        <w:softHyphen/>
        <w:t>зелей и работ по постановке на УВЗ валового выпуска Т-34-85. В июне 1944 г. были изготовлены два эталонных экземпляра Т-44 с двигателем В-2-34М и пушками С-53, но эти танки в основном повторяли конструкцию февральской машины, отличаясь от нее в некоторых деталях (11135).</w:t>
      </w:r>
    </w:p>
    <w:p w14:paraId="3299A66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928873" w14:textId="77777777" w:rsidR="008E2CE5" w:rsidRPr="007224C3" w:rsidRDefault="008E2CE5" w:rsidP="007224C3">
      <w:pPr>
        <w:pStyle w:val="ae"/>
        <w:spacing w:before="0" w:after="0"/>
        <w:jc w:val="both"/>
        <w:textAlignment w:val="baseline"/>
        <w:rPr>
          <w:color w:val="000000" w:themeColor="text1"/>
          <w:sz w:val="16"/>
          <w:szCs w:val="16"/>
        </w:rPr>
      </w:pPr>
      <w:r w:rsidRPr="007224C3">
        <w:rPr>
          <w:color w:val="000000" w:themeColor="text1"/>
          <w:sz w:val="16"/>
          <w:szCs w:val="16"/>
        </w:rPr>
        <w:t>В марте 1944 года наиболее заметным изменением на СУ-85 стали укороченные поручни на бортах рубки. Тогда же произошло смещение пистолетного порта в правом борту. 20 февраля 1944 года появились новые петли люка под панораму. В марте 1944 года кромки под амбразуру орудийной установки стали подрезать, а в отверстиях под пистолетные порты появились фаски. С января 1944 года изменилась конструкция подпятника орудийной установки, а в феврале был переделан кронштейн поворотного механизма. Также в 1-м квартале 1944 года сиденье наводчика стало регулироваться по высоте — из войск поступало много нареканий на отсутствие такой возможности. Ближе к концу лета 1944 года бандажи опорных катков лишились перфорации — это было последнее изменение в конструкции СУ-85. Официально с перфорацией распрощались в конце апреля 1944 года, но ставить опорные катки без отверстий стали только после выработки имевшегося задела (17719).</w:t>
      </w:r>
    </w:p>
    <w:p w14:paraId="4F899059" w14:textId="77777777" w:rsidR="008E2CE5" w:rsidRPr="007224C3" w:rsidRDefault="008E2CE5" w:rsidP="007224C3">
      <w:pPr>
        <w:spacing w:after="0" w:line="240" w:lineRule="auto"/>
        <w:jc w:val="both"/>
        <w:rPr>
          <w:rFonts w:ascii="Times New Roman" w:eastAsia="Times New Roman" w:hAnsi="Times New Roman"/>
          <w:color w:val="000000" w:themeColor="text1"/>
          <w:sz w:val="16"/>
          <w:szCs w:val="16"/>
          <w:lang w:eastAsia="ru-RU"/>
        </w:rPr>
      </w:pPr>
    </w:p>
    <w:p w14:paraId="26E137E7" w14:textId="77777777" w:rsidR="00A01DE5" w:rsidRPr="007224C3" w:rsidRDefault="00A01DE5" w:rsidP="007224C3">
      <w:pPr>
        <w:spacing w:after="0" w:line="240" w:lineRule="auto"/>
        <w:jc w:val="both"/>
        <w:rPr>
          <w:rStyle w:val="670"/>
          <w:rFonts w:ascii="Times New Roman" w:hAnsi="Times New Roman" w:cs="Times New Roman"/>
          <w:color w:val="0070C0"/>
          <w:sz w:val="16"/>
          <w:szCs w:val="16"/>
        </w:rPr>
      </w:pPr>
      <w:bookmarkStart w:id="26" w:name="bookmark78"/>
      <w:r w:rsidRPr="007224C3">
        <w:rPr>
          <w:rStyle w:val="670"/>
          <w:rFonts w:ascii="Times New Roman" w:hAnsi="Times New Roman" w:cs="Times New Roman"/>
          <w:color w:val="0070C0"/>
          <w:sz w:val="16"/>
          <w:szCs w:val="16"/>
        </w:rPr>
        <w:t>В марте 1944 года кромки под амбразуру ору</w:t>
      </w:r>
      <w:r w:rsidRPr="007224C3">
        <w:rPr>
          <w:rStyle w:val="670"/>
          <w:rFonts w:ascii="Times New Roman" w:hAnsi="Times New Roman" w:cs="Times New Roman"/>
          <w:color w:val="0070C0"/>
          <w:sz w:val="16"/>
          <w:szCs w:val="16"/>
        </w:rPr>
        <w:softHyphen/>
        <w:t>дийной установки стали подрезать, а в отвер</w:t>
      </w:r>
      <w:r w:rsidRPr="007224C3">
        <w:rPr>
          <w:rStyle w:val="670"/>
          <w:rFonts w:ascii="Times New Roman" w:hAnsi="Times New Roman" w:cs="Times New Roman"/>
          <w:color w:val="0070C0"/>
          <w:sz w:val="16"/>
          <w:szCs w:val="16"/>
        </w:rPr>
        <w:softHyphen/>
        <w:t>стиях под пистолетные порты появились фаски. Также с 10 марта улучшили конструк</w:t>
      </w:r>
      <w:r w:rsidRPr="007224C3">
        <w:rPr>
          <w:rStyle w:val="670"/>
          <w:rFonts w:ascii="Times New Roman" w:hAnsi="Times New Roman" w:cs="Times New Roman"/>
          <w:color w:val="0070C0"/>
          <w:sz w:val="16"/>
          <w:szCs w:val="16"/>
        </w:rPr>
        <w:softHyphen/>
        <w:t>цию стопора люка механика-водителя. Более важным изменением стал переход от СУ-85 к СУ-85А. Причиной тому стало прекращение выпуска Д5-С-85. Помимо того, что выпуск сразу двух артиллерийских систем был лишен смысла, на заводе №9 наращивалось производство орудий Д-25 для тяжелых тан</w:t>
      </w:r>
      <w:r w:rsidRPr="007224C3">
        <w:rPr>
          <w:rStyle w:val="670"/>
          <w:rFonts w:ascii="Times New Roman" w:hAnsi="Times New Roman" w:cs="Times New Roman"/>
          <w:color w:val="0070C0"/>
          <w:sz w:val="16"/>
          <w:szCs w:val="16"/>
        </w:rPr>
        <w:softHyphen/>
        <w:t>ков ИС-2. В марте УЗТМ получил 102 Д-5С85 и 89 Д-5С85А. При этом из 191 машины, сдан</w:t>
      </w:r>
      <w:r w:rsidRPr="007224C3">
        <w:rPr>
          <w:rStyle w:val="670"/>
          <w:rFonts w:ascii="Times New Roman" w:hAnsi="Times New Roman" w:cs="Times New Roman"/>
          <w:color w:val="0070C0"/>
          <w:sz w:val="16"/>
          <w:szCs w:val="16"/>
        </w:rPr>
        <w:softHyphen/>
        <w:t>ных в марте 1944 года, 112 являлись СУ-85, а 79 - СУ-85А. Находящаяся в польском Джонуве самоходная установка с серийным номе</w:t>
      </w:r>
      <w:r w:rsidRPr="007224C3">
        <w:rPr>
          <w:rStyle w:val="670"/>
          <w:rFonts w:ascii="Times New Roman" w:hAnsi="Times New Roman" w:cs="Times New Roman"/>
          <w:color w:val="0070C0"/>
          <w:sz w:val="16"/>
          <w:szCs w:val="16"/>
        </w:rPr>
        <w:softHyphen/>
        <w:t>ром СУ403462А как раз является СУ-85А. Из 200 сданных в апреле СУ-85 175 штук относи</w:t>
      </w:r>
      <w:r w:rsidRPr="007224C3">
        <w:rPr>
          <w:rStyle w:val="670"/>
          <w:rFonts w:ascii="Times New Roman" w:hAnsi="Times New Roman" w:cs="Times New Roman"/>
          <w:color w:val="0070C0"/>
          <w:sz w:val="16"/>
          <w:szCs w:val="16"/>
        </w:rPr>
        <w:softHyphen/>
        <w:t>лись к версии СУ-85А, а уже с мая на УЗТМ выпускались исключительно СУ-85А. Что же касается других изменений, то они в апреле- мае 1944 года свелись к внутренним улучше</w:t>
      </w:r>
      <w:r w:rsidRPr="007224C3">
        <w:rPr>
          <w:rStyle w:val="670"/>
          <w:rFonts w:ascii="Times New Roman" w:hAnsi="Times New Roman" w:cs="Times New Roman"/>
          <w:color w:val="0070C0"/>
          <w:sz w:val="16"/>
          <w:szCs w:val="16"/>
        </w:rPr>
        <w:softHyphen/>
        <w:t>ниям. Также на некоторых машинах выпуска весны 1944 года можно видеть фары с удли</w:t>
      </w:r>
      <w:r w:rsidRPr="007224C3">
        <w:rPr>
          <w:rStyle w:val="670"/>
          <w:rFonts w:ascii="Times New Roman" w:hAnsi="Times New Roman" w:cs="Times New Roman"/>
          <w:color w:val="0070C0"/>
          <w:sz w:val="16"/>
          <w:szCs w:val="16"/>
        </w:rPr>
        <w:softHyphen/>
        <w:t>ненным корпусом и меньшего диаметра (192 мм вместо 230,6 у полусферических), по типу тех, что ставились на Т-34-85 выпуска завода №183. В июне 1944 г. ввели, наконец, элек</w:t>
      </w:r>
      <w:r w:rsidRPr="007224C3">
        <w:rPr>
          <w:rStyle w:val="670"/>
          <w:rFonts w:ascii="Times New Roman" w:hAnsi="Times New Roman" w:cs="Times New Roman"/>
          <w:color w:val="0070C0"/>
          <w:sz w:val="16"/>
          <w:szCs w:val="16"/>
        </w:rPr>
        <w:softHyphen/>
        <w:t>троспуск орудия - со 117-й машины. Последним же внешним изменением СУ- 85А стало долгожданное появление вытяж</w:t>
      </w:r>
      <w:r w:rsidRPr="007224C3">
        <w:rPr>
          <w:rStyle w:val="670"/>
          <w:rFonts w:ascii="Times New Roman" w:hAnsi="Times New Roman" w:cs="Times New Roman"/>
          <w:color w:val="0070C0"/>
          <w:sz w:val="16"/>
          <w:szCs w:val="16"/>
        </w:rPr>
        <w:softHyphen/>
        <w:t>ного вентилятора на крыше рубки. Нередко можно слышать версию о том, что он был на самых ранних машинах, но на самом деле их ставили, наоборот, на СУ-85А самого поздне</w:t>
      </w:r>
      <w:r w:rsidRPr="007224C3">
        <w:rPr>
          <w:rStyle w:val="670"/>
          <w:rFonts w:ascii="Times New Roman" w:hAnsi="Times New Roman" w:cs="Times New Roman"/>
          <w:color w:val="0070C0"/>
          <w:sz w:val="16"/>
          <w:szCs w:val="16"/>
        </w:rPr>
        <w:softHyphen/>
        <w:t>го периода выпуска. Когда именно ввели вентилятор, неизвестно, можно лишь гово</w:t>
      </w:r>
      <w:r w:rsidRPr="007224C3">
        <w:rPr>
          <w:rStyle w:val="670"/>
          <w:rFonts w:ascii="Times New Roman" w:hAnsi="Times New Roman" w:cs="Times New Roman"/>
          <w:color w:val="0070C0"/>
          <w:sz w:val="16"/>
          <w:szCs w:val="16"/>
        </w:rPr>
        <w:softHyphen/>
        <w:t>рить о том, что произошло это летом 1944 года. Попадаются машины с вытяжным вен</w:t>
      </w:r>
      <w:r w:rsidRPr="007224C3">
        <w:rPr>
          <w:rStyle w:val="670"/>
          <w:rFonts w:ascii="Times New Roman" w:hAnsi="Times New Roman" w:cs="Times New Roman"/>
          <w:color w:val="0070C0"/>
          <w:sz w:val="16"/>
          <w:szCs w:val="16"/>
        </w:rPr>
        <w:softHyphen/>
        <w:t>тилятором очень редко (19889).</w:t>
      </w:r>
    </w:p>
    <w:p w14:paraId="292A72E9" w14:textId="77777777" w:rsidR="00A01DE5" w:rsidRPr="007224C3" w:rsidRDefault="00A01DE5" w:rsidP="007224C3">
      <w:pPr>
        <w:spacing w:after="0" w:line="240" w:lineRule="auto"/>
        <w:jc w:val="both"/>
        <w:rPr>
          <w:rFonts w:ascii="Times New Roman" w:hAnsi="Times New Roman"/>
          <w:color w:val="0070C0"/>
          <w:sz w:val="16"/>
          <w:szCs w:val="16"/>
        </w:rPr>
      </w:pPr>
    </w:p>
    <w:bookmarkEnd w:id="26"/>
    <w:p w14:paraId="6B7387B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марте 1944 г. СУ-100 Объект-138 прошел заводские и полигонные испытания на Гороховецком АНИОПе. По результатам испытаний в мае - июне 1944 г. был изготовлен второй опытный образец, который стал головным образцом серийного производства. Серийное производство было организовано на •УЗТМ с сентября 1944 г. по октябрь 1945 г. За время Великой Отечественной войны с сентября 1944 г. до 1 июня 1945 г. было выпущено 1560 самоходных установок, которые широко использовали в боях на заключительном этапе войны. Всего за время серийного производства выпустили 2495 самоходных установок СУ-100 (10703).</w:t>
      </w:r>
    </w:p>
    <w:p w14:paraId="4A2B3C9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7C0727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марте 1944 г. вместе с СУ-100 с пушкой С-34 ЦАКБ испытывалась Cу-100 c пушкой Д-10С (3905).</w:t>
      </w:r>
    </w:p>
    <w:p w14:paraId="2CF3A0D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6D08E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марте 1944 года на АНИОП прошел полигонные испытания опытный образец самоходной гаубицы С-51, которая была разработана в ЦАКБ под руковод</w:t>
      </w:r>
      <w:r w:rsidRPr="007224C3">
        <w:rPr>
          <w:rFonts w:ascii="Times New Roman" w:hAnsi="Times New Roman"/>
          <w:color w:val="000000" w:themeColor="text1"/>
          <w:sz w:val="16"/>
          <w:szCs w:val="16"/>
        </w:rPr>
        <w:softHyphen/>
        <w:t>ством В.Г. Грабина в 1943 г. и был рекомендован к принятию на вооружение. Однако на вооружение установка не прини</w:t>
      </w:r>
      <w:r w:rsidRPr="007224C3">
        <w:rPr>
          <w:rFonts w:ascii="Times New Roman" w:hAnsi="Times New Roman"/>
          <w:color w:val="000000" w:themeColor="text1"/>
          <w:sz w:val="16"/>
          <w:szCs w:val="16"/>
        </w:rPr>
        <w:softHyphen/>
        <w:t>малась и в серийном производстве не состояла по причине прекраще</w:t>
      </w:r>
      <w:r w:rsidRPr="007224C3">
        <w:rPr>
          <w:rFonts w:ascii="Times New Roman" w:hAnsi="Times New Roman"/>
          <w:color w:val="000000" w:themeColor="text1"/>
          <w:sz w:val="16"/>
          <w:szCs w:val="16"/>
        </w:rPr>
        <w:softHyphen/>
        <w:t>ния производства гаубиц Б-4 в начале 1942 г. Машина была создана на базе танка КВ-1С и имела компоновочную схему с кормовым расположением моторно-трансмиссионного отделе</w:t>
      </w:r>
      <w:r w:rsidRPr="007224C3">
        <w:rPr>
          <w:rFonts w:ascii="Times New Roman" w:hAnsi="Times New Roman"/>
          <w:color w:val="000000" w:themeColor="text1"/>
          <w:sz w:val="16"/>
          <w:szCs w:val="16"/>
        </w:rPr>
        <w:softHyphen/>
        <w:t>ния и открытой установкой основного оружия в носовой части корпуса. Расчет (экипаж) установки состоял из десяти человек. В качестве основного оружия была использована качающаяся часть 203-мм гаубицы Б-4 обр. 1931 г. с поршневым затвором и баллистикой 203-мм гаубицы Б-4БМ. В связи с установкой орудия на новую само</w:t>
      </w:r>
      <w:r w:rsidRPr="007224C3">
        <w:rPr>
          <w:rFonts w:ascii="Times New Roman" w:hAnsi="Times New Roman"/>
          <w:color w:val="000000" w:themeColor="text1"/>
          <w:sz w:val="16"/>
          <w:szCs w:val="16"/>
        </w:rPr>
        <w:softHyphen/>
        <w:t>ходную базу его конструкция существенных изменений не претерпела. В походном положении ствол гаубицы оттягивался назад. Высота ли</w:t>
      </w:r>
      <w:r w:rsidRPr="007224C3">
        <w:rPr>
          <w:rFonts w:ascii="Times New Roman" w:hAnsi="Times New Roman"/>
          <w:color w:val="000000" w:themeColor="text1"/>
          <w:sz w:val="16"/>
          <w:szCs w:val="16"/>
        </w:rPr>
        <w:softHyphen/>
        <w:t>нии огня составляла 2795 мм. Стрельба велась только с места. Механиз</w:t>
      </w:r>
      <w:r w:rsidRPr="007224C3">
        <w:rPr>
          <w:rFonts w:ascii="Times New Roman" w:hAnsi="Times New Roman"/>
          <w:color w:val="000000" w:themeColor="text1"/>
          <w:sz w:val="16"/>
          <w:szCs w:val="16"/>
        </w:rPr>
        <w:softHyphen/>
        <w:t>мы наводки (подъемный, приведения на заряжание и поворотный) сек</w:t>
      </w:r>
      <w:r w:rsidRPr="007224C3">
        <w:rPr>
          <w:rFonts w:ascii="Times New Roman" w:hAnsi="Times New Roman"/>
          <w:color w:val="000000" w:themeColor="text1"/>
          <w:sz w:val="16"/>
          <w:szCs w:val="16"/>
        </w:rPr>
        <w:softHyphen/>
        <w:t>торного типа обеспечивали углы вертикальной наводки от 0 до +60° (10703).</w:t>
      </w:r>
    </w:p>
    <w:p w14:paraId="06FC633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77C74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марта 1944 г. вопросу усиления броневой защиты танка ИС было уделено самое пристальное внимание. Сотрудники НИИ-48 совместно с ОКБ опытного заво</w:t>
      </w:r>
      <w:r w:rsidRPr="007224C3">
        <w:rPr>
          <w:rFonts w:ascii="Times New Roman" w:hAnsi="Times New Roman"/>
          <w:color w:val="000000" w:themeColor="text1"/>
          <w:sz w:val="16"/>
          <w:szCs w:val="16"/>
        </w:rPr>
        <w:softHyphen/>
        <w:t>да № 100 провели работы по теме № 27-44, посвященной улучшению защищенности танка ИС-122. В результате проведенных исследований было разработано четыре вари</w:t>
      </w:r>
      <w:r w:rsidRPr="007224C3">
        <w:rPr>
          <w:rFonts w:ascii="Times New Roman" w:hAnsi="Times New Roman"/>
          <w:color w:val="000000" w:themeColor="text1"/>
          <w:sz w:val="16"/>
          <w:szCs w:val="16"/>
        </w:rPr>
        <w:softHyphen/>
        <w:t>анта усиления броневой защиты корпуса танка ИС.</w:t>
      </w:r>
    </w:p>
    <w:p w14:paraId="5D25618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Наиболее простым была закалка всех литых узлов на высокую твердость, но этот вариант смог лишь немного улучшить защиту танка от огня 75-мм пушки обр. 1940 г. с длиной ствола 43 и 48 калибров, но не был панацеей от бо</w:t>
      </w:r>
      <w:r w:rsidRPr="007224C3">
        <w:rPr>
          <w:rFonts w:ascii="Times New Roman" w:hAnsi="Times New Roman"/>
          <w:color w:val="000000" w:themeColor="text1"/>
          <w:sz w:val="16"/>
          <w:szCs w:val="16"/>
        </w:rPr>
        <w:softHyphen/>
        <w:t>лее тяжелых снарядов калибра 88 мм и более.</w:t>
      </w:r>
    </w:p>
    <w:p w14:paraId="7E1C989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Лучшей защитой, по расчетам, обладал 4-й вариант НИИ-48, заключавшийся в разработке новой конструкции носового узла танка ИС, подобного носовому узлу танка Т-34, сваренного из катаных броневых листов толщиной 100-мм. Такая конструкция носа должна была держать 88-мм снаряд при курсовых углах ±30° даже выпущенный почти в упор. Предлагался также вариант корпуса со «спрям</w:t>
      </w:r>
      <w:r w:rsidRPr="007224C3">
        <w:rPr>
          <w:rFonts w:ascii="Times New Roman" w:hAnsi="Times New Roman"/>
          <w:color w:val="000000" w:themeColor="text1"/>
          <w:sz w:val="16"/>
          <w:szCs w:val="16"/>
        </w:rPr>
        <w:softHyphen/>
        <w:t>ленным носом», в котором ступенчатая седлообразная носовая деталь заменялась такой же литой, но с наклонной площадкой и узкой наблюдательной щелью, закрытой бро</w:t>
      </w:r>
      <w:r w:rsidRPr="007224C3">
        <w:rPr>
          <w:rFonts w:ascii="Times New Roman" w:hAnsi="Times New Roman"/>
          <w:color w:val="000000" w:themeColor="text1"/>
          <w:sz w:val="16"/>
          <w:szCs w:val="16"/>
        </w:rPr>
        <w:softHyphen/>
        <w:t>нестеклом, вместо люка-пробки. Но поскольку его стойкость ожидалась невысокой, то была расмотрена также комбинированная конструкция с литой верхней бронепли-той и приваренным к ней нижним листом из катаной брони.</w:t>
      </w:r>
    </w:p>
    <w:p w14:paraId="2A15E8E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Поскольку переделка не должна была привести к росту массы, то наиболее выгодным был признан последний ва</w:t>
      </w:r>
      <w:r w:rsidRPr="007224C3">
        <w:rPr>
          <w:rFonts w:ascii="Times New Roman" w:hAnsi="Times New Roman"/>
          <w:color w:val="000000" w:themeColor="text1"/>
          <w:sz w:val="16"/>
          <w:szCs w:val="16"/>
        </w:rPr>
        <w:softHyphen/>
        <w:t>риант, так как он содержал и спрямленный нос, и катаный нижний лист прежней толщины, сопротивляемость кото</w:t>
      </w:r>
      <w:r w:rsidRPr="007224C3">
        <w:rPr>
          <w:rFonts w:ascii="Times New Roman" w:hAnsi="Times New Roman"/>
          <w:color w:val="000000" w:themeColor="text1"/>
          <w:sz w:val="16"/>
          <w:szCs w:val="16"/>
        </w:rPr>
        <w:softHyphen/>
        <w:t>рого была в среднем на 10-15% выше, чем прежнего лито</w:t>
      </w:r>
      <w:r w:rsidRPr="007224C3">
        <w:rPr>
          <w:rFonts w:ascii="Times New Roman" w:hAnsi="Times New Roman"/>
          <w:color w:val="000000" w:themeColor="text1"/>
          <w:sz w:val="16"/>
          <w:szCs w:val="16"/>
        </w:rPr>
        <w:softHyphen/>
        <w:t>го. Тем не менее остался и «переходной вариант» — цельно-литой носовой узел со спрямленным верхним листом. В нем, конечно, нижний лобовой лист оставался слабее, но его было решено усилить креплением запасных траков, для чего предусматривалась заводская установка специальных бонок. Броню подбашенной коробки планировалось уси</w:t>
      </w:r>
      <w:r w:rsidRPr="007224C3">
        <w:rPr>
          <w:rFonts w:ascii="Times New Roman" w:hAnsi="Times New Roman"/>
          <w:color w:val="000000" w:themeColor="text1"/>
          <w:sz w:val="16"/>
          <w:szCs w:val="16"/>
        </w:rPr>
        <w:softHyphen/>
        <w:t>лить закалкой ее на высокую твердость.</w:t>
      </w:r>
    </w:p>
    <w:p w14:paraId="259524C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 200 должен был начать выпуск таких корпусов уже с 1 июня 1944 г., но лишь в середине месяца йервые се</w:t>
      </w:r>
      <w:r w:rsidRPr="007224C3">
        <w:rPr>
          <w:rFonts w:ascii="Times New Roman" w:hAnsi="Times New Roman"/>
          <w:color w:val="000000" w:themeColor="text1"/>
          <w:sz w:val="16"/>
          <w:szCs w:val="16"/>
        </w:rPr>
        <w:softHyphen/>
        <w:t>рийные танки «ИС-2 обр. 1944 г.» с новой конструкцией носового узла («со спрямленным носом», «без излома», «без дырки во лбу») пошли на фронт. Причем поскольку они выпускались параллельно с корпусами старого типа, то окончательный переход состоялся лишь в середине июля.</w:t>
      </w:r>
    </w:p>
    <w:p w14:paraId="65B018D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башней дело обстояло хуже. Несмотря на все попыт</w:t>
      </w:r>
      <w:r w:rsidRPr="007224C3">
        <w:rPr>
          <w:rFonts w:ascii="Times New Roman" w:hAnsi="Times New Roman"/>
          <w:color w:val="000000" w:themeColor="text1"/>
          <w:sz w:val="16"/>
          <w:szCs w:val="16"/>
        </w:rPr>
        <w:softHyphen/>
        <w:t>ки усилить ее бронирование, сделать это ввиду большой массы артсистемы не представлялось возможным, так как всякое увеличение массы передней части башни приводи</w:t>
      </w:r>
      <w:r w:rsidRPr="007224C3">
        <w:rPr>
          <w:rFonts w:ascii="Times New Roman" w:hAnsi="Times New Roman"/>
          <w:color w:val="000000" w:themeColor="text1"/>
          <w:sz w:val="16"/>
          <w:szCs w:val="16"/>
        </w:rPr>
        <w:softHyphen/>
        <w:t>ло к увеличению неуравновешенности ее на погоне и к не</w:t>
      </w:r>
      <w:r w:rsidRPr="007224C3">
        <w:rPr>
          <w:rFonts w:ascii="Times New Roman" w:hAnsi="Times New Roman"/>
          <w:color w:val="000000" w:themeColor="text1"/>
          <w:sz w:val="16"/>
          <w:szCs w:val="16"/>
        </w:rPr>
        <w:softHyphen/>
        <w:t>допустимому росту усилия на рукоятке поворотного меха</w:t>
      </w:r>
      <w:r w:rsidRPr="007224C3">
        <w:rPr>
          <w:rFonts w:ascii="Times New Roman" w:hAnsi="Times New Roman"/>
          <w:color w:val="000000" w:themeColor="text1"/>
          <w:sz w:val="16"/>
          <w:szCs w:val="16"/>
        </w:rPr>
        <w:softHyphen/>
        <w:t>низма. Требовалась принципиально новая башня, и в сен</w:t>
      </w:r>
      <w:r w:rsidRPr="007224C3">
        <w:rPr>
          <w:rFonts w:ascii="Times New Roman" w:hAnsi="Times New Roman"/>
          <w:color w:val="000000" w:themeColor="text1"/>
          <w:sz w:val="16"/>
          <w:szCs w:val="16"/>
        </w:rPr>
        <w:softHyphen/>
        <w:t>тябре она была разработана, но поскольку уже рассматри</w:t>
      </w:r>
      <w:r w:rsidRPr="007224C3">
        <w:rPr>
          <w:rFonts w:ascii="Times New Roman" w:hAnsi="Times New Roman"/>
          <w:color w:val="000000" w:themeColor="text1"/>
          <w:sz w:val="16"/>
          <w:szCs w:val="16"/>
        </w:rPr>
        <w:softHyphen/>
        <w:t>вался вопрос о переходе на выпуск нового танка, указан</w:t>
      </w:r>
      <w:r w:rsidRPr="007224C3">
        <w:rPr>
          <w:rFonts w:ascii="Times New Roman" w:hAnsi="Times New Roman"/>
          <w:color w:val="000000" w:themeColor="text1"/>
          <w:sz w:val="16"/>
          <w:szCs w:val="16"/>
        </w:rPr>
        <w:softHyphen/>
        <w:t>ную башню осваивать в серии не стали... (11135).</w:t>
      </w:r>
    </w:p>
    <w:p w14:paraId="2FB4EAC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A0DBB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марте, мае и сентябре 1944 г. испытания стрельбой Су-76 с 85мм пушкой показали, что реакция отдачи на шасси чрезмерна. Машина испытывает значительное раскачивание корпуса, затрудняющее прицеливание при ведении огня по движу</w:t>
      </w:r>
      <w:r w:rsidRPr="007224C3">
        <w:rPr>
          <w:rFonts w:ascii="Times New Roman" w:hAnsi="Times New Roman"/>
          <w:color w:val="000000" w:themeColor="text1"/>
          <w:sz w:val="16"/>
          <w:szCs w:val="16"/>
        </w:rPr>
        <w:softHyphen/>
        <w:t>щейся цели. Для уменьшения раскачивания требовалось снизить реакцию отдачи, по крайней мере, на треть. "Вскоре требования на такое орудие были выданы ОКБ завода № 92. Руководил работами по новому орудию А.Са</w:t>
      </w:r>
      <w:r w:rsidRPr="007224C3">
        <w:rPr>
          <w:rFonts w:ascii="Times New Roman" w:hAnsi="Times New Roman"/>
          <w:color w:val="000000" w:themeColor="text1"/>
          <w:sz w:val="16"/>
          <w:szCs w:val="16"/>
        </w:rPr>
        <w:softHyphen/>
        <w:t>вин. Причем для упрощения массового выпуска конструк</w:t>
      </w:r>
      <w:r w:rsidRPr="007224C3">
        <w:rPr>
          <w:rFonts w:ascii="Times New Roman" w:hAnsi="Times New Roman"/>
          <w:color w:val="000000" w:themeColor="text1"/>
          <w:sz w:val="16"/>
          <w:szCs w:val="16"/>
        </w:rPr>
        <w:softHyphen/>
        <w:t>торы заимствовали большую часть механизмов пушки от ЗИС-С-53, серийно производимой здесь для Т-34. В нояб</w:t>
      </w:r>
      <w:r w:rsidRPr="007224C3">
        <w:rPr>
          <w:rFonts w:ascii="Times New Roman" w:hAnsi="Times New Roman"/>
          <w:color w:val="000000" w:themeColor="text1"/>
          <w:sz w:val="16"/>
          <w:szCs w:val="16"/>
        </w:rPr>
        <w:softHyphen/>
        <w:t xml:space="preserve">ре 1944 г. пушка, </w:t>
      </w:r>
      <w:r w:rsidRPr="007224C3">
        <w:rPr>
          <w:rFonts w:ascii="Times New Roman" w:hAnsi="Times New Roman"/>
          <w:color w:val="000000" w:themeColor="text1"/>
          <w:sz w:val="16"/>
          <w:szCs w:val="16"/>
        </w:rPr>
        <w:lastRenderedPageBreak/>
        <w:t>получившая индекс ЛБ-2, была готова, но только в январе 1945 г. военные допустили ее для испыта</w:t>
      </w:r>
      <w:r w:rsidRPr="007224C3">
        <w:rPr>
          <w:rFonts w:ascii="Times New Roman" w:hAnsi="Times New Roman"/>
          <w:color w:val="000000" w:themeColor="text1"/>
          <w:sz w:val="16"/>
          <w:szCs w:val="16"/>
        </w:rPr>
        <w:softHyphen/>
        <w:t>ний. Она отличалась от С-53 немного облегченной конст</w:t>
      </w:r>
      <w:r w:rsidRPr="007224C3">
        <w:rPr>
          <w:rFonts w:ascii="Times New Roman" w:hAnsi="Times New Roman"/>
          <w:color w:val="000000" w:themeColor="text1"/>
          <w:sz w:val="16"/>
          <w:szCs w:val="16"/>
        </w:rPr>
        <w:softHyphen/>
        <w:t>рукцией и двухкамерным дульным тормозом (11417).</w:t>
      </w:r>
    </w:p>
    <w:p w14:paraId="1819F77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738417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марте 1944 г. в КБ Горьконского автозавода был создан Бронеавтомобиль БА-64Б с 7,62-мм пулеметом СГ-43. Опытный образец бронеав</w:t>
      </w:r>
      <w:r w:rsidRPr="007224C3">
        <w:rPr>
          <w:rFonts w:ascii="Times New Roman" w:hAnsi="Times New Roman"/>
          <w:color w:val="000000" w:themeColor="text1"/>
          <w:sz w:val="16"/>
          <w:szCs w:val="16"/>
        </w:rPr>
        <w:softHyphen/>
        <w:t>томобиля прошел испытания на НИ ВТ полигоне в апреле того же года. На вооружение не принимался и и серийном производстве не состоял (10703).</w:t>
      </w:r>
    </w:p>
    <w:p w14:paraId="0435326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7DB52A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марте 1944 разрабатывался, но не был внедрен облегченный передний карданный вал на ГАЗ-67 (9638).</w:t>
      </w:r>
    </w:p>
    <w:p w14:paraId="03FF14E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BD1D741" w14:textId="77777777" w:rsidR="006B6140" w:rsidRPr="007224C3" w:rsidRDefault="006B614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марте 1944 года в НКХП прошло специальное совещание руководящих работников цехов снаряжения химбоеприпасов. Выявилось много негативных фактов. Представители заводов говорили, что большой процент операций по наливу ОВ в боеприпасы выполняется вручную, что из-за гонки за планом на производстве сохраняется крайне низкий уровень организации труда, что разливы ОВ в цехах по той же причине стали чуть ли не нормой, и это оказывает «крайне отрицательное влияние на санитарное состояние снаряжательных цехов». Но даже после этого очередное постановление ГКО СССР от 18 января 1945 года о безусловном выполнении плана поставок химбоеприпасов на склады выполнялось очень трудно (18649).</w:t>
      </w:r>
    </w:p>
    <w:p w14:paraId="6C3BC3AF" w14:textId="77777777" w:rsidR="006B6140" w:rsidRPr="007224C3" w:rsidRDefault="006B6140" w:rsidP="007224C3">
      <w:pPr>
        <w:spacing w:after="0" w:line="240" w:lineRule="auto"/>
        <w:jc w:val="both"/>
        <w:rPr>
          <w:rFonts w:ascii="Times New Roman" w:hAnsi="Times New Roman"/>
          <w:color w:val="000000" w:themeColor="text1"/>
          <w:sz w:val="16"/>
          <w:szCs w:val="16"/>
        </w:rPr>
      </w:pPr>
    </w:p>
    <w:p w14:paraId="4BCF002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марте 1944 г. завод № 371 (Завод № 371 ИМ. Сталина НКВ, Компания Санкт-Петербургского металлического завода, Петроградский металлический завод, Ленинградский металлический завод (JIM3) крупного машиностроения, Государственный завод ВТУЗ им. Сталина, ЛМЗ ВТУЗ им. Сталина НКТП, НКМ, Завод им. Сталина НКОП, Минтяжмаша, МТиТМ, Дважды ордена Ленина ЛМЗ им. XXII съезда КПСС, АООТ, ОАО «ЛМЗ» / г. Санкт-Петербург,  г. Петроград,  г. Ленинград/ /195009  г. Санкт-Петербург Свердловская наб., д. 18 тел. 593-70-01/) передан в ведение Главкотлотурбопрома НКТМ и вновь переименован в ЛМЗ им. Сталина. С 28.02.1953 г. — в ведении Главкотлотурбопрома МТиТМ, с 1957 г. - Управления тяжелого машиностроения ЛенСНХ. С 01.1962 г. - Дважды ордена Ленина ЛМЗ им. XXII съезда КПСС, с 11.1965 г. - в ведении ГУ турбинной промышленности Министерства тяжелого, энергетического и транспортного машиностроения. По приказу от 28.08.1975 г. завод вошел в состав ПО турбостроения, с 1988 г. - в составе объединения «Энергомаш».</w:t>
      </w:r>
    </w:p>
    <w:p w14:paraId="5F4550C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После войны завод реконструирован, построены новые цехи. В 08.1974 г. на заводе произошел пожар, в результате которого сгорели три цеха (в т.ч. по изготовлению ПУ для ПКР «Базальт»).</w:t>
      </w:r>
      <w:r w:rsidRPr="007224C3">
        <w:rPr>
          <w:rFonts w:ascii="Times New Roman" w:hAnsi="Times New Roman"/>
          <w:color w:val="000000" w:themeColor="text1"/>
          <w:sz w:val="16"/>
          <w:szCs w:val="16"/>
          <w:vertAlign w:val="superscript"/>
        </w:rPr>
        <w:t>142</w:t>
      </w:r>
    </w:p>
    <w:p w14:paraId="0137B04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1949 г. велось производство морской артиллерийской башенной установки МК-5бис, пост. СМ № 1846-987 от 29.10.1955 г. оно прекращено.</w:t>
      </w:r>
    </w:p>
    <w:p w14:paraId="5071E45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1956 г. на заводе проведен эксперимент по проверке отсутствия соударения ракеты Р-7 со стартовым комплексом при старте. Для этого на заводе изготовлена траверса, на которой поднимали ракету.</w:t>
      </w:r>
      <w:r w:rsidRPr="007224C3">
        <w:rPr>
          <w:rFonts w:ascii="Times New Roman" w:hAnsi="Times New Roman"/>
          <w:color w:val="000000" w:themeColor="text1"/>
          <w:sz w:val="16"/>
          <w:szCs w:val="16"/>
          <w:vertAlign w:val="superscript"/>
        </w:rPr>
        <w:t>77</w:t>
      </w:r>
    </w:p>
    <w:p w14:paraId="3C529E7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1956 г. начат выпуск газовых турбин. Всего на ЛМЗ изготовлено (на начало 2000-х  г.) 2750 турбин. В 1958 г. начат выпуск газотурбинных установок.</w:t>
      </w:r>
    </w:p>
    <w:p w14:paraId="48957ED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1970 г. спроектирована гидротурбина для Саянской ГЭС мощностью 815 МВт.</w:t>
      </w:r>
    </w:p>
    <w:p w14:paraId="2A2FC88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25.11.1992 г. завод акционирован и преобразован в АООТ, затем - ОАО ЛМЗ.</w:t>
      </w:r>
      <w:r w:rsidRPr="007224C3">
        <w:rPr>
          <w:rFonts w:ascii="Times New Roman" w:hAnsi="Times New Roman"/>
          <w:color w:val="000000" w:themeColor="text1"/>
          <w:sz w:val="16"/>
          <w:szCs w:val="16"/>
          <w:vertAlign w:val="superscript"/>
        </w:rPr>
        <w:t>131</w:t>
      </w:r>
    </w:p>
    <w:p w14:paraId="062C0B3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2000-х  г. часть площадей завода передана ЗАО «Яровит моторе», организовано производство грузовиков собственной конструкции.</w:t>
      </w:r>
    </w:p>
    <w:p w14:paraId="62B78E6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Производство (2000-е  г.): газотурбинные установки; паровые турбины для ТЭЦ, АЭС.</w:t>
      </w:r>
    </w:p>
    <w:p w14:paraId="36DEF98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ЛМЗ являлся филиалом концерна «Силовые машины» (2002 г.).</w:t>
      </w:r>
    </w:p>
    <w:p w14:paraId="2318AB4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Численность персонала (1996 г.)- 9970 чел., (1998 г.)- около 5 тыс. чел.</w:t>
      </w:r>
    </w:p>
    <w:p w14:paraId="046EC15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(12.1937 г.)- Тылочкин, (-09-11.1938 г.-)- Н. Г. Никитин, (02.1942 г.)- Седов.</w:t>
      </w:r>
      <w:r w:rsidRPr="007224C3">
        <w:rPr>
          <w:rFonts w:ascii="Times New Roman" w:hAnsi="Times New Roman"/>
          <w:color w:val="000000" w:themeColor="text1"/>
          <w:sz w:val="16"/>
          <w:szCs w:val="16"/>
          <w:vertAlign w:val="superscript"/>
        </w:rPr>
        <w:t>65</w:t>
      </w:r>
      <w:r w:rsidRPr="007224C3">
        <w:rPr>
          <w:rFonts w:ascii="Times New Roman" w:hAnsi="Times New Roman"/>
          <w:color w:val="000000" w:themeColor="text1"/>
          <w:sz w:val="16"/>
          <w:szCs w:val="16"/>
        </w:rPr>
        <w:t xml:space="preserve"> Гендиректор (-1998-99 г.- )- В. Чернышев, (-2003-02.2004 г.)- В. Шевченко, (02.2004 г.-)- И. Сорочан.</w:t>
      </w:r>
    </w:p>
    <w:p w14:paraId="27FB1F1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1-й зам. Гендиректора (-1990 г.)- В.К. Глухих. Зам. гендиректора (-02.2004 г.)- И. Сорочан.</w:t>
      </w:r>
      <w:r w:rsidRPr="007224C3">
        <w:rPr>
          <w:rFonts w:ascii="Times New Roman" w:hAnsi="Times New Roman"/>
          <w:color w:val="000000" w:themeColor="text1"/>
          <w:sz w:val="16"/>
          <w:szCs w:val="16"/>
          <w:vertAlign w:val="superscript"/>
        </w:rPr>
        <w:t>1ш</w:t>
      </w:r>
      <w:r w:rsidRPr="007224C3">
        <w:rPr>
          <w:rFonts w:ascii="Times New Roman" w:hAnsi="Times New Roman"/>
          <w:color w:val="000000" w:themeColor="text1"/>
          <w:sz w:val="16"/>
          <w:szCs w:val="16"/>
        </w:rPr>
        <w:t>*</w:t>
      </w:r>
      <w:r w:rsidRPr="007224C3">
        <w:rPr>
          <w:rFonts w:ascii="Times New Roman" w:hAnsi="Times New Roman"/>
          <w:color w:val="000000" w:themeColor="text1"/>
          <w:sz w:val="16"/>
          <w:szCs w:val="16"/>
          <w:vertAlign w:val="superscript"/>
        </w:rPr>
        <w:t>йпмоГ8</w:t>
      </w:r>
    </w:p>
    <w:p w14:paraId="67E36C1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Технический директор (04.1937 г.)-проф. М.И. Гринбер г.</w:t>
      </w:r>
    </w:p>
    <w:p w14:paraId="1AB6D94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инженер (11.1938 г.)- Н. Г. Шанцев, (-1990 г.)- В.К. Глухих.</w:t>
      </w:r>
      <w:r w:rsidRPr="007224C3">
        <w:rPr>
          <w:rFonts w:ascii="Times New Roman" w:hAnsi="Times New Roman"/>
          <w:color w:val="000000" w:themeColor="text1"/>
          <w:sz w:val="16"/>
          <w:szCs w:val="16"/>
          <w:vertAlign w:val="superscript"/>
        </w:rPr>
        <w:t>49</w:t>
      </w:r>
    </w:p>
    <w:p w14:paraId="73B9EBE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Помощник гл. инженера (-1912-14 г.-)- В. Смыслов.</w:t>
      </w:r>
    </w:p>
    <w:p w14:paraId="3E9BF3D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технолог (1938 г.)- Захаров.</w:t>
      </w:r>
    </w:p>
    <w:p w14:paraId="7FE5F00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Начальники цехов: котельного (1912 г.)- Ф.К. Тихонов; (1946 г.)- В.А. Носанов.</w:t>
      </w:r>
    </w:p>
    <w:p w14:paraId="3336C2A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 отделами: судостроительным (1912 г.)- И.П. Косюра. Начальники отделов: подготовки производства (1938 г.)- Вихерев. Начальник УКС (09.1938 г.)- Александров.</w:t>
      </w:r>
    </w:p>
    <w:p w14:paraId="56D5F61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строитель (1913 г.-)- В.Н. Корнилович.</w:t>
      </w:r>
    </w:p>
    <w:p w14:paraId="694F2C31" w14:textId="77777777" w:rsidR="00C71B1D"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iCs/>
          <w:color w:val="000000" w:themeColor="text1"/>
          <w:sz w:val="16"/>
          <w:szCs w:val="16"/>
        </w:rPr>
        <w:t>Производство:</w:t>
      </w:r>
      <w:r w:rsidRPr="007224C3">
        <w:rPr>
          <w:rFonts w:ascii="Times New Roman" w:hAnsi="Times New Roman"/>
          <w:color w:val="000000" w:themeColor="text1"/>
          <w:sz w:val="16"/>
          <w:szCs w:val="16"/>
        </w:rPr>
        <w:t xml:space="preserve"> ПЛ С.К. Джевецкого «Почтовый» (1906-), эсминец типа «Орфей» (1917)- 8, тральщик типа «Ударник» (1917-, не достроены)- 8;</w:t>
      </w:r>
      <w:r w:rsidRPr="007224C3">
        <w:rPr>
          <w:rFonts w:ascii="Times New Roman" w:hAnsi="Times New Roman"/>
          <w:iCs/>
          <w:color w:val="000000" w:themeColor="text1"/>
          <w:sz w:val="16"/>
          <w:szCs w:val="16"/>
        </w:rPr>
        <w:t xml:space="preserve"> артиллерийские башни:</w:t>
      </w:r>
      <w:r w:rsidRPr="007224C3">
        <w:rPr>
          <w:rFonts w:ascii="Times New Roman" w:hAnsi="Times New Roman"/>
          <w:color w:val="000000" w:themeColor="text1"/>
          <w:sz w:val="16"/>
          <w:szCs w:val="16"/>
        </w:rPr>
        <w:t xml:space="preserve"> 305-мм для броненосцев «Сисой Великий», «Полтава», «Севастополь», «Ретвюан», «Бородино», «Орел», «Слава» (1890-е), для линкора «Севастополь» (1910)- 4, 152-мм для крейсера «Олег» (1901), 203-мм для броненосцев типа «Император Павел I» (1906-), для линкоров пр. 23 (1930-е), для крейсеров пр. 26бис (1930-е), 3-орудийная 305-мм (1937); морская артустановка 180-мм МУ-1 (1947-8)- 12, 3-орудийные 152-мм МК-5 для пр. 68К (1948-49)- 20, МК-5бис (1949-55)- 88; подводные торпедные аппараты для броненосцев (1890-е);</w:t>
      </w:r>
      <w:r w:rsidRPr="007224C3">
        <w:rPr>
          <w:rFonts w:ascii="Times New Roman" w:hAnsi="Times New Roman"/>
          <w:iCs/>
          <w:color w:val="000000" w:themeColor="text1"/>
          <w:sz w:val="16"/>
          <w:szCs w:val="16"/>
        </w:rPr>
        <w:t xml:space="preserve"> турбины:</w:t>
      </w:r>
      <w:r w:rsidRPr="007224C3">
        <w:rPr>
          <w:rFonts w:ascii="Times New Roman" w:hAnsi="Times New Roman"/>
          <w:color w:val="000000" w:themeColor="text1"/>
          <w:sz w:val="16"/>
          <w:szCs w:val="16"/>
        </w:rPr>
        <w:t xml:space="preserve"> судовые Кертис-АЭГ-Вулкан для эсминцев (1913); для Индийской АЭС; судовые котлы Вулкан-Ярроу для эсминцев (1913); механизмы: для эсминцев серии «Ж» (1900-е), пр. 7 (1930-е); ПУ для ПКР «Базальт» (1970-е); ГТК-10 для газоперекачивающих станций; гидроагрегаты: для Красноярской ГЭС мощностью 508 МВт (1965), для Саяно-Шушенской ГЭС по 640 МВт (1970-е)-10.</w:t>
      </w:r>
    </w:p>
    <w:p w14:paraId="1D5F517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КБ-1 ЛМЗ</w:t>
      </w:r>
    </w:p>
    <w:p w14:paraId="6CC4C06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 ВОВ - разработка корабельных артиллерийских башен.</w:t>
      </w:r>
      <w:r w:rsidRPr="007224C3">
        <w:rPr>
          <w:rFonts w:ascii="Times New Roman" w:hAnsi="Times New Roman"/>
          <w:color w:val="000000" w:themeColor="text1"/>
          <w:sz w:val="16"/>
          <w:szCs w:val="16"/>
          <w:vertAlign w:val="superscript"/>
        </w:rPr>
        <w:t>61</w:t>
      </w:r>
      <w:r w:rsidRPr="007224C3">
        <w:rPr>
          <w:rFonts w:ascii="Times New Roman" w:hAnsi="Times New Roman"/>
          <w:color w:val="000000" w:themeColor="text1"/>
          <w:sz w:val="16"/>
          <w:szCs w:val="16"/>
        </w:rPr>
        <w:t xml:space="preserve"> В 1920-е  г. разработаны артустановки главного калибра МК-1-180 на базе орудия Б-1 для крейсера «Красный Кавказ», МК-3-180 для крейсера «Ворошилов». Для крейсера пр. 69 разработана башня МК-15 для 305-мм пушки Б-50. В 1938 г. разработаны башни для 152-мм пушки Б-38: двухорудийные МК-4 для линкора пр. 23, МК-17 для крейсера пр. 69; трехорудийная МК-5 для крейсера пр. 68. В 1940 г. спроектирована 2-орудийная башня МК-18 со 130-мм пушками Б-51 для крейсера пр. МК-6.</w:t>
      </w:r>
    </w:p>
    <w:p w14:paraId="53172E6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конце 1940-х  г. начата разработка 3-орудийной башенной установки СМ-31 для 305-мм пушек СМ-33 (совместно с ЦКБ-34), в 1953 г. работы прекращены.</w:t>
      </w:r>
    </w:p>
    <w:p w14:paraId="3B5B00CD" w14:textId="77777777" w:rsidR="00C71B1D"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Заведующий (1920-е)- Р.Н. Вульф. Начальник (-1941 г.)- Т.Д. Вылкост.</w:t>
      </w:r>
    </w:p>
    <w:p w14:paraId="2D3A8FD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ОАО «Силовые машины»</w:t>
      </w:r>
    </w:p>
    <w:p w14:paraId="3AACFD0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Концерн «Силовые машины» создан в 2000 г. Производитель гидрогенераторных турбин, оборудования машинных залов электростанций, в т.ч. атомных. В концерн входили в качестве филиалов ЛМЗ, ОАО «Электросила» (с 2000 г.), АО «Завод турбинных лопаток» (ЗТЛ), Калужский турбинный завод (КТЗ). Входил в ФПГ «Интеррос». В 12.2003 г. начался процесс объединения с ОМЗ, с образованием холдинга «ОМЗ-СМ».</w:t>
      </w:r>
    </w:p>
    <w:p w14:paraId="1972D74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1-й зам. гендиректора (2003 г.)- М. Наумченко. Зам. гендиректора: по экономике и финансам (-2003-07.2005 г.)- Н. Кузнецов, (03.2006 г.-)- В. Рогожев; (2004 г.)- О. Юхтенко, (2004 г.)- В. Шевченко, (09.2006 г.-)- И. Дубинников.</w:t>
      </w:r>
    </w:p>
    <w:p w14:paraId="65BA407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управляющий (10.2006-07 г.-)- А. Чуваев; по стратегии и корпоративным вопросам (-2003-04 г.-)- П. Скитович, по стратегическому развитию и контроллингу (11.2007 г.-)- А. Ранцев; по экономике и финансам (11.2007 г.-)- В. Чечнев; по промышленной интеграции (-2004 г.)- В. Шевченко; административный (09.2006 г.-)- И. Дубинников; по управлению персоналом (-2006-07 г.-)- О. Г. Морозова; по информационным технологиям (2006 г.)- А.Е. Никитин; по общественным связям и рекламе (2006 г.)- В.В. Вергельская.</w:t>
      </w:r>
    </w:p>
    <w:p w14:paraId="35482ED6" w14:textId="77777777" w:rsidR="00C71B1D"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Начальники управлений: информационных технологий (2007 г.)- А.Л. Банкевич.</w:t>
      </w:r>
    </w:p>
    <w:p w14:paraId="2D39892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Глухоозерский механический завод, Завод «Металлокомбинат» ММП РСФСР, Ленинградский государственный завод турбинных лопаток (ЗТЛ) им. 50-летня СССР, АООТ, ОАО «ЗТЛ» /г. Санкт-Петербург/</w:t>
      </w:r>
    </w:p>
    <w:p w14:paraId="134F8CF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Глухоозерский механический завод основан в 1914 г.</w:t>
      </w:r>
    </w:p>
    <w:p w14:paraId="6DDF938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приказу Ленгортреста местной промышленности от 30.03.1932 г. на базе Глухоозерского мехзавода открыт завод «Металлокомбинат». Пост. СМ РСФСР от 14.09.1954 г. завод передан в ведение ГУ металлопрокатных и чугунно-литейных заводов ММП РСФСР. С 07.1957 г. - в ведении Управления металлургической промышленности ЛенСНХ, с 01.1964 г. - Управления тяжелого машиностроения ЛенСНХ. В конце 1965 г. передан Министерству тяжелого, энергетического и транспортного машиностроения и переименован в Ленинградский государственный ЗТЛ. 6.02.1981 г. на базе завода создано ПО «Ленинградский ЗТЛ».</w:t>
      </w:r>
    </w:p>
    <w:p w14:paraId="352AA96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18.12.1992 г. завод преобразован в АООТ, затем - ОАО «ЗТЛ».</w:t>
      </w:r>
      <w:r w:rsidRPr="007224C3">
        <w:rPr>
          <w:rFonts w:ascii="Times New Roman" w:hAnsi="Times New Roman"/>
          <w:color w:val="000000" w:themeColor="text1"/>
          <w:sz w:val="16"/>
          <w:szCs w:val="16"/>
          <w:vertAlign w:val="superscript"/>
        </w:rPr>
        <w:t>131</w:t>
      </w:r>
    </w:p>
    <w:p w14:paraId="40B1EA3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Гендиректор (-2003-04 г.-)- А.П. Балашов. Директор филиала (2005 г.)- А.П. Балашов (11982).</w:t>
      </w:r>
    </w:p>
    <w:p w14:paraId="04728431" w14:textId="77777777" w:rsidR="00C71B1D" w:rsidRPr="007224C3" w:rsidRDefault="00C71B1D" w:rsidP="007224C3">
      <w:pPr>
        <w:autoSpaceDE w:val="0"/>
        <w:autoSpaceDN w:val="0"/>
        <w:adjustRightInd w:val="0"/>
        <w:spacing w:after="0" w:line="240" w:lineRule="auto"/>
        <w:jc w:val="both"/>
        <w:rPr>
          <w:rFonts w:ascii="Times New Roman" w:hAnsi="Times New Roman"/>
          <w:color w:val="000000" w:themeColor="text1"/>
          <w:sz w:val="16"/>
          <w:szCs w:val="16"/>
        </w:rPr>
      </w:pPr>
    </w:p>
    <w:p w14:paraId="3846013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марте 1944 г. на завод № 531 НКЭП с завода № 149 НКАП переданы работы по морским измерительным приборам. Производство приборов. За время блокады изготовлено около 100 тыс. приборов.</w:t>
      </w:r>
    </w:p>
    <w:p w14:paraId="70A9D51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1946 г. завод - в ведении МЭП. По приказу МЭП от 10.06.1954 г. завод № 531 переименован в ГС ленинградский завод электроизмерительных приборов «Вибратор». С 06.1957 г. завод - в ведении Управления приборостроительной промышленности ЛенСНХ, с 1958 г.- Управления агрегатостроения и приборостроения ЛенСНХ, с 19.11.1965 г. - ГУ по производству электроизмерительных прибров и средств точной механики МПиСА.</w:t>
      </w:r>
      <w:r w:rsidRPr="007224C3">
        <w:rPr>
          <w:rFonts w:ascii="Times New Roman" w:hAnsi="Times New Roman"/>
          <w:color w:val="000000" w:themeColor="text1"/>
          <w:sz w:val="16"/>
          <w:szCs w:val="16"/>
          <w:vertAlign w:val="superscript"/>
        </w:rPr>
        <w:t>131</w:t>
      </w:r>
    </w:p>
    <w:p w14:paraId="3E6127C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1993 г. завод акционирован и преобразован в Приборостроительное АООТ, а затем - ОАО «Приборостроительный завод «Вибратор».</w:t>
      </w:r>
    </w:p>
    <w:p w14:paraId="303FD55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Отраслевая лаборатория измерений (ОЛИЗ) НКАП, НКЭП, Всероссийский институт по приборостроению (ВИЭП), Ленинградский институт приборостроения</w:t>
      </w:r>
    </w:p>
    <w:p w14:paraId="1BE8082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ОЛИЗ организована в 1937 г. По Указу Президиума ВС СССР от 17.04.1940 г. ОЛИЗ передана из 7ГУ НКАП в НКЭП. В 01.1941 г. на базе ОЛИЗ создан Всероссийский институт по приборостроению (ВИЭП, далее- завод № 531 НКЭП).</w:t>
      </w:r>
    </w:p>
    <w:p w14:paraId="2F8CA33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02-03.1942 г. группа из 14 специалистов института переведена на завод № 634 НКЭП в Омск (11982).</w:t>
      </w:r>
    </w:p>
    <w:p w14:paraId="415D7A6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A2D6E9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марта 1944 года освоением и самостоятельной разработкой радиолокационных станций обнаружения и управления торпедной, артиллерийской и ракетной стрельбой начал заниматься завод 703, созданный, как упоминалось, на месте эвакуированного завода 251. Первым директором вновь созданного предприятия стал С. М. Владимирский. Поначалу здесь осваивали корабельные станции, разработанные в НИИ-20, а затем пошла продукция, разработанная уже в собственном (при заводе) ОКБ-703 (9921).</w:t>
      </w:r>
    </w:p>
    <w:p w14:paraId="7BF8D1B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392A6DD" w14:textId="77777777" w:rsidR="00C71B1D" w:rsidRPr="007224C3" w:rsidRDefault="00C71B1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марта 1944 года освоением и самостоятельной разработкой радиолокационных станций обнаружения и управления артиллерийской и торпедной стрельбой начал заниматься завод № 703. Начало было положено освоением РЛС «Пегматит», затем на освоение были взяты корабельные РЛС разработки НИИ-20 «Гюйс», «Гюйс-1», «Гюйс-1М». Но уже в том же 1944 г. силами собственного ОКБ-703 была начата разработка панорамной РЛС воздушных целей «Гюйс-2». В составе первой группы разработчиков был Г.И. Зевин (1912—?), В.А. Кузнецов (р. в 1912 г., с 1946 г. – заместитель главного конструктора разработки), с 1945 г. главным конструктором разработки стал А.И. Патрикеев. Правда, до конца войны из всего семейства РЛС «Гюйс» были установлены на кораблях (эсминцах) только три станции (15736).</w:t>
      </w:r>
    </w:p>
    <w:p w14:paraId="7C181B1D" w14:textId="77777777" w:rsidR="00C71B1D" w:rsidRPr="007224C3" w:rsidRDefault="00C71B1D" w:rsidP="007224C3">
      <w:pPr>
        <w:spacing w:after="0" w:line="240" w:lineRule="auto"/>
        <w:jc w:val="both"/>
        <w:rPr>
          <w:rFonts w:ascii="Times New Roman" w:hAnsi="Times New Roman"/>
          <w:color w:val="000000" w:themeColor="text1"/>
          <w:sz w:val="16"/>
          <w:szCs w:val="16"/>
        </w:rPr>
      </w:pPr>
    </w:p>
    <w:p w14:paraId="43D5158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марте 1944 заложены 2 БМО, строились 7 МБК и 5 БМО, завершен ремонт 3 ПЛ. На Балтийском заводе в разных стадиях готовности находились 22 стотонника: 7 достраивались на плаву (в том числе производились мелкие работы на головном), 11 строились на стапельных местах, для 4 ТЩ типа МТ-2 велась заготовка секций. На ремонте стояли линкор, 2 крейсера, 4 эсминца и 5 ПЛ. Адмиралтейцы по плану кооперации изготовляли электрошпили и мебель для МТ. Ждановцы строили 8 ТЩ типа МТ-1 (10671).</w:t>
      </w:r>
    </w:p>
    <w:p w14:paraId="60A7CEC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0B3C5D7"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2BB9890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7CA5C5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марте 1944 АДД выполнила массированный налет на Таллин. АЛЛ поддерживала операции по освобождению Крыма (в частности, парализовала работу портов Констанца и Галац, через которые осу</w:t>
      </w:r>
      <w:r w:rsidRPr="007224C3">
        <w:rPr>
          <w:rFonts w:ascii="Times New Roman" w:hAnsi="Times New Roman"/>
          <w:color w:val="000000" w:themeColor="text1"/>
          <w:sz w:val="16"/>
          <w:szCs w:val="16"/>
        </w:rPr>
        <w:softHyphen/>
        <w:t>ществлялась связь с блокированным полуостровом). Бомбили и позиции немцев непосредственно под Севасто</w:t>
      </w:r>
      <w:r w:rsidRPr="007224C3">
        <w:rPr>
          <w:rFonts w:ascii="Times New Roman" w:hAnsi="Times New Roman"/>
          <w:color w:val="000000" w:themeColor="text1"/>
          <w:sz w:val="16"/>
          <w:szCs w:val="16"/>
        </w:rPr>
        <w:softHyphen/>
        <w:t>полем (10734,81).</w:t>
      </w:r>
    </w:p>
    <w:p w14:paraId="794508B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6C142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марте 1944 последовал массированный налет на Таллин. АДД поддерживала операции по освобождению Крыма (в частности, парализовала работу портов Констанца и Галац, через которые осуществлялась связь с блокированным полуостровом). Бомбили и позиции немцев непосредственно под Севастополем. В июне самолеты АДД приняли участие в Белорусской операции. Там задействовали 1226 машин. В основном их целями являлись железнодорожные узлы. Так, Брест бомбили два дня подряд. Дальние бомбардировщики до конца года наносили удары по целям вдоль всего фронта, а также эпизодически совершали рейды в глубокий тыл немцев (12021).</w:t>
      </w:r>
    </w:p>
    <w:p w14:paraId="154E9EC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42CD92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марте 1944 г. началось формирование второго полка на самолетах Ер-2 в 1-м гвардейском авиакорпусе ДД - 330-го ап ДД (командир - майор И.У.Петруня). Полк формировался при 8-м ак ДД, откуда прибыли все командиры, начиная от комэсков и выше, позднее полк передали в 48-ю Рижскую авиадивизию ДД (3322,46).</w:t>
      </w:r>
    </w:p>
    <w:p w14:paraId="4793B03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DC224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марта 1944 года до конца войны одна только 8-я авиадивизия на Балтике потопила 229 судов и боевых кораблей противника (3457,109).</w:t>
      </w:r>
    </w:p>
    <w:p w14:paraId="231B875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22BE2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марте 1944 г. началось формирование 327-го ап ДД на аэродроме Борисполь. Комплектовался полк из летного и технического состава 2-й и 8-й гвардейских авиадивизий ДД, 4-го гвардейского авиакорпуса ДД, 27-й офицерской дивизии АДД, а правые пилоты прибыли из Новосибирской и Ивановской летных школ АДД. Первым командиром полка был назначен гвардии подполковник В.Г. Черниченко (3322,47).</w:t>
      </w:r>
    </w:p>
    <w:p w14:paraId="39E60A4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25287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марте 1944 года советская гражданская авиация имела 79 С-47 разных модификаций) и это позволило выделить часть машин и для наиболее важных внутренних перевозок. Например, группа С-47 вывозила никель из Воркуты и Дудинки, было перевезено около 1500 т. Самолеты 8-го транспортного полка привлекали к доставке золота из Магадана. Кстати сказать, у полновластного "хозяина" тех мест, Дальстроя НКВД, был свои С-47, обслуживавшие и регулярную линию Красной рок - Магадан. Летали эти машины и в Баку, Тбилиси, Краснодар, Куйбышев и другие города страны (3457,137).</w:t>
      </w:r>
    </w:p>
    <w:p w14:paraId="318E8C4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A7CC2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марте 1944 года Бостоны Б-3 доставляли оружие, боеприпасы и продовольствие конно-механизированной группе генерала Плиева, оторвавшейся от источников снабжения. В операции по перехвату поезда с членами болгарского правительства и немецкой миссией на болгаро-турецкой границе участвовали не только транспортные самолеты, но и часть A-20G из 449-го полка с десантом в бомболюках. Небольшое количество "Бостонов" в 1943 году поступило во 2-ю авиадивизию связи на подмосковном аэродроме Мячково. Они использовались для курьерских перевозок (3457,111).</w:t>
      </w:r>
    </w:p>
    <w:p w14:paraId="745061B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C0957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марте 1944 для практического взаимодействия с американцами в ходе челночных полетов образовали 169 авиабазу ОН в Полтаве и ее командиром стал г-м А.Р.Пермин. В США новым базам дали номера 559 (Полтава), 560 (Пирятино), 561 (Миргород) (1261,34).</w:t>
      </w:r>
    </w:p>
    <w:p w14:paraId="59340D0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E4312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Март 1944 года стал первым месяцем в ходе всей войны на Балтике, когда советским морским летчикам удалось нанести врагу не эпизодические потери, а весьма существенный урон (8942).</w:t>
      </w:r>
    </w:p>
    <w:p w14:paraId="193EE28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8495A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марте 1944 г. английские "Спитфайры"-фоторазведчики последний раз прилетали на Кольский полуостров и работали там до конца мая. Из трех отправленных из Сумбурга самолетов один был потерян еще на пути к Мур</w:t>
      </w:r>
      <w:r w:rsidRPr="007224C3">
        <w:rPr>
          <w:rFonts w:ascii="Times New Roman" w:hAnsi="Times New Roman"/>
          <w:color w:val="000000" w:themeColor="text1"/>
          <w:sz w:val="16"/>
          <w:szCs w:val="16"/>
        </w:rPr>
        <w:softHyphen/>
        <w:t>манску. Из-за неполадок с двигателем командир 542-й эскадрильи Фарнисс шел очень низко, и его обстреляли сначала немецкие, а затем советские зенитчики. Последние повредили ему хвостовое оперение, и летчику при</w:t>
      </w:r>
      <w:r w:rsidRPr="007224C3">
        <w:rPr>
          <w:rFonts w:ascii="Times New Roman" w:hAnsi="Times New Roman"/>
          <w:color w:val="000000" w:themeColor="text1"/>
          <w:sz w:val="16"/>
          <w:szCs w:val="16"/>
        </w:rPr>
        <w:softHyphen/>
        <w:t>шлось прыгать. До Мурманска Фар</w:t>
      </w:r>
      <w:r w:rsidRPr="007224C3">
        <w:rPr>
          <w:rFonts w:ascii="Times New Roman" w:hAnsi="Times New Roman"/>
          <w:color w:val="000000" w:themeColor="text1"/>
          <w:sz w:val="16"/>
          <w:szCs w:val="16"/>
        </w:rPr>
        <w:softHyphen/>
        <w:t>нисс добрался поездом. Еще один "Слитфайр" списали пос</w:t>
      </w:r>
      <w:r w:rsidRPr="007224C3">
        <w:rPr>
          <w:rFonts w:ascii="Times New Roman" w:hAnsi="Times New Roman"/>
          <w:color w:val="000000" w:themeColor="text1"/>
          <w:sz w:val="16"/>
          <w:szCs w:val="16"/>
        </w:rPr>
        <w:softHyphen/>
        <w:t>ле вынужденной посадки 19 апреля. 31 мая подразделение 542-й эскадрильи отозвали домой. Последний оставав</w:t>
      </w:r>
      <w:r w:rsidRPr="007224C3">
        <w:rPr>
          <w:rFonts w:ascii="Times New Roman" w:hAnsi="Times New Roman"/>
          <w:color w:val="000000" w:themeColor="text1"/>
          <w:sz w:val="16"/>
          <w:szCs w:val="16"/>
        </w:rPr>
        <w:softHyphen/>
        <w:t>шийся у него самолет передали севе</w:t>
      </w:r>
      <w:r w:rsidRPr="007224C3">
        <w:rPr>
          <w:rFonts w:ascii="Times New Roman" w:hAnsi="Times New Roman"/>
          <w:color w:val="000000" w:themeColor="text1"/>
          <w:sz w:val="16"/>
          <w:szCs w:val="16"/>
        </w:rPr>
        <w:softHyphen/>
        <w:t>роморцам (10790).</w:t>
      </w:r>
    </w:p>
    <w:p w14:paraId="256E0E3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A2553EB" w14:textId="77777777" w:rsidR="00E23482" w:rsidRPr="007224C3" w:rsidRDefault="00E23482"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Жизнь и внутренняя политика:</w:t>
      </w:r>
    </w:p>
    <w:p w14:paraId="5511075B" w14:textId="77777777" w:rsidR="00E23482" w:rsidRPr="007224C3" w:rsidRDefault="00E23482"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954159D" w14:textId="77777777" w:rsidR="00E23482" w:rsidRPr="007224C3" w:rsidRDefault="00E2348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Март 1944. В клубе имени Ленина на Красной Пресне состоялся первый концерт вернувшегося из эмиграции Александра Вертинского. Парижская газета "Русские ведомости" сообщала: "Из Шанхая в Москву вернулся Вертинский... Он привез в дар Красной Армии вагон медикаментов и пятнадцать тысяч долларов... Первый концерт в Политехническом музее не состоялся из-за наплыва публики. Пришлось остановить трамвайное движение и вызвать конную милицию" (18692).</w:t>
      </w:r>
    </w:p>
    <w:p w14:paraId="79CDDC8F" w14:textId="77777777" w:rsidR="00E23482" w:rsidRPr="007224C3" w:rsidRDefault="00E23482" w:rsidP="007224C3">
      <w:pPr>
        <w:spacing w:after="0" w:line="240" w:lineRule="auto"/>
        <w:jc w:val="both"/>
        <w:rPr>
          <w:rFonts w:ascii="Times New Roman" w:hAnsi="Times New Roman"/>
          <w:color w:val="000000" w:themeColor="text1"/>
          <w:sz w:val="16"/>
          <w:szCs w:val="16"/>
        </w:rPr>
      </w:pPr>
    </w:p>
    <w:p w14:paraId="69934073"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511C683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9D63FFF" w14:textId="77777777" w:rsidR="00903E13" w:rsidRPr="007224C3" w:rsidRDefault="00903E13" w:rsidP="007224C3">
      <w:pPr>
        <w:pStyle w:val="a3"/>
        <w:rPr>
          <w:color w:val="000000" w:themeColor="text1"/>
          <w:lang w:val="ru-RU"/>
        </w:rPr>
      </w:pPr>
      <w:r w:rsidRPr="007224C3">
        <w:rPr>
          <w:color w:val="000000" w:themeColor="text1"/>
          <w:lang w:val="ru-RU"/>
        </w:rPr>
        <w:t>В марте 1944 г. началось производство серии Р-8.</w:t>
      </w:r>
    </w:p>
    <w:p w14:paraId="3B6200D0" w14:textId="77777777" w:rsidR="00903E13" w:rsidRPr="007224C3" w:rsidRDefault="00903E13" w:rsidP="007224C3">
      <w:pPr>
        <w:pStyle w:val="a3"/>
        <w:rPr>
          <w:color w:val="000000" w:themeColor="text1"/>
          <w:lang w:val="ru-RU"/>
        </w:rPr>
      </w:pPr>
      <w:r w:rsidRPr="007224C3">
        <w:rPr>
          <w:color w:val="000000" w:themeColor="text1"/>
          <w:lang w:val="ru-RU"/>
        </w:rPr>
        <w:t>Вооружение Р\л/190Р состояло из двух фюзеляжных пулеметов М017, двух син</w:t>
      </w:r>
      <w:r w:rsidRPr="007224C3">
        <w:rPr>
          <w:color w:val="000000" w:themeColor="text1"/>
          <w:lang w:val="ru-RU"/>
        </w:rPr>
        <w:softHyphen/>
        <w:t>хронных крыльевых пушек МС151/20 и бомбового вооружения в составе четырех 50-кг бомб, подвешиваемых на фюзеляжном бомбодержателе ЕТС 501 с переходником ЕВ4 и двух бомб до 250 кг на подкрыльевых держателях. На ЕТС 501 можно было подве</w:t>
      </w:r>
      <w:r w:rsidRPr="007224C3">
        <w:rPr>
          <w:color w:val="000000" w:themeColor="text1"/>
          <w:lang w:val="ru-RU"/>
        </w:rPr>
        <w:softHyphen/>
        <w:t>шивать также одну 500-кг бомбу ЗС500. На Р-2 был немного улучшен обзор из кабины пилота вперед-вниз, на недостаток которого жаловались пилоты первых серий, а на Р-3 держатель ЕТС 501 был приспособлен для подвески дополнительного бензобака. Серия Р-8 отличалась от собратьев фю</w:t>
      </w:r>
      <w:r w:rsidRPr="007224C3">
        <w:rPr>
          <w:color w:val="000000" w:themeColor="text1"/>
          <w:lang w:val="ru-RU"/>
        </w:rPr>
        <w:softHyphen/>
        <w:t>зеляжными пулеметами МОЛ 31 калибра 13 мм и установкой четырех подкрыльевых держателей ЕТС 50 под 50-кг бомбы.</w:t>
      </w:r>
    </w:p>
    <w:p w14:paraId="39C609F9" w14:textId="77777777" w:rsidR="00903E13" w:rsidRPr="007224C3" w:rsidRDefault="00903E13" w:rsidP="007224C3">
      <w:pPr>
        <w:pStyle w:val="a3"/>
        <w:rPr>
          <w:color w:val="000000" w:themeColor="text1"/>
          <w:lang w:val="ru-RU"/>
        </w:rPr>
      </w:pPr>
      <w:r w:rsidRPr="007224C3">
        <w:rPr>
          <w:color w:val="000000" w:themeColor="text1"/>
          <w:lang w:val="ru-RU"/>
        </w:rPr>
        <w:t>Бронирование ударных Р\д/190Р в срав</w:t>
      </w:r>
      <w:r w:rsidRPr="007224C3">
        <w:rPr>
          <w:color w:val="000000" w:themeColor="text1"/>
          <w:lang w:val="ru-RU"/>
        </w:rPr>
        <w:softHyphen/>
        <w:t>нении с чистыми истребителями было усилено - общий вес бронедеталей на самолете вырос до 310 кг (по данным НИИ ВВС КА).</w:t>
      </w:r>
    </w:p>
    <w:p w14:paraId="7D796A33" w14:textId="77777777" w:rsidR="00903E13" w:rsidRPr="007224C3" w:rsidRDefault="00903E13" w:rsidP="007224C3">
      <w:pPr>
        <w:pStyle w:val="a3"/>
        <w:rPr>
          <w:color w:val="000000" w:themeColor="text1"/>
          <w:lang w:val="ru-RU"/>
        </w:rPr>
      </w:pPr>
      <w:r w:rsidRPr="007224C3">
        <w:rPr>
          <w:color w:val="000000" w:themeColor="text1"/>
          <w:lang w:val="ru-RU"/>
        </w:rPr>
        <w:t>На моторе устанавливалось переднее бронекольцо толщиной 5 мм (в пересчете на советскую броню АБ-1 -3,3 мм), сделанное по габариту мотора с загибающимся внутрь передним краем. За ним устанавливался короткий цилиндр из брони толщиной Змм (АБ-1 -2 мм), по форме совпадающий с капотом мотора. Эти два бронекольца защищали маслобак, частично мотор, и усиливали защиту летчика спереди. На нижней поверхности фюзеляжа, начиная от броневых колец на моторе и до заднего обреза кабины летчика, устанавливались 18 бронеплит различной формы, толщиной 5 мм (АБ-1 - 3,3 мм) и под мотором - 6 мм (АБ-1 - 4 мм), в том числе два броневых щитка шасси.</w:t>
      </w:r>
    </w:p>
    <w:p w14:paraId="35EC1114" w14:textId="77777777" w:rsidR="00903E13" w:rsidRPr="007224C3" w:rsidRDefault="00903E13" w:rsidP="007224C3">
      <w:pPr>
        <w:pStyle w:val="a3"/>
        <w:rPr>
          <w:color w:val="000000" w:themeColor="text1"/>
          <w:lang w:val="ru-RU"/>
        </w:rPr>
      </w:pPr>
      <w:r w:rsidRPr="007224C3">
        <w:rPr>
          <w:color w:val="000000" w:themeColor="text1"/>
          <w:lang w:val="ru-RU"/>
        </w:rPr>
        <w:t>Спереди летчика защищало пулестойкое стекло толщиной 57 мм (в пересчете на советское бронестекло типа К-4 - 40,7 мм), расположенное под углом 30° к продольной оси самолета. Кроме этого, за головой лет</w:t>
      </w:r>
      <w:r w:rsidRPr="007224C3">
        <w:rPr>
          <w:color w:val="000000" w:themeColor="text1"/>
          <w:lang w:val="ru-RU"/>
        </w:rPr>
        <w:softHyphen/>
        <w:t xml:space="preserve">чика устанавливался 12-мм бронезаголовник (АБ-1 - 8 мм), сдвигающийся назад вместе с подвижной частью фонаря кабины. </w:t>
      </w:r>
      <w:r w:rsidRPr="007224C3">
        <w:rPr>
          <w:color w:val="000000" w:themeColor="text1"/>
          <w:lang w:val="ru-RU"/>
        </w:rPr>
        <w:lastRenderedPageBreak/>
        <w:t>В свою очередь, боковины фонаря кабины выполня</w:t>
      </w:r>
      <w:r w:rsidRPr="007224C3">
        <w:rPr>
          <w:color w:val="000000" w:themeColor="text1"/>
          <w:lang w:val="ru-RU"/>
        </w:rPr>
        <w:softHyphen/>
        <w:t>лись из 30-мм бронестекла (К-4 - 21,4 мм).</w:t>
      </w:r>
    </w:p>
    <w:p w14:paraId="3C57EB22" w14:textId="77777777" w:rsidR="00903E13" w:rsidRPr="007224C3" w:rsidRDefault="00903E1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Защита летчика сзади обеспечива</w:t>
      </w:r>
      <w:r w:rsidRPr="007224C3">
        <w:rPr>
          <w:rFonts w:ascii="Times New Roman" w:hAnsi="Times New Roman"/>
          <w:color w:val="000000" w:themeColor="text1"/>
          <w:sz w:val="16"/>
          <w:szCs w:val="16"/>
        </w:rPr>
        <w:softHyphen/>
        <w:t>лась также бронеплитой толщиной 8 мм (АБ-1 - 5,3 мм), несколько изогнутой в горизонтальной плоскости, расположенной за ней бронеперегородкой, составленной из четырех отдельных 5-мм бронеплит (АБ-1 -3,3 мм).</w:t>
      </w:r>
    </w:p>
    <w:p w14:paraId="13E43A0A" w14:textId="77777777" w:rsidR="00903E13" w:rsidRPr="007224C3" w:rsidRDefault="00903E13" w:rsidP="007224C3">
      <w:pPr>
        <w:pStyle w:val="a3"/>
        <w:rPr>
          <w:color w:val="000000" w:themeColor="text1"/>
          <w:lang w:val="ru-RU"/>
        </w:rPr>
      </w:pPr>
      <w:r w:rsidRPr="007224C3">
        <w:rPr>
          <w:color w:val="000000" w:themeColor="text1"/>
          <w:lang w:val="ru-RU"/>
        </w:rPr>
        <w:t>В каждой эскадре немецкое коман</w:t>
      </w:r>
      <w:r w:rsidRPr="007224C3">
        <w:rPr>
          <w:color w:val="000000" w:themeColor="text1"/>
          <w:lang w:val="ru-RU"/>
        </w:rPr>
        <w:softHyphen/>
        <w:t>дование планировало иметь три группы, вооруженных Р\л/190 в варианте истреби</w:t>
      </w:r>
      <w:r w:rsidRPr="007224C3">
        <w:rPr>
          <w:color w:val="000000" w:themeColor="text1"/>
          <w:lang w:val="ru-RU"/>
        </w:rPr>
        <w:softHyphen/>
        <w:t>теля-штурмовика, и одну специальную противотанковую эскадрилью на Нз129В.</w:t>
      </w:r>
    </w:p>
    <w:p w14:paraId="35935E6F" w14:textId="77777777" w:rsidR="00903E13" w:rsidRPr="007224C3" w:rsidRDefault="00903E13" w:rsidP="007224C3">
      <w:pPr>
        <w:pStyle w:val="a3"/>
        <w:rPr>
          <w:color w:val="000000" w:themeColor="text1"/>
          <w:lang w:val="ru-RU"/>
        </w:rPr>
      </w:pPr>
      <w:r w:rsidRPr="007224C3">
        <w:rPr>
          <w:color w:val="000000" w:themeColor="text1"/>
          <w:lang w:val="ru-RU"/>
        </w:rPr>
        <w:t>Считалось, что именно такое сочетание боевых сил позволит серьезно повысить эффективность непосредственной авиаци</w:t>
      </w:r>
      <w:r w:rsidRPr="007224C3">
        <w:rPr>
          <w:color w:val="000000" w:themeColor="text1"/>
          <w:lang w:val="ru-RU"/>
        </w:rPr>
        <w:softHyphen/>
        <w:t>онной поддержки войск, как в обороне, так и в наступлении (12733).</w:t>
      </w:r>
    </w:p>
    <w:p w14:paraId="719AA921" w14:textId="77777777" w:rsidR="00903E13" w:rsidRPr="007224C3" w:rsidRDefault="00903E13" w:rsidP="007224C3">
      <w:pPr>
        <w:pStyle w:val="a3"/>
        <w:rPr>
          <w:color w:val="000000" w:themeColor="text1"/>
          <w:lang w:val="ru-RU"/>
        </w:rPr>
      </w:pPr>
    </w:p>
    <w:p w14:paraId="391F38A6" w14:textId="77777777" w:rsidR="004F2514" w:rsidRPr="007224C3" w:rsidRDefault="004F2514" w:rsidP="007224C3">
      <w:pPr>
        <w:shd w:val="clear" w:color="auto" w:fill="FFFFFF"/>
        <w:spacing w:after="0" w:line="240" w:lineRule="auto"/>
        <w:jc w:val="both"/>
        <w:rPr>
          <w:rStyle w:val="712"/>
          <w:rFonts w:ascii="Times New Roman" w:hAnsi="Times New Roman" w:cs="Times New Roman"/>
          <w:color w:val="0070C0"/>
          <w:sz w:val="16"/>
          <w:szCs w:val="16"/>
        </w:rPr>
      </w:pPr>
      <w:r w:rsidRPr="007224C3">
        <w:rPr>
          <w:rFonts w:ascii="Times New Roman" w:hAnsi="Times New Roman"/>
          <w:color w:val="0070C0"/>
          <w:sz w:val="16"/>
          <w:szCs w:val="16"/>
        </w:rPr>
        <w:t>В марте 1944 года в Европе впервые появились P-51D, а в мае и Р-47D-25 с новой каплевидной кабиной по образцу кабин английских самолетов «Тайфун», «Тэмпест» и новых модификаций «спитфайра». Новая кабина сразу показала свои преимущества, но изменившаяся аэродинамика не только несколько слегка «срезала» скоростные качества истребителей (они все равно превосходили немцев на высоте), но и вновь обострила проблему курсовой устойчивости. А на Р-47 к тому же из-за уменьшения высоты фюзеляжа за кабиной снизилась жесткость хвостовой части и на больших скоростях возникал флаттер, были случаи полного разрушения оперения. Чтобы исключить опасность аварий, на P-51D-10-NA установили новый форкиль чуть большей площади, чем на Р-51В/С. На P-47D-40 его сделали низким, но дотянули его до самой кабины, включив в силовую схему фюзеляжа и изжив возможность возникновения флаттера (22889).</w:t>
      </w:r>
    </w:p>
    <w:p w14:paraId="7DCD16C9" w14:textId="77777777" w:rsidR="004F2514" w:rsidRPr="007224C3" w:rsidRDefault="004F2514" w:rsidP="007224C3">
      <w:pPr>
        <w:shd w:val="clear" w:color="auto" w:fill="FFFFFF"/>
        <w:spacing w:after="0" w:line="240" w:lineRule="auto"/>
        <w:jc w:val="both"/>
        <w:rPr>
          <w:rStyle w:val="712"/>
          <w:rFonts w:ascii="Times New Roman" w:hAnsi="Times New Roman" w:cs="Times New Roman"/>
          <w:color w:val="0070C0"/>
          <w:sz w:val="16"/>
          <w:szCs w:val="16"/>
        </w:rPr>
      </w:pPr>
    </w:p>
    <w:p w14:paraId="41212AEF" w14:textId="77777777" w:rsidR="004F2514" w:rsidRPr="007224C3" w:rsidRDefault="004F2514"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 марте 1944 первый полет Kawasaki Ki-102 (союзное название "Рэнди") и Тачикава Ки-74 (союзнические имена "Пэт" и "Пэтси") (20373).</w:t>
      </w:r>
    </w:p>
    <w:p w14:paraId="3078E147" w14:textId="77777777" w:rsidR="004F2514" w:rsidRPr="007224C3" w:rsidRDefault="004F2514" w:rsidP="007224C3">
      <w:pPr>
        <w:spacing w:after="0" w:line="240" w:lineRule="auto"/>
        <w:jc w:val="both"/>
        <w:rPr>
          <w:rFonts w:ascii="Times New Roman" w:hAnsi="Times New Roman"/>
          <w:color w:val="0070C0"/>
          <w:sz w:val="16"/>
          <w:szCs w:val="16"/>
        </w:rPr>
      </w:pPr>
    </w:p>
    <w:p w14:paraId="28671B17" w14:textId="77777777" w:rsidR="004F2514" w:rsidRPr="007224C3" w:rsidRDefault="004F2514"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 марте 1944 г. приняли решение о запуске Р-82 Твин Мустанг в серию, через год началась подготовка производства, но с окончанием войны первоначальный заказ в 500 самолетов сократили до двадцати Р-82В. Осенью они были почти готовы, но моторы начали поступать только в конце года. Первые два были получены ВВС в январе 1946 г., четыре — в феврале 1947 г. и последние тринадцать — в марте. Центральный бак и пулеметный контейнер в серии не выпускались, пришлось несколько сократить запас топлива в подвесных баках. Тем не менее дальность Р-82В осталась хорошей, и 27 февраля 1947 г. полковник Роберт Тэкер со штурманом Джоном Ардом установили на нем рекорд: взлетев на Гавайях с четырьмя подкрыльевыми баками, они прошли 8127 км за 14 ч 32 мин со средней скоростью 559,13 км/ч. Экипаж по ошибке не сбросил три из четырех ПТБ после их выработки, тем не менее благополучно приземлился в Нью-Йорке. Это достижение не смог перекрыть ни один поршневой истребитель, но реальная боевая дальность Р-82 была вдвое меньше (23019).</w:t>
      </w:r>
    </w:p>
    <w:p w14:paraId="168700F9" w14:textId="77777777" w:rsidR="004F2514" w:rsidRPr="007224C3" w:rsidRDefault="004F2514" w:rsidP="007224C3">
      <w:pPr>
        <w:spacing w:after="0" w:line="240" w:lineRule="auto"/>
        <w:jc w:val="both"/>
        <w:rPr>
          <w:rFonts w:ascii="Times New Roman" w:hAnsi="Times New Roman"/>
          <w:color w:val="0070C0"/>
          <w:sz w:val="16"/>
          <w:szCs w:val="16"/>
        </w:rPr>
      </w:pPr>
    </w:p>
    <w:p w14:paraId="55574AE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марте 1944 из ракетного исследовательского центра Penemunde был осуществлен испытательный запуск А-4, на которой была установлена аппаратура зенитной ракеты Вассерфаль. Пуск окончился неудачей и ракета упала на юге Швеции (2990).</w:t>
      </w:r>
    </w:p>
    <w:p w14:paraId="10E159C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3D3926" w14:textId="77777777" w:rsidR="000B533C" w:rsidRPr="007224C3" w:rsidRDefault="000B53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марте 1944- го стало ясно, что сильная вибрация ослабляла резьбовые соединения топливопроводов Фау-2. Спирт испарялся и смешивался с парогазом (кислород плюс водяной пар). «Адская смесь» попадала на раскаленное сопло дви</w:t>
      </w:r>
      <w:r w:rsidRPr="007224C3">
        <w:rPr>
          <w:rFonts w:ascii="Times New Roman" w:hAnsi="Times New Roman"/>
          <w:color w:val="000000" w:themeColor="text1"/>
          <w:sz w:val="16"/>
          <w:szCs w:val="16"/>
        </w:rPr>
        <w:softHyphen/>
        <w:t>гателя, далее следовал пожар и взрыв. Вторая причина подрывов — слиш</w:t>
      </w:r>
      <w:r w:rsidRPr="007224C3">
        <w:rPr>
          <w:rFonts w:ascii="Times New Roman" w:hAnsi="Times New Roman"/>
          <w:color w:val="000000" w:themeColor="text1"/>
          <w:sz w:val="16"/>
          <w:szCs w:val="16"/>
        </w:rPr>
        <w:softHyphen/>
        <w:t>ком чувствительный импульсный детонатор (19630).</w:t>
      </w:r>
    </w:p>
    <w:p w14:paraId="37C64032" w14:textId="77777777" w:rsidR="000B533C" w:rsidRPr="007224C3" w:rsidRDefault="000B533C" w:rsidP="007224C3">
      <w:pPr>
        <w:spacing w:after="0" w:line="240" w:lineRule="auto"/>
        <w:jc w:val="both"/>
        <w:rPr>
          <w:rFonts w:ascii="Times New Roman" w:hAnsi="Times New Roman"/>
          <w:color w:val="000000" w:themeColor="text1"/>
          <w:sz w:val="16"/>
          <w:szCs w:val="16"/>
        </w:rPr>
      </w:pPr>
    </w:p>
    <w:p w14:paraId="4CC97C6E" w14:textId="77777777" w:rsidR="004F2514" w:rsidRPr="007224C3" w:rsidRDefault="004F2514"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lang w:eastAsia="ru-RU" w:bidi="ru-RU"/>
        </w:rPr>
        <w:t>В марте 1944-</w:t>
      </w:r>
      <w:r w:rsidRPr="007224C3">
        <w:rPr>
          <w:rFonts w:ascii="Times New Roman" w:hAnsi="Times New Roman"/>
          <w:color w:val="0070C0"/>
          <w:sz w:val="16"/>
          <w:szCs w:val="16"/>
        </w:rPr>
        <w:t>го стало ясно, что сильная вибрация ослабляла резьбовые соединения топливопроводов А-4. Спирт испарялся и смешивался с парогазом (кислород плюс водяной пар). «Адская смесь» попадала на раскаленное сопло дви</w:t>
      </w:r>
      <w:r w:rsidRPr="007224C3">
        <w:rPr>
          <w:rFonts w:ascii="Times New Roman" w:hAnsi="Times New Roman"/>
          <w:color w:val="0070C0"/>
          <w:sz w:val="16"/>
          <w:szCs w:val="16"/>
        </w:rPr>
        <w:softHyphen/>
        <w:t>гателя, далее следовал пожар и взрыв. Вторая причина подрывов — слиш</w:t>
      </w:r>
      <w:r w:rsidRPr="007224C3">
        <w:rPr>
          <w:rFonts w:ascii="Times New Roman" w:hAnsi="Times New Roman"/>
          <w:color w:val="0070C0"/>
          <w:sz w:val="16"/>
          <w:szCs w:val="16"/>
        </w:rPr>
        <w:softHyphen/>
        <w:t>ком чувствительный импульсный детонатор.</w:t>
      </w:r>
    </w:p>
    <w:p w14:paraId="68B760E6" w14:textId="77777777" w:rsidR="004F2514" w:rsidRPr="007224C3" w:rsidRDefault="004F2514"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По расчетам командования вер</w:t>
      </w:r>
      <w:r w:rsidRPr="007224C3">
        <w:rPr>
          <w:rFonts w:ascii="Times New Roman" w:hAnsi="Times New Roman"/>
          <w:color w:val="0070C0"/>
          <w:sz w:val="16"/>
          <w:szCs w:val="16"/>
        </w:rPr>
        <w:softHyphen/>
        <w:t>махта, по Лондону необходимо было наносить удары каждые 20 минут. Для круглосуточного обстрела тре</w:t>
      </w:r>
      <w:r w:rsidRPr="007224C3">
        <w:rPr>
          <w:rFonts w:ascii="Times New Roman" w:hAnsi="Times New Roman"/>
          <w:color w:val="0070C0"/>
          <w:sz w:val="16"/>
          <w:szCs w:val="16"/>
        </w:rPr>
        <w:softHyphen/>
        <w:t>бовалось около сотни А-4. Но чтобы обеспечить такой темп стрельбы, три ракетосборочных завода в Пенемюн</w:t>
      </w:r>
      <w:r w:rsidRPr="007224C3">
        <w:rPr>
          <w:rFonts w:ascii="Times New Roman" w:hAnsi="Times New Roman"/>
          <w:color w:val="0070C0"/>
          <w:sz w:val="16"/>
          <w:szCs w:val="16"/>
        </w:rPr>
        <w:softHyphen/>
        <w:t>де, Винер-Нойштатте и Фридрихсха</w:t>
      </w:r>
      <w:r w:rsidRPr="007224C3">
        <w:rPr>
          <w:rFonts w:ascii="Times New Roman" w:hAnsi="Times New Roman"/>
          <w:color w:val="0070C0"/>
          <w:sz w:val="16"/>
          <w:szCs w:val="16"/>
        </w:rPr>
        <w:softHyphen/>
        <w:t>фене должны отгружать около 3 ты</w:t>
      </w:r>
      <w:r w:rsidRPr="007224C3">
        <w:rPr>
          <w:rFonts w:ascii="Times New Roman" w:hAnsi="Times New Roman"/>
          <w:color w:val="0070C0"/>
          <w:sz w:val="16"/>
          <w:szCs w:val="16"/>
        </w:rPr>
        <w:softHyphen/>
        <w:t>сяч ракет в месяц (22801).</w:t>
      </w:r>
    </w:p>
    <w:p w14:paraId="5E0D48B2" w14:textId="77777777" w:rsidR="004F2514" w:rsidRPr="007224C3" w:rsidRDefault="004F2514" w:rsidP="007224C3">
      <w:pPr>
        <w:spacing w:after="0" w:line="240" w:lineRule="auto"/>
        <w:jc w:val="both"/>
        <w:rPr>
          <w:rFonts w:ascii="Times New Roman" w:hAnsi="Times New Roman"/>
          <w:color w:val="0070C0"/>
          <w:sz w:val="16"/>
          <w:szCs w:val="16"/>
        </w:rPr>
      </w:pPr>
    </w:p>
    <w:p w14:paraId="4B998C6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марте 1944 года удалось устранить аварии на восходящем отрезке траектории ракеты А-4. Катастрофы были вызваны сильной вибрацией, выводившей из строя реле, что приводило к остановке двигателя. Кроме того, она же приводила к нарушению герметичности топливопроводов во время работы двигателя – в результате распыления спирт проникал в хвостовую часть ракеты, соединялся с воздухом и загорался от пламени ракеты.</w:t>
      </w:r>
    </w:p>
    <w:p w14:paraId="5CABA41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 даже после устранения этих проблем до 70% запущенных «V-2» взрывалось в конце траектории, не долетая до земли. Одной из причин преждевременных разрывов было несовершенство взрывателя. Дело в том, что первоначально на «V-2» был установлен высокочувствительный электрический взрыватель ударного действия. Снабженная таким взрывателем боеголовка должна была разрываться на поверхности, не успев зарыться в землю. В условиях же, когда большинство ракет разрушалось в полете, чувствительный взрыватель срабатывал от сотрясений, возникающих при распаде, и вызывал преждевременный взрыв ракеты в воздухе.</w:t>
      </w:r>
    </w:p>
    <w:p w14:paraId="3FC2859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 это было установлено лишь летом 1944 года. А времени для устранения недостатка не оставалось. Стремительно наступавшие советские войска, освободив Белоруссию, вступили на территорию восточной Польши и приближались к учебному ракетному полигону «Хайделагер» («Heidelager») в Близне, расположенному в 150 км на северо-восток от Кракова. Ракетчикам пришлось сменить дислокацию. Эвакуация и оборудование нового полигона «Хайдекраут» («Heidekraut») близ Тухоля заняло два месяца.</w:t>
      </w:r>
    </w:p>
    <w:p w14:paraId="248C6C3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Тем временем командование требовало начать нанесение ударов «V-2» не позднее начала сентября. Чтобы уложиться в поставленные сроки, конструкторам пришлось пожертвовать эффективностью – они поставили на ракету взрыватель с ограниченной чувствительностью, который значительно уменьшал разрушительную силу боеголовки.</w:t>
      </w:r>
    </w:p>
    <w:p w14:paraId="3A1F685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Неудачи преследовали и создателей самолета-снаряда «V-1». Из 68 боевых пусков, произведенных в течение июня и июля 1943 года, лишь 28 снарядов вообще достигли цели, что составило всего 41%. Большинство «V-1» по неизвестным причинам взрывалось практически сразу после старта. Было установлено, что одной из наиболее возможных причин аварий является повреждение поверхностей крыла. Однако проверить это предположение не представлялось возможным, а ракеты продолжали взрываться…</w:t>
      </w:r>
    </w:p>
    <w:p w14:paraId="61F1E76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Тогда конструкторы пошли на отчаянный шаг. Известнейшая в Третьем Рейхе женщина, летчик-испытатель Ханна Райч, отличавшаяся абсолютным бесстрашием, предложила переоборудовать один самолет-снаряд в пилотируемый вариант. Вместо боезаряда в носовом отсеке предлагалось установить место для наблюдателя, который, находясь в лежачем положении, должен был следить за состоянием крыльев и зафиксировать причину их поломки. Так как внешний диаметр фюзеляжа составлял всего восемьдесят сантиметров, а внутренний и того меньше, мужчина туда поместиться не мог, и Ханна Райч вызвалась добровольцем. Эта женщина имела маленький рост и щуплое телосложение. Для наблюдения пришлось встроить в фюзеляж перископ, направленный на крылья. После четырех дней испытательных полетов предположение подтвердилось, и причина неполадок была установлена, однако последний запуск закончился неудачно, и отважная летчица пострадала (11688).</w:t>
      </w:r>
    </w:p>
    <w:p w14:paraId="1848586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A74416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марте 1944 г. В. фон Браун, К. Ридель и Г. Греттруп были арестованы гестапо на основании подслушанного разговора. Оказалось, что эти пионеры ракетостроения вели приватную беседу о том, что их заветной целью являются межпланетные путешествия, а работа над ракетой А4 ведется ими по принуждению.</w:t>
      </w:r>
    </w:p>
    <w:p w14:paraId="48FE126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Фельдмаршал Кейтель вызвал руководителя ракетных программ сухопутных войск Германии В. Дорнбергера и сказал ему, что арестованные будут казнены по обвинению в саботаже. И только благодаря заявлению Дорнбергера под присягой, что эти люди нужны для завершения работ над проектом А4, арестованные были освобождены.</w:t>
      </w:r>
    </w:p>
    <w:p w14:paraId="5614577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Больше в Третьем рейхе фон Браун разговоров о космосе не вел (11686).</w:t>
      </w:r>
    </w:p>
    <w:p w14:paraId="656CB24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600D252" w14:textId="77777777" w:rsidR="00E23482" w:rsidRPr="007224C3" w:rsidRDefault="00E23482" w:rsidP="007224C3">
      <w:pPr>
        <w:pStyle w:val="ae"/>
        <w:shd w:val="clear" w:color="auto" w:fill="FFFFFF"/>
        <w:spacing w:before="0" w:after="0"/>
        <w:jc w:val="both"/>
        <w:rPr>
          <w:color w:val="000000" w:themeColor="text1"/>
          <w:sz w:val="16"/>
          <w:szCs w:val="16"/>
        </w:rPr>
      </w:pPr>
      <w:r w:rsidRPr="007224C3">
        <w:rPr>
          <w:color w:val="000000" w:themeColor="text1"/>
          <w:sz w:val="16"/>
          <w:szCs w:val="16"/>
        </w:rPr>
        <w:t>В марте 1944 г. ТРД Jumo-004 был запущен в производство. Этот двигатель имел следующие параметры: тяга двигате ля на взлетном режиме — 900 кгс, удельный расход топлива на взлетном режиме— 1,4 кг/кгс.ч, расход воздуха— 21,2 кг/с степень повышения давления — 3,14, температура газа на вхо де в турбину — 1048 К, масса двигателя — 745 кг, длина дви гателя — 3 860 м, максимальный диаметр двигателя — 760 мм.</w:t>
      </w:r>
    </w:p>
    <w:p w14:paraId="38915CEB" w14:textId="77777777" w:rsidR="00E23482" w:rsidRPr="007224C3" w:rsidRDefault="00E23482" w:rsidP="007224C3">
      <w:pPr>
        <w:pStyle w:val="ae"/>
        <w:shd w:val="clear" w:color="auto" w:fill="FFFFFF"/>
        <w:spacing w:before="0" w:after="0"/>
        <w:jc w:val="both"/>
        <w:rPr>
          <w:color w:val="000000" w:themeColor="text1"/>
          <w:sz w:val="16"/>
          <w:szCs w:val="16"/>
        </w:rPr>
      </w:pPr>
      <w:r w:rsidRPr="007224C3">
        <w:rPr>
          <w:color w:val="000000" w:themeColor="text1"/>
          <w:sz w:val="16"/>
          <w:szCs w:val="16"/>
        </w:rPr>
        <w:t>Разрабатывались другие модификации двигателя Jumo 004D (тяга 1050 кгс), Jumo-004H (тяга 1805 кгс), Jumo-004G (тяга 1693 кгс). В 1945 г. были проведены испытания двига теля Jumo-004E с дожиганием топлива (тяга 1000 кгс, тяга с дожиганием 1200 кгс, температура газа на входе в турбину с дожиганием — 1143 К).</w:t>
      </w:r>
    </w:p>
    <w:p w14:paraId="3BA68800" w14:textId="77777777" w:rsidR="00E23482" w:rsidRPr="007224C3" w:rsidRDefault="00E23482" w:rsidP="007224C3">
      <w:pPr>
        <w:pStyle w:val="ae"/>
        <w:shd w:val="clear" w:color="auto" w:fill="FFFFFF"/>
        <w:spacing w:before="0" w:after="0"/>
        <w:jc w:val="both"/>
        <w:rPr>
          <w:color w:val="000000" w:themeColor="text1"/>
          <w:sz w:val="16"/>
          <w:szCs w:val="16"/>
        </w:rPr>
      </w:pPr>
      <w:r w:rsidRPr="007224C3">
        <w:rPr>
          <w:color w:val="000000" w:themeColor="text1"/>
          <w:sz w:val="16"/>
          <w:szCs w:val="16"/>
        </w:rPr>
        <w:t>В производстве двигателей участвовали заводы, располо женные в городах Дессау, Магдебург, Кетен, Прага, Циттау и др. В связи с усилившейся бомбардировкой Германии эти пред приятия были передислоцированы в подземные убежища, наи более крупное из которых площадью 40 000 м2 располагалось вблизи города Нордхаузен. Всего в Германии было изготовле но 6 424 двигателя марки Jumo-004 (в 1943 г. — 41 шт., в 1944 г. — 1201 шт., в 1945 г. — 5182 шт.), которые устанав ливались на самолеты Ме-262 и Аг-234В.</w:t>
      </w:r>
    </w:p>
    <w:p w14:paraId="7EBC3FAA" w14:textId="77777777" w:rsidR="00E23482" w:rsidRPr="007224C3" w:rsidRDefault="00E23482" w:rsidP="007224C3">
      <w:pPr>
        <w:pStyle w:val="ae"/>
        <w:shd w:val="clear" w:color="auto" w:fill="FFFFFF"/>
        <w:spacing w:before="0" w:after="0"/>
        <w:jc w:val="both"/>
        <w:rPr>
          <w:color w:val="000000" w:themeColor="text1"/>
          <w:sz w:val="16"/>
          <w:szCs w:val="16"/>
        </w:rPr>
      </w:pPr>
      <w:r w:rsidRPr="007224C3">
        <w:rPr>
          <w:color w:val="000000" w:themeColor="text1"/>
          <w:sz w:val="16"/>
          <w:szCs w:val="16"/>
        </w:rPr>
        <w:t>В 1945—1946 гг. Правительство СССР решило возобновить производство двигателей на заводах фирмы «Юнкере» в г. Дес сау. В этом городе располагались опытные заводы фирмы по производству авиационных двигателей и самолетов.</w:t>
      </w:r>
    </w:p>
    <w:p w14:paraId="16E34A88" w14:textId="77777777" w:rsidR="00E23482" w:rsidRPr="007224C3" w:rsidRDefault="00E23482" w:rsidP="007224C3">
      <w:pPr>
        <w:pStyle w:val="ae"/>
        <w:shd w:val="clear" w:color="auto" w:fill="FFFFFF"/>
        <w:spacing w:before="0" w:after="0"/>
        <w:jc w:val="both"/>
        <w:rPr>
          <w:color w:val="000000" w:themeColor="text1"/>
          <w:sz w:val="16"/>
          <w:szCs w:val="16"/>
        </w:rPr>
      </w:pPr>
      <w:r w:rsidRPr="007224C3">
        <w:rPr>
          <w:color w:val="000000" w:themeColor="text1"/>
          <w:sz w:val="16"/>
          <w:szCs w:val="16"/>
        </w:rPr>
        <w:t xml:space="preserve">На территории завода были найдены подорванные фауст патронами двигатели Jumo-004. Предполагалось из имеющихся деталей построить двигатели Jumo-004, продолжить их совер шенствование, а также возобновить разработку двигателей Jumo-012 и Jumo-022. Для этого было организовано Особое техническое бюро МАП, </w:t>
      </w:r>
      <w:r w:rsidRPr="007224C3">
        <w:rPr>
          <w:color w:val="000000" w:themeColor="text1"/>
          <w:sz w:val="16"/>
          <w:szCs w:val="16"/>
        </w:rPr>
        <w:lastRenderedPageBreak/>
        <w:t>руководил которым Н.М. Олехнович.</w:t>
      </w:r>
    </w:p>
    <w:p w14:paraId="28AEFAEE" w14:textId="77777777" w:rsidR="00E23482" w:rsidRPr="007224C3" w:rsidRDefault="00E23482" w:rsidP="007224C3">
      <w:pPr>
        <w:pStyle w:val="ae"/>
        <w:shd w:val="clear" w:color="auto" w:fill="FFFFFF"/>
        <w:spacing w:before="0" w:after="0"/>
        <w:jc w:val="both"/>
        <w:rPr>
          <w:color w:val="000000" w:themeColor="text1"/>
          <w:sz w:val="16"/>
          <w:szCs w:val="16"/>
        </w:rPr>
      </w:pPr>
      <w:r w:rsidRPr="007224C3">
        <w:rPr>
          <w:color w:val="000000" w:themeColor="text1"/>
          <w:sz w:val="16"/>
          <w:szCs w:val="16"/>
        </w:rPr>
        <w:t>КБ под руководством доктора А. Шайбе в г. Дессау полу чило задание закончить форсирование ТРД Jumo-004F с тя гой на земле 1 200 кгс (19586).</w:t>
      </w:r>
    </w:p>
    <w:p w14:paraId="5BDD46CA" w14:textId="77777777" w:rsidR="00E23482" w:rsidRPr="007224C3" w:rsidRDefault="00E23482" w:rsidP="007224C3">
      <w:pPr>
        <w:pStyle w:val="ae"/>
        <w:shd w:val="clear" w:color="auto" w:fill="FFFFFF"/>
        <w:spacing w:before="0" w:after="0"/>
        <w:jc w:val="both"/>
        <w:rPr>
          <w:color w:val="000000" w:themeColor="text1"/>
          <w:sz w:val="16"/>
          <w:szCs w:val="16"/>
        </w:rPr>
      </w:pPr>
    </w:p>
    <w:p w14:paraId="52F1946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марте 1944 появились Кертисс Р-40N, часть которых попали в СССР (173,247).</w:t>
      </w:r>
    </w:p>
    <w:p w14:paraId="18D788F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AE392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марте 1944 г. началось производство серии Fw190F-8 (9084).</w:t>
      </w:r>
    </w:p>
    <w:p w14:paraId="79D2992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4B4CA9"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марте 1944 года в одном из боев за город Проскуров командир батальона Т-34 54-й гвардейской танковой бригады 3-й гвардейской танковой армии майор С. Хохряков лично уничтожил 8 танков противника. За этот бой гвардии майор Хохряков был удостоен звания Героя Советского Союза (12217).</w:t>
      </w:r>
    </w:p>
    <w:p w14:paraId="26C8A5DF" w14:textId="77777777" w:rsidR="00137373" w:rsidRPr="007224C3" w:rsidRDefault="00137373" w:rsidP="007224C3">
      <w:pPr>
        <w:spacing w:after="0" w:line="240" w:lineRule="auto"/>
        <w:jc w:val="both"/>
        <w:rPr>
          <w:rFonts w:ascii="Times New Roman" w:hAnsi="Times New Roman"/>
          <w:color w:val="000000" w:themeColor="text1"/>
          <w:sz w:val="16"/>
          <w:szCs w:val="16"/>
        </w:rPr>
      </w:pPr>
    </w:p>
    <w:p w14:paraId="7A90118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марта 1944 года на танках Шерман была внедрена новая горизонтальная спирально-пружинная подвеска (HVSS), которая применялась практически на всех моделях М4 (3905).</w:t>
      </w:r>
    </w:p>
    <w:p w14:paraId="03FC9C9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102A2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марта 1944 г. и до конца войны выпускалась модификация танка Пантера Pz. VG. На ней толщина верхней бортовой брони была увеличена до 50 мм, отсутствовал смотровой лючок механика-водителя в лобовом листе. Благодаря мощной пушке и отличным оптическим приборам (прицел, приборы наблюдения) "Пантера" могла успешно вести бой с танками противника на расстоянии 1500-2000 м. Проверенные данные говорят, что по затрате человеко-часов на производство одной машины "Пантера" соответствовала в два раза более легкому танку Pz. IV. Всего было выпущено около 6000 "Пантер" (3905).</w:t>
      </w:r>
    </w:p>
    <w:p w14:paraId="402D866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895F9B"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0A25766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A3C36F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I квартале 1944 г. закончились заводские испытания истребителя И-211, которые начались 12 февраля 1943 после чего работы по нему свернули. В I квартале 1943 г. для ВВС планировалось построить 10 самолетов МиГ-9Е (5485,29).</w:t>
      </w:r>
    </w:p>
    <w:p w14:paraId="5316857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0BF6BC"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40055A7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86C951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марте-апреле 1944 г. проходили государственные испытания АМ-39, закончившиеся с удовлетворительными результатами. Взлетная мощность АМ-39 составляла 1800 л.с., а номинальная мощность изменялась от 1600 л.с. на высоте 1100 м до 1500 л.с. на высоте 6800 м. По своим основным характеристикам и эксплуатационным качествам АМ-39 явился еще одним важнейшим успехом ОКБ Микулина. С двигателями АМ-39 проходил заводские испытания скоростной дневной бомбардировщик Туполева типа "103" (СДБ). Отчет об этих испытаниях был утвержден ВВС в июле 1944 г. с предложением о принятии модифицированного самолета "103" на вооружение. Мотор АМ-39 устанавливался также на тяжелом пушечном истребителе ИТП М-2 конструкции Н.Н. Поликарпова. Первый полет самолет совершил 23 ноября 1943 г. Из-за недоведенности мотора летные данные самолета были определены только на первой скорости нагнетателя: удалось достичь максимальной скорости на форсаже 650 км/ч в полете на высоте всего 570 м. После доводки мотора ожидалось получение на второй расчетной высоте максимальной скорости более 700 км/ч. (9032).</w:t>
      </w:r>
    </w:p>
    <w:p w14:paraId="689FA77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E81E20" w14:textId="77777777" w:rsidR="008E2CE5" w:rsidRPr="007224C3" w:rsidRDefault="008E2CE5"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В течение всего марта и апреля 1944 на самолете ТИС (МА) велись работы по подгонке капотов моторов, уста</w:t>
      </w:r>
      <w:r w:rsidRPr="007224C3">
        <w:rPr>
          <w:color w:val="000000" w:themeColor="text1"/>
          <w:sz w:val="16"/>
          <w:szCs w:val="16"/>
        </w:rPr>
        <w:softHyphen/>
        <w:t>новке и отладке водо- и маслосистем, патронных ящиков и рукавов питания, оборудования кабин, а также устранялись производственные дефек</w:t>
      </w:r>
      <w:r w:rsidRPr="007224C3">
        <w:rPr>
          <w:color w:val="000000" w:themeColor="text1"/>
          <w:sz w:val="16"/>
          <w:szCs w:val="16"/>
        </w:rPr>
        <w:softHyphen/>
        <w:t>ты и выполнялись отделочные работы (окраска и шпаклевка консолей, капотов и фюзеляжа). Са</w:t>
      </w:r>
      <w:r w:rsidRPr="007224C3">
        <w:rPr>
          <w:color w:val="000000" w:themeColor="text1"/>
          <w:sz w:val="16"/>
          <w:szCs w:val="16"/>
        </w:rPr>
        <w:softHyphen/>
        <w:t>молет дважды планировали передать на летно-ис- пытательную станцию завода, но всякий раз сроки переносили. Задержки объяснялись тем, что «под</w:t>
      </w:r>
      <w:r w:rsidRPr="007224C3">
        <w:rPr>
          <w:color w:val="000000" w:themeColor="text1"/>
          <w:sz w:val="16"/>
          <w:szCs w:val="16"/>
        </w:rPr>
        <w:softHyphen/>
        <w:t>гонка всех деталей и агрегатов производится по месту, так как рабочих чертежей для монтажа не имеется».</w:t>
      </w:r>
    </w:p>
    <w:p w14:paraId="16D89DAD" w14:textId="77777777" w:rsidR="008E2CE5" w:rsidRPr="007224C3" w:rsidRDefault="008E2CE5"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Летной готовности ТИС (МА) достиг к 1 июня 1944 г. К этому дню выполнили рулежки и подлеты. Поведение самолета было вполне нормальным. По</w:t>
      </w:r>
      <w:r w:rsidRPr="007224C3">
        <w:rPr>
          <w:color w:val="000000" w:themeColor="text1"/>
          <w:sz w:val="16"/>
          <w:szCs w:val="16"/>
        </w:rPr>
        <w:softHyphen/>
        <w:t>сле регулировки моторов и устранения некоторых мелких производственных дефектов ОКБ офици</w:t>
      </w:r>
      <w:r w:rsidRPr="007224C3">
        <w:rPr>
          <w:color w:val="000000" w:themeColor="text1"/>
          <w:sz w:val="16"/>
          <w:szCs w:val="16"/>
        </w:rPr>
        <w:softHyphen/>
        <w:t>ально доложило о готовности самолета ТИС (МА) совершить первый испытательный полет 8 июня. Необходимые документы, подтверждающие готов</w:t>
      </w:r>
      <w:r w:rsidRPr="007224C3">
        <w:rPr>
          <w:color w:val="000000" w:themeColor="text1"/>
          <w:sz w:val="16"/>
          <w:szCs w:val="16"/>
        </w:rPr>
        <w:softHyphen/>
        <w:t>ность машины, вместе с запросом на полет бы</w:t>
      </w:r>
      <w:r w:rsidRPr="007224C3">
        <w:rPr>
          <w:color w:val="000000" w:themeColor="text1"/>
          <w:sz w:val="16"/>
          <w:szCs w:val="16"/>
        </w:rPr>
        <w:softHyphen/>
        <w:t>ли направлены в НКАП. Разрешение заместителя наркома А. С. Яковлева на первый вылет было по</w:t>
      </w:r>
      <w:r w:rsidRPr="007224C3">
        <w:rPr>
          <w:color w:val="000000" w:themeColor="text1"/>
          <w:sz w:val="16"/>
          <w:szCs w:val="16"/>
        </w:rPr>
        <w:softHyphen/>
        <w:t>лучено только 13 июня. В этот же день летчик-ис</w:t>
      </w:r>
      <w:r w:rsidRPr="007224C3">
        <w:rPr>
          <w:color w:val="000000" w:themeColor="text1"/>
          <w:sz w:val="16"/>
          <w:szCs w:val="16"/>
        </w:rPr>
        <w:softHyphen/>
        <w:t>пытатель Н. В. Гаврилов поднял машину в воздух. Полет прошел без происшествий, строго по плану. Температуры воды и масла в полете были в преде</w:t>
      </w:r>
      <w:r w:rsidRPr="007224C3">
        <w:rPr>
          <w:color w:val="000000" w:themeColor="text1"/>
          <w:sz w:val="16"/>
          <w:szCs w:val="16"/>
        </w:rPr>
        <w:softHyphen/>
        <w:t>лах нормы. Посадка была выполнена на повышен</w:t>
      </w:r>
      <w:r w:rsidRPr="007224C3">
        <w:rPr>
          <w:color w:val="000000" w:themeColor="text1"/>
          <w:sz w:val="16"/>
          <w:szCs w:val="16"/>
        </w:rPr>
        <w:softHyphen/>
        <w:t>ной скорости примерно 250—270 км/ч. По заявле</w:t>
      </w:r>
      <w:r w:rsidRPr="007224C3">
        <w:rPr>
          <w:color w:val="000000" w:themeColor="text1"/>
          <w:sz w:val="16"/>
          <w:szCs w:val="16"/>
        </w:rPr>
        <w:softHyphen/>
        <w:t>нию летчика, «рулей высоты на посадку хватило, но без запаса. Остальные рули эффективны. По</w:t>
      </w:r>
      <w:r w:rsidRPr="007224C3">
        <w:rPr>
          <w:color w:val="000000" w:themeColor="text1"/>
          <w:sz w:val="16"/>
          <w:szCs w:val="16"/>
        </w:rPr>
        <w:softHyphen/>
        <w:t>перечная устойчивость самолета больше продоль</w:t>
      </w:r>
      <w:r w:rsidRPr="007224C3">
        <w:rPr>
          <w:color w:val="000000" w:themeColor="text1"/>
          <w:sz w:val="16"/>
          <w:szCs w:val="16"/>
        </w:rPr>
        <w:softHyphen/>
        <w:t>ной, что делает самолет неприятным в пилотиро</w:t>
      </w:r>
      <w:r w:rsidRPr="007224C3">
        <w:rPr>
          <w:color w:val="000000" w:themeColor="text1"/>
          <w:sz w:val="16"/>
          <w:szCs w:val="16"/>
        </w:rPr>
        <w:softHyphen/>
        <w:t>вании».</w:t>
      </w:r>
    </w:p>
    <w:p w14:paraId="0F25A67B" w14:textId="77777777" w:rsidR="008E2CE5" w:rsidRPr="007224C3" w:rsidRDefault="008E2CE5"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В ходе очередного испытательного полета 21 июня не убралась левая стойка шасси. Как выяс</w:t>
      </w:r>
      <w:r w:rsidRPr="007224C3">
        <w:rPr>
          <w:color w:val="000000" w:themeColor="text1"/>
          <w:sz w:val="16"/>
          <w:szCs w:val="16"/>
        </w:rPr>
        <w:softHyphen/>
        <w:t>нилось, сработалась собачка замка шасси. Самолет встал в ремонт. 29 июня при посадке без щитков (Н. В. Гаврилов забыл выпустить их) в конце пробе</w:t>
      </w:r>
      <w:r w:rsidRPr="007224C3">
        <w:rPr>
          <w:color w:val="000000" w:themeColor="text1"/>
          <w:sz w:val="16"/>
          <w:szCs w:val="16"/>
        </w:rPr>
        <w:softHyphen/>
        <w:t>га отказали тормоза, самолет выкатился за пределы аэродрома, попал в канаву и подломал левую стой</w:t>
      </w:r>
      <w:r w:rsidRPr="007224C3">
        <w:rPr>
          <w:color w:val="000000" w:themeColor="text1"/>
          <w:sz w:val="16"/>
          <w:szCs w:val="16"/>
        </w:rPr>
        <w:softHyphen/>
        <w:t>ку основного шасси. Очередной ремонт самолета продолжался до 30 июля. Пришлось ремонтиро</w:t>
      </w:r>
      <w:r w:rsidRPr="007224C3">
        <w:rPr>
          <w:color w:val="000000" w:themeColor="text1"/>
          <w:sz w:val="16"/>
          <w:szCs w:val="16"/>
        </w:rPr>
        <w:softHyphen/>
        <w:t>вать фюзеляж, крыло, шасси и оперение. Заменили левую мотораму, оба мотора и винты. Одновремен</w:t>
      </w:r>
      <w:r w:rsidRPr="007224C3">
        <w:rPr>
          <w:color w:val="000000" w:themeColor="text1"/>
          <w:sz w:val="16"/>
          <w:szCs w:val="16"/>
        </w:rPr>
        <w:softHyphen/>
        <w:t>но для увеличения запаса рулей высоты на посадке изменили угол установки стабилизатора на —2°30'. При первых же пробежках после ремонта 30 июля обнаружилось, что тормоза колес шасси работают все так же недостаточно эффективно и посадка на Центральном аэродроме возможна лишь в од</w:t>
      </w:r>
      <w:r w:rsidRPr="007224C3">
        <w:rPr>
          <w:color w:val="000000" w:themeColor="text1"/>
          <w:sz w:val="16"/>
          <w:szCs w:val="16"/>
        </w:rPr>
        <w:softHyphen/>
        <w:t>ном направлении. По этой причине было приня</w:t>
      </w:r>
      <w:r w:rsidRPr="007224C3">
        <w:rPr>
          <w:color w:val="000000" w:themeColor="text1"/>
          <w:sz w:val="16"/>
          <w:szCs w:val="16"/>
        </w:rPr>
        <w:softHyphen/>
        <w:t>то решение продолжить испытания на аэродроме ЛИИ НКАП в Раменском, куда самолет перелетел 14 августа. Моторы АМ-38ф работали нормально, что позволило к 16 сентября в целом завершить программу заводских летных испытаний. К сожа</w:t>
      </w:r>
      <w:r w:rsidRPr="007224C3">
        <w:rPr>
          <w:color w:val="000000" w:themeColor="text1"/>
          <w:sz w:val="16"/>
          <w:szCs w:val="16"/>
        </w:rPr>
        <w:softHyphen/>
        <w:t>лению, в этот день при взлете произошел обрыв ушка крепления цилиндра подъема шасси с обры</w:t>
      </w:r>
      <w:r w:rsidRPr="007224C3">
        <w:rPr>
          <w:color w:val="000000" w:themeColor="text1"/>
          <w:sz w:val="16"/>
          <w:szCs w:val="16"/>
        </w:rPr>
        <w:softHyphen/>
        <w:t>вом воздушной проводки, в результате чего шасси осталось в незафиксированном положении. При посадке на аэродром Раменское шасси сложилось. Помялись нижние капоты моторов и маслорадиато- ры. Погнулись оба винта. Но главное, деформиро</w:t>
      </w:r>
      <w:r w:rsidRPr="007224C3">
        <w:rPr>
          <w:color w:val="000000" w:themeColor="text1"/>
          <w:sz w:val="16"/>
          <w:szCs w:val="16"/>
        </w:rPr>
        <w:softHyphen/>
        <w:t>вался фюзеляж. Самолету требовался длительный ремонт (17500).</w:t>
      </w:r>
    </w:p>
    <w:p w14:paraId="32706BBD" w14:textId="77777777" w:rsidR="008E2CE5" w:rsidRPr="007224C3" w:rsidRDefault="008E2CE5" w:rsidP="007224C3">
      <w:pPr>
        <w:spacing w:after="0" w:line="240" w:lineRule="auto"/>
        <w:jc w:val="both"/>
        <w:rPr>
          <w:rFonts w:ascii="Times New Roman" w:eastAsia="Times New Roman" w:hAnsi="Times New Roman"/>
          <w:color w:val="000000" w:themeColor="text1"/>
          <w:sz w:val="16"/>
          <w:szCs w:val="16"/>
          <w:lang w:eastAsia="ru-RU"/>
        </w:rPr>
      </w:pPr>
    </w:p>
    <w:p w14:paraId="1DE20E33"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04477A8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533F87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марте-апреле 1944 года были проведены первые полигонные испытания 82-мм легкое пехотное орудие СКБ-34. В ходе этих испытаний произошло разрушение сварных швов лафета (3861).</w:t>
      </w:r>
    </w:p>
    <w:p w14:paraId="75CEBC6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1E7B7C" w14:textId="77777777" w:rsidR="00E23482" w:rsidRPr="007224C3" w:rsidRDefault="00E23482" w:rsidP="007224C3">
      <w:pPr>
        <w:spacing w:after="0" w:line="240" w:lineRule="auto"/>
        <w:jc w:val="both"/>
        <w:rPr>
          <w:rFonts w:ascii="Times New Roman" w:hAnsi="Times New Roman"/>
          <w:color w:val="000000" w:themeColor="text1"/>
          <w:sz w:val="16"/>
          <w:szCs w:val="16"/>
          <w:shd w:val="clear" w:color="auto" w:fill="FFFFFF"/>
        </w:rPr>
      </w:pPr>
      <w:r w:rsidRPr="007224C3">
        <w:rPr>
          <w:rFonts w:ascii="Times New Roman" w:hAnsi="Times New Roman"/>
          <w:color w:val="000000" w:themeColor="text1"/>
          <w:sz w:val="16"/>
          <w:szCs w:val="16"/>
          <w:shd w:val="clear" w:color="auto" w:fill="FFFFFF"/>
        </w:rPr>
        <w:t xml:space="preserve">В марте-апреле 1944 года были первый раз проведены полигонные испытания </w:t>
      </w:r>
      <w:r w:rsidRPr="007224C3">
        <w:rPr>
          <w:rStyle w:val="a7"/>
          <w:rFonts w:ascii="Times New Roman" w:hAnsi="Times New Roman"/>
          <w:b w:val="0"/>
          <w:color w:val="000000" w:themeColor="text1"/>
          <w:sz w:val="16"/>
          <w:szCs w:val="16"/>
          <w:shd w:val="clear" w:color="auto" w:fill="FFFFFF"/>
        </w:rPr>
        <w:t>82-мм легкого пехотного орудия</w:t>
      </w:r>
      <w:r w:rsidRPr="007224C3">
        <w:rPr>
          <w:rFonts w:ascii="Times New Roman" w:hAnsi="Times New Roman"/>
          <w:color w:val="000000" w:themeColor="text1"/>
          <w:sz w:val="16"/>
          <w:szCs w:val="16"/>
          <w:shd w:val="clear" w:color="auto" w:fill="FFFFFF"/>
        </w:rPr>
        <w:t xml:space="preserve"> СКБ-34, спроектированого в СКБ-НКВ (Коломна). СКБ-34 оказалось суперуниверсальным орудием — оно могло вести навесной огонь 82-мм минами как обычный миномет, вести борьбу с танками и даже с самолетами. То есть это был миномет, полевая пушка, противотанковая и зенитная пушки в одной системе — можно сказать, предшественник орудия «Нона». Орудие имело разнообразный боекомплект; в него входили: обычная 82-мм мина для навесной стрельбы (заряды, как в обычных минометах); унитарный выстрел для настильной стрельбы. Оперенный снаряд для него был спроектирован в СКБ-48;  82-мм противотанковая кумулятивная мина конструкции СКБ-НКВ; унитарный зенитный выстрел с дистанционным взрывателем; унитарный выстрел с картечью. При ведении навесного огня при углах, больших 45°, заряжание производилось с дула, а настильного — с казенной части. Стрельба при углах свыше 45° велась с помощью вставленной с казны постоянной железной гильзы с жестким бойком, то есть воспламенителя Стокса. Стрельба при малых углах возвышения (до +5°) велась с колес, а при больших углах — с двух опорных плит. При постановке системы на плиты колеса приподнимались на 40-60 мм над грунтом.</w:t>
      </w:r>
    </w:p>
    <w:p w14:paraId="07740337" w14:textId="77777777" w:rsidR="00E23482" w:rsidRPr="007224C3" w:rsidRDefault="00E23482" w:rsidP="007224C3">
      <w:pPr>
        <w:spacing w:after="0" w:line="240" w:lineRule="auto"/>
        <w:jc w:val="both"/>
        <w:rPr>
          <w:rFonts w:ascii="Times New Roman" w:hAnsi="Times New Roman"/>
          <w:color w:val="000000" w:themeColor="text1"/>
          <w:sz w:val="16"/>
          <w:szCs w:val="16"/>
          <w:shd w:val="clear" w:color="auto" w:fill="FFFFFF"/>
        </w:rPr>
      </w:pPr>
      <w:r w:rsidRPr="007224C3">
        <w:rPr>
          <w:rFonts w:ascii="Times New Roman" w:hAnsi="Times New Roman"/>
          <w:color w:val="000000" w:themeColor="text1"/>
          <w:sz w:val="16"/>
          <w:szCs w:val="16"/>
          <w:shd w:val="clear" w:color="auto" w:fill="FFFFFF"/>
        </w:rPr>
        <w:t>Ствол орудия — моноблок с иавинтным казенником. Канал ствола гладкий. Затвор горизонтальный клиновой. Люлька с противооткатными устройствами взята штатная от 45-мм противотанковой пушки обр. 1937 г. Единственное изменение в ней — шесть дополнительных канавок в цилиндре тормоза отката. Верхний станок штампосварной. Уравновешивающий механизм пружинный, тянущего типа. Поворотный механизм винтовой. Подъемный механизм секторный. Боевая ось коробчатая сварная. Колеса мотоциклетные.</w:t>
      </w:r>
    </w:p>
    <w:p w14:paraId="08AC0D2E" w14:textId="77777777" w:rsidR="00E23482" w:rsidRPr="007224C3" w:rsidRDefault="00E2348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shd w:val="clear" w:color="auto" w:fill="FFFFFF"/>
        </w:rPr>
        <w:t>Согласно заключению комиссии по полигонным испытаниям от 23 июня 1944 года: кучность системы при стрельбе с дистанции 500 м хуже кучности 76-мм полковой пушки обр. 1943 г.  Прочность пружин подрессоривания и сварных швов при возке неудовлетворительны. Железная гильза с бойком для самонакалывания после стрельбы плохо экстрактируется. Щитовое прикрытие не полностью прикрывает расчет. Тем не менее комиссия рекомендовала изготовить опытную серию орудий для войсковых испытаний. Дальнейшая сульба орудия неизвестна (19615).</w:t>
      </w:r>
    </w:p>
    <w:p w14:paraId="4B825A07" w14:textId="77777777" w:rsidR="00E23482" w:rsidRPr="007224C3" w:rsidRDefault="00E23482" w:rsidP="007224C3">
      <w:pPr>
        <w:spacing w:after="0" w:line="240" w:lineRule="auto"/>
        <w:jc w:val="both"/>
        <w:rPr>
          <w:rFonts w:ascii="Times New Roman" w:hAnsi="Times New Roman"/>
          <w:color w:val="000000" w:themeColor="text1"/>
          <w:sz w:val="16"/>
          <w:szCs w:val="16"/>
        </w:rPr>
      </w:pPr>
    </w:p>
    <w:p w14:paraId="62C4A0D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марте - апреле 1944 г. был из</w:t>
      </w:r>
      <w:r w:rsidRPr="007224C3">
        <w:rPr>
          <w:rFonts w:ascii="Times New Roman" w:hAnsi="Times New Roman"/>
          <w:color w:val="000000" w:themeColor="text1"/>
          <w:sz w:val="16"/>
          <w:szCs w:val="16"/>
        </w:rPr>
        <w:softHyphen/>
        <w:t>готовлен заводом № 100 танк "Объект 245" (за</w:t>
      </w:r>
      <w:r w:rsidRPr="007224C3">
        <w:rPr>
          <w:rFonts w:ascii="Times New Roman" w:hAnsi="Times New Roman"/>
          <w:color w:val="000000" w:themeColor="text1"/>
          <w:sz w:val="16"/>
          <w:szCs w:val="16"/>
        </w:rPr>
        <w:softHyphen/>
        <w:t>водское обозначение - ИС-4), вооруженный 100-мм пушкой Д-10Т за</w:t>
      </w:r>
      <w:r w:rsidRPr="007224C3">
        <w:rPr>
          <w:rFonts w:ascii="Times New Roman" w:hAnsi="Times New Roman"/>
          <w:color w:val="000000" w:themeColor="text1"/>
          <w:sz w:val="16"/>
          <w:szCs w:val="16"/>
        </w:rPr>
        <w:softHyphen/>
        <w:t>вода № 9 НКВ с баллистикой морской пушки Б-34 (длина ствола 56 ка</w:t>
      </w:r>
      <w:r w:rsidRPr="007224C3">
        <w:rPr>
          <w:rFonts w:ascii="Times New Roman" w:hAnsi="Times New Roman"/>
          <w:color w:val="000000" w:themeColor="text1"/>
          <w:sz w:val="16"/>
          <w:szCs w:val="16"/>
        </w:rPr>
        <w:softHyphen/>
        <w:t>либров, начальная скорость бронебойного снаряда 900 м/с). Ведущим инженером машины от завода № 100 был Н.И. Заморянский, а по пушке Д-10Т от завода № 9 - М.Е. Безусов (10703).</w:t>
      </w:r>
    </w:p>
    <w:p w14:paraId="2C5B8AA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EE3497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 марте - апреле на заводе № 9 НКВ была произведена установка основного оружия в башню танка Объект 245 (ИС-4). Ведущим инженером машины от завода № 100 был Н.И. Заморянский, от завода № 9 - М.Е. Безусов. В период с марта по апрель и в июне 1944 г. машина прошла заводские испытания. На вооружение танк не </w:t>
      </w:r>
      <w:r w:rsidRPr="007224C3">
        <w:rPr>
          <w:rFonts w:ascii="Times New Roman" w:hAnsi="Times New Roman"/>
          <w:color w:val="000000" w:themeColor="text1"/>
          <w:sz w:val="16"/>
          <w:szCs w:val="16"/>
        </w:rPr>
        <w:lastRenderedPageBreak/>
        <w:t>принимался и серийном производстве не состоял. Танк был создан на базе серийного танка ИС-1 и отличался от него установкой 100-мм пушки Д-10Т с длиной ствола 56 калибров и клино</w:t>
      </w:r>
      <w:r w:rsidRPr="007224C3">
        <w:rPr>
          <w:rFonts w:ascii="Times New Roman" w:hAnsi="Times New Roman"/>
          <w:color w:val="000000" w:themeColor="text1"/>
          <w:sz w:val="16"/>
          <w:szCs w:val="16"/>
        </w:rPr>
        <w:softHyphen/>
        <w:t>вым затвором. Высота линии огня составляла 1950 мм, длина отката -570 мм. Вместе с пушкой был спарен 7,62-мм пулемет ДТ. Для наводки в цель спаренной установки оружия использовался телескопический шарнирный прицел ТШ с 2,5-кратным увеличением. Углы вертикаль</w:t>
      </w:r>
      <w:r w:rsidRPr="007224C3">
        <w:rPr>
          <w:rFonts w:ascii="Times New Roman" w:hAnsi="Times New Roman"/>
          <w:color w:val="000000" w:themeColor="text1"/>
          <w:sz w:val="16"/>
          <w:szCs w:val="16"/>
        </w:rPr>
        <w:softHyphen/>
        <w:t>ной наводки пушки находились в интервале от -3 до +20°. Для удале</w:t>
      </w:r>
      <w:r w:rsidRPr="007224C3">
        <w:rPr>
          <w:rFonts w:ascii="Times New Roman" w:hAnsi="Times New Roman"/>
          <w:color w:val="000000" w:themeColor="text1"/>
          <w:sz w:val="16"/>
          <w:szCs w:val="16"/>
        </w:rPr>
        <w:softHyphen/>
        <w:t>ния пороховых газов из боевого отделения применялся вентилятор по</w:t>
      </w:r>
      <w:r w:rsidRPr="007224C3">
        <w:rPr>
          <w:rFonts w:ascii="Times New Roman" w:hAnsi="Times New Roman"/>
          <w:color w:val="000000" w:themeColor="text1"/>
          <w:sz w:val="16"/>
          <w:szCs w:val="16"/>
        </w:rPr>
        <w:softHyphen/>
        <w:t>вышенной производительности (10703).</w:t>
      </w:r>
    </w:p>
    <w:p w14:paraId="00862C6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663356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период с марта по апрель и в июне 1944 г. машина Объект 245 (ИС-4) прошла заводские испытания. На вооружение танк не принимался и серийном производстве не состоял. Танк был создан на базе серийного танка ИС-1 и отличался от него установкой 100-мм пушки Д-10Т с длиной ствола 56 калибров и клино</w:t>
      </w:r>
      <w:r w:rsidRPr="007224C3">
        <w:rPr>
          <w:rFonts w:ascii="Times New Roman" w:hAnsi="Times New Roman"/>
          <w:color w:val="000000" w:themeColor="text1"/>
          <w:sz w:val="16"/>
          <w:szCs w:val="16"/>
        </w:rPr>
        <w:softHyphen/>
        <w:t>вым затвором. Высота линии огня составляла 1950 мм, длина отката -570 мм. Вместе с пушкой был спарен 7,62-мм пулемет ДТ. Для наводки в цель спаренной установки оружия использовался телескопический шарнирный прицел ТШ с 2,5-кратным увеличением. Углы вертикаль</w:t>
      </w:r>
      <w:r w:rsidRPr="007224C3">
        <w:rPr>
          <w:rFonts w:ascii="Times New Roman" w:hAnsi="Times New Roman"/>
          <w:color w:val="000000" w:themeColor="text1"/>
          <w:sz w:val="16"/>
          <w:szCs w:val="16"/>
        </w:rPr>
        <w:softHyphen/>
        <w:t>ной наводки пушки находились в интервале от -3 до +20°. Для удале</w:t>
      </w:r>
      <w:r w:rsidRPr="007224C3">
        <w:rPr>
          <w:rFonts w:ascii="Times New Roman" w:hAnsi="Times New Roman"/>
          <w:color w:val="000000" w:themeColor="text1"/>
          <w:sz w:val="16"/>
          <w:szCs w:val="16"/>
        </w:rPr>
        <w:softHyphen/>
        <w:t>ния пороховых газов из боевого отделения применялся вентилятор по</w:t>
      </w:r>
      <w:r w:rsidRPr="007224C3">
        <w:rPr>
          <w:rFonts w:ascii="Times New Roman" w:hAnsi="Times New Roman"/>
          <w:color w:val="000000" w:themeColor="text1"/>
          <w:sz w:val="16"/>
          <w:szCs w:val="16"/>
        </w:rPr>
        <w:softHyphen/>
        <w:t>вышенной производительности (10703).</w:t>
      </w:r>
    </w:p>
    <w:p w14:paraId="1704882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3E866B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марте — апреле 1944 г. испытания танка Объект 245 (ИС-4) на Горохо вецком АНИОПе выявили недостатки в работе полуавтоматики пушки которая была отправлена на завод № 9 для доработки. В июне 1944 г. до работанная и изготовленная заводом № 4 пушка Д-10Т на заводе № 100 была вновь установлена в танке "Объект 245" и повторно подвергну полигонным испытаниям. Кроме того, в боевом отделении танка бы установлен вентилятор более высокой производительности и измене: наклон хомутиковой укладки выстрелов (10703).</w:t>
      </w:r>
    </w:p>
    <w:p w14:paraId="25BA0BF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6A027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марте-апреле 1944 г. в Кубинке проходили первые испытания макетного образца стабилизатор для 85мм пушки Т-34, который был разработан специаль</w:t>
      </w:r>
      <w:r w:rsidRPr="007224C3">
        <w:rPr>
          <w:rFonts w:ascii="Times New Roman" w:hAnsi="Times New Roman"/>
          <w:color w:val="000000" w:themeColor="text1"/>
          <w:sz w:val="16"/>
          <w:szCs w:val="16"/>
        </w:rPr>
        <w:softHyphen/>
        <w:t>ным конструкторским бюро Наркомата судостроения под руководством А. Атовмьяна по теме «Таран»., но закончились не вполне удачно, так как орудие ЗИС-С-53 имело больший вес, нежели С-53 (у С-53 бьши более тонкие стенки ствола) и потому больший момент инерции, что увеличивало время реакции испол</w:t>
      </w:r>
      <w:r w:rsidRPr="007224C3">
        <w:rPr>
          <w:rFonts w:ascii="Times New Roman" w:hAnsi="Times New Roman"/>
          <w:color w:val="000000" w:themeColor="text1"/>
          <w:sz w:val="16"/>
          <w:szCs w:val="16"/>
        </w:rPr>
        <w:softHyphen/>
        <w:t>нительных механизмов и ухудшало результаты стрельбы. После этого стабилизатор СТП-С-53 «Таран» был дора</w:t>
      </w:r>
      <w:r w:rsidRPr="007224C3">
        <w:rPr>
          <w:rFonts w:ascii="Times New Roman" w:hAnsi="Times New Roman"/>
          <w:color w:val="000000" w:themeColor="text1"/>
          <w:sz w:val="16"/>
          <w:szCs w:val="16"/>
        </w:rPr>
        <w:softHyphen/>
        <w:t>ботан и в конце 1944 г. им бьши оснащены 4 специально пе</w:t>
      </w:r>
      <w:r w:rsidRPr="007224C3">
        <w:rPr>
          <w:rFonts w:ascii="Times New Roman" w:hAnsi="Times New Roman"/>
          <w:color w:val="000000" w:themeColor="text1"/>
          <w:sz w:val="16"/>
          <w:szCs w:val="16"/>
        </w:rPr>
        <w:softHyphen/>
        <w:t>реоборудованные танка (названные разработчиком Т-34-85-СТ), проходившие испытания в начале 1945 г. Испытания показали многообещающие результаты. Стабилизатор облег</w:t>
      </w:r>
      <w:r w:rsidRPr="007224C3">
        <w:rPr>
          <w:rFonts w:ascii="Times New Roman" w:hAnsi="Times New Roman"/>
          <w:color w:val="000000" w:themeColor="text1"/>
          <w:sz w:val="16"/>
          <w:szCs w:val="16"/>
        </w:rPr>
        <w:softHyphen/>
        <w:t>чал наводчику операцию вертикальной наводки орудия в движении по слабопересеченной местности, а условия про</w:t>
      </w:r>
      <w:r w:rsidRPr="007224C3">
        <w:rPr>
          <w:rFonts w:ascii="Times New Roman" w:hAnsi="Times New Roman"/>
          <w:color w:val="000000" w:themeColor="text1"/>
          <w:sz w:val="16"/>
          <w:szCs w:val="16"/>
        </w:rPr>
        <w:softHyphen/>
        <w:t>ведения стрельб на ходу приближались к таковым с места. Однако стабилизатор работал еще не вполне надежно, а его эксплуатация была под силу только подготовленному экипажу. Поэтому на вооружение он не принимался (11135).</w:t>
      </w:r>
    </w:p>
    <w:p w14:paraId="16EE1D4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7E5D22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марте - мае 1944 г. в КБ завода № 38 в г. Кирове под руководством М.Н. Щукина была разработана Самоходная установка ОСУ-76. Веду</w:t>
      </w:r>
      <w:r w:rsidRPr="007224C3">
        <w:rPr>
          <w:rFonts w:ascii="Times New Roman" w:hAnsi="Times New Roman"/>
          <w:color w:val="000000" w:themeColor="text1"/>
          <w:sz w:val="16"/>
          <w:szCs w:val="16"/>
        </w:rPr>
        <w:softHyphen/>
        <w:t>щими инженерами машины были конструкторы Чирков и Мизонов. Ле</w:t>
      </w:r>
      <w:r w:rsidRPr="007224C3">
        <w:rPr>
          <w:rFonts w:ascii="Times New Roman" w:hAnsi="Times New Roman"/>
          <w:color w:val="000000" w:themeColor="text1"/>
          <w:sz w:val="16"/>
          <w:szCs w:val="16"/>
        </w:rPr>
        <w:softHyphen/>
        <w:t>том 1944 г. были изготовлены три опытных образца установки, которые в июле того же года на ГАНИОПе и НИБТ полигоне прошли государ</w:t>
      </w:r>
      <w:r w:rsidRPr="007224C3">
        <w:rPr>
          <w:rFonts w:ascii="Times New Roman" w:hAnsi="Times New Roman"/>
          <w:color w:val="000000" w:themeColor="text1"/>
          <w:sz w:val="16"/>
          <w:szCs w:val="16"/>
        </w:rPr>
        <w:softHyphen/>
        <w:t>ственные испытания. Машина предназначалась для непосредственной поддержки пехоты. На вооружении и в серийном производстве не со</w:t>
      </w:r>
      <w:r w:rsidRPr="007224C3">
        <w:rPr>
          <w:rFonts w:ascii="Times New Roman" w:hAnsi="Times New Roman"/>
          <w:color w:val="000000" w:themeColor="text1"/>
          <w:sz w:val="16"/>
          <w:szCs w:val="16"/>
        </w:rPr>
        <w:softHyphen/>
        <w:t>стояла (10703).</w:t>
      </w:r>
    </w:p>
    <w:p w14:paraId="56BD210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0A9D09B"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7DB49ED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53E00A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марте-апреле 1944 г. в соответствии с приказом Наркома ВМФ на специально оборудованных по</w:t>
      </w:r>
      <w:r w:rsidRPr="007224C3">
        <w:rPr>
          <w:rFonts w:ascii="Times New Roman" w:hAnsi="Times New Roman"/>
          <w:color w:val="000000" w:themeColor="text1"/>
          <w:sz w:val="16"/>
          <w:szCs w:val="16"/>
        </w:rPr>
        <w:softHyphen/>
        <w:t>лигонах морские летчики-штурмовики начали осваивать топмачтовый способ бомбометания, ко</w:t>
      </w:r>
      <w:r w:rsidRPr="007224C3">
        <w:rPr>
          <w:rFonts w:ascii="Times New Roman" w:hAnsi="Times New Roman"/>
          <w:color w:val="000000" w:themeColor="text1"/>
          <w:sz w:val="16"/>
          <w:szCs w:val="16"/>
        </w:rPr>
        <w:softHyphen/>
        <w:t xml:space="preserve">торый определялся как </w:t>
      </w:r>
      <w:r w:rsidRPr="007224C3">
        <w:rPr>
          <w:rFonts w:ascii="Times New Roman" w:hAnsi="Times New Roman"/>
          <w:iCs/>
          <w:color w:val="000000" w:themeColor="text1"/>
          <w:sz w:val="16"/>
          <w:szCs w:val="16"/>
        </w:rPr>
        <w:t>"основной спо</w:t>
      </w:r>
      <w:r w:rsidRPr="007224C3">
        <w:rPr>
          <w:rFonts w:ascii="Times New Roman" w:hAnsi="Times New Roman"/>
          <w:iCs/>
          <w:color w:val="000000" w:themeColor="text1"/>
          <w:sz w:val="16"/>
          <w:szCs w:val="16"/>
        </w:rPr>
        <w:softHyphen/>
        <w:t>соб при бомбовых ударах по плавсредствам противника на переходе морем".</w:t>
      </w:r>
    </w:p>
    <w:p w14:paraId="06AC1E8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Суть топмачтового способа бомбоме</w:t>
      </w:r>
      <w:r w:rsidRPr="007224C3">
        <w:rPr>
          <w:rFonts w:ascii="Times New Roman" w:hAnsi="Times New Roman"/>
          <w:color w:val="000000" w:themeColor="text1"/>
          <w:sz w:val="16"/>
          <w:szCs w:val="16"/>
        </w:rPr>
        <w:softHyphen/>
        <w:t>тания состояла в следующем. При вы</w:t>
      </w:r>
      <w:r w:rsidRPr="007224C3">
        <w:rPr>
          <w:rFonts w:ascii="Times New Roman" w:hAnsi="Times New Roman"/>
          <w:color w:val="000000" w:themeColor="text1"/>
          <w:sz w:val="16"/>
          <w:szCs w:val="16"/>
        </w:rPr>
        <w:softHyphen/>
        <w:t>ходе штурмовиков на конвой Ил-2-топ-мачтовики, летящие вначале в общем боевом порядке, снижались и, маневри</w:t>
      </w:r>
      <w:r w:rsidRPr="007224C3">
        <w:rPr>
          <w:rFonts w:ascii="Times New Roman" w:hAnsi="Times New Roman"/>
          <w:color w:val="000000" w:themeColor="text1"/>
          <w:sz w:val="16"/>
          <w:szCs w:val="16"/>
        </w:rPr>
        <w:softHyphen/>
        <w:t>руя, выходили вслед за группой подав</w:t>
      </w:r>
      <w:r w:rsidRPr="007224C3">
        <w:rPr>
          <w:rFonts w:ascii="Times New Roman" w:hAnsi="Times New Roman"/>
          <w:color w:val="000000" w:themeColor="text1"/>
          <w:sz w:val="16"/>
          <w:szCs w:val="16"/>
        </w:rPr>
        <w:softHyphen/>
        <w:t>ления зенитного огня в атаку на цель. С дальности пуска реактивных снарядов и действительного огня стрелково-пушечного вооружения (700-600 м) - дистан</w:t>
      </w:r>
      <w:r w:rsidRPr="007224C3">
        <w:rPr>
          <w:rFonts w:ascii="Times New Roman" w:hAnsi="Times New Roman"/>
          <w:color w:val="000000" w:themeColor="text1"/>
          <w:sz w:val="16"/>
          <w:szCs w:val="16"/>
        </w:rPr>
        <w:softHyphen/>
        <w:t>ция выхода на боевой курс, летчик-топмачтовик обстреливал цель, продолжая снижение до бреющего полета. С высо</w:t>
      </w:r>
      <w:r w:rsidRPr="007224C3">
        <w:rPr>
          <w:rFonts w:ascii="Times New Roman" w:hAnsi="Times New Roman"/>
          <w:color w:val="000000" w:themeColor="text1"/>
          <w:sz w:val="16"/>
          <w:szCs w:val="16"/>
        </w:rPr>
        <w:softHyphen/>
        <w:t>ты 20-30 м, что соответствовало верхней оконечности (топ) мачты корабля (суд</w:t>
      </w:r>
      <w:r w:rsidRPr="007224C3">
        <w:rPr>
          <w:rFonts w:ascii="Times New Roman" w:hAnsi="Times New Roman"/>
          <w:color w:val="000000" w:themeColor="text1"/>
          <w:sz w:val="16"/>
          <w:szCs w:val="16"/>
        </w:rPr>
        <w:softHyphen/>
        <w:t>на), на дистанции несколько меньшей величины относа (250-150 м) пилот Ил-2 сбрасывал серию авиабомб (с интер</w:t>
      </w:r>
      <w:r w:rsidRPr="007224C3">
        <w:rPr>
          <w:rFonts w:ascii="Times New Roman" w:hAnsi="Times New Roman"/>
          <w:color w:val="000000" w:themeColor="text1"/>
          <w:sz w:val="16"/>
          <w:szCs w:val="16"/>
        </w:rPr>
        <w:softHyphen/>
        <w:t>валом 0,05-0,1 сек при скорости полета 300-350 км/ч) так, чтобы первая упала с недолетом и, делая "барс" (рикошетируя), попадала в борт корабля. В случае ошибки корабль поражался другими авиабомбами серии. Чтобы Ил-2-топ-мачтовик не получил повреждения от осколков авиабомб, их взрыватели ус</w:t>
      </w:r>
      <w:r w:rsidRPr="007224C3">
        <w:rPr>
          <w:rFonts w:ascii="Times New Roman" w:hAnsi="Times New Roman"/>
          <w:color w:val="000000" w:themeColor="text1"/>
          <w:sz w:val="16"/>
          <w:szCs w:val="16"/>
        </w:rPr>
        <w:softHyphen/>
        <w:t>танавливались с замедлением на 4-7 сек. Сбросив авиабомбы, экипаж про</w:t>
      </w:r>
      <w:r w:rsidRPr="007224C3">
        <w:rPr>
          <w:rFonts w:ascii="Times New Roman" w:hAnsi="Times New Roman"/>
          <w:color w:val="000000" w:themeColor="text1"/>
          <w:sz w:val="16"/>
          <w:szCs w:val="16"/>
        </w:rPr>
        <w:softHyphen/>
        <w:t>летал над кораблем и, выполнив проти</w:t>
      </w:r>
      <w:r w:rsidRPr="007224C3">
        <w:rPr>
          <w:rFonts w:ascii="Times New Roman" w:hAnsi="Times New Roman"/>
          <w:color w:val="000000" w:themeColor="text1"/>
          <w:sz w:val="16"/>
          <w:szCs w:val="16"/>
        </w:rPr>
        <w:softHyphen/>
        <w:t>возенитный маневр, уходил восвояси.</w:t>
      </w:r>
    </w:p>
    <w:p w14:paraId="141CC1D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Ведомый Ил-2-топмачтовик повторял маневр ведущего и наносил удар по тому же кораблю или транспорту. Сброс авиабомб ведомый осуществлял по сиг</w:t>
      </w:r>
      <w:r w:rsidRPr="007224C3">
        <w:rPr>
          <w:rFonts w:ascii="Times New Roman" w:hAnsi="Times New Roman"/>
          <w:color w:val="000000" w:themeColor="text1"/>
          <w:sz w:val="16"/>
          <w:szCs w:val="16"/>
        </w:rPr>
        <w:softHyphen/>
        <w:t>налу ведущего или самостоятельно.</w:t>
      </w:r>
    </w:p>
    <w:p w14:paraId="2E444A6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Топмачтовое бомбометание, в соче</w:t>
      </w:r>
      <w:r w:rsidRPr="007224C3">
        <w:rPr>
          <w:rFonts w:ascii="Times New Roman" w:hAnsi="Times New Roman"/>
          <w:color w:val="000000" w:themeColor="text1"/>
          <w:sz w:val="16"/>
          <w:szCs w:val="16"/>
        </w:rPr>
        <w:softHyphen/>
        <w:t>тании с обычными приемами атак Ил-2 надводных целей, оказалось весьма и весьма результативным (6467).</w:t>
      </w:r>
    </w:p>
    <w:p w14:paraId="0CE7960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737C5C" w14:textId="77777777" w:rsidR="00E23482" w:rsidRPr="007224C3" w:rsidRDefault="00E23482"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0876ABE5" w14:textId="77777777" w:rsidR="00E23482" w:rsidRPr="007224C3" w:rsidRDefault="00E23482"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BAD14D5" w14:textId="77777777" w:rsidR="00E23482" w:rsidRPr="007224C3" w:rsidRDefault="00E23482" w:rsidP="007224C3">
      <w:pPr>
        <w:pStyle w:val="ae"/>
        <w:shd w:val="clear" w:color="auto" w:fill="FFFFFF"/>
        <w:spacing w:before="0" w:after="0"/>
        <w:jc w:val="both"/>
        <w:textAlignment w:val="baseline"/>
        <w:rPr>
          <w:color w:val="000000" w:themeColor="text1"/>
          <w:sz w:val="16"/>
          <w:szCs w:val="16"/>
        </w:rPr>
      </w:pPr>
      <w:r w:rsidRPr="007224C3">
        <w:rPr>
          <w:color w:val="000000" w:themeColor="text1"/>
          <w:sz w:val="16"/>
          <w:szCs w:val="16"/>
        </w:rPr>
        <w:t>В начале весны 1944 года стали известны первые результаты боевого применения тяжёлого танка </w:t>
      </w:r>
      <w:hyperlink r:id="rId93" w:history="1">
        <w:r w:rsidRPr="007224C3">
          <w:rPr>
            <w:rStyle w:val="a5"/>
            <w:bCs/>
            <w:iCs/>
            <w:color w:val="000000" w:themeColor="text1"/>
            <w:sz w:val="16"/>
            <w:szCs w:val="16"/>
            <w:bdr w:val="none" w:sz="0" w:space="0" w:color="auto" w:frame="1"/>
          </w:rPr>
          <w:t>ИС-85 (ИС-1)</w:t>
        </w:r>
      </w:hyperlink>
      <w:r w:rsidRPr="007224C3">
        <w:rPr>
          <w:color w:val="000000" w:themeColor="text1"/>
          <w:sz w:val="16"/>
          <w:szCs w:val="16"/>
        </w:rPr>
        <w:t>. Выяснилось, что броневая защита танка, как и его вооружение, не соответствуют реалиям поля боя. Насчёт вооружения в ГБТУ КА знали и так: уже с декабря 1943 года начался выпуск тяжёлых танков </w:t>
      </w:r>
      <w:hyperlink r:id="rId94" w:history="1">
        <w:r w:rsidRPr="007224C3">
          <w:rPr>
            <w:rStyle w:val="a5"/>
            <w:bCs/>
            <w:iCs/>
            <w:color w:val="000000" w:themeColor="text1"/>
            <w:sz w:val="16"/>
            <w:szCs w:val="16"/>
            <w:bdr w:val="none" w:sz="0" w:space="0" w:color="auto" w:frame="1"/>
          </w:rPr>
          <w:t>ИС-122 (ИС-2)</w:t>
        </w:r>
      </w:hyperlink>
      <w:r w:rsidRPr="007224C3">
        <w:rPr>
          <w:color w:val="000000" w:themeColor="text1"/>
          <w:sz w:val="16"/>
          <w:szCs w:val="16"/>
        </w:rPr>
        <w:t> с более мощной 122-мм пушкой Д-25Т. В случае же с бронированием новость оказалась крайне неприятной. Оказалось, что немецкое 75-мм орудие KwK 42 L/70 пробивает и лоб корпуса, и лоб башни. По этой причине уже с конца марта начались проектные работы по модернизации ИС-2. Окончательно их легализовали постановлением ГКО №5583сс «Об изготовлении опытных образцов нового тяжёлого танка на Кировском заводе НКТП» от 8 апреля 1944 года. Помимо разработки и постройки опытных образцов тяжёлого танка Объект 701, в постановлении шла речь о модернизированном ИС-2. В трёхмесячный срок требовалось разработать и изготовить улучшенный вариант танка. Главными требованиями являлись усиление броневой защиты, а также повышение надёжности ходовой части и трансмиссии (19150).</w:t>
      </w:r>
    </w:p>
    <w:p w14:paraId="4A050266" w14:textId="77777777" w:rsidR="00E23482" w:rsidRPr="007224C3" w:rsidRDefault="00E23482" w:rsidP="007224C3">
      <w:pPr>
        <w:pStyle w:val="ae"/>
        <w:shd w:val="clear" w:color="auto" w:fill="FFFFFF"/>
        <w:spacing w:before="0" w:after="0"/>
        <w:jc w:val="both"/>
        <w:textAlignment w:val="baseline"/>
        <w:rPr>
          <w:color w:val="000000" w:themeColor="text1"/>
          <w:sz w:val="16"/>
          <w:szCs w:val="16"/>
        </w:rPr>
      </w:pPr>
    </w:p>
    <w:p w14:paraId="3D39E6C9"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71577DC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481A73E" w14:textId="77777777" w:rsidR="00E23482" w:rsidRPr="007224C3" w:rsidRDefault="00E2348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апрелю 1944 г. по сравнению с тем же месяцем 1942 г. эффективность труда в авиастроении увеличилась на 47%, тогда как общий ее уровень в промышленности — на 40%. Темпы роста производительности труда в отрасли даже перекрывали государственные задания. Если в 1940 г. 1 тыс. рабочих производила 35,6 условных самолетов, то в 1943 г. — уже 78,8 (18305).</w:t>
      </w:r>
    </w:p>
    <w:p w14:paraId="3CF9CEEA" w14:textId="77777777" w:rsidR="00E23482" w:rsidRPr="007224C3" w:rsidRDefault="00E23482" w:rsidP="007224C3">
      <w:pPr>
        <w:spacing w:after="0" w:line="240" w:lineRule="auto"/>
        <w:jc w:val="both"/>
        <w:rPr>
          <w:rFonts w:ascii="Times New Roman" w:hAnsi="Times New Roman"/>
          <w:color w:val="000000" w:themeColor="text1"/>
          <w:sz w:val="16"/>
          <w:szCs w:val="16"/>
        </w:rPr>
      </w:pPr>
    </w:p>
    <w:p w14:paraId="5683B53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апрелю 1944 г. были завершены работы над проектом истре</w:t>
      </w:r>
      <w:r w:rsidRPr="007224C3">
        <w:rPr>
          <w:rFonts w:ascii="Times New Roman" w:hAnsi="Times New Roman"/>
          <w:color w:val="000000" w:themeColor="text1"/>
          <w:sz w:val="16"/>
          <w:szCs w:val="16"/>
        </w:rPr>
        <w:softHyphen/>
        <w:t>бителя-бомбардировщика Ла-5Б. Как и у Як-9Л, бомбы на этом самолете собирались размещать во внутрифюзеляжном отсеке, однако, учитывая недостатки яковлевской машины, его спроек</w:t>
      </w:r>
      <w:r w:rsidRPr="007224C3">
        <w:rPr>
          <w:rFonts w:ascii="Times New Roman" w:hAnsi="Times New Roman"/>
          <w:color w:val="000000" w:themeColor="text1"/>
          <w:sz w:val="16"/>
          <w:szCs w:val="16"/>
        </w:rPr>
        <w:softHyphen/>
        <w:t>тировали не под ФАБ-100, а для 40 мелких противотанковых ПТАБ-2,5-1,5. Но заказчик счел более перспективным штурмовик Ил-10, и Ла-5Б на свет не появился (11123).</w:t>
      </w:r>
    </w:p>
    <w:p w14:paraId="15CC8A8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EC0F33"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150FF86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0B9A8A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апрелю 1944 в строю была лл Дуглас DF, машина пережила войну и летала еще в 1946 (2930,10).</w:t>
      </w:r>
    </w:p>
    <w:p w14:paraId="0D88576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2BC8C9" w14:textId="73E73D01" w:rsidR="00253D32" w:rsidRPr="007224C3" w:rsidRDefault="00253D32" w:rsidP="007224C3">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7224C3">
        <w:rPr>
          <w:rFonts w:ascii="Times New Roman" w:hAnsi="Times New Roman"/>
          <w:i/>
          <w:iCs/>
          <w:color w:val="000000" w:themeColor="text1"/>
          <w:sz w:val="16"/>
          <w:szCs w:val="16"/>
        </w:rPr>
        <w:t>За рубежом:</w:t>
      </w:r>
    </w:p>
    <w:p w14:paraId="5DED7FC8" w14:textId="77777777" w:rsidR="00253D32" w:rsidRPr="007224C3" w:rsidRDefault="00253D32" w:rsidP="007224C3">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091C562A" w14:textId="77777777" w:rsidR="00253D32" w:rsidRPr="007224C3" w:rsidRDefault="00253D32" w:rsidP="007224C3">
      <w:pPr>
        <w:shd w:val="clear" w:color="auto" w:fill="FFFFFF"/>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К апрелю 1944 года начались летные испытания первого BV.238V1 без вооружения, который вместо перспективных DB.603D по 1900 сил получил 6 серийные DB.603A по 1750 л.с.</w:t>
      </w:r>
    </w:p>
    <w:p w14:paraId="1F22340B" w14:textId="77777777" w:rsidR="00253D32" w:rsidRPr="007224C3" w:rsidRDefault="00253D32" w:rsidP="007224C3">
      <w:pPr>
        <w:shd w:val="clear" w:color="auto" w:fill="FFFFFF"/>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 xml:space="preserve">В задании командования Люфтваффе на новую гигантскую летающую лодку BV.238 фирму «Блом унд Фосс» обязали обеспечить подвеску до 10 т бомб (в т.ч. самых крупных калибров), торпед и мин. </w:t>
      </w:r>
    </w:p>
    <w:p w14:paraId="7E3358F8" w14:textId="77777777" w:rsidR="00253D32" w:rsidRPr="007224C3" w:rsidRDefault="00253D32" w:rsidP="007224C3">
      <w:pPr>
        <w:shd w:val="clear" w:color="auto" w:fill="FFFFFF"/>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Фирма «Юмо» не поставила 2500-сильные дизели, и вместо четырех Jumo.223 пришлось ставить шесть DB.603, а для взлета применить четыре сбрасываемых жидкостных ракетных ускорителя. Изменение числа двигателей потребовало полной переделки проекта крыла, а чтобы сохранить устойчивость, пришлось удлинять фюзеляж. Не ладилось и с компоновкой вооружения. Оборона должна была включать 12 пушек MG.151/20 в башнях с дистанционным управлением, но к моменту, когда фирма закончила отработку крыльевых пушечных башен, центропланы на первые четыре самолета были уже готовы, и поставить на них эти башни было невозможно.</w:t>
      </w:r>
    </w:p>
    <w:p w14:paraId="12E90D2B" w14:textId="77777777" w:rsidR="00253D32" w:rsidRPr="007224C3" w:rsidRDefault="00253D32" w:rsidP="007224C3">
      <w:pPr>
        <w:shd w:val="clear" w:color="auto" w:fill="FFFFFF"/>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 xml:space="preserve">«Блом унд Фосс» был перегружен, приоритетными были разведчик BV.138 и транспортный BV.222, и к проектированию и постройке BV.238 подключили фирму «Везер», заводы «Бреге» в оккупированной Франции, а также «Флюгтехнише Фертигунгсгемейншафт Праг» в Чехии. Чешским самолетостроителям, не имевшим никакого опыта в гидроавиации, поручили строить пилотируемую модель BV.138, но саботаж работавших на заводе военнопленных сорвал эту часть работы. </w:t>
      </w:r>
    </w:p>
    <w:p w14:paraId="11AAF3D4" w14:textId="77777777" w:rsidR="00253D32" w:rsidRPr="007224C3" w:rsidRDefault="00253D32" w:rsidP="007224C3">
      <w:pPr>
        <w:shd w:val="clear" w:color="auto" w:fill="FFFFFF"/>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lastRenderedPageBreak/>
        <w:t>Это был самый тяжелый самолет в мире: в некоторых полетах вес достигал фантастической величины в 90 тонн!</w:t>
      </w:r>
    </w:p>
    <w:p w14:paraId="6658D13F" w14:textId="77777777" w:rsidR="00253D32" w:rsidRPr="007224C3" w:rsidRDefault="00253D32" w:rsidP="007224C3">
      <w:pPr>
        <w:shd w:val="clear" w:color="auto" w:fill="FFFFFF"/>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Тем временем почти достроили еще три BV.238V с вооружением: V2 и 3 с моторами DB.603 (прототипы для серийного BV.238A), а также BV.238V4 со звездообразными моторами BMW.801 (BV.238B). Но дальнейшая работа была прекращена, когда на якорной стоянке был уничтожен «залетными» Р-51 «Мустанг» единственный летный образец (22817).</w:t>
      </w:r>
    </w:p>
    <w:p w14:paraId="786057CB" w14:textId="77777777" w:rsidR="00253D32" w:rsidRPr="007224C3" w:rsidRDefault="00253D32" w:rsidP="007224C3">
      <w:pPr>
        <w:shd w:val="clear" w:color="auto" w:fill="FFFFFF"/>
        <w:spacing w:after="0" w:line="240" w:lineRule="auto"/>
        <w:jc w:val="both"/>
        <w:rPr>
          <w:rFonts w:ascii="Times New Roman" w:hAnsi="Times New Roman"/>
          <w:color w:val="0070C0"/>
          <w:sz w:val="16"/>
          <w:szCs w:val="16"/>
        </w:rPr>
      </w:pPr>
    </w:p>
    <w:p w14:paraId="428DD57F" w14:textId="41C281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5644432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3D0023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 второму кварталу 1944 г. относится начало серийного производства цельнометаллического штурмовика Ил10 в двухместном варианте с мотором АМ-42 и комплектующих к ним относится (ГАСО. Ф. Р-3454. Оп. 1. Д. 43. Л. 4.) (11714).</w:t>
      </w:r>
    </w:p>
    <w:p w14:paraId="2DF288F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C7C7AE3"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5E83418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C76144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color w:val="000000" w:themeColor="text1"/>
          <w:sz w:val="16"/>
          <w:szCs w:val="16"/>
        </w:rPr>
        <w:t xml:space="preserve">По состоянию на 1 апреля 1944 г. </w:t>
      </w:r>
      <w:r w:rsidRPr="007224C3">
        <w:rPr>
          <w:rFonts w:ascii="Times New Roman" w:hAnsi="Times New Roman"/>
          <w:iCs/>
          <w:color w:val="000000" w:themeColor="text1"/>
          <w:sz w:val="16"/>
          <w:szCs w:val="16"/>
        </w:rPr>
        <w:t>"завод No 1 сдал по сборке 20 самоле</w:t>
      </w:r>
      <w:r w:rsidRPr="007224C3">
        <w:rPr>
          <w:rFonts w:ascii="Times New Roman" w:hAnsi="Times New Roman"/>
          <w:iCs/>
          <w:color w:val="000000" w:themeColor="text1"/>
          <w:sz w:val="16"/>
          <w:szCs w:val="16"/>
        </w:rPr>
        <w:softHyphen/>
        <w:t>тов, завод</w:t>
      </w:r>
      <w:r w:rsidRPr="007224C3">
        <w:rPr>
          <w:rFonts w:ascii="Times New Roman" w:hAnsi="Times New Roman"/>
          <w:color w:val="000000" w:themeColor="text1"/>
          <w:sz w:val="16"/>
          <w:szCs w:val="16"/>
        </w:rPr>
        <w:t xml:space="preserve"> № </w:t>
      </w:r>
      <w:r w:rsidRPr="007224C3">
        <w:rPr>
          <w:rFonts w:ascii="Times New Roman" w:hAnsi="Times New Roman"/>
          <w:iCs/>
          <w:color w:val="000000" w:themeColor="text1"/>
          <w:sz w:val="16"/>
          <w:szCs w:val="16"/>
        </w:rPr>
        <w:t>18 - 4 самолета, завод No 30 - 22 самолета с крылом стрельчатой конструкции" (6467).</w:t>
      </w:r>
    </w:p>
    <w:p w14:paraId="08F432F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B542BD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iCs/>
          <w:color w:val="000000" w:themeColor="text1"/>
          <w:sz w:val="16"/>
          <w:szCs w:val="16"/>
        </w:rPr>
        <w:t>К 1 апреля 1944 «завод № 1 сдал по сборке 20 самолетов, завод № 18 - 4 самолета, завод № 30 - 22 само</w:t>
      </w:r>
      <w:r w:rsidRPr="007224C3">
        <w:rPr>
          <w:rFonts w:ascii="Times New Roman" w:hAnsi="Times New Roman"/>
          <w:iCs/>
          <w:color w:val="000000" w:themeColor="text1"/>
          <w:sz w:val="16"/>
          <w:szCs w:val="16"/>
        </w:rPr>
        <w:softHyphen/>
        <w:t xml:space="preserve">лета». </w:t>
      </w:r>
      <w:r w:rsidRPr="007224C3">
        <w:rPr>
          <w:rFonts w:ascii="Times New Roman" w:hAnsi="Times New Roman"/>
          <w:color w:val="000000" w:themeColor="text1"/>
          <w:sz w:val="16"/>
          <w:szCs w:val="16"/>
        </w:rPr>
        <w:t>Возникла, как писал начальник ГУЗ ВВС генерал-лейтенант Н. П. Селез</w:t>
      </w:r>
      <w:r w:rsidRPr="007224C3">
        <w:rPr>
          <w:rFonts w:ascii="Times New Roman" w:hAnsi="Times New Roman"/>
          <w:color w:val="000000" w:themeColor="text1"/>
          <w:sz w:val="16"/>
          <w:szCs w:val="16"/>
        </w:rPr>
        <w:softHyphen/>
        <w:t xml:space="preserve">нев, </w:t>
      </w:r>
      <w:r w:rsidRPr="007224C3">
        <w:rPr>
          <w:rFonts w:ascii="Times New Roman" w:hAnsi="Times New Roman"/>
          <w:iCs/>
          <w:color w:val="000000" w:themeColor="text1"/>
          <w:sz w:val="16"/>
          <w:szCs w:val="16"/>
        </w:rPr>
        <w:t xml:space="preserve">«угроза срыва сроков выполнения решения». </w:t>
      </w:r>
      <w:r w:rsidRPr="007224C3">
        <w:rPr>
          <w:rFonts w:ascii="Times New Roman" w:hAnsi="Times New Roman"/>
          <w:color w:val="000000" w:themeColor="text1"/>
          <w:sz w:val="16"/>
          <w:szCs w:val="16"/>
        </w:rPr>
        <w:t xml:space="preserve">Он требовал срочно </w:t>
      </w:r>
      <w:r w:rsidRPr="007224C3">
        <w:rPr>
          <w:rFonts w:ascii="Times New Roman" w:hAnsi="Times New Roman"/>
          <w:iCs/>
          <w:color w:val="000000" w:themeColor="text1"/>
          <w:sz w:val="16"/>
          <w:szCs w:val="16"/>
        </w:rPr>
        <w:t>«при</w:t>
      </w:r>
      <w:r w:rsidRPr="007224C3">
        <w:rPr>
          <w:rFonts w:ascii="Times New Roman" w:hAnsi="Times New Roman"/>
          <w:iCs/>
          <w:color w:val="000000" w:themeColor="text1"/>
          <w:sz w:val="16"/>
          <w:szCs w:val="16"/>
        </w:rPr>
        <w:softHyphen/>
        <w:t>нять меры по разворачиванию произ</w:t>
      </w:r>
      <w:r w:rsidRPr="007224C3">
        <w:rPr>
          <w:rFonts w:ascii="Times New Roman" w:hAnsi="Times New Roman"/>
          <w:iCs/>
          <w:color w:val="000000" w:themeColor="text1"/>
          <w:sz w:val="16"/>
          <w:szCs w:val="16"/>
        </w:rPr>
        <w:softHyphen/>
        <w:t>водства металлических крыльев стрельчатой конструкции».</w:t>
      </w:r>
    </w:p>
    <w:p w14:paraId="07227F1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апреля вышло Постановление ГОКО, которое требовало от директо</w:t>
      </w:r>
      <w:r w:rsidRPr="007224C3">
        <w:rPr>
          <w:rFonts w:ascii="Times New Roman" w:hAnsi="Times New Roman"/>
          <w:color w:val="000000" w:themeColor="text1"/>
          <w:sz w:val="16"/>
          <w:szCs w:val="16"/>
        </w:rPr>
        <w:softHyphen/>
        <w:t>ров авиазаводов № 1 и 30 ускорить внедрение в серийное производство штурмовиков Ил-2 с металлическим крылом «стрельчатой конструкции».</w:t>
      </w:r>
    </w:p>
    <w:p w14:paraId="51737B9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«Послабление» в отношении 18-го авиазавода объясняется следующим образом. Дело в том, что 30 марта бри</w:t>
      </w:r>
      <w:r w:rsidRPr="007224C3">
        <w:rPr>
          <w:rFonts w:ascii="Times New Roman" w:hAnsi="Times New Roman"/>
          <w:color w:val="000000" w:themeColor="text1"/>
          <w:sz w:val="16"/>
          <w:szCs w:val="16"/>
        </w:rPr>
        <w:softHyphen/>
        <w:t>гада испытателей НИИ ВВС рапортова</w:t>
      </w:r>
      <w:r w:rsidRPr="007224C3">
        <w:rPr>
          <w:rFonts w:ascii="Times New Roman" w:hAnsi="Times New Roman"/>
          <w:color w:val="000000" w:themeColor="text1"/>
          <w:sz w:val="16"/>
          <w:szCs w:val="16"/>
        </w:rPr>
        <w:softHyphen/>
        <w:t>ла руководству об успешном заверше</w:t>
      </w:r>
      <w:r w:rsidRPr="007224C3">
        <w:rPr>
          <w:rFonts w:ascii="Times New Roman" w:hAnsi="Times New Roman"/>
          <w:color w:val="000000" w:themeColor="text1"/>
          <w:sz w:val="16"/>
          <w:szCs w:val="16"/>
        </w:rPr>
        <w:softHyphen/>
        <w:t>нии государственных летных испыта</w:t>
      </w:r>
      <w:r w:rsidRPr="007224C3">
        <w:rPr>
          <w:rFonts w:ascii="Times New Roman" w:hAnsi="Times New Roman"/>
          <w:color w:val="000000" w:themeColor="text1"/>
          <w:sz w:val="16"/>
          <w:szCs w:val="16"/>
        </w:rPr>
        <w:softHyphen/>
        <w:t>ний опытного штурмовика Ил-8 АМ-42 с более высокими, чем у Ил-2, летными данными. Самолет имел много общего с Ил-2, и в случае внедрения его в мас</w:t>
      </w:r>
      <w:r w:rsidRPr="007224C3">
        <w:rPr>
          <w:rFonts w:ascii="Times New Roman" w:hAnsi="Times New Roman"/>
          <w:color w:val="000000" w:themeColor="text1"/>
          <w:sz w:val="16"/>
          <w:szCs w:val="16"/>
        </w:rPr>
        <w:softHyphen/>
        <w:t>совое производство можно было ис</w:t>
      </w:r>
      <w:r w:rsidRPr="007224C3">
        <w:rPr>
          <w:rFonts w:ascii="Times New Roman" w:hAnsi="Times New Roman"/>
          <w:color w:val="000000" w:themeColor="text1"/>
          <w:sz w:val="16"/>
          <w:szCs w:val="16"/>
        </w:rPr>
        <w:softHyphen/>
        <w:t>пользовать те же конвейеры и боль</w:t>
      </w:r>
      <w:r w:rsidRPr="007224C3">
        <w:rPr>
          <w:rFonts w:ascii="Times New Roman" w:hAnsi="Times New Roman"/>
          <w:color w:val="000000" w:themeColor="text1"/>
          <w:sz w:val="16"/>
          <w:szCs w:val="16"/>
        </w:rPr>
        <w:softHyphen/>
        <w:t>шую часть имеющейся оснастки. По этой причине наркомат авиапромыш</w:t>
      </w:r>
      <w:r w:rsidRPr="007224C3">
        <w:rPr>
          <w:rFonts w:ascii="Times New Roman" w:hAnsi="Times New Roman"/>
          <w:color w:val="000000" w:themeColor="text1"/>
          <w:sz w:val="16"/>
          <w:szCs w:val="16"/>
        </w:rPr>
        <w:softHyphen/>
        <w:t>ленности вынашивал планы перевода производства авиазавода № 18 на се</w:t>
      </w:r>
      <w:r w:rsidRPr="007224C3">
        <w:rPr>
          <w:rFonts w:ascii="Times New Roman" w:hAnsi="Times New Roman"/>
          <w:color w:val="000000" w:themeColor="text1"/>
          <w:sz w:val="16"/>
          <w:szCs w:val="16"/>
        </w:rPr>
        <w:softHyphen/>
        <w:t>рийный выпуск Ил-8 уже с лета 1944 г., а авиазаводов № 1 и № 30 - в первом полугодии следующего года. Кроме этого, на завершающей стадии заводс</w:t>
      </w:r>
      <w:r w:rsidRPr="007224C3">
        <w:rPr>
          <w:rFonts w:ascii="Times New Roman" w:hAnsi="Times New Roman"/>
          <w:color w:val="000000" w:themeColor="text1"/>
          <w:sz w:val="16"/>
          <w:szCs w:val="16"/>
        </w:rPr>
        <w:softHyphen/>
        <w:t>ких испытаний находился опытный штурмовик ОКБ П. О. Сухого Су-6, кото</w:t>
      </w:r>
      <w:r w:rsidRPr="007224C3">
        <w:rPr>
          <w:rFonts w:ascii="Times New Roman" w:hAnsi="Times New Roman"/>
          <w:color w:val="000000" w:themeColor="text1"/>
          <w:sz w:val="16"/>
          <w:szCs w:val="16"/>
        </w:rPr>
        <w:softHyphen/>
        <w:t>рый лучше подходил для боя, чем Ил-8. На подходе был еще один опытный штурмовик-Ил-10 АМ-42. Учитывая эти обстоятельства, было решено с форси</w:t>
      </w:r>
      <w:r w:rsidRPr="007224C3">
        <w:rPr>
          <w:rFonts w:ascii="Times New Roman" w:hAnsi="Times New Roman"/>
          <w:color w:val="000000" w:themeColor="text1"/>
          <w:sz w:val="16"/>
          <w:szCs w:val="16"/>
        </w:rPr>
        <w:softHyphen/>
        <w:t>рованием выпуска модифицированно</w:t>
      </w:r>
      <w:r w:rsidRPr="007224C3">
        <w:rPr>
          <w:rFonts w:ascii="Times New Roman" w:hAnsi="Times New Roman"/>
          <w:color w:val="000000" w:themeColor="text1"/>
          <w:sz w:val="16"/>
          <w:szCs w:val="16"/>
        </w:rPr>
        <w:softHyphen/>
        <w:t>го Ил-2 на 18-м авиазаводе подождать до тех пор, пока не станет ясно, какой из трех опытных штурмовиков будет поставлен на вооружение ВВС.</w:t>
      </w:r>
    </w:p>
    <w:p w14:paraId="5659139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Авиазавод № 18 вышел на плано</w:t>
      </w:r>
      <w:r w:rsidRPr="007224C3">
        <w:rPr>
          <w:rFonts w:ascii="Times New Roman" w:hAnsi="Times New Roman"/>
          <w:color w:val="000000" w:themeColor="text1"/>
          <w:sz w:val="16"/>
          <w:szCs w:val="16"/>
        </w:rPr>
        <w:softHyphen/>
        <w:t>вый уровень производства самолетов Ил-2 с металлическим крылом «стрель</w:t>
      </w:r>
      <w:r w:rsidRPr="007224C3">
        <w:rPr>
          <w:rFonts w:ascii="Times New Roman" w:hAnsi="Times New Roman"/>
          <w:color w:val="000000" w:themeColor="text1"/>
          <w:sz w:val="16"/>
          <w:szCs w:val="16"/>
        </w:rPr>
        <w:softHyphen/>
        <w:t>чатой конструкции» лишь к июню, а 1-й и 30-й заводы - к сентябрю 1944 г. В общей сложности к концу года в стро</w:t>
      </w:r>
      <w:r w:rsidRPr="007224C3">
        <w:rPr>
          <w:rFonts w:ascii="Times New Roman" w:hAnsi="Times New Roman"/>
          <w:color w:val="000000" w:themeColor="text1"/>
          <w:sz w:val="16"/>
          <w:szCs w:val="16"/>
        </w:rPr>
        <w:softHyphen/>
        <w:t xml:space="preserve">евые части ВВС было отправлено 7377 Ил-2 </w:t>
      </w:r>
      <w:r w:rsidRPr="007224C3">
        <w:rPr>
          <w:rFonts w:ascii="Times New Roman" w:hAnsi="Times New Roman"/>
          <w:iCs/>
          <w:color w:val="000000" w:themeColor="text1"/>
          <w:sz w:val="16"/>
          <w:szCs w:val="16"/>
        </w:rPr>
        <w:t xml:space="preserve">«крыло со стрелкой». </w:t>
      </w:r>
      <w:r w:rsidRPr="007224C3">
        <w:rPr>
          <w:rFonts w:ascii="Times New Roman" w:hAnsi="Times New Roman"/>
          <w:color w:val="000000" w:themeColor="text1"/>
          <w:sz w:val="16"/>
          <w:szCs w:val="16"/>
        </w:rPr>
        <w:t>При этом авиазаводы № 1 и № 30 выпускали са</w:t>
      </w:r>
      <w:r w:rsidRPr="007224C3">
        <w:rPr>
          <w:rFonts w:ascii="Times New Roman" w:hAnsi="Times New Roman"/>
          <w:color w:val="000000" w:themeColor="text1"/>
          <w:sz w:val="16"/>
          <w:szCs w:val="16"/>
        </w:rPr>
        <w:softHyphen/>
        <w:t>молеты и с металлическим, и с дере</w:t>
      </w:r>
      <w:r w:rsidRPr="007224C3">
        <w:rPr>
          <w:rFonts w:ascii="Times New Roman" w:hAnsi="Times New Roman"/>
          <w:color w:val="000000" w:themeColor="text1"/>
          <w:sz w:val="16"/>
          <w:szCs w:val="16"/>
        </w:rPr>
        <w:softHyphen/>
        <w:t>вянным крылом. Все самолеты имели «стандартное» для 1944 г. наступатель</w:t>
      </w:r>
      <w:r w:rsidRPr="007224C3">
        <w:rPr>
          <w:rFonts w:ascii="Times New Roman" w:hAnsi="Times New Roman"/>
          <w:color w:val="000000" w:themeColor="text1"/>
          <w:sz w:val="16"/>
          <w:szCs w:val="16"/>
        </w:rPr>
        <w:softHyphen/>
        <w:t>ное вооружение: пушки ВЯ, пулеметы ШКАС, «эрэсы» и бомбы (11215).</w:t>
      </w:r>
    </w:p>
    <w:p w14:paraId="3251697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848ADE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апреля 1944 Зам. Нач. 12 ГУ НКАП Соколов писал письмо № Д-2/1451 ГИ 10 ГУ НКАП т. Тарасевичу:</w:t>
      </w:r>
    </w:p>
    <w:p w14:paraId="1743B04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связи с запуском в производства самолета Ил-8 прошу Вас срочно представить 12 ГУ НКАП утвержденные чертежи на бронекозырьки самолетов Ил-8, в количестве 2 экз.</w:t>
      </w:r>
    </w:p>
    <w:p w14:paraId="1ACDC93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Прошу Вас учесть, что на освоение производства бронекозырьков потребуется минимум 3-4 месяца и непредставление Вами просимых чертежей может задержать выпуск самолета Ил-8 (10532,9).</w:t>
      </w:r>
    </w:p>
    <w:p w14:paraId="63AE0D4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3FB6F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1 апреля 1944 состояние опытного строительства на 21 заводе было следующим:</w:t>
      </w:r>
    </w:p>
    <w:p w14:paraId="525A92E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 Ла-5 Д (АШ-82ФН). Произведено взвешивание с-та. Нормальный полетный вес - 3543. Центровка - 24,5% САХ. В отличие от серийного с-та типа 41 на с-те установлены дополнительные б/б (консольные) по 112 л и фюзеляжный бак 127 л. Емкость м/б - 72 л. На оценку проведено 3 полета. С-т отправлен в ЛИИ НКАП для предварительных испытаний.</w:t>
      </w:r>
    </w:p>
    <w:p w14:paraId="77C2366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Доводка серийных с-тов:</w:t>
      </w:r>
    </w:p>
    <w:p w14:paraId="70AD033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Изготовлен крайней левый мягкий б/б. В сборке осваивается с-т 41 типа (с металлическими лонжеронами)</w:t>
      </w:r>
    </w:p>
    <w:p w14:paraId="38628A3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1 апреля изготовлено 10 с-тов 41 типа</w:t>
      </w:r>
    </w:p>
    <w:p w14:paraId="375C287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Разрабатываются чертежи на размещение в фюзеляже 40 шт. Бомб ПТАБ-25 для Ла-5 тип 39 (ФН)</w:t>
      </w:r>
    </w:p>
    <w:p w14:paraId="6589D6B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Заканчивается монтаж АРТЦ-43, Д-67, ВГ-82 на одном из серийных ФН (738,18).</w:t>
      </w:r>
    </w:p>
    <w:p w14:paraId="74000B9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CA890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апреля 1944 согласно журнала наблюдения за проектированием, постройкой и испытаниями высотного истребителя МиГ-1 на И-222 произвордились подгонки оборудования гермокабины, срок изготовления которой был намечен к 1 апреля. Выяснилось увеличение усилий на ручке управления при герметизации проводки. Мотор еще не получен (991,12).</w:t>
      </w:r>
    </w:p>
    <w:p w14:paraId="34F6FF0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2A349B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апреля 194 года начальник ЛИИ проф. Чесалов писал письмо N 211с Шахурину.</w:t>
      </w:r>
    </w:p>
    <w:p w14:paraId="4D501A4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Довожу до Вашего сведения результаты контрольных испытаний серийных самолетов, проведенных ЛИИ в марте 1944 года в соответствии с приказом N 505с.</w:t>
      </w:r>
    </w:p>
    <w:p w14:paraId="150D922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Самолет Ла-5ф N 3811022, производства завода N 381 выпуска февраля 1944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5106D0" w:rsidRPr="007224C3" w14:paraId="252EFE00" w14:textId="77777777">
        <w:tc>
          <w:tcPr>
            <w:tcW w:w="5636" w:type="dxa"/>
          </w:tcPr>
          <w:p w14:paraId="44ACCA0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Полетный вес</w:t>
            </w:r>
          </w:p>
        </w:tc>
        <w:tc>
          <w:tcPr>
            <w:tcW w:w="5636" w:type="dxa"/>
          </w:tcPr>
          <w:p w14:paraId="33CEF23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3145 кг</w:t>
            </w:r>
          </w:p>
        </w:tc>
      </w:tr>
      <w:tr w:rsidR="005106D0" w:rsidRPr="007224C3" w14:paraId="79665A5C" w14:textId="77777777">
        <w:tc>
          <w:tcPr>
            <w:tcW w:w="5636" w:type="dxa"/>
          </w:tcPr>
          <w:p w14:paraId="16D30D8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(уменьшение полетного веса</w:t>
            </w:r>
          </w:p>
        </w:tc>
        <w:tc>
          <w:tcPr>
            <w:tcW w:w="5636" w:type="dxa"/>
          </w:tcPr>
          <w:p w14:paraId="39BBEC5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3DC8DE0" w14:textId="77777777">
        <w:tc>
          <w:tcPr>
            <w:tcW w:w="5636" w:type="dxa"/>
          </w:tcPr>
          <w:p w14:paraId="66A5615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произведено за счет замены</w:t>
            </w:r>
          </w:p>
        </w:tc>
        <w:tc>
          <w:tcPr>
            <w:tcW w:w="5636" w:type="dxa"/>
          </w:tcPr>
          <w:p w14:paraId="7193883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A6FFFE7" w14:textId="77777777">
        <w:tc>
          <w:tcPr>
            <w:tcW w:w="5636" w:type="dxa"/>
          </w:tcPr>
          <w:p w14:paraId="7F3BAEB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деревянных лонжеронов на</w:t>
            </w:r>
          </w:p>
        </w:tc>
        <w:tc>
          <w:tcPr>
            <w:tcW w:w="5636" w:type="dxa"/>
          </w:tcPr>
          <w:p w14:paraId="2FAA118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712973B" w14:textId="77777777">
        <w:tc>
          <w:tcPr>
            <w:tcW w:w="5636" w:type="dxa"/>
          </w:tcPr>
          <w:p w14:paraId="25B904C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металлические).</w:t>
            </w:r>
          </w:p>
        </w:tc>
        <w:tc>
          <w:tcPr>
            <w:tcW w:w="5636" w:type="dxa"/>
          </w:tcPr>
          <w:p w14:paraId="45FA1C0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E319F05" w14:textId="77777777">
        <w:tc>
          <w:tcPr>
            <w:tcW w:w="5636" w:type="dxa"/>
          </w:tcPr>
          <w:p w14:paraId="0F4085F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 скорость у земли</w:t>
            </w:r>
          </w:p>
        </w:tc>
        <w:tc>
          <w:tcPr>
            <w:tcW w:w="5636" w:type="dxa"/>
          </w:tcPr>
          <w:p w14:paraId="3960B5F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549 км/час</w:t>
            </w:r>
          </w:p>
        </w:tc>
      </w:tr>
      <w:tr w:rsidR="005106D0" w:rsidRPr="007224C3" w14:paraId="3F2745AB" w14:textId="77777777">
        <w:tc>
          <w:tcPr>
            <w:tcW w:w="5636" w:type="dxa"/>
          </w:tcPr>
          <w:p w14:paraId="60AE57E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 скорость на 2-й</w:t>
            </w:r>
          </w:p>
        </w:tc>
        <w:tc>
          <w:tcPr>
            <w:tcW w:w="5636" w:type="dxa"/>
          </w:tcPr>
          <w:p w14:paraId="1B7052D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BD8A56E" w14:textId="77777777">
        <w:tc>
          <w:tcPr>
            <w:tcW w:w="5636" w:type="dxa"/>
          </w:tcPr>
          <w:p w14:paraId="60A88E1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границе высотности (Н=5950 м)</w:t>
            </w:r>
          </w:p>
        </w:tc>
        <w:tc>
          <w:tcPr>
            <w:tcW w:w="5636" w:type="dxa"/>
          </w:tcPr>
          <w:p w14:paraId="3D608B9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595 км/час</w:t>
            </w:r>
          </w:p>
        </w:tc>
      </w:tr>
      <w:tr w:rsidR="005106D0" w:rsidRPr="007224C3" w14:paraId="696C3CD1" w14:textId="77777777">
        <w:tc>
          <w:tcPr>
            <w:tcW w:w="5636" w:type="dxa"/>
          </w:tcPr>
          <w:p w14:paraId="014F4AE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Время набора высоты 5000 м</w:t>
            </w:r>
          </w:p>
        </w:tc>
        <w:tc>
          <w:tcPr>
            <w:tcW w:w="5636" w:type="dxa"/>
          </w:tcPr>
          <w:p w14:paraId="59FA110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5,8 мин.</w:t>
            </w:r>
          </w:p>
        </w:tc>
      </w:tr>
      <w:tr w:rsidR="005106D0" w:rsidRPr="007224C3" w14:paraId="6E22B5FD" w14:textId="77777777">
        <w:tc>
          <w:tcPr>
            <w:tcW w:w="5636" w:type="dxa"/>
          </w:tcPr>
          <w:p w14:paraId="78660C3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Охлаждение головок масла на</w:t>
            </w:r>
          </w:p>
        </w:tc>
        <w:tc>
          <w:tcPr>
            <w:tcW w:w="5636" w:type="dxa"/>
          </w:tcPr>
          <w:p w14:paraId="7DEFA89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79138E2" w14:textId="77777777">
        <w:tc>
          <w:tcPr>
            <w:tcW w:w="5636" w:type="dxa"/>
          </w:tcPr>
          <w:p w14:paraId="44AC99B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подъеме недостаточно. Для</w:t>
            </w:r>
          </w:p>
        </w:tc>
        <w:tc>
          <w:tcPr>
            <w:tcW w:w="5636" w:type="dxa"/>
          </w:tcPr>
          <w:p w14:paraId="2C92674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389DFED" w14:textId="77777777">
        <w:tc>
          <w:tcPr>
            <w:tcW w:w="5636" w:type="dxa"/>
          </w:tcPr>
          <w:p w14:paraId="693FF60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улучшения охлаждения головки</w:t>
            </w:r>
          </w:p>
        </w:tc>
        <w:tc>
          <w:tcPr>
            <w:tcW w:w="5636" w:type="dxa"/>
          </w:tcPr>
          <w:p w14:paraId="55CDCEF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5F74591" w14:textId="77777777">
        <w:tc>
          <w:tcPr>
            <w:tcW w:w="5636" w:type="dxa"/>
          </w:tcPr>
          <w:p w14:paraId="6B606D2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1-го цилиндра рекомендовано</w:t>
            </w:r>
          </w:p>
        </w:tc>
        <w:tc>
          <w:tcPr>
            <w:tcW w:w="5636" w:type="dxa"/>
          </w:tcPr>
          <w:p w14:paraId="6D4833C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A954708" w14:textId="77777777">
        <w:tc>
          <w:tcPr>
            <w:tcW w:w="5636" w:type="dxa"/>
          </w:tcPr>
          <w:p w14:paraId="7A34914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изменить его по образцу,</w:t>
            </w:r>
          </w:p>
        </w:tc>
        <w:tc>
          <w:tcPr>
            <w:tcW w:w="5636" w:type="dxa"/>
          </w:tcPr>
          <w:p w14:paraId="4DB66D8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1838F8B" w14:textId="77777777">
        <w:tc>
          <w:tcPr>
            <w:tcW w:w="5636" w:type="dxa"/>
          </w:tcPr>
          <w:p w14:paraId="7BD3006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выполненному в ЛИИ.</w:t>
            </w:r>
          </w:p>
        </w:tc>
        <w:tc>
          <w:tcPr>
            <w:tcW w:w="5636" w:type="dxa"/>
          </w:tcPr>
          <w:p w14:paraId="68C465D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3F26A84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Самолет Ла-5 ФН N 39211525 производства завода N 21 выпуска февраля 1944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5106D0" w:rsidRPr="007224C3" w14:paraId="7494B522" w14:textId="77777777">
        <w:tc>
          <w:tcPr>
            <w:tcW w:w="5636" w:type="dxa"/>
          </w:tcPr>
          <w:p w14:paraId="491385E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 скорость у земли</w:t>
            </w:r>
          </w:p>
        </w:tc>
        <w:tc>
          <w:tcPr>
            <w:tcW w:w="5636" w:type="dxa"/>
          </w:tcPr>
          <w:p w14:paraId="0D042F3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550 км/час</w:t>
            </w:r>
          </w:p>
        </w:tc>
      </w:tr>
      <w:tr w:rsidR="005106D0" w:rsidRPr="007224C3" w14:paraId="49E67802" w14:textId="77777777">
        <w:tc>
          <w:tcPr>
            <w:tcW w:w="5636" w:type="dxa"/>
          </w:tcPr>
          <w:p w14:paraId="07F5DD3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номинале (Рк=1000 мм рт. ст.)</w:t>
            </w:r>
          </w:p>
        </w:tc>
        <w:tc>
          <w:tcPr>
            <w:tcW w:w="5636" w:type="dxa"/>
          </w:tcPr>
          <w:p w14:paraId="7E34C7E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C5E47A9" w14:textId="77777777">
        <w:tc>
          <w:tcPr>
            <w:tcW w:w="5636" w:type="dxa"/>
          </w:tcPr>
          <w:p w14:paraId="2996C57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режиме боевой мощности</w:t>
            </w:r>
          </w:p>
        </w:tc>
        <w:tc>
          <w:tcPr>
            <w:tcW w:w="5636" w:type="dxa"/>
          </w:tcPr>
          <w:p w14:paraId="1822067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E2AE8B5" w14:textId="77777777">
        <w:tc>
          <w:tcPr>
            <w:tcW w:w="5636" w:type="dxa"/>
          </w:tcPr>
          <w:p w14:paraId="77F00F1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(Рк=1180 мм рт. ст.) следует</w:t>
            </w:r>
          </w:p>
        </w:tc>
        <w:tc>
          <w:tcPr>
            <w:tcW w:w="5636" w:type="dxa"/>
          </w:tcPr>
          <w:p w14:paraId="4F7FA00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AC09B09" w14:textId="77777777">
        <w:tc>
          <w:tcPr>
            <w:tcW w:w="5636" w:type="dxa"/>
          </w:tcPr>
          <w:p w14:paraId="7F2E627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ожидать скорость</w:t>
            </w:r>
          </w:p>
        </w:tc>
        <w:tc>
          <w:tcPr>
            <w:tcW w:w="5636" w:type="dxa"/>
          </w:tcPr>
          <w:p w14:paraId="31851D4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580 км/час</w:t>
            </w:r>
          </w:p>
        </w:tc>
      </w:tr>
      <w:tr w:rsidR="005106D0" w:rsidRPr="007224C3" w14:paraId="78950997" w14:textId="77777777">
        <w:tc>
          <w:tcPr>
            <w:tcW w:w="5636" w:type="dxa"/>
          </w:tcPr>
          <w:p w14:paraId="2A08803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 скорость на</w:t>
            </w:r>
          </w:p>
        </w:tc>
        <w:tc>
          <w:tcPr>
            <w:tcW w:w="5636" w:type="dxa"/>
          </w:tcPr>
          <w:p w14:paraId="232C611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FD75022" w14:textId="77777777">
        <w:tc>
          <w:tcPr>
            <w:tcW w:w="5636" w:type="dxa"/>
          </w:tcPr>
          <w:p w14:paraId="089DD11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высоте 5700 м примерно</w:t>
            </w:r>
          </w:p>
        </w:tc>
        <w:tc>
          <w:tcPr>
            <w:tcW w:w="5636" w:type="dxa"/>
          </w:tcPr>
          <w:p w14:paraId="296AC36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625 км/час</w:t>
            </w:r>
          </w:p>
        </w:tc>
      </w:tr>
      <w:tr w:rsidR="005106D0" w:rsidRPr="007224C3" w14:paraId="50797E54" w14:textId="77777777">
        <w:tc>
          <w:tcPr>
            <w:tcW w:w="5636" w:type="dxa"/>
          </w:tcPr>
          <w:p w14:paraId="022A230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Время набора высоты 5000 м</w:t>
            </w:r>
          </w:p>
        </w:tc>
        <w:tc>
          <w:tcPr>
            <w:tcW w:w="5636" w:type="dxa"/>
          </w:tcPr>
          <w:p w14:paraId="258DEAE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5,2 мин.</w:t>
            </w:r>
          </w:p>
        </w:tc>
      </w:tr>
    </w:tbl>
    <w:p w14:paraId="5FF0484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Малая скорость на 2-й границе высотности в значительной степени объясняется неравномерной работой мотора, из-за которой испытания закончить не удалось.</w:t>
      </w:r>
    </w:p>
    <w:p w14:paraId="201113D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Самолет Як-1, N 36176 производства завода N 292, выпуска февраля 1944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5106D0" w:rsidRPr="007224C3" w14:paraId="4A585D2E" w14:textId="77777777">
        <w:tc>
          <w:tcPr>
            <w:tcW w:w="5636" w:type="dxa"/>
          </w:tcPr>
          <w:p w14:paraId="4A32453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Полетный вес</w:t>
            </w:r>
          </w:p>
        </w:tc>
        <w:tc>
          <w:tcPr>
            <w:tcW w:w="5636" w:type="dxa"/>
          </w:tcPr>
          <w:p w14:paraId="059543D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2890 кг</w:t>
            </w:r>
          </w:p>
        </w:tc>
      </w:tr>
      <w:tr w:rsidR="005106D0" w:rsidRPr="007224C3" w14:paraId="2D8D287E" w14:textId="77777777">
        <w:tc>
          <w:tcPr>
            <w:tcW w:w="5636" w:type="dxa"/>
          </w:tcPr>
          <w:p w14:paraId="3AFB91E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Максимальная скорость у земли</w:t>
            </w:r>
          </w:p>
        </w:tc>
        <w:tc>
          <w:tcPr>
            <w:tcW w:w="5636" w:type="dxa"/>
          </w:tcPr>
          <w:p w14:paraId="6018AC0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528 км/час</w:t>
            </w:r>
          </w:p>
        </w:tc>
      </w:tr>
      <w:tr w:rsidR="005106D0" w:rsidRPr="007224C3" w14:paraId="25BA0FA1" w14:textId="77777777">
        <w:tc>
          <w:tcPr>
            <w:tcW w:w="5636" w:type="dxa"/>
          </w:tcPr>
          <w:p w14:paraId="1B57455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 скорость на 2-й</w:t>
            </w:r>
          </w:p>
        </w:tc>
        <w:tc>
          <w:tcPr>
            <w:tcW w:w="5636" w:type="dxa"/>
          </w:tcPr>
          <w:p w14:paraId="7E0BCCB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5B2DC5A" w14:textId="77777777">
        <w:tc>
          <w:tcPr>
            <w:tcW w:w="5636" w:type="dxa"/>
          </w:tcPr>
          <w:p w14:paraId="6DF66A5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границе высотности </w:t>
            </w:r>
          </w:p>
        </w:tc>
        <w:tc>
          <w:tcPr>
            <w:tcW w:w="5636" w:type="dxa"/>
          </w:tcPr>
          <w:p w14:paraId="215A065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590 км/час</w:t>
            </w:r>
          </w:p>
        </w:tc>
      </w:tr>
      <w:tr w:rsidR="005106D0" w:rsidRPr="007224C3" w14:paraId="7C7F07EA" w14:textId="77777777">
        <w:tc>
          <w:tcPr>
            <w:tcW w:w="5636" w:type="dxa"/>
          </w:tcPr>
          <w:p w14:paraId="09BC35E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Время набора высоты 5000 м</w:t>
            </w:r>
          </w:p>
        </w:tc>
        <w:tc>
          <w:tcPr>
            <w:tcW w:w="5636" w:type="dxa"/>
          </w:tcPr>
          <w:p w14:paraId="146B894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5,2 мин.</w:t>
            </w:r>
          </w:p>
        </w:tc>
      </w:tr>
    </w:tbl>
    <w:p w14:paraId="305F9E0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Охлаждение масла недостаточно.</w:t>
      </w:r>
    </w:p>
    <w:p w14:paraId="5F3D924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Самолет Як-9 N 17006 производства завода N 166 выпуска февраля 1944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5106D0" w:rsidRPr="007224C3" w14:paraId="6A5D11D7" w14:textId="77777777">
        <w:tc>
          <w:tcPr>
            <w:tcW w:w="5636" w:type="dxa"/>
          </w:tcPr>
          <w:p w14:paraId="5820DE8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Полетный вес</w:t>
            </w:r>
          </w:p>
        </w:tc>
        <w:tc>
          <w:tcPr>
            <w:tcW w:w="5636" w:type="dxa"/>
          </w:tcPr>
          <w:p w14:paraId="0005676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3106 кг</w:t>
            </w:r>
          </w:p>
        </w:tc>
      </w:tr>
      <w:tr w:rsidR="005106D0" w:rsidRPr="007224C3" w14:paraId="1A9D6639" w14:textId="77777777">
        <w:tc>
          <w:tcPr>
            <w:tcW w:w="5636" w:type="dxa"/>
          </w:tcPr>
          <w:p w14:paraId="0F82582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 скорость у земли</w:t>
            </w:r>
          </w:p>
        </w:tc>
        <w:tc>
          <w:tcPr>
            <w:tcW w:w="5636" w:type="dxa"/>
          </w:tcPr>
          <w:p w14:paraId="167B7DF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533 км/час</w:t>
            </w:r>
          </w:p>
        </w:tc>
      </w:tr>
      <w:tr w:rsidR="005106D0" w:rsidRPr="007224C3" w14:paraId="6A1966DF" w14:textId="77777777">
        <w:tc>
          <w:tcPr>
            <w:tcW w:w="5636" w:type="dxa"/>
          </w:tcPr>
          <w:p w14:paraId="2367503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 скорость на 2-й</w:t>
            </w:r>
          </w:p>
        </w:tc>
        <w:tc>
          <w:tcPr>
            <w:tcW w:w="5636" w:type="dxa"/>
          </w:tcPr>
          <w:p w14:paraId="4D7DB1C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C741D89" w14:textId="77777777">
        <w:tc>
          <w:tcPr>
            <w:tcW w:w="5636" w:type="dxa"/>
          </w:tcPr>
          <w:p w14:paraId="6B8C5B7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границе высотности (Н=3880 м)</w:t>
            </w:r>
          </w:p>
        </w:tc>
        <w:tc>
          <w:tcPr>
            <w:tcW w:w="5636" w:type="dxa"/>
          </w:tcPr>
          <w:p w14:paraId="029DD80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591 км/час</w:t>
            </w:r>
          </w:p>
        </w:tc>
      </w:tr>
      <w:tr w:rsidR="005106D0" w:rsidRPr="007224C3" w14:paraId="31FA7770" w14:textId="77777777">
        <w:tc>
          <w:tcPr>
            <w:tcW w:w="5636" w:type="dxa"/>
          </w:tcPr>
          <w:p w14:paraId="0D9E110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Время набора высоты 5000 м</w:t>
            </w:r>
          </w:p>
        </w:tc>
        <w:tc>
          <w:tcPr>
            <w:tcW w:w="5636" w:type="dxa"/>
          </w:tcPr>
          <w:p w14:paraId="0400E91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6,2 мин.</w:t>
            </w:r>
          </w:p>
        </w:tc>
      </w:tr>
    </w:tbl>
    <w:p w14:paraId="70C4CEF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Охлаждение воды и масла достаточно.</w:t>
      </w:r>
    </w:p>
    <w:p w14:paraId="4945AEC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Самолет ЛаГГ-3 N 7166 производства завода N 31 выпуска февраля 1944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5106D0" w:rsidRPr="007224C3" w14:paraId="7CAB4553" w14:textId="77777777">
        <w:tc>
          <w:tcPr>
            <w:tcW w:w="3757" w:type="dxa"/>
          </w:tcPr>
          <w:p w14:paraId="114FE81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Полетный вес</w:t>
            </w:r>
          </w:p>
        </w:tc>
        <w:tc>
          <w:tcPr>
            <w:tcW w:w="3757" w:type="dxa"/>
          </w:tcPr>
          <w:p w14:paraId="41873FE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2983 кг</w:t>
            </w:r>
          </w:p>
        </w:tc>
      </w:tr>
      <w:tr w:rsidR="005106D0" w:rsidRPr="007224C3" w14:paraId="5B11F766" w14:textId="77777777">
        <w:tc>
          <w:tcPr>
            <w:tcW w:w="3757" w:type="dxa"/>
          </w:tcPr>
          <w:p w14:paraId="518F7B2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 скорость у земли</w:t>
            </w:r>
          </w:p>
        </w:tc>
        <w:tc>
          <w:tcPr>
            <w:tcW w:w="3757" w:type="dxa"/>
          </w:tcPr>
          <w:p w14:paraId="0873BC7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532 км/час</w:t>
            </w:r>
          </w:p>
        </w:tc>
      </w:tr>
      <w:tr w:rsidR="005106D0" w:rsidRPr="007224C3" w14:paraId="4FE7D904" w14:textId="77777777">
        <w:tc>
          <w:tcPr>
            <w:tcW w:w="3757" w:type="dxa"/>
          </w:tcPr>
          <w:p w14:paraId="5B4CD98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 скорость на 2-й</w:t>
            </w:r>
          </w:p>
        </w:tc>
        <w:tc>
          <w:tcPr>
            <w:tcW w:w="3757" w:type="dxa"/>
          </w:tcPr>
          <w:p w14:paraId="2E42B35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5F4656F" w14:textId="77777777">
        <w:tc>
          <w:tcPr>
            <w:tcW w:w="3757" w:type="dxa"/>
          </w:tcPr>
          <w:p w14:paraId="0C7D4D5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границе высотности </w:t>
            </w:r>
          </w:p>
        </w:tc>
        <w:tc>
          <w:tcPr>
            <w:tcW w:w="3757" w:type="dxa"/>
          </w:tcPr>
          <w:p w14:paraId="3E0BCE4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586 км/час</w:t>
            </w:r>
          </w:p>
        </w:tc>
      </w:tr>
      <w:tr w:rsidR="005106D0" w:rsidRPr="007224C3" w14:paraId="0F2C7953" w14:textId="77777777">
        <w:tc>
          <w:tcPr>
            <w:tcW w:w="3757" w:type="dxa"/>
          </w:tcPr>
          <w:p w14:paraId="6BE43AA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Время набора высоты 5000 м</w:t>
            </w:r>
          </w:p>
        </w:tc>
        <w:tc>
          <w:tcPr>
            <w:tcW w:w="3757" w:type="dxa"/>
          </w:tcPr>
          <w:p w14:paraId="2DAADEA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5,5 мин.</w:t>
            </w:r>
          </w:p>
        </w:tc>
      </w:tr>
    </w:tbl>
    <w:p w14:paraId="383711A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Охлаждение масла недостаточно (1821).</w:t>
      </w:r>
    </w:p>
    <w:p w14:paraId="33AD563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D0487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апреля 1944 л А.Г.Кочетков и и Ф.П.Супрун прибыли в Буффало испытывать Р-63 (172,168).</w:t>
      </w:r>
    </w:p>
    <w:p w14:paraId="20785BE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69F3D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апреля 1944 вышло Постановление ГКО № 5518 О мероприятиях по обеспечению производства во II квартале 1944 г. силикатного стекла и сталинита для выработки авиационной прозрачной брони и органического стекла. РГАНИР, Фонд ГКО, д. 224, лл. 36-39,40 (11012).</w:t>
      </w:r>
    </w:p>
    <w:p w14:paraId="2FBBAFC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E52719A"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4BDD0FC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AB29E7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апреля 1944 г. была подготовлена СПРАВКА О ВЫПОЛНЕНИИ ПОСТАНОВЛЕНИЙ ПРАВИТЕЛЬСТВА ПО ТУ ГБТУ КА НА 1.04.1944 г.</w:t>
      </w:r>
    </w:p>
    <w:tbl>
      <w:tblPr>
        <w:tblW w:w="0" w:type="auto"/>
        <w:tblInd w:w="40" w:type="dxa"/>
        <w:tblLayout w:type="fixed"/>
        <w:tblCellMar>
          <w:left w:w="40" w:type="dxa"/>
          <w:right w:w="40" w:type="dxa"/>
        </w:tblCellMar>
        <w:tblLook w:val="0000" w:firstRow="0" w:lastRow="0" w:firstColumn="0" w:lastColumn="0" w:noHBand="0" w:noVBand="0"/>
      </w:tblPr>
      <w:tblGrid>
        <w:gridCol w:w="422"/>
        <w:gridCol w:w="4330"/>
        <w:gridCol w:w="4877"/>
      </w:tblGrid>
      <w:tr w:rsidR="005106D0" w:rsidRPr="007224C3" w14:paraId="0C866EE1" w14:textId="77777777">
        <w:trPr>
          <w:trHeight w:val="384"/>
        </w:trPr>
        <w:tc>
          <w:tcPr>
            <w:tcW w:w="422" w:type="dxa"/>
            <w:tcBorders>
              <w:top w:val="single" w:sz="6" w:space="0" w:color="auto"/>
              <w:left w:val="single" w:sz="6" w:space="0" w:color="auto"/>
              <w:bottom w:val="single" w:sz="6" w:space="0" w:color="auto"/>
              <w:right w:val="single" w:sz="6" w:space="0" w:color="auto"/>
            </w:tcBorders>
          </w:tcPr>
          <w:p w14:paraId="3176AB1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п/п</w:t>
            </w:r>
          </w:p>
          <w:p w14:paraId="308DE26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30" w:type="dxa"/>
            <w:tcBorders>
              <w:top w:val="single" w:sz="6" w:space="0" w:color="auto"/>
              <w:left w:val="single" w:sz="6" w:space="0" w:color="auto"/>
              <w:bottom w:val="single" w:sz="6" w:space="0" w:color="auto"/>
              <w:right w:val="single" w:sz="6" w:space="0" w:color="auto"/>
            </w:tcBorders>
          </w:tcPr>
          <w:p w14:paraId="4E325AF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Краткое содержание постановлений, их № и дата</w:t>
            </w:r>
          </w:p>
          <w:p w14:paraId="7CD954C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877" w:type="dxa"/>
            <w:tcBorders>
              <w:top w:val="single" w:sz="6" w:space="0" w:color="auto"/>
              <w:left w:val="single" w:sz="6" w:space="0" w:color="auto"/>
              <w:bottom w:val="single" w:sz="6" w:space="0" w:color="auto"/>
              <w:right w:val="single" w:sz="6" w:space="0" w:color="auto"/>
            </w:tcBorders>
          </w:tcPr>
          <w:p w14:paraId="3896515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Что сделано по постановлению</w:t>
            </w:r>
          </w:p>
          <w:p w14:paraId="79BAC0E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D3C27C9" w14:textId="77777777">
        <w:trPr>
          <w:trHeight w:val="1046"/>
        </w:trPr>
        <w:tc>
          <w:tcPr>
            <w:tcW w:w="422" w:type="dxa"/>
            <w:tcBorders>
              <w:top w:val="single" w:sz="6" w:space="0" w:color="auto"/>
              <w:left w:val="single" w:sz="6" w:space="0" w:color="auto"/>
              <w:bottom w:val="single" w:sz="6" w:space="0" w:color="auto"/>
              <w:right w:val="single" w:sz="6" w:space="0" w:color="auto"/>
            </w:tcBorders>
          </w:tcPr>
          <w:p w14:paraId="1C585A0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p w14:paraId="0482591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30" w:type="dxa"/>
            <w:tcBorders>
              <w:top w:val="single" w:sz="6" w:space="0" w:color="auto"/>
              <w:left w:val="single" w:sz="6" w:space="0" w:color="auto"/>
              <w:bottom w:val="single" w:sz="6" w:space="0" w:color="auto"/>
              <w:right w:val="single" w:sz="6" w:space="0" w:color="auto"/>
            </w:tcBorders>
          </w:tcPr>
          <w:p w14:paraId="179FC68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Постановление ГОКО №3374с от 20.07.1943 г. §2. Обязать НКО (т. Федоренко) провести до 25.10.1943 г. полигонные испытания танка КВ с элек</w:t>
            </w:r>
            <w:r w:rsidRPr="007224C3">
              <w:rPr>
                <w:rFonts w:ascii="Times New Roman" w:hAnsi="Times New Roman"/>
                <w:color w:val="000000" w:themeColor="text1"/>
                <w:sz w:val="16"/>
                <w:szCs w:val="16"/>
              </w:rPr>
              <w:softHyphen/>
              <w:t>трической тягой и результаты испытаний к 1.11.1943 г. доложить ГОКО.</w:t>
            </w:r>
          </w:p>
          <w:p w14:paraId="6791063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877" w:type="dxa"/>
            <w:tcBorders>
              <w:top w:val="single" w:sz="6" w:space="0" w:color="auto"/>
              <w:left w:val="single" w:sz="6" w:space="0" w:color="auto"/>
              <w:bottom w:val="single" w:sz="6" w:space="0" w:color="auto"/>
              <w:right w:val="single" w:sz="6" w:space="0" w:color="auto"/>
            </w:tcBorders>
          </w:tcPr>
          <w:p w14:paraId="41A80A2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Постановление в срок не выполнено. О невыполнении постановления доложено т. Берия письмами №1142255 от 2.12.1943 г. и №520260 от 18.01.1944 г. В настоящее время танк подготавливается к полигонным испытаниям.</w:t>
            </w:r>
          </w:p>
          <w:p w14:paraId="669B41E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37CF474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п/п</w:t>
      </w:r>
    </w:p>
    <w:p w14:paraId="25EF236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Краткое содержание постановлений, их № и дата</w:t>
      </w:r>
    </w:p>
    <w:p w14:paraId="622EC6E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Что сделано по постановлению</w:t>
      </w:r>
    </w:p>
    <w:p w14:paraId="3790FEC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p w14:paraId="508C06D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Распоряжение ГОКО №4251 с от 5.10.1943 г.</w:t>
      </w:r>
    </w:p>
    <w:p w14:paraId="26EF566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Обязать ГБТУ КА (т. Вершинина) совместно с НКАП провести полигонные испытания опытных образ</w:t>
      </w:r>
      <w:r w:rsidRPr="007224C3">
        <w:rPr>
          <w:rFonts w:ascii="Times New Roman" w:hAnsi="Times New Roman"/>
          <w:color w:val="000000" w:themeColor="text1"/>
          <w:sz w:val="16"/>
          <w:szCs w:val="16"/>
        </w:rPr>
        <w:softHyphen/>
        <w:t>цов дистанционных тахометров и к 1.02.1944 г. пред</w:t>
      </w:r>
      <w:r w:rsidRPr="007224C3">
        <w:rPr>
          <w:rFonts w:ascii="Times New Roman" w:hAnsi="Times New Roman"/>
          <w:color w:val="000000" w:themeColor="text1"/>
          <w:sz w:val="16"/>
          <w:szCs w:val="16"/>
        </w:rPr>
        <w:softHyphen/>
        <w:t>ставить свои соображения о поставке их на серийное производство.</w:t>
      </w:r>
    </w:p>
    <w:p w14:paraId="46D351C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Тахометры при испытании показали неудовлетворительные результаты.</w:t>
      </w:r>
    </w:p>
    <w:p w14:paraId="33F5831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Написано письмо т. Берия за №521058 от 4.03.1944 г. с приложением нового распоряжения ГОКО о доработке тахоме</w:t>
      </w:r>
      <w:r w:rsidRPr="007224C3">
        <w:rPr>
          <w:rFonts w:ascii="Times New Roman" w:hAnsi="Times New Roman"/>
          <w:color w:val="000000" w:themeColor="text1"/>
          <w:sz w:val="16"/>
          <w:szCs w:val="16"/>
        </w:rPr>
        <w:softHyphen/>
        <w:t>тров. В настоящее время вышло новое распоряжение ГОКО №5423с от 21.03.1944 г., по которому НКАП обязан устранить конструктивные недостатки в тахометрах к 1.06.1944 г. и поставить их вновь на испытания.</w:t>
      </w:r>
    </w:p>
    <w:p w14:paraId="6CB2882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p w14:paraId="181E43F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Распоряжение ГОКО №4442с от 28.10.1943 г.</w:t>
      </w:r>
    </w:p>
    <w:p w14:paraId="5C22480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Изготовить 7 танковых моторов В-2 с коленча</w:t>
      </w:r>
      <w:r w:rsidRPr="007224C3">
        <w:rPr>
          <w:rFonts w:ascii="Times New Roman" w:hAnsi="Times New Roman"/>
          <w:color w:val="000000" w:themeColor="text1"/>
          <w:sz w:val="16"/>
          <w:szCs w:val="16"/>
        </w:rPr>
        <w:softHyphen/>
        <w:t>тыми валами, главными шатунами и крышками из стали ЭИ-500 и к 1.01.1944 г. НКТП совместно с ГБТУ КА провести дополнительные стендовые испы</w:t>
      </w:r>
      <w:r w:rsidRPr="007224C3">
        <w:rPr>
          <w:rFonts w:ascii="Times New Roman" w:hAnsi="Times New Roman"/>
          <w:color w:val="000000" w:themeColor="text1"/>
          <w:sz w:val="16"/>
          <w:szCs w:val="16"/>
        </w:rPr>
        <w:softHyphen/>
        <w:t>тания 2-х моторов и ходовые испытания 5-ти моторов. Результаты испытаний представить 15.01.1944 г. в Госплан.</w:t>
      </w:r>
    </w:p>
    <w:p w14:paraId="2A32F51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Стендовые испытания моторов закончены. Отчет пред</w:t>
      </w:r>
      <w:r w:rsidRPr="007224C3">
        <w:rPr>
          <w:rFonts w:ascii="Times New Roman" w:hAnsi="Times New Roman"/>
          <w:color w:val="000000" w:themeColor="text1"/>
          <w:sz w:val="16"/>
          <w:szCs w:val="16"/>
        </w:rPr>
        <w:softHyphen/>
        <w:t>ставлен в НКТП. Ходовые испытания не проведены. Моторы (5 штук) не прибыли на полигон ГБТУ КА. О невыполнении постановления в срок написано письмо т. Микояну №520078 от 4.01.1944 г. и т. Борисову №521379с от 21.03.1944 г.</w:t>
      </w:r>
    </w:p>
    <w:p w14:paraId="7FF1291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Распоряжение СНК №22664с от 28.11.1943 г.</w:t>
      </w:r>
    </w:p>
    <w:p w14:paraId="61C1C72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Обязать НКТП (т. Котина) изготовить на заводе №100 по чертежам ГБТУ КА и ЦНИИПО НКВД СССР опытную партию автоматических углекислотных огнегаситель-ных установок и оборудовать ими в декабре 1943 г., январе 1944 года 100 танков Т-34.</w:t>
      </w:r>
    </w:p>
    <w:p w14:paraId="6202B3D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 комплектов огнетушителей изготовлены на заводе №100 и переданы Кировскому заводу для монтажа их в танки.</w:t>
      </w:r>
    </w:p>
    <w:p w14:paraId="1CB9CBD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Было смонтировано 20 танков и отправлено в армию. Для контроля за работой огнегасительной аппаратуры посланы два офицера ЦНИИПО. В связи прекращением выпуска тан</w:t>
      </w:r>
      <w:r w:rsidRPr="007224C3">
        <w:rPr>
          <w:rFonts w:ascii="Times New Roman" w:hAnsi="Times New Roman"/>
          <w:color w:val="000000" w:themeColor="text1"/>
          <w:sz w:val="16"/>
          <w:szCs w:val="16"/>
        </w:rPr>
        <w:softHyphen/>
        <w:t>ков Т-34 на Кировском заводе, работы прекращены. Написано письмо т. Малышеву о передаче этой работы заводу №183.</w:t>
      </w:r>
    </w:p>
    <w:p w14:paraId="1ECDF2A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p w14:paraId="5DE32B6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Постановление ГОКО №4851сс от 27.12.1943 г.</w:t>
      </w:r>
    </w:p>
    <w:p w14:paraId="6F0467A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НКТП (т. Малышева) и директоров заводов Кировского и №100 спроектировать и изготовить обра</w:t>
      </w:r>
      <w:r w:rsidRPr="007224C3">
        <w:rPr>
          <w:rFonts w:ascii="Times New Roman" w:hAnsi="Times New Roman"/>
          <w:color w:val="000000" w:themeColor="text1"/>
          <w:sz w:val="16"/>
          <w:szCs w:val="16"/>
        </w:rPr>
        <w:softHyphen/>
        <w:t>зец танка ИС с пушкой 100 мм. Заводские испытания танка ИС со 100-мм пушкой провести к 20.02.1944 года и к 25.02.1944 г. подать танк на полигонные испытания.</w:t>
      </w:r>
    </w:p>
    <w:p w14:paraId="170A5B9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100-мм пушка смонтирована в танке. Танк подан на ГАНИОП для полигонных испытаний. Утверждена и отослана программа испытаний.</w:t>
      </w:r>
    </w:p>
    <w:p w14:paraId="0367D67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Приказом командующего БТ и МВ КА, НКТП и начальника ГАУ КА №032 от 18.03.1944 г. т. Кальчицкий назначен пред</w:t>
      </w:r>
      <w:r w:rsidRPr="007224C3">
        <w:rPr>
          <w:rFonts w:ascii="Times New Roman" w:hAnsi="Times New Roman"/>
          <w:color w:val="000000" w:themeColor="text1"/>
          <w:sz w:val="16"/>
          <w:szCs w:val="16"/>
        </w:rPr>
        <w:softHyphen/>
        <w:t>седателем комиссии по испытаниям. Испытания начаты с 27.03.1944 года.</w:t>
      </w:r>
    </w:p>
    <w:p w14:paraId="419B78A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w:t>
      </w:r>
    </w:p>
    <w:p w14:paraId="0471A92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Распоряжение ГОКО №5423с от 20.03.1944 года обязать НКАП устранить конструктивные недостатки в дистанционных тахометрах к 1.06.1944 г. и поставить их вновь на испытания.</w:t>
      </w:r>
    </w:p>
    <w:p w14:paraId="1773971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нач. ГБТУ КА генерал-лейтенантом т. Лебедевым утверждены новые тактико-технические требования и согласо</w:t>
      </w:r>
      <w:r w:rsidRPr="007224C3">
        <w:rPr>
          <w:rFonts w:ascii="Times New Roman" w:hAnsi="Times New Roman"/>
          <w:color w:val="000000" w:themeColor="text1"/>
          <w:sz w:val="16"/>
          <w:szCs w:val="16"/>
        </w:rPr>
        <w:softHyphen/>
        <w:t>ваны с НКАП.</w:t>
      </w:r>
    </w:p>
    <w:p w14:paraId="4876FC6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№149 НКАП приступил к изготовлению тахометров.</w:t>
      </w:r>
    </w:p>
    <w:p w14:paraId="17BCFE9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начальника ТУ ГБТУ КА инженер-подполковник Муравич</w:t>
      </w:r>
    </w:p>
    <w:p w14:paraId="487FA92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38. Оп. 11355. Д. 2211. Л. 19-20. Подлинник (11403).</w:t>
      </w:r>
    </w:p>
    <w:p w14:paraId="6489A6F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FD660F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апреля 1944 г. вышла ДОКЛАДНАЯ ЗАПИСКА ЗАМЕСТИТЕЛЯ НАЧАЛЬНИКА ТУ ГБТУ КА НАЧАЛЬНИКУ ТЕХНИЧЕСКОГО ОТДЕЛА НКЧМ О ПОДГОТОВКЕ ИСПЫТАНИЙ 90-мм БРОНИ №521519</w:t>
      </w:r>
    </w:p>
    <w:p w14:paraId="2E52AF6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Согласно совместного решения ГБТУ КА, НКЧМ и НКТП испытание 90-мм брони, изготовлен</w:t>
      </w:r>
      <w:r w:rsidRPr="007224C3">
        <w:rPr>
          <w:rFonts w:ascii="Times New Roman" w:hAnsi="Times New Roman"/>
          <w:color w:val="000000" w:themeColor="text1"/>
          <w:sz w:val="16"/>
          <w:szCs w:val="16"/>
        </w:rPr>
        <w:softHyphen/>
        <w:t>ной из сталей марок 42 см и 51 см, должно производиться снарядом калибра 85 мм.</w:t>
      </w:r>
    </w:p>
    <w:p w14:paraId="3520142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Единственным поставщиком брони указанной толщины является Магнитогорский металлурги</w:t>
      </w:r>
      <w:r w:rsidRPr="007224C3">
        <w:rPr>
          <w:rFonts w:ascii="Times New Roman" w:hAnsi="Times New Roman"/>
          <w:color w:val="000000" w:themeColor="text1"/>
          <w:sz w:val="16"/>
          <w:szCs w:val="16"/>
        </w:rPr>
        <w:softHyphen/>
        <w:t>ческий комбинат.</w:t>
      </w:r>
    </w:p>
    <w:p w14:paraId="2AB2012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Однако, Магнитогорский металлургический комбинат, несмотря на наличие 85-мм зенитной пушки и боеприпасов к ней, к испытанию 90-мм брони из указанной системы еще не подготовлен.</w:t>
      </w:r>
    </w:p>
    <w:p w14:paraId="09E3C92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организации стрельбы из 85-мм пушки Магнитогорскому металлургическом комбинату тре</w:t>
      </w:r>
      <w:r w:rsidRPr="007224C3">
        <w:rPr>
          <w:rFonts w:ascii="Times New Roman" w:hAnsi="Times New Roman"/>
          <w:color w:val="000000" w:themeColor="text1"/>
          <w:sz w:val="16"/>
          <w:szCs w:val="16"/>
        </w:rPr>
        <w:softHyphen/>
        <w:t>буется, на существующем у него полигоне, произвести ряд небольших переделок.</w:t>
      </w:r>
    </w:p>
    <w:p w14:paraId="02A7D02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По донесению ст. военпреда ТУ ГБТУ КА инженер-подполковника т. Межбижера, директор Магнитогорского металлургического комбината отказывается производить какие-либо переделки на полигоне, мотивируя свой отказ отсутствием указания от Наркомчермета о необходимости про</w:t>
      </w:r>
      <w:r w:rsidRPr="007224C3">
        <w:rPr>
          <w:rFonts w:ascii="Times New Roman" w:hAnsi="Times New Roman"/>
          <w:color w:val="000000" w:themeColor="text1"/>
          <w:sz w:val="16"/>
          <w:szCs w:val="16"/>
        </w:rPr>
        <w:softHyphen/>
        <w:t>изводства испытания брони из 85-мм пушки.</w:t>
      </w:r>
    </w:p>
    <w:p w14:paraId="7AE947D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Прошу Ваших указаний директору Магнитогорского металлургического комбината о производ</w:t>
      </w:r>
      <w:r w:rsidRPr="007224C3">
        <w:rPr>
          <w:rFonts w:ascii="Times New Roman" w:hAnsi="Times New Roman"/>
          <w:color w:val="000000" w:themeColor="text1"/>
          <w:sz w:val="16"/>
          <w:szCs w:val="16"/>
        </w:rPr>
        <w:softHyphen/>
        <w:t>стве к 20 апреля с.г. необходимых переделок на полигоне, обеспечивающих испытание 90-мм брони из 85-мм пушки.</w:t>
      </w:r>
    </w:p>
    <w:p w14:paraId="62764E5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 Вашем решении прошу поставить меня в известность.</w:t>
      </w:r>
    </w:p>
    <w:p w14:paraId="6FA734F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начальника ТУ ГБТУ Красной Армии инженер-подполковник Муравич</w:t>
      </w:r>
    </w:p>
    <w:p w14:paraId="7CA8DD9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начальника отдела ТУ ГБТУ Красной Армии инженер-майор Мирошников</w:t>
      </w:r>
    </w:p>
    <w:p w14:paraId="754B059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38. Оп. 11355. Д. 2198. Л. 14. Копия (114030).</w:t>
      </w:r>
    </w:p>
    <w:p w14:paraId="5A2229D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AB77DD"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апреля 1944 вышло Постановление ГКО № 5515 О плане ремонта автомобилей для Красной Армии на 1944 г. (7204, 2-9,10-30).</w:t>
      </w:r>
    </w:p>
    <w:p w14:paraId="2C224EED"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B3A947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апреля 1944 года Государственный Комитет Обороны СССР в связи с возникшей большой потребностью в запасных частях для ремонта импортных автомобилей, поставляемых по ленд-лизу, принял Постановление за № 6515 «О создании Московского завода «Автозапчастей» в составе Наркомата Среднего Машиностроения СССР. На новое предприятие возлагалось освоение производства запасных частей 83-х наименований к автомобилям «Форд», «Студебеккер», «Виллис» и «Додж». Для выполнения этой задачи на предприятии были проведены ремонтно-восстановительные работы, произведено его дооснащение необходимым оборудованием, и до конца войны оно обеспечивало поставки запасных частей для мастерских и авторемонтных заводов страны (10766).</w:t>
      </w:r>
    </w:p>
    <w:p w14:paraId="515E862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24E4A3C"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апреля 1944 вышло Постановление ГКО № 5516 О переводе из Северного флота и из Каспийской военной флотилии в состав Черноморского флота пяти подводных лодок типа М. (7204, 31-32).</w:t>
      </w:r>
    </w:p>
    <w:p w14:paraId="0082AA21"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C56EA9"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апреля 1944 вышло Постановление ГКО № 5517 О переводе из Каспийского моря и с завода № 112 Наркомтанкопрома в состав Северного флота 3 подводных лодок типа С. (7204, 33-35).</w:t>
      </w:r>
    </w:p>
    <w:p w14:paraId="4433057D"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466654F"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апреля 1944 вышло № 5519 [Телеграмма Ярославскому облисполкому с разрешением оставить до 10 апреля 1944 г. на работах по вывозке дров 4500 лошадей.] (7204, 41).</w:t>
      </w:r>
    </w:p>
    <w:p w14:paraId="17498894"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B09596C"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30B8854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1DD2D16" w14:textId="77777777" w:rsidR="00383F24" w:rsidRPr="007224C3" w:rsidRDefault="00383F2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апреля в 1944 году оперативная сводка Совинформбюро:</w:t>
      </w:r>
    </w:p>
    <w:p w14:paraId="0D17855A" w14:textId="77777777" w:rsidR="00383F24" w:rsidRPr="007224C3" w:rsidRDefault="00383F2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 апреля юго-западнее города Тарнополь наши войска вели наступательные бои, в ходе которых овладели районным центром Тарнопольской области городом Подгайцы, а также заняли более 30 других населённых пунктов, среди которых крупные населённые пункты Завалув, Голешув, Товстобабы, Коньчаки, Крымидув, Тумиж, Мендзыгуже и железнодорожные станции Комаровка, Нижнюв, Олешув.</w:t>
      </w:r>
    </w:p>
    <w:p w14:paraId="5A6397CC" w14:textId="77777777" w:rsidR="00383F24" w:rsidRPr="007224C3" w:rsidRDefault="00383F2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югу от города Каменец-Подольск наши войска овладели населёнными пунктами Недобоевцы, Пашковцы, Ставчаны, Должок, Динауцы, Малинешти, Котелеву, Форостна и ворвались в город Хотин, где завязали уличные бои.</w:t>
      </w:r>
    </w:p>
    <w:p w14:paraId="39C35F9A" w14:textId="77777777" w:rsidR="00383F24" w:rsidRPr="007224C3" w:rsidRDefault="00383F2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Кишинёвском направлении наши войска, преодолевая сопротивление и контратаки противника, продолжали вести наступательные бои, в ходе которых заняли более 30 населённых пунктов, среди которых крупные населённые пункты Мындрешти, Теленешти, Вережени, Негурени, Скорцени, Гидулени, Чинишеуцы, Екимауць, Мокра, Топалы, Черна.</w:t>
      </w:r>
    </w:p>
    <w:p w14:paraId="17375F67" w14:textId="77777777" w:rsidR="00383F24" w:rsidRPr="007224C3" w:rsidRDefault="00383F2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Тираспольском направлении наши войска, продолжая наступление, овладели районным центром Одесской области Троицкое, а также с боями заняли более 60 других населённых пунктов, среди которых крупные населённые пункты Новосёловка, Кохановка, Денисовка, Николаевка, Викторовка, Каминское.</w:t>
      </w:r>
    </w:p>
    <w:p w14:paraId="4253BEB2" w14:textId="77777777" w:rsidR="00383F24" w:rsidRPr="007224C3" w:rsidRDefault="00383F2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Одесском направлении наши войска, преследуя отступающего противника, с боями заняли более 100 населённых пунктов, в том числе крупные населённые пункты Чёрный Кут, Шабельник, Бирюки, Демидова, Анатольевка, Котовского, Нейково, Черногорка, Сербка, Капитоновка, Нейзац, Ташино, Блюменфельд, Тузлы, Коблево, Карабаш, Аджиаска и железнодорожные станции Рауховка, Мариново, Сербка. Отступая под ударами наших войск, противник несёт большие потери в живой силе и технике.</w:t>
      </w:r>
    </w:p>
    <w:p w14:paraId="21C7890F" w14:textId="77777777" w:rsidR="00383F24" w:rsidRPr="007224C3" w:rsidRDefault="00383F2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 бои местного значения.</w:t>
      </w:r>
    </w:p>
    <w:p w14:paraId="7EE1C87B" w14:textId="77777777" w:rsidR="00383F24" w:rsidRPr="007224C3" w:rsidRDefault="00383F2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31 марта наши войска на всех фронтах подбили и уничтожили 33 немецких танка. В воздушных боях и огнём зенитной артиллерии сбито 86 самолётов противника.</w:t>
      </w:r>
    </w:p>
    <w:p w14:paraId="36D51430" w14:textId="77777777" w:rsidR="00383F24" w:rsidRPr="007224C3" w:rsidRDefault="00383F2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города Тарнополь наши войска форсировали реку Коропец и с боями овладели важным узлом шоссейных дорог городом Подгайцы. Развивая успех, наши части выбили немцев из ряда других населённых пунктов. Захвачены у противника 2 самоходных и 8 полевых орудий, 46 пулемётов, 55 автомашин, 2 склада с боеприпасами и крупный склад с зерном.</w:t>
      </w:r>
    </w:p>
    <w:p w14:paraId="277458DF" w14:textId="77777777" w:rsidR="00383F24" w:rsidRPr="007224C3" w:rsidRDefault="00383F2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югу от города Каменец-Подольск части Н-ского соединения в ожесточённом бою сломили сопротивление противника и ворвались в город Хотин, расположенный на правом берегу Днестра. Стремясь восстановить положение, немцы предприняли несколько контратак, но были отброшены с большими для них потерями. Южная и центральная часть города Хотин заняты нашими войсками. Противник оттеснён на северную окраину города. На другом участке советские пехотинцы, развивая наступление, продвинулись вперёд на 15 километров и заняли несколько населённых пунктов. В этих боях уничтожено до полка немецкой пехоты. Взято в плен свыше 300 солдат и офицеров противника.</w:t>
      </w:r>
    </w:p>
    <w:p w14:paraId="358217E9" w14:textId="77777777" w:rsidR="00383F24" w:rsidRPr="007224C3" w:rsidRDefault="00383F2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дня советские лётчики и зенитчики сбили 38 немецких самолётов.</w:t>
      </w:r>
    </w:p>
    <w:p w14:paraId="5ADC28A0" w14:textId="77777777" w:rsidR="00383F24" w:rsidRPr="007224C3" w:rsidRDefault="00383F2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Кишинёвском направлении наши войска продолжали вести наступательные бои. Противник, используя естественные рубежи и бросая в бой пехоту и танки, пытался остановить наступление советских войск. Однако под ударами наших танкистов и пехотинцев гитлеровцы не могли задержаться ни на одном оборонительном рубеже. За день боёв очищено от немцев более 30 населённых пунктов. Нашими войсками захвачено 19 немецких танков, из них 3 танка типа «Тигр», свыше 100 полевых и 6 самоходных орудий, 20 бронетранспортёров, 1.250 автомашин, 18 паровозов, около 300 вагонов с боеприпасами и военным имуществом и другие трофеи. На одном участке на сторону Красной Армии перешёл румынский батальон в полном составе.</w:t>
      </w:r>
    </w:p>
    <w:p w14:paraId="4B0F59F1" w14:textId="77777777" w:rsidR="00383F24" w:rsidRPr="007224C3" w:rsidRDefault="00383F2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Тираспольском направлении наши войска в результате обходного манёвра овладели узлом грунтовых дорог районным центром Одесской области Троицкое. Закрепившись на рубеже реки Журовка, противник пытался задержать наступление советских частей. Ночью наши подразделения переправились через реку и внезапным ударом заняли несколько населённых пунктов. В боях за эти пункты уничтожено 800 гитлеровцев. Захвачено у немцев 15 орудий, 80 автомашин и 3 склада боеприпасов. Взяты в плен две роты пехоты противника.</w:t>
      </w:r>
    </w:p>
    <w:p w14:paraId="26FA47E5" w14:textId="77777777" w:rsidR="00383F24" w:rsidRPr="007224C3" w:rsidRDefault="00383F2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занятом вчера советскими войсками городе Котовск обнаружено свыше 500 трупов немецких солдат и офицеров.</w:t>
      </w:r>
    </w:p>
    <w:p w14:paraId="6AA4F1C2" w14:textId="77777777" w:rsidR="00383F24" w:rsidRPr="007224C3" w:rsidRDefault="00383F2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Одесском направлении наши войска, преследуя противника, заняли более 100 населённых пунктов. Части Н-ского гвардейского соединения, блокируя и уничтожая вражеские гарнизоны, очистили от немцев восточный берег Тилигульского лимана. Взято в плен 450 гитлеровцев и захвачено много вооружения. Отдельные части противника были прижаты к лиману и уничтожены. В одном районе наши танкисты и кавалеристы разгромили крупную колонну противника, уничтожили до 600 немецких солдат и офицеров. Захвачены трофеи, в числе которых 17 орудий и 70 автомашин с боеприпасами.</w:t>
      </w:r>
    </w:p>
    <w:p w14:paraId="54DB89F3" w14:textId="77777777" w:rsidR="00383F24" w:rsidRPr="007224C3" w:rsidRDefault="00383F2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Несколько белорусских партизанских отрядов, действующих в Белостокской области, в марте пустили под откос 20 немецких воинских эшелонов. Кроме того, партизаны взорвали 2 железнодорожных и 7 шоссейных мостов, вырезали 37 километров телефонно-телеграфной линии связи. Разведчики одного из партизанских отрядов Брестской области установили, что немцы гонят награбленный у населения скот. Советские патриоты из засад внезапно напали и уничтожили гитлеровцев, а отбитых у них коров и лошадей возвратили крестьянам.» (15086).</w:t>
      </w:r>
    </w:p>
    <w:p w14:paraId="05480D64" w14:textId="77777777" w:rsidR="00383F24" w:rsidRPr="007224C3" w:rsidRDefault="00383F24" w:rsidP="007224C3">
      <w:pPr>
        <w:spacing w:after="0" w:line="240" w:lineRule="auto"/>
        <w:jc w:val="both"/>
        <w:rPr>
          <w:rFonts w:ascii="Times New Roman" w:hAnsi="Times New Roman"/>
          <w:color w:val="000000" w:themeColor="text1"/>
          <w:sz w:val="16"/>
          <w:szCs w:val="16"/>
        </w:rPr>
      </w:pPr>
    </w:p>
    <w:p w14:paraId="38366E33"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апреля 1944 Войсками 2 УФ в ходе Уманско-Батошанской операции освобожден город Ананьев (оккупирован 7 августа 1941 г.). В освобождении города принимали участие: 5 гв.А. - 33 гв. ск. (9 гв. вдд, часть сил 214 сд) (4963 ).</w:t>
      </w:r>
    </w:p>
    <w:p w14:paraId="1B2E6F33"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F6CB4B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апреля 1944 года был сбит и совершил вынужденную посадку на воду заместитель командира 11-й ШАД, майор В. Жумбакис. На поиски майора отправили спасательный катер в сопровождении 6 Як-9 из 6-го ГИАП. Четверо летчиков были совсем зелеными, это был их первый боевой вылет. Их послали одних потому что надеялись, что в плохую погоду противник не встретится. Тем не менее в воздухе появилось звено Вf109. В бой с "мессерами" вступила пара Воронов-Акулов. Им удалось сбить один "мессер". Тем не менее желтые Вf109 с коричневым камуфляжем и белыми носами сбили двух молодых пилотов: Селянкина и Леонтьева (2691).</w:t>
      </w:r>
    </w:p>
    <w:p w14:paraId="685EC63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E7537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апреля 1944 закончился 2100 км партизанский рейд соединения П.П.Вершигоры через Ровенскую, Волынскую, Львовскую, Брестскую, Пинскую обл., Люблинское воеводство и часть Восточной Пруссии (3398,134).</w:t>
      </w:r>
    </w:p>
    <w:p w14:paraId="437914F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26AF7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апреля 1944 г., перед ударом английской палубной авиации по "Тирпицу", Альтен-фьорд снимали два со</w:t>
      </w:r>
      <w:r w:rsidRPr="007224C3">
        <w:rPr>
          <w:rFonts w:ascii="Times New Roman" w:hAnsi="Times New Roman"/>
          <w:color w:val="000000" w:themeColor="text1"/>
          <w:sz w:val="16"/>
          <w:szCs w:val="16"/>
        </w:rPr>
        <w:softHyphen/>
        <w:t>ветских РR IV и один Пе-3 (10790).</w:t>
      </w:r>
    </w:p>
    <w:p w14:paraId="4226FAC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C6F1F6C"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7E15537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330D9ED" w14:textId="77777777" w:rsidR="00383F24" w:rsidRPr="007224C3" w:rsidRDefault="00383F2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1 апреля в 1944 году к испытаниям представлен американский экспериментальный легкий истребитель </w:t>
      </w:r>
      <w:hyperlink r:id="rId95" w:tgtFrame="_blank" w:history="1">
        <w:r w:rsidRPr="007224C3">
          <w:rPr>
            <w:rFonts w:ascii="Times New Roman" w:hAnsi="Times New Roman"/>
            <w:color w:val="000000" w:themeColor="text1"/>
            <w:sz w:val="16"/>
            <w:szCs w:val="16"/>
          </w:rPr>
          <w:t>«Р-77» (15086).</w:t>
        </w:r>
      </w:hyperlink>
    </w:p>
    <w:p w14:paraId="542501C8" w14:textId="77777777" w:rsidR="00383F24" w:rsidRPr="007224C3" w:rsidRDefault="00383F24" w:rsidP="007224C3">
      <w:pPr>
        <w:spacing w:after="0" w:line="240" w:lineRule="auto"/>
        <w:jc w:val="both"/>
        <w:rPr>
          <w:rFonts w:ascii="Times New Roman" w:hAnsi="Times New Roman"/>
          <w:color w:val="000000" w:themeColor="text1"/>
          <w:sz w:val="16"/>
          <w:szCs w:val="16"/>
        </w:rPr>
      </w:pPr>
    </w:p>
    <w:p w14:paraId="66AF02D1" w14:textId="77777777" w:rsidR="001914DC" w:rsidRPr="007224C3" w:rsidRDefault="001914D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 апреля 1944 первый полет Bell XP-77 (20373).</w:t>
      </w:r>
    </w:p>
    <w:p w14:paraId="630C0C93" w14:textId="77777777" w:rsidR="001914DC" w:rsidRPr="007224C3" w:rsidRDefault="001914DC" w:rsidP="007224C3">
      <w:pPr>
        <w:spacing w:after="0" w:line="240" w:lineRule="auto"/>
        <w:jc w:val="both"/>
        <w:rPr>
          <w:rFonts w:ascii="Times New Roman" w:hAnsi="Times New Roman"/>
          <w:color w:val="0070C0"/>
          <w:sz w:val="16"/>
          <w:szCs w:val="16"/>
        </w:rPr>
      </w:pPr>
    </w:p>
    <w:p w14:paraId="604B5EE2" w14:textId="77777777" w:rsidR="001914DC" w:rsidRPr="007224C3" w:rsidRDefault="001914D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 апреля 1944 года — первый полёт экспериментального истребителя Bell XP-77.</w:t>
      </w:r>
    </w:p>
    <w:p w14:paraId="4683EB21" w14:textId="77777777" w:rsidR="001914DC" w:rsidRPr="007224C3" w:rsidRDefault="001914D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Ещё в октябре 1941 года, опасаясь нехватки сырья для авиапромышленности в случае вступления во Вторую мировую войну, в США начали прорабатывать варианты постройки боевых самолётов из «нестратегических материалов». Компания Bell получила задание разработать лёгкий истребитель, основным материалом конструкции которого должно было быть дерево. Так появился проект XP-77.</w:t>
      </w:r>
    </w:p>
    <w:p w14:paraId="4DE02176" w14:textId="77777777" w:rsidR="001914DC" w:rsidRPr="007224C3" w:rsidRDefault="001914D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Самолёт представлял собой одномоторный низкоплан с трёхопорным шасси с передней стойкой. Деревянный каркас был обшит металлическими листами. Вооружение: 1 × 20-мм пушка Hispano-Suiza HS.404, 2 × 12,7 мм пулемёта M2 + пара лёгких бомб.</w:t>
      </w:r>
    </w:p>
    <w:p w14:paraId="2A7088DB" w14:textId="77777777" w:rsidR="001914DC" w:rsidRPr="007224C3" w:rsidRDefault="001914D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Bell была загружена заказами на производство и модернизацию истребителя P-39 Airacobra, поэтому работы над экспериментальной машиной шли медленно. К своему первому полёту XP-77 уже уступал серийным самолётам, да и дефицита металла не случилось. Построили лишь 2 прототипа Bell XP-77, один из которых был потерян в испытательном полёте. В декабре 1944 года проект закрыли (22300).</w:t>
      </w:r>
    </w:p>
    <w:p w14:paraId="3A3EFCFF" w14:textId="77777777" w:rsidR="001914DC" w:rsidRPr="007224C3" w:rsidRDefault="001914DC" w:rsidP="007224C3">
      <w:pPr>
        <w:spacing w:after="0" w:line="240" w:lineRule="auto"/>
        <w:jc w:val="both"/>
        <w:rPr>
          <w:rFonts w:ascii="Times New Roman" w:hAnsi="Times New Roman"/>
          <w:color w:val="0070C0"/>
          <w:sz w:val="16"/>
          <w:szCs w:val="16"/>
        </w:rPr>
      </w:pPr>
    </w:p>
    <w:p w14:paraId="2AC247B3"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апреля 1944 американская авиация по ошибке разбомбила швейцарский город Шафхаузен, погибло до 50 мирных жителей (4962).</w:t>
      </w:r>
    </w:p>
    <w:p w14:paraId="7A456308"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2F53546" w14:textId="77777777" w:rsidR="00383F24" w:rsidRPr="007224C3" w:rsidRDefault="00383F2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апреля в 1944 году начало немецкой оккупации Венгрии (15086).</w:t>
      </w:r>
    </w:p>
    <w:p w14:paraId="24099294" w14:textId="77777777" w:rsidR="00383F24" w:rsidRPr="007224C3" w:rsidRDefault="00383F24" w:rsidP="007224C3">
      <w:pPr>
        <w:spacing w:after="0" w:line="240" w:lineRule="auto"/>
        <w:jc w:val="both"/>
        <w:rPr>
          <w:rFonts w:ascii="Times New Roman" w:hAnsi="Times New Roman"/>
          <w:color w:val="000000" w:themeColor="text1"/>
          <w:sz w:val="16"/>
          <w:szCs w:val="16"/>
        </w:rPr>
      </w:pPr>
    </w:p>
    <w:p w14:paraId="21E3AD69" w14:textId="77777777" w:rsidR="001914DC" w:rsidRPr="007224C3" w:rsidRDefault="001914D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 апреля 1944 Оперативная группа 58 ВМС США наносит удар по авианосцу Волеи (20373).</w:t>
      </w:r>
    </w:p>
    <w:p w14:paraId="36805F07" w14:textId="77777777" w:rsidR="001914DC" w:rsidRPr="007224C3" w:rsidRDefault="001914DC" w:rsidP="007224C3">
      <w:pPr>
        <w:spacing w:after="0" w:line="240" w:lineRule="auto"/>
        <w:jc w:val="both"/>
        <w:rPr>
          <w:rFonts w:ascii="Times New Roman" w:hAnsi="Times New Roman"/>
          <w:color w:val="0070C0"/>
          <w:sz w:val="16"/>
          <w:szCs w:val="16"/>
        </w:rPr>
      </w:pPr>
    </w:p>
    <w:p w14:paraId="1E48EA92"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6E5B9C5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B8A4D8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2 по 5 апреля 1944 экипаж В.В.Лисицына совершил на Ер-2 перелет по маршруту Иркутск-Красноярск-Новосибирск-Омск-Свердловск-Москва (Чкаловская) в рамках гос. испытаний доработанной и первой серийной машины (2865,10).</w:t>
      </w:r>
    </w:p>
    <w:p w14:paraId="13CD71F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9ABBF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 2 по 5 апреля 1944 экипаж Лисицына на первом серийном самолете Ер-2 с М-30Б летчик В.В. Лисицын и штурман Литвинчук совершил перелет по маршруту Иркутск - Красноярск - Новосибирск - Омск - Свердловск - Москва (аэродром Чкаловская) с промежуточными посадками в указанных пунктах в рамках госиспытаний (11994).</w:t>
      </w:r>
    </w:p>
    <w:p w14:paraId="0A2AEB4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B8F9FE9" w14:textId="77777777" w:rsidR="00383F24" w:rsidRPr="007224C3" w:rsidRDefault="00383F2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2 апреля в 1944 году утвержден макет скоростного дневного бомбардировщика </w:t>
      </w:r>
      <w:hyperlink r:id="rId96" w:tgtFrame="_blank" w:history="1">
        <w:r w:rsidRPr="007224C3">
          <w:rPr>
            <w:rFonts w:ascii="Times New Roman" w:hAnsi="Times New Roman"/>
            <w:color w:val="000000" w:themeColor="text1"/>
            <w:sz w:val="16"/>
            <w:szCs w:val="16"/>
          </w:rPr>
          <w:t xml:space="preserve">«СДБ» </w:t>
        </w:r>
      </w:hyperlink>
      <w:r w:rsidRPr="007224C3">
        <w:rPr>
          <w:rFonts w:ascii="Times New Roman" w:hAnsi="Times New Roman"/>
          <w:color w:val="000000" w:themeColor="text1"/>
          <w:sz w:val="16"/>
          <w:szCs w:val="16"/>
        </w:rPr>
        <w:t>ОКБ Туполева (15087).</w:t>
      </w:r>
    </w:p>
    <w:p w14:paraId="3FF6872F" w14:textId="77777777" w:rsidR="00383F24" w:rsidRPr="007224C3" w:rsidRDefault="00383F24" w:rsidP="007224C3">
      <w:pPr>
        <w:spacing w:after="0" w:line="240" w:lineRule="auto"/>
        <w:jc w:val="both"/>
        <w:rPr>
          <w:rFonts w:ascii="Times New Roman" w:hAnsi="Times New Roman"/>
          <w:color w:val="000000" w:themeColor="text1"/>
          <w:sz w:val="16"/>
          <w:szCs w:val="16"/>
        </w:rPr>
      </w:pPr>
    </w:p>
    <w:p w14:paraId="6FACF23C"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58D5D1A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DD9804A" w14:textId="77777777" w:rsidR="00383F24" w:rsidRPr="007224C3" w:rsidRDefault="00383F2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апреля в 1944 году оперативная сводка Совинформбюро:.</w:t>
      </w:r>
    </w:p>
    <w:p w14:paraId="3C1B5154" w14:textId="77777777" w:rsidR="00383F24" w:rsidRPr="007224C3" w:rsidRDefault="00383F2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2 апреля войска 1-го Украинского фронта, продолжая наступление, овладели районными центрами Станиславской области городом КОСОВ, городом Куты и районным центром Черновицкой области городом Герца.</w:t>
      </w:r>
    </w:p>
    <w:p w14:paraId="7F0BD110" w14:textId="77777777" w:rsidR="00383F24" w:rsidRPr="007224C3" w:rsidRDefault="00383F2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югу от города Каменец-Подольск наши войска вели наступательные бои, в ходе которых овладели районным центром Черновицкой области городом Новоселица, а также заняли несколько других населённых пунктов, среди которых крупные населённые пункты Маршинцы, Тарасовцы, Ванчиковцы, Думень, Кошулень и железнодорожные станции Ванчиковцы, Новоселица.</w:t>
      </w:r>
    </w:p>
    <w:p w14:paraId="036052F2" w14:textId="77777777" w:rsidR="00383F24" w:rsidRPr="007224C3" w:rsidRDefault="00383F2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Кишинёвском направлении наши войска, преодолевая сопротивление и контратаки противника, продолжали вести наступательные бои и овладели районным центром Молдавской ССР городом Резина, а также заняли более 20 других населённых пунктов, в том числе крупные населённые пункты Красношени, Сухулучени, Клишова, Чоколтени, Киштельница, Загорень, Бушовка, Городиштя, Ново-Красное, Степановка.</w:t>
      </w:r>
    </w:p>
    <w:p w14:paraId="215AB268" w14:textId="77777777" w:rsidR="00383F24" w:rsidRPr="007224C3" w:rsidRDefault="00383F2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Тираспольском направлении наши войска, продолжая наступление, овладели районным центром Одесской области Ширяево, а также с боями заняли более 30 других населённых пунктов, среди которых крупные населённые пункты Флёра, Малая и Большая Кондратовка, Ново-Александровка, Марьяновка, Михайловка, Якимов Яр, Новая и Старая Гуляевка.</w:t>
      </w:r>
    </w:p>
    <w:p w14:paraId="2F7B04DE" w14:textId="77777777" w:rsidR="00383F24" w:rsidRPr="007224C3" w:rsidRDefault="00383F2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Одесском направлении наши войска с боями заняли более 50 населённых пунктов, среди которых крупные населённые пункты Вульфово, Ново-Петровка, Новая Елизаветовка, Евгеньевка, Джугастрова, Люботаевка, Балайчук, Максимовка, Александровка, Петровское.</w:t>
      </w:r>
    </w:p>
    <w:p w14:paraId="1D767E42" w14:textId="77777777" w:rsidR="00383F24" w:rsidRPr="007224C3" w:rsidRDefault="00383F2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в ряде пунктов шли бои местного значения.</w:t>
      </w:r>
    </w:p>
    <w:p w14:paraId="65D679FF" w14:textId="77777777" w:rsidR="00383F24" w:rsidRPr="007224C3" w:rsidRDefault="00383F2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 апреля наши войска на всех фронтах подбили и уничтожили 19 немецких танков. В воздушных боях и огнём зенитной артиллерии сбито 40 самолётов противника.</w:t>
      </w:r>
    </w:p>
    <w:p w14:paraId="70132B89" w14:textId="77777777" w:rsidR="00383F24" w:rsidRPr="007224C3" w:rsidRDefault="00383F2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1-го Украинского фронта продолжали наступление. Наши танкисты и пехотинцы стремительно продвинулись вперёд и овладели районными центрами Станиславской области городом Косов, городом Куты и районным центром Черновицкой области городом Герца. Захвачено много пленных и трофеев. На одном участке наш подвижной отряд внезапным ударом разгромил большую колонну противника и взял вплен 800 вражеских солдат и офицеров. Захвачены 4 самоходных орудия, 11бронетранспортёров и 120 автомашин с боеприпасами и военными материалами. На крупной железнодорожной станции нашими войсками захвачен паровоз и 300 вагонов и платформ с разными военными грузами противника. В районе города Делятин пленён в полном составе 44 полк 18 венгерской лёгкопехотной дивизии вместе со штабом и командиром полка.</w:t>
      </w:r>
    </w:p>
    <w:p w14:paraId="2A7A294C" w14:textId="77777777" w:rsidR="00383F24" w:rsidRPr="007224C3" w:rsidRDefault="00383F2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югу от города Каменец-Подольск части Н-ского соединения, с боями продвигаясь вперёд, заняли несколько населённых пунктов. В результате решительной атаки советские бойцы овладели районным центром Черновицкой области городом Новоселица. Остатки разбитого гарнизона противника пытались спастись вплавь через Прут, но были обстреляны сильным ружейно-пулемётным огнём и утонулив реке. В другом районе бойцы Н-ской части в течение дня истребили 800 гитлеровцев и взяли в плен более 300 солдат и офицеров противника. Захвачены у немцев 4 зенитных орудия, 11 миномётов, 40 автомашин, склад боеприпасов и два склада с продовольствием.</w:t>
      </w:r>
    </w:p>
    <w:p w14:paraId="2B8F0C45" w14:textId="77777777" w:rsidR="00383F24" w:rsidRPr="007224C3" w:rsidRDefault="00383F2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Кишинёвском направлении наши войска вели наступательные бои. Противник, опираясь на промежуточные оборонительные рубежи, оказывал упорное сопротивление. Советские части, широко применяя обходные манёвры, окружают и ликвидируют вражеские гарнизоны. На одном участке наши бойцы отбили контратаку противника и на плечах отступающих немцев ворвались в крупный населённый пункт и овладели им. На подступах к селу и на его улицах осталось много вражеских трупов. Захвачено несколько артиллерийских батарей и склады с боеприпасами. В другом районе наши танкисты разгромили штаб 282 немецкой пехотной дивизии, уничтожив при этом до 400 немецких солдат и офицеров.</w:t>
      </w:r>
    </w:p>
    <w:p w14:paraId="29D68DBB" w14:textId="77777777" w:rsidR="00383F24" w:rsidRPr="007224C3" w:rsidRDefault="00383F2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Тираспольском направлении наши войска продолжали продвигаться вперёд. Части Н-ского соединения овладели районным центром Одесской области Ширяево и заняли свыше 30 других населённых пунктов. Под ударами наших войск противник отступает, бросая на поле боя технику, вооружение и раненых. На одном участкесоветские подразделения захватили большое число орудий, бронетранспортёров, пулемётов и 50 автомашин с имуществом, награбленным гитлеровцами у мирных жителей. За день боёв взято в плен до 500 немецких солдат и офицеров.</w:t>
      </w:r>
    </w:p>
    <w:p w14:paraId="27081088" w14:textId="77777777" w:rsidR="00383F24" w:rsidRPr="007224C3" w:rsidRDefault="00383F2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Авиация Краснознамённого Балтийского флота нанесла бомбовый удар по группе кораблей противника в Нарвском заливе. Советские лётчики-истребители завязали воздушные бои с истребителями противника и сбили три немецких самолёта. Тем временем наши бомбардировщики прорвались сквозь завесу артиллерийского огня к цели и прямым попаданием бомб потопили тральщик противника.</w:t>
      </w:r>
    </w:p>
    <w:p w14:paraId="7B6F03D3" w14:textId="77777777" w:rsidR="00383F24" w:rsidRPr="007224C3" w:rsidRDefault="00383F2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Авиация Черноморского флота совершила налёт на порт Феодосия. Корабли противника, находившиеся в порту, и зенитные орудия береговой артиллерии открыли интенсивный огонь. Штурмовыми ударами советские лётчики подавили огонь нескольких зенитных батарей. В результате действий ударной группы самолётов потоплена быстроходная десантная баржа противника. Другая десантная баржа сильно повреждена. Все наши самолёты возвратились на свои аэродромы.</w:t>
      </w:r>
    </w:p>
    <w:p w14:paraId="6CF2AE5C" w14:textId="77777777" w:rsidR="00383F24" w:rsidRPr="007224C3" w:rsidRDefault="00383F2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Несколько украинских партизанских отрядов, действующих в Львовской области, с 19 по 21 марта провели ряд успешных боевых операций. На одном участке железной дороги партизаны огнём из орудий и противотанковых ружей подожгли один немецкий воинский эшелон, а второй эшелон противника пустили под откос. Советские патриоты остановили поезд, в котором гитлеровцы увозили советских граждан на каторгу в Германию. Партизаны перебили охрану поезда и освободили 1.200 советских граждан.» (15087).</w:t>
      </w:r>
    </w:p>
    <w:p w14:paraId="3517F13D" w14:textId="77777777" w:rsidR="00383F24" w:rsidRPr="007224C3" w:rsidRDefault="00383F24" w:rsidP="007224C3">
      <w:pPr>
        <w:spacing w:after="0" w:line="240" w:lineRule="auto"/>
        <w:jc w:val="both"/>
        <w:rPr>
          <w:rFonts w:ascii="Times New Roman" w:hAnsi="Times New Roman"/>
          <w:color w:val="000000" w:themeColor="text1"/>
          <w:sz w:val="16"/>
          <w:szCs w:val="16"/>
        </w:rPr>
      </w:pPr>
    </w:p>
    <w:p w14:paraId="728E87B3" w14:textId="77777777" w:rsidR="00383F24" w:rsidRPr="007224C3" w:rsidRDefault="00383F2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апреля в 1944 году (2-7 апреля) немецкие войска, окруженные под Каменцем-Подольским, сумели прорваться на запад – в район Бучача (15087).</w:t>
      </w:r>
    </w:p>
    <w:p w14:paraId="60F8D65C" w14:textId="77777777" w:rsidR="00383F24" w:rsidRPr="007224C3" w:rsidRDefault="00383F24" w:rsidP="007224C3">
      <w:pPr>
        <w:spacing w:after="0" w:line="240" w:lineRule="auto"/>
        <w:jc w:val="both"/>
        <w:rPr>
          <w:rFonts w:ascii="Times New Roman" w:hAnsi="Times New Roman"/>
          <w:color w:val="000000" w:themeColor="text1"/>
          <w:sz w:val="16"/>
          <w:szCs w:val="16"/>
        </w:rPr>
      </w:pPr>
    </w:p>
    <w:p w14:paraId="45447CD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апреля 1944 на Южном участке ВФ советские войска пересекли границу Румынии (3907,248).</w:t>
      </w:r>
    </w:p>
    <w:p w14:paraId="6F75E96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88993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апреля 1944 тихоокеанские морские летчики, направленные для перегонки л/л Номад появились в Элизабет-сити недалеко от Нового Орлеана. Там их уже ожидали подготовленные к сдаче 25 PBN-1. Для переподготовки советских экипажей сформировали специальную учебную эскадрилью лейтенанта Харнера. В обучении принимали участие и специалисты, откомандированные NAF, в том числе заводской испытатель капитан Стюард. Поскольку в США PBN-1 почти не эксплуатировались, то подготовка началась с проведения совместных испытаний самолета при различных вариантах загрузки. С советской стороны в испытаниях участвовал Н.Ф.Пискарев. Первая группа закончила подготовку за 20 дней. В завершение каждый экипаж совершил по два 6-часовых полета над Атлантикой для тренировки в работе с радио- и навигационной аппаратурой. Тихоокеанцев использовали в качестве инструкторов для остальных летчиков, прибывших на месяц позже. Они приплыли из Мурманска морем. Первые машины должны были отправляться на север - для авиации Северного флота и Беломорской военной флотилии. Лодки разбили на шесть отрядов по четыре самолета. Последняя, 25-я, стала командирской. Поскольку наши экипажи имели мало опыта длительных полетов, пришлось обратиться к помощи союзников, причем не американцев, а англичан. В каждый экипаж вошли английские летчик и радист. "Выделенные английские летчики имели звание не ниже капитана. Они обладали большим опытом участия в длительных полетах. Некоторые из них пересекали океан до 53 раз", - писал в своем отчете Пискарев. Самолеты летели по маршруту Элизабет-сити - оз. Гандер - Рейкьявик - Мурманск. Несмотря на тщательную подготовку, не обошлось без происшествий. На подходе к Исландии гидропланы так сильно обледенели, что оборвались антенны. В Рейкьявике советские летчики распростились с британскими коллегами. Последний этап предстояло преодолеть самостоятельно (3457,128).</w:t>
      </w:r>
    </w:p>
    <w:p w14:paraId="286BC49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62230F"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Жизнь и внутренняя политика:</w:t>
      </w:r>
    </w:p>
    <w:p w14:paraId="54E7CB7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B7680D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апреля 1944 г. был подготовлен ОТЧЕТ НКВД НАЧАЛЬНИКУ ТЫЛА КАА.В. ХРУЛЕВУ О НАЛИЧИИ, ТЕХНИЧЕСКОМ СОСТОЯНИИ И ИСПОЛЬЗОВАНИИ АВТОМОБИЛЬНОГО ПАРКА НАРОДНОГО ХОЗЯЙСТВА СССР НА 1 ЯНВАРЯ 1944 Г. № 1/6467</w:t>
      </w:r>
    </w:p>
    <w:p w14:paraId="6C393FF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I. Наличие и техническое состояние автомотопарка</w:t>
      </w:r>
    </w:p>
    <w:p w14:paraId="6B58101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Численность автомотопарка</w:t>
      </w:r>
    </w:p>
    <w:p w14:paraId="2C6D497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Автомотопарк народного хозяйства Союза ССР на 1 января 1944 г. составляет 220142 машины, в том числе:</w:t>
      </w:r>
    </w:p>
    <w:p w14:paraId="77A9679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автомобилей - 206420 мотоциклов - 12455 тягачей и тракторов на резиновом ходу - 1267</w:t>
      </w:r>
    </w:p>
    <w:p w14:paraId="38F7557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состав автомобильного парка входят:</w:t>
      </w:r>
    </w:p>
    <w:p w14:paraId="0396487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грузовые бензиновые автомобили - 113807</w:t>
      </w:r>
    </w:p>
    <w:p w14:paraId="3765CFD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грузовые газогенераторные автомобили - 33619</w:t>
      </w:r>
    </w:p>
    <w:p w14:paraId="57E3858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грузовые газобаллонные автомобили - 629</w:t>
      </w:r>
    </w:p>
    <w:p w14:paraId="4E869A1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легковые автомобили - 36836</w:t>
      </w:r>
    </w:p>
    <w:p w14:paraId="1CD2E6A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специальные автомобили - 16780</w:t>
      </w:r>
    </w:p>
    <w:p w14:paraId="61E6B31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автобусы - 4749</w:t>
      </w:r>
    </w:p>
    <w:p w14:paraId="6A72265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Кроме того, в народном хозяйстве имеется 15928 автомобильных прицепов.</w:t>
      </w:r>
    </w:p>
    <w:p w14:paraId="3835CA6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время с 1 августа 1943 года по 1 января 1944 года численность автопарка увеличилась на 1056 единиц или на 0,5% к общему наличию автопарка.</w:t>
      </w:r>
    </w:p>
    <w:p w14:paraId="02A2690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Изменения в количественном составе автомотопарка по типам машин характеризуется следую</w:t>
      </w:r>
      <w:r w:rsidRPr="007224C3">
        <w:rPr>
          <w:rFonts w:ascii="Times New Roman" w:hAnsi="Times New Roman"/>
          <w:color w:val="000000" w:themeColor="text1"/>
          <w:sz w:val="16"/>
          <w:szCs w:val="16"/>
        </w:rPr>
        <w:softHyphen/>
        <w:t>щими данными:</w:t>
      </w:r>
    </w:p>
    <w:tbl>
      <w:tblPr>
        <w:tblW w:w="0" w:type="auto"/>
        <w:tblInd w:w="40" w:type="dxa"/>
        <w:tblLayout w:type="fixed"/>
        <w:tblCellMar>
          <w:left w:w="40" w:type="dxa"/>
          <w:right w:w="40" w:type="dxa"/>
        </w:tblCellMar>
        <w:tblLook w:val="0000" w:firstRow="0" w:lastRow="0" w:firstColumn="0" w:lastColumn="0" w:noHBand="0" w:noVBand="0"/>
      </w:tblPr>
      <w:tblGrid>
        <w:gridCol w:w="3466"/>
        <w:gridCol w:w="1008"/>
        <w:gridCol w:w="998"/>
        <w:gridCol w:w="1008"/>
        <w:gridCol w:w="1008"/>
        <w:gridCol w:w="998"/>
        <w:gridCol w:w="1027"/>
      </w:tblGrid>
      <w:tr w:rsidR="005106D0" w:rsidRPr="007224C3" w14:paraId="53757F0F" w14:textId="77777777">
        <w:trPr>
          <w:trHeight w:val="221"/>
        </w:trPr>
        <w:tc>
          <w:tcPr>
            <w:tcW w:w="3466" w:type="dxa"/>
            <w:tcBorders>
              <w:top w:val="single" w:sz="6" w:space="0" w:color="auto"/>
              <w:left w:val="single" w:sz="6" w:space="0" w:color="auto"/>
              <w:bottom w:val="nil"/>
              <w:right w:val="single" w:sz="6" w:space="0" w:color="auto"/>
            </w:tcBorders>
          </w:tcPr>
          <w:p w14:paraId="2BA3C6F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Типы машин</w:t>
            </w:r>
          </w:p>
          <w:p w14:paraId="4515165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06" w:type="dxa"/>
            <w:gridSpan w:val="2"/>
            <w:tcBorders>
              <w:top w:val="single" w:sz="6" w:space="0" w:color="auto"/>
              <w:left w:val="single" w:sz="6" w:space="0" w:color="auto"/>
              <w:bottom w:val="single" w:sz="6" w:space="0" w:color="auto"/>
              <w:right w:val="single" w:sz="6" w:space="0" w:color="auto"/>
            </w:tcBorders>
          </w:tcPr>
          <w:p w14:paraId="550747A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Наличие машин</w:t>
            </w:r>
          </w:p>
          <w:p w14:paraId="135473B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16" w:type="dxa"/>
            <w:gridSpan w:val="2"/>
            <w:tcBorders>
              <w:top w:val="single" w:sz="6" w:space="0" w:color="auto"/>
              <w:left w:val="single" w:sz="6" w:space="0" w:color="auto"/>
              <w:bottom w:val="single" w:sz="6" w:space="0" w:color="auto"/>
              <w:right w:val="single" w:sz="6" w:space="0" w:color="auto"/>
            </w:tcBorders>
          </w:tcPr>
          <w:p w14:paraId="29E6EC3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Увеличение</w:t>
            </w:r>
          </w:p>
          <w:p w14:paraId="1B02076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25" w:type="dxa"/>
            <w:gridSpan w:val="2"/>
            <w:tcBorders>
              <w:top w:val="single" w:sz="6" w:space="0" w:color="auto"/>
              <w:left w:val="single" w:sz="6" w:space="0" w:color="auto"/>
              <w:bottom w:val="single" w:sz="6" w:space="0" w:color="auto"/>
              <w:right w:val="single" w:sz="6" w:space="0" w:color="auto"/>
            </w:tcBorders>
          </w:tcPr>
          <w:p w14:paraId="37E2BE1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Уменьшение</w:t>
            </w:r>
          </w:p>
          <w:p w14:paraId="10A2DFE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BF29F92" w14:textId="77777777">
        <w:trPr>
          <w:trHeight w:val="374"/>
        </w:trPr>
        <w:tc>
          <w:tcPr>
            <w:tcW w:w="3466" w:type="dxa"/>
            <w:tcBorders>
              <w:top w:val="nil"/>
              <w:left w:val="single" w:sz="6" w:space="0" w:color="auto"/>
              <w:bottom w:val="single" w:sz="6" w:space="0" w:color="auto"/>
              <w:right w:val="single" w:sz="6" w:space="0" w:color="auto"/>
            </w:tcBorders>
          </w:tcPr>
          <w:p w14:paraId="5D9834D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331215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7ED991C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1.08.1943 г.</w:t>
            </w:r>
          </w:p>
          <w:p w14:paraId="7BBB34F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57EC03A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1.01.1944 г.</w:t>
            </w:r>
          </w:p>
          <w:p w14:paraId="14551DB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206205F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Абсолютное количество</w:t>
            </w:r>
          </w:p>
          <w:p w14:paraId="6B8AD02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4761688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w:t>
            </w:r>
          </w:p>
          <w:p w14:paraId="7EF4BC2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0DE39A6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Абсолютное количество</w:t>
            </w:r>
          </w:p>
          <w:p w14:paraId="6FA676A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602277F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w:t>
            </w:r>
          </w:p>
          <w:p w14:paraId="25626CB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0A83CF5" w14:textId="77777777">
        <w:trPr>
          <w:trHeight w:val="230"/>
        </w:trPr>
        <w:tc>
          <w:tcPr>
            <w:tcW w:w="3466" w:type="dxa"/>
            <w:tcBorders>
              <w:top w:val="single" w:sz="6" w:space="0" w:color="auto"/>
              <w:left w:val="single" w:sz="6" w:space="0" w:color="auto"/>
              <w:bottom w:val="single" w:sz="6" w:space="0" w:color="auto"/>
              <w:right w:val="single" w:sz="6" w:space="0" w:color="auto"/>
            </w:tcBorders>
          </w:tcPr>
          <w:p w14:paraId="35E0891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Грузовые бензиновые автомобили</w:t>
            </w:r>
          </w:p>
          <w:p w14:paraId="01F91F0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4D278B2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111679</w:t>
            </w:r>
          </w:p>
          <w:p w14:paraId="0111776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161EE2B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113807</w:t>
            </w:r>
          </w:p>
          <w:p w14:paraId="39ED669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6384C25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2128</w:t>
            </w:r>
          </w:p>
          <w:p w14:paraId="771FACB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1530C12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w:t>
            </w:r>
          </w:p>
          <w:p w14:paraId="0A6F516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6B91F05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58BF493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3D67F78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588FD34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CFCF34D" w14:textId="77777777">
        <w:trPr>
          <w:trHeight w:val="230"/>
        </w:trPr>
        <w:tc>
          <w:tcPr>
            <w:tcW w:w="3466" w:type="dxa"/>
            <w:tcBorders>
              <w:top w:val="single" w:sz="6" w:space="0" w:color="auto"/>
              <w:left w:val="single" w:sz="6" w:space="0" w:color="auto"/>
              <w:bottom w:val="single" w:sz="6" w:space="0" w:color="auto"/>
              <w:right w:val="single" w:sz="6" w:space="0" w:color="auto"/>
            </w:tcBorders>
          </w:tcPr>
          <w:p w14:paraId="71373C6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Грузовые газогенераторные автомобили</w:t>
            </w:r>
          </w:p>
          <w:p w14:paraId="6F14F42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11E6CFE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33231</w:t>
            </w:r>
          </w:p>
          <w:p w14:paraId="5EC203F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541F060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33619</w:t>
            </w:r>
          </w:p>
          <w:p w14:paraId="4537189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6DB6BE0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388</w:t>
            </w:r>
          </w:p>
          <w:p w14:paraId="16A511B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55A4BCF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w:t>
            </w:r>
          </w:p>
          <w:p w14:paraId="2BF15D3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6592D86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4D83FEA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5BCDC28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7FABCDA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AFB0F23" w14:textId="77777777">
        <w:trPr>
          <w:trHeight w:val="230"/>
        </w:trPr>
        <w:tc>
          <w:tcPr>
            <w:tcW w:w="3466" w:type="dxa"/>
            <w:tcBorders>
              <w:top w:val="single" w:sz="6" w:space="0" w:color="auto"/>
              <w:left w:val="single" w:sz="6" w:space="0" w:color="auto"/>
              <w:bottom w:val="single" w:sz="6" w:space="0" w:color="auto"/>
              <w:right w:val="single" w:sz="6" w:space="0" w:color="auto"/>
            </w:tcBorders>
          </w:tcPr>
          <w:p w14:paraId="0F0ED26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Грузовые газобаллонные автомобили</w:t>
            </w:r>
          </w:p>
          <w:p w14:paraId="46A97B0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6EE1805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443</w:t>
            </w:r>
          </w:p>
          <w:p w14:paraId="5C04E69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430FF59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629</w:t>
            </w:r>
          </w:p>
          <w:p w14:paraId="564E8D6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1E93B4E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186</w:t>
            </w:r>
          </w:p>
          <w:p w14:paraId="2390183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69FE2AC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42,0</w:t>
            </w:r>
          </w:p>
          <w:p w14:paraId="56BC1FF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0A22EA0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7878B0D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4925C91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49A0DAE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E5A76C6" w14:textId="77777777">
        <w:trPr>
          <w:trHeight w:val="230"/>
        </w:trPr>
        <w:tc>
          <w:tcPr>
            <w:tcW w:w="3466" w:type="dxa"/>
            <w:tcBorders>
              <w:top w:val="single" w:sz="6" w:space="0" w:color="auto"/>
              <w:left w:val="single" w:sz="6" w:space="0" w:color="auto"/>
              <w:bottom w:val="single" w:sz="6" w:space="0" w:color="auto"/>
              <w:right w:val="single" w:sz="6" w:space="0" w:color="auto"/>
            </w:tcBorders>
          </w:tcPr>
          <w:p w14:paraId="4C807A2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Легковые автомобили</w:t>
            </w:r>
          </w:p>
          <w:p w14:paraId="77DBB64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42EBFEB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37037</w:t>
            </w:r>
          </w:p>
          <w:p w14:paraId="7298366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546C11E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36836</w:t>
            </w:r>
          </w:p>
          <w:p w14:paraId="50F7371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3708357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50F8934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6B365A8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1F3C3AE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64AB55A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201</w:t>
            </w:r>
          </w:p>
          <w:p w14:paraId="1C01BCF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09BA11C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0,5</w:t>
            </w:r>
          </w:p>
          <w:p w14:paraId="42493A9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7529E71" w14:textId="77777777">
        <w:trPr>
          <w:trHeight w:val="230"/>
        </w:trPr>
        <w:tc>
          <w:tcPr>
            <w:tcW w:w="3466" w:type="dxa"/>
            <w:tcBorders>
              <w:top w:val="single" w:sz="6" w:space="0" w:color="auto"/>
              <w:left w:val="single" w:sz="6" w:space="0" w:color="auto"/>
              <w:bottom w:val="single" w:sz="6" w:space="0" w:color="auto"/>
              <w:right w:val="single" w:sz="6" w:space="0" w:color="auto"/>
            </w:tcBorders>
          </w:tcPr>
          <w:p w14:paraId="3F8B465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Специальные автомобили</w:t>
            </w:r>
          </w:p>
          <w:p w14:paraId="5D15A11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21D0C48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17877</w:t>
            </w:r>
          </w:p>
          <w:p w14:paraId="610FF6C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3C7A658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16780</w:t>
            </w:r>
          </w:p>
          <w:p w14:paraId="3E95482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7FFDD9C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4898B0C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24C2F4D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6637FCE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0CEDFC1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1097</w:t>
            </w:r>
          </w:p>
          <w:p w14:paraId="20EDC85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5D2B895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6,1</w:t>
            </w:r>
          </w:p>
          <w:p w14:paraId="6A40E9B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DB05324" w14:textId="77777777">
        <w:trPr>
          <w:trHeight w:val="230"/>
        </w:trPr>
        <w:tc>
          <w:tcPr>
            <w:tcW w:w="3466" w:type="dxa"/>
            <w:tcBorders>
              <w:top w:val="single" w:sz="6" w:space="0" w:color="auto"/>
              <w:left w:val="single" w:sz="6" w:space="0" w:color="auto"/>
              <w:bottom w:val="single" w:sz="6" w:space="0" w:color="auto"/>
              <w:right w:val="single" w:sz="6" w:space="0" w:color="auto"/>
            </w:tcBorders>
          </w:tcPr>
          <w:p w14:paraId="17953F2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Автобусы</w:t>
            </w:r>
          </w:p>
          <w:p w14:paraId="53A4766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6760742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5097</w:t>
            </w:r>
          </w:p>
          <w:p w14:paraId="7A55420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33D3E1E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4749</w:t>
            </w:r>
          </w:p>
          <w:p w14:paraId="628E84C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1088BE0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68EEF66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32706BF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1DE9ED2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323C64B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348</w:t>
            </w:r>
          </w:p>
          <w:p w14:paraId="51EF742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6A47C93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6,8</w:t>
            </w:r>
          </w:p>
          <w:p w14:paraId="5EFE528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B03E867" w14:textId="77777777">
        <w:trPr>
          <w:trHeight w:val="230"/>
        </w:trPr>
        <w:tc>
          <w:tcPr>
            <w:tcW w:w="3466" w:type="dxa"/>
            <w:tcBorders>
              <w:top w:val="single" w:sz="6" w:space="0" w:color="auto"/>
              <w:left w:val="single" w:sz="6" w:space="0" w:color="auto"/>
              <w:bottom w:val="single" w:sz="6" w:space="0" w:color="auto"/>
              <w:right w:val="single" w:sz="6" w:space="0" w:color="auto"/>
            </w:tcBorders>
          </w:tcPr>
          <w:p w14:paraId="507266F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Итого автомобилей:</w:t>
            </w:r>
          </w:p>
          <w:p w14:paraId="4FE4F83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1E13DBD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205364</w:t>
            </w:r>
          </w:p>
          <w:p w14:paraId="7AE6340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6C66D7B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206420</w:t>
            </w:r>
          </w:p>
          <w:p w14:paraId="406E8C5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6C0A4E4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1056</w:t>
            </w:r>
          </w:p>
          <w:p w14:paraId="626ACD5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3655707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0,5</w:t>
            </w:r>
          </w:p>
          <w:p w14:paraId="06C8F6A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66AB219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4E3444D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4640F12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447015D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E3C271D" w14:textId="77777777">
        <w:trPr>
          <w:trHeight w:val="230"/>
        </w:trPr>
        <w:tc>
          <w:tcPr>
            <w:tcW w:w="3466" w:type="dxa"/>
            <w:tcBorders>
              <w:top w:val="single" w:sz="6" w:space="0" w:color="auto"/>
              <w:left w:val="single" w:sz="6" w:space="0" w:color="auto"/>
              <w:bottom w:val="single" w:sz="6" w:space="0" w:color="auto"/>
              <w:right w:val="single" w:sz="6" w:space="0" w:color="auto"/>
            </w:tcBorders>
          </w:tcPr>
          <w:p w14:paraId="7FF7697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Мотоциклы</w:t>
            </w:r>
          </w:p>
          <w:p w14:paraId="5196075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03A3AFD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11938</w:t>
            </w:r>
          </w:p>
          <w:p w14:paraId="399D261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5CCB248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12455</w:t>
            </w:r>
          </w:p>
          <w:p w14:paraId="78456FF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1AE61D0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517</w:t>
            </w:r>
          </w:p>
          <w:p w14:paraId="08F50AA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3BA5C85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4,3</w:t>
            </w:r>
          </w:p>
          <w:p w14:paraId="6202684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11671CA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3BC2D04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3BBC90E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4C0EC8D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88EA52B" w14:textId="77777777">
        <w:trPr>
          <w:trHeight w:val="230"/>
        </w:trPr>
        <w:tc>
          <w:tcPr>
            <w:tcW w:w="3466" w:type="dxa"/>
            <w:tcBorders>
              <w:top w:val="single" w:sz="6" w:space="0" w:color="auto"/>
              <w:left w:val="single" w:sz="6" w:space="0" w:color="auto"/>
              <w:bottom w:val="single" w:sz="6" w:space="0" w:color="auto"/>
              <w:right w:val="single" w:sz="6" w:space="0" w:color="auto"/>
            </w:tcBorders>
          </w:tcPr>
          <w:p w14:paraId="14B56E2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Тягачи и тракторы на резиновом ходу</w:t>
            </w:r>
          </w:p>
          <w:p w14:paraId="0F4FE0A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066A44A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1378</w:t>
            </w:r>
          </w:p>
          <w:p w14:paraId="35D7A5C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2CFFECE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1267</w:t>
            </w:r>
          </w:p>
          <w:p w14:paraId="7131494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0AD58C2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3D6D855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2DA1FD2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3A7A909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0B0B057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106</w:t>
            </w:r>
          </w:p>
          <w:p w14:paraId="40DDA10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1177CB5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7,7</w:t>
            </w:r>
          </w:p>
          <w:p w14:paraId="3BBF64E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D2617E8" w14:textId="77777777">
        <w:trPr>
          <w:trHeight w:val="250"/>
        </w:trPr>
        <w:tc>
          <w:tcPr>
            <w:tcW w:w="3466" w:type="dxa"/>
            <w:tcBorders>
              <w:top w:val="single" w:sz="6" w:space="0" w:color="auto"/>
              <w:left w:val="single" w:sz="6" w:space="0" w:color="auto"/>
              <w:bottom w:val="single" w:sz="6" w:space="0" w:color="auto"/>
              <w:right w:val="single" w:sz="6" w:space="0" w:color="auto"/>
            </w:tcBorders>
          </w:tcPr>
          <w:p w14:paraId="536345C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 машин:</w:t>
            </w:r>
          </w:p>
          <w:p w14:paraId="2277BC8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66876DF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218675</w:t>
            </w:r>
          </w:p>
          <w:p w14:paraId="7492730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315476C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220142</w:t>
            </w:r>
          </w:p>
          <w:p w14:paraId="105DFEB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0101C2C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1467</w:t>
            </w:r>
          </w:p>
          <w:p w14:paraId="3B9AB97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39C8F9C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0,7</w:t>
            </w:r>
          </w:p>
          <w:p w14:paraId="6E22D81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49C8451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23105F4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4622DB7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4249329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096FE55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Общее увеличение автомотопарка произошло за счет поступления в народное хозяйство новых, в основном импортных, грузовых автомобилей и, частично, за счет восстановления автомобилей и мотоциклов в областях, освобожденных от немецких захватчиков.</w:t>
      </w:r>
    </w:p>
    <w:p w14:paraId="24BE0E1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это же время было выбраковано 7218 автомобилей, как нерентабельных к восстановлению, вследствие своей изношенности.</w:t>
      </w:r>
    </w:p>
    <w:p w14:paraId="2A2ED61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Отчет по материалам технического осмотра, произведенного органами Госавтоинспекции, приводится с сокращениями.</w:t>
      </w:r>
    </w:p>
    <w:p w14:paraId="61D79BA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Уменьшение количества легковых, специальных автомобилей и автобусов объясняется мобилизаци</w:t>
      </w:r>
      <w:r w:rsidRPr="007224C3">
        <w:rPr>
          <w:rFonts w:ascii="Times New Roman" w:hAnsi="Times New Roman"/>
          <w:color w:val="000000" w:themeColor="text1"/>
          <w:sz w:val="16"/>
          <w:szCs w:val="16"/>
        </w:rPr>
        <w:softHyphen/>
        <w:t>ей некоторой части их в Красную Армию и выбраковкой непригодных к дальнейшему использованию. Увеличение числа мотоциклов произошло за счет восстановления трофейных машин.</w:t>
      </w:r>
    </w:p>
    <w:p w14:paraId="277C109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Категорийность автомотопарка</w:t>
      </w:r>
    </w:p>
    <w:p w14:paraId="5D955B6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Сравнительные данные категорийности автопарка по результатам двух последних технических осмотров указаны в следующей таблице:</w:t>
      </w:r>
    </w:p>
    <w:tbl>
      <w:tblPr>
        <w:tblW w:w="0" w:type="auto"/>
        <w:tblInd w:w="40" w:type="dxa"/>
        <w:tblLayout w:type="fixed"/>
        <w:tblCellMar>
          <w:left w:w="40" w:type="dxa"/>
          <w:right w:w="40" w:type="dxa"/>
        </w:tblCellMar>
        <w:tblLook w:val="0000" w:firstRow="0" w:lastRow="0" w:firstColumn="0" w:lastColumn="0" w:noHBand="0" w:noVBand="0"/>
      </w:tblPr>
      <w:tblGrid>
        <w:gridCol w:w="1776"/>
        <w:gridCol w:w="1171"/>
        <w:gridCol w:w="835"/>
        <w:gridCol w:w="826"/>
        <w:gridCol w:w="835"/>
        <w:gridCol w:w="835"/>
        <w:gridCol w:w="835"/>
        <w:gridCol w:w="826"/>
        <w:gridCol w:w="835"/>
        <w:gridCol w:w="835"/>
      </w:tblGrid>
      <w:tr w:rsidR="005106D0" w:rsidRPr="007224C3" w14:paraId="2B7D1BEE" w14:textId="77777777">
        <w:trPr>
          <w:trHeight w:val="230"/>
        </w:trPr>
        <w:tc>
          <w:tcPr>
            <w:tcW w:w="2947" w:type="dxa"/>
            <w:gridSpan w:val="2"/>
            <w:tcBorders>
              <w:top w:val="single" w:sz="6" w:space="0" w:color="auto"/>
              <w:left w:val="single" w:sz="6" w:space="0" w:color="auto"/>
              <w:bottom w:val="nil"/>
              <w:right w:val="single" w:sz="6" w:space="0" w:color="auto"/>
            </w:tcBorders>
          </w:tcPr>
          <w:p w14:paraId="45E0637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Тип машины</w:t>
            </w:r>
          </w:p>
          <w:p w14:paraId="4C55DA4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62" w:type="dxa"/>
            <w:gridSpan w:val="8"/>
            <w:tcBorders>
              <w:top w:val="single" w:sz="6" w:space="0" w:color="auto"/>
              <w:left w:val="single" w:sz="6" w:space="0" w:color="auto"/>
              <w:bottom w:val="single" w:sz="6" w:space="0" w:color="auto"/>
              <w:right w:val="single" w:sz="6" w:space="0" w:color="auto"/>
            </w:tcBorders>
          </w:tcPr>
          <w:p w14:paraId="14A29E4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Количество автомобилей по категориям</w:t>
            </w:r>
          </w:p>
          <w:p w14:paraId="3D9F834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0D52BA2" w14:textId="77777777">
        <w:trPr>
          <w:trHeight w:val="211"/>
        </w:trPr>
        <w:tc>
          <w:tcPr>
            <w:tcW w:w="2947" w:type="dxa"/>
            <w:gridSpan w:val="2"/>
            <w:tcBorders>
              <w:top w:val="nil"/>
              <w:left w:val="single" w:sz="6" w:space="0" w:color="auto"/>
              <w:bottom w:val="nil"/>
              <w:right w:val="single" w:sz="6" w:space="0" w:color="auto"/>
            </w:tcBorders>
          </w:tcPr>
          <w:p w14:paraId="79A5561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6E3DDD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3331" w:type="dxa"/>
            <w:gridSpan w:val="4"/>
            <w:tcBorders>
              <w:top w:val="single" w:sz="6" w:space="0" w:color="auto"/>
              <w:left w:val="single" w:sz="6" w:space="0" w:color="auto"/>
              <w:bottom w:val="single" w:sz="6" w:space="0" w:color="auto"/>
              <w:right w:val="single" w:sz="6" w:space="0" w:color="auto"/>
            </w:tcBorders>
          </w:tcPr>
          <w:p w14:paraId="7EC31B5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1 августа 1943 г.</w:t>
            </w:r>
          </w:p>
          <w:p w14:paraId="1DFD7B7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31" w:type="dxa"/>
            <w:gridSpan w:val="4"/>
            <w:tcBorders>
              <w:top w:val="single" w:sz="6" w:space="0" w:color="auto"/>
              <w:left w:val="single" w:sz="6" w:space="0" w:color="auto"/>
              <w:bottom w:val="single" w:sz="6" w:space="0" w:color="auto"/>
              <w:right w:val="single" w:sz="6" w:space="0" w:color="auto"/>
            </w:tcBorders>
          </w:tcPr>
          <w:p w14:paraId="2076D64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1 января 1944 г.</w:t>
            </w:r>
          </w:p>
          <w:p w14:paraId="0A065AC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7BBEBF7" w14:textId="77777777">
        <w:trPr>
          <w:trHeight w:val="221"/>
        </w:trPr>
        <w:tc>
          <w:tcPr>
            <w:tcW w:w="2947" w:type="dxa"/>
            <w:gridSpan w:val="2"/>
            <w:tcBorders>
              <w:top w:val="nil"/>
              <w:left w:val="single" w:sz="6" w:space="0" w:color="auto"/>
              <w:bottom w:val="single" w:sz="6" w:space="0" w:color="auto"/>
              <w:right w:val="single" w:sz="6" w:space="0" w:color="auto"/>
            </w:tcBorders>
          </w:tcPr>
          <w:p w14:paraId="7CF7A73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3D5C54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7AFD79A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I.</w:t>
            </w:r>
          </w:p>
          <w:p w14:paraId="6931AF9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322B559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II.</w:t>
            </w:r>
          </w:p>
          <w:p w14:paraId="437F016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7A65C92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III.</w:t>
            </w:r>
          </w:p>
          <w:p w14:paraId="2DE3876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0CCD91B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w:t>
            </w:r>
          </w:p>
          <w:p w14:paraId="455D096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D3DA28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I.</w:t>
            </w:r>
          </w:p>
          <w:p w14:paraId="6091228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3AE5ACA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II.</w:t>
            </w:r>
          </w:p>
          <w:p w14:paraId="181DF4F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504C51B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III.</w:t>
            </w:r>
          </w:p>
          <w:p w14:paraId="1AE7E87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4DCD26C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w:t>
            </w:r>
          </w:p>
          <w:p w14:paraId="525526B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239B684" w14:textId="77777777">
        <w:trPr>
          <w:trHeight w:val="221"/>
        </w:trPr>
        <w:tc>
          <w:tcPr>
            <w:tcW w:w="1776" w:type="dxa"/>
            <w:tcBorders>
              <w:top w:val="single" w:sz="6" w:space="0" w:color="auto"/>
              <w:left w:val="single" w:sz="6" w:space="0" w:color="auto"/>
              <w:bottom w:val="nil"/>
              <w:right w:val="single" w:sz="6" w:space="0" w:color="auto"/>
            </w:tcBorders>
          </w:tcPr>
          <w:p w14:paraId="6F582B4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Грузовые бензин.</w:t>
            </w:r>
          </w:p>
          <w:p w14:paraId="24807C9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703858D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количество</w:t>
            </w:r>
          </w:p>
          <w:p w14:paraId="3CB4FB7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062093B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8189</w:t>
            </w:r>
          </w:p>
          <w:p w14:paraId="2ACEF0B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5FF5D9F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15746</w:t>
            </w:r>
          </w:p>
          <w:p w14:paraId="75B80D7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0E91FD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87730</w:t>
            </w:r>
          </w:p>
          <w:p w14:paraId="7A7748F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4D36AE4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111665</w:t>
            </w:r>
          </w:p>
          <w:p w14:paraId="45C8BA8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40A893A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11224</w:t>
            </w:r>
          </w:p>
          <w:p w14:paraId="1E343F0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5562206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14580</w:t>
            </w:r>
          </w:p>
          <w:p w14:paraId="308289E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AF1456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88003</w:t>
            </w:r>
          </w:p>
          <w:p w14:paraId="34FF414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F780C9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113807</w:t>
            </w:r>
          </w:p>
          <w:p w14:paraId="7B8902B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7DE1A64" w14:textId="77777777">
        <w:trPr>
          <w:trHeight w:val="230"/>
        </w:trPr>
        <w:tc>
          <w:tcPr>
            <w:tcW w:w="1776" w:type="dxa"/>
            <w:tcBorders>
              <w:top w:val="nil"/>
              <w:left w:val="single" w:sz="6" w:space="0" w:color="auto"/>
              <w:bottom w:val="single" w:sz="6" w:space="0" w:color="auto"/>
              <w:right w:val="single" w:sz="6" w:space="0" w:color="auto"/>
            </w:tcBorders>
          </w:tcPr>
          <w:p w14:paraId="0B1BBB0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1E1A8B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0911894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w:t>
            </w:r>
          </w:p>
          <w:p w14:paraId="00CB859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AD0B8D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7,3</w:t>
            </w:r>
          </w:p>
          <w:p w14:paraId="544EDDE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70A4B4A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14,1</w:t>
            </w:r>
          </w:p>
          <w:p w14:paraId="79B48F2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EE5263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78,6</w:t>
            </w:r>
          </w:p>
          <w:p w14:paraId="57F6B08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DDE90D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100,0</w:t>
            </w:r>
          </w:p>
          <w:p w14:paraId="4E668C1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4F1983A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9,9</w:t>
            </w:r>
          </w:p>
          <w:p w14:paraId="20DD99E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706712A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12,8</w:t>
            </w:r>
          </w:p>
          <w:p w14:paraId="3D429C2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F6D732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77,3</w:t>
            </w:r>
          </w:p>
          <w:p w14:paraId="64E6DFE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08297B9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100,0</w:t>
            </w:r>
          </w:p>
          <w:p w14:paraId="3A77FAD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98B1061" w14:textId="77777777">
        <w:trPr>
          <w:trHeight w:val="230"/>
        </w:trPr>
        <w:tc>
          <w:tcPr>
            <w:tcW w:w="1776" w:type="dxa"/>
            <w:tcBorders>
              <w:top w:val="single" w:sz="6" w:space="0" w:color="auto"/>
              <w:left w:val="single" w:sz="6" w:space="0" w:color="auto"/>
              <w:bottom w:val="nil"/>
              <w:right w:val="single" w:sz="6" w:space="0" w:color="auto"/>
            </w:tcBorders>
          </w:tcPr>
          <w:p w14:paraId="0EA7287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Грузовые газоген.</w:t>
            </w:r>
          </w:p>
          <w:p w14:paraId="3DC8820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502FFDE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количество</w:t>
            </w:r>
          </w:p>
          <w:p w14:paraId="5C2BB6A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40BA9B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2988</w:t>
            </w:r>
          </w:p>
          <w:p w14:paraId="1E7ACB6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67D9831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10765</w:t>
            </w:r>
          </w:p>
          <w:p w14:paraId="1E87A37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5496BAF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19478</w:t>
            </w:r>
          </w:p>
          <w:p w14:paraId="35903C9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7970A3D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33231</w:t>
            </w:r>
          </w:p>
          <w:p w14:paraId="714BA55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7E13A44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1689</w:t>
            </w:r>
          </w:p>
          <w:p w14:paraId="5292C46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6385D10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9256</w:t>
            </w:r>
          </w:p>
          <w:p w14:paraId="1FB0CE1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5CDE117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22674</w:t>
            </w:r>
          </w:p>
          <w:p w14:paraId="4E50809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0161AE1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33619</w:t>
            </w:r>
          </w:p>
          <w:p w14:paraId="1B61948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A600680" w14:textId="77777777">
        <w:trPr>
          <w:trHeight w:val="230"/>
        </w:trPr>
        <w:tc>
          <w:tcPr>
            <w:tcW w:w="1776" w:type="dxa"/>
            <w:tcBorders>
              <w:top w:val="nil"/>
              <w:left w:val="single" w:sz="6" w:space="0" w:color="auto"/>
              <w:bottom w:val="single" w:sz="6" w:space="0" w:color="auto"/>
              <w:right w:val="single" w:sz="6" w:space="0" w:color="auto"/>
            </w:tcBorders>
          </w:tcPr>
          <w:p w14:paraId="37000D5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80D090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472127A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в%</w:t>
            </w:r>
          </w:p>
          <w:p w14:paraId="5DFB8CD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656ACA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9,0</w:t>
            </w:r>
          </w:p>
          <w:p w14:paraId="162B7F3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1DBCC31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32,4</w:t>
            </w:r>
          </w:p>
          <w:p w14:paraId="6D9610B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10C2CE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58,6</w:t>
            </w:r>
          </w:p>
          <w:p w14:paraId="3B22528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EC51E5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100,0</w:t>
            </w:r>
          </w:p>
          <w:p w14:paraId="5B2A083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768ABFB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5,0</w:t>
            </w:r>
          </w:p>
          <w:p w14:paraId="43E981C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7023C4D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27,5</w:t>
            </w:r>
          </w:p>
          <w:p w14:paraId="274281D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D7C992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67,5</w:t>
            </w:r>
          </w:p>
          <w:p w14:paraId="700D65C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4D059A7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100,0</w:t>
            </w:r>
          </w:p>
          <w:p w14:paraId="6B03C31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1F5B785" w14:textId="77777777">
        <w:trPr>
          <w:trHeight w:val="230"/>
        </w:trPr>
        <w:tc>
          <w:tcPr>
            <w:tcW w:w="1776" w:type="dxa"/>
            <w:tcBorders>
              <w:top w:val="single" w:sz="6" w:space="0" w:color="auto"/>
              <w:left w:val="single" w:sz="6" w:space="0" w:color="auto"/>
              <w:bottom w:val="nil"/>
              <w:right w:val="single" w:sz="6" w:space="0" w:color="auto"/>
            </w:tcBorders>
          </w:tcPr>
          <w:p w14:paraId="20E6185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Грузовые газобал.</w:t>
            </w:r>
          </w:p>
          <w:p w14:paraId="3641AD0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1096FDE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количество</w:t>
            </w:r>
          </w:p>
          <w:p w14:paraId="0B97F23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5F33292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w:t>
            </w:r>
          </w:p>
          <w:p w14:paraId="48BD9CF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2D3BC8F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149</w:t>
            </w:r>
          </w:p>
          <w:p w14:paraId="69994A4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8C44A0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273</w:t>
            </w:r>
          </w:p>
          <w:p w14:paraId="5D5806F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511171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443</w:t>
            </w:r>
          </w:p>
          <w:p w14:paraId="4BAEA40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05D71A2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55</w:t>
            </w:r>
          </w:p>
          <w:p w14:paraId="2813F95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2150E23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143</w:t>
            </w:r>
          </w:p>
          <w:p w14:paraId="3702EB2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060470E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431</w:t>
            </w:r>
          </w:p>
          <w:p w14:paraId="736CA5D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A23D57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629</w:t>
            </w:r>
          </w:p>
          <w:p w14:paraId="3BC2244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B6950D0" w14:textId="77777777">
        <w:trPr>
          <w:trHeight w:val="230"/>
        </w:trPr>
        <w:tc>
          <w:tcPr>
            <w:tcW w:w="1776" w:type="dxa"/>
            <w:tcBorders>
              <w:top w:val="nil"/>
              <w:left w:val="single" w:sz="6" w:space="0" w:color="auto"/>
              <w:bottom w:val="single" w:sz="6" w:space="0" w:color="auto"/>
              <w:right w:val="single" w:sz="6" w:space="0" w:color="auto"/>
            </w:tcBorders>
          </w:tcPr>
          <w:p w14:paraId="6A8E1DF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921675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4186A58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w:t>
            </w:r>
          </w:p>
          <w:p w14:paraId="658866C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CDCF35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w:t>
            </w:r>
          </w:p>
          <w:p w14:paraId="036FDF7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75DBCA8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33,6</w:t>
            </w:r>
          </w:p>
          <w:p w14:paraId="0BF5FDD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771784D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61,4</w:t>
            </w:r>
          </w:p>
          <w:p w14:paraId="5C50B36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EFF5B5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100,0</w:t>
            </w:r>
          </w:p>
          <w:p w14:paraId="4560328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67E828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8,7</w:t>
            </w:r>
          </w:p>
          <w:p w14:paraId="0E61BAE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564BE53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22,7</w:t>
            </w:r>
          </w:p>
          <w:p w14:paraId="38A4684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640958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68,6</w:t>
            </w:r>
          </w:p>
          <w:p w14:paraId="46B6197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52FAC80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100,0</w:t>
            </w:r>
          </w:p>
          <w:p w14:paraId="79D7EB4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990774B" w14:textId="77777777">
        <w:trPr>
          <w:trHeight w:val="230"/>
        </w:trPr>
        <w:tc>
          <w:tcPr>
            <w:tcW w:w="1776" w:type="dxa"/>
            <w:tcBorders>
              <w:top w:val="single" w:sz="6" w:space="0" w:color="auto"/>
              <w:left w:val="single" w:sz="6" w:space="0" w:color="auto"/>
              <w:bottom w:val="nil"/>
              <w:right w:val="single" w:sz="6" w:space="0" w:color="auto"/>
            </w:tcBorders>
          </w:tcPr>
          <w:p w14:paraId="424E35E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Легковые</w:t>
            </w:r>
          </w:p>
          <w:p w14:paraId="4D776A0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792BCA2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количество</w:t>
            </w:r>
          </w:p>
          <w:p w14:paraId="1FF7808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7509A73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2325</w:t>
            </w:r>
          </w:p>
          <w:p w14:paraId="0E608E0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29343F4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7379</w:t>
            </w:r>
          </w:p>
          <w:p w14:paraId="546CB09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68BF0E8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27290</w:t>
            </w:r>
          </w:p>
          <w:p w14:paraId="049D5F6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461F71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36994</w:t>
            </w:r>
          </w:p>
          <w:p w14:paraId="5D5207A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EFD402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2190</w:t>
            </w:r>
          </w:p>
          <w:p w14:paraId="4492FCD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55FBD5A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7012</w:t>
            </w:r>
          </w:p>
          <w:p w14:paraId="3940049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67FCF30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27634</w:t>
            </w:r>
          </w:p>
          <w:p w14:paraId="6E04ACD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44675E4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36836</w:t>
            </w:r>
          </w:p>
          <w:p w14:paraId="4C9920E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7668E2C" w14:textId="77777777">
        <w:trPr>
          <w:trHeight w:val="230"/>
        </w:trPr>
        <w:tc>
          <w:tcPr>
            <w:tcW w:w="1776" w:type="dxa"/>
            <w:tcBorders>
              <w:top w:val="nil"/>
              <w:left w:val="single" w:sz="6" w:space="0" w:color="auto"/>
              <w:bottom w:val="single" w:sz="6" w:space="0" w:color="auto"/>
              <w:right w:val="single" w:sz="6" w:space="0" w:color="auto"/>
            </w:tcBorders>
          </w:tcPr>
          <w:p w14:paraId="263D3A4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5F0D0C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5286B4E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w:t>
            </w:r>
          </w:p>
          <w:p w14:paraId="14D7658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65FA55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6,3</w:t>
            </w:r>
          </w:p>
          <w:p w14:paraId="3E55FF2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04293B4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19,9</w:t>
            </w:r>
          </w:p>
          <w:p w14:paraId="3CD3E5A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81E808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73,8</w:t>
            </w:r>
          </w:p>
          <w:p w14:paraId="35367A3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05FC47E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100,0</w:t>
            </w:r>
          </w:p>
          <w:p w14:paraId="3A5F6FA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7A4AB0A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5,9</w:t>
            </w:r>
          </w:p>
          <w:p w14:paraId="1E68F5B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3BA6C2D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19,0</w:t>
            </w:r>
          </w:p>
          <w:p w14:paraId="078DCB1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65B5C79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75,1</w:t>
            </w:r>
          </w:p>
          <w:p w14:paraId="09B5C9B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E08224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100,0</w:t>
            </w:r>
          </w:p>
          <w:p w14:paraId="3917215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FE4C731" w14:textId="77777777">
        <w:trPr>
          <w:trHeight w:val="230"/>
        </w:trPr>
        <w:tc>
          <w:tcPr>
            <w:tcW w:w="1776" w:type="dxa"/>
            <w:tcBorders>
              <w:top w:val="single" w:sz="6" w:space="0" w:color="auto"/>
              <w:left w:val="single" w:sz="6" w:space="0" w:color="auto"/>
              <w:bottom w:val="nil"/>
              <w:right w:val="single" w:sz="6" w:space="0" w:color="auto"/>
            </w:tcBorders>
          </w:tcPr>
          <w:p w14:paraId="4469151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Специальные</w:t>
            </w:r>
          </w:p>
          <w:p w14:paraId="0E5AC47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4B2EAF3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количество</w:t>
            </w:r>
          </w:p>
          <w:p w14:paraId="5903AE9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7D4E7F4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5969</w:t>
            </w:r>
          </w:p>
          <w:p w14:paraId="477569C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7E68174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4626</w:t>
            </w:r>
          </w:p>
          <w:p w14:paraId="7A515DF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E8F046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7281</w:t>
            </w:r>
          </w:p>
          <w:p w14:paraId="6FA7DED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61DDE7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17876</w:t>
            </w:r>
          </w:p>
          <w:p w14:paraId="12ED345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0FE63D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5483</w:t>
            </w:r>
          </w:p>
          <w:p w14:paraId="2A48442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316C913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4277</w:t>
            </w:r>
          </w:p>
          <w:p w14:paraId="2D0B080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B3EC3D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7020</w:t>
            </w:r>
          </w:p>
          <w:p w14:paraId="51ECC34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030CA4B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16780</w:t>
            </w:r>
          </w:p>
          <w:p w14:paraId="1718724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5C7BA56" w14:textId="77777777">
        <w:trPr>
          <w:trHeight w:val="230"/>
        </w:trPr>
        <w:tc>
          <w:tcPr>
            <w:tcW w:w="1776" w:type="dxa"/>
            <w:tcBorders>
              <w:top w:val="nil"/>
              <w:left w:val="single" w:sz="6" w:space="0" w:color="auto"/>
              <w:bottom w:val="single" w:sz="6" w:space="0" w:color="auto"/>
              <w:right w:val="single" w:sz="6" w:space="0" w:color="auto"/>
            </w:tcBorders>
          </w:tcPr>
          <w:p w14:paraId="26BA728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9C862B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777FA66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w:t>
            </w:r>
          </w:p>
          <w:p w14:paraId="771F7F6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0E6879D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33,4</w:t>
            </w:r>
          </w:p>
          <w:p w14:paraId="5917606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70DA692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25,9</w:t>
            </w:r>
          </w:p>
          <w:p w14:paraId="06018C5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0471808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40,7</w:t>
            </w:r>
          </w:p>
          <w:p w14:paraId="115BB6B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067D933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100,0</w:t>
            </w:r>
          </w:p>
          <w:p w14:paraId="1A85DE8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CB5CAD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32,7</w:t>
            </w:r>
          </w:p>
          <w:p w14:paraId="0532602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789ED8A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25,5</w:t>
            </w:r>
          </w:p>
          <w:p w14:paraId="00E9A85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EEC54F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41,8</w:t>
            </w:r>
          </w:p>
          <w:p w14:paraId="6B838FF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13804F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100,0</w:t>
            </w:r>
          </w:p>
          <w:p w14:paraId="4D223E9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4112394" w14:textId="77777777">
        <w:trPr>
          <w:trHeight w:val="230"/>
        </w:trPr>
        <w:tc>
          <w:tcPr>
            <w:tcW w:w="1776" w:type="dxa"/>
            <w:tcBorders>
              <w:top w:val="single" w:sz="6" w:space="0" w:color="auto"/>
              <w:left w:val="single" w:sz="6" w:space="0" w:color="auto"/>
              <w:bottom w:val="nil"/>
              <w:right w:val="single" w:sz="6" w:space="0" w:color="auto"/>
            </w:tcBorders>
          </w:tcPr>
          <w:p w14:paraId="4A4457C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Автобусы</w:t>
            </w:r>
          </w:p>
          <w:p w14:paraId="3AE81B4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756C20A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количество</w:t>
            </w:r>
          </w:p>
          <w:p w14:paraId="502E868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3EBE8A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534</w:t>
            </w:r>
          </w:p>
          <w:p w14:paraId="2C48E89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040FE33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1213</w:t>
            </w:r>
          </w:p>
          <w:p w14:paraId="708C803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591F592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3350</w:t>
            </w:r>
          </w:p>
          <w:p w14:paraId="22AD112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6477DE0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5097</w:t>
            </w:r>
          </w:p>
          <w:p w14:paraId="658DC31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0A81BED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419</w:t>
            </w:r>
          </w:p>
          <w:p w14:paraId="2E84140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1C003D8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1107</w:t>
            </w:r>
          </w:p>
          <w:p w14:paraId="50457C1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4B5AD7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3223</w:t>
            </w:r>
          </w:p>
          <w:p w14:paraId="18CB4E9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4A92094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4749</w:t>
            </w:r>
          </w:p>
          <w:p w14:paraId="5F7C067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45040E6" w14:textId="77777777">
        <w:trPr>
          <w:trHeight w:val="230"/>
        </w:trPr>
        <w:tc>
          <w:tcPr>
            <w:tcW w:w="1776" w:type="dxa"/>
            <w:tcBorders>
              <w:top w:val="nil"/>
              <w:left w:val="single" w:sz="6" w:space="0" w:color="auto"/>
              <w:bottom w:val="single" w:sz="6" w:space="0" w:color="auto"/>
              <w:right w:val="single" w:sz="6" w:space="0" w:color="auto"/>
            </w:tcBorders>
          </w:tcPr>
          <w:p w14:paraId="108EB38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D89A51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34906BC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w:t>
            </w:r>
          </w:p>
          <w:p w14:paraId="2382AE9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6771C5A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10,5</w:t>
            </w:r>
          </w:p>
          <w:p w14:paraId="12B7905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27297E8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23,8</w:t>
            </w:r>
          </w:p>
          <w:p w14:paraId="7DE7AC7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BD191D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65,7</w:t>
            </w:r>
          </w:p>
          <w:p w14:paraId="71D4381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7578045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100,0</w:t>
            </w:r>
          </w:p>
          <w:p w14:paraId="184C97D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4D69D92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8,8</w:t>
            </w:r>
          </w:p>
          <w:p w14:paraId="70BCF3B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1BDF0DC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23,3</w:t>
            </w:r>
          </w:p>
          <w:p w14:paraId="571F36D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6388E4B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67,9</w:t>
            </w:r>
          </w:p>
          <w:p w14:paraId="15BB73A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534FF34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100,0</w:t>
            </w:r>
          </w:p>
          <w:p w14:paraId="3D35CEE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9B1559D" w14:textId="77777777">
        <w:trPr>
          <w:trHeight w:val="230"/>
        </w:trPr>
        <w:tc>
          <w:tcPr>
            <w:tcW w:w="1776" w:type="dxa"/>
            <w:tcBorders>
              <w:top w:val="single" w:sz="6" w:space="0" w:color="auto"/>
              <w:left w:val="single" w:sz="6" w:space="0" w:color="auto"/>
              <w:bottom w:val="nil"/>
              <w:right w:val="single" w:sz="6" w:space="0" w:color="auto"/>
            </w:tcBorders>
          </w:tcPr>
          <w:p w14:paraId="25D6997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Итого автомобилей</w:t>
            </w:r>
          </w:p>
          <w:p w14:paraId="34CB136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6DB3F25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количество</w:t>
            </w:r>
          </w:p>
          <w:p w14:paraId="2B65D07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7BFB810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20027</w:t>
            </w:r>
          </w:p>
          <w:p w14:paraId="7A90F56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26235BF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39878</w:t>
            </w:r>
          </w:p>
          <w:p w14:paraId="358AF93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F8712C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145401</w:t>
            </w:r>
          </w:p>
          <w:p w14:paraId="6BE798A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ED757D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205306</w:t>
            </w:r>
          </w:p>
          <w:p w14:paraId="1652B16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7D6C500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21060</w:t>
            </w:r>
          </w:p>
          <w:p w14:paraId="3F47CCD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4089AD3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36375</w:t>
            </w:r>
          </w:p>
          <w:p w14:paraId="7CC70CC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7B41A9B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148985</w:t>
            </w:r>
          </w:p>
          <w:p w14:paraId="2118F50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557DBB4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206420</w:t>
            </w:r>
          </w:p>
          <w:p w14:paraId="53867E8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E4E7511" w14:textId="77777777">
        <w:trPr>
          <w:trHeight w:val="230"/>
        </w:trPr>
        <w:tc>
          <w:tcPr>
            <w:tcW w:w="1776" w:type="dxa"/>
            <w:tcBorders>
              <w:top w:val="nil"/>
              <w:left w:val="single" w:sz="6" w:space="0" w:color="auto"/>
              <w:bottom w:val="single" w:sz="6" w:space="0" w:color="auto"/>
              <w:right w:val="single" w:sz="6" w:space="0" w:color="auto"/>
            </w:tcBorders>
          </w:tcPr>
          <w:p w14:paraId="532E4DF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270CB3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2C313E2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w:t>
            </w:r>
          </w:p>
          <w:p w14:paraId="7829F59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7CC0A8F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9,8</w:t>
            </w:r>
          </w:p>
          <w:p w14:paraId="061F855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024A501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w:t>
            </w:r>
          </w:p>
          <w:p w14:paraId="77EE554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0D4A21A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70,8</w:t>
            </w:r>
          </w:p>
          <w:p w14:paraId="6FF97EC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5182395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100,0</w:t>
            </w:r>
          </w:p>
          <w:p w14:paraId="0BDF9C4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C7BDE9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10,2</w:t>
            </w:r>
          </w:p>
          <w:p w14:paraId="5716E53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2463C50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17,6</w:t>
            </w:r>
          </w:p>
          <w:p w14:paraId="228A357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B312E1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72,2</w:t>
            </w:r>
          </w:p>
          <w:p w14:paraId="18C1A30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57986E1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100,0</w:t>
            </w:r>
          </w:p>
          <w:p w14:paraId="0DC3DEF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25E69C3" w14:textId="77777777">
        <w:trPr>
          <w:trHeight w:val="230"/>
        </w:trPr>
        <w:tc>
          <w:tcPr>
            <w:tcW w:w="1776" w:type="dxa"/>
            <w:tcBorders>
              <w:top w:val="single" w:sz="6" w:space="0" w:color="auto"/>
              <w:left w:val="single" w:sz="6" w:space="0" w:color="auto"/>
              <w:bottom w:val="nil"/>
              <w:right w:val="single" w:sz="6" w:space="0" w:color="auto"/>
            </w:tcBorders>
          </w:tcPr>
          <w:p w14:paraId="12EDC8E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Мотоциклы</w:t>
            </w:r>
          </w:p>
          <w:p w14:paraId="4740CA1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1B969AF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количество</w:t>
            </w:r>
          </w:p>
          <w:p w14:paraId="7BC3ED2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66E52A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1049</w:t>
            </w:r>
          </w:p>
          <w:p w14:paraId="7164B36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3F42F96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2524</w:t>
            </w:r>
          </w:p>
          <w:p w14:paraId="07673B8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E63E36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8362</w:t>
            </w:r>
          </w:p>
          <w:p w14:paraId="791841E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2A455E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11935</w:t>
            </w:r>
          </w:p>
          <w:p w14:paraId="6580D18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9F38BA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880</w:t>
            </w:r>
          </w:p>
          <w:p w14:paraId="2F423EF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1B758E4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2494</w:t>
            </w:r>
          </w:p>
          <w:p w14:paraId="07DEF9E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025E5C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9081</w:t>
            </w:r>
          </w:p>
          <w:p w14:paraId="18ED4C2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6290335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12455</w:t>
            </w:r>
          </w:p>
          <w:p w14:paraId="510F488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8EBA307" w14:textId="77777777">
        <w:trPr>
          <w:trHeight w:val="230"/>
        </w:trPr>
        <w:tc>
          <w:tcPr>
            <w:tcW w:w="1776" w:type="dxa"/>
            <w:tcBorders>
              <w:top w:val="nil"/>
              <w:left w:val="single" w:sz="6" w:space="0" w:color="auto"/>
              <w:bottom w:val="single" w:sz="6" w:space="0" w:color="auto"/>
              <w:right w:val="single" w:sz="6" w:space="0" w:color="auto"/>
            </w:tcBorders>
          </w:tcPr>
          <w:p w14:paraId="0B0C4E5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224F8D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0F6AA57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w:t>
            </w:r>
          </w:p>
          <w:p w14:paraId="095ADF5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7E35B70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8,8</w:t>
            </w:r>
          </w:p>
          <w:p w14:paraId="6DBCA0B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786ED72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21,1</w:t>
            </w:r>
          </w:p>
          <w:p w14:paraId="4F4126C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1793C8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70,1</w:t>
            </w:r>
          </w:p>
          <w:p w14:paraId="7314665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70A6897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100,0</w:t>
            </w:r>
          </w:p>
          <w:p w14:paraId="3FF3A7A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0174091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7,1</w:t>
            </w:r>
          </w:p>
          <w:p w14:paraId="5B8D732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5C8750B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20,0</w:t>
            </w:r>
          </w:p>
          <w:p w14:paraId="4E2FA47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4C44C7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72,9</w:t>
            </w:r>
          </w:p>
          <w:p w14:paraId="49B6E4D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087539D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100,0</w:t>
            </w:r>
          </w:p>
          <w:p w14:paraId="14388FA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C3AFF63" w14:textId="77777777">
        <w:trPr>
          <w:trHeight w:val="230"/>
        </w:trPr>
        <w:tc>
          <w:tcPr>
            <w:tcW w:w="1776" w:type="dxa"/>
            <w:tcBorders>
              <w:top w:val="single" w:sz="6" w:space="0" w:color="auto"/>
              <w:left w:val="single" w:sz="6" w:space="0" w:color="auto"/>
              <w:bottom w:val="nil"/>
              <w:right w:val="single" w:sz="6" w:space="0" w:color="auto"/>
            </w:tcBorders>
          </w:tcPr>
          <w:p w14:paraId="62DA279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Тягачи и трактора на резиновом ходу</w:t>
            </w:r>
          </w:p>
          <w:p w14:paraId="662CF8A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664D39F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количество</w:t>
            </w:r>
          </w:p>
          <w:p w14:paraId="3BB4FA1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8EB23E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44</w:t>
            </w:r>
          </w:p>
          <w:p w14:paraId="5FCCAC0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49EF9BD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152</w:t>
            </w:r>
          </w:p>
          <w:p w14:paraId="0839B1F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86E039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1177</w:t>
            </w:r>
          </w:p>
          <w:p w14:paraId="1F8B7E2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4574A6D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1373</w:t>
            </w:r>
          </w:p>
          <w:p w14:paraId="27326BA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54592A8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w:t>
            </w:r>
          </w:p>
          <w:p w14:paraId="7BC0773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21AA8FD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180</w:t>
            </w:r>
          </w:p>
          <w:p w14:paraId="275BEAC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0C4A30A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1066</w:t>
            </w:r>
          </w:p>
          <w:p w14:paraId="153858A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DAD88B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1267</w:t>
            </w:r>
          </w:p>
          <w:p w14:paraId="75626EA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24D8BA1" w14:textId="77777777">
        <w:trPr>
          <w:trHeight w:val="230"/>
        </w:trPr>
        <w:tc>
          <w:tcPr>
            <w:tcW w:w="1776" w:type="dxa"/>
            <w:tcBorders>
              <w:top w:val="nil"/>
              <w:left w:val="single" w:sz="6" w:space="0" w:color="auto"/>
              <w:bottom w:val="single" w:sz="6" w:space="0" w:color="auto"/>
              <w:right w:val="single" w:sz="6" w:space="0" w:color="auto"/>
            </w:tcBorders>
          </w:tcPr>
          <w:p w14:paraId="5E645E3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B7E66D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4B3C85F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w:t>
            </w:r>
          </w:p>
          <w:p w14:paraId="6BED687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0DCCAAF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3,2</w:t>
            </w:r>
          </w:p>
          <w:p w14:paraId="7FC79F9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284175B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11,1</w:t>
            </w:r>
          </w:p>
          <w:p w14:paraId="724DA0A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719293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85,7</w:t>
            </w:r>
          </w:p>
          <w:p w14:paraId="0B4E26D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5034475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100,0</w:t>
            </w:r>
          </w:p>
          <w:p w14:paraId="00A0C00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1F3789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w:t>
            </w:r>
          </w:p>
          <w:p w14:paraId="64667E4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4B07DA2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14,2</w:t>
            </w:r>
          </w:p>
          <w:p w14:paraId="0747DBB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6AC59A8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84,1</w:t>
            </w:r>
          </w:p>
          <w:p w14:paraId="39C6281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01FC44A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100,0</w:t>
            </w:r>
          </w:p>
          <w:p w14:paraId="45E1CBA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633EA81" w14:textId="77777777">
        <w:trPr>
          <w:trHeight w:val="221"/>
        </w:trPr>
        <w:tc>
          <w:tcPr>
            <w:tcW w:w="1776" w:type="dxa"/>
            <w:tcBorders>
              <w:top w:val="single" w:sz="6" w:space="0" w:color="auto"/>
              <w:left w:val="single" w:sz="6" w:space="0" w:color="auto"/>
              <w:bottom w:val="nil"/>
              <w:right w:val="single" w:sz="6" w:space="0" w:color="auto"/>
            </w:tcBorders>
          </w:tcPr>
          <w:p w14:paraId="73F2431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w:t>
            </w:r>
          </w:p>
          <w:p w14:paraId="30043AD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2D51721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количество</w:t>
            </w:r>
          </w:p>
          <w:p w14:paraId="2891BF9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7A70777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21120</w:t>
            </w:r>
          </w:p>
          <w:p w14:paraId="47A33DF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5C8CCF6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42554</w:t>
            </w:r>
          </w:p>
          <w:p w14:paraId="20FE3FE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54E60FF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154940</w:t>
            </w:r>
          </w:p>
          <w:p w14:paraId="18FFD73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9F03A5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218614</w:t>
            </w:r>
          </w:p>
          <w:p w14:paraId="7FF9E70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120DAD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21961</w:t>
            </w:r>
          </w:p>
          <w:p w14:paraId="54779E0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0BF74AE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39049</w:t>
            </w:r>
          </w:p>
          <w:p w14:paraId="2901C5F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4413FE6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159132</w:t>
            </w:r>
          </w:p>
          <w:p w14:paraId="4E138A5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5EADF12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220142</w:t>
            </w:r>
          </w:p>
          <w:p w14:paraId="520A74E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0228AA1" w14:textId="77777777">
        <w:trPr>
          <w:trHeight w:val="250"/>
        </w:trPr>
        <w:tc>
          <w:tcPr>
            <w:tcW w:w="1776" w:type="dxa"/>
            <w:tcBorders>
              <w:top w:val="nil"/>
              <w:left w:val="single" w:sz="6" w:space="0" w:color="auto"/>
              <w:bottom w:val="single" w:sz="6" w:space="0" w:color="auto"/>
              <w:right w:val="single" w:sz="6" w:space="0" w:color="auto"/>
            </w:tcBorders>
          </w:tcPr>
          <w:p w14:paraId="40B84B3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92ACD5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7A14FB5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w:t>
            </w:r>
          </w:p>
          <w:p w14:paraId="11FC20C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0829E8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9,7</w:t>
            </w:r>
          </w:p>
          <w:p w14:paraId="7E0977C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4C446D4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19,5</w:t>
            </w:r>
          </w:p>
          <w:p w14:paraId="7821E76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47B66E3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70,8</w:t>
            </w:r>
          </w:p>
          <w:p w14:paraId="3CAF4F7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C8811A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100,0</w:t>
            </w:r>
          </w:p>
          <w:p w14:paraId="7B1AC8F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4D9D025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w:t>
            </w:r>
          </w:p>
          <w:p w14:paraId="1B6F0C6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0E3AEA7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17,7</w:t>
            </w:r>
          </w:p>
          <w:p w14:paraId="0541891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E33D64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72,3</w:t>
            </w:r>
          </w:p>
          <w:p w14:paraId="65AFFC6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B7274A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100,0</w:t>
            </w:r>
          </w:p>
          <w:p w14:paraId="60F2DD5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82D208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Увеличение числа машин первой категории среди грузовых бензиновых автомобилей объясня</w:t>
      </w:r>
      <w:r w:rsidRPr="007224C3">
        <w:rPr>
          <w:rFonts w:ascii="Times New Roman" w:hAnsi="Times New Roman"/>
          <w:color w:val="000000" w:themeColor="text1"/>
          <w:sz w:val="16"/>
          <w:szCs w:val="16"/>
        </w:rPr>
        <w:softHyphen/>
        <w:t>ется, как это отмечалось ранее, пополнением парка новыми импортными автомашинами.</w:t>
      </w:r>
    </w:p>
    <w:p w14:paraId="66458CF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ухудшение категорийности газогенераторных машин повлияла неудовлетворительная обе</w:t>
      </w:r>
      <w:r w:rsidRPr="007224C3">
        <w:rPr>
          <w:rFonts w:ascii="Times New Roman" w:hAnsi="Times New Roman"/>
          <w:color w:val="000000" w:themeColor="text1"/>
          <w:sz w:val="16"/>
          <w:szCs w:val="16"/>
        </w:rPr>
        <w:softHyphen/>
        <w:t>спеченность машин этого типа запасными частями, в результате чего автомобили своевременно не ремонтировались.</w:t>
      </w:r>
    </w:p>
    <w:p w14:paraId="153CF8B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Техническое состояние автопарка</w:t>
      </w:r>
    </w:p>
    <w:p w14:paraId="5F1DF49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 общего количества, находящихся в народном хозяйстве Союза ССР, на 1 января 1944 года, 206420 автомобилей, органами Госавтоинспекции осмотрено 195926 автомашин или 97,9% всего автопарка. Из общего количества осмотренных автомашин оказалось:</w:t>
      </w:r>
    </w:p>
    <w:p w14:paraId="1B3D57F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на ходу (в эксплуатации) 120492 автомобиля или 61,5%;</w:t>
      </w:r>
    </w:p>
    <w:p w14:paraId="1B63818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не на ходу (простаивает по различным причинам) 75434 автомобилей или 38,5%. Техническое состояние ходовых автомобилей следующее:</w:t>
      </w:r>
    </w:p>
    <w:tbl>
      <w:tblPr>
        <w:tblW w:w="0" w:type="auto"/>
        <w:tblInd w:w="40" w:type="dxa"/>
        <w:tblLayout w:type="fixed"/>
        <w:tblCellMar>
          <w:left w:w="40" w:type="dxa"/>
          <w:right w:w="40" w:type="dxa"/>
        </w:tblCellMar>
        <w:tblLook w:val="0000" w:firstRow="0" w:lastRow="0" w:firstColumn="0" w:lastColumn="0" w:noHBand="0" w:noVBand="0"/>
      </w:tblPr>
      <w:tblGrid>
        <w:gridCol w:w="3254"/>
        <w:gridCol w:w="1699"/>
        <w:gridCol w:w="1805"/>
        <w:gridCol w:w="1824"/>
      </w:tblGrid>
      <w:tr w:rsidR="005106D0" w:rsidRPr="007224C3" w14:paraId="10810FEA" w14:textId="77777777">
        <w:trPr>
          <w:trHeight w:val="269"/>
        </w:trPr>
        <w:tc>
          <w:tcPr>
            <w:tcW w:w="3254" w:type="dxa"/>
            <w:tcBorders>
              <w:top w:val="single" w:sz="6" w:space="0" w:color="auto"/>
              <w:left w:val="single" w:sz="6" w:space="0" w:color="auto"/>
              <w:bottom w:val="nil"/>
              <w:right w:val="single" w:sz="6" w:space="0" w:color="auto"/>
            </w:tcBorders>
          </w:tcPr>
          <w:p w14:paraId="536D151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Состояние автомобилей</w:t>
            </w:r>
          </w:p>
          <w:p w14:paraId="1ACF3FF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nil"/>
              <w:right w:val="single" w:sz="6" w:space="0" w:color="auto"/>
            </w:tcBorders>
          </w:tcPr>
          <w:p w14:paraId="1BD6B9E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Количество автомобилей</w:t>
            </w:r>
          </w:p>
          <w:p w14:paraId="17A7C45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29" w:type="dxa"/>
            <w:gridSpan w:val="2"/>
            <w:tcBorders>
              <w:top w:val="single" w:sz="6" w:space="0" w:color="auto"/>
              <w:left w:val="single" w:sz="6" w:space="0" w:color="auto"/>
              <w:bottom w:val="single" w:sz="6" w:space="0" w:color="auto"/>
              <w:right w:val="single" w:sz="6" w:space="0" w:color="auto"/>
            </w:tcBorders>
          </w:tcPr>
          <w:p w14:paraId="1A231DA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w:t>
            </w:r>
          </w:p>
          <w:p w14:paraId="5034B14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18C56D6" w14:textId="77777777">
        <w:trPr>
          <w:trHeight w:val="269"/>
        </w:trPr>
        <w:tc>
          <w:tcPr>
            <w:tcW w:w="3254" w:type="dxa"/>
            <w:tcBorders>
              <w:top w:val="nil"/>
              <w:left w:val="single" w:sz="6" w:space="0" w:color="auto"/>
              <w:bottom w:val="single" w:sz="6" w:space="0" w:color="auto"/>
              <w:right w:val="single" w:sz="6" w:space="0" w:color="auto"/>
            </w:tcBorders>
          </w:tcPr>
          <w:p w14:paraId="424C3CC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1C5788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nil"/>
              <w:left w:val="single" w:sz="6" w:space="0" w:color="auto"/>
              <w:bottom w:val="single" w:sz="6" w:space="0" w:color="auto"/>
              <w:right w:val="single" w:sz="6" w:space="0" w:color="auto"/>
            </w:tcBorders>
          </w:tcPr>
          <w:p w14:paraId="0FAE077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2616F6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05" w:type="dxa"/>
            <w:tcBorders>
              <w:top w:val="single" w:sz="6" w:space="0" w:color="auto"/>
              <w:left w:val="single" w:sz="6" w:space="0" w:color="auto"/>
              <w:bottom w:val="single" w:sz="6" w:space="0" w:color="auto"/>
              <w:right w:val="single" w:sz="6" w:space="0" w:color="auto"/>
            </w:tcBorders>
          </w:tcPr>
          <w:p w14:paraId="0EFC512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ходовому парку</w:t>
            </w:r>
          </w:p>
          <w:p w14:paraId="00C1697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24" w:type="dxa"/>
            <w:tcBorders>
              <w:top w:val="single" w:sz="6" w:space="0" w:color="auto"/>
              <w:left w:val="single" w:sz="6" w:space="0" w:color="auto"/>
              <w:bottom w:val="single" w:sz="6" w:space="0" w:color="auto"/>
              <w:right w:val="single" w:sz="6" w:space="0" w:color="auto"/>
            </w:tcBorders>
          </w:tcPr>
          <w:p w14:paraId="16F77AC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осмотренному парку</w:t>
            </w:r>
          </w:p>
          <w:p w14:paraId="2F2D225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E13D694" w14:textId="77777777">
        <w:trPr>
          <w:trHeight w:val="278"/>
        </w:trPr>
        <w:tc>
          <w:tcPr>
            <w:tcW w:w="3254" w:type="dxa"/>
            <w:tcBorders>
              <w:top w:val="single" w:sz="6" w:space="0" w:color="auto"/>
              <w:left w:val="single" w:sz="6" w:space="0" w:color="auto"/>
              <w:bottom w:val="single" w:sz="6" w:space="0" w:color="auto"/>
              <w:right w:val="single" w:sz="6" w:space="0" w:color="auto"/>
            </w:tcBorders>
          </w:tcPr>
          <w:p w14:paraId="2FEC3A6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 ходовых автомашин</w:t>
            </w:r>
          </w:p>
          <w:p w14:paraId="14895DC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74E0804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120492</w:t>
            </w:r>
          </w:p>
          <w:p w14:paraId="63A4FDF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05" w:type="dxa"/>
            <w:tcBorders>
              <w:top w:val="single" w:sz="6" w:space="0" w:color="auto"/>
              <w:left w:val="single" w:sz="6" w:space="0" w:color="auto"/>
              <w:bottom w:val="single" w:sz="6" w:space="0" w:color="auto"/>
              <w:right w:val="single" w:sz="6" w:space="0" w:color="auto"/>
            </w:tcBorders>
          </w:tcPr>
          <w:p w14:paraId="4BB03AD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100,0</w:t>
            </w:r>
          </w:p>
          <w:p w14:paraId="42CED7F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24" w:type="dxa"/>
            <w:tcBorders>
              <w:top w:val="single" w:sz="6" w:space="0" w:color="auto"/>
              <w:left w:val="single" w:sz="6" w:space="0" w:color="auto"/>
              <w:bottom w:val="single" w:sz="6" w:space="0" w:color="auto"/>
              <w:right w:val="single" w:sz="6" w:space="0" w:color="auto"/>
            </w:tcBorders>
          </w:tcPr>
          <w:p w14:paraId="144135D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61,5</w:t>
            </w:r>
          </w:p>
          <w:p w14:paraId="24BA672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1C19FED" w14:textId="77777777">
        <w:trPr>
          <w:trHeight w:val="269"/>
        </w:trPr>
        <w:tc>
          <w:tcPr>
            <w:tcW w:w="3254" w:type="dxa"/>
            <w:tcBorders>
              <w:top w:val="single" w:sz="6" w:space="0" w:color="auto"/>
              <w:left w:val="single" w:sz="6" w:space="0" w:color="auto"/>
              <w:bottom w:val="single" w:sz="6" w:space="0" w:color="auto"/>
              <w:right w:val="single" w:sz="6" w:space="0" w:color="auto"/>
            </w:tcBorders>
          </w:tcPr>
          <w:p w14:paraId="7A1BA0F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 них:</w:t>
            </w:r>
          </w:p>
          <w:p w14:paraId="10FAFC3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07AADE1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17DC5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05" w:type="dxa"/>
            <w:tcBorders>
              <w:top w:val="single" w:sz="6" w:space="0" w:color="auto"/>
              <w:left w:val="single" w:sz="6" w:space="0" w:color="auto"/>
              <w:bottom w:val="single" w:sz="6" w:space="0" w:color="auto"/>
              <w:right w:val="single" w:sz="6" w:space="0" w:color="auto"/>
            </w:tcBorders>
          </w:tcPr>
          <w:p w14:paraId="4B6D05B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0803C7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24" w:type="dxa"/>
            <w:tcBorders>
              <w:top w:val="single" w:sz="6" w:space="0" w:color="auto"/>
              <w:left w:val="single" w:sz="6" w:space="0" w:color="auto"/>
              <w:bottom w:val="single" w:sz="6" w:space="0" w:color="auto"/>
              <w:right w:val="single" w:sz="6" w:space="0" w:color="auto"/>
            </w:tcBorders>
          </w:tcPr>
          <w:p w14:paraId="429C103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8272BA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EEEA8A7" w14:textId="77777777">
        <w:trPr>
          <w:trHeight w:val="278"/>
        </w:trPr>
        <w:tc>
          <w:tcPr>
            <w:tcW w:w="3254" w:type="dxa"/>
            <w:tcBorders>
              <w:top w:val="single" w:sz="6" w:space="0" w:color="auto"/>
              <w:left w:val="single" w:sz="6" w:space="0" w:color="auto"/>
              <w:bottom w:val="single" w:sz="6" w:space="0" w:color="auto"/>
              <w:right w:val="single" w:sz="6" w:space="0" w:color="auto"/>
            </w:tcBorders>
          </w:tcPr>
          <w:p w14:paraId="4C20F1E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Технически исправных</w:t>
            </w:r>
          </w:p>
          <w:p w14:paraId="26EC3A1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4F7CD5F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83402</w:t>
            </w:r>
          </w:p>
          <w:p w14:paraId="0329A0F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05" w:type="dxa"/>
            <w:tcBorders>
              <w:top w:val="single" w:sz="6" w:space="0" w:color="auto"/>
              <w:left w:val="single" w:sz="6" w:space="0" w:color="auto"/>
              <w:bottom w:val="single" w:sz="6" w:space="0" w:color="auto"/>
              <w:right w:val="single" w:sz="6" w:space="0" w:color="auto"/>
            </w:tcBorders>
          </w:tcPr>
          <w:p w14:paraId="6F106EE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69,2</w:t>
            </w:r>
          </w:p>
          <w:p w14:paraId="647B91F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24" w:type="dxa"/>
            <w:tcBorders>
              <w:top w:val="single" w:sz="6" w:space="0" w:color="auto"/>
              <w:left w:val="single" w:sz="6" w:space="0" w:color="auto"/>
              <w:bottom w:val="single" w:sz="6" w:space="0" w:color="auto"/>
              <w:right w:val="single" w:sz="6" w:space="0" w:color="auto"/>
            </w:tcBorders>
          </w:tcPr>
          <w:p w14:paraId="739AF5C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42,6</w:t>
            </w:r>
          </w:p>
          <w:p w14:paraId="1AD3158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E38385C" w14:textId="77777777">
        <w:trPr>
          <w:trHeight w:val="298"/>
        </w:trPr>
        <w:tc>
          <w:tcPr>
            <w:tcW w:w="3254" w:type="dxa"/>
            <w:tcBorders>
              <w:top w:val="single" w:sz="6" w:space="0" w:color="auto"/>
              <w:left w:val="single" w:sz="6" w:space="0" w:color="auto"/>
              <w:bottom w:val="single" w:sz="6" w:space="0" w:color="auto"/>
              <w:right w:val="single" w:sz="6" w:space="0" w:color="auto"/>
            </w:tcBorders>
          </w:tcPr>
          <w:p w14:paraId="14C8CDC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Требующих текущего ремонта</w:t>
            </w:r>
          </w:p>
          <w:p w14:paraId="768A631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360769F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19862</w:t>
            </w:r>
          </w:p>
          <w:p w14:paraId="55797DC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05" w:type="dxa"/>
            <w:tcBorders>
              <w:top w:val="single" w:sz="6" w:space="0" w:color="auto"/>
              <w:left w:val="single" w:sz="6" w:space="0" w:color="auto"/>
              <w:bottom w:val="single" w:sz="6" w:space="0" w:color="auto"/>
              <w:right w:val="single" w:sz="6" w:space="0" w:color="auto"/>
            </w:tcBorders>
          </w:tcPr>
          <w:p w14:paraId="30DA181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16,5</w:t>
            </w:r>
          </w:p>
          <w:p w14:paraId="39DB5FC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24" w:type="dxa"/>
            <w:tcBorders>
              <w:top w:val="single" w:sz="6" w:space="0" w:color="auto"/>
              <w:left w:val="single" w:sz="6" w:space="0" w:color="auto"/>
              <w:bottom w:val="single" w:sz="6" w:space="0" w:color="auto"/>
              <w:right w:val="single" w:sz="6" w:space="0" w:color="auto"/>
            </w:tcBorders>
          </w:tcPr>
          <w:p w14:paraId="2FF565C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10,1</w:t>
            </w:r>
          </w:p>
          <w:p w14:paraId="744F388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6DD6E69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bl>
      <w:tblPr>
        <w:tblW w:w="0" w:type="auto"/>
        <w:tblInd w:w="40" w:type="dxa"/>
        <w:tblLayout w:type="fixed"/>
        <w:tblCellMar>
          <w:left w:w="40" w:type="dxa"/>
          <w:right w:w="40" w:type="dxa"/>
        </w:tblCellMar>
        <w:tblLook w:val="0000" w:firstRow="0" w:lastRow="0" w:firstColumn="0" w:lastColumn="0" w:noHBand="0" w:noVBand="0"/>
      </w:tblPr>
      <w:tblGrid>
        <w:gridCol w:w="3235"/>
        <w:gridCol w:w="1699"/>
        <w:gridCol w:w="1805"/>
        <w:gridCol w:w="1824"/>
      </w:tblGrid>
      <w:tr w:rsidR="005106D0" w:rsidRPr="007224C3" w14:paraId="34828DF0" w14:textId="77777777">
        <w:trPr>
          <w:trHeight w:val="269"/>
        </w:trPr>
        <w:tc>
          <w:tcPr>
            <w:tcW w:w="3235" w:type="dxa"/>
            <w:tcBorders>
              <w:top w:val="single" w:sz="6" w:space="0" w:color="auto"/>
              <w:left w:val="single" w:sz="6" w:space="0" w:color="auto"/>
              <w:bottom w:val="nil"/>
              <w:right w:val="single" w:sz="6" w:space="0" w:color="auto"/>
            </w:tcBorders>
          </w:tcPr>
          <w:p w14:paraId="6858AEB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Состояние автомобилей</w:t>
            </w:r>
          </w:p>
          <w:p w14:paraId="2D3321C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nil"/>
              <w:right w:val="single" w:sz="6" w:space="0" w:color="auto"/>
            </w:tcBorders>
          </w:tcPr>
          <w:p w14:paraId="1DA4C3B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Количество автомобилей</w:t>
            </w:r>
          </w:p>
          <w:p w14:paraId="54F4075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29" w:type="dxa"/>
            <w:gridSpan w:val="2"/>
            <w:tcBorders>
              <w:top w:val="single" w:sz="6" w:space="0" w:color="auto"/>
              <w:left w:val="single" w:sz="6" w:space="0" w:color="auto"/>
              <w:bottom w:val="single" w:sz="6" w:space="0" w:color="auto"/>
              <w:right w:val="single" w:sz="6" w:space="0" w:color="auto"/>
            </w:tcBorders>
          </w:tcPr>
          <w:p w14:paraId="30CA444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w:t>
            </w:r>
          </w:p>
          <w:p w14:paraId="5AA985E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8938925" w14:textId="77777777">
        <w:trPr>
          <w:trHeight w:val="259"/>
        </w:trPr>
        <w:tc>
          <w:tcPr>
            <w:tcW w:w="3235" w:type="dxa"/>
            <w:tcBorders>
              <w:top w:val="nil"/>
              <w:left w:val="single" w:sz="6" w:space="0" w:color="auto"/>
              <w:bottom w:val="single" w:sz="6" w:space="0" w:color="auto"/>
              <w:right w:val="single" w:sz="6" w:space="0" w:color="auto"/>
            </w:tcBorders>
          </w:tcPr>
          <w:p w14:paraId="0F8C11A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B8EB30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nil"/>
              <w:left w:val="single" w:sz="6" w:space="0" w:color="auto"/>
              <w:bottom w:val="single" w:sz="6" w:space="0" w:color="auto"/>
              <w:right w:val="single" w:sz="6" w:space="0" w:color="auto"/>
            </w:tcBorders>
          </w:tcPr>
          <w:p w14:paraId="7C76C83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3EBDA6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05" w:type="dxa"/>
            <w:tcBorders>
              <w:top w:val="single" w:sz="6" w:space="0" w:color="auto"/>
              <w:left w:val="single" w:sz="6" w:space="0" w:color="auto"/>
              <w:bottom w:val="single" w:sz="6" w:space="0" w:color="auto"/>
              <w:right w:val="single" w:sz="6" w:space="0" w:color="auto"/>
            </w:tcBorders>
          </w:tcPr>
          <w:p w14:paraId="3A271F3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ходовому парку</w:t>
            </w:r>
          </w:p>
          <w:p w14:paraId="09E4C9C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24" w:type="dxa"/>
            <w:tcBorders>
              <w:top w:val="single" w:sz="6" w:space="0" w:color="auto"/>
              <w:left w:val="single" w:sz="6" w:space="0" w:color="auto"/>
              <w:bottom w:val="single" w:sz="6" w:space="0" w:color="auto"/>
              <w:right w:val="single" w:sz="6" w:space="0" w:color="auto"/>
            </w:tcBorders>
          </w:tcPr>
          <w:p w14:paraId="291CF65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осмотренному парку</w:t>
            </w:r>
          </w:p>
          <w:p w14:paraId="5723196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FEF4BF0" w14:textId="77777777">
        <w:trPr>
          <w:trHeight w:val="278"/>
        </w:trPr>
        <w:tc>
          <w:tcPr>
            <w:tcW w:w="3235" w:type="dxa"/>
            <w:tcBorders>
              <w:top w:val="single" w:sz="6" w:space="0" w:color="auto"/>
              <w:left w:val="single" w:sz="6" w:space="0" w:color="auto"/>
              <w:bottom w:val="single" w:sz="6" w:space="0" w:color="auto"/>
              <w:right w:val="single" w:sz="6" w:space="0" w:color="auto"/>
            </w:tcBorders>
          </w:tcPr>
          <w:p w14:paraId="4F0137C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Требующих среднего ремонта</w:t>
            </w:r>
          </w:p>
          <w:p w14:paraId="7CC5469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37333B9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13271</w:t>
            </w:r>
          </w:p>
          <w:p w14:paraId="43821D8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05" w:type="dxa"/>
            <w:tcBorders>
              <w:top w:val="single" w:sz="6" w:space="0" w:color="auto"/>
              <w:left w:val="single" w:sz="6" w:space="0" w:color="auto"/>
              <w:bottom w:val="single" w:sz="6" w:space="0" w:color="auto"/>
              <w:right w:val="single" w:sz="6" w:space="0" w:color="auto"/>
            </w:tcBorders>
          </w:tcPr>
          <w:p w14:paraId="71B449D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11,0</w:t>
            </w:r>
          </w:p>
          <w:p w14:paraId="2C81AFF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24" w:type="dxa"/>
            <w:tcBorders>
              <w:top w:val="single" w:sz="6" w:space="0" w:color="auto"/>
              <w:left w:val="single" w:sz="6" w:space="0" w:color="auto"/>
              <w:bottom w:val="single" w:sz="6" w:space="0" w:color="auto"/>
              <w:right w:val="single" w:sz="6" w:space="0" w:color="auto"/>
            </w:tcBorders>
          </w:tcPr>
          <w:p w14:paraId="0648A87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6,8</w:t>
            </w:r>
          </w:p>
          <w:p w14:paraId="2C73C23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07EC68D" w14:textId="77777777">
        <w:trPr>
          <w:trHeight w:val="298"/>
        </w:trPr>
        <w:tc>
          <w:tcPr>
            <w:tcW w:w="3235" w:type="dxa"/>
            <w:tcBorders>
              <w:top w:val="single" w:sz="6" w:space="0" w:color="auto"/>
              <w:left w:val="single" w:sz="6" w:space="0" w:color="auto"/>
              <w:bottom w:val="single" w:sz="6" w:space="0" w:color="auto"/>
              <w:right w:val="single" w:sz="6" w:space="0" w:color="auto"/>
            </w:tcBorders>
          </w:tcPr>
          <w:p w14:paraId="4A4135B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Требующих капитального ремонта</w:t>
            </w:r>
          </w:p>
          <w:p w14:paraId="42B68D5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70581C1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3957</w:t>
            </w:r>
          </w:p>
          <w:p w14:paraId="7F3B6D8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05" w:type="dxa"/>
            <w:tcBorders>
              <w:top w:val="single" w:sz="6" w:space="0" w:color="auto"/>
              <w:left w:val="single" w:sz="6" w:space="0" w:color="auto"/>
              <w:bottom w:val="single" w:sz="6" w:space="0" w:color="auto"/>
              <w:right w:val="single" w:sz="6" w:space="0" w:color="auto"/>
            </w:tcBorders>
          </w:tcPr>
          <w:p w14:paraId="25E5008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3,3</w:t>
            </w:r>
          </w:p>
          <w:p w14:paraId="5D50F41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24" w:type="dxa"/>
            <w:tcBorders>
              <w:top w:val="single" w:sz="6" w:space="0" w:color="auto"/>
              <w:left w:val="single" w:sz="6" w:space="0" w:color="auto"/>
              <w:bottom w:val="single" w:sz="6" w:space="0" w:color="auto"/>
              <w:right w:val="single" w:sz="6" w:space="0" w:color="auto"/>
            </w:tcBorders>
          </w:tcPr>
          <w:p w14:paraId="05B1A63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w:t>
            </w:r>
          </w:p>
          <w:p w14:paraId="0B41A5B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4A93F91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 приведенного видно, что исправных автомашин имеется лишь 83402 единицы или 69,2% от общего числа ходовых машин; остальные 37090 автомашин (30,8%) эксплуатировались в неисправ</w:t>
      </w:r>
      <w:r w:rsidRPr="007224C3">
        <w:rPr>
          <w:rFonts w:ascii="Times New Roman" w:hAnsi="Times New Roman"/>
          <w:color w:val="000000" w:themeColor="text1"/>
          <w:sz w:val="16"/>
          <w:szCs w:val="16"/>
        </w:rPr>
        <w:softHyphen/>
        <w:t>ном состоянии.</w:t>
      </w:r>
    </w:p>
    <w:p w14:paraId="29C800E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Техническое состояние простаивающих (неходовых) автомобилей приводится ниже:</w:t>
      </w:r>
    </w:p>
    <w:tbl>
      <w:tblPr>
        <w:tblW w:w="0" w:type="auto"/>
        <w:tblInd w:w="40" w:type="dxa"/>
        <w:tblLayout w:type="fixed"/>
        <w:tblCellMar>
          <w:left w:w="40" w:type="dxa"/>
          <w:right w:w="40" w:type="dxa"/>
        </w:tblCellMar>
        <w:tblLook w:val="0000" w:firstRow="0" w:lastRow="0" w:firstColumn="0" w:lastColumn="0" w:noHBand="0" w:noVBand="0"/>
      </w:tblPr>
      <w:tblGrid>
        <w:gridCol w:w="4330"/>
        <w:gridCol w:w="1498"/>
        <w:gridCol w:w="1622"/>
        <w:gridCol w:w="1651"/>
      </w:tblGrid>
      <w:tr w:rsidR="005106D0" w:rsidRPr="007224C3" w14:paraId="479E7484" w14:textId="77777777">
        <w:trPr>
          <w:trHeight w:val="192"/>
        </w:trPr>
        <w:tc>
          <w:tcPr>
            <w:tcW w:w="4330" w:type="dxa"/>
            <w:tcBorders>
              <w:top w:val="single" w:sz="6" w:space="0" w:color="auto"/>
              <w:left w:val="single" w:sz="6" w:space="0" w:color="auto"/>
              <w:bottom w:val="nil"/>
              <w:right w:val="single" w:sz="6" w:space="0" w:color="auto"/>
            </w:tcBorders>
          </w:tcPr>
          <w:p w14:paraId="78D6BEE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Состояние автомобилей</w:t>
            </w:r>
          </w:p>
          <w:p w14:paraId="6166BE3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nil"/>
              <w:right w:val="single" w:sz="6" w:space="0" w:color="auto"/>
            </w:tcBorders>
          </w:tcPr>
          <w:p w14:paraId="3D9B5E0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Количество автомобилей</w:t>
            </w:r>
          </w:p>
          <w:p w14:paraId="0C721E0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273" w:type="dxa"/>
            <w:gridSpan w:val="2"/>
            <w:tcBorders>
              <w:top w:val="single" w:sz="6" w:space="0" w:color="auto"/>
              <w:left w:val="single" w:sz="6" w:space="0" w:color="auto"/>
              <w:bottom w:val="single" w:sz="6" w:space="0" w:color="auto"/>
              <w:right w:val="single" w:sz="6" w:space="0" w:color="auto"/>
            </w:tcBorders>
          </w:tcPr>
          <w:p w14:paraId="10F718A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w:t>
            </w:r>
          </w:p>
          <w:p w14:paraId="7279D99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123263C" w14:textId="77777777">
        <w:trPr>
          <w:trHeight w:val="182"/>
        </w:trPr>
        <w:tc>
          <w:tcPr>
            <w:tcW w:w="4330" w:type="dxa"/>
            <w:tcBorders>
              <w:top w:val="nil"/>
              <w:left w:val="single" w:sz="6" w:space="0" w:color="auto"/>
              <w:bottom w:val="single" w:sz="6" w:space="0" w:color="auto"/>
              <w:right w:val="single" w:sz="6" w:space="0" w:color="auto"/>
            </w:tcBorders>
          </w:tcPr>
          <w:p w14:paraId="24E8B80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EE7E63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nil"/>
              <w:left w:val="single" w:sz="6" w:space="0" w:color="auto"/>
              <w:bottom w:val="single" w:sz="6" w:space="0" w:color="auto"/>
              <w:right w:val="single" w:sz="6" w:space="0" w:color="auto"/>
            </w:tcBorders>
          </w:tcPr>
          <w:p w14:paraId="71779C6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4B70B4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4D37AA8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неходовому парку</w:t>
            </w:r>
          </w:p>
          <w:p w14:paraId="6B960F2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76D02CA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осмотренному парку</w:t>
            </w:r>
          </w:p>
          <w:p w14:paraId="2B4DC24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EBA3E7B" w14:textId="77777777">
        <w:trPr>
          <w:trHeight w:val="192"/>
        </w:trPr>
        <w:tc>
          <w:tcPr>
            <w:tcW w:w="4330" w:type="dxa"/>
            <w:tcBorders>
              <w:top w:val="single" w:sz="6" w:space="0" w:color="auto"/>
              <w:left w:val="single" w:sz="6" w:space="0" w:color="auto"/>
              <w:bottom w:val="single" w:sz="6" w:space="0" w:color="auto"/>
              <w:right w:val="single" w:sz="6" w:space="0" w:color="auto"/>
            </w:tcBorders>
          </w:tcPr>
          <w:p w14:paraId="1C7EC31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 неходовых автомобилей</w:t>
            </w:r>
          </w:p>
          <w:p w14:paraId="460EDD1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43437FE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75434</w:t>
            </w:r>
          </w:p>
          <w:p w14:paraId="0F8DEF7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5328BDC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100,0</w:t>
            </w:r>
          </w:p>
          <w:p w14:paraId="5D05B72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3F4FA1D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38,5</w:t>
            </w:r>
          </w:p>
          <w:p w14:paraId="6D01878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0E5A98D" w14:textId="77777777">
        <w:trPr>
          <w:trHeight w:val="202"/>
        </w:trPr>
        <w:tc>
          <w:tcPr>
            <w:tcW w:w="4330" w:type="dxa"/>
            <w:tcBorders>
              <w:top w:val="single" w:sz="6" w:space="0" w:color="auto"/>
              <w:left w:val="single" w:sz="6" w:space="0" w:color="auto"/>
              <w:bottom w:val="single" w:sz="6" w:space="0" w:color="auto"/>
              <w:right w:val="single" w:sz="6" w:space="0" w:color="auto"/>
            </w:tcBorders>
          </w:tcPr>
          <w:p w14:paraId="79FBE41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 них:</w:t>
            </w:r>
          </w:p>
          <w:p w14:paraId="4F6A972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4736A28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606786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1144D87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930FBB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07345A1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71054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A5FF0BA" w14:textId="77777777">
        <w:trPr>
          <w:trHeight w:val="192"/>
        </w:trPr>
        <w:tc>
          <w:tcPr>
            <w:tcW w:w="4330" w:type="dxa"/>
            <w:tcBorders>
              <w:top w:val="single" w:sz="6" w:space="0" w:color="auto"/>
              <w:left w:val="single" w:sz="6" w:space="0" w:color="auto"/>
              <w:bottom w:val="single" w:sz="6" w:space="0" w:color="auto"/>
              <w:right w:val="single" w:sz="6" w:space="0" w:color="auto"/>
            </w:tcBorders>
          </w:tcPr>
          <w:p w14:paraId="15A657D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Технически исправных, простаивающих без резины</w:t>
            </w:r>
          </w:p>
          <w:p w14:paraId="2983E5B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4410497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1825</w:t>
            </w:r>
          </w:p>
          <w:p w14:paraId="3FDF259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6EB2A12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w:t>
            </w:r>
          </w:p>
          <w:p w14:paraId="55DDE41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3C84D8D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0,9</w:t>
            </w:r>
          </w:p>
          <w:p w14:paraId="4F7EB12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E4EBE66" w14:textId="77777777">
        <w:trPr>
          <w:trHeight w:val="192"/>
        </w:trPr>
        <w:tc>
          <w:tcPr>
            <w:tcW w:w="4330" w:type="dxa"/>
            <w:tcBorders>
              <w:top w:val="single" w:sz="6" w:space="0" w:color="auto"/>
              <w:left w:val="single" w:sz="6" w:space="0" w:color="auto"/>
              <w:bottom w:val="single" w:sz="6" w:space="0" w:color="auto"/>
              <w:right w:val="single" w:sz="6" w:space="0" w:color="auto"/>
            </w:tcBorders>
          </w:tcPr>
          <w:p w14:paraId="5DA2E03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текущем ремонте</w:t>
            </w:r>
          </w:p>
          <w:p w14:paraId="4C7FA2B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579274C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5676</w:t>
            </w:r>
          </w:p>
          <w:p w14:paraId="289649B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2896A20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7,5</w:t>
            </w:r>
          </w:p>
          <w:p w14:paraId="35D301B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7AF5D07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w:t>
            </w:r>
          </w:p>
          <w:p w14:paraId="434CA47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94B525C" w14:textId="77777777">
        <w:trPr>
          <w:trHeight w:val="202"/>
        </w:trPr>
        <w:tc>
          <w:tcPr>
            <w:tcW w:w="4330" w:type="dxa"/>
            <w:tcBorders>
              <w:top w:val="single" w:sz="6" w:space="0" w:color="auto"/>
              <w:left w:val="single" w:sz="6" w:space="0" w:color="auto"/>
              <w:bottom w:val="single" w:sz="6" w:space="0" w:color="auto"/>
              <w:right w:val="single" w:sz="6" w:space="0" w:color="auto"/>
            </w:tcBorders>
          </w:tcPr>
          <w:p w14:paraId="5DEB465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В среднем ремонте</w:t>
            </w:r>
          </w:p>
          <w:p w14:paraId="25F6580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769C48B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11165</w:t>
            </w:r>
          </w:p>
          <w:p w14:paraId="649E0FC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1ECF74B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14,8</w:t>
            </w:r>
          </w:p>
          <w:p w14:paraId="17BE931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051E7D3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5,7</w:t>
            </w:r>
          </w:p>
          <w:p w14:paraId="7DB5FA2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3AEE4EF" w14:textId="77777777">
        <w:trPr>
          <w:trHeight w:val="192"/>
        </w:trPr>
        <w:tc>
          <w:tcPr>
            <w:tcW w:w="4330" w:type="dxa"/>
            <w:tcBorders>
              <w:top w:val="single" w:sz="6" w:space="0" w:color="auto"/>
              <w:left w:val="single" w:sz="6" w:space="0" w:color="auto"/>
              <w:bottom w:val="single" w:sz="6" w:space="0" w:color="auto"/>
              <w:right w:val="single" w:sz="6" w:space="0" w:color="auto"/>
            </w:tcBorders>
          </w:tcPr>
          <w:p w14:paraId="69A36E4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капитальном ремонте</w:t>
            </w:r>
          </w:p>
          <w:p w14:paraId="3DCBB33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4AA697F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11109</w:t>
            </w:r>
          </w:p>
          <w:p w14:paraId="742018B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0E623E9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14,9</w:t>
            </w:r>
          </w:p>
          <w:p w14:paraId="6A06F8C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288385D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5,7</w:t>
            </w:r>
          </w:p>
          <w:p w14:paraId="58B1AFB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7A1EF68" w14:textId="77777777">
        <w:trPr>
          <w:trHeight w:val="192"/>
        </w:trPr>
        <w:tc>
          <w:tcPr>
            <w:tcW w:w="4330" w:type="dxa"/>
            <w:tcBorders>
              <w:top w:val="single" w:sz="6" w:space="0" w:color="auto"/>
              <w:left w:val="single" w:sz="6" w:space="0" w:color="auto"/>
              <w:bottom w:val="single" w:sz="6" w:space="0" w:color="auto"/>
              <w:right w:val="single" w:sz="6" w:space="0" w:color="auto"/>
            </w:tcBorders>
          </w:tcPr>
          <w:p w14:paraId="57917C6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ожидании текущего ремонта</w:t>
            </w:r>
          </w:p>
          <w:p w14:paraId="035ED55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682A19A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4898</w:t>
            </w:r>
          </w:p>
          <w:p w14:paraId="32261ED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7B79E06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6,5</w:t>
            </w:r>
          </w:p>
          <w:p w14:paraId="0DA3393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49D6023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w:t>
            </w:r>
          </w:p>
          <w:p w14:paraId="321FC3A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1A1F9CF" w14:textId="77777777">
        <w:trPr>
          <w:trHeight w:val="202"/>
        </w:trPr>
        <w:tc>
          <w:tcPr>
            <w:tcW w:w="4330" w:type="dxa"/>
            <w:tcBorders>
              <w:top w:val="single" w:sz="6" w:space="0" w:color="auto"/>
              <w:left w:val="single" w:sz="6" w:space="0" w:color="auto"/>
              <w:bottom w:val="single" w:sz="6" w:space="0" w:color="auto"/>
              <w:right w:val="single" w:sz="6" w:space="0" w:color="auto"/>
            </w:tcBorders>
          </w:tcPr>
          <w:p w14:paraId="6A6A276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ожидании среднего ремонта</w:t>
            </w:r>
          </w:p>
          <w:p w14:paraId="05772E6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483B186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10859</w:t>
            </w:r>
          </w:p>
          <w:p w14:paraId="1E24071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6731488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14,3</w:t>
            </w:r>
          </w:p>
          <w:p w14:paraId="68B9872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308341B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5,5</w:t>
            </w:r>
          </w:p>
          <w:p w14:paraId="367C825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DDEC2C3" w14:textId="77777777">
        <w:trPr>
          <w:trHeight w:val="192"/>
        </w:trPr>
        <w:tc>
          <w:tcPr>
            <w:tcW w:w="4330" w:type="dxa"/>
            <w:tcBorders>
              <w:top w:val="single" w:sz="6" w:space="0" w:color="auto"/>
              <w:left w:val="single" w:sz="6" w:space="0" w:color="auto"/>
              <w:bottom w:val="single" w:sz="6" w:space="0" w:color="auto"/>
              <w:right w:val="single" w:sz="6" w:space="0" w:color="auto"/>
            </w:tcBorders>
          </w:tcPr>
          <w:p w14:paraId="1DF953B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ожидании капитального ремонта</w:t>
            </w:r>
          </w:p>
          <w:p w14:paraId="010E55D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1DFF432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26952</w:t>
            </w:r>
          </w:p>
          <w:p w14:paraId="64C06EF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456E9EE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35,7</w:t>
            </w:r>
          </w:p>
          <w:p w14:paraId="3FD24AD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018D4AC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13,8</w:t>
            </w:r>
          </w:p>
          <w:p w14:paraId="2479C09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40ECD5D" w14:textId="77777777">
        <w:trPr>
          <w:trHeight w:val="221"/>
        </w:trPr>
        <w:tc>
          <w:tcPr>
            <w:tcW w:w="4330" w:type="dxa"/>
            <w:tcBorders>
              <w:top w:val="single" w:sz="6" w:space="0" w:color="auto"/>
              <w:left w:val="single" w:sz="6" w:space="0" w:color="auto"/>
              <w:bottom w:val="single" w:sz="6" w:space="0" w:color="auto"/>
              <w:right w:val="single" w:sz="6" w:space="0" w:color="auto"/>
            </w:tcBorders>
          </w:tcPr>
          <w:p w14:paraId="15E2B0F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Нерентабельных к восстановлению</w:t>
            </w:r>
          </w:p>
          <w:p w14:paraId="34AC724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56A84F7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2950</w:t>
            </w:r>
          </w:p>
          <w:p w14:paraId="11FCEA3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2EB0ED2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3,9</w:t>
            </w:r>
          </w:p>
          <w:p w14:paraId="548605F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349EF18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w:t>
            </w:r>
          </w:p>
          <w:p w14:paraId="50A48F0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6E944D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 75434 простаивающих автомобилей 70859 машин находились в ремонте или в ожидании ремонта.</w:t>
      </w:r>
    </w:p>
    <w:p w14:paraId="4E0401E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сравнении технического состояния автопарка на 1 января 1944 года с результатами пред</w:t>
      </w:r>
      <w:r w:rsidRPr="007224C3">
        <w:rPr>
          <w:rFonts w:ascii="Times New Roman" w:hAnsi="Times New Roman"/>
          <w:color w:val="000000" w:themeColor="text1"/>
          <w:sz w:val="16"/>
          <w:szCs w:val="16"/>
        </w:rPr>
        <w:softHyphen/>
        <w:t>ыдущих технических осмотров видно некоторое улучшение его, так, например:</w:t>
      </w:r>
    </w:p>
    <w:tbl>
      <w:tblPr>
        <w:tblW w:w="0" w:type="auto"/>
        <w:tblInd w:w="40" w:type="dxa"/>
        <w:tblLayout w:type="fixed"/>
        <w:tblCellMar>
          <w:left w:w="40" w:type="dxa"/>
          <w:right w:w="40" w:type="dxa"/>
        </w:tblCellMar>
        <w:tblLook w:val="0000" w:firstRow="0" w:lastRow="0" w:firstColumn="0" w:lastColumn="0" w:noHBand="0" w:noVBand="0"/>
      </w:tblPr>
      <w:tblGrid>
        <w:gridCol w:w="3312"/>
        <w:gridCol w:w="1037"/>
        <w:gridCol w:w="1046"/>
        <w:gridCol w:w="1046"/>
        <w:gridCol w:w="1046"/>
        <w:gridCol w:w="1037"/>
        <w:gridCol w:w="1066"/>
      </w:tblGrid>
      <w:tr w:rsidR="005106D0" w:rsidRPr="007224C3" w14:paraId="7391ECA5" w14:textId="77777777">
        <w:trPr>
          <w:trHeight w:val="192"/>
        </w:trPr>
        <w:tc>
          <w:tcPr>
            <w:tcW w:w="3312" w:type="dxa"/>
            <w:tcBorders>
              <w:top w:val="single" w:sz="6" w:space="0" w:color="auto"/>
              <w:left w:val="single" w:sz="6" w:space="0" w:color="auto"/>
              <w:bottom w:val="nil"/>
              <w:right w:val="single" w:sz="6" w:space="0" w:color="auto"/>
            </w:tcBorders>
          </w:tcPr>
          <w:p w14:paraId="0ACA653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Состояние автомобилей</w:t>
            </w:r>
          </w:p>
          <w:p w14:paraId="1199EED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83" w:type="dxa"/>
            <w:gridSpan w:val="2"/>
            <w:tcBorders>
              <w:top w:val="single" w:sz="6" w:space="0" w:color="auto"/>
              <w:left w:val="single" w:sz="6" w:space="0" w:color="auto"/>
              <w:bottom w:val="single" w:sz="6" w:space="0" w:color="auto"/>
              <w:right w:val="single" w:sz="6" w:space="0" w:color="auto"/>
            </w:tcBorders>
          </w:tcPr>
          <w:p w14:paraId="596B506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1.01.1943 г.</w:t>
            </w:r>
          </w:p>
          <w:p w14:paraId="04F7FA5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92" w:type="dxa"/>
            <w:gridSpan w:val="2"/>
            <w:tcBorders>
              <w:top w:val="single" w:sz="6" w:space="0" w:color="auto"/>
              <w:left w:val="single" w:sz="6" w:space="0" w:color="auto"/>
              <w:bottom w:val="single" w:sz="6" w:space="0" w:color="auto"/>
              <w:right w:val="single" w:sz="6" w:space="0" w:color="auto"/>
            </w:tcBorders>
          </w:tcPr>
          <w:p w14:paraId="384B0E8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1.08.1943 г.</w:t>
            </w:r>
          </w:p>
          <w:p w14:paraId="3278483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03" w:type="dxa"/>
            <w:gridSpan w:val="2"/>
            <w:tcBorders>
              <w:top w:val="single" w:sz="6" w:space="0" w:color="auto"/>
              <w:left w:val="single" w:sz="6" w:space="0" w:color="auto"/>
              <w:bottom w:val="single" w:sz="6" w:space="0" w:color="auto"/>
              <w:right w:val="single" w:sz="6" w:space="0" w:color="auto"/>
            </w:tcBorders>
          </w:tcPr>
          <w:p w14:paraId="4B7798F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1.01.1944 г.</w:t>
            </w:r>
          </w:p>
          <w:p w14:paraId="4634D31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AFC3329" w14:textId="77777777">
        <w:trPr>
          <w:trHeight w:val="336"/>
        </w:trPr>
        <w:tc>
          <w:tcPr>
            <w:tcW w:w="3312" w:type="dxa"/>
            <w:tcBorders>
              <w:top w:val="nil"/>
              <w:left w:val="single" w:sz="6" w:space="0" w:color="auto"/>
              <w:bottom w:val="single" w:sz="6" w:space="0" w:color="auto"/>
              <w:right w:val="single" w:sz="6" w:space="0" w:color="auto"/>
            </w:tcBorders>
          </w:tcPr>
          <w:p w14:paraId="40305BF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A46086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0BBD04D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Количество автомобилей</w:t>
            </w:r>
          </w:p>
          <w:p w14:paraId="6D6EEF5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3E0AA8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 к осмо</w:t>
            </w:r>
            <w:r w:rsidRPr="007224C3">
              <w:rPr>
                <w:rFonts w:ascii="Times New Roman" w:hAnsi="Times New Roman"/>
                <w:color w:val="000000" w:themeColor="text1"/>
                <w:sz w:val="16"/>
                <w:szCs w:val="16"/>
              </w:rPr>
              <w:softHyphen/>
              <w:t>тренному парку</w:t>
            </w:r>
          </w:p>
          <w:p w14:paraId="6CFAF9A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34831C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Количество автомобилей</w:t>
            </w:r>
          </w:p>
          <w:p w14:paraId="33AA0BB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D911BE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 к осмо</w:t>
            </w:r>
            <w:r w:rsidRPr="007224C3">
              <w:rPr>
                <w:rFonts w:ascii="Times New Roman" w:hAnsi="Times New Roman"/>
                <w:color w:val="000000" w:themeColor="text1"/>
                <w:sz w:val="16"/>
                <w:szCs w:val="16"/>
              </w:rPr>
              <w:softHyphen/>
              <w:t>тренному парку</w:t>
            </w:r>
          </w:p>
          <w:p w14:paraId="62E8BA1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15372B1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Количество автомобилей</w:t>
            </w:r>
          </w:p>
          <w:p w14:paraId="007DEAE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79AA557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 к осмо</w:t>
            </w:r>
            <w:r w:rsidRPr="007224C3">
              <w:rPr>
                <w:rFonts w:ascii="Times New Roman" w:hAnsi="Times New Roman"/>
                <w:color w:val="000000" w:themeColor="text1"/>
                <w:sz w:val="16"/>
                <w:szCs w:val="16"/>
              </w:rPr>
              <w:softHyphen/>
              <w:t>тренному парку</w:t>
            </w:r>
          </w:p>
          <w:p w14:paraId="169CDDF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26B72B2" w14:textId="77777777">
        <w:trPr>
          <w:trHeight w:val="202"/>
        </w:trPr>
        <w:tc>
          <w:tcPr>
            <w:tcW w:w="3312" w:type="dxa"/>
            <w:tcBorders>
              <w:top w:val="single" w:sz="6" w:space="0" w:color="auto"/>
              <w:left w:val="single" w:sz="6" w:space="0" w:color="auto"/>
              <w:bottom w:val="single" w:sz="6" w:space="0" w:color="auto"/>
              <w:right w:val="single" w:sz="6" w:space="0" w:color="auto"/>
            </w:tcBorders>
          </w:tcPr>
          <w:p w14:paraId="58436AF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Технически исправных на ходу</w:t>
            </w:r>
          </w:p>
          <w:p w14:paraId="2D6C1D2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27A6AE8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65323</w:t>
            </w:r>
          </w:p>
          <w:p w14:paraId="4081DFE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176CA7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31,8</w:t>
            </w:r>
          </w:p>
          <w:p w14:paraId="5541867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DCFE07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74300</w:t>
            </w:r>
          </w:p>
          <w:p w14:paraId="3AE3044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22809D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38,0</w:t>
            </w:r>
          </w:p>
          <w:p w14:paraId="450E1BC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494B79C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83402</w:t>
            </w:r>
          </w:p>
          <w:p w14:paraId="6F8AB54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37587E2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42,6</w:t>
            </w:r>
          </w:p>
          <w:p w14:paraId="58EC0AE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B32882E" w14:textId="77777777">
        <w:trPr>
          <w:trHeight w:val="394"/>
        </w:trPr>
        <w:tc>
          <w:tcPr>
            <w:tcW w:w="3312" w:type="dxa"/>
            <w:tcBorders>
              <w:top w:val="single" w:sz="6" w:space="0" w:color="auto"/>
              <w:left w:val="single" w:sz="6" w:space="0" w:color="auto"/>
              <w:bottom w:val="single" w:sz="6" w:space="0" w:color="auto"/>
              <w:right w:val="single" w:sz="6" w:space="0" w:color="auto"/>
            </w:tcBorders>
          </w:tcPr>
          <w:p w14:paraId="1F1BFFA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Технически исправных простаивающих без резины</w:t>
            </w:r>
          </w:p>
          <w:p w14:paraId="102AFC7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5C250CF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7098</w:t>
            </w:r>
          </w:p>
          <w:p w14:paraId="146E68F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ABDCFC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3,4</w:t>
            </w:r>
          </w:p>
          <w:p w14:paraId="0ED7FAE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EC136F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2778</w:t>
            </w:r>
          </w:p>
          <w:p w14:paraId="2565E99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1BFDDA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w:t>
            </w:r>
          </w:p>
          <w:p w14:paraId="48A6997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3A5B6A7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1825</w:t>
            </w:r>
          </w:p>
          <w:p w14:paraId="60101C1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6512756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0,9</w:t>
            </w:r>
          </w:p>
          <w:p w14:paraId="102F8CA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8B51B2D" w14:textId="77777777">
        <w:trPr>
          <w:trHeight w:val="192"/>
        </w:trPr>
        <w:tc>
          <w:tcPr>
            <w:tcW w:w="3312" w:type="dxa"/>
            <w:tcBorders>
              <w:top w:val="single" w:sz="6" w:space="0" w:color="auto"/>
              <w:left w:val="single" w:sz="6" w:space="0" w:color="auto"/>
              <w:bottom w:val="single" w:sz="6" w:space="0" w:color="auto"/>
              <w:right w:val="single" w:sz="6" w:space="0" w:color="auto"/>
            </w:tcBorders>
          </w:tcPr>
          <w:p w14:paraId="2C9F0D1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Ходовых машин, требующих ремонта</w:t>
            </w:r>
          </w:p>
          <w:p w14:paraId="6CC56CD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6CEE47C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39674</w:t>
            </w:r>
          </w:p>
          <w:p w14:paraId="0C439F7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94A594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w:t>
            </w:r>
          </w:p>
          <w:p w14:paraId="54509F1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3F4E19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39439</w:t>
            </w:r>
          </w:p>
          <w:p w14:paraId="547F57B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453E21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20,2</w:t>
            </w:r>
          </w:p>
          <w:p w14:paraId="111650F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202C28A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37090</w:t>
            </w:r>
          </w:p>
          <w:p w14:paraId="59209F9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5396D5D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18,9</w:t>
            </w:r>
          </w:p>
          <w:p w14:paraId="5C969A9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7717456" w14:textId="77777777">
        <w:trPr>
          <w:trHeight w:val="202"/>
        </w:trPr>
        <w:tc>
          <w:tcPr>
            <w:tcW w:w="3312" w:type="dxa"/>
            <w:tcBorders>
              <w:top w:val="single" w:sz="6" w:space="0" w:color="auto"/>
              <w:left w:val="single" w:sz="6" w:space="0" w:color="auto"/>
              <w:bottom w:val="single" w:sz="6" w:space="0" w:color="auto"/>
              <w:right w:val="single" w:sz="6" w:space="0" w:color="auto"/>
            </w:tcBorders>
          </w:tcPr>
          <w:p w14:paraId="76E0470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Автомашин, находящихся в ремонте</w:t>
            </w:r>
          </w:p>
          <w:p w14:paraId="1512459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79048E8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29455</w:t>
            </w:r>
          </w:p>
          <w:p w14:paraId="3EDD386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7CA5D7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14,3</w:t>
            </w:r>
          </w:p>
          <w:p w14:paraId="3970EDC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C5EF10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28473</w:t>
            </w:r>
          </w:p>
          <w:p w14:paraId="2151EF3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F53D27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14,6</w:t>
            </w:r>
          </w:p>
          <w:p w14:paraId="2DBF3C1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1C70EBB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27950</w:t>
            </w:r>
          </w:p>
          <w:p w14:paraId="330E94A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5169C31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14,3</w:t>
            </w:r>
          </w:p>
          <w:p w14:paraId="616DAC2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917794E" w14:textId="77777777">
        <w:trPr>
          <w:trHeight w:val="192"/>
        </w:trPr>
        <w:tc>
          <w:tcPr>
            <w:tcW w:w="3312" w:type="dxa"/>
            <w:tcBorders>
              <w:top w:val="single" w:sz="6" w:space="0" w:color="auto"/>
              <w:left w:val="single" w:sz="6" w:space="0" w:color="auto"/>
              <w:bottom w:val="single" w:sz="6" w:space="0" w:color="auto"/>
              <w:right w:val="single" w:sz="6" w:space="0" w:color="auto"/>
            </w:tcBorders>
          </w:tcPr>
          <w:p w14:paraId="6688D4D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Автомашин в ожидании ремонта</w:t>
            </w:r>
          </w:p>
          <w:p w14:paraId="2A5B296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064F5B3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55782</w:t>
            </w:r>
          </w:p>
          <w:p w14:paraId="2D69F7F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55A62B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27,2</w:t>
            </w:r>
          </w:p>
          <w:p w14:paraId="078927B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3C4BA1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44316</w:t>
            </w:r>
          </w:p>
          <w:p w14:paraId="1D2504A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030B99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22,8</w:t>
            </w:r>
          </w:p>
          <w:p w14:paraId="584C827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0A34DF7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42709</w:t>
            </w:r>
          </w:p>
          <w:p w14:paraId="296D13A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58987F9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21,8</w:t>
            </w:r>
          </w:p>
          <w:p w14:paraId="6D643A2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19BCC1C" w14:textId="77777777">
        <w:trPr>
          <w:trHeight w:val="413"/>
        </w:trPr>
        <w:tc>
          <w:tcPr>
            <w:tcW w:w="3312" w:type="dxa"/>
            <w:tcBorders>
              <w:top w:val="single" w:sz="6" w:space="0" w:color="auto"/>
              <w:left w:val="single" w:sz="6" w:space="0" w:color="auto"/>
              <w:bottom w:val="single" w:sz="6" w:space="0" w:color="auto"/>
              <w:right w:val="single" w:sz="6" w:space="0" w:color="auto"/>
            </w:tcBorders>
          </w:tcPr>
          <w:p w14:paraId="5495737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Автомашин нерентабельных к восстанов</w:t>
            </w:r>
            <w:r w:rsidRPr="007224C3">
              <w:rPr>
                <w:rFonts w:ascii="Times New Roman" w:hAnsi="Times New Roman"/>
                <w:color w:val="000000" w:themeColor="text1"/>
                <w:sz w:val="16"/>
                <w:szCs w:val="16"/>
              </w:rPr>
              <w:softHyphen/>
              <w:t>лению</w:t>
            </w:r>
          </w:p>
          <w:p w14:paraId="047C473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2EC4194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8034</w:t>
            </w:r>
          </w:p>
          <w:p w14:paraId="3409FFD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EA8FFD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3,9</w:t>
            </w:r>
          </w:p>
          <w:p w14:paraId="346CF84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37CEBB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5971</w:t>
            </w:r>
          </w:p>
          <w:p w14:paraId="7A6ADED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0F3830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w:t>
            </w:r>
          </w:p>
          <w:p w14:paraId="48F72BF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4D5E7D0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2950</w:t>
            </w:r>
          </w:p>
          <w:p w14:paraId="3CEEFDE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3790A0D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w:t>
            </w:r>
          </w:p>
          <w:p w14:paraId="42779BA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0F2119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Сопоставленные в таблице данные свидетельствуют об увеличении числа ходовых, технически исправных автомобилей. Так, на 1 января 1943 года, они составляли 31,8% наличия автопарка, на 1 января 1944 года 42,6%, по данным же на 1 мая 1942 года их было лишь 24,9%.</w:t>
      </w:r>
    </w:p>
    <w:p w14:paraId="719A536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Растущая потребность в автотранспорте заставила руководителей многих предприятий серьез</w:t>
      </w:r>
      <w:r w:rsidRPr="007224C3">
        <w:rPr>
          <w:rFonts w:ascii="Times New Roman" w:hAnsi="Times New Roman"/>
          <w:color w:val="000000" w:themeColor="text1"/>
          <w:sz w:val="16"/>
          <w:szCs w:val="16"/>
        </w:rPr>
        <w:softHyphen/>
        <w:t>нее заняться ремонтом автомобилей, ранее длительное время простаивающих в ожидании ремонта, вследствие чего число таких машин на 1 января 1944 года снизилось.</w:t>
      </w:r>
    </w:p>
    <w:p w14:paraId="487F8C6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Количество технически исправных автомобилей, простаивающих из-за отсутствия резины, сокращается. Так, на 1 мая 1942 года простаивало без резины 4,4% автомашин, на 1 января 1943 года — 3,4%, на 1 января 1944 года их осталось 0,9%.</w:t>
      </w:r>
    </w:p>
    <w:p w14:paraId="60397B5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Наряду с общим улучшением технического состояния автопарка, в ряде Наркоматов подведом</w:t>
      </w:r>
      <w:r w:rsidRPr="007224C3">
        <w:rPr>
          <w:rFonts w:ascii="Times New Roman" w:hAnsi="Times New Roman"/>
          <w:color w:val="000000" w:themeColor="text1"/>
          <w:sz w:val="16"/>
          <w:szCs w:val="16"/>
        </w:rPr>
        <w:softHyphen/>
        <w:t>ственный им автотранспорт продолжает оставаться на крайне низком уровне. Например:</w:t>
      </w:r>
    </w:p>
    <w:tbl>
      <w:tblPr>
        <w:tblW w:w="0" w:type="auto"/>
        <w:tblInd w:w="40" w:type="dxa"/>
        <w:tblLayout w:type="fixed"/>
        <w:tblCellMar>
          <w:left w:w="40" w:type="dxa"/>
          <w:right w:w="40" w:type="dxa"/>
        </w:tblCellMar>
        <w:tblLook w:val="0000" w:firstRow="0" w:lastRow="0" w:firstColumn="0" w:lastColumn="0" w:noHBand="0" w:noVBand="0"/>
      </w:tblPr>
      <w:tblGrid>
        <w:gridCol w:w="3917"/>
        <w:gridCol w:w="9"/>
        <w:gridCol w:w="1085"/>
        <w:gridCol w:w="1008"/>
        <w:gridCol w:w="10"/>
        <w:gridCol w:w="758"/>
        <w:gridCol w:w="10"/>
        <w:gridCol w:w="1017"/>
        <w:gridCol w:w="20"/>
        <w:gridCol w:w="1113"/>
        <w:gridCol w:w="39"/>
      </w:tblGrid>
      <w:tr w:rsidR="005106D0" w:rsidRPr="007224C3" w14:paraId="3EB02FAC" w14:textId="77777777">
        <w:trPr>
          <w:trHeight w:val="346"/>
        </w:trPr>
        <w:tc>
          <w:tcPr>
            <w:tcW w:w="3926" w:type="dxa"/>
            <w:gridSpan w:val="2"/>
            <w:tcBorders>
              <w:top w:val="single" w:sz="6" w:space="0" w:color="auto"/>
              <w:left w:val="single" w:sz="6" w:space="0" w:color="auto"/>
              <w:bottom w:val="nil"/>
              <w:right w:val="single" w:sz="6" w:space="0" w:color="auto"/>
            </w:tcBorders>
          </w:tcPr>
          <w:p w14:paraId="183CCBF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Наименование Наркоматов и ведомств</w:t>
            </w:r>
          </w:p>
          <w:p w14:paraId="6F6967A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nil"/>
              <w:right w:val="single" w:sz="6" w:space="0" w:color="auto"/>
            </w:tcBorders>
          </w:tcPr>
          <w:p w14:paraId="39BAFA0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Количество проверенных автомобилей</w:t>
            </w:r>
          </w:p>
          <w:p w14:paraId="55163EB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86" w:type="dxa"/>
            <w:gridSpan w:val="4"/>
            <w:tcBorders>
              <w:top w:val="single" w:sz="6" w:space="0" w:color="auto"/>
              <w:left w:val="single" w:sz="6" w:space="0" w:color="auto"/>
              <w:bottom w:val="single" w:sz="6" w:space="0" w:color="auto"/>
              <w:right w:val="single" w:sz="6" w:space="0" w:color="auto"/>
            </w:tcBorders>
          </w:tcPr>
          <w:p w14:paraId="51702B4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 них на ходу</w:t>
            </w:r>
          </w:p>
          <w:p w14:paraId="5739ED6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gridSpan w:val="4"/>
            <w:tcBorders>
              <w:top w:val="single" w:sz="6" w:space="0" w:color="auto"/>
              <w:left w:val="single" w:sz="6" w:space="0" w:color="auto"/>
              <w:bottom w:val="single" w:sz="6" w:space="0" w:color="auto"/>
              <w:right w:val="single" w:sz="6" w:space="0" w:color="auto"/>
            </w:tcBorders>
          </w:tcPr>
          <w:p w14:paraId="64549C3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 числа ходовых исправных автомобилей</w:t>
            </w:r>
          </w:p>
          <w:p w14:paraId="1CFA057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ED47EB4" w14:textId="77777777">
        <w:trPr>
          <w:trHeight w:val="509"/>
        </w:trPr>
        <w:tc>
          <w:tcPr>
            <w:tcW w:w="3926" w:type="dxa"/>
            <w:gridSpan w:val="2"/>
            <w:tcBorders>
              <w:top w:val="nil"/>
              <w:left w:val="single" w:sz="6" w:space="0" w:color="auto"/>
              <w:bottom w:val="single" w:sz="6" w:space="0" w:color="auto"/>
              <w:right w:val="single" w:sz="6" w:space="0" w:color="auto"/>
            </w:tcBorders>
          </w:tcPr>
          <w:p w14:paraId="0821AEF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F42905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nil"/>
              <w:left w:val="single" w:sz="6" w:space="0" w:color="auto"/>
              <w:bottom w:val="single" w:sz="6" w:space="0" w:color="auto"/>
              <w:right w:val="single" w:sz="6" w:space="0" w:color="auto"/>
            </w:tcBorders>
          </w:tcPr>
          <w:p w14:paraId="07A7A26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50D687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018" w:type="dxa"/>
            <w:gridSpan w:val="2"/>
            <w:tcBorders>
              <w:top w:val="single" w:sz="6" w:space="0" w:color="auto"/>
              <w:left w:val="single" w:sz="6" w:space="0" w:color="auto"/>
              <w:bottom w:val="single" w:sz="6" w:space="0" w:color="auto"/>
              <w:right w:val="single" w:sz="6" w:space="0" w:color="auto"/>
            </w:tcBorders>
          </w:tcPr>
          <w:p w14:paraId="2E6D4F0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абсолютное количество</w:t>
            </w:r>
          </w:p>
          <w:p w14:paraId="327EC44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top w:val="single" w:sz="6" w:space="0" w:color="auto"/>
              <w:left w:val="single" w:sz="6" w:space="0" w:color="auto"/>
              <w:bottom w:val="single" w:sz="6" w:space="0" w:color="auto"/>
              <w:right w:val="single" w:sz="6" w:space="0" w:color="auto"/>
            </w:tcBorders>
          </w:tcPr>
          <w:p w14:paraId="443C726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w:t>
            </w:r>
          </w:p>
          <w:p w14:paraId="5DFD52A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gridSpan w:val="2"/>
            <w:tcBorders>
              <w:top w:val="single" w:sz="6" w:space="0" w:color="auto"/>
              <w:left w:val="single" w:sz="6" w:space="0" w:color="auto"/>
              <w:bottom w:val="single" w:sz="6" w:space="0" w:color="auto"/>
              <w:right w:val="single" w:sz="6" w:space="0" w:color="auto"/>
            </w:tcBorders>
          </w:tcPr>
          <w:p w14:paraId="5A59835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абсолютное количество</w:t>
            </w:r>
          </w:p>
          <w:p w14:paraId="3710D8A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gridSpan w:val="2"/>
            <w:tcBorders>
              <w:top w:val="single" w:sz="6" w:space="0" w:color="auto"/>
              <w:left w:val="single" w:sz="6" w:space="0" w:color="auto"/>
              <w:bottom w:val="single" w:sz="6" w:space="0" w:color="auto"/>
              <w:right w:val="single" w:sz="6" w:space="0" w:color="auto"/>
            </w:tcBorders>
          </w:tcPr>
          <w:p w14:paraId="1C53768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 ко всему осмотренному парку</w:t>
            </w:r>
          </w:p>
          <w:p w14:paraId="48F6CAF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CD8DB66" w14:textId="77777777">
        <w:trPr>
          <w:trHeight w:val="192"/>
        </w:trPr>
        <w:tc>
          <w:tcPr>
            <w:tcW w:w="3926" w:type="dxa"/>
            <w:gridSpan w:val="2"/>
            <w:tcBorders>
              <w:top w:val="single" w:sz="6" w:space="0" w:color="auto"/>
              <w:left w:val="single" w:sz="6" w:space="0" w:color="auto"/>
              <w:bottom w:val="single" w:sz="6" w:space="0" w:color="auto"/>
              <w:right w:val="single" w:sz="6" w:space="0" w:color="auto"/>
            </w:tcBorders>
          </w:tcPr>
          <w:p w14:paraId="790DA29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Наркомавтотранспорта Таджикской ССР</w:t>
            </w:r>
          </w:p>
          <w:p w14:paraId="1B238DF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E091F9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503</w:t>
            </w:r>
          </w:p>
          <w:p w14:paraId="7F0E5AF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gridSpan w:val="2"/>
            <w:tcBorders>
              <w:top w:val="single" w:sz="6" w:space="0" w:color="auto"/>
              <w:left w:val="single" w:sz="6" w:space="0" w:color="auto"/>
              <w:bottom w:val="single" w:sz="6" w:space="0" w:color="auto"/>
              <w:right w:val="single" w:sz="6" w:space="0" w:color="auto"/>
            </w:tcBorders>
          </w:tcPr>
          <w:p w14:paraId="64C4B7E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94</w:t>
            </w:r>
          </w:p>
          <w:p w14:paraId="69CF203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top w:val="single" w:sz="6" w:space="0" w:color="auto"/>
              <w:left w:val="single" w:sz="6" w:space="0" w:color="auto"/>
              <w:bottom w:val="single" w:sz="6" w:space="0" w:color="auto"/>
              <w:right w:val="single" w:sz="6" w:space="0" w:color="auto"/>
            </w:tcBorders>
          </w:tcPr>
          <w:p w14:paraId="4A13798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18,6</w:t>
            </w:r>
          </w:p>
          <w:p w14:paraId="682B106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gridSpan w:val="2"/>
            <w:tcBorders>
              <w:top w:val="single" w:sz="6" w:space="0" w:color="auto"/>
              <w:left w:val="single" w:sz="6" w:space="0" w:color="auto"/>
              <w:bottom w:val="single" w:sz="6" w:space="0" w:color="auto"/>
              <w:right w:val="single" w:sz="6" w:space="0" w:color="auto"/>
            </w:tcBorders>
          </w:tcPr>
          <w:p w14:paraId="57222F9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79</w:t>
            </w:r>
          </w:p>
          <w:p w14:paraId="55898A3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gridSpan w:val="2"/>
            <w:tcBorders>
              <w:top w:val="single" w:sz="6" w:space="0" w:color="auto"/>
              <w:left w:val="single" w:sz="6" w:space="0" w:color="auto"/>
              <w:bottom w:val="single" w:sz="6" w:space="0" w:color="auto"/>
              <w:right w:val="single" w:sz="6" w:space="0" w:color="auto"/>
            </w:tcBorders>
          </w:tcPr>
          <w:p w14:paraId="1887C38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15,7</w:t>
            </w:r>
          </w:p>
          <w:p w14:paraId="2B642B2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9DA20C4" w14:textId="77777777">
        <w:trPr>
          <w:trHeight w:val="192"/>
        </w:trPr>
        <w:tc>
          <w:tcPr>
            <w:tcW w:w="3926" w:type="dxa"/>
            <w:gridSpan w:val="2"/>
            <w:tcBorders>
              <w:top w:val="single" w:sz="6" w:space="0" w:color="auto"/>
              <w:left w:val="single" w:sz="6" w:space="0" w:color="auto"/>
              <w:bottom w:val="single" w:sz="6" w:space="0" w:color="auto"/>
              <w:right w:val="single" w:sz="6" w:space="0" w:color="auto"/>
            </w:tcBorders>
          </w:tcPr>
          <w:p w14:paraId="6665BC8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Наркомхоз Узбекской ССР</w:t>
            </w:r>
          </w:p>
          <w:p w14:paraId="67FE9D7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DED072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99</w:t>
            </w:r>
          </w:p>
          <w:p w14:paraId="793819D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gridSpan w:val="2"/>
            <w:tcBorders>
              <w:top w:val="single" w:sz="6" w:space="0" w:color="auto"/>
              <w:left w:val="single" w:sz="6" w:space="0" w:color="auto"/>
              <w:bottom w:val="single" w:sz="6" w:space="0" w:color="auto"/>
              <w:right w:val="single" w:sz="6" w:space="0" w:color="auto"/>
            </w:tcBorders>
          </w:tcPr>
          <w:p w14:paraId="7845240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w:t>
            </w:r>
          </w:p>
          <w:p w14:paraId="0F84EEC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top w:val="single" w:sz="6" w:space="0" w:color="auto"/>
              <w:left w:val="single" w:sz="6" w:space="0" w:color="auto"/>
              <w:bottom w:val="single" w:sz="6" w:space="0" w:color="auto"/>
              <w:right w:val="single" w:sz="6" w:space="0" w:color="auto"/>
            </w:tcBorders>
          </w:tcPr>
          <w:p w14:paraId="79C9ED7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28,2</w:t>
            </w:r>
          </w:p>
          <w:p w14:paraId="52A8A50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gridSpan w:val="2"/>
            <w:tcBorders>
              <w:top w:val="single" w:sz="6" w:space="0" w:color="auto"/>
              <w:left w:val="single" w:sz="6" w:space="0" w:color="auto"/>
              <w:bottom w:val="single" w:sz="6" w:space="0" w:color="auto"/>
              <w:right w:val="single" w:sz="6" w:space="0" w:color="auto"/>
            </w:tcBorders>
          </w:tcPr>
          <w:p w14:paraId="2AD00ED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w:t>
            </w:r>
          </w:p>
          <w:p w14:paraId="0AD5BC9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gridSpan w:val="2"/>
            <w:tcBorders>
              <w:top w:val="single" w:sz="6" w:space="0" w:color="auto"/>
              <w:left w:val="single" w:sz="6" w:space="0" w:color="auto"/>
              <w:bottom w:val="single" w:sz="6" w:space="0" w:color="auto"/>
              <w:right w:val="single" w:sz="6" w:space="0" w:color="auto"/>
            </w:tcBorders>
          </w:tcPr>
          <w:p w14:paraId="44B019E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18,1</w:t>
            </w:r>
          </w:p>
          <w:p w14:paraId="32DED69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7FF6907" w14:textId="77777777">
        <w:trPr>
          <w:trHeight w:val="202"/>
        </w:trPr>
        <w:tc>
          <w:tcPr>
            <w:tcW w:w="3926" w:type="dxa"/>
            <w:gridSpan w:val="2"/>
            <w:tcBorders>
              <w:top w:val="single" w:sz="6" w:space="0" w:color="auto"/>
              <w:left w:val="single" w:sz="6" w:space="0" w:color="auto"/>
              <w:bottom w:val="single" w:sz="6" w:space="0" w:color="auto"/>
              <w:right w:val="single" w:sz="6" w:space="0" w:color="auto"/>
            </w:tcBorders>
          </w:tcPr>
          <w:p w14:paraId="3027B98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Колхозы</w:t>
            </w:r>
          </w:p>
          <w:p w14:paraId="7F04231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5CC3F18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6837</w:t>
            </w:r>
          </w:p>
          <w:p w14:paraId="64162B7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gridSpan w:val="2"/>
            <w:tcBorders>
              <w:top w:val="single" w:sz="6" w:space="0" w:color="auto"/>
              <w:left w:val="single" w:sz="6" w:space="0" w:color="auto"/>
              <w:bottom w:val="single" w:sz="6" w:space="0" w:color="auto"/>
              <w:right w:val="single" w:sz="6" w:space="0" w:color="auto"/>
            </w:tcBorders>
          </w:tcPr>
          <w:p w14:paraId="418DBF5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2300</w:t>
            </w:r>
          </w:p>
          <w:p w14:paraId="75F1F09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top w:val="single" w:sz="6" w:space="0" w:color="auto"/>
              <w:left w:val="single" w:sz="6" w:space="0" w:color="auto"/>
              <w:bottom w:val="single" w:sz="6" w:space="0" w:color="auto"/>
              <w:right w:val="single" w:sz="6" w:space="0" w:color="auto"/>
            </w:tcBorders>
          </w:tcPr>
          <w:p w14:paraId="5DA7294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33,6</w:t>
            </w:r>
          </w:p>
          <w:p w14:paraId="70E7FFA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gridSpan w:val="2"/>
            <w:tcBorders>
              <w:top w:val="single" w:sz="6" w:space="0" w:color="auto"/>
              <w:left w:val="single" w:sz="6" w:space="0" w:color="auto"/>
              <w:bottom w:val="single" w:sz="6" w:space="0" w:color="auto"/>
              <w:right w:val="single" w:sz="6" w:space="0" w:color="auto"/>
            </w:tcBorders>
          </w:tcPr>
          <w:p w14:paraId="0F48A37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1083</w:t>
            </w:r>
          </w:p>
          <w:p w14:paraId="70B3930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gridSpan w:val="2"/>
            <w:tcBorders>
              <w:top w:val="single" w:sz="6" w:space="0" w:color="auto"/>
              <w:left w:val="single" w:sz="6" w:space="0" w:color="auto"/>
              <w:bottom w:val="single" w:sz="6" w:space="0" w:color="auto"/>
              <w:right w:val="single" w:sz="6" w:space="0" w:color="auto"/>
            </w:tcBorders>
          </w:tcPr>
          <w:p w14:paraId="341D218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15,8</w:t>
            </w:r>
          </w:p>
          <w:p w14:paraId="5C9B2C4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456B67E" w14:textId="77777777">
        <w:trPr>
          <w:trHeight w:val="211"/>
        </w:trPr>
        <w:tc>
          <w:tcPr>
            <w:tcW w:w="3926" w:type="dxa"/>
            <w:gridSpan w:val="2"/>
            <w:tcBorders>
              <w:top w:val="single" w:sz="6" w:space="0" w:color="auto"/>
              <w:left w:val="single" w:sz="6" w:space="0" w:color="auto"/>
              <w:bottom w:val="single" w:sz="6" w:space="0" w:color="auto"/>
              <w:right w:val="single" w:sz="6" w:space="0" w:color="auto"/>
            </w:tcBorders>
          </w:tcPr>
          <w:p w14:paraId="2C6D105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Наркомавтотранспорта Казахской ССР</w:t>
            </w:r>
          </w:p>
          <w:p w14:paraId="6F1837B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F1F239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899</w:t>
            </w:r>
          </w:p>
          <w:p w14:paraId="38A5B1F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gridSpan w:val="2"/>
            <w:tcBorders>
              <w:top w:val="single" w:sz="6" w:space="0" w:color="auto"/>
              <w:left w:val="single" w:sz="6" w:space="0" w:color="auto"/>
              <w:bottom w:val="single" w:sz="6" w:space="0" w:color="auto"/>
              <w:right w:val="single" w:sz="6" w:space="0" w:color="auto"/>
            </w:tcBorders>
          </w:tcPr>
          <w:p w14:paraId="47A96DE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352</w:t>
            </w:r>
          </w:p>
          <w:p w14:paraId="49EB207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top w:val="single" w:sz="6" w:space="0" w:color="auto"/>
              <w:left w:val="single" w:sz="6" w:space="0" w:color="auto"/>
              <w:bottom w:val="single" w:sz="6" w:space="0" w:color="auto"/>
              <w:right w:val="single" w:sz="6" w:space="0" w:color="auto"/>
            </w:tcBorders>
          </w:tcPr>
          <w:p w14:paraId="5C489F3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39,1</w:t>
            </w:r>
          </w:p>
          <w:p w14:paraId="6910C6B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gridSpan w:val="2"/>
            <w:tcBorders>
              <w:top w:val="single" w:sz="6" w:space="0" w:color="auto"/>
              <w:left w:val="single" w:sz="6" w:space="0" w:color="auto"/>
              <w:bottom w:val="single" w:sz="6" w:space="0" w:color="auto"/>
              <w:right w:val="single" w:sz="6" w:space="0" w:color="auto"/>
            </w:tcBorders>
          </w:tcPr>
          <w:p w14:paraId="43A51E9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200</w:t>
            </w:r>
          </w:p>
          <w:p w14:paraId="30948B0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gridSpan w:val="2"/>
            <w:tcBorders>
              <w:top w:val="single" w:sz="6" w:space="0" w:color="auto"/>
              <w:left w:val="single" w:sz="6" w:space="0" w:color="auto"/>
              <w:bottom w:val="single" w:sz="6" w:space="0" w:color="auto"/>
              <w:right w:val="single" w:sz="6" w:space="0" w:color="auto"/>
            </w:tcBorders>
          </w:tcPr>
          <w:p w14:paraId="4DA79B5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22,2</w:t>
            </w:r>
          </w:p>
          <w:p w14:paraId="31FFFB4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AB26693" w14:textId="77777777">
        <w:trPr>
          <w:gridAfter w:val="1"/>
          <w:wAfter w:w="39" w:type="dxa"/>
          <w:trHeight w:val="182"/>
        </w:trPr>
        <w:tc>
          <w:tcPr>
            <w:tcW w:w="3917" w:type="dxa"/>
            <w:tcBorders>
              <w:top w:val="single" w:sz="6" w:space="0" w:color="auto"/>
              <w:left w:val="single" w:sz="6" w:space="0" w:color="auto"/>
              <w:bottom w:val="single" w:sz="6" w:space="0" w:color="auto"/>
              <w:right w:val="single" w:sz="6" w:space="0" w:color="auto"/>
            </w:tcBorders>
          </w:tcPr>
          <w:p w14:paraId="4DA3DD5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Центросоюз</w:t>
            </w:r>
          </w:p>
          <w:p w14:paraId="226FE73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gridSpan w:val="2"/>
            <w:tcBorders>
              <w:top w:val="single" w:sz="6" w:space="0" w:color="auto"/>
              <w:left w:val="single" w:sz="6" w:space="0" w:color="auto"/>
              <w:bottom w:val="single" w:sz="6" w:space="0" w:color="auto"/>
              <w:right w:val="single" w:sz="6" w:space="0" w:color="auto"/>
            </w:tcBorders>
          </w:tcPr>
          <w:p w14:paraId="3A0700A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2298</w:t>
            </w:r>
          </w:p>
          <w:p w14:paraId="39B1CDC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7531335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916</w:t>
            </w:r>
          </w:p>
          <w:p w14:paraId="7B8AC8A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top w:val="single" w:sz="6" w:space="0" w:color="auto"/>
              <w:left w:val="single" w:sz="6" w:space="0" w:color="auto"/>
              <w:bottom w:val="single" w:sz="6" w:space="0" w:color="auto"/>
              <w:right w:val="single" w:sz="6" w:space="0" w:color="auto"/>
            </w:tcBorders>
          </w:tcPr>
          <w:p w14:paraId="1641604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39,8</w:t>
            </w:r>
          </w:p>
          <w:p w14:paraId="6518408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gridSpan w:val="2"/>
            <w:tcBorders>
              <w:top w:val="single" w:sz="6" w:space="0" w:color="auto"/>
              <w:left w:val="single" w:sz="6" w:space="0" w:color="auto"/>
              <w:bottom w:val="single" w:sz="6" w:space="0" w:color="auto"/>
              <w:right w:val="single" w:sz="6" w:space="0" w:color="auto"/>
            </w:tcBorders>
          </w:tcPr>
          <w:p w14:paraId="6E6FD9E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492</w:t>
            </w:r>
          </w:p>
          <w:p w14:paraId="540827F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gridSpan w:val="2"/>
            <w:tcBorders>
              <w:top w:val="single" w:sz="6" w:space="0" w:color="auto"/>
              <w:left w:val="single" w:sz="6" w:space="0" w:color="auto"/>
              <w:bottom w:val="single" w:sz="6" w:space="0" w:color="auto"/>
              <w:right w:val="single" w:sz="6" w:space="0" w:color="auto"/>
            </w:tcBorders>
          </w:tcPr>
          <w:p w14:paraId="57F345D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21,4</w:t>
            </w:r>
          </w:p>
          <w:p w14:paraId="2ACA372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25FE826" w14:textId="77777777">
        <w:trPr>
          <w:gridAfter w:val="1"/>
          <w:wAfter w:w="39" w:type="dxa"/>
          <w:trHeight w:val="202"/>
        </w:trPr>
        <w:tc>
          <w:tcPr>
            <w:tcW w:w="3917" w:type="dxa"/>
            <w:tcBorders>
              <w:top w:val="single" w:sz="6" w:space="0" w:color="auto"/>
              <w:left w:val="single" w:sz="6" w:space="0" w:color="auto"/>
              <w:bottom w:val="single" w:sz="6" w:space="0" w:color="auto"/>
              <w:right w:val="single" w:sz="6" w:space="0" w:color="auto"/>
            </w:tcBorders>
          </w:tcPr>
          <w:p w14:paraId="1915F0F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Управление промкооперации при СНК РСФСР</w:t>
            </w:r>
          </w:p>
          <w:p w14:paraId="79CA0C3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gridSpan w:val="2"/>
            <w:tcBorders>
              <w:top w:val="single" w:sz="6" w:space="0" w:color="auto"/>
              <w:left w:val="single" w:sz="6" w:space="0" w:color="auto"/>
              <w:bottom w:val="single" w:sz="6" w:space="0" w:color="auto"/>
              <w:right w:val="single" w:sz="6" w:space="0" w:color="auto"/>
            </w:tcBorders>
          </w:tcPr>
          <w:p w14:paraId="5743AE0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828</w:t>
            </w:r>
          </w:p>
          <w:p w14:paraId="5A788C7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5DB1EBC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369</w:t>
            </w:r>
          </w:p>
          <w:p w14:paraId="0DAFFC4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top w:val="single" w:sz="6" w:space="0" w:color="auto"/>
              <w:left w:val="single" w:sz="6" w:space="0" w:color="auto"/>
              <w:bottom w:val="single" w:sz="6" w:space="0" w:color="auto"/>
              <w:right w:val="single" w:sz="6" w:space="0" w:color="auto"/>
            </w:tcBorders>
          </w:tcPr>
          <w:p w14:paraId="336D08D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44,5</w:t>
            </w:r>
          </w:p>
          <w:p w14:paraId="78F978B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gridSpan w:val="2"/>
            <w:tcBorders>
              <w:top w:val="single" w:sz="6" w:space="0" w:color="auto"/>
              <w:left w:val="single" w:sz="6" w:space="0" w:color="auto"/>
              <w:bottom w:val="single" w:sz="6" w:space="0" w:color="auto"/>
              <w:right w:val="single" w:sz="6" w:space="0" w:color="auto"/>
            </w:tcBorders>
          </w:tcPr>
          <w:p w14:paraId="15992FC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230</w:t>
            </w:r>
          </w:p>
          <w:p w14:paraId="30CA550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gridSpan w:val="2"/>
            <w:tcBorders>
              <w:top w:val="single" w:sz="6" w:space="0" w:color="auto"/>
              <w:left w:val="single" w:sz="6" w:space="0" w:color="auto"/>
              <w:bottom w:val="single" w:sz="6" w:space="0" w:color="auto"/>
              <w:right w:val="single" w:sz="6" w:space="0" w:color="auto"/>
            </w:tcBorders>
          </w:tcPr>
          <w:p w14:paraId="5D2D042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27,7</w:t>
            </w:r>
          </w:p>
          <w:p w14:paraId="2305036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2E40FCD" w14:textId="77777777">
        <w:trPr>
          <w:gridAfter w:val="1"/>
          <w:wAfter w:w="39" w:type="dxa"/>
          <w:trHeight w:val="192"/>
        </w:trPr>
        <w:tc>
          <w:tcPr>
            <w:tcW w:w="3917" w:type="dxa"/>
            <w:tcBorders>
              <w:top w:val="single" w:sz="6" w:space="0" w:color="auto"/>
              <w:left w:val="single" w:sz="6" w:space="0" w:color="auto"/>
              <w:bottom w:val="single" w:sz="6" w:space="0" w:color="auto"/>
              <w:right w:val="single" w:sz="6" w:space="0" w:color="auto"/>
            </w:tcBorders>
          </w:tcPr>
          <w:p w14:paraId="0459C4F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Наркомлес СССР</w:t>
            </w:r>
          </w:p>
          <w:p w14:paraId="02E5CBF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gridSpan w:val="2"/>
            <w:tcBorders>
              <w:top w:val="single" w:sz="6" w:space="0" w:color="auto"/>
              <w:left w:val="single" w:sz="6" w:space="0" w:color="auto"/>
              <w:bottom w:val="single" w:sz="6" w:space="0" w:color="auto"/>
              <w:right w:val="single" w:sz="6" w:space="0" w:color="auto"/>
            </w:tcBorders>
          </w:tcPr>
          <w:p w14:paraId="44CE77D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3013</w:t>
            </w:r>
          </w:p>
          <w:p w14:paraId="3FD8DE1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7DCCAE1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1522</w:t>
            </w:r>
          </w:p>
          <w:p w14:paraId="303F4F6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top w:val="single" w:sz="6" w:space="0" w:color="auto"/>
              <w:left w:val="single" w:sz="6" w:space="0" w:color="auto"/>
              <w:bottom w:val="single" w:sz="6" w:space="0" w:color="auto"/>
              <w:right w:val="single" w:sz="6" w:space="0" w:color="auto"/>
            </w:tcBorders>
          </w:tcPr>
          <w:p w14:paraId="07D5A19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50,5</w:t>
            </w:r>
          </w:p>
          <w:p w14:paraId="29A51E2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gridSpan w:val="2"/>
            <w:tcBorders>
              <w:top w:val="single" w:sz="6" w:space="0" w:color="auto"/>
              <w:left w:val="single" w:sz="6" w:space="0" w:color="auto"/>
              <w:bottom w:val="single" w:sz="6" w:space="0" w:color="auto"/>
              <w:right w:val="single" w:sz="6" w:space="0" w:color="auto"/>
            </w:tcBorders>
          </w:tcPr>
          <w:p w14:paraId="3E81D6F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952</w:t>
            </w:r>
          </w:p>
          <w:p w14:paraId="1621A38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gridSpan w:val="2"/>
            <w:tcBorders>
              <w:top w:val="single" w:sz="6" w:space="0" w:color="auto"/>
              <w:left w:val="single" w:sz="6" w:space="0" w:color="auto"/>
              <w:bottom w:val="single" w:sz="6" w:space="0" w:color="auto"/>
              <w:right w:val="single" w:sz="6" w:space="0" w:color="auto"/>
            </w:tcBorders>
          </w:tcPr>
          <w:p w14:paraId="238BDA1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31,5</w:t>
            </w:r>
          </w:p>
          <w:p w14:paraId="473AB95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C941BD1" w14:textId="77777777">
        <w:trPr>
          <w:gridAfter w:val="1"/>
          <w:wAfter w:w="39" w:type="dxa"/>
          <w:trHeight w:val="211"/>
        </w:trPr>
        <w:tc>
          <w:tcPr>
            <w:tcW w:w="3917" w:type="dxa"/>
            <w:tcBorders>
              <w:top w:val="single" w:sz="6" w:space="0" w:color="auto"/>
              <w:left w:val="single" w:sz="6" w:space="0" w:color="auto"/>
              <w:bottom w:val="single" w:sz="6" w:space="0" w:color="auto"/>
              <w:right w:val="single" w:sz="6" w:space="0" w:color="auto"/>
            </w:tcBorders>
          </w:tcPr>
          <w:p w14:paraId="723EE7D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Наркомзем СССР</w:t>
            </w:r>
          </w:p>
          <w:p w14:paraId="7251F28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gridSpan w:val="2"/>
            <w:tcBorders>
              <w:top w:val="single" w:sz="6" w:space="0" w:color="auto"/>
              <w:left w:val="single" w:sz="6" w:space="0" w:color="auto"/>
              <w:bottom w:val="single" w:sz="6" w:space="0" w:color="auto"/>
              <w:right w:val="single" w:sz="6" w:space="0" w:color="auto"/>
            </w:tcBorders>
          </w:tcPr>
          <w:p w14:paraId="4CD339B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14276</w:t>
            </w:r>
          </w:p>
          <w:p w14:paraId="5E5A966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54497EC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7876</w:t>
            </w:r>
          </w:p>
          <w:p w14:paraId="2290A3E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top w:val="single" w:sz="6" w:space="0" w:color="auto"/>
              <w:left w:val="single" w:sz="6" w:space="0" w:color="auto"/>
              <w:bottom w:val="single" w:sz="6" w:space="0" w:color="auto"/>
              <w:right w:val="single" w:sz="6" w:space="0" w:color="auto"/>
            </w:tcBorders>
          </w:tcPr>
          <w:p w14:paraId="21EDB7E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55,1</w:t>
            </w:r>
          </w:p>
          <w:p w14:paraId="37B5F07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gridSpan w:val="2"/>
            <w:tcBorders>
              <w:top w:val="single" w:sz="6" w:space="0" w:color="auto"/>
              <w:left w:val="single" w:sz="6" w:space="0" w:color="auto"/>
              <w:bottom w:val="single" w:sz="6" w:space="0" w:color="auto"/>
              <w:right w:val="single" w:sz="6" w:space="0" w:color="auto"/>
            </w:tcBorders>
          </w:tcPr>
          <w:p w14:paraId="59D6D84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3605</w:t>
            </w:r>
          </w:p>
          <w:p w14:paraId="2232F2F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gridSpan w:val="2"/>
            <w:tcBorders>
              <w:top w:val="single" w:sz="6" w:space="0" w:color="auto"/>
              <w:left w:val="single" w:sz="6" w:space="0" w:color="auto"/>
              <w:bottom w:val="single" w:sz="6" w:space="0" w:color="auto"/>
              <w:right w:val="single" w:sz="6" w:space="0" w:color="auto"/>
            </w:tcBorders>
          </w:tcPr>
          <w:p w14:paraId="17A057F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25,2</w:t>
            </w:r>
          </w:p>
          <w:p w14:paraId="7D5B247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48FBE82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Врио начальника Главного управления милиции НКВД СССР комиссар милиции 3 ранга Лобуренко</w:t>
      </w:r>
    </w:p>
    <w:p w14:paraId="030722F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Госавтоинспекции комиссар милиции 3 ранга Соколов</w:t>
      </w:r>
    </w:p>
    <w:p w14:paraId="43D48FE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41. Оп, 11584. Д. 127. Л. 1-9. Подлинник (11403).</w:t>
      </w:r>
    </w:p>
    <w:p w14:paraId="4CA08F2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A0583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апреля 1944 вышло Постановление ГКО № 5520 О мерах по завозу горючего и масел во II квартале 1944 года для весенних сельскохозяйственных работ. РГАНИР, Фонд ГКО, д. 224, лл. 42-52,53 (11012).</w:t>
      </w:r>
    </w:p>
    <w:p w14:paraId="1064B3F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2589B85" w14:textId="77777777" w:rsidR="00383F24" w:rsidRPr="007224C3" w:rsidRDefault="00383F2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апреля в 1944 году постановление ГКО о выселении крымских татар в Казахстан и Сибирь (15087).</w:t>
      </w:r>
    </w:p>
    <w:p w14:paraId="1C52E4CE" w14:textId="77777777" w:rsidR="00383F24" w:rsidRPr="007224C3" w:rsidRDefault="00383F24" w:rsidP="007224C3">
      <w:pPr>
        <w:spacing w:after="0" w:line="240" w:lineRule="auto"/>
        <w:jc w:val="both"/>
        <w:rPr>
          <w:rFonts w:ascii="Times New Roman" w:hAnsi="Times New Roman"/>
          <w:color w:val="000000" w:themeColor="text1"/>
          <w:sz w:val="16"/>
          <w:szCs w:val="16"/>
        </w:rPr>
      </w:pPr>
    </w:p>
    <w:p w14:paraId="3320821D"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Внешняя политика:</w:t>
      </w:r>
    </w:p>
    <w:p w14:paraId="012C63C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EFBDF6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апреля 1944 министр иностранных дел СССР В.М.М. в речи по радио заверил румын, что СССР кроме возвращения Бесарабии не имеет к Румынии территориальных претензий и не намерен ничего менять в ее социальной структуре, если она выступит против Германии и Венгрии.</w:t>
      </w:r>
    </w:p>
    <w:p w14:paraId="3FB6F2D3" w14:textId="77777777" w:rsidR="00383F24" w:rsidRPr="007224C3" w:rsidRDefault="00383F24"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88E5DA8" w14:textId="77777777" w:rsidR="00383F24" w:rsidRPr="007224C3" w:rsidRDefault="00383F2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апреля в 1944 году заявление Советского правительства в связи с вступлением частей Советской Армии на территорию Румынии, в котором содержалось обещание не предпринимать попыток изменить румынский общественный строй (15087).</w:t>
      </w:r>
    </w:p>
    <w:p w14:paraId="38ABE5D3" w14:textId="77777777" w:rsidR="00383F24" w:rsidRPr="007224C3" w:rsidRDefault="00383F24" w:rsidP="007224C3">
      <w:pPr>
        <w:spacing w:after="0" w:line="240" w:lineRule="auto"/>
        <w:jc w:val="both"/>
        <w:rPr>
          <w:rFonts w:ascii="Times New Roman" w:hAnsi="Times New Roman"/>
          <w:color w:val="000000" w:themeColor="text1"/>
          <w:sz w:val="16"/>
          <w:szCs w:val="16"/>
        </w:rPr>
      </w:pPr>
    </w:p>
    <w:p w14:paraId="359CA9CB"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562A97E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3264632" w14:textId="77777777" w:rsidR="007249B9" w:rsidRPr="007224C3" w:rsidRDefault="007249B9"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 апреля 1944 первый самолет ВВС США B-29 Superfortress прибывает в Калькутту, Индия, после полета на 11530 миль (18 567 км) из Канзаса, который включал остановки в Преск-Айл, штат Мэн; Гандер, Ньюфаундленд; Марракеш, Марокко; Каир, Египет; и Карачи, а также беспосадочный трансатлантический перелет между Гандером и Марракешем протяженностью 2700 миль (4348 км) (20373).</w:t>
      </w:r>
    </w:p>
    <w:p w14:paraId="1E5FD524" w14:textId="77777777" w:rsidR="007249B9" w:rsidRPr="007224C3" w:rsidRDefault="007249B9" w:rsidP="007224C3">
      <w:pPr>
        <w:spacing w:after="0" w:line="240" w:lineRule="auto"/>
        <w:jc w:val="both"/>
        <w:rPr>
          <w:rFonts w:ascii="Times New Roman" w:hAnsi="Times New Roman"/>
          <w:color w:val="0070C0"/>
          <w:sz w:val="16"/>
          <w:szCs w:val="16"/>
        </w:rPr>
      </w:pPr>
    </w:p>
    <w:p w14:paraId="3B134E5E"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апреля 1944 после попытки взрыва поезда с немецкими солдатами члены дивизии СС “Гитлерюгенд” расстреляли 86 бельгийцев (4962).</w:t>
      </w:r>
    </w:p>
    <w:p w14:paraId="6EB23BDF"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6AFBE0A"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5F1A725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4A1D60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апреля 1944 вышло Постановление ГОКО, которое требовало от директо</w:t>
      </w:r>
      <w:r w:rsidRPr="007224C3">
        <w:rPr>
          <w:rFonts w:ascii="Times New Roman" w:hAnsi="Times New Roman"/>
          <w:color w:val="000000" w:themeColor="text1"/>
          <w:sz w:val="16"/>
          <w:szCs w:val="16"/>
        </w:rPr>
        <w:softHyphen/>
        <w:t>ров авиазаводов № 1 и 30 ускорить внедрение в серийное производство штурмовиков Ил-2 с металлическим крылом «стрельчатой конструкции».</w:t>
      </w:r>
    </w:p>
    <w:p w14:paraId="1F9D145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«Послабление» в отношении 18-го авиазавода объясняется следующим образом. Дело в том, что 30 марта бри</w:t>
      </w:r>
      <w:r w:rsidRPr="007224C3">
        <w:rPr>
          <w:rFonts w:ascii="Times New Roman" w:hAnsi="Times New Roman"/>
          <w:color w:val="000000" w:themeColor="text1"/>
          <w:sz w:val="16"/>
          <w:szCs w:val="16"/>
        </w:rPr>
        <w:softHyphen/>
        <w:t>гада испытателей НИИ ВВС рапортова</w:t>
      </w:r>
      <w:r w:rsidRPr="007224C3">
        <w:rPr>
          <w:rFonts w:ascii="Times New Roman" w:hAnsi="Times New Roman"/>
          <w:color w:val="000000" w:themeColor="text1"/>
          <w:sz w:val="16"/>
          <w:szCs w:val="16"/>
        </w:rPr>
        <w:softHyphen/>
        <w:t>ла руководству об успешном заверше</w:t>
      </w:r>
      <w:r w:rsidRPr="007224C3">
        <w:rPr>
          <w:rFonts w:ascii="Times New Roman" w:hAnsi="Times New Roman"/>
          <w:color w:val="000000" w:themeColor="text1"/>
          <w:sz w:val="16"/>
          <w:szCs w:val="16"/>
        </w:rPr>
        <w:softHyphen/>
        <w:t>нии государственных летных испыта</w:t>
      </w:r>
      <w:r w:rsidRPr="007224C3">
        <w:rPr>
          <w:rFonts w:ascii="Times New Roman" w:hAnsi="Times New Roman"/>
          <w:color w:val="000000" w:themeColor="text1"/>
          <w:sz w:val="16"/>
          <w:szCs w:val="16"/>
        </w:rPr>
        <w:softHyphen/>
        <w:t>ний опытного штурмовика Ил-8 АМ-42 с более высокими, чем у Ил-2, летными данными. Самолет имел много общего с Ил-2, и в случае внедрения его в мас</w:t>
      </w:r>
      <w:r w:rsidRPr="007224C3">
        <w:rPr>
          <w:rFonts w:ascii="Times New Roman" w:hAnsi="Times New Roman"/>
          <w:color w:val="000000" w:themeColor="text1"/>
          <w:sz w:val="16"/>
          <w:szCs w:val="16"/>
        </w:rPr>
        <w:softHyphen/>
        <w:t>совое производство можно было ис</w:t>
      </w:r>
      <w:r w:rsidRPr="007224C3">
        <w:rPr>
          <w:rFonts w:ascii="Times New Roman" w:hAnsi="Times New Roman"/>
          <w:color w:val="000000" w:themeColor="text1"/>
          <w:sz w:val="16"/>
          <w:szCs w:val="16"/>
        </w:rPr>
        <w:softHyphen/>
        <w:t>пользовать те же конвейеры и боль</w:t>
      </w:r>
      <w:r w:rsidRPr="007224C3">
        <w:rPr>
          <w:rFonts w:ascii="Times New Roman" w:hAnsi="Times New Roman"/>
          <w:color w:val="000000" w:themeColor="text1"/>
          <w:sz w:val="16"/>
          <w:szCs w:val="16"/>
        </w:rPr>
        <w:softHyphen/>
        <w:t>шую часть имеющейся оснастки. По этой причине наркомат авиапромыш</w:t>
      </w:r>
      <w:r w:rsidRPr="007224C3">
        <w:rPr>
          <w:rFonts w:ascii="Times New Roman" w:hAnsi="Times New Roman"/>
          <w:color w:val="000000" w:themeColor="text1"/>
          <w:sz w:val="16"/>
          <w:szCs w:val="16"/>
        </w:rPr>
        <w:softHyphen/>
        <w:t>ленности вынашивал планы перевода производства авиазавода № 18 на се</w:t>
      </w:r>
      <w:r w:rsidRPr="007224C3">
        <w:rPr>
          <w:rFonts w:ascii="Times New Roman" w:hAnsi="Times New Roman"/>
          <w:color w:val="000000" w:themeColor="text1"/>
          <w:sz w:val="16"/>
          <w:szCs w:val="16"/>
        </w:rPr>
        <w:softHyphen/>
        <w:t>рийный выпуск Ил-8 уже с лета 1944 г., а авиазаводов № 1 и № 30 - в первом полугодии следующего года. Кроме этого, на завершающей стадии заводс</w:t>
      </w:r>
      <w:r w:rsidRPr="007224C3">
        <w:rPr>
          <w:rFonts w:ascii="Times New Roman" w:hAnsi="Times New Roman"/>
          <w:color w:val="000000" w:themeColor="text1"/>
          <w:sz w:val="16"/>
          <w:szCs w:val="16"/>
        </w:rPr>
        <w:softHyphen/>
        <w:t>ких испытаний находился опытный штурмовик ОКБ П. 0. Сухого Су-б, кото</w:t>
      </w:r>
      <w:r w:rsidRPr="007224C3">
        <w:rPr>
          <w:rFonts w:ascii="Times New Roman" w:hAnsi="Times New Roman"/>
          <w:color w:val="000000" w:themeColor="text1"/>
          <w:sz w:val="16"/>
          <w:szCs w:val="16"/>
        </w:rPr>
        <w:softHyphen/>
        <w:t>рый лучше подходил для боя, чем Ил-8. На подходе был еще один опытный штурмовик-Ил-10 АМ-42. Учитывая эти обстоятельства, было решено с форси</w:t>
      </w:r>
      <w:r w:rsidRPr="007224C3">
        <w:rPr>
          <w:rFonts w:ascii="Times New Roman" w:hAnsi="Times New Roman"/>
          <w:color w:val="000000" w:themeColor="text1"/>
          <w:sz w:val="16"/>
          <w:szCs w:val="16"/>
        </w:rPr>
        <w:softHyphen/>
        <w:t>рованием выпуска модифицированно</w:t>
      </w:r>
      <w:r w:rsidRPr="007224C3">
        <w:rPr>
          <w:rFonts w:ascii="Times New Roman" w:hAnsi="Times New Roman"/>
          <w:color w:val="000000" w:themeColor="text1"/>
          <w:sz w:val="16"/>
          <w:szCs w:val="16"/>
        </w:rPr>
        <w:softHyphen/>
        <w:t>го Ил-2 на 18-м авиазаводе подождать до тех пор, пока не станет ясно, какой из трех опытных штурмовиков будет поставлен на вооружение ВВС.</w:t>
      </w:r>
    </w:p>
    <w:p w14:paraId="6821940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Авиазавод № 18 вышел на плано</w:t>
      </w:r>
      <w:r w:rsidRPr="007224C3">
        <w:rPr>
          <w:rFonts w:ascii="Times New Roman" w:hAnsi="Times New Roman"/>
          <w:color w:val="000000" w:themeColor="text1"/>
          <w:sz w:val="16"/>
          <w:szCs w:val="16"/>
        </w:rPr>
        <w:softHyphen/>
        <w:t>вый уровень производства самолетов Ил-2 с металлическим крылом «стрель</w:t>
      </w:r>
      <w:r w:rsidRPr="007224C3">
        <w:rPr>
          <w:rFonts w:ascii="Times New Roman" w:hAnsi="Times New Roman"/>
          <w:color w:val="000000" w:themeColor="text1"/>
          <w:sz w:val="16"/>
          <w:szCs w:val="16"/>
        </w:rPr>
        <w:softHyphen/>
        <w:t>чатой конструкции» лишь к июню, а 1-й и 30-й заводы - к сентябрю 1944 г. В общей сложности к концу года в стро</w:t>
      </w:r>
      <w:r w:rsidRPr="007224C3">
        <w:rPr>
          <w:rFonts w:ascii="Times New Roman" w:hAnsi="Times New Roman"/>
          <w:color w:val="000000" w:themeColor="text1"/>
          <w:sz w:val="16"/>
          <w:szCs w:val="16"/>
        </w:rPr>
        <w:softHyphen/>
        <w:t xml:space="preserve">евые части ВВС было отправлено 7377 Ил-2 </w:t>
      </w:r>
      <w:r w:rsidRPr="007224C3">
        <w:rPr>
          <w:rFonts w:ascii="Times New Roman" w:hAnsi="Times New Roman"/>
          <w:iCs/>
          <w:color w:val="000000" w:themeColor="text1"/>
          <w:sz w:val="16"/>
          <w:szCs w:val="16"/>
        </w:rPr>
        <w:t xml:space="preserve">«крыло со стрелкой». </w:t>
      </w:r>
      <w:r w:rsidRPr="007224C3">
        <w:rPr>
          <w:rFonts w:ascii="Times New Roman" w:hAnsi="Times New Roman"/>
          <w:color w:val="000000" w:themeColor="text1"/>
          <w:sz w:val="16"/>
          <w:szCs w:val="16"/>
        </w:rPr>
        <w:t>При этом авиазаводы № 1 и № 30 выпускали са</w:t>
      </w:r>
      <w:r w:rsidRPr="007224C3">
        <w:rPr>
          <w:rFonts w:ascii="Times New Roman" w:hAnsi="Times New Roman"/>
          <w:color w:val="000000" w:themeColor="text1"/>
          <w:sz w:val="16"/>
          <w:szCs w:val="16"/>
        </w:rPr>
        <w:softHyphen/>
        <w:t>молеты и с металлическим, и с дере</w:t>
      </w:r>
      <w:r w:rsidRPr="007224C3">
        <w:rPr>
          <w:rFonts w:ascii="Times New Roman" w:hAnsi="Times New Roman"/>
          <w:color w:val="000000" w:themeColor="text1"/>
          <w:sz w:val="16"/>
          <w:szCs w:val="16"/>
        </w:rPr>
        <w:softHyphen/>
        <w:t>вянным крылом. Все самолеты имели «стандартное» для 1944 г. наступатель</w:t>
      </w:r>
      <w:r w:rsidRPr="007224C3">
        <w:rPr>
          <w:rFonts w:ascii="Times New Roman" w:hAnsi="Times New Roman"/>
          <w:color w:val="000000" w:themeColor="text1"/>
          <w:sz w:val="16"/>
          <w:szCs w:val="16"/>
        </w:rPr>
        <w:softHyphen/>
        <w:t>ное вооружение: пушки ВЯ, пулеметы ШКАС, «эрэсы» и бомбы (11215).</w:t>
      </w:r>
    </w:p>
    <w:p w14:paraId="6B39F07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8CB107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апреля 1944 ГКО своим Постановлением обязал директоров заводов № 1 и 30 ускорить внедрение в серию Ил-2 с металлическим крылом "стрельчатой конструкции".</w:t>
      </w:r>
    </w:p>
    <w:p w14:paraId="1142D22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"Послабление" в отношении 18-го авиазавода объясняется следующим образом. Дело в том, что 30 марта бригада испытателей НИИ ВВС рапортовала руководству об успешном завершении государственных летных испытаний опытного штурмовика Ил-8 АМ-42 с более высокими, чем у Ил-2, летными данными. Самолет имел много общего с Ил-2, и в случае внедрения его в массовое производство можно было использовать те же конвейеры и большую часть имеющейся оснастки. По этой причине наркомат авиапромышленности вынашивал планы перевода производства авиазавода № 18 на серийный выпуск Ил-8 уже с лета 1944 г., а авиазаводов № 1 и № 30 - в первом полугодии следующего года. Кроме этого, на завершающей стадии заводских испытаний находился опытный штурмовик ОКБ Сухого Су-6, который лучше подходил для боя, чем Ил-8. На подходе был еще один опытный штурмовик - Ил-10 АМ-42. Учитывая эти обстоятельства, было решено, с форсированием выпуска модифицированного Ил-2 на 18-м авиазаводе подождать до тех пор, пока не станет ясно, какой из трех опытных штурмовиков будет принят на вооружение ВВС.</w:t>
      </w:r>
    </w:p>
    <w:p w14:paraId="4B8451B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Как следует из документов, завод № 18 вышел на плановый уровень производства Ил-2 с металлическим крылом "со стрелкой" лишь к июню, а 1-й и 30-й заводы - к сентябрю 1944 г. Всего к концу года в ВВС поступило 7377 Ил-2 "крыло со стрелкой". При этом авиазаводы № 1 и № 30 выпускали самолеты и с металлическим, и с деревянным крылом. Все самолеты имели "стандартное" для 1944 г. наступательное вооружение: пушки ВЯ, пулеметы ШКАС, "эрэ- сы" и бомбы. Пушки НС-37 на них никогда не устанавливались (12020).</w:t>
      </w:r>
    </w:p>
    <w:p w14:paraId="2E3EF05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F97B2F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апреля 1944 г. вышло постановление ГКО № 5526 об ускорении производства Ил-2 с металлическими крыльями на заводе № 1 (11982).</w:t>
      </w:r>
    </w:p>
    <w:p w14:paraId="39B99AC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0729C9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апреля 1944 вышло Постановление ГКО № 5525 Об авиационном моторе АМ-42. РГАНИР, Фонд ГКО, д. 224, лл. 168-169 (11012).</w:t>
      </w:r>
    </w:p>
    <w:p w14:paraId="67EEAC8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A5D255C" w14:textId="77777777" w:rsidR="00846998" w:rsidRPr="007224C3" w:rsidRDefault="0084699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апреля 1944 вышло Постановление ГКО № 5525 Об авиационном моторе АМ-42</w:t>
      </w:r>
    </w:p>
    <w:p w14:paraId="726F195A" w14:textId="77777777" w:rsidR="00846998" w:rsidRPr="007224C3" w:rsidRDefault="00846998"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Г ос ударстввенный Комитет Оборону отмечает, что главный конструктор т.Микулин до сих пор не обеспечил доводку и проведение государственных испытаний мотора АМ-42. Тов.Никулин, находясь в Москве, в отрыве т Куй</w:t>
      </w:r>
      <w:r w:rsidRPr="007224C3">
        <w:rPr>
          <w:rFonts w:ascii="Times New Roman" w:hAnsi="Times New Roman" w:cs="Times New Roman"/>
          <w:color w:val="000000" w:themeColor="text1"/>
          <w:sz w:val="16"/>
          <w:szCs w:val="16"/>
        </w:rPr>
        <w:softHyphen/>
        <w:t>бышевского завода лично не руководил работой по доводке мотора, не уделял этому вопросу должного внима</w:t>
      </w:r>
      <w:r w:rsidRPr="007224C3">
        <w:rPr>
          <w:rFonts w:ascii="Times New Roman" w:hAnsi="Times New Roman" w:cs="Times New Roman"/>
          <w:color w:val="000000" w:themeColor="text1"/>
          <w:sz w:val="16"/>
          <w:szCs w:val="16"/>
        </w:rPr>
        <w:softHyphen/>
        <w:t>ния , но оставаясь главным конструктором Завода № 24,тор</w:t>
      </w:r>
      <w:r w:rsidRPr="007224C3">
        <w:rPr>
          <w:rFonts w:ascii="Times New Roman" w:hAnsi="Times New Roman" w:cs="Times New Roman"/>
          <w:color w:val="000000" w:themeColor="text1"/>
          <w:sz w:val="16"/>
          <w:szCs w:val="16"/>
        </w:rPr>
        <w:softHyphen/>
        <w:t>мозил тем самым принятие своевременных мер по доводке мотора на заводе № 24.</w:t>
      </w:r>
    </w:p>
    <w:p w14:paraId="2B2C9738" w14:textId="77777777" w:rsidR="00846998" w:rsidRPr="007224C3" w:rsidRDefault="00846998"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Считая совершенно нетерпимым создавшееся положение с руководством доводкой мотора АМ-42, Государственный Комитет Обороны постановляет:</w:t>
      </w:r>
    </w:p>
    <w:p w14:paraId="68B20D31" w14:textId="77777777" w:rsidR="00846998" w:rsidRPr="007224C3" w:rsidRDefault="00846998"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1. Освободить тов.Микулина от обязанностей главно</w:t>
      </w:r>
      <w:r w:rsidRPr="007224C3">
        <w:rPr>
          <w:rFonts w:ascii="Times New Roman" w:hAnsi="Times New Roman" w:cs="Times New Roman"/>
          <w:color w:val="000000" w:themeColor="text1"/>
          <w:sz w:val="16"/>
          <w:szCs w:val="16"/>
        </w:rPr>
        <w:softHyphen/>
        <w:t>го конструктора завода № 24в Куйбышеве, оставив его главный конструктором заводов 300 к 45 в Москве.</w:t>
      </w:r>
    </w:p>
    <w:p w14:paraId="11B10671" w14:textId="77777777" w:rsidR="00846998" w:rsidRPr="007224C3" w:rsidRDefault="00846998" w:rsidP="007224C3">
      <w:pPr>
        <w:pStyle w:val="47"/>
        <w:shd w:val="clear" w:color="auto" w:fill="auto"/>
        <w:tabs>
          <w:tab w:val="left" w:pos="1446"/>
        </w:tabs>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2. Наэначить главным конструктором завода № 24 тов.Флиокого М</w:t>
      </w:r>
      <w:r w:rsidRPr="007224C3">
        <w:rPr>
          <w:rStyle w:val="1pt"/>
          <w:rFonts w:ascii="Times New Roman" w:hAnsi="Times New Roman" w:cs="Times New Roman"/>
          <w:color w:val="000000" w:themeColor="text1"/>
          <w:spacing w:val="0"/>
          <w:sz w:val="16"/>
          <w:szCs w:val="16"/>
        </w:rPr>
        <w:t>.Р.,</w:t>
      </w:r>
      <w:r w:rsidRPr="007224C3">
        <w:rPr>
          <w:rFonts w:ascii="Times New Roman" w:hAnsi="Times New Roman" w:cs="Times New Roman"/>
          <w:color w:val="000000" w:themeColor="text1"/>
          <w:sz w:val="16"/>
          <w:szCs w:val="16"/>
        </w:rPr>
        <w:t xml:space="preserve"> поручив ему доводку, проведение го</w:t>
      </w:r>
      <w:r w:rsidRPr="007224C3">
        <w:rPr>
          <w:rFonts w:ascii="Times New Roman" w:hAnsi="Times New Roman" w:cs="Times New Roman"/>
          <w:color w:val="000000" w:themeColor="text1"/>
          <w:sz w:val="16"/>
          <w:szCs w:val="16"/>
        </w:rPr>
        <w:softHyphen/>
        <w:t>сударственных испытаний и дальнейшее развитие мотора АМ-42.</w:t>
      </w:r>
    </w:p>
    <w:p w14:paraId="4F50D745" w14:textId="77777777" w:rsidR="00846998" w:rsidRPr="007224C3" w:rsidRDefault="00846998" w:rsidP="007224C3">
      <w:pPr>
        <w:pStyle w:val="47"/>
        <w:shd w:val="clear" w:color="auto" w:fill="auto"/>
        <w:tabs>
          <w:tab w:val="left" w:pos="1431"/>
        </w:tabs>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3. Обяэать директора завода № 24 - т. Жез лова и глав</w:t>
      </w:r>
      <w:r w:rsidRPr="007224C3">
        <w:rPr>
          <w:rFonts w:ascii="Times New Roman" w:hAnsi="Times New Roman" w:cs="Times New Roman"/>
          <w:color w:val="000000" w:themeColor="text1"/>
          <w:sz w:val="16"/>
          <w:szCs w:val="16"/>
        </w:rPr>
        <w:softHyphen/>
        <w:t>ного конструктора - т. Флисского обеспечить проведение государственных испытаний мотора АМ-42. в апреле 1944г .</w:t>
      </w:r>
    </w:p>
    <w:p w14:paraId="42B62C08" w14:textId="77777777" w:rsidR="00846998" w:rsidRPr="007224C3" w:rsidRDefault="0084699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Для оказания необходимой помощи в быстрейшей доводке мотора АМ-42 командировать на завод 24 комис</w:t>
      </w:r>
      <w:r w:rsidRPr="007224C3">
        <w:rPr>
          <w:rFonts w:ascii="Times New Roman" w:hAnsi="Times New Roman"/>
          <w:color w:val="000000" w:themeColor="text1"/>
          <w:sz w:val="16"/>
          <w:szCs w:val="16"/>
        </w:rPr>
        <w:softHyphen/>
        <w:t>сию в составе: главного конструктора завода № 26 - тов. Климова (руководитель комиссий</w:t>
      </w:r>
      <w:r w:rsidRPr="007224C3">
        <w:rPr>
          <w:rFonts w:ascii="Times New Roman" w:hAnsi="Times New Roman"/>
          <w:color w:val="000000" w:themeColor="text1"/>
          <w:sz w:val="16"/>
          <w:szCs w:val="16"/>
          <w:vertAlign w:val="subscript"/>
        </w:rPr>
        <w:t xml:space="preserve">г </w:t>
      </w:r>
      <w:r w:rsidRPr="007224C3">
        <w:rPr>
          <w:rFonts w:ascii="Times New Roman" w:hAnsi="Times New Roman"/>
          <w:color w:val="000000" w:themeColor="text1"/>
          <w:sz w:val="16"/>
          <w:szCs w:val="16"/>
        </w:rPr>
        <w:t>начальника моторного отдела ВВС КА - тов.Левина, начальника отдела прочности ЦИАМ - тов.Кинасошвили и заместителя наркома авиационной промышленности - тов.Кузнецова В.П.</w:t>
      </w:r>
    </w:p>
    <w:p w14:paraId="61C3F88F" w14:textId="77777777" w:rsidR="00846998" w:rsidRPr="007224C3" w:rsidRDefault="0084699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5. Разрешить директору завода № 24 - тов. Козлову и главному конструктору - т. Фдисскому оставить на эаводе № 24 </w:t>
      </w:r>
      <w:r w:rsidRPr="007224C3">
        <w:rPr>
          <w:rStyle w:val="-1pt"/>
          <w:rFonts w:ascii="Times New Roman" w:hAnsi="Times New Roman" w:cs="Times New Roman"/>
          <w:color w:val="000000" w:themeColor="text1"/>
          <w:spacing w:val="0"/>
          <w:sz w:val="16"/>
          <w:szCs w:val="16"/>
        </w:rPr>
        <w:t xml:space="preserve"> </w:t>
      </w:r>
      <w:r w:rsidRPr="007224C3">
        <w:rPr>
          <w:rFonts w:ascii="Times New Roman" w:hAnsi="Times New Roman"/>
          <w:color w:val="000000" w:themeColor="text1"/>
          <w:sz w:val="16"/>
          <w:szCs w:val="16"/>
        </w:rPr>
        <w:t xml:space="preserve">весь личный состав опытно-конструкторского бюро, а также оборудование опытных цехов по состоянию на 1 марта </w:t>
      </w:r>
      <w:r w:rsidRPr="007224C3">
        <w:rPr>
          <w:rStyle w:val="1pt"/>
          <w:rFonts w:ascii="Times New Roman" w:hAnsi="Times New Roman" w:cs="Times New Roman"/>
          <w:color w:val="000000" w:themeColor="text1"/>
          <w:spacing w:val="0"/>
          <w:sz w:val="16"/>
          <w:szCs w:val="16"/>
        </w:rPr>
        <w:t xml:space="preserve">с.г;, </w:t>
      </w:r>
      <w:r w:rsidRPr="007224C3">
        <w:rPr>
          <w:rFonts w:ascii="Times New Roman" w:hAnsi="Times New Roman"/>
          <w:color w:val="000000" w:themeColor="text1"/>
          <w:sz w:val="16"/>
          <w:szCs w:val="16"/>
        </w:rPr>
        <w:t xml:space="preserve">для работы по дальнейшему развитию мотора </w:t>
      </w:r>
      <w:r w:rsidRPr="007224C3">
        <w:rPr>
          <w:rFonts w:ascii="Times New Roman" w:hAnsi="Times New Roman"/>
          <w:color w:val="000000" w:themeColor="text1"/>
          <w:sz w:val="16"/>
          <w:szCs w:val="16"/>
          <w:lang w:val="en-US"/>
        </w:rPr>
        <w:t>AM</w:t>
      </w:r>
      <w:r w:rsidRPr="007224C3">
        <w:rPr>
          <w:rFonts w:ascii="Times New Roman" w:hAnsi="Times New Roman"/>
          <w:color w:val="000000" w:themeColor="text1"/>
          <w:sz w:val="16"/>
          <w:szCs w:val="16"/>
        </w:rPr>
        <w:t>-42 (19480).</w:t>
      </w:r>
    </w:p>
    <w:p w14:paraId="362374FE" w14:textId="77777777" w:rsidR="00420257" w:rsidRPr="007224C3" w:rsidRDefault="00420257" w:rsidP="007224C3">
      <w:pPr>
        <w:autoSpaceDE w:val="0"/>
        <w:autoSpaceDN w:val="0"/>
        <w:adjustRightInd w:val="0"/>
        <w:spacing w:after="0" w:line="240" w:lineRule="auto"/>
        <w:jc w:val="both"/>
        <w:rPr>
          <w:rFonts w:ascii="Times New Roman" w:hAnsi="Times New Roman"/>
          <w:color w:val="000000" w:themeColor="text1"/>
          <w:sz w:val="16"/>
          <w:szCs w:val="16"/>
        </w:rPr>
      </w:pPr>
    </w:p>
    <w:p w14:paraId="05591074" w14:textId="77777777" w:rsidR="007249B9" w:rsidRPr="007224C3" w:rsidRDefault="007249B9" w:rsidP="007224C3">
      <w:pPr>
        <w:spacing w:after="0" w:line="240" w:lineRule="auto"/>
        <w:jc w:val="both"/>
        <w:rPr>
          <w:rStyle w:val="841"/>
          <w:rFonts w:ascii="Times New Roman" w:hAnsi="Times New Roman" w:cs="Times New Roman"/>
          <w:color w:val="0070C0"/>
          <w:sz w:val="16"/>
          <w:szCs w:val="16"/>
        </w:rPr>
      </w:pPr>
      <w:r w:rsidRPr="007224C3">
        <w:rPr>
          <w:rStyle w:val="841"/>
          <w:rFonts w:ascii="Times New Roman" w:hAnsi="Times New Roman" w:cs="Times New Roman"/>
          <w:color w:val="0070C0"/>
          <w:sz w:val="16"/>
          <w:szCs w:val="16"/>
        </w:rPr>
        <w:t>3 апреля 1944 постановле</w:t>
      </w:r>
      <w:r w:rsidRPr="007224C3">
        <w:rPr>
          <w:rStyle w:val="841"/>
          <w:rFonts w:ascii="Times New Roman" w:hAnsi="Times New Roman" w:cs="Times New Roman"/>
          <w:color w:val="0070C0"/>
          <w:sz w:val="16"/>
          <w:szCs w:val="16"/>
        </w:rPr>
        <w:softHyphen/>
        <w:t>нием ГОКО № 5525с Александра Александровича Микулина освободил от обязанно</w:t>
      </w:r>
      <w:r w:rsidRPr="007224C3">
        <w:rPr>
          <w:rStyle w:val="841"/>
          <w:rFonts w:ascii="Times New Roman" w:hAnsi="Times New Roman" w:cs="Times New Roman"/>
          <w:color w:val="0070C0"/>
          <w:sz w:val="16"/>
          <w:szCs w:val="16"/>
        </w:rPr>
        <w:softHyphen/>
        <w:t>стей Главного конструктора завода № 24 в Куйбышеве (Самара), при этом он оставался Главным конструктором московских заводов №№ 45 и 300. Помимо доводки АМ-42, на основе этого мотора под руководством М.Р. Флисского был разработан ряд новых двига</w:t>
      </w:r>
      <w:r w:rsidRPr="007224C3">
        <w:rPr>
          <w:rStyle w:val="841"/>
          <w:rFonts w:ascii="Times New Roman" w:hAnsi="Times New Roman" w:cs="Times New Roman"/>
          <w:color w:val="0070C0"/>
          <w:sz w:val="16"/>
          <w:szCs w:val="16"/>
        </w:rPr>
        <w:softHyphen/>
        <w:t>телей и их модификаций: М-43, М-44, М-45, М- 46 и М-47, которые во многих документах обозначались еще «МФ», что вероятнее всего значит «мотор Флисского» (19912).</w:t>
      </w:r>
    </w:p>
    <w:p w14:paraId="44D8ED1C" w14:textId="77777777" w:rsidR="007249B9" w:rsidRPr="007224C3" w:rsidRDefault="007249B9" w:rsidP="007224C3">
      <w:pPr>
        <w:spacing w:after="0" w:line="240" w:lineRule="auto"/>
        <w:jc w:val="both"/>
        <w:rPr>
          <w:rFonts w:ascii="Times New Roman" w:hAnsi="Times New Roman"/>
          <w:color w:val="0070C0"/>
          <w:sz w:val="16"/>
          <w:szCs w:val="16"/>
        </w:rPr>
      </w:pPr>
    </w:p>
    <w:p w14:paraId="094C157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апреля 1944 вышло Постановление ГКО № 5526 Об ускорении производства истребителей Як-3 на заводе № 292 и штурмовиков Ил-2 с металлическими крыльями на заводах № 1 и 30. РГАНИР, Фонд ГКО, д. 224, лл. 170-171 (11012).</w:t>
      </w:r>
    </w:p>
    <w:p w14:paraId="46DFF38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88E93EE" w14:textId="77777777" w:rsidR="00076BEB" w:rsidRPr="007224C3" w:rsidRDefault="00076BE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апреля 1944 вышло Постановление ГКО № 5526 Об ускорении производства истребителей Як-3 на заводе № 292 и штурмовиков Ил-2 с металлическими крыльями на заводах № 1 и 30</w:t>
      </w:r>
    </w:p>
    <w:p w14:paraId="30CDDE0A" w14:textId="77777777" w:rsidR="00076BEB" w:rsidRPr="007224C3" w:rsidRDefault="00076BEB" w:rsidP="007224C3">
      <w:pPr>
        <w:pStyle w:val="36"/>
        <w:shd w:val="clear" w:color="auto" w:fill="auto"/>
        <w:spacing w:after="0"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Государственной Комитет Сбороны посттвновляет:</w:t>
      </w:r>
    </w:p>
    <w:p w14:paraId="64CBF189" w14:textId="77777777" w:rsidR="00076BEB" w:rsidRPr="007224C3" w:rsidRDefault="00076BEB" w:rsidP="007224C3">
      <w:pPr>
        <w:pStyle w:val="36"/>
        <w:shd w:val="clear" w:color="auto" w:fill="auto"/>
        <w:spacing w:after="0"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1. Обязать Наркомавиапром - т.Шахурина, директора завода № 292 - т.Левина всемерно ускорить производство истребителей Як-3 и обеспечить следующий выпуск: в апре</w:t>
      </w:r>
      <w:r w:rsidRPr="007224C3">
        <w:rPr>
          <w:rFonts w:ascii="Times New Roman" w:cs="Times New Roman"/>
          <w:color w:val="000000" w:themeColor="text1"/>
          <w:spacing w:val="0"/>
          <w:sz w:val="16"/>
          <w:szCs w:val="16"/>
        </w:rPr>
        <w:softHyphen/>
        <w:t>ле - 45, в мае - 90 и в июне - 135 самслетов.</w:t>
      </w:r>
    </w:p>
    <w:p w14:paraId="7EFDEEAE" w14:textId="77777777" w:rsidR="00076BEB" w:rsidRPr="007224C3" w:rsidRDefault="00076BEB" w:rsidP="007224C3">
      <w:pPr>
        <w:pStyle w:val="36"/>
        <w:shd w:val="clear" w:color="auto" w:fill="auto"/>
        <w:spacing w:after="0"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Для облегчения перехода завода № 292 на производ</w:t>
      </w:r>
      <w:r w:rsidRPr="007224C3">
        <w:rPr>
          <w:rFonts w:ascii="Times New Roman" w:cs="Times New Roman"/>
          <w:color w:val="000000" w:themeColor="text1"/>
          <w:spacing w:val="0"/>
          <w:sz w:val="16"/>
          <w:szCs w:val="16"/>
        </w:rPr>
        <w:softHyphen/>
        <w:t xml:space="preserve">ство самолетов Як-3 установить с 1 апреля </w:t>
      </w:r>
      <w:r w:rsidRPr="007224C3">
        <w:rPr>
          <w:rStyle w:val="0pt"/>
          <w:rFonts w:ascii="Times New Roman" w:cs="Times New Roman"/>
          <w:color w:val="000000" w:themeColor="text1"/>
          <w:spacing w:val="0"/>
          <w:sz w:val="16"/>
          <w:szCs w:val="16"/>
        </w:rPr>
        <w:t>1944</w:t>
      </w:r>
      <w:r w:rsidRPr="007224C3">
        <w:rPr>
          <w:rFonts w:ascii="Times New Roman" w:cs="Times New Roman"/>
          <w:color w:val="000000" w:themeColor="text1"/>
          <w:spacing w:val="0"/>
          <w:sz w:val="16"/>
          <w:szCs w:val="16"/>
        </w:rPr>
        <w:t xml:space="preserve"> года про</w:t>
      </w:r>
      <w:r w:rsidRPr="007224C3">
        <w:rPr>
          <w:rFonts w:ascii="Times New Roman" w:cs="Times New Roman"/>
          <w:color w:val="000000" w:themeColor="text1"/>
          <w:spacing w:val="0"/>
          <w:sz w:val="16"/>
          <w:szCs w:val="16"/>
        </w:rPr>
        <w:softHyphen/>
        <w:t>грамму выпуска самолетов Як-3 и Як-1 по 8 самолетов в день, вместо выпускаемых в настоящее время 10 самолетов в день.</w:t>
      </w:r>
    </w:p>
    <w:p w14:paraId="6EBA8836" w14:textId="77777777" w:rsidR="00076BEB" w:rsidRPr="007224C3" w:rsidRDefault="00076BEB" w:rsidP="007224C3">
      <w:pPr>
        <w:pStyle w:val="36"/>
        <w:shd w:val="clear" w:color="auto" w:fill="auto"/>
        <w:spacing w:after="0"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 xml:space="preserve">2. Обязать Наркомавиапром- т.Шахурина, директора завода № 1 - т.Третьякова всемерно ускорить переход па производство самолетов Ил-2 с металлическими крыльями и обеспечить при всех условиях следующий выпуск самолетов Ил-2 с металлическими крыльями: в апреле - </w:t>
      </w:r>
      <w:r w:rsidRPr="007224C3">
        <w:rPr>
          <w:rStyle w:val="0pt"/>
          <w:rFonts w:ascii="Times New Roman" w:cs="Times New Roman"/>
          <w:color w:val="000000" w:themeColor="text1"/>
          <w:spacing w:val="0"/>
          <w:sz w:val="16"/>
          <w:szCs w:val="16"/>
        </w:rPr>
        <w:t>60,</w:t>
      </w:r>
      <w:r w:rsidRPr="007224C3">
        <w:rPr>
          <w:rFonts w:ascii="Times New Roman" w:cs="Times New Roman"/>
          <w:color w:val="000000" w:themeColor="text1"/>
          <w:spacing w:val="0"/>
          <w:sz w:val="16"/>
          <w:szCs w:val="16"/>
        </w:rPr>
        <w:t xml:space="preserve"> в мае - </w:t>
      </w:r>
      <w:r w:rsidRPr="007224C3">
        <w:rPr>
          <w:rStyle w:val="0pt"/>
          <w:rFonts w:ascii="Times New Roman" w:cs="Times New Roman"/>
          <w:color w:val="000000" w:themeColor="text1"/>
          <w:spacing w:val="0"/>
          <w:sz w:val="16"/>
          <w:szCs w:val="16"/>
        </w:rPr>
        <w:t>180</w:t>
      </w:r>
      <w:r w:rsidRPr="007224C3">
        <w:rPr>
          <w:rFonts w:ascii="Times New Roman" w:cs="Times New Roman"/>
          <w:color w:val="000000" w:themeColor="text1"/>
          <w:spacing w:val="0"/>
          <w:sz w:val="16"/>
          <w:szCs w:val="16"/>
        </w:rPr>
        <w:t xml:space="preserve"> самолетов.</w:t>
      </w:r>
    </w:p>
    <w:p w14:paraId="05087B54" w14:textId="77777777" w:rsidR="00076BEB" w:rsidRPr="007224C3" w:rsidRDefault="00076BEB" w:rsidP="007224C3">
      <w:pPr>
        <w:pStyle w:val="36"/>
        <w:shd w:val="clear" w:color="auto" w:fill="auto"/>
        <w:spacing w:after="0"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 xml:space="preserve">Установить заводу № 1 с 1 апреля </w:t>
      </w:r>
      <w:r w:rsidRPr="007224C3">
        <w:rPr>
          <w:rStyle w:val="0pt"/>
          <w:rFonts w:ascii="Times New Roman" w:cs="Times New Roman"/>
          <w:color w:val="000000" w:themeColor="text1"/>
          <w:spacing w:val="0"/>
          <w:sz w:val="16"/>
          <w:szCs w:val="16"/>
        </w:rPr>
        <w:t>1944</w:t>
      </w:r>
      <w:r w:rsidRPr="007224C3">
        <w:rPr>
          <w:rFonts w:ascii="Times New Roman" w:cs="Times New Roman"/>
          <w:color w:val="000000" w:themeColor="text1"/>
          <w:spacing w:val="0"/>
          <w:sz w:val="16"/>
          <w:szCs w:val="16"/>
        </w:rPr>
        <w:t xml:space="preserve"> года вы</w:t>
      </w:r>
      <w:r w:rsidRPr="007224C3">
        <w:rPr>
          <w:rFonts w:ascii="Times New Roman" w:cs="Times New Roman"/>
          <w:color w:val="000000" w:themeColor="text1"/>
          <w:spacing w:val="0"/>
          <w:sz w:val="16"/>
          <w:szCs w:val="16"/>
        </w:rPr>
        <w:softHyphen/>
        <w:t>пуск по 11 самолетов в день» вместо выпускаемых в настоя</w:t>
      </w:r>
      <w:r w:rsidRPr="007224C3">
        <w:rPr>
          <w:rFonts w:ascii="Times New Roman" w:cs="Times New Roman"/>
          <w:color w:val="000000" w:themeColor="text1"/>
          <w:spacing w:val="0"/>
          <w:sz w:val="16"/>
          <w:szCs w:val="16"/>
        </w:rPr>
        <w:softHyphen/>
        <w:t>щее время 14 самслетов в день</w:t>
      </w:r>
    </w:p>
    <w:p w14:paraId="316FF4CC" w14:textId="77777777" w:rsidR="00076BEB" w:rsidRPr="007224C3" w:rsidRDefault="00076BE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Обязать Наркомавиапром  т.Шахурина и директора за</w:t>
      </w:r>
      <w:r w:rsidRPr="007224C3">
        <w:rPr>
          <w:rFonts w:ascii="Times New Roman" w:hAnsi="Times New Roman"/>
          <w:color w:val="000000" w:themeColor="text1"/>
          <w:sz w:val="16"/>
          <w:szCs w:val="16"/>
        </w:rPr>
        <w:softHyphen/>
        <w:t>вода № 30 - т.Смирнова всемерно ускорить переход на произ</w:t>
      </w:r>
      <w:r w:rsidRPr="007224C3">
        <w:rPr>
          <w:rFonts w:ascii="Times New Roman" w:hAnsi="Times New Roman"/>
          <w:color w:val="000000" w:themeColor="text1"/>
          <w:sz w:val="16"/>
          <w:szCs w:val="16"/>
        </w:rPr>
        <w:softHyphen/>
        <w:t>водство самолетов Ил-2 с металлическими крыльями и обеспечить при всех условиях следующий выпуск самолетов Ил-4 с металли</w:t>
      </w:r>
      <w:r w:rsidRPr="007224C3">
        <w:rPr>
          <w:rFonts w:ascii="Times New Roman" w:hAnsi="Times New Roman"/>
          <w:color w:val="000000" w:themeColor="text1"/>
          <w:sz w:val="16"/>
          <w:szCs w:val="16"/>
        </w:rPr>
        <w:softHyphen/>
        <w:t>ческими крыльями: в апреле - 50 и в мае - 170 самолетов.</w:t>
      </w:r>
    </w:p>
    <w:p w14:paraId="2F0F0130" w14:textId="77777777" w:rsidR="00076BEB" w:rsidRPr="007224C3" w:rsidRDefault="00076BE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Установить заводу № 30 с 1 апреля 1944 года выпуск по 9 самолетов в день, вместо выпускаемых в настоящее время 10 самолетов в день.</w:t>
      </w:r>
    </w:p>
    <w:p w14:paraId="6DAD686D" w14:textId="77777777" w:rsidR="00076BEB" w:rsidRPr="007224C3" w:rsidRDefault="00076BE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4. Госплану </w:t>
      </w:r>
      <w:r w:rsidRPr="007224C3">
        <w:rPr>
          <w:rFonts w:ascii="Times New Roman" w:hAnsi="Times New Roman"/>
          <w:color w:val="000000" w:themeColor="text1"/>
          <w:sz w:val="16"/>
          <w:szCs w:val="16"/>
          <w:lang w:val="en-US"/>
        </w:rPr>
        <w:t>CCCF</w:t>
      </w:r>
      <w:r w:rsidRPr="007224C3">
        <w:rPr>
          <w:rFonts w:ascii="Times New Roman" w:hAnsi="Times New Roman"/>
          <w:color w:val="000000" w:themeColor="text1"/>
          <w:sz w:val="16"/>
          <w:szCs w:val="16"/>
        </w:rPr>
        <w:t xml:space="preserve"> и Наркотину </w:t>
      </w:r>
      <w:r w:rsidRPr="007224C3">
        <w:rPr>
          <w:rFonts w:ascii="Times New Roman" w:hAnsi="Times New Roman"/>
          <w:color w:val="000000" w:themeColor="text1"/>
          <w:sz w:val="16"/>
          <w:szCs w:val="16"/>
          <w:lang w:val="en-US"/>
        </w:rPr>
        <w:t>CCCF</w:t>
      </w:r>
      <w:r w:rsidRPr="007224C3">
        <w:rPr>
          <w:rFonts w:ascii="Times New Roman" w:hAnsi="Times New Roman"/>
          <w:color w:val="000000" w:themeColor="text1"/>
          <w:sz w:val="16"/>
          <w:szCs w:val="16"/>
        </w:rPr>
        <w:t xml:space="preserve"> ввести в годовой и квартально-хозяйственный план заводов Наркоиавиапрома соответ ствующие уточнения, вытекающие из настоящего постановления (19481).</w:t>
      </w:r>
    </w:p>
    <w:p w14:paraId="308BFD35" w14:textId="77777777" w:rsidR="00076BEB" w:rsidRPr="007224C3" w:rsidRDefault="00076BEB" w:rsidP="007224C3">
      <w:pPr>
        <w:autoSpaceDE w:val="0"/>
        <w:autoSpaceDN w:val="0"/>
        <w:adjustRightInd w:val="0"/>
        <w:spacing w:after="0" w:line="240" w:lineRule="auto"/>
        <w:jc w:val="both"/>
        <w:rPr>
          <w:rFonts w:ascii="Times New Roman" w:hAnsi="Times New Roman"/>
          <w:color w:val="000000" w:themeColor="text1"/>
          <w:sz w:val="16"/>
          <w:szCs w:val="16"/>
        </w:rPr>
      </w:pPr>
    </w:p>
    <w:p w14:paraId="057DAB6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С 3 по 18 апреля 1944 на курсах им. Ворошилова проходил второй этап испытаний - стрельбой 37-мм противотанковых пушек, а первый - с 26 марта по 2 апреля 1944 </w:t>
      </w:r>
      <w:r w:rsidRPr="007224C3">
        <w:rPr>
          <w:rFonts w:ascii="Times New Roman" w:hAnsi="Times New Roman"/>
          <w:color w:val="000000" w:themeColor="text1"/>
          <w:sz w:val="16"/>
          <w:szCs w:val="16"/>
        </w:rPr>
        <w:lastRenderedPageBreak/>
        <w:t>на аэродроме у Медвежьих озер на базе отдельной испытательной эскадрильи (3861).</w:t>
      </w:r>
    </w:p>
    <w:p w14:paraId="41255D6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7CB06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апреля 1944 состоялось заседание коллегии НКАП по вопросу "Об итогах проведенной работы по внедрению поточного метода производства на заводах НКАП (1743).</w:t>
      </w:r>
    </w:p>
    <w:p w14:paraId="3788288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88677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апреля 1944 года начальник ЦИАМ профессор Поликовский писали письмо Шахурину.</w:t>
      </w:r>
    </w:p>
    <w:p w14:paraId="74F6FE1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Вопрос, затронутый Фадеевым и другими, об авторах схемы реактивно-винтовой моторной установки совершенно не важен. Принципиального различия в схемах ЦАГИ и ЦИАМ не имеется. Имеющиеся технические различия являются естественным следствием процесса разработки схемы двигателя.</w:t>
      </w:r>
    </w:p>
    <w:p w14:paraId="427E0CD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Конечно, отсутствие ссылки на ЦИАМ в техническом отчете ЦАГИ за 1943 г., является не тактичным, но этот вопрос не заслуживает особенного внимания (1825,19).</w:t>
      </w:r>
    </w:p>
    <w:p w14:paraId="78BEC01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DCDA9F"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5BBBE7B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2B45AA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апреля 1944 г. была подготовлена ДОКЛАДНАЯ ЗАПИСКА КОМАНДУЮЩЕГО БТ и МВ КА ЗАМЕСТИТЕЛЮ ПРЕДСЕДАТЕЛЯ СНК СССР Л.П.БЕРИИ О ПОВЫШЕНИИ БРОНЕСТОЙКОСТИ ТАНКОВ Т-34 И САМОХОДНЫХ УСТАНОВОК СУ-85 №521559</w:t>
      </w:r>
    </w:p>
    <w:p w14:paraId="6C067AF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целях повышения бронестойкости танка Т-VI (Тигр), немцы возимый запасный комплект тра</w:t>
      </w:r>
      <w:r w:rsidRPr="007224C3">
        <w:rPr>
          <w:rFonts w:ascii="Times New Roman" w:hAnsi="Times New Roman"/>
          <w:color w:val="000000" w:themeColor="text1"/>
          <w:sz w:val="16"/>
          <w:szCs w:val="16"/>
        </w:rPr>
        <w:softHyphen/>
        <w:t>ков укрепляют на вертикальную броню передней части корпуса.</w:t>
      </w:r>
    </w:p>
    <w:p w14:paraId="4FA8BF8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проверки эффективности этого мероприятия, в марте месяце 1944 г. на НИБТ полигоне ГБТУ КА проводились испытания обстрелом передней части корпуса (деталь 34.29.904) танка Т-34 с траками, закрепленными на переднем верхнем броневом листе.</w:t>
      </w:r>
    </w:p>
    <w:p w14:paraId="17C7AD4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Обстрел производился бронебойным 75-мм снарядом из немецкой пушки (Рак 40), имеющей начальную скорость равную 770 м/с.</w:t>
      </w:r>
    </w:p>
    <w:p w14:paraId="624F487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Испытаниями установлено, что передняя часть корпуса, незащищенная траками, пробивается 75-мм бронебойным снарядом немецкой пушки (Рак 40) на дистанции 800 метров и не пробивается на дистанции 900 метров, а защищенная передняя часть корпуса танка Т-34 пробивается на дис</w:t>
      </w:r>
      <w:r w:rsidRPr="007224C3">
        <w:rPr>
          <w:rFonts w:ascii="Times New Roman" w:hAnsi="Times New Roman"/>
          <w:color w:val="000000" w:themeColor="text1"/>
          <w:sz w:val="16"/>
          <w:szCs w:val="16"/>
        </w:rPr>
        <w:softHyphen/>
        <w:t>танции 1000 метров и не пробивается на дистанции 1100 метров, т.е. защита траками повышает бронестойкость на 200 метров дистанции.</w:t>
      </w:r>
    </w:p>
    <w:p w14:paraId="169C0EF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Считаю целесообразным изменить существующую укладку возимых запасных траков на танках Т-34, самоходных установках СУ-85.</w:t>
      </w:r>
    </w:p>
    <w:p w14:paraId="7BF6FEB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Прошу Вас обязать Наркомат танковой промышленности с 15 апреля 1944 года перенести укладку возимых запасных траков на переднюю часть корпуса танков Т-34 и самоходных установок СУ-85.</w:t>
      </w:r>
    </w:p>
    <w:p w14:paraId="4D97467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Командующий БТ и МВ КА маршал бронетанковых войск Федоренко</w:t>
      </w:r>
    </w:p>
    <w:p w14:paraId="3F76364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Член военного совета БТ и МВ КА генерал-лейтенант танковых войск Бирюков</w:t>
      </w:r>
    </w:p>
    <w:p w14:paraId="350D9B8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38. Оп. 11355. Д. 2198. Л. 18. Копия (11403).</w:t>
      </w:r>
    </w:p>
    <w:p w14:paraId="6614AAC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1E7EC6E"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апреля 1944 года командующий бронетанковыми и механизированными войсками Красной Армии Маршал бронетанковых войск Федоренко направил на имя заместителя председателя СНК СССР Л. Берии предложение «О повышении бронес- тойкости танков Т-34 и самоходных установок СУ-85», в котором предлагал следующее:</w:t>
      </w:r>
    </w:p>
    <w:p w14:paraId="79661FE2"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целях повышения бронестойкости танка Т-У (Тигр), немцы возимый запасный комплект траков укрепляют на вертикальную броню передней части корпуса.</w:t>
      </w:r>
    </w:p>
    <w:p w14:paraId="5DE21ED4"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проверки эффективности этого мероприятия, в марте месяце 1944 г. на НИБТ полигоне ГБТУ КА проводились испытания обстрелом передней части корпуса (деталь 34.29.904) танка Т-34 с траками, закрепленными на переднем верхнем броневом листе.</w:t>
      </w:r>
    </w:p>
    <w:p w14:paraId="46C5A36D"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Обстрел производился бронебойным 75-мм снарядом из немецкой пушки (Рак 40), имеющей начальную скорость равную 770 м/с.</w:t>
      </w:r>
    </w:p>
    <w:p w14:paraId="271B6278"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Испытаниями установлено, что передняя часть корпуса, незащищенная траками, пробивается 75-мм бронебойным снарядом немецкой пушки (Рак 40) на дистанции 800 метров и не пробивается на дистанции 900 метров, а защищенная передняя часть корпуса танка Т-34 пробивается на дистанции 1000 метров и не пробивается на дистанции 1100 метров, т.е. защита траками повышает бронес- тойкость на 200 метров дистанции.</w:t>
      </w:r>
    </w:p>
    <w:p w14:paraId="609D4F36"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Считаю целесообразным изменить существующую укладку возимых запасных траков на танках Т-34. самоходных установках СУ-85.</w:t>
      </w:r>
    </w:p>
    <w:p w14:paraId="0DF4BE9C"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Прошу Вас обязать Наркомат танковой промышленности с 15 апреля 1944 года перенести укладку возимых запасных траков на переднюю часть корпуса танков Т-34 и самоходных установок СУ-85».</w:t>
      </w:r>
    </w:p>
    <w:p w14:paraId="0141210C"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результате, в 1944 году на лобовом листе Т-34-85 появилась укладка пяти дополнительных траков (12217).</w:t>
      </w:r>
    </w:p>
    <w:p w14:paraId="3A9D6994" w14:textId="77777777" w:rsidR="00137373" w:rsidRPr="007224C3" w:rsidRDefault="00137373" w:rsidP="007224C3">
      <w:pPr>
        <w:spacing w:after="0" w:line="240" w:lineRule="auto"/>
        <w:jc w:val="both"/>
        <w:rPr>
          <w:rFonts w:ascii="Times New Roman" w:hAnsi="Times New Roman"/>
          <w:color w:val="000000" w:themeColor="text1"/>
          <w:sz w:val="16"/>
          <w:szCs w:val="16"/>
        </w:rPr>
      </w:pPr>
    </w:p>
    <w:p w14:paraId="43E830A7"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апреля 1944 вышло Распоряжение ГКО № 5521 [О выделении военнослужащих на речной транспорт для работы по перевозке воинских грузов на период навигации.] (7204, 54,55-56).</w:t>
      </w:r>
    </w:p>
    <w:p w14:paraId="3D9F4C76"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34523E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апреля 1944 вышло Постановление ГКО № 5522 О плане ремонта вооружения для Красной Армии на II квартал 1944 года. РГАНИР, Фонд ГКО, д. 224, лл. 57-61,62-136 (11012).</w:t>
      </w:r>
    </w:p>
    <w:p w14:paraId="2E7E66D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23C733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апреля 1944 вышло Постановление ГКО № 5524 О мерах неотложной помощи по восстановлению содовых заводов Наркомхимпрома в Донбассе. РГАНИР, Фонд ГКО, д. 224, лл. 142-154,155-167 (11012).</w:t>
      </w:r>
    </w:p>
    <w:p w14:paraId="241BE8E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DC2D86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апреля 1944 вышло Постановление ГКО № 5527 О мерах по обеспечению Военно-Морского Флота торпедами. РГАНИР, Фонд ГКО, д. 224, лл. 172-175,176-186 (11012).</w:t>
      </w:r>
    </w:p>
    <w:p w14:paraId="16F4FC9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F8B6C39"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апреля 1944 вышло Постановление ГКО № 5528 О мерах помощи Дальнефтекомбинату для увеличения добычи нефти на острове Сахалине. (7204, 187-191,192-198).</w:t>
      </w:r>
    </w:p>
    <w:p w14:paraId="32C39D1A"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56EB27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апреля 1944 вышло Постановление ГКО № 5529 О мероприятиях по укреплению материально-технической базы предприятий Казахстаннефтекомбината. РГАНИР, Фонд ГКО, д. 224, лл. 199-206,207-209 (11012).</w:t>
      </w:r>
    </w:p>
    <w:p w14:paraId="52C1EFD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51A550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апреля 1944 вышло Постановление ГКО № 5530 О запрещении привлекать личный состав строевых и запасных частей для хозяйственных работ и о формировании для этой цели во фронтах рабочих батальонов. РГАНИР, Фонд ГКО, д. 224, лл. 210-211 (11012).</w:t>
      </w:r>
    </w:p>
    <w:p w14:paraId="0E3C020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F2660F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апреля 1944 вышло Постановление ГКО № 5531 О строительстве Чусовского металлургического завода Наркомчермета. РГАНИР, Фонд ГКО, д. 224, лл. 212-214,215-220 (11012).</w:t>
      </w:r>
    </w:p>
    <w:p w14:paraId="6E63CEA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5FCE45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апреля 1944 вышло Постановление ГКО № 5533 О мероприятиях по окончанию строительства вторых очередей и вводу на полную мощность Тавдинского, Лобвинского, Красноярского и Канского гидролизных заводов. РГАНИР, Фонд ГКО, д. 224, лл. 238-242,243-249 (11012).</w:t>
      </w:r>
    </w:p>
    <w:p w14:paraId="51CFE20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F1FD26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апреля 1944 вышло Распоряжение ГКО № 5534. О мерах по обеспечению строящихся тяжелых железнодорожных артиллерийских батарей Военно-Морского Флота вагонами погребами для боезапаса и зенитными платформами сопровождения. РГАНИР, Фонд ГКО, д. 224, лл. 250-251 (11012).</w:t>
      </w:r>
    </w:p>
    <w:p w14:paraId="72D7B6C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88B9F5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апреля 1944 вышло Распоряжение ГКО № 5535. О поставке материалов для ремонта кораблей Черноморского флота. РГАНИР, Фонд ГКО, д. 224, лл. 252-253 (11012).</w:t>
      </w:r>
    </w:p>
    <w:p w14:paraId="7F6CF5D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2212C01"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апреля 1944 вышло Постановление ГКО № 5532 О мероприятиях по обеспечению вывоза хлеба речным транспортом в полноводный период навигации 1944 г. (7204, 221-226,227-237).</w:t>
      </w:r>
    </w:p>
    <w:p w14:paraId="1DA1DAA3"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54D6280"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апреля 1944 приказом Госплана уполномоченным на местах запретили: “давать кому бы то ни было различные статистические материалы и отчеты, кроме как первому секретарю обкома, крайкомои ВКП(б) и ЦК компартий” (7643, 16).</w:t>
      </w:r>
    </w:p>
    <w:p w14:paraId="64C8A6AF"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0AF6DC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апреля 1944 г. Приказами Госплана было запрещено Уполномоченным, в том числе их управлениям статистики “давать кому бы то ни было различные статистические материалы и отчеты, кроме как первому секретарю обкома, крайкома ВКП(б) и ЦК компартий республик и председателю Совнаркома союзной, автономной республики, обл. (крайисполкома”. Это предотвращало утечку сведений, содержащих государственную тайну (7543).</w:t>
      </w:r>
    </w:p>
    <w:p w14:paraId="65133BD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EB8B10"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4042AF9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9571855" w14:textId="77777777" w:rsidR="00383F24" w:rsidRPr="007224C3" w:rsidRDefault="00383F24"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3 апреля</w:t>
      </w:r>
      <w:r w:rsidRPr="007224C3">
        <w:rPr>
          <w:rFonts w:ascii="Times New Roman" w:hAnsi="Times New Roman"/>
          <w:color w:val="000000" w:themeColor="text1"/>
          <w:sz w:val="16"/>
          <w:szCs w:val="16"/>
        </w:rPr>
        <w:t xml:space="preserve"> в 1944 году оперативная сводка Совинформбюро:</w:t>
      </w:r>
    </w:p>
    <w:p w14:paraId="7D4D64F8" w14:textId="77777777" w:rsidR="00383F24" w:rsidRPr="007224C3" w:rsidRDefault="00383F2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3 апреля западнее и юго-западнее города Дубно наши войска вели наступательные бои, в ходе которых овладели районными центрами Волынской области городом Горохов, городом Берестечко, районным центромЛьвовской области Лопатин, а также заняли более 80 других населённых пунктов, среди которых крупные населённые пункты Ольхувка, Звиняче, Скобелка, Холонюв, Боремель, Перемыл, Барылув, Смажув, Щуровице, Завидче, Куликув, Немилув, Станиславчик, Пониковица, Боратын, Пониква.</w:t>
      </w:r>
    </w:p>
    <w:p w14:paraId="1D27741C" w14:textId="77777777" w:rsidR="00383F24" w:rsidRPr="007224C3" w:rsidRDefault="00383F2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Несколько дней назад войска 2-го Украинского фронта на ряде участков форсировали реку Прут и заняли на румынской территории более 50 населённых пунктов и среди них крупные населённые пункты Красналеука, Шерпенида, Сэвени, Хенешти, Денжений, Стефанешти, Кауешти, Трифешти, Циганешиу, Кырпицый (13 километров севернее Яссы) и железнодорожную станцию Денжений, перерезав таким образом железную дорогу Яссы-Дорохой.</w:t>
      </w:r>
    </w:p>
    <w:p w14:paraId="0D9E0CF3" w14:textId="77777777" w:rsidR="00383F24" w:rsidRPr="007224C3" w:rsidRDefault="00383F2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Кишинёвском направлении наши войска продолжали вести наступательные бои, в ходе которых заняли несколько населённых пунктов, среди которых крупные населённые пункты Гординешти, Мелешень, Бравича, Кукурузени, Курлени, Лалова, Стодолна, Самарка.</w:t>
      </w:r>
    </w:p>
    <w:p w14:paraId="0363714A" w14:textId="77777777" w:rsidR="00383F24" w:rsidRPr="007224C3" w:rsidRDefault="00383F2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Одесском направлении наши войска, продолжая развивать наступление, овладели районными центрами Одесской области Красные Окна, Валегоцулово, Жовтень, а также с боями заняли более 100 других населённых пунктов, в том числе крупные населённые пункты Малаешты, Ново-Самарка, Антоновка, Владимировка, Новоезарицкое, Бирносово, Онилово, Бранкованово, Кочулова, Армашовка, Семенополь, Сталино, Цезаревка и железнодорожную станцию Мардаровка.</w:t>
      </w:r>
    </w:p>
    <w:p w14:paraId="18FDE167" w14:textId="77777777" w:rsidR="00383F24" w:rsidRPr="007224C3" w:rsidRDefault="00383F2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в ряде пунктов шли бои местного значения.</w:t>
      </w:r>
    </w:p>
    <w:p w14:paraId="5EBCE4C3" w14:textId="77777777" w:rsidR="00383F24" w:rsidRPr="007224C3" w:rsidRDefault="00383F2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2 апреля наши войска на всех фронтах подбили и уничтожили 52 немецких танка. В воздушных боях и огнём зенитной артиллерии сбито 40 самолётов противника.</w:t>
      </w:r>
    </w:p>
    <w:p w14:paraId="0FA0FD76" w14:textId="77777777" w:rsidR="00383F24" w:rsidRPr="007224C3" w:rsidRDefault="00383F2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и юго-западнее города Дубно наши войска, преодолевая упорное сопротивление противника, овладели районными центрами Волынской области городами Горохов и Берестечко и районным центром Львовской области Лопатин. В боях за эти пункты противник понёс большие потери в людях и технике. По неполным данным, уничтожено до 1.500 немецких солдат и офицеров, сожжено и подбито 34 танка противника. Захвачены у немцев 9 бронемашин и бронетранспортёров, 26 орудий, 80 пулемётов, склады с боеприпасами и военным имуществом.</w:t>
      </w:r>
    </w:p>
    <w:p w14:paraId="2E284B92" w14:textId="77777777" w:rsidR="00383F24" w:rsidRPr="007224C3" w:rsidRDefault="00383F2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1-го Украинского фронта вели бои по уничтожению немецких войск, окружённых в районе города Скала. Противник предпринимает отчаянные попытки выбраться из «котла», но всюду наталкивается на непреодолимые заслоны советскихвойск. Колонны немцев пытались пробиться на юг, к Днестру. Советские пехотинцы, артиллеристы, миномётчики и танкисты встретили врага ураганным огнем. Все попытки противника прорваться в западном направлении также ликвидированы. Сжимая кольцо окружения, наши части в течение дня уничтожили свыше 3.000 немецких солдат и офицеров. Гитлеровцы оставили на поле боя огромное количество вооружения и боевой техники. Только на одном участке взято в плен 1.200 солдат и офицеров противника и захвачено свыше 1.000 автомашин. В другом районе немцы, отступая под ударами советских войск, оставили 40 взорванных танков и более 2.000 сожжённых автомашин. Советские танкисты наносят особенно тяжёлые потери противнику. Врываясь в боевые порядки немцев, танкисты расчленяют их наотдельные группы и по частям добивают остатки окружённых немецких дивизий.</w:t>
      </w:r>
    </w:p>
    <w:p w14:paraId="5AE7E040" w14:textId="77777777" w:rsidR="00383F24" w:rsidRPr="007224C3" w:rsidRDefault="00383F2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Советские бойцы и офицеры, действующие в условиях распутицы и бездорожья, проявляют величайший героизм и самоотверженность. Небольшая группа красноармейцев под командой т. Головкина ворвалась на железнодорожную станцию, занятую немцами. Несмотря на то, что противник обладал численным перевесом, советские бойцы вступили в неравный бой. Они истребили многих гитлеровцев, а остальных обратили в бегство. Захвачено 8 орудий, 6 вагонов, 45 тягачей иавтомашин. На другом участке немцы, отступая, переправились через реку и подожгли за собой мост. Несколько гитлеровцев остались на берегу реки и пулемётным огнём мешали нашим бойцам ликвидировать пожар. Автоматчики тт. Караеви Бундец переплыли через реку и уничтожили немецких пулемётчиков. Наши бойцы быстро потушили пожар и, использовав мост, переправились через реку. Экипаж танка гвардии старшего лейтенанта Кульдина в последних боях истребил 60 гитлеровцев и уничтожил 4 немецких танка, 60 автомашин и повозок с боеприпасами. Экипаж танка гвардии лейтенанта Верёвкина подбил 3 немецких танка и уничтожил 30 автомашин противника.</w:t>
      </w:r>
    </w:p>
    <w:p w14:paraId="0C92EAA5" w14:textId="77777777" w:rsidR="00383F24" w:rsidRPr="007224C3" w:rsidRDefault="00383F2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Одесском направлении наши войска продолжали наступление. Противник, опираясь на естественные рубежи, оказывал сильное огневое сопротивление. Советские части с боями продвигались вперёд и заняли более 100 населённых пунктов. Бойцы Н-ского соединения переправились через реку Большой Куяльник и стремительной атакой с различных направлений овладели районным центром Одесской области Жовтень. На поле боя осталось много вражеских трупов. Захвачены трофеи и пленные. Подразделения Н-ской части в результате успешного обходного манёвра разбили два батальона немцев и захватили всё их вооружение. Другая наша часть, овладев населённым пунктом, захватила 24 орудия, 40 автомашин и крупный склад боеприпасов.</w:t>
      </w:r>
    </w:p>
    <w:p w14:paraId="7B4064ED" w14:textId="77777777" w:rsidR="00383F24" w:rsidRPr="007224C3" w:rsidRDefault="00383F2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Лётчики разведывательной авиации Краснознамённого Балтийского флота обнаружили в Финском заливе две группы кораблей противника. Авиация флота в течение дня нанесла три последовательных массированных удара по вражеским судам. Несмотря на сильный зенитный огонь с кораблей и противодействие истребителей противника, все наши самолёты прорвались к цели. Прямым попаданием бомб потоплены 2 тральщика, 2 сторожевых катера и десантная баржа. В ожесточённых воздушных боях советские лётчики сбили 35 немецких самолётов. Наши потери — 4 самолёта.</w:t>
      </w:r>
    </w:p>
    <w:p w14:paraId="706CBFA5" w14:textId="77777777" w:rsidR="00383F24" w:rsidRPr="007224C3" w:rsidRDefault="00383F2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Авиация Северного флота совершила налёт на порт Лиинахамари (залив Петсамо). Группа советских штурмовиков в сопровождении истребителей нанесла удар по транспортам противника, находившимся в порту. Сброшенными бомбами потоплен немецкий транспорт водоизмещением в 3 тысячи тонн. Другой транспорт противника сильно повреждён.</w:t>
      </w:r>
    </w:p>
    <w:p w14:paraId="17011E58" w14:textId="77777777" w:rsidR="00383F24" w:rsidRPr="007224C3" w:rsidRDefault="00383F2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Крымские партизаны 27 марта разгромили вражеский гарнизон в городе Старый Крым. В ожесточённых уличных боях советские патриоты истребили до 200 гитлеровцев. Взорваны и сожжены склады с боеприпасами и вооружением, здание комендатуры и городской полиции. Советскими патриотами захвачено много трофеев. Партизаны перебили немецкую охрану тюрьмы и освободили 46 заключённых советских граждан.» (15088).</w:t>
      </w:r>
    </w:p>
    <w:p w14:paraId="20F5E41F" w14:textId="77777777" w:rsidR="00383F24" w:rsidRPr="007224C3" w:rsidRDefault="00383F24" w:rsidP="007224C3">
      <w:pPr>
        <w:spacing w:after="0" w:line="240" w:lineRule="auto"/>
        <w:jc w:val="both"/>
        <w:rPr>
          <w:rFonts w:ascii="Times New Roman" w:hAnsi="Times New Roman"/>
          <w:color w:val="000000" w:themeColor="text1"/>
          <w:sz w:val="16"/>
          <w:szCs w:val="16"/>
        </w:rPr>
      </w:pPr>
    </w:p>
    <w:p w14:paraId="143D3E0D" w14:textId="77777777" w:rsidR="00383F24" w:rsidRPr="007224C3" w:rsidRDefault="00383F24" w:rsidP="007224C3">
      <w:pPr>
        <w:spacing w:after="0" w:line="240" w:lineRule="auto"/>
        <w:jc w:val="both"/>
        <w:rPr>
          <w:rFonts w:ascii="Times New Roman" w:hAnsi="Times New Roman"/>
          <w:bCs/>
          <w:color w:val="000000" w:themeColor="text1"/>
          <w:sz w:val="16"/>
          <w:szCs w:val="16"/>
        </w:rPr>
      </w:pPr>
      <w:r w:rsidRPr="007224C3">
        <w:rPr>
          <w:rFonts w:ascii="Times New Roman" w:hAnsi="Times New Roman"/>
          <w:bCs/>
          <w:color w:val="000000" w:themeColor="text1"/>
          <w:sz w:val="16"/>
          <w:szCs w:val="16"/>
        </w:rPr>
        <w:t>3 апреля</w:t>
      </w:r>
      <w:r w:rsidRPr="007224C3">
        <w:rPr>
          <w:rFonts w:ascii="Times New Roman" w:hAnsi="Times New Roman"/>
          <w:color w:val="000000" w:themeColor="text1"/>
          <w:sz w:val="16"/>
          <w:szCs w:val="16"/>
        </w:rPr>
        <w:t xml:space="preserve"> в 1944 году был произведен первый вылет немецкого тяжелого истребителя «Ме-210» в венгерском дивизионе ночных истребителей № 5/1, известном как дивизион "Bagoly" ("Совы"). Дивизион стал первой венгерской частью, оснащенной самолетами «Ме-210», базировавшейся в Ферихедь под Будапештом. Первые самолеты поступили в дивизион в июне 1943 года. Экипажи дивизиона не имели опыта ночных полетов. Дивизион, которым командовал капитан Адам Круди, располагал 12 самолетами. Первый вылет был произведен 3 апреля 1944 года. Перед летчиками стояла задача перехватить американские бомбардировщики из 15-й Воздушной Армии. Из вылета вернулись все самолеты, правда не одержав ни одной победы. Два дня спустя сержант Дезо Замбеки первым сбил «В-24» из 45-й бомбардировочной группы.:</w:t>
      </w:r>
    </w:p>
    <w:p w14:paraId="0C822276" w14:textId="77777777" w:rsidR="00383F24" w:rsidRPr="007224C3" w:rsidRDefault="00383F24" w:rsidP="007224C3">
      <w:pPr>
        <w:spacing w:after="0" w:line="240" w:lineRule="auto"/>
        <w:jc w:val="both"/>
        <w:rPr>
          <w:rFonts w:ascii="Times New Roman" w:hAnsi="Times New Roman"/>
          <w:bCs/>
          <w:color w:val="000000" w:themeColor="text1"/>
          <w:sz w:val="16"/>
          <w:szCs w:val="16"/>
        </w:rPr>
      </w:pPr>
    </w:p>
    <w:p w14:paraId="7770C302" w14:textId="77777777" w:rsidR="00383F24" w:rsidRPr="007224C3" w:rsidRDefault="00383F24"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3 апреля</w:t>
      </w:r>
      <w:r w:rsidRPr="007224C3">
        <w:rPr>
          <w:rFonts w:ascii="Times New Roman" w:hAnsi="Times New Roman"/>
          <w:color w:val="000000" w:themeColor="text1"/>
          <w:sz w:val="16"/>
          <w:szCs w:val="16"/>
        </w:rPr>
        <w:t xml:space="preserve"> в 1944 году в ночь на 3 апреля в районе Неттуно - Анцио состоялся первый боевой вылет штурмовиков-бомбардировщиков </w:t>
      </w:r>
      <w:hyperlink r:id="rId97" w:tgtFrame="_blank" w:history="1">
        <w:r w:rsidRPr="007224C3">
          <w:rPr>
            <w:rFonts w:ascii="Times New Roman" w:hAnsi="Times New Roman"/>
            <w:color w:val="000000" w:themeColor="text1"/>
            <w:sz w:val="16"/>
            <w:szCs w:val="16"/>
          </w:rPr>
          <w:t xml:space="preserve">«Ju.87D» «Stuka» </w:t>
        </w:r>
      </w:hyperlink>
      <w:r w:rsidRPr="007224C3">
        <w:rPr>
          <w:rFonts w:ascii="Times New Roman" w:hAnsi="Times New Roman"/>
          <w:color w:val="000000" w:themeColor="text1"/>
          <w:sz w:val="16"/>
          <w:szCs w:val="16"/>
        </w:rPr>
        <w:t>переоборудованных в ночные штурмовики. Взамен изношенных на самолёты устанавливали модифицированные двигатели «Jumo211P» с выхлопными патрубками, закрытыми пламегасителями из жаропрочной стали. Эти варианты назывались «D-7» ("короткорылый", переделанный из «D-3») и «D-8» ("длиннокрылый" - из «D-5»). На последнем стволы пушек «MG151/20» оснастили коническими надульниками против ослепления. На всех машинах, предназначенных для полков ночных штурмовиков (Nachtsclachtgruppen), вновь усилили бронирование кабины и модернизировали радиооборудование, позволявшее пилотам теперь действовать по командам операторов наземных радаров типа "Freya" (система наведения "Egon"). Большинство из 300 переоборудованных самолётов оснастили радиостанцией «FuG16Z», некоторые получили радиополукомпас с петлей антенны впереди мачты радиостанции. На большинстве стоял автоответчик "свой - чужой" «FuG25A» с антенной в нижней части фюзеляжа. Тормозные решетки сняли. Положительная оценка их действий инициировала создание новых подразделений "ночников", к осени на "штуках" летали уже 6 ночных эскадрилий (15088).</w:t>
      </w:r>
    </w:p>
    <w:p w14:paraId="3BF62222" w14:textId="77777777" w:rsidR="00383F24" w:rsidRPr="007224C3" w:rsidRDefault="00383F24" w:rsidP="007224C3">
      <w:pPr>
        <w:spacing w:after="0" w:line="240" w:lineRule="auto"/>
        <w:jc w:val="both"/>
        <w:rPr>
          <w:rFonts w:ascii="Times New Roman" w:hAnsi="Times New Roman"/>
          <w:color w:val="000000" w:themeColor="text1"/>
          <w:sz w:val="16"/>
          <w:szCs w:val="16"/>
        </w:rPr>
      </w:pPr>
    </w:p>
    <w:p w14:paraId="6C88364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апреля 1944 вышло Постановление ГКО № 5523 О создании ВС Польской армии в составе Берлинга З., Сверчковского К., Завадского А. и утверждении временного положения о ВС. РГАНИР, Фонд ГКО, д. 224, лл. 137,138-141 (11012).</w:t>
      </w:r>
    </w:p>
    <w:p w14:paraId="40986B3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256C46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апреля 1944 вышло Постановление ГКО № 5540 О расформировании войсковых частей НКО, работающих в промышленности и народном хозяйстве и сформировании дорожных и мостовых частей для действующей армии. РГАНИР, Фонд ГКО, д. 225, лл. 27,28-31 (11012).</w:t>
      </w:r>
    </w:p>
    <w:p w14:paraId="45BA451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5F965BD"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1BC0CA1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CDEE20F" w14:textId="77777777" w:rsidR="007249B9" w:rsidRPr="007224C3" w:rsidRDefault="007249B9"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3 апреля 1944 налет американской авиации на Вотье (20373).</w:t>
      </w:r>
    </w:p>
    <w:p w14:paraId="0D935502" w14:textId="77777777" w:rsidR="007249B9" w:rsidRPr="007224C3" w:rsidRDefault="007249B9" w:rsidP="007224C3">
      <w:pPr>
        <w:spacing w:after="0" w:line="240" w:lineRule="auto"/>
        <w:jc w:val="both"/>
        <w:rPr>
          <w:rFonts w:ascii="Times New Roman" w:hAnsi="Times New Roman"/>
          <w:color w:val="0070C0"/>
          <w:sz w:val="16"/>
          <w:szCs w:val="16"/>
        </w:rPr>
      </w:pPr>
    </w:p>
    <w:p w14:paraId="6830F56E" w14:textId="77777777" w:rsidR="007249B9" w:rsidRPr="007224C3" w:rsidRDefault="007249B9"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3 апреля 1944 - 180 бомбардировщиков 15-й воздушной армии США под прикрытием 170 истребителей совершили первый налет Венгрию - на Дунайский авиазавод в пригороде Будапешта, что привело к смерти 1036 человек (22548).</w:t>
      </w:r>
    </w:p>
    <w:p w14:paraId="394476A5" w14:textId="77777777" w:rsidR="007249B9" w:rsidRPr="007224C3" w:rsidRDefault="007249B9" w:rsidP="007224C3">
      <w:pPr>
        <w:spacing w:after="0" w:line="240" w:lineRule="auto"/>
        <w:jc w:val="both"/>
        <w:rPr>
          <w:rFonts w:ascii="Times New Roman" w:hAnsi="Times New Roman"/>
          <w:color w:val="0070C0"/>
          <w:sz w:val="16"/>
          <w:szCs w:val="16"/>
        </w:rPr>
      </w:pPr>
    </w:p>
    <w:p w14:paraId="4F79F007" w14:textId="77777777" w:rsidR="007249B9" w:rsidRPr="007224C3" w:rsidRDefault="007249B9"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3 апреля 1944 225 британских бомбардировщиков без потерь атаковали железнодорожные объекты в Вильнёв-Сент-Джордж, Франция (20373).</w:t>
      </w:r>
    </w:p>
    <w:p w14:paraId="13FA13EA" w14:textId="77777777" w:rsidR="007249B9" w:rsidRPr="007224C3" w:rsidRDefault="007249B9" w:rsidP="007224C3">
      <w:pPr>
        <w:spacing w:after="0" w:line="240" w:lineRule="auto"/>
        <w:jc w:val="both"/>
        <w:rPr>
          <w:rFonts w:ascii="Times New Roman" w:hAnsi="Times New Roman"/>
          <w:color w:val="0070C0"/>
          <w:sz w:val="16"/>
          <w:szCs w:val="16"/>
        </w:rPr>
      </w:pPr>
    </w:p>
    <w:p w14:paraId="4E15CAAB"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3 апреля 1944 американская и английская авиация начала бомбардировку Будапешта и Бухареста (4962).</w:t>
      </w:r>
    </w:p>
    <w:p w14:paraId="350CD4B1"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8486A9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апреля 1944 Создание польского штаба партизанского движения (7451).</w:t>
      </w:r>
    </w:p>
    <w:p w14:paraId="1D2DBFA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1D53BC" w14:textId="77777777" w:rsidR="00383F24" w:rsidRPr="007224C3" w:rsidRDefault="00383F24"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3 апреля</w:t>
      </w:r>
      <w:r w:rsidRPr="007224C3">
        <w:rPr>
          <w:rFonts w:ascii="Times New Roman" w:hAnsi="Times New Roman"/>
          <w:color w:val="000000" w:themeColor="text1"/>
          <w:sz w:val="16"/>
          <w:szCs w:val="16"/>
        </w:rPr>
        <w:t xml:space="preserve"> в 1944 году атака английской авиации на линкор Тирпиц (15088).</w:t>
      </w:r>
    </w:p>
    <w:p w14:paraId="232241BE" w14:textId="77777777" w:rsidR="00383F24" w:rsidRPr="007224C3" w:rsidRDefault="00383F24" w:rsidP="007224C3">
      <w:pPr>
        <w:spacing w:after="0" w:line="240" w:lineRule="auto"/>
        <w:jc w:val="both"/>
        <w:rPr>
          <w:rFonts w:ascii="Times New Roman" w:hAnsi="Times New Roman"/>
          <w:color w:val="000000" w:themeColor="text1"/>
          <w:sz w:val="16"/>
          <w:szCs w:val="16"/>
        </w:rPr>
      </w:pPr>
    </w:p>
    <w:p w14:paraId="6056F6FB" w14:textId="77777777" w:rsidR="007249B9" w:rsidRPr="007224C3" w:rsidRDefault="007249B9"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 xml:space="preserve">3 апреля 1944 пятый флот ВВС возобновляет атаки на японские аэродроме вокруг Холландии на Новой Гвинее, в том числе около ста A-20 Havoc. Они встречают лишь спорадическое сопротивление японцев (20373). </w:t>
      </w:r>
    </w:p>
    <w:p w14:paraId="034DE8BC" w14:textId="77777777" w:rsidR="007249B9" w:rsidRPr="007224C3" w:rsidRDefault="007249B9" w:rsidP="007224C3">
      <w:pPr>
        <w:spacing w:after="0" w:line="240" w:lineRule="auto"/>
        <w:jc w:val="both"/>
        <w:rPr>
          <w:rFonts w:ascii="Times New Roman" w:hAnsi="Times New Roman"/>
          <w:color w:val="0070C0"/>
          <w:sz w:val="16"/>
          <w:szCs w:val="16"/>
        </w:rPr>
      </w:pPr>
    </w:p>
    <w:p w14:paraId="5EE616D6" w14:textId="77777777" w:rsidR="007249B9" w:rsidRPr="007224C3" w:rsidRDefault="007249B9"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3 апреля 1944 в ходе операции Tungsten, налет, начатый с британских авианосцев HMS Victorious, HMS Furious, HMS Emperor, HMS Fencer, HMS Pursuer и HMS Searcher в составе 42 самолетов Fairey Barracuda в сопровождении 40 истребителей, наносит 14 попаданий ьомбами весом 1600 фунтов (726 кг) немецкому линкорец Tirpitz в Альтенфьорде, Норвегия, серьезно повредив его вызвав гибель 122 члена экипажа. Две Барракуды потеряны (20373).</w:t>
      </w:r>
    </w:p>
    <w:p w14:paraId="3C0705D5" w14:textId="77777777" w:rsidR="007249B9" w:rsidRPr="007224C3" w:rsidRDefault="007249B9" w:rsidP="007224C3">
      <w:pPr>
        <w:spacing w:after="0" w:line="240" w:lineRule="auto"/>
        <w:jc w:val="both"/>
        <w:rPr>
          <w:rFonts w:ascii="Times New Roman" w:hAnsi="Times New Roman"/>
          <w:color w:val="0070C0"/>
          <w:sz w:val="16"/>
          <w:szCs w:val="16"/>
        </w:rPr>
      </w:pPr>
    </w:p>
    <w:p w14:paraId="7440E5F8"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78C3540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87B70F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апреля 1944 г. начальник ГУЗ ВВС КА генерал-лейтенант Н.П.Селез</w:t>
      </w:r>
      <w:r w:rsidRPr="007224C3">
        <w:rPr>
          <w:rFonts w:ascii="Times New Roman" w:hAnsi="Times New Roman"/>
          <w:color w:val="000000" w:themeColor="text1"/>
          <w:sz w:val="16"/>
          <w:szCs w:val="16"/>
        </w:rPr>
        <w:softHyphen/>
        <w:t>нев в письме на имя заместителя нар</w:t>
      </w:r>
      <w:r w:rsidRPr="007224C3">
        <w:rPr>
          <w:rFonts w:ascii="Times New Roman" w:hAnsi="Times New Roman"/>
          <w:color w:val="000000" w:themeColor="text1"/>
          <w:sz w:val="16"/>
          <w:szCs w:val="16"/>
        </w:rPr>
        <w:softHyphen/>
        <w:t>кома авиапромышленности П.В.Демен</w:t>
      </w:r>
      <w:r w:rsidRPr="007224C3">
        <w:rPr>
          <w:rFonts w:ascii="Times New Roman" w:hAnsi="Times New Roman"/>
          <w:color w:val="000000" w:themeColor="text1"/>
          <w:sz w:val="16"/>
          <w:szCs w:val="16"/>
        </w:rPr>
        <w:softHyphen/>
        <w:t xml:space="preserve">тьева № 872722 писал, что создалась реальная </w:t>
      </w:r>
      <w:r w:rsidRPr="007224C3">
        <w:rPr>
          <w:rFonts w:ascii="Times New Roman" w:hAnsi="Times New Roman"/>
          <w:iCs/>
          <w:color w:val="000000" w:themeColor="text1"/>
          <w:sz w:val="16"/>
          <w:szCs w:val="16"/>
        </w:rPr>
        <w:t>"угроза срыва сроков выполнения реше</w:t>
      </w:r>
      <w:r w:rsidRPr="007224C3">
        <w:rPr>
          <w:rFonts w:ascii="Times New Roman" w:hAnsi="Times New Roman"/>
          <w:iCs/>
          <w:color w:val="000000" w:themeColor="text1"/>
          <w:sz w:val="16"/>
          <w:szCs w:val="16"/>
        </w:rPr>
        <w:softHyphen/>
        <w:t>ния..."</w:t>
      </w:r>
      <w:r w:rsidRPr="007224C3">
        <w:rPr>
          <w:rFonts w:ascii="Times New Roman" w:hAnsi="Times New Roman"/>
          <w:color w:val="000000" w:themeColor="text1"/>
          <w:sz w:val="16"/>
          <w:szCs w:val="16"/>
        </w:rPr>
        <w:t xml:space="preserve"> Требовалось срочно </w:t>
      </w:r>
      <w:r w:rsidRPr="007224C3">
        <w:rPr>
          <w:rFonts w:ascii="Times New Roman" w:hAnsi="Times New Roman"/>
          <w:iCs/>
          <w:color w:val="000000" w:themeColor="text1"/>
          <w:sz w:val="16"/>
          <w:szCs w:val="16"/>
        </w:rPr>
        <w:t xml:space="preserve">"принять меры по разворачиванию производства металлических крыльев стрельчатой конструкции " </w:t>
      </w:r>
      <w:r w:rsidRPr="007224C3">
        <w:rPr>
          <w:rFonts w:ascii="Times New Roman" w:hAnsi="Times New Roman"/>
          <w:color w:val="000000" w:themeColor="text1"/>
          <w:sz w:val="16"/>
          <w:szCs w:val="16"/>
        </w:rPr>
        <w:t>(6467).</w:t>
      </w:r>
    </w:p>
    <w:p w14:paraId="32A9F7F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9AB42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апреля 1944 года начальник 7-го гл. управления С. Шишкин писал письмо N 816 завод N 477 летчику-испытателю Подгорному Т.С.</w:t>
      </w:r>
    </w:p>
    <w:p w14:paraId="72FDBB1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предложенному Вами проекту "Аэролидера" сообщаю, что ввиду нереальности проекта, НКАП считает реализацию его невозможной (1825,18).</w:t>
      </w:r>
    </w:p>
    <w:p w14:paraId="0B00594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6D9126" w14:textId="77777777" w:rsidR="00383F24" w:rsidRPr="007224C3" w:rsidRDefault="00383F24"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4 апреля</w:t>
      </w:r>
      <w:r w:rsidRPr="007224C3">
        <w:rPr>
          <w:rFonts w:ascii="Times New Roman" w:hAnsi="Times New Roman"/>
          <w:color w:val="000000" w:themeColor="text1"/>
          <w:sz w:val="16"/>
          <w:szCs w:val="16"/>
        </w:rPr>
        <w:t xml:space="preserve"> в 1944 году построены дальний истребитель «Як-9ДД» с дальностью до 2285 км и высотный истребитель «Як-9ПД» с потолком 13500 км (15089).</w:t>
      </w:r>
    </w:p>
    <w:p w14:paraId="3166138E" w14:textId="77777777" w:rsidR="00383F24" w:rsidRPr="007224C3" w:rsidRDefault="00383F24" w:rsidP="007224C3">
      <w:pPr>
        <w:spacing w:after="0" w:line="240" w:lineRule="auto"/>
        <w:jc w:val="both"/>
        <w:rPr>
          <w:rFonts w:ascii="Times New Roman" w:hAnsi="Times New Roman"/>
          <w:color w:val="000000" w:themeColor="text1"/>
          <w:sz w:val="16"/>
          <w:szCs w:val="16"/>
        </w:rPr>
      </w:pPr>
    </w:p>
    <w:p w14:paraId="340903A1"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58DD178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4DD2A74" w14:textId="77777777" w:rsidR="00AA077A" w:rsidRPr="007224C3" w:rsidRDefault="00AA077A" w:rsidP="007224C3">
      <w:pPr>
        <w:pStyle w:val="ae"/>
        <w:spacing w:before="0" w:after="0"/>
        <w:jc w:val="both"/>
        <w:textAlignment w:val="baseline"/>
        <w:rPr>
          <w:color w:val="000000" w:themeColor="text1"/>
          <w:sz w:val="16"/>
          <w:szCs w:val="16"/>
        </w:rPr>
      </w:pPr>
      <w:r w:rsidRPr="007224C3">
        <w:rPr>
          <w:color w:val="000000" w:themeColor="text1"/>
          <w:sz w:val="16"/>
          <w:szCs w:val="16"/>
        </w:rPr>
        <w:t>4-5 апреля 1944 года корпус Т-44, специально изготовленный на заводе № 183, прошёл испытания обстрелом на Уральском артиллерийском полигоне.</w:t>
      </w:r>
    </w:p>
    <w:p w14:paraId="23B280C1" w14:textId="77777777" w:rsidR="00AA077A" w:rsidRPr="007224C3" w:rsidRDefault="00AA077A" w:rsidP="007224C3">
      <w:pPr>
        <w:pStyle w:val="ae"/>
        <w:spacing w:before="0" w:after="0"/>
        <w:jc w:val="both"/>
        <w:textAlignment w:val="baseline"/>
        <w:rPr>
          <w:color w:val="000000" w:themeColor="text1"/>
          <w:sz w:val="16"/>
          <w:szCs w:val="16"/>
        </w:rPr>
      </w:pPr>
      <w:r w:rsidRPr="007224C3">
        <w:rPr>
          <w:color w:val="000000" w:themeColor="text1"/>
          <w:sz w:val="16"/>
          <w:szCs w:val="16"/>
        </w:rPr>
        <w:t>Столь высокий интерес был вызван не в последнюю очередь конструктивными особенностями корпуса танка. Как уже говорилось, КБ-520 заявляло о том, что с лобовой проекции корпус Т-44 не поражается бронебойными снарядами немецкой 75-мм противотанковой пушки Pak 40. Впрочем, одно дело заявления, а другое — реальное положение вещей. Поскольку в случае успеха танку предстояло заменить Т-34-85, вопрос стойкости брони стоял высоко. Между тем, у танка имелась деталь, вызывавшая массу вопросов — будка (рубка) механика-водителя. Помимо того, что ради рубки пришлось делать у башни длинную «шею», весьма уязвимую для вражеских снарядов, сама будка имела неоднородную защиту. Толщину стенок подняли до 90 м, но броня была литая. Также в будке имелся большой смотровой лючок, весьма уязвимый для вражеских снарядов.</w:t>
      </w:r>
    </w:p>
    <w:p w14:paraId="12023313" w14:textId="77777777" w:rsidR="00AA077A" w:rsidRPr="007224C3" w:rsidRDefault="00AA077A" w:rsidP="007224C3">
      <w:pPr>
        <w:pStyle w:val="ae"/>
        <w:spacing w:before="0" w:after="0"/>
        <w:jc w:val="both"/>
        <w:textAlignment w:val="baseline"/>
        <w:rPr>
          <w:color w:val="000000" w:themeColor="text1"/>
          <w:sz w:val="16"/>
          <w:szCs w:val="16"/>
        </w:rPr>
      </w:pPr>
      <w:r w:rsidRPr="007224C3">
        <w:rPr>
          <w:color w:val="000000" w:themeColor="text1"/>
          <w:sz w:val="16"/>
          <w:szCs w:val="16"/>
        </w:rPr>
        <w:t>Pak 40 в ходе огневых испытаний корпуса Т-44 не использовали. Вместо этого по нему произвели 38 выстрелов с дистанции 50 м из отечественных систем. Огонь вёлся в основном 76-мм пушкой Ф-34, но лобовой лист также дополнительно обстреляли из 85-мм пушки с баллистикой зенитки 52-К. Для чистоты эксперимента каждое попадание фиксировалось.</w:t>
      </w:r>
    </w:p>
    <w:p w14:paraId="796E13E6" w14:textId="77777777" w:rsidR="00AA077A" w:rsidRPr="007224C3" w:rsidRDefault="00AA077A" w:rsidP="007224C3">
      <w:pPr>
        <w:pStyle w:val="ae"/>
        <w:spacing w:before="0" w:after="0"/>
        <w:jc w:val="both"/>
        <w:textAlignment w:val="baseline"/>
        <w:rPr>
          <w:color w:val="000000" w:themeColor="text1"/>
          <w:sz w:val="16"/>
          <w:szCs w:val="16"/>
        </w:rPr>
      </w:pPr>
      <w:r w:rsidRPr="007224C3">
        <w:rPr>
          <w:color w:val="000000" w:themeColor="text1"/>
          <w:sz w:val="16"/>
          <w:szCs w:val="16"/>
        </w:rPr>
        <w:t>Первым делом обстрелу подверглась лобовая часть корпуса. Поначалу появлялись вмятины, но вскоре стали образовываться трещины. Особенно много их стало после начала обстрела 85-мм орудием. Главной же проблемой стал обстрел будки механика-водителя. Первое же попадание привело к отколу куска размером 220×100 мм, частично оборвались сварные швы. Фактически это означало, что первым же снарядом механик-водитель был бы убит. Ничем хорошим не закончилась и стрельба по смотровому лючку рубки. Снаряд сделал пробоину размером 100×150 мм, а ведь Ф-34 была слабее Pak 40, снаряд которой, по заявлению КБ завода №183, должен был держать лоб корпуса танка! Ещё одним слабым местом стали не прикрытые бронёй кронштейны ленивца.</w:t>
      </w:r>
    </w:p>
    <w:p w14:paraId="0EFE6102" w14:textId="77777777" w:rsidR="00AA077A" w:rsidRPr="007224C3" w:rsidRDefault="00AA077A" w:rsidP="007224C3">
      <w:pPr>
        <w:pStyle w:val="ae"/>
        <w:spacing w:before="0" w:after="0"/>
        <w:jc w:val="both"/>
        <w:textAlignment w:val="baseline"/>
        <w:rPr>
          <w:color w:val="000000" w:themeColor="text1"/>
          <w:sz w:val="16"/>
          <w:szCs w:val="16"/>
        </w:rPr>
      </w:pPr>
      <w:r w:rsidRPr="007224C3">
        <w:rPr>
          <w:color w:val="000000" w:themeColor="text1"/>
          <w:sz w:val="16"/>
          <w:szCs w:val="16"/>
        </w:rPr>
        <w:t>Помимо лобовых деталей корпуса, обстрелу подверглись его борта и корма. С самого начала было ясно, что стойкость брони на этих участках окажется ниже. При стрельбе под прямым углом борта пробивались 76-мм снарядом. Впрочем, при стрельбе под углом картина была иной. Верхние части бортов, прикрытые экранами, выдерживали попадания под углом 60 градусов. Долго экраны попадания держать не могли, по мере обстрела в их швах появлялись трещины. Тем не менее отчасти свою задачу они выполнили.</w:t>
      </w:r>
    </w:p>
    <w:p w14:paraId="4FDC4658" w14:textId="77777777" w:rsidR="00AA077A" w:rsidRPr="007224C3" w:rsidRDefault="00AA077A" w:rsidP="007224C3">
      <w:pPr>
        <w:pStyle w:val="ae"/>
        <w:spacing w:before="0" w:after="0"/>
        <w:jc w:val="both"/>
        <w:textAlignment w:val="baseline"/>
        <w:rPr>
          <w:color w:val="000000" w:themeColor="text1"/>
          <w:sz w:val="16"/>
          <w:szCs w:val="16"/>
        </w:rPr>
      </w:pPr>
      <w:r w:rsidRPr="007224C3">
        <w:rPr>
          <w:color w:val="000000" w:themeColor="text1"/>
          <w:sz w:val="16"/>
          <w:szCs w:val="16"/>
        </w:rPr>
        <w:t>По итогам испытаний комиссия дала указания если не убрать полностью будку механика-водителя, то как минимум переработать её конструкцию. Для улучшения стойкости лобовой части корпуса следовало увеличить угол наклона нижнего лобового листа, сделав его равноценным с верхним лобовым листом. Переделке также подвергались кронштейны ленивцев. Наконец, борта теперь делались не составными, а цельными. Это усложняло их изготовление, зато повышалась стойкость. Все указанные изменения вводились на улучшенных образцах Т-44, в которых также учитывались претензии по итогам полигонных испытаний. В результате конструкция Т-44 претерпевала существенные изменения, а сроки внедрения танка оттягивались. Тем не менее решения о переделках были абсолютно верными. Т-44 всё же превратился в машину, которая поступила в серию, но для этого требовался ещё не один этап эволюции (18799).</w:t>
      </w:r>
    </w:p>
    <w:p w14:paraId="508375C9" w14:textId="77777777" w:rsidR="00AA077A" w:rsidRPr="007224C3" w:rsidRDefault="00AA077A" w:rsidP="007224C3">
      <w:pPr>
        <w:spacing w:after="0" w:line="240" w:lineRule="auto"/>
        <w:jc w:val="both"/>
        <w:rPr>
          <w:rFonts w:ascii="Times New Roman" w:hAnsi="Times New Roman"/>
          <w:color w:val="000000" w:themeColor="text1"/>
          <w:sz w:val="16"/>
          <w:szCs w:val="16"/>
        </w:rPr>
      </w:pPr>
    </w:p>
    <w:p w14:paraId="5E4A755D" w14:textId="77777777" w:rsidR="00AA077A" w:rsidRPr="007224C3" w:rsidRDefault="00AA077A" w:rsidP="007224C3">
      <w:pPr>
        <w:pStyle w:val="ae"/>
        <w:spacing w:before="0" w:after="0"/>
        <w:jc w:val="both"/>
        <w:textAlignment w:val="baseline"/>
        <w:rPr>
          <w:color w:val="000000" w:themeColor="text1"/>
          <w:sz w:val="16"/>
          <w:szCs w:val="16"/>
        </w:rPr>
      </w:pPr>
      <w:r w:rsidRPr="007224C3">
        <w:rPr>
          <w:color w:val="000000" w:themeColor="text1"/>
          <w:sz w:val="16"/>
          <w:szCs w:val="16"/>
        </w:rPr>
        <w:t>4-5 апреля 1944 года прошли испытания обстрелом корпуса танка Т-44, которые стали богатой пищей для размышлений. Выяснилось, что будка механика-водителя, к которой и так имелись претензии, является ещё и уязвимым местом. В результате последовала команда о переделке будки, чтобы сделать её менее уязвимой к вражескому огню. Также потребовалась доработка нижнего лобового листа корпуса и его бортов (18950).</w:t>
      </w:r>
    </w:p>
    <w:p w14:paraId="6985465A" w14:textId="77777777" w:rsidR="00AA077A" w:rsidRPr="007224C3" w:rsidRDefault="00AA077A" w:rsidP="007224C3">
      <w:pPr>
        <w:pStyle w:val="ae"/>
        <w:spacing w:before="0" w:after="0"/>
        <w:jc w:val="both"/>
        <w:textAlignment w:val="baseline"/>
        <w:rPr>
          <w:color w:val="000000" w:themeColor="text1"/>
          <w:sz w:val="16"/>
          <w:szCs w:val="16"/>
        </w:rPr>
      </w:pPr>
    </w:p>
    <w:p w14:paraId="38E8D52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апреля 1944 вышло Распоряжение ГКО № 5536. О поставке материалов строительству Закавказского металлургического завода. РГАНИР, Фонд ГКО, д. 225, лл. 1,2 (11012).</w:t>
      </w:r>
    </w:p>
    <w:p w14:paraId="5746B0B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DF6D52B"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апреля 1944 вышло Постановление ГКО № 5537 О мероприятиях по внедрению автоматической электросварки на восстанавливаемых промышленных предприятиях в освобожденных районах Украины. (7205, 3-5,6-10).</w:t>
      </w:r>
    </w:p>
    <w:p w14:paraId="115CA74B"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A8AA57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апреля 1944 вышло Постановление ГКО № 5538 О восстановлении местной промышленности и промкооперации Украинской ССР. РГАНИР, Фонд ГКО, д. 225, лл. 11-17,18-23 (11012).</w:t>
      </w:r>
    </w:p>
    <w:p w14:paraId="23FA891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D692BE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апреля 1944 вышло Постановление ГКО № 5539 Об организации добычи кислого гудрона из Марфинских прудов завода № 406 Наркомнефти для электростанций Ярославэнерго и города Ярославля. РГАНИР, Фонд ГКО, д. 225, лл. 24-26 (11012).</w:t>
      </w:r>
    </w:p>
    <w:p w14:paraId="26C6889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9723DB4"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1EB5F51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5892164" w14:textId="77777777" w:rsidR="00383F24" w:rsidRPr="007224C3" w:rsidRDefault="00383F24"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4 апреля</w:t>
      </w:r>
      <w:r w:rsidRPr="007224C3">
        <w:rPr>
          <w:rFonts w:ascii="Times New Roman" w:hAnsi="Times New Roman"/>
          <w:color w:val="000000" w:themeColor="text1"/>
          <w:sz w:val="16"/>
          <w:szCs w:val="16"/>
        </w:rPr>
        <w:t xml:space="preserve"> в 1944 году оперативная сводка Совинформбюро:</w:t>
      </w:r>
    </w:p>
    <w:p w14:paraId="38D2DA96" w14:textId="77777777" w:rsidR="00383F24" w:rsidRPr="007224C3" w:rsidRDefault="00383F2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4 апреля к западу от города Дубно наши войска продолжали вести наступательные бои, в ходе которых заняли более 30 населённых пунктов, в том числе крупные населённые пункты Цехув, Борочице, Галичаны, Лобачовка, Пулганы, Бужаны и железнодорожные станции Сенкевичевка, Галичаны, Звиняче, Горохов.</w:t>
      </w:r>
    </w:p>
    <w:p w14:paraId="0C187D7E" w14:textId="77777777" w:rsidR="00383F24" w:rsidRPr="007224C3" w:rsidRDefault="00383F2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Наши войска, блокирующие город Тарнополь, вели успешные бои по уничтожению окружённого гарнизона противника и овладели большей частью города. За три дня уличных боёв истреблено свыше 3.000 немецких солдат и офицеров. Взято в плен более 300 немцев.</w:t>
      </w:r>
    </w:p>
    <w:p w14:paraId="22930BD0" w14:textId="77777777" w:rsidR="00383F24" w:rsidRPr="007224C3" w:rsidRDefault="00383F2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1-го Украинского фронта вели бои по уничтожению окружённой группировки противника в районе Скала и заняли несколько населённых пунктов. Противник предпринимал неоднократные попытки вырваться из окружения, но был отбит и понёс большие потери в живой силе и технике.</w:t>
      </w:r>
    </w:p>
    <w:p w14:paraId="7E38F783" w14:textId="77777777" w:rsidR="00383F24" w:rsidRPr="007224C3" w:rsidRDefault="00383F2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югу от города Каменец-Подольск наши войска после трёхдневных упорных боёв овладели районным центром Черновицкой области городом Хотин — важным опорным пунктом обороны немцев на Днестре, уничтожив при этом гарнизон противника, оборонявший город.</w:t>
      </w:r>
    </w:p>
    <w:p w14:paraId="6A7C4B55" w14:textId="77777777" w:rsidR="00383F24" w:rsidRPr="007224C3" w:rsidRDefault="00383F2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Кишинёвском направлении наши войска овладели районным центром Молдавской ССР Киперчены, а также с боями заняли более 30 других населённых пунктов, среди которых крупные населённые пункты Чишма, Ходорожа, Шаркань, Лапатна, Журы, Михалёвка, Дойбаны, Реймаровка, Осиповка, Васильевка.</w:t>
      </w:r>
    </w:p>
    <w:p w14:paraId="3D62E7B4" w14:textId="77777777" w:rsidR="00383F24" w:rsidRPr="007224C3" w:rsidRDefault="00383F2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Одесском направлении наши войска, продолжая развивать наступление,овладели районными центрами Одесской области Фрунзовка, Цебриково, а также с боями заняли более 50 других населённых пунктов, в том числе крупные населённые пункты Затишье, Краснополь, Шептеридюры 2-е, Глубокояр, Диордиешты, Торосово, Ново-Романовка, Даниловка, Понятовка, Бакалово, и железнодорожные станции Затишье, Торосово, Ивановка, Весёлый Кут.</w:t>
      </w:r>
    </w:p>
    <w:p w14:paraId="165FA67B" w14:textId="77777777" w:rsidR="00383F24" w:rsidRPr="007224C3" w:rsidRDefault="00383F2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 бои местного значения.</w:t>
      </w:r>
    </w:p>
    <w:p w14:paraId="6E827819" w14:textId="77777777" w:rsidR="00383F24" w:rsidRPr="007224C3" w:rsidRDefault="00383F2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В течение 3 апреля наши войска на всех фронтах подбили и уничтожили 31 немецкий танк. В воздушных боях и огнём зенитной артиллерии сбито 79 самолётов противника.</w:t>
      </w:r>
    </w:p>
    <w:p w14:paraId="1E4658DC" w14:textId="77777777" w:rsidR="00383F24" w:rsidRPr="007224C3" w:rsidRDefault="00383F2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Наши войска вели успешные бои по уничтожению окружённого в городе Тарнополь гарнизона противника. Немцы опоясали город сетью оборонительных сооружений и превратили каменные здания в узлы сопротивления и огневые точки. Советские части три дня назад нанесли мощные удары по опорным пунктам противника и ворвались в город с севера, востока и юга. Наши бойцы в ожесточённых схватках очищают от гитлеровцев квартал за кварталом и овладели уже большей частью города. На улицах Тарнополя обнаружено более 3.000 трупов немецких солдат и офицеров. Пленные рассказывают, что Гитлер отдал приказ любой ценой удержать город. В приказе подчёркивается, что в Тарнополе немцы защищают границы Германии. Гитлер обещал всем офицерам и солдатам высокие награды, если они удержат город. Солдатам штрафных батальонов объявлено, что с них будет снята судимость и их возвратят в свои части. Всем остальным обещаны железные кресты. Чтобы подбодрить упавших духом солдат, немецкое командование опубликовало ложное сообщение о том, что на помощь осаждённому в Тарнополе гарнизону идут крупные силы танков.</w:t>
      </w:r>
    </w:p>
    <w:p w14:paraId="0BCBBA7B" w14:textId="77777777" w:rsidR="00383F24" w:rsidRPr="007224C3" w:rsidRDefault="00383F2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1-го Украинского фронта продолжали вести бои по уничтожению группировки противника, окружённой в районе города Скала. Рано утром немцы перешли в контратаку в западном направлении. Сосредоточив на узком участке крупные силы пехоты и танков, немцы пытались таранным ударом прорвать кольцо окружения. Советские гвардейские части встретили гитлеровцев артиллерийско-миномётным и ружейно-пулемётным огнём. Затем наши танки, находившиеся в засаде, нанесли врагу удары с флангов. Немцы метались из стороны в сторону, но всюду встречали непреодолимую стену огня. Советские танкисты врезались в гущу вражеских солдат, давили их гусеницами, истребляли орудийным и пулемётным огнём. Только на одном участке в течение дня уничтожено до 2.000 солдат и офицеров противника. Сжимая кольцо окружения советские войска выбили немцев из не скольких населённых пунктов. В одном селе захвачены 62 орудия, свыше 400 автомашин и другие трофеи.</w:t>
      </w:r>
    </w:p>
    <w:p w14:paraId="21BDA9E5" w14:textId="77777777" w:rsidR="00383F24" w:rsidRPr="007224C3" w:rsidRDefault="00383F2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Кишинёвском направлении части Н-ского соединения в результате упорных боёв овладели районным центром Молдавской ССР Киперчены. Пытаясь восстановить положение, немцы предприняли несколько контратак, но были отброшены с большими для них потерями. В другом районе наши войска сломили сопротивление противника, укрепившегося на рубеже одной реки. Советские бойцы, несмотря на ледяную воду, вброд переправились через реку и штыковым ударом овладели немецкими позициями. На поле боя осталось свыше 600 вражеских трупов. Захвачено 22 орудия, 5 бронетранспортёров и два склада боеприпасов. Взято в плен до 300 немецких солдат и офицеров.</w:t>
      </w:r>
    </w:p>
    <w:p w14:paraId="042B8C4A" w14:textId="77777777" w:rsidR="00383F24" w:rsidRPr="007224C3" w:rsidRDefault="00383F2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Одесском направлении наши войска продолжали наступление. Бойцы Н-ского соединения овладели районными центрами Одесской области Фрунзовка и Цебриково. Развивая успех, советские части с боями прошли за день до 20 километров и нанесли противнику большой урон в живой силе и технике. На другом участке подвижные соединения, овладевшие вчера крупным селом Сталино, устремились по грейдерной дороге на юго-запад. Наши части с хода смяли и разбили вражеские гарнизоны в населённых пунктах Лозовом, Понятовке и Бакалове (в 4-х километрах от крупного узла железных дорог и города Раздельная).</w:t>
      </w:r>
    </w:p>
    <w:p w14:paraId="15B19B0C" w14:textId="77777777" w:rsidR="00383F24" w:rsidRPr="007224C3" w:rsidRDefault="00383F2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Авиация Северного флота совершила ещё один налёт на порт Лиинахамари (заливПетсамо). Группа штурмовиков прорвалась сквозь завесу зенитного огня и сбросила бомбы на суда противника. Потоплены буксир и транспорт водоизмещением в 2 тысячи тонн.</w:t>
      </w:r>
    </w:p>
    <w:p w14:paraId="5995DC9F" w14:textId="77777777" w:rsidR="00383F24" w:rsidRPr="007224C3" w:rsidRDefault="00383F2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Самолёт-торпедоносец Северного флота атаковал в районе острова Арней немецкий танкер водоизмещением в 10 тысяч тонн. Танкер противника потоплен прямым попаданием торпеды.</w:t>
      </w:r>
    </w:p>
    <w:p w14:paraId="653DA19E" w14:textId="77777777" w:rsidR="00383F24" w:rsidRPr="007224C3" w:rsidRDefault="00383F2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Штурмовая авиация Черноморского флота наносила удары по скоплениям судов в портах противника. Наши штурмовики потопили десантную баржу и три катера. Кроме того, подожжены 2 десантных баржи, 5 катеров и взорван склад противника с боеприпасами. В воздушных боях сбито 7 немецких самолётов.</w:t>
      </w:r>
    </w:p>
    <w:p w14:paraId="086E0CC8" w14:textId="77777777" w:rsidR="00383F24" w:rsidRPr="007224C3" w:rsidRDefault="00383F2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Несколько украинских партизанских отрядов, действующих в Волынской области,атаковали противника на одной железнодорожной станции. В трёхчасовом бою партизаны разгромили немцев и заняли посёлок и железнодорожную станцию. Немецкое командование, пытаясь восстановить положение, бросило против партизан до батальона пехоты. Советские патриоты организовали круговую оборону, отбили все атаки гитлеровцев и удержали железнодорожную станцию до подхода частей Красной Армии. В этом бою партизаны уничтожили 150 вражеских солдат и офицеров. Захвачены паровоз, 30 вагонов, 18 пулемётов, 4 миномёта, 97 винтовок и автоматов, 150 тысяч патронов, много мин и гранат. Партизаны освободили 500 советских граждан, которых немцы угоняли на каторгу в Германию.».</w:t>
      </w:r>
    </w:p>
    <w:p w14:paraId="00ED1B18" w14:textId="77777777" w:rsidR="00383F24" w:rsidRPr="007224C3" w:rsidRDefault="00383F2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Потери немцев и трофеи войск 1-го Украинского фронта за период боев с 4 по 31 марта с. г.</w:t>
      </w:r>
    </w:p>
    <w:p w14:paraId="2335114E" w14:textId="77777777" w:rsidR="00383F24" w:rsidRPr="007224C3" w:rsidRDefault="00383F2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1-го Украинского фронта под командованием Маршала Советского Союза Жукова, в результате проведённых наступательных операций с 4 по 31 марта, освободили от немецких захватчиков 41.940 квадратных километров Советской территории, 3 областных центра Украины: Винница, Каменец-Подольск, Черновицы, 57 городов, 11 железнодорожных узлов, 647 крупных населённых пунктов и 3.801 других населённых пунктов.</w:t>
      </w:r>
    </w:p>
    <w:p w14:paraId="45E5AFE8" w14:textId="77777777" w:rsidR="00383F24" w:rsidRPr="007224C3" w:rsidRDefault="00383F2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Развивая наступление, войска фронта вышли в предгорья Карпат и разрезали фронт немцев на две части, лишив его основных коммуникаций, вследствие чего южная группировка противника вынуждена базироваться только на дороги, идущие через Румынию.</w:t>
      </w:r>
    </w:p>
    <w:p w14:paraId="179A4312" w14:textId="77777777" w:rsidR="00383F24" w:rsidRPr="007224C3" w:rsidRDefault="00383F2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ходе наступления войска фронта разгромили или нанесли тяжёлые потери 96, 208, 254, 291, 340, 371, 183, 217, 339, 68, 357, 359, 361 пехотным дивизиям, дивизионную группу польского генерал-губернаторства, дивизионную группу Прютцмана, дивизионную группу Шааля, 454 охранную дивизию, 101 горно-стрелковую дивизию, 44 полицейскую дивизию СС, 1, 6, 7, 8, И, 16, 17,19, 25 танковые дивизии, танковые дивизии СС «Рейх», «Адольф Гитлер», танковую группу Радовица, танковую группу Гуделиуса, 20 мотодивизию немцев и 8 пехотную дивизию румын.</w:t>
      </w:r>
    </w:p>
    <w:p w14:paraId="140BB500" w14:textId="77777777" w:rsidR="00383F24" w:rsidRPr="007224C3" w:rsidRDefault="00383F2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результате стремительного наступления ударных войск фронта в районе Скала окружены и добиваются остатки семи пехотных, семи танковых и одной моторизованной дивизии немцев.</w:t>
      </w:r>
    </w:p>
    <w:p w14:paraId="202B81F7" w14:textId="77777777" w:rsidR="00383F24" w:rsidRPr="007224C3" w:rsidRDefault="00383F2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итоге проведённых операций с 4 по 31 мартавойска 1-го Украинского фронта нанесли противнику следующие потери:</w:t>
      </w:r>
    </w:p>
    <w:p w14:paraId="4025A6B7" w14:textId="77777777" w:rsidR="00383F24" w:rsidRPr="007224C3" w:rsidRDefault="00383F2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Уничтожено: танков и самоходных орудий — 1.338, орудий разного калибра — 2.516, миномётов — 1.285, пулемётов — 4.206, автомашин и тягачей —22.519, бронемашин и бронетранспортёров — 572, самолётов — 272. Противник оставил на поле боя 183.310 трупов солдат и офицеров.</w:t>
      </w:r>
    </w:p>
    <w:p w14:paraId="7F7986FB" w14:textId="77777777" w:rsidR="00383F24" w:rsidRPr="007224C3" w:rsidRDefault="00383F2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это же время войска1-го Украинского фронта захватили следующие трофеи: танков и самоходных орудий —849, орудий разного калибра — 2.086, пулемётов — 4.223, миномётов — 1.391, винтовок и автоматов — 38.020, автомашин — 31.468, бронемашин и бронетранспортёров — 406, паровозов — 149, вагонов — 6.315, мотоциклов — 1.944, радиостанций — 203, снарядов — 7.634.000, складов разных с военным имуществом —436, лошадей — 4.528. Взято в плен 24.950 немецких солдат и офицеров.</w:t>
      </w:r>
    </w:p>
    <w:p w14:paraId="743C367A" w14:textId="77777777" w:rsidR="00383F24" w:rsidRPr="007224C3" w:rsidRDefault="00383F2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Таким образом, общие потери немцев по главным видам боевой техники и людям за время операций составляют: пленными и убитыми — 208.260, танков и самоходных орудий —2.187, орудий разного калибра — 4.602, миномётов — 2.676, пулемётов — 8.429, автомашин и тягачей — 53.987, бронемашин и бронетранспортёров —978.» (15089).</w:t>
      </w:r>
    </w:p>
    <w:p w14:paraId="4502EAB8" w14:textId="77777777" w:rsidR="00383F24" w:rsidRPr="007224C3" w:rsidRDefault="00383F24" w:rsidP="007224C3">
      <w:pPr>
        <w:spacing w:after="0" w:line="240" w:lineRule="auto"/>
        <w:jc w:val="both"/>
        <w:rPr>
          <w:rFonts w:ascii="Times New Roman" w:hAnsi="Times New Roman"/>
          <w:color w:val="000000" w:themeColor="text1"/>
          <w:sz w:val="16"/>
          <w:szCs w:val="16"/>
        </w:rPr>
      </w:pPr>
    </w:p>
    <w:p w14:paraId="1BF36D30" w14:textId="77777777" w:rsidR="00383F24" w:rsidRPr="007224C3" w:rsidRDefault="00383F24"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4 апреля</w:t>
      </w:r>
      <w:r w:rsidRPr="007224C3">
        <w:rPr>
          <w:rFonts w:ascii="Times New Roman" w:hAnsi="Times New Roman"/>
          <w:color w:val="000000" w:themeColor="text1"/>
          <w:sz w:val="16"/>
          <w:szCs w:val="16"/>
        </w:rPr>
        <w:t xml:space="preserve"> в 1944 году советские войска во взаимодействии с чехословацким армейским корпусом овладеывают Дуклинским перевалом и вступают в пределы Чехословакии (15089).</w:t>
      </w:r>
    </w:p>
    <w:p w14:paraId="64B083D5" w14:textId="77777777" w:rsidR="00383F24" w:rsidRPr="007224C3" w:rsidRDefault="00383F24" w:rsidP="007224C3">
      <w:pPr>
        <w:spacing w:after="0" w:line="240" w:lineRule="auto"/>
        <w:jc w:val="both"/>
        <w:rPr>
          <w:rFonts w:ascii="Times New Roman" w:hAnsi="Times New Roman"/>
          <w:color w:val="000000" w:themeColor="text1"/>
          <w:sz w:val="16"/>
          <w:szCs w:val="16"/>
        </w:rPr>
      </w:pPr>
    </w:p>
    <w:p w14:paraId="62BE6176"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апреля 1944 советские войска отрезали одесской группировке фашистов пути отхода в Румынию (4962).</w:t>
      </w:r>
    </w:p>
    <w:p w14:paraId="3CADD8F7"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4694130" w14:textId="77777777" w:rsidR="00383F24"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04F6B6E4" w14:textId="77777777" w:rsidR="00383F24" w:rsidRPr="007224C3" w:rsidRDefault="00383F24"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7D30466" w14:textId="77777777" w:rsidR="00383F24" w:rsidRPr="007224C3" w:rsidRDefault="00383F24"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4 апреля</w:t>
      </w:r>
      <w:r w:rsidRPr="007224C3">
        <w:rPr>
          <w:rFonts w:ascii="Times New Roman" w:hAnsi="Times New Roman"/>
          <w:color w:val="000000" w:themeColor="text1"/>
          <w:sz w:val="16"/>
          <w:szCs w:val="16"/>
        </w:rPr>
        <w:t xml:space="preserve"> в 1944 году был заключен контракт № 3297 на постройку 17 предсерийных машин патрульного самолета </w:t>
      </w:r>
      <w:hyperlink r:id="rId98" w:tgtFrame="_blank" w:history="1">
        <w:r w:rsidRPr="007224C3">
          <w:rPr>
            <w:rFonts w:ascii="Times New Roman" w:hAnsi="Times New Roman"/>
            <w:color w:val="000000" w:themeColor="text1"/>
            <w:sz w:val="16"/>
            <w:szCs w:val="16"/>
          </w:rPr>
          <w:t xml:space="preserve">«Lockheed» «P2V-1» «Neptune», </w:t>
        </w:r>
      </w:hyperlink>
      <w:r w:rsidRPr="007224C3">
        <w:rPr>
          <w:rFonts w:ascii="Times New Roman" w:hAnsi="Times New Roman"/>
          <w:color w:val="000000" w:themeColor="text1"/>
          <w:sz w:val="16"/>
          <w:szCs w:val="16"/>
        </w:rPr>
        <w:t>включая два прототипа, а первый самолет с заводским номером 48237 построили в мае 1945-го под руководством ведущего инженера Р.Бэйли. Прототип «XP2V-1» строился по проекту «V-146», отличавшемуся от «V-1352 средним расположением крыла и измененным хвостовым оперением (15089).</w:t>
      </w:r>
    </w:p>
    <w:p w14:paraId="455C800A" w14:textId="77777777" w:rsidR="00383F24" w:rsidRPr="007224C3" w:rsidRDefault="00383F24" w:rsidP="007224C3">
      <w:pPr>
        <w:spacing w:after="0" w:line="240" w:lineRule="auto"/>
        <w:jc w:val="both"/>
        <w:rPr>
          <w:rFonts w:ascii="Times New Roman" w:hAnsi="Times New Roman"/>
          <w:color w:val="000000" w:themeColor="text1"/>
          <w:sz w:val="16"/>
          <w:szCs w:val="16"/>
        </w:rPr>
      </w:pPr>
    </w:p>
    <w:p w14:paraId="0BD45112" w14:textId="77777777" w:rsidR="007249B9" w:rsidRPr="007224C3" w:rsidRDefault="007249B9"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4 апреля 1944 г. был заключен контракт №3297 с фирмой Локхид на постройку двух опытных XP2V-1 и 15-ти предсерийных машин, а первый самолет с регистрационным номером ВМС 48237 был построен в мае 1945 г. под руководством ведущего инженера Р. Байли. Опытные XP2V-1 строились по проекту V-146, отличавшемуся от V-135 помимо прочего средним расположением крыла и измененным хвостовым оперением. На прототипе были установлены двигатели Райт R-3350-8, развивавшие по 2300 л.с. на взлете, 2100 л.с. при оборотах 2400 об/мин без турбонаддува и 1800 л.с. на высотах 750…4150 м с турбонаддувом. Горючее помещалось в двух 2650-литровых главных баках в центральной секции крыла и двух 1800-литровых баках в консолях, которые опорожнялись первыми. Еще четыре 950-литровых бака можно было разместить в бомбовом отсеке: 12700 л бензина хватало на 6780 км полета. Для обеспечения требуемой заказчиком дальности 8000 км устанавливались дополнительные баки в обитаемой части фюзеляжа. Самолет должен был действовать в любых погодных условиях и оснащался спиртовой противообледенительной системой (23020).</w:t>
      </w:r>
    </w:p>
    <w:p w14:paraId="6B36D14A" w14:textId="77777777" w:rsidR="007249B9" w:rsidRPr="007224C3" w:rsidRDefault="007249B9" w:rsidP="007224C3">
      <w:pPr>
        <w:spacing w:after="0" w:line="240" w:lineRule="auto"/>
        <w:jc w:val="both"/>
        <w:rPr>
          <w:rFonts w:ascii="Times New Roman" w:hAnsi="Times New Roman"/>
          <w:color w:val="0070C0"/>
          <w:sz w:val="16"/>
          <w:szCs w:val="16"/>
        </w:rPr>
      </w:pPr>
    </w:p>
    <w:p w14:paraId="08A8E850" w14:textId="77777777" w:rsidR="00AA077A" w:rsidRPr="007224C3" w:rsidRDefault="00AA077A" w:rsidP="007224C3">
      <w:pPr>
        <w:pStyle w:val="101"/>
        <w:shd w:val="clear" w:color="auto" w:fill="auto"/>
        <w:tabs>
          <w:tab w:val="left" w:pos="452"/>
        </w:tabs>
        <w:spacing w:after="0" w:line="240" w:lineRule="auto"/>
        <w:jc w:val="both"/>
        <w:rPr>
          <w:rFonts w:ascii="Times New Roman" w:hAnsi="Times New Roman" w:cs="Times New Roman"/>
          <w:color w:val="000000" w:themeColor="text1"/>
          <w:spacing w:val="0"/>
          <w:sz w:val="16"/>
          <w:szCs w:val="16"/>
        </w:rPr>
      </w:pPr>
      <w:r w:rsidRPr="007224C3">
        <w:rPr>
          <w:rFonts w:ascii="Times New Roman" w:hAnsi="Times New Roman" w:cs="Times New Roman"/>
          <w:color w:val="000000" w:themeColor="text1"/>
          <w:spacing w:val="0"/>
          <w:sz w:val="16"/>
          <w:szCs w:val="16"/>
        </w:rPr>
        <w:t>4 апреля 1944 г. с аэродромов в районе города Фоджа стар</w:t>
      </w:r>
      <w:r w:rsidRPr="007224C3">
        <w:rPr>
          <w:rFonts w:ascii="Times New Roman" w:hAnsi="Times New Roman" w:cs="Times New Roman"/>
          <w:color w:val="000000" w:themeColor="text1"/>
          <w:spacing w:val="0"/>
          <w:sz w:val="16"/>
          <w:szCs w:val="16"/>
        </w:rPr>
        <w:softHyphen/>
        <w:t>товали 350 бомбардировщиков В-24 и В-17 в сопровождении 119 истребителей Р-38. Это был первый большой налет на Румынию с итальянских аэродромов, от которых до Плоешти было немногим более тысячи километров, что позволяло дальним истребителям сопровождать бомбардировщики на протяжении всего полета.</w:t>
      </w:r>
    </w:p>
    <w:p w14:paraId="52E4EF06" w14:textId="77777777" w:rsidR="00AA077A" w:rsidRPr="007224C3" w:rsidRDefault="00AA077A" w:rsidP="007224C3">
      <w:pPr>
        <w:pStyle w:val="101"/>
        <w:shd w:val="clear" w:color="auto" w:fill="auto"/>
        <w:spacing w:after="0" w:line="240" w:lineRule="auto"/>
        <w:jc w:val="both"/>
        <w:rPr>
          <w:rFonts w:ascii="Times New Roman" w:hAnsi="Times New Roman" w:cs="Times New Roman"/>
          <w:color w:val="000000" w:themeColor="text1"/>
          <w:spacing w:val="0"/>
          <w:sz w:val="16"/>
          <w:szCs w:val="16"/>
        </w:rPr>
      </w:pPr>
      <w:r w:rsidRPr="007224C3">
        <w:rPr>
          <w:rFonts w:ascii="Times New Roman" w:hAnsi="Times New Roman" w:cs="Times New Roman"/>
          <w:color w:val="000000" w:themeColor="text1"/>
          <w:spacing w:val="0"/>
          <w:sz w:val="16"/>
          <w:szCs w:val="16"/>
        </w:rPr>
        <w:t>Любопытно, что только 32 В-24 бомбили Плоешти, а остальные атаковали Бухарест, Снагов и ряд других городов. В Бухаресте было убито и ранено свыше 5 тысяч человек. Семь В-24 были сбиты и 13 повреждены (19080).</w:t>
      </w:r>
    </w:p>
    <w:p w14:paraId="33B2883B" w14:textId="77777777" w:rsidR="00AA077A" w:rsidRPr="007224C3" w:rsidRDefault="00AA077A" w:rsidP="007224C3">
      <w:pPr>
        <w:pStyle w:val="101"/>
        <w:shd w:val="clear" w:color="auto" w:fill="auto"/>
        <w:spacing w:after="0" w:line="240" w:lineRule="auto"/>
        <w:jc w:val="both"/>
        <w:rPr>
          <w:rFonts w:ascii="Times New Roman" w:hAnsi="Times New Roman" w:cs="Times New Roman"/>
          <w:color w:val="000000" w:themeColor="text1"/>
          <w:spacing w:val="0"/>
          <w:sz w:val="16"/>
          <w:szCs w:val="16"/>
        </w:rPr>
      </w:pPr>
    </w:p>
    <w:p w14:paraId="63210B1C" w14:textId="77777777" w:rsidR="00AA077A" w:rsidRPr="007224C3" w:rsidRDefault="00AA077A" w:rsidP="007224C3">
      <w:pPr>
        <w:pStyle w:val="101"/>
        <w:shd w:val="clear" w:color="auto" w:fill="auto"/>
        <w:tabs>
          <w:tab w:val="left" w:pos="430"/>
        </w:tabs>
        <w:spacing w:after="0" w:line="240" w:lineRule="auto"/>
        <w:jc w:val="both"/>
        <w:rPr>
          <w:rFonts w:ascii="Times New Roman" w:hAnsi="Times New Roman" w:cs="Times New Roman"/>
          <w:color w:val="000000" w:themeColor="text1"/>
          <w:spacing w:val="0"/>
          <w:sz w:val="16"/>
          <w:szCs w:val="16"/>
        </w:rPr>
      </w:pPr>
      <w:r w:rsidRPr="007224C3">
        <w:rPr>
          <w:rFonts w:ascii="Times New Roman" w:hAnsi="Times New Roman" w:cs="Times New Roman"/>
          <w:color w:val="000000" w:themeColor="text1"/>
          <w:spacing w:val="0"/>
          <w:sz w:val="16"/>
          <w:szCs w:val="16"/>
        </w:rPr>
        <w:t>4 апреля 1944 134 бомбардировщика В-24 и 96 В-17 вновь бомбили Румынию. Из полета не вернулись 13 бомбардировщиков (19080).</w:t>
      </w:r>
    </w:p>
    <w:p w14:paraId="05B41C8C" w14:textId="77777777" w:rsidR="00AA077A" w:rsidRPr="007224C3" w:rsidRDefault="00AA077A" w:rsidP="007224C3">
      <w:pPr>
        <w:pStyle w:val="101"/>
        <w:shd w:val="clear" w:color="auto" w:fill="auto"/>
        <w:tabs>
          <w:tab w:val="left" w:pos="430"/>
        </w:tabs>
        <w:spacing w:after="0" w:line="240" w:lineRule="auto"/>
        <w:jc w:val="both"/>
        <w:rPr>
          <w:rFonts w:ascii="Times New Roman" w:hAnsi="Times New Roman" w:cs="Times New Roman"/>
          <w:color w:val="000000" w:themeColor="text1"/>
          <w:spacing w:val="0"/>
          <w:sz w:val="16"/>
          <w:szCs w:val="16"/>
        </w:rPr>
      </w:pPr>
    </w:p>
    <w:p w14:paraId="138E25E3" w14:textId="77777777" w:rsidR="007249B9" w:rsidRPr="007224C3" w:rsidRDefault="007249B9"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4 апреля 1944 ВВС США активируют двадцатую армию ВВС, которая проведет кампанию стратегических бомбардировок Японии (29373).</w:t>
      </w:r>
    </w:p>
    <w:p w14:paraId="4F50415E" w14:textId="77777777" w:rsidR="007249B9" w:rsidRPr="007224C3" w:rsidRDefault="007249B9" w:rsidP="007224C3">
      <w:pPr>
        <w:spacing w:after="0" w:line="240" w:lineRule="auto"/>
        <w:jc w:val="both"/>
        <w:rPr>
          <w:rFonts w:ascii="Times New Roman" w:hAnsi="Times New Roman"/>
          <w:color w:val="0070C0"/>
          <w:sz w:val="16"/>
          <w:szCs w:val="16"/>
        </w:rPr>
      </w:pPr>
    </w:p>
    <w:p w14:paraId="69B7E57F"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4EEC33A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6861A1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апреля 1944 Нач. ЛИИ А.В.Чесалов писал письмо N 226 Зам. НКАП В.П.Кузнецову с кратким техотчетом за март 1944 (2564,22).</w:t>
      </w:r>
    </w:p>
    <w:p w14:paraId="71A45D7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A382E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апреля 1944 Нач. 7 ГУ С.Шишкин писал письмо № 4480/л ли завода № 477 тов. Т.С.Подгорному</w:t>
      </w:r>
    </w:p>
    <w:p w14:paraId="20E12FA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предложенному Вами проекту “Аэролидера” сообщаю, что ввиду нереальности проекта, НКАП считает реализацию его невозможной (1825,18).</w:t>
      </w:r>
    </w:p>
    <w:p w14:paraId="79EF11A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854600"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0ADB647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DA9E36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апреля 1944 г. было подготовлено ЗАКЛЮЧЕНИЕ НАЧАЛЬНИКА 5-го ОТДЕЛА УБП БТ и МВ КА НАЧАЛЬНИКУ 8-го ОТДЕЛА ТУ ГБТУ КА ПО ПРЕДЛОЖЕНИЮ «ФОТОГРАФИРОВАНИЕ ИЗ ТАНКА ЧЕРЕЗ ТЕЛЕСКОПИЧЕСКИЙ ПРИЦЕЛ» №510655</w:t>
      </w:r>
    </w:p>
    <w:p w14:paraId="1984B1E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Фотографирование из танка через телескопический прицел может найти применение лишь в разведке. Для контроля стрельбы в таком фотографировании нет необходимости.</w:t>
      </w:r>
    </w:p>
    <w:p w14:paraId="12AA484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разведке желательно иметь возможность производить фотографирование с дистанции до 800-1000 метров. В объяснительной записке т. Гриневич не указано с какой дистанции можно получить четкий снимок. Расчет показывает, что прилагаемый экспериментальный снимок сделан с дистанции 200-300 метров. Такая дистанция съемки для боевой практики совершенно недостаточна и, если фотографирование с больших дистанций при данном приспособлении невозможно, то предложение не представляет ценности.</w:t>
      </w:r>
    </w:p>
    <w:p w14:paraId="29A2D52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Считаю необходимым изготовить несколько опытных прицелов с фотокамерой и проверить целесообразность их применения в действующих танковых частях.</w:t>
      </w:r>
    </w:p>
    <w:p w14:paraId="66D9314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Приложение: материал по предложению т. Гриневич</w:t>
      </w:r>
      <w:r w:rsidRPr="007224C3">
        <w:rPr>
          <w:rFonts w:ascii="Times New Roman" w:hAnsi="Times New Roman"/>
          <w:color w:val="000000" w:themeColor="text1"/>
          <w:sz w:val="16"/>
          <w:szCs w:val="16"/>
          <w:vertAlign w:val="superscript"/>
        </w:rPr>
        <w:t>2</w:t>
      </w:r>
      <w:r w:rsidRPr="007224C3">
        <w:rPr>
          <w:rFonts w:ascii="Times New Roman" w:hAnsi="Times New Roman"/>
          <w:color w:val="000000" w:themeColor="text1"/>
          <w:sz w:val="16"/>
          <w:szCs w:val="16"/>
        </w:rPr>
        <w:t>.</w:t>
      </w:r>
    </w:p>
    <w:p w14:paraId="3545773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Вр. начальника 5 отдела УБП БТ и МВ КА инженер-подполковник Кашигин</w:t>
      </w:r>
    </w:p>
    <w:p w14:paraId="44FC73A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Пом. начальника 5 отдела УБП БТ и МВ КА инженер-майор Деминцев</w:t>
      </w:r>
    </w:p>
    <w:p w14:paraId="23EE416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38. Оп. 11351. Д. 229. Л. 175. Подлинник (11403).</w:t>
      </w:r>
    </w:p>
    <w:p w14:paraId="06502E4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D0BA75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апреля 1944 вышло Распоряжение ГКО № 5542. О поставках балансов и дров Сухонским предприятиям НКБП. РГАНИР, Фонд ГКО, д. 225, лл. 39-40 (11012).</w:t>
      </w:r>
    </w:p>
    <w:p w14:paraId="5320919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37F5DC0"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апреля 1944 вышло Постановление ГКО № 5545 О трофейном подвижном составе. (7205, 53-54).</w:t>
      </w:r>
    </w:p>
    <w:p w14:paraId="683C522F"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D29C131"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апреля 1944 вышло Распоряжение ГКО № 5549 [О мобилизации в Вологодской обл. 150 рабочих и 50 возчиков с лошадьми для работы в Удимском леспромхозе по заготовке и вывозу дров.] (7205, 58).</w:t>
      </w:r>
    </w:p>
    <w:p w14:paraId="75E5791F"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F64921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апреля 1944 вышло Распоряжение ГКО № 5550. О мобилизации в Марийской АССР 320 рабочих и 150 возчиков с лошадьми на строительство рейда и лесной биржи Марийского бумкомбината и предприятия НКМП РСФСР. РГАНИР, Фонд ГКО, д. 225, лл. 59 (11012).</w:t>
      </w:r>
    </w:p>
    <w:p w14:paraId="5044A77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4D93B7F"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апреля 1944 вышло Распоряжение ГКО № 5551 [О мобилизации в Кировской обл. 3,2 тыс. рабочих и 175 возчиков с лошадьми для подвозки зерна к причалам и погрузочно-разгрузочных работ.] (7205, 60).</w:t>
      </w:r>
    </w:p>
    <w:p w14:paraId="4CCC6AFA"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930CBC4"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апреля 1944 вышло Распоряжение ГКО № 5552 [О поставке заводу № 672 НКЭП импортного оборудования и мобилизации 20 возчиков с лошадьми в Тульской обл.] (7205, 61,62).</w:t>
      </w:r>
    </w:p>
    <w:p w14:paraId="4005FAF7"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079AAA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апреля 1944 вышло Распоряжение ГКО № 5553. О поставке во II кв. 1944 г. Украинскому ШПД оборудования и аппаратуры. РГАНИР, Фонд ГКО, д. 225, лл. 63,64-66 (11012).</w:t>
      </w:r>
    </w:p>
    <w:p w14:paraId="16938E4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5C4E3B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апреля 1944 вышло Постановление ГКО № 5554 О мерах неотложной помощи золотоплатиновой промышленности Наркомцветмета. РГАНИР, Фонд ГКО, д. 225, лл. 67-78,79-100 (11012).</w:t>
      </w:r>
    </w:p>
    <w:p w14:paraId="5D610C1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F18DC8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апреля 1944 вышло Постановление ГКО № 5555 Об обеспечении деловой древесиной частей Красной Армии в Закавказье и Иране. РГАНИР, Фонд ГКО, д. 225, лл. 101-103 (11012).</w:t>
      </w:r>
    </w:p>
    <w:p w14:paraId="27D1775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9DC4350"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апреля 1944 вышло Постановление ГКО № 5556 О мероприятиях по проведению лесосплава в навигацию 1944 г. (7205, 104-117,118-132).</w:t>
      </w:r>
    </w:p>
    <w:p w14:paraId="020F0D76"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684209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апреля 1944 вышло Постановление ГКО № 5558 Об организации на Московском подшипниковом заводе № 1 им. Л.М.Кагановича Наркомсредмаша цеха крупногабаритных мелкосерийных подшипников. РГАНИР, Фонд ГКО, д. 225, лл. 188-189,190-192 (11012).</w:t>
      </w:r>
    </w:p>
    <w:p w14:paraId="65E3079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1A70851" w14:textId="77777777" w:rsidR="006F0EDF"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0FF6EAD0" w14:textId="77777777" w:rsidR="006F0EDF" w:rsidRPr="007224C3" w:rsidRDefault="006F0EDF"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E9AE9CF" w14:textId="77777777" w:rsidR="006F0EDF" w:rsidRPr="007224C3" w:rsidRDefault="006F0EDF"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5 апреля</w:t>
      </w:r>
      <w:r w:rsidRPr="007224C3">
        <w:rPr>
          <w:rFonts w:ascii="Times New Roman" w:hAnsi="Times New Roman"/>
          <w:color w:val="000000" w:themeColor="text1"/>
          <w:sz w:val="16"/>
          <w:szCs w:val="16"/>
        </w:rPr>
        <w:t xml:space="preserve"> в 1944 году оперативная сводка Совинформбюро:</w:t>
      </w:r>
    </w:p>
    <w:p w14:paraId="68085F2C" w14:textId="77777777" w:rsidR="006F0EDF" w:rsidRPr="007224C3" w:rsidRDefault="006F0ED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5 апреля наши войска продолжали вести бои по уничтожению группировки противника, окружённой в районе Скала, и занялинесколько населённых пунктов.</w:t>
      </w:r>
    </w:p>
    <w:p w14:paraId="243804EF" w14:textId="77777777" w:rsidR="006F0EDF" w:rsidRPr="007224C3" w:rsidRDefault="006F0ED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Кишинёвском направлении наши войска продолжали вести наступательные бои, в ходе которых овладели районным центром Молдавской ССР Суслены, а также занялиболее 30 других населённых пунктов, среди которых крупные населённые пункты Будей, Бологани, Булаешти, Цыбулевка, Ягорлык, Паркановка, Курпиново,Соше-Островское.</w:t>
      </w:r>
    </w:p>
    <w:p w14:paraId="14221886" w14:textId="77777777" w:rsidR="006F0EDF" w:rsidRPr="007224C3" w:rsidRDefault="006F0ED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3-го Украинского фронта, продолжая наступление, в результатестремительного удара пехоты и конно-механизированных соединений, овладелигородом и крупным железнодорожным узлом Раздельная — важным опорным пунктомобороны немцев на подступах к Одессе, отрезав тем самым основные пути отхода вРумынию одесской группировке противника, а также с боями заняли более 100 другихнаселённых пунктов, в том числе районные центры Одесской области Яновка, Антоно-Кодинцово, крупные населённые пункты Первомайский, Парканцы, Страссбург, Баден, Ростовцево, Бараново, Бузиново, Ираклиевка, Любополь, Визирка, Сычавка, Старые Беляры и железнодорожные станции Мигаево, Кучурган, Кубанка.</w:t>
      </w:r>
    </w:p>
    <w:p w14:paraId="7B137C08" w14:textId="77777777" w:rsidR="006F0EDF" w:rsidRPr="007224C3" w:rsidRDefault="006F0ED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в ряде пунктов шли бои местного значения.</w:t>
      </w:r>
    </w:p>
    <w:p w14:paraId="358A3751" w14:textId="77777777" w:rsidR="006F0EDF" w:rsidRPr="007224C3" w:rsidRDefault="006F0ED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4 апреля наши войска на всех фронтах подбили и уничтожили 48 немецких танков. В воздушных боях и огнём зенитной артиллерии сбито 42 самолёта противника.</w:t>
      </w:r>
    </w:p>
    <w:p w14:paraId="1278F45F" w14:textId="77777777" w:rsidR="006F0EDF" w:rsidRPr="007224C3" w:rsidRDefault="006F0ED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1-го Украинского фронта продолжали вести бои по уничтожению группировки немцев, окружённой в районе города Скала. Противник стремится ценой любых потерь вырваться из «котла». Утром крупные силы немецкой пехоты и танков предприняли контратаки в северо-западном направлении. Встретив отпор, гитлеровцы понесли большие потери и отхлынули назад. Наскоро перегруппировав свои силы, противник вновь перешёл в контратаку. Два батальона вражеской пехоты вклинились в расположение советских частей, но были отрезаны и полностью уничтожены. На другом участке пехота и танки противника пытались пробиться в западном направлении. Пьяные гитлеровцы попали под артиллерийско-миномётный и пулемётный огонь советских частей. На поле боя остались сотни вражеских трупов и более 30 подбитых немецких танков. Отбивая контратаки противника, советские войскапродолжали сжимать кольцо окружения и выбили немцев из нескольких населённых пунктов. Захвачены большие трофеи, в том числе 9 танков, 14 бронетранспортёров, свыше 300 автомашин с различными грузами.</w:t>
      </w:r>
    </w:p>
    <w:p w14:paraId="4543A11A" w14:textId="77777777" w:rsidR="006F0EDF" w:rsidRPr="007224C3" w:rsidRDefault="006F0ED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Наши войска, овладевшие вчера районным центром Черновицкой области — городом Хотин, нанесли противнику тяжёлые потери в живой силе и технике. На улицах города подсчитано 4.650 трупов немцев. Советские части взяли в плен 1.250 вражеских солдат и офицеров и захватили 40 танков, 20 орудий и много других трофеев.</w:t>
      </w:r>
    </w:p>
    <w:p w14:paraId="4E882BF3" w14:textId="77777777" w:rsidR="006F0EDF" w:rsidRPr="007224C3" w:rsidRDefault="006F0ED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На Кишинёвском направлении наши войска продолжали вести наступательные бои. Части Н-ского соединения отбили несколько контратак немцев, пытавшихся вернуть потерянные накануне позиции. Измотав противника, советские бойцы нанесли ему удар с флангов. Гитлеровцы под угрозой окружения начали беспорядочно </w:t>
      </w:r>
      <w:r w:rsidRPr="007224C3">
        <w:rPr>
          <w:rFonts w:ascii="Times New Roman" w:hAnsi="Times New Roman"/>
          <w:color w:val="000000" w:themeColor="text1"/>
          <w:sz w:val="16"/>
          <w:szCs w:val="16"/>
        </w:rPr>
        <w:lastRenderedPageBreak/>
        <w:t>отходить. Развивая успех, наши части овладели районным центром Молдавской ССР Суслены, а также заняли несколько других населённых пунктов. Уничтожено более 800 солдат и офицеров противника. Захвачены у немцев 14 орудий, 70 пулеметов, 3 бронетранспортёра, 40 автомашин, склад боеприпасов и 2 склада с продовольствием. Взято в плен 400 немецких солдат и офицеров.</w:t>
      </w:r>
    </w:p>
    <w:p w14:paraId="590AEA62" w14:textId="77777777" w:rsidR="006F0EDF" w:rsidRPr="007224C3" w:rsidRDefault="006F0ED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3-го Украинского фронта продолжали успешное наступление. Советская пехота и конно-механизированные соединения вышли на подступы к городу Раздельная. Немцы упорно защищали этот важный узел коммуникаций и опорный пунктих обороны на подступах к Одессе. Стремительными ударами наши бойцы сломили сопротивление противника и овладели крупным узлом железных дорог и городом Раздельная. Таким образом железная дорога Одесса-Тирасполь перерезана нашими войсками. Тем самым отрезаны основные пути отхода в Румынию одесской группировке противника. Другие советские части, продвигаясь на юг, заняли районные центры Одесской области Яновка, Антоно-Кодинцово и более ста других населённых пунктов. Отступая под ударами наших войск, противник несёт тяжёлые потери в живой силе и технике. В течение дня захвачено у немцев 25 танков, 48 орудий, из них калибра 150 мм — 11 орудий и калибра 210 мм — 7 орудий, 460 автомашин, 4 переправочных парка, 7 складов с боеприпасами, продовольствием и военным имуществом.</w:t>
      </w:r>
    </w:p>
    <w:p w14:paraId="12CE9B07" w14:textId="77777777" w:rsidR="006F0EDF" w:rsidRPr="007224C3" w:rsidRDefault="006F0ED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Лётчики Ленинградского фронта в течение дня сбили в воздушных боях 15 немецких самолётов. При выполнении боевого задания две пятёрки наших штурмовиков на подходе к цели были атакованы истребителями противника. В завязавшихся воздушных схватках старшие лейтенанты Агеев, Андрианов и Никитенко сбили по одному немецкому самолёту. Выполнив боевое задание, советские лётчики благополучно вернулись на свой аэродром.</w:t>
      </w:r>
    </w:p>
    <w:p w14:paraId="1B1E24D3" w14:textId="77777777" w:rsidR="006F0EDF" w:rsidRPr="007224C3" w:rsidRDefault="006F0ED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Разведка Краснознамённого Балтийского флота утром обнаружила в западной части Нарвского залива группу тральщиков, десантных барж и сторожевых катеров противника. В течение дня наши бомбардировщики и штурмовики, преодолевая сильное сопротивление вражеских истребителей, нанесли несколько ударов по обнаруженной группе кораблей. Потоплены одна десантная баржа и два сторожевых катера противника.</w:t>
      </w:r>
    </w:p>
    <w:p w14:paraId="6E777EDA" w14:textId="77777777" w:rsidR="006F0EDF" w:rsidRPr="007224C3" w:rsidRDefault="006F0ED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ожесточённых воздушных боях сбито 13 немецких самолётов.</w:t>
      </w:r>
    </w:p>
    <w:p w14:paraId="794A66FB" w14:textId="77777777" w:rsidR="006F0EDF" w:rsidRPr="007224C3" w:rsidRDefault="006F0ED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Партизанский отряд, действующий в Черновицкой области, в ночь на 28 марта атаковал немецкий гарнизон в одном населённом пункте. Партизаны уничтожили 40 гитлеровцев, а остальные в панике разбежались. Захваченное у немцев продовольствие роздано местным жителям. Партизаны этого же отряда подорвали на минах и уничтожили огнём из засад на шоссейных дорогах 25 немецких автомашин и 3 автоцистерны с бензином. Группа молдавских партизан, действующая в прифронтовой полосе, в ходе боёв с фашистскими захватчиками истребила две роты немцев и румын.» (15090).</w:t>
      </w:r>
    </w:p>
    <w:p w14:paraId="365D99B4" w14:textId="77777777" w:rsidR="006F0EDF" w:rsidRPr="007224C3" w:rsidRDefault="006F0EDF" w:rsidP="007224C3">
      <w:pPr>
        <w:spacing w:after="0" w:line="240" w:lineRule="auto"/>
        <w:jc w:val="both"/>
        <w:rPr>
          <w:rFonts w:ascii="Times New Roman" w:hAnsi="Times New Roman"/>
          <w:color w:val="000000" w:themeColor="text1"/>
          <w:sz w:val="16"/>
          <w:szCs w:val="16"/>
        </w:rPr>
      </w:pPr>
    </w:p>
    <w:p w14:paraId="3FDE653C" w14:textId="77777777" w:rsidR="006F0EDF" w:rsidRPr="007224C3" w:rsidRDefault="006F0EDF"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5 апреля</w:t>
      </w:r>
      <w:r w:rsidRPr="007224C3">
        <w:rPr>
          <w:rFonts w:ascii="Times New Roman" w:hAnsi="Times New Roman"/>
          <w:color w:val="000000" w:themeColor="text1"/>
          <w:sz w:val="16"/>
          <w:szCs w:val="16"/>
        </w:rPr>
        <w:t xml:space="preserve"> в 1944 году (5–11 апреля) эвакуация германских войск из Одессы морем прошла без потерь (15090).</w:t>
      </w:r>
    </w:p>
    <w:p w14:paraId="51DE7647" w14:textId="77777777" w:rsidR="006F0EDF" w:rsidRPr="007224C3" w:rsidRDefault="006F0EDF" w:rsidP="007224C3">
      <w:pPr>
        <w:spacing w:after="0" w:line="240" w:lineRule="auto"/>
        <w:jc w:val="both"/>
        <w:rPr>
          <w:rFonts w:ascii="Times New Roman" w:hAnsi="Times New Roman"/>
          <w:color w:val="000000" w:themeColor="text1"/>
          <w:sz w:val="16"/>
          <w:szCs w:val="16"/>
        </w:rPr>
      </w:pPr>
    </w:p>
    <w:p w14:paraId="5E6C6692" w14:textId="77777777" w:rsidR="00E80BEB" w:rsidRPr="007224C3" w:rsidRDefault="00E80BE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апреля 1944 завершилась Полесская наступательная операция войск 2-го Белорусского фронта, проведённая с целью разгрома ковельской группировки противника</w:t>
      </w:r>
    </w:p>
    <w:p w14:paraId="7FA7D4A3" w14:textId="77777777" w:rsidR="00E80BEB" w:rsidRPr="007224C3" w:rsidRDefault="00E80BE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957D1B" w14:textId="77777777" w:rsidR="00E80BEB" w:rsidRPr="007224C3" w:rsidRDefault="00E80BE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April 5th, 1944: German forces of Heeresgruppe Mitte (von Kluge) encircled in the Kowel pocket are relieved after bitter fighting (3819).</w:t>
      </w:r>
    </w:p>
    <w:p w14:paraId="55ED5371" w14:textId="77777777" w:rsidR="00E80BEB" w:rsidRPr="007224C3" w:rsidRDefault="00E80BE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CA6FFB4" w14:textId="77777777" w:rsidR="00E80BEB" w:rsidRPr="007224C3" w:rsidRDefault="00E80BE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апреля 1944 окруженные у Ковеля войска Группы Центр (фон Клюге) прорвались (3819).</w:t>
      </w:r>
    </w:p>
    <w:p w14:paraId="7DAC5435" w14:textId="77777777" w:rsidR="00E80BEB" w:rsidRPr="007224C3" w:rsidRDefault="00E80BE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2781D1" w14:textId="77777777" w:rsidR="00E80BEB" w:rsidRPr="007224C3" w:rsidRDefault="00E80BE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апреля 1944 вышло Распоряжение ГКО № 5547. О продлении до 1 октября 1944 г. срока работы военнослужащих, занятых на эксплуатации радиостанций В-100 НКсвязи. РГАНИР, Фонд ГКО, д. 225, лл. 56 (11012).</w:t>
      </w:r>
    </w:p>
    <w:p w14:paraId="21AC25D7" w14:textId="77777777" w:rsidR="00E80BEB" w:rsidRPr="007224C3" w:rsidRDefault="00E80BEB" w:rsidP="007224C3">
      <w:pPr>
        <w:autoSpaceDE w:val="0"/>
        <w:autoSpaceDN w:val="0"/>
        <w:adjustRightInd w:val="0"/>
        <w:spacing w:after="0" w:line="240" w:lineRule="auto"/>
        <w:jc w:val="both"/>
        <w:rPr>
          <w:rFonts w:ascii="Times New Roman" w:hAnsi="Times New Roman"/>
          <w:color w:val="000000" w:themeColor="text1"/>
          <w:sz w:val="16"/>
          <w:szCs w:val="16"/>
        </w:rPr>
      </w:pPr>
    </w:p>
    <w:p w14:paraId="643466B2"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Жизнь и внутренняя политика:</w:t>
      </w:r>
    </w:p>
    <w:p w14:paraId="4954A05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E98161A"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апреля 1944 вышло Постановление ГКО № 5541 О материально-техническом обеспечении производства орденов и медалей СССР и разменной монеты во II квартале 1944 г. (7205, 32-34,35-38).</w:t>
      </w:r>
    </w:p>
    <w:p w14:paraId="3B94BDE2"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4456A2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апреля 1944 вышло Постановление ГКО № 5543 О мероприятиях по восстановлению заводов Наркомстройматериалов БССР в освобожденных районах Белоруссии. РГАНИР, Фонд ГКО, д. 225, лл. 41-45,46-51 (11012).</w:t>
      </w:r>
    </w:p>
    <w:p w14:paraId="06065F5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D8377A6"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апреля 1944 вышло Распоряжение ГКО № 5544 [О мерах по повышению горизонта воды в Угличском водохранилище.] (7205, 52).</w:t>
      </w:r>
    </w:p>
    <w:p w14:paraId="7791F13F"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4E0E4D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апреля 1944 вышло Распоряжение ГКО № 5546. О продлении до 1 июля 1944 г. срока работы мобилизованных на предприятия Главснаблеса. РГАНИР, Фонд ГКО, д. 225, лл. 55 (11012).</w:t>
      </w:r>
    </w:p>
    <w:p w14:paraId="32B7D5C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190628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апреля 1944 вышло Распоряжение ГКО № 5548. О передаче 100 некадровых командиров-инженеров для работ по восстановлению МТС, МТМ и ремонтных заводов в освобожденных районах. РГАНИР, Фонд ГКО, д. 225, лл. 57 (11012).</w:t>
      </w:r>
    </w:p>
    <w:p w14:paraId="2B20698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57C1D88"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апреля 1944 вышло Постановление ГКО № 5557 О мерах по улучшению работы протезной промышленности в 1944 г. (7205, 133-141,142-187).</w:t>
      </w:r>
    </w:p>
    <w:p w14:paraId="5585AF90"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4AD1A42"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7FD4FB8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8C1D0DE" w14:textId="77777777" w:rsidR="006F0EDF" w:rsidRPr="007224C3" w:rsidRDefault="006F0EDF"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5 апреля</w:t>
      </w:r>
      <w:r w:rsidRPr="007224C3">
        <w:rPr>
          <w:rFonts w:ascii="Times New Roman" w:hAnsi="Times New Roman"/>
          <w:color w:val="000000" w:themeColor="text1"/>
          <w:sz w:val="16"/>
          <w:szCs w:val="16"/>
        </w:rPr>
        <w:t xml:space="preserve"> в 1944 году впервые поднялся в воздух опытный экземпляр английского УТС разработанный английской фирмой «Miles» и получивший обозначение </w:t>
      </w:r>
      <w:hyperlink r:id="rId99" w:tgtFrame="_blank" w:history="1">
        <w:r w:rsidRPr="007224C3">
          <w:rPr>
            <w:rFonts w:ascii="Times New Roman" w:hAnsi="Times New Roman"/>
            <w:color w:val="000000" w:themeColor="text1"/>
            <w:sz w:val="16"/>
            <w:szCs w:val="16"/>
          </w:rPr>
          <w:t xml:space="preserve">«Monitor T.T.» «Mk.I», </w:t>
        </w:r>
      </w:hyperlink>
      <w:r w:rsidRPr="007224C3">
        <w:rPr>
          <w:rFonts w:ascii="Times New Roman" w:hAnsi="Times New Roman"/>
          <w:color w:val="000000" w:themeColor="text1"/>
          <w:sz w:val="16"/>
          <w:szCs w:val="16"/>
        </w:rPr>
        <w:t>будущий «M.33» «Monitor» - учебно-тренировочный самолет. Он хорошо слушался рулей, но война окончилась еще до полного завершения разработки, и контракт был уменьшен сначала до 200 самолетов, затем до 50 и окончательно расторгнут после поставки 20 машин (15090).</w:t>
      </w:r>
    </w:p>
    <w:p w14:paraId="2E76AD4A" w14:textId="77777777" w:rsidR="006F0EDF" w:rsidRPr="007224C3" w:rsidRDefault="006F0EDF" w:rsidP="007224C3">
      <w:pPr>
        <w:spacing w:after="0" w:line="240" w:lineRule="auto"/>
        <w:jc w:val="both"/>
        <w:rPr>
          <w:rFonts w:ascii="Times New Roman" w:hAnsi="Times New Roman"/>
          <w:color w:val="000000" w:themeColor="text1"/>
          <w:sz w:val="16"/>
          <w:szCs w:val="16"/>
        </w:rPr>
      </w:pPr>
    </w:p>
    <w:p w14:paraId="43E33602" w14:textId="77777777" w:rsidR="007249B9" w:rsidRPr="007224C3" w:rsidRDefault="007249B9"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5 апреля 1944 первый полет Miles M.33 Monitor (20373).</w:t>
      </w:r>
    </w:p>
    <w:p w14:paraId="7E9BC34A" w14:textId="77777777" w:rsidR="007249B9" w:rsidRPr="007224C3" w:rsidRDefault="007249B9" w:rsidP="007224C3">
      <w:pPr>
        <w:spacing w:after="0" w:line="240" w:lineRule="auto"/>
        <w:jc w:val="both"/>
        <w:rPr>
          <w:rFonts w:ascii="Times New Roman" w:hAnsi="Times New Roman"/>
          <w:color w:val="0070C0"/>
          <w:sz w:val="16"/>
          <w:szCs w:val="16"/>
        </w:rPr>
      </w:pPr>
    </w:p>
    <w:p w14:paraId="389FE28C" w14:textId="77777777" w:rsidR="007249B9" w:rsidRPr="007224C3" w:rsidRDefault="007249B9"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5 апреля 1944 года — первый полёт буксировщика мишеней Miles M.33 Monitor</w:t>
      </w:r>
    </w:p>
    <w:p w14:paraId="68C2E7A7" w14:textId="77777777" w:rsidR="007249B9" w:rsidRPr="007224C3" w:rsidRDefault="007249B9"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 1942 году авиационное министерство Великобритании выпустило спецификацию Q.9/42 на скоростной (не менее 482 км/ч) двухмоторный буксировщик мишеней. Также в требованиях был пункт о необходимости наблюдателя в экипаже для быстрой смены мишеней. За проект взялась компания Miles Aircraft.</w:t>
      </w:r>
    </w:p>
    <w:p w14:paraId="183DE6DC" w14:textId="77777777" w:rsidR="007249B9" w:rsidRPr="007224C3" w:rsidRDefault="007249B9"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Первоначально планировалось для ускорения работ использовать крыло и шасси от тяжелого истребителя Bristol Beaufighter. Но в итоге взяли лишь шасси, а крыло для M.33 Monitor разработали своё. Конструкция самолёта была смешанной — металлический фюзеляж и деревянное крыло. На верхней части фюзеляжа, ближе к хвосту, располагалась кабина наблюдателя.</w:t>
      </w:r>
    </w:p>
    <w:p w14:paraId="19CE3CB2" w14:textId="77777777" w:rsidR="007249B9" w:rsidRPr="007224C3" w:rsidRDefault="007249B9"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Планировалось выпустить 600 самолётов, но приближающийся конец войны вынудил сначала сократить заказ до 200, а затем до 20 единиц M.33. Но после потери двух прототипов в катастрофах, все оставшиеся самолёты списали. Miles M.33 Monitor так и не был принят на вооружение (22300).</w:t>
      </w:r>
    </w:p>
    <w:p w14:paraId="17FB4A0A" w14:textId="77777777" w:rsidR="007249B9" w:rsidRPr="007224C3" w:rsidRDefault="007249B9" w:rsidP="007224C3">
      <w:pPr>
        <w:spacing w:after="0" w:line="240" w:lineRule="auto"/>
        <w:jc w:val="both"/>
        <w:rPr>
          <w:rFonts w:ascii="Times New Roman" w:hAnsi="Times New Roman"/>
          <w:color w:val="0070C0"/>
          <w:sz w:val="16"/>
          <w:szCs w:val="16"/>
        </w:rPr>
      </w:pPr>
    </w:p>
    <w:p w14:paraId="19E2C52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апреля 1944 года 456 американских „Мустангов“ и „Тандерболтов“ нанесли массированный удар по 11 аэродромам истребительной авиации Германии, уничтожив на земле и в воздухе всего 53 немецких истребителя [Майк Спик. Асы люфтваффе.– Смоленск: Русич, 1999., 77]. И это – один из самых удачных для союзной авиации эпизодов войны. Так откуда же взялась та супер-гипер-экстраэффективность, которой якобы достигло люфтваффе 22 июня 1941 года? (11652).</w:t>
      </w:r>
    </w:p>
    <w:p w14:paraId="2BB237C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7986CAE" w14:textId="77777777" w:rsidR="007249B9" w:rsidRPr="007224C3" w:rsidRDefault="007249B9"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5 апреля 1944 самолет пятой армии ВВС снова атакует японские аэродромы вокруг Голландии (20373).</w:t>
      </w:r>
    </w:p>
    <w:p w14:paraId="1D8E1BE7" w14:textId="77777777" w:rsidR="007249B9" w:rsidRPr="007224C3" w:rsidRDefault="007249B9" w:rsidP="007224C3">
      <w:pPr>
        <w:spacing w:after="0" w:line="240" w:lineRule="auto"/>
        <w:jc w:val="both"/>
        <w:rPr>
          <w:rFonts w:ascii="Times New Roman" w:hAnsi="Times New Roman"/>
          <w:color w:val="0070C0"/>
          <w:sz w:val="16"/>
          <w:szCs w:val="16"/>
        </w:rPr>
      </w:pPr>
    </w:p>
    <w:p w14:paraId="6FD13017" w14:textId="77777777" w:rsidR="007249B9" w:rsidRPr="007224C3" w:rsidRDefault="007249B9"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5–6 апреля (ночь) 1944 145 британских бомбардировщиков атакуют авиационный завод в Тулузе, Франция. Один бомбардировщик Ланкастер потерян, когда взрывается над целью (20373).</w:t>
      </w:r>
    </w:p>
    <w:p w14:paraId="472EC945" w14:textId="77777777" w:rsidR="007249B9" w:rsidRPr="007224C3" w:rsidRDefault="007249B9" w:rsidP="007224C3">
      <w:pPr>
        <w:spacing w:after="0" w:line="240" w:lineRule="auto"/>
        <w:jc w:val="both"/>
        <w:rPr>
          <w:rFonts w:ascii="Times New Roman" w:hAnsi="Times New Roman"/>
          <w:color w:val="0070C0"/>
          <w:sz w:val="16"/>
          <w:szCs w:val="16"/>
        </w:rPr>
      </w:pPr>
    </w:p>
    <w:p w14:paraId="6F1248CB" w14:textId="77777777" w:rsidR="006F0EDF" w:rsidRPr="007224C3" w:rsidRDefault="006F0EDF"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апреля 1944 г Де Голь стал главой французского правительства в Лондоне (2247,2).</w:t>
      </w:r>
    </w:p>
    <w:p w14:paraId="2B7F97D9" w14:textId="77777777" w:rsidR="006F0EDF" w:rsidRPr="007224C3" w:rsidRDefault="006F0EDF"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F11C4C"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34D77FD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A50ABC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апреля 1944 Постановлением ГКО №3137 ВМШ-2 был офи</w:t>
      </w:r>
      <w:r w:rsidRPr="007224C3">
        <w:rPr>
          <w:rFonts w:ascii="Times New Roman" w:hAnsi="Times New Roman"/>
          <w:color w:val="000000" w:themeColor="text1"/>
          <w:sz w:val="16"/>
          <w:szCs w:val="16"/>
        </w:rPr>
        <w:softHyphen/>
        <w:t>циально запущен в серийное производ</w:t>
      </w:r>
      <w:r w:rsidRPr="007224C3">
        <w:rPr>
          <w:rFonts w:ascii="Times New Roman" w:hAnsi="Times New Roman"/>
          <w:color w:val="000000" w:themeColor="text1"/>
          <w:sz w:val="16"/>
          <w:szCs w:val="16"/>
        </w:rPr>
        <w:softHyphen/>
        <w:t>ство и стал устанавливаться на всех выпускаемых штурмовиках Ил-2. Несмотря на столь длительную довод</w:t>
      </w:r>
      <w:r w:rsidRPr="007224C3">
        <w:rPr>
          <w:rFonts w:ascii="Times New Roman" w:hAnsi="Times New Roman"/>
          <w:color w:val="000000" w:themeColor="text1"/>
          <w:sz w:val="16"/>
          <w:szCs w:val="16"/>
        </w:rPr>
        <w:softHyphen/>
        <w:t>ку, ВМШ-2 все же не нашел широкого применения в строевых частях штурмо</w:t>
      </w:r>
      <w:r w:rsidRPr="007224C3">
        <w:rPr>
          <w:rFonts w:ascii="Times New Roman" w:hAnsi="Times New Roman"/>
          <w:color w:val="000000" w:themeColor="text1"/>
          <w:sz w:val="16"/>
          <w:szCs w:val="16"/>
        </w:rPr>
        <w:softHyphen/>
        <w:t>вой авиации ВВС КА. Как ни старались привить уважение летчиков к этому при</w:t>
      </w:r>
      <w:r w:rsidRPr="007224C3">
        <w:rPr>
          <w:rFonts w:ascii="Times New Roman" w:hAnsi="Times New Roman"/>
          <w:color w:val="000000" w:themeColor="text1"/>
          <w:sz w:val="16"/>
          <w:szCs w:val="16"/>
        </w:rPr>
        <w:softHyphen/>
        <w:t>бору и заставить пользоваться им, ниче</w:t>
      </w:r>
      <w:r w:rsidRPr="007224C3">
        <w:rPr>
          <w:rFonts w:ascii="Times New Roman" w:hAnsi="Times New Roman"/>
          <w:color w:val="000000" w:themeColor="text1"/>
          <w:sz w:val="16"/>
          <w:szCs w:val="16"/>
        </w:rPr>
        <w:softHyphen/>
        <w:t>го из этого не получилось, хотя времен</w:t>
      </w:r>
      <w:r w:rsidRPr="007224C3">
        <w:rPr>
          <w:rFonts w:ascii="Times New Roman" w:hAnsi="Times New Roman"/>
          <w:color w:val="000000" w:themeColor="text1"/>
          <w:sz w:val="16"/>
          <w:szCs w:val="16"/>
        </w:rPr>
        <w:softHyphen/>
        <w:t>ной механизм и просуществовал на во</w:t>
      </w:r>
      <w:r w:rsidRPr="007224C3">
        <w:rPr>
          <w:rFonts w:ascii="Times New Roman" w:hAnsi="Times New Roman"/>
          <w:color w:val="000000" w:themeColor="text1"/>
          <w:sz w:val="16"/>
          <w:szCs w:val="16"/>
        </w:rPr>
        <w:softHyphen/>
        <w:t>оружении до самого окончания войны. Основным недостатком ВМШ-2 явля</w:t>
      </w:r>
      <w:r w:rsidRPr="007224C3">
        <w:rPr>
          <w:rFonts w:ascii="Times New Roman" w:hAnsi="Times New Roman"/>
          <w:color w:val="000000" w:themeColor="text1"/>
          <w:sz w:val="16"/>
          <w:szCs w:val="16"/>
        </w:rPr>
        <w:softHyphen/>
        <w:t>лось то, что сбрасывание авиабомб при бомбометании с пикирования, или, дру</w:t>
      </w:r>
      <w:r w:rsidRPr="007224C3">
        <w:rPr>
          <w:rFonts w:ascii="Times New Roman" w:hAnsi="Times New Roman"/>
          <w:color w:val="000000" w:themeColor="text1"/>
          <w:sz w:val="16"/>
          <w:szCs w:val="16"/>
        </w:rPr>
        <w:softHyphen/>
        <w:t xml:space="preserve">гими словами, вывод </w:t>
      </w:r>
      <w:r w:rsidRPr="007224C3">
        <w:rPr>
          <w:rFonts w:ascii="Times New Roman" w:hAnsi="Times New Roman"/>
          <w:color w:val="000000" w:themeColor="text1"/>
          <w:sz w:val="16"/>
          <w:szCs w:val="16"/>
        </w:rPr>
        <w:lastRenderedPageBreak/>
        <w:t>из пикирования, всегда происходил на одной и той же высоте - 400 м, хотя ввод в пикирование мог осуществляться с различных высот (600-1200 м). Это приводило к однооб</w:t>
      </w:r>
      <w:r w:rsidRPr="007224C3">
        <w:rPr>
          <w:rFonts w:ascii="Times New Roman" w:hAnsi="Times New Roman"/>
          <w:color w:val="000000" w:themeColor="text1"/>
          <w:sz w:val="16"/>
          <w:szCs w:val="16"/>
        </w:rPr>
        <w:softHyphen/>
        <w:t>разию тактических приемов над целью, вследствие чего противник наносил Ил-2 тяжелые потери огнем МЗА.</w:t>
      </w:r>
    </w:p>
    <w:p w14:paraId="13DAEC7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AECF79" w14:textId="77777777" w:rsidR="00E80BEB" w:rsidRPr="007224C3" w:rsidRDefault="00E80BEB" w:rsidP="007224C3">
      <w:pPr>
        <w:pStyle w:val="a3"/>
        <w:rPr>
          <w:color w:val="000000" w:themeColor="text1"/>
          <w:lang w:val="ru-RU"/>
        </w:rPr>
      </w:pPr>
      <w:r w:rsidRPr="007224C3">
        <w:rPr>
          <w:color w:val="000000" w:themeColor="text1"/>
          <w:lang w:val="ru-RU"/>
        </w:rPr>
        <w:t>6 апреля 1944 г. Постановлением ГКО ВМШ-2 был официально запущен в серийное производство и стал устанав</w:t>
      </w:r>
      <w:r w:rsidRPr="007224C3">
        <w:rPr>
          <w:color w:val="000000" w:themeColor="text1"/>
          <w:lang w:val="ru-RU"/>
        </w:rPr>
        <w:softHyphen/>
        <w:t>ливаться на всех выпускаемых штурмовиках Ил-2.</w:t>
      </w:r>
    </w:p>
    <w:p w14:paraId="5D5A35EA" w14:textId="77777777" w:rsidR="00E80BEB" w:rsidRPr="007224C3" w:rsidRDefault="00E80BEB" w:rsidP="007224C3">
      <w:pPr>
        <w:pStyle w:val="a3"/>
        <w:rPr>
          <w:color w:val="000000" w:themeColor="text1"/>
          <w:lang w:val="ru-RU"/>
        </w:rPr>
      </w:pPr>
      <w:r w:rsidRPr="007224C3">
        <w:rPr>
          <w:color w:val="000000" w:themeColor="text1"/>
          <w:lang w:val="ru-RU"/>
        </w:rPr>
        <w:t>Несмотря на столь длительную доводку, ВМШ-2 всё же не нашел широкого применения в частях штурмовой авиации ВВС КА. Как ни старались привить уважение лётчиков к этому при</w:t>
      </w:r>
      <w:r w:rsidRPr="007224C3">
        <w:rPr>
          <w:color w:val="000000" w:themeColor="text1"/>
          <w:lang w:val="ru-RU"/>
        </w:rPr>
        <w:softHyphen/>
        <w:t>бору и заставить пользоваться и'м, ничего из этого не получилось, хотя временной механизм и просуществовал на вооружении Ил-2 до самого окончания войны.</w:t>
      </w:r>
    </w:p>
    <w:p w14:paraId="68D32D7E" w14:textId="77777777" w:rsidR="00E80BEB" w:rsidRPr="007224C3" w:rsidRDefault="00E80BEB" w:rsidP="007224C3">
      <w:pPr>
        <w:pStyle w:val="a3"/>
        <w:rPr>
          <w:color w:val="000000" w:themeColor="text1"/>
          <w:lang w:val="ru-RU"/>
        </w:rPr>
      </w:pPr>
      <w:r w:rsidRPr="007224C3">
        <w:rPr>
          <w:color w:val="000000" w:themeColor="text1"/>
          <w:lang w:val="ru-RU"/>
        </w:rPr>
        <w:t>Основным недостатком ВМШ-2, из-за которого его и не любили лётчики, был ограниченный диапазон высот боевого применения и дискретность их выбора.</w:t>
      </w:r>
    </w:p>
    <w:p w14:paraId="088532AA" w14:textId="77777777" w:rsidR="00E80BEB" w:rsidRPr="007224C3" w:rsidRDefault="00E80BEB" w:rsidP="007224C3">
      <w:pPr>
        <w:pStyle w:val="a3"/>
        <w:rPr>
          <w:color w:val="000000" w:themeColor="text1"/>
          <w:lang w:val="ru-RU"/>
        </w:rPr>
      </w:pPr>
      <w:r w:rsidRPr="007224C3">
        <w:rPr>
          <w:color w:val="000000" w:themeColor="text1"/>
          <w:lang w:val="ru-RU"/>
        </w:rPr>
        <w:t>Бомбометание с горизонтального полёта при помощи ВМШ-2 могло производиться с высот 70, 100, 200, 300 м и выше (всё кратно 100 м), а бомбометание на выходе из пикирования только с высоты 400 м, хотя ввод в пикирование осуществлялся с различных высот: от 600 м до 1 200 м. К тому же, использование ВМШ-2 требовало длительного нахождения над целью без противозенитного манёвра. Всё это приводило к излишнему однообразию тактических при</w:t>
      </w:r>
      <w:r w:rsidRPr="007224C3">
        <w:rPr>
          <w:color w:val="000000" w:themeColor="text1"/>
          <w:lang w:val="ru-RU"/>
        </w:rPr>
        <w:softHyphen/>
        <w:t>ёмов над целью, и противник наносил Ил-2 тяжелые потери, в основном огнём малокалиберной зенитной артиллерии и крупнокалиберных зенитных пулемётов (15978).</w:t>
      </w:r>
    </w:p>
    <w:p w14:paraId="78F548D8" w14:textId="77777777" w:rsidR="00E80BEB" w:rsidRPr="007224C3" w:rsidRDefault="00E80BEB" w:rsidP="007224C3">
      <w:pPr>
        <w:pStyle w:val="a3"/>
        <w:rPr>
          <w:color w:val="000000" w:themeColor="text1"/>
          <w:lang w:val="ru-RU"/>
        </w:rPr>
      </w:pPr>
    </w:p>
    <w:p w14:paraId="74F8834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апреля 1944 к А.Г.Васильченко, л-и завода 22, поднял в воздух Пе-2И В.М.М. 1-й экз. и 7 и 8 выполнил еще 2 полета и потом машину завели в опытный цех для устранения дефектов и окраски. При опробовании двигателей нашли стружку и решили менять. Подоспел 2-й экз. После замены двигателей достигли скорости 654 км/час. Пошел доклад наверх и И.В.С. распорядился немедленно передать машину на гос. испытания, которые начались в мае 1944 (2471,36).</w:t>
      </w:r>
    </w:p>
    <w:p w14:paraId="7CD1EC1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5C68A9" w14:textId="77777777" w:rsidR="00E80BEB" w:rsidRPr="007224C3" w:rsidRDefault="00E80BEB"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6 апреля</w:t>
      </w:r>
      <w:r w:rsidRPr="007224C3">
        <w:rPr>
          <w:rFonts w:ascii="Times New Roman" w:hAnsi="Times New Roman"/>
          <w:color w:val="000000" w:themeColor="text1"/>
          <w:sz w:val="16"/>
          <w:szCs w:val="16"/>
        </w:rPr>
        <w:t xml:space="preserve"> в 1944 году летчик-испытатель завода № 22 капитан А.Г.Васильченко впервые поднял бомбардировщик </w:t>
      </w:r>
      <w:hyperlink r:id="rId100" w:tgtFrame="_blank" w:history="1">
        <w:r w:rsidRPr="007224C3">
          <w:rPr>
            <w:rFonts w:ascii="Times New Roman" w:hAnsi="Times New Roman"/>
            <w:color w:val="000000" w:themeColor="text1"/>
            <w:sz w:val="16"/>
            <w:szCs w:val="16"/>
          </w:rPr>
          <w:t xml:space="preserve">«Пе-2И» </w:t>
        </w:r>
      </w:hyperlink>
      <w:r w:rsidRPr="007224C3">
        <w:rPr>
          <w:rFonts w:ascii="Times New Roman" w:hAnsi="Times New Roman"/>
          <w:color w:val="000000" w:themeColor="text1"/>
          <w:sz w:val="16"/>
          <w:szCs w:val="16"/>
        </w:rPr>
        <w:t>в воздух, а 7 и 8 апреля совершил на ней еще два полета. Моторы работали удовлетворительно, температурные режимы винтомоторной группы оказались в норме. Васильченко определил важнейшие характеристики самолета - устойчивость по всем трем осям, управляемость и взлетно-посадочные качества. По этим показателям новая машина не уступала «Пе-2», а по простоте пилотирования «Пе-2И» оказался в заметном выигрыше. В частности, путевая устойчивость была заметно лучше (что отмечалось еще на «Пе-2Ф» и являлось следствием, по-видимому, среднепланной схемы машины). Неприятной неожиданностью стало то, что разбег и пробег реально оказались в полтора раза больше расчетных. Всего было выпущено 3 опытных «Пе-2И». Ни один из выпущенных «Пе-2И» не был доведен до боеготового состояния вплоть до июня 1945 года и не был оплачен ВВС, поэтому все дальнейшие работы по истребительному варианту постепенно зашли в тупик (15091).</w:t>
      </w:r>
    </w:p>
    <w:p w14:paraId="2027D790" w14:textId="77777777" w:rsidR="00E80BEB" w:rsidRPr="007224C3" w:rsidRDefault="00E80BEB" w:rsidP="007224C3">
      <w:pPr>
        <w:spacing w:after="0" w:line="240" w:lineRule="auto"/>
        <w:jc w:val="both"/>
        <w:rPr>
          <w:rFonts w:ascii="Times New Roman" w:hAnsi="Times New Roman"/>
          <w:color w:val="000000" w:themeColor="text1"/>
          <w:sz w:val="16"/>
          <w:szCs w:val="16"/>
        </w:rPr>
      </w:pPr>
    </w:p>
    <w:p w14:paraId="338583A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апреля 1944 г. Летчик-испытатель завода № 22 капитан А. Г. Васильченко впервые поднял машину Пе-2И в небо, а 7 и 8 апреля совершил на ней еще два полета. Моторы работали удовлетворительно, температурные режимы винтомоторной группы оказались в норме. Васильченко определил важнейшие характеристики самолета: устойчивость по всем трем осям, управляемость и взлетно-поса- дочные качества. По этим показателям новая машина не уступала Пе-2, а по простоте пилотирования Пе-2И оказался в заметном выигрыше. В частности, путевая устойчивость была заметно лучше (что отмечалось еще на Пе-2Ф и являлось следствием, по- видимому, среднепланной схемы машины). Неприятной неожиданностью стало то, что разбег и пробег оказались в полтора раза больше расчетных.</w:t>
      </w:r>
    </w:p>
    <w:p w14:paraId="2419984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опытном цехе заканчивали сборку второго опытного Пе-2И. В ходе статиспыта- ний выявилась недостаточная прочность крыла самолета, поэтому на "дублере" усилили полки лонжеронов. Установили пулемет под сиденьем пилота (обещанную пушку так и не успели офаботать), добавили брони, устранили выявленные макетной комиссией недостатки. Масса самолета несколько возросла. Опытно-конструкторский отдел прорабатывал две дальнейшие модификации машины: с двигателями М-1 и с шасси с носовой опорой. Эти проекты, впрочем, так и остались на бумаге.</w:t>
      </w:r>
    </w:p>
    <w:p w14:paraId="04F3D57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После замены двигателя капитан Васильченко приступил к определению максимальной скорости полета. Обычно самолет чуть- чуть (или более того) "не дотягивает" до расчетного значения. При испытаниях Пе-2И произошел редкий случай - полученная на второй границе высотности скорость 654 км/ч на 14 км/ч превышала расчетную величину. С такой скоростью, по имевшимся в то время в ОКО-22 данным, не летал ни один известный двухмоторный бомбардировщик! (Заметим, что некоторые варианты "Москито", в частности, бомбардировочные В.IX и В.XIV, еще в 1943 г. развивали максимальную скорость порядка 680 км/ч, но на существенно большей высоте.)</w:t>
      </w:r>
    </w:p>
    <w:p w14:paraId="1951829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Незамедлительно поступил доклад "наверх". Испытаниями самолета Пе-2И заинтересовалось руководство ВВС, НКАП и авиационного отдела ЦК ВКП(б). О машине доложили И.В. Сталину. Поступило распоряжение немедленно передать Пе-2И на государственные испытания в НИИ ВВС. У Мясишева исчезли проблемы с "добыванием" дефицитных моторов BK-I07A, но появились новые - как сделать, чтобы "сыроватые" двигатели не "похоронили" машину. Наступила череда мучительных доводок.</w:t>
      </w:r>
    </w:p>
    <w:p w14:paraId="670A8E9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Испытания в НИИ ВВС проводила бригада в составе: ведущий инженер - инженер-майор Г.В. Грибакин, летчик - майор A.M. Хрипков, штурман - ст. лейтенант Ромашко. В ходе первого этапа испытаний, проводившихся в мае-июле, пришлось четыре раза менять моторы, у которых то происходила раскрутка винтов, то прорывало газы через верхнее уплотнение блока цилиндров, то начиналось выбрасывание масла из суфлеров. Двигатели BK-I07A не сдавались и упорно расшатывали нервы испытателям и конструкторам самолета. И все же, полученные в результате нечастых удачных полетов данные оказались весьма высокими: максимальная скорость полета у земли - 556 км/ч, на первой границе высотности - 617 км/ч и на второй границе - 656 км/ч, а время набора высоты 5000 м лишь ненамного отличалось от расчетного - 7 мин. По комплексу летно-техниче- ских характеристик Пе-2И уверенно вышел на первое место в своем классе. Перетяже- ление опытного самолета на 500 кг планировалось уменьшить в серии до 100-150 кг, смонтировать новые законцовки крыла, увеличивавшие его размах до 17,8 м, а площадь до 43,5 м кв.</w:t>
      </w:r>
    </w:p>
    <w:p w14:paraId="1B0D7DF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отличие от обычных серийных Пе-2 новая машина прилично вела себя на посадке, не теряла быстро скорость после выравнивания. Благодаря новому профилю сваливание на крыло не наблюдалось, после касания земли самолет не имел тенденции к развороту. Летчик Хрипков в своем заключении указывал: "По технике пилотирования самолет Пе-2И доступен летчикам средней квалификации. В целом по своим летно-техничес- ким свойствам самолет Пе-2И имеет большое преимущество перед находящимся в настоящее время на вооружении ВВС КА самолетом Пе-2".</w:t>
      </w:r>
    </w:p>
    <w:p w14:paraId="6FA551C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Проведенные учебные воздушные бои с трофейным истребителем Bf 109G 4 убедительно продемонстрировали, что в горизонтальном полете на высоте до 7000 м "немец" не смог ни разу атаковать Пе-2И, уступая ему в скорости. В районе цели, когда "пешка" выполняла второй заход, "мессер" лишь однажды смог поймать ее в прицел, причем почти строго с хвоста, рискуя напороться на огонь ДЭУ. В целом, новый советский бомбардировщик проявил несомненные "москитные" способности по уклонению от боя с неприятельскими истребителями, что должно было способствовать сокращению потерь бомбардировщиков на фронте (12042).</w:t>
      </w:r>
    </w:p>
    <w:p w14:paraId="343F273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5D066C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апреля 1944 г. Летчик-испытатель завода № 22 капитан А. Г. Васильченко впервые поднял машину Пе-2И в воздух (4476)</w:t>
      </w:r>
    </w:p>
    <w:p w14:paraId="570405E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062996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апреля 1944 Пе-2Б был отправлен в НИИ ВВС (ведущий летчик В.И. Жданов), где прошел государственные испытания (акт от 17 июля 1944 г. № 0722) и был рекомендован для серийного произ</w:t>
      </w:r>
      <w:r w:rsidRPr="007224C3">
        <w:rPr>
          <w:rFonts w:ascii="Times New Roman" w:hAnsi="Times New Roman"/>
          <w:color w:val="000000" w:themeColor="text1"/>
          <w:sz w:val="16"/>
          <w:szCs w:val="16"/>
        </w:rPr>
        <w:softHyphen/>
        <w:t>водства (11446).</w:t>
      </w:r>
    </w:p>
    <w:p w14:paraId="71A4BAC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9DFF0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апреля 1944 Ю.А.Антипов садился аварийно на Як-3 М-107 N 347-76 на Чкаловском (817).</w:t>
      </w:r>
    </w:p>
    <w:p w14:paraId="634E1CF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BB078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6-го апреля 1944 года на Як-3 с мотором ВК-107А во время пробного полета для проверки работы ВМГ, вышел из строя мотор ВК-107А N 347-76. Мотор имел 100-часовой ресурс и наработал с начала эксплуатации 2 час. 00 мин., из них в воздухе 0 час. 40 мин. Испытания были прерваны (1821).</w:t>
      </w:r>
    </w:p>
    <w:p w14:paraId="101BA16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0CA9F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апреля 1944 года Конструктор и ГК завода № 155 В.И.М. писал письмо (зам. начальника гл. управления НКАП В.Н. Алексеев заверил - Копия верна № 4620 г-7) зам. наркома Авиапрома Яковлеву А.С.</w:t>
      </w:r>
    </w:p>
    <w:p w14:paraId="73E13AA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Приказом НКАП N 315сс от 14 июня 1943 г., в соответствии с Постановлением ГОКО от 12 июня 1943 года, мне было поручено выпустить высотный истребитель, с АМ-39 и ТК к 1 сентября 1943 г. Одновременно ЦИАМ"у было поручено отработать высотную установку винтомоторной группы.</w:t>
      </w:r>
    </w:p>
    <w:p w14:paraId="2292FA6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Приказом НКАП от 3 июля N 390сс обязывались:</w:t>
      </w:r>
    </w:p>
    <w:p w14:paraId="7B9DC31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Завод N 300 подобрать ЦИАМ"у мотор к 25-му июля 1943 г. и заводу N 155 резервный мотор к 10-му августа 1943 г.</w:t>
      </w:r>
    </w:p>
    <w:p w14:paraId="6E5262F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ЦИАМ провести стендовые испытания мотора Ам-39 с ТК, отработать автоматику и сдать заводу N 155 15 августа 1943 г.</w:t>
      </w:r>
    </w:p>
    <w:p w14:paraId="69AB38E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связи со срывом установленных этим приказом сроков НКАП, приказом N 503сс от 31 августа 1943 г., отметив недопустимость срыва сроков подачи летного мотора заводом N 300, установлен срок подачи мотора ЦИАМ"у 3 сентября и заводу N 155 10 сентября.</w:t>
      </w:r>
    </w:p>
    <w:p w14:paraId="68B3D9E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Этим же приказом ЦИАМ обязан был к 1 октября 1943 г. отработать систему зажигания, масло и бензопитания для обеспечения безотказной работы мотора до высоты 1400 м.</w:t>
      </w:r>
    </w:p>
    <w:p w14:paraId="56BB4BC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Фактически завод первый мотор АМ-39 получил позже всех установленных НКАП сроков на 1,5-2 месяца для первого экземпляра самолета без соответствующей отработки ЦИАМ"ом на стенде мотора, полученной ему приказом НКАП.</w:t>
      </w:r>
    </w:p>
    <w:p w14:paraId="6A5721D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После гибели первого экземпляра завод форсировал выпуск второго экземпляра машины с герметической кабиной и воздушным радиатором.</w:t>
      </w:r>
    </w:p>
    <w:p w14:paraId="2BB9AA9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Указанный экземпляр машины готов для выкатки на аэродром и задерживается из-за отсутствия кондиционного мотора АМ-39А.</w:t>
      </w:r>
    </w:p>
    <w:p w14:paraId="0CD338C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Все обещания по срокам поставки этого мотора заводом N 300 сорваны и в настоящий момент нет уверенности в подаче мотора по последнему обещанию завода N </w:t>
      </w:r>
      <w:r w:rsidRPr="007224C3">
        <w:rPr>
          <w:rFonts w:ascii="Times New Roman" w:hAnsi="Times New Roman"/>
          <w:color w:val="000000" w:themeColor="text1"/>
          <w:sz w:val="16"/>
          <w:szCs w:val="16"/>
        </w:rPr>
        <w:lastRenderedPageBreak/>
        <w:t>300 к 10 апреля 1944 года.</w:t>
      </w:r>
    </w:p>
    <w:p w14:paraId="1E35174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Работа по отработке коммуникаций винтомоторной группы на стенде ЦИАМ"ом не закончена и прекращена из-за отсутствия мотора.</w:t>
      </w:r>
    </w:p>
    <w:p w14:paraId="75CB16D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Прошу Вас довести до сведения наркома об изложенном для принятия необходимых мер по заводу N 300 и ЦИАМ"у (1825,222).</w:t>
      </w:r>
    </w:p>
    <w:p w14:paraId="0B37653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318F51"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73540F0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AD29D38" w14:textId="77777777" w:rsidR="00E80BEB" w:rsidRPr="007224C3" w:rsidRDefault="00E80BEB"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6 апреля</w:t>
      </w:r>
      <w:r w:rsidRPr="007224C3">
        <w:rPr>
          <w:rFonts w:ascii="Times New Roman" w:hAnsi="Times New Roman"/>
          <w:color w:val="000000" w:themeColor="text1"/>
          <w:sz w:val="16"/>
          <w:szCs w:val="16"/>
        </w:rPr>
        <w:t xml:space="preserve"> в 1944 году оперативная сводка Совинформбюро:</w:t>
      </w:r>
    </w:p>
    <w:p w14:paraId="7CE66766" w14:textId="77777777" w:rsidR="00E80BEB" w:rsidRPr="007224C3" w:rsidRDefault="00E80BE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6 апреля наши войска продолжали вести бои поуничтожению окружённой группировки противника в районе западнее Скала и, сжимая кольцо окружения, овладели рядом опорных пунктов обороны немцев и среди них Скала, Борщев, Мельница-Подольская, Цыганы. При этом нашими войсками захвачены следующие трофеи: танков — 6, самолётов на аэродроме транспортных — 29, истребителей — 4, автомашин — 600 и другое военное имущество. Одновременно к юго-западу от города Тарнополь наши войска отбивали атаки крупных сил пехоты итанков противника, стремившихся пробиться на помощь к своей окружённой группировке. В ходе ожесточённых боёв противник понёс большие потери в живой силе и технике.</w:t>
      </w:r>
    </w:p>
    <w:p w14:paraId="2E19B036" w14:textId="77777777" w:rsidR="00E80BEB" w:rsidRPr="007224C3" w:rsidRDefault="00E80BE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Кишинёвском направлении наши войска продолжали вести наступательные бои, в ходе которых заняли несколько населённых пунктов.</w:t>
      </w:r>
    </w:p>
    <w:p w14:paraId="2A89E0B5" w14:textId="77777777" w:rsidR="00E80BEB" w:rsidRPr="007224C3" w:rsidRDefault="00E80BE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Одесском направлении наши войска, развивая наступление, овладели районным центром Одесской области Гросулово, а также с боями заняли более 100 других населённых пунктов, в том числе крупные населённые пункты Мещанка,Ново-Петровка, Поплавское, Карманово, Марьяновка. Константиновка, Ново-Вандалинка, Благоево, Александровка, Павлинка, Новая Кубанка, Благодатное, Свердлово (22 километра северо-восточнее Одесса) и железнодорожную станцию Карпово (юго-восточнее Раздельная).</w:t>
      </w:r>
    </w:p>
    <w:p w14:paraId="067E5879" w14:textId="77777777" w:rsidR="00E80BEB" w:rsidRPr="007224C3" w:rsidRDefault="00E80BE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 бои местного значения.</w:t>
      </w:r>
    </w:p>
    <w:p w14:paraId="3814CFD5" w14:textId="77777777" w:rsidR="00E80BEB" w:rsidRPr="007224C3" w:rsidRDefault="00E80BE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5 апреля наши войска на всех фронтах подбили и уничтожили 84 немецких танка. В воздушных боях и огнём зенитной артиллерии сбито 44 самолёта противника.</w:t>
      </w:r>
    </w:p>
    <w:p w14:paraId="1175E8DC" w14:textId="77777777" w:rsidR="00E80BEB" w:rsidRPr="007224C3" w:rsidRDefault="00E80BE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1-го Украинского фронта продолжали вести бои по уничтожению группировки противника, окружённой в районе западнее города Скала. Части Н-ского соединения нанесли немцам удар с востока и выбили их из опорных пунктов Скала, Борщёв, Мельница-Подольская, Цыганы и ряда других населённых пунктов. Противник понёс тяжёлые потери. Только в районе населённых пунктов Иванков и Мушкатовка уничтожено свыше 1.000 немецких солдат и офицеров. Отступая, гитлеровцы сожгли и взорвали десятки танков, бронетранспортёров и много автомашин.</w:t>
      </w:r>
    </w:p>
    <w:p w14:paraId="73730886" w14:textId="77777777" w:rsidR="00E80BEB" w:rsidRPr="007224C3" w:rsidRDefault="00E80BE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Немцы крупными силами днём и ночью предпринимали контратаки в западном направлении, стремясь прорвать кольцо окружения. Советские артиллеристы, танкисты и пехотинцы всюду встречают гитлеровцев плотной стеной огня, производя опустошения в рядах противника. Части одного нашего соединения, отбивая вражеские контратаки, уничтожили до полка немецкой пехоты. Советские лётчики, блокируя с воздуха район расположения окружённой группировки противника, в течение дня сбили в воздушных боях 19 немецких самолётов. Захваченные в плен немецкие солдаты рассказывают, что старшие немецкие офицеры улетают на транспортных самолётах из района окружения.</w:t>
      </w:r>
    </w:p>
    <w:p w14:paraId="1F1AFD42" w14:textId="77777777" w:rsidR="00E80BEB" w:rsidRPr="007224C3" w:rsidRDefault="00E80BE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юго-западу от города Тарнополь крупные силы танков и пехоты противника предприняли ряд ожесточённых атак, стремясь пробиться на помощь к своей окружённой группировке. Наши войска, отражая атаки гитлеровцев, уничтожили много танков и нанесли противнику большой урон в живой силе.</w:t>
      </w:r>
    </w:p>
    <w:p w14:paraId="69729B20" w14:textId="77777777" w:rsidR="00E80BEB" w:rsidRPr="007224C3" w:rsidRDefault="00E80BE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Кишинёвском направлении наши войска в ходе наступательных боёв заняли несколько населённых пунктов. Советские части за два дня боёв захватили у немцев большие трофеи, в числе которых 75 орудий, 120 пулемётов, 46 понтонов, 30 радиостанций и более 500 автомашин. За это же время взято в плен до 2.000 солдат и офицеров противника.</w:t>
      </w:r>
    </w:p>
    <w:p w14:paraId="6CB605C5" w14:textId="77777777" w:rsidR="00E80BEB" w:rsidRPr="007224C3" w:rsidRDefault="00E80BE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Одесском направлении наши войска продолжали успешное наступление.</w:t>
      </w:r>
    </w:p>
    <w:p w14:paraId="1E084D08" w14:textId="77777777" w:rsidR="00E80BEB" w:rsidRPr="007224C3" w:rsidRDefault="00E80BE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БойцыН-ского соединения, с боями продвигаясь вперёд, штурмом заняли районный центр Одесской области Гросулово. Наши танкисты захватили два железнодорожных эшелона с танками и орудиями. Ожесточённые бои происходили юго-восточнее города Раздельная. Немцы бросили в контратаку крупные силы, стремясь вновь захватить этот важный опорный пункт. Наши войска нанесли контратакующему противнику фланговый удар. Немцы поспешно отступили, оставив на поле боя много трупов своих солдат и офицеров. Другие наши части, стремительно продвигаясь по раскисшим от дождя просёлочным дорогам вдоль реки Большой Куяльник, разгромили батальон гитлеровцев. Части гвардейского соединения продвинулись вперёд на 20 километрови уничтожили более 600 немцев. Захвачены у противника 17 орудий, 36 пулемётов,40 автомашин, 250 повозок и много различных военных материалов.</w:t>
      </w:r>
    </w:p>
    <w:p w14:paraId="3F7FE620" w14:textId="77777777" w:rsidR="00E80BEB" w:rsidRPr="007224C3" w:rsidRDefault="00E80BE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Несколько партизанских отрядов, действующих в Калининской области, с 12 по 24 марта пустили под откос 18 немецких воинских эшелонов. Разбиты 9 паровозов, 47 вагонов с войсками и грузами, 18 цистерн с бензином и 35 платформ с орудиями и автомашинами. Партизанами взорвано более двух тысяч рельсов, 7 мостов и вырезано 43 километра телеграфно-телефонной линии связи. За это же время калининские партизаны разгромили ряд немецких гарнизонов и полицейских участков.</w:t>
      </w:r>
    </w:p>
    <w:p w14:paraId="28AC38A3" w14:textId="77777777" w:rsidR="00E80BEB" w:rsidRPr="007224C3" w:rsidRDefault="00E80BE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Немецко-фашистские мерзавцы разрушили дотла колонию и село Малин, Острожецкого района, Ровенской области. Комиссия, расследовавшая чудовищные злодеяния гитлеровцев, составила акт, в котором говорится: «Рано утром немцы оцепили колонию и село Малин и согнали всё население на площадь. Затем гитлеровцы заперли мужчин в школе и церкви, а женщин и детей — в сараях. Фашистские убийцы обложили деревянные здания школы, церкви и сараи соломой, облили керосином и подожгли. У дверей и окон караулили немецкие часовые. Они расстреливали из автоматов каждого, кто пытался выбраться из огня и спастись. Гитлеровские изверги за этот день убили и сожгли 603 советских гражданина, из них 205 малолетних детей. Фашистские бандиты сожгли также 355 жилых домов и хозяйственных построек».</w:t>
      </w:r>
    </w:p>
    <w:p w14:paraId="720584FA" w14:textId="77777777" w:rsidR="00E80BEB" w:rsidRPr="007224C3" w:rsidRDefault="00E80BE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Акт подписали: гвардии подполковник медицинской службы Лизунков, гвардии майор Тихонов, гвардии капитан юстиции Русов, жители села Малин А.Гора, П.Казмирук и другие.» (15091).</w:t>
      </w:r>
    </w:p>
    <w:p w14:paraId="58CB5AC3" w14:textId="77777777" w:rsidR="00E80BEB" w:rsidRPr="007224C3" w:rsidRDefault="00E80BEB" w:rsidP="007224C3">
      <w:pPr>
        <w:spacing w:after="0" w:line="240" w:lineRule="auto"/>
        <w:jc w:val="both"/>
        <w:rPr>
          <w:rFonts w:ascii="Times New Roman" w:hAnsi="Times New Roman"/>
          <w:color w:val="000000" w:themeColor="text1"/>
          <w:sz w:val="16"/>
          <w:szCs w:val="16"/>
        </w:rPr>
      </w:pPr>
    </w:p>
    <w:p w14:paraId="0C65D31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апреля 1944 была:</w:t>
      </w:r>
    </w:p>
    <w:p w14:paraId="395F000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“УТВЕРЖДАЮ”</w:t>
      </w:r>
    </w:p>
    <w:p w14:paraId="0C91DA8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Командующий 3-й воздушной армией генерал-лейтенант авиации</w:t>
      </w:r>
    </w:p>
    <w:p w14:paraId="527829E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ПАПИВИН</w:t>
      </w:r>
    </w:p>
    <w:p w14:paraId="66ED699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апреля 1944 г.</w:t>
      </w:r>
    </w:p>
    <w:p w14:paraId="3CF9002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ПАМЯТКА КОМАНДИРУ ГРУППЫ ШТУРМОВИКОВ</w:t>
      </w:r>
    </w:p>
    <w:p w14:paraId="3786BAE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Материалом для настоящей Памятки послужил опыт шестерки Ил-2 Героя Советского Союза старшего лейтенанта Павлова, которая за период с 13 августа 1943 г. по февраль 1944 г. произвела 354 успешных самолето-вылета, что составляет около 60 групп-вылетов в условиях сильного противодействия зенитной артиллерии. Герой Советского Союза старший лейтенант Павлов провел 8 оборонительных воздушных боев с истребителями противника.</w:t>
      </w:r>
    </w:p>
    <w:p w14:paraId="46BCB2E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Группа тов. Павлова за весь период боевой работы потеряла 1 Ил-2 от ЗА противника и 1 Ил-2 от истребителей противника, что составляет 177 самолето-вылетов на одну потерю.</w:t>
      </w:r>
    </w:p>
    <w:p w14:paraId="50289F0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I. Общие положения</w:t>
      </w:r>
    </w:p>
    <w:p w14:paraId="416A08E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Для успешного выполнения боевых задач группа штурмовиков по количеству самолетов должно удовлетворять следующим требованиям: – обеспечивать возможность одновременных действий по заданным целям и по подавлению огня зенитной артиллерии, мешающей атаке целей; – обеспечивать легкость управления группой; – давать возможность организовать надежное огневое противодействие истребителям противника. Указанные требования полностью выполнимы для группы в 6-8 самолетов Ил-2, действующих отдельно или в составе эшелона.</w:t>
      </w:r>
    </w:p>
    <w:p w14:paraId="1BE4E16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Основой боевого порядка группы является пара. В целях сохранения боеспособности группы и устойчивости боевого порядка личный состав группы, а также и пар в ней должен быть постоянным.</w:t>
      </w:r>
    </w:p>
    <w:p w14:paraId="36A7476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При подготовке к боевому вылету командир группы обязан подготовить карту района цели масштаба 1 : 50 000 или 1 : 10 000. Порядок подготовки карты района цели: – нанести цель; – отметить превышение цели по отношению к аэродрому вылета; – поднять дороги, реки, озера и лесные массивы в радиусе 10 км от цели; – проложить предполагаемые направления атаки (основное и запасное).</w:t>
      </w:r>
    </w:p>
    <w:p w14:paraId="4A6B8D0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С экипажами группы командир группы при подготовке должен отрабатывать следующие вопросы: – детально уяснить полученную боевую задачу (что необходимо уничтожить или подавить); – произвести оценку характера и расположения цели (по карте крупного масштаба или по фотосхеме); – оценить детально наземную и воздушную обстановку (положение наших войск, положение противника, возможные изменения линии фронта, базирование и районы патрулирования истребителей противника, базирование и районы патрулирования наших истребителей, районы расположения ЗА противника и нашей); – определить маршрут и профиль полета, контрольные ориентиры, запасные аэродромы, места расположения КПП и радиостанции наведения и порядок работы с ними; – взаимодействие с истребителями прикрытия (количество и тип истребителей прикрытия, время и место встречи, порядок сбора и общий боевой порядок); – определить высоту подхода к цели, способ бомбометания, направление и количество заходов, противозенитный маневр; – указать порядок действий при атаке истребителей противника (сигналы, боевой порядок, зоны наблюдения и обстрела); – указать порядок пользования радиосвязью в полете; – определить порядок вылета и сбора над своим аэродромом.</w:t>
      </w:r>
    </w:p>
    <w:p w14:paraId="1B0EA92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5. С истребителями прикрытия должны быть отработаны следующие вопросы: – состав группы прикрытия и тип самолета; – звание, фамилия и позывной командира группы; – порядок встречи и сбора; – боевой порядок истребителей прикрытия; – порядок действий при встрече с истребителями противника; – условные сигналы. В целях улучшения взаимодействия необходимо придавать группы истребителей к группам штурмовиков для постоянной работы на период операции или на отдельный </w:t>
      </w:r>
      <w:r w:rsidRPr="007224C3">
        <w:rPr>
          <w:rFonts w:ascii="Times New Roman" w:hAnsi="Times New Roman"/>
          <w:color w:val="000000" w:themeColor="text1"/>
          <w:sz w:val="16"/>
          <w:szCs w:val="16"/>
        </w:rPr>
        <w:lastRenderedPageBreak/>
        <w:t>ее этап. При невозможности ежедневного общения командира группы штурмовиков с командиром группы приданных истребителей необходимо организовывать личное общение командиров этих групп перед началом операции и после выполнения отдельных ее этапов.</w:t>
      </w:r>
    </w:p>
    <w:p w14:paraId="1C7CF67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II. Полет по маршруту</w:t>
      </w:r>
    </w:p>
    <w:p w14:paraId="010737C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Шестерка полет по маршруту производит в строю пеленг пар, близком к строю фронт или змейка. Такой строй обеспечивает хороший обзор и управление группой. Для безопасности командира группы целесообразно его ведомого ставить в пеленг, противоположный пеленгу группы. Восьмерка полет по маршруту производит в строю пятерка в пеленге и звено сзади ниже на 100-200 м.</w:t>
      </w:r>
    </w:p>
    <w:p w14:paraId="0CF28D6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Интервал между самолетами в парах и между парами в группе не должен превышать 50-70 м.</w:t>
      </w:r>
    </w:p>
    <w:p w14:paraId="50277B4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При полете по маршруту командир группы должен держать скорость 270-280 км, что полностью обеспечит сохранение боевою порядка.</w:t>
      </w:r>
    </w:p>
    <w:p w14:paraId="15B1A72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За 10-15 км до линии фронта командир группы вступает в связь с радиостанцией наведения и получает от нее информацию о воздушной обстановке, а при пролете линии фронта – подтверждение о правильности выхода на цель.</w:t>
      </w:r>
    </w:p>
    <w:p w14:paraId="5B67510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При подходе к линии фронта командир группы уменьшает скорость до 260 км/час, в это время ведомые пристраиваются, уплотняя боевой по рядок, так как в момент подхода к линии фронта вероятны атаки со стороны истребителей противника,</w:t>
      </w:r>
    </w:p>
    <w:p w14:paraId="259D223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III. Подход к цели</w:t>
      </w:r>
    </w:p>
    <w:p w14:paraId="1835435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За 10 км до цели командир группы переходит к детальной ориентировке по карте масштаба 1 : 100 000 или 1 : 50 000.</w:t>
      </w:r>
    </w:p>
    <w:p w14:paraId="4E65010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За 5 км до цели группа принимает следующий боевой порядок: а) шестерка: две пары в пеленге (правом или левом в зависимости от разворота), третья пара оттягивается назад в кильватер пары командира группы на дистанцию 100-200 м, интервал между самолетами 50-70 м; б) восьмерка: пятерка в строю пеленг (правом или левом в зависимости от разворота), звено оттягивается назад в кильватер пары командира группы на дистанцию 100-200 м.</w:t>
      </w:r>
    </w:p>
    <w:p w14:paraId="13E61C2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Скорость командира группы 270-280 км/час.</w:t>
      </w:r>
    </w:p>
    <w:p w14:paraId="7DD2C22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Противозенитный маневр производится попарно, путем изменения высоты с подскальзыванием.</w:t>
      </w:r>
    </w:p>
    <w:p w14:paraId="196E748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Подход к цели при низком облачности производить ниже нижней кромки облачности, так как противник, зная высоту облаков, легко может пристреляться. При подходе к цели над облаками толщиной 100-300 м с разрывами необходимо идти выше кромки облачности, так как противник, просматривая облачность, может атаковать снизу.</w:t>
      </w:r>
    </w:p>
    <w:p w14:paraId="3D78774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При атаке цели, сильно защищенной ЗА, успех решает внезапность выхода на цель. Основным способом внезапного выхода на цель является бреющий полет.</w:t>
      </w:r>
    </w:p>
    <w:p w14:paraId="518455F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Заход для атаки цели необходимо производить с расчетом, чтобы разворот для ухода от нее на свою территорию не превышал 30-40°, это даст возможность экипажам в случае повреждения самолета не делать большого крена при развороте для ухода на свою территорию, так как при производстве разворота с большим креном на поврежденном самолете имеется большая опасность срыва в штопор.</w:t>
      </w:r>
    </w:p>
    <w:p w14:paraId="5CE23AD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IV. Атака цели</w:t>
      </w:r>
    </w:p>
    <w:p w14:paraId="6DF85C1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Шестерка. Атаку цели начинает четверка одновременно. Скорость при вводе в планирование не должна превышать 260-280 км. Во время атаки четверки замыкающая пара подавляет зенитные средства и наблюдает за задней полусферой, обращая особое внимание на возможность атак со стороны истребителей противника снизу сзади. После выхода из атаки четверка продолжает идти по прямой, уменьшая скорость до 300 км/час. Стрелки четверки все внимание обращают на заднюю полусферу, обеспечивая безопасность замыкающей пары. После выхода из атаки четверки атаку производит замыкающая пара. После выхода из атаки пары четверка начинает разворот. Скорость у ведущего четверки 300-320 км/час, крен 30-35°. Замыкающая пара срезает круг, делая разворот с креном до 45° при скорости 330-340 км/час. Таким образом, по окончании разворота группа принимает боевой порядок клина пар.</w:t>
      </w:r>
    </w:p>
    <w:p w14:paraId="6BF0CBB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Восьмерка. Атака цели производится попарно. Первая пара после атаки цели, пройдя некоторое время по прямой, начинает разворот. Вторая пара, начиная атаку цели одновременно с первой, в момент разворота первой пары также начинает разворот, удерживая интервал по отношению к первой паре, за счет увеличения скорости и крена. Пятый самолет после атаки цели срезает круг и выходит в сторону, обратную пеленгу. Замыкающее звено в период атаки пятерки подавляет зенитный огонь. После выхода из атаки пятерки также атакует цель, становясь при выходе из атаки в кильватер паре командира группы. Скорости такие же, как и у шестерки. Таким образом,” по окончании разворота, восьмерка принимает следующий боевой порядок: пятерка в строю клин и сзади звено к строю клин. Окончив разворот, командир группы уменьшает скорость до 260-280 км/час до тех пор, пока все самолеты группы не займут нормальных дистанций.</w:t>
      </w:r>
    </w:p>
    <w:p w14:paraId="0FC4401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Развороты для ухода от цели необходимо производить не с постоянным креном, а с перерывами, время от времени выводя самолет из крена, что создает своеобразный противозенитный маневр.</w:t>
      </w:r>
    </w:p>
    <w:p w14:paraId="76DA872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Для повторной атаки необходимо выйти из зоны огня ЗА, развернуться и произвести заход для атаки цели с нового направления и на другой высоте.</w:t>
      </w:r>
    </w:p>
    <w:p w14:paraId="387F6E6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V. Воздушный бок с истребителями противника</w:t>
      </w:r>
    </w:p>
    <w:p w14:paraId="0BBB6F3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Для оповещения об опасности атаки истребителей противника первый заметивший самолет противника воздушный стрелок дает сигнал ракетой установленного образца в сторону противника, оповещая все экипажи в группе об опасности.</w:t>
      </w:r>
    </w:p>
    <w:p w14:paraId="30A645E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Получив сигнал, командир группы подает сигнал экипажам – сомкнуться, для чего скорость его самолета не должна превышать 280 км/час. По этому сигналу ведомые увеличивают скорость и пристраиваются, занимая нормальные дистанции и интервалы.</w:t>
      </w:r>
    </w:p>
    <w:p w14:paraId="75D3ABB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Наиболее удобным боевым порядком для отражения атак истребителей противника является “клин” пар. Такой боевой порядок обеспечивает максимально эффективное использование стрелкового вооружения самолета Ил-2 и хорошее маневрирование отдельных пар в группе и всей группы в целом.</w:t>
      </w:r>
    </w:p>
    <w:p w14:paraId="546F89A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Если истребители противника атакуют группу штурмовиков до цели, то замыкающая пара переходит в сторону, обратную пеленгу. Скорость ведущего 260-280 км/час допускает быстрое перестроение замыкающей пары на скорости.</w:t>
      </w:r>
    </w:p>
    <w:p w14:paraId="5600EDB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Если истребители противника атакуют штурмовиков (шестерку или восьмерку) после атаки цели, когда группа уже приняла боевой порядок клина, командир группы, не увеличивая скорости, переходит на бреющий полет. Переход на бреющий полет после атаки цели лишает возможности истребителей противника атаковывать штурмовиков снизу сзади, т. е. с наиболее уязвимого направления.</w:t>
      </w:r>
    </w:p>
    <w:p w14:paraId="7CAD413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Необходимо помнить, что увеличение скорости командиром группы в момент атаки истребителей противника может послужить причиной расстройства боевого порядка, что неизбежно приведет к потерям. При переходе на бреющий полет скорость командира группы должна обеспечивать ведомым возможность быстрого пристраивания и не должна превышать 270-280 км/час; после того как все экипажи группы перешли на бреющий полет и заняли нормальные интервалы и дистанции, командир группы увеличивает скорость до 290-300 км/час, Связь с радиостанцией наведения должна поддерживаться непрерывно как командиром группы, так и его заместителем. Огонь по самолетам противника как стрелком, так и летчиком должен вестись организованно, короткими очередями (10-15 выстрелов) и всегда прицельно. Каждый защищает хвост своего соседа. Плотный боевой порядок, дисциплина строя, взаимная выручка – залог успеха группы штурмовиков в воздушном бою с истребителями противника.</w:t>
      </w:r>
    </w:p>
    <w:p w14:paraId="1DAC388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командующего 3-й воздушной армией генерал-майор авиации СИНЯКОВ</w:t>
      </w:r>
    </w:p>
    <w:p w14:paraId="73020AA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штаба 3-й воздушной армии генерал-майор авиации ДАГАЕВ"</w:t>
      </w:r>
    </w:p>
    <w:p w14:paraId="30609B6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37020F" w14:textId="77777777" w:rsidR="00AA077A" w:rsidRPr="007224C3" w:rsidRDefault="00AA077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ночь с 6 на 7 апреля 1944 45-я АДДД совершила вылет на желез</w:t>
      </w:r>
      <w:r w:rsidRPr="007224C3">
        <w:rPr>
          <w:rFonts w:ascii="Times New Roman" w:hAnsi="Times New Roman"/>
          <w:color w:val="000000" w:themeColor="text1"/>
          <w:sz w:val="16"/>
          <w:szCs w:val="16"/>
        </w:rPr>
        <w:softHyphen/>
        <w:t>нодорожный узел Резекне (Латвия). В вылет отправилось 16 кора</w:t>
      </w:r>
      <w:r w:rsidRPr="007224C3">
        <w:rPr>
          <w:rFonts w:ascii="Times New Roman" w:hAnsi="Times New Roman"/>
          <w:color w:val="000000" w:themeColor="text1"/>
          <w:sz w:val="16"/>
          <w:szCs w:val="16"/>
        </w:rPr>
        <w:softHyphen/>
        <w:t>блей, которые стартовали в период с 18 ч. 36 мин. по 19 ч. 14 мин.</w:t>
      </w:r>
    </w:p>
    <w:p w14:paraId="2A56B70B" w14:textId="77777777" w:rsidR="00AA077A" w:rsidRPr="007224C3" w:rsidRDefault="00AA077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 они бомбили основную цель в период с 21 ч. 36 мин по 22 ч. мин. На цель было сброшено: 12 ФАБ-2000, 21 ФАБ-1000тга, 8 ФАБ-1000,40 ФАБ-500,4 ФАБ-250тга, 28 ФАБ-250, 5 ЗАБ-100цк, 6 ФОТАБ-50-35. Из состава 25-го гв. АПДД цель бомбили Пе-8 с заводскими номерами: 42076 (командир корабля Адамов), 42067 (командир корабля Обухов), 42028 (командир корабля Симонов), 42059 (командир корабля Шатров), 42210 (командир корабля Бездольный), 42410 (командир корабля Ищенко), 42311 (командир корабля Зеленский), 42811 (командир корабля Пономаренко). Из состава 890-го АПДД бомбили цель Пе-8 с заводскими номерами: 4214 (командир корабля Откидач), 42078 (командир корабля Белков), 42710 (командир корабля Черниченко), 42810 (командир корабля Олейников), 42910 (командир корабля Шамрай), 42111 (командир корабля Самохин), 42411(командир корабля Романов), 421011 (командир корабля Вихорев). После выполнения задания все корабли произвели посадку на своем аэродроме в период с 00 ч. 16 мин. по 01 ч. 08 мин. Потерь не было (19559).</w:t>
      </w:r>
    </w:p>
    <w:p w14:paraId="5BB8E04F" w14:textId="77777777" w:rsidR="00AA077A" w:rsidRPr="007224C3" w:rsidRDefault="00AA077A" w:rsidP="007224C3">
      <w:pPr>
        <w:spacing w:after="0" w:line="240" w:lineRule="auto"/>
        <w:jc w:val="both"/>
        <w:rPr>
          <w:rFonts w:ascii="Times New Roman" w:hAnsi="Times New Roman"/>
          <w:color w:val="000000" w:themeColor="text1"/>
          <w:sz w:val="16"/>
          <w:szCs w:val="16"/>
        </w:rPr>
      </w:pPr>
    </w:p>
    <w:p w14:paraId="5E822332" w14:textId="77777777" w:rsidR="00AA077A" w:rsidRPr="007224C3" w:rsidRDefault="00AA077A"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418D0F9A" w14:textId="77777777" w:rsidR="00AA077A" w:rsidRPr="007224C3" w:rsidRDefault="00AA077A"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CD5D6F2" w14:textId="77777777" w:rsidR="007249B9" w:rsidRPr="007224C3" w:rsidRDefault="007249B9"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6 апреля 1944 года авианалет Союзников уничтожил 8 из 11 Br. 730-1 «Вега» на стапелях завода в Тулузе на территории оккупированной Южной Франции (22815).</w:t>
      </w:r>
    </w:p>
    <w:p w14:paraId="72A3CB6A" w14:textId="77777777" w:rsidR="007249B9" w:rsidRPr="007224C3" w:rsidRDefault="007249B9" w:rsidP="007224C3">
      <w:pPr>
        <w:spacing w:after="0" w:line="240" w:lineRule="auto"/>
        <w:jc w:val="both"/>
        <w:rPr>
          <w:rFonts w:ascii="Times New Roman" w:hAnsi="Times New Roman"/>
          <w:color w:val="0070C0"/>
          <w:sz w:val="16"/>
          <w:szCs w:val="16"/>
        </w:rPr>
      </w:pPr>
    </w:p>
    <w:p w14:paraId="5B9C6A00" w14:textId="77777777" w:rsidR="00AA077A" w:rsidRPr="007224C3" w:rsidRDefault="00AA077A" w:rsidP="007224C3">
      <w:pPr>
        <w:pStyle w:val="101"/>
        <w:shd w:val="clear" w:color="auto" w:fill="auto"/>
        <w:spacing w:after="0" w:line="240" w:lineRule="auto"/>
        <w:jc w:val="both"/>
        <w:rPr>
          <w:rFonts w:ascii="Times New Roman" w:hAnsi="Times New Roman" w:cs="Times New Roman"/>
          <w:color w:val="000000" w:themeColor="text1"/>
          <w:spacing w:val="0"/>
          <w:sz w:val="16"/>
          <w:szCs w:val="16"/>
        </w:rPr>
      </w:pPr>
      <w:r w:rsidRPr="007224C3">
        <w:rPr>
          <w:rFonts w:ascii="Times New Roman" w:hAnsi="Times New Roman" w:cs="Times New Roman"/>
          <w:color w:val="000000" w:themeColor="text1"/>
          <w:spacing w:val="0"/>
          <w:sz w:val="16"/>
          <w:szCs w:val="16"/>
        </w:rPr>
        <w:t>С 6 апреля по 10 июня 1944 самолеты 15-й американской воздушной армии еще 7 раз бомбили Румынию.</w:t>
      </w:r>
    </w:p>
    <w:p w14:paraId="1A9B60C9" w14:textId="77777777" w:rsidR="00AA077A" w:rsidRPr="007224C3" w:rsidRDefault="00AA077A" w:rsidP="007224C3">
      <w:pPr>
        <w:pStyle w:val="101"/>
        <w:shd w:val="clear" w:color="auto" w:fill="auto"/>
        <w:spacing w:after="0" w:line="240" w:lineRule="auto"/>
        <w:jc w:val="both"/>
        <w:rPr>
          <w:rFonts w:ascii="Times New Roman" w:hAnsi="Times New Roman" w:cs="Times New Roman"/>
          <w:color w:val="000000" w:themeColor="text1"/>
          <w:spacing w:val="0"/>
          <w:sz w:val="16"/>
          <w:szCs w:val="16"/>
        </w:rPr>
      </w:pPr>
      <w:r w:rsidRPr="007224C3">
        <w:rPr>
          <w:rFonts w:ascii="Times New Roman" w:hAnsi="Times New Roman" w:cs="Times New Roman"/>
          <w:color w:val="000000" w:themeColor="text1"/>
          <w:spacing w:val="0"/>
          <w:sz w:val="16"/>
          <w:szCs w:val="16"/>
        </w:rPr>
        <w:t>15 апреля: 461-я бомбардировочная группа ВВС США бомбила Бухарест. Повреждены университет и несколько церквей. Истреби</w:t>
      </w:r>
      <w:r w:rsidRPr="007224C3">
        <w:rPr>
          <w:rFonts w:ascii="Times New Roman" w:hAnsi="Times New Roman" w:cs="Times New Roman"/>
          <w:color w:val="000000" w:themeColor="text1"/>
          <w:spacing w:val="0"/>
          <w:sz w:val="16"/>
          <w:szCs w:val="16"/>
        </w:rPr>
        <w:softHyphen/>
        <w:t xml:space="preserve">тели </w:t>
      </w:r>
      <w:r w:rsidRPr="007224C3">
        <w:rPr>
          <w:rFonts w:ascii="Times New Roman" w:hAnsi="Times New Roman" w:cs="Times New Roman"/>
          <w:color w:val="000000" w:themeColor="text1"/>
          <w:spacing w:val="0"/>
          <w:sz w:val="16"/>
          <w:szCs w:val="16"/>
          <w:lang w:val="en-US"/>
        </w:rPr>
        <w:t>Me</w:t>
      </w:r>
      <w:r w:rsidRPr="007224C3">
        <w:rPr>
          <w:rFonts w:ascii="Times New Roman" w:hAnsi="Times New Roman" w:cs="Times New Roman"/>
          <w:color w:val="000000" w:themeColor="text1"/>
          <w:spacing w:val="0"/>
          <w:sz w:val="16"/>
          <w:szCs w:val="16"/>
        </w:rPr>
        <w:t>-109</w:t>
      </w:r>
      <w:r w:rsidRPr="007224C3">
        <w:rPr>
          <w:rFonts w:ascii="Times New Roman" w:hAnsi="Times New Roman" w:cs="Times New Roman"/>
          <w:color w:val="000000" w:themeColor="text1"/>
          <w:spacing w:val="0"/>
          <w:sz w:val="16"/>
          <w:szCs w:val="16"/>
          <w:lang w:val="en-US"/>
        </w:rPr>
        <w:t>G</w:t>
      </w:r>
      <w:r w:rsidRPr="007224C3">
        <w:rPr>
          <w:rFonts w:ascii="Times New Roman" w:hAnsi="Times New Roman" w:cs="Times New Roman"/>
          <w:color w:val="000000" w:themeColor="text1"/>
          <w:spacing w:val="0"/>
          <w:sz w:val="16"/>
          <w:szCs w:val="16"/>
        </w:rPr>
        <w:t xml:space="preserve"> сбили шесть В-24.</w:t>
      </w:r>
    </w:p>
    <w:p w14:paraId="55DCD03E" w14:textId="77777777" w:rsidR="00AA077A" w:rsidRPr="007224C3" w:rsidRDefault="00AA077A" w:rsidP="007224C3">
      <w:pPr>
        <w:pStyle w:val="101"/>
        <w:shd w:val="clear" w:color="auto" w:fill="auto"/>
        <w:spacing w:after="0" w:line="240" w:lineRule="auto"/>
        <w:jc w:val="both"/>
        <w:rPr>
          <w:rFonts w:ascii="Times New Roman" w:hAnsi="Times New Roman" w:cs="Times New Roman"/>
          <w:color w:val="000000" w:themeColor="text1"/>
          <w:spacing w:val="0"/>
          <w:sz w:val="16"/>
          <w:szCs w:val="16"/>
        </w:rPr>
      </w:pPr>
      <w:r w:rsidRPr="007224C3">
        <w:rPr>
          <w:rFonts w:ascii="Times New Roman" w:hAnsi="Times New Roman" w:cs="Times New Roman"/>
          <w:color w:val="000000" w:themeColor="text1"/>
          <w:spacing w:val="0"/>
          <w:sz w:val="16"/>
          <w:szCs w:val="16"/>
        </w:rPr>
        <w:t>18 мая - налет на Плоешти 700 бомбардировщиков 15-й воз</w:t>
      </w:r>
      <w:r w:rsidRPr="007224C3">
        <w:rPr>
          <w:rFonts w:ascii="Times New Roman" w:hAnsi="Times New Roman" w:cs="Times New Roman"/>
          <w:color w:val="000000" w:themeColor="text1"/>
          <w:spacing w:val="0"/>
          <w:sz w:val="16"/>
          <w:szCs w:val="16"/>
        </w:rPr>
        <w:softHyphen/>
        <w:t>душной армии США. Однако на цель смогли сбросить бомбы лишь 206 самолетов.</w:t>
      </w:r>
    </w:p>
    <w:p w14:paraId="132DB078" w14:textId="77777777" w:rsidR="00AA077A" w:rsidRPr="007224C3" w:rsidRDefault="00AA077A" w:rsidP="007224C3">
      <w:pPr>
        <w:pStyle w:val="101"/>
        <w:shd w:val="clear" w:color="auto" w:fill="auto"/>
        <w:spacing w:after="0" w:line="240" w:lineRule="auto"/>
        <w:jc w:val="both"/>
        <w:rPr>
          <w:rFonts w:ascii="Times New Roman" w:hAnsi="Times New Roman" w:cs="Times New Roman"/>
          <w:color w:val="000000" w:themeColor="text1"/>
          <w:spacing w:val="0"/>
          <w:sz w:val="16"/>
          <w:szCs w:val="16"/>
        </w:rPr>
      </w:pPr>
      <w:r w:rsidRPr="007224C3">
        <w:rPr>
          <w:rFonts w:ascii="Times New Roman" w:hAnsi="Times New Roman" w:cs="Times New Roman"/>
          <w:color w:val="000000" w:themeColor="text1"/>
          <w:spacing w:val="0"/>
          <w:sz w:val="16"/>
          <w:szCs w:val="16"/>
        </w:rPr>
        <w:t>31 мая - налет на Плоешти 481 бомбардировщика В-24 и В-17, сбито 16 бомбардировщиков.</w:t>
      </w:r>
    </w:p>
    <w:p w14:paraId="5AD7AC2E" w14:textId="77777777" w:rsidR="00AA077A" w:rsidRPr="007224C3" w:rsidRDefault="00AA077A" w:rsidP="007224C3">
      <w:pPr>
        <w:pStyle w:val="101"/>
        <w:shd w:val="clear" w:color="auto" w:fill="auto"/>
        <w:spacing w:after="0" w:line="240" w:lineRule="auto"/>
        <w:jc w:val="both"/>
        <w:rPr>
          <w:rFonts w:ascii="Times New Roman" w:hAnsi="Times New Roman" w:cs="Times New Roman"/>
          <w:color w:val="000000" w:themeColor="text1"/>
          <w:spacing w:val="0"/>
          <w:sz w:val="16"/>
          <w:szCs w:val="16"/>
        </w:rPr>
      </w:pPr>
      <w:r w:rsidRPr="007224C3">
        <w:rPr>
          <w:rFonts w:ascii="Times New Roman" w:hAnsi="Times New Roman" w:cs="Times New Roman"/>
          <w:color w:val="000000" w:themeColor="text1"/>
          <w:spacing w:val="0"/>
          <w:sz w:val="16"/>
          <w:szCs w:val="16"/>
        </w:rPr>
        <w:t>В начале июня 1944 г. американское командование решило ис</w:t>
      </w:r>
      <w:r w:rsidRPr="007224C3">
        <w:rPr>
          <w:rFonts w:ascii="Times New Roman" w:hAnsi="Times New Roman" w:cs="Times New Roman"/>
          <w:color w:val="000000" w:themeColor="text1"/>
          <w:spacing w:val="0"/>
          <w:sz w:val="16"/>
          <w:szCs w:val="16"/>
        </w:rPr>
        <w:softHyphen/>
        <w:t>пользовать для бомбардировок нефтеперерабатывающих заводов в Плоешти тяжелые истребители Р-38, предполагая, что они, дей</w:t>
      </w:r>
      <w:r w:rsidRPr="007224C3">
        <w:rPr>
          <w:rFonts w:ascii="Times New Roman" w:hAnsi="Times New Roman" w:cs="Times New Roman"/>
          <w:color w:val="000000" w:themeColor="text1"/>
          <w:spacing w:val="0"/>
          <w:sz w:val="16"/>
          <w:szCs w:val="16"/>
        </w:rPr>
        <w:softHyphen/>
        <w:t>ствуя на малых высотах, более точнее, чем «летающие крепости», сумеют поразить цели (19080).</w:t>
      </w:r>
    </w:p>
    <w:p w14:paraId="1EF55095" w14:textId="77777777" w:rsidR="00AA077A" w:rsidRPr="007224C3" w:rsidRDefault="00AA077A" w:rsidP="007224C3">
      <w:pPr>
        <w:pStyle w:val="101"/>
        <w:shd w:val="clear" w:color="auto" w:fill="auto"/>
        <w:spacing w:after="0" w:line="240" w:lineRule="auto"/>
        <w:jc w:val="both"/>
        <w:rPr>
          <w:rFonts w:ascii="Times New Roman" w:hAnsi="Times New Roman" w:cs="Times New Roman"/>
          <w:color w:val="000000" w:themeColor="text1"/>
          <w:spacing w:val="0"/>
          <w:sz w:val="16"/>
          <w:szCs w:val="16"/>
        </w:rPr>
      </w:pPr>
    </w:p>
    <w:p w14:paraId="44211EDF" w14:textId="77777777" w:rsidR="00282955"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lastRenderedPageBreak/>
        <w:t>Другие оборонные отрасли:</w:t>
      </w:r>
    </w:p>
    <w:p w14:paraId="45AA3A70" w14:textId="77777777" w:rsidR="00282955" w:rsidRPr="007224C3" w:rsidRDefault="00282955"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E90A3F8" w14:textId="77777777" w:rsidR="00282955" w:rsidRPr="007224C3" w:rsidRDefault="00282955" w:rsidP="007224C3">
      <w:pPr>
        <w:pStyle w:val="a3"/>
        <w:rPr>
          <w:color w:val="000000" w:themeColor="text1"/>
          <w:lang w:val="ru-RU"/>
        </w:rPr>
      </w:pPr>
      <w:r w:rsidRPr="007224C3">
        <w:rPr>
          <w:color w:val="000000" w:themeColor="text1"/>
          <w:lang w:val="ru-RU"/>
        </w:rPr>
        <w:t>6 апреля 1944 завершились испытания С-51, а 9-го числа комиссия АНИОП дала заключение по их результатам:</w:t>
      </w:r>
    </w:p>
    <w:p w14:paraId="7DEF2D4B" w14:textId="77777777" w:rsidR="00282955" w:rsidRPr="007224C3" w:rsidRDefault="00282955" w:rsidP="007224C3">
      <w:pPr>
        <w:pStyle w:val="Bodytext141"/>
        <w:shd w:val="clear" w:color="auto" w:fill="auto"/>
        <w:spacing w:line="240" w:lineRule="auto"/>
        <w:ind w:firstLine="0"/>
        <w:jc w:val="both"/>
        <w:rPr>
          <w:i w:val="0"/>
          <w:color w:val="000000" w:themeColor="text1"/>
          <w:sz w:val="16"/>
          <w:szCs w:val="16"/>
        </w:rPr>
      </w:pPr>
      <w:r w:rsidRPr="007224C3">
        <w:rPr>
          <w:i w:val="0"/>
          <w:color w:val="000000" w:themeColor="text1"/>
          <w:sz w:val="16"/>
          <w:szCs w:val="16"/>
        </w:rPr>
        <w:t>«1. Самоходная гаубица «С-51» в основном испытания выдержала, так как:</w:t>
      </w:r>
    </w:p>
    <w:p w14:paraId="5BA98C08" w14:textId="77777777" w:rsidR="00282955" w:rsidRPr="007224C3" w:rsidRDefault="00282955" w:rsidP="007224C3">
      <w:pPr>
        <w:pStyle w:val="Bodytext141"/>
        <w:shd w:val="clear" w:color="auto" w:fill="auto"/>
        <w:tabs>
          <w:tab w:val="left" w:pos="905"/>
        </w:tabs>
        <w:spacing w:line="240" w:lineRule="auto"/>
        <w:ind w:firstLine="0"/>
        <w:jc w:val="both"/>
        <w:rPr>
          <w:i w:val="0"/>
          <w:color w:val="000000" w:themeColor="text1"/>
          <w:sz w:val="16"/>
          <w:szCs w:val="16"/>
        </w:rPr>
      </w:pPr>
      <w:r w:rsidRPr="007224C3">
        <w:rPr>
          <w:i w:val="0"/>
          <w:color w:val="000000" w:themeColor="text1"/>
          <w:sz w:val="16"/>
          <w:szCs w:val="16"/>
        </w:rPr>
        <w:t>а) работа и прочность агрегатов и механизмов орудия — удовлет</w:t>
      </w:r>
      <w:r w:rsidRPr="007224C3">
        <w:rPr>
          <w:i w:val="0"/>
          <w:color w:val="000000" w:themeColor="text1"/>
          <w:sz w:val="16"/>
          <w:szCs w:val="16"/>
        </w:rPr>
        <w:softHyphen/>
        <w:t>ворительные.</w:t>
      </w:r>
    </w:p>
    <w:p w14:paraId="126DFD6E" w14:textId="77777777" w:rsidR="00282955" w:rsidRPr="007224C3" w:rsidRDefault="00282955" w:rsidP="007224C3">
      <w:pPr>
        <w:pStyle w:val="Bodytext141"/>
        <w:shd w:val="clear" w:color="auto" w:fill="auto"/>
        <w:tabs>
          <w:tab w:val="left" w:pos="900"/>
        </w:tabs>
        <w:spacing w:line="240" w:lineRule="auto"/>
        <w:ind w:firstLine="0"/>
        <w:jc w:val="both"/>
        <w:rPr>
          <w:i w:val="0"/>
          <w:color w:val="000000" w:themeColor="text1"/>
          <w:sz w:val="16"/>
          <w:szCs w:val="16"/>
        </w:rPr>
      </w:pPr>
      <w:r w:rsidRPr="007224C3">
        <w:rPr>
          <w:i w:val="0"/>
          <w:color w:val="000000" w:themeColor="text1"/>
          <w:sz w:val="16"/>
          <w:szCs w:val="16"/>
        </w:rPr>
        <w:t>б) прочность установочных частей орудия — достаточная.</w:t>
      </w:r>
    </w:p>
    <w:p w14:paraId="20A0155E" w14:textId="77777777" w:rsidR="00282955" w:rsidRPr="007224C3" w:rsidRDefault="00282955" w:rsidP="007224C3">
      <w:pPr>
        <w:pStyle w:val="Bodytext141"/>
        <w:shd w:val="clear" w:color="auto" w:fill="auto"/>
        <w:tabs>
          <w:tab w:val="left" w:pos="866"/>
        </w:tabs>
        <w:spacing w:line="240" w:lineRule="auto"/>
        <w:ind w:firstLine="0"/>
        <w:jc w:val="both"/>
        <w:rPr>
          <w:i w:val="0"/>
          <w:color w:val="000000" w:themeColor="text1"/>
          <w:sz w:val="16"/>
          <w:szCs w:val="16"/>
        </w:rPr>
      </w:pPr>
      <w:r w:rsidRPr="007224C3">
        <w:rPr>
          <w:i w:val="0"/>
          <w:color w:val="000000" w:themeColor="text1"/>
          <w:sz w:val="16"/>
          <w:szCs w:val="16"/>
        </w:rPr>
        <w:t>в) работа и прочность агрегатов и механизмов самохода — удовлет</w:t>
      </w:r>
      <w:r w:rsidRPr="007224C3">
        <w:rPr>
          <w:i w:val="0"/>
          <w:color w:val="000000" w:themeColor="text1"/>
          <w:sz w:val="16"/>
          <w:szCs w:val="16"/>
        </w:rPr>
        <w:softHyphen/>
        <w:t>ворительная, за исключением трансмиссионной группы, которая во время испытаний имела ряд дефектов, вызванных общим пло</w:t>
      </w:r>
      <w:r w:rsidRPr="007224C3">
        <w:rPr>
          <w:i w:val="0"/>
          <w:color w:val="000000" w:themeColor="text1"/>
          <w:sz w:val="16"/>
          <w:szCs w:val="16"/>
        </w:rPr>
        <w:softHyphen/>
        <w:t>хим техническим состоянием ее до испытаний и изношенностью деталей.</w:t>
      </w:r>
    </w:p>
    <w:p w14:paraId="386077AA" w14:textId="77777777" w:rsidR="00282955" w:rsidRPr="007224C3" w:rsidRDefault="00282955" w:rsidP="007224C3">
      <w:pPr>
        <w:pStyle w:val="Bodytext141"/>
        <w:shd w:val="clear" w:color="auto" w:fill="auto"/>
        <w:spacing w:line="240" w:lineRule="auto"/>
        <w:ind w:firstLine="0"/>
        <w:jc w:val="both"/>
        <w:rPr>
          <w:i w:val="0"/>
          <w:color w:val="000000" w:themeColor="text1"/>
          <w:sz w:val="16"/>
          <w:szCs w:val="16"/>
        </w:rPr>
      </w:pPr>
      <w:r w:rsidRPr="007224C3">
        <w:rPr>
          <w:i w:val="0"/>
          <w:color w:val="000000" w:themeColor="text1"/>
          <w:sz w:val="16"/>
          <w:szCs w:val="16"/>
        </w:rPr>
        <w:t>2. Существенными недостатками самоходной гаубицы «С-51» при</w:t>
      </w:r>
    </w:p>
    <w:p w14:paraId="67DB774B" w14:textId="77777777" w:rsidR="00282955" w:rsidRPr="007224C3" w:rsidRDefault="00282955" w:rsidP="007224C3">
      <w:pPr>
        <w:pStyle w:val="Bodytext141"/>
        <w:shd w:val="clear" w:color="auto" w:fill="auto"/>
        <w:spacing w:line="240" w:lineRule="auto"/>
        <w:ind w:firstLine="0"/>
        <w:jc w:val="both"/>
        <w:rPr>
          <w:i w:val="0"/>
          <w:color w:val="000000" w:themeColor="text1"/>
          <w:sz w:val="16"/>
          <w:szCs w:val="16"/>
        </w:rPr>
      </w:pPr>
      <w:r w:rsidRPr="007224C3">
        <w:rPr>
          <w:i w:val="0"/>
          <w:color w:val="000000" w:themeColor="text1"/>
          <w:sz w:val="16"/>
          <w:szCs w:val="16"/>
        </w:rPr>
        <w:t>стрельбе являются:</w:t>
      </w:r>
    </w:p>
    <w:p w14:paraId="697C5D79" w14:textId="77777777" w:rsidR="00282955" w:rsidRPr="007224C3" w:rsidRDefault="00282955" w:rsidP="007224C3">
      <w:pPr>
        <w:pStyle w:val="Bodytext141"/>
        <w:shd w:val="clear" w:color="auto" w:fill="auto"/>
        <w:tabs>
          <w:tab w:val="left" w:pos="905"/>
        </w:tabs>
        <w:spacing w:line="240" w:lineRule="auto"/>
        <w:ind w:firstLine="0"/>
        <w:jc w:val="both"/>
        <w:rPr>
          <w:i w:val="0"/>
          <w:color w:val="000000" w:themeColor="text1"/>
          <w:sz w:val="16"/>
          <w:szCs w:val="16"/>
        </w:rPr>
      </w:pPr>
      <w:r w:rsidRPr="007224C3">
        <w:rPr>
          <w:i w:val="0"/>
          <w:color w:val="000000" w:themeColor="text1"/>
          <w:sz w:val="16"/>
          <w:szCs w:val="16"/>
        </w:rPr>
        <w:t>а) большой отход назад и сбиваемость наводки, особенно при малых углах возвышения, вследствие неудовлетворительной устойчиво</w:t>
      </w:r>
      <w:r w:rsidRPr="007224C3">
        <w:rPr>
          <w:i w:val="0"/>
          <w:color w:val="000000" w:themeColor="text1"/>
          <w:sz w:val="16"/>
          <w:szCs w:val="16"/>
        </w:rPr>
        <w:softHyphen/>
        <w:t>сти самохода при выстреле.</w:t>
      </w:r>
    </w:p>
    <w:p w14:paraId="631AD401" w14:textId="77777777" w:rsidR="00282955" w:rsidRPr="007224C3" w:rsidRDefault="0028295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Большое боковое рассеивание снарядов вследствие бокового сме</w:t>
      </w:r>
      <w:r w:rsidRPr="007224C3">
        <w:rPr>
          <w:rFonts w:ascii="Times New Roman" w:hAnsi="Times New Roman"/>
          <w:color w:val="000000" w:themeColor="text1"/>
          <w:sz w:val="16"/>
          <w:szCs w:val="16"/>
        </w:rPr>
        <w:softHyphen/>
        <w:t>щения орудия при выстреле.</w:t>
      </w:r>
    </w:p>
    <w:p w14:paraId="17441D88" w14:textId="77777777" w:rsidR="00282955" w:rsidRPr="007224C3" w:rsidRDefault="00282955" w:rsidP="007224C3">
      <w:pPr>
        <w:pStyle w:val="Bodytext141"/>
        <w:shd w:val="clear" w:color="auto" w:fill="auto"/>
        <w:spacing w:line="240" w:lineRule="auto"/>
        <w:ind w:firstLine="0"/>
        <w:jc w:val="both"/>
        <w:rPr>
          <w:i w:val="0"/>
          <w:color w:val="000000" w:themeColor="text1"/>
          <w:sz w:val="16"/>
          <w:szCs w:val="16"/>
        </w:rPr>
      </w:pPr>
      <w:r w:rsidRPr="007224C3">
        <w:rPr>
          <w:i w:val="0"/>
          <w:color w:val="000000" w:themeColor="text1"/>
          <w:sz w:val="16"/>
          <w:szCs w:val="16"/>
        </w:rPr>
        <w:t>Данные недостатки возможно устранить путем постановки сошни</w:t>
      </w:r>
      <w:r w:rsidRPr="007224C3">
        <w:rPr>
          <w:i w:val="0"/>
          <w:color w:val="000000" w:themeColor="text1"/>
          <w:sz w:val="16"/>
          <w:szCs w:val="16"/>
        </w:rPr>
        <w:softHyphen/>
        <w:t>ков в задней части корпуса самохода, как это было применено на 203-мм самоходной установке «СУ-14» конструкции и изготовления Кировского завода, проходившей испытания на НИАПе в 1936 году.</w:t>
      </w:r>
    </w:p>
    <w:p w14:paraId="2B2DA4DA" w14:textId="77777777" w:rsidR="00282955" w:rsidRPr="007224C3" w:rsidRDefault="00282955" w:rsidP="007224C3">
      <w:pPr>
        <w:pStyle w:val="Bodytext141"/>
        <w:shd w:val="clear" w:color="auto" w:fill="auto"/>
        <w:spacing w:line="240" w:lineRule="auto"/>
        <w:ind w:firstLine="0"/>
        <w:jc w:val="both"/>
        <w:rPr>
          <w:i w:val="0"/>
          <w:color w:val="000000" w:themeColor="text1"/>
          <w:sz w:val="16"/>
          <w:szCs w:val="16"/>
        </w:rPr>
      </w:pPr>
      <w:r w:rsidRPr="007224C3">
        <w:rPr>
          <w:i w:val="0"/>
          <w:color w:val="000000" w:themeColor="text1"/>
          <w:sz w:val="16"/>
          <w:szCs w:val="16"/>
        </w:rPr>
        <w:t>Учитывая, что гаубица в основном будет вести стрельбу при больших углах возвышения, при которых отход назад и сбиваемость наводки менее значительны, для устранения отхода самохода при сравнительно редких и эпизодических стрельбах под малыми углами возвышения можно реко</w:t>
      </w:r>
      <w:r w:rsidRPr="007224C3">
        <w:rPr>
          <w:i w:val="0"/>
          <w:color w:val="000000" w:themeColor="text1"/>
          <w:sz w:val="16"/>
          <w:szCs w:val="16"/>
        </w:rPr>
        <w:softHyphen/>
        <w:t>мендовать подкладывать сзади под гусеницы деревянные брусья из подруч</w:t>
      </w:r>
      <w:r w:rsidRPr="007224C3">
        <w:rPr>
          <w:i w:val="0"/>
          <w:color w:val="000000" w:themeColor="text1"/>
          <w:sz w:val="16"/>
          <w:szCs w:val="16"/>
        </w:rPr>
        <w:softHyphen/>
        <w:t>ного материала.</w:t>
      </w:r>
    </w:p>
    <w:p w14:paraId="111A0CC0" w14:textId="77777777" w:rsidR="00282955" w:rsidRPr="007224C3" w:rsidRDefault="00282955" w:rsidP="007224C3">
      <w:pPr>
        <w:pStyle w:val="Bodytext141"/>
        <w:shd w:val="clear" w:color="auto" w:fill="auto"/>
        <w:spacing w:line="240" w:lineRule="auto"/>
        <w:ind w:firstLine="0"/>
        <w:jc w:val="both"/>
        <w:rPr>
          <w:i w:val="0"/>
          <w:color w:val="000000" w:themeColor="text1"/>
          <w:sz w:val="16"/>
          <w:szCs w:val="16"/>
        </w:rPr>
      </w:pPr>
      <w:r w:rsidRPr="007224C3">
        <w:rPr>
          <w:i w:val="0"/>
          <w:color w:val="000000" w:themeColor="text1"/>
          <w:sz w:val="16"/>
          <w:szCs w:val="16"/>
        </w:rPr>
        <w:t>3. АНИОП считает, что 203 мм самоходная гаубица «С-51 по срав</w:t>
      </w:r>
      <w:r w:rsidRPr="007224C3">
        <w:rPr>
          <w:i w:val="0"/>
          <w:color w:val="000000" w:themeColor="text1"/>
          <w:sz w:val="16"/>
          <w:szCs w:val="16"/>
        </w:rPr>
        <w:softHyphen/>
        <w:t>нению с 203-мм гаубицей «Б-4» обладает большей маневренностью движения и огня при сохранении своего огневого могущества и по устранении недостатков, выявленных при испытании и отмеченных в настоящем отчете, может быть рекомендована на вооружение Красной Армии» (17484).</w:t>
      </w:r>
    </w:p>
    <w:p w14:paraId="2F67D527" w14:textId="77777777" w:rsidR="00282955" w:rsidRPr="007224C3" w:rsidRDefault="00282955" w:rsidP="007224C3">
      <w:pPr>
        <w:spacing w:after="0" w:line="240" w:lineRule="auto"/>
        <w:jc w:val="both"/>
        <w:rPr>
          <w:rFonts w:ascii="Times New Roman" w:hAnsi="Times New Roman"/>
          <w:color w:val="000000" w:themeColor="text1"/>
          <w:sz w:val="16"/>
          <w:szCs w:val="16"/>
        </w:rPr>
      </w:pPr>
    </w:p>
    <w:p w14:paraId="3D6903DF"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00C65F8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54B658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апреля 1944 ОКБ П.О.С. приступило к работе над эскизным проектом Су-6 с РД в окончательном варианте. Практически эскизное и рабочее проектирование, а также производ</w:t>
      </w:r>
      <w:r w:rsidRPr="007224C3">
        <w:rPr>
          <w:rFonts w:ascii="Times New Roman" w:hAnsi="Times New Roman"/>
          <w:color w:val="000000" w:themeColor="text1"/>
          <w:sz w:val="16"/>
          <w:szCs w:val="16"/>
        </w:rPr>
        <w:softHyphen/>
        <w:t>ственные работы проводились одно</w:t>
      </w:r>
      <w:r w:rsidRPr="007224C3">
        <w:rPr>
          <w:rFonts w:ascii="Times New Roman" w:hAnsi="Times New Roman"/>
          <w:color w:val="000000" w:themeColor="text1"/>
          <w:sz w:val="16"/>
          <w:szCs w:val="16"/>
        </w:rPr>
        <w:softHyphen/>
        <w:t>временно. Задача облегчалась тем, что за основу нового самолета приняли один из двух построенных экземпляров опытного одноместного бронированно</w:t>
      </w:r>
      <w:r w:rsidRPr="007224C3">
        <w:rPr>
          <w:rFonts w:ascii="Times New Roman" w:hAnsi="Times New Roman"/>
          <w:color w:val="000000" w:themeColor="text1"/>
          <w:sz w:val="16"/>
          <w:szCs w:val="16"/>
        </w:rPr>
        <w:softHyphen/>
        <w:t>го штурмовика Су-6. В связи с этим отпала необходимость в изготовлении макета и постройке экземпляра для статиспытаний (10668).</w:t>
      </w:r>
    </w:p>
    <w:p w14:paraId="4882E1A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18BC42" w14:textId="77777777" w:rsidR="00AA077A" w:rsidRPr="007224C3" w:rsidRDefault="00AA077A"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В начале апреля 1944 ОКБ Сухого приступило к работе над эскизным проектом Су-6 с М-82 ФН 2ТК- и РД-1 в окончательном вари анте. 22 апреля 1944 г. были Утверждены тактико-технические требования к проектируемому самолету. Этот самолет предназначался для перехвата и уничтожения самолетов противника и ведения активного воз душного боя, главным образом на больших высотах во фрон товой зоне и в системе ПВО.</w:t>
      </w:r>
    </w:p>
    <w:p w14:paraId="2FFB06F8" w14:textId="77777777" w:rsidR="00AA077A" w:rsidRPr="007224C3" w:rsidRDefault="00AA077A"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Эскизное и рабочее проектирование, а также производство проводились параллельно. Задачу облегчало то, что за основу нового самолета был принят один из двух построенных экзем пляров опытного одноместного бронированного штурмовика Су-6. В связи с этим отпала необходимость в изготовлении ма кета и постройке экземпляра для статических испытаний. За держка окончания постройки самолета произошла из-за не своевременной подачи заводу № 289 турбокомпрессоров, при вода к насосному агрегату ЖРД и самого двигателя РД-1 (19586).</w:t>
      </w:r>
    </w:p>
    <w:p w14:paraId="4C472D83" w14:textId="77777777" w:rsidR="00AA077A" w:rsidRPr="007224C3" w:rsidRDefault="00AA077A"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61A9D720" w14:textId="77777777" w:rsidR="0053744E" w:rsidRPr="007224C3" w:rsidRDefault="0053744E" w:rsidP="007224C3">
      <w:pPr>
        <w:shd w:val="clear" w:color="auto" w:fill="FFFFFF"/>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апреля 1944 года на головном бомбардировщике Ер-2 № 7013901 иркутской серии с двумя дизелями М-30Б был совершен перелет Иркутск – Москва (Чкаловская) с промежуточными посадками в Красноярске, Новосибирске, Омске, Свердловске. Из-за многочисленных дефектов испытания проходили тяжело и шесть раз прерывались для доработки самолетных систем и двигателей. Устранение возникающих отказов проводила бригада бортмеханика Д.И. Кирюхина, представителей моторостроительного завода № 500, которые сопровождали дальний перелет Ер-2 на транспортном самолете Ли-2 (15223).</w:t>
      </w:r>
    </w:p>
    <w:p w14:paraId="4BAECCFA" w14:textId="77777777" w:rsidR="0053744E" w:rsidRPr="007224C3" w:rsidRDefault="0053744E" w:rsidP="007224C3">
      <w:pPr>
        <w:shd w:val="clear" w:color="auto" w:fill="FFFFFF"/>
        <w:spacing w:after="0" w:line="240" w:lineRule="auto"/>
        <w:jc w:val="both"/>
        <w:rPr>
          <w:rFonts w:ascii="Times New Roman" w:hAnsi="Times New Roman"/>
          <w:color w:val="000000" w:themeColor="text1"/>
          <w:sz w:val="16"/>
          <w:szCs w:val="16"/>
        </w:rPr>
      </w:pPr>
    </w:p>
    <w:p w14:paraId="0BFA714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апреля 1944 же года заводом №31 в Тбилиси был построен первый экземпляр машины №31 0001 с двигателем ВК-105ПФ2,и с 11 апреля по 25 мая проходили его заводские испытания. Вооружение истребителя включало пушку МП-20 и два БСа с боезапасом 110 и 300 патронов соответственно. Ведущими по машине были инженер И.А. Шабанов и летчик С.Г. Плыгунов.</w:t>
      </w:r>
    </w:p>
    <w:p w14:paraId="21D9990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ходе испытаний выявили целый букет дефектов: 25 - по планеру, четыре - по шасси, десять - по силовой установке, пять - по вооружению и восемь - по спецоборудованию. Из них л ишь десять (20%) можно отнести к конструктивным недостаткам. Замечания заказчика учли и менее чем за два года сдали военным 960 машин (12047).</w:t>
      </w:r>
    </w:p>
    <w:p w14:paraId="33D147C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EBBCF7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апреля 1944 года на заводе № 31 был выпущен первый экземпляр машины Як-3 с двигателем ВК-105ПФ2 №310001. Его первый полет (ведущие - инженер И.А. Шабанов и летчик-испытатель С.Г. Плыгунов) состоялся 11 апреля. Вооружение истребителя включало пушку МП-20 и два БСа. В ходе испытаний было выявлено 52 дефекта машины и ее систем, из них 10 - конструктивных. Тем не менее летные данные истребителя были в пределах технических условий заказчика и выпуск "яков" продолжили.</w:t>
      </w:r>
    </w:p>
    <w:p w14:paraId="06132C8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1945 году в Тбилиси его сменил, несмотря на неудовлетворительные результаты государственных испытаний, Як-3 с двигателем ВК-107А. Но его производство длилось недолго, и в 1946-м после сдачи заказчику 48 машин выпуск прекратили (12047).</w:t>
      </w:r>
    </w:p>
    <w:p w14:paraId="28A0DDB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E675E32" w14:textId="77777777" w:rsidR="0053744E" w:rsidRPr="007224C3" w:rsidRDefault="0053744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апреля 1944 г. А.С. Яковлев буквально таки потребовал применения экстраординарных мер, включая установления неимоверно больших премий для самолетостроителей и мотористов за будущие работы и наложение взысканий на мотористов за то, что уже было сделано (орфография и пунктуация сохранены):</w:t>
      </w:r>
    </w:p>
    <w:p w14:paraId="1E958965" w14:textId="77777777" w:rsidR="0053744E" w:rsidRPr="007224C3" w:rsidRDefault="0053744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«Дело создания высотных истребителей обстоит исключительно плохо.</w:t>
      </w:r>
    </w:p>
    <w:p w14:paraId="69C4AA60" w14:textId="77777777" w:rsidR="0053744E" w:rsidRPr="007224C3" w:rsidRDefault="0053744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 самолёты этого типа, строящиеся конструкторами ЯКОВЛЕВЫМ, ЛАВОЧКИНЫМ и МИКОЯНОМ, находятся в состоянии застоя и при существующем положении дел не будут готовы к лету даже в опытных экземплярах.</w:t>
      </w:r>
    </w:p>
    <w:p w14:paraId="38C9180A" w14:textId="77777777" w:rsidR="0053744E" w:rsidRPr="007224C3" w:rsidRDefault="0053744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Основной причиной такого недопустимого положения с решением важнейшей обо</w:t>
      </w:r>
      <w:r w:rsidRPr="007224C3">
        <w:rPr>
          <w:rFonts w:ascii="Times New Roman" w:hAnsi="Times New Roman"/>
          <w:color w:val="000000" w:themeColor="text1"/>
          <w:sz w:val="16"/>
          <w:szCs w:val="16"/>
        </w:rPr>
        <w:softHyphen/>
        <w:t>ронной проблемы является полное бездействие опытно-моторного Главка, конструк</w:t>
      </w:r>
      <w:r w:rsidRPr="007224C3">
        <w:rPr>
          <w:rFonts w:ascii="Times New Roman" w:hAnsi="Times New Roman"/>
          <w:color w:val="000000" w:themeColor="text1"/>
          <w:sz w:val="16"/>
          <w:szCs w:val="16"/>
        </w:rPr>
        <w:softHyphen/>
        <w:t xml:space="preserve">торов-мотористов и ЦИАМ... </w:t>
      </w:r>
      <w:r w:rsidRPr="007224C3">
        <w:rPr>
          <w:rStyle w:val="59"/>
          <w:rFonts w:ascii="Times New Roman" w:hAnsi="Times New Roman" w:cs="Times New Roman"/>
          <w:color w:val="000000" w:themeColor="text1"/>
          <w:sz w:val="16"/>
          <w:szCs w:val="16"/>
        </w:rPr>
        <w:t>В результате</w:t>
      </w:r>
      <w:r w:rsidRPr="007224C3">
        <w:rPr>
          <w:rFonts w:ascii="Times New Roman" w:hAnsi="Times New Roman"/>
          <w:color w:val="000000" w:themeColor="text1"/>
          <w:sz w:val="16"/>
          <w:szCs w:val="16"/>
        </w:rPr>
        <w:t>:</w:t>
      </w:r>
    </w:p>
    <w:p w14:paraId="15AC1871" w14:textId="77777777" w:rsidR="0053744E" w:rsidRPr="007224C3" w:rsidRDefault="0053744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самолёт т. ЯКОВЛЕВА с мотором 105ПД стоит в ожидании доработки моторной группы по увеличению её высотности;</w:t>
      </w:r>
    </w:p>
    <w:p w14:paraId="0632749B" w14:textId="77777777" w:rsidR="0053744E" w:rsidRPr="007224C3" w:rsidRDefault="0053744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самолёт т. ЛАВОЧКИНА не может достичь заданной высоты из-за перегрева мотора на высотах. Рекомендованный ЦИАМ в прошлом году впрыск воды работает неудов</w:t>
      </w:r>
      <w:r w:rsidRPr="007224C3">
        <w:rPr>
          <w:rFonts w:ascii="Times New Roman" w:hAnsi="Times New Roman"/>
          <w:color w:val="000000" w:themeColor="text1"/>
          <w:sz w:val="16"/>
          <w:szCs w:val="16"/>
        </w:rPr>
        <w:softHyphen/>
        <w:t>летворительно, но ЦИАМом не доводится.</w:t>
      </w:r>
    </w:p>
    <w:p w14:paraId="58B011B5" w14:textId="77777777" w:rsidR="0053744E" w:rsidRPr="007224C3" w:rsidRDefault="0053744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самолёт т. МИКОЯНА с мотором АМ-39 с ТК ожидает мотора, все сроки подачи ко</w:t>
      </w:r>
      <w:r w:rsidRPr="007224C3">
        <w:rPr>
          <w:rFonts w:ascii="Times New Roman" w:hAnsi="Times New Roman"/>
          <w:color w:val="000000" w:themeColor="text1"/>
          <w:sz w:val="16"/>
          <w:szCs w:val="16"/>
        </w:rPr>
        <w:softHyphen/>
        <w:t>торого по постановлению ГОКО давно истекли.</w:t>
      </w:r>
    </w:p>
    <w:p w14:paraId="75A43DD1" w14:textId="77777777" w:rsidR="0053744E" w:rsidRPr="007224C3" w:rsidRDefault="0053744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Таким образом, вследствие непонятной бездеятельности мотористов мы оказыва</w:t>
      </w:r>
      <w:r w:rsidRPr="007224C3">
        <w:rPr>
          <w:rFonts w:ascii="Times New Roman" w:hAnsi="Times New Roman"/>
          <w:color w:val="000000" w:themeColor="text1"/>
          <w:sz w:val="16"/>
          <w:szCs w:val="16"/>
        </w:rPr>
        <w:softHyphen/>
        <w:t xml:space="preserve">емся безоружными перед лицом высотных самолётов врага. </w:t>
      </w:r>
      <w:r w:rsidRPr="007224C3">
        <w:rPr>
          <w:rStyle w:val="59"/>
          <w:rFonts w:ascii="Times New Roman" w:hAnsi="Times New Roman" w:cs="Times New Roman"/>
          <w:color w:val="000000" w:themeColor="text1"/>
          <w:sz w:val="16"/>
          <w:szCs w:val="16"/>
        </w:rPr>
        <w:t>Необходимо</w:t>
      </w:r>
      <w:r w:rsidRPr="007224C3">
        <w:rPr>
          <w:rFonts w:ascii="Times New Roman" w:hAnsi="Times New Roman"/>
          <w:color w:val="000000" w:themeColor="text1"/>
          <w:sz w:val="16"/>
          <w:szCs w:val="16"/>
        </w:rPr>
        <w:t>:</w:t>
      </w:r>
    </w:p>
    <w:p w14:paraId="38E47ECD" w14:textId="77777777" w:rsidR="0053744E" w:rsidRPr="007224C3" w:rsidRDefault="0053744E" w:rsidP="007224C3">
      <w:pPr>
        <w:tabs>
          <w:tab w:val="left" w:pos="438"/>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Войти в Правительство с прилагаемым проектом постановления, в котором наме</w:t>
      </w:r>
      <w:r w:rsidRPr="007224C3">
        <w:rPr>
          <w:rFonts w:ascii="Times New Roman" w:hAnsi="Times New Roman"/>
          <w:color w:val="000000" w:themeColor="text1"/>
          <w:sz w:val="16"/>
          <w:szCs w:val="16"/>
        </w:rPr>
        <w:softHyphen/>
        <w:t>чены экстраординарные мероприятия по поощрению отработки высотных самолётов.</w:t>
      </w:r>
    </w:p>
    <w:p w14:paraId="30E14C53" w14:textId="77777777" w:rsidR="0053744E" w:rsidRPr="007224C3" w:rsidRDefault="0053744E" w:rsidP="007224C3">
      <w:pPr>
        <w:tabs>
          <w:tab w:val="left" w:pos="440"/>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Наложить строгие взыскания на виновников задержки:</w:t>
      </w:r>
    </w:p>
    <w:p w14:paraId="4E39DB6D" w14:textId="77777777" w:rsidR="0053744E" w:rsidRPr="007224C3" w:rsidRDefault="0053744E" w:rsidP="007224C3">
      <w:pPr>
        <w:tabs>
          <w:tab w:val="left" w:pos="430"/>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отработки и развития мотора 105ПД,</w:t>
      </w:r>
    </w:p>
    <w:p w14:paraId="1CA3C52F" w14:textId="77777777" w:rsidR="0053744E" w:rsidRPr="007224C3" w:rsidRDefault="0053744E" w:rsidP="007224C3">
      <w:pPr>
        <w:tabs>
          <w:tab w:val="left" w:pos="454"/>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мотора АМ-39 с ТК,</w:t>
      </w:r>
    </w:p>
    <w:p w14:paraId="51D054B8" w14:textId="77777777" w:rsidR="0053744E" w:rsidRPr="007224C3" w:rsidRDefault="0053744E" w:rsidP="007224C3">
      <w:pPr>
        <w:tabs>
          <w:tab w:val="left" w:pos="445"/>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отработки впрыска воды и системы ТК к мотору АШ-82ФН,</w:t>
      </w:r>
    </w:p>
    <w:p w14:paraId="404EFCF9" w14:textId="77777777" w:rsidR="0053744E" w:rsidRPr="007224C3" w:rsidRDefault="0053744E" w:rsidP="007224C3">
      <w:pPr>
        <w:tabs>
          <w:tab w:val="left" w:pos="450"/>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серийного выпуска ТК.</w:t>
      </w:r>
    </w:p>
    <w:p w14:paraId="314BA60A" w14:textId="77777777" w:rsidR="0053744E" w:rsidRPr="007224C3" w:rsidRDefault="0053744E" w:rsidP="007224C3">
      <w:pPr>
        <w:tabs>
          <w:tab w:val="left" w:pos="428"/>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Обязать 8 Главк и ЦИАМ бросить все силы на доводку моторных групп высотных истребителей т.т. ЯКОВЛЕВА, ЛАВОЧКИНА и МИКОЯНА.</w:t>
      </w:r>
    </w:p>
    <w:p w14:paraId="3E2D8F58" w14:textId="77777777" w:rsidR="0053744E" w:rsidRPr="007224C3" w:rsidRDefault="0053744E" w:rsidP="007224C3">
      <w:pPr>
        <w:tabs>
          <w:tab w:val="left" w:pos="445"/>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Немедленно начать выпуск небольшой серии моторов М-105ПД».</w:t>
      </w:r>
    </w:p>
    <w:p w14:paraId="74E10845" w14:textId="77777777" w:rsidR="0053744E" w:rsidRPr="007224C3" w:rsidRDefault="0053744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общем, во всём виноваты мотористы — их всех надо наказать. Совершенно неспра</w:t>
      </w:r>
      <w:r w:rsidRPr="007224C3">
        <w:rPr>
          <w:rFonts w:ascii="Times New Roman" w:hAnsi="Times New Roman"/>
          <w:color w:val="000000" w:themeColor="text1"/>
          <w:sz w:val="16"/>
          <w:szCs w:val="16"/>
        </w:rPr>
        <w:softHyphen/>
        <w:t>ведливый вывод, но, с «аппаратной» точки зрения, абсолютно разумный: убрать из-под топора свою голову и подставить чужую. Тем более что поощрение, действительно, пред</w:t>
      </w:r>
      <w:r w:rsidRPr="007224C3">
        <w:rPr>
          <w:rFonts w:ascii="Times New Roman" w:hAnsi="Times New Roman"/>
          <w:color w:val="000000" w:themeColor="text1"/>
          <w:sz w:val="16"/>
          <w:szCs w:val="16"/>
        </w:rPr>
        <w:softHyphen/>
        <w:t>полагалось экстраординарное: «Установить первую премию в 1 миллион рублей опытно</w:t>
      </w:r>
      <w:r w:rsidRPr="007224C3">
        <w:rPr>
          <w:rFonts w:ascii="Times New Roman" w:hAnsi="Times New Roman"/>
          <w:color w:val="000000" w:themeColor="text1"/>
          <w:sz w:val="16"/>
          <w:szCs w:val="16"/>
        </w:rPr>
        <w:softHyphen/>
        <w:t>му самолётному конструкторскому бюро, которое первым даст самолёт-истребитель с потолком 14000 мт. На высоте 13000 мт самолёт должен иметь вертикальную скорость 2,5 мт в секунду и иметь продолжительность полёта не менее 30 минут. Самолёт должен нести не менее одной пушки калибра 20 мм с боезапасом 60 снарядов. Потолок, верти</w:t>
      </w:r>
      <w:r w:rsidRPr="007224C3">
        <w:rPr>
          <w:rFonts w:ascii="Times New Roman" w:hAnsi="Times New Roman"/>
          <w:color w:val="000000" w:themeColor="text1"/>
          <w:sz w:val="16"/>
          <w:szCs w:val="16"/>
        </w:rPr>
        <w:softHyphen/>
        <w:t>кальная скорость и продолжительность полёта должны быть определены государствен</w:t>
      </w:r>
      <w:r w:rsidRPr="007224C3">
        <w:rPr>
          <w:rFonts w:ascii="Times New Roman" w:hAnsi="Times New Roman"/>
          <w:color w:val="000000" w:themeColor="text1"/>
          <w:sz w:val="16"/>
          <w:szCs w:val="16"/>
        </w:rPr>
        <w:softHyphen/>
        <w:t>ным испытанием. Из указанной премии в 1 миллион рублей, 50% выдается лично глав</w:t>
      </w:r>
      <w:r w:rsidRPr="007224C3">
        <w:rPr>
          <w:rFonts w:ascii="Times New Roman" w:hAnsi="Times New Roman"/>
          <w:color w:val="000000" w:themeColor="text1"/>
          <w:sz w:val="16"/>
          <w:szCs w:val="16"/>
        </w:rPr>
        <w:softHyphen/>
        <w:t>ному конструктору самолёта и 50% — коллективу ОКБ». Премия в 500 тыс. руб. устанав</w:t>
      </w:r>
      <w:r w:rsidRPr="007224C3">
        <w:rPr>
          <w:rFonts w:ascii="Times New Roman" w:hAnsi="Times New Roman"/>
          <w:color w:val="000000" w:themeColor="text1"/>
          <w:sz w:val="16"/>
          <w:szCs w:val="16"/>
        </w:rPr>
        <w:softHyphen/>
        <w:t>ливалась за самолёт с потолком 13500 м, премии 1 млн. и 500 тыс. руб. выплачивались опытно-моторным КБ, в зависимости от того, в решении какой из задач использовался разработанный ими мотор. Половина премии во всех случаях выдавалась лично главно</w:t>
      </w:r>
      <w:r w:rsidRPr="007224C3">
        <w:rPr>
          <w:rFonts w:ascii="Times New Roman" w:hAnsi="Times New Roman"/>
          <w:color w:val="000000" w:themeColor="text1"/>
          <w:sz w:val="16"/>
          <w:szCs w:val="16"/>
        </w:rPr>
        <w:softHyphen/>
        <w:t>му конструктору самолёта или мотора. Помимо денежных премий, главных конструкто</w:t>
      </w:r>
      <w:r w:rsidRPr="007224C3">
        <w:rPr>
          <w:rFonts w:ascii="Times New Roman" w:hAnsi="Times New Roman"/>
          <w:color w:val="000000" w:themeColor="text1"/>
          <w:sz w:val="16"/>
          <w:szCs w:val="16"/>
        </w:rPr>
        <w:softHyphen/>
        <w:t>ров, первыми решившими поставленную задачу, и лучших работников их коллективов Наркомавиапром представлял к правительственным наградам (15830).</w:t>
      </w:r>
    </w:p>
    <w:p w14:paraId="78072F15" w14:textId="77777777" w:rsidR="0053744E" w:rsidRPr="007224C3" w:rsidRDefault="0053744E" w:rsidP="007224C3">
      <w:pPr>
        <w:spacing w:after="0" w:line="240" w:lineRule="auto"/>
        <w:jc w:val="both"/>
        <w:rPr>
          <w:rFonts w:ascii="Times New Roman" w:hAnsi="Times New Roman"/>
          <w:color w:val="000000" w:themeColor="text1"/>
          <w:sz w:val="16"/>
          <w:szCs w:val="16"/>
        </w:rPr>
      </w:pPr>
    </w:p>
    <w:p w14:paraId="46A627BF" w14:textId="77777777" w:rsidR="0053744E" w:rsidRPr="007224C3" w:rsidRDefault="0053744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апреля 1944, по причине изношенности материальной части, доработанный высотный Ла-5 поставили в цех на восстано</w:t>
      </w:r>
      <w:r w:rsidRPr="007224C3">
        <w:rPr>
          <w:rFonts w:ascii="Times New Roman" w:hAnsi="Times New Roman"/>
          <w:color w:val="000000" w:themeColor="text1"/>
          <w:sz w:val="16"/>
          <w:szCs w:val="16"/>
        </w:rPr>
        <w:softHyphen/>
        <w:t>вительный ремонт (15830).</w:t>
      </w:r>
    </w:p>
    <w:p w14:paraId="6F4FB29C" w14:textId="77777777" w:rsidR="0053744E" w:rsidRPr="007224C3" w:rsidRDefault="0053744E" w:rsidP="007224C3">
      <w:pPr>
        <w:spacing w:after="0" w:line="240" w:lineRule="auto"/>
        <w:jc w:val="both"/>
        <w:rPr>
          <w:rFonts w:ascii="Times New Roman" w:hAnsi="Times New Roman"/>
          <w:color w:val="000000" w:themeColor="text1"/>
          <w:sz w:val="16"/>
          <w:szCs w:val="16"/>
        </w:rPr>
      </w:pPr>
    </w:p>
    <w:p w14:paraId="5F83FDE9" w14:textId="77777777" w:rsidR="0053744E" w:rsidRPr="007224C3" w:rsidRDefault="0053744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 начале апреля 1944 года удача сопутствовала Кацьяну. Ранним утром, наблюдатели оперативно сообщили о падении целого образца в болота у Седлицы, который не взорвался. Оперативные мероприятия увенчались успехом, совершенно целую ракету </w:t>
      </w:r>
      <w:r w:rsidRPr="007224C3">
        <w:rPr>
          <w:rFonts w:ascii="Times New Roman" w:hAnsi="Times New Roman"/>
          <w:color w:val="000000" w:themeColor="text1"/>
          <w:sz w:val="16"/>
          <w:szCs w:val="16"/>
          <w:lang w:val="en-US"/>
        </w:rPr>
        <w:t>V</w:t>
      </w:r>
      <w:r w:rsidRPr="007224C3">
        <w:rPr>
          <w:rFonts w:ascii="Times New Roman" w:hAnsi="Times New Roman"/>
          <w:color w:val="000000" w:themeColor="text1"/>
          <w:sz w:val="16"/>
          <w:szCs w:val="16"/>
        </w:rPr>
        <w:t>-1 удалось быстро разобрать и растащить по окрестным деревням еще до прихода поисковых отрядов немецкой полевой жандармерии. Через несколько дней, поиски прекратили, посчитав ракету утонувшей в болоте, однако...</w:t>
      </w:r>
    </w:p>
    <w:p w14:paraId="65B0BB91" w14:textId="77777777" w:rsidR="0053744E" w:rsidRPr="007224C3" w:rsidRDefault="0053744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Вывезенная в Варшаву радиоэлектронная начинка ракеты, попала на кухонный стол профессора академии наук Польши, Януша Грошковского. Именно он, первым обнаружил главный секрет управления ракетой, а именно то, что телеметрический автомат наведения V-4 постоянно корректируется по наземному сигналу и передает на землю информацию о режимах своего полета (15500).</w:t>
      </w:r>
    </w:p>
    <w:p w14:paraId="4818A768" w14:textId="77777777" w:rsidR="0053744E" w:rsidRPr="007224C3" w:rsidRDefault="0053744E" w:rsidP="007224C3">
      <w:pPr>
        <w:spacing w:after="0" w:line="240" w:lineRule="auto"/>
        <w:jc w:val="both"/>
        <w:rPr>
          <w:rFonts w:ascii="Times New Roman" w:hAnsi="Times New Roman"/>
          <w:color w:val="000000" w:themeColor="text1"/>
          <w:sz w:val="16"/>
          <w:szCs w:val="16"/>
        </w:rPr>
      </w:pPr>
    </w:p>
    <w:p w14:paraId="74DB12AD"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1368652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6FCFE4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апреля 1944 г. 100-мм пушка С-34 с завода № 92 НКВ (вместо 20 февраля 1944 г., как это было предусмотрено планом) была подана на завод № 100. Совместным приказом НКТП, НКВ, коман</w:t>
      </w:r>
      <w:r w:rsidRPr="007224C3">
        <w:rPr>
          <w:rFonts w:ascii="Times New Roman" w:hAnsi="Times New Roman"/>
          <w:color w:val="000000" w:themeColor="text1"/>
          <w:sz w:val="16"/>
          <w:szCs w:val="16"/>
        </w:rPr>
        <w:softHyphen/>
        <w:t>дующего БТ и МВ РККА и начальника ГАУ были установлены новые сроки проведения испытаний. Теперь заводу № 100 необходимо было подать танк на Гороховецкий АНИОП к 8 мая 1944 г. Но опытный тяже</w:t>
      </w:r>
      <w:r w:rsidRPr="007224C3">
        <w:rPr>
          <w:rFonts w:ascii="Times New Roman" w:hAnsi="Times New Roman"/>
          <w:color w:val="000000" w:themeColor="text1"/>
          <w:sz w:val="16"/>
          <w:szCs w:val="16"/>
        </w:rPr>
        <w:softHyphen/>
        <w:t>лый танк ИС-5 ("Объект 248") из-за отсутствия готовой башни был из</w:t>
      </w:r>
      <w:r w:rsidRPr="007224C3">
        <w:rPr>
          <w:rFonts w:ascii="Times New Roman" w:hAnsi="Times New Roman"/>
          <w:color w:val="000000" w:themeColor="text1"/>
          <w:sz w:val="16"/>
          <w:szCs w:val="16"/>
        </w:rPr>
        <w:softHyphen/>
        <w:t>готовлен заводом только в июне 1944 г. и к концу месяца прошел лишь заводские испытания пробегом и отстрелом на Миасском полигоне. Танк "Объект 248" был создан на базе опытного тяжелого танка "Объект 237" № 1. В связи с установкой новой пушки и башни была изменена компоновка боевого отделения. Командир и наводчик располагались справа, а заряжающий - слева от пушки. Люк и командирская башенка имели, по отношению к серийной башне танка ИС-1, зеркальное распо</w:t>
      </w:r>
      <w:r w:rsidRPr="007224C3">
        <w:rPr>
          <w:rFonts w:ascii="Times New Roman" w:hAnsi="Times New Roman"/>
          <w:color w:val="000000" w:themeColor="text1"/>
          <w:sz w:val="16"/>
          <w:szCs w:val="16"/>
        </w:rPr>
        <w:softHyphen/>
        <w:t>ложение. Кроме того, отсутствовала установка тыльного пулемета. После проведения заводских испытаний машина была рекомендова</w:t>
      </w:r>
      <w:r w:rsidRPr="007224C3">
        <w:rPr>
          <w:rFonts w:ascii="Times New Roman" w:hAnsi="Times New Roman"/>
          <w:color w:val="000000" w:themeColor="text1"/>
          <w:sz w:val="16"/>
          <w:szCs w:val="16"/>
        </w:rPr>
        <w:softHyphen/>
        <w:t>на на полигонные испытания. Однако ни "Объект 245", ни "Объект 248", оснащенные 100-мм пуш</w:t>
      </w:r>
      <w:r w:rsidRPr="007224C3">
        <w:rPr>
          <w:rFonts w:ascii="Times New Roman" w:hAnsi="Times New Roman"/>
          <w:color w:val="000000" w:themeColor="text1"/>
          <w:sz w:val="16"/>
          <w:szCs w:val="16"/>
        </w:rPr>
        <w:softHyphen/>
        <w:t>ками, не были приняты на вооружение вследствие того, что на дальнос</w:t>
      </w:r>
      <w:r w:rsidRPr="007224C3">
        <w:rPr>
          <w:rFonts w:ascii="Times New Roman" w:hAnsi="Times New Roman"/>
          <w:color w:val="000000" w:themeColor="text1"/>
          <w:sz w:val="16"/>
          <w:szCs w:val="16"/>
        </w:rPr>
        <w:softHyphen/>
        <w:t>тях свыше 1000 м из-за меньшей массы бронебойных снарядов их бро-непробиваемость оказалась меньше, чем у 122-мм бронебойных снаря</w:t>
      </w:r>
      <w:r w:rsidRPr="007224C3">
        <w:rPr>
          <w:rFonts w:ascii="Times New Roman" w:hAnsi="Times New Roman"/>
          <w:color w:val="000000" w:themeColor="text1"/>
          <w:sz w:val="16"/>
          <w:szCs w:val="16"/>
        </w:rPr>
        <w:softHyphen/>
        <w:t>дов пушки Д-25. С середины апреля 1944 г. на основании "Тактико-технических тре</w:t>
      </w:r>
      <w:r w:rsidRPr="007224C3">
        <w:rPr>
          <w:rFonts w:ascii="Times New Roman" w:hAnsi="Times New Roman"/>
          <w:color w:val="000000" w:themeColor="text1"/>
          <w:sz w:val="16"/>
          <w:szCs w:val="16"/>
        </w:rPr>
        <w:softHyphen/>
        <w:t>бований на проектирование тяжелого танка", разработанных ТУ ГБТУ, в КБ завода № 100 велась работа по проектированию опытных тяжелых танков с электромеханической и механической трансмиссиями (10703).</w:t>
      </w:r>
    </w:p>
    <w:p w14:paraId="52B4C33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BB1D664" w14:textId="77777777" w:rsidR="00075AF0" w:rsidRPr="007224C3" w:rsidRDefault="00075AF0" w:rsidP="007224C3">
      <w:pPr>
        <w:pStyle w:val="ae"/>
        <w:shd w:val="clear" w:color="auto" w:fill="FFFFFF"/>
        <w:spacing w:before="0" w:after="0"/>
        <w:jc w:val="both"/>
        <w:rPr>
          <w:color w:val="000000" w:themeColor="text1"/>
          <w:sz w:val="16"/>
          <w:szCs w:val="16"/>
        </w:rPr>
      </w:pPr>
      <w:r w:rsidRPr="007224C3">
        <w:rPr>
          <w:color w:val="000000" w:themeColor="text1"/>
          <w:sz w:val="16"/>
          <w:szCs w:val="16"/>
        </w:rPr>
        <w:t>В начале апреля 1944 года появился третий завод, который освоил выпуск башен для ИС-2. Им стал Мариупольский завод им. Ильича, который удалось восстановить после освобождения Мариуполя в сентябре 1943 года. Уже в январе Мариуполь дал первую броню, которая шла в том числе и на завод №178. К концу апреля на завод №200 прибыла первая партия из 83 мариупольских башен. Правда, сразу можно было использовать только 35 из них, поскольку остальные имели превышение по весу, причём весьма существенное (350–400 килограмм).</w:t>
      </w:r>
    </w:p>
    <w:p w14:paraId="707AAA1E" w14:textId="77777777" w:rsidR="00075AF0" w:rsidRPr="007224C3" w:rsidRDefault="00075AF0" w:rsidP="007224C3">
      <w:pPr>
        <w:pStyle w:val="ae"/>
        <w:shd w:val="clear" w:color="auto" w:fill="FFFFFF"/>
        <w:spacing w:before="0" w:after="0"/>
        <w:jc w:val="both"/>
        <w:rPr>
          <w:color w:val="000000" w:themeColor="text1"/>
          <w:sz w:val="16"/>
          <w:szCs w:val="16"/>
        </w:rPr>
      </w:pPr>
      <w:r w:rsidRPr="007224C3">
        <w:rPr>
          <w:color w:val="000000" w:themeColor="text1"/>
          <w:sz w:val="16"/>
          <w:szCs w:val="16"/>
        </w:rPr>
        <w:t>Впрочем, и у завода №200 имелись проблемы с литьём. Частым явлением были трещины, которые приходилось заваривать. Мариупольские башни, по мнению комиссии, действовавшей на заводе №200 в мае 1944 года, оказались более качественными. Несмотря на то, что по составу стали они отличались от заданных параметров, за счёт лучшего качества наружной поверхности и хорошей плотности отливок продукция завода им. Ильича оказалась более стойкой. И это при том, что стойкость башен и корпусов завода №200 из стали 70Л оказалась на 13–14% выше тех же деталей из брони средней твёрдости.</w:t>
      </w:r>
    </w:p>
    <w:p w14:paraId="2CDD4167" w14:textId="77777777" w:rsidR="00075AF0" w:rsidRPr="007224C3" w:rsidRDefault="00075AF0" w:rsidP="007224C3">
      <w:pPr>
        <w:pStyle w:val="ae"/>
        <w:shd w:val="clear" w:color="auto" w:fill="FFFFFF"/>
        <w:spacing w:before="0" w:after="0"/>
        <w:jc w:val="both"/>
        <w:rPr>
          <w:color w:val="000000" w:themeColor="text1"/>
          <w:sz w:val="16"/>
          <w:szCs w:val="16"/>
        </w:rPr>
      </w:pPr>
      <w:r w:rsidRPr="007224C3">
        <w:rPr>
          <w:color w:val="000000" w:themeColor="text1"/>
          <w:sz w:val="16"/>
          <w:szCs w:val="16"/>
        </w:rPr>
        <w:t>Внешне мариупольские башни выглядели похожими на продукцию УЗТМ — правда, у них имелся литьевой номер на корме (17721).</w:t>
      </w:r>
    </w:p>
    <w:p w14:paraId="3F22D3AD" w14:textId="77777777" w:rsidR="00075AF0" w:rsidRPr="007224C3" w:rsidRDefault="00075AF0" w:rsidP="007224C3">
      <w:pPr>
        <w:spacing w:after="0" w:line="240" w:lineRule="auto"/>
        <w:jc w:val="both"/>
        <w:rPr>
          <w:rFonts w:ascii="Times New Roman" w:eastAsia="Times New Roman" w:hAnsi="Times New Roman"/>
          <w:color w:val="000000" w:themeColor="text1"/>
          <w:sz w:val="16"/>
          <w:szCs w:val="16"/>
          <w:lang w:eastAsia="ru-RU"/>
        </w:rPr>
      </w:pPr>
    </w:p>
    <w:p w14:paraId="361F63B9" w14:textId="77777777" w:rsidR="00075AF0" w:rsidRPr="007224C3" w:rsidRDefault="00075AF0"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В начале апреля 1944 года КБ завода 100 был представлен эскизный проект, который условно называют ИС-2М,. Он довольно быстро был забыт, а вот 46-тонная версия ИС-2 дошла до стадии изготовления деревянных моделей. На этом разработка модернизации и закончилась.</w:t>
      </w:r>
    </w:p>
    <w:p w14:paraId="6D417BCF" w14:textId="77777777" w:rsidR="00075AF0" w:rsidRPr="007224C3" w:rsidRDefault="00075AF0"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Во всё том же апреле 1944 года на заводе №100 началась разработка инициативного проекта тяжёлого танка, более известного как ИС-6. Велась она тайно, причём даже часть руководства завода была отстранена от информации о ней. Военпред завода №100 Вовк даже обратился в связи с этим в ГБТУ КА с жалобой. Работы над ИС-6, в ходе которых были реализованы некоторые решения проекта модернизации ИС-2, поставили крест как на 46-тонной версии ИС-2, так и на проекте Шашмурина.</w:t>
      </w:r>
    </w:p>
    <w:p w14:paraId="0437989B" w14:textId="77777777" w:rsidR="00075AF0" w:rsidRPr="007224C3" w:rsidRDefault="00075AF0"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Впрочем, ситуация оставалась нелепой. На ЧКЗ и соседних предприятиях проектировались уже два совершенно новых танка, а модернизация ИС-2 прорабатывалась уже в двух вариантах: большом и малом.</w:t>
      </w:r>
    </w:p>
    <w:p w14:paraId="63E63511" w14:textId="77777777" w:rsidR="00075AF0" w:rsidRPr="007224C3" w:rsidRDefault="00075AF0"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Соит упомянуть и ситуацию с двигателями. Ещё в 1943 году было получено указание об увеличении мощности двигателя В-2-ИС. В связи с началом работ по Объекту 701 стал разрабатываться и более мощный мотор. На этом направлении дело продвинулось куда дальше требований и эскизных проектов. Появилось сразу три двигателя на базе В-2: В-11 разработки завода №75, В-14 разработки завода №76 и В-16 разработки завода №77. Из них до стадии серийного производства дошёл только В-11, да и то в 1945 году. При этом вместо необходимых 700 лошадиных сил он развивал те же 520, что и В-2-ИС.</w:t>
      </w:r>
    </w:p>
    <w:p w14:paraId="118EC750" w14:textId="77777777" w:rsidR="00075AF0" w:rsidRPr="007224C3" w:rsidRDefault="00075AF0"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Казахским сельскохозяйственным институтом (г. Алма-Ата) разрабатывался ещё один, очень специфический, двигатель для ИС. Паросиловая установка первоначально проектировалась для КВ, но работы затянулись, и позднее она проектировалась уже под ИС. Эта разработка неоднократно обсуждалась, её проект был представлен в двух вариантах, отличавшихся габаритами. Но до изготовления в металле дело так и не дошло, хотя средства на это выделялись неоднократно (17756).</w:t>
      </w:r>
    </w:p>
    <w:p w14:paraId="2D80FE63" w14:textId="77777777" w:rsidR="00075AF0" w:rsidRPr="007224C3" w:rsidRDefault="00075AF0" w:rsidP="007224C3">
      <w:pPr>
        <w:spacing w:after="0" w:line="240" w:lineRule="auto"/>
        <w:jc w:val="both"/>
        <w:rPr>
          <w:rFonts w:ascii="Times New Roman" w:eastAsia="Times New Roman" w:hAnsi="Times New Roman"/>
          <w:color w:val="000000" w:themeColor="text1"/>
          <w:sz w:val="16"/>
          <w:szCs w:val="16"/>
          <w:lang w:eastAsia="ru-RU"/>
        </w:rPr>
      </w:pPr>
    </w:p>
    <w:p w14:paraId="032878BD" w14:textId="77777777" w:rsidR="0094033C" w:rsidRPr="007224C3" w:rsidRDefault="0094033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 начале апреля 1944 в НАТИ соб</w:t>
      </w:r>
      <w:r w:rsidRPr="007224C3">
        <w:rPr>
          <w:rFonts w:ascii="Times New Roman" w:hAnsi="Times New Roman"/>
          <w:color w:val="0070C0"/>
          <w:sz w:val="16"/>
          <w:szCs w:val="16"/>
        </w:rPr>
        <w:softHyphen/>
        <w:t>ран двигатель для нового пропашного колесного трак</w:t>
      </w:r>
      <w:r w:rsidRPr="007224C3">
        <w:rPr>
          <w:rFonts w:ascii="Times New Roman" w:hAnsi="Times New Roman"/>
          <w:color w:val="0070C0"/>
          <w:sz w:val="16"/>
          <w:szCs w:val="16"/>
        </w:rPr>
        <w:softHyphen/>
        <w:t>тора «Универсал-2» (22518)</w:t>
      </w:r>
    </w:p>
    <w:p w14:paraId="42AC948C" w14:textId="77777777" w:rsidR="0094033C" w:rsidRPr="007224C3" w:rsidRDefault="0094033C" w:rsidP="007224C3">
      <w:pPr>
        <w:spacing w:after="0" w:line="240" w:lineRule="auto"/>
        <w:jc w:val="both"/>
        <w:rPr>
          <w:rFonts w:ascii="Times New Roman" w:hAnsi="Times New Roman"/>
          <w:color w:val="0070C0"/>
          <w:sz w:val="16"/>
          <w:szCs w:val="16"/>
        </w:rPr>
      </w:pPr>
    </w:p>
    <w:p w14:paraId="48ABE9E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первых числах апреля 1944 г. в только что освобожден</w:t>
      </w:r>
      <w:r w:rsidRPr="007224C3">
        <w:rPr>
          <w:rFonts w:ascii="Times New Roman" w:hAnsi="Times New Roman"/>
          <w:color w:val="000000" w:themeColor="text1"/>
          <w:sz w:val="16"/>
          <w:szCs w:val="16"/>
        </w:rPr>
        <w:softHyphen/>
        <w:t>ный Николаев прибыла специальная комиссия, созданная для подготовки правительственного решения о восстановлении про</w:t>
      </w:r>
      <w:r w:rsidRPr="007224C3">
        <w:rPr>
          <w:rFonts w:ascii="Times New Roman" w:hAnsi="Times New Roman"/>
          <w:color w:val="000000" w:themeColor="text1"/>
          <w:sz w:val="16"/>
          <w:szCs w:val="16"/>
        </w:rPr>
        <w:softHyphen/>
        <w:t>мышленных предприятий этого города. Разрушения николаевских судостроительных заводов, причиненные при отступлении немец-ко-фашистских войск, оказались огромными. На заводе 198 сохранились только здание заводской лаболатории и бытовой корпус, а на заводе 200 — двухэтажное здание столовой и два котла из четырех в здании заводской котельной. Достаточно хорошо сохранились подземные инженерные коммуникации и гидротехнические сооружения наклонных стапелей обоих заводов (3898).</w:t>
      </w:r>
    </w:p>
    <w:p w14:paraId="0638A61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47DD00"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4DF6286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7781A3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Согласно отчета НИИ АВ ВВС N 95 от 7 апреля 1944 года пушки НС-45 на самолете Ил-2 гос. испытания выдержали. В выводах отмечено, что установки под пушки сделанные ОКБ-240 обеспечили нормальную работу пушек. Заключение в целом по самолету Ил-2 с пушками НС-45 НИИ АВ не сделано, так как предъявленные образцы пушек имели реакцию на цапфы большую чем было предусмотрено ТУ на проектирование узлов крепления пушки в крыле самолета (1825,231).</w:t>
      </w:r>
    </w:p>
    <w:p w14:paraId="55923E9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7810E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апреля 1944 Кузнецов писал А.И.Ш. письмо N 2360:</w:t>
      </w:r>
    </w:p>
    <w:p w14:paraId="272C626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"Докладываю по вопросу повышения скоростей самолетов Ил-2, выпускаемых заводами 18, 30 и 1:</w:t>
      </w:r>
    </w:p>
    <w:p w14:paraId="6CC7DB0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18</w:t>
      </w:r>
    </w:p>
    <w:p w14:paraId="4A29FAE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первой половине 1943 завод имел:</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gridCol w:w="2818"/>
      </w:tblGrid>
      <w:tr w:rsidR="005106D0" w:rsidRPr="007224C3" w14:paraId="7A5D48B3" w14:textId="77777777">
        <w:tc>
          <w:tcPr>
            <w:tcW w:w="2818" w:type="dxa"/>
          </w:tcPr>
          <w:p w14:paraId="478A35B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1C3BC59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Дата испытаний</w:t>
            </w:r>
          </w:p>
        </w:tc>
        <w:tc>
          <w:tcPr>
            <w:tcW w:w="2818" w:type="dxa"/>
          </w:tcPr>
          <w:p w14:paraId="3C17DAF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Скорость у земли</w:t>
            </w:r>
          </w:p>
        </w:tc>
        <w:tc>
          <w:tcPr>
            <w:tcW w:w="2818" w:type="dxa"/>
          </w:tcPr>
          <w:p w14:paraId="7A39116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Скорость на границе высотности</w:t>
            </w:r>
          </w:p>
        </w:tc>
      </w:tr>
      <w:tr w:rsidR="005106D0" w:rsidRPr="007224C3" w14:paraId="02A52891" w14:textId="77777777">
        <w:tc>
          <w:tcPr>
            <w:tcW w:w="2818" w:type="dxa"/>
          </w:tcPr>
          <w:p w14:paraId="67BAE25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1872046</w:t>
            </w:r>
          </w:p>
        </w:tc>
        <w:tc>
          <w:tcPr>
            <w:tcW w:w="2818" w:type="dxa"/>
          </w:tcPr>
          <w:p w14:paraId="078A831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марта 1943</w:t>
            </w:r>
          </w:p>
        </w:tc>
        <w:tc>
          <w:tcPr>
            <w:tcW w:w="2818" w:type="dxa"/>
          </w:tcPr>
          <w:p w14:paraId="67D4E95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387</w:t>
            </w:r>
          </w:p>
        </w:tc>
        <w:tc>
          <w:tcPr>
            <w:tcW w:w="2818" w:type="dxa"/>
          </w:tcPr>
          <w:p w14:paraId="6E09A25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409</w:t>
            </w:r>
          </w:p>
        </w:tc>
      </w:tr>
      <w:tr w:rsidR="005106D0" w:rsidRPr="007224C3" w14:paraId="0A1FBCE2" w14:textId="77777777">
        <w:tc>
          <w:tcPr>
            <w:tcW w:w="2818" w:type="dxa"/>
          </w:tcPr>
          <w:p w14:paraId="1511F10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1871955</w:t>
            </w:r>
          </w:p>
        </w:tc>
        <w:tc>
          <w:tcPr>
            <w:tcW w:w="2818" w:type="dxa"/>
          </w:tcPr>
          <w:p w14:paraId="6C5990A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июня 1943</w:t>
            </w:r>
          </w:p>
        </w:tc>
        <w:tc>
          <w:tcPr>
            <w:tcW w:w="2818" w:type="dxa"/>
          </w:tcPr>
          <w:p w14:paraId="430E92E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387</w:t>
            </w:r>
          </w:p>
        </w:tc>
        <w:tc>
          <w:tcPr>
            <w:tcW w:w="2818" w:type="dxa"/>
          </w:tcPr>
          <w:p w14:paraId="2127ACD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404</w:t>
            </w:r>
          </w:p>
        </w:tc>
      </w:tr>
      <w:tr w:rsidR="005106D0" w:rsidRPr="007224C3" w14:paraId="7F61BCC8" w14:textId="77777777">
        <w:tc>
          <w:tcPr>
            <w:tcW w:w="2818" w:type="dxa"/>
          </w:tcPr>
          <w:p w14:paraId="7E9DE3B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1876562</w:t>
            </w:r>
          </w:p>
        </w:tc>
        <w:tc>
          <w:tcPr>
            <w:tcW w:w="2818" w:type="dxa"/>
          </w:tcPr>
          <w:p w14:paraId="0A35FDD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июня 1943</w:t>
            </w:r>
          </w:p>
        </w:tc>
        <w:tc>
          <w:tcPr>
            <w:tcW w:w="2818" w:type="dxa"/>
          </w:tcPr>
          <w:p w14:paraId="5457B51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387</w:t>
            </w:r>
          </w:p>
        </w:tc>
        <w:tc>
          <w:tcPr>
            <w:tcW w:w="2818" w:type="dxa"/>
          </w:tcPr>
          <w:p w14:paraId="43CBE01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395</w:t>
            </w:r>
          </w:p>
        </w:tc>
      </w:tr>
    </w:tbl>
    <w:p w14:paraId="6394355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во 2 половине 1943 ввел в серию целый ряд аэродинамических улучшений и улучшил производственное выполнение выпускаемых самолетов.</w:t>
      </w:r>
    </w:p>
    <w:p w14:paraId="47CF785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Контрольные испытания, проведенные заводом в 1 кв. с.г. показали, что в результате всех проведенных мероприятий завод добился повышения скорости серийных самолетов Ил-2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gridCol w:w="2818"/>
      </w:tblGrid>
      <w:tr w:rsidR="005106D0" w:rsidRPr="007224C3" w14:paraId="5C0B8BA6" w14:textId="77777777">
        <w:tc>
          <w:tcPr>
            <w:tcW w:w="2818" w:type="dxa"/>
          </w:tcPr>
          <w:p w14:paraId="7D496A3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NN</w:t>
            </w:r>
          </w:p>
        </w:tc>
        <w:tc>
          <w:tcPr>
            <w:tcW w:w="2818" w:type="dxa"/>
          </w:tcPr>
          <w:p w14:paraId="047D99E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Дата испытаний</w:t>
            </w:r>
          </w:p>
        </w:tc>
        <w:tc>
          <w:tcPr>
            <w:tcW w:w="2818" w:type="dxa"/>
          </w:tcPr>
          <w:p w14:paraId="6186E50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Скорость у земли</w:t>
            </w:r>
          </w:p>
        </w:tc>
        <w:tc>
          <w:tcPr>
            <w:tcW w:w="2818" w:type="dxa"/>
          </w:tcPr>
          <w:p w14:paraId="0F0C0AE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Скорость на границе высотности</w:t>
            </w:r>
          </w:p>
        </w:tc>
      </w:tr>
      <w:tr w:rsidR="005106D0" w:rsidRPr="007224C3" w14:paraId="5D968765" w14:textId="77777777">
        <w:tc>
          <w:tcPr>
            <w:tcW w:w="2818" w:type="dxa"/>
          </w:tcPr>
          <w:p w14:paraId="41F9349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1878286</w:t>
            </w:r>
          </w:p>
        </w:tc>
        <w:tc>
          <w:tcPr>
            <w:tcW w:w="2818" w:type="dxa"/>
          </w:tcPr>
          <w:p w14:paraId="1062BA0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января 1944</w:t>
            </w:r>
          </w:p>
        </w:tc>
        <w:tc>
          <w:tcPr>
            <w:tcW w:w="2818" w:type="dxa"/>
          </w:tcPr>
          <w:p w14:paraId="3686809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396</w:t>
            </w:r>
          </w:p>
        </w:tc>
        <w:tc>
          <w:tcPr>
            <w:tcW w:w="2818" w:type="dxa"/>
          </w:tcPr>
          <w:p w14:paraId="610024F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415</w:t>
            </w:r>
          </w:p>
        </w:tc>
      </w:tr>
      <w:tr w:rsidR="005106D0" w:rsidRPr="007224C3" w14:paraId="60B75A9C" w14:textId="77777777">
        <w:tc>
          <w:tcPr>
            <w:tcW w:w="2818" w:type="dxa"/>
          </w:tcPr>
          <w:p w14:paraId="72D516F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1878790</w:t>
            </w:r>
          </w:p>
        </w:tc>
        <w:tc>
          <w:tcPr>
            <w:tcW w:w="2818" w:type="dxa"/>
          </w:tcPr>
          <w:p w14:paraId="73DEE36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февраля 1944</w:t>
            </w:r>
          </w:p>
        </w:tc>
        <w:tc>
          <w:tcPr>
            <w:tcW w:w="2818" w:type="dxa"/>
          </w:tcPr>
          <w:p w14:paraId="48C8142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398</w:t>
            </w:r>
          </w:p>
        </w:tc>
        <w:tc>
          <w:tcPr>
            <w:tcW w:w="2818" w:type="dxa"/>
          </w:tcPr>
          <w:p w14:paraId="3EB92B1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415</w:t>
            </w:r>
          </w:p>
        </w:tc>
      </w:tr>
      <w:tr w:rsidR="005106D0" w:rsidRPr="007224C3" w14:paraId="53670C52" w14:textId="77777777">
        <w:tc>
          <w:tcPr>
            <w:tcW w:w="2818" w:type="dxa"/>
          </w:tcPr>
          <w:p w14:paraId="751C0E8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1876382</w:t>
            </w:r>
          </w:p>
        </w:tc>
        <w:tc>
          <w:tcPr>
            <w:tcW w:w="2818" w:type="dxa"/>
          </w:tcPr>
          <w:p w14:paraId="5066348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февраля 1944</w:t>
            </w:r>
          </w:p>
        </w:tc>
        <w:tc>
          <w:tcPr>
            <w:tcW w:w="2818" w:type="dxa"/>
          </w:tcPr>
          <w:p w14:paraId="7BFAC11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398.5</w:t>
            </w:r>
          </w:p>
        </w:tc>
        <w:tc>
          <w:tcPr>
            <w:tcW w:w="2818" w:type="dxa"/>
          </w:tcPr>
          <w:p w14:paraId="5DCE6E3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412</w:t>
            </w:r>
          </w:p>
        </w:tc>
      </w:tr>
    </w:tbl>
    <w:p w14:paraId="3350858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Таким образом, скорость серийного самолета Ил-2 завода 18 увеличилась на 11 км/час.</w:t>
      </w:r>
    </w:p>
    <w:p w14:paraId="33202AF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выпускаемых заводом 18 самолетах с конца 1943 осуществлены все основные мероприятия по повышению скоростей, принятые заводом 30.</w:t>
      </w:r>
    </w:p>
    <w:p w14:paraId="741C4CA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30</w:t>
      </w:r>
    </w:p>
    <w:p w14:paraId="7CB541C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Выпуск самолетов с повышенными скоростями заводом 30 начат во 2 половине 1943.</w:t>
      </w:r>
    </w:p>
    <w:p w14:paraId="50A8BE5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Периодически осуществленные контрольные проверки показывают, что завод сохраняет достигнутые повышения скоростей.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3694"/>
      </w:tblGrid>
      <w:tr w:rsidR="005106D0" w:rsidRPr="007224C3" w14:paraId="524745E7" w14:textId="77777777">
        <w:tc>
          <w:tcPr>
            <w:tcW w:w="2254" w:type="dxa"/>
          </w:tcPr>
          <w:p w14:paraId="749BDE9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NN</w:t>
            </w:r>
          </w:p>
        </w:tc>
        <w:tc>
          <w:tcPr>
            <w:tcW w:w="2254" w:type="dxa"/>
          </w:tcPr>
          <w:p w14:paraId="1AB7E4E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Дата испытаний</w:t>
            </w:r>
          </w:p>
        </w:tc>
        <w:tc>
          <w:tcPr>
            <w:tcW w:w="2254" w:type="dxa"/>
          </w:tcPr>
          <w:p w14:paraId="1BD66BC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Скорость у земли</w:t>
            </w:r>
          </w:p>
        </w:tc>
        <w:tc>
          <w:tcPr>
            <w:tcW w:w="3694" w:type="dxa"/>
          </w:tcPr>
          <w:p w14:paraId="0BF1B20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Скорость на границе высотности</w:t>
            </w:r>
          </w:p>
        </w:tc>
      </w:tr>
      <w:tr w:rsidR="005106D0" w:rsidRPr="007224C3" w14:paraId="7F30CEBA" w14:textId="77777777">
        <w:tc>
          <w:tcPr>
            <w:tcW w:w="2254" w:type="dxa"/>
          </w:tcPr>
          <w:p w14:paraId="135191D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302804</w:t>
            </w:r>
          </w:p>
        </w:tc>
        <w:tc>
          <w:tcPr>
            <w:tcW w:w="2254" w:type="dxa"/>
          </w:tcPr>
          <w:p w14:paraId="3B541C8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сентября 1943</w:t>
            </w:r>
          </w:p>
        </w:tc>
        <w:tc>
          <w:tcPr>
            <w:tcW w:w="2254" w:type="dxa"/>
          </w:tcPr>
          <w:p w14:paraId="24D633F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392</w:t>
            </w:r>
          </w:p>
        </w:tc>
        <w:tc>
          <w:tcPr>
            <w:tcW w:w="3694" w:type="dxa"/>
          </w:tcPr>
          <w:p w14:paraId="48945FE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416</w:t>
            </w:r>
          </w:p>
        </w:tc>
      </w:tr>
      <w:tr w:rsidR="005106D0" w:rsidRPr="007224C3" w14:paraId="20274122" w14:textId="77777777">
        <w:tc>
          <w:tcPr>
            <w:tcW w:w="2254" w:type="dxa"/>
          </w:tcPr>
          <w:p w14:paraId="0E77A84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303125</w:t>
            </w:r>
          </w:p>
        </w:tc>
        <w:tc>
          <w:tcPr>
            <w:tcW w:w="2254" w:type="dxa"/>
          </w:tcPr>
          <w:p w14:paraId="1F7FD5F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октября 1943</w:t>
            </w:r>
          </w:p>
        </w:tc>
        <w:tc>
          <w:tcPr>
            <w:tcW w:w="2254" w:type="dxa"/>
          </w:tcPr>
          <w:p w14:paraId="063FDEE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402</w:t>
            </w:r>
          </w:p>
        </w:tc>
        <w:tc>
          <w:tcPr>
            <w:tcW w:w="3694" w:type="dxa"/>
          </w:tcPr>
          <w:p w14:paraId="5B567DD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6E52C694" w14:textId="77777777">
        <w:tc>
          <w:tcPr>
            <w:tcW w:w="2254" w:type="dxa"/>
          </w:tcPr>
          <w:p w14:paraId="1CFA718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304054</w:t>
            </w:r>
          </w:p>
        </w:tc>
        <w:tc>
          <w:tcPr>
            <w:tcW w:w="2254" w:type="dxa"/>
          </w:tcPr>
          <w:p w14:paraId="4EE1CFA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февраль 1944</w:t>
            </w:r>
          </w:p>
        </w:tc>
        <w:tc>
          <w:tcPr>
            <w:tcW w:w="2254" w:type="dxa"/>
          </w:tcPr>
          <w:p w14:paraId="47E95AA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397.5</w:t>
            </w:r>
          </w:p>
        </w:tc>
        <w:tc>
          <w:tcPr>
            <w:tcW w:w="3694" w:type="dxa"/>
          </w:tcPr>
          <w:p w14:paraId="5E473F4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419</w:t>
            </w:r>
          </w:p>
        </w:tc>
      </w:tr>
      <w:tr w:rsidR="005106D0" w:rsidRPr="007224C3" w14:paraId="0B3515A4" w14:textId="77777777">
        <w:tc>
          <w:tcPr>
            <w:tcW w:w="2254" w:type="dxa"/>
          </w:tcPr>
          <w:p w14:paraId="7899026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304201</w:t>
            </w:r>
          </w:p>
        </w:tc>
        <w:tc>
          <w:tcPr>
            <w:tcW w:w="2254" w:type="dxa"/>
          </w:tcPr>
          <w:p w14:paraId="20FE970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март 1944</w:t>
            </w:r>
          </w:p>
        </w:tc>
        <w:tc>
          <w:tcPr>
            <w:tcW w:w="2254" w:type="dxa"/>
          </w:tcPr>
          <w:p w14:paraId="61F44DB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404</w:t>
            </w:r>
          </w:p>
        </w:tc>
        <w:tc>
          <w:tcPr>
            <w:tcW w:w="3694" w:type="dxa"/>
          </w:tcPr>
          <w:p w14:paraId="745565F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417</w:t>
            </w:r>
          </w:p>
        </w:tc>
      </w:tr>
    </w:tbl>
    <w:p w14:paraId="0E8BD98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1</w:t>
      </w:r>
    </w:p>
    <w:p w14:paraId="26248BD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данным отчета летных испытаний серийного самолета, проведенных во 2 половине марта, получены следующие значения макс. скоростей: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gridCol w:w="2818"/>
      </w:tblGrid>
      <w:tr w:rsidR="005106D0" w:rsidRPr="007224C3" w14:paraId="359473A6" w14:textId="77777777">
        <w:tc>
          <w:tcPr>
            <w:tcW w:w="2818" w:type="dxa"/>
          </w:tcPr>
          <w:p w14:paraId="6315D71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NN</w:t>
            </w:r>
          </w:p>
        </w:tc>
        <w:tc>
          <w:tcPr>
            <w:tcW w:w="2818" w:type="dxa"/>
          </w:tcPr>
          <w:p w14:paraId="57E8EC8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Дата испытаний</w:t>
            </w:r>
          </w:p>
        </w:tc>
        <w:tc>
          <w:tcPr>
            <w:tcW w:w="2818" w:type="dxa"/>
          </w:tcPr>
          <w:p w14:paraId="1DC72E8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Скорость у земли</w:t>
            </w:r>
          </w:p>
        </w:tc>
        <w:tc>
          <w:tcPr>
            <w:tcW w:w="2818" w:type="dxa"/>
          </w:tcPr>
          <w:p w14:paraId="7D515E1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Скорость на границе высотности</w:t>
            </w:r>
          </w:p>
        </w:tc>
      </w:tr>
      <w:tr w:rsidR="005106D0" w:rsidRPr="007224C3" w14:paraId="51E03F31" w14:textId="77777777">
        <w:tc>
          <w:tcPr>
            <w:tcW w:w="2818" w:type="dxa"/>
          </w:tcPr>
          <w:p w14:paraId="1B257D8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10571</w:t>
            </w:r>
          </w:p>
        </w:tc>
        <w:tc>
          <w:tcPr>
            <w:tcW w:w="2818" w:type="dxa"/>
          </w:tcPr>
          <w:p w14:paraId="084E405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марта 1943</w:t>
            </w:r>
          </w:p>
        </w:tc>
        <w:tc>
          <w:tcPr>
            <w:tcW w:w="2818" w:type="dxa"/>
          </w:tcPr>
          <w:p w14:paraId="3D06692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398</w:t>
            </w:r>
          </w:p>
        </w:tc>
        <w:tc>
          <w:tcPr>
            <w:tcW w:w="2818" w:type="dxa"/>
          </w:tcPr>
          <w:p w14:paraId="39FD9F9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413 (1823,28)</w:t>
            </w:r>
          </w:p>
        </w:tc>
      </w:tr>
    </w:tbl>
    <w:p w14:paraId="22E524C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BFAD7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и 8 апреля 1944 Летчик-испытатель завода № 22 капитан А. Г. Васильченко совершил на Пе-2И еще два полета. Моторы работали удовлетворительно, температурные режимы винтомоторной группы оказались в норме. Васильченко определил важнейшие характеристики самолета - устойчивость по всем трем осям, управляемость и взлетно-посадочные качества. По этим показателям новая машина не уступала Пе-2, а по простоте пилотирования Пе-2И оказался в заметном выигрыше. В частности, путевая устойчивость была заметно лучше (что отмечалось еще на Пе-2Ф и являлось следствием, по-видимому, среднеплан-ной схемы машины). Неприятной неожиданностью стало то, что разбег и пробег реально оказались в полтора раза больше расчетных. Перед снятием высотно-скоростных характеристик и замером скороподъемности самолет вновь завели в опытный цех для устранения мелких дефектов и окраски (4476).</w:t>
      </w:r>
    </w:p>
    <w:p w14:paraId="136DC42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0A1E6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и 8 апреля 1944 летчик-испытатель завода № 22 капитан А. Г. Васильченко впервые поднявший машину Пе-2И в небо 6 апреля, совершил на ней еще два полета. Моторы работали удовлетворительно, температурные режимы винтомоторной группы оказались в норме. Васильченко определил важнейшие характеристики самолета: устойчивость по всем трем осям, управляемость и взлетно-поса- дочные качества. По этим показателям новая машина не уступала Пе-2, а по простоте пилотирования Пе-2И оказался в заметном выигрыше. В частности, путевая устойчивость была заметно лучше (что отмечалось еще на Пе-2Ф и являлось следствием, по- видимому, среднепланной схемы машины). Неприятной неожиданностью стало то, что разбег и пробег оказались в полтора раза больше расчетных.</w:t>
      </w:r>
    </w:p>
    <w:p w14:paraId="203D04E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опытном цехе заканчивали сборку второго опытного Пе-2И. В ходе статиспыта- ний выявилась недостаточная прочность крыла самолета, поэтому на "дублере" усилили полки лонжеронов. Установили пулемет под сиденьем пилота (обещанную пушку так и не успели офаботать), добавили брони, устранили выявленные макетной комиссией недостатки. Масса самолета несколько возросла. Опытно-конструкторский отдел прорабатывал две дальнейшие модификации машины: с двигателями М-1 и с шасси с носовой опорой. Эти проекты, впрочем, так и остались на бумаге.</w:t>
      </w:r>
    </w:p>
    <w:p w14:paraId="5FF2B1D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После замены двигателя капитан Васильченко приступил к определению максимальной скорости полета. Обычно самолет чуть- чуть (или более того) "не дотягивает" до расчетного значения. При испытаниях Пе-2И произошел редкий случай - полученная на второй границе высотности скорость 654 км/ч на 14 км/ч превышала расчетную величину. С такой скоростью, по имевшимся в то время в ОКО-22 данным, не летал ни один известный двухмоторный бомбардировщик! (Заметим, что некоторые варианты "Москито", в частности, бомбардировочные В.IX и В.XIV, еще в 1943 г. развивали максимальную скорость порядка 680 км/ч, но на существенно большей высоте.)</w:t>
      </w:r>
    </w:p>
    <w:p w14:paraId="7C9E6D3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Незамедлительно поступил доклад "наверх". Испытаниями самолета Пе-2И заинтересовалось руководство ВВС, НКАП и авиационного отдела ЦК ВКП(б). О машине доложили И.В. Сталину. Поступило распоряжение немедленно передать Пе-2И на государственные испытания в НИИ ВВС. У Мясишева исчезли проблемы с "добыванием" дефицитных моторов BK-I07A, но появились новые - как сделать, чтобы "сыроватые" двигатели не "похоронили" машину. Наступила череда мучительных доводок.</w:t>
      </w:r>
    </w:p>
    <w:p w14:paraId="64D0891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Испытания в НИИ ВВС проводила бригада в составе: ведущий инженер - инженер-майор Г.В. Грибакин, летчик - майор A.M. Хрипков, штурман - ст. лейтенант Ромашко. В ходе первого этапа испытаний, проводившихся в мае-июле, пришлось четыре раза менять моторы, у которых то происходила раскрутка винтов, то прорывало газы через верхнее уплотнение блока цилиндров, то начиналось выбрасывание масла из суфлеров. Двигатели BK-I07A не сдавались и упорно расшатывали нервы испытателям и конструкторам самолета. И все же, полученные в результате нечастых удачных полетов данные оказались весьма высокими: максимальная скорость полета у земли - 556 км/ч, на первой границе высотности - 617 км/ч и на второй границе - 656 км/ч, а время набора высоты 5000 м лишь ненамного отличалось от расчетного - 7 мин. По комплексу летно-техниче- ских характеристик Пе-2И уверенно вышел на первое место в своем классе. Перетяже- ление опытного самолета на 500 кг планировалось уменьшить в серии до 100-150 кг, смонтировать новые законцовки крыла, увеличивавшие его размах до 17,8 м, а площадь до 43,5 м.</w:t>
      </w:r>
    </w:p>
    <w:p w14:paraId="2F28BE9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отличие от обычных серийных Пе-2 новая машина прилично вела себя на посадке, не теряла быстро скорость после выравнивания. Благодаря новому профилю сваливание на крыло не наблюдалось, после касания земли самолет не имел тенденции к развороту. Летчик Хрипков в своем заключении указывал: "По технике пилотирования самолет Пе-2И доступен летчикам средней квалификации. В целом по своим летно-техничес- ким свойствам самолет Пе-2И имеет большое преимущество перед находящимся в настоящее время на вооружении ВВС КА самолетом Пе-2".</w:t>
      </w:r>
    </w:p>
    <w:p w14:paraId="4924119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Проведенные учебные воздушные бои с трофейным истребителем Bf 109G 4 убедительно продемонстрировали, что в горизонтальном полете на высоте до 7000 м "немец" не смог ни разу атаковать Пе-2И, уступая ему в скорости. В районе цели, когда "пешка" выполняла второй заход, "мессер" лишь однажды смог поймать ее в прицел, причем почти строго с хвоста, рискуя напороться на огонь ДЭУ. В целом, новый советский бомбардировщик проявил несомненные "москитные" способности по уклонению от боя с неприятельскими истребителями, что должно было способствовать сокращению потерь бомбардировщиков на фронте (12042).</w:t>
      </w:r>
    </w:p>
    <w:p w14:paraId="07C31E2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36796C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апреля 1944 года начальник НИИ ВВС генерал-лейтенант инженерной службы Лосюков и начальник 3-го отдела НИИ ВВС инженер-полковник Сафронов писали письмо N 3/0515 гл. инженеру ВВС генерал-полковнику Репину А.К., Шахурину, управление кадров ЦК ВКП(б) генерал лейтенанту авиации Шиманову Н.С.</w:t>
      </w:r>
    </w:p>
    <w:p w14:paraId="1810326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Докладываю, что на самолете Як-3 с мотором ВК-107А 6-го апреля 1944 года, во время пробного полета для проверки работы ВМГ, вышел из строя мотор ВК-107А N 347-76.</w:t>
      </w:r>
    </w:p>
    <w:p w14:paraId="40695DC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Мотор имел 100-часовой ресурс и наработал с начала эксплуатации 2 час. 00 мин., из них в воздухе 0 час. 40 мин.</w:t>
      </w:r>
    </w:p>
    <w:p w14:paraId="25403B8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Испытания прерваны. Мотор требует замены (1821).</w:t>
      </w:r>
    </w:p>
    <w:p w14:paraId="2C39149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D6ED0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апреля 1944 вышел приказ НКАП N 242с "О бомбардировочном варианте самолета Як-9"</w:t>
      </w:r>
    </w:p>
    <w:p w14:paraId="6450AE3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"ГКО в своем постановлении N 5403 от 15 марта 1944 принял предложение НКАП о постройке самолета Як-9 с бомбовым вооружением в следующих вариантах бомбовой загрузки и макс. дальности при наивыгоднейшей скорости полета: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5106D0" w:rsidRPr="007224C3" w14:paraId="6F7EB191" w14:textId="77777777">
        <w:tc>
          <w:tcPr>
            <w:tcW w:w="5636" w:type="dxa"/>
          </w:tcPr>
          <w:p w14:paraId="0637568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4х100</w:t>
            </w:r>
          </w:p>
        </w:tc>
        <w:tc>
          <w:tcPr>
            <w:tcW w:w="5636" w:type="dxa"/>
          </w:tcPr>
          <w:p w14:paraId="14006DB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800 км</w:t>
            </w:r>
          </w:p>
        </w:tc>
      </w:tr>
      <w:tr w:rsidR="005106D0" w:rsidRPr="007224C3" w14:paraId="6927C129" w14:textId="77777777">
        <w:tc>
          <w:tcPr>
            <w:tcW w:w="5636" w:type="dxa"/>
          </w:tcPr>
          <w:p w14:paraId="6A6EF39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2х100</w:t>
            </w:r>
          </w:p>
        </w:tc>
        <w:tc>
          <w:tcPr>
            <w:tcW w:w="5636" w:type="dxa"/>
          </w:tcPr>
          <w:p w14:paraId="3D83177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1300 км</w:t>
            </w:r>
          </w:p>
        </w:tc>
      </w:tr>
      <w:tr w:rsidR="005106D0" w:rsidRPr="007224C3" w14:paraId="479CA8A9" w14:textId="77777777">
        <w:tc>
          <w:tcPr>
            <w:tcW w:w="5636" w:type="dxa"/>
          </w:tcPr>
          <w:p w14:paraId="352A440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130 ПТАБ 1.5-2.5</w:t>
            </w:r>
          </w:p>
        </w:tc>
        <w:tc>
          <w:tcPr>
            <w:tcW w:w="5636" w:type="dxa"/>
          </w:tcPr>
          <w:p w14:paraId="3181476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1000 км</w:t>
            </w:r>
          </w:p>
        </w:tc>
      </w:tr>
    </w:tbl>
    <w:p w14:paraId="5FFF335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наркома А.С.Я. предъявить Як-9 в бомбардировочном варианте на гос. испытания к 20 марта 1944 (1625,25).</w:t>
      </w:r>
    </w:p>
    <w:p w14:paraId="5C6233B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664DB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апреля 1944 года Яковлев писал письмо Шахурину.</w:t>
      </w:r>
    </w:p>
    <w:p w14:paraId="75C050B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Дело создания высотных истребителей обстоит исключительно плохо.</w:t>
      </w:r>
    </w:p>
    <w:p w14:paraId="6DE4E07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 самолеты этого типа, строящиеся конструкторами Яковлевым, Лавочкиным и Микояном, находятся в состоянии застоя и при существующем положении не будут готовы к лету даже в опытных экземплярах.</w:t>
      </w:r>
    </w:p>
    <w:p w14:paraId="0083C50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основной причиной такого недопустимого положения с решением важнейшей оборонной проблемы является полное бездействие опытно-моторного Главка, конструкторов-мотористов и ЦИАМ.</w:t>
      </w:r>
    </w:p>
    <w:p w14:paraId="5A2AF70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Проблема должна была решаться двумя путями:</w:t>
      </w:r>
    </w:p>
    <w:p w14:paraId="3D54DFE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Создание моторов с современными нагнетателями и</w:t>
      </w:r>
    </w:p>
    <w:p w14:paraId="7C1E83F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Отработка мощных моторов с турбокомпрессорами.</w:t>
      </w:r>
    </w:p>
    <w:p w14:paraId="39B9C63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Ни по одному из этих путей работа не идет нормально.</w:t>
      </w:r>
    </w:p>
    <w:p w14:paraId="26F709D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созданию нагнетателей, вместо немедленной энергичной доводки мотора 105ПД, уже имеющего высотность 9500 м с единственным имеющимся двухступенчатым нагнетателем, к лету этого года, 8 Главк встал на путь создания для сравнительно далекого будущего нового двухступенчатого, двухскоростного нагнетателя к мотору ВК-107А, забросив вовсе работу по мотору 105.</w:t>
      </w:r>
    </w:p>
    <w:p w14:paraId="6E409A3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Нами выяснено у авторитетных работников ЦИАМ Дмитриевского и Хохлова, что высотность мотора 105ПД может быть значительно поднята дополнительно, по крайней мере, до 10500 м сравнительно простыми мероприятиями, но по непонятным причинам это не делается и работа по М-105ПД в ЦИАМ прекращена.</w:t>
      </w:r>
    </w:p>
    <w:p w14:paraId="3F68795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турбокомпрессорам планомерной и настойчивой работы также не ведется.</w:t>
      </w:r>
    </w:p>
    <w:p w14:paraId="2604886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результате:</w:t>
      </w:r>
    </w:p>
    <w:p w14:paraId="16F0AF6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Яковлева с мотором 105ПД стоит в ожидании доработки моторной группы по увеличению ее высотности;</w:t>
      </w:r>
    </w:p>
    <w:p w14:paraId="2A86DFA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самолет Лавочкина не может достичь заданной высоты из-за перегрева мотора на высотах. Рекомендованный ЦИАМ в прошлом году выпуск воды работает неудовлетворительно, но ЦИАМ"ом не доводится;</w:t>
      </w:r>
    </w:p>
    <w:p w14:paraId="133F21E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Микояна с мотором Ам-39 с ТК ожидает мотора, все сроки подачи которого по постановлению ГОКО давно истекли.</w:t>
      </w:r>
    </w:p>
    <w:p w14:paraId="7805382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Таким образом вследствие непонятной бездеятельности мотористов мы оказываемся безоружными перед лицом высотных самолетов врага.</w:t>
      </w:r>
    </w:p>
    <w:p w14:paraId="7B48B6D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Необходимо:</w:t>
      </w:r>
    </w:p>
    <w:p w14:paraId="2F9C363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Войти в Правительство с прилагаемым проектом постановления, в котором намечены экстраординарные мероприятия по поощрению отработки высотных самолетов.</w:t>
      </w:r>
    </w:p>
    <w:p w14:paraId="16D7E40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Наложить строгие взыскания на виновников задержки:</w:t>
      </w:r>
    </w:p>
    <w:p w14:paraId="7353751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отработки и развития мотора 105ПД;</w:t>
      </w:r>
    </w:p>
    <w:p w14:paraId="63BF2AE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мотора Ам-39 с ТК;</w:t>
      </w:r>
    </w:p>
    <w:p w14:paraId="37DDA10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отработки впрыска воды и системы ТК к мотору АШ-82ФН;</w:t>
      </w:r>
    </w:p>
    <w:p w14:paraId="4C7783D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серийного выпуска ТК.</w:t>
      </w:r>
    </w:p>
    <w:p w14:paraId="2009204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Обязать 8 Главк и ЦИАМ бросить все силы на доводку моторных групп высотных истребителей Яковлева, Лавочкина и Микояна.</w:t>
      </w:r>
    </w:p>
    <w:p w14:paraId="1928097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Немедленно начать выпуск небольшой серии моторов М-105ПД (1825,219).</w:t>
      </w:r>
    </w:p>
    <w:p w14:paraId="3000645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15267C"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3872193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C3E5FB3"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апреля 1944 вышло Распоряжение ГКО № 5559 [О мерах по восстановлению при Физико-техническом институте Украинской АН высоковольтной установки.] (7206, 1-2,3).</w:t>
      </w:r>
    </w:p>
    <w:p w14:paraId="4FEA0E26"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12DA38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апреля 1944 вышло Распоряжение ГКО № 5560. О выделении 3 тыс. нестроевых призывников из УССР на погрузку угля в Донбассе. РГАНИР, Фонд ГКО, д. 226, лл. 4 (11012).</w:t>
      </w:r>
    </w:p>
    <w:p w14:paraId="2EE6E56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AFA9FB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апреля 1944 вышло Постановление ГКО № 5561 О плане выработки и распределения электроэнергии на II квартал 1944 г. РГАНИР, Фонд ГКО, д. 226, лл. 5-7,8-64 (11012).</w:t>
      </w:r>
    </w:p>
    <w:p w14:paraId="2BCD20E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773B1B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апреля 1944 постановлением ГКО на вооружение приняли 100 мм полевую пушку обр. 1944 БС-3 - "Зверобой (3398,174).</w:t>
      </w:r>
    </w:p>
    <w:p w14:paraId="2C752F4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6BA4C1" w14:textId="77777777" w:rsidR="0094033C" w:rsidRPr="007224C3" w:rsidRDefault="0094033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7 апреля 1944 г. Е.А. Кульчицким было подписано очередное заключение по испытаниям, проведенным под его руководством – заключение по испытанию опытного образца 100-мм танковой пушки Д-10-Т конструкции завода № 9 НКВ, установленной в тяжелом танке ИС (21209).</w:t>
      </w:r>
    </w:p>
    <w:p w14:paraId="5C9C3E6A" w14:textId="77777777" w:rsidR="0094033C" w:rsidRPr="007224C3" w:rsidRDefault="0094033C" w:rsidP="007224C3">
      <w:pPr>
        <w:spacing w:after="0" w:line="240" w:lineRule="auto"/>
        <w:jc w:val="both"/>
        <w:rPr>
          <w:rFonts w:ascii="Times New Roman" w:hAnsi="Times New Roman"/>
          <w:color w:val="0070C0"/>
          <w:sz w:val="16"/>
          <w:szCs w:val="16"/>
        </w:rPr>
      </w:pPr>
    </w:p>
    <w:p w14:paraId="7B78C9A1" w14:textId="77777777" w:rsidR="0094033C" w:rsidRPr="007224C3" w:rsidRDefault="0094033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7 апреля 1944 - Первое боевое применение бортовой РЛС "Гнейс-2М" разработки НИИ-20 (ВНИИРТ). Впервые в морской авиации обнаружен с помощью РЛС и потоплен немецкий транспорт. Самолет А-20G "Бостон", экипаж И.И.Борзова (22543).</w:t>
      </w:r>
    </w:p>
    <w:p w14:paraId="63DC1C2C" w14:textId="77777777" w:rsidR="0094033C" w:rsidRPr="007224C3" w:rsidRDefault="0094033C" w:rsidP="007224C3">
      <w:pPr>
        <w:spacing w:after="0" w:line="240" w:lineRule="auto"/>
        <w:jc w:val="both"/>
        <w:rPr>
          <w:rFonts w:ascii="Times New Roman" w:hAnsi="Times New Roman"/>
          <w:color w:val="0070C0"/>
          <w:sz w:val="16"/>
          <w:szCs w:val="16"/>
        </w:rPr>
      </w:pPr>
    </w:p>
    <w:p w14:paraId="26A40F1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апреля 1941 г. вышло постановление ЦК ВКП(б) и СНК, на основании которого в конце 1944 г. совместными усилиями ВАММ им. Сталина, заводов № 627, "Динамо", "Электросила" и ЧКЗ был изготовлен Танк ЭКВ (10703).</w:t>
      </w:r>
    </w:p>
    <w:p w14:paraId="7EE48E3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30ED8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7224C3">
        <w:rPr>
          <w:rFonts w:ascii="Times New Roman" w:hAnsi="Times New Roman"/>
          <w:color w:val="000000" w:themeColor="text1"/>
          <w:sz w:val="16"/>
          <w:szCs w:val="16"/>
        </w:rPr>
        <w:t>7 апреля 1944 г. по приказу НКЭП организован Электроремонтный завод № 10 в ведении Всесоюзного треста «Энергоремтрест». С 1946 г. - в ведении МЭП, с 1957 г. - Управления электротехнической промышленности ЛенСНХ. Пост. ЛенСНХ от 14.05.1959 г. переименован в Ленинградский государственный опытный электротехнический завод, в 1961 г. передан в ПО Госпрофобра СССР (11982).</w:t>
      </w:r>
    </w:p>
    <w:p w14:paraId="6D14751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4DD87B1"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01AB66F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7991CFE" w14:textId="77777777" w:rsidR="0053744E" w:rsidRPr="007224C3" w:rsidRDefault="0053744E"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7 апреля</w:t>
      </w:r>
      <w:r w:rsidRPr="007224C3">
        <w:rPr>
          <w:rFonts w:ascii="Times New Roman" w:hAnsi="Times New Roman"/>
          <w:color w:val="000000" w:themeColor="text1"/>
          <w:sz w:val="16"/>
          <w:szCs w:val="16"/>
        </w:rPr>
        <w:t xml:space="preserve"> в 1944 году оперативная сводка Совинформбюро:.</w:t>
      </w:r>
    </w:p>
    <w:p w14:paraId="37FA1644" w14:textId="77777777" w:rsidR="0053744E" w:rsidRPr="007224C3" w:rsidRDefault="0053744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7 апреля наши войска к западу от Скала вели бои по уничтожению окружённой группировки противника и отбивали её попытки пробиться из окружения в западном направлении. В боях за 6 апреля в этом районе нашими войсками уничтожено более 4.000 немецких солдат и офицеров и захвачены следующие трофеи: транспортных самолётов «Ю-52» — 5, орудий разного калибра — 17, танков —7, автомашин — 1.400. Юго-западнее города Тарнополь наши войска отбивали атаки крупных сил пехоты и танков противника, стремившихся пробиться на помощь к окружённой группировке.</w:t>
      </w:r>
    </w:p>
    <w:p w14:paraId="1034FEF4" w14:textId="77777777" w:rsidR="0053744E" w:rsidRPr="007224C3" w:rsidRDefault="0053744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Кишинёвском направлении наши войска после двухдневных упорных боёв овладели уездным центром Молдавской ССР городом Оргеев — важным опорным пунктомобороны немцев на подступах к Кишинёву.</w:t>
      </w:r>
    </w:p>
    <w:p w14:paraId="5C259EB8" w14:textId="77777777" w:rsidR="0053744E" w:rsidRPr="007224C3" w:rsidRDefault="0053744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Одесском направлении наши войска овладели районным центром Одесской области Беляевка, а также с боями заняли более 60 других населённых пунктов и среди них крупные населённые пункты Капоклеевка, Будёновка, Ермеевка, Мангейм, Карсталь (28 километров северо-западнее Одесса), Маяки, Мариновка, Новая Зметовка, Кубанка, Старая Дофиновка, Новая Дофиновка (16 километров северо-восточнее Одесса), Чабанка, Григорьевка и железнодорожные станции Кошково, Кремидовка. Значительная группа немецких войск, состоящая из остатков 5-6 дивизий, окружена нашими войсками к северу от Раздельная и уничтожается. За 6 и 7 апреля в этом районе немцы оставили на поле боя более 5.000 трупов. Взято в плен более 1.000 немецких солдат и офицеров. Захвачено 64 орудия и 24 танка. На станции Весёлый Кут нашими войсками захвачено 1.100 вагонов с различнымимуществом, из них 74 вагона со снарядами, 31 вагон с авиабомбами, 81 вагон с продфуражом, 50 вагонов с заводским оборудованием, которое немцы вывозили из Одессы в Германию. По предварительным данным, при овладении городом и железнодорожным узлом Раздельная нашими войсками захвачены следующие трофеи: орудий — 44, из них 12 тяжёлых, паровозов — 17, вагонов с военным имуществом —500, складов — 3, железнодорожных эшелонов — 6, из них один эшелон с орудиями и танками и два эшелона с ранеными немецкими солдатами и офицерами.</w:t>
      </w:r>
    </w:p>
    <w:p w14:paraId="2A46EF02" w14:textId="77777777" w:rsidR="0053744E" w:rsidRPr="007224C3" w:rsidRDefault="0053744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в ряде пунктов шли бои местного значения.</w:t>
      </w:r>
    </w:p>
    <w:p w14:paraId="7E4BE45B" w14:textId="77777777" w:rsidR="0053744E" w:rsidRPr="007224C3" w:rsidRDefault="0053744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6 апреля наши войска на всех фронтах подбили и уничтожили 40 немецких танков. В воздушных боях и огнём зенитной артиллерии сбито 45 самолётов противника.</w:t>
      </w:r>
    </w:p>
    <w:p w14:paraId="408485F2" w14:textId="77777777" w:rsidR="0053744E" w:rsidRPr="007224C3" w:rsidRDefault="0053744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западу от города Скала наши войска продолжали вести бои по уничтожению окруженной группировки противника. Части Н-ского соединения, сжимая кольцо окружения, выбили немцев из нескольких населённых пунктов. На другом участке, юго-западнее города Мельница-Подольская, советские части отрезали труппу немцев от основных сил и уничтожили её. Захвачены трофеи, в числе которых многоавтомашин с различными военными грузами.</w:t>
      </w:r>
    </w:p>
    <w:p w14:paraId="37137DBD" w14:textId="77777777" w:rsidR="0053744E" w:rsidRPr="007224C3" w:rsidRDefault="0053744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Окружённые войска противника пытаются любой ценой вырваться из «котла». Крупные силы немецкой пехоты и танков неоднократно переходили в атаки в западном направлении, но каждый раз отбрасывались назад, неся тяжёлые потери. Советские артиллеристы и танкисты в этих боях сожгли и подбили 19 танков, 3 бронемашины и свыше 200 автомашин с немецкой пехотой.</w:t>
      </w:r>
    </w:p>
    <w:p w14:paraId="01CB99ED" w14:textId="77777777" w:rsidR="0053744E" w:rsidRPr="007224C3" w:rsidRDefault="0053744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города Тарнополь танки и пехота противника с утра возобновили атаки, стремясь пробиться на помощь к своей группировке, попавшей в окружение. В течение всего дня продолжались ожесточённые бои, в ходе которых отдельные населённые пункты неоднократно переходили из рук в руки. Немцы несут огромные потери в живой силе и технике. Только одно наше соединение за день уничтожило 13 танков, 6 самоходных орудий, 4 бронемашины и до полка пехоты противника.</w:t>
      </w:r>
    </w:p>
    <w:p w14:paraId="7ADCB98A" w14:textId="77777777" w:rsidR="0053744E" w:rsidRPr="007224C3" w:rsidRDefault="0053744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Кишинёвском направлении наши войска продолжали наступление. Упорные бои происходили в районе города Оргеев, расположенного на северном берегу реки Реут. На подступах к Оргееву немцы построили оборонительные сооружения и превратили его в сильно укреплённый пункт своей обороны. В течение двух дней советские части выбивали гитлеровцев из укреплений и настойчиво шаг за шагом приближались к городу. К исходу второго дня наши войска после ожесточённых боёв овладели уездным центром Молдавской ССР городом Оргеев. На плечах отступающих в панике немцев наши гвардейцы форсировали реку Реут и захватили плацдарм на её южном берегу. В боях за Оргеев противник понёс большие потери в живой силе и технике.</w:t>
      </w:r>
    </w:p>
    <w:p w14:paraId="00C6D5EE" w14:textId="77777777" w:rsidR="0053744E" w:rsidRPr="007224C3" w:rsidRDefault="0053744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Одесском направлении наши подвижные соединения и пехота, с боями продвигаясь вперёд, овладели районным центром Одесской области Беляевка, а также населённым пунктом Маяки, находящимся в 30 километрах западнее города Одессы. Подразделения Н-ской части, совершив обходный манёвр, прижали противника к реке Малый Куяльник и в ожесточённом бою истребили до батальона гитлеровцев. 300 немецких солдат и офицеров прекратили сопротивление, сложили оружие и сдались в плен. Развивая успех, советские бойцы продвинулись на юг между Куяльницким и Хаджибейским лиманами и заняли ряд населённых пунктов. В районе к северу от Раздельной окружены остатки пяти — шести дивизий противника. Немцы предприняли отчаянную попытку прорваться на северо-запад. Вначале им удалось несколько продвинуться вперёд и выйти в район севернее города Раздельной. Советские войска стремительным манёвром преградили противнику пути отхода и ведут бои на егоуничтожение. В течение двух дней в этом районе убито более 5.000 немецких солдат и офицеров. Захвачено много трофеев и пленных.</w:t>
      </w:r>
    </w:p>
    <w:p w14:paraId="6709BA24" w14:textId="77777777" w:rsidR="0053744E" w:rsidRPr="007224C3" w:rsidRDefault="0053744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Авиация Краснознамённого Балтийского флота сегодня обнаружила в Балтийском море конвой противника в составе транспорта и трёх кораблей охранения. Врезультате атаки самолётом-торпедоносцем потоплен транспорт противника водоизмещением в 12.000 тонн.</w:t>
      </w:r>
    </w:p>
    <w:p w14:paraId="7B36D722" w14:textId="77777777" w:rsidR="0053744E" w:rsidRPr="007224C3" w:rsidRDefault="0053744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В Финском заливе потоплен тральщик противника водоизмещением в 500 тонн.</w:t>
      </w:r>
    </w:p>
    <w:p w14:paraId="01E839C7" w14:textId="77777777" w:rsidR="0053744E" w:rsidRPr="007224C3" w:rsidRDefault="0053744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Партизанский отряд, действующий в Волынской области, в конце марта атаковал вражеский опорный пункт. В результате боя гарнизон противника был разгромлен. Партизаны истребили 75 венгерских солдат и офицеров. Взято в плен 67 венгров. Захвачено 8 пулемётов, 125 винтовок, 2 радиостанции и много патронов. Группа партизан этого отряда пустила под откос бронепоезд и два воинских эшелона противника. Разведчики другого партизанского отряда пулемётным огнём подбили немецкий самолёт «Фокке-Вульф-189». Самолёт сделал вынужденную посадку. Два лётчика взяты в плен. Немецкий самолёт сожжён.</w:t>
      </w:r>
    </w:p>
    <w:p w14:paraId="44FD35AC" w14:textId="77777777" w:rsidR="0053744E" w:rsidRPr="007224C3" w:rsidRDefault="0053744E" w:rsidP="007224C3">
      <w:pPr>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rPr>
        <w:t xml:space="preserve">Спасаясь от гитлеровских извергов, многие жители посёлка Восход, деревень Коротковичи, Бродки, Красновка, Дуброва, Антоновка и других укрывались в деревне Ола, Полесской области, и в лесу, находящемся вблизи этой деревни. Немецко-фашистские захватчики 14 января оцепили деревню Ола и учинили дикую расправу над мирными советскими гражданами. Озверевшие гитлеровцы загнали стариков, женщин и детей в дома и сараи, заперли их там, а затем сожгли живьём. Фашистские изверги бросали в горящие дома гранаты, стреляли из автоматов и следили, чтобы никто не мог убежать. В одном сарае, на северо-западной окраине деревни, немцы заживо сожгли до 70 человек. В огне погибли Александра Зыкун — 95 лет, Яков Курулович — 85 лет, Степан Зыкун — 81 года, грудные дети — Александр Устименко — двух месяцев, Феня Зыкун — трёх месяцев и многие другие. По рассказам оставшихся в живых жителей деревни, немцы в течение этого дня расстреляли и сожгли свыше тысячи мужчин, женщин и детей.» </w:t>
      </w:r>
      <w:r w:rsidRPr="007224C3">
        <w:rPr>
          <w:rFonts w:ascii="Times New Roman" w:hAnsi="Times New Roman"/>
          <w:color w:val="000000" w:themeColor="text1"/>
          <w:sz w:val="16"/>
          <w:szCs w:val="16"/>
          <w:lang w:val="en-US"/>
        </w:rPr>
        <w:t>(15092).</w:t>
      </w:r>
    </w:p>
    <w:p w14:paraId="4100F209" w14:textId="77777777" w:rsidR="0053744E" w:rsidRPr="007224C3" w:rsidRDefault="0053744E" w:rsidP="007224C3">
      <w:pPr>
        <w:spacing w:after="0" w:line="240" w:lineRule="auto"/>
        <w:jc w:val="both"/>
        <w:rPr>
          <w:rFonts w:ascii="Times New Roman" w:hAnsi="Times New Roman"/>
          <w:color w:val="000000" w:themeColor="text1"/>
          <w:sz w:val="16"/>
          <w:szCs w:val="16"/>
          <w:lang w:val="en-US"/>
        </w:rPr>
      </w:pPr>
    </w:p>
    <w:p w14:paraId="5C5218F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April 7th, 1944: In the East, the Red Army breaks through the German lines at Kerch in the eastern Crimea (3819).</w:t>
      </w:r>
    </w:p>
    <w:p w14:paraId="549573F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48E53E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7 апреля по 12 мая 1944 было освобождение Крыма (3908,369).</w:t>
      </w:r>
    </w:p>
    <w:p w14:paraId="633471F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061143"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апреля 1944 немецкая группировка, окруженная у Каменец-Подольска, прорвала советскую блокаду и соединилась с основными силами германской армии (4962).</w:t>
      </w:r>
    </w:p>
    <w:p w14:paraId="79D11812"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595578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ночь на 7 апреля 1944 «Бостон» командира 1-го ГМТАП Борзова вылетел на задание. Самолет достиг Рижского залива, обнаружил противника и в 00:37 произвел торпедную атаку. По неподтвержденному донесению жертвой Борзова стал танкер водоизмещением 12000 тонн. О возвращении командира полка на аэродром вспоминает А.В.Пресняков: «Дверь распахнулась. На пороге показался Иван Иванович Борзов. По виду не скажешь, что только сейчас он вернулся из опасного пятичасового полета...</w:t>
      </w:r>
    </w:p>
    <w:p w14:paraId="2D4CEDE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Можно вопрос? - торопливо вставляет Шаманов. - Вы для начала только скажите, сможем ли мы торпедировать ночью?</w:t>
      </w:r>
    </w:p>
    <w:p w14:paraId="7B4E9DE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Сможете! Обязательно сможете, - уверенно отвечает Борзов, садясь на подставленную скамейку. - Трудности будут, особенно в первых полетах. Сегодня я их ощутил, когда первый раз в темноте с высоты почти к самой воде опускался. Высотомеру верить нельзя - там барометрическое давление атмосферы обязательно отличается от установленного на аэродроме. Вместо моря внизу видна чернота. Поэтому страха по горло, а удовольствия нет. Однако, как видите, смог. И за вас я уверен, что сможете...» (9965).</w:t>
      </w:r>
    </w:p>
    <w:p w14:paraId="120CF74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677D7A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ночь на 7 апреля 1944 торпедоносец А-20, пилотируемый самим командиром полка И.И. Борзовым в крейсерском полете в Рижский залив сумел обнаружить и потопить (по донесению) вражеский танкер в 12 000 т. Конвой противника был обнаружен сначала при помощи РЛС, а затем визуально на лунной дорожке, что и позволило осуществить атаку (12002).</w:t>
      </w:r>
    </w:p>
    <w:p w14:paraId="0E981E1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CC75A0E"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06D6B50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5EBEE1C"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апреля 1944 Гитлер распустил муниципальные службы Берлина, назначив “штадт-президентом” Геббельса и дав тому неограниченные полномочия по наведению порядка в городе (4962).</w:t>
      </w:r>
    </w:p>
    <w:p w14:paraId="771AB230"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632CBC1"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апреля 1944 шеф лионского гестапо Клаус Барбье захватил в еврейском детском доме 41 ребенка возраста 3-10 лет, отправив их в Освенцим (4962).</w:t>
      </w:r>
    </w:p>
    <w:p w14:paraId="75BF8FBD"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0FA43B0"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2C03A4D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2D8514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апреля 1944 ГИ ВВС КА гл ИАС А.Лапин подписал "Акт по результатам гос. испытаний опытного двухместного самолета Ил с мотором АМ-42 и винтом АВ-5Л-18Б конструкции С.В.И." (экз. 1 производства завода 240). Ви и-м П.Т.Аброщенко, пом. ВИ и-к С.Г.Фролов, вл пп А.К.Долгов (1865).</w:t>
      </w:r>
    </w:p>
    <w:p w14:paraId="5FB3FED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437DD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апреля 1944 г. замести</w:t>
      </w:r>
      <w:r w:rsidRPr="007224C3">
        <w:rPr>
          <w:rFonts w:ascii="Times New Roman" w:hAnsi="Times New Roman"/>
          <w:color w:val="000000" w:themeColor="text1"/>
          <w:sz w:val="16"/>
          <w:szCs w:val="16"/>
        </w:rPr>
        <w:softHyphen/>
        <w:t>телем главного инженера ВВС КА ге</w:t>
      </w:r>
      <w:r w:rsidRPr="007224C3">
        <w:rPr>
          <w:rFonts w:ascii="Times New Roman" w:hAnsi="Times New Roman"/>
          <w:color w:val="000000" w:themeColor="text1"/>
          <w:sz w:val="16"/>
          <w:szCs w:val="16"/>
        </w:rPr>
        <w:softHyphen/>
        <w:t>нералом А. А. Лапиным Акт по государственным испыта</w:t>
      </w:r>
      <w:r w:rsidRPr="007224C3">
        <w:rPr>
          <w:rFonts w:ascii="Times New Roman" w:hAnsi="Times New Roman"/>
          <w:color w:val="000000" w:themeColor="text1"/>
          <w:sz w:val="16"/>
          <w:szCs w:val="16"/>
        </w:rPr>
        <w:softHyphen/>
        <w:t>ниям Ил-АМ-42 (экз. № 1) был ут</w:t>
      </w:r>
      <w:r w:rsidRPr="007224C3">
        <w:rPr>
          <w:rFonts w:ascii="Times New Roman" w:hAnsi="Times New Roman"/>
          <w:color w:val="000000" w:themeColor="text1"/>
          <w:sz w:val="16"/>
          <w:szCs w:val="16"/>
        </w:rPr>
        <w:softHyphen/>
        <w:t>вержден. При этом в сопроводительной записке к Акту от 12 апреля на имя командующего ВВС КА главного маршала Новикова са</w:t>
      </w:r>
      <w:r w:rsidRPr="007224C3">
        <w:rPr>
          <w:rFonts w:ascii="Times New Roman" w:hAnsi="Times New Roman"/>
          <w:color w:val="000000" w:themeColor="text1"/>
          <w:sz w:val="16"/>
          <w:szCs w:val="16"/>
        </w:rPr>
        <w:softHyphen/>
        <w:t>молет уже именовался как Ил-8 АМ-42. Надо полагать, переименование произошло где-то в самом начале апреля (11427).</w:t>
      </w:r>
    </w:p>
    <w:p w14:paraId="133F090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4B2C29" w14:textId="77777777" w:rsidR="00075AF0" w:rsidRPr="007224C3" w:rsidRDefault="00075A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апреля 1944 года заместителем главного инженера ВВС КА генералом А. А. Лапиным был утвержден Акт по государственным испытаниям Ил-АМ-42 (экз. № 1). При этом в сопроводительной записке к акту от 12 апреля на имя командующего ВВС КА главного маршала авиации А. А. Новикова самолет уже именовался как Ил-8 АМ-42. Надо полагать, переименование произошло где-то в самом начале апреля. Соответственно, двухместный штурмовой вариант самолета Ил-1 получил обозначение Ил-10 (17490).</w:t>
      </w:r>
    </w:p>
    <w:p w14:paraId="02EA0514" w14:textId="77777777" w:rsidR="00075AF0" w:rsidRPr="007224C3" w:rsidRDefault="00075AF0" w:rsidP="007224C3">
      <w:pPr>
        <w:spacing w:after="0" w:line="240" w:lineRule="auto"/>
        <w:jc w:val="both"/>
        <w:rPr>
          <w:rFonts w:ascii="Times New Roman" w:hAnsi="Times New Roman"/>
          <w:color w:val="000000" w:themeColor="text1"/>
          <w:sz w:val="16"/>
          <w:szCs w:val="16"/>
        </w:rPr>
      </w:pPr>
    </w:p>
    <w:p w14:paraId="66D17E3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 8 апреля 1944 в НИИ ВВС закончились государственные испытания разведчика-корректировщика Ил-АМ-42 экз. №1, которые шли с 26 февраля 1944, после того как к 22 февраля 1944, несмотря на неустойчивую работу мотора АМ-42, разведчик-корректировщик Ил-АМ-42 экз. №1 сумел успешно завершить программу заводских испытаний.</w:t>
      </w:r>
    </w:p>
    <w:p w14:paraId="0DE32B4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первую очередь определялись летно-технические данные в варианте штурмовика-бомбардировщика и только затем - в варианте разведчика-корректировщика. Как показали полеты, основные данные Ил-АМ-42 заметно превосходили Ил-2 АМ-38ф, хотя, по мнению военных, уже не отвечали в полном объеме требованиям.</w:t>
      </w:r>
    </w:p>
    <w:p w14:paraId="5EFFBE2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Ил-АМ-42 имел удовлетворительную устойчивость по всем направлениям. Самолет позволял полет с брошенной ручкой управления. Виражил и пикировал устойчиво, без рысканий. Это обеспечивало лучшие условия для прицеливания и стрельбы.</w:t>
      </w:r>
    </w:p>
    <w:p w14:paraId="142E879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тоже время указывались и ряд серьезных недостатков. В частности, не доведена система заполнения бензобаков нейтральным газом. Заднюю бронеперегородку штурмана предлагалось сделать экранированной - две бронеплиты по 8 мм, и обеспечить защиту его головы бронестеклом.</w:t>
      </w:r>
    </w:p>
    <w:p w14:paraId="581509F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Оказалось, что при посадке на фюзеляж штурман выбраться из своей кабины не сможет, "так как фонарь летчика при открытии надвигается на фонарь штурмана".</w:t>
      </w:r>
    </w:p>
    <w:p w14:paraId="3A2B4B1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Кроме этого, ни летчик, ни штурман не могли прицельно сбросить бомбы. Из-за плохого обзора передней полусферы штурман без помощи летчика "не может вывести самолет на нехарактерную цель" (объект удара), то есть "заранее найти цель, опознать ее, а затем осуществить наводку". Как отмечалось в отчете, "выполнить все это через прицел не представляется возможным". В свою очередь, "вследствие неудовлетворительного качества прицельных устройств" летчик мог прицеливаться и бомбить "с горизонта" лишь по наитию. Фактически получалось так, что при бомбометании с горизонтального полета наводку на цель и выход на боевой курс должен был выполнять непосредственно летчик, а прицеливание - штурман, "что требует соответствующей методической проработки".</w:t>
      </w:r>
    </w:p>
    <w:p w14:paraId="29EC00A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дополнение к этому, бомбовый прицел штурмана в полете нещадно забрызгивался маслом, которое выбивалось из-под уплот- нительного кольца втулки винта и носка коленчатого вала мотора. Установка маслоотражателей проблемы не решило.</w:t>
      </w:r>
    </w:p>
    <w:p w14:paraId="5DE1DDF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Работой оборонительной установки ВУ-8 с пулеметом УБК и ее возможностями в бою военные испытатели остались недовольны.</w:t>
      </w:r>
    </w:p>
    <w:p w14:paraId="3D0CF14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Предъявлялись претензии и к спецоборудованию самолета. Отмечалась плохая конструктивная проработка экранировки системы зажигания мотора, вследствие чего "уровень помех радиоприема вырастает до недопустимых величин". Схема коммутации средств радио- и внутрисамолетной связи не учитывала особенности работы экипажа на данном самолете - "летчик и штурман совмещают лишние функции".</w:t>
      </w:r>
    </w:p>
    <w:p w14:paraId="3491BCA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Несмотря на недостатки, Ил-АМ-42 был рекомендован для постановки в серийное производство. При этом в сопроводительной записке к Акту по госиспытаниям от 12 апреля самолет уже именовался как Ил-8 АМ-42.</w:t>
      </w:r>
    </w:p>
    <w:p w14:paraId="55FF873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Надо сказать, к этому времени сложилась весьма непростая ситуация. Очевидно, что результаты испытаний Ил-8 не могли удовлетворить военных в полном объеме - ни штурмовик, ни бомбардировщик. В то же время испытания штурмовика Су-6 проходили очень сложно по причине плохой работы, установленного на самолете экземпляра мотора АМ-42.</w:t>
      </w:r>
    </w:p>
    <w:p w14:paraId="46F44C4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сложившейся обстановке ВВС сделали попытку вернуться к первоначальной цельнометаллической конструкции Ил-2. Это позволяло улучшить боевые и эксплуатационные качества самолета и несколько разрядить напряженность в вопросе постановки на вооружение штурмовика, отвечающего современным требованиям (12020).</w:t>
      </w:r>
    </w:p>
    <w:p w14:paraId="251F628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E8D4F80" w14:textId="77777777" w:rsidR="0094033C" w:rsidRPr="007224C3" w:rsidRDefault="0094033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lastRenderedPageBreak/>
        <w:t>8 апреля 1944 года был подписан Акт по результатам государственных испытаний опытного двухместного самолета Ил с мотором АМ-42 и винтом АВ-5Л-18Б, конструкции т. Ильюшина.</w:t>
      </w:r>
    </w:p>
    <w:p w14:paraId="1E2FBA11" w14:textId="77777777" w:rsidR="0094033C" w:rsidRPr="007224C3" w:rsidRDefault="0094033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I. Цель испытаний.</w:t>
      </w:r>
    </w:p>
    <w:p w14:paraId="2801EC7A" w14:textId="77777777" w:rsidR="0094033C" w:rsidRPr="007224C3" w:rsidRDefault="0094033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 Определить летно-тактические данные самолета.</w:t>
      </w:r>
    </w:p>
    <w:p w14:paraId="6CD9D70A" w14:textId="77777777" w:rsidR="0094033C" w:rsidRPr="007224C3" w:rsidRDefault="0094033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 Дать оценку работы винто-моторной группы, вооружения, спецоборудования и броневой защиты экипажа.</w:t>
      </w:r>
    </w:p>
    <w:p w14:paraId="7C1B88D9" w14:textId="77777777" w:rsidR="0094033C" w:rsidRPr="007224C3" w:rsidRDefault="0094033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3. Выявить целесообразность принятия на вооружение ВВС Красной Армии опытного самолета Ил с АМ-42, вместо серийного самолета Ил-2 с АМ-38Ф.</w:t>
      </w:r>
    </w:p>
    <w:p w14:paraId="475DF487" w14:textId="77777777" w:rsidR="0094033C" w:rsidRPr="007224C3" w:rsidRDefault="0094033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II. Объект испытаний.</w:t>
      </w:r>
    </w:p>
    <w:p w14:paraId="7A7AB715" w14:textId="77777777" w:rsidR="0094033C" w:rsidRPr="007224C3" w:rsidRDefault="0094033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Предъявленный на государственные испытания опытный двухместный самолет Ил экз.№1 с мотором АМ-42, конструкции тов. ИЛЬЮШИНА, построен на заводе. №240 НКАП в мае месяце 1943 года.</w:t>
      </w:r>
    </w:p>
    <w:p w14:paraId="50CE8AE0" w14:textId="77777777" w:rsidR="0094033C" w:rsidRPr="007224C3" w:rsidRDefault="0094033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Самолет предъявлен на испытания, как бронированный штурмовик-бомбардировщик и разведчик-корректировщик артиллерийского огня.</w:t>
      </w:r>
    </w:p>
    <w:p w14:paraId="1EB2A318" w14:textId="77777777" w:rsidR="0094033C" w:rsidRPr="007224C3" w:rsidRDefault="0094033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Самолет по нормам прочности 1941 г. отнесен к классу «Б» с расчетной разрушающей перегрузкой 7,45 при полетном весе 7250 кг.</w:t>
      </w:r>
    </w:p>
    <w:p w14:paraId="4627A2E4" w14:textId="77777777" w:rsidR="0094033C" w:rsidRPr="007224C3" w:rsidRDefault="0094033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Самолет имеет вооружение из двух пушек ВЯ 23мм и двух пулеметов ШКАС 7,62мм. Стрелок имеет турель ВУ-8 с УБТ 12,7мм. Ракетное вооружение не предусматривается.</w:t>
      </w:r>
    </w:p>
    <w:p w14:paraId="79A0D021" w14:textId="77777777" w:rsidR="0094033C" w:rsidRPr="007224C3" w:rsidRDefault="0094033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Экипаж caмолета состоит из двух человек: летчика и штурмана - стрелка, размещенных в двух кабинах-тандем.</w:t>
      </w:r>
    </w:p>
    <w:p w14:paraId="295D70E2" w14:textId="77777777" w:rsidR="0094033C" w:rsidRPr="007224C3" w:rsidRDefault="0094033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III. Результаты испытаний.</w:t>
      </w:r>
    </w:p>
    <w:p w14:paraId="00C0615A" w14:textId="77777777" w:rsidR="0094033C" w:rsidRPr="007224C3" w:rsidRDefault="0094033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Самолет прибыл в НИИ ВВС Красной Армии для прохождения государственных испытаний 26 февраля 1944 года.</w:t>
      </w:r>
    </w:p>
    <w:p w14:paraId="6F63659A" w14:textId="77777777" w:rsidR="0094033C" w:rsidRPr="007224C3" w:rsidRDefault="0094033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Летные испытания начаты 29 февраля и закончены 8 марта 1944 года, проведены за 31 календарный день, в которых:</w:t>
      </w:r>
    </w:p>
    <w:p w14:paraId="533DAFB8" w14:textId="77777777" w:rsidR="0094033C" w:rsidRPr="007224C3" w:rsidRDefault="0094033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 Летных дней 10.</w:t>
      </w:r>
    </w:p>
    <w:p w14:paraId="008B0515" w14:textId="77777777" w:rsidR="0094033C" w:rsidRPr="007224C3" w:rsidRDefault="0094033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 Дней с нелетной погодой 14.</w:t>
      </w:r>
    </w:p>
    <w:p w14:paraId="704EA4EF" w14:textId="77777777" w:rsidR="0094033C" w:rsidRPr="007224C3" w:rsidRDefault="0094033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3. Дней затраченных на доводку и ремонт материальной части 7.</w:t>
      </w:r>
    </w:p>
    <w:p w14:paraId="141A4868" w14:textId="77777777" w:rsidR="0094033C" w:rsidRPr="007224C3" w:rsidRDefault="0094033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За время испытаний произведено 44 полета с общим налетом 19 часов 30 минут.</w:t>
      </w:r>
    </w:p>
    <w:p w14:paraId="4F588C3B" w14:textId="77777777" w:rsidR="0094033C" w:rsidRPr="007224C3" w:rsidRDefault="0094033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Самолет Ил экз. №1 с АМ-42 испытания проходил в двух вариантах:</w:t>
      </w:r>
    </w:p>
    <w:p w14:paraId="13089418" w14:textId="77777777" w:rsidR="0094033C" w:rsidRPr="007224C3" w:rsidRDefault="0094033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а) разведчика - корректировщика</w:t>
      </w:r>
    </w:p>
    <w:p w14:paraId="4B261C55" w14:textId="77777777" w:rsidR="0094033C" w:rsidRPr="007224C3" w:rsidRDefault="0094033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б) штурмовика - бомбардировщика.</w:t>
      </w:r>
    </w:p>
    <w:p w14:paraId="1019CAE3" w14:textId="77777777" w:rsidR="0094033C" w:rsidRPr="007224C3" w:rsidRDefault="0094033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Полеты, производились с нормальным и перегрузочным весами с внутренней и наружной подвеской бомб.</w:t>
      </w:r>
    </w:p>
    <w:p w14:paraId="4889306B" w14:textId="77777777" w:rsidR="0094033C" w:rsidRPr="007224C3" w:rsidRDefault="0094033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Дополнительная нагрузка перегрузочного полетного веса для штурмовика-бомбардировщика составляет 400кг.</w:t>
      </w:r>
    </w:p>
    <w:p w14:paraId="52135D6D" w14:textId="77777777" w:rsidR="0094033C" w:rsidRPr="007224C3" w:rsidRDefault="0094033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Самолет облетали ведущий инженер-летчик 3-го отдела НИИ ВВС инженер-майор А.В.Синельников, летчик-испытатель 4-го отдела майор М.П.Субботин, старший летчик-испытатель 3-го отдела майор В.С.Журавлев и летчик-испытатель подполковник М.А.Нюхтиков. В качестве штурманов облета участвовали капитан Т.Ф.Горбунов, заместитель начальника 4-го отдела полковник Н.И.Шауров, помощник начальника 6-го отдела капитан Васильев, штурман-испытатель капитан В.Н.Ковынев, штурман-испытатель подполковник Н.П.Цветков.</w:t>
      </w:r>
    </w:p>
    <w:p w14:paraId="4BF3EF4C" w14:textId="77777777" w:rsidR="0094033C" w:rsidRPr="007224C3" w:rsidRDefault="0094033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 xml:space="preserve">- По пилотажным свойствам Ил-АМ-42 простой и легкий в управлении. В сравнении с Ил-2, самолет Ил АМ42 обладет значительно лучшей продольной устойчивостью и управляемостью, что упрощает технику пилотирования, особенно на виражах и бреющих полетах. </w:t>
      </w:r>
    </w:p>
    <w:p w14:paraId="68300223" w14:textId="77777777" w:rsidR="0094033C" w:rsidRPr="007224C3" w:rsidRDefault="0094033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 xml:space="preserve">- Ил-АМ-42 в отличие от Ил-2 на вираже позволяет значительно выбирать ручку руля высоты на себя, для уменьшения радиуса виража. </w:t>
      </w:r>
    </w:p>
    <w:p w14:paraId="14CED627" w14:textId="77777777" w:rsidR="0094033C" w:rsidRPr="007224C3" w:rsidRDefault="0094033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 xml:space="preserve">- Пикирование самолета устойчивое. </w:t>
      </w:r>
    </w:p>
    <w:p w14:paraId="5DFA5D0C" w14:textId="77777777" w:rsidR="0094033C" w:rsidRPr="007224C3" w:rsidRDefault="0094033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 xml:space="preserve">- Просадка на выводе несколько больше, чем у серийного Ил-2. </w:t>
      </w:r>
    </w:p>
    <w:p w14:paraId="68D08F1E" w14:textId="77777777" w:rsidR="0094033C" w:rsidRPr="007224C3" w:rsidRDefault="0094033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 xml:space="preserve">- Сила отдачи при стрельбе из пушек почти не мешает пилотированию самолетом и прицеливанию. </w:t>
      </w:r>
    </w:p>
    <w:p w14:paraId="240F521C" w14:textId="77777777" w:rsidR="0094033C" w:rsidRPr="007224C3" w:rsidRDefault="0094033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 Маневренность Ил-АМ-42 в вертикальной и горизонтальной плоскостях почти такая же, как у серийного Ил-2, - Самолет Ил-АМ-42 специального переучивания летного состава для перехода с Ил-2 не требует.</w:t>
      </w:r>
    </w:p>
    <w:p w14:paraId="7ACDB856" w14:textId="77777777" w:rsidR="0094033C" w:rsidRPr="007224C3" w:rsidRDefault="0094033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 Для улучшения пилотажных качеств машины следует на руль поворота установить триммер, а на элероны наклепать ножи для регулировки от подваливания.</w:t>
      </w:r>
    </w:p>
    <w:p w14:paraId="4125B5FA" w14:textId="77777777" w:rsidR="0094033C" w:rsidRPr="007224C3" w:rsidRDefault="0094033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 xml:space="preserve">- Мотор АМ-42 работает с недостатками: дымление, тряска, непостоянство наддува на режиме номинальной мощности, течь масла из-под уплотнения вала редуктора мотора, из-под крышки блоков, из корпуса нагнетателя через дренаж (после остановки мотора), а также засорение воздушных клапанов карбюраторов, быстрый износ поршневых колец. </w:t>
      </w:r>
    </w:p>
    <w:p w14:paraId="5EC2FFAD" w14:textId="77777777" w:rsidR="0094033C" w:rsidRPr="007224C3" w:rsidRDefault="0094033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 Большой расход горючего на номинальном режиме работы мотора - 295–315г/л.с. ч.</w:t>
      </w:r>
    </w:p>
    <w:p w14:paraId="79D7711A" w14:textId="77777777" w:rsidR="0094033C" w:rsidRPr="007224C3" w:rsidRDefault="0094033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 xml:space="preserve">-В ходе испытаний заменялись: маслоуплотнитель носка вала редуктора мотора, регулятор давления наддува, прокладки под всасывающими патрубками, снимался карбюратор. Дважды менялся комплект свечей, по одному разу все свечи внешнего ряда, водяную трубку (подводящую охлаждающую воду к левому блоку цилиндров мотора от помпы) и бензотрубку (подводящую топливо к карбюраторам). </w:t>
      </w:r>
    </w:p>
    <w:p w14:paraId="591AE9CE" w14:textId="77777777" w:rsidR="0094033C" w:rsidRPr="007224C3" w:rsidRDefault="0094033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 xml:space="preserve">-Маслобаки текут по сварочным швам. </w:t>
      </w:r>
    </w:p>
    <w:p w14:paraId="78886B4F" w14:textId="77777777" w:rsidR="0094033C" w:rsidRPr="007224C3" w:rsidRDefault="0094033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 xml:space="preserve">-Имеется непродуманность конструкции винтомоторной группы с точки зрения удобства эксплуатации. </w:t>
      </w:r>
    </w:p>
    <w:p w14:paraId="2489AFFC" w14:textId="77777777" w:rsidR="0094033C" w:rsidRPr="007224C3" w:rsidRDefault="0094033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 Для того чтобы снять водяную трубку, необходимо демонтировать блоки мотора, выхлопные патрубки и левый маслобак, а затем вернуть их на свои места.</w:t>
      </w:r>
    </w:p>
    <w:p w14:paraId="51311ACE" w14:textId="77777777" w:rsidR="0094033C" w:rsidRPr="007224C3" w:rsidRDefault="0094033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 Для замены трубопровода подводящего горючее к карбюраторам, втребуется снять всасывающую трубу нагнетателя и карбюратора.</w:t>
      </w:r>
    </w:p>
    <w:p w14:paraId="63DE3CE1" w14:textId="77777777" w:rsidR="0094033C" w:rsidRPr="007224C3" w:rsidRDefault="0094033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 Трудно заменятть свечи внутренней стороны, и проводники к свечам. На их замену тратится 5–6 часов. Трубки, подводящие воду к блокам, слишком длинные и без технологических разъемов, что усложняет их замену и ремонт.</w:t>
      </w:r>
    </w:p>
    <w:p w14:paraId="5FD28117" w14:textId="77777777" w:rsidR="0094033C" w:rsidRPr="007224C3" w:rsidRDefault="0094033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 Самолет Ил-АМ-42, снабжен системой заполнения баков нейтральным газом, однако она не была доведена до рабочего состояния.</w:t>
      </w:r>
    </w:p>
    <w:p w14:paraId="29AF4B24" w14:textId="77777777" w:rsidR="0094033C" w:rsidRPr="007224C3" w:rsidRDefault="0094033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 Схема бронирования Ил-АМ-42 не отвечает современным требованиям.</w:t>
      </w:r>
    </w:p>
    <w:p w14:paraId="44E25A40" w14:textId="77777777" w:rsidR="0094033C" w:rsidRPr="007224C3" w:rsidRDefault="0094033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 Особо уязвимые места - задняя бронеперегородка штурмана-стрелка (толщина 12мм) и моторная часть снизу-сбоку (толщина 4мм). Предлагается усилить эти участки путем перераспределения толщины брони при сохранении веса брони на прежнем уровне. Снять с корпуса передние броневые детали за втулкой винта, уменьшить с 5 до 2,5мм толщину деталей пояса кабины летчика в местах примыкания крыла к фюзеляжу. Заднюю перегородку штурмана установить по образцу 2-го экземпляра Ил-АМ-42. Обеспечить защиту головы штурмана бронестеклом.</w:t>
      </w:r>
    </w:p>
    <w:p w14:paraId="3AAD2F9A" w14:textId="77777777" w:rsidR="0094033C" w:rsidRPr="007224C3" w:rsidRDefault="0094033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 xml:space="preserve">- Обе кабины– летчика и штурмана-стрелка– в сравнении с Ил-2 имеют увеличенные размеры, что улучшает условия боевой работы экипажа. </w:t>
      </w:r>
    </w:p>
    <w:p w14:paraId="2108056F" w14:textId="77777777" w:rsidR="0094033C" w:rsidRPr="007224C3" w:rsidRDefault="0094033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 xml:space="preserve">- В кабине штурмана-стрелка вместо брезентовой ленты как на Ил-2, установлено откидное сиденье. </w:t>
      </w:r>
    </w:p>
    <w:p w14:paraId="4BC528AC" w14:textId="77777777" w:rsidR="0094033C" w:rsidRPr="007224C3" w:rsidRDefault="0094033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 xml:space="preserve">- В кабине тепло, задуваний нет, можно работать без летных очков. </w:t>
      </w:r>
    </w:p>
    <w:p w14:paraId="65B634E9" w14:textId="77777777" w:rsidR="0094033C" w:rsidRPr="007224C3" w:rsidRDefault="0094033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 xml:space="preserve">- Посадка в заднюю кабину через нижний люк в бронекорпусе удобная. </w:t>
      </w:r>
    </w:p>
    <w:p w14:paraId="1A18B41A" w14:textId="77777777" w:rsidR="0094033C" w:rsidRPr="007224C3" w:rsidRDefault="0094033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 xml:space="preserve">- В аварийной ситуации легко покинуть кабину с парашютом. </w:t>
      </w:r>
    </w:p>
    <w:p w14:paraId="40C1FAAC" w14:textId="77777777" w:rsidR="0094033C" w:rsidRPr="007224C3" w:rsidRDefault="0094033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 При посадке на фюзеляж выбраться из задней кабины нельзя, так как фонарь летчика при открытии надвигается на фонарь штурмана.</w:t>
      </w:r>
    </w:p>
    <w:p w14:paraId="6CBA7F49" w14:textId="77777777" w:rsidR="0094033C" w:rsidRPr="007224C3" w:rsidRDefault="0094033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 Удачное применение электрической системы управления заслонками водо- и маслорадиаторов, а также пневмоэлектрической системы управления огнем и перезарядки стрелково-пушечного вооружения, сильно облегчает работу летчика в бою.</w:t>
      </w:r>
    </w:p>
    <w:p w14:paraId="49B1F573" w14:textId="77777777" w:rsidR="0094033C" w:rsidRPr="007224C3" w:rsidRDefault="0094033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 Дублирование управления рулем высоты, поворота, элеронами и триммерами, улучшает боевую живучесть.</w:t>
      </w:r>
    </w:p>
    <w:p w14:paraId="4B222633" w14:textId="77777777" w:rsidR="0094033C" w:rsidRPr="007224C3" w:rsidRDefault="0094033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 Установка в кабине пилота прицела ПБП-1б на легкосъемном кронштейне обеспечивает летчику дополнительную безопасность при посадке с убранным шасси.</w:t>
      </w:r>
    </w:p>
    <w:p w14:paraId="7820622B" w14:textId="77777777" w:rsidR="0094033C" w:rsidRPr="007224C3" w:rsidRDefault="0094033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 Бомбовое вооружение штурмовика-бомбардировщика Ил-АМ-42 по номенклатуре бомб и весу в целом соответствует требованиям войны.</w:t>
      </w:r>
    </w:p>
    <w:p w14:paraId="0D62FE31" w14:textId="77777777" w:rsidR="0094033C" w:rsidRPr="007224C3" w:rsidRDefault="0094033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 xml:space="preserve">- Бомбометание допускается как с горизонтального полета, так и с пикирования, под углами не более 25–30°, - Для бомбометания с горизонтального полета предназначается прицел ОПБ-1р. Сброс бомб может осуществляться и штурманом, и летчиком. </w:t>
      </w:r>
    </w:p>
    <w:p w14:paraId="29BE46F0" w14:textId="77777777" w:rsidR="0094033C" w:rsidRPr="007224C3" w:rsidRDefault="0094033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 Плохой обзор передней полусферы, штурман без помощи летчика не может вывести самолет на нехарактерную цель, то есть заранее найти цель, опознать ее, а затем осуществить наводку. Выполнить все это через прицел не представляется возможным. Вследствие неудовлетворительного качества прицельных устройств, летчик может прицеливаться и бомбить с горизонта по наитию. При бомбометании с горизонтального полета наводку на цель и выход на боевой курс должен выполнять непосредственно летчик, а прицеливание– штурман, что требует соответствующей методической проработки.</w:t>
      </w:r>
    </w:p>
    <w:p w14:paraId="03B43451" w14:textId="77777777" w:rsidR="0094033C" w:rsidRPr="007224C3" w:rsidRDefault="0094033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 Бомбовый прицел штурмана в полете забрызгивается маслом, которое выбивается из-под уплотнительного кольца втулки винта и носка коленчатого вала мотора.</w:t>
      </w:r>
    </w:p>
    <w:p w14:paraId="3347B3B6" w14:textId="77777777" w:rsidR="0094033C" w:rsidRPr="007224C3" w:rsidRDefault="0094033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 xml:space="preserve">- Для предохранения прицела от попадания масла на заводе №240 изготовлен специальный щиток. Установка щитка на самолет положение не улучшило– оптика забрызгивается маслом. Прицельное бомбометание со щитком по-прежнему невозможно. </w:t>
      </w:r>
    </w:p>
    <w:p w14:paraId="60C60E01" w14:textId="77777777" w:rsidR="0094033C" w:rsidRPr="007224C3" w:rsidRDefault="0094033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 Работать с прицелом ОПБ-1р в боевом положении удобно, а сам прицел является наиболее подходящим для установки на Ил-АМ-42, если, устранить забрызгивание оптики прицела маслом.</w:t>
      </w:r>
    </w:p>
    <w:p w14:paraId="291421BE" w14:textId="77777777" w:rsidR="0094033C" w:rsidRPr="007224C3" w:rsidRDefault="0094033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 Пока забрызгивание не бужет устранено, для бомбометания с горизонтального полета рекомендуется использовать прицельную систему, отработанную для серийных Ил-2.</w:t>
      </w:r>
    </w:p>
    <w:p w14:paraId="045F46A6" w14:textId="77777777" w:rsidR="0094033C" w:rsidRPr="007224C3" w:rsidRDefault="0094033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 Бомбометание с пикирования по методике ничем не отличается от таковой на Ил-2 и в целом показало хорошие результаты вследствие лучшей устойчивости самолета при пикировании.</w:t>
      </w:r>
    </w:p>
    <w:p w14:paraId="562612DD" w14:textId="77777777" w:rsidR="0094033C" w:rsidRPr="007224C3" w:rsidRDefault="0094033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 Маслом забрызгивается переднее бронестекло фонаря кабины пилота, что, ухудшает условия прицеливания.</w:t>
      </w:r>
    </w:p>
    <w:p w14:paraId="0DAE89D8" w14:textId="77777777" w:rsidR="0094033C" w:rsidRPr="007224C3" w:rsidRDefault="0094033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lastRenderedPageBreak/>
        <w:t>- Турельная установка ВУ-8 с пулеметом УБТ, по сравнению с ранее принятыми подобными установками преимуществ не имеет, за исключением того, что защищает стрелка от задувания.</w:t>
      </w:r>
    </w:p>
    <w:p w14:paraId="7BEAE9F9" w14:textId="77777777" w:rsidR="0094033C" w:rsidRPr="007224C3" w:rsidRDefault="0094033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 Предлагается увеличить углы обстрела вверх и по горизонту и емкость магазина, хотя бы до 75 патронов, а также отработать механизм компенсирующий вес пулемета и магазина.</w:t>
      </w:r>
    </w:p>
    <w:p w14:paraId="7E1EF2BC" w14:textId="77777777" w:rsidR="0094033C" w:rsidRPr="007224C3" w:rsidRDefault="0094033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 Плохая конструктивная проработка экранировки системы зажигания мотора, вследствие чего уровень помех радиоприема вырастает до недопустимых величин.</w:t>
      </w:r>
    </w:p>
    <w:p w14:paraId="04530B1D" w14:textId="77777777" w:rsidR="0094033C" w:rsidRPr="007224C3" w:rsidRDefault="0094033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 Схема коммутации средств радио- и внутрисамолетной связи не учитывает особенности работы экипажа на данном самолете – летчик и штурман совмещают лишние функции.</w:t>
      </w:r>
    </w:p>
    <w:p w14:paraId="00DE11E9" w14:textId="77777777" w:rsidR="0094033C" w:rsidRPr="007224C3" w:rsidRDefault="0094033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Заключение.</w:t>
      </w:r>
    </w:p>
    <w:p w14:paraId="6261B7DD" w14:textId="77777777" w:rsidR="0094033C" w:rsidRPr="007224C3" w:rsidRDefault="0094033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 Самолет Ил-АМ-42 рекомендован к запуску в серийное производство в вариантах штурмовика-бомбардировщика и разведчика-корректировщика.</w:t>
      </w:r>
    </w:p>
    <w:p w14:paraId="59D7772C" w14:textId="77777777" w:rsidR="0094033C" w:rsidRPr="007224C3" w:rsidRDefault="0094033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 С целью выявления боевых качеств Ил-АМ-42 предлагается выпустить войсковую серию этих самолетов.</w:t>
      </w:r>
    </w:p>
    <w:p w14:paraId="3A03A8C7" w14:textId="77777777" w:rsidR="0094033C" w:rsidRPr="007224C3" w:rsidRDefault="0094033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 Даже с 50час. ресурсом АМ-42, если не успеют моторы со 100 час. ресурсом.</w:t>
      </w:r>
    </w:p>
    <w:p w14:paraId="396EB34F" w14:textId="77777777" w:rsidR="0094033C" w:rsidRPr="007224C3" w:rsidRDefault="0094033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 xml:space="preserve">- Просить Наркома авиапромышленности тов. ШахуринаА.И. дать задания: </w:t>
      </w:r>
    </w:p>
    <w:p w14:paraId="66E1AF72" w14:textId="77777777" w:rsidR="0094033C" w:rsidRPr="007224C3" w:rsidRDefault="0094033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 xml:space="preserve">а) Главному конструктору мотора АМ-42 тов. МикулинуА.А. довести опытный мотор до состояния пригодного к нормальной эксплуатации. </w:t>
      </w:r>
    </w:p>
    <w:p w14:paraId="7B1488C5" w14:textId="77777777" w:rsidR="0094033C" w:rsidRPr="007224C3" w:rsidRDefault="0094033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б) Главному конструктору самолета Ил с АМ-42 тов. ИльюшинуС.В. до запуска в серийное производство устранить дефекты.</w:t>
      </w:r>
    </w:p>
    <w:p w14:paraId="5DCFDE08" w14:textId="77777777" w:rsidR="0094033C" w:rsidRPr="007224C3" w:rsidRDefault="0094033C" w:rsidP="007224C3">
      <w:pPr>
        <w:spacing w:after="0" w:line="240" w:lineRule="auto"/>
        <w:jc w:val="both"/>
        <w:rPr>
          <w:rStyle w:val="a5"/>
          <w:rFonts w:ascii="Times New Roman" w:hAnsi="Times New Roman"/>
          <w:color w:val="0070C0"/>
          <w:sz w:val="16"/>
          <w:szCs w:val="16"/>
          <w:bdr w:val="single" w:sz="2" w:space="0" w:color="auto" w:frame="1"/>
        </w:rPr>
      </w:pPr>
      <w:r w:rsidRPr="007224C3">
        <w:rPr>
          <w:rFonts w:ascii="Times New Roman" w:hAnsi="Times New Roman"/>
          <w:color w:val="0070C0"/>
          <w:sz w:val="16"/>
          <w:szCs w:val="16"/>
        </w:rPr>
        <w:t>- Установку на самолет Ил-АМ-42 кассет ДАГ-10 и крупнокалиберных пушек 11П, а также величины бомбовой нагрузки с этими пушками, принять после проведения испытаний 2-го экземпляра самолета Ил-АМ-42 (ФБ Линевич)</w:t>
      </w:r>
      <w:r w:rsidRPr="007224C3">
        <w:rPr>
          <w:rFonts w:ascii="Times New Roman" w:hAnsi="Times New Roman"/>
          <w:color w:val="0070C0"/>
          <w:sz w:val="16"/>
          <w:szCs w:val="16"/>
        </w:rPr>
        <w:fldChar w:fldCharType="begin"/>
      </w:r>
      <w:r w:rsidRPr="007224C3">
        <w:rPr>
          <w:rFonts w:ascii="Times New Roman" w:hAnsi="Times New Roman"/>
          <w:color w:val="0070C0"/>
          <w:sz w:val="16"/>
          <w:szCs w:val="16"/>
        </w:rPr>
        <w:instrText xml:space="preserve"> HYPERLINK "https://www.facebook.com/photo/?fbid=1860313640801979&amp;set=pcb.1860314250801918&amp;__cft__%5b0%5d=AZUU_PaYRplXUgVVNEP9sGjlZdbgly4skr_gcTzwqt8dPyYrhv4VI0s7QhgfB_EpfXYzYL2DUOC8GAojti21o-PCf1yMDhXHr4IURiuyhTqfYzU8EPO8szzBIMjbAdlP8H4&amp;__tn__=*bH-R" </w:instrText>
      </w:r>
      <w:r w:rsidRPr="007224C3">
        <w:rPr>
          <w:rFonts w:ascii="Times New Roman" w:hAnsi="Times New Roman"/>
          <w:color w:val="0070C0"/>
          <w:sz w:val="16"/>
          <w:szCs w:val="16"/>
        </w:rPr>
        <w:fldChar w:fldCharType="separate"/>
      </w:r>
    </w:p>
    <w:p w14:paraId="0A85CB7A" w14:textId="77777777" w:rsidR="0094033C" w:rsidRPr="007224C3" w:rsidRDefault="0094033C"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fldChar w:fldCharType="end"/>
      </w:r>
    </w:p>
    <w:p w14:paraId="40140FB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апреля 1944 закончились испытания Як-9К с НС-45, которые начались 12 января 1944, а в апреле-июле сделали войсковую серию из 53 машин. Серии не было, так как пушка была ненадежна (65,133).</w:t>
      </w:r>
    </w:p>
    <w:p w14:paraId="5CAABEA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62210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апреля 1944 года директор и гл. конструктор завода N 155 Микоян А.И. писал письмо N 273 зам. наркома Авиапрома Дементьеву П.В.</w:t>
      </w:r>
    </w:p>
    <w:p w14:paraId="589AFBF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Направляю общий вид самолета МИГ-3 с мотором Пратт-Уитни.</w:t>
      </w:r>
    </w:p>
    <w:p w14:paraId="4CC1F3F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Приложение: упомянутое на одном листе (1825,217).</w:t>
      </w:r>
    </w:p>
    <w:p w14:paraId="47B87F5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FA83E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апреля 1944 вышел приказ НКАП N 243с о порядке и составе проведения летных испытаний самолетов в ЛИИ (1813,104).</w:t>
      </w:r>
    </w:p>
    <w:p w14:paraId="24A1FC9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643359"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2012DF4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F0BBF9F"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апреля 1944 г. из КРАТКОГО ОТЧЕТА ДИРЕКТОРА ЗАВОДА № 136 М.Г. КОСТИКОВА ЗА ПЕРИОД 1941-1944 гг.</w:t>
      </w:r>
    </w:p>
    <w:p w14:paraId="50C2E5AB"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Эвакуация и восстановление завода в г. Новосибирске</w:t>
      </w:r>
    </w:p>
    <w:p w14:paraId="5FF19FB8"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Завод № 136 до 10 октября 1941 г. находился в городе Туле как одно из производств завода № 187 и располагал мощностями на выпуск 20 и 23 мм патронов до 35,0 миллионов в год. В 1941 году завод выпускал: 20 мм осколочно-фугасный патрон, 20 мм бронебойно-зажигательный патрон, 23 мм осколочно- и бронебойно-зажигательные патроны. С 10 октября 1941 года по решению Государственного Комитета Обороны СССР и согласно приказа народного комиссара боеприпасов производство авиавыстрела вместе с заводом № 556 эвакуировано в город Новосибирск и восстановлено на северной площадке комбината № 179 в корпусе 123-Е. Первоначально производство патронирования и снаряжения восстанавливалось как одно из производств комбината № 179, затем по приказу директора комбината № 179 от 9 декабря 1941 года № 659 оно передано в состав завода № 556, где и находилось до 1 сентября 1943 года как одно из цехов завода. С 1 ноября 1943 года приказом народного комиссара боеприпасов № 1 032с от 5 сентября 1943 года производство авиавыстрела выделено в самостоятельный завод № 136. По генеральному плану завод № 136 восстановлен на патронирование и снаряжение 20 и 23 мм осколочно- и бронебойно-зажигательных патронов в объеме 45,0 миллионов в год. В 1944 году завод выпускает следующую номенклатуру изделий: 20 мм осколочно-зажигательный патрон, 20 мм бронебойно-зажигательный патрон, 20 мм осколочно-трассирующий патрон, 23 мм осколочно-зажигательный патрон, 23 мм бронебойно-зажигательный патрон. В период эвакуации и восстановления коллектив завода проделал большую работу. На перебазирование завода из города Тулы и восстановление его на новом месте было затрачено всего лишь 2—2,5 месяца. В декабре 1941 года завод уже на новом месте выпускал продукцию. На новом месте за период Отечественной войны завод увеличил выпуск - 20 мм патронов почти в три раза, а 23 мм больше чем в пять раз. Из года в год резко увеличивается удельный вес в производстве 23 мм патронов. За период войны завод проделал большую работу по улучшению технологического процесса и механизации производства. В 1944 году завод полностью перевел производство 20 мм патронов на конвейер. Это обстоятельство дало возможность освободить заводу значительное количество рабочих, установить ритм производства и дисциплинировать рабочих, резко повысить производительность труда. В настоящее время проведены все необходимые подготовительные работы по установке конвейера № 2 на производстве 23 мм патронов. Большую роль в повышении производительности труда завода играют в настоящее время комсомольско-молодежные бригады. Всего на заводе имелось комсомольско-молодежных бригад в январе - 18, в феврале - 18, в марте — 34. Включившись в предмайское социалистическое соревнование, комсомольско-молодежная бригада тов. Пироговой В.В. выполнила производственное задание марта месяца на 287%, бригада тов. Свияновой О.Г. - на 245%, бригада тов. Никоновой В.Б. - на 210%, бригада тов. Якунина A.M. — на 167%. Указанные товарищи работают без брака, не имеют нарушений трудовой дисциплины, экономно относятся к расходу основных и вспомогательных материалов. За март месяц завод сократил не выполняющих норм с 10 человек в феврале до 3 человек в марте. В 1943 году завод дал снижение себестоимости на 42,3%, дав государству экономию за счет снижения себестоимости 114,2 миллионов рублей, в том числе 8,0 миллионов сверх плановой прибыли ... </w:t>
      </w:r>
    </w:p>
    <w:p w14:paraId="53894470"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завода № 136 НКБ СССР Костиков</w:t>
      </w:r>
    </w:p>
    <w:p w14:paraId="54135A6C"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ПЭО и ООТ завода № 136 НКБ Тренин</w:t>
      </w:r>
    </w:p>
    <w:p w14:paraId="0580C3FE"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ГАНО. Ф. П-4. Оп. 6. Д. 473. Л. 157-158, 160-162. Подлинник.</w:t>
      </w:r>
    </w:p>
    <w:p w14:paraId="37EBAA2F"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Подписи-автографы Костикова и Тренина. Документ составлен в 2 экз. 8/1V 1944 г.. первый экземпляр отправлен в обком ВКП(6) (12194).</w:t>
      </w:r>
    </w:p>
    <w:p w14:paraId="66ECAEC7" w14:textId="77777777" w:rsidR="00137373" w:rsidRPr="007224C3" w:rsidRDefault="00137373" w:rsidP="007224C3">
      <w:pPr>
        <w:spacing w:after="0" w:line="240" w:lineRule="auto"/>
        <w:jc w:val="both"/>
        <w:rPr>
          <w:rFonts w:ascii="Times New Roman" w:hAnsi="Times New Roman"/>
          <w:color w:val="000000" w:themeColor="text1"/>
          <w:sz w:val="16"/>
          <w:szCs w:val="16"/>
        </w:rPr>
      </w:pPr>
    </w:p>
    <w:p w14:paraId="20FA031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апреля 1944 г. вышло заключение комиссии АНИОПа по испытаниям стрельбой 203-мм самоходной гаубицы на шасси танка КВ-1с, с которого была снята башня и установлена вращающаяся часть 203-мм гаубицы Б-4 - гаубицы С-51. Согласно заключению: "система в основном испытания выдержала" и "может быть рекомендована к принятию на вооружение в РККА". Тем не менее на вооружение система принята не была. По видимому это связано с нежеланием промышленности связываться с такой "импровизацией" и возобновлять производство Б-4, прекращенное в начале 1942 года (3861).</w:t>
      </w:r>
    </w:p>
    <w:p w14:paraId="3255CB1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5E337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апреля 1944 г. вышло постановление ГКО "Об изготовле</w:t>
      </w:r>
      <w:r w:rsidRPr="007224C3">
        <w:rPr>
          <w:rFonts w:ascii="Times New Roman" w:hAnsi="Times New Roman"/>
          <w:color w:val="000000" w:themeColor="text1"/>
          <w:sz w:val="16"/>
          <w:szCs w:val="16"/>
        </w:rPr>
        <w:softHyphen/>
        <w:t>нии опытного образца нового тяжелого танка на Кировском заводе". В этом постановлении наряду с вопросом по созданию опытного образца тяжелого танка, большое внимание было уделено и дальнейшему усо</w:t>
      </w:r>
      <w:r w:rsidRPr="007224C3">
        <w:rPr>
          <w:rFonts w:ascii="Times New Roman" w:hAnsi="Times New Roman"/>
          <w:color w:val="000000" w:themeColor="text1"/>
          <w:sz w:val="16"/>
          <w:szCs w:val="16"/>
        </w:rPr>
        <w:softHyphen/>
        <w:t>вершенствованию конструкции и повышению качества серийно выпус</w:t>
      </w:r>
      <w:r w:rsidRPr="007224C3">
        <w:rPr>
          <w:rFonts w:ascii="Times New Roman" w:hAnsi="Times New Roman"/>
          <w:color w:val="000000" w:themeColor="text1"/>
          <w:sz w:val="16"/>
          <w:szCs w:val="16"/>
        </w:rPr>
        <w:softHyphen/>
        <w:t>кавшихся тяжелых танков ИС-2. Проектирование нового танка велось в СКБ-701 ЧКЗ под общим ру</w:t>
      </w:r>
      <w:r w:rsidRPr="007224C3">
        <w:rPr>
          <w:rFonts w:ascii="Times New Roman" w:hAnsi="Times New Roman"/>
          <w:color w:val="000000" w:themeColor="text1"/>
          <w:sz w:val="16"/>
          <w:szCs w:val="16"/>
        </w:rPr>
        <w:softHyphen/>
        <w:t>ководством главного конструктора Н.Л. Духова, руководителем проек</w:t>
      </w:r>
      <w:r w:rsidRPr="007224C3">
        <w:rPr>
          <w:rFonts w:ascii="Times New Roman" w:hAnsi="Times New Roman"/>
          <w:color w:val="000000" w:themeColor="text1"/>
          <w:sz w:val="16"/>
          <w:szCs w:val="16"/>
        </w:rPr>
        <w:softHyphen/>
        <w:t>та был М.Ф. Балжи. Разработку систем, узлов и агрегатов возглавляли конструкторы: Мякишев - корпус, Шухман - силовая установка, Кру</w:t>
      </w:r>
      <w:r w:rsidRPr="007224C3">
        <w:rPr>
          <w:rFonts w:ascii="Times New Roman" w:hAnsi="Times New Roman"/>
          <w:color w:val="000000" w:themeColor="text1"/>
          <w:sz w:val="16"/>
          <w:szCs w:val="16"/>
        </w:rPr>
        <w:softHyphen/>
        <w:t>ченых - вооружение, Сергеев — трансмиссия, Гольдштейн - электро- и радиооборудование, Волошин - ЗИП (10703).</w:t>
      </w:r>
    </w:p>
    <w:p w14:paraId="58E90F7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003C4D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апреля 1944 г. вышло Постановление ГКО "Об изготовлении опытного образца нового тяжелого танка на Кировском заводе НКТП", которым НКТП было разрешено на ЧКЗ в апреле 1944 г. изготовить два опытных образ</w:t>
      </w:r>
      <w:r w:rsidRPr="007224C3">
        <w:rPr>
          <w:rFonts w:ascii="Times New Roman" w:hAnsi="Times New Roman"/>
          <w:color w:val="000000" w:themeColor="text1"/>
          <w:sz w:val="16"/>
          <w:szCs w:val="16"/>
        </w:rPr>
        <w:softHyphen/>
        <w:t>ца нового тяжелого танка и один корпус и совместно с ГБТУ произвес</w:t>
      </w:r>
      <w:r w:rsidRPr="007224C3">
        <w:rPr>
          <w:rFonts w:ascii="Times New Roman" w:hAnsi="Times New Roman"/>
          <w:color w:val="000000" w:themeColor="text1"/>
          <w:sz w:val="16"/>
          <w:szCs w:val="16"/>
        </w:rPr>
        <w:softHyphen/>
        <w:t>ти испытания танков и обстрел корпуса. Первый образец нового танка (№ 0), названного по номеру заказа, "Объект 701" с пушкой Д-25 и двигателем В-12 был изготовлен в апре</w:t>
      </w:r>
      <w:r w:rsidRPr="007224C3">
        <w:rPr>
          <w:rFonts w:ascii="Times New Roman" w:hAnsi="Times New Roman"/>
          <w:color w:val="000000" w:themeColor="text1"/>
          <w:sz w:val="16"/>
          <w:szCs w:val="16"/>
        </w:rPr>
        <w:softHyphen/>
        <w:t>ле 1944 г. и до 15 июня 1944 г. был подвергнут длительным заводским испытаниям. В апреле - мае 1944 г. ЧКЗ изготовил два новых образца танка (№ 1 и 2) и к 1 июля предъявил их на полигонные испытания, ко</w:t>
      </w:r>
      <w:r w:rsidRPr="007224C3">
        <w:rPr>
          <w:rFonts w:ascii="Times New Roman" w:hAnsi="Times New Roman"/>
          <w:color w:val="000000" w:themeColor="text1"/>
          <w:sz w:val="16"/>
          <w:szCs w:val="16"/>
        </w:rPr>
        <w:softHyphen/>
        <w:t>торые проходили в районе Челябинска с 1 июля по 15 августа 1944 г. под председательством начальника ГБТУ генерал-лейтенанта танковых войск Б.Г. Вершинина (10703).</w:t>
      </w:r>
    </w:p>
    <w:p w14:paraId="2BA2455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4A0188" w14:textId="77777777" w:rsidR="00075AF0" w:rsidRPr="007224C3" w:rsidRDefault="00075AF0"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8 апреля 1944 вышло постановление ГКО №5583сс «Об изготовлении опытных образцов нового тяжёлого танка на Кировском заводе НКТП». Речь в нём в основном шла об изготовлении двух опытных танков Объект 701. Но третий пункт документа касался совсем другой машины:</w:t>
      </w:r>
    </w:p>
    <w:p w14:paraId="31297C30" w14:textId="77777777" w:rsidR="00075AF0" w:rsidRPr="007224C3" w:rsidRDefault="00075AF0"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iCs/>
          <w:color w:val="000000" w:themeColor="text1"/>
          <w:sz w:val="16"/>
          <w:szCs w:val="16"/>
          <w:lang w:eastAsia="ru-RU"/>
        </w:rPr>
        <w:t>«Обязать Наркомтанкопром — тов. Малышева, директора Кировского завода — тов. Зальцмана и главного конструктора тов. Котина сосредоточить основное внимание на дальнейшем усовершенствовании конструкции и улучшении качества танка и артсамоходов ИС.</w:t>
      </w:r>
    </w:p>
    <w:p w14:paraId="1F8DFAFE" w14:textId="77777777" w:rsidR="00075AF0" w:rsidRPr="007224C3" w:rsidRDefault="00075AF0"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iCs/>
          <w:color w:val="000000" w:themeColor="text1"/>
          <w:sz w:val="16"/>
          <w:szCs w:val="16"/>
          <w:lang w:eastAsia="ru-RU"/>
        </w:rPr>
        <w:t>В 3-месячный срок провести необходимые работы по усилению броневой защиты танков ИС, усовершенствованию трансмиссии и ходовой части, используя для модернизации танков ИС опыт новых образцов тяжёлых танков».</w:t>
      </w:r>
    </w:p>
    <w:p w14:paraId="24E2B14A" w14:textId="77777777" w:rsidR="00075AF0" w:rsidRPr="007224C3" w:rsidRDefault="00075AF0"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 xml:space="preserve">Это постановление трансформировалось в приказ НКТП №226сс от 13 апреля 1944 года. Окончательно требования к глубокой модернизации ИС-2 были сформированы 19 мая 1944 года. Список улучшений включал 20 пунктов. Некоторые из них имели прямое отношение к Объекту 701. От этой машины брались установка радиатора, привод к радиатору, поворотный механизм башни и погонное устройство. Спрямлённый нос корпуса толщиной 90 мм катаной брони либо 100 </w:t>
      </w:r>
      <w:r w:rsidRPr="007224C3">
        <w:rPr>
          <w:rFonts w:ascii="Times New Roman" w:eastAsia="Times New Roman" w:hAnsi="Times New Roman"/>
          <w:color w:val="000000" w:themeColor="text1"/>
          <w:sz w:val="16"/>
          <w:szCs w:val="16"/>
          <w:lang w:eastAsia="ru-RU"/>
        </w:rPr>
        <w:lastRenderedPageBreak/>
        <w:t>мм литой брони изготовлялся по типу носа Объекта 701. По его же подобию проектировалась башня: от новой машины бралась командирская башенка и система выемки орудия через специальный люк в крыше. Выхлопные трубы предполагалось перенести на верхний кормовой лист по типу Т-34. Такое решение полностью исключало риск попадания выхлопных газов в воздухозаборники (17756).</w:t>
      </w:r>
    </w:p>
    <w:p w14:paraId="27B818E5" w14:textId="77777777" w:rsidR="00075AF0" w:rsidRPr="007224C3" w:rsidRDefault="00075AF0" w:rsidP="007224C3">
      <w:pPr>
        <w:spacing w:after="0" w:line="240" w:lineRule="auto"/>
        <w:jc w:val="both"/>
        <w:rPr>
          <w:rFonts w:ascii="Times New Roman" w:hAnsi="Times New Roman"/>
          <w:color w:val="000000" w:themeColor="text1"/>
          <w:sz w:val="16"/>
          <w:szCs w:val="16"/>
        </w:rPr>
      </w:pPr>
    </w:p>
    <w:p w14:paraId="00E34383" w14:textId="77777777" w:rsidR="008B5CA2" w:rsidRPr="007224C3" w:rsidRDefault="008B5CA2" w:rsidP="007224C3">
      <w:pPr>
        <w:pStyle w:val="1131"/>
        <w:shd w:val="clear" w:color="auto" w:fill="auto"/>
        <w:spacing w:line="240" w:lineRule="auto"/>
        <w:ind w:firstLine="0"/>
        <w:rPr>
          <w:rStyle w:val="600"/>
          <w:rFonts w:ascii="Times New Roman" w:hAnsi="Times New Roman" w:cs="Times New Roman"/>
          <w:color w:val="0070C0"/>
          <w:sz w:val="16"/>
          <w:szCs w:val="16"/>
        </w:rPr>
      </w:pPr>
      <w:r w:rsidRPr="007224C3">
        <w:rPr>
          <w:rStyle w:val="600"/>
          <w:rFonts w:ascii="Times New Roman" w:hAnsi="Times New Roman" w:cs="Times New Roman"/>
          <w:color w:val="0070C0"/>
          <w:sz w:val="16"/>
          <w:szCs w:val="16"/>
        </w:rPr>
        <w:t xml:space="preserve">8 апреля 1944 года </w:t>
      </w:r>
      <w:r w:rsidRPr="007224C3">
        <w:rPr>
          <w:rStyle w:val="600"/>
          <w:rFonts w:ascii="Times New Roman" w:hAnsi="Times New Roman" w:cs="Times New Roman"/>
          <w:color w:val="0070C0"/>
          <w:sz w:val="16"/>
          <w:szCs w:val="16"/>
          <w:lang w:val="ru-RU"/>
        </w:rPr>
        <w:t>о</w:t>
      </w:r>
      <w:r w:rsidRPr="007224C3">
        <w:rPr>
          <w:rStyle w:val="600"/>
          <w:rFonts w:ascii="Times New Roman" w:hAnsi="Times New Roman" w:cs="Times New Roman"/>
          <w:color w:val="0070C0"/>
          <w:sz w:val="16"/>
          <w:szCs w:val="16"/>
        </w:rPr>
        <w:t>фициально стартовали работы по «большой модер</w:t>
      </w:r>
      <w:r w:rsidRPr="007224C3">
        <w:rPr>
          <w:rStyle w:val="600"/>
          <w:rFonts w:ascii="Times New Roman" w:hAnsi="Times New Roman" w:cs="Times New Roman"/>
          <w:color w:val="0070C0"/>
          <w:sz w:val="16"/>
          <w:szCs w:val="16"/>
        </w:rPr>
        <w:softHyphen/>
        <w:t>низации» ИС-2. В этот день вышло постанов</w:t>
      </w:r>
      <w:r w:rsidRPr="007224C3">
        <w:rPr>
          <w:rStyle w:val="600"/>
          <w:rFonts w:ascii="Times New Roman" w:hAnsi="Times New Roman" w:cs="Times New Roman"/>
          <w:color w:val="0070C0"/>
          <w:sz w:val="16"/>
          <w:szCs w:val="16"/>
        </w:rPr>
        <w:softHyphen/>
        <w:t>ление ГКО № 5583сс «Об изготовлении опыт</w:t>
      </w:r>
      <w:r w:rsidRPr="007224C3">
        <w:rPr>
          <w:rStyle w:val="600"/>
          <w:rFonts w:ascii="Times New Roman" w:hAnsi="Times New Roman" w:cs="Times New Roman"/>
          <w:color w:val="0070C0"/>
          <w:sz w:val="16"/>
          <w:szCs w:val="16"/>
        </w:rPr>
        <w:softHyphen/>
        <w:t>ных образцов нового тяжелого танка на Ки</w:t>
      </w:r>
      <w:r w:rsidRPr="007224C3">
        <w:rPr>
          <w:rStyle w:val="600"/>
          <w:rFonts w:ascii="Times New Roman" w:hAnsi="Times New Roman" w:cs="Times New Roman"/>
          <w:color w:val="0070C0"/>
          <w:sz w:val="16"/>
          <w:szCs w:val="16"/>
        </w:rPr>
        <w:softHyphen/>
        <w:t>ровском заводе НКТП». Касалось оно разра</w:t>
      </w:r>
      <w:r w:rsidRPr="007224C3">
        <w:rPr>
          <w:rStyle w:val="600"/>
          <w:rFonts w:ascii="Times New Roman" w:hAnsi="Times New Roman" w:cs="Times New Roman"/>
          <w:color w:val="0070C0"/>
          <w:sz w:val="16"/>
          <w:szCs w:val="16"/>
        </w:rPr>
        <w:softHyphen/>
        <w:t>ботки тяжелого танка «Объект 701», но при этом в третьем пункте постановления указыва</w:t>
      </w:r>
      <w:r w:rsidRPr="007224C3">
        <w:rPr>
          <w:rStyle w:val="600"/>
          <w:rFonts w:ascii="Times New Roman" w:hAnsi="Times New Roman" w:cs="Times New Roman"/>
          <w:color w:val="0070C0"/>
          <w:sz w:val="16"/>
          <w:szCs w:val="16"/>
        </w:rPr>
        <w:softHyphen/>
        <w:t>лось на необходимость в трехмесячный срок провести модернизацию ИС-2. При этом при модернизации следовало учитывать опыт раз</w:t>
      </w:r>
      <w:r w:rsidRPr="007224C3">
        <w:rPr>
          <w:rStyle w:val="600"/>
          <w:rFonts w:ascii="Times New Roman" w:hAnsi="Times New Roman" w:cs="Times New Roman"/>
          <w:color w:val="0070C0"/>
          <w:sz w:val="16"/>
          <w:szCs w:val="16"/>
        </w:rPr>
        <w:softHyphen/>
        <w:t>работки «Объекта 701»</w:t>
      </w:r>
      <w:r w:rsidRPr="007224C3">
        <w:rPr>
          <w:rStyle w:val="600"/>
          <w:rFonts w:ascii="Times New Roman" w:hAnsi="Times New Roman" w:cs="Times New Roman"/>
          <w:color w:val="0070C0"/>
          <w:sz w:val="16"/>
          <w:szCs w:val="16"/>
          <w:lang w:val="ru-RU"/>
        </w:rPr>
        <w:t xml:space="preserve"> (19880)</w:t>
      </w:r>
      <w:r w:rsidRPr="007224C3">
        <w:rPr>
          <w:rStyle w:val="600"/>
          <w:rFonts w:ascii="Times New Roman" w:hAnsi="Times New Roman" w:cs="Times New Roman"/>
          <w:color w:val="0070C0"/>
          <w:sz w:val="16"/>
          <w:szCs w:val="16"/>
        </w:rPr>
        <w:t>.</w:t>
      </w:r>
    </w:p>
    <w:p w14:paraId="29A1B788" w14:textId="77777777" w:rsidR="008B5CA2" w:rsidRPr="007224C3" w:rsidRDefault="008B5CA2" w:rsidP="007224C3">
      <w:pPr>
        <w:pStyle w:val="1131"/>
        <w:shd w:val="clear" w:color="auto" w:fill="auto"/>
        <w:spacing w:line="240" w:lineRule="auto"/>
        <w:ind w:firstLine="0"/>
        <w:rPr>
          <w:rStyle w:val="600"/>
          <w:rFonts w:ascii="Times New Roman" w:hAnsi="Times New Roman" w:cs="Times New Roman"/>
          <w:color w:val="0070C0"/>
          <w:sz w:val="16"/>
          <w:szCs w:val="16"/>
        </w:rPr>
      </w:pPr>
    </w:p>
    <w:p w14:paraId="5C9FE371" w14:textId="77777777" w:rsidR="00AA077A" w:rsidRPr="007224C3" w:rsidRDefault="00AA077A" w:rsidP="007224C3">
      <w:pPr>
        <w:pStyle w:val="ae"/>
        <w:shd w:val="clear" w:color="auto" w:fill="FFFFFF"/>
        <w:spacing w:before="0" w:after="0"/>
        <w:jc w:val="both"/>
        <w:textAlignment w:val="baseline"/>
        <w:rPr>
          <w:color w:val="000000" w:themeColor="text1"/>
          <w:sz w:val="16"/>
          <w:szCs w:val="16"/>
        </w:rPr>
      </w:pPr>
      <w:r w:rsidRPr="007224C3">
        <w:rPr>
          <w:color w:val="000000" w:themeColor="text1"/>
          <w:sz w:val="16"/>
          <w:szCs w:val="16"/>
        </w:rPr>
        <w:t>8 апреля 1944 года вышло постановление ГКО №5583сс «Об изготовлении опытных образцов нового тяжёлого танка на Кировском заводе НКТП». Помимо разработки и постройки опытных образцов тяжёлого танка Объект 701, в постановлении шла речь о модернизированном ИС-2. В трёхмесячный срок требовалось разработать и изготовить улучшенный вариант танка. Главными требованиями являлись усиление броневой защиты, а также повышение надёжности ходовой части и трансмиссии (19150).</w:t>
      </w:r>
    </w:p>
    <w:p w14:paraId="7CE54ADD" w14:textId="77777777" w:rsidR="00AA077A" w:rsidRPr="007224C3" w:rsidRDefault="00AA077A" w:rsidP="007224C3">
      <w:pPr>
        <w:pStyle w:val="ae"/>
        <w:shd w:val="clear" w:color="auto" w:fill="FFFFFF"/>
        <w:spacing w:before="0" w:after="0"/>
        <w:jc w:val="both"/>
        <w:textAlignment w:val="baseline"/>
        <w:rPr>
          <w:color w:val="000000" w:themeColor="text1"/>
          <w:sz w:val="16"/>
          <w:szCs w:val="16"/>
        </w:rPr>
      </w:pPr>
    </w:p>
    <w:p w14:paraId="0375FC85" w14:textId="77777777" w:rsidR="00AA077A" w:rsidRPr="007224C3" w:rsidRDefault="00AA077A" w:rsidP="007224C3">
      <w:pPr>
        <w:pStyle w:val="ae"/>
        <w:spacing w:before="0" w:after="0"/>
        <w:jc w:val="both"/>
        <w:textAlignment w:val="baseline"/>
        <w:rPr>
          <w:color w:val="000000" w:themeColor="text1"/>
          <w:sz w:val="16"/>
          <w:szCs w:val="16"/>
        </w:rPr>
      </w:pPr>
      <w:r w:rsidRPr="007224C3">
        <w:rPr>
          <w:color w:val="000000" w:themeColor="text1"/>
          <w:sz w:val="16"/>
          <w:szCs w:val="16"/>
        </w:rPr>
        <w:t>8 апреля 1944 года По этой причине Малышев представил два варианта проекта постановления ГКО. Варианты отличались местом выпуска танков. Первый вариант предполагал, что на Коломенском заводе НКТМ будет создана новая производственная площадка. В Коломне организовывалось производство бронекорпусов, ходовой части, а также непосредственная сборка. Проблема состояла в том, что ради выпуска танков в Коломне требовалось пожертвовать сразу двумя заводами, выпускавшими лёгкие самоходные артиллерийские установки </w:t>
      </w:r>
      <w:hyperlink r:id="rId101" w:history="1">
        <w:r w:rsidRPr="007224C3">
          <w:rPr>
            <w:rStyle w:val="a5"/>
            <w:bCs/>
            <w:iCs/>
            <w:color w:val="000000" w:themeColor="text1"/>
            <w:sz w:val="16"/>
            <w:szCs w:val="16"/>
            <w:bdr w:val="none" w:sz="0" w:space="0" w:color="auto" w:frame="1"/>
          </w:rPr>
          <w:t>СУ-76М</w:t>
        </w:r>
      </w:hyperlink>
      <w:r w:rsidRPr="007224C3">
        <w:rPr>
          <w:color w:val="000000" w:themeColor="text1"/>
          <w:sz w:val="16"/>
          <w:szCs w:val="16"/>
        </w:rPr>
        <w:t>. Во-первых, в Коломну из Кирова возвращался завод №38, чьи производственные возможности позволяли сравнительно быстро довести выпуск Т-44 до 300 штук в месяц. Во-вторых, на заводе №40 в Мытищах планировалось организовать выпуск элементов трансмиссии Т-44.</w:t>
      </w:r>
    </w:p>
    <w:p w14:paraId="60653416" w14:textId="77777777" w:rsidR="00AA077A" w:rsidRPr="007224C3" w:rsidRDefault="00AA077A" w:rsidP="007224C3">
      <w:pPr>
        <w:pStyle w:val="ae"/>
        <w:spacing w:before="0" w:after="0"/>
        <w:jc w:val="both"/>
        <w:textAlignment w:val="baseline"/>
        <w:rPr>
          <w:color w:val="000000" w:themeColor="text1"/>
          <w:sz w:val="16"/>
          <w:szCs w:val="16"/>
        </w:rPr>
      </w:pPr>
      <w:r w:rsidRPr="007224C3">
        <w:rPr>
          <w:color w:val="000000" w:themeColor="text1"/>
          <w:sz w:val="16"/>
          <w:szCs w:val="16"/>
        </w:rPr>
        <w:t>Альтернативным вариантом являлось возрождение танкового производства на Сталинградском тракторном заводе. Сильно разрушенное предприятие требовалось ещё восстановить, так что больше 175 танков за 1944 год СТЗ сдать не мог. К тому же, на СТЗ планировалось восстанавливать выпуск тракторов, который в случае с запуском производства Т-44 переносился на конец 1945 года. Смежником по выпуску корпусов становился завод №264, где также было необходимо восстанавливать корпусное производство. Впрочем, завод №264 вскоре всё равно привлекли к производству рубок по </w:t>
      </w:r>
      <w:hyperlink r:id="rId102" w:history="1">
        <w:r w:rsidRPr="007224C3">
          <w:rPr>
            <w:rStyle w:val="a5"/>
            <w:bCs/>
            <w:iCs/>
            <w:color w:val="000000" w:themeColor="text1"/>
            <w:sz w:val="16"/>
            <w:szCs w:val="16"/>
            <w:bdr w:val="none" w:sz="0" w:space="0" w:color="auto" w:frame="1"/>
          </w:rPr>
          <w:t>ИСУ-152</w:t>
        </w:r>
      </w:hyperlink>
      <w:r w:rsidRPr="007224C3">
        <w:rPr>
          <w:color w:val="000000" w:themeColor="text1"/>
          <w:sz w:val="16"/>
          <w:szCs w:val="16"/>
        </w:rPr>
        <w:t>, так что отчасти данный вопрос отпал. В целом же Малышев выступал за организацию выпуска Т-44 в Коломне. Первые 25 танков там планировалось сдать в июле 1944 года, постепенно, к декабрю 1944 года, доведя ежемесячный выпуск до 300 штук. Впрочем, и этот вариант также не устроил руководство. Выбирать приходилось из плохого и ещё худшего вариантов: в одном случае весь выпуск лёгких САУ ложился на ГАЗ, а с учётом торпедирования заводским руководством новых разработок после войны СССР остался бы вовсе без разработчиков лёгких самоходок. В случае же с СТЗ требовалось возродить танковый завод почти с нуля (19047).</w:t>
      </w:r>
    </w:p>
    <w:p w14:paraId="258C0B8E" w14:textId="77777777" w:rsidR="00AA077A" w:rsidRPr="007224C3" w:rsidRDefault="00AA077A" w:rsidP="007224C3">
      <w:pPr>
        <w:spacing w:after="0" w:line="240" w:lineRule="auto"/>
        <w:jc w:val="both"/>
        <w:textAlignment w:val="baseline"/>
        <w:rPr>
          <w:rFonts w:ascii="Times New Roman" w:hAnsi="Times New Roman"/>
          <w:color w:val="000000" w:themeColor="text1"/>
          <w:sz w:val="16"/>
          <w:szCs w:val="16"/>
        </w:rPr>
      </w:pPr>
    </w:p>
    <w:p w14:paraId="08A41F1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апреля 1944 г. Постановлением был открыт заказ за №701, согласно которому Кировский завод должен был изготовить два опытных образца нового тяжелого танка и один бронекорпус... Срок изготовления — 3 месяца (11135).</w:t>
      </w:r>
    </w:p>
    <w:p w14:paraId="1B49099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C02096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апреля 1944 г. постановлением ГКО № 5583сс ЧКЗ был открыт заказ за № 701 на изготовление двух опытных образ</w:t>
      </w:r>
      <w:r w:rsidRPr="007224C3">
        <w:rPr>
          <w:rFonts w:ascii="Times New Roman" w:hAnsi="Times New Roman"/>
          <w:color w:val="000000" w:themeColor="text1"/>
          <w:sz w:val="16"/>
          <w:szCs w:val="16"/>
        </w:rPr>
        <w:softHyphen/>
        <w:t>цов нового тяжелого танка. Первый образец, «Объект 70 Г» № 0 (со 122-мм пушкой Д-25Т), был готов к маю 1944 г. и в течении последующих полутора месяцев проходил завод</w:t>
      </w:r>
      <w:r w:rsidRPr="007224C3">
        <w:rPr>
          <w:rFonts w:ascii="Times New Roman" w:hAnsi="Times New Roman"/>
          <w:color w:val="000000" w:themeColor="text1"/>
          <w:sz w:val="16"/>
          <w:szCs w:val="16"/>
        </w:rPr>
        <w:softHyphen/>
        <w:t>ские испытания в объеме 1230 км. После внесения в конст</w:t>
      </w:r>
      <w:r w:rsidRPr="007224C3">
        <w:rPr>
          <w:rFonts w:ascii="Times New Roman" w:hAnsi="Times New Roman"/>
          <w:color w:val="000000" w:themeColor="text1"/>
          <w:sz w:val="16"/>
          <w:szCs w:val="16"/>
        </w:rPr>
        <w:softHyphen/>
        <w:t>рукцию необходимых изменений, ЧКЗ изготовил две других машины - «Объект 701» № 1 (со 122-мм пушкой С-34-П) и «Объект 701» № 3 (со 100-мм пушкой С-34-1) (11135).</w:t>
      </w:r>
    </w:p>
    <w:p w14:paraId="5530621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2F7E0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апреля 1944 вышло Постановление ГКО № 5562 О восстановлении производства паровых и гидравлических турбин на Ленинградском металлическом заводе имени Сталина. РГАНИР, Фонд ГКО, д. 226, лл. 65-68,69-87 (11012).</w:t>
      </w:r>
    </w:p>
    <w:p w14:paraId="0503519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B5E401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апреля 1944 г. вышло постановление ГКО № 5562 о восстановлении на заводе (Завод № 371 ИМ. Сталина НКВ, Компания Санкт-Петербургского металлического завода, Петроградский металлический завод, Ленинградский металлический завод (JIM3) крупного машиностроения, Государственный завод ВТУЗ им. Сталина, ЛМЗ ВТУЗ им. Сталина НКТП, НКМ, Завод им. Сталина НКОП, Минтяжмаша, МТиТМ, Дважды ордена Ленина ЛМЗ им. XXII съезда КПСС, АООТ, ОАО «ЛМЗ» / г. Санкт-Петербург,  г. Петроград,  г. Ленинград/ /195009  г. Санкт-Петербург Свердловская наб., д. 18 тел. 593-70-01/) производства паровых и гидравлических турбин; 16.03.1945 г. - постановление ГКО № 7849 о производстве башенных и открытых артустановок.</w:t>
      </w:r>
    </w:p>
    <w:p w14:paraId="19CE50B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03.1944 г. завод № 371 передан в ведение Главкотлотурбопрома НКТМ и вновь переименован в ЛМЗ им. Сталина. С 28.02.1953 г. — в ведении Главкотлотурбопрома МТиТМ, с 1957 г. - Управления тяжелого машиностроения ЛенСНХ. С 01.1962 г. - Дважды ордена Ленина ЛМЗ им. XXII съезда КПСС, с 11.1965 г. - в ведении ГУ турбинной промышленности Министерства тяжелого, энергетического и транспортного машиностроения. По приказу от 28.08.1975 г. завод вошел в состав ПО турбостроения, с 1988 г. - в составе объединения «Энергомаш».</w:t>
      </w:r>
    </w:p>
    <w:p w14:paraId="1AFBF8C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После войны завод реконструирован, построены новые цехи. В 08.1974 г. на заводе произошел пожар, в результате которого сгорели три цеха (в т.ч. по изготовлению ПУ для ПКР «Базальт»).</w:t>
      </w:r>
      <w:r w:rsidRPr="007224C3">
        <w:rPr>
          <w:rFonts w:ascii="Times New Roman" w:hAnsi="Times New Roman"/>
          <w:color w:val="000000" w:themeColor="text1"/>
          <w:sz w:val="16"/>
          <w:szCs w:val="16"/>
          <w:vertAlign w:val="superscript"/>
        </w:rPr>
        <w:t>142</w:t>
      </w:r>
    </w:p>
    <w:p w14:paraId="4F83411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1949 г. велось производство морской артиллерийской башенной установки МК-5бис, пост. СМ № 1846-987 от 29.10.1955 г. оно прекращено.</w:t>
      </w:r>
    </w:p>
    <w:p w14:paraId="7964A03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1956 г. на заводе проведен эксперимент по проверке отсутствия соударения ракеты Р-7 со стартовым комплексом при старте. Для этого на заводе изготовлена траверса, на которой поднимали ракету.</w:t>
      </w:r>
      <w:r w:rsidRPr="007224C3">
        <w:rPr>
          <w:rFonts w:ascii="Times New Roman" w:hAnsi="Times New Roman"/>
          <w:color w:val="000000" w:themeColor="text1"/>
          <w:sz w:val="16"/>
          <w:szCs w:val="16"/>
          <w:vertAlign w:val="superscript"/>
        </w:rPr>
        <w:t>77</w:t>
      </w:r>
    </w:p>
    <w:p w14:paraId="246332C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1956 г. начат выпуск газовых турбин. Всего на ЛМЗ изготовлено (на начало 2000-х  г.) 2750 турбин. В 1958 г. начат выпуск газотурбинных установок.</w:t>
      </w:r>
    </w:p>
    <w:p w14:paraId="0CA0ADA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1970 г. спроектирована гидротурбина для Саянской ГЭС мощностью 815 МВт.</w:t>
      </w:r>
    </w:p>
    <w:p w14:paraId="0B31B41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25.11.1992 г. завод акционирован и преобразован в АООТ, затем - ОАО ЛМЗ.</w:t>
      </w:r>
      <w:r w:rsidRPr="007224C3">
        <w:rPr>
          <w:rFonts w:ascii="Times New Roman" w:hAnsi="Times New Roman"/>
          <w:color w:val="000000" w:themeColor="text1"/>
          <w:sz w:val="16"/>
          <w:szCs w:val="16"/>
          <w:vertAlign w:val="superscript"/>
        </w:rPr>
        <w:t>131</w:t>
      </w:r>
    </w:p>
    <w:p w14:paraId="0CD6651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2000-х  г. часть площадей завода передана ЗАО «Яровит моторе», организовано производство грузовиков собственной конструкции.</w:t>
      </w:r>
    </w:p>
    <w:p w14:paraId="17F2016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Производство (2000-е  г.): газотурбинные установки; паровые турбины для ТЭЦ, АЭС.</w:t>
      </w:r>
    </w:p>
    <w:p w14:paraId="3A2D57B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ЛМЗ являлся филиалом концерна «Силовые машины» (2002 г.).</w:t>
      </w:r>
    </w:p>
    <w:p w14:paraId="7889D16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Численность персонала (1996 г.)- 9970 чел., (1998 г.)- около 5 тыс. чел.</w:t>
      </w:r>
    </w:p>
    <w:p w14:paraId="5A334DC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(12.1937 г.)- Тылочкин, (-09-11.1938 г.-)- Н. Г. Никитин, (02.1942 г.)- Седов.</w:t>
      </w:r>
      <w:r w:rsidRPr="007224C3">
        <w:rPr>
          <w:rFonts w:ascii="Times New Roman" w:hAnsi="Times New Roman"/>
          <w:color w:val="000000" w:themeColor="text1"/>
          <w:sz w:val="16"/>
          <w:szCs w:val="16"/>
          <w:vertAlign w:val="superscript"/>
        </w:rPr>
        <w:t>65</w:t>
      </w:r>
      <w:r w:rsidRPr="007224C3">
        <w:rPr>
          <w:rFonts w:ascii="Times New Roman" w:hAnsi="Times New Roman"/>
          <w:color w:val="000000" w:themeColor="text1"/>
          <w:sz w:val="16"/>
          <w:szCs w:val="16"/>
        </w:rPr>
        <w:t xml:space="preserve"> Гендиректор (-1998-99 г.- )- В. Чернышев, (-2003-02.2004 г.)- В. Шевченко, (02.2004 г.-)- И. Сорочан.</w:t>
      </w:r>
    </w:p>
    <w:p w14:paraId="7D3BEB1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1-й зам. Гендиректора (-1990 г.)- В.К. Глухих. Зам. гендиректора (-02.2004 г.)- И. Сорочан.</w:t>
      </w:r>
      <w:r w:rsidRPr="007224C3">
        <w:rPr>
          <w:rFonts w:ascii="Times New Roman" w:hAnsi="Times New Roman"/>
          <w:color w:val="000000" w:themeColor="text1"/>
          <w:sz w:val="16"/>
          <w:szCs w:val="16"/>
          <w:vertAlign w:val="superscript"/>
        </w:rPr>
        <w:t>1ш</w:t>
      </w:r>
      <w:r w:rsidRPr="007224C3">
        <w:rPr>
          <w:rFonts w:ascii="Times New Roman" w:hAnsi="Times New Roman"/>
          <w:color w:val="000000" w:themeColor="text1"/>
          <w:sz w:val="16"/>
          <w:szCs w:val="16"/>
        </w:rPr>
        <w:t>*</w:t>
      </w:r>
      <w:r w:rsidRPr="007224C3">
        <w:rPr>
          <w:rFonts w:ascii="Times New Roman" w:hAnsi="Times New Roman"/>
          <w:color w:val="000000" w:themeColor="text1"/>
          <w:sz w:val="16"/>
          <w:szCs w:val="16"/>
          <w:vertAlign w:val="superscript"/>
        </w:rPr>
        <w:t>йпмоГ8</w:t>
      </w:r>
    </w:p>
    <w:p w14:paraId="7EB7A23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Технический директор (04.1937 г.)-проф. М.И. Гринбер г.</w:t>
      </w:r>
    </w:p>
    <w:p w14:paraId="65D7A47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инженер (11.1938 г.)- Н. Г. Шанцев, (-1990 г.)- В.К. Глухих.</w:t>
      </w:r>
      <w:r w:rsidRPr="007224C3">
        <w:rPr>
          <w:rFonts w:ascii="Times New Roman" w:hAnsi="Times New Roman"/>
          <w:color w:val="000000" w:themeColor="text1"/>
          <w:sz w:val="16"/>
          <w:szCs w:val="16"/>
          <w:vertAlign w:val="superscript"/>
        </w:rPr>
        <w:t>49</w:t>
      </w:r>
    </w:p>
    <w:p w14:paraId="1CCCA2B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Помощник гл. инженера (-1912-14 г.-)- В. Смыслов.</w:t>
      </w:r>
    </w:p>
    <w:p w14:paraId="718B6FF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технолог (1938 г.)- Захаров.</w:t>
      </w:r>
    </w:p>
    <w:p w14:paraId="0D5351F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Начальники цехов: котельного (1912 г.)- Ф.К. Тихонов; (1946 г.)- В.А. Носанов.</w:t>
      </w:r>
    </w:p>
    <w:p w14:paraId="507D291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 отделами: судостроительным (1912 г.)- И.П. Косюра. Начальники отделов: подготовки производства (1938 г.)- Вихерев. Начальник УКС (09.1938 г.)- Александров.</w:t>
      </w:r>
    </w:p>
    <w:p w14:paraId="6C9ED49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строитель (1913 г.-)- В.Н. Корнилович.</w:t>
      </w:r>
    </w:p>
    <w:p w14:paraId="244F62C7" w14:textId="77777777" w:rsidR="002F4B64"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iCs/>
          <w:color w:val="000000" w:themeColor="text1"/>
          <w:sz w:val="16"/>
          <w:szCs w:val="16"/>
        </w:rPr>
        <w:t>Производство:</w:t>
      </w:r>
      <w:r w:rsidRPr="007224C3">
        <w:rPr>
          <w:rFonts w:ascii="Times New Roman" w:hAnsi="Times New Roman"/>
          <w:color w:val="000000" w:themeColor="text1"/>
          <w:sz w:val="16"/>
          <w:szCs w:val="16"/>
        </w:rPr>
        <w:t xml:space="preserve"> ПЛ С.К. Джевецкого «Почтовый» (1906-), эсминец типа «Орфей» (1917)- 8, тральщик типа «Ударник» (1917-, не достроены)- 8;</w:t>
      </w:r>
      <w:r w:rsidRPr="007224C3">
        <w:rPr>
          <w:rFonts w:ascii="Times New Roman" w:hAnsi="Times New Roman"/>
          <w:iCs/>
          <w:color w:val="000000" w:themeColor="text1"/>
          <w:sz w:val="16"/>
          <w:szCs w:val="16"/>
        </w:rPr>
        <w:t xml:space="preserve"> артиллерийские башни:</w:t>
      </w:r>
      <w:r w:rsidRPr="007224C3">
        <w:rPr>
          <w:rFonts w:ascii="Times New Roman" w:hAnsi="Times New Roman"/>
          <w:color w:val="000000" w:themeColor="text1"/>
          <w:sz w:val="16"/>
          <w:szCs w:val="16"/>
        </w:rPr>
        <w:t xml:space="preserve"> 305-мм для броненосцев «Сисой Великий», «Полтава», «Севастополь», «Ретвюан», «Бородино», «Орел», «Слава» (1890-е), для линкора «Севастополь» (1910)- 4, 152-мм для крейсера «Олег» (1901), 203-мм для броненосцев типа «Император Павел I» (1906-), для линкоров пр. 23 (1930-е), для крейсеров пр. 26бис (1930-е), 3-орудийная 305-мм (1937); морская артустановка 180-мм МУ-1 (1947-8)- 12, 3-орудийные 152-мм МК-5 для пр. 68К (1948-49)- 20, МК-5бис (1949-55)- 88; подводные торпедные аппараты для броненосцев (1890-е);</w:t>
      </w:r>
      <w:r w:rsidRPr="007224C3">
        <w:rPr>
          <w:rFonts w:ascii="Times New Roman" w:hAnsi="Times New Roman"/>
          <w:iCs/>
          <w:color w:val="000000" w:themeColor="text1"/>
          <w:sz w:val="16"/>
          <w:szCs w:val="16"/>
        </w:rPr>
        <w:t xml:space="preserve"> турбины:</w:t>
      </w:r>
      <w:r w:rsidRPr="007224C3">
        <w:rPr>
          <w:rFonts w:ascii="Times New Roman" w:hAnsi="Times New Roman"/>
          <w:color w:val="000000" w:themeColor="text1"/>
          <w:sz w:val="16"/>
          <w:szCs w:val="16"/>
        </w:rPr>
        <w:t xml:space="preserve"> судовые Кертис-АЭГ-Вулкан для эсминцев (1913); для Индийской АЭС; судовые котлы Вулкан-Ярроу для эсминцев (1913); механизмы: для эсминцев серии «Ж» (1900-е), пр. 7 (1930-е); ПУ для ПКР «Базальт» (1970-е); ГТК-10 для газоперекачивающих станций; гидроагрегаты: для Красноярской ГЭС мощностью 508 МВт (1965), для Саяно-Шушенской ГЭС по 640 МВт (1970-е)-10.</w:t>
      </w:r>
    </w:p>
    <w:p w14:paraId="148D3AB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КБ-1 ЛМЗ</w:t>
      </w:r>
    </w:p>
    <w:p w14:paraId="09136BA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 ВОВ - разработка корабельных артиллерийских башен.</w:t>
      </w:r>
      <w:r w:rsidRPr="007224C3">
        <w:rPr>
          <w:rFonts w:ascii="Times New Roman" w:hAnsi="Times New Roman"/>
          <w:color w:val="000000" w:themeColor="text1"/>
          <w:sz w:val="16"/>
          <w:szCs w:val="16"/>
          <w:vertAlign w:val="superscript"/>
        </w:rPr>
        <w:t>61</w:t>
      </w:r>
      <w:r w:rsidRPr="007224C3">
        <w:rPr>
          <w:rFonts w:ascii="Times New Roman" w:hAnsi="Times New Roman"/>
          <w:color w:val="000000" w:themeColor="text1"/>
          <w:sz w:val="16"/>
          <w:szCs w:val="16"/>
        </w:rPr>
        <w:t xml:space="preserve"> В 1920-е  г. разработаны артустановки главного калибра МК-1-180 на базе орудия Б-1 для крейсера «Красный Кавказ», МК-3-180 для крейсера «Ворошилов». Для крейсера пр. 69 разработана башня МК-15 для 305-мм пушки Б-50. В 1938 г. разработаны башни для 152-мм пушки Б-38: двухорудийные МК-4 для линкора пр. 23, МК-17 для крейсера пр. 69; трехорудийная МК-5 для крейсера пр. 68. В 1940 г. спроектирована 2-орудийная башня МК-18 со 130-мм пушками Б-51 для крейсера пр. МК-6.</w:t>
      </w:r>
    </w:p>
    <w:p w14:paraId="4916D83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конце 1940-х  г. начата разработка 3-орудийной башенной установки СМ-31 для 305-мм пушек СМ-33 (совместно с ЦКБ-34), в 1953 г. работы прекращены.</w:t>
      </w:r>
    </w:p>
    <w:p w14:paraId="0C708B72" w14:textId="77777777" w:rsidR="002F4B64"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Заведующий (1920-е)- Р.Н. Вульф. Начальник (-1941 г.)- Т.Д. Вылкост.</w:t>
      </w:r>
    </w:p>
    <w:p w14:paraId="54A25E5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ОАО «Силовые машины»</w:t>
      </w:r>
    </w:p>
    <w:p w14:paraId="740B20B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Концерн «Силовые машины» создан в 2000 г. Производитель гидрогенераторных турбин, оборудования машинных залов электростанций, в т.ч. атомных. В концерн входили в качестве филиалов ЛМЗ, ОАО «Электросила» (с 2000 г.), АО «Завод турбинных лопаток» (ЗТЛ), Калужский турбинный завод (КТЗ). Входил в ФПГ «Интеррос». В 12.2003 г. начался процесс объединения с ОМЗ, с образованием холдинга «ОМЗ-СМ».</w:t>
      </w:r>
    </w:p>
    <w:p w14:paraId="69F26A1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1-й зам. гендиректора (2003 г.)- М. Наумченко. Зам. гендиректора: по экономике и финансам (-2003-07.2005 г.)- Н. Кузнецов, (03.2006 г.-)- В. Рогожев; (2004 г.)- О. Юхтенко, (2004 г.)- В. Шевченко, (09.2006 г.-)- И. Дубинников.</w:t>
      </w:r>
    </w:p>
    <w:p w14:paraId="13DCBFF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управляющий (10.2006-07 г.-)- А. Чуваев; по стратегии и корпоративным вопросам (-2003-04 г.-)- П. Скитович, по стратегическому развитию и контроллингу (11.2007 г.-)- А. Ранцев; по экономике и финансам (11.2007 г.-)- В. Чечнев; по промышленной интеграции (-2004 г.)- В. Шевченко; административный (09.2006 г.-)- И. Дубинников; по управлению персоналом (-2006-07 г.-)- О. Г. Морозова; по информационным технологиям (2006 г.)- А.Е. Никитин; по общественным связям и рекламе (2006 г.)- В.В. Вергельская.</w:t>
      </w:r>
    </w:p>
    <w:p w14:paraId="16BCFE69" w14:textId="77777777" w:rsidR="002F4B64"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Начальники управлений: информационных технологий (2007 г.)- А.Л. Банкевич.</w:t>
      </w:r>
    </w:p>
    <w:p w14:paraId="6B78C4E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Глухоозерский механический завод, Завод «Металлокомбинат» ММП РСФСР, Ленинградский государственный завод турбинных лопаток (ЗТЛ) им. 50-летня СССР, АООТ, ОАО «ЗТЛ» /г. Санкт-Петербург/</w:t>
      </w:r>
    </w:p>
    <w:p w14:paraId="1326CC0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Глухоозерский механический завод основан в 1914 г.</w:t>
      </w:r>
    </w:p>
    <w:p w14:paraId="526EEB8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приказу Ленгортреста местной промышленности от 30.03.1932 г. на базе Глухоозерского мехзавода открыт завод «Металлокомбинат». Пост. СМ РСФСР от 14.09.1954 г. завод передан в ведение ГУ металлопрокатных и чугунно-литейных заводов ММП РСФСР. С 07.1957 г. - в ведении Управления металлургической промышленности ЛенСНХ, с 01.1964 г. - Управления тяжелого машиностроения ЛенСНХ. В конце 1965 г. передан Министерству тяжелого, энергетического и транспортного машиностроения и переименован в Ленинградский государственный ЗТЛ. 6.02.1981 г. на базе завода создано ПО «Ленинградский ЗТЛ».</w:t>
      </w:r>
    </w:p>
    <w:p w14:paraId="044FA8D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18.12.1992 г. завод преобразован в АООТ, затем - ОАО «ЗТЛ».</w:t>
      </w:r>
      <w:r w:rsidRPr="007224C3">
        <w:rPr>
          <w:rFonts w:ascii="Times New Roman" w:hAnsi="Times New Roman"/>
          <w:color w:val="000000" w:themeColor="text1"/>
          <w:sz w:val="16"/>
          <w:szCs w:val="16"/>
          <w:vertAlign w:val="superscript"/>
        </w:rPr>
        <w:t>131</w:t>
      </w:r>
    </w:p>
    <w:p w14:paraId="7F0C018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Гендиректор (-2003-04 г.-)- А.П. Балашов. Директор филиала (2005 г.)- А.П. Балашов (11982).</w:t>
      </w:r>
    </w:p>
    <w:p w14:paraId="0AA4CE87" w14:textId="77777777" w:rsidR="002F4B64" w:rsidRPr="007224C3" w:rsidRDefault="002F4B64" w:rsidP="007224C3">
      <w:pPr>
        <w:autoSpaceDE w:val="0"/>
        <w:autoSpaceDN w:val="0"/>
        <w:adjustRightInd w:val="0"/>
        <w:spacing w:after="0" w:line="240" w:lineRule="auto"/>
        <w:jc w:val="both"/>
        <w:rPr>
          <w:rFonts w:ascii="Times New Roman" w:hAnsi="Times New Roman"/>
          <w:color w:val="000000" w:themeColor="text1"/>
          <w:sz w:val="16"/>
          <w:szCs w:val="16"/>
        </w:rPr>
      </w:pPr>
    </w:p>
    <w:p w14:paraId="6F93C30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апреля 1944 вышло Постановление ГКО № 5564 О монтаже котла № 3 на ТЭЦ завода № 19 НКАП. РГАНИР, Фонд ГКО, д. 226, лл. 91-94,95-99 (11012).</w:t>
      </w:r>
    </w:p>
    <w:p w14:paraId="12AD769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3AAC4A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апреля 1944 вышло Распоряжение ГКО № 5565. О поставках химикатов Комитету по делам кинематографии при СНК СССР. РГАНИР, Фонд ГКО, д. 226, лл. 100 (11012).</w:t>
      </w:r>
    </w:p>
    <w:p w14:paraId="694675E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F2542AE"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апреля 1944 вышло Распоряжение ГКО № 5566 [О мобилизации в Марийской АССР 250 рабочих и 170 возчиков с лошадьми на заготовку и вывозку дров для электростанции в Йошкар-Оле.] (7206, 101).</w:t>
      </w:r>
    </w:p>
    <w:p w14:paraId="637BF669"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5A8F4E2"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апреля 1944 вышло Распоряжение ГКО № 5567 [О поставках НКГБ материалов и оборудования во II кв. 1944 г.] (7206, 102,103-115).</w:t>
      </w:r>
    </w:p>
    <w:p w14:paraId="5DC75AAA"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3EE206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апреля 1944 вышло Распоряжение ГКО № 5568. О производстве тягачей на базе танка Т-34 на танкоремонтных заводах НКО. РГАНИР, Фонд ГКО, д. 226, лл. 116 (11012).</w:t>
      </w:r>
    </w:p>
    <w:p w14:paraId="215EA1F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677FBD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апреля 1944 вышло Распоряжение ГКО № 5569. О мерах помощи строительству "Севанстрой". РГАНИР, Фонд ГКО, д. 226, лл. 117-118,119 (11012).</w:t>
      </w:r>
    </w:p>
    <w:p w14:paraId="0406082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6749DB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апреля 1944 вышло Распоряжение ГКО № 5570. О поставках керосина Молотовской обл. РГАНИР, Фонд ГКО, д. 226, лл. 120 (11012).</w:t>
      </w:r>
    </w:p>
    <w:p w14:paraId="72D3102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61F9B7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апреля 1944 вышло Постановление ГКО№ 5571 О балансах и планах распределения сырья и проката цветных металлов, баббитов, припоев, угольных и графитированных электродов, нефтяного кокса и кабельных изделий на квартал 1944 года. РГАНИР, Фонд ГКО, д. 226, лл. 121-123,124-193 (11012).</w:t>
      </w:r>
    </w:p>
    <w:p w14:paraId="259CAC8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6929D25"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апреля 1944 вышло Постановление ГКО № 5571 О балансах и планах распределения сырья и проката цветных металлов, баббитов, припоев, угольных и графитированных электродов, нефтяного кокса и кабельных изделий на II квартал 1944 г. (7206, 121-123,124-193</w:t>
      </w:r>
    </w:p>
    <w:p w14:paraId="41A34478"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8699F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апреля 1944 вышло Постановление ГКО № 5572 О мероприятиях по восстановлению и развитию средств связи Украинской ССР. РГАНИР, Фонд ГКО, д. 226, лл. 194-199,200-213 (11012).</w:t>
      </w:r>
    </w:p>
    <w:p w14:paraId="59CE7C6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187D1DC"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апреля 1944 вышло Постановление ГКО № 5573 О подготовке кирпичных заводов Наркомстройматериалов РСФСР, Наркомместпрома РСФСР и Управления промкооперации при Совнаркоме РСФСР к производственному сезону 1944 г. (7206, 214-216,217-221).</w:t>
      </w:r>
    </w:p>
    <w:p w14:paraId="328ADF95"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4B017D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апреля 1944 вышло Постановление ГКО № 5574 О плане распределения торфа на II квартал 1944 года. РГАНИР, Фонд ГКО, д. 227, лл. 1-2,3-18 (11012).</w:t>
      </w:r>
    </w:p>
    <w:p w14:paraId="4290771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B358639"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апреля 1944 вышло Распоряжение ГКО № 5576 [О мерах по своевременному началу добычи торфа на Арбанском торфопредприятии Марийской АССР.] (7207, 31).</w:t>
      </w:r>
    </w:p>
    <w:p w14:paraId="0F6AFC85"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6663C8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апреля 1944 вышло Постановление ГКО № 5577 О строительстве Нижне-Широковской гидроэлектростанции на реке Косьве Молотовской области. РГАНИР, Фонд ГКО, д. 227, лл. 32 (11012).</w:t>
      </w:r>
    </w:p>
    <w:p w14:paraId="6B2DDCF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981DCB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апреля 1944 вышло Постановление ГКО № 5579 О мероприятиях по восстановлению и строительству объектов Главного артиллерийского управления Красной Армии. РГАНИР, Фонд ГКО, д. 227, лл. 35-37,38-42 (11012).</w:t>
      </w:r>
    </w:p>
    <w:p w14:paraId="65FD70A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6D7D9D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апреля 1944 вышло Постановление ГКО № 5581 Об обеспечении пуска цехов серебрянки на заводах "Серп и Молот" и "Электросталь" Наркомчермета. РГАНИР, Фонд ГКО, д. 227, лл. 46-49,50-51 (11012).</w:t>
      </w:r>
    </w:p>
    <w:p w14:paraId="61CDBE4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D09EFE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апреля 1944 вышло Постановление ГКО № 5582 О мерах по обеспечению работы лаборатории № 2 АН СССР в 1944 г. РГАНИР, Фонд ГКО, д. 227, лл. 52-54,55-62 (11012).</w:t>
      </w:r>
    </w:p>
    <w:p w14:paraId="714554A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BCD351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апреля 1944 вышло Постановление ГКО № 5583 Об изготовлении опытных образцов нового тяжелого танка на Кировском заводе НКТП. РГАНИР, Фонд ГКО, д. 227, лл. 63,64-65 (11012).</w:t>
      </w:r>
    </w:p>
    <w:p w14:paraId="5A7A12E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8345BE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апреля 1944 вышло Постановление ГКО № 5585 О развитии геолого-разведочных работ по радиоактивным элементам в 1944 году. РГАНИР, Фонд ГКО, д. 227, лл. 68-73,74-83 (11012).</w:t>
      </w:r>
    </w:p>
    <w:p w14:paraId="2BB6459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A97C2A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апреля 1944 вышло Распоряжение ГКО № 5586. Об учреждении переходящего Красного знамени ГКО и установлении одной второй и одной третьей премии для победителей во Всесоюзном соцсоревновании среди металлургических заводов и металлургических производств заводов НКТП. РГАНИР, Фонд ГКО, д. 227, лл. 84 (11012).</w:t>
      </w:r>
    </w:p>
    <w:p w14:paraId="7B13B85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E92DCFC"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2334763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EA78DBF" w14:textId="77777777" w:rsidR="002F4B64" w:rsidRPr="007224C3" w:rsidRDefault="002F4B64"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8 апреля</w:t>
      </w:r>
      <w:r w:rsidRPr="007224C3">
        <w:rPr>
          <w:rFonts w:ascii="Times New Roman" w:hAnsi="Times New Roman"/>
          <w:color w:val="000000" w:themeColor="text1"/>
          <w:sz w:val="16"/>
          <w:szCs w:val="16"/>
        </w:rPr>
        <w:t xml:space="preserve"> в 1944 году оперативная сводка Совинформбюро:</w:t>
      </w:r>
    </w:p>
    <w:p w14:paraId="6CF59E98" w14:textId="77777777" w:rsidR="002F4B64" w:rsidRPr="007224C3" w:rsidRDefault="002F4B6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8 апреля западнее города Скала наши войска продолжали вести бои по уничтожению окружённой группировки противника и заняли ряд населённых пунктов, среди которых крупные населённые пункты Езежаны, Лановце, Глубичек, Бильчезлоте, Винятинцы, Касперовцы.</w:t>
      </w:r>
    </w:p>
    <w:p w14:paraId="25D20EA1" w14:textId="77777777" w:rsidR="002F4B64" w:rsidRPr="007224C3" w:rsidRDefault="002F4B6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Войска 1-го Украинского фронта, нанеся поражение противнику в предгорьях Карпат, вышли на нашу государственную границу с Чехословакией и Румынией на фронте протяжением до 200 километров и овладели районными центрами Станиславский области Печенежин, Яблонов, Жабье, районными центрами Черновицкой области городом Вашковцы, городом Вижница, Путила, Глыбока, а также с боями заняли более300 других населённых пунктов, в том числе крупные населённые пункты Космач, Кживорувня, Усьцерыкни, Селетин, Красноильск, Петровцы, Купка, Старый Волчинец, Деутш и железнодорожные станции Косьмин, Адынката, </w:t>
      </w:r>
      <w:r w:rsidRPr="007224C3">
        <w:rPr>
          <w:rFonts w:ascii="Times New Roman" w:hAnsi="Times New Roman"/>
          <w:color w:val="000000" w:themeColor="text1"/>
          <w:sz w:val="16"/>
          <w:szCs w:val="16"/>
        </w:rPr>
        <w:lastRenderedPageBreak/>
        <w:t>Карапчу, Чудин, Косчуя, Тисауцы, Берхомет, Вижница. Преследуя отходящего противника, войска фронта овладели на румынской территории городом Серет и заняли свыше 30 другихнаселённых пунктов и среди них крупные населённые пункты Стража, Михейлены, Дерска.</w:t>
      </w:r>
    </w:p>
    <w:p w14:paraId="0687EF10" w14:textId="77777777" w:rsidR="002F4B64" w:rsidRPr="007224C3" w:rsidRDefault="002F4B6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2-го Украинского фронта форсировали реку Прут севернее города Яссы на участке протяжением 170 километров, прорвали оборону противника и, преследуя войска противника, вышли к реке Серет на фронте протяжением 85 километров, овладели городами дорохой, ботошани, а также с боями заняли более 150 других населённых пунктов, среди которых крупные населённые пункты Сату-Маре, Варфу-Кампулуй, Бучеча, Вледений, Корни, Жолдешти, Тудора, Уричени, Сулица, Кишкерени, Корнеле-Капрей, Фокуриле и железнодорожные станции Шолдана, Рэдиу, Реушений, Тодирений, Трушешти, Унгурений, Ворничени, Броскеуцы, Вакулешти, Леорда, Бучеча.</w:t>
      </w:r>
    </w:p>
    <w:p w14:paraId="27EAF19C" w14:textId="77777777" w:rsidR="002F4B64" w:rsidRPr="007224C3" w:rsidRDefault="002F4B6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Одесском направлении наши войска, продолжая наступление, с боями заняли более 30 населённых пунктов и среди них крупные населённые пункты Зельцы, Кандель, Граденица, Эльзас, Большое Фестерово, Острадовка, Ильинка, Гильдендорф (13 километров севернее Одесса), Александровка. Севернее Раздельная наши войска завершили ликвидацию окружённой группировки противника. В этом районе, по уточнённым данным, в боях за 6 и 7 апреля нашими войсками захвачены следующие трофеи: танков — 40, самоходных орудий «Фердинанд» — 5, орудий разного калибра —188, пулемётов — 284, лошадей — 1.000 и много другого военного имущества. Взято в плен 3.200 немецких солдат и офицеров, причём имели место случаи организованной сдачи в плен целых немецких подразделений. Противник оставил наполе боя более 7.000 трупов солдат и офицеров.</w:t>
      </w:r>
    </w:p>
    <w:p w14:paraId="7B43BB5F" w14:textId="77777777" w:rsidR="002F4B64" w:rsidRPr="007224C3" w:rsidRDefault="002F4B6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 бои местного значения.</w:t>
      </w:r>
    </w:p>
    <w:p w14:paraId="70781336" w14:textId="77777777" w:rsidR="002F4B64" w:rsidRPr="007224C3" w:rsidRDefault="002F4B6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7 апреля наши войска на всех фронтах подбили и уничтожили 41 немецкий танк. В воздушных боях и огнём зенитной артиллерии сбито 92 самолёта противника.</w:t>
      </w:r>
    </w:p>
    <w:p w14:paraId="4985E771" w14:textId="77777777" w:rsidR="002F4B64" w:rsidRPr="007224C3" w:rsidRDefault="002F4B6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города Скала наши войска продолжали вести бои по уничтожению окружённой группировки противника. Части Н-ского соединения переправились через водный рубеж и стремительным манёвром отсекли группу немцев от основных их сил. В ожесточённой схватке советские пехотинцы и танкисты истребили свыше 900 гитлеровцев. Остальные немецкие солдаты и офицеры численностью в 300 человек сложили оружие и сдались в плен. Захвачено 2 танка, 3 самоходных и 8 полевых орудий, 57 пулемётов, 19 миномётов и более 100 автомашин с различными грузами.</w:t>
      </w:r>
    </w:p>
    <w:p w14:paraId="310CB863" w14:textId="77777777" w:rsidR="002F4B64" w:rsidRPr="007224C3" w:rsidRDefault="002F4B6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Немецкие войска предпринимали новые попытки прорвать кольцо окружения. Крупные силы пехоты и танков противника на различных участках бросались в атаки, но всюду встречали непроходимую стену огня и откатывались назад, оставляя на поле боя сотни убитых и раненых солдат и офицеров. Только на одном участке уничтожено до двух батальонов гитлеровцев, подбито и сожжено 19 танков и 4 самоходных орудия.</w:t>
      </w:r>
    </w:p>
    <w:p w14:paraId="500A7BBD" w14:textId="77777777" w:rsidR="002F4B64" w:rsidRPr="007224C3" w:rsidRDefault="002F4B6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Наша авиация поддерживала действия наземных частей и наносила непрерывные удары по войскам противника. Советские лётчики уничтожили 18 немецких танков, 12 бронетранспортёров и до 200 автомашин с войсками и грузами.</w:t>
      </w:r>
    </w:p>
    <w:p w14:paraId="3D39F054" w14:textId="77777777" w:rsidR="002F4B64" w:rsidRPr="007224C3" w:rsidRDefault="002F4B6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2-го Украинского фронта форсировали реку Прут севернее города Яссы на участке протяжением в 170 километров. Местность, пересечённая рядом высот и холмов, давала возможность вражеским войскам создать сильно укреплённые оборонительные позиции. Дожди и непролазная грязь также крайне затрудняли продвижение наших войск. Стремительными ударами советские бойцы опрокинули противника и, быстро продвигаясь вперёд, вышли к румынскому городу Ботошани. Противник пытался оказать сопротивление, но был смят мощным ударом наших войск. Советские части овладели городом Ботошани, городом Дорохой и заняли более 150 других населённых пунктов. Потерпев поражение, немцы пытались отвести свои частиза реку Серет. Преследуя врага по пятам, наши войска прижали гитлеровцев к реке и вновь нанесли им тяжёлый урон в живой силе и технике. Отдельные части противника, в беспорядке отступая, побросали всю свою технику и вооружение. Нашими войсками захвачено много трофеев.</w:t>
      </w:r>
    </w:p>
    <w:p w14:paraId="72C5AB37" w14:textId="77777777" w:rsidR="002F4B64" w:rsidRPr="007224C3" w:rsidRDefault="002F4B6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Одесском направлении наши войска продолжали наступление. Части Н-ского соединения с боями продвигались вдоль западного берега Хаджибейского лимана и очистили от немцев ряд населённых пунктов. Наши подвижные отряды прорываются в тылы противника и, отрезая пути отхода, наносят ему тяжёлый урон. В течение дня на этом участке уничтожено более батальона гитлеровцев. Захвачены у немцев 2 танка, 38 орудий и 5 миномётов. Подвижные части, действующие в низовьях Днестра, взяли в плен свыше 700 немецких и румынских солдат и офицеров.</w:t>
      </w:r>
    </w:p>
    <w:p w14:paraId="244661FB" w14:textId="77777777" w:rsidR="002F4B64" w:rsidRPr="007224C3" w:rsidRDefault="002F4B6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Группировка противника, окружённая севернее города Раздельная, пыталась пробиться на запад. Советские войска прижали немцев к разлившейся речке Кучурган и расчленили их на отдельные изолированные части. Многие немецкие солдаты и офицеры прекратили сопротивление и сложили оружие. Отдельные гитлеровцы бросались вплавь через речку, но в большинстве своём были убиты и потоплены. К исходу дня вся окружённая группировка противника была ликвидирована.</w:t>
      </w:r>
    </w:p>
    <w:p w14:paraId="3B299D8B" w14:textId="77777777" w:rsidR="002F4B64" w:rsidRPr="007224C3" w:rsidRDefault="002F4B6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Ленинградском фронте лётчики-истребители авиачасти, где командиром дважды Герой Советского Союза Покрышев, за последние дни сбили 16 самолётов противника. Четыре из них сбил лётчик лейтенант Серов. Четвёрка наших самолётов во главе с майором Михайлиным встретила в воздухе 8 немецких истребителей "Фокке-Вульф-190" и атаковала их. В ожесточенном воздушном бою, происходившем на большой высоте, советские лётчики сбили 5 немецких самолётов. Майор Михайлин в этом бою лично сбил два самолёта противника. В тот же день лётчики капитан Лихачёв и младший лейтенант Лисица, патрулируя в воздухе, были атакованы шестёркой вражеских самолётов. В короткой схватке тт. Лихачёв и Лисица уничтожили два самолёта противника. Возвращаясь на свой аэродром, капитан Лихачёв встретил и сбил ещё один немецкий истребитель.</w:t>
      </w:r>
    </w:p>
    <w:p w14:paraId="468DC2A6" w14:textId="77777777" w:rsidR="002F4B64" w:rsidRPr="007224C3" w:rsidRDefault="002F4B6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Группа литовских партизан из отряда имени Костаса Калинаускаса пустила под откос два немецких воинских эшелона. В результате крушений разбиты два паровозаи большое количество вагонов. Под обломками вагонов погибло свыше 200 гитлеровцев. Литовские партизаны проникли в гор. Тракай, уничтожили охрану тюрьмы и освободили 45 советских граждан, томившихся в немецком застенке. В другом районе литовские партизаны спилили сотни телеграфных столбов и сняли 170 километров телеграфно-телефонной линии связи.» (15093).</w:t>
      </w:r>
    </w:p>
    <w:p w14:paraId="47713C63" w14:textId="77777777" w:rsidR="002F4B64" w:rsidRPr="007224C3" w:rsidRDefault="002F4B64" w:rsidP="007224C3">
      <w:pPr>
        <w:spacing w:after="0" w:line="240" w:lineRule="auto"/>
        <w:jc w:val="both"/>
        <w:rPr>
          <w:rFonts w:ascii="Times New Roman" w:hAnsi="Times New Roman"/>
          <w:color w:val="000000" w:themeColor="text1"/>
          <w:sz w:val="16"/>
          <w:szCs w:val="16"/>
        </w:rPr>
      </w:pPr>
    </w:p>
    <w:p w14:paraId="5E2672E3" w14:textId="77777777" w:rsidR="00AA077A" w:rsidRPr="007224C3" w:rsidRDefault="00AA077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ночь с 8 на 9 апреля 1944 45-я АДДД совершила налет на желез</w:t>
      </w:r>
      <w:r w:rsidRPr="007224C3">
        <w:rPr>
          <w:rFonts w:ascii="Times New Roman" w:hAnsi="Times New Roman"/>
          <w:color w:val="000000" w:themeColor="text1"/>
          <w:sz w:val="16"/>
          <w:szCs w:val="16"/>
        </w:rPr>
        <w:softHyphen/>
        <w:t>нодорожный узел Гулбене (в Латвии). В вылете приняло участие кораблей. Взлет прошел в период с 18 ч. 24 мин. по 19 ч. 28 мин. Корабль №42410 (командир корабля Ищенко) из-за неи</w:t>
      </w:r>
      <w:r w:rsidRPr="007224C3">
        <w:rPr>
          <w:rFonts w:ascii="Times New Roman" w:hAnsi="Times New Roman"/>
          <w:color w:val="000000" w:themeColor="text1"/>
          <w:sz w:val="16"/>
          <w:szCs w:val="16"/>
        </w:rPr>
        <w:softHyphen/>
        <w:t>справности мат. части взлетел позже - в 20 ч. 21 мин. Все само</w:t>
      </w:r>
      <w:r w:rsidRPr="007224C3">
        <w:rPr>
          <w:rFonts w:ascii="Times New Roman" w:hAnsi="Times New Roman"/>
          <w:color w:val="000000" w:themeColor="text1"/>
          <w:sz w:val="16"/>
          <w:szCs w:val="16"/>
        </w:rPr>
        <w:softHyphen/>
        <w:t>леты бомбили основную цель в период с 22 ч. 16 мин по 22 ч. 51 мин. Пе-8 42410, взлетевший позже бомбил основную цель в 23 ч. 44 мин. На цель было сброшено: 10 ФАБ-2000,12 ФАБ- 1000, 42 ФАБ-500,4 ФАБ-500тр, 36 ФАБ-250,6 ФОТАБ-50-35. Из состава 25-го гв. АПДД цель бомбили Пе-8 с заводскими номерами: 42076 (командир корабля Адамов), 42067 (командир корабля Обухов), 42028 (командир корабля Симонов), 42059 (командир корабля Шатров), 42410 (командир корабля Ищенко), 42311 (командир корабля Зеленский), 42811 (командир корабля Пономаренко). Из состава 890 АПДД бомбили цель Пе-8 с завод</w:t>
      </w:r>
      <w:r w:rsidRPr="007224C3">
        <w:rPr>
          <w:rFonts w:ascii="Times New Roman" w:hAnsi="Times New Roman"/>
          <w:color w:val="000000" w:themeColor="text1"/>
          <w:sz w:val="16"/>
          <w:szCs w:val="16"/>
        </w:rPr>
        <w:softHyphen/>
        <w:t>скими номерами: 4214 (командир корабля Откидач), 42078 (ко</w:t>
      </w:r>
      <w:r w:rsidRPr="007224C3">
        <w:rPr>
          <w:rFonts w:ascii="Times New Roman" w:hAnsi="Times New Roman"/>
          <w:color w:val="000000" w:themeColor="text1"/>
          <w:sz w:val="16"/>
          <w:szCs w:val="16"/>
        </w:rPr>
        <w:softHyphen/>
        <w:t>мандир корабля Белков), 42710 (командир корабля Черниченко), 42810 (командир корабля Олейников), 42910 (командир корабля Шамрай), 42411(командир корабля Романов), 42711 (командир корабля Марусиченко), 421011 (командир корабля Вихорев). При подходе к цели в 22 ч. 10 мин. стрелки Пе-8 №421011 обстре</w:t>
      </w:r>
      <w:r w:rsidRPr="007224C3">
        <w:rPr>
          <w:rFonts w:ascii="Times New Roman" w:hAnsi="Times New Roman"/>
          <w:color w:val="000000" w:themeColor="text1"/>
          <w:sz w:val="16"/>
          <w:szCs w:val="16"/>
        </w:rPr>
        <w:softHyphen/>
        <w:t>ляли два двухмоторных самолета противника. После выпол</w:t>
      </w:r>
      <w:r w:rsidRPr="007224C3">
        <w:rPr>
          <w:rFonts w:ascii="Times New Roman" w:hAnsi="Times New Roman"/>
          <w:color w:val="000000" w:themeColor="text1"/>
          <w:sz w:val="16"/>
          <w:szCs w:val="16"/>
        </w:rPr>
        <w:softHyphen/>
        <w:t>нения задания все корабли произвели посадку на своем аэро</w:t>
      </w:r>
      <w:r w:rsidRPr="007224C3">
        <w:rPr>
          <w:rFonts w:ascii="Times New Roman" w:hAnsi="Times New Roman"/>
          <w:color w:val="000000" w:themeColor="text1"/>
          <w:sz w:val="16"/>
          <w:szCs w:val="16"/>
        </w:rPr>
        <w:softHyphen/>
        <w:t>дроме в период с 00 ч. 35 мин. по 02 ч. 13 мин. Потерь не было (19559).</w:t>
      </w:r>
    </w:p>
    <w:p w14:paraId="04124EE7" w14:textId="77777777" w:rsidR="00AA077A" w:rsidRPr="007224C3" w:rsidRDefault="00AA077A" w:rsidP="007224C3">
      <w:pPr>
        <w:spacing w:after="0" w:line="240" w:lineRule="auto"/>
        <w:jc w:val="both"/>
        <w:rPr>
          <w:rFonts w:ascii="Times New Roman" w:hAnsi="Times New Roman"/>
          <w:color w:val="000000" w:themeColor="text1"/>
          <w:sz w:val="16"/>
          <w:szCs w:val="16"/>
        </w:rPr>
      </w:pPr>
    </w:p>
    <w:p w14:paraId="4D699EA0" w14:textId="77777777" w:rsidR="002F4B64" w:rsidRPr="007224C3" w:rsidRDefault="002F4B64"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8 апреля</w:t>
      </w:r>
      <w:r w:rsidRPr="007224C3">
        <w:rPr>
          <w:rFonts w:ascii="Times New Roman" w:hAnsi="Times New Roman"/>
          <w:color w:val="000000" w:themeColor="text1"/>
          <w:sz w:val="16"/>
          <w:szCs w:val="16"/>
        </w:rPr>
        <w:t xml:space="preserve"> в 1944 году началась Крымская стратегическая наступательная операция советских войск. 8 апреля после артиллерийской и авиационной подготовки, войска 4-го Украинского фронта (генерал армии Ф.И.Толбухин) перешли в наступление, после ожесточенных боев прорвали оборону противника и 11 апреля освободили Джанкой. В ночь на 11 апреля перешла в наступление Отдельная Приморская армия (генерал армии А.И.Еременко) и утром освободила Керчь. В ходе наступления 13 апреля были освобождены Евпатория, Симферополь и Феодосия, 14 апреля—Бахчисарай, 16 апреля—Ялта, 18 апреля— Балаклава. С 15 апреля по 4 мая велась подготовка к решающему штурму севастопольских укреплений. 5 мая после мощной артиллерийской подготовки началось наступление на Севастополь, 9 мая город был освобожден Остатки разгромленных войск противника 12 мая были взяты в плен у мыса Херсонес. Противник потерял на суше всю технику и до 100 тысяч человек, а на море во время эвакуации более 42 тысяч человек (15093).</w:t>
      </w:r>
    </w:p>
    <w:p w14:paraId="67F74E7E" w14:textId="77777777" w:rsidR="002F4B64" w:rsidRPr="007224C3" w:rsidRDefault="002F4B64" w:rsidP="007224C3">
      <w:pPr>
        <w:spacing w:after="0" w:line="240" w:lineRule="auto"/>
        <w:jc w:val="both"/>
        <w:rPr>
          <w:rFonts w:ascii="Times New Roman" w:hAnsi="Times New Roman"/>
          <w:color w:val="000000" w:themeColor="text1"/>
          <w:sz w:val="16"/>
          <w:szCs w:val="16"/>
        </w:rPr>
      </w:pPr>
    </w:p>
    <w:p w14:paraId="158B26F8" w14:textId="77777777" w:rsidR="002F4B64" w:rsidRPr="007224C3" w:rsidRDefault="002F4B64"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8 апреля</w:t>
      </w:r>
      <w:r w:rsidRPr="007224C3">
        <w:rPr>
          <w:rFonts w:ascii="Times New Roman" w:hAnsi="Times New Roman"/>
          <w:color w:val="000000" w:themeColor="text1"/>
          <w:sz w:val="16"/>
          <w:szCs w:val="16"/>
        </w:rPr>
        <w:t xml:space="preserve"> в 1944 году поднялся в воздух прототип </w:t>
      </w:r>
      <w:hyperlink r:id="rId103" w:tgtFrame="_blank" w:history="1">
        <w:r w:rsidRPr="007224C3">
          <w:rPr>
            <w:rFonts w:ascii="Times New Roman" w:hAnsi="Times New Roman"/>
            <w:color w:val="000000" w:themeColor="text1"/>
            <w:sz w:val="16"/>
            <w:szCs w:val="16"/>
          </w:rPr>
          <w:t xml:space="preserve">«Ta-154V-8» </w:t>
        </w:r>
      </w:hyperlink>
      <w:r w:rsidRPr="007224C3">
        <w:rPr>
          <w:rFonts w:ascii="Times New Roman" w:hAnsi="Times New Roman"/>
          <w:color w:val="000000" w:themeColor="text1"/>
          <w:sz w:val="16"/>
          <w:szCs w:val="16"/>
        </w:rPr>
        <w:t>(сер.№0008, код TE+FL) оснащенный моторами «Jumo 213A». Следом за ним эти двигатели поставили на «V-10», «V-22», «V-23», собранные соответственно в мае, июне и июле. Новые движки развивали на взлетном режиме 1776 л.с. и вращали пропеллеры «VS111» (15093).</w:t>
      </w:r>
    </w:p>
    <w:p w14:paraId="1662C0DA" w14:textId="77777777" w:rsidR="002F4B64" w:rsidRPr="007224C3" w:rsidRDefault="002F4B64" w:rsidP="007224C3">
      <w:pPr>
        <w:spacing w:after="0" w:line="240" w:lineRule="auto"/>
        <w:jc w:val="both"/>
        <w:rPr>
          <w:rFonts w:ascii="Times New Roman" w:hAnsi="Times New Roman"/>
          <w:color w:val="000000" w:themeColor="text1"/>
          <w:sz w:val="16"/>
          <w:szCs w:val="16"/>
        </w:rPr>
      </w:pPr>
    </w:p>
    <w:p w14:paraId="658D2CFB"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апреля 1944 войска первого Украинского фронта начали военные операции за пределами СССР (4962).</w:t>
      </w:r>
    </w:p>
    <w:p w14:paraId="74038574"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6239F0A"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апреля 1944 советские войска начали Крымскую операцию (4962), войска 4-го Украинского фронта и Отдельной Приморской армии,поддержанные силами Черноморского флота и Азовской военной флотилии (4963 ).</w:t>
      </w:r>
    </w:p>
    <w:p w14:paraId="5F990BB0"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D623C9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April 8 1944 Soviet troops begin offensive to liberate Crimea (1050).</w:t>
      </w:r>
    </w:p>
    <w:p w14:paraId="0CBB955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35E248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апреля 1944 КА начала наступление для освобождения Крыма (1050) и Крымская операция длилась до 12 мая 1944. Наступали с керченского плацдарма и через Сиваш и Перекоп на Симферополь (2438,343) 4УФ 11 апреля освободили Джанкой и утром 11 - ПримА - Керчь, 13 - Евпатория, 14 - Бахчисарай, 16 - Ялту, 18 - Балаклаву (3398,141).</w:t>
      </w:r>
    </w:p>
    <w:p w14:paraId="1DACC9D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АДД нанесла удары по аэродромам (518,65).</w:t>
      </w:r>
    </w:p>
    <w:p w14:paraId="08C7A1F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После этого передний край обработали ш под управлением мастеров ш ударов - Филиппов, Тюленев, Анисов, Суклышкин, Жилинский. За 1-2 минуты перед ними </w:t>
      </w:r>
      <w:r w:rsidRPr="007224C3">
        <w:rPr>
          <w:rFonts w:ascii="Times New Roman" w:hAnsi="Times New Roman"/>
          <w:color w:val="000000" w:themeColor="text1"/>
          <w:sz w:val="16"/>
          <w:szCs w:val="16"/>
        </w:rPr>
        <w:lastRenderedPageBreak/>
        <w:t>вылетели и под командованием Попова и Еремина, чтобы не допустить противодействия н и. В результате на земле и в воздухе уничтожили 40 (430,197).</w:t>
      </w:r>
    </w:p>
    <w:p w14:paraId="6D9DFD7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Перед самой атакой ш атаковали высоту 30.3 - ключи к воротам Крыма, которая закрывала проход от Айгульского озера до залива (430,198).</w:t>
      </w:r>
    </w:p>
    <w:p w14:paraId="61118B8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Авиасоединения массированными действиями на направлении главного удара помогали отбить контрнаступление действуя по танкам и живой силе над полем боя и в районах сосредоточения, а также на коммуникациях (518,144).</w:t>
      </w:r>
    </w:p>
    <w:p w14:paraId="7923B1C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Здесь был пример апв в горных условиях и авиация также компенсировала недостаточную огневую мощь пехоты (518,150).</w:t>
      </w:r>
    </w:p>
    <w:p w14:paraId="6969294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Авиасоединения массированными действиями на направлении главного удара помогали отбить контрнаступление действуя по танкам и живой силе над полем боя и в районах сосредоточения, а также на коммуникациях в Осовецкой, Уманской (518,144).</w:t>
      </w:r>
    </w:p>
    <w:p w14:paraId="0260F23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преследовании отступающих войск авиация была перенацелена на дезорганизацию отхода и уничтожение войск и боевой техники в сотрудничестве фронтовой авиации и АДД (518,163).</w:t>
      </w:r>
    </w:p>
    <w:p w14:paraId="5C39F48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ходе операции на поддержку и прикрытие сухопутных войск ВВС флота выделяли от 20 до 35% самолетовылетов (518,183).</w:t>
      </w:r>
    </w:p>
    <w:p w14:paraId="3666241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После прорыва сухопутными войсками обороны противника фронтовая авиация наносила удары по военно-морским базам и портам 7% самолетовылетов, а флотская - 91.6% (518,186).</w:t>
      </w:r>
    </w:p>
    <w:p w14:paraId="0782DF9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C98DC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April 8th, 1944: Troops of Heeresgruppe Ukraine (von Manstein) encircled at Kamenets-Podolsk break out to their own lines (3819).</w:t>
      </w:r>
    </w:p>
    <w:p w14:paraId="495031C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49190A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апреля 1944 прорвались войска Группы Украина (фон Манштейн), окруженные у Каменец-Подольского (3819).</w:t>
      </w:r>
    </w:p>
    <w:p w14:paraId="7F66505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243FD8"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Жизнь и внутренняя политика:</w:t>
      </w:r>
    </w:p>
    <w:p w14:paraId="70B2043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8591F33"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апреля 1944 вышло Постановление ГКО № 5575 Об улучшении жилищного строительства на важнейших предприятиях Свердловской области. (7207, 19-22,23-30).</w:t>
      </w:r>
    </w:p>
    <w:p w14:paraId="0E0EEABB"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D4FBD81"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апреля 1944 вышло Постановление ГКО № 5578 Об освобождении помещений профсоюзных клубов, домов союзов и дворцов труда, используемых не по назначению. (7207, 33-34).</w:t>
      </w:r>
    </w:p>
    <w:p w14:paraId="2725F932"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6D5CC67"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апреля 1944 вышло Постановление ГКО № 5580 О мероприятиях по обеспечению выпуска шифера заводами Наркомстройматериалов СССР. (7207, 43-45).</w:t>
      </w:r>
    </w:p>
    <w:p w14:paraId="030F7213"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297F0B0"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Внешняя политика:</w:t>
      </w:r>
    </w:p>
    <w:p w14:paraId="19F942B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A824358"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апреля 1944 вышло Постановление ГКО № 5563 [О мерах помощи ШПД Польши.] (7206, 88-90).</w:t>
      </w:r>
    </w:p>
    <w:p w14:paraId="425E4E65"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6F24EA7"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апреля 1944 вышло Постановление ГКО № 5584 О восстановлении охраны государственной границы Союза ССР на освобождаемых от войск противника участках и о сформировании 35 полков НКВД по охране тыла Красной Армии. (7207, 66-67).</w:t>
      </w:r>
    </w:p>
    <w:p w14:paraId="08C03BC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Между 6 и 12 апреля 1944. Из протокола заседания Политбюро N 1, особая папка, 1939 г.</w:t>
      </w:r>
    </w:p>
    <w:p w14:paraId="51C121D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О восстановлении охраны государственной границы Союза ССР </w:t>
      </w:r>
    </w:p>
    <w:p w14:paraId="793C474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 связи с выходом частей Красной Армии на отдельных участках фронта на государственную границу и необходимостью восстановления охраны государственной границы пограничными войсками Государственный Комитет Обороны постановляет: </w:t>
      </w:r>
    </w:p>
    <w:p w14:paraId="1887CA5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Обязать НКВД СССР: </w:t>
      </w:r>
    </w:p>
    <w:p w14:paraId="2C6A00D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а) по мере освобождения территории Союза ССР от войск противника и продвижения частей Красной Армии за линию государственной границы восстанавливать охрану границы пограничными войсками НКВД с использованием для этой цели пограничных полков НКВД, несущих охрану тыла Действующей Красной Армии; </w:t>
      </w:r>
    </w:p>
    <w:p w14:paraId="79ADEE8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б) для охраны тыла Действующей Красной Армии сформировать 35 полков войск НКВД общей численностью 57 000 человек. </w:t>
      </w:r>
    </w:p>
    <w:p w14:paraId="20A5598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 постановления ГКО N 5584сс, 1944 г. (11652).</w:t>
      </w:r>
    </w:p>
    <w:p w14:paraId="0268AD2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4C820A5"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апреля 1944 в СССР принято постановление о восстановлении пограничной службы на западных границах (4962).</w:t>
      </w:r>
    </w:p>
    <w:p w14:paraId="0C98FB24"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E4DFB68" w14:textId="11CC1756" w:rsidR="008B5CA2" w:rsidRPr="007224C3" w:rsidRDefault="008B5CA2" w:rsidP="007224C3">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7224C3">
        <w:rPr>
          <w:rFonts w:ascii="Times New Roman" w:hAnsi="Times New Roman"/>
          <w:i/>
          <w:iCs/>
          <w:color w:val="000000" w:themeColor="text1"/>
          <w:sz w:val="16"/>
          <w:szCs w:val="16"/>
        </w:rPr>
        <w:t>За рубежом:</w:t>
      </w:r>
    </w:p>
    <w:p w14:paraId="01AC9238" w14:textId="77777777" w:rsidR="008B5CA2" w:rsidRPr="007224C3" w:rsidRDefault="008B5CA2" w:rsidP="007224C3">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5DA7FFBA" w14:textId="77777777" w:rsidR="008B5CA2" w:rsidRPr="007224C3" w:rsidRDefault="008B5CA2"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8 апреля 1944 г. более 100 фашистских самолё</w:t>
      </w:r>
      <w:r w:rsidRPr="007224C3">
        <w:rPr>
          <w:rFonts w:ascii="Times New Roman" w:hAnsi="Times New Roman"/>
          <w:color w:val="0070C0"/>
          <w:sz w:val="16"/>
          <w:szCs w:val="16"/>
        </w:rPr>
        <w:softHyphen/>
        <w:t>тов нанесли массированный удар по освобождён</w:t>
      </w:r>
      <w:r w:rsidRPr="007224C3">
        <w:rPr>
          <w:rFonts w:ascii="Times New Roman" w:hAnsi="Times New Roman"/>
          <w:color w:val="0070C0"/>
          <w:sz w:val="16"/>
          <w:szCs w:val="16"/>
        </w:rPr>
        <w:softHyphen/>
        <w:t>ному нашими войсками Киеву, они бомбили пе</w:t>
      </w:r>
      <w:r w:rsidRPr="007224C3">
        <w:rPr>
          <w:rFonts w:ascii="Times New Roman" w:hAnsi="Times New Roman"/>
          <w:color w:val="0070C0"/>
          <w:sz w:val="16"/>
          <w:szCs w:val="16"/>
        </w:rPr>
        <w:softHyphen/>
        <w:t>реправы через Днепр и железнодорожный узел Дарницу (20120).</w:t>
      </w:r>
    </w:p>
    <w:p w14:paraId="110A7956" w14:textId="77777777" w:rsidR="008B5CA2" w:rsidRPr="007224C3" w:rsidRDefault="008B5CA2" w:rsidP="007224C3">
      <w:pPr>
        <w:spacing w:after="0" w:line="240" w:lineRule="auto"/>
        <w:jc w:val="both"/>
        <w:rPr>
          <w:rFonts w:ascii="Times New Roman" w:hAnsi="Times New Roman"/>
          <w:color w:val="0070C0"/>
          <w:sz w:val="16"/>
          <w:szCs w:val="16"/>
        </w:rPr>
      </w:pPr>
    </w:p>
    <w:p w14:paraId="63E74A17" w14:textId="20B2AD3C"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3B1243E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6C2D46C" w14:textId="77777777" w:rsidR="00EB1E33" w:rsidRPr="007224C3" w:rsidRDefault="00EB1E33"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9 апреля 1944 г. был утвержден Отчет по испытани</w:t>
      </w:r>
      <w:r w:rsidRPr="007224C3">
        <w:rPr>
          <w:color w:val="000000" w:themeColor="text1"/>
          <w:sz w:val="16"/>
          <w:szCs w:val="16"/>
        </w:rPr>
        <w:softHyphen/>
        <w:t>ям мотор-пушки 111П (МП-45), установленной на се</w:t>
      </w:r>
      <w:r w:rsidRPr="007224C3">
        <w:rPr>
          <w:color w:val="000000" w:themeColor="text1"/>
          <w:sz w:val="16"/>
          <w:szCs w:val="16"/>
        </w:rPr>
        <w:softHyphen/>
        <w:t>рийном самолете Як-9т зав. № 01-21 производства завода № 153, которые проходили с 13 по 17 января и с 23 января по 29 марта.</w:t>
      </w:r>
    </w:p>
    <w:p w14:paraId="3B5C0A3A" w14:textId="77777777" w:rsidR="00EB1E33" w:rsidRPr="007224C3" w:rsidRDefault="00EB1E33"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Ответственным исполнителем был ведущий инженер 3-го отдела института инже</w:t>
      </w:r>
      <w:r w:rsidRPr="007224C3">
        <w:rPr>
          <w:color w:val="000000" w:themeColor="text1"/>
          <w:sz w:val="16"/>
          <w:szCs w:val="16"/>
        </w:rPr>
        <w:softHyphen/>
        <w:t>нер-майор А. Т. Степанец, ведущий летчик-испыта</w:t>
      </w:r>
      <w:r w:rsidRPr="007224C3">
        <w:rPr>
          <w:color w:val="000000" w:themeColor="text1"/>
          <w:sz w:val="16"/>
          <w:szCs w:val="16"/>
        </w:rPr>
        <w:softHyphen/>
        <w:t xml:space="preserve">тель — майор В. Е. Голофастов. Всего выполнено 19 полетов с налетом 12 ч 16 мин. </w:t>
      </w:r>
    </w:p>
    <w:p w14:paraId="5501287D" w14:textId="77777777" w:rsidR="00EB1E33" w:rsidRPr="007224C3" w:rsidRDefault="00EB1E33" w:rsidP="007224C3">
      <w:pPr>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hAnsi="Times New Roman"/>
          <w:color w:val="000000" w:themeColor="text1"/>
          <w:sz w:val="16"/>
          <w:szCs w:val="16"/>
        </w:rPr>
        <w:t>Пушка МП-45 располагалась в развале блока цилиндров мотора и крепилась в 3 точках на мото</w:t>
      </w:r>
      <w:r w:rsidRPr="007224C3">
        <w:rPr>
          <w:rFonts w:ascii="Times New Roman" w:hAnsi="Times New Roman"/>
          <w:color w:val="000000" w:themeColor="text1"/>
          <w:sz w:val="16"/>
          <w:szCs w:val="16"/>
        </w:rPr>
        <w:softHyphen/>
        <w:t>ре — 2 передних и 1 заднего. Ствол проходил через полый вал редуктора мотора и втулку винта. Ради</w:t>
      </w:r>
      <w:r w:rsidRPr="007224C3">
        <w:rPr>
          <w:rFonts w:ascii="Times New Roman" w:hAnsi="Times New Roman"/>
          <w:color w:val="000000" w:themeColor="text1"/>
          <w:sz w:val="16"/>
          <w:szCs w:val="16"/>
        </w:rPr>
        <w:softHyphen/>
        <w:t>альный зазор между стволом пушки и внутренней стенкой вала редуктора мотора составлял всего 0,75 мм. По этой причине на втулке винта имелось специальное приспособление с шарикоподшипни</w:t>
      </w:r>
      <w:r w:rsidRPr="007224C3">
        <w:rPr>
          <w:rFonts w:ascii="Times New Roman" w:hAnsi="Times New Roman"/>
          <w:color w:val="000000" w:themeColor="text1"/>
          <w:sz w:val="16"/>
          <w:szCs w:val="16"/>
        </w:rPr>
        <w:softHyphen/>
        <w:t>ком, которое центрировало ствол пушки по оси ва</w:t>
      </w:r>
      <w:r w:rsidRPr="007224C3">
        <w:rPr>
          <w:rFonts w:ascii="Times New Roman" w:hAnsi="Times New Roman"/>
          <w:color w:val="000000" w:themeColor="text1"/>
          <w:sz w:val="16"/>
          <w:szCs w:val="16"/>
        </w:rPr>
        <w:softHyphen/>
        <w:t>ла редуктора мотора. Ствол пушки был сделан бо</w:t>
      </w:r>
      <w:r w:rsidRPr="007224C3">
        <w:rPr>
          <w:rFonts w:ascii="Times New Roman" w:hAnsi="Times New Roman"/>
          <w:color w:val="000000" w:themeColor="text1"/>
          <w:sz w:val="16"/>
          <w:szCs w:val="16"/>
        </w:rPr>
        <w:softHyphen/>
        <w:t>лее тонким. На расстоянии 650 мм от дульного сре</w:t>
      </w:r>
      <w:r w:rsidRPr="007224C3">
        <w:rPr>
          <w:rFonts w:ascii="Times New Roman" w:hAnsi="Times New Roman"/>
          <w:color w:val="000000" w:themeColor="text1"/>
          <w:sz w:val="16"/>
          <w:szCs w:val="16"/>
        </w:rPr>
        <w:softHyphen/>
        <w:t>за толщина стенки ствола пушки равнялась 3,75 мм против 7,1 мм у штатного ствола пушки 11П. Пушка оснащалась дульным тормозом, поглощавшим зна</w:t>
      </w:r>
      <w:r w:rsidRPr="007224C3">
        <w:rPr>
          <w:rFonts w:ascii="Times New Roman" w:hAnsi="Times New Roman"/>
          <w:color w:val="000000" w:themeColor="text1"/>
          <w:sz w:val="16"/>
          <w:szCs w:val="16"/>
        </w:rPr>
        <w:softHyphen/>
        <w:t>чительную часть энергии отдачи (до 85%).</w:t>
      </w:r>
    </w:p>
    <w:p w14:paraId="287B1FF3" w14:textId="77777777" w:rsidR="00EB1E33" w:rsidRPr="007224C3" w:rsidRDefault="00EB1E33"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Средний темп стрельбы, зафиксированный в хо</w:t>
      </w:r>
      <w:r w:rsidRPr="007224C3">
        <w:rPr>
          <w:color w:val="000000" w:themeColor="text1"/>
          <w:sz w:val="16"/>
          <w:szCs w:val="16"/>
        </w:rPr>
        <w:softHyphen/>
        <w:t>де испытаний, равнялся 270 выстр./мин. Питание пушки МП-45 выполнялось от рассыпной ленты из металлических звеньев. Боекомплект к пушке включал 29 снарядов. Вес пушки с агрегатами — 163,8 кг, общий вес пушки с уста</w:t>
      </w:r>
      <w:r w:rsidRPr="007224C3">
        <w:rPr>
          <w:color w:val="000000" w:themeColor="text1"/>
          <w:sz w:val="16"/>
          <w:szCs w:val="16"/>
        </w:rPr>
        <w:softHyphen/>
        <w:t>новкой — 191,1 кг, вес боезапаса — 69 кг. Гильзы и звенья собирались в специальные сборники под пуш</w:t>
      </w:r>
      <w:r w:rsidRPr="007224C3">
        <w:rPr>
          <w:color w:val="000000" w:themeColor="text1"/>
          <w:sz w:val="16"/>
          <w:szCs w:val="16"/>
        </w:rPr>
        <w:softHyphen/>
        <w:t>кой. На приборной доске в кабине летчика имелся счетчик оставших</w:t>
      </w:r>
      <w:r w:rsidRPr="007224C3">
        <w:rPr>
          <w:color w:val="000000" w:themeColor="text1"/>
          <w:sz w:val="16"/>
          <w:szCs w:val="16"/>
        </w:rPr>
        <w:softHyphen/>
        <w:t>ся снарядов пушки. Управление ог</w:t>
      </w:r>
      <w:r w:rsidRPr="007224C3">
        <w:rPr>
          <w:color w:val="000000" w:themeColor="text1"/>
          <w:sz w:val="16"/>
          <w:szCs w:val="16"/>
        </w:rPr>
        <w:softHyphen/>
        <w:t>нем — электропневматическое при помощи кнопки, расположенной на ручке управления. Прицел кол- лиматорный ПБП-1а. Нормальный полетный вес Як-9т с МП-45 состав</w:t>
      </w:r>
      <w:r w:rsidRPr="007224C3">
        <w:rPr>
          <w:color w:val="000000" w:themeColor="text1"/>
          <w:sz w:val="16"/>
          <w:szCs w:val="16"/>
        </w:rPr>
        <w:softHyphen/>
        <w:t>лял 3028 кг (вес топлива 322 кг). Вес секундного залпа достигал 5,531 кг.</w:t>
      </w:r>
    </w:p>
    <w:p w14:paraId="16856D45" w14:textId="77777777" w:rsidR="00EB1E33" w:rsidRPr="007224C3" w:rsidRDefault="00EB1E33"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Летные данные, маневренность и взлетно-посадочные характеристики Як-9т с пуш</w:t>
      </w:r>
      <w:r w:rsidRPr="007224C3">
        <w:rPr>
          <w:color w:val="000000" w:themeColor="text1"/>
          <w:sz w:val="16"/>
          <w:szCs w:val="16"/>
        </w:rPr>
        <w:softHyphen/>
        <w:t>кой МП-45 несколько ухудшились, но по технике пилотирования самолет ничем не отличался от обычных Як-9т.</w:t>
      </w:r>
    </w:p>
    <w:p w14:paraId="17BDA831" w14:textId="77777777" w:rsidR="00EB1E33" w:rsidRPr="007224C3" w:rsidRDefault="00EB1E33"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Максимальная скорость у земли составила 516 км/ч, на высоте 3900 м — 573 км/ч, на 5000 м — 566 км/ч. Время подъема на 5000 м — 5,7 мин. Вре</w:t>
      </w:r>
      <w:r w:rsidRPr="007224C3">
        <w:rPr>
          <w:color w:val="000000" w:themeColor="text1"/>
          <w:sz w:val="16"/>
          <w:szCs w:val="16"/>
        </w:rPr>
        <w:softHyphen/>
        <w:t>мя виража на 1000 м — 21,4 с. Набор высоты за бо</w:t>
      </w:r>
      <w:r w:rsidRPr="007224C3">
        <w:rPr>
          <w:color w:val="000000" w:themeColor="text1"/>
          <w:sz w:val="16"/>
          <w:szCs w:val="16"/>
        </w:rPr>
        <w:softHyphen/>
        <w:t>евой разворот с высоты 1000—1050 м. Дальность полета — 598 км.</w:t>
      </w:r>
    </w:p>
    <w:p w14:paraId="61EA1526" w14:textId="77777777" w:rsidR="00EB1E33" w:rsidRPr="007224C3" w:rsidRDefault="00EB1E33"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Стрельба из пушки МП-45 при скорости полета менее 350 км/ч «сопровождается сильной отдачей (сила отдачи 6975 кг. —</w:t>
      </w:r>
      <w:r w:rsidRPr="007224C3">
        <w:rPr>
          <w:rStyle w:val="BodytextItalic"/>
          <w:i w:val="0"/>
          <w:color w:val="000000" w:themeColor="text1"/>
          <w:sz w:val="16"/>
          <w:szCs w:val="16"/>
        </w:rPr>
        <w:t xml:space="preserve"> Авт.),</w:t>
      </w:r>
      <w:r w:rsidRPr="007224C3">
        <w:rPr>
          <w:color w:val="000000" w:themeColor="text1"/>
          <w:sz w:val="16"/>
          <w:szCs w:val="16"/>
        </w:rPr>
        <w:t xml:space="preserve"> самолет раскачива</w:t>
      </w:r>
      <w:r w:rsidRPr="007224C3">
        <w:rPr>
          <w:color w:val="000000" w:themeColor="text1"/>
          <w:sz w:val="16"/>
          <w:szCs w:val="16"/>
        </w:rPr>
        <w:softHyphen/>
        <w:t>ется, летчик движется вперед-назад, что затрудняет прицельную стрельбу». Как отмечалось в отчете по испытаниям, «прицельным может быть только пер</w:t>
      </w:r>
      <w:r w:rsidRPr="007224C3">
        <w:rPr>
          <w:color w:val="000000" w:themeColor="text1"/>
          <w:sz w:val="16"/>
          <w:szCs w:val="16"/>
        </w:rPr>
        <w:softHyphen/>
        <w:t>вый выстрел». Чем больше была скорость полета и угол пикирования, тем меньшее влияние на само</w:t>
      </w:r>
      <w:r w:rsidRPr="007224C3">
        <w:rPr>
          <w:color w:val="000000" w:themeColor="text1"/>
          <w:sz w:val="16"/>
          <w:szCs w:val="16"/>
        </w:rPr>
        <w:softHyphen/>
        <w:t>лет оказывала отдача. Прицельная стрельба была возможна и эффективна только на скоростях более 350 км/ч и при коротких очередях в 2—3 снаряда. Фактически стрельбу из пушки МП-45 можно было вести лишь одиночными выстрелами на скоростях, близких к максимальной скорости. Однако благо</w:t>
      </w:r>
      <w:r w:rsidRPr="007224C3">
        <w:rPr>
          <w:color w:val="000000" w:themeColor="text1"/>
          <w:sz w:val="16"/>
          <w:szCs w:val="16"/>
        </w:rPr>
        <w:softHyphen/>
        <w:t>даря наличию дымного следа от трассера снаряда бледно-розового цвета, хорошо видимого как днем, так и в вечерние и утренние сумерки, вероятность попадания в цель не уменьшалась.</w:t>
      </w:r>
    </w:p>
    <w:p w14:paraId="6C3A393B" w14:textId="77777777" w:rsidR="00EB1E33" w:rsidRPr="007224C3" w:rsidRDefault="00EB1E33"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Большая сила отдачи пушки МП-45 оказывала существенное влияние на конструкцию самоле</w:t>
      </w:r>
      <w:r w:rsidRPr="007224C3">
        <w:rPr>
          <w:color w:val="000000" w:themeColor="text1"/>
          <w:sz w:val="16"/>
          <w:szCs w:val="16"/>
        </w:rPr>
        <w:softHyphen/>
        <w:t>та, приводя к течи масла и воды через различные уплотнения и трещины в трубопроводах, радиато</w:t>
      </w:r>
      <w:r w:rsidRPr="007224C3">
        <w:rPr>
          <w:color w:val="000000" w:themeColor="text1"/>
          <w:sz w:val="16"/>
          <w:szCs w:val="16"/>
        </w:rPr>
        <w:softHyphen/>
        <w:t>рах и т.д. В кабину летчика при стрельбе из пушки проникало очень много пороховых газов.</w:t>
      </w:r>
    </w:p>
    <w:p w14:paraId="10B271E4" w14:textId="77777777" w:rsidR="00EB1E33" w:rsidRPr="007224C3" w:rsidRDefault="00EB1E33"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В то же время автоматика пушки работала хоро</w:t>
      </w:r>
      <w:r w:rsidRPr="007224C3">
        <w:rPr>
          <w:color w:val="000000" w:themeColor="text1"/>
          <w:sz w:val="16"/>
          <w:szCs w:val="16"/>
        </w:rPr>
        <w:softHyphen/>
        <w:t>шо при всех условиях полета и стрельбы в возду</w:t>
      </w:r>
      <w:r w:rsidRPr="007224C3">
        <w:rPr>
          <w:color w:val="000000" w:themeColor="text1"/>
          <w:sz w:val="16"/>
          <w:szCs w:val="16"/>
        </w:rPr>
        <w:softHyphen/>
        <w:t>хе. Надежность и живучесть деталей и узлов пушки были в пределах установленных требований.</w:t>
      </w:r>
    </w:p>
    <w:p w14:paraId="28C7E935" w14:textId="77777777" w:rsidR="00EB1E33" w:rsidRPr="007224C3" w:rsidRDefault="00EB1E33"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К числу основных недостатков пушки МП-45 и пушечной установки на Як-9т относились из</w:t>
      </w:r>
      <w:r w:rsidRPr="007224C3">
        <w:rPr>
          <w:color w:val="000000" w:themeColor="text1"/>
          <w:sz w:val="16"/>
          <w:szCs w:val="16"/>
        </w:rPr>
        <w:softHyphen/>
        <w:t>лишне большая сила отдачи пушки при стрельбе, ненадежное соединение штока гидротормоза со ствольной коробкой, а также имевшее место разъ</w:t>
      </w:r>
      <w:r w:rsidRPr="007224C3">
        <w:rPr>
          <w:color w:val="000000" w:themeColor="text1"/>
          <w:sz w:val="16"/>
          <w:szCs w:val="16"/>
        </w:rPr>
        <w:softHyphen/>
        <w:t>единение цилиндра подачи приемника с рычагом подачи.</w:t>
      </w:r>
    </w:p>
    <w:p w14:paraId="184A64A2" w14:textId="77777777" w:rsidR="00EB1E33" w:rsidRPr="007224C3" w:rsidRDefault="00EB1E33"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Начальник НИИ АВ генерал-майор М. В. Гуре- вич в своем докладе заместителю председателя СНК СССР маршалу К. Е. Ворошилову констатиро</w:t>
      </w:r>
      <w:r w:rsidRPr="007224C3">
        <w:rPr>
          <w:color w:val="000000" w:themeColor="text1"/>
          <w:sz w:val="16"/>
          <w:szCs w:val="16"/>
        </w:rPr>
        <w:softHyphen/>
        <w:t>вал: «В результате сравнительных испытаний 45-мм авиапушек ОКБ-15 и ОКБ-16 выявлены преимуще</w:t>
      </w:r>
      <w:r w:rsidRPr="007224C3">
        <w:rPr>
          <w:color w:val="000000" w:themeColor="text1"/>
          <w:sz w:val="16"/>
          <w:szCs w:val="16"/>
        </w:rPr>
        <w:softHyphen/>
        <w:t>ства пушки ОКБ-16 и как удовлетворяющая ТТТ ВВС КА государственные испытания выдержала. Пушка ОКБ-15 из-за малой живучести испытаний не вы</w:t>
      </w:r>
      <w:r w:rsidRPr="007224C3">
        <w:rPr>
          <w:color w:val="000000" w:themeColor="text1"/>
          <w:sz w:val="16"/>
          <w:szCs w:val="16"/>
        </w:rPr>
        <w:softHyphen/>
        <w:t>держала».</w:t>
      </w:r>
    </w:p>
    <w:p w14:paraId="79034E2D" w14:textId="77777777" w:rsidR="00EB1E33" w:rsidRPr="007224C3" w:rsidRDefault="00EB1E33"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Самолет Як-9т с пушкой МП-45 рекомендовался «в малую серию для дальнейших войсковых испы</w:t>
      </w:r>
      <w:r w:rsidRPr="007224C3">
        <w:rPr>
          <w:color w:val="000000" w:themeColor="text1"/>
          <w:sz w:val="16"/>
          <w:szCs w:val="16"/>
        </w:rPr>
        <w:softHyphen/>
        <w:t>таний во фронтовых условиях» (17500).</w:t>
      </w:r>
    </w:p>
    <w:p w14:paraId="0EDAFE73" w14:textId="77777777" w:rsidR="00EB1E33" w:rsidRPr="007224C3" w:rsidRDefault="00EB1E33" w:rsidP="007224C3">
      <w:pPr>
        <w:spacing w:after="0" w:line="240" w:lineRule="auto"/>
        <w:jc w:val="both"/>
        <w:rPr>
          <w:rFonts w:ascii="Times New Roman" w:eastAsia="Times New Roman" w:hAnsi="Times New Roman"/>
          <w:color w:val="000000" w:themeColor="text1"/>
          <w:sz w:val="16"/>
          <w:szCs w:val="16"/>
          <w:lang w:eastAsia="ru-RU"/>
        </w:rPr>
      </w:pPr>
    </w:p>
    <w:p w14:paraId="02603D0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апреля 1944 вышел отчет по гос. испытаниям У-2 ШС (Штабной самолет) - 5 местного лимузина, выпущенного 51 заводом ОКБ Н.Н.П. по инициативе самого Н.Н.П. согласно пожеланиям ВВС. Остался в двух опытных экз. из-за смерти Н.Н.П. (1076,722).</w:t>
      </w:r>
    </w:p>
    <w:p w14:paraId="4112C2D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C95E8B"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533CB9F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BB6E66F" w14:textId="77777777" w:rsidR="00282955" w:rsidRPr="007224C3" w:rsidRDefault="00282955" w:rsidP="007224C3">
      <w:pPr>
        <w:pStyle w:val="a3"/>
        <w:rPr>
          <w:color w:val="000000" w:themeColor="text1"/>
          <w:lang w:val="ru-RU"/>
        </w:rPr>
      </w:pPr>
      <w:r w:rsidRPr="007224C3">
        <w:rPr>
          <w:color w:val="000000" w:themeColor="text1"/>
          <w:lang w:val="ru-RU"/>
        </w:rPr>
        <w:t>9-го апреля 1944 комиссия АНИОП дала заключение по результатам испытаний С-51:</w:t>
      </w:r>
    </w:p>
    <w:p w14:paraId="12B328E3" w14:textId="77777777" w:rsidR="00282955" w:rsidRPr="007224C3" w:rsidRDefault="00282955" w:rsidP="007224C3">
      <w:pPr>
        <w:pStyle w:val="Bodytext141"/>
        <w:shd w:val="clear" w:color="auto" w:fill="auto"/>
        <w:spacing w:line="240" w:lineRule="auto"/>
        <w:ind w:firstLine="0"/>
        <w:jc w:val="both"/>
        <w:rPr>
          <w:i w:val="0"/>
          <w:color w:val="000000" w:themeColor="text1"/>
          <w:sz w:val="16"/>
          <w:szCs w:val="16"/>
        </w:rPr>
      </w:pPr>
      <w:r w:rsidRPr="007224C3">
        <w:rPr>
          <w:i w:val="0"/>
          <w:color w:val="000000" w:themeColor="text1"/>
          <w:sz w:val="16"/>
          <w:szCs w:val="16"/>
        </w:rPr>
        <w:t>«1. Самоходная гаубица «С-51» в основном испытания выдержала, так как:</w:t>
      </w:r>
    </w:p>
    <w:p w14:paraId="7E3449E7" w14:textId="77777777" w:rsidR="00282955" w:rsidRPr="007224C3" w:rsidRDefault="00282955" w:rsidP="007224C3">
      <w:pPr>
        <w:pStyle w:val="Bodytext141"/>
        <w:shd w:val="clear" w:color="auto" w:fill="auto"/>
        <w:tabs>
          <w:tab w:val="left" w:pos="905"/>
        </w:tabs>
        <w:spacing w:line="240" w:lineRule="auto"/>
        <w:ind w:firstLine="0"/>
        <w:jc w:val="both"/>
        <w:rPr>
          <w:i w:val="0"/>
          <w:color w:val="000000" w:themeColor="text1"/>
          <w:sz w:val="16"/>
          <w:szCs w:val="16"/>
        </w:rPr>
      </w:pPr>
      <w:r w:rsidRPr="007224C3">
        <w:rPr>
          <w:i w:val="0"/>
          <w:color w:val="000000" w:themeColor="text1"/>
          <w:sz w:val="16"/>
          <w:szCs w:val="16"/>
        </w:rPr>
        <w:t>а) работа и прочность агрегатов и механизмов орудия — удовлет</w:t>
      </w:r>
      <w:r w:rsidRPr="007224C3">
        <w:rPr>
          <w:i w:val="0"/>
          <w:color w:val="000000" w:themeColor="text1"/>
          <w:sz w:val="16"/>
          <w:szCs w:val="16"/>
        </w:rPr>
        <w:softHyphen/>
        <w:t>ворительные.</w:t>
      </w:r>
    </w:p>
    <w:p w14:paraId="37042106" w14:textId="77777777" w:rsidR="00282955" w:rsidRPr="007224C3" w:rsidRDefault="00282955" w:rsidP="007224C3">
      <w:pPr>
        <w:pStyle w:val="Bodytext141"/>
        <w:shd w:val="clear" w:color="auto" w:fill="auto"/>
        <w:tabs>
          <w:tab w:val="left" w:pos="900"/>
        </w:tabs>
        <w:spacing w:line="240" w:lineRule="auto"/>
        <w:ind w:firstLine="0"/>
        <w:jc w:val="both"/>
        <w:rPr>
          <w:i w:val="0"/>
          <w:color w:val="000000" w:themeColor="text1"/>
          <w:sz w:val="16"/>
          <w:szCs w:val="16"/>
        </w:rPr>
      </w:pPr>
      <w:r w:rsidRPr="007224C3">
        <w:rPr>
          <w:i w:val="0"/>
          <w:color w:val="000000" w:themeColor="text1"/>
          <w:sz w:val="16"/>
          <w:szCs w:val="16"/>
        </w:rPr>
        <w:t>б) прочность установочных частей орудия — достаточная.</w:t>
      </w:r>
    </w:p>
    <w:p w14:paraId="3473B1A1" w14:textId="77777777" w:rsidR="00282955" w:rsidRPr="007224C3" w:rsidRDefault="00282955" w:rsidP="007224C3">
      <w:pPr>
        <w:pStyle w:val="Bodytext141"/>
        <w:shd w:val="clear" w:color="auto" w:fill="auto"/>
        <w:tabs>
          <w:tab w:val="left" w:pos="866"/>
        </w:tabs>
        <w:spacing w:line="240" w:lineRule="auto"/>
        <w:ind w:firstLine="0"/>
        <w:jc w:val="both"/>
        <w:rPr>
          <w:i w:val="0"/>
          <w:color w:val="000000" w:themeColor="text1"/>
          <w:sz w:val="16"/>
          <w:szCs w:val="16"/>
        </w:rPr>
      </w:pPr>
      <w:r w:rsidRPr="007224C3">
        <w:rPr>
          <w:i w:val="0"/>
          <w:color w:val="000000" w:themeColor="text1"/>
          <w:sz w:val="16"/>
          <w:szCs w:val="16"/>
        </w:rPr>
        <w:t>в) работа и прочность агрегатов и механизмов самохода — удовлет</w:t>
      </w:r>
      <w:r w:rsidRPr="007224C3">
        <w:rPr>
          <w:i w:val="0"/>
          <w:color w:val="000000" w:themeColor="text1"/>
          <w:sz w:val="16"/>
          <w:szCs w:val="16"/>
        </w:rPr>
        <w:softHyphen/>
        <w:t>ворительная, за исключением трансмиссионной группы, которая во время испытаний имела ряд дефектов, вызванных общим пло</w:t>
      </w:r>
      <w:r w:rsidRPr="007224C3">
        <w:rPr>
          <w:i w:val="0"/>
          <w:color w:val="000000" w:themeColor="text1"/>
          <w:sz w:val="16"/>
          <w:szCs w:val="16"/>
        </w:rPr>
        <w:softHyphen/>
        <w:t>хим техническим состоянием ее до испытаний и изношенностью деталей.</w:t>
      </w:r>
    </w:p>
    <w:p w14:paraId="55724E25" w14:textId="77777777" w:rsidR="00282955" w:rsidRPr="007224C3" w:rsidRDefault="00282955" w:rsidP="007224C3">
      <w:pPr>
        <w:pStyle w:val="Bodytext141"/>
        <w:shd w:val="clear" w:color="auto" w:fill="auto"/>
        <w:spacing w:line="240" w:lineRule="auto"/>
        <w:ind w:firstLine="0"/>
        <w:jc w:val="both"/>
        <w:rPr>
          <w:i w:val="0"/>
          <w:color w:val="000000" w:themeColor="text1"/>
          <w:sz w:val="16"/>
          <w:szCs w:val="16"/>
        </w:rPr>
      </w:pPr>
      <w:r w:rsidRPr="007224C3">
        <w:rPr>
          <w:i w:val="0"/>
          <w:color w:val="000000" w:themeColor="text1"/>
          <w:sz w:val="16"/>
          <w:szCs w:val="16"/>
        </w:rPr>
        <w:t>2. Существенными недостатками самоходной гаубицы «С-51» при</w:t>
      </w:r>
    </w:p>
    <w:p w14:paraId="1D2CC76C" w14:textId="77777777" w:rsidR="00282955" w:rsidRPr="007224C3" w:rsidRDefault="00282955" w:rsidP="007224C3">
      <w:pPr>
        <w:pStyle w:val="Bodytext141"/>
        <w:shd w:val="clear" w:color="auto" w:fill="auto"/>
        <w:spacing w:line="240" w:lineRule="auto"/>
        <w:ind w:firstLine="0"/>
        <w:jc w:val="both"/>
        <w:rPr>
          <w:i w:val="0"/>
          <w:color w:val="000000" w:themeColor="text1"/>
          <w:sz w:val="16"/>
          <w:szCs w:val="16"/>
        </w:rPr>
      </w:pPr>
      <w:r w:rsidRPr="007224C3">
        <w:rPr>
          <w:i w:val="0"/>
          <w:color w:val="000000" w:themeColor="text1"/>
          <w:sz w:val="16"/>
          <w:szCs w:val="16"/>
        </w:rPr>
        <w:t>стрельбе являются:</w:t>
      </w:r>
    </w:p>
    <w:p w14:paraId="59EB35E0" w14:textId="77777777" w:rsidR="00282955" w:rsidRPr="007224C3" w:rsidRDefault="00282955" w:rsidP="007224C3">
      <w:pPr>
        <w:pStyle w:val="Bodytext141"/>
        <w:shd w:val="clear" w:color="auto" w:fill="auto"/>
        <w:tabs>
          <w:tab w:val="left" w:pos="905"/>
        </w:tabs>
        <w:spacing w:line="240" w:lineRule="auto"/>
        <w:ind w:firstLine="0"/>
        <w:jc w:val="both"/>
        <w:rPr>
          <w:i w:val="0"/>
          <w:color w:val="000000" w:themeColor="text1"/>
          <w:sz w:val="16"/>
          <w:szCs w:val="16"/>
        </w:rPr>
      </w:pPr>
      <w:r w:rsidRPr="007224C3">
        <w:rPr>
          <w:i w:val="0"/>
          <w:color w:val="000000" w:themeColor="text1"/>
          <w:sz w:val="16"/>
          <w:szCs w:val="16"/>
        </w:rPr>
        <w:t>а) большой отход назад и сбиваемость наводки, особенно при малых углах возвышения, вследствие неудовлетворительной устойчиво</w:t>
      </w:r>
      <w:r w:rsidRPr="007224C3">
        <w:rPr>
          <w:i w:val="0"/>
          <w:color w:val="000000" w:themeColor="text1"/>
          <w:sz w:val="16"/>
          <w:szCs w:val="16"/>
        </w:rPr>
        <w:softHyphen/>
        <w:t>сти самохода при выстреле.</w:t>
      </w:r>
    </w:p>
    <w:p w14:paraId="2F7EC2B2" w14:textId="77777777" w:rsidR="00282955" w:rsidRPr="007224C3" w:rsidRDefault="0028295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Большое боковое рассеивание снарядов вследствие бокового сме</w:t>
      </w:r>
      <w:r w:rsidRPr="007224C3">
        <w:rPr>
          <w:rFonts w:ascii="Times New Roman" w:hAnsi="Times New Roman"/>
          <w:color w:val="000000" w:themeColor="text1"/>
          <w:sz w:val="16"/>
          <w:szCs w:val="16"/>
        </w:rPr>
        <w:softHyphen/>
        <w:t>щения орудия при выстреле.</w:t>
      </w:r>
    </w:p>
    <w:p w14:paraId="2CFFE4DB" w14:textId="77777777" w:rsidR="00282955" w:rsidRPr="007224C3" w:rsidRDefault="00282955" w:rsidP="007224C3">
      <w:pPr>
        <w:pStyle w:val="Bodytext141"/>
        <w:shd w:val="clear" w:color="auto" w:fill="auto"/>
        <w:spacing w:line="240" w:lineRule="auto"/>
        <w:ind w:firstLine="0"/>
        <w:jc w:val="both"/>
        <w:rPr>
          <w:i w:val="0"/>
          <w:color w:val="000000" w:themeColor="text1"/>
          <w:sz w:val="16"/>
          <w:szCs w:val="16"/>
        </w:rPr>
      </w:pPr>
      <w:r w:rsidRPr="007224C3">
        <w:rPr>
          <w:i w:val="0"/>
          <w:color w:val="000000" w:themeColor="text1"/>
          <w:sz w:val="16"/>
          <w:szCs w:val="16"/>
        </w:rPr>
        <w:t>Данные недостатки возможно устранить путем постановки сошни</w:t>
      </w:r>
      <w:r w:rsidRPr="007224C3">
        <w:rPr>
          <w:i w:val="0"/>
          <w:color w:val="000000" w:themeColor="text1"/>
          <w:sz w:val="16"/>
          <w:szCs w:val="16"/>
        </w:rPr>
        <w:softHyphen/>
        <w:t>ков в задней части корпуса самохода, как это было применено на 203-мм самоходной установке «СУ-14» конструкции и изготовления Кировского завода, проходившей испытания на НИАПе в 1936 году.</w:t>
      </w:r>
    </w:p>
    <w:p w14:paraId="6FFB7641" w14:textId="77777777" w:rsidR="00282955" w:rsidRPr="007224C3" w:rsidRDefault="00282955" w:rsidP="007224C3">
      <w:pPr>
        <w:pStyle w:val="Bodytext141"/>
        <w:shd w:val="clear" w:color="auto" w:fill="auto"/>
        <w:spacing w:line="240" w:lineRule="auto"/>
        <w:ind w:firstLine="0"/>
        <w:jc w:val="both"/>
        <w:rPr>
          <w:i w:val="0"/>
          <w:color w:val="000000" w:themeColor="text1"/>
          <w:sz w:val="16"/>
          <w:szCs w:val="16"/>
        </w:rPr>
      </w:pPr>
      <w:r w:rsidRPr="007224C3">
        <w:rPr>
          <w:i w:val="0"/>
          <w:color w:val="000000" w:themeColor="text1"/>
          <w:sz w:val="16"/>
          <w:szCs w:val="16"/>
        </w:rPr>
        <w:t>Учитывая, что гаубица в основном будет вести стрельбу при больших углах возвышения, при которых отход назад и сбиваемость наводки менее значительны, для устранения отхода самохода при сравнительно редких и эпизодических стрельбах под малыми углами возвышения можно реко</w:t>
      </w:r>
      <w:r w:rsidRPr="007224C3">
        <w:rPr>
          <w:i w:val="0"/>
          <w:color w:val="000000" w:themeColor="text1"/>
          <w:sz w:val="16"/>
          <w:szCs w:val="16"/>
        </w:rPr>
        <w:softHyphen/>
        <w:t>мендовать подкладывать сзади под гусеницы деревянные брусья из подруч</w:t>
      </w:r>
      <w:r w:rsidRPr="007224C3">
        <w:rPr>
          <w:i w:val="0"/>
          <w:color w:val="000000" w:themeColor="text1"/>
          <w:sz w:val="16"/>
          <w:szCs w:val="16"/>
        </w:rPr>
        <w:softHyphen/>
        <w:t>ного материала.</w:t>
      </w:r>
    </w:p>
    <w:p w14:paraId="1CF48D82" w14:textId="77777777" w:rsidR="00282955" w:rsidRPr="007224C3" w:rsidRDefault="00282955" w:rsidP="007224C3">
      <w:pPr>
        <w:pStyle w:val="Bodytext141"/>
        <w:shd w:val="clear" w:color="auto" w:fill="auto"/>
        <w:spacing w:line="240" w:lineRule="auto"/>
        <w:ind w:firstLine="0"/>
        <w:jc w:val="both"/>
        <w:rPr>
          <w:i w:val="0"/>
          <w:color w:val="000000" w:themeColor="text1"/>
          <w:sz w:val="16"/>
          <w:szCs w:val="16"/>
        </w:rPr>
      </w:pPr>
      <w:r w:rsidRPr="007224C3">
        <w:rPr>
          <w:i w:val="0"/>
          <w:color w:val="000000" w:themeColor="text1"/>
          <w:sz w:val="16"/>
          <w:szCs w:val="16"/>
        </w:rPr>
        <w:t>3. АНИОП считает, что 203 мм самоходная гаубица «С-51 по срав</w:t>
      </w:r>
      <w:r w:rsidRPr="007224C3">
        <w:rPr>
          <w:i w:val="0"/>
          <w:color w:val="000000" w:themeColor="text1"/>
          <w:sz w:val="16"/>
          <w:szCs w:val="16"/>
        </w:rPr>
        <w:softHyphen/>
        <w:t>нению с 203-мм гаубицей «Б-4» обладает большей маневренностью движения и огня при сохранении своего огневого могущества и по устранении недостатков, выявленных при испытании и отмеченных в настоящем отчете, может быть рекомендована на вооружение Красной Армии».</w:t>
      </w:r>
    </w:p>
    <w:p w14:paraId="6CE56B4C" w14:textId="77777777" w:rsidR="00282955" w:rsidRPr="007224C3" w:rsidRDefault="00282955" w:rsidP="007224C3">
      <w:pPr>
        <w:pStyle w:val="a3"/>
        <w:rPr>
          <w:color w:val="000000" w:themeColor="text1"/>
          <w:lang w:val="ru-RU"/>
        </w:rPr>
      </w:pPr>
      <w:r w:rsidRPr="007224C3">
        <w:rPr>
          <w:color w:val="000000" w:themeColor="text1"/>
          <w:lang w:val="ru-RU"/>
        </w:rPr>
        <w:t>По итогам испытаний Грабин обратился с письмом к Берии, в кото</w:t>
      </w:r>
      <w:r w:rsidRPr="007224C3">
        <w:rPr>
          <w:color w:val="000000" w:themeColor="text1"/>
          <w:lang w:val="ru-RU"/>
        </w:rPr>
        <w:softHyphen/>
        <w:t>ром высказал соображения относительно запуска С-51 в серийное про</w:t>
      </w:r>
      <w:r w:rsidRPr="007224C3">
        <w:rPr>
          <w:color w:val="000000" w:themeColor="text1"/>
          <w:lang w:val="ru-RU"/>
        </w:rPr>
        <w:softHyphen/>
        <w:t>изводство. По мнению начальника ЦАКБ, общий объем выпуска са</w:t>
      </w:r>
      <w:r w:rsidRPr="007224C3">
        <w:rPr>
          <w:color w:val="000000" w:themeColor="text1"/>
          <w:lang w:val="ru-RU"/>
        </w:rPr>
        <w:softHyphen/>
        <w:t xml:space="preserve">моходных установок данного типа должен был составить 20—30 штук. К такой идее отрицательно отнеслись в Управлении самоходной артиллерии, где считали нерациональным использовать шасси </w:t>
      </w:r>
      <w:r w:rsidRPr="007224C3">
        <w:rPr>
          <w:color w:val="000000" w:themeColor="text1"/>
        </w:rPr>
        <w:t>KB</w:t>
      </w:r>
      <w:r w:rsidRPr="007224C3">
        <w:rPr>
          <w:color w:val="000000" w:themeColor="text1"/>
          <w:lang w:val="ru-RU"/>
        </w:rPr>
        <w:t>-1С для изготовления тяжелой САУ с легким щитовым прикрытием. Кро</w:t>
      </w:r>
      <w:r w:rsidRPr="007224C3">
        <w:rPr>
          <w:color w:val="000000" w:themeColor="text1"/>
          <w:lang w:val="ru-RU"/>
        </w:rPr>
        <w:softHyphen/>
        <w:t xml:space="preserve">ме того, боевая масса С-51 составляла 50 тонн, а ситуацию 1942 года, когда у доведенных до такой массы </w:t>
      </w:r>
      <w:r w:rsidRPr="007224C3">
        <w:rPr>
          <w:color w:val="000000" w:themeColor="text1"/>
        </w:rPr>
        <w:t>KB</w:t>
      </w:r>
      <w:r w:rsidRPr="007224C3">
        <w:rPr>
          <w:color w:val="000000" w:themeColor="text1"/>
          <w:lang w:val="ru-RU"/>
        </w:rPr>
        <w:t>-1 «сыпались» агрегаты моторно-трансмиссионнои группы, все еще стояла у «танкистов» перед гла</w:t>
      </w:r>
      <w:r w:rsidRPr="007224C3">
        <w:rPr>
          <w:color w:val="000000" w:themeColor="text1"/>
          <w:lang w:val="ru-RU"/>
        </w:rPr>
        <w:softHyphen/>
        <w:t>зами. Было решено провести дополнительные испытания самоходной установки, но они не состоялись ввиду того, что шасси после весенних пробегов требовало капитального ремонта. На этом ситуация вокруг С-51 временно застопорилась.</w:t>
      </w:r>
    </w:p>
    <w:p w14:paraId="38522FDB" w14:textId="77777777" w:rsidR="00282955" w:rsidRPr="007224C3" w:rsidRDefault="00282955" w:rsidP="007224C3">
      <w:pPr>
        <w:pStyle w:val="Bodytext141"/>
        <w:shd w:val="clear" w:color="auto" w:fill="auto"/>
        <w:spacing w:line="240" w:lineRule="auto"/>
        <w:ind w:firstLine="0"/>
        <w:jc w:val="both"/>
        <w:rPr>
          <w:i w:val="0"/>
          <w:color w:val="000000" w:themeColor="text1"/>
          <w:sz w:val="16"/>
          <w:szCs w:val="16"/>
        </w:rPr>
      </w:pPr>
      <w:r w:rsidRPr="007224C3">
        <w:rPr>
          <w:i w:val="0"/>
          <w:color w:val="000000" w:themeColor="text1"/>
          <w:sz w:val="16"/>
          <w:szCs w:val="16"/>
        </w:rPr>
        <w:t xml:space="preserve"> (17484).</w:t>
      </w:r>
    </w:p>
    <w:p w14:paraId="4402B81B" w14:textId="77777777" w:rsidR="00282955" w:rsidRPr="007224C3" w:rsidRDefault="00282955" w:rsidP="007224C3">
      <w:pPr>
        <w:spacing w:after="0" w:line="240" w:lineRule="auto"/>
        <w:jc w:val="both"/>
        <w:rPr>
          <w:rFonts w:ascii="Times New Roman" w:hAnsi="Times New Roman"/>
          <w:color w:val="000000" w:themeColor="text1"/>
          <w:sz w:val="16"/>
          <w:szCs w:val="16"/>
        </w:rPr>
      </w:pPr>
    </w:p>
    <w:p w14:paraId="375DAB9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апреля 1944 вышло Постановление ГКО № 5587 О добыче нефти и выработке нефтепродуктов в апреле и II квартале 1944 года. РГАНИР, Фонд ГКО, д. 227, лл. 85-93,94-97 (11012).</w:t>
      </w:r>
    </w:p>
    <w:p w14:paraId="1F8C9A2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002528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апреля 1944 вышло Постановление ГКО № 5588 О плане производства боеприпасов во II квартале 1944 года. РГАНИР, Фонд ГКО, д. 228, лл. 1-29,30-473 (11012).</w:t>
      </w:r>
    </w:p>
    <w:p w14:paraId="24261EF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57F2D5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апреля 1944 вышло Постановление ГКО № 5589 О плане производства и поставок пистолетов-пулеметов Шпагина и ПП-43 в апреле и во II квартале 1944 г. РГАНИР, Фонд ГКО, д. 230, лл. 1-9,10-19 (11012).</w:t>
      </w:r>
    </w:p>
    <w:p w14:paraId="5AFC531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D0CF22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апреля 1944 вышло Постановление ГКО № 5590 О плане производства и поставок НКО и НКВМФ артиллерийского, минометного и стрелкового вооружения и военных приборов на апрель и II квартал 1944 г. РГАНИР, Фонд ГКО, д. 230, лл. 20-54,55-161 (11012).</w:t>
      </w:r>
    </w:p>
    <w:p w14:paraId="14B17BC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7E59BE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апреля 1944 вышло Постановление ГКО № 5591 О плане производства и поставок патронов и звеньев Наркоматом вооружения в апреле и во II квартале 1944 г. РГАНИР, Фонд ГКО, д. 230, лл. 162-173,174-187 (11012).</w:t>
      </w:r>
    </w:p>
    <w:p w14:paraId="3E9B431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5689BB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апреля 1944 вышло Постановление ГКО № 5592 О плане производства важнейших химикатов для боеприпасов и народного хозяйства на II квартал 1944 года. РГАНИР, Фонд ГКО, д. 230, лл. 188-208,209-219 (11012).</w:t>
      </w:r>
    </w:p>
    <w:p w14:paraId="792BCD8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079419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апреля 1944 вышло Постановление ГКО № 5593 О плане производства танков, самоходных артиллерийских установок, дизелей, запасных частей к ним и ремонте танков, артсамоходов и дизелей на II квартал 1944 года. РГАНИР, Фонд ГКО, д. 231, лл. 1-8,9-202 (11012).</w:t>
      </w:r>
    </w:p>
    <w:p w14:paraId="66D4F2B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2709301"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03C4412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B03C943" w14:textId="77777777" w:rsidR="002F4B64" w:rsidRPr="007224C3" w:rsidRDefault="002F4B6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апреля в 1944 году оперативная сводка Совинформбюро:</w:t>
      </w:r>
    </w:p>
    <w:p w14:paraId="7B4CD83E" w14:textId="77777777" w:rsidR="002F4B64" w:rsidRPr="007224C3" w:rsidRDefault="002F4B6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9 апреля западнее города Скала наши войска, преодолевая сопротивление и контратаки противника, продолжали вести бои по уничтожению его окружённой группировки и заняли несколько населённых пунктов.</w:t>
      </w:r>
    </w:p>
    <w:p w14:paraId="4E10B89C" w14:textId="77777777" w:rsidR="002F4B64" w:rsidRPr="007224C3" w:rsidRDefault="002F4B6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Наши войска, наступающие между реками Прут и Серет, с боями заняли нарумынской территории более 200 населённых пунктов, в том числе крупные населённые пункты Рогозеште, Кындешти, Калинешти, Сарафинешти, Руши, Фэгэдэу, Котнарий, Чепленица, Ходора, Белчешти, Мунтени, Валя Ойлор, Ларга, Захорна (12 километров северо-западнее Яссы) и железнодорожные станции Владений, Ларга, Мовилени, Кукутени, Поду-Илоаей, Белчешти, Котнарий. Таким образом, нашимивойсками перерезана железная дорога Яссы-Пашкани.</w:t>
      </w:r>
    </w:p>
    <w:p w14:paraId="72871CB3" w14:textId="77777777" w:rsidR="002F4B64" w:rsidRPr="007224C3" w:rsidRDefault="002F4B6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Одесском направлении наши войска, преодолевая сопротивление противника, с боями продвигались вперёд и овладели населёнными пунктами Троицкое, Ясски, Петерсталь, Юзефсталь, Мариенталь, Ленинталь, Фрейденталь, Красный Переселенец (18 километров западнее Одессы), Васильевка, Петровский, Выгода, Гниляково, Палиово, Алтестово, Холодная Балка, Черевичный, Августовка, Корсунцы, Шевченко, Фонтанка, Крыжановка, а также заняли железнодорожные станции Выгода и Сортировочная (5 километров севернее Одесса).</w:t>
      </w:r>
    </w:p>
    <w:p w14:paraId="4464EBAC" w14:textId="77777777" w:rsidR="002F4B64" w:rsidRPr="007224C3" w:rsidRDefault="002F4B6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 поиски разведчиков и бои местного значения.</w:t>
      </w:r>
    </w:p>
    <w:p w14:paraId="6EB20E02" w14:textId="77777777" w:rsidR="002F4B64" w:rsidRPr="007224C3" w:rsidRDefault="002F4B6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8 апреля наши войска на всех фронтах подбили и уничтожили 104 немецких танка. В воздушных боях и огнём зенитной артиллерии сбит 71 самолёт противника.</w:t>
      </w:r>
    </w:p>
    <w:p w14:paraId="3FD04B7A" w14:textId="77777777" w:rsidR="002F4B64" w:rsidRPr="007224C3" w:rsidRDefault="002F4B6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города Скала наши войска продолжали вести бои по уничтожению окружённой группировки противника. Части Н-ского соединения ночью совершили стремительный манёвр и нанесли внезапный удар немцам, укрепившимся в одном населённом пункте. В ожесточённой схватке советские бойцы истребили 400 гитлеровцев. Более 200 немецких солдат и офицеров прекратили сопротивление и сдались в плен. Захвачено 3 исправных танка, 4 скорострельных зенитных и 15 полевых орудий и обоз с боеприпасами. На другом участке наши войска сломили упорное сопротивление немцев и, продвигаясь вперёд, заняли несколько населённых пунктов. На поле боя осталось много техники, сожжённой противником при отступлении. По неполным данным, истреблено до 2.000 гитлеровцев. Наша авиация наносила непрерывные удары по боевым порядкам противника. В течение дня советские лётчики уничтожили 40 немецких танков, 10 бензоцистерн, 12 бронетранспортёров и более 250 автомашин.</w:t>
      </w:r>
    </w:p>
    <w:p w14:paraId="34EC5EC3" w14:textId="77777777" w:rsidR="002F4B64" w:rsidRPr="007224C3" w:rsidRDefault="002F4B6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Наши войска, развивая успешное наступление между реками Прут и Серет, заняли более 200 населённых пунктов на румынской территории. Части Н-ского соединения с боями овладели железнодорожной станцией Поду-Илоаей и тем самым перерезали железную дорогу, идущую от города Яссы на запад. В этом районе уничтожено более 900 немцев и румын. Взято в плен 250 вражеских солдат и офицеров. Захвачены трофеи, в том числе много орудий и боеприпасов. На другом участке наши пехотинцыи танкисты атаковали батальон румынской пехоты. Под натиском советских бойцов румыны начали поспешно отступать. Немецкий заградительный отряд открыл по румынам пулемётный огонь. Из всего батальона осталось в живых лишь 43 румынских солдата, сдавшихся в плен.</w:t>
      </w:r>
    </w:p>
    <w:p w14:paraId="6AFC37B4" w14:textId="77777777" w:rsidR="002F4B64" w:rsidRPr="007224C3" w:rsidRDefault="002F4B6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На Одесском направлении наши войска продолжали наступление. На подступах к Одессе немцы заранее подготовили оборонительную полосу, использовав для этого все выгодные естественные рубежи — лиманы, овраги и балки. Наши войска, действуя подвижными отрядами и умело маневрируя, наносят противнику удары с тыла и флангов, отвоёвывая у него один рубеж за другим. Подразделения Н-ской гвардейской части, нащупав слабое место в обороне немцев, ночью с фланга атаковали противника. Гвардейцы истребили 300 гитлеровцев и захватили на огневых позициях 12 орудий. К северо-востоку от Одессы противник, стремясь преградить путь нашим войскам, продвигавшимся вдоль побережья Чёрного моря, взорвал дамбу лимана. Вода стремительным потоком хлынула в море, заливая прибрежную дорогу. </w:t>
      </w:r>
      <w:r w:rsidRPr="007224C3">
        <w:rPr>
          <w:rFonts w:ascii="Times New Roman" w:hAnsi="Times New Roman"/>
          <w:color w:val="000000" w:themeColor="text1"/>
          <w:sz w:val="16"/>
          <w:szCs w:val="16"/>
        </w:rPr>
        <w:lastRenderedPageBreak/>
        <w:t>Бойцы части, где командиром майор Таран, работая по пояс в ледяной воде, в короткий срок, навели переправу. Наши войска форсировали водную преграду и, с хода атаковав противника, выбили его из населённого пункта Фонтанка. Развивая успех, советские части овладели железнодорожной станцией Сортировочная, находящейся в 5 километрах от Одессы.</w:t>
      </w:r>
    </w:p>
    <w:p w14:paraId="68F1DE90" w14:textId="77777777" w:rsidR="002F4B64" w:rsidRPr="007224C3" w:rsidRDefault="002F4B6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одном участке Белорусского фронта лётчик Герой Советского Союза подполковник Пологов, патрулируя над нашими позициями, встретился с четырьмя немецкими истребителями «Фокке-Вульф-190». В ожесточённой схватке тов. Пологовсбил два самолёта противника. Самолёт тов. Пологова получил повреждения и загорелся. В это время в районе боя появились 11 вражеских транспортных самолётов «Юнкерс-52». Подполковник Пологов на своём горящем истребителе врезался в их строй и протаранил один немецкий транспортный самолёт. Тов.Пологов выбросился с парашютом из горящей машины и благополучно приземлился на своей территории.</w:t>
      </w:r>
    </w:p>
    <w:p w14:paraId="21F422FD" w14:textId="77777777" w:rsidR="002F4B64" w:rsidRPr="007224C3" w:rsidRDefault="002F4B6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Наблюдательные посты Северного флота ночью обнаружили караван судов противника, пытавшийся выйти в море из одного финского порта. Два советских торпедных катера атаковали немецкий караван. Прямыми попаданиями торпед потоплен катер и серьёзно повреждены два транспорта противника.</w:t>
      </w:r>
    </w:p>
    <w:p w14:paraId="2DEF143C" w14:textId="77777777" w:rsidR="002F4B64" w:rsidRPr="007224C3" w:rsidRDefault="002F4B6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эту же ночь авиация флота нанесла удар другому каравану судов противника. В результате четырёх следовавших одна за другой атак потоплены транспорт водоизмещением в 2.000 тонн и 4 сторожевых корабля противника. Двум транспортам причинены повреждения. В воздушных боях советские лётчики сбили 5 немецких самолётов и без потерь вернулись на свои базы.</w:t>
      </w:r>
    </w:p>
    <w:p w14:paraId="47E810D9" w14:textId="77777777" w:rsidR="002F4B64" w:rsidRPr="007224C3" w:rsidRDefault="002F4B6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Партизанский отряд имени Щорса, действующий в Барановичской области, подорвал на минах немецкий бронепоезд. За бронепоездом следовали два воинских эшелона с техникой и боеприпасами. Партизаны пустили под откос и эти составы противника. Разбиты 4 паровоза и 48 вагонов. Белорусский партизанский отряд имени Александра Невского за две недели пустил под откос 3 немецких эшелона. Во время крушений этих эшелонов было убито 160 гитлеровцев.» (15094).</w:t>
      </w:r>
    </w:p>
    <w:p w14:paraId="2CDB2083" w14:textId="77777777" w:rsidR="002F4B64" w:rsidRPr="007224C3" w:rsidRDefault="002F4B64" w:rsidP="007224C3">
      <w:pPr>
        <w:spacing w:after="0" w:line="240" w:lineRule="auto"/>
        <w:jc w:val="both"/>
        <w:rPr>
          <w:rFonts w:ascii="Times New Roman" w:hAnsi="Times New Roman"/>
          <w:color w:val="000000" w:themeColor="text1"/>
          <w:sz w:val="16"/>
          <w:szCs w:val="16"/>
        </w:rPr>
      </w:pPr>
    </w:p>
    <w:p w14:paraId="6D7B0699" w14:textId="77777777" w:rsidR="00AA077A" w:rsidRPr="007224C3" w:rsidRDefault="00AA077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ночь с 9 на 10 апреля 1944 45-я АДДД совершила налет на же</w:t>
      </w:r>
      <w:r w:rsidRPr="007224C3">
        <w:rPr>
          <w:rFonts w:ascii="Times New Roman" w:hAnsi="Times New Roman"/>
          <w:color w:val="000000" w:themeColor="text1"/>
          <w:sz w:val="16"/>
          <w:szCs w:val="16"/>
        </w:rPr>
        <w:softHyphen/>
        <w:t>лезнодорожный узел Львов (Украина). На задание вылетало 16 кораблей. Взлет прошел в период с 17 ч. 01 мин. по 18 ч. 25 мин. Однако задание выполнили не все экипажи. Один самолет (№42059, командир корабля Шатров) из 25-го гв. АПДД из-за отказа генератора в третьем моторе задержался с взлетом. Но после замены генератора взлетел в 18 ч. 40 мин. Однако в воз</w:t>
      </w:r>
      <w:r w:rsidRPr="007224C3">
        <w:rPr>
          <w:rFonts w:ascii="Times New Roman" w:hAnsi="Times New Roman"/>
          <w:color w:val="000000" w:themeColor="text1"/>
          <w:sz w:val="16"/>
          <w:szCs w:val="16"/>
        </w:rPr>
        <w:softHyphen/>
        <w:t>духе у него произошел отказ всех четырех моторов, и экипаж произвел вынужденную посадку в районе деревни Тарутино, в 30-ти километрах западнее Лопасни. Через некоторое время самолет был отремонтирован. Пе-8 №42111 (командир корабля Самохин, штурман Куликов) из 890-го АПДД, из-за отказа четвер</w:t>
      </w:r>
      <w:r w:rsidRPr="007224C3">
        <w:rPr>
          <w:rFonts w:ascii="Times New Roman" w:hAnsi="Times New Roman"/>
          <w:color w:val="000000" w:themeColor="text1"/>
          <w:sz w:val="16"/>
          <w:szCs w:val="16"/>
        </w:rPr>
        <w:softHyphen/>
        <w:t>того двигателя вернулся на свой аэродром, не выполнив задания. У Пе-8 №4214 (командир корабля Сукоркин, штурман Бурлуцкий) из 890-го АПДД, также отказал один двигатель, и через девять минут после взлета корабль приземлился на своем аэродроме. Пе-8 №42711 (командир корабля Марусиченко, штурман Моисеев) из 890-го АПДД из-за отказа второго двигателя произвел посадку на аэродроме Грабцево через 2 ч. 30 мин. после взлета.</w:t>
      </w:r>
    </w:p>
    <w:p w14:paraId="23B90096" w14:textId="77777777" w:rsidR="00AA077A" w:rsidRPr="007224C3" w:rsidRDefault="00AA077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Остальные 12 самолетов бомбили основную цель в период с 22 ч. 14 мин по 23 ч. 24 мин. На цель было сброшено: 5 ФАБ- 2000, 24 ФАБ-ЮООтга, 16 ФАБ-250тга, 2 ЗАБ-ЮОцк, 14 ЗАБ-50тг, 4 ФОТАБ-35. Из состава 25-го гв. АПДД цель бомбили Пе-8 с заводскими номерами: 42076 (командир корабля Адамов), 42067 (командир корабля Об</w:t>
      </w:r>
      <w:r w:rsidRPr="007224C3">
        <w:rPr>
          <w:rFonts w:ascii="Times New Roman" w:hAnsi="Times New Roman"/>
          <w:color w:val="000000" w:themeColor="text1"/>
          <w:sz w:val="16"/>
          <w:szCs w:val="16"/>
        </w:rPr>
        <w:softHyphen/>
        <w:t>ухов), 42028 (командир корабля Симо</w:t>
      </w:r>
      <w:r w:rsidRPr="007224C3">
        <w:rPr>
          <w:rFonts w:ascii="Times New Roman" w:hAnsi="Times New Roman"/>
          <w:color w:val="000000" w:themeColor="text1"/>
          <w:sz w:val="16"/>
          <w:szCs w:val="16"/>
        </w:rPr>
        <w:softHyphen/>
        <w:t>нов), 42410 (командир корабля Ищенко), 42311 (командир корабля Зеленский), 42811 (командир корабля Пономаренко), 42911 (командир корабля Чурилин). Из состава 890-го АПДД бомбили цель Пе-8 с заводскими номерами: 42078 (коман</w:t>
      </w:r>
      <w:r w:rsidRPr="007224C3">
        <w:rPr>
          <w:rFonts w:ascii="Times New Roman" w:hAnsi="Times New Roman"/>
          <w:color w:val="000000" w:themeColor="text1"/>
          <w:sz w:val="16"/>
          <w:szCs w:val="16"/>
        </w:rPr>
        <w:softHyphen/>
        <w:t>дир корабля Белков), 42810 (командир корабля Олейников), 42910 (командир корабля Шамрай), 42411(командир ко</w:t>
      </w:r>
      <w:r w:rsidRPr="007224C3">
        <w:rPr>
          <w:rFonts w:ascii="Times New Roman" w:hAnsi="Times New Roman"/>
          <w:color w:val="000000" w:themeColor="text1"/>
          <w:sz w:val="16"/>
          <w:szCs w:val="16"/>
        </w:rPr>
        <w:softHyphen/>
        <w:t>рабля Романов), 421011 (командир ко</w:t>
      </w:r>
      <w:r w:rsidRPr="007224C3">
        <w:rPr>
          <w:rFonts w:ascii="Times New Roman" w:hAnsi="Times New Roman"/>
          <w:color w:val="000000" w:themeColor="text1"/>
          <w:sz w:val="16"/>
          <w:szCs w:val="16"/>
        </w:rPr>
        <w:softHyphen/>
        <w:t>рабля Невенчанный). После выполнения задания все корабли, бомбившие цель произвели посадку на своем аэродроме, в период с 02 ч. 02 мин. по 03 ч. 26 мин. Потерь не было (19559).</w:t>
      </w:r>
    </w:p>
    <w:p w14:paraId="0B584EA4" w14:textId="77777777" w:rsidR="00AA077A" w:rsidRPr="007224C3" w:rsidRDefault="00AA077A" w:rsidP="007224C3">
      <w:pPr>
        <w:spacing w:after="0" w:line="240" w:lineRule="auto"/>
        <w:jc w:val="both"/>
        <w:rPr>
          <w:rFonts w:ascii="Times New Roman" w:hAnsi="Times New Roman"/>
          <w:color w:val="000000" w:themeColor="text1"/>
          <w:sz w:val="16"/>
          <w:szCs w:val="16"/>
        </w:rPr>
      </w:pPr>
    </w:p>
    <w:p w14:paraId="55CD9C61" w14:textId="77777777" w:rsidR="00AA077A" w:rsidRPr="007224C3" w:rsidRDefault="00AA077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9-11 апреля 1944 года 30-й дивизион поддерживал огнем наступление наших частей на Чонгарском перешейке, а после прорыва немецкой обороны и освобождения Крыма в мае вошел в состав Отдельной Приморской армии и сосредоточился в Симферополе, а в августе 1944 года 30 отдельный дивизион бронепоездов был расформирован. </w:t>
      </w:r>
    </w:p>
    <w:p w14:paraId="4BF514EC" w14:textId="77777777" w:rsidR="00AA077A" w:rsidRPr="007224C3" w:rsidRDefault="00AA077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Мотоброневагон МБВ № 01 был направлен на ремонт и перевооружение (вместо КТ-28 он получил 76-мм танковые пушки Ф-34), после чего в феврале 1945 года вошел в состав 59-го отдельного дивизиона бронепоездов 1-го Белорусского фронта, в котором и закончил войну. После расформирования дивизиона летом 1947 года МБВ №01 передали 8-му дивизиону бронепоездов, а после того, как и он был расформирован в августе 1953 года мотоброневагон поступил на военный склад № 2707 в Брянске. Автор не располагает сведениями о том, проводилась ли на МБВ № 01 замена двигателя М-17 на В-2-34. Что стало с этим мотоброневагоном пока установить не удалось, скорее всего, он был сдан в металлолом в 1960-х годах (18626).</w:t>
      </w:r>
    </w:p>
    <w:p w14:paraId="143079DA" w14:textId="77777777" w:rsidR="00AA077A" w:rsidRPr="007224C3" w:rsidRDefault="00AA077A" w:rsidP="007224C3">
      <w:pPr>
        <w:spacing w:after="0" w:line="240" w:lineRule="auto"/>
        <w:jc w:val="both"/>
        <w:rPr>
          <w:rFonts w:ascii="Times New Roman" w:hAnsi="Times New Roman"/>
          <w:color w:val="000000" w:themeColor="text1"/>
          <w:sz w:val="16"/>
          <w:szCs w:val="16"/>
        </w:rPr>
      </w:pPr>
    </w:p>
    <w:p w14:paraId="22BF6B0D" w14:textId="77777777" w:rsidR="002F4B64" w:rsidRPr="007224C3" w:rsidRDefault="002F4B6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апреля в 1944 году "Алкогольные напитки не уничтожать, а оставить русским. Практика показывает, что, когда они захватывают такие трофеи, их наступление замедляется". Приказ командующего 17-й немецкой армией от 9 апреля 1944 года (15094).</w:t>
      </w:r>
    </w:p>
    <w:p w14:paraId="247A96CF" w14:textId="77777777" w:rsidR="002F4B64" w:rsidRPr="007224C3" w:rsidRDefault="002F4B64" w:rsidP="007224C3">
      <w:pPr>
        <w:spacing w:after="0" w:line="240" w:lineRule="auto"/>
        <w:jc w:val="both"/>
        <w:rPr>
          <w:rFonts w:ascii="Times New Roman" w:hAnsi="Times New Roman"/>
          <w:color w:val="000000" w:themeColor="text1"/>
          <w:sz w:val="16"/>
          <w:szCs w:val="16"/>
        </w:rPr>
      </w:pPr>
    </w:p>
    <w:p w14:paraId="0DF848D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апреля 1944 по сообщению Совинформбюро л БелФ п/п П.А.Пологов во время патрулирования встретился с 4-мя ФВ-190. Два сбил, но был подбит. В районе боя увидел 11 Ю-52 и врезался в их строй, протаранив один, выбросился на парашюте и благополучно приземлился (438,900).</w:t>
      </w:r>
    </w:p>
    <w:p w14:paraId="090DFD3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C21A20" w14:textId="05CC7D14" w:rsidR="008B5CA2" w:rsidRPr="007224C3" w:rsidRDefault="008B5CA2" w:rsidP="007224C3">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7224C3">
        <w:rPr>
          <w:rFonts w:ascii="Times New Roman" w:hAnsi="Times New Roman"/>
          <w:i/>
          <w:iCs/>
          <w:color w:val="000000" w:themeColor="text1"/>
          <w:sz w:val="16"/>
          <w:szCs w:val="16"/>
        </w:rPr>
        <w:t>За рубежом:</w:t>
      </w:r>
    </w:p>
    <w:p w14:paraId="771AF86B" w14:textId="77777777" w:rsidR="008B5CA2" w:rsidRPr="007224C3" w:rsidRDefault="008B5CA2" w:rsidP="007224C3">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10E72C31" w14:textId="77777777" w:rsidR="008B5CA2" w:rsidRPr="007224C3" w:rsidRDefault="008B5CA2"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9–10 апреля (ночь) 1944 239 британских бомбардировщиков атаковали железнодорожные станции в Лилле, Франция, потеряв один самолет Lancaster (20373).</w:t>
      </w:r>
    </w:p>
    <w:p w14:paraId="0F970D50" w14:textId="77777777" w:rsidR="008B5CA2" w:rsidRPr="007224C3" w:rsidRDefault="008B5CA2" w:rsidP="007224C3">
      <w:pPr>
        <w:spacing w:after="0" w:line="240" w:lineRule="auto"/>
        <w:jc w:val="both"/>
        <w:rPr>
          <w:rFonts w:ascii="Times New Roman" w:hAnsi="Times New Roman"/>
          <w:color w:val="0070C0"/>
          <w:sz w:val="16"/>
          <w:szCs w:val="16"/>
        </w:rPr>
      </w:pPr>
    </w:p>
    <w:p w14:paraId="78B84D3E" w14:textId="2570E55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5178460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E24246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10/11 апреля 1944 Зам. командующего ВВС Скрипко писал Зам. наркома Дементьеву письмо N 10060077с (вход. 4774-4л. от 11 апреля 1944):</w:t>
      </w:r>
    </w:p>
    <w:p w14:paraId="1B949E4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"Направляю Вам копии объяснительных записок слушателей Ивановской ВШШ и Л АДД летчика мл. л. Ананьева и ш мл. л. Чукавина, которые показывают, как приходится летать на Ил-4 при отказе одного мотора." (1868,298). Дело было 8 февраля в Средней Азии и на одном моторе без потери высоты лететь смогли только 15-20 минут, так как мотор стал греться. Все выбросились с парашютом и спаслись" (1868,298).</w:t>
      </w:r>
    </w:p>
    <w:p w14:paraId="2F88684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ОБ"ЯСНИТЕЛЬНАЯ ЗАПИСКА, младшего лейтенанта АНАНЬЕВА</w:t>
      </w:r>
    </w:p>
    <w:p w14:paraId="1F16246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февраля я принял самолет №12 у техника-старшины ГОРБУНОВА и взлетел на нем, чтобы итти по маршруту Шары-Султан-Бент-ст Чарджоу -Мары-Ашхабад-Теджен-Мары . В воздухе матчасть работала хорошо, после пролета С.Бента невдалеке от ст. Чарджоу, то есть через 1ч.10 м. от момента взлета я заметил,что у меня резко упало давле</w:t>
      </w:r>
      <w:r w:rsidRPr="007224C3">
        <w:rPr>
          <w:rFonts w:ascii="Times New Roman" w:hAnsi="Times New Roman"/>
          <w:color w:val="000000" w:themeColor="text1"/>
          <w:sz w:val="16"/>
          <w:szCs w:val="16"/>
        </w:rPr>
        <w:softHyphen/>
        <w:t xml:space="preserve">ние масла левого мотора до </w:t>
      </w:r>
      <w:r w:rsidRPr="007224C3">
        <w:rPr>
          <w:rFonts w:ascii="Times New Roman" w:hAnsi="Times New Roman"/>
          <w:iCs/>
          <w:color w:val="000000" w:themeColor="text1"/>
          <w:sz w:val="16"/>
          <w:szCs w:val="16"/>
        </w:rPr>
        <w:t xml:space="preserve">2 </w:t>
      </w:r>
      <w:r w:rsidRPr="007224C3">
        <w:rPr>
          <w:rFonts w:ascii="Times New Roman" w:hAnsi="Times New Roman"/>
          <w:color w:val="000000" w:themeColor="text1"/>
          <w:sz w:val="16"/>
          <w:szCs w:val="16"/>
        </w:rPr>
        <w:t>атм., после чего я вызвал радиста фоническим сигналом и приказал посмотреть, не бьет ли масло с левого мотора .Когда он посмотрел,то доложил, что масло с левого мо</w:t>
      </w:r>
      <w:r w:rsidRPr="007224C3">
        <w:rPr>
          <w:rFonts w:ascii="Times New Roman" w:hAnsi="Times New Roman"/>
          <w:color w:val="000000" w:themeColor="text1"/>
          <w:sz w:val="16"/>
          <w:szCs w:val="16"/>
        </w:rPr>
        <w:softHyphen/>
        <w:t>тора бьет. После доклада радиста я сразу развернулся и взял курс на г .Мары. До ст. Чарджоу мы не долетели километров пять. Когда летели обратно, то через две минуты давление масла упало до 0, я подал команду штурману, чтобы он приготовил в Ф-1 ножное управле</w:t>
      </w:r>
      <w:r w:rsidRPr="007224C3">
        <w:rPr>
          <w:rFonts w:ascii="Times New Roman" w:hAnsi="Times New Roman"/>
          <w:color w:val="000000" w:themeColor="text1"/>
          <w:sz w:val="16"/>
          <w:szCs w:val="16"/>
        </w:rPr>
        <w:softHyphen/>
        <w:t>ние и по моей команде нажимал на правую педаль. Через 2-2,5 ми</w:t>
      </w:r>
      <w:r w:rsidRPr="007224C3">
        <w:rPr>
          <w:rFonts w:ascii="Times New Roman" w:hAnsi="Times New Roman"/>
          <w:color w:val="000000" w:themeColor="text1"/>
          <w:sz w:val="16"/>
          <w:szCs w:val="16"/>
        </w:rPr>
        <w:softHyphen/>
        <w:t>нуты мотор левый совсем заклинило, после чего я штурману отдал команду,чтобы он держал правую педаль и в случае, если будет тя</w:t>
      </w:r>
      <w:r w:rsidRPr="007224C3">
        <w:rPr>
          <w:rFonts w:ascii="Times New Roman" w:hAnsi="Times New Roman"/>
          <w:color w:val="000000" w:themeColor="text1"/>
          <w:sz w:val="16"/>
          <w:szCs w:val="16"/>
        </w:rPr>
        <w:softHyphen/>
        <w:t>жело, нажимал обоими ногами. Мою команду он выполнил и мы пошли на одном моторе Н-1700 м., радисту передал, чтобы он сообщил, что идем на одном моторе и передал несколько раз, чтобы на приводной радиостанции приняли нашу радиограмму. На одном моторе летели мы минут 15 без потери высоты, затем мотор правый стал греться, по</w:t>
      </w:r>
      <w:r w:rsidRPr="007224C3">
        <w:rPr>
          <w:rFonts w:ascii="Times New Roman" w:hAnsi="Times New Roman"/>
          <w:color w:val="000000" w:themeColor="text1"/>
          <w:sz w:val="16"/>
          <w:szCs w:val="16"/>
        </w:rPr>
        <w:softHyphen/>
        <w:t>тому что РК я держал 840 мм., а на меньшем РК машина теряет вы</w:t>
      </w:r>
      <w:r w:rsidRPr="007224C3">
        <w:rPr>
          <w:rFonts w:ascii="Times New Roman" w:hAnsi="Times New Roman"/>
          <w:color w:val="000000" w:themeColor="text1"/>
          <w:sz w:val="16"/>
          <w:szCs w:val="16"/>
        </w:rPr>
        <w:softHyphen/>
        <w:t>соту и перегружена была горючим.</w:t>
      </w:r>
    </w:p>
    <w:p w14:paraId="2F7F090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Штурман в это время дал мне совет - не вернуться ли нам в Чарджоу. Я ему ответил,чтзо нет. Это я сделал, то есть такое ре</w:t>
      </w:r>
      <w:r w:rsidRPr="007224C3">
        <w:rPr>
          <w:rFonts w:ascii="Times New Roman" w:hAnsi="Times New Roman"/>
          <w:color w:val="000000" w:themeColor="text1"/>
          <w:sz w:val="16"/>
          <w:szCs w:val="16"/>
        </w:rPr>
        <w:softHyphen/>
        <w:t>шение принял иотому, что в Чарджоу аэродром маленький для само</w:t>
      </w:r>
      <w:r w:rsidRPr="007224C3">
        <w:rPr>
          <w:rFonts w:ascii="Times New Roman" w:hAnsi="Times New Roman"/>
          <w:color w:val="000000" w:themeColor="text1"/>
          <w:sz w:val="16"/>
          <w:szCs w:val="16"/>
        </w:rPr>
        <w:softHyphen/>
        <w:t>летов У-2.. Я подходов к нему не знаю и могу врезаться в препятст вие, а большой аэродром в это время не работал. Летел я на од</w:t>
      </w:r>
      <w:r w:rsidRPr="007224C3">
        <w:rPr>
          <w:rFonts w:ascii="Times New Roman" w:hAnsi="Times New Roman"/>
          <w:color w:val="000000" w:themeColor="text1"/>
          <w:sz w:val="16"/>
          <w:szCs w:val="16"/>
        </w:rPr>
        <w:softHyphen/>
        <w:t>ном моторе еще 5 минут, высота стала падать, мотор перегревался, я стал периодически изменять шаг винта, это не помогло. Шторки радиаторов были открыты полностью, полностью открыты и юбки капотон. Тогда я стал уменьшать РК до 750 мм. и это не помогло, мо тор не тяняет к самолет уже начал парашютировать.</w:t>
      </w:r>
    </w:p>
    <w:p w14:paraId="378A900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Тогда я даю команду радисту и штурману приказание, чтобы они приготовились к покиданию самолета, штурману сказал,чтобы он взял ракетницу и ракет, он мне ответил что взял. Тогда с высоты 470 м. я подал ломанду голосом "прыгай" и сиреной - условный сиг</w:t>
      </w:r>
      <w:r w:rsidRPr="007224C3">
        <w:rPr>
          <w:rFonts w:ascii="Times New Roman" w:hAnsi="Times New Roman"/>
          <w:color w:val="000000" w:themeColor="text1"/>
          <w:sz w:val="16"/>
          <w:szCs w:val="16"/>
        </w:rPr>
        <w:softHyphen/>
        <w:t>нал, после чего убедился по СПУ о радисте и штурмане, что их нет, выключил зажигание, убрал сектора газа правого мотора, открыл колпак и покинул самолет с Н - 420 м., после приземления стал при</w:t>
      </w:r>
      <w:r w:rsidRPr="007224C3">
        <w:rPr>
          <w:rFonts w:ascii="Times New Roman" w:hAnsi="Times New Roman"/>
          <w:color w:val="000000" w:themeColor="text1"/>
          <w:sz w:val="16"/>
          <w:szCs w:val="16"/>
        </w:rPr>
        <w:softHyphen/>
        <w:t>зывать членов экипажа. На ,мой призыв никто не ответил. При: при</w:t>
      </w:r>
      <w:r w:rsidRPr="007224C3">
        <w:rPr>
          <w:rFonts w:ascii="Times New Roman" w:hAnsi="Times New Roman"/>
          <w:color w:val="000000" w:themeColor="text1"/>
          <w:sz w:val="16"/>
          <w:szCs w:val="16"/>
        </w:rPr>
        <w:softHyphen/>
        <w:t xml:space="preserve">землении я ушиб левуго ногу, набросил свой парашют на кусты, чтобы при поисках быстрей могли обнаружить место падения самолета и решил итти на железную дорогу, считая, что у штурмана и радиста парашюты не раскрылись, иначе штурман дал бы ракету. Когда я шел на ж.д., т о вышел на верблюжью тропу и прошел по ней километров 30, рассчитывал на т о, что она сойдется с делезяой дорогой, но убедившись по звездам, что я иду параллельно ж.д., решил итти на 90° этой тропе .Пройдя 15 км. и пескам все еще нет и конца, нет тех при знаков, что жел. дорога близко, я пошел на 180° обратно и решил вновь вернуться на тропу, по которой и шел раньше, но в это время вссгретил пастуха и пошел с ним на его стоянку, это было уже 8 часов утра. Прожил я у пастухов </w:t>
      </w:r>
      <w:r w:rsidRPr="007224C3">
        <w:rPr>
          <w:rFonts w:ascii="Times New Roman" w:hAnsi="Times New Roman"/>
          <w:iCs/>
          <w:color w:val="000000" w:themeColor="text1"/>
          <w:sz w:val="16"/>
          <w:szCs w:val="16"/>
        </w:rPr>
        <w:t xml:space="preserve">2-е </w:t>
      </w:r>
      <w:r w:rsidRPr="007224C3">
        <w:rPr>
          <w:rFonts w:ascii="Times New Roman" w:hAnsi="Times New Roman"/>
          <w:color w:val="000000" w:themeColor="text1"/>
          <w:sz w:val="16"/>
          <w:szCs w:val="16"/>
        </w:rPr>
        <w:t>суток, после чего нога моя стала болеть не сильно, я решил итти на железную дорогу .По пути встретил самолет У-2 , который летел к месту падения самолета, сбросил мне вымпел , чтобы я ждал автомашину, я ее дождался, после чего с”ездил к аварии самолета и поехал на автомашине о г .Мари .</w:t>
      </w:r>
    </w:p>
    <w:p w14:paraId="59C3929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Мл. лейтенант /Ананьев/</w:t>
      </w:r>
    </w:p>
    <w:p w14:paraId="3EDB79F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февраля 1944 г. в 18.00 экипал № 12 в составе летчика мл. лейтенанта АНАНЬЕВА, штурмана мл .лейтенанта ЧУКАВИНА и стрелка-радиста ГОРОДНИЧЕВА вылетел на выполнение упраж</w:t>
      </w:r>
      <w:r w:rsidRPr="007224C3">
        <w:rPr>
          <w:rFonts w:ascii="Times New Roman" w:hAnsi="Times New Roman"/>
          <w:color w:val="000000" w:themeColor="text1"/>
          <w:sz w:val="16"/>
          <w:szCs w:val="16"/>
        </w:rPr>
        <w:softHyphen/>
        <w:t xml:space="preserve">нения № 9. Моторы самолета до Чарджоу работал:: нормально; Около Уч-аджи радист докладывал летчику о течи масла из левого мотора, но но словам летчика, он этого доклада не слышал. Не долетая до Чардноу за 8-10 м., летчик спросил радиста, не течет ли масло из левого мотора,радист </w:t>
      </w:r>
      <w:r w:rsidRPr="007224C3">
        <w:rPr>
          <w:rFonts w:ascii="Times New Roman" w:hAnsi="Times New Roman"/>
          <w:color w:val="000000" w:themeColor="text1"/>
          <w:sz w:val="16"/>
          <w:szCs w:val="16"/>
        </w:rPr>
        <w:lastRenderedPageBreak/>
        <w:t>отве</w:t>
      </w:r>
      <w:r w:rsidRPr="007224C3">
        <w:rPr>
          <w:rFonts w:ascii="Times New Roman" w:hAnsi="Times New Roman"/>
          <w:color w:val="000000" w:themeColor="text1"/>
          <w:sz w:val="16"/>
          <w:szCs w:val="16"/>
        </w:rPr>
        <w:softHyphen/>
        <w:t>тил,что масло печет. Не долетая Чарджоу 5-6 км. взяли курс на Мары. Пролете в по этому курсу 8-10 м., заклинило левый мотор .Летчик мне сказал, чтобы я жал на правую педаль. Я предлагал летчику вернуться на Чарджоу, но он решил тя</w:t>
      </w:r>
      <w:r w:rsidRPr="007224C3">
        <w:rPr>
          <w:rFonts w:ascii="Times New Roman" w:hAnsi="Times New Roman"/>
          <w:color w:val="000000" w:themeColor="text1"/>
          <w:sz w:val="16"/>
          <w:szCs w:val="16"/>
        </w:rPr>
        <w:softHyphen/>
        <w:t>нуть до Мары. Почти без потери высоты шли около 20 мин. За</w:t>
      </w:r>
      <w:r w:rsidRPr="007224C3">
        <w:rPr>
          <w:rFonts w:ascii="Times New Roman" w:hAnsi="Times New Roman"/>
          <w:color w:val="000000" w:themeColor="text1"/>
          <w:sz w:val="16"/>
          <w:szCs w:val="16"/>
        </w:rPr>
        <w:softHyphen/>
        <w:t>тем правый мотор перегрелся и из-за отсутствия достаточ</w:t>
      </w:r>
      <w:r w:rsidRPr="007224C3">
        <w:rPr>
          <w:rFonts w:ascii="Times New Roman" w:hAnsi="Times New Roman"/>
          <w:color w:val="000000" w:themeColor="text1"/>
          <w:sz w:val="16"/>
          <w:szCs w:val="16"/>
        </w:rPr>
        <w:softHyphen/>
        <w:t>ной скорости, самолет в горизонтальном полете стал прова</w:t>
      </w:r>
      <w:r w:rsidRPr="007224C3">
        <w:rPr>
          <w:rFonts w:ascii="Times New Roman" w:hAnsi="Times New Roman"/>
          <w:color w:val="000000" w:themeColor="text1"/>
          <w:sz w:val="16"/>
          <w:szCs w:val="16"/>
        </w:rPr>
        <w:softHyphen/>
        <w:t>ливаться, вынуадены были итти со снижением .Летчик меня предупредил,чтобы я взял ракетницу, но я ее взять не мог, так как она лежала в носу самолета, а встать с сиденья я не мог так как помогал летчику вести самолет. Так со снижением мы дошли до Н-450 и по.команде летчика покинули самолет. Когда я опускался на парашюте, наблюдал за поле</w:t>
      </w:r>
      <w:r w:rsidRPr="007224C3">
        <w:rPr>
          <w:rFonts w:ascii="Times New Roman" w:hAnsi="Times New Roman"/>
          <w:color w:val="000000" w:themeColor="text1"/>
          <w:sz w:val="16"/>
          <w:szCs w:val="16"/>
        </w:rPr>
        <w:softHyphen/>
        <w:t>том самолета, он примерно летел со старым курсом. После приземления самолета я больше не видел. Мы с радистом пошли искать самолет, поискав 4-5 часов, самолета не нашли, тогда. мы взяли курс на железную дорогу. В 8ч. 10 февраля мы вышли на железную дорогу в 12 км. северо-зосточнее ст. Уч-Аджи.</w:t>
      </w:r>
    </w:p>
    <w:p w14:paraId="04E364D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Штурман самолета № 12Мл лейтенант Чукавин (1868,299)</w:t>
      </w:r>
    </w:p>
    <w:p w14:paraId="22A0004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37161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апреля 1944 Зам. Нач. НИИ ВВС Лосюков и Начштаба Гребенев с письмом N 0039 направили в НКАП А.И.Ш. акт по результатам гос. испытаний Як-9Т N 01-21 с ВК-105ПФ, вооруженного пушкой ОКБ-16 калибра 45 мм. Самолет производства завода 153, установка пушки 115 (2564,173).</w:t>
      </w:r>
    </w:p>
    <w:p w14:paraId="2F56F44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E5262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10 апреля 1944 года производству был выдан полный комплект рабочих чертежей Пе-8ОН (7685).</w:t>
      </w:r>
    </w:p>
    <w:p w14:paraId="32F6478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23660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10 апреля 1944 г. полный комплект рабочих чертежей самолёта "Е", или Пе-8ОН ("особого назначения") отправили на производство Основная пассажирская кабина с 12 креслами по типу ПС-84 располагалась в задней части фюзеляжа. Позади неё находился туалет. В центроплане оборудовалась спальная кабина с тремя диванами, под её полом сделали багажник на 200 кг груза.</w:t>
      </w:r>
    </w:p>
    <w:p w14:paraId="420D0B4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размещения пассажиров потребовалось снять верхнюю установку ТАТ, а также грузовой пол над бомбоотсеком, в связи с чем пришлось доработать ряд шпангоутов и спроектировать новый пол, обеспечивающий проход пассажиров в полный рост. Грузовой пол в районе центроплана, являвшийся силовым элементом, сохранили без изменений.</w:t>
      </w:r>
    </w:p>
    <w:p w14:paraId="0976979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кабинах предусматривались отопление, вентиляция и освещение. Отопительные каналы проложили по полу по обеим сторонам прохода. Забор воздуха производился в носке крыла, затем он проходил через радиаторы, где подогревался горячей водой от системы охлаждения двигателей и подавался в кабину. Воздух для приточной вентиляции поступал через заборники на фюзеляже и подавался по коробам, идущим вдоль бортов; у каждого кресла имелся индивидуальный вывод.</w:t>
      </w:r>
    </w:p>
    <w:p w14:paraId="25A2F5F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Из-за установки дизелей АЧ-30Б с турбонаддувом использование в антиобледенителях тепла выхлопных газов не представлялось возможным. На передних кромках крыла и оперения монтировались пневматические антиобледенители типа "Гудрич". Антиобледенители на винтах и стеклах козырька пилотской кабины были жидкостные, как и на серийных бомбардировщиках.</w:t>
      </w:r>
    </w:p>
    <w:p w14:paraId="77C2EAB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 пассажиры обеспечивались кислородом из расчёта 16 л на человека. Этого запаса хватало для полёта на высотах 6000 - 8000 м в течение 8 часов. На "самолёте сохранили всё навигационное и радиооборудование бомбардировщика. Экипаж состоял из 10 человек.</w:t>
      </w:r>
    </w:p>
    <w:p w14:paraId="0BB303C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носовой части фюзеляжа стоял пулемёт УБТ на шаровой опоре с запасом 200 патронов, в корме - башня КЭБ с пушкой ШВАК с 230 патронами. Две установки ШУ-32 с пулемётами УБТ (по 230 патронов на каждый) находились в обтекателях шасси.</w:t>
      </w:r>
    </w:p>
    <w:p w14:paraId="6DA419C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Мотоустановка с АЧ-30Б отличалась от серийных самолётов с теми же двигателями. Туннели радиаторов имели открытый вход и регулировку на выходе. На самолёте установили маслобаки увеличенной ёмкости (на 20 ч полёта) и воздушно-масляные радиаторы вместо водомасляных. Топливную систему выполнили с кольцеванием по всем четырём двигателям, применили флю- гируемые винты УФ-61В.</w:t>
      </w:r>
    </w:p>
    <w:p w14:paraId="4B7E654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Пе-8ОН внедрили вертикальное оперение увеличенной площади с форкилем. Прорезали дополнительные окна в районе пассажирской кабины.</w:t>
      </w:r>
    </w:p>
    <w:p w14:paraId="4B010BD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расчётам, нормальный полётный вес определялся в 30 000 кг, вес пустого - в 21 520 кг. В перегрузочном варианте полётный вес доводился до 35 500 кг. Максимальная скорость составляла 425 км/ч, нормальная дальность - 3080 км, максимальная - 6050 км, без пассажиров можно было пролететь 6800 км (11996).</w:t>
      </w:r>
    </w:p>
    <w:p w14:paraId="022F50C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C39D14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апреля 1944 Нач. НИИ ВВС Лосюков и Нач. штаба Гребенев писали письмо 00544 НКАП А.И.Ш. с письмом "Альбом самолетов ВВС КА" на 1944, составленный по данным испытаний, проведенных в НИИ ВВС КА за период январь-апрель 1944.</w:t>
      </w:r>
    </w:p>
    <w:p w14:paraId="011F8B5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мере проведения испытаний новых самолетов Вам будут представлены дополнительные карточки для включения в данный альбом." (2564,23).</w:t>
      </w:r>
    </w:p>
    <w:p w14:paraId="32311F4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8AF4F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апреля 1944 года на заводе №82 был пожар - второй, а первый - в январе 1942 года. Пожары принесли очень большие потери (9460).</w:t>
      </w:r>
    </w:p>
    <w:p w14:paraId="6AE46FD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A3BE4C"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1CC83F6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9352B6F" w14:textId="77777777" w:rsidR="002F4B64" w:rsidRPr="007224C3" w:rsidRDefault="002F4B6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апреля в 1944 году оперативная сводка Совинформбюро:</w:t>
      </w:r>
    </w:p>
    <w:p w14:paraId="17D01313" w14:textId="77777777" w:rsidR="002F4B64" w:rsidRPr="007224C3" w:rsidRDefault="002F4B6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10 апреля западнее города Скала наши войска продолжали вести бои по уничтожению окружённой группировки противника.</w:t>
      </w:r>
    </w:p>
    <w:p w14:paraId="247879E6" w14:textId="77777777" w:rsidR="002F4B64" w:rsidRPr="007224C3" w:rsidRDefault="002F4B6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Румынии, к западу и юго-западу от города Ботошани, наши войска форсировалиреки Серет и Сучава и овладели городами Рэдэуци, Солька, Сучава, железнодорожными узлами Дерменешти, Верешти, Долгаска, а также с боями заняли более 150 других населённых пунктов, в том числе крупные населённые пункты Городникул, Мардзина, Бурла, Арбора, Ботушана, Обер Пертеште, Илисешти, Драгожеште, Хородничень, Боссанче, Литени и железнодорожные станции Реусени, Бурдужени, Милешоуц, Байа Сучава, Викшань, Литени.</w:t>
      </w:r>
    </w:p>
    <w:p w14:paraId="3CE936A9" w14:textId="77777777" w:rsidR="002F4B64" w:rsidRPr="007224C3" w:rsidRDefault="002F4B6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Ясском направлении наши войска вели наступательные бои, в ходе которыховладели городом и крупной железнодорожной станцией Тыргу-Фрумос, а также сбоями заняли более 30 других населённых пунктов и среди них Кристешти, Гоешти, Вултурул (8 километров северо-западнее Яссы).</w:t>
      </w:r>
    </w:p>
    <w:p w14:paraId="59E2BD85" w14:textId="77777777" w:rsidR="002F4B64" w:rsidRPr="007224C3" w:rsidRDefault="002F4B6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3-го Украинского фронта сегодня, 10 апреля, в результате умелогообходного манёвра пехоты и конно-механизированных соединений в сочетании сфронтальной атакой, овладели важным хозяйственно-политическим центром страны,областным городом Украины и первоклассным портом на Черном море — Одесса, мощнымопорным пунктом обороны немцев, прикрывающим пути к центральным районам Румынии, а также с боями заняли населённые пункты Застава, Дальник, Татарка, Чубаевка, Дмитриевка, Сухой Лиман, Нейбург, Францфельд, Александрогильф.</w:t>
      </w:r>
    </w:p>
    <w:p w14:paraId="6A8D8622" w14:textId="77777777" w:rsidR="002F4B64" w:rsidRPr="007224C3" w:rsidRDefault="002F4B6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днях войска 4-го Украинского фронта под командованием генерала армии Толбухина перешли в наступление против немецко-фашистских войск, расположенныхна Перекопском перешейке и южном побережье Сиваша. Наши войска прорвали сильно укреплённую оборону противника на Перекопском перешейке и, продвинувшись вперёд до 20 километров, овладели городом и железнодорожной станцией Армянск, населёнными пунктами Щемиловка, Кула, Новый Чуваш, Караджанай, Старый Чуваш, Джулга, Деде, Кураевка, Филатовка, Карт-Казак № 1, Будановка, Пятихатка, Карповабалка, Чурюк, Карт-Казак № 3, Тихоновка и вышли к Ишунским позициям противника. Одновременно наши войска, форсировав Сиваш восточнее города Армянск, прорвалисильно укреплённую оборону противника в озёрных дефиле на южном побережье Сиваша и овладели населёнными пунктами Уржин, Ашкадан, Биюк Кият, Тюйтюбе, Каранки, Асс-Найман, Томашёвка, Пасурман 1-й. За два дня упорных боёв наши войска уничтожили более 5.500 солдат и офицеров противника, 44 танка, 21 самолёт и захватили следующие трофеи: орудий разного калибра — 91, миномётов — 54,пулемётов — 337, винтовок и автоматов — 2.686. Взято в плен более 1.000 солдат и офицеров противника.</w:t>
      </w:r>
    </w:p>
    <w:p w14:paraId="525FB8FE" w14:textId="77777777" w:rsidR="002F4B64" w:rsidRPr="007224C3" w:rsidRDefault="002F4B6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в ряде пунктов шли бои местного значения.</w:t>
      </w:r>
    </w:p>
    <w:p w14:paraId="3D48BEAB" w14:textId="77777777" w:rsidR="002F4B64" w:rsidRPr="007224C3" w:rsidRDefault="002F4B6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9 апреля наши войска на всех фронтах подбили и уничтожили 95 немецких танков. В воздушных боях и огнём зенитной артиллерии сбито 30 самолётов противника.</w:t>
      </w:r>
    </w:p>
    <w:p w14:paraId="2AC76A28" w14:textId="77777777" w:rsidR="002F4B64" w:rsidRPr="007224C3" w:rsidRDefault="002F4B6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города Скала наши войска продолжали вести бои по уничтожению окружённой группировки противника. Части Н-ского соединения в течение дня истребили свыше батальона гитлеровцев. Бойцы другого нашего соединения отбили восемь следовавших одна за другой контратак противника. В результате боя уничтожено 32 немецких танка, 20 бронетранспортёров и до 700 немцев.</w:t>
      </w:r>
    </w:p>
    <w:p w14:paraId="3F4057AC" w14:textId="77777777" w:rsidR="002F4B64" w:rsidRPr="007224C3" w:rsidRDefault="002F4B6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Румынии, к западу и юго-западу от города Ботошани, наши войска продолжали успешное наступление. Части Н-ского соединения форсировали реку Серет и после ожесточённых боёв преодолели оборонительную полосу противника, построенную на правом берегу реки. Устремившись на запад, наши войска с хода переправились через реку Сучава и с боями овладели городом и железнодорожной станцией Рэдэуци. Вслед за этим советские части разгромили гарнизоны городов Солька и Сучава и заняли более 150 других населённых пунктов. Быстро продвигаясь вперёд, советские части вышли в предгорья Восточных Карпат. В ходе боёв противник несёт большие потери. Одно наше соединение за два дня уничтожило 1.500 немецких и румынских солдат и офицеров. Захвачено 37 орудий, 19 миномётов, 5 складов боеприпасов, 2 склада с горючим, 4 склада с продовольствием, паровозы, вагоны и другие трофеи. Взято в плен свыше 600 немцев и румын.</w:t>
      </w:r>
    </w:p>
    <w:p w14:paraId="227044D7" w14:textId="77777777" w:rsidR="002F4B64" w:rsidRPr="007224C3" w:rsidRDefault="002F4B6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Войска 3-го Украинского фронта сегодня утром овладели городом Одесса. Этой новой победой бойцы и офицеры Красной Армии ещё раз продемонстрировали своё военное мастерство, мужество и героизм. Противник располагал на подступах к Одессе чрезвычайно выгодными позициями. С востока и севера город прикрытзаливом, лиманами, многочисленными балками и оврагами. Узкие перешейки между Одесским заливом, Куяльницким и Хаджибейским лиманами немцы превратили в мощный рубеж обороны с противотанковыми рвами, дзотами, минными полями и проволочными заграждениями. По показаниям пленных, немецкое командование считало, что населённые пункты Сортировочная, Солдатская слобода и Пересыпь наглухо закрываютдоступ к Одессе. Советские части всех родов войск, несмотря на распутицу и бездорожье, прорвали оборону немцев, форсировали Куяльницкий лиман и с фланга нанесли удар противнику. Немцы, боясь оказаться прижатыми к морю, стали отходить и ослабили сопротивление на перешейке. Тогда наши войска предприняли фронтальную атаку, смяли противника и штурмом заняли населённый пункт Пересыпь. Попытки гитлеровцев удержаться на подготовленных рубежах на северной и восточной окраинах города успеха не имели. Наши </w:t>
      </w:r>
      <w:r w:rsidRPr="007224C3">
        <w:rPr>
          <w:rFonts w:ascii="Times New Roman" w:hAnsi="Times New Roman"/>
          <w:color w:val="000000" w:themeColor="text1"/>
          <w:sz w:val="16"/>
          <w:szCs w:val="16"/>
        </w:rPr>
        <w:lastRenderedPageBreak/>
        <w:t>бойцы вчера вечером мелкими группами начали просачиваться в Одессу и завязали уличные бои. Одновременно подвижные труппы кавалерии, танков и мотопехоты предприняли глубокий фланговый обход, быстро продвинулись на юг, к побережью моря и в полночь вышли на западную и юго-западную окраины Одессы. Всю ночь шли ожесточённые уличные бои, в результате которых советские войска полностью овладели городом и первоклассным портом на Чёрном море. Захвачены огромные трофеи, в числе которых много танков, сотни орудий и миномётов, большое число паровозов, несколько тысяч вагонов и платформ с различными грузами.</w:t>
      </w:r>
    </w:p>
    <w:p w14:paraId="480DC066" w14:textId="77777777" w:rsidR="002F4B64" w:rsidRPr="007224C3" w:rsidRDefault="002F4B6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4-го Украинского фронта на днях после мощной артиллерийской подготовки перешли в наступление на Перекопском перешейке и южном побережье Сиваша. Перекопский перешеек является ключевой позицией, прикрывающей вход в Крым. Природные условия в этом районе сами по себе благоприятствуют обороняющейся стороне. Кроме того, противник всемерно укрепил и без того неприступные оборонительные рубежи.</w:t>
      </w:r>
    </w:p>
    <w:p w14:paraId="529AF028" w14:textId="77777777" w:rsidR="002F4B64" w:rsidRPr="007224C3" w:rsidRDefault="002F4B6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Наши войска прорвали оборону немцев на Перекопском перешейке и, продвигаясь с боями вдоль железной и шоссейной дорог, ворвались в город Армянск. Каждый дом этого города немцы превратили в огневую точку с пулемётами и орудиями. Советские пехотинцы, действуя штурмовыми группами, усиленными артиллерией, разгромили противника и овладели городом Армянск. Развивая успех, наши войска вышли к Ишунским позициям немцев. В районе населённого пункта Тихоновка полностью уничтожены три полка пехоты противника. Другие наши части форсировали Сиваш, являющийся трудно преодолимой водной преградой. В ожесточённых боях прорвана оборона немцев на южном побережье Сиваша, состоявшая из нескольких линий траншей и множества других оборонительных сооружений. Продвигаясь вперёд, советские войска заняли ряд сильно укреплённых населенных пунктов. Пленные показали, что немецкие и румынские части понесли тяжёлые потери в живой силе и технике.</w:t>
      </w:r>
    </w:p>
    <w:p w14:paraId="1CFC05FA" w14:textId="77777777" w:rsidR="002F4B64" w:rsidRPr="007224C3" w:rsidRDefault="002F4B64" w:rsidP="007224C3">
      <w:pPr>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rPr>
        <w:t xml:space="preserve">Лётчики воздушных сил Северного флота обнаружили караван судов противника. Группа торпедных катеров под командованием капитана 3 ранга Коршуновича вышла в море и настигла вражеские корабли. В результате атаки потоплен транспорт водоизмещением в 6 тысяч тонн и один сторожевой корабль противника.» </w:t>
      </w:r>
      <w:r w:rsidRPr="007224C3">
        <w:rPr>
          <w:rFonts w:ascii="Times New Roman" w:hAnsi="Times New Roman"/>
          <w:color w:val="000000" w:themeColor="text1"/>
          <w:sz w:val="16"/>
          <w:szCs w:val="16"/>
          <w:lang w:val="en-US"/>
        </w:rPr>
        <w:t>(15095).</w:t>
      </w:r>
    </w:p>
    <w:p w14:paraId="0B7DFA53" w14:textId="77777777" w:rsidR="002F4B64" w:rsidRPr="007224C3" w:rsidRDefault="002F4B64" w:rsidP="007224C3">
      <w:pPr>
        <w:spacing w:after="0" w:line="240" w:lineRule="auto"/>
        <w:jc w:val="both"/>
        <w:rPr>
          <w:rFonts w:ascii="Times New Roman" w:hAnsi="Times New Roman"/>
          <w:color w:val="000000" w:themeColor="text1"/>
          <w:sz w:val="16"/>
          <w:szCs w:val="16"/>
          <w:lang w:val="en-US"/>
        </w:rPr>
      </w:pPr>
    </w:p>
    <w:p w14:paraId="7AF905F6"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 xml:space="preserve">10 </w:t>
      </w:r>
      <w:r w:rsidRPr="007224C3">
        <w:rPr>
          <w:rFonts w:ascii="Times New Roman" w:hAnsi="Times New Roman"/>
          <w:color w:val="000000" w:themeColor="text1"/>
          <w:sz w:val="16"/>
          <w:szCs w:val="16"/>
        </w:rPr>
        <w:t>апреля</w:t>
      </w:r>
      <w:r w:rsidRPr="007224C3">
        <w:rPr>
          <w:rFonts w:ascii="Times New Roman" w:hAnsi="Times New Roman"/>
          <w:color w:val="000000" w:themeColor="text1"/>
          <w:sz w:val="16"/>
          <w:szCs w:val="16"/>
          <w:lang w:val="en-US"/>
        </w:rPr>
        <w:t xml:space="preserve"> 1944 </w:t>
      </w:r>
      <w:r w:rsidRPr="007224C3">
        <w:rPr>
          <w:rFonts w:ascii="Times New Roman" w:hAnsi="Times New Roman"/>
          <w:color w:val="000000" w:themeColor="text1"/>
          <w:sz w:val="16"/>
          <w:szCs w:val="16"/>
        </w:rPr>
        <w:t>советскиевойскавзялиОдессу</w:t>
      </w:r>
      <w:r w:rsidRPr="007224C3">
        <w:rPr>
          <w:rFonts w:ascii="Times New Roman" w:hAnsi="Times New Roman"/>
          <w:color w:val="000000" w:themeColor="text1"/>
          <w:sz w:val="16"/>
          <w:szCs w:val="16"/>
          <w:lang w:val="en-US"/>
        </w:rPr>
        <w:t xml:space="preserve"> (4962).</w:t>
      </w:r>
    </w:p>
    <w:p w14:paraId="3E6696F8"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p>
    <w:p w14:paraId="00BA717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April 10th, 1944: German forces of Heeresgruppe Ukraine evacuate Odessa on the Black Sea and withdraw to the west bank of the Dnestr river. In the West, Us and British air forces begin an offensive against German airfields and communications in France and Belgium (3819).</w:t>
      </w:r>
    </w:p>
    <w:p w14:paraId="0B9F1BF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200049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10 April 1944 Odessa recaptured by the Russians (270).</w:t>
      </w:r>
    </w:p>
    <w:p w14:paraId="05BC9C2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FBFB2D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апреля 1944 была освобождена Одесса (270) - 3УФ (Р.Я.Малиновский) (3398,143).</w:t>
      </w:r>
    </w:p>
    <w:p w14:paraId="683C320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5712A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апреля 1944 вышло Постановление ГКО № 5594 О поведении Красной Армии на территории Румынии. РГАНИР, Фонд ГКО, д. 231, лл. 203-207 (11012).</w:t>
      </w:r>
    </w:p>
    <w:p w14:paraId="6F74472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О задачах Красной Армии в связи с вступлением на территорию Румынии </w:t>
      </w:r>
    </w:p>
    <w:p w14:paraId="5ADB320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связи с вступлением Красной Армии на территорию Румынии Военному Совету 2-го Украинского фронта издать к населению воззвание, в котором призвать население продолжать свой мирный труд и оказывать командованию Красной Армии содействие и помощь в поддержании порядка и обеспечении нормальной работы промышленных, торговых, коммунальных и других предприятий. В воззвании объяснить населению, что Красная Армия вошла в пределы Румынии, не преследуя целей приобретения какой-либо части румынской территории или изменения существующего в Румынии общественного строя. Вступление советских войск на территорию Румынии вызвано исключительно военной необходимостью и продолжающимся сопротивлением германских войск и воинских частей союзной с Германией Румынии. В воззвании сказать, что Красная Армия выполняет приказ Верховного Главнокомандующего — преследовать неприятельские войска до их полного поражения и капитуляции противника. Не как завоевательница, а как освободительница румынского народа от немецко-фашистского гнета вошла в Румынию Красная Армия, не имеющая других целей, кроме целей разгрома вражеских германских армий... (11652).</w:t>
      </w:r>
    </w:p>
    <w:p w14:paraId="261B4F0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0B36529"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7D3C906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77D070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апреля 1944 авиация США и Великобритании начали кампанию налетов на немецкие аэродромы во Франции и Бельгии (3819).</w:t>
      </w:r>
    </w:p>
    <w:p w14:paraId="328378B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EFDFAA" w14:textId="77777777" w:rsidR="008B5CA2" w:rsidRPr="007224C3" w:rsidRDefault="008B5CA2"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10–11 апреля (ночь) 1944 789 британских бомбардировщиков наносят удары по железнодорожным целям в Туре, Тергье, Лаоне и Аульне, Франция, и Генте, Бельгия. Рейд Лаона не удался, но другие цели сильно пострадали. Девятнадцать бомбардировщиков не возвращаются (20373).</w:t>
      </w:r>
    </w:p>
    <w:p w14:paraId="77646AAD" w14:textId="77777777" w:rsidR="008B5CA2" w:rsidRPr="007224C3" w:rsidRDefault="008B5CA2" w:rsidP="007224C3">
      <w:pPr>
        <w:spacing w:after="0" w:line="240" w:lineRule="auto"/>
        <w:jc w:val="both"/>
        <w:rPr>
          <w:rFonts w:ascii="Times New Roman" w:hAnsi="Times New Roman"/>
          <w:color w:val="0070C0"/>
          <w:sz w:val="16"/>
          <w:szCs w:val="16"/>
        </w:rPr>
      </w:pPr>
    </w:p>
    <w:p w14:paraId="78BB4199" w14:textId="77777777" w:rsidR="002F4B64" w:rsidRPr="007224C3" w:rsidRDefault="002F4B6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апреля в 1944 году удается синтезировать хинин – средство борьбы с малярией (15095).</w:t>
      </w:r>
    </w:p>
    <w:p w14:paraId="42D0761B" w14:textId="77777777" w:rsidR="002F4B64" w:rsidRPr="007224C3" w:rsidRDefault="002F4B64" w:rsidP="007224C3">
      <w:pPr>
        <w:spacing w:after="0" w:line="240" w:lineRule="auto"/>
        <w:jc w:val="both"/>
        <w:rPr>
          <w:rFonts w:ascii="Times New Roman" w:hAnsi="Times New Roman"/>
          <w:color w:val="000000" w:themeColor="text1"/>
          <w:sz w:val="16"/>
          <w:szCs w:val="16"/>
        </w:rPr>
      </w:pPr>
    </w:p>
    <w:p w14:paraId="524FB676"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57179FB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057EB7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апреля 1944 Нач. ГУЗ ВВС Н.Н.Селезнев писал А.И.Ш. письмо N 872832:</w:t>
      </w:r>
    </w:p>
    <w:p w14:paraId="07F09A2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"Опыт боевой эксплуатации самолетов Ил-2 в частях ВВС показал, что наличие в его конструкции деревянного фюзеляжа зачастую приводит к длительному простаиванию матчасти на аэродромах без действия из-за появления дефектов, присущих деревянным агрегатам. Приведение самолетов в боевую готовность требует больших материальных затрат, квалифицированной РС и времени со стороны серийных заводов. Ремонт по дереву в полевых условиях является чрезвычайно сложным и не всегда может быть выполнен качественно. В связи с этим, считаю целесообразным просить Вас о выпуске самолетов Ил-2 цельнометаллической конструкции." (1817,26).</w:t>
      </w:r>
    </w:p>
    <w:p w14:paraId="3456C24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67FE26"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538DE84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61491A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апреля 1944 вышло Распоряжение ГКО № 5595. Об изготовлении опытного образца стабилизатора 85 мм пушки С-53 для танка Т-34-85. РГАНИР, Фонд ГКО, д. 231, лл. 208 (11012).</w:t>
      </w:r>
    </w:p>
    <w:p w14:paraId="5E23C34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D0742F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апреля 1944 г. было подготовлено СООБЩЕНИЕ НАЧАЛЬНИКА ГБТУ КА НАРОДНОМУ КОМИССАРУ ТАНКОВОЙ ПРОМЫШЛЕННОСТИ В. МАЛЫШЕВУ ПО ВОПРОСУ КАЧЕСТВА ИЗГОТОВЛЕНИЯ ТАНКОВ ИС И АРТСАМОХОДОВ ИСУ-152 №555810</w:t>
      </w:r>
    </w:p>
    <w:p w14:paraId="3AA03B0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Проведенные в марте месяце с.г. испытания танков ИС и артсамоходов ИСУ-152, сданных Кировским заводом, показали, что улучшения качества их, по сравнению с февральскими машинами — не имеется.</w:t>
      </w:r>
    </w:p>
    <w:p w14:paraId="3005FBE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Результаты испытаний танков и артсамоходов на 300 км следующие: из 2-х танков ИС не выдержал испытание 1 танк, и из 3-х самоходных артустановок ИСУ-152 не выдержали испытания — 2.</w:t>
      </w:r>
    </w:p>
    <w:p w14:paraId="709C82E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Танк ИС не выдержал испытания вследствие выхода из строя левого бортового редуктора, подгорания дисков главного фрикциона, рассоединения тяги привода к планетарному механизму поворота и заедания подвижной каретки 1-4 передачи.</w:t>
      </w:r>
    </w:p>
    <w:p w14:paraId="3F5709D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Самоходные артустановки при испытании вышли из строя: одна - из-за просачивания воды в масляную систему, вследствие наличия раковины внутри блока цилиндров дизель-мотора, и другая - из-за обрыва болтов муфты полужесткого соединения.</w:t>
      </w:r>
    </w:p>
    <w:p w14:paraId="0922992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Проведенные испытания ИСУ-152 пробегом на гарантийный километраж (1000 км) показали также неудовлетворительные результаты. Эта самоходная артустановка не выдержала испытания вследствие поломки стопора натяжного механизма ленивца, обрыва 4 болтов крепления поддерживающих катков, разрушения проушин у 20 траков и вследствие дефектов в топливном насосе.</w:t>
      </w:r>
    </w:p>
    <w:p w14:paraId="0F59A77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отсутствие улучшения качества выпускаемых танков ИС и артиллерийских самоходных установок ИСУ-152 показывают и приемо-сдаточные испытания, проводимые на заводе военпредом ГБТУ КА. Неоднократно повторявшимися серьезными дефектами на этих испытаниях в марте месяце являлись:</w:t>
      </w:r>
    </w:p>
    <w:p w14:paraId="7D7B1CB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Сгорание дисков главного фрикциона.</w:t>
      </w:r>
    </w:p>
    <w:p w14:paraId="770A263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Заклинивание бортовых редукторов.</w:t>
      </w:r>
    </w:p>
    <w:p w14:paraId="5B692EF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Срыв болтов муфты полужесткого соединения.</w:t>
      </w:r>
    </w:p>
    <w:p w14:paraId="6D3AFCD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Необходимость в немедленных мероприятиях по улучшению выпускаемых Кировским заводом танков и артсамоходов следует также и из имеющегося опыта эксплуатации их в войсках (перечень характерных дефектов в танках ИС и в артсамоходах ИСУ-152 прилагается).</w:t>
      </w:r>
    </w:p>
    <w:p w14:paraId="0B019DE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Прошу Вас обязать директора Кировского завода принять срочные меры по улучшению качества выпускаемых в армию тяжелых танков ИС и самоходных артустановок ИСУ-152. Приложение: перечень дефектов на 1 листе</w:t>
      </w:r>
      <w:r w:rsidRPr="007224C3">
        <w:rPr>
          <w:rFonts w:ascii="Times New Roman" w:hAnsi="Times New Roman"/>
          <w:color w:val="000000" w:themeColor="text1"/>
          <w:sz w:val="16"/>
          <w:szCs w:val="16"/>
          <w:vertAlign w:val="superscript"/>
        </w:rPr>
        <w:t>3</w:t>
      </w:r>
      <w:r w:rsidRPr="007224C3">
        <w:rPr>
          <w:rFonts w:ascii="Times New Roman" w:hAnsi="Times New Roman"/>
          <w:color w:val="000000" w:themeColor="text1"/>
          <w:sz w:val="16"/>
          <w:szCs w:val="16"/>
        </w:rPr>
        <w:t>.</w:t>
      </w:r>
    </w:p>
    <w:p w14:paraId="5813F8A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ГБТУ Красной Армии генерал-лейтенант танковых войск Вершинин</w:t>
      </w:r>
    </w:p>
    <w:p w14:paraId="1136953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38. Оп. 11369. Д. 270. Л. 7-7 об. Копия (11403).</w:t>
      </w:r>
    </w:p>
    <w:p w14:paraId="7607B04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0193D1" w14:textId="77777777" w:rsidR="00D4630C" w:rsidRPr="007224C3" w:rsidRDefault="00D4630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11 апреля 1944 г. Постановление Совнаркома БАССР и обкома ВКП(б) о плане изготовления запасных частей к тракторам, комбайнам и другим сельхозмашинам на предприятиях союзной </w:t>
      </w:r>
      <w:bookmarkStart w:id="27" w:name="bookmark56"/>
      <w:r w:rsidRPr="007224C3">
        <w:rPr>
          <w:rFonts w:ascii="Times New Roman" w:hAnsi="Times New Roman"/>
          <w:color w:val="000000" w:themeColor="text1"/>
          <w:sz w:val="16"/>
          <w:szCs w:val="16"/>
        </w:rPr>
        <w:t>и местной промышленности на II квартал 1944 года.</w:t>
      </w:r>
      <w:bookmarkEnd w:id="27"/>
    </w:p>
    <w:p w14:paraId="77908978" w14:textId="77777777" w:rsidR="00D4630C" w:rsidRPr="007224C3" w:rsidRDefault="00D4630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Совнарком Башкирской АССР и бюро обкома ВКП(б) постановляют:</w:t>
      </w:r>
    </w:p>
    <w:p w14:paraId="7EF6CAE8" w14:textId="77777777" w:rsidR="00D4630C" w:rsidRPr="007224C3" w:rsidRDefault="00D4630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Утвердить план изготовления запасных частей к тракторам, комбайнам по предприятиям местной и союзной промышленности на II квартал 1944 года в сумме 1 443 тыс. руб., согласно приложению № 1*, план изготовления запасных частей к сельхозмашинам — на сумму 157 тыс. рублей, согласно приложению № 2*.</w:t>
      </w:r>
    </w:p>
    <w:p w14:paraId="5CD33278" w14:textId="77777777" w:rsidR="00D4630C" w:rsidRPr="007224C3" w:rsidRDefault="00D4630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Обязать директоров: завода № 26 тов. Баландина, завода № 49 тов. Антипова, завода № 85 тов. Гутцайт, завода № 161 тов. Масальского, Белметкомбината тов. Маркова, завода 231 тов. Фесенко, завода «Трактородеталь» тов. Гулина, завода им. Ленина тов. Эльцина, завода горного оборудования тов. Потапова, Баймакского медеплавильного комбината тов. Никляева, завода № 628 тов. Солонникова, завода № 697 тов. Собенина, завода № 680 тов. Йткиса, завода № 643 тов. Киселева, зав. № 656 тов. Дубового, ПРЗ тов. Черемухина, судоремонтного завода тов. Тихиенко, завода им. Сталина тов. Витенберга, завода № 688 тов. Манвелова, завода № 428 тов. Мереченкова, завода «Красный пролетарий» тов. Сайганова, завода № 154 тов. Дановича, Красноусольского стеклозавода тов. Савельева, Белебеев- ского машзавода тов. Сарычева, уполроскоопром тов. Аминева, Давлекановского мельзавода тов. Афонина, управляющего стройтрестом № 3 тов. Воробьева — немедленно приступить к производству запасных частей и обеспечить безусловное выполнение установленного плана к 1 июля 1944 года, ежемесячно равными частями.</w:t>
      </w:r>
    </w:p>
    <w:p w14:paraId="2D44201A" w14:textId="77777777" w:rsidR="00D4630C" w:rsidRPr="007224C3" w:rsidRDefault="00D4630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Обязать управляющего Башкирской конторой автотрак- торосбыта т. Апарова, управляющего сельхозснабом тов. Но- воселева и всех перечисленных в п. 2 директоров предприятий не позднее 20 апреля с. г. заключить договора на изготовление предусмотренных планом деталей и запасных частей к тракторам, комбайнам и сельхозмашинам.</w:t>
      </w:r>
    </w:p>
    <w:p w14:paraId="29905E9D" w14:textId="77777777" w:rsidR="00D4630C" w:rsidRPr="007224C3" w:rsidRDefault="00D4630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целях расширения производства сложных деталей к тракторам и комбайнам в III квартале 1944 г., установить план освоения изготовления тракторных запасных частей на заводах республики во втором квартале 1944 г.: по Бе- лорецкому меткомбинату — звено гусеницы к тракторам СТЗ- НАТИ, по заводу № 85—диски ферадо (из отходов), по заводу № 688— ремней вентилятора, по заводу № 26— реставрацию коренных подшипников, по заводу горного оборудования — модель головки блока и обязать директоров указанных предприятий освоить производство указанных деталей во Н-м квартале 1944 г.</w:t>
      </w:r>
    </w:p>
    <w:p w14:paraId="228A665C" w14:textId="77777777" w:rsidR="00D4630C" w:rsidRPr="007224C3" w:rsidRDefault="00D4630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Контроль за выполнением настоящего постановления возложить на тов. Уразбаева.</w:t>
      </w:r>
    </w:p>
    <w:p w14:paraId="3285892D" w14:textId="77777777" w:rsidR="00D4630C" w:rsidRPr="007224C3" w:rsidRDefault="00D4630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Председатель СНК БАССР</w:t>
      </w:r>
      <w:r w:rsidRPr="007224C3">
        <w:rPr>
          <w:rFonts w:ascii="Times New Roman" w:hAnsi="Times New Roman"/>
          <w:color w:val="000000" w:themeColor="text1"/>
          <w:sz w:val="16"/>
          <w:szCs w:val="16"/>
        </w:rPr>
        <w:tab/>
        <w:t>Вагапов</w:t>
      </w:r>
    </w:p>
    <w:p w14:paraId="47EC4E33" w14:textId="77777777" w:rsidR="00D4630C" w:rsidRPr="007224C3" w:rsidRDefault="00D4630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Секретарь обкома ВКП(б)</w:t>
      </w:r>
      <w:r w:rsidRPr="007224C3">
        <w:rPr>
          <w:rFonts w:ascii="Times New Roman" w:hAnsi="Times New Roman"/>
          <w:color w:val="000000" w:themeColor="text1"/>
          <w:sz w:val="16"/>
          <w:szCs w:val="16"/>
        </w:rPr>
        <w:tab/>
        <w:t>Игнатьев</w:t>
      </w:r>
    </w:p>
    <w:p w14:paraId="4F80E5F9" w14:textId="77777777" w:rsidR="00D4630C" w:rsidRPr="007224C3" w:rsidRDefault="00D4630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ЦГАОО РВ. Ф. 122. On. 24. Д. 107 Лл. 84—85. Копа» (17279).</w:t>
      </w:r>
    </w:p>
    <w:p w14:paraId="1F036D6E" w14:textId="77777777" w:rsidR="00D4630C" w:rsidRPr="007224C3" w:rsidRDefault="00D4630C" w:rsidP="007224C3">
      <w:pPr>
        <w:spacing w:after="0" w:line="240" w:lineRule="auto"/>
        <w:jc w:val="both"/>
        <w:rPr>
          <w:rFonts w:ascii="Times New Roman" w:hAnsi="Times New Roman"/>
          <w:color w:val="000000" w:themeColor="text1"/>
          <w:sz w:val="16"/>
          <w:szCs w:val="16"/>
          <w:highlight w:val="yellow"/>
        </w:rPr>
      </w:pPr>
    </w:p>
    <w:p w14:paraId="6189E4FC"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0222711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E593527" w14:textId="77777777" w:rsidR="002F4B64" w:rsidRPr="007224C3" w:rsidRDefault="002F4B6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апреля в 1944 году оперативная сводка Совинформбюро:</w:t>
      </w:r>
    </w:p>
    <w:p w14:paraId="3F59030B" w14:textId="77777777" w:rsidR="002F4B64" w:rsidRPr="007224C3" w:rsidRDefault="002F4B6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11 апреля западнее города Скала наши войска отбивали атаки крупных сил пехоты и танков противника, пробивавшихся на помощь окружённой группировке своих войск. Ценой больших потерь в живой силе и технике противнику удалось занять Бучач и соединиться в этом районе с окружённой группировкой.</w:t>
      </w:r>
    </w:p>
    <w:p w14:paraId="54D6A0BA" w14:textId="77777777" w:rsidR="002F4B64" w:rsidRPr="007224C3" w:rsidRDefault="002F4B6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Румынии, к югу от города Ботошани, наши войска, форсировав реку Серет, овладели городом и крупным железнодорожным узлом Пашкани, а также с боями заняли населённые пункты Ротунда, Концешть, Кристештий, Топиле, Гэштешть и железнодорожные станции Леспези, Кристештий. На железнодорожной станции Кристештий нашими войсками захвачено 6 паровозов и до 400 вагонов.</w:t>
      </w:r>
    </w:p>
    <w:p w14:paraId="48E0D058" w14:textId="77777777" w:rsidR="002F4B64" w:rsidRPr="007224C3" w:rsidRDefault="002F4B6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Ясском направлении наши войска, отбивая контратаки пехоты и танков противника, продолжали вести наступательные бои, в ходе которых заняли несколько населённых пунктов.</w:t>
      </w:r>
    </w:p>
    <w:p w14:paraId="73A59276" w14:textId="77777777" w:rsidR="002F4B64" w:rsidRPr="007224C3" w:rsidRDefault="002F4B6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Кишинёвском направлении наши войска с боями продвигались вперёд и занялиболее 30 населённых пунктов, в том числе Гартоп, Глинное, Карманово, Павловка,Шибка, Комаровка, Ново-Александровка.</w:t>
      </w:r>
    </w:p>
    <w:p w14:paraId="31F0B88C" w14:textId="77777777" w:rsidR="002F4B64" w:rsidRPr="007224C3" w:rsidRDefault="002F4B6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Тираспольском направлении наши войска с боями продвигались вперёд и овладели районным центром Молдавской ССР Слободзея Молдаванская, а также заняли более 100 других населённых пунктов, в том числе крупные населённые пункты Кассель, Плоское, Славяносербка, Гребеники, Константиновка, Владимировка, Ближний Хутор, Суклея, Карагаш, Слободзея Русская, Чобручи, Глинное, Коротное, Незавертайловка, и железнодорожную станцию Ново-Савицкая. Наши войска вплотную подошли к городу Тирасполь и завязали бои на его окраинах.</w:t>
      </w:r>
    </w:p>
    <w:p w14:paraId="7AE49A1D" w14:textId="77777777" w:rsidR="002F4B64" w:rsidRPr="007224C3" w:rsidRDefault="002F4B6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югу и юго-западу от города Одесса наши войска, продолжая наступление,овладели населёнными пунктами Гросс-Либенталь, Клейн-Либенталь, Дерибасовка,Средний и Большой Фонтан.</w:t>
      </w:r>
    </w:p>
    <w:p w14:paraId="2EF940C6" w14:textId="77777777" w:rsidR="002F4B64" w:rsidRPr="007224C3" w:rsidRDefault="002F4B6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4-го Украинского фронта, продолжая развивать наступление, овладели городом и важнейшим железнодорожным узлом Крыма — Джанкой, с боями заняли более 50 других населённых пунктов, в том числе Монастырка, Байсары, Ново-Александровка, Большая Магазинка, Ново-Ивановка, Леккерт, Татаркой, Владимировка, Тюй-Тебе, Джанай, 21-й Участок и железнодорожные станции Чирик, Богемка, а также очистили от противника Чонгарский полуостров, заняв при этом населённые пункты Чень-Трень, Чонгар, Марьяновка, Васильевка, Екатериновка и железнодорожные станции Джимбулук, Чонгар.</w:t>
      </w:r>
    </w:p>
    <w:p w14:paraId="2B36B7AF" w14:textId="77777777" w:rsidR="002F4B64" w:rsidRPr="007224C3" w:rsidRDefault="002F4B6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Отдельной Приморской армии, перейдя в наступление, прорвали сильно укреплённую оборону противника на Керченском полуострове и 11 апреля овладели городом и крепостью Керчь — важным опорным пунктом обороны немцев на восточном побережье Крыма. Развивая наступление, наши войска продвинулись на запад от Керчи до 30 километров, перевалили через Турецкий Вал и с боями заняли более 40 населённых пунктов, среди которых крупные населённые пункты Катерлез, Мамарусская, Большой Бабчик, Труд Крестьянина, Чурбаш, Мысырь, Джайлав, Чистополье, Кош-Кую, Михайловка, Айман-Кую, Маяк-Салын, Аджыэли, Султановка, Сараймин, и железнодорожные станции Багерово, Салын. Отступая под ударами наших войск,противник несёт большие потери в живой силе и технике.</w:t>
      </w:r>
    </w:p>
    <w:p w14:paraId="6D31808D" w14:textId="77777777" w:rsidR="002F4B64" w:rsidRPr="007224C3" w:rsidRDefault="002F4B6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1F1D821B" w14:textId="77777777" w:rsidR="002F4B64" w:rsidRPr="007224C3" w:rsidRDefault="002F4B6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10 апреля наши войска на всех фронтах подбили и уничтожили 93 немецких танка. В воздушных боях и огнём зенитной артиллерии сбит 61 самолёт противника.</w:t>
      </w:r>
    </w:p>
    <w:p w14:paraId="4A151A67" w14:textId="77777777" w:rsidR="002F4B64" w:rsidRPr="007224C3" w:rsidRDefault="002F4B6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Налёт нашей авиации на железнодорожный узел Львов</w:t>
      </w:r>
    </w:p>
    <w:p w14:paraId="26A2BE08" w14:textId="77777777" w:rsidR="002F4B64" w:rsidRPr="007224C3" w:rsidRDefault="002F4B6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ночь на 10 апреля наша авиация дальнего действия произвела налёт на железнодорожный узел Львов и подвергла бомбардировке большое скопление воинских эшелонов противника, находившихся на этом узле железных дорог. В результате бомбардировки возникло много пожаров: горели вагоны и платформы с военными грузами, а также военные склады противника. Особенно крупные пожары наблюдением отмечены на железнодорожной станции Львов-Главная. Среди пожаров происходилисильные взрывы.</w:t>
      </w:r>
    </w:p>
    <w:p w14:paraId="4C60FFDD" w14:textId="77777777" w:rsidR="002F4B64" w:rsidRPr="007224C3" w:rsidRDefault="002F4B6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 наши самолёты вернулись на свои аэродромы.</w:t>
      </w:r>
    </w:p>
    <w:p w14:paraId="40449BA6" w14:textId="77777777" w:rsidR="002F4B64" w:rsidRPr="007224C3" w:rsidRDefault="002F4B6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Румынии, к югу от города Ботошани, наши войска продолжали наступление.Части Н-ского соединения форсировали реку Серет, преодолели заболоченную полосу на её правом берегу и в результате ожесточённых боёв заняли крупный узел железных и грунтовых дорог город Пашкани. За два дня боёв в этом районе уничтожено до полка пехоты противника. Захвачено 24 орудия, свыше 300 подвод с различными грузами и другие трофеи.</w:t>
      </w:r>
    </w:p>
    <w:p w14:paraId="23140B65" w14:textId="77777777" w:rsidR="002F4B64" w:rsidRPr="007224C3" w:rsidRDefault="002F4B6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югу и юго-западу от города Одессы части Н-ского соединения, развивая наступление, прижали группу войск противника к Чёрному морю и ведут бои по её уничтожению. Разрозненные подразделения немцев бросают оружие и сдаются в плен. Наши подвижные части настигли и в коротком бою разгромили вражескую колонну у берега Сухого лимана. Захвачено много орудий и автомашин.</w:t>
      </w:r>
    </w:p>
    <w:p w14:paraId="5305DE3C" w14:textId="77777777" w:rsidR="002F4B64" w:rsidRPr="007224C3" w:rsidRDefault="002F4B6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Советские лётчики бомбардировали и штурмовали скопления войск, автомашин, повозок и железнодорожных составов противника у переправ в районах Аккермана и Бугазского маяка. Эти последние пути отступления разбитых немецких и румынских частей через Днестровский лиман всё время днём и ночью находятся под воздействием нашей авиации. От бомбардировки и пушечно-пулемётного огня советских самолётов противник несёт тяжёлые потери в живой силе и технике.</w:t>
      </w:r>
    </w:p>
    <w:p w14:paraId="232B74A6" w14:textId="77777777" w:rsidR="002F4B64" w:rsidRPr="007224C3" w:rsidRDefault="002F4B6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Перекопском перешейке наши войска продолжали наступление. Противник, отойдя на Ишунские позиции, оказывает упорное сопротивление. Ишунские позиции по своей мощности не уступают первой оборонительной полосе немцев в районеТурецкого вала. Противотанковый ров перерезает на всю ширину перешеек между Каркинитским заливом и озером Старое. Впереди противотанкового рва установлены надолбы, а все проходы прикрыты минными полями. Позади рва местность на большую глубину изрыта траншеями и окотами, за которыми оборудованы хорошо замаскированные артиллерийские и миномётные позиции. Советские артиллеристы и лётчики разрушают эти сильно укреплённые рубежи Ишунских позиций. Советские пехотинцы шаг за шагом выбивают гитлеровцев из окопов и траншей. Места боёв завалены трупами немцев и румын.</w:t>
      </w:r>
    </w:p>
    <w:p w14:paraId="5526B768" w14:textId="77777777" w:rsidR="002F4B64" w:rsidRPr="007224C3" w:rsidRDefault="002F4B6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южном берегу Сиваша ваши войска после ожесточённых боёв прорвали на всю глубину широко развитую оборону противника. Немцы спешно подтянули из тыла резервы пехоты и с хода бросили их в контратаки. Наши танкисты, взаимодействуя с пехотой, разгромили противника и, с боями продвигаясь вперёд, штурмом овладели важнейшим железнодорожным узлом и городом Джанкой. Таким образом, вражеская группировка лишена центра коммуникаций, связывающего восточную, южную и северную части Крыма. Наши войска захватили большие трофеи и много пленных.</w:t>
      </w:r>
    </w:p>
    <w:p w14:paraId="4956E5F9" w14:textId="77777777" w:rsidR="002F4B64" w:rsidRPr="007224C3" w:rsidRDefault="002F4B6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Войска Отдельной Приморской армии перешли в наступление на Керченскомполуострове. Советские лётчики всю ночь бомбили узлы сопротивления и базы снабжения противника. В пять часов утра соединения штурмовой авиации атаковали вражеские позиции. Одновременно началась артиллерийская подготовка. Вслед за огневым валом в атаку двинулась советская пехота. Противник готовился здесь к длительной обороне. Гряда высот, тянущаяся от Азовского моря к Керчи, надёжно прикрывала фланг немцев. Все улицы города Керчь были изрыты траншеями. Наши войска нанесли противнику стремительный удар. Рано утром крепость, город и порт Керчь были полностью очищены от немецко-фашистских захватчиков. Советские бойцы,быстро продвигаясь вперёд, прорвали одну за другой три </w:t>
      </w:r>
      <w:r w:rsidRPr="007224C3">
        <w:rPr>
          <w:rFonts w:ascii="Times New Roman" w:hAnsi="Times New Roman"/>
          <w:color w:val="000000" w:themeColor="text1"/>
          <w:sz w:val="16"/>
          <w:szCs w:val="16"/>
        </w:rPr>
        <w:lastRenderedPageBreak/>
        <w:t>оборонительные полосы противника. Танкисты и мотопехота, развивая наступление, уничтожают отступающих гитлеровцев. В течение дня наши части продвинулись на 30 километров и перевалили через Турецкий вал. Войска противника, расположенные южнее города Керчь, над которыми нависла угроза окружения, обратились в бегство. Захвачено большое количество вооружения, техники и военных материалов. Взято в плен много немецкихи румынских солдат и офицеров.</w:t>
      </w:r>
    </w:p>
    <w:p w14:paraId="25C16F74" w14:textId="77777777" w:rsidR="002F4B64" w:rsidRPr="007224C3" w:rsidRDefault="002F4B6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Три группы торпедоносцев и бомбардировщиков Черноморского флота обнаружили на подходах к устью реки Дунай караван судов противника. В результате успешных атак советские лётчики потопили транспорт водоизмещением в 3 тысячи тонн, сторожевой катер, одну десантную и одну сухогрузную баржи. Два торпедных катера, производившие поиски вражеских кораблей, на подходах к одному из портов Крыма, потопили десантную баржу противника.</w:t>
      </w:r>
    </w:p>
    <w:p w14:paraId="08DD817F" w14:textId="77777777" w:rsidR="002F4B64" w:rsidRPr="007224C3" w:rsidRDefault="002F4B6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Авиация Краснознамённого Балтийского флота совершила успешный налёт на группу вражеских кораблей в Нарвском заливе. Потоплены тральщик и сторожевой катер противника.» (15096).</w:t>
      </w:r>
    </w:p>
    <w:p w14:paraId="34BD9C23" w14:textId="77777777" w:rsidR="002F4B64" w:rsidRPr="007224C3" w:rsidRDefault="002F4B64" w:rsidP="007224C3">
      <w:pPr>
        <w:spacing w:after="0" w:line="240" w:lineRule="auto"/>
        <w:jc w:val="both"/>
        <w:rPr>
          <w:rFonts w:ascii="Times New Roman" w:hAnsi="Times New Roman"/>
          <w:color w:val="000000" w:themeColor="text1"/>
          <w:sz w:val="16"/>
          <w:szCs w:val="16"/>
        </w:rPr>
      </w:pPr>
    </w:p>
    <w:p w14:paraId="691BAAA0" w14:textId="77777777" w:rsidR="00A61476" w:rsidRPr="007224C3" w:rsidRDefault="00A6147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ночь с 11 на 12 апреля 1944 45-я АДДД бомбила Румынский порт Констанца. На задание вылетало 14 кораблей. Взлет прошел в период с 18 ч. 52 мин. по 19 ч. 34 мин. Два корабля из 890-го АПДД из- за неисправности мат. части прервали выполнение боевого задания и верну</w:t>
      </w:r>
      <w:r w:rsidRPr="007224C3">
        <w:rPr>
          <w:rFonts w:ascii="Times New Roman" w:hAnsi="Times New Roman"/>
          <w:color w:val="000000" w:themeColor="text1"/>
          <w:sz w:val="16"/>
          <w:szCs w:val="16"/>
        </w:rPr>
        <w:softHyphen/>
        <w:t>лись домой. Пе-8 №42211 (командир ко</w:t>
      </w:r>
      <w:r w:rsidRPr="007224C3">
        <w:rPr>
          <w:rFonts w:ascii="Times New Roman" w:hAnsi="Times New Roman"/>
          <w:color w:val="000000" w:themeColor="text1"/>
          <w:sz w:val="16"/>
          <w:szCs w:val="16"/>
        </w:rPr>
        <w:softHyphen/>
        <w:t>рабля Невенчанный, штурман Базовкин), приземлился через 01 ч. 09 мин. после взлета на своем аэродроме, а Пе-8 №421011 (командир корабля Вихорев, штурман Куликов), приземлился через 9 минут после взлета на своём аэродроме.</w:t>
      </w:r>
    </w:p>
    <w:p w14:paraId="656DBA01" w14:textId="77777777" w:rsidR="00A61476" w:rsidRPr="007224C3" w:rsidRDefault="00A6147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Пе-8 №42028 (командир корабля Симонов, штурман Гончаров) из 25-го гв. АПДД бомбил запасную цель, в 02 ч. 45 мин. На запасную цель было сброшено: 6 ФАБ-250тга, 2 ЗАБ-50тг. Остальные 11 кораблей бомбили основную цель в пе</w:t>
      </w:r>
      <w:r w:rsidRPr="007224C3">
        <w:rPr>
          <w:rFonts w:ascii="Times New Roman" w:hAnsi="Times New Roman"/>
          <w:color w:val="000000" w:themeColor="text1"/>
          <w:sz w:val="16"/>
          <w:szCs w:val="16"/>
        </w:rPr>
        <w:softHyphen/>
        <w:t>риод с 00 ч. 20 мин по 00 ч. 51 мин. На цель сброшено: 23 ФАБ-ЮООтга, 8 ФАБ- 500тга, 2 ФАБ-250тга, 18 ЗАБ-50тг. Из состава 25-го гв. АПДД основную цель бомбили Пе-8 с заводскими номерами: 42076 (командир корабля Адамов), 42067 (командир корабля Додонов), 42088 (ко</w:t>
      </w:r>
      <w:r w:rsidRPr="007224C3">
        <w:rPr>
          <w:rFonts w:ascii="Times New Roman" w:hAnsi="Times New Roman"/>
          <w:color w:val="000000" w:themeColor="text1"/>
          <w:sz w:val="16"/>
          <w:szCs w:val="16"/>
        </w:rPr>
        <w:softHyphen/>
        <w:t>мандир корабля Сугак), 42410 (командир корабля Ищенко), 42311 (командир кора</w:t>
      </w:r>
      <w:r w:rsidRPr="007224C3">
        <w:rPr>
          <w:rFonts w:ascii="Times New Roman" w:hAnsi="Times New Roman"/>
          <w:color w:val="000000" w:themeColor="text1"/>
          <w:sz w:val="16"/>
          <w:szCs w:val="16"/>
        </w:rPr>
        <w:softHyphen/>
        <w:t>бля Зеленский), 42811 (командир кора</w:t>
      </w:r>
      <w:r w:rsidRPr="007224C3">
        <w:rPr>
          <w:rFonts w:ascii="Times New Roman" w:hAnsi="Times New Roman"/>
          <w:color w:val="000000" w:themeColor="text1"/>
          <w:sz w:val="16"/>
          <w:szCs w:val="16"/>
        </w:rPr>
        <w:softHyphen/>
        <w:t>бля Пономаренко), 42911 (командир ко</w:t>
      </w:r>
      <w:r w:rsidRPr="007224C3">
        <w:rPr>
          <w:rFonts w:ascii="Times New Roman" w:hAnsi="Times New Roman"/>
          <w:color w:val="000000" w:themeColor="text1"/>
          <w:sz w:val="16"/>
          <w:szCs w:val="16"/>
        </w:rPr>
        <w:softHyphen/>
        <w:t>рабля Чурилин). Из состава 890-го АПДД бомбили цель Пе-8 с заводскими номе</w:t>
      </w:r>
      <w:r w:rsidRPr="007224C3">
        <w:rPr>
          <w:rFonts w:ascii="Times New Roman" w:hAnsi="Times New Roman"/>
          <w:color w:val="000000" w:themeColor="text1"/>
          <w:sz w:val="16"/>
          <w:szCs w:val="16"/>
        </w:rPr>
        <w:softHyphen/>
        <w:t>рами: 4214 (командир корабля Откидач), 42078 (командир корабля Косяченко), 42111 (командир корабля Самохин), 42411 (командир корабля Романов).</w:t>
      </w:r>
    </w:p>
    <w:p w14:paraId="3D859832" w14:textId="77777777" w:rsidR="00A61476" w:rsidRPr="007224C3" w:rsidRDefault="00A6147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Четыре корабля из 25-го гв. АПДД с моторами АМ-35А (у которых дальность полета была меньше чем у машин с моторами М-82) по заданию должны были произвести посадку на промежуточных аэродромах: Конотоп, Прилуки, Орел, но все эти аэродромы были закрыты туманом и они произ</w:t>
      </w:r>
      <w:r w:rsidRPr="007224C3">
        <w:rPr>
          <w:rFonts w:ascii="Times New Roman" w:hAnsi="Times New Roman"/>
          <w:color w:val="000000" w:themeColor="text1"/>
          <w:sz w:val="16"/>
          <w:szCs w:val="16"/>
        </w:rPr>
        <w:softHyphen/>
        <w:t>вели посадки в других местах. Корабль № 42076 сел в районе села Гремячка (10 км южнее Ямполь), №42067 при</w:t>
      </w:r>
      <w:r w:rsidRPr="007224C3">
        <w:rPr>
          <w:rFonts w:ascii="Times New Roman" w:hAnsi="Times New Roman"/>
          <w:color w:val="000000" w:themeColor="text1"/>
          <w:sz w:val="16"/>
          <w:szCs w:val="16"/>
        </w:rPr>
        <w:softHyphen/>
        <w:t>землился в районе станции Липовицы (15 км южнее Прилуки), при посадке сломана левая нога шасси и погнуты 2 винта, экипаж невредим. Самолет №42028 сел в районе деревни Дро</w:t>
      </w:r>
      <w:r w:rsidRPr="007224C3">
        <w:rPr>
          <w:rFonts w:ascii="Times New Roman" w:hAnsi="Times New Roman"/>
          <w:color w:val="000000" w:themeColor="text1"/>
          <w:sz w:val="16"/>
          <w:szCs w:val="16"/>
        </w:rPr>
        <w:softHyphen/>
        <w:t>зды (15 км севернее Белая Церковь), №42088 приземлился на аэродроме Ротмистровка. Позже все машины, совершившие вынужденные посадки, были отремонтированы. Остальные во</w:t>
      </w:r>
      <w:r w:rsidRPr="007224C3">
        <w:rPr>
          <w:rFonts w:ascii="Times New Roman" w:hAnsi="Times New Roman"/>
          <w:color w:val="000000" w:themeColor="text1"/>
          <w:sz w:val="16"/>
          <w:szCs w:val="16"/>
        </w:rPr>
        <w:softHyphen/>
        <w:t>семь приземлились на своем аэродроме в период с 05 ч. 15 мин. по 06 ч. 29 мин. Потерь не было (19559).</w:t>
      </w:r>
    </w:p>
    <w:p w14:paraId="492C9C37" w14:textId="77777777" w:rsidR="00A61476" w:rsidRPr="007224C3" w:rsidRDefault="00A61476" w:rsidP="007224C3">
      <w:pPr>
        <w:spacing w:after="0" w:line="240" w:lineRule="auto"/>
        <w:jc w:val="both"/>
        <w:rPr>
          <w:rFonts w:ascii="Times New Roman" w:hAnsi="Times New Roman"/>
          <w:color w:val="000000" w:themeColor="text1"/>
          <w:sz w:val="16"/>
          <w:szCs w:val="16"/>
        </w:rPr>
      </w:pPr>
    </w:p>
    <w:p w14:paraId="4F71D2F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апреля 1944 пара Ил-2 под командованием ст-л Шикалова и к Проварихиным вывели из строя эшелон с 2 паровозами, который отошел от станции Салын. В результате немцы не смогли отвести еще 3 эшелона, которые были захвачены (430,199).</w:t>
      </w:r>
    </w:p>
    <w:p w14:paraId="5CB6C6D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F6E4A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апреля 1944 был освобожден весь Крым кроме Севастополя (3907,248).</w:t>
      </w:r>
    </w:p>
    <w:p w14:paraId="1CAF67A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289BD5"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апреля 1944 в Симферополе (п-ов Крым) немцы сбросили в 24-метровый колодец около 260 советских мирных граждан (4963 ).</w:t>
      </w:r>
    </w:p>
    <w:p w14:paraId="00EF0144"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C103ABC"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апреля 1944 советские войска освободили от фашистов Керчь и Джанкой (4962).</w:t>
      </w:r>
    </w:p>
    <w:p w14:paraId="45AA1E82"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A6128E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апреля 1944 СВГК поставила перед флотом задачу систематически нарушать коммуникации противника в ЧМ, для действий по коммуникациям использовать разнородные силы - п/л, бомбардировочную, минно-торпедную и ш авиацию. В это время крупная группировка противника была прижата к морю ударами войск 4УФ и Отдельной Приморской Армии и немцы пытались эвакуироваться в румынские порты. По решению СВГК была организована операция по дезорганизации морских коммуникаций и уничтожению транспортов врага, в которой наряду с силами ЧМФ приняли участие 8 и 4ВА и ДБА. АДД бомбила Галац и Констанцу, а фронтовая авиация - порты погрузки. Всего выполнили 7489 вылетов, включая 4506 (60.1%) ВВС ЧМФ, 1764 (23.6%) - 4 и 8ВА, 1219 (16.3%) - АДД. Потопили 40 транспортов и 38 боевых и вспомогательных кораблей. Немцы потеряли 42 тыс. солдат и офицеров с 3 по 13 мая 1944 (518,187).</w:t>
      </w:r>
    </w:p>
    <w:p w14:paraId="6C6C2C2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E660A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апреля 1944 ОПрА (А.И.Еременко) освободила Керчь (3398,143).</w:t>
      </w:r>
    </w:p>
    <w:p w14:paraId="7D17D9E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10A72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апреля 1944 л ВВС СФ двумя группами атаковали у берегов Норвегии большой караван и причинили ему большой ущерб. Торпедоносцы потопили 3 транспорта, сторожевик и тральщик. Несколько транспортов повредили. В бою был подбит к И.Б.Катунин и он направил горящую машину на транспорт, погибнув со стрелком радистом ст. сер. А.М.Маркиным. Стали ГСС (438,900).</w:t>
      </w:r>
    </w:p>
    <w:p w14:paraId="74E94A6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D90779"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050078B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E23AA17" w14:textId="77777777" w:rsidR="002F4B64" w:rsidRPr="007224C3" w:rsidRDefault="002F4B6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апреля в 1944 году пилоты люфтваффе, унтер-офицер Гертер и ефрейтор Пербикс из 2./NJG 1, первыми в истории авиации покинули подбитый «Не-219» «Uhu» с помощью пневматической катапульты в боевой обстановке. На земле обоих пилотов ожидал приятный сюрприз. Профессор Хейнкель выплатил обоим премию в размере 1000 марок. Масса кресла летчика самолёта «Не-219» равна 15,1 кг, масса кресла наблюдателя 16,6 кг, масса цилиндров, поршней и затворов 2Ч9,8 кг, масса баллонов с проводкой и клапанами 2Ч3 кг. Общая масса 57,3 кг (15096).</w:t>
      </w:r>
    </w:p>
    <w:p w14:paraId="39413B9A" w14:textId="77777777" w:rsidR="002F4B64" w:rsidRPr="007224C3" w:rsidRDefault="002F4B64" w:rsidP="007224C3">
      <w:pPr>
        <w:spacing w:after="0" w:line="240" w:lineRule="auto"/>
        <w:jc w:val="both"/>
        <w:rPr>
          <w:rFonts w:ascii="Times New Roman" w:hAnsi="Times New Roman"/>
          <w:color w:val="000000" w:themeColor="text1"/>
          <w:sz w:val="16"/>
          <w:szCs w:val="16"/>
        </w:rPr>
      </w:pPr>
    </w:p>
    <w:p w14:paraId="1A18A1D3" w14:textId="77777777" w:rsidR="008B5CA2" w:rsidRPr="007224C3" w:rsidRDefault="008B5CA2"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11–12 апреля (ночь) 1044 352 британских бомбардировщика совершили налет на Ахен, Германия, потеряв девять самолетов (2,6 процента сил). Самая разрушительная атака на Аахен во время Второй мировой войны, рейд наносит большой ущерб и вызывает пожары в центральной и южной частях Ахена и в пригороде Буртшайд (20373).</w:t>
      </w:r>
    </w:p>
    <w:p w14:paraId="3E04CEC1" w14:textId="77777777" w:rsidR="008B5CA2" w:rsidRPr="007224C3" w:rsidRDefault="008B5CA2" w:rsidP="007224C3">
      <w:pPr>
        <w:spacing w:after="0" w:line="240" w:lineRule="auto"/>
        <w:jc w:val="both"/>
        <w:rPr>
          <w:rFonts w:ascii="Times New Roman" w:hAnsi="Times New Roman"/>
          <w:color w:val="0070C0"/>
          <w:sz w:val="16"/>
          <w:szCs w:val="16"/>
        </w:rPr>
      </w:pPr>
    </w:p>
    <w:p w14:paraId="1698578B"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апреля 1944 английской авиацией разрушен штаб гестапо в Гааге (4962).</w:t>
      </w:r>
    </w:p>
    <w:p w14:paraId="6D6325BE"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FABD759" w14:textId="77777777" w:rsidR="002F4B64" w:rsidRPr="007224C3" w:rsidRDefault="002F4B6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апреля в 1944 году началось наступление 5-й и 8-й армий союзников на "линию Густава" силами 10 дивизий при 2 тысяч орудий. Польский корпус Андерса должен был овладеть Кассино и понес большие потери (до 4-х тысяч человек), обеспечив продвижение англичан (15096).</w:t>
      </w:r>
    </w:p>
    <w:p w14:paraId="4E712568" w14:textId="77777777" w:rsidR="002F4B64" w:rsidRPr="007224C3" w:rsidRDefault="002F4B64" w:rsidP="007224C3">
      <w:pPr>
        <w:spacing w:after="0" w:line="240" w:lineRule="auto"/>
        <w:jc w:val="both"/>
        <w:rPr>
          <w:rFonts w:ascii="Times New Roman" w:hAnsi="Times New Roman"/>
          <w:color w:val="000000" w:themeColor="text1"/>
          <w:sz w:val="16"/>
          <w:szCs w:val="16"/>
        </w:rPr>
      </w:pPr>
    </w:p>
    <w:p w14:paraId="65B4E9D6"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утра 11 апреля 1944 монголы начали бомбить и обстреливать китай</w:t>
      </w:r>
      <w:r w:rsidRPr="007224C3">
        <w:rPr>
          <w:rFonts w:ascii="Times New Roman" w:hAnsi="Times New Roman"/>
          <w:color w:val="000000" w:themeColor="text1"/>
          <w:sz w:val="16"/>
          <w:szCs w:val="16"/>
        </w:rPr>
        <w:softHyphen/>
        <w:t>ские войска. Всего монгольские лётчики совершили 57 (по другим данным - 59) боевых вылетов. Китайские войска ото</w:t>
      </w:r>
      <w:r w:rsidRPr="007224C3">
        <w:rPr>
          <w:rFonts w:ascii="Times New Roman" w:hAnsi="Times New Roman"/>
          <w:color w:val="000000" w:themeColor="text1"/>
          <w:sz w:val="16"/>
          <w:szCs w:val="16"/>
        </w:rPr>
        <w:softHyphen/>
        <w:t>шли, а правительство Чан Кайши за</w:t>
      </w:r>
      <w:r w:rsidRPr="007224C3">
        <w:rPr>
          <w:rFonts w:ascii="Times New Roman" w:hAnsi="Times New Roman"/>
          <w:color w:val="000000" w:themeColor="text1"/>
          <w:sz w:val="16"/>
          <w:szCs w:val="16"/>
        </w:rPr>
        <w:softHyphen/>
        <w:t>явило протест, мотивируя это тем, что боевые действия, дескать, велись на китайской территории.</w:t>
      </w:r>
    </w:p>
    <w:p w14:paraId="687B9586"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Одна эскадрилья монгольских «бисов» в августе 1945 г. участвовала в операциях против Квантунской армии японцев (12294).</w:t>
      </w:r>
    </w:p>
    <w:p w14:paraId="68242D43" w14:textId="77777777" w:rsidR="00137373" w:rsidRPr="007224C3" w:rsidRDefault="00137373" w:rsidP="007224C3">
      <w:pPr>
        <w:spacing w:after="0" w:line="240" w:lineRule="auto"/>
        <w:jc w:val="both"/>
        <w:rPr>
          <w:rFonts w:ascii="Times New Roman" w:hAnsi="Times New Roman"/>
          <w:color w:val="000000" w:themeColor="text1"/>
          <w:sz w:val="16"/>
          <w:szCs w:val="16"/>
        </w:rPr>
      </w:pPr>
    </w:p>
    <w:p w14:paraId="4EE95FA5"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6A0723E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EF8D1B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апреля 1944 Нач. НИИ ВВС Лосюков и Нач. шт. НИИ ВВС гм ИАС Иващенко направили письмом N 038 (вход. 4864 от 12 апреля 1944 и 4464 от 4 мая 1944) "Акт по результатам гос. испытаний опытного двухместного самолета ИЛ с мотором АМ-42 и винтом АВ-5Л-18Б конструкции С.В.И. (экз. 1, производство завода 240) (1865).</w:t>
      </w:r>
    </w:p>
    <w:p w14:paraId="1A917AC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1FC0F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апреля 1944 был утвержден отчет о гос. испытаниях в НИИ ВВС Ил-8-АМ42 - бронированного разведчика-корректировщика (300,17).</w:t>
      </w:r>
    </w:p>
    <w:p w14:paraId="0F3B998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7EA8C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Согласно акта НИИ ВВС N 038 от 12 апреля 1944 самолет Ил-8-1 АМ-42 успешно прошел гос. испытания и был рекомендован для запуска в серию (2217).</w:t>
      </w:r>
    </w:p>
    <w:p w14:paraId="221E1CC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43F95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апреля 1944 в сопроводительной записке к Акту по госиспытаниям самолет Ил-АМ-42 уже именовался как Ил-8 АМ-42. Несмотря на недостатки, был рекомендован для постановки в серийное производство (12020).</w:t>
      </w:r>
    </w:p>
    <w:p w14:paraId="62C1EED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654002" w14:textId="77777777" w:rsidR="00315AAD" w:rsidRPr="007224C3" w:rsidRDefault="00315AAD"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К 12 апреля 1944 г. по инициа</w:t>
      </w:r>
      <w:r w:rsidRPr="007224C3">
        <w:rPr>
          <w:rFonts w:ascii="Times New Roman" w:hAnsi="Times New Roman"/>
          <w:color w:val="0070C0"/>
          <w:sz w:val="16"/>
          <w:szCs w:val="16"/>
        </w:rPr>
        <w:softHyphen/>
        <w:t>тиве Ильюшина Ил-АМ-42 получил обо</w:t>
      </w:r>
      <w:r w:rsidRPr="007224C3">
        <w:rPr>
          <w:rFonts w:ascii="Times New Roman" w:hAnsi="Times New Roman"/>
          <w:color w:val="0070C0"/>
          <w:sz w:val="16"/>
          <w:szCs w:val="16"/>
        </w:rPr>
        <w:softHyphen/>
        <w:t>значение Ил-8, а опытный штурмовик Ил-1 - Ил-10). Несмотря на положительное заклю</w:t>
      </w:r>
      <w:r w:rsidRPr="007224C3">
        <w:rPr>
          <w:rFonts w:ascii="Times New Roman" w:hAnsi="Times New Roman"/>
          <w:color w:val="0070C0"/>
          <w:sz w:val="16"/>
          <w:szCs w:val="16"/>
        </w:rPr>
        <w:softHyphen/>
        <w:t>чение НИИ ВВС, окончательное решение командования ВВС КА по этому самолету еще не оформилось</w:t>
      </w:r>
      <w:r w:rsidRPr="007224C3">
        <w:rPr>
          <w:rStyle w:val="9pt80"/>
          <w:rFonts w:ascii="Times New Roman" w:hAnsi="Times New Roman" w:cs="Times New Roman"/>
          <w:color w:val="0070C0"/>
          <w:w w:val="100"/>
          <w:sz w:val="16"/>
          <w:szCs w:val="16"/>
        </w:rPr>
        <w:t xml:space="preserve"> </w:t>
      </w:r>
      <w:r w:rsidRPr="007224C3">
        <w:rPr>
          <w:rStyle w:val="9pt80"/>
          <w:rFonts w:ascii="Times New Roman" w:hAnsi="Times New Roman" w:cs="Times New Roman"/>
          <w:i w:val="0"/>
          <w:iCs w:val="0"/>
          <w:color w:val="0070C0"/>
          <w:w w:val="100"/>
          <w:sz w:val="16"/>
          <w:szCs w:val="16"/>
        </w:rPr>
        <w:t>(«ни штурмовик, ни бомбардировщик»)</w:t>
      </w:r>
      <w:r w:rsidRPr="007224C3">
        <w:rPr>
          <w:rStyle w:val="9pt80"/>
          <w:rFonts w:ascii="Times New Roman" w:hAnsi="Times New Roman" w:cs="Times New Roman"/>
          <w:color w:val="0070C0"/>
          <w:w w:val="100"/>
          <w:sz w:val="16"/>
          <w:szCs w:val="16"/>
        </w:rPr>
        <w:t>.</w:t>
      </w:r>
      <w:r w:rsidRPr="007224C3">
        <w:rPr>
          <w:rFonts w:ascii="Times New Roman" w:hAnsi="Times New Roman"/>
          <w:color w:val="0070C0"/>
          <w:sz w:val="16"/>
          <w:szCs w:val="16"/>
        </w:rPr>
        <w:t xml:space="preserve"> Больший интерес все же представлял Су-6 АМ-42, как наиболее полно отвечающий требованиям к само</w:t>
      </w:r>
      <w:r w:rsidRPr="007224C3">
        <w:rPr>
          <w:rFonts w:ascii="Times New Roman" w:hAnsi="Times New Roman"/>
          <w:color w:val="0070C0"/>
          <w:sz w:val="16"/>
          <w:szCs w:val="16"/>
        </w:rPr>
        <w:softHyphen/>
        <w:t>лету непосредственной поддержки войск. Однако окончательные результаты испы</w:t>
      </w:r>
      <w:r w:rsidRPr="007224C3">
        <w:rPr>
          <w:rFonts w:ascii="Times New Roman" w:hAnsi="Times New Roman"/>
          <w:color w:val="0070C0"/>
          <w:sz w:val="16"/>
          <w:szCs w:val="16"/>
        </w:rPr>
        <w:softHyphen/>
        <w:t>таний еще не были получены. К тому же в стадии завершения находились завод</w:t>
      </w:r>
      <w:r w:rsidRPr="007224C3">
        <w:rPr>
          <w:rFonts w:ascii="Times New Roman" w:hAnsi="Times New Roman"/>
          <w:color w:val="0070C0"/>
          <w:sz w:val="16"/>
          <w:szCs w:val="16"/>
        </w:rPr>
        <w:softHyphen/>
        <w:t>ские летные испытания опытного штур</w:t>
      </w:r>
      <w:r w:rsidRPr="007224C3">
        <w:rPr>
          <w:rFonts w:ascii="Times New Roman" w:hAnsi="Times New Roman"/>
          <w:color w:val="0070C0"/>
          <w:sz w:val="16"/>
          <w:szCs w:val="16"/>
        </w:rPr>
        <w:softHyphen/>
        <w:t>мовика Ил-10 АМ-42. По сведениям во</w:t>
      </w:r>
      <w:r w:rsidRPr="007224C3">
        <w:rPr>
          <w:rFonts w:ascii="Times New Roman" w:hAnsi="Times New Roman"/>
          <w:color w:val="0070C0"/>
          <w:sz w:val="16"/>
          <w:szCs w:val="16"/>
        </w:rPr>
        <w:softHyphen/>
        <w:t xml:space="preserve">енпреда </w:t>
      </w:r>
      <w:r w:rsidRPr="007224C3">
        <w:rPr>
          <w:rFonts w:ascii="Times New Roman" w:hAnsi="Times New Roman"/>
          <w:color w:val="0070C0"/>
          <w:sz w:val="16"/>
          <w:szCs w:val="16"/>
        </w:rPr>
        <w:lastRenderedPageBreak/>
        <w:t>на заводе №240 инженер-майора Григорьева его летные данные были также высокими. Очевидно, следовало не торопиться и не принимать скоропали</w:t>
      </w:r>
      <w:r w:rsidRPr="007224C3">
        <w:rPr>
          <w:rFonts w:ascii="Times New Roman" w:hAnsi="Times New Roman"/>
          <w:color w:val="0070C0"/>
          <w:sz w:val="16"/>
          <w:szCs w:val="16"/>
        </w:rPr>
        <w:softHyphen/>
        <w:t>тельных решений.</w:t>
      </w:r>
    </w:p>
    <w:p w14:paraId="4B5582AA" w14:textId="77777777" w:rsidR="00315AAD" w:rsidRPr="007224C3" w:rsidRDefault="00315AAD"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Незадолго до этого ВВС сделали по</w:t>
      </w:r>
      <w:r w:rsidRPr="007224C3">
        <w:rPr>
          <w:rFonts w:ascii="Times New Roman" w:hAnsi="Times New Roman"/>
          <w:color w:val="0070C0"/>
          <w:sz w:val="16"/>
          <w:szCs w:val="16"/>
        </w:rPr>
        <w:softHyphen/>
        <w:t>пытку вернуться к первоначальной цель</w:t>
      </w:r>
      <w:r w:rsidRPr="007224C3">
        <w:rPr>
          <w:rFonts w:ascii="Times New Roman" w:hAnsi="Times New Roman"/>
          <w:color w:val="0070C0"/>
          <w:sz w:val="16"/>
          <w:szCs w:val="16"/>
        </w:rPr>
        <w:softHyphen/>
        <w:t>нометаллической конструкции Ил-2. Это позволяло улучшить боевые и эксплуата</w:t>
      </w:r>
      <w:r w:rsidRPr="007224C3">
        <w:rPr>
          <w:rFonts w:ascii="Times New Roman" w:hAnsi="Times New Roman"/>
          <w:color w:val="0070C0"/>
          <w:sz w:val="16"/>
          <w:szCs w:val="16"/>
        </w:rPr>
        <w:softHyphen/>
        <w:t>ционные качества самолета и несколько разрядить напряженность в вопросе по</w:t>
      </w:r>
      <w:r w:rsidRPr="007224C3">
        <w:rPr>
          <w:rFonts w:ascii="Times New Roman" w:hAnsi="Times New Roman"/>
          <w:color w:val="0070C0"/>
          <w:sz w:val="16"/>
          <w:szCs w:val="16"/>
        </w:rPr>
        <w:softHyphen/>
        <w:t>становки на вооружение штурмовика, от</w:t>
      </w:r>
      <w:r w:rsidRPr="007224C3">
        <w:rPr>
          <w:rFonts w:ascii="Times New Roman" w:hAnsi="Times New Roman"/>
          <w:color w:val="0070C0"/>
          <w:sz w:val="16"/>
          <w:szCs w:val="16"/>
        </w:rPr>
        <w:softHyphen/>
        <w:t>вечающего современным требованиям (19853).</w:t>
      </w:r>
    </w:p>
    <w:p w14:paraId="2A8289DA" w14:textId="77777777" w:rsidR="00315AAD" w:rsidRPr="007224C3" w:rsidRDefault="00315AAD" w:rsidP="007224C3">
      <w:pPr>
        <w:spacing w:after="0" w:line="240" w:lineRule="auto"/>
        <w:jc w:val="both"/>
        <w:rPr>
          <w:rFonts w:ascii="Times New Roman" w:hAnsi="Times New Roman"/>
          <w:color w:val="0070C0"/>
          <w:sz w:val="16"/>
          <w:szCs w:val="16"/>
        </w:rPr>
      </w:pPr>
    </w:p>
    <w:p w14:paraId="44F3FBAE" w14:textId="77777777" w:rsidR="00EB1E33" w:rsidRPr="007224C3" w:rsidRDefault="00EB1E3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апреля 1944 в сопроводительной записке к акту по государственным испытаниям Ил-АМ-42 (экз. № 1) на имя командующего ВВС КА главного маршала авиации А. А. Новикова самолет уже именовался как Ил-8 АМ-42. Надо полагать, переименование произошло где-то в самом начале апреля. Соответственно, двухместный штурмовой вариант самолета Ил-1 получил обозначение Ил-10 (17490).</w:t>
      </w:r>
    </w:p>
    <w:p w14:paraId="5F0B12AF" w14:textId="77777777" w:rsidR="00EB1E33" w:rsidRPr="007224C3" w:rsidRDefault="00EB1E33" w:rsidP="007224C3">
      <w:pPr>
        <w:spacing w:after="0" w:line="240" w:lineRule="auto"/>
        <w:jc w:val="both"/>
        <w:rPr>
          <w:rFonts w:ascii="Times New Roman" w:hAnsi="Times New Roman"/>
          <w:color w:val="000000" w:themeColor="text1"/>
          <w:sz w:val="16"/>
          <w:szCs w:val="16"/>
        </w:rPr>
      </w:pPr>
    </w:p>
    <w:p w14:paraId="46D8A08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12 апреля 1944 состояние опытного строительства на 21 заводе было следующим:</w:t>
      </w:r>
    </w:p>
    <w:p w14:paraId="7F9477B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Ла-5 М-83 выполнил первый полет. Мотор работал хорошо. Предполагается на 2-й гр. Высотности получить 700-710 км/час</w:t>
      </w:r>
    </w:p>
    <w:p w14:paraId="7DC2C68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 комплекта мягких баков 27-28 кг, серийного 35-36 кг.</w:t>
      </w:r>
    </w:p>
    <w:p w14:paraId="3446474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Произведен первый полет Ла-5ФН с АРТИ-43ю Автомат устойчиво держит температуру по датчику 220 гр. Производится монтаж АРТИ-43 на 4-х серийных с-тах.</w:t>
      </w:r>
    </w:p>
    <w:p w14:paraId="0728ADA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Произведены летные испытания Ла-5ФН с ВИШ-105 В-4 (махоустойчивая лопасть). Забросов оборотов не было.</w:t>
      </w:r>
    </w:p>
    <w:p w14:paraId="3E9BCBF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Установкой доп. маслобачка в маслобаке не устранили дефекта - выбрасывания масла.</w:t>
      </w:r>
    </w:p>
    <w:p w14:paraId="79ECC82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Ведется исследование по увеличению диаметра трубопровода от бачка до маслоотстойника (738,21).</w:t>
      </w:r>
    </w:p>
    <w:p w14:paraId="0BC8537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3601E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апреля 1944 у А.Г.Кубышкина на ЛаГГ-3 М-105ПФ N 6152 сдал мотор и с трудом посадил (815,16).</w:t>
      </w:r>
    </w:p>
    <w:p w14:paraId="75F2B07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6880A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апреля 1944 года С.В.И. писал Объяснительную записку:</w:t>
      </w:r>
    </w:p>
    <w:p w14:paraId="161C3BC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Нет необходимости доказывать, что в послевоенный период транспортная авиация приобретет огромное народнохозяйственное значение. Очевидно далее, что наличие массовой транспортной авиации - это наличие массовой бомбардировочной авиации и наличие производственной базы для всех других видов боевой авиации.</w:t>
      </w:r>
    </w:p>
    <w:p w14:paraId="542EAC5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Вопрос о транспортной авиации в нашей стране, это вопрос конкретный, практический. прежде всего это вопрос о типе или о типах транспортных самолетов. Не вдаваясь в анализ всей суммы транспортных самолетов, необходимых для нашей страны, я остановлюсь лишь на одном типе самолета.</w:t>
      </w:r>
    </w:p>
    <w:p w14:paraId="1D967E6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период войны мы особенно сильно ощутили значение транспортной авиации как для фронта, так и в не меньшей степени для тыла. Основным транспортным самолетом был и есть пока двухмоторный самолет "Дуглас" ДС-3. Какие бы типы транспортных самолетов ни были у нас на снабжении в послевоенный период, при всех условиях, тип двухмоторного транспортного самолета будет одним из основных типов. Это бесспорно - и не требует доказательства.</w:t>
      </w:r>
    </w:p>
    <w:p w14:paraId="317B94A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"Дуглас" ДС-3 - хороший самолет, но лишь для определенной полосы развития транспортной авиации.</w:t>
      </w:r>
    </w:p>
    <w:p w14:paraId="6D037C3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Уже теперь весьма ощутимой является потребность в увеличении крейсерской скорости у земли минимум до 300 км в час.</w:t>
      </w:r>
    </w:p>
    <w:p w14:paraId="39C18C9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Наличие у нашей Авиапромышленности дизель-мотора может обеспечить вторую очень важную данную транспортной авиации экономичность в расходовании топлива, причем топлива низкосортного.</w:t>
      </w:r>
    </w:p>
    <w:p w14:paraId="513A8C3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 наконец третья важная данная увеличение коммерческой нагрузки. Коммерческая нагрузка ДС-3 составляет 2000 кг требуется 3000 - 3500 кг.</w:t>
      </w:r>
    </w:p>
    <w:p w14:paraId="4E22D9C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Исходя из указанных предпосылок представляется проект транспортного самолета вполне отвечающего современным требованиям.</w:t>
      </w:r>
    </w:p>
    <w:p w14:paraId="2A09641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Ниже дается сравнительная таблица транспортных самолетов: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2254"/>
      </w:tblGrid>
      <w:tr w:rsidR="005106D0" w:rsidRPr="007224C3" w14:paraId="6F1C11C8" w14:textId="77777777">
        <w:tc>
          <w:tcPr>
            <w:tcW w:w="2254" w:type="dxa"/>
          </w:tcPr>
          <w:p w14:paraId="4550793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3B468CF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Транспорт.</w:t>
            </w:r>
          </w:p>
        </w:tc>
        <w:tc>
          <w:tcPr>
            <w:tcW w:w="2254" w:type="dxa"/>
          </w:tcPr>
          <w:p w14:paraId="1C9BC29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1E84FE4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3C5F1AD" w14:textId="77777777">
        <w:tc>
          <w:tcPr>
            <w:tcW w:w="2254" w:type="dxa"/>
          </w:tcPr>
          <w:p w14:paraId="22E308A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7ACF2D1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Ил- АЧ31</w:t>
            </w:r>
          </w:p>
        </w:tc>
        <w:tc>
          <w:tcPr>
            <w:tcW w:w="2254" w:type="dxa"/>
          </w:tcPr>
          <w:p w14:paraId="7902411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ДС-3</w:t>
            </w:r>
          </w:p>
        </w:tc>
        <w:tc>
          <w:tcPr>
            <w:tcW w:w="2254" w:type="dxa"/>
          </w:tcPr>
          <w:p w14:paraId="668913B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ДС-54</w:t>
            </w:r>
          </w:p>
        </w:tc>
      </w:tr>
      <w:tr w:rsidR="005106D0" w:rsidRPr="007224C3" w14:paraId="56E01864" w14:textId="77777777">
        <w:tc>
          <w:tcPr>
            <w:tcW w:w="2254" w:type="dxa"/>
          </w:tcPr>
          <w:p w14:paraId="4BD55B6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Тип и количество моторов</w:t>
            </w:r>
          </w:p>
        </w:tc>
        <w:tc>
          <w:tcPr>
            <w:tcW w:w="2254" w:type="dxa"/>
          </w:tcPr>
          <w:p w14:paraId="53206B4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АЧ31</w:t>
            </w:r>
          </w:p>
        </w:tc>
        <w:tc>
          <w:tcPr>
            <w:tcW w:w="2254" w:type="dxa"/>
          </w:tcPr>
          <w:p w14:paraId="1DC0CCC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М-62</w:t>
            </w:r>
          </w:p>
        </w:tc>
        <w:tc>
          <w:tcPr>
            <w:tcW w:w="2254" w:type="dxa"/>
          </w:tcPr>
          <w:p w14:paraId="087DA2E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Пратт-Уитни.</w:t>
            </w:r>
          </w:p>
        </w:tc>
      </w:tr>
      <w:tr w:rsidR="005106D0" w:rsidRPr="007224C3" w14:paraId="58F7F694" w14:textId="77777777">
        <w:tc>
          <w:tcPr>
            <w:tcW w:w="2254" w:type="dxa"/>
          </w:tcPr>
          <w:p w14:paraId="6E149A4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2770845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шт.</w:t>
            </w:r>
          </w:p>
        </w:tc>
        <w:tc>
          <w:tcPr>
            <w:tcW w:w="2254" w:type="dxa"/>
          </w:tcPr>
          <w:p w14:paraId="2291EDE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шт.</w:t>
            </w:r>
          </w:p>
        </w:tc>
        <w:tc>
          <w:tcPr>
            <w:tcW w:w="2254" w:type="dxa"/>
          </w:tcPr>
          <w:p w14:paraId="53615B4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шт.</w:t>
            </w:r>
          </w:p>
        </w:tc>
      </w:tr>
      <w:tr w:rsidR="005106D0" w:rsidRPr="007224C3" w14:paraId="22C1ACB1" w14:textId="77777777">
        <w:tc>
          <w:tcPr>
            <w:tcW w:w="2254" w:type="dxa"/>
          </w:tcPr>
          <w:p w14:paraId="3BBB7DA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Мощность моторов (номин.)</w:t>
            </w:r>
          </w:p>
        </w:tc>
        <w:tc>
          <w:tcPr>
            <w:tcW w:w="2254" w:type="dxa"/>
          </w:tcPr>
          <w:p w14:paraId="22D0737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3000/6000</w:t>
            </w:r>
          </w:p>
        </w:tc>
        <w:tc>
          <w:tcPr>
            <w:tcW w:w="2254" w:type="dxa"/>
          </w:tcPr>
          <w:p w14:paraId="31EA897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2000/0</w:t>
            </w:r>
          </w:p>
        </w:tc>
        <w:tc>
          <w:tcPr>
            <w:tcW w:w="2254" w:type="dxa"/>
          </w:tcPr>
          <w:p w14:paraId="0DA8E0B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4400/2130</w:t>
            </w:r>
          </w:p>
        </w:tc>
      </w:tr>
      <w:tr w:rsidR="005106D0" w:rsidRPr="007224C3" w14:paraId="050431C0" w14:textId="77777777">
        <w:tc>
          <w:tcPr>
            <w:tcW w:w="2254" w:type="dxa"/>
          </w:tcPr>
          <w:p w14:paraId="7B0ABE7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высоте</w:t>
            </w:r>
          </w:p>
        </w:tc>
        <w:tc>
          <w:tcPr>
            <w:tcW w:w="2254" w:type="dxa"/>
          </w:tcPr>
          <w:p w14:paraId="6639D5F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53D22C9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410557C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7CC3FD6" w14:textId="77777777">
        <w:tc>
          <w:tcPr>
            <w:tcW w:w="2254" w:type="dxa"/>
          </w:tcPr>
          <w:p w14:paraId="0CF553C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Полетный вес</w:t>
            </w:r>
          </w:p>
        </w:tc>
        <w:tc>
          <w:tcPr>
            <w:tcW w:w="2254" w:type="dxa"/>
          </w:tcPr>
          <w:p w14:paraId="3A9C395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165060A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24979F7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7FC80EB" w14:textId="77777777">
        <w:tc>
          <w:tcPr>
            <w:tcW w:w="2254" w:type="dxa"/>
          </w:tcPr>
          <w:p w14:paraId="21B9DEC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пассажир.</w:t>
            </w:r>
          </w:p>
        </w:tc>
        <w:tc>
          <w:tcPr>
            <w:tcW w:w="2254" w:type="dxa"/>
          </w:tcPr>
          <w:p w14:paraId="72A3DFD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16000</w:t>
            </w:r>
          </w:p>
        </w:tc>
        <w:tc>
          <w:tcPr>
            <w:tcW w:w="2254" w:type="dxa"/>
          </w:tcPr>
          <w:p w14:paraId="13D0194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12000</w:t>
            </w:r>
          </w:p>
        </w:tc>
        <w:tc>
          <w:tcPr>
            <w:tcW w:w="2254" w:type="dxa"/>
          </w:tcPr>
          <w:p w14:paraId="3165586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3230F246" w14:textId="77777777">
        <w:tc>
          <w:tcPr>
            <w:tcW w:w="2254" w:type="dxa"/>
          </w:tcPr>
          <w:p w14:paraId="4CEA7EA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транспорт.</w:t>
            </w:r>
          </w:p>
        </w:tc>
        <w:tc>
          <w:tcPr>
            <w:tcW w:w="2254" w:type="dxa"/>
          </w:tcPr>
          <w:p w14:paraId="5B08B65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16500</w:t>
            </w:r>
          </w:p>
        </w:tc>
        <w:tc>
          <w:tcPr>
            <w:tcW w:w="2254" w:type="dxa"/>
          </w:tcPr>
          <w:p w14:paraId="7848D96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1DC88F5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23587</w:t>
            </w:r>
          </w:p>
        </w:tc>
      </w:tr>
      <w:tr w:rsidR="005106D0" w:rsidRPr="007224C3" w14:paraId="71C34D24" w14:textId="77777777">
        <w:tc>
          <w:tcPr>
            <w:tcW w:w="2254" w:type="dxa"/>
          </w:tcPr>
          <w:p w14:paraId="1ACB3B3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 пустого самолета</w:t>
            </w:r>
          </w:p>
        </w:tc>
        <w:tc>
          <w:tcPr>
            <w:tcW w:w="2254" w:type="dxa"/>
          </w:tcPr>
          <w:p w14:paraId="01AAF03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15CE3BE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23DD098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9321F06" w14:textId="77777777">
        <w:tc>
          <w:tcPr>
            <w:tcW w:w="2254" w:type="dxa"/>
          </w:tcPr>
          <w:p w14:paraId="6C735AC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пассажир.</w:t>
            </w:r>
          </w:p>
        </w:tc>
        <w:tc>
          <w:tcPr>
            <w:tcW w:w="2254" w:type="dxa"/>
          </w:tcPr>
          <w:p w14:paraId="206DA7E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11550</w:t>
            </w:r>
          </w:p>
        </w:tc>
        <w:tc>
          <w:tcPr>
            <w:tcW w:w="2254" w:type="dxa"/>
          </w:tcPr>
          <w:p w14:paraId="29CF4A9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8000</w:t>
            </w:r>
          </w:p>
        </w:tc>
        <w:tc>
          <w:tcPr>
            <w:tcW w:w="2254" w:type="dxa"/>
          </w:tcPr>
          <w:p w14:paraId="106E795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233B406A" w14:textId="77777777">
        <w:tc>
          <w:tcPr>
            <w:tcW w:w="2254" w:type="dxa"/>
          </w:tcPr>
          <w:p w14:paraId="12DD254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транспорт.10930</w:t>
            </w:r>
          </w:p>
        </w:tc>
        <w:tc>
          <w:tcPr>
            <w:tcW w:w="2254" w:type="dxa"/>
          </w:tcPr>
          <w:p w14:paraId="48EB4D6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7400</w:t>
            </w:r>
          </w:p>
        </w:tc>
        <w:tc>
          <w:tcPr>
            <w:tcW w:w="2254" w:type="dxa"/>
          </w:tcPr>
          <w:p w14:paraId="0604A4D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16715</w:t>
            </w:r>
          </w:p>
        </w:tc>
        <w:tc>
          <w:tcPr>
            <w:tcW w:w="2254" w:type="dxa"/>
          </w:tcPr>
          <w:p w14:paraId="7B345F5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32ACB62" w14:textId="77777777">
        <w:tc>
          <w:tcPr>
            <w:tcW w:w="2254" w:type="dxa"/>
          </w:tcPr>
          <w:p w14:paraId="3322DCE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 топлива</w:t>
            </w:r>
          </w:p>
        </w:tc>
        <w:tc>
          <w:tcPr>
            <w:tcW w:w="2254" w:type="dxa"/>
          </w:tcPr>
          <w:p w14:paraId="5B806A5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1500</w:t>
            </w:r>
          </w:p>
        </w:tc>
        <w:tc>
          <w:tcPr>
            <w:tcW w:w="2254" w:type="dxa"/>
          </w:tcPr>
          <w:p w14:paraId="687BA9A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1330</w:t>
            </w:r>
          </w:p>
        </w:tc>
        <w:tc>
          <w:tcPr>
            <w:tcW w:w="2254" w:type="dxa"/>
          </w:tcPr>
          <w:p w14:paraId="6B291C2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09A0C3D5" w14:textId="77777777">
        <w:tc>
          <w:tcPr>
            <w:tcW w:w="2254" w:type="dxa"/>
          </w:tcPr>
          <w:p w14:paraId="3BC92AC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Коммерческая нагрузка</w:t>
            </w:r>
          </w:p>
        </w:tc>
        <w:tc>
          <w:tcPr>
            <w:tcW w:w="2254" w:type="dxa"/>
          </w:tcPr>
          <w:p w14:paraId="2F7A9BF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3500</w:t>
            </w:r>
          </w:p>
        </w:tc>
        <w:tc>
          <w:tcPr>
            <w:tcW w:w="2254" w:type="dxa"/>
          </w:tcPr>
          <w:p w14:paraId="0DBD0DE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2000</w:t>
            </w:r>
          </w:p>
        </w:tc>
        <w:tc>
          <w:tcPr>
            <w:tcW w:w="2254" w:type="dxa"/>
          </w:tcPr>
          <w:p w14:paraId="28CADD8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4000</w:t>
            </w:r>
          </w:p>
        </w:tc>
      </w:tr>
      <w:tr w:rsidR="005106D0" w:rsidRPr="007224C3" w14:paraId="734AE97A" w14:textId="77777777">
        <w:tc>
          <w:tcPr>
            <w:tcW w:w="2254" w:type="dxa"/>
          </w:tcPr>
          <w:p w14:paraId="778582A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или</w:t>
            </w:r>
          </w:p>
        </w:tc>
        <w:tc>
          <w:tcPr>
            <w:tcW w:w="2254" w:type="dxa"/>
          </w:tcPr>
          <w:p w14:paraId="57F2AE1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140E803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0B59136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565CB3C" w14:textId="77777777">
        <w:tc>
          <w:tcPr>
            <w:tcW w:w="2254" w:type="dxa"/>
          </w:tcPr>
          <w:p w14:paraId="1BEBE5F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Число пассажиров</w:t>
            </w:r>
          </w:p>
        </w:tc>
        <w:tc>
          <w:tcPr>
            <w:tcW w:w="2254" w:type="dxa"/>
          </w:tcPr>
          <w:p w14:paraId="43E1AC9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w:t>
            </w:r>
          </w:p>
        </w:tc>
        <w:tc>
          <w:tcPr>
            <w:tcW w:w="2254" w:type="dxa"/>
          </w:tcPr>
          <w:p w14:paraId="43A5F1D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w:t>
            </w:r>
          </w:p>
        </w:tc>
        <w:tc>
          <w:tcPr>
            <w:tcW w:w="2254" w:type="dxa"/>
          </w:tcPr>
          <w:p w14:paraId="503CBE8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7C29D276" w14:textId="77777777">
        <w:tc>
          <w:tcPr>
            <w:tcW w:w="2254" w:type="dxa"/>
          </w:tcPr>
          <w:p w14:paraId="6D328B3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 скорость</w:t>
            </w:r>
          </w:p>
        </w:tc>
        <w:tc>
          <w:tcPr>
            <w:tcW w:w="2254" w:type="dxa"/>
          </w:tcPr>
          <w:p w14:paraId="4714D08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04914AA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54E8A5B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16805BF" w14:textId="77777777">
        <w:tc>
          <w:tcPr>
            <w:tcW w:w="2254" w:type="dxa"/>
          </w:tcPr>
          <w:p w14:paraId="6B7C048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 земли</w:t>
            </w:r>
          </w:p>
        </w:tc>
        <w:tc>
          <w:tcPr>
            <w:tcW w:w="2254" w:type="dxa"/>
          </w:tcPr>
          <w:p w14:paraId="0FC6C56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390</w:t>
            </w:r>
          </w:p>
        </w:tc>
        <w:tc>
          <w:tcPr>
            <w:tcW w:w="2254" w:type="dxa"/>
          </w:tcPr>
          <w:p w14:paraId="5790AF5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309</w:t>
            </w:r>
          </w:p>
        </w:tc>
        <w:tc>
          <w:tcPr>
            <w:tcW w:w="2254" w:type="dxa"/>
          </w:tcPr>
          <w:p w14:paraId="64A3F7D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414</w:t>
            </w:r>
          </w:p>
        </w:tc>
      </w:tr>
      <w:tr w:rsidR="005106D0" w:rsidRPr="007224C3" w14:paraId="21739269" w14:textId="77777777">
        <w:tc>
          <w:tcPr>
            <w:tcW w:w="2254" w:type="dxa"/>
          </w:tcPr>
          <w:p w14:paraId="0EB10F8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высоте</w:t>
            </w:r>
          </w:p>
        </w:tc>
        <w:tc>
          <w:tcPr>
            <w:tcW w:w="2254" w:type="dxa"/>
          </w:tcPr>
          <w:p w14:paraId="39AEAA0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470/6000</w:t>
            </w:r>
          </w:p>
        </w:tc>
        <w:tc>
          <w:tcPr>
            <w:tcW w:w="2254" w:type="dxa"/>
          </w:tcPr>
          <w:p w14:paraId="7CBCD18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2254" w:type="dxa"/>
          </w:tcPr>
          <w:p w14:paraId="72BEEC1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421/4690</w:t>
            </w:r>
          </w:p>
        </w:tc>
      </w:tr>
      <w:tr w:rsidR="005106D0" w:rsidRPr="007224C3" w14:paraId="427641BD" w14:textId="77777777">
        <w:tc>
          <w:tcPr>
            <w:tcW w:w="2254" w:type="dxa"/>
          </w:tcPr>
          <w:p w14:paraId="69C4833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Путевая скорость</w:t>
            </w:r>
          </w:p>
        </w:tc>
        <w:tc>
          <w:tcPr>
            <w:tcW w:w="2254" w:type="dxa"/>
          </w:tcPr>
          <w:p w14:paraId="32EA89E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6AB85FB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3E3CEDA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13F5C3E" w14:textId="77777777">
        <w:tc>
          <w:tcPr>
            <w:tcW w:w="2254" w:type="dxa"/>
          </w:tcPr>
          <w:p w14:paraId="4DC4C53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 земли</w:t>
            </w:r>
          </w:p>
        </w:tc>
        <w:tc>
          <w:tcPr>
            <w:tcW w:w="2254" w:type="dxa"/>
          </w:tcPr>
          <w:p w14:paraId="10CF2C8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325</w:t>
            </w:r>
          </w:p>
        </w:tc>
        <w:tc>
          <w:tcPr>
            <w:tcW w:w="2254" w:type="dxa"/>
          </w:tcPr>
          <w:p w14:paraId="76ECAE9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2254" w:type="dxa"/>
          </w:tcPr>
          <w:p w14:paraId="70F34F8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1A6F4B5B" w14:textId="77777777">
        <w:tc>
          <w:tcPr>
            <w:tcW w:w="2254" w:type="dxa"/>
          </w:tcPr>
          <w:p w14:paraId="36C27AC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высоте</w:t>
            </w:r>
          </w:p>
        </w:tc>
        <w:tc>
          <w:tcPr>
            <w:tcW w:w="2254" w:type="dxa"/>
          </w:tcPr>
          <w:p w14:paraId="5DED36B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400/6000</w:t>
            </w:r>
          </w:p>
        </w:tc>
        <w:tc>
          <w:tcPr>
            <w:tcW w:w="2254" w:type="dxa"/>
          </w:tcPr>
          <w:p w14:paraId="70586E6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2254" w:type="dxa"/>
          </w:tcPr>
          <w:p w14:paraId="0B8F7B0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357/3050</w:t>
            </w:r>
          </w:p>
        </w:tc>
      </w:tr>
      <w:tr w:rsidR="005106D0" w:rsidRPr="007224C3" w14:paraId="484F012B" w14:textId="77777777">
        <w:tc>
          <w:tcPr>
            <w:tcW w:w="2254" w:type="dxa"/>
          </w:tcPr>
          <w:p w14:paraId="3AAAA20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Дальность самолета</w:t>
            </w:r>
          </w:p>
        </w:tc>
        <w:tc>
          <w:tcPr>
            <w:tcW w:w="2254" w:type="dxa"/>
          </w:tcPr>
          <w:p w14:paraId="3F1784D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04502E2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1308812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538141E" w14:textId="77777777">
        <w:tc>
          <w:tcPr>
            <w:tcW w:w="2254" w:type="dxa"/>
          </w:tcPr>
          <w:p w14:paraId="19ECA63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 земли</w:t>
            </w:r>
          </w:p>
        </w:tc>
        <w:tc>
          <w:tcPr>
            <w:tcW w:w="2254" w:type="dxa"/>
          </w:tcPr>
          <w:p w14:paraId="26B14C6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1250</w:t>
            </w:r>
          </w:p>
        </w:tc>
        <w:tc>
          <w:tcPr>
            <w:tcW w:w="2254" w:type="dxa"/>
          </w:tcPr>
          <w:p w14:paraId="7ACD86C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1250</w:t>
            </w:r>
          </w:p>
        </w:tc>
        <w:tc>
          <w:tcPr>
            <w:tcW w:w="2254" w:type="dxa"/>
          </w:tcPr>
          <w:p w14:paraId="39B94FD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134F35D9" w14:textId="77777777">
        <w:tc>
          <w:tcPr>
            <w:tcW w:w="2254" w:type="dxa"/>
          </w:tcPr>
          <w:p w14:paraId="23687AC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высоте</w:t>
            </w:r>
          </w:p>
        </w:tc>
        <w:tc>
          <w:tcPr>
            <w:tcW w:w="2254" w:type="dxa"/>
          </w:tcPr>
          <w:p w14:paraId="7A3BAAE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1400/6000</w:t>
            </w:r>
          </w:p>
        </w:tc>
        <w:tc>
          <w:tcPr>
            <w:tcW w:w="2254" w:type="dxa"/>
          </w:tcPr>
          <w:p w14:paraId="5E18C5C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1400/3000</w:t>
            </w:r>
          </w:p>
        </w:tc>
        <w:tc>
          <w:tcPr>
            <w:tcW w:w="2254" w:type="dxa"/>
          </w:tcPr>
          <w:p w14:paraId="7769076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0D72F057" w14:textId="77777777">
        <w:tc>
          <w:tcPr>
            <w:tcW w:w="2254" w:type="dxa"/>
          </w:tcPr>
          <w:p w14:paraId="60D1778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Скороподъемность Н=0</w:t>
            </w:r>
          </w:p>
        </w:tc>
        <w:tc>
          <w:tcPr>
            <w:tcW w:w="2254" w:type="dxa"/>
          </w:tcPr>
          <w:p w14:paraId="5EE2A07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8,0</w:t>
            </w:r>
          </w:p>
        </w:tc>
        <w:tc>
          <w:tcPr>
            <w:tcW w:w="2254" w:type="dxa"/>
          </w:tcPr>
          <w:p w14:paraId="3733318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3,4</w:t>
            </w:r>
          </w:p>
        </w:tc>
        <w:tc>
          <w:tcPr>
            <w:tcW w:w="2254" w:type="dxa"/>
          </w:tcPr>
          <w:p w14:paraId="41FFCD4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40774CD7" w14:textId="77777777">
        <w:tc>
          <w:tcPr>
            <w:tcW w:w="2254" w:type="dxa"/>
          </w:tcPr>
          <w:p w14:paraId="0D7B016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Потолок</w:t>
            </w:r>
          </w:p>
        </w:tc>
        <w:tc>
          <w:tcPr>
            <w:tcW w:w="2254" w:type="dxa"/>
          </w:tcPr>
          <w:p w14:paraId="42F10D4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9000</w:t>
            </w:r>
          </w:p>
        </w:tc>
        <w:tc>
          <w:tcPr>
            <w:tcW w:w="2254" w:type="dxa"/>
          </w:tcPr>
          <w:p w14:paraId="34964BB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5720</w:t>
            </w:r>
          </w:p>
        </w:tc>
        <w:tc>
          <w:tcPr>
            <w:tcW w:w="2254" w:type="dxa"/>
          </w:tcPr>
          <w:p w14:paraId="04E42BF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7720</w:t>
            </w:r>
          </w:p>
        </w:tc>
      </w:tr>
    </w:tbl>
    <w:p w14:paraId="3BCBB11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нижеприведенной таблице даны сравнительные показатели транспортных самолетов.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43"/>
        <w:gridCol w:w="1523"/>
        <w:gridCol w:w="1523"/>
        <w:gridCol w:w="1523"/>
      </w:tblGrid>
      <w:tr w:rsidR="005106D0" w:rsidRPr="007224C3" w14:paraId="59ECB01D" w14:textId="77777777">
        <w:tc>
          <w:tcPr>
            <w:tcW w:w="2943" w:type="dxa"/>
          </w:tcPr>
          <w:p w14:paraId="1055A92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3" w:type="dxa"/>
          </w:tcPr>
          <w:p w14:paraId="4147294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Транспорт.</w:t>
            </w:r>
          </w:p>
        </w:tc>
        <w:tc>
          <w:tcPr>
            <w:tcW w:w="1523" w:type="dxa"/>
          </w:tcPr>
          <w:p w14:paraId="6207D9D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3" w:type="dxa"/>
          </w:tcPr>
          <w:p w14:paraId="623D04C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D66F35A" w14:textId="77777777">
        <w:tc>
          <w:tcPr>
            <w:tcW w:w="2943" w:type="dxa"/>
          </w:tcPr>
          <w:p w14:paraId="682D2B5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3" w:type="dxa"/>
          </w:tcPr>
          <w:p w14:paraId="27E57F0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Ил- АЧ-31</w:t>
            </w:r>
          </w:p>
        </w:tc>
        <w:tc>
          <w:tcPr>
            <w:tcW w:w="1523" w:type="dxa"/>
          </w:tcPr>
          <w:p w14:paraId="2A470D2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ДС-3</w:t>
            </w:r>
          </w:p>
        </w:tc>
        <w:tc>
          <w:tcPr>
            <w:tcW w:w="1523" w:type="dxa"/>
          </w:tcPr>
          <w:p w14:paraId="02CF7FD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ДС-54</w:t>
            </w:r>
          </w:p>
        </w:tc>
      </w:tr>
      <w:tr w:rsidR="005106D0" w:rsidRPr="007224C3" w14:paraId="4189750D" w14:textId="77777777">
        <w:tc>
          <w:tcPr>
            <w:tcW w:w="2943" w:type="dxa"/>
          </w:tcPr>
          <w:p w14:paraId="2192A4A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 пустого самолета</w:t>
            </w:r>
          </w:p>
        </w:tc>
        <w:tc>
          <w:tcPr>
            <w:tcW w:w="1523" w:type="dxa"/>
          </w:tcPr>
          <w:p w14:paraId="11C38D3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3" w:type="dxa"/>
          </w:tcPr>
          <w:p w14:paraId="160E063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3" w:type="dxa"/>
          </w:tcPr>
          <w:p w14:paraId="331180D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B36F39E" w14:textId="77777777">
        <w:tc>
          <w:tcPr>
            <w:tcW w:w="2943" w:type="dxa"/>
          </w:tcPr>
          <w:p w14:paraId="515C5A9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отнесенный</w:t>
            </w:r>
          </w:p>
        </w:tc>
        <w:tc>
          <w:tcPr>
            <w:tcW w:w="1523" w:type="dxa"/>
          </w:tcPr>
          <w:p w14:paraId="5F0C887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3" w:type="dxa"/>
          </w:tcPr>
          <w:p w14:paraId="7EDCBBE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3" w:type="dxa"/>
          </w:tcPr>
          <w:p w14:paraId="7521C2B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ACCDFAD" w14:textId="77777777">
        <w:tc>
          <w:tcPr>
            <w:tcW w:w="2943" w:type="dxa"/>
          </w:tcPr>
          <w:p w14:paraId="762CBCD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одному пассажиру</w:t>
            </w:r>
          </w:p>
        </w:tc>
        <w:tc>
          <w:tcPr>
            <w:tcW w:w="1523" w:type="dxa"/>
          </w:tcPr>
          <w:p w14:paraId="2D55E9D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422 кг</w:t>
            </w:r>
          </w:p>
        </w:tc>
        <w:tc>
          <w:tcPr>
            <w:tcW w:w="1523" w:type="dxa"/>
          </w:tcPr>
          <w:p w14:paraId="53F88D4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380 кг</w:t>
            </w:r>
          </w:p>
        </w:tc>
        <w:tc>
          <w:tcPr>
            <w:tcW w:w="1523" w:type="dxa"/>
          </w:tcPr>
          <w:p w14:paraId="0150FB7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4259815" w14:textId="77777777">
        <w:tc>
          <w:tcPr>
            <w:tcW w:w="2943" w:type="dxa"/>
          </w:tcPr>
          <w:p w14:paraId="40ADAD9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одному кг коммерч.</w:t>
            </w:r>
          </w:p>
        </w:tc>
        <w:tc>
          <w:tcPr>
            <w:tcW w:w="1523" w:type="dxa"/>
          </w:tcPr>
          <w:p w14:paraId="61E9529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3" w:type="dxa"/>
          </w:tcPr>
          <w:p w14:paraId="4F12F73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3" w:type="dxa"/>
          </w:tcPr>
          <w:p w14:paraId="25A41E2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B8D69C4" w14:textId="77777777">
        <w:tc>
          <w:tcPr>
            <w:tcW w:w="2943" w:type="dxa"/>
          </w:tcPr>
          <w:p w14:paraId="5148364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груза</w:t>
            </w:r>
          </w:p>
        </w:tc>
        <w:tc>
          <w:tcPr>
            <w:tcW w:w="1523" w:type="dxa"/>
          </w:tcPr>
          <w:p w14:paraId="5A56CA5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2,86</w:t>
            </w:r>
          </w:p>
        </w:tc>
        <w:tc>
          <w:tcPr>
            <w:tcW w:w="1523" w:type="dxa"/>
          </w:tcPr>
          <w:p w14:paraId="4E9D13D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w:t>
            </w:r>
          </w:p>
        </w:tc>
        <w:tc>
          <w:tcPr>
            <w:tcW w:w="1523" w:type="dxa"/>
          </w:tcPr>
          <w:p w14:paraId="7B0F0DB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4,32</w:t>
            </w:r>
          </w:p>
        </w:tc>
      </w:tr>
      <w:tr w:rsidR="005106D0" w:rsidRPr="007224C3" w14:paraId="3C5CBA08" w14:textId="77777777">
        <w:tc>
          <w:tcPr>
            <w:tcW w:w="2943" w:type="dxa"/>
          </w:tcPr>
          <w:p w14:paraId="4B1F40A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Расход топлива с-том на</w:t>
            </w:r>
          </w:p>
        </w:tc>
        <w:tc>
          <w:tcPr>
            <w:tcW w:w="1523" w:type="dxa"/>
          </w:tcPr>
          <w:p w14:paraId="0900D05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3" w:type="dxa"/>
          </w:tcPr>
          <w:p w14:paraId="7F465D5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3" w:type="dxa"/>
          </w:tcPr>
          <w:p w14:paraId="4978DA5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96DADB0" w14:textId="77777777">
        <w:tc>
          <w:tcPr>
            <w:tcW w:w="2943" w:type="dxa"/>
          </w:tcPr>
          <w:p w14:paraId="4C59A5D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 км пути при</w:t>
            </w:r>
          </w:p>
        </w:tc>
        <w:tc>
          <w:tcPr>
            <w:tcW w:w="1523" w:type="dxa"/>
          </w:tcPr>
          <w:p w14:paraId="263CEAC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3" w:type="dxa"/>
          </w:tcPr>
          <w:p w14:paraId="0A077F7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3" w:type="dxa"/>
          </w:tcPr>
          <w:p w14:paraId="5CB1509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328211A" w14:textId="77777777">
        <w:tc>
          <w:tcPr>
            <w:tcW w:w="2943" w:type="dxa"/>
          </w:tcPr>
          <w:p w14:paraId="1FAD03F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эксплуатацион. скорости</w:t>
            </w:r>
          </w:p>
        </w:tc>
        <w:tc>
          <w:tcPr>
            <w:tcW w:w="1523" w:type="dxa"/>
          </w:tcPr>
          <w:p w14:paraId="4B7D079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3" w:type="dxa"/>
          </w:tcPr>
          <w:p w14:paraId="16984FC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3" w:type="dxa"/>
          </w:tcPr>
          <w:p w14:paraId="6C39095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634593B" w14:textId="77777777">
        <w:tc>
          <w:tcPr>
            <w:tcW w:w="2943" w:type="dxa"/>
          </w:tcPr>
          <w:p w14:paraId="158ABBD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 земли</w:t>
            </w:r>
          </w:p>
        </w:tc>
        <w:tc>
          <w:tcPr>
            <w:tcW w:w="1523" w:type="dxa"/>
          </w:tcPr>
          <w:p w14:paraId="0654CEF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109</w:t>
            </w:r>
          </w:p>
        </w:tc>
        <w:tc>
          <w:tcPr>
            <w:tcW w:w="1523" w:type="dxa"/>
          </w:tcPr>
          <w:p w14:paraId="7E94CBD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103</w:t>
            </w:r>
          </w:p>
        </w:tc>
        <w:tc>
          <w:tcPr>
            <w:tcW w:w="1523" w:type="dxa"/>
          </w:tcPr>
          <w:p w14:paraId="2D5D0FD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222</w:t>
            </w:r>
          </w:p>
        </w:tc>
      </w:tr>
      <w:tr w:rsidR="005106D0" w:rsidRPr="007224C3" w14:paraId="5CEB035D" w14:textId="77777777">
        <w:tc>
          <w:tcPr>
            <w:tcW w:w="2943" w:type="dxa"/>
          </w:tcPr>
          <w:p w14:paraId="01500EE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высоте</w:t>
            </w:r>
          </w:p>
        </w:tc>
        <w:tc>
          <w:tcPr>
            <w:tcW w:w="1523" w:type="dxa"/>
          </w:tcPr>
          <w:p w14:paraId="77580E3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98</w:t>
            </w:r>
          </w:p>
        </w:tc>
        <w:tc>
          <w:tcPr>
            <w:tcW w:w="1523" w:type="dxa"/>
          </w:tcPr>
          <w:p w14:paraId="0826B94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523" w:type="dxa"/>
          </w:tcPr>
          <w:p w14:paraId="509E1DD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0BA56751" w14:textId="77777777">
        <w:tc>
          <w:tcPr>
            <w:tcW w:w="2943" w:type="dxa"/>
          </w:tcPr>
          <w:p w14:paraId="3EECED3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Расход топлива на одного</w:t>
            </w:r>
          </w:p>
        </w:tc>
        <w:tc>
          <w:tcPr>
            <w:tcW w:w="1523" w:type="dxa"/>
          </w:tcPr>
          <w:p w14:paraId="2255161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3" w:type="dxa"/>
          </w:tcPr>
          <w:p w14:paraId="353C882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3" w:type="dxa"/>
          </w:tcPr>
          <w:p w14:paraId="6E3F40C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AE60A0A" w14:textId="77777777">
        <w:tc>
          <w:tcPr>
            <w:tcW w:w="2943" w:type="dxa"/>
          </w:tcPr>
          <w:p w14:paraId="6379517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пассажира на 100 км пути</w:t>
            </w:r>
          </w:p>
        </w:tc>
        <w:tc>
          <w:tcPr>
            <w:tcW w:w="1523" w:type="dxa"/>
          </w:tcPr>
          <w:p w14:paraId="4037F1B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3" w:type="dxa"/>
          </w:tcPr>
          <w:p w14:paraId="3D3FDF8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3" w:type="dxa"/>
          </w:tcPr>
          <w:p w14:paraId="566E274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337CD5B" w14:textId="77777777">
        <w:tc>
          <w:tcPr>
            <w:tcW w:w="2943" w:type="dxa"/>
          </w:tcPr>
          <w:p w14:paraId="461BF86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 земли</w:t>
            </w:r>
          </w:p>
        </w:tc>
        <w:tc>
          <w:tcPr>
            <w:tcW w:w="1523" w:type="dxa"/>
          </w:tcPr>
          <w:p w14:paraId="3A1547E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4,06</w:t>
            </w:r>
          </w:p>
        </w:tc>
        <w:tc>
          <w:tcPr>
            <w:tcW w:w="1523" w:type="dxa"/>
          </w:tcPr>
          <w:p w14:paraId="5D755E5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4,82</w:t>
            </w:r>
          </w:p>
        </w:tc>
        <w:tc>
          <w:tcPr>
            <w:tcW w:w="1523" w:type="dxa"/>
          </w:tcPr>
          <w:p w14:paraId="7AB1D4A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3018E601" w14:textId="77777777">
        <w:tc>
          <w:tcPr>
            <w:tcW w:w="2943" w:type="dxa"/>
          </w:tcPr>
          <w:p w14:paraId="5ECDE90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высоте</w:t>
            </w:r>
          </w:p>
        </w:tc>
        <w:tc>
          <w:tcPr>
            <w:tcW w:w="1523" w:type="dxa"/>
          </w:tcPr>
          <w:p w14:paraId="1C70E07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3,63</w:t>
            </w:r>
          </w:p>
        </w:tc>
        <w:tc>
          <w:tcPr>
            <w:tcW w:w="1523" w:type="dxa"/>
          </w:tcPr>
          <w:p w14:paraId="3160474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523" w:type="dxa"/>
          </w:tcPr>
          <w:p w14:paraId="559AD63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5E649435" w14:textId="77777777">
        <w:tc>
          <w:tcPr>
            <w:tcW w:w="2943" w:type="dxa"/>
          </w:tcPr>
          <w:p w14:paraId="463C8F0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Расход топлива на один</w:t>
            </w:r>
          </w:p>
        </w:tc>
        <w:tc>
          <w:tcPr>
            <w:tcW w:w="1523" w:type="dxa"/>
          </w:tcPr>
          <w:p w14:paraId="1C47D12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3" w:type="dxa"/>
          </w:tcPr>
          <w:p w14:paraId="0A2F248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3" w:type="dxa"/>
          </w:tcPr>
          <w:p w14:paraId="4D9814D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FCC6D72" w14:textId="77777777">
        <w:tc>
          <w:tcPr>
            <w:tcW w:w="2943" w:type="dxa"/>
          </w:tcPr>
          <w:p w14:paraId="5396AB1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кг коммерческого груза</w:t>
            </w:r>
          </w:p>
        </w:tc>
        <w:tc>
          <w:tcPr>
            <w:tcW w:w="1523" w:type="dxa"/>
          </w:tcPr>
          <w:p w14:paraId="562F6D0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3" w:type="dxa"/>
          </w:tcPr>
          <w:p w14:paraId="747651D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3" w:type="dxa"/>
          </w:tcPr>
          <w:p w14:paraId="7A2DF2E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AB75E2A" w14:textId="77777777">
        <w:tc>
          <w:tcPr>
            <w:tcW w:w="2943" w:type="dxa"/>
          </w:tcPr>
          <w:p w14:paraId="708F8D0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100 км пути</w:t>
            </w:r>
          </w:p>
        </w:tc>
        <w:tc>
          <w:tcPr>
            <w:tcW w:w="1523" w:type="dxa"/>
          </w:tcPr>
          <w:p w14:paraId="4E22EF0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3" w:type="dxa"/>
          </w:tcPr>
          <w:p w14:paraId="2D37FE1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3" w:type="dxa"/>
          </w:tcPr>
          <w:p w14:paraId="581A799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EB7ECAF" w14:textId="77777777">
        <w:tc>
          <w:tcPr>
            <w:tcW w:w="2943" w:type="dxa"/>
          </w:tcPr>
          <w:p w14:paraId="37A42F9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у земли</w:t>
            </w:r>
          </w:p>
        </w:tc>
        <w:tc>
          <w:tcPr>
            <w:tcW w:w="1523" w:type="dxa"/>
          </w:tcPr>
          <w:p w14:paraId="30C2DF3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0,032</w:t>
            </w:r>
          </w:p>
        </w:tc>
        <w:tc>
          <w:tcPr>
            <w:tcW w:w="1523" w:type="dxa"/>
          </w:tcPr>
          <w:p w14:paraId="3EFA2AA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0,052</w:t>
            </w:r>
          </w:p>
        </w:tc>
        <w:tc>
          <w:tcPr>
            <w:tcW w:w="1523" w:type="dxa"/>
          </w:tcPr>
          <w:p w14:paraId="1E4240A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0,057</w:t>
            </w:r>
          </w:p>
        </w:tc>
      </w:tr>
      <w:tr w:rsidR="005106D0" w:rsidRPr="007224C3" w14:paraId="1EF3059D" w14:textId="77777777">
        <w:tc>
          <w:tcPr>
            <w:tcW w:w="2943" w:type="dxa"/>
          </w:tcPr>
          <w:p w14:paraId="20FFEC7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высоте</w:t>
            </w:r>
          </w:p>
        </w:tc>
        <w:tc>
          <w:tcPr>
            <w:tcW w:w="1523" w:type="dxa"/>
          </w:tcPr>
          <w:p w14:paraId="1520351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0,028</w:t>
            </w:r>
          </w:p>
        </w:tc>
        <w:tc>
          <w:tcPr>
            <w:tcW w:w="1523" w:type="dxa"/>
          </w:tcPr>
          <w:p w14:paraId="0FA1068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3" w:type="dxa"/>
          </w:tcPr>
          <w:p w14:paraId="2F85113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6C2B113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 этой таблицы видно, что для перевозки одного кг коммерческого груза требуется металла: для "ДС-3" - 4 кг для "ДС-54" - 4,32 кг и для Ил- АЧ-31 - 2,86 кг.</w:t>
      </w:r>
    </w:p>
    <w:p w14:paraId="4B3FE86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Соответственно расход топлива для перевозки одного кг коммерческого груза на 100 км для "ДС-3" - 52 кг для "ДС-54" - 57 кг и для транспортного Ил- АЧ-31 - 32 кг.</w:t>
      </w:r>
    </w:p>
    <w:p w14:paraId="6DC4BD9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Интересно привести в качестве сравнения с этими данными такие же данные по пассажирскому автомобильному транспорту, и пассажирскому железнодорожному транспорту.</w:t>
      </w:r>
    </w:p>
    <w:p w14:paraId="2FA95C5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Если взять для примера по автомобильному транспорту автомобиль ЗИС-101, и по железнодорожному транспорту пассажирский поезд с 400 чел. пассажирами в составе 10 классных вагонов, одного вагона ресторана и паровоза с тендером (такой состав весит 600 тонн, расход топлива паровозом, везущим такой состав составляет 3500 кг на 100 км пути в исчислении Донецкого угля).</w:t>
      </w:r>
    </w:p>
    <w:p w14:paraId="0F472DA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Сравнительные данные указанных видов транспорта даны в нижеследующей таблице.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68"/>
        <w:gridCol w:w="992"/>
        <w:gridCol w:w="1134"/>
        <w:gridCol w:w="1129"/>
        <w:gridCol w:w="812"/>
        <w:gridCol w:w="4722"/>
      </w:tblGrid>
      <w:tr w:rsidR="005106D0" w:rsidRPr="007224C3" w14:paraId="458A1D32" w14:textId="77777777">
        <w:tc>
          <w:tcPr>
            <w:tcW w:w="1668" w:type="dxa"/>
          </w:tcPr>
          <w:p w14:paraId="38AE0E5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Вид транспорта</w:t>
            </w:r>
          </w:p>
        </w:tc>
        <w:tc>
          <w:tcPr>
            <w:tcW w:w="992" w:type="dxa"/>
          </w:tcPr>
          <w:p w14:paraId="0868264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Число</w:t>
            </w:r>
          </w:p>
        </w:tc>
        <w:tc>
          <w:tcPr>
            <w:tcW w:w="1134" w:type="dxa"/>
          </w:tcPr>
          <w:p w14:paraId="1E92088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w:t>
            </w:r>
          </w:p>
        </w:tc>
        <w:tc>
          <w:tcPr>
            <w:tcW w:w="1129" w:type="dxa"/>
          </w:tcPr>
          <w:p w14:paraId="635DF17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w:t>
            </w:r>
          </w:p>
        </w:tc>
        <w:tc>
          <w:tcPr>
            <w:tcW w:w="812" w:type="dxa"/>
          </w:tcPr>
          <w:p w14:paraId="26064F6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Расход</w:t>
            </w:r>
          </w:p>
        </w:tc>
        <w:tc>
          <w:tcPr>
            <w:tcW w:w="4722" w:type="dxa"/>
          </w:tcPr>
          <w:p w14:paraId="5B2214F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Расход</w:t>
            </w:r>
          </w:p>
        </w:tc>
      </w:tr>
      <w:tr w:rsidR="005106D0" w:rsidRPr="007224C3" w14:paraId="42EDB099" w14:textId="77777777">
        <w:tc>
          <w:tcPr>
            <w:tcW w:w="1668" w:type="dxa"/>
          </w:tcPr>
          <w:p w14:paraId="5E8ED11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7F9507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пассажир.</w:t>
            </w:r>
          </w:p>
        </w:tc>
        <w:tc>
          <w:tcPr>
            <w:tcW w:w="1134" w:type="dxa"/>
          </w:tcPr>
          <w:p w14:paraId="229042D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пустого</w:t>
            </w:r>
          </w:p>
        </w:tc>
        <w:tc>
          <w:tcPr>
            <w:tcW w:w="1129" w:type="dxa"/>
          </w:tcPr>
          <w:p w14:paraId="1360FDA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отнесен.</w:t>
            </w:r>
          </w:p>
        </w:tc>
        <w:tc>
          <w:tcPr>
            <w:tcW w:w="812" w:type="dxa"/>
          </w:tcPr>
          <w:p w14:paraId="0AEF0D4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топлива</w:t>
            </w:r>
          </w:p>
        </w:tc>
        <w:tc>
          <w:tcPr>
            <w:tcW w:w="4722" w:type="dxa"/>
          </w:tcPr>
          <w:p w14:paraId="0FDD96C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топлива</w:t>
            </w:r>
          </w:p>
        </w:tc>
      </w:tr>
      <w:tr w:rsidR="005106D0" w:rsidRPr="007224C3" w14:paraId="44287EEC" w14:textId="77777777">
        <w:tc>
          <w:tcPr>
            <w:tcW w:w="1668" w:type="dxa"/>
          </w:tcPr>
          <w:p w14:paraId="339CBDC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1F29D0E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240756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9" w:type="dxa"/>
          </w:tcPr>
          <w:p w14:paraId="1DE3D1F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1</w:t>
            </w:r>
          </w:p>
        </w:tc>
        <w:tc>
          <w:tcPr>
            <w:tcW w:w="812" w:type="dxa"/>
          </w:tcPr>
          <w:p w14:paraId="47FA043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100</w:t>
            </w:r>
          </w:p>
        </w:tc>
        <w:tc>
          <w:tcPr>
            <w:tcW w:w="4722" w:type="dxa"/>
          </w:tcPr>
          <w:p w14:paraId="5D814B0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100 км</w:t>
            </w:r>
          </w:p>
        </w:tc>
      </w:tr>
      <w:tr w:rsidR="005106D0" w:rsidRPr="007224C3" w14:paraId="19F0AF8E" w14:textId="77777777">
        <w:tc>
          <w:tcPr>
            <w:tcW w:w="1668" w:type="dxa"/>
          </w:tcPr>
          <w:p w14:paraId="6099F7B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DC18C2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552AE8D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9" w:type="dxa"/>
          </w:tcPr>
          <w:p w14:paraId="6A3297A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пассажиру</w:t>
            </w:r>
          </w:p>
        </w:tc>
        <w:tc>
          <w:tcPr>
            <w:tcW w:w="812" w:type="dxa"/>
          </w:tcPr>
          <w:p w14:paraId="31F0D9E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км пути</w:t>
            </w:r>
          </w:p>
        </w:tc>
        <w:tc>
          <w:tcPr>
            <w:tcW w:w="4722" w:type="dxa"/>
          </w:tcPr>
          <w:p w14:paraId="7FE5476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пути на</w:t>
            </w:r>
          </w:p>
        </w:tc>
      </w:tr>
      <w:tr w:rsidR="005106D0" w:rsidRPr="007224C3" w14:paraId="7BC01C52" w14:textId="77777777">
        <w:tc>
          <w:tcPr>
            <w:tcW w:w="1668" w:type="dxa"/>
          </w:tcPr>
          <w:p w14:paraId="418BA78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5A7218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17BD8A4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9" w:type="dxa"/>
          </w:tcPr>
          <w:p w14:paraId="5D6E06D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2" w:type="dxa"/>
          </w:tcPr>
          <w:p w14:paraId="6109C33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722" w:type="dxa"/>
          </w:tcPr>
          <w:p w14:paraId="4E93160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пассажира</w:t>
            </w:r>
          </w:p>
        </w:tc>
      </w:tr>
      <w:tr w:rsidR="005106D0" w:rsidRPr="007224C3" w14:paraId="0CBF9EC3" w14:textId="77777777">
        <w:tc>
          <w:tcPr>
            <w:tcW w:w="1668" w:type="dxa"/>
          </w:tcPr>
          <w:p w14:paraId="140B6E9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 Ил- АЧ-31</w:t>
            </w:r>
          </w:p>
        </w:tc>
        <w:tc>
          <w:tcPr>
            <w:tcW w:w="992" w:type="dxa"/>
          </w:tcPr>
          <w:p w14:paraId="159DCFC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w:t>
            </w:r>
          </w:p>
        </w:tc>
        <w:tc>
          <w:tcPr>
            <w:tcW w:w="1134" w:type="dxa"/>
          </w:tcPr>
          <w:p w14:paraId="6237C42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11550 кг</w:t>
            </w:r>
          </w:p>
        </w:tc>
        <w:tc>
          <w:tcPr>
            <w:tcW w:w="1129" w:type="dxa"/>
          </w:tcPr>
          <w:p w14:paraId="106BF57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422 кг</w:t>
            </w:r>
          </w:p>
        </w:tc>
        <w:tc>
          <w:tcPr>
            <w:tcW w:w="812" w:type="dxa"/>
          </w:tcPr>
          <w:p w14:paraId="18B58B8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109 кг</w:t>
            </w:r>
          </w:p>
        </w:tc>
        <w:tc>
          <w:tcPr>
            <w:tcW w:w="4722" w:type="dxa"/>
          </w:tcPr>
          <w:p w14:paraId="07B6D96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4.06 кг/</w:t>
            </w:r>
          </w:p>
        </w:tc>
      </w:tr>
      <w:tr w:rsidR="005106D0" w:rsidRPr="007224C3" w14:paraId="6CFA59CF" w14:textId="77777777">
        <w:tc>
          <w:tcPr>
            <w:tcW w:w="1668" w:type="dxa"/>
          </w:tcPr>
          <w:p w14:paraId="2E3A5DD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102F6B2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62FAEA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9" w:type="dxa"/>
          </w:tcPr>
          <w:p w14:paraId="6E4B5E6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2" w:type="dxa"/>
          </w:tcPr>
          <w:p w14:paraId="5C71A8A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722" w:type="dxa"/>
          </w:tcPr>
          <w:p w14:paraId="0F5FE5A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40.000 калор</w:t>
            </w:r>
          </w:p>
        </w:tc>
      </w:tr>
      <w:tr w:rsidR="005106D0" w:rsidRPr="007224C3" w14:paraId="4357D4C5" w14:textId="77777777">
        <w:tc>
          <w:tcPr>
            <w:tcW w:w="1668" w:type="dxa"/>
          </w:tcPr>
          <w:p w14:paraId="5B545D1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ЗИС-101</w:t>
            </w:r>
          </w:p>
        </w:tc>
        <w:tc>
          <w:tcPr>
            <w:tcW w:w="992" w:type="dxa"/>
          </w:tcPr>
          <w:p w14:paraId="4E846E8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tc>
        <w:tc>
          <w:tcPr>
            <w:tcW w:w="1134" w:type="dxa"/>
          </w:tcPr>
          <w:p w14:paraId="499056A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2700 кг</w:t>
            </w:r>
          </w:p>
        </w:tc>
        <w:tc>
          <w:tcPr>
            <w:tcW w:w="1129" w:type="dxa"/>
          </w:tcPr>
          <w:p w14:paraId="415A28C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540 кг</w:t>
            </w:r>
          </w:p>
        </w:tc>
        <w:tc>
          <w:tcPr>
            <w:tcW w:w="812" w:type="dxa"/>
          </w:tcPr>
          <w:p w14:paraId="3ADC274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кг</w:t>
            </w:r>
          </w:p>
        </w:tc>
        <w:tc>
          <w:tcPr>
            <w:tcW w:w="4722" w:type="dxa"/>
          </w:tcPr>
          <w:p w14:paraId="2ADB8A5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 кг/</w:t>
            </w:r>
          </w:p>
        </w:tc>
      </w:tr>
      <w:tr w:rsidR="005106D0" w:rsidRPr="007224C3" w14:paraId="042FDBFD" w14:textId="77777777">
        <w:tc>
          <w:tcPr>
            <w:tcW w:w="1668" w:type="dxa"/>
          </w:tcPr>
          <w:p w14:paraId="1B8A723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94D84D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1DEE47E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9" w:type="dxa"/>
          </w:tcPr>
          <w:p w14:paraId="594874C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2" w:type="dxa"/>
          </w:tcPr>
          <w:p w14:paraId="4BB4E1A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722" w:type="dxa"/>
          </w:tcPr>
          <w:p w14:paraId="75421BC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40.000 кал.</w:t>
            </w:r>
          </w:p>
        </w:tc>
      </w:tr>
      <w:tr w:rsidR="005106D0" w:rsidRPr="007224C3" w14:paraId="0CA73302" w14:textId="77777777">
        <w:tc>
          <w:tcPr>
            <w:tcW w:w="1668" w:type="dxa"/>
          </w:tcPr>
          <w:p w14:paraId="3B172BC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Пассажирский</w:t>
            </w:r>
          </w:p>
        </w:tc>
        <w:tc>
          <w:tcPr>
            <w:tcW w:w="992" w:type="dxa"/>
          </w:tcPr>
          <w:p w14:paraId="02F7A4A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71752E7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9" w:type="dxa"/>
          </w:tcPr>
          <w:p w14:paraId="3784EFE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2" w:type="dxa"/>
          </w:tcPr>
          <w:p w14:paraId="01F4BCA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722" w:type="dxa"/>
          </w:tcPr>
          <w:p w14:paraId="24F6019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B908799" w14:textId="77777777">
        <w:tc>
          <w:tcPr>
            <w:tcW w:w="1668" w:type="dxa"/>
          </w:tcPr>
          <w:p w14:paraId="055C8C9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поезд</w:t>
            </w:r>
          </w:p>
        </w:tc>
        <w:tc>
          <w:tcPr>
            <w:tcW w:w="992" w:type="dxa"/>
          </w:tcPr>
          <w:p w14:paraId="4A8A9E4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400</w:t>
            </w:r>
          </w:p>
        </w:tc>
        <w:tc>
          <w:tcPr>
            <w:tcW w:w="1134" w:type="dxa"/>
          </w:tcPr>
          <w:p w14:paraId="42E5E0D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600000 кг</w:t>
            </w:r>
          </w:p>
        </w:tc>
        <w:tc>
          <w:tcPr>
            <w:tcW w:w="1129" w:type="dxa"/>
          </w:tcPr>
          <w:p w14:paraId="07EF0E3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1500 кг</w:t>
            </w:r>
          </w:p>
        </w:tc>
        <w:tc>
          <w:tcPr>
            <w:tcW w:w="812" w:type="dxa"/>
          </w:tcPr>
          <w:p w14:paraId="79012EB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3500 кг</w:t>
            </w:r>
          </w:p>
        </w:tc>
        <w:tc>
          <w:tcPr>
            <w:tcW w:w="4722" w:type="dxa"/>
          </w:tcPr>
          <w:p w14:paraId="3D6A216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8.75 кг/</w:t>
            </w:r>
          </w:p>
        </w:tc>
      </w:tr>
      <w:tr w:rsidR="005106D0" w:rsidRPr="007224C3" w14:paraId="52D953C4" w14:textId="77777777">
        <w:tc>
          <w:tcPr>
            <w:tcW w:w="1668" w:type="dxa"/>
          </w:tcPr>
          <w:p w14:paraId="62AEB2E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6311215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3395BB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9" w:type="dxa"/>
          </w:tcPr>
          <w:p w14:paraId="6A7FD25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2" w:type="dxa"/>
          </w:tcPr>
          <w:p w14:paraId="44B55E8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722" w:type="dxa"/>
          </w:tcPr>
          <w:p w14:paraId="7CF80B6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57.275 кал.</w:t>
            </w:r>
          </w:p>
        </w:tc>
      </w:tr>
    </w:tbl>
    <w:p w14:paraId="766F63A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 приведенной таблицы следует, что по двум из основных экономических показателей авиационный транспорт является наиболее дешевым видом транспорта, хотя распространенным является мнение, что авиационный пассажирский транспорт является одним из самых дорогих видов транспорта.</w:t>
      </w:r>
    </w:p>
    <w:p w14:paraId="2A4E517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сравнении экономичности авиационного пассажирского транспорта с пассажирским железнодорожным транспортом необходимо учесть еще одну очень важную данную.</w:t>
      </w:r>
    </w:p>
    <w:p w14:paraId="1997EF6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Предположим, что из Москвы в Иркутск отправляются одновременно пассажирский поезд (в составе указанном выше) с 400 пассажирами и 15 транспортных пассажирских самолетов с 400 пассажирами.</w:t>
      </w:r>
    </w:p>
    <w:p w14:paraId="74C87D4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Пассажирский поезд прибудет в Иркутск по истечении 6-ти суток, пассажирские транспортные самолеты прибудут в Иркутск по истечении одних суток.</w:t>
      </w:r>
    </w:p>
    <w:p w14:paraId="4A7B5A2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Таким образом 400 человек пассажиров пассажирского поезда потратят непроизводительно 12800 рабочих часов.</w:t>
      </w:r>
    </w:p>
    <w:p w14:paraId="793F1F2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перевезет 27 человек пассажиров сэкономит 864 часа, что составит 1/20 затраты рабочего времени на постройку самолета с моторами и со всем оборудованием. Десять таких рейсов Москва-Иркутск и обратно окупают полностью затрату рабочих часов на постройку самолета.</w:t>
      </w:r>
    </w:p>
    <w:p w14:paraId="059BEF5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Таблица</w:t>
      </w:r>
    </w:p>
    <w:p w14:paraId="4A39CF5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основных данных транспортного самолета Ил с дизель-мотором АЧ31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5106D0" w:rsidRPr="007224C3" w14:paraId="5EC4DF25" w14:textId="77777777">
        <w:tc>
          <w:tcPr>
            <w:tcW w:w="5636" w:type="dxa"/>
          </w:tcPr>
          <w:p w14:paraId="26D35A2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15364A1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Транспортный</w:t>
            </w:r>
          </w:p>
        </w:tc>
      </w:tr>
      <w:tr w:rsidR="005106D0" w:rsidRPr="007224C3" w14:paraId="0FD5ACA9" w14:textId="77777777">
        <w:tc>
          <w:tcPr>
            <w:tcW w:w="5636" w:type="dxa"/>
          </w:tcPr>
          <w:p w14:paraId="41B16E4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4EE0597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Ил- АЧ31</w:t>
            </w:r>
          </w:p>
        </w:tc>
      </w:tr>
      <w:tr w:rsidR="005106D0" w:rsidRPr="007224C3" w14:paraId="4013482D" w14:textId="77777777">
        <w:tc>
          <w:tcPr>
            <w:tcW w:w="5636" w:type="dxa"/>
          </w:tcPr>
          <w:p w14:paraId="134D953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Тип и количество</w:t>
            </w:r>
          </w:p>
        </w:tc>
        <w:tc>
          <w:tcPr>
            <w:tcW w:w="5636" w:type="dxa"/>
          </w:tcPr>
          <w:p w14:paraId="2262B70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4A9E989" w14:textId="77777777">
        <w:tc>
          <w:tcPr>
            <w:tcW w:w="5636" w:type="dxa"/>
          </w:tcPr>
          <w:p w14:paraId="3EC4C3A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моторов</w:t>
            </w:r>
          </w:p>
        </w:tc>
        <w:tc>
          <w:tcPr>
            <w:tcW w:w="5636" w:type="dxa"/>
          </w:tcPr>
          <w:p w14:paraId="1D91FD2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АЧ31 2 шт.</w:t>
            </w:r>
          </w:p>
        </w:tc>
      </w:tr>
      <w:tr w:rsidR="005106D0" w:rsidRPr="007224C3" w14:paraId="49A52723" w14:textId="77777777">
        <w:tc>
          <w:tcPr>
            <w:tcW w:w="5636" w:type="dxa"/>
          </w:tcPr>
          <w:p w14:paraId="0570E5D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Мощность моторов</w:t>
            </w:r>
          </w:p>
        </w:tc>
        <w:tc>
          <w:tcPr>
            <w:tcW w:w="5636" w:type="dxa"/>
          </w:tcPr>
          <w:p w14:paraId="572F38D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B516D4F" w14:textId="77777777">
        <w:tc>
          <w:tcPr>
            <w:tcW w:w="5636" w:type="dxa"/>
          </w:tcPr>
          <w:p w14:paraId="5FDB540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(номин.) на высоте</w:t>
            </w:r>
          </w:p>
        </w:tc>
        <w:tc>
          <w:tcPr>
            <w:tcW w:w="5636" w:type="dxa"/>
          </w:tcPr>
          <w:p w14:paraId="7C33D3C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3000/6000</w:t>
            </w:r>
          </w:p>
        </w:tc>
      </w:tr>
      <w:tr w:rsidR="005106D0" w:rsidRPr="007224C3" w14:paraId="3FA490A5" w14:textId="77777777">
        <w:tc>
          <w:tcPr>
            <w:tcW w:w="5636" w:type="dxa"/>
          </w:tcPr>
          <w:p w14:paraId="2DDB6A0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Полетный вес</w:t>
            </w:r>
          </w:p>
        </w:tc>
        <w:tc>
          <w:tcPr>
            <w:tcW w:w="5636" w:type="dxa"/>
          </w:tcPr>
          <w:p w14:paraId="55808CC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52AA687" w14:textId="77777777">
        <w:tc>
          <w:tcPr>
            <w:tcW w:w="5636" w:type="dxa"/>
          </w:tcPr>
          <w:p w14:paraId="274DDD3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пассажирский</w:t>
            </w:r>
          </w:p>
        </w:tc>
        <w:tc>
          <w:tcPr>
            <w:tcW w:w="5636" w:type="dxa"/>
          </w:tcPr>
          <w:p w14:paraId="712B4CB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16000</w:t>
            </w:r>
          </w:p>
        </w:tc>
      </w:tr>
      <w:tr w:rsidR="005106D0" w:rsidRPr="007224C3" w14:paraId="18CE1F4A" w14:textId="77777777">
        <w:tc>
          <w:tcPr>
            <w:tcW w:w="5636" w:type="dxa"/>
          </w:tcPr>
          <w:p w14:paraId="70435CB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транспортный</w:t>
            </w:r>
          </w:p>
        </w:tc>
        <w:tc>
          <w:tcPr>
            <w:tcW w:w="5636" w:type="dxa"/>
          </w:tcPr>
          <w:p w14:paraId="6349946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16500</w:t>
            </w:r>
          </w:p>
        </w:tc>
      </w:tr>
      <w:tr w:rsidR="005106D0" w:rsidRPr="007224C3" w14:paraId="2F3709E8" w14:textId="77777777">
        <w:tc>
          <w:tcPr>
            <w:tcW w:w="5636" w:type="dxa"/>
          </w:tcPr>
          <w:p w14:paraId="3693096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 пустого самолета</w:t>
            </w:r>
          </w:p>
        </w:tc>
        <w:tc>
          <w:tcPr>
            <w:tcW w:w="5636" w:type="dxa"/>
          </w:tcPr>
          <w:p w14:paraId="41DBFAF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4AB0949" w14:textId="77777777">
        <w:tc>
          <w:tcPr>
            <w:tcW w:w="5636" w:type="dxa"/>
          </w:tcPr>
          <w:p w14:paraId="6D83C3A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пассажирский</w:t>
            </w:r>
          </w:p>
        </w:tc>
        <w:tc>
          <w:tcPr>
            <w:tcW w:w="5636" w:type="dxa"/>
          </w:tcPr>
          <w:p w14:paraId="72F5A43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11550</w:t>
            </w:r>
          </w:p>
        </w:tc>
      </w:tr>
      <w:tr w:rsidR="005106D0" w:rsidRPr="007224C3" w14:paraId="066B424C" w14:textId="77777777">
        <w:tc>
          <w:tcPr>
            <w:tcW w:w="5636" w:type="dxa"/>
          </w:tcPr>
          <w:p w14:paraId="40900DD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транспортный</w:t>
            </w:r>
          </w:p>
        </w:tc>
        <w:tc>
          <w:tcPr>
            <w:tcW w:w="5636" w:type="dxa"/>
          </w:tcPr>
          <w:p w14:paraId="717090A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10930</w:t>
            </w:r>
          </w:p>
        </w:tc>
      </w:tr>
      <w:tr w:rsidR="005106D0" w:rsidRPr="007224C3" w14:paraId="00D2ECF1" w14:textId="77777777">
        <w:tc>
          <w:tcPr>
            <w:tcW w:w="5636" w:type="dxa"/>
          </w:tcPr>
          <w:p w14:paraId="5BDB246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 топлива</w:t>
            </w:r>
          </w:p>
        </w:tc>
        <w:tc>
          <w:tcPr>
            <w:tcW w:w="5636" w:type="dxa"/>
          </w:tcPr>
          <w:p w14:paraId="0110E94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1500</w:t>
            </w:r>
          </w:p>
        </w:tc>
      </w:tr>
      <w:tr w:rsidR="005106D0" w:rsidRPr="007224C3" w14:paraId="7373816A" w14:textId="77777777">
        <w:tc>
          <w:tcPr>
            <w:tcW w:w="5636" w:type="dxa"/>
          </w:tcPr>
          <w:p w14:paraId="36D8955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Коммерческая нагрузка</w:t>
            </w:r>
          </w:p>
        </w:tc>
        <w:tc>
          <w:tcPr>
            <w:tcW w:w="5636" w:type="dxa"/>
          </w:tcPr>
          <w:p w14:paraId="2DE6345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3500</w:t>
            </w:r>
          </w:p>
        </w:tc>
      </w:tr>
      <w:tr w:rsidR="005106D0" w:rsidRPr="007224C3" w14:paraId="7813C817" w14:textId="77777777">
        <w:tc>
          <w:tcPr>
            <w:tcW w:w="5636" w:type="dxa"/>
          </w:tcPr>
          <w:p w14:paraId="3138B11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или</w:t>
            </w:r>
          </w:p>
        </w:tc>
        <w:tc>
          <w:tcPr>
            <w:tcW w:w="5636" w:type="dxa"/>
          </w:tcPr>
          <w:p w14:paraId="66EEF40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981019C" w14:textId="77777777">
        <w:tc>
          <w:tcPr>
            <w:tcW w:w="5636" w:type="dxa"/>
          </w:tcPr>
          <w:p w14:paraId="29F0129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Число пассажиров</w:t>
            </w:r>
          </w:p>
        </w:tc>
        <w:tc>
          <w:tcPr>
            <w:tcW w:w="5636" w:type="dxa"/>
          </w:tcPr>
          <w:p w14:paraId="7A06FF6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w:t>
            </w:r>
          </w:p>
        </w:tc>
      </w:tr>
      <w:tr w:rsidR="005106D0" w:rsidRPr="007224C3" w14:paraId="6CA3928C" w14:textId="77777777">
        <w:tc>
          <w:tcPr>
            <w:tcW w:w="5636" w:type="dxa"/>
          </w:tcPr>
          <w:p w14:paraId="6527ACC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 скорость</w:t>
            </w:r>
          </w:p>
        </w:tc>
        <w:tc>
          <w:tcPr>
            <w:tcW w:w="5636" w:type="dxa"/>
          </w:tcPr>
          <w:p w14:paraId="3E1CA99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C675DF4" w14:textId="77777777">
        <w:tc>
          <w:tcPr>
            <w:tcW w:w="5636" w:type="dxa"/>
          </w:tcPr>
          <w:p w14:paraId="5A39ECA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 земли</w:t>
            </w:r>
          </w:p>
        </w:tc>
        <w:tc>
          <w:tcPr>
            <w:tcW w:w="5636" w:type="dxa"/>
          </w:tcPr>
          <w:p w14:paraId="7B37F2B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390</w:t>
            </w:r>
          </w:p>
        </w:tc>
      </w:tr>
      <w:tr w:rsidR="005106D0" w:rsidRPr="007224C3" w14:paraId="561208AF" w14:textId="77777777">
        <w:tc>
          <w:tcPr>
            <w:tcW w:w="5636" w:type="dxa"/>
          </w:tcPr>
          <w:p w14:paraId="148C1CB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высоте</w:t>
            </w:r>
          </w:p>
        </w:tc>
        <w:tc>
          <w:tcPr>
            <w:tcW w:w="5636" w:type="dxa"/>
          </w:tcPr>
          <w:p w14:paraId="5E35EEA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470/6000</w:t>
            </w:r>
          </w:p>
        </w:tc>
      </w:tr>
      <w:tr w:rsidR="005106D0" w:rsidRPr="007224C3" w14:paraId="18207E52" w14:textId="77777777">
        <w:tc>
          <w:tcPr>
            <w:tcW w:w="5636" w:type="dxa"/>
          </w:tcPr>
          <w:p w14:paraId="0CE4175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Путевая скорость</w:t>
            </w:r>
          </w:p>
        </w:tc>
        <w:tc>
          <w:tcPr>
            <w:tcW w:w="5636" w:type="dxa"/>
          </w:tcPr>
          <w:p w14:paraId="256112F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2190A3E" w14:textId="77777777">
        <w:tc>
          <w:tcPr>
            <w:tcW w:w="5636" w:type="dxa"/>
          </w:tcPr>
          <w:p w14:paraId="319AD04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 земли</w:t>
            </w:r>
          </w:p>
        </w:tc>
        <w:tc>
          <w:tcPr>
            <w:tcW w:w="5636" w:type="dxa"/>
          </w:tcPr>
          <w:p w14:paraId="1B3602E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325</w:t>
            </w:r>
          </w:p>
        </w:tc>
      </w:tr>
      <w:tr w:rsidR="005106D0" w:rsidRPr="007224C3" w14:paraId="22C23BAF" w14:textId="77777777">
        <w:tc>
          <w:tcPr>
            <w:tcW w:w="5636" w:type="dxa"/>
          </w:tcPr>
          <w:p w14:paraId="15AAAF3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высоте</w:t>
            </w:r>
          </w:p>
        </w:tc>
        <w:tc>
          <w:tcPr>
            <w:tcW w:w="5636" w:type="dxa"/>
          </w:tcPr>
          <w:p w14:paraId="5010776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400/6000</w:t>
            </w:r>
          </w:p>
        </w:tc>
      </w:tr>
      <w:tr w:rsidR="005106D0" w:rsidRPr="007224C3" w14:paraId="576D5143" w14:textId="77777777">
        <w:tc>
          <w:tcPr>
            <w:tcW w:w="5636" w:type="dxa"/>
          </w:tcPr>
          <w:p w14:paraId="10786D1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Дальность самолета</w:t>
            </w:r>
          </w:p>
        </w:tc>
        <w:tc>
          <w:tcPr>
            <w:tcW w:w="5636" w:type="dxa"/>
          </w:tcPr>
          <w:p w14:paraId="76FCB30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0E60CCE" w14:textId="77777777">
        <w:tc>
          <w:tcPr>
            <w:tcW w:w="5636" w:type="dxa"/>
          </w:tcPr>
          <w:p w14:paraId="17D34DE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 земли</w:t>
            </w:r>
          </w:p>
        </w:tc>
        <w:tc>
          <w:tcPr>
            <w:tcW w:w="5636" w:type="dxa"/>
          </w:tcPr>
          <w:p w14:paraId="205FA91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1250</w:t>
            </w:r>
          </w:p>
        </w:tc>
      </w:tr>
      <w:tr w:rsidR="005106D0" w:rsidRPr="007224C3" w14:paraId="054C64B6" w14:textId="77777777">
        <w:tc>
          <w:tcPr>
            <w:tcW w:w="5636" w:type="dxa"/>
          </w:tcPr>
          <w:p w14:paraId="6485F89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высоте</w:t>
            </w:r>
          </w:p>
        </w:tc>
        <w:tc>
          <w:tcPr>
            <w:tcW w:w="5636" w:type="dxa"/>
          </w:tcPr>
          <w:p w14:paraId="029E130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1400/6000</w:t>
            </w:r>
          </w:p>
        </w:tc>
      </w:tr>
      <w:tr w:rsidR="005106D0" w:rsidRPr="007224C3" w14:paraId="54E83F89" w14:textId="77777777">
        <w:tc>
          <w:tcPr>
            <w:tcW w:w="5636" w:type="dxa"/>
          </w:tcPr>
          <w:p w14:paraId="5EC04EF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Скороподъемность Н=0</w:t>
            </w:r>
          </w:p>
        </w:tc>
        <w:tc>
          <w:tcPr>
            <w:tcW w:w="5636" w:type="dxa"/>
          </w:tcPr>
          <w:p w14:paraId="12A1668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8,0</w:t>
            </w:r>
          </w:p>
        </w:tc>
      </w:tr>
      <w:tr w:rsidR="005106D0" w:rsidRPr="007224C3" w14:paraId="5BB1AC53" w14:textId="77777777">
        <w:tc>
          <w:tcPr>
            <w:tcW w:w="5636" w:type="dxa"/>
          </w:tcPr>
          <w:p w14:paraId="6CDA3E7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Потолок</w:t>
            </w:r>
          </w:p>
        </w:tc>
        <w:tc>
          <w:tcPr>
            <w:tcW w:w="5636" w:type="dxa"/>
          </w:tcPr>
          <w:p w14:paraId="0B9B30F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9000</w:t>
            </w:r>
          </w:p>
        </w:tc>
      </w:tr>
    </w:tbl>
    <w:p w14:paraId="4A2CC20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Рабочие чертежи первого опытного самолета без герметической кабины будут готовы к сдаче на производство 1-го июля 1944 года.</w:t>
      </w:r>
    </w:p>
    <w:p w14:paraId="321C19C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Рабочие чертежи с герметической кабиной будут готовы к сдаче на производство 1 августа 1944 г (2562,200).</w:t>
      </w:r>
    </w:p>
    <w:p w14:paraId="7B169B1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48EED1" w14:textId="77777777" w:rsidR="002F4B64" w:rsidRPr="007224C3" w:rsidRDefault="002F4B64" w:rsidP="007224C3">
      <w:pPr>
        <w:pStyle w:val="a3"/>
        <w:rPr>
          <w:color w:val="000000" w:themeColor="text1"/>
          <w:lang w:val="ru-RU"/>
        </w:rPr>
      </w:pPr>
      <w:r w:rsidRPr="007224C3">
        <w:rPr>
          <w:color w:val="000000" w:themeColor="text1"/>
          <w:lang w:val="ru-RU"/>
        </w:rPr>
        <w:t>12 апреля 1944 г., за год до оконча</w:t>
      </w:r>
      <w:r w:rsidRPr="007224C3">
        <w:rPr>
          <w:color w:val="000000" w:themeColor="text1"/>
          <w:lang w:val="ru-RU"/>
        </w:rPr>
        <w:softHyphen/>
        <w:t>ния</w:t>
      </w:r>
      <w:r w:rsidRPr="007224C3">
        <w:rPr>
          <w:rStyle w:val="251"/>
          <w:rFonts w:ascii="Times New Roman" w:hAnsi="Times New Roman" w:cs="Times New Roman"/>
          <w:b w:val="0"/>
          <w:color w:val="000000" w:themeColor="text1"/>
          <w:sz w:val="16"/>
          <w:szCs w:val="16"/>
          <w:lang w:val="ru-RU"/>
        </w:rPr>
        <w:t xml:space="preserve"> войны,</w:t>
      </w:r>
      <w:r w:rsidRPr="007224C3">
        <w:rPr>
          <w:color w:val="000000" w:themeColor="text1"/>
          <w:lang w:val="ru-RU"/>
        </w:rPr>
        <w:t xml:space="preserve"> С.В. Ильюшин направил в </w:t>
      </w:r>
      <w:r w:rsidRPr="007224C3">
        <w:rPr>
          <w:rStyle w:val="9100"/>
          <w:rFonts w:ascii="Times New Roman" w:hAnsi="Times New Roman" w:cs="Times New Roman"/>
          <w:b w:val="0"/>
          <w:color w:val="000000" w:themeColor="text1"/>
          <w:spacing w:val="0"/>
          <w:sz w:val="16"/>
          <w:szCs w:val="16"/>
          <w:lang w:val="ru-RU"/>
        </w:rPr>
        <w:t>НКАП,</w:t>
      </w:r>
      <w:r w:rsidRPr="007224C3">
        <w:rPr>
          <w:color w:val="000000" w:themeColor="text1"/>
          <w:lang w:val="ru-RU"/>
        </w:rPr>
        <w:t xml:space="preserve"> НИИ ВВС и ГУ ГВФ предложение </w:t>
      </w:r>
      <w:r w:rsidRPr="007224C3">
        <w:rPr>
          <w:rStyle w:val="9100"/>
          <w:rFonts w:ascii="Times New Roman" w:hAnsi="Times New Roman" w:cs="Times New Roman"/>
          <w:b w:val="0"/>
          <w:color w:val="000000" w:themeColor="text1"/>
          <w:spacing w:val="0"/>
          <w:sz w:val="16"/>
          <w:szCs w:val="16"/>
          <w:lang w:val="ru-RU"/>
        </w:rPr>
        <w:t>о</w:t>
      </w:r>
      <w:r w:rsidRPr="007224C3">
        <w:rPr>
          <w:rStyle w:val="251"/>
          <w:rFonts w:ascii="Times New Roman" w:hAnsi="Times New Roman" w:cs="Times New Roman"/>
          <w:b w:val="0"/>
          <w:color w:val="000000" w:themeColor="text1"/>
          <w:sz w:val="16"/>
          <w:szCs w:val="16"/>
          <w:lang w:val="ru-RU"/>
        </w:rPr>
        <w:t xml:space="preserve"> создании</w:t>
      </w:r>
      <w:r w:rsidRPr="007224C3">
        <w:rPr>
          <w:color w:val="000000" w:themeColor="text1"/>
          <w:lang w:val="ru-RU"/>
        </w:rPr>
        <w:t xml:space="preserve"> нового транспортного самолета,</w:t>
      </w:r>
      <w:r w:rsidRPr="007224C3">
        <w:rPr>
          <w:rStyle w:val="251"/>
          <w:rFonts w:ascii="Times New Roman" w:hAnsi="Times New Roman" w:cs="Times New Roman"/>
          <w:b w:val="0"/>
          <w:color w:val="000000" w:themeColor="text1"/>
          <w:sz w:val="16"/>
          <w:szCs w:val="16"/>
          <w:lang w:val="ru-RU"/>
        </w:rPr>
        <w:t xml:space="preserve"> пока</w:t>
      </w:r>
      <w:r w:rsidRPr="007224C3">
        <w:rPr>
          <w:color w:val="000000" w:themeColor="text1"/>
          <w:lang w:val="ru-RU"/>
        </w:rPr>
        <w:t xml:space="preserve"> еще имевшего обозначение </w:t>
      </w:r>
      <w:r w:rsidRPr="007224C3">
        <w:rPr>
          <w:rStyle w:val="9100"/>
          <w:rFonts w:ascii="Times New Roman" w:hAnsi="Times New Roman" w:cs="Times New Roman"/>
          <w:b w:val="0"/>
          <w:color w:val="000000" w:themeColor="text1"/>
          <w:spacing w:val="0"/>
          <w:sz w:val="16"/>
          <w:szCs w:val="16"/>
          <w:lang w:val="ru-RU"/>
        </w:rPr>
        <w:t>Ил-АЧ</w:t>
      </w:r>
      <w:r w:rsidRPr="007224C3">
        <w:rPr>
          <w:color w:val="000000" w:themeColor="text1"/>
          <w:lang w:val="ru-RU"/>
        </w:rPr>
        <w:t>-31. Предлагаемая машина имела герметичную кабину на 27 пассажирских мест</w:t>
      </w:r>
      <w:r w:rsidRPr="007224C3">
        <w:rPr>
          <w:rStyle w:val="9100"/>
          <w:rFonts w:ascii="Times New Roman" w:hAnsi="Times New Roman" w:cs="Times New Roman"/>
          <w:b w:val="0"/>
          <w:color w:val="000000" w:themeColor="text1"/>
          <w:spacing w:val="0"/>
          <w:sz w:val="16"/>
          <w:szCs w:val="16"/>
          <w:lang w:val="ru-RU"/>
        </w:rPr>
        <w:t>е.</w:t>
      </w:r>
      <w:r w:rsidRPr="007224C3">
        <w:rPr>
          <w:rStyle w:val="251"/>
          <w:rFonts w:ascii="Times New Roman" w:hAnsi="Times New Roman" w:cs="Times New Roman"/>
          <w:b w:val="0"/>
          <w:color w:val="000000" w:themeColor="text1"/>
          <w:sz w:val="16"/>
          <w:szCs w:val="16"/>
          <w:lang w:val="ru-RU"/>
        </w:rPr>
        <w:t xml:space="preserve"> На ней</w:t>
      </w:r>
      <w:r w:rsidRPr="007224C3">
        <w:rPr>
          <w:color w:val="000000" w:themeColor="text1"/>
          <w:lang w:val="ru-RU"/>
        </w:rPr>
        <w:t xml:space="preserve"> было установлено два дизельных двигателя с водяным охлаждением АМ-31 конструкции А. Д. Чаромского мощностью 1500 л.с. 6000 м. Масса пустого са- </w:t>
      </w:r>
      <w:r w:rsidRPr="007224C3">
        <w:rPr>
          <w:rStyle w:val="9100"/>
          <w:rFonts w:ascii="Times New Roman" w:hAnsi="Times New Roman" w:cs="Times New Roman"/>
          <w:b w:val="0"/>
          <w:color w:val="000000" w:themeColor="text1"/>
          <w:spacing w:val="0"/>
          <w:sz w:val="16"/>
          <w:szCs w:val="16"/>
          <w:lang w:val="ru-RU"/>
        </w:rPr>
        <w:t>в</w:t>
      </w:r>
      <w:r w:rsidRPr="007224C3">
        <w:rPr>
          <w:color w:val="000000" w:themeColor="text1"/>
          <w:lang w:val="ru-RU"/>
        </w:rPr>
        <w:t xml:space="preserve"> транспортном варианте была </w:t>
      </w:r>
      <w:r w:rsidRPr="007224C3">
        <w:rPr>
          <w:rStyle w:val="251"/>
          <w:rFonts w:ascii="Times New Roman" w:hAnsi="Times New Roman" w:cs="Times New Roman"/>
          <w:b w:val="0"/>
          <w:color w:val="000000" w:themeColor="text1"/>
          <w:sz w:val="16"/>
          <w:szCs w:val="16"/>
          <w:lang w:val="ru-RU"/>
        </w:rPr>
        <w:t>г, а в</w:t>
      </w:r>
      <w:r w:rsidRPr="007224C3">
        <w:rPr>
          <w:color w:val="000000" w:themeColor="text1"/>
          <w:lang w:val="ru-RU"/>
        </w:rPr>
        <w:t xml:space="preserve"> пассажирском - 11550 кг.</w:t>
      </w:r>
    </w:p>
    <w:p w14:paraId="61FE8E95" w14:textId="77777777" w:rsidR="002F4B64" w:rsidRPr="007224C3" w:rsidRDefault="002F4B64" w:rsidP="007224C3">
      <w:pPr>
        <w:pStyle w:val="a3"/>
        <w:rPr>
          <w:color w:val="000000" w:themeColor="text1"/>
          <w:lang w:val="ru-RU"/>
        </w:rPr>
      </w:pPr>
      <w:r w:rsidRPr="007224C3">
        <w:rPr>
          <w:color w:val="000000" w:themeColor="text1"/>
          <w:lang w:val="ru-RU"/>
        </w:rPr>
        <w:t>Полетная масса соответственно состав</w:t>
      </w:r>
      <w:r w:rsidRPr="007224C3">
        <w:rPr>
          <w:color w:val="000000" w:themeColor="text1"/>
          <w:lang w:val="ru-RU"/>
        </w:rPr>
        <w:softHyphen/>
        <w:t>ляла 16500 кг и 16000 кг. Перевозимая коммерческая нагрузка равнялась 3500 кг или в пассажирском варианте 27 че</w:t>
      </w:r>
      <w:r w:rsidRPr="007224C3">
        <w:rPr>
          <w:color w:val="000000" w:themeColor="text1"/>
          <w:lang w:val="ru-RU"/>
        </w:rPr>
        <w:softHyphen/>
        <w:t>ловек. Самолет мог у земли развивать максимальную скорость 390 км/ч а на высоте 6000 м - 470 км/ч. Его путевая скорость соответственно была 325 км/ч и 400 км/ч. При полете на высоте 6000 м самолет мог преодолеть 1400 км, а у земли - 1250 км. Его потолок равнялся 9000 м. Срок передачи на производство рабочих чертежей первого опытного самолета без герметической кабины гарантировался 1 июля 1944 г., а рабо</w:t>
      </w:r>
      <w:r w:rsidRPr="007224C3">
        <w:rPr>
          <w:color w:val="000000" w:themeColor="text1"/>
          <w:lang w:val="ru-RU"/>
        </w:rPr>
        <w:softHyphen/>
        <w:t>чих чертежей с герметичной кабиной - 1 августа того же года.</w:t>
      </w:r>
    </w:p>
    <w:p w14:paraId="7DB0CEFB" w14:textId="77777777" w:rsidR="002F4B64" w:rsidRPr="007224C3" w:rsidRDefault="002F4B64" w:rsidP="007224C3">
      <w:pPr>
        <w:pStyle w:val="a3"/>
        <w:rPr>
          <w:color w:val="000000" w:themeColor="text1"/>
          <w:lang w:val="ru-RU"/>
        </w:rPr>
      </w:pPr>
      <w:r w:rsidRPr="007224C3">
        <w:rPr>
          <w:color w:val="000000" w:themeColor="text1"/>
          <w:lang w:val="ru-RU"/>
        </w:rPr>
        <w:t>В пояснительной записке главный конструктор сообщал, что нет необходи</w:t>
      </w:r>
      <w:r w:rsidRPr="007224C3">
        <w:rPr>
          <w:color w:val="000000" w:themeColor="text1"/>
          <w:lang w:val="ru-RU"/>
        </w:rPr>
        <w:softHyphen/>
        <w:t>мости доказывать, что в послевоенный период транспортная авиация приобре</w:t>
      </w:r>
      <w:r w:rsidRPr="007224C3">
        <w:rPr>
          <w:color w:val="000000" w:themeColor="text1"/>
          <w:lang w:val="ru-RU"/>
        </w:rPr>
        <w:softHyphen/>
        <w:t>тет огромное народнохозяйственное значение. Совершенно очевидно, что наличие массовой транспортной ави</w:t>
      </w:r>
      <w:r w:rsidRPr="007224C3">
        <w:rPr>
          <w:color w:val="000000" w:themeColor="text1"/>
          <w:lang w:val="ru-RU"/>
        </w:rPr>
        <w:softHyphen/>
        <w:t>ации - это, с одной стороны, наличие массовой бомбардировочной авиации и, с другой, наличие производственной базы для всех остальных видов авиации.</w:t>
      </w:r>
    </w:p>
    <w:p w14:paraId="03015FC2" w14:textId="77777777" w:rsidR="002F4B64" w:rsidRPr="007224C3" w:rsidRDefault="002F4B64" w:rsidP="007224C3">
      <w:pPr>
        <w:pStyle w:val="1010"/>
        <w:shd w:val="clear" w:color="auto" w:fill="auto"/>
        <w:spacing w:line="240" w:lineRule="auto"/>
        <w:ind w:firstLine="0"/>
        <w:rPr>
          <w:rFonts w:ascii="Times New Roman" w:hAnsi="Times New Roman" w:cs="Times New Roman"/>
          <w:i w:val="0"/>
          <w:color w:val="000000" w:themeColor="text1"/>
          <w:sz w:val="16"/>
          <w:szCs w:val="16"/>
        </w:rPr>
      </w:pPr>
      <w:r w:rsidRPr="007224C3">
        <w:rPr>
          <w:rStyle w:val="1013"/>
          <w:rFonts w:ascii="Times New Roman" w:eastAsia="Arial Unicode MS" w:hAnsi="Times New Roman" w:cs="Times New Roman"/>
          <w:i w:val="0"/>
          <w:iCs w:val="0"/>
          <w:color w:val="000000" w:themeColor="text1"/>
          <w:sz w:val="16"/>
          <w:szCs w:val="16"/>
        </w:rPr>
        <w:t>Касаясь вопроса о выборе самолета, необходимого для послевоенной гра</w:t>
      </w:r>
      <w:r w:rsidRPr="007224C3">
        <w:rPr>
          <w:rStyle w:val="1013"/>
          <w:rFonts w:ascii="Times New Roman" w:eastAsia="Arial Unicode MS" w:hAnsi="Times New Roman" w:cs="Times New Roman"/>
          <w:i w:val="0"/>
          <w:iCs w:val="0"/>
          <w:color w:val="000000" w:themeColor="text1"/>
          <w:sz w:val="16"/>
          <w:szCs w:val="16"/>
        </w:rPr>
        <w:softHyphen/>
        <w:t>жданской авиации страны, главный конструктор высказал следующее:</w:t>
      </w:r>
      <w:r w:rsidRPr="007224C3">
        <w:rPr>
          <w:rFonts w:ascii="Times New Roman" w:hAnsi="Times New Roman" w:cs="Times New Roman"/>
          <w:i w:val="0"/>
          <w:color w:val="000000" w:themeColor="text1"/>
          <w:sz w:val="16"/>
          <w:szCs w:val="16"/>
        </w:rPr>
        <w:t xml:space="preserve"> «За период войны мы особенно сильно ощу</w:t>
      </w:r>
      <w:r w:rsidRPr="007224C3">
        <w:rPr>
          <w:rFonts w:ascii="Times New Roman" w:hAnsi="Times New Roman" w:cs="Times New Roman"/>
          <w:i w:val="0"/>
          <w:color w:val="000000" w:themeColor="text1"/>
          <w:sz w:val="16"/>
          <w:szCs w:val="16"/>
        </w:rPr>
        <w:softHyphen/>
        <w:t>тили значение транспортной авиации как для фронта, так и, в не меньшей степени, для тыла. Все это время нашей основной транспортной машиной был и пока остается двухмоторный самолет «Дуглас ОС-3». Какие бы типы транс</w:t>
      </w:r>
      <w:r w:rsidRPr="007224C3">
        <w:rPr>
          <w:rFonts w:ascii="Times New Roman" w:hAnsi="Times New Roman" w:cs="Times New Roman"/>
          <w:i w:val="0"/>
          <w:color w:val="000000" w:themeColor="text1"/>
          <w:sz w:val="16"/>
          <w:szCs w:val="16"/>
        </w:rPr>
        <w:softHyphen/>
        <w:t>портных самолетов ни находились у нас на снабжении в послевоенный период, при всех условиях тип двухмоторного транспортного самолета будет одним из основных. Это бесспорно и не требует доказательств».</w:t>
      </w:r>
    </w:p>
    <w:p w14:paraId="66C35098" w14:textId="77777777" w:rsidR="002F4B64" w:rsidRPr="007224C3" w:rsidRDefault="002F4B64" w:rsidP="007224C3">
      <w:pPr>
        <w:pStyle w:val="1010"/>
        <w:shd w:val="clear" w:color="auto" w:fill="auto"/>
        <w:spacing w:line="240" w:lineRule="auto"/>
        <w:ind w:firstLine="0"/>
        <w:rPr>
          <w:rFonts w:ascii="Times New Roman" w:hAnsi="Times New Roman" w:cs="Times New Roman"/>
          <w:i w:val="0"/>
          <w:color w:val="000000" w:themeColor="text1"/>
          <w:sz w:val="16"/>
          <w:szCs w:val="16"/>
        </w:rPr>
      </w:pPr>
      <w:r w:rsidRPr="007224C3">
        <w:rPr>
          <w:rStyle w:val="1013"/>
          <w:rFonts w:ascii="Times New Roman" w:eastAsia="Arial Unicode MS" w:hAnsi="Times New Roman" w:cs="Times New Roman"/>
          <w:i w:val="0"/>
          <w:iCs w:val="0"/>
          <w:color w:val="000000" w:themeColor="text1"/>
          <w:sz w:val="16"/>
          <w:szCs w:val="16"/>
        </w:rPr>
        <w:t>В заключительной части записки С.В. Ильюшин высказал свое мнение о необходимости модернизации суще</w:t>
      </w:r>
      <w:r w:rsidRPr="007224C3">
        <w:rPr>
          <w:rStyle w:val="1013"/>
          <w:rFonts w:ascii="Times New Roman" w:eastAsia="Arial Unicode MS" w:hAnsi="Times New Roman" w:cs="Times New Roman"/>
          <w:i w:val="0"/>
          <w:iCs w:val="0"/>
          <w:color w:val="000000" w:themeColor="text1"/>
          <w:sz w:val="16"/>
          <w:szCs w:val="16"/>
        </w:rPr>
        <w:softHyphen/>
        <w:t>ствующего самолета ОС-3:</w:t>
      </w:r>
      <w:r w:rsidRPr="007224C3">
        <w:rPr>
          <w:rFonts w:ascii="Times New Roman" w:hAnsi="Times New Roman" w:cs="Times New Roman"/>
          <w:i w:val="0"/>
          <w:color w:val="000000" w:themeColor="text1"/>
          <w:sz w:val="16"/>
          <w:szCs w:val="16"/>
        </w:rPr>
        <w:t xml:space="preserve"> «Самолет «Дуглас ДС-3 - хороший самолет, но лишь для определенного временного промежутка развития гражданской ави</w:t>
      </w:r>
      <w:r w:rsidRPr="007224C3">
        <w:rPr>
          <w:rFonts w:ascii="Times New Roman" w:hAnsi="Times New Roman" w:cs="Times New Roman"/>
          <w:i w:val="0"/>
          <w:color w:val="000000" w:themeColor="text1"/>
          <w:sz w:val="16"/>
          <w:szCs w:val="16"/>
        </w:rPr>
        <w:softHyphen/>
        <w:t xml:space="preserve">ации. Уже теперь весьма ощущается необходимость увеличения его </w:t>
      </w:r>
      <w:r w:rsidRPr="007224C3">
        <w:rPr>
          <w:rFonts w:ascii="Times New Roman" w:hAnsi="Times New Roman" w:cs="Times New Roman"/>
          <w:i w:val="0"/>
          <w:color w:val="000000" w:themeColor="text1"/>
          <w:sz w:val="16"/>
          <w:szCs w:val="16"/>
        </w:rPr>
        <w:lastRenderedPageBreak/>
        <w:t>крей</w:t>
      </w:r>
      <w:r w:rsidRPr="007224C3">
        <w:rPr>
          <w:rFonts w:ascii="Times New Roman" w:hAnsi="Times New Roman" w:cs="Times New Roman"/>
          <w:i w:val="0"/>
          <w:color w:val="000000" w:themeColor="text1"/>
          <w:sz w:val="16"/>
          <w:szCs w:val="16"/>
        </w:rPr>
        <w:softHyphen/>
        <w:t>серской скорости у земли до 300 км/ч. Наличие у нашей авиационной про</w:t>
      </w:r>
      <w:r w:rsidRPr="007224C3">
        <w:rPr>
          <w:rFonts w:ascii="Times New Roman" w:hAnsi="Times New Roman" w:cs="Times New Roman"/>
          <w:i w:val="0"/>
          <w:color w:val="000000" w:themeColor="text1"/>
          <w:sz w:val="16"/>
          <w:szCs w:val="16"/>
        </w:rPr>
        <w:softHyphen/>
        <w:t>мышленности дизельного двигателя может решить вторую очень важную для транспортной авиации задачу - по</w:t>
      </w:r>
      <w:r w:rsidRPr="007224C3">
        <w:rPr>
          <w:rFonts w:ascii="Times New Roman" w:hAnsi="Times New Roman" w:cs="Times New Roman"/>
          <w:i w:val="0"/>
          <w:color w:val="000000" w:themeColor="text1"/>
          <w:sz w:val="16"/>
          <w:szCs w:val="16"/>
        </w:rPr>
        <w:softHyphen/>
        <w:t>высить экономичность в расходовании топлива, при этом топлива низкосорт</w:t>
      </w:r>
      <w:r w:rsidRPr="007224C3">
        <w:rPr>
          <w:rFonts w:ascii="Times New Roman" w:hAnsi="Times New Roman" w:cs="Times New Roman"/>
          <w:i w:val="0"/>
          <w:color w:val="000000" w:themeColor="text1"/>
          <w:sz w:val="16"/>
          <w:szCs w:val="16"/>
        </w:rPr>
        <w:softHyphen/>
        <w:t>ного. И, наконец, третья важная задача - увеличение массы коммерческой нагрузки, составляющей у самолета ДС-3 - 2000 кг, до 3000-3500 кг. Исходя из указанных предпосылок</w:t>
      </w:r>
      <w:r w:rsidRPr="007224C3">
        <w:rPr>
          <w:rStyle w:val="241"/>
          <w:rFonts w:ascii="Times New Roman" w:hAnsi="Times New Roman" w:cs="Times New Roman"/>
          <w:b w:val="0"/>
          <w:iCs/>
          <w:color w:val="000000" w:themeColor="text1"/>
          <w:sz w:val="16"/>
          <w:szCs w:val="16"/>
        </w:rPr>
        <w:t xml:space="preserve"> представля</w:t>
      </w:r>
      <w:r w:rsidRPr="007224C3">
        <w:rPr>
          <w:rStyle w:val="241"/>
          <w:rFonts w:ascii="Times New Roman" w:hAnsi="Times New Roman" w:cs="Times New Roman"/>
          <w:b w:val="0"/>
          <w:iCs/>
          <w:color w:val="000000" w:themeColor="text1"/>
          <w:sz w:val="16"/>
          <w:szCs w:val="16"/>
        </w:rPr>
        <w:softHyphen/>
      </w:r>
      <w:r w:rsidRPr="007224C3">
        <w:rPr>
          <w:rStyle w:val="161"/>
          <w:rFonts w:ascii="Times New Roman" w:hAnsi="Times New Roman" w:cs="Times New Roman"/>
          <w:iCs/>
          <w:color w:val="000000" w:themeColor="text1"/>
          <w:sz w:val="16"/>
          <w:szCs w:val="16"/>
        </w:rPr>
        <w:t>ется проект транспортного</w:t>
      </w:r>
      <w:r w:rsidRPr="007224C3">
        <w:rPr>
          <w:rStyle w:val="241"/>
          <w:rFonts w:ascii="Times New Roman" w:hAnsi="Times New Roman" w:cs="Times New Roman"/>
          <w:b w:val="0"/>
          <w:iCs/>
          <w:color w:val="000000" w:themeColor="text1"/>
          <w:sz w:val="16"/>
          <w:szCs w:val="16"/>
        </w:rPr>
        <w:t xml:space="preserve"> самолета, </w:t>
      </w:r>
      <w:r w:rsidRPr="007224C3">
        <w:rPr>
          <w:rStyle w:val="161"/>
          <w:rFonts w:ascii="Times New Roman" w:hAnsi="Times New Roman" w:cs="Times New Roman"/>
          <w:iCs/>
          <w:color w:val="000000" w:themeColor="text1"/>
          <w:sz w:val="16"/>
          <w:szCs w:val="16"/>
        </w:rPr>
        <w:t>вполне отвечающего современный требованиям».</w:t>
      </w:r>
      <w:r w:rsidRPr="007224C3">
        <w:rPr>
          <w:rStyle w:val="1c"/>
          <w:rFonts w:ascii="Times New Roman" w:hAnsi="Times New Roman" w:cs="Times New Roman"/>
          <w:i w:val="0"/>
          <w:iCs w:val="0"/>
          <w:color w:val="000000" w:themeColor="text1"/>
          <w:sz w:val="16"/>
          <w:szCs w:val="16"/>
        </w:rPr>
        <w:t xml:space="preserve"> В этой же записке пред</w:t>
      </w:r>
      <w:r w:rsidRPr="007224C3">
        <w:rPr>
          <w:rStyle w:val="1c"/>
          <w:rFonts w:ascii="Times New Roman" w:hAnsi="Times New Roman" w:cs="Times New Roman"/>
          <w:i w:val="0"/>
          <w:iCs w:val="0"/>
          <w:color w:val="000000" w:themeColor="text1"/>
          <w:sz w:val="16"/>
          <w:szCs w:val="16"/>
        </w:rPr>
        <w:softHyphen/>
        <w:t>ставлены расчетные летно-технические характеристики самолета в сравнении с ЭС-3, сравнительная экономическая целесообразность использования этих машин и расчет эффективности воз</w:t>
      </w:r>
      <w:r w:rsidRPr="007224C3">
        <w:rPr>
          <w:rStyle w:val="1c"/>
          <w:rFonts w:ascii="Times New Roman" w:hAnsi="Times New Roman" w:cs="Times New Roman"/>
          <w:i w:val="0"/>
          <w:iCs w:val="0"/>
          <w:color w:val="000000" w:themeColor="text1"/>
          <w:sz w:val="16"/>
          <w:szCs w:val="16"/>
        </w:rPr>
        <w:softHyphen/>
        <w:t>душного путешествия на предлагаемом транспортном самолете в сравнении с проездом по железной дороге или на автомобильном транспорте на то же расстояние.</w:t>
      </w:r>
    </w:p>
    <w:p w14:paraId="6DF7BD1F" w14:textId="77777777" w:rsidR="002F4B64" w:rsidRPr="007224C3" w:rsidRDefault="002F4B64" w:rsidP="007224C3">
      <w:pPr>
        <w:pStyle w:val="1010"/>
        <w:shd w:val="clear" w:color="auto" w:fill="auto"/>
        <w:spacing w:line="240" w:lineRule="auto"/>
        <w:ind w:firstLine="0"/>
        <w:rPr>
          <w:rFonts w:ascii="Times New Roman" w:hAnsi="Times New Roman" w:cs="Times New Roman"/>
          <w:i w:val="0"/>
          <w:color w:val="000000" w:themeColor="text1"/>
          <w:sz w:val="16"/>
          <w:szCs w:val="16"/>
        </w:rPr>
      </w:pPr>
      <w:r w:rsidRPr="007224C3">
        <w:rPr>
          <w:rStyle w:val="1013"/>
          <w:rFonts w:ascii="Times New Roman" w:eastAsia="Arial Unicode MS" w:hAnsi="Times New Roman" w:cs="Times New Roman"/>
          <w:i w:val="0"/>
          <w:iCs w:val="0"/>
          <w:color w:val="000000" w:themeColor="text1"/>
          <w:sz w:val="16"/>
          <w:szCs w:val="16"/>
        </w:rPr>
        <w:t>Представляют интерес находящи</w:t>
      </w:r>
      <w:r w:rsidRPr="007224C3">
        <w:rPr>
          <w:rStyle w:val="1013"/>
          <w:rFonts w:ascii="Times New Roman" w:eastAsia="Arial Unicode MS" w:hAnsi="Times New Roman" w:cs="Times New Roman"/>
          <w:i w:val="0"/>
          <w:iCs w:val="0"/>
          <w:color w:val="000000" w:themeColor="text1"/>
          <w:sz w:val="16"/>
          <w:szCs w:val="16"/>
        </w:rPr>
        <w:softHyphen/>
        <w:t>еся в пояснительной записке коммен</w:t>
      </w:r>
      <w:r w:rsidRPr="007224C3">
        <w:rPr>
          <w:rStyle w:val="1013"/>
          <w:rFonts w:ascii="Times New Roman" w:eastAsia="Arial Unicode MS" w:hAnsi="Times New Roman" w:cs="Times New Roman"/>
          <w:i w:val="0"/>
          <w:iCs w:val="0"/>
          <w:color w:val="000000" w:themeColor="text1"/>
          <w:sz w:val="16"/>
          <w:szCs w:val="16"/>
        </w:rPr>
        <w:softHyphen/>
        <w:t>тарии Главного конструктора к Таб</w:t>
      </w:r>
      <w:r w:rsidRPr="007224C3">
        <w:rPr>
          <w:rStyle w:val="1013"/>
          <w:rFonts w:ascii="Times New Roman" w:eastAsia="Arial Unicode MS" w:hAnsi="Times New Roman" w:cs="Times New Roman"/>
          <w:i w:val="0"/>
          <w:iCs w:val="0"/>
          <w:color w:val="000000" w:themeColor="text1"/>
          <w:sz w:val="16"/>
          <w:szCs w:val="16"/>
        </w:rPr>
        <w:softHyphen/>
        <w:t>лице N 3.</w:t>
      </w:r>
      <w:r w:rsidRPr="007224C3">
        <w:rPr>
          <w:rFonts w:ascii="Times New Roman" w:hAnsi="Times New Roman" w:cs="Times New Roman"/>
          <w:i w:val="0"/>
          <w:color w:val="000000" w:themeColor="text1"/>
          <w:sz w:val="16"/>
          <w:szCs w:val="16"/>
        </w:rPr>
        <w:t xml:space="preserve"> «Если взять для примера по автомобильному транспорту автомо</w:t>
      </w:r>
      <w:r w:rsidRPr="007224C3">
        <w:rPr>
          <w:rFonts w:ascii="Times New Roman" w:hAnsi="Times New Roman" w:cs="Times New Roman"/>
          <w:i w:val="0"/>
          <w:color w:val="000000" w:themeColor="text1"/>
          <w:sz w:val="16"/>
          <w:szCs w:val="16"/>
        </w:rPr>
        <w:softHyphen/>
        <w:t>биль ЗИС-101, а по железнодорожному транспорту пассажирский поезд в со</w:t>
      </w:r>
      <w:r w:rsidRPr="007224C3">
        <w:rPr>
          <w:rFonts w:ascii="Times New Roman" w:hAnsi="Times New Roman" w:cs="Times New Roman"/>
          <w:i w:val="0"/>
          <w:color w:val="000000" w:themeColor="text1"/>
          <w:sz w:val="16"/>
          <w:szCs w:val="16"/>
        </w:rPr>
        <w:softHyphen/>
        <w:t>ставе паровоза с тендером, вагона- ресторана и десяти классных вагонов, в которых находится 400 пассажиров (масса такого состава будет равна 600 т), расход топлива паровозом, везущим такой состав на расстояние 100 км, составляет 3500 кг угля. Из при</w:t>
      </w:r>
      <w:r w:rsidRPr="007224C3">
        <w:rPr>
          <w:rFonts w:ascii="Times New Roman" w:hAnsi="Times New Roman" w:cs="Times New Roman"/>
          <w:i w:val="0"/>
          <w:color w:val="000000" w:themeColor="text1"/>
          <w:sz w:val="16"/>
          <w:szCs w:val="16"/>
        </w:rPr>
        <w:softHyphen/>
        <w:t>веденной таблицы следует, что по</w:t>
      </w:r>
      <w:r w:rsidRPr="007224C3">
        <w:rPr>
          <w:rStyle w:val="1050"/>
          <w:rFonts w:ascii="Times New Roman" w:eastAsia="Arial Unicode MS" w:hAnsi="Times New Roman" w:cs="Times New Roman"/>
          <w:b w:val="0"/>
          <w:iCs/>
          <w:color w:val="000000" w:themeColor="text1"/>
          <w:sz w:val="16"/>
          <w:szCs w:val="16"/>
        </w:rPr>
        <w:t xml:space="preserve"> двум </w:t>
      </w:r>
      <w:r w:rsidRPr="007224C3">
        <w:rPr>
          <w:rFonts w:ascii="Times New Roman" w:hAnsi="Times New Roman" w:cs="Times New Roman"/>
          <w:i w:val="0"/>
          <w:color w:val="000000" w:themeColor="text1"/>
          <w:sz w:val="16"/>
          <w:szCs w:val="16"/>
        </w:rPr>
        <w:t>из основных экономических показате</w:t>
      </w:r>
      <w:r w:rsidRPr="007224C3">
        <w:rPr>
          <w:rFonts w:ascii="Times New Roman" w:hAnsi="Times New Roman" w:cs="Times New Roman"/>
          <w:i w:val="0"/>
          <w:color w:val="000000" w:themeColor="text1"/>
          <w:sz w:val="16"/>
          <w:szCs w:val="16"/>
        </w:rPr>
        <w:softHyphen/>
        <w:t>лей авиационный транспорт является наиболее дешевым видом транспорта, хотя распространенным является мне</w:t>
      </w:r>
      <w:r w:rsidRPr="007224C3">
        <w:rPr>
          <w:rFonts w:ascii="Times New Roman" w:hAnsi="Times New Roman" w:cs="Times New Roman"/>
          <w:i w:val="0"/>
          <w:color w:val="000000" w:themeColor="text1"/>
          <w:sz w:val="16"/>
          <w:szCs w:val="16"/>
        </w:rPr>
        <w:softHyphen/>
        <w:t>ние, что авиационный пассажирский транспорт является одним из</w:t>
      </w:r>
      <w:r w:rsidRPr="007224C3">
        <w:rPr>
          <w:rStyle w:val="1050"/>
          <w:rFonts w:ascii="Times New Roman" w:eastAsia="Arial Unicode MS" w:hAnsi="Times New Roman" w:cs="Times New Roman"/>
          <w:b w:val="0"/>
          <w:iCs/>
          <w:color w:val="000000" w:themeColor="text1"/>
          <w:sz w:val="16"/>
          <w:szCs w:val="16"/>
        </w:rPr>
        <w:t xml:space="preserve"> самых </w:t>
      </w:r>
      <w:r w:rsidRPr="007224C3">
        <w:rPr>
          <w:rFonts w:ascii="Times New Roman" w:hAnsi="Times New Roman" w:cs="Times New Roman"/>
          <w:i w:val="0"/>
          <w:color w:val="000000" w:themeColor="text1"/>
          <w:sz w:val="16"/>
          <w:szCs w:val="16"/>
        </w:rPr>
        <w:t>дорогих. При сравнении экономично</w:t>
      </w:r>
      <w:r w:rsidRPr="007224C3">
        <w:rPr>
          <w:rFonts w:ascii="Times New Roman" w:hAnsi="Times New Roman" w:cs="Times New Roman"/>
          <w:i w:val="0"/>
          <w:color w:val="000000" w:themeColor="text1"/>
          <w:sz w:val="16"/>
          <w:szCs w:val="16"/>
        </w:rPr>
        <w:softHyphen/>
        <w:t>сти авиационного и железнодорожного пассажирского транспорта необходимо учесть еще одну очень важную</w:t>
      </w:r>
      <w:r w:rsidRPr="007224C3">
        <w:rPr>
          <w:rStyle w:val="1050"/>
          <w:rFonts w:ascii="Times New Roman" w:eastAsia="Arial Unicode MS" w:hAnsi="Times New Roman" w:cs="Times New Roman"/>
          <w:b w:val="0"/>
          <w:iCs/>
          <w:color w:val="000000" w:themeColor="text1"/>
          <w:sz w:val="16"/>
          <w:szCs w:val="16"/>
        </w:rPr>
        <w:t xml:space="preserve"> деталь. </w:t>
      </w:r>
      <w:r w:rsidRPr="007224C3">
        <w:rPr>
          <w:rFonts w:ascii="Times New Roman" w:hAnsi="Times New Roman" w:cs="Times New Roman"/>
          <w:i w:val="0"/>
          <w:color w:val="000000" w:themeColor="text1"/>
          <w:sz w:val="16"/>
          <w:szCs w:val="16"/>
        </w:rPr>
        <w:t>Предположим, что из Москвы в</w:t>
      </w:r>
      <w:r w:rsidRPr="007224C3">
        <w:rPr>
          <w:rStyle w:val="1050"/>
          <w:rFonts w:ascii="Times New Roman" w:eastAsia="Arial Unicode MS" w:hAnsi="Times New Roman" w:cs="Times New Roman"/>
          <w:b w:val="0"/>
          <w:iCs/>
          <w:color w:val="000000" w:themeColor="text1"/>
          <w:sz w:val="16"/>
          <w:szCs w:val="16"/>
        </w:rPr>
        <w:t xml:space="preserve"> Иркутск </w:t>
      </w:r>
      <w:r w:rsidRPr="007224C3">
        <w:rPr>
          <w:rFonts w:ascii="Times New Roman" w:hAnsi="Times New Roman" w:cs="Times New Roman"/>
          <w:i w:val="0"/>
          <w:color w:val="000000" w:themeColor="text1"/>
          <w:sz w:val="16"/>
          <w:szCs w:val="16"/>
        </w:rPr>
        <w:t>отправляются одновременно</w:t>
      </w:r>
      <w:r w:rsidRPr="007224C3">
        <w:rPr>
          <w:rStyle w:val="1050"/>
          <w:rFonts w:ascii="Times New Roman" w:eastAsia="Arial Unicode MS" w:hAnsi="Times New Roman" w:cs="Times New Roman"/>
          <w:b w:val="0"/>
          <w:iCs/>
          <w:color w:val="000000" w:themeColor="text1"/>
          <w:sz w:val="16"/>
          <w:szCs w:val="16"/>
        </w:rPr>
        <w:t xml:space="preserve"> пасса</w:t>
      </w:r>
      <w:r w:rsidRPr="007224C3">
        <w:rPr>
          <w:rStyle w:val="1050"/>
          <w:rFonts w:ascii="Times New Roman" w:eastAsia="Arial Unicode MS" w:hAnsi="Times New Roman" w:cs="Times New Roman"/>
          <w:b w:val="0"/>
          <w:iCs/>
          <w:color w:val="000000" w:themeColor="text1"/>
          <w:sz w:val="16"/>
          <w:szCs w:val="16"/>
        </w:rPr>
        <w:softHyphen/>
      </w:r>
      <w:r w:rsidRPr="007224C3">
        <w:rPr>
          <w:rFonts w:ascii="Times New Roman" w:hAnsi="Times New Roman" w:cs="Times New Roman"/>
          <w:i w:val="0"/>
          <w:color w:val="000000" w:themeColor="text1"/>
          <w:sz w:val="16"/>
          <w:szCs w:val="16"/>
        </w:rPr>
        <w:t>жирский поезд в указанном</w:t>
      </w:r>
      <w:r w:rsidRPr="007224C3">
        <w:rPr>
          <w:rStyle w:val="1050"/>
          <w:rFonts w:ascii="Times New Roman" w:eastAsia="Arial Unicode MS" w:hAnsi="Times New Roman" w:cs="Times New Roman"/>
          <w:b w:val="0"/>
          <w:iCs/>
          <w:color w:val="000000" w:themeColor="text1"/>
          <w:sz w:val="16"/>
          <w:szCs w:val="16"/>
        </w:rPr>
        <w:t xml:space="preserve"> составе</w:t>
      </w:r>
      <w:r w:rsidRPr="007224C3">
        <w:rPr>
          <w:rFonts w:ascii="Times New Roman" w:hAnsi="Times New Roman" w:cs="Times New Roman"/>
          <w:i w:val="0"/>
          <w:color w:val="000000" w:themeColor="text1"/>
          <w:sz w:val="16"/>
          <w:szCs w:val="16"/>
        </w:rPr>
        <w:t xml:space="preserve"> и 15 транспортных самолетов с тем</w:t>
      </w:r>
      <w:r w:rsidRPr="007224C3">
        <w:rPr>
          <w:rStyle w:val="1050"/>
          <w:rFonts w:ascii="Times New Roman" w:eastAsia="Arial Unicode MS" w:hAnsi="Times New Roman" w:cs="Times New Roman"/>
          <w:b w:val="0"/>
          <w:iCs/>
          <w:color w:val="000000" w:themeColor="text1"/>
          <w:sz w:val="16"/>
          <w:szCs w:val="16"/>
        </w:rPr>
        <w:t xml:space="preserve"> же </w:t>
      </w:r>
      <w:r w:rsidRPr="007224C3">
        <w:rPr>
          <w:rFonts w:ascii="Times New Roman" w:hAnsi="Times New Roman" w:cs="Times New Roman"/>
          <w:i w:val="0"/>
          <w:color w:val="000000" w:themeColor="text1"/>
          <w:sz w:val="16"/>
          <w:szCs w:val="16"/>
        </w:rPr>
        <w:t>суммарным количеством пассажиров (400 чел.). Пассажирский поезд прибу</w:t>
      </w:r>
      <w:r w:rsidRPr="007224C3">
        <w:rPr>
          <w:rFonts w:ascii="Times New Roman" w:hAnsi="Times New Roman" w:cs="Times New Roman"/>
          <w:i w:val="0"/>
          <w:color w:val="000000" w:themeColor="text1"/>
          <w:sz w:val="16"/>
          <w:szCs w:val="16"/>
        </w:rPr>
        <w:softHyphen/>
        <w:t>дет в Иркутск по истечении пяти</w:t>
      </w:r>
      <w:r w:rsidRPr="007224C3">
        <w:rPr>
          <w:rStyle w:val="1050"/>
          <w:rFonts w:ascii="Times New Roman" w:eastAsia="Arial Unicode MS" w:hAnsi="Times New Roman" w:cs="Times New Roman"/>
          <w:b w:val="0"/>
          <w:iCs/>
          <w:color w:val="000000" w:themeColor="text1"/>
          <w:sz w:val="16"/>
          <w:szCs w:val="16"/>
        </w:rPr>
        <w:t xml:space="preserve"> суток, </w:t>
      </w:r>
      <w:r w:rsidRPr="007224C3">
        <w:rPr>
          <w:rFonts w:ascii="Times New Roman" w:hAnsi="Times New Roman" w:cs="Times New Roman"/>
          <w:i w:val="0"/>
          <w:color w:val="000000" w:themeColor="text1"/>
          <w:sz w:val="16"/>
          <w:szCs w:val="16"/>
        </w:rPr>
        <w:t>пассажирские транспортные самолеты прибудут в Иркутск по истечении</w:t>
      </w:r>
      <w:r w:rsidRPr="007224C3">
        <w:rPr>
          <w:rStyle w:val="1050"/>
          <w:rFonts w:ascii="Times New Roman" w:eastAsia="Arial Unicode MS" w:hAnsi="Times New Roman" w:cs="Times New Roman"/>
          <w:b w:val="0"/>
          <w:iCs/>
          <w:color w:val="000000" w:themeColor="text1"/>
          <w:sz w:val="16"/>
          <w:szCs w:val="16"/>
        </w:rPr>
        <w:t xml:space="preserve"> одних </w:t>
      </w:r>
      <w:r w:rsidRPr="007224C3">
        <w:rPr>
          <w:rFonts w:ascii="Times New Roman" w:hAnsi="Times New Roman" w:cs="Times New Roman"/>
          <w:i w:val="0"/>
          <w:color w:val="000000" w:themeColor="text1"/>
          <w:sz w:val="16"/>
          <w:szCs w:val="16"/>
        </w:rPr>
        <w:t>суток. Таким образом, 400 пассажиров пассажирского поезда непроизводи</w:t>
      </w:r>
      <w:r w:rsidRPr="007224C3">
        <w:rPr>
          <w:rFonts w:ascii="Times New Roman" w:hAnsi="Times New Roman" w:cs="Times New Roman"/>
          <w:i w:val="0"/>
          <w:color w:val="000000" w:themeColor="text1"/>
          <w:sz w:val="16"/>
          <w:szCs w:val="16"/>
        </w:rPr>
        <w:softHyphen/>
        <w:t>тельно потратят 12800 рабочих</w:t>
      </w:r>
      <w:r w:rsidRPr="007224C3">
        <w:rPr>
          <w:rStyle w:val="1050"/>
          <w:rFonts w:ascii="Times New Roman" w:eastAsia="Arial Unicode MS" w:hAnsi="Times New Roman" w:cs="Times New Roman"/>
          <w:b w:val="0"/>
          <w:iCs/>
          <w:color w:val="000000" w:themeColor="text1"/>
          <w:sz w:val="16"/>
          <w:szCs w:val="16"/>
        </w:rPr>
        <w:t xml:space="preserve"> часов. </w:t>
      </w:r>
      <w:r w:rsidRPr="007224C3">
        <w:rPr>
          <w:rFonts w:ascii="Times New Roman" w:hAnsi="Times New Roman" w:cs="Times New Roman"/>
          <w:i w:val="0"/>
          <w:color w:val="000000" w:themeColor="text1"/>
          <w:sz w:val="16"/>
          <w:szCs w:val="16"/>
        </w:rPr>
        <w:t>А один самолет, перевезя 27</w:t>
      </w:r>
      <w:r w:rsidRPr="007224C3">
        <w:rPr>
          <w:rStyle w:val="1050"/>
          <w:rFonts w:ascii="Times New Roman" w:eastAsia="Arial Unicode MS" w:hAnsi="Times New Roman" w:cs="Times New Roman"/>
          <w:b w:val="0"/>
          <w:iCs/>
          <w:color w:val="000000" w:themeColor="text1"/>
          <w:sz w:val="16"/>
          <w:szCs w:val="16"/>
        </w:rPr>
        <w:t xml:space="preserve"> пасса</w:t>
      </w:r>
      <w:r w:rsidRPr="007224C3">
        <w:rPr>
          <w:rStyle w:val="1050"/>
          <w:rFonts w:ascii="Times New Roman" w:eastAsia="Arial Unicode MS" w:hAnsi="Times New Roman" w:cs="Times New Roman"/>
          <w:b w:val="0"/>
          <w:iCs/>
          <w:color w:val="000000" w:themeColor="text1"/>
          <w:sz w:val="16"/>
          <w:szCs w:val="16"/>
        </w:rPr>
        <w:softHyphen/>
      </w:r>
      <w:r w:rsidRPr="007224C3">
        <w:rPr>
          <w:rFonts w:ascii="Times New Roman" w:hAnsi="Times New Roman" w:cs="Times New Roman"/>
          <w:i w:val="0"/>
          <w:color w:val="000000" w:themeColor="text1"/>
          <w:sz w:val="16"/>
          <w:szCs w:val="16"/>
        </w:rPr>
        <w:t>жиров, сэкономит 864 рабочих</w:t>
      </w:r>
      <w:r w:rsidRPr="007224C3">
        <w:rPr>
          <w:rStyle w:val="1050"/>
          <w:rFonts w:ascii="Times New Roman" w:eastAsia="Arial Unicode MS" w:hAnsi="Times New Roman" w:cs="Times New Roman"/>
          <w:b w:val="0"/>
          <w:iCs/>
          <w:color w:val="000000" w:themeColor="text1"/>
          <w:sz w:val="16"/>
          <w:szCs w:val="16"/>
        </w:rPr>
        <w:t xml:space="preserve"> часа, </w:t>
      </w:r>
      <w:r w:rsidRPr="007224C3">
        <w:rPr>
          <w:rFonts w:ascii="Times New Roman" w:hAnsi="Times New Roman" w:cs="Times New Roman"/>
          <w:i w:val="0"/>
          <w:color w:val="000000" w:themeColor="text1"/>
          <w:sz w:val="16"/>
          <w:szCs w:val="16"/>
        </w:rPr>
        <w:t>что составляет 1/20 затрат</w:t>
      </w:r>
      <w:r w:rsidRPr="007224C3">
        <w:rPr>
          <w:rStyle w:val="1050"/>
          <w:rFonts w:ascii="Times New Roman" w:eastAsia="Arial Unicode MS" w:hAnsi="Times New Roman" w:cs="Times New Roman"/>
          <w:b w:val="0"/>
          <w:iCs/>
          <w:color w:val="000000" w:themeColor="text1"/>
          <w:sz w:val="16"/>
          <w:szCs w:val="16"/>
        </w:rPr>
        <w:t xml:space="preserve"> рабочего </w:t>
      </w:r>
      <w:r w:rsidRPr="007224C3">
        <w:rPr>
          <w:rFonts w:ascii="Times New Roman" w:hAnsi="Times New Roman" w:cs="Times New Roman"/>
          <w:i w:val="0"/>
          <w:color w:val="000000" w:themeColor="text1"/>
          <w:sz w:val="16"/>
          <w:szCs w:val="16"/>
        </w:rPr>
        <w:t>времени на постройку самолета с мо</w:t>
      </w:r>
      <w:r w:rsidRPr="007224C3">
        <w:rPr>
          <w:rFonts w:ascii="Times New Roman" w:hAnsi="Times New Roman" w:cs="Times New Roman"/>
          <w:i w:val="0"/>
          <w:color w:val="000000" w:themeColor="text1"/>
          <w:sz w:val="16"/>
          <w:szCs w:val="16"/>
        </w:rPr>
        <w:softHyphen/>
        <w:t>торами и со всем оборудованием. Де</w:t>
      </w:r>
      <w:r w:rsidRPr="007224C3">
        <w:rPr>
          <w:rFonts w:ascii="Times New Roman" w:hAnsi="Times New Roman" w:cs="Times New Roman"/>
          <w:i w:val="0"/>
          <w:color w:val="000000" w:themeColor="text1"/>
          <w:sz w:val="16"/>
          <w:szCs w:val="16"/>
        </w:rPr>
        <w:softHyphen/>
        <w:t>сять таких рейсов Москва</w:t>
      </w:r>
      <w:r w:rsidRPr="007224C3">
        <w:rPr>
          <w:rStyle w:val="1013"/>
          <w:rFonts w:ascii="Times New Roman" w:eastAsia="Arial Unicode MS" w:hAnsi="Times New Roman" w:cs="Times New Roman"/>
          <w:i w:val="0"/>
          <w:iCs w:val="0"/>
          <w:color w:val="000000" w:themeColor="text1"/>
          <w:sz w:val="16"/>
          <w:szCs w:val="16"/>
        </w:rPr>
        <w:t xml:space="preserve"> -</w:t>
      </w:r>
      <w:r w:rsidRPr="007224C3">
        <w:rPr>
          <w:rStyle w:val="1050"/>
          <w:rFonts w:ascii="Times New Roman" w:eastAsia="Arial Unicode MS" w:hAnsi="Times New Roman" w:cs="Times New Roman"/>
          <w:b w:val="0"/>
          <w:iCs/>
          <w:color w:val="000000" w:themeColor="text1"/>
          <w:sz w:val="16"/>
          <w:szCs w:val="16"/>
        </w:rPr>
        <w:t xml:space="preserve"> Иркутск и </w:t>
      </w:r>
      <w:r w:rsidRPr="007224C3">
        <w:rPr>
          <w:rFonts w:ascii="Times New Roman" w:hAnsi="Times New Roman" w:cs="Times New Roman"/>
          <w:i w:val="0"/>
          <w:color w:val="000000" w:themeColor="text1"/>
          <w:sz w:val="16"/>
          <w:szCs w:val="16"/>
        </w:rPr>
        <w:t>обратно полностью окупают</w:t>
      </w:r>
      <w:r w:rsidRPr="007224C3">
        <w:rPr>
          <w:rStyle w:val="1050"/>
          <w:rFonts w:ascii="Times New Roman" w:eastAsia="Arial Unicode MS" w:hAnsi="Times New Roman" w:cs="Times New Roman"/>
          <w:b w:val="0"/>
          <w:iCs/>
          <w:color w:val="000000" w:themeColor="text1"/>
          <w:sz w:val="16"/>
          <w:szCs w:val="16"/>
        </w:rPr>
        <w:t xml:space="preserve"> затрату </w:t>
      </w:r>
      <w:r w:rsidRPr="007224C3">
        <w:rPr>
          <w:rFonts w:ascii="Times New Roman" w:hAnsi="Times New Roman" w:cs="Times New Roman"/>
          <w:i w:val="0"/>
          <w:color w:val="000000" w:themeColor="text1"/>
          <w:sz w:val="16"/>
          <w:szCs w:val="16"/>
        </w:rPr>
        <w:t>рабочих часов на постройку</w:t>
      </w:r>
      <w:r w:rsidRPr="007224C3">
        <w:rPr>
          <w:rStyle w:val="1050"/>
          <w:rFonts w:ascii="Times New Roman" w:eastAsia="Arial Unicode MS" w:hAnsi="Times New Roman" w:cs="Times New Roman"/>
          <w:b w:val="0"/>
          <w:iCs/>
          <w:color w:val="000000" w:themeColor="text1"/>
          <w:sz w:val="16"/>
          <w:szCs w:val="16"/>
        </w:rPr>
        <w:t xml:space="preserve"> одного са</w:t>
      </w:r>
      <w:r w:rsidRPr="007224C3">
        <w:rPr>
          <w:rStyle w:val="1050"/>
          <w:rFonts w:ascii="Times New Roman" w:eastAsia="Arial Unicode MS" w:hAnsi="Times New Roman" w:cs="Times New Roman"/>
          <w:b w:val="0"/>
          <w:iCs/>
          <w:color w:val="000000" w:themeColor="text1"/>
          <w:sz w:val="16"/>
          <w:szCs w:val="16"/>
        </w:rPr>
        <w:softHyphen/>
      </w:r>
      <w:r w:rsidRPr="007224C3">
        <w:rPr>
          <w:rFonts w:ascii="Times New Roman" w:hAnsi="Times New Roman" w:cs="Times New Roman"/>
          <w:i w:val="0"/>
          <w:color w:val="000000" w:themeColor="text1"/>
          <w:sz w:val="16"/>
          <w:szCs w:val="16"/>
        </w:rPr>
        <w:t>молета».</w:t>
      </w:r>
      <w:r w:rsidRPr="007224C3">
        <w:rPr>
          <w:rStyle w:val="1013"/>
          <w:rFonts w:ascii="Times New Roman" w:eastAsia="Arial Unicode MS" w:hAnsi="Times New Roman" w:cs="Times New Roman"/>
          <w:i w:val="0"/>
          <w:iCs w:val="0"/>
          <w:color w:val="000000" w:themeColor="text1"/>
          <w:sz w:val="16"/>
          <w:szCs w:val="16"/>
        </w:rPr>
        <w:t xml:space="preserve"> Неожиданный и, вместе с тем, соответствующий духу времени вывод.</w:t>
      </w:r>
    </w:p>
    <w:p w14:paraId="541F404D" w14:textId="77777777" w:rsidR="002F4B64" w:rsidRPr="007224C3" w:rsidRDefault="002F4B64" w:rsidP="007224C3">
      <w:pPr>
        <w:pStyle w:val="a3"/>
        <w:rPr>
          <w:rStyle w:val="152"/>
          <w:rFonts w:ascii="Times New Roman" w:hAnsi="Times New Roman" w:cs="Times New Roman"/>
          <w:i w:val="0"/>
          <w:color w:val="000000" w:themeColor="text1"/>
          <w:sz w:val="16"/>
          <w:szCs w:val="16"/>
          <w:lang w:val="ru-RU"/>
        </w:rPr>
      </w:pPr>
      <w:r w:rsidRPr="007224C3">
        <w:rPr>
          <w:color w:val="000000" w:themeColor="text1"/>
          <w:lang w:val="ru-RU"/>
        </w:rPr>
        <w:t>В заключение документа С.В.</w:t>
      </w:r>
      <w:r w:rsidRPr="007224C3">
        <w:rPr>
          <w:rStyle w:val="251"/>
          <w:rFonts w:ascii="Times New Roman" w:hAnsi="Times New Roman" w:cs="Times New Roman"/>
          <w:b w:val="0"/>
          <w:color w:val="000000" w:themeColor="text1"/>
          <w:sz w:val="16"/>
          <w:szCs w:val="16"/>
          <w:lang w:val="ru-RU"/>
        </w:rPr>
        <w:t xml:space="preserve"> Илью</w:t>
      </w:r>
      <w:r w:rsidRPr="007224C3">
        <w:rPr>
          <w:rStyle w:val="251"/>
          <w:rFonts w:ascii="Times New Roman" w:hAnsi="Times New Roman" w:cs="Times New Roman"/>
          <w:b w:val="0"/>
          <w:color w:val="000000" w:themeColor="text1"/>
          <w:sz w:val="16"/>
          <w:szCs w:val="16"/>
          <w:lang w:val="ru-RU"/>
        </w:rPr>
        <w:softHyphen/>
      </w:r>
      <w:r w:rsidRPr="007224C3">
        <w:rPr>
          <w:color w:val="000000" w:themeColor="text1"/>
          <w:lang w:val="ru-RU"/>
        </w:rPr>
        <w:t>шин гарантировал, что</w:t>
      </w:r>
      <w:r w:rsidRPr="007224C3">
        <w:rPr>
          <w:rStyle w:val="241"/>
          <w:rFonts w:ascii="Times New Roman" w:hAnsi="Times New Roman" w:cs="Times New Roman"/>
          <w:b w:val="0"/>
          <w:i w:val="0"/>
          <w:color w:val="000000" w:themeColor="text1"/>
          <w:sz w:val="16"/>
          <w:szCs w:val="16"/>
          <w:lang w:val="ru-RU"/>
        </w:rPr>
        <w:t xml:space="preserve"> «Рабочие чер</w:t>
      </w:r>
      <w:r w:rsidRPr="007224C3">
        <w:rPr>
          <w:rStyle w:val="241"/>
          <w:rFonts w:ascii="Times New Roman" w:hAnsi="Times New Roman" w:cs="Times New Roman"/>
          <w:b w:val="0"/>
          <w:i w:val="0"/>
          <w:color w:val="000000" w:themeColor="text1"/>
          <w:sz w:val="16"/>
          <w:szCs w:val="16"/>
          <w:lang w:val="ru-RU"/>
        </w:rPr>
        <w:softHyphen/>
      </w:r>
      <w:r w:rsidRPr="007224C3">
        <w:rPr>
          <w:rStyle w:val="161"/>
          <w:rFonts w:ascii="Times New Roman" w:hAnsi="Times New Roman" w:cs="Times New Roman"/>
          <w:i w:val="0"/>
          <w:color w:val="000000" w:themeColor="text1"/>
          <w:sz w:val="16"/>
          <w:szCs w:val="16"/>
          <w:lang w:val="ru-RU"/>
        </w:rPr>
        <w:t>тежи первого опытного</w:t>
      </w:r>
      <w:r w:rsidRPr="007224C3">
        <w:rPr>
          <w:rStyle w:val="241"/>
          <w:rFonts w:ascii="Times New Roman" w:hAnsi="Times New Roman" w:cs="Times New Roman"/>
          <w:b w:val="0"/>
          <w:i w:val="0"/>
          <w:color w:val="000000" w:themeColor="text1"/>
          <w:sz w:val="16"/>
          <w:szCs w:val="16"/>
          <w:lang w:val="ru-RU"/>
        </w:rPr>
        <w:t xml:space="preserve"> самолета без </w:t>
      </w:r>
      <w:r w:rsidRPr="007224C3">
        <w:rPr>
          <w:rStyle w:val="161"/>
          <w:rFonts w:ascii="Times New Roman" w:hAnsi="Times New Roman" w:cs="Times New Roman"/>
          <w:i w:val="0"/>
          <w:color w:val="000000" w:themeColor="text1"/>
          <w:sz w:val="16"/>
          <w:szCs w:val="16"/>
          <w:lang w:val="ru-RU"/>
        </w:rPr>
        <w:t>герметической кабины</w:t>
      </w:r>
      <w:r w:rsidRPr="007224C3">
        <w:rPr>
          <w:rStyle w:val="241"/>
          <w:rFonts w:ascii="Times New Roman" w:hAnsi="Times New Roman" w:cs="Times New Roman"/>
          <w:b w:val="0"/>
          <w:i w:val="0"/>
          <w:color w:val="000000" w:themeColor="text1"/>
          <w:sz w:val="16"/>
          <w:szCs w:val="16"/>
          <w:lang w:val="ru-RU"/>
        </w:rPr>
        <w:t xml:space="preserve"> будут готовы к сдаче на</w:t>
      </w:r>
      <w:r w:rsidRPr="007224C3">
        <w:rPr>
          <w:rStyle w:val="104"/>
          <w:rFonts w:eastAsia="Arial Unicode MS"/>
          <w:color w:val="000000" w:themeColor="text1"/>
          <w:lang w:val="ru-RU"/>
        </w:rPr>
        <w:t xml:space="preserve"> производство 1-го июля 1944 </w:t>
      </w:r>
      <w:r w:rsidRPr="007224C3">
        <w:rPr>
          <w:rStyle w:val="152"/>
          <w:rFonts w:ascii="Times New Roman" w:hAnsi="Times New Roman" w:cs="Times New Roman"/>
          <w:i w:val="0"/>
          <w:color w:val="000000" w:themeColor="text1"/>
          <w:sz w:val="16"/>
          <w:szCs w:val="16"/>
          <w:lang w:val="ru-RU"/>
        </w:rPr>
        <w:t>г., чертежи с герметической ка</w:t>
      </w:r>
      <w:r w:rsidRPr="007224C3">
        <w:rPr>
          <w:rStyle w:val="152"/>
          <w:rFonts w:ascii="Times New Roman" w:hAnsi="Times New Roman" w:cs="Times New Roman"/>
          <w:i w:val="0"/>
          <w:color w:val="000000" w:themeColor="text1"/>
          <w:sz w:val="16"/>
          <w:szCs w:val="16"/>
          <w:lang w:val="ru-RU"/>
        </w:rPr>
        <w:softHyphen/>
        <w:t>биной будут готовы 1 августа 1944 г.».</w:t>
      </w:r>
    </w:p>
    <w:p w14:paraId="4DF2B57F" w14:textId="77777777" w:rsidR="002F4B64" w:rsidRPr="007224C3" w:rsidRDefault="002F4B64" w:rsidP="007224C3">
      <w:pPr>
        <w:pStyle w:val="a3"/>
        <w:rPr>
          <w:rStyle w:val="152"/>
          <w:rFonts w:ascii="Times New Roman" w:hAnsi="Times New Roman" w:cs="Times New Roman"/>
          <w:i w:val="0"/>
          <w:color w:val="000000" w:themeColor="text1"/>
          <w:sz w:val="16"/>
          <w:szCs w:val="16"/>
          <w:lang w:val="ru-RU"/>
        </w:rPr>
      </w:pPr>
      <w:r w:rsidRPr="007224C3">
        <w:rPr>
          <w:rStyle w:val="221"/>
          <w:rFonts w:ascii="Times New Roman" w:hAnsi="Times New Roman" w:cs="Times New Roman"/>
          <w:b w:val="0"/>
          <w:color w:val="000000" w:themeColor="text1"/>
          <w:sz w:val="16"/>
          <w:szCs w:val="16"/>
          <w:lang w:val="ru-RU"/>
        </w:rPr>
        <w:t>Необходимо</w:t>
      </w:r>
      <w:r w:rsidRPr="007224C3">
        <w:rPr>
          <w:color w:val="000000" w:themeColor="text1"/>
          <w:lang w:val="ru-RU"/>
        </w:rPr>
        <w:t xml:space="preserve"> отметить, что в период предварительных проработок по вы</w:t>
      </w:r>
      <w:r w:rsidRPr="007224C3">
        <w:rPr>
          <w:color w:val="000000" w:themeColor="text1"/>
          <w:lang w:val="ru-RU"/>
        </w:rPr>
        <w:softHyphen/>
      </w:r>
      <w:r w:rsidRPr="007224C3">
        <w:rPr>
          <w:rStyle w:val="221"/>
          <w:rFonts w:ascii="Times New Roman" w:hAnsi="Times New Roman" w:cs="Times New Roman"/>
          <w:b w:val="0"/>
          <w:color w:val="000000" w:themeColor="text1"/>
          <w:sz w:val="16"/>
          <w:szCs w:val="16"/>
          <w:lang w:val="ru-RU"/>
        </w:rPr>
        <w:t>бору</w:t>
      </w:r>
      <w:r w:rsidRPr="007224C3">
        <w:rPr>
          <w:color w:val="000000" w:themeColor="text1"/>
          <w:lang w:val="ru-RU"/>
        </w:rPr>
        <w:t xml:space="preserve"> конфигурации и основных раз</w:t>
      </w:r>
      <w:r w:rsidRPr="007224C3">
        <w:rPr>
          <w:color w:val="000000" w:themeColor="text1"/>
          <w:lang w:val="ru-RU"/>
        </w:rPr>
        <w:softHyphen/>
        <w:t xml:space="preserve">мерностей самолета рассматривалось несколько его различных вариантов, </w:t>
      </w:r>
      <w:r w:rsidRPr="007224C3">
        <w:rPr>
          <w:rStyle w:val="221"/>
          <w:rFonts w:ascii="Times New Roman" w:hAnsi="Times New Roman" w:cs="Times New Roman"/>
          <w:b w:val="0"/>
          <w:color w:val="000000" w:themeColor="text1"/>
          <w:sz w:val="16"/>
          <w:szCs w:val="16"/>
          <w:lang w:val="ru-RU"/>
        </w:rPr>
        <w:t>в том</w:t>
      </w:r>
      <w:r w:rsidRPr="007224C3">
        <w:rPr>
          <w:color w:val="000000" w:themeColor="text1"/>
          <w:lang w:val="ru-RU"/>
        </w:rPr>
        <w:t xml:space="preserve"> числе с герметичной кабиной; с высокорасположенным крылом; с двумя </w:t>
      </w:r>
      <w:r w:rsidRPr="007224C3">
        <w:rPr>
          <w:rStyle w:val="221"/>
          <w:rFonts w:ascii="Times New Roman" w:hAnsi="Times New Roman" w:cs="Times New Roman"/>
          <w:b w:val="0"/>
          <w:color w:val="000000" w:themeColor="text1"/>
          <w:sz w:val="16"/>
          <w:szCs w:val="16"/>
          <w:lang w:val="ru-RU"/>
        </w:rPr>
        <w:t>и четырьмя</w:t>
      </w:r>
      <w:r w:rsidRPr="007224C3">
        <w:rPr>
          <w:color w:val="000000" w:themeColor="text1"/>
          <w:lang w:val="ru-RU"/>
        </w:rPr>
        <w:t xml:space="preserve"> различными силовыми уста</w:t>
      </w:r>
      <w:r w:rsidRPr="007224C3">
        <w:rPr>
          <w:color w:val="000000" w:themeColor="text1"/>
          <w:lang w:val="ru-RU"/>
        </w:rPr>
        <w:softHyphen/>
      </w:r>
      <w:r w:rsidRPr="007224C3">
        <w:rPr>
          <w:rStyle w:val="221"/>
          <w:rFonts w:ascii="Times New Roman" w:hAnsi="Times New Roman" w:cs="Times New Roman"/>
          <w:b w:val="0"/>
          <w:color w:val="000000" w:themeColor="text1"/>
          <w:sz w:val="16"/>
          <w:szCs w:val="16"/>
          <w:lang w:val="ru-RU"/>
        </w:rPr>
        <w:t>новками.</w:t>
      </w:r>
      <w:r w:rsidRPr="007224C3">
        <w:rPr>
          <w:color w:val="000000" w:themeColor="text1"/>
          <w:lang w:val="ru-RU"/>
        </w:rPr>
        <w:t xml:space="preserve"> Однако, только один из этих вариантов, а именно, двухмоторный транспортный самолет Ил-АЧ-31 был </w:t>
      </w:r>
      <w:r w:rsidRPr="007224C3">
        <w:rPr>
          <w:rStyle w:val="221"/>
          <w:rFonts w:ascii="Times New Roman" w:hAnsi="Times New Roman" w:cs="Times New Roman"/>
          <w:b w:val="0"/>
          <w:color w:val="000000" w:themeColor="text1"/>
          <w:sz w:val="16"/>
          <w:szCs w:val="16"/>
          <w:lang w:val="ru-RU"/>
        </w:rPr>
        <w:t>4 января</w:t>
      </w:r>
      <w:r w:rsidRPr="007224C3">
        <w:rPr>
          <w:color w:val="000000" w:themeColor="text1"/>
          <w:lang w:val="ru-RU"/>
        </w:rPr>
        <w:t xml:space="preserve"> 1944 г. утвержден главным конструктором, и в этом же месяце по</w:t>
      </w:r>
      <w:r w:rsidRPr="007224C3">
        <w:rPr>
          <w:color w:val="000000" w:themeColor="text1"/>
          <w:lang w:val="ru-RU"/>
        </w:rPr>
        <w:softHyphen/>
      </w:r>
      <w:r w:rsidRPr="007224C3">
        <w:rPr>
          <w:rStyle w:val="221"/>
          <w:rFonts w:ascii="Times New Roman" w:hAnsi="Times New Roman" w:cs="Times New Roman"/>
          <w:b w:val="0"/>
          <w:color w:val="000000" w:themeColor="text1"/>
          <w:sz w:val="16"/>
          <w:szCs w:val="16"/>
          <w:lang w:val="ru-RU"/>
        </w:rPr>
        <w:t>лучил</w:t>
      </w:r>
      <w:r w:rsidRPr="007224C3">
        <w:rPr>
          <w:color w:val="000000" w:themeColor="text1"/>
          <w:lang w:val="ru-RU"/>
        </w:rPr>
        <w:t xml:space="preserve"> положительную оценку И.В. Ста</w:t>
      </w:r>
      <w:r w:rsidRPr="007224C3">
        <w:rPr>
          <w:color w:val="000000" w:themeColor="text1"/>
          <w:lang w:val="ru-RU"/>
        </w:rPr>
        <w:softHyphen/>
        <w:t>лина, о чем в своей книге «Цель жизни» упоминает А.С. Яковлев. Немало хлопот конструкторскому коллективу доста</w:t>
      </w:r>
      <w:r w:rsidRPr="007224C3">
        <w:rPr>
          <w:color w:val="000000" w:themeColor="text1"/>
          <w:lang w:val="ru-RU"/>
        </w:rPr>
        <w:softHyphen/>
        <w:t>вила работа над эскизным проектом самолета. Позднее С.В. Ильюшин, вспо</w:t>
      </w:r>
      <w:r w:rsidRPr="007224C3">
        <w:rPr>
          <w:color w:val="000000" w:themeColor="text1"/>
          <w:lang w:val="ru-RU"/>
        </w:rPr>
        <w:softHyphen/>
      </w:r>
      <w:r w:rsidRPr="007224C3">
        <w:rPr>
          <w:rStyle w:val="221"/>
          <w:rFonts w:ascii="Times New Roman" w:hAnsi="Times New Roman" w:cs="Times New Roman"/>
          <w:b w:val="0"/>
          <w:color w:val="000000" w:themeColor="text1"/>
          <w:sz w:val="16"/>
          <w:szCs w:val="16"/>
          <w:lang w:val="ru-RU"/>
        </w:rPr>
        <w:t>миная</w:t>
      </w:r>
      <w:r w:rsidRPr="007224C3">
        <w:rPr>
          <w:color w:val="000000" w:themeColor="text1"/>
          <w:lang w:val="ru-RU"/>
        </w:rPr>
        <w:t xml:space="preserve"> о том периоде, говорил:</w:t>
      </w:r>
      <w:r w:rsidRPr="007224C3">
        <w:rPr>
          <w:rStyle w:val="152"/>
          <w:rFonts w:ascii="Times New Roman" w:hAnsi="Times New Roman" w:cs="Times New Roman"/>
          <w:i w:val="0"/>
          <w:color w:val="000000" w:themeColor="text1"/>
          <w:sz w:val="16"/>
          <w:szCs w:val="16"/>
          <w:lang w:val="ru-RU"/>
        </w:rPr>
        <w:t xml:space="preserve"> «Тща</w:t>
      </w:r>
      <w:r w:rsidRPr="007224C3">
        <w:rPr>
          <w:rStyle w:val="152"/>
          <w:rFonts w:ascii="Times New Roman" w:hAnsi="Times New Roman" w:cs="Times New Roman"/>
          <w:i w:val="0"/>
          <w:color w:val="000000" w:themeColor="text1"/>
          <w:sz w:val="16"/>
          <w:szCs w:val="16"/>
          <w:lang w:val="ru-RU"/>
        </w:rPr>
        <w:softHyphen/>
        <w:t>тельно разработанных требований к транспортному самолету тогда не было и</w:t>
      </w:r>
      <w:r w:rsidRPr="007224C3">
        <w:rPr>
          <w:rStyle w:val="230"/>
          <w:rFonts w:ascii="Times New Roman" w:hAnsi="Times New Roman" w:cs="Times New Roman"/>
          <w:b w:val="0"/>
          <w:i w:val="0"/>
          <w:color w:val="000000" w:themeColor="text1"/>
          <w:sz w:val="16"/>
          <w:szCs w:val="16"/>
          <w:lang w:val="ru-RU"/>
        </w:rPr>
        <w:t xml:space="preserve"> в</w:t>
      </w:r>
      <w:r w:rsidRPr="007224C3">
        <w:rPr>
          <w:rStyle w:val="152"/>
          <w:rFonts w:ascii="Times New Roman" w:hAnsi="Times New Roman" w:cs="Times New Roman"/>
          <w:i w:val="0"/>
          <w:color w:val="000000" w:themeColor="text1"/>
          <w:sz w:val="16"/>
          <w:szCs w:val="16"/>
          <w:lang w:val="ru-RU"/>
        </w:rPr>
        <w:t xml:space="preserve"> помине. Конструкторам приходилось проектировать самолет на свой страх и риск. Когда мы начали работать над проектом, многого из того, что требу</w:t>
      </w:r>
      <w:r w:rsidRPr="007224C3">
        <w:rPr>
          <w:rStyle w:val="152"/>
          <w:rFonts w:ascii="Times New Roman" w:hAnsi="Times New Roman" w:cs="Times New Roman"/>
          <w:i w:val="0"/>
          <w:color w:val="000000" w:themeColor="text1"/>
          <w:sz w:val="16"/>
          <w:szCs w:val="16"/>
          <w:lang w:val="ru-RU"/>
        </w:rPr>
        <w:softHyphen/>
        <w:t>ется для оснащения современного воз</w:t>
      </w:r>
      <w:r w:rsidRPr="007224C3">
        <w:rPr>
          <w:rStyle w:val="152"/>
          <w:rFonts w:ascii="Times New Roman" w:hAnsi="Times New Roman" w:cs="Times New Roman"/>
          <w:i w:val="0"/>
          <w:color w:val="000000" w:themeColor="text1"/>
          <w:sz w:val="16"/>
          <w:szCs w:val="16"/>
          <w:lang w:val="ru-RU"/>
        </w:rPr>
        <w:softHyphen/>
        <w:t>душного корабля не было. Однако это нас не обескуражило. Мы знали, что как только кончится война, у нас будут все возможности для оснащения граждан</w:t>
      </w:r>
      <w:r w:rsidRPr="007224C3">
        <w:rPr>
          <w:rStyle w:val="152"/>
          <w:rFonts w:ascii="Times New Roman" w:hAnsi="Times New Roman" w:cs="Times New Roman"/>
          <w:i w:val="0"/>
          <w:color w:val="000000" w:themeColor="text1"/>
          <w:sz w:val="16"/>
          <w:szCs w:val="16"/>
          <w:lang w:val="ru-RU"/>
        </w:rPr>
        <w:softHyphen/>
        <w:t>ских самолетов самым довременным оборудованием» (15749).</w:t>
      </w:r>
    </w:p>
    <w:p w14:paraId="732995B6" w14:textId="77777777" w:rsidR="002F4B64" w:rsidRPr="007224C3" w:rsidRDefault="002F4B64" w:rsidP="007224C3">
      <w:pPr>
        <w:pStyle w:val="a3"/>
        <w:rPr>
          <w:color w:val="000000" w:themeColor="text1"/>
          <w:lang w:val="ru-RU"/>
        </w:rPr>
      </w:pPr>
    </w:p>
    <w:p w14:paraId="1D61596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апреля 1944 года в Каменск-Уральском смонтирован и пущен в эксплуатацию новый завод № 268 НКАП (8952).</w:t>
      </w:r>
    </w:p>
    <w:p w14:paraId="3AAEDE9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9E267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апреля 1944 вышло Постановление ГКО № 5604 О строительстве 15 полевых аэродромов со сборными металлическими взлетно-посадочными полосами, рулежными дорожками и местами стоянок. РГАНИР, Фонд ГКО, д. 232, лл. 169-174,175-177 (11012).</w:t>
      </w:r>
    </w:p>
    <w:p w14:paraId="0B36746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31B7C3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апреля 1944 вышло Постановление ГКО № 5607 О поставке воздухоплавательного имущества Наркомату обороны СССР и Наркомвоенморфлоту во II квартале 1944 г. РГАНИР, Фонд ГКО, д. 232, лл. 224-227,228-236 (11012).</w:t>
      </w:r>
    </w:p>
    <w:p w14:paraId="10790EB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F35656F"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0E81119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88CA58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апреля 1944 г. был подготовлен ДОКЛАД О СОСТОЯНИИ БРОНЕПОЕЗДОВ И ИХ ВООРУЖЕНИЯ ПО ОПЫТУ УЧАСТИЯ ИХ В ОТЕЧЕСТВЕННОЙ ВОЙНЕ</w:t>
      </w:r>
    </w:p>
    <w:p w14:paraId="16B6CD1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Данные о бронепоездах к началу войны</w:t>
      </w:r>
    </w:p>
    <w:p w14:paraId="7DE6A2C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Бронепоезда строились одним заводом — заводом «Красный Профинтерн» в г. Бежица, с про</w:t>
      </w:r>
      <w:r w:rsidRPr="007224C3">
        <w:rPr>
          <w:rFonts w:ascii="Times New Roman" w:hAnsi="Times New Roman"/>
          <w:color w:val="000000" w:themeColor="text1"/>
          <w:sz w:val="16"/>
          <w:szCs w:val="16"/>
        </w:rPr>
        <w:softHyphen/>
        <w:t>граммой 5-6 бронепоездов в год.</w:t>
      </w:r>
    </w:p>
    <w:p w14:paraId="14007C3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Ремонт бронепоездов, их модернизация, а также изготовление опытных образцов и разра</w:t>
      </w:r>
      <w:r w:rsidRPr="007224C3">
        <w:rPr>
          <w:rFonts w:ascii="Times New Roman" w:hAnsi="Times New Roman"/>
          <w:color w:val="000000" w:themeColor="text1"/>
          <w:sz w:val="16"/>
          <w:szCs w:val="16"/>
        </w:rPr>
        <w:softHyphen/>
        <w:t>ботка различной технической документации (чертежи на новое строительство, на модернизацию, опытные образцы и т.п.) производилось рембазой №6 АБТУ РККА в г. Брянске.</w:t>
      </w:r>
    </w:p>
    <w:p w14:paraId="71A96F6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Ремонт железнодорожной части бронепаровозов (собственно паровоза) и бронеплощадок (ходо</w:t>
      </w:r>
      <w:r w:rsidRPr="007224C3">
        <w:rPr>
          <w:rFonts w:ascii="Times New Roman" w:hAnsi="Times New Roman"/>
          <w:color w:val="000000" w:themeColor="text1"/>
          <w:sz w:val="16"/>
          <w:szCs w:val="16"/>
        </w:rPr>
        <w:softHyphen/>
        <w:t>вой части) производился в специально выделенном только для этой цели депо на станции Брянск.</w:t>
      </w:r>
    </w:p>
    <w:p w14:paraId="0C23386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Бронепоезда изготовлялись в следующем составе: бронепаровоз (тип ПР-35), две четырехос</w:t>
      </w:r>
      <w:r w:rsidRPr="007224C3">
        <w:rPr>
          <w:rFonts w:ascii="Times New Roman" w:hAnsi="Times New Roman"/>
          <w:color w:val="000000" w:themeColor="text1"/>
          <w:sz w:val="16"/>
          <w:szCs w:val="16"/>
        </w:rPr>
        <w:softHyphen/>
        <w:t>ных двухбашенных бронеплощадки и одна платформа ПВО (тип СПУ-БП).</w:t>
      </w:r>
    </w:p>
    <w:p w14:paraId="3E36AE3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К началу войны в Красной Армии состояло 34 легких бронепоезда и 13 тяжелых бронепоездов, из них в ДВФ и Забайкальском фронте — 12 легких и 5 тяжелых бронепоездов. Платформ ПВО (типа СПУ-БП) имелось всего 28 штук, из них в ДВФ и Забайкальском фронте — 15 штук.</w:t>
      </w:r>
    </w:p>
    <w:p w14:paraId="52C5562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Характеристика бронепоездов: Легкий бронепоезд.</w:t>
      </w:r>
    </w:p>
    <w:p w14:paraId="77880E6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Бронепаровоз серии О</w:t>
      </w:r>
      <w:r w:rsidRPr="007224C3">
        <w:rPr>
          <w:rFonts w:ascii="Times New Roman" w:hAnsi="Times New Roman"/>
          <w:color w:val="000000" w:themeColor="text1"/>
          <w:sz w:val="16"/>
          <w:szCs w:val="16"/>
          <w:vertAlign w:val="superscript"/>
        </w:rPr>
        <w:t>в</w:t>
      </w:r>
      <w:r w:rsidRPr="007224C3">
        <w:rPr>
          <w:rFonts w:ascii="Times New Roman" w:hAnsi="Times New Roman"/>
          <w:color w:val="000000" w:themeColor="text1"/>
          <w:sz w:val="16"/>
          <w:szCs w:val="16"/>
        </w:rPr>
        <w:t>, толщина брони 10 до 15 мм, вооружен 2 шт. пулеметов «Максима» (спаренные зенитные).</w:t>
      </w:r>
    </w:p>
    <w:p w14:paraId="399CA01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2 шт. четырехосных бронеплощадки, толщина брони 15-20 мм, вооружение (бронепоезда) 4 шт. 76-мм пушки образца 1902 года или 1902/30 года и 12 шт. бортовых пулеметов «Максима». Тяжелый бронепоезд.</w:t>
      </w:r>
    </w:p>
    <w:p w14:paraId="48B7628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Бронепаровоз серии О</w:t>
      </w:r>
      <w:r w:rsidRPr="007224C3">
        <w:rPr>
          <w:rFonts w:ascii="Times New Roman" w:hAnsi="Times New Roman"/>
          <w:color w:val="000000" w:themeColor="text1"/>
          <w:sz w:val="16"/>
          <w:szCs w:val="16"/>
          <w:vertAlign w:val="superscript"/>
        </w:rPr>
        <w:t>в</w:t>
      </w:r>
      <w:r w:rsidRPr="007224C3">
        <w:rPr>
          <w:rFonts w:ascii="Times New Roman" w:hAnsi="Times New Roman"/>
          <w:color w:val="000000" w:themeColor="text1"/>
          <w:sz w:val="16"/>
          <w:szCs w:val="16"/>
        </w:rPr>
        <w:t>.</w:t>
      </w:r>
    </w:p>
    <w:p w14:paraId="3E4CE29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2 шт. четырехосных бронеплощадки, толщина брони до 20 мм, вооружение (бронепоезда) 2 шт. 107-мм пушки образца 1910 года и 10 пулеметов «Максима».</w:t>
      </w:r>
    </w:p>
    <w:p w14:paraId="269E72A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Платформа ПВО (СПУ-БП) — на двухосной платформе смонтирована специальная башня с зенитной установкой счетверенных пулеметов «Максима».</w:t>
      </w:r>
    </w:p>
    <w:p w14:paraId="27A0834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внутреннему оборудованию, электроосвещению, внутренней связи (морского образца) и внешней связи (рация 71-ТК-2) боевая работа бронепоездов полностью обеспечивается.</w:t>
      </w:r>
    </w:p>
    <w:p w14:paraId="53D8E6C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Недостатки бронепоездов:</w:t>
      </w:r>
    </w:p>
    <w:p w14:paraId="431A2BA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Слабая броневая защита.</w:t>
      </w:r>
    </w:p>
    <w:p w14:paraId="5E0A34F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Отсутствие зенитных средств.</w:t>
      </w:r>
    </w:p>
    <w:p w14:paraId="489F76A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Большая мишенная поверхность (по высоте бронеплощадок).</w:t>
      </w:r>
    </w:p>
    <w:p w14:paraId="2898772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 Наличие четырехосных бронеплощадок затрудняет их подъемку при сходе с рельс, а также при выходе одной бронеплощадки бронепоезд терял половину огневых средств. 7. Хорошая сторона:</w:t>
      </w:r>
    </w:p>
    <w:p w14:paraId="7C1F143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Надежное вооружение.</w:t>
      </w:r>
    </w:p>
    <w:p w14:paraId="4F584D8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Внутреннее оборудование полностью обеспечивало работу бронепоезда.</w:t>
      </w:r>
    </w:p>
    <w:p w14:paraId="09A377D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Быстрое и легкое вращение орудийных башен.</w:t>
      </w:r>
    </w:p>
    <w:p w14:paraId="5F38F1E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 Простота ведения огня с закрытых позиций (наличие панорам Герца) — как из полевой батареи.</w:t>
      </w:r>
    </w:p>
    <w:p w14:paraId="26A52EB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Данные о бронепоездах постройки первого периода Отечественной войны</w:t>
      </w:r>
    </w:p>
    <w:p w14:paraId="29FE0FB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(сентябрь 1941 г. — май 1942 г.)</w:t>
      </w:r>
    </w:p>
    <w:p w14:paraId="12AE25F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Вследствие перемещения промышленности на восток и нахождения ее в стадии становления, в период с сентября месяца 1941 года по май месяц 1942 года строительство бронепоездов приняло широкие размеры. Бронепоезда строили главным образом железнодорожные предприятия НКПС (депо и ремонтные заводы).</w:t>
      </w:r>
    </w:p>
    <w:p w14:paraId="3DF354F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К маю месяцу 1942 года было построено 100 бронепоездов.</w:t>
      </w:r>
    </w:p>
    <w:p w14:paraId="3B0E5DB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До декабря месяца 1941 г. бронепоезда (тип Полтавского завода) строились несколько похо</w:t>
      </w:r>
      <w:r w:rsidRPr="007224C3">
        <w:rPr>
          <w:rFonts w:ascii="Times New Roman" w:hAnsi="Times New Roman"/>
          <w:color w:val="000000" w:themeColor="text1"/>
          <w:sz w:val="16"/>
          <w:szCs w:val="16"/>
        </w:rPr>
        <w:softHyphen/>
        <w:t>жими на бронепоезда довоенной постройки в составе двух четырехосных двухбашенных бронепло</w:t>
      </w:r>
      <w:r w:rsidRPr="007224C3">
        <w:rPr>
          <w:rFonts w:ascii="Times New Roman" w:hAnsi="Times New Roman"/>
          <w:color w:val="000000" w:themeColor="text1"/>
          <w:sz w:val="16"/>
          <w:szCs w:val="16"/>
        </w:rPr>
        <w:softHyphen/>
        <w:t>щадок и бронепаровоза серии О</w:t>
      </w:r>
      <w:r w:rsidRPr="007224C3">
        <w:rPr>
          <w:rFonts w:ascii="Times New Roman" w:hAnsi="Times New Roman"/>
          <w:color w:val="000000" w:themeColor="text1"/>
          <w:sz w:val="16"/>
          <w:szCs w:val="16"/>
          <w:vertAlign w:val="superscript"/>
        </w:rPr>
        <w:t>в</w:t>
      </w:r>
      <w:r w:rsidRPr="007224C3">
        <w:rPr>
          <w:rFonts w:ascii="Times New Roman" w:hAnsi="Times New Roman"/>
          <w:color w:val="000000" w:themeColor="text1"/>
          <w:sz w:val="16"/>
          <w:szCs w:val="16"/>
        </w:rPr>
        <w:t xml:space="preserve"> (без платформ ПВО), средствами ПВО в большинстве случаев не обеспечивались.</w:t>
      </w:r>
    </w:p>
    <w:p w14:paraId="312E303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последующий период бронепоезда строились в следующем составе: бронепаровоз серии О</w:t>
      </w:r>
      <w:r w:rsidRPr="007224C3">
        <w:rPr>
          <w:rFonts w:ascii="Times New Roman" w:hAnsi="Times New Roman"/>
          <w:color w:val="000000" w:themeColor="text1"/>
          <w:sz w:val="16"/>
          <w:szCs w:val="16"/>
          <w:vertAlign w:val="superscript"/>
        </w:rPr>
        <w:t>в</w:t>
      </w:r>
      <w:r w:rsidRPr="007224C3">
        <w:rPr>
          <w:rFonts w:ascii="Times New Roman" w:hAnsi="Times New Roman"/>
          <w:color w:val="000000" w:themeColor="text1"/>
          <w:sz w:val="16"/>
          <w:szCs w:val="16"/>
        </w:rPr>
        <w:t>, четырех двухосных однобашенных бронеплощадок (тип ОБ-3) и платформы ПВО.</w:t>
      </w:r>
    </w:p>
    <w:p w14:paraId="53FC75B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Характеристики бронепоездов:</w:t>
      </w:r>
    </w:p>
    <w:p w14:paraId="173BB44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Вследствие отсутствия качественной броневой стали бронепоезда строились из сырой броне</w:t>
      </w:r>
      <w:r w:rsidRPr="007224C3">
        <w:rPr>
          <w:rFonts w:ascii="Times New Roman" w:hAnsi="Times New Roman"/>
          <w:color w:val="000000" w:themeColor="text1"/>
          <w:sz w:val="16"/>
          <w:szCs w:val="16"/>
        </w:rPr>
        <w:softHyphen/>
        <w:t>вой стали, а также из подручного металла.</w:t>
      </w:r>
    </w:p>
    <w:p w14:paraId="687F213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Толщина брони: бронепаровоза — до 45 мм, четырехосных бронеплощадок — 45 мм, двухосных бронеплощадок — 30 мм (15+ 15 мм — в два слоя).</w:t>
      </w:r>
    </w:p>
    <w:p w14:paraId="702A21A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Артвооружение — было использовано находящееся в арсеналах и мало используемое в поле</w:t>
      </w:r>
      <w:r w:rsidRPr="007224C3">
        <w:rPr>
          <w:rFonts w:ascii="Times New Roman" w:hAnsi="Times New Roman"/>
          <w:color w:val="000000" w:themeColor="text1"/>
          <w:sz w:val="16"/>
          <w:szCs w:val="16"/>
        </w:rPr>
        <w:softHyphen/>
        <w:t>вой артиллерии — различных образцов: 76-мм зенитные [пушки] образца 1914-1915 годов, 75-мм французские пушки образца 1897 года, 75-мм польские [пушки] образца 1902-1926 годов, 76-мм образца 1902 года, 76-мм образца 1927 года и т.п. и даже 45-мм танковые пушки.</w:t>
      </w:r>
    </w:p>
    <w:p w14:paraId="1B5917D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76-мм зенитные пушки образца 1914-1915 годов главным образом устанавливались на четыре</w:t>
      </w:r>
      <w:r w:rsidRPr="007224C3">
        <w:rPr>
          <w:rFonts w:ascii="Times New Roman" w:hAnsi="Times New Roman"/>
          <w:color w:val="000000" w:themeColor="text1"/>
          <w:sz w:val="16"/>
          <w:szCs w:val="16"/>
        </w:rPr>
        <w:softHyphen/>
        <w:t>хосных двухбашенных бронеплощадках.</w:t>
      </w:r>
    </w:p>
    <w:p w14:paraId="43F4AB2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Бортовое вооружение — пулеметов ДТ — 12 шт. в бронепоездах с четырехосными бронепло-щадками и до 20 шт. в бронепоездах с двухосными бронеплощадками.</w:t>
      </w:r>
    </w:p>
    <w:p w14:paraId="1C56263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Зенитное вооружение — к марту месяцу 1941 года каждый дивизион бронепоездов (2 бронепоез</w:t>
      </w:r>
      <w:r w:rsidRPr="007224C3">
        <w:rPr>
          <w:rFonts w:ascii="Times New Roman" w:hAnsi="Times New Roman"/>
          <w:color w:val="000000" w:themeColor="text1"/>
          <w:sz w:val="16"/>
          <w:szCs w:val="16"/>
        </w:rPr>
        <w:softHyphen/>
        <w:t>да) были обеспечены в большинстве случаев семью зенитными точками — 12,7-мм пулеметами ДШК, в меньшей степени 25-37-мм пушками. Почти каждому бронепоезду давалась бронеплощадка ПВО.</w:t>
      </w:r>
    </w:p>
    <w:p w14:paraId="3006122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Внутреннее оборудование:</w:t>
      </w:r>
    </w:p>
    <w:p w14:paraId="73F2749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Связь — примитивного образца — полевые телефоны или временного железнодорожного типа (индукторные), т.к. промышленность еще не могла обеспечить специальной аппаратурой.</w:t>
      </w:r>
    </w:p>
    <w:p w14:paraId="3770E28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Прочее оборудование (стеллажи, паровое отопление, электроосвещение) изготовлялось упро</w:t>
      </w:r>
      <w:r w:rsidRPr="007224C3">
        <w:rPr>
          <w:rFonts w:ascii="Times New Roman" w:hAnsi="Times New Roman"/>
          <w:color w:val="000000" w:themeColor="text1"/>
          <w:sz w:val="16"/>
          <w:szCs w:val="16"/>
        </w:rPr>
        <w:softHyphen/>
        <w:t>щенной конструкции из подручных материалов. 5. Общие положительные стороны:</w:t>
      </w:r>
    </w:p>
    <w:p w14:paraId="00AF757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Особенно положительной стороной строительства этого периода является использование внутренних материальных ресурсов и неиспользуемого для других родов войск вооружения.</w:t>
      </w:r>
    </w:p>
    <w:p w14:paraId="663A2BF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Развертывание строительства на большем числе предприятий (60 заводов и депо) обеспечило массовость их выпуска и быстрое вооружение бронепоездами Красной Армии.</w:t>
      </w:r>
    </w:p>
    <w:p w14:paraId="60B4DB5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Обеспеченность (хотя и недостаточная) бронепоездов средствами ПВО уменьшила уязви</w:t>
      </w:r>
      <w:r w:rsidRPr="007224C3">
        <w:rPr>
          <w:rFonts w:ascii="Times New Roman" w:hAnsi="Times New Roman"/>
          <w:color w:val="000000" w:themeColor="text1"/>
          <w:sz w:val="16"/>
          <w:szCs w:val="16"/>
        </w:rPr>
        <w:softHyphen/>
        <w:t>мость бронепоездов с воздуха в сравнении с бронепоездами довоенного периода и начала войны. 6. Технические и тактические недостатки:</w:t>
      </w:r>
    </w:p>
    <w:p w14:paraId="154EE07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Сырая броневая сталь.</w:t>
      </w:r>
    </w:p>
    <w:p w14:paraId="0E06CD0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Разнохарактерность образцов вооружения, слабое и устаревшее вооружение.</w:t>
      </w:r>
    </w:p>
    <w:p w14:paraId="35F3CF5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Перегруженность бронеплощадок по осям.</w:t>
      </w:r>
    </w:p>
    <w:p w14:paraId="65673CD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 Медленное вращение орудийных башен.</w:t>
      </w:r>
    </w:p>
    <w:p w14:paraId="4495C8F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 Бронепаровозы имеют неудобную рубку командира и башню ПВО. е) Внутренняя связь не обеспечивает в должной степени управления, ж) Нет полной укомплектованности бронепоездов до штата 25-37-мм зенитными пушками.</w:t>
      </w:r>
    </w:p>
    <w:p w14:paraId="414B82C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Данные о бронепоездах постройки 1942-1943 годов</w:t>
      </w:r>
    </w:p>
    <w:p w14:paraId="08E5A88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Опыт войны 1941 и начала 1942 годов показал, что бронепоезда должны иметь более мощ</w:t>
      </w:r>
      <w:r w:rsidRPr="007224C3">
        <w:rPr>
          <w:rFonts w:ascii="Times New Roman" w:hAnsi="Times New Roman"/>
          <w:color w:val="000000" w:themeColor="text1"/>
          <w:sz w:val="16"/>
          <w:szCs w:val="16"/>
        </w:rPr>
        <w:softHyphen/>
        <w:t>ное артвооружение, более надежную броневую защиту, меньший вес (меньшие нагрузки на оси) и надежные средства ПВО.</w:t>
      </w:r>
    </w:p>
    <w:p w14:paraId="6D7DE88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На основе этих данных в середине 1942 года был разработан проект нового бронепоезда — тип БП-43. Этот тип, как показал опыт их применения, является наиболее совершенным в сравнении со всеми ранее строившимися бронепоездами.</w:t>
      </w:r>
    </w:p>
    <w:p w14:paraId="124F4FF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Бронепоездов типа БП-43 в течение 1942-1943 годов построено 20 штук.</w:t>
      </w:r>
    </w:p>
    <w:p w14:paraId="07BAF85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Состав бронепоезда БП-43: бронепаровоз типа ПР-43, 4 шт. двухонсных однобашенных броне-площадки типа ПЛ-43 и 1 шт. двухосной бронеплощадки ПВО (тип ПВО-4).</w:t>
      </w:r>
    </w:p>
    <w:p w14:paraId="2AD5098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Характеристика бронепоезда БП-43: Бронепоезд серии О</w:t>
      </w:r>
      <w:r w:rsidRPr="007224C3">
        <w:rPr>
          <w:rFonts w:ascii="Times New Roman" w:hAnsi="Times New Roman"/>
          <w:color w:val="000000" w:themeColor="text1"/>
          <w:sz w:val="16"/>
          <w:szCs w:val="16"/>
          <w:vertAlign w:val="superscript"/>
        </w:rPr>
        <w:t>в</w:t>
      </w:r>
      <w:r w:rsidRPr="007224C3">
        <w:rPr>
          <w:rFonts w:ascii="Times New Roman" w:hAnsi="Times New Roman"/>
          <w:color w:val="000000" w:themeColor="text1"/>
          <w:sz w:val="16"/>
          <w:szCs w:val="16"/>
        </w:rPr>
        <w:t>:</w:t>
      </w:r>
    </w:p>
    <w:p w14:paraId="49DA57A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Толщина брони (термически обработанная) — от 20 до 45 мм.</w:t>
      </w:r>
    </w:p>
    <w:p w14:paraId="5862826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Вооружение — 12,7-мм зенитный пулемет ДШК.</w:t>
      </w:r>
    </w:p>
    <w:p w14:paraId="5632961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Удобный пост управления (рубка командира). Бронеплощадки ПЛ-43:</w:t>
      </w:r>
    </w:p>
    <w:p w14:paraId="6DB4F24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Толщина брони (термически обработанная) — 45 мм.</w:t>
      </w:r>
    </w:p>
    <w:p w14:paraId="51BF8CA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Вооружение (всего бронепоезда) — 4 шт. 76-мм пушки в башнях танка Т-34, 12 шт. пулеметов ДТ. Бронеплощадка ПВО:</w:t>
      </w:r>
    </w:p>
    <w:p w14:paraId="3C8383B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Толщина брони (термически обработанная) — 30 мм.</w:t>
      </w:r>
    </w:p>
    <w:p w14:paraId="1C60BAE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Вооружение — 2 шт. 37-мм зенитных пушки. Внутреннее оборудование бронепоезда:</w:t>
      </w:r>
    </w:p>
    <w:p w14:paraId="45EFFFD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Надежная внутренняя связь танкового типа: телефон, ревун и светосигнал.</w:t>
      </w:r>
    </w:p>
    <w:p w14:paraId="2336007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Безотказно действующая радиостанция.</w:t>
      </w:r>
    </w:p>
    <w:p w14:paraId="69BBD12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Электроосвещение и электропривод вращения орудийной башни.</w:t>
      </w:r>
    </w:p>
    <w:p w14:paraId="6552D64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 Надежное и удобное в использовании прочее внутреннее оборудование: стеллажи, паровое отопление, места размещения личного состава и т.п.</w:t>
      </w:r>
    </w:p>
    <w:p w14:paraId="35F31BD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Положительной стороной бронепоезда БП-43 является:</w:t>
      </w:r>
    </w:p>
    <w:p w14:paraId="4A80BE5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Хорошее вооружение (76-мм пушки Ф-34 и 37-мм зенитные пушки).</w:t>
      </w:r>
    </w:p>
    <w:p w14:paraId="4813976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Усиленная броневая защита.</w:t>
      </w:r>
    </w:p>
    <w:p w14:paraId="32A51FC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Малая мишенная площадь бронеплощадок.</w:t>
      </w:r>
    </w:p>
    <w:p w14:paraId="03C1778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 Малый вес бронеплощадок и удобство их подъемки при сходе с рельс.</w:t>
      </w:r>
    </w:p>
    <w:p w14:paraId="301251A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 Удобное и надежное внутреннее оборудование.</w:t>
      </w:r>
    </w:p>
    <w:p w14:paraId="49D3399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е) Хорошее средство внутренней и внешней связи.</w:t>
      </w:r>
    </w:p>
    <w:p w14:paraId="4754A84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ж) Удовлетворительная защита от самолетов противника (2 шт. 37-мм пушки и 1 шт. 12,7-мм пулемет).</w:t>
      </w:r>
    </w:p>
    <w:p w14:paraId="15C95B0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сравнении со всеми бронепоездами бронепоезд БП-43 во всех отношениях является лучшим типом.</w:t>
      </w:r>
    </w:p>
    <w:p w14:paraId="68B5F93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Основные недостатки бронепоезда БП-43:</w:t>
      </w:r>
    </w:p>
    <w:p w14:paraId="28261BA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Неудобное размещение командира бронеплощадки.</w:t>
      </w:r>
    </w:p>
    <w:p w14:paraId="5900A93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Из рубки командира недостаточно удобное наблюдение за воздухом.</w:t>
      </w:r>
    </w:p>
    <w:p w14:paraId="096990D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Схема электрооборудования не дает полной зарядки аккумуляторов.</w:t>
      </w:r>
    </w:p>
    <w:p w14:paraId="31E6F98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Устранение этих недостатков предусмотрено, но в связи с прекращением производства броне</w:t>
      </w:r>
      <w:r w:rsidRPr="007224C3">
        <w:rPr>
          <w:rFonts w:ascii="Times New Roman" w:hAnsi="Times New Roman"/>
          <w:color w:val="000000" w:themeColor="text1"/>
          <w:sz w:val="16"/>
          <w:szCs w:val="16"/>
        </w:rPr>
        <w:softHyphen/>
        <w:t>поездов их осуществить не представляется возможным. Устранение их на существующих бронепо</w:t>
      </w:r>
      <w:r w:rsidRPr="007224C3">
        <w:rPr>
          <w:rFonts w:ascii="Times New Roman" w:hAnsi="Times New Roman"/>
          <w:color w:val="000000" w:themeColor="text1"/>
          <w:sz w:val="16"/>
          <w:szCs w:val="16"/>
        </w:rPr>
        <w:softHyphen/>
        <w:t>ездах является нерентабельным (большие затраты и большой отрыв бронепоездов с фронта).</w:t>
      </w:r>
    </w:p>
    <w:p w14:paraId="04FF6CF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Перевооружение бронепоездов постройки 1941-1942 годов и их модернизация</w:t>
      </w:r>
    </w:p>
    <w:p w14:paraId="5603E6B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В 1943 году из бронепоездов имеющих устаревшие и слабые артсистемы перевооружено 52 шт. бронепоездов на 76-мм танковые пушки Ф-34.</w:t>
      </w:r>
    </w:p>
    <w:p w14:paraId="6EB5FF8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перевооружении бронепоездов производился их ремонт и улучшение внутреннего обору</w:t>
      </w:r>
      <w:r w:rsidRPr="007224C3">
        <w:rPr>
          <w:rFonts w:ascii="Times New Roman" w:hAnsi="Times New Roman"/>
          <w:color w:val="000000" w:themeColor="text1"/>
          <w:sz w:val="16"/>
          <w:szCs w:val="16"/>
        </w:rPr>
        <w:softHyphen/>
        <w:t>дования и усиление ходовых частей.</w:t>
      </w:r>
    </w:p>
    <w:p w14:paraId="57188EB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При перевооружении производилось частичное усиление бронепоездов зенитными средства</w:t>
      </w:r>
      <w:r w:rsidRPr="007224C3">
        <w:rPr>
          <w:rFonts w:ascii="Times New Roman" w:hAnsi="Times New Roman"/>
          <w:color w:val="000000" w:themeColor="text1"/>
          <w:sz w:val="16"/>
          <w:szCs w:val="16"/>
        </w:rPr>
        <w:softHyphen/>
        <w:t>ми — бронепоезда доукомплектовывались бронеплощадками ПВО с 25-37-мм зенитными пушками.</w:t>
      </w:r>
    </w:p>
    <w:p w14:paraId="642911E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В 1943-1944 годах при ремонте бронепоездов производилась и производится модернизация части бронепоездов: замена рубок командира на бронепаровозах по типу бронепоезда БП-43, заме</w:t>
      </w:r>
      <w:r w:rsidRPr="007224C3">
        <w:rPr>
          <w:rFonts w:ascii="Times New Roman" w:hAnsi="Times New Roman"/>
          <w:color w:val="000000" w:themeColor="text1"/>
          <w:sz w:val="16"/>
          <w:szCs w:val="16"/>
        </w:rPr>
        <w:softHyphen/>
        <w:t>на башен ПВО на бронепаровозе и установка в них 12,7-мм зенитных пулеметов, устанавливаются рации, улучшается электрооборудование, внутренняя связь и прочее внутреннее оборудование.</w:t>
      </w:r>
    </w:p>
    <w:p w14:paraId="16A1711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Зенитное вооружение бронепоездов</w:t>
      </w:r>
    </w:p>
    <w:p w14:paraId="4A7C377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К началу 1942 года бронепоезда фактически не имели зенитных средств. К марту месяцу 1942 года бронепоезда стали укомплектовываться 12,7-мм пулеметами Л Т ПК, а в последующие месяцы 1942 года 25-мм зенитными пушками (по 1 пушке на бронепоезд) и в дальнейшем 37-мм зенитными пушками.</w:t>
      </w:r>
    </w:p>
    <w:p w14:paraId="1A691F0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В настоящее время в бронепоездах имеется 98 бронеплощадок ПВО (на 2 зенитные точки каждая). На них установлено 72 шт. 12,7-мм зенитных пулеметов ДШК и 123 шт. 25-37-мм зенитных пушек. Кроме того, почти на каждом бронепаровозе бронепоезда установлено по одному 12,7-мм пулемету ДШК и в базе каждого дивизиона имеется по 1 шт. 12,7-мм пулемета ДШК.</w:t>
      </w:r>
    </w:p>
    <w:p w14:paraId="4DD85C5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Во II и III квартале 1943 года будет изготовлена 31 бронеплощадка ПВО с 37-мм зенитными пушками. Таким образом, все бронепоезда будут укомплектованы бронеплощадками ПВО.</w:t>
      </w:r>
    </w:p>
    <w:p w14:paraId="005B0E5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Для полного укомплектования бронепоездов 25-37-мм зенитными пушками до штата еще потребно 73 шт. зенитных пушек.</w:t>
      </w:r>
    </w:p>
    <w:p w14:paraId="4041AA7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Нужно считать, что зенитная защита бронепоездов в настоящее время является удовлетвори</w:t>
      </w:r>
      <w:r w:rsidRPr="007224C3">
        <w:rPr>
          <w:rFonts w:ascii="Times New Roman" w:hAnsi="Times New Roman"/>
          <w:color w:val="000000" w:themeColor="text1"/>
          <w:sz w:val="16"/>
          <w:szCs w:val="16"/>
        </w:rPr>
        <w:softHyphen/>
        <w:t>тельной.</w:t>
      </w:r>
    </w:p>
    <w:p w14:paraId="3235A46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Проекты новых видов бронепоездов</w:t>
      </w:r>
    </w:p>
    <w:p w14:paraId="4EF0A70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Зенитный бронепоезд БП-44 (новый)</w:t>
      </w:r>
    </w:p>
    <w:p w14:paraId="0143DC4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Основное вооружение и приборы:</w:t>
      </w:r>
    </w:p>
    <w:p w14:paraId="236686D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- 4 шт. 85-мм зенитных пушки;</w:t>
      </w:r>
    </w:p>
    <w:p w14:paraId="2F504B1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- 2 шт. 37-мм зенитных пушки;</w:t>
      </w:r>
    </w:p>
    <w:p w14:paraId="365D73E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- 1 шт. 12,7-мм зенитного пулемета;</w:t>
      </w:r>
    </w:p>
    <w:p w14:paraId="3A3546F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прибор ПУАЗО;</w:t>
      </w:r>
    </w:p>
    <w:p w14:paraId="28F1520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четырехметровый стереодальномер.</w:t>
      </w:r>
    </w:p>
    <w:p w14:paraId="4CE54CA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Бронепоезд полностью решает все задачи стрельбы по зенитным и наземным целям.</w:t>
      </w:r>
    </w:p>
    <w:p w14:paraId="13BBA38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постройку бронепоезда полностью разработаны рабочие чертежи и технические условия.</w:t>
      </w:r>
    </w:p>
    <w:p w14:paraId="207C3BB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Зенитный бронепоезд БП-45 (перевооружение бронепоезда с устаревшими артсистемами) Характеристика бронепоезда одинакова с характеристикой бронепоезда БП-44. На производство перевооружения существующих бронепоездов с устаревшими артсистемами и зенитными пушками полностью разработаны рабочие чертежи и технические условия.</w:t>
      </w:r>
    </w:p>
    <w:p w14:paraId="590CC47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3. Бронеавтомотрисса БАМ-2.</w:t>
      </w:r>
    </w:p>
    <w:p w14:paraId="59DAA86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Назначение: тяговая единица для бронепоезда на замену бронепаровоза, а также самостоя</w:t>
      </w:r>
      <w:r w:rsidRPr="007224C3">
        <w:rPr>
          <w:rFonts w:ascii="Times New Roman" w:hAnsi="Times New Roman"/>
          <w:color w:val="000000" w:themeColor="text1"/>
          <w:sz w:val="16"/>
          <w:szCs w:val="16"/>
        </w:rPr>
        <w:softHyphen/>
        <w:t>тельное решение боевых задач.</w:t>
      </w:r>
    </w:p>
    <w:p w14:paraId="347C669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Основное вооружение: 2 шт. 76-мм танковых пушки образца 1939 года.</w:t>
      </w:r>
    </w:p>
    <w:p w14:paraId="2377A40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Толщина брони корпуса: 45 мм.</w:t>
      </w:r>
    </w:p>
    <w:p w14:paraId="3FDBF10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 Максимальная скорость: до 80 км/час.</w:t>
      </w:r>
    </w:p>
    <w:p w14:paraId="73BAE05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 Тип двигателя и мощность: дизель-мотор В-2 мощностью 500 лошадиных сил. 4. Бронеавтомотрисса БАМ-3.</w:t>
      </w:r>
    </w:p>
    <w:p w14:paraId="633CCC3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Назначение: тяговая единица для зенитного бронепоезда на замену бронепаровоза.</w:t>
      </w:r>
    </w:p>
    <w:p w14:paraId="2E73EBD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Вооружение: 2 шт. 85-мм зенитных пушки. Остальные данные те же, что и у БАМ-2.</w:t>
      </w:r>
    </w:p>
    <w:p w14:paraId="302B935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Конструкция ходовой части, трансмиссии и силовой группы по чертежам БАМ-2, броневой кор</w:t>
      </w:r>
      <w:r w:rsidRPr="007224C3">
        <w:rPr>
          <w:rFonts w:ascii="Times New Roman" w:hAnsi="Times New Roman"/>
          <w:color w:val="000000" w:themeColor="text1"/>
          <w:sz w:val="16"/>
          <w:szCs w:val="16"/>
        </w:rPr>
        <w:softHyphen/>
        <w:t>пус и установка вооружения разработаны в эскизном проекте. 5. Бронепоезд БП-Т (тяжелый). Вооружение: 4 шт. 152-мм пушки-гаубицы. Начаты работы по проектированию</w:t>
      </w:r>
    </w:p>
    <w:p w14:paraId="12C02A3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Заключение</w:t>
      </w:r>
    </w:p>
    <w:p w14:paraId="7120C0B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 опыта применения бронепоездов в Отечественной войне вытекают следующие выводы:</w:t>
      </w:r>
    </w:p>
    <w:p w14:paraId="108D4D6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Бронепаровоз серии О</w:t>
      </w:r>
      <w:r w:rsidRPr="007224C3">
        <w:rPr>
          <w:rFonts w:ascii="Times New Roman" w:hAnsi="Times New Roman"/>
          <w:color w:val="000000" w:themeColor="text1"/>
          <w:sz w:val="16"/>
          <w:szCs w:val="16"/>
          <w:vertAlign w:val="superscript"/>
        </w:rPr>
        <w:t>в</w:t>
      </w:r>
      <w:r w:rsidRPr="007224C3">
        <w:rPr>
          <w:rFonts w:ascii="Times New Roman" w:hAnsi="Times New Roman"/>
          <w:color w:val="000000" w:themeColor="text1"/>
          <w:sz w:val="16"/>
          <w:szCs w:val="16"/>
        </w:rPr>
        <w:t>, как имеющие недостаточную маневренность (скорость до 35 км в час), слабую защиту, большие габариты, большие нагрузки на оси, зависимость от действующих депо и водоснабжения и долгий отрыв с фронта на текущие ремонты (промывки), должен быть заменен новой тяговой единицей с дизель-мотором — бронеавтомотриссой.</w:t>
      </w:r>
    </w:p>
    <w:p w14:paraId="17DF08B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Бронепоезда, действуя на временно восстановленных железнодорожных путях, часто из-за большого веса бронепаровоза не пропускаются к линии фронта, а отсутствие в районах действия работающих депо из-за потребности в частых ремонтах (промывках) на долго отрывает бронепоезда с фронта в глубокий тыл.</w:t>
      </w:r>
    </w:p>
    <w:p w14:paraId="625E12F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Бронепоезда, обладая постоянной боевой готовностью и находясь на железной дороге, а сле</w:t>
      </w:r>
      <w:r w:rsidRPr="007224C3">
        <w:rPr>
          <w:rFonts w:ascii="Times New Roman" w:hAnsi="Times New Roman"/>
          <w:color w:val="000000" w:themeColor="text1"/>
          <w:sz w:val="16"/>
          <w:szCs w:val="16"/>
        </w:rPr>
        <w:softHyphen/>
        <w:t>довательно, в важных пунктах сосредоточения войск и их питания, должны иметь мощное зенитное вооружение, т.е. все вооружение зенитным. Бронепоезда должны быть бронезенитными бронепо</w:t>
      </w:r>
      <w:r w:rsidRPr="007224C3">
        <w:rPr>
          <w:rFonts w:ascii="Times New Roman" w:hAnsi="Times New Roman"/>
          <w:color w:val="000000" w:themeColor="text1"/>
          <w:sz w:val="16"/>
          <w:szCs w:val="16"/>
        </w:rPr>
        <w:softHyphen/>
        <w:t>ездами с решением задач стрельбы по наземным целям.</w:t>
      </w:r>
    </w:p>
    <w:p w14:paraId="4E0AA0A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Используемый железнодорожный подвижной состав для бронепоездов, обладая большей грузо</w:t>
      </w:r>
      <w:r w:rsidRPr="007224C3">
        <w:rPr>
          <w:rFonts w:ascii="Times New Roman" w:hAnsi="Times New Roman"/>
          <w:color w:val="000000" w:themeColor="text1"/>
          <w:sz w:val="16"/>
          <w:szCs w:val="16"/>
        </w:rPr>
        <w:softHyphen/>
        <w:t>подъемностью, позволяет устанавливать на него тяжелое вооружение (152-мм и 203-мм пушки-гаубицы).</w:t>
      </w:r>
    </w:p>
    <w:p w14:paraId="08C27B2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Вывод:</w:t>
      </w:r>
    </w:p>
    <w:p w14:paraId="27FBD93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Дальнейшее развитие бронепоездов должно идти по линии:</w:t>
      </w:r>
    </w:p>
    <w:p w14:paraId="03C80BF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Строительства зенитных бронепоездов и перевооружения существующих бронепоездов на зенитные пушки.</w:t>
      </w:r>
    </w:p>
    <w:p w14:paraId="2C7FAA1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Строительства железнодорожной тяжелой артиллерии (с легким бронированием и с зенит</w:t>
      </w:r>
      <w:r w:rsidRPr="007224C3">
        <w:rPr>
          <w:rFonts w:ascii="Times New Roman" w:hAnsi="Times New Roman"/>
          <w:color w:val="000000" w:themeColor="text1"/>
          <w:sz w:val="16"/>
          <w:szCs w:val="16"/>
        </w:rPr>
        <w:softHyphen/>
        <w:t>ными средствами самозащиты).</w:t>
      </w:r>
    </w:p>
    <w:p w14:paraId="38AC35E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Строительства новых тяговых единиц на замену устаревшего паровоза серии О</w:t>
      </w:r>
      <w:r w:rsidRPr="007224C3">
        <w:rPr>
          <w:rFonts w:ascii="Times New Roman" w:hAnsi="Times New Roman"/>
          <w:color w:val="000000" w:themeColor="text1"/>
          <w:sz w:val="16"/>
          <w:szCs w:val="16"/>
          <w:vertAlign w:val="superscript"/>
        </w:rPr>
        <w:t>в</w:t>
      </w:r>
      <w:r w:rsidRPr="007224C3">
        <w:rPr>
          <w:rFonts w:ascii="Times New Roman" w:hAnsi="Times New Roman"/>
          <w:color w:val="000000" w:themeColor="text1"/>
          <w:sz w:val="16"/>
          <w:szCs w:val="16"/>
        </w:rPr>
        <w:t>.</w:t>
      </w:r>
    </w:p>
    <w:p w14:paraId="419BBB3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Необходимые мероприятия по развитию бронепоездов</w:t>
      </w:r>
    </w:p>
    <w:p w14:paraId="0E6971C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Иметь постоянную свою производственную базу по ремонту, строительству и изготовлению опытных образцов бронепоездов, а также иметь техническую группу (конструкторское бюро) при этой базе для разработки новых проектов.</w:t>
      </w:r>
    </w:p>
    <w:p w14:paraId="7E3F193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Изготовить опытный образец бронеавтомотриссы с зенитными пушками в порядке решения ГОКО. Командованием БТ и МВ КА в 1943 году эта работа была отклонена.</w:t>
      </w:r>
    </w:p>
    <w:p w14:paraId="55B6393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Изготовить опытный образец зенитного бронепоезда БП-44 в порядке решения ГОКО. Командованием БТ и МВ КА в январе месяце 1943 года эта работа отклонена.</w:t>
      </w:r>
    </w:p>
    <w:p w14:paraId="4ABE4A6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Произвести перевооружение (бронепоезд БП-45) на зенитные пушки в 1944 году двенадцати бронепоездов в порядке решения ГОКО. Проект постановления ГОКО подготовлен.</w:t>
      </w:r>
    </w:p>
    <w:p w14:paraId="01390D3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Разработать проект тяжелого бронепоезда со 152-мм пушками-гаубицами и изготовить в 1944 году опытный образец.</w:t>
      </w:r>
    </w:p>
    <w:p w14:paraId="04BCA88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1 отдела управления бронепоездов и бронемашин ГБТУ КА</w:t>
      </w:r>
    </w:p>
    <w:p w14:paraId="54995F8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инженер-майор Смирнов</w:t>
      </w:r>
    </w:p>
    <w:p w14:paraId="1AF30E1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38. Оп. 11358. Д. 205. Л. 112-119. Подлинник (11403).</w:t>
      </w:r>
    </w:p>
    <w:p w14:paraId="796FE0C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40FA92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апреля 1944 г. была подготовлена ДОКЛАДНАЯ ЗАПИСКА ОБ ЭКСПЛУАТАЦИИ И РЕМОНТЕ АЭРОСАННОГО ПАРКА В I КВАРТАЛЕ 1944 ГОДА</w:t>
      </w:r>
    </w:p>
    <w:p w14:paraId="77DA370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Численность и распределение аэросанного парка в зиму 1943-1944 гг.</w:t>
      </w:r>
    </w:p>
    <w:p w14:paraId="097E084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1 января 1944 г. ГБТУ КА имело 3330 аэросаней, из них боевых НКЛ-26 — 1290 шт., транс</w:t>
      </w:r>
      <w:r w:rsidRPr="007224C3">
        <w:rPr>
          <w:rFonts w:ascii="Times New Roman" w:hAnsi="Times New Roman"/>
          <w:color w:val="000000" w:themeColor="text1"/>
          <w:sz w:val="16"/>
          <w:szCs w:val="16"/>
        </w:rPr>
        <w:softHyphen/>
        <w:t>портных НКЛ-16 — 2040шт.</w:t>
      </w:r>
    </w:p>
    <w:p w14:paraId="43101B4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Аэросани были распределены следующим образом:</w:t>
      </w:r>
    </w:p>
    <w:p w14:paraId="5BF449D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на фронте (в батальонах и резерве) 1503 шт.</w:t>
      </w:r>
    </w:p>
    <w:p w14:paraId="45C09F8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во внутренних округах 1758 шт.</w:t>
      </w:r>
    </w:p>
    <w:p w14:paraId="09B4FEA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 заводах промышленности 69 шт.</w:t>
      </w:r>
    </w:p>
    <w:p w14:paraId="7F98E7E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Между 15 и 25 января из внутренних округов было отправлено на фронт еще 13 аэросанных батальонов (546 аэросаней). Таким образом, в зиму 1943-1944 годов на фронте было сосредоточено всего 2049 аэросаней.</w:t>
      </w:r>
    </w:p>
    <w:p w14:paraId="2805C0C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Весь аэросанный парк на 1 января был полностью отремонтирован.</w:t>
      </w:r>
    </w:p>
    <w:p w14:paraId="7FC1FBF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Эксплуатация аэросаней в зимний период.</w:t>
      </w:r>
    </w:p>
    <w:p w14:paraId="4FED2DB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Эксплуатация аэросаней в зиму 1943-1944 годов по сравнению с предыдущей зимой проходи</w:t>
      </w:r>
      <w:r w:rsidRPr="007224C3">
        <w:rPr>
          <w:rFonts w:ascii="Times New Roman" w:hAnsi="Times New Roman"/>
          <w:color w:val="000000" w:themeColor="text1"/>
          <w:sz w:val="16"/>
          <w:szCs w:val="16"/>
        </w:rPr>
        <w:softHyphen/>
        <w:t>ла на более высоком уровне. Экипажи хорошо освоили свою материальную часть. Аэросани были лучше оснащены средствами подогрева и запуска. Водительский состав добился больших успехов в вождении аэросаней.</w:t>
      </w:r>
    </w:p>
    <w:p w14:paraId="58FFBBC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 на фронтах было сосредоточено 39 аэросанных батальонов, из них боевых — 10, транс</w:t>
      </w:r>
      <w:r w:rsidRPr="007224C3">
        <w:rPr>
          <w:rFonts w:ascii="Times New Roman" w:hAnsi="Times New Roman"/>
          <w:color w:val="000000" w:themeColor="text1"/>
          <w:sz w:val="16"/>
          <w:szCs w:val="16"/>
        </w:rPr>
        <w:softHyphen/>
        <w:t>портных — 29.</w:t>
      </w:r>
    </w:p>
    <w:p w14:paraId="65D42D5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Активно были использованы аэросанные батальоны на Волховском фронте: 11, 34, 44 и частич</w:t>
      </w:r>
      <w:r w:rsidRPr="007224C3">
        <w:rPr>
          <w:rFonts w:ascii="Times New Roman" w:hAnsi="Times New Roman"/>
          <w:color w:val="000000" w:themeColor="text1"/>
          <w:sz w:val="16"/>
          <w:szCs w:val="16"/>
        </w:rPr>
        <w:softHyphen/>
        <w:t>но 35. Два аэросанных батальона 34 и 44 за отличные боевые действия получили наименования «Новгородских».</w:t>
      </w:r>
    </w:p>
    <w:p w14:paraId="17DB5CB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Использовались для несения сторожевой службы и разведывательных действий аэросанные батальоны Карельского фронта и 7 отдельной армии (21 аэросанный батальон).</w:t>
      </w:r>
    </w:p>
    <w:p w14:paraId="5580754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 были использованы по условиям теплой погоды и обстановки аэросанные батальоны Ленинградского, 2 Прибалтийского, Западного и Белорусского фронтов (14 батальонов).</w:t>
      </w:r>
    </w:p>
    <w:p w14:paraId="3C1F0ED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Действующими на фронте аэросанными батальонами выполнена следующая работа:</w:t>
      </w:r>
    </w:p>
    <w:p w14:paraId="0E89FC5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Перевезено передовым частям фронта 205 тонн военного имущества.</w:t>
      </w:r>
    </w:p>
    <w:p w14:paraId="5EA371F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Вывезено раненых и офицеров связи — 1750 человек.</w:t>
      </w:r>
    </w:p>
    <w:p w14:paraId="3F573BE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Перевезено автоматчиков и десантников — 644 человека. Аэросанные части за время действия понесли следующие боевые потери:</w:t>
      </w:r>
    </w:p>
    <w:p w14:paraId="10A2422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Подбито и сожжено аэросаней — 32 шт.</w:t>
      </w:r>
    </w:p>
    <w:p w14:paraId="3BD1545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Убито:</w:t>
      </w:r>
    </w:p>
    <w:p w14:paraId="689E97C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офицеров — 8 человек, сержантского и рядового состава — 23 человека.</w:t>
      </w:r>
    </w:p>
    <w:p w14:paraId="273284C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Ранено:</w:t>
      </w:r>
    </w:p>
    <w:p w14:paraId="581C1F4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офицеров — 6 человек, сержантского и рядового состава — 20 человек.</w:t>
      </w:r>
    </w:p>
    <w:p w14:paraId="49E7E87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Расход ГСМ при эксплуатации аэросаней не превышал установленных норм, за исключением 40 и 48 ОАСБ, которые при передислоцировании со ст. Бабаеве до Мегра (Онежское озеро), имели перерасход горючего по 3 тонны, из-за неблагоприятных метеорологических условий движения.</w:t>
      </w:r>
    </w:p>
    <w:p w14:paraId="60CDEDA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Порядок получения и отпуска ГСМ, отчетность по расходу ГСМ, учет экономии и перерасхода ГСМ проходит согласно приказов НКО и приказам по тылу. Основным учетным документом являет</w:t>
      </w:r>
      <w:r w:rsidRPr="007224C3">
        <w:rPr>
          <w:rFonts w:ascii="Times New Roman" w:hAnsi="Times New Roman"/>
          <w:color w:val="000000" w:themeColor="text1"/>
          <w:sz w:val="16"/>
          <w:szCs w:val="16"/>
        </w:rPr>
        <w:softHyphen/>
        <w:t>ся путевой лист, установленного образца.</w:t>
      </w:r>
    </w:p>
    <w:p w14:paraId="57220F8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Большим недостатком в экономии ГСМ для транспортных аэросаней является отсутствие раз</w:t>
      </w:r>
      <w:r w:rsidRPr="007224C3">
        <w:rPr>
          <w:rFonts w:ascii="Times New Roman" w:hAnsi="Times New Roman"/>
          <w:color w:val="000000" w:themeColor="text1"/>
          <w:sz w:val="16"/>
          <w:szCs w:val="16"/>
        </w:rPr>
        <w:softHyphen/>
        <w:t>работанной системы поощрений при экономии ГСМ.</w:t>
      </w:r>
    </w:p>
    <w:p w14:paraId="50B9B5C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Расчеты за ГСМ проходят централизовано через УСГ Красной Армии.</w:t>
      </w:r>
    </w:p>
    <w:p w14:paraId="7F7FA56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Ремонт аэросанного парка.</w:t>
      </w:r>
    </w:p>
    <w:p w14:paraId="5EF941E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восстановления аэросанного парка в 1944 году запланировано следующее количество ремонтов:</w:t>
      </w:r>
    </w:p>
    <w:p w14:paraId="1B61FA8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капитальный ремонт аэросаней —</w:t>
      </w:r>
    </w:p>
    <w:p w14:paraId="18D5156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текущий и средний ремонт аэросаней —</w:t>
      </w:r>
    </w:p>
    <w:p w14:paraId="41A34D7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капитальный и средний ремонт моторов —</w:t>
      </w:r>
    </w:p>
    <w:p w14:paraId="30DF8C6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 текущий ремонт моторов —</w:t>
      </w:r>
    </w:p>
    <w:p w14:paraId="0B1ADBF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400 машин, 1940 машин, 600 штук, 2120 штук.</w:t>
      </w:r>
    </w:p>
    <w:p w14:paraId="20742B5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Весь капитальный и средний ремонт моторов будет сосредоточен на заводе №41 НКАП (г. Москва), а капитальный ремонт аэросаней на заводе №41 Наркомлеса (г. Киров).</w:t>
      </w:r>
    </w:p>
    <w:p w14:paraId="23AFF92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Производственная мощность этих заводов вполне обеспечит наши потребности в капитальном ремонте аэросаней и моторов.</w:t>
      </w:r>
    </w:p>
    <w:p w14:paraId="30F5543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Текущий и средний ремонт аэросаней и текущий ремонт моторов будет сосредоточен в учебном аэросанном полку (Котлас) и учебном аэросанном батальоне (Карельский фронт).</w:t>
      </w:r>
    </w:p>
    <w:p w14:paraId="4EAD553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После сформирования учебных аэросанных частей будут организованы ремонтные базы в них, которые согласно плана ремонта должны с мая месяца сего года приступить к войсковому ремонту аэросаней и моторов.</w:t>
      </w:r>
    </w:p>
    <w:p w14:paraId="6AAA190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настоящее время отделом ведется организационная подготовка по созданию ремонтных баз в указанных учебных аэросанных частях.</w:t>
      </w:r>
    </w:p>
    <w:p w14:paraId="1A8E444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Третья ремрота (г. Москва) будет использована для ремонта отдельных агрегатов аэросаней.</w:t>
      </w:r>
    </w:p>
    <w:p w14:paraId="5EDD6C5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Выполнение постановлений ГОКО по ремонту.</w:t>
      </w:r>
    </w:p>
    <w:p w14:paraId="6F925A0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обеспечения капитального ремонта аэросанного парка в I квартале 1944 года вышло два Постановления ГОКО: №5089 от 3.02.1944 г. — на ремонт моторов и №5250 от 25.02.1944 г. - на ремонт аэросаней.</w:t>
      </w:r>
    </w:p>
    <w:p w14:paraId="5C9504F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Постановлению ГОКО №5089 завод №41 НКАП должен был отремонтировать в I квартале 100 моторов М-11 и изготовить запасных частей к ним на сумму 100 тыс. руб.</w:t>
      </w:r>
    </w:p>
    <w:p w14:paraId="5BEBDDE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состоянию на 1 апреля с.г. завод отремонтировал 64 мотора и изготовил запчастей на сумму 54841 руб.</w:t>
      </w:r>
    </w:p>
    <w:p w14:paraId="02ABE76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Недовыполнение задания по капитальному ремонту моторов объясняется недозавозом моторов в ремонт, вследствие отсутствия ремфонда. Теплая зима 1943-1944 г. не давала возможности фрон</w:t>
      </w:r>
      <w:r w:rsidRPr="007224C3">
        <w:rPr>
          <w:rFonts w:ascii="Times New Roman" w:hAnsi="Times New Roman"/>
          <w:color w:val="000000" w:themeColor="text1"/>
          <w:sz w:val="16"/>
          <w:szCs w:val="16"/>
        </w:rPr>
        <w:softHyphen/>
        <w:t>там полностью использовать аэросанный парк. По этой причине в I квартале с.г. от аэросанных бата</w:t>
      </w:r>
      <w:r w:rsidRPr="007224C3">
        <w:rPr>
          <w:rFonts w:ascii="Times New Roman" w:hAnsi="Times New Roman"/>
          <w:color w:val="000000" w:themeColor="text1"/>
          <w:sz w:val="16"/>
          <w:szCs w:val="16"/>
        </w:rPr>
        <w:softHyphen/>
        <w:t>льонов ремфонда почти не поступало.</w:t>
      </w:r>
    </w:p>
    <w:p w14:paraId="17D8BB5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настоящее время завод №41 имеет ремфонд в количестве 158 моторов, что обеспечит двух</w:t>
      </w:r>
      <w:r w:rsidRPr="007224C3">
        <w:rPr>
          <w:rFonts w:ascii="Times New Roman" w:hAnsi="Times New Roman"/>
          <w:color w:val="000000" w:themeColor="text1"/>
          <w:sz w:val="16"/>
          <w:szCs w:val="16"/>
        </w:rPr>
        <w:softHyphen/>
        <w:t>месячную потребность завода в ремфонде.</w:t>
      </w:r>
    </w:p>
    <w:p w14:paraId="70972A6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Задание по запасным частям к моторам М-11 завод №41 НКАП недовыполнил по причине неосвоения производства поршневых пальцев 2-го ремонтного размера и демультипликаторов к моторам серии «Г».</w:t>
      </w:r>
    </w:p>
    <w:p w14:paraId="7241CA2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Недоданные в I квартале запчасти мотора завод гарантирует поставить в течение апреля и мая месяцев с.г.</w:t>
      </w:r>
    </w:p>
    <w:p w14:paraId="60F5A21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Постановление ГОКО №5250 предусматривает капитальный ремонт аэросаней во II квартале в количестве 200 машин и изготовление запасных частей к аэросаням в I и II кварталах 1944 года.</w:t>
      </w:r>
    </w:p>
    <w:p w14:paraId="4A576D4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I квартале сего года завод №41 Наркомлеса недовыполнил задание по изготовлению лыж и бензобаков к аэросаням по причине отсутствия уголка для подреза лыжи и оцинкованного железа для бензобака.</w:t>
      </w:r>
    </w:p>
    <w:p w14:paraId="1707DD0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 стороны 5 отдела приняты необходимые меры перед Наркомлесом о выполнении во II квар</w:t>
      </w:r>
      <w:r w:rsidRPr="007224C3">
        <w:rPr>
          <w:rFonts w:ascii="Times New Roman" w:hAnsi="Times New Roman"/>
          <w:color w:val="000000" w:themeColor="text1"/>
          <w:sz w:val="16"/>
          <w:szCs w:val="16"/>
        </w:rPr>
        <w:softHyphen/>
        <w:t>тале полной номенклатуры запчастей к аэросаням, предусмотренных постановлением ГОКО.</w:t>
      </w:r>
    </w:p>
    <w:p w14:paraId="23B699F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Недовыполнение постановлений ГОКО по ремонту моторов и изготовлению запчастей к аэро</w:t>
      </w:r>
      <w:r w:rsidRPr="007224C3">
        <w:rPr>
          <w:rFonts w:ascii="Times New Roman" w:hAnsi="Times New Roman"/>
          <w:color w:val="000000" w:themeColor="text1"/>
          <w:sz w:val="16"/>
          <w:szCs w:val="16"/>
        </w:rPr>
        <w:softHyphen/>
        <w:t>саням и моторам не могло повлиять на ход зимней эксплуатации аэросаней, так как аэросанные батальоны и фронтовые склады имели достаточное количество запасных моторов, запасных частей к аэросаням и моторам М-11.</w:t>
      </w:r>
    </w:p>
    <w:p w14:paraId="2F3DD62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Качество ремонта аэросаней и моторов и перспективы дальнейшего</w:t>
      </w:r>
    </w:p>
    <w:p w14:paraId="724D50D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усовершенствования их.</w:t>
      </w:r>
    </w:p>
    <w:p w14:paraId="1B23043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Отзывы военных частей по эксплуатации аэросаней зимой 1943-1944 годов говорят о высокой оценке технического состояния материальной части аэросаней.</w:t>
      </w:r>
    </w:p>
    <w:p w14:paraId="2964E61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Основным крупным конструктивным недостатком аэросаней является недостаточная мощность мотора М-11, вследствие чего эксплуатация аэросаней зимой при температуре от 0° до -5° весьма затруднительна и не экономична.</w:t>
      </w:r>
    </w:p>
    <w:p w14:paraId="1EDB670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процессе зимней эксплуатации имело место незначительное количество случаев обрыва носка коленчатого вала, выработавшего 1800-2000 моточасов и поломок (по сварке) узлов крепления амортизаторов, срыва шпилек крепления стойки коромысла клапанов и срыва шпилек крепления выхлопных патрубков мотора М-11.</w:t>
      </w:r>
    </w:p>
    <w:p w14:paraId="620C689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увеличения мощности мотора М-11 и ликвидации указанных дефектов 5 отделом принима</w:t>
      </w:r>
      <w:r w:rsidRPr="007224C3">
        <w:rPr>
          <w:rFonts w:ascii="Times New Roman" w:hAnsi="Times New Roman"/>
          <w:color w:val="000000" w:themeColor="text1"/>
          <w:sz w:val="16"/>
          <w:szCs w:val="16"/>
        </w:rPr>
        <w:softHyphen/>
        <w:t>ются меры по изготовлению во II квартале опытных образцов модернизации моторов М-11 с доведе</w:t>
      </w:r>
      <w:r w:rsidRPr="007224C3">
        <w:rPr>
          <w:rFonts w:ascii="Times New Roman" w:hAnsi="Times New Roman"/>
          <w:color w:val="000000" w:themeColor="text1"/>
          <w:sz w:val="16"/>
          <w:szCs w:val="16"/>
        </w:rPr>
        <w:softHyphen/>
        <w:t>нием мощности их с 90 лошадиных сил до 125 лошадиных сил и соответственного усиления слабых мест мотора.</w:t>
      </w:r>
    </w:p>
    <w:p w14:paraId="1116063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Военпредам на заводах даны указания по усилению контроля за качеством ремонта и повыше</w:t>
      </w:r>
      <w:r w:rsidRPr="007224C3">
        <w:rPr>
          <w:rFonts w:ascii="Times New Roman" w:hAnsi="Times New Roman"/>
          <w:color w:val="000000" w:themeColor="text1"/>
          <w:sz w:val="16"/>
          <w:szCs w:val="16"/>
        </w:rPr>
        <w:softHyphen/>
        <w:t>нию требовательности к заводам по выполнению технических условий и чертежей.</w:t>
      </w:r>
    </w:p>
    <w:p w14:paraId="14F806E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Дальнейшее усовершенствование существующих марок аэросаней производится по линии улучшения конструкций ходовой части и тормоза.</w:t>
      </w:r>
    </w:p>
    <w:p w14:paraId="0A2E816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1943 году ЦКБ Главспецдревпрома разработана конструкция 4-местных аэросаней марки НКЛ-38, которая имеет ряд преимуществ в скорости и проходимости. Эта машина может быть успешно использована для целей связи и разведки, а также как пассажирская — штабная машина, в условиях зимнего бездорожья.</w:t>
      </w:r>
    </w:p>
    <w:p w14:paraId="3525FA1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Наравне с развертыванием работ по улучшению существующих марок аэросаней, 5 отдел счи</w:t>
      </w:r>
      <w:r w:rsidRPr="007224C3">
        <w:rPr>
          <w:rFonts w:ascii="Times New Roman" w:hAnsi="Times New Roman"/>
          <w:color w:val="000000" w:themeColor="text1"/>
          <w:sz w:val="16"/>
          <w:szCs w:val="16"/>
        </w:rPr>
        <w:softHyphen/>
        <w:t>тает необходимым создание летом 1944 года отечественного образца снегохода типа американского снегохода «Бомбардир», показавшего хорошие результаты при полигонных испытаниях. В этом направлении отдел ведет в настоящее время подготовительную работу.</w:t>
      </w:r>
    </w:p>
    <w:p w14:paraId="0CF849B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Получение и распределение оборудования, запчастей, инструмента и материалов.</w:t>
      </w:r>
    </w:p>
    <w:p w14:paraId="2C314AB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Оборудование, запчасти, инструмент и материалы, потребные для эксплуатации и ремонта аэросанного парка, поступили от промышленности и УРТ ГБТУ КА.</w:t>
      </w:r>
    </w:p>
    <w:p w14:paraId="7A0B7E9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Поступающее имущество распределялось в соответствии с заявками фронтов и отправлялось на фронтовые склады.</w:t>
      </w:r>
    </w:p>
    <w:p w14:paraId="2604E86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все фронта, имеющие аэросанные батальоны, были отправлены запчасти, инструмент и материалы, полностью обеспечивающие пополнение батальонных и индивидуальных аэросанных комплектов.</w:t>
      </w:r>
    </w:p>
    <w:p w14:paraId="2553DCF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связи с расформированием аэросанных батальонов все аэросанное имущество, находившееся на фронтовых складах, сосредотачивается в г. Котлас, где при учебном аэросанном полку организу</w:t>
      </w:r>
      <w:r w:rsidRPr="007224C3">
        <w:rPr>
          <w:rFonts w:ascii="Times New Roman" w:hAnsi="Times New Roman"/>
          <w:color w:val="000000" w:themeColor="text1"/>
          <w:sz w:val="16"/>
          <w:szCs w:val="16"/>
        </w:rPr>
        <w:softHyphen/>
        <w:t>ется склад для его хранения.</w:t>
      </w:r>
    </w:p>
    <w:p w14:paraId="1D5159C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Имеющиеся в излишке незавершенные производством запчасти к аэросаням доделываются силами ремроты для использования их при ремонте аэросаней.</w:t>
      </w:r>
    </w:p>
    <w:p w14:paraId="54EF1EC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5 отдела управления бронепоездов и бронемашин ГБТУ КА</w:t>
      </w:r>
    </w:p>
    <w:p w14:paraId="747BDA0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инженер-полковник Михайлов</w:t>
      </w:r>
    </w:p>
    <w:p w14:paraId="4E6851C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38. Оп. 11358. Д. 205. Л. 100-103. Подлинник (11403).</w:t>
      </w:r>
    </w:p>
    <w:p w14:paraId="1316164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161C3F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апреля 1944 вышло Постановление ГКО № 5596 О плане распределения нефтепродуктов на II квартал 1944 года. РГАНИР, Фонд ГКО, д. 232, лл. 1-2,3-42 (11012).</w:t>
      </w:r>
    </w:p>
    <w:p w14:paraId="2EA6AAB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AF0618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апреля 1944 вышло Постановление ГКО № 5597 О плане распределения угля на II квартал 1944 г. РГАНИР, Фонд ГКО, д. 232, лл. 43-46,47-126 (11012).</w:t>
      </w:r>
    </w:p>
    <w:p w14:paraId="02DB897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B34430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апреля 1944 вышло Постановление ГКО № 5598 О мероприятиях по обеспечению выпуска мотоциклов для мотомеханизированных соединений Красной Армии во II квартале 1944 года. РГАНИР, Фонд ГКО, д. 232, лл. 127-133,134-140 (11012).</w:t>
      </w:r>
    </w:p>
    <w:p w14:paraId="5EFC96B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B2E271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апреля 1944 вышло Постановление ГКО № 5599 О мерах неотложной помощи Наркомстрою по восстановлению и вводу в эксплуатацию первой очереди Ново-Краматорского завода им. Сталина и Старо-Краматорского завода им. Орджоникидзе в Донбассе. РГАНИР, Фонд ГКО, д. 232, лл. 141-147,148-150 (11012).</w:t>
      </w:r>
    </w:p>
    <w:p w14:paraId="549F9EC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A9B6CA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апреля 1944 вышло Постановление ГКО № 5601 О разборке разрушенных зданий, очистке и подготовке к восстановлению улицы Крещатик и центральных кварталов г. Киева. РГАНИР, Фонд ГКО, д. 232, лл. 152-154,155-156 (11012).</w:t>
      </w:r>
    </w:p>
    <w:p w14:paraId="07A3D7C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39A8F7E"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апреля 1944 вышло Постановление ГКО № 5602 О поставках НКПС железнодорожных запасных частей в 1944 г. (7208, 157-160,161-164).</w:t>
      </w:r>
    </w:p>
    <w:p w14:paraId="4B7F9B35"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9721033"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апреля 1944 вышло Распоряжение ГКО № 5603 [О мерах по обеспечению производства автомобильных радиостанций на заводе № 197 НКЭП специальными автокузовами.] (7208, 165-166,167-168).</w:t>
      </w:r>
    </w:p>
    <w:p w14:paraId="27E46D77"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148284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апреля 1944 вышло Постановление ГКО № 5605 О поставке Наркомвоенморфлоту трально-сетевого вооружения во II квартале 1944 г. РГАНИР, Фонд ГКО, д. 232, лл. 178-181,182-189 (11012).</w:t>
      </w:r>
    </w:p>
    <w:p w14:paraId="483EE30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F990B5E"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апреля 1944 вышло Постановление ГКО № 5608 О плане производства и распределения подвижных ремонтных мастерских на II квартал 1944 г. (7209, 1-4,5-21).</w:t>
      </w:r>
    </w:p>
    <w:p w14:paraId="1D55E972"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3E97B2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апреля 1944 вышло Постановление ГКО № 5609 О мероприятиях по обеспечению производства каучука, автомобильных, авиационных и артиллерийских шин, средств химической защиты, инженерного имущества, а также других резинотехнических и асбестовых изделий во II квартале 1944 г. РГАНИР, Фонд ГКО, д. 233, лл. 22-45 (11012).</w:t>
      </w:r>
    </w:p>
    <w:p w14:paraId="2F265E9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E085F8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апреля 1944 вышло Постановление ГКО № 5610 О форсировании строительства Орско-Халиловского металлургического завода Наркомчермета. РГАНИР, Фонд ГКО, д. 233, лл. 46-53,54-63 (11012).</w:t>
      </w:r>
    </w:p>
    <w:p w14:paraId="5245F4F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0D2AA3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12 апреля 1944 вышло Постановление ГКО № 5611 О плане ремонта тракторов для Красной Армии и Военно-Морского Флота на II квартал 1944 года. РГАНИР, Фонд ГКО, д. 233, лл. 64-67,68-95 (11012).</w:t>
      </w:r>
    </w:p>
    <w:p w14:paraId="0CD9436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5FB48B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апреля 1944 вышло Постановление ГКО № 5612 О плане ремонта бронеавтомобилей, бронетранспортов, мотоциклов и велосипедов для Красной Армии на II квартал 1944 года. РГАНИР, Фонд ГКО, д. 233, лл. 96-97,98-116 (11012).</w:t>
      </w:r>
    </w:p>
    <w:p w14:paraId="14226CB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7B0FA6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апреля 1944 вышло Постановление ГКО № 5613 О плане распределения автомобильных запасных частей на II квартал 1944 года. РГАНИР, Фонд ГКО, д. 233, лл. 117-118,119-136 (11012).</w:t>
      </w:r>
    </w:p>
    <w:p w14:paraId="2B83000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BA6139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апреля 1944 вышло Постановление ГКО № 5614 О плане поставок военно-полевых средств и имущества связи на II квартал 1944 года. РГАНИР, Фонд ГКО, д. 233, лл. 137-139,140-186 (11012).</w:t>
      </w:r>
    </w:p>
    <w:p w14:paraId="0D4A876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F389A4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апреля 1944 вышло Постановление ГКО № 5615 О производстве и поставке Наркомобороны СССР, Наркомвоенморфлоту и войскам НКВД СССР инженерного вооружения и спецоборудования во II кв. 1944 года. РГАНИР, Фонд ГКО, д. 233, лл. 187-191,192-241 (11012).</w:t>
      </w:r>
    </w:p>
    <w:p w14:paraId="3983BAA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D9BCA1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апреля 1944 вышло Постановление ГКО № 5616 О сплаве дров и деловой древесины самозаготовителями в навигацию 1944 года. РГАНИР, Фонд ГКО, д. 234, лл. 1-7,8-18 (11012).</w:t>
      </w:r>
    </w:p>
    <w:p w14:paraId="2CA3D9A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4E094B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апреля 1944 вышло Постановление ГКО № 5617 О производстве и поставке Красной Армии, Военно-Морскому Флоту и войскам НКВД СССР медико-санитарного и санитарно-хозяйственного имущества и перевязочных изделий во II квартале 1944 года. РГАНИР, Фонд ГКО, д. 234, лл. 19-22,23-79 (11012).</w:t>
      </w:r>
    </w:p>
    <w:p w14:paraId="56B6C05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BFCE35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апреля 1944 вышло Постановление ГКО № 5618 О поставке Наркомвоенморфлоту артиллерийских приборов, штурманского вооружения, судового оборудования и запасных частей к механизмам во II квартале 1944 г. РГАНИР, Фонд ГКО, д. 234, лл. 80-84,85-126 (11012).</w:t>
      </w:r>
    </w:p>
    <w:p w14:paraId="6FA9E9A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4767BB8"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3075350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B7F6E89" w14:textId="77777777" w:rsidR="002F4B64" w:rsidRPr="007224C3" w:rsidRDefault="002F4B6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апреля в 1944 году оперативная сводка Совинформбюро:</w:t>
      </w:r>
    </w:p>
    <w:p w14:paraId="02C04B53" w14:textId="77777777" w:rsidR="002F4B64" w:rsidRPr="007224C3" w:rsidRDefault="002F4B6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12 апреля западнее города Скала наши войска,отбивая контратаки пехоты и танков противника, вели наступательные бои, в ходе которых заняли несколько населённых пунктов. За время с 1 по 10 апреля войска1-го Украинского фронта нанесли следующие тяжёлые потери группировке немцев, окружённой западнее города Скала: захвачено танков и самоходных орудий — 187, орудий разных калибров — 121, самолётов — 61, автомашин — 7.483. Захвачено в плен 6.988 немцев. Противник оставил на поле боя более 26.000 трупов своих солдат и офицеров. К 11 апреля от окружённой группировки противника остались лишь сборные отряды 6 пехотных, 7 танковых и одной мотодивизии немцев,численностью до 10.000 солдат и до 80 танков.</w:t>
      </w:r>
    </w:p>
    <w:p w14:paraId="2616628E" w14:textId="77777777" w:rsidR="002F4B64" w:rsidRPr="007224C3" w:rsidRDefault="002F4B6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Румынии, юго-западнее города Ботошани, наши войска с боями продвигались вперёд и овладели городом Фэлтичени, а также заняли несколько других населённых пунктов, среди которых крупные населённые пункты Бражеште, Рэдэшань, Бая, Думбрэвица.</w:t>
      </w:r>
    </w:p>
    <w:p w14:paraId="43CFAC4B" w14:textId="77777777" w:rsidR="002F4B64" w:rsidRPr="007224C3" w:rsidRDefault="002F4B6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Кишинёвском направлении наши войска овладели районными центрами МолдавскойССР городом Дубоссары, городом Григориополь, а также с боями заняли более 30 других населённых пунктов, в том числе крупные населённые пункты Домний, Пятра,Требужень, Маркауць, Маловатое, Кучеер, Коржево, Лунга, Ташлык, Бутор, Спея, Токмодзея, Малаешты, Красная Горка, Парканы, Терновка.</w:t>
      </w:r>
    </w:p>
    <w:p w14:paraId="11118766" w14:textId="77777777" w:rsidR="002F4B64" w:rsidRPr="007224C3" w:rsidRDefault="002F4B6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3-го Украинского фронта в результате ночного штурма овладели городом Тирасполь — важным опорным пунктом обороны немцев на реке Днестр.</w:t>
      </w:r>
    </w:p>
    <w:p w14:paraId="688418D6" w14:textId="77777777" w:rsidR="002F4B64" w:rsidRPr="007224C3" w:rsidRDefault="002F4B6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города Одесса наши войска вели наступательные бои, в ходекоторых овладели населёнными пунктами Калаглея, Александровка, Бурлачья Балка, Люстдорф, Ильичёвка и железнодорожной станцией Аккаржа.</w:t>
      </w:r>
    </w:p>
    <w:p w14:paraId="2EB9C035" w14:textId="77777777" w:rsidR="002F4B64" w:rsidRPr="007224C3" w:rsidRDefault="002F4B6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4-го Украинского фронта прорвали сильно укреплённые Ишунские позиции противника и, преследуя его отступающие войска, с боями заняли более 150 населённых пунктов, в том числе районные центры Крыма Колай, Курман-Кемельчи, Сейтлер, Биюк-Онлар, Карача-Кангил (в 18 километрах севернее города Симферополь), крупные населённые пункты Красноперекопск, Ишунь, Воронцовка,Воинка, Долинка, Куллар-Кирчак, Айгашен, Калининдорф, Весёлое и железнодорожные станции Пятиозёрная, Юшунь, Воинка, Каранкут, Колай, Сейтлер, Курман-Кемельчи, Ташлык Дайр, Биюк-Онлар. Отступая под ударами наших войск, противник несёт большие потери в живой силе и технике.</w:t>
      </w:r>
    </w:p>
    <w:p w14:paraId="270F6B66" w14:textId="77777777" w:rsidR="002F4B64" w:rsidRPr="007224C3" w:rsidRDefault="002F4B6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Феодосийском направлении наши войска, преследуя поспешно отступающегопротивника, полностью очистили Керченский полуостров и прошли Акмонайские позиции. В ходе наступления наши войска освободили более 140 населённых пунктов, в том числе районный центр Крыма Семь Колодезей, крупные населённые пункты Ново-Николаевка, Марфовка, Марьевка, Ленинск, Китень Русский, Ак-Монай, Арма-Эли и железнодорожные станции Ташлыяр, Ойсул, Семь Колодезей, Алибай, Ак-Монай. Нашими войсками взято в плен свыше 2.000 солдат и офицеров противника и захвачены большие трофеи, которые подсчитываются. Противник оставил на поле боя свыше 3.000 трупов своих солдат и офицеров.</w:t>
      </w:r>
    </w:p>
    <w:p w14:paraId="15980019" w14:textId="77777777" w:rsidR="002F4B64" w:rsidRPr="007224C3" w:rsidRDefault="002F4B6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в ряде пунктов шли бои местного значения.</w:t>
      </w:r>
    </w:p>
    <w:p w14:paraId="034882F9" w14:textId="77777777" w:rsidR="002F4B64" w:rsidRPr="007224C3" w:rsidRDefault="002F4B6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11 апреля наши войска на всех фронтах подбили и уничтожили 132 немецких танка. В воздушных боях и огнём зенитной артиллерии сбито 47 самолётов противника.</w:t>
      </w:r>
    </w:p>
    <w:p w14:paraId="0FD52D4D" w14:textId="77777777" w:rsidR="002F4B64" w:rsidRPr="007224C3" w:rsidRDefault="002F4B6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Налёт нашей авиации на город Констанца.</w:t>
      </w:r>
    </w:p>
    <w:p w14:paraId="0037A837" w14:textId="77777777" w:rsidR="002F4B64" w:rsidRPr="007224C3" w:rsidRDefault="002F4B6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ночь на 12 апреля наша авиация дальнего действия крупными силами бомбардировала военно-промышленные объекты города Констанца (Румыния). Советские самолёты подвергли бомбардировке порт, железнодорожный узел и нефтяной городок в Констанце. В результате бомбардировки в районе цели возникли большие пожары, сопровождавшиеся взрывами. Значительная часть порта была охвачена огнём. На территории нефтяного городка возникло несколько пожаров с густым чёрным дымом и произошли сильные взрывы.</w:t>
      </w:r>
    </w:p>
    <w:p w14:paraId="723CE3CD" w14:textId="77777777" w:rsidR="002F4B64" w:rsidRPr="007224C3" w:rsidRDefault="002F4B6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3-го Украинского фронта, развивая наступление, сегодня ночью штурмом овладели городом Тирасполь — важным опорным пунктом обороны немцев на реке Днестр. Эта победа достигнута нашими войсками в результате умелых и решительныхдействий. Два дня назад линия фронта проходила в 25 километрах восточнее Тирасполя. Противник создал на этом рубеже сильную оборонительную полосу и рассчитывал надолго сковать здесь советские войска. Вчера наши части мощным ударом опрокинули немцев и, преследуя их, ворвались в город Тирасполь. На станции Ново-Савицкая советские бойцы захватили несколько железнодорожных составов, склады с боеприпасами, продовольствием и военным имуществом. Особенно много трофеев захвачено на станции и в городе Тирасполь. Воспользовавшись паникой среди гитлеровцев, наши войска форсировали реку Днестр южнее городаТирасполь и захватили плацдармы на её западном берегу.</w:t>
      </w:r>
    </w:p>
    <w:p w14:paraId="24FC148E" w14:textId="77777777" w:rsidR="002F4B64" w:rsidRPr="007224C3" w:rsidRDefault="002F4B6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Крыму наши войска, продолжая успешное наступление, штурмом прорвали Ишунские позиции противника. Преодолена таким образом вторая мощная полоса обороны немцев, прикрывавшая вход в Крым через Перекопский перешеек. Успеху войск, штурмовавших Ишунь, способствовали наши части, действующие на южном побережье Сиваша. Нанеся удар в юго-западном направлении, советские пехотинцы овладели сильно укреплённым опорным пунктом немцев Воинкой и двинулись в обход Ишунских позиций. В ходе этой операции наши войска истребили до 3.000 солдат и офицеров противника.</w:t>
      </w:r>
    </w:p>
    <w:p w14:paraId="75AD4ECB" w14:textId="77777777" w:rsidR="002F4B64" w:rsidRPr="007224C3" w:rsidRDefault="002F4B6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Наши подвижные соединения и пехота, развивая стремительное наступление к югу от Джанкоя, продвинулись вперёд на 60 километров и заняли районный центр Крыма Карача-Кангил, находящийся в 18 километрах севернее города Симферополь. Другие части, продвигаясь с боями на юго-восток, овладели районным центром Сейтлер. Советские части уничтожают отступающего противника и громят вражеские гарнизоны в населённых пунктах. В одном селе разбит 125 отдельный батальон немцев. Командир батальона и 200 солдат и офицеров сложили оружие и сдались в плен. Н-ская танковая часть захватила несколько железнодорожных эшелонов, 50 орудий и 250 пулемётов. В течение дня взято в плен несколько тысяч солдат и офицеров противника.</w:t>
      </w:r>
    </w:p>
    <w:p w14:paraId="14B4BF54" w14:textId="77777777" w:rsidR="002F4B64" w:rsidRPr="007224C3" w:rsidRDefault="002F4B6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Советские лётчики, активно поддерживая действия наземных войск, сбили в воздушных боях и уничтожили на аэродромах 39 немецких самолётов.</w:t>
      </w:r>
    </w:p>
    <w:p w14:paraId="751CBD79" w14:textId="77777777" w:rsidR="002F4B64" w:rsidRPr="007224C3" w:rsidRDefault="002F4B6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Феодосийском направлении наши войска стремительными ударами не дали возможности противнику задержаться на промежуточных рубежах. В районе Турецкого Вала разгромлен 9 румынский кавалерийский полк. Его остатки вместе с командиром полка взяты в плен. К исходу дня войска Отдельной Приморской армии полностью очистили от противника Керченский полуостров. Попытка немцев задержаться на Акмонайских позициях также потерпела неудачу. В районе Ак-Моная на узкой полосе между Чёрным и Азовским морями, шириной в 18 километров, немцы сосредоточили большое количество артиллерии, миномётов и пехоты. Советские танкисты и автоматчики прорвали и этот оборонительный рубеж противника. По неполный данным, захвачено более 100 орудий разных калибров, 140 миномётов, свыше 300 пулемётов и много другого военного имущества.</w:t>
      </w:r>
    </w:p>
    <w:p w14:paraId="6A9DC17E" w14:textId="77777777" w:rsidR="002F4B64" w:rsidRPr="007224C3" w:rsidRDefault="002F4B6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Воздушная разведка Северного флота обнаружила в одном порту 13 транспортов, 9 кораблей охранения и 2 миноносца противника. Авиация флота нанесла массированный бомбово-штурмовой удар по вражеским судам. Советские лётчики потопили три транспорта общим водоизмещением в 15.000 тонн, один сторожевой корабль и один тральщик противника. Предположительно потоплен ещё один транспорт водоизмещением в 3.000 тонн и повреждены два транспорта общим водоизмещением в 13.000 тонн.</w:t>
      </w:r>
    </w:p>
    <w:p w14:paraId="4114E666" w14:textId="77777777" w:rsidR="002F4B64" w:rsidRPr="007224C3" w:rsidRDefault="002F4B6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Лётчики Краснознамённого Балтийского флота потопили две самоходные десантные баржи противника.</w:t>
      </w:r>
    </w:p>
    <w:p w14:paraId="59D7B8E9" w14:textId="77777777" w:rsidR="002F4B64" w:rsidRPr="007224C3" w:rsidRDefault="002F4B6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Авиация Черноморского флота совершила налёт на порт Феодосия. В результате бомбардировки потоплено 4 самоходные десантные баржи, 4 катера и один торпедный катер. Нанесены также повреждения другим судам противника, находившимся в этом порту.</w:t>
      </w:r>
    </w:p>
    <w:p w14:paraId="43DDA507" w14:textId="77777777" w:rsidR="002F4B64" w:rsidRPr="007224C3" w:rsidRDefault="002F4B6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Отряд белорусских партизан напал на немецкий зенитный дивизион, расположенный в одном населённом пункте Могилёвской области. Советские патриоты истребили более роты гитлеровцев, уничтожили 8 зенитных орудий и 40 автомашин. Захвачены трофеи. Партизаны Минской области освободили 3 тысячи советских граждан, насильно мобилизованных немцами на принудительные работы.» (15097).</w:t>
      </w:r>
    </w:p>
    <w:p w14:paraId="2910C3FA" w14:textId="77777777" w:rsidR="002F4B64" w:rsidRPr="007224C3" w:rsidRDefault="002F4B64" w:rsidP="007224C3">
      <w:pPr>
        <w:spacing w:after="0" w:line="240" w:lineRule="auto"/>
        <w:jc w:val="both"/>
        <w:rPr>
          <w:rFonts w:ascii="Times New Roman" w:hAnsi="Times New Roman"/>
          <w:color w:val="000000" w:themeColor="text1"/>
          <w:sz w:val="16"/>
          <w:szCs w:val="16"/>
        </w:rPr>
      </w:pPr>
    </w:p>
    <w:p w14:paraId="033B1DC6"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апреля 1944 вышло Распоряжение ГКО № 5600 [Об отводе земель под аэродромы, а также помещений для частей Новосибирской школы АДД КА.] (7208, 151).</w:t>
      </w:r>
    </w:p>
    <w:p w14:paraId="0DF1E124"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356DC0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апреля 1944 вышло Постановление ГКО № 5606 О недостатках в работе командования и штаба Западного фронта. РГАНИР, Фонд ГКО, д. 232, лл. 190,191-223 (11012).</w:t>
      </w:r>
    </w:p>
    <w:p w14:paraId="0642C62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AB81A42" w14:textId="77777777" w:rsidR="002F4B64" w:rsidRPr="007224C3" w:rsidRDefault="002F4B6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апреля в 1944 году игнорируя приказ Гитлера сражаться «до последнего солдата», германское командование начало эвакуацию войск из Крыма (15097).</w:t>
      </w:r>
    </w:p>
    <w:p w14:paraId="13D44540" w14:textId="77777777" w:rsidR="002F4B64" w:rsidRPr="007224C3" w:rsidRDefault="002F4B64" w:rsidP="007224C3">
      <w:pPr>
        <w:spacing w:after="0" w:line="240" w:lineRule="auto"/>
        <w:jc w:val="both"/>
        <w:rPr>
          <w:rFonts w:ascii="Times New Roman" w:hAnsi="Times New Roman"/>
          <w:color w:val="000000" w:themeColor="text1"/>
          <w:sz w:val="16"/>
          <w:szCs w:val="16"/>
        </w:rPr>
      </w:pPr>
    </w:p>
    <w:p w14:paraId="5171519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April 12th, 1944: German forces in the Crimea withdraw to Sevastopol (3819).</w:t>
      </w:r>
    </w:p>
    <w:p w14:paraId="0354B1B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3320CA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апреля 1944 германские войска отступили к Севастополю (3819).</w:t>
      </w:r>
    </w:p>
    <w:p w14:paraId="121D0AD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368BBC"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апреля 1944 игнорируя приказ Гитлера сражаться “до последнего солдата”, германское командование начало эвакуацию войск из Крыма (4962).</w:t>
      </w:r>
    </w:p>
    <w:p w14:paraId="6A9BA820"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08DC524"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апреля 1944 советские войска освободили от фашистов Тирасполь и Дубоссары (4962).</w:t>
      </w:r>
    </w:p>
    <w:p w14:paraId="09D0D70A"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BD64FE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апреля 1944 3УФ (Ф.И.Толбухин) освободил Тирасполь (3398,145).</w:t>
      </w:r>
    </w:p>
    <w:p w14:paraId="57C456B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407A3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апреля 1944 состоялись тяжелые воздушные бои над Германией, в которых приняло участие 2 тыс. американских самолетов (2247,3).</w:t>
      </w:r>
    </w:p>
    <w:p w14:paraId="1E9E270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4B886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апреля 1944 л ГВФ л А.П.Мамкин возвращался ночью от партизан, имея на борту 3-х партизан и 10 детей. был ранен ЗА, но истекая кровью довел машину, посадил и умер (438,901).</w:t>
      </w:r>
    </w:p>
    <w:p w14:paraId="50BD1AA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B56CB1"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Внешняя политика:</w:t>
      </w:r>
    </w:p>
    <w:p w14:paraId="28176FD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62B0F30" w14:textId="77777777" w:rsidR="002F4B64" w:rsidRPr="007224C3" w:rsidRDefault="002F4B6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апреля в 1944 году предъявление Советским правительством по согласованию с США и Великбританией румынскому правительству условий перемирия (разрыв с Германией и объявление ей войны, восстановление довоенной советско-румынской границы, возмещения ущерба, причиненного СССР, возвращение всех военнопленных), которые не были приняты правительством Антонеску (15097).</w:t>
      </w:r>
    </w:p>
    <w:p w14:paraId="5CF25AC2" w14:textId="77777777" w:rsidR="002F4B64" w:rsidRPr="007224C3" w:rsidRDefault="002F4B64" w:rsidP="007224C3">
      <w:pPr>
        <w:spacing w:after="0" w:line="240" w:lineRule="auto"/>
        <w:jc w:val="both"/>
        <w:rPr>
          <w:rFonts w:ascii="Times New Roman" w:hAnsi="Times New Roman"/>
          <w:color w:val="000000" w:themeColor="text1"/>
          <w:sz w:val="16"/>
          <w:szCs w:val="16"/>
        </w:rPr>
      </w:pPr>
    </w:p>
    <w:p w14:paraId="5890B8C4" w14:textId="77777777" w:rsidR="002F4B64" w:rsidRPr="007224C3" w:rsidRDefault="002F4B6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апреля в 1944 году финский парламент отклонил советские условия перемирия (15097).</w:t>
      </w:r>
    </w:p>
    <w:p w14:paraId="430D0D72" w14:textId="77777777" w:rsidR="002F4B64" w:rsidRPr="007224C3" w:rsidRDefault="002F4B64" w:rsidP="007224C3">
      <w:pPr>
        <w:spacing w:after="0" w:line="240" w:lineRule="auto"/>
        <w:jc w:val="both"/>
        <w:rPr>
          <w:rFonts w:ascii="Times New Roman" w:hAnsi="Times New Roman"/>
          <w:color w:val="000000" w:themeColor="text1"/>
          <w:sz w:val="16"/>
          <w:szCs w:val="16"/>
        </w:rPr>
      </w:pPr>
    </w:p>
    <w:p w14:paraId="66C9AAE0" w14:textId="77777777" w:rsidR="002F4B64"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61AD32C2" w14:textId="77777777" w:rsidR="002F4B64" w:rsidRPr="007224C3" w:rsidRDefault="002F4B64"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31A7469" w14:textId="77777777" w:rsidR="00315AAD" w:rsidRPr="007224C3" w:rsidRDefault="00315AAD"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12 апреля 1944 игрок в поло американского чемпионата Томми Хичкок-младший, служащий подполковником в ВВС США, погибает, когда не может выйти из пикирования во время испытаний истребителя P-51 Mustang, и разбивается около Салисбурга, Уилтшир , Англия (20373).</w:t>
      </w:r>
    </w:p>
    <w:p w14:paraId="68F0B5DC" w14:textId="77777777" w:rsidR="00315AAD" w:rsidRPr="007224C3" w:rsidRDefault="00315AAD" w:rsidP="007224C3">
      <w:pPr>
        <w:spacing w:after="0" w:line="240" w:lineRule="auto"/>
        <w:jc w:val="both"/>
        <w:rPr>
          <w:rFonts w:ascii="Times New Roman" w:hAnsi="Times New Roman"/>
          <w:color w:val="0070C0"/>
          <w:sz w:val="16"/>
          <w:szCs w:val="16"/>
        </w:rPr>
      </w:pPr>
    </w:p>
    <w:p w14:paraId="4C811F1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апреля 1944 ВВС союзников начали систематические налеты на Германию и прежде всего на промышленные центры (Мерзебург, Треглиц, Белау и др.) (3186).</w:t>
      </w:r>
    </w:p>
    <w:p w14:paraId="109243F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4644AE" w14:textId="77777777" w:rsidR="002F4B64" w:rsidRPr="007224C3" w:rsidRDefault="002F4B6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апреля в 1944 году отрекся от престола последний итальянский король Виктор-Эммануэль, и Италия стала республикой. Но другие страны с монархическим строем ее примеру на последовали, а в семидесятые годы одна важная монархия - испанская - была даже восстановлена после долгого перерыва (15097).</w:t>
      </w:r>
    </w:p>
    <w:p w14:paraId="60C59AE7" w14:textId="77777777" w:rsidR="002F4B64" w:rsidRPr="007224C3" w:rsidRDefault="002F4B64" w:rsidP="007224C3">
      <w:pPr>
        <w:spacing w:after="0" w:line="240" w:lineRule="auto"/>
        <w:jc w:val="both"/>
        <w:rPr>
          <w:rFonts w:ascii="Times New Roman" w:hAnsi="Times New Roman"/>
          <w:color w:val="000000" w:themeColor="text1"/>
          <w:sz w:val="16"/>
          <w:szCs w:val="16"/>
        </w:rPr>
      </w:pPr>
    </w:p>
    <w:p w14:paraId="7CFC45DF" w14:textId="77777777" w:rsidR="00315AAD" w:rsidRPr="007224C3" w:rsidRDefault="00315AAD"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12 апреля 1944 самолет пятой армии ВВС снова атакует японские аэродромы вокруг Голландии (20373).</w:t>
      </w:r>
    </w:p>
    <w:p w14:paraId="75117505" w14:textId="77777777" w:rsidR="00315AAD" w:rsidRPr="007224C3" w:rsidRDefault="00315AAD" w:rsidP="007224C3">
      <w:pPr>
        <w:spacing w:after="0" w:line="240" w:lineRule="auto"/>
        <w:jc w:val="both"/>
        <w:rPr>
          <w:rFonts w:ascii="Times New Roman" w:hAnsi="Times New Roman"/>
          <w:color w:val="0070C0"/>
          <w:sz w:val="16"/>
          <w:szCs w:val="16"/>
        </w:rPr>
      </w:pPr>
    </w:p>
    <w:p w14:paraId="17D48C01"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500BAE0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B20D83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апреля 1944 г. генерал Н.П.Селезнев обратился к А.И.Шахурину с письмом (№ 872832), в котором просил наркомат выпускать Ил-2 только цельнометаллической конструкции. Наркомату авиапромышленности по</w:t>
      </w:r>
      <w:r w:rsidRPr="007224C3">
        <w:rPr>
          <w:rFonts w:ascii="Times New Roman" w:hAnsi="Times New Roman"/>
          <w:color w:val="000000" w:themeColor="text1"/>
          <w:sz w:val="16"/>
          <w:szCs w:val="16"/>
        </w:rPr>
        <w:softHyphen/>
        <w:t>требовался целый месяц для решения этого вопроса (6467).</w:t>
      </w:r>
    </w:p>
    <w:p w14:paraId="6614090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AC2BC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апреля 1944 г. начальник Глав</w:t>
      </w:r>
      <w:r w:rsidRPr="007224C3">
        <w:rPr>
          <w:rFonts w:ascii="Times New Roman" w:hAnsi="Times New Roman"/>
          <w:color w:val="000000" w:themeColor="text1"/>
          <w:sz w:val="16"/>
          <w:szCs w:val="16"/>
        </w:rPr>
        <w:softHyphen/>
        <w:t>ного управления заказов ВВС гене</w:t>
      </w:r>
      <w:r w:rsidRPr="007224C3">
        <w:rPr>
          <w:rFonts w:ascii="Times New Roman" w:hAnsi="Times New Roman"/>
          <w:color w:val="000000" w:themeColor="text1"/>
          <w:sz w:val="16"/>
          <w:szCs w:val="16"/>
        </w:rPr>
        <w:softHyphen/>
        <w:t>рал-лейтенант Н. П. Селезнев обра</w:t>
      </w:r>
      <w:r w:rsidRPr="007224C3">
        <w:rPr>
          <w:rFonts w:ascii="Times New Roman" w:hAnsi="Times New Roman"/>
          <w:color w:val="000000" w:themeColor="text1"/>
          <w:sz w:val="16"/>
          <w:szCs w:val="16"/>
        </w:rPr>
        <w:softHyphen/>
        <w:t>тился к А. И. Шахурину с письмом следующего содержания: "Опыт бо</w:t>
      </w:r>
      <w:r w:rsidRPr="007224C3">
        <w:rPr>
          <w:rFonts w:ascii="Times New Roman" w:hAnsi="Times New Roman"/>
          <w:color w:val="000000" w:themeColor="text1"/>
          <w:sz w:val="16"/>
          <w:szCs w:val="16"/>
        </w:rPr>
        <w:softHyphen/>
        <w:t>евой эксплуатации самолетов Ил-2 в частях ВВС КА показал, что нали</w:t>
      </w:r>
      <w:r w:rsidRPr="007224C3">
        <w:rPr>
          <w:rFonts w:ascii="Times New Roman" w:hAnsi="Times New Roman"/>
          <w:color w:val="000000" w:themeColor="text1"/>
          <w:sz w:val="16"/>
          <w:szCs w:val="16"/>
        </w:rPr>
        <w:softHyphen/>
        <w:t>чие в его конструкции деревянного фюзеляжа зачастую приводит к дли</w:t>
      </w:r>
      <w:r w:rsidRPr="007224C3">
        <w:rPr>
          <w:rFonts w:ascii="Times New Roman" w:hAnsi="Times New Roman"/>
          <w:color w:val="000000" w:themeColor="text1"/>
          <w:sz w:val="16"/>
          <w:szCs w:val="16"/>
        </w:rPr>
        <w:softHyphen/>
        <w:t>тельному простаиванию материаль</w:t>
      </w:r>
      <w:r w:rsidRPr="007224C3">
        <w:rPr>
          <w:rFonts w:ascii="Times New Roman" w:hAnsi="Times New Roman"/>
          <w:color w:val="000000" w:themeColor="text1"/>
          <w:sz w:val="16"/>
          <w:szCs w:val="16"/>
        </w:rPr>
        <w:softHyphen/>
        <w:t>ной части на аэродромах без дей</w:t>
      </w:r>
      <w:r w:rsidRPr="007224C3">
        <w:rPr>
          <w:rFonts w:ascii="Times New Roman" w:hAnsi="Times New Roman"/>
          <w:color w:val="000000" w:themeColor="text1"/>
          <w:sz w:val="16"/>
          <w:szCs w:val="16"/>
        </w:rPr>
        <w:softHyphen/>
        <w:t>ствия из-за появления дефектов при</w:t>
      </w:r>
      <w:r w:rsidRPr="007224C3">
        <w:rPr>
          <w:rFonts w:ascii="Times New Roman" w:hAnsi="Times New Roman"/>
          <w:color w:val="000000" w:themeColor="text1"/>
          <w:sz w:val="16"/>
          <w:szCs w:val="16"/>
        </w:rPr>
        <w:softHyphen/>
        <w:t>сущих деревянным агрегатам. При</w:t>
      </w:r>
      <w:r w:rsidRPr="007224C3">
        <w:rPr>
          <w:rFonts w:ascii="Times New Roman" w:hAnsi="Times New Roman"/>
          <w:color w:val="000000" w:themeColor="text1"/>
          <w:sz w:val="16"/>
          <w:szCs w:val="16"/>
        </w:rPr>
        <w:softHyphen/>
        <w:t>ведение самолетов в боевую готов</w:t>
      </w:r>
      <w:r w:rsidRPr="007224C3">
        <w:rPr>
          <w:rFonts w:ascii="Times New Roman" w:hAnsi="Times New Roman"/>
          <w:color w:val="000000" w:themeColor="text1"/>
          <w:sz w:val="16"/>
          <w:szCs w:val="16"/>
        </w:rPr>
        <w:softHyphen/>
        <w:t>ность требует больших материальных затрат, квалифицированной рабочей силы и времени со стороны серий</w:t>
      </w:r>
      <w:r w:rsidRPr="007224C3">
        <w:rPr>
          <w:rFonts w:ascii="Times New Roman" w:hAnsi="Times New Roman"/>
          <w:color w:val="000000" w:themeColor="text1"/>
          <w:sz w:val="16"/>
          <w:szCs w:val="16"/>
        </w:rPr>
        <w:softHyphen/>
        <w:t>ных заводов; ремонт по дереву в полевых условиях является чрезвычай</w:t>
      </w:r>
      <w:r w:rsidRPr="007224C3">
        <w:rPr>
          <w:rFonts w:ascii="Times New Roman" w:hAnsi="Times New Roman"/>
          <w:color w:val="000000" w:themeColor="text1"/>
          <w:sz w:val="16"/>
          <w:szCs w:val="16"/>
        </w:rPr>
        <w:softHyphen/>
        <w:t>но сложным и не всегда может быть выполнен качественно. В связи с этим, считаю целесообразным просить Вас о выпуске самолетов Ил-2 цельно</w:t>
      </w:r>
      <w:r w:rsidRPr="007224C3">
        <w:rPr>
          <w:rFonts w:ascii="Times New Roman" w:hAnsi="Times New Roman"/>
          <w:color w:val="000000" w:themeColor="text1"/>
          <w:sz w:val="16"/>
          <w:szCs w:val="16"/>
        </w:rPr>
        <w:softHyphen/>
        <w:t>металлической конструкции".</w:t>
      </w:r>
    </w:p>
    <w:p w14:paraId="4D18A5B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Казалось бы, НКАП должен был мгновенно согласиться на это пред</w:t>
      </w:r>
      <w:r w:rsidRPr="007224C3">
        <w:rPr>
          <w:rFonts w:ascii="Times New Roman" w:hAnsi="Times New Roman"/>
          <w:color w:val="000000" w:themeColor="text1"/>
          <w:sz w:val="16"/>
          <w:szCs w:val="16"/>
        </w:rPr>
        <w:softHyphen/>
        <w:t>ложение. Однако руководству нар</w:t>
      </w:r>
      <w:r w:rsidRPr="007224C3">
        <w:rPr>
          <w:rFonts w:ascii="Times New Roman" w:hAnsi="Times New Roman"/>
          <w:color w:val="000000" w:themeColor="text1"/>
          <w:sz w:val="16"/>
          <w:szCs w:val="16"/>
        </w:rPr>
        <w:softHyphen/>
        <w:t>комата авиационной промышленно</w:t>
      </w:r>
      <w:r w:rsidRPr="007224C3">
        <w:rPr>
          <w:rFonts w:ascii="Times New Roman" w:hAnsi="Times New Roman"/>
          <w:color w:val="000000" w:themeColor="text1"/>
          <w:sz w:val="16"/>
          <w:szCs w:val="16"/>
        </w:rPr>
        <w:softHyphen/>
        <w:t>сти потребовался целый месяц для подготовки ответа. Только 14 мая, на следующий день, после того, как в НИИ ВВС для производства государ</w:t>
      </w:r>
      <w:r w:rsidRPr="007224C3">
        <w:rPr>
          <w:rFonts w:ascii="Times New Roman" w:hAnsi="Times New Roman"/>
          <w:color w:val="000000" w:themeColor="text1"/>
          <w:sz w:val="16"/>
          <w:szCs w:val="16"/>
        </w:rPr>
        <w:softHyphen/>
        <w:t>ственных испытаний официально был передан новый опытный ильюшинский штурмовик Ил-10 (тот же двух</w:t>
      </w:r>
      <w:r w:rsidRPr="007224C3">
        <w:rPr>
          <w:rFonts w:ascii="Times New Roman" w:hAnsi="Times New Roman"/>
          <w:color w:val="000000" w:themeColor="text1"/>
          <w:sz w:val="16"/>
          <w:szCs w:val="16"/>
        </w:rPr>
        <w:softHyphen/>
        <w:t>местный Ил-1 АМ-42, но с новым обозначением), из наркомата на имя Селезнева за подписью Шахурина ушло письмо. В нем нарком сооб</w:t>
      </w:r>
      <w:r w:rsidRPr="007224C3">
        <w:rPr>
          <w:rFonts w:ascii="Times New Roman" w:hAnsi="Times New Roman"/>
          <w:color w:val="000000" w:themeColor="text1"/>
          <w:sz w:val="16"/>
          <w:szCs w:val="16"/>
        </w:rPr>
        <w:softHyphen/>
        <w:t>щал, что: "...НКАП имеет ввиду пе</w:t>
      </w:r>
      <w:r w:rsidRPr="007224C3">
        <w:rPr>
          <w:rFonts w:ascii="Times New Roman" w:hAnsi="Times New Roman"/>
          <w:color w:val="000000" w:themeColor="text1"/>
          <w:sz w:val="16"/>
          <w:szCs w:val="16"/>
        </w:rPr>
        <w:softHyphen/>
        <w:t>ревести производство завода № 18 на выпуск цельнометаллических са</w:t>
      </w:r>
      <w:r w:rsidRPr="007224C3">
        <w:rPr>
          <w:rFonts w:ascii="Times New Roman" w:hAnsi="Times New Roman"/>
          <w:color w:val="000000" w:themeColor="text1"/>
          <w:sz w:val="16"/>
          <w:szCs w:val="16"/>
        </w:rPr>
        <w:softHyphen/>
        <w:t>молетов Ил-8 АМ-42 в 1944 г., а заводы №№ 1 и 30 в первом полу</w:t>
      </w:r>
      <w:r w:rsidRPr="007224C3">
        <w:rPr>
          <w:rFonts w:ascii="Times New Roman" w:hAnsi="Times New Roman"/>
          <w:color w:val="000000" w:themeColor="text1"/>
          <w:sz w:val="16"/>
          <w:szCs w:val="16"/>
        </w:rPr>
        <w:softHyphen/>
        <w:t>годии 1945 года. Исходя из этого, Наркомавиапром не считает целе</w:t>
      </w:r>
      <w:r w:rsidRPr="007224C3">
        <w:rPr>
          <w:rFonts w:ascii="Times New Roman" w:hAnsi="Times New Roman"/>
          <w:color w:val="000000" w:themeColor="text1"/>
          <w:sz w:val="16"/>
          <w:szCs w:val="16"/>
        </w:rPr>
        <w:softHyphen/>
        <w:t>сообразным переводить заводы №№ / и 30 на выпуск самолетов Ил-2 с металлической хвостовой ча</w:t>
      </w:r>
      <w:r w:rsidRPr="007224C3">
        <w:rPr>
          <w:rFonts w:ascii="Times New Roman" w:hAnsi="Times New Roman"/>
          <w:color w:val="000000" w:themeColor="text1"/>
          <w:sz w:val="16"/>
          <w:szCs w:val="16"/>
        </w:rPr>
        <w:softHyphen/>
        <w:t>стью фюзеляжей, в то время, когда цеха подготовки заводов должны быть заняты изготовлением оснастки для производства цельнометалличес</w:t>
      </w:r>
      <w:r w:rsidRPr="007224C3">
        <w:rPr>
          <w:rFonts w:ascii="Times New Roman" w:hAnsi="Times New Roman"/>
          <w:color w:val="000000" w:themeColor="text1"/>
          <w:sz w:val="16"/>
          <w:szCs w:val="16"/>
        </w:rPr>
        <w:softHyphen/>
        <w:t>ких самолетов Ил-8".</w:t>
      </w:r>
    </w:p>
    <w:p w14:paraId="459A6CA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Очевидно, наркомат в известной мере лукавил. Несмотря на успеш</w:t>
      </w:r>
      <w:r w:rsidRPr="007224C3">
        <w:rPr>
          <w:rFonts w:ascii="Times New Roman" w:hAnsi="Times New Roman"/>
          <w:color w:val="000000" w:themeColor="text1"/>
          <w:sz w:val="16"/>
          <w:szCs w:val="16"/>
        </w:rPr>
        <w:softHyphen/>
        <w:t>ные в целом государственные испы</w:t>
      </w:r>
      <w:r w:rsidRPr="007224C3">
        <w:rPr>
          <w:rFonts w:ascii="Times New Roman" w:hAnsi="Times New Roman"/>
          <w:color w:val="000000" w:themeColor="text1"/>
          <w:sz w:val="16"/>
          <w:szCs w:val="16"/>
        </w:rPr>
        <w:softHyphen/>
        <w:t>тания Ил-8 АМ-42, окончательное мнение военных по этому самолету еще не оформилось. Для них боль</w:t>
      </w:r>
      <w:r w:rsidRPr="007224C3">
        <w:rPr>
          <w:rFonts w:ascii="Times New Roman" w:hAnsi="Times New Roman"/>
          <w:color w:val="000000" w:themeColor="text1"/>
          <w:sz w:val="16"/>
          <w:szCs w:val="16"/>
        </w:rPr>
        <w:softHyphen/>
        <w:t>ший интерес все же представлял Су-6, как более подходящий для боя.</w:t>
      </w:r>
    </w:p>
    <w:p w14:paraId="5047BA6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Обращает внимание, что письмо появилось именно в тот момент, ког</w:t>
      </w:r>
      <w:r w:rsidRPr="007224C3">
        <w:rPr>
          <w:rFonts w:ascii="Times New Roman" w:hAnsi="Times New Roman"/>
          <w:color w:val="000000" w:themeColor="text1"/>
          <w:sz w:val="16"/>
          <w:szCs w:val="16"/>
        </w:rPr>
        <w:softHyphen/>
        <w:t>да были приостановлены полеты на Су-6, а вопрос о принятии на воо</w:t>
      </w:r>
      <w:r w:rsidRPr="007224C3">
        <w:rPr>
          <w:rFonts w:ascii="Times New Roman" w:hAnsi="Times New Roman"/>
          <w:color w:val="000000" w:themeColor="text1"/>
          <w:sz w:val="16"/>
          <w:szCs w:val="16"/>
        </w:rPr>
        <w:softHyphen/>
        <w:t>ружение Ил-8 еще только обсуждал</w:t>
      </w:r>
      <w:r w:rsidRPr="007224C3">
        <w:rPr>
          <w:rFonts w:ascii="Times New Roman" w:hAnsi="Times New Roman"/>
          <w:color w:val="000000" w:themeColor="text1"/>
          <w:sz w:val="16"/>
          <w:szCs w:val="16"/>
        </w:rPr>
        <w:softHyphen/>
        <w:t>ся. Явно прослеживается желание наркомата подтолкнуть военных к решению о постановке "на снабже</w:t>
      </w:r>
      <w:r w:rsidRPr="007224C3">
        <w:rPr>
          <w:rFonts w:ascii="Times New Roman" w:hAnsi="Times New Roman"/>
          <w:color w:val="000000" w:themeColor="text1"/>
          <w:sz w:val="16"/>
          <w:szCs w:val="16"/>
        </w:rPr>
        <w:softHyphen/>
        <w:t>ние ВВС КА "имен но самолета Ил-8, как более удобного в серийном про</w:t>
      </w:r>
      <w:r w:rsidRPr="007224C3">
        <w:rPr>
          <w:rFonts w:ascii="Times New Roman" w:hAnsi="Times New Roman"/>
          <w:color w:val="000000" w:themeColor="text1"/>
          <w:sz w:val="16"/>
          <w:szCs w:val="16"/>
        </w:rPr>
        <w:softHyphen/>
        <w:t>изводстве.</w:t>
      </w:r>
    </w:p>
    <w:p w14:paraId="6AC6086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Действительно, внедрение в се</w:t>
      </w:r>
      <w:r w:rsidRPr="007224C3">
        <w:rPr>
          <w:rFonts w:ascii="Times New Roman" w:hAnsi="Times New Roman"/>
          <w:color w:val="000000" w:themeColor="text1"/>
          <w:sz w:val="16"/>
          <w:szCs w:val="16"/>
        </w:rPr>
        <w:softHyphen/>
        <w:t>рийное производство Су-6 АМ-42 по</w:t>
      </w:r>
      <w:r w:rsidRPr="007224C3">
        <w:rPr>
          <w:rFonts w:ascii="Times New Roman" w:hAnsi="Times New Roman"/>
          <w:color w:val="000000" w:themeColor="text1"/>
          <w:sz w:val="16"/>
          <w:szCs w:val="16"/>
        </w:rPr>
        <w:softHyphen/>
        <w:t>требовало бы перестройки сбороч</w:t>
      </w:r>
      <w:r w:rsidRPr="007224C3">
        <w:rPr>
          <w:rFonts w:ascii="Times New Roman" w:hAnsi="Times New Roman"/>
          <w:color w:val="000000" w:themeColor="text1"/>
          <w:sz w:val="16"/>
          <w:szCs w:val="16"/>
        </w:rPr>
        <w:softHyphen/>
        <w:t>ных конвейеров, что в условиях вой</w:t>
      </w:r>
      <w:r w:rsidRPr="007224C3">
        <w:rPr>
          <w:rFonts w:ascii="Times New Roman" w:hAnsi="Times New Roman"/>
          <w:color w:val="000000" w:themeColor="text1"/>
          <w:sz w:val="16"/>
          <w:szCs w:val="16"/>
        </w:rPr>
        <w:softHyphen/>
        <w:t>ны, несомненно, являлось определен</w:t>
      </w:r>
      <w:r w:rsidRPr="007224C3">
        <w:rPr>
          <w:rFonts w:ascii="Times New Roman" w:hAnsi="Times New Roman"/>
          <w:color w:val="000000" w:themeColor="text1"/>
          <w:sz w:val="16"/>
          <w:szCs w:val="16"/>
        </w:rPr>
        <w:softHyphen/>
        <w:t>ным техническим риском. В тоже вре</w:t>
      </w:r>
      <w:r w:rsidRPr="007224C3">
        <w:rPr>
          <w:rFonts w:ascii="Times New Roman" w:hAnsi="Times New Roman"/>
          <w:color w:val="000000" w:themeColor="text1"/>
          <w:sz w:val="16"/>
          <w:szCs w:val="16"/>
        </w:rPr>
        <w:softHyphen/>
        <w:t>мя самолет Ил-8 АМ-42 имел много общего с Ил-2 АМ-38ф, и в случае внедрения его в массовое производ</w:t>
      </w:r>
      <w:r w:rsidRPr="007224C3">
        <w:rPr>
          <w:rFonts w:ascii="Times New Roman" w:hAnsi="Times New Roman"/>
          <w:color w:val="000000" w:themeColor="text1"/>
          <w:sz w:val="16"/>
          <w:szCs w:val="16"/>
        </w:rPr>
        <w:softHyphen/>
        <w:t>ство можно было использовать те же конвейеры и большую часть имею</w:t>
      </w:r>
      <w:r w:rsidRPr="007224C3">
        <w:rPr>
          <w:rFonts w:ascii="Times New Roman" w:hAnsi="Times New Roman"/>
          <w:color w:val="000000" w:themeColor="text1"/>
          <w:sz w:val="16"/>
          <w:szCs w:val="16"/>
        </w:rPr>
        <w:softHyphen/>
        <w:t>щейся оснастки. Штурмовик Ил-10 в этом отношении уступал "восьмерке".</w:t>
      </w:r>
    </w:p>
    <w:p w14:paraId="4A3D709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Как следует из документов, А. И. Шахурин, не дожидаясь реакции во</w:t>
      </w:r>
      <w:r w:rsidRPr="007224C3">
        <w:rPr>
          <w:rFonts w:ascii="Times New Roman" w:hAnsi="Times New Roman"/>
          <w:color w:val="000000" w:themeColor="text1"/>
          <w:sz w:val="16"/>
          <w:szCs w:val="16"/>
        </w:rPr>
        <w:softHyphen/>
        <w:t>енных на свое письмо, дал указание о срочном развертывании серийно</w:t>
      </w:r>
      <w:r w:rsidRPr="007224C3">
        <w:rPr>
          <w:rFonts w:ascii="Times New Roman" w:hAnsi="Times New Roman"/>
          <w:color w:val="000000" w:themeColor="text1"/>
          <w:sz w:val="16"/>
          <w:szCs w:val="16"/>
        </w:rPr>
        <w:softHyphen/>
        <w:t>го производства Ил-8 АМ-42 на авиазаводе № 18.</w:t>
      </w:r>
    </w:p>
    <w:p w14:paraId="3214755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Остается неизвестным, согласо</w:t>
      </w:r>
      <w:r w:rsidRPr="007224C3">
        <w:rPr>
          <w:rFonts w:ascii="Times New Roman" w:hAnsi="Times New Roman"/>
          <w:color w:val="000000" w:themeColor="text1"/>
          <w:sz w:val="16"/>
          <w:szCs w:val="16"/>
        </w:rPr>
        <w:softHyphen/>
        <w:t>вывалось ли это решение предвари</w:t>
      </w:r>
      <w:r w:rsidRPr="007224C3">
        <w:rPr>
          <w:rFonts w:ascii="Times New Roman" w:hAnsi="Times New Roman"/>
          <w:color w:val="000000" w:themeColor="text1"/>
          <w:sz w:val="16"/>
          <w:szCs w:val="16"/>
        </w:rPr>
        <w:softHyphen/>
        <w:t>тельно с ГОКО или нет. Скорее все</w:t>
      </w:r>
      <w:r w:rsidRPr="007224C3">
        <w:rPr>
          <w:rFonts w:ascii="Times New Roman" w:hAnsi="Times New Roman"/>
          <w:color w:val="000000" w:themeColor="text1"/>
          <w:sz w:val="16"/>
          <w:szCs w:val="16"/>
        </w:rPr>
        <w:softHyphen/>
        <w:t>го, в той или иной мере этот вопрос все же обсуждался. Однако докумен</w:t>
      </w:r>
      <w:r w:rsidRPr="007224C3">
        <w:rPr>
          <w:rFonts w:ascii="Times New Roman" w:hAnsi="Times New Roman"/>
          <w:color w:val="000000" w:themeColor="text1"/>
          <w:sz w:val="16"/>
          <w:szCs w:val="16"/>
        </w:rPr>
        <w:softHyphen/>
        <w:t>тального подтверждения обращения НКАП к руководству страны с предложением разрешить серийный вы</w:t>
      </w:r>
      <w:r w:rsidRPr="007224C3">
        <w:rPr>
          <w:rFonts w:ascii="Times New Roman" w:hAnsi="Times New Roman"/>
          <w:color w:val="000000" w:themeColor="text1"/>
          <w:sz w:val="16"/>
          <w:szCs w:val="16"/>
        </w:rPr>
        <w:softHyphen/>
        <w:t>пуск самолета Ил-8 и получение по</w:t>
      </w:r>
      <w:r w:rsidRPr="007224C3">
        <w:rPr>
          <w:rFonts w:ascii="Times New Roman" w:hAnsi="Times New Roman"/>
          <w:color w:val="000000" w:themeColor="text1"/>
          <w:sz w:val="16"/>
          <w:szCs w:val="16"/>
        </w:rPr>
        <w:softHyphen/>
        <w:t>ложительного или отрицательного ответа по нему пока не найдено (11428).</w:t>
      </w:r>
    </w:p>
    <w:p w14:paraId="55E7794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C257D3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апреля 1944 г. начальник ГУЗ ВВС генерал-лейтенант Селезнев обратился к Шахурину с письмом следующего содержания: "Опыт боевой эксплуатации самолетов Ил-2 в частях ВВС КА показал, что наличие в его конструкции деревянного фюзеляжа зачастую приводит к длительному простаиванию материальной части на аэродромах без действия из-за появления дефектов присущих деревянным агрегатам. Приведение самолетов в боевую готовность требует больших материальных затрат, квалифицированной рабочей силы и времени со стороны серийных заводов; ремонт по дереву в полевых условиях является чрезвычайно сложным и не всегда может быть выполнен качественно. В связи с этим, считаю целесообразным просить Вас о выпуске самолетов Ил-2 цельнометаллической конструкции".</w:t>
      </w:r>
    </w:p>
    <w:p w14:paraId="3541F66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Казалось бы, НКАП должен был мгновенно согласиться на это предложение. Однако руководству наркомата потребовался целый месяц для подготовки ответа (12020).</w:t>
      </w:r>
    </w:p>
    <w:p w14:paraId="3E95DF0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80D179D" w14:textId="77777777" w:rsidR="00315AAD" w:rsidRPr="007224C3" w:rsidRDefault="00315AAD"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13 апреля 1944 г. начальник Глав</w:t>
      </w:r>
      <w:r w:rsidRPr="007224C3">
        <w:rPr>
          <w:rFonts w:ascii="Times New Roman" w:hAnsi="Times New Roman"/>
          <w:color w:val="0070C0"/>
          <w:sz w:val="16"/>
          <w:szCs w:val="16"/>
        </w:rPr>
        <w:softHyphen/>
        <w:t>ного управления заказов ВВС генерал- лейтенант Н.П. Селезнев в письме на</w:t>
      </w:r>
      <w:r w:rsidRPr="007224C3">
        <w:rPr>
          <w:rFonts w:ascii="Times New Roman" w:hAnsi="Times New Roman"/>
          <w:color w:val="0070C0"/>
          <w:sz w:val="16"/>
          <w:szCs w:val="16"/>
        </w:rPr>
        <w:softHyphen/>
        <w:t>ркому авиапромышленности Шахурину указывал: «</w:t>
      </w:r>
      <w:r w:rsidRPr="007224C3">
        <w:rPr>
          <w:rStyle w:val="122"/>
          <w:rFonts w:ascii="Times New Roman" w:hAnsi="Times New Roman" w:cs="Times New Roman"/>
          <w:b w:val="0"/>
          <w:bCs w:val="0"/>
          <w:color w:val="0070C0"/>
          <w:sz w:val="16"/>
          <w:szCs w:val="16"/>
        </w:rPr>
        <w:t>Опыт боевой эксплуатации самолетов Ил-2 в частях ВВС КА показал, что наличие в его конструкции деревян</w:t>
      </w:r>
      <w:r w:rsidRPr="007224C3">
        <w:rPr>
          <w:rStyle w:val="122"/>
          <w:rFonts w:ascii="Times New Roman" w:hAnsi="Times New Roman" w:cs="Times New Roman"/>
          <w:b w:val="0"/>
          <w:bCs w:val="0"/>
          <w:color w:val="0070C0"/>
          <w:sz w:val="16"/>
          <w:szCs w:val="16"/>
        </w:rPr>
        <w:softHyphen/>
        <w:t>ного фюзеляжа зачастую приводит к дли</w:t>
      </w:r>
      <w:r w:rsidRPr="007224C3">
        <w:rPr>
          <w:rStyle w:val="122"/>
          <w:rFonts w:ascii="Times New Roman" w:hAnsi="Times New Roman" w:cs="Times New Roman"/>
          <w:b w:val="0"/>
          <w:bCs w:val="0"/>
          <w:color w:val="0070C0"/>
          <w:sz w:val="16"/>
          <w:szCs w:val="16"/>
        </w:rPr>
        <w:softHyphen/>
        <w:t>тельному простаиванию материальной части на аэродромах без действия из-за появления дефектов присущих деревян</w:t>
      </w:r>
      <w:r w:rsidRPr="007224C3">
        <w:rPr>
          <w:rStyle w:val="122"/>
          <w:rFonts w:ascii="Times New Roman" w:hAnsi="Times New Roman" w:cs="Times New Roman"/>
          <w:b w:val="0"/>
          <w:bCs w:val="0"/>
          <w:color w:val="0070C0"/>
          <w:sz w:val="16"/>
          <w:szCs w:val="16"/>
        </w:rPr>
        <w:softHyphen/>
        <w:t>ным агрегатам. Приведение самолетов в боевую готовность требует больших ма</w:t>
      </w:r>
      <w:r w:rsidRPr="007224C3">
        <w:rPr>
          <w:rStyle w:val="122"/>
          <w:rFonts w:ascii="Times New Roman" w:hAnsi="Times New Roman" w:cs="Times New Roman"/>
          <w:b w:val="0"/>
          <w:bCs w:val="0"/>
          <w:color w:val="0070C0"/>
          <w:sz w:val="16"/>
          <w:szCs w:val="16"/>
        </w:rPr>
        <w:softHyphen/>
        <w:t>териальных затрат, квалифицированной рабочей силы и времени со стороны се</w:t>
      </w:r>
      <w:r w:rsidRPr="007224C3">
        <w:rPr>
          <w:rStyle w:val="122"/>
          <w:rFonts w:ascii="Times New Roman" w:hAnsi="Times New Roman" w:cs="Times New Roman"/>
          <w:b w:val="0"/>
          <w:bCs w:val="0"/>
          <w:color w:val="0070C0"/>
          <w:sz w:val="16"/>
          <w:szCs w:val="16"/>
        </w:rPr>
        <w:softHyphen/>
        <w:t>рийных заводов; ремонт по дереву в поле</w:t>
      </w:r>
      <w:r w:rsidRPr="007224C3">
        <w:rPr>
          <w:rStyle w:val="122"/>
          <w:rFonts w:ascii="Times New Roman" w:hAnsi="Times New Roman" w:cs="Times New Roman"/>
          <w:b w:val="0"/>
          <w:bCs w:val="0"/>
          <w:color w:val="0070C0"/>
          <w:sz w:val="16"/>
          <w:szCs w:val="16"/>
        </w:rPr>
        <w:softHyphen/>
        <w:t>вых условиях является чрезвычайно слож</w:t>
      </w:r>
      <w:r w:rsidRPr="007224C3">
        <w:rPr>
          <w:rStyle w:val="122"/>
          <w:rFonts w:ascii="Times New Roman" w:hAnsi="Times New Roman" w:cs="Times New Roman"/>
          <w:b w:val="0"/>
          <w:bCs w:val="0"/>
          <w:color w:val="0070C0"/>
          <w:sz w:val="16"/>
          <w:szCs w:val="16"/>
        </w:rPr>
        <w:softHyphen/>
        <w:t>ным и не всегда может быть выполнен качественно. В связи с этим, считаю це</w:t>
      </w:r>
      <w:r w:rsidRPr="007224C3">
        <w:rPr>
          <w:rStyle w:val="122"/>
          <w:rFonts w:ascii="Times New Roman" w:hAnsi="Times New Roman" w:cs="Times New Roman"/>
          <w:b w:val="0"/>
          <w:bCs w:val="0"/>
          <w:color w:val="0070C0"/>
          <w:sz w:val="16"/>
          <w:szCs w:val="16"/>
        </w:rPr>
        <w:softHyphen/>
        <w:t>лесообразным просить Вас о выпуске са</w:t>
      </w:r>
      <w:r w:rsidRPr="007224C3">
        <w:rPr>
          <w:rStyle w:val="122"/>
          <w:rFonts w:ascii="Times New Roman" w:hAnsi="Times New Roman" w:cs="Times New Roman"/>
          <w:b w:val="0"/>
          <w:bCs w:val="0"/>
          <w:color w:val="0070C0"/>
          <w:sz w:val="16"/>
          <w:szCs w:val="16"/>
        </w:rPr>
        <w:softHyphen/>
        <w:t>молетов Ил-2 цельнометаллической кон</w:t>
      </w:r>
      <w:r w:rsidRPr="007224C3">
        <w:rPr>
          <w:rStyle w:val="122"/>
          <w:rFonts w:ascii="Times New Roman" w:hAnsi="Times New Roman" w:cs="Times New Roman"/>
          <w:b w:val="0"/>
          <w:bCs w:val="0"/>
          <w:color w:val="0070C0"/>
          <w:sz w:val="16"/>
          <w:szCs w:val="16"/>
        </w:rPr>
        <w:softHyphen/>
        <w:t>струкции».</w:t>
      </w:r>
    </w:p>
    <w:p w14:paraId="494F986F" w14:textId="77777777" w:rsidR="00315AAD" w:rsidRPr="007224C3" w:rsidRDefault="00315AAD"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Казалось бы, НКАП должен был согла</w:t>
      </w:r>
      <w:r w:rsidRPr="007224C3">
        <w:rPr>
          <w:rFonts w:ascii="Times New Roman" w:hAnsi="Times New Roman"/>
          <w:color w:val="0070C0"/>
          <w:sz w:val="16"/>
          <w:szCs w:val="16"/>
        </w:rPr>
        <w:softHyphen/>
        <w:t>ситься на это предложение. Однако на</w:t>
      </w:r>
      <w:r w:rsidRPr="007224C3">
        <w:rPr>
          <w:rFonts w:ascii="Times New Roman" w:hAnsi="Times New Roman"/>
          <w:color w:val="0070C0"/>
          <w:sz w:val="16"/>
          <w:szCs w:val="16"/>
        </w:rPr>
        <w:softHyphen/>
        <w:t>ркомат взял «паузу» на целый месяц.</w:t>
      </w:r>
    </w:p>
    <w:p w14:paraId="0D97AF39" w14:textId="77777777" w:rsidR="00315AAD" w:rsidRPr="007224C3" w:rsidRDefault="00315AAD" w:rsidP="007224C3">
      <w:pPr>
        <w:spacing w:after="0" w:line="240" w:lineRule="auto"/>
        <w:jc w:val="both"/>
        <w:rPr>
          <w:rFonts w:ascii="Times New Roman" w:hAnsi="Times New Roman"/>
          <w:color w:val="0070C0"/>
          <w:sz w:val="16"/>
          <w:szCs w:val="16"/>
        </w:rPr>
      </w:pPr>
      <w:r w:rsidRPr="007224C3">
        <w:rPr>
          <w:rStyle w:val="128pt100"/>
          <w:rFonts w:ascii="Times New Roman" w:hAnsi="Times New Roman" w:cs="Times New Roman"/>
          <w:i w:val="0"/>
          <w:iCs w:val="0"/>
          <w:color w:val="0070C0"/>
        </w:rPr>
        <w:t>Только 14 мая из Наркомата авиапро</w:t>
      </w:r>
      <w:r w:rsidRPr="007224C3">
        <w:rPr>
          <w:rStyle w:val="128pt100"/>
          <w:rFonts w:ascii="Times New Roman" w:hAnsi="Times New Roman" w:cs="Times New Roman"/>
          <w:i w:val="0"/>
          <w:iCs w:val="0"/>
          <w:color w:val="0070C0"/>
        </w:rPr>
        <w:softHyphen/>
        <w:t>мышленности на имя Селезнева за под</w:t>
      </w:r>
      <w:r w:rsidRPr="007224C3">
        <w:rPr>
          <w:rStyle w:val="128pt100"/>
          <w:rFonts w:ascii="Times New Roman" w:hAnsi="Times New Roman" w:cs="Times New Roman"/>
          <w:i w:val="0"/>
          <w:iCs w:val="0"/>
          <w:color w:val="0070C0"/>
        </w:rPr>
        <w:softHyphen/>
        <w:t>писью Шахурина ушло письмо. В нем на</w:t>
      </w:r>
      <w:r w:rsidRPr="007224C3">
        <w:rPr>
          <w:rStyle w:val="128pt100"/>
          <w:rFonts w:ascii="Times New Roman" w:hAnsi="Times New Roman" w:cs="Times New Roman"/>
          <w:i w:val="0"/>
          <w:iCs w:val="0"/>
          <w:color w:val="0070C0"/>
        </w:rPr>
        <w:softHyphen/>
        <w:t>рком сообщал, что:</w:t>
      </w:r>
      <w:r w:rsidRPr="007224C3">
        <w:rPr>
          <w:rFonts w:ascii="Times New Roman" w:hAnsi="Times New Roman"/>
          <w:color w:val="0070C0"/>
          <w:sz w:val="16"/>
          <w:szCs w:val="16"/>
        </w:rPr>
        <w:t xml:space="preserve"> «НКАП имеет в виду перевести производство завода №18 на выпуск цельнометаллических самолетов Ил-8 АМ-42 в 1944 г., а заводы №№1 и 30 в первом полугодии 1945 года. Исходя из этого, Наркомавиапром не считает це</w:t>
      </w:r>
      <w:r w:rsidRPr="007224C3">
        <w:rPr>
          <w:rFonts w:ascii="Times New Roman" w:hAnsi="Times New Roman"/>
          <w:color w:val="0070C0"/>
          <w:sz w:val="16"/>
          <w:szCs w:val="16"/>
        </w:rPr>
        <w:softHyphen/>
        <w:t>лесообразным переводить заводы №№1 и 30 на выпуск самолетов Ил-2 с метал</w:t>
      </w:r>
      <w:r w:rsidRPr="007224C3">
        <w:rPr>
          <w:rFonts w:ascii="Times New Roman" w:hAnsi="Times New Roman"/>
          <w:color w:val="0070C0"/>
          <w:sz w:val="16"/>
          <w:szCs w:val="16"/>
        </w:rPr>
        <w:softHyphen/>
        <w:t>лической хвостовой частью фюзеляжей, в то время, когда цеха подготовки заво</w:t>
      </w:r>
      <w:r w:rsidRPr="007224C3">
        <w:rPr>
          <w:rFonts w:ascii="Times New Roman" w:hAnsi="Times New Roman"/>
          <w:color w:val="0070C0"/>
          <w:sz w:val="16"/>
          <w:szCs w:val="16"/>
        </w:rPr>
        <w:softHyphen/>
        <w:t>дов должны быть заняты изготовлением оснастки для производства цельнометал</w:t>
      </w:r>
      <w:r w:rsidRPr="007224C3">
        <w:rPr>
          <w:rFonts w:ascii="Times New Roman" w:hAnsi="Times New Roman"/>
          <w:color w:val="0070C0"/>
          <w:sz w:val="16"/>
          <w:szCs w:val="16"/>
        </w:rPr>
        <w:softHyphen/>
        <w:t>лических самолетов Ил-8».</w:t>
      </w:r>
    </w:p>
    <w:p w14:paraId="0F29C978" w14:textId="77777777" w:rsidR="00315AAD" w:rsidRPr="007224C3" w:rsidRDefault="00315AAD"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Обращает внимание, что письмо поя</w:t>
      </w:r>
      <w:r w:rsidRPr="007224C3">
        <w:rPr>
          <w:rFonts w:ascii="Times New Roman" w:hAnsi="Times New Roman"/>
          <w:color w:val="0070C0"/>
          <w:sz w:val="16"/>
          <w:szCs w:val="16"/>
        </w:rPr>
        <w:softHyphen/>
        <w:t>вилось именно в тот момент, когда было принято решение о приостановке поле</w:t>
      </w:r>
      <w:r w:rsidRPr="007224C3">
        <w:rPr>
          <w:rFonts w:ascii="Times New Roman" w:hAnsi="Times New Roman"/>
          <w:color w:val="0070C0"/>
          <w:sz w:val="16"/>
          <w:szCs w:val="16"/>
        </w:rPr>
        <w:softHyphen/>
        <w:t>тов на Су-6 АМ-42, а в ГК НИИ ВВС 13 мая на государственные испытания поступил опытный штурмовик Ил-10 АМ-42. В то же время вопрос о принятии Ил-8 на воору</w:t>
      </w:r>
      <w:r w:rsidRPr="007224C3">
        <w:rPr>
          <w:rFonts w:ascii="Times New Roman" w:hAnsi="Times New Roman"/>
          <w:color w:val="0070C0"/>
          <w:sz w:val="16"/>
          <w:szCs w:val="16"/>
        </w:rPr>
        <w:softHyphen/>
        <w:t>жение еще только обсуждался. Явно про</w:t>
      </w:r>
      <w:r w:rsidRPr="007224C3">
        <w:rPr>
          <w:rFonts w:ascii="Times New Roman" w:hAnsi="Times New Roman"/>
          <w:color w:val="0070C0"/>
          <w:sz w:val="16"/>
          <w:szCs w:val="16"/>
        </w:rPr>
        <w:softHyphen/>
        <w:t>слеживается желание наркомата поста</w:t>
      </w:r>
      <w:r w:rsidRPr="007224C3">
        <w:rPr>
          <w:rFonts w:ascii="Times New Roman" w:hAnsi="Times New Roman"/>
          <w:color w:val="0070C0"/>
          <w:sz w:val="16"/>
          <w:szCs w:val="16"/>
        </w:rPr>
        <w:softHyphen/>
        <w:t>вить</w:t>
      </w:r>
      <w:r w:rsidRPr="007224C3">
        <w:rPr>
          <w:rStyle w:val="9pt80"/>
          <w:rFonts w:ascii="Times New Roman" w:hAnsi="Times New Roman" w:cs="Times New Roman"/>
          <w:i w:val="0"/>
          <w:iCs w:val="0"/>
          <w:color w:val="0070C0"/>
          <w:w w:val="100"/>
          <w:sz w:val="16"/>
          <w:szCs w:val="16"/>
        </w:rPr>
        <w:t xml:space="preserve"> «на снабжение ВВСКА»</w:t>
      </w:r>
      <w:r w:rsidRPr="007224C3">
        <w:rPr>
          <w:rFonts w:ascii="Times New Roman" w:hAnsi="Times New Roman"/>
          <w:color w:val="0070C0"/>
          <w:sz w:val="16"/>
          <w:szCs w:val="16"/>
        </w:rPr>
        <w:t xml:space="preserve"> именно самолет Ил-8, как более удобный для массо</w:t>
      </w:r>
      <w:r w:rsidRPr="007224C3">
        <w:rPr>
          <w:rFonts w:ascii="Times New Roman" w:hAnsi="Times New Roman"/>
          <w:color w:val="0070C0"/>
          <w:sz w:val="16"/>
          <w:szCs w:val="16"/>
        </w:rPr>
        <w:softHyphen/>
        <w:t>вого производства.</w:t>
      </w:r>
    </w:p>
    <w:p w14:paraId="5122B711" w14:textId="77777777" w:rsidR="00315AAD" w:rsidRPr="007224C3" w:rsidRDefault="00315AAD"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Несомненно, внедрение в серию Су-6 АМ-42 потребовало бы перестройки сбо</w:t>
      </w:r>
      <w:r w:rsidRPr="007224C3">
        <w:rPr>
          <w:rFonts w:ascii="Times New Roman" w:hAnsi="Times New Roman"/>
          <w:color w:val="0070C0"/>
          <w:sz w:val="16"/>
          <w:szCs w:val="16"/>
        </w:rPr>
        <w:softHyphen/>
        <w:t>рочных конвейеров и изготовления но</w:t>
      </w:r>
      <w:r w:rsidRPr="007224C3">
        <w:rPr>
          <w:rFonts w:ascii="Times New Roman" w:hAnsi="Times New Roman"/>
          <w:color w:val="0070C0"/>
          <w:sz w:val="16"/>
          <w:szCs w:val="16"/>
        </w:rPr>
        <w:softHyphen/>
        <w:t>вой оснастки и инструмента, что в усло</w:t>
      </w:r>
      <w:r w:rsidRPr="007224C3">
        <w:rPr>
          <w:rFonts w:ascii="Times New Roman" w:hAnsi="Times New Roman"/>
          <w:color w:val="0070C0"/>
          <w:sz w:val="16"/>
          <w:szCs w:val="16"/>
        </w:rPr>
        <w:softHyphen/>
        <w:t>виях войны, несомненно, являлось опре</w:t>
      </w:r>
      <w:r w:rsidRPr="007224C3">
        <w:rPr>
          <w:rFonts w:ascii="Times New Roman" w:hAnsi="Times New Roman"/>
          <w:color w:val="0070C0"/>
          <w:sz w:val="16"/>
          <w:szCs w:val="16"/>
        </w:rPr>
        <w:softHyphen/>
        <w:t>деленным техническим риском. В то же время Ил-8 АМ-42 имел много общего с Ил-2 АМ-38ф, и в случае организации его серийного выпуска можно было ис</w:t>
      </w:r>
      <w:r w:rsidRPr="007224C3">
        <w:rPr>
          <w:rFonts w:ascii="Times New Roman" w:hAnsi="Times New Roman"/>
          <w:color w:val="0070C0"/>
          <w:sz w:val="16"/>
          <w:szCs w:val="16"/>
        </w:rPr>
        <w:softHyphen/>
        <w:t>пользовать те же конвейеры и большую часть имеющейся оснастки</w:t>
      </w:r>
      <w:r w:rsidRPr="007224C3">
        <w:rPr>
          <w:rStyle w:val="9pt80"/>
          <w:rFonts w:ascii="Times New Roman" w:hAnsi="Times New Roman" w:cs="Times New Roman"/>
          <w:i w:val="0"/>
          <w:iCs w:val="0"/>
          <w:color w:val="0070C0"/>
          <w:w w:val="100"/>
          <w:sz w:val="16"/>
          <w:szCs w:val="16"/>
        </w:rPr>
        <w:t xml:space="preserve"> («50% дета</w:t>
      </w:r>
      <w:r w:rsidRPr="007224C3">
        <w:rPr>
          <w:rStyle w:val="9pt80"/>
          <w:rFonts w:ascii="Times New Roman" w:hAnsi="Times New Roman" w:cs="Times New Roman"/>
          <w:i w:val="0"/>
          <w:iCs w:val="0"/>
          <w:color w:val="0070C0"/>
          <w:w w:val="100"/>
          <w:sz w:val="16"/>
          <w:szCs w:val="16"/>
        </w:rPr>
        <w:softHyphen/>
        <w:t>лей и оснастки остается без изменений, а из 50% оснастки, которая подлежит пе</w:t>
      </w:r>
      <w:r w:rsidRPr="007224C3">
        <w:rPr>
          <w:rStyle w:val="9pt80"/>
          <w:rFonts w:ascii="Times New Roman" w:hAnsi="Times New Roman" w:cs="Times New Roman"/>
          <w:i w:val="0"/>
          <w:iCs w:val="0"/>
          <w:color w:val="0070C0"/>
          <w:w w:val="100"/>
          <w:sz w:val="16"/>
          <w:szCs w:val="16"/>
        </w:rPr>
        <w:softHyphen/>
        <w:t>ределке, 25% подвергается только обра</w:t>
      </w:r>
      <w:r w:rsidRPr="007224C3">
        <w:rPr>
          <w:rStyle w:val="9pt80"/>
          <w:rFonts w:ascii="Times New Roman" w:hAnsi="Times New Roman" w:cs="Times New Roman"/>
          <w:i w:val="0"/>
          <w:iCs w:val="0"/>
          <w:color w:val="0070C0"/>
          <w:w w:val="100"/>
          <w:sz w:val="16"/>
          <w:szCs w:val="16"/>
        </w:rPr>
        <w:softHyphen/>
        <w:t>ботке»),</w:t>
      </w:r>
      <w:r w:rsidRPr="007224C3">
        <w:rPr>
          <w:rFonts w:ascii="Times New Roman" w:hAnsi="Times New Roman"/>
          <w:color w:val="0070C0"/>
          <w:sz w:val="16"/>
          <w:szCs w:val="16"/>
        </w:rPr>
        <w:t xml:space="preserve"> Штурмовик Ил-10 в этом отно</w:t>
      </w:r>
      <w:r w:rsidRPr="007224C3">
        <w:rPr>
          <w:rFonts w:ascii="Times New Roman" w:hAnsi="Times New Roman"/>
          <w:color w:val="0070C0"/>
          <w:sz w:val="16"/>
          <w:szCs w:val="16"/>
        </w:rPr>
        <w:softHyphen/>
        <w:t>шении заметно уступал «восьмерке», что впоследствии стало для НКАП</w:t>
      </w:r>
      <w:r w:rsidRPr="007224C3">
        <w:rPr>
          <w:rStyle w:val="9pt80"/>
          <w:rFonts w:ascii="Times New Roman" w:hAnsi="Times New Roman" w:cs="Times New Roman"/>
          <w:i w:val="0"/>
          <w:iCs w:val="0"/>
          <w:color w:val="0070C0"/>
          <w:w w:val="100"/>
          <w:sz w:val="16"/>
          <w:szCs w:val="16"/>
        </w:rPr>
        <w:t xml:space="preserve"> «неожидан</w:t>
      </w:r>
      <w:r w:rsidRPr="007224C3">
        <w:rPr>
          <w:rStyle w:val="9pt80"/>
          <w:rFonts w:ascii="Times New Roman" w:hAnsi="Times New Roman" w:cs="Times New Roman"/>
          <w:i w:val="0"/>
          <w:iCs w:val="0"/>
          <w:color w:val="0070C0"/>
          <w:w w:val="100"/>
          <w:sz w:val="16"/>
          <w:szCs w:val="16"/>
        </w:rPr>
        <w:softHyphen/>
        <w:t>ным открытием».</w:t>
      </w:r>
    </w:p>
    <w:p w14:paraId="3BD5E30A" w14:textId="77777777" w:rsidR="00315AAD" w:rsidRPr="007224C3" w:rsidRDefault="00315AAD"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Как следует из документов, Ша</w:t>
      </w:r>
      <w:r w:rsidRPr="007224C3">
        <w:rPr>
          <w:rFonts w:ascii="Times New Roman" w:hAnsi="Times New Roman"/>
          <w:color w:val="0070C0"/>
          <w:sz w:val="16"/>
          <w:szCs w:val="16"/>
          <w:lang w:val="en-US"/>
        </w:rPr>
        <w:t>xy</w:t>
      </w:r>
      <w:r w:rsidRPr="007224C3">
        <w:rPr>
          <w:rFonts w:ascii="Times New Roman" w:hAnsi="Times New Roman"/>
          <w:color w:val="0070C0"/>
          <w:sz w:val="16"/>
          <w:szCs w:val="16"/>
        </w:rPr>
        <w:t>рин, не дожидаясь окончательного ре</w:t>
      </w:r>
      <w:r w:rsidRPr="007224C3">
        <w:rPr>
          <w:rFonts w:ascii="Times New Roman" w:hAnsi="Times New Roman"/>
          <w:color w:val="0070C0"/>
          <w:sz w:val="16"/>
          <w:szCs w:val="16"/>
        </w:rPr>
        <w:softHyphen/>
        <w:t>шения военных, дал указание о срочном развертывании серийного производства Ил-8 АМ-42 на авиазаводе №18. Тем бо</w:t>
      </w:r>
      <w:r w:rsidRPr="007224C3">
        <w:rPr>
          <w:rFonts w:ascii="Times New Roman" w:hAnsi="Times New Roman"/>
          <w:color w:val="0070C0"/>
          <w:sz w:val="16"/>
          <w:szCs w:val="16"/>
        </w:rPr>
        <w:softHyphen/>
        <w:t>лее что в наркомате имелось письмо главного инженера ВВС КА генерал-полковника Репина.</w:t>
      </w:r>
    </w:p>
    <w:p w14:paraId="1773C4A3" w14:textId="77777777" w:rsidR="00315AAD" w:rsidRPr="007224C3" w:rsidRDefault="00315AAD"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Остается неизвестным, согласовыва</w:t>
      </w:r>
      <w:r w:rsidRPr="007224C3">
        <w:rPr>
          <w:rFonts w:ascii="Times New Roman" w:hAnsi="Times New Roman"/>
          <w:color w:val="0070C0"/>
          <w:sz w:val="16"/>
          <w:szCs w:val="16"/>
        </w:rPr>
        <w:softHyphen/>
        <w:t>лось ли это решение предварительно с ГКО или нет. Скорее всего, в той или иной мере этот вопрос все же обсуждался. Од</w:t>
      </w:r>
      <w:r w:rsidRPr="007224C3">
        <w:rPr>
          <w:rFonts w:ascii="Times New Roman" w:hAnsi="Times New Roman"/>
          <w:color w:val="0070C0"/>
          <w:sz w:val="16"/>
          <w:szCs w:val="16"/>
        </w:rPr>
        <w:softHyphen/>
        <w:t>нако документального подтверждения обращения .НКАП к руководству страны с предложением разрешить серийный вы</w:t>
      </w:r>
      <w:r w:rsidRPr="007224C3">
        <w:rPr>
          <w:rFonts w:ascii="Times New Roman" w:hAnsi="Times New Roman"/>
          <w:color w:val="0070C0"/>
          <w:sz w:val="16"/>
          <w:szCs w:val="16"/>
        </w:rPr>
        <w:softHyphen/>
        <w:t>пуск самолета Ил-8 и получение положи</w:t>
      </w:r>
      <w:r w:rsidRPr="007224C3">
        <w:rPr>
          <w:rFonts w:ascii="Times New Roman" w:hAnsi="Times New Roman"/>
          <w:color w:val="0070C0"/>
          <w:sz w:val="16"/>
          <w:szCs w:val="16"/>
        </w:rPr>
        <w:softHyphen/>
        <w:t>тельного или отрицательного ответа по нему пока не найдено (19853).</w:t>
      </w:r>
    </w:p>
    <w:p w14:paraId="4F4B5810" w14:textId="77777777" w:rsidR="00315AAD" w:rsidRPr="007224C3" w:rsidRDefault="00315AAD" w:rsidP="007224C3">
      <w:pPr>
        <w:spacing w:after="0" w:line="240" w:lineRule="auto"/>
        <w:jc w:val="both"/>
        <w:rPr>
          <w:rFonts w:ascii="Times New Roman" w:hAnsi="Times New Roman"/>
          <w:color w:val="0070C0"/>
          <w:sz w:val="16"/>
          <w:szCs w:val="16"/>
        </w:rPr>
      </w:pPr>
    </w:p>
    <w:p w14:paraId="169ABA36" w14:textId="77777777" w:rsidR="00EB1E33" w:rsidRPr="007224C3" w:rsidRDefault="00EB1E3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апреля 1944 года начальник Главного управления заказов ВВС генерал-лейтенант Н. П. Селезнев направил наркому авиапромышленности А. И. Шахурину письмо, в котором указывал: «Опыт боевой эксплуатации самолетов Ил-2 в частях ВВС КА показал, что наличие в его конструкции деревянного фюзеляжа зачастую приводит к длительному простаиванию материальной части на аэродромах без действия из-за появления дефектов, присущих деревянным агрегатам. Приведение самолетов в боевую готовность требует больших материальных затрат, квалифицированной рабочей силы и времени со стороны серийных заводов; ремонт по дереву в полевых условиях является чрезвычайно сложным и не всегда может быть выполнен качественно. В связи с этим считаю целесообразным просить Вас о выпуске самолетов Ил-2 цельнометаллической конструкции».</w:t>
      </w:r>
    </w:p>
    <w:p w14:paraId="48E65DD8" w14:textId="77777777" w:rsidR="00EB1E33" w:rsidRPr="007224C3" w:rsidRDefault="00EB1E3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Казалось бы, НКАП должен был согласиться на это предложение. Однако наркомат взял «паузу» на целый месяц (17490).</w:t>
      </w:r>
    </w:p>
    <w:p w14:paraId="48AAF219" w14:textId="77777777" w:rsidR="00EB1E33" w:rsidRPr="007224C3" w:rsidRDefault="00EB1E33" w:rsidP="007224C3">
      <w:pPr>
        <w:spacing w:after="0" w:line="240" w:lineRule="auto"/>
        <w:jc w:val="both"/>
        <w:rPr>
          <w:rFonts w:ascii="Times New Roman" w:hAnsi="Times New Roman"/>
          <w:color w:val="000000" w:themeColor="text1"/>
          <w:sz w:val="16"/>
          <w:szCs w:val="16"/>
        </w:rPr>
      </w:pPr>
    </w:p>
    <w:p w14:paraId="61167F9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апреля 1944 вышел приказ НКАП N 253с:</w:t>
      </w:r>
    </w:p>
    <w:p w14:paraId="372AEF1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"Проведение заводских летных испытаний самолета Ил-6 после его доводки поручить ЛИИ" (1624,29).</w:t>
      </w:r>
    </w:p>
    <w:p w14:paraId="052360F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4C614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апреля 1944 Нач. НИИ ВВС г-л П.А.Лосюков подписал ТТТ на новую машину - будущий И-250 (6471, 4).</w:t>
      </w:r>
    </w:p>
    <w:p w14:paraId="423D212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2CF99B"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5E708A7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E7E062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апреля 1944 г. была подготовлена КРАТКАЯ СПРАВКА ГБТУ КА ПО ТАКТИКО-ТЕХНИЧЕСКИМ ХАРАКТЕРИСТИКАМ ТАНКОВ</w:t>
      </w:r>
    </w:p>
    <w:tbl>
      <w:tblPr>
        <w:tblW w:w="0" w:type="auto"/>
        <w:tblInd w:w="40" w:type="dxa"/>
        <w:tblLayout w:type="fixed"/>
        <w:tblCellMar>
          <w:left w:w="40" w:type="dxa"/>
          <w:right w:w="40" w:type="dxa"/>
        </w:tblCellMar>
        <w:tblLook w:val="0000" w:firstRow="0" w:lastRow="0" w:firstColumn="0" w:lastColumn="0" w:noHBand="0" w:noVBand="0"/>
      </w:tblPr>
      <w:tblGrid>
        <w:gridCol w:w="422"/>
        <w:gridCol w:w="10"/>
        <w:gridCol w:w="10"/>
        <w:gridCol w:w="3590"/>
        <w:gridCol w:w="778"/>
        <w:gridCol w:w="124"/>
        <w:gridCol w:w="644"/>
        <w:gridCol w:w="258"/>
        <w:gridCol w:w="481"/>
        <w:gridCol w:w="594"/>
        <w:gridCol w:w="184"/>
        <w:gridCol w:w="787"/>
        <w:gridCol w:w="778"/>
        <w:gridCol w:w="787"/>
        <w:gridCol w:w="19"/>
      </w:tblGrid>
      <w:tr w:rsidR="005106D0" w:rsidRPr="007224C3" w14:paraId="7F5A4F8D" w14:textId="77777777">
        <w:trPr>
          <w:gridAfter w:val="1"/>
          <w:wAfter w:w="19" w:type="dxa"/>
          <w:trHeight w:val="278"/>
        </w:trPr>
        <w:tc>
          <w:tcPr>
            <w:tcW w:w="422" w:type="dxa"/>
            <w:tcBorders>
              <w:top w:val="single" w:sz="6" w:space="0" w:color="auto"/>
              <w:left w:val="single" w:sz="6" w:space="0" w:color="auto"/>
              <w:bottom w:val="nil"/>
              <w:right w:val="single" w:sz="6" w:space="0" w:color="auto"/>
            </w:tcBorders>
          </w:tcPr>
          <w:p w14:paraId="63BEBBB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27353CF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п/п</w:t>
            </w:r>
          </w:p>
          <w:p w14:paraId="4071B55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10" w:type="dxa"/>
            <w:gridSpan w:val="3"/>
            <w:tcBorders>
              <w:top w:val="single" w:sz="6" w:space="0" w:color="auto"/>
              <w:left w:val="single" w:sz="6" w:space="0" w:color="auto"/>
              <w:bottom w:val="nil"/>
              <w:right w:val="single" w:sz="6" w:space="0" w:color="auto"/>
            </w:tcBorders>
          </w:tcPr>
          <w:p w14:paraId="6547898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Наименование данных</w:t>
            </w:r>
          </w:p>
          <w:p w14:paraId="0472CFB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85" w:type="dxa"/>
            <w:gridSpan w:val="5"/>
            <w:tcBorders>
              <w:top w:val="single" w:sz="6" w:space="0" w:color="auto"/>
              <w:left w:val="single" w:sz="6" w:space="0" w:color="auto"/>
              <w:bottom w:val="single" w:sz="6" w:space="0" w:color="auto"/>
              <w:right w:val="single" w:sz="6" w:space="0" w:color="auto"/>
            </w:tcBorders>
          </w:tcPr>
          <w:p w14:paraId="4398502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Танки СССР</w:t>
            </w:r>
          </w:p>
          <w:p w14:paraId="45473DA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130" w:type="dxa"/>
            <w:gridSpan w:val="5"/>
            <w:tcBorders>
              <w:top w:val="single" w:sz="6" w:space="0" w:color="auto"/>
              <w:left w:val="single" w:sz="6" w:space="0" w:color="auto"/>
              <w:bottom w:val="single" w:sz="6" w:space="0" w:color="auto"/>
              <w:right w:val="single" w:sz="6" w:space="0" w:color="auto"/>
            </w:tcBorders>
          </w:tcPr>
          <w:p w14:paraId="59163CC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Танки США</w:t>
            </w:r>
          </w:p>
          <w:p w14:paraId="4526DF8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60A5D2E" w14:textId="77777777">
        <w:trPr>
          <w:gridAfter w:val="1"/>
          <w:wAfter w:w="19" w:type="dxa"/>
          <w:trHeight w:val="259"/>
        </w:trPr>
        <w:tc>
          <w:tcPr>
            <w:tcW w:w="422" w:type="dxa"/>
            <w:tcBorders>
              <w:top w:val="nil"/>
              <w:left w:val="single" w:sz="6" w:space="0" w:color="auto"/>
              <w:bottom w:val="single" w:sz="6" w:space="0" w:color="auto"/>
              <w:right w:val="single" w:sz="6" w:space="0" w:color="auto"/>
            </w:tcBorders>
          </w:tcPr>
          <w:p w14:paraId="46AACAA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12E7C2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3610" w:type="dxa"/>
            <w:gridSpan w:val="3"/>
            <w:tcBorders>
              <w:top w:val="nil"/>
              <w:left w:val="single" w:sz="6" w:space="0" w:color="auto"/>
              <w:bottom w:val="single" w:sz="6" w:space="0" w:color="auto"/>
              <w:right w:val="single" w:sz="6" w:space="0" w:color="auto"/>
            </w:tcBorders>
          </w:tcPr>
          <w:p w14:paraId="0F5DE98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0D5394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2F0288E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w:t>
            </w:r>
          </w:p>
          <w:p w14:paraId="0F4B877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top w:val="single" w:sz="6" w:space="0" w:color="auto"/>
              <w:left w:val="single" w:sz="6" w:space="0" w:color="auto"/>
              <w:bottom w:val="single" w:sz="6" w:space="0" w:color="auto"/>
              <w:right w:val="single" w:sz="6" w:space="0" w:color="auto"/>
            </w:tcBorders>
          </w:tcPr>
          <w:p w14:paraId="5F9805B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ИС-2</w:t>
            </w:r>
          </w:p>
          <w:p w14:paraId="66202D7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gridSpan w:val="2"/>
            <w:tcBorders>
              <w:top w:val="single" w:sz="6" w:space="0" w:color="auto"/>
              <w:left w:val="single" w:sz="6" w:space="0" w:color="auto"/>
              <w:bottom w:val="single" w:sz="6" w:space="0" w:color="auto"/>
              <w:right w:val="single" w:sz="6" w:space="0" w:color="auto"/>
            </w:tcBorders>
          </w:tcPr>
          <w:p w14:paraId="7B7E502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Т-34</w:t>
            </w:r>
          </w:p>
          <w:p w14:paraId="37D6D5E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gridSpan w:val="2"/>
            <w:tcBorders>
              <w:top w:val="single" w:sz="6" w:space="0" w:color="auto"/>
              <w:left w:val="single" w:sz="6" w:space="0" w:color="auto"/>
              <w:bottom w:val="single" w:sz="6" w:space="0" w:color="auto"/>
              <w:right w:val="single" w:sz="6" w:space="0" w:color="auto"/>
            </w:tcBorders>
          </w:tcPr>
          <w:p w14:paraId="47D87C4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М-6</w:t>
            </w:r>
          </w:p>
          <w:p w14:paraId="57253BB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4A718A1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М4А2</w:t>
            </w:r>
          </w:p>
          <w:p w14:paraId="00CC6D2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3D852DB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М-7</w:t>
            </w:r>
          </w:p>
          <w:p w14:paraId="3938960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4AE1A00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М5А1</w:t>
            </w:r>
          </w:p>
          <w:p w14:paraId="4CC6146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B440450" w14:textId="77777777">
        <w:trPr>
          <w:gridAfter w:val="1"/>
          <w:wAfter w:w="19" w:type="dxa"/>
          <w:trHeight w:val="230"/>
        </w:trPr>
        <w:tc>
          <w:tcPr>
            <w:tcW w:w="422" w:type="dxa"/>
            <w:tcBorders>
              <w:top w:val="single" w:sz="6" w:space="0" w:color="auto"/>
              <w:left w:val="single" w:sz="6" w:space="0" w:color="auto"/>
              <w:bottom w:val="single" w:sz="6" w:space="0" w:color="auto"/>
              <w:right w:val="single" w:sz="6" w:space="0" w:color="auto"/>
            </w:tcBorders>
          </w:tcPr>
          <w:p w14:paraId="36A5A7C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p w14:paraId="0C22064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10" w:type="dxa"/>
            <w:gridSpan w:val="3"/>
            <w:tcBorders>
              <w:top w:val="single" w:sz="6" w:space="0" w:color="auto"/>
              <w:left w:val="single" w:sz="6" w:space="0" w:color="auto"/>
              <w:bottom w:val="single" w:sz="6" w:space="0" w:color="auto"/>
              <w:right w:val="single" w:sz="6" w:space="0" w:color="auto"/>
            </w:tcBorders>
          </w:tcPr>
          <w:p w14:paraId="1057F09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 танка в тоннах</w:t>
            </w:r>
          </w:p>
          <w:p w14:paraId="18B4C08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694B747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44</w:t>
            </w:r>
          </w:p>
          <w:p w14:paraId="0EC0605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top w:val="single" w:sz="6" w:space="0" w:color="auto"/>
              <w:left w:val="single" w:sz="6" w:space="0" w:color="auto"/>
              <w:bottom w:val="single" w:sz="6" w:space="0" w:color="auto"/>
              <w:right w:val="single" w:sz="6" w:space="0" w:color="auto"/>
            </w:tcBorders>
          </w:tcPr>
          <w:p w14:paraId="053B977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46</w:t>
            </w:r>
          </w:p>
          <w:p w14:paraId="5A2D43E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gridSpan w:val="2"/>
            <w:tcBorders>
              <w:top w:val="single" w:sz="6" w:space="0" w:color="auto"/>
              <w:left w:val="single" w:sz="6" w:space="0" w:color="auto"/>
              <w:bottom w:val="single" w:sz="6" w:space="0" w:color="auto"/>
              <w:right w:val="single" w:sz="6" w:space="0" w:color="auto"/>
            </w:tcBorders>
          </w:tcPr>
          <w:p w14:paraId="1592F92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30-31,4</w:t>
            </w:r>
          </w:p>
          <w:p w14:paraId="426DB0F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gridSpan w:val="2"/>
            <w:tcBorders>
              <w:top w:val="single" w:sz="6" w:space="0" w:color="auto"/>
              <w:left w:val="single" w:sz="6" w:space="0" w:color="auto"/>
              <w:bottom w:val="single" w:sz="6" w:space="0" w:color="auto"/>
              <w:right w:val="single" w:sz="6" w:space="0" w:color="auto"/>
            </w:tcBorders>
          </w:tcPr>
          <w:p w14:paraId="052A3B5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62</w:t>
            </w:r>
          </w:p>
          <w:p w14:paraId="4032282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5F3B53E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30,9</w:t>
            </w:r>
          </w:p>
          <w:p w14:paraId="020FC3A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31D1B09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w:t>
            </w:r>
          </w:p>
          <w:p w14:paraId="547153C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1AA8A50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w:t>
            </w:r>
          </w:p>
          <w:p w14:paraId="52CF06C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1650F46" w14:textId="77777777">
        <w:trPr>
          <w:gridAfter w:val="1"/>
          <w:wAfter w:w="19" w:type="dxa"/>
          <w:trHeight w:val="230"/>
        </w:trPr>
        <w:tc>
          <w:tcPr>
            <w:tcW w:w="422" w:type="dxa"/>
            <w:tcBorders>
              <w:top w:val="single" w:sz="6" w:space="0" w:color="auto"/>
              <w:left w:val="single" w:sz="6" w:space="0" w:color="auto"/>
              <w:bottom w:val="single" w:sz="6" w:space="0" w:color="auto"/>
              <w:right w:val="single" w:sz="6" w:space="0" w:color="auto"/>
            </w:tcBorders>
          </w:tcPr>
          <w:p w14:paraId="2B66733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p w14:paraId="145ECC1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10" w:type="dxa"/>
            <w:gridSpan w:val="3"/>
            <w:tcBorders>
              <w:top w:val="single" w:sz="6" w:space="0" w:color="auto"/>
              <w:left w:val="single" w:sz="6" w:space="0" w:color="auto"/>
              <w:bottom w:val="single" w:sz="6" w:space="0" w:color="auto"/>
              <w:right w:val="single" w:sz="6" w:space="0" w:color="auto"/>
            </w:tcBorders>
          </w:tcPr>
          <w:p w14:paraId="13C8504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Мощность мотора в л. с.</w:t>
            </w:r>
          </w:p>
          <w:p w14:paraId="06BD211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20AB530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520</w:t>
            </w:r>
          </w:p>
          <w:p w14:paraId="679C63E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top w:val="single" w:sz="6" w:space="0" w:color="auto"/>
              <w:left w:val="single" w:sz="6" w:space="0" w:color="auto"/>
              <w:bottom w:val="single" w:sz="6" w:space="0" w:color="auto"/>
              <w:right w:val="single" w:sz="6" w:space="0" w:color="auto"/>
            </w:tcBorders>
          </w:tcPr>
          <w:p w14:paraId="75B11EC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520</w:t>
            </w:r>
          </w:p>
          <w:p w14:paraId="26F7C42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gridSpan w:val="2"/>
            <w:tcBorders>
              <w:top w:val="single" w:sz="6" w:space="0" w:color="auto"/>
              <w:left w:val="single" w:sz="6" w:space="0" w:color="auto"/>
              <w:bottom w:val="single" w:sz="6" w:space="0" w:color="auto"/>
              <w:right w:val="single" w:sz="6" w:space="0" w:color="auto"/>
            </w:tcBorders>
          </w:tcPr>
          <w:p w14:paraId="0A2C63E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500</w:t>
            </w:r>
          </w:p>
          <w:p w14:paraId="64028CE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gridSpan w:val="2"/>
            <w:tcBorders>
              <w:top w:val="single" w:sz="6" w:space="0" w:color="auto"/>
              <w:left w:val="single" w:sz="6" w:space="0" w:color="auto"/>
              <w:bottom w:val="single" w:sz="6" w:space="0" w:color="auto"/>
              <w:right w:val="single" w:sz="6" w:space="0" w:color="auto"/>
            </w:tcBorders>
          </w:tcPr>
          <w:p w14:paraId="50E48C4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800</w:t>
            </w:r>
          </w:p>
          <w:p w14:paraId="6AE569A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7E126BC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375</w:t>
            </w:r>
          </w:p>
          <w:p w14:paraId="23BCA75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176CF24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400</w:t>
            </w:r>
          </w:p>
          <w:p w14:paraId="499650D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26A784B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110x2</w:t>
            </w:r>
          </w:p>
          <w:p w14:paraId="039C61E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3F7C1B8" w14:textId="77777777">
        <w:trPr>
          <w:gridAfter w:val="1"/>
          <w:wAfter w:w="19" w:type="dxa"/>
          <w:trHeight w:val="230"/>
        </w:trPr>
        <w:tc>
          <w:tcPr>
            <w:tcW w:w="422" w:type="dxa"/>
            <w:tcBorders>
              <w:top w:val="single" w:sz="6" w:space="0" w:color="auto"/>
              <w:left w:val="single" w:sz="6" w:space="0" w:color="auto"/>
              <w:bottom w:val="single" w:sz="6" w:space="0" w:color="auto"/>
              <w:right w:val="single" w:sz="6" w:space="0" w:color="auto"/>
            </w:tcBorders>
          </w:tcPr>
          <w:p w14:paraId="3D07ABE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p w14:paraId="6A5B5F1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10" w:type="dxa"/>
            <w:gridSpan w:val="3"/>
            <w:tcBorders>
              <w:top w:val="single" w:sz="6" w:space="0" w:color="auto"/>
              <w:left w:val="single" w:sz="6" w:space="0" w:color="auto"/>
              <w:bottom w:val="single" w:sz="6" w:space="0" w:color="auto"/>
              <w:right w:val="single" w:sz="6" w:space="0" w:color="auto"/>
            </w:tcBorders>
          </w:tcPr>
          <w:p w14:paraId="4E5CC85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Удельная мощность в л. с. на тонн</w:t>
            </w:r>
          </w:p>
          <w:p w14:paraId="587E34D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7CBD7B9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11,8</w:t>
            </w:r>
          </w:p>
          <w:p w14:paraId="0C3B09C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top w:val="single" w:sz="6" w:space="0" w:color="auto"/>
              <w:left w:val="single" w:sz="6" w:space="0" w:color="auto"/>
              <w:bottom w:val="single" w:sz="6" w:space="0" w:color="auto"/>
              <w:right w:val="single" w:sz="6" w:space="0" w:color="auto"/>
            </w:tcBorders>
          </w:tcPr>
          <w:p w14:paraId="4FF2DA8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11,3</w:t>
            </w:r>
          </w:p>
          <w:p w14:paraId="32B55E1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gridSpan w:val="2"/>
            <w:tcBorders>
              <w:top w:val="single" w:sz="6" w:space="0" w:color="auto"/>
              <w:left w:val="single" w:sz="6" w:space="0" w:color="auto"/>
              <w:bottom w:val="single" w:sz="6" w:space="0" w:color="auto"/>
              <w:right w:val="single" w:sz="6" w:space="0" w:color="auto"/>
            </w:tcBorders>
          </w:tcPr>
          <w:p w14:paraId="72E70F9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15,9</w:t>
            </w:r>
          </w:p>
          <w:p w14:paraId="254DE40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gridSpan w:val="2"/>
            <w:tcBorders>
              <w:top w:val="single" w:sz="6" w:space="0" w:color="auto"/>
              <w:left w:val="single" w:sz="6" w:space="0" w:color="auto"/>
              <w:bottom w:val="single" w:sz="6" w:space="0" w:color="auto"/>
              <w:right w:val="single" w:sz="6" w:space="0" w:color="auto"/>
            </w:tcBorders>
          </w:tcPr>
          <w:p w14:paraId="3831C82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13,0</w:t>
            </w:r>
          </w:p>
          <w:p w14:paraId="68D8FB7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673459B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12,1</w:t>
            </w:r>
          </w:p>
          <w:p w14:paraId="5E6214D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73C5B29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w:t>
            </w:r>
          </w:p>
          <w:p w14:paraId="0261908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73F1F86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15,7</w:t>
            </w:r>
          </w:p>
          <w:p w14:paraId="24D2BF0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8E29D32" w14:textId="77777777">
        <w:trPr>
          <w:gridAfter w:val="1"/>
          <w:wAfter w:w="19" w:type="dxa"/>
          <w:trHeight w:val="230"/>
        </w:trPr>
        <w:tc>
          <w:tcPr>
            <w:tcW w:w="422" w:type="dxa"/>
            <w:tcBorders>
              <w:top w:val="single" w:sz="6" w:space="0" w:color="auto"/>
              <w:left w:val="single" w:sz="6" w:space="0" w:color="auto"/>
              <w:bottom w:val="single" w:sz="6" w:space="0" w:color="auto"/>
              <w:right w:val="single" w:sz="6" w:space="0" w:color="auto"/>
            </w:tcBorders>
          </w:tcPr>
          <w:p w14:paraId="12CF769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w:t>
            </w:r>
          </w:p>
          <w:p w14:paraId="3C04D13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10" w:type="dxa"/>
            <w:gridSpan w:val="3"/>
            <w:tcBorders>
              <w:top w:val="single" w:sz="6" w:space="0" w:color="auto"/>
              <w:left w:val="single" w:sz="6" w:space="0" w:color="auto"/>
              <w:bottom w:val="single" w:sz="6" w:space="0" w:color="auto"/>
              <w:right w:val="single" w:sz="6" w:space="0" w:color="auto"/>
            </w:tcBorders>
          </w:tcPr>
          <w:p w14:paraId="1FDB602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 скорость в км/ч</w:t>
            </w:r>
          </w:p>
          <w:p w14:paraId="3E04C05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5752987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37</w:t>
            </w:r>
          </w:p>
          <w:p w14:paraId="16B04AE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top w:val="single" w:sz="6" w:space="0" w:color="auto"/>
              <w:left w:val="single" w:sz="6" w:space="0" w:color="auto"/>
              <w:bottom w:val="single" w:sz="6" w:space="0" w:color="auto"/>
              <w:right w:val="single" w:sz="6" w:space="0" w:color="auto"/>
            </w:tcBorders>
          </w:tcPr>
          <w:p w14:paraId="043542F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37</w:t>
            </w:r>
          </w:p>
          <w:p w14:paraId="0A563A6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gridSpan w:val="2"/>
            <w:tcBorders>
              <w:top w:val="single" w:sz="6" w:space="0" w:color="auto"/>
              <w:left w:val="single" w:sz="6" w:space="0" w:color="auto"/>
              <w:bottom w:val="single" w:sz="6" w:space="0" w:color="auto"/>
              <w:right w:val="single" w:sz="6" w:space="0" w:color="auto"/>
            </w:tcBorders>
          </w:tcPr>
          <w:p w14:paraId="290A1D0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55</w:t>
            </w:r>
          </w:p>
          <w:p w14:paraId="0408C9E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gridSpan w:val="2"/>
            <w:tcBorders>
              <w:top w:val="single" w:sz="6" w:space="0" w:color="auto"/>
              <w:left w:val="single" w:sz="6" w:space="0" w:color="auto"/>
              <w:bottom w:val="single" w:sz="6" w:space="0" w:color="auto"/>
              <w:right w:val="single" w:sz="6" w:space="0" w:color="auto"/>
            </w:tcBorders>
          </w:tcPr>
          <w:p w14:paraId="6036380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37</w:t>
            </w:r>
          </w:p>
          <w:p w14:paraId="1B1106B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773C6D7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w:t>
            </w:r>
          </w:p>
          <w:p w14:paraId="643FF17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041EC1C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65</w:t>
            </w:r>
          </w:p>
          <w:p w14:paraId="2AFD234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4C3EF37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w:t>
            </w:r>
          </w:p>
          <w:p w14:paraId="260E2D0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B0D5C31" w14:textId="77777777">
        <w:trPr>
          <w:gridAfter w:val="1"/>
          <w:wAfter w:w="19" w:type="dxa"/>
          <w:trHeight w:val="230"/>
        </w:trPr>
        <w:tc>
          <w:tcPr>
            <w:tcW w:w="422" w:type="dxa"/>
            <w:tcBorders>
              <w:top w:val="single" w:sz="6" w:space="0" w:color="auto"/>
              <w:left w:val="single" w:sz="6" w:space="0" w:color="auto"/>
              <w:bottom w:val="single" w:sz="6" w:space="0" w:color="auto"/>
              <w:right w:val="single" w:sz="6" w:space="0" w:color="auto"/>
            </w:tcBorders>
          </w:tcPr>
          <w:p w14:paraId="78B5425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p w14:paraId="5CBF89E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10" w:type="dxa"/>
            <w:gridSpan w:val="3"/>
            <w:tcBorders>
              <w:top w:val="single" w:sz="6" w:space="0" w:color="auto"/>
              <w:left w:val="single" w:sz="6" w:space="0" w:color="auto"/>
              <w:bottom w:val="single" w:sz="6" w:space="0" w:color="auto"/>
              <w:right w:val="single" w:sz="6" w:space="0" w:color="auto"/>
            </w:tcBorders>
          </w:tcPr>
          <w:p w14:paraId="3B1B467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Средняя скорость в км/ч</w:t>
            </w:r>
          </w:p>
          <w:p w14:paraId="206AA59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365E3B7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w:t>
            </w:r>
          </w:p>
          <w:p w14:paraId="581CEA6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top w:val="single" w:sz="6" w:space="0" w:color="auto"/>
              <w:left w:val="single" w:sz="6" w:space="0" w:color="auto"/>
              <w:bottom w:val="single" w:sz="6" w:space="0" w:color="auto"/>
              <w:right w:val="single" w:sz="6" w:space="0" w:color="auto"/>
            </w:tcBorders>
          </w:tcPr>
          <w:p w14:paraId="6859298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w:t>
            </w:r>
          </w:p>
          <w:p w14:paraId="3F9B6ED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gridSpan w:val="2"/>
            <w:tcBorders>
              <w:top w:val="single" w:sz="6" w:space="0" w:color="auto"/>
              <w:left w:val="single" w:sz="6" w:space="0" w:color="auto"/>
              <w:bottom w:val="single" w:sz="6" w:space="0" w:color="auto"/>
              <w:right w:val="single" w:sz="6" w:space="0" w:color="auto"/>
            </w:tcBorders>
          </w:tcPr>
          <w:p w14:paraId="48F83AE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w:t>
            </w:r>
          </w:p>
          <w:p w14:paraId="75F848A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gridSpan w:val="2"/>
            <w:tcBorders>
              <w:top w:val="single" w:sz="6" w:space="0" w:color="auto"/>
              <w:left w:val="single" w:sz="6" w:space="0" w:color="auto"/>
              <w:bottom w:val="single" w:sz="6" w:space="0" w:color="auto"/>
              <w:right w:val="single" w:sz="6" w:space="0" w:color="auto"/>
            </w:tcBorders>
          </w:tcPr>
          <w:p w14:paraId="5107B98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0657D4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40841C0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w:t>
            </w:r>
          </w:p>
          <w:p w14:paraId="27352A5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3DA5281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400AD5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29069D0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42</w:t>
            </w:r>
          </w:p>
          <w:p w14:paraId="7DC3C94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12ACCD6" w14:textId="77777777">
        <w:trPr>
          <w:gridAfter w:val="1"/>
          <w:wAfter w:w="19" w:type="dxa"/>
          <w:trHeight w:val="230"/>
        </w:trPr>
        <w:tc>
          <w:tcPr>
            <w:tcW w:w="422" w:type="dxa"/>
            <w:tcBorders>
              <w:top w:val="single" w:sz="6" w:space="0" w:color="auto"/>
              <w:left w:val="single" w:sz="6" w:space="0" w:color="auto"/>
              <w:bottom w:val="single" w:sz="6" w:space="0" w:color="auto"/>
              <w:right w:val="single" w:sz="6" w:space="0" w:color="auto"/>
            </w:tcBorders>
          </w:tcPr>
          <w:p w14:paraId="2A96B50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w:t>
            </w:r>
          </w:p>
          <w:p w14:paraId="72AB45E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10" w:type="dxa"/>
            <w:gridSpan w:val="3"/>
            <w:tcBorders>
              <w:top w:val="single" w:sz="6" w:space="0" w:color="auto"/>
              <w:left w:val="single" w:sz="6" w:space="0" w:color="auto"/>
              <w:bottom w:val="single" w:sz="6" w:space="0" w:color="auto"/>
              <w:right w:val="single" w:sz="6" w:space="0" w:color="auto"/>
            </w:tcBorders>
          </w:tcPr>
          <w:p w14:paraId="2FA5748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Удельное давление в кг/см</w:t>
            </w:r>
            <w:r w:rsidRPr="007224C3">
              <w:rPr>
                <w:rFonts w:ascii="Times New Roman" w:hAnsi="Times New Roman"/>
                <w:color w:val="000000" w:themeColor="text1"/>
                <w:sz w:val="16"/>
                <w:szCs w:val="16"/>
                <w:vertAlign w:val="superscript"/>
              </w:rPr>
              <w:t>2</w:t>
            </w:r>
          </w:p>
          <w:p w14:paraId="79742F2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7941589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0,78</w:t>
            </w:r>
          </w:p>
          <w:p w14:paraId="5AF04A8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top w:val="single" w:sz="6" w:space="0" w:color="auto"/>
              <w:left w:val="single" w:sz="6" w:space="0" w:color="auto"/>
              <w:bottom w:val="single" w:sz="6" w:space="0" w:color="auto"/>
              <w:right w:val="single" w:sz="6" w:space="0" w:color="auto"/>
            </w:tcBorders>
          </w:tcPr>
          <w:p w14:paraId="4F682DB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0,8</w:t>
            </w:r>
          </w:p>
          <w:p w14:paraId="6AAF2F1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gridSpan w:val="2"/>
            <w:tcBorders>
              <w:top w:val="single" w:sz="6" w:space="0" w:color="auto"/>
              <w:left w:val="single" w:sz="6" w:space="0" w:color="auto"/>
              <w:bottom w:val="single" w:sz="6" w:space="0" w:color="auto"/>
              <w:right w:val="single" w:sz="6" w:space="0" w:color="auto"/>
            </w:tcBorders>
          </w:tcPr>
          <w:p w14:paraId="5DAF064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0,81</w:t>
            </w:r>
          </w:p>
          <w:p w14:paraId="1E90F27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gridSpan w:val="2"/>
            <w:tcBorders>
              <w:top w:val="single" w:sz="6" w:space="0" w:color="auto"/>
              <w:left w:val="single" w:sz="6" w:space="0" w:color="auto"/>
              <w:bottom w:val="single" w:sz="6" w:space="0" w:color="auto"/>
              <w:right w:val="single" w:sz="6" w:space="0" w:color="auto"/>
            </w:tcBorders>
          </w:tcPr>
          <w:p w14:paraId="39B19D5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0,8</w:t>
            </w:r>
          </w:p>
          <w:p w14:paraId="6DECCBB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3051356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w:t>
            </w:r>
          </w:p>
          <w:p w14:paraId="36799FB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72F1AC7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0,7</w:t>
            </w:r>
          </w:p>
          <w:p w14:paraId="3C7126E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5BEEE44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0,8</w:t>
            </w:r>
          </w:p>
          <w:p w14:paraId="76B9637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412A2AB" w14:textId="77777777">
        <w:trPr>
          <w:gridAfter w:val="1"/>
          <w:wAfter w:w="19" w:type="dxa"/>
          <w:trHeight w:val="230"/>
        </w:trPr>
        <w:tc>
          <w:tcPr>
            <w:tcW w:w="422" w:type="dxa"/>
            <w:tcBorders>
              <w:top w:val="single" w:sz="6" w:space="0" w:color="auto"/>
              <w:left w:val="single" w:sz="6" w:space="0" w:color="auto"/>
              <w:bottom w:val="single" w:sz="6" w:space="0" w:color="auto"/>
              <w:right w:val="single" w:sz="6" w:space="0" w:color="auto"/>
            </w:tcBorders>
          </w:tcPr>
          <w:p w14:paraId="2201158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w:t>
            </w:r>
          </w:p>
          <w:p w14:paraId="1EA358C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10" w:type="dxa"/>
            <w:gridSpan w:val="3"/>
            <w:tcBorders>
              <w:top w:val="single" w:sz="6" w:space="0" w:color="auto"/>
              <w:left w:val="single" w:sz="6" w:space="0" w:color="auto"/>
              <w:bottom w:val="single" w:sz="6" w:space="0" w:color="auto"/>
              <w:right w:val="single" w:sz="6" w:space="0" w:color="auto"/>
            </w:tcBorders>
          </w:tcPr>
          <w:p w14:paraId="7B90718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Преодолеваемый подъем в градусах</w:t>
            </w:r>
          </w:p>
          <w:p w14:paraId="6F600F3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5334ED2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36</w:t>
            </w:r>
          </w:p>
          <w:p w14:paraId="3079C25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top w:val="single" w:sz="6" w:space="0" w:color="auto"/>
              <w:left w:val="single" w:sz="6" w:space="0" w:color="auto"/>
              <w:bottom w:val="single" w:sz="6" w:space="0" w:color="auto"/>
              <w:right w:val="single" w:sz="6" w:space="0" w:color="auto"/>
            </w:tcBorders>
          </w:tcPr>
          <w:p w14:paraId="4A22262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36</w:t>
            </w:r>
          </w:p>
          <w:p w14:paraId="1B1F75A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gridSpan w:val="2"/>
            <w:tcBorders>
              <w:top w:val="single" w:sz="6" w:space="0" w:color="auto"/>
              <w:left w:val="single" w:sz="6" w:space="0" w:color="auto"/>
              <w:bottom w:val="single" w:sz="6" w:space="0" w:color="auto"/>
              <w:right w:val="single" w:sz="6" w:space="0" w:color="auto"/>
            </w:tcBorders>
          </w:tcPr>
          <w:p w14:paraId="20F0367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35</w:t>
            </w:r>
          </w:p>
          <w:p w14:paraId="3A666E0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gridSpan w:val="2"/>
            <w:tcBorders>
              <w:top w:val="single" w:sz="6" w:space="0" w:color="auto"/>
              <w:left w:val="single" w:sz="6" w:space="0" w:color="auto"/>
              <w:bottom w:val="single" w:sz="6" w:space="0" w:color="auto"/>
              <w:right w:val="single" w:sz="6" w:space="0" w:color="auto"/>
            </w:tcBorders>
          </w:tcPr>
          <w:p w14:paraId="0698445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w:t>
            </w:r>
          </w:p>
          <w:p w14:paraId="1A8159E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6F62A62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25/1 5</w:t>
            </w:r>
            <w:r w:rsidRPr="007224C3">
              <w:rPr>
                <w:rFonts w:ascii="Times New Roman" w:hAnsi="Times New Roman"/>
                <w:color w:val="000000" w:themeColor="text1"/>
                <w:sz w:val="16"/>
                <w:szCs w:val="16"/>
                <w:vertAlign w:val="superscript"/>
              </w:rPr>
              <w:t>х</w:t>
            </w:r>
            <w:r w:rsidRPr="007224C3">
              <w:rPr>
                <w:rFonts w:ascii="Times New Roman" w:hAnsi="Times New Roman"/>
                <w:color w:val="000000" w:themeColor="text1"/>
                <w:sz w:val="16"/>
                <w:szCs w:val="16"/>
              </w:rPr>
              <w:t>)</w:t>
            </w:r>
          </w:p>
          <w:p w14:paraId="368DA2C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72A9859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w:t>
            </w:r>
          </w:p>
          <w:p w14:paraId="6C7652D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1254AE1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w:t>
            </w:r>
          </w:p>
          <w:p w14:paraId="55A773C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2AF1135" w14:textId="77777777">
        <w:trPr>
          <w:gridAfter w:val="1"/>
          <w:wAfter w:w="19" w:type="dxa"/>
          <w:trHeight w:val="240"/>
        </w:trPr>
        <w:tc>
          <w:tcPr>
            <w:tcW w:w="422" w:type="dxa"/>
            <w:tcBorders>
              <w:top w:val="single" w:sz="6" w:space="0" w:color="auto"/>
              <w:left w:val="single" w:sz="6" w:space="0" w:color="auto"/>
              <w:bottom w:val="single" w:sz="6" w:space="0" w:color="auto"/>
              <w:right w:val="single" w:sz="6" w:space="0" w:color="auto"/>
            </w:tcBorders>
          </w:tcPr>
          <w:p w14:paraId="29F7452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w:t>
            </w:r>
          </w:p>
          <w:p w14:paraId="0E23AFA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10" w:type="dxa"/>
            <w:gridSpan w:val="3"/>
            <w:tcBorders>
              <w:top w:val="single" w:sz="6" w:space="0" w:color="auto"/>
              <w:left w:val="single" w:sz="6" w:space="0" w:color="auto"/>
              <w:bottom w:val="single" w:sz="6" w:space="0" w:color="auto"/>
              <w:right w:val="single" w:sz="6" w:space="0" w:color="auto"/>
            </w:tcBorders>
          </w:tcPr>
          <w:p w14:paraId="0A1630A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Предельный крен в градусах</w:t>
            </w:r>
          </w:p>
          <w:p w14:paraId="1056074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4F61417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w:t>
            </w:r>
          </w:p>
          <w:p w14:paraId="6119984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top w:val="single" w:sz="6" w:space="0" w:color="auto"/>
              <w:left w:val="single" w:sz="6" w:space="0" w:color="auto"/>
              <w:bottom w:val="single" w:sz="6" w:space="0" w:color="auto"/>
              <w:right w:val="single" w:sz="6" w:space="0" w:color="auto"/>
            </w:tcBorders>
          </w:tcPr>
          <w:p w14:paraId="2DF37CB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w:t>
            </w:r>
          </w:p>
          <w:p w14:paraId="71033BC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gridSpan w:val="2"/>
            <w:tcBorders>
              <w:top w:val="single" w:sz="6" w:space="0" w:color="auto"/>
              <w:left w:val="single" w:sz="6" w:space="0" w:color="auto"/>
              <w:bottom w:val="single" w:sz="6" w:space="0" w:color="auto"/>
              <w:right w:val="single" w:sz="6" w:space="0" w:color="auto"/>
            </w:tcBorders>
          </w:tcPr>
          <w:p w14:paraId="241A662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w:t>
            </w:r>
          </w:p>
          <w:p w14:paraId="23CE3DB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gridSpan w:val="2"/>
            <w:tcBorders>
              <w:top w:val="single" w:sz="6" w:space="0" w:color="auto"/>
              <w:left w:val="single" w:sz="6" w:space="0" w:color="auto"/>
              <w:bottom w:val="single" w:sz="6" w:space="0" w:color="auto"/>
              <w:right w:val="single" w:sz="6" w:space="0" w:color="auto"/>
            </w:tcBorders>
          </w:tcPr>
          <w:p w14:paraId="3A23456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629DCF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3F0F3FE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22/17</w:t>
            </w:r>
          </w:p>
          <w:p w14:paraId="47128BA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2D847B9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w:t>
            </w:r>
          </w:p>
          <w:p w14:paraId="4E86BF6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2269A0F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w:t>
            </w:r>
          </w:p>
          <w:p w14:paraId="4950252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731EFDC" w14:textId="77777777">
        <w:trPr>
          <w:trHeight w:val="230"/>
        </w:trPr>
        <w:tc>
          <w:tcPr>
            <w:tcW w:w="442" w:type="dxa"/>
            <w:gridSpan w:val="3"/>
            <w:tcBorders>
              <w:top w:val="single" w:sz="6" w:space="0" w:color="auto"/>
              <w:left w:val="single" w:sz="6" w:space="0" w:color="auto"/>
              <w:bottom w:val="single" w:sz="6" w:space="0" w:color="auto"/>
              <w:right w:val="single" w:sz="6" w:space="0" w:color="auto"/>
            </w:tcBorders>
          </w:tcPr>
          <w:p w14:paraId="3133DA4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w:t>
            </w:r>
          </w:p>
          <w:p w14:paraId="2D4975D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90" w:type="dxa"/>
            <w:tcBorders>
              <w:top w:val="single" w:sz="6" w:space="0" w:color="auto"/>
              <w:left w:val="single" w:sz="6" w:space="0" w:color="auto"/>
              <w:bottom w:val="single" w:sz="6" w:space="0" w:color="auto"/>
              <w:right w:val="single" w:sz="6" w:space="0" w:color="auto"/>
            </w:tcBorders>
          </w:tcPr>
          <w:p w14:paraId="763B6F3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Преодолеваемый ров в мм</w:t>
            </w:r>
          </w:p>
          <w:p w14:paraId="6127235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3584AD9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2700</w:t>
            </w:r>
          </w:p>
          <w:p w14:paraId="3E03FE3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top w:val="single" w:sz="6" w:space="0" w:color="auto"/>
              <w:left w:val="single" w:sz="6" w:space="0" w:color="auto"/>
              <w:bottom w:val="single" w:sz="6" w:space="0" w:color="auto"/>
              <w:right w:val="single" w:sz="6" w:space="0" w:color="auto"/>
            </w:tcBorders>
          </w:tcPr>
          <w:p w14:paraId="3A3BD8E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2700</w:t>
            </w:r>
          </w:p>
          <w:p w14:paraId="24FCB86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gridSpan w:val="2"/>
            <w:tcBorders>
              <w:top w:val="single" w:sz="6" w:space="0" w:color="auto"/>
              <w:left w:val="single" w:sz="6" w:space="0" w:color="auto"/>
              <w:bottom w:val="single" w:sz="6" w:space="0" w:color="auto"/>
              <w:right w:val="single" w:sz="6" w:space="0" w:color="auto"/>
            </w:tcBorders>
          </w:tcPr>
          <w:p w14:paraId="0E3A76B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2500</w:t>
            </w:r>
          </w:p>
          <w:p w14:paraId="73E958F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gridSpan w:val="2"/>
            <w:tcBorders>
              <w:top w:val="single" w:sz="6" w:space="0" w:color="auto"/>
              <w:left w:val="single" w:sz="6" w:space="0" w:color="auto"/>
              <w:bottom w:val="single" w:sz="6" w:space="0" w:color="auto"/>
              <w:right w:val="single" w:sz="6" w:space="0" w:color="auto"/>
            </w:tcBorders>
          </w:tcPr>
          <w:p w14:paraId="5A07F48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3D647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14441F9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2400</w:t>
            </w:r>
          </w:p>
          <w:p w14:paraId="147DC9F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38B8D85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50B83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single" w:sz="6" w:space="0" w:color="auto"/>
              <w:left w:val="single" w:sz="6" w:space="0" w:color="auto"/>
              <w:bottom w:val="single" w:sz="6" w:space="0" w:color="auto"/>
              <w:right w:val="single" w:sz="6" w:space="0" w:color="auto"/>
            </w:tcBorders>
          </w:tcPr>
          <w:p w14:paraId="01B795F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1600</w:t>
            </w:r>
          </w:p>
          <w:p w14:paraId="7B01980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2CBB896" w14:textId="77777777">
        <w:trPr>
          <w:trHeight w:val="230"/>
        </w:trPr>
        <w:tc>
          <w:tcPr>
            <w:tcW w:w="442" w:type="dxa"/>
            <w:gridSpan w:val="3"/>
            <w:tcBorders>
              <w:top w:val="single" w:sz="6" w:space="0" w:color="auto"/>
              <w:left w:val="single" w:sz="6" w:space="0" w:color="auto"/>
              <w:bottom w:val="single" w:sz="6" w:space="0" w:color="auto"/>
              <w:right w:val="single" w:sz="6" w:space="0" w:color="auto"/>
            </w:tcBorders>
          </w:tcPr>
          <w:p w14:paraId="21CB6EA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w:t>
            </w:r>
          </w:p>
          <w:p w14:paraId="14613BE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90" w:type="dxa"/>
            <w:tcBorders>
              <w:top w:val="single" w:sz="6" w:space="0" w:color="auto"/>
              <w:left w:val="single" w:sz="6" w:space="0" w:color="auto"/>
              <w:bottom w:val="single" w:sz="6" w:space="0" w:color="auto"/>
              <w:right w:val="single" w:sz="6" w:space="0" w:color="auto"/>
            </w:tcBorders>
          </w:tcPr>
          <w:p w14:paraId="71433BE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Преодолеваемая вертикальная стенка в мм</w:t>
            </w:r>
          </w:p>
          <w:p w14:paraId="3B5E990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3720DEA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1300</w:t>
            </w:r>
          </w:p>
          <w:p w14:paraId="0309BED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top w:val="single" w:sz="6" w:space="0" w:color="auto"/>
              <w:left w:val="single" w:sz="6" w:space="0" w:color="auto"/>
              <w:bottom w:val="single" w:sz="6" w:space="0" w:color="auto"/>
              <w:right w:val="single" w:sz="6" w:space="0" w:color="auto"/>
            </w:tcBorders>
          </w:tcPr>
          <w:p w14:paraId="27EA738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1300</w:t>
            </w:r>
          </w:p>
          <w:p w14:paraId="685FCC5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gridSpan w:val="2"/>
            <w:tcBorders>
              <w:top w:val="single" w:sz="6" w:space="0" w:color="auto"/>
              <w:left w:val="single" w:sz="6" w:space="0" w:color="auto"/>
              <w:bottom w:val="single" w:sz="6" w:space="0" w:color="auto"/>
              <w:right w:val="single" w:sz="6" w:space="0" w:color="auto"/>
            </w:tcBorders>
          </w:tcPr>
          <w:p w14:paraId="3E2E96C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730</w:t>
            </w:r>
          </w:p>
          <w:p w14:paraId="1C5ADEC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gridSpan w:val="2"/>
            <w:tcBorders>
              <w:top w:val="single" w:sz="6" w:space="0" w:color="auto"/>
              <w:left w:val="single" w:sz="6" w:space="0" w:color="auto"/>
              <w:bottom w:val="single" w:sz="6" w:space="0" w:color="auto"/>
              <w:right w:val="single" w:sz="6" w:space="0" w:color="auto"/>
            </w:tcBorders>
          </w:tcPr>
          <w:p w14:paraId="65206E2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82D9D9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7902724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700</w:t>
            </w:r>
          </w:p>
          <w:p w14:paraId="6DE70D3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53F402A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3178A2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single" w:sz="6" w:space="0" w:color="auto"/>
              <w:left w:val="single" w:sz="6" w:space="0" w:color="auto"/>
              <w:bottom w:val="single" w:sz="6" w:space="0" w:color="auto"/>
              <w:right w:val="single" w:sz="6" w:space="0" w:color="auto"/>
            </w:tcBorders>
          </w:tcPr>
          <w:p w14:paraId="491AE15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610</w:t>
            </w:r>
          </w:p>
          <w:p w14:paraId="2742A54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EBDF73E" w14:textId="77777777">
        <w:trPr>
          <w:trHeight w:val="230"/>
        </w:trPr>
        <w:tc>
          <w:tcPr>
            <w:tcW w:w="442" w:type="dxa"/>
            <w:gridSpan w:val="3"/>
            <w:tcBorders>
              <w:top w:val="single" w:sz="6" w:space="0" w:color="auto"/>
              <w:left w:val="single" w:sz="6" w:space="0" w:color="auto"/>
              <w:bottom w:val="single" w:sz="6" w:space="0" w:color="auto"/>
              <w:right w:val="single" w:sz="6" w:space="0" w:color="auto"/>
            </w:tcBorders>
          </w:tcPr>
          <w:p w14:paraId="1C752EE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w:t>
            </w:r>
          </w:p>
          <w:p w14:paraId="5694462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90" w:type="dxa"/>
            <w:tcBorders>
              <w:top w:val="single" w:sz="6" w:space="0" w:color="auto"/>
              <w:left w:val="single" w:sz="6" w:space="0" w:color="auto"/>
              <w:bottom w:val="single" w:sz="6" w:space="0" w:color="auto"/>
              <w:right w:val="single" w:sz="6" w:space="0" w:color="auto"/>
            </w:tcBorders>
          </w:tcPr>
          <w:p w14:paraId="11542CE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Преодолеваемый брод в мм</w:t>
            </w:r>
          </w:p>
          <w:p w14:paraId="654B282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0F504DA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1600</w:t>
            </w:r>
          </w:p>
          <w:p w14:paraId="16BF4E8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top w:val="single" w:sz="6" w:space="0" w:color="auto"/>
              <w:left w:val="single" w:sz="6" w:space="0" w:color="auto"/>
              <w:bottom w:val="single" w:sz="6" w:space="0" w:color="auto"/>
              <w:right w:val="single" w:sz="6" w:space="0" w:color="auto"/>
            </w:tcBorders>
          </w:tcPr>
          <w:p w14:paraId="4433F1C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1600</w:t>
            </w:r>
          </w:p>
          <w:p w14:paraId="17D002C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gridSpan w:val="2"/>
            <w:tcBorders>
              <w:top w:val="single" w:sz="6" w:space="0" w:color="auto"/>
              <w:left w:val="single" w:sz="6" w:space="0" w:color="auto"/>
              <w:bottom w:val="single" w:sz="6" w:space="0" w:color="auto"/>
              <w:right w:val="single" w:sz="6" w:space="0" w:color="auto"/>
            </w:tcBorders>
          </w:tcPr>
          <w:p w14:paraId="2206E30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1300</w:t>
            </w:r>
          </w:p>
          <w:p w14:paraId="7D3F9A5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gridSpan w:val="2"/>
            <w:tcBorders>
              <w:top w:val="single" w:sz="6" w:space="0" w:color="auto"/>
              <w:left w:val="single" w:sz="6" w:space="0" w:color="auto"/>
              <w:bottom w:val="single" w:sz="6" w:space="0" w:color="auto"/>
              <w:right w:val="single" w:sz="6" w:space="0" w:color="auto"/>
            </w:tcBorders>
          </w:tcPr>
          <w:p w14:paraId="0C10FAE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76878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1838FE9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1400</w:t>
            </w:r>
          </w:p>
          <w:p w14:paraId="5D8B861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4CA47A7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CFB446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single" w:sz="6" w:space="0" w:color="auto"/>
              <w:left w:val="single" w:sz="6" w:space="0" w:color="auto"/>
              <w:bottom w:val="single" w:sz="6" w:space="0" w:color="auto"/>
              <w:right w:val="single" w:sz="6" w:space="0" w:color="auto"/>
            </w:tcBorders>
          </w:tcPr>
          <w:p w14:paraId="2E7D0CF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915</w:t>
            </w:r>
          </w:p>
          <w:p w14:paraId="0E6689B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16D8DDC" w14:textId="77777777">
        <w:trPr>
          <w:trHeight w:val="230"/>
        </w:trPr>
        <w:tc>
          <w:tcPr>
            <w:tcW w:w="9466" w:type="dxa"/>
            <w:gridSpan w:val="15"/>
            <w:tcBorders>
              <w:top w:val="single" w:sz="6" w:space="0" w:color="auto"/>
              <w:left w:val="nil"/>
              <w:bottom w:val="nil"/>
              <w:right w:val="nil"/>
            </w:tcBorders>
          </w:tcPr>
          <w:p w14:paraId="28C2BD1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Примечание: </w:t>
            </w:r>
            <w:r w:rsidRPr="007224C3">
              <w:rPr>
                <w:rFonts w:ascii="Times New Roman" w:hAnsi="Times New Roman"/>
                <w:color w:val="000000" w:themeColor="text1"/>
                <w:sz w:val="16"/>
                <w:szCs w:val="16"/>
                <w:vertAlign w:val="superscript"/>
              </w:rPr>
              <w:t>х</w:t>
            </w:r>
            <w:r w:rsidRPr="007224C3">
              <w:rPr>
                <w:rFonts w:ascii="Times New Roman" w:hAnsi="Times New Roman"/>
                <w:color w:val="000000" w:themeColor="text1"/>
                <w:sz w:val="16"/>
                <w:szCs w:val="16"/>
              </w:rPr>
              <w:t>'25° на резиновой гусенице / 1 5° на металлической гусенице.</w:t>
            </w:r>
          </w:p>
          <w:p w14:paraId="51DE1F8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ADA9950" w14:textId="77777777">
        <w:trPr>
          <w:trHeight w:val="230"/>
        </w:trPr>
        <w:tc>
          <w:tcPr>
            <w:tcW w:w="432" w:type="dxa"/>
            <w:gridSpan w:val="2"/>
            <w:tcBorders>
              <w:top w:val="single" w:sz="6" w:space="0" w:color="auto"/>
              <w:left w:val="single" w:sz="6" w:space="0" w:color="auto"/>
              <w:bottom w:val="nil"/>
              <w:right w:val="single" w:sz="6" w:space="0" w:color="auto"/>
            </w:tcBorders>
          </w:tcPr>
          <w:p w14:paraId="72E813C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п/п</w:t>
            </w:r>
          </w:p>
          <w:p w14:paraId="4C4A9CF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00" w:type="dxa"/>
            <w:gridSpan w:val="2"/>
            <w:tcBorders>
              <w:top w:val="single" w:sz="6" w:space="0" w:color="auto"/>
              <w:left w:val="single" w:sz="6" w:space="0" w:color="auto"/>
              <w:bottom w:val="nil"/>
              <w:right w:val="single" w:sz="6" w:space="0" w:color="auto"/>
            </w:tcBorders>
          </w:tcPr>
          <w:p w14:paraId="65759A0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Наименование данных</w:t>
            </w:r>
          </w:p>
          <w:p w14:paraId="6BA2217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79" w:type="dxa"/>
            <w:gridSpan w:val="6"/>
            <w:tcBorders>
              <w:top w:val="single" w:sz="6" w:space="0" w:color="auto"/>
              <w:left w:val="single" w:sz="6" w:space="0" w:color="auto"/>
              <w:bottom w:val="single" w:sz="6" w:space="0" w:color="auto"/>
              <w:right w:val="single" w:sz="6" w:space="0" w:color="auto"/>
            </w:tcBorders>
          </w:tcPr>
          <w:p w14:paraId="45EB54F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Танки Англии</w:t>
            </w:r>
          </w:p>
          <w:p w14:paraId="70271CC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4" w:type="dxa"/>
            <w:gridSpan w:val="5"/>
            <w:tcBorders>
              <w:top w:val="single" w:sz="6" w:space="0" w:color="auto"/>
              <w:left w:val="single" w:sz="6" w:space="0" w:color="auto"/>
              <w:bottom w:val="single" w:sz="6" w:space="0" w:color="auto"/>
              <w:right w:val="single" w:sz="6" w:space="0" w:color="auto"/>
            </w:tcBorders>
          </w:tcPr>
          <w:p w14:paraId="2788266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Танки Германии</w:t>
            </w:r>
          </w:p>
          <w:p w14:paraId="2D373AE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9FE0806" w14:textId="77777777">
        <w:trPr>
          <w:trHeight w:val="374"/>
        </w:trPr>
        <w:tc>
          <w:tcPr>
            <w:tcW w:w="432" w:type="dxa"/>
            <w:gridSpan w:val="2"/>
            <w:tcBorders>
              <w:top w:val="nil"/>
              <w:left w:val="single" w:sz="6" w:space="0" w:color="auto"/>
              <w:bottom w:val="single" w:sz="6" w:space="0" w:color="auto"/>
              <w:right w:val="single" w:sz="6" w:space="0" w:color="auto"/>
            </w:tcBorders>
          </w:tcPr>
          <w:p w14:paraId="6F38682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200950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3600" w:type="dxa"/>
            <w:gridSpan w:val="2"/>
            <w:tcBorders>
              <w:top w:val="nil"/>
              <w:left w:val="single" w:sz="6" w:space="0" w:color="auto"/>
              <w:bottom w:val="single" w:sz="6" w:space="0" w:color="auto"/>
              <w:right w:val="single" w:sz="6" w:space="0" w:color="auto"/>
            </w:tcBorders>
          </w:tcPr>
          <w:p w14:paraId="4B6321B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51124F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902" w:type="dxa"/>
            <w:gridSpan w:val="2"/>
            <w:tcBorders>
              <w:top w:val="single" w:sz="6" w:space="0" w:color="auto"/>
              <w:left w:val="single" w:sz="6" w:space="0" w:color="auto"/>
              <w:bottom w:val="single" w:sz="6" w:space="0" w:color="auto"/>
              <w:right w:val="single" w:sz="6" w:space="0" w:color="auto"/>
            </w:tcBorders>
          </w:tcPr>
          <w:p w14:paraId="6DC446D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МК-1У Черчилль</w:t>
            </w:r>
          </w:p>
          <w:p w14:paraId="1DDE6C8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gridSpan w:val="2"/>
            <w:tcBorders>
              <w:top w:val="single" w:sz="6" w:space="0" w:color="auto"/>
              <w:left w:val="single" w:sz="6" w:space="0" w:color="auto"/>
              <w:bottom w:val="single" w:sz="6" w:space="0" w:color="auto"/>
              <w:right w:val="single" w:sz="6" w:space="0" w:color="auto"/>
            </w:tcBorders>
          </w:tcPr>
          <w:p w14:paraId="78F6BA1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Кромвель</w:t>
            </w:r>
          </w:p>
          <w:p w14:paraId="2C4D8A3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gridSpan w:val="2"/>
            <w:tcBorders>
              <w:top w:val="single" w:sz="6" w:space="0" w:color="auto"/>
              <w:left w:val="single" w:sz="6" w:space="0" w:color="auto"/>
              <w:bottom w:val="single" w:sz="6" w:space="0" w:color="auto"/>
              <w:right w:val="single" w:sz="6" w:space="0" w:color="auto"/>
            </w:tcBorders>
          </w:tcPr>
          <w:p w14:paraId="35BBA6F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Валентин 9</w:t>
            </w:r>
          </w:p>
          <w:p w14:paraId="7B00FC7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6FE1430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ТАЛ Тигр</w:t>
            </w:r>
          </w:p>
          <w:p w14:paraId="2FD65F5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4E14F5D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Т-У Пантера</w:t>
            </w:r>
          </w:p>
          <w:p w14:paraId="1528BD8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single" w:sz="6" w:space="0" w:color="auto"/>
              <w:left w:val="single" w:sz="6" w:space="0" w:color="auto"/>
              <w:bottom w:val="single" w:sz="6" w:space="0" w:color="auto"/>
              <w:right w:val="single" w:sz="6" w:space="0" w:color="auto"/>
            </w:tcBorders>
          </w:tcPr>
          <w:p w14:paraId="56FCD91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Т-1У</w:t>
            </w:r>
          </w:p>
          <w:p w14:paraId="3D21EFE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4B85843" w14:textId="77777777">
        <w:trPr>
          <w:trHeight w:val="230"/>
        </w:trPr>
        <w:tc>
          <w:tcPr>
            <w:tcW w:w="432" w:type="dxa"/>
            <w:gridSpan w:val="2"/>
            <w:tcBorders>
              <w:top w:val="single" w:sz="6" w:space="0" w:color="auto"/>
              <w:left w:val="single" w:sz="6" w:space="0" w:color="auto"/>
              <w:bottom w:val="single" w:sz="6" w:space="0" w:color="auto"/>
              <w:right w:val="single" w:sz="6" w:space="0" w:color="auto"/>
            </w:tcBorders>
          </w:tcPr>
          <w:p w14:paraId="0186BF7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p w14:paraId="296C510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00" w:type="dxa"/>
            <w:gridSpan w:val="2"/>
            <w:tcBorders>
              <w:top w:val="single" w:sz="6" w:space="0" w:color="auto"/>
              <w:left w:val="single" w:sz="6" w:space="0" w:color="auto"/>
              <w:bottom w:val="single" w:sz="6" w:space="0" w:color="auto"/>
              <w:right w:val="single" w:sz="6" w:space="0" w:color="auto"/>
            </w:tcBorders>
          </w:tcPr>
          <w:p w14:paraId="3B6CA19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 танка в тоннах</w:t>
            </w:r>
          </w:p>
          <w:p w14:paraId="517F86A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gridSpan w:val="2"/>
            <w:tcBorders>
              <w:top w:val="single" w:sz="6" w:space="0" w:color="auto"/>
              <w:left w:val="single" w:sz="6" w:space="0" w:color="auto"/>
              <w:bottom w:val="single" w:sz="6" w:space="0" w:color="auto"/>
              <w:right w:val="single" w:sz="6" w:space="0" w:color="auto"/>
            </w:tcBorders>
          </w:tcPr>
          <w:p w14:paraId="245E0C7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w:t>
            </w:r>
          </w:p>
          <w:p w14:paraId="4710E98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gridSpan w:val="2"/>
            <w:tcBorders>
              <w:top w:val="single" w:sz="6" w:space="0" w:color="auto"/>
              <w:left w:val="single" w:sz="6" w:space="0" w:color="auto"/>
              <w:bottom w:val="single" w:sz="6" w:space="0" w:color="auto"/>
              <w:right w:val="single" w:sz="6" w:space="0" w:color="auto"/>
            </w:tcBorders>
          </w:tcPr>
          <w:p w14:paraId="6EDABD2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w:t>
            </w:r>
          </w:p>
          <w:p w14:paraId="589738F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gridSpan w:val="2"/>
            <w:tcBorders>
              <w:top w:val="single" w:sz="6" w:space="0" w:color="auto"/>
              <w:left w:val="single" w:sz="6" w:space="0" w:color="auto"/>
              <w:bottom w:val="single" w:sz="6" w:space="0" w:color="auto"/>
              <w:right w:val="single" w:sz="6" w:space="0" w:color="auto"/>
            </w:tcBorders>
          </w:tcPr>
          <w:p w14:paraId="3C72283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w:t>
            </w:r>
          </w:p>
          <w:p w14:paraId="027C90F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7FD1C07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56</w:t>
            </w:r>
          </w:p>
          <w:p w14:paraId="2CD1C80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06F2F4C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w:t>
            </w:r>
          </w:p>
          <w:p w14:paraId="31A5606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single" w:sz="6" w:space="0" w:color="auto"/>
              <w:left w:val="single" w:sz="6" w:space="0" w:color="auto"/>
              <w:bottom w:val="single" w:sz="6" w:space="0" w:color="auto"/>
              <w:right w:val="single" w:sz="6" w:space="0" w:color="auto"/>
            </w:tcBorders>
          </w:tcPr>
          <w:p w14:paraId="306FBDF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w:t>
            </w:r>
          </w:p>
          <w:p w14:paraId="49D753D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000FF5F" w14:textId="77777777">
        <w:trPr>
          <w:trHeight w:val="230"/>
        </w:trPr>
        <w:tc>
          <w:tcPr>
            <w:tcW w:w="432" w:type="dxa"/>
            <w:gridSpan w:val="2"/>
            <w:tcBorders>
              <w:top w:val="single" w:sz="6" w:space="0" w:color="auto"/>
              <w:left w:val="single" w:sz="6" w:space="0" w:color="auto"/>
              <w:bottom w:val="single" w:sz="6" w:space="0" w:color="auto"/>
              <w:right w:val="single" w:sz="6" w:space="0" w:color="auto"/>
            </w:tcBorders>
          </w:tcPr>
          <w:p w14:paraId="0F1EF78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p w14:paraId="320AD32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00" w:type="dxa"/>
            <w:gridSpan w:val="2"/>
            <w:tcBorders>
              <w:top w:val="single" w:sz="6" w:space="0" w:color="auto"/>
              <w:left w:val="single" w:sz="6" w:space="0" w:color="auto"/>
              <w:bottom w:val="single" w:sz="6" w:space="0" w:color="auto"/>
              <w:right w:val="single" w:sz="6" w:space="0" w:color="auto"/>
            </w:tcBorders>
          </w:tcPr>
          <w:p w14:paraId="64545D1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Мощность мотора в л. с.</w:t>
            </w:r>
          </w:p>
          <w:p w14:paraId="1383D28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gridSpan w:val="2"/>
            <w:tcBorders>
              <w:top w:val="single" w:sz="6" w:space="0" w:color="auto"/>
              <w:left w:val="single" w:sz="6" w:space="0" w:color="auto"/>
              <w:bottom w:val="single" w:sz="6" w:space="0" w:color="auto"/>
              <w:right w:val="single" w:sz="6" w:space="0" w:color="auto"/>
            </w:tcBorders>
          </w:tcPr>
          <w:p w14:paraId="432FA3F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350</w:t>
            </w:r>
          </w:p>
          <w:p w14:paraId="15B0F87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gridSpan w:val="2"/>
            <w:tcBorders>
              <w:top w:val="single" w:sz="6" w:space="0" w:color="auto"/>
              <w:left w:val="single" w:sz="6" w:space="0" w:color="auto"/>
              <w:bottom w:val="single" w:sz="6" w:space="0" w:color="auto"/>
              <w:right w:val="single" w:sz="6" w:space="0" w:color="auto"/>
            </w:tcBorders>
          </w:tcPr>
          <w:p w14:paraId="4137E11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600-630</w:t>
            </w:r>
          </w:p>
          <w:p w14:paraId="17C3FC1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gridSpan w:val="2"/>
            <w:tcBorders>
              <w:top w:val="single" w:sz="6" w:space="0" w:color="auto"/>
              <w:left w:val="single" w:sz="6" w:space="0" w:color="auto"/>
              <w:bottom w:val="single" w:sz="6" w:space="0" w:color="auto"/>
              <w:right w:val="single" w:sz="6" w:space="0" w:color="auto"/>
            </w:tcBorders>
          </w:tcPr>
          <w:p w14:paraId="54ABB18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130 или 165</w:t>
            </w:r>
          </w:p>
          <w:p w14:paraId="59C7B0A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5CD12AF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650</w:t>
            </w:r>
          </w:p>
          <w:p w14:paraId="5F6960C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68B37EF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650</w:t>
            </w:r>
          </w:p>
          <w:p w14:paraId="491B02E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single" w:sz="6" w:space="0" w:color="auto"/>
              <w:left w:val="single" w:sz="6" w:space="0" w:color="auto"/>
              <w:bottom w:val="single" w:sz="6" w:space="0" w:color="auto"/>
              <w:right w:val="single" w:sz="6" w:space="0" w:color="auto"/>
            </w:tcBorders>
          </w:tcPr>
          <w:p w14:paraId="2C4A453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320</w:t>
            </w:r>
          </w:p>
          <w:p w14:paraId="384DE96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707790A" w14:textId="77777777">
        <w:trPr>
          <w:trHeight w:val="230"/>
        </w:trPr>
        <w:tc>
          <w:tcPr>
            <w:tcW w:w="432" w:type="dxa"/>
            <w:gridSpan w:val="2"/>
            <w:tcBorders>
              <w:top w:val="single" w:sz="6" w:space="0" w:color="auto"/>
              <w:left w:val="single" w:sz="6" w:space="0" w:color="auto"/>
              <w:bottom w:val="single" w:sz="6" w:space="0" w:color="auto"/>
              <w:right w:val="single" w:sz="6" w:space="0" w:color="auto"/>
            </w:tcBorders>
          </w:tcPr>
          <w:p w14:paraId="6151B44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p w14:paraId="167D0C2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00" w:type="dxa"/>
            <w:gridSpan w:val="2"/>
            <w:tcBorders>
              <w:top w:val="single" w:sz="6" w:space="0" w:color="auto"/>
              <w:left w:val="single" w:sz="6" w:space="0" w:color="auto"/>
              <w:bottom w:val="single" w:sz="6" w:space="0" w:color="auto"/>
              <w:right w:val="single" w:sz="6" w:space="0" w:color="auto"/>
            </w:tcBorders>
          </w:tcPr>
          <w:p w14:paraId="564865F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Удельная мощность в л.с. на тонн</w:t>
            </w:r>
          </w:p>
          <w:p w14:paraId="327CDC9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gridSpan w:val="2"/>
            <w:tcBorders>
              <w:top w:val="single" w:sz="6" w:space="0" w:color="auto"/>
              <w:left w:val="single" w:sz="6" w:space="0" w:color="auto"/>
              <w:bottom w:val="single" w:sz="6" w:space="0" w:color="auto"/>
              <w:right w:val="single" w:sz="6" w:space="0" w:color="auto"/>
            </w:tcBorders>
          </w:tcPr>
          <w:p w14:paraId="7B26A21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8,76</w:t>
            </w:r>
          </w:p>
          <w:p w14:paraId="1424DFB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gridSpan w:val="2"/>
            <w:tcBorders>
              <w:top w:val="single" w:sz="6" w:space="0" w:color="auto"/>
              <w:left w:val="single" w:sz="6" w:space="0" w:color="auto"/>
              <w:bottom w:val="single" w:sz="6" w:space="0" w:color="auto"/>
              <w:right w:val="single" w:sz="6" w:space="0" w:color="auto"/>
            </w:tcBorders>
          </w:tcPr>
          <w:p w14:paraId="65A637A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20-21</w:t>
            </w:r>
          </w:p>
          <w:p w14:paraId="34B2F8C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gridSpan w:val="2"/>
            <w:tcBorders>
              <w:top w:val="single" w:sz="6" w:space="0" w:color="auto"/>
              <w:left w:val="single" w:sz="6" w:space="0" w:color="auto"/>
              <w:bottom w:val="single" w:sz="6" w:space="0" w:color="auto"/>
              <w:right w:val="single" w:sz="6" w:space="0" w:color="auto"/>
            </w:tcBorders>
          </w:tcPr>
          <w:p w14:paraId="50FE0F8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7,9 или 9,7</w:t>
            </w:r>
          </w:p>
          <w:p w14:paraId="3DA795B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6126C91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11,6</w:t>
            </w:r>
          </w:p>
          <w:p w14:paraId="27FC979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20509D2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14,4</w:t>
            </w:r>
          </w:p>
          <w:p w14:paraId="4FAAA3F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single" w:sz="6" w:space="0" w:color="auto"/>
              <w:left w:val="single" w:sz="6" w:space="0" w:color="auto"/>
              <w:bottom w:val="single" w:sz="6" w:space="0" w:color="auto"/>
              <w:right w:val="single" w:sz="6" w:space="0" w:color="auto"/>
            </w:tcBorders>
          </w:tcPr>
          <w:p w14:paraId="6060DB5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13,3</w:t>
            </w:r>
          </w:p>
          <w:p w14:paraId="7ECAD98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07B38FF" w14:textId="77777777">
        <w:trPr>
          <w:trHeight w:val="221"/>
        </w:trPr>
        <w:tc>
          <w:tcPr>
            <w:tcW w:w="432" w:type="dxa"/>
            <w:gridSpan w:val="2"/>
            <w:tcBorders>
              <w:top w:val="single" w:sz="6" w:space="0" w:color="auto"/>
              <w:left w:val="single" w:sz="6" w:space="0" w:color="auto"/>
              <w:bottom w:val="single" w:sz="6" w:space="0" w:color="auto"/>
              <w:right w:val="single" w:sz="6" w:space="0" w:color="auto"/>
            </w:tcBorders>
          </w:tcPr>
          <w:p w14:paraId="04BB579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4</w:t>
            </w:r>
          </w:p>
          <w:p w14:paraId="221CF9D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00" w:type="dxa"/>
            <w:gridSpan w:val="2"/>
            <w:tcBorders>
              <w:top w:val="single" w:sz="6" w:space="0" w:color="auto"/>
              <w:left w:val="single" w:sz="6" w:space="0" w:color="auto"/>
              <w:bottom w:val="single" w:sz="6" w:space="0" w:color="auto"/>
              <w:right w:val="single" w:sz="6" w:space="0" w:color="auto"/>
            </w:tcBorders>
          </w:tcPr>
          <w:p w14:paraId="4CA9F58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 скорость в км/ч</w:t>
            </w:r>
          </w:p>
          <w:p w14:paraId="2F3D84B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gridSpan w:val="2"/>
            <w:tcBorders>
              <w:top w:val="single" w:sz="6" w:space="0" w:color="auto"/>
              <w:left w:val="single" w:sz="6" w:space="0" w:color="auto"/>
              <w:bottom w:val="single" w:sz="6" w:space="0" w:color="auto"/>
              <w:right w:val="single" w:sz="6" w:space="0" w:color="auto"/>
            </w:tcBorders>
          </w:tcPr>
          <w:p w14:paraId="6618B18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w:t>
            </w:r>
          </w:p>
          <w:p w14:paraId="5C5E599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gridSpan w:val="2"/>
            <w:tcBorders>
              <w:top w:val="single" w:sz="6" w:space="0" w:color="auto"/>
              <w:left w:val="single" w:sz="6" w:space="0" w:color="auto"/>
              <w:bottom w:val="single" w:sz="6" w:space="0" w:color="auto"/>
              <w:right w:val="single" w:sz="6" w:space="0" w:color="auto"/>
            </w:tcBorders>
          </w:tcPr>
          <w:p w14:paraId="2AA094E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56</w:t>
            </w:r>
          </w:p>
          <w:p w14:paraId="6D7D5CF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gridSpan w:val="2"/>
            <w:tcBorders>
              <w:top w:val="single" w:sz="6" w:space="0" w:color="auto"/>
              <w:left w:val="single" w:sz="6" w:space="0" w:color="auto"/>
              <w:bottom w:val="single" w:sz="6" w:space="0" w:color="auto"/>
              <w:right w:val="single" w:sz="6" w:space="0" w:color="auto"/>
            </w:tcBorders>
          </w:tcPr>
          <w:p w14:paraId="7D63B9D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32</w:t>
            </w:r>
          </w:p>
          <w:p w14:paraId="75DDEFD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5E46A02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44</w:t>
            </w:r>
          </w:p>
          <w:p w14:paraId="567B206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4C96212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w:t>
            </w:r>
          </w:p>
          <w:p w14:paraId="3681941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single" w:sz="6" w:space="0" w:color="auto"/>
              <w:left w:val="single" w:sz="6" w:space="0" w:color="auto"/>
              <w:bottom w:val="single" w:sz="6" w:space="0" w:color="auto"/>
              <w:right w:val="single" w:sz="6" w:space="0" w:color="auto"/>
            </w:tcBorders>
          </w:tcPr>
          <w:p w14:paraId="241A99B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w:t>
            </w:r>
          </w:p>
          <w:p w14:paraId="2B888C4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AAA188A" w14:textId="77777777">
        <w:trPr>
          <w:trHeight w:val="230"/>
        </w:trPr>
        <w:tc>
          <w:tcPr>
            <w:tcW w:w="432" w:type="dxa"/>
            <w:gridSpan w:val="2"/>
            <w:tcBorders>
              <w:top w:val="single" w:sz="6" w:space="0" w:color="auto"/>
              <w:left w:val="single" w:sz="6" w:space="0" w:color="auto"/>
              <w:bottom w:val="single" w:sz="6" w:space="0" w:color="auto"/>
              <w:right w:val="single" w:sz="6" w:space="0" w:color="auto"/>
            </w:tcBorders>
          </w:tcPr>
          <w:p w14:paraId="02464C0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p w14:paraId="5DDE932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00" w:type="dxa"/>
            <w:gridSpan w:val="2"/>
            <w:tcBorders>
              <w:top w:val="single" w:sz="6" w:space="0" w:color="auto"/>
              <w:left w:val="single" w:sz="6" w:space="0" w:color="auto"/>
              <w:bottom w:val="single" w:sz="6" w:space="0" w:color="auto"/>
              <w:right w:val="single" w:sz="6" w:space="0" w:color="auto"/>
            </w:tcBorders>
          </w:tcPr>
          <w:p w14:paraId="3EBF783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Средняя скорость в км/ч</w:t>
            </w:r>
          </w:p>
          <w:p w14:paraId="52739FE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gridSpan w:val="2"/>
            <w:tcBorders>
              <w:top w:val="single" w:sz="6" w:space="0" w:color="auto"/>
              <w:left w:val="single" w:sz="6" w:space="0" w:color="auto"/>
              <w:bottom w:val="single" w:sz="6" w:space="0" w:color="auto"/>
              <w:right w:val="single" w:sz="6" w:space="0" w:color="auto"/>
            </w:tcBorders>
          </w:tcPr>
          <w:p w14:paraId="38CB786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w:t>
            </w:r>
          </w:p>
          <w:p w14:paraId="70D5F1E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gridSpan w:val="2"/>
            <w:tcBorders>
              <w:top w:val="single" w:sz="6" w:space="0" w:color="auto"/>
              <w:left w:val="single" w:sz="6" w:space="0" w:color="auto"/>
              <w:bottom w:val="single" w:sz="6" w:space="0" w:color="auto"/>
              <w:right w:val="single" w:sz="6" w:space="0" w:color="auto"/>
            </w:tcBorders>
          </w:tcPr>
          <w:p w14:paraId="5AAF4FB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291FCE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gridSpan w:val="2"/>
            <w:tcBorders>
              <w:top w:val="single" w:sz="6" w:space="0" w:color="auto"/>
              <w:left w:val="single" w:sz="6" w:space="0" w:color="auto"/>
              <w:bottom w:val="single" w:sz="6" w:space="0" w:color="auto"/>
              <w:right w:val="single" w:sz="6" w:space="0" w:color="auto"/>
            </w:tcBorders>
          </w:tcPr>
          <w:p w14:paraId="05A08A4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w:t>
            </w:r>
          </w:p>
          <w:p w14:paraId="7AE4B30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32B433F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w:t>
            </w:r>
          </w:p>
          <w:p w14:paraId="46393A5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1C80896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w:t>
            </w:r>
          </w:p>
          <w:p w14:paraId="0A2508A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single" w:sz="6" w:space="0" w:color="auto"/>
              <w:left w:val="single" w:sz="6" w:space="0" w:color="auto"/>
              <w:bottom w:val="single" w:sz="6" w:space="0" w:color="auto"/>
              <w:right w:val="single" w:sz="6" w:space="0" w:color="auto"/>
            </w:tcBorders>
          </w:tcPr>
          <w:p w14:paraId="49CA5B7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35</w:t>
            </w:r>
          </w:p>
          <w:p w14:paraId="7322D74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54FF784" w14:textId="77777777">
        <w:trPr>
          <w:trHeight w:val="230"/>
        </w:trPr>
        <w:tc>
          <w:tcPr>
            <w:tcW w:w="432" w:type="dxa"/>
            <w:gridSpan w:val="2"/>
            <w:tcBorders>
              <w:top w:val="single" w:sz="6" w:space="0" w:color="auto"/>
              <w:left w:val="single" w:sz="6" w:space="0" w:color="auto"/>
              <w:bottom w:val="single" w:sz="6" w:space="0" w:color="auto"/>
              <w:right w:val="single" w:sz="6" w:space="0" w:color="auto"/>
            </w:tcBorders>
          </w:tcPr>
          <w:p w14:paraId="0A7C13E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w:t>
            </w:r>
          </w:p>
          <w:p w14:paraId="5514D12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00" w:type="dxa"/>
            <w:gridSpan w:val="2"/>
            <w:tcBorders>
              <w:top w:val="single" w:sz="6" w:space="0" w:color="auto"/>
              <w:left w:val="single" w:sz="6" w:space="0" w:color="auto"/>
              <w:bottom w:val="single" w:sz="6" w:space="0" w:color="auto"/>
              <w:right w:val="single" w:sz="6" w:space="0" w:color="auto"/>
            </w:tcBorders>
          </w:tcPr>
          <w:p w14:paraId="1AA964A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Удельное давление в кг/см</w:t>
            </w:r>
            <w:r w:rsidRPr="007224C3">
              <w:rPr>
                <w:rFonts w:ascii="Times New Roman" w:hAnsi="Times New Roman"/>
                <w:color w:val="000000" w:themeColor="text1"/>
                <w:sz w:val="16"/>
                <w:szCs w:val="16"/>
                <w:vertAlign w:val="superscript"/>
              </w:rPr>
              <w:t>2</w:t>
            </w:r>
          </w:p>
          <w:p w14:paraId="6F87CC3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gridSpan w:val="2"/>
            <w:tcBorders>
              <w:top w:val="single" w:sz="6" w:space="0" w:color="auto"/>
              <w:left w:val="single" w:sz="6" w:space="0" w:color="auto"/>
              <w:bottom w:val="single" w:sz="6" w:space="0" w:color="auto"/>
              <w:right w:val="single" w:sz="6" w:space="0" w:color="auto"/>
            </w:tcBorders>
          </w:tcPr>
          <w:p w14:paraId="47B30B0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0,93</w:t>
            </w:r>
          </w:p>
          <w:p w14:paraId="3ABA5D9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gridSpan w:val="2"/>
            <w:tcBorders>
              <w:top w:val="single" w:sz="6" w:space="0" w:color="auto"/>
              <w:left w:val="single" w:sz="6" w:space="0" w:color="auto"/>
              <w:bottom w:val="single" w:sz="6" w:space="0" w:color="auto"/>
              <w:right w:val="single" w:sz="6" w:space="0" w:color="auto"/>
            </w:tcBorders>
          </w:tcPr>
          <w:p w14:paraId="1AA61C9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0,95</w:t>
            </w:r>
          </w:p>
          <w:p w14:paraId="71A47EE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gridSpan w:val="2"/>
            <w:tcBorders>
              <w:top w:val="single" w:sz="6" w:space="0" w:color="auto"/>
              <w:left w:val="single" w:sz="6" w:space="0" w:color="auto"/>
              <w:bottom w:val="single" w:sz="6" w:space="0" w:color="auto"/>
              <w:right w:val="single" w:sz="6" w:space="0" w:color="auto"/>
            </w:tcBorders>
          </w:tcPr>
          <w:p w14:paraId="4EA6971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FF991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53A0B64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1,03</w:t>
            </w:r>
          </w:p>
          <w:p w14:paraId="577CF6F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701A43C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0,84</w:t>
            </w:r>
          </w:p>
          <w:p w14:paraId="3AA72D6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single" w:sz="6" w:space="0" w:color="auto"/>
              <w:left w:val="single" w:sz="6" w:space="0" w:color="auto"/>
              <w:bottom w:val="single" w:sz="6" w:space="0" w:color="auto"/>
              <w:right w:val="single" w:sz="6" w:space="0" w:color="auto"/>
            </w:tcBorders>
          </w:tcPr>
          <w:p w14:paraId="3A85382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0,9</w:t>
            </w:r>
          </w:p>
          <w:p w14:paraId="23C846C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7F22B5E" w14:textId="77777777">
        <w:trPr>
          <w:trHeight w:val="230"/>
        </w:trPr>
        <w:tc>
          <w:tcPr>
            <w:tcW w:w="432" w:type="dxa"/>
            <w:gridSpan w:val="2"/>
            <w:tcBorders>
              <w:top w:val="single" w:sz="6" w:space="0" w:color="auto"/>
              <w:left w:val="single" w:sz="6" w:space="0" w:color="auto"/>
              <w:bottom w:val="single" w:sz="6" w:space="0" w:color="auto"/>
              <w:right w:val="single" w:sz="6" w:space="0" w:color="auto"/>
            </w:tcBorders>
          </w:tcPr>
          <w:p w14:paraId="77D757C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w:t>
            </w:r>
          </w:p>
          <w:p w14:paraId="1B4F121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00" w:type="dxa"/>
            <w:gridSpan w:val="2"/>
            <w:tcBorders>
              <w:top w:val="single" w:sz="6" w:space="0" w:color="auto"/>
              <w:left w:val="single" w:sz="6" w:space="0" w:color="auto"/>
              <w:bottom w:val="single" w:sz="6" w:space="0" w:color="auto"/>
              <w:right w:val="single" w:sz="6" w:space="0" w:color="auto"/>
            </w:tcBorders>
          </w:tcPr>
          <w:p w14:paraId="437590A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Преодолеваемый подъем в градусах</w:t>
            </w:r>
          </w:p>
          <w:p w14:paraId="103B85D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gridSpan w:val="2"/>
            <w:tcBorders>
              <w:top w:val="single" w:sz="6" w:space="0" w:color="auto"/>
              <w:left w:val="single" w:sz="6" w:space="0" w:color="auto"/>
              <w:bottom w:val="single" w:sz="6" w:space="0" w:color="auto"/>
              <w:right w:val="single" w:sz="6" w:space="0" w:color="auto"/>
            </w:tcBorders>
          </w:tcPr>
          <w:p w14:paraId="568AC99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w:t>
            </w:r>
          </w:p>
          <w:p w14:paraId="2564BE6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gridSpan w:val="2"/>
            <w:tcBorders>
              <w:top w:val="single" w:sz="6" w:space="0" w:color="auto"/>
              <w:left w:val="single" w:sz="6" w:space="0" w:color="auto"/>
              <w:bottom w:val="single" w:sz="6" w:space="0" w:color="auto"/>
              <w:right w:val="single" w:sz="6" w:space="0" w:color="auto"/>
            </w:tcBorders>
          </w:tcPr>
          <w:p w14:paraId="24E9951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w:t>
            </w:r>
          </w:p>
          <w:p w14:paraId="3009701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gridSpan w:val="2"/>
            <w:tcBorders>
              <w:top w:val="single" w:sz="6" w:space="0" w:color="auto"/>
              <w:left w:val="single" w:sz="6" w:space="0" w:color="auto"/>
              <w:bottom w:val="single" w:sz="6" w:space="0" w:color="auto"/>
              <w:right w:val="single" w:sz="6" w:space="0" w:color="auto"/>
            </w:tcBorders>
          </w:tcPr>
          <w:p w14:paraId="751F03C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33</w:t>
            </w:r>
          </w:p>
          <w:p w14:paraId="41E154D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7C81A57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4B661E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33D6F5C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8A057E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single" w:sz="6" w:space="0" w:color="auto"/>
              <w:left w:val="single" w:sz="6" w:space="0" w:color="auto"/>
              <w:bottom w:val="single" w:sz="6" w:space="0" w:color="auto"/>
              <w:right w:val="single" w:sz="6" w:space="0" w:color="auto"/>
            </w:tcBorders>
          </w:tcPr>
          <w:p w14:paraId="1A58BC4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w:t>
            </w:r>
          </w:p>
          <w:p w14:paraId="593C436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0B4EC4A" w14:textId="77777777">
        <w:trPr>
          <w:trHeight w:val="230"/>
        </w:trPr>
        <w:tc>
          <w:tcPr>
            <w:tcW w:w="432" w:type="dxa"/>
            <w:gridSpan w:val="2"/>
            <w:tcBorders>
              <w:top w:val="single" w:sz="6" w:space="0" w:color="auto"/>
              <w:left w:val="single" w:sz="6" w:space="0" w:color="auto"/>
              <w:bottom w:val="single" w:sz="6" w:space="0" w:color="auto"/>
              <w:right w:val="single" w:sz="6" w:space="0" w:color="auto"/>
            </w:tcBorders>
          </w:tcPr>
          <w:p w14:paraId="20769F6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w:t>
            </w:r>
          </w:p>
          <w:p w14:paraId="01CDD56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00" w:type="dxa"/>
            <w:gridSpan w:val="2"/>
            <w:tcBorders>
              <w:top w:val="single" w:sz="6" w:space="0" w:color="auto"/>
              <w:left w:val="single" w:sz="6" w:space="0" w:color="auto"/>
              <w:bottom w:val="single" w:sz="6" w:space="0" w:color="auto"/>
              <w:right w:val="single" w:sz="6" w:space="0" w:color="auto"/>
            </w:tcBorders>
          </w:tcPr>
          <w:p w14:paraId="5080F05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Предельный крен в градусах</w:t>
            </w:r>
          </w:p>
          <w:p w14:paraId="7D901EB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gridSpan w:val="2"/>
            <w:tcBorders>
              <w:top w:val="single" w:sz="6" w:space="0" w:color="auto"/>
              <w:left w:val="single" w:sz="6" w:space="0" w:color="auto"/>
              <w:bottom w:val="single" w:sz="6" w:space="0" w:color="auto"/>
              <w:right w:val="single" w:sz="6" w:space="0" w:color="auto"/>
            </w:tcBorders>
          </w:tcPr>
          <w:p w14:paraId="1CF7CB7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w:t>
            </w:r>
          </w:p>
          <w:p w14:paraId="694584D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gridSpan w:val="2"/>
            <w:tcBorders>
              <w:top w:val="single" w:sz="6" w:space="0" w:color="auto"/>
              <w:left w:val="single" w:sz="6" w:space="0" w:color="auto"/>
              <w:bottom w:val="single" w:sz="6" w:space="0" w:color="auto"/>
              <w:right w:val="single" w:sz="6" w:space="0" w:color="auto"/>
            </w:tcBorders>
          </w:tcPr>
          <w:p w14:paraId="2B0652E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A701C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gridSpan w:val="2"/>
            <w:tcBorders>
              <w:top w:val="single" w:sz="6" w:space="0" w:color="auto"/>
              <w:left w:val="single" w:sz="6" w:space="0" w:color="auto"/>
              <w:bottom w:val="single" w:sz="6" w:space="0" w:color="auto"/>
              <w:right w:val="single" w:sz="6" w:space="0" w:color="auto"/>
            </w:tcBorders>
          </w:tcPr>
          <w:p w14:paraId="1DFBAF9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w:t>
            </w:r>
          </w:p>
          <w:p w14:paraId="5B8C299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2B23873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0796F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77371B8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827104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single" w:sz="6" w:space="0" w:color="auto"/>
              <w:left w:val="single" w:sz="6" w:space="0" w:color="auto"/>
              <w:bottom w:val="single" w:sz="6" w:space="0" w:color="auto"/>
              <w:right w:val="single" w:sz="6" w:space="0" w:color="auto"/>
            </w:tcBorders>
          </w:tcPr>
          <w:p w14:paraId="2DA8941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w:t>
            </w:r>
          </w:p>
          <w:p w14:paraId="374517F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0AE3EFD" w14:textId="77777777">
        <w:trPr>
          <w:trHeight w:val="230"/>
        </w:trPr>
        <w:tc>
          <w:tcPr>
            <w:tcW w:w="432" w:type="dxa"/>
            <w:gridSpan w:val="2"/>
            <w:tcBorders>
              <w:top w:val="single" w:sz="6" w:space="0" w:color="auto"/>
              <w:left w:val="single" w:sz="6" w:space="0" w:color="auto"/>
              <w:bottom w:val="single" w:sz="6" w:space="0" w:color="auto"/>
              <w:right w:val="single" w:sz="6" w:space="0" w:color="auto"/>
            </w:tcBorders>
          </w:tcPr>
          <w:p w14:paraId="67D9CE5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w:t>
            </w:r>
          </w:p>
          <w:p w14:paraId="29CEACD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00" w:type="dxa"/>
            <w:gridSpan w:val="2"/>
            <w:tcBorders>
              <w:top w:val="single" w:sz="6" w:space="0" w:color="auto"/>
              <w:left w:val="single" w:sz="6" w:space="0" w:color="auto"/>
              <w:bottom w:val="single" w:sz="6" w:space="0" w:color="auto"/>
              <w:right w:val="single" w:sz="6" w:space="0" w:color="auto"/>
            </w:tcBorders>
          </w:tcPr>
          <w:p w14:paraId="78C8780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Преодолеваемый ров в мм</w:t>
            </w:r>
          </w:p>
          <w:p w14:paraId="3DB1CE4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gridSpan w:val="2"/>
            <w:tcBorders>
              <w:top w:val="single" w:sz="6" w:space="0" w:color="auto"/>
              <w:left w:val="single" w:sz="6" w:space="0" w:color="auto"/>
              <w:bottom w:val="single" w:sz="6" w:space="0" w:color="auto"/>
              <w:right w:val="single" w:sz="6" w:space="0" w:color="auto"/>
            </w:tcBorders>
          </w:tcPr>
          <w:p w14:paraId="69427D7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2900</w:t>
            </w:r>
          </w:p>
          <w:p w14:paraId="36D4F12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gridSpan w:val="2"/>
            <w:tcBorders>
              <w:top w:val="single" w:sz="6" w:space="0" w:color="auto"/>
              <w:left w:val="single" w:sz="6" w:space="0" w:color="auto"/>
              <w:bottom w:val="single" w:sz="6" w:space="0" w:color="auto"/>
              <w:right w:val="single" w:sz="6" w:space="0" w:color="auto"/>
            </w:tcBorders>
          </w:tcPr>
          <w:p w14:paraId="2233A58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2800</w:t>
            </w:r>
          </w:p>
          <w:p w14:paraId="32630A4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gridSpan w:val="2"/>
            <w:tcBorders>
              <w:top w:val="single" w:sz="6" w:space="0" w:color="auto"/>
              <w:left w:val="single" w:sz="6" w:space="0" w:color="auto"/>
              <w:bottom w:val="single" w:sz="6" w:space="0" w:color="auto"/>
              <w:right w:val="single" w:sz="6" w:space="0" w:color="auto"/>
            </w:tcBorders>
          </w:tcPr>
          <w:p w14:paraId="1C8D5F5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2200</w:t>
            </w:r>
          </w:p>
          <w:p w14:paraId="7690675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1CDA99A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2700</w:t>
            </w:r>
          </w:p>
          <w:p w14:paraId="0944818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242A72F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89FDF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single" w:sz="6" w:space="0" w:color="auto"/>
              <w:left w:val="single" w:sz="6" w:space="0" w:color="auto"/>
              <w:bottom w:val="single" w:sz="6" w:space="0" w:color="auto"/>
              <w:right w:val="single" w:sz="6" w:space="0" w:color="auto"/>
            </w:tcBorders>
          </w:tcPr>
          <w:p w14:paraId="47E002E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2340</w:t>
            </w:r>
          </w:p>
          <w:p w14:paraId="77DD526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3D30B38" w14:textId="77777777">
        <w:trPr>
          <w:trHeight w:val="230"/>
        </w:trPr>
        <w:tc>
          <w:tcPr>
            <w:tcW w:w="432" w:type="dxa"/>
            <w:gridSpan w:val="2"/>
            <w:tcBorders>
              <w:top w:val="single" w:sz="6" w:space="0" w:color="auto"/>
              <w:left w:val="single" w:sz="6" w:space="0" w:color="auto"/>
              <w:bottom w:val="single" w:sz="6" w:space="0" w:color="auto"/>
              <w:right w:val="single" w:sz="6" w:space="0" w:color="auto"/>
            </w:tcBorders>
          </w:tcPr>
          <w:p w14:paraId="37B32B2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w:t>
            </w:r>
          </w:p>
          <w:p w14:paraId="6F8C512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00" w:type="dxa"/>
            <w:gridSpan w:val="2"/>
            <w:tcBorders>
              <w:top w:val="single" w:sz="6" w:space="0" w:color="auto"/>
              <w:left w:val="single" w:sz="6" w:space="0" w:color="auto"/>
              <w:bottom w:val="single" w:sz="6" w:space="0" w:color="auto"/>
              <w:right w:val="single" w:sz="6" w:space="0" w:color="auto"/>
            </w:tcBorders>
          </w:tcPr>
          <w:p w14:paraId="75137CB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Преодолеваемая вертикальная стенка в мм</w:t>
            </w:r>
          </w:p>
          <w:p w14:paraId="07A3A5F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gridSpan w:val="2"/>
            <w:tcBorders>
              <w:top w:val="single" w:sz="6" w:space="0" w:color="auto"/>
              <w:left w:val="single" w:sz="6" w:space="0" w:color="auto"/>
              <w:bottom w:val="single" w:sz="6" w:space="0" w:color="auto"/>
              <w:right w:val="single" w:sz="6" w:space="0" w:color="auto"/>
            </w:tcBorders>
          </w:tcPr>
          <w:p w14:paraId="2C238EF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1160</w:t>
            </w:r>
          </w:p>
          <w:p w14:paraId="6B313C9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gridSpan w:val="2"/>
            <w:tcBorders>
              <w:top w:val="single" w:sz="6" w:space="0" w:color="auto"/>
              <w:left w:val="single" w:sz="6" w:space="0" w:color="auto"/>
              <w:bottom w:val="single" w:sz="6" w:space="0" w:color="auto"/>
              <w:right w:val="single" w:sz="6" w:space="0" w:color="auto"/>
            </w:tcBorders>
          </w:tcPr>
          <w:p w14:paraId="5AEEBEB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417DD3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gridSpan w:val="2"/>
            <w:tcBorders>
              <w:top w:val="single" w:sz="6" w:space="0" w:color="auto"/>
              <w:left w:val="single" w:sz="6" w:space="0" w:color="auto"/>
              <w:bottom w:val="single" w:sz="6" w:space="0" w:color="auto"/>
              <w:right w:val="single" w:sz="6" w:space="0" w:color="auto"/>
            </w:tcBorders>
          </w:tcPr>
          <w:p w14:paraId="728EFD5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750</w:t>
            </w:r>
          </w:p>
          <w:p w14:paraId="7299FBC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185DB16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6C873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278C93B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0C811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single" w:sz="6" w:space="0" w:color="auto"/>
              <w:left w:val="single" w:sz="6" w:space="0" w:color="auto"/>
              <w:bottom w:val="single" w:sz="6" w:space="0" w:color="auto"/>
              <w:right w:val="single" w:sz="6" w:space="0" w:color="auto"/>
            </w:tcBorders>
          </w:tcPr>
          <w:p w14:paraId="15C046F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710</w:t>
            </w:r>
          </w:p>
          <w:p w14:paraId="0C701B4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266700F" w14:textId="77777777">
        <w:trPr>
          <w:trHeight w:val="250"/>
        </w:trPr>
        <w:tc>
          <w:tcPr>
            <w:tcW w:w="432" w:type="dxa"/>
            <w:gridSpan w:val="2"/>
            <w:tcBorders>
              <w:top w:val="single" w:sz="6" w:space="0" w:color="auto"/>
              <w:left w:val="single" w:sz="6" w:space="0" w:color="auto"/>
              <w:bottom w:val="single" w:sz="6" w:space="0" w:color="auto"/>
              <w:right w:val="single" w:sz="6" w:space="0" w:color="auto"/>
            </w:tcBorders>
          </w:tcPr>
          <w:p w14:paraId="1262456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w:t>
            </w:r>
          </w:p>
          <w:p w14:paraId="5F0E378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00" w:type="dxa"/>
            <w:gridSpan w:val="2"/>
            <w:tcBorders>
              <w:top w:val="single" w:sz="6" w:space="0" w:color="auto"/>
              <w:left w:val="single" w:sz="6" w:space="0" w:color="auto"/>
              <w:bottom w:val="single" w:sz="6" w:space="0" w:color="auto"/>
              <w:right w:val="single" w:sz="6" w:space="0" w:color="auto"/>
            </w:tcBorders>
          </w:tcPr>
          <w:p w14:paraId="3F74C9C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Преодолеваемый брод в мм</w:t>
            </w:r>
          </w:p>
          <w:p w14:paraId="7E6C9BD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gridSpan w:val="2"/>
            <w:tcBorders>
              <w:top w:val="single" w:sz="6" w:space="0" w:color="auto"/>
              <w:left w:val="single" w:sz="6" w:space="0" w:color="auto"/>
              <w:bottom w:val="single" w:sz="6" w:space="0" w:color="auto"/>
              <w:right w:val="single" w:sz="6" w:space="0" w:color="auto"/>
            </w:tcBorders>
          </w:tcPr>
          <w:p w14:paraId="27A2B5A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1200</w:t>
            </w:r>
          </w:p>
          <w:p w14:paraId="281FDD4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gridSpan w:val="2"/>
            <w:tcBorders>
              <w:top w:val="single" w:sz="6" w:space="0" w:color="auto"/>
              <w:left w:val="single" w:sz="6" w:space="0" w:color="auto"/>
              <w:bottom w:val="single" w:sz="6" w:space="0" w:color="auto"/>
              <w:right w:val="single" w:sz="6" w:space="0" w:color="auto"/>
            </w:tcBorders>
          </w:tcPr>
          <w:p w14:paraId="6979A2B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900</w:t>
            </w:r>
          </w:p>
          <w:p w14:paraId="7A636AB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gridSpan w:val="2"/>
            <w:tcBorders>
              <w:top w:val="single" w:sz="6" w:space="0" w:color="auto"/>
              <w:left w:val="single" w:sz="6" w:space="0" w:color="auto"/>
              <w:bottom w:val="single" w:sz="6" w:space="0" w:color="auto"/>
              <w:right w:val="single" w:sz="6" w:space="0" w:color="auto"/>
            </w:tcBorders>
          </w:tcPr>
          <w:p w14:paraId="5300F4F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1000</w:t>
            </w:r>
          </w:p>
          <w:p w14:paraId="66C1D07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3466417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1700-5000</w:t>
            </w:r>
          </w:p>
          <w:p w14:paraId="51E93CF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7BD5341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D3D089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single" w:sz="6" w:space="0" w:color="auto"/>
              <w:left w:val="single" w:sz="6" w:space="0" w:color="auto"/>
              <w:bottom w:val="single" w:sz="6" w:space="0" w:color="auto"/>
              <w:right w:val="single" w:sz="6" w:space="0" w:color="auto"/>
            </w:tcBorders>
          </w:tcPr>
          <w:p w14:paraId="697F4A6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1000</w:t>
            </w:r>
          </w:p>
          <w:p w14:paraId="5356C23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6EE5B76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38. Оп. 11355. Д. 2182. Л. 54. Подлинник (11403).</w:t>
      </w:r>
    </w:p>
    <w:p w14:paraId="7DB8EC7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A2B98A5" w14:textId="77777777" w:rsidR="00315AAD" w:rsidRPr="007224C3" w:rsidRDefault="00315AAD" w:rsidP="007224C3">
      <w:pPr>
        <w:pStyle w:val="1131"/>
        <w:shd w:val="clear" w:color="auto" w:fill="auto"/>
        <w:spacing w:line="240" w:lineRule="auto"/>
        <w:ind w:firstLine="0"/>
        <w:rPr>
          <w:rStyle w:val="600"/>
          <w:rFonts w:ascii="Times New Roman" w:hAnsi="Times New Roman" w:cs="Times New Roman"/>
          <w:color w:val="0070C0"/>
          <w:sz w:val="16"/>
          <w:szCs w:val="16"/>
        </w:rPr>
      </w:pPr>
      <w:r w:rsidRPr="007224C3">
        <w:rPr>
          <w:rStyle w:val="600"/>
          <w:rFonts w:ascii="Times New Roman" w:hAnsi="Times New Roman" w:cs="Times New Roman"/>
          <w:color w:val="0070C0"/>
          <w:sz w:val="16"/>
          <w:szCs w:val="16"/>
        </w:rPr>
        <w:t xml:space="preserve">13 апреля 1944 года </w:t>
      </w:r>
      <w:r w:rsidRPr="007224C3">
        <w:rPr>
          <w:rStyle w:val="600"/>
          <w:rFonts w:ascii="Times New Roman" w:hAnsi="Times New Roman" w:cs="Times New Roman"/>
          <w:color w:val="0070C0"/>
          <w:sz w:val="16"/>
          <w:szCs w:val="16"/>
          <w:lang w:val="ru-RU"/>
        </w:rPr>
        <w:t>вышел</w:t>
      </w:r>
      <w:r w:rsidRPr="007224C3">
        <w:rPr>
          <w:rStyle w:val="600"/>
          <w:rFonts w:ascii="Times New Roman" w:hAnsi="Times New Roman" w:cs="Times New Roman"/>
          <w:color w:val="0070C0"/>
          <w:sz w:val="16"/>
          <w:szCs w:val="16"/>
        </w:rPr>
        <w:t xml:space="preserve"> при</w:t>
      </w:r>
      <w:r w:rsidRPr="007224C3">
        <w:rPr>
          <w:rStyle w:val="600"/>
          <w:rFonts w:ascii="Times New Roman" w:hAnsi="Times New Roman" w:cs="Times New Roman"/>
          <w:color w:val="0070C0"/>
          <w:sz w:val="16"/>
          <w:szCs w:val="16"/>
        </w:rPr>
        <w:softHyphen/>
        <w:t xml:space="preserve">каз по НКТП № 226сс, </w:t>
      </w:r>
      <w:r w:rsidRPr="007224C3">
        <w:rPr>
          <w:rStyle w:val="600"/>
          <w:rFonts w:ascii="Times New Roman" w:hAnsi="Times New Roman" w:cs="Times New Roman"/>
          <w:color w:val="0070C0"/>
          <w:sz w:val="16"/>
          <w:szCs w:val="16"/>
          <w:lang w:val="ru-RU"/>
        </w:rPr>
        <w:t xml:space="preserve">который </w:t>
      </w:r>
      <w:r w:rsidRPr="007224C3">
        <w:rPr>
          <w:rStyle w:val="600"/>
          <w:rFonts w:ascii="Times New Roman" w:hAnsi="Times New Roman" w:cs="Times New Roman"/>
          <w:color w:val="0070C0"/>
          <w:sz w:val="16"/>
          <w:szCs w:val="16"/>
        </w:rPr>
        <w:t>содержал 20 пунктов переделок</w:t>
      </w:r>
      <w:r w:rsidRPr="007224C3">
        <w:rPr>
          <w:rStyle w:val="600"/>
          <w:rFonts w:ascii="Times New Roman" w:hAnsi="Times New Roman" w:cs="Times New Roman"/>
          <w:color w:val="0070C0"/>
          <w:sz w:val="16"/>
          <w:szCs w:val="16"/>
          <w:lang w:val="ru-RU"/>
        </w:rPr>
        <w:t xml:space="preserve"> ИС-2</w:t>
      </w:r>
      <w:r w:rsidRPr="007224C3">
        <w:rPr>
          <w:rStyle w:val="600"/>
          <w:rFonts w:ascii="Times New Roman" w:hAnsi="Times New Roman" w:cs="Times New Roman"/>
          <w:color w:val="0070C0"/>
          <w:sz w:val="16"/>
          <w:szCs w:val="16"/>
        </w:rPr>
        <w:t>. Некоторые из них имели прямое отношение к «Объекту 701». От этой машины использовалась установка радиатора, привод к радиатору, поворотный механизм башни и погонное устройство. Спрямленный нос корпуса из катаной брони толщиной 90 мм, либо 100-мм литой брони, изготовлялся по типу «Объекта 701». По его же подобию про</w:t>
      </w:r>
      <w:r w:rsidRPr="007224C3">
        <w:rPr>
          <w:rStyle w:val="600"/>
          <w:rFonts w:ascii="Times New Roman" w:hAnsi="Times New Roman" w:cs="Times New Roman"/>
          <w:color w:val="0070C0"/>
          <w:sz w:val="16"/>
          <w:szCs w:val="16"/>
        </w:rPr>
        <w:softHyphen/>
        <w:t>ектировалась башня: от новой машины бра</w:t>
      </w:r>
      <w:r w:rsidRPr="007224C3">
        <w:rPr>
          <w:rStyle w:val="600"/>
          <w:rFonts w:ascii="Times New Roman" w:hAnsi="Times New Roman" w:cs="Times New Roman"/>
          <w:color w:val="0070C0"/>
          <w:sz w:val="16"/>
          <w:szCs w:val="16"/>
        </w:rPr>
        <w:softHyphen/>
        <w:t>лись командирская башенка и система выемки орудия через специальный люк в крыше. Вы</w:t>
      </w:r>
      <w:r w:rsidRPr="007224C3">
        <w:rPr>
          <w:rStyle w:val="600"/>
          <w:rFonts w:ascii="Times New Roman" w:hAnsi="Times New Roman" w:cs="Times New Roman"/>
          <w:color w:val="0070C0"/>
          <w:sz w:val="16"/>
          <w:szCs w:val="16"/>
        </w:rPr>
        <w:softHyphen/>
        <w:t>хлопные трубы предполагалось перенести на верхний кормовой лист - как у Т-34. Такое ре</w:t>
      </w:r>
      <w:r w:rsidRPr="007224C3">
        <w:rPr>
          <w:rStyle w:val="600"/>
          <w:rFonts w:ascii="Times New Roman" w:hAnsi="Times New Roman" w:cs="Times New Roman"/>
          <w:color w:val="0070C0"/>
          <w:sz w:val="16"/>
          <w:szCs w:val="16"/>
        </w:rPr>
        <w:softHyphen/>
        <w:t>шение полностью исключало риск попадания выхлопных газов в воздухозаборники.</w:t>
      </w:r>
      <w:r w:rsidRPr="007224C3">
        <w:rPr>
          <w:rStyle w:val="600"/>
          <w:rFonts w:ascii="Times New Roman" w:hAnsi="Times New Roman" w:cs="Times New Roman"/>
          <w:color w:val="0070C0"/>
          <w:sz w:val="16"/>
          <w:szCs w:val="16"/>
          <w:lang w:val="ru-RU"/>
        </w:rPr>
        <w:t xml:space="preserve"> </w:t>
      </w:r>
      <w:r w:rsidRPr="007224C3">
        <w:rPr>
          <w:rStyle w:val="600"/>
          <w:rFonts w:ascii="Times New Roman" w:hAnsi="Times New Roman" w:cs="Times New Roman"/>
          <w:color w:val="0070C0"/>
          <w:sz w:val="16"/>
          <w:szCs w:val="16"/>
        </w:rPr>
        <w:t>Работы по модернизации взяло на себя ОКБ завода № 100</w:t>
      </w:r>
      <w:r w:rsidRPr="007224C3">
        <w:rPr>
          <w:rStyle w:val="600"/>
          <w:rFonts w:ascii="Times New Roman" w:hAnsi="Times New Roman" w:cs="Times New Roman"/>
          <w:color w:val="0070C0"/>
          <w:sz w:val="16"/>
          <w:szCs w:val="16"/>
          <w:lang w:val="ru-RU"/>
        </w:rPr>
        <w:t xml:space="preserve"> (19880)</w:t>
      </w:r>
      <w:r w:rsidRPr="007224C3">
        <w:rPr>
          <w:rStyle w:val="600"/>
          <w:rFonts w:ascii="Times New Roman" w:hAnsi="Times New Roman" w:cs="Times New Roman"/>
          <w:color w:val="0070C0"/>
          <w:sz w:val="16"/>
          <w:szCs w:val="16"/>
        </w:rPr>
        <w:t xml:space="preserve">. </w:t>
      </w:r>
    </w:p>
    <w:p w14:paraId="758BDD9C" w14:textId="77777777" w:rsidR="00315AAD" w:rsidRPr="007224C3" w:rsidRDefault="00315AAD" w:rsidP="007224C3">
      <w:pPr>
        <w:pStyle w:val="1131"/>
        <w:shd w:val="clear" w:color="auto" w:fill="auto"/>
        <w:spacing w:line="240" w:lineRule="auto"/>
        <w:ind w:firstLine="0"/>
        <w:rPr>
          <w:rStyle w:val="600"/>
          <w:rFonts w:ascii="Times New Roman" w:hAnsi="Times New Roman" w:cs="Times New Roman"/>
          <w:color w:val="0070C0"/>
          <w:sz w:val="16"/>
          <w:szCs w:val="16"/>
        </w:rPr>
      </w:pPr>
    </w:p>
    <w:p w14:paraId="3A545E2F"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апреля 1944 вышло Постановление ГКО № 5621 О сформировании двух эксплуатационных жел.-дор. бригад в составе шести эксплуатационных железнодорожных полков. (7210, 131-132).</w:t>
      </w:r>
    </w:p>
    <w:p w14:paraId="51ADF987"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A4AA2B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апреля 1944 вышло Распоряжение ГКО № 5622. О дополнительной мобилизации 2550 чел. в Белоруссии на торфоразработки. РГАНИР, Фонд ГКО, д. 234, лл. 133 (11012).</w:t>
      </w:r>
    </w:p>
    <w:p w14:paraId="3C4FE9F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0CF932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апреля 1944 вышло Распоряжение ГКО № 5623. О поставках топлива горьковским электростанциям. РГАНИР, Фонд ГКО, д. 234, лл. 134-135 (11012).</w:t>
      </w:r>
    </w:p>
    <w:p w14:paraId="164C302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3DF455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апреля 1944 вышло Постановление ГКО № 5624 Об отпуске продовольственных, госпитальных и фуражных пайков для Красной Армии, Военно-Морского Флота и войск НКВД в апреле 1944 г. РГАНИР, Фонд ГКО, д. 234, лл. 136-138,139-140 (11012).</w:t>
      </w:r>
    </w:p>
    <w:p w14:paraId="2774154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B609271"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32DED07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8F14AA4" w14:textId="77777777" w:rsidR="006B4CCE" w:rsidRPr="007224C3" w:rsidRDefault="006B4CC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апреля в 1944 году оперативная сводка Совинформбюро:</w:t>
      </w:r>
    </w:p>
    <w:p w14:paraId="4BC93963" w14:textId="77777777" w:rsidR="006B4CCE" w:rsidRPr="007224C3" w:rsidRDefault="006B4CC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13 апреля юго-западнее города Одесса наши войска в результате упорных боёв овладели районным центром Одесской области Овидиополь, населёнными пунктами Скурты, Молдова, Барабой, Санжийка, Томашевка, Дальник, Новый Посёлок, Грибовка и железнодорожными станциями Барабой, Овидиополь.</w:t>
      </w:r>
    </w:p>
    <w:p w14:paraId="01AB7392" w14:textId="77777777" w:rsidR="006B4CCE" w:rsidRPr="007224C3" w:rsidRDefault="006B4CC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4-го Украинского фронта, развивая наступление, 13 апреля в результате стремительной атаки танковых соединений и пехоты овладели столицей Крыма городом Симферополь — основным опорным пунктом обороны противника, прикрывающим пути к портам южного побережья Крымского полуострова, городом и портом на Чёрном море Евпатория — важным опорным пунктом обороны немцев на западном побережье Крыма, а также с боями заняли более 500 других населённых пунктов, в том числе районные центры Крыма Джурчи, Ак-Шейх, крупные населённые пункты Новый Кизил-Бай, Атай, Кара-Най-Ман, Коджамбак, Константиновка, Эски-Али-Кечь, Биюк Бузав, Фрилинг, Бютень, Спат, Сарабуз Болгарский, Анновка, Табулды, Ново-Царицыно ижелезнодорожные станции Китай, Сарабуз, Кара-Кият. Отступая под ударами наших войск, противник несёт большие потери в живой силе и технике. По предварительным данным, к исходу 12 апреля войсками 4-го Украинского фронта захвачено в плен свыше 11.000 солдат и офицеров противника.</w:t>
      </w:r>
    </w:p>
    <w:p w14:paraId="297D4B08" w14:textId="77777777" w:rsidR="006B4CCE" w:rsidRPr="007224C3" w:rsidRDefault="006B4CC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Отдельной Приморской армии прорвали оборону противника на Ак-Монайских позициях и, развивая наступление, 13 апреля овладели городом и портом на Чёрном море Феодосия — важным опорным пунктом обороны немцев на юго-восточном побережье Крыма, а также с боями заняли более 100 других населённых пунктов, в том числе районные центры Крыма — город Старый Крым, Ислам-Терек, узловую железнодорожную станцию Владиславовка, крупные населённые пункты Семёновка, Новый Карабай, Найман, Изюмовка, колония Болгарская, Коктебель и железнодорожные станции Сарыголь, Ислам-Терек, Киличи.</w:t>
      </w:r>
    </w:p>
    <w:p w14:paraId="46B44514" w14:textId="77777777" w:rsidR="006B4CCE" w:rsidRPr="007224C3" w:rsidRDefault="006B4CC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предварительным данным, к исходу 12 апреля войсками Отдельной Приморской армии взято в плен более 9.000 солдат и офицеров противника.</w:t>
      </w:r>
    </w:p>
    <w:p w14:paraId="0CCAF293" w14:textId="77777777" w:rsidR="006B4CCE" w:rsidRPr="007224C3" w:rsidRDefault="006B4CC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бои местного значения.</w:t>
      </w:r>
    </w:p>
    <w:p w14:paraId="60C8B0DD" w14:textId="77777777" w:rsidR="006B4CCE" w:rsidRPr="007224C3" w:rsidRDefault="006B4CC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12 апреля наши войска на всех фронтах подбили и уничтожили 35 немецких танков. В воздушных боях и огнём зенитной артиллерии сбито 38 самолётов противника.</w:t>
      </w:r>
    </w:p>
    <w:p w14:paraId="0E3608B9" w14:textId="77777777" w:rsidR="006B4CCE" w:rsidRPr="007224C3" w:rsidRDefault="006B4CC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города Одесса наши войска продолжали наступление. В результате ожесточённых боёв советские войска овладели районным центром Одесской области Овидиополь и рядом других населённых пунктов. Остатки разбитых частей противника прижаты к Днестровскому лиману и непрерывно подвергаются обстрелу советской артиллерии. Наша авиация днём и ночью бомбардировала и штурмовала скопления живой силы, автотранспорта и железнодорожные эшелоны противника у переправы Бугазский маяк и на железнодорожной станции Аккерман. Советские лётчики разбили два железнодорожных эшелона, взорвали много вагонов, уничтожили до 100 автомашин и потопили несколько катеров и понтонов с войсками противника.</w:t>
      </w:r>
    </w:p>
    <w:p w14:paraId="49F94D0A" w14:textId="77777777" w:rsidR="006B4CCE" w:rsidRPr="007224C3" w:rsidRDefault="006B4CC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4-го Украинского фронта продолжали успешное наступление. Противник пытался любой ценой удержать в своих руках город Симферополь, прикрывающий пути к южным портам Крыма. Немецкое командование подтянуло к Симферополю части, ещё не участвовавшие в боях. Однако гитлеровцы не устояли против натиска советских войск. Наши танковые соединения и пехота овладели селом Сарабуз Болгарский и одновременно с нескольких направлений атаковали противника, оборонявшего Симферополь. Специальные отряды немецкой полевой жандармерии останавливали отступавших в панике немецких солдат и расстреливали их на месте. Но и эти драконовские меры не помогли. Немецкому командованию не удалось навести порядок и организовать сколько-нибудь длительное сопротивление. Наши войска сломили сопротивление противника и сегодня днём овладели столицей Крыма городом Симферополь. Захвачены большие трофеи, в том числе 10 железнодорожных эшелонов с вооружением, боеприпасами и военным имуществом. Другие наши части, преследуя разгромленные немецкие и румынские войска, продвинулись вперёд более чем на 60 километров и ночным штурмом заняли город и порт Евпатория. В этом районе уничтожено до 2.000 гитлеровцев. Захвачено у немцев 70 орудий, 200 пулемётов, 69 миномётов, свыше 400 автомашин и повозок, несколько окладов с боеприпасами и военным имуществом. Количество трофеев и пленных ежечасно возрастает.</w:t>
      </w:r>
    </w:p>
    <w:p w14:paraId="7C0D5C6F" w14:textId="77777777" w:rsidR="006B4CCE" w:rsidRPr="007224C3" w:rsidRDefault="006B4CC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Отдельной Приморской армии сломили сопротивление немцев на Ак-Монайских позициях и, преследуя их по пятам, ворвались в Феодосию. После непродолжительных уличных боёв наши бойцы овладели городом и портом Феодосия. Продолжая наступление, советские танкисты и пехотинцы быстро продвигаются на запад и по юго-восточному побережью Крыма. Несколько объединившихся партизанских отрядов, содействуя войскам Красной Армии, ворвались в город Старый Крым и отрезали пути отхода вражеским частям, в панике отступавшим из Феодосии. Совместными ударами советские бойцы и партизаны полностью разгромили эту группировку противника. Много немцев и румын сложило оружие и сдалось в плен. Захвачено 20 танков, 220 орудий и миномётов, 370 пулемётов, 3.000 лошадей, крупные склады с вооружением, боеприпасами и продовольствием. Все попытки противника закрепиться на промежуточных рубежах были сорваны стремительными действиями наших подвижных частей.</w:t>
      </w:r>
    </w:p>
    <w:p w14:paraId="27A00C6E" w14:textId="77777777" w:rsidR="006B4CCE" w:rsidRPr="007224C3" w:rsidRDefault="006B4CC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Группа торпедных катеров Черноморского флота обнаружила у западного побережья Крыма две быстроходные десантные баржи противника, шедшие под охраной 15 сторожевых и торпедных катеров. Несмотря на значительное численное превосходство противника, советские торпедные катеры атаковали вражеские суда и, умело маневрируя, потопили быстроходную десантную баржу и сторожевой катер.</w:t>
      </w:r>
    </w:p>
    <w:p w14:paraId="4209A669" w14:textId="77777777" w:rsidR="006B4CCE" w:rsidRPr="007224C3" w:rsidRDefault="006B4CC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порту южного побережья Крыма лётчики Черноморского флота потопили быстроходную десантную баржу противника.</w:t>
      </w:r>
    </w:p>
    <w:p w14:paraId="0741EACE" w14:textId="77777777" w:rsidR="006B4CCE" w:rsidRPr="007224C3" w:rsidRDefault="006B4CC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Несколько белорусских партизанских отрядов, действующих в Барановичской области, за семь дней пустили под откос 13 немецких воинских эшелонов. В результате крушений уничтожено 11 паровозов, 7 цистерн с горючим, 80 вагонов и15 платформ с грузами. Партизаны отряда имени Дзержинского напали на немецкий </w:t>
      </w:r>
      <w:r w:rsidRPr="007224C3">
        <w:rPr>
          <w:rFonts w:ascii="Times New Roman" w:hAnsi="Times New Roman"/>
          <w:color w:val="000000" w:themeColor="text1"/>
          <w:sz w:val="16"/>
          <w:szCs w:val="16"/>
        </w:rPr>
        <w:lastRenderedPageBreak/>
        <w:t>карательный отряд. Партизаны истребили 80 гитлеровцев и освободили мирных советских граждан, которых немцы угоняли на каторгу в Германию. В другом районе советские патриоты взорвали 700 рельсов и вырезали 21 километр телеграфно-телефонной линии связи.» (15098).</w:t>
      </w:r>
    </w:p>
    <w:p w14:paraId="06D9A074" w14:textId="77777777" w:rsidR="006B4CCE" w:rsidRPr="007224C3" w:rsidRDefault="006B4CCE" w:rsidP="007224C3">
      <w:pPr>
        <w:spacing w:after="0" w:line="240" w:lineRule="auto"/>
        <w:jc w:val="both"/>
        <w:rPr>
          <w:rFonts w:ascii="Times New Roman" w:hAnsi="Times New Roman"/>
          <w:color w:val="000000" w:themeColor="text1"/>
          <w:sz w:val="16"/>
          <w:szCs w:val="16"/>
        </w:rPr>
      </w:pPr>
    </w:p>
    <w:p w14:paraId="65ED3DC8" w14:textId="77777777" w:rsidR="006B4CCE" w:rsidRPr="007224C3" w:rsidRDefault="006B4CC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апреля в 1944 году оперативная сводка Совинформбюро:</w:t>
      </w:r>
    </w:p>
    <w:p w14:paraId="596811F9" w14:textId="77777777" w:rsidR="006B4CCE" w:rsidRPr="007224C3" w:rsidRDefault="006B4CC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13 апреля юго-западнее города Одесса наши войска в результате упорных боёв овладели районным центром Одесской области Овидиополь, населёнными пунктами Скурты, Молдова, Барабой, Санжийка, Томашевка, Дальник, Новый Посёлок, Грибовка и железнодорожными станциями Барабой, Овидиополь.</w:t>
      </w:r>
    </w:p>
    <w:p w14:paraId="08866204" w14:textId="77777777" w:rsidR="006B4CCE" w:rsidRPr="007224C3" w:rsidRDefault="006B4CC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4-го Украинского фронта, развивая наступление, 13 апреля в результате стремительной атаки танковых соединений и пехоты овладели столицей Крыма городом Симферополь — основным опорным пунктом обороны противника, прикрывающим пути к портам южного побережья Крымского полуострова, городом и портом на Чёрном море Евпатория — важным опорным пунктом обороны немцев на западном побережье Крыма, а также с боями заняли более 500 других населённых пунктов, в том числе районные центры Крыма Джурчи, Ак-Шейх, крупные населённые пункты Новый Кизил-Бай, Атай, Кара-Най-Ман, Коджамбак, Константиновка, Эски-Али-Кечь, Биюк Бузав, Фрилинг, Бютень, Спат, Сарабуз Болгарский, Анновка, Табулды, Ново-Царицыно ижелезнодорожные станции Китай, Сарабуз, Кара-Кият. Отступая под ударами наших войск, противник несёт большие потери в живой силе и технике. По предварительным данным, к исходу 12 апреля войсками 4-го Украинского фронта захвачено в плен свыше 11.000 солдат и офицеров противника.</w:t>
      </w:r>
    </w:p>
    <w:p w14:paraId="266ADDCA" w14:textId="77777777" w:rsidR="006B4CCE" w:rsidRPr="007224C3" w:rsidRDefault="006B4CC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Отдельной Приморской армии прорвали оборону противника на Ак-Монайских позициях и, развивая наступление, 13 апреля овладели городом и портом на Чёрном море Феодосия — важным опорным пунктом обороны немцев на юго-восточном побережье Крыма, а также с боями заняли более 100 других населённых пунктов, в том числе районные центры Крыма — город Старый Крым, Ислам-Терек, узловую железнодорожную станцию Владиславовка, крупные населённые пункты Семёновка, Новый Карабай, Найман, Изюмовка, колония Болгарская, Коктебель и железнодорожные станции Сарыголь, Ислам-Терек, Киличи.</w:t>
      </w:r>
    </w:p>
    <w:p w14:paraId="6CCB59E8" w14:textId="77777777" w:rsidR="006B4CCE" w:rsidRPr="007224C3" w:rsidRDefault="006B4CC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предварительным данным, к исходу 12 апреля войсками Отдельной Приморской армии взято в плен более 9.000 солдат и офицеров противника.</w:t>
      </w:r>
    </w:p>
    <w:p w14:paraId="50451D14" w14:textId="77777777" w:rsidR="006B4CCE" w:rsidRPr="007224C3" w:rsidRDefault="006B4CC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бои местного значения.</w:t>
      </w:r>
    </w:p>
    <w:p w14:paraId="06797597" w14:textId="77777777" w:rsidR="006B4CCE" w:rsidRPr="007224C3" w:rsidRDefault="006B4CC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12 апреля наши войска на всех фронтах подбили и уничтожили 35 немецких танков. В воздушных боях и огнём зенитной артиллерии сбито 38 самолётов противника.</w:t>
      </w:r>
    </w:p>
    <w:p w14:paraId="7CA0D5DA" w14:textId="77777777" w:rsidR="006B4CCE" w:rsidRPr="007224C3" w:rsidRDefault="006B4CC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города Одесса наши войска продолжали наступление. В результате ожесточённых боёв советские войска овладели районным центром Одесской области Овидиополь и рядом других населённых пунктов. Остатки разбитых частей противника прижаты к Днестровскому лиману и непрерывно подвергаются обстрелу советской артиллерии. Наша авиация днём и ночью бомбардировала и штурмовала скопления живой силы, автотранспорта и железнодорожные эшелоны противника у переправы Бугазский маяк и на железнодорожной станции Аккерман. Советские лётчики разбили два железнодорожных эшелона, взорвали много вагонов, уничтожили до 100 автомашин и потопили несколько катеров и понтонов с войсками противника.</w:t>
      </w:r>
    </w:p>
    <w:p w14:paraId="41390EA5" w14:textId="77777777" w:rsidR="006B4CCE" w:rsidRPr="007224C3" w:rsidRDefault="006B4CC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4-го Украинского фронта продолжали успешное наступление. Противник пытался любой ценой удержать в своих руках город Симферополь, прикрывающий пути к южным портам Крыма. Немецкое командование подтянуло к Симферополю части, ещё не участвовавшие в боях. Однако гитлеровцы не устояли против натиска советских войск. Наши танковые соединения и пехота овладели селом Сарабуз Болгарский и одновременно с нескольких направлений атаковали противника, оборонявшего Симферополь. Специальные отряды немецкой полевой жандармерии останавливали отступавших в панике немецких солдат и расстреливали их на месте. Но и эти драконовские меры не помогли. Немецкому командованию не удалось навести порядок и организовать сколько-нибудь длительное сопротивление. Наши войска сломили сопротивление противника и сегодня днём овладели столицей Крыма городом Симферополь. Захвачены большие трофеи, в том числе 10 железнодорожных эшелонов с вооружением, боеприпасами и военным имуществом. Другие наши части, преследуя разгромленные немецкие и румынские войска, продвинулись вперёд более чем на 60 километров и ночным штурмом заняли город и порт Евпатория. В этом районе уничтожено до 2.000 гитлеровцев. Захвачено у немцев 70 орудий, 200 пулемётов, 69 миномётов, свыше 400 автомашин и повозок, несколько окладов с боеприпасами и военным имуществом. Количество трофеев и пленных ежечасно возрастает.</w:t>
      </w:r>
    </w:p>
    <w:p w14:paraId="44F3B2EC" w14:textId="77777777" w:rsidR="006B4CCE" w:rsidRPr="007224C3" w:rsidRDefault="006B4CC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Отдельной Приморской армии сломили сопротивление немцев на Ак-Монайских позициях и, преследуя их по пятам, ворвались в Феодосию. После непродолжительных уличных боёв наши бойцы овладели городом и портом Феодосия. Продолжая наступление, советские танкисты и пехотинцы быстро продвигаются на запад и по юго-восточному побережью Крыма. Несколько объединившихся партизанских отрядов, содействуя войскам Красной Армии, ворвались в город Старый Крым и отрезали пути отхода вражеским частям, в панике отступавшим из Феодосии. Совместными ударами советские бойцы и партизаны полностью разгромили эту группировку противника. Много немцев и румын сложило оружие и сдалось в плен. Захвачено 20 танков, 220 орудий и миномётов, 370 пулемётов, 3.000 лошадей, крупные склады с вооружением, боеприпасами и продовольствием. Все попытки противника закрепиться на промежуточных рубежах были сорваны стремительными действиями наших подвижных частей.</w:t>
      </w:r>
    </w:p>
    <w:p w14:paraId="5423DF8D" w14:textId="77777777" w:rsidR="006B4CCE" w:rsidRPr="007224C3" w:rsidRDefault="006B4CC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Группа торпедных катеров Черноморского флота обнаружила у западного побережья Крыма две быстроходные десантные баржи противника, шедшие под охраной 15 сторожевых и торпедных катеров. Несмотря на значительное численное превосходство противника, советские торпедные катеры атаковали вражеские суда и, умело маневрируя, потопили быстроходную десантную баржу и сторожевой катер.</w:t>
      </w:r>
    </w:p>
    <w:p w14:paraId="7F43F990" w14:textId="77777777" w:rsidR="006B4CCE" w:rsidRPr="007224C3" w:rsidRDefault="006B4CC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порту южного побережья Крыма лётчики Черноморского флота потопили быстроходную десантную баржу противника.</w:t>
      </w:r>
    </w:p>
    <w:p w14:paraId="6DCA053E" w14:textId="77777777" w:rsidR="006B4CCE" w:rsidRPr="007224C3" w:rsidRDefault="006B4CC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Несколько белорусских партизанских отрядов, действующих в Барановичской области, за семь дней пустили под откос 13 немецких воинских эшелонов. В результате крушений уничтожено 11 паровозов, 7 цистерн с горючим, 80 вагонов и15 платформ с грузами. Партизаны отряда имени Дзержинского напали на немецкий карательный отряд. Партизаны истребили 80 гитлеровцев и освободили мирных советских граждан, которых немцы угоняли на каторгу в Германию. В другом районе советские патриоты взорвали 700 рельсов и вырезали 21 километр телеграфно-телефонной линии связи.» (15098).</w:t>
      </w:r>
    </w:p>
    <w:p w14:paraId="7A380625" w14:textId="77777777" w:rsidR="006B4CCE" w:rsidRPr="007224C3" w:rsidRDefault="006B4CCE" w:rsidP="007224C3">
      <w:pPr>
        <w:spacing w:after="0" w:line="240" w:lineRule="auto"/>
        <w:jc w:val="both"/>
        <w:rPr>
          <w:rFonts w:ascii="Times New Roman" w:hAnsi="Times New Roman"/>
          <w:color w:val="000000" w:themeColor="text1"/>
          <w:sz w:val="16"/>
          <w:szCs w:val="16"/>
        </w:rPr>
      </w:pPr>
    </w:p>
    <w:p w14:paraId="5250A590"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апреля 1944 советские войска освободили от фашистов Симферополь и Феодосию (4962).</w:t>
      </w:r>
    </w:p>
    <w:p w14:paraId="7AEC6358"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9AC259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апреля 1944 4 группы ш Ил-2 в порту Судак потопили 2 баржи из 5, а 3 повредили. Вечером нанесли еще один удар и потопили еще одну баржу (430,199).</w:t>
      </w:r>
    </w:p>
    <w:p w14:paraId="3C2B378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FDDA7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апреля 1944 на ЧФ был первый топмачтовый удар. 9 А-20 были использованы мористее Алушты по судам, эвакуирующим войска из Крыма (4414,10).</w:t>
      </w:r>
    </w:p>
    <w:p w14:paraId="05B29EF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89F34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13 апреля по 10 мая 1944 л ЧМФ произвели 145 самолето-вылетов на топмачтовое бомбометание и потопили 14 транспортов, 6 быстроходных десантных барж, 6 сторожевых катеров, один сторожевик и один торпедный катер, ? транспортов, 3 баржи, 5 катеров было повреждено. 30-40% бомб поразили цель или взорвались в радиусе поражения (4365).</w:t>
      </w:r>
    </w:p>
    <w:p w14:paraId="3746BA7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6B5E1D"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апреля 1944 вышло Постановление ГКО № 5619 О переводе 10 подводных лодок типа М с Тихоокеанского флота в Черное море. (7210, 127).</w:t>
      </w:r>
    </w:p>
    <w:p w14:paraId="450648F0"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D290731"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апреля 1944 вышло Постановление ГКО № 5620 О переводе шести больших охотников и двенадцати торпедных катеров типа "Воспер" с Северного флота на Черноморский флот. (7210, 128-130).</w:t>
      </w:r>
    </w:p>
    <w:p w14:paraId="4A059AC6"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40F6BB4"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6EA3C70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C186F28"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апреля в 1944 году во время налёта американской авиации уничтожен единственный недостроенный прототип истребителя «Marton» X/V (разработчик: «Marton», Венгрия). На истребитель установили два двигателя «Daimler-Benz» «DB-605» (1475 л.с.), которые должны были обеспечить максимальную скорость не менее 580 км\ч на расчетной высоте. Вооружение «Marton» X\V состояло из двух 20-мм пушек и двух 12,7-мм пулеметов, но на опытный образец его установить не успели. Программу строительства закрыли в том же году, посчитав, что будет лучшим сосредоточить усилия на выпуске лицензионных «Bf.109G» и «Me.210A» (15098).</w:t>
      </w:r>
    </w:p>
    <w:p w14:paraId="706D09CD" w14:textId="77777777" w:rsidR="001732E9" w:rsidRPr="007224C3" w:rsidRDefault="001732E9" w:rsidP="007224C3">
      <w:pPr>
        <w:spacing w:after="0" w:line="240" w:lineRule="auto"/>
        <w:jc w:val="both"/>
        <w:rPr>
          <w:rFonts w:ascii="Times New Roman" w:hAnsi="Times New Roman"/>
          <w:color w:val="000000" w:themeColor="text1"/>
          <w:sz w:val="16"/>
          <w:szCs w:val="16"/>
        </w:rPr>
      </w:pPr>
    </w:p>
    <w:p w14:paraId="221DE72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апреля 1944 английская миниподлодка серии ХЕ потопила небольшой транспорт в порту Бергден (3961, 70).</w:t>
      </w:r>
    </w:p>
    <w:p w14:paraId="70386E9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F7B15C"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1C5BDEE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B822A0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апреля 1944 А.С.Я. распоряжением N Н-35/1962 в дополнение к приказу НКАП и ВВС N 183/044 от 10 марта 1944 установил ли завода 482 Ф.Ф.Опадчему доп. зарплату за проведение совместных испытаний ДВБ-102 М-71 (2562,55).</w:t>
      </w:r>
    </w:p>
    <w:p w14:paraId="1B92B1D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BD95D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апреля 1944 А.С.Я. распоряжением N Н-35/1963 установил ли завода Н.Д.Фиксону за проведение полных заводских испытаний ДДБШ 2хМ-71 П.О.С. доп. зарплату в 35000 руб. и утвердил бригаду в составе ви В.И.Фердецкого и б/м М.М.Симчурина (2562,55).</w:t>
      </w:r>
    </w:p>
    <w:p w14:paraId="352B3CC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C7F4BD"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14 апреля в 1944 году был заложен первый опытный экземпляр многоцелевой летающей лодки «ЛЛ-143» (ОКБ Бериева), а несколько позже и второй. Сроки выпуска первой машины были поставлены очень жесткие, из-за чего общие статиспытания решили не проводить, ограничившись нагружением отдельных узлов (15099).</w:t>
      </w:r>
    </w:p>
    <w:p w14:paraId="5004CAF4" w14:textId="77777777" w:rsidR="001732E9" w:rsidRPr="007224C3" w:rsidRDefault="001732E9" w:rsidP="007224C3">
      <w:pPr>
        <w:spacing w:after="0" w:line="240" w:lineRule="auto"/>
        <w:jc w:val="both"/>
        <w:rPr>
          <w:rFonts w:ascii="Times New Roman" w:hAnsi="Times New Roman"/>
          <w:color w:val="000000" w:themeColor="text1"/>
          <w:sz w:val="16"/>
          <w:szCs w:val="16"/>
        </w:rPr>
      </w:pPr>
    </w:p>
    <w:p w14:paraId="62EAD9BD" w14:textId="77777777" w:rsidR="009C0B20" w:rsidRPr="007224C3" w:rsidRDefault="009C0B20"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апреля 1944 в сборочном цехе завода 477 Г.М.Б. (Красноярск) состоялась торжественная (под оркестр) закладка ЛЛ-143 (2555,262) и несколько позже - второго (3939,4).</w:t>
      </w:r>
    </w:p>
    <w:p w14:paraId="66B02576" w14:textId="77777777" w:rsidR="009C0B20" w:rsidRPr="007224C3" w:rsidRDefault="009C0B20"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9A1F19"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49A7C5E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45FA46E" w14:textId="77777777" w:rsidR="00A61476" w:rsidRPr="007224C3" w:rsidRDefault="00A6147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апреля 1944 года, то есть спустя всего неделю после подписания постановления ГКО №5583сс, в СКБ-2 подготовили чертёж модернизированного корпуса. Согласно требованиям, приоритетным стало изготовление сварной лобовой детали толщиной 90 мм. Согласно расчётам, такая конструкция была, как минимум, равноценна литой с более толстыми стенками. Собирался нос из двух деталей: верхней (240-50-77) и нижней (240-50-131), их сваривали в шип. Вместо смотрового лючка появлялся смотровой прибор (пробка) по типу Объекта 701 (деталь 240-50-78), который приваривался по центру верхнего лобового листа. Перед смотровым прибором приваривалось ограждение в виде дуги, которое должно было предотвратить попадание снарядов, рикошетирующих от верхней лобовой детали.</w:t>
      </w:r>
    </w:p>
    <w:p w14:paraId="2433D951" w14:textId="77777777" w:rsidR="00A61476" w:rsidRPr="007224C3" w:rsidRDefault="00A6147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Верхняя деталь 240-50-77 должна была изготавливаться при помощи штамповки. Подходящий для таких задач пресс имелся на Уральском заводе тяжёлого машиностроения (УЗТМ), на нём, в частности, штамповали башни для Т-34. Проблема в том, что на заводе №200 такого пресса не было. По этой причине к 29 апреля был подготовлен второй вариант модернизированного корпуса с иной конструкцией лобовой детали. Её сделали литой и единой (деталь 240-50-141). К ней приваривались смотровой прибор и его отбойник. Из-за того, что стойкость литой детали была ниже, чем стойкость катаной, толщину верхней части лобовой детали увеличили до 100 мм, а нижней — до 130 мм. Из-за переделки лобовой части пришлось менять и другие детали, например, подбашенную коробку (старое обозначение 240-50-Сб.127). Новый узел (240-50-Сб.166) в месте стыка с литой носовой деталью получился более узким (18099).</w:t>
      </w:r>
    </w:p>
    <w:p w14:paraId="7424CB98" w14:textId="77777777" w:rsidR="00A61476" w:rsidRPr="007224C3" w:rsidRDefault="00A61476" w:rsidP="007224C3">
      <w:pPr>
        <w:spacing w:after="0" w:line="240" w:lineRule="auto"/>
        <w:jc w:val="both"/>
        <w:rPr>
          <w:rFonts w:ascii="Times New Roman" w:hAnsi="Times New Roman"/>
          <w:color w:val="000000" w:themeColor="text1"/>
          <w:sz w:val="16"/>
          <w:szCs w:val="16"/>
        </w:rPr>
      </w:pPr>
    </w:p>
    <w:p w14:paraId="4D34E548" w14:textId="77777777" w:rsidR="00315AAD" w:rsidRPr="007224C3" w:rsidRDefault="00315AAD" w:rsidP="007224C3">
      <w:pPr>
        <w:pStyle w:val="1131"/>
        <w:shd w:val="clear" w:color="auto" w:fill="auto"/>
        <w:spacing w:line="240" w:lineRule="auto"/>
        <w:ind w:firstLine="0"/>
        <w:rPr>
          <w:rFonts w:ascii="Times New Roman" w:hAnsi="Times New Roman" w:cs="Times New Roman"/>
          <w:color w:val="0070C0"/>
          <w:sz w:val="16"/>
          <w:szCs w:val="16"/>
        </w:rPr>
      </w:pPr>
      <w:r w:rsidRPr="007224C3">
        <w:rPr>
          <w:rFonts w:ascii="Times New Roman" w:hAnsi="Times New Roman" w:cs="Times New Roman"/>
          <w:color w:val="0070C0"/>
          <w:sz w:val="16"/>
          <w:szCs w:val="16"/>
        </w:rPr>
        <w:t>14 апреля 1944 года, то есть спустя всего неделю после подписания постановления ГКО № 5583сс, в ОГК-ТП ЧКЗ подготовили чертеж модернизи</w:t>
      </w:r>
      <w:r w:rsidRPr="007224C3">
        <w:rPr>
          <w:rFonts w:ascii="Times New Roman" w:hAnsi="Times New Roman" w:cs="Times New Roman"/>
          <w:color w:val="0070C0"/>
          <w:sz w:val="16"/>
          <w:szCs w:val="16"/>
        </w:rPr>
        <w:softHyphen/>
        <w:t>рованного корпуса</w:t>
      </w:r>
      <w:r w:rsidRPr="007224C3">
        <w:rPr>
          <w:rFonts w:ascii="Times New Roman" w:hAnsi="Times New Roman" w:cs="Times New Roman"/>
          <w:color w:val="0070C0"/>
          <w:sz w:val="16"/>
          <w:szCs w:val="16"/>
          <w:lang w:val="ru-RU"/>
        </w:rPr>
        <w:t xml:space="preserve"> ИС-2</w:t>
      </w:r>
      <w:r w:rsidRPr="007224C3">
        <w:rPr>
          <w:rFonts w:ascii="Times New Roman" w:hAnsi="Times New Roman" w:cs="Times New Roman"/>
          <w:color w:val="0070C0"/>
          <w:sz w:val="16"/>
          <w:szCs w:val="16"/>
        </w:rPr>
        <w:t>. Согласно требованиям, приоритетным стало изготовление сварной ло</w:t>
      </w:r>
      <w:r w:rsidRPr="007224C3">
        <w:rPr>
          <w:rFonts w:ascii="Times New Roman" w:hAnsi="Times New Roman" w:cs="Times New Roman"/>
          <w:color w:val="0070C0"/>
          <w:sz w:val="16"/>
          <w:szCs w:val="16"/>
        </w:rPr>
        <w:softHyphen/>
        <w:t>бовой детали толщиной 90 мм. Именно такую конструкцию и разработали в Челябинске. Со</w:t>
      </w:r>
      <w:r w:rsidRPr="007224C3">
        <w:rPr>
          <w:rFonts w:ascii="Times New Roman" w:hAnsi="Times New Roman" w:cs="Times New Roman"/>
          <w:color w:val="0070C0"/>
          <w:sz w:val="16"/>
          <w:szCs w:val="16"/>
        </w:rPr>
        <w:softHyphen/>
        <w:t>бирался нос из двух деталей: верхней (240-50</w:t>
      </w:r>
      <w:r w:rsidRPr="007224C3">
        <w:rPr>
          <w:rFonts w:ascii="Times New Roman" w:hAnsi="Times New Roman" w:cs="Times New Roman"/>
          <w:color w:val="0070C0"/>
          <w:sz w:val="16"/>
          <w:szCs w:val="16"/>
        </w:rPr>
        <w:softHyphen/>
        <w:t>77) и нижней (240-50-131), которые сваривали в шип. Вместо смотрового лючка появлялся смотровой прибор (пробка) по образцу «Объ</w:t>
      </w:r>
      <w:r w:rsidRPr="007224C3">
        <w:rPr>
          <w:rFonts w:ascii="Times New Roman" w:hAnsi="Times New Roman" w:cs="Times New Roman"/>
          <w:color w:val="0070C0"/>
          <w:sz w:val="16"/>
          <w:szCs w:val="16"/>
        </w:rPr>
        <w:softHyphen/>
        <w:t>екта 701» (деталь 240-50-78), который прива</w:t>
      </w:r>
      <w:r w:rsidRPr="007224C3">
        <w:rPr>
          <w:rFonts w:ascii="Times New Roman" w:hAnsi="Times New Roman" w:cs="Times New Roman"/>
          <w:color w:val="0070C0"/>
          <w:sz w:val="16"/>
          <w:szCs w:val="16"/>
        </w:rPr>
        <w:softHyphen/>
        <w:t>ривался по центру верхнего лобового листа. Перед смотровым прибором приваривалось ограждение в виде дуги, которое должно было предотвратить попадание снарядов, рикоше</w:t>
      </w:r>
      <w:r w:rsidRPr="007224C3">
        <w:rPr>
          <w:rFonts w:ascii="Times New Roman" w:hAnsi="Times New Roman" w:cs="Times New Roman"/>
          <w:color w:val="0070C0"/>
          <w:sz w:val="16"/>
          <w:szCs w:val="16"/>
        </w:rPr>
        <w:softHyphen/>
        <w:t>тирующих от верхней лобовой детали. Стоит также отметить, что деталь 240-50-77 имела довольно сложную форму и была не просто ка</w:t>
      </w:r>
      <w:r w:rsidRPr="007224C3">
        <w:rPr>
          <w:rFonts w:ascii="Times New Roman" w:hAnsi="Times New Roman" w:cs="Times New Roman"/>
          <w:color w:val="0070C0"/>
          <w:sz w:val="16"/>
          <w:szCs w:val="16"/>
        </w:rPr>
        <w:softHyphen/>
        <w:t>таной, но еще и штампованной. В связи с изме</w:t>
      </w:r>
      <w:r w:rsidRPr="007224C3">
        <w:rPr>
          <w:rFonts w:ascii="Times New Roman" w:hAnsi="Times New Roman" w:cs="Times New Roman"/>
          <w:color w:val="0070C0"/>
          <w:sz w:val="16"/>
          <w:szCs w:val="16"/>
        </w:rPr>
        <w:softHyphen/>
        <w:t>нением носовой детали поменялась и подба</w:t>
      </w:r>
      <w:r w:rsidRPr="007224C3">
        <w:rPr>
          <w:rFonts w:ascii="Times New Roman" w:hAnsi="Times New Roman" w:cs="Times New Roman"/>
          <w:color w:val="0070C0"/>
          <w:sz w:val="16"/>
          <w:szCs w:val="16"/>
        </w:rPr>
        <w:softHyphen/>
        <w:t>шенная коробка (узел 240-50-Сб127).</w:t>
      </w:r>
    </w:p>
    <w:p w14:paraId="014CDFCA" w14:textId="77777777" w:rsidR="00315AAD" w:rsidRPr="007224C3" w:rsidRDefault="00315AAD" w:rsidP="007224C3">
      <w:pPr>
        <w:shd w:val="clear" w:color="auto" w:fill="FFFFFF"/>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Конструкция спрямленной носовой дета</w:t>
      </w:r>
      <w:r w:rsidRPr="007224C3">
        <w:rPr>
          <w:rFonts w:ascii="Times New Roman" w:hAnsi="Times New Roman"/>
          <w:color w:val="0070C0"/>
          <w:sz w:val="16"/>
          <w:szCs w:val="16"/>
        </w:rPr>
        <w:softHyphen/>
        <w:t>ли корпуса диктовалась требованиями ГБТУ КА. Другой вопрос, что катано-штампован</w:t>
      </w:r>
      <w:r w:rsidRPr="007224C3">
        <w:rPr>
          <w:rFonts w:ascii="Times New Roman" w:hAnsi="Times New Roman"/>
          <w:color w:val="0070C0"/>
          <w:sz w:val="16"/>
          <w:szCs w:val="16"/>
        </w:rPr>
        <w:softHyphen/>
        <w:t>ную деталь 240-50-77 можно было изготов</w:t>
      </w:r>
      <w:r w:rsidRPr="007224C3">
        <w:rPr>
          <w:rFonts w:ascii="Times New Roman" w:hAnsi="Times New Roman"/>
          <w:color w:val="0070C0"/>
          <w:sz w:val="16"/>
          <w:szCs w:val="16"/>
        </w:rPr>
        <w:softHyphen/>
        <w:t>лять на свердловском УЗТМ (Уральский завод тяжелого машиностроения), где имелся мощ</w:t>
      </w:r>
      <w:r w:rsidRPr="007224C3">
        <w:rPr>
          <w:rFonts w:ascii="Times New Roman" w:hAnsi="Times New Roman"/>
          <w:color w:val="0070C0"/>
          <w:sz w:val="16"/>
          <w:szCs w:val="16"/>
        </w:rPr>
        <w:softHyphen/>
        <w:t>ный пресс (тот самый, которым штамповали башни Т-34), но не на заводе № 200. В НКТП понимали суть проблемы, поэтому 21 апреля вышел приказ по НКТП № 224с/061с, соглас</w:t>
      </w:r>
      <w:r w:rsidRPr="007224C3">
        <w:rPr>
          <w:rFonts w:ascii="Times New Roman" w:hAnsi="Times New Roman"/>
          <w:color w:val="0070C0"/>
          <w:sz w:val="16"/>
          <w:szCs w:val="16"/>
        </w:rPr>
        <w:softHyphen/>
        <w:t>но которому завод № 200 вместо сварной но</w:t>
      </w:r>
      <w:r w:rsidRPr="007224C3">
        <w:rPr>
          <w:rFonts w:ascii="Times New Roman" w:hAnsi="Times New Roman"/>
          <w:color w:val="0070C0"/>
          <w:sz w:val="16"/>
          <w:szCs w:val="16"/>
        </w:rPr>
        <w:softHyphen/>
        <w:t>совой части делал литую. Правда, первона</w:t>
      </w:r>
      <w:r w:rsidRPr="007224C3">
        <w:rPr>
          <w:rFonts w:ascii="Times New Roman" w:hAnsi="Times New Roman"/>
          <w:color w:val="0070C0"/>
          <w:sz w:val="16"/>
          <w:szCs w:val="16"/>
        </w:rPr>
        <w:softHyphen/>
        <w:t>чально толщина стенок была иной. Согласно приказу, нижняя носовая часть изготовля</w:t>
      </w:r>
      <w:r w:rsidRPr="007224C3">
        <w:rPr>
          <w:rFonts w:ascii="Times New Roman" w:hAnsi="Times New Roman"/>
          <w:color w:val="0070C0"/>
          <w:sz w:val="16"/>
          <w:szCs w:val="16"/>
        </w:rPr>
        <w:softHyphen/>
        <w:t>лась толщиной 90 мм, такую же толщину пла</w:t>
      </w:r>
      <w:r w:rsidRPr="007224C3">
        <w:rPr>
          <w:rFonts w:ascii="Times New Roman" w:hAnsi="Times New Roman"/>
          <w:color w:val="0070C0"/>
          <w:sz w:val="16"/>
          <w:szCs w:val="16"/>
        </w:rPr>
        <w:softHyphen/>
        <w:t>нировали и для боковых стенок. 24 апреля ОГК-ТП ЧКЗ был подготовлен чертеж корпуса с литой носовой деталью (240-50-141). К ней приваривались смотровой прибор и его от</w:t>
      </w:r>
      <w:r w:rsidRPr="007224C3">
        <w:rPr>
          <w:rFonts w:ascii="Times New Roman" w:hAnsi="Times New Roman"/>
          <w:color w:val="0070C0"/>
          <w:sz w:val="16"/>
          <w:szCs w:val="16"/>
        </w:rPr>
        <w:softHyphen/>
        <w:t>бойник. В то время как толщина верхней части лба корпуса составляла 100 мм, ниж</w:t>
      </w:r>
      <w:r w:rsidRPr="007224C3">
        <w:rPr>
          <w:rFonts w:ascii="Times New Roman" w:hAnsi="Times New Roman"/>
          <w:color w:val="0070C0"/>
          <w:sz w:val="16"/>
          <w:szCs w:val="16"/>
        </w:rPr>
        <w:softHyphen/>
        <w:t>нюю часть усилили до 130 мм. Из-за передел</w:t>
      </w:r>
      <w:r w:rsidRPr="007224C3">
        <w:rPr>
          <w:rFonts w:ascii="Times New Roman" w:hAnsi="Times New Roman"/>
          <w:color w:val="0070C0"/>
          <w:sz w:val="16"/>
          <w:szCs w:val="16"/>
        </w:rPr>
        <w:softHyphen/>
        <w:t>ки лобовой части пришлось менять и другие детали, например подбашенную коробку. Новый узел (240-50-Сб166) в месте стыка с литой носовой деталью получился более узким. Конечно, такое отступление от требо</w:t>
      </w:r>
      <w:r w:rsidRPr="007224C3">
        <w:rPr>
          <w:rFonts w:ascii="Times New Roman" w:hAnsi="Times New Roman"/>
          <w:color w:val="0070C0"/>
          <w:sz w:val="16"/>
          <w:szCs w:val="16"/>
        </w:rPr>
        <w:softHyphen/>
        <w:t>ваний увеличило массу детали, но, как пока</w:t>
      </w:r>
      <w:r w:rsidRPr="007224C3">
        <w:rPr>
          <w:rFonts w:ascii="Times New Roman" w:hAnsi="Times New Roman"/>
          <w:color w:val="0070C0"/>
          <w:sz w:val="16"/>
          <w:szCs w:val="16"/>
        </w:rPr>
        <w:softHyphen/>
        <w:t>зали дальнейшие события, увеличение тол</w:t>
      </w:r>
      <w:r w:rsidRPr="007224C3">
        <w:rPr>
          <w:rFonts w:ascii="Times New Roman" w:hAnsi="Times New Roman"/>
          <w:color w:val="0070C0"/>
          <w:sz w:val="16"/>
          <w:szCs w:val="16"/>
        </w:rPr>
        <w:softHyphen/>
        <w:t>щины нижней части до 130 мм было оправ</w:t>
      </w:r>
      <w:r w:rsidRPr="007224C3">
        <w:rPr>
          <w:rFonts w:ascii="Times New Roman" w:hAnsi="Times New Roman"/>
          <w:color w:val="0070C0"/>
          <w:sz w:val="16"/>
          <w:szCs w:val="16"/>
        </w:rPr>
        <w:softHyphen/>
        <w:t>данно (19880).</w:t>
      </w:r>
    </w:p>
    <w:p w14:paraId="7D31F9AF" w14:textId="77777777" w:rsidR="00315AAD" w:rsidRPr="007224C3" w:rsidRDefault="00315AAD" w:rsidP="007224C3">
      <w:pPr>
        <w:shd w:val="clear" w:color="auto" w:fill="FFFFFF"/>
        <w:spacing w:after="0" w:line="240" w:lineRule="auto"/>
        <w:jc w:val="both"/>
        <w:rPr>
          <w:rFonts w:ascii="Times New Roman" w:hAnsi="Times New Roman"/>
          <w:color w:val="0070C0"/>
          <w:sz w:val="16"/>
          <w:szCs w:val="16"/>
        </w:rPr>
      </w:pPr>
    </w:p>
    <w:p w14:paraId="42A377E3" w14:textId="77777777" w:rsidR="00A61476" w:rsidRPr="007224C3" w:rsidRDefault="00A6147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апреля 1944 МЛ-20см выдержала испытания на скоростной отстрел 60 выстрелов, произведя их за 39 минут вместо положенного часа. Всего же за март-май 1944 года орудие произвело 249 выстрелов, из них 196 — усиленным зарядом. Скорострельность достигала 2,9 выстрела в минуту.</w:t>
      </w:r>
    </w:p>
    <w:p w14:paraId="143B0813" w14:textId="77777777" w:rsidR="00A61476" w:rsidRPr="007224C3" w:rsidRDefault="00A6147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итогам испытаний планировалось установить орудие в самоходку, но этого так и не произошло. Что же касается испытаний орудия, то они продолжались на заводе №172 до сентября 1944 года. В это время между НКТП, ГБТУ КА, НКТП и ГАУ шли споры относительно орудия. Наконец 2 октября 1944 года была дана команда отправить МЛ-20см на Кировский завод и установить в ИСУ-152. К середине октября, когда орудие доставили в Челябинск, выяснилось, что оно прибыло в недоработанном виде. В конце декабря ГАУ КА поставило перед заводом №172 вопрос о необходимости срочной доработки орудия и отправке конструкторов на ЧКЗ. Несмотря на это представители завода №172 прибыли в Челябинск только к середине февраля 1945 года. К тому моменту ситуация с модернизацией ИСУ вышла на новый уровень (18636).</w:t>
      </w:r>
    </w:p>
    <w:p w14:paraId="37B174C1" w14:textId="77777777" w:rsidR="00A61476" w:rsidRPr="007224C3" w:rsidRDefault="00A61476" w:rsidP="007224C3">
      <w:pPr>
        <w:spacing w:after="0" w:line="240" w:lineRule="auto"/>
        <w:jc w:val="both"/>
        <w:rPr>
          <w:rFonts w:ascii="Times New Roman" w:hAnsi="Times New Roman"/>
          <w:color w:val="000000" w:themeColor="text1"/>
          <w:sz w:val="16"/>
          <w:szCs w:val="16"/>
        </w:rPr>
      </w:pPr>
    </w:p>
    <w:p w14:paraId="2DD8DE4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апреля 1944 по заводу Уралмаш отдали распоряжение о немедленной подготовке к серийному производству СУ-100. Однако ЦАКБ снова потребовало формального выполнения постановления ГКО, то есть изготовления опытной САУ с пушкой С-34. Вновь потянулись переговоры и переписка по этому вопросу. В итоге было принято решение о частичной переделке пушки С-34, спроектированной изначально для вооружения тяжелого танка ИС-2 (3862).</w:t>
      </w:r>
    </w:p>
    <w:p w14:paraId="73D39B7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Переделка, заключавшаяся в уменьшении ширины люльки на 160 мм, изготовлении новых вставных цапф, новой рамки, поворотного механизма, походного крепления, удалении прилива под спаренный пулемет и установке прицела, выполнялась на заводе №9 (3862).</w:t>
      </w:r>
    </w:p>
    <w:p w14:paraId="1800DA8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САУ с орудием С-34 получила индекс СУ-100-2. Одновременно с ней построили второй опытный образец САУ СУ-100, которая стала головной для машин серийного производства и включала в себя все улучшения, рекомендованные госкомиссией (3862).</w:t>
      </w:r>
    </w:p>
    <w:p w14:paraId="73CB8DC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0C1D3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апреля 1944 по заводу Уралмаш отдали распоряжение о немедленной подготовке к серийному производству артсамохода СУ-100. Однако ЦАКБ снова потребовало формального выполнения постановления ГКО, то есть изготовления опытной САУ с пушкой С-34. Вновь потянулись переговоры и переписка по этому вопросу. В итоге было принято решение о частичной переделке пушки С-34, спроектированной изначально для вооружения тяжелого танка ИС-2. Переделка, заключавшаяся в уменьшении ширины люльки на 160 мм, изготовлении новых вставных цапф, новой рамки, поворотного механизма, походного крепления, удалении прилива под спаренный пулемет и установке прицела, выполнялась на заводе № 9. Самоход с орудием С-34 получил индекс СУ-100-2. Одновременно с ним построили второй опытный образец самохода СУ-100, который стал головным для машин серийного производства и включал в себя все улучшения, рекомендованные госкомиссией. Его испытания проходили на АНИОПе с 24 по 28 июня 1944 года. После проведения стрельбы в количестве 923 выстрела и пробега на 250 км государственная комиссия признала, что "тактико-технические показатели СУ-100 обеспечивают успешное поражение современных бронетанковых средств противника на дистанциях 1500 м для танков "Тигр" и "Пантера" вне зависимости от точки попадания снаряда, а для артсамохода "Фердинанд" только при попадании в бортовую броню, но с дистанции 2000 м" (9637).</w:t>
      </w:r>
    </w:p>
    <w:p w14:paraId="62C9606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283592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апреля 1944 г. на основании результатов испыта</w:t>
      </w:r>
      <w:r w:rsidRPr="007224C3">
        <w:rPr>
          <w:rFonts w:ascii="Times New Roman" w:hAnsi="Times New Roman"/>
          <w:color w:val="000000" w:themeColor="text1"/>
          <w:sz w:val="16"/>
          <w:szCs w:val="16"/>
        </w:rPr>
        <w:softHyphen/>
        <w:t>ний заводу было дано распоряжение о немедленной подготовке серийного производства самоходной установки СУ-100 (10703).</w:t>
      </w:r>
    </w:p>
    <w:p w14:paraId="640121C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A7A015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апреля 1944 г. руководство завода решило не</w:t>
      </w:r>
      <w:r w:rsidRPr="007224C3">
        <w:rPr>
          <w:rFonts w:ascii="Times New Roman" w:hAnsi="Times New Roman"/>
          <w:color w:val="000000" w:themeColor="text1"/>
          <w:sz w:val="16"/>
          <w:szCs w:val="16"/>
        </w:rPr>
        <w:softHyphen/>
        <w:t>медленно готовиться к серийному производству СУ-100 с учетом ликвидации отмеченных недостатков.</w:t>
      </w:r>
    </w:p>
    <w:p w14:paraId="559196C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Казалось, что СУ-100 нашла путь в серию, но ЦАКБ нашло формальный повод настоять на выполнении поста</w:t>
      </w:r>
      <w:r w:rsidRPr="007224C3">
        <w:rPr>
          <w:rFonts w:ascii="Times New Roman" w:hAnsi="Times New Roman"/>
          <w:color w:val="000000" w:themeColor="text1"/>
          <w:sz w:val="16"/>
          <w:szCs w:val="16"/>
        </w:rPr>
        <w:softHyphen/>
        <w:t>новления ГКО, то есть чтобы был изготовлен и испытан образец СУ-85 со 100-мм пушкой С-34.</w:t>
      </w:r>
    </w:p>
    <w:p w14:paraId="4D534BE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Эта работа продлилась еще 2 месяца. 20 апреля на заводе № 100 пушка С-34 была демонтирована с танка ИС-5 (Объ</w:t>
      </w:r>
      <w:r w:rsidRPr="007224C3">
        <w:rPr>
          <w:rFonts w:ascii="Times New Roman" w:hAnsi="Times New Roman"/>
          <w:color w:val="000000" w:themeColor="text1"/>
          <w:sz w:val="16"/>
          <w:szCs w:val="16"/>
        </w:rPr>
        <w:softHyphen/>
        <w:t>ект 248) и передана на Уралмашзавод для установки в СУ-85. Но установить указанную пушку в самоход не представля</w:t>
      </w:r>
      <w:r w:rsidRPr="007224C3">
        <w:rPr>
          <w:rFonts w:ascii="Times New Roman" w:hAnsi="Times New Roman"/>
          <w:color w:val="000000" w:themeColor="text1"/>
          <w:sz w:val="16"/>
          <w:szCs w:val="16"/>
        </w:rPr>
        <w:softHyphen/>
        <w:t>лось возможным, о чем спустя два дня был извещен нарком танковой промышленности. Но 30 апреля совместным при</w:t>
      </w:r>
      <w:r w:rsidRPr="007224C3">
        <w:rPr>
          <w:rFonts w:ascii="Times New Roman" w:hAnsi="Times New Roman"/>
          <w:color w:val="000000" w:themeColor="text1"/>
          <w:sz w:val="16"/>
          <w:szCs w:val="16"/>
        </w:rPr>
        <w:softHyphen/>
        <w:t>казом НКТП, НКВ, начальника ГАУ и командующего Бро</w:t>
      </w:r>
      <w:r w:rsidRPr="007224C3">
        <w:rPr>
          <w:rFonts w:ascii="Times New Roman" w:hAnsi="Times New Roman"/>
          <w:color w:val="000000" w:themeColor="text1"/>
          <w:sz w:val="16"/>
          <w:szCs w:val="16"/>
        </w:rPr>
        <w:softHyphen/>
        <w:t>нетанковыми войсками Красной Армии завод обязывался изготовить опытный образец СУ-85 со 100-мм пушкой С-34 и к 10 мая закончить его заводские испытания и отгрузить на Гороховецкий полигон. Но пушка требовала проведения до</w:t>
      </w:r>
      <w:r w:rsidRPr="007224C3">
        <w:rPr>
          <w:rFonts w:ascii="Times New Roman" w:hAnsi="Times New Roman"/>
          <w:color w:val="000000" w:themeColor="text1"/>
          <w:sz w:val="16"/>
          <w:szCs w:val="16"/>
        </w:rPr>
        <w:softHyphen/>
        <w:t>работок на артиллерийском заводе, которые были санкционированы только 5 мая. Наконец, завод № 9 провел доработ</w:t>
      </w:r>
      <w:r w:rsidRPr="007224C3">
        <w:rPr>
          <w:rFonts w:ascii="Times New Roman" w:hAnsi="Times New Roman"/>
          <w:color w:val="000000" w:themeColor="text1"/>
          <w:sz w:val="16"/>
          <w:szCs w:val="16"/>
        </w:rPr>
        <w:softHyphen/>
        <w:t>ку артсистемы, которая заключалась в следующем:</w:t>
      </w:r>
    </w:p>
    <w:p w14:paraId="0F92D7E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Ширина люльки уменьшена на 160 мм.</w:t>
      </w:r>
    </w:p>
    <w:p w14:paraId="0F7242C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Изготовлены новые вставные цапфы.</w:t>
      </w:r>
    </w:p>
    <w:p w14:paraId="2D781E5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Удален прилив под пулемет.</w:t>
      </w:r>
    </w:p>
    <w:p w14:paraId="7431A25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Изготовлена новая рамка (вместо рамки СУ-85), пово</w:t>
      </w:r>
      <w:r w:rsidRPr="007224C3">
        <w:rPr>
          <w:rFonts w:ascii="Times New Roman" w:hAnsi="Times New Roman"/>
          <w:color w:val="000000" w:themeColor="text1"/>
          <w:sz w:val="16"/>
          <w:szCs w:val="16"/>
        </w:rPr>
        <w:softHyphen/>
        <w:t>ротный механизм и крепление по-походному по типу Д-10С (орудие С-34 крепления по-походному не имело).</w:t>
      </w:r>
    </w:p>
    <w:p w14:paraId="2F2E95B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Изготовлен новый привод к прицелу (панораме), так как пушка имелатолько телескопический прицел. Машина получила индекс СУ-100-2 и была подана на Гороховецкий полигон. Тем временем туда же прибыл эта</w:t>
      </w:r>
      <w:r w:rsidRPr="007224C3">
        <w:rPr>
          <w:rFonts w:ascii="Times New Roman" w:hAnsi="Times New Roman"/>
          <w:color w:val="000000" w:themeColor="text1"/>
          <w:sz w:val="16"/>
          <w:szCs w:val="16"/>
        </w:rPr>
        <w:softHyphen/>
        <w:t>лонный образец СУ-100 с орудием Д-10С, и конкуренты могли испытываться практически параллельно.</w:t>
      </w:r>
    </w:p>
    <w:p w14:paraId="29315AE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Нетрудно догадаться, что указанные испытания, прове</w:t>
      </w:r>
      <w:r w:rsidRPr="007224C3">
        <w:rPr>
          <w:rFonts w:ascii="Times New Roman" w:hAnsi="Times New Roman"/>
          <w:color w:val="000000" w:themeColor="text1"/>
          <w:sz w:val="16"/>
          <w:szCs w:val="16"/>
        </w:rPr>
        <w:softHyphen/>
        <w:t>денные в июне—июле 1944 г., завершились в пользу СУ-100 с пушкой Д-ЮС, которая постановлением ГКО № 6131 от 3 июля была принята на вооружение взамен СУ-85.</w:t>
      </w:r>
    </w:p>
    <w:p w14:paraId="657A15B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Но принятие на вооружение СУ-100 вовсе не означа</w:t>
      </w:r>
      <w:r w:rsidRPr="007224C3">
        <w:rPr>
          <w:rFonts w:ascii="Times New Roman" w:hAnsi="Times New Roman"/>
          <w:color w:val="000000" w:themeColor="text1"/>
          <w:sz w:val="16"/>
          <w:szCs w:val="16"/>
        </w:rPr>
        <w:softHyphen/>
        <w:t>ло, что они тут же широким потоком хлынут на фронт. Ведь бронебойный снаряд и выстрел с ним к июлю еще не были отработаны в серии, и их освоение промышленнос</w:t>
      </w:r>
      <w:r w:rsidRPr="007224C3">
        <w:rPr>
          <w:rFonts w:ascii="Times New Roman" w:hAnsi="Times New Roman"/>
          <w:color w:val="000000" w:themeColor="text1"/>
          <w:sz w:val="16"/>
          <w:szCs w:val="16"/>
        </w:rPr>
        <w:softHyphen/>
        <w:t>тью ожидалось лишь в IV квартале. А фронт не ждал.</w:t>
      </w:r>
    </w:p>
    <w:p w14:paraId="179F91E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Чтобы в кратчайшее время дать фронту мощную про</w:t>
      </w:r>
      <w:r w:rsidRPr="007224C3">
        <w:rPr>
          <w:rFonts w:ascii="Times New Roman" w:hAnsi="Times New Roman"/>
          <w:color w:val="000000" w:themeColor="text1"/>
          <w:sz w:val="16"/>
          <w:szCs w:val="16"/>
        </w:rPr>
        <w:softHyphen/>
        <w:t>тивотанковую САУ, КБ Уралмашзавода под руководством Л.И. Горлицкого решило идти по пути, уже опробованно</w:t>
      </w:r>
      <w:r w:rsidRPr="007224C3">
        <w:rPr>
          <w:rFonts w:ascii="Times New Roman" w:hAnsi="Times New Roman"/>
          <w:color w:val="000000" w:themeColor="text1"/>
          <w:sz w:val="16"/>
          <w:szCs w:val="16"/>
        </w:rPr>
        <w:softHyphen/>
        <w:t>му ЧКЗ и опытным заводом № 100, предложив в конце июля 1944 г. вооружить СУ-100 122-мм самоходной пуш</w:t>
      </w:r>
      <w:r w:rsidRPr="007224C3">
        <w:rPr>
          <w:rFonts w:ascii="Times New Roman" w:hAnsi="Times New Roman"/>
          <w:color w:val="000000" w:themeColor="text1"/>
          <w:sz w:val="16"/>
          <w:szCs w:val="16"/>
        </w:rPr>
        <w:softHyphen/>
        <w:t>кой Д-25С, разработка которой была завершена на заводе № 9 НКВ и которая по установочным местам соответство</w:t>
      </w:r>
      <w:r w:rsidRPr="007224C3">
        <w:rPr>
          <w:rFonts w:ascii="Times New Roman" w:hAnsi="Times New Roman"/>
          <w:color w:val="000000" w:themeColor="text1"/>
          <w:sz w:val="16"/>
          <w:szCs w:val="16"/>
        </w:rPr>
        <w:softHyphen/>
        <w:t>вала как 100-мм пушке Д-10С, так и 85-мм пушке Д-5С. Единственным отличием интерьера нового самохода, по</w:t>
      </w:r>
      <w:r w:rsidRPr="007224C3">
        <w:rPr>
          <w:rFonts w:ascii="Times New Roman" w:hAnsi="Times New Roman"/>
          <w:color w:val="000000" w:themeColor="text1"/>
          <w:sz w:val="16"/>
          <w:szCs w:val="16"/>
        </w:rPr>
        <w:softHyphen/>
        <w:t>лучившего индекс СУ-122П, было крепление боекомп</w:t>
      </w:r>
      <w:r w:rsidRPr="007224C3">
        <w:rPr>
          <w:rFonts w:ascii="Times New Roman" w:hAnsi="Times New Roman"/>
          <w:color w:val="000000" w:themeColor="text1"/>
          <w:sz w:val="16"/>
          <w:szCs w:val="16"/>
        </w:rPr>
        <w:softHyphen/>
        <w:t>лекта. Потому проектные работы были завершены в ко</w:t>
      </w:r>
      <w:r w:rsidRPr="007224C3">
        <w:rPr>
          <w:rFonts w:ascii="Times New Roman" w:hAnsi="Times New Roman"/>
          <w:color w:val="000000" w:themeColor="text1"/>
          <w:sz w:val="16"/>
          <w:szCs w:val="16"/>
        </w:rPr>
        <w:softHyphen/>
        <w:t>роткий срок. Данные по бронепробиванию 122-мм пушки Д-25С были практически идентичны Д-10С (таблично Д-25 проигрывала в бронепробиваемости Д-10 в среднем 4—5 мм), а осколочно-фугасное действие превышало поч</w:t>
      </w:r>
      <w:r w:rsidRPr="007224C3">
        <w:rPr>
          <w:rFonts w:ascii="Times New Roman" w:hAnsi="Times New Roman"/>
          <w:color w:val="000000" w:themeColor="text1"/>
          <w:sz w:val="16"/>
          <w:szCs w:val="16"/>
        </w:rPr>
        <w:softHyphen/>
        <w:t>ти вдвое. По массе, подвижности и проходимости СУ-12211 практически не отличалась от СУ-100, и лишь малая скорострельность портила впечатление о машине (11417).</w:t>
      </w:r>
    </w:p>
    <w:p w14:paraId="5FAD19E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EC72AE7"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апреля 1944 года вышел приказ № 169с НКБ</w:t>
      </w:r>
    </w:p>
    <w:p w14:paraId="09C5A90D"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соответствии с постановлением ГОКО № 5096сс от 5 февраля 1944 года</w:t>
      </w:r>
    </w:p>
    <w:p w14:paraId="7EF315FC"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Организовать 9 Гл. управление, выделив его из состава 3 Гл. управления.</w:t>
      </w:r>
    </w:p>
    <w:p w14:paraId="4E9F6293"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Подчинить непосредственному руководству 3 Гл. управления НКБ заводы: 6,59, 98, 348, 512, 562, 594, 576, 577, 676 и 850.</w:t>
      </w:r>
    </w:p>
    <w:p w14:paraId="53958F52"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Подчинить непосредственному руководству 9 Гл. управления НКБ заводы: 9, 14, 40, 100, 101, 129, 204, 222, 388 и 580 (6013, 1).</w:t>
      </w:r>
    </w:p>
    <w:p w14:paraId="2BA8288A"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D27F14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апреля 1944 вышло Постановление ГКО № 5625 О плане заказов НКО, НКВМФ и НКВД СССР по вещевому имуществу и снаряжению на II квартал 1944 года. РГАНИР, Фонд ГКО, д. 234, лл. 141-144,145-210 (11012).</w:t>
      </w:r>
    </w:p>
    <w:p w14:paraId="305F0A2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915553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апреля 1944 вышло Постановление ГКО № 5627 О мерах неотложной помощи кожевенно-обувной промышленности в обеспечении поставок обуви Красной Армии. РГАНИР, Фонд ГКО, д. 235, лл. 1-7,8-51 (11012).</w:t>
      </w:r>
    </w:p>
    <w:p w14:paraId="5272A05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27D9AB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апреля 1944 вышло Постановление ГКО № 5628 О мероприятиях по обеспечению бесперебойной работы цветной металлургии во II квартале 1944 года. РГАНИР, Фонд ГКО, д. 235, лл. 52-63,64-123 (11012).</w:t>
      </w:r>
    </w:p>
    <w:p w14:paraId="77A472E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AD8283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апреля 1944 вышло Постановление ГКО № 5629 О плане снабжения горюче-смазочными материалами и каменноугольным топливом Красной Армии и Военно-Морского Флота на апрель 1944 года. РГАНИР, Фонд ГКО, д. 235, лл. 124-125,126-166 (11012).</w:t>
      </w:r>
    </w:p>
    <w:p w14:paraId="518C616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182BEDC"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апреля 1944 вышло Постановление ГКО № 5631 О плане использования импортных рельсов, паровозов и вагонов, получаемых в I полугодии 1944 г. (7211, 171-173).</w:t>
      </w:r>
    </w:p>
    <w:p w14:paraId="5FE0C819"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D69608A"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апреля 1944 вышло Постановление ГКО № 5632 О плане снабжения дровами на II квартал 1944 г. (7212, 1-2,3-42).</w:t>
      </w:r>
    </w:p>
    <w:p w14:paraId="5EA978D4"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68D5008"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апреля 1944 вышло Постановление ГКО № 5633 О балансе и плане распределения лесных материалов и плане распределения вагонов для перевозки лесоматериалов на II квартал 1944 г. (7212, 43-45,46-160).</w:t>
      </w:r>
    </w:p>
    <w:p w14:paraId="164415C8"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D04491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апреля 1944 года в соответствии с распоряжением СНК за № 8331рс и приказом НКБ № 203с от 12 мая 1944 года завод № 15 разделен на два самостоятельные завода:</w:t>
      </w:r>
    </w:p>
    <w:p w14:paraId="3874AA02" w14:textId="77777777" w:rsidR="00595BFB" w:rsidRPr="007224C3" w:rsidRDefault="00595BFB" w:rsidP="007224C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Химический завод № 15 (производство взрывчатых веществ и кислот).</w:t>
      </w:r>
    </w:p>
    <w:p w14:paraId="6EAAE079" w14:textId="77777777" w:rsidR="00595BFB" w:rsidRPr="007224C3" w:rsidRDefault="00595BFB" w:rsidP="007224C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Снаряжательный завод.</w:t>
      </w:r>
    </w:p>
    <w:p w14:paraId="2C72625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Снаряжательного завода инженер-полковник Крысин.</w:t>
      </w:r>
    </w:p>
    <w:p w14:paraId="3B3287A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химического завода № 15 инженер-майор Быков (10214).</w:t>
      </w:r>
    </w:p>
    <w:p w14:paraId="1C8BF84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0C07C02"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336225C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74F2C76"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апреля в 1944 году оперативная сводка Совинформбюро:</w:t>
      </w:r>
    </w:p>
    <w:p w14:paraId="1369926C"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14 апреля юго-западнее города Чертков наши войска вели наступательные бои, в ходе которых овладели районным центромТарнопольской области Тлусте, а также заняли более 40 других населённых пунктов, в том числе крупные населённые пункты Ягельница Стара, Шульгановка, Ягельница, Мухавка, Антонув, Слоне, Торске.</w:t>
      </w:r>
    </w:p>
    <w:p w14:paraId="5422EDC2"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города Одесса наши войска полностью очистили от противника восточный берег Днестровского лимана, заняв при этом населённые пункты Роксоляны, Первомайск, Крыжановка, Терновка, Каралина Бугаз и железнодорожные станции Дальний, Каралина Бугаз.</w:t>
      </w:r>
    </w:p>
    <w:p w14:paraId="5B0811FA"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4-го Украинского фронта, развивая успешное наступление, овладели районными центрами Крыма городом Бахчисарай, городом Алушта, городом Саки, Ак-Мечеть, Фрайдорф, Зуя, а также заняли более 300 других населённых пунктов, в том числе крупные населённые пункты Ярылгач, Кунан, Караджа, Мережино, Сукуркой, Отар-Майнак, Михайловка, Ивановка, Контуган, Булганак, Азек, Верхние и Нижние Саблы, Биюк-Янкой и железнодорожные станции Камбары, Княжевичи, Саки, Кара-Тобе, Булганак, Альма, Шакул, Бахчисарай. Отступая под ударами наших войск, противник несёт огромные потери в живой силе и технике. По предварительным данным, к исходу 13 апреля войсками 4-го Украинского фронта взято в плен свыше 17.000солдат и офицеров противника.</w:t>
      </w:r>
    </w:p>
    <w:p w14:paraId="5FA6903D"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Отдельной Приморской армии, преследуя отступающего противника, овладели районными центрами Крыма городом Карасубазар, городом Судак, Ички, а также заняли более 200 других населённых пунктов, в том числе крупные населённыепункты Розенталь, Фриденталь, Баксан, Ускут, Капсихор, Кутлак, Таракташ. В ходе наступления войска Отдельной Приморской армии соединились с войсками 4-го Украинского фронта. По предварительным данным, к исходу 13 апреля войсками Отдельной Приморской армии взято в плен более 14.000 солдат и офицеровпротивника.</w:t>
      </w:r>
    </w:p>
    <w:p w14:paraId="13F86DFF"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3CA09073"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13 апреля наши войска подбили и уничтожили 34 немецких танка. В воздушных боях и огнём зенитной артиллерии сбито 18 самолётов противника.</w:t>
      </w:r>
    </w:p>
    <w:p w14:paraId="76D26A2F"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города Одесса немцы, прижатые к Днестровскому лиману, оказывали упорное сопротивление. Сильным огнём и контратаками они пытались выиграть время и переправить свои части, вооружение и технику. Наши войска стремительными ударами разгромили противника и полностью очистили от немецко-фашистских захватчиков восточный берег Днестровского лимана. Отдельные группы немцев, пытавшиеся переправиться через лиман на плотах и лодках, были атакованы с воздуха и потоплены. Захвачены эшелоны с вооружением, боеприпасами и заводским оборудованием. В районном центре Овидиополь в числе трофеев захвачено 36 орудий, 10 тягачей и 200 автомашин с различными грузами.</w:t>
      </w:r>
    </w:p>
    <w:p w14:paraId="01408830"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4-го Украинского фронта развивали стремительное наступление. Наши моторизованные стрелковые части с боем овладели городом Саки и, преследуя разбитые войска противника, полностью очистили шоссе Саки-Симферополь. На западном побережье Крыма немцы пытались оказать сопротивление. Наши подвижные соединения смяли противника и быстро продвигаются на юг. Советские танкисты и пехотинцы заняли город Бахчисарай и ведут бои в лесной и горной части Крыма. Другие наши части, продвинувшись за день на 40 километров, вышли на южное побережье Крыма и внезапным ударом заняли город Алушта. Тем самым вражеским войскам, отступающим из Феодосии, отрезан путь на Ялту. Юго-восточнее Сейтлера окружена и разгромлена группа войск противника. Свыше тысячи солдат и офицеров во главе с командиром полка Бату Флорин сдались в плен. Разбиты 9 и 10 румынские дивизии. Полностью уничтожена немецкая пехотная дивизия. Захвачено огромное количество боевой техники, много железнодорожных вагонов и паровозов. Пленные заявляют, что немецкие и румынские генералы улетели из Крыма на самолётах, оставив свои дивизии на произвол судьбы.</w:t>
      </w:r>
    </w:p>
    <w:p w14:paraId="23B53756"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Отдельной Приморской армии продолжали успешное наступление. Все попытки противника задержаться на промежуточных рубежах и привести в порядок свои разбитые части закончились неудачей. Наши бойцы быстро подавляют сопротивление гитлеровцев, уничтожают их, либо берут в плен. Войска Отдельной Приморской армии овладели городом Карасубазар и соединились с войсками 4-го Украинского фронта. Наступая вдоль побережья Чёрного моря, наши бойцы заняли город Судак, разгромив в этом районе большое скопление немецких и румынских войск. По неполным данным, в течение дня захвачено у немцев 160 орудий, 110 миномётов, 310 пулемётов, 5 тысяч винтовок и автоматов, 25 тракторов, 10 обозов, 1.500 лошадей и другие трофеи. На дорогах, ведущих в глубь Крыма, в панике отступая, немцы бросают не только автомашины, винтовки, боеприпасы, но также и своё личное обмундирование: шинели, сапоги, каски, вещевые мешки и противогазы.</w:t>
      </w:r>
    </w:p>
    <w:p w14:paraId="7A18A3EC"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Наша авиация и корабли Черноморского флота наносят непрерывные удары по вражеским судам, пытающимся выйти из портов Крыма, находящихся ещё в руках противника. Кораблями флота сегодня потоплен транспорт противника водоизмещением в 3 тысячи тонн. Советские лётчики потопили три самоходные десантные баржи с немецкой пехотой. Пять самоходных барж серьёзно повреждены и потеряли ход. Кроме того, потоплено несколько других мелких судов. В открытом море </w:t>
      </w:r>
      <w:r w:rsidRPr="007224C3">
        <w:rPr>
          <w:rFonts w:ascii="Times New Roman" w:hAnsi="Times New Roman"/>
          <w:color w:val="000000" w:themeColor="text1"/>
          <w:sz w:val="16"/>
          <w:szCs w:val="16"/>
        </w:rPr>
        <w:lastRenderedPageBreak/>
        <w:t>наши лётчики атаковали вражеский транспорт, шедший под усиленным конвоем. На судне возник большой пожар. Одному вражескому миноносцу причинены серьёзные повреждения. Советские моряки и лётчики пресекают все попытки противника спасти хотя бы некоторую часть своей обречённой на гибель крымской группировки.</w:t>
      </w:r>
    </w:p>
    <w:p w14:paraId="1E559D98"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Партизанские отряды, действующие в Львовской области, за три дня пустили под откос четыре немецких воинских эшелона. Кроме того, советские патриоты взорвали 3 шоссейных моста и склад артиллерийских снарядов. Первого апреля львовские партизаны разгромили вражеский гарнизон в одном населённом пункте. Убито 60 гитлеровцев.</w:t>
      </w:r>
    </w:p>
    <w:p w14:paraId="558B8E09"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Захваченный в плен на Керченском полуострове командир 9 кавалерийского полка 6 румынской кавалерийской дивизии подполковник Паулиану рассказал: «Мой полк занимал оборону южнее города Керчь. Когда русские прорвали немецкую оборону и вышли на шоссейную дорогу Керчь-Феодосия, над полком нависла угроза окружения. Немцы очертя голову удирали, и я отдал приказ отступить на линию Турецкого вала. Не успели мы занять оборону на новом месте, как на левом фланге появились русские танки. Увидев, что немцы побежали, румынские солдаты стали сдаваться в плен целыми эскадронами. Приказы, отданные мною командирам эскадронов, не выполнялись. Девятый кавалерийский полк полностью разгромлен, ни один солдат не ушел с Керченского полуострова. Вся техника полка и приданная ему артиллерия захвачены русскими» (15099).</w:t>
      </w:r>
    </w:p>
    <w:p w14:paraId="65D4C37D" w14:textId="77777777" w:rsidR="001732E9" w:rsidRPr="007224C3" w:rsidRDefault="001732E9" w:rsidP="007224C3">
      <w:pPr>
        <w:spacing w:after="0" w:line="240" w:lineRule="auto"/>
        <w:jc w:val="both"/>
        <w:rPr>
          <w:rFonts w:ascii="Times New Roman" w:hAnsi="Times New Roman"/>
          <w:color w:val="000000" w:themeColor="text1"/>
          <w:sz w:val="16"/>
          <w:szCs w:val="16"/>
        </w:rPr>
      </w:pPr>
    </w:p>
    <w:p w14:paraId="2E5C728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апреля 1944 вышло Постановление ГКО № 5626 О формировании одной бомбардировочной и двух штурмовых авиадивизий в составе РСВГК. РГАНИР, Фонд ГКО, д. 234, лл. 211-212 (11012).</w:t>
      </w:r>
    </w:p>
    <w:p w14:paraId="2BA31A0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B2B89F1" w14:textId="77777777" w:rsidR="009C0B20" w:rsidRPr="007224C3" w:rsidRDefault="009C0B2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апреля 1944 вышло Постановление ГКО № 5626</w:t>
      </w:r>
    </w:p>
    <w:p w14:paraId="4057A9E2" w14:textId="77777777" w:rsidR="009C0B20" w:rsidRPr="007224C3" w:rsidRDefault="009C0B20"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Для усиления штурмовой и бомбардировочной авиации Резерва Государственный Комитет Обороны постановляет:</w:t>
      </w:r>
    </w:p>
    <w:p w14:paraId="7E1D19F1" w14:textId="77777777" w:rsidR="009C0B20" w:rsidRPr="007224C3" w:rsidRDefault="009C0B20" w:rsidP="007224C3">
      <w:pPr>
        <w:pStyle w:val="47"/>
        <w:shd w:val="clear" w:color="auto" w:fill="auto"/>
        <w:tabs>
          <w:tab w:val="left" w:pos="1415"/>
        </w:tabs>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1. Обязать Командующего ВВС Красной Армии сформиро</w:t>
      </w:r>
      <w:r w:rsidRPr="007224C3">
        <w:rPr>
          <w:rFonts w:ascii="Times New Roman" w:hAnsi="Times New Roman" w:cs="Times New Roman"/>
          <w:color w:val="000000" w:themeColor="text1"/>
          <w:sz w:val="16"/>
          <w:szCs w:val="16"/>
        </w:rPr>
        <w:softHyphen/>
        <w:t>вать в составе Резерва Ставки Верховного Главнокомандования 327 бомбардировочную авиадивизию на самолетах А-20ж в составе трех авиаполков по тридцать два самолета в каждом;</w:t>
      </w:r>
    </w:p>
    <w:p w14:paraId="3D792065" w14:textId="77777777" w:rsidR="009C0B20" w:rsidRPr="007224C3" w:rsidRDefault="009C0B20"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189 штурмовую авиадивизию Ил-2 в составе трех авиаполков по сорок самолетов в каждом;</w:t>
      </w:r>
    </w:p>
    <w:p w14:paraId="6ADCA79E" w14:textId="77777777" w:rsidR="009C0B20" w:rsidRPr="007224C3" w:rsidRDefault="009C0B20"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136 штурмовую авиадивизию Ил-2 в составе трех авиаполков по сорок самолетов в каждом</w:t>
      </w:r>
    </w:p>
    <w:p w14:paraId="2E174BF0" w14:textId="77777777" w:rsidR="009C0B20" w:rsidRPr="007224C3" w:rsidRDefault="009C0B20" w:rsidP="007224C3">
      <w:pPr>
        <w:pStyle w:val="47"/>
        <w:shd w:val="clear" w:color="auto" w:fill="auto"/>
        <w:tabs>
          <w:tab w:val="left" w:pos="1415"/>
        </w:tabs>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2. На формирование авиадивизий обратить Управление 327 ночной бомбардировочной авиадивизии Резерва, 189 ноч</w:t>
      </w:r>
      <w:r w:rsidRPr="007224C3">
        <w:rPr>
          <w:rFonts w:ascii="Times New Roman" w:hAnsi="Times New Roman" w:cs="Times New Roman"/>
          <w:color w:val="000000" w:themeColor="text1"/>
          <w:sz w:val="16"/>
          <w:szCs w:val="16"/>
        </w:rPr>
        <w:softHyphen/>
        <w:t>ную бомбардировочную авиадивизию Резерва с входящими в ее состав авиаполками и Управление 136 смешанной авиади</w:t>
      </w:r>
      <w:r w:rsidRPr="007224C3">
        <w:rPr>
          <w:rFonts w:ascii="Times New Roman" w:hAnsi="Times New Roman" w:cs="Times New Roman"/>
          <w:color w:val="000000" w:themeColor="text1"/>
          <w:sz w:val="16"/>
          <w:szCs w:val="16"/>
        </w:rPr>
        <w:softHyphen/>
        <w:t>визии, выведя ее с ротой свяви из состава Средне-Авиатского Военного округа.</w:t>
      </w:r>
    </w:p>
    <w:p w14:paraId="4EC9139F" w14:textId="77777777" w:rsidR="009C0B20" w:rsidRPr="007224C3" w:rsidRDefault="009C0B20" w:rsidP="007224C3">
      <w:pPr>
        <w:pStyle w:val="47"/>
        <w:shd w:val="clear" w:color="auto" w:fill="auto"/>
        <w:tabs>
          <w:tab w:val="left" w:pos="1437"/>
        </w:tabs>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3. Вывести в Резерв, перевооружить и включить в формируемые авиадивизии:</w:t>
      </w:r>
    </w:p>
    <w:p w14:paraId="1302A803" w14:textId="77777777" w:rsidR="009C0B20" w:rsidRPr="007224C3" w:rsidRDefault="009C0B20"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Один штурмовой авиаполк из состава отдельной При</w:t>
      </w:r>
      <w:r w:rsidRPr="007224C3">
        <w:rPr>
          <w:rFonts w:ascii="Times New Roman" w:hAnsi="Times New Roman" w:cs="Times New Roman"/>
          <w:color w:val="000000" w:themeColor="text1"/>
          <w:sz w:val="16"/>
          <w:szCs w:val="16"/>
        </w:rPr>
        <w:softHyphen/>
        <w:t>морской армии, один штурмовой и один ночной бом</w:t>
      </w:r>
      <w:r w:rsidRPr="007224C3">
        <w:rPr>
          <w:rFonts w:ascii="Times New Roman" w:hAnsi="Times New Roman" w:cs="Times New Roman"/>
          <w:color w:val="000000" w:themeColor="text1"/>
          <w:sz w:val="16"/>
          <w:szCs w:val="16"/>
        </w:rPr>
        <w:softHyphen/>
        <w:t>бардировочный авиаполки И8 состава 1-го Прибалтий</w:t>
      </w:r>
      <w:r w:rsidRPr="007224C3">
        <w:rPr>
          <w:rFonts w:ascii="Times New Roman" w:hAnsi="Times New Roman" w:cs="Times New Roman"/>
          <w:color w:val="000000" w:themeColor="text1"/>
          <w:sz w:val="16"/>
          <w:szCs w:val="16"/>
        </w:rPr>
        <w:softHyphen/>
        <w:t>ского фронта, один авиаполк ночных бомбардировщи</w:t>
      </w:r>
      <w:r w:rsidRPr="007224C3">
        <w:rPr>
          <w:rFonts w:ascii="Times New Roman" w:hAnsi="Times New Roman" w:cs="Times New Roman"/>
          <w:color w:val="000000" w:themeColor="text1"/>
          <w:sz w:val="16"/>
          <w:szCs w:val="16"/>
        </w:rPr>
        <w:softHyphen/>
        <w:t>ков из состава Западного фронта и два ночных бом</w:t>
      </w:r>
      <w:r w:rsidRPr="007224C3">
        <w:rPr>
          <w:rFonts w:ascii="Times New Roman" w:hAnsi="Times New Roman" w:cs="Times New Roman"/>
          <w:color w:val="000000" w:themeColor="text1"/>
          <w:sz w:val="16"/>
          <w:szCs w:val="16"/>
        </w:rPr>
        <w:softHyphen/>
        <w:t>бардировочных авиаполка из состава 1-го Украинско</w:t>
      </w:r>
      <w:r w:rsidRPr="007224C3">
        <w:rPr>
          <w:rFonts w:ascii="Times New Roman" w:hAnsi="Times New Roman" w:cs="Times New Roman"/>
          <w:color w:val="000000" w:themeColor="text1"/>
          <w:sz w:val="16"/>
          <w:szCs w:val="16"/>
        </w:rPr>
        <w:softHyphen/>
        <w:t>го фронта.</w:t>
      </w:r>
    </w:p>
    <w:p w14:paraId="67F4281F" w14:textId="77777777" w:rsidR="009C0B20" w:rsidRPr="007224C3" w:rsidRDefault="009C0B2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Самолеты выводимых в резерв авиаполков оставить на месте и передать на доукомплектование других авиачастей фронтов.</w:t>
      </w:r>
    </w:p>
    <w:p w14:paraId="1CB40D79" w14:textId="77777777" w:rsidR="009C0B20" w:rsidRPr="007224C3" w:rsidRDefault="009C0B2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Обязать Начальника Генерального Штаба Красной Армии отдать необходимые организационные указания во исполнение настоящего постановлений (19482).</w:t>
      </w:r>
    </w:p>
    <w:p w14:paraId="42759720" w14:textId="77777777" w:rsidR="009C0B20" w:rsidRPr="007224C3" w:rsidRDefault="009C0B20" w:rsidP="007224C3">
      <w:pPr>
        <w:autoSpaceDE w:val="0"/>
        <w:autoSpaceDN w:val="0"/>
        <w:adjustRightInd w:val="0"/>
        <w:spacing w:after="0" w:line="240" w:lineRule="auto"/>
        <w:jc w:val="both"/>
        <w:rPr>
          <w:rFonts w:ascii="Times New Roman" w:hAnsi="Times New Roman"/>
          <w:color w:val="000000" w:themeColor="text1"/>
          <w:sz w:val="16"/>
          <w:szCs w:val="16"/>
        </w:rPr>
      </w:pPr>
    </w:p>
    <w:p w14:paraId="34337AFF"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апреля 1944 советские войска завершили Одесскую операцию (4962).</w:t>
      </w:r>
    </w:p>
    <w:p w14:paraId="36025058"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1D1134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апреля 1944 в Полтаву прибыла первая группа из 46 американских офицеров для организации челночных рейсов - операция Frantic (1261,34).</w:t>
      </w:r>
    </w:p>
    <w:p w14:paraId="1CDDD72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92A6EB"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апреля 1944 вышло Постановление ГКО № 5630 О составе резерва истребительной авиации ВВС Красной Армии. (7211, 167-169,170).</w:t>
      </w:r>
    </w:p>
    <w:p w14:paraId="661A3300"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6237898"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69D620C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6B47006"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апреля в 1944 году авария истребителя «Bf 109H-1». При испытаниях на пикирование, которые проводились в Аугсбурге флюг-капитаном Венделем, после пикирования с высоты 5000 м, на высоте 3000 м при скорости 800 км/ч начался флаттер крыла. После того, как Вендель взял ручку на себя, левое крыло отвалилось с частью фюзеляжа (15099).</w:t>
      </w:r>
    </w:p>
    <w:p w14:paraId="633A6813" w14:textId="77777777" w:rsidR="001732E9" w:rsidRPr="007224C3" w:rsidRDefault="001732E9" w:rsidP="007224C3">
      <w:pPr>
        <w:spacing w:after="0" w:line="240" w:lineRule="auto"/>
        <w:jc w:val="both"/>
        <w:rPr>
          <w:rFonts w:ascii="Times New Roman" w:hAnsi="Times New Roman"/>
          <w:color w:val="000000" w:themeColor="text1"/>
          <w:sz w:val="16"/>
          <w:szCs w:val="16"/>
        </w:rPr>
      </w:pPr>
    </w:p>
    <w:p w14:paraId="52B78F32"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апреля 1944 в концлагерь Освенцим стали поступать евреи из Греции (4962).</w:t>
      </w:r>
    </w:p>
    <w:p w14:paraId="66FD5963"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05B1E35"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апреля 1944 из-за взрыва корабля в бухте Бомбея и вызванным этим пожаром погибли 1376 человек (4962).</w:t>
      </w:r>
    </w:p>
    <w:p w14:paraId="62A298AA"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2C7A18E"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0F8D785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14F4EF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апреля 1944 А.С.Я. распоряжением N Н-35/1963 установил ли Н.Д.Фиксону доп. зарплату за проведение полных заводских испытаний ДДБШ с 2М-71 конструкции П.О.С. и утвердил бригаду с ви В.И.Фурдецким (2562,56).</w:t>
      </w:r>
    </w:p>
    <w:p w14:paraId="1A95490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1E54B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апреля 1944 Зам. нач. 7 ГУ Алексеев подготовил справку N 2194:</w:t>
      </w:r>
    </w:p>
    <w:p w14:paraId="62A5213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Справка по выполнению приказов Наркома о строительстве высотных самолетов по состоянию на 15 апреля 1944:</w:t>
      </w:r>
    </w:p>
    <w:p w14:paraId="73F8E78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Высотный бомбардировщик Ил-4 с 2М-88Б и ТК.</w:t>
      </w:r>
    </w:p>
    <w:p w14:paraId="2ED6A24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выпускался согласно приказов НКАП N 835сс от 12 ноября 1942 и N 523сс от 31 августа 1943.</w:t>
      </w:r>
    </w:p>
    <w:p w14:paraId="7B1D147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1-й экз. самолета Ил-4 с 2М-88Б, оборудованный ТК-3, без герметической кабины, был выпущен на испытания 18 декабря 1942, за два дня до установленного приказом срока.</w:t>
      </w:r>
    </w:p>
    <w:p w14:paraId="25A66DA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время заводских испытаний было выполнено 11 полетов, в которых была достигнута высота 7100 м вместо 9500 м по расчету.</w:t>
      </w:r>
    </w:p>
    <w:p w14:paraId="7CC851B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Ввиду неудовлетворительной работы ВМГ с ТК самолет был передан 10 августа 1943 в ЛИИ согласно приказа НКАП N 444с от 24 июля 1943, без отработки ВМГ и ТК при участии ЦИАМа.</w:t>
      </w:r>
    </w:p>
    <w:p w14:paraId="2BF2C07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Испытаниями установлено:</w:t>
      </w:r>
    </w:p>
    <w:p w14:paraId="1ACEE5C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Граница высотности М-88Б с включенными ТК равна 7650 м, на режиме горизонтального полета на макс. скорости.</w:t>
      </w:r>
    </w:p>
    <w:p w14:paraId="0E510A5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Полученная граница высотности на 1000 м ниже, заявленной ЦИАМ.</w:t>
      </w:r>
    </w:p>
    <w:p w14:paraId="56073ED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Установка ТК-3 на самолете Ил-4 вызвала изменения форм самолета, что увеличило аэродинамическое сопротивление и ухудшило обтекание отдельных частей самолета. Вследствие этого макс. скорость на расчетной высоте снизилась на 20-22 км/час, ухудшилась скороподъемность на 15.5% и появились вибрации хвостового оперения и обшивки фюзеляжа.</w:t>
      </w:r>
    </w:p>
    <w:p w14:paraId="6F01B82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Из-за наличия ряда существенных недостатков ВМГ дальнейшие испытания самолета Ил-4 прекращены и самолет возвращен заводу 240.</w:t>
      </w:r>
    </w:p>
    <w:p w14:paraId="3001D2E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2-й экз. самолета проходил заводские испытания с 10 марта по 29 мая 1943 с герметической кабиной первого варианта и с 10 августа 1943 с герметической кабиной второго варианта и ТК ТК-М вместо ТК-3.</w:t>
      </w:r>
    </w:p>
    <w:p w14:paraId="5103FC8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данном экз. самолета полеты выше 7500 м не проводились из-за дефектов винтов.</w:t>
      </w:r>
    </w:p>
    <w:p w14:paraId="20FC558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Была обнаружена раскрутка трехлопастных винтов ВИШ-61П, а также замененных 4-х лопастных винтов АВ-9.</w:t>
      </w:r>
    </w:p>
    <w:p w14:paraId="0B6A37F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Доводочные работы по винтам были выполнены 10 ноября 1943.</w:t>
      </w:r>
    </w:p>
    <w:p w14:paraId="04F1FEB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Дальнейшие испытания самолета прекращены по распоряжению С.В.И., ввиду загрузки завода 240 по проведению испытаний самолетов Ил-2 с АМ-42." (1825,208).</w:t>
      </w:r>
    </w:p>
    <w:p w14:paraId="52C548E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89EBD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апреля 1944 распоряжением N Н-35/1962 А.С.Я. в дополнение к приказу НКАП и НИИ ВВС КА N 183/044 от 10 марта 1944 установил Ф.Ф.Опадчему доп. зарплату за проведение совместных испытаний ДВБ-102 с М-71 ТК-3 (2562,55).</w:t>
      </w:r>
    </w:p>
    <w:p w14:paraId="4729FDA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F512C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апреля 1944 года Дементьев писал письмо N Н-35/1979 гл. конструктору завода N 25 Жданову.</w:t>
      </w:r>
    </w:p>
    <w:p w14:paraId="44DE936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Наиболее отсталым участком работы Вашего ОКБ является обеспечение бомбардировочной авиации (Ер-2; Ли-2, Ту-2 и Ил-4) флюгерными винтами.</w:t>
      </w:r>
    </w:p>
    <w:p w14:paraId="29CA470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Несмотря на явную необходимость обеспечения бомбардировщиков флюгерными винтами, Вами мер к форсированию этих работ не принимается.</w:t>
      </w:r>
    </w:p>
    <w:p w14:paraId="5013217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Считаем отработку и испытание флюгерных винтов для бомбардировщиков первоочередной и важнейшей задачей завода N 25, обязываю Вас закончить эти работы в следующие сроки:</w:t>
      </w:r>
    </w:p>
    <w:p w14:paraId="08F6E6B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Флюгерный винт для с-та Ер-2 к 25 мая 1944 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8"/>
        <w:gridCol w:w="1878"/>
        <w:gridCol w:w="2731"/>
      </w:tblGrid>
      <w:tr w:rsidR="005106D0" w:rsidRPr="007224C3" w14:paraId="211B2C77" w14:textId="77777777">
        <w:tc>
          <w:tcPr>
            <w:tcW w:w="1878" w:type="dxa"/>
          </w:tcPr>
          <w:p w14:paraId="02FD94D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878" w:type="dxa"/>
          </w:tcPr>
          <w:p w14:paraId="55446D0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2731" w:type="dxa"/>
          </w:tcPr>
          <w:p w14:paraId="3D1671D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Ли-2 к 15 мая 1944 г.</w:t>
            </w:r>
          </w:p>
        </w:tc>
      </w:tr>
      <w:tr w:rsidR="005106D0" w:rsidRPr="007224C3" w14:paraId="524D0A8B" w14:textId="77777777">
        <w:tc>
          <w:tcPr>
            <w:tcW w:w="1878" w:type="dxa"/>
          </w:tcPr>
          <w:p w14:paraId="2A858A6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878" w:type="dxa"/>
          </w:tcPr>
          <w:p w14:paraId="601B5B9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2731" w:type="dxa"/>
          </w:tcPr>
          <w:p w14:paraId="1495CFA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Ту-2 к 1 июля 1944 г.</w:t>
            </w:r>
          </w:p>
        </w:tc>
      </w:tr>
      <w:tr w:rsidR="005106D0" w:rsidRPr="007224C3" w14:paraId="2B05013A" w14:textId="77777777">
        <w:tc>
          <w:tcPr>
            <w:tcW w:w="1878" w:type="dxa"/>
          </w:tcPr>
          <w:p w14:paraId="709A698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w:t>
            </w:r>
          </w:p>
        </w:tc>
        <w:tc>
          <w:tcPr>
            <w:tcW w:w="1878" w:type="dxa"/>
          </w:tcPr>
          <w:p w14:paraId="6ECE997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2731" w:type="dxa"/>
          </w:tcPr>
          <w:p w14:paraId="06E219D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Ил-4 к 20 мая 1944 г.</w:t>
            </w:r>
          </w:p>
        </w:tc>
      </w:tr>
    </w:tbl>
    <w:p w14:paraId="7A0CDE8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 ходе работы по отработке флюгерных винтов требую ежемесячного отчета (2562,57).</w:t>
      </w:r>
    </w:p>
    <w:p w14:paraId="5AC2577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A2F38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апреля 1944 года зам. начальника 7-го гл. управления НКАП Алексеев.</w:t>
      </w:r>
    </w:p>
    <w:p w14:paraId="426681A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Справка</w:t>
      </w:r>
    </w:p>
    <w:p w14:paraId="7189A3A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выполнению приказов Наркома о строительстве высотных самолетов по состоянию на 15 апреля 1944 г.</w:t>
      </w:r>
    </w:p>
    <w:p w14:paraId="4859689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Высотный вариант самолета Ла-5 с мотором АШ-82ФН и 2ТК-3.</w:t>
      </w:r>
    </w:p>
    <w:p w14:paraId="290F023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строился согласно приказов НКАП за N 355сс от 14 июня и N 523сс от 31 августа 1943 года. Заданная боевая высота - 1300 м.</w:t>
      </w:r>
    </w:p>
    <w:p w14:paraId="3FD4ADC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9 июля 1943 г. самолет проходит заводские испытания на заводе N 21. Всего произведено 30 полетов, из них 9 полетов на высоту свыше 9000 м.</w:t>
      </w:r>
    </w:p>
    <w:p w14:paraId="5D1B952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Наибольшая высота полета, достигнутая при испытаниях - 12500 м по прибору; в полете на этой высоте обнаружен перегрев масла и головок цилиндров мотора, особенно сильный у цилиндра N 1. Высокие температурные режимы мотора не позволили увеличить высоту полета, хотя, по заявлению летчика, на высоте 12500 м самолет сохранял способность горизонтального и вертикального маневров.</w:t>
      </w:r>
    </w:p>
    <w:p w14:paraId="06365F5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время испытаний сменено три мотора из-за появления стружки в маслосистеме. Замена моторов и их дефекты при полетах на больших высотах значительно задержали проведение летных испытаний.</w:t>
      </w:r>
    </w:p>
    <w:p w14:paraId="6EF4B32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процессе испытаний на самолете произведены следующие работы: установлен увеличенный масляный радиатор, смонтирована система впрыска воды в цилиндры мотора. Поставлен дополнительный бензобак на 60 кг, заменена маслопомпа МШ-1 на МШ-5, что повлекло переделки маслопровода и ряд других работ, связанных с устранением дефектов, выявленных в полете.</w:t>
      </w:r>
    </w:p>
    <w:p w14:paraId="3C8A70A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После доводочных работ на самолете, в полете достигнута высота 12000 м по прибору. Снижение высоты объясняется увеличением веса самолета на 100 кг за счет дополнительного бензина и воды.</w:t>
      </w:r>
    </w:p>
    <w:p w14:paraId="2610B69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зимних месяцев проводились одиночные полеты из-за отсутствия высоты. В марте произведено три полета до высоты 12000 м. При этих полетах винтомоторная группа работала нормально. В начале апреля самолет поставлен в цех на восстановительный ремонт из-за изношенности материальной части. Ремонт предполагается закончить в начале мая с.г.</w:t>
      </w:r>
    </w:p>
    <w:p w14:paraId="6A38DB3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После окончания ремонта будут производиться полеты для снятия летных характеристик и проведения исследовательских работ по доводке винто-моторной группы на высоте.</w:t>
      </w:r>
    </w:p>
    <w:p w14:paraId="223E1D6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Второй экземпляр высотного самолета ЛА-5 с АШ-82ФН и 2ТК-3</w:t>
      </w:r>
    </w:p>
    <w:p w14:paraId="43FAC52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увеличенной площадью крыла и оперения</w:t>
      </w:r>
    </w:p>
    <w:p w14:paraId="0669F64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строился согласно приказа НКАП за N 523сс от 31 августа 1943 года. Заданная боевая высота - 13500 м.</w:t>
      </w:r>
    </w:p>
    <w:p w14:paraId="2A19F9D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должен быть предъявлен на летные испытания 15 октября 1943 года.</w:t>
      </w:r>
    </w:p>
    <w:p w14:paraId="4192136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закончен производством в январе 1944 года. Задержка произошла из-за загрузки опытного цеха работами по самолету Ла-7.</w:t>
      </w:r>
    </w:p>
    <w:p w14:paraId="1BFF4B0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полетов не производилось из-за отсутствия летной погоды. Из-за появления стружки в маслосистеме при опробовании мотора на земле, произведена смена мотора.</w:t>
      </w:r>
    </w:p>
    <w:p w14:paraId="2BED577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марте произведено два контрольных полета до высоты 3000 м, винтомоторная группа работала нормально. Самолет подготовлен к полетам на снятие летных характеристик.</w:t>
      </w:r>
    </w:p>
    <w:p w14:paraId="4B41D5A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Полеты проводит летчик Шиянов.</w:t>
      </w:r>
    </w:p>
    <w:p w14:paraId="37AE954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Высотный самолет МИГ с мотором</w:t>
      </w:r>
    </w:p>
    <w:p w14:paraId="3FA1995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АМ-39А с 2ТК-2Б</w:t>
      </w:r>
    </w:p>
    <w:p w14:paraId="358367B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строился согласно приказов НКАП за N 355сс от 14 июня и N 523сс от 31 августа 1943 года.</w:t>
      </w:r>
    </w:p>
    <w:p w14:paraId="0D2E55D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Заданный потолок для самолета - 14000 м.</w:t>
      </w:r>
    </w:p>
    <w:p w14:paraId="459FA65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1-й экземпляр самолета без герметической кабины, проходил летные заводские испытания с 2.12.1943 г. по 7.03.1944 г. На летные испытания этот самолет был выпущен с опозданием на 2 месяца из-за несвоевременной подачи мотора АМ-39 заводом N 300.</w:t>
      </w:r>
    </w:p>
    <w:p w14:paraId="18BE43C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время летных испытаний, самолет произвел девять полетов, из них:</w:t>
      </w:r>
    </w:p>
    <w:p w14:paraId="563A3A9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полета без включения ТК на 1-й скорости нагнетателя на высотах до 5000 м,</w:t>
      </w:r>
    </w:p>
    <w:p w14:paraId="12E7DB1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полета на 2-й скорости нагнетателя без включения ТК на высотах 800 и 3000 м,</w:t>
      </w:r>
    </w:p>
    <w:p w14:paraId="63CD392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полета с включением ТК на высотах 1000, 2000, 3000, 4000, 8000 и 9300 м.</w:t>
      </w:r>
    </w:p>
    <w:p w14:paraId="53167CA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время испытаний имело место падение давления масла и колебания в давлении бензина. Эти дефекты были устранены и в последних полетах не наблюдались.</w:t>
      </w:r>
    </w:p>
    <w:p w14:paraId="20B9440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полете 7.02.1944 года с работающим ТК самолет разбился. Летчик выбросился на парашюте с высоты 900 м. Причиной аварии самолета явилась неправильная оценка обстановки летчиком Журавлевым, которым было принято за начавшийся пожар - появление дыма в кабине и длинных факелов пламени из выхлопных патрубков ТК.</w:t>
      </w:r>
    </w:p>
    <w:p w14:paraId="7E7371D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2-й экземпляр самолета с герметической кабиной находится в производстве с макетным мотором. Выпуск его задерживается из-за отсутствия летного мотора, который до сего времени не подан, несмотря на неоднократно устанавливавшиеся сроки заводом N 300. Общая готовность по постройке составляет 95%.</w:t>
      </w:r>
    </w:p>
    <w:p w14:paraId="2DE3593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3-й экземпляр самолета с герметической кабиной находится в производстве, в агрегатной сборке. Общая готовность по постройке составляет 20%.</w:t>
      </w:r>
    </w:p>
    <w:p w14:paraId="05E3570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Высотный бомбардировщик Ил-4 с</w:t>
      </w:r>
    </w:p>
    <w:p w14:paraId="7D8F31A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2М-88Б и ТК</w:t>
      </w:r>
    </w:p>
    <w:p w14:paraId="79720DF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выпускался согласно приказов НКАП за N 835сс от 12 ноября 1942 г. и N 523сс от 31 августа 1943 г.</w:t>
      </w:r>
    </w:p>
    <w:p w14:paraId="278EC5A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1-й экземпляр самолета Ил-4 с 2М-88Б, оборудованными ТК-3, без герметической кабины, был выпущен на испытания 18 декабря 1942 г., за два дня до установленного приказом срока.</w:t>
      </w:r>
    </w:p>
    <w:p w14:paraId="2B405F9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время заводских испытаний было выполнено 11 полетов, в которых была достигнута высота 7100 м, вместо 9500 м по расчету.</w:t>
      </w:r>
    </w:p>
    <w:p w14:paraId="5F9F32B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Ввиду неудовлетворительной работы ВМГ с ТК, самолет был передан 10 августа 1943 г. в ЛИИ, согласно приказа НКАП N 444с от 24 июля 1943 г., для отработки ВМГ т ТК при участии ЦИАМ"а.</w:t>
      </w:r>
    </w:p>
    <w:p w14:paraId="796965A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Испытаниями установлено:</w:t>
      </w:r>
    </w:p>
    <w:p w14:paraId="5B6E9DD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граница высотности мотора М-88Б с включенными турбокомпрессорами равна 7650 м, на режиме горизонтального полета на максимальной скорости.</w:t>
      </w:r>
    </w:p>
    <w:p w14:paraId="3DA98AC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Полученная граница высотности на 1000 м ниже, заявленной ЦИАМ.</w:t>
      </w:r>
    </w:p>
    <w:p w14:paraId="2C3E006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Установка ТК-3 на самолете Ил-4 вызвала изменение форм самолета, что увеличило аэродинамическое сопротивление и ухудшило обтекание отдельных частей самолета. Вследствие этого максимальная скорость на расчетной высоте снизилась на 20-22 км/час, ухудшилась скороподъемность на 15,5% и появились вибрации хвостового оперения и обшивки фюзеляжа.</w:t>
      </w:r>
    </w:p>
    <w:p w14:paraId="61A2893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Из-за наличия ряда существенных недостатков винтомоторной установки дальнейшие испытания самолета Ил-4 прекращены и самолет возвращен заводу N 240.</w:t>
      </w:r>
    </w:p>
    <w:p w14:paraId="33780C3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2-й экземпляр самолета проходил заводские испытания с 10 марта по 29 мая 1943 года с герметической кабиной первого варианта и с 10 августа 1943 года с герметической кабиной второго варианта и турбокомпрессорами ТК-М, вместо ТК-3.</w:t>
      </w:r>
    </w:p>
    <w:p w14:paraId="1F790A5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данном экземпляре самолета полеты выше 7500 м не производились из-за дефектов винтов.</w:t>
      </w:r>
    </w:p>
    <w:p w14:paraId="018DC70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Была обнаружена раскрутка трехлопастных винтов ВИШ-61П, а также замененных четырехлопастных винтов АВ-9.</w:t>
      </w:r>
    </w:p>
    <w:p w14:paraId="371A20B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Доводочные работы по винтам были выполнены к 10 ноября 1943 года.</w:t>
      </w:r>
    </w:p>
    <w:p w14:paraId="0065713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Дальнейшие испытания самолета прекращены по распоряжению С.В.И., ввиду загрузки завода N 240 по проведению испытаний самолетов Ил-2 с АМ-42.</w:t>
      </w:r>
    </w:p>
    <w:p w14:paraId="4EB4DF1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Высотный двухмоторный истребитель</w:t>
      </w:r>
    </w:p>
    <w:p w14:paraId="0BDE365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Пе-2 с 2М-105ПД</w:t>
      </w:r>
    </w:p>
    <w:p w14:paraId="66D875E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выпускался согласно приказа НКАП за N 835сс от 12 ноября 1942 г.</w:t>
      </w:r>
    </w:p>
    <w:p w14:paraId="19313E1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Пе-2 с 2М-105ПД был закончен в производстве и передан на заводские испытания в апреле 1943 г.</w:t>
      </w:r>
    </w:p>
    <w:p w14:paraId="11280A9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испытаниях было произведено 15 полетов, во время которых выявился ряд дефектов моторов. Устранить полностью эти дефекты бригада ЦИАМ не смогла. В октябре 1943 г., согласно приказа N 523с от 31 августа 1943 г., самолет был передан заводу N 482 и ЛИИ для доводки винтомоторной группы, герметической кабины.</w:t>
      </w:r>
    </w:p>
    <w:p w14:paraId="482C187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После доводки винтомоторной группы, в ЛИИ самолет произвел 9 полетов, в течении которых имело место попадание газов из цилиндра в рубашку блока у одного из моторов.</w:t>
      </w:r>
    </w:p>
    <w:p w14:paraId="5EB2F7C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время летных испытаний на самолете достигнута наибольшая высота 10500 м. По заключению ЛИИ практический потолок самолета не превышает 11000 м.</w:t>
      </w:r>
    </w:p>
    <w:p w14:paraId="12D94F4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находится на заводе N 482, где производится устранение дефектов, выявленных при испытании. Самолет не обеспечен кондиционными моторами, которые до сего времени (с декабря 1943 г.) не поданы ЦИАМ.</w:t>
      </w:r>
    </w:p>
    <w:p w14:paraId="35C2845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Высотный вариант самолета Як-9</w:t>
      </w:r>
    </w:p>
    <w:p w14:paraId="025D11D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мотором М-105ПД</w:t>
      </w:r>
    </w:p>
    <w:p w14:paraId="4782636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Самолет строился согласно приказов НКАП N 355сс от 14 июня и N 523сс от 31 августа 1943 г.</w:t>
      </w:r>
    </w:p>
    <w:p w14:paraId="702D7C9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Первый экземпляр самолета, для которого была задана боевая высота 13000 м, был выпущен на заводские испытания 29 июля 1943 г., в срок установленный по приказу.</w:t>
      </w:r>
    </w:p>
    <w:p w14:paraId="1C122AA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Поставленный ЦИАМ"ом мотор с увеличенной редукцией нагнетателя оказался с некондиционными шестернями, в результате чего испытания были начаты лишь 26 августа 1943 г.</w:t>
      </w:r>
    </w:p>
    <w:p w14:paraId="7FFA917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 время испытаний в полетах на высоте более 11000 м происходило образование работы мотора из-за плохой регулировки смеси высотным корректором, сильное перегревание и падение давления масла в моторе.</w:t>
      </w:r>
    </w:p>
    <w:p w14:paraId="4AAAA14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 время испытаний производилась отработка на высоте водяной, масляной бензосистем, а также зажигания. Так как все эти работы проводились последовательно, испытания затянулись. В октябре 1943 г. на самолете был установлен второй мотор с повышенной высотностью до 9500 м на расчетном режиме (по данным ЦИАМ). До установки мотора с повышенной высотностью на самолете был произведен 21 полет.</w:t>
      </w:r>
    </w:p>
    <w:p w14:paraId="0EF9D2C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октября 1943 г. был совершен полет летчиком Югановым, в котором была достигнута высота 13000 м. Эта высота близка к потолку для самолета Як-9, т.к. скороподъемность на указанной высоте была 0,5-0,75 м/сек.</w:t>
      </w:r>
    </w:p>
    <w:p w14:paraId="2117AF5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Первый мотор М-105ПД с высотностью 9500 м был подан заводу N 115 с опозданием на 34 дня, второй мотор с опозданием на 15 дней.</w:t>
      </w:r>
    </w:p>
    <w:p w14:paraId="24ADE23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настоящее время самолет стоит на заводе N 115 в ожидании доработки винтомоторной группы по увеличении ее высотности.</w:t>
      </w:r>
    </w:p>
    <w:p w14:paraId="3DCD04E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Приказом НКАП N 212с от 23 марта 1944 г. постройка второго экземпляра самолета Як-9 с М-105ПД с боевой высотой 13500 м, предусмотренная приказом N 523сс от 31 марта 1943 г., отменена (1825,208).</w:t>
      </w:r>
    </w:p>
    <w:p w14:paraId="7D418AA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70EAC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 15 апреля 1944 года первый высотный Ла-5 выполнил 30 испытательных полетов, из них девять - на высоте более 9000 м. Но выше 12 500 м подняться не удавалось, хотя самолет отличался достаточной маневренностью: как горизонтальной, так и вертикальной на этой высоте. Испытания шли тяжело, перегревались масло и головки цилиндров двигателя, падало давление бензина. Все это не позволяло достигнуть расчетного потолка. За отмеченный период пришлось заменить три двигателя, увеличить объем масло- радиатора и поставить дополнительный масляный бак на 60 кг. Вырос запас горючего и появился бак с водой, предназначавшейся для охлаждения цилиндров мотора при ее впрыске в клапанные коробки. В итоге вес машины возрос на 100 кг, а потолок снизился до 12 000 м (12032).</w:t>
      </w:r>
    </w:p>
    <w:p w14:paraId="44EAD00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3C1F5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15 апреля по 20 ноября 1944 П.Я.Федрови проводил заводские испытания Як-3-1 с ВК-107А с ВИШ-107ЛО диаметром 3.1 м смешанной конструкции и было выполнено 38 полетов продолжительностью 14:50. Ви был А.М.Дружинин, а м - О.В.Яницкий. До 25 полета в основном доводили ВМГ (65,185).</w:t>
      </w:r>
    </w:p>
    <w:p w14:paraId="408B5BA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479957"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апреля в 1944 году начались (по 20 ноября) заводские испытания истребителя «Як-З» «ВК-107», ОКБ Яковлева (ведущий летчик П.Я.Федрови, ведущий инженер А.М.Дружинин, механик О.В.Яницкий). Опытный «Як-З» смешанной конструкции с двигателем «ВК-107А»и винтом «ВИШ-107ЛО» диаметром 3,1 м являлся модификацией «Як-З ВК-105ПФ2» и отличался от него, главным образом, установкой более мощного и более высотного двигателя ВК-107А. Вооружение состояло из двух синхронных пушек «Б-20С» калибра 20 мм с боезапасом по 120 снарядов. Спецоборудование не изменилось за исключением того, что установлены однолучевая безмачтовая антенна вместо двухлучевой; вольтметр; генератор «ГС-15-500» взамен «ГС-10-350». Заводские испытания проводились со снятым вооружением при полетной массе 2800 кг. Было выполнено 38 полетов общей продолжительностью 14 ч 50 мин. Двигатель «ВК-107А» работал неудовлетворительно и трижды выходил из строя, чему способствовало недостаточное охлаждение воды и масла. Поэтому заводские испытания самолета свелись по существу к доводке двигателя и ВМГ, и лишь после 25 полетов состояние ВМГ позволило проводить испытания со снятием летных характеристик (15100).</w:t>
      </w:r>
    </w:p>
    <w:p w14:paraId="7ED2749F" w14:textId="77777777" w:rsidR="001732E9" w:rsidRPr="007224C3" w:rsidRDefault="001732E9" w:rsidP="007224C3">
      <w:pPr>
        <w:spacing w:after="0" w:line="240" w:lineRule="auto"/>
        <w:jc w:val="both"/>
        <w:rPr>
          <w:rFonts w:ascii="Times New Roman" w:hAnsi="Times New Roman"/>
          <w:color w:val="000000" w:themeColor="text1"/>
          <w:sz w:val="16"/>
          <w:szCs w:val="16"/>
        </w:rPr>
      </w:pPr>
    </w:p>
    <w:p w14:paraId="6AD0E5AE"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апреля 1944. катастрофа погиб летчик-испытатель А.И.Кокин при выполнении испытательного полёта на «Як-9У» с «М-107А» (15100).</w:t>
      </w:r>
    </w:p>
    <w:p w14:paraId="6B083008" w14:textId="77777777" w:rsidR="001732E9" w:rsidRPr="007224C3" w:rsidRDefault="001732E9" w:rsidP="007224C3">
      <w:pPr>
        <w:spacing w:after="0" w:line="240" w:lineRule="auto"/>
        <w:jc w:val="both"/>
        <w:rPr>
          <w:rFonts w:ascii="Times New Roman" w:hAnsi="Times New Roman"/>
          <w:color w:val="000000" w:themeColor="text1"/>
          <w:sz w:val="16"/>
          <w:szCs w:val="16"/>
        </w:rPr>
      </w:pPr>
    </w:p>
    <w:p w14:paraId="34278B6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апреля 1944 года вышел приказ НКАП</w:t>
      </w:r>
    </w:p>
    <w:p w14:paraId="6C1CE3C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Утвердить директором завода № 161 Чубилкина Д.П., освободить Масальского М.Г. (8925)</w:t>
      </w:r>
    </w:p>
    <w:p w14:paraId="2B5B744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апреля 1944 г. в ходе доводки произошла катастрофа с Як-9 М-107А. Неожиданно вспыхнул мотор и пытаясь спасти опытный самолет Андрей Иванович Кокин погиб. По мнению аварийной комиссии, причиной катастрофы стала поломка нипеля бензиновой трубки и протечка бензина с его последующим загоранием (4842).</w:t>
      </w:r>
    </w:p>
    <w:p w14:paraId="6E88B51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98F3E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апреля 1944 на завод 155 А.И.М. с завода 300 А.А.М. был подан высотный мотор АМ-39 с воздушно-воздушным радиатором вместо водо-воздушного (1824,5). Задержка была вызвана просьбой А.И.М., который перекомпонововал машину под этот мотор (1824,20).</w:t>
      </w:r>
    </w:p>
    <w:p w14:paraId="3FD19AC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2C2839"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241001A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51D241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15 апреля по 18 мая 1944 года на НИМАПе были проведены полигонные испытания 37-мм спаренной автоматической палубной установки В-11 в объеме 1193 выстрелов. На полигонных испытаниях после непрерывной очереди в 83 выстрела вода в кожухе закипела, а после 166 выстрелов вода полностью обратилась в пар. По проекту механизм стабилизации должен был иметь электрический привод, а опытный и серийные образцы имели только ручной привод (3861).</w:t>
      </w:r>
    </w:p>
    <w:p w14:paraId="19FD47F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BE9384"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15 апреля 1944 г. из ОТЧЕТА ДИРЕКТОРА КОМБИНАТА № 179 НОВОСИБИРСКОМУ ОБЛАСТНОМУ КОМИТЕТУ ВКП(б) О РАБОТЕ ОРДЕНА ЛЕНИНА КОМБИНАТА № 179 ЗА ВРЕМЯ ОТЕЧЕСТВЕННОЙ ВОЙНЫ» </w:t>
      </w:r>
    </w:p>
    <w:p w14:paraId="3E2DFF0D"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Новосибирскому областному комитету ВКП(б)</w:t>
      </w:r>
    </w:p>
    <w:p w14:paraId="059E763C"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Отдел боеприпасов</w:t>
      </w:r>
    </w:p>
    <w:p w14:paraId="2B2A8D7A"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1 апреля 1944 года комбинат имеет 15 200 человек рабочих и выпускает 10 видов боеприпасов, в том числе:</w:t>
      </w:r>
    </w:p>
    <w:p w14:paraId="1A824535"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76 мм ОФС с месячным выпуском в марте — 760, 0 тыс. шт.</w:t>
      </w:r>
    </w:p>
    <w:p w14:paraId="12A5CB76"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122 мм ОФС с месячным выпуском в марте — 111,0 тыс. шт.</w:t>
      </w:r>
    </w:p>
    <w:p w14:paraId="7D7B3319"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152 мм ОФС с месячным выпуском в марте — 51,0 тыс. шт.</w:t>
      </w:r>
    </w:p>
    <w:p w14:paraId="7A643FFD"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ФАБ-100 с месячным выпуском в марте — 7,0 тыс. шт.</w:t>
      </w:r>
    </w:p>
    <w:p w14:paraId="72F7BB20"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ФАБ-50 с месячным выпуском в марте — 7,0 тыс. шт.</w:t>
      </w:r>
    </w:p>
    <w:p w14:paraId="24D2C252"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АО-25 с месячным выпуском в марте — 6,0 тыс. шт.</w:t>
      </w:r>
    </w:p>
    <w:p w14:paraId="44759BD4"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Штамповка детали 7 изделия М-8 в марте — 6,0 тыс. шт.</w:t>
      </w:r>
    </w:p>
    <w:p w14:paraId="6EE7FE43"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Штамповка 122 мм гаубицы в марте — 45,0 тыс. шт.</w:t>
      </w:r>
    </w:p>
    <w:p w14:paraId="55123FE8"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Штамповка детали 10 изделия М-8 в марте — 18,0 тыс. шт.</w:t>
      </w:r>
    </w:p>
    <w:p w14:paraId="382A92F4"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Отливка 120 мм мины в марте — 66,0 тыс. шт. Выпуск всех этих изделий освоен в период войны.</w:t>
      </w:r>
    </w:p>
    <w:p w14:paraId="54547527"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За период войны из состава комбината были выделены в самостоятельные заводы союзного значения: заводы № 188 - НКВ, № 65 - НКБ, № 677 - НКБ, № 556 - НКБ, № 325 - НКБ, № 702 - НКЧМ. Восстановление и пуск прибывших в конце 1941 года эвакуированных заводов №№ 65, 187/556, 513/325 основной своей тяжестью легло на коллектив комбината № 179. Размещение этих заводов в большинстве проходило во вновь строящихся зданиях. Оборудование эвакуированных предприятий поступало некомплектно, а трансмиссионные устройства — лишь в размере 10-12%. Из поступившего механического оборудования в большинстве случаев нельзя было собрать полностью даже одной нитки. Таким образом, помимо окончания строительства и монтажа эвакуированного оборудования, комбинат должен был в условиях разворота собственного производства, острого недостатка квалифицированных рабочих и мастеров решать задачи по изготовлению нестандартного оборудования, переделке станков, изготовлению трансмиссии и изысканию моторов для перевода станков на индивидуальный привод. Решение этих задач проводилось в весьма сжатые сроки. Основательно комбинат встал на прочные ноги в 1943 году. В 1943 году коллектив комбината № 179 впервые за все время ... существования предприятия добился перевыполнения годового плана. В течение пяти месяцев 1943 года комбинат завоевывал первое место во Всесоюзном социалистическом соревновании заводов НКБ и был держателем переходящего Красного знамени ЦК ВКЩб). За образцовое выполнение заданий правительства по производству и освоению новых видов боеприпасов Указом Президиума Верховного Совета СССР от 28 сентября 1943 года комбинат был награжден высшей наградой Советского Союза — орденом Ленина. Одновременно были награждены орденами и медалями Советского Союза 127 человек, наиболее отличившихся рабочих и руководящих работников комбината. Всего количество награжденных правительственными наградами за работу на комбинате - 144 человека. На протяжении 1-го квартала 1944 года комбинат систематически увеличивает выпуск боеприпасов и перевыполняет правительственные задания. </w:t>
      </w:r>
    </w:p>
    <w:p w14:paraId="471F4331"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Дано сверхплановой продукции в фонд обороны страны на 12,7 миллионов рублей. В январе комбинату присуждено третье место, в феврале — второе и в марте - первое место во Всесоюзном соревновании заводов НКБ. Лучшими стахановцами комбината являются: тов. ШИРШОВ Павел Ефимович — токарь цеха № 51, член ВКЩб), инициатор движения тысячников Новосибирской области, награжден орденом Ленина. В настоящее время переведен на работу мастером, его участок систематически перевыполняет план. Тов. ОЧЕНЕВ Петр Михайлович, бригадир штамповщиков цеха № 1, кандидат в члены ВКП(б), из месяца в месяц повышает производительность труда, выполняя задание на 175-200%, за отличную работу награжден орденом Красной Звезды. Тов. ГУСЕВ Николай Васильевич, токарь-</w:t>
      </w:r>
      <w:r w:rsidRPr="007224C3">
        <w:rPr>
          <w:rFonts w:ascii="Times New Roman" w:hAnsi="Times New Roman"/>
          <w:color w:val="000000" w:themeColor="text1"/>
          <w:sz w:val="16"/>
          <w:szCs w:val="16"/>
        </w:rPr>
        <w:lastRenderedPageBreak/>
        <w:t>инструментальщик, член ВКП(б), один из инициаторов движения многостаночников на комбинате. В начале Отечественной войны, когда комбинат испытывал острую нужду в штампажном инструменте, т. Гусев своими рацпредложениями и мероприятиями по усовершенствованию технологии помог расшить это узкое место. Недавно т. Гусев усовершенствовал техпроцесс пуансонов, что увеличило производительность [труда] токарей на этой работе на 30—40%. За стахановский труд т. Гусев награжден орденом Ленина. Тов. УСТЬЯНЦЕВ Александр Игнатьевич, кузнец цеха X2 54, систематически выполняет более двух норм в смену. Совершенствуя методы работы, он добивается их улучшения, действуя в контакте с инженерно-техническими работниками, успешно решил задачу правительства — освоить и выпустить коленчатый вал мотора для трактора, участие в освоении этой детали т. Устьянцев совмещал с организацией социалистического соревнования кузнецов цеха № 54. Когда тов. Устьянцев добивался рекорда выполнения задания по валам, то это вызывало на соревнование его сменщика тов. Великжанина, который стремился побить его рекорд. Это социалистическое соревнование кузнецов цеха № 54 привело к успешному выполнению комбинатом задания по изготовлению запчастей и деталей для сельскохозяйственных машин. Тов. АЛЕХИН, бригадир штамповщиков цеха № 8, систематически перевыполняет задания. Четкая организация работы в бригаде, обсуждение бригадой ежедневно итогов работы и намечение плана работы на следующий день, своевременное устранение возникающих неполадок в процессе работы является залогом успешной работы бригады. Цех X* 8 осваивал новое изделие, бригада т. Алехина поставила своей задачей добиться максимальной выработки. Тщательно подготовив агрегаты, т. Алехин 5 марта добился рекордной выработки. В этот день он выполнил норму на 194%. Оставшись неудовлетворенным, т. Алехин на следующий день перекрыл свой рекорд, выполнив задание на 220,5%. Рекорд т. Алехина послужил толчком к новому подъему предмайского социалистического соревнования в цехе, и поэтому цех выполнил мартовскую программу на 127,2%. Тов. ШАНДАЕВ Григорий Матвеевич, по командировке Прокопьев-ского горкома ВКП(б) был направлен на комбинат № 179 в качестве станочника в октябре 1941 г., с октября 1941 г. по февраль 1942 г. т. Шандаев работал станочником опер[ации] № 13 в цехе № 20, где значительно перевыполнял нормы — до 150%, быстро изучил настройку станка и его устройство. За хорошую работу в феврале 1942 года был выдвинут на должность бригадира-наладчик а. С новой работой т. Шандаев быстро освоился, и его бригада систематически стала перевыполнять задания. Много станочников обучил тов. Шандаев, которые сейчас работают бригадирами и мастерами. В январе 1943 года т. Шандаев был выдвинут на должность мастера. Вскоре его участок стал передовым по цеху. За хорошую работу премирован костюмом и неоднократно деньгами. Участок мастера Шандаева систематически перевыполнял задание, давая 130-140% плана. В феврале 1943 года т. Шандаев был принят в кандидаты ВКП(б). Как хороший производственник в феврале 1944 года был назначен начальником участка. За результаты работы в марте он получил звание «Лучший начальник участка по механическим цехам комбината за март месяц». Апрельское повышенное задание т. Шандаев значительно перевыполняет. Тов. ТЕРЕШИНА Таисия Федоровна, член ВЛКСМ. Тов. Терешина прибыла для работы на комбинате по мобилизации из города Прокопьевска в апреле месяце 1942 года. С первых дней своей работы т. Терешина освоила хорошо работу своего станка. Она явилась первым инициатором 2-станочного обслуживания в цехе. Кроме того, в период развертывания предмайского соцсоревнования и борьбы за право подписать предмайский рапорт товарищу Сталину т. Терешина перешла работать с обслуживанием сразу трех станков. Она также явилась инициатором трехстаночного обслуживания. Задания свои перевыполняет систематически: за февраль месяц - на 129%, за март — на 135% и за 10 дней апреля - на 127%. С первых чисел апреля месяца т. Терешина руководит комсомольско-молодежной бригадой. За время Отечественной войны по освоению производств, расшивке узких мест, повышению производительности труда, усовершенствованию технологии, экономии материалов и инструмента, замене остродефицитных материалов на комбинате было подано 3 393 рационализаторских предложения, из коих 1 498 предложений внедрено, с условной годовой экономией от внедрения этих предложений 83 698 тыс. рублей. В настоящее время комбинат насчитывает 1 434 человека рационализаторов и изобретателей. Лучшими рационализаторами производства комбината являются: тов. КОРОЛЕВ М.Н.- заместитель главного инженера (бывший начальник цеха), предложил охлаждение матрицы и др.- экономия 2 000 тыс. рублей. Тов. ДРОБНИЦА К.К.- инженер, предложил новый способ протяжки изделий и др.- экономия более 600 тыс. рублей. Тов. ПУШКАНЦЕР Л.— мастер, усовершенствовал некоторые узлы ковочных машин и др.- экономия более 1 000 тыс. руб. тт. КЛИМОВ, ВУЛЬФОВИЧ и ФЕЛЬДМАН - авторы предложения упрощения конструкции цельнокорпусного 122 мм ОФС, обеспечивающей сокращение времени на обработку на 42,3% и экономию топлива за счет отмены термообработки при полном использовании мощности в 4 800 тонн в год. Тов. ФРИД И.Л.- рационализатор и изобретатель, является автором ряда предложений по изменению и упрощению технологии. За период Отечественной войны на комбинате была проделана большая работа по усовершенствованию технологического процесса изготовляемых изделий. По изделию 122 мм ОФС комбинатом разработаны конструкция и технология цельнокорпусного снаряда без термообработки. Внедрение нового изделия в марте 1944 года, с отменой термообработки, а также применением штамповки с внутренним конусом в каморе, позволило значительно сократить время за счет уменьшения числа операций, припусков под механическую обработку и увеличения режимов резания. Станочное время сокращено на одну штуку с 85,00 до 45,34 минуты, или на 42,3%, суммарное время — с 99,80 до 54,36 минуты, или на 45,5%. Помимо уменьшения затрат станочного времени на механическую обработку, перевод производства на изделие этой конструкции позволил высвободить цех по изготовлению головок, насчитывающий 140 единиц оборудования, и использовать его на выпуск 76 мм ОФС. Предусмотренная конструкцией этого изделия отмена термообработки позволила высвободить участок термических печей и сэкономить 4 кг угля на единицу изделия, что при использовании полной мощности даст годовую экономию 4 800 тонн угля. По цельнокорпусным снарядам 152 мм применен внутренний конус под обжим с экономией металла 4,25 кг на штуку, или 6%, что при использовании существующей мощности составит годовую экономию 3 060 тонн металла. В 1943 году и в I квартале 1944 года на комбинате была проделана значительная работа по внедрению поточного метода производства. В целом ряде цехов были проведены технологические перепланировки оборудования, были смонтированы и сданы в эксплуатацию транспортеры, рольганги, конвейеры и узкоколейные железнодорожные пути. Новая планировка оборудования и введение механизации межцехового и внутрицехового транспорта, создав поточность в производстве, позволили улучшить использование оборудования, высвободить значительное количество вспомогательных рабочих и одновременно увеличить выпуск продукции. Упрощение технологических процессов, внедрение новых, более совершенных конструкций изделий, введение поточного метода производства с механизацией транспортировки позволили резко снизить себестоимость выпускаемых изделий. За 1942—1943 гг. и два месяца 1944 года себестоимость 76 мм ОФС снижена на 52%, 122 мм ОФС — на 42% и 152 мм ОФС - на 30%. В I квартале 1944 года на комбинате имел место бурный рост Комсомольске-молодежных бригад, за это время число бригад увеличилось на 127 и составляет на 1 апреля 1944 года 170. Также значительно увеличилось число членов бригад. В феврале месяце 1944 года в бригадах состояло 452 человека, к 1 апреля их число выросло до 730 человек. Своей стахановской работой эти товарищи сэкономили труд более 400 человек, так как средний уровень выполнения ими выработки составил 160%. Лучшими бригадами комбината являются: бригада т. САМОХВАЛОВА (цех № 7). Эта бригада добилась наилучшей выработки. В марте она выполнила задание на 386%, бригада широко практикует взаимопомощь, бригада обучила одного ученика. Бригада т. ОСТАПЕНКО (цех № 8) работает на одной из труднейших операций основного изделия комбината. Несмотря на это, в бригаде нет ни одного не выполняющего норм выработки и бригада выполнила свое задание на 112,3%. Этой бригаде за март месяц присуждена вторая премия и звание «Фронтовая комсомольско-молодежная бригада». Комсомольске-молодежная бригада т. МИРОШНИКОВОЙ (производство № 8), состоящая из девушек, добилась дружной работой и взаимопомощью выполнения задания на 170% и сумела высвободить для других участков производства 3 человека. Бригаде стерженщиц цеха № 18 т. ТИТОВСКОЙ уже второй месяц присуждается премия за хорошие результаты работы. В марте эта бригада выполнила задание на 199%. Для улучшения быта молодых рабочих комбината организован молодежный городок на 1 100 человек с обеспечением питания, бельем, одеждой и обувью. Построен дом отдыха на 100 человек. Строится и в ближайшее время будет открыт ночной туберкулезный санаторий на 100 человек, заводская поликлиника на 60 врачебных приемов. Создан в больших размерах ряд новых отраслей хозяйства: свинооткорм, овцеводство, организуется пчеловодство и т.д. Систематически возрастает улов рыбы на собственных рыбопромыслах. Улов рыбы-сырца в центнерах: за 1942 год - 3 170,1943 год - 8 273, за I квартал 1944 года - 2 200 (план на 1944 г. - 6 000). За счет продуктов, получаемых от пригородных хозяйств, рыбной ловли, децентрализованных заготовок и закупок, в 1943 году и в I квартале 1944 г. рабочим, ИТР и служащим комбината ежедневно отпускалось 43 880 дополнительных блюд сверх централизованного снабжения. При условии выполнения намеченных плановых заданий к концу года отпуск блюд по дополнительному бескарточному питанию будет доведен до 75 000 в сутки. Вся продукция собственных подсобных мастерских составит за два года свыше 10 миллионов рублей. Кроме того, выработано в 1943 году обуви и одежды для рабочих комбината через местную промышленность и промысловую кооперацию на 2 150 тысяч рублей.</w:t>
      </w:r>
    </w:p>
    <w:p w14:paraId="15618978"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ордена Ленина комбината № 179 Саханицкий</w:t>
      </w:r>
    </w:p>
    <w:p w14:paraId="59E36BD3"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Парторг ЦК ВКП(б) Жидков</w:t>
      </w:r>
    </w:p>
    <w:p w14:paraId="04AC7671"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ГАНО. Ф. П-22. Оп. 3. Д. 1598. Л. 4-И, 13-15. Заверенная копия.</w:t>
      </w:r>
    </w:p>
    <w:p w14:paraId="67487908"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Документ составлен на бланке комбината № 179 10 апреля 1944 г. в 2 экз. Отправлен согласно дате на штампе в верхнем левом углу 15 апреля 1944 г. в обком ВКП(б). кроме того. 3 экз. копий — в обком, горком партии и партком комбината. Подписи Саханицкого и Жидкова отсутствуют. Подпись-росчерк заверявшего не читается (12160).</w:t>
      </w:r>
    </w:p>
    <w:p w14:paraId="625819A5" w14:textId="77777777" w:rsidR="00137373" w:rsidRPr="007224C3" w:rsidRDefault="00137373" w:rsidP="007224C3">
      <w:pPr>
        <w:spacing w:after="0" w:line="240" w:lineRule="auto"/>
        <w:jc w:val="both"/>
        <w:rPr>
          <w:rFonts w:ascii="Times New Roman" w:hAnsi="Times New Roman"/>
          <w:color w:val="000000" w:themeColor="text1"/>
          <w:sz w:val="16"/>
          <w:szCs w:val="16"/>
        </w:rPr>
      </w:pPr>
    </w:p>
    <w:p w14:paraId="68DCC4CD" w14:textId="77777777" w:rsidR="00A61476" w:rsidRPr="007224C3" w:rsidRDefault="00A61476" w:rsidP="007224C3">
      <w:pPr>
        <w:pStyle w:val="ae"/>
        <w:spacing w:before="0" w:after="0"/>
        <w:jc w:val="both"/>
        <w:textAlignment w:val="baseline"/>
        <w:rPr>
          <w:color w:val="000000" w:themeColor="text1"/>
          <w:sz w:val="16"/>
          <w:szCs w:val="16"/>
        </w:rPr>
      </w:pPr>
      <w:r w:rsidRPr="007224C3">
        <w:rPr>
          <w:color w:val="000000" w:themeColor="text1"/>
          <w:sz w:val="16"/>
          <w:szCs w:val="16"/>
        </w:rPr>
        <w:t>К 15 апреля 1944 ни одного корпуса Т-44 на заводе №183 не изготовили. Даже при наличии корпусов всё равно танки к сроку не изготовили бы, поскольку завод №75 по состоянию на 15 апреля не сдал ни одного двигателя В-2-44. Перепроектирования потребовала и башня. Во-первых, из-за отказа от 122-мм орудия Д-25-44 необходимость в погоне диаметром 1800 мм отпала — оптимальным стал вариант башни с диаметром погона 1600 мм. Во-вторых, башня потребовала доработки, причём не только по результатам полигонных испытаний. Переделка будки механика-водителя позволила убрать уязвимую для вражеских снарядов «шею». В-третьих, менялось вооружение: вместо 85-мм орудия Д-5Т танк получал орудие ЗИС-С-53 того же калибра. С весны 1944 года это орудие стало штатным для </w:t>
      </w:r>
      <w:hyperlink r:id="rId104" w:history="1">
        <w:r w:rsidRPr="007224C3">
          <w:rPr>
            <w:rStyle w:val="a5"/>
            <w:bCs/>
            <w:iCs/>
            <w:color w:val="000000" w:themeColor="text1"/>
            <w:sz w:val="16"/>
            <w:szCs w:val="16"/>
            <w:bdr w:val="none" w:sz="0" w:space="0" w:color="auto" w:frame="1"/>
          </w:rPr>
          <w:t>Т-34-85</w:t>
        </w:r>
      </w:hyperlink>
      <w:r w:rsidRPr="007224C3">
        <w:rPr>
          <w:color w:val="000000" w:themeColor="text1"/>
          <w:sz w:val="16"/>
          <w:szCs w:val="16"/>
        </w:rPr>
        <w:t>, а производство Д-5Т прекратили. Одним словом, набрался приличный объём причин, по которым разработка улучшенной версии Т-44 задержалась.</w:t>
      </w:r>
    </w:p>
    <w:p w14:paraId="7876E1F5" w14:textId="77777777" w:rsidR="00A61476" w:rsidRPr="007224C3" w:rsidRDefault="00A61476" w:rsidP="007224C3">
      <w:pPr>
        <w:spacing w:after="0" w:line="240" w:lineRule="auto"/>
        <w:jc w:val="both"/>
        <w:textAlignment w:val="baseline"/>
        <w:rPr>
          <w:rFonts w:ascii="Times New Roman" w:hAnsi="Times New Roman"/>
          <w:color w:val="000000" w:themeColor="text1"/>
          <w:sz w:val="16"/>
          <w:szCs w:val="16"/>
        </w:rPr>
      </w:pPr>
      <w:r w:rsidRPr="007224C3">
        <w:rPr>
          <w:rFonts w:ascii="Times New Roman" w:hAnsi="Times New Roman"/>
          <w:color w:val="000000" w:themeColor="text1"/>
          <w:sz w:val="16"/>
          <w:szCs w:val="16"/>
        </w:rPr>
        <w:t>По итогам испытаний первого варианта Т-44 в конструкцию танка внесли массу изменений (18950).</w:t>
      </w:r>
    </w:p>
    <w:p w14:paraId="03C76D04" w14:textId="77777777" w:rsidR="00A61476" w:rsidRPr="007224C3" w:rsidRDefault="00A61476" w:rsidP="007224C3">
      <w:pPr>
        <w:spacing w:after="0" w:line="240" w:lineRule="auto"/>
        <w:jc w:val="both"/>
        <w:textAlignment w:val="baseline"/>
        <w:rPr>
          <w:rFonts w:ascii="Times New Roman" w:hAnsi="Times New Roman"/>
          <w:color w:val="000000" w:themeColor="text1"/>
          <w:sz w:val="16"/>
          <w:szCs w:val="16"/>
        </w:rPr>
      </w:pPr>
    </w:p>
    <w:p w14:paraId="671836B2" w14:textId="77777777" w:rsidR="00B05D39" w:rsidRPr="007224C3" w:rsidRDefault="00B05D39"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lastRenderedPageBreak/>
        <w:t>15 апреля 1944 года ди</w:t>
      </w:r>
      <w:r w:rsidRPr="007224C3">
        <w:rPr>
          <w:rFonts w:ascii="Times New Roman" w:hAnsi="Times New Roman"/>
          <w:color w:val="0070C0"/>
          <w:sz w:val="16"/>
          <w:szCs w:val="16"/>
        </w:rPr>
        <w:softHyphen/>
        <w:t>рективой №810 начальника Главного автомо</w:t>
      </w:r>
      <w:r w:rsidRPr="007224C3">
        <w:rPr>
          <w:rFonts w:ascii="Times New Roman" w:hAnsi="Times New Roman"/>
          <w:color w:val="0070C0"/>
          <w:sz w:val="16"/>
          <w:szCs w:val="16"/>
        </w:rPr>
        <w:softHyphen/>
        <w:t>бильного управления Красной Армии авто</w:t>
      </w:r>
      <w:r w:rsidRPr="007224C3">
        <w:rPr>
          <w:rFonts w:ascii="Times New Roman" w:hAnsi="Times New Roman"/>
          <w:color w:val="0070C0"/>
          <w:sz w:val="16"/>
          <w:szCs w:val="16"/>
        </w:rPr>
        <w:softHyphen/>
        <w:t>управлениям фронтов и округов было пред</w:t>
      </w:r>
      <w:r w:rsidRPr="007224C3">
        <w:rPr>
          <w:rFonts w:ascii="Times New Roman" w:hAnsi="Times New Roman"/>
          <w:color w:val="0070C0"/>
          <w:sz w:val="16"/>
          <w:szCs w:val="16"/>
        </w:rPr>
        <w:softHyphen/>
        <w:t>ложено самостоятельно организовать на месте изготовление разного рода автоприце</w:t>
      </w:r>
      <w:r w:rsidRPr="007224C3">
        <w:rPr>
          <w:rFonts w:ascii="Times New Roman" w:hAnsi="Times New Roman"/>
          <w:color w:val="0070C0"/>
          <w:sz w:val="16"/>
          <w:szCs w:val="16"/>
        </w:rPr>
        <w:softHyphen/>
        <w:t>пов из шасси трофейных машин (21625).</w:t>
      </w:r>
    </w:p>
    <w:p w14:paraId="26F73B35" w14:textId="77777777" w:rsidR="00B05D39" w:rsidRPr="007224C3" w:rsidRDefault="00B05D39" w:rsidP="007224C3">
      <w:pPr>
        <w:spacing w:after="0" w:line="240" w:lineRule="auto"/>
        <w:jc w:val="both"/>
        <w:rPr>
          <w:rFonts w:ascii="Times New Roman" w:hAnsi="Times New Roman"/>
          <w:color w:val="0070C0"/>
          <w:sz w:val="16"/>
          <w:szCs w:val="16"/>
        </w:rPr>
      </w:pPr>
    </w:p>
    <w:p w14:paraId="14ADF36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апреля 1944 вышло Распоряжение ГКО № 5634. О мерах помощи строительству завода № 590 НКЭлектропрома. РГАНИР, Фонд ГКО, д. 237, лл. 1 (11012).</w:t>
      </w:r>
    </w:p>
    <w:p w14:paraId="706015D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1333F10"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апреля 1944 вышло Постановление ГКО № 5667 О плане производства радиолокационных станций и о материально-техническом обеспечении предприятий Наркомэлектропрома, Наркомавиапрома и Наркомсудпрома, изготовляющих эти станции во II квартале 1944 г. (7215, 145-151, 152-180).</w:t>
      </w:r>
    </w:p>
    <w:p w14:paraId="16070DD3"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7AA164B"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43260F6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629487F"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апреля в 1944 году оперативная сводка Совинформбюро:</w:t>
      </w:r>
    </w:p>
    <w:p w14:paraId="18CEE976"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1-го Украинского фронта после упорных уличных боёв полностью овладели областным центром Украины городом Тарнополь — крупным железнодорожным узлом и сильным опорным пунктом обороны немцев на Львовском направлении. Окружённый в Тарнополе гарнизон немцев из остатков четырёх пехотных дивизий и ряда отдельных частей общей численностью в 16.000 человек полностью уничтожен, за исключением 2.400 немецких солдат и офицеров, которые сдались в плен. Захвачены следующие трофеи: танков и самоходных орудий — 35, орудий разного калибра — 85, миномётов — 125, пулемётов — до 400, автомашин — 350, паровозов — 5, вагонов — 285, складов разных — 6.</w:t>
      </w:r>
    </w:p>
    <w:p w14:paraId="54DF059E"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15 апреля западнее и юго-западнее города Чертков наши войска продолжали вести наступательные бои, в ходе которых заняли несколько населённых пунктов и среди них Джурын, Половце, Паушувка, Базар, Якубовка.</w:t>
      </w:r>
    </w:p>
    <w:p w14:paraId="0AE76F9E"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Севастопольском направлении наши войска, преодолевая сопротивление и систему инженерных заграждений противника в горно-лесистой части южного побережья Крыма, продолжали наступление и с боями заняли более 60 населённых пунктов, в том числе районный центр Крыма Албат, населённые пункты Береговое, Аджи-Булат, Кача, Мамашай, Бельбек, Любимовка, Дуванкой, Заланкой, Шули, Демерджи, Семидворье, Сотера, Кучук-Узень, Туак и железнодорожные станции Сюрень и Бельбек.</w:t>
      </w:r>
    </w:p>
    <w:p w14:paraId="6BB1C57B"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предварительным данным, к исходу 14 апреля войсками 4-го Украинского фронта взято в плен свыше 20.000 солдат и офицеров противника. К этому же времени, по неполным данным, войсками Отдельной Приморской армии взято в плен более 17.000 солдат и офицеров противника. Таким образом, к исходу 14 апреля нашими войсками в Крыму взято в плен более 37.000 солдат и офицеров противника.</w:t>
      </w:r>
    </w:p>
    <w:p w14:paraId="1DF1EBA8"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в ряде пунктов шли бои местного значения.</w:t>
      </w:r>
    </w:p>
    <w:p w14:paraId="64EA5C21"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14 апреля наши войска на всех фронтах подбили и уничтожили 69 немецких танков. В воздушных боях и огнём зенитной артиллерии сбито 24 самолёта противника.</w:t>
      </w:r>
    </w:p>
    <w:p w14:paraId="0DDD3E80"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Массированный налёт нашей авиации на порт и железнодорожную станцию Севастополь</w:t>
      </w:r>
    </w:p>
    <w:p w14:paraId="7BB3662D"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ночь на 15 апреля наша авиация дальнего действия произвела массированный налёт на порт и железнодорожную станцию Севастополь и бомбардировала скопление войск и техники противника, военные склады и немецкие суда, находившиеся в Севастопольской бухте. В результате бомбардировки возникли пожары и произошло много взрывов. Наблюдением отмечены взрывы огромной силы в районе складов с горючим. Наиболее крупные пожары, сопровождавшиеся взрывами, отмечены на железнодорожной станции и в южной бухте.</w:t>
      </w:r>
    </w:p>
    <w:p w14:paraId="2C63B699"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1-го Украинского фронта овладели областным центром Украины городом Тарнополь. Окружённый в Тарнополе гарнизон противника ликвидирован. Советские пехотинцы, действуя мелкими группами, очищали от гитлеровцев улицу за улицей. Теснимые с разных сторон немцы были зажаты в западной части города. Измотав противника, наши войска нанесли ему решающий удар и полностью очистили Тарнополь от немецко-фашистских захватчиков.</w:t>
      </w:r>
    </w:p>
    <w:p w14:paraId="0860D4F1"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и юго-западнее города Чертков наши войска, продвигаясь вперёд, заняли несколько населённых пунктов. В этих боях нанесён значительный урон частям 10 немецкой танковой дивизии СС, только что прибывшей на советско-германский фронт из Франции. В течение дня уничтожено свыше 800 солдат и офицеров противника. Наши артиллеристы и бронебойщики сожгли и подбили 28 немецких танков, самоходных орудий и бронетранспортёров. Советские бойцы героически сражаются с немецко-фашистскими захватчиками. На автоматчика т. Голова напало 12 немцев. Отважный боец открыл огонь и уничтожил 7 солдат противника. Преследуя остальных гитлеровцев, т. Голов захватил в плен немецкого офицера. Красноармейцы тт. Елисеев, Гринёв и Па-леев, незаметно пробравшись в деревню, занятую противником, заметили на улице немецкий танк «Тигр». В это время ненецкие танкисты вышли из дома и направились к своему танку. Наши бойцы уничтожили гитлеровцев, а затем гранатами подорвали немецкий танк.</w:t>
      </w:r>
    </w:p>
    <w:p w14:paraId="05D5CE5D"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Севастопольском направлении наши войска продолжали успешное наступление. Части Н-ского соединения, нанося противнику непрерывные удары, на широком участке вышли к реке Бельбек и овладели населённым пунктом Любимовка, находящимся в 6 километрах севернее Севастополя. Советские подвижные войска, продвигаясь вдоль шоссе и железной дороги Симферополь-Севастополь, разгромили несколько крупных групп противника. Захвачены большие трофеи, в том числе 40 танков и самоходных орудий, 184 полевых орудия, 7 паровозов, до 2.500 вагонов с различными грузами, 24 склада с военным имуществом и большой армейский склад боеприпасов. Ожесточённые бои происходят в гористо-лесистой местности. Активную помощь нашим войскам оказывают крымские партизаны, которые перехватывают пути отхода врага и истребляют его живую силу. На побережье Крыма между городами Судак и Алушта наши части уничтожали остатки отрезанных здесь немецких и румынских войск, отступающих от Феодосии. Противник несёт тяжелые потери. Видя безвыходность своего положения, многие немецкие и румынские подразделения сдаются в плен. Количество пленных и трофеев непрерывно возрастает.</w:t>
      </w:r>
    </w:p>
    <w:p w14:paraId="765A6AB9"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Авиация Черноморского флота наносила удары по судам противника, пытавшимся вывезти из Крыма остатки разбитых немецко-румынских соединений. Группа наших самолётов обнаружила в море самоходные десантные баржи и атаковала их. Потоплены две самоходные десантные баржи и моторная шхуна противника. Многим другим судам нанесены серьёзные повреждения.</w:t>
      </w:r>
    </w:p>
    <w:p w14:paraId="05BD2A1B"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Несколько партизанских отрядов, действующих в Калининской области в период с 27 марта по 1 апреля пустили под откос 9 немецких воинских эшелонов. На шоссейных и грунтовых дорогах партизаны подорвали 48 грузовых и 7 легковых автомашин, вырезали 11 километров телеграфно-телефонной линии связи. Убито 6 немецких офицеров и 180 солдат.</w:t>
      </w:r>
    </w:p>
    <w:p w14:paraId="4504FAB1"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Взятый в плен в Крыму командир 85 запасного немецкого батальона майор Эльмар Крауз рассказал: «Молниеносные удары советских войск парализовали наше сопротивление. Остальное довершила паника, охватившая солдат и офицеров. Целые батальоны срывались с места и мчались куда глаза глядят. Из моего батальона ни одному солдату и ни одному офицеру не удалось спастись. Две роты были полностью разгромлены при погрузке на автомашины. Остальные сдались в плен вместе со мной».</w:t>
      </w:r>
    </w:p>
    <w:p w14:paraId="6B122A92"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Обер-фельдфебель 1 роты 213 полка 73 немецкой пехотной дивизии Кик заявил: «Три недели тому назад в Крым в полном составе прибыла 111 пехотная немецкая дивизия. В одной из радиопередач на немецком языке русские по этому поводу заявили, что в крымскую «фрицеловку» попала ещё одна немецкая дивизия. Так оно и получилось. Наступление русских не было неожиданным. Мы к нему были подготовлены. Однако сообщение о глубоком прорыве вызвало всеобщую растерянность. Никто из нас не предполагал, что удар русских войск будет таким сокрушающим».».</w:t>
      </w:r>
    </w:p>
    <w:p w14:paraId="32F80DD0"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Потери противника и трофеи войск 3-го Украинского фронта за период боев с 25 марта по 12 апреля с. г.</w:t>
      </w:r>
    </w:p>
    <w:p w14:paraId="7136B841"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3-го Украинского фронта под командованием генерала армии Малиновского в результате проведённых наступательных операций от Южного Буга до Днестра с 25 марта па 12 апреля нанесли противнику следующие потери в живой силе и технике:</w:t>
      </w:r>
    </w:p>
    <w:p w14:paraId="5B4791B1"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Уничтожено: танков и самоходных орудий — 42, орудий разного калибра — 199, миномётов — 83, пулемётов — 589, автомашин и тягачей — 436.</w:t>
      </w:r>
    </w:p>
    <w:p w14:paraId="63AD2BB5"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Противник оставил на поле боя 26.800 трупов солдат и офицеров.</w:t>
      </w:r>
    </w:p>
    <w:p w14:paraId="0572BAFD"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это же время войска 3-го Украинского фронта захватили у немцев следующие трофеи: самолётов — 7, танков и самоходных орудий — 401, орудий разного калибра — 753, миномётов — 291, пулемётов — 991, винтовок — 8.820, радиостанций — 101, автомашин — 10.672, мотоциклов — 481, тракторов и тягачей — 208, бронетранспортёров — 46, автоприцепов — 392, повозок с военными грузами — 6.203, лошадей — 2.076, паровозов — 287, вагонов, платформ и цистерн — 6.104, из них 1.377 гружённых боеприпасами, продовольствием, горючим, заводским оборудованием, инженерно-техническим и другим военным имуществом, складов — 95, из них с боеприпасами — 52, с продовольствием — 38, с колючей проволокой — 3, с цементом — 2.</w:t>
      </w:r>
    </w:p>
    <w:p w14:paraId="1D7C3588"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Взято в плен 10.680 немецких солдат и офицеров.</w:t>
      </w:r>
    </w:p>
    <w:p w14:paraId="411E7008"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Таким образом, общие потери немцев по главным видам боевой техники и в живой силе за время наступательных операций войск 3-го Украинского фронта с 25 марта по 12 апреля составляют: пленными и убитыми — 37.480, танков и самоходных орудий — 443, орудий разного калибра — 952, автомашин, автоприцепов и тягачей — 11.708.» (15100).</w:t>
      </w:r>
    </w:p>
    <w:p w14:paraId="47BCC3A3" w14:textId="77777777" w:rsidR="001732E9" w:rsidRPr="007224C3" w:rsidRDefault="001732E9" w:rsidP="007224C3">
      <w:pPr>
        <w:spacing w:after="0" w:line="240" w:lineRule="auto"/>
        <w:jc w:val="both"/>
        <w:rPr>
          <w:rFonts w:ascii="Times New Roman" w:hAnsi="Times New Roman"/>
          <w:color w:val="000000" w:themeColor="text1"/>
          <w:sz w:val="16"/>
          <w:szCs w:val="16"/>
        </w:rPr>
      </w:pPr>
    </w:p>
    <w:p w14:paraId="2FAA3129"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апреля 1944 украинскими бандеровцами убит советский генерал Н. Ватутин (4962).</w:t>
      </w:r>
    </w:p>
    <w:p w14:paraId="2F2CCFC8"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52BF5F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lang w:val="en-US"/>
        </w:rPr>
        <w:t>April</w:t>
      </w:r>
      <w:r w:rsidRPr="007224C3">
        <w:rPr>
          <w:rFonts w:ascii="Times New Roman" w:hAnsi="Times New Roman"/>
          <w:color w:val="000000" w:themeColor="text1"/>
          <w:sz w:val="16"/>
          <w:szCs w:val="16"/>
        </w:rPr>
        <w:t xml:space="preserve"> 15 1944 </w:t>
      </w:r>
      <w:r w:rsidRPr="007224C3">
        <w:rPr>
          <w:rFonts w:ascii="Times New Roman" w:hAnsi="Times New Roman"/>
          <w:color w:val="000000" w:themeColor="text1"/>
          <w:sz w:val="16"/>
          <w:szCs w:val="16"/>
          <w:lang w:val="en-US"/>
        </w:rPr>
        <w:t>SovietoffensiveintoPolandcapturesTarnopol</w:t>
      </w:r>
      <w:r w:rsidRPr="007224C3">
        <w:rPr>
          <w:rFonts w:ascii="Times New Roman" w:hAnsi="Times New Roman"/>
          <w:color w:val="000000" w:themeColor="text1"/>
          <w:sz w:val="16"/>
          <w:szCs w:val="16"/>
        </w:rPr>
        <w:t xml:space="preserve"> (1037).</w:t>
      </w:r>
    </w:p>
    <w:p w14:paraId="6288A59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45013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апреля 1944 в ходе наступления КА в Польше был взят Тарнополь (1037).</w:t>
      </w:r>
    </w:p>
    <w:p w14:paraId="054CB51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CCBEF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апреля 1944 была издана директива начальника ВВС о борьбе с воздушными разведчиками противника (340,161).</w:t>
      </w:r>
    </w:p>
    <w:p w14:paraId="4BC835F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CA61C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апреля 1944 штаб ВВС издал директиву о борьбе с воздушными разведчиками в связи с тем, что одиночные н разведчики стали проникать глубоко в тылы. Всем ВА приказали разработать спецмероприятия по обнаружению и перехвату (340,161).</w:t>
      </w:r>
    </w:p>
    <w:p w14:paraId="2114DE9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ACFB09" w14:textId="77777777" w:rsidR="00A61476" w:rsidRPr="007224C3" w:rsidRDefault="00A61476"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Жизнь и внутренняя политика:</w:t>
      </w:r>
    </w:p>
    <w:p w14:paraId="5F27657B" w14:textId="77777777" w:rsidR="00A61476" w:rsidRPr="007224C3" w:rsidRDefault="00A61476"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56CF807" w14:textId="77777777" w:rsidR="00A61476" w:rsidRPr="007224C3" w:rsidRDefault="00A6147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апреля 1944 в Москве открылось восемь гастрономов, в которых торговали продовольственными товарами, винами, напитками и табачными изделиями, два рыбных магазина, два мясных, два молочных, два овощных, один кондитерский, один чайный, один табачный и один винный. Торговля велась без карточек для всего населения, но по специальным ценам. Для некоторых категорий граждан была установлена скидка (18692).</w:t>
      </w:r>
    </w:p>
    <w:p w14:paraId="4073DDF0" w14:textId="77777777" w:rsidR="00A61476" w:rsidRPr="007224C3" w:rsidRDefault="00A61476" w:rsidP="007224C3">
      <w:pPr>
        <w:spacing w:after="0" w:line="240" w:lineRule="auto"/>
        <w:jc w:val="both"/>
        <w:rPr>
          <w:rFonts w:ascii="Times New Roman" w:hAnsi="Times New Roman"/>
          <w:color w:val="000000" w:themeColor="text1"/>
          <w:sz w:val="16"/>
          <w:szCs w:val="16"/>
        </w:rPr>
      </w:pPr>
    </w:p>
    <w:p w14:paraId="38161F46" w14:textId="77777777" w:rsidR="001732E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43BA8729" w14:textId="77777777" w:rsidR="001732E9" w:rsidRPr="007224C3" w:rsidRDefault="001732E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5E01BB7"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апреля в 1944 году поднялся в воздух прототип транспортного самолёта «ХR2Y» «Liberator-Liner» (разработчик: «Consolidated», США). Появившийся в 1943 году самолёт «Model 39» «Liberator-Liner» представлял собой моноплан с высокорасположенным крылом из легкого сплава с обтянутыми тканью рулевыми поверхностями и силовой установкой из четырех «R-1830-94» «Twin Wasp» мощностью по 1200 л. с. (895 кВт). "Consolidated" на свои средства построила фюзеляж прототипа и установила на нем хвостовое оперение от «PB4Y-2». Самолёт мог перевозить до 48 пассажиров или 8 392 кг полезной нагрузки. В марте 1944 года ВМС США заказали 253 серийных самолета с поставкой с августа 1944-го по март 1945 года под обозначением «R2Y-1». Но спустя всего месяц флот аннулировал заказ, ознакомившись с макетом. Было построено всего два прототипа применявшихся для различных экспериментов (в частности по испытанию закрылков большого размаха). Потом эти самолёты отдали на временное хранение и в конечном итоге разобрали на металл (15100).</w:t>
      </w:r>
    </w:p>
    <w:p w14:paraId="619423EE" w14:textId="77777777" w:rsidR="001732E9" w:rsidRPr="007224C3" w:rsidRDefault="001732E9" w:rsidP="007224C3">
      <w:pPr>
        <w:spacing w:after="0" w:line="240" w:lineRule="auto"/>
        <w:jc w:val="both"/>
        <w:rPr>
          <w:rFonts w:ascii="Times New Roman" w:hAnsi="Times New Roman"/>
          <w:color w:val="000000" w:themeColor="text1"/>
          <w:sz w:val="16"/>
          <w:szCs w:val="16"/>
        </w:rPr>
      </w:pPr>
    </w:p>
    <w:p w14:paraId="0B33433F"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48A77CF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C70CDB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первой половине апреля 1944 пока Акт по госиспытаниям Ил-АМ-42 утверждался вышестоя</w:t>
      </w:r>
      <w:r w:rsidRPr="007224C3">
        <w:rPr>
          <w:rFonts w:ascii="Times New Roman" w:hAnsi="Times New Roman"/>
          <w:color w:val="000000" w:themeColor="text1"/>
          <w:sz w:val="16"/>
          <w:szCs w:val="16"/>
        </w:rPr>
        <w:softHyphen/>
        <w:t>щими инстанциями ВВС КА, опытный самолет дополнительно прошел специальные летные испытания по замеру расхо</w:t>
      </w:r>
      <w:r w:rsidRPr="007224C3">
        <w:rPr>
          <w:rFonts w:ascii="Times New Roman" w:hAnsi="Times New Roman"/>
          <w:color w:val="000000" w:themeColor="text1"/>
          <w:sz w:val="16"/>
          <w:szCs w:val="16"/>
        </w:rPr>
        <w:softHyphen/>
        <w:t>дов горючего и определение даль</w:t>
      </w:r>
      <w:r w:rsidRPr="007224C3">
        <w:rPr>
          <w:rFonts w:ascii="Times New Roman" w:hAnsi="Times New Roman"/>
          <w:color w:val="000000" w:themeColor="text1"/>
          <w:sz w:val="16"/>
          <w:szCs w:val="16"/>
        </w:rPr>
        <w:softHyphen/>
        <w:t>ности полета. В ходе испытаний при взлетном весе 7260 кг (запас топли</w:t>
      </w:r>
      <w:r w:rsidRPr="007224C3">
        <w:rPr>
          <w:rFonts w:ascii="Times New Roman" w:hAnsi="Times New Roman"/>
          <w:color w:val="000000" w:themeColor="text1"/>
          <w:sz w:val="16"/>
          <w:szCs w:val="16"/>
        </w:rPr>
        <w:softHyphen/>
        <w:t>ва 1020 л) была получена максималь</w:t>
      </w:r>
      <w:r w:rsidRPr="007224C3">
        <w:rPr>
          <w:rFonts w:ascii="Times New Roman" w:hAnsi="Times New Roman"/>
          <w:color w:val="000000" w:themeColor="text1"/>
          <w:sz w:val="16"/>
          <w:szCs w:val="16"/>
        </w:rPr>
        <w:softHyphen/>
        <w:t>ная дальность полета 980 км (высота 1000 м, скорость по прибору 308 км/ ч), что подтверждало выводы отчета по государственным испытаниям.</w:t>
      </w:r>
    </w:p>
    <w:p w14:paraId="6E91C19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Ответственным исполнителем был инженер-капитан К. А. Савенко. Ле</w:t>
      </w:r>
      <w:r w:rsidRPr="007224C3">
        <w:rPr>
          <w:rFonts w:ascii="Times New Roman" w:hAnsi="Times New Roman"/>
          <w:color w:val="000000" w:themeColor="text1"/>
          <w:sz w:val="16"/>
          <w:szCs w:val="16"/>
        </w:rPr>
        <w:softHyphen/>
        <w:t>тал летчик-испытатель подполковник А. К. Долгов. Отчет по испытаниям утвержден 6 апреля начальником группы моторов и топлив НИИ ВВС инженер-полковником Г. А. Печенко (11427).</w:t>
      </w:r>
    </w:p>
    <w:p w14:paraId="68BCE0A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041B73" w14:textId="77777777" w:rsidR="00EB1E33" w:rsidRPr="007224C3" w:rsidRDefault="00EB1E3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первой половине апреля 1944 пока акт государственным испытаниям Ил-АМ-42 (экз. № 1) утверждался вышестоящими инстанциями ВВС КА, самолет дополнительно прошел специальные летные испытания по замеру расходов горючего и определению дальности полета. В ходе испытаний при взлетном весе 7260 кг (запас топлива 1020 л) была получена максимальная дальность полета 980 км (высота 1000 м, скорость по прибору 308 км/ч), что подтверждало выводы отчета по государственным испытаниям.</w:t>
      </w:r>
    </w:p>
    <w:p w14:paraId="059DD303" w14:textId="77777777" w:rsidR="00EB1E33" w:rsidRPr="007224C3" w:rsidRDefault="00EB1E3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Ответственным исполнителем был инженер-капитан К. А. Савенко. Летал летчик-испытатель подполковник А. К. Долгов. Отчет по испытаниям утвержден 6 апреля начальником группы моторов и топлив НИИ ВВС инженер-полковником Г. А. Печенко (17490).</w:t>
      </w:r>
    </w:p>
    <w:p w14:paraId="12B4D177" w14:textId="77777777" w:rsidR="00EB1E33" w:rsidRPr="007224C3" w:rsidRDefault="00EB1E33" w:rsidP="007224C3">
      <w:pPr>
        <w:spacing w:after="0" w:line="240" w:lineRule="auto"/>
        <w:jc w:val="both"/>
        <w:rPr>
          <w:rFonts w:ascii="Times New Roman" w:hAnsi="Times New Roman"/>
          <w:color w:val="000000" w:themeColor="text1"/>
          <w:sz w:val="16"/>
          <w:szCs w:val="16"/>
        </w:rPr>
      </w:pPr>
    </w:p>
    <w:p w14:paraId="3DD47EA0"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1C0A830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A51D1F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середины апреля 1944 г. на основании "Тактико-технических тре</w:t>
      </w:r>
      <w:r w:rsidRPr="007224C3">
        <w:rPr>
          <w:rFonts w:ascii="Times New Roman" w:hAnsi="Times New Roman"/>
          <w:color w:val="000000" w:themeColor="text1"/>
          <w:sz w:val="16"/>
          <w:szCs w:val="16"/>
        </w:rPr>
        <w:softHyphen/>
        <w:t>бований на проектирование тяжелого танка", разработанных ТУ ГБТУ, в КБ завода № 100 велась работа по проектированию опытных тяжелых танков с электромеханической и механической трансмиссиями (10703).</w:t>
      </w:r>
    </w:p>
    <w:p w14:paraId="0FF1384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085761" w14:textId="77777777" w:rsidR="00EB1E33" w:rsidRPr="007224C3" w:rsidRDefault="00EB1E33" w:rsidP="007224C3">
      <w:pPr>
        <w:pStyle w:val="ae"/>
        <w:shd w:val="clear" w:color="auto" w:fill="FFFFFF"/>
        <w:spacing w:before="0" w:after="0"/>
        <w:jc w:val="both"/>
        <w:rPr>
          <w:color w:val="000000" w:themeColor="text1"/>
          <w:sz w:val="16"/>
          <w:szCs w:val="16"/>
        </w:rPr>
      </w:pPr>
      <w:r w:rsidRPr="007224C3">
        <w:rPr>
          <w:color w:val="000000" w:themeColor="text1"/>
          <w:sz w:val="16"/>
          <w:szCs w:val="16"/>
        </w:rPr>
        <w:t>В середине апреля 1944 года в ходе совещаний на заводах №38 и ГАЗ был утверждён список изменений из 24 пунктов. Помимо упоминавшихся выше переделок, в этот список попала переделка стопора по-походному. Задний стопор убирался, а передний теперь можно было снимать с водительского места. Появлялся гильзоулавливатель, но на практике его ставили только на заводе №38.</w:t>
      </w:r>
    </w:p>
    <w:p w14:paraId="3F0CF370" w14:textId="77777777" w:rsidR="00EB1E33" w:rsidRPr="007224C3" w:rsidRDefault="00EB1E33" w:rsidP="007224C3">
      <w:pPr>
        <w:pStyle w:val="ae"/>
        <w:shd w:val="clear" w:color="auto" w:fill="FFFFFF"/>
        <w:spacing w:before="0" w:after="0"/>
        <w:jc w:val="both"/>
        <w:rPr>
          <w:color w:val="000000" w:themeColor="text1"/>
          <w:sz w:val="16"/>
          <w:szCs w:val="16"/>
        </w:rPr>
      </w:pPr>
      <w:r w:rsidRPr="007224C3">
        <w:rPr>
          <w:color w:val="000000" w:themeColor="text1"/>
          <w:sz w:val="16"/>
          <w:szCs w:val="16"/>
        </w:rPr>
        <w:t>Переделки планировалось вводить с мая 1944 года, но фактически появились они уже в июне. СУ-76М получила ленивцы с резиновыми бандажами, новые буферы балансиров, трёхцветную сигнализацию. Впрочем, различия между машинами разных заводов всё равно сохранялись. Каждое предприятие оснащало САУ стопорами по-походному своей конструкции. А завод №40 вносил изменения как по своему списку, так и по чертежам ГАЗ им. Молотова.</w:t>
      </w:r>
    </w:p>
    <w:p w14:paraId="6EE3E94D" w14:textId="77777777" w:rsidR="00EB1E33" w:rsidRPr="007224C3" w:rsidRDefault="00EB1E33" w:rsidP="007224C3">
      <w:pPr>
        <w:pStyle w:val="ae"/>
        <w:shd w:val="clear" w:color="auto" w:fill="FFFFFF"/>
        <w:spacing w:before="0" w:after="0"/>
        <w:jc w:val="both"/>
        <w:rPr>
          <w:color w:val="000000" w:themeColor="text1"/>
          <w:sz w:val="16"/>
          <w:szCs w:val="16"/>
        </w:rPr>
      </w:pPr>
      <w:r w:rsidRPr="007224C3">
        <w:rPr>
          <w:color w:val="000000" w:themeColor="text1"/>
          <w:sz w:val="16"/>
          <w:szCs w:val="16"/>
        </w:rPr>
        <w:t>На заводе №40 переделки получила уже первая машина июньского выпуска, а на заводе №38 в серию изменения пошли в июле. На ГАЗ же отдельные новые элементы получили апрельские машины. Новый стопор по-походному здесь был введён с 26 числа, также в апреле была переделана часть ЗИП и укладок, улучшена конструкция главной передачи. В мае появился новый стопор задней дверки корпуса, машины получили световую сигнализацию и бревно самовытаскивания. С 20 мая стал ставиться буксирный крюк по типу Т-34. Ряд улучшений появился и в июне. В то же время даже в июне ГАЗ-овские машины выпускались с ленивцами без обрезинки.</w:t>
      </w:r>
    </w:p>
    <w:p w14:paraId="387A121B" w14:textId="77777777" w:rsidR="00EB1E33" w:rsidRPr="007224C3" w:rsidRDefault="00EB1E33" w:rsidP="007224C3">
      <w:pPr>
        <w:pStyle w:val="ae"/>
        <w:shd w:val="clear" w:color="auto" w:fill="FFFFFF"/>
        <w:spacing w:before="0" w:after="0"/>
        <w:jc w:val="both"/>
        <w:rPr>
          <w:color w:val="000000" w:themeColor="text1"/>
          <w:sz w:val="16"/>
          <w:szCs w:val="16"/>
        </w:rPr>
      </w:pPr>
      <w:r w:rsidRPr="007224C3">
        <w:rPr>
          <w:color w:val="000000" w:themeColor="text1"/>
          <w:sz w:val="16"/>
          <w:szCs w:val="16"/>
        </w:rPr>
        <w:t>Интересно, что работы по модернизации и усовершенствованию САУ без проволочек велись только на заводе №38. С завода №40 ежемесячно поступали доклады о том, что отдел главного конструктора своими обязанностями занимается только после нажима со стороны военной приёмки. Ещё интереснее выглядела ситуация на ГАЗ им. Молотова. С конца 1943 года на «военную» часть завода оказывалось всё большее давление со стороны заводского руководства. Главный конструктор А.А. Липгарт ненавязчиво «торпедировал» новые разработки. Причиной тому были планы по организации гражданской продукции. В начале 1944 года после конфликта с Липгартом с завода ушёл В.А. Грачёв, на котором держались все военные разработки ГАЗ на колёсной базе. Периодически возникали трения между главным конструктором и военной приёмкой (17728).</w:t>
      </w:r>
    </w:p>
    <w:p w14:paraId="3E155546" w14:textId="77777777" w:rsidR="00EB1E33" w:rsidRPr="007224C3" w:rsidRDefault="00EB1E33" w:rsidP="007224C3">
      <w:pPr>
        <w:spacing w:after="0" w:line="240" w:lineRule="auto"/>
        <w:jc w:val="both"/>
        <w:rPr>
          <w:rFonts w:ascii="Times New Roman" w:eastAsia="Times New Roman" w:hAnsi="Times New Roman"/>
          <w:color w:val="000000" w:themeColor="text1"/>
          <w:sz w:val="16"/>
          <w:szCs w:val="16"/>
          <w:lang w:eastAsia="ru-RU"/>
        </w:rPr>
      </w:pPr>
    </w:p>
    <w:p w14:paraId="53753280"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521F2AB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0B5D279" w14:textId="77777777" w:rsidR="00A61476" w:rsidRPr="007224C3" w:rsidRDefault="00A61476" w:rsidP="007224C3">
      <w:pPr>
        <w:pStyle w:val="ae"/>
        <w:shd w:val="clear" w:color="auto" w:fill="FFFFFF"/>
        <w:spacing w:before="0" w:after="0"/>
        <w:jc w:val="both"/>
        <w:textAlignment w:val="baseline"/>
        <w:rPr>
          <w:color w:val="000000" w:themeColor="text1"/>
          <w:sz w:val="16"/>
          <w:szCs w:val="16"/>
        </w:rPr>
      </w:pPr>
      <w:r w:rsidRPr="007224C3">
        <w:rPr>
          <w:color w:val="000000" w:themeColor="text1"/>
          <w:sz w:val="16"/>
          <w:szCs w:val="16"/>
        </w:rPr>
        <w:t>К середине апреля 1944 года были подготовлены тактико-технические требования на средний танк, которые даже превосходили ТТТ ГБТУ КА. Боевая масса ожидалась в пределах 35 т, максимальная скорость — около 45-50 км/ч. Броневая защита верхней лобовой детали корпуса вырастала до 90-100 мм, а толщина лба башни увеличивалась до 120-130 мм. Это требование появилось на основе изучения попаданий в тяжёлый танк </w:t>
      </w:r>
      <w:hyperlink r:id="rId105" w:history="1">
        <w:r w:rsidRPr="007224C3">
          <w:rPr>
            <w:rStyle w:val="a5"/>
            <w:bCs/>
            <w:iCs/>
            <w:color w:val="000000" w:themeColor="text1"/>
            <w:sz w:val="16"/>
            <w:szCs w:val="16"/>
            <w:bdr w:val="none" w:sz="0" w:space="0" w:color="auto" w:frame="1"/>
          </w:rPr>
          <w:t>ИС-1</w:t>
        </w:r>
      </w:hyperlink>
      <w:r w:rsidRPr="007224C3">
        <w:rPr>
          <w:color w:val="000000" w:themeColor="text1"/>
          <w:sz w:val="16"/>
          <w:szCs w:val="16"/>
        </w:rPr>
        <w:t>. Диаметр погона башни увеличивался до 1700 мм, при этом ставился электрический мотор поворота башни по типу американского Medium Tank M4A4. В качестве вооружения предполагалась пушка калибра 76-85 мм, но с увеличенной до 1000 м/с начальной скоростью снаряда. Пулемётов планировалось два — один спаренный, один кормовой. Также предполагалось поставить на башне 6 мортирок для дымопуска — такое решение подсмотрели на немецких танках. Подвеска оставалась торсионной, но спереди и сзади появлялись амортизаторы.</w:t>
      </w:r>
    </w:p>
    <w:p w14:paraId="2A581D56" w14:textId="77777777" w:rsidR="00A61476" w:rsidRPr="007224C3" w:rsidRDefault="00A61476" w:rsidP="007224C3">
      <w:pPr>
        <w:pStyle w:val="ae"/>
        <w:shd w:val="clear" w:color="auto" w:fill="FFFFFF"/>
        <w:spacing w:before="0" w:after="0"/>
        <w:jc w:val="both"/>
        <w:textAlignment w:val="baseline"/>
        <w:rPr>
          <w:color w:val="000000" w:themeColor="text1"/>
          <w:sz w:val="16"/>
          <w:szCs w:val="16"/>
        </w:rPr>
      </w:pPr>
      <w:r w:rsidRPr="007224C3">
        <w:rPr>
          <w:color w:val="000000" w:themeColor="text1"/>
          <w:sz w:val="16"/>
          <w:szCs w:val="16"/>
        </w:rPr>
        <w:t>Эти тактико-технические требования имели скорее концептуальный характер, тем не менее их развитие можно видеть в дальнейших ТТТ, которые исходили уже от ГБТУ КА. Датированы они июнем 1944 года и являются ещё более концептуальными. Экипаж должен был составлять 5 человек, а толщина брони не конкретизировалась. В целях облегчения работы заряжающего предполагалось произвести рокировку мест наводчика и заряжающего — так же, как и на орудиях С-34 разработки ЦАКБ. В сентябре 1944 года этот «полёт фантазий», особенно по броневой защите, стал причиной бурной переписки между ГБТУ КА и НКТП. По результатам расчётов, сделанных в НКТП, получалось, что лоб корпуса имел толщину 100 мм, лоб башни увеличивался до 170 мм, борта корпуса — 120-160 мм, а борта башни — 125-165 мм.</w:t>
      </w:r>
    </w:p>
    <w:p w14:paraId="116A3A9F" w14:textId="77777777" w:rsidR="00A61476" w:rsidRPr="007224C3" w:rsidRDefault="00A61476" w:rsidP="007224C3">
      <w:pPr>
        <w:pStyle w:val="ae"/>
        <w:shd w:val="clear" w:color="auto" w:fill="FFFFFF"/>
        <w:spacing w:before="0" w:after="0"/>
        <w:jc w:val="both"/>
        <w:textAlignment w:val="baseline"/>
        <w:rPr>
          <w:color w:val="000000" w:themeColor="text1"/>
          <w:sz w:val="16"/>
          <w:szCs w:val="16"/>
        </w:rPr>
      </w:pPr>
      <w:r w:rsidRPr="007224C3">
        <w:rPr>
          <w:color w:val="000000" w:themeColor="text1"/>
          <w:sz w:val="16"/>
          <w:szCs w:val="16"/>
        </w:rPr>
        <w:t>Простой математический расчёт показывал, что масса пустого корпуса и башни составит около 30 т, а общая масса танка — 55 т. Также в НКТП подвергли критике идею ГБТУ КА установить два пулемёта ленточного питания на крыльях. Там предлагали оставить один пулемёт в корпусе, но в ГБТУ КА настаивали на своей идее. Предложение поставить в танк двигатель мощностью 620 л.с. вызвало в НКТП некоторое недоумение. Такого мотора не было в серии и, как показало будущее, его во второй половине 40-х и не появилось. Не меньшее удивление вызвало требование поставить на танк прибор ночного видения. На советских танках подобные приборы впервые применили осенью 1942 года, конструкция потребовала доработки, а по состоянию на 1944 год работы по ПНВ были, скорее, заморожены. Улучшенные приборы ПЦТ-8 испытывались с 1943 года, но результаты были не особо успешными. Одним словом, в НКТП намекнули, что подготовленные требования несколько не согласуются с реальностью (19090).</w:t>
      </w:r>
    </w:p>
    <w:p w14:paraId="33579917" w14:textId="77777777" w:rsidR="00A61476" w:rsidRPr="007224C3" w:rsidRDefault="00A61476" w:rsidP="007224C3">
      <w:pPr>
        <w:pStyle w:val="ae"/>
        <w:shd w:val="clear" w:color="auto" w:fill="FFFFFF"/>
        <w:spacing w:before="0" w:after="0"/>
        <w:jc w:val="both"/>
        <w:textAlignment w:val="baseline"/>
        <w:rPr>
          <w:color w:val="000000" w:themeColor="text1"/>
          <w:sz w:val="16"/>
          <w:szCs w:val="16"/>
        </w:rPr>
      </w:pPr>
    </w:p>
    <w:p w14:paraId="4298CB17" w14:textId="77777777" w:rsidR="00A61476" w:rsidRPr="007224C3" w:rsidRDefault="00A6147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 середине апреля 1944 года на ЧКЗ начался выпуск ИСУ-122. К 20 апреля сдали всего 5 машин, а полностью выпуск месячной нормы удалось выполнить к 1 мая. В отличие от ИСУ-152, которые поначалу выпускались и с корпусами завода №200, все ИСУ-122 сдавались уже с корпусами Уральского завода тяжёлого </w:t>
      </w:r>
      <w:r w:rsidRPr="007224C3">
        <w:rPr>
          <w:rFonts w:ascii="Times New Roman" w:hAnsi="Times New Roman"/>
          <w:color w:val="000000" w:themeColor="text1"/>
          <w:sz w:val="16"/>
          <w:szCs w:val="16"/>
        </w:rPr>
        <w:lastRenderedPageBreak/>
        <w:t>машиностроения (УЗТМ). Особых трудностей освоение ИСУ-122 не представляло, поскольку машина минимально отличалась от ИСУ-152. В данном случае большая трудность состояла в росте объёма выпуска самоходок в целом. Второй, едва ли не более существенной проблемой стал объём выпуска орудий А-19. Нередко можно слышать теорию о том, что ИСУ-122 якобы появилась из-за нехватки систем МЛ-20с, но на это можно только улыбнуться. В мае, то есть уже на второй месяц выпуска ИСУ-122, случились первые перебои с А-19. В результате вместо 100 машин сдали 90, а ИСУ-152 сдали 135 штук вместо 125 (18335).</w:t>
      </w:r>
    </w:p>
    <w:p w14:paraId="7AB412FC" w14:textId="77777777" w:rsidR="00A61476" w:rsidRPr="007224C3" w:rsidRDefault="00A61476" w:rsidP="007224C3">
      <w:pPr>
        <w:spacing w:after="0" w:line="240" w:lineRule="auto"/>
        <w:jc w:val="both"/>
        <w:rPr>
          <w:rFonts w:ascii="Times New Roman" w:hAnsi="Times New Roman"/>
          <w:color w:val="000000" w:themeColor="text1"/>
          <w:sz w:val="16"/>
          <w:szCs w:val="16"/>
        </w:rPr>
      </w:pPr>
    </w:p>
    <w:p w14:paraId="69494162"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апреля 1944 вышло Постановление ГКО № 5635 О развитии угольной промышленности в Грузинской ССР для обеспечения местным углем строящегося металлургического завода, электростанций, оборонных и промышленных предприятий в Закавказье. (7214, 2-14,15-27).</w:t>
      </w:r>
    </w:p>
    <w:p w14:paraId="3A5E45E9"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DACD86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апреля 1944 вышло Постановление ГКО№ 5636 О т.т. Хохлове И.С., Русских А.Г., Карпенкове. РГАНИР, Фонд ГКО, д. А. и Окорокове А.РГАНИР, Фонд ГКО, д. РГАНИР, Фонд ГКО, д. 237, лл. 28 (11012).</w:t>
      </w:r>
    </w:p>
    <w:p w14:paraId="7AF6E2A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C62D8F7" w14:textId="77777777" w:rsidR="001732E9"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апреля 1944 вышло Постановление ГКО № 5637 О вводе новых мощностей на электростанциях в 1944 году. РГАНИР, Фонд ГКО, д. 237, лл. 29-36,37-292 (11012).</w:t>
      </w:r>
    </w:p>
    <w:p w14:paraId="272A7EEF" w14:textId="77777777" w:rsidR="001732E9" w:rsidRPr="007224C3" w:rsidRDefault="001732E9" w:rsidP="007224C3">
      <w:pPr>
        <w:autoSpaceDE w:val="0"/>
        <w:autoSpaceDN w:val="0"/>
        <w:adjustRightInd w:val="0"/>
        <w:spacing w:after="0" w:line="240" w:lineRule="auto"/>
        <w:jc w:val="both"/>
        <w:rPr>
          <w:rFonts w:ascii="Times New Roman" w:hAnsi="Times New Roman"/>
          <w:color w:val="000000" w:themeColor="text1"/>
          <w:sz w:val="16"/>
          <w:szCs w:val="16"/>
        </w:rPr>
      </w:pPr>
    </w:p>
    <w:p w14:paraId="24544C6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16 апреля 1944 г. вышел ПРИКАЗ НК ВМФ О ВЫПОЛНЕНИИ ПОСТАНОВЛЕНИЯ ГОСУДАРСТВЕННОГО КОМИТЕТА ОБОРОНЫ ОТ 13 АПРЕЛЯ 1944 г. ЗА № ГОКО-5619сс ПО ПЕРЕВОДУ 10 ПОДВОДНЫХ ЛОДОК ТИПА &lt;М&gt; С ТИХООКЕАНСКОГО ФЛОТА В ЧЕРНОЕ МОРЕ № 0097 </w:t>
      </w:r>
    </w:p>
    <w:p w14:paraId="5103BA0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целях усиления Черноморского флота Государственный Комитет Обороны постановил перевести с Тихоокеанского флота 10 подводных лодок типа «М» в состав Черноморского флота.</w:t>
      </w:r>
    </w:p>
    <w:p w14:paraId="1704514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Переброску 10 подводных лодок типа «М» произвести по железной дороге на специальных транспортерах по маршруту Владивосток-Поти.</w:t>
      </w:r>
    </w:p>
    <w:p w14:paraId="1BAE9CC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Указанным постановлением Государственный Комитет Обороны обязал НКПС (тов. Кагановича) обеспечить переброску 10 транспортеров из г. Горького во Владивосток и из Владивостока 10 транспортеров с подводными лодками в г. Поти.</w:t>
      </w:r>
    </w:p>
    <w:p w14:paraId="14C180E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 исполнение указанного постановления Государственного Комитета Обороны, приказываю:</w:t>
      </w:r>
    </w:p>
    <w:p w14:paraId="5E7A9BA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I. Военсовету Тихоокеанского флота:</w:t>
      </w:r>
    </w:p>
    <w:p w14:paraId="20B2DE1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Подготовить к отправке по железной дороге на Черноморский флот 10 ) подводных лодок типа «М» (с двумя управлениями дивизионов) в три очереди:</w:t>
      </w:r>
    </w:p>
    <w:p w14:paraId="08FEF29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очередь - четыре подводных лодки типа «М» - XII серии,;</w:t>
      </w:r>
    </w:p>
    <w:p w14:paraId="37AC993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и 3 очереди - по три подводных лодки типа «М» VI или У1-бис серии, наиболее исправные по техническому состоянию.</w:t>
      </w:r>
    </w:p>
    <w:p w14:paraId="737DB19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Отправку подлодок произвести в следующие ориентировочные сроки:</w:t>
      </w:r>
    </w:p>
    <w:p w14:paraId="3812979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очередь - май-июнь 1944 г.</w:t>
      </w:r>
    </w:p>
    <w:p w14:paraId="3C4E5C7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очередь - июнь-июль 1944 г.</w:t>
      </w:r>
    </w:p>
    <w:p w14:paraId="253D13B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очередь - июль-август 1944 г.</w:t>
      </w:r>
    </w:p>
    <w:p w14:paraId="332979C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Выделить в распоряжение завода № 202 НКСП необходимое количество краснофлотцев, по согласованию с уполномоченным У К ВМФ в г. Владивостоке, для производства демонтажных работ и обеспечить участие всего личного состава отправляемых лодок в работах завода № 202 НКСП.</w:t>
      </w:r>
    </w:p>
    <w:p w14:paraId="59322A5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Обеспечить средствами тыла ТОФ упаковку, погрузку в вагоны и отправку вместе с подлодками всего снятого с них оборудования и запасных частей.</w:t>
      </w:r>
    </w:p>
    <w:p w14:paraId="748E9A3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Внести соответствующие изменения в графики II и III кварталов 1944 г. по судоремонту боевых кораблей на заводе № 202 НКСП в связи с производством демонтажных работ подлодок указанным заводом.</w:t>
      </w:r>
    </w:p>
    <w:p w14:paraId="1DBF886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В остальном руководствоваться «Инструкцией по техническому обеспечению подводных лодок НКВМФ типа «М», перебрасываемых по железной дороге из состава одного флота в состав другого» 1939 г.</w:t>
      </w:r>
    </w:p>
    <w:p w14:paraId="57DF948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II. Военсовету Черноморского флота;</w:t>
      </w:r>
    </w:p>
    <w:p w14:paraId="3751EE1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Обеспечить базирование 10 подводных лодок типа «М» по прибытии их в Поти.</w:t>
      </w:r>
    </w:p>
    <w:p w14:paraId="5D27A32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Обеспечить средствами тыла ЧФ разгрузку из вагонов всего оборудования подлодок в Поти.</w:t>
      </w:r>
    </w:p>
    <w:p w14:paraId="54ABBF6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Обеспечить участие личного состава в монтаже подлодок и провести контрольные испытания их после восстановительного монтажа, в соответствии с «Инструкцией» 1939 г., уточнив программу испытаний своим приказом, исходя из обстановки.</w:t>
      </w:r>
    </w:p>
    <w:p w14:paraId="5BD9B16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Внести соответствующие изменения в графике II и Ш-кварталов 1944 г. по судоремонту боевых кораблей на заводе № 201 НКСП в связи с производством восстановительного монтажа подлодок указанным заводом.</w:t>
      </w:r>
    </w:p>
    <w:p w14:paraId="497762A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остальном руководствоваться «Инструкцией» 1939 г.</w:t>
      </w:r>
    </w:p>
    <w:p w14:paraId="040FACC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III. Начальнику управления кораблестроения ВМФ:</w:t>
      </w:r>
    </w:p>
    <w:p w14:paraId="6863420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Подготовить 5 транспортеров и отправить их 25 апреля с. г. из Горького во Владивосток для переброски подлодок первой очереди.</w:t>
      </w:r>
    </w:p>
    <w:p w14:paraId="42E8DF2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По освобождении 4 транспортеров после переброски подлодок XII серии с СФ на ЧФ, отправить их в мае-июне 1944 г. во Владивосток для переброски подлодок 2 очереди.</w:t>
      </w:r>
    </w:p>
    <w:p w14:paraId="7AC6E35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По освобождении 4 транспортеров после переброски больших охотников из Сарепты в Калач, отправить их в июне-июле 1944 г. во Владивосток для переброски подлодок 3 очереди.</w:t>
      </w:r>
    </w:p>
    <w:p w14:paraId="3B0C759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Обеспечить средствами промышленности при участии личного состава спуск 10 подводных лодок с транспортеров на воду и производство восстановительного монтажа в г. Поти.</w:t>
      </w:r>
    </w:p>
    <w:p w14:paraId="68072A5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IV. Начальнику управления военных сообщений:</w:t>
      </w:r>
    </w:p>
    <w:p w14:paraId="75F056A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Обеспечить перевозку порожних транспортеров в г. Владивосток по заявке начальника УК ВМФ.</w:t>
      </w:r>
    </w:p>
    <w:p w14:paraId="2039E31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Подать подвижной состав во Владивосток для перевозки оборудования подлодок и обеспечить перевозку подводных лодок на транспортерах из Владивостока в Поти по заявке начальника тыла ТОФ.</w:t>
      </w:r>
    </w:p>
    <w:p w14:paraId="67CADF9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V. Начальнику финансового управления:</w:t>
      </w:r>
    </w:p>
    <w:p w14:paraId="6CF1BBE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Обеспечить финансирование расходов, связанных с переброской 10 подводных лодок типа «М» из Владивостока в Поти. </w:t>
      </w:r>
    </w:p>
    <w:p w14:paraId="10C2E218" w14:textId="77777777" w:rsidR="00595BFB" w:rsidRPr="007224C3" w:rsidRDefault="00595BFB" w:rsidP="007224C3">
      <w:pPr>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Cs/>
          <w:color w:val="000000" w:themeColor="text1"/>
          <w:sz w:val="16"/>
          <w:szCs w:val="16"/>
        </w:rPr>
        <w:t>КУЗНЕЦОВ</w:t>
      </w:r>
    </w:p>
    <w:p w14:paraId="1F685D5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iCs/>
          <w:color w:val="000000" w:themeColor="text1"/>
          <w:sz w:val="16"/>
          <w:szCs w:val="16"/>
        </w:rPr>
        <w:t>ЦВМА, ф. 79, д. 39840, л. 352-354. Подлинник (11459).</w:t>
      </w:r>
    </w:p>
    <w:p w14:paraId="01D22D1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718E508"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111752A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6CAAD0E"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апреля в 1944 году оперативная сводка Совинформбюро:</w:t>
      </w:r>
    </w:p>
    <w:p w14:paraId="685DCA80"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16 апреля на Кишинёвском направлении наши войска, форсировав на ряде участков реку Днестр, захватили плацдармы на правом берегу реки и вели бои по их расширению.</w:t>
      </w:r>
    </w:p>
    <w:p w14:paraId="712E7739"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югу от города Тирасполь наши войска, форсировав Днестр, овладели населёнными пунктами Урсоя, Кицкань, Копанка и вели бои за расширение захваченного плацдарма.</w:t>
      </w:r>
    </w:p>
    <w:p w14:paraId="1EA0C709"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Отдельной Приморской армии, развивая наступление, овладели городом ипортом на Чёрном море Ялта, одним из опорных пунктов обороны противника на южном побережье Крыма, а также с боями заняли более 40 других населённых пунктов, в том числе город Алупка, курортные поселки Гурзуф, Ливадия, Кореиз, Симеиз, Артек, Кикенеиз и населённые пункты Адымчокрак, Коклуз, Коккозы, Лимены, Кучуккой.</w:t>
      </w:r>
    </w:p>
    <w:p w14:paraId="19006B87"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4029E9EB"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15 апреля наши войска на всех фронтах подбили и уничтожили 91 немецкий танк. В воздушных боях и огнём зенитной артиллерии сбито 78 самолётов противника.</w:t>
      </w:r>
    </w:p>
    <w:p w14:paraId="22FFA7FA"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Налёт нашей авиации на железнодорожную станцию и порт Севастополь.</w:t>
      </w:r>
    </w:p>
    <w:p w14:paraId="44DBDFDC"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ночь на 16 апреля наша авиация вновь произвела налёт на железнодорожнуюстанцию и порт Севастополь. В результате бомбардировки на железнодорожной станции возникли пожары. Особенно крупные пожары отмечены в районе угольно-нефтяной пристани. Прямым попаданием бомбы потоплен стоявший в порту транспорт противника водоизмещением в 3.000 тонн. Наблюдением отмечено также несколько сильных взрывов среди судов, находившихся в южной бухте.</w:t>
      </w:r>
    </w:p>
    <w:p w14:paraId="4227E40C"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Кишинёвском направлении наши войска, сломив упорное сопротивление противника, в ряде мест переправились через Днестр. Немцы предприняли несколько контратак, пытаясь сбросить советские части в реку. Наши пехотинцы отбили все контратаки противника, уничтожив при этом до 800 гитлеровцев. С боями продвигаясь вперёд, наши войска шаг за шагом расширяют плацдармы на правом берегу Днестра.</w:t>
      </w:r>
    </w:p>
    <w:p w14:paraId="0F647422"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югу от города Тирасполь бойцы Н-ского соединения внезапно переправились через реку Днестр и стремительной атакой заняли несколько населённых пунктов. В бою за эти пункты уничтожено свыше тысячи немецких солдат и офицеров. Захвачено 11 орудий, 27 пулемётов, 8 миномётов, склад боеприпасов и склад с продовольствием. Взяты пленные, в том числе командир батальона противника.</w:t>
      </w:r>
    </w:p>
    <w:p w14:paraId="1BC7F2AD"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Войска Отдельной Приморской армии продолжали успешное наступление. Отступая под ударами советских частей вдоль побережья Чёрного моря, противник усиленно минирует дороги, устраивает завалы и взрывает мосты. На подступах к Гурзуфу и Ялте немцы выставили артиллерийские и пулемётные заслоны, рассчитывая, что удобная для обороны местность даст им возможность надолго задержать советские войска. Наши бойцы, действуя мелкими штурмовыми группами, обошли горными тропинками заслоны противника и нанесли им удар с тыла. Развивая наступление, войска Отдельной Приморской армии овладели городом и портом Ялта, городом Алупка и курортными посёлками Гурзуф, Артек, Ливадия, Кореиз, Симеиз, Кикенеиз. В Ялте захвачены большие трофеи и много пленных. В Гурзуфе сдался в плен в полном составе батальон 2 горно-стрелковой дивизии противника вместе со своим командиром. Ожесточённые бои происходят в горах. Советские части преследуют скрывающихся в горах гитлеровцев, окружают и уничтожают их. По неполным данным, взято в плен 3.000 солдат и офицеров противника. Захвачено у немцев 80 орудий, 110 миномётов, 7 тысяч винтовок и автоматов, 250 автомашин и повозок с грузами, 2.400 лошадей, 25 складов с боеприпасами, продовольствием и различным военным имуществом. Пленные немецкие солдаты сообщили, что командир 98 немецкой пехотнойдивизии Гарейс и командиры полков после разгрома этой дивизии на Керченском полуострове заболели «крымской болезнью» и улетели на самолёте. Известно также, что многие другие немецкие генералы и старшие офицеры бросили своих солдат на произвол судьбы и дезертировали из Крыма.</w:t>
      </w:r>
    </w:p>
    <w:p w14:paraId="60B5A4C5"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Корабли Черноморского флота наносят удары по судам, на которых немцы пытаются выбраться из Крыма. Сегодня потоплены 4 самоходные баржи с пехотой противника. Несколько вражеских судов получили серьёзные повреждения.</w:t>
      </w:r>
    </w:p>
    <w:p w14:paraId="337F162C"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Наша авиация уничтожала самолёты противника на аэродроме мыс Херсонес. В течение дня разбито и сожжено на этом аэродроме 28 немецких самолётов. Кроме того, в воздушных боях сбито 10 самолётов противника.</w:t>
      </w:r>
    </w:p>
    <w:p w14:paraId="2D827273"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Партизанский отряд, действующий в одном районе Могилёвской области, в ночь на 30 марта напал на сильно укреплённый немецкий гарнизон. Советские патриоты разгромили штаб гарнизона, уничтожили 2 орудия, 60 автомашин и сожгли 4 цистерны с бензином. В ходе боя партизаны истребили до роты гитлеровцев.</w:t>
      </w:r>
    </w:p>
    <w:p w14:paraId="006D5ECD"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Взятый в плен командир сапёрного батальона 10 румынской пехотной дивизииподполковник Стефан Букуренчу сообщил: «За несколько дней до наступления русских командир нашей дивизии издал приказ, с которым были ознакомлены все офицеры. В этом приказе говорилось, что командование требует удержать Крым любой ценой, до последнего солдата. Офицеры были уверены, что они сумеют выполнить этот приказ. Укрепления на Перекопском перешейке мы считали неприступными. Наличие в Крым крупных сил немецко-румынских войск, военной техники, особенно артиллерии и миномётов, укрепляло нашу уверенность. Среди офицеров господствовало мнение, что русским потребуется по крайней мере много недель для того, чтобы прорваться через Перекопский перешеек. Однако действительность опрокинула все наши расчёты. Наступление русских войск было необычайным. Особенно большую роль сыграли советская артиллерия и танки. Под ударами же русской пехоты вся наша оборона рассыпалась».</w:t>
      </w:r>
    </w:p>
    <w:p w14:paraId="7EDA9AB6"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Потери противника и трофеи войск 2-го Украинского фронта за период боев с 6 марта по 15 апреля с. г.</w:t>
      </w:r>
    </w:p>
    <w:p w14:paraId="236E39D2"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2-го Украинского фронта под командованием Маршала Советского Союза Конева, в результате проведённых наступательных операций с 6 марта по 15 апреля сего года, нанесли противнику следующие потери в живой силе и технике:</w:t>
      </w:r>
    </w:p>
    <w:p w14:paraId="56ACFC7D"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Уничтожено: самолётов — 142, танков и самоходных орудий —688,</w:t>
      </w:r>
    </w:p>
    <w:p w14:paraId="455F2106"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орудий разных калибров — 1.474, миномётов — 1.838, пулемётов —3.660,</w:t>
      </w:r>
    </w:p>
    <w:p w14:paraId="6D82C64F"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бронемашин и бронетранспортёров — 356, автомашин — 25.111, тягачей —248, повозок — 6.453, лошадей — 8.740, складов с боеприпасами и военно-техническим имуществом — 63.</w:t>
      </w:r>
    </w:p>
    <w:p w14:paraId="4CFEAA74"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Противник оставил на поле боя 118.400 трупов солдат и офицеров.</w:t>
      </w:r>
    </w:p>
    <w:p w14:paraId="60DDF164"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это же время войска 2-го Украинского фронта захватили следующие трофеи: самолётов — 27, танков и самоходных орудий — 731, полевых орудий разных калибров — 1.356, миномётов — 1.156, пулемётов — 2.090, винтовок — 27.093, бронемашин и бронетранспортёров — 204, автомашин — 15.096, тягачей — 149, радиостанций — 198, повозок — 1.470, лошадей — 6.260, паровозов —71, вагонов — 4.009, снарядов — 6.340.000, складов с военно-техническим имуществом — 76.</w:t>
      </w:r>
    </w:p>
    <w:p w14:paraId="3D826D95"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Взято в плен 27.393 немецких солдат и офицеров.</w:t>
      </w:r>
    </w:p>
    <w:p w14:paraId="4FB2C851"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Таким образом, общие потери немцев по главным видам боевой техники и в живой силе за время наступательных операций 2-го Украинского фронта составляют: пленными и убитыми — 145.793, самолётов — 169, танков и самоходных орудий — 1.419, орудий разных калибров — 2.830, миномётов — 2.994, пулемётов — 5.750, бронемашин и бронетранспортёров — 560, автомашин — 40.207.» (15101).</w:t>
      </w:r>
    </w:p>
    <w:p w14:paraId="18BBA771" w14:textId="77777777" w:rsidR="001732E9" w:rsidRPr="007224C3" w:rsidRDefault="001732E9" w:rsidP="007224C3">
      <w:pPr>
        <w:spacing w:after="0" w:line="240" w:lineRule="auto"/>
        <w:jc w:val="both"/>
        <w:rPr>
          <w:rFonts w:ascii="Times New Roman" w:hAnsi="Times New Roman"/>
          <w:color w:val="000000" w:themeColor="text1"/>
          <w:sz w:val="16"/>
          <w:szCs w:val="16"/>
        </w:rPr>
      </w:pPr>
    </w:p>
    <w:p w14:paraId="72134F9F"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апреля 1944 советские войска освободили Ялту (Крым) (4962).</w:t>
      </w:r>
    </w:p>
    <w:p w14:paraId="69E28217"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1A5ABF6"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апреля 1944 советские войска форсировали Днестр (4962).</w:t>
      </w:r>
    </w:p>
    <w:p w14:paraId="3BC2BCA8"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8CC4D0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апреля 1944 в ночь на 16 л АДД произвели налет на Севастополь. Бомбили ж/д станцию и потопили транспорт 3000 т, а на аэродроме сожгли 28 и в бою сбили 10 самолетов (438,901).</w:t>
      </w:r>
    </w:p>
    <w:p w14:paraId="10B3D0C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5CFD7E" w14:textId="77777777" w:rsidR="00A61476" w:rsidRPr="007224C3" w:rsidRDefault="00A61476"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Жизнь и внутренняя политика:</w:t>
      </w:r>
    </w:p>
    <w:p w14:paraId="5375A224" w14:textId="77777777" w:rsidR="00A61476" w:rsidRPr="007224C3" w:rsidRDefault="00A61476"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2DA10F9" w14:textId="77777777" w:rsidR="00A61476" w:rsidRPr="007224C3" w:rsidRDefault="00A6147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апреля 1944. Церковный праздник Светлое воскресение (Пасха).</w:t>
      </w:r>
    </w:p>
    <w:p w14:paraId="62CA0EC0" w14:textId="77777777" w:rsidR="00A61476" w:rsidRPr="007224C3" w:rsidRDefault="00A6147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Председатель Совета по делам РПЦ при СНК СССР Г. Г. Карпов сообщал И. В. Сталину, В. М. Молотову и Л. П. Берии: "В ночь с 15 на 16 апреля с. г. во всех городах и районах Союза, где есть действующие православные церкви, проводилась ночная пасхальная служба, так называемая "заутреня". В г. Москве пасхальная служба проводилась в 30 церквах патриаршей ориентации и одной обновленческой. Причем, во всех церквах было большое переполнение верующих. Общее число посетивших церкви г. Москвы на первой "заутрени" ориентировочно составляет 120 тысяч человек, но в большинстве церквей в эту ночь было проведено по 2 и 3 службы. Примерно половину посетивших церкви составляли пожилые возраста, 25% - среднего возраста и 25% - молодежь. 75% всех составляли женщины. Особенно большое скопление верующих наблюдалось в следующих церквах г. Москвы:</w:t>
      </w:r>
    </w:p>
    <w:p w14:paraId="7CA4C3F9" w14:textId="77777777" w:rsidR="00A61476" w:rsidRPr="007224C3" w:rsidRDefault="00A6147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Кафедральный Богоявленский собор (Спартаковская, 15) - до 10 тысяч человек.</w:t>
      </w:r>
    </w:p>
    <w:p w14:paraId="57FF1AB2" w14:textId="77777777" w:rsidR="00A61476" w:rsidRPr="007224C3" w:rsidRDefault="00A6147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Церковь Петра и Павла (Преображенская пл. 11) - 8 тысяч человек.</w:t>
      </w:r>
    </w:p>
    <w:p w14:paraId="70B00696" w14:textId="77777777" w:rsidR="00A61476" w:rsidRPr="007224C3" w:rsidRDefault="00A6147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Свято-Духовская церковь (на Даниловском кладбище) - 8 тысяч чел.</w:t>
      </w:r>
    </w:p>
    <w:p w14:paraId="2BF9A639" w14:textId="77777777" w:rsidR="00A61476" w:rsidRPr="007224C3" w:rsidRDefault="00A6147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Церковь Иоанна Предтечи (на Красной Пресне) - 6 тысяч человек.</w:t>
      </w:r>
    </w:p>
    <w:p w14:paraId="236AAAC1" w14:textId="77777777" w:rsidR="00A61476" w:rsidRPr="007224C3" w:rsidRDefault="00A6147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Церковь Иоанна Воина (Б. Якиманка, 46) - 6 тысяч человек.</w:t>
      </w:r>
    </w:p>
    <w:p w14:paraId="4E2583FB" w14:textId="77777777" w:rsidR="00A61476" w:rsidRPr="007224C3" w:rsidRDefault="00A6147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Церковь Петра и Павла (Солдатская ул. 4) - 4 тысячи человек.</w:t>
      </w:r>
    </w:p>
    <w:p w14:paraId="1045142C" w14:textId="77777777" w:rsidR="00A61476" w:rsidRPr="007224C3" w:rsidRDefault="00A6147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Почти во всех церквах города, в том или другом количестве, были военнослужащие офицерского и рядового состава, общим числом свыше 500 человек (от 10 до 20 человек в каждой церкви, и только в церкви "Иоанна Предтечи" на Красной Пресне было военнослужащих до 200 человек). Наиболее крупные церкви посетили представители и сотрудники инопосольств и инокорреспон-денты. Так, например, в кафедральном соборе, где службу вел патриарх Сергий, было иностранцев до 25 человек (прошедших в алтарь), в том числе 14 человек от Американского посольства, и среди них - советник посольства Гамильтон, начальник морского отдела миссии - контр-адмирал Оль-сен, первый и второй секретари посольства; из Английского посольства - 4 человека; из Австралийской миссии - 2, трое японских корреспондентов и технический секретарь Французского представительства - Отт.</w:t>
      </w:r>
    </w:p>
    <w:p w14:paraId="4523833F" w14:textId="77777777" w:rsidR="00A61476" w:rsidRPr="007224C3" w:rsidRDefault="00A6147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Выборочные данные о посещаемости церквей в эту ночь в Московской области показывают, что количество верующих в церквах было значительно выше, чем в праздник пасхи 1943 г. Так, например, в 30 районах области 90 действующих церквей посетило 148 тысяч человек, тогда как в прошлом году - 95 тысяч человек. Почти 80% посетивших пасхальную службу в районах области составляют женщины, молодежь - от 20 до 25%, но в некоторых районах, как, например, Подольском, Мытищинском, Константинов -ском, Краснопахринском молодежь составляла 50% всех присутствующих в церквах.</w:t>
      </w:r>
    </w:p>
    <w:p w14:paraId="7E6EE89E" w14:textId="77777777" w:rsidR="00A61476" w:rsidRPr="007224C3" w:rsidRDefault="00A6147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области также были посещения церквей офицерским и рядовым составом. Так, например, в "Казанской" церкви (села Коломенское Ленинского района) военнослужащих было 50 человек, в церкви "Александра Невского" (поселок Бирюлево Ленинского района) - 275 человек, в "Троицкой" церкви т. Подольска - 100 человек.</w:t>
      </w:r>
    </w:p>
    <w:p w14:paraId="7FDEE257" w14:textId="77777777" w:rsidR="00A61476" w:rsidRPr="007224C3" w:rsidRDefault="00A6147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 всех церквах города и области во время пасхальной службы было зачитано щ ковно-патриотическое обращение патриарха Сергия. Никаких происшествий в церквах не зарегистрировано" (18692).</w:t>
      </w:r>
    </w:p>
    <w:p w14:paraId="249E2801" w14:textId="77777777" w:rsidR="00A61476" w:rsidRPr="007224C3" w:rsidRDefault="00A61476"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7186B4" w14:textId="77777777" w:rsidR="001732E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38498726" w14:textId="77777777" w:rsidR="001732E9" w:rsidRPr="007224C3" w:rsidRDefault="001732E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7D29BE3"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апреля в 1944 году началась третья серия испытаний немецкого экспериментального самолета «Sack» «AS-6».</w:t>
      </w:r>
    </w:p>
    <w:p w14:paraId="65B3408F"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ВПП базы «Брандис» («Brandis») - 700 м. Самолет пробегал 500 метров без подъема хвостовой части, хотя краткий подлет был зафиксирован. Во время четвертой заключительной серии испытаний самолет таки смогли поднять в воздух на небольшую высоту, но тут обнаружилось, что «AS-6» имеет очевидный крен влево из-за вращающего момента двигателя. Малый размах крыла не позволял компенсировать этот момент. Пилот-испытатель рекомендовал установить более мощный двигатель, и увеличить число тестовых продувок в аэродинамической трубе. Артур Зак вернулся к чертежной доске для доработки своего "детища" (15101).</w:t>
      </w:r>
    </w:p>
    <w:p w14:paraId="28C099C6" w14:textId="77777777" w:rsidR="001732E9" w:rsidRPr="007224C3" w:rsidRDefault="001732E9" w:rsidP="007224C3">
      <w:pPr>
        <w:spacing w:after="0" w:line="240" w:lineRule="auto"/>
        <w:jc w:val="both"/>
        <w:rPr>
          <w:rFonts w:ascii="Times New Roman" w:hAnsi="Times New Roman"/>
          <w:color w:val="000000" w:themeColor="text1"/>
          <w:sz w:val="16"/>
          <w:szCs w:val="16"/>
        </w:rPr>
      </w:pPr>
    </w:p>
    <w:p w14:paraId="7C2EE290" w14:textId="77777777" w:rsidR="00B05D39" w:rsidRPr="007224C3" w:rsidRDefault="00B05D39" w:rsidP="007224C3">
      <w:pPr>
        <w:pStyle w:val="1151"/>
        <w:shd w:val="clear" w:color="auto" w:fill="auto"/>
        <w:spacing w:before="0" w:line="240" w:lineRule="auto"/>
        <w:rPr>
          <w:rFonts w:ascii="Times New Roman" w:hAnsi="Times New Roman" w:cs="Times New Roman"/>
          <w:color w:val="0070C0"/>
          <w:sz w:val="16"/>
          <w:szCs w:val="16"/>
        </w:rPr>
      </w:pPr>
      <w:r w:rsidRPr="007224C3">
        <w:rPr>
          <w:rFonts w:ascii="Times New Roman" w:hAnsi="Times New Roman" w:cs="Times New Roman"/>
          <w:color w:val="0070C0"/>
          <w:sz w:val="16"/>
          <w:szCs w:val="16"/>
        </w:rPr>
        <w:t>16 апреля 1944 года</w:t>
      </w:r>
      <w:r w:rsidRPr="007224C3">
        <w:rPr>
          <w:rFonts w:ascii="Times New Roman" w:hAnsi="Times New Roman" w:cs="Times New Roman"/>
          <w:color w:val="0070C0"/>
          <w:sz w:val="16"/>
          <w:szCs w:val="16"/>
          <w:lang w:val="ru-RU"/>
        </w:rPr>
        <w:t xml:space="preserve"> был</w:t>
      </w:r>
      <w:r w:rsidRPr="007224C3">
        <w:rPr>
          <w:rFonts w:ascii="Times New Roman" w:hAnsi="Times New Roman" w:cs="Times New Roman"/>
          <w:color w:val="0070C0"/>
          <w:sz w:val="16"/>
          <w:szCs w:val="16"/>
        </w:rPr>
        <w:t xml:space="preserve"> облетан</w:t>
      </w:r>
      <w:r w:rsidRPr="007224C3">
        <w:rPr>
          <w:rFonts w:ascii="Times New Roman" w:hAnsi="Times New Roman" w:cs="Times New Roman"/>
          <w:color w:val="0070C0"/>
          <w:sz w:val="16"/>
          <w:szCs w:val="16"/>
          <w:lang w:val="ru-RU"/>
        </w:rPr>
        <w:t xml:space="preserve"> Ме-264</w:t>
      </w:r>
      <w:r w:rsidRPr="007224C3">
        <w:rPr>
          <w:rFonts w:ascii="Times New Roman" w:hAnsi="Times New Roman" w:cs="Times New Roman"/>
          <w:color w:val="0070C0"/>
          <w:sz w:val="16"/>
          <w:szCs w:val="16"/>
        </w:rPr>
        <w:t xml:space="preserve"> с новыми звездообразными моторами BMW801</w:t>
      </w:r>
      <w:r w:rsidRPr="007224C3">
        <w:rPr>
          <w:rFonts w:ascii="Times New Roman" w:hAnsi="Times New Roman" w:cs="Times New Roman"/>
          <w:color w:val="0070C0"/>
          <w:sz w:val="16"/>
          <w:szCs w:val="16"/>
          <w:lang w:val="ru-RU"/>
        </w:rPr>
        <w:t xml:space="preserve">. </w:t>
      </w:r>
      <w:r w:rsidRPr="007224C3">
        <w:rPr>
          <w:rFonts w:ascii="Times New Roman" w:hAnsi="Times New Roman" w:cs="Times New Roman"/>
          <w:color w:val="0070C0"/>
          <w:sz w:val="16"/>
          <w:szCs w:val="16"/>
        </w:rPr>
        <w:t xml:space="preserve">Взлетные характеристики улучшились, но управляемость и особенно надежность все еще были недостаточными. Из-за этого самолет так и не выполнил ни одного зачетного полета на дальность. Летом машину отдали для экспериментов с дополнительными ракетными и турбореактивными двигателями, а также для наземной отработки экспериментальной паротурбинной установки фирмы «Озермашинен ГмбХ». Ее двигатель, работавший на смеси угольного порошка и бензина, должен был сообщать многолопастному винту малого — всего 2 м — диаметра мощность 6000 л.с. Конец этим экспериментам положила авиация Союзников, разбомбив 18 июля 1944 года Me264V1 вместе с готовыми на 80% прототипами V2 и V3 на испытательной базе в Меммингене. </w:t>
      </w:r>
      <w:r w:rsidRPr="007224C3">
        <w:rPr>
          <w:rFonts w:ascii="Times New Roman" w:hAnsi="Times New Roman" w:cs="Times New Roman"/>
          <w:color w:val="0070C0"/>
          <w:sz w:val="16"/>
          <w:szCs w:val="16"/>
          <w:lang w:val="ru-RU"/>
        </w:rPr>
        <w:t>(22883)</w:t>
      </w:r>
      <w:r w:rsidRPr="007224C3">
        <w:rPr>
          <w:rFonts w:ascii="Times New Roman" w:hAnsi="Times New Roman" w:cs="Times New Roman"/>
          <w:color w:val="0070C0"/>
          <w:sz w:val="16"/>
          <w:szCs w:val="16"/>
        </w:rPr>
        <w:t>.</w:t>
      </w:r>
    </w:p>
    <w:p w14:paraId="2DB6A7D9" w14:textId="77777777" w:rsidR="00B05D39" w:rsidRPr="007224C3" w:rsidRDefault="00B05D39" w:rsidP="007224C3">
      <w:pPr>
        <w:pStyle w:val="1151"/>
        <w:shd w:val="clear" w:color="auto" w:fill="auto"/>
        <w:spacing w:before="0" w:line="240" w:lineRule="auto"/>
        <w:rPr>
          <w:rFonts w:ascii="Times New Roman" w:hAnsi="Times New Roman" w:cs="Times New Roman"/>
          <w:color w:val="0070C0"/>
          <w:sz w:val="16"/>
          <w:szCs w:val="16"/>
        </w:rPr>
      </w:pPr>
    </w:p>
    <w:p w14:paraId="31C79E66" w14:textId="77777777" w:rsidR="00B05D39" w:rsidRPr="007224C3" w:rsidRDefault="00B05D39"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16 апреля 1944 самолет пятой армии ВВС наносят последний удар по японским аэродромам в окрестностях Голландии. Они практически уничтожили японские силы из 351 самолета, которые находились на аэродромах в конце марта (20373).</w:t>
      </w:r>
    </w:p>
    <w:p w14:paraId="521474D0" w14:textId="77777777" w:rsidR="00B05D39" w:rsidRPr="007224C3" w:rsidRDefault="00B05D39" w:rsidP="007224C3">
      <w:pPr>
        <w:spacing w:after="0" w:line="240" w:lineRule="auto"/>
        <w:jc w:val="both"/>
        <w:rPr>
          <w:rFonts w:ascii="Times New Roman" w:hAnsi="Times New Roman"/>
          <w:color w:val="0070C0"/>
          <w:sz w:val="16"/>
          <w:szCs w:val="16"/>
        </w:rPr>
      </w:pPr>
    </w:p>
    <w:p w14:paraId="7FD80303"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1CF8923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70EE34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апреля 1944 г. начальник ЛИИ НКАП профессор А.В. Че-салов утвердил отчет по результатам испытаний модернизиро ванной системы водяного охлаждения мотора АМ-38ф на се</w:t>
      </w:r>
      <w:r w:rsidRPr="007224C3">
        <w:rPr>
          <w:rFonts w:ascii="Times New Roman" w:hAnsi="Times New Roman"/>
          <w:color w:val="000000" w:themeColor="text1"/>
          <w:sz w:val="16"/>
          <w:szCs w:val="16"/>
        </w:rPr>
        <w:softHyphen/>
        <w:t>рийном самолете Ил-2 зав. № 1873370.</w:t>
      </w:r>
    </w:p>
    <w:p w14:paraId="6132390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Новая система отличалась от серийной наличием диффузора во всасывающем трубопроводе водяного насоса (вместо трой</w:t>
      </w:r>
      <w:r w:rsidRPr="007224C3">
        <w:rPr>
          <w:rFonts w:ascii="Times New Roman" w:hAnsi="Times New Roman"/>
          <w:color w:val="000000" w:themeColor="text1"/>
          <w:sz w:val="16"/>
          <w:szCs w:val="16"/>
        </w:rPr>
        <w:softHyphen/>
        <w:t>ника компенсационной трубки) и сепаратора в трубопроводе, отводящем воду из блоков цилиндров. За счет этого удалось по</w:t>
      </w:r>
      <w:r w:rsidRPr="007224C3">
        <w:rPr>
          <w:rFonts w:ascii="Times New Roman" w:hAnsi="Times New Roman"/>
          <w:color w:val="000000" w:themeColor="text1"/>
          <w:sz w:val="16"/>
          <w:szCs w:val="16"/>
        </w:rPr>
        <w:softHyphen/>
        <w:t>высить давление воды перед насосом и почти полностью устра</w:t>
      </w:r>
      <w:r w:rsidRPr="007224C3">
        <w:rPr>
          <w:rFonts w:ascii="Times New Roman" w:hAnsi="Times New Roman"/>
          <w:color w:val="000000" w:themeColor="text1"/>
          <w:sz w:val="16"/>
          <w:szCs w:val="16"/>
        </w:rPr>
        <w:softHyphen/>
        <w:t>нить кавитационные явления в системе. Эффективность работы водорадиатора улучшилась. В результате температура воды в го</w:t>
      </w:r>
      <w:r w:rsidRPr="007224C3">
        <w:rPr>
          <w:rFonts w:ascii="Times New Roman" w:hAnsi="Times New Roman"/>
          <w:color w:val="000000" w:themeColor="text1"/>
          <w:sz w:val="16"/>
          <w:szCs w:val="16"/>
        </w:rPr>
        <w:softHyphen/>
        <w:t>ризонтальном полете понизилась на 8—14°С, а на режиме ско</w:t>
      </w:r>
      <w:r w:rsidRPr="007224C3">
        <w:rPr>
          <w:rFonts w:ascii="Times New Roman" w:hAnsi="Times New Roman"/>
          <w:color w:val="000000" w:themeColor="text1"/>
          <w:sz w:val="16"/>
          <w:szCs w:val="16"/>
        </w:rPr>
        <w:softHyphen/>
        <w:t>роподъемности — на 2—3°С. Система была рекомендована к внедрению в серийном производстве (11474,375).</w:t>
      </w:r>
    </w:p>
    <w:p w14:paraId="5EC3267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FA6E03E" w14:textId="77777777" w:rsidR="00BF53B0" w:rsidRPr="007224C3" w:rsidRDefault="00BF53B0" w:rsidP="007224C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4C3">
        <w:rPr>
          <w:rFonts w:ascii="Times New Roman" w:eastAsia="TimesNewRomanPSMT" w:hAnsi="Times New Roman"/>
          <w:iCs/>
          <w:color w:val="000000" w:themeColor="text1"/>
          <w:sz w:val="16"/>
          <w:szCs w:val="16"/>
        </w:rPr>
        <w:t>17 апреля 1944 г.Докладная записка главного конструктора Г.М. Бериева и директора завода № 477 И.Я. Рехтмана начальнику ВВС ВМФ генерал-полковнику авиации С.Ф. Жаворонкову</w:t>
      </w:r>
    </w:p>
    <w:p w14:paraId="3FF59BE4" w14:textId="77777777" w:rsidR="00BF53B0" w:rsidRPr="007224C3" w:rsidRDefault="00BF53B0" w:rsidP="007224C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4C3">
        <w:rPr>
          <w:rFonts w:ascii="Times New Roman" w:eastAsia="TimesNewRomanPSMT" w:hAnsi="Times New Roman"/>
          <w:iCs/>
          <w:color w:val="000000" w:themeColor="text1"/>
          <w:sz w:val="16"/>
          <w:szCs w:val="16"/>
        </w:rPr>
        <w:t>г. Красноярск 17 апреля 1944 г.</w:t>
      </w:r>
    </w:p>
    <w:p w14:paraId="4C6A4CEC" w14:textId="77777777" w:rsidR="00BF53B0" w:rsidRPr="007224C3" w:rsidRDefault="00BF53B0" w:rsidP="007224C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4C3">
        <w:rPr>
          <w:rFonts w:ascii="Times New Roman" w:eastAsia="TimesNewRomanPSMT" w:hAnsi="Times New Roman"/>
          <w:iCs/>
          <w:color w:val="000000" w:themeColor="text1"/>
          <w:sz w:val="16"/>
          <w:szCs w:val="16"/>
        </w:rPr>
        <w:t>секретно</w:t>
      </w:r>
    </w:p>
    <w:p w14:paraId="2515E46F" w14:textId="77777777" w:rsidR="00BF53B0" w:rsidRPr="007224C3" w:rsidRDefault="00BF53B0" w:rsidP="007224C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4C3">
        <w:rPr>
          <w:rFonts w:ascii="Times New Roman" w:eastAsia="TimesNewRomanPSMT" w:hAnsi="Times New Roman"/>
          <w:iCs/>
          <w:color w:val="000000" w:themeColor="text1"/>
          <w:sz w:val="16"/>
          <w:szCs w:val="16"/>
        </w:rPr>
        <w:t>Завод № 477 НКАП, получив задание по строительству опытной машины ЛЛ-143 конструкции инженера Бериева, широко развернул запуск в пр[оизводст]во этой работы. В настоящее время закончены стр[оительст]вом стапеля и произведена закладка в общесборочный стапель основного агрегата-лодки. Все остальные агрегаты также находятся в стадии производственного изготовления. Коллектив завода, учитывая важность своевременной подачи ВВС ВМФ такого типа машины, прилагает все усилия, чтобы обеспечить выпуск первой машины в октябре-месяце 1944 года.</w:t>
      </w:r>
    </w:p>
    <w:p w14:paraId="53E942FA" w14:textId="77777777" w:rsidR="00BF53B0" w:rsidRPr="007224C3" w:rsidRDefault="00BF53B0" w:rsidP="007224C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4C3">
        <w:rPr>
          <w:rFonts w:ascii="Times New Roman" w:eastAsia="TimesNewRomanPSMT" w:hAnsi="Times New Roman"/>
          <w:iCs/>
          <w:color w:val="000000" w:themeColor="text1"/>
          <w:sz w:val="16"/>
          <w:szCs w:val="16"/>
        </w:rPr>
        <w:t>Наряду со строительством опытной машины завод № 477 производит серийный выпуск машины Бе-4.</w:t>
      </w:r>
    </w:p>
    <w:p w14:paraId="36BB43B1" w14:textId="77777777" w:rsidR="00BF53B0" w:rsidRPr="007224C3" w:rsidRDefault="00BF53B0" w:rsidP="007224C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4C3">
        <w:rPr>
          <w:rFonts w:ascii="Times New Roman" w:eastAsia="TimesNewRomanPSMT" w:hAnsi="Times New Roman"/>
          <w:iCs/>
          <w:color w:val="000000" w:themeColor="text1"/>
          <w:sz w:val="16"/>
          <w:szCs w:val="16"/>
        </w:rPr>
        <w:t>В настоящее время завод испытывает большие трудности из-за недостаточной мощности механического парка, что вынуждает нас в целях обеспечения выпуска в срок опытной машины просить Вашего разрешения об уменьшении на машинах Бе-4 выпуска текущего года количества поставляемых съемных сухопутных шасси, изготовление которых требует больших затрат механических мощностей, в которых крайне нуждается опытная машина. Просим Вас учесть, что Бе-4 в настоящее время используется главным образом на Черном море, где сухопутные шасси совершенно не применяются.</w:t>
      </w:r>
    </w:p>
    <w:p w14:paraId="4920B318" w14:textId="77777777" w:rsidR="00BF53B0" w:rsidRPr="007224C3" w:rsidRDefault="00BF53B0" w:rsidP="007224C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4C3">
        <w:rPr>
          <w:rFonts w:ascii="Times New Roman" w:eastAsia="TimesNewRomanPSMT" w:hAnsi="Times New Roman"/>
          <w:iCs/>
          <w:color w:val="000000" w:themeColor="text1"/>
          <w:sz w:val="16"/>
          <w:szCs w:val="16"/>
        </w:rPr>
        <w:t>Завод № 477 в состоянии в текущем году изготовлять один комплект шасси на каждые пять машин.</w:t>
      </w:r>
    </w:p>
    <w:p w14:paraId="068378BD" w14:textId="77777777" w:rsidR="00BF53B0" w:rsidRPr="007224C3" w:rsidRDefault="00BF53B0" w:rsidP="007224C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4C3">
        <w:rPr>
          <w:rFonts w:ascii="Times New Roman" w:eastAsia="TimesNewRomanPSMT" w:hAnsi="Times New Roman"/>
          <w:iCs/>
          <w:color w:val="000000" w:themeColor="text1"/>
          <w:sz w:val="16"/>
          <w:szCs w:val="16"/>
        </w:rPr>
        <w:t>Просим Вас, учитывая вышеизложенное, удовлетворить нашу просьбу и о Вашем решении срочно уведомить нас по телеграфу.</w:t>
      </w:r>
    </w:p>
    <w:p w14:paraId="7CBB960A" w14:textId="77777777" w:rsidR="00BF53B0" w:rsidRPr="007224C3" w:rsidRDefault="00BF53B0" w:rsidP="007224C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4C3">
        <w:rPr>
          <w:rFonts w:ascii="Times New Roman" w:eastAsia="TimesNewRomanPSMT" w:hAnsi="Times New Roman"/>
          <w:iCs/>
          <w:color w:val="000000" w:themeColor="text1"/>
          <w:sz w:val="16"/>
          <w:szCs w:val="16"/>
        </w:rPr>
        <w:t>Директор завода Рехтман</w:t>
      </w:r>
    </w:p>
    <w:p w14:paraId="4378045B" w14:textId="77777777" w:rsidR="00BF53B0" w:rsidRPr="007224C3" w:rsidRDefault="00BF53B0" w:rsidP="007224C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4C3">
        <w:rPr>
          <w:rFonts w:ascii="Times New Roman" w:eastAsia="TimesNewRomanPSMT" w:hAnsi="Times New Roman"/>
          <w:iCs/>
          <w:color w:val="000000" w:themeColor="text1"/>
          <w:sz w:val="16"/>
          <w:szCs w:val="16"/>
        </w:rPr>
        <w:t>Глав[ный] конструктор Бериев</w:t>
      </w:r>
    </w:p>
    <w:p w14:paraId="6E4BE14F" w14:textId="77777777" w:rsidR="00BF53B0" w:rsidRPr="007224C3" w:rsidRDefault="00BF53B0" w:rsidP="007224C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4C3">
        <w:rPr>
          <w:rFonts w:ascii="Times New Roman" w:eastAsia="TimesNewRomanPSMT" w:hAnsi="Times New Roman"/>
          <w:iCs/>
          <w:color w:val="000000" w:themeColor="text1"/>
          <w:sz w:val="16"/>
          <w:szCs w:val="16"/>
        </w:rPr>
        <w:t>КГКУ «ГАКК». Ф.Р-1341. Оп. 4. Д. 156. Л. 5, 5об. Копия. Машинопись (19799).</w:t>
      </w:r>
    </w:p>
    <w:p w14:paraId="700F9420" w14:textId="77777777" w:rsidR="00BF53B0" w:rsidRPr="007224C3" w:rsidRDefault="00BF53B0" w:rsidP="007224C3">
      <w:pPr>
        <w:spacing w:after="0" w:line="240" w:lineRule="auto"/>
        <w:jc w:val="both"/>
        <w:rPr>
          <w:rFonts w:ascii="Times New Roman" w:hAnsi="Times New Roman"/>
          <w:color w:val="000000" w:themeColor="text1"/>
          <w:sz w:val="16"/>
          <w:szCs w:val="16"/>
        </w:rPr>
      </w:pPr>
    </w:p>
    <w:p w14:paraId="20B2765B"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797335B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3E13B5F"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апреля 1944 г. из ДОКЛАДНОЙ ЗАПИСКИ СЕКРЕТАРЯ НОВОСИБИРСКОГО ОБКОМА ВКП(б) М.В. КУЛАГИНА ПРЕДСЕДАТЕЛЮ ГОСУДАРСТВЕННОГО КОМИТЕТА ОБОРОНЫ СССР И.В. СТАЛИНУ О ЗАВОДЕ № 644</w:t>
      </w:r>
    </w:p>
    <w:p w14:paraId="02AF8FD8"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Председателю Государственного Комитета Обороны Союза ССР тов. Сталину И.В. </w:t>
      </w:r>
    </w:p>
    <w:p w14:paraId="242E0D43"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Прожекторный завод № 644 им. Л.М. Кагановича — единственный в Союзе завод крупного прожекторостроения, который обеспечивает в течение 15 лет нужды Красной Армии и Флота мощными прожекторами всех типов. Прожекторными установками этого завода была оснащена противовоздушная оборона Москвы, Ленинграда, Севастополя, Баку и других крупнейших центров страны и береговая оборона Союза. Посадочными прожекторными станциями завода № 644 оборудованы аэродромы военно-воздушных сил страны. Положительные отзывы, полученные из боевых частей, говорят о высоком качестве советских прожекторных установок. По проходимости подвижные прожекторные станции завода № 644 намного превышают аналогичные заграничные образцы благодаря удобной конструкции и малому весу. Так же высоко оцениваются, по сравнению с заграничными образцами, светотехнические и тактические данные этих станций. После эвакуации на восток коллектив завода в трудных условиях военного времени, одновременно ведя большое строительство, сумел организовать на новом месте производство зенитных авиапосадочных и авиамаячных прожекторных станций, выпустив при этом за последние два года 25 новых конструкций прожекторов и станций, отвечающих полностью требованиям фронта. Завод решил эти задачи с минимальным расходом цветных металлов. Только по двум типам прожекторных станций среднегодовая экономия цветных металлов составляет 320 тонн. Этот завод неуклонно увеличивает выпуск прожекторных станций для нужд фронта. В 1942 г. было выпущено 185 мощных зенитных прожекторных станций. В 1943 году выпуск составил 519 станций, т.е. был увеличен против 1942 года почти в три раза. По посадочным станциям для аэродромов военно-воздушных сил страны выпуск станций в 1942 году составлял 107 штук, а в 1943 году — 170 штук, т.е. был увеличен более чем в полтора раза. Завод № 644 в III квартале 1944 года продолжает увеличивать выпуск мощных станций, выполнив при этом задание Государственного Комитета Обороны по зенитным и посадочным прожекторным станциям на 103,4%. В связи с призывом многих квалифицированных рабочих, специалистов прожекторного дела, в Красную Армию завод широко развернул подготовку кадров из молодежи, добившись при этом значительного роста производительности труда. Если производительность труда в довоенный период (1940 г.) принять за 100%, то в 1943 г. она составляет 170% и в первом квартале 1944 г.— 206%. В начале текущего года исполнилось 15 лет существования завода. Начав работу в виде небольших мастерских на электрозаводе, коллектив создал по указанию партии и правительства мощный завод советского прожекторостроения в г. Москве, а затем, когда решением правительства этот завод был эвакуирован в г. Новосибирск и размещен в небольшом здании бывшего трамвайного депо, то, невзирая на все трудности военного времени, в течение года были построены большие корпуса и восстановлено полностью производство советских зенитных и посадочных прожекторов. Работа коллектива этого завода заслуживает быть отмеченной правительственной наградой. Новосибирский обком ВКП(б) ходатайствует перед Вами о представлении Новосибирского прожекторного завода № 644 Наркомэлектропрома СССР к награждению орденом Трудового Красного Знамени и лучших людей коллектива завода орденами и медалями Союза ССР.</w:t>
      </w:r>
    </w:p>
    <w:p w14:paraId="15BF9B3C"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Секретарь Новосибирского обкома ВКП(б) М. Кулагин</w:t>
      </w:r>
    </w:p>
    <w:p w14:paraId="72B319BF"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ГАНО. Ф. П-4. Оп. 8. Д. 2. Л. 113-113, Копня.</w:t>
      </w:r>
    </w:p>
    <w:p w14:paraId="5BEFA321"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верхнем левом углу резолюция М.В. Кулагина секретарю обкома: «тов. Семин. Прошу подготовить этот вопрос». Дата «17.IV.». Подпись под документом отсутствует (12194).</w:t>
      </w:r>
    </w:p>
    <w:p w14:paraId="135214D0" w14:textId="77777777" w:rsidR="00137373" w:rsidRPr="007224C3" w:rsidRDefault="00137373" w:rsidP="007224C3">
      <w:pPr>
        <w:spacing w:after="0" w:line="240" w:lineRule="auto"/>
        <w:jc w:val="both"/>
        <w:rPr>
          <w:rFonts w:ascii="Times New Roman" w:hAnsi="Times New Roman"/>
          <w:color w:val="000000" w:themeColor="text1"/>
          <w:sz w:val="16"/>
          <w:szCs w:val="16"/>
        </w:rPr>
      </w:pPr>
    </w:p>
    <w:p w14:paraId="4EF531A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апреля 1944 вышло Постановление ГКО № 5638 Об утверждении заявки НКВТ на поставки по ленд-лизу с 1 июля 1944 г. по 30 июня 1945 г. РГАНИР, Фонд ГКО, д. 238, лл. 1,2-18 (11012).</w:t>
      </w:r>
    </w:p>
    <w:p w14:paraId="2F7E8F1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5441A68"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40B5D25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A52FCD2"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апреля в 1944 году оперативная сводка Совинформбюро:</w:t>
      </w:r>
    </w:p>
    <w:p w14:paraId="7CB9B404"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17 апреля на Кишинёвском направлении нашивойска, преодолевая сопротивление и контратаки противника, продолжали вести бои по расширению захваченных плацдармов на правом берегу Днестра и улучшили свои позиции.</w:t>
      </w:r>
    </w:p>
    <w:p w14:paraId="7B3BF257"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Севастопольском направлении наши войска, преодолевая сопротивление и систему инженерных заграждений противника в горно-лесистой части южного побережья Крыма, продолжали наступление и с боями заняли населённые пункты Мекензия, Черкез-Кермен, Уппа, Узенбаш, Верхний Чоргунь, Мухалатка, Мелас, Форос, Байдары, Варнутка.</w:t>
      </w:r>
    </w:p>
    <w:p w14:paraId="45CCDB3B"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в ряде пунктов шли бои местного значения.</w:t>
      </w:r>
    </w:p>
    <w:p w14:paraId="5F03485D"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16 апреля наши войска на всех фронтах подбили и уничтожили 60 немецких танков. В воздушных боях и огнём зенитной артиллерии сбито 62 самолёта противника.</w:t>
      </w:r>
    </w:p>
    <w:p w14:paraId="1BFC0123"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Массированный налёт нашей авиации на железнодорожный узел и речной порт Галац</w:t>
      </w:r>
    </w:p>
    <w:p w14:paraId="2DC45E07"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ночь на 17 апреля наша авиация дальнего действия произвела массированныйналет на железнодорожный узел и речной порт Галац (Румыния). В результатебомбардировки на железнодорожном узле возникло много пожаров, сопровождавшихся сильными взрывами. Распространяясь, пожары охватили значительную часть железнодорожного узла: горели воинские эшелоны и военные склады противника. Наблюдением отмечены прямые попадания бомб в суда, стоявшие на рейде и упричалов. На двух кораблях, стоявших на рейде, произошли взрывы большой силы.</w:t>
      </w:r>
    </w:p>
    <w:p w14:paraId="615802DD"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 наши самолёты вернулись на свои базы.</w:t>
      </w:r>
    </w:p>
    <w:p w14:paraId="0872CDB4"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Кишинёвском направлении части Н-ского соединения продолжали вести бои по расширению плацдармов на правом берегу реки Днестр. Наши подвижные отряды прорвались в тыл противника и нанесли внезапный удар группе немецких войск. Огнём и гусеницами советские танкисты истребили до батальона гитлеровцев, уничтожили несколько бронетранспортёров и 100 повозок с различными грузами. В результате успешно проведённой операции советские части заняли выгодные позиции.</w:t>
      </w:r>
    </w:p>
    <w:p w14:paraId="374A17B5"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Севастопольском направлении наши войска продолжали наступление. Используя благоприятные для обороны природные условия, немцы соорудили на рубеже реки Бельбек и на высотах восточнее и северо-восточнее реки Чёрная сильно укреплённые позиции. Противник, опираясь на эту мощную оборонительную полосу, оказывал сильное сопротивление. Наши войска под прикрытием артиллерийского огня продвигались вперёд и выбили гитлеровцев из нескольких населённых пунктов. В ходе боя противник понёс большие потери. Только на одном участке уничтожено свыше 1.000 гитлеровцев. В другом районе советские штурмовые отряды заняли господствующую над местностью высоту, захватив при этом 7 артиллерийских батарей противника.</w:t>
      </w:r>
    </w:p>
    <w:p w14:paraId="307C3FC4"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Наши войска, с боями продвигаясь вдоль южного побережья Крыма, овладели рядом населённых пунктов. Занято село Байдары, открывающее дорогу к Балаклаве и Севастополю с юго-востока. Немцы, преследуемые нашими войсками, бросают на дорогах много вооружения и военных материалов. Бойцы Н-ской части в течение дня захватили 39 орудий, 108 пулемётов, 23 миномёта, 87 автомашин и крупный обоз с военными материалами.</w:t>
      </w:r>
    </w:p>
    <w:p w14:paraId="29A700D8"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Наша авиация активно помогает наземным войскам. Советские лётчики наносили непрерывные удары по боевым порядкам противника. В воздушных боях и на аэродроме мыс Херсонес наши лётчики уничтожили 10 немецких самолётов.</w:t>
      </w:r>
    </w:p>
    <w:p w14:paraId="06D8329E"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Воздушная разведка Черноморского флота утром обнаружила в море караван противника в составе транспорта, трёх быстроходных десантных барж и двух сторожевых катеров, шедших в Севастополь. Авиация флота произвела бомбово-штурмовой удар по вражеским судам и потопила транспорт водоизмещением в 3.000 тонн и одну быстроходную десантную баржу. Нанесены повреждения другим судам противника, следовавшим в этом караване.</w:t>
      </w:r>
    </w:p>
    <w:p w14:paraId="2F1A8A34"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1-м Украинском фронте лётчики под командованием генерал-полковника авиации Красовского за два дня в воздушных боях сбили 30 самолётов противника.</w:t>
      </w:r>
    </w:p>
    <w:p w14:paraId="2834A636"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Несколько белорусских партизанских отрядов, действующих в Полесской области, во второй половине марта пустили под откос 12 немецких воинских эшелонов. На шоссейных и грунтовых дорогах советские патриоты уничтожили танк, 15 автомашин и 6 повозок с боеприпасами. Вилейский партизанский отряд имени Чапаева напал на немецких полицейских, насильно угонявших мирное советское население. Партизаны уничтожили 40 гитлеровцев и освободили советских граждан, которых немцы угоняли на каторгу в Германию.</w:t>
      </w:r>
    </w:p>
    <w:p w14:paraId="06D93DBD"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Немецко-фашистские захватчики и их румынские прихвостни всячески запугивают население прифронтовых районов Румынии дикими небылицами о Красной Армии. Под влиянием этой лживой фашистской пропаганды некоторые жители городов и сёл в Румынии скрылись в леса. Однако при первом же соприкосновении с бойцами Красной Армии румынское население убеждается в том, что гитлеровские провокаторы их подло обманули. Через день-два беженцы возвращаются домой, и налаживается нормальная жизнь.</w:t>
      </w:r>
    </w:p>
    <w:p w14:paraId="57222026"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Когда передовые советские части вступили в город Стефанешти, его улицы были безлюдны, а двери и витрины лавок и магазинов заперты или забиты досками. Только через два часа в городе появились старик и старуха с поднятыми руками. Они прошлись по главной улице, боязливо озираясь по сторонам. Видя, что никто их не трогает, они снова ушли. Некоторое время спустя, из леса, домов и из-за укрытий высыпало много народу. При встрече с советскими бойцами жители вначале переходили на другую сторону улицы и поднимали руки, держа в них белые платки.Убедившись, что им ничего не грозит, румыны совершенно успокоились. Теперь в городе налаживается нормальная жизнь, открылись лавки, магазины, мастерские и парикмахерские. В селе Берза, занятом нашими войсками, все крестьяне также вернулись домой и, найдя свое хозяйство и имущество в полной сохранности, начали срывать со стен фашистские плакаты. В селе Чиорногалу румынский крестьянин Василе Косовану сказал: «Нам твердили, что русские будут сжигать наши дома, а нас убивать. Сейчас мы убедились, что все это немецкие враки. Солдаты КраснойАрмии культурные люди. Они вежливо обращаются с мирным населением. В первые часы вашего прихода мы были напуганы, а теперь полюбили вас всей душой». Крестьянин села Редеуцы Ион Бодяну в момент прихода наших войск скрывался в лесу. Явившись к вечеру домой, он увидел, что деревня цела, а в его дом никто даже не заходил. Это поразило его. Бодяну заявил: «Нам говорили, что Красная Армия будет сжигать деревни и убивать всех. Поэтому я убежал в лес и оставил всё хозяйство на произвол судьбы. Вернувшись домой, я нашел всё в полной сохранности».</w:t>
      </w:r>
    </w:p>
    <w:p w14:paraId="53383D40"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Жители румынских городов и сёл, занятых Красной Армией, все, как один, с ненавистью говорят о немцах и считают их главными виновниками этой преступной войны.» (15102).</w:t>
      </w:r>
    </w:p>
    <w:p w14:paraId="2F92AC39" w14:textId="77777777" w:rsidR="001732E9" w:rsidRPr="007224C3" w:rsidRDefault="001732E9" w:rsidP="007224C3">
      <w:pPr>
        <w:spacing w:after="0" w:line="240" w:lineRule="auto"/>
        <w:jc w:val="both"/>
        <w:rPr>
          <w:rFonts w:ascii="Times New Roman" w:hAnsi="Times New Roman"/>
          <w:color w:val="000000" w:themeColor="text1"/>
          <w:sz w:val="16"/>
          <w:szCs w:val="16"/>
        </w:rPr>
      </w:pPr>
    </w:p>
    <w:p w14:paraId="28E5D6BB" w14:textId="77777777" w:rsidR="00BF53B0" w:rsidRPr="007224C3" w:rsidRDefault="00BF53B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ночь с 17-ое на 18-ое апреля 1944 45-я АДДД снова бомбила Румынский порт Констанца. На задание вылетало семь кораблей. Еще два из 25-го гв. АПДД го</w:t>
      </w:r>
      <w:r w:rsidRPr="007224C3">
        <w:rPr>
          <w:rFonts w:ascii="Times New Roman" w:hAnsi="Times New Roman"/>
          <w:color w:val="000000" w:themeColor="text1"/>
          <w:sz w:val="16"/>
          <w:szCs w:val="16"/>
        </w:rPr>
        <w:softHyphen/>
        <w:t>товили к вылету, но у самолета №42811 не завелся третий мотор, а у №42911 * отказали тормоза, в результате чего они остались дома. Также пять кораблей из 890-го АПДД, назначенные на этот вылет, по причине отказа мат. части на боевое задание не вылетали.</w:t>
      </w:r>
    </w:p>
    <w:p w14:paraId="146B9D7A" w14:textId="77777777" w:rsidR="00BF53B0" w:rsidRPr="007224C3" w:rsidRDefault="00BF53B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Взлет самолетов прошел в период с 17 ч. 25 мин. по 18 ч. 15 мин. Один корабль из 890-го АПДД из-за неисправ</w:t>
      </w:r>
      <w:r w:rsidRPr="007224C3">
        <w:rPr>
          <w:rFonts w:ascii="Times New Roman" w:hAnsi="Times New Roman"/>
          <w:color w:val="000000" w:themeColor="text1"/>
          <w:sz w:val="16"/>
          <w:szCs w:val="16"/>
        </w:rPr>
        <w:softHyphen/>
        <w:t>ности прервал выполнение боевого задания и произвел посадку на аэро</w:t>
      </w:r>
      <w:r w:rsidRPr="007224C3">
        <w:rPr>
          <w:rFonts w:ascii="Times New Roman" w:hAnsi="Times New Roman"/>
          <w:color w:val="000000" w:themeColor="text1"/>
          <w:sz w:val="16"/>
          <w:szCs w:val="16"/>
        </w:rPr>
        <w:softHyphen/>
        <w:t>дроме Грабцево. Пе-8 №4214 (командир корабля Сукоркин, штурман Аккуратов) из 890-го АПДД из-за сплошной облач</w:t>
      </w:r>
      <w:r w:rsidRPr="007224C3">
        <w:rPr>
          <w:rFonts w:ascii="Times New Roman" w:hAnsi="Times New Roman"/>
          <w:color w:val="000000" w:themeColor="text1"/>
          <w:sz w:val="16"/>
          <w:szCs w:val="16"/>
        </w:rPr>
        <w:softHyphen/>
        <w:t>ности над основной целью бомбил в 23 ч. 12 мин. запасную цель - румынский порт Сулина. На эту цель были сброшены 2 ФАБ-ЮООтга и 2 ЗАБ-50т. Осталь</w:t>
      </w:r>
      <w:r w:rsidRPr="007224C3">
        <w:rPr>
          <w:rFonts w:ascii="Times New Roman" w:hAnsi="Times New Roman"/>
          <w:color w:val="000000" w:themeColor="text1"/>
          <w:sz w:val="16"/>
          <w:szCs w:val="16"/>
        </w:rPr>
        <w:softHyphen/>
        <w:t>ные пять кораблей бомбили основную цель в период с 22 ч. 50 мин. по 00 ч. 05 мин. На основную цель было сбро</w:t>
      </w:r>
      <w:r w:rsidRPr="007224C3">
        <w:rPr>
          <w:rFonts w:ascii="Times New Roman" w:hAnsi="Times New Roman"/>
          <w:color w:val="000000" w:themeColor="text1"/>
          <w:sz w:val="16"/>
          <w:szCs w:val="16"/>
        </w:rPr>
        <w:softHyphen/>
        <w:t>шено: 10 ФАБ-ЮООтга, 2 ФАБ-500тга, 2 ФАБ-250тга, 6 ЗАБ-50тг, 2 ФОТАБ-35. Из состава 25-й гв. АПДД основную цель бомбили Пе-8 с заводскими номерами: 42088 (командир корабля Сугак), 42210 (командир корабля Бездольный), 42311 (командир корабля Зеленский). Из со</w:t>
      </w:r>
      <w:r w:rsidRPr="007224C3">
        <w:rPr>
          <w:rFonts w:ascii="Times New Roman" w:hAnsi="Times New Roman"/>
          <w:color w:val="000000" w:themeColor="text1"/>
          <w:sz w:val="16"/>
          <w:szCs w:val="16"/>
        </w:rPr>
        <w:softHyphen/>
        <w:t>става 890 АПДД бомбили цель Пе-8 с заводскими номерами: 42078 (коман</w:t>
      </w:r>
      <w:r w:rsidRPr="007224C3">
        <w:rPr>
          <w:rFonts w:ascii="Times New Roman" w:hAnsi="Times New Roman"/>
          <w:color w:val="000000" w:themeColor="text1"/>
          <w:sz w:val="16"/>
          <w:szCs w:val="16"/>
        </w:rPr>
        <w:softHyphen/>
        <w:t>дир корабля Белков), 42411(командир корабля Романов). После выполнения боевого задания все шесть кораблей бомбивших цели произвели посадку на своем аэродроме. Потерь не было (19559).</w:t>
      </w:r>
    </w:p>
    <w:p w14:paraId="7F85071E" w14:textId="77777777" w:rsidR="00BF53B0" w:rsidRPr="007224C3" w:rsidRDefault="00BF53B0" w:rsidP="007224C3">
      <w:pPr>
        <w:spacing w:after="0" w:line="240" w:lineRule="auto"/>
        <w:jc w:val="both"/>
        <w:rPr>
          <w:rFonts w:ascii="Times New Roman" w:hAnsi="Times New Roman"/>
          <w:color w:val="000000" w:themeColor="text1"/>
          <w:sz w:val="16"/>
          <w:szCs w:val="16"/>
        </w:rPr>
      </w:pPr>
    </w:p>
    <w:p w14:paraId="2D6EF3C6"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апреля 1944 завершились 2 наступательные операции: Проскуровско-Черновицкая операция войск 1-го Украинского фронта и Уманско-Ботошанская операция войск 2-го Украинского фронта,проведённые с целью с целью разгрома основных сил нем.-фаш. группы армий "Юг" и освобождения областей Правобережной Украины. Этими операциями завершилось наступление советских войск на Правобережной Украине, начатое 24 декабря 1943 года (4963 ).</w:t>
      </w:r>
    </w:p>
    <w:p w14:paraId="148ABFBC"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9EA49B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апреля 1944 1Б и 1УФ перешли к обороне. 18 апреля 1944 - 2ПбФ, 19 апреля 1944 - ЛФ, 3ПбФ и 3 и 2БФ (340,165).</w:t>
      </w:r>
    </w:p>
    <w:p w14:paraId="1C1BCB9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5DA02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апреля 1944 согласно сообщению Совинформбюро в ночь на 18 бомбардировщики ЧМФ атаковали два каравана и потопили 2 транспорта - 2000 и 3000 т</w:t>
      </w:r>
    </w:p>
    <w:p w14:paraId="2FD65C5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A0B9BD"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Внешняя политика:</w:t>
      </w:r>
    </w:p>
    <w:p w14:paraId="2A025C7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7A2A5D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апреля 1944 Нота Советского правительства правительству Болгарии с протестом против использования фашистской Германией болгарской территории и портов в войне с Советским Союзом (7448).</w:t>
      </w:r>
    </w:p>
    <w:p w14:paraId="75C0E3B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EC2585"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15680A8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36995A5"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апреля в 1944 году на Баденское озеро под Фридрисхафеном прерваны, продолжавшиеся с переменным успехом, испытания транспортной летающей лодки «SE-200» (разработчик: «SNCASE», Франция), когда в результате налета бомбардировщиков «Mosquito» на дно был пущен первый прототип (15102).</w:t>
      </w:r>
    </w:p>
    <w:p w14:paraId="149EAD4A" w14:textId="77777777" w:rsidR="001732E9" w:rsidRPr="007224C3" w:rsidRDefault="001732E9" w:rsidP="007224C3">
      <w:pPr>
        <w:spacing w:after="0" w:line="240" w:lineRule="auto"/>
        <w:jc w:val="both"/>
        <w:rPr>
          <w:rFonts w:ascii="Times New Roman" w:hAnsi="Times New Roman"/>
          <w:color w:val="000000" w:themeColor="text1"/>
          <w:sz w:val="16"/>
          <w:szCs w:val="16"/>
        </w:rPr>
      </w:pPr>
    </w:p>
    <w:p w14:paraId="1861D9CF" w14:textId="77777777" w:rsidR="00B05D39" w:rsidRPr="007224C3" w:rsidRDefault="00B05D39"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17 апреля 1944 Ховард Хьюз и Джек Фрай установили новый трансконтинентальный рекорд скорости в США, пилотируя новый Lockheed L-049 Constellation из Бербанка, Калифорния, в Вашингтон, округ Колумбия, за 6 часов 57 минут (20373).</w:t>
      </w:r>
    </w:p>
    <w:p w14:paraId="7CED9DA2" w14:textId="77777777" w:rsidR="00B05D39" w:rsidRPr="007224C3" w:rsidRDefault="00B05D39" w:rsidP="007224C3">
      <w:pPr>
        <w:spacing w:after="0" w:line="240" w:lineRule="auto"/>
        <w:jc w:val="both"/>
        <w:rPr>
          <w:rFonts w:ascii="Times New Roman" w:hAnsi="Times New Roman"/>
          <w:color w:val="0070C0"/>
          <w:sz w:val="16"/>
          <w:szCs w:val="16"/>
        </w:rPr>
      </w:pPr>
    </w:p>
    <w:p w14:paraId="266ABB4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апреля 1944 при налете на Софию 350 В-17 и 150 Р-51 поручик Бончев таранил В-17 (2885,48).</w:t>
      </w:r>
    </w:p>
    <w:p w14:paraId="679EC8D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8BAF3B"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76CE3D1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10A0F8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апреля 1944 В.К.Коккинаки выполнил первый полет самолета, получившего к этому времени обозначение Ил-10. Здесь есть неясность, так как резолюция А.С.Я., разрешающая этот вылет, датирована двумя днями позже - 20.04.44. Заводские испытания продолжались до 11 мая 1944 (3846,19).</w:t>
      </w:r>
    </w:p>
    <w:p w14:paraId="5A02207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A4ED3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18 апреля 1944-го под управлением В.К.Коккинаки совершил первый полет Ил-10. Заводские испытания самолета были проведены быстро, и уже 13 мая три опытных Ил-10 поступили на госиспытания в ГК НИИ ВВС, которые продолжались всего две недели. Летно-тактические данные Ил-10 оказались выдающимися: максимальная горизонтальная скорость полета на высоте 2800 м была равна 551 км/ч - почти на 150 км/ч больше, чем у двухместного Ил-2 (9532,5).</w:t>
      </w:r>
    </w:p>
    <w:p w14:paraId="382E463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481B32"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апреля 1944 г. был выполнен первый полет штурмовика Ил-10 (6395).</w:t>
      </w:r>
    </w:p>
    <w:p w14:paraId="034832FF"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E5CBD05" w14:textId="77777777" w:rsidR="00B05D39" w:rsidRPr="007224C3" w:rsidRDefault="00B05D39"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18 апреля 1944 Владимир Константинович Коккинаки выполнил на Ил-10 первый вылет, а уже 27 мая с положительной оценкой завершились государственные испытания в НИИ ВВС. За следующие два месяца была проделана огромная работа по организации, планированиюи подготовке производства Ил-10 (21005)</w:t>
      </w:r>
    </w:p>
    <w:p w14:paraId="66CC1985" w14:textId="77777777" w:rsidR="00B05D39" w:rsidRPr="007224C3" w:rsidRDefault="00B05D39" w:rsidP="007224C3">
      <w:pPr>
        <w:spacing w:after="0" w:line="240" w:lineRule="auto"/>
        <w:jc w:val="both"/>
        <w:rPr>
          <w:rFonts w:ascii="Times New Roman" w:hAnsi="Times New Roman"/>
          <w:color w:val="0070C0"/>
          <w:sz w:val="16"/>
          <w:szCs w:val="16"/>
        </w:rPr>
      </w:pPr>
    </w:p>
    <w:p w14:paraId="3EFBDFB4" w14:textId="3C4B8EE7" w:rsidR="00B05D39" w:rsidRPr="007224C3" w:rsidRDefault="00B05D39"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18 апреля 1944 Владимир Константинович Коккинаки выполнил на новой машине Ил-10 первый вылет, а уже 27 мая с положительной оценкой завершились государственные испытания в НИИ ВВС. За следующие два месяца была проделана огромная работа по организации, планированиюи подготовке производства Ил-10 (21005)</w:t>
      </w:r>
    </w:p>
    <w:p w14:paraId="5FC1D4CE" w14:textId="77777777" w:rsidR="00B05D39" w:rsidRPr="007224C3" w:rsidRDefault="00B05D39" w:rsidP="007224C3">
      <w:pPr>
        <w:spacing w:after="0" w:line="240" w:lineRule="auto"/>
        <w:jc w:val="both"/>
        <w:rPr>
          <w:rFonts w:ascii="Times New Roman" w:hAnsi="Times New Roman"/>
          <w:color w:val="0070C0"/>
          <w:sz w:val="16"/>
          <w:szCs w:val="16"/>
        </w:rPr>
      </w:pPr>
    </w:p>
    <w:p w14:paraId="03D90E59"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апреля в 1944 году первый полет штурмовика «Ил-10», пилот В.К.Коккинаки. «Ил-10» был построен в 1944 году. По сравнению с «Ил-2» этот самолет имел меньшие размеры, существенно лучшую аэродинамику и более мощный мотор жидкостного охлаждения «АМ-42». На самолеты были установлены четыре пушки - на первом этапе калибром 20 мм, позже - калибром 23 мм: на крыльевых балках располагались 8 реактивных снарядов «PC-82»; бомболюк и внешняя подвеска допускали использование разнокалиберных бомб общим весом 600 килограммов. Большая скорость полета, хорошая маневренность и эффективная бронезащита определили высокие боевые качества «Ил-10». К 1 мая 1945 года действующей армии было передано 630 штурмовиков «Ил-10»;</w:t>
      </w:r>
    </w:p>
    <w:p w14:paraId="3908182B" w14:textId="77777777" w:rsidR="001732E9" w:rsidRPr="007224C3" w:rsidRDefault="001732E9" w:rsidP="007224C3">
      <w:pPr>
        <w:spacing w:after="0" w:line="240" w:lineRule="auto"/>
        <w:jc w:val="both"/>
        <w:rPr>
          <w:rFonts w:ascii="Times New Roman" w:hAnsi="Times New Roman"/>
          <w:color w:val="000000" w:themeColor="text1"/>
          <w:sz w:val="16"/>
          <w:szCs w:val="16"/>
        </w:rPr>
      </w:pPr>
    </w:p>
    <w:p w14:paraId="0693FE0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апреля 1944 г. после установки двигателя АМ-42 и отладки всех систем новый штурмовик, получивший к этому времени обозначение Ил-10 совершил первый полет, летал, как обычно, В.К.Коккинаки. Заводские испытания провели быстро, и уже 13 мая три опытные Ил-10 поступили на госиспытания в ГК НИИ ВВС (9528).</w:t>
      </w:r>
    </w:p>
    <w:p w14:paraId="768644D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сравнению с Ил-2 изменили толщину некоторых листов бронекорпуса: увеличили толщину нижних боковых стенок капота двигателя и уменьшили толщину боковых стенок кабины экипажа. Кроме того, опыт боевого применения Ил-2 показал, что на двухместном варианте практически не поражается верхняя передняя часть бронекорпуса, т.к. для огня с земли она была недосягаема, а от атак истребителей сзади ее защищал стрелок (спереди Ил-2 истребители, как правило, не атаковали из-за мощного стрелково-артиллерийского вооружения штурмовика). В связи с этим верхнюю часть бронекорпуса нового штурмовика, имевшую поверхность двойной кривизны, обеспечивавшую малый угол встречи снаряда с обшивкой, выполнили из дюралюминиевых листов толщиной от 1,5 до 6,0 мм. Новым было и применение в бронезащите экранированной броневой системы: задняя бронеспинка и подголовник пилота, а также бронеперегородка стрелка выполнялись из двух 8-мм бронеплит с воздушным промежутком. Наружная бронеплита должна была разрушать попавший в нее снаряд, а внутренняя - принимать на себя удары образовавшихся при взрыве осколков. Такая система, по предложению И.В.Сталина названная “активной броней”, эффективно защищала экипаж от 20-мм снарядов авиационных пушек. Бронекорпус был включен в силовую схему самолета.</w:t>
      </w:r>
    </w:p>
    <w:p w14:paraId="180BB93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Двухместный штурмовик Ил-1 сохранил все основные геометрические параметры и конструктивные особенности одноместного истребителя, но имел цельнометаллическую конструкцию. Вооружение состояло из двух пушек ВЯ с общим боезапасом 300 снарядов и двух ШКАСов с 1500 патронами. Пушки и пулеметы стояли |в консолях крыла вне диска, сметаемого винтом. В нормальном варианте штурмовик имел бомбовую нагрузку 400 кг, в перегрузочном - 600 кг. Вместо четырех бомбоотсеков на Ил-2, на новом штурмовике в утолщении центроплана оборудовали два бомбоотсека, их размеры позволяли размещать бомбы весом до 100 кг. Мелкие бомбы весом до 50 кг укладывали в отсеки непосредственно на створки бомболюков и они сбрасывались при открытия створок. Это позволило отказаться от применявшихся на Ил-2 кассет мелких бомб, увеличить число загружаемых бомб и ускорить процесс снаряжения самолета бомбами для повторного вылета. Бомбы весом 50-100 кг подвешивали внутри отсеков как обычно, на держателях. Наружные замки обеспечивали внешнюю подвеску бомб весом до 250 кг. Под консолями крыла имелись четыре направляющие для пуска ракет.</w:t>
      </w:r>
    </w:p>
    <w:p w14:paraId="14CCFCA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нового штурмовика разработали три варианта оборонительного вооружения. На первом Ил-1 (Ил-10) установили турель с пулеметом УБТ, закрытую сферическим экраном. На госиспытания передали самолет с установкой ВУ-7, состоявшей из новой 20-мм пушки Б.Г.Шпитального Ш-20 с боезапасом 150 снарядов. На ; серийных Ил-10 стояла стрелковая установка ВУ-8 с УБТ и боезапасом 150 патронов. Она обеспечивала следующие углы обстрела задней полусферы: вверх 50°, вниз 18°, вправо от стрелка 45° и влево 55°. Кроме того, в хвосте штурмовика установили держатель 10 авиационных гранат АГ-2 (9528).</w:t>
      </w:r>
    </w:p>
    <w:p w14:paraId="1705305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1C50B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апреля 1944 года гл. конструктор С.В.И. писал письмо N 1/445с Шахурину и директору завода N 24 Жезлову.</w:t>
      </w:r>
    </w:p>
    <w:p w14:paraId="025292B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конструктор завода N 24 Флисский установил расход горючего по дроссельной характеристике мотора АМ-42 в следующих пределах:</w:t>
      </w:r>
    </w:p>
    <w:p w14:paraId="34D4575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на номинальной мощности 295-315 гр.</w:t>
      </w:r>
    </w:p>
    <w:p w14:paraId="5126A58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на мощности 0,75 от номинальной 270-290 гр.</w:t>
      </w:r>
    </w:p>
    <w:p w14:paraId="52A91A7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 мощности 0,5 от номинальной 270-290 гр.</w:t>
      </w:r>
    </w:p>
    <w:p w14:paraId="3C69FD3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Принятые расходы горючего для мотора Ам-42 являются очень высокими и установлены без надлежащего технического обоснования, тем более без надлежащей работы над экономикой мотора Ам-42.</w:t>
      </w:r>
    </w:p>
    <w:p w14:paraId="4923C54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Необходимо расходы топлива для мотора Ам-42 установить нижеследующие:</w:t>
      </w:r>
    </w:p>
    <w:p w14:paraId="7C5310C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на номинальном режиме 290-310 гр.</w:t>
      </w:r>
    </w:p>
    <w:p w14:paraId="19B764A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на мощности 0,75 от номинальной 240-260 гр.</w:t>
      </w:r>
    </w:p>
    <w:p w14:paraId="2B9E3EA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 мощности 0,5 от номинальной 230-250 гр.</w:t>
      </w:r>
    </w:p>
    <w:p w14:paraId="70D6658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Прошу Ваших указаний (2562,73).</w:t>
      </w:r>
    </w:p>
    <w:p w14:paraId="6C01FC9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43A27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апреля 1944 были окончательно испытаны изготовленные к 1 апреля на заводе 300 6 комплектов ТК-3 для ви С.А.Л. (1824,5).</w:t>
      </w:r>
    </w:p>
    <w:p w14:paraId="74BB997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FAA6C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апреля 1944 года вышел Совместный приказ за № 00446/262 Народного Комиссара Внутренних Дел Союза ССР Л.П. Берия и Народного Комиссара Авиационной Промышленности А.И.Шахурина «Об объединении ОКБ-4 Спецотдела НКВД СССР на заводе № 16 и СКО завода № 16 в опытно-конструкторское бюро завода № 16» (11331).</w:t>
      </w:r>
    </w:p>
    <w:p w14:paraId="39DDA7A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776108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апреля 1944 г. по приказу № 00446/262сс серийное КБ завода № 16, которое появилось после слияния заводов заводов № 16 и № 27, возникло Серийное КБ единого завода № 16 НКАП было слито с Особым КБ 4-го Спецотдела НКВД и образовано единое ОКБ завода № 16 НКАП по мощным поршневым моторам со штатом из вольнонаемных и заключенных конструкторов. Работы по МБ-100, МБ-102.</w:t>
      </w:r>
    </w:p>
    <w:p w14:paraId="5764065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Серийного КБ (01.1942-04.1944 г.)- С.Д. Колосов.</w:t>
      </w:r>
    </w:p>
    <w:p w14:paraId="335443D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конструктор ОКБ (04.1944-07.1946 г.)- С.Д. Колосов.</w:t>
      </w:r>
    </w:p>
    <w:p w14:paraId="42BC9D0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1-й зам. гл. конструктора (1944 г.)- Ф.В. Концевич.</w:t>
      </w:r>
    </w:p>
    <w:p w14:paraId="58E1C9C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Ведущие конструкторы - A.M. Добротворский (МБ-100, МБ-102), И.Т. Мащенко (М-1) (11982).</w:t>
      </w:r>
    </w:p>
    <w:p w14:paraId="69077B4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F119A1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апреля 1944 г. по приказу № 00446/262сс группа В.П. Глушко была выделена из Особого КБ 4-го Спецотдела НКВД в самостоятельную конструкторскую единицу (в подчинении НКВД) при заводе № 16 НКАП для работ по ЖРД РД-1 и подлежала переводу в НИИ-1 НКАП после завершения его формирования. Некоторое время группа продолжала работать в составе единого ОКБ завода № 16.</w:t>
      </w:r>
    </w:p>
    <w:p w14:paraId="4151B79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приказу НКАП № 656сс от 2.11.1944 г. из состава ОКБ-16 НКАП выделилось в самостоятельное ОКБ-16сб (вошла также группа реактивных установок Королева) в подчинении вновь образованного 18ГУ по реактивной технике. В разное время имело различные названия: ОКБ-РД при заводе № 16 (03.1945 г.), ОКБ-СД при заводе № 16 (04.1946 г.), ОКБ «СД»-16 МАП (1946 г.), ОКБ-16-2 МАП (1946 г.).</w:t>
      </w:r>
    </w:p>
    <w:p w14:paraId="76FC845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Продолжены работы по РД-1, его установке на Пе-2, JIa-7 и др. В 07-12.1945 г. и в 05-12.1946 г. Глушко находился в Германии для ознакомления с трофейной техникой. С 7.10.1945 г. в командировке в Германии был Королев.</w:t>
      </w:r>
    </w:p>
    <w:p w14:paraId="506D630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20.03.1946 г. (по приказу № 122с от 19.03.1946 г.) переведено в ведение 8ГУ НКАП. По приказу № 424с от 3.07.1946 г. ОКБ-16-2 предоставлена производственная база- завод № 456 МАП с образованием ОКБ-456, Глушко назначен его гл. конструктором. Распоряжением СМ от 29.09.1946 г. ОКБ-16-2 переведено на площадку завода №456 МАП.</w:t>
      </w:r>
      <w:r w:rsidRPr="007224C3">
        <w:rPr>
          <w:rFonts w:ascii="Times New Roman" w:hAnsi="Times New Roman"/>
          <w:color w:val="000000" w:themeColor="text1"/>
          <w:sz w:val="16"/>
          <w:szCs w:val="16"/>
          <w:vertAlign w:val="superscript"/>
        </w:rPr>
        <w:t>3</w:t>
      </w:r>
    </w:p>
    <w:p w14:paraId="0F7C0B2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конструктор (1944-46 г.)- В.П. Глушко.</w:t>
      </w:r>
    </w:p>
    <w:p w14:paraId="24C3F52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гл. конструктора (12.1944 г.)- С.П. Королев, (03.1945 г.)- Н.Л. Уманский, (04.1946 г.)- Д.Д. Севрук.</w:t>
      </w:r>
    </w:p>
    <w:p w14:paraId="0CA10F9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Начальники отделов: экспериментального (07.1944 г.-)- Д.Д. Севрук (11982).</w:t>
      </w:r>
    </w:p>
    <w:p w14:paraId="19E1058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89ED44D"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lastRenderedPageBreak/>
        <w:t>Другие оборонные отрасли:</w:t>
      </w:r>
    </w:p>
    <w:p w14:paraId="3043854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95C156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апреля 1944 г. начальник ГБТУ Б.Г. Вершинин и начальник ТУ ГБТУ С. А. Афонин подписали перечень мероприятий по совершенство</w:t>
      </w:r>
      <w:r w:rsidRPr="007224C3">
        <w:rPr>
          <w:rFonts w:ascii="Times New Roman" w:hAnsi="Times New Roman"/>
          <w:color w:val="000000" w:themeColor="text1"/>
          <w:sz w:val="16"/>
          <w:szCs w:val="16"/>
        </w:rPr>
        <w:softHyphen/>
        <w:t>ванию конструкции и улучшению качества танков ИС-2, в котором ука</w:t>
      </w:r>
      <w:r w:rsidRPr="007224C3">
        <w:rPr>
          <w:rFonts w:ascii="Times New Roman" w:hAnsi="Times New Roman"/>
          <w:color w:val="000000" w:themeColor="text1"/>
          <w:sz w:val="16"/>
          <w:szCs w:val="16"/>
        </w:rPr>
        <w:softHyphen/>
        <w:t>зывалось, что "для усиления броневой защиты танка заменить сущест</w:t>
      </w:r>
      <w:r w:rsidRPr="007224C3">
        <w:rPr>
          <w:rFonts w:ascii="Times New Roman" w:hAnsi="Times New Roman"/>
          <w:color w:val="000000" w:themeColor="text1"/>
          <w:sz w:val="16"/>
          <w:szCs w:val="16"/>
        </w:rPr>
        <w:softHyphen/>
        <w:t>вующую литую конструкцию носа танка катаной, сварной, обеспечив непробиваемость его в рабочем положении танка бронебойными и под-калиберными снарядами из пушек танков Т-У ("Пантера") и Т-У1 ("Тигр I") со всех дистанций; изменить конструкцию и увеличить тол</w:t>
      </w:r>
      <w:r w:rsidRPr="007224C3">
        <w:rPr>
          <w:rFonts w:ascii="Times New Roman" w:hAnsi="Times New Roman"/>
          <w:color w:val="000000" w:themeColor="text1"/>
          <w:sz w:val="16"/>
          <w:szCs w:val="16"/>
        </w:rPr>
        <w:softHyphen/>
        <w:t>щину брони передней части башни, сделав ее равнопрочной с носовой частью; перенести укладку гильз с бортов башни; установить крупнока</w:t>
      </w:r>
      <w:r w:rsidRPr="007224C3">
        <w:rPr>
          <w:rFonts w:ascii="Times New Roman" w:hAnsi="Times New Roman"/>
          <w:color w:val="000000" w:themeColor="text1"/>
          <w:sz w:val="16"/>
          <w:szCs w:val="16"/>
        </w:rPr>
        <w:softHyphen/>
        <w:t>либерный пулемет для стрельбы по зенитным целям и ряд других кон</w:t>
      </w:r>
      <w:r w:rsidRPr="007224C3">
        <w:rPr>
          <w:rFonts w:ascii="Times New Roman" w:hAnsi="Times New Roman"/>
          <w:color w:val="000000" w:themeColor="text1"/>
          <w:sz w:val="16"/>
          <w:szCs w:val="16"/>
        </w:rPr>
        <w:softHyphen/>
        <w:t>структивных мероприятий" (10703).</w:t>
      </w:r>
    </w:p>
    <w:p w14:paraId="4CAE2E3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12FE259" w14:textId="77777777" w:rsidR="00EB1E33" w:rsidRPr="007224C3" w:rsidRDefault="00EB1E33"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К 18 апреля 1944 КБ завода №100 был представлен эскизный проект модернизации ИС-2, разработанный на опытном заводе. Модернизированная версия танка должна была иметь боевую массу 46–47 тонн. Полностью перепроектировался корпус: его форма стала больше напоминать летающую тарелку, при этом убирался смотровой лючок в лобовом листе корпуса. Толщина лобового листа доставляла 120 мм, такая же толщина была и у бортов. Существенно переделывалась и башня, у которой лоб и борта усиливались до 150 мм.</w:t>
      </w:r>
    </w:p>
    <w:p w14:paraId="350B5F87" w14:textId="77777777" w:rsidR="00EB1E33" w:rsidRPr="007224C3" w:rsidRDefault="00EB1E33"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Переделки вносились и в ходовую часть. Например, танк должен был получить опорные катки большего диаметра. Вооружить его планировалось либо штатной пушкой Д-25Т, либо 100-мм пушкой Д-10Т. Вместо пулемёта ДТ предполагалось использовать спаренный пулемёт ГВГ (будущий СГ-43). Подробностей о двигателе и трансмиссии мало, но известно, что как раз в начале 1944 года испытания проходила планетарная трансмиссия двух типов — разработки МВТУ им. Баумана и разработки завода №100. Неизвестен даже тип силовой установки, но максимальная скорость в 50 км/ч указывает на то, что использовать планировалось не В-2-ИС.</w:t>
      </w:r>
    </w:p>
    <w:p w14:paraId="105C86CD" w14:textId="77777777" w:rsidR="00EB1E33" w:rsidRPr="007224C3" w:rsidRDefault="00EB1E33"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Этот проект модернизации не был единственной разработкой КБ завода №100. ТТТ на тяжёлый танк, утверждённые в конце ноября 1943 года, не были забыты. 21 марта 1944 года появились уточнённые ТТТ, согласно которым боевая масса танка оценивалась в районе 55–56 тонн. Цифры толщины брони из требований исчезли, зато появилось указание надёжно защитить танк от орудий «Тигра», «Пантеры» и «Фердинанда» в лобовой проекции. С борта он не должен был пробиваться на дистанции в 500 метров и далее. Вооружать танк предполагалось 122-мм пушкой с начальной скоростью полёта снаряда 1000 м/с и с боекомплектом 30–40 выстрелов. Приводить в движение машину должен был 1000-сильный дизельный двигатель, обеспечивающий максимальную скорость 40 км/ч и среднюю скорость по грунтовой дороге 24–26 км/ч. Танк оснащался либо электрической, либо механической трансмиссией, в последнем случае использовалась 6-скоростная планетарная коробка передач с 2-ступенчатым механизмом поворота.</w:t>
      </w:r>
    </w:p>
    <w:p w14:paraId="48AC2842" w14:textId="77777777" w:rsidR="00EB1E33" w:rsidRPr="007224C3" w:rsidRDefault="00EB1E33"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Эти требования были реализованы в виде эскизного проекта, разработанного под руководством Н.Ф. Шашмурина. Танк получил кормовое расположение башни, в корпусе размещались механик-водитель и радист. Конструкции башни, ходовой части и отчасти корпуса как раз и стали отправной точкой при разработке менее радикальной модернизации ИС-2 (17756).</w:t>
      </w:r>
    </w:p>
    <w:p w14:paraId="0F915840" w14:textId="77777777" w:rsidR="00EB1E33" w:rsidRPr="007224C3" w:rsidRDefault="00EB1E33" w:rsidP="007224C3">
      <w:pPr>
        <w:spacing w:after="0" w:line="240" w:lineRule="auto"/>
        <w:jc w:val="both"/>
        <w:rPr>
          <w:rFonts w:ascii="Times New Roman" w:eastAsia="Times New Roman" w:hAnsi="Times New Roman"/>
          <w:color w:val="000000" w:themeColor="text1"/>
          <w:sz w:val="16"/>
          <w:szCs w:val="16"/>
          <w:lang w:eastAsia="ru-RU"/>
        </w:rPr>
      </w:pPr>
    </w:p>
    <w:p w14:paraId="07956FEA" w14:textId="77777777" w:rsidR="00B05D39" w:rsidRPr="007224C3" w:rsidRDefault="00B05D39" w:rsidP="007224C3">
      <w:pPr>
        <w:pStyle w:val="1131"/>
        <w:shd w:val="clear" w:color="auto" w:fill="auto"/>
        <w:spacing w:line="240" w:lineRule="auto"/>
        <w:ind w:firstLine="0"/>
        <w:rPr>
          <w:rFonts w:ascii="Times New Roman" w:hAnsi="Times New Roman" w:cs="Times New Roman"/>
          <w:color w:val="0070C0"/>
          <w:sz w:val="16"/>
          <w:szCs w:val="16"/>
          <w:lang w:val="ru-RU"/>
        </w:rPr>
      </w:pPr>
      <w:r w:rsidRPr="007224C3">
        <w:rPr>
          <w:rStyle w:val="600"/>
          <w:rFonts w:ascii="Times New Roman" w:hAnsi="Times New Roman" w:cs="Times New Roman"/>
          <w:color w:val="0070C0"/>
          <w:sz w:val="16"/>
          <w:szCs w:val="16"/>
          <w:lang w:val="ru-RU"/>
        </w:rPr>
        <w:t>К</w:t>
      </w:r>
      <w:r w:rsidRPr="007224C3">
        <w:rPr>
          <w:rStyle w:val="600"/>
          <w:rFonts w:ascii="Times New Roman" w:hAnsi="Times New Roman" w:cs="Times New Roman"/>
          <w:color w:val="0070C0"/>
          <w:sz w:val="16"/>
          <w:szCs w:val="16"/>
        </w:rPr>
        <w:t xml:space="preserve"> 18 апреля </w:t>
      </w:r>
      <w:r w:rsidRPr="007224C3">
        <w:rPr>
          <w:rStyle w:val="600"/>
          <w:rFonts w:ascii="Times New Roman" w:hAnsi="Times New Roman" w:cs="Times New Roman"/>
          <w:color w:val="0070C0"/>
          <w:sz w:val="16"/>
          <w:szCs w:val="16"/>
          <w:lang w:val="ru-RU"/>
        </w:rPr>
        <w:t xml:space="preserve">1944 </w:t>
      </w:r>
      <w:r w:rsidRPr="007224C3">
        <w:rPr>
          <w:rStyle w:val="600"/>
          <w:rFonts w:ascii="Times New Roman" w:hAnsi="Times New Roman" w:cs="Times New Roman"/>
          <w:color w:val="0070C0"/>
          <w:sz w:val="16"/>
          <w:szCs w:val="16"/>
        </w:rPr>
        <w:t>на заводе № 100 подготовили доку</w:t>
      </w:r>
      <w:r w:rsidRPr="007224C3">
        <w:rPr>
          <w:rStyle w:val="600"/>
          <w:rFonts w:ascii="Times New Roman" w:hAnsi="Times New Roman" w:cs="Times New Roman"/>
          <w:color w:val="0070C0"/>
          <w:sz w:val="16"/>
          <w:szCs w:val="16"/>
        </w:rPr>
        <w:softHyphen/>
        <w:t>ментацию по танку большой модернизации, имевшему массу отличий от ИС-2. Модерни</w:t>
      </w:r>
      <w:r w:rsidRPr="007224C3">
        <w:rPr>
          <w:rStyle w:val="600"/>
          <w:rFonts w:ascii="Times New Roman" w:hAnsi="Times New Roman" w:cs="Times New Roman"/>
          <w:color w:val="0070C0"/>
          <w:sz w:val="16"/>
          <w:szCs w:val="16"/>
        </w:rPr>
        <w:softHyphen/>
        <w:t>зированная версия танка должна была иметь боевую массу 46-47 тонн. Полностью перепроектировали корпус: его форма стала больше напоминать летающую тарел</w:t>
      </w:r>
      <w:r w:rsidRPr="007224C3">
        <w:rPr>
          <w:rStyle w:val="600"/>
          <w:rFonts w:ascii="Times New Roman" w:hAnsi="Times New Roman" w:cs="Times New Roman"/>
          <w:color w:val="0070C0"/>
          <w:sz w:val="16"/>
          <w:szCs w:val="16"/>
        </w:rPr>
        <w:softHyphen/>
        <w:t>ку, при этом убирался смотровой лючок в ло</w:t>
      </w:r>
      <w:r w:rsidRPr="007224C3">
        <w:rPr>
          <w:rStyle w:val="600"/>
          <w:rFonts w:ascii="Times New Roman" w:hAnsi="Times New Roman" w:cs="Times New Roman"/>
          <w:color w:val="0070C0"/>
          <w:sz w:val="16"/>
          <w:szCs w:val="16"/>
        </w:rPr>
        <w:softHyphen/>
        <w:t>бовом листе корпуса. Толщина лобового листа достигала 120 мм, такая же толщина была и у бортов. Существенно переделыва</w:t>
      </w:r>
      <w:r w:rsidRPr="007224C3">
        <w:rPr>
          <w:rStyle w:val="600"/>
          <w:rFonts w:ascii="Times New Roman" w:hAnsi="Times New Roman" w:cs="Times New Roman"/>
          <w:color w:val="0070C0"/>
          <w:sz w:val="16"/>
          <w:szCs w:val="16"/>
        </w:rPr>
        <w:softHyphen/>
        <w:t>лась и башня, лоб и борта которой усилива</w:t>
      </w:r>
      <w:r w:rsidRPr="007224C3">
        <w:rPr>
          <w:rStyle w:val="600"/>
          <w:rFonts w:ascii="Times New Roman" w:hAnsi="Times New Roman" w:cs="Times New Roman"/>
          <w:color w:val="0070C0"/>
          <w:sz w:val="16"/>
          <w:szCs w:val="16"/>
        </w:rPr>
        <w:softHyphen/>
        <w:t>лись до 150 мм. Но...</w:t>
      </w:r>
      <w:r w:rsidRPr="007224C3">
        <w:rPr>
          <w:rStyle w:val="612"/>
          <w:rFonts w:ascii="Times New Roman" w:hAnsi="Times New Roman" w:cs="Times New Roman"/>
          <w:color w:val="0070C0"/>
          <w:sz w:val="16"/>
          <w:szCs w:val="16"/>
        </w:rPr>
        <w:t xml:space="preserve"> </w:t>
      </w:r>
      <w:r w:rsidRPr="007224C3">
        <w:rPr>
          <w:rStyle w:val="600"/>
          <w:rFonts w:ascii="Times New Roman" w:hAnsi="Times New Roman" w:cs="Times New Roman"/>
          <w:color w:val="0070C0"/>
          <w:sz w:val="16"/>
          <w:szCs w:val="16"/>
        </w:rPr>
        <w:t>во все том же апреле завод № 100 начал тайно, с санкции Ж.Я. Ко</w:t>
      </w:r>
      <w:r w:rsidRPr="007224C3">
        <w:rPr>
          <w:rStyle w:val="600"/>
          <w:rFonts w:ascii="Times New Roman" w:hAnsi="Times New Roman" w:cs="Times New Roman"/>
          <w:color w:val="0070C0"/>
          <w:sz w:val="16"/>
          <w:szCs w:val="16"/>
        </w:rPr>
        <w:softHyphen/>
        <w:t>тина, разрабатывать конкурента «Объекта 701» - позже эту машину «легализовали» под обозначением ИС-6. Что же касается «большой модернизации» ИС-2, то она по</w:t>
      </w:r>
      <w:r w:rsidRPr="007224C3">
        <w:rPr>
          <w:rStyle w:val="600"/>
          <w:rFonts w:ascii="Times New Roman" w:hAnsi="Times New Roman" w:cs="Times New Roman"/>
          <w:color w:val="0070C0"/>
          <w:sz w:val="16"/>
          <w:szCs w:val="16"/>
        </w:rPr>
        <w:softHyphen/>
        <w:t>просту заглохла</w:t>
      </w:r>
      <w:r w:rsidRPr="007224C3">
        <w:rPr>
          <w:rStyle w:val="600"/>
          <w:rFonts w:ascii="Times New Roman" w:hAnsi="Times New Roman" w:cs="Times New Roman"/>
          <w:color w:val="0070C0"/>
          <w:sz w:val="16"/>
          <w:szCs w:val="16"/>
          <w:lang w:val="ru-RU"/>
        </w:rPr>
        <w:t>.</w:t>
      </w:r>
    </w:p>
    <w:p w14:paraId="0AF310BE" w14:textId="77777777" w:rsidR="00B05D39" w:rsidRPr="007224C3" w:rsidRDefault="00B05D39" w:rsidP="007224C3">
      <w:pPr>
        <w:pStyle w:val="1131"/>
        <w:shd w:val="clear" w:color="auto" w:fill="auto"/>
        <w:spacing w:line="240" w:lineRule="auto"/>
        <w:ind w:firstLine="0"/>
        <w:rPr>
          <w:rFonts w:ascii="Times New Roman" w:hAnsi="Times New Roman" w:cs="Times New Roman"/>
          <w:color w:val="0070C0"/>
          <w:sz w:val="16"/>
          <w:szCs w:val="16"/>
        </w:rPr>
      </w:pPr>
      <w:r w:rsidRPr="007224C3">
        <w:rPr>
          <w:rFonts w:ascii="Times New Roman" w:hAnsi="Times New Roman" w:cs="Times New Roman"/>
          <w:color w:val="0070C0"/>
          <w:sz w:val="16"/>
          <w:szCs w:val="16"/>
        </w:rPr>
        <w:t>Несмотря на столь странные действия опытного завода № 100, модернизация ИС-2 все же состоялась, но совсем в другом объеме. Да и занималось ей ОГК-ТП ЧКЗ, где работа над модернизированным корпусом серийного ИС-2 закипела сразу после появления приказа по НКТП № 226. (ЧКЗ - Челябинский Киров</w:t>
      </w:r>
      <w:r w:rsidRPr="007224C3">
        <w:rPr>
          <w:rFonts w:ascii="Times New Roman" w:hAnsi="Times New Roman" w:cs="Times New Roman"/>
          <w:color w:val="0070C0"/>
          <w:sz w:val="16"/>
          <w:szCs w:val="16"/>
        </w:rPr>
        <w:softHyphen/>
        <w:t>ский завод или полностью: «Кировский завод Наркомата танковой промышленности в горо</w:t>
      </w:r>
      <w:r w:rsidRPr="007224C3">
        <w:rPr>
          <w:rFonts w:ascii="Times New Roman" w:hAnsi="Times New Roman" w:cs="Times New Roman"/>
          <w:color w:val="0070C0"/>
          <w:sz w:val="16"/>
          <w:szCs w:val="16"/>
        </w:rPr>
        <w:softHyphen/>
        <w:t>де Челябинске». Такое название носил трак</w:t>
      </w:r>
      <w:r w:rsidRPr="007224C3">
        <w:rPr>
          <w:rFonts w:ascii="Times New Roman" w:hAnsi="Times New Roman" w:cs="Times New Roman"/>
          <w:color w:val="0070C0"/>
          <w:sz w:val="16"/>
          <w:szCs w:val="16"/>
        </w:rPr>
        <w:softHyphen/>
        <w:t>торный завод ЧТЗ с 6 октября 1941 года после эвакуации на его площади харьковского ди</w:t>
      </w:r>
      <w:r w:rsidRPr="007224C3">
        <w:rPr>
          <w:rFonts w:ascii="Times New Roman" w:hAnsi="Times New Roman" w:cs="Times New Roman"/>
          <w:color w:val="0070C0"/>
          <w:sz w:val="16"/>
          <w:szCs w:val="16"/>
        </w:rPr>
        <w:softHyphen/>
        <w:t>зель-моторного и ленинградского Кировского заводов). ИС-2 здесь занялись в первую оче</w:t>
      </w:r>
      <w:r w:rsidRPr="007224C3">
        <w:rPr>
          <w:rFonts w:ascii="Times New Roman" w:hAnsi="Times New Roman" w:cs="Times New Roman"/>
          <w:color w:val="0070C0"/>
          <w:sz w:val="16"/>
          <w:szCs w:val="16"/>
        </w:rPr>
        <w:softHyphen/>
        <w:t>редь: согласно утвержденному ГБТУ КА «Пе</w:t>
      </w:r>
      <w:r w:rsidRPr="007224C3">
        <w:rPr>
          <w:rFonts w:ascii="Times New Roman" w:hAnsi="Times New Roman" w:cs="Times New Roman"/>
          <w:color w:val="0070C0"/>
          <w:sz w:val="16"/>
          <w:szCs w:val="16"/>
        </w:rPr>
        <w:softHyphen/>
        <w:t>речню мероприятий по улучшению качества танка ИС», литую конструкцию носовой части требовалось заменить сварной</w:t>
      </w:r>
      <w:r w:rsidRPr="007224C3">
        <w:rPr>
          <w:rFonts w:ascii="Times New Roman" w:hAnsi="Times New Roman" w:cs="Times New Roman"/>
          <w:color w:val="0070C0"/>
          <w:sz w:val="16"/>
          <w:szCs w:val="16"/>
          <w:lang w:val="ru-RU"/>
        </w:rPr>
        <w:t xml:space="preserve"> (19880)</w:t>
      </w:r>
      <w:r w:rsidRPr="007224C3">
        <w:rPr>
          <w:rFonts w:ascii="Times New Roman" w:hAnsi="Times New Roman" w:cs="Times New Roman"/>
          <w:color w:val="0070C0"/>
          <w:sz w:val="16"/>
          <w:szCs w:val="16"/>
        </w:rPr>
        <w:t xml:space="preserve">. </w:t>
      </w:r>
    </w:p>
    <w:p w14:paraId="29D60D5C" w14:textId="77777777" w:rsidR="00B05D39" w:rsidRPr="007224C3" w:rsidRDefault="00B05D39" w:rsidP="007224C3">
      <w:pPr>
        <w:pStyle w:val="1131"/>
        <w:shd w:val="clear" w:color="auto" w:fill="auto"/>
        <w:spacing w:line="240" w:lineRule="auto"/>
        <w:ind w:firstLine="0"/>
        <w:rPr>
          <w:rFonts w:ascii="Times New Roman" w:hAnsi="Times New Roman" w:cs="Times New Roman"/>
          <w:color w:val="0070C0"/>
          <w:sz w:val="16"/>
          <w:szCs w:val="16"/>
        </w:rPr>
      </w:pPr>
    </w:p>
    <w:p w14:paraId="55F354C8" w14:textId="77777777" w:rsidR="00BF53B0" w:rsidRPr="007224C3" w:rsidRDefault="00BF53B0" w:rsidP="007224C3">
      <w:pPr>
        <w:pStyle w:val="ae"/>
        <w:shd w:val="clear" w:color="auto" w:fill="FFFFFF"/>
        <w:spacing w:before="0" w:after="0"/>
        <w:jc w:val="both"/>
        <w:textAlignment w:val="baseline"/>
        <w:rPr>
          <w:color w:val="000000" w:themeColor="text1"/>
          <w:sz w:val="16"/>
          <w:szCs w:val="16"/>
        </w:rPr>
      </w:pPr>
      <w:r w:rsidRPr="007224C3">
        <w:rPr>
          <w:color w:val="000000" w:themeColor="text1"/>
          <w:sz w:val="16"/>
          <w:szCs w:val="16"/>
        </w:rPr>
        <w:t>18 апреля 1944 года новый военный представитель на заводе 183 гвардии инженер-полковник А. Вовк  направил письмо, в котором сообщал о странных активностях на заводе. На заводе он обнаружил комнату, у входа которой была выставлена охрана. Нового военного представителя туда не пустили, мотивируя это тем, что внутрь можно попасть только с личного разрешения </w:t>
      </w:r>
      <w:hyperlink r:id="rId106" w:history="1">
        <w:r w:rsidRPr="007224C3">
          <w:rPr>
            <w:rStyle w:val="a5"/>
            <w:bCs/>
            <w:iCs/>
            <w:color w:val="000000" w:themeColor="text1"/>
            <w:sz w:val="16"/>
            <w:szCs w:val="16"/>
            <w:bdr w:val="none" w:sz="0" w:space="0" w:color="auto" w:frame="1"/>
          </w:rPr>
          <w:t>Ж.Я. Котина</w:t>
        </w:r>
      </w:hyperlink>
      <w:r w:rsidRPr="007224C3">
        <w:rPr>
          <w:color w:val="000000" w:themeColor="text1"/>
          <w:sz w:val="16"/>
          <w:szCs w:val="16"/>
        </w:rPr>
        <w:t>. На вопрос, что это за помещение, Котин ответил, что это его личная рабочая комната.</w:t>
      </w:r>
    </w:p>
    <w:p w14:paraId="73086C12" w14:textId="77777777" w:rsidR="00BF53B0" w:rsidRPr="007224C3" w:rsidRDefault="00BF53B0" w:rsidP="007224C3">
      <w:pPr>
        <w:pStyle w:val="ae"/>
        <w:shd w:val="clear" w:color="auto" w:fill="FFFFFF"/>
        <w:spacing w:before="0" w:after="0"/>
        <w:jc w:val="both"/>
        <w:textAlignment w:val="baseline"/>
        <w:rPr>
          <w:color w:val="000000" w:themeColor="text1"/>
          <w:sz w:val="16"/>
          <w:szCs w:val="16"/>
        </w:rPr>
      </w:pPr>
      <w:r w:rsidRPr="007224C3">
        <w:rPr>
          <w:color w:val="000000" w:themeColor="text1"/>
          <w:sz w:val="16"/>
          <w:szCs w:val="16"/>
        </w:rPr>
        <w:t>На самом деле в «личной комнате Котина» работали Н.Ф. Шашмурин, А.С. Шнейдман, Г.А. Турчанинов и другие конструкторы. У них имелась своя версия: </w:t>
      </w:r>
      <w:r w:rsidRPr="007224C3">
        <w:rPr>
          <w:iCs/>
          <w:color w:val="000000" w:themeColor="text1"/>
          <w:sz w:val="16"/>
          <w:szCs w:val="16"/>
          <w:bdr w:val="none" w:sz="0" w:space="0" w:color="auto" w:frame="1"/>
        </w:rPr>
        <w:t>«Это курительная комната»</w:t>
      </w:r>
      <w:r w:rsidRPr="007224C3">
        <w:rPr>
          <w:color w:val="000000" w:themeColor="text1"/>
          <w:sz w:val="16"/>
          <w:szCs w:val="16"/>
        </w:rPr>
        <w:t>. Разразился скандал, по этому поводу шла бурная переписка с указанием привести работу по текущим проектам и взаимоотношения с военной приёмкой в нормальное русло. Тем не менее активность по «посторонним» темам отнюдь не прекратилась. Тайная комната была местом, где велись работы по тяжёлому танку, который должен был стать конкурентом Объекту 701. Поскольку за такую работу со стороны НКТП могли последовать серьёзные проблемы, работы проходили в режиме секретности. Понятно и покровительство всему этому со стороны Котина: его явно не устраивал тот факт, что опытный завод №100 из центра разработки новых образцов бронетанковой техники превратился в структуру, которая должна работать на подхвате. В свою очередь, ЧКЗ, который должен был выпускать разработки завода №100, обзавёлся собственным КБ, которое и занималось Объектом 701. Отношения между заводом №100 и ЧКЗ особенно обострились в конце 1943 — начале 1944 года. На этом фоне появление конкурента Объекта 701 выглядело вполне ожидаемым (19150).</w:t>
      </w:r>
    </w:p>
    <w:p w14:paraId="2526F291" w14:textId="77777777" w:rsidR="00BF53B0" w:rsidRPr="007224C3" w:rsidRDefault="00BF53B0" w:rsidP="007224C3">
      <w:pPr>
        <w:pStyle w:val="ae"/>
        <w:shd w:val="clear" w:color="auto" w:fill="FFFFFF"/>
        <w:spacing w:before="0" w:after="0"/>
        <w:jc w:val="both"/>
        <w:textAlignment w:val="baseline"/>
        <w:rPr>
          <w:color w:val="000000" w:themeColor="text1"/>
          <w:sz w:val="16"/>
          <w:szCs w:val="16"/>
        </w:rPr>
      </w:pPr>
    </w:p>
    <w:p w14:paraId="62345A3F" w14:textId="77777777" w:rsidR="00BF53B0" w:rsidRPr="007224C3" w:rsidRDefault="00BF53B0"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апреля 1944 г. была подготовлена ДОКЛАДНАЯ ЗАПИСКА НАЧАЛЬНИКА УСА ГБТУ КА ЗАМЕСТИТЕЛЮ НАЧАЛЬНИКА ГАУ КА О ПРОВЕДЕНИИ ПОЛИГОННЫХ ИСПЫТАНИЙ АМЕРИКАНСКОЙ САМОХОДНОЙ АРТИЛЛЕРИЙСКОЙ УСТАНОВКИ Т-70 № 555867</w:t>
      </w:r>
    </w:p>
    <w:p w14:paraId="0D771E39" w14:textId="77777777" w:rsidR="00BF53B0" w:rsidRPr="007224C3" w:rsidRDefault="00BF53B0"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ГБТУ Красной Армии получена новая американская самоходная артиллерийская установка Т-70, вооруженная 76-мм пушкой М1 и 12,7-мм пулеметом «Браунинг».</w:t>
      </w:r>
    </w:p>
    <w:p w14:paraId="2DCF236F" w14:textId="77777777" w:rsidR="00BF53B0" w:rsidRPr="007224C3" w:rsidRDefault="00BF53B0"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Прошу Вашего распоряжения о проведении полигонных испытаний вооружения указанной установки.</w:t>
      </w:r>
    </w:p>
    <w:p w14:paraId="7E8F3209" w14:textId="77777777" w:rsidR="00BF53B0" w:rsidRPr="007224C3" w:rsidRDefault="00BF53B0"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проведении испытания прошу дополнительно включить в типовую программу Арткома:</w:t>
      </w:r>
    </w:p>
    <w:p w14:paraId="567F85DE" w14:textId="77777777" w:rsidR="00BF53B0" w:rsidRPr="007224C3" w:rsidRDefault="00BF53B0"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Определить физико-химические характеристики американской жидкости для противооткат</w:t>
      </w:r>
      <w:r w:rsidRPr="007224C3">
        <w:rPr>
          <w:rFonts w:ascii="Times New Roman" w:hAnsi="Times New Roman"/>
          <w:color w:val="000000" w:themeColor="text1"/>
          <w:sz w:val="16"/>
          <w:szCs w:val="16"/>
        </w:rPr>
        <w:softHyphen/>
        <w:t>ных устройств пушки.</w:t>
      </w:r>
    </w:p>
    <w:p w14:paraId="753F8690" w14:textId="77777777" w:rsidR="00BF53B0" w:rsidRPr="007224C3" w:rsidRDefault="00BF53B0"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Выяснить возможность применения штатной американской жидкости в зимнее и летнее время, замены американской жидкости отечественной и смешения штатной американской жидко</w:t>
      </w:r>
      <w:r w:rsidRPr="007224C3">
        <w:rPr>
          <w:rFonts w:ascii="Times New Roman" w:hAnsi="Times New Roman"/>
          <w:color w:val="000000" w:themeColor="text1"/>
          <w:sz w:val="16"/>
          <w:szCs w:val="16"/>
        </w:rPr>
        <w:softHyphen/>
        <w:t>сти с этим заменителем.</w:t>
      </w:r>
    </w:p>
    <w:p w14:paraId="211A3840" w14:textId="77777777" w:rsidR="00BF53B0" w:rsidRPr="007224C3" w:rsidRDefault="00BF53B0"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Выяснить возможность применения отечественных боеприпасов (осколочного, кумулятивно</w:t>
      </w:r>
      <w:r w:rsidRPr="007224C3">
        <w:rPr>
          <w:rFonts w:ascii="Times New Roman" w:hAnsi="Times New Roman"/>
          <w:color w:val="000000" w:themeColor="text1"/>
          <w:sz w:val="16"/>
          <w:szCs w:val="16"/>
        </w:rPr>
        <w:softHyphen/>
        <w:t>го и подкалиберного снарядов) для стрельбы из 76-мм американской пушки М1.</w:t>
      </w:r>
    </w:p>
    <w:p w14:paraId="05ECC57F" w14:textId="77777777" w:rsidR="00BF53B0" w:rsidRPr="007224C3" w:rsidRDefault="00BF53B0"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Ходовые испытания включать в программу считаю нецелесообразным, так как они проводятся НИ полигоном ГБТУ.</w:t>
      </w:r>
    </w:p>
    <w:p w14:paraId="67614F3C" w14:textId="77777777" w:rsidR="00BF53B0" w:rsidRPr="007224C3" w:rsidRDefault="00BF53B0"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Самоходную установку Т-70, укомплектованную экипажем и снабженную одной заправкой горю</w:t>
      </w:r>
      <w:r w:rsidRPr="007224C3">
        <w:rPr>
          <w:rFonts w:ascii="Times New Roman" w:hAnsi="Times New Roman"/>
          <w:color w:val="000000" w:themeColor="text1"/>
          <w:sz w:val="16"/>
          <w:szCs w:val="16"/>
        </w:rPr>
        <w:softHyphen/>
        <w:t>че-смазочных материалов (на 280 км пробега), а также 500 выстрелов с бронебойным снарядом и 250 выстрелов с осколочным снарядом, УСА ГБТУ КА доставить к началу мая по указанному Вами адресу.</w:t>
      </w:r>
    </w:p>
    <w:p w14:paraId="1B29902F" w14:textId="77777777" w:rsidR="00BF53B0" w:rsidRPr="007224C3" w:rsidRDefault="00BF53B0"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Отчет о проведенных испытаниях, памятку экипажу и руководство службы по вооружению установ</w:t>
      </w:r>
      <w:r w:rsidRPr="007224C3">
        <w:rPr>
          <w:rFonts w:ascii="Times New Roman" w:hAnsi="Times New Roman"/>
          <w:color w:val="000000" w:themeColor="text1"/>
          <w:sz w:val="16"/>
          <w:szCs w:val="16"/>
        </w:rPr>
        <w:softHyphen/>
        <w:t>ки (пушки, 12,7-мм пулемета «Браунинг», прицелам и боеприпасам) желательно получить к 1.06.1944 г.</w:t>
      </w:r>
    </w:p>
    <w:p w14:paraId="248D1752" w14:textId="77777777" w:rsidR="00BF53B0" w:rsidRPr="007224C3" w:rsidRDefault="00BF53B0"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 Вашем решении по данному вопросу прошу поставить меня в известность.</w:t>
      </w:r>
    </w:p>
    <w:p w14:paraId="53C459C3" w14:textId="77777777" w:rsidR="00BF53B0" w:rsidRPr="007224C3" w:rsidRDefault="00BF53B0"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УСА ГБТУ КА генерал-майор инженерно-танковой службы Алымов</w:t>
      </w:r>
    </w:p>
    <w:p w14:paraId="2EB477CA" w14:textId="77777777" w:rsidR="00BF53B0" w:rsidRPr="007224C3" w:rsidRDefault="00BF53B0"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2 отдела УСА ГБТУ КА инженер-подполковник Рогачев</w:t>
      </w:r>
    </w:p>
    <w:p w14:paraId="5C645414" w14:textId="77777777" w:rsidR="00BF53B0" w:rsidRPr="007224C3" w:rsidRDefault="00BF53B0"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38. Оп. 11369. Д. 284. Л. 60-61. Копия (11403).</w:t>
      </w:r>
    </w:p>
    <w:p w14:paraId="0FFA58FD" w14:textId="77777777" w:rsidR="00BF53B0" w:rsidRPr="007224C3" w:rsidRDefault="00BF53B0" w:rsidP="007224C3">
      <w:pPr>
        <w:autoSpaceDE w:val="0"/>
        <w:autoSpaceDN w:val="0"/>
        <w:adjustRightInd w:val="0"/>
        <w:spacing w:after="0" w:line="240" w:lineRule="auto"/>
        <w:jc w:val="both"/>
        <w:rPr>
          <w:rFonts w:ascii="Times New Roman" w:hAnsi="Times New Roman"/>
          <w:color w:val="000000" w:themeColor="text1"/>
          <w:sz w:val="16"/>
          <w:szCs w:val="16"/>
        </w:rPr>
      </w:pPr>
    </w:p>
    <w:p w14:paraId="47ED8BA0" w14:textId="77777777" w:rsidR="00B05D39" w:rsidRPr="007224C3" w:rsidRDefault="00B05D39"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shd w:val="clear" w:color="auto" w:fill="FFFFFF"/>
        </w:rPr>
        <w:t>18 апреля 1944 года в адрес В.Г. Грабина, начальника ЦАКБ и конструкторов ЦАКБ А.С. Часовникова и С.Д. Казарина, ушло письмо из ГБТУ КА. В нем указывалось, что в СССР продолжают поступать Valentine с 2-фунтовыми пушками (прежде всего это касалось Valentine V). Поэтому появилось предложение к ЦАКБ рассмотреть возможность установки в штатную башню танка 85-мм пушки С-53 (22723).</w:t>
      </w:r>
    </w:p>
    <w:p w14:paraId="7F1255A8" w14:textId="77777777" w:rsidR="00B05D39" w:rsidRPr="007224C3" w:rsidRDefault="00B05D39" w:rsidP="007224C3">
      <w:pPr>
        <w:spacing w:after="0" w:line="240" w:lineRule="auto"/>
        <w:jc w:val="both"/>
        <w:rPr>
          <w:rFonts w:ascii="Times New Roman" w:hAnsi="Times New Roman"/>
          <w:color w:val="0070C0"/>
          <w:sz w:val="16"/>
          <w:szCs w:val="16"/>
        </w:rPr>
      </w:pPr>
    </w:p>
    <w:p w14:paraId="12348D99"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апреля 1944 года вышел приказ № 186с НКБ</w:t>
      </w:r>
    </w:p>
    <w:p w14:paraId="0528D617"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организации производства приборов и станков на заводе № 139 НКБ по оснащению взрывательных и других заводов НКБ:</w:t>
      </w:r>
    </w:p>
    <w:p w14:paraId="0AA9E9FB" w14:textId="77777777" w:rsidR="00595BFB" w:rsidRPr="007224C3" w:rsidRDefault="00595BFB" w:rsidP="007224C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Передать завод № 139 НКБ из 4 Гл. управления во 2 Гл. управление НКБ (6014, 1).</w:t>
      </w:r>
    </w:p>
    <w:p w14:paraId="3381E972" w14:textId="77777777" w:rsidR="00595BFB" w:rsidRPr="007224C3" w:rsidRDefault="00595BFB" w:rsidP="007224C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9E59B2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апреля 1944 вышло Распоряжение ГКО № 5639. О продлении до 1 мая 1944 г. работы на лесозаготовках в Архангельской обл. мобилизованных из Рязанской, Орловской, Ярославской, Кировской, Вологодской и Курской обл. РГАНИР, Фонд ГКО, д. 238, лл. 19 (11012).</w:t>
      </w:r>
    </w:p>
    <w:p w14:paraId="187DC76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C56FED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апреля 1944 вышло Распоряжение ГКО № 5640. О мобилизации 3,5 тыс. чел. городского и сельского населения на работы по добыче живицы на предприятиях Наркомлеса СССР. РГАНИР, Фонд ГКО, д. 238, лл. 20,21 (11012).</w:t>
      </w:r>
    </w:p>
    <w:p w14:paraId="207BBB8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5D5E4B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18 апреля 1944 вышло Распоряжение ГКО № 5641. О мобилизации 900 чел. сельского населения на торфопредприятие "Пальцо" Орловской обл. РГАНИР, Фонд ГКО, д. 238, лл. 22 (11012).</w:t>
      </w:r>
    </w:p>
    <w:p w14:paraId="39B3FC9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8ED60C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апреля 1944 вышло Распоряжение ГКО № 5642. О поставках оборудования Гомельской ЦЭС. РГАНИР, Фонд ГКО, д. 238, лл. 23-24,25 (11012).</w:t>
      </w:r>
    </w:p>
    <w:p w14:paraId="55A78AA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77F6EB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апреля 1944 вышло Распоряжение ГКО № 5645. О мерах по обеспечению бесперебойного снабжения потребителей основными оборонными спецсмазками во II кв. 1944 г. РГАНИР, Фонд ГКО, д. 238, лл. 30-32,33-37 (11012).</w:t>
      </w:r>
    </w:p>
    <w:p w14:paraId="0EC6CC2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B92C90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апреля 1944 вышло Постановление ГКО № 5646 О плане распределения природного газа на II квартал 1944 г. по трестам Главгазтоппрома при Совнаркоме СССР. РГАНИР, Фонд ГКО, д. 238, лл. 38,39-41 (11012).</w:t>
      </w:r>
    </w:p>
    <w:p w14:paraId="49383CE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D8679A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апреля 1944 г. Постановление ГКО № 5647 «О Всесоюзном научно-исследовательском институте радиолокации № 108 Наркомэлектропрома» (Д. 316. Л. 45–70).</w:t>
      </w:r>
    </w:p>
    <w:p w14:paraId="7AF6244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FD9C5F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апреля 1944 вышло Постановление ГКО № 5648 О плане производства и распределения карбида кальция на II квартал 1944 г. и мерах по обеспечению его производства. РГАНИР, Фонд ГКО, д. 238, лл. 73-78,79-85 (11012).</w:t>
      </w:r>
    </w:p>
    <w:p w14:paraId="708CE51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83E1C1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апреля 1944 вышло Постановление ГКО № 5649 О строительстве Казахского металлургического завода Наркомчермета. РГАНИР, Фонд ГКО, д. 238, лл. 86-90,91-95 (11012).</w:t>
      </w:r>
    </w:p>
    <w:p w14:paraId="31C9868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B3B153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апреля 1944 вышло Постановление ГКО № 5650 Об обеспечении заводов Наркомминвооружения лесоматериалами для производства сельхозмашин. РГАНИР, Фонд ГКО, д. 238, лл. 96-99,100-102 (11012).</w:t>
      </w:r>
    </w:p>
    <w:p w14:paraId="44AA3BA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1BF002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апреля 1944 вышло Распоряжение ГКО № 5651. Об освобождении от призыва в КА студентов учебных заведений Наркомтекстиля СССР. РГАНИР, Фонд ГКО, д. 238, лл. 103 (11012).</w:t>
      </w:r>
    </w:p>
    <w:p w14:paraId="2775E8D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172E9BB"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апреля 1944 вышло Распоряжение ГКО № 5651 [Об освобождении от призыва в КА студентов учебных заведений Наркомтекстиля СССР.] (7215, 103).</w:t>
      </w:r>
    </w:p>
    <w:p w14:paraId="607D9268"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C669A2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апреля 1944 вышло Распоряжение ГКО № 5652. О поставках рыбы в Москву и Горький для обеспечения рабочих торфопредприятий этих областей. РГАНИР, Фонд ГКО, д. 238, лл. 104 (11012).</w:t>
      </w:r>
    </w:p>
    <w:p w14:paraId="1734224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614F243"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апреля 1944 вышло Распоряжение ГКО № 5653 [О распределении телег, саней и упряжи, изготовляемых предприятиями местной промышленности и промкооперации РСФСР.] (7215, 105).</w:t>
      </w:r>
    </w:p>
    <w:p w14:paraId="2C9ECBB5"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2F9B0A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апреля 1944 вышло Распоряжение ГКО № 5654. О мерах по обеспечению автомобильных и танковых заводов бумажными прокладками. РГАНИР, Фонд ГКО, д. 238, лл. 106 (11012).</w:t>
      </w:r>
    </w:p>
    <w:p w14:paraId="1FFABE9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16EDBC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апреля 1944 вышло Распоряжение ГКО№ 5655. О приостановке строительства Губахинского азотно-тукового завода и переброске рабочих, ИТР, автотранспорта и оборудования на восстановление Горловского азотно-тукового завода. РГАНИР, Фонд ГКО, д. 238, лл. 107 (11012).</w:t>
      </w:r>
    </w:p>
    <w:p w14:paraId="44F3611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7DFFDD4"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апреля 1944 вышло Распоряжение ГКО № 5656 [О мерах по расширению производства на кабельных заводах НКЭП эмалированного медного провода размером от 0,05 до 0,19 мм.] (7215, 108).</w:t>
      </w:r>
    </w:p>
    <w:p w14:paraId="77198561"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91ED280"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апреля 1944 вышло Распоряжение ГКО № 5657 [О реэвакуации Центрального научно-исследовательского котлотурбинного института (ЦКТИ) НКТМ из Москвы и Свердловска в Ленинград.] (7215, 109).</w:t>
      </w:r>
    </w:p>
    <w:p w14:paraId="1E7E4082"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C7D840E"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апреля 1944 вышло Распоряжение ГКО № 5658 [О создании самостоятельного Центрального управления стройматериалов НКПС.] (7215, 110).</w:t>
      </w:r>
    </w:p>
    <w:p w14:paraId="263FFC35"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FBB3F1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апреля 1944 вышло Распоряжение ГКО№ 5659. О снятии взыскания с зам. наркома НКТП Попова М.Н. РГАНИР, Фонд ГКО, д. 238, лл. 111 (11012).</w:t>
      </w:r>
    </w:p>
    <w:p w14:paraId="4D712EC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A1C49D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апреля 1944 вышло Распоряжение ГКО № 5660. О переводе на постоянную работу на Ленинградский шинный завод НКРП 50 бойцов, работающих там. РГАНИР, Фонд ГКО, д. 238, лл. 112 (11012).</w:t>
      </w:r>
    </w:p>
    <w:p w14:paraId="7A4A2DE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AD0AEFF"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апреля 1944 вышло Распоряжение ГКО № 5661 [О передаче НКАП разрушенных зданий в Воронеже для восстановления авиатехникума.] (7215, 113).</w:t>
      </w:r>
    </w:p>
    <w:p w14:paraId="02D634A6"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EAE66C5"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апреля 1944 вышло Распоряжение ГКО № 5662 [О возвращении в Ленинград Военной электротехнической академии связи КА им. С.М. Буденного.] (7215, 114).</w:t>
      </w:r>
    </w:p>
    <w:p w14:paraId="33A982B0"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90772B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апреля 1944 вышло Постановление ГКО № 5663 Об изменении количества импортного оборудования, поставляемого СТЗ. РГАНИР, Фонд ГКО, д. 238, лл. 115 (11012).</w:t>
      </w:r>
    </w:p>
    <w:p w14:paraId="7DC92CC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9C794A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апреля 1944 вышло Распоряжение ГКО № 5664. О мерах по обеспечению надежного снабжения паром от Красноярской ТЭЦ НКЭС завода № 580 НКБ. РГАНИР, Фонд ГКО, д. 238, лл. 116-117 (11012).</w:t>
      </w:r>
    </w:p>
    <w:p w14:paraId="689E93B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695FDD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апреля 1944 вышло Постановление ГКО № 5665 О мероприятиях по обеспечению выполнения программы подрядных работ Главвоенпромстроя при Совнаркоме СССР во II кв. 1944 г. РГАНИР, Фонд ГКО, д. 238, лл. 118-128,129-137 (11012).</w:t>
      </w:r>
    </w:p>
    <w:p w14:paraId="6339096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E2BD4B9"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апреля 1944 вышло Постановление ГКО № 5668 О выделении материальных ресурсов для закладки в государственный резерв на II квартал 1944 г. (7215, 181-185,186-199).</w:t>
      </w:r>
    </w:p>
    <w:p w14:paraId="128C782E"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1EB2E5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апреля 1944 вышло Постановление ГКО № 5669 О поставке химического сырья, материалов и изделий медицинской промышленности эвакогоспиталям и лечебной сети Наркомздрава СССР во II квартале 1944 года. РГАНИР, Фонд ГКО, д. 239, лл. 1-5,6-28 (11012).</w:t>
      </w:r>
    </w:p>
    <w:p w14:paraId="265C965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9007B4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апреля 1944 вышло Постановление ГКО № 5670 О возврате конденсата промышленными предприятиями на электростанции. РГАНИР, Фонд ГКО, д. 239, лл. 20-31,32-36 (11012).</w:t>
      </w:r>
    </w:p>
    <w:p w14:paraId="3286D77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A04EDA8"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апреля 1944 вышло Распоряжение ГКО № 5671 [О поставке оборудования Институту электросварки АН СССР и подготовке специалистов и рабочих автоматической сварки под слоем флюса.] (7216, 37-38,39-41).</w:t>
      </w:r>
    </w:p>
    <w:p w14:paraId="2A1E48C8"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6DAF92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апреля 1944 вышло Распоряжение ГКО № 5672. О рассмотрении и внесении на утверждение ГКО предложений по расширению производства понтонно-переправочных средств для КА на заводе № 342 НКСП. РГАНИР, Фонд ГКО, д. 239, лл. 42,43-55 (11012).</w:t>
      </w:r>
    </w:p>
    <w:p w14:paraId="7994EE2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1808B8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апреля 1944 вышло Постановление ГКО № 5673 О восстановлении Мариупольского графитового завода Наркомстройматериалов СССР. РГАНИР, Фонд ГКО, д. 239, лл. 56-57,58 (11012).</w:t>
      </w:r>
    </w:p>
    <w:p w14:paraId="1B76B48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3F7A49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апреля 1944 вышло Распоряжение ГКО № 5674. О заказе на импорт станочного оборудования и измерительных приборов для Главкислорода при СНК СССР. РГАНИР, Фонд ГКО, д. 239, лл. 59,60-68 (11012).</w:t>
      </w:r>
    </w:p>
    <w:p w14:paraId="3E72D62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68E7C1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апреля 1944 вышло Постановление ГКО № 5675 О материально-техническом обеспечении бумажных и печатных фабрик Гознака Наркомфина СССР во II квартале 1944 г. РГАНИР, Фонд ГКО, д. 239, лл. 69-71,72-77 (11012).</w:t>
      </w:r>
    </w:p>
    <w:p w14:paraId="333A999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A2290D7"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апреля 1944 вышло Постановление ГКО № 5676 О мероприятиях по увеличению выработки тунгового масла. (7216, 78-82,83).</w:t>
      </w:r>
    </w:p>
    <w:p w14:paraId="4B1B6C49"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61600BC"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апреля 1944 вышло Постановление ГКО № 5677 О восстановлении Гомельского паровозоремонтного завода НКПС. (7216, 84-88,89).</w:t>
      </w:r>
    </w:p>
    <w:p w14:paraId="452732CB"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BD47163"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700E9C0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B85D505"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апреля в 1944 году оперативная сводка Совинформбюро:</w:t>
      </w:r>
    </w:p>
    <w:p w14:paraId="584A1E78"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18 апреля к востоку от города Станислав наши войска отбивали атаки пехоты и танков противника и нанесли ему большие потери в живой силе и технике.</w:t>
      </w:r>
    </w:p>
    <w:p w14:paraId="2E7FD2F6"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Севастопольском направлении наши войска, сломив сопротивление противника, овладели районным центром Крыма городом Балаклава, а также с боями заняли населённые пункты Алсу, Камары, Кадыковка, Кучук-Мускомья, Батилиман.</w:t>
      </w:r>
    </w:p>
    <w:p w14:paraId="78CCFA62"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 поиски разведчиков.</w:t>
      </w:r>
    </w:p>
    <w:p w14:paraId="6AAE8BB1"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17 апреля наши войска на всех фронтах подбили и уничтожили 21 немецкий танк. В воздушных боях и огнём зенитной артиллерии сбито 36 самолётов противника.».</w:t>
      </w:r>
    </w:p>
    <w:p w14:paraId="4531FC83"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Массированный налёт нашей авиации на железнодорожный узел и морской порт Констанца.</w:t>
      </w:r>
    </w:p>
    <w:p w14:paraId="29B1070E"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ночь на 18 апреля наша авиация дальнего действия произвела массированный налёт на железнодорожный узел и морской порт Констанца (Румыния). В результате бомбардировки возникли многочисленные пожары. В порту и на железнодорожном узле наблюдением отмечено несколько сильных взрывов.</w:t>
      </w:r>
    </w:p>
    <w:p w14:paraId="07687948"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Один наш самолёт не вернулся на свой аэродром.».</w:t>
      </w:r>
    </w:p>
    <w:p w14:paraId="4E0186CA"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востоку от города Станислав немцы сосредоточили крупные силы и атаковал инаши позиции. Части Н-ского соединения в течение дня отбили пятнадцать атак противника и нанесли ему большие потери в людях и технике. На поле боя осталось свыше 700 вражеских трупов. Советские артиллеристы и бронебойщики подбили и сожгли 18 немецких танков, 10 бронетранспортёров и 20 автомашин с автоматчиками.</w:t>
      </w:r>
    </w:p>
    <w:p w14:paraId="2B9CBFBC"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Восемь лётчиков-истребителей во главе с гвардии майором Павловым, патрулируя в воздухе, заметили 30 немецких пикирующих бомбардировщиков, летевших в сопровождении истребителей. Немцы пытались нанести удар по боевым порядкам наших войск. Советские лётчики атаковали противника. В ожесточённом воздушном бою сбито три немецких бомбардировщика «Юнкерс-87» и один истребитель «Фокке-Вульф-190». Кроме того, два самолёта противника повреждены. Все наши лётчики благополучно вернулись на свой аэродром.</w:t>
      </w:r>
    </w:p>
    <w:p w14:paraId="37746CA9"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Севастопольском направлении наши войска продолжали вести наступательные бои. Остатки разбитых соединений противника, скопившиеся в районе Севастополя, оказывают отчаянное сопротивление. Немцы устраивают завалы, нагромождают как можно больше препятствий на пути наших войск и взрывают мосты через горные речки. На ряде участков противник использует румын в качестве частей прикрытия. В тылу румын расположены отряды немецких автоматчиков и пулемётчиков. При малейшей попытке румын перейти на сторону Красной Армии или отступить гитлеровцы открывают огонь по своим румынским «союзникам».</w:t>
      </w:r>
    </w:p>
    <w:p w14:paraId="08794F50"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Наши войска, наступающие вдоль южного побережья Крыма, овладев селением Байдары, ночью выбили немцев из нескольких населённых пунктов. Развивая успех, наша пехота, поддержанная танками и самоходными орудиями, прорвала заранее подготовленную полосу обороны противника и в результате упорного боя овладела районным центром Крыма городом Балаклава. Захвачены трофеи и много пленных.</w:t>
      </w:r>
    </w:p>
    <w:p w14:paraId="30E46137"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Советская авиация наносила удары по боевым порядкам и скоплениям немецких и румынских войск. В воздушных боях наши лётчики сбили 8 немецких самолётов. Кроме того, огнём зенитной артиллерии уничтожены 6 самолётов противника.</w:t>
      </w:r>
    </w:p>
    <w:p w14:paraId="44725AD0"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Украинский партизанский отряд, действующий в Волынской области, за несколько дней апреля на шоссейных и грунтовых дорогах подорвал 6 немецких танков, 3 бронемашины и 9 грузовых автомашин. Группа партизан этого же отряда пустила под откос немецкий воинский эшелон с боеприпасами. В другом районе три волынских партизанских отряда атаковали опорный пункт противника. В результате стремительного удара партизаны сломили сопротивление гитлеровцев и овладели опорным пунктом. На поле боя осталось более 100 трупов немецких солдат и офицеров.</w:t>
      </w:r>
    </w:p>
    <w:p w14:paraId="7212C39D"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Взятые в плен в Крыму командиры 2 и 3 рот 12 батальона 3 румынской горнострелковой дивизии капитан Лазареску и капитан Георгиу рассказали: «Немцы предали нас. Они взяли власть над румынскими войсками и распоряжаются нами, какхотят. В случае беды немцы заставляют румын подставлять свои головы под русские пули, а сами удирают. Вначале мы отступали вместе с немцами. Когда русские настигли наши колонны и, как говорится, вцепились в наш воротник, немцы быстро сели в автомашины. Часть румынских офицеров и солдат попыталась также сесть вгрузовики. Однако немцы открыли пулемётный огонь. Румынские солдаты также прибегли к оружию. С обеих сторон были раненые и убитые. Немцам удалось уехать на автомашинах, но многих из них мы через день встретили на сборном пункте для военнопленных. Румыны, оставшись одни, смастерили из нижних рубашек белые флаги. Вторая и третья роты при появлении русских танков в полном составе сдались в плен».</w:t>
      </w:r>
    </w:p>
    <w:p w14:paraId="54E74702" w14:textId="77777777" w:rsidR="001732E9" w:rsidRPr="007224C3" w:rsidRDefault="001732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Немецко-фашистские мерзавцы с лихорадочной поспешностью уничтожают следысвоих кровавых преступлений. В городе Каунас и его окрестностях немецкие военные власти сжигают трупы советских граждан, загубленных и расстрелянных гитлеровцами за время оккупации. В 1941 и 1942 г.г. немцы только на территории IX форта в Каунасе расстреляли и похоронили около тридцати тысяч человек. Несколько месяцев тому назад гестапо сформировало специальную команду. Эта команда разрывает массовые могилы, извлекает трупы, складывает их в штабеля и сжигает. По вполне понятным причинам гитлеровцы стараются держать всё это в глубокой тайне. Весь район IX форта объявлен запретной зоной. Немецкие военные власти расклеили в городе приказ, в котором предупредили жителей, что всякий, кто подойдет близко к IX форту, будет немедленно расстрелян. По последним полученным сведениям, гитлеровцы уже сожгли в IX форту большую часть трупов расстрелянных ими мирных советских жителей.» (15103).</w:t>
      </w:r>
    </w:p>
    <w:p w14:paraId="479C03FF" w14:textId="77777777" w:rsidR="001732E9" w:rsidRPr="007224C3" w:rsidRDefault="001732E9" w:rsidP="007224C3">
      <w:pPr>
        <w:spacing w:after="0" w:line="240" w:lineRule="auto"/>
        <w:jc w:val="both"/>
        <w:rPr>
          <w:rFonts w:ascii="Times New Roman" w:hAnsi="Times New Roman"/>
          <w:color w:val="000000" w:themeColor="text1"/>
          <w:sz w:val="16"/>
          <w:szCs w:val="16"/>
        </w:rPr>
      </w:pPr>
    </w:p>
    <w:p w14:paraId="34629A9A" w14:textId="77777777" w:rsidR="00B05D39" w:rsidRPr="007224C3" w:rsidRDefault="00B05D39"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 ночь на 18 апреля 1944 до 75 самолётов снова нанесли удар по Киеву. Всё это время в воз</w:t>
      </w:r>
      <w:r w:rsidRPr="007224C3">
        <w:rPr>
          <w:rFonts w:ascii="Times New Roman" w:hAnsi="Times New Roman"/>
          <w:color w:val="0070C0"/>
          <w:sz w:val="16"/>
          <w:szCs w:val="16"/>
        </w:rPr>
        <w:softHyphen/>
        <w:t>духе находились аэростаты заграждения. Один из немецких самолётов на высоте 1500 м налетел на трос аэростата, поднятого в Киеве перед мостом на острове. В момент столкновения удар был та</w:t>
      </w:r>
      <w:r w:rsidRPr="007224C3">
        <w:rPr>
          <w:rFonts w:ascii="Times New Roman" w:hAnsi="Times New Roman"/>
          <w:color w:val="0070C0"/>
          <w:sz w:val="16"/>
          <w:szCs w:val="16"/>
        </w:rPr>
        <w:softHyphen/>
        <w:t>кой силы, что прицепную лебёдку опрокинуло и протащило по земле. Затем стальной трос лоп</w:t>
      </w:r>
      <w:r w:rsidRPr="007224C3">
        <w:rPr>
          <w:rFonts w:ascii="Times New Roman" w:hAnsi="Times New Roman"/>
          <w:color w:val="0070C0"/>
          <w:sz w:val="16"/>
          <w:szCs w:val="16"/>
        </w:rPr>
        <w:softHyphen/>
        <w:t>нул. Через 10 минут посты ВНОС 7-го корпуса ПВО доложили, что в 29 км от Киева совершил аварийную посадку бомбардировщик Ju-88. Ле</w:t>
      </w:r>
      <w:r w:rsidRPr="007224C3">
        <w:rPr>
          <w:rFonts w:ascii="Times New Roman" w:hAnsi="Times New Roman"/>
          <w:color w:val="0070C0"/>
          <w:sz w:val="16"/>
          <w:szCs w:val="16"/>
        </w:rPr>
        <w:softHyphen/>
        <w:t>вый винт его был опутан тросом, а крыло по</w:t>
      </w:r>
      <w:r w:rsidRPr="007224C3">
        <w:rPr>
          <w:rFonts w:ascii="Times New Roman" w:hAnsi="Times New Roman"/>
          <w:color w:val="0070C0"/>
          <w:sz w:val="16"/>
          <w:szCs w:val="16"/>
        </w:rPr>
        <w:softHyphen/>
        <w:t>вреждено от механического воздействия. Экипаж самолёта взяли в плен (20120).</w:t>
      </w:r>
    </w:p>
    <w:p w14:paraId="45D1D6DE" w14:textId="77777777" w:rsidR="00B05D39" w:rsidRPr="007224C3" w:rsidRDefault="00B05D39" w:rsidP="007224C3">
      <w:pPr>
        <w:spacing w:after="0" w:line="240" w:lineRule="auto"/>
        <w:jc w:val="both"/>
        <w:rPr>
          <w:rFonts w:ascii="Times New Roman" w:hAnsi="Times New Roman"/>
          <w:color w:val="0070C0"/>
          <w:sz w:val="16"/>
          <w:szCs w:val="16"/>
        </w:rPr>
      </w:pPr>
    </w:p>
    <w:p w14:paraId="47523989"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апреля 1944 советские войска освободили Балаклаву (Крым) (4962).</w:t>
      </w:r>
    </w:p>
    <w:p w14:paraId="387605D3"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2CA4D51"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апреля 1944 советским командованием создан 3-й Прибалтийский фронт (4962).</w:t>
      </w:r>
    </w:p>
    <w:p w14:paraId="4604D1DA"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1F35F3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апреля 1944 днем бомбили еще два каравана, направлявшихся из Севастополя в Румынию (438,901).</w:t>
      </w:r>
    </w:p>
    <w:p w14:paraId="3099156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D6E861"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Жизнь и внутренняя политика:</w:t>
      </w:r>
    </w:p>
    <w:p w14:paraId="7E9DDAE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8E2DD82"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апреля 1944 вышло Распоряжение ГКО № 5643 [О строительстве паромной переправы через Днепр у г. Черкассы силами ГДУ КА.] (7215, 26).</w:t>
      </w:r>
    </w:p>
    <w:p w14:paraId="025869C5"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4DE5E1F"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апреля 1944 вышло Постановление ГКО № 5644 О строительной организации Дворца Советов. (7215, 27-29).</w:t>
      </w:r>
    </w:p>
    <w:p w14:paraId="31CD7D8B"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3560368"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апреля 1944 вышло Постановление ГКО № 5666 О мероприятиях по охране от пожаров лесов Наркомлеса СССР, Главлесоохраны при Совнаркоме СССР и других лесофондодержателей в летний период 1944 г. (7215, 138-142,143-144).</w:t>
      </w:r>
    </w:p>
    <w:p w14:paraId="05CD7252"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5A7567B"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6FAD8A5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FA12DC1" w14:textId="77777777" w:rsidR="000F02F6" w:rsidRPr="007224C3" w:rsidRDefault="000F02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апреля в 1944 году из-за поломки шасси потерпел катастрофу первый самолет «Ta-154V-9», собранным в Познани и принятый в качестве эталона для серии. Экипаж погиб (15103).</w:t>
      </w:r>
    </w:p>
    <w:p w14:paraId="15653296" w14:textId="77777777" w:rsidR="000F02F6" w:rsidRPr="007224C3" w:rsidRDefault="000F02F6" w:rsidP="007224C3">
      <w:pPr>
        <w:spacing w:after="0" w:line="240" w:lineRule="auto"/>
        <w:jc w:val="both"/>
        <w:rPr>
          <w:rFonts w:ascii="Times New Roman" w:hAnsi="Times New Roman"/>
          <w:color w:val="000000" w:themeColor="text1"/>
          <w:sz w:val="16"/>
          <w:szCs w:val="16"/>
        </w:rPr>
      </w:pPr>
    </w:p>
    <w:p w14:paraId="65EB0C2D" w14:textId="77777777" w:rsidR="00B05D39" w:rsidRPr="007224C3" w:rsidRDefault="00B05D39"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18–19 апреля (ночь) 1944 847 британских бомбардировщиков атаковали железнодорожные станции в Руане, Жюви, Нуази-ле-Сек и Тернье, Франция, потеряв 11 самолетов. В Руане происходят большие разрушения, и атака на Жувиси также успешна. Железнодорожные станции в Нуази-ле-Сек настолько сильно повреждены, что не будут полностью отремонтированы до 1951 года. Кроме того, бомбы разрушили 750 домов и повредили 2000 домов, в результате чего 464 французских мирных жителя погибли и 370 были ранены; в Tergnier 50 железнодорожных путей заблокированы, но большинство бомб падает на жилые дома (20373).</w:t>
      </w:r>
    </w:p>
    <w:p w14:paraId="053F0679" w14:textId="77777777" w:rsidR="00B05D39" w:rsidRPr="007224C3" w:rsidRDefault="00B05D39" w:rsidP="007224C3">
      <w:pPr>
        <w:spacing w:after="0" w:line="240" w:lineRule="auto"/>
        <w:jc w:val="both"/>
        <w:rPr>
          <w:rFonts w:ascii="Times New Roman" w:hAnsi="Times New Roman"/>
          <w:color w:val="0070C0"/>
          <w:sz w:val="16"/>
          <w:szCs w:val="16"/>
        </w:rPr>
      </w:pPr>
    </w:p>
    <w:p w14:paraId="6652668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апреля 1944 состоялось 30 часовое воздушное наступление союзников против немцев во Франции и Германии (2247,3).</w:t>
      </w:r>
    </w:p>
    <w:p w14:paraId="02333DA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0F0A9E" w14:textId="77777777" w:rsidR="00B05D39" w:rsidRPr="007224C3" w:rsidRDefault="00B05D39"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18 апреля 1944 Air Solomons (AirSols) начинает успешную серию фоторазведочных полетов над Марианскими островами. Миссии продолжаются до июня (20373).</w:t>
      </w:r>
    </w:p>
    <w:p w14:paraId="4217069F" w14:textId="77777777" w:rsidR="00B05D39" w:rsidRPr="007224C3" w:rsidRDefault="00B05D39" w:rsidP="007224C3">
      <w:pPr>
        <w:spacing w:after="0" w:line="240" w:lineRule="auto"/>
        <w:jc w:val="both"/>
        <w:rPr>
          <w:rFonts w:ascii="Times New Roman" w:hAnsi="Times New Roman"/>
          <w:color w:val="0070C0"/>
          <w:sz w:val="16"/>
          <w:szCs w:val="16"/>
        </w:rPr>
      </w:pPr>
    </w:p>
    <w:p w14:paraId="02D1F563"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4BBF7AC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BD634C1" w14:textId="77777777" w:rsidR="00C04E33" w:rsidRPr="007224C3" w:rsidRDefault="00C04E3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апреля 1944 «Москито» поднялся в воздух и взял курс на Москву. Самолет прошел над Северным морем, Швецией, Балтийским морем, над оккупированными немцами терри</w:t>
      </w:r>
      <w:r w:rsidRPr="007224C3">
        <w:rPr>
          <w:rFonts w:ascii="Times New Roman" w:hAnsi="Times New Roman"/>
          <w:color w:val="000000" w:themeColor="text1"/>
          <w:sz w:val="16"/>
          <w:szCs w:val="16"/>
        </w:rPr>
        <w:softHyphen/>
        <w:t>ториями и рано утром приземлился на подмосковном аэродроме Внуково.</w:t>
      </w:r>
    </w:p>
    <w:p w14:paraId="33B283BD" w14:textId="77777777" w:rsidR="00C04E33" w:rsidRPr="007224C3" w:rsidRDefault="00C04E3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 Внукове самолет пробыл недолго и ни разу не поднимался в воздух. С 25 апреля он уже находился в ЛИИ, где на</w:t>
      </w:r>
      <w:r w:rsidRPr="007224C3">
        <w:rPr>
          <w:rFonts w:ascii="Times New Roman" w:hAnsi="Times New Roman"/>
          <w:color w:val="000000" w:themeColor="text1"/>
          <w:sz w:val="16"/>
          <w:szCs w:val="16"/>
        </w:rPr>
        <w:softHyphen/>
        <w:t>чались летные испытания. Ведущим ин</w:t>
      </w:r>
      <w:r w:rsidRPr="007224C3">
        <w:rPr>
          <w:rFonts w:ascii="Times New Roman" w:hAnsi="Times New Roman"/>
          <w:color w:val="000000" w:themeColor="text1"/>
          <w:sz w:val="16"/>
          <w:szCs w:val="16"/>
        </w:rPr>
        <w:softHyphen/>
        <w:t>женером на них являлся B.C. Панкратов, а пилотировал бомбардировщик Н.С. Рыбко (19655).</w:t>
      </w:r>
    </w:p>
    <w:p w14:paraId="6274C944" w14:textId="77777777" w:rsidR="00C04E33" w:rsidRPr="007224C3" w:rsidRDefault="00C04E33" w:rsidP="007224C3">
      <w:pPr>
        <w:spacing w:after="0" w:line="240" w:lineRule="auto"/>
        <w:jc w:val="both"/>
        <w:rPr>
          <w:rFonts w:ascii="Times New Roman" w:hAnsi="Times New Roman"/>
          <w:color w:val="000000" w:themeColor="text1"/>
          <w:sz w:val="16"/>
          <w:szCs w:val="16"/>
        </w:rPr>
      </w:pPr>
    </w:p>
    <w:p w14:paraId="355A2D3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апреля 1944 вышло Постановление ГКО № 5678 О плане производства самолетов и авиамоторов на III квартал 1944 года. РГАНИР, Фонд ГКО, д. 239, лл. 90-94 (11012).</w:t>
      </w:r>
    </w:p>
    <w:p w14:paraId="5F8565F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BA52CB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апреля 1944 вышло Постановление ГКО № 5679 О материально-техническом обеспечении Наркомавиапрома во II квартале 1944 года. РГАНИР, Фонд ГКО, д. 239, лл. 95-101,102-315 (11012).</w:t>
      </w:r>
    </w:p>
    <w:p w14:paraId="2AB1319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AC9124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апреля 1944 вышло постановление ГКО N 5679с о переходе в течение 1944 на выпуск самолетов Пе-2, Ил-2 и Як-9 с фибровыми протектированными баками (1672,78).</w:t>
      </w:r>
    </w:p>
    <w:p w14:paraId="3ECFEBA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681293" w14:textId="77777777" w:rsidR="002867AB" w:rsidRPr="007224C3" w:rsidRDefault="002867AB"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19 апреля 1944 г. по Постановлению ГКО № 5679с на Пе-2 баки из сплава АМЦМЛ заменили фибровыми протектированными, сократив общую их емкость с 1 484 до 1 411 л, зато ввели новую систему нейтрального газа — снова на более эффективном азоте. По приказу НКАП № 386сс от 7 июня 1944 г. завод № 22 должен был обеспечить выпуск 50 % самолетов Пе-2 с неметаллическими баками № 2 и № 3 с 1 августа 1944 г.</w:t>
      </w:r>
    </w:p>
    <w:p w14:paraId="159D67B9" w14:textId="77777777" w:rsidR="002867AB" w:rsidRPr="007224C3" w:rsidRDefault="002867AB"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 1944 г. с 301-й серии усилили фюзеляж в зоне хвостовой опоры шасси, ввели аварийное сбрасывание крышки верхнего люка стрелка-радиста, а откидной козырек в его передней части перенесли на фюзеляж, с 305-й серии начали делать дополнительные люки доступа к трубопроводам в центроплане, а с 306-й усилили моторамы.</w:t>
      </w:r>
    </w:p>
    <w:p w14:paraId="52A0E146" w14:textId="77777777" w:rsidR="002867AB" w:rsidRPr="007224C3" w:rsidRDefault="002867AB"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На серии 327 был внедрен новый бомбардировочный прицел летчика ПБЛ-2, обеспечивший дневное и ночное бомбометание с горизонтального полета на скоростях 280 … 440 км/ч и высотах 400 … 1 400 м без участия штурмана, а также точный выход на боевой курс на удалении от цели, облегчив работу экипажа во время прицеливания. Из сделанных в 1944 г. доработок, направленных на повышение летных данных, можно отметить установку индивидуальных выхлопных патрубков с 354-й серии; общие коллекторы и сдвоенные патрубки продолжали использовать до исчерпания задела, а «сплошь» новая система выхлопа пошла с серии 359.</w:t>
      </w:r>
    </w:p>
    <w:p w14:paraId="00EF15B2" w14:textId="77777777" w:rsidR="002867AB" w:rsidRPr="007224C3" w:rsidRDefault="002867AB"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Большое значение по-прежнему придавалось снижению металлоемкости и улучшению технологичности Пе-2. Так, с серии 400 в стыках фюзеляжа с центропланом перестали ставить ленты перекрытия, устраняя щели подгонкой и заклейкой перкалем, а с 403-й серии антенна радиостанции стала однолучевой.</w:t>
      </w:r>
    </w:p>
    <w:p w14:paraId="6F200A47" w14:textId="77777777" w:rsidR="002867AB" w:rsidRPr="007224C3" w:rsidRDefault="002867AB"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Установка с серии 408 кислородного прибора КП-12 с увеличенной до 10 км максимальной высотой применения вместо КП-3бис носила характер унификации с другими самолетами — старый просто перестали делать.</w:t>
      </w:r>
    </w:p>
    <w:p w14:paraId="3B3743F9" w14:textId="77777777" w:rsidR="002867AB" w:rsidRPr="007224C3" w:rsidRDefault="002867AB"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Серия 411 отличалась удобным креплением неподвижных зализов между фюзеляжем и стабилизатором металлическими лентами на болтах и анкерных гайках.</w:t>
      </w:r>
    </w:p>
    <w:p w14:paraId="52378857" w14:textId="77777777" w:rsidR="002867AB" w:rsidRPr="007224C3" w:rsidRDefault="002867AB"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 1944 г. деревянный хвостовой кок фюзеляжа снова заменили металлическим, а в конце года было внедрено одно из немногочисленных изменений аэродинамики Пе-2 — в производство пошли носки консолей крыла с улучшенной обтекаемостью, отработанные на самолете 14/226 для Пе-2И, который в то время планировался в серию. Это повысило максимальные скорости на 10–15 км/ч, потолок — на 600– 800 м, улучшились посадочные характеристики (22828).</w:t>
      </w:r>
    </w:p>
    <w:p w14:paraId="37764620" w14:textId="77777777" w:rsidR="002867AB" w:rsidRPr="007224C3" w:rsidRDefault="002867AB" w:rsidP="007224C3">
      <w:pPr>
        <w:spacing w:after="0" w:line="240" w:lineRule="auto"/>
        <w:jc w:val="both"/>
        <w:rPr>
          <w:rFonts w:ascii="Times New Roman" w:hAnsi="Times New Roman"/>
          <w:color w:val="0070C0"/>
          <w:sz w:val="16"/>
          <w:szCs w:val="16"/>
        </w:rPr>
      </w:pPr>
    </w:p>
    <w:p w14:paraId="498FBA2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апреля 1944 вышло Постановление ГКО № 5680 О ремонте самолетов, авиационных моторов и материально-техническом обеспечении ВВС КА, АДД, ВВС, ВМФ и ГВФ во II квартале 1944 года. РГАНИР, Фонд ГКО, д. 240, лл. 1-6,7-161 (11012).</w:t>
      </w:r>
    </w:p>
    <w:p w14:paraId="29E4961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15F1E9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АПРЕЛЯ 1944 ГОДА</w:t>
      </w:r>
    </w:p>
    <w:p w14:paraId="7924603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«ОТВЕТЫ ТЕХНИЧЕСКОЙ ЭКСПЕРТИЗЫ ПО ДЕЛУ КОСТИКОВА А. Г. ОТ.</w:t>
      </w:r>
    </w:p>
    <w:p w14:paraId="038BF90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Состав экспертизы комиссии.</w:t>
      </w:r>
    </w:p>
    <w:p w14:paraId="2BDD02F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Председатель, Чесалов Александр Васильевич, заслуженный деятель науки и техники, профессор, кандидат технических наук, начальник летно-технического института...</w:t>
      </w:r>
    </w:p>
    <w:p w14:paraId="58C7A8E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Члены: Христианович Сергей Алексеевич, академик, начальник лаборатории № 2 ЦАГИ </w:t>
      </w:r>
      <w:r w:rsidRPr="007224C3">
        <w:rPr>
          <w:rFonts w:ascii="Times New Roman" w:hAnsi="Times New Roman"/>
          <w:color w:val="000000" w:themeColor="text1"/>
          <w:sz w:val="16"/>
          <w:szCs w:val="16"/>
          <w:vertAlign w:val="superscript"/>
        </w:rPr>
        <w:t>4</w:t>
      </w:r>
      <w:r w:rsidRPr="007224C3">
        <w:rPr>
          <w:rFonts w:ascii="Times New Roman" w:hAnsi="Times New Roman"/>
          <w:color w:val="000000" w:themeColor="text1"/>
          <w:sz w:val="16"/>
          <w:szCs w:val="16"/>
        </w:rPr>
        <w:t>;</w:t>
      </w:r>
    </w:p>
    <w:p w14:paraId="7EA68FD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Ушаков Константин Андреевич, заслуженный деятель науки и техники, профессор, доктор технических наук, начальник отдела № 3, лаборатории № 1 ЦАГИ;</w:t>
      </w:r>
    </w:p>
    <w:p w14:paraId="56E8E54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Левин Лев Михайлович, заместитель начальника отдела вооружения лаборатории № 2 ЦАГИ...</w:t>
      </w:r>
    </w:p>
    <w:p w14:paraId="3FAFA04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ВОПРОС четвертый:</w:t>
      </w:r>
    </w:p>
    <w:p w14:paraId="4FA5212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являются ли КОСТИКОВ, ГВАЙ И AБOРЕНКОВ авторами М-8, М-13 и пусковых устройств к ним? </w:t>
      </w:r>
      <w:r w:rsidRPr="007224C3">
        <w:rPr>
          <w:rFonts w:ascii="Times New Roman" w:hAnsi="Times New Roman"/>
          <w:color w:val="000000" w:themeColor="text1"/>
          <w:sz w:val="16"/>
          <w:szCs w:val="16"/>
          <w:vertAlign w:val="superscript"/>
        </w:rPr>
        <w:t>5</w:t>
      </w:r>
    </w:p>
    <w:p w14:paraId="0CF4DE8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ОТВЕТ: Костиков, Гвай и Аборенков не могут считаться авторами М-8, М-13 и пусковых устройств к ним.</w:t>
      </w:r>
    </w:p>
    <w:p w14:paraId="290AD92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Снаряд М-8 отличается незначительными видоизменениями от снаряда PC-82, разработанного в НИИ-3 в период 1934— 1937 гг.</w:t>
      </w:r>
    </w:p>
    <w:p w14:paraId="203AB39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Снаряд М-13 является развитием снаряда РС-132, разработанного в НИИ-3 в 1937—1938 гг.</w:t>
      </w:r>
    </w:p>
    <w:p w14:paraId="0709A28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разработке снарядов РС-82 и РС-132, представлявших собой оригинальную конструкцию, Костиков, Гвай и Аборенков никакого отношения не имели.</w:t>
      </w:r>
    </w:p>
    <w:p w14:paraId="17AD88C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 рациональности установки пусковых устройств PC на легкие боевые машины, в частности на автомашины, указано, например, в книге «Ракеты, их устройство и применение» (ЛАНГЕМАК Г. Э. и ГЛУШКО В. П. ОНТИ, 1935 год, с. 119).</w:t>
      </w:r>
    </w:p>
    <w:p w14:paraId="77655C2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Таким образом, идея создания машинной установки для ведения массированного огня реактивными снарядами не может быть приписана Костикову, Гваю и Аборенкову...</w:t>
      </w:r>
    </w:p>
    <w:p w14:paraId="068C91B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Подписали: Чесалов, Христианович, Ушаков, Левин» (11912).</w:t>
      </w:r>
    </w:p>
    <w:p w14:paraId="59BFF69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46322FF" w14:textId="77777777" w:rsidR="00C04E33" w:rsidRPr="007224C3" w:rsidRDefault="00C04E3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апреля 1944</w:t>
      </w:r>
    </w:p>
    <w:p w14:paraId="5A424FF3" w14:textId="77777777" w:rsidR="00C04E33" w:rsidRPr="007224C3" w:rsidRDefault="00C04E3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«ОТВЕТЫ ТЕХНИЧЕСКОЙ ЭКСПЕРТИЗЫ ПО ДЕЛУ КОСТИКОВА А. Г. ОТ 19 АПРЕЛЯ 1944 ГОДА.</w:t>
      </w:r>
    </w:p>
    <w:p w14:paraId="3D0209C6" w14:textId="77777777" w:rsidR="00C04E33" w:rsidRPr="007224C3" w:rsidRDefault="00C04E3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Состав экспертизы комиссии.</w:t>
      </w:r>
    </w:p>
    <w:p w14:paraId="123DCB5F" w14:textId="77777777" w:rsidR="00C04E33" w:rsidRPr="007224C3" w:rsidRDefault="00C04E3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Председатель, Чесалов Александр Васильевич, заслуженный деятель науки и техники, профессор, кандидат технических наук, начальник летно-технического института...</w:t>
      </w:r>
    </w:p>
    <w:p w14:paraId="67AFB834" w14:textId="77777777" w:rsidR="00C04E33" w:rsidRPr="007224C3" w:rsidRDefault="00C04E3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Члены: Христианович Сергей Алексеевич, академик, начальник лаборатории № 2 ЦАГИ 4; Ушаков Константин Андреевич, заслуженный деятель науки и техники, профессор, доктор технических наук, начальник отдела № 3, лаборатории № 1 ЦАГИ;  Левин Лев Михайлович, заместитель начальника отдела вооружения лаборатории № 2 ЦАГИ...</w:t>
      </w:r>
    </w:p>
    <w:p w14:paraId="5B3A81AC" w14:textId="77777777" w:rsidR="00C04E33" w:rsidRPr="007224C3" w:rsidRDefault="00C04E3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ВОПРОС четвертый: являются ли КОСТИКОВ, ГВАЙ И AБOРЕНКОВ авторами М-8, М-13 и пусковых устройств к ним?</w:t>
      </w:r>
    </w:p>
    <w:p w14:paraId="6E8D9B11" w14:textId="77777777" w:rsidR="00C04E33" w:rsidRPr="007224C3" w:rsidRDefault="00C04E3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ОТВЕТ: Костиков, Гвай и Аборенков не могут считаться авторами М-8, М-13 и пусковых устройств к ним.</w:t>
      </w:r>
    </w:p>
    <w:p w14:paraId="4982D77B" w14:textId="77777777" w:rsidR="00C04E33" w:rsidRPr="007224C3" w:rsidRDefault="00C04E3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Снаряд М-8 отличается незначительными видоизменениями от снаряда PC-82, разработанного в НИИ-3 в период 1934— 1937 гг.</w:t>
      </w:r>
    </w:p>
    <w:p w14:paraId="3B9170B6" w14:textId="77777777" w:rsidR="00C04E33" w:rsidRPr="007224C3" w:rsidRDefault="00C04E3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Снаряд М-13 является развитием снаряда РС-132, разработанного в НИИ-3 в 1937—1938 гг.</w:t>
      </w:r>
    </w:p>
    <w:p w14:paraId="559DC697" w14:textId="77777777" w:rsidR="00C04E33" w:rsidRPr="007224C3" w:rsidRDefault="00C04E3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разработке снарядов РС-82 и РС-132, представлявших собой оригинальную конструкцию, Костиков, Гвай и Аборенков никакого отношения не имели.</w:t>
      </w:r>
    </w:p>
    <w:p w14:paraId="20D86BD8" w14:textId="77777777" w:rsidR="00C04E33" w:rsidRPr="007224C3" w:rsidRDefault="00C04E3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 рациональности установки пусковых устройств PC на легкие боевые машины, в частности на автомашины, указано, например, в книге «Ракеты, их устройство и применение» (ЛАНГЕМАК Г. Э. и ГЛУШКО В. П. ОНТИ, 1935 год, с. 119).</w:t>
      </w:r>
    </w:p>
    <w:p w14:paraId="29AE00E8" w14:textId="77777777" w:rsidR="00C04E33" w:rsidRPr="007224C3" w:rsidRDefault="00C04E3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Таким образом, идея создания машинной установки для ведения массированного огня </w:t>
      </w:r>
      <w:bookmarkStart w:id="28" w:name="YANDEX_2"/>
      <w:bookmarkEnd w:id="28"/>
      <w:r w:rsidRPr="007224C3">
        <w:rPr>
          <w:rFonts w:ascii="Times New Roman" w:hAnsi="Times New Roman"/>
          <w:color w:val="000000" w:themeColor="text1"/>
          <w:sz w:val="16"/>
          <w:szCs w:val="16"/>
        </w:rPr>
        <w:t> реактивными  снарядами не может быть приписана Костикову, Гваю и Аборенкову...</w:t>
      </w:r>
    </w:p>
    <w:p w14:paraId="13658A0B" w14:textId="77777777" w:rsidR="00C04E33" w:rsidRPr="007224C3" w:rsidRDefault="00C04E3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Подписали: Чесалов, Христианович, Ушаков, Левин»." (19116).</w:t>
      </w:r>
    </w:p>
    <w:p w14:paraId="396D7F98" w14:textId="77777777" w:rsidR="00C04E33" w:rsidRPr="007224C3" w:rsidRDefault="00C04E33" w:rsidP="007224C3">
      <w:pPr>
        <w:spacing w:after="0" w:line="240" w:lineRule="auto"/>
        <w:jc w:val="both"/>
        <w:rPr>
          <w:rFonts w:ascii="Times New Roman" w:hAnsi="Times New Roman"/>
          <w:color w:val="000000" w:themeColor="text1"/>
          <w:sz w:val="16"/>
          <w:szCs w:val="16"/>
        </w:rPr>
      </w:pPr>
    </w:p>
    <w:p w14:paraId="23E7681E"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7F9210D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19D5FC0" w14:textId="77777777" w:rsidR="000F02F6"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апреля 1944 вышло Постановление ГКО № 5681 О производстве снарядов М-31 и М-13 улучшенной кучности. РГАНИР, Фонд ГКО, д. 240, лл. 162-163,164-174 (11012).</w:t>
      </w:r>
    </w:p>
    <w:p w14:paraId="2D6F1999" w14:textId="77777777" w:rsidR="000F02F6" w:rsidRPr="007224C3" w:rsidRDefault="000F02F6" w:rsidP="007224C3">
      <w:pPr>
        <w:autoSpaceDE w:val="0"/>
        <w:autoSpaceDN w:val="0"/>
        <w:adjustRightInd w:val="0"/>
        <w:spacing w:after="0" w:line="240" w:lineRule="auto"/>
        <w:jc w:val="both"/>
        <w:rPr>
          <w:rFonts w:ascii="Times New Roman" w:hAnsi="Times New Roman"/>
          <w:color w:val="000000" w:themeColor="text1"/>
          <w:sz w:val="16"/>
          <w:szCs w:val="16"/>
        </w:rPr>
      </w:pPr>
    </w:p>
    <w:p w14:paraId="1A35DC0D" w14:textId="77777777" w:rsidR="00137373" w:rsidRPr="007224C3" w:rsidRDefault="00137373"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апреля 1944 г.  ГОСУДАРСТВЕННЫЙ КОМИТЕТ ОБОРОНЫ ПОСТАНОВЛЕНИЕ № ГКО-5681сс</w:t>
      </w:r>
    </w:p>
    <w:p w14:paraId="1F478D8E"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Москва, Кремль </w:t>
      </w:r>
    </w:p>
    <w:p w14:paraId="170E4838"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 производстве снарядов М-31 и М-13 улучшенной кучности</w:t>
      </w:r>
    </w:p>
    <w:p w14:paraId="19F558B3"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1. Принять к сведению сообщение НКО (т.т. Воронова, Яковлева, Дегтярева и Гайдукова) и НКБ (т. Ванникова), что проведенные ими 22 марта 1944 года испытания реактивных снарядов М-31 и М-13 с внесенными конструктивными улучшениями, предложенными т.т. Христиановичем С.А. и Шором Я.Б.: </w:t>
      </w:r>
    </w:p>
    <w:p w14:paraId="74588206"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снаряда М-31 с дополнительными 4-мя радиально расположенными насадками, суженным критическим сечением сопла и крыльями стабилизатора, расположенными под углом 2.5</w:t>
      </w:r>
      <w:r w:rsidRPr="007224C3">
        <w:rPr>
          <w:rFonts w:ascii="Times New Roman" w:hAnsi="Times New Roman"/>
          <w:color w:val="000000" w:themeColor="text1"/>
          <w:sz w:val="16"/>
          <w:szCs w:val="16"/>
          <w:vertAlign w:val="superscript"/>
        </w:rPr>
        <w:t>о</w:t>
      </w:r>
      <w:r w:rsidRPr="007224C3">
        <w:rPr>
          <w:rFonts w:ascii="Times New Roman" w:hAnsi="Times New Roman"/>
          <w:color w:val="000000" w:themeColor="text1"/>
          <w:sz w:val="16"/>
          <w:szCs w:val="16"/>
        </w:rPr>
        <w:t xml:space="preserve">; </w:t>
      </w:r>
    </w:p>
    <w:p w14:paraId="02810676"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б) снаряда М-13 с 12-тью тангенциально расположенными отверстиями и суженным критическим сечением сопла, </w:t>
      </w:r>
    </w:p>
    <w:p w14:paraId="2AE18E19"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а также проведенные широкие полигонные испытания показали следующие результаты: </w:t>
      </w:r>
    </w:p>
    <w:p w14:paraId="2A151586"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для снаряда М-31 улучшенной кучности (М-31-УК) - </w:t>
      </w:r>
    </w:p>
    <w:p w14:paraId="05E78841"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дальность стрельбы - 4000 метров, </w:t>
      </w:r>
    </w:p>
    <w:p w14:paraId="1E62DF89"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рассеивание по дальности ВД/х - 1/76, </w:t>
      </w:r>
    </w:p>
    <w:p w14:paraId="52264DE8"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рассеивание в боковом направлении Вб/х - 1/56; </w:t>
      </w:r>
    </w:p>
    <w:p w14:paraId="22878D88"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для снаряда М-13 улучшенной кучности (М-13-УК) - </w:t>
      </w:r>
    </w:p>
    <w:p w14:paraId="454D627D"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дальность стрельбы - 79 метров, </w:t>
      </w:r>
    </w:p>
    <w:p w14:paraId="44C82535"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рассеивание по дальности ВД/х - 1/104, </w:t>
      </w:r>
    </w:p>
    <w:p w14:paraId="4D484D40"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рассеивание в боковом направлении Вб/х - 1/84. </w:t>
      </w:r>
    </w:p>
    <w:p w14:paraId="69C878C6"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2. Разрешить НКБ (т. Ванникову) и ГУВГМЧ (т. Дегтяреву) изготавливать и принимать реактивные снаряды М-31 и М-13 с внесенными т.т. Христиановичем и Шором конструктивными улучшениями. </w:t>
      </w:r>
    </w:p>
    <w:p w14:paraId="4ACE2CAE"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3. Обязать НКБ (т. Ванникова) и ГУВГМЧ (т. Дегтярева) на основе данных отстрела валовых производственных партий II квартала установить технические условия на приемку снарядов М-31-УК и М-13-УК по кучности. </w:t>
      </w:r>
    </w:p>
    <w:p w14:paraId="6294E680"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4. обязать Наркомбоеприпасов (т. Ванникова) снарядить и сдать НКО во II квартале 1944 года (в счет плана по снарядам М-31 и М-13): </w:t>
      </w:r>
    </w:p>
    <w:p w14:paraId="055BADCC"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а) снарядов М-31-УК - 68 тыс., в том числе в апреле - 8 тыс., мае 25 тыс. и июне 35 тысяч; </w:t>
      </w:r>
    </w:p>
    <w:p w14:paraId="292710CD"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б) снарядов М-13-УК - 165 тыс., в том числе в апреле - 20 тыс., мае 45 тыс. и июне 100 тысяч. </w:t>
      </w:r>
    </w:p>
    <w:p w14:paraId="5ABC49F5" w14:textId="77777777" w:rsidR="000F02F6"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Утвердить мероприятия по обеспечению производства снарядов М-31-УК и М-13-УК (приложение № 1).</w:t>
      </w:r>
    </w:p>
    <w:p w14:paraId="046E32C5" w14:textId="77777777" w:rsidR="000F02F6"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ПРЕДСЕДАТЕЛЬ ГОСУДАРСТВЕННОГО</w:t>
      </w:r>
    </w:p>
    <w:p w14:paraId="129E5F39"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КОМИТЕТА ОБОРОНЫ И. СТАЛИН </w:t>
      </w:r>
    </w:p>
    <w:p w14:paraId="60B7D543"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Выписки посланы: </w:t>
      </w:r>
    </w:p>
    <w:p w14:paraId="077D5717"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т.т. Молотову, Маленкову, Берия, Воронову, Ванникову, Шахурину, Яковлеву, Дегтяреву, Гайдукову - все; </w:t>
      </w:r>
    </w:p>
    <w:p w14:paraId="6E82C879"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Вознесенскому, Чадаеву, Борисову, Жукову - п. 4, 5 (12640).</w:t>
      </w:r>
    </w:p>
    <w:p w14:paraId="2A51AFDC" w14:textId="77777777" w:rsidR="00137373" w:rsidRPr="007224C3" w:rsidRDefault="00137373" w:rsidP="007224C3">
      <w:pPr>
        <w:autoSpaceDE w:val="0"/>
        <w:autoSpaceDN w:val="0"/>
        <w:adjustRightInd w:val="0"/>
        <w:spacing w:after="0" w:line="240" w:lineRule="auto"/>
        <w:jc w:val="both"/>
        <w:rPr>
          <w:rFonts w:ascii="Times New Roman" w:hAnsi="Times New Roman"/>
          <w:color w:val="000000" w:themeColor="text1"/>
          <w:sz w:val="16"/>
          <w:szCs w:val="16"/>
        </w:rPr>
      </w:pPr>
    </w:p>
    <w:p w14:paraId="1AD465F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апреля 1944 вышло Постановление ГКО № 5682 О т.т. Рудакове М.В., Яшечкине Ф.В. и Лобачеве А.А. РГАНИР, Фонд ГКО, д. 240, лл. 175 (11012).</w:t>
      </w:r>
    </w:p>
    <w:p w14:paraId="61585C7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5DF3F3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апреля 1944 вышло Распоряжение ГКО. № 5683 О мерах по обеспечению производства спецукупорки 120 мм мин, снарядов М-13, М-31 в апреле-мае 1944 г. на Карачаровском комбинате НКПСМ СССР. РГАНИР, Фонд ГКО, д. 240, лл. 176-177 (11012).</w:t>
      </w:r>
    </w:p>
    <w:p w14:paraId="30898EA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8327CCE"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апреля 1944 вышло Распоряжение ГКО № 5684 [Об организации базы по ремонту паровозов предприятий НКЧМ.] (7218, 178).</w:t>
      </w:r>
    </w:p>
    <w:p w14:paraId="33EAA009"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B0A51C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апреля 1944 вышло Постановление ГКО № 5685 О производстве и поставке во II квартале 1944 года ветеринарному управлению Красной Армии конских противохимических пакетов. РГАНИР, Фонд ГКО, д. 240, лл. 179-180,181 (11012).</w:t>
      </w:r>
    </w:p>
    <w:p w14:paraId="65EF6D2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D3C07D4"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апреля 1944 вышло Постановление ГКО № 5686 Об обеспечении угольной и горнорудной промышленности крепежным лесом и железных дорог дровами в период с апреля до 1 октября 1944 г. (7219, 1-16,17-48).</w:t>
      </w:r>
    </w:p>
    <w:p w14:paraId="7305177F"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56347EB" w14:textId="77777777" w:rsidR="00783151" w:rsidRPr="007224C3" w:rsidRDefault="0078315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апреля 1944 г. заместитель начальника ЦАГИ Остославский подписал приказ за № 111: «В течение 1943 г. и 1944 г. 4 лабораторией ЦАГИ по инициативе и под руководством проф. К. К. Федяевского выполнена большая экспериментальная и теоретическая работа по улучшению ходовых качеств кораблей существующих типов. В заключении НТК НК ВМФ этой работе дается высокая оценка и указывается, что работа «представляет большой практический и научный интерес для отечественного кораблестроения». За проведение указанной работы объявляю благодарность и премирую Федяевского К. К., Бешеля А. Р., Фомину Н. Н., Авдонину В. И., Курятникову П. Е. месячным окладом каждого» (19727).</w:t>
      </w:r>
    </w:p>
    <w:p w14:paraId="6CCAC1AF" w14:textId="77777777" w:rsidR="00783151" w:rsidRPr="007224C3" w:rsidRDefault="00783151" w:rsidP="007224C3">
      <w:pPr>
        <w:spacing w:after="0" w:line="240" w:lineRule="auto"/>
        <w:jc w:val="both"/>
        <w:rPr>
          <w:rFonts w:ascii="Times New Roman" w:hAnsi="Times New Roman"/>
          <w:color w:val="000000" w:themeColor="text1"/>
          <w:sz w:val="16"/>
          <w:szCs w:val="16"/>
        </w:rPr>
      </w:pPr>
    </w:p>
    <w:p w14:paraId="39754312" w14:textId="77777777" w:rsidR="000F02F6"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629AE3FA" w14:textId="77777777" w:rsidR="000F02F6" w:rsidRPr="007224C3" w:rsidRDefault="000F02F6"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B28D0E0" w14:textId="77777777" w:rsidR="000F02F6" w:rsidRPr="007224C3" w:rsidRDefault="000F02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апреля в 1944 году оперативная сводка Совинформбюро:</w:t>
      </w:r>
    </w:p>
    <w:p w14:paraId="17E20029" w14:textId="77777777" w:rsidR="000F02F6" w:rsidRPr="007224C3" w:rsidRDefault="000F02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19 апреля к востоку и югу от города Станислав наши войска вели упорные бои с противником, отбивая атаки крупных сил пехоты и танков.</w:t>
      </w:r>
    </w:p>
    <w:p w14:paraId="542CF631" w14:textId="77777777" w:rsidR="000F02F6" w:rsidRPr="007224C3" w:rsidRDefault="000F02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Кишинёвском направлении наши войска продолжали вести бои по расширению плацдармов на правом берегу Днестра и улучшили свои позиции.</w:t>
      </w:r>
    </w:p>
    <w:p w14:paraId="5BED92B6" w14:textId="77777777" w:rsidR="000F02F6" w:rsidRPr="007224C3" w:rsidRDefault="000F02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Севастопольском направлении наши войска продолжали вести наступательные бои, в ходе которых выбили противника из нескольких сильно укреплённых опорных пунктов его обороны.</w:t>
      </w:r>
    </w:p>
    <w:p w14:paraId="442232F3" w14:textId="77777777" w:rsidR="000F02F6" w:rsidRPr="007224C3" w:rsidRDefault="000F02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 поиски разведчиков.</w:t>
      </w:r>
    </w:p>
    <w:p w14:paraId="6F095E27" w14:textId="77777777" w:rsidR="000F02F6" w:rsidRPr="007224C3" w:rsidRDefault="000F02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18 апреля наши войска на всех фронтах подбили и уничтожили 17 немецких танков. В воздушных боях и огнём зенитной артиллерии сбито 70 самолётов противника.».</w:t>
      </w:r>
    </w:p>
    <w:p w14:paraId="556E021E" w14:textId="77777777" w:rsidR="000F02F6" w:rsidRPr="007224C3" w:rsidRDefault="000F02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Массированный налёт нашей авиации на железнодорожный узел Львов.</w:t>
      </w:r>
    </w:p>
    <w:p w14:paraId="78540DCA" w14:textId="77777777" w:rsidR="000F02F6" w:rsidRPr="007224C3" w:rsidRDefault="000F02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ночь на 19 апреля наша авиация дальнего действия произвела массированный налёт на железнодорожный узел Львов и бомбардировала скопление эшелонов свойсками и техникой противника. В результате бомбардировки возникло до 40 пожаров: горели эшелоны с вооружением и войсками и цистерны с горючим. Пожары сопровождались сильными взрывами. Наши лётчики, уходя от цели, наблюдали пламя пожаров с расстояния в 150 километров.</w:t>
      </w:r>
    </w:p>
    <w:p w14:paraId="4BA1F6DE" w14:textId="77777777" w:rsidR="000F02F6" w:rsidRPr="007224C3" w:rsidRDefault="000F02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Один наш самолёт не вернулся на свой аэродром.».</w:t>
      </w:r>
    </w:p>
    <w:p w14:paraId="1F887F7D" w14:textId="77777777" w:rsidR="000F02F6" w:rsidRPr="007224C3" w:rsidRDefault="000F02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Восточнее города Станислав крупные силы пехоты и танков противника атаковали наши позиции. Завязался ожесточённый бой, в ходе которого отдельные населённые пункты переходили из рук в руки. Наши пехотинцы, при поддержке артиллеристов и миномётчиков, отбили все атаки противника и истребили до двух батальонов гитлеровцев. Подбиты и сожжены 12 немецких танков и самоходных орудий, 4 бронетранспортёра и 20 автомашин.</w:t>
      </w:r>
    </w:p>
    <w:p w14:paraId="528F93E8" w14:textId="77777777" w:rsidR="000F02F6" w:rsidRPr="007224C3" w:rsidRDefault="000F02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Группа лётчиков-истребителей под командованием Героя Советского Союза гвардии майора Ворожейкина прикрывала боевые порядки наших войск. В это время появилась большая группа немецких бомбардировщиков и истребителей. Гвардии майор Ворожейкин во главе ударной группы атаковал бомбардировщиков, а лейтенант Лазарев завязал бой с истребителями противника. Наши лётчики сбили 6 немецких самолётов. Всего в течение дня в этом районе в воздушных боях было сбито 13 самолётов противника.</w:t>
      </w:r>
    </w:p>
    <w:p w14:paraId="692A1FA5" w14:textId="77777777" w:rsidR="000F02F6" w:rsidRPr="007224C3" w:rsidRDefault="000F02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Кишинёвском направлении части Н-ского соединения вели бои по расширению плацдармов на правом берегу Днестра. Преодолевая упорное сопротивление противника и отражая его контратаки, наши бойцы продвинулись вперёд и занялинесколько населённых пунктов. Попытки немцев восстановить положение закончились неудачей. На поле боя осталось свыше 800 вражеских трупов. Захвачено у немцев два самоходных и 5 противотанковых орудий, 20 пулемётов, 6 миномётов и склад боеприпасов. Взяты пленные.</w:t>
      </w:r>
    </w:p>
    <w:p w14:paraId="100CDA28" w14:textId="77777777" w:rsidR="000F02F6" w:rsidRPr="007224C3" w:rsidRDefault="000F02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Севастопольском направлении наши войска продолжали вести наступательные бои. Противник, прижатый к морю, оказывает ожесточённое сопротивление. Советская артиллерия обстреливает позиции, оставшиеся в руках немцев. В районе шоссейной дороги Севастополь-Симферополь гитлеровцы во второй половине дня предприняли несколько контратак, поддержанных авиацией. Советские части отбросили немцев на исходные позиции, захватив при этом много пленных. На других участках наши штурмовые отряды с приданными им полевыми и самоходными орудиями, настойчиво продвигаясь вперёд, обходят вражеские узлы сопротивления, а затем решительными ударами ликвидируют их. Особенно упорная борьба происходила за Федюхины высоты. Наши бойцы вышли во фланг этих важных позиций врага и решительной атакой овладели ими. На поле боя осталось много вражеских трупов. Другие наши части удачным манёвром обошли с юга гору Сахарная Головка, прикрывающую вход в Инкерманскую долину. Перебежчики и пленные сообщают, что по приказу немецкого командования румынам, занимающим оборону, запрещено выходить из окопов. При малейшей попытке румын покинуть окопы их расстреливают немецкие автоматчики.</w:t>
      </w:r>
    </w:p>
    <w:p w14:paraId="5819E282" w14:textId="77777777" w:rsidR="000F02F6" w:rsidRPr="007224C3" w:rsidRDefault="000F02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Противник пытается вывезти морем и на самолётах остатки офицерского состава разгромленной крымской группировки. Советская авиация днём и ночью наносит удары по плавсредствам противника в порту Севастополь. Корабли и баржи, которым удаётся выбраться из порта, настигаются в открытом море. Ночью одна группа советских самолётов потопила 4 самоходные баржи и один катер противника. Другая группа наших самолётов пустила ко дну транспорт водоизмещением в 3.000 тонн.</w:t>
      </w:r>
    </w:p>
    <w:p w14:paraId="741374FB" w14:textId="77777777" w:rsidR="000F02F6" w:rsidRPr="007224C3" w:rsidRDefault="000F02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Советские лётчики-штурмовики атаковали аэродром на мысе Херсонес и сожгли на земле 10 транспортных немецких самолётов. В воздушных боях и огнём зенитной артиллерии сбито 17 немецких истребителей.</w:t>
      </w:r>
    </w:p>
    <w:p w14:paraId="297BC6A2" w14:textId="77777777" w:rsidR="000F02F6" w:rsidRPr="007224C3" w:rsidRDefault="000F02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Авиация Черноморского флота наносила бомбово-штурмовые удары по транспортам противника на коммуникациях Севастополь-Констанца. Наши лётчики потопили транспорт водоизмещением в 4.000 тонн и сторожевой катер противника. Один крупный транспорт подожжён. Кроме того, повреждены два немецких транспорта общим водоизмещением в 5.000 тонн.</w:t>
      </w:r>
    </w:p>
    <w:p w14:paraId="0C7FFBAA" w14:textId="77777777" w:rsidR="000F02F6" w:rsidRPr="007224C3" w:rsidRDefault="000F02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Торпедные катеры Черноморского флота, действующие на подходах к Севастополю, ночью обнаружили четыре сторожевых катера и быстроходную десантную баржу. Завязав бой, наши торпедные катеры потопили быстроходную десантную баржу противника.</w:t>
      </w:r>
    </w:p>
    <w:p w14:paraId="24E64ED3" w14:textId="77777777" w:rsidR="000F02F6" w:rsidRPr="007224C3" w:rsidRDefault="000F02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Партизанские отряды, действующие в Барановичской области, за две недели разгромили несколько немецко-полицейских гарнизонов и карательных групп, грабивших местное население. В результате этих операций убито более 400 гитлеровцев. Захвачены у немцев 34 пулемёта, 4 миномёта, 330 винтовок, 70 тысяч патронов и другие трофеи. Группа белостокских партизан остановила на перегоне железнодорожный эшелон противника. Советские патриоты уничтожили паровоз, 20 вагонов и, кроме того, взорвали более 300 рельсов. Движение поездов на этом участке было прервано на несколько суток.</w:t>
      </w:r>
    </w:p>
    <w:p w14:paraId="326AB29F" w14:textId="77777777" w:rsidR="000F02F6" w:rsidRPr="007224C3" w:rsidRDefault="000F02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Пленный командир взвода 5 роты тяжёлых миномётов 2 румынской горнострелковой дивизии лейтенант Мурешану рассказал: «Наша рота 13 апреля прибыла в Судак. Там скопилось много немцев и румын. Немцы грузились на баржи. Как только три баржи, переполненные солдатами, отчалили от берега, налетели русские штурмовики. На наших глазах все три баржи пошли ко дну. После этого румынские солдаты, находившиеся в порту и видевшие гибель немцев, категорически отказались садиться на суда. На причалах поднялась невообразимая суматоха. Приказы офицеров не выполнялись. Между немцами и румынами произошли кровавые стычки. Немцы также прекратили погрузку. Они бросили вооружение и военное имущество и удрали по направлению к Алуште. Когда я вернулся в свою роту, меня окружили 300 солдат из разных подразделений и заявили, что они решили сложить оружие. Я также вместе с ними сдался в плен русским».</w:t>
      </w:r>
    </w:p>
    <w:p w14:paraId="4253398E" w14:textId="77777777" w:rsidR="000F02F6" w:rsidRPr="007224C3" w:rsidRDefault="000F02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Жители села Воробьёвка, Каменец-Подольской области, составили акт о зверствах немецко-фашистских мерзавцев. В акте говорится: «Немецкие людоеды разорили и опустошили наше село. До войны в Воробьёвке насчитывалось полторы тысячи жителей. Сейчас осталось не более ста человек. Многих наших односельчан гитлеровцы насильно угнали на каторгу в Германию, замучили и расстреляли. В январе этого года немцы выгнали на улицу жителей села и объявили, что всех сегодня же эвакуируют в тыл. Фашистские изверги повели собравшихся граждан на кладбище и там их расстреляли. Чтобы скрыть следы своих кровавых злодеяний, немцы облили трупы бензином и сожгли их».</w:t>
      </w:r>
    </w:p>
    <w:p w14:paraId="0DD3D47B" w14:textId="77777777" w:rsidR="000F02F6" w:rsidRPr="007224C3" w:rsidRDefault="000F02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Акт подписали колхозники: Максим Кузьмич, Николай Янчук, Ольга Семенчук, Анна Семенчук и другие.» (15104).</w:t>
      </w:r>
    </w:p>
    <w:p w14:paraId="128B28A3" w14:textId="77777777" w:rsidR="000F02F6" w:rsidRPr="007224C3" w:rsidRDefault="000F02F6" w:rsidP="007224C3">
      <w:pPr>
        <w:spacing w:after="0" w:line="240" w:lineRule="auto"/>
        <w:jc w:val="both"/>
        <w:rPr>
          <w:rFonts w:ascii="Times New Roman" w:hAnsi="Times New Roman"/>
          <w:color w:val="000000" w:themeColor="text1"/>
          <w:sz w:val="16"/>
          <w:szCs w:val="16"/>
        </w:rPr>
      </w:pPr>
    </w:p>
    <w:p w14:paraId="67AE77AF" w14:textId="77777777" w:rsidR="002867AB" w:rsidRPr="007224C3" w:rsidRDefault="002867AB" w:rsidP="007224C3">
      <w:pPr>
        <w:pStyle w:val="36"/>
        <w:shd w:val="clear" w:color="auto" w:fill="auto"/>
        <w:spacing w:after="0" w:line="240" w:lineRule="auto"/>
        <w:jc w:val="both"/>
        <w:rPr>
          <w:rFonts w:ascii="Times New Roman" w:cs="Times New Roman"/>
          <w:color w:val="0070C0"/>
          <w:spacing w:val="0"/>
          <w:sz w:val="16"/>
          <w:szCs w:val="16"/>
        </w:rPr>
      </w:pPr>
      <w:r w:rsidRPr="007224C3">
        <w:rPr>
          <w:rFonts w:ascii="Times New Roman" w:cs="Times New Roman"/>
          <w:color w:val="0070C0"/>
          <w:spacing w:val="0"/>
          <w:sz w:val="16"/>
          <w:szCs w:val="16"/>
        </w:rPr>
        <w:t>С 19 апреля по 15 мая 1944 г. против флота на Черном море Ил-2 1045 боевых вылетов. Среди потопленных самостоятельно либо совместно с другими си</w:t>
      </w:r>
      <w:r w:rsidRPr="007224C3">
        <w:rPr>
          <w:rFonts w:ascii="Times New Roman" w:cs="Times New Roman"/>
          <w:color w:val="0070C0"/>
          <w:spacing w:val="0"/>
          <w:sz w:val="16"/>
          <w:szCs w:val="16"/>
        </w:rPr>
        <w:softHyphen/>
        <w:t>лами оказались крупнейшие на ТВД теплоходы «оси» «Тотила» и «Тея», которые привлекались для эвакуации с полуострова сил вермахта. «Тотилу» поначалу неудачно атаковали девять Ил-2 из 47-го ШАП. Их сменила восьмерка из 8-го ГвШАП, которая вса</w:t>
      </w:r>
      <w:r w:rsidRPr="007224C3">
        <w:rPr>
          <w:rFonts w:ascii="Times New Roman" w:cs="Times New Roman"/>
          <w:color w:val="0070C0"/>
          <w:spacing w:val="0"/>
          <w:sz w:val="16"/>
          <w:szCs w:val="16"/>
        </w:rPr>
        <w:softHyphen/>
        <w:t>дила три ФАБ-100 в теплоход. Затем уже тонувшее судно доби</w:t>
      </w:r>
      <w:r w:rsidRPr="007224C3">
        <w:rPr>
          <w:rFonts w:ascii="Times New Roman" w:cs="Times New Roman"/>
          <w:color w:val="0070C0"/>
          <w:spacing w:val="0"/>
          <w:sz w:val="16"/>
          <w:szCs w:val="16"/>
        </w:rPr>
        <w:softHyphen/>
        <w:t>ли прибывшие к месту разгрома тринадцать Ил-2. По «Тее» штурмовики произвели лишь одну, первую, атаку, угодив по теп</w:t>
      </w:r>
      <w:r w:rsidRPr="007224C3">
        <w:rPr>
          <w:rFonts w:ascii="Times New Roman" w:cs="Times New Roman"/>
          <w:color w:val="0070C0"/>
          <w:spacing w:val="0"/>
          <w:sz w:val="16"/>
          <w:szCs w:val="16"/>
        </w:rPr>
        <w:softHyphen/>
        <w:t>лоходу «соткой». Дальше его добивали «Бостоны» и «пешки». Успех стоил «горбатым» четырех поврежденных машин.</w:t>
      </w:r>
    </w:p>
    <w:p w14:paraId="2B326EDC" w14:textId="77777777" w:rsidR="002867AB" w:rsidRPr="007224C3" w:rsidRDefault="002867AB" w:rsidP="007224C3">
      <w:pPr>
        <w:pStyle w:val="121"/>
        <w:shd w:val="clear" w:color="auto" w:fill="auto"/>
        <w:spacing w:line="240" w:lineRule="auto"/>
        <w:jc w:val="both"/>
        <w:rPr>
          <w:rFonts w:ascii="Times New Roman" w:hAnsi="Times New Roman" w:cs="Times New Roman"/>
          <w:b w:val="0"/>
          <w:bCs w:val="0"/>
          <w:color w:val="0070C0"/>
          <w:sz w:val="16"/>
          <w:szCs w:val="16"/>
        </w:rPr>
      </w:pPr>
      <w:r w:rsidRPr="007224C3">
        <w:rPr>
          <w:rStyle w:val="120pt"/>
          <w:rFonts w:ascii="Times New Roman" w:hAnsi="Times New Roman" w:cs="Times New Roman"/>
          <w:b w:val="0"/>
          <w:bCs w:val="0"/>
          <w:i w:val="0"/>
          <w:iCs w:val="0"/>
          <w:color w:val="0070C0"/>
          <w:w w:val="100"/>
          <w:sz w:val="16"/>
          <w:szCs w:val="16"/>
        </w:rPr>
        <w:t>Вот как описывает разгром этого конвоя германский исто</w:t>
      </w:r>
      <w:r w:rsidRPr="007224C3">
        <w:rPr>
          <w:rStyle w:val="120pt"/>
          <w:rFonts w:ascii="Times New Roman" w:hAnsi="Times New Roman" w:cs="Times New Roman"/>
          <w:b w:val="0"/>
          <w:bCs w:val="0"/>
          <w:i w:val="0"/>
          <w:iCs w:val="0"/>
          <w:color w:val="0070C0"/>
          <w:w w:val="100"/>
          <w:sz w:val="16"/>
          <w:szCs w:val="16"/>
        </w:rPr>
        <w:softHyphen/>
        <w:t>рик Алекс Бухнер (</w:t>
      </w:r>
      <w:r w:rsidRPr="007224C3">
        <w:rPr>
          <w:rStyle w:val="120pt"/>
          <w:rFonts w:ascii="Times New Roman" w:hAnsi="Times New Roman" w:cs="Times New Roman"/>
          <w:b w:val="0"/>
          <w:bCs w:val="0"/>
          <w:i w:val="0"/>
          <w:iCs w:val="0"/>
          <w:color w:val="0070C0"/>
          <w:w w:val="100"/>
          <w:sz w:val="16"/>
          <w:szCs w:val="16"/>
          <w:lang w:val="en-US"/>
        </w:rPr>
        <w:t>Alex</w:t>
      </w:r>
      <w:r w:rsidRPr="007224C3">
        <w:rPr>
          <w:rStyle w:val="120pt"/>
          <w:rFonts w:ascii="Times New Roman" w:hAnsi="Times New Roman" w:cs="Times New Roman"/>
          <w:b w:val="0"/>
          <w:bCs w:val="0"/>
          <w:i w:val="0"/>
          <w:iCs w:val="0"/>
          <w:color w:val="0070C0"/>
          <w:w w:val="100"/>
          <w:sz w:val="16"/>
          <w:szCs w:val="16"/>
        </w:rPr>
        <w:t xml:space="preserve"> </w:t>
      </w:r>
      <w:r w:rsidRPr="007224C3">
        <w:rPr>
          <w:rStyle w:val="120pt"/>
          <w:rFonts w:ascii="Times New Roman" w:hAnsi="Times New Roman" w:cs="Times New Roman"/>
          <w:b w:val="0"/>
          <w:bCs w:val="0"/>
          <w:i w:val="0"/>
          <w:iCs w:val="0"/>
          <w:color w:val="0070C0"/>
          <w:w w:val="100"/>
          <w:sz w:val="16"/>
          <w:szCs w:val="16"/>
          <w:lang w:val="en-US"/>
        </w:rPr>
        <w:t>Buchner</w:t>
      </w:r>
      <w:r w:rsidRPr="007224C3">
        <w:rPr>
          <w:rStyle w:val="120pt"/>
          <w:rFonts w:ascii="Times New Roman" w:hAnsi="Times New Roman" w:cs="Times New Roman"/>
          <w:b w:val="0"/>
          <w:bCs w:val="0"/>
          <w:i w:val="0"/>
          <w:iCs w:val="0"/>
          <w:color w:val="0070C0"/>
          <w:w w:val="100"/>
          <w:sz w:val="16"/>
          <w:szCs w:val="16"/>
        </w:rPr>
        <w:t>):</w:t>
      </w:r>
      <w:r w:rsidRPr="007224C3">
        <w:rPr>
          <w:rFonts w:ascii="Times New Roman" w:hAnsi="Times New Roman" w:cs="Times New Roman"/>
          <w:b w:val="0"/>
          <w:bCs w:val="0"/>
          <w:color w:val="0070C0"/>
          <w:sz w:val="16"/>
          <w:szCs w:val="16"/>
        </w:rPr>
        <w:t xml:space="preserve"> «Тотила» приняла на борт уже 4 тысячи человек, когда на нее налетели советские штурмовики и бомбардировщики... Ударили корабельные зенитки, выпусти</w:t>
      </w:r>
      <w:r w:rsidRPr="007224C3">
        <w:rPr>
          <w:rFonts w:ascii="Times New Roman" w:hAnsi="Times New Roman" w:cs="Times New Roman"/>
          <w:b w:val="0"/>
          <w:bCs w:val="0"/>
          <w:color w:val="0070C0"/>
          <w:sz w:val="16"/>
          <w:szCs w:val="16"/>
        </w:rPr>
        <w:softHyphen/>
        <w:t xml:space="preserve">ли в небо трассы своих снарядов. В 5.45 в «Тотилу» попали три бомбы, она загорелась и начала тонуть. На борту начался ад. Вода устремилась на нижние палубы, надстройки охватило пламя. Раздавались взрывы бомб. Кто не захлебнулся внутри корабля, не погиб от осколков и огня бортового вооружения или в пожаре, прыгал в воду. Толпы людей облепляли выброшенные спасательные круги и деревянные обломки корабля, пытались отплыть, тонули. В 8.00 «Тотила» утонула. Тральщик </w:t>
      </w:r>
      <w:r w:rsidRPr="007224C3">
        <w:rPr>
          <w:rFonts w:ascii="Times New Roman" w:hAnsi="Times New Roman" w:cs="Times New Roman"/>
          <w:b w:val="0"/>
          <w:bCs w:val="0"/>
          <w:color w:val="0070C0"/>
          <w:sz w:val="16"/>
          <w:szCs w:val="16"/>
          <w:lang w:val="en-US"/>
        </w:rPr>
        <w:t>R</w:t>
      </w:r>
      <w:r w:rsidRPr="007224C3">
        <w:rPr>
          <w:rFonts w:ascii="Times New Roman" w:hAnsi="Times New Roman" w:cs="Times New Roman"/>
          <w:b w:val="0"/>
          <w:bCs w:val="0"/>
          <w:color w:val="0070C0"/>
          <w:sz w:val="16"/>
          <w:szCs w:val="16"/>
        </w:rPr>
        <w:t xml:space="preserve"> 209 ... смог спасти только пару сотен человек».</w:t>
      </w:r>
    </w:p>
    <w:p w14:paraId="48D3B22E" w14:textId="77777777" w:rsidR="002867AB" w:rsidRPr="007224C3" w:rsidRDefault="002867AB" w:rsidP="007224C3">
      <w:pPr>
        <w:pStyle w:val="121"/>
        <w:shd w:val="clear" w:color="auto" w:fill="auto"/>
        <w:spacing w:line="240" w:lineRule="auto"/>
        <w:jc w:val="both"/>
        <w:rPr>
          <w:rFonts w:ascii="Times New Roman" w:hAnsi="Times New Roman" w:cs="Times New Roman"/>
          <w:b w:val="0"/>
          <w:bCs w:val="0"/>
          <w:color w:val="0070C0"/>
          <w:sz w:val="16"/>
          <w:szCs w:val="16"/>
        </w:rPr>
      </w:pPr>
      <w:r w:rsidRPr="007224C3">
        <w:rPr>
          <w:rStyle w:val="120pt"/>
          <w:rFonts w:ascii="Times New Roman" w:hAnsi="Times New Roman" w:cs="Times New Roman"/>
          <w:b w:val="0"/>
          <w:bCs w:val="0"/>
          <w:i w:val="0"/>
          <w:iCs w:val="0"/>
          <w:color w:val="0070C0"/>
          <w:w w:val="100"/>
          <w:sz w:val="16"/>
          <w:szCs w:val="16"/>
        </w:rPr>
        <w:t>Вскоре дошла очередь до «Теи», на бор</w:t>
      </w:r>
      <w:r w:rsidRPr="007224C3">
        <w:rPr>
          <w:rStyle w:val="120pt"/>
          <w:rFonts w:ascii="Times New Roman" w:hAnsi="Times New Roman" w:cs="Times New Roman"/>
          <w:b w:val="0"/>
          <w:bCs w:val="0"/>
          <w:i w:val="0"/>
          <w:iCs w:val="0"/>
          <w:color w:val="0070C0"/>
          <w:w w:val="100"/>
          <w:sz w:val="16"/>
          <w:szCs w:val="16"/>
        </w:rPr>
        <w:softHyphen/>
        <w:t xml:space="preserve">ту которой находилось около 5000 солдат. </w:t>
      </w:r>
      <w:r w:rsidRPr="007224C3">
        <w:rPr>
          <w:rFonts w:ascii="Times New Roman" w:hAnsi="Times New Roman" w:cs="Times New Roman"/>
          <w:b w:val="0"/>
          <w:bCs w:val="0"/>
          <w:color w:val="0070C0"/>
          <w:sz w:val="16"/>
          <w:szCs w:val="16"/>
        </w:rPr>
        <w:t>«Бомбами и авиационными торпедами ко</w:t>
      </w:r>
      <w:r w:rsidRPr="007224C3">
        <w:rPr>
          <w:rFonts w:ascii="Times New Roman" w:hAnsi="Times New Roman" w:cs="Times New Roman"/>
          <w:b w:val="0"/>
          <w:bCs w:val="0"/>
          <w:color w:val="0070C0"/>
          <w:sz w:val="16"/>
          <w:szCs w:val="16"/>
        </w:rPr>
        <w:softHyphen/>
        <w:t>рабль был настолько тяжело поврежден, что затонул в 15 часов в 23 милях юго-западнее Херсонеса. И снова повторились те же кар</w:t>
      </w:r>
      <w:r w:rsidRPr="007224C3">
        <w:rPr>
          <w:rFonts w:ascii="Times New Roman" w:hAnsi="Times New Roman" w:cs="Times New Roman"/>
          <w:b w:val="0"/>
          <w:bCs w:val="0"/>
          <w:color w:val="0070C0"/>
          <w:sz w:val="16"/>
          <w:szCs w:val="16"/>
        </w:rPr>
        <w:softHyphen/>
        <w:t>тины ужаса. Тральщикам удалось взять на борт только около 400 человек... Около 8000 из погрузившихся на оба крупных транспор</w:t>
      </w:r>
      <w:r w:rsidRPr="007224C3">
        <w:rPr>
          <w:rFonts w:ascii="Times New Roman" w:hAnsi="Times New Roman" w:cs="Times New Roman"/>
          <w:b w:val="0"/>
          <w:bCs w:val="0"/>
          <w:color w:val="0070C0"/>
          <w:sz w:val="16"/>
          <w:szCs w:val="16"/>
        </w:rPr>
        <w:softHyphen/>
        <w:t>та солдат утонули в водах Черного моря».</w:t>
      </w:r>
    </w:p>
    <w:p w14:paraId="7C677AC1" w14:textId="77777777" w:rsidR="002867AB" w:rsidRPr="007224C3" w:rsidRDefault="002867AB" w:rsidP="007224C3">
      <w:pPr>
        <w:pStyle w:val="36"/>
        <w:shd w:val="clear" w:color="auto" w:fill="auto"/>
        <w:spacing w:after="0" w:line="240" w:lineRule="auto"/>
        <w:jc w:val="both"/>
        <w:rPr>
          <w:rFonts w:ascii="Times New Roman" w:cs="Times New Roman"/>
          <w:color w:val="0070C0"/>
          <w:spacing w:val="0"/>
          <w:sz w:val="16"/>
          <w:szCs w:val="16"/>
        </w:rPr>
      </w:pPr>
      <w:r w:rsidRPr="007224C3">
        <w:rPr>
          <w:rFonts w:ascii="Times New Roman" w:cs="Times New Roman"/>
          <w:color w:val="0070C0"/>
          <w:spacing w:val="0"/>
          <w:sz w:val="16"/>
          <w:szCs w:val="16"/>
        </w:rPr>
        <w:t>Как видим, штурмовики на морских ТВД добились значительных успехов. И все же их возможности в данной «ипостаси» оставляли желать лучшего из-за малого радиуса дейст</w:t>
      </w:r>
      <w:r w:rsidRPr="007224C3">
        <w:rPr>
          <w:rFonts w:ascii="Times New Roman" w:cs="Times New Roman"/>
          <w:color w:val="0070C0"/>
          <w:spacing w:val="0"/>
          <w:sz w:val="16"/>
          <w:szCs w:val="16"/>
        </w:rPr>
        <w:softHyphen/>
        <w:t>вия, небольшой боевой нагрузки и недоста</w:t>
      </w:r>
      <w:r w:rsidRPr="007224C3">
        <w:rPr>
          <w:rFonts w:ascii="Times New Roman" w:cs="Times New Roman"/>
          <w:color w:val="0070C0"/>
          <w:spacing w:val="0"/>
          <w:sz w:val="16"/>
          <w:szCs w:val="16"/>
        </w:rPr>
        <w:softHyphen/>
        <w:t>точной ее номенклатуры (19854).</w:t>
      </w:r>
    </w:p>
    <w:p w14:paraId="28DD3B78" w14:textId="77777777" w:rsidR="002867AB" w:rsidRPr="007224C3" w:rsidRDefault="002867AB" w:rsidP="007224C3">
      <w:pPr>
        <w:pStyle w:val="100"/>
        <w:shd w:val="clear" w:color="auto" w:fill="auto"/>
        <w:spacing w:before="0" w:line="240" w:lineRule="auto"/>
        <w:ind w:firstLine="0"/>
        <w:rPr>
          <w:rFonts w:ascii="Times New Roman" w:hAnsi="Times New Roman" w:cs="Times New Roman"/>
          <w:color w:val="0070C0"/>
          <w:lang w:val="ru-RU"/>
        </w:rPr>
      </w:pPr>
    </w:p>
    <w:p w14:paraId="7FA2A04C" w14:textId="77777777" w:rsidR="00BD31A2" w:rsidRPr="007224C3" w:rsidRDefault="00BD31A2"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апре</w:t>
      </w:r>
      <w:r w:rsidRPr="007224C3">
        <w:rPr>
          <w:rFonts w:ascii="Times New Roman" w:hAnsi="Times New Roman"/>
          <w:color w:val="000000" w:themeColor="text1"/>
          <w:sz w:val="16"/>
          <w:szCs w:val="16"/>
        </w:rPr>
        <w:softHyphen/>
        <w:t>ля 1944 г. Л-6 в 12-м боевом походе погибла в бою с противолодочным кораблем против</w:t>
      </w:r>
      <w:r w:rsidRPr="007224C3">
        <w:rPr>
          <w:rFonts w:ascii="Times New Roman" w:hAnsi="Times New Roman"/>
          <w:color w:val="000000" w:themeColor="text1"/>
          <w:sz w:val="16"/>
          <w:szCs w:val="16"/>
        </w:rPr>
        <w:softHyphen/>
        <w:t>ника (3898).</w:t>
      </w:r>
    </w:p>
    <w:p w14:paraId="1CEC6E76" w14:textId="77777777" w:rsidR="00BD31A2" w:rsidRPr="007224C3" w:rsidRDefault="00BD31A2"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56593E"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Жизнь и внутренняя политика:</w:t>
      </w:r>
    </w:p>
    <w:p w14:paraId="4CAA781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2CDD8A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апреля 1944 в СССР в соответствии с новым курсом в отношениях с церковью и религиозными конфессиями было принято решение о создании Совета по делам неправославных курсов (Совет по делам РПЦ был создан в сентябре 1943) (3186).</w:t>
      </w:r>
    </w:p>
    <w:p w14:paraId="6DFD77C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E7EEF9" w14:textId="77777777" w:rsidR="000F02F6"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Внешняя политика:</w:t>
      </w:r>
    </w:p>
    <w:p w14:paraId="6FC7816C" w14:textId="77777777" w:rsidR="000F02F6" w:rsidRPr="007224C3" w:rsidRDefault="000F02F6"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3BD0A90" w14:textId="77777777" w:rsidR="000F02F6" w:rsidRPr="007224C3" w:rsidRDefault="000F02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апреля в 1944 году правительство Финляндии отказалось принять советские условия перемирия, сославшись на невозможность их выполнения по техническим причинам (15104).</w:t>
      </w:r>
    </w:p>
    <w:p w14:paraId="164B19BF" w14:textId="77777777" w:rsidR="000F02F6" w:rsidRPr="007224C3" w:rsidRDefault="000F02F6" w:rsidP="007224C3">
      <w:pPr>
        <w:spacing w:after="0" w:line="240" w:lineRule="auto"/>
        <w:jc w:val="both"/>
        <w:rPr>
          <w:rFonts w:ascii="Times New Roman" w:hAnsi="Times New Roman"/>
          <w:color w:val="000000" w:themeColor="text1"/>
          <w:sz w:val="16"/>
          <w:szCs w:val="16"/>
        </w:rPr>
      </w:pPr>
    </w:p>
    <w:p w14:paraId="5A276949" w14:textId="77777777" w:rsidR="000F02F6"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34FEF880" w14:textId="77777777" w:rsidR="000F02F6" w:rsidRPr="007224C3" w:rsidRDefault="000F02F6"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44A0E88" w14:textId="77777777" w:rsidR="002867AB" w:rsidRPr="007224C3" w:rsidRDefault="002867AB"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19 апреля 1944 года взлетел первый экземпляр обновленного «Корсара» под обозначением XF4U-4A. Второй образец, с обозначением F4U-4В, поднялся в воздух 12 июля 1944 года. В конструкцию машины внесли большое количество изменений. Основные — коснулись силовой установки. Скорость полета четвертой модификации достигла 717 км/ч. Существенно обновился состав радиооборудования и вооружения. Истребитель F4U-4 начал поступать в строевые части с 1945 года. До конца войны американцы успели построить 1912 самолетов этой модификации. Большинство «четверок» приняли участие в последних сражениях на Тихоокеанском театре военных действий (22903).</w:t>
      </w:r>
    </w:p>
    <w:p w14:paraId="481C3872" w14:textId="77777777" w:rsidR="002867AB" w:rsidRPr="007224C3" w:rsidRDefault="002867AB" w:rsidP="007224C3">
      <w:pPr>
        <w:spacing w:after="0" w:line="240" w:lineRule="auto"/>
        <w:jc w:val="both"/>
        <w:rPr>
          <w:rFonts w:ascii="Times New Roman" w:hAnsi="Times New Roman"/>
          <w:color w:val="0070C0"/>
          <w:sz w:val="16"/>
          <w:szCs w:val="16"/>
        </w:rPr>
      </w:pPr>
    </w:p>
    <w:p w14:paraId="34901E51" w14:textId="77777777" w:rsidR="000F02F6" w:rsidRPr="007224C3" w:rsidRDefault="000F02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апреля в 1944 году авианалет германских ВВС на Лондон (15104).</w:t>
      </w:r>
    </w:p>
    <w:p w14:paraId="17E7DEC6" w14:textId="77777777" w:rsidR="000F02F6" w:rsidRPr="007224C3" w:rsidRDefault="000F02F6" w:rsidP="007224C3">
      <w:pPr>
        <w:spacing w:after="0" w:line="240" w:lineRule="auto"/>
        <w:jc w:val="both"/>
        <w:rPr>
          <w:rFonts w:ascii="Times New Roman" w:hAnsi="Times New Roman"/>
          <w:color w:val="000000" w:themeColor="text1"/>
          <w:sz w:val="16"/>
          <w:szCs w:val="16"/>
        </w:rPr>
      </w:pPr>
    </w:p>
    <w:p w14:paraId="37D26D3B" w14:textId="77777777" w:rsidR="002867AB" w:rsidRPr="007224C3" w:rsidRDefault="002867AB"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19 апреля 1944 британский Восточный флот наносит первый британский воздушный удар по территории, удерживаемой Японией, используя Barracudas и Corsairs с британского авианосца HMS Illustrious и SBD Dauntlesses и F6F Hellcats с американского авианосца USS Saratoga (CV-3), совершающих налет на Сабанг, Суматра, повредив портовые сооружения и уничтожив радиолокационную станцию и японские самолеты на близлежащих аэродромах. Один Hellcat потерян (20373).</w:t>
      </w:r>
    </w:p>
    <w:p w14:paraId="1EB537FE" w14:textId="77777777" w:rsidR="002867AB" w:rsidRPr="007224C3" w:rsidRDefault="002867AB" w:rsidP="007224C3">
      <w:pPr>
        <w:spacing w:after="0" w:line="240" w:lineRule="auto"/>
        <w:jc w:val="both"/>
        <w:rPr>
          <w:rFonts w:ascii="Times New Roman" w:hAnsi="Times New Roman"/>
          <w:color w:val="0070C0"/>
          <w:sz w:val="16"/>
          <w:szCs w:val="16"/>
        </w:rPr>
      </w:pPr>
    </w:p>
    <w:p w14:paraId="355A0123"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58EA5FD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26AFFC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20/27 апреля 1944 вышел приказ НКАП N 287с:</w:t>
      </w:r>
    </w:p>
    <w:p w14:paraId="4DE2BB1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Для проведения заводских испытаний самолета Ил-10 с АМ-42 назначить ли В.К.К. (1687,206).</w:t>
      </w:r>
    </w:p>
    <w:p w14:paraId="0E2F9C9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96709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апреля 1944-го необходимое разрешение было получено и заводские испытания ИЛ-10 начались. Шеф-пилот ОКБ В.К.Коккинаки сделал на новом штурмовике свыше трех десятков полетов по программе и 13 мая (то есть с опозданием на шесть месяцев) машина была сдана на государственные испытания в ГК НИИ ВВС КА (9649).</w:t>
      </w:r>
    </w:p>
    <w:p w14:paraId="4D6B469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803652" w14:textId="77777777" w:rsidR="000F02F6" w:rsidRPr="007224C3" w:rsidRDefault="000F02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апреля в 1944 году первый полет штурмовика «Ил-10», В.К.Коккинаки. «Ил-10» был построен в 1944 г. По сравнению с «Ил-2» этот самолет имел меньшие размеры, существенно лучшую аэродинамику и более мощный мотор жидкостного охлаждения «АМ-42». На самолеты были установлены четыре пушки - на первом этапе калибром 20 мм, позже - калибром 23 мм: на крыльевых балках располагались 8 реактивных снарядов «PC-82»; бомболюк и внешняя подвеска допускали использование разнокалиберных бомб общим весом 600 килограммов. Большая скорость полета, хорошая маневренность и эффективная бронезащита определили высокие боевые качества «Ил-10». К 1 мая 1945 г. действующей армии было передано 630 штурмовиков «Ил-10» (15105).</w:t>
      </w:r>
    </w:p>
    <w:p w14:paraId="7CB0C05A" w14:textId="77777777" w:rsidR="000F02F6" w:rsidRPr="007224C3" w:rsidRDefault="000F02F6" w:rsidP="007224C3">
      <w:pPr>
        <w:spacing w:after="0" w:line="240" w:lineRule="auto"/>
        <w:jc w:val="both"/>
        <w:rPr>
          <w:rFonts w:ascii="Times New Roman" w:hAnsi="Times New Roman"/>
          <w:color w:val="000000" w:themeColor="text1"/>
          <w:sz w:val="16"/>
          <w:szCs w:val="16"/>
        </w:rPr>
      </w:pPr>
    </w:p>
    <w:p w14:paraId="23D0315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20 апреля 1944 после отладки и проверки всех сис</w:t>
      </w:r>
      <w:r w:rsidRPr="007224C3">
        <w:rPr>
          <w:rFonts w:ascii="Times New Roman" w:hAnsi="Times New Roman"/>
          <w:color w:val="000000" w:themeColor="text1"/>
          <w:sz w:val="16"/>
          <w:szCs w:val="16"/>
        </w:rPr>
        <w:softHyphen/>
        <w:t>тем С.В.Ильюшин направил замнаркома А.С. Яковлеву докладную запис</w:t>
      </w:r>
      <w:r w:rsidRPr="007224C3">
        <w:rPr>
          <w:rFonts w:ascii="Times New Roman" w:hAnsi="Times New Roman"/>
          <w:color w:val="000000" w:themeColor="text1"/>
          <w:sz w:val="16"/>
          <w:szCs w:val="16"/>
        </w:rPr>
        <w:softHyphen/>
        <w:t>ку, в которой указывал, что «...двухмест</w:t>
      </w:r>
      <w:r w:rsidRPr="007224C3">
        <w:rPr>
          <w:rFonts w:ascii="Times New Roman" w:hAnsi="Times New Roman"/>
          <w:color w:val="000000" w:themeColor="text1"/>
          <w:sz w:val="16"/>
          <w:szCs w:val="16"/>
        </w:rPr>
        <w:softHyphen/>
        <w:t>ный бронированный штурмовик Ил-10 с мотором АМ-42 готов к первому вылету, на что и прошу Вашего разрешения». Обратите внимание — уже не Ил-1, а Ил-10! Разрешение было получено, и к 11 мая шеф-пилот ОКБ В. К. Коккинаки сделал на новом штурмовике около трех десятков полетов по программе заводс</w:t>
      </w:r>
      <w:r w:rsidRPr="007224C3">
        <w:rPr>
          <w:rFonts w:ascii="Times New Roman" w:hAnsi="Times New Roman"/>
          <w:color w:val="000000" w:themeColor="text1"/>
          <w:sz w:val="16"/>
          <w:szCs w:val="16"/>
        </w:rPr>
        <w:softHyphen/>
        <w:t>ких испытаний. Ведущим инженером по испытаниям был В.Н. Бугайский. При полетном весе 6300 кг максималь</w:t>
      </w:r>
      <w:r w:rsidRPr="007224C3">
        <w:rPr>
          <w:rFonts w:ascii="Times New Roman" w:hAnsi="Times New Roman"/>
          <w:color w:val="000000" w:themeColor="text1"/>
          <w:sz w:val="16"/>
          <w:szCs w:val="16"/>
        </w:rPr>
        <w:softHyphen/>
        <w:t>ная скорость составила у земли 512 км/ч, а на высоте 2800 м — 555 км/ч. Время подъема на высоту 1000 м — 1,6 мин, на высоту 3000 м — 4,9 мин. Дальность поле</w:t>
      </w:r>
      <w:r w:rsidRPr="007224C3">
        <w:rPr>
          <w:rFonts w:ascii="Times New Roman" w:hAnsi="Times New Roman"/>
          <w:color w:val="000000" w:themeColor="text1"/>
          <w:sz w:val="16"/>
          <w:szCs w:val="16"/>
        </w:rPr>
        <w:softHyphen/>
        <w:t>та на высоте 2800 м при скорости 385 км/ч равнялась 850 км. «...Испытания само</w:t>
      </w:r>
      <w:r w:rsidRPr="007224C3">
        <w:rPr>
          <w:rFonts w:ascii="Times New Roman" w:hAnsi="Times New Roman"/>
          <w:color w:val="000000" w:themeColor="text1"/>
          <w:sz w:val="16"/>
          <w:szCs w:val="16"/>
        </w:rPr>
        <w:softHyphen/>
        <w:t>лет прошел удовлетворительно и подле</w:t>
      </w:r>
      <w:r w:rsidRPr="007224C3">
        <w:rPr>
          <w:rFonts w:ascii="Times New Roman" w:hAnsi="Times New Roman"/>
          <w:color w:val="000000" w:themeColor="text1"/>
          <w:sz w:val="16"/>
          <w:szCs w:val="16"/>
        </w:rPr>
        <w:softHyphen/>
        <w:t>жит передаче на государственные испы</w:t>
      </w:r>
      <w:r w:rsidRPr="007224C3">
        <w:rPr>
          <w:rFonts w:ascii="Times New Roman" w:hAnsi="Times New Roman"/>
          <w:color w:val="000000" w:themeColor="text1"/>
          <w:sz w:val="16"/>
          <w:szCs w:val="16"/>
        </w:rPr>
        <w:softHyphen/>
        <w:t>тания. Самолет обладает запасом устой</w:t>
      </w:r>
      <w:r w:rsidRPr="007224C3">
        <w:rPr>
          <w:rFonts w:ascii="Times New Roman" w:hAnsi="Times New Roman"/>
          <w:color w:val="000000" w:themeColor="text1"/>
          <w:sz w:val="16"/>
          <w:szCs w:val="16"/>
        </w:rPr>
        <w:softHyphen/>
        <w:t>чивости по всем трем осям», — отмечалось в заключении отчета по за</w:t>
      </w:r>
      <w:r w:rsidRPr="007224C3">
        <w:rPr>
          <w:rFonts w:ascii="Times New Roman" w:hAnsi="Times New Roman"/>
          <w:color w:val="000000" w:themeColor="text1"/>
          <w:sz w:val="16"/>
          <w:szCs w:val="16"/>
        </w:rPr>
        <w:softHyphen/>
        <w:t>водским испытаниям (10680).</w:t>
      </w:r>
    </w:p>
    <w:p w14:paraId="0502693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8B582B" w14:textId="77777777" w:rsidR="00BD31A2" w:rsidRPr="007224C3" w:rsidRDefault="00BD31A2"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20 апреля 1944 С. В. Ильюшин направил замнаркома А. С. Яковлеву докладную записку, в которой указывал, что «двухместный бронированный штурмовик Ил-10 с мотором АМ-42 готов к первому вылету, на что и прошу Вашего разрешения» (уже не Ил-1, а Ил-10</w:t>
      </w:r>
      <w:r w:rsidRPr="007224C3">
        <w:rPr>
          <w:rStyle w:val="BodytextItalic"/>
          <w:rFonts w:eastAsiaTheme="minorHAnsi"/>
          <w:i w:val="0"/>
          <w:color w:val="000000" w:themeColor="text1"/>
          <w:sz w:val="16"/>
          <w:szCs w:val="16"/>
        </w:rPr>
        <w:t>.).</w:t>
      </w:r>
      <w:r w:rsidRPr="007224C3">
        <w:rPr>
          <w:rStyle w:val="77"/>
          <w:rFonts w:eastAsiaTheme="minorHAnsi"/>
          <w:color w:val="000000" w:themeColor="text1"/>
          <w:sz w:val="16"/>
          <w:szCs w:val="16"/>
        </w:rPr>
        <w:t xml:space="preserve"> Разрешение было получено, и к 11 мая шеф -пилот ОКБ генерал-майор В. К. Коккинаки выполнил на новом штурмовике 22 полета (налет 11 ч) по программе заводских испытаний. В состав испытательной бригады входили: ведущий инженер по испытаниям В. Н. Бугайский, инженер-испытатель А. П. Винокуров, инженер по винтомоторной группе В. В. Семенов и бортмеханик И. Б. Кюсс.</w:t>
      </w:r>
    </w:p>
    <w:p w14:paraId="24C246C2" w14:textId="77777777" w:rsidR="00BD31A2" w:rsidRPr="007224C3" w:rsidRDefault="00BD31A2"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Максимальная скорость полета равнялась 555 км/ч на высоте 2800 м и 512 км/ч - у земли. Время подъема на высоту 1000 м - 1,6 мин, на высоту 3000 м - 4,9 мин. Дальность полета на высоте 2800 м при скорости 385 км/ч достигала 850 км. «Испытания самолет прошел удовлетворительно и подлежит передаче на государственные испытания», - отмечалось в заключении отчета по заводским испытаниям.</w:t>
      </w:r>
    </w:p>
    <w:p w14:paraId="4C2151D9" w14:textId="77777777" w:rsidR="00BD31A2" w:rsidRPr="007224C3" w:rsidRDefault="00BD31A2"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13 мая Ил-10 передали в НИИ ВВС для производства государственных испытаний. На самолете устанавливался винт типа АВ-5 л-24 диаметром 3,6 м с редукцией 0,6.</w:t>
      </w:r>
    </w:p>
    <w:p w14:paraId="354DD5B6" w14:textId="77777777" w:rsidR="00BD31A2" w:rsidRPr="007224C3" w:rsidRDefault="00BD31A2"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Самолет испытывался бригадой в составе: ведущего инженера 3-го отдела НИИ ВВС инженер-майора П. Т. Аброщенко, его помощника летчика-испытателя 3-го отдела инженер-капитана С. Г. Фролова, ведущего летчика-испытателя помощника начальника 4-го отделения 3-го отдела по летной части подполковника А. К. Долгова и штурмана капитана Т. Ф. Горбунова. Уже через две недели - 27 мая, бригада рапортовала об успешном завершении программы испытаний. Всего было выполнено 43 полета с суммарным налетом 22 ч 37 мин.</w:t>
      </w:r>
    </w:p>
    <w:p w14:paraId="060C85D5" w14:textId="77777777" w:rsidR="00BD31A2" w:rsidRPr="007224C3" w:rsidRDefault="00BD31A2"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Отмечалось, что самолет построен по нормам прочности 1943 года и относится к классу Б ограниченно маневренных самолетов с разрушающей перегрузкой на случай А при полетном весе 6000 кг - 8,3.</w:t>
      </w:r>
    </w:p>
    <w:p w14:paraId="2976E045" w14:textId="77777777" w:rsidR="00BD31A2" w:rsidRPr="007224C3" w:rsidRDefault="00BD31A2"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Вооружение самолета включает две 23-мм пушки ВЯ (300 патронов) и два пулемета ШКАС (1500 патронов) в крыле и пушку калибра 20 мм Ш-20 (150 патронов) на ограниченно подвижной установке ВУ -7 у воздушного стрелка. Прицел у летчика - ПБП-16 на съемном держателе, прицел у стрелка - К8-Т.</w:t>
      </w:r>
    </w:p>
    <w:p w14:paraId="50869121" w14:textId="77777777" w:rsidR="00BD31A2" w:rsidRPr="007224C3" w:rsidRDefault="00BD31A2"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Управление огнем из пушек ВЯ и пулеметов ШКАС электрическое от кнопки на ручке управления самолетом и двух тумблеров на щитке в кабине летчика. При стрельбе необходимо было предварительно включить тумблер пулеметов или пушек и затем вести стрельбу, нажимая кнопку на ручке управления. При одновременной стрельбе следовало включить оба тумблера.</w:t>
      </w:r>
    </w:p>
    <w:p w14:paraId="557A8590" w14:textId="77777777" w:rsidR="00BD31A2" w:rsidRPr="007224C3" w:rsidRDefault="00BD31A2"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Стрельбой из пушек управляли при помощи пневмоэлектроспуска ПЭС-1, а из пулеметов - электроспуска М-10. На пулеметах дополнительно за крючок спуска закреплялся трос с кольцом для ручного спуска пулемета.</w:t>
      </w:r>
    </w:p>
    <w:p w14:paraId="5862D8B3" w14:textId="77777777" w:rsidR="00BD31A2" w:rsidRPr="007224C3" w:rsidRDefault="00BD31A2"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Перезарядка пулеметов и пушек электропневматическая. Электрокнопки перезарядки размещались на щитке в кабине летчика. Система перезарядки питалась воздухом от системы шасси и запуска мотора.</w:t>
      </w:r>
    </w:p>
    <w:p w14:paraId="632040BD" w14:textId="77777777" w:rsidR="00BD31A2" w:rsidRPr="007224C3" w:rsidRDefault="00BD31A2"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Подвижная установка ВУ-7 обеспечивала стрельбу в задней полусфере в секторах: вверх - 40° (от нейтрального положения, параллельного оси самолета), вниз - 15° (с поворотом пулемета к борту), вправо - 55°, влево - 50°. Углы замерялись при работе стрелка в зимнем обмундировании с парашютом.</w:t>
      </w:r>
    </w:p>
    <w:p w14:paraId="67607A35" w14:textId="77777777" w:rsidR="00BD31A2" w:rsidRPr="007224C3" w:rsidRDefault="00BD31A2"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Обращалось внимание, что «по заявлению Главного конструктора самолета» предусмотрена замена консолей с пушками ВЯ на консоли с пушками 11П калибра 37 мм.</w:t>
      </w:r>
    </w:p>
    <w:p w14:paraId="7B3D4480" w14:textId="77777777" w:rsidR="00BD31A2" w:rsidRPr="007224C3" w:rsidRDefault="00BD31A2"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Бомбардировочное вооружение самолета включало два наружных держателя ДЗ-42 и два бомбовых отсека в центроплане для внутренней загрузки. На наружные держатели допускалась подвеска бомб калибром от 50 до 250 кг. Во внутренние отсеки могли загружаться бомбы калибром от 1,5 до 100 кг. Нормальная бомбовая нагрузка составляла 400 кг, в перегрузку - 600 кг.</w:t>
      </w:r>
    </w:p>
    <w:p w14:paraId="7879EF5D" w14:textId="77777777" w:rsidR="00BD31A2" w:rsidRPr="007224C3" w:rsidRDefault="00BD31A2" w:rsidP="007224C3">
      <w:pPr>
        <w:spacing w:after="0" w:line="240" w:lineRule="auto"/>
        <w:jc w:val="both"/>
        <w:rPr>
          <w:rStyle w:val="77"/>
          <w:rFonts w:eastAsiaTheme="minorHAnsi"/>
          <w:color w:val="000000" w:themeColor="text1"/>
          <w:sz w:val="16"/>
          <w:szCs w:val="16"/>
        </w:rPr>
      </w:pPr>
      <w:r w:rsidRPr="007224C3">
        <w:rPr>
          <w:rStyle w:val="77"/>
          <w:rFonts w:eastAsiaTheme="minorHAnsi"/>
          <w:color w:val="000000" w:themeColor="text1"/>
          <w:sz w:val="16"/>
          <w:szCs w:val="16"/>
        </w:rPr>
        <w:t>На самолет можно было подвесить: снаружи - 2 ФАБ-100, или 2 ФАБ-250, или 2 УХАП-250, внутри - 2 ФАБ-100, или 2 ФАБ-50, или 120 зажигательных бомб ЗАБ-2,5, или 176 осколочных бомб калибра 2,5 кг, или 54 АО-10, или 12 АО-25, или 144 ПТАБ -2,5-1,5 (всего от 200 до 540 кг). Мелкие бомбы укладывались на створки отсеков, а «сотки» и «полтинники» подвешивались на замках Дер -21.</w:t>
      </w:r>
    </w:p>
    <w:p w14:paraId="78E0AF34" w14:textId="77777777" w:rsidR="00BD31A2" w:rsidRPr="007224C3" w:rsidRDefault="00BD31A2"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Сбрасывание бомб осуществлялось от боевой кнопки, расположенной на ручке управления самолетом, электросбрасывателя ЭСБР-3П и временного механизма штурмовика ВМШ-10. Временной механизм позволял сбрасывать бомбы с горизонтального полета в том случае, когда цель закрывалась капотом мотора. После сбрасывания бомб из бомбоотсеков створки люков закрывались штурвалом при помощи троса. Аварийный сброс бомб мог выполнить воздушный стрелок.</w:t>
      </w:r>
    </w:p>
    <w:p w14:paraId="5EAE57CC" w14:textId="77777777" w:rsidR="00BD31A2" w:rsidRPr="007224C3" w:rsidRDefault="00BD31A2"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Прицельная система для бомбометания с горизонтального полета и с пикирования ничем принципиально не отличалась от таковой на серийном самолете Ил-2. На капоте имелись визирные штыри и специальная разметка, а на бронестеклах фонаря кабины летчика наносились прицельные линии и метки. Соответственно, методы бомбометания были те же.</w:t>
      </w:r>
    </w:p>
    <w:p w14:paraId="616B1B54" w14:textId="77777777" w:rsidR="00BD31A2" w:rsidRPr="007224C3" w:rsidRDefault="00BD31A2"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Для отражения атак истребителей противника со стороны задней нижней полусферы предполагались 10 авиационных гранат АГ-2 в дистанционно управляемой кассете ДАГ-10, установленной в фюзеляже за кабиной стрелка. Сброс гранат осуществлялся стрелком при помощи командного прибора.</w:t>
      </w:r>
    </w:p>
    <w:p w14:paraId="650446C5" w14:textId="77777777" w:rsidR="00BD31A2" w:rsidRPr="007224C3" w:rsidRDefault="00BD31A2"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Все оружие самолета было проверено в воздухе, для чего выполнили 10 полетов. Стреляли из пушек и пулеметов при горизонтальном полете, на виражах (скорость 480 км/ч) и на пикировании. Бомбометание выполнялось по стандартным методам, принятым для самолета Ил-2. Во всех случаях угол пикирования не превышал 25-30°, высота ввода в пикирование - 500-600 м.</w:t>
      </w:r>
    </w:p>
    <w:p w14:paraId="701BEAED" w14:textId="77777777" w:rsidR="00BD31A2" w:rsidRPr="007224C3" w:rsidRDefault="00BD31A2"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Крыло снабжалось взлетно-посадочными щитками типа Шренк и элеронами типа Фрайз. Питание мотора горючим осуществлялось из двух баков - верхнего емкостью 440 л и нижнего емкостью 290 л. Верхний бак располагался за мотором перед кабиной летчика в верхней части корпуса, а нижний - под полом кабины впереди заднего лонжерона центроплана. Баки имели протектор. Емкость двух маслобаков 94 л.</w:t>
      </w:r>
    </w:p>
    <w:p w14:paraId="7A106D7F" w14:textId="77777777" w:rsidR="00BD31A2" w:rsidRPr="007224C3" w:rsidRDefault="00BD31A2"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В ходе испытаний самолет облетали ведущий инженер -летчик 3-го отдела НИИ ВВС инженер-майор А. В. Синельников, летчик-испытатель 3-го отдела старший лейтенант Г. А. Тиняков, летчик-испытатель 4-го отдела майор М П. Субботин и летчик-испытатель майор А. А. Живописцев.</w:t>
      </w:r>
    </w:p>
    <w:p w14:paraId="63459473" w14:textId="77777777" w:rsidR="00BD31A2" w:rsidRPr="007224C3" w:rsidRDefault="00BD31A2"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Вес пустого самолета Ил-10, представленного на госиспытания, составлял 4680 кг. Нормальный полетный вес - 6335 кг. Центровка самолета - в пределах 24,6 % САХ. Полетный вес в перегрузку - 6575 кг.</w:t>
      </w:r>
    </w:p>
    <w:p w14:paraId="7F5CEE98" w14:textId="77777777" w:rsidR="00BD31A2" w:rsidRPr="007224C3" w:rsidRDefault="00BD31A2"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При нормальном полетном весе максимальная горизонтальная скорость полета достигала 551 км/ч на высоте 2800 м (почти на 150 км/ч больше максимальной скорости Ил-2 с АМ-38ф) и 507 км/ч - у земли. Время набора высоты 1000 м составило 1,6 мин, а высоты 3000 м - 5,0 мин. Вертикальная скорость у земли равнялась 9,8 м/с, на высоте 2400 м - 10,4 м/с. Разбег с отклоненными на 17° щитками и с форсажем мотора - 475 м. Взлетная дистанция - 1220 м.</w:t>
      </w:r>
    </w:p>
    <w:p w14:paraId="2B3A2FDC" w14:textId="77777777" w:rsidR="00BD31A2" w:rsidRPr="007224C3" w:rsidRDefault="00BD31A2"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Дистанция посадки при полетном весе 5380 кг не превышала 1040 м (щитки в посадочном положении - 45°). Посадочная скорость - 148 км/ч.</w:t>
      </w:r>
    </w:p>
    <w:p w14:paraId="724AE176" w14:textId="77777777" w:rsidR="00BD31A2" w:rsidRPr="007224C3" w:rsidRDefault="00BD31A2"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Дальность полета (720 л топлива) на высоте 500 м и скорости 325 км/ч достигала 800 км (2 ч 28 мин), на 1000 м и 330 км/ч - 790 км (2 ч 23 мин) и на 2000 м и 355 км/ч - 740 км (2 ч 5 мин).</w:t>
      </w:r>
    </w:p>
    <w:p w14:paraId="3DB86434" w14:textId="77777777" w:rsidR="00BD31A2" w:rsidRPr="007224C3" w:rsidRDefault="00BD31A2"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На режиме максимальной скорости дальность полета на высоте 500 м и скорости 515 км/ч сокращалась до 495 км (57 мин), на 1000 м и 523 км/ч - до 490 км (56 мин), а на 2400 км и 544 км/ч - до 470 км (52 мин).</w:t>
      </w:r>
    </w:p>
    <w:p w14:paraId="65E8EDF0" w14:textId="77777777" w:rsidR="00BD31A2" w:rsidRPr="007224C3" w:rsidRDefault="00BD31A2"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Скоростная дальность полета на скорости 0,9 максимальной равнялась 650 км (1 ч 23 мин) на высоте 500 м и 600 км (1 ч 14 мин) - на высоте 2000 м.</w:t>
      </w:r>
    </w:p>
    <w:p w14:paraId="33FD023B" w14:textId="77777777" w:rsidR="00BD31A2" w:rsidRPr="007224C3" w:rsidRDefault="00BD31A2"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 xml:space="preserve">Необходимо отметить, что установленный на Ил-10 экземпляр мотора АМ-42 (зав. № 4257) оказался вполне кондиционным, так как работал значительно устойчивее, чем моторы на Су-6. Такой опасный дефект, как возгорание топливной смеси во всасывающих патрубках, ни в одном из полетов не наблюдался. Однако и на нем в полетах отмечалось дымление на всех режимах работы мотора, «течь масла из фланцев крепления моторных агрегатов», а также «выброс масла через суфлер мотора при работе на номинальной мощности». Причем по мере выработки моторесурса мотора выброс масла прогрессировал: «За 30-40 мин полета выброс масла достигает 25-30 л. При остатке масла в маслобаках 30-35 л на номинальном режиме происходит пульсация давления масла в пределах от 0 до 7 кг/см </w:t>
      </w:r>
      <w:r w:rsidRPr="007224C3">
        <w:rPr>
          <w:rStyle w:val="77"/>
          <w:rFonts w:eastAsiaTheme="minorHAnsi"/>
          <w:color w:val="000000" w:themeColor="text1"/>
          <w:sz w:val="16"/>
          <w:szCs w:val="16"/>
          <w:vertAlign w:val="superscript"/>
        </w:rPr>
        <w:t>2</w:t>
      </w:r>
      <w:r w:rsidRPr="007224C3">
        <w:rPr>
          <w:rStyle w:val="77"/>
          <w:rFonts w:eastAsiaTheme="minorHAnsi"/>
          <w:color w:val="000000" w:themeColor="text1"/>
          <w:sz w:val="16"/>
          <w:szCs w:val="16"/>
        </w:rPr>
        <w:t xml:space="preserve"> При сбавлении газа пульсации прекращаются».</w:t>
      </w:r>
    </w:p>
    <w:p w14:paraId="0C4B5672" w14:textId="77777777" w:rsidR="00BD31A2" w:rsidRPr="007224C3" w:rsidRDefault="00BD31A2"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Суммарная наработка мотора к концу испытаний составляла 48 ч 30 мин, в том числе 22 ч 37 мин в воздухе и 7 ч 37 мин на земле - при проведении государственных испытаний и 12 ч 06 мин в воздухе и 6 ч 10 мин на земле - при проведении заводских испытаний. Тогда как гарантированный ресурс мотора устанавливался в 50 ч режимной работы.</w:t>
      </w:r>
    </w:p>
    <w:p w14:paraId="4140120E" w14:textId="77777777" w:rsidR="00BD31A2" w:rsidRPr="007224C3" w:rsidRDefault="00BD31A2"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Новый штурмовик оставил у летчиков НИИ ВВС приятное впечатление по устойчивости, управляемости и летным качествам. Во всем диапазоне скоростей (от минимальной по сваливанию до максимальной) самолет был устойчив по всем трем осям и показал прекрасную маневренность как в горизонтальной плоскости, так и в вертикальной.</w:t>
      </w:r>
    </w:p>
    <w:p w14:paraId="5201773B" w14:textId="77777777" w:rsidR="00BD31A2" w:rsidRPr="007224C3" w:rsidRDefault="00BD31A2"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 xml:space="preserve">Удельные нагрузки на крыло и мощность мотора при нормальном полетном весе, равные 211,2 кг/м </w:t>
      </w:r>
      <w:r w:rsidRPr="007224C3">
        <w:rPr>
          <w:rStyle w:val="77"/>
          <w:rFonts w:eastAsiaTheme="minorHAnsi"/>
          <w:color w:val="000000" w:themeColor="text1"/>
          <w:sz w:val="16"/>
          <w:szCs w:val="16"/>
          <w:vertAlign w:val="superscript"/>
        </w:rPr>
        <w:t>2</w:t>
      </w:r>
      <w:r w:rsidRPr="007224C3">
        <w:rPr>
          <w:rStyle w:val="77"/>
          <w:rFonts w:eastAsiaTheme="minorHAnsi"/>
          <w:color w:val="000000" w:themeColor="text1"/>
          <w:sz w:val="16"/>
          <w:szCs w:val="16"/>
        </w:rPr>
        <w:t>и 3,17 кг/л. с. соответственно, полностью укладывались в рамки концепции маневренного скоростного штурмовика.</w:t>
      </w:r>
    </w:p>
    <w:p w14:paraId="1D47EB9A" w14:textId="77777777" w:rsidR="00BD31A2" w:rsidRPr="007224C3" w:rsidRDefault="00BD31A2"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 xml:space="preserve">Считалось, что по технике пилотирования самолет относительно простой и вполне доступен летчикам средней квалификации: «По технике пилотирования прост и не требует специального переучивания для перехода на него летчиков, летающих на серийных самолетах Ил-2./.../Устойчивость и управляемость хорошие. Путевая </w:t>
      </w:r>
      <w:r w:rsidRPr="007224C3">
        <w:rPr>
          <w:rStyle w:val="77"/>
          <w:rFonts w:eastAsiaTheme="minorHAnsi"/>
          <w:color w:val="000000" w:themeColor="text1"/>
          <w:sz w:val="16"/>
          <w:szCs w:val="16"/>
        </w:rPr>
        <w:lastRenderedPageBreak/>
        <w:t>устойчивость несколько велика. Нагрузки от рулей нормальные по величине и направлению. Нагрузки от рулей высоты несколько велики. На рулежке устойчивость самолета недостаточная».</w:t>
      </w:r>
    </w:p>
    <w:p w14:paraId="6B262C43" w14:textId="77777777" w:rsidR="00BD31A2" w:rsidRPr="007224C3" w:rsidRDefault="00BD31A2"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Были выявлены и существенные недостатки. В частности, несколько велика была путевая устойчивость самолета. Отсутствовали система нейтрального газа и дублированное управление рулем высоты. Неудовлетворительно работали тормоза колес. Не был предусмотрен аварийный сброс фонарей кабин летчика и стрелка. В случае капота самолета при вынужденной посадке летчик не мог выбраться из самолета. Система вентиляции кабин не обеспечивала гигиенических норм. Экипаж страдал от невыносимой жары - при +12 °</w:t>
      </w:r>
      <w:r w:rsidRPr="007224C3">
        <w:rPr>
          <w:rStyle w:val="77"/>
          <w:rFonts w:eastAsiaTheme="minorHAnsi"/>
          <w:color w:val="000000" w:themeColor="text1"/>
          <w:sz w:val="16"/>
          <w:szCs w:val="16"/>
          <w:lang w:val="en-US"/>
        </w:rPr>
        <w:t>C</w:t>
      </w:r>
      <w:r w:rsidRPr="007224C3">
        <w:rPr>
          <w:rStyle w:val="77"/>
          <w:rFonts w:eastAsiaTheme="minorHAnsi"/>
          <w:color w:val="000000" w:themeColor="text1"/>
          <w:sz w:val="16"/>
          <w:szCs w:val="16"/>
        </w:rPr>
        <w:t xml:space="preserve"> за бортом температура в кабинах достигала +41 °</w:t>
      </w:r>
      <w:r w:rsidRPr="007224C3">
        <w:rPr>
          <w:rStyle w:val="77"/>
          <w:rFonts w:eastAsiaTheme="minorHAnsi"/>
          <w:color w:val="000000" w:themeColor="text1"/>
          <w:sz w:val="16"/>
          <w:szCs w:val="16"/>
          <w:lang w:val="en-US"/>
        </w:rPr>
        <w:t>C</w:t>
      </w:r>
      <w:r w:rsidRPr="007224C3">
        <w:rPr>
          <w:rStyle w:val="77"/>
          <w:rFonts w:eastAsiaTheme="minorHAnsi"/>
          <w:color w:val="000000" w:themeColor="text1"/>
          <w:sz w:val="16"/>
          <w:szCs w:val="16"/>
        </w:rPr>
        <w:t xml:space="preserve"> и более.</w:t>
      </w:r>
    </w:p>
    <w:p w14:paraId="327D04D2" w14:textId="77777777" w:rsidR="00BD31A2" w:rsidRPr="007224C3" w:rsidRDefault="00BD31A2"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Серьезные дефекты обнаружились в системе вооружения машины. Вести огонь из крыльевых пушек ВЯ и пулеметов ШКАС оказалось совершенно невозможным. В ходе наземных и летных испытаний ни разу не удалось полностью отстрелять боекомплект к ним.</w:t>
      </w:r>
    </w:p>
    <w:p w14:paraId="012EB726" w14:textId="77777777" w:rsidR="00BD31A2" w:rsidRPr="007224C3" w:rsidRDefault="00BD31A2"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Так, после открытия огня из пушек в большинстве случаев происходила произвольная стрельба, прекратить которую можно было толь ко перезарядкой. Виной этому были дефекты пневмоэлектроспусков. Кроме этого, звенья снарядной ленты, собиравшиеся при стрельбе в снарядные ящики, попадали в подвижные части пушек, что приводило к задержкам в стрельбе. В ходе испытаний пришлось установить звеньеотводы для вывода звеньев наружу, как на серийных самолетах Ил-2.</w:t>
      </w:r>
    </w:p>
    <w:p w14:paraId="7834CB86" w14:textId="77777777" w:rsidR="00BD31A2" w:rsidRPr="007224C3" w:rsidRDefault="00BD31A2"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При стрельбе из пулеметов ШКАС уже «после 350-400 выстрелов звенья накапливаются у звеньеотвода и заклинивают выход звеньев». Как следствие, стрельба прекращалась.</w:t>
      </w:r>
    </w:p>
    <w:p w14:paraId="1C70BFA8" w14:textId="77777777" w:rsidR="00BD31A2" w:rsidRPr="007224C3" w:rsidRDefault="00BD31A2"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Оборонительная установка ВУ-7 с пушкой Ш-20 оценивалась военными испытателями довольно высоко. По их мнению, установка имела хорошую маневренность и была легкой в управлении. Сама пушка Ш-20 работала «значительно легче, чем пулемет УБТ, а наличие разрывного снаряда калибра 20 мм и непрерывного питания увеличивает защиту самолета».</w:t>
      </w:r>
    </w:p>
    <w:p w14:paraId="2C75454F" w14:textId="77777777" w:rsidR="00BD31A2" w:rsidRPr="007224C3" w:rsidRDefault="00BD31A2"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Однако установку требовалось дорабатывать до необходимого уровня надежности. Дело в том, что в ходе стрельб (выполнено 3690 выстрелов на земле и 1045 - в воздухе) было получено довольно много задержек при автоматической стрельбе: 10 % - при стрельбе в воздухе и 7 % - при стрельбе на земле, в том числе соответственно 4 и 3 % - по вине пушки, остальные - по вине установки.</w:t>
      </w:r>
    </w:p>
    <w:p w14:paraId="29F0A0CC" w14:textId="77777777" w:rsidR="00BD31A2" w:rsidRPr="007224C3" w:rsidRDefault="00BD31A2"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Кроме этого, после 1810 выстрелов деформировалась дуга фонаря установки, произошло расцепление зубчатки механизма стабилизации с зубьями неподвижного полукольца, а в шарнирных и болтовых соединениях механизма стабилизации вектора собственной скорости образовались люфты. После 4365 выстрелов разорвался рукав питания пушки, увеличилась деформация дуги фонаря установки. Отстрел еще 150 патронов привел к разрушению (срез болтов) крепления переднего кронштейна механизма стабилизации. Суммарный настрел пушки Ш-20 на установке ВУ-7 (включая заводскую отладку) составил 5115 выстрелов.</w:t>
      </w:r>
    </w:p>
    <w:p w14:paraId="0F557553" w14:textId="77777777" w:rsidR="00BD31A2" w:rsidRPr="007224C3" w:rsidRDefault="00BD31A2"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Указывалось, что ВУ-7 после устранения отмеченных недостатков «будет лучше ранее предъявленных установок ВУБ-3, ВУ-8 и УБШ и значительно лучше блистерной БЛУБ (Су-6)». Однако пушка Ш-20 - опытная, поэтому для внедрения ВУ-7 в серию на самолете Ил-10 необходимо решение о постановке Ш-20 на вооружение ВВС КА.</w:t>
      </w:r>
    </w:p>
    <w:p w14:paraId="5C82A201" w14:textId="77777777" w:rsidR="00BD31A2" w:rsidRPr="007224C3" w:rsidRDefault="00BD31A2"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Если недостатки стрелково-пушечного вооружения легко устранялись при переходе к конструктивным решениям, принятым для серийного самолета Ил-2, то с бомбардировочным вооружением Ил-10 дела обстояли гораздо хуже.</w:t>
      </w:r>
    </w:p>
    <w:p w14:paraId="1A8DEAB0" w14:textId="77777777" w:rsidR="00BD31A2" w:rsidRPr="007224C3" w:rsidRDefault="00BD31A2"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Загрузка бомбоотсеков опытной «десятки» бомбами наиболее «ходовых» калибров (ПТАБ-2,5-1,5, АЖ-2, АО-15, АО-25, ФАБ-50, ФАБ-100) была на 100-300 кг меньше, чем серийной «двойки». На самолете просто не хватало места для размещения большого количества мелких бомб, хотя заявленная грузоподъемность самолета достигала 600 кг бомб (в перегрузку). К тому же подвеска под крылом на внешние держатели бомб калибра 100-250 кг на тросовых поясах была крайне неудобной и сложной в эксплуатации.</w:t>
      </w:r>
    </w:p>
    <w:p w14:paraId="5171321C" w14:textId="77777777" w:rsidR="00BD31A2" w:rsidRPr="007224C3" w:rsidRDefault="00BD31A2"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По этой причине начальник 4-го отдела института генерал-майор М. В. Шишкин и его заместитель полковник Н. И. Шауров, давая тактическую оценку новому штурмовику, отметили, что «наличие Ил-10 не исключает необходимость иметь на вооружении ВВС самолет Ил-8/./, хотя и уступающего по летным данным».</w:t>
      </w:r>
    </w:p>
    <w:p w14:paraId="7E9C43A5" w14:textId="77777777" w:rsidR="00BD31A2" w:rsidRPr="007224C3" w:rsidRDefault="00BD31A2" w:rsidP="007224C3">
      <w:pPr>
        <w:spacing w:after="0" w:line="240" w:lineRule="auto"/>
        <w:jc w:val="both"/>
        <w:rPr>
          <w:rStyle w:val="77"/>
          <w:rFonts w:eastAsiaTheme="minorHAnsi"/>
          <w:color w:val="000000" w:themeColor="text1"/>
          <w:sz w:val="16"/>
          <w:szCs w:val="16"/>
        </w:rPr>
      </w:pPr>
      <w:r w:rsidRPr="007224C3">
        <w:rPr>
          <w:rStyle w:val="77"/>
          <w:rFonts w:eastAsiaTheme="minorHAnsi"/>
          <w:color w:val="000000" w:themeColor="text1"/>
          <w:sz w:val="16"/>
          <w:szCs w:val="16"/>
        </w:rPr>
        <w:t>В выводах акта по результатам испытаний указывалось, что «Ил-10 по сравнению с Ил-2, несмотря на ухудшение взлетно-посадочных свойств, имеет явное преимущество, в частности, максимальная скорость больше: у земли на 123 км/ч, на границе высотности на 147 км/ч./. ../Время набора высоты 3000 м меньше на 3 мин./.. ./Дальность горизонтального полета на высоте 500 м возросла на 120 км./.. ./Высокая скорость полета, хорошая устойчивость и управляемость при аналогичном с самолетом Ил-2 оружии активного нападения позволяют самолету Ил-10 более эффективно осуществлять штурмовые действия, а повышенная обороноспособность и лучшее бронирование способствуют большему эффекту при ведении воздушного боя с истребителями противника./. ../Самолет Ил-10 является классическим образцом самолета-штурмовика.»</w:t>
      </w:r>
    </w:p>
    <w:p w14:paraId="4BDC0B39" w14:textId="77777777" w:rsidR="00BD31A2" w:rsidRPr="007224C3" w:rsidRDefault="00BD31A2"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При внедрении в серию требовалось обеспечить аварийный сброс фонаря кабины летчика, установить триммер руля поворота, изменить бронирование Ил-10, выполнив его по образцу Ил-8.</w:t>
      </w:r>
    </w:p>
    <w:p w14:paraId="53A77454" w14:textId="77777777" w:rsidR="00BD31A2" w:rsidRPr="007224C3" w:rsidRDefault="00BD31A2"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В заключении акта самолет Ил-10 рекомендовался в серийное производство при условии устранения выявленных дефектов и недостатков. Вопрос об оборонительном пушечном вооружении предлагалось решить «после испытаний легких пушек калибра 20 мм».</w:t>
      </w:r>
    </w:p>
    <w:p w14:paraId="5A26A690" w14:textId="77777777" w:rsidR="00BD31A2" w:rsidRPr="007224C3" w:rsidRDefault="00BD31A2" w:rsidP="007224C3">
      <w:pPr>
        <w:spacing w:after="0" w:line="240" w:lineRule="auto"/>
        <w:jc w:val="both"/>
        <w:rPr>
          <w:rStyle w:val="77"/>
          <w:rFonts w:eastAsiaTheme="minorHAnsi"/>
          <w:color w:val="000000" w:themeColor="text1"/>
          <w:sz w:val="16"/>
          <w:szCs w:val="16"/>
        </w:rPr>
      </w:pPr>
      <w:r w:rsidRPr="007224C3">
        <w:rPr>
          <w:rStyle w:val="77"/>
          <w:rFonts w:eastAsiaTheme="minorHAnsi"/>
          <w:color w:val="000000" w:themeColor="text1"/>
          <w:sz w:val="16"/>
          <w:szCs w:val="16"/>
        </w:rPr>
        <w:t>Одновременно считалось необходимым: «4. Просить Наркома авиапромышленности т. Шахурина дать задание: а) Главному конструктору т. Ильюшину - до запуска самолета в серию устранить дефекты и выполнить рекомендации. б) Главному конструктору по авиаколесам - модернизировать серийные тормозные колеса 800^260 мм под перегрузочный полетный вес 6550 кг в сроки, обеспечивающие серийный выпуск Ил-10. в) ЦАГИ - один самолет головной серии статически и динамически испытать. г) ЦИАМ - разработать механизм объединенного управления винта и газа для мотора АМ-42. 5. Просить Наркома НКВ - дать задание тов. Китенко - конструктору электроспусков, срочно устранить дефекты электроспусков» (17490).</w:t>
      </w:r>
    </w:p>
    <w:p w14:paraId="17D0B94F" w14:textId="77777777" w:rsidR="00BD31A2" w:rsidRPr="007224C3" w:rsidRDefault="00BD31A2" w:rsidP="007224C3">
      <w:pPr>
        <w:spacing w:after="0" w:line="240" w:lineRule="auto"/>
        <w:jc w:val="both"/>
        <w:rPr>
          <w:rFonts w:ascii="Times New Roman" w:hAnsi="Times New Roman"/>
          <w:color w:val="000000" w:themeColor="text1"/>
          <w:sz w:val="16"/>
          <w:szCs w:val="16"/>
        </w:rPr>
      </w:pPr>
    </w:p>
    <w:p w14:paraId="3D61BAC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апреля 1944 в ОКБ А.С.Я. был готов Як-9ПД с М-106ПВ и винтом ВИШ-105ТЛ. Взяли за основу Як-9У с ВК-107А и максимально облегчили до 2500 кг даже поставив облегченную пушку ША-20М с боекомплектом в 60 снарядов. Гермокабины не было (65,127).</w:t>
      </w:r>
    </w:p>
    <w:p w14:paraId="69465AA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1078A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апреля 1944 А.Г.Прошаков на Чкаловской садился с заклиненным мотором на Як-9У с ВК-107А N 417-50 в рамках гос. испытаний, которые проводились с 18 января 1944 (817). Это был конец гос. испытаний этой машины (4237,34).</w:t>
      </w:r>
    </w:p>
    <w:p w14:paraId="51F1A38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1ADAAA" w14:textId="77777777" w:rsidR="000F02F6" w:rsidRPr="007224C3" w:rsidRDefault="000F02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апреля в 1944 году в HИИ ВВС закончились (начались 18 января) Госиспытания истребителя «Як-9У» (улучшенный) (летчик А.Г.Прошаков, ведущий инженер А.Т.Степанец). Самолет строился серийно с апреля 1944 г. по август 1945 г., т.е. до замены его цельнометаллическим «Як-9У» «ВК-107А». Всего построено 3921 самолет «Як-9У» смешанной конструкции (15105).</w:t>
      </w:r>
    </w:p>
    <w:p w14:paraId="27439230" w14:textId="77777777" w:rsidR="000F02F6" w:rsidRPr="007224C3" w:rsidRDefault="000F02F6" w:rsidP="007224C3">
      <w:pPr>
        <w:spacing w:after="0" w:line="240" w:lineRule="auto"/>
        <w:jc w:val="both"/>
        <w:rPr>
          <w:rFonts w:ascii="Times New Roman" w:hAnsi="Times New Roman"/>
          <w:color w:val="000000" w:themeColor="text1"/>
          <w:sz w:val="16"/>
          <w:szCs w:val="16"/>
        </w:rPr>
      </w:pPr>
    </w:p>
    <w:p w14:paraId="664BFA8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20 апреля 1944 с 18 января летчики-испытатели НИИ ВВС 45 раз поднимались на Як-9У в воздух, налетав 22 часа 5 минут. Самолет поступил на испытания в январе с винтом обратной схемы АВ-10П-20, замененным впоследствии ВИШ-107Л5. Ведущими по машине были инженер А.Т. Степанец и летчик А.Г. Прошаков. Самолет облетали Ю.А. Антипов и А.Г. Кубышкин.</w:t>
      </w:r>
    </w:p>
    <w:p w14:paraId="0BD6E4A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плане НКАП на 1943 год числился Як-9 с двигателем М-107А со следующими данными: максимальная скорость у земли - 580 км/ч, а на высоте 5900 м - 590 км/ч, при посадочной - 147 км/ч; время виража на высоте 1000 м - 18 секунд и практический потолок - 11 500 м. Его вооружение ограничивалось 20-миллиметровой пушкой с боезапасом 120 патронов и пулеметом калибром 12,7 мм с 200 патронами. На государственные испытания машину предписывалось передать к 15 июня 1943 г. Однако из-за трудностей с доводкой двигателя создание этого истребителя затянулось.</w:t>
      </w:r>
    </w:p>
    <w:p w14:paraId="4E0E01A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Як-9У с мотором ВК-107А построили в соответствие декабрьским 1943 года постановлением ГКО на базе пушечного Як-9Т. При этом заимствовали ряд технических решений с истребителя Як-3 с двигателем ВК-105ПФ.</w:t>
      </w:r>
    </w:p>
    <w:p w14:paraId="0A62459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тому времени ВК-107А прошел 100-часовые стендовые испытания и развивал мощность 1650 л.с. на первой границе высотности (1800 м) и 1500 л.с. на 4500 м (вторая граница высотности). Новый двигатель потребовал изменения конструкции подмо- торной рамы и фермы крепления оружия из-за установки второго пулемета (на Як-9Т устанавливали 37-миллиметровую пушку и пулемет БС). Вооружение Як-9У с двигателем ВК-107А состояло из мотор-пушки МП-20 и двух синхронных пулеметов УБС.</w:t>
      </w:r>
    </w:p>
    <w:p w14:paraId="7714E7E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сравнению с предшественником, на новой машине установили маслорадиатор с большей теплоотдачей и перенесли его в центроплан крыла по типу Як-3. При этом укоротили трубки водорадиатора и улучшили внешние и внутренние обводы его тоннеля.</w:t>
      </w:r>
    </w:p>
    <w:p w14:paraId="78127E2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Тогда же доработали нижнюю панель фюзеляжа между вторым и четвертым шпангоутами из-за размещения нового водорадиатора и вала ручного управления машиной, смонтированного на каркасе фюзеляжа.</w:t>
      </w:r>
    </w:p>
    <w:p w14:paraId="787DD51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фонаре кабины пилота появился механизм аварийного сброса его сдвижной части, а с козырька сняли лобовое бронестекло, сделав его более обтекаемым из гнутого плексигласа. Но, как выяснилось позже, снижение аэродинамического сопротивления фонаря сильно исказило изображение передней полусферы.</w:t>
      </w:r>
    </w:p>
    <w:p w14:paraId="0E658FA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Убрали подлокотники для летчика, оказавшиеся лишними в непродолжительном полете и утяжелявшие истребитель. От Як-3 так же заимствовали бронеспинку, заголовник из прозрачной брони, надголовник и полуавтоматический стопор костыльной опоры.</w:t>
      </w:r>
    </w:p>
    <w:p w14:paraId="6943E21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Два семилитровых воздушных баллона заменили одним - объемом восемь литров. Сняли грузы весовой компенсации элеронов и на 200 мм увеличили размах аэродинамического компенсатора руля высоты.</w:t>
      </w:r>
    </w:p>
    <w:p w14:paraId="6C45549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Как известно различные щели в планере приводят не только к задуванию кабины, но и к увеличению аэродинамического сопротивления. В связи с этим, заделали щели (герметизировали) в противопожарной перегородке, крыле, кабине, хвостовой части фюзеляжа, отсеках бензобаков и в тоннеле маслорадиатора.</w:t>
      </w:r>
    </w:p>
    <w:p w14:paraId="3ACADC3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Полотняными перегородками закрыли щели между крылом и элеронами, что исключило перетекание воздуха и, как следствие, улучшило аэродинамику машины. Также отполировали передние кромки крыла, оперения и носовой части капота мотора.</w:t>
      </w:r>
    </w:p>
    <w:p w14:paraId="136F7FE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своих выводах специалисты института отмечали, в частности, что опытный Як-9У с ВК-107А по максимальной скорости горизонтального полета, скороподъемности и вертикальной маневренности в диапазоне высот до 6000 м является лучшим из известных отечественных и иностранных истребителей.</w:t>
      </w:r>
    </w:p>
    <w:p w14:paraId="378A8AC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 скорость горизонтального полета на боевом режиме составляла: у земли (на высоте 5000 м) 600 км/ч (690 км/ч), что больше, чем у трехточечного Me-109G-2 на 76 км/ч (80 км/ч), у FW-190A-4 - на 90 км/ч (102 км/ч), Як-9Т - на 67 км/ч (105 км/ч), Як-9У эталона 1944 года - на 42 км/ч (75 км/ч), Як-3 "Дублера" - на 30 км/ч (42 км/ч) и Ла-7 эталона 1944 года - на 29 км/ч.</w:t>
      </w:r>
    </w:p>
    <w:p w14:paraId="58FB91B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Время набора высоты 5000 м на боевом режиме не превышало 4,1 минуты, что было почти как у Як-3 "Дублер" и меньше на 0,3 минуты, по сравнению с трехточечным Ме- 109G-2. Дольше набирали эту высоту FW190A-4 - на 2,7 минуты, Як-9Т - на 1,4 минуты, Як-9У с мотором М-105ПФ - на 0,7 минуты и Ла-7 - на 0,35 минуты. Последние две машины стали эталонами 1944 г.</w:t>
      </w:r>
    </w:p>
    <w:p w14:paraId="46112E7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Установка двигателя ВК-107А не усложнила технику пилотирования. Самолет оставался простым в управлении и доступным для летчиков средней квалификации.</w:t>
      </w:r>
    </w:p>
    <w:p w14:paraId="1C31163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Заказчик посчитал бронезашиту летчика недостаточной и не отвечавшей, предъявлявшимся к ней требованиям. Военные испытатели отметили и отсутствие зеркала, что затрудняло обзор задней полусферы.</w:t>
      </w:r>
    </w:p>
    <w:p w14:paraId="222D837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заключение "Акта по результатам государственных испытаний..." отмечалось: "Для быстрейшей доводки и ввода в строй Як-9У необходимо срочно провести войсковые и эксплуатационные испытания самолета..." (12046).</w:t>
      </w:r>
    </w:p>
    <w:p w14:paraId="471A078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Основные данные унифицированных истребителей Як-9У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5106D0" w:rsidRPr="007224C3" w14:paraId="76BC9255" w14:textId="77777777">
        <w:tc>
          <w:tcPr>
            <w:tcW w:w="1868" w:type="dxa"/>
            <w:tcBorders>
              <w:top w:val="single" w:sz="12" w:space="0" w:color="auto"/>
            </w:tcBorders>
          </w:tcPr>
          <w:p w14:paraId="4C9FE44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Тип</w:t>
            </w:r>
          </w:p>
        </w:tc>
        <w:tc>
          <w:tcPr>
            <w:tcW w:w="1868" w:type="dxa"/>
            <w:tcBorders>
              <w:top w:val="single" w:sz="12" w:space="0" w:color="auto"/>
            </w:tcBorders>
          </w:tcPr>
          <w:p w14:paraId="2D05DCB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top w:val="single" w:sz="12" w:space="0" w:color="auto"/>
            </w:tcBorders>
          </w:tcPr>
          <w:p w14:paraId="54F0957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Як-9У</w:t>
            </w:r>
          </w:p>
        </w:tc>
        <w:tc>
          <w:tcPr>
            <w:tcW w:w="1868" w:type="dxa"/>
            <w:tcBorders>
              <w:top w:val="single" w:sz="12" w:space="0" w:color="auto"/>
            </w:tcBorders>
          </w:tcPr>
          <w:p w14:paraId="2CA3F42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top w:val="single" w:sz="12" w:space="0" w:color="auto"/>
            </w:tcBorders>
          </w:tcPr>
          <w:p w14:paraId="28D9DC1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ЯК-9УТ</w:t>
            </w:r>
          </w:p>
        </w:tc>
        <w:tc>
          <w:tcPr>
            <w:tcW w:w="1868" w:type="dxa"/>
            <w:tcBorders>
              <w:top w:val="single" w:sz="12" w:space="0" w:color="auto"/>
            </w:tcBorders>
          </w:tcPr>
          <w:p w14:paraId="48DD8ED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ЯК-9УВ</w:t>
            </w:r>
          </w:p>
        </w:tc>
      </w:tr>
      <w:tr w:rsidR="005106D0" w:rsidRPr="007224C3" w14:paraId="4BDB3D11" w14:textId="77777777">
        <w:tc>
          <w:tcPr>
            <w:tcW w:w="1868" w:type="dxa"/>
          </w:tcPr>
          <w:p w14:paraId="3B46BFB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4368F0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C1AB3F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1943 г.</w:t>
            </w:r>
          </w:p>
        </w:tc>
        <w:tc>
          <w:tcPr>
            <w:tcW w:w="1868" w:type="dxa"/>
          </w:tcPr>
          <w:p w14:paraId="07763D0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E1027E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40-022</w:t>
            </w:r>
          </w:p>
        </w:tc>
        <w:tc>
          <w:tcPr>
            <w:tcW w:w="1868" w:type="dxa"/>
          </w:tcPr>
          <w:p w14:paraId="2CD6E9F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79036FC" w14:textId="77777777">
        <w:tc>
          <w:tcPr>
            <w:tcW w:w="1868" w:type="dxa"/>
          </w:tcPr>
          <w:p w14:paraId="34C28AD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Двигатель</w:t>
            </w:r>
          </w:p>
        </w:tc>
        <w:tc>
          <w:tcPr>
            <w:tcW w:w="1868" w:type="dxa"/>
          </w:tcPr>
          <w:p w14:paraId="2654655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EC1A12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М-105ПФ21</w:t>
            </w:r>
          </w:p>
        </w:tc>
        <w:tc>
          <w:tcPr>
            <w:tcW w:w="1868" w:type="dxa"/>
          </w:tcPr>
          <w:p w14:paraId="354F9B5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ВК-107А</w:t>
            </w:r>
          </w:p>
        </w:tc>
        <w:tc>
          <w:tcPr>
            <w:tcW w:w="1868" w:type="dxa"/>
          </w:tcPr>
          <w:p w14:paraId="4A06904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ВК-107А</w:t>
            </w:r>
          </w:p>
        </w:tc>
        <w:tc>
          <w:tcPr>
            <w:tcW w:w="1868" w:type="dxa"/>
          </w:tcPr>
          <w:p w14:paraId="78DAA8F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81B0BFC" w14:textId="77777777">
        <w:tc>
          <w:tcPr>
            <w:tcW w:w="1868" w:type="dxa"/>
          </w:tcPr>
          <w:p w14:paraId="729A511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Размах крыла, м</w:t>
            </w:r>
          </w:p>
        </w:tc>
        <w:tc>
          <w:tcPr>
            <w:tcW w:w="1868" w:type="dxa"/>
          </w:tcPr>
          <w:p w14:paraId="2526B13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86918D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9,74</w:t>
            </w:r>
          </w:p>
        </w:tc>
        <w:tc>
          <w:tcPr>
            <w:tcW w:w="1868" w:type="dxa"/>
          </w:tcPr>
          <w:p w14:paraId="52EAE11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7CA52A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9,74</w:t>
            </w:r>
          </w:p>
        </w:tc>
        <w:tc>
          <w:tcPr>
            <w:tcW w:w="1868" w:type="dxa"/>
          </w:tcPr>
          <w:p w14:paraId="47D0961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9,74</w:t>
            </w:r>
          </w:p>
        </w:tc>
      </w:tr>
      <w:tr w:rsidR="005106D0" w:rsidRPr="007224C3" w14:paraId="734B43FD" w14:textId="77777777">
        <w:tc>
          <w:tcPr>
            <w:tcW w:w="1868" w:type="dxa"/>
          </w:tcPr>
          <w:p w14:paraId="30A7804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Длина, м</w:t>
            </w:r>
          </w:p>
        </w:tc>
        <w:tc>
          <w:tcPr>
            <w:tcW w:w="1868" w:type="dxa"/>
          </w:tcPr>
          <w:p w14:paraId="24F1642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B9B509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8,5</w:t>
            </w:r>
          </w:p>
        </w:tc>
        <w:tc>
          <w:tcPr>
            <w:tcW w:w="1868" w:type="dxa"/>
          </w:tcPr>
          <w:p w14:paraId="7070257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95B552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8,55</w:t>
            </w:r>
          </w:p>
        </w:tc>
        <w:tc>
          <w:tcPr>
            <w:tcW w:w="1868" w:type="dxa"/>
          </w:tcPr>
          <w:p w14:paraId="5FDE6EB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8,55</w:t>
            </w:r>
          </w:p>
        </w:tc>
      </w:tr>
      <w:tr w:rsidR="005106D0" w:rsidRPr="007224C3" w14:paraId="05CB1F56" w14:textId="77777777">
        <w:tc>
          <w:tcPr>
            <w:tcW w:w="1868" w:type="dxa"/>
          </w:tcPr>
          <w:p w14:paraId="297C405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Площадь крыла, мг</w:t>
            </w:r>
          </w:p>
        </w:tc>
        <w:tc>
          <w:tcPr>
            <w:tcW w:w="1868" w:type="dxa"/>
          </w:tcPr>
          <w:p w14:paraId="1EBE089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B5BD29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17,15</w:t>
            </w:r>
          </w:p>
        </w:tc>
        <w:tc>
          <w:tcPr>
            <w:tcW w:w="1868" w:type="dxa"/>
          </w:tcPr>
          <w:p w14:paraId="0CAB710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81C08F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17,15</w:t>
            </w:r>
          </w:p>
        </w:tc>
        <w:tc>
          <w:tcPr>
            <w:tcW w:w="1868" w:type="dxa"/>
          </w:tcPr>
          <w:p w14:paraId="5690A30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17,15</w:t>
            </w:r>
          </w:p>
        </w:tc>
      </w:tr>
      <w:tr w:rsidR="005106D0" w:rsidRPr="007224C3" w14:paraId="04426473" w14:textId="77777777">
        <w:tc>
          <w:tcPr>
            <w:tcW w:w="1868" w:type="dxa"/>
          </w:tcPr>
          <w:p w14:paraId="5C7DC6E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Взлетный вес, кг</w:t>
            </w:r>
          </w:p>
        </w:tc>
        <w:tc>
          <w:tcPr>
            <w:tcW w:w="1868" w:type="dxa"/>
          </w:tcPr>
          <w:p w14:paraId="6044B9F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79F83C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D8F994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8F8EC4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08E0AD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07D1D2B" w14:textId="77777777">
        <w:tc>
          <w:tcPr>
            <w:tcW w:w="1868" w:type="dxa"/>
          </w:tcPr>
          <w:p w14:paraId="021445C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нормальный</w:t>
            </w:r>
          </w:p>
        </w:tc>
        <w:tc>
          <w:tcPr>
            <w:tcW w:w="1868" w:type="dxa"/>
          </w:tcPr>
          <w:p w14:paraId="5EC6A1E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53D683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2900</w:t>
            </w:r>
          </w:p>
        </w:tc>
        <w:tc>
          <w:tcPr>
            <w:tcW w:w="1868" w:type="dxa"/>
          </w:tcPr>
          <w:p w14:paraId="1FD311C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F5D709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3260</w:t>
            </w:r>
          </w:p>
        </w:tc>
        <w:tc>
          <w:tcPr>
            <w:tcW w:w="1868" w:type="dxa"/>
          </w:tcPr>
          <w:p w14:paraId="3EB5D36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3128</w:t>
            </w:r>
          </w:p>
        </w:tc>
      </w:tr>
      <w:tr w:rsidR="005106D0" w:rsidRPr="007224C3" w14:paraId="3C27FC01" w14:textId="77777777">
        <w:tc>
          <w:tcPr>
            <w:tcW w:w="1868" w:type="dxa"/>
          </w:tcPr>
          <w:p w14:paraId="3AD4DE4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 пустого, кг</w:t>
            </w:r>
          </w:p>
        </w:tc>
        <w:tc>
          <w:tcPr>
            <w:tcW w:w="1868" w:type="dxa"/>
          </w:tcPr>
          <w:p w14:paraId="1360139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7DCAB3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2244</w:t>
            </w:r>
          </w:p>
        </w:tc>
        <w:tc>
          <w:tcPr>
            <w:tcW w:w="1868" w:type="dxa"/>
          </w:tcPr>
          <w:p w14:paraId="17A09C7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79F726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2467</w:t>
            </w:r>
          </w:p>
        </w:tc>
        <w:tc>
          <w:tcPr>
            <w:tcW w:w="1868" w:type="dxa"/>
          </w:tcPr>
          <w:p w14:paraId="0AF38AF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2505</w:t>
            </w:r>
          </w:p>
        </w:tc>
      </w:tr>
      <w:tr w:rsidR="005106D0" w:rsidRPr="007224C3" w14:paraId="4E4BE451" w14:textId="77777777">
        <w:tc>
          <w:tcPr>
            <w:tcW w:w="1868" w:type="dxa"/>
          </w:tcPr>
          <w:p w14:paraId="64FB820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 топлива, кг</w:t>
            </w:r>
          </w:p>
        </w:tc>
        <w:tc>
          <w:tcPr>
            <w:tcW w:w="1868" w:type="dxa"/>
          </w:tcPr>
          <w:p w14:paraId="1FB78A2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F3BC49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318</w:t>
            </w:r>
          </w:p>
        </w:tc>
        <w:tc>
          <w:tcPr>
            <w:tcW w:w="1868" w:type="dxa"/>
          </w:tcPr>
          <w:p w14:paraId="12F0FD0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22846F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380</w:t>
            </w:r>
          </w:p>
        </w:tc>
        <w:tc>
          <w:tcPr>
            <w:tcW w:w="1868" w:type="dxa"/>
          </w:tcPr>
          <w:p w14:paraId="1E3765D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346</w:t>
            </w:r>
          </w:p>
        </w:tc>
      </w:tr>
      <w:tr w:rsidR="005106D0" w:rsidRPr="007224C3" w14:paraId="71B58E48" w14:textId="77777777">
        <w:tc>
          <w:tcPr>
            <w:tcW w:w="1868" w:type="dxa"/>
          </w:tcPr>
          <w:p w14:paraId="5082DC2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Скорость макс., км/ч</w:t>
            </w:r>
          </w:p>
        </w:tc>
        <w:tc>
          <w:tcPr>
            <w:tcW w:w="1868" w:type="dxa"/>
          </w:tcPr>
          <w:p w14:paraId="4743BC9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CA8096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57DDF5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8ED7FB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A49866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C37A7A8" w14:textId="77777777">
        <w:tc>
          <w:tcPr>
            <w:tcW w:w="1868" w:type="dxa"/>
          </w:tcPr>
          <w:p w14:paraId="5D2045F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 земли</w:t>
            </w:r>
          </w:p>
        </w:tc>
        <w:tc>
          <w:tcPr>
            <w:tcW w:w="1868" w:type="dxa"/>
          </w:tcPr>
          <w:p w14:paraId="3A29A8B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B39677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558</w:t>
            </w:r>
          </w:p>
        </w:tc>
        <w:tc>
          <w:tcPr>
            <w:tcW w:w="1868" w:type="dxa"/>
          </w:tcPr>
          <w:p w14:paraId="14431FE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E2C2C3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578</w:t>
            </w:r>
          </w:p>
        </w:tc>
        <w:tc>
          <w:tcPr>
            <w:tcW w:w="1868" w:type="dxa"/>
          </w:tcPr>
          <w:p w14:paraId="2FA8725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564</w:t>
            </w:r>
          </w:p>
        </w:tc>
      </w:tr>
      <w:tr w:rsidR="005106D0" w:rsidRPr="007224C3" w14:paraId="5CE582FC" w14:textId="77777777">
        <w:tc>
          <w:tcPr>
            <w:tcW w:w="1868" w:type="dxa"/>
          </w:tcPr>
          <w:p w14:paraId="2E27C46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1-й гр. высотности, м</w:t>
            </w:r>
          </w:p>
        </w:tc>
        <w:tc>
          <w:tcPr>
            <w:tcW w:w="1868" w:type="dxa"/>
          </w:tcPr>
          <w:p w14:paraId="46A589E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7A7C2B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600/1800</w:t>
            </w:r>
          </w:p>
        </w:tc>
        <w:tc>
          <w:tcPr>
            <w:tcW w:w="1868" w:type="dxa"/>
          </w:tcPr>
          <w:p w14:paraId="59E522D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625/2200</w:t>
            </w:r>
          </w:p>
        </w:tc>
        <w:tc>
          <w:tcPr>
            <w:tcW w:w="1868" w:type="dxa"/>
          </w:tcPr>
          <w:p w14:paraId="4675AB4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868" w:type="dxa"/>
          </w:tcPr>
          <w:p w14:paraId="2B39A11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0802F8F" w14:textId="77777777">
        <w:tc>
          <w:tcPr>
            <w:tcW w:w="1868" w:type="dxa"/>
          </w:tcPr>
          <w:p w14:paraId="6BDEEE0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2-й гр. высотности, м</w:t>
            </w:r>
          </w:p>
        </w:tc>
        <w:tc>
          <w:tcPr>
            <w:tcW w:w="1868" w:type="dxa"/>
          </w:tcPr>
          <w:p w14:paraId="625DDB9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5BDAB9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620/3850</w:t>
            </w:r>
          </w:p>
        </w:tc>
        <w:tc>
          <w:tcPr>
            <w:tcW w:w="1868" w:type="dxa"/>
          </w:tcPr>
          <w:p w14:paraId="186C65C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671/4900</w:t>
            </w:r>
          </w:p>
        </w:tc>
        <w:tc>
          <w:tcPr>
            <w:tcW w:w="1868" w:type="dxa"/>
          </w:tcPr>
          <w:p w14:paraId="11890CF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623/4100</w:t>
            </w:r>
          </w:p>
        </w:tc>
        <w:tc>
          <w:tcPr>
            <w:tcW w:w="1868" w:type="dxa"/>
          </w:tcPr>
          <w:p w14:paraId="51C2FD6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8C259A9" w14:textId="77777777">
        <w:tc>
          <w:tcPr>
            <w:tcW w:w="1868" w:type="dxa"/>
          </w:tcPr>
          <w:p w14:paraId="10AD644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Время набора</w:t>
            </w:r>
          </w:p>
        </w:tc>
        <w:tc>
          <w:tcPr>
            <w:tcW w:w="1868" w:type="dxa"/>
          </w:tcPr>
          <w:p w14:paraId="66EDD8A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D9C7F9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7D79B4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56D8B7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68C8B2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3177B93" w14:textId="77777777">
        <w:tc>
          <w:tcPr>
            <w:tcW w:w="1868" w:type="dxa"/>
          </w:tcPr>
          <w:p w14:paraId="32F69F1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высоты 5000 м, мин</w:t>
            </w:r>
          </w:p>
        </w:tc>
        <w:tc>
          <w:tcPr>
            <w:tcW w:w="1868" w:type="dxa"/>
          </w:tcPr>
          <w:p w14:paraId="3A41B7A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63059E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4,8</w:t>
            </w:r>
          </w:p>
        </w:tc>
        <w:tc>
          <w:tcPr>
            <w:tcW w:w="1868" w:type="dxa"/>
          </w:tcPr>
          <w:p w14:paraId="07F544D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75EAAB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5,2</w:t>
            </w:r>
          </w:p>
        </w:tc>
        <w:tc>
          <w:tcPr>
            <w:tcW w:w="1868" w:type="dxa"/>
          </w:tcPr>
          <w:p w14:paraId="35C9358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5,5</w:t>
            </w:r>
          </w:p>
        </w:tc>
      </w:tr>
      <w:tr w:rsidR="005106D0" w:rsidRPr="007224C3" w14:paraId="4E534B4F" w14:textId="77777777">
        <w:tc>
          <w:tcPr>
            <w:tcW w:w="1868" w:type="dxa"/>
          </w:tcPr>
          <w:p w14:paraId="36EC6FB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Практический потолок, м</w:t>
            </w:r>
          </w:p>
        </w:tc>
        <w:tc>
          <w:tcPr>
            <w:tcW w:w="1868" w:type="dxa"/>
          </w:tcPr>
          <w:p w14:paraId="2786E45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CF2260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10400</w:t>
            </w:r>
          </w:p>
        </w:tc>
        <w:tc>
          <w:tcPr>
            <w:tcW w:w="1868" w:type="dxa"/>
          </w:tcPr>
          <w:p w14:paraId="70A8FD1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E02E1A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10700</w:t>
            </w:r>
          </w:p>
        </w:tc>
        <w:tc>
          <w:tcPr>
            <w:tcW w:w="1868" w:type="dxa"/>
          </w:tcPr>
          <w:p w14:paraId="6F98A73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11300</w:t>
            </w:r>
          </w:p>
        </w:tc>
      </w:tr>
      <w:tr w:rsidR="005106D0" w:rsidRPr="007224C3" w14:paraId="0D8820E5" w14:textId="77777777">
        <w:tc>
          <w:tcPr>
            <w:tcW w:w="1868" w:type="dxa"/>
          </w:tcPr>
          <w:p w14:paraId="6C7CF23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Время виража</w:t>
            </w:r>
          </w:p>
        </w:tc>
        <w:tc>
          <w:tcPr>
            <w:tcW w:w="1868" w:type="dxa"/>
          </w:tcPr>
          <w:p w14:paraId="1065CE2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CA2667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D40C05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81F816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BB518E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FDF6981" w14:textId="77777777">
        <w:tc>
          <w:tcPr>
            <w:tcW w:w="1868" w:type="dxa"/>
          </w:tcPr>
          <w:p w14:paraId="3A62AAA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высоте 1000 м,</w:t>
            </w:r>
          </w:p>
        </w:tc>
        <w:tc>
          <w:tcPr>
            <w:tcW w:w="1868" w:type="dxa"/>
          </w:tcPr>
          <w:p w14:paraId="7639FB7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9702D6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19,5</w:t>
            </w:r>
          </w:p>
        </w:tc>
        <w:tc>
          <w:tcPr>
            <w:tcW w:w="1868" w:type="dxa"/>
          </w:tcPr>
          <w:p w14:paraId="4F8A1B3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043B8B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868" w:type="dxa"/>
          </w:tcPr>
          <w:p w14:paraId="41114DB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w:t>
            </w:r>
          </w:p>
        </w:tc>
      </w:tr>
      <w:tr w:rsidR="005106D0" w:rsidRPr="007224C3" w14:paraId="79D6F65D" w14:textId="77777777">
        <w:tc>
          <w:tcPr>
            <w:tcW w:w="1868" w:type="dxa"/>
          </w:tcPr>
          <w:p w14:paraId="48DF640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Дальность макс, км</w:t>
            </w:r>
          </w:p>
        </w:tc>
        <w:tc>
          <w:tcPr>
            <w:tcW w:w="1868" w:type="dxa"/>
          </w:tcPr>
          <w:p w14:paraId="3D0D95D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D3B555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850</w:t>
            </w:r>
          </w:p>
        </w:tc>
        <w:tc>
          <w:tcPr>
            <w:tcW w:w="1868" w:type="dxa"/>
          </w:tcPr>
          <w:p w14:paraId="7846CA5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ECC771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690</w:t>
            </w:r>
          </w:p>
        </w:tc>
        <w:tc>
          <w:tcPr>
            <w:tcW w:w="1868" w:type="dxa"/>
          </w:tcPr>
          <w:p w14:paraId="15019C5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650</w:t>
            </w:r>
          </w:p>
        </w:tc>
      </w:tr>
      <w:tr w:rsidR="005106D0" w:rsidRPr="007224C3" w14:paraId="1B3060C4" w14:textId="77777777">
        <w:tc>
          <w:tcPr>
            <w:tcW w:w="1868" w:type="dxa"/>
            <w:tcBorders>
              <w:bottom w:val="single" w:sz="12" w:space="0" w:color="auto"/>
            </w:tcBorders>
          </w:tcPr>
          <w:p w14:paraId="46B6424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Разбег/пробег, м</w:t>
            </w:r>
          </w:p>
        </w:tc>
        <w:tc>
          <w:tcPr>
            <w:tcW w:w="1868" w:type="dxa"/>
            <w:tcBorders>
              <w:bottom w:val="single" w:sz="12" w:space="0" w:color="auto"/>
            </w:tcBorders>
          </w:tcPr>
          <w:p w14:paraId="591A48D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bottom w:val="single" w:sz="12" w:space="0" w:color="auto"/>
            </w:tcBorders>
          </w:tcPr>
          <w:p w14:paraId="6068EA7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320/575</w:t>
            </w:r>
          </w:p>
        </w:tc>
        <w:tc>
          <w:tcPr>
            <w:tcW w:w="1868" w:type="dxa"/>
            <w:tcBorders>
              <w:bottom w:val="single" w:sz="12" w:space="0" w:color="auto"/>
            </w:tcBorders>
          </w:tcPr>
          <w:p w14:paraId="33F6F3C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bottom w:val="single" w:sz="12" w:space="0" w:color="auto"/>
            </w:tcBorders>
          </w:tcPr>
          <w:p w14:paraId="23F3D7E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868" w:type="dxa"/>
            <w:tcBorders>
              <w:bottom w:val="single" w:sz="12" w:space="0" w:color="auto"/>
            </w:tcBorders>
          </w:tcPr>
          <w:p w14:paraId="5CAE063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390/560</w:t>
            </w:r>
          </w:p>
        </w:tc>
      </w:tr>
    </w:tbl>
    <w:p w14:paraId="29FD065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Наддув двигателя 1100 мм рт. ст. (12046).</w:t>
      </w:r>
    </w:p>
    <w:p w14:paraId="6AE7ECF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Основные данные истребителей Як-9У с двигателями М-107А (ВК-107А)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5106D0" w:rsidRPr="007224C3" w14:paraId="59200FAF" w14:textId="77777777">
        <w:tc>
          <w:tcPr>
            <w:tcW w:w="1868" w:type="dxa"/>
            <w:tcBorders>
              <w:top w:val="single" w:sz="12" w:space="0" w:color="auto"/>
            </w:tcBorders>
          </w:tcPr>
          <w:p w14:paraId="5E7BECD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Тип</w:t>
            </w:r>
          </w:p>
        </w:tc>
        <w:tc>
          <w:tcPr>
            <w:tcW w:w="1868" w:type="dxa"/>
            <w:tcBorders>
              <w:top w:val="single" w:sz="12" w:space="0" w:color="auto"/>
            </w:tcBorders>
          </w:tcPr>
          <w:p w14:paraId="5339FE3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Як-9У</w:t>
            </w:r>
          </w:p>
        </w:tc>
        <w:tc>
          <w:tcPr>
            <w:tcW w:w="1868" w:type="dxa"/>
            <w:tcBorders>
              <w:top w:val="single" w:sz="12" w:space="0" w:color="auto"/>
            </w:tcBorders>
          </w:tcPr>
          <w:p w14:paraId="72D9BB4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Як-9У</w:t>
            </w:r>
          </w:p>
        </w:tc>
        <w:tc>
          <w:tcPr>
            <w:tcW w:w="1868" w:type="dxa"/>
            <w:tcBorders>
              <w:top w:val="single" w:sz="12" w:space="0" w:color="auto"/>
            </w:tcBorders>
          </w:tcPr>
          <w:p w14:paraId="25F34B7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Як-9У2</w:t>
            </w:r>
          </w:p>
        </w:tc>
        <w:tc>
          <w:tcPr>
            <w:tcW w:w="1868" w:type="dxa"/>
            <w:tcBorders>
              <w:top w:val="single" w:sz="12" w:space="0" w:color="auto"/>
            </w:tcBorders>
          </w:tcPr>
          <w:p w14:paraId="01A313F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ЯК-9У</w:t>
            </w:r>
          </w:p>
        </w:tc>
        <w:tc>
          <w:tcPr>
            <w:tcW w:w="1868" w:type="dxa"/>
            <w:tcBorders>
              <w:top w:val="single" w:sz="12" w:space="0" w:color="auto"/>
            </w:tcBorders>
          </w:tcPr>
          <w:p w14:paraId="684278C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ЯК-9У</w:t>
            </w:r>
          </w:p>
        </w:tc>
      </w:tr>
      <w:tr w:rsidR="005106D0" w:rsidRPr="007224C3" w14:paraId="72292386" w14:textId="77777777">
        <w:tc>
          <w:tcPr>
            <w:tcW w:w="1868" w:type="dxa"/>
          </w:tcPr>
          <w:p w14:paraId="3E06840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w:t>
            </w:r>
          </w:p>
        </w:tc>
        <w:tc>
          <w:tcPr>
            <w:tcW w:w="1868" w:type="dxa"/>
          </w:tcPr>
          <w:p w14:paraId="1B03665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115</w:t>
            </w:r>
          </w:p>
        </w:tc>
        <w:tc>
          <w:tcPr>
            <w:tcW w:w="1868" w:type="dxa"/>
          </w:tcPr>
          <w:p w14:paraId="6C791B9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166</w:t>
            </w:r>
          </w:p>
        </w:tc>
        <w:tc>
          <w:tcPr>
            <w:tcW w:w="1868" w:type="dxa"/>
          </w:tcPr>
          <w:p w14:paraId="7D24A52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166 и 115</w:t>
            </w:r>
          </w:p>
        </w:tc>
        <w:tc>
          <w:tcPr>
            <w:tcW w:w="1868" w:type="dxa"/>
          </w:tcPr>
          <w:p w14:paraId="01E1C56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166</w:t>
            </w:r>
          </w:p>
        </w:tc>
        <w:tc>
          <w:tcPr>
            <w:tcW w:w="1868" w:type="dxa"/>
          </w:tcPr>
          <w:p w14:paraId="4D5FE03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82</w:t>
            </w:r>
          </w:p>
        </w:tc>
      </w:tr>
      <w:tr w:rsidR="005106D0" w:rsidRPr="007224C3" w14:paraId="52E8F4F7" w14:textId="77777777">
        <w:tc>
          <w:tcPr>
            <w:tcW w:w="1868" w:type="dxa"/>
          </w:tcPr>
          <w:p w14:paraId="2F44CD7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Серийный №</w:t>
            </w:r>
          </w:p>
        </w:tc>
        <w:tc>
          <w:tcPr>
            <w:tcW w:w="1868" w:type="dxa"/>
          </w:tcPr>
          <w:p w14:paraId="7D8ACC0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опытный</w:t>
            </w:r>
          </w:p>
        </w:tc>
        <w:tc>
          <w:tcPr>
            <w:tcW w:w="1868" w:type="dxa"/>
          </w:tcPr>
          <w:p w14:paraId="50C32B0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39-083</w:t>
            </w:r>
          </w:p>
        </w:tc>
        <w:tc>
          <w:tcPr>
            <w:tcW w:w="1868" w:type="dxa"/>
          </w:tcPr>
          <w:p w14:paraId="6A565B6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41-038</w:t>
            </w:r>
          </w:p>
        </w:tc>
        <w:tc>
          <w:tcPr>
            <w:tcW w:w="1868" w:type="dxa"/>
          </w:tcPr>
          <w:p w14:paraId="0DFE1AB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52-082</w:t>
            </w:r>
          </w:p>
        </w:tc>
        <w:tc>
          <w:tcPr>
            <w:tcW w:w="1868" w:type="dxa"/>
          </w:tcPr>
          <w:p w14:paraId="6852FE0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10-10</w:t>
            </w:r>
          </w:p>
        </w:tc>
      </w:tr>
      <w:tr w:rsidR="005106D0" w:rsidRPr="007224C3" w14:paraId="1C56DE8D" w14:textId="77777777">
        <w:tc>
          <w:tcPr>
            <w:tcW w:w="1868" w:type="dxa"/>
          </w:tcPr>
          <w:p w14:paraId="4E0A831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Мощность, л.с.</w:t>
            </w:r>
          </w:p>
        </w:tc>
        <w:tc>
          <w:tcPr>
            <w:tcW w:w="1868" w:type="dxa"/>
          </w:tcPr>
          <w:p w14:paraId="04530D2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12B585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6E8178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0DAA84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F7666E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01D46C0" w14:textId="77777777">
        <w:tc>
          <w:tcPr>
            <w:tcW w:w="1868" w:type="dxa"/>
          </w:tcPr>
          <w:p w14:paraId="4BA47BE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взлетная</w:t>
            </w:r>
          </w:p>
        </w:tc>
        <w:tc>
          <w:tcPr>
            <w:tcW w:w="1868" w:type="dxa"/>
          </w:tcPr>
          <w:p w14:paraId="0031F4A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868" w:type="dxa"/>
          </w:tcPr>
          <w:p w14:paraId="1782A8A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1500</w:t>
            </w:r>
          </w:p>
        </w:tc>
        <w:tc>
          <w:tcPr>
            <w:tcW w:w="1868" w:type="dxa"/>
          </w:tcPr>
          <w:p w14:paraId="0A8D7C5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1650</w:t>
            </w:r>
          </w:p>
        </w:tc>
        <w:tc>
          <w:tcPr>
            <w:tcW w:w="1868" w:type="dxa"/>
          </w:tcPr>
          <w:p w14:paraId="70E8041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1650</w:t>
            </w:r>
          </w:p>
        </w:tc>
        <w:tc>
          <w:tcPr>
            <w:tcW w:w="1868" w:type="dxa"/>
          </w:tcPr>
          <w:p w14:paraId="0FF25E6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1500</w:t>
            </w:r>
          </w:p>
        </w:tc>
      </w:tr>
      <w:tr w:rsidR="005106D0" w:rsidRPr="007224C3" w14:paraId="79B55ABD" w14:textId="77777777">
        <w:tc>
          <w:tcPr>
            <w:tcW w:w="1868" w:type="dxa"/>
          </w:tcPr>
          <w:p w14:paraId="5E3014B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высоте</w:t>
            </w:r>
          </w:p>
        </w:tc>
        <w:tc>
          <w:tcPr>
            <w:tcW w:w="1868" w:type="dxa"/>
          </w:tcPr>
          <w:p w14:paraId="75973F3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1600/1800</w:t>
            </w:r>
          </w:p>
        </w:tc>
        <w:tc>
          <w:tcPr>
            <w:tcW w:w="1868" w:type="dxa"/>
          </w:tcPr>
          <w:p w14:paraId="4661FF0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1550/1200</w:t>
            </w:r>
          </w:p>
        </w:tc>
        <w:tc>
          <w:tcPr>
            <w:tcW w:w="1868" w:type="dxa"/>
          </w:tcPr>
          <w:p w14:paraId="38823AD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1600/1800</w:t>
            </w:r>
          </w:p>
        </w:tc>
        <w:tc>
          <w:tcPr>
            <w:tcW w:w="1868" w:type="dxa"/>
          </w:tcPr>
          <w:p w14:paraId="7717140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1600/1800'</w:t>
            </w:r>
          </w:p>
        </w:tc>
        <w:tc>
          <w:tcPr>
            <w:tcW w:w="1868" w:type="dxa"/>
          </w:tcPr>
          <w:p w14:paraId="4B6841E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550/1200</w:t>
            </w:r>
          </w:p>
        </w:tc>
      </w:tr>
      <w:tr w:rsidR="005106D0" w:rsidRPr="007224C3" w14:paraId="73AA0F63" w14:textId="77777777">
        <w:tc>
          <w:tcPr>
            <w:tcW w:w="1868" w:type="dxa"/>
          </w:tcPr>
          <w:p w14:paraId="3D66EF5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0F9691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1500/4500</w:t>
            </w:r>
          </w:p>
        </w:tc>
        <w:tc>
          <w:tcPr>
            <w:tcW w:w="1868" w:type="dxa"/>
          </w:tcPr>
          <w:p w14:paraId="6B40D0C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1450/3800</w:t>
            </w:r>
          </w:p>
        </w:tc>
        <w:tc>
          <w:tcPr>
            <w:tcW w:w="1868" w:type="dxa"/>
          </w:tcPr>
          <w:p w14:paraId="309611B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1500/4500</w:t>
            </w:r>
          </w:p>
        </w:tc>
        <w:tc>
          <w:tcPr>
            <w:tcW w:w="1868" w:type="dxa"/>
          </w:tcPr>
          <w:p w14:paraId="0832BF4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1500/3800'</w:t>
            </w:r>
          </w:p>
        </w:tc>
        <w:tc>
          <w:tcPr>
            <w:tcW w:w="1868" w:type="dxa"/>
          </w:tcPr>
          <w:p w14:paraId="1DE19F5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450/3800</w:t>
            </w:r>
          </w:p>
        </w:tc>
      </w:tr>
      <w:tr w:rsidR="005106D0" w:rsidRPr="007224C3" w14:paraId="5EEE2D7C" w14:textId="77777777">
        <w:tc>
          <w:tcPr>
            <w:tcW w:w="1868" w:type="dxa"/>
          </w:tcPr>
          <w:p w14:paraId="5E1D39C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Размах крыла,м</w:t>
            </w:r>
          </w:p>
        </w:tc>
        <w:tc>
          <w:tcPr>
            <w:tcW w:w="1868" w:type="dxa"/>
          </w:tcPr>
          <w:p w14:paraId="223F82F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9,74</w:t>
            </w:r>
          </w:p>
        </w:tc>
        <w:tc>
          <w:tcPr>
            <w:tcW w:w="1868" w:type="dxa"/>
          </w:tcPr>
          <w:p w14:paraId="798FB2C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9,74</w:t>
            </w:r>
          </w:p>
        </w:tc>
        <w:tc>
          <w:tcPr>
            <w:tcW w:w="1868" w:type="dxa"/>
          </w:tcPr>
          <w:p w14:paraId="18CADBA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9,74</w:t>
            </w:r>
          </w:p>
        </w:tc>
        <w:tc>
          <w:tcPr>
            <w:tcW w:w="1868" w:type="dxa"/>
          </w:tcPr>
          <w:p w14:paraId="395981A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9,74</w:t>
            </w:r>
          </w:p>
        </w:tc>
        <w:tc>
          <w:tcPr>
            <w:tcW w:w="1868" w:type="dxa"/>
          </w:tcPr>
          <w:p w14:paraId="39CF409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9,74</w:t>
            </w:r>
          </w:p>
        </w:tc>
      </w:tr>
      <w:tr w:rsidR="005106D0" w:rsidRPr="007224C3" w14:paraId="137D1993" w14:textId="77777777">
        <w:tc>
          <w:tcPr>
            <w:tcW w:w="1868" w:type="dxa"/>
          </w:tcPr>
          <w:p w14:paraId="7253CA3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Длина, м</w:t>
            </w:r>
          </w:p>
        </w:tc>
        <w:tc>
          <w:tcPr>
            <w:tcW w:w="1868" w:type="dxa"/>
          </w:tcPr>
          <w:p w14:paraId="13813D2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8,55</w:t>
            </w:r>
          </w:p>
        </w:tc>
        <w:tc>
          <w:tcPr>
            <w:tcW w:w="1868" w:type="dxa"/>
          </w:tcPr>
          <w:p w14:paraId="6012E7C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8,55</w:t>
            </w:r>
          </w:p>
        </w:tc>
        <w:tc>
          <w:tcPr>
            <w:tcW w:w="1868" w:type="dxa"/>
          </w:tcPr>
          <w:p w14:paraId="5053113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8,55</w:t>
            </w:r>
          </w:p>
        </w:tc>
        <w:tc>
          <w:tcPr>
            <w:tcW w:w="1868" w:type="dxa"/>
          </w:tcPr>
          <w:p w14:paraId="1DC7525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8,55</w:t>
            </w:r>
          </w:p>
        </w:tc>
        <w:tc>
          <w:tcPr>
            <w:tcW w:w="1868" w:type="dxa"/>
          </w:tcPr>
          <w:p w14:paraId="02AF207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8,55</w:t>
            </w:r>
          </w:p>
        </w:tc>
      </w:tr>
      <w:tr w:rsidR="005106D0" w:rsidRPr="007224C3" w14:paraId="741AE328" w14:textId="77777777">
        <w:tc>
          <w:tcPr>
            <w:tcW w:w="1868" w:type="dxa"/>
          </w:tcPr>
          <w:p w14:paraId="414AD38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Площадь крыла, мг</w:t>
            </w:r>
          </w:p>
        </w:tc>
        <w:tc>
          <w:tcPr>
            <w:tcW w:w="1868" w:type="dxa"/>
          </w:tcPr>
          <w:p w14:paraId="6EA2AD1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17,15</w:t>
            </w:r>
          </w:p>
        </w:tc>
        <w:tc>
          <w:tcPr>
            <w:tcW w:w="1868" w:type="dxa"/>
          </w:tcPr>
          <w:p w14:paraId="71D69E7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17,15</w:t>
            </w:r>
          </w:p>
        </w:tc>
        <w:tc>
          <w:tcPr>
            <w:tcW w:w="1868" w:type="dxa"/>
          </w:tcPr>
          <w:p w14:paraId="518A697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17,15</w:t>
            </w:r>
          </w:p>
        </w:tc>
        <w:tc>
          <w:tcPr>
            <w:tcW w:w="1868" w:type="dxa"/>
          </w:tcPr>
          <w:p w14:paraId="45FBD3A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17,15</w:t>
            </w:r>
          </w:p>
        </w:tc>
        <w:tc>
          <w:tcPr>
            <w:tcW w:w="1868" w:type="dxa"/>
          </w:tcPr>
          <w:p w14:paraId="68F402C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17,15</w:t>
            </w:r>
          </w:p>
        </w:tc>
      </w:tr>
      <w:tr w:rsidR="005106D0" w:rsidRPr="007224C3" w14:paraId="6177D46C" w14:textId="77777777">
        <w:tc>
          <w:tcPr>
            <w:tcW w:w="1868" w:type="dxa"/>
          </w:tcPr>
          <w:p w14:paraId="46895A1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Взлетный вес, кг</w:t>
            </w:r>
          </w:p>
        </w:tc>
        <w:tc>
          <w:tcPr>
            <w:tcW w:w="1868" w:type="dxa"/>
          </w:tcPr>
          <w:p w14:paraId="1E51CED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3204</w:t>
            </w:r>
          </w:p>
        </w:tc>
        <w:tc>
          <w:tcPr>
            <w:tcW w:w="1868" w:type="dxa"/>
          </w:tcPr>
          <w:p w14:paraId="4378E79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3204</w:t>
            </w:r>
          </w:p>
        </w:tc>
        <w:tc>
          <w:tcPr>
            <w:tcW w:w="1868" w:type="dxa"/>
          </w:tcPr>
          <w:p w14:paraId="1058A13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3145</w:t>
            </w:r>
          </w:p>
        </w:tc>
        <w:tc>
          <w:tcPr>
            <w:tcW w:w="1868" w:type="dxa"/>
          </w:tcPr>
          <w:p w14:paraId="332E426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3268</w:t>
            </w:r>
          </w:p>
        </w:tc>
        <w:tc>
          <w:tcPr>
            <w:tcW w:w="1868" w:type="dxa"/>
          </w:tcPr>
          <w:p w14:paraId="10B7425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3197</w:t>
            </w:r>
          </w:p>
        </w:tc>
      </w:tr>
      <w:tr w:rsidR="005106D0" w:rsidRPr="007224C3" w14:paraId="7E2F12D5" w14:textId="77777777">
        <w:tc>
          <w:tcPr>
            <w:tcW w:w="1868" w:type="dxa"/>
          </w:tcPr>
          <w:p w14:paraId="4D1D198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 пустого, кг</w:t>
            </w:r>
          </w:p>
        </w:tc>
        <w:tc>
          <w:tcPr>
            <w:tcW w:w="1868" w:type="dxa"/>
          </w:tcPr>
          <w:p w14:paraId="70688E1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868" w:type="dxa"/>
          </w:tcPr>
          <w:p w14:paraId="762081A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2512</w:t>
            </w:r>
          </w:p>
        </w:tc>
        <w:tc>
          <w:tcPr>
            <w:tcW w:w="1868" w:type="dxa"/>
          </w:tcPr>
          <w:p w14:paraId="581A56B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2498</w:t>
            </w:r>
          </w:p>
        </w:tc>
        <w:tc>
          <w:tcPr>
            <w:tcW w:w="1868" w:type="dxa"/>
          </w:tcPr>
          <w:p w14:paraId="057D276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2596</w:t>
            </w:r>
          </w:p>
        </w:tc>
        <w:tc>
          <w:tcPr>
            <w:tcW w:w="1868" w:type="dxa"/>
          </w:tcPr>
          <w:p w14:paraId="2D5DAFD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2529</w:t>
            </w:r>
          </w:p>
        </w:tc>
      </w:tr>
      <w:tr w:rsidR="005106D0" w:rsidRPr="007224C3" w14:paraId="67F90A93" w14:textId="77777777">
        <w:tc>
          <w:tcPr>
            <w:tcW w:w="1868" w:type="dxa"/>
          </w:tcPr>
          <w:p w14:paraId="6EF265C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 топлива, кг</w:t>
            </w:r>
          </w:p>
        </w:tc>
        <w:tc>
          <w:tcPr>
            <w:tcW w:w="1868" w:type="dxa"/>
          </w:tcPr>
          <w:p w14:paraId="6437221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355</w:t>
            </w:r>
          </w:p>
        </w:tc>
        <w:tc>
          <w:tcPr>
            <w:tcW w:w="1868" w:type="dxa"/>
          </w:tcPr>
          <w:p w14:paraId="3223990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380</w:t>
            </w:r>
          </w:p>
        </w:tc>
        <w:tc>
          <w:tcPr>
            <w:tcW w:w="1868" w:type="dxa"/>
          </w:tcPr>
          <w:p w14:paraId="1AB1B49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351</w:t>
            </w:r>
          </w:p>
        </w:tc>
        <w:tc>
          <w:tcPr>
            <w:tcW w:w="1868" w:type="dxa"/>
          </w:tcPr>
          <w:p w14:paraId="2E6A276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360</w:t>
            </w:r>
          </w:p>
        </w:tc>
        <w:tc>
          <w:tcPr>
            <w:tcW w:w="1868" w:type="dxa"/>
          </w:tcPr>
          <w:p w14:paraId="397566E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3A4AF0A1" w14:textId="77777777">
        <w:tc>
          <w:tcPr>
            <w:tcW w:w="1868" w:type="dxa"/>
          </w:tcPr>
          <w:p w14:paraId="581789C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Скорость макс., км/ч</w:t>
            </w:r>
          </w:p>
        </w:tc>
        <w:tc>
          <w:tcPr>
            <w:tcW w:w="1868" w:type="dxa"/>
          </w:tcPr>
          <w:p w14:paraId="1A0CC7F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75F5B0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0347D7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8BD977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C699A2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A708F8D" w14:textId="77777777">
        <w:tc>
          <w:tcPr>
            <w:tcW w:w="1868" w:type="dxa"/>
          </w:tcPr>
          <w:p w14:paraId="67FE280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 земли</w:t>
            </w:r>
          </w:p>
        </w:tc>
        <w:tc>
          <w:tcPr>
            <w:tcW w:w="1868" w:type="dxa"/>
          </w:tcPr>
          <w:p w14:paraId="1C518E3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600</w:t>
            </w:r>
          </w:p>
        </w:tc>
        <w:tc>
          <w:tcPr>
            <w:tcW w:w="1868" w:type="dxa"/>
          </w:tcPr>
          <w:p w14:paraId="7FC8FA3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575</w:t>
            </w:r>
          </w:p>
        </w:tc>
        <w:tc>
          <w:tcPr>
            <w:tcW w:w="1868" w:type="dxa"/>
          </w:tcPr>
          <w:p w14:paraId="5C33F8F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577</w:t>
            </w:r>
          </w:p>
        </w:tc>
        <w:tc>
          <w:tcPr>
            <w:tcW w:w="1868" w:type="dxa"/>
          </w:tcPr>
          <w:p w14:paraId="50E294E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572</w:t>
            </w:r>
          </w:p>
        </w:tc>
        <w:tc>
          <w:tcPr>
            <w:tcW w:w="1868" w:type="dxa"/>
          </w:tcPr>
          <w:p w14:paraId="1F779A8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564</w:t>
            </w:r>
          </w:p>
        </w:tc>
      </w:tr>
      <w:tr w:rsidR="005106D0" w:rsidRPr="007224C3" w14:paraId="79F08FC2" w14:textId="77777777">
        <w:tc>
          <w:tcPr>
            <w:tcW w:w="1868" w:type="dxa"/>
          </w:tcPr>
          <w:p w14:paraId="5B3FF1E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1-й гр. высотности, м</w:t>
            </w:r>
          </w:p>
        </w:tc>
        <w:tc>
          <w:tcPr>
            <w:tcW w:w="1868" w:type="dxa"/>
          </w:tcPr>
          <w:p w14:paraId="3F2F46E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676/3000</w:t>
            </w:r>
          </w:p>
        </w:tc>
        <w:tc>
          <w:tcPr>
            <w:tcW w:w="1868" w:type="dxa"/>
          </w:tcPr>
          <w:p w14:paraId="13BF5FD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636/2500</w:t>
            </w:r>
          </w:p>
        </w:tc>
        <w:tc>
          <w:tcPr>
            <w:tcW w:w="1868" w:type="dxa"/>
          </w:tcPr>
          <w:p w14:paraId="2FCD5C4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641/2950</w:t>
            </w:r>
          </w:p>
        </w:tc>
        <w:tc>
          <w:tcPr>
            <w:tcW w:w="1868" w:type="dxa"/>
          </w:tcPr>
          <w:p w14:paraId="7459019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648/3300</w:t>
            </w:r>
          </w:p>
        </w:tc>
        <w:tc>
          <w:tcPr>
            <w:tcW w:w="1868" w:type="dxa"/>
          </w:tcPr>
          <w:p w14:paraId="159E6E0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632/2700</w:t>
            </w:r>
          </w:p>
        </w:tc>
      </w:tr>
      <w:tr w:rsidR="005106D0" w:rsidRPr="007224C3" w14:paraId="3336995B" w14:textId="77777777">
        <w:tc>
          <w:tcPr>
            <w:tcW w:w="1868" w:type="dxa"/>
          </w:tcPr>
          <w:p w14:paraId="1CC7F7A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2-й гр. высотности, м</w:t>
            </w:r>
          </w:p>
        </w:tc>
        <w:tc>
          <w:tcPr>
            <w:tcW w:w="1868" w:type="dxa"/>
          </w:tcPr>
          <w:p w14:paraId="3E752E1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700/5500</w:t>
            </w:r>
          </w:p>
        </w:tc>
        <w:tc>
          <w:tcPr>
            <w:tcW w:w="1868" w:type="dxa"/>
          </w:tcPr>
          <w:p w14:paraId="30751EF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672/5000</w:t>
            </w:r>
          </w:p>
        </w:tc>
        <w:tc>
          <w:tcPr>
            <w:tcW w:w="1868" w:type="dxa"/>
          </w:tcPr>
          <w:p w14:paraId="1830B21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676/5900</w:t>
            </w:r>
          </w:p>
        </w:tc>
        <w:tc>
          <w:tcPr>
            <w:tcW w:w="1868" w:type="dxa"/>
          </w:tcPr>
          <w:p w14:paraId="1F2CA1C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680/5850</w:t>
            </w:r>
          </w:p>
        </w:tc>
        <w:tc>
          <w:tcPr>
            <w:tcW w:w="1868" w:type="dxa"/>
          </w:tcPr>
          <w:p w14:paraId="0E461F9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668/5300</w:t>
            </w:r>
          </w:p>
        </w:tc>
      </w:tr>
      <w:tr w:rsidR="005106D0" w:rsidRPr="007224C3" w14:paraId="18450F4E" w14:textId="77777777">
        <w:tc>
          <w:tcPr>
            <w:tcW w:w="1868" w:type="dxa"/>
          </w:tcPr>
          <w:p w14:paraId="50A6060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Время набора</w:t>
            </w:r>
          </w:p>
        </w:tc>
        <w:tc>
          <w:tcPr>
            <w:tcW w:w="1868" w:type="dxa"/>
          </w:tcPr>
          <w:p w14:paraId="0C434AA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C940DB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6DFC50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197892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D7623B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9C0AA70" w14:textId="77777777">
        <w:tc>
          <w:tcPr>
            <w:tcW w:w="1868" w:type="dxa"/>
          </w:tcPr>
          <w:p w14:paraId="2C68E56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высоты 5000 м, мин</w:t>
            </w:r>
          </w:p>
        </w:tc>
        <w:tc>
          <w:tcPr>
            <w:tcW w:w="1868" w:type="dxa"/>
          </w:tcPr>
          <w:p w14:paraId="4F36420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4,1</w:t>
            </w:r>
          </w:p>
        </w:tc>
        <w:tc>
          <w:tcPr>
            <w:tcW w:w="1868" w:type="dxa"/>
          </w:tcPr>
          <w:p w14:paraId="6F8F6ED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tc>
        <w:tc>
          <w:tcPr>
            <w:tcW w:w="1868" w:type="dxa"/>
          </w:tcPr>
          <w:p w14:paraId="6C9D053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4,4</w:t>
            </w:r>
          </w:p>
        </w:tc>
        <w:tc>
          <w:tcPr>
            <w:tcW w:w="1868" w:type="dxa"/>
          </w:tcPr>
          <w:p w14:paraId="5EDD6B8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5,4/4,4</w:t>
            </w:r>
          </w:p>
        </w:tc>
        <w:tc>
          <w:tcPr>
            <w:tcW w:w="1868" w:type="dxa"/>
          </w:tcPr>
          <w:p w14:paraId="6F736A4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4,9</w:t>
            </w:r>
          </w:p>
        </w:tc>
      </w:tr>
      <w:tr w:rsidR="005106D0" w:rsidRPr="007224C3" w14:paraId="7E357E61" w14:textId="77777777">
        <w:tc>
          <w:tcPr>
            <w:tcW w:w="1868" w:type="dxa"/>
          </w:tcPr>
          <w:p w14:paraId="2F576EB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Практический потолок, м</w:t>
            </w:r>
          </w:p>
        </w:tc>
        <w:tc>
          <w:tcPr>
            <w:tcW w:w="1868" w:type="dxa"/>
          </w:tcPr>
          <w:p w14:paraId="483F4F2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868" w:type="dxa"/>
          </w:tcPr>
          <w:p w14:paraId="3FCB670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10650</w:t>
            </w:r>
          </w:p>
        </w:tc>
        <w:tc>
          <w:tcPr>
            <w:tcW w:w="1868" w:type="dxa"/>
          </w:tcPr>
          <w:p w14:paraId="793B45C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10850</w:t>
            </w:r>
          </w:p>
        </w:tc>
        <w:tc>
          <w:tcPr>
            <w:tcW w:w="1868" w:type="dxa"/>
          </w:tcPr>
          <w:p w14:paraId="71F21C1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868" w:type="dxa"/>
          </w:tcPr>
          <w:p w14:paraId="702CB55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7BBC2C45" w14:textId="77777777">
        <w:tc>
          <w:tcPr>
            <w:tcW w:w="1868" w:type="dxa"/>
          </w:tcPr>
          <w:p w14:paraId="653E3CD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Время виража</w:t>
            </w:r>
          </w:p>
        </w:tc>
        <w:tc>
          <w:tcPr>
            <w:tcW w:w="1868" w:type="dxa"/>
          </w:tcPr>
          <w:p w14:paraId="1FB193D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A82A49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0F0C86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0454DB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DC3630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3695EC3" w14:textId="77777777">
        <w:tc>
          <w:tcPr>
            <w:tcW w:w="1868" w:type="dxa"/>
          </w:tcPr>
          <w:p w14:paraId="7CFB585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высоте 1000 м,</w:t>
            </w:r>
          </w:p>
        </w:tc>
        <w:tc>
          <w:tcPr>
            <w:tcW w:w="1868" w:type="dxa"/>
          </w:tcPr>
          <w:p w14:paraId="5179C70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18,5</w:t>
            </w:r>
          </w:p>
        </w:tc>
        <w:tc>
          <w:tcPr>
            <w:tcW w:w="1868" w:type="dxa"/>
          </w:tcPr>
          <w:p w14:paraId="47D4DF8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868" w:type="dxa"/>
          </w:tcPr>
          <w:p w14:paraId="4C915B7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868" w:type="dxa"/>
          </w:tcPr>
          <w:p w14:paraId="7F6FFC3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868" w:type="dxa"/>
          </w:tcPr>
          <w:p w14:paraId="062BA51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21E33E0F" w14:textId="77777777">
        <w:tc>
          <w:tcPr>
            <w:tcW w:w="1868" w:type="dxa"/>
            <w:tcBorders>
              <w:bottom w:val="single" w:sz="12" w:space="0" w:color="auto"/>
            </w:tcBorders>
          </w:tcPr>
          <w:p w14:paraId="0C653EE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Дальность макс, км</w:t>
            </w:r>
          </w:p>
        </w:tc>
        <w:tc>
          <w:tcPr>
            <w:tcW w:w="1868" w:type="dxa"/>
            <w:tcBorders>
              <w:bottom w:val="single" w:sz="12" w:space="0" w:color="auto"/>
            </w:tcBorders>
          </w:tcPr>
          <w:p w14:paraId="232AD22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884</w:t>
            </w:r>
          </w:p>
        </w:tc>
        <w:tc>
          <w:tcPr>
            <w:tcW w:w="1868" w:type="dxa"/>
            <w:tcBorders>
              <w:bottom w:val="single" w:sz="12" w:space="0" w:color="auto"/>
            </w:tcBorders>
          </w:tcPr>
          <w:p w14:paraId="3CCCD86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675"</w:t>
            </w:r>
          </w:p>
        </w:tc>
        <w:tc>
          <w:tcPr>
            <w:tcW w:w="1868" w:type="dxa"/>
            <w:tcBorders>
              <w:bottom w:val="single" w:sz="12" w:space="0" w:color="auto"/>
            </w:tcBorders>
          </w:tcPr>
          <w:p w14:paraId="199747D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10603)</w:t>
            </w:r>
          </w:p>
        </w:tc>
        <w:tc>
          <w:tcPr>
            <w:tcW w:w="1868" w:type="dxa"/>
            <w:tcBorders>
              <w:bottom w:val="single" w:sz="12" w:space="0" w:color="auto"/>
            </w:tcBorders>
          </w:tcPr>
          <w:p w14:paraId="5BAB6A6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868" w:type="dxa"/>
            <w:tcBorders>
              <w:bottom w:val="single" w:sz="12" w:space="0" w:color="auto"/>
            </w:tcBorders>
          </w:tcPr>
          <w:p w14:paraId="5A1CE75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7855</w:t>
            </w:r>
          </w:p>
        </w:tc>
      </w:tr>
    </w:tbl>
    <w:p w14:paraId="25D0964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По результатам испытаний</w:t>
      </w:r>
      <w:r w:rsidRPr="007224C3">
        <w:rPr>
          <w:rFonts w:ascii="Times New Roman" w:hAnsi="Times New Roman"/>
          <w:color w:val="000000" w:themeColor="text1"/>
          <w:sz w:val="16"/>
          <w:szCs w:val="16"/>
        </w:rPr>
        <w:tab/>
        <w:t>в январе 1941 г.</w:t>
      </w:r>
      <w:r w:rsidRPr="007224C3">
        <w:rPr>
          <w:rFonts w:ascii="Times New Roman" w:hAnsi="Times New Roman"/>
          <w:color w:val="000000" w:themeColor="text1"/>
          <w:sz w:val="16"/>
          <w:szCs w:val="16"/>
        </w:rPr>
        <w:tab/>
      </w:r>
      <w:r w:rsidRPr="007224C3">
        <w:rPr>
          <w:rFonts w:ascii="Times New Roman" w:hAnsi="Times New Roman"/>
          <w:color w:val="000000" w:themeColor="text1"/>
          <w:sz w:val="16"/>
          <w:szCs w:val="16"/>
        </w:rPr>
        <w:tab/>
      </w:r>
      <w:r w:rsidRPr="007224C3">
        <w:rPr>
          <w:rFonts w:ascii="Times New Roman" w:hAnsi="Times New Roman"/>
          <w:color w:val="000000" w:themeColor="text1"/>
          <w:sz w:val="16"/>
          <w:szCs w:val="16"/>
        </w:rPr>
        <w:tab/>
      </w:r>
      <w:r w:rsidRPr="007224C3">
        <w:rPr>
          <w:rFonts w:ascii="Times New Roman" w:hAnsi="Times New Roman"/>
          <w:color w:val="000000" w:themeColor="text1"/>
          <w:sz w:val="16"/>
          <w:szCs w:val="16"/>
        </w:rPr>
        <w:tab/>
      </w:r>
    </w:p>
    <w:p w14:paraId="4E22BB1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Эталон 1945 г.</w:t>
      </w:r>
    </w:p>
    <w:p w14:paraId="256F9D1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На наивыгоднейшем режиме (скорость 314 км/ч и высота 1000 м), продолжительность полета 3 часа 23 минуты. На режиме скоростной дальности (0,9 от максимальной) - 640 км и продолжительность 1 час 18 минут).</w:t>
      </w:r>
    </w:p>
    <w:p w14:paraId="45EA8FB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На скорости 508 км/ч и высоте 5070 м, продолжительность полета 1 час 21 минута.</w:t>
      </w:r>
    </w:p>
    <w:p w14:paraId="52982BD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На скорости 509 км/ч и высоте 5040 м, продолжительность полета 1 час 33 минуты) (12046).</w:t>
      </w:r>
    </w:p>
    <w:p w14:paraId="32D667B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656A3E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апреля 1944 Зам. Нач. 8 ГУ Воликов подготовил Докладную справку N 273с для А.И.Ш. по вопросу обеспечения высотных истребителей (Ла, МиГ и Як) (1824,5).</w:t>
      </w:r>
    </w:p>
    <w:p w14:paraId="24DC05B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D3AA3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20 апреля 1944 состояние опытного строительства на 21 заводе было следующим:</w:t>
      </w:r>
    </w:p>
    <w:p w14:paraId="7E3632C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 Ла-7 АШ-83 “дублер” - на рулении сложился костыль, разрушен 14 шпангоут. С-т находится в ремонте.</w:t>
      </w:r>
    </w:p>
    <w:p w14:paraId="0046257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Ла-5 М-71 строительством закончен. Окраска задерживается.</w:t>
      </w:r>
    </w:p>
    <w:p w14:paraId="1E17990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с-те Ла-5 проводились испытания (на выброс масла из дренажа) с увеличенным диаметром трубопроводов от суфлера бачка к масло...</w:t>
      </w:r>
    </w:p>
    <w:p w14:paraId="0A574D4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Выброс масла продолжается. В связи с некоторым улучшением по вопросу, ГК дал указание устанавливать суфлеры бачка с первой серии Ла-7</w:t>
      </w:r>
    </w:p>
    <w:p w14:paraId="523BB46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Проводятся летные испытания с-та Ла-5 ФН с автоматикой.</w:t>
      </w:r>
    </w:p>
    <w:p w14:paraId="578545B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цехе сборки начата сборка 2-1 серии с-та Ла-5ФН типа 41 с металлизацией.</w:t>
      </w:r>
    </w:p>
    <w:p w14:paraId="2ED1277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Закончена сбрка центроплана с ламинарным профилем.</w:t>
      </w:r>
    </w:p>
    <w:p w14:paraId="28E40F3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На аэродром вышли 11 Ла-5ФН, оборудованные АРТЦ -43, часть прошла летные испытания. Отзывы л положительные (738,21).</w:t>
      </w:r>
    </w:p>
    <w:p w14:paraId="5027BA8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2B537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апреля 1944 года зам. гл. конструктора ОКБ Вигант.</w:t>
      </w:r>
    </w:p>
    <w:p w14:paraId="5C2EADB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Результаты</w:t>
      </w:r>
    </w:p>
    <w:p w14:paraId="05CB0E0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испытаний самолета ЯК-9-37 с винтами ВИШ-61П 9 серии</w:t>
      </w:r>
    </w:p>
    <w:p w14:paraId="59E55C5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Винт ВИШ-61П 9 серии, установленный на самолете ЯК-9-37 прошел совместные, ЛИИ и ОКБ завода N 115, испытания, на основании которых можно сделать следующие выводы:</w:t>
      </w:r>
    </w:p>
    <w:p w14:paraId="4F14218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Монтаж винта ВИШ-61П 9 серии аналогичен винту ВИШ-61П.</w:t>
      </w:r>
    </w:p>
    <w:p w14:paraId="5256895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Винт допускает установку серийного кока, при условии переделки храповика.</w:t>
      </w:r>
    </w:p>
    <w:p w14:paraId="5CE0886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Габариты втулки винта позволяют установку пушки 11 П калибра 37 мм.</w:t>
      </w:r>
    </w:p>
    <w:p w14:paraId="2CDDCC8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Управление винтом ВИШ-61 П 9 серии аналогично винту ВИШ-61П.</w:t>
      </w:r>
    </w:p>
    <w:p w14:paraId="53FC539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При летных испытаниях самолета ЯК-9-37 с винтом ВИШ-61П 9 серии, получены следующие летные характеристики: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5106D0" w:rsidRPr="007224C3" w14:paraId="6308A90C" w14:textId="77777777">
        <w:tc>
          <w:tcPr>
            <w:tcW w:w="3757" w:type="dxa"/>
          </w:tcPr>
          <w:p w14:paraId="121F03E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 скорость у земли</w:t>
            </w:r>
          </w:p>
        </w:tc>
        <w:tc>
          <w:tcPr>
            <w:tcW w:w="3757" w:type="dxa"/>
          </w:tcPr>
          <w:p w14:paraId="4AE54BB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544 км/час</w:t>
            </w:r>
          </w:p>
        </w:tc>
        <w:tc>
          <w:tcPr>
            <w:tcW w:w="3757" w:type="dxa"/>
          </w:tcPr>
          <w:p w14:paraId="5995CDE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579CEF3" w14:textId="77777777">
        <w:tc>
          <w:tcPr>
            <w:tcW w:w="3757" w:type="dxa"/>
          </w:tcPr>
          <w:p w14:paraId="5E4A2FE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 скорость на 2-й</w:t>
            </w:r>
          </w:p>
        </w:tc>
        <w:tc>
          <w:tcPr>
            <w:tcW w:w="3757" w:type="dxa"/>
          </w:tcPr>
          <w:p w14:paraId="5F1CF5D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750FAD5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4D7DC35" w14:textId="77777777">
        <w:tc>
          <w:tcPr>
            <w:tcW w:w="3757" w:type="dxa"/>
          </w:tcPr>
          <w:p w14:paraId="5D05334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границе высотности </w:t>
            </w:r>
          </w:p>
        </w:tc>
        <w:tc>
          <w:tcPr>
            <w:tcW w:w="3757" w:type="dxa"/>
          </w:tcPr>
          <w:p w14:paraId="2B8D973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71EE0F8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613 км/час</w:t>
            </w:r>
          </w:p>
        </w:tc>
      </w:tr>
      <w:tr w:rsidR="005106D0" w:rsidRPr="007224C3" w14:paraId="6E5E9A62" w14:textId="77777777">
        <w:tc>
          <w:tcPr>
            <w:tcW w:w="3757" w:type="dxa"/>
          </w:tcPr>
          <w:p w14:paraId="7827AF7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Скороподъемность на 5000 м</w:t>
            </w:r>
          </w:p>
        </w:tc>
        <w:tc>
          <w:tcPr>
            <w:tcW w:w="3757" w:type="dxa"/>
          </w:tcPr>
          <w:p w14:paraId="2582B29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5,4 мин.</w:t>
            </w:r>
          </w:p>
        </w:tc>
        <w:tc>
          <w:tcPr>
            <w:tcW w:w="3757" w:type="dxa"/>
          </w:tcPr>
          <w:p w14:paraId="2209D5D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3E55A1A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Заключение</w:t>
      </w:r>
    </w:p>
    <w:p w14:paraId="76276DD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Винт ВИШ-61П серии 9 пригоден для установки на самолетах ЯК-9 с пушкой 11п калибра 37 мм (1821).</w:t>
      </w:r>
    </w:p>
    <w:p w14:paraId="61ADB9B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BA1E1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апреля 1944 года начальник НИИ ВВС генерал-лейтенант инженерной службы Лосюков и начальник 3-го отдела НИИ ВВС инженер-полковник Сафронов писали письмо N 3/0654 гл. инженеру ВВС генерал-полковнику Репину А.К., Шахурину, управление кадров ЦК ВКП(б) генерал лейтенанту авиации Шиманову Н.С.</w:t>
      </w:r>
    </w:p>
    <w:p w14:paraId="5F21EB5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Самолеты Ту-2с в частях ВВС не могут быть использованы с достаточной эффективностью, из-за ряда не устраненных на них дефектов:</w:t>
      </w:r>
    </w:p>
    <w:p w14:paraId="334E5A4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Неудовлетворительного обзора штурману для ведения детальной ориентировки и плохого просмотра штурманом цели при подходе к ней, что значительно ухудшает условия для бомбометания.</w:t>
      </w:r>
    </w:p>
    <w:p w14:paraId="5FE9F7F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Недостаточной путевой устойчивости самолета, что осложняет пилотирование самолета в сложных метеусловиях и ночью.</w:t>
      </w:r>
    </w:p>
    <w:p w14:paraId="2DDA6B9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Неудовлетворительного обзора летчику, из-за неудачной конструкции фонаря.</w:t>
      </w:r>
    </w:p>
    <w:p w14:paraId="2F5F384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Раскрутки винтов АВ-5-167А (обратной схемы) с регулятором Р-7 на пикировании.</w:t>
      </w:r>
    </w:p>
    <w:p w14:paraId="72FFF31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Сложности выполнения ночных полетов, из-за: неудовлетворительного освещения основных приборов в кабине летчика, ненадежности и плохой работы фары, плохого обзора летчику и, особенно, штурману для ведения ориентировки в полете.</w:t>
      </w:r>
    </w:p>
    <w:p w14:paraId="601E4CC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Разрушения покрышки костыльного колеса.</w:t>
      </w:r>
    </w:p>
    <w:p w14:paraId="0574D68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Массового отказа свечей ВГ-27 и ВГ-12 на моторах АШ-82-ФН.</w:t>
      </w:r>
    </w:p>
    <w:p w14:paraId="6E559C4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Отказов и неудовлетворительной работы бензочасов, вследствие чего контроль за выработкой горючего в частях ВВС производится только по времени работы моторов.</w:t>
      </w:r>
    </w:p>
    <w:p w14:paraId="655A31D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Массового разрушения выхлопных коллекторов.</w:t>
      </w:r>
    </w:p>
    <w:p w14:paraId="5036759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Медленной заправки горючего.</w:t>
      </w:r>
    </w:p>
    <w:p w14:paraId="544A316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Частых случаев течи масла из под уплотнений кожухов-толкателей, фланцев крепления: АК-50, РС-2 и Р-7;</w:t>
      </w:r>
    </w:p>
    <w:p w14:paraId="3D56B09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также из-за других не устраненных дефектов, указанных в прилагаемой справке.</w:t>
      </w:r>
    </w:p>
    <w:p w14:paraId="41C2293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проведения мероприятий по устранению некоторых из приведенных выше дефектов, гл. конструктором завода N 156 Туполевым спущены чертежи на зав. N 23, но устранение дефектов по чертежам гл. конструктора - задерживается, из-за отсутствия разрешения НКАП.</w:t>
      </w:r>
    </w:p>
    <w:p w14:paraId="50B4D77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Почти по всем указываемым в прилагаемой справке дефектов, гл. конструктором зав. N 156 и НИИ ВВС подготовлены решения по устранению дефектов в серии.</w:t>
      </w:r>
    </w:p>
    <w:p w14:paraId="44BA9C9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декабря 1943 года гл. инженером ВВС был утвержден макет носовой части серийного самолета Ту-2 с новым фонарем и с улучшенным обзором для штурмана. Завод N 23 изготовил по чертежам гл. конструктора шаблоны для нового фонаря, но дальнейшие работы по фонарю были приостановлены указанием НКАП.</w:t>
      </w:r>
    </w:p>
    <w:p w14:paraId="461614B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НИИ ВВС в марте 1944 г. были проведены испытания самолета Ту-2 N 716 с увеличенными килями. На испытаниях была подобрана площадь килей, обеспечивающая самолету Ту-2 хорошую путевую устойчивость. Увеличенное вертикальное оперение рекомендовано для серийных самолетов.</w:t>
      </w:r>
    </w:p>
    <w:p w14:paraId="58256B5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отработки мероприятий по устранению раскрутки винта АВ-5-167А, в НИИ ВВС в январе 44 года на самолете Ту-2 N 716 были проведены гос. испытания винтов прямой схемы АВ-5В-167А.</w:t>
      </w:r>
    </w:p>
    <w:p w14:paraId="2E9512E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Винты прямой схемы показали хорошие результаты, дефект раскрутки винта на пикировании был устранен и данные винты были рекомендованы для срочной установки на самолеты Ту-2, как на заводе, так и в частях ВВС.</w:t>
      </w:r>
    </w:p>
    <w:p w14:paraId="2801DC6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Большинство отмеченных выше дефектов можно устранить не задерживая выпуск серийных самолетов Ту-2с.</w:t>
      </w:r>
    </w:p>
    <w:p w14:paraId="6A719B7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настоящее время работы по устранению основных дефектов завод N 23 не ведет.</w:t>
      </w:r>
    </w:p>
    <w:p w14:paraId="2365C64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Сроки устранения дефектов в серии все еще не установлены, несмотря на решение наркома Авиапрома Шахурина от 2 декабря 1943 года, обязывающие директора и гл. конструктора завода N 23 - устранить указанные выше дефекты и предъявить НИИ ВВС к 1 января самолет Ту-2 с новым фонарем с улучшенным обзором для штурмана (заключение Акта по совместным испытаниям самолета Ту-2 N 716 в НИИ ВВС в 1943 г.).</w:t>
      </w:r>
    </w:p>
    <w:p w14:paraId="12734A9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Прошу Вас, в целях обеспечения большей эффективности боевого применения самолетов Ту-2с:</w:t>
      </w:r>
    </w:p>
    <w:p w14:paraId="6C002A7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Установить сроки устранения заводом N 23 в серии дефектов, указанных в 1 разделе прилагаемой справки, по которым гл. конструктором зав. N 156 Туполевым спущены на зав. N 23 чертежи, согласованные с НИИ ВВС.</w:t>
      </w:r>
    </w:p>
    <w:p w14:paraId="5D69DAE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Обязать директора и гл. конструктора завода N 23, в соответствии с решением наркома Авиапрома Шахурина от 2 декабря 1943 года предъявить НИИ ВВС к 15 мая 1944 года серийный самолет Ту-2с с новым фонарем, с улучшенным обзором для штурмана, с увеличенным вертикальным оперением, оборудованный прицелом НКПБ-7 и автоматом курса АК-1.</w:t>
      </w:r>
    </w:p>
    <w:p w14:paraId="40FF379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Дать указание о поставке заводу N 23 усиленных хвостовых колес с увеличенным числом слоев корда и установить срок поставки их заводу N 23.</w:t>
      </w:r>
    </w:p>
    <w:p w14:paraId="1A038E3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 Дать указания о дополнительном, срочном выпуске опытной партии авиасвечей АС-130, как наиболее надежных, по сравнению со свечами ВГ-27, ВГ-25 и ВГ-12 (для обеспечения нормальной эксплуатации самолетов Ту-2 и для массовой проверки свечей АС-130 на всех самолетах Ту-2 в 334-й БАД).</w:t>
      </w:r>
    </w:p>
    <w:p w14:paraId="1574AED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 Обязать гл. конструктора зав. 156 Туполева срочно предъявить заводу N 23 чертежи по устранению всех конструктивных дефектов, отмеченных во 2-м разделе прилагаемой справки, а директора завода N 23 - устранить в серии дефекты, указанные во 2 и 4 разделах прилагаемой справки, в установленный Вами срок.</w:t>
      </w:r>
    </w:p>
    <w:p w14:paraId="3863A76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Приложение: Справка об основных дефектах с-та Ту-2 на 5 листах (1821).</w:t>
      </w:r>
    </w:p>
    <w:p w14:paraId="6218D5B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CC483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апреля 1944 И.Д.Полосухин на Москито перелетел из Данди (Северная Шотландия) во Внуково чтобы передать самолет на испытания в НИИ ВВС (438,902).</w:t>
      </w:r>
    </w:p>
    <w:p w14:paraId="50FA50C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FA899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апреля 1944 в состав Северного флота вошел крейсер Мурманск, бывший Milwaukee, оснащенный двумя Кингфишерами, которые использовались до 1949 - времени возвращения крейсера в США (9079).</w:t>
      </w:r>
    </w:p>
    <w:p w14:paraId="7F7D136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5E8DC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апреля 1944 был готов эскизный проект планера Г-31 В.К.Грибовского. Мог перевозить Виллис, 45 мм, 57 мм и 76 мм пушки, мотоцикл с коляской и любые грузы весом до 1500 кг. К реализации не приняли, но планер с аналогичными характеристиками САМ-23 поручили А.С.Москалеву (94,100).</w:t>
      </w:r>
    </w:p>
    <w:p w14:paraId="5271845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EE422F" w14:textId="77777777" w:rsidR="00552857" w:rsidRPr="007224C3" w:rsidRDefault="0055285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апреля 1944 г. крейсер «Милуоки» по прибытии получил имя «Мурманск» и вошел в состав Северного флота. Два «Кингфишера», как уже говорилось выше, прибыли в СССР на борту. На «Кингфишеры» нанесли советские опознавательные знаки и бортовые номера 1 и 2. Самолеты закрепили за 118-м отдельным разведывательным пол</w:t>
      </w:r>
      <w:r w:rsidRPr="007224C3">
        <w:rPr>
          <w:rFonts w:ascii="Times New Roman" w:hAnsi="Times New Roman"/>
          <w:color w:val="000000" w:themeColor="text1"/>
          <w:sz w:val="16"/>
          <w:szCs w:val="16"/>
        </w:rPr>
        <w:softHyphen/>
        <w:t>ком и использовали до возвращения корабля США в 1949 г.</w:t>
      </w:r>
    </w:p>
    <w:p w14:paraId="3A6E03B4" w14:textId="77777777" w:rsidR="00552857" w:rsidRPr="007224C3" w:rsidRDefault="0055285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1943 г., после капитуляции Италии, Совет</w:t>
      </w:r>
      <w:r w:rsidRPr="007224C3">
        <w:rPr>
          <w:rFonts w:ascii="Times New Roman" w:hAnsi="Times New Roman"/>
          <w:color w:val="000000" w:themeColor="text1"/>
          <w:sz w:val="16"/>
          <w:szCs w:val="16"/>
        </w:rPr>
        <w:softHyphen/>
        <w:t>ский Союз, США и Великобритания дого</w:t>
      </w:r>
      <w:r w:rsidRPr="007224C3">
        <w:rPr>
          <w:rFonts w:ascii="Times New Roman" w:hAnsi="Times New Roman"/>
          <w:color w:val="000000" w:themeColor="text1"/>
          <w:sz w:val="16"/>
          <w:szCs w:val="16"/>
        </w:rPr>
        <w:softHyphen/>
        <w:t>ворились о разделе итальянского флота, по</w:t>
      </w:r>
      <w:r w:rsidRPr="007224C3">
        <w:rPr>
          <w:rFonts w:ascii="Times New Roman" w:hAnsi="Times New Roman"/>
          <w:color w:val="000000" w:themeColor="text1"/>
          <w:sz w:val="16"/>
          <w:szCs w:val="16"/>
        </w:rPr>
        <w:softHyphen/>
        <w:t>сле чего союзники предложили передать Со</w:t>
      </w:r>
      <w:r w:rsidRPr="007224C3">
        <w:rPr>
          <w:rFonts w:ascii="Times New Roman" w:hAnsi="Times New Roman"/>
          <w:color w:val="000000" w:themeColor="text1"/>
          <w:sz w:val="16"/>
          <w:szCs w:val="16"/>
        </w:rPr>
        <w:softHyphen/>
        <w:t>ветскому Союзу в счет репараций во времен</w:t>
      </w:r>
      <w:r w:rsidRPr="007224C3">
        <w:rPr>
          <w:rFonts w:ascii="Times New Roman" w:hAnsi="Times New Roman"/>
          <w:color w:val="000000" w:themeColor="text1"/>
          <w:sz w:val="16"/>
          <w:szCs w:val="16"/>
        </w:rPr>
        <w:softHyphen/>
        <w:t>ное пользование несколько боевых кораблей. В соответствии с достигнутым соглашени</w:t>
      </w:r>
      <w:r w:rsidRPr="007224C3">
        <w:rPr>
          <w:rFonts w:ascii="Times New Roman" w:hAnsi="Times New Roman"/>
          <w:color w:val="000000" w:themeColor="text1"/>
          <w:sz w:val="16"/>
          <w:szCs w:val="16"/>
        </w:rPr>
        <w:softHyphen/>
        <w:t>ем на базу Ваенга советского Северного фло</w:t>
      </w:r>
      <w:r w:rsidRPr="007224C3">
        <w:rPr>
          <w:rFonts w:ascii="Times New Roman" w:hAnsi="Times New Roman"/>
          <w:color w:val="000000" w:themeColor="text1"/>
          <w:sz w:val="16"/>
          <w:szCs w:val="16"/>
        </w:rPr>
        <w:softHyphen/>
        <w:t>та прибыл американский крейсер «Милуоки» 1923 г. постройки. Крейсер имел водоизмещение 10 400 т, был оборудован ка</w:t>
      </w:r>
      <w:r w:rsidRPr="007224C3">
        <w:rPr>
          <w:rFonts w:ascii="Times New Roman" w:hAnsi="Times New Roman"/>
          <w:color w:val="000000" w:themeColor="text1"/>
          <w:sz w:val="16"/>
          <w:szCs w:val="16"/>
        </w:rPr>
        <w:softHyphen/>
        <w:t>тапультой и нес на борту два поплавковых разведчика «Кингфишер».</w:t>
      </w:r>
    </w:p>
    <w:p w14:paraId="2990E92F" w14:textId="77777777" w:rsidR="00552857" w:rsidRPr="007224C3" w:rsidRDefault="00552857" w:rsidP="007224C3">
      <w:pPr>
        <w:pStyle w:val="2e"/>
        <w:shd w:val="clear" w:color="auto" w:fill="auto"/>
        <w:spacing w:line="240" w:lineRule="auto"/>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Сравнительные характеристики КОР-2, 05211-3 «Кингфишер», \Л/а1гиз Мк.1, Сигйзз 5С-1 ЗеаИажк</w:t>
      </w:r>
    </w:p>
    <w:tbl>
      <w:tblPr>
        <w:tblW w:w="0" w:type="auto"/>
        <w:tblInd w:w="-18" w:type="dxa"/>
        <w:tblLayout w:type="fixed"/>
        <w:tblCellMar>
          <w:left w:w="10" w:type="dxa"/>
          <w:right w:w="10" w:type="dxa"/>
        </w:tblCellMar>
        <w:tblLook w:val="0000" w:firstRow="0" w:lastRow="0" w:firstColumn="0" w:lastColumn="0" w:noHBand="0" w:noVBand="0"/>
      </w:tblPr>
      <w:tblGrid>
        <w:gridCol w:w="3690"/>
        <w:gridCol w:w="1483"/>
        <w:gridCol w:w="1480"/>
        <w:gridCol w:w="1480"/>
        <w:gridCol w:w="1490"/>
      </w:tblGrid>
      <w:tr w:rsidR="005106D0" w:rsidRPr="007224C3" w14:paraId="72CE6162" w14:textId="77777777" w:rsidTr="004703C2">
        <w:trPr>
          <w:trHeight w:val="259"/>
        </w:trPr>
        <w:tc>
          <w:tcPr>
            <w:tcW w:w="3690" w:type="dxa"/>
            <w:tcBorders>
              <w:top w:val="single" w:sz="6" w:space="0" w:color="auto"/>
              <w:left w:val="single" w:sz="6" w:space="0" w:color="auto"/>
              <w:bottom w:val="single" w:sz="6" w:space="0" w:color="auto"/>
              <w:right w:val="single" w:sz="6" w:space="0" w:color="auto"/>
            </w:tcBorders>
            <w:shd w:val="clear" w:color="auto" w:fill="FFFFFF"/>
          </w:tcPr>
          <w:p w14:paraId="374E6CEB" w14:textId="77777777" w:rsidR="00552857" w:rsidRPr="007224C3" w:rsidRDefault="00552857" w:rsidP="007224C3">
            <w:pPr>
              <w:spacing w:after="0" w:line="240" w:lineRule="auto"/>
              <w:jc w:val="both"/>
              <w:rPr>
                <w:rFonts w:ascii="Times New Roman" w:hAnsi="Times New Roman"/>
                <w:color w:val="000000" w:themeColor="text1"/>
                <w:sz w:val="16"/>
                <w:szCs w:val="16"/>
              </w:rPr>
            </w:pP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56B539BA" w14:textId="77777777" w:rsidR="00552857" w:rsidRPr="007224C3" w:rsidRDefault="00552857" w:rsidP="007224C3">
            <w:pPr>
              <w:pStyle w:val="190"/>
              <w:shd w:val="clear" w:color="auto" w:fill="auto"/>
              <w:spacing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КОР-2</w:t>
            </w:r>
          </w:p>
        </w:tc>
        <w:tc>
          <w:tcPr>
            <w:tcW w:w="1480" w:type="dxa"/>
            <w:tcBorders>
              <w:top w:val="single" w:sz="6" w:space="0" w:color="auto"/>
              <w:left w:val="single" w:sz="6" w:space="0" w:color="auto"/>
              <w:bottom w:val="single" w:sz="6" w:space="0" w:color="auto"/>
              <w:right w:val="single" w:sz="6" w:space="0" w:color="auto"/>
            </w:tcBorders>
            <w:shd w:val="clear" w:color="auto" w:fill="FFFFFF"/>
          </w:tcPr>
          <w:p w14:paraId="017483EB" w14:textId="77777777" w:rsidR="00552857" w:rsidRPr="007224C3" w:rsidRDefault="00552857" w:rsidP="007224C3">
            <w:pPr>
              <w:pStyle w:val="190"/>
              <w:shd w:val="clear" w:color="auto" w:fill="auto"/>
              <w:spacing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05211-3</w:t>
            </w:r>
          </w:p>
        </w:tc>
        <w:tc>
          <w:tcPr>
            <w:tcW w:w="1480" w:type="dxa"/>
            <w:tcBorders>
              <w:top w:val="single" w:sz="6" w:space="0" w:color="auto"/>
              <w:left w:val="single" w:sz="6" w:space="0" w:color="auto"/>
              <w:bottom w:val="single" w:sz="6" w:space="0" w:color="auto"/>
              <w:right w:val="single" w:sz="6" w:space="0" w:color="auto"/>
            </w:tcBorders>
            <w:shd w:val="clear" w:color="auto" w:fill="FFFFFF"/>
          </w:tcPr>
          <w:p w14:paraId="6DF57EB3" w14:textId="77777777" w:rsidR="00552857" w:rsidRPr="007224C3" w:rsidRDefault="00552857" w:rsidP="007224C3">
            <w:pPr>
              <w:pStyle w:val="190"/>
              <w:shd w:val="clear" w:color="auto" w:fill="auto"/>
              <w:spacing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\Уа1гш Мк.1.</w:t>
            </w:r>
          </w:p>
        </w:tc>
        <w:tc>
          <w:tcPr>
            <w:tcW w:w="1490" w:type="dxa"/>
            <w:tcBorders>
              <w:top w:val="single" w:sz="6" w:space="0" w:color="auto"/>
              <w:left w:val="single" w:sz="6" w:space="0" w:color="auto"/>
              <w:bottom w:val="single" w:sz="6" w:space="0" w:color="auto"/>
              <w:right w:val="single" w:sz="6" w:space="0" w:color="auto"/>
            </w:tcBorders>
            <w:shd w:val="clear" w:color="auto" w:fill="FFFFFF"/>
          </w:tcPr>
          <w:p w14:paraId="7E0A78EF" w14:textId="77777777" w:rsidR="00552857" w:rsidRPr="007224C3" w:rsidRDefault="00552857" w:rsidP="007224C3">
            <w:pPr>
              <w:pStyle w:val="190"/>
              <w:shd w:val="clear" w:color="auto" w:fill="auto"/>
              <w:spacing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5С-1 5еаЬа\ук</w:t>
            </w:r>
          </w:p>
        </w:tc>
      </w:tr>
      <w:tr w:rsidR="005106D0" w:rsidRPr="007224C3" w14:paraId="72493E8B" w14:textId="77777777" w:rsidTr="004703C2">
        <w:trPr>
          <w:trHeight w:val="245"/>
        </w:trPr>
        <w:tc>
          <w:tcPr>
            <w:tcW w:w="3690" w:type="dxa"/>
            <w:tcBorders>
              <w:top w:val="single" w:sz="6" w:space="0" w:color="auto"/>
              <w:left w:val="single" w:sz="6" w:space="0" w:color="auto"/>
              <w:bottom w:val="single" w:sz="6" w:space="0" w:color="auto"/>
              <w:right w:val="single" w:sz="6" w:space="0" w:color="auto"/>
            </w:tcBorders>
            <w:shd w:val="clear" w:color="auto" w:fill="FFFFFF"/>
          </w:tcPr>
          <w:p w14:paraId="727AD07A" w14:textId="77777777" w:rsidR="00552857" w:rsidRPr="007224C3" w:rsidRDefault="00552857" w:rsidP="007224C3">
            <w:pPr>
              <w:pStyle w:val="190"/>
              <w:shd w:val="clear" w:color="auto" w:fill="auto"/>
              <w:spacing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Двигатель</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6C9CDD77" w14:textId="77777777" w:rsidR="00552857" w:rsidRPr="007224C3" w:rsidRDefault="00552857" w:rsidP="007224C3">
            <w:pPr>
              <w:pStyle w:val="190"/>
              <w:shd w:val="clear" w:color="auto" w:fill="auto"/>
              <w:spacing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М-62</w:t>
            </w:r>
          </w:p>
        </w:tc>
        <w:tc>
          <w:tcPr>
            <w:tcW w:w="1480" w:type="dxa"/>
            <w:tcBorders>
              <w:top w:val="single" w:sz="6" w:space="0" w:color="auto"/>
              <w:left w:val="single" w:sz="6" w:space="0" w:color="auto"/>
              <w:bottom w:val="single" w:sz="6" w:space="0" w:color="auto"/>
              <w:right w:val="single" w:sz="6" w:space="0" w:color="auto"/>
            </w:tcBorders>
            <w:shd w:val="clear" w:color="auto" w:fill="FFFFFF"/>
          </w:tcPr>
          <w:p w14:paraId="58E915E4" w14:textId="77777777" w:rsidR="00552857" w:rsidRPr="007224C3" w:rsidRDefault="00552857" w:rsidP="007224C3">
            <w:pPr>
              <w:pStyle w:val="190"/>
              <w:shd w:val="clear" w:color="auto" w:fill="auto"/>
              <w:spacing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К-985\Уа5р.1ипюг</w:t>
            </w:r>
          </w:p>
        </w:tc>
        <w:tc>
          <w:tcPr>
            <w:tcW w:w="1480" w:type="dxa"/>
            <w:tcBorders>
              <w:top w:val="single" w:sz="6" w:space="0" w:color="auto"/>
              <w:left w:val="single" w:sz="6" w:space="0" w:color="auto"/>
              <w:bottom w:val="single" w:sz="6" w:space="0" w:color="auto"/>
              <w:right w:val="single" w:sz="6" w:space="0" w:color="auto"/>
            </w:tcBorders>
            <w:shd w:val="clear" w:color="auto" w:fill="FFFFFF"/>
          </w:tcPr>
          <w:p w14:paraId="00F9A8D1" w14:textId="77777777" w:rsidR="00552857" w:rsidRPr="007224C3" w:rsidRDefault="00552857" w:rsidP="007224C3">
            <w:pPr>
              <w:pStyle w:val="190"/>
              <w:shd w:val="clear" w:color="auto" w:fill="auto"/>
              <w:spacing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Вп5(о1 Ре^азизУ!</w:t>
            </w:r>
          </w:p>
        </w:tc>
        <w:tc>
          <w:tcPr>
            <w:tcW w:w="1490" w:type="dxa"/>
            <w:tcBorders>
              <w:top w:val="single" w:sz="6" w:space="0" w:color="auto"/>
              <w:left w:val="single" w:sz="6" w:space="0" w:color="auto"/>
              <w:bottom w:val="single" w:sz="6" w:space="0" w:color="auto"/>
              <w:right w:val="single" w:sz="6" w:space="0" w:color="auto"/>
            </w:tcBorders>
            <w:shd w:val="clear" w:color="auto" w:fill="FFFFFF"/>
          </w:tcPr>
          <w:p w14:paraId="04CE1D5D" w14:textId="77777777" w:rsidR="00552857" w:rsidRPr="007224C3" w:rsidRDefault="00552857" w:rsidP="007224C3">
            <w:pPr>
              <w:pStyle w:val="190"/>
              <w:shd w:val="clear" w:color="auto" w:fill="auto"/>
              <w:spacing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РЦ К-1820-62</w:t>
            </w:r>
          </w:p>
        </w:tc>
      </w:tr>
      <w:tr w:rsidR="005106D0" w:rsidRPr="007224C3" w14:paraId="05AE3DF1" w14:textId="77777777" w:rsidTr="004703C2">
        <w:trPr>
          <w:trHeight w:val="238"/>
        </w:trPr>
        <w:tc>
          <w:tcPr>
            <w:tcW w:w="3690" w:type="dxa"/>
            <w:tcBorders>
              <w:top w:val="single" w:sz="6" w:space="0" w:color="auto"/>
              <w:left w:val="single" w:sz="6" w:space="0" w:color="auto"/>
              <w:bottom w:val="single" w:sz="6" w:space="0" w:color="auto"/>
              <w:right w:val="single" w:sz="6" w:space="0" w:color="auto"/>
            </w:tcBorders>
            <w:shd w:val="clear" w:color="auto" w:fill="FFFFFF"/>
          </w:tcPr>
          <w:p w14:paraId="7EF143F3" w14:textId="77777777" w:rsidR="00552857" w:rsidRPr="007224C3" w:rsidRDefault="00552857" w:rsidP="007224C3">
            <w:pPr>
              <w:pStyle w:val="190"/>
              <w:shd w:val="clear" w:color="auto" w:fill="auto"/>
              <w:spacing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Мощность (л.с.)</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08C8BFFC" w14:textId="77777777" w:rsidR="00552857" w:rsidRPr="007224C3" w:rsidRDefault="00552857" w:rsidP="007224C3">
            <w:pPr>
              <w:pStyle w:val="190"/>
              <w:shd w:val="clear" w:color="auto" w:fill="auto"/>
              <w:spacing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1000</w:t>
            </w:r>
          </w:p>
        </w:tc>
        <w:tc>
          <w:tcPr>
            <w:tcW w:w="1480" w:type="dxa"/>
            <w:tcBorders>
              <w:top w:val="single" w:sz="6" w:space="0" w:color="auto"/>
              <w:left w:val="single" w:sz="6" w:space="0" w:color="auto"/>
              <w:bottom w:val="single" w:sz="6" w:space="0" w:color="auto"/>
              <w:right w:val="single" w:sz="6" w:space="0" w:color="auto"/>
            </w:tcBorders>
            <w:shd w:val="clear" w:color="auto" w:fill="FFFFFF"/>
          </w:tcPr>
          <w:p w14:paraId="1879E005" w14:textId="77777777" w:rsidR="00552857" w:rsidRPr="007224C3" w:rsidRDefault="00552857" w:rsidP="007224C3">
            <w:pPr>
              <w:pStyle w:val="190"/>
              <w:shd w:val="clear" w:color="auto" w:fill="auto"/>
              <w:spacing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450</w:t>
            </w:r>
          </w:p>
        </w:tc>
        <w:tc>
          <w:tcPr>
            <w:tcW w:w="1480" w:type="dxa"/>
            <w:tcBorders>
              <w:top w:val="single" w:sz="6" w:space="0" w:color="auto"/>
              <w:left w:val="single" w:sz="6" w:space="0" w:color="auto"/>
              <w:bottom w:val="single" w:sz="6" w:space="0" w:color="auto"/>
              <w:right w:val="single" w:sz="6" w:space="0" w:color="auto"/>
            </w:tcBorders>
            <w:shd w:val="clear" w:color="auto" w:fill="FFFFFF"/>
          </w:tcPr>
          <w:p w14:paraId="1693DF82" w14:textId="77777777" w:rsidR="00552857" w:rsidRPr="007224C3" w:rsidRDefault="00552857" w:rsidP="007224C3">
            <w:pPr>
              <w:pStyle w:val="190"/>
              <w:shd w:val="clear" w:color="auto" w:fill="auto"/>
              <w:spacing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775</w:t>
            </w:r>
          </w:p>
        </w:tc>
        <w:tc>
          <w:tcPr>
            <w:tcW w:w="1490" w:type="dxa"/>
            <w:tcBorders>
              <w:top w:val="single" w:sz="6" w:space="0" w:color="auto"/>
              <w:left w:val="single" w:sz="6" w:space="0" w:color="auto"/>
              <w:bottom w:val="single" w:sz="6" w:space="0" w:color="auto"/>
              <w:right w:val="single" w:sz="6" w:space="0" w:color="auto"/>
            </w:tcBorders>
            <w:shd w:val="clear" w:color="auto" w:fill="FFFFFF"/>
          </w:tcPr>
          <w:p w14:paraId="41F240D7" w14:textId="77777777" w:rsidR="00552857" w:rsidRPr="007224C3" w:rsidRDefault="00552857" w:rsidP="007224C3">
            <w:pPr>
              <w:pStyle w:val="190"/>
              <w:shd w:val="clear" w:color="auto" w:fill="auto"/>
              <w:spacing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1350</w:t>
            </w:r>
          </w:p>
        </w:tc>
      </w:tr>
      <w:tr w:rsidR="005106D0" w:rsidRPr="007224C3" w14:paraId="68833FA3" w14:textId="77777777" w:rsidTr="004703C2">
        <w:trPr>
          <w:trHeight w:val="245"/>
        </w:trPr>
        <w:tc>
          <w:tcPr>
            <w:tcW w:w="3690" w:type="dxa"/>
            <w:tcBorders>
              <w:top w:val="single" w:sz="6" w:space="0" w:color="auto"/>
              <w:left w:val="single" w:sz="6" w:space="0" w:color="auto"/>
              <w:bottom w:val="single" w:sz="6" w:space="0" w:color="auto"/>
              <w:right w:val="single" w:sz="6" w:space="0" w:color="auto"/>
            </w:tcBorders>
            <w:shd w:val="clear" w:color="auto" w:fill="FFFFFF"/>
          </w:tcPr>
          <w:p w14:paraId="088B051F" w14:textId="77777777" w:rsidR="00552857" w:rsidRPr="007224C3" w:rsidRDefault="00552857" w:rsidP="007224C3">
            <w:pPr>
              <w:pStyle w:val="190"/>
              <w:shd w:val="clear" w:color="auto" w:fill="auto"/>
              <w:spacing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Размах крыла (м)</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58501D13" w14:textId="77777777" w:rsidR="00552857" w:rsidRPr="007224C3" w:rsidRDefault="00552857" w:rsidP="007224C3">
            <w:pPr>
              <w:pStyle w:val="190"/>
              <w:shd w:val="clear" w:color="auto" w:fill="auto"/>
              <w:spacing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12,035</w:t>
            </w:r>
          </w:p>
        </w:tc>
        <w:tc>
          <w:tcPr>
            <w:tcW w:w="1480" w:type="dxa"/>
            <w:tcBorders>
              <w:top w:val="single" w:sz="6" w:space="0" w:color="auto"/>
              <w:left w:val="single" w:sz="6" w:space="0" w:color="auto"/>
              <w:bottom w:val="single" w:sz="6" w:space="0" w:color="auto"/>
              <w:right w:val="single" w:sz="6" w:space="0" w:color="auto"/>
            </w:tcBorders>
            <w:shd w:val="clear" w:color="auto" w:fill="FFFFFF"/>
          </w:tcPr>
          <w:p w14:paraId="14783F31" w14:textId="77777777" w:rsidR="00552857" w:rsidRPr="007224C3" w:rsidRDefault="00552857" w:rsidP="007224C3">
            <w:pPr>
              <w:pStyle w:val="190"/>
              <w:shd w:val="clear" w:color="auto" w:fill="auto"/>
              <w:spacing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10,95</w:t>
            </w:r>
          </w:p>
        </w:tc>
        <w:tc>
          <w:tcPr>
            <w:tcW w:w="1480" w:type="dxa"/>
            <w:tcBorders>
              <w:top w:val="single" w:sz="6" w:space="0" w:color="auto"/>
              <w:left w:val="single" w:sz="6" w:space="0" w:color="auto"/>
              <w:bottom w:val="single" w:sz="6" w:space="0" w:color="auto"/>
              <w:right w:val="single" w:sz="6" w:space="0" w:color="auto"/>
            </w:tcBorders>
            <w:shd w:val="clear" w:color="auto" w:fill="FFFFFF"/>
          </w:tcPr>
          <w:p w14:paraId="641CF3BF" w14:textId="77777777" w:rsidR="00552857" w:rsidRPr="007224C3" w:rsidRDefault="00552857" w:rsidP="007224C3">
            <w:pPr>
              <w:pStyle w:val="190"/>
              <w:shd w:val="clear" w:color="auto" w:fill="auto"/>
              <w:spacing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13,97</w:t>
            </w:r>
          </w:p>
        </w:tc>
        <w:tc>
          <w:tcPr>
            <w:tcW w:w="1490" w:type="dxa"/>
            <w:tcBorders>
              <w:top w:val="single" w:sz="6" w:space="0" w:color="auto"/>
              <w:left w:val="single" w:sz="6" w:space="0" w:color="auto"/>
              <w:bottom w:val="single" w:sz="6" w:space="0" w:color="auto"/>
              <w:right w:val="single" w:sz="6" w:space="0" w:color="auto"/>
            </w:tcBorders>
            <w:shd w:val="clear" w:color="auto" w:fill="FFFFFF"/>
          </w:tcPr>
          <w:p w14:paraId="45BFC206" w14:textId="77777777" w:rsidR="00552857" w:rsidRPr="007224C3" w:rsidRDefault="00552857" w:rsidP="007224C3">
            <w:pPr>
              <w:pStyle w:val="190"/>
              <w:shd w:val="clear" w:color="auto" w:fill="auto"/>
              <w:spacing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12,50</w:t>
            </w:r>
          </w:p>
        </w:tc>
      </w:tr>
      <w:tr w:rsidR="005106D0" w:rsidRPr="007224C3" w14:paraId="1DBE5828" w14:textId="77777777" w:rsidTr="004703C2">
        <w:trPr>
          <w:trHeight w:val="248"/>
        </w:trPr>
        <w:tc>
          <w:tcPr>
            <w:tcW w:w="3690" w:type="dxa"/>
            <w:tcBorders>
              <w:top w:val="single" w:sz="6" w:space="0" w:color="auto"/>
              <w:left w:val="single" w:sz="6" w:space="0" w:color="auto"/>
              <w:bottom w:val="single" w:sz="6" w:space="0" w:color="auto"/>
              <w:right w:val="single" w:sz="6" w:space="0" w:color="auto"/>
            </w:tcBorders>
            <w:shd w:val="clear" w:color="auto" w:fill="FFFFFF"/>
          </w:tcPr>
          <w:p w14:paraId="0E2D39CB" w14:textId="77777777" w:rsidR="00552857" w:rsidRPr="007224C3" w:rsidRDefault="00552857" w:rsidP="007224C3">
            <w:pPr>
              <w:pStyle w:val="190"/>
              <w:shd w:val="clear" w:color="auto" w:fill="auto"/>
              <w:spacing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Длина в линии полета (м)</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780ED199" w14:textId="77777777" w:rsidR="00552857" w:rsidRPr="007224C3" w:rsidRDefault="00552857" w:rsidP="007224C3">
            <w:pPr>
              <w:pStyle w:val="190"/>
              <w:shd w:val="clear" w:color="auto" w:fill="auto"/>
              <w:spacing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10,435</w:t>
            </w:r>
          </w:p>
        </w:tc>
        <w:tc>
          <w:tcPr>
            <w:tcW w:w="1480" w:type="dxa"/>
            <w:tcBorders>
              <w:top w:val="single" w:sz="6" w:space="0" w:color="auto"/>
              <w:left w:val="single" w:sz="6" w:space="0" w:color="auto"/>
              <w:bottom w:val="single" w:sz="6" w:space="0" w:color="auto"/>
              <w:right w:val="single" w:sz="6" w:space="0" w:color="auto"/>
            </w:tcBorders>
            <w:shd w:val="clear" w:color="auto" w:fill="FFFFFF"/>
          </w:tcPr>
          <w:p w14:paraId="6B8BC4E7" w14:textId="77777777" w:rsidR="00552857" w:rsidRPr="007224C3" w:rsidRDefault="00552857" w:rsidP="007224C3">
            <w:pPr>
              <w:pStyle w:val="190"/>
              <w:shd w:val="clear" w:color="auto" w:fill="auto"/>
              <w:spacing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10,31</w:t>
            </w:r>
          </w:p>
        </w:tc>
        <w:tc>
          <w:tcPr>
            <w:tcW w:w="1480" w:type="dxa"/>
            <w:tcBorders>
              <w:top w:val="single" w:sz="6" w:space="0" w:color="auto"/>
              <w:left w:val="single" w:sz="6" w:space="0" w:color="auto"/>
              <w:bottom w:val="single" w:sz="6" w:space="0" w:color="auto"/>
              <w:right w:val="single" w:sz="6" w:space="0" w:color="auto"/>
            </w:tcBorders>
            <w:shd w:val="clear" w:color="auto" w:fill="FFFFFF"/>
          </w:tcPr>
          <w:p w14:paraId="6C0DC887" w14:textId="77777777" w:rsidR="00552857" w:rsidRPr="007224C3" w:rsidRDefault="00552857" w:rsidP="007224C3">
            <w:pPr>
              <w:pStyle w:val="190"/>
              <w:shd w:val="clear" w:color="auto" w:fill="auto"/>
              <w:spacing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11,58</w:t>
            </w:r>
          </w:p>
        </w:tc>
        <w:tc>
          <w:tcPr>
            <w:tcW w:w="1490" w:type="dxa"/>
            <w:tcBorders>
              <w:top w:val="single" w:sz="6" w:space="0" w:color="auto"/>
              <w:left w:val="single" w:sz="6" w:space="0" w:color="auto"/>
              <w:bottom w:val="single" w:sz="6" w:space="0" w:color="auto"/>
              <w:right w:val="single" w:sz="6" w:space="0" w:color="auto"/>
            </w:tcBorders>
            <w:shd w:val="clear" w:color="auto" w:fill="FFFFFF"/>
          </w:tcPr>
          <w:p w14:paraId="67D2D18F" w14:textId="77777777" w:rsidR="00552857" w:rsidRPr="007224C3" w:rsidRDefault="00552857" w:rsidP="007224C3">
            <w:pPr>
              <w:pStyle w:val="190"/>
              <w:shd w:val="clear" w:color="auto" w:fill="auto"/>
              <w:spacing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11,09</w:t>
            </w:r>
          </w:p>
        </w:tc>
      </w:tr>
      <w:tr w:rsidR="005106D0" w:rsidRPr="007224C3" w14:paraId="717E98E0" w14:textId="77777777" w:rsidTr="004703C2">
        <w:trPr>
          <w:trHeight w:val="245"/>
        </w:trPr>
        <w:tc>
          <w:tcPr>
            <w:tcW w:w="3690" w:type="dxa"/>
            <w:tcBorders>
              <w:top w:val="single" w:sz="6" w:space="0" w:color="auto"/>
              <w:left w:val="single" w:sz="6" w:space="0" w:color="auto"/>
              <w:bottom w:val="single" w:sz="6" w:space="0" w:color="auto"/>
              <w:right w:val="single" w:sz="6" w:space="0" w:color="auto"/>
            </w:tcBorders>
            <w:shd w:val="clear" w:color="auto" w:fill="FFFFFF"/>
          </w:tcPr>
          <w:p w14:paraId="2A48BE04" w14:textId="77777777" w:rsidR="00552857" w:rsidRPr="007224C3" w:rsidRDefault="00552857" w:rsidP="007224C3">
            <w:pPr>
              <w:pStyle w:val="190"/>
              <w:shd w:val="clear" w:color="auto" w:fill="auto"/>
              <w:spacing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Площадь крыла (м</w:t>
            </w:r>
            <w:r w:rsidRPr="007224C3">
              <w:rPr>
                <w:rFonts w:ascii="Times New Roman" w:hAnsi="Times New Roman"/>
                <w:color w:val="000000" w:themeColor="text1"/>
                <w:sz w:val="16"/>
                <w:szCs w:val="16"/>
                <w:vertAlign w:val="superscript"/>
              </w:rPr>
              <w:t>:</w:t>
            </w:r>
            <w:r w:rsidRPr="007224C3">
              <w:rPr>
                <w:rFonts w:ascii="Times New Roman" w:hAnsi="Times New Roman"/>
                <w:color w:val="000000" w:themeColor="text1"/>
                <w:sz w:val="16"/>
                <w:szCs w:val="16"/>
              </w:rPr>
              <w:t>)</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43AE5DDE" w14:textId="77777777" w:rsidR="00552857" w:rsidRPr="007224C3" w:rsidRDefault="00552857" w:rsidP="007224C3">
            <w:pPr>
              <w:pStyle w:val="190"/>
              <w:shd w:val="clear" w:color="auto" w:fill="auto"/>
              <w:spacing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25,5</w:t>
            </w:r>
          </w:p>
        </w:tc>
        <w:tc>
          <w:tcPr>
            <w:tcW w:w="1480" w:type="dxa"/>
            <w:tcBorders>
              <w:top w:val="single" w:sz="6" w:space="0" w:color="auto"/>
              <w:left w:val="single" w:sz="6" w:space="0" w:color="auto"/>
              <w:bottom w:val="single" w:sz="6" w:space="0" w:color="auto"/>
              <w:right w:val="single" w:sz="6" w:space="0" w:color="auto"/>
            </w:tcBorders>
            <w:shd w:val="clear" w:color="auto" w:fill="FFFFFF"/>
          </w:tcPr>
          <w:p w14:paraId="1353F341" w14:textId="77777777" w:rsidR="00552857" w:rsidRPr="007224C3" w:rsidRDefault="00552857" w:rsidP="007224C3">
            <w:pPr>
              <w:pStyle w:val="190"/>
              <w:shd w:val="clear" w:color="auto" w:fill="auto"/>
              <w:spacing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24,34</w:t>
            </w:r>
          </w:p>
        </w:tc>
        <w:tc>
          <w:tcPr>
            <w:tcW w:w="1480" w:type="dxa"/>
            <w:tcBorders>
              <w:top w:val="single" w:sz="6" w:space="0" w:color="auto"/>
              <w:left w:val="single" w:sz="6" w:space="0" w:color="auto"/>
              <w:bottom w:val="single" w:sz="6" w:space="0" w:color="auto"/>
              <w:right w:val="single" w:sz="6" w:space="0" w:color="auto"/>
            </w:tcBorders>
            <w:shd w:val="clear" w:color="auto" w:fill="FFFFFF"/>
          </w:tcPr>
          <w:p w14:paraId="16A7C3C8" w14:textId="77777777" w:rsidR="00552857" w:rsidRPr="007224C3" w:rsidRDefault="00552857" w:rsidP="007224C3">
            <w:pPr>
              <w:pStyle w:val="190"/>
              <w:shd w:val="clear" w:color="auto" w:fill="auto"/>
              <w:spacing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56,7</w:t>
            </w:r>
          </w:p>
        </w:tc>
        <w:tc>
          <w:tcPr>
            <w:tcW w:w="1490" w:type="dxa"/>
            <w:tcBorders>
              <w:top w:val="single" w:sz="6" w:space="0" w:color="auto"/>
              <w:left w:val="single" w:sz="6" w:space="0" w:color="auto"/>
              <w:bottom w:val="single" w:sz="6" w:space="0" w:color="auto"/>
              <w:right w:val="single" w:sz="6" w:space="0" w:color="auto"/>
            </w:tcBorders>
            <w:shd w:val="clear" w:color="auto" w:fill="FFFFFF"/>
          </w:tcPr>
          <w:p w14:paraId="3D0E87DA" w14:textId="77777777" w:rsidR="00552857" w:rsidRPr="007224C3" w:rsidRDefault="00552857" w:rsidP="007224C3">
            <w:pPr>
              <w:pStyle w:val="190"/>
              <w:shd w:val="clear" w:color="auto" w:fill="auto"/>
              <w:spacing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26,01</w:t>
            </w:r>
          </w:p>
        </w:tc>
      </w:tr>
      <w:tr w:rsidR="005106D0" w:rsidRPr="007224C3" w14:paraId="5273FB5A" w14:textId="77777777" w:rsidTr="004703C2">
        <w:trPr>
          <w:trHeight w:val="241"/>
        </w:trPr>
        <w:tc>
          <w:tcPr>
            <w:tcW w:w="3690" w:type="dxa"/>
            <w:tcBorders>
              <w:top w:val="single" w:sz="6" w:space="0" w:color="auto"/>
              <w:left w:val="single" w:sz="6" w:space="0" w:color="auto"/>
              <w:bottom w:val="single" w:sz="6" w:space="0" w:color="auto"/>
              <w:right w:val="single" w:sz="6" w:space="0" w:color="auto"/>
            </w:tcBorders>
            <w:shd w:val="clear" w:color="auto" w:fill="FFFFFF"/>
          </w:tcPr>
          <w:p w14:paraId="20BBABAF" w14:textId="77777777" w:rsidR="00552857" w:rsidRPr="007224C3" w:rsidRDefault="00552857" w:rsidP="007224C3">
            <w:pPr>
              <w:pStyle w:val="190"/>
              <w:shd w:val="clear" w:color="auto" w:fill="auto"/>
              <w:spacing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 пустого (кг)</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5AB6180A" w14:textId="77777777" w:rsidR="00552857" w:rsidRPr="007224C3" w:rsidRDefault="00552857" w:rsidP="007224C3">
            <w:pPr>
              <w:pStyle w:val="190"/>
              <w:shd w:val="clear" w:color="auto" w:fill="auto"/>
              <w:spacing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2248</w:t>
            </w:r>
          </w:p>
        </w:tc>
        <w:tc>
          <w:tcPr>
            <w:tcW w:w="1480" w:type="dxa"/>
            <w:tcBorders>
              <w:top w:val="single" w:sz="6" w:space="0" w:color="auto"/>
              <w:left w:val="single" w:sz="6" w:space="0" w:color="auto"/>
              <w:bottom w:val="single" w:sz="6" w:space="0" w:color="auto"/>
              <w:right w:val="single" w:sz="6" w:space="0" w:color="auto"/>
            </w:tcBorders>
            <w:shd w:val="clear" w:color="auto" w:fill="FFFFFF"/>
          </w:tcPr>
          <w:p w14:paraId="16C50BB5" w14:textId="77777777" w:rsidR="00552857" w:rsidRPr="007224C3" w:rsidRDefault="00552857" w:rsidP="007224C3">
            <w:pPr>
              <w:pStyle w:val="190"/>
              <w:shd w:val="clear" w:color="auto" w:fill="auto"/>
              <w:spacing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1870</w:t>
            </w:r>
          </w:p>
        </w:tc>
        <w:tc>
          <w:tcPr>
            <w:tcW w:w="1480" w:type="dxa"/>
            <w:tcBorders>
              <w:top w:val="single" w:sz="6" w:space="0" w:color="auto"/>
              <w:left w:val="single" w:sz="6" w:space="0" w:color="auto"/>
              <w:bottom w:val="single" w:sz="6" w:space="0" w:color="auto"/>
              <w:right w:val="single" w:sz="6" w:space="0" w:color="auto"/>
            </w:tcBorders>
            <w:shd w:val="clear" w:color="auto" w:fill="FFFFFF"/>
          </w:tcPr>
          <w:p w14:paraId="205ECA97" w14:textId="77777777" w:rsidR="00552857" w:rsidRPr="007224C3" w:rsidRDefault="00552857" w:rsidP="007224C3">
            <w:pPr>
              <w:pStyle w:val="190"/>
              <w:shd w:val="clear" w:color="auto" w:fill="auto"/>
              <w:spacing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2223</w:t>
            </w:r>
          </w:p>
        </w:tc>
        <w:tc>
          <w:tcPr>
            <w:tcW w:w="1490" w:type="dxa"/>
            <w:tcBorders>
              <w:top w:val="single" w:sz="6" w:space="0" w:color="auto"/>
              <w:left w:val="single" w:sz="6" w:space="0" w:color="auto"/>
              <w:bottom w:val="single" w:sz="6" w:space="0" w:color="auto"/>
              <w:right w:val="single" w:sz="6" w:space="0" w:color="auto"/>
            </w:tcBorders>
            <w:shd w:val="clear" w:color="auto" w:fill="FFFFFF"/>
          </w:tcPr>
          <w:p w14:paraId="6F8EC04B" w14:textId="77777777" w:rsidR="00552857" w:rsidRPr="007224C3" w:rsidRDefault="00552857" w:rsidP="007224C3">
            <w:pPr>
              <w:pStyle w:val="190"/>
              <w:shd w:val="clear" w:color="auto" w:fill="auto"/>
              <w:spacing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2867</w:t>
            </w:r>
          </w:p>
        </w:tc>
      </w:tr>
      <w:tr w:rsidR="005106D0" w:rsidRPr="007224C3" w14:paraId="083DC0D3" w14:textId="77777777" w:rsidTr="004703C2">
        <w:trPr>
          <w:trHeight w:val="245"/>
        </w:trPr>
        <w:tc>
          <w:tcPr>
            <w:tcW w:w="3690" w:type="dxa"/>
            <w:tcBorders>
              <w:top w:val="single" w:sz="6" w:space="0" w:color="auto"/>
              <w:left w:val="single" w:sz="6" w:space="0" w:color="auto"/>
              <w:bottom w:val="single" w:sz="6" w:space="0" w:color="auto"/>
              <w:right w:val="single" w:sz="6" w:space="0" w:color="auto"/>
            </w:tcBorders>
            <w:shd w:val="clear" w:color="auto" w:fill="FFFFFF"/>
          </w:tcPr>
          <w:p w14:paraId="467E7A25" w14:textId="77777777" w:rsidR="00552857" w:rsidRPr="007224C3" w:rsidRDefault="00552857" w:rsidP="007224C3">
            <w:pPr>
              <w:pStyle w:val="190"/>
              <w:shd w:val="clear" w:color="auto" w:fill="auto"/>
              <w:spacing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Полетный вес (кг)</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7D20BE18" w14:textId="77777777" w:rsidR="00552857" w:rsidRPr="007224C3" w:rsidRDefault="00552857" w:rsidP="007224C3">
            <w:pPr>
              <w:pStyle w:val="190"/>
              <w:shd w:val="clear" w:color="auto" w:fill="auto"/>
              <w:spacing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3458</w:t>
            </w:r>
          </w:p>
        </w:tc>
        <w:tc>
          <w:tcPr>
            <w:tcW w:w="1480" w:type="dxa"/>
            <w:tcBorders>
              <w:top w:val="single" w:sz="6" w:space="0" w:color="auto"/>
              <w:left w:val="single" w:sz="6" w:space="0" w:color="auto"/>
              <w:bottom w:val="single" w:sz="6" w:space="0" w:color="auto"/>
              <w:right w:val="single" w:sz="6" w:space="0" w:color="auto"/>
            </w:tcBorders>
            <w:shd w:val="clear" w:color="auto" w:fill="FFFFFF"/>
          </w:tcPr>
          <w:p w14:paraId="6C29AB0F" w14:textId="77777777" w:rsidR="00552857" w:rsidRPr="007224C3" w:rsidRDefault="00552857" w:rsidP="007224C3">
            <w:pPr>
              <w:pStyle w:val="190"/>
              <w:shd w:val="clear" w:color="auto" w:fill="auto"/>
              <w:spacing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2722</w:t>
            </w:r>
          </w:p>
        </w:tc>
        <w:tc>
          <w:tcPr>
            <w:tcW w:w="1480" w:type="dxa"/>
            <w:tcBorders>
              <w:top w:val="single" w:sz="6" w:space="0" w:color="auto"/>
              <w:left w:val="single" w:sz="6" w:space="0" w:color="auto"/>
              <w:bottom w:val="single" w:sz="6" w:space="0" w:color="auto"/>
              <w:right w:val="single" w:sz="6" w:space="0" w:color="auto"/>
            </w:tcBorders>
            <w:shd w:val="clear" w:color="auto" w:fill="FFFFFF"/>
          </w:tcPr>
          <w:p w14:paraId="15944089" w14:textId="77777777" w:rsidR="00552857" w:rsidRPr="007224C3" w:rsidRDefault="00552857" w:rsidP="007224C3">
            <w:pPr>
              <w:pStyle w:val="190"/>
              <w:shd w:val="clear" w:color="auto" w:fill="auto"/>
              <w:spacing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3651</w:t>
            </w:r>
          </w:p>
        </w:tc>
        <w:tc>
          <w:tcPr>
            <w:tcW w:w="1490" w:type="dxa"/>
            <w:tcBorders>
              <w:top w:val="single" w:sz="6" w:space="0" w:color="auto"/>
              <w:left w:val="single" w:sz="6" w:space="0" w:color="auto"/>
              <w:bottom w:val="single" w:sz="6" w:space="0" w:color="auto"/>
              <w:right w:val="single" w:sz="6" w:space="0" w:color="auto"/>
            </w:tcBorders>
            <w:shd w:val="clear" w:color="auto" w:fill="FFFFFF"/>
          </w:tcPr>
          <w:p w14:paraId="737C7267" w14:textId="77777777" w:rsidR="00552857" w:rsidRPr="007224C3" w:rsidRDefault="00552857" w:rsidP="007224C3">
            <w:pPr>
              <w:pStyle w:val="190"/>
              <w:shd w:val="clear" w:color="auto" w:fill="auto"/>
              <w:spacing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4082</w:t>
            </w:r>
          </w:p>
        </w:tc>
      </w:tr>
      <w:tr w:rsidR="005106D0" w:rsidRPr="007224C3" w14:paraId="5A7505A5" w14:textId="77777777" w:rsidTr="004703C2">
        <w:trPr>
          <w:trHeight w:val="245"/>
        </w:trPr>
        <w:tc>
          <w:tcPr>
            <w:tcW w:w="3690" w:type="dxa"/>
            <w:tcBorders>
              <w:top w:val="single" w:sz="6" w:space="0" w:color="auto"/>
              <w:left w:val="single" w:sz="6" w:space="0" w:color="auto"/>
              <w:bottom w:val="single" w:sz="6" w:space="0" w:color="auto"/>
              <w:right w:val="single" w:sz="6" w:space="0" w:color="auto"/>
            </w:tcBorders>
            <w:shd w:val="clear" w:color="auto" w:fill="FFFFFF"/>
          </w:tcPr>
          <w:p w14:paraId="441B053E" w14:textId="77777777" w:rsidR="00552857" w:rsidRPr="007224C3" w:rsidRDefault="00552857" w:rsidP="007224C3">
            <w:pPr>
              <w:pStyle w:val="190"/>
              <w:shd w:val="clear" w:color="auto" w:fill="auto"/>
              <w:spacing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 скорость (км/ч)</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5BA4E3E7" w14:textId="77777777" w:rsidR="00552857" w:rsidRPr="007224C3" w:rsidRDefault="00552857" w:rsidP="007224C3">
            <w:pPr>
              <w:pStyle w:val="190"/>
              <w:shd w:val="clear" w:color="auto" w:fill="auto"/>
              <w:spacing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350</w:t>
            </w:r>
          </w:p>
        </w:tc>
        <w:tc>
          <w:tcPr>
            <w:tcW w:w="1480" w:type="dxa"/>
            <w:tcBorders>
              <w:top w:val="single" w:sz="6" w:space="0" w:color="auto"/>
              <w:left w:val="single" w:sz="6" w:space="0" w:color="auto"/>
              <w:bottom w:val="single" w:sz="6" w:space="0" w:color="auto"/>
              <w:right w:val="single" w:sz="6" w:space="0" w:color="auto"/>
            </w:tcBorders>
            <w:shd w:val="clear" w:color="auto" w:fill="FFFFFF"/>
          </w:tcPr>
          <w:p w14:paraId="5FC80097" w14:textId="77777777" w:rsidR="00552857" w:rsidRPr="007224C3" w:rsidRDefault="00552857" w:rsidP="007224C3">
            <w:pPr>
              <w:pStyle w:val="190"/>
              <w:shd w:val="clear" w:color="auto" w:fill="auto"/>
              <w:spacing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292</w:t>
            </w:r>
          </w:p>
        </w:tc>
        <w:tc>
          <w:tcPr>
            <w:tcW w:w="1480" w:type="dxa"/>
            <w:tcBorders>
              <w:top w:val="single" w:sz="6" w:space="0" w:color="auto"/>
              <w:left w:val="single" w:sz="6" w:space="0" w:color="auto"/>
              <w:bottom w:val="single" w:sz="6" w:space="0" w:color="auto"/>
              <w:right w:val="single" w:sz="6" w:space="0" w:color="auto"/>
            </w:tcBorders>
            <w:shd w:val="clear" w:color="auto" w:fill="FFFFFF"/>
          </w:tcPr>
          <w:p w14:paraId="16CB7B5F" w14:textId="77777777" w:rsidR="00552857" w:rsidRPr="007224C3" w:rsidRDefault="00552857" w:rsidP="007224C3">
            <w:pPr>
              <w:pStyle w:val="190"/>
              <w:shd w:val="clear" w:color="auto" w:fill="auto"/>
              <w:spacing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217</w:t>
            </w:r>
          </w:p>
        </w:tc>
        <w:tc>
          <w:tcPr>
            <w:tcW w:w="1490" w:type="dxa"/>
            <w:tcBorders>
              <w:top w:val="single" w:sz="6" w:space="0" w:color="auto"/>
              <w:left w:val="single" w:sz="6" w:space="0" w:color="auto"/>
              <w:bottom w:val="single" w:sz="6" w:space="0" w:color="auto"/>
              <w:right w:val="single" w:sz="6" w:space="0" w:color="auto"/>
            </w:tcBorders>
            <w:shd w:val="clear" w:color="auto" w:fill="FFFFFF"/>
          </w:tcPr>
          <w:p w14:paraId="1748AF2D" w14:textId="77777777" w:rsidR="00552857" w:rsidRPr="007224C3" w:rsidRDefault="00552857" w:rsidP="007224C3">
            <w:pPr>
              <w:pStyle w:val="190"/>
              <w:shd w:val="clear" w:color="auto" w:fill="auto"/>
              <w:spacing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504</w:t>
            </w:r>
          </w:p>
        </w:tc>
      </w:tr>
      <w:tr w:rsidR="005106D0" w:rsidRPr="007224C3" w14:paraId="04AF328E" w14:textId="77777777" w:rsidTr="004703C2">
        <w:trPr>
          <w:trHeight w:val="241"/>
        </w:trPr>
        <w:tc>
          <w:tcPr>
            <w:tcW w:w="3690" w:type="dxa"/>
            <w:tcBorders>
              <w:top w:val="single" w:sz="6" w:space="0" w:color="auto"/>
              <w:left w:val="single" w:sz="6" w:space="0" w:color="auto"/>
              <w:bottom w:val="single" w:sz="6" w:space="0" w:color="auto"/>
              <w:right w:val="single" w:sz="6" w:space="0" w:color="auto"/>
            </w:tcBorders>
            <w:shd w:val="clear" w:color="auto" w:fill="FFFFFF"/>
          </w:tcPr>
          <w:p w14:paraId="566682E7" w14:textId="77777777" w:rsidR="00552857" w:rsidRPr="007224C3" w:rsidRDefault="00552857" w:rsidP="007224C3">
            <w:pPr>
              <w:pStyle w:val="190"/>
              <w:shd w:val="clear" w:color="auto" w:fill="auto"/>
              <w:spacing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Практический потолок (м)</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35B8AA57" w14:textId="77777777" w:rsidR="00552857" w:rsidRPr="007224C3" w:rsidRDefault="00552857" w:rsidP="007224C3">
            <w:pPr>
              <w:pStyle w:val="190"/>
              <w:shd w:val="clear" w:color="auto" w:fill="auto"/>
              <w:spacing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7800</w:t>
            </w:r>
          </w:p>
        </w:tc>
        <w:tc>
          <w:tcPr>
            <w:tcW w:w="1480" w:type="dxa"/>
            <w:tcBorders>
              <w:top w:val="single" w:sz="6" w:space="0" w:color="auto"/>
              <w:left w:val="single" w:sz="6" w:space="0" w:color="auto"/>
              <w:bottom w:val="single" w:sz="6" w:space="0" w:color="auto"/>
              <w:right w:val="single" w:sz="6" w:space="0" w:color="auto"/>
            </w:tcBorders>
            <w:shd w:val="clear" w:color="auto" w:fill="FFFFFF"/>
          </w:tcPr>
          <w:p w14:paraId="086B9DF5" w14:textId="77777777" w:rsidR="00552857" w:rsidRPr="007224C3" w:rsidRDefault="00552857" w:rsidP="007224C3">
            <w:pPr>
              <w:pStyle w:val="190"/>
              <w:shd w:val="clear" w:color="auto" w:fill="auto"/>
              <w:spacing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3960</w:t>
            </w:r>
          </w:p>
        </w:tc>
        <w:tc>
          <w:tcPr>
            <w:tcW w:w="1480" w:type="dxa"/>
            <w:tcBorders>
              <w:top w:val="single" w:sz="6" w:space="0" w:color="auto"/>
              <w:left w:val="single" w:sz="6" w:space="0" w:color="auto"/>
              <w:bottom w:val="single" w:sz="6" w:space="0" w:color="auto"/>
              <w:right w:val="single" w:sz="6" w:space="0" w:color="auto"/>
            </w:tcBorders>
            <w:shd w:val="clear" w:color="auto" w:fill="FFFFFF"/>
          </w:tcPr>
          <w:p w14:paraId="23976505" w14:textId="77777777" w:rsidR="00552857" w:rsidRPr="007224C3" w:rsidRDefault="00552857" w:rsidP="007224C3">
            <w:pPr>
              <w:pStyle w:val="190"/>
              <w:shd w:val="clear" w:color="auto" w:fill="auto"/>
              <w:spacing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5212</w:t>
            </w:r>
          </w:p>
        </w:tc>
        <w:tc>
          <w:tcPr>
            <w:tcW w:w="1490" w:type="dxa"/>
            <w:tcBorders>
              <w:top w:val="single" w:sz="6" w:space="0" w:color="auto"/>
              <w:left w:val="single" w:sz="6" w:space="0" w:color="auto"/>
              <w:bottom w:val="single" w:sz="6" w:space="0" w:color="auto"/>
              <w:right w:val="single" w:sz="6" w:space="0" w:color="auto"/>
            </w:tcBorders>
            <w:shd w:val="clear" w:color="auto" w:fill="FFFFFF"/>
          </w:tcPr>
          <w:p w14:paraId="020B4052" w14:textId="77777777" w:rsidR="00552857" w:rsidRPr="007224C3" w:rsidRDefault="00552857" w:rsidP="007224C3">
            <w:pPr>
              <w:pStyle w:val="190"/>
              <w:shd w:val="clear" w:color="auto" w:fill="auto"/>
              <w:spacing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11 370</w:t>
            </w:r>
          </w:p>
        </w:tc>
      </w:tr>
      <w:tr w:rsidR="005106D0" w:rsidRPr="007224C3" w14:paraId="67457B15" w14:textId="77777777" w:rsidTr="004703C2">
        <w:trPr>
          <w:trHeight w:val="263"/>
        </w:trPr>
        <w:tc>
          <w:tcPr>
            <w:tcW w:w="3690" w:type="dxa"/>
            <w:tcBorders>
              <w:top w:val="single" w:sz="6" w:space="0" w:color="auto"/>
              <w:left w:val="single" w:sz="6" w:space="0" w:color="auto"/>
              <w:bottom w:val="single" w:sz="6" w:space="0" w:color="auto"/>
              <w:right w:val="single" w:sz="6" w:space="0" w:color="auto"/>
            </w:tcBorders>
            <w:shd w:val="clear" w:color="auto" w:fill="FFFFFF"/>
          </w:tcPr>
          <w:p w14:paraId="50331DDF" w14:textId="77777777" w:rsidR="00552857" w:rsidRPr="007224C3" w:rsidRDefault="00552857" w:rsidP="007224C3">
            <w:pPr>
              <w:pStyle w:val="190"/>
              <w:shd w:val="clear" w:color="auto" w:fill="auto"/>
              <w:spacing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Дальность полета (км)</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540DCBE4" w14:textId="77777777" w:rsidR="00552857" w:rsidRPr="007224C3" w:rsidRDefault="00552857" w:rsidP="007224C3">
            <w:pPr>
              <w:pStyle w:val="190"/>
              <w:shd w:val="clear" w:color="auto" w:fill="auto"/>
              <w:spacing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450-750</w:t>
            </w:r>
          </w:p>
        </w:tc>
        <w:tc>
          <w:tcPr>
            <w:tcW w:w="1480" w:type="dxa"/>
            <w:tcBorders>
              <w:top w:val="single" w:sz="6" w:space="0" w:color="auto"/>
              <w:left w:val="single" w:sz="6" w:space="0" w:color="auto"/>
              <w:bottom w:val="single" w:sz="6" w:space="0" w:color="auto"/>
              <w:right w:val="single" w:sz="6" w:space="0" w:color="auto"/>
            </w:tcBorders>
            <w:shd w:val="clear" w:color="auto" w:fill="FFFFFF"/>
          </w:tcPr>
          <w:p w14:paraId="3053DD38" w14:textId="77777777" w:rsidR="00552857" w:rsidRPr="007224C3" w:rsidRDefault="00552857" w:rsidP="007224C3">
            <w:pPr>
              <w:pStyle w:val="190"/>
              <w:shd w:val="clear" w:color="auto" w:fill="auto"/>
              <w:spacing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1290</w:t>
            </w:r>
          </w:p>
        </w:tc>
        <w:tc>
          <w:tcPr>
            <w:tcW w:w="1480" w:type="dxa"/>
            <w:tcBorders>
              <w:top w:val="single" w:sz="6" w:space="0" w:color="auto"/>
              <w:left w:val="single" w:sz="6" w:space="0" w:color="auto"/>
              <w:bottom w:val="single" w:sz="6" w:space="0" w:color="auto"/>
              <w:right w:val="single" w:sz="6" w:space="0" w:color="auto"/>
            </w:tcBorders>
            <w:shd w:val="clear" w:color="auto" w:fill="FFFFFF"/>
          </w:tcPr>
          <w:p w14:paraId="1C5A7CB2" w14:textId="77777777" w:rsidR="00552857" w:rsidRPr="007224C3" w:rsidRDefault="00552857" w:rsidP="007224C3">
            <w:pPr>
              <w:pStyle w:val="190"/>
              <w:shd w:val="clear" w:color="auto" w:fill="auto"/>
              <w:spacing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966</w:t>
            </w:r>
          </w:p>
        </w:tc>
        <w:tc>
          <w:tcPr>
            <w:tcW w:w="1490" w:type="dxa"/>
            <w:tcBorders>
              <w:top w:val="single" w:sz="6" w:space="0" w:color="auto"/>
              <w:left w:val="single" w:sz="6" w:space="0" w:color="auto"/>
              <w:bottom w:val="single" w:sz="6" w:space="0" w:color="auto"/>
              <w:right w:val="single" w:sz="6" w:space="0" w:color="auto"/>
            </w:tcBorders>
            <w:shd w:val="clear" w:color="auto" w:fill="FFFFFF"/>
          </w:tcPr>
          <w:p w14:paraId="566E79DA" w14:textId="77777777" w:rsidR="00552857" w:rsidRPr="007224C3" w:rsidRDefault="00552857" w:rsidP="007224C3">
            <w:pPr>
              <w:pStyle w:val="190"/>
              <w:shd w:val="clear" w:color="auto" w:fill="auto"/>
              <w:spacing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1016</w:t>
            </w:r>
          </w:p>
        </w:tc>
      </w:tr>
    </w:tbl>
    <w:p w14:paraId="6F8FBB21" w14:textId="77777777" w:rsidR="00552857" w:rsidRPr="007224C3" w:rsidRDefault="0055285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(12301).</w:t>
      </w:r>
    </w:p>
    <w:p w14:paraId="780ACD68" w14:textId="77777777" w:rsidR="00552857" w:rsidRPr="007224C3" w:rsidRDefault="00552857" w:rsidP="007224C3">
      <w:pPr>
        <w:spacing w:after="0" w:line="240" w:lineRule="auto"/>
        <w:jc w:val="both"/>
        <w:rPr>
          <w:rFonts w:ascii="Times New Roman" w:hAnsi="Times New Roman"/>
          <w:color w:val="000000" w:themeColor="text1"/>
          <w:sz w:val="16"/>
          <w:szCs w:val="16"/>
        </w:rPr>
      </w:pPr>
    </w:p>
    <w:p w14:paraId="517708B0"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5E95362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D4B7DCA"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апреля 1944 года вышел приказ № 189с НКБ</w:t>
      </w:r>
    </w:p>
    <w:p w14:paraId="74257F61"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соответствии с распоряжением СНК № 8175 рс от 15 апреля 1944 года:</w:t>
      </w:r>
    </w:p>
    <w:p w14:paraId="5D9493A3"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Начальнику 4 Гл. управления НКБ организовать КБ по гильзам при НИИ-24 НКБ (6014, 21).</w:t>
      </w:r>
    </w:p>
    <w:p w14:paraId="27F0C788"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B2374C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апреля 1944 г. с завода № 100 на УЗТМ была отправлена пушка С-34 для монтажа в САУ. 30 апреля 1944 г. был издан приказ НКТП об изго</w:t>
      </w:r>
      <w:r w:rsidRPr="007224C3">
        <w:rPr>
          <w:rFonts w:ascii="Times New Roman" w:hAnsi="Times New Roman"/>
          <w:color w:val="000000" w:themeColor="text1"/>
          <w:sz w:val="16"/>
          <w:szCs w:val="16"/>
        </w:rPr>
        <w:softHyphen/>
        <w:t>товлении к 8 мая 1944 г. опытного образца самоходной установки с пуш</w:t>
      </w:r>
      <w:r w:rsidRPr="007224C3">
        <w:rPr>
          <w:rFonts w:ascii="Times New Roman" w:hAnsi="Times New Roman"/>
          <w:color w:val="000000" w:themeColor="text1"/>
          <w:sz w:val="16"/>
          <w:szCs w:val="16"/>
        </w:rPr>
        <w:softHyphen/>
        <w:t>кой С-34 и проведении сравнительных испытаний самоходных устано</w:t>
      </w:r>
      <w:r w:rsidRPr="007224C3">
        <w:rPr>
          <w:rFonts w:ascii="Times New Roman" w:hAnsi="Times New Roman"/>
          <w:color w:val="000000" w:themeColor="text1"/>
          <w:sz w:val="16"/>
          <w:szCs w:val="16"/>
        </w:rPr>
        <w:softHyphen/>
        <w:t>вок СУ-100, вооруженных 100-мм пушками Д-10С и С-34. Так как кон</w:t>
      </w:r>
      <w:r w:rsidRPr="007224C3">
        <w:rPr>
          <w:rFonts w:ascii="Times New Roman" w:hAnsi="Times New Roman"/>
          <w:color w:val="000000" w:themeColor="text1"/>
          <w:sz w:val="16"/>
          <w:szCs w:val="16"/>
        </w:rPr>
        <w:softHyphen/>
        <w:t>струкция пушки С-34 не позволяла установить ее в корпус СУ-85 без су</w:t>
      </w:r>
      <w:r w:rsidRPr="007224C3">
        <w:rPr>
          <w:rFonts w:ascii="Times New Roman" w:hAnsi="Times New Roman"/>
          <w:color w:val="000000" w:themeColor="text1"/>
          <w:sz w:val="16"/>
          <w:szCs w:val="16"/>
        </w:rPr>
        <w:softHyphen/>
        <w:t>щественных изменений последней, то по распоряжению НКВ и ГАУ РККА завод № 9 произвел частичные переделки пушки С-34 ЦАКБ. Эти изменения позволили осуществить ее монтаж в броневую рубку са</w:t>
      </w:r>
      <w:r w:rsidRPr="007224C3">
        <w:rPr>
          <w:rFonts w:ascii="Times New Roman" w:hAnsi="Times New Roman"/>
          <w:color w:val="000000" w:themeColor="text1"/>
          <w:sz w:val="16"/>
          <w:szCs w:val="16"/>
        </w:rPr>
        <w:softHyphen/>
        <w:t>моходной установки СУ-85. Это были минимальные переделки, при ко</w:t>
      </w:r>
      <w:r w:rsidRPr="007224C3">
        <w:rPr>
          <w:rFonts w:ascii="Times New Roman" w:hAnsi="Times New Roman"/>
          <w:color w:val="000000" w:themeColor="text1"/>
          <w:sz w:val="16"/>
          <w:szCs w:val="16"/>
        </w:rPr>
        <w:softHyphen/>
        <w:t>торых могла быть выполнена установка пушки с меньшими дефектами, чем без переделок. Полное устранение дефектов по существу приводило к изготовлению артиллерийского орудия, аналогичного орудию, специ</w:t>
      </w:r>
      <w:r w:rsidRPr="007224C3">
        <w:rPr>
          <w:rFonts w:ascii="Times New Roman" w:hAnsi="Times New Roman"/>
          <w:color w:val="000000" w:themeColor="text1"/>
          <w:sz w:val="16"/>
          <w:szCs w:val="16"/>
        </w:rPr>
        <w:softHyphen/>
        <w:t>ально сконструированному заводом № 9 для этой самоходной установ</w:t>
      </w:r>
      <w:r w:rsidRPr="007224C3">
        <w:rPr>
          <w:rFonts w:ascii="Times New Roman" w:hAnsi="Times New Roman"/>
          <w:color w:val="000000" w:themeColor="text1"/>
          <w:sz w:val="16"/>
          <w:szCs w:val="16"/>
        </w:rPr>
        <w:softHyphen/>
        <w:t>ки — пушке Д-10С. Новая САУ получила заводской индекс СУ-100-2 (10703).</w:t>
      </w:r>
    </w:p>
    <w:p w14:paraId="7A442EB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C016D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апреля на заводе № 100 пушка С-34 была демонтирована с танка ИС-5 (Объ</w:t>
      </w:r>
      <w:r w:rsidRPr="007224C3">
        <w:rPr>
          <w:rFonts w:ascii="Times New Roman" w:hAnsi="Times New Roman"/>
          <w:color w:val="000000" w:themeColor="text1"/>
          <w:sz w:val="16"/>
          <w:szCs w:val="16"/>
        </w:rPr>
        <w:softHyphen/>
        <w:t>ект 248) и передана на Уралмашзавод для установки в СУ-85. Но установить указанную пушку в самоход не представля</w:t>
      </w:r>
      <w:r w:rsidRPr="007224C3">
        <w:rPr>
          <w:rFonts w:ascii="Times New Roman" w:hAnsi="Times New Roman"/>
          <w:color w:val="000000" w:themeColor="text1"/>
          <w:sz w:val="16"/>
          <w:szCs w:val="16"/>
        </w:rPr>
        <w:softHyphen/>
        <w:t>лось возможным, о чем спустя два дня был извещен нарком танковой промышленности. Но 30 апреля совместным при</w:t>
      </w:r>
      <w:r w:rsidRPr="007224C3">
        <w:rPr>
          <w:rFonts w:ascii="Times New Roman" w:hAnsi="Times New Roman"/>
          <w:color w:val="000000" w:themeColor="text1"/>
          <w:sz w:val="16"/>
          <w:szCs w:val="16"/>
        </w:rPr>
        <w:softHyphen/>
        <w:t>казом НКТП, НКВ, начальника ГАУ и командующего Бро</w:t>
      </w:r>
      <w:r w:rsidRPr="007224C3">
        <w:rPr>
          <w:rFonts w:ascii="Times New Roman" w:hAnsi="Times New Roman"/>
          <w:color w:val="000000" w:themeColor="text1"/>
          <w:sz w:val="16"/>
          <w:szCs w:val="16"/>
        </w:rPr>
        <w:softHyphen/>
        <w:t>нетанковыми войсками Красной Армии завод обязывался изготовить опытный образец СУ-85 со 100-мм пушкой С-34 и к 10 мая закончить его заводские испытания и отгрузить на Гороховецкий полигон. Но пушка требовала проведения до</w:t>
      </w:r>
      <w:r w:rsidRPr="007224C3">
        <w:rPr>
          <w:rFonts w:ascii="Times New Roman" w:hAnsi="Times New Roman"/>
          <w:color w:val="000000" w:themeColor="text1"/>
          <w:sz w:val="16"/>
          <w:szCs w:val="16"/>
        </w:rPr>
        <w:softHyphen/>
        <w:t>работок на артиллерийском заводе, которые были санкционированы только 5 мая. Наконец, завод № 9 провел доработ</w:t>
      </w:r>
      <w:r w:rsidRPr="007224C3">
        <w:rPr>
          <w:rFonts w:ascii="Times New Roman" w:hAnsi="Times New Roman"/>
          <w:color w:val="000000" w:themeColor="text1"/>
          <w:sz w:val="16"/>
          <w:szCs w:val="16"/>
        </w:rPr>
        <w:softHyphen/>
        <w:t>ку артсистемы, которая заключалась в следующем:</w:t>
      </w:r>
    </w:p>
    <w:p w14:paraId="7838139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Ширина люльки уменьшена на 160 мм.</w:t>
      </w:r>
    </w:p>
    <w:p w14:paraId="1A543C2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Изготовлены новые вставные цапфы.</w:t>
      </w:r>
    </w:p>
    <w:p w14:paraId="2C949C4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Удален прилив под пулемет.</w:t>
      </w:r>
    </w:p>
    <w:p w14:paraId="5C3C302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Изготовлена новая рамка (вместо рамки СУ-85), пово</w:t>
      </w:r>
      <w:r w:rsidRPr="007224C3">
        <w:rPr>
          <w:rFonts w:ascii="Times New Roman" w:hAnsi="Times New Roman"/>
          <w:color w:val="000000" w:themeColor="text1"/>
          <w:sz w:val="16"/>
          <w:szCs w:val="16"/>
        </w:rPr>
        <w:softHyphen/>
        <w:t>ротный механизм и крепление по-походному по типу Д-10С (орудие С-34 крепления по-походному не имело).</w:t>
      </w:r>
    </w:p>
    <w:p w14:paraId="0C10124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Изготовлен новый привод к прицелу (панораме), так как пушка имелатолько телескопический прицел. Машина получила индекс СУ-100-2 и была подана на Гороховецкий полигон. Тем временем туда же прибыл эта</w:t>
      </w:r>
      <w:r w:rsidRPr="007224C3">
        <w:rPr>
          <w:rFonts w:ascii="Times New Roman" w:hAnsi="Times New Roman"/>
          <w:color w:val="000000" w:themeColor="text1"/>
          <w:sz w:val="16"/>
          <w:szCs w:val="16"/>
        </w:rPr>
        <w:softHyphen/>
        <w:t>лонный образец СУ-100 с орудием Д-10С, и конкуренты могли испытываться практически параллельно.</w:t>
      </w:r>
    </w:p>
    <w:p w14:paraId="5F99D38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Нетрудно догадаться, что указанные испытания, прове</w:t>
      </w:r>
      <w:r w:rsidRPr="007224C3">
        <w:rPr>
          <w:rFonts w:ascii="Times New Roman" w:hAnsi="Times New Roman"/>
          <w:color w:val="000000" w:themeColor="text1"/>
          <w:sz w:val="16"/>
          <w:szCs w:val="16"/>
        </w:rPr>
        <w:softHyphen/>
        <w:t>денные в июне—июле 1944 г., завершились в пользу СУ-100 с пушкой Д-ЮС, которая постановлением ГКО № 6131 от 3 июля была принята на вооружение взамен СУ-85.</w:t>
      </w:r>
    </w:p>
    <w:p w14:paraId="2B55DD6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 принятие на вооружение СУ-100 вовсе не означа</w:t>
      </w:r>
      <w:r w:rsidRPr="007224C3">
        <w:rPr>
          <w:rFonts w:ascii="Times New Roman" w:hAnsi="Times New Roman"/>
          <w:color w:val="000000" w:themeColor="text1"/>
          <w:sz w:val="16"/>
          <w:szCs w:val="16"/>
        </w:rPr>
        <w:softHyphen/>
        <w:t>ло, что они тут же широким потоком хлынут на фронт. Ведь бронебойный снаряд и выстрел с ним к июлю еще не были отработаны в серии, и их освоение промышленнос</w:t>
      </w:r>
      <w:r w:rsidRPr="007224C3">
        <w:rPr>
          <w:rFonts w:ascii="Times New Roman" w:hAnsi="Times New Roman"/>
          <w:color w:val="000000" w:themeColor="text1"/>
          <w:sz w:val="16"/>
          <w:szCs w:val="16"/>
        </w:rPr>
        <w:softHyphen/>
        <w:t>тью ожидалось лишь в IV квартале. А фронт не ждал.</w:t>
      </w:r>
    </w:p>
    <w:p w14:paraId="181BAB1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Чтобы в кратчайшее время дать фронту мощную про</w:t>
      </w:r>
      <w:r w:rsidRPr="007224C3">
        <w:rPr>
          <w:rFonts w:ascii="Times New Roman" w:hAnsi="Times New Roman"/>
          <w:color w:val="000000" w:themeColor="text1"/>
          <w:sz w:val="16"/>
          <w:szCs w:val="16"/>
        </w:rPr>
        <w:softHyphen/>
        <w:t>тивотанковую САУ, КБ Уралмашзавода под руководством Л.И. Горлицкого решило идти по пути, уже опробованно</w:t>
      </w:r>
      <w:r w:rsidRPr="007224C3">
        <w:rPr>
          <w:rFonts w:ascii="Times New Roman" w:hAnsi="Times New Roman"/>
          <w:color w:val="000000" w:themeColor="text1"/>
          <w:sz w:val="16"/>
          <w:szCs w:val="16"/>
        </w:rPr>
        <w:softHyphen/>
        <w:t>му ЧКЗ и опытным заводом № 100, предложив в конце июля 1944 г. вооружить СУ-100 122-мм самоходной пуш</w:t>
      </w:r>
      <w:r w:rsidRPr="007224C3">
        <w:rPr>
          <w:rFonts w:ascii="Times New Roman" w:hAnsi="Times New Roman"/>
          <w:color w:val="000000" w:themeColor="text1"/>
          <w:sz w:val="16"/>
          <w:szCs w:val="16"/>
        </w:rPr>
        <w:softHyphen/>
        <w:t>кой Д-25С, разработка которой была завершена на заводе № 9 НКВ и которая по установочным местам соответство</w:t>
      </w:r>
      <w:r w:rsidRPr="007224C3">
        <w:rPr>
          <w:rFonts w:ascii="Times New Roman" w:hAnsi="Times New Roman"/>
          <w:color w:val="000000" w:themeColor="text1"/>
          <w:sz w:val="16"/>
          <w:szCs w:val="16"/>
        </w:rPr>
        <w:softHyphen/>
        <w:t>вала как 100-мм пушке Д-10С, так и 85-мм пушке Д-5С. Единственным отличием интерьера нового самохода, по</w:t>
      </w:r>
      <w:r w:rsidRPr="007224C3">
        <w:rPr>
          <w:rFonts w:ascii="Times New Roman" w:hAnsi="Times New Roman"/>
          <w:color w:val="000000" w:themeColor="text1"/>
          <w:sz w:val="16"/>
          <w:szCs w:val="16"/>
        </w:rPr>
        <w:softHyphen/>
        <w:t>лучившего индекс СУ-122П, было крепление боекомп</w:t>
      </w:r>
      <w:r w:rsidRPr="007224C3">
        <w:rPr>
          <w:rFonts w:ascii="Times New Roman" w:hAnsi="Times New Roman"/>
          <w:color w:val="000000" w:themeColor="text1"/>
          <w:sz w:val="16"/>
          <w:szCs w:val="16"/>
        </w:rPr>
        <w:softHyphen/>
        <w:t>лекта. Потому проектные работы были завершены в ко</w:t>
      </w:r>
      <w:r w:rsidRPr="007224C3">
        <w:rPr>
          <w:rFonts w:ascii="Times New Roman" w:hAnsi="Times New Roman"/>
          <w:color w:val="000000" w:themeColor="text1"/>
          <w:sz w:val="16"/>
          <w:szCs w:val="16"/>
        </w:rPr>
        <w:softHyphen/>
        <w:t>роткий срок. Данные по бронепробиванию 122-мм пушки Д-25С были практически идентичны Д-10С (таблично Д-25 проигрывала в бронепробиваемости Д-10 в среднем 4—5 мм), а осколочно-фугасное действие превышало поч</w:t>
      </w:r>
      <w:r w:rsidRPr="007224C3">
        <w:rPr>
          <w:rFonts w:ascii="Times New Roman" w:hAnsi="Times New Roman"/>
          <w:color w:val="000000" w:themeColor="text1"/>
          <w:sz w:val="16"/>
          <w:szCs w:val="16"/>
        </w:rPr>
        <w:softHyphen/>
        <w:t>ти вдвое. По массе, подвижности и проходимости СУ-12211 практически не отличалась от СУ-100, и лишь малая скорострельность портила впечатление о машине (11417).</w:t>
      </w:r>
    </w:p>
    <w:p w14:paraId="787E34D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CBE0682"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апреля 1944 г. из ПРОЕКТА ПОСТАНОВЛЕНИЯ СНК СССР «О ПРОИЗВОДСТВЕ ЗАПАСНЫХ ЧАСТЕЙ К ТРАКТОРАМ, АВТОМАШИНАМ, СЕЛЬХОЗМАШИНАМ НА ПРЕДПРИЯТИЯХ СОЮЗНОЙ И МЕСТНОЙ ПРОМЫШЛЕННОСТИ НОВОСИБИРСКОЙ ОБЛАСТИ»</w:t>
      </w:r>
    </w:p>
    <w:p w14:paraId="410C5A01"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Совнарком СССР отмечает, что большинство предприятий Новосибирской области успешно справились с заданием по изготовлению запасных частей к тракторам и сельскохозяйственным машинам. В первом квартале 1944 года освоено и сдано в МТС и совхозы много новых деталей, в том числе особо сложные и дефицитные, как коленчатый вал, головки блока, шестерни коробки передач, цилиндр ЧТЗ, звенья гусениц, цепи Эварта и другие, тем самым созданы необходимые условия для доброкачественной подготовки тракторного парка и сельхозмашин к весенне-полевым работам.</w:t>
      </w:r>
    </w:p>
    <w:p w14:paraId="11E5BBB9"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целях дальнейшего улучшения снабжения МТС и совхозов запасными частями к тракторам, автомашинам и сельхозмашинам Совнарком СССР ПОСТАНОВЛЯЕТ:</w:t>
      </w:r>
    </w:p>
    <w:p w14:paraId="355F5624"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Утвердить представленный Новосибирским обкомом ВКП(б) и облисполкомом план производства запасных частей к тракторам, автомашинам и сельхозмашинам на предприятиях союзной и местной промышленности Новосибирской области на второй квартал 1944 года в сумме 4 769 тысяч рублей с размещением заданий по предприятиям, согласно приложению № 1.</w:t>
      </w:r>
    </w:p>
    <w:p w14:paraId="257863D1"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Обязать народного комиссара авиационной промышленности тов. ШАХУРИНА и директоров заводов: № 153 т. Лисицына — изготовить запасных частей во втором квартале 1944 года на сумму 208,2 тысячи рублей; № 296 т. Бермана - изготовить запасных частей в тот же срок на сумму 70,6 тысячи рублей; 7-й строительный трест — т. Капустина — изготовить запасных частей во втором квартале 1944 года на сумму 29,6 тысячи рублей.</w:t>
      </w:r>
    </w:p>
    <w:p w14:paraId="169A205F"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Народного комиссара цветной металлургии т. Ломако и директора завода «Труд» т. Гришина - за тот же срок изготовить запасных частей на сумму 148,1 тысячи рублей.</w:t>
      </w:r>
    </w:p>
    <w:p w14:paraId="31D88F04"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Народного комиссара боеприпасов т. Ванникова и директоров заводов: комбината № 179 т. Саханицкого — изготовить во втором квартале 1944 года запасных частей к тракторам на сумму 283,9 тысячи рублей; № 65 т. Шнейдера — изготовить в тот же срок запасных частей на сумму 14,6 тысячи рублей; № 635 т. Тименджиева -изготовить в тот же срок запасных частей на сумму 5,0 тысячи рублей; № 386 т. Барского - изготовить во втором квартале запасных частей на сумму 5,5 тысячи рублей; «Большевик» тов. Часницкого-изготовить в тот же срок запчастей на сумму 48,0 тысячи рублей; № 325 т. Лукашина - изготовить во втором квартале запчастей на сумму 22,2 тыс. рублей; № 556 т. Домрачева - изготовить запчастей во втором квартале на сумму 69,0 тысячи рублей; № 564 т. Радионова—в тот же срок изготовить запчастей на сумму 41,4 тысячи рублей; № 677 т. Брука — в тот же срок изготовить запчастей на сумму 123,3 тысячи рублей.</w:t>
      </w:r>
    </w:p>
    <w:p w14:paraId="5BF35043"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Народного комиссара строительства т. Гинзбурга и директора завода № 10 т. Алексеева - изготовить запасные части во втором квартале на сумму 17,2 тысячи рублей; управляющего ДСМЧ Южэлектромон-таж т. Лунева — изготовить заправочного инвентаря во втором квартале на сумму 750 рублей.</w:t>
      </w:r>
    </w:p>
    <w:p w14:paraId="205B02F1"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Народного комиссара вооружения т. Устинова и директоров заводов: № 69 т. КОТЛЯРА — произвести запасных частей во втором квартале 1944 года на сумму 164,7 тыс. рублей; № 188 т. БЕЛЯНСКОГО - в тот же срок изготовить запасные части на сумму 102,8 тыс. рублей; № 350 т. СТУПЕЛЬМАНА - в тот же срок изготовить запасные части на сумму 72,1 тыс. рублей.</w:t>
      </w:r>
    </w:p>
    <w:p w14:paraId="5E8CA0E7"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Народного Комиссара Станкостроения т. ЕФРЕМОВА и директоров заводов: № 230 т. СЛИОЗБЕРДА - произвести запасных частей во втором квартале на сумму 24,2 тыс. рублей; имени Воскова т. ГОМАН(А) - изготовить инструмента и запчастей к тракторам и автомашинам во втором квартале на сумму 140,5 тыс. рублей ... завод «Тяжгидропресс» - т. ПОЛЯКОВА - в тот же срок изготовить запасные части на сумму 59,8 тыс. рублей.</w:t>
      </w:r>
    </w:p>
    <w:p w14:paraId="5405B773" w14:textId="77777777" w:rsidR="00137373" w:rsidRPr="007224C3" w:rsidRDefault="001373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Народного комиссара электропромышленности тов. КАБАНОВА и директоров заводов: № 208 тов. ГУДАНИСА - изготовить во втором квартале запасных частей на сумму 20,4 тыс. рублей ... № 590 тов. ГРИГОРЬЕВА - изготовить запчасти во втором квартале на сумму 70,4 тыс. рублей; № 617 тов. ЖУКА - в тот же срок изготовить запасные части на сумму 20,4 тыс. рублей; № 644 тов. ЭСТРИНА — изготовить запасные части во втором квартале на сумму 84,7 тыс. рублей (12194).</w:t>
      </w:r>
    </w:p>
    <w:p w14:paraId="7A5BA871" w14:textId="77777777" w:rsidR="00137373" w:rsidRPr="007224C3" w:rsidRDefault="00137373" w:rsidP="007224C3">
      <w:pPr>
        <w:spacing w:after="0" w:line="240" w:lineRule="auto"/>
        <w:jc w:val="both"/>
        <w:rPr>
          <w:rFonts w:ascii="Times New Roman" w:hAnsi="Times New Roman"/>
          <w:color w:val="000000" w:themeColor="text1"/>
          <w:sz w:val="16"/>
          <w:szCs w:val="16"/>
        </w:rPr>
      </w:pPr>
    </w:p>
    <w:p w14:paraId="2959E5F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апреля 1944 вышло Постановление ГКО № 5687 О плане ремонта и производства военно-технического имущества на предприятиях Наркомата обороны СССР во II квартале 1944 г. РГАНИР, Фонд ГКО, д. 241, лл. 49-52,53-102 (11012).</w:t>
      </w:r>
    </w:p>
    <w:p w14:paraId="78D7482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5F81F2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апреля 1944 вышло Распоряжение ГКО № 5688. О мерах по предотвращению срыва работ на важнейших стройках тяжелой и оборонной промышленности, осуществляемых НКстроем. РГАНИР, Фонд ГКО, д. 241, лл. 103-104,105-107 (11012).</w:t>
      </w:r>
    </w:p>
    <w:p w14:paraId="4AD0792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AC5BB5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апреля 1944 вышло Постановление ГКО № 5689 О недостатках в работе командования 2-го Прибалтийского фронта. РГАНИР, Фонд ГКО, д. 241, лл. 108-110,111 (11012).</w:t>
      </w:r>
    </w:p>
    <w:p w14:paraId="4EB0EC7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46BA43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апреля 1944 вышло Постановление ГКО № 5690 Об усилении бронирования башни Т-34-85. РГАНИР, Фонд ГКО, д. 241, лл. 112 (11012).</w:t>
      </w:r>
    </w:p>
    <w:p w14:paraId="60877A7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8711E3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апреля 1944 вышло Распоряжение ГКО № 5691. О мобилизации 700 чел. на торфопредприятия НКПП СССР в Белоруссии. РГАНИР, Фонд ГКО, д. 241, лл. 113 (11012).</w:t>
      </w:r>
    </w:p>
    <w:p w14:paraId="369FE8C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FB3311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апреля 1944 вышло Постановление ГКО № 5692 Об установке кислородных колонок на заводе № 200 НКТП. РГАНИР, Фонд ГКО, д. 241, лл. 114 (11012).</w:t>
      </w:r>
    </w:p>
    <w:p w14:paraId="086EAAF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8A20314"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1A5CC9F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4BCEF4E" w14:textId="77777777" w:rsidR="000F02F6" w:rsidRPr="007224C3" w:rsidRDefault="000F02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апреля в 1944 году оперативная сводка Совинформбюро:</w:t>
      </w:r>
    </w:p>
    <w:p w14:paraId="0F3576BB" w14:textId="77777777" w:rsidR="000F02F6" w:rsidRPr="007224C3" w:rsidRDefault="000F02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20 апреля на плацдарме юго-западнее города Нарва наши войска успешно отбили атаки крупных сил пехоты и танков противника. В боях уничтожено до 2.000 немецких солдат и офицеров.</w:t>
      </w:r>
    </w:p>
    <w:p w14:paraId="11188CEC" w14:textId="77777777" w:rsidR="000F02F6" w:rsidRPr="007224C3" w:rsidRDefault="000F02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города Тарнополь наши войска вели наступательные бои местного значения, в ходе которых выбили противника из нескольких населённых пунктов и значительно улучшили свои позиции.</w:t>
      </w:r>
    </w:p>
    <w:p w14:paraId="75E2FAEB" w14:textId="77777777" w:rsidR="000F02F6" w:rsidRPr="007224C3" w:rsidRDefault="000F02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востоку и югу от города Станислав наши войска отбивали атаки крупных сил пехоты и танков противника.</w:t>
      </w:r>
    </w:p>
    <w:p w14:paraId="1FC10AA0" w14:textId="77777777" w:rsidR="000F02F6" w:rsidRPr="007224C3" w:rsidRDefault="000F02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 поиски разведчиков.</w:t>
      </w:r>
    </w:p>
    <w:p w14:paraId="4BC15C57" w14:textId="77777777" w:rsidR="000F02F6" w:rsidRPr="007224C3" w:rsidRDefault="000F02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19 апреля наши войска на всех фронтах подбили и уничтожили 29 немецких танков. В воздушных боях и огнём зенитной артиллерии сбито 65 самолётов противника.».</w:t>
      </w:r>
    </w:p>
    <w:p w14:paraId="540042A1" w14:textId="77777777" w:rsidR="000F02F6" w:rsidRPr="007224C3" w:rsidRDefault="000F02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Налёт нашей авиации на железнодорожные узлы Резекне, Гулбене и сланцеперегоночный завод на станции Кивиыли.</w:t>
      </w:r>
    </w:p>
    <w:p w14:paraId="29091034" w14:textId="77777777" w:rsidR="000F02F6" w:rsidRPr="007224C3" w:rsidRDefault="000F02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ночь на 20 апреля наша авиация дальнего действия произвела налёт на железнодорожный узел Резекне и железнодорожный узел Гулбене (Латвийская ССР) и подвергла бомбардировке скопления воинских эшелонов противника. В результате бомбардировки возникло много пожаров, сопровождавшихся сильными взрывами.</w:t>
      </w:r>
    </w:p>
    <w:p w14:paraId="5BBF5C14" w14:textId="77777777" w:rsidR="000F02F6" w:rsidRPr="007224C3" w:rsidRDefault="000F02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ту же ночь наши самолёты бомбардировали сланцеперегоночный завод на железнодорожной станции Кивиыли (Эстонская ССР). Возникло пять больших очагов пожара, которые охватили почти всю территорию завода.</w:t>
      </w:r>
    </w:p>
    <w:p w14:paraId="573C4627" w14:textId="77777777" w:rsidR="000F02F6" w:rsidRPr="007224C3" w:rsidRDefault="000F02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 наши самолётывернулись на свои аэродромы.».</w:t>
      </w:r>
    </w:p>
    <w:p w14:paraId="3E5C2CAC" w14:textId="77777777" w:rsidR="000F02F6" w:rsidRPr="007224C3" w:rsidRDefault="000F02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Удары авиации Черноморского флота по кораблям противника.</w:t>
      </w:r>
    </w:p>
    <w:p w14:paraId="712A888A" w14:textId="77777777" w:rsidR="000F02F6" w:rsidRPr="007224C3" w:rsidRDefault="000F02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«Авиация Черноморского флота наносит непрерывные удары по кораблям противника на коммуникациях между Севастополем и портами Румынии.</w:t>
      </w:r>
    </w:p>
    <w:p w14:paraId="07C50FF8" w14:textId="77777777" w:rsidR="000F02F6" w:rsidRPr="007224C3" w:rsidRDefault="000F02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ночь на 18 апреля советские бомбардировщики и торпедоносцы атаковали два каравана судов противникаи потопили транспорт водоизмещением в 3.000 тонн и транспорт водоизмещением в 2.000 тонн.</w:t>
      </w:r>
    </w:p>
    <w:p w14:paraId="2E025E0F" w14:textId="77777777" w:rsidR="000F02F6" w:rsidRPr="007224C3" w:rsidRDefault="000F02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Днём 18 апреля наши лётчики обнаружили в море и атаковали ещё два каравана вражеских судов. Из состава одного каравана потоплен транспорт водоизмещением в 5.000 тонн. По другому каравану судов противника советские лётчики нанесли четыре следовавших один за другим удара. В результате прямого попадания бомбы загорелся и лишился хода транспорт водоизмещением в 5.000 тонн. Последующими ударами этот транспорт был потоплен. Потоплен также один миноносец, нанесены серьёзные повреждения трём транспортам и другим мелким судам противника.».</w:t>
      </w:r>
    </w:p>
    <w:p w14:paraId="2BDF2B6F" w14:textId="77777777" w:rsidR="000F02F6" w:rsidRPr="007224C3" w:rsidRDefault="000F02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города Нарва немцы атаковали наши войска, занимающие плацдарм назападном берегу реки Нарва. Атакам предшествовала сильная артиллерийская подготовка. Полтора часа десятки артиллерийских батарей противника вели обстрел советских позиций. Затем крупные силы немецкой пехоты при поддержке танков и самоходных орудий двинулись в атаку. Гитлеровцы, по-видимому, рассчитывали одним ударом смять нашу оборону, но просчитались. Советские бойцы встретили атакующие колонны немцев метким ружейно-пулемётным и артиллерийско-миномётным огнём и вынудили противника отступить. В течение дня наши части на различных участках отбили многочисленные вражеские атаки и прочно удерживают свои позиции. Противник понес тяжёлые потери в живой силе и технике.</w:t>
      </w:r>
    </w:p>
    <w:p w14:paraId="2B920DD4" w14:textId="77777777" w:rsidR="000F02F6" w:rsidRPr="007224C3" w:rsidRDefault="000F02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Советские зенитчики, отражая атаки немецкой авиации, уничтожили 10 пикирующих бомбардировщиков противника.</w:t>
      </w:r>
    </w:p>
    <w:p w14:paraId="1D2942F4" w14:textId="77777777" w:rsidR="000F02F6" w:rsidRPr="007224C3" w:rsidRDefault="000F02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Наши истребители под командованием капитана Чубукова, прикрывая наземныевойска, встретили в воздухе группу бомбардировщиков и истребителей противника. Советские лётчики завязали воздушный бой и сбили 8 немецких самолётов.</w:t>
      </w:r>
    </w:p>
    <w:p w14:paraId="52FA4250" w14:textId="77777777" w:rsidR="000F02F6" w:rsidRPr="007224C3" w:rsidRDefault="000F02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города Тарнополь части Н-ского соединения выбили противника из нескольких населённых пунктов. Наши бойцы захватили 15 орудий, 82 пулемёта, 800 винтовок и автоматов, много снарядов и патронов. Взяты пленные. В ходе боя уничтожено свыше батальона немецкой пехоты.</w:t>
      </w:r>
    </w:p>
    <w:p w14:paraId="65CECF53" w14:textId="77777777" w:rsidR="000F02F6" w:rsidRPr="007224C3" w:rsidRDefault="000F02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Восточнее и южнее города Станислав наши войска отбивали атаки крупных сил противника. Танки и пехота немцев с двух направлений непрерывно наседали на нашипозиции. В течение всего дня шли ожесточённые бои. Советские пехотинцы, танкисты и артиллеристы отбрасывали гитлеровцев, производя опустошение в их рядах. Только на одном участке бойцы Н-ской части истребили до 1.500 немецких солдат и офицеров, сожгли и подбили 10 танков и самоходных орудий. В другом районе батальон гитлеровцев, прорвавшийся в расположение наших войск, окружён и полностью уничтожен.</w:t>
      </w:r>
    </w:p>
    <w:p w14:paraId="49F4A24E" w14:textId="77777777" w:rsidR="000F02F6" w:rsidRPr="007224C3" w:rsidRDefault="000F02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Группа лётчиков-штурмовиков под командованием гвардии майора Михайленко атаковала железнодорожную станцию, на которой находились два эшелона с немецкими войсками, много вагонов и большие штабели боеприпасов. Зайдя со стороны солнца, наши лётчики внезапно для противника вышли к цели. Немцы, застигнутые врасплох, не успели открыть зенитного огня. В результате бомбометания и пушечно-пулемётного обстрела загорелось много вагонов и начали взрываться штабели боеприпасов. Вскоре вся железнодорожная станция была объята огнём. Наши самолёты без потерь вернулись на свой аэродром.</w:t>
      </w:r>
    </w:p>
    <w:p w14:paraId="49036D8A" w14:textId="77777777" w:rsidR="000F02F6" w:rsidRPr="007224C3" w:rsidRDefault="000F02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Несколько украинских партизанских отрядов, действующих в Львовской области, за три дня пустили под откос 7 немецких воинских эшелонов и разрушили 600 метровжелезнодорожного пути. Восстановительные команды противника извлекли из-под обломков вагонов свыше 200 трупов гитлеровцев.</w:t>
      </w:r>
    </w:p>
    <w:p w14:paraId="238E33DB" w14:textId="77777777" w:rsidR="000F02F6" w:rsidRPr="007224C3" w:rsidRDefault="000F02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Ниже публикуется акт о зверствах немецко-фашистских мерзавцев в деревне Подлесцы, Каменец-Подольской области. «За время немецкой оккупации жители деревни подвергались гонениям и неслыханным издевательствам. Гитлеровцы не оставили в покое ни одной семьи, ни одного человека. Они разрушили все жилые и хозяйственные постройки, всё разбили и разорили. Перед отступлением немцы угнали жителей села на станцию Четырбоки для отправки на каторгу в Германию. На сборы давалось лишь 15-20 минут. При обходе домов гитлеровцы расстреливали больных колхозников и стариков. На станцию немцы привели под конвоем много тысяч советских граждан из всей округи и загнали их в вагоны. Когда советские войска стали приближаться к станции, немцы учинили над мирными жителями чудовищную расправу. Два эшелона с советскими людьми гитлеровцы пустили под откос, а два железнодорожных состава облили бензином и подожгли. Остальные эшелоны немцам уничтожить не удалось. Бойцы Красной Армии захватили 90 вагонов, набитых до отказа советскими гражданами. Тысячи колхозников получили свободу и вернулись в родные сёла».</w:t>
      </w:r>
    </w:p>
    <w:p w14:paraId="2168218A" w14:textId="77777777" w:rsidR="000F02F6" w:rsidRPr="007224C3" w:rsidRDefault="000F02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Акт подписали учителя: Андрей Сташенин, Мефодий Зюбатюк, Анна Козачук и Григорий Тихолюк.» (15105).</w:t>
      </w:r>
    </w:p>
    <w:p w14:paraId="32DB81D3" w14:textId="77777777" w:rsidR="000F02F6" w:rsidRPr="007224C3" w:rsidRDefault="000F02F6" w:rsidP="007224C3">
      <w:pPr>
        <w:spacing w:after="0" w:line="240" w:lineRule="auto"/>
        <w:jc w:val="both"/>
        <w:rPr>
          <w:rFonts w:ascii="Times New Roman" w:hAnsi="Times New Roman"/>
          <w:color w:val="000000" w:themeColor="text1"/>
          <w:sz w:val="16"/>
          <w:szCs w:val="16"/>
        </w:rPr>
      </w:pPr>
    </w:p>
    <w:p w14:paraId="2A105B9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апреля 1944 года группа старшего лейтенанта Мельника из 64-го полка на Як-3 встретила 26 FW190D, которые эшелонировались по шесть-восемь самолетов. Истребители противника, видя свое численное превосходство, двумя группами по шесть-восемь машин на встречных курсах и третьей группой из шести FW190D, похоже, надеясь на неожиданный удар, атаковали снизу сзади группу Мельника.</w:t>
      </w:r>
    </w:p>
    <w:p w14:paraId="509569F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ходе неравного боя лейтенант Родионов после лобовой атаки вышел правым боевым разворотом и с дистанции 30 - 50 метров пулеметно-пушечной очередью сбил FW190D ведомого.</w:t>
      </w:r>
    </w:p>
    <w:p w14:paraId="0F0F33F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Ведущего пары атаковал младший лейтенант Морозов и с дистанции 50 метров также сбил его. Мы потерь не имели. Правда, младший лейтенант Дрозденко, дважды уходя от атак четверки FW190D в облачность, потерял ориентировку и совершил вынужденную посадку.</w:t>
      </w:r>
    </w:p>
    <w:p w14:paraId="5548B77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Это были одни из первых, если не первые, бои наших летчиков на Як-3.</w:t>
      </w:r>
    </w:p>
    <w:p w14:paraId="61B3F17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Если учесть, что первый серийный Як-3 взлетел в начале марта, то похоже, что пионерами в освоении машины стал личный состав 64, 65 и 66-го гвардейских иап 4-й гвардейской иад (12047).</w:t>
      </w:r>
    </w:p>
    <w:p w14:paraId="4F42CE1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0E88E1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апреля 1944 г. вышел ПРИКАЗ № 096 О КАТАСТРОФАХ САМОЛЕТОВ ПРИ ПЕРЕГОНКЕ НА ТРАССЕ СВЕРДЛОВСК—КАЗАНЬ</w:t>
      </w:r>
    </w:p>
    <w:p w14:paraId="049EC98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11 февраля 1944 года при перелете с Кольцовского аэродрома (Свердловск) в Казань 20 самолетов “Аэрокобра” и 1 самолет “Бостон” в 50—60 километрах от Казани </w:t>
      </w:r>
      <w:r w:rsidRPr="007224C3">
        <w:rPr>
          <w:rFonts w:ascii="Times New Roman" w:hAnsi="Times New Roman"/>
          <w:color w:val="000000" w:themeColor="text1"/>
          <w:sz w:val="16"/>
          <w:szCs w:val="16"/>
        </w:rPr>
        <w:lastRenderedPageBreak/>
        <w:t>попали в устойчивый до земли туман. Летчики, не обученные слепым полетам, потеряли ориентировку и не сумели выбраться из тумана. В результате этого 12 самолетов “Аэрокобра” и 1 самолет “Бостон” потерпели катастрофы — погибло 16 человек летного состава.</w:t>
      </w:r>
    </w:p>
    <w:p w14:paraId="5AA58E4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Эти катастрофы произошли, прежде всего, в силу преступной халатности непосредственного организатора перелетов начальника отдела перелетов штаба ВВС УрВО — полковника Коробко А. Е., который, имея предупреждение о плохой погоде, при отсутствии разрешения отдела перелетов ВВС Красной Армии на вылет, выпустил самолеты на Казань; из-за преступного отношения к своим обязанностям ответственного дежурного по перелетам того же штаба лейтенанта Абаимова А. С., который, получив телеграмму из Казани о запрещении вылетов самолетов, не доложил об этом старшим начальникам.</w:t>
      </w:r>
    </w:p>
    <w:p w14:paraId="1C5095B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Командующий ВВС УрВО генерал-майор авиации Емельянов Ф. Е. и начальник штаба ВВС округа полковник Лозовой-Шевченко В. М. фактически самоустранились от руководства по организации перелетов и, хотя перелеты эти производились в сложных метеорологических условиях и после почти 3-месячного перерыва полетов, — никто из них лично на аэродроме не присутствовал, передоверив все дело полковнику Коробко.</w:t>
      </w:r>
    </w:p>
    <w:p w14:paraId="5A8C1F0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Происшедший 11 февраля с. г. случай при перелетах не является единственным, так, например:</w:t>
      </w:r>
    </w:p>
    <w:p w14:paraId="4C8EA34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января с. г. при аналогичных условиях и также по причинам преступной организации перелета по вине командира 639 шап подполковника Цуркан и начальника отдела перелетов штаба ВВС ПриВО полковника Рябченко произошли аварии и катастрофы с самолетами Ил-2 в ПриВО в районе Тамбов-Моршанск, когда 10 самолетов потерпели катастрофы, 12 — сделали вынужденные посадки и 1 самолет не был найден, при этом погибло 17 человек летно-технического состава. Подполковник Цуркан и полковник Рябченко преданы суду военного трибунала. 3 февраля с. г. с аэродромов Казани и Алатырь, без предварительной разведки погоды, вылетело 22 самолета У-2. Встретив в пути туман, 3 самолета вернулись обратно, а 19 по вине командира эскадрильи майора Богатырева вошли в туман и в результате все 19 самолетов произвели вынужденные посадки, при этом 9 самолетов получили различные повреждения, а один летчик тжело ранен.</w:t>
      </w:r>
    </w:p>
    <w:p w14:paraId="171A0DC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 эти факты многочисленных катастроф и аварий свидетельствуют о плохой организации перелетов, недисциплинированности и разболтанности среди личного состава воздушных сил Красной Армии. Командиры всех степеней ВВС Красной Армии вели недостаточно решительную борьбу с отрицательными явлениями в частях ВВС и не добились твердого воинского порядка при производстве перелетов.</w:t>
      </w:r>
    </w:p>
    <w:p w14:paraId="5D8EFC8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Приказываю:</w:t>
      </w:r>
    </w:p>
    <w:p w14:paraId="517ACF9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Начальника отдела перелетов штаба ВВС УрВО полковника Коробко А. Е. и ответственного дежурного по перелетам штаба УрВО лейтенанта Абаимова А. С. за преступную халатность предать суду военного трибунала.</w:t>
      </w:r>
    </w:p>
    <w:p w14:paraId="6F799F3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Начальника штаба ВВС УрВО полковника Лозового-Шевченко за самоустранение от руководства перелетами, плохой порядок в штабе ВВС округа, что привело к столь тяжелым последствиям, — понизить в звании до подполковника, снять с занимаемой должности и назначить с понижением на другую работу.</w:t>
      </w:r>
    </w:p>
    <w:p w14:paraId="27DD6A3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Командующему ВВС УрВО генерал-майору авиации Емельянову Ф. Е. за упущения по службе объявить выговор.</w:t>
      </w:r>
    </w:p>
    <w:p w14:paraId="74401E5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Командующему ВВС Красной Армии Главному маршалу авиации Новикову:</w:t>
      </w:r>
    </w:p>
    <w:p w14:paraId="5AD8B41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принять все меры укрепления дисциплины и наведения порядка при организации перелетов на трассах, улучшить средства связи, укрепить отделы перелетов опытными командирами;</w:t>
      </w:r>
    </w:p>
    <w:p w14:paraId="4681B11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для улучшения перелетов между Свердловском и Казанью оборудовать промежуточный аэродром — Янаул, сформировать для него комендатуру по штату № 29/351 и обеспечить его всем необходимым для посадки самолетов.</w:t>
      </w:r>
    </w:p>
    <w:p w14:paraId="7873BE4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Маршалу войск связи Красной Армии Пересыпкину обеспечить ВВС Красной Армии прямую связь для служебных переговоров, связанных с перелетами Москва—Казань, Казань—Свердловск.</w:t>
      </w:r>
    </w:p>
    <w:p w14:paraId="0B57C4D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С целью сохранения моторесурса и экономии расходов высокосортного горючего разрешить ВВС Красной Армии отправку самолетов “Аэрокобра” по железной дороге из Красноярска до базовых аэродромов фронтов из расчета 150—200 самолетов в месяц.</w:t>
      </w:r>
    </w:p>
    <w:p w14:paraId="41267F1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Главному военному прокурору Красной Армии генерал-лейтенанту юстиции Носову всемерно усилить борьбу за укрепление дисциплины в ВВС и особенно с нарушениями, обуславливающими всякого рода летные происшествия.</w:t>
      </w:r>
    </w:p>
    <w:p w14:paraId="7CE63DD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Cs/>
          <w:color w:val="000000" w:themeColor="text1"/>
          <w:sz w:val="16"/>
          <w:szCs w:val="16"/>
        </w:rPr>
        <w:t>Народный комиссар обороны</w:t>
      </w:r>
    </w:p>
    <w:p w14:paraId="27DE581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iCs/>
          <w:color w:val="000000" w:themeColor="text1"/>
          <w:sz w:val="16"/>
          <w:szCs w:val="16"/>
        </w:rPr>
        <w:t xml:space="preserve">Маршал Советского Союза И. СТАЛИН </w:t>
      </w:r>
      <w:r w:rsidRPr="007224C3">
        <w:rPr>
          <w:rFonts w:ascii="Times New Roman" w:hAnsi="Times New Roman"/>
          <w:color w:val="000000" w:themeColor="text1"/>
          <w:sz w:val="16"/>
          <w:szCs w:val="16"/>
        </w:rPr>
        <w:t>(9844).</w:t>
      </w:r>
    </w:p>
    <w:p w14:paraId="17E52F4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52E1D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ночь на 20 апреля 1944 была попытка атаковать высотными торпедами суда на таллиннском рейде. Один из двух вылетевших «Илов» повернул с полдороги в базу из-за неисправности мотора, второй сбросил торпеду с высоты 400 м, но не заметил после этого никакого видимого эффекта (9965).</w:t>
      </w:r>
    </w:p>
    <w:p w14:paraId="5CAE363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263B32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период с 20 апреля по 10 мая 1944 года ИС-2 получили боевое крещение на завершающем этапе по освобождению правобережной Украины. Необходимо подчеркнуть, что ИС-122 впервые были применены не в ходе Корсунь-Шевченковской, а в следующих за ней - Проскуровско-Черновицкой и Уманско-Ботошанской операциях. Из двух полков (71-й и 72-й ОГвТТП), оснащенными этими танками более успешно действовал 72 ОГвТТП..</w:t>
      </w:r>
    </w:p>
    <w:p w14:paraId="65DCB5B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этот период полк в составе 1 ГвТА вел боевые действия в районе г. Обертин (Ивано-Франковская обл.). За двадцать суток непрерывных боев личный состав полка уничтожил 41 танк "Тигр" и САУ "Фердинанд"("Элефант"), 3 БТР с боеприпасами и 10 противотанковых орудий, безвозвратно потеряв при этом лишь 8 танков ИС-122. Красноречивее всего о высокой живучести ИС-122 говорят сухие строки отчета о боевых повреждениях танков полка за этот период:..</w:t>
      </w:r>
    </w:p>
    <w:p w14:paraId="5F33D91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"Танк №40247 20 апреля в районе сев.зап. Герасиму в попал под артиллерийский обстрел САУ "Фердинанд" с дистанции 1500-1200 метров. Экипаж танка смог произвести лишь один выстрел, так как отказал спусковой механизм пушки. Уходя из под огня САУ, танк ИС-2 получил 5, не причинивших вреда, попаданий в лобовую часть корпуса. За это время другая САУ "Фердинанд" незаметно приблизилась с фланга на расстояние 600-700 метров и бронебойным снарядом пробила правый борт танка в районе двигателя. Экипаж покинул остановившийся танк, который вскоре загорелся..</w:t>
      </w:r>
    </w:p>
    <w:p w14:paraId="631C164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Танк №40255 с расстояния 1000-1100 метров получил прямое попадание 88-мм снаряда танка "Тигр" в нижний наклонный броневой лист. В результате чего был пробит левый топливный бак, механик водитель был ранен осколками брони, а остальные члены экипажа получили легкие ожоги. Танк сгорел..</w:t>
      </w:r>
    </w:p>
    <w:p w14:paraId="478E9FB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Танк №4032 после того, как выдержал три попадания в лобовую проекцию корпуса 88-мм снарядов из танка "Тигр" на дистанции 1500-1000 метров, был уничтожен огнем с 500-400 метров другого "Тигра". 88мм бронебойный снаряд пробил с правой стороны нижний лобовой лист, произошло воспламенение пороха гильзы, а затем и топлива. Экипаж танка, покинув машину эвакуировал раненного механика водителя в тыл..</w:t>
      </w:r>
    </w:p>
    <w:p w14:paraId="4592231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Танк №4033 после получения пробоины от 88-мм снаряда танка "Тигр" с дистанции 400 метров в нижнем наклонном броневом листе корпуса, был отбуксирован на СППМ для проведения капитального ремонта..</w:t>
      </w:r>
    </w:p>
    <w:p w14:paraId="125933F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Танк №40260 сгорел от попадания с фланга в левый борт 88-мм снаряда танка "Тигр" с дистанции 500 метров. Снаряд разбил двигатель и танк загорелся. Командир танка и наводчик получили ранения..</w:t>
      </w:r>
    </w:p>
    <w:p w14:paraId="032BB2A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Танк №40244 получил прямое попадание 88-мм бронебойным снарядом танка "Тигр" с дистанции 800-1000 метров в правый борт корпуса. Механик водитель был убит и произошло возгорание дизельного топлива вылившегося из разрушенного правого топливного бака. Танк был эвакуирован и затем взорван саперами..</w:t>
      </w:r>
    </w:p>
    <w:p w14:paraId="3E713FF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Танк №40263 сгорел от попадания двух снарядов в борт. Танк № 40273 действовал в отрыве от полка и 30 апреля в районе с. Игжиска получил два прямых попадания: первое в башню, а второе сразу же в бортовой лист моторного отделения. Боевой расчет в башне тут же погиб, а механик водитель был ранен. Танк остался на территории противника. Во время боя экипаж танка участвовал в отражении атаки 50 танков Т-111, T-IV, T-VI, поддерживаемых авиацией и артиллерией..</w:t>
      </w:r>
    </w:p>
    <w:p w14:paraId="19AF4F9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Танк №40254 был подбит огнем из САУ "Фердинанд", находящимся в засаде с дистанции 800-1000 метров. Первый снаряд подбашенную коробку не пробил, а вот вторым снарядом был пробит борт корпуса танка и выведен из строя двигатель. Экипаж машины был эвакуирован, а танк сгорел на поле боя..</w:t>
      </w:r>
    </w:p>
    <w:p w14:paraId="758CCCB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Танк №40261 получил прямое попадание в ствол пушки. После боя ствол был заменен на новый.".</w:t>
      </w:r>
    </w:p>
    <w:p w14:paraId="35973EA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Кроме того, один танк был эвакуирован и сдан в капитальный ремонт, а остальные 5 подбитых танка в ходе боевых действий были восстановлены ремонтными органами полка. (3862).</w:t>
      </w:r>
    </w:p>
    <w:p w14:paraId="064C991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9AC9B2"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24389B8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D1077CE" w14:textId="77777777" w:rsidR="002867AB" w:rsidRPr="007224C3" w:rsidRDefault="002867AB"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20 апреля 1944 немецкий RLM отменяет все дальнейшие инженерные разработки так и не завершившегося конкурента Heinkel с обозначением 8-277 для конкурса на разработку трансатлантического стратегического бомбардировщика Amerika Bomber. Законченными частяи планера передаются на металлолом, несмотря на более ранний запрос конца весны 1943 года от RLM на три прототипа и десять служебных испытательных самолетов от Heinkel для конкурса (20373).</w:t>
      </w:r>
    </w:p>
    <w:p w14:paraId="4BD0D3FB" w14:textId="77777777" w:rsidR="002867AB" w:rsidRPr="007224C3" w:rsidRDefault="002867AB" w:rsidP="007224C3">
      <w:pPr>
        <w:spacing w:after="0" w:line="240" w:lineRule="auto"/>
        <w:jc w:val="both"/>
        <w:rPr>
          <w:rFonts w:ascii="Times New Roman" w:hAnsi="Times New Roman"/>
          <w:color w:val="0070C0"/>
          <w:sz w:val="16"/>
          <w:szCs w:val="16"/>
        </w:rPr>
      </w:pPr>
    </w:p>
    <w:p w14:paraId="25611C3A" w14:textId="77777777" w:rsidR="002867AB" w:rsidRPr="007224C3" w:rsidRDefault="002867AB"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20–21 апреля (ночь) 1944 379 британских бомбардировщиков атаковали Кельн, Германия, потеряв четыре самолета - все «Ланкастеры». В результате рейда повреждено 192 промышленных здания, 725 коммерческих зданий с пристройками, семь железнодорожных вокзалов и депо (20373).</w:t>
      </w:r>
    </w:p>
    <w:p w14:paraId="1984A0F5" w14:textId="77777777" w:rsidR="002867AB" w:rsidRPr="007224C3" w:rsidRDefault="002867AB" w:rsidP="007224C3">
      <w:pPr>
        <w:spacing w:after="0" w:line="240" w:lineRule="auto"/>
        <w:jc w:val="both"/>
        <w:rPr>
          <w:rFonts w:ascii="Times New Roman" w:hAnsi="Times New Roman"/>
          <w:color w:val="0070C0"/>
          <w:sz w:val="16"/>
          <w:szCs w:val="16"/>
        </w:rPr>
      </w:pPr>
    </w:p>
    <w:p w14:paraId="101FA036" w14:textId="77777777" w:rsidR="002867AB" w:rsidRPr="007224C3" w:rsidRDefault="002867AB"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20–21 апреля (ночь) 1944 654 британских бомбардировщика совершили налет на железнодорожные станции в Оттиньи, Бельгия, и Шамбли, Ла Шапель и Ланс, Франция, в основном с успехом. Потеряно восемь бомбардировщиков (20373).</w:t>
      </w:r>
    </w:p>
    <w:p w14:paraId="2851FCDA" w14:textId="77777777" w:rsidR="002867AB" w:rsidRPr="007224C3" w:rsidRDefault="002867AB" w:rsidP="007224C3">
      <w:pPr>
        <w:spacing w:after="0" w:line="240" w:lineRule="auto"/>
        <w:jc w:val="both"/>
        <w:rPr>
          <w:rFonts w:ascii="Times New Roman" w:hAnsi="Times New Roman"/>
          <w:color w:val="0070C0"/>
          <w:sz w:val="16"/>
          <w:szCs w:val="16"/>
        </w:rPr>
      </w:pPr>
    </w:p>
    <w:p w14:paraId="2AB3C9DC"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апреля 1944 Турция прекратила поставки хрома в Германию (4962).</w:t>
      </w:r>
    </w:p>
    <w:p w14:paraId="4E53D6C3"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162C884"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апреля 1944 около 40 немецких человекоуправляемых торпед Неггер были использованы для атаки английских судов. В воду смогли спустить только 17, но встретили охотников. Союзники указыват, что атака не удалась. Одну торпеду захватили (3961, 75).</w:t>
      </w:r>
    </w:p>
    <w:p w14:paraId="45B322FB"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451C56A"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500F245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FF2C7B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 апреля 1944 вышло постановление ГОКО N 5699 О самолете Москито (2659,179).</w:t>
      </w:r>
    </w:p>
    <w:p w14:paraId="4FE5BA8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32E79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 апреля 1944 вышло Постановление ГКО № 5699 О самолете "Москито". РГАНИР, Фонд ГКО, д. 241, лл. 194 (11012).</w:t>
      </w:r>
    </w:p>
    <w:p w14:paraId="2AEAD44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DDDCA5C" w14:textId="77777777" w:rsidR="009C0B20" w:rsidRPr="007224C3" w:rsidRDefault="009C0B2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 апреля 1944 вышло Постановление ГКО № 5699 О самолете "Москито"</w:t>
      </w:r>
    </w:p>
    <w:p w14:paraId="10A8F1DC" w14:textId="77777777" w:rsidR="009C0B20" w:rsidRPr="007224C3" w:rsidRDefault="009C0B2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Поручить Комиссии в составе г т.т. Каленков(пред</w:t>
      </w:r>
      <w:r w:rsidRPr="007224C3">
        <w:rPr>
          <w:rFonts w:ascii="Times New Roman" w:hAnsi="Times New Roman"/>
          <w:color w:val="000000" w:themeColor="text1"/>
          <w:sz w:val="16"/>
          <w:szCs w:val="16"/>
        </w:rPr>
        <w:softHyphen/>
        <w:t>седатель), Шахурин, Яковлев, Мясищев, Лавочкин, Илью</w:t>
      </w:r>
      <w:r w:rsidRPr="007224C3">
        <w:rPr>
          <w:rFonts w:ascii="Times New Roman" w:hAnsi="Times New Roman"/>
          <w:color w:val="000000" w:themeColor="text1"/>
          <w:sz w:val="16"/>
          <w:szCs w:val="16"/>
        </w:rPr>
        <w:softHyphen/>
        <w:t>шин, Климов, Репин, Лосюков, Кабанов, Седровк и Че</w:t>
      </w:r>
      <w:r w:rsidRPr="007224C3">
        <w:rPr>
          <w:rFonts w:ascii="Times New Roman" w:hAnsi="Times New Roman"/>
          <w:color w:val="000000" w:themeColor="text1"/>
          <w:sz w:val="16"/>
          <w:szCs w:val="16"/>
        </w:rPr>
        <w:softHyphen/>
        <w:t>са лоз, - изучить самолет "Москито", дать производст</w:t>
      </w:r>
      <w:r w:rsidRPr="007224C3">
        <w:rPr>
          <w:rFonts w:ascii="Times New Roman" w:hAnsi="Times New Roman"/>
          <w:color w:val="000000" w:themeColor="text1"/>
          <w:sz w:val="16"/>
          <w:szCs w:val="16"/>
        </w:rPr>
        <w:softHyphen/>
        <w:t>венно-техническую и летную оценку этого самолета к представить в ГОКО свои предложения об использовании конструктивных а технологических особенностей "Моски</w:t>
      </w:r>
      <w:r w:rsidRPr="007224C3">
        <w:rPr>
          <w:rFonts w:ascii="Times New Roman" w:hAnsi="Times New Roman"/>
          <w:color w:val="000000" w:themeColor="text1"/>
          <w:sz w:val="16"/>
          <w:szCs w:val="16"/>
        </w:rPr>
        <w:softHyphen/>
        <w:t>то'</w:t>
      </w:r>
      <w:r w:rsidRPr="007224C3">
        <w:rPr>
          <w:rFonts w:ascii="Times New Roman" w:hAnsi="Times New Roman"/>
          <w:color w:val="000000" w:themeColor="text1"/>
          <w:sz w:val="16"/>
          <w:szCs w:val="16"/>
          <w:vertAlign w:val="superscript"/>
        </w:rPr>
        <w:t>1</w:t>
      </w:r>
      <w:r w:rsidRPr="007224C3">
        <w:rPr>
          <w:rFonts w:ascii="Times New Roman" w:hAnsi="Times New Roman"/>
          <w:color w:val="000000" w:themeColor="text1"/>
          <w:sz w:val="16"/>
          <w:szCs w:val="16"/>
        </w:rPr>
        <w:t xml:space="preserve"> в нашем самолетостроении (19483).</w:t>
      </w:r>
    </w:p>
    <w:p w14:paraId="3C532E82" w14:textId="77777777" w:rsidR="009C0B20" w:rsidRPr="007224C3" w:rsidRDefault="009C0B20" w:rsidP="007224C3">
      <w:pPr>
        <w:autoSpaceDE w:val="0"/>
        <w:autoSpaceDN w:val="0"/>
        <w:adjustRightInd w:val="0"/>
        <w:spacing w:after="0" w:line="240" w:lineRule="auto"/>
        <w:jc w:val="both"/>
        <w:rPr>
          <w:rFonts w:ascii="Times New Roman" w:hAnsi="Times New Roman"/>
          <w:color w:val="000000" w:themeColor="text1"/>
          <w:sz w:val="16"/>
          <w:szCs w:val="16"/>
        </w:rPr>
      </w:pPr>
    </w:p>
    <w:p w14:paraId="5E2C03CC" w14:textId="77777777" w:rsidR="00783151" w:rsidRPr="007224C3" w:rsidRDefault="0078315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 апреля 1944 вышло Постановление ГКО № 5699 О самолете "Москито"</w:t>
      </w:r>
    </w:p>
    <w:p w14:paraId="599A8964" w14:textId="77777777" w:rsidR="00783151" w:rsidRPr="007224C3" w:rsidRDefault="0078315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Поручить Комиссии в составе г т.т. Каленков(пред</w:t>
      </w:r>
      <w:r w:rsidRPr="007224C3">
        <w:rPr>
          <w:rFonts w:ascii="Times New Roman" w:hAnsi="Times New Roman"/>
          <w:color w:val="000000" w:themeColor="text1"/>
          <w:sz w:val="16"/>
          <w:szCs w:val="16"/>
        </w:rPr>
        <w:softHyphen/>
        <w:t>седатель), Шахурин, Яковлев, Мясищев, Лавочкин, Илью</w:t>
      </w:r>
      <w:r w:rsidRPr="007224C3">
        <w:rPr>
          <w:rFonts w:ascii="Times New Roman" w:hAnsi="Times New Roman"/>
          <w:color w:val="000000" w:themeColor="text1"/>
          <w:sz w:val="16"/>
          <w:szCs w:val="16"/>
        </w:rPr>
        <w:softHyphen/>
        <w:t>шин, Климов, Репин, Лосюков, Кабанов, Седровк и Че</w:t>
      </w:r>
      <w:r w:rsidRPr="007224C3">
        <w:rPr>
          <w:rFonts w:ascii="Times New Roman" w:hAnsi="Times New Roman"/>
          <w:color w:val="000000" w:themeColor="text1"/>
          <w:sz w:val="16"/>
          <w:szCs w:val="16"/>
        </w:rPr>
        <w:softHyphen/>
        <w:t>са лоз, - изучить самолет "Москито", дать производст</w:t>
      </w:r>
      <w:r w:rsidRPr="007224C3">
        <w:rPr>
          <w:rFonts w:ascii="Times New Roman" w:hAnsi="Times New Roman"/>
          <w:color w:val="000000" w:themeColor="text1"/>
          <w:sz w:val="16"/>
          <w:szCs w:val="16"/>
        </w:rPr>
        <w:softHyphen/>
        <w:t>венно-техническую и летную оценку этого самолета к представить в ГОКО свои предложения об использовании конструктивных а технологических особенностей "Моски</w:t>
      </w:r>
      <w:r w:rsidRPr="007224C3">
        <w:rPr>
          <w:rFonts w:ascii="Times New Roman" w:hAnsi="Times New Roman"/>
          <w:color w:val="000000" w:themeColor="text1"/>
          <w:sz w:val="16"/>
          <w:szCs w:val="16"/>
        </w:rPr>
        <w:softHyphen/>
        <w:t>то'</w:t>
      </w:r>
      <w:r w:rsidRPr="007224C3">
        <w:rPr>
          <w:rFonts w:ascii="Times New Roman" w:hAnsi="Times New Roman"/>
          <w:color w:val="000000" w:themeColor="text1"/>
          <w:sz w:val="16"/>
          <w:szCs w:val="16"/>
          <w:vertAlign w:val="superscript"/>
        </w:rPr>
        <w:t>1</w:t>
      </w:r>
      <w:r w:rsidRPr="007224C3">
        <w:rPr>
          <w:rFonts w:ascii="Times New Roman" w:hAnsi="Times New Roman"/>
          <w:color w:val="000000" w:themeColor="text1"/>
          <w:sz w:val="16"/>
          <w:szCs w:val="16"/>
        </w:rPr>
        <w:t xml:space="preserve"> в нашем самолетостроении (19483).</w:t>
      </w:r>
    </w:p>
    <w:p w14:paraId="1895AAD4" w14:textId="77777777" w:rsidR="00783151" w:rsidRPr="007224C3" w:rsidRDefault="00783151"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C75744" w14:textId="77777777" w:rsidR="00783151" w:rsidRPr="007224C3" w:rsidRDefault="0078315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 апреля 1944 г., практически сразу после прибы</w:t>
      </w:r>
      <w:r w:rsidRPr="007224C3">
        <w:rPr>
          <w:rFonts w:ascii="Times New Roman" w:hAnsi="Times New Roman"/>
          <w:color w:val="000000" w:themeColor="text1"/>
          <w:sz w:val="16"/>
          <w:szCs w:val="16"/>
        </w:rPr>
        <w:softHyphen/>
        <w:t>тия машины на заседании ГКО поднимался вопрос о лицензионной постройке Москитов в СССР. По своим летным данным английский бомбардировщик несколько превосходил отечественные Пе-2 и Ту-2, особенно на больших высотах. Его пла</w:t>
      </w:r>
      <w:r w:rsidRPr="007224C3">
        <w:rPr>
          <w:rFonts w:ascii="Times New Roman" w:hAnsi="Times New Roman"/>
          <w:color w:val="000000" w:themeColor="text1"/>
          <w:sz w:val="16"/>
          <w:szCs w:val="16"/>
        </w:rPr>
        <w:softHyphen/>
        <w:t>нер изготавливался целиком из дерева, как у многих советских самолетов, а технология производства деревянных конструкций на советских предприя</w:t>
      </w:r>
      <w:r w:rsidRPr="007224C3">
        <w:rPr>
          <w:rFonts w:ascii="Times New Roman" w:hAnsi="Times New Roman"/>
          <w:color w:val="000000" w:themeColor="text1"/>
          <w:sz w:val="16"/>
          <w:szCs w:val="16"/>
        </w:rPr>
        <w:softHyphen/>
        <w:t>тиях была хорошо отлажена.</w:t>
      </w:r>
    </w:p>
    <w:p w14:paraId="3A6B93C9" w14:textId="77777777" w:rsidR="00783151" w:rsidRPr="007224C3" w:rsidRDefault="0078315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Однако, по заключению специали</w:t>
      </w:r>
      <w:r w:rsidRPr="007224C3">
        <w:rPr>
          <w:rFonts w:ascii="Times New Roman" w:hAnsi="Times New Roman"/>
          <w:color w:val="000000" w:themeColor="text1"/>
          <w:sz w:val="16"/>
          <w:szCs w:val="16"/>
        </w:rPr>
        <w:softHyphen/>
        <w:t>стов ЦАГИ, сама конструкция и аэроди</w:t>
      </w:r>
      <w:r w:rsidRPr="007224C3">
        <w:rPr>
          <w:rFonts w:ascii="Times New Roman" w:hAnsi="Times New Roman"/>
          <w:color w:val="000000" w:themeColor="text1"/>
          <w:sz w:val="16"/>
          <w:szCs w:val="16"/>
        </w:rPr>
        <w:softHyphen/>
        <w:t>намика самолета не демонстрировали ничего принципиально нового. Все это было уже известно. Высокие данные обеспечивались в первую очередь тщательным изготовлением (включая полировку поверхностей), применением в обшивке легкой и прочной трехслой</w:t>
      </w:r>
      <w:r w:rsidRPr="007224C3">
        <w:rPr>
          <w:rFonts w:ascii="Times New Roman" w:hAnsi="Times New Roman"/>
          <w:color w:val="000000" w:themeColor="text1"/>
          <w:sz w:val="16"/>
          <w:szCs w:val="16"/>
        </w:rPr>
        <w:softHyphen/>
        <w:t>ной конструкции типа «сэндвич» с вну</w:t>
      </w:r>
      <w:r w:rsidRPr="007224C3">
        <w:rPr>
          <w:rFonts w:ascii="Times New Roman" w:hAnsi="Times New Roman"/>
          <w:color w:val="000000" w:themeColor="text1"/>
          <w:sz w:val="16"/>
          <w:szCs w:val="16"/>
        </w:rPr>
        <w:softHyphen/>
        <w:t>тренним слоем из бальсы и отличными моторами «Мерлин». Два последних об</w:t>
      </w:r>
      <w:r w:rsidRPr="007224C3">
        <w:rPr>
          <w:rFonts w:ascii="Times New Roman" w:hAnsi="Times New Roman"/>
          <w:color w:val="000000" w:themeColor="text1"/>
          <w:sz w:val="16"/>
          <w:szCs w:val="16"/>
        </w:rPr>
        <w:softHyphen/>
        <w:t>стоятельства напрочь хоронили затею с производством «Москито» в СССР (19655).</w:t>
      </w:r>
    </w:p>
    <w:p w14:paraId="4C1155D1" w14:textId="77777777" w:rsidR="00783151" w:rsidRPr="007224C3" w:rsidRDefault="00783151" w:rsidP="007224C3">
      <w:pPr>
        <w:spacing w:after="0" w:line="240" w:lineRule="auto"/>
        <w:jc w:val="both"/>
        <w:rPr>
          <w:rFonts w:ascii="Times New Roman" w:hAnsi="Times New Roman"/>
          <w:color w:val="000000" w:themeColor="text1"/>
          <w:sz w:val="16"/>
          <w:szCs w:val="16"/>
        </w:rPr>
      </w:pPr>
    </w:p>
    <w:p w14:paraId="50161DE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 апреля 1944 л А.Г.Кочетков, который вместе с Ф.П.Супруном прибыли в Буффало испытывать Р-63, выполнил первые три полета из 61 планировавшихся (172,168).</w:t>
      </w:r>
    </w:p>
    <w:p w14:paraId="7B86CF4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C9FFB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период с 21 апреля по 27 мая 1944 г. в ГК НИИ ВВС проходил государственные испытания самолет B-25-DP, характерной особенностью которого были двигатели Райт-Циклон R-2600 двадцать девятой серии с флюгерными ВИШ &lt;Гидроматик&gt; фирмы &lt;Гамильтон Стандарт&gt; (на B-25-S стояли аналогичные двигатели 13-й серии) со взлетной мощностью 1700 л.с., а также измененная схема стрелкового вооружения и наличие подкрыльевых бомбодержателей, обеспечивающих подвеску восьми американских бомб калибром до 300 фунтов. Претерпела изменения и топливная система. В консолях крыла были установлены дополнительные бензобаки емкостью 1140 литров (302 американских галлона). За счет уменьшения объема внутрифюзеляжного бензобака более чем вдвое увеличили бомбоотсек, в котором одновременно могло подвешиваться по паре бомб ФАБ-250 и ФАБ-500. Имелись и другие малозначительные отличия.</w:t>
      </w:r>
    </w:p>
    <w:p w14:paraId="49645A0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 время государственных испытаний ведущими по машине стали инженер В.Я.Магон, летчик Г.А.Ашитков и штурман Филиппов. Самолет облетали также летчики М.А.Нюхтиков, А.М.Хрипков и В.М.Шульгин, штурманы Литвинчук и Цветков. В отчетах Ашитков писал, что &lt;... поведение самолета и техника пилотирования... в сравнении с самолетом Б-25-С имеет незначительные особенности, объясняющиеся, главным образом, увеличенной удельной нагрузкой самолета Б-25-ДП.</w:t>
      </w:r>
    </w:p>
    <w:p w14:paraId="29DDFE0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рулит спокойно, устойчиво с различными направлениями ветра.</w:t>
      </w:r>
    </w:p>
    <w:p w14:paraId="446743A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взлетах без закрылков и с выпущенными закрылками на 15 и 23 градуса самолет устойчив и хорошо управляем, а с закрылками, выпущенными на 30°, устойчивость и управляемость ухудшаются.</w:t>
      </w:r>
    </w:p>
    <w:p w14:paraId="489C750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Взлет с закрылками, выпущенными на 45°, практически невозможен, так как скорость на разбеге нарастает медленно, и при поднятии переднего колеса самолет теряет скорость. Отрыв самолета в этом случае происходит с трех точек с подрывом на малой скорости, при этом самолет в поперечном отношении неустойчив и плохо управляем и на выдерживании скорость набирает слишком медленно.</w:t>
      </w:r>
    </w:p>
    <w:p w14:paraId="354363D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Горизонтальный полете весом 14650 кг допускается на скоростях от 170-180 миль/ч по прибору до максимальной. При скоростях 140-150 миль/ч по прибору элероны оказываются малоэффективными и управляемость самолета ухудшается, а на скорости 135 миль/ч самолет становится неуправляемым.</w:t>
      </w:r>
    </w:p>
    <w:p w14:paraId="7559189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хорошо балансируется триммерами по всем диапазонам скоростей и идет с брошенным управлением....</w:t>
      </w:r>
    </w:p>
    <w:p w14:paraId="76109C7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Позволяет делать виражи с креном до 55-60 градусов. Нагрузки на рули большие. Время минимального виража с креном 55-60° при работе моторов на первой скорости нагнетателя на высоте 2700 метров - 1 минута 30 секунд, на второй скорости нагнетателя на высоте 4650 метров - 55 секунд.</w:t>
      </w:r>
    </w:p>
    <w:p w14:paraId="764F4BC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Горизонтальный полет с нормальным полетным весом на одном моторе, работающем в режиме номинальной мощности с винтом во флюгерном положении - невозможен (... с полетным весом 14150 кг и скорости 160-175 миль/ч полет возможен с высоты 1700 метров и ниже).</w:t>
      </w:r>
    </w:p>
    <w:p w14:paraId="5B1B2DA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отказе одного из моторов самолет резко забрасывает в сторону отказавшего мотора, нагрузка на ногу при этом очень большая и удержать самолет в прямолинейном направлении почти невозможно. В этом случае...целесообразно немного прикрыть газ работающему мотору, после чего нагрузки на ногу снять триммером руля поворота.</w:t>
      </w:r>
    </w:p>
    <w:p w14:paraId="3CB3D64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наличии хорошей устойчивости и имеющегося оборудования самолета полеты на дальность трудностей не представляют и особо не утомляют летчиков.</w:t>
      </w:r>
    </w:p>
    <w:p w14:paraId="5A2F735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Автопилот очень чувствителен и требует очень точной регулировки, особенно на высоте. В &lt;болтанку&gt; автопилот режим полета точно не выдерживает и требует периодической поправки.</w:t>
      </w:r>
    </w:p>
    <w:p w14:paraId="6969013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Самолетное переговорное устройство работает неудовлетворительно. При наличии сплошной трассы прицельную стрельбу (вперед по курсу) как днем, так и ночью вести невозможно - трасса закрывает цель и шкалу прицела.</w:t>
      </w:r>
    </w:p>
    <w:p w14:paraId="7C60535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Благодаря хорошему обзору вперед и влево летчик может при бомбометании самостоятельно выводить самолет на цель...&gt;.</w:t>
      </w:r>
    </w:p>
    <w:p w14:paraId="166987C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Другие летчики облета в целом согласились со своим коллегой. Наиболее кратко и емко высказался Нюхтиков: &lt;Самолет Б-25-ДП, несмотря на большой полетный вес (13700 кг), имеет несложные по технике пилотирования взлет и посадку, сравнительно легко ходит на одном моторе, имеет хорошую продольную и вполне удовлетворительную боковую устойчивость. Последнее могло быть и хорошим, если бы у самолета был бы немного увеличен запас путевой устойчивости относительно поперечной и уменьшена нагрузка на ноги&gt;.</w:t>
      </w:r>
    </w:p>
    <w:p w14:paraId="698A6AB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Несмотря на то, что самолет имел две кабины - бомбардира и навигатора, это не обеспечивало нормальной работы штурмана по самолетовождению. Ему мешали два неподвижных пулемета, ящики которых загромождали кабину бомбардира. В связи с этим представляет интерес мнение Литвинчука: &lt;Штурман не имеет места, на котором он мог бы сосредоточенно работать, видеть все приборы, пользоваться ими и наблюдать за землей. Для работы с радиокомпасом и навигационным визиром надо слезать с сиденья. В кабине нет указателя скорости, часов и высотомера. Эти приборы находятся на доске летчика, и штурман их с сиденья не видит. Обзор из кабины не позволяет вести детальную ориентировку. Общую ориентировку вести затруднительно... Наиболее подходящим местом для работы штурмана является кабина бомбардира, обзор из которой хороший и вполне обеспечивает ведение общей и детальной ориентировки...&gt;.</w:t>
      </w:r>
    </w:p>
    <w:p w14:paraId="7E2C68E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Исследователями отмечалась неудовлетворительная работа пулеметных установок из-за их частых самопроизвольных отказов, связанных, главным образом, с выпадением и перекашиванием патронных лент.</w:t>
      </w:r>
    </w:p>
    <w:p w14:paraId="08C2881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результатам испытаний были сделаны, в частности, следующие выводы:</w:t>
      </w:r>
    </w:p>
    <w:p w14:paraId="29EBD08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&lt;Нормальный полетный вес самолета Б-25-ДП, равный 14650 кг, больше на 1750 кг или на 13,55% нормального полетного веса самолета Б-25-С вследствие:</w:t>
      </w:r>
    </w:p>
    <w:p w14:paraId="56AB42F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увеличения веса пустого самолета на 75 кг;</w:t>
      </w:r>
    </w:p>
    <w:p w14:paraId="03344CC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увеличения веса полезной нагрузки на 1675 кг;</w:t>
      </w:r>
    </w:p>
    <w:p w14:paraId="08733D3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Предельно-эксплуатационные центровки самолета - передняя 21,7%САХ и задняя 33,5% САХ - находятся в диапазоне допускаемых американской фирмой центровок (20-33,5% САХ).</w:t>
      </w:r>
    </w:p>
    <w:p w14:paraId="48008B0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Уменьшение максимальных скоростей по высотам самолета Б-25-ДП в сравнении с самолетом Б-25-С произошло вследствие:</w:t>
      </w:r>
    </w:p>
    <w:p w14:paraId="57E160E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ухудшения аэродинамики самолета из-за установки дополнительных стрелковых точек;</w:t>
      </w:r>
    </w:p>
    <w:p w14:paraId="7C5017C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увеличения нормального полетного веса на 1750 кг. На всех полетных режимах в диапазоне полетных скоростей от минимально допустимой до максимальной самолет Б-25-ДП с нормальным полетным весом 14650 кг (центровка 31,0% САХ) имеет хорошую управляемость и вполне удовлетворительную устойчивость как в продольном, так и в боковом отношениях.</w:t>
      </w:r>
    </w:p>
    <w:p w14:paraId="27ADD3B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пилотировании на минимально допустимой скорости допускаются развороты с креном не более 15-20 градусов.</w:t>
      </w:r>
    </w:p>
    <w:p w14:paraId="529ED40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В сравнении с самолетом Б-25-С техника пилотирования на самолете Б-25-ДП несколько сложнее вследствие больших удельных нагрузок. По технике пилотирования самолет доступен летчикам средней квалификации.</w:t>
      </w:r>
    </w:p>
    <w:p w14:paraId="323959F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Винтомоторная группа на всех режимах полета самолета до практического потолка работает безотказно.</w:t>
      </w:r>
    </w:p>
    <w:p w14:paraId="5D3CA2B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Стрелковая установка не обеспечивает безотказной работы пулеметов и требует частой перезагрузки вследствие больших изгибов рукавов питания и торможения в них патронной ленты. Условия работы стрелков хвостовой установки неудовлетворительные.</w:t>
      </w:r>
    </w:p>
    <w:p w14:paraId="7A3AD50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Бомбардировочные установки работают безотказно. Подкрыльные американские бомбодержатели подвеску отечественных бомб не обеспечивают. Для увеличения бомбовой нагрузки и расширения возможных вариантов подвески отечественных бомб необходима заводская переделка подкрыльных держателей под бомбы ФАБ-250 и ФАБ-500.</w:t>
      </w:r>
    </w:p>
    <w:p w14:paraId="3E0ADD6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Американский бомбардировочный прицел Д-8 не обеспечивает удобства работы сними точности бомбометания и значительно уступает нашим отечественным прицелам типа НКПБ-7&gt;.</w:t>
      </w:r>
    </w:p>
    <w:p w14:paraId="41DDC33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отличие от отечественных бомбардировщиков, кабина членов экипажа B-25-S была комфортабельной. Имелись даже обогреватели.</w:t>
      </w:r>
    </w:p>
    <w:p w14:paraId="7396F14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Радиостанция обеспечивала очень хорошую связь, в том числе и при полете на предельную дальность. Проверку произвели на маршруте Чкаловская-Харабали (Астраханская область) общей протяженностью 2340 километров.</w:t>
      </w:r>
    </w:p>
    <w:p w14:paraId="00B39BB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заключении Акта по результатам гос. испытаний рекомендовалось переделать американские под крыльевые бомбодержатели под отечественные бомбы ФАБ-100 и ФАБ-250 и заменить американский прицел Д-8 на отечественный НКПБ-7; снять носовые неподвижные пулеметы и установить сидение в передней кабине бомбардира; перекомпоновать имеющееся и установить дополнительное оборудование и приборы в кабине штурмана (3198).</w:t>
      </w:r>
    </w:p>
    <w:p w14:paraId="0568C03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A32C44" w14:textId="77777777" w:rsidR="000F02F6" w:rsidRPr="007224C3" w:rsidRDefault="000F02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 апреля в 1944 году в ГК HИИ ВВС начались государственные испытания (по 27 мая 1944 года) самолета «B-25-DP», характерной особенностью которого были двигатели «Райт-Циклон» «R-2600» двадцать девятой серии с флюгерными ВИШ "Гидроматик" фирмы "Гамильтон Стандарт" (на «B-25-S» стояли аналогичные двигатели 13-й серии) со взлетной мощностью 1700л. с. , а также измененная схема стрелкового вооружения и наличие подкрыльевых бомбодержателей, обеспечивающих подвеску восьми американских бомб калибром до 300 фунтов. Претерпела изменения и топливная система. В консолях крыла были установлены дополнительные бензобаки емкостью 1 140 литров (302 американских галлона). За счет уменьшения объема внутрифюзеляжного бензобака более чем вдвое увеличили бомбоотсек, в котором одновременно могло подвешиваться по паре бомб. «ФАБ-250» и «ФАБ-500». Имелись и другие малозначительные отличия (15106).</w:t>
      </w:r>
    </w:p>
    <w:p w14:paraId="74E5FEB4" w14:textId="77777777" w:rsidR="000F02F6" w:rsidRPr="007224C3" w:rsidRDefault="000F02F6" w:rsidP="007224C3">
      <w:pPr>
        <w:spacing w:after="0" w:line="240" w:lineRule="auto"/>
        <w:jc w:val="both"/>
        <w:rPr>
          <w:rFonts w:ascii="Times New Roman" w:hAnsi="Times New Roman"/>
          <w:color w:val="000000" w:themeColor="text1"/>
          <w:sz w:val="16"/>
          <w:szCs w:val="16"/>
        </w:rPr>
      </w:pPr>
    </w:p>
    <w:p w14:paraId="366943AD"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7F5624E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6D1AE3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 апреля 1944 г. наркомом танковой промышленности и командую</w:t>
      </w:r>
      <w:r w:rsidRPr="007224C3">
        <w:rPr>
          <w:rFonts w:ascii="Times New Roman" w:hAnsi="Times New Roman"/>
          <w:color w:val="000000" w:themeColor="text1"/>
          <w:sz w:val="16"/>
          <w:szCs w:val="16"/>
        </w:rPr>
        <w:softHyphen/>
        <w:t>щим БТ и МВ был издан совместный приказ по усилению броневой за</w:t>
      </w:r>
      <w:r w:rsidRPr="007224C3">
        <w:rPr>
          <w:rFonts w:ascii="Times New Roman" w:hAnsi="Times New Roman"/>
          <w:color w:val="000000" w:themeColor="text1"/>
          <w:sz w:val="16"/>
          <w:szCs w:val="16"/>
        </w:rPr>
        <w:softHyphen/>
        <w:t>щиты танка ИС-2. Согласно этому приказу УЗТМ надлежало выпускать бронекорпус со сварным спрямленным носом и углом наклона верхнего лобового ли</w:t>
      </w:r>
      <w:r w:rsidRPr="007224C3">
        <w:rPr>
          <w:rFonts w:ascii="Times New Roman" w:hAnsi="Times New Roman"/>
          <w:color w:val="000000" w:themeColor="text1"/>
          <w:sz w:val="16"/>
          <w:szCs w:val="16"/>
        </w:rPr>
        <w:softHyphen/>
        <w:t>ста 60° из катаного броневого листа средней твердости и усиленной ли</w:t>
      </w:r>
      <w:r w:rsidRPr="007224C3">
        <w:rPr>
          <w:rFonts w:ascii="Times New Roman" w:hAnsi="Times New Roman"/>
          <w:color w:val="000000" w:themeColor="text1"/>
          <w:sz w:val="16"/>
          <w:szCs w:val="16"/>
        </w:rPr>
        <w:softHyphen/>
        <w:t>той подбашенной коробкой из брони высокой твердости (10703).</w:t>
      </w:r>
    </w:p>
    <w:p w14:paraId="551481B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B8DE6D" w14:textId="77777777" w:rsidR="00301BB3" w:rsidRPr="007224C3" w:rsidRDefault="00301BB3" w:rsidP="007224C3">
      <w:pPr>
        <w:shd w:val="clear" w:color="auto" w:fill="FFFFFF"/>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21 апреля 1944 вышел приказ по НКТП № 224с/061с, соглас</w:t>
      </w:r>
      <w:r w:rsidRPr="007224C3">
        <w:rPr>
          <w:rFonts w:ascii="Times New Roman" w:hAnsi="Times New Roman"/>
          <w:color w:val="0070C0"/>
          <w:sz w:val="16"/>
          <w:szCs w:val="16"/>
        </w:rPr>
        <w:softHyphen/>
        <w:t>но которому завод № 200 вместо сварной но</w:t>
      </w:r>
      <w:r w:rsidRPr="007224C3">
        <w:rPr>
          <w:rFonts w:ascii="Times New Roman" w:hAnsi="Times New Roman"/>
          <w:color w:val="0070C0"/>
          <w:sz w:val="16"/>
          <w:szCs w:val="16"/>
        </w:rPr>
        <w:softHyphen/>
        <w:t>совой части делал литую. Правда, первона</w:t>
      </w:r>
      <w:r w:rsidRPr="007224C3">
        <w:rPr>
          <w:rFonts w:ascii="Times New Roman" w:hAnsi="Times New Roman"/>
          <w:color w:val="0070C0"/>
          <w:sz w:val="16"/>
          <w:szCs w:val="16"/>
        </w:rPr>
        <w:softHyphen/>
        <w:t>чально толщина стенок была иной. Согласно приказу, нижняя носовая часть изготовля</w:t>
      </w:r>
      <w:r w:rsidRPr="007224C3">
        <w:rPr>
          <w:rFonts w:ascii="Times New Roman" w:hAnsi="Times New Roman"/>
          <w:color w:val="0070C0"/>
          <w:sz w:val="16"/>
          <w:szCs w:val="16"/>
        </w:rPr>
        <w:softHyphen/>
        <w:t>лась толщиной 90 мм, такую же толщину пла</w:t>
      </w:r>
      <w:r w:rsidRPr="007224C3">
        <w:rPr>
          <w:rFonts w:ascii="Times New Roman" w:hAnsi="Times New Roman"/>
          <w:color w:val="0070C0"/>
          <w:sz w:val="16"/>
          <w:szCs w:val="16"/>
        </w:rPr>
        <w:softHyphen/>
        <w:t>нировали и для боковых стенок. 24 апреля ОГК-ТП ЧКЗ был подготовлен чертеж корпуса с литой носовой деталью (240-50-141). К ней приваривались смотровой прибор и его от</w:t>
      </w:r>
      <w:r w:rsidRPr="007224C3">
        <w:rPr>
          <w:rFonts w:ascii="Times New Roman" w:hAnsi="Times New Roman"/>
          <w:color w:val="0070C0"/>
          <w:sz w:val="16"/>
          <w:szCs w:val="16"/>
        </w:rPr>
        <w:softHyphen/>
        <w:t>бойник. В то время как толщина верхней части лба корпуса составляла 100 мм, ниж</w:t>
      </w:r>
      <w:r w:rsidRPr="007224C3">
        <w:rPr>
          <w:rFonts w:ascii="Times New Roman" w:hAnsi="Times New Roman"/>
          <w:color w:val="0070C0"/>
          <w:sz w:val="16"/>
          <w:szCs w:val="16"/>
        </w:rPr>
        <w:softHyphen/>
        <w:t>нюю часть усилили до 130 мм. Из-за передел</w:t>
      </w:r>
      <w:r w:rsidRPr="007224C3">
        <w:rPr>
          <w:rFonts w:ascii="Times New Roman" w:hAnsi="Times New Roman"/>
          <w:color w:val="0070C0"/>
          <w:sz w:val="16"/>
          <w:szCs w:val="16"/>
        </w:rPr>
        <w:softHyphen/>
        <w:t>ки лобовой части пришлось менять и другие детали, например подбашенную коробку. Новый узел (240-50-Сб166) в месте стыка с литой носовой деталью получился более узким. Конечно, такое отступление от требо</w:t>
      </w:r>
      <w:r w:rsidRPr="007224C3">
        <w:rPr>
          <w:rFonts w:ascii="Times New Roman" w:hAnsi="Times New Roman"/>
          <w:color w:val="0070C0"/>
          <w:sz w:val="16"/>
          <w:szCs w:val="16"/>
        </w:rPr>
        <w:softHyphen/>
        <w:t>ваний увеличило массу детали, но, как пока</w:t>
      </w:r>
      <w:r w:rsidRPr="007224C3">
        <w:rPr>
          <w:rFonts w:ascii="Times New Roman" w:hAnsi="Times New Roman"/>
          <w:color w:val="0070C0"/>
          <w:sz w:val="16"/>
          <w:szCs w:val="16"/>
        </w:rPr>
        <w:softHyphen/>
        <w:t>зали дальнейшие события, увеличение тол</w:t>
      </w:r>
      <w:r w:rsidRPr="007224C3">
        <w:rPr>
          <w:rFonts w:ascii="Times New Roman" w:hAnsi="Times New Roman"/>
          <w:color w:val="0070C0"/>
          <w:sz w:val="16"/>
          <w:szCs w:val="16"/>
        </w:rPr>
        <w:softHyphen/>
        <w:t>щины нижней части до 130 мм было оправ</w:t>
      </w:r>
      <w:r w:rsidRPr="007224C3">
        <w:rPr>
          <w:rFonts w:ascii="Times New Roman" w:hAnsi="Times New Roman"/>
          <w:color w:val="0070C0"/>
          <w:sz w:val="16"/>
          <w:szCs w:val="16"/>
        </w:rPr>
        <w:softHyphen/>
        <w:t>данно (19880).</w:t>
      </w:r>
    </w:p>
    <w:p w14:paraId="7539D775" w14:textId="77777777" w:rsidR="00301BB3" w:rsidRPr="007224C3" w:rsidRDefault="00301BB3" w:rsidP="007224C3">
      <w:pPr>
        <w:shd w:val="clear" w:color="auto" w:fill="FFFFFF"/>
        <w:spacing w:after="0" w:line="240" w:lineRule="auto"/>
        <w:jc w:val="both"/>
        <w:rPr>
          <w:rFonts w:ascii="Times New Roman" w:hAnsi="Times New Roman"/>
          <w:color w:val="0070C0"/>
          <w:sz w:val="16"/>
          <w:szCs w:val="16"/>
        </w:rPr>
      </w:pPr>
    </w:p>
    <w:p w14:paraId="0EC1233F"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 апреля 1944 вышло Постановление ГКО № 5693 Об организации опытного комплексного производства запальных свечей с высокоглиноземистыми изоляторами. (7219, 115-117,118-121).</w:t>
      </w:r>
    </w:p>
    <w:p w14:paraId="2271F298"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874685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 апреля 1944 вышло Постановление ГКО № 5694 О мероприятиях по восстановлению Крюковского вагоностроительного завода Наркомсредмаша в г. Крюкове на Днепре. РГАНИР, Фонд ГКО, д. 241, лл. 122-128,129-135 (11012).</w:t>
      </w:r>
    </w:p>
    <w:p w14:paraId="74D4ABF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DD74B4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 апреля 1944 вышло Распоряжение ГКО № 5695. О поставках материалов аккумуляторным заводам НКСМ во II кв. 1944 г. РГАНИР, Фонд ГКО, д. 241, лл. 136 (11012).</w:t>
      </w:r>
    </w:p>
    <w:p w14:paraId="676F9D2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FED1AD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 апреля 1944 вышло Постановление ГКО № 5696 О первоочередных мероприятиях по восстановлению заводов № 444 и 445 Наркомсудпрома в г. Николаеве. РГАНИР, Фонд ГКО, д. 241, лл. 137-144,145-151 (11012).</w:t>
      </w:r>
    </w:p>
    <w:p w14:paraId="062B87F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F0CE59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 апреля 1944 г. в соответствии с пост. ГКО № 5696 начато восстановление производства на месте эвакуированного завода № 198 НКСН. Во время оккупации завод был полностью разрушен (сохранились только здания заводской лаборатории и бытового корпуса). Новый завод получил название завод № 444 им. А. Марти (Завод № 444 ИМ. А. Марти, ИМ. И.И. Носенко МСП, Завод им. И.И. Носенко, п/я 6, Завод им. А. Марти, Черноморский судостроительный завод (ЧСЗ) МСП, ПО, ГХК «ЧСЗ» /Украина  г. Николаев/). 13.01.1945 г. вышло постановление ГКО № 7320 о мероприятиях по оказанию помощи заводу. 11.03.1945 г. вышло постановление ГКО № 7784 о ходе восстановительных работ на заводе, 13.03.1945 г. - распоряжение ГКО № 7795 о поставке на завод стройматериалов; 23.03.1945 г. - новое распоряжение ГКО № 7915 о мерах неотложной помощи заводу. Пост. ГКО № 7960 от 31.03.1945 г. утвержден план восстановления и строительства завода в 1945 г. В том же году он вступил в строй. С 1945 г. - производство понтонов, барж, пассажирских катеров. Позднее - строительство военных кораблей.</w:t>
      </w:r>
      <w:r w:rsidRPr="007224C3">
        <w:rPr>
          <w:rFonts w:ascii="Times New Roman" w:hAnsi="Times New Roman"/>
          <w:color w:val="000000" w:themeColor="text1"/>
          <w:sz w:val="16"/>
          <w:szCs w:val="16"/>
          <w:vertAlign w:val="superscript"/>
        </w:rPr>
        <w:t>61</w:t>
      </w:r>
      <w:r w:rsidRPr="007224C3">
        <w:rPr>
          <w:rFonts w:ascii="Times New Roman" w:hAnsi="Times New Roman"/>
          <w:color w:val="000000" w:themeColor="text1"/>
          <w:sz w:val="16"/>
          <w:szCs w:val="16"/>
        </w:rPr>
        <w:t xml:space="preserve"> До 1953 г. завод № 444 носил имя А. Марти</w:t>
      </w:r>
      <w:r w:rsidRPr="007224C3">
        <w:rPr>
          <w:rFonts w:ascii="Times New Roman" w:hAnsi="Times New Roman"/>
          <w:iCs/>
          <w:color w:val="000000" w:themeColor="text1"/>
          <w:sz w:val="16"/>
          <w:szCs w:val="16"/>
        </w:rPr>
        <w:t xml:space="preserve"> (в 01.1953 г. А. Марти исключен из компартии Франции за критику ВКП (б) и Сталина).</w:t>
      </w:r>
      <w:r w:rsidRPr="007224C3">
        <w:rPr>
          <w:rFonts w:ascii="Times New Roman" w:hAnsi="Times New Roman"/>
          <w:color w:val="000000" w:themeColor="text1"/>
          <w:sz w:val="16"/>
          <w:szCs w:val="16"/>
        </w:rPr>
        <w:t xml:space="preserve"> 5.08.1956 г. заводу № 444 присвоено имя И.И. Носенко. Имел наименование «п/я 6» (1953-56 г.). 13.09.1968 г. завод № 444 переименован в ЧСЗ, лишен имени Носенко (</w:t>
      </w:r>
      <w:r w:rsidRPr="007224C3">
        <w:rPr>
          <w:rFonts w:ascii="Times New Roman" w:hAnsi="Times New Roman"/>
          <w:iCs/>
          <w:color w:val="000000" w:themeColor="text1"/>
          <w:sz w:val="16"/>
          <w:szCs w:val="16"/>
        </w:rPr>
        <w:t>из-за того, что его сын Ю.И. Носенко, офицер КГБ, перебежал на Запад).</w:t>
      </w:r>
      <w:r w:rsidRPr="007224C3">
        <w:rPr>
          <w:rFonts w:ascii="Times New Roman" w:hAnsi="Times New Roman"/>
          <w:iCs/>
          <w:color w:val="000000" w:themeColor="text1"/>
          <w:sz w:val="16"/>
          <w:szCs w:val="16"/>
          <w:vertAlign w:val="superscript"/>
        </w:rPr>
        <w:t>142</w:t>
      </w:r>
      <w:r w:rsidRPr="007224C3">
        <w:rPr>
          <w:rFonts w:ascii="Times New Roman" w:hAnsi="Times New Roman"/>
          <w:color w:val="000000" w:themeColor="text1"/>
          <w:sz w:val="16"/>
          <w:szCs w:val="16"/>
        </w:rPr>
        <w:t xml:space="preserve"> В 1980-е  г. ЧСЗ - в ведении 2ГУ МСП. В 2005 г. - ГХК «Черноморский судостроительный завод».</w:t>
      </w:r>
    </w:p>
    <w:p w14:paraId="3CD125F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1948-53 г. для подготовки к строительству тяжелого крейсера «Сталинград» завод был реконструирован. В 1952 г. для правки броневых листов с Ижорского завода переданы мощные правильные вальцы. Пост, правительства от 25.03.1950 г. предусматривалась закладка крейсера во втором квартале 1951 г. со сдачей в 1954 г.</w:t>
      </w:r>
    </w:p>
    <w:p w14:paraId="3EAACA4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Крейсер пр. 82 «Сталинград» был заложен 31.12.1951 г., по пр. МТиТМ № 00112 от 18.04.1953 г. его строительство прекращено.</w:t>
      </w:r>
    </w:p>
    <w:p w14:paraId="391ED33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1950-е  г. на заводе изготовлены опытные образцы подъемно-стыковочного агрегата ПС-31 для БР Р-13.</w:t>
      </w:r>
    </w:p>
    <w:p w14:paraId="6E98F0F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1950-е  г. построено 72 ГШ пр. 613.</w:t>
      </w:r>
    </w:p>
    <w:p w14:paraId="7C62133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1960 г. начата новая реконструкция завода, в связи с развертыванием крупносерийной постройки поточно- позиционным методом больших морозильных рыболовных траулеров (БМРТ). Под судостроительный комплекс был переоборудован башенный цех. Блок поточной сборки траулеров создан на месте строительства ПЛ пр. 613. В качестве передаточного использовался плавучий док, построенный в 1914 г. В год завод строил 24 траулера, всего их на заводе построено более 500.</w:t>
      </w:r>
    </w:p>
    <w:p w14:paraId="5988282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Пост, правительства от 11.1963 г. заводу задана постройка двух кораблей ПЛО пр. 1123.</w:t>
      </w:r>
    </w:p>
    <w:p w14:paraId="577A48A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1977 г. завод принимал участие в строительстве испытательного комплекса НИТКА, в связи с этим была организована производственная база в  г. Саки.</w:t>
      </w:r>
    </w:p>
    <w:p w14:paraId="0941DD4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соответствии с ПСМ от 30.04.1976 г. заводу поручено строительство двух авианесущих кораблей пр. 1153 со сдачей к 1985 г. В связи с этим начата реконструкция большого наклонного стапеля «0», завершенная в 1982 г. На нем установлены два козловых крана финской фирмы KONE грузоподъемностью по 900 т с шириной пролета 140 м. Освоена крупно-блочная технология формирования корпусов авианосцев, это позволяло подавать на стапель готовые блоки массой по 1500-1700 т.</w:t>
      </w:r>
    </w:p>
    <w:p w14:paraId="3ED29F8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10.1978 г. вышло постановление правительства о продолжении строительства ТАКР пр. 1143, но пост, от 03.1980 г. в план завода на 1981-90 г. включена постройка двух ПЛ вертолетоносцев пр. 10200. Затем пр. 10200 был отклонен, и в 05.1982 г. вышло постановление правительства о строительстве крейсера пр. 1143.5.</w:t>
      </w:r>
    </w:p>
    <w:p w14:paraId="313E8A0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1980-е  г. установленные в отделе АСУП завода ЭВМ были соединены в единую сеть с машинами Невского ПКБ, что позволило при строительстве ТАКР «Адмирал Кузнецов» отказаться от плазовой разметки, а резать металл по программам ЭВМ. К 1986 г. была проведена подготовка производства к строительству атомного крейсера пр. 1143.7 «Ульяновск»: спроектирован и построен плавучий цех для сборки атомной СУ (после прекращения строительства авианосцев в нем велась сборка главных дизелей для танкеров); созданы отделы радиационной и ядерной безопасности, спецэнергетики; организованы участки: изготовления баков металловодной защиты, изготовления пластмассовой защиты, по заливке свинца в корпусные конструкции, воды высокой чистоты. С завода «Залив» был передан плавучий контрольно-дозиметрический пункт. Начато строительство новой достроечной набережной с комплексом новых монтажно-достроечных цехов. Велась подготовка к строительству второго корабля пр. 11437 (заказ № 108). Распоряжением правительства Украины от 4.02.1992 г. прекращено строительство «Ульяновска», «Варяга» и 4-й плавбазы пр. 2020; ликвидирован заказ № 108. Работы по дальнейшей реконструкции завода остановлены, цеха не достроены.</w:t>
      </w:r>
    </w:p>
    <w:p w14:paraId="4742312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составе завода: цеха: монтажа систем вооружений № 8, сборочно-сварочный № 11 (1958-80-е), корпусо- стапельный № 16, турбинный № 26, № 34, № 41, № 49, агрегатно-модульных сборок, станков с ЧПУ; участок термообработки (обработка деталей массой до 30 т); стапели «0», «1»; Северная и Западная достроечные набережные; 332 крана и более 2100 грузоподъемных устройств.</w:t>
      </w:r>
    </w:p>
    <w:p w14:paraId="516422E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В 1999 г. был подписан контракт на строительство двух суперяхт компании "Sparkman &amp; Stephens" для Израиля, реализован не был.</w:t>
      </w:r>
    </w:p>
    <w:p w14:paraId="099C805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Площадь: территории (1980-е)- 247 га (плюс 47 га акватории).</w:t>
      </w:r>
    </w:p>
    <w:p w14:paraId="53F463D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Численность персонала (1967 г.)- около 25 тыс. чел.</w:t>
      </w:r>
    </w:p>
    <w:p w14:paraId="61A63D7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(12.08.1949-8.07.1952 г.)- В.Ф. Ивочкин, (8.07.1952-05.1954 г.)- В.М. Орешкин {1909-54}, (1954-56 г.)- И.С. Прибыльский (затем- председатель Херсонского СНХ), (12.1956-04.1959 г.)- З. Г. Згибнев, (1959-79 г.)- А.Б. Ганькевич {1912-86}, (09.1979-94 г.)- Ю.И. Макаров {1934-2002}. Гендиректор (1994 г.-)- И.Н. Овдиенко.</w:t>
      </w:r>
    </w:p>
    <w:p w14:paraId="418FDCD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директора, гендиректора: по траулерам (1974-76 г.)- Ю.И. Макаров; по машиностроению</w:t>
      </w:r>
    </w:p>
    <w:p w14:paraId="4717CDD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(1978-91 г.-&gt; И.И. Винник; по капстроительству (1980-е)- А.Н. Бормосов.</w:t>
      </w:r>
    </w:p>
    <w:p w14:paraId="7740919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инженер (1950-59 г.)- Е.М. Горбенко, (1961-76 г.)-  Г.М. Балабаев, (09.1976-79 г.)- Ю.И. Макаров, (05.1983- 86 г.)- И.Н. Овдиенко.</w:t>
      </w:r>
    </w:p>
    <w:p w14:paraId="031F0C1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конструктор (1948 г.)- Я.Е. Евграфов, (-1967-73 г.)- Л.С. Елеонский, (1973-74 г.)- Ю.И. Макаров, (1974-87 г.)- В.С. Тюрин, (1987-96 г.)- О.И. Хотлубей, (1996-2006 г.-)- С.М. Хальнов.</w:t>
      </w:r>
    </w:p>
    <w:p w14:paraId="591F1F3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гл. конструктора: по верфи (1974-87 г.)- О.И. Хотлубей, (1987-96 г.)- С.М. Хальнов; по траулерам (1967- 69 г.)- Ю.И. Макаров.</w:t>
      </w:r>
    </w:p>
    <w:p w14:paraId="19FDC44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технолог (1980-е)-  Г. Г. Меньков; по авианесущим кораблям (1980-е)- И.В. Рыбаченко; по пр. 2020 (1980- е)- С.П. Вороненко. Гл. сварщик (-1974 г.)- B.C. Тюрин.</w:t>
      </w:r>
    </w:p>
    <w:p w14:paraId="375E7D0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гл. технолога- Л.А. Плясков.</w:t>
      </w:r>
    </w:p>
    <w:p w14:paraId="3EEE5A3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Начальники цехов: № 16-  Г. Г. Меньков, М. Г. Рыльский, (1976-90 г.)- Л.П. Трищенко; № 49 (1986 г.)- И.М. Патрик; котельного- С.Н. Астремский.</w:t>
      </w:r>
    </w:p>
    <w:p w14:paraId="5907DB6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Начальники отделов: ОГК (1973-74 г.)- Ю.И. Макаров; гл. строителя (1976 г.)- И.И. Винник; АСУП</w:t>
      </w:r>
    </w:p>
    <w:p w14:paraId="1D79D09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(1980-е)- М. Г. Рыльский; ВЭС (03.1992-93 г.)- В.В. Бабич.</w:t>
      </w:r>
    </w:p>
    <w:p w14:paraId="6543410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строитель (-1970-78 г.)- И.И. Винник («Киев», «Минск», «Новороссийск»), (1978-83 г.)- И.Н. Овдиенко («Новороссийск», «Баку», «Адмирал Кузнецов»), (1983-87 г.)-  Г.И. Журенко («Баку», военные заказы), (-1991- 2000 г.-)- Е.М. Ентис («Адмирал Кузнецов», «Варяг»),</w:t>
      </w:r>
    </w:p>
    <w:p w14:paraId="6023DC5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1-й зам. гл. строителя (1982 г.)-  Г.И. Журенко. Зам. гл. строителя: по вооружению (1978 г.)- И.С. Мельницкий.</w:t>
      </w:r>
    </w:p>
    <w:p w14:paraId="5AC944D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Старшие строители: (1960-е-72 г.-)- С.Н. Астремский («Ленинград», «Минек», «Адмирал Кузнецов»), (1988- 92 г.)- П.С. Герасимов (пр. 11437), (1975-82 г.)-  Г.И. Журенко (пр. 11433), В.Н. Ковалев (авиационные комплексы «Минска», «Баку»), (-1967-76 г.-)- В.Н. Корчагин («Москва», «Ленинград», «Киев», «Баку»), (1962 г.-)- Ю.И. Макаров (траулеры), (1970 г.)- И.Н. Овдиенко («Академик Сергей Королев»), (-1973-81 г.-)- А.И. Середин (авиационный комплекс «Киева», НИТКА). Строители кораблей: Ю.Л. Бобков, (1978 г.)-  Г.Н. Дмитриев (РК «Базальт» ТАКР «Минск»), (1973 г.)- В.Н. Ковалев (авиационный комплекс «Киева»), (1976 г.)- Л. Полевой, (1972 г.)- А.И. Середин (пр. 1143), (-1972-73 г.-)- М.С. Фещенко (авиационное вооружение пр. 1143), (1991 г.)- А. Школенко.</w:t>
      </w:r>
    </w:p>
    <w:p w14:paraId="76636F6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Ответственные сдатчики: по корпусу (1980-е)- В.Н. Серебряный («Новороссийск»); комплекса авиационного вооружения (1970-е)- А.И. Середин («Киев»). Руководитель гарантийной команды (1983 г.)- А.Н. Панченко, (1988 г.)- В.Ф. Бабак.</w:t>
      </w:r>
    </w:p>
    <w:p w14:paraId="5FB6C20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Начальники бюро: отдела АСУП (1971 г.-)- М.М. Райхман; технологической подготовки цеха № 16</w:t>
      </w:r>
    </w:p>
    <w:p w14:paraId="013F469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(1980-е)- Л.Н. Шалыгина. Руководители групп: вооружения (1967 г.)- Н.П. Татаринов; конструкторской по вооружению (1977 г.-)- В.В. Бабич.</w:t>
      </w:r>
    </w:p>
    <w:p w14:paraId="7382D3F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Капитан (1980-е)- Н.А. Деркач.</w:t>
      </w:r>
      <w:r w:rsidRPr="007224C3">
        <w:rPr>
          <w:rFonts w:ascii="Times New Roman" w:hAnsi="Times New Roman"/>
          <w:color w:val="000000" w:themeColor="text1"/>
          <w:sz w:val="16"/>
          <w:szCs w:val="16"/>
          <w:vertAlign w:val="superscript"/>
        </w:rPr>
        <w:t>142</w:t>
      </w:r>
    </w:p>
    <w:p w14:paraId="7D0B43E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iCs/>
          <w:color w:val="000000" w:themeColor="text1"/>
          <w:sz w:val="16"/>
          <w:szCs w:val="16"/>
        </w:rPr>
        <w:t>Производство: ПЛ:</w:t>
      </w:r>
      <w:r w:rsidRPr="007224C3">
        <w:rPr>
          <w:rFonts w:ascii="Times New Roman" w:hAnsi="Times New Roman"/>
          <w:color w:val="000000" w:themeColor="text1"/>
          <w:sz w:val="16"/>
          <w:szCs w:val="16"/>
        </w:rPr>
        <w:t xml:space="preserve"> достройка серии ТХбис (1948)- 1; пр. 613 С-61, -62, -63, -64, -65, -66, -67, -68, -69, -70, -71, -72, -73, -74, -75, -76, -77, -78, -79, -86, -87, -88, -89, -90, -91, -95, -96, -97, -98, -217, -218, -219, -220, -221, -222, - 223, -224, -225, -226, -227, -228, -229, -230, -231, -232, -233, -234, -235, -236, -237, -238, -239, -240, -241, -242, -243, - 244, -245, -246, -250, -374, -375, -376, -377, -378, -379, -380, -381, -382, -383, -384 (1952-57)- 72;</w:t>
      </w:r>
      <w:r w:rsidRPr="007224C3">
        <w:rPr>
          <w:rFonts w:ascii="Times New Roman" w:hAnsi="Times New Roman"/>
          <w:iCs/>
          <w:color w:val="000000" w:themeColor="text1"/>
          <w:sz w:val="16"/>
          <w:szCs w:val="16"/>
        </w:rPr>
        <w:t xml:space="preserve"> крейсеры: </w:t>
      </w:r>
      <w:r w:rsidRPr="007224C3">
        <w:rPr>
          <w:rFonts w:ascii="Times New Roman" w:hAnsi="Times New Roman"/>
          <w:color w:val="000000" w:themeColor="text1"/>
          <w:sz w:val="16"/>
          <w:szCs w:val="16"/>
        </w:rPr>
        <w:t>достройка пр. 68К «Фрунзе», «Куйбышев» (1947-), rip. 68бис «Дзержинский» (зак. № 374, 12.1948-08.1950, 08.1952), «Адмирал Нахимов» (зак. № 375, 06.1950-06.1951, 03.1953), «Михаил Кутузов» (зак. № 385, 02.1951- 11.1952, 12.1954), пр. 68бис-ЗИФ «Адмирал Корнилов» (зак. № 395, 11.1951-03.1954), зак. 366 (1952- не достроен); пр. 82 «Сталинград» (зак. № 400, 12.1951-53-, не достроен); противолодочные пр. 1123 «Кондор» «Москва» (зак. 701, 12.1962-01.1965), «Ленинград» (зак. 702, 01.1965-07.1967); ТАКР пр. 1143 «Кречет» «Киев» (зак. 101, 07.1970-12.1972), «Минск» (зак. 102, 12.1972-09.1975), пр. 1143.3 «Новороссийск» (зак. 103, 09.1975- 12.1978), пр. 1143.4 «Баку» (зак. 104, «Адмирал Горшков») (12.1978-03.1982), пр. 1143.5 «Рига» (зак. 105, «Леонид Брежнев», «Тбилиси», «Адмирал Кузнецов») (09.1982-12.1985), «Рига» (зак. 106, «Варяг») (12.1985- 11.1988), пр. 1143.7 «Ульяновск» (зак. 107, 11.1988-92, не достроен);</w:t>
      </w:r>
      <w:r w:rsidRPr="007224C3">
        <w:rPr>
          <w:rFonts w:ascii="Times New Roman" w:hAnsi="Times New Roman"/>
          <w:iCs/>
          <w:color w:val="000000" w:themeColor="text1"/>
          <w:sz w:val="16"/>
          <w:szCs w:val="16"/>
        </w:rPr>
        <w:t xml:space="preserve"> плавбазы ПЛ:</w:t>
      </w:r>
      <w:r w:rsidRPr="007224C3">
        <w:rPr>
          <w:rFonts w:ascii="Times New Roman" w:hAnsi="Times New Roman"/>
          <w:color w:val="000000" w:themeColor="text1"/>
          <w:sz w:val="16"/>
          <w:szCs w:val="16"/>
        </w:rPr>
        <w:t xml:space="preserve"> пр. 310 (1958-60)- 6, пр. 1886 (1963-72)- 6, пр. 1886М (1972)- 1, учебный корабль пр. 1886У (1970-71)- 2;</w:t>
      </w:r>
      <w:r w:rsidRPr="007224C3">
        <w:rPr>
          <w:rFonts w:ascii="Times New Roman" w:hAnsi="Times New Roman"/>
          <w:iCs/>
          <w:color w:val="000000" w:themeColor="text1"/>
          <w:sz w:val="16"/>
          <w:szCs w:val="16"/>
        </w:rPr>
        <w:t xml:space="preserve"> плавучие техбазы:</w:t>
      </w:r>
      <w:r w:rsidRPr="007224C3">
        <w:rPr>
          <w:rFonts w:ascii="Times New Roman" w:hAnsi="Times New Roman"/>
          <w:color w:val="000000" w:themeColor="text1"/>
          <w:sz w:val="16"/>
          <w:szCs w:val="16"/>
        </w:rPr>
        <w:t xml:space="preserve"> несамоходные пр. 323, пр. 323А (1962-65)- всего 3, пр. 323Б (1970), пр. 323В (1978); ракетно-техническая пр. 2001 (1971); перезарядки реакторов ЯЭУ пр. 2020 (1984-90)- 3, зак. 698 (-1992, не достроена); плавмастерские пр. 725 (1960- 62)- 3, пр. 725А (1964-66)- 2; малые плавдоки пр. 28 (1953-56);</w:t>
      </w:r>
      <w:r w:rsidRPr="007224C3">
        <w:rPr>
          <w:rFonts w:ascii="Times New Roman" w:hAnsi="Times New Roman"/>
          <w:iCs/>
          <w:color w:val="000000" w:themeColor="text1"/>
          <w:sz w:val="16"/>
          <w:szCs w:val="16"/>
        </w:rPr>
        <w:t xml:space="preserve"> танкеры:</w:t>
      </w:r>
      <w:r w:rsidRPr="007224C3">
        <w:rPr>
          <w:rFonts w:ascii="Times New Roman" w:hAnsi="Times New Roman"/>
          <w:color w:val="000000" w:themeColor="text1"/>
          <w:sz w:val="16"/>
          <w:szCs w:val="16"/>
        </w:rPr>
        <w:t xml:space="preserve"> пр. 563 «Казбек» (09.1950-09.1951); «панамаксы»: зак. 201, 202 для Норвегии (03.1992-93, не построены), для Греции (1990-е);</w:t>
      </w:r>
      <w:r w:rsidRPr="007224C3">
        <w:rPr>
          <w:rFonts w:ascii="Times New Roman" w:hAnsi="Times New Roman"/>
          <w:iCs/>
          <w:color w:val="000000" w:themeColor="text1"/>
          <w:sz w:val="16"/>
          <w:szCs w:val="16"/>
        </w:rPr>
        <w:t xml:space="preserve"> сухогрузы:</w:t>
      </w:r>
      <w:r w:rsidRPr="007224C3">
        <w:rPr>
          <w:rFonts w:ascii="Times New Roman" w:hAnsi="Times New Roman"/>
          <w:color w:val="000000" w:themeColor="text1"/>
          <w:sz w:val="16"/>
          <w:szCs w:val="16"/>
        </w:rPr>
        <w:t xml:space="preserve"> пр. 567 «Ленинский комсомол»</w:t>
      </w:r>
    </w:p>
    <w:p w14:paraId="343A280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(1959-)- 25 (вместе с заводом 873); пр. 594 типа «Полтава» (1962-)- 1, пр. 595 типа «Бежица» (1962-)- 1, пр. 1568 «Капитан Кушнаренко» (1967-75)- 21; контейнеровозы пр. 1609 «Капитан Смирнов» (1978-), «Капитан Мезенцев», «Инженер Ермошкин», «Владимир Васляев»; БМРТ пр. 394 «Маяковский» (1956-03.1958), (1958-78)- всего более 380 (вместе с заводом «Балтия»); пр. 394А «Пионер Латвии» (1969-), пр. 394АМ «Кронштадт» (1971- )- всего около 150; пр. 1288 «Пулковский меридиан» (1974-90)- более 80;</w:t>
      </w:r>
      <w:r w:rsidRPr="007224C3">
        <w:rPr>
          <w:rFonts w:ascii="Times New Roman" w:hAnsi="Times New Roman"/>
          <w:iCs/>
          <w:color w:val="000000" w:themeColor="text1"/>
          <w:sz w:val="16"/>
          <w:szCs w:val="16"/>
        </w:rPr>
        <w:t xml:space="preserve"> суда cnetfназначения для ВМФ:</w:t>
      </w:r>
      <w:r w:rsidRPr="007224C3">
        <w:rPr>
          <w:rFonts w:ascii="Times New Roman" w:hAnsi="Times New Roman"/>
          <w:color w:val="000000" w:themeColor="text1"/>
          <w:sz w:val="16"/>
          <w:szCs w:val="16"/>
        </w:rPr>
        <w:t xml:space="preserve"> больше разведывательные корабли пр. 394Б, пр. 994 (1969-72)- всего 6; пр. 10221 (1986)- 1, пр. 12884 (1992)- 1; китобойные базы пр. 392 «Советская Украина» (1959), «Советская Россия» (1961); научно-промысловое судно «Академик Книпович» (1964); плавучий измерительный пункт пр. 1908 «Академик Сергей Королев» (1969- 12.1970); буксир-спасатель пр. 1454 «Пурга», «Напористый» (1974-);</w:t>
      </w:r>
      <w:r w:rsidRPr="007224C3">
        <w:rPr>
          <w:rFonts w:ascii="Times New Roman" w:hAnsi="Times New Roman"/>
          <w:color w:val="000000" w:themeColor="text1"/>
          <w:sz w:val="16"/>
          <w:szCs w:val="16"/>
          <w:vertAlign w:val="superscript"/>
        </w:rPr>
        <w:t>116</w:t>
      </w:r>
      <w:r w:rsidRPr="007224C3">
        <w:rPr>
          <w:rFonts w:ascii="Times New Roman" w:hAnsi="Times New Roman"/>
          <w:color w:val="000000" w:themeColor="text1"/>
          <w:sz w:val="16"/>
          <w:szCs w:val="16"/>
        </w:rPr>
        <w:t xml:space="preserve"> паровые котлы: КВН 98/64 для ТАКР «Баку», КВГ-2-1 для НИТКА (1970-е); взлетно-посадочные блоки испытательного комплекса НИТКА (1970-е); моторная лодка «Южанка» (1950-е); </w:t>
      </w:r>
      <w:r w:rsidRPr="007224C3">
        <w:rPr>
          <w:rFonts w:ascii="Times New Roman" w:hAnsi="Times New Roman"/>
          <w:iCs/>
          <w:color w:val="000000" w:themeColor="text1"/>
          <w:sz w:val="16"/>
          <w:szCs w:val="16"/>
        </w:rPr>
        <w:t>переоборудование:</w:t>
      </w:r>
      <w:r w:rsidRPr="007224C3">
        <w:rPr>
          <w:rFonts w:ascii="Times New Roman" w:hAnsi="Times New Roman"/>
          <w:color w:val="000000" w:themeColor="text1"/>
          <w:sz w:val="16"/>
          <w:szCs w:val="16"/>
        </w:rPr>
        <w:t xml:space="preserve"> ПЛ: пр. 613 по пр. В613 с БР (1957); С-229 пр. 613 по пр. 613АД с КР П-70 «Аметист» (1963-64); С-65 пр. 613 по пр. 613РВ (04-06.1965); крейсера пр. 68бис-ЗИФ «Адмирал Нахимов» по пр. 67ЭП (1955).</w:t>
      </w:r>
    </w:p>
    <w:p w14:paraId="361E664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Специальное технологическое бюро № 82 (СТБ-82)</w:t>
      </w:r>
    </w:p>
    <w:p w14:paraId="4747053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Создано на заводе № 444 в 1950-е  г. для сопровождения строительства головного тяжелого крейсера пр. 82 и разработки технологической документации по нему для других заводов.</w:t>
      </w:r>
      <w:r w:rsidRPr="007224C3">
        <w:rPr>
          <w:rFonts w:ascii="Times New Roman" w:hAnsi="Times New Roman"/>
          <w:color w:val="000000" w:themeColor="text1"/>
          <w:sz w:val="16"/>
          <w:szCs w:val="16"/>
          <w:vertAlign w:val="superscript"/>
        </w:rPr>
        <w:t>142</w:t>
      </w:r>
    </w:p>
    <w:p w14:paraId="0AA0E5A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КБ-444 завода № 444 МСП, ЦКБ-21 МСП, ЦКБ «Черноморсудопроект» (ЧСП), ОАО «ЧСП» /Украина 54010  г. Николаев ул. Бузника, 5/</w:t>
      </w:r>
    </w:p>
    <w:p w14:paraId="59961D9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ЦКБ-21 было образовано на базе КБ Черноморского судостроительного завода (КБ-444) приказом МСП № 383 от 22.12.1955 г. для создания морских транспортных судов. 30.08.1957 г. был утверждён первый технический проект ЦКБ - сухогруза пр. 567, переданный сюда из ЦКБ-32.</w:t>
      </w:r>
    </w:p>
    <w:p w14:paraId="6EFAFED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1960-х  г. сюда из ЦКБ-17 переданы работы по проектированию плавмастерской для АПЛ пр. 725А.</w:t>
      </w:r>
    </w:p>
    <w:p w14:paraId="2E0FE3D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1966 г. ЦКБ-21 переименовано в ЦКБ «Черноморсудопроект». В 1968 г. ЦКБ присвоено звание «Конструкторское бюро I категории». В 1990 г. изменена организационная структура ЧСП: образованы укрупнённые самостоятельные подразделения КБ-1, КБ-2, КБ-3. Образована дочерняя фирма «Юг-СП».</w:t>
      </w:r>
    </w:p>
    <w:p w14:paraId="32A45F4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соответствии с ПСМ № 706-264 от 3.09.1968 г. начато проектирование плавучего КИК «Академик Сергей Королев» для обеспечения полета комплекса Н1-ЛЗ.</w:t>
      </w:r>
    </w:p>
    <w:p w14:paraId="66E8457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1978 г. ВМФ выдано задание на проектирование ПЛ вертолетоносца пр. 10200 на базе ролкера «Капитан Смирнов», в 1980 г. министром обороны работы прекращены.</w:t>
      </w:r>
    </w:p>
    <w:p w14:paraId="77BEC1A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Здесь созданы: первый отечественный (и в мире) сухогруз с максимальным раскрытием парных палубных люков- пр. 594; первый отечественный корабль комплексного снабжения кораблей ВМФ с устройствами передачи боезапаса, грузов и топлива на ходу «Березина»; уникальное судно снабжения Арктики с грузообработкой вертолётами собственного базирования пр. 10620 «Витус Беринг»; в конце 1970-х - первый отечественный лихтеровоз пр. 17502.</w:t>
      </w:r>
    </w:p>
    <w:p w14:paraId="6C18C79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(1956-1965 г.)- А.Р. Золотухин, (1970 г.)- С.М. Козлов, (-1995 г.)- Ю. Т. Каменецкий. Гендиректор (2007 г.)- В.Н. Пикинер.</w:t>
      </w:r>
    </w:p>
    <w:p w14:paraId="0DADB91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Технический директор (2007 г.)- В.В. Панков.</w:t>
      </w:r>
    </w:p>
    <w:p w14:paraId="5CA3252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конструктор (1948 г.)- М.И. Жулай (пр. 48к), (-1957-62 г.-)- Б.К. Сидоров (пр. 567, 594).</w:t>
      </w:r>
    </w:p>
    <w:p w14:paraId="79D491D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инженер- К.Ф Иваницкий, (1971-78 г.-)- Ю.Т. Каменецкий, М. Г. Черноморенко.</w:t>
      </w:r>
    </w:p>
    <w:p w14:paraId="6AECEFE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конструкторы: (1970-е-87 г.-)- В.К. Ивженко (пр. 1609, 16091), (-1978-80 г.-&gt; Ю.Т. Каменецкий (пр. 10200), А.П. Клименко (пр. 15941), (1980-е)- Н.Т. Кныш пр. 13476), (1970 г.)- С.М. Козлов (пр. 1908), (1960-е)- Л.Р. Козырчук (пр. 1361, 1376), А.В. Корженовский, (1983 г.)- С.Б. Косовский (пр. 10620), О. Г. Кочерга, В.В. Криницкий, К.К. Леснов, (-1967-87 г.-)- В.А. Панков (пр. 1563, 1592, 1597, 10621, 17502), А. Г. Пляка, (1960-е-70 г.- )- Ф. В. Сибирь (пр. 567, 1347, 1568, 1584), (1971 г.)-  Г.М. Филатов (пр. 1585), (-1966-70-е)- А.Ф. Цыбенко (пр. 1573, 1574, 1593), (1960-е-70-е)- Д.С. Шаманов (пр. 725А, 925, 1833), В.Т. Щербинин, (1950-е)- Э. Г. Юсупов (пр. 582).</w:t>
      </w:r>
    </w:p>
    <w:p w14:paraId="1EBC4D4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гл. конструкторов: (1970 г.)- Ю.Т. Каменецкий, (1978 г.)- М. Г. Черноморенко (пр. 10200).</w:t>
      </w:r>
    </w:p>
    <w:p w14:paraId="38EE81D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iCs/>
          <w:color w:val="000000" w:themeColor="text1"/>
          <w:sz w:val="16"/>
          <w:szCs w:val="16"/>
        </w:rPr>
        <w:t>Создано:</w:t>
      </w:r>
      <w:r w:rsidRPr="007224C3">
        <w:rPr>
          <w:rFonts w:ascii="Times New Roman" w:hAnsi="Times New Roman"/>
          <w:color w:val="000000" w:themeColor="text1"/>
          <w:sz w:val="16"/>
          <w:szCs w:val="16"/>
        </w:rPr>
        <w:t xml:space="preserve"> лидер пр. 48к (1949); противолодочный вертолетоносец пр. 10200 «Халзан» (1978-80, не реализован); большие разведывательные корабли пр. 394Б, пр. 994 (1960-е); эксплуатационное судно «Воейков» (1961); пр. 224 переоборудования траулера пр. 394 в экспедиционное гидрометеорологическое судно (1958); плавмастерские: пр. 725А (1964), пр. 925 (1970-е, не реализован);</w:t>
      </w:r>
      <w:r w:rsidRPr="007224C3">
        <w:rPr>
          <w:rFonts w:ascii="Times New Roman" w:hAnsi="Times New Roman"/>
          <w:iCs/>
          <w:color w:val="000000" w:themeColor="text1"/>
          <w:sz w:val="16"/>
          <w:szCs w:val="16"/>
        </w:rPr>
        <w:t xml:space="preserve"> сухогрузы:</w:t>
      </w:r>
      <w:r w:rsidRPr="007224C3">
        <w:rPr>
          <w:rFonts w:ascii="Times New Roman" w:hAnsi="Times New Roman"/>
          <w:color w:val="000000" w:themeColor="text1"/>
          <w:sz w:val="16"/>
          <w:szCs w:val="16"/>
        </w:rPr>
        <w:t xml:space="preserve"> пр. 567 (1957), пр. 594 типа «Полтава» (1962), пр. 595 типа «Бежйца» (1962), пр. 1563 типа «Славянск» (1967), пр. 1568 «Капитан Кушнаренко» (1966), быстроходный пр. 1584 типа «Котлин» (1970, не реализован), универсальный пр. 1585 типа «Герои-панфиловцы» (1971), экспортный пр. 1585Э (1974); с горизонтальной грузообработкой (ролкер) пр. 1609 типа «Капитан Смирнов» (1977), пр. 16091 (1987, не реализован); типа «Иргиз», «Парижская коммуна»; большой морозильный рыболовный траулер (БМРТ) пр. 1376 «Алтай» (1969), пр. 1386 типа «Горизонт» (1974); плавучий КИК пр. 1908 «Канопус» «Академик Сергей Королёв» на базе пр. 1568 (1970); контейнеровоз пр. 1597 типа «Александр Фадеев» (1972);</w:t>
      </w:r>
      <w:r w:rsidRPr="007224C3">
        <w:rPr>
          <w:rFonts w:ascii="Times New Roman" w:hAnsi="Times New Roman"/>
          <w:iCs/>
          <w:color w:val="000000" w:themeColor="text1"/>
          <w:sz w:val="16"/>
          <w:szCs w:val="16"/>
        </w:rPr>
        <w:t xml:space="preserve"> рефрижераторы:</w:t>
      </w:r>
      <w:r w:rsidRPr="007224C3">
        <w:rPr>
          <w:rFonts w:ascii="Times New Roman" w:hAnsi="Times New Roman"/>
          <w:color w:val="000000" w:themeColor="text1"/>
          <w:sz w:val="16"/>
          <w:szCs w:val="16"/>
        </w:rPr>
        <w:t xml:space="preserve"> пр. 582 типа «Таврия» (1958), пр. 1347 типа «50 лет СССР», транспортный пр. 13476 типа «Бухта Русская» (1984); морозильное судно пр. 1361 типа «Зеленодольск» (1962); </w:t>
      </w:r>
      <w:r w:rsidRPr="007224C3">
        <w:rPr>
          <w:rFonts w:ascii="Times New Roman" w:hAnsi="Times New Roman"/>
          <w:iCs/>
          <w:color w:val="000000" w:themeColor="text1"/>
          <w:sz w:val="16"/>
          <w:szCs w:val="16"/>
        </w:rPr>
        <w:t>рудовозы:</w:t>
      </w:r>
      <w:r w:rsidRPr="007224C3">
        <w:rPr>
          <w:rFonts w:ascii="Times New Roman" w:hAnsi="Times New Roman"/>
          <w:color w:val="000000" w:themeColor="text1"/>
          <w:sz w:val="16"/>
          <w:szCs w:val="16"/>
        </w:rPr>
        <w:t xml:space="preserve"> пр. 1573 типа «Риголетто» (1966), пр. 1574 типа «Зоя Космодемьянская» (1972), пр. 1592 типа «Капитан Панфилов» (1974), нефтерудовозы пр. 1593 </w:t>
      </w:r>
      <w:r w:rsidRPr="007224C3">
        <w:rPr>
          <w:rFonts w:ascii="Times New Roman" w:hAnsi="Times New Roman"/>
          <w:color w:val="000000" w:themeColor="text1"/>
          <w:sz w:val="16"/>
          <w:szCs w:val="16"/>
        </w:rPr>
        <w:lastRenderedPageBreak/>
        <w:t>типа «Борис Бутома» (1975), пр. 15941 типа «Харитон Греку»; корабль комплексного снабжения пр. 1833 «Пегас» (1976); лихтеровоз пр. 17502 типа «Алексей Косыгин» (1980); научно-исследовательские суда: пр. 1924С и пр. 1924У (1984, совместно с ЦКБ «Балтсудопроект»), «Академик Николай Андреев»; суда снабжения пр. 10620 «Витус Беринг» (1983), пр. 10621 типа «Иван Папанин» (1987); лесовоз-пакетовоз «RAMON ABOITIZ», балкер «Киев», многоцелевой буксир «Гайдамака» (11982).</w:t>
      </w:r>
    </w:p>
    <w:p w14:paraId="30F7695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E91522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 апреля 1944 г. в соответствии с пост. ГКО № 5696 на месте довоенного завода № 200 был организован Завод № 445 НКСП , Завод им. 61-го коммунара, Николаевский судостроительный завод им. 61-го коммунара /Украина 54014  г. Николаев ул. Адмиральская, 38/. После оккупации завод был полностью разрушен (сохранилось только здание столовой и два котла из 4 заводской котельной). В 09.1944 г. была восстановлена электростанция. 13.01.1945 г. вышло постановление ГКО № 7320 о мероприятиях по оказанию помощи заводу. 11.03.1945 г. вышло постановление ГКО № 7784 о ходе восстановительных работ на заводе; 13.03.1945 г. - распоряжение ГКО № 7795 о поставке на завод стройматериалов; 23.03.1945 г. - новое распоряжение ГКО № 7915 о мерах неотложной помощи заводу. Пост. ГКО № 7960 от 31.03.1945 г. утвержден план восстановления и строительства завода в 1945 г. С 1945 г. начато производство понтонов, барж, пассажирских катеров. Позднее - строительство военных кораблей.</w:t>
      </w:r>
      <w:r w:rsidRPr="007224C3">
        <w:rPr>
          <w:rFonts w:ascii="Times New Roman" w:hAnsi="Times New Roman"/>
          <w:color w:val="000000" w:themeColor="text1"/>
          <w:sz w:val="16"/>
          <w:szCs w:val="16"/>
          <w:vertAlign w:val="superscript"/>
        </w:rPr>
        <w:t>61</w:t>
      </w:r>
    </w:p>
    <w:p w14:paraId="480A4FD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1953-55 г. построен по пр. 56ЭМ эсминец «Бедовый», ставший первым в мире ракетоносцем - носителем ПКР «КСЩ».</w:t>
      </w:r>
    </w:p>
    <w:p w14:paraId="4EA55CC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1959-63 г. на заводе создана первая в стране система автоматизации плазовых работ «Авангард».</w:t>
      </w:r>
    </w:p>
    <w:p w14:paraId="38E5BD5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1960-е  г. на заводе действовал цех № 2 электромонтажного предприятия «Эра».</w:t>
      </w:r>
    </w:p>
    <w:p w14:paraId="609DE4D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1970 г. на правом берегу р. Ингул начато строительство нового судостроительного комплекса: были построены механо-сборочный и монтажно-достроечный цехи. В 1973 г. введен в эксплуатацию новый продольный наклонный стапель длиной 300 м. В 1986 г. построена достроечная набережная; проведена реконструкция стапеля № 3, его размеры доведены до 218х 42 м и позволяют строить суда массой корпуса до 28 тыс. т. В 1987 г. построены: стоянка плавдока;- энергетические сети и сооружения; начато строительство двух открытых стапелей размером по 220х 26 м. В 1988 г. построен крупнейший цех по производству изделий машиностроения. В связи с развалом СССР работы не завершены.</w:t>
      </w:r>
    </w:p>
    <w:p w14:paraId="2461AA7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Работы (1999 г.): достройка ракетного крейсера пр. 1164 «Украина»; (2000-е): строительство судов малого и среднего тоннажа.</w:t>
      </w:r>
    </w:p>
    <w:p w14:paraId="51D6135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Производственные мощности завода размещены (2000-е) в 286 промышленных зданиях и 165 сооружениях.</w:t>
      </w:r>
    </w:p>
    <w:p w14:paraId="1CB1B91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Площадь: территории (2003 г.)-1414 тыс. м</w:t>
      </w:r>
      <w:r w:rsidRPr="007224C3">
        <w:rPr>
          <w:rFonts w:ascii="Times New Roman" w:hAnsi="Times New Roman"/>
          <w:color w:val="000000" w:themeColor="text1"/>
          <w:sz w:val="16"/>
          <w:szCs w:val="16"/>
          <w:vertAlign w:val="superscript"/>
        </w:rPr>
        <w:t>2</w:t>
      </w:r>
      <w:r w:rsidRPr="007224C3">
        <w:rPr>
          <w:rFonts w:ascii="Times New Roman" w:hAnsi="Times New Roman"/>
          <w:color w:val="000000" w:themeColor="text1"/>
          <w:sz w:val="16"/>
          <w:szCs w:val="16"/>
        </w:rPr>
        <w:t>; производственная (2003 г.)- 476, 5 тыс. м</w:t>
      </w:r>
      <w:r w:rsidRPr="007224C3">
        <w:rPr>
          <w:rFonts w:ascii="Times New Roman" w:hAnsi="Times New Roman"/>
          <w:color w:val="000000" w:themeColor="text1"/>
          <w:sz w:val="16"/>
          <w:szCs w:val="16"/>
          <w:vertAlign w:val="superscript"/>
        </w:rPr>
        <w:t>2</w:t>
      </w:r>
      <w:r w:rsidRPr="007224C3">
        <w:rPr>
          <w:rFonts w:ascii="Times New Roman" w:hAnsi="Times New Roman"/>
          <w:color w:val="000000" w:themeColor="text1"/>
          <w:sz w:val="16"/>
          <w:szCs w:val="16"/>
        </w:rPr>
        <w:t>.</w:t>
      </w:r>
    </w:p>
    <w:p w14:paraId="69168D2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Численность персонала (2003 г.)- 32.500 чел.</w:t>
      </w:r>
    </w:p>
    <w:p w14:paraId="2133182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(1944-50 г.)- И.С. Прибыльский, (1950-59 г.)- А.Б. Ганькевич, (1965-76 г.)- В.Н. Андрианов, (1976- 86 г.)-  Г.М. Балабаев, (04.1986 г.-)- И.Н. Овдиенко. Гендиректор (2000-06 г.)- В. Агафонов, (2006 г.-)- И. Козырев.</w:t>
      </w:r>
    </w:p>
    <w:p w14:paraId="403215A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гендиректора (2001 г.)- А. Михельсон.</w:t>
      </w:r>
    </w:p>
    <w:p w14:paraId="5C74F20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Начальники цехов: достроечного (-1950 г.)- А.Б. Ганькевич.</w:t>
      </w:r>
    </w:p>
    <w:p w14:paraId="0D75819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iCs/>
          <w:color w:val="000000" w:themeColor="text1"/>
          <w:sz w:val="16"/>
          <w:szCs w:val="16"/>
        </w:rPr>
        <w:t>Производство: эсминцы:</w:t>
      </w:r>
      <w:r w:rsidRPr="007224C3">
        <w:rPr>
          <w:rFonts w:ascii="Times New Roman" w:hAnsi="Times New Roman"/>
          <w:color w:val="000000" w:themeColor="text1"/>
          <w:sz w:val="16"/>
          <w:szCs w:val="16"/>
        </w:rPr>
        <w:t xml:space="preserve"> пр. 30К (1949)- 1, пр. ЗОбис (1949-52)- 18; пр. 56 (1955-57)- 8; пр. 56Э «Бедовый» (12.1953-07.1955), достройка по пр. 56ЭМ (-07.1958), пр. 56М «Прозорливый» (09.1956-58), «Проворный» (- 12.1958); пр. 57бис «Гневный», «Упорный», «Бойкий» (1960-61);</w:t>
      </w:r>
      <w:r w:rsidRPr="007224C3">
        <w:rPr>
          <w:rFonts w:ascii="Times New Roman" w:hAnsi="Times New Roman"/>
          <w:iCs/>
          <w:color w:val="000000" w:themeColor="text1"/>
          <w:sz w:val="16"/>
          <w:szCs w:val="16"/>
        </w:rPr>
        <w:t xml:space="preserve"> крейсеры</w:t>
      </w:r>
      <w:r w:rsidRPr="007224C3">
        <w:rPr>
          <w:rFonts w:ascii="Times New Roman" w:hAnsi="Times New Roman"/>
          <w:color w:val="000000" w:themeColor="text1"/>
          <w:sz w:val="16"/>
          <w:szCs w:val="16"/>
        </w:rPr>
        <w:t>: пр. 68К «Фрунзе», «Куйбышев» (достройка заложенных перед войной, -1950); ракетные пр. 1164 «Атлант» «Слава» (11.1976-12.1982), «Маршал Устинов» (-09.1986), «Червона Украина» («Варяг») (-12.1989), «Адмирал Флота Лобов» («Украина») (-08.1990), «Россия» («Октябрьская революция») (1990, не достроен), «Адмирал Флота Советского Союза Горшков» (1990, не достроен);</w:t>
      </w:r>
      <w:r w:rsidRPr="007224C3">
        <w:rPr>
          <w:rFonts w:ascii="Times New Roman" w:hAnsi="Times New Roman"/>
          <w:iCs/>
          <w:color w:val="000000" w:themeColor="text1"/>
          <w:sz w:val="16"/>
          <w:szCs w:val="16"/>
        </w:rPr>
        <w:t xml:space="preserve"> сторожевики:</w:t>
      </w:r>
      <w:r w:rsidRPr="007224C3">
        <w:rPr>
          <w:rFonts w:ascii="Times New Roman" w:hAnsi="Times New Roman"/>
          <w:color w:val="000000" w:themeColor="text1"/>
          <w:sz w:val="16"/>
          <w:szCs w:val="16"/>
        </w:rPr>
        <w:t xml:space="preserve"> пр. 50 «Горностай» (1954-56)- 20;</w:t>
      </w:r>
      <w:r w:rsidRPr="007224C3">
        <w:rPr>
          <w:rFonts w:ascii="Times New Roman" w:hAnsi="Times New Roman"/>
          <w:iCs/>
          <w:color w:val="000000" w:themeColor="text1"/>
          <w:sz w:val="16"/>
          <w:szCs w:val="16"/>
        </w:rPr>
        <w:t xml:space="preserve"> БПЛК:</w:t>
      </w:r>
      <w:r w:rsidRPr="007224C3">
        <w:rPr>
          <w:rFonts w:ascii="Times New Roman" w:hAnsi="Times New Roman"/>
          <w:color w:val="000000" w:themeColor="text1"/>
          <w:sz w:val="16"/>
          <w:szCs w:val="16"/>
        </w:rPr>
        <w:t xml:space="preserve"> ракетные пр. 61 «Комсомолец Украины» (09.1959-12.1960), «Сообразительный» (-1963), «Проворный» (-1964), «Отважный» (-1965), «Стройный» (-1966), «Красный Кавказ» (-1967), «Решительный» (-1967), «Смышленый» (-1967), «Строгий» (-1968), «Сметливый» (- 1969), «Смелый» (-1969), «Красный Крым» (-1970), «Способный» (-1971), «Скорый» (-1972), пр. 61М «Сдержанный» (-1972), пр. 61МЭ для Индии "Rajput"(-1979), "Rana" (-1981), "Ranjit" (-1983), "Ranvir" (-1985), "Ranjivey" (-1987); пр. 1134Б «Николаев» (06.1968-12.1971), «Очаков» (-1973), «Керчь» (-1974), «Петропавловск» (-1976), «Ташкент» (-1977), «Таллинн» («Владивосток») (-12.1979), пр. 1134БФ «Азов» (-12.1975); речной бронекатер пр. 1204 (1967-72)- 118 (вместе с заводом «Залив»);</w:t>
      </w:r>
      <w:r w:rsidRPr="007224C3">
        <w:rPr>
          <w:rFonts w:ascii="Times New Roman" w:hAnsi="Times New Roman"/>
          <w:iCs/>
          <w:color w:val="000000" w:themeColor="text1"/>
          <w:sz w:val="16"/>
          <w:szCs w:val="16"/>
        </w:rPr>
        <w:t xml:space="preserve"> спасательные суда:</w:t>
      </w:r>
      <w:r w:rsidRPr="007224C3">
        <w:rPr>
          <w:rFonts w:ascii="Times New Roman" w:hAnsi="Times New Roman"/>
          <w:color w:val="000000" w:themeColor="text1"/>
          <w:sz w:val="16"/>
          <w:szCs w:val="16"/>
        </w:rPr>
        <w:t xml:space="preserve"> пр. 527 (1959-65)- 8, пр. 527П (1965)- 1, пр. 537 «Осьминог» (1980-88)- 2, пр. 05430 «Гиндукуш» (1986-, не достроен); судоподъемный корабль пр. 530 «Карпаты» (1967);</w:t>
      </w:r>
      <w:r w:rsidRPr="007224C3">
        <w:rPr>
          <w:rFonts w:ascii="Times New Roman" w:hAnsi="Times New Roman"/>
          <w:iCs/>
          <w:color w:val="000000" w:themeColor="text1"/>
          <w:sz w:val="16"/>
          <w:szCs w:val="16"/>
        </w:rPr>
        <w:t xml:space="preserve"> рефрижераторы:</w:t>
      </w:r>
      <w:r w:rsidRPr="007224C3">
        <w:rPr>
          <w:rFonts w:ascii="Times New Roman" w:hAnsi="Times New Roman"/>
          <w:color w:val="000000" w:themeColor="text1"/>
          <w:sz w:val="16"/>
          <w:szCs w:val="16"/>
        </w:rPr>
        <w:t xml:space="preserve"> пр. 569А «Сибирь» (1962-); пр. 582 «Таврия» (1959), (1960-е-)- 90; пр. 1347 «50 лет СССР» (1974-)- 18, транспортный пр. 13476 «Бухта Русская» (1985-90)- 8; китобойное судно пр. 393 «Мирный» (1960-е)- более 90; судно снабжения пр. 1833 «Пегас» «Березина» (1977); понтоны пр. К-4183 (1950-е);</w:t>
      </w:r>
    </w:p>
    <w:p w14:paraId="6FF8195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iCs/>
          <w:color w:val="000000" w:themeColor="text1"/>
          <w:sz w:val="16"/>
          <w:szCs w:val="16"/>
        </w:rPr>
        <w:t>переоборудование:</w:t>
      </w:r>
      <w:r w:rsidRPr="007224C3">
        <w:rPr>
          <w:rFonts w:ascii="Times New Roman" w:hAnsi="Times New Roman"/>
          <w:color w:val="000000" w:themeColor="text1"/>
          <w:sz w:val="16"/>
          <w:szCs w:val="16"/>
        </w:rPr>
        <w:t xml:space="preserve"> эсминцев: пр. 56 «Бравый» по пр. 56К (1959-60), пр. 57Б по пр. 57А (1968-73)- 8 (вместе с заводами 190 и 202); БПЖ пр. 61 по пр. 61МП (1971-81)- 5 (вместе с заводами 190 и 497); модернизация судов пр. 527 по пр. 527М (1970-е);</w:t>
      </w:r>
      <w:r w:rsidRPr="007224C3">
        <w:rPr>
          <w:rFonts w:ascii="Times New Roman" w:hAnsi="Times New Roman"/>
          <w:color w:val="000000" w:themeColor="text1"/>
          <w:sz w:val="16"/>
          <w:szCs w:val="16"/>
          <w:vertAlign w:val="superscript"/>
        </w:rPr>
        <w:t>116</w:t>
      </w:r>
      <w:r w:rsidRPr="007224C3">
        <w:rPr>
          <w:rFonts w:ascii="Times New Roman" w:hAnsi="Times New Roman"/>
          <w:color w:val="000000" w:themeColor="text1"/>
          <w:sz w:val="16"/>
          <w:szCs w:val="16"/>
        </w:rPr>
        <w:t xml:space="preserve"> капремонт: ракетный крейсер «Москва» (-07.1999) (11982).</w:t>
      </w:r>
    </w:p>
    <w:p w14:paraId="1BF05ED8" w14:textId="77777777" w:rsidR="000F02F6" w:rsidRPr="007224C3" w:rsidRDefault="000F02F6" w:rsidP="007224C3">
      <w:pPr>
        <w:autoSpaceDE w:val="0"/>
        <w:autoSpaceDN w:val="0"/>
        <w:adjustRightInd w:val="0"/>
        <w:spacing w:after="0" w:line="240" w:lineRule="auto"/>
        <w:jc w:val="both"/>
        <w:rPr>
          <w:rFonts w:ascii="Times New Roman" w:hAnsi="Times New Roman"/>
          <w:color w:val="000000" w:themeColor="text1"/>
          <w:sz w:val="16"/>
          <w:szCs w:val="16"/>
        </w:rPr>
      </w:pPr>
    </w:p>
    <w:p w14:paraId="6F73484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 апреля 1944 вышло Постановление ГКО № 5697 О плане и материально-техническом обеспечении производства запасных частей к тракторам и сельскохозяйственным машинам на II квартал 1944 г. по заводам Наркомсредмаша. РГАНИР, Фонд ГКО, д. 241, лл. 152-163,164-190 (11012).</w:t>
      </w:r>
    </w:p>
    <w:p w14:paraId="34A8B46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71D500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 апреля 1944 вышло Распоряжение ГКО № 5698. О мерах по обеспечению увеличения производства взрывателей для артиллерийских снарядов на заводах № 260 и 564 НКБ. РГАНИР, Фонд ГКО, д. 241, лл. 191-192,193 (11012).</w:t>
      </w:r>
    </w:p>
    <w:p w14:paraId="4A94AF8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51EBFB6" w14:textId="77777777" w:rsidR="000F02F6"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47AD71A6" w14:textId="77777777" w:rsidR="000F02F6" w:rsidRPr="007224C3" w:rsidRDefault="000F02F6"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3EDC08C" w14:textId="77777777" w:rsidR="000F02F6" w:rsidRPr="007224C3" w:rsidRDefault="000F02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 апреля в 1944 году оперативная сводка Совинформбюро:</w:t>
      </w:r>
    </w:p>
    <w:p w14:paraId="3300B37F" w14:textId="77777777" w:rsidR="000F02F6" w:rsidRPr="007224C3" w:rsidRDefault="000F02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21 апреля юго-восточнее города Станислав наши войска отбивали атаки крупных сил пехоты и танков противника. Огнём наших частей уничтожено 68 немецких танков. Противник потерял только убитыми более 1.500 солдат и офицеров.</w:t>
      </w:r>
    </w:p>
    <w:p w14:paraId="3CF2D38C" w14:textId="77777777" w:rsidR="000F02F6" w:rsidRPr="007224C3" w:rsidRDefault="000F02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 поиски разведчиков.</w:t>
      </w:r>
    </w:p>
    <w:p w14:paraId="4AAA757B" w14:textId="77777777" w:rsidR="000F02F6" w:rsidRPr="007224C3" w:rsidRDefault="000F02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20 апреля наши войска на всех фронтах подбили и уничтожили 59 немецких танков. В воздушных боях и огнём зенитной артиллерии сбито 69 самолётов противника.</w:t>
      </w:r>
    </w:p>
    <w:p w14:paraId="0869BE70" w14:textId="77777777" w:rsidR="000F02F6" w:rsidRPr="007224C3" w:rsidRDefault="000F02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Бомбардировка нашей авиацией сланцеперегоночных заводов в Эстонии.</w:t>
      </w:r>
    </w:p>
    <w:p w14:paraId="5BBB7E7E" w14:textId="77777777" w:rsidR="000F02F6" w:rsidRPr="007224C3" w:rsidRDefault="000F02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ночь на 21 апреля наша авиация дальнего действия подвергла бомбардировке сланцеперегоночные заводы у железнодорожной станции Кохтла и у посёлка Куртна-Лагерь (Эстонская ССР). В результате бомбардировки на территории заводоввозникли многочисленные пожары, сопровождавшиеся взрывами.</w:t>
      </w:r>
    </w:p>
    <w:p w14:paraId="42F07D44" w14:textId="77777777" w:rsidR="000F02F6" w:rsidRPr="007224C3" w:rsidRDefault="000F02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Особенно сильные взрывы происходили на сланцеперегоночном заводе у посёлка Куртна-Лагерь. Пожары наблюдались нашими лётчиками с расстояния в 80 километров.</w:t>
      </w:r>
    </w:p>
    <w:p w14:paraId="1F027D36" w14:textId="77777777" w:rsidR="000F02F6" w:rsidRPr="007224C3" w:rsidRDefault="000F02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 наши самолёты вернулись на свои аэродромы.</w:t>
      </w:r>
    </w:p>
    <w:p w14:paraId="3D8A3C7C" w14:textId="77777777" w:rsidR="000F02F6" w:rsidRPr="007224C3" w:rsidRDefault="000F02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юго-востоку от города Станислав наши войска отбивали атаки противника. Под покровом ночной темноты немцы пытались выйти в тыл нашим войскам, но были отброшены с большими для них потерями. Утром противник, получив подкрепления, бросил в наступление крупные силы пехоты, танков и самоходных орудий. Завязались ожесточённые бои, неоднократно переходившие в рукопашные схватки. На одном участке советские пехотинцы и артиллеристы отразили семь вражеских контратак, уничтожив при этом до батальона гитлеровцев, 16 танков и самоходных орудий, 4 бронемашины и 5 бронетранспортёров. В другом районе героически дрались бойцы и офицеры нашей противотанковой артиллерии. Они обрушили шквал огня на скопления войск противника. Отбивая атаки гитлеровцев, советские артиллеристы подбили и сожгли 52 немецких танка. Тем самым попытки противника крупными силами танков прорвать нашу оборону были сорваны. Немецкая пехота, следовавшая за танками, была прижата к земле, понесла большие потери и отошла на исходные позиции.</w:t>
      </w:r>
    </w:p>
    <w:p w14:paraId="7B3F3FE7" w14:textId="77777777" w:rsidR="000F02F6" w:rsidRPr="007224C3" w:rsidRDefault="000F02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Лётчики-штурмовики под командованием гвардии подполковника Ковшикова, действуя отдельными парами, в сложных метеорологических условиях, наносили удары по железнодорожным коммуникациям и войскам противника. Советские лётчики уничтожили несколько немецких танков, 20 автомашин, 2 паровоза, 25 вагонов и взорвали два склада боеприпасов.</w:t>
      </w:r>
    </w:p>
    <w:p w14:paraId="44837F79" w14:textId="77777777" w:rsidR="000F02F6" w:rsidRPr="007224C3" w:rsidRDefault="000F02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Авиация Северного флота нанесла бомбовый удар по каравану судов противника и потопила транспорт водоизмещением в 2.000 тонн, два мотобота и один сторожевой катер.</w:t>
      </w:r>
    </w:p>
    <w:p w14:paraId="03BE16DC" w14:textId="77777777" w:rsidR="000F02F6" w:rsidRPr="007224C3" w:rsidRDefault="000F02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Лётчиками Краснознамённого Балтийского флота потоплены в Финском заливе тральщик и сторожевой катер противника.</w:t>
      </w:r>
    </w:p>
    <w:p w14:paraId="2E7F977E" w14:textId="77777777" w:rsidR="000F02F6" w:rsidRPr="007224C3" w:rsidRDefault="000F02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Партизанский отряд, действующий в Львовской области, в течение одного дня пустил под откос три немецких воинских эшелона, следовавших к линии фронта. В результате крушений уничтожены 2 танка, 2 орудия и убито свыше 100 гитлеровцев. Группа молдавских партизан взорвала большой мост на важном участке шоссейной дороги. Около взорванного моста скопилось много автомашин противника. Партизаны огнём из противотанковых ружей вывели из строя несколько легковых и грузовых автомашин.</w:t>
      </w:r>
    </w:p>
    <w:p w14:paraId="6FE37EA2" w14:textId="77777777" w:rsidR="000F02F6" w:rsidRPr="007224C3" w:rsidRDefault="000F02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 Тарнополе взят в плен немецкий подполковник Генрих Кайенбург — адъютант начальника тарнопольского гарнизона генерал-майора Нейдорфа. Пленный подполковник заявил: «Генерал Нейдорф прибыл в Тарнополь в середине марта и сменил бывшего коменданта крепости генерала Киттеля. Нейдорф получил от Гитлера категорический приказ удержать город любой ценой. Из окружённого русскими войсками Тарнополя мы неоднократно посылали Гитлеру радиограммы, в которых настойчиво просили прислать подкрепления. В одной радиограмме Нейдорф сообщил о тяжёлых потерях, понесённых в боях, и охарактеризовал положение </w:t>
      </w:r>
      <w:r w:rsidRPr="007224C3">
        <w:rPr>
          <w:rFonts w:ascii="Times New Roman" w:hAnsi="Times New Roman"/>
          <w:color w:val="000000" w:themeColor="text1"/>
          <w:sz w:val="16"/>
          <w:szCs w:val="16"/>
        </w:rPr>
        <w:lastRenderedPageBreak/>
        <w:t>немецкого гарнизона, как совершенно безнадёжное. В ответной радиограмме Гитлер снова потребовал, не считаясь ни с чем, удерживать Тарнополь и сражаться до последнего солдата. В то же время он заверил Нейдорфа, что на помощь идут крупные силы танков. Через несколько дней Гитлер наградил Нейдорфа. Генерал ждал обещанных танков и солдат, а ему вместо этого прислали на самолёте рыцарский крест. К этому времени гарнизон Тарнополя был уже деморализован, а управление войсками потеряно. 15-го апреля Нейдорф был убит. В тот же день остатки гарнизона сложили оружие. В боях за Тарнополь убито много тысяч немецких солдат и офицеров. Вина за их гибель целиком и полностью падает на Гитлера. Он нас подло обманул».</w:t>
      </w:r>
    </w:p>
    <w:p w14:paraId="057E0018" w14:textId="77777777" w:rsidR="000F02F6" w:rsidRPr="007224C3" w:rsidRDefault="000F02F6" w:rsidP="007224C3">
      <w:pPr>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rPr>
        <w:t xml:space="preserve">С первых же дней оккупации местечка Чарторийск, Волынской области, немцы начали производить повальные грабежи и массовые убийства. Расстрелы мирных советских граждан происходили в овраге за кладбищем, близ урочища Котелец. Особенно жестоко расправлялись немцы с интеллигенцией. Они расстреляли учителя Гордия Свенты вместе с четырнадцатилетним сыном, зверски замучили и убили учителя Григория Чеба. В конце января текущего года в местечко прибыл отряд эсэсовцев, который согнал жителей на строительство оборонительных сооружений. Когда работы были закончены, немецко-фашистские изверги расстреляли свыше 400мирных советских граждан, работавших на строительстве укреплений.» </w:t>
      </w:r>
      <w:r w:rsidRPr="007224C3">
        <w:rPr>
          <w:rFonts w:ascii="Times New Roman" w:hAnsi="Times New Roman"/>
          <w:color w:val="000000" w:themeColor="text1"/>
          <w:sz w:val="16"/>
          <w:szCs w:val="16"/>
          <w:lang w:val="en-US"/>
        </w:rPr>
        <w:t>(15106).</w:t>
      </w:r>
    </w:p>
    <w:p w14:paraId="4DD65A48" w14:textId="77777777" w:rsidR="000F02F6" w:rsidRPr="007224C3" w:rsidRDefault="000F02F6" w:rsidP="007224C3">
      <w:pPr>
        <w:spacing w:after="0" w:line="240" w:lineRule="auto"/>
        <w:jc w:val="both"/>
        <w:rPr>
          <w:rFonts w:ascii="Times New Roman" w:hAnsi="Times New Roman"/>
          <w:color w:val="000000" w:themeColor="text1"/>
          <w:sz w:val="16"/>
          <w:szCs w:val="16"/>
          <w:lang w:val="en-US"/>
        </w:rPr>
      </w:pPr>
    </w:p>
    <w:p w14:paraId="33525386"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7224C3">
        <w:rPr>
          <w:rFonts w:ascii="Times New Roman" w:hAnsi="Times New Roman"/>
          <w:i/>
          <w:iCs/>
          <w:color w:val="000000" w:themeColor="text1"/>
          <w:sz w:val="16"/>
          <w:szCs w:val="16"/>
        </w:rPr>
        <w:t>За</w:t>
      </w:r>
      <w:r w:rsidRPr="007224C3">
        <w:rPr>
          <w:rFonts w:ascii="Times New Roman" w:hAnsi="Times New Roman"/>
          <w:i/>
          <w:iCs/>
          <w:color w:val="000000" w:themeColor="text1"/>
          <w:sz w:val="16"/>
          <w:szCs w:val="16"/>
          <w:lang w:val="en-US"/>
        </w:rPr>
        <w:t xml:space="preserve"> </w:t>
      </w:r>
      <w:r w:rsidRPr="007224C3">
        <w:rPr>
          <w:rFonts w:ascii="Times New Roman" w:hAnsi="Times New Roman"/>
          <w:i/>
          <w:iCs/>
          <w:color w:val="000000" w:themeColor="text1"/>
          <w:sz w:val="16"/>
          <w:szCs w:val="16"/>
        </w:rPr>
        <w:t>рубежом</w:t>
      </w:r>
      <w:r w:rsidRPr="007224C3">
        <w:rPr>
          <w:rFonts w:ascii="Times New Roman" w:hAnsi="Times New Roman"/>
          <w:i/>
          <w:iCs/>
          <w:color w:val="000000" w:themeColor="text1"/>
          <w:sz w:val="16"/>
          <w:szCs w:val="16"/>
          <w:lang w:val="en-US"/>
        </w:rPr>
        <w:t>:</w:t>
      </w:r>
    </w:p>
    <w:p w14:paraId="785B0D9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6245F417" w14:textId="77777777" w:rsidR="002867AB" w:rsidRPr="007224C3" w:rsidRDefault="002867AB"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21 апреля 1944 немецкий генерал Ханс-Валентин Хубе погибает в результате крушения Heinkel He 111 в Айнринге, Германия.</w:t>
      </w:r>
    </w:p>
    <w:p w14:paraId="30B1F9C9" w14:textId="77777777" w:rsidR="002867AB" w:rsidRPr="007224C3" w:rsidRDefault="002867AB" w:rsidP="007224C3">
      <w:pPr>
        <w:spacing w:after="0" w:line="240" w:lineRule="auto"/>
        <w:jc w:val="both"/>
        <w:rPr>
          <w:rFonts w:ascii="Times New Roman" w:hAnsi="Times New Roman"/>
          <w:color w:val="0070C0"/>
          <w:sz w:val="16"/>
          <w:szCs w:val="16"/>
        </w:rPr>
      </w:pPr>
    </w:p>
    <w:p w14:paraId="36C86F48" w14:textId="77777777" w:rsidR="002867AB" w:rsidRPr="007224C3" w:rsidRDefault="002867AB"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21-24 апреля 1944 целевая группа 58 самолетов Забастовка Wakde Аэродром , Савар Аэродром и Sarmi , чтобы нейтрализовать опасность воздушного нападения на битве Холландия , а также прямые нападения на вражеские силы вокруг Холландия , потеряв 21 самолетов. С конца марта в результате воздушных атак США на Голландию было уничтожено 340 японских самолетов на земле в этом районе и было сбито еще около 50, причем удары Пятых ВВС в конце марта и апреле наверняка составили почти все потери Японии (20373).</w:t>
      </w:r>
    </w:p>
    <w:p w14:paraId="42620023" w14:textId="77777777" w:rsidR="002867AB" w:rsidRPr="007224C3" w:rsidRDefault="002867AB" w:rsidP="007224C3">
      <w:pPr>
        <w:spacing w:after="0" w:line="240" w:lineRule="auto"/>
        <w:jc w:val="both"/>
        <w:rPr>
          <w:rFonts w:ascii="Times New Roman" w:hAnsi="Times New Roman"/>
          <w:color w:val="0070C0"/>
          <w:sz w:val="16"/>
          <w:szCs w:val="16"/>
        </w:rPr>
      </w:pPr>
    </w:p>
    <w:p w14:paraId="5824AEB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April 21-24 1944 Landings at Hollandia 1944 Task Force 58 (Vice Admiral M. A. Mitscher) supported the landings of Southwest Pacific Forces in the Hollandia-Aitape section of the north New Guinea coast. The force of five heavy and seven light carriers organized in three groups, launched preliminary strikes on airfields around Hollandia and at Wakde and Sawar (21 April), covered the landings (22 April) at Aitape, Tanahmerah Bay, and Humboldt Bay, and supported troop movements ashore (23-24 April). Eight escort carriers of Task Force 78 (Rear Admiral R. E. Davison) flew cover and antisubmarine patrols over ships of the Attack Group during the approach and provided support for the amphibious assault at Aitape. Carrier aircraft accounted for the destruction of 30 enemy aircraft in the air and 103 on the ground (1090).</w:t>
      </w:r>
    </w:p>
    <w:p w14:paraId="124ECAE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3CA59B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21 по 24 апреля 1944 состоялась битва за Голландию, Голландская Новая Гвинея (1090).</w:t>
      </w:r>
    </w:p>
    <w:p w14:paraId="34E0362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8AD921" w14:textId="77777777" w:rsidR="000F02F6" w:rsidRPr="007224C3" w:rsidRDefault="000F02F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 апреля в 1944 году женщины во Франции получили избирательное право (15106)</w:t>
      </w:r>
    </w:p>
    <w:p w14:paraId="21B881BC" w14:textId="77777777" w:rsidR="000F02F6" w:rsidRPr="007224C3" w:rsidRDefault="000F02F6" w:rsidP="007224C3">
      <w:pPr>
        <w:spacing w:after="0" w:line="240" w:lineRule="auto"/>
        <w:jc w:val="both"/>
        <w:rPr>
          <w:rFonts w:ascii="Times New Roman" w:hAnsi="Times New Roman"/>
          <w:color w:val="000000" w:themeColor="text1"/>
          <w:sz w:val="16"/>
          <w:szCs w:val="16"/>
        </w:rPr>
      </w:pPr>
    </w:p>
    <w:p w14:paraId="3E55CC5C"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7C8DAEB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273FB9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апреля 1944 Летчик-испытатель завода № 30 подполковник Б.И. Мак</w:t>
      </w:r>
      <w:r w:rsidRPr="007224C3">
        <w:rPr>
          <w:rFonts w:ascii="Times New Roman" w:hAnsi="Times New Roman"/>
          <w:color w:val="000000" w:themeColor="text1"/>
          <w:sz w:val="16"/>
          <w:szCs w:val="16"/>
        </w:rPr>
        <w:softHyphen/>
        <w:t>симов в отчете отмечал, что «прием на самолете проходит чисто, без заметного треска и шума, имевших место на серийных самолетах».</w:t>
      </w:r>
    </w:p>
    <w:p w14:paraId="1687C5B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апрелю 1944 разобрались и с радиосвязью на самолете Ил-2. Для повышения коэффициента полезного действия антенного контура передатчика РСИ-3 в цепь антенны включили удли</w:t>
      </w:r>
      <w:r w:rsidRPr="007224C3">
        <w:rPr>
          <w:rFonts w:ascii="Times New Roman" w:hAnsi="Times New Roman"/>
          <w:color w:val="000000" w:themeColor="text1"/>
          <w:sz w:val="16"/>
          <w:szCs w:val="16"/>
        </w:rPr>
        <w:softHyphen/>
        <w:t>нительную катушку конструкции НИСО НКАП и переделали антенну по образцу, предложенному НИИ СС КА. Уменьше</w:t>
      </w:r>
      <w:r w:rsidRPr="007224C3">
        <w:rPr>
          <w:rFonts w:ascii="Times New Roman" w:hAnsi="Times New Roman"/>
          <w:color w:val="000000" w:themeColor="text1"/>
          <w:sz w:val="16"/>
          <w:szCs w:val="16"/>
        </w:rPr>
        <w:softHyphen/>
        <w:t>ние помех от системы зажигания мотора и других источников помех на самолете обеспечили заменой серийного антенного ввода антенным вводом, разработанным в НИСО.</w:t>
      </w:r>
    </w:p>
    <w:p w14:paraId="71B8F2F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Кроме этого, установили фильтр, настроенный на опреде</w:t>
      </w:r>
      <w:r w:rsidRPr="007224C3">
        <w:rPr>
          <w:rFonts w:ascii="Times New Roman" w:hAnsi="Times New Roman"/>
          <w:color w:val="000000" w:themeColor="text1"/>
          <w:sz w:val="16"/>
          <w:szCs w:val="16"/>
        </w:rPr>
        <w:softHyphen/>
        <w:t>ленную полосу частот, который полностью устранил падение чувствительности приемника РСИ-4 при работе на одну ан</w:t>
      </w:r>
      <w:r w:rsidRPr="007224C3">
        <w:rPr>
          <w:rFonts w:ascii="Times New Roman" w:hAnsi="Times New Roman"/>
          <w:color w:val="000000" w:themeColor="text1"/>
          <w:sz w:val="16"/>
          <w:szCs w:val="16"/>
        </w:rPr>
        <w:softHyphen/>
        <w:t>тенну с РПК. Ранее из-за взаимного влияния друг на друга вы</w:t>
      </w:r>
      <w:r w:rsidRPr="007224C3">
        <w:rPr>
          <w:rFonts w:ascii="Times New Roman" w:hAnsi="Times New Roman"/>
          <w:color w:val="000000" w:themeColor="text1"/>
          <w:sz w:val="16"/>
          <w:szCs w:val="16"/>
        </w:rPr>
        <w:softHyphen/>
        <w:t>ходных цепей приемников входной сигнал для РСИ-4 ослаб</w:t>
      </w:r>
      <w:r w:rsidRPr="007224C3">
        <w:rPr>
          <w:rFonts w:ascii="Times New Roman" w:hAnsi="Times New Roman"/>
          <w:color w:val="000000" w:themeColor="text1"/>
          <w:sz w:val="16"/>
          <w:szCs w:val="16"/>
        </w:rPr>
        <w:softHyphen/>
        <w:t>лялся в 2—2,5 раза, а для РПК-10 — на 25—30%.</w:t>
      </w:r>
    </w:p>
    <w:p w14:paraId="5F4DE6B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Предложенные доработки радикально изменили картину. При полетах доработанного соответствующим образом серий</w:t>
      </w:r>
      <w:r w:rsidRPr="007224C3">
        <w:rPr>
          <w:rFonts w:ascii="Times New Roman" w:hAnsi="Times New Roman"/>
          <w:color w:val="000000" w:themeColor="text1"/>
          <w:sz w:val="16"/>
          <w:szCs w:val="16"/>
        </w:rPr>
        <w:softHyphen/>
        <w:t>ного самолета Ил-2 зав. № 304054 дальность уверенной радио</w:t>
      </w:r>
      <w:r w:rsidRPr="007224C3">
        <w:rPr>
          <w:rFonts w:ascii="Times New Roman" w:hAnsi="Times New Roman"/>
          <w:color w:val="000000" w:themeColor="text1"/>
          <w:sz w:val="16"/>
          <w:szCs w:val="16"/>
        </w:rPr>
        <w:softHyphen/>
        <w:t>связи с наземной радиостанцией РСБ-Ф возросла: на прием — до 75 км, на передачу с самолета на землю при хорошей слы</w:t>
      </w:r>
      <w:r w:rsidRPr="007224C3">
        <w:rPr>
          <w:rFonts w:ascii="Times New Roman" w:hAnsi="Times New Roman"/>
          <w:color w:val="000000" w:themeColor="text1"/>
          <w:sz w:val="16"/>
          <w:szCs w:val="16"/>
        </w:rPr>
        <w:softHyphen/>
        <w:t>шимости — до 100—110 км. (11474,379).</w:t>
      </w:r>
    </w:p>
    <w:p w14:paraId="4A99C7F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899FAE6" w14:textId="77777777" w:rsidR="00547738" w:rsidRPr="007224C3" w:rsidRDefault="0054773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апреля 1944 главный инженер ВВС КА генерал-полковник А. К. Репин обратился к наркому А. И. Шахурину с просьбой «для проведения войсковых испытаний/…/срочно изготовить: 30 самолетов Ил с АМ-42 в варианте штурмовика-бомбардировщика и 10 самолетов Ил с АМ-42 в варианте разведчика-корректировщика».</w:t>
      </w:r>
    </w:p>
    <w:p w14:paraId="163AEFB2" w14:textId="77777777" w:rsidR="00547738" w:rsidRPr="007224C3" w:rsidRDefault="0054773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Письмо Репина с резолюцией Шахурина возвратилось в ГУ ИАС ВВС через 10 дней: «т. Репин. По установленному порядку нужно доложить в ГОКО результаты испытаний и проект постановления о запуске самолета в серию. Без оснастки и подготовки производства, как Вам известно, самолетов в количестве 40–50 штук выпускать нельзя. Нужно мнение ВВС о желательности запуска самолета в серию».</w:t>
      </w:r>
    </w:p>
    <w:p w14:paraId="6E0A4498" w14:textId="77777777" w:rsidR="00547738" w:rsidRPr="007224C3" w:rsidRDefault="0054773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Известна реакция генерала Репина: «Срочно. т. Гребеневу (генерал-майор, начальник 1-го отдела ГУ ИАС ВВС. – Прим. авт.). Подготовьте письмо (17490).</w:t>
      </w:r>
    </w:p>
    <w:p w14:paraId="1AF67F9F" w14:textId="77777777" w:rsidR="00547738" w:rsidRPr="007224C3" w:rsidRDefault="00547738" w:rsidP="007224C3">
      <w:pPr>
        <w:spacing w:after="0" w:line="240" w:lineRule="auto"/>
        <w:jc w:val="both"/>
        <w:rPr>
          <w:rFonts w:ascii="Times New Roman" w:hAnsi="Times New Roman"/>
          <w:color w:val="000000" w:themeColor="text1"/>
          <w:sz w:val="16"/>
          <w:szCs w:val="16"/>
        </w:rPr>
      </w:pPr>
    </w:p>
    <w:p w14:paraId="6A0619C1" w14:textId="77777777" w:rsidR="00301BB3" w:rsidRPr="007224C3" w:rsidRDefault="00301BB3" w:rsidP="007224C3">
      <w:pPr>
        <w:pStyle w:val="121"/>
        <w:shd w:val="clear" w:color="auto" w:fill="auto"/>
        <w:spacing w:line="240" w:lineRule="auto"/>
        <w:jc w:val="both"/>
        <w:rPr>
          <w:rFonts w:ascii="Times New Roman" w:hAnsi="Times New Roman" w:cs="Times New Roman"/>
          <w:b w:val="0"/>
          <w:bCs w:val="0"/>
          <w:color w:val="0070C0"/>
          <w:sz w:val="16"/>
          <w:szCs w:val="16"/>
        </w:rPr>
      </w:pPr>
      <w:r w:rsidRPr="007224C3">
        <w:rPr>
          <w:rStyle w:val="128pt100"/>
          <w:rFonts w:ascii="Times New Roman" w:hAnsi="Times New Roman" w:cs="Times New Roman"/>
          <w:b w:val="0"/>
          <w:bCs w:val="0"/>
          <w:i w:val="0"/>
          <w:iCs w:val="0"/>
          <w:color w:val="0070C0"/>
        </w:rPr>
        <w:t>22 апреля 1944 главный инженер ВВС КА генерал-полковник Репин обратился к на</w:t>
      </w:r>
      <w:r w:rsidRPr="007224C3">
        <w:rPr>
          <w:rStyle w:val="128pt100"/>
          <w:rFonts w:ascii="Times New Roman" w:hAnsi="Times New Roman" w:cs="Times New Roman"/>
          <w:b w:val="0"/>
          <w:bCs w:val="0"/>
          <w:i w:val="0"/>
          <w:iCs w:val="0"/>
          <w:color w:val="0070C0"/>
        </w:rPr>
        <w:softHyphen/>
        <w:t>ркому Шахурину с просьбой</w:t>
      </w:r>
      <w:r w:rsidRPr="007224C3">
        <w:rPr>
          <w:rFonts w:ascii="Times New Roman" w:hAnsi="Times New Roman" w:cs="Times New Roman"/>
          <w:b w:val="0"/>
          <w:bCs w:val="0"/>
          <w:color w:val="0070C0"/>
          <w:sz w:val="16"/>
          <w:szCs w:val="16"/>
        </w:rPr>
        <w:t xml:space="preserve"> «для проведе</w:t>
      </w:r>
      <w:r w:rsidRPr="007224C3">
        <w:rPr>
          <w:rFonts w:ascii="Times New Roman" w:hAnsi="Times New Roman" w:cs="Times New Roman"/>
          <w:b w:val="0"/>
          <w:bCs w:val="0"/>
          <w:color w:val="0070C0"/>
          <w:sz w:val="16"/>
          <w:szCs w:val="16"/>
        </w:rPr>
        <w:softHyphen/>
        <w:t>ния войсковых испытаний /.../ срочно из</w:t>
      </w:r>
      <w:r w:rsidRPr="007224C3">
        <w:rPr>
          <w:rFonts w:ascii="Times New Roman" w:hAnsi="Times New Roman" w:cs="Times New Roman"/>
          <w:b w:val="0"/>
          <w:bCs w:val="0"/>
          <w:color w:val="0070C0"/>
          <w:sz w:val="16"/>
          <w:szCs w:val="16"/>
        </w:rPr>
        <w:softHyphen/>
        <w:t>готовить: 30 самолетов Ил с АМ-42 в ва</w:t>
      </w:r>
      <w:r w:rsidRPr="007224C3">
        <w:rPr>
          <w:rFonts w:ascii="Times New Roman" w:hAnsi="Times New Roman" w:cs="Times New Roman"/>
          <w:b w:val="0"/>
          <w:bCs w:val="0"/>
          <w:color w:val="0070C0"/>
          <w:sz w:val="16"/>
          <w:szCs w:val="16"/>
        </w:rPr>
        <w:softHyphen/>
        <w:t>рианте штурмовика-бомбардировщика и 10 самолетов Ил с АМ-42 в варианте раз</w:t>
      </w:r>
      <w:r w:rsidRPr="007224C3">
        <w:rPr>
          <w:rFonts w:ascii="Times New Roman" w:hAnsi="Times New Roman" w:cs="Times New Roman"/>
          <w:b w:val="0"/>
          <w:bCs w:val="0"/>
          <w:color w:val="0070C0"/>
          <w:sz w:val="16"/>
          <w:szCs w:val="16"/>
        </w:rPr>
        <w:softHyphen/>
        <w:t>ведчика-корректировщика».</w:t>
      </w:r>
    </w:p>
    <w:p w14:paraId="0716E66C" w14:textId="77777777" w:rsidR="00301BB3" w:rsidRPr="007224C3" w:rsidRDefault="00301BB3" w:rsidP="007224C3">
      <w:pPr>
        <w:pStyle w:val="121"/>
        <w:shd w:val="clear" w:color="auto" w:fill="auto"/>
        <w:spacing w:line="240" w:lineRule="auto"/>
        <w:jc w:val="both"/>
        <w:rPr>
          <w:rFonts w:ascii="Times New Roman" w:hAnsi="Times New Roman" w:cs="Times New Roman"/>
          <w:b w:val="0"/>
          <w:bCs w:val="0"/>
          <w:color w:val="0070C0"/>
          <w:sz w:val="16"/>
          <w:szCs w:val="16"/>
        </w:rPr>
      </w:pPr>
      <w:r w:rsidRPr="007224C3">
        <w:rPr>
          <w:rStyle w:val="128pt100"/>
          <w:rFonts w:ascii="Times New Roman" w:hAnsi="Times New Roman" w:cs="Times New Roman"/>
          <w:b w:val="0"/>
          <w:bCs w:val="0"/>
          <w:i w:val="0"/>
          <w:iCs w:val="0"/>
          <w:color w:val="0070C0"/>
        </w:rPr>
        <w:t>Письмо Репина с резолюцией Шахурина возвратилось в ГУ ИАС ВВС че</w:t>
      </w:r>
      <w:r w:rsidRPr="007224C3">
        <w:rPr>
          <w:rStyle w:val="128pt100"/>
          <w:rFonts w:ascii="Times New Roman" w:hAnsi="Times New Roman" w:cs="Times New Roman"/>
          <w:b w:val="0"/>
          <w:bCs w:val="0"/>
          <w:i w:val="0"/>
          <w:iCs w:val="0"/>
          <w:color w:val="0070C0"/>
        </w:rPr>
        <w:softHyphen/>
        <w:t>рез 10 дней: «т.</w:t>
      </w:r>
      <w:r w:rsidRPr="007224C3">
        <w:rPr>
          <w:rFonts w:ascii="Times New Roman" w:hAnsi="Times New Roman" w:cs="Times New Roman"/>
          <w:b w:val="0"/>
          <w:bCs w:val="0"/>
          <w:color w:val="0070C0"/>
          <w:sz w:val="16"/>
          <w:szCs w:val="16"/>
        </w:rPr>
        <w:t xml:space="preserve"> Репин. По установлен</w:t>
      </w:r>
      <w:r w:rsidRPr="007224C3">
        <w:rPr>
          <w:rFonts w:ascii="Times New Roman" w:hAnsi="Times New Roman" w:cs="Times New Roman"/>
          <w:b w:val="0"/>
          <w:bCs w:val="0"/>
          <w:color w:val="0070C0"/>
          <w:sz w:val="16"/>
          <w:szCs w:val="16"/>
        </w:rPr>
        <w:softHyphen/>
        <w:t>ному порядку нужно доложить в ГОКО ре</w:t>
      </w:r>
      <w:r w:rsidRPr="007224C3">
        <w:rPr>
          <w:rFonts w:ascii="Times New Roman" w:hAnsi="Times New Roman" w:cs="Times New Roman"/>
          <w:b w:val="0"/>
          <w:bCs w:val="0"/>
          <w:color w:val="0070C0"/>
          <w:sz w:val="16"/>
          <w:szCs w:val="16"/>
        </w:rPr>
        <w:softHyphen/>
        <w:t>зультаты испытаний и проект поста</w:t>
      </w:r>
      <w:r w:rsidRPr="007224C3">
        <w:rPr>
          <w:rFonts w:ascii="Times New Roman" w:hAnsi="Times New Roman" w:cs="Times New Roman"/>
          <w:b w:val="0"/>
          <w:bCs w:val="0"/>
          <w:color w:val="0070C0"/>
          <w:sz w:val="16"/>
          <w:szCs w:val="16"/>
        </w:rPr>
        <w:softHyphen/>
        <w:t>новления о запуске самолета в серию. Без оснастки и подготовки производства, как Вам известно, самолетов в количестве 40-50 штук выпускать нельзя. Нужно мнение ВВС о желательности запуска са</w:t>
      </w:r>
      <w:r w:rsidRPr="007224C3">
        <w:rPr>
          <w:rFonts w:ascii="Times New Roman" w:hAnsi="Times New Roman" w:cs="Times New Roman"/>
          <w:b w:val="0"/>
          <w:bCs w:val="0"/>
          <w:color w:val="0070C0"/>
          <w:sz w:val="16"/>
          <w:szCs w:val="16"/>
        </w:rPr>
        <w:softHyphen/>
        <w:t>молета в серию».</w:t>
      </w:r>
    </w:p>
    <w:p w14:paraId="14926087" w14:textId="77777777" w:rsidR="00301BB3" w:rsidRPr="007224C3" w:rsidRDefault="00301BB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 xml:space="preserve">Известна реакция генерала Репина: </w:t>
      </w:r>
      <w:r w:rsidRPr="007224C3">
        <w:rPr>
          <w:rStyle w:val="9pt80"/>
          <w:rFonts w:ascii="Times New Roman" w:hAnsi="Times New Roman" w:cs="Times New Roman"/>
          <w:i w:val="0"/>
          <w:iCs w:val="0"/>
          <w:color w:val="0070C0"/>
          <w:w w:val="100"/>
          <w:sz w:val="16"/>
          <w:szCs w:val="16"/>
        </w:rPr>
        <w:t>«Срочно, т. Гребеневу</w:t>
      </w:r>
      <w:r w:rsidRPr="007224C3">
        <w:rPr>
          <w:rFonts w:ascii="Times New Roman" w:hAnsi="Times New Roman"/>
          <w:color w:val="0070C0"/>
          <w:sz w:val="16"/>
          <w:szCs w:val="16"/>
        </w:rPr>
        <w:t xml:space="preserve"> (генерал-майор, на</w:t>
      </w:r>
      <w:r w:rsidRPr="007224C3">
        <w:rPr>
          <w:rFonts w:ascii="Times New Roman" w:hAnsi="Times New Roman"/>
          <w:color w:val="0070C0"/>
          <w:sz w:val="16"/>
          <w:szCs w:val="16"/>
        </w:rPr>
        <w:softHyphen/>
        <w:t>чальник 1-го отдела ГУ ИАС ВВС).</w:t>
      </w:r>
      <w:r w:rsidRPr="007224C3">
        <w:rPr>
          <w:rStyle w:val="9pt80"/>
          <w:rFonts w:ascii="Times New Roman" w:hAnsi="Times New Roman" w:cs="Times New Roman"/>
          <w:i w:val="0"/>
          <w:iCs w:val="0"/>
          <w:color w:val="0070C0"/>
          <w:w w:val="100"/>
          <w:sz w:val="16"/>
          <w:szCs w:val="16"/>
        </w:rPr>
        <w:t xml:space="preserve"> Подготовьте письмо и проект ГОКО </w:t>
      </w:r>
      <w:r w:rsidRPr="007224C3">
        <w:rPr>
          <w:rFonts w:ascii="Times New Roman" w:hAnsi="Times New Roman"/>
          <w:color w:val="0070C0"/>
          <w:sz w:val="16"/>
          <w:szCs w:val="16"/>
        </w:rPr>
        <w:t>(фразу «и проект ГОКО» Репин зачерк</w:t>
      </w:r>
      <w:r w:rsidRPr="007224C3">
        <w:rPr>
          <w:rFonts w:ascii="Times New Roman" w:hAnsi="Times New Roman"/>
          <w:color w:val="0070C0"/>
          <w:sz w:val="16"/>
          <w:szCs w:val="16"/>
        </w:rPr>
        <w:softHyphen/>
        <w:t>нул.).</w:t>
      </w:r>
      <w:r w:rsidRPr="007224C3">
        <w:rPr>
          <w:rStyle w:val="9pt80"/>
          <w:rFonts w:ascii="Times New Roman" w:hAnsi="Times New Roman" w:cs="Times New Roman"/>
          <w:i w:val="0"/>
          <w:iCs w:val="0"/>
          <w:color w:val="0070C0"/>
          <w:w w:val="100"/>
          <w:sz w:val="16"/>
          <w:szCs w:val="16"/>
        </w:rPr>
        <w:t xml:space="preserve"> Репин, 5.5.44 (19853).</w:t>
      </w:r>
    </w:p>
    <w:p w14:paraId="4E8DE3B9" w14:textId="77777777" w:rsidR="00301BB3" w:rsidRPr="007224C3" w:rsidRDefault="00301BB3" w:rsidP="007224C3">
      <w:pPr>
        <w:spacing w:after="0" w:line="240" w:lineRule="auto"/>
        <w:jc w:val="both"/>
        <w:rPr>
          <w:rFonts w:ascii="Times New Roman" w:hAnsi="Times New Roman"/>
          <w:color w:val="0070C0"/>
          <w:sz w:val="16"/>
          <w:szCs w:val="16"/>
        </w:rPr>
      </w:pPr>
    </w:p>
    <w:p w14:paraId="34661164" w14:textId="77777777" w:rsidR="00301BB3" w:rsidRPr="007224C3" w:rsidRDefault="00301BB3" w:rsidP="007224C3">
      <w:pPr>
        <w:pStyle w:val="121"/>
        <w:shd w:val="clear" w:color="auto" w:fill="auto"/>
        <w:spacing w:line="240" w:lineRule="auto"/>
        <w:jc w:val="both"/>
        <w:rPr>
          <w:rFonts w:ascii="Times New Roman" w:hAnsi="Times New Roman" w:cs="Times New Roman"/>
          <w:b w:val="0"/>
          <w:bCs w:val="0"/>
          <w:color w:val="0070C0"/>
          <w:sz w:val="16"/>
          <w:szCs w:val="16"/>
        </w:rPr>
      </w:pPr>
      <w:r w:rsidRPr="007224C3">
        <w:rPr>
          <w:rStyle w:val="128pt100"/>
          <w:rFonts w:ascii="Times New Roman" w:hAnsi="Times New Roman" w:cs="Times New Roman"/>
          <w:b w:val="0"/>
          <w:bCs w:val="0"/>
          <w:i w:val="0"/>
          <w:iCs w:val="0"/>
          <w:color w:val="0070C0"/>
        </w:rPr>
        <w:t>22 апреля 1944 главный инженер ВВС КА генерал-полковник Репин обратился к на</w:t>
      </w:r>
      <w:r w:rsidRPr="007224C3">
        <w:rPr>
          <w:rStyle w:val="128pt100"/>
          <w:rFonts w:ascii="Times New Roman" w:hAnsi="Times New Roman" w:cs="Times New Roman"/>
          <w:b w:val="0"/>
          <w:bCs w:val="0"/>
          <w:i w:val="0"/>
          <w:iCs w:val="0"/>
          <w:color w:val="0070C0"/>
        </w:rPr>
        <w:softHyphen/>
        <w:t>ркому Шахурину с просьбой</w:t>
      </w:r>
      <w:r w:rsidRPr="007224C3">
        <w:rPr>
          <w:rFonts w:ascii="Times New Roman" w:hAnsi="Times New Roman" w:cs="Times New Roman"/>
          <w:b w:val="0"/>
          <w:bCs w:val="0"/>
          <w:color w:val="0070C0"/>
          <w:sz w:val="16"/>
          <w:szCs w:val="16"/>
        </w:rPr>
        <w:t xml:space="preserve"> «для проведе</w:t>
      </w:r>
      <w:r w:rsidRPr="007224C3">
        <w:rPr>
          <w:rFonts w:ascii="Times New Roman" w:hAnsi="Times New Roman" w:cs="Times New Roman"/>
          <w:b w:val="0"/>
          <w:bCs w:val="0"/>
          <w:color w:val="0070C0"/>
          <w:sz w:val="16"/>
          <w:szCs w:val="16"/>
        </w:rPr>
        <w:softHyphen/>
        <w:t>ния войсковых испытаний /.../ срочно из</w:t>
      </w:r>
      <w:r w:rsidRPr="007224C3">
        <w:rPr>
          <w:rFonts w:ascii="Times New Roman" w:hAnsi="Times New Roman" w:cs="Times New Roman"/>
          <w:b w:val="0"/>
          <w:bCs w:val="0"/>
          <w:color w:val="0070C0"/>
          <w:sz w:val="16"/>
          <w:szCs w:val="16"/>
        </w:rPr>
        <w:softHyphen/>
        <w:t>готовить: 30 самолетов Ил с АМ-42 в ва</w:t>
      </w:r>
      <w:r w:rsidRPr="007224C3">
        <w:rPr>
          <w:rFonts w:ascii="Times New Roman" w:hAnsi="Times New Roman" w:cs="Times New Roman"/>
          <w:b w:val="0"/>
          <w:bCs w:val="0"/>
          <w:color w:val="0070C0"/>
          <w:sz w:val="16"/>
          <w:szCs w:val="16"/>
        </w:rPr>
        <w:softHyphen/>
        <w:t>рианте штурмовика-бомбардировщика и 10 самолетов Ил с АМ-42 в варианте раз</w:t>
      </w:r>
      <w:r w:rsidRPr="007224C3">
        <w:rPr>
          <w:rFonts w:ascii="Times New Roman" w:hAnsi="Times New Roman" w:cs="Times New Roman"/>
          <w:b w:val="0"/>
          <w:bCs w:val="0"/>
          <w:color w:val="0070C0"/>
          <w:sz w:val="16"/>
          <w:szCs w:val="16"/>
        </w:rPr>
        <w:softHyphen/>
        <w:t>ведчика-корректировщика».</w:t>
      </w:r>
    </w:p>
    <w:p w14:paraId="4AB5F35B" w14:textId="77777777" w:rsidR="00301BB3" w:rsidRPr="007224C3" w:rsidRDefault="00301BB3" w:rsidP="007224C3">
      <w:pPr>
        <w:pStyle w:val="121"/>
        <w:shd w:val="clear" w:color="auto" w:fill="auto"/>
        <w:spacing w:line="240" w:lineRule="auto"/>
        <w:jc w:val="both"/>
        <w:rPr>
          <w:rFonts w:ascii="Times New Roman" w:hAnsi="Times New Roman" w:cs="Times New Roman"/>
          <w:b w:val="0"/>
          <w:bCs w:val="0"/>
          <w:color w:val="0070C0"/>
          <w:sz w:val="16"/>
          <w:szCs w:val="16"/>
        </w:rPr>
      </w:pPr>
      <w:r w:rsidRPr="007224C3">
        <w:rPr>
          <w:rStyle w:val="128pt100"/>
          <w:rFonts w:ascii="Times New Roman" w:hAnsi="Times New Roman" w:cs="Times New Roman"/>
          <w:b w:val="0"/>
          <w:bCs w:val="0"/>
          <w:i w:val="0"/>
          <w:iCs w:val="0"/>
          <w:color w:val="0070C0"/>
        </w:rPr>
        <w:t>2 мая 1944 Письмо Репина от 22 апреля возвратилось в ГУ ИАС ВВС с резолюцией Шахурина: «т.</w:t>
      </w:r>
      <w:r w:rsidRPr="007224C3">
        <w:rPr>
          <w:rFonts w:ascii="Times New Roman" w:hAnsi="Times New Roman" w:cs="Times New Roman"/>
          <w:b w:val="0"/>
          <w:bCs w:val="0"/>
          <w:color w:val="0070C0"/>
          <w:sz w:val="16"/>
          <w:szCs w:val="16"/>
        </w:rPr>
        <w:t xml:space="preserve"> Репин. По установлен</w:t>
      </w:r>
      <w:r w:rsidRPr="007224C3">
        <w:rPr>
          <w:rFonts w:ascii="Times New Roman" w:hAnsi="Times New Roman" w:cs="Times New Roman"/>
          <w:b w:val="0"/>
          <w:bCs w:val="0"/>
          <w:color w:val="0070C0"/>
          <w:sz w:val="16"/>
          <w:szCs w:val="16"/>
        </w:rPr>
        <w:softHyphen/>
        <w:t>ному порядку нужно доложить в ГОКО ре</w:t>
      </w:r>
      <w:r w:rsidRPr="007224C3">
        <w:rPr>
          <w:rFonts w:ascii="Times New Roman" w:hAnsi="Times New Roman" w:cs="Times New Roman"/>
          <w:b w:val="0"/>
          <w:bCs w:val="0"/>
          <w:color w:val="0070C0"/>
          <w:sz w:val="16"/>
          <w:szCs w:val="16"/>
        </w:rPr>
        <w:softHyphen/>
        <w:t>зультаты испытаний и проект поста</w:t>
      </w:r>
      <w:r w:rsidRPr="007224C3">
        <w:rPr>
          <w:rFonts w:ascii="Times New Roman" w:hAnsi="Times New Roman" w:cs="Times New Roman"/>
          <w:b w:val="0"/>
          <w:bCs w:val="0"/>
          <w:color w:val="0070C0"/>
          <w:sz w:val="16"/>
          <w:szCs w:val="16"/>
        </w:rPr>
        <w:softHyphen/>
        <w:t>новления о запуске самолета в серию. Без оснастки и подготовки производства, как Вам известно, самолетов в количестве 40-50 штук выпускать нельзя. Нужно мнение ВВС о желательности запуска са</w:t>
      </w:r>
      <w:r w:rsidRPr="007224C3">
        <w:rPr>
          <w:rFonts w:ascii="Times New Roman" w:hAnsi="Times New Roman" w:cs="Times New Roman"/>
          <w:b w:val="0"/>
          <w:bCs w:val="0"/>
          <w:color w:val="0070C0"/>
          <w:sz w:val="16"/>
          <w:szCs w:val="16"/>
        </w:rPr>
        <w:softHyphen/>
        <w:t>молета в серию».</w:t>
      </w:r>
    </w:p>
    <w:p w14:paraId="4145D595" w14:textId="77777777" w:rsidR="00301BB3" w:rsidRPr="007224C3" w:rsidRDefault="00301BB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 xml:space="preserve">Известна реакция генерала Репина: </w:t>
      </w:r>
      <w:r w:rsidRPr="007224C3">
        <w:rPr>
          <w:rStyle w:val="9pt80"/>
          <w:rFonts w:ascii="Times New Roman" w:hAnsi="Times New Roman" w:cs="Times New Roman"/>
          <w:i w:val="0"/>
          <w:iCs w:val="0"/>
          <w:color w:val="0070C0"/>
          <w:w w:val="100"/>
          <w:sz w:val="16"/>
          <w:szCs w:val="16"/>
        </w:rPr>
        <w:t>«Срочно, т. Гребеневу</w:t>
      </w:r>
      <w:r w:rsidRPr="007224C3">
        <w:rPr>
          <w:rFonts w:ascii="Times New Roman" w:hAnsi="Times New Roman"/>
          <w:color w:val="0070C0"/>
          <w:sz w:val="16"/>
          <w:szCs w:val="16"/>
        </w:rPr>
        <w:t xml:space="preserve"> (генерал-майор, на</w:t>
      </w:r>
      <w:r w:rsidRPr="007224C3">
        <w:rPr>
          <w:rFonts w:ascii="Times New Roman" w:hAnsi="Times New Roman"/>
          <w:color w:val="0070C0"/>
          <w:sz w:val="16"/>
          <w:szCs w:val="16"/>
        </w:rPr>
        <w:softHyphen/>
        <w:t>чальник 1-го отдела ГУ ИАС ВВС).</w:t>
      </w:r>
      <w:r w:rsidRPr="007224C3">
        <w:rPr>
          <w:rStyle w:val="9pt80"/>
          <w:rFonts w:ascii="Times New Roman" w:hAnsi="Times New Roman" w:cs="Times New Roman"/>
          <w:i w:val="0"/>
          <w:iCs w:val="0"/>
          <w:color w:val="0070C0"/>
          <w:w w:val="100"/>
          <w:sz w:val="16"/>
          <w:szCs w:val="16"/>
        </w:rPr>
        <w:t xml:space="preserve"> Подготовьте письмо и проект ГОКО </w:t>
      </w:r>
      <w:r w:rsidRPr="007224C3">
        <w:rPr>
          <w:rFonts w:ascii="Times New Roman" w:hAnsi="Times New Roman"/>
          <w:color w:val="0070C0"/>
          <w:sz w:val="16"/>
          <w:szCs w:val="16"/>
        </w:rPr>
        <w:t>(фразу «и проект ГОКО» Репин зачерк</w:t>
      </w:r>
      <w:r w:rsidRPr="007224C3">
        <w:rPr>
          <w:rFonts w:ascii="Times New Roman" w:hAnsi="Times New Roman"/>
          <w:color w:val="0070C0"/>
          <w:sz w:val="16"/>
          <w:szCs w:val="16"/>
        </w:rPr>
        <w:softHyphen/>
        <w:t>нул.).</w:t>
      </w:r>
      <w:r w:rsidRPr="007224C3">
        <w:rPr>
          <w:rStyle w:val="9pt80"/>
          <w:rFonts w:ascii="Times New Roman" w:hAnsi="Times New Roman" w:cs="Times New Roman"/>
          <w:i w:val="0"/>
          <w:iCs w:val="0"/>
          <w:color w:val="0070C0"/>
          <w:w w:val="100"/>
          <w:sz w:val="16"/>
          <w:szCs w:val="16"/>
        </w:rPr>
        <w:t xml:space="preserve"> Репин, 5.5.44 (19853).</w:t>
      </w:r>
    </w:p>
    <w:p w14:paraId="2F1F81B5" w14:textId="77777777" w:rsidR="00301BB3" w:rsidRPr="007224C3" w:rsidRDefault="00301BB3" w:rsidP="007224C3">
      <w:pPr>
        <w:spacing w:after="0" w:line="240" w:lineRule="auto"/>
        <w:jc w:val="both"/>
        <w:rPr>
          <w:rFonts w:ascii="Times New Roman" w:hAnsi="Times New Roman"/>
          <w:color w:val="0070C0"/>
          <w:sz w:val="16"/>
          <w:szCs w:val="16"/>
        </w:rPr>
      </w:pPr>
    </w:p>
    <w:p w14:paraId="7D8AA8B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апреля 1944 г. главным инженером ВВС КА были утверждены тактико-технические требования (ТТТ) к проектируемому са</w:t>
      </w:r>
      <w:r w:rsidRPr="007224C3">
        <w:rPr>
          <w:rFonts w:ascii="Times New Roman" w:hAnsi="Times New Roman"/>
          <w:color w:val="000000" w:themeColor="text1"/>
          <w:sz w:val="16"/>
          <w:szCs w:val="16"/>
        </w:rPr>
        <w:softHyphen/>
        <w:t>молету Су-6 с РД, согласно которым он предназ</w:t>
      </w:r>
      <w:r w:rsidRPr="007224C3">
        <w:rPr>
          <w:rFonts w:ascii="Times New Roman" w:hAnsi="Times New Roman"/>
          <w:color w:val="000000" w:themeColor="text1"/>
          <w:sz w:val="16"/>
          <w:szCs w:val="16"/>
        </w:rPr>
        <w:softHyphen/>
        <w:t>начался для перехвата и уничтожения самолетов противника и ведения ак</w:t>
      </w:r>
      <w:r w:rsidRPr="007224C3">
        <w:rPr>
          <w:rFonts w:ascii="Times New Roman" w:hAnsi="Times New Roman"/>
          <w:color w:val="000000" w:themeColor="text1"/>
          <w:sz w:val="16"/>
          <w:szCs w:val="16"/>
        </w:rPr>
        <w:softHyphen/>
        <w:t>тивного воздушного боя, главным обра</w:t>
      </w:r>
      <w:r w:rsidRPr="007224C3">
        <w:rPr>
          <w:rFonts w:ascii="Times New Roman" w:hAnsi="Times New Roman"/>
          <w:color w:val="000000" w:themeColor="text1"/>
          <w:sz w:val="16"/>
          <w:szCs w:val="16"/>
        </w:rPr>
        <w:softHyphen/>
        <w:t>зом на больших высотах во фронто</w:t>
      </w:r>
      <w:r w:rsidRPr="007224C3">
        <w:rPr>
          <w:rFonts w:ascii="Times New Roman" w:hAnsi="Times New Roman"/>
          <w:color w:val="000000" w:themeColor="text1"/>
          <w:sz w:val="16"/>
          <w:szCs w:val="16"/>
        </w:rPr>
        <w:softHyphen/>
        <w:t>вой зоне и в системе ПВО (10668).</w:t>
      </w:r>
    </w:p>
    <w:p w14:paraId="4B783A6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65FA1A" w14:textId="77777777" w:rsidR="00783151" w:rsidRPr="007224C3" w:rsidRDefault="00783151"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22 апреля 1944 г. были Утверждены тактико-технические требования к проектируемому самолету Су-6 с М-82 ФН 2ТК- и РД-1. Этот самолет предназначался для перехвата и уничтожения самолетов противника и ведения активного воз душного боя, главным образом на больших высотах во фрон товой зоне и в системе ПВО.</w:t>
      </w:r>
    </w:p>
    <w:p w14:paraId="0938B27B" w14:textId="77777777" w:rsidR="00783151" w:rsidRPr="007224C3" w:rsidRDefault="00783151"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Эскизное и рабочее проектирование, а также производство проводились параллельно. Задачу облегчало то, что за основу нового самолета был принят один из двух построенных экзем пляров опытного одноместного бронированного штурмовика Су-6. В связи с этим отпала необходимость в изготовлении ма кета и постройке экземпляра для статических испытаний. За держка окончания постройки самолета произошла из-за не своевременной подачи заводу № 289 турбокомпрессоров, при вода к насосному агрегату ЖРД и самого двигателя РД-1 (19586).</w:t>
      </w:r>
    </w:p>
    <w:p w14:paraId="5F23D5E6" w14:textId="77777777" w:rsidR="00783151" w:rsidRPr="007224C3" w:rsidRDefault="00783151"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7CD1C1C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22 апреля 1944 г. на заводе № 22 закончили проектирование "ДИСа" В.М.М. Двухместный ДИС базировался на Пе-2И (N 12) и, возможно, был его переделкой. Помимо ДИС был разработан дневной бомбардировщик "ДБ" и высотный бомбардировщик "ВБ". Там же самолет построили, но отработку и монтаж вооружения заканчивали на заводе № 482. Отличительной особенностью истребителя сопровождения была возможность установки на него двигателей ВК-108 и мощного артиллерийского вооружения состоявшего из двух пушек калибра 20 мм и двух - калибра 45 мм. Для защиты задней полусферы предусматривалась установка одной пушки калибра 20 мм, но в этом случае исключалась подвеска дополнительных бензобаков и дальность полета снижалась с 4100 км до 3600 км. В связи с установкой на самолете мягких бензобаков, электрифицированной стрелковой установки ВЭУ-1, новых, с увеличенными габаритами, маслорадиаторов и проведения других </w:t>
      </w:r>
      <w:r w:rsidRPr="007224C3">
        <w:rPr>
          <w:rFonts w:ascii="Times New Roman" w:hAnsi="Times New Roman"/>
          <w:color w:val="000000" w:themeColor="text1"/>
          <w:sz w:val="16"/>
          <w:szCs w:val="16"/>
        </w:rPr>
        <w:lastRenderedPageBreak/>
        <w:t>доработок положение центра тяжести сместилось, и это повлекло за собой изменение стреловидности консолей крыла (3337).</w:t>
      </w:r>
    </w:p>
    <w:p w14:paraId="1602E3D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EBFAD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апреля 1944 года на заводе № 22 закончили проектирование «ДИСа». Двухместный «ДИС» представлял собой переделку первого экземпляра Пе-2И.. Там же самолет построили, но отработку и монтаж воору</w:t>
      </w:r>
      <w:r w:rsidRPr="007224C3">
        <w:rPr>
          <w:rFonts w:ascii="Times New Roman" w:hAnsi="Times New Roman"/>
          <w:color w:val="000000" w:themeColor="text1"/>
          <w:sz w:val="16"/>
          <w:szCs w:val="16"/>
        </w:rPr>
        <w:softHyphen/>
        <w:t>жения заканчивали в Москве на заводе № 482, куда Пе-2М передали 20 июля. Отличительной особенностью истребителя сопровождения была возможность уста</w:t>
      </w:r>
      <w:r w:rsidRPr="007224C3">
        <w:rPr>
          <w:rFonts w:ascii="Times New Roman" w:hAnsi="Times New Roman"/>
          <w:color w:val="000000" w:themeColor="text1"/>
          <w:sz w:val="16"/>
          <w:szCs w:val="16"/>
        </w:rPr>
        <w:softHyphen/>
        <w:t>новки на него двигателей ВК-108 и мощного артилле</w:t>
      </w:r>
      <w:r w:rsidRPr="007224C3">
        <w:rPr>
          <w:rFonts w:ascii="Times New Roman" w:hAnsi="Times New Roman"/>
          <w:color w:val="000000" w:themeColor="text1"/>
          <w:sz w:val="16"/>
          <w:szCs w:val="16"/>
        </w:rPr>
        <w:softHyphen/>
        <w:t>рийского вооружения, состоявшего из двух 20-милли</w:t>
      </w:r>
      <w:r w:rsidRPr="007224C3">
        <w:rPr>
          <w:rFonts w:ascii="Times New Roman" w:hAnsi="Times New Roman"/>
          <w:color w:val="000000" w:themeColor="text1"/>
          <w:sz w:val="16"/>
          <w:szCs w:val="16"/>
        </w:rPr>
        <w:softHyphen/>
        <w:t>метровых пушек и двух — калибра 45 мм. Для защиты задней полусферы предусматривалась установка од</w:t>
      </w:r>
      <w:r w:rsidRPr="007224C3">
        <w:rPr>
          <w:rFonts w:ascii="Times New Roman" w:hAnsi="Times New Roman"/>
          <w:color w:val="000000" w:themeColor="text1"/>
          <w:sz w:val="16"/>
          <w:szCs w:val="16"/>
        </w:rPr>
        <w:softHyphen/>
        <w:t>ной пушки калибра 20 мм, но в этом случае исключалась подвеска дополнительных бензобаков и даль</w:t>
      </w:r>
      <w:r w:rsidRPr="007224C3">
        <w:rPr>
          <w:rFonts w:ascii="Times New Roman" w:hAnsi="Times New Roman"/>
          <w:color w:val="000000" w:themeColor="text1"/>
          <w:sz w:val="16"/>
          <w:szCs w:val="16"/>
        </w:rPr>
        <w:softHyphen/>
        <w:t>ность полета снижалась с 4100 км до 3600 км.</w:t>
      </w:r>
    </w:p>
    <w:p w14:paraId="0302B90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связи с установкой на самолете мягких бензоба</w:t>
      </w:r>
      <w:r w:rsidRPr="007224C3">
        <w:rPr>
          <w:rFonts w:ascii="Times New Roman" w:hAnsi="Times New Roman"/>
          <w:color w:val="000000" w:themeColor="text1"/>
          <w:sz w:val="16"/>
          <w:szCs w:val="16"/>
        </w:rPr>
        <w:softHyphen/>
        <w:t>ков, электрифицированной стрелковой установки ВЭУ-1, новых, с увеличенными габаритами маслорадиаторов и проведения других доработок положение центра тя</w:t>
      </w:r>
      <w:r w:rsidRPr="007224C3">
        <w:rPr>
          <w:rFonts w:ascii="Times New Roman" w:hAnsi="Times New Roman"/>
          <w:color w:val="000000" w:themeColor="text1"/>
          <w:sz w:val="16"/>
          <w:szCs w:val="16"/>
        </w:rPr>
        <w:softHyphen/>
        <w:t>жести сместилось, и это повлекло за собой изменение стреловидности консолей крыла (11446).</w:t>
      </w:r>
    </w:p>
    <w:p w14:paraId="1A8076B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562C8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апреля 1944 ГИ ВВС г-п А.К.Репин утвердил ТТТ на новую машину - будущий И-250. Единственное замечание - в разделе бронирования - надпись “Нужно бы еще посмотреть. Для высотного и-перехватчика бронирование как на Ил-2 - несерьезно”. Поэтому оставили тлолько бронеспинку, заголовник и козырек (6471, 4).</w:t>
      </w:r>
    </w:p>
    <w:p w14:paraId="7DF7522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172F22" w14:textId="77777777" w:rsidR="00F054E0" w:rsidRPr="007224C3" w:rsidRDefault="00F054E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апреля в 1944 году закончили в производстве истребитель, получивший обозначение «И-222» и шифр "3А". По конструкции самолет в целом повторял «И-221», но имел герметическую кабину и улучшенный обзор задней полусферы. На машине был установлен опытный мотор «АМ-39Б» №01. Кроме того, в системе охлаждения воздуха, поступающего в карбюратор двигателя, установили воздухо-воздушный радиатор взамен водо-воздушного, что позволило, несмотря на установку гермокабины, не допустить возрастания полетной массы самолета. Оболочку гермокабины сделали из алюминиевого сплава АМЦ. В ходе изготовления механическую систему герметизации фонаря заменили пневматической. Максимальная расчетная скорость должна была составить 689 км/ч на высоте 12500 м, а практический потолок 13000-14000 м. Вооружение включало две синхронные 20-мм пушки «СШ-20» с боезапасом по 100 патронов (15108).</w:t>
      </w:r>
    </w:p>
    <w:p w14:paraId="5877EF29" w14:textId="77777777" w:rsidR="00F054E0" w:rsidRPr="007224C3" w:rsidRDefault="00F054E0" w:rsidP="007224C3">
      <w:pPr>
        <w:spacing w:after="0" w:line="240" w:lineRule="auto"/>
        <w:jc w:val="both"/>
        <w:rPr>
          <w:rFonts w:ascii="Times New Roman" w:hAnsi="Times New Roman"/>
          <w:color w:val="000000" w:themeColor="text1"/>
          <w:sz w:val="16"/>
          <w:szCs w:val="16"/>
        </w:rPr>
      </w:pPr>
    </w:p>
    <w:p w14:paraId="0C1EE07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апреля 1944 ГИ ПГУ НКХП Зорин писал письмо № 1211/75 Зам. Нач. 12 ГУ НКАП т. И.А.Соколову</w:t>
      </w:r>
    </w:p>
    <w:p w14:paraId="1797317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Ваш № Д-2/1249 от 9/У-44:</w:t>
      </w:r>
    </w:p>
    <w:p w14:paraId="1E5281F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Сообщаю, что из-за отбраковки большого количества рамок, из числа доставленных на завод № 148, излишнено количества рамок на заводе № 148 не имеется, поэтому таковые заводу К-4 отгружены быть не могут.</w:t>
      </w:r>
    </w:p>
    <w:p w14:paraId="5E4FEC3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 избежание срыва поставок бронестекол, прошу Ваших самых срочных указаний заводу № 469 НКАП об отгрузке 450 металлических рамок заводу К-4.</w:t>
      </w:r>
    </w:p>
    <w:p w14:paraId="3B25E8E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Кроме того прошу Вас выслать 1-му Главному Управле</w:t>
      </w:r>
      <w:r w:rsidRPr="007224C3">
        <w:rPr>
          <w:rFonts w:ascii="Times New Roman" w:hAnsi="Times New Roman"/>
          <w:color w:val="000000" w:themeColor="text1"/>
          <w:sz w:val="16"/>
          <w:szCs w:val="16"/>
        </w:rPr>
        <w:softHyphen/>
        <w:t>нию НКХП чертежи бронестекол ЯК-3 № 0500-170; 0500-180 и 0500-183А в 2-х экземплярах, так как высланные с В/отношением № Д-2/912 от 3/1У-44 г. 2 экземпляра черте</w:t>
      </w:r>
      <w:r w:rsidRPr="007224C3">
        <w:rPr>
          <w:rFonts w:ascii="Times New Roman" w:hAnsi="Times New Roman"/>
          <w:color w:val="000000" w:themeColor="text1"/>
          <w:sz w:val="16"/>
          <w:szCs w:val="16"/>
        </w:rPr>
        <w:softHyphen/>
        <w:t>жей отосланы нами на завод К 148 и К-4 (10532,15).</w:t>
      </w:r>
    </w:p>
    <w:p w14:paraId="3863AC9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2E22208" w14:textId="77777777" w:rsidR="00F054E0" w:rsidRPr="007224C3" w:rsidRDefault="00F054E0" w:rsidP="007224C3">
      <w:pPr>
        <w:widowControl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апреля 1944 года вышел приказ по заводу в соответствии с Постановлением ГКО от 12.04.</w:t>
      </w:r>
      <w:smartTag w:uri="urn:schemas-microsoft-com:office:smarttags" w:element="metricconverter">
        <w:smartTagPr>
          <w:attr w:name="ProductID" w:val="1945 г"/>
        </w:smartTagPr>
        <w:r w:rsidRPr="007224C3">
          <w:rPr>
            <w:rFonts w:ascii="Times New Roman" w:hAnsi="Times New Roman"/>
            <w:color w:val="000000" w:themeColor="text1"/>
            <w:sz w:val="16"/>
            <w:szCs w:val="16"/>
          </w:rPr>
          <w:t>1944 г</w:t>
        </w:r>
      </w:smartTag>
      <w:r w:rsidRPr="007224C3">
        <w:rPr>
          <w:rFonts w:ascii="Times New Roman" w:hAnsi="Times New Roman"/>
          <w:color w:val="000000" w:themeColor="text1"/>
          <w:sz w:val="16"/>
          <w:szCs w:val="16"/>
        </w:rPr>
        <w:t>. №5604 об организации изготовления штампованных металлических звеньев для взлетно-посадочных полос полевых аэродромов по американским образцам и техническим условиям НКСМ с началом их массового производства в прессовом и кузовном цехах с 1 июня 1944 года (15218).</w:t>
      </w:r>
    </w:p>
    <w:p w14:paraId="184077AF" w14:textId="77777777" w:rsidR="00F054E0" w:rsidRPr="007224C3" w:rsidRDefault="00F054E0" w:rsidP="007224C3">
      <w:pPr>
        <w:widowControl w:val="0"/>
        <w:spacing w:after="0" w:line="240" w:lineRule="auto"/>
        <w:jc w:val="both"/>
        <w:rPr>
          <w:rFonts w:ascii="Times New Roman" w:hAnsi="Times New Roman"/>
          <w:color w:val="000000" w:themeColor="text1"/>
          <w:sz w:val="16"/>
          <w:szCs w:val="16"/>
        </w:rPr>
      </w:pPr>
    </w:p>
    <w:p w14:paraId="7C3C21D4"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29EAB72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C80433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апреля 1944 г. было утверждено ЗАКЛЮЧЕНИЕ УСА ГБТУ КА ПО ОПЫТНОЙ КОМАНДИРСКОЙ БАШЕНКЕ ТАНКА Т-34 КОНСТРУКЦИИ ЗАВОДА №183</w:t>
      </w:r>
    </w:p>
    <w:p w14:paraId="4FA00AE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«Утверждаю»</w:t>
      </w:r>
    </w:p>
    <w:p w14:paraId="49CED29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УСА ГБТУ КА</w:t>
      </w:r>
    </w:p>
    <w:p w14:paraId="1E71340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генерал-майор инженерно-танковой службы Алымов</w:t>
      </w:r>
    </w:p>
    <w:p w14:paraId="77E50C1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«Утверждаю» Начальник ТУ ГБТУ КА</w:t>
      </w:r>
    </w:p>
    <w:p w14:paraId="290CABC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генерал-майор инженерно-танковой службы Афонин</w:t>
      </w:r>
    </w:p>
    <w:p w14:paraId="66262BA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Конструкция опытной командирской башенки танка Т-34 выполнена заводом №183 обтекаемой формы и свободно вращающейся на шариковой опоре крышей. Одна часть крыши башенки благо</w:t>
      </w:r>
      <w:r w:rsidRPr="007224C3">
        <w:rPr>
          <w:rFonts w:ascii="Times New Roman" w:hAnsi="Times New Roman"/>
          <w:color w:val="000000" w:themeColor="text1"/>
          <w:sz w:val="16"/>
          <w:szCs w:val="16"/>
        </w:rPr>
        <w:softHyphen/>
        <w:t>даря шарнирному соединению и наличию торсионов может легко открываться, во второй же не открывающейся части крыши установлен смотровой прибор МК-4.</w:t>
      </w:r>
    </w:p>
    <w:p w14:paraId="6166BC3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открывании крышки люка происходит автоматическое стопорение последней при помощи собачки и зуба, что позволяет удерживать крышку в открытом положении.</w:t>
      </w:r>
    </w:p>
    <w:p w14:paraId="3D4FED3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Запирание крышки люка производится посредством замка. При повороте специальной рукоят</w:t>
      </w:r>
      <w:r w:rsidRPr="007224C3">
        <w:rPr>
          <w:rFonts w:ascii="Times New Roman" w:hAnsi="Times New Roman"/>
          <w:color w:val="000000" w:themeColor="text1"/>
          <w:sz w:val="16"/>
          <w:szCs w:val="16"/>
        </w:rPr>
        <w:softHyphen/>
        <w:t>ки защелка замка полностью заходит в уступ на погоне башенки.</w:t>
      </w:r>
    </w:p>
    <w:p w14:paraId="3E4D13C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Стопорение крыши башенки в определенном положении (смотровой прибор МК-4 находится по ходу танка) производится посредством стопора, который под действием пружины заходит в свое гнездо на кольце погона.</w:t>
      </w:r>
    </w:p>
    <w:p w14:paraId="2DFC923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Расстопоривание крыши производится натяжением на себя за кольцо стопора.</w:t>
      </w:r>
    </w:p>
    <w:p w14:paraId="4D82D29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Обзор из командирской башенки осуществляется через пять смотровых щелей с призмами многократного отражения и перископический смотровой прибор типа МК-4. Смотровой прибор МК-4 может свободно вращаться вокруг своей вертикальной оси на 360° и качаться относительно горизонтальной оси на ±15°.</w:t>
      </w:r>
    </w:p>
    <w:p w14:paraId="2ED535E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Призмы многократного преломления вставляются в гнезда (смотровые щели) и удерживаются от продольного перемещения пластинчатыми пружинами.</w:t>
      </w:r>
    </w:p>
    <w:p w14:paraId="4480E8D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Между сегментами крыши и крышкой люка имеется уплотнительная резина, предохраняющая от проникновения воды внутрь танка.</w:t>
      </w:r>
    </w:p>
    <w:p w14:paraId="2071030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Таким образом, опытная командирская башенка отличается от серийной в основном следующим:</w:t>
      </w:r>
    </w:p>
    <w:p w14:paraId="2A8E009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В опытной башенке смотровой прибор МК-4 установлен в не открывающейся части крыши (сегменте), в отличие от серийной, где он расположен в открывающейся части крыши башенки, что приводит к частым его поломкам.</w:t>
      </w:r>
    </w:p>
    <w:p w14:paraId="24BA04B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В опытной башенке имеются торсионы, облегчающие командиру открывание крышки люка. У серийной — торсионов нет.</w:t>
      </w:r>
    </w:p>
    <w:p w14:paraId="0F53A21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Средствами наблюдения опытной башенки служат призмы многократного отражения, вставлен</w:t>
      </w:r>
      <w:r w:rsidRPr="007224C3">
        <w:rPr>
          <w:rFonts w:ascii="Times New Roman" w:hAnsi="Times New Roman"/>
          <w:color w:val="000000" w:themeColor="text1"/>
          <w:sz w:val="16"/>
          <w:szCs w:val="16"/>
        </w:rPr>
        <w:softHyphen/>
        <w:t>ные в смотровые щели, у серийной башенки для этой цели служат щели, защищенные триплексами.</w:t>
      </w:r>
    </w:p>
    <w:p w14:paraId="167F373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Обзорность у опытной башенки гораздо больше, чем у серийной, за счет наличия призм мно</w:t>
      </w:r>
      <w:r w:rsidRPr="007224C3">
        <w:rPr>
          <w:rFonts w:ascii="Times New Roman" w:hAnsi="Times New Roman"/>
          <w:color w:val="000000" w:themeColor="text1"/>
          <w:sz w:val="16"/>
          <w:szCs w:val="16"/>
        </w:rPr>
        <w:softHyphen/>
        <w:t>гократного отражения, обеспечивающих значительно большее поле зрения.</w:t>
      </w:r>
    </w:p>
    <w:p w14:paraId="2976C69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Внутренний диаметр опытной башенки больше, чем серийной на 10 мм.</w:t>
      </w:r>
    </w:p>
    <w:p w14:paraId="4CACBDB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Толщина крыши опытной башенки меньше, чем у серийной на 6 мм (14 мм у опытной против 20 мм у серийной).</w:t>
      </w:r>
    </w:p>
    <w:p w14:paraId="19F6AD7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Толщина основной литой брони опытной башенки больше, чем у серийной на 40 мм (90 мм у опытной против 50 мм у серийной).</w:t>
      </w:r>
    </w:p>
    <w:p w14:paraId="2769402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Диаметр шариков опоры вращающейся крыши опытной башенки больше шариков серийной башенки (16 мм у опытной против 12 мм у серийной). Выводы.</w:t>
      </w:r>
    </w:p>
    <w:p w14:paraId="0BCE685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Размер люка для посадки в танк командира недостаточный и составляет в диаметре 575 мм, по ширине — 340 мм, средняя ширина человека в зимней одежде 600-630 мм, это затруднит посадку командира в зимней одежде с личным оружием.</w:t>
      </w:r>
    </w:p>
    <w:p w14:paraId="088695F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Вероятность установки на крыше командирской башенки зенитного пулемета вызовет повы</w:t>
      </w:r>
      <w:r w:rsidRPr="007224C3">
        <w:rPr>
          <w:rFonts w:ascii="Times New Roman" w:hAnsi="Times New Roman"/>
          <w:color w:val="000000" w:themeColor="text1"/>
          <w:sz w:val="16"/>
          <w:szCs w:val="16"/>
        </w:rPr>
        <w:softHyphen/>
        <w:t>шенный износ и разбалтывание шариковой опоры в целом.</w:t>
      </w:r>
    </w:p>
    <w:p w14:paraId="2E34314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представленном проекте беговая дорожка для шариков, выполненная непосредственно в кор</w:t>
      </w:r>
      <w:r w:rsidRPr="007224C3">
        <w:rPr>
          <w:rFonts w:ascii="Times New Roman" w:hAnsi="Times New Roman"/>
          <w:color w:val="000000" w:themeColor="text1"/>
          <w:sz w:val="16"/>
          <w:szCs w:val="16"/>
        </w:rPr>
        <w:softHyphen/>
        <w:t>пусе башенки, усложнит реставрацию дорожки по мере ее износа.</w:t>
      </w:r>
    </w:p>
    <w:p w14:paraId="2354012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Расстояние от оси смотровой щели до крыши башенки недостаточное и составляет 130 мм, средний же размер по высоте головы человека (выше глаза) с надетым танковым шлемом составляет около 150 мм.</w:t>
      </w:r>
    </w:p>
    <w:p w14:paraId="68BD3F7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Это создает ненормальное положение глаза наблюдающего относительно смотровой щели. Голова наблюдающего в этом случае постоянно упирается в крышу башенки.</w:t>
      </w:r>
    </w:p>
    <w:p w14:paraId="3F395DB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Этот же недостаток отмечался у серийных командирских башенок.</w:t>
      </w:r>
    </w:p>
    <w:p w14:paraId="16CD6EB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Отсутствие козырьков над смотровыми щелями и слабая герметизация призм не обеспечива</w:t>
      </w:r>
      <w:r w:rsidRPr="007224C3">
        <w:rPr>
          <w:rFonts w:ascii="Times New Roman" w:hAnsi="Times New Roman"/>
          <w:color w:val="000000" w:themeColor="text1"/>
          <w:sz w:val="16"/>
          <w:szCs w:val="16"/>
        </w:rPr>
        <w:softHyphen/>
        <w:t>ет от проникновения внутрь машины воды и грязи.</w:t>
      </w:r>
    </w:p>
    <w:p w14:paraId="621CC9D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Выступающие концы торсионов затрудняют посадку командира через люк башенки. Однако предложенная конструкция смотровой башенки в сравнении со штатной имеет следую</w:t>
      </w:r>
      <w:r w:rsidRPr="007224C3">
        <w:rPr>
          <w:rFonts w:ascii="Times New Roman" w:hAnsi="Times New Roman"/>
          <w:color w:val="000000" w:themeColor="text1"/>
          <w:sz w:val="16"/>
          <w:szCs w:val="16"/>
        </w:rPr>
        <w:softHyphen/>
        <w:t>щие положительные стороны, подлежащие реализации:</w:t>
      </w:r>
    </w:p>
    <w:p w14:paraId="0577AD1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расположение прибора МК-4 в неподвижном сегменте крыши башенки исключает частый выход прибора из строя, имеющий место в штатных башенках;</w:t>
      </w:r>
    </w:p>
    <w:p w14:paraId="5B376A5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наличие торсиона на открывающейся части крыши башенки облегчает открывание крышки люка;</w:t>
      </w:r>
    </w:p>
    <w:p w14:paraId="77F6C35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наличие призм многократного отражения несколько повышает и улучшает обзорность из башен</w:t>
      </w:r>
      <w:r w:rsidRPr="007224C3">
        <w:rPr>
          <w:rFonts w:ascii="Times New Roman" w:hAnsi="Times New Roman"/>
          <w:color w:val="000000" w:themeColor="text1"/>
          <w:sz w:val="16"/>
          <w:szCs w:val="16"/>
        </w:rPr>
        <w:softHyphen/>
        <w:t>ки, но требует наличия призм изготовленных из высококачественного стекла и точной обработки.</w:t>
      </w:r>
    </w:p>
    <w:p w14:paraId="50B20FD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Заключение.</w:t>
      </w:r>
    </w:p>
    <w:p w14:paraId="5A15ABF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Заводу №183 необходимо пересмотреть чертежи опытной смотровой башенки танка Т-34 в направлении:</w:t>
      </w:r>
    </w:p>
    <w:p w14:paraId="0C72801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Увеличить диаметр командирской башенки на 25-30 мм, обеспечив посадку и выход команди</w:t>
      </w:r>
      <w:r w:rsidRPr="007224C3">
        <w:rPr>
          <w:rFonts w:ascii="Times New Roman" w:hAnsi="Times New Roman"/>
          <w:color w:val="000000" w:themeColor="text1"/>
          <w:sz w:val="16"/>
          <w:szCs w:val="16"/>
        </w:rPr>
        <w:softHyphen/>
        <w:t>ра в зимней одежде.</w:t>
      </w:r>
    </w:p>
    <w:p w14:paraId="1FA9B58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2. Разработать и изготовить два опытных образца башен, из которых: один со смотровыми щеля</w:t>
      </w:r>
      <w:r w:rsidRPr="007224C3">
        <w:rPr>
          <w:rFonts w:ascii="Times New Roman" w:hAnsi="Times New Roman"/>
          <w:color w:val="000000" w:themeColor="text1"/>
          <w:sz w:val="16"/>
          <w:szCs w:val="16"/>
        </w:rPr>
        <w:softHyphen/>
        <w:t>ми, прикрытыми серийными триплексами и прибором МК-4 в крыше, и второй без боковых щелей с прибором МК-4 в крыше.</w:t>
      </w:r>
    </w:p>
    <w:p w14:paraId="4CA5991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Первый образец должен иметь размер от оси щели до крыши башенки не менее 150 мм.</w:t>
      </w:r>
    </w:p>
    <w:p w14:paraId="07EFD9A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Второй образец башенки может иметь меньшую высоту, чем первый, необходимую для разме</w:t>
      </w:r>
      <w:r w:rsidRPr="007224C3">
        <w:rPr>
          <w:rFonts w:ascii="Times New Roman" w:hAnsi="Times New Roman"/>
          <w:color w:val="000000" w:themeColor="text1"/>
          <w:sz w:val="16"/>
          <w:szCs w:val="16"/>
        </w:rPr>
        <w:softHyphen/>
        <w:t>щения прибора МК-4 или нового оптического прибора командира с обеспечением минимального мертвого пространства при наблюдении.</w:t>
      </w:r>
    </w:p>
    <w:p w14:paraId="177DDFF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Обеспечить смотровые приборы от загрязнений снаружи и от протекания воды через их гнез</w:t>
      </w:r>
      <w:r w:rsidRPr="007224C3">
        <w:rPr>
          <w:rFonts w:ascii="Times New Roman" w:hAnsi="Times New Roman"/>
          <w:color w:val="000000" w:themeColor="text1"/>
          <w:sz w:val="16"/>
          <w:szCs w:val="16"/>
        </w:rPr>
        <w:softHyphen/>
        <w:t>да внутрь танка.</w:t>
      </w:r>
    </w:p>
    <w:p w14:paraId="5306E49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Устранить возможность задевания одеждой за концы торсионов при пользовании командир</w:t>
      </w:r>
      <w:r w:rsidRPr="007224C3">
        <w:rPr>
          <w:rFonts w:ascii="Times New Roman" w:hAnsi="Times New Roman"/>
          <w:color w:val="000000" w:themeColor="text1"/>
          <w:sz w:val="16"/>
          <w:szCs w:val="16"/>
        </w:rPr>
        <w:softHyphen/>
        <w:t>ским люком.</w:t>
      </w:r>
    </w:p>
    <w:p w14:paraId="4A7B91F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Ввиду того, что сейчас промышленность не может обеспечить танки качественными при</w:t>
      </w:r>
      <w:r w:rsidRPr="007224C3">
        <w:rPr>
          <w:rFonts w:ascii="Times New Roman" w:hAnsi="Times New Roman"/>
          <w:color w:val="000000" w:themeColor="text1"/>
          <w:sz w:val="16"/>
          <w:szCs w:val="16"/>
        </w:rPr>
        <w:softHyphen/>
        <w:t>змами многократного преломления, рекомендовать заводу №183 разработку смотровых башенок с указанными призмами временно прекратить.</w:t>
      </w:r>
    </w:p>
    <w:p w14:paraId="019AFA1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Обеспечить в первую очередь изготовление смотровых башенок танка Т-34 с учетом указанных выше замечаний.</w:t>
      </w:r>
    </w:p>
    <w:p w14:paraId="3179CE0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3 отдела УСА ГБТУ КА инженер-подполковник Ковалев</w:t>
      </w:r>
    </w:p>
    <w:p w14:paraId="28E2A65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Помощник начальника ТУ ГБТУ КА гвардии полковник Кульчицкий</w:t>
      </w:r>
    </w:p>
    <w:p w14:paraId="1A13050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38. Оп. 11369. Д. 483. Л. 82-84. Копия (11403).</w:t>
      </w:r>
    </w:p>
    <w:p w14:paraId="66B46A9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26B10C5"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апреля 1944 года вышел приказ № 195с НКБ</w:t>
      </w:r>
    </w:p>
    <w:p w14:paraId="506F1DCC"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 исполнение распоряжения СНК за № 8381рс от 14 апреля 1944 года “О выделении из завода № 80 химических производств в самостоятельный завод с собственной энергетической и ремонтно-механической базами” (6014, 45).</w:t>
      </w:r>
    </w:p>
    <w:p w14:paraId="51D6F8D8"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F15593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апреля 1944 года в соответствии с приказом наркома боеприпасов за № 195-с завод № 80 разделен на два самостоятельных завода:</w:t>
      </w:r>
    </w:p>
    <w:p w14:paraId="310CC8FC" w14:textId="77777777" w:rsidR="00595BFB" w:rsidRPr="007224C3" w:rsidRDefault="00595BFB" w:rsidP="007224C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Снаряжательный завод.</w:t>
      </w:r>
    </w:p>
    <w:p w14:paraId="528726E4" w14:textId="77777777" w:rsidR="00595BFB" w:rsidRPr="007224C3" w:rsidRDefault="00595BFB" w:rsidP="007224C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Химический завод (производство взрывчатых веществ и кислот) (10213).</w:t>
      </w:r>
    </w:p>
    <w:p w14:paraId="25EBCD46" w14:textId="77777777" w:rsidR="00595BFB" w:rsidRPr="007224C3" w:rsidRDefault="00595BFB" w:rsidP="007224C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622EC51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апреля 1944 вышло Распоряжение ГКО № 5700. О мобилизации в Татарской АССР 120 сельских жителей на торфопредприятие при заводе № 237 НКВ. РГАНИР, Фонд ГКО, д. 241, лл. 195 (11012).</w:t>
      </w:r>
    </w:p>
    <w:p w14:paraId="374C6C0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9D8625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апреля 1944 вышло Постановление ГКО № 5701 О плане распределения острого пара, отпускаемого электростанциями Наркомата электростанций для технологических нужд промышленных предприятий на II квартал 1944 года. РГАНИР, Фонд ГКО, д. 241, лл. 196,197-198 (11012).</w:t>
      </w:r>
    </w:p>
    <w:p w14:paraId="4D4186B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5DAC00C"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апреля 1944 вышло Постановление ГКО № 5702 Об экскаваторах для водного хозяйства Казахской ССР. (7219, 199).</w:t>
      </w:r>
    </w:p>
    <w:p w14:paraId="14067FD4"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86297F8"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596CE88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22137F1" w14:textId="77777777" w:rsidR="00F054E0" w:rsidRPr="007224C3" w:rsidRDefault="00F054E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апреля в 1944 году оперативная сводка Совинформбюро:</w:t>
      </w:r>
    </w:p>
    <w:p w14:paraId="0F6BFB89" w14:textId="77777777" w:rsidR="00F054E0" w:rsidRPr="007224C3" w:rsidRDefault="00F054E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22 апреля на фронтах существенных изменений не произошло.</w:t>
      </w:r>
    </w:p>
    <w:p w14:paraId="3C9D6839" w14:textId="77777777" w:rsidR="00F054E0" w:rsidRPr="007224C3" w:rsidRDefault="00F054E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21 апреля наши войска на всех фронтах подбили и уничтожили 87 немецких танков. В воздушных боях и огнём зенитной артиллерии сбито 54 самолета противника.».</w:t>
      </w:r>
    </w:p>
    <w:p w14:paraId="7DB4280C" w14:textId="77777777" w:rsidR="00F054E0" w:rsidRPr="007224C3" w:rsidRDefault="00F054E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Бомбардировка нашей авиацией сланцеперегоночных заводов в Эстонии</w:t>
      </w:r>
    </w:p>
    <w:p w14:paraId="0371504B" w14:textId="77777777" w:rsidR="00F054E0" w:rsidRPr="007224C3" w:rsidRDefault="00F054E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ночь на 22 апреля наша авиация дальнего действия бомбардироваласланцеперегоночные заводы в районе посёлков Кохтла-Ярве и Силламяэ (ЭстонскаяССР). Прямыми попаданиями бомб вызваны пожары, сопровождавшиеся несколькимивзрывами. Большая часть территории сланцеперегоночных заводов была охвачена огнём.</w:t>
      </w:r>
    </w:p>
    <w:p w14:paraId="2D221182" w14:textId="77777777" w:rsidR="00F054E0" w:rsidRPr="007224C3" w:rsidRDefault="00F054E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Один наш самолёт не вернулся на свой аэродром.».</w:t>
      </w:r>
    </w:p>
    <w:p w14:paraId="0F066DEA" w14:textId="77777777" w:rsidR="00F054E0" w:rsidRPr="007224C3" w:rsidRDefault="00F054E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города Нарва немцы дважды пытались атаковать наши позиции. Танки и пехота противника были встречены артиллерийским и миномётным огнём. Не достигнув переднего края, немцы были вынуждены отойти, потеряв убитыми до 300 своих солдат и офицеров. Перед нашими позициями осталось 7 сгоревших танков и 3 бронетранспортера противника.</w:t>
      </w:r>
    </w:p>
    <w:p w14:paraId="04B35AA4" w14:textId="77777777" w:rsidR="00F054E0" w:rsidRPr="007224C3" w:rsidRDefault="00F054E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Наши лётчики в воздушных боях в течение дня сбили 25 немецких самолётов, из них 18 бомбардировщиков. Кроме того, огнём зенитной артиллерии уничтожено 3 самолёта противника.</w:t>
      </w:r>
    </w:p>
    <w:p w14:paraId="6FA8F4A1" w14:textId="77777777" w:rsidR="00F054E0" w:rsidRPr="007224C3" w:rsidRDefault="00F054E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юго-востоку от города Станислав батальон немецкой пехоты пытался занять одну высоту. Советские бойцы контратакой отбросили противника, уничтожив при этом свыше 200 гитлеровцев. Захвачено 2 противотанковых орудия, 160 винтовок и автоматов. Взяты пленные. В другом районе артиллеристы-гвардейцы части, которой командует Герой Советского Союза полковник Петрунин, отражая атаку противника, подбили 2 танка типа «Тигр» и 4 средних немецких танка.</w:t>
      </w:r>
    </w:p>
    <w:p w14:paraId="3FBDC763" w14:textId="77777777" w:rsidR="00F054E0" w:rsidRPr="007224C3" w:rsidRDefault="00F054E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3-м Украинском фронте гвардии красноармейцы тт. Калиновский, Зверев иШнурков во главе с гвардии лейтенантом Тырко пробрались в село, занятое противником. Наши бойцы внезапно напали на врага и в короткой схватке убили 30 гитлеровцев. Оставшиеся в живых немцы бросились бежать и нарвались на находившуюся в засаде группу разведчиков. Встретив противника метким огнём, советские разведчики истребили 68 немецких солдат и офицеров. Захвачен в плен командир немецкого батальона.</w:t>
      </w:r>
    </w:p>
    <w:p w14:paraId="6E970764" w14:textId="77777777" w:rsidR="00F054E0" w:rsidRPr="007224C3" w:rsidRDefault="00F054E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Авиацией Черноморского флота потоплены быстроходная десантная баржа, сторожевой катер и транспорт противника водоизмещением в 2.000 тонн.</w:t>
      </w:r>
    </w:p>
    <w:p w14:paraId="33036CC8" w14:textId="77777777" w:rsidR="00F054E0" w:rsidRPr="007224C3" w:rsidRDefault="00F054E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Лётчики Краснознамённого Балтийского флота потопили одну быстроходную десантную баржу и повредили тральщик противника.</w:t>
      </w:r>
    </w:p>
    <w:p w14:paraId="25710C66" w14:textId="77777777" w:rsidR="00F054E0" w:rsidRPr="007224C3" w:rsidRDefault="00F054E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Немецкое командование направило против партизан, действующих в одном районе Минской области, крупную карательную экспедицию. Советские патриоты устроили засады у дороги, по которой двигались гитлеровцы, и внезапно напали на карателей. В ожесточённом бою партизаны истребили до роты немецкой пехоты.</w:t>
      </w:r>
    </w:p>
    <w:p w14:paraId="7CF5736D" w14:textId="77777777" w:rsidR="00F054E0" w:rsidRPr="007224C3" w:rsidRDefault="00F054E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Взятый в плен в Крыму в районе Карасубазар командир боевой группы 3 румынской горно-стрелковой дивизии подполковник Димитриу рассказал: «В мою боевую группу входили три батальона. Группа была подчинена 98 немецкой пехотной дивизии. Я получил из штаба дивизии приказ прикрывать отход немцев на новый оборонительныйрубеж. Немцы не сумели закрепиться на новых позициях, и румынские батальоны отходили очень поспешно, а русские преследовали нас по пятам. В воздухе непрерывно висели советские самолёты. Это был ад кромешный. Утром 11 апреля началась дикая паника. Солдаты, обезумевшие от страха, побросали военное имущество, вооружение и бежали группами и в одиночку. Русские самолётыо бстреливали нас с высоты 30-40 метров. Солдаты и офицеры забирались в укрытия, дожидались прихода русских и сдавались в плен. За два дня я растерял всех моих солдат и офицеров. В каком-то селе около Карасубазара русские танкисты настигли нас и захватили в плен. По дороге в лагерь для военнопленных я встретил более500 солдат моих батальонов и многих офицеров. Операция по разгрому немецко-румынской группировки в Крыму была организована и проведена русскими блестяще. Разумеется, мы, офицеры, знали, что крымская группировка немецко-румынских войск обречена, и были готовы ко всему. Однако действительность превзошла все наши предположения».</w:t>
      </w:r>
    </w:p>
    <w:p w14:paraId="6F5A1CA6" w14:textId="77777777" w:rsidR="00F054E0" w:rsidRPr="007224C3" w:rsidRDefault="00F054E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Заместитель председателя Симферопольского городского совета т. Качка, жители города Симферополь тт. Лаврентьева, Зеленицкая, Чурилова и Шабания сообщили: «Немецко-фашистские мерзавцы превратили совхоз «Красный», расположенный в пяти километрах от Симферополя, в концлагерь для мирных советских граждан. Начальник концлагеря Шпекман, комендант Краузе и гестаповец Аппель творили зверскую расправу над женщинами, стариками и детьми. За два с лишним года гитлеровцы замучили и расстреляли много тысяч советских людей. Массовые казни происходили на пятой ферме совхоза «Красный» и в балке Дубки. Так, в октябре прошлого года гитлеровские изверги расстреляли в совхозе 300 мирных жителей Симферополя. Фашистские палачи свезли трупы расстрелянных в поле, сложили в штабеля, облили бензином и сожгли. В последнее время в фашистском застенке томилось 400 советских граждан. Перед отступлением немецкая охрана лагеря расстреляла всех заключённых. Чтобы замести следы своих зверств, фашистские дикари сожгли лагерь. Однако остались живые свидетели, осталась балка Дубки, где похоронены жертвы фашистского террора» (15107).</w:t>
      </w:r>
    </w:p>
    <w:p w14:paraId="6F09F67A" w14:textId="77777777" w:rsidR="00F054E0" w:rsidRPr="007224C3" w:rsidRDefault="00F054E0" w:rsidP="007224C3">
      <w:pPr>
        <w:spacing w:after="0" w:line="240" w:lineRule="auto"/>
        <w:jc w:val="both"/>
        <w:rPr>
          <w:rFonts w:ascii="Times New Roman" w:hAnsi="Times New Roman"/>
          <w:color w:val="000000" w:themeColor="text1"/>
          <w:sz w:val="16"/>
          <w:szCs w:val="16"/>
        </w:rPr>
      </w:pPr>
    </w:p>
    <w:p w14:paraId="6C418EFE" w14:textId="77777777" w:rsidR="004543A8" w:rsidRPr="007224C3" w:rsidRDefault="004543A8" w:rsidP="007224C3">
      <w:pPr>
        <w:pStyle w:val="ae"/>
        <w:spacing w:before="0" w:after="0"/>
        <w:jc w:val="both"/>
        <w:textAlignment w:val="baseline"/>
        <w:rPr>
          <w:color w:val="000000" w:themeColor="text1"/>
          <w:sz w:val="16"/>
          <w:szCs w:val="16"/>
        </w:rPr>
      </w:pPr>
      <w:r w:rsidRPr="007224C3">
        <w:rPr>
          <w:color w:val="000000" w:themeColor="text1"/>
          <w:sz w:val="16"/>
          <w:szCs w:val="16"/>
        </w:rPr>
        <w:t>22 апреля 1944 24 Ил-2 из 47-го шап и 23 Ила из 8-го гв. шап участвовали в массированной атаке немецко-румынского конвоя, шедшего в Севастополь. В результате был поврежден танкер «Оссаг» тоннажем 2800 брт. Затем 10 мая «горбатые» атаковали суда, завершавшие эвакуацию немецких и румынских войск из Севастополя. Совместно с бомбардировщиками они тогда сумели потопить крупные транспорты «Тейя» и «Тотила» (19522).</w:t>
      </w:r>
    </w:p>
    <w:p w14:paraId="2A179D09" w14:textId="77777777" w:rsidR="004543A8" w:rsidRPr="007224C3" w:rsidRDefault="004543A8" w:rsidP="007224C3">
      <w:pPr>
        <w:pStyle w:val="ae"/>
        <w:spacing w:before="0" w:after="0"/>
        <w:jc w:val="both"/>
        <w:textAlignment w:val="baseline"/>
        <w:rPr>
          <w:color w:val="000000" w:themeColor="text1"/>
          <w:sz w:val="16"/>
          <w:szCs w:val="16"/>
        </w:rPr>
      </w:pPr>
    </w:p>
    <w:p w14:paraId="66F0385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апреля 1944 был первый случай применения Ил-2 топмачтовиков на ЧФ при ударе по конвою в 35 км на юг от Балаклавы. Топмачтовики потопили 3 из 3 (1085,181).</w:t>
      </w:r>
    </w:p>
    <w:p w14:paraId="28AF165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F7BC5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апреля 1944 на ЧФ наносился удар Ил-2 по конвою из трех транспортов, трех торпедных и одного сторожевого катера. Первая группа из 13 Ил-2, в т.ч. 9 Ил-2 пикировщиков и 4 топмачтовика. Во второй группе - 18 - 12 и 6. Для обеспечения был привлечен 21 Ил-2 или 70% всего наряда сил. Потопили 2 транспорта и один катер. В тот же день по другому конвою действовало 12 А-20, в т.ч. 3 топмачтовика. Потопили три транспорта (4414,10).</w:t>
      </w:r>
    </w:p>
    <w:p w14:paraId="3E009E0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BA951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22 апреля 1944 "Бостоны" потопили транспорт "Оссаг" и тральщик КТ-26, через два дня- лихтер "Лео" (3457,106).</w:t>
      </w:r>
    </w:p>
    <w:p w14:paraId="68F7199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9E1F41"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Внешняя политика:</w:t>
      </w:r>
    </w:p>
    <w:p w14:paraId="4F21F98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56F5024"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апреля 1944 Финляндия прервала переговоры с СССР о перемирии, назвав советские условия неприемлемыми (4962).</w:t>
      </w:r>
    </w:p>
    <w:p w14:paraId="7A625E93"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AD32404" w14:textId="77777777" w:rsidR="00F054E0" w:rsidRPr="007224C3" w:rsidRDefault="00F054E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апреля в 1944 году заявление правительства СССР о советско-финских отношениях (15107).</w:t>
      </w:r>
    </w:p>
    <w:p w14:paraId="0119759D" w14:textId="77777777" w:rsidR="00F054E0" w:rsidRPr="007224C3" w:rsidRDefault="00F054E0" w:rsidP="007224C3">
      <w:pPr>
        <w:spacing w:after="0" w:line="240" w:lineRule="auto"/>
        <w:jc w:val="both"/>
        <w:rPr>
          <w:rFonts w:ascii="Times New Roman" w:hAnsi="Times New Roman"/>
          <w:color w:val="000000" w:themeColor="text1"/>
          <w:sz w:val="16"/>
          <w:szCs w:val="16"/>
        </w:rPr>
      </w:pPr>
    </w:p>
    <w:p w14:paraId="48C1B870"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4ACD879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9D693AD" w14:textId="77777777" w:rsidR="00F054E0" w:rsidRPr="007224C3" w:rsidRDefault="00F054E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апреля в 1944 году немецкий лётчик истребитель Гейнц Бэр (Heinz Baer), сбив «В-26» «Marauder», добился своей 200-й победы. Всего совершил около 1000 боевых вылетов, побед всего – 220, из них: 79 - Восточный фронт, 45 - Северная Африка и Средиземноморье, 4 - Франция, 13 - "Битва за Англию" и 83 - Западный фронт (в том числе 21 сбитый моторный 4-х моторный бомбардировщик «B-17» и «B-24», 16 побед на «Me.262»). Награжден «Рыцарским Крестом с дубовыми листьями и мечами» («Ritterkreuz des Eisernen Kreuzes mit detn Eichenlaub mit Schwertern»)</w:t>
      </w:r>
    </w:p>
    <w:p w14:paraId="47EC310F" w14:textId="77777777" w:rsidR="00F054E0" w:rsidRPr="007224C3" w:rsidRDefault="00F054E0" w:rsidP="007224C3">
      <w:pPr>
        <w:spacing w:after="0" w:line="240" w:lineRule="auto"/>
        <w:jc w:val="both"/>
        <w:rPr>
          <w:rFonts w:ascii="Times New Roman" w:hAnsi="Times New Roman"/>
          <w:color w:val="000000" w:themeColor="text1"/>
          <w:sz w:val="16"/>
          <w:szCs w:val="16"/>
        </w:rPr>
      </w:pPr>
    </w:p>
    <w:p w14:paraId="1BA4A9D4" w14:textId="77777777" w:rsidR="00301BB3" w:rsidRPr="007224C3" w:rsidRDefault="00301BB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22–23 апреля (ночь) 1944 596 британских бомбардировщиков атаковали Дюссельдорф, Германия, сбросив 2185 метрических тонн бомб и нанеся большой урон северной части города. Немецкие ночные истребители перехватывают их, и 29 бомбардировщиков (4,9% сил) потеряны (20373).</w:t>
      </w:r>
    </w:p>
    <w:p w14:paraId="1713E523" w14:textId="77777777" w:rsidR="00301BB3" w:rsidRPr="007224C3" w:rsidRDefault="00301BB3" w:rsidP="007224C3">
      <w:pPr>
        <w:spacing w:after="0" w:line="240" w:lineRule="auto"/>
        <w:jc w:val="both"/>
        <w:rPr>
          <w:rFonts w:ascii="Times New Roman" w:hAnsi="Times New Roman"/>
          <w:color w:val="0070C0"/>
          <w:sz w:val="16"/>
          <w:szCs w:val="16"/>
        </w:rPr>
      </w:pPr>
    </w:p>
    <w:p w14:paraId="714A2F40" w14:textId="77777777" w:rsidR="00301BB3" w:rsidRPr="007224C3" w:rsidRDefault="00301BB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22–23 апреля (ночь) 1944 265 британских бомбардировщиков атакуют Брауншвег, Германия. Впервые низкоуровневое целеуказание используется против крупного немецкого города, но налет не имеет успеха, потому что низкие облака закрывают видимость для целеуказателей, и только некоторые бомбардировщики попадают в центр города. Немногочисленные немецкие ночные истребители перехватывают налет, но только четыре бомбардировщика (1,5 процента сил) потеряны (20373).</w:t>
      </w:r>
    </w:p>
    <w:p w14:paraId="4603ABA7" w14:textId="77777777" w:rsidR="00301BB3" w:rsidRPr="007224C3" w:rsidRDefault="00301BB3" w:rsidP="007224C3">
      <w:pPr>
        <w:spacing w:after="0" w:line="240" w:lineRule="auto"/>
        <w:jc w:val="both"/>
        <w:rPr>
          <w:rFonts w:ascii="Times New Roman" w:hAnsi="Times New Roman"/>
          <w:color w:val="0070C0"/>
          <w:sz w:val="16"/>
          <w:szCs w:val="16"/>
        </w:rPr>
      </w:pPr>
    </w:p>
    <w:p w14:paraId="15DCF3D2" w14:textId="77777777" w:rsidR="00301BB3" w:rsidRPr="007224C3" w:rsidRDefault="00301BB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22–23 апреля (ночь) 1944 181 британский бомбардировщик атаковал железнодорожные станции в Лаоне, Франция, нанеся серьезные повреждения. Девять бомбардировщиков (5 процентов сил) потеряны (20373).</w:t>
      </w:r>
    </w:p>
    <w:p w14:paraId="58828412" w14:textId="77777777" w:rsidR="00301BB3" w:rsidRPr="007224C3" w:rsidRDefault="00301BB3" w:rsidP="007224C3">
      <w:pPr>
        <w:spacing w:after="0" w:line="240" w:lineRule="auto"/>
        <w:jc w:val="both"/>
        <w:rPr>
          <w:rFonts w:ascii="Times New Roman" w:hAnsi="Times New Roman"/>
          <w:color w:val="0070C0"/>
          <w:sz w:val="16"/>
          <w:szCs w:val="16"/>
        </w:rPr>
      </w:pPr>
    </w:p>
    <w:p w14:paraId="4B22E4CA" w14:textId="77777777" w:rsidR="00F054E0" w:rsidRPr="007224C3" w:rsidRDefault="00F054E0" w:rsidP="007224C3">
      <w:pPr>
        <w:shd w:val="clear" w:color="auto" w:fill="FFFFFF"/>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апреля 1944 года в Бирме произошло первое применение вертолёта американскими ВВС в боевых условиях. Вертолёт Sikorsky YR-4B под управлением лейтенанта Картера Хартмана принял участие в поисково-спасательной операции. Днём ранее японцы сбили спасательный самолёт Stinson L-1 Vigilant с американским пилотом и тремя ранеными британскими солдатами на борту, и Хартман эвакуировал всех их. Из-за небольшого размера кабины вертолёта спасённых военнослужащих пришлось перевозить в безопасное место по одному.</w:t>
      </w:r>
    </w:p>
    <w:p w14:paraId="14AFF925" w14:textId="77777777" w:rsidR="00F054E0" w:rsidRPr="007224C3" w:rsidRDefault="00F054E0" w:rsidP="007224C3">
      <w:pPr>
        <w:shd w:val="clear" w:color="auto" w:fill="FFFFFF"/>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Вертолёт YR-4B был одной из модификаций первого в мире серийного вертолёта Sikorsky R-4. Эти машины использовались вооружёнными силами США и Великобритании. Всего был построен 131 вертолёт R-4 в различных версиях. Вертолёт полной массой около 1,2 тонн оснащался двигателем мощностью 165–200 л.с., имел дальность полёта около 200 км и максимальную скорость до 120 км/ч (15109).</w:t>
      </w:r>
    </w:p>
    <w:p w14:paraId="3DF5B92A" w14:textId="77777777" w:rsidR="00F054E0" w:rsidRPr="007224C3" w:rsidRDefault="00F054E0" w:rsidP="007224C3">
      <w:pPr>
        <w:pStyle w:val="ae"/>
        <w:shd w:val="clear" w:color="auto" w:fill="FFFFFF"/>
        <w:spacing w:before="0" w:after="0"/>
        <w:jc w:val="both"/>
        <w:rPr>
          <w:iCs/>
          <w:color w:val="000000" w:themeColor="text1"/>
          <w:sz w:val="16"/>
          <w:szCs w:val="16"/>
        </w:rPr>
      </w:pPr>
    </w:p>
    <w:p w14:paraId="33E683D9" w14:textId="77777777" w:rsidR="00301BB3" w:rsidRPr="007224C3" w:rsidRDefault="00301BB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22–23 апреля 1944 самолеты восьми авианосцев сопровождения ВМС США поддерживают высадку десанта в Голландии (20373).</w:t>
      </w:r>
    </w:p>
    <w:p w14:paraId="2D5CE124" w14:textId="77777777" w:rsidR="00301BB3" w:rsidRPr="007224C3" w:rsidRDefault="00301BB3" w:rsidP="007224C3">
      <w:pPr>
        <w:spacing w:after="0" w:line="240" w:lineRule="auto"/>
        <w:jc w:val="both"/>
        <w:rPr>
          <w:rFonts w:ascii="Times New Roman" w:hAnsi="Times New Roman"/>
          <w:color w:val="0070C0"/>
          <w:sz w:val="16"/>
          <w:szCs w:val="16"/>
        </w:rPr>
      </w:pPr>
    </w:p>
    <w:p w14:paraId="16CD46F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апреля 1944 в юго-западной части ТО американские войска высадились в районах Эйтапе и Голландия, а также на Новой Гвинее. Полностью освободили 5 мая (3907,248).</w:t>
      </w:r>
    </w:p>
    <w:p w14:paraId="5C2943B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184562"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5C2AA26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AA4650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апреля 1944 была подготовлена Справка о работах, представленных НКАП на соискание Сталинских премий за 1943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085"/>
        <w:gridCol w:w="1701"/>
        <w:gridCol w:w="1364"/>
        <w:gridCol w:w="1364"/>
      </w:tblGrid>
      <w:tr w:rsidR="005106D0" w:rsidRPr="007224C3" w14:paraId="08C47DA8" w14:textId="77777777">
        <w:tc>
          <w:tcPr>
            <w:tcW w:w="3085" w:type="dxa"/>
          </w:tcPr>
          <w:p w14:paraId="3FC4150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Фамилии, представленных</w:t>
            </w:r>
          </w:p>
        </w:tc>
        <w:tc>
          <w:tcPr>
            <w:tcW w:w="1701" w:type="dxa"/>
          </w:tcPr>
          <w:p w14:paraId="6066BD4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какую работу</w:t>
            </w:r>
          </w:p>
        </w:tc>
        <w:tc>
          <w:tcPr>
            <w:tcW w:w="1364" w:type="dxa"/>
          </w:tcPr>
          <w:p w14:paraId="6079091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Решение</w:t>
            </w:r>
          </w:p>
        </w:tc>
        <w:tc>
          <w:tcPr>
            <w:tcW w:w="1364" w:type="dxa"/>
          </w:tcPr>
          <w:p w14:paraId="1E5D9FB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Примечание</w:t>
            </w:r>
          </w:p>
        </w:tc>
      </w:tr>
      <w:tr w:rsidR="005106D0" w:rsidRPr="007224C3" w14:paraId="1C090E35" w14:textId="77777777">
        <w:tc>
          <w:tcPr>
            <w:tcW w:w="3085" w:type="dxa"/>
          </w:tcPr>
          <w:p w14:paraId="7515518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работников</w:t>
            </w:r>
          </w:p>
        </w:tc>
        <w:tc>
          <w:tcPr>
            <w:tcW w:w="1701" w:type="dxa"/>
          </w:tcPr>
          <w:p w14:paraId="4DE5640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представлены</w:t>
            </w:r>
          </w:p>
        </w:tc>
        <w:tc>
          <w:tcPr>
            <w:tcW w:w="1364" w:type="dxa"/>
          </w:tcPr>
          <w:p w14:paraId="743C805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комитета</w:t>
            </w:r>
          </w:p>
        </w:tc>
        <w:tc>
          <w:tcPr>
            <w:tcW w:w="1364" w:type="dxa"/>
          </w:tcPr>
          <w:p w14:paraId="5013A0B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12C8CF3" w14:textId="77777777">
        <w:tc>
          <w:tcPr>
            <w:tcW w:w="3085" w:type="dxa"/>
          </w:tcPr>
          <w:p w14:paraId="2272C18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1-я премия по изобретательству</w:t>
            </w:r>
          </w:p>
        </w:tc>
        <w:tc>
          <w:tcPr>
            <w:tcW w:w="1701" w:type="dxa"/>
          </w:tcPr>
          <w:p w14:paraId="2777FDD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64" w:type="dxa"/>
          </w:tcPr>
          <w:p w14:paraId="4151DCC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64" w:type="dxa"/>
          </w:tcPr>
          <w:p w14:paraId="7C8E7BB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FE7663D" w14:textId="77777777">
        <w:tc>
          <w:tcPr>
            <w:tcW w:w="3085" w:type="dxa"/>
          </w:tcPr>
          <w:p w14:paraId="2527F0C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Яковлев А.С.</w:t>
            </w:r>
          </w:p>
        </w:tc>
        <w:tc>
          <w:tcPr>
            <w:tcW w:w="1701" w:type="dxa"/>
          </w:tcPr>
          <w:p w14:paraId="084C424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с-ты: Як-3 с</w:t>
            </w:r>
          </w:p>
        </w:tc>
        <w:tc>
          <w:tcPr>
            <w:tcW w:w="1364" w:type="dxa"/>
          </w:tcPr>
          <w:p w14:paraId="70988B0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64" w:type="dxa"/>
          </w:tcPr>
          <w:p w14:paraId="271A883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B0A5804" w14:textId="77777777">
        <w:tc>
          <w:tcPr>
            <w:tcW w:w="3085" w:type="dxa"/>
          </w:tcPr>
          <w:p w14:paraId="2B4A12F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53C681A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М-105ПФ и Як-9У</w:t>
            </w:r>
          </w:p>
        </w:tc>
        <w:tc>
          <w:tcPr>
            <w:tcW w:w="1364" w:type="dxa"/>
          </w:tcPr>
          <w:p w14:paraId="016870B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64" w:type="dxa"/>
          </w:tcPr>
          <w:p w14:paraId="1EB89A7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58D6716" w14:textId="77777777">
        <w:tc>
          <w:tcPr>
            <w:tcW w:w="3085" w:type="dxa"/>
          </w:tcPr>
          <w:p w14:paraId="46DF6AC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04113EC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М-107А</w:t>
            </w:r>
          </w:p>
        </w:tc>
        <w:tc>
          <w:tcPr>
            <w:tcW w:w="1364" w:type="dxa"/>
          </w:tcPr>
          <w:p w14:paraId="24A1797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Утвердить</w:t>
            </w:r>
          </w:p>
        </w:tc>
        <w:tc>
          <w:tcPr>
            <w:tcW w:w="1364" w:type="dxa"/>
          </w:tcPr>
          <w:p w14:paraId="61BC72C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6566C7A" w14:textId="77777777">
        <w:tc>
          <w:tcPr>
            <w:tcW w:w="3085" w:type="dxa"/>
          </w:tcPr>
          <w:p w14:paraId="6CB8827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Лавочкин С.А.</w:t>
            </w:r>
          </w:p>
        </w:tc>
        <w:tc>
          <w:tcPr>
            <w:tcW w:w="1701" w:type="dxa"/>
          </w:tcPr>
          <w:p w14:paraId="7D7125E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с-ты: Ла-5 с</w:t>
            </w:r>
          </w:p>
        </w:tc>
        <w:tc>
          <w:tcPr>
            <w:tcW w:w="1364" w:type="dxa"/>
          </w:tcPr>
          <w:p w14:paraId="78C71A4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64" w:type="dxa"/>
          </w:tcPr>
          <w:p w14:paraId="094710A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4E38650" w14:textId="77777777">
        <w:tc>
          <w:tcPr>
            <w:tcW w:w="3085" w:type="dxa"/>
          </w:tcPr>
          <w:p w14:paraId="3C8C325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6973883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М-82ФН, Ла-5 с</w:t>
            </w:r>
          </w:p>
        </w:tc>
        <w:tc>
          <w:tcPr>
            <w:tcW w:w="1364" w:type="dxa"/>
          </w:tcPr>
          <w:p w14:paraId="103DC60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64" w:type="dxa"/>
          </w:tcPr>
          <w:p w14:paraId="2CE2D3C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0D04473" w14:textId="77777777">
        <w:tc>
          <w:tcPr>
            <w:tcW w:w="3085" w:type="dxa"/>
          </w:tcPr>
          <w:p w14:paraId="77A458B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76EB6FE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М-71 и Ла-5 УТИ</w:t>
            </w:r>
          </w:p>
        </w:tc>
        <w:tc>
          <w:tcPr>
            <w:tcW w:w="1364" w:type="dxa"/>
          </w:tcPr>
          <w:p w14:paraId="413065C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Утвердить</w:t>
            </w:r>
          </w:p>
        </w:tc>
        <w:tc>
          <w:tcPr>
            <w:tcW w:w="1364" w:type="dxa"/>
          </w:tcPr>
          <w:p w14:paraId="78BC748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премию</w:t>
            </w:r>
          </w:p>
        </w:tc>
      </w:tr>
      <w:tr w:rsidR="005106D0" w:rsidRPr="007224C3" w14:paraId="0354081B" w14:textId="77777777">
        <w:tc>
          <w:tcPr>
            <w:tcW w:w="3085" w:type="dxa"/>
          </w:tcPr>
          <w:p w14:paraId="00DEDA1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Ермолаев В.Г.</w:t>
            </w:r>
          </w:p>
        </w:tc>
        <w:tc>
          <w:tcPr>
            <w:tcW w:w="1701" w:type="dxa"/>
          </w:tcPr>
          <w:p w14:paraId="0061E7B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с-т: Ер-2 с</w:t>
            </w:r>
          </w:p>
        </w:tc>
        <w:tc>
          <w:tcPr>
            <w:tcW w:w="1364" w:type="dxa"/>
          </w:tcPr>
          <w:p w14:paraId="47025FB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64" w:type="dxa"/>
          </w:tcPr>
          <w:p w14:paraId="411FFDA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6483CF9" w14:textId="77777777">
        <w:tc>
          <w:tcPr>
            <w:tcW w:w="3085" w:type="dxa"/>
          </w:tcPr>
          <w:p w14:paraId="49C7AC0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0C1E850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моторами М-30Б</w:t>
            </w:r>
          </w:p>
        </w:tc>
        <w:tc>
          <w:tcPr>
            <w:tcW w:w="1364" w:type="dxa"/>
          </w:tcPr>
          <w:p w14:paraId="09E2F04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Утвердить</w:t>
            </w:r>
          </w:p>
        </w:tc>
        <w:tc>
          <w:tcPr>
            <w:tcW w:w="1364" w:type="dxa"/>
          </w:tcPr>
          <w:p w14:paraId="6229BD1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EB50CA9" w14:textId="77777777">
        <w:tc>
          <w:tcPr>
            <w:tcW w:w="3085" w:type="dxa"/>
          </w:tcPr>
          <w:p w14:paraId="4C5814F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Швецов А.Д.</w:t>
            </w:r>
          </w:p>
        </w:tc>
        <w:tc>
          <w:tcPr>
            <w:tcW w:w="1701" w:type="dxa"/>
          </w:tcPr>
          <w:p w14:paraId="6A283E6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мотор М-82ФН</w:t>
            </w:r>
          </w:p>
        </w:tc>
        <w:tc>
          <w:tcPr>
            <w:tcW w:w="1364" w:type="dxa"/>
          </w:tcPr>
          <w:p w14:paraId="24EE37D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Исключить</w:t>
            </w:r>
          </w:p>
        </w:tc>
        <w:tc>
          <w:tcPr>
            <w:tcW w:w="1364" w:type="dxa"/>
          </w:tcPr>
          <w:p w14:paraId="61E08E0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A7B2EBB" w14:textId="77777777">
        <w:tc>
          <w:tcPr>
            <w:tcW w:w="3085" w:type="dxa"/>
          </w:tcPr>
          <w:p w14:paraId="02B3AE1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Климов В.Я.</w:t>
            </w:r>
          </w:p>
        </w:tc>
        <w:tc>
          <w:tcPr>
            <w:tcW w:w="1701" w:type="dxa"/>
          </w:tcPr>
          <w:p w14:paraId="422AD4E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мотор М-107А</w:t>
            </w:r>
          </w:p>
        </w:tc>
        <w:tc>
          <w:tcPr>
            <w:tcW w:w="1364" w:type="dxa"/>
          </w:tcPr>
          <w:p w14:paraId="0036FB1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Утвердить</w:t>
            </w:r>
          </w:p>
        </w:tc>
        <w:tc>
          <w:tcPr>
            <w:tcW w:w="1364" w:type="dxa"/>
          </w:tcPr>
          <w:p w14:paraId="584A6E6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D25CCF0" w14:textId="77777777">
        <w:tc>
          <w:tcPr>
            <w:tcW w:w="3085" w:type="dxa"/>
          </w:tcPr>
          <w:p w14:paraId="22BC89B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Куприянов Б.В. и</w:t>
            </w:r>
          </w:p>
        </w:tc>
        <w:tc>
          <w:tcPr>
            <w:tcW w:w="1701" w:type="dxa"/>
          </w:tcPr>
          <w:p w14:paraId="35FBD36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внедрение</w:t>
            </w:r>
          </w:p>
        </w:tc>
        <w:tc>
          <w:tcPr>
            <w:tcW w:w="1364" w:type="dxa"/>
          </w:tcPr>
          <w:p w14:paraId="18EABAF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64" w:type="dxa"/>
          </w:tcPr>
          <w:p w14:paraId="001267D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22B5297" w14:textId="77777777">
        <w:tc>
          <w:tcPr>
            <w:tcW w:w="3085" w:type="dxa"/>
          </w:tcPr>
          <w:p w14:paraId="0E33F16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др. (всего 4 чел.)</w:t>
            </w:r>
          </w:p>
        </w:tc>
        <w:tc>
          <w:tcPr>
            <w:tcW w:w="1701" w:type="dxa"/>
          </w:tcPr>
          <w:p w14:paraId="79BFBD5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конвейерной</w:t>
            </w:r>
          </w:p>
        </w:tc>
        <w:tc>
          <w:tcPr>
            <w:tcW w:w="1364" w:type="dxa"/>
          </w:tcPr>
          <w:p w14:paraId="4BCFF87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64" w:type="dxa"/>
          </w:tcPr>
          <w:p w14:paraId="047CC8A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2AEAC06" w14:textId="77777777">
        <w:tc>
          <w:tcPr>
            <w:tcW w:w="3085" w:type="dxa"/>
          </w:tcPr>
          <w:p w14:paraId="130C381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56D1481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сборки самолетов</w:t>
            </w:r>
          </w:p>
        </w:tc>
        <w:tc>
          <w:tcPr>
            <w:tcW w:w="1364" w:type="dxa"/>
          </w:tcPr>
          <w:p w14:paraId="35C6690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Утвердить</w:t>
            </w:r>
          </w:p>
        </w:tc>
        <w:tc>
          <w:tcPr>
            <w:tcW w:w="1364" w:type="dxa"/>
          </w:tcPr>
          <w:p w14:paraId="17B7010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премию</w:t>
            </w:r>
          </w:p>
        </w:tc>
      </w:tr>
      <w:tr w:rsidR="005106D0" w:rsidRPr="007224C3" w14:paraId="56CD5FB8" w14:textId="77777777">
        <w:tc>
          <w:tcPr>
            <w:tcW w:w="3085" w:type="dxa"/>
          </w:tcPr>
          <w:p w14:paraId="620A5D8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2-я премия по изобретательству</w:t>
            </w:r>
          </w:p>
        </w:tc>
        <w:tc>
          <w:tcPr>
            <w:tcW w:w="1701" w:type="dxa"/>
          </w:tcPr>
          <w:p w14:paraId="42B243A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64" w:type="dxa"/>
          </w:tcPr>
          <w:p w14:paraId="4BDB42E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64" w:type="dxa"/>
          </w:tcPr>
          <w:p w14:paraId="35A35A5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281A3C6" w14:textId="77777777">
        <w:tc>
          <w:tcPr>
            <w:tcW w:w="3085" w:type="dxa"/>
          </w:tcPr>
          <w:p w14:paraId="1FDE04D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Деренковский А.С.</w:t>
            </w:r>
          </w:p>
        </w:tc>
        <w:tc>
          <w:tcPr>
            <w:tcW w:w="1701" w:type="dxa"/>
          </w:tcPr>
          <w:p w14:paraId="236B79C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бомбардировочн.</w:t>
            </w:r>
          </w:p>
        </w:tc>
        <w:tc>
          <w:tcPr>
            <w:tcW w:w="1364" w:type="dxa"/>
          </w:tcPr>
          <w:p w14:paraId="6D2B957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64" w:type="dxa"/>
          </w:tcPr>
          <w:p w14:paraId="3C10FB3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05C134E" w14:textId="77777777">
        <w:tc>
          <w:tcPr>
            <w:tcW w:w="3085" w:type="dxa"/>
          </w:tcPr>
          <w:p w14:paraId="7274D15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 3 чел.)</w:t>
            </w:r>
          </w:p>
        </w:tc>
        <w:tc>
          <w:tcPr>
            <w:tcW w:w="1701" w:type="dxa"/>
          </w:tcPr>
          <w:p w14:paraId="06911FD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прицел</w:t>
            </w:r>
          </w:p>
        </w:tc>
        <w:tc>
          <w:tcPr>
            <w:tcW w:w="1364" w:type="dxa"/>
          </w:tcPr>
          <w:p w14:paraId="087EB44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Утвердить</w:t>
            </w:r>
          </w:p>
        </w:tc>
        <w:tc>
          <w:tcPr>
            <w:tcW w:w="1364" w:type="dxa"/>
          </w:tcPr>
          <w:p w14:paraId="7FD7AED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5F16F7E" w14:textId="77777777">
        <w:tc>
          <w:tcPr>
            <w:tcW w:w="3085" w:type="dxa"/>
          </w:tcPr>
          <w:p w14:paraId="375D41A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Мясищев В.М.</w:t>
            </w:r>
          </w:p>
        </w:tc>
        <w:tc>
          <w:tcPr>
            <w:tcW w:w="1701" w:type="dxa"/>
          </w:tcPr>
          <w:p w14:paraId="0FAD2F0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с-т "102"</w:t>
            </w:r>
          </w:p>
        </w:tc>
        <w:tc>
          <w:tcPr>
            <w:tcW w:w="1364" w:type="dxa"/>
          </w:tcPr>
          <w:p w14:paraId="01F1638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Исключить</w:t>
            </w:r>
          </w:p>
        </w:tc>
        <w:tc>
          <w:tcPr>
            <w:tcW w:w="1364" w:type="dxa"/>
          </w:tcPr>
          <w:p w14:paraId="2483F8E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D7680BA" w14:textId="77777777">
        <w:tc>
          <w:tcPr>
            <w:tcW w:w="3085" w:type="dxa"/>
          </w:tcPr>
          <w:p w14:paraId="4A4F2BF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Микоян А.И. и</w:t>
            </w:r>
          </w:p>
        </w:tc>
        <w:tc>
          <w:tcPr>
            <w:tcW w:w="1701" w:type="dxa"/>
          </w:tcPr>
          <w:p w14:paraId="5A573C1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с-т МИГ с</w:t>
            </w:r>
          </w:p>
        </w:tc>
        <w:tc>
          <w:tcPr>
            <w:tcW w:w="1364" w:type="dxa"/>
          </w:tcPr>
          <w:p w14:paraId="5FA8F42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64" w:type="dxa"/>
          </w:tcPr>
          <w:p w14:paraId="6FAB660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3D2AF7E" w14:textId="77777777">
        <w:tc>
          <w:tcPr>
            <w:tcW w:w="3085" w:type="dxa"/>
          </w:tcPr>
          <w:p w14:paraId="6635130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Гуревич М.И.</w:t>
            </w:r>
          </w:p>
        </w:tc>
        <w:tc>
          <w:tcPr>
            <w:tcW w:w="1701" w:type="dxa"/>
          </w:tcPr>
          <w:p w14:paraId="1D28850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мотором АМ-38</w:t>
            </w:r>
          </w:p>
        </w:tc>
        <w:tc>
          <w:tcPr>
            <w:tcW w:w="1364" w:type="dxa"/>
          </w:tcPr>
          <w:p w14:paraId="36845D4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Исключить</w:t>
            </w:r>
          </w:p>
        </w:tc>
        <w:tc>
          <w:tcPr>
            <w:tcW w:w="1364" w:type="dxa"/>
          </w:tcPr>
          <w:p w14:paraId="0EFBFAD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4BACBD5" w14:textId="77777777">
        <w:tc>
          <w:tcPr>
            <w:tcW w:w="3085" w:type="dxa"/>
          </w:tcPr>
          <w:p w14:paraId="74A3671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Ильюшин С.В.</w:t>
            </w:r>
          </w:p>
        </w:tc>
        <w:tc>
          <w:tcPr>
            <w:tcW w:w="1701" w:type="dxa"/>
          </w:tcPr>
          <w:p w14:paraId="3BB7A49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модификацию</w:t>
            </w:r>
          </w:p>
        </w:tc>
        <w:tc>
          <w:tcPr>
            <w:tcW w:w="1364" w:type="dxa"/>
          </w:tcPr>
          <w:p w14:paraId="0F31313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64" w:type="dxa"/>
          </w:tcPr>
          <w:p w14:paraId="6D39929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43485B0" w14:textId="77777777">
        <w:tc>
          <w:tcPr>
            <w:tcW w:w="3085" w:type="dxa"/>
          </w:tcPr>
          <w:p w14:paraId="1D2A7DC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0227F52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Ил-2 с АМ-42</w:t>
            </w:r>
          </w:p>
        </w:tc>
        <w:tc>
          <w:tcPr>
            <w:tcW w:w="1364" w:type="dxa"/>
          </w:tcPr>
          <w:p w14:paraId="51F4223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Исключить</w:t>
            </w:r>
          </w:p>
        </w:tc>
        <w:tc>
          <w:tcPr>
            <w:tcW w:w="1364" w:type="dxa"/>
          </w:tcPr>
          <w:p w14:paraId="1DD29F4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195AF69" w14:textId="77777777">
        <w:tc>
          <w:tcPr>
            <w:tcW w:w="3085" w:type="dxa"/>
          </w:tcPr>
          <w:p w14:paraId="5DF97B3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Христианович С.А.</w:t>
            </w:r>
          </w:p>
        </w:tc>
        <w:tc>
          <w:tcPr>
            <w:tcW w:w="1701" w:type="dxa"/>
          </w:tcPr>
          <w:p w14:paraId="46F7E0D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реактивные</w:t>
            </w:r>
          </w:p>
        </w:tc>
        <w:tc>
          <w:tcPr>
            <w:tcW w:w="1364" w:type="dxa"/>
          </w:tcPr>
          <w:p w14:paraId="2E7A64D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64" w:type="dxa"/>
          </w:tcPr>
          <w:p w14:paraId="287C3F5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3941CF5" w14:textId="77777777">
        <w:tc>
          <w:tcPr>
            <w:tcW w:w="3085" w:type="dxa"/>
          </w:tcPr>
          <w:p w14:paraId="267736B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 7 чел.)</w:t>
            </w:r>
          </w:p>
        </w:tc>
        <w:tc>
          <w:tcPr>
            <w:tcW w:w="1701" w:type="dxa"/>
          </w:tcPr>
          <w:p w14:paraId="467A258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снаряды улучшен.</w:t>
            </w:r>
          </w:p>
        </w:tc>
        <w:tc>
          <w:tcPr>
            <w:tcW w:w="1364" w:type="dxa"/>
          </w:tcPr>
          <w:p w14:paraId="56FF78B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64" w:type="dxa"/>
          </w:tcPr>
          <w:p w14:paraId="21C73DA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7E272EC" w14:textId="77777777">
        <w:tc>
          <w:tcPr>
            <w:tcW w:w="3085" w:type="dxa"/>
          </w:tcPr>
          <w:p w14:paraId="1427CA2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5584253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Кучности</w:t>
            </w:r>
          </w:p>
        </w:tc>
        <w:tc>
          <w:tcPr>
            <w:tcW w:w="1364" w:type="dxa"/>
          </w:tcPr>
          <w:p w14:paraId="4993CAE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Исключить</w:t>
            </w:r>
          </w:p>
        </w:tc>
        <w:tc>
          <w:tcPr>
            <w:tcW w:w="1364" w:type="dxa"/>
          </w:tcPr>
          <w:p w14:paraId="45DAD9C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F6B2CD7" w14:textId="77777777">
        <w:tc>
          <w:tcPr>
            <w:tcW w:w="3085" w:type="dxa"/>
          </w:tcPr>
          <w:p w14:paraId="455FC5B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Жданов К.И.</w:t>
            </w:r>
          </w:p>
        </w:tc>
        <w:tc>
          <w:tcPr>
            <w:tcW w:w="1701" w:type="dxa"/>
          </w:tcPr>
          <w:p w14:paraId="062FD7D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винты АВ-5</w:t>
            </w:r>
          </w:p>
        </w:tc>
        <w:tc>
          <w:tcPr>
            <w:tcW w:w="1364" w:type="dxa"/>
          </w:tcPr>
          <w:p w14:paraId="74772F7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Исключить</w:t>
            </w:r>
          </w:p>
        </w:tc>
        <w:tc>
          <w:tcPr>
            <w:tcW w:w="1364" w:type="dxa"/>
          </w:tcPr>
          <w:p w14:paraId="1B64A71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B8347B7" w14:textId="77777777">
        <w:tc>
          <w:tcPr>
            <w:tcW w:w="3085" w:type="dxa"/>
          </w:tcPr>
          <w:p w14:paraId="4DA42E3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Бас-Дубов С.Ш.</w:t>
            </w:r>
          </w:p>
        </w:tc>
        <w:tc>
          <w:tcPr>
            <w:tcW w:w="1701" w:type="dxa"/>
          </w:tcPr>
          <w:p w14:paraId="2E8EB6F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64" w:type="dxa"/>
          </w:tcPr>
          <w:p w14:paraId="340F308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64" w:type="dxa"/>
          </w:tcPr>
          <w:p w14:paraId="45C46C8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030C036" w14:textId="77777777">
        <w:tc>
          <w:tcPr>
            <w:tcW w:w="3085" w:type="dxa"/>
          </w:tcPr>
          <w:p w14:paraId="1662E97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 3 чел.</w:t>
            </w:r>
          </w:p>
        </w:tc>
        <w:tc>
          <w:tcPr>
            <w:tcW w:w="1701" w:type="dxa"/>
          </w:tcPr>
          <w:p w14:paraId="6BA30D4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64" w:type="dxa"/>
          </w:tcPr>
          <w:p w14:paraId="6940A26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64" w:type="dxa"/>
          </w:tcPr>
          <w:p w14:paraId="6FA3F66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7EE97D5" w14:textId="77777777">
        <w:tc>
          <w:tcPr>
            <w:tcW w:w="3085" w:type="dxa"/>
          </w:tcPr>
          <w:p w14:paraId="694A959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701" w:type="dxa"/>
          </w:tcPr>
          <w:p w14:paraId="6D59574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винты ВИШ-105</w:t>
            </w:r>
          </w:p>
        </w:tc>
        <w:tc>
          <w:tcPr>
            <w:tcW w:w="1364" w:type="dxa"/>
          </w:tcPr>
          <w:p w14:paraId="177671C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Исключить</w:t>
            </w:r>
          </w:p>
        </w:tc>
        <w:tc>
          <w:tcPr>
            <w:tcW w:w="1364" w:type="dxa"/>
          </w:tcPr>
          <w:p w14:paraId="35F876B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12CC357" w14:textId="77777777">
        <w:tc>
          <w:tcPr>
            <w:tcW w:w="3085" w:type="dxa"/>
          </w:tcPr>
          <w:p w14:paraId="374381F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Поликовский В.И.</w:t>
            </w:r>
          </w:p>
        </w:tc>
        <w:tc>
          <w:tcPr>
            <w:tcW w:w="1701" w:type="dxa"/>
          </w:tcPr>
          <w:p w14:paraId="33DD0A4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разработку</w:t>
            </w:r>
          </w:p>
        </w:tc>
        <w:tc>
          <w:tcPr>
            <w:tcW w:w="1364" w:type="dxa"/>
          </w:tcPr>
          <w:p w14:paraId="41DF950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64" w:type="dxa"/>
          </w:tcPr>
          <w:p w14:paraId="39648AC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ECE1FF4" w14:textId="77777777">
        <w:tc>
          <w:tcPr>
            <w:tcW w:w="3085" w:type="dxa"/>
          </w:tcPr>
          <w:p w14:paraId="0D4ED2A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 др. (всего 8 чел.)</w:t>
            </w:r>
          </w:p>
        </w:tc>
        <w:tc>
          <w:tcPr>
            <w:tcW w:w="1701" w:type="dxa"/>
          </w:tcPr>
          <w:p w14:paraId="23F3EF5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моторных высотн.</w:t>
            </w:r>
          </w:p>
        </w:tc>
        <w:tc>
          <w:tcPr>
            <w:tcW w:w="1364" w:type="dxa"/>
          </w:tcPr>
          <w:p w14:paraId="6030B51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64" w:type="dxa"/>
          </w:tcPr>
          <w:p w14:paraId="479F215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4FEEBD7" w14:textId="77777777">
        <w:tc>
          <w:tcPr>
            <w:tcW w:w="3085" w:type="dxa"/>
          </w:tcPr>
          <w:p w14:paraId="04ACB35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70684F4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Агрегатов</w:t>
            </w:r>
          </w:p>
        </w:tc>
        <w:tc>
          <w:tcPr>
            <w:tcW w:w="1364" w:type="dxa"/>
          </w:tcPr>
          <w:p w14:paraId="6CB5D4E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Исключить</w:t>
            </w:r>
          </w:p>
        </w:tc>
        <w:tc>
          <w:tcPr>
            <w:tcW w:w="1364" w:type="dxa"/>
          </w:tcPr>
          <w:p w14:paraId="16B626E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5F3BED8" w14:textId="77777777">
        <w:tc>
          <w:tcPr>
            <w:tcW w:w="3085" w:type="dxa"/>
          </w:tcPr>
          <w:p w14:paraId="22AA905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Тер-Маркерян А.Н.</w:t>
            </w:r>
          </w:p>
          <w:p w14:paraId="04702F6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Поплавко М.В.</w:t>
            </w:r>
          </w:p>
        </w:tc>
        <w:tc>
          <w:tcPr>
            <w:tcW w:w="1701" w:type="dxa"/>
          </w:tcPr>
          <w:p w14:paraId="5ED7351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поточную сварку самолетных конструкций</w:t>
            </w:r>
          </w:p>
        </w:tc>
        <w:tc>
          <w:tcPr>
            <w:tcW w:w="1364" w:type="dxa"/>
          </w:tcPr>
          <w:p w14:paraId="011BC54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Утвердить</w:t>
            </w:r>
          </w:p>
        </w:tc>
        <w:tc>
          <w:tcPr>
            <w:tcW w:w="1364" w:type="dxa"/>
          </w:tcPr>
          <w:p w14:paraId="216C61E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FB97501" w14:textId="77777777">
        <w:tc>
          <w:tcPr>
            <w:tcW w:w="3085" w:type="dxa"/>
          </w:tcPr>
          <w:p w14:paraId="02ED3C1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Троицкий С.С. и др. (всего 7 чел.)</w:t>
            </w:r>
          </w:p>
        </w:tc>
        <w:tc>
          <w:tcPr>
            <w:tcW w:w="1701" w:type="dxa"/>
          </w:tcPr>
          <w:p w14:paraId="6227622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спец. станки для производства моторов</w:t>
            </w:r>
          </w:p>
        </w:tc>
        <w:tc>
          <w:tcPr>
            <w:tcW w:w="1364" w:type="dxa"/>
          </w:tcPr>
          <w:p w14:paraId="1BED283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Исключить</w:t>
            </w:r>
          </w:p>
        </w:tc>
        <w:tc>
          <w:tcPr>
            <w:tcW w:w="1364" w:type="dxa"/>
          </w:tcPr>
          <w:p w14:paraId="742BCF3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1BB447C" w14:textId="77777777">
        <w:tc>
          <w:tcPr>
            <w:tcW w:w="3085" w:type="dxa"/>
          </w:tcPr>
          <w:p w14:paraId="18CA834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Федоров П.С. и др. (4 чел.)</w:t>
            </w:r>
          </w:p>
        </w:tc>
        <w:tc>
          <w:tcPr>
            <w:tcW w:w="1701" w:type="dxa"/>
          </w:tcPr>
          <w:p w14:paraId="2C1BF5F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За конструкцию </w:t>
            </w:r>
            <w:r w:rsidRPr="007224C3">
              <w:rPr>
                <w:rFonts w:ascii="Times New Roman" w:hAnsi="Times New Roman"/>
                <w:color w:val="000000" w:themeColor="text1"/>
                <w:sz w:val="16"/>
                <w:szCs w:val="16"/>
              </w:rPr>
              <w:lastRenderedPageBreak/>
              <w:t>машины кокильного алюминиевого литья</w:t>
            </w:r>
          </w:p>
        </w:tc>
        <w:tc>
          <w:tcPr>
            <w:tcW w:w="1364" w:type="dxa"/>
          </w:tcPr>
          <w:p w14:paraId="47B6F7A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Исключить</w:t>
            </w:r>
          </w:p>
        </w:tc>
        <w:tc>
          <w:tcPr>
            <w:tcW w:w="1364" w:type="dxa"/>
          </w:tcPr>
          <w:p w14:paraId="5147274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8431244" w14:textId="77777777">
        <w:tc>
          <w:tcPr>
            <w:tcW w:w="3085" w:type="dxa"/>
          </w:tcPr>
          <w:p w14:paraId="783F138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Брусникин Г.Д. и др. (7 чел.)</w:t>
            </w:r>
          </w:p>
        </w:tc>
        <w:tc>
          <w:tcPr>
            <w:tcW w:w="1701" w:type="dxa"/>
          </w:tcPr>
          <w:p w14:paraId="26DCEAA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внедрение поточных методов производства агрегатов</w:t>
            </w:r>
          </w:p>
        </w:tc>
        <w:tc>
          <w:tcPr>
            <w:tcW w:w="1364" w:type="dxa"/>
          </w:tcPr>
          <w:p w14:paraId="0422BC9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Исключить</w:t>
            </w:r>
          </w:p>
        </w:tc>
        <w:tc>
          <w:tcPr>
            <w:tcW w:w="1364" w:type="dxa"/>
          </w:tcPr>
          <w:p w14:paraId="43A9E85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8FD7EDF" w14:textId="77777777">
        <w:tc>
          <w:tcPr>
            <w:tcW w:w="3085" w:type="dxa"/>
          </w:tcPr>
          <w:p w14:paraId="7020B18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Воронков С.М. и др. (4 чел.)</w:t>
            </w:r>
          </w:p>
        </w:tc>
        <w:tc>
          <w:tcPr>
            <w:tcW w:w="1701" w:type="dxa"/>
          </w:tcPr>
          <w:p w14:paraId="3147D81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Внедрение газовых плавильных тиглей</w:t>
            </w:r>
          </w:p>
        </w:tc>
        <w:tc>
          <w:tcPr>
            <w:tcW w:w="1364" w:type="dxa"/>
          </w:tcPr>
          <w:p w14:paraId="2C3AE0C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Исключить</w:t>
            </w:r>
          </w:p>
        </w:tc>
        <w:tc>
          <w:tcPr>
            <w:tcW w:w="1364" w:type="dxa"/>
          </w:tcPr>
          <w:p w14:paraId="69CDD8A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3C82D75" w14:textId="77777777">
        <w:tc>
          <w:tcPr>
            <w:tcW w:w="3085" w:type="dxa"/>
          </w:tcPr>
          <w:p w14:paraId="4FF902A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Белов А.Ф. и др. (6 чел.)</w:t>
            </w:r>
          </w:p>
        </w:tc>
        <w:tc>
          <w:tcPr>
            <w:tcW w:w="1701" w:type="dxa"/>
          </w:tcPr>
          <w:p w14:paraId="1EE8CCF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разработку технологии отливки плоских слитков из аллюминиевых сплавов весом 1 тонну</w:t>
            </w:r>
          </w:p>
        </w:tc>
        <w:tc>
          <w:tcPr>
            <w:tcW w:w="1364" w:type="dxa"/>
          </w:tcPr>
          <w:p w14:paraId="640BEDF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Утвердить</w:t>
            </w:r>
          </w:p>
        </w:tc>
        <w:tc>
          <w:tcPr>
            <w:tcW w:w="1364" w:type="dxa"/>
          </w:tcPr>
          <w:p w14:paraId="38B49BC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972014C" w14:textId="77777777">
        <w:tc>
          <w:tcPr>
            <w:tcW w:w="3085" w:type="dxa"/>
          </w:tcPr>
          <w:p w14:paraId="31849C0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Соркин В.М. и др. (8 чел.)</w:t>
            </w:r>
          </w:p>
        </w:tc>
        <w:tc>
          <w:tcPr>
            <w:tcW w:w="1701" w:type="dxa"/>
          </w:tcPr>
          <w:p w14:paraId="476266B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разработку автомата курса АК-1</w:t>
            </w:r>
          </w:p>
        </w:tc>
        <w:tc>
          <w:tcPr>
            <w:tcW w:w="1364" w:type="dxa"/>
          </w:tcPr>
          <w:p w14:paraId="250AB6A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Исключить</w:t>
            </w:r>
          </w:p>
        </w:tc>
        <w:tc>
          <w:tcPr>
            <w:tcW w:w="1364" w:type="dxa"/>
          </w:tcPr>
          <w:p w14:paraId="270EAF9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50E2FEC" w14:textId="77777777">
        <w:tc>
          <w:tcPr>
            <w:tcW w:w="3085" w:type="dxa"/>
          </w:tcPr>
          <w:p w14:paraId="25A8C69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Шенфер К.И. акажемик и др. (7 чел.)</w:t>
            </w:r>
          </w:p>
        </w:tc>
        <w:tc>
          <w:tcPr>
            <w:tcW w:w="1701" w:type="dxa"/>
          </w:tcPr>
          <w:p w14:paraId="56D7134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разработку установки по использованию мощности авиамоторов при испытании</w:t>
            </w:r>
          </w:p>
        </w:tc>
        <w:tc>
          <w:tcPr>
            <w:tcW w:w="1364" w:type="dxa"/>
          </w:tcPr>
          <w:p w14:paraId="140B59C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Исключить</w:t>
            </w:r>
          </w:p>
        </w:tc>
        <w:tc>
          <w:tcPr>
            <w:tcW w:w="1364" w:type="dxa"/>
          </w:tcPr>
          <w:p w14:paraId="127F9F4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20C7AD8" w14:textId="77777777">
        <w:tc>
          <w:tcPr>
            <w:tcW w:w="3085" w:type="dxa"/>
          </w:tcPr>
          <w:p w14:paraId="4C51555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3-я премия по изобретательству</w:t>
            </w:r>
          </w:p>
        </w:tc>
        <w:tc>
          <w:tcPr>
            <w:tcW w:w="1701" w:type="dxa"/>
          </w:tcPr>
          <w:p w14:paraId="6744A87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64" w:type="dxa"/>
          </w:tcPr>
          <w:p w14:paraId="4FFF318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64" w:type="dxa"/>
          </w:tcPr>
          <w:p w14:paraId="0C1CA5A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D9174CE" w14:textId="77777777">
        <w:tc>
          <w:tcPr>
            <w:tcW w:w="3085" w:type="dxa"/>
          </w:tcPr>
          <w:p w14:paraId="73D1959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Незваль И.Ф.</w:t>
            </w:r>
          </w:p>
        </w:tc>
        <w:tc>
          <w:tcPr>
            <w:tcW w:w="1701" w:type="dxa"/>
          </w:tcPr>
          <w:p w14:paraId="4A65D6D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с-т Пе-8 с</w:t>
            </w:r>
          </w:p>
        </w:tc>
        <w:tc>
          <w:tcPr>
            <w:tcW w:w="1364" w:type="dxa"/>
          </w:tcPr>
          <w:p w14:paraId="3FEFED7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64" w:type="dxa"/>
          </w:tcPr>
          <w:p w14:paraId="7275D5A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188E554" w14:textId="77777777">
        <w:tc>
          <w:tcPr>
            <w:tcW w:w="3085" w:type="dxa"/>
          </w:tcPr>
          <w:p w14:paraId="403ACB4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2A95C88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М-30Б и М-82</w:t>
            </w:r>
          </w:p>
        </w:tc>
        <w:tc>
          <w:tcPr>
            <w:tcW w:w="1364" w:type="dxa"/>
          </w:tcPr>
          <w:p w14:paraId="4F3A931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Исключить</w:t>
            </w:r>
          </w:p>
        </w:tc>
        <w:tc>
          <w:tcPr>
            <w:tcW w:w="1364" w:type="dxa"/>
          </w:tcPr>
          <w:p w14:paraId="152903F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0E07EDB" w14:textId="77777777">
        <w:tc>
          <w:tcPr>
            <w:tcW w:w="3085" w:type="dxa"/>
          </w:tcPr>
          <w:p w14:paraId="5BD2AAD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Братухин И.П.</w:t>
            </w:r>
          </w:p>
        </w:tc>
        <w:tc>
          <w:tcPr>
            <w:tcW w:w="1701" w:type="dxa"/>
          </w:tcPr>
          <w:p w14:paraId="3BF2014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геликоптер</w:t>
            </w:r>
          </w:p>
        </w:tc>
        <w:tc>
          <w:tcPr>
            <w:tcW w:w="1364" w:type="dxa"/>
          </w:tcPr>
          <w:p w14:paraId="4E28F47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64" w:type="dxa"/>
          </w:tcPr>
          <w:p w14:paraId="1436442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C0DDFC1" w14:textId="77777777">
        <w:tc>
          <w:tcPr>
            <w:tcW w:w="3085" w:type="dxa"/>
          </w:tcPr>
          <w:p w14:paraId="3F6F5B5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2E110DC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"Омега"</w:t>
            </w:r>
          </w:p>
        </w:tc>
        <w:tc>
          <w:tcPr>
            <w:tcW w:w="1364" w:type="dxa"/>
          </w:tcPr>
          <w:p w14:paraId="5F49539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Исключить</w:t>
            </w:r>
          </w:p>
        </w:tc>
        <w:tc>
          <w:tcPr>
            <w:tcW w:w="1364" w:type="dxa"/>
          </w:tcPr>
          <w:p w14:paraId="1B17D33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5FD1926" w14:textId="77777777">
        <w:tc>
          <w:tcPr>
            <w:tcW w:w="3085" w:type="dxa"/>
          </w:tcPr>
          <w:p w14:paraId="3B4DF0F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Неусыпин А.М.</w:t>
            </w:r>
          </w:p>
        </w:tc>
        <w:tc>
          <w:tcPr>
            <w:tcW w:w="1701" w:type="dxa"/>
          </w:tcPr>
          <w:p w14:paraId="3822055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новый летно</w:t>
            </w:r>
          </w:p>
        </w:tc>
        <w:tc>
          <w:tcPr>
            <w:tcW w:w="1364" w:type="dxa"/>
          </w:tcPr>
          <w:p w14:paraId="0C3339F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64" w:type="dxa"/>
          </w:tcPr>
          <w:p w14:paraId="24427E8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4BFBF7B" w14:textId="77777777">
        <w:tc>
          <w:tcPr>
            <w:tcW w:w="3085" w:type="dxa"/>
          </w:tcPr>
          <w:p w14:paraId="79BA964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 5 чел.)</w:t>
            </w:r>
          </w:p>
        </w:tc>
        <w:tc>
          <w:tcPr>
            <w:tcW w:w="1701" w:type="dxa"/>
          </w:tcPr>
          <w:p w14:paraId="0624FD7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испытат. Прибор</w:t>
            </w:r>
          </w:p>
        </w:tc>
        <w:tc>
          <w:tcPr>
            <w:tcW w:w="1364" w:type="dxa"/>
          </w:tcPr>
          <w:p w14:paraId="541C6A8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Исключить</w:t>
            </w:r>
          </w:p>
        </w:tc>
        <w:tc>
          <w:tcPr>
            <w:tcW w:w="1364" w:type="dxa"/>
          </w:tcPr>
          <w:p w14:paraId="612F0AD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8FB83A3" w14:textId="77777777">
        <w:tc>
          <w:tcPr>
            <w:tcW w:w="3085" w:type="dxa"/>
          </w:tcPr>
          <w:p w14:paraId="2B21C8A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Шульгин А.И.</w:t>
            </w:r>
          </w:p>
        </w:tc>
        <w:tc>
          <w:tcPr>
            <w:tcW w:w="1701" w:type="dxa"/>
          </w:tcPr>
          <w:p w14:paraId="4A1C330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новую торпедн.</w:t>
            </w:r>
          </w:p>
        </w:tc>
        <w:tc>
          <w:tcPr>
            <w:tcW w:w="1364" w:type="dxa"/>
          </w:tcPr>
          <w:p w14:paraId="36DF0E8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64" w:type="dxa"/>
          </w:tcPr>
          <w:p w14:paraId="263E241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1A65A0B" w14:textId="77777777">
        <w:tc>
          <w:tcPr>
            <w:tcW w:w="3085" w:type="dxa"/>
          </w:tcPr>
          <w:p w14:paraId="23F5D2A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 5 чел.)</w:t>
            </w:r>
          </w:p>
        </w:tc>
        <w:tc>
          <w:tcPr>
            <w:tcW w:w="1701" w:type="dxa"/>
          </w:tcPr>
          <w:p w14:paraId="289FA46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установку</w:t>
            </w:r>
          </w:p>
        </w:tc>
        <w:tc>
          <w:tcPr>
            <w:tcW w:w="1364" w:type="dxa"/>
          </w:tcPr>
          <w:p w14:paraId="0F735C7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Исключить</w:t>
            </w:r>
          </w:p>
        </w:tc>
        <w:tc>
          <w:tcPr>
            <w:tcW w:w="1364" w:type="dxa"/>
          </w:tcPr>
          <w:p w14:paraId="57AFE30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19CA940" w14:textId="77777777">
        <w:tc>
          <w:tcPr>
            <w:tcW w:w="3085" w:type="dxa"/>
          </w:tcPr>
          <w:p w14:paraId="35D9163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Воронин Г.И.</w:t>
            </w:r>
          </w:p>
        </w:tc>
        <w:tc>
          <w:tcPr>
            <w:tcW w:w="1701" w:type="dxa"/>
          </w:tcPr>
          <w:p w14:paraId="6435002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авиационные</w:t>
            </w:r>
          </w:p>
        </w:tc>
        <w:tc>
          <w:tcPr>
            <w:tcW w:w="1364" w:type="dxa"/>
          </w:tcPr>
          <w:p w14:paraId="60530A3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64" w:type="dxa"/>
          </w:tcPr>
          <w:p w14:paraId="6CBCC9F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6E4AD7A" w14:textId="77777777">
        <w:tc>
          <w:tcPr>
            <w:tcW w:w="3085" w:type="dxa"/>
          </w:tcPr>
          <w:p w14:paraId="1215CFC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69D18CE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радиаторы</w:t>
            </w:r>
          </w:p>
        </w:tc>
        <w:tc>
          <w:tcPr>
            <w:tcW w:w="1364" w:type="dxa"/>
          </w:tcPr>
          <w:p w14:paraId="2716E11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Исключить</w:t>
            </w:r>
          </w:p>
        </w:tc>
        <w:tc>
          <w:tcPr>
            <w:tcW w:w="1364" w:type="dxa"/>
          </w:tcPr>
          <w:p w14:paraId="33C7110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F9C0E61" w14:textId="77777777">
        <w:tc>
          <w:tcPr>
            <w:tcW w:w="3085" w:type="dxa"/>
          </w:tcPr>
          <w:p w14:paraId="3DE0182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Петров Н.И. и др.</w:t>
            </w:r>
          </w:p>
        </w:tc>
        <w:tc>
          <w:tcPr>
            <w:tcW w:w="1701" w:type="dxa"/>
          </w:tcPr>
          <w:p w14:paraId="590B93A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улучшение</w:t>
            </w:r>
          </w:p>
        </w:tc>
        <w:tc>
          <w:tcPr>
            <w:tcW w:w="1364" w:type="dxa"/>
          </w:tcPr>
          <w:p w14:paraId="2C2CD87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64" w:type="dxa"/>
          </w:tcPr>
          <w:p w14:paraId="4F7A3DA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2221726" w14:textId="77777777">
        <w:tc>
          <w:tcPr>
            <w:tcW w:w="3085" w:type="dxa"/>
          </w:tcPr>
          <w:p w14:paraId="40E0697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7C3BE0D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радиосвязи на с-тах</w:t>
            </w:r>
          </w:p>
        </w:tc>
        <w:tc>
          <w:tcPr>
            <w:tcW w:w="1364" w:type="dxa"/>
          </w:tcPr>
          <w:p w14:paraId="202D585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Исключить</w:t>
            </w:r>
          </w:p>
        </w:tc>
        <w:tc>
          <w:tcPr>
            <w:tcW w:w="1364" w:type="dxa"/>
          </w:tcPr>
          <w:p w14:paraId="06A20EE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2F7F0B5" w14:textId="77777777">
        <w:tc>
          <w:tcPr>
            <w:tcW w:w="3085" w:type="dxa"/>
          </w:tcPr>
          <w:p w14:paraId="40DEC9D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Архангельский В.Н.</w:t>
            </w:r>
          </w:p>
        </w:tc>
        <w:tc>
          <w:tcPr>
            <w:tcW w:w="1701" w:type="dxa"/>
          </w:tcPr>
          <w:p w14:paraId="3DF34B4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новые аэростаты</w:t>
            </w:r>
          </w:p>
        </w:tc>
        <w:tc>
          <w:tcPr>
            <w:tcW w:w="1364" w:type="dxa"/>
          </w:tcPr>
          <w:p w14:paraId="399B9F6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Исключить (1825,61)</w:t>
            </w:r>
          </w:p>
        </w:tc>
        <w:tc>
          <w:tcPr>
            <w:tcW w:w="1364" w:type="dxa"/>
          </w:tcPr>
          <w:p w14:paraId="223F56F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2CDA4BB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96633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апреля 1944 был выпущен И-222 (3А) с АМ-39Б-1 (1084,46).</w:t>
      </w:r>
    </w:p>
    <w:p w14:paraId="1D68613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662B9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23 по 24 апреля 1944 был произведен отстрел универсальных пушек Б.Г.Шпитального на И-222 АМ-39Б 2ТК-2Б. Не получилось (991,13).</w:t>
      </w:r>
    </w:p>
    <w:p w14:paraId="12A3D51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32AFE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апреля 1944 г. истребитель, получивший обозначение И-222 и шифр "3А", закончили в производстве. Разработка и постройка на базе самолета И-221 истребителя с герметической кабиной со сроком предъявления на испытания 15 марта 1944 г. была определена планом работ ОКЮ на 1943. По конструкции самолет в целом повторял И-221, но имел герметическую кабину и улучшенный обзор задней полусферы. На машине был установлен опытный мотор АМ-39Б №01. Кроме того, в системе охлаждения воздуха, поступающего в карбюратор двигателя, установили воздухо-воздушный радиатор взамен водо-ВОЗДУШНОГО, что позволило, несмотря на установку гермокабины. не допустить возрастания полетной массы самолета. Оболочку гермокабины сделали из алюминиевого сплава AMЦ. В ходе изготовления механическую систему герметизации фонаря заменили пневматической. Максимальная расчетная скорость должна была составить 689 км/ч на высоте 12500 м, а практический потолок 13000-14000 м. Вооружение включало две синхронные 20мм пушки СШ-20 с боезапасом по 100 патронов (5852,38).</w:t>
      </w:r>
    </w:p>
    <w:p w14:paraId="5D92A42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B1573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23 апреля 1944 г. закончили в производстве машину, получившую обозначение </w:t>
      </w:r>
      <w:r w:rsidRPr="007224C3">
        <w:rPr>
          <w:rFonts w:ascii="Times New Roman" w:hAnsi="Times New Roman"/>
          <w:iCs/>
          <w:color w:val="000000" w:themeColor="text1"/>
          <w:sz w:val="16"/>
          <w:szCs w:val="16"/>
        </w:rPr>
        <w:t xml:space="preserve">И—222 </w:t>
      </w:r>
      <w:r w:rsidRPr="007224C3">
        <w:rPr>
          <w:rFonts w:ascii="Times New Roman" w:hAnsi="Times New Roman"/>
          <w:color w:val="000000" w:themeColor="text1"/>
          <w:sz w:val="16"/>
          <w:szCs w:val="16"/>
        </w:rPr>
        <w:t>и шифр «ЗА». По конструкции самолет в целом повторял И—221. Его оснастили опытным мотором АМ—39Б, отличав</w:t>
      </w:r>
      <w:r w:rsidRPr="007224C3">
        <w:rPr>
          <w:rFonts w:ascii="Times New Roman" w:hAnsi="Times New Roman"/>
          <w:color w:val="000000" w:themeColor="text1"/>
          <w:sz w:val="16"/>
          <w:szCs w:val="16"/>
        </w:rPr>
        <w:softHyphen/>
        <w:t>шимся от прототипа «перевернутым» нагнетателем, обеспечивавшим более удобное подключение турбо</w:t>
      </w:r>
      <w:r w:rsidRPr="007224C3">
        <w:rPr>
          <w:rFonts w:ascii="Times New Roman" w:hAnsi="Times New Roman"/>
          <w:color w:val="000000" w:themeColor="text1"/>
          <w:sz w:val="16"/>
          <w:szCs w:val="16"/>
        </w:rPr>
        <w:softHyphen/>
        <w:t>компрессоров ТК—2Б, а также измененной маслоси-стемой. Кроме того, в системе охлаждения воздуха, подаваемого в карбюратор двигателя, применили воздухо-воздушный радиатор взамен водо-воздуш-ного. Оболочку гермокабины изготовили из алюми</w:t>
      </w:r>
      <w:r w:rsidRPr="007224C3">
        <w:rPr>
          <w:rFonts w:ascii="Times New Roman" w:hAnsi="Times New Roman"/>
          <w:color w:val="000000" w:themeColor="text1"/>
          <w:sz w:val="16"/>
          <w:szCs w:val="16"/>
        </w:rPr>
        <w:softHyphen/>
        <w:t>ниевого сплава АМЦ. Максимальная расчетная ско</w:t>
      </w:r>
      <w:r w:rsidRPr="007224C3">
        <w:rPr>
          <w:rFonts w:ascii="Times New Roman" w:hAnsi="Times New Roman"/>
          <w:color w:val="000000" w:themeColor="text1"/>
          <w:sz w:val="16"/>
          <w:szCs w:val="16"/>
        </w:rPr>
        <w:softHyphen/>
        <w:t>рость должна была составить 689 км/ч на высоте 12500 м, а практический потолок — 13000—14000 м. Вооружение включало две синхронные 20-мм пушки СШ—20 с боезапасом по 100 патронов (9984).</w:t>
      </w:r>
    </w:p>
    <w:p w14:paraId="776AF4E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411BC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23-24 апреля 1944 согласно журнала наблюдения за проектированием, постройкой и испытаниями высотного истребителя МиГ-1 за 1 мая 1944 на И-222 АМ-39Б 2ТК-2Б производили отстрел ШВАК. Отказал левый синхронизатор. Отстрел не закончен. Затруднен запуск мотора “холодным запуском” системы ЦИАМ. В программу испытаний включена только доводка ВМГ. Полеты на отработку гермокабины не включены. Всего намечен 21 полет. С целью облегчения сняты крыльевые б/баки и система нейтрального газа (991,13).</w:t>
      </w:r>
    </w:p>
    <w:p w14:paraId="25D46D0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166778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апреля 1944 г. машину, получившую обозначение И-222 и шифр "ЗА", закончили в производстве Этот вариант высотного истребителя отличался от предшественника наличием герметической кабины. Самолет оснастили опытным мотором АМ-39Б, отличавшимся от прототипа иным способом подключения турбокомпрессоров ТК-2Б, а также измененной маслосистемой. Кроме того, в системе охлаждения воздуха, подаваемого в карбюратор двигателя, применили воздухо-воздушный радиатор вместо водо- воздушного. Максимальная расчетная скорость должна была составить 689 км/ч на высоте 12 500 м, а практический потолок - 13 000-14 000 м. Вооружение включало две синхронные 20-мм пушки СШ-20 с боезапасом по 100 патронов (12045).</w:t>
      </w:r>
    </w:p>
    <w:p w14:paraId="33058BA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6CA81CB"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51E22E9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D21918B" w14:textId="77777777" w:rsidR="00783151" w:rsidRPr="007224C3" w:rsidRDefault="0078315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апреля 1944 Представитель ЦАКБ гвардии капитан Боглевский, прибывший на УЗТМ, сообщил, что с января никакой деятельности на УТЗМ по теме САУ с С-34 не велось (18252).</w:t>
      </w:r>
    </w:p>
    <w:p w14:paraId="3BD98106" w14:textId="77777777" w:rsidR="00783151" w:rsidRPr="007224C3" w:rsidRDefault="00783151" w:rsidP="007224C3">
      <w:pPr>
        <w:spacing w:after="0" w:line="240" w:lineRule="auto"/>
        <w:jc w:val="both"/>
        <w:rPr>
          <w:rFonts w:ascii="Times New Roman" w:hAnsi="Times New Roman"/>
          <w:color w:val="000000" w:themeColor="text1"/>
          <w:sz w:val="16"/>
          <w:szCs w:val="16"/>
        </w:rPr>
      </w:pPr>
    </w:p>
    <w:p w14:paraId="2237A304"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апреля 1944 вышло Распоряжение ГКО № 5703 [О поставках бандажей НКТП и НКСМ для НКРП для обрезинки катков танков и арттягачей.] (7220, 1).</w:t>
      </w:r>
    </w:p>
    <w:p w14:paraId="4B759024"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8279E0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апреля 1944 вышло Постановление ГКО № 5704 О мероприятиях по обеспечению Наркомцветмета оборудованием и запасными частями в 1944, 1945 и 1946 годах. РГАНИР, Фонд ГКО, д. 242, лл. 2-9,10-22 (11012).</w:t>
      </w:r>
    </w:p>
    <w:p w14:paraId="22E744E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D4BD04D"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апреля 1944 вышло Постановление ГКО № 5705 О мероприятиях по обеспечению работы Челябинской ТЭЦ на полную мощность в 250 мгвт. (7220, 23-24,25-43).</w:t>
      </w:r>
    </w:p>
    <w:p w14:paraId="0082E727"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8EA7A1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апреля 1944 вышло Постановление ГКО № 5706 Об обеспечении производства 85 мм гильз к пушкам самоходной артиллерии. РГАНИР, Фонд ГКО, д. 242, лл. 44-47,48-52 (11012).</w:t>
      </w:r>
    </w:p>
    <w:p w14:paraId="165AA3A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E4597D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23 апреля 1944 вышло Постановление ГКО № 5707 О неотложных мерах по быстрейшему восстановлению таганрогского завода "Красный котельщик" Наркомтяжмаша. РГАНИР, Фонд ГКО, д. 242, лл. 53-55,56 (11012).</w:t>
      </w:r>
    </w:p>
    <w:p w14:paraId="3EDFAA5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5978AA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апреля 1944 вышло Распоряжение ГКО № 5708. Об организации восстановления Криворожского железорудного бассейна. РГАНИР, Фонд ГКО, д. 242, лл. 57-59 (11012).</w:t>
      </w:r>
    </w:p>
    <w:p w14:paraId="41AEEC7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EB2ECEB"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апреля 1944 вышло Постановление ГКО № 5709 О плане ремонта автомобилей и автомобильных моторов для Красной Армии и Военно-Морского Флота на II квартал 1944 г. (7220, 60-67,68-165).</w:t>
      </w:r>
    </w:p>
    <w:p w14:paraId="6137E316"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80FBC9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апреля 1944 вышло Распоряжение ГКО № 5710. О продлении до 1 июня 1944 г. срока работы на дровозаготовках для Москвы мобилизованных москвичей. РГАНИР, Фонд ГКО, д. 242, лл. 166 (11012).</w:t>
      </w:r>
    </w:p>
    <w:p w14:paraId="4EC3323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16A52C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апреля 1944 вышло Постановление ГКО № 5711 Об обеспечении перевалки импортных наливных грузов через Владивостокский порт и о реконструкции нефтебазы в бухте Находка. РГАНИР, Фонд ГКО, д. 242, лл. 167-172,173-192 (11012).</w:t>
      </w:r>
    </w:p>
    <w:p w14:paraId="56F589B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4B1C00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апреля 1944 вышло Распоряжение ГКО № 5712. О мобилизации в Горьком и области 1,7 тыс. чел. на лесосплав и выгрузку древесины для НКПС. РГАНИР, Фонд ГКО, д. 242, лл. 193 (11012).</w:t>
      </w:r>
    </w:p>
    <w:p w14:paraId="5221628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5CDAA8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апреля 1944 вышло Постановление ГКО № 5713 О восстановлении кадров постоянных рабочих и транспорта на лесозаготовках Наркомлеса СССР. РГАНИР, Фонд ГКО, д. 242, лл. 194-199,200-201 (11012).</w:t>
      </w:r>
    </w:p>
    <w:p w14:paraId="1E142D4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719B8A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апреля 1944 вышло Постановление ГКО № 5714 О производстве запасных частей к тракторам и сельскохозяйственным машинам на II кв. 1944 г. РГАНИР, Фонд ГКО, д. 242, лл. 202-210,211-250 (11012).</w:t>
      </w:r>
    </w:p>
    <w:p w14:paraId="00CE0A4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B6C37CD"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апреля 1944 вышло Распоряжение ГКО № 5715 [О проекте постановления ГКО об изменении порядка бронирования рабочих, служащих и ИТР особых строительно-монтажных частей.] (7220, 251,252-256).</w:t>
      </w:r>
    </w:p>
    <w:p w14:paraId="01A5ABAA"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BB73EE5"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4FF4C27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BD61EE8" w14:textId="77777777" w:rsidR="00F054E0" w:rsidRPr="007224C3" w:rsidRDefault="00F054E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апреля в 1944 году оперативная сводка Совинформбюро:</w:t>
      </w:r>
    </w:p>
    <w:p w14:paraId="606CA0E4" w14:textId="77777777" w:rsidR="00F054E0" w:rsidRPr="007224C3" w:rsidRDefault="00F054E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23 апреля на фронтах существенных изменений не произошло.</w:t>
      </w:r>
    </w:p>
    <w:p w14:paraId="42653959" w14:textId="77777777" w:rsidR="00F054E0" w:rsidRPr="007224C3" w:rsidRDefault="00F054E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22 апреля наши войска на всех фронтах подбили и уничтожили 26 немецких танков. В воздушных боях и огнём зенитной артиллерии уничтожено 52 самолёта противника.</w:t>
      </w:r>
    </w:p>
    <w:p w14:paraId="4055E219" w14:textId="77777777" w:rsidR="00F054E0" w:rsidRPr="007224C3" w:rsidRDefault="00F054E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города Нарва противник рано утром перешёл в контратаку и вклинился в передний край нашей обороны. Фланговыми ударами советские бойцы окружили гитлеровцев. Уничтожено свыше батальона немецкой пехоты, 9 танков и 6 бронетранспортёров.</w:t>
      </w:r>
    </w:p>
    <w:p w14:paraId="39CFBFF6" w14:textId="77777777" w:rsidR="00F054E0" w:rsidRPr="007224C3" w:rsidRDefault="00F054E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Юго-восточнее города Станислав на одном участке танки и пехота противника несколько раз пытались атаковать наши позиции. Умело маневрируя, танкисты Н-ского соединения сожгли и подбили 12 немецких танков. Пехота противника, лишившись танкового прикрытия, отошла, оставив на поле боя много убитых и раненых своих солдат и офицеров.</w:t>
      </w:r>
    </w:p>
    <w:p w14:paraId="720402E7" w14:textId="77777777" w:rsidR="00F054E0" w:rsidRPr="007224C3" w:rsidRDefault="00F054E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Бомбардировщики авиачасти тов. Архангельского нанесли массированный удар по скоплению немецких войск. Уничтожены 4 танка и 60 автомашин с пехотой и боеприпасами. Штурмовики Н-ской авиачасти провели несколько успешных налетов на воинские эшелоны противника в пути и на железнодорожных станциях. Разбиты 5 паровозов и 80 вагонов. Немецкая авиация пыталась противодействовать нашим бомбардировщикам и штурмовикам. В воздушных боях советские лётчики сбили 11 самолётов противника.</w:t>
      </w:r>
    </w:p>
    <w:p w14:paraId="1EF03D26" w14:textId="77777777" w:rsidR="00F054E0" w:rsidRPr="007224C3" w:rsidRDefault="00F054E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одном районе два немецких истребителя «Мессершмитт-109» появились около нашего аэродрома. Зенитчики немедленно открыли огонь и подбили один вражеский самолёт. Другой самолет противника пошёл на посадку и приземлился. Немецкий лётчик заявил: «Я уже давно собирался перелететь на сторону Красной Армии. Сегодня мне представился благоприятный случай, и я сдаюсь в плен».</w:t>
      </w:r>
    </w:p>
    <w:p w14:paraId="01669D92" w14:textId="77777777" w:rsidR="00F054E0" w:rsidRPr="007224C3" w:rsidRDefault="00F054E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Авиация 4-го Украинского фронта совершила несколько успешных налётов на аэродромы противника в районе Севастополя. Штурмовики под командованием старшего лейтенанта Веселова, старшего лейтенанта Бутова, капитана Некрасова и лейтенанта Антонова прорвались к аэродрому и сожгли 10 немецких самолётов. Всего в течение дня наши лётчики в воздушных боях сбили 8 и уничтожили на аэродромах 19 самолётов противника. Кроме того, 8 немецких самолётов сбиты огнём зенитной артиллерии.</w:t>
      </w:r>
    </w:p>
    <w:p w14:paraId="58B79772" w14:textId="77777777" w:rsidR="00F054E0" w:rsidRPr="007224C3" w:rsidRDefault="00F054E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Партизанский отряд, действующий в Волынской области, с 8 по 11 апреля из засад уничтожил до роты гитлеровцев и подорвал на минах несколько автомашин с пехотой противника. Немцы предприняли против партизан карательный поход. Советские патриоты организовали круговую оборону и встретили гитлеровцев огнём из миномётов, пулемётов и автоматов. Ночью партизаны нанесли врагу контрудар ио братили его в бегство. В этом бою партизаны уничтожили 70 немецких солдат и четырёх офицеров. Захвачены у немцев 2 орудия, 7 пулемётов, 46 винтовок и много патронов.</w:t>
      </w:r>
    </w:p>
    <w:p w14:paraId="1639CD1B" w14:textId="77777777" w:rsidR="00F054E0" w:rsidRPr="007224C3" w:rsidRDefault="00F054E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Пленный солдат 19 мотополка 9 немецкой танковой дивизии СС «Гогенштауфен» Иоганн Штегер рассказал: «Наша дивизия находилась во Франции, сначала в районе города Абвиль, а затем в Марселе. В середине марта дивизия была спешно переброшена на Восточный фронт. Мы ехали по маршруту:Марсель-Мюлуз-Страсбург-Дрезден-Краков-Львов. Мне известно, что, кроме нашей дивизии, из Франции на Восток за последнее время переброшены и другие соединения, в том числе 10 танковая дивизия СС «Генрих Гиммлер». Командование поставило перед нашей дивизией и другими соединениями задачу во что бы то ни стало прорваться к Тарнополю и освободить окружённый там немецкий гарнизон. Наши подразделения истекали кровью, мы потеряли много танков и орудий, но пробиться к городу не могли. Я не могу знать в точности, какие потери понесли войска, шедшие на помощь гарнизону Тарнополя, но убеждён, что эта провалившаяся операция обошлась немецкой армии очень и очень дорого».</w:t>
      </w:r>
    </w:p>
    <w:p w14:paraId="427E37D6" w14:textId="77777777" w:rsidR="00F054E0" w:rsidRPr="007224C3" w:rsidRDefault="00F054E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Жители села Лозовая, Каменец-Подольской области, составили акт о зверствах немецко-фашистских мерзавцев. В акте говорится: «Ворвавшись 5 июля 1941 года в наше село, немецко-фашистские бандиты тотчас же начали грабить и убивать мирных граждан. Немцы издевались над советскими людьми, унижали их, насиловали женщин и девушек. Фашистские оккупанты насильно угнали более 70 юношей и девушек на каторжные работы в Германию. Многие из них не выдержали ужасных условий и погибли в немецкой неволе. Так умерли Феофан Бабий - 25. лет, Василий Грабовский— 19 лет и другие. Колхозница Мария Лупий — 30 лет вернулась из Германии инвалидом. В селе было 318 домов. При отступлении немцы в яростной злобе сожгли более 160 дворов. Многие из оставшихся домов разрушены и непригодны для жилья. Но самое страшное преступление немецкие палачи совершили 9 марта 1944 года. Отступая из села, гитлеровцы врывались в дома и зверски расстреливали жителей. Немецкие изверги убивали женщин и детей. В этот день от рук фашистских палачей погибло много ни в чём не повинных жителей нашего села».</w:t>
      </w:r>
    </w:p>
    <w:p w14:paraId="7F30DAF7" w14:textId="77777777" w:rsidR="00F054E0" w:rsidRPr="007224C3" w:rsidRDefault="00F054E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Акт подписали: Барановский, Сидорук, Обух, Шабельская, Кришталюк и Горбатюк.» (15108).</w:t>
      </w:r>
    </w:p>
    <w:p w14:paraId="104D27D9" w14:textId="77777777" w:rsidR="00F054E0" w:rsidRPr="007224C3" w:rsidRDefault="00F054E0" w:rsidP="007224C3">
      <w:pPr>
        <w:spacing w:after="0" w:line="240" w:lineRule="auto"/>
        <w:jc w:val="both"/>
        <w:rPr>
          <w:rFonts w:ascii="Times New Roman" w:hAnsi="Times New Roman"/>
          <w:color w:val="000000" w:themeColor="text1"/>
          <w:sz w:val="16"/>
          <w:szCs w:val="16"/>
        </w:rPr>
      </w:pPr>
    </w:p>
    <w:p w14:paraId="7AFE7BE2" w14:textId="77777777" w:rsidR="004543A8" w:rsidRPr="007224C3" w:rsidRDefault="004543A8" w:rsidP="007224C3">
      <w:pPr>
        <w:pStyle w:val="ae"/>
        <w:spacing w:before="0" w:after="0"/>
        <w:jc w:val="both"/>
        <w:textAlignment w:val="baseline"/>
        <w:rPr>
          <w:color w:val="000000" w:themeColor="text1"/>
          <w:sz w:val="16"/>
          <w:szCs w:val="16"/>
        </w:rPr>
      </w:pPr>
      <w:r w:rsidRPr="007224C3">
        <w:rPr>
          <w:color w:val="000000" w:themeColor="text1"/>
          <w:sz w:val="16"/>
          <w:szCs w:val="16"/>
        </w:rPr>
        <w:t>23 апреля 1944 советский разведчик засек в Варангер-фьорде большую группу немецких кораблей. Это был вышедший из Киркенеса конвой West-117, в состав которого входили 14 транспортов и 16 кораблей охранения. Для удара по нему, согласно уже устоявшейся практике, выслали торпедоносцы A-20J, штурмовики Ил-2 и истребители Р-40, действовавшие в качестве пикировщиков. Они появились над конвоем, когда тот находился восточнее островка Варде, уже на выходе из Варангер-фьорда. Единственным успехом массированной атаки стало повреждение сторожевика V-16109 «Нордвинд». В него попала торпеда, сброшенная с одного из «Бостонов». При взрыве у корабля оторвало носовую часть, но он все же остался на плаву.</w:t>
      </w:r>
    </w:p>
    <w:p w14:paraId="0FE374F5" w14:textId="77777777" w:rsidR="004543A8" w:rsidRPr="007224C3" w:rsidRDefault="004543A8" w:rsidP="007224C3">
      <w:pPr>
        <w:pStyle w:val="ae"/>
        <w:spacing w:before="0" w:after="0"/>
        <w:jc w:val="both"/>
        <w:textAlignment w:val="baseline"/>
        <w:rPr>
          <w:color w:val="000000" w:themeColor="text1"/>
          <w:sz w:val="16"/>
          <w:szCs w:val="16"/>
        </w:rPr>
      </w:pPr>
      <w:r w:rsidRPr="007224C3">
        <w:rPr>
          <w:color w:val="000000" w:themeColor="text1"/>
          <w:sz w:val="16"/>
          <w:szCs w:val="16"/>
        </w:rPr>
        <w:t>Через два с половиной часа командование ВВС Северного флота предприняло повторную атаку конвоя. И на этот раз пилоты «Киттихауков» из 27-го иап все же смогли добить «Нордвинд», которого кормой вперед буксировал сторожевик V-6110. После четырех прямых попаданий авиабомб он затонул в проливе Буссезунд.</w:t>
      </w:r>
    </w:p>
    <w:p w14:paraId="240A8531" w14:textId="77777777" w:rsidR="004543A8" w:rsidRPr="007224C3" w:rsidRDefault="004543A8" w:rsidP="007224C3">
      <w:pPr>
        <w:pStyle w:val="ae"/>
        <w:spacing w:before="0" w:after="0"/>
        <w:jc w:val="both"/>
        <w:textAlignment w:val="baseline"/>
        <w:rPr>
          <w:color w:val="000000" w:themeColor="text1"/>
          <w:sz w:val="16"/>
          <w:szCs w:val="16"/>
        </w:rPr>
      </w:pPr>
      <w:r w:rsidRPr="007224C3">
        <w:rPr>
          <w:color w:val="000000" w:themeColor="text1"/>
          <w:sz w:val="16"/>
          <w:szCs w:val="16"/>
        </w:rPr>
        <w:t>В этом ударе участвовала и восьмерка Ил-2 из 46-го шап. Корабельными зенитками был подбит самолет заместителя командира эскадрильи капитана Ильи Катунина. Согласно советским данным, 25-летний летчик направил горящий штурмовик на один из транспортов, который в результате тарана затонул. Уже спустя неделю — 31 мая 1944 г. — Катунину и его заднему стрелку Андрею Маркину посмертно присвоили звания Героев Советского Союза.</w:t>
      </w:r>
    </w:p>
    <w:p w14:paraId="42A46664" w14:textId="77777777" w:rsidR="004543A8" w:rsidRPr="007224C3" w:rsidRDefault="004543A8" w:rsidP="007224C3">
      <w:pPr>
        <w:pStyle w:val="ae"/>
        <w:spacing w:before="0" w:after="0"/>
        <w:jc w:val="both"/>
        <w:textAlignment w:val="baseline"/>
        <w:rPr>
          <w:color w:val="000000" w:themeColor="text1"/>
          <w:sz w:val="16"/>
          <w:szCs w:val="16"/>
        </w:rPr>
      </w:pPr>
      <w:r w:rsidRPr="007224C3">
        <w:rPr>
          <w:color w:val="000000" w:themeColor="text1"/>
          <w:sz w:val="16"/>
          <w:szCs w:val="16"/>
        </w:rPr>
        <w:t>В отчете командира конвоя West-117 действительно говорится, что сосредоточенным зенитным огнем со сторожевого корабля V-6110 и охотника за подводными лодками Uj-1220 был сбит один «цементбомбер». Однако при этом он никого не протаранил, а рухнул в море в 150 метрах от плавбазы «Везер». Всего же ВВС Северного флота потеряли в ходе атак этого конвоя семь самолетов, по три Ил-2 и Р-40 и один A-20J (19522).</w:t>
      </w:r>
    </w:p>
    <w:p w14:paraId="37F8F002" w14:textId="77777777" w:rsidR="004543A8" w:rsidRPr="007224C3" w:rsidRDefault="004543A8" w:rsidP="007224C3">
      <w:pPr>
        <w:pStyle w:val="ae"/>
        <w:spacing w:before="0" w:after="0"/>
        <w:jc w:val="both"/>
        <w:textAlignment w:val="baseline"/>
        <w:rPr>
          <w:color w:val="000000" w:themeColor="text1"/>
          <w:sz w:val="16"/>
          <w:szCs w:val="16"/>
        </w:rPr>
      </w:pPr>
    </w:p>
    <w:p w14:paraId="641C42D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23 апреля 1944 л 46 шап ВВС СФ к И.Б.Катунин во время штурмовки судов был подбит и направил горящую машину в транспорт, потопив его и погиб со стрелком </w:t>
      </w:r>
      <w:r w:rsidRPr="007224C3">
        <w:rPr>
          <w:rFonts w:ascii="Times New Roman" w:hAnsi="Times New Roman"/>
          <w:color w:val="000000" w:themeColor="text1"/>
          <w:sz w:val="16"/>
          <w:szCs w:val="16"/>
        </w:rPr>
        <w:lastRenderedPageBreak/>
        <w:t>А.М.Маркиным. Стал ГСС (438,902).</w:t>
      </w:r>
    </w:p>
    <w:p w14:paraId="2B3DCC5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D5C87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апреля 1944 г., когда в ходе атаки немецкого конвоя в Варангер-фьорде восьмерки штурмовиков Ил-2 из 46-го штурмового авиаполка, заместитель командира эскадрильи капитан И.Б.Катунин на подбитой машине таранил и потопил транспорт из состава конвоя. Летчику и его воздушному стрелку сержанту А.М.Маркину посмертно присвоено звание Героя Советского Союза. В наградном листе подчеркивалось, что всего за 13 боевых вылетов экипаж успел потопить два транспорта, шхуну и мотобот. Согласно немецким документам в тот день большой немецкий конвой “Вест-117”, состоящий из 14 транспортов и 16 кораблей охранения, вышел из Киркинеса в западном направлении. Восточнее Варде он подвергся массированным атакам советской авиации, но единственной жертвой атаки стал сторожевой корабль V-6109 “Нордвинд”. В 11.18 при попадании авиаторпеды с “Бостона" у него оторвало носовую часть, но корабль остался на плаву. Во время буксировки его за корму другим сторожевиком V-6110 он подвергся повторной атаке штурмовиков Ил-2 и после четырех прямых попаданий авиабомб затонул в 14.45 в проливе Буссезунд. Поданным немецких документов, в том числе - отчета командира конвоя, один из советских штурмовиков был сбит зенитным огнем с V-6110 и охотника за подлодками Uj-1220 и упал в море в 150 метрах от борта плавбазы “Везер”. Общие потери ВВС СФ в ходе этих атак составили семь самолетов (один А-20, три Ил-2 и три Р-40). Причем, добили сторожевик не Ил-2, а восемь “Киттихауков” из состава 27-го ИАП, которые действовали в топмач-товом варианте (8942).</w:t>
      </w:r>
    </w:p>
    <w:p w14:paraId="3078CF1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AE101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апреля 1944 г. вышел ПРИКАЗ № 098 ЗАМЕСТИТЕЛЯ НАРОДНОГО КОМИССАРА ОБОРОНЫ ОБ УПОРЯДОЧЕНИИ ЭВАКУАЦИИ ВОЕННОПЛЕННЫХ ИЗ ВОЙСКОВЫХ РАЙОНОВ</w:t>
      </w:r>
    </w:p>
    <w:p w14:paraId="21ACB8B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действующих войсках до сих пор имеют место серьезные недостатки в эвакуации военнопленных из частей и соединений в армейские приемные пункты НКВД.</w:t>
      </w:r>
    </w:p>
    <w:p w14:paraId="7A374DA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Войсковые командиры не всегда развертывают полковые и дивизионные пункты сбора пленных и не требуют ответственности со своих подчиненных за прием, охрану, дальнейшую отправку пленных и обеспечение их питанием в пути. Вследствие этого нередко наблюдаются случаи, когда недостаточно охраняемые группы пленных расходятся по населенным пунктам и часть из них скрывается в прифронтовой полосе. Пленные иногда длительное время не обеспечиваются питанием и доставляются на армейские приемные пункты истощенными, а зачастую раздетыми и разутыми.</w:t>
      </w:r>
    </w:p>
    <w:p w14:paraId="36ABAFB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Приемные, сборные пункты и фронтовые приемно-пересыльные лагери военнопленных все еще удалены от действующих частей на большие расстояния.</w:t>
      </w:r>
    </w:p>
    <w:p w14:paraId="7381504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целях устранения отмеченных недостатков приказываю:</w:t>
      </w:r>
    </w:p>
    <w:p w14:paraId="42F2A31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Командующим фронтов принять необходимые меры для выполнения требований приказа НКО № 001 1943 г.* о порядке обслуживания, снабжения и эвакуации военнопленных во всех звеньях, начиная от действующей части до фронтового приемно-пересыльного лагеря военнопленных включительно.</w:t>
      </w:r>
    </w:p>
    <w:p w14:paraId="716792C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Фронтовой приемно-пересыльный лагерь военнопленных располагать не далее 100—120 км от передовых частей. Сборные пункты военнопленных размещать в 50—70 км и армейские приемные пункты военнопленных — в 25—30 км от линии фронта. При продвижении войск своевременно перемещать лагерь, сборные и приемные пункты военнопленных, не допуская большого удаления их от передовых частей.</w:t>
      </w:r>
    </w:p>
    <w:p w14:paraId="2D76CBF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При проведении наступательных операций каждой дивизии иметь в своем тыловом районе пункт сбора военнопленных и размещать его на удалении 10—12 км от передовой линии.</w:t>
      </w:r>
    </w:p>
    <w:p w14:paraId="417A828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Для обслуживания дивизионных пунктов сбора и конвоирования пленных на армейский приемный пункт каждой армии на период наступательных операций выделять из состава запасного полка роту с количеством взводов по числу действующих дивизий. Состав взводов уменьшенный — 15 человек.</w:t>
      </w:r>
    </w:p>
    <w:p w14:paraId="13EEC57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В полках иметь пункт сбора пленных. Личный состав для обслуживания полкового пункта сбора пленных командирам полков выделять из числа ограниченно годных для несения боевой службы.</w:t>
      </w:r>
    </w:p>
    <w:p w14:paraId="4A1B590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Начальникам тыла дивизий своевременно оповещать командиров полков о точном расположении дивизионного пункта сбора пленных, а начальникам штабов полков — командиров батальонов о расположении полкового пункта сбора пленных.</w:t>
      </w:r>
    </w:p>
    <w:p w14:paraId="16341F3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перемещении пункты сбора пленных располагать, не допуская отрыва от боевых частей.</w:t>
      </w:r>
    </w:p>
    <w:p w14:paraId="689F46F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Обеспечивать питанием военнопленных в частях и в пути следования их по этапу до передачи в армейские приемные пункты НКВД по нормам, утвержденным Постановлением СНК СССР № 18747874с.**</w:t>
      </w:r>
    </w:p>
    <w:p w14:paraId="4173645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Не допускать случаев самочинного изъятия у военнопленных личных ценных вещей, одежды и обуви.</w:t>
      </w:r>
    </w:p>
    <w:p w14:paraId="02DCAD2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Отдельных пленных по требованию начальников разведывательных и политических отделов доставлять для допроса в сопровождении конвоя, выделяемого в порядке, указанном в пункте 4.</w:t>
      </w:r>
    </w:p>
    <w:p w14:paraId="66EA90D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При отправке пленных сдавать их конвою по этапным спискам, по которым и принимать пленных от конвоя в дивизионном пункте сбора пленных и армейском приемном пункте НКВД.</w:t>
      </w:r>
    </w:p>
    <w:p w14:paraId="4FC2AD3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iCs/>
          <w:color w:val="000000" w:themeColor="text1"/>
          <w:sz w:val="16"/>
          <w:szCs w:val="16"/>
        </w:rPr>
        <w:t>Заместитель Народного комиссара обороны Маршал Советского Союза ВАСИЛЕВСКИЙ</w:t>
      </w:r>
      <w:r w:rsidRPr="007224C3">
        <w:rPr>
          <w:rFonts w:ascii="Times New Roman" w:hAnsi="Times New Roman"/>
          <w:color w:val="000000" w:themeColor="text1"/>
          <w:sz w:val="16"/>
          <w:szCs w:val="16"/>
        </w:rPr>
        <w:t xml:space="preserve"> (9844).</w:t>
      </w:r>
    </w:p>
    <w:p w14:paraId="7A7C218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1EE5E7"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Внешняя политика:</w:t>
      </w:r>
    </w:p>
    <w:p w14:paraId="476688B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396A380"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апреля 1944 советское правительство установило дипломатические отношения с “Борющейся Данией” (4962).</w:t>
      </w:r>
    </w:p>
    <w:p w14:paraId="050B3DFF"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B56009C"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4D62112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638CCA6" w14:textId="77777777" w:rsidR="00F054E0" w:rsidRPr="007224C3" w:rsidRDefault="00F054E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апреля в 1944 году начало стендовых испытаний двигателя TG-180 фирмы «Дженерал электрик» (15108).</w:t>
      </w:r>
    </w:p>
    <w:p w14:paraId="0C0FE116" w14:textId="77777777" w:rsidR="00F054E0" w:rsidRPr="007224C3" w:rsidRDefault="00F054E0" w:rsidP="007224C3">
      <w:pPr>
        <w:spacing w:after="0" w:line="240" w:lineRule="auto"/>
        <w:jc w:val="both"/>
        <w:rPr>
          <w:rFonts w:ascii="Times New Roman" w:hAnsi="Times New Roman"/>
          <w:color w:val="000000" w:themeColor="text1"/>
          <w:sz w:val="16"/>
          <w:szCs w:val="16"/>
        </w:rPr>
      </w:pPr>
    </w:p>
    <w:p w14:paraId="583AC83B" w14:textId="77777777" w:rsidR="00F054E0" w:rsidRPr="007224C3" w:rsidRDefault="00F054E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апреля в 1944 году 498-я эскадрилья применила в бою новые «В-25», вооруженные 75-мм пушкой. Пушечные "стрейферы" прошлись над береговой линией от залива Ханса до мыса Круазиль, обстреливая из пушек здания и мосты. 498-я эскадрилья была выбрана для испытания в боевой обстановке самолетов «В-25Н-1», вооруженных 75-мм пушками. В течение апреля эскадрилья сдала все, кроме одного, свои «В-25С» и «D», получив взамен 21 новую машину. Кроме 75-мм пушки самолеты «В-25Н-1» несли четыре 12,7-мм пулемета, установленные в лобовом обтекателе. Экипажи прошли недельный курс подготовки. Вместо второго пилота экипаж самолета включал заряжающего. 75-мм пушка имела эффективную дальность огня 3700 м. За время боевого захода опытный заряжающий мог обеспечить четыре выстрела. Пилотирование пушечного самолета имело свои особенности. Нос самолета был перегружен, а в момент выстрела самолет терял несколько километров в час скорости. Кроме того, при стрельбе часто расходились швы обшивки, что было причиной постоянной головной боли для техников (15108).</w:t>
      </w:r>
    </w:p>
    <w:p w14:paraId="622064F6" w14:textId="77777777" w:rsidR="00F054E0" w:rsidRPr="007224C3" w:rsidRDefault="00F054E0" w:rsidP="007224C3">
      <w:pPr>
        <w:spacing w:after="0" w:line="240" w:lineRule="auto"/>
        <w:jc w:val="both"/>
        <w:rPr>
          <w:rFonts w:ascii="Times New Roman" w:hAnsi="Times New Roman"/>
          <w:color w:val="000000" w:themeColor="text1"/>
          <w:sz w:val="16"/>
          <w:szCs w:val="16"/>
        </w:rPr>
      </w:pPr>
    </w:p>
    <w:p w14:paraId="0FCE0FEE" w14:textId="77777777" w:rsidR="00F054E0" w:rsidRPr="007224C3" w:rsidRDefault="00F054E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апреля в 1944 году в ночь на 23 апреля из 577 бомбардировщиков, участвовавших в налете на Дюссельдорф, англичане потеряли 29 (15108).</w:t>
      </w:r>
    </w:p>
    <w:p w14:paraId="6F45D9C7" w14:textId="77777777" w:rsidR="00F054E0" w:rsidRPr="007224C3" w:rsidRDefault="00F054E0" w:rsidP="007224C3">
      <w:pPr>
        <w:spacing w:after="0" w:line="240" w:lineRule="auto"/>
        <w:jc w:val="both"/>
        <w:rPr>
          <w:rFonts w:ascii="Times New Roman" w:hAnsi="Times New Roman"/>
          <w:color w:val="000000" w:themeColor="text1"/>
          <w:sz w:val="16"/>
          <w:szCs w:val="16"/>
        </w:rPr>
      </w:pPr>
    </w:p>
    <w:p w14:paraId="5E029066" w14:textId="77777777" w:rsidR="00301BB3" w:rsidRPr="007224C3" w:rsidRDefault="00301BB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23 апреля 1944 Squadron 3 (VR-3) выполняет запланированный больничный рейс через континентальную часть Соединенных Штатов между Вашингтоном, округ Колумбия и Калифорнией (20373).</w:t>
      </w:r>
    </w:p>
    <w:p w14:paraId="236A9104" w14:textId="77777777" w:rsidR="00301BB3" w:rsidRPr="007224C3" w:rsidRDefault="00301BB3" w:rsidP="007224C3">
      <w:pPr>
        <w:spacing w:after="0" w:line="240" w:lineRule="auto"/>
        <w:jc w:val="both"/>
        <w:rPr>
          <w:rFonts w:ascii="Times New Roman" w:hAnsi="Times New Roman"/>
          <w:color w:val="0070C0"/>
          <w:sz w:val="16"/>
          <w:szCs w:val="16"/>
        </w:rPr>
      </w:pPr>
    </w:p>
    <w:p w14:paraId="65C08999"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апреля 1944 в Александрии подавлено восстание экипажей трех греческих кораблей, около 50 человек погибли (4962).</w:t>
      </w:r>
    </w:p>
    <w:p w14:paraId="266B9869"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8C2C838"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3387B82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8B17A26"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апреля 1944 года вышел приказ № 210с НКБ</w:t>
      </w:r>
    </w:p>
    <w:p w14:paraId="4BA801E9"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 исполнение постановления Правительства об освобождении производственных площадей завода № 357 НКВ, ныне занятых заводом № 323.</w:t>
      </w:r>
    </w:p>
    <w:p w14:paraId="075E1619"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Директору завода № 323 передать заводу № 4 НКБ оборудование, материалы, инвентарь и незавершенное производство ………………………….</w:t>
      </w:r>
    </w:p>
    <w:p w14:paraId="3F827760"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Директору завода № 323 оставшееся оборудование разместить на площадях ранее принадлежавших ЦКБ-22 НКБ.</w:t>
      </w:r>
    </w:p>
    <w:p w14:paraId="0B2A83DB"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Производственные здания завода № 357 НКБ и принадлежащий этому заводу хозяйственный инвентарь передать НКВ (6018, 91).</w:t>
      </w:r>
    </w:p>
    <w:p w14:paraId="79112433"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1A6A8D9" w14:textId="77777777" w:rsidR="00783151" w:rsidRPr="007224C3" w:rsidRDefault="0078315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апреля 1944 года:</w:t>
      </w:r>
    </w:p>
    <w:p w14:paraId="11A84B1A" w14:textId="77777777" w:rsidR="00783151" w:rsidRPr="007224C3" w:rsidRDefault="0078315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основании личных переговоров Начальника Главного Артиллерийского Управления Красной Армии Маршала Артиллерии т. Яковлева и Народного Комиссара Среднего Машиностроения СССР т. Акопова, Горьковскому Автомобильному Заводу дано задание по разработке проекта и изготовлению опытного образца 57-мм противотанковой самоходной пушки, представляющей собой установку вращающейся части 57-мм противотанковой пушки обр.1943 г. на шасси самоходной установки СУ-76М.</w:t>
      </w:r>
    </w:p>
    <w:p w14:paraId="0055D5C1" w14:textId="77777777" w:rsidR="00783151" w:rsidRPr="007224C3" w:rsidRDefault="0078315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 как настоящее задание является чрезвычайно спешным, то прошу Вас распоряжения об изготовлении опытного образца к 1 мая сего года и немедленной подаче его на Артиллерийский Научно-Исследовательский опытный полигон для полигонных испытаний.</w:t>
      </w:r>
    </w:p>
    <w:p w14:paraId="77F5EE27" w14:textId="77777777" w:rsidR="00783151" w:rsidRPr="007224C3" w:rsidRDefault="0078315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АНИОП-у ГАУ дано указание о проведении испытаний в трёхдневный срок» (18098).</w:t>
      </w:r>
    </w:p>
    <w:p w14:paraId="30BE5258" w14:textId="77777777" w:rsidR="00783151" w:rsidRPr="007224C3" w:rsidRDefault="00783151" w:rsidP="007224C3">
      <w:pPr>
        <w:spacing w:after="0" w:line="240" w:lineRule="auto"/>
        <w:jc w:val="both"/>
        <w:rPr>
          <w:rFonts w:ascii="Times New Roman" w:hAnsi="Times New Roman"/>
          <w:color w:val="000000" w:themeColor="text1"/>
          <w:sz w:val="16"/>
          <w:szCs w:val="16"/>
        </w:rPr>
      </w:pPr>
    </w:p>
    <w:p w14:paraId="40838F66" w14:textId="77777777" w:rsidR="00301BB3" w:rsidRPr="007224C3" w:rsidRDefault="00301BB3" w:rsidP="007224C3">
      <w:pPr>
        <w:shd w:val="clear" w:color="auto" w:fill="FFFFFF"/>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lastRenderedPageBreak/>
        <w:t>24 апреля 1944 ОГК-ТП ЧКЗ был подготовлен чертеж корпуса с литой носовой деталью (240-50-141). К ней приваривались смотровой прибор и его от</w:t>
      </w:r>
      <w:r w:rsidRPr="007224C3">
        <w:rPr>
          <w:rFonts w:ascii="Times New Roman" w:hAnsi="Times New Roman"/>
          <w:color w:val="0070C0"/>
          <w:sz w:val="16"/>
          <w:szCs w:val="16"/>
        </w:rPr>
        <w:softHyphen/>
        <w:t>бойник. В то время как толщина верхней части лба корпуса составляла 100 мм, ниж</w:t>
      </w:r>
      <w:r w:rsidRPr="007224C3">
        <w:rPr>
          <w:rFonts w:ascii="Times New Roman" w:hAnsi="Times New Roman"/>
          <w:color w:val="0070C0"/>
          <w:sz w:val="16"/>
          <w:szCs w:val="16"/>
        </w:rPr>
        <w:softHyphen/>
        <w:t>нюю часть усилили до 130 мм. Из-за передел</w:t>
      </w:r>
      <w:r w:rsidRPr="007224C3">
        <w:rPr>
          <w:rFonts w:ascii="Times New Roman" w:hAnsi="Times New Roman"/>
          <w:color w:val="0070C0"/>
          <w:sz w:val="16"/>
          <w:szCs w:val="16"/>
        </w:rPr>
        <w:softHyphen/>
        <w:t>ки лобовой части пришлось менять и другие детали, например подбашенную коробку. Новый узел (240-50-Сб166) в месте стыка с литой носовой деталью получился более узким. Конечно, такое отступление от требо</w:t>
      </w:r>
      <w:r w:rsidRPr="007224C3">
        <w:rPr>
          <w:rFonts w:ascii="Times New Roman" w:hAnsi="Times New Roman"/>
          <w:color w:val="0070C0"/>
          <w:sz w:val="16"/>
          <w:szCs w:val="16"/>
        </w:rPr>
        <w:softHyphen/>
        <w:t>ваний увеличило массу детали, но, как пока</w:t>
      </w:r>
      <w:r w:rsidRPr="007224C3">
        <w:rPr>
          <w:rFonts w:ascii="Times New Roman" w:hAnsi="Times New Roman"/>
          <w:color w:val="0070C0"/>
          <w:sz w:val="16"/>
          <w:szCs w:val="16"/>
        </w:rPr>
        <w:softHyphen/>
        <w:t>зали дальнейшие события, увеличение тол</w:t>
      </w:r>
      <w:r w:rsidRPr="007224C3">
        <w:rPr>
          <w:rFonts w:ascii="Times New Roman" w:hAnsi="Times New Roman"/>
          <w:color w:val="0070C0"/>
          <w:sz w:val="16"/>
          <w:szCs w:val="16"/>
        </w:rPr>
        <w:softHyphen/>
        <w:t>щины нижней части до 130 мм было оправ</w:t>
      </w:r>
      <w:r w:rsidRPr="007224C3">
        <w:rPr>
          <w:rFonts w:ascii="Times New Roman" w:hAnsi="Times New Roman"/>
          <w:color w:val="0070C0"/>
          <w:sz w:val="16"/>
          <w:szCs w:val="16"/>
        </w:rPr>
        <w:softHyphen/>
        <w:t>данно (19880).</w:t>
      </w:r>
    </w:p>
    <w:p w14:paraId="12210EB4" w14:textId="77777777" w:rsidR="00301BB3" w:rsidRPr="007224C3" w:rsidRDefault="00301BB3" w:rsidP="007224C3">
      <w:pPr>
        <w:shd w:val="clear" w:color="auto" w:fill="FFFFFF"/>
        <w:spacing w:after="0" w:line="240" w:lineRule="auto"/>
        <w:jc w:val="both"/>
        <w:rPr>
          <w:rFonts w:ascii="Times New Roman" w:hAnsi="Times New Roman"/>
          <w:color w:val="0070C0"/>
          <w:sz w:val="16"/>
          <w:szCs w:val="16"/>
        </w:rPr>
      </w:pPr>
    </w:p>
    <w:p w14:paraId="1069CBB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апреля 1944 г. была подготовлена ДОКЛАДНАЯ ЗАПИСКА ПОМОЩНИКА НАЧАЛЬНИКА ТУ ГБТУ КА НАЧАЛЬНИКУ ГУРТ КА ПО РЕЗУЛЬТАТАМ РАССЛЕДОВАНИЯ ПРИЧИН ВЫХОДА ИЗ СТРОЯ ТАНКОВ М4-А2 №521905</w:t>
      </w:r>
    </w:p>
    <w:p w14:paraId="45B90BD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Расследованием причин выхода из строя четырех танков М4-А2 в 3-м Сталинградском гвардей</w:t>
      </w:r>
      <w:r w:rsidRPr="007224C3">
        <w:rPr>
          <w:rFonts w:ascii="Times New Roman" w:hAnsi="Times New Roman"/>
          <w:color w:val="000000" w:themeColor="text1"/>
          <w:sz w:val="16"/>
          <w:szCs w:val="16"/>
        </w:rPr>
        <w:softHyphen/>
        <w:t>ском мехкорпусе установлено:</w:t>
      </w:r>
    </w:p>
    <w:p w14:paraId="6708013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На трех танках разрушены главные фрикционы вследствии их недостаточной прочности.</w:t>
      </w:r>
    </w:p>
    <w:p w14:paraId="392340B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На одном танке вышел из строя двигатель из-за технической неграмотности механика-води</w:t>
      </w:r>
      <w:r w:rsidRPr="007224C3">
        <w:rPr>
          <w:rFonts w:ascii="Times New Roman" w:hAnsi="Times New Roman"/>
          <w:color w:val="000000" w:themeColor="text1"/>
          <w:sz w:val="16"/>
          <w:szCs w:val="16"/>
        </w:rPr>
        <w:softHyphen/>
        <w:t>теля, который неправильно производил прогрев двигателя после заводки и не умел пользоваться прибором подогрева воздуха.</w:t>
      </w:r>
    </w:p>
    <w:p w14:paraId="1877A7D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Меры для наказания виновников приняты.</w:t>
      </w:r>
    </w:p>
    <w:p w14:paraId="416ED5B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Танки могут быть восстановлены силами 3-го Сталинградского гвардейского мехкорпуса.</w:t>
      </w:r>
    </w:p>
    <w:p w14:paraId="540AD6C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Прошу Вашего распоряжения о срочной выдаче 3-му Сталинградскому гвардейскому мехкорпу-су следующих агрегатов и запчастей:</w:t>
      </w:r>
    </w:p>
    <w:p w14:paraId="3EDE7AB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Для восстановления выше указанных танков:</w:t>
      </w:r>
    </w:p>
    <w:p w14:paraId="7815AF7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Главный фрикцион в сборе</w:t>
      </w:r>
    </w:p>
    <w:p w14:paraId="72F8656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Ведомый диск гл. фрикциона</w:t>
      </w:r>
    </w:p>
    <w:p w14:paraId="3E571B3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Нажимной диск гл. фрикциона</w:t>
      </w:r>
    </w:p>
    <w:p w14:paraId="2EBC4ED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Опорный диск гл. фрикциона</w:t>
      </w:r>
    </w:p>
    <w:p w14:paraId="0928A47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Картер маховика левый в сборе</w:t>
      </w:r>
    </w:p>
    <w:p w14:paraId="7739F1F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Картер гл. фрикциона в сборе</w:t>
      </w:r>
    </w:p>
    <w:p w14:paraId="0505A72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Спаренная установка дизелей СМС</w:t>
      </w:r>
    </w:p>
    <w:p w14:paraId="44E9F24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-2шт.</w:t>
      </w:r>
    </w:p>
    <w:p w14:paraId="5E019F8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- 1 шт.</w:t>
      </w:r>
    </w:p>
    <w:p w14:paraId="7F53092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- 1 шт.</w:t>
      </w:r>
    </w:p>
    <w:p w14:paraId="2F927BE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- 1 шт.</w:t>
      </w:r>
    </w:p>
    <w:p w14:paraId="21A80DE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- 2 шт.</w:t>
      </w:r>
    </w:p>
    <w:p w14:paraId="47295D1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- 2 шт.</w:t>
      </w:r>
    </w:p>
    <w:p w14:paraId="18E4E17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- 1 комплект</w:t>
      </w:r>
    </w:p>
    <w:p w14:paraId="1FAB8A1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В запас:</w:t>
      </w:r>
    </w:p>
    <w:p w14:paraId="12DCB29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Спаренных установок дизелей СМС-6046</w:t>
      </w:r>
    </w:p>
    <w:p w14:paraId="37BB89A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Распылителей для инжекторов серии «М»</w:t>
      </w:r>
    </w:p>
    <w:p w14:paraId="309D3DE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Главных фрикционов в сборе</w:t>
      </w:r>
    </w:p>
    <w:p w14:paraId="1B5CF6D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Ведомых дисков гл. фрикциона</w:t>
      </w:r>
    </w:p>
    <w:p w14:paraId="5876CF8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Нажимных дисков гл. фрикциона</w:t>
      </w:r>
    </w:p>
    <w:p w14:paraId="6105439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Опорных дисков гл. фрикциона</w:t>
      </w:r>
    </w:p>
    <w:p w14:paraId="21FDE85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Картеров маховика</w:t>
      </w:r>
    </w:p>
    <w:p w14:paraId="24C83E0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Картеров гл. фрикционов</w:t>
      </w:r>
    </w:p>
    <w:p w14:paraId="31018C1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- 2 шт.</w:t>
      </w:r>
    </w:p>
    <w:p w14:paraId="2368CCA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- 20 шт.</w:t>
      </w:r>
    </w:p>
    <w:p w14:paraId="06805BF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- 5 шт.</w:t>
      </w:r>
    </w:p>
    <w:p w14:paraId="0554F42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- 6 шт.</w:t>
      </w:r>
    </w:p>
    <w:p w14:paraId="2726C1A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- 5 шт.</w:t>
      </w:r>
    </w:p>
    <w:p w14:paraId="14DFDC7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- 5 шт.</w:t>
      </w:r>
    </w:p>
    <w:p w14:paraId="6B198EE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- 5 шт.</w:t>
      </w:r>
    </w:p>
    <w:p w14:paraId="4E8D282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- 5 шт.</w:t>
      </w:r>
    </w:p>
    <w:p w14:paraId="184A95B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Пом. начальника ТУ ГБТУ Красной Армии гвардии полковник Кульчинский</w:t>
      </w:r>
    </w:p>
    <w:p w14:paraId="005E921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5 отдела ТУ ГБТУ Красной Армии подполковник административной службы Сафир</w:t>
      </w:r>
    </w:p>
    <w:p w14:paraId="4717DC9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38. Оп. 11355. Д. 2181. Л. 48. Подлинник (11403).</w:t>
      </w:r>
    </w:p>
    <w:p w14:paraId="797765D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48A425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апреля 1944 вышло Постановление ГКО № 5717 О балансах и планах распределения проката черных металлов, металлокерамических твердых сплавов, труб, метизов, чугуна, ферросплавов, доменного угля и металлургического кокса на II квартал 1944 года. РГАНИР, Фонд ГКО, д. 243, лл. 2-4,5-109 (11012).</w:t>
      </w:r>
    </w:p>
    <w:p w14:paraId="7720ED9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5475A73"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5D65C83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4BEC90A" w14:textId="77777777" w:rsidR="00C77478" w:rsidRPr="007224C3" w:rsidRDefault="00C7747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апреля в 1944 году оперативная сводка Совинформбюро:</w:t>
      </w:r>
    </w:p>
    <w:p w14:paraId="46333D0E" w14:textId="77777777" w:rsidR="00C77478" w:rsidRPr="007224C3" w:rsidRDefault="00C7747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24 апреля на фронтах существенных изменений непроизошло.</w:t>
      </w:r>
    </w:p>
    <w:p w14:paraId="36BA134F" w14:textId="77777777" w:rsidR="00C77478" w:rsidRPr="007224C3" w:rsidRDefault="00C7747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23 апреля нашими войсками подбито и уничтожено 16 немецких танков. Ввоздушных боях и огнём зенитной артиллерии уничтожен 51 самолёт противника.».</w:t>
      </w:r>
    </w:p>
    <w:p w14:paraId="1B8393A5" w14:textId="77777777" w:rsidR="00C77478" w:rsidRPr="007224C3" w:rsidRDefault="00C7747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Налёт нашей авиации на железнодорожный узел Львов</w:t>
      </w:r>
    </w:p>
    <w:p w14:paraId="21C3E188" w14:textId="77777777" w:rsidR="00C77478" w:rsidRPr="007224C3" w:rsidRDefault="00C7747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ночь на 24 апреля наша авиация дальнего действия бомбардировала скопление немецких воинских эшелонов на железнодорожном узле Львов. В результате бомбардировки возникли многочисленные пожары, сопровождавшиеся взрывами.</w:t>
      </w:r>
    </w:p>
    <w:p w14:paraId="72AFE7E8" w14:textId="77777777" w:rsidR="00C77478" w:rsidRPr="007224C3" w:rsidRDefault="00C7747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 наши самолёты вернулись на свои аэродромы.».</w:t>
      </w:r>
    </w:p>
    <w:p w14:paraId="6160B6C0" w14:textId="77777777" w:rsidR="00C77478" w:rsidRPr="007224C3" w:rsidRDefault="00C7747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Удары по судам противника на коммуникациях Севастополь—порты Румынии.</w:t>
      </w:r>
    </w:p>
    <w:p w14:paraId="564FCD2C" w14:textId="77777777" w:rsidR="00C77478" w:rsidRPr="007224C3" w:rsidRDefault="00C7747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«Авиация Черноморского флота наносила удары по судам противника на коммуникациях Севастополь—порты Румынии. Прямыми попаданиями бомб потоплены 7 транспортов противника с войсками, которые немцы пытались эвакуировать из Севастополя. Общее водоизмещение потопленных транспортов составляет 16 тысяч тонн. Кроме того, потоплены быстроходная десантная баржа, торпедный катер и 3 сторожевых корабля противника. Нескольким вражеским судам нанесены серьёзные повреждения.».</w:t>
      </w:r>
    </w:p>
    <w:p w14:paraId="4E7F00A1" w14:textId="77777777" w:rsidR="00C77478" w:rsidRPr="007224C3" w:rsidRDefault="00C7747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Дубно пехота и танки противника предприняли атаку. Вначале немцам удалось потеснить наши передовые подразделения и захватить два населённых пункта. Затем советские части нанесли контрудар, выбили гитлеровцев из обоих населённых пунктов и восстановили положение. В этом бою наши артиллеристы подбили 12 немецких танков и 5 бронетранспортёров. На поле боя осталось свыше 400 убитых вражеских солдат и офицеров.</w:t>
      </w:r>
    </w:p>
    <w:p w14:paraId="7947ECB0" w14:textId="77777777" w:rsidR="00C77478" w:rsidRPr="007224C3" w:rsidRDefault="00C7747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Юго-восточнее города Станислав батальон немецкой пехоты ночью переправился через водный рубеж. Утром советские бойцы атаковали гитлеровцев и разгромили их. Истреблено свыше 200 солдат и офицеров противника. Много немцев утонуло в реке. Наши подразделения захватили всё вооружение ликвидированного немецкого батальона.</w:t>
      </w:r>
    </w:p>
    <w:p w14:paraId="575011B9" w14:textId="77777777" w:rsidR="00C77478" w:rsidRPr="007224C3" w:rsidRDefault="00C7747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Авиация 4-го Украинского фронта наносила массированные бомбардировочные и штурмовые удары по немецким и румынским войскам в районе города Севастополь.Противник понёс большие потери в живой силе и технике. В Южной бухте Севастопольского порта потоплены два транспорта и одна самоходная баржа. Наши лётчики совершили успешный налёт на немецкий аэродром и уничтожили 14 самолётов, в том числе 5 трехмоторный транспортных самолётов «Юнкерс-52». В воздушных бояхи огнём зенитной артиллерии сбито 22 самолёта противника. Таким образом, всего в течение дня в районе Севастополя уничтожено 36 немецких самолётов.</w:t>
      </w:r>
    </w:p>
    <w:p w14:paraId="35C4D4BA" w14:textId="77777777" w:rsidR="00C77478" w:rsidRPr="007224C3" w:rsidRDefault="00C7747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Несколько партизанских отрядов, действующих в Калининской области, с 1 по 6апреля пустили под откос три немецких воинских эшелона. На шоссейных и грунтовых дорогах калининские партизаны уничтожили 15 автомашин и 7 повозок с грузами. Убито 76 немецких солдат и офицеров. Взято 11 пленных. Кроме того, 24 солдата противника добровольно перешли на сторону партизан.</w:t>
      </w:r>
    </w:p>
    <w:p w14:paraId="5B21BA56" w14:textId="77777777" w:rsidR="00C77478" w:rsidRPr="007224C3" w:rsidRDefault="00C7747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Крымским партизанам сдался в плен в полном составе 4 артдивизион 2 румынской горно-стрелковой дивизии. Пленный капитан Теодор Велсану рассказал: «Наш дивизион охранял побережье Чёрного моря в районе Ускута. Мы позже других узналио том, что русские прорвали немецкую оборону. Весть о безостановочном и молниеносном продвижении русских деморализовала немецкие и румынские части. Все растерялись. О нас совсем забыли, и мы не знали, что делать. С большим трудом я отыскал немецкий штаб. Старший офицер очень торопился и волновался. Он заявил,что наш артдивизион должен сопротивляться до последнего человека, </w:t>
      </w:r>
      <w:r w:rsidRPr="007224C3">
        <w:rPr>
          <w:rFonts w:ascii="Times New Roman" w:hAnsi="Times New Roman"/>
          <w:color w:val="000000" w:themeColor="text1"/>
          <w:sz w:val="16"/>
          <w:szCs w:val="16"/>
        </w:rPr>
        <w:lastRenderedPageBreak/>
        <w:t>но не мог толком сказать, где наш участок обороны. Мы обращались и к другим немецким офицерам, но они нас даже не удостоили ответом. Всем стало ясно, что немцыбросили нас на верную гибель. Дивизион под командованием майора Ангелеску направился в район, где, по нашим сведениям, действовали партизаны. Подойдя кплато в горах, мы укрылись в лощинах и выслали к партизанам парламентёра с белым флагом. Вскоре пришла группа партизан, которой майор Ангелеску передал весь личный состав дивизиона, орудия и боеприпасы».</w:t>
      </w:r>
    </w:p>
    <w:p w14:paraId="37F65C1F" w14:textId="77777777" w:rsidR="00C77478" w:rsidRPr="007224C3" w:rsidRDefault="00C7747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Немецко-фашистские мерзавцы залили кровью улицы города Феодосии. Немцы особенно жестоко расправлялись с советской интеллигенцией, отказавшейся работатьна оккупантов. Немецкие палачи повесили и расстреляли многих специалистов. Зверски замучены известный хирург Дашевский, врачи Баранов и Вассерман. Старого терапевта Фиделева гитлеровцы повесили на центральной улице города. Жители освобождённого города раскапывают десятки ям и отыскивают во рвах, глухих балках и лиманах в окрестностях Феодосии родных и близких им людей, павших от рук фашистских убийц. Немецко-румынские варвары произвели в городе большие разрушения. Проспект Ленина с его чудесными санаториями, домами отдыха, и лечебницами превращён в развалины. Картинная галерея и домик знаменитого русского художника Айвазовского разграблены и разрушены. Лучшие картины немцы украли и вывезли в Германию. В галерее и в домике видны следы страшного погрома. Окна и рамы выбиты, мебель и вся утварь переломаны. На полу валяются изорванныев клочья книги из личной библиотеки Айвазовского. Сторож Фома Иванович Дарменко, охранявший галерею в течение долгих лет и работавший при покойном Айвазовском, рассказывает: «Немцы — это настоящие дикари. Когда они громили галерею, я плакал, умолял немецкого офицера пощадить творения русского художника, но он только посмеивался и продолжал свое гнусное дело». Немцы разрушили порт, взорвали много домов в городе, сожгли табачную фабрику, 11 школ, почту, телеграф и другие здания. Гитлеровцы заминировали сотни других домов, но не успели их взорвать. Стремительное наступление Красной Армии спасло Феодосию от полного разрушения.» (15109).</w:t>
      </w:r>
    </w:p>
    <w:p w14:paraId="0138D3CD" w14:textId="77777777" w:rsidR="00C77478" w:rsidRPr="007224C3" w:rsidRDefault="00C77478" w:rsidP="007224C3">
      <w:pPr>
        <w:spacing w:after="0" w:line="240" w:lineRule="auto"/>
        <w:jc w:val="both"/>
        <w:rPr>
          <w:rFonts w:ascii="Times New Roman" w:hAnsi="Times New Roman"/>
          <w:color w:val="000000" w:themeColor="text1"/>
          <w:sz w:val="16"/>
          <w:szCs w:val="16"/>
        </w:rPr>
      </w:pPr>
    </w:p>
    <w:p w14:paraId="7C221E56"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апреля 1944 в СССР Западный фронт разделен на 2-й и 3-й Белорусские фронты (4962).</w:t>
      </w:r>
    </w:p>
    <w:p w14:paraId="43F2B24B"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0AEBF9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апреля 1944 согласно сообщению Совинформбюро а 4УФ наносила массированные б и ш удары по войскам противника в районе Севастополя, потопила 2 транспорта, уничтожила 14 с на аэродроме и 22 в воздухе. Авиация ЧМФ потопила 7 транспортов (438,903).</w:t>
      </w:r>
    </w:p>
    <w:p w14:paraId="5AF8BD4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811F5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апреля 1944 г. на Черном море, удар по конвою на</w:t>
      </w:r>
      <w:r w:rsidRPr="007224C3">
        <w:rPr>
          <w:rFonts w:ascii="Times New Roman" w:hAnsi="Times New Roman"/>
          <w:color w:val="000000" w:themeColor="text1"/>
          <w:sz w:val="16"/>
          <w:szCs w:val="16"/>
        </w:rPr>
        <w:softHyphen/>
        <w:t>несли 11 Ил-4 с торпедами, 10 «Босто</w:t>
      </w:r>
      <w:r w:rsidRPr="007224C3">
        <w:rPr>
          <w:rFonts w:ascii="Times New Roman" w:hAnsi="Times New Roman"/>
          <w:color w:val="000000" w:themeColor="text1"/>
          <w:sz w:val="16"/>
          <w:szCs w:val="16"/>
        </w:rPr>
        <w:softHyphen/>
        <w:t>нов» (А-20), 12 Ил-2, три Пе-2 и 12 ис</w:t>
      </w:r>
      <w:r w:rsidRPr="007224C3">
        <w:rPr>
          <w:rFonts w:ascii="Times New Roman" w:hAnsi="Times New Roman"/>
          <w:color w:val="000000" w:themeColor="text1"/>
          <w:sz w:val="16"/>
          <w:szCs w:val="16"/>
        </w:rPr>
        <w:softHyphen/>
        <w:t>требителей. Летчики потопили лихтер «Лео», повредили транспорт «Дануби-це» водоизмещением 2000 т (10734,85).</w:t>
      </w:r>
    </w:p>
    <w:p w14:paraId="5B9BECF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7DEF84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апреля 1944 воздушная разведка обнаружила конвой в составе 12 единиц: 2 транспорта, 4 быстроходных баржи, 5 сторожевых катеров и 1 тральщик. Задачу поставили 13 ап. Выделили группу в составе 8 бомбардировщиков-топмачтовиков, 3 ш, одного фоторазведчика и 8 и. Для атаки за 7-8 км снизились до 600 м Вперед вышло 2 ш, с 1.5-2 км открыли пулеметно-пушечный огонь. С 1000-1200 м огонь открыли топмачтовики, сблизились и сбросили бомбы с 250-300 м, а затем уходили на высоте 10-30 м со скоростью 450-470 км/час (4365).</w:t>
      </w:r>
    </w:p>
    <w:p w14:paraId="0FE7A43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94C04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апреля 1944 г. на Черном море удар по конвою нанесли 11 Ил-4 с торпедами, 10 "Бостонов" (А-20), 12 Ил-2, три Пе-2 и 12 истребителей. Летчики потопили лихтер "Лео", повредили транспорт "Данубице" водоизмещением 2000 т (12021).</w:t>
      </w:r>
    </w:p>
    <w:p w14:paraId="19A24BC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240CF4F"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Жизнь и внутренняя политика:</w:t>
      </w:r>
    </w:p>
    <w:p w14:paraId="0B5DB2E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4A56ABE"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апреля 1944 вышло Распоряжение ГКО № 5716 [О выделении ВАО "Интурист" 3 импортных грузовых машин.] (7221, 1).</w:t>
      </w:r>
    </w:p>
    <w:p w14:paraId="78FCBA2D"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27F4607"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37AE252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ED516C0" w14:textId="77777777" w:rsidR="00C77478" w:rsidRPr="007224C3" w:rsidRDefault="00C7747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апреля в 1944 году пробный полет «NA-98X» совершали майор Перри Ричи и 1-й лейтенант Уинтон Уи. Во время пролета на полной скорости над ангарами Инглвуда на высоте 62 м, у самолета отломились обе консоли крыльев и ударили в хвостовое оперение. Самолет рухнул вниз и разбился вместе с экипажем. Причиной аварии признали превышение пилотом предельного режима эксплуатации самолета. После аварии дальнейшие работы над «NA-98X» прекратили (15109).</w:t>
      </w:r>
    </w:p>
    <w:p w14:paraId="3FD690B4" w14:textId="77777777" w:rsidR="00C77478" w:rsidRPr="007224C3" w:rsidRDefault="00C77478" w:rsidP="007224C3">
      <w:pPr>
        <w:spacing w:after="0" w:line="240" w:lineRule="auto"/>
        <w:jc w:val="both"/>
        <w:rPr>
          <w:rFonts w:ascii="Times New Roman" w:hAnsi="Times New Roman"/>
          <w:color w:val="000000" w:themeColor="text1"/>
          <w:sz w:val="16"/>
          <w:szCs w:val="16"/>
        </w:rPr>
      </w:pPr>
    </w:p>
    <w:p w14:paraId="257A11C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апреля 1944 в Китай прибыли первые В-29 (2100).</w:t>
      </w:r>
    </w:p>
    <w:p w14:paraId="57089E3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2E7656" w14:textId="77777777" w:rsidR="00301BB3" w:rsidRPr="007224C3" w:rsidRDefault="00301BB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24 апреля 1944 первый B-29 Superfortress прибыл в Китай (20373).</w:t>
      </w:r>
    </w:p>
    <w:p w14:paraId="6F7EBFDE" w14:textId="77777777" w:rsidR="00301BB3" w:rsidRPr="007224C3" w:rsidRDefault="00301BB3" w:rsidP="007224C3">
      <w:pPr>
        <w:spacing w:after="0" w:line="240" w:lineRule="auto"/>
        <w:jc w:val="both"/>
        <w:rPr>
          <w:rFonts w:ascii="Times New Roman" w:hAnsi="Times New Roman"/>
          <w:color w:val="0070C0"/>
          <w:sz w:val="16"/>
          <w:szCs w:val="16"/>
        </w:rPr>
      </w:pPr>
    </w:p>
    <w:p w14:paraId="6C93A6F3" w14:textId="77777777" w:rsidR="00301BB3" w:rsidRPr="007224C3" w:rsidRDefault="00301BB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24-25 апреля (ночь) 1944 637 британских бомбардировщиков атаковали Карлсруэ, Германия, потеряв 19 самолетов (3 процента сил). Облачность над целью и ветры, сносящие многие самолеты на север, приводят к тому, что многие бомбы падают за пределами города, и только его северная часть повреждаются. Сотня бомбардировщиков по ошибке бомбила Мангейм в 30 милях (48 км) к северу, а сброшенные по неверному направлению бомбы также приземляются в Дармштадте, Людвигсхафене и Гейдельберге (20373).</w:t>
      </w:r>
    </w:p>
    <w:p w14:paraId="7778A97E" w14:textId="77777777" w:rsidR="00301BB3" w:rsidRPr="007224C3" w:rsidRDefault="00301BB3" w:rsidP="007224C3">
      <w:pPr>
        <w:spacing w:after="0" w:line="240" w:lineRule="auto"/>
        <w:jc w:val="both"/>
        <w:rPr>
          <w:rFonts w:ascii="Times New Roman" w:hAnsi="Times New Roman"/>
          <w:color w:val="0070C0"/>
          <w:sz w:val="16"/>
          <w:szCs w:val="16"/>
        </w:rPr>
      </w:pPr>
    </w:p>
    <w:p w14:paraId="6B0B324B" w14:textId="77777777" w:rsidR="00301BB3" w:rsidRPr="007224C3" w:rsidRDefault="00301BB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24-25 апреля (ночь) 1944 260 британских бомбардировщиков ударили по Мюнхену, Германия, попали в центр города и нанесли большой ущерб. Девять бомбардировщиков потеряны (20373).</w:t>
      </w:r>
    </w:p>
    <w:p w14:paraId="27955A43" w14:textId="77777777" w:rsidR="00301BB3" w:rsidRPr="007224C3" w:rsidRDefault="00301BB3" w:rsidP="007224C3">
      <w:pPr>
        <w:spacing w:after="0" w:line="240" w:lineRule="auto"/>
        <w:jc w:val="both"/>
        <w:rPr>
          <w:rFonts w:ascii="Times New Roman" w:hAnsi="Times New Roman"/>
          <w:color w:val="0070C0"/>
          <w:sz w:val="16"/>
          <w:szCs w:val="16"/>
        </w:rPr>
      </w:pPr>
    </w:p>
    <w:p w14:paraId="00AB64AD"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4A42048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1B3C9E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апреля 1944 на МиГ поставили высотный АМ-39Б с ТК-2Б (1824).</w:t>
      </w:r>
    </w:p>
    <w:p w14:paraId="49550CE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DC513B" w14:textId="77777777" w:rsidR="00C77478" w:rsidRPr="007224C3" w:rsidRDefault="00C7747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апреля в 1944 году в летно-испытательном институте (ЛИИ) НКАП начались испытания (по 15 мая) "Москито" B.Mk.IV. Англичане передали Советскому Союзу самолет (заводской номер «DK296») с моторами "Мерлин" 21, построенный летом 1942 года, т.е. довольно потрепанный. Внутри бомбоотсека имелись два топливных бака емкостью 550 л, а управление створками люка было демонтировано. Оборонительное вооружение отсутствовало, как и на всех бомбардировщиках "Москито". Не было ни радиолокатора, ни фотоаппарата. В Советском Союзе на DK296 летали ведущий летчик Н.С.Рыбко, генералы П.Я.Федрови и А.И.Кабанов, ведущим инженером был В.С.Панкратов. В ходе испытаний заявленные фирмой тактико-технические данные в основном подтвердились. У земли машина с взлетной массой 8850 кг показала максимальную скорость 467 км/ч (при работе двигателей на пятиминутном военном режиме - 503 км/ч), на первой границе высотности - 538 (557) км/ч, а на второй - 565 (580) км/ч. Испытатели ЛИИ считали, что за счет длительной эксплуатации скорость «DK296» уменьшилась примерно на 10 км/ч. В "Заключении по испытаниям" было записано: "По комплексу летно-технических характеристик при работе моторов на номинальном режиме представленный вариант "Москито" примерно равен советскому «Ту-2» с той разницей, что последний имеет мощное оборонительное вооружение и обладает способностью нести втрое больший бомбовый груз". Такая оценка не совсем справедлива. К 1944 г. современные варианты бомбардировщика "Москито" летали гораздо быстрее серийных «Ту-2», к тому же на больших высотах, а нормальная бомбовая нагрузка этих двух машин была примерно одинаковой. Не исключалась возможность поставок по ленд-лизу, хотя английское Министерство авиации уверяло, что, мол, "Мосси" им самим не хватает</w:t>
      </w:r>
    </w:p>
    <w:p w14:paraId="45252C6F" w14:textId="77777777" w:rsidR="00C77478" w:rsidRPr="007224C3" w:rsidRDefault="00C77478" w:rsidP="007224C3">
      <w:pPr>
        <w:spacing w:after="0" w:line="240" w:lineRule="auto"/>
        <w:jc w:val="both"/>
        <w:rPr>
          <w:rFonts w:ascii="Times New Roman" w:hAnsi="Times New Roman"/>
          <w:color w:val="000000" w:themeColor="text1"/>
          <w:sz w:val="16"/>
          <w:szCs w:val="16"/>
        </w:rPr>
      </w:pPr>
    </w:p>
    <w:p w14:paraId="3E267CA9" w14:textId="77777777" w:rsidR="00783151" w:rsidRPr="007224C3" w:rsidRDefault="0078315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25 апреля 1944 Москито уже находился в ЛИИ, где на</w:t>
      </w:r>
      <w:r w:rsidRPr="007224C3">
        <w:rPr>
          <w:rFonts w:ascii="Times New Roman" w:hAnsi="Times New Roman"/>
          <w:color w:val="000000" w:themeColor="text1"/>
          <w:sz w:val="16"/>
          <w:szCs w:val="16"/>
        </w:rPr>
        <w:softHyphen/>
        <w:t>чались летные испытания. Ведущим ин</w:t>
      </w:r>
      <w:r w:rsidRPr="007224C3">
        <w:rPr>
          <w:rFonts w:ascii="Times New Roman" w:hAnsi="Times New Roman"/>
          <w:color w:val="000000" w:themeColor="text1"/>
          <w:sz w:val="16"/>
          <w:szCs w:val="16"/>
        </w:rPr>
        <w:softHyphen/>
        <w:t>женером на них являлся B.C. Панкратов, а пилотировал бомбардировщик Н.С. Рыбко. В ходе испытаний заявленные фир</w:t>
      </w:r>
      <w:r w:rsidRPr="007224C3">
        <w:rPr>
          <w:rFonts w:ascii="Times New Roman" w:hAnsi="Times New Roman"/>
          <w:color w:val="000000" w:themeColor="text1"/>
          <w:sz w:val="16"/>
          <w:szCs w:val="16"/>
        </w:rPr>
        <w:softHyphen/>
        <w:t>мой данные в основном подтвердились. При взлетном весе 8850 кг достигли максимальной скорости 580 км/ч (на пятиминутном режиме работы двигате</w:t>
      </w:r>
      <w:r w:rsidRPr="007224C3">
        <w:rPr>
          <w:rFonts w:ascii="Times New Roman" w:hAnsi="Times New Roman"/>
          <w:color w:val="000000" w:themeColor="text1"/>
          <w:sz w:val="16"/>
          <w:szCs w:val="16"/>
        </w:rPr>
        <w:softHyphen/>
        <w:t>лей). По оценке советских специалистов, за счет износа машины этот показатель ухудшился примерно на 10 км/ч. Правда, отечественные опытные бомбардиров</w:t>
      </w:r>
      <w:r w:rsidRPr="007224C3">
        <w:rPr>
          <w:rFonts w:ascii="Times New Roman" w:hAnsi="Times New Roman"/>
          <w:color w:val="000000" w:themeColor="text1"/>
          <w:sz w:val="16"/>
          <w:szCs w:val="16"/>
        </w:rPr>
        <w:softHyphen/>
        <w:t>щики в это время уже перевалили за 600 км/ч: туполевский СДБ на испытаниях показал 633 км/ч, а Пе-2И - 644 км/ч. Но переданный «Москито» был не самой последней модификации. В Англии тогда уже строили машины с моторами «Мер</w:t>
      </w:r>
      <w:r w:rsidRPr="007224C3">
        <w:rPr>
          <w:rFonts w:ascii="Times New Roman" w:hAnsi="Times New Roman"/>
          <w:color w:val="000000" w:themeColor="text1"/>
          <w:sz w:val="16"/>
          <w:szCs w:val="16"/>
        </w:rPr>
        <w:softHyphen/>
        <w:t>лин», оснащенными двухступенчатыми нагнетателями. У них характеристики на больших высотах были гораздо лучше.</w:t>
      </w:r>
    </w:p>
    <w:p w14:paraId="65892D2B" w14:textId="77777777" w:rsidR="00783151" w:rsidRPr="007224C3" w:rsidRDefault="0078315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Управляемость английского само</w:t>
      </w:r>
      <w:r w:rsidRPr="007224C3">
        <w:rPr>
          <w:rFonts w:ascii="Times New Roman" w:hAnsi="Times New Roman"/>
          <w:color w:val="000000" w:themeColor="text1"/>
          <w:sz w:val="16"/>
          <w:szCs w:val="16"/>
        </w:rPr>
        <w:softHyphen/>
        <w:t>лета получила высокую оценку. В частности, «Москито» очень легко летал на одном моторе, выполняя, в том числе, глубокие развороты с креном в сторону выключенного двигателя. А вот устойчивость сочли недостаточной во всех отношениях. Машина требовала от пилота достаточно высокой квалификации. Особо следует указать на то, что при общей несложности посадки, на пробеге «Москито» демонстрировал упорную склонность к развороту влево. Это отмечали все пилоты, участвовавшие в испытаниях (а кроме Рыбко, к полетам привлекались генерал-майоры П.Я. Федрови и А.И. Кабанов, откомандированные</w:t>
      </w:r>
      <w:r w:rsidRPr="007224C3">
        <w:rPr>
          <w:rFonts w:ascii="Times New Roman" w:hAnsi="Times New Roman"/>
          <w:color w:val="000000" w:themeColor="text1"/>
          <w:sz w:val="16"/>
          <w:szCs w:val="16"/>
        </w:rPr>
        <w:tab/>
        <w:t>т из НИИ ВВС). Правда, М.Л. Галлай в свое время высказывал мнение, что эта тенденция не присуща данному типу самолета, а являлась следствием некачественного ремонта стойки хвостового колеса, установленной с перекосом. Рыбко в своем отзыве написал: «По управляемости самолет «Москито» IV сильно напоминает Пе-2, однако</w:t>
      </w:r>
      <w:r w:rsidRPr="007224C3">
        <w:rPr>
          <w:rFonts w:ascii="Times New Roman" w:hAnsi="Times New Roman"/>
          <w:color w:val="000000" w:themeColor="text1"/>
          <w:sz w:val="16"/>
          <w:szCs w:val="16"/>
        </w:rPr>
        <w:tab/>
        <w:t xml:space="preserve">с продольная неустойчивость, меньшие нагрузки от рулей и большая склонность к левому развороту на посадке предъявляют </w:t>
      </w:r>
      <w:r w:rsidRPr="007224C3">
        <w:rPr>
          <w:rFonts w:ascii="Times New Roman" w:hAnsi="Times New Roman"/>
          <w:color w:val="000000" w:themeColor="text1"/>
          <w:sz w:val="16"/>
          <w:szCs w:val="16"/>
        </w:rPr>
        <w:lastRenderedPageBreak/>
        <w:t>более высокие требования к летчику, чем Пе-2». Штурманская кабина английского самолета оснащалась всеми необходимыми приборами, весьма удобно расположенными, хотя саму кабину сочли несколько тесноватой. Подвергся критике и ограниченный по сравнению с Пе-2 и Ту-2 обзор вниз.</w:t>
      </w:r>
    </w:p>
    <w:p w14:paraId="5A96B94A" w14:textId="77777777" w:rsidR="00783151" w:rsidRPr="007224C3" w:rsidRDefault="0078315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«Москито» тщательно изучался специалистами ЛИИ, НИИ ВВС, ЦАГИ и авиазаводов. Очень заинтересовали флюгируемые винты, тогда еще отсутствовавшие на серийных советских бомбардировщиках, отдельные агрегаты мотоустановки, устройство обогрева кабины, современные компактные приборы, пламегасители на выхлопных патрубках двигателей. В отличие от отечественных самолетов все деревянные части изнутри обрабатывались антисептиком от гниения.</w:t>
      </w:r>
    </w:p>
    <w:p w14:paraId="634F3096" w14:textId="77777777" w:rsidR="00783151" w:rsidRPr="007224C3" w:rsidRDefault="0078315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точки зрения удобства эксплуатации «Москито» оказался выше всяких похвал. Исписали немало бумаги, рассказывая о прекрасной взаимозаменяемости деталей и узлов, удобном доступе ко всем основным агрегатам, быстроте их замены в случае необходимости.</w:t>
      </w:r>
    </w:p>
    <w:p w14:paraId="7007C920" w14:textId="77777777" w:rsidR="00783151" w:rsidRPr="007224C3" w:rsidRDefault="0078315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Множество автоматических устройств облегчало</w:t>
      </w:r>
    </w:p>
    <w:p w14:paraId="75BBBA45" w14:textId="77777777" w:rsidR="00783151" w:rsidRPr="007224C3" w:rsidRDefault="00783151" w:rsidP="007224C3">
      <w:pPr>
        <w:spacing w:after="0" w:line="240" w:lineRule="auto"/>
        <w:jc w:val="both"/>
        <w:rPr>
          <w:rFonts w:ascii="Times New Roman" w:hAnsi="Times New Roman"/>
          <w:color w:val="000000" w:themeColor="text1"/>
          <w:sz w:val="16"/>
          <w:szCs w:val="16"/>
        </w:rPr>
      </w:pPr>
    </w:p>
    <w:p w14:paraId="7E22064D" w14:textId="77777777" w:rsidR="00301BB3" w:rsidRPr="007224C3" w:rsidRDefault="00301BB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С 25 апреля 1944 1944 - (по 15 мая) 1944 года, в летно-испытательном институте (ЛИИ) НКАП начались испытания "Москито" B.Mk.IV. Англичане передали Советскому Союзу самолет (заводской номер DK296) с моторами "Мерлин" 21, построенный летом 1942 года, т.е. довольно потрепанный. Внутри бомбоотсека имелись два топливных бака емкостью 550 л, а управление створками люка было демонтировано. Оборонительное вооружение отсутствовало, как и на всех бомбардировщиках "Москито". Не было ни радиолокатора, ни фотоаппарата. В Советском Союзе на DK296 летали ведущий летчик Н.С.Рыбко, генералы П.Я.Федрови и А.И.Кабанов, ведущим инженером был В.С.Панкратов. В ходе испытаний заявленные фирмой тактико-технические данные в основном подтвердились. У земли машина с взлетной массой 8850 кг показала максимальную скорость 467 км/ч (при работе двигателей на пятиминутном военном режиме - 503 км/ч), на первой границе высотности - 538 (557) км/ч, а на второй - 565 (580) км/ч. Испытатели ЛИИ считали, что за счет длительной эксплуатации скорость DK296 уменьшилась примерно на 10 км/ч. В "Заключении по испытаниям" было записано: "По комплексу летно-технических характеристик при работе моторов на номинальном режиме представленный вариант "Москито" примерно равен советскому Ту-2 с той разницей, что последний имеет мощное оборонительное вооружение и обладает способностью нести втрое больший бомбовый груз". Такая оценка не совсем справедлива. К 1944 г. современные варианты бомбардировщика "Москито" летали гораздо быстрее серийных Ту-2, к тому же на больших высотах, а нормальная бомбовая нагрузка этих двух машин была примерно одинаковой. Не исключалась возможность поставок по ленд-лизу, хотя английское Министерство авиации уверяло, что, мол, "Мосси" им самим не хватает (22524).</w:t>
      </w:r>
    </w:p>
    <w:p w14:paraId="7A58BA45" w14:textId="77777777" w:rsidR="00301BB3" w:rsidRPr="007224C3" w:rsidRDefault="00301BB3" w:rsidP="007224C3">
      <w:pPr>
        <w:spacing w:after="0" w:line="240" w:lineRule="auto"/>
        <w:jc w:val="both"/>
        <w:rPr>
          <w:rFonts w:ascii="Times New Roman" w:hAnsi="Times New Roman"/>
          <w:color w:val="0070C0"/>
          <w:sz w:val="16"/>
          <w:szCs w:val="16"/>
        </w:rPr>
      </w:pPr>
    </w:p>
    <w:p w14:paraId="3DE5EDC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апреля 1944 года вышел приказ НКАП</w:t>
      </w:r>
    </w:p>
    <w:p w14:paraId="38DF460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Утвердить директором завода № 282 Романова Н.А. (8925)</w:t>
      </w:r>
    </w:p>
    <w:p w14:paraId="688F565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DF0E80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апреля 1944 года Л.П. Берия согласовал с Наркомом авиапрома А.И.Шахуриным вопрос о досрочном освобождении В.П.Глушко и других заключенных специалистов 4 Спецотдела НКВД завода № 16 в Казани (всего 35 специалистов, в том числе С.П.Королев). Результатом обращения Л.П.Берии к И.В. Сталину явилось решение Президиума Верховного Совета СССР от 27 июля 1944 г. о досрочном освобождении перечисленных в его письме специалистов со снятием с них судимости. Под номером «18» значилась фамилия С.П.Королева (11331).</w:t>
      </w:r>
    </w:p>
    <w:p w14:paraId="7E014D5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3021BA4"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52EB2C3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30CC27B"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апреля 1944 года вышел приказ № 206 НКБ</w:t>
      </w:r>
    </w:p>
    <w:p w14:paraId="3B8DA381"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 исполнение распоряжения СНК за № 8590рс от 20 апреля 1944 года:</w:t>
      </w:r>
    </w:p>
    <w:p w14:paraId="43C655E4"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комбинат № 259 им. Ленина разделить на два самостоятельных завода:</w:t>
      </w:r>
    </w:p>
    <w:p w14:paraId="2AD9F75A" w14:textId="77777777" w:rsidR="00595BFB" w:rsidRPr="007224C3" w:rsidRDefault="00595BFB" w:rsidP="007224C3">
      <w:pPr>
        <w:widowControl w:val="0"/>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 391 по производству стали, проката, шанцевого и столярного инструмента и холодного оружия;</w:t>
      </w:r>
    </w:p>
    <w:p w14:paraId="06F30447"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 259 им. Ленина снарядного производства, прессостроения, режущего и мерительного инструмента (6018, 72).</w:t>
      </w:r>
    </w:p>
    <w:p w14:paraId="33F7BD55"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2273FC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апреля 1944 вышло Постановление ГКО № 5718 О восстановлении трубного производства на Мариупольском заводе им. Ильича НКТП. РГАНИР, Фонд ГКО, д. 243, лл. 110-112,113-115 (11012).</w:t>
      </w:r>
    </w:p>
    <w:p w14:paraId="76C7276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13ED63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апреля 1944 вышло Постановление ГКО № 5719 О мероприятиях по развитию добычи природного газа и производства искусственного жидкого топлива во II квартале 1944 года. РГАНИР, Фонд ГКО, д. 243, лл. 116-123,124-137 (11012).</w:t>
      </w:r>
    </w:p>
    <w:p w14:paraId="72AD8A8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6A8F30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апреля 1944 вышло Постановление ГКО № 5720 О плане добычи угля на II квартал и апрель 1944 г. по Наркомуглю и мерах по материально-техническому обеспечению угольной промышленности. РГАНИР, Фонд ГКО, д. 243, лл. 138-172,173-212 (11012).</w:t>
      </w:r>
    </w:p>
    <w:p w14:paraId="1A80293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1B8E184"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апреля 1944 вышло Постановление ГКО № 5721 О мерах неотложной помощи по увеличению добычи угля и дальнейшему развитию Кизеловского каменноугольного бассейна. (7221, 213-227,228-252).</w:t>
      </w:r>
    </w:p>
    <w:p w14:paraId="6CB05EF1"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5372329"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апреля 1944 вышло Постановление ГКО № 5722 О производстве на заводах Наркомтяжмаша подъемных машин для восстановления шахт Наркомугля в Донбассе и Наркомчермета в Кривом Роге. (7222, 1-7,8-26).</w:t>
      </w:r>
    </w:p>
    <w:p w14:paraId="6F4CAD0A"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B974DF8"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апреля 1944 вышло Постановление ГКО № 5723 О мероприятиях по восстановлению шоссейных дорог и организации эксплуатационно-дорожной службы на территории, освобожденной от противника. (7222, 27-34,35-48).</w:t>
      </w:r>
    </w:p>
    <w:p w14:paraId="26970E51"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C0D109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апреля 1944 вышло Распоряжение ГКО № 5724. О возвращении НКзему СССР 3 дизельных экскаваторов от НКУП для ирригационных работ в Казахской ССР. РГАНИР, Фонд ГКО, д. 244, лл. 49 (11012).</w:t>
      </w:r>
    </w:p>
    <w:p w14:paraId="6C416E0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526FD3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апреля 1944 вышло Распоряжение ГКО № 5725. О поставках горючего и масел сельскому хозяйству. РГАНИР, Фонд ГКО, д. 244, лл. 50 (11012).</w:t>
      </w:r>
    </w:p>
    <w:p w14:paraId="63CC74B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5A5FBCD"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апреля 1944 вышло Постановление ГКО № 5726 О мероприятиях по увеличению пропускной способности Владивостокского порта по переправке сухогрузов. (7222, 51-54,55-68).</w:t>
      </w:r>
    </w:p>
    <w:p w14:paraId="3BB9BC38"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F767487"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апреля 1944 вышло Постановление ГКО № 5727 О мероприятиях по обеспечению работы конструкторских бюро Наркомсудпрома. (7222, 68-69).</w:t>
      </w:r>
    </w:p>
    <w:p w14:paraId="5E61441F"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47F346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апреля 1944 вышло Постановление ГКО № 5728 О восстановлении Мелитопольского дизелестроительного завода им. Микояна Наркомтяжмаша. РГАНИР, Фонд ГКО, д. 244, лл. 70-75,76-79 (11012).</w:t>
      </w:r>
    </w:p>
    <w:p w14:paraId="2F091BE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B80E66F"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апреля 1944 вышло Постановление ГКО № 5729 О мерах неотложной помощи слюдяной промышленности Наркомстройматериалов СССР. (7222, 80-84,85-86).</w:t>
      </w:r>
    </w:p>
    <w:p w14:paraId="6B14DE8D"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AAACA3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апреля 1944 вышло Постановление ГКО № 5730 Об окончании монтажных работ на ТЭЦ завода № 129 Наркомбоеприпасов. РГАНИР, Фонд ГКО, д. 244, лл. 87-89,90-93 (11012).</w:t>
      </w:r>
    </w:p>
    <w:p w14:paraId="251BCD7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6A6E86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апреля 1944 вышло Распоряжение ГКО № 5731. Об изменении плана заготовки и вывозки авиасосны. РГАНИР, Фонд ГКО, д. 244, лл. 94-95 (11012).</w:t>
      </w:r>
    </w:p>
    <w:p w14:paraId="3C2EE03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D5D1A56"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апреля 1944 вышло Распоряжение ГКО № 5732 [О мобилизации в Вологодской обл. 100 лошадей с погонщиками для буксировки судов и плотов по Мариинской системе в навигацию 1944 г.] (7222, 96).</w:t>
      </w:r>
    </w:p>
    <w:p w14:paraId="27C84C74"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A29D7A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апреля 1944 вышло Распоряжение ГКО № 5733. О демонтаже паровой турбины Ново-Лялинского целлюлозно-бумажного комбината и установке ее на восстанавливаемой Каменской бумажной фабрике. РГАНИР, Фонд ГКО, д. 244, лл. 97 (11012).</w:t>
      </w:r>
    </w:p>
    <w:p w14:paraId="42440A5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74EC86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апреля 1944 вышло Распоряжение ГКО № 5734. О закреплении до 1 января 1946 г. 18 тыс. колхозников на строительстве гидроэлектростанций Узбекской ССР. РГАНИР, Фонд ГКО, д. 244, лл. 98 (11012).</w:t>
      </w:r>
    </w:p>
    <w:p w14:paraId="346A4AB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CC0422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25 апреля 1944 вышло Распоряжение ГКО № 5735. О передаче деталей турбины с Новороссийской ГРЭС № 2 на Киевскую ГЭС № 2. РГАНИР, Фонд ГКО, д. 244, лл. 99 (11012).</w:t>
      </w:r>
    </w:p>
    <w:p w14:paraId="26B630C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6790F4A"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апреля 1944 вышло Распоряжение ГКО № 5736 [О мерах по обеспечению плана производства и поставки махорки Красной Армии.] (7222, 100-101,102).</w:t>
      </w:r>
    </w:p>
    <w:p w14:paraId="5D4C660B"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6F39DD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апреля 1944 вышло Постановление ГКО № 5737 О мерах по развитию работ по системе "Ведущий кабель" и внедрению этой системы на флотах НКВМФ и НКМФ. РГАНИР, Фонд ГКО, д. 244, лл. 103-105,106 (11012).</w:t>
      </w:r>
    </w:p>
    <w:p w14:paraId="5AFC40B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A4C6C8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апреля 1944 вышло Распоряжение ГКО № 5738. О материально-техническом обеспечении геолого-разведочных партий Узбекистана и выделении им 200 военнообязанных местных национальностей, не годных к строевой службе. РГАНИР, Фонд ГКО, д. 244, лл. 107-108 (11012).</w:t>
      </w:r>
    </w:p>
    <w:p w14:paraId="00EB3C2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B703D5F"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апреля 1944 вышло Постановление ГКО № 5739 О мероприятиях по увеличению выпуска кислотоупорной керамики заводами Наркомстройматериалов СССР. (7222, 109-114,115-117).</w:t>
      </w:r>
    </w:p>
    <w:p w14:paraId="7BEF5A19"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8606EAA"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апреля 1944 вышло Постановление ГКО № 5740 О реконструкции слипа при заводе им. III Интернационала Наркомречфлота в г. Астрахани. (7222, 118-122,123-127).</w:t>
      </w:r>
    </w:p>
    <w:p w14:paraId="168233B8"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C06EA0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апреля 1944 вышло Постановление ГКО № 5741 О плане ремонта боевых кораблей, вспомогательных судов и оборудования береговых установок Военно-Морского Флота на II квартал 1944 г. РГАНИР, Фонд ГКО, д. 244, лл. 128-133,134-153 (11012).</w:t>
      </w:r>
    </w:p>
    <w:p w14:paraId="504C82E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247B86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апреля 1944 вышло Постановление ГКО № 5742 О Всесоюзном социалистическом соревновании колхозов, МТС, районов, областей, краев и республик за высокий урожай и подъем колхозного животноводства в 1944 году. РГАНИР, Фонд ГКО, д. 244, лл. 154-157 (11012).</w:t>
      </w:r>
    </w:p>
    <w:p w14:paraId="34794BD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C6022F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апреля 1944 В Ленинграде достраивались три ПЛ и четыре буксирных катера "Ижорец"; спущен на воду 11-й МБК (10671).</w:t>
      </w:r>
    </w:p>
    <w:p w14:paraId="7F2A5B1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6F5306A"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574F08A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E0CE191" w14:textId="77777777" w:rsidR="00C77478" w:rsidRPr="007224C3" w:rsidRDefault="00C7747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апреля в 1944 году оперативная сводка Совинформбюро:</w:t>
      </w:r>
    </w:p>
    <w:p w14:paraId="1F362FCD" w14:textId="77777777" w:rsidR="00C77478" w:rsidRPr="007224C3" w:rsidRDefault="00C7747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25 апреля на фронтах существенных изменений не произошло.</w:t>
      </w:r>
    </w:p>
    <w:p w14:paraId="7CD480D1" w14:textId="77777777" w:rsidR="00C77478" w:rsidRPr="007224C3" w:rsidRDefault="00C7747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24 апреля наши войска на всех фронтах подбили и уничтожили 14 немецких танков. В воздушных боях и огнём зенитной артиллерии сбито 50 самолётов противника.».</w:t>
      </w:r>
    </w:p>
    <w:p w14:paraId="7F5EDEB6" w14:textId="77777777" w:rsidR="00C77478" w:rsidRPr="007224C3" w:rsidRDefault="00C7747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Бомбардировка нашей авиацией железнодорожных узлов Резекне и Гулбене.</w:t>
      </w:r>
    </w:p>
    <w:p w14:paraId="7592F801" w14:textId="77777777" w:rsidR="00C77478" w:rsidRPr="007224C3" w:rsidRDefault="00C7747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ночь на 25 апреля наша авиация дальнего действия подвергла бомбардировке скопления воинских эшелонов противника на железнодорожных узлах Резекне иГулбене (Латвийская ССР). В результате бомбардировки возникли пожары: горели вагоны, платформы и цистерны. На том и на другом железнодорожном узле пожары сопровождались сильными взрывами.</w:t>
      </w:r>
    </w:p>
    <w:p w14:paraId="2241435D" w14:textId="77777777" w:rsidR="00C77478" w:rsidRPr="007224C3" w:rsidRDefault="00C7747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 наши самолёты вернулись на свои аэродромы.».</w:t>
      </w:r>
    </w:p>
    <w:p w14:paraId="3CC20A25" w14:textId="77777777" w:rsidR="00C77478" w:rsidRPr="007224C3" w:rsidRDefault="00C7747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юго-востоку от города Станислав советские танкисты и пехотинцы внезапно атаковали противника. Наши подразделения нанесли немцам сильный фланговый удар и вынудили их отступить. На поле боя осталось несколько сот вражеских трупов. Захвачены 2 исправных и 5 подбитых немецких танков. Взяты в плен 160 солдат и офицеров противника. На другом участке наши подразделения отбили танковую атаку противника. Красноармеец Али Алафердиев меткими бросками гранат подорвал два немецких танка. Несколько танков было подбито и сожжено огнём советской артиллерии. Уцелевшие танки противника быстро повернули обратно. На поле боя осталось более 200 трупов немецких солдат и офицеров.</w:t>
      </w:r>
    </w:p>
    <w:p w14:paraId="7B0C1297" w14:textId="77777777" w:rsidR="00C77478" w:rsidRPr="007224C3" w:rsidRDefault="00C7747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одном участке 2-го Украинского фронта лётчики-истребители во главе с Героем Советского Союза капитаном Гулаевым, прикрывая боевые порядки наземныхвойск, встретили большую группу немецких самолётов. В ожесточённом воздушном бою наши лётчики уничтожили 11 самолётов противника, из них 5 самолётов сбил лично капитан Гулаев.</w:t>
      </w:r>
    </w:p>
    <w:p w14:paraId="1932334D" w14:textId="77777777" w:rsidR="00C77478" w:rsidRPr="007224C3" w:rsidRDefault="00C7747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районе Севастополя советские лётчики в течение дня уничтожили на аэродромах 15 немецких самолётов. В воздушных боях сбито 12 самолётов противника.</w:t>
      </w:r>
    </w:p>
    <w:p w14:paraId="35E6E1F9" w14:textId="77777777" w:rsidR="00C77478" w:rsidRPr="007224C3" w:rsidRDefault="00C7747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Пользуясь плохой видимостью, противник пытался вывести транспорт из порта Петсамо. Транспорт шёл под охраной 8 сторожевых катеров и сторожевого корабля. Наша разведка своевременно обнаружила эти суда. Два катера лейтенантов Лихоманова и Шлёнского настигли врага и атаковали его. Несмотря на сильный артиллерийский и пулемётный огонь, наши торпедные катеры потопили сторожевой корабль и сильно повредили транспорт противника.</w:t>
      </w:r>
    </w:p>
    <w:p w14:paraId="7577CE7E" w14:textId="77777777" w:rsidR="00C77478" w:rsidRPr="007224C3" w:rsidRDefault="00C7747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Авиация Краснознамённого Балтийского флота нанесла ряд ударов по немецким кораблям в Нарвском заливе. Потоплены два сторожевых корабля, быстроходная десантная баржа и сторожевой катер.</w:t>
      </w:r>
    </w:p>
    <w:p w14:paraId="1039AB17" w14:textId="77777777" w:rsidR="00C77478" w:rsidRPr="007224C3" w:rsidRDefault="00C7747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Авиация Черноморского флота продолжала наносить удары по судам противника на коммуникациях Севастополь—порты Румынии. Бомбами и пушечно-пулемётным огнём наши лётчики потопили два транспорта общим водоизмещением в 3 тысячи тонн, канонерскую лодку и сторожевой корабль противника. Многие другие вражеские суда серьёзно повреждены.</w:t>
      </w:r>
    </w:p>
    <w:p w14:paraId="0F6559D0" w14:textId="77777777" w:rsidR="00C77478" w:rsidRPr="007224C3" w:rsidRDefault="00C7747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Четыре партизанских отряда, действующих в Брестской области, за три недели пустили под откос 26 немецких воинских эшелонов и один бронепоезд. Кроме того, советские патриоты взорвали два железнодорожных моста и вырезали 120 километров телеграфно-телефонной линии связи. Отряд барановичских партизан в двухчасовом бою истребил до роты гитлеровцев и взял в плен 112 немцев. Захвачены 14 пулемётов, 30 автоматов, 150 винтовок и большое количество боеприпасов.</w:t>
      </w:r>
    </w:p>
    <w:p w14:paraId="3E334CD7" w14:textId="77777777" w:rsidR="00C77478" w:rsidRPr="007224C3" w:rsidRDefault="00C7747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1-ом Украинском фронте в одном районе на сторону Красной Армии перешли 80 солдат и несколько офицеров 1-го венгерского горного корпуса. Младший лейтенант Бэла Майтэньи заявил: «Я всей душой ненавижу немцев, но ещё больше презираю Хорти и его сообщников за то, что они предали родину. С самого начала войны гитлеровцы вели себя в нашей стране как завоеватели. В марте этого года немцы окончательно оккупировали Венгрию и лишили её даже призрачной независимости. Я не мог сражаться бок о бок с немцами, которые оккупировали мою страну и нагло хозяйничают в ней. Поэтому я при первой же возможности перешёл на сторону русских». Кандидат в офицеры Иозеф Ляутвер сообщил: «Немцы запугивают венгров и силой оружия заставляют их воевать. Они обращаются с нами не как с союзниками, а как с подневольными рабами. Мы поэтому прекратили сопротивление и сдались в плен».</w:t>
      </w:r>
    </w:p>
    <w:p w14:paraId="5117AA7F" w14:textId="77777777" w:rsidR="00C77478" w:rsidRPr="007224C3" w:rsidRDefault="00C7747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Ниже публикуется акт о зверствах немецко-фашистских мерзавцев в городе Порхов, Ленинградской области. «За время оккупации нашего города гитлеровцы расстреляли сотни мирных жителей. От рук фашистских убийц погибли учительницы П.Иванова и А.Тухватулина, преподаватель техникума В.Егорова, инспектор районного отдела народного образования Семёнова, агроном Антонина Тимофеева. Немецкие палачи повесили учащихся Порховской средней школы сестёр Егоровых, замучили и убили многих других советских граждан. Часть жителей города фашистские работорговцы угнали на каторгу в Германию.</w:t>
      </w:r>
    </w:p>
    <w:p w14:paraId="13F4B48A" w14:textId="77777777" w:rsidR="00C77478" w:rsidRPr="007224C3" w:rsidRDefault="00C7747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Отступая под ударамиКрасной Армии, немцы взорвали и сожгли три школы, театр, музей краеведения, городскую библиотеку, больницу на 500 коек, льнозавод, мебельную фабрику, известковый завод, две электростанции, вокзал, две церкви и много жилых домов. Главными виновниками всех этих злодеяний мы считаем гестаповца Фогеля, капитана фон Нассау, капитана Егерса, немецкого коменданта майора Тиля, его заместителя —капитана Фолькта, капитана Эйзенбарда, лейтенанта Кальтебаха, капитана Бертельса, следователя майора Реммера».</w:t>
      </w:r>
    </w:p>
    <w:p w14:paraId="2DBEC2EA" w14:textId="77777777" w:rsidR="00C77478" w:rsidRPr="007224C3" w:rsidRDefault="00C7747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Акт подписали: председатель Порховского городского совета депутатов трудящихся Н.Иванов, агроном А.Прохоров, преподаватель средней школы Я.Фёдоров, рабочий льнозавода Ф.Алексеев, командир партизанского полка Г.Волостнов, священник Геннадий Собственников и другие.» (15110).</w:t>
      </w:r>
    </w:p>
    <w:p w14:paraId="0A484801" w14:textId="77777777" w:rsidR="00C77478" w:rsidRPr="007224C3" w:rsidRDefault="00C77478" w:rsidP="007224C3">
      <w:pPr>
        <w:spacing w:after="0" w:line="240" w:lineRule="auto"/>
        <w:jc w:val="both"/>
        <w:rPr>
          <w:rFonts w:ascii="Times New Roman" w:hAnsi="Times New Roman"/>
          <w:color w:val="000000" w:themeColor="text1"/>
          <w:sz w:val="16"/>
          <w:szCs w:val="16"/>
        </w:rPr>
      </w:pPr>
    </w:p>
    <w:p w14:paraId="11FEFC4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апреля 1944 Ил-2-топмачтовики добились первого подтвержденного противни</w:t>
      </w:r>
      <w:r w:rsidRPr="007224C3">
        <w:rPr>
          <w:rFonts w:ascii="Times New Roman" w:hAnsi="Times New Roman"/>
          <w:color w:val="000000" w:themeColor="text1"/>
          <w:sz w:val="16"/>
          <w:szCs w:val="16"/>
        </w:rPr>
        <w:softHyphen/>
        <w:t xml:space="preserve">ком успеха, когда две шестерки Ил-2 47-го </w:t>
      </w:r>
      <w:r w:rsidRPr="007224C3">
        <w:rPr>
          <w:rFonts w:ascii="Times New Roman" w:hAnsi="Times New Roman"/>
          <w:iCs/>
          <w:color w:val="000000" w:themeColor="text1"/>
          <w:sz w:val="16"/>
          <w:szCs w:val="16"/>
        </w:rPr>
        <w:t>шап</w:t>
      </w:r>
      <w:r w:rsidRPr="007224C3">
        <w:rPr>
          <w:rFonts w:ascii="Times New Roman" w:hAnsi="Times New Roman"/>
          <w:color w:val="000000" w:themeColor="text1"/>
          <w:sz w:val="16"/>
          <w:szCs w:val="16"/>
        </w:rPr>
        <w:t xml:space="preserve"> ВВС Черноморского флота в 85 милях от Севастополя (координаты 43</w:t>
      </w:r>
      <w:r w:rsidRPr="007224C3">
        <w:rPr>
          <w:rFonts w:ascii="Times New Roman" w:hAnsi="Times New Roman"/>
          <w:color w:val="000000" w:themeColor="text1"/>
          <w:sz w:val="16"/>
          <w:szCs w:val="16"/>
          <w:vertAlign w:val="superscript"/>
        </w:rPr>
        <w:t>в</w:t>
      </w:r>
      <w:r w:rsidRPr="007224C3">
        <w:rPr>
          <w:rFonts w:ascii="Times New Roman" w:hAnsi="Times New Roman"/>
          <w:color w:val="000000" w:themeColor="text1"/>
          <w:sz w:val="16"/>
          <w:szCs w:val="16"/>
        </w:rPr>
        <w:t>55</w:t>
      </w:r>
      <w:r w:rsidRPr="007224C3">
        <w:rPr>
          <w:rFonts w:ascii="Times New Roman" w:hAnsi="Times New Roman"/>
          <w:color w:val="000000" w:themeColor="text1"/>
          <w:sz w:val="16"/>
          <w:szCs w:val="16"/>
          <w:vertAlign w:val="superscript"/>
        </w:rPr>
        <w:t>”</w:t>
      </w:r>
      <w:r w:rsidRPr="007224C3">
        <w:rPr>
          <w:rFonts w:ascii="Times New Roman" w:hAnsi="Times New Roman"/>
          <w:color w:val="000000" w:themeColor="text1"/>
          <w:sz w:val="16"/>
          <w:szCs w:val="16"/>
        </w:rPr>
        <w:t xml:space="preserve"> с.ш. и 32°07' в.д.) атаковали вы</w:t>
      </w:r>
      <w:r w:rsidRPr="007224C3">
        <w:rPr>
          <w:rFonts w:ascii="Times New Roman" w:hAnsi="Times New Roman"/>
          <w:color w:val="000000" w:themeColor="text1"/>
          <w:sz w:val="16"/>
          <w:szCs w:val="16"/>
        </w:rPr>
        <w:softHyphen/>
        <w:t>шедший в Сулину конвой "Zentra-3" в составе БДБ F333, F567, буксира "Kreuzenstein" с лихтером "Leo" в охра</w:t>
      </w:r>
      <w:r w:rsidRPr="007224C3">
        <w:rPr>
          <w:rFonts w:ascii="Times New Roman" w:hAnsi="Times New Roman"/>
          <w:color w:val="000000" w:themeColor="text1"/>
          <w:sz w:val="16"/>
          <w:szCs w:val="16"/>
        </w:rPr>
        <w:softHyphen/>
        <w:t>нении охотников UJ2304, UJ2306 и UJ2308. 8 Ил-2 действовали с пологого пла</w:t>
      </w:r>
      <w:r w:rsidRPr="007224C3">
        <w:rPr>
          <w:rFonts w:ascii="Times New Roman" w:hAnsi="Times New Roman"/>
          <w:color w:val="000000" w:themeColor="text1"/>
          <w:sz w:val="16"/>
          <w:szCs w:val="16"/>
        </w:rPr>
        <w:softHyphen/>
        <w:t>нирования с высоты 1200 м с выходом в горизонтальный полет на высоте 100 м, а 4 экипажа - методом топмачтового бомбометания. В результате удара лих</w:t>
      </w:r>
      <w:r w:rsidRPr="007224C3">
        <w:rPr>
          <w:rFonts w:ascii="Times New Roman" w:hAnsi="Times New Roman"/>
          <w:color w:val="000000" w:themeColor="text1"/>
          <w:sz w:val="16"/>
          <w:szCs w:val="16"/>
        </w:rPr>
        <w:softHyphen/>
        <w:t>тер "Leo" пошел ко дну, унося с собой около 500 солдат. Зенитным огнем ПВО ордера 2 штурмовика были сильно по</w:t>
      </w:r>
      <w:r w:rsidRPr="007224C3">
        <w:rPr>
          <w:rFonts w:ascii="Times New Roman" w:hAnsi="Times New Roman"/>
          <w:color w:val="000000" w:themeColor="text1"/>
          <w:sz w:val="16"/>
          <w:szCs w:val="16"/>
        </w:rPr>
        <w:softHyphen/>
        <w:t>вреждены и один Ил-2 сбит (6467).</w:t>
      </w:r>
    </w:p>
    <w:p w14:paraId="7E21B05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771DC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апреля 1944 Н.Гулаев, третий по числу побед, на Аэрокобре в одном бою сбил 4 FW-190 (4237,56).</w:t>
      </w:r>
    </w:p>
    <w:p w14:paraId="0DBE0DD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26EED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апреля 1944 “огненный таран” совершил экипаж “Хэмпдена” под командованием капитана В.Н.Киселева, потопив немецкий транспортный пароход “Леезее”. По другим данным, транспорт было потоплен попаданием авиаторпеды (8942).</w:t>
      </w:r>
    </w:p>
    <w:p w14:paraId="23A67FB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7F14E8"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3751D84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9E401E0" w14:textId="77777777" w:rsidR="00D60BAA" w:rsidRPr="007224C3" w:rsidRDefault="00D60BA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апреля в 1944 году поднялся в воздух истребитель «ХР-55» «Асендер» (набирающий высоту). ВВС довольно высоко оценили летные данные "Асендера", но отметили слишком большую взлетную дистанцию, высокую скорость сваливания и недостаточную устойчивость (дело в том, что ПГО не демпфирует возмущения по тангажу, как это делает хвостовое оперение самолета нормальной схемы, а наоборот усиливает его. Эту проблему смогли решить лишь в 1970-х годах, когда появились надежные электронные системы дистанционного управления). Кроме того, отмечалось плохое охлаждение мотора Аллисон и его недостаточная мощность. После чего программа была закрыта (15110).</w:t>
      </w:r>
    </w:p>
    <w:p w14:paraId="1B28CA8A" w14:textId="77777777" w:rsidR="00D60BAA" w:rsidRPr="007224C3" w:rsidRDefault="00D60BAA" w:rsidP="007224C3">
      <w:pPr>
        <w:spacing w:after="0" w:line="240" w:lineRule="auto"/>
        <w:jc w:val="both"/>
        <w:rPr>
          <w:rFonts w:ascii="Times New Roman" w:hAnsi="Times New Roman"/>
          <w:color w:val="000000" w:themeColor="text1"/>
          <w:sz w:val="16"/>
          <w:szCs w:val="16"/>
        </w:rPr>
      </w:pPr>
    </w:p>
    <w:p w14:paraId="7DA94025" w14:textId="77777777" w:rsidR="005D204B" w:rsidRPr="007224C3" w:rsidRDefault="005D204B"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25 апреля 1944 - Первое применение вертолета в боевых действиях. Вертолёт Sikorsky YR-4B под управлением лейтенанта ВВС США Картера Хартмана принял участие в поисково-спасательной операции. Днём ранее японцы сбили спасательный самолёт Stinson L-1 Vigilant с американским пилотом и тремя ранеными британскими солдатами на борту, и Хартман эвакуировал всех их. Из-за небольшого размера кабины вертолёта спасённых военнослужащих пришлось перевозить в безопасное место по одному. Вертолёт YR-4B был одной из модификаций первого в мире серийного вертолёта Sikorsky R-4. Эти машины использовались вооружёнными силами США и Великобритании. Всего был построен 131 вертолёт R-4 в различных версиях. Вертолёт полной массой около 1,2 тонн оснащался двигателем мощностью 165–200 л.с., имел дальность полёта около 200 км и максимальную скорость до 120 км/ч (22524).</w:t>
      </w:r>
    </w:p>
    <w:p w14:paraId="610ED2E9" w14:textId="77777777" w:rsidR="005D204B" w:rsidRPr="007224C3" w:rsidRDefault="005D204B" w:rsidP="007224C3">
      <w:pPr>
        <w:spacing w:after="0" w:line="240" w:lineRule="auto"/>
        <w:jc w:val="both"/>
        <w:rPr>
          <w:rFonts w:ascii="Times New Roman" w:hAnsi="Times New Roman"/>
          <w:color w:val="0070C0"/>
          <w:sz w:val="16"/>
          <w:szCs w:val="16"/>
        </w:rPr>
      </w:pPr>
    </w:p>
    <w:p w14:paraId="06EED3A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апреля 1944 рассчитывая сломить югославское сопротивление немецкие войска попытались захватить главнокомандующего НОА Югославии Иосифа Броз Тито в операции, названной Ход конем (3186).</w:t>
      </w:r>
    </w:p>
    <w:p w14:paraId="133A2DA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F6D2F6"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апреля 1944 американский генерал Дж. Паттон заявил, что судьба Англии и США - “править миром” (4962).</w:t>
      </w:r>
    </w:p>
    <w:p w14:paraId="4D07F90A"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5E9CE0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апреля 1944 японцы начали наступление в провинции Хонан в Китае (2247,3).</w:t>
      </w:r>
    </w:p>
    <w:p w14:paraId="35918A6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778389"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22FDEAC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223824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апреля 1944 Перв. зам. нач. ЦИАМ Владимиров и др. подготовили справку N 764:</w:t>
      </w:r>
    </w:p>
    <w:p w14:paraId="2749659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Справка по выполнению приказа наркома по самолету Ил-4 с М-88Б с ТК-М</w:t>
      </w:r>
    </w:p>
    <w:p w14:paraId="45CB012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...высотные полеты самолета Ил-4 N 2 с 1 1-м экз. ТК-М, установленными взамен ТК-М - не проводились по причине резкого ухудшения летных данных самолета из-за неудовлетворительной компоновки (перетяжеления) самолета и неудовлетворительной компоновки установки ТК на самолете.</w:t>
      </w:r>
    </w:p>
    <w:p w14:paraId="17F77DC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Установка ТК-М была выполнена аналогично установке ТК-3 на самолете N 1, по которой имеется следующее заключение ЛИИ: "Компоновка ТК-3 на самолете Ил-4 N 302316 выполнена неудовлетворительно и как эталонная установка рекомендована быть не может. Самолет Ил-4 N 302316 с М-88Б и ТК-3 для эксплуатации не пригоден" (см. отчет ЛИИ "Об испытании ТК-3 на самолете Ил-4 N 302316 с М-88Б).</w:t>
      </w:r>
    </w:p>
    <w:p w14:paraId="0CA1CC0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Установка ТК-М взамен ТК-3 должна была полностью обеспечить заданную высотность (см. отчет ЦИАМ N 1160, отчеты по испытаниям нагнетателя ТК-М и об испытании турбинных лопаток N 889).</w:t>
      </w:r>
    </w:p>
    <w:p w14:paraId="361D2F5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Работы по самолетам Ил-4 с ТК были прекращены ГК С.В.И." (1824,27).</w:t>
      </w:r>
    </w:p>
    <w:p w14:paraId="18ADEDA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83F43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апреля 1944 Перв. зам. нач. ЦИАМ Владимиров и др. подготовили справку по выполнению приказов НКАП по МиГ с АМ-39А с ТК-2Б (1824,24).</w:t>
      </w:r>
    </w:p>
    <w:p w14:paraId="583CD12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31741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апреля 1944 Перв. зам. нач. ЦИАМ Владимиров и др. подготовили справку по выполнению приказов НКАП по Пе-2 с 2М-105ПД (1824).</w:t>
      </w:r>
    </w:p>
    <w:p w14:paraId="743FF19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24407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апреля 1944 Перв. зам. нач. ЦИАМ Владимиров и др. подготовили справку по выполнению приказов НКАП по 102 с АШ-71 с ТК-3 (1824).</w:t>
      </w:r>
    </w:p>
    <w:p w14:paraId="0DCAE76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1B6AA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апреля 1944 Перв. зам. нач. ЦИАМ Владимиров и др. подготовили справку по выполнению приказов НКАП по Ла-5 с М-82ФН и 2ТК-3 (1824,25).</w:t>
      </w:r>
    </w:p>
    <w:p w14:paraId="02D655A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A136E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апреля 1944 г. по приказу № 284с площадка бывшего завода № 457 со всеми сооружениями возвращена Днепрострою (11982).</w:t>
      </w:r>
    </w:p>
    <w:p w14:paraId="0AC4BF4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8E9B79E"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7935F92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6A4DF7B"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апреля 1944 года вышел приказ № 199с НКВ</w:t>
      </w:r>
    </w:p>
    <w:p w14:paraId="1E1E4B13"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соответствии с распоряжением СНК от 20 апреля 1944 года за № 8562рс:</w:t>
      </w:r>
    </w:p>
    <w:p w14:paraId="0B32E622"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Организовать в Ленинграде на старой базе НИИ-13 филиал НИИ-13 (6420, 28).</w:t>
      </w:r>
    </w:p>
    <w:p w14:paraId="3AB34BBE"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B6D840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апреля 1944 вышло Постановление ГКО № 5743 Об организации работ по составлению предварительного технического проекта орудия и снаряда, предложенного т. Дудаковым. РГАНИР, Фонд ГКО, д. 244, лл. 158 (11012).</w:t>
      </w:r>
    </w:p>
    <w:p w14:paraId="036DD4E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78CB69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апреля 1944 вышло Постановление ГКО № 5744 О восстановлении главной военно-морской базы Черноморского флота в г. Севастополе. РГАНИР, Фонд ГКО, д. 244, лл. 159-173,174-187 (11012).</w:t>
      </w:r>
    </w:p>
    <w:p w14:paraId="5C46C76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25CABDD"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5839F0E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1DBFA41" w14:textId="77777777" w:rsidR="00D60BAA" w:rsidRPr="007224C3" w:rsidRDefault="00D60BA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апреля в 1944 году оперативная сводка Совинформбюро:</w:t>
      </w:r>
    </w:p>
    <w:p w14:paraId="2F1C60C3" w14:textId="77777777" w:rsidR="00D60BAA" w:rsidRPr="007224C3" w:rsidRDefault="00D60BA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26 апреля на фронтах существенных изменений не произошло.</w:t>
      </w:r>
    </w:p>
    <w:p w14:paraId="6EB8E7D0" w14:textId="77777777" w:rsidR="00D60BAA" w:rsidRPr="007224C3" w:rsidRDefault="00D60BA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25 апреля наши войска на всех фронтах подбили и уничтожили 52 немецких танка. В воздушных боях и огнём зенитной артиллерии сбито 79 самолётов противника и, кроме того, 33 самолёта уничтожены на аэродромах.</w:t>
      </w:r>
    </w:p>
    <w:p w14:paraId="46A201A3" w14:textId="77777777" w:rsidR="00D60BAA" w:rsidRPr="007224C3" w:rsidRDefault="00D60BA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Удары по судам противника в порту Севастополь и в открытом море</w:t>
      </w:r>
    </w:p>
    <w:p w14:paraId="5025936B" w14:textId="77777777" w:rsidR="00D60BAA" w:rsidRPr="007224C3" w:rsidRDefault="00D60BA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25 апреля и в ночь на 26 апреля наша авиация бомбардировала суда и военные склады противника в порту Севастополь. Отмечено несколько прямыхпопаданий бомб в транспорты и баржи, находившиеся в Южной бухте, а также в транспорт противника в бухте Казачья. В разных частях порта возникли пожары ипроизошли многочисленные взрывы, в числе которых два взрыва огромной силы.</w:t>
      </w:r>
    </w:p>
    <w:p w14:paraId="4C955B78" w14:textId="77777777" w:rsidR="00D60BAA" w:rsidRPr="007224C3" w:rsidRDefault="00D60BA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коммуникациях противника в открытом море наши лётчики продолжали наносить удары по вражеским транспортам. В результате активных действий авиации и кораблей Черноморского флота за истекшие сутки потоплены 5 транспортов противника общим водоизмещением до 13.000 тонн, десантная баржа и два сторожевых корабля. Два других транспорта сильно повреждены близко разорвавшимися бомбами и пушечно-пулемётным огнём наших самолётов.».</w:t>
      </w:r>
    </w:p>
    <w:p w14:paraId="18E2DE24" w14:textId="77777777" w:rsidR="00D60BAA" w:rsidRPr="007224C3" w:rsidRDefault="00D60BA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Разгром нашей авиацией конвоя противника в Баренцевом море:</w:t>
      </w:r>
    </w:p>
    <w:p w14:paraId="5270D2DC" w14:textId="77777777" w:rsidR="00D60BAA" w:rsidRPr="007224C3" w:rsidRDefault="00D60BA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днях наша воздушная разведка обнаружила в Баренцовом море большую группу немецких транспортов, следовавших под охраной боевых кораблей, катеров и истребителей. Наша авиация нанесла пять последовательных бомбово-штурмовых и торпедных ударов по судам противника. Несмотря на низкую облачность и сильный зенитный огонь, советские лётчики прорвались к вражеским кораблям. Смелыми ударами наши лётчики потопили четыре немецких транспорта общим водоизмещением до 20.000 тонн. Потоплены также два сторожевых корабля и один сторожевой катер. Нанесены тяжёлые повреждения двум транспортам, сторожевому кораблю и миноносцу противника.</w:t>
      </w:r>
    </w:p>
    <w:p w14:paraId="4D561C36" w14:textId="77777777" w:rsidR="00D60BAA" w:rsidRPr="007224C3" w:rsidRDefault="00D60BA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воздушных боях в районе атаки конвоя сбито 10 немецких самолётов. Наши потери — 6 самолётов.».</w:t>
      </w:r>
    </w:p>
    <w:p w14:paraId="7B8518BB" w14:textId="77777777" w:rsidR="00D60BAA" w:rsidRPr="007224C3" w:rsidRDefault="00D60BA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«Юго-восточнее города Станислав танкисты Н-ской части под командованием капитана Бочковского стремительно атаковали противника. Уничтожив до роты гитлеровцев, танкисты захватили высоту, имеющую важное значение. В другом районе пять разведчиков во главе с красноармейцем Андреевым при выполнении боевого задания встретились с 25 немцами. Наши бойцы атаковали противника и уничтожили пять солдат и одного немецкого офицера. Остальные гитлеровцы бежали.</w:t>
      </w:r>
    </w:p>
    <w:p w14:paraId="3C12CB53" w14:textId="77777777" w:rsidR="00D60BAA" w:rsidRPr="007224C3" w:rsidRDefault="00D60BA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одном участке 2-го Украинского фронта полк пехоты и танки противника предприняли атаку. Немцы не знали, что в этом районе у нас было сосредоточено много артиллерии и других огневых средств. Гитлеровцы попали в огневой мешок и в беспорядке отступили. На поле боя осталось свыше 800 убитых и до 300 раненых солдат и офицеров противника. Сожжено и подбито 20 немецких танков и самоходных орудий. На другом участке бойцы Н-ской части отбили три атаки противника и истребили до батальона гитлеровцев. На сторону Красной Армии перешла рота румынских солдат.</w:t>
      </w:r>
    </w:p>
    <w:p w14:paraId="380EFFB3" w14:textId="77777777" w:rsidR="00D60BAA" w:rsidRPr="007224C3" w:rsidRDefault="00D60BA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На днях наша авиация разгромила конвой противника в Баренцовом море. В этом бою геройски погиб лётчик капитан Катунин, самолёт которого был подбит огнём зенитной артиллерии. Тов. Катунин направил горевший самолёт на немецкий транспорт и таранил его.</w:t>
      </w:r>
    </w:p>
    <w:p w14:paraId="327459FC" w14:textId="77777777" w:rsidR="00D60BAA" w:rsidRPr="007224C3" w:rsidRDefault="00D60BA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Партизанский отряд, действующий в Могилёвской области, в ночь на 10 апреля внезапно напал на опорный пункт противника. Стремительной атакой партизаны сломили сопротивление врага и овладели опорным пунктом. На поле боя осталось более 100 трупов гитлеровцев. Советские патриоты разрушили казармы, уничтожили 4 орудия, 8 танков, 33 автомашины и взорвали несколько складов противника. Партизанский отряд «Боевой», действующий в Белостокской области, за две недели пустил под откос 7 немецких воинских эшелонов. Разбиты 7 паровозов, 9 платформ с танками и несколько десятков вагонов с различными военными грузами.</w:t>
      </w:r>
    </w:p>
    <w:p w14:paraId="34ACD7DD" w14:textId="77777777" w:rsidR="00D60BAA" w:rsidRPr="007224C3" w:rsidRDefault="00D60BA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1-м Украинском фронте захвачены в плен солдаты и офицеры немецких дивизий, недавно переброшенных на советско-германский фронт из Дании и Албании. Пленный штабс-ефрейтор 2 роты 361 резервного батальона 361 немецкой пехотной дивизии Андреас Дрейфс рассказал: «Наша дивизия сформирована в ноябре-декабре 1943 года в Дании, в городе Эсбьерг. В феврале 1944 года, после манёвров, дивизия несла охрану датского побережья Северного моря. Солдаты полагали, что им удастся отсидеться на побережье до конца войны. Однако поражения немецких войск в России разрушили эти надежды. В середине марта совершенно неожиданно дивизия выехала из Дании. Только дорогой мы догадались, что едем на Восточный фронт. Отвечая на наши расспросы, командир роты сказал, что русские прорвали немецкий фронт на очень важном участке и этим вызвана наша срочная переброска».</w:t>
      </w:r>
    </w:p>
    <w:p w14:paraId="65E1FF6B" w14:textId="77777777" w:rsidR="00D60BAA" w:rsidRPr="007224C3" w:rsidRDefault="00D60BA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Пленный унтер-офицер 14 роты 227 полка 100 немецкой лёгкопехотной дивизии Рудольф Фендрих рассказал: «Наша дивизия находилась в Албании. В марте нас перебросили на Восточный фронт. В первых числах апреля мы были уже во Львове. Командование поставило перед дивизией следующую задачу — вместе с другими соединениями пробиться к Тарнополю и освободить окружённый немецкий гарнизон. Несмотря на все усилия, нам так и не удалось прорваться к городу. Русские отбили наши атаки. В этих боях дивизия понесла тяжёлые потери».</w:t>
      </w:r>
    </w:p>
    <w:p w14:paraId="2A108650" w14:textId="77777777" w:rsidR="00D60BAA" w:rsidRPr="007224C3" w:rsidRDefault="00D60BA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Ниже публикуется акт о зверствах немецко-фашистских мерзавцев в селе Малый Браталов, Житомирской области: «Фашистские бандиты превратили наше село в пустырь. Все дома сожжены или разрушены. Немцы не только сожгли жилые дома, но и вырубили фруктовые деревья в садах. Они разграбили колхозное добро и личное имущество колхозников. Поджоги и грабежи сопровождались массовыми убийствами. Только в январе, феврале и в начале марта 1944 года немецкие изверги расстреляли более ста человек. От рук фашистских убийц погибли тракторист В.Деменик, комбайнер Т.Тупальский, бригадир М.Стрига и другие колхозники. До немецкой оккупации в селе было 1.200 жителей, а сейчас осталось всего лишь несколько человек. Часть жителей гитлеровцы угнали на каторгу в Германию, многих замучили и расстреляли. Остальное население, состоявшее в большинстве из женщин и детей, немцы угнали неизвестно куда».</w:t>
      </w:r>
    </w:p>
    <w:p w14:paraId="56FD67C1" w14:textId="77777777" w:rsidR="00D60BAA" w:rsidRPr="007224C3" w:rsidRDefault="00D60BA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Акт подписали: полковник Кузнецов, подполковник Мутицин, майор Авраменко, майор Дубинов, колхозники села Малый Браталов: И.Юрчик, И. Демусь, И.Останчук, И.Шастун.» (15111).</w:t>
      </w:r>
    </w:p>
    <w:p w14:paraId="528235E6" w14:textId="77777777" w:rsidR="00D60BAA" w:rsidRPr="007224C3" w:rsidRDefault="00D60BAA" w:rsidP="007224C3">
      <w:pPr>
        <w:spacing w:after="0" w:line="240" w:lineRule="auto"/>
        <w:jc w:val="both"/>
        <w:rPr>
          <w:rFonts w:ascii="Times New Roman" w:hAnsi="Times New Roman"/>
          <w:color w:val="000000" w:themeColor="text1"/>
          <w:sz w:val="16"/>
          <w:szCs w:val="16"/>
        </w:rPr>
      </w:pPr>
    </w:p>
    <w:p w14:paraId="685A89C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апреля 1944 согласно сообщению Совинформбюро авиация СФ разгромила в Баренцевом море караван противника, нанеся пять последовательных ударов. потопили 4 транспорта общим водоизмещением до 20700 т, два сторожевых катера и нанесли поврежденья двум транспортам и миноносцу. В воздухе сбили 10, потеряли 6 (438,903).</w:t>
      </w:r>
    </w:p>
    <w:p w14:paraId="74646D3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BF7DB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и 30 апреля 1943 (по одному боевому выле</w:t>
      </w:r>
      <w:r w:rsidRPr="007224C3">
        <w:rPr>
          <w:rFonts w:ascii="Times New Roman" w:hAnsi="Times New Roman"/>
          <w:color w:val="000000" w:themeColor="text1"/>
          <w:sz w:val="16"/>
          <w:szCs w:val="16"/>
        </w:rPr>
        <w:softHyphen/>
        <w:t>ту, 4, 10 и 11 мая - по два удара и 12 мая - один боевой вылет) топмачтовый спо</w:t>
      </w:r>
      <w:r w:rsidRPr="007224C3">
        <w:rPr>
          <w:rFonts w:ascii="Times New Roman" w:hAnsi="Times New Roman"/>
          <w:color w:val="000000" w:themeColor="text1"/>
          <w:sz w:val="16"/>
          <w:szCs w:val="16"/>
        </w:rPr>
        <w:softHyphen/>
        <w:t>соб бомбометания применялся летчика</w:t>
      </w:r>
      <w:r w:rsidRPr="007224C3">
        <w:rPr>
          <w:rFonts w:ascii="Times New Roman" w:hAnsi="Times New Roman"/>
          <w:color w:val="000000" w:themeColor="text1"/>
          <w:sz w:val="16"/>
          <w:szCs w:val="16"/>
        </w:rPr>
        <w:softHyphen/>
        <w:t>ми ЧФ с не меньшим успехом (6467).</w:t>
      </w:r>
    </w:p>
    <w:p w14:paraId="0C47F86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117676" w14:textId="77777777" w:rsidR="00D60BAA"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Внешняя политика:</w:t>
      </w:r>
    </w:p>
    <w:p w14:paraId="78FA6E0C" w14:textId="77777777" w:rsidR="00D60BAA" w:rsidRPr="007224C3" w:rsidRDefault="00D60BAA"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A5CB2C1" w14:textId="77777777" w:rsidR="00476D5F" w:rsidRPr="007224C3" w:rsidRDefault="00476D5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апреля в 1944 году глава американской военной миссии в СССР Д.Дин рекомендовал президенту США удовлетворить просьбу Советского правительства о поставках тяжелых бомбардировщиков дальнего действия при условии предоставления баз для американских ВВС на советском Дальнем Востоке. Но Рузвельт не пошел на такой шаг (15111).</w:t>
      </w:r>
    </w:p>
    <w:p w14:paraId="11425B46" w14:textId="77777777" w:rsidR="00476D5F" w:rsidRPr="007224C3" w:rsidRDefault="00476D5F" w:rsidP="007224C3">
      <w:pPr>
        <w:spacing w:after="0" w:line="240" w:lineRule="auto"/>
        <w:jc w:val="both"/>
        <w:rPr>
          <w:rFonts w:ascii="Times New Roman" w:hAnsi="Times New Roman"/>
          <w:color w:val="000000" w:themeColor="text1"/>
          <w:sz w:val="16"/>
          <w:szCs w:val="16"/>
        </w:rPr>
      </w:pPr>
    </w:p>
    <w:p w14:paraId="39B45902"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56C76DA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BC59367" w14:textId="77777777" w:rsidR="00D60BAA" w:rsidRPr="007224C3" w:rsidRDefault="00D60BA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апреля в 1944 году поднялся в воздух один из прототипов шведского транспортного планера «AB Flygindustri» «Fi-3», предназначенного для перевозки 10 солдат и двух пилотов. Он поднялся на высоту 1500 метров, буксируемый самолетом «В5». Планеры получили военное обозначение «LG5» и нумерацию от 9001 до 9005. По окончанию войны все работы над планером были остановлены. Было изготовлено всего 5 прототипов под номерами 2 - 6 (номер 1 был предназначен для статических испытаний) (15111).</w:t>
      </w:r>
    </w:p>
    <w:p w14:paraId="25B4AF0F" w14:textId="77777777" w:rsidR="00D60BAA" w:rsidRPr="007224C3" w:rsidRDefault="00D60BAA" w:rsidP="007224C3">
      <w:pPr>
        <w:spacing w:after="0" w:line="240" w:lineRule="auto"/>
        <w:jc w:val="both"/>
        <w:rPr>
          <w:rFonts w:ascii="Times New Roman" w:hAnsi="Times New Roman"/>
          <w:color w:val="000000" w:themeColor="text1"/>
          <w:sz w:val="16"/>
          <w:szCs w:val="16"/>
        </w:rPr>
      </w:pPr>
    </w:p>
    <w:p w14:paraId="36BB8EAF" w14:textId="77777777" w:rsidR="00185B57" w:rsidRPr="007224C3" w:rsidRDefault="00185B57"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26–27 апреля (ночь) 1944 493 британских бомбардировщика совершили точную атаку на Эссен в Германии, потеряв семь из своего числа (1,4 процента своих сил) (20373).</w:t>
      </w:r>
    </w:p>
    <w:p w14:paraId="545D96E8" w14:textId="77777777" w:rsidR="00185B57" w:rsidRPr="007224C3" w:rsidRDefault="00185B57" w:rsidP="007224C3">
      <w:pPr>
        <w:spacing w:after="0" w:line="240" w:lineRule="auto"/>
        <w:jc w:val="both"/>
        <w:rPr>
          <w:rFonts w:ascii="Times New Roman" w:hAnsi="Times New Roman"/>
          <w:color w:val="0070C0"/>
          <w:sz w:val="16"/>
          <w:szCs w:val="16"/>
        </w:rPr>
      </w:pPr>
    </w:p>
    <w:p w14:paraId="25731920" w14:textId="77777777" w:rsidR="00185B57" w:rsidRPr="007224C3" w:rsidRDefault="00185B57"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26–27 апреля (ночь) 1944 226 британских бомбардировщиков совершили налет на Швайнфурт, Германия. Ветер заставляет многие бомбы упасть за пределами города, и немецкие ночные истребители сильно атакуют бомбардировщики; 21 бомбардировщик (9,3 процента сил) потеряно. Сержант Норман Джексон, удерживаемый на месте другими членами экипажа за парашютную сумку, вылезает из люка с огнетушителем, чтобы попытаться потушить пожар в топливном баке крыла своего Ланкастера, но его сдувает с крыла и он спускается на парашюте и, поскольку спасает остальной экипаж, его награждают Крестом Виктории (20373).</w:t>
      </w:r>
    </w:p>
    <w:p w14:paraId="4B97A81B" w14:textId="77777777" w:rsidR="00185B57" w:rsidRPr="007224C3" w:rsidRDefault="00185B57" w:rsidP="007224C3">
      <w:pPr>
        <w:spacing w:after="0" w:line="240" w:lineRule="auto"/>
        <w:jc w:val="both"/>
        <w:rPr>
          <w:rFonts w:ascii="Times New Roman" w:hAnsi="Times New Roman"/>
          <w:color w:val="0070C0"/>
          <w:sz w:val="16"/>
          <w:szCs w:val="16"/>
        </w:rPr>
      </w:pPr>
    </w:p>
    <w:p w14:paraId="1418F897" w14:textId="77777777" w:rsidR="00185B57" w:rsidRPr="007224C3" w:rsidRDefault="00185B57"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26–27 апреля (ночь) 1944 227 британских бомбардировщиков атакуют железнодорожные станции в Вильнёв-Сен-Жорж, Франция, потеряв один самолет (20373).</w:t>
      </w:r>
    </w:p>
    <w:p w14:paraId="1D057819" w14:textId="77777777" w:rsidR="00185B57" w:rsidRPr="007224C3" w:rsidRDefault="00185B57" w:rsidP="007224C3">
      <w:pPr>
        <w:spacing w:after="0" w:line="240" w:lineRule="auto"/>
        <w:jc w:val="both"/>
        <w:rPr>
          <w:rFonts w:ascii="Times New Roman" w:hAnsi="Times New Roman"/>
          <w:color w:val="0070C0"/>
          <w:sz w:val="16"/>
          <w:szCs w:val="16"/>
        </w:rPr>
      </w:pPr>
    </w:p>
    <w:p w14:paraId="1FACA7B8"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апреля 1944 англичанами похищен командующий немецкими войсками на Крите генерал Хейнрих Крейпе (4962).</w:t>
      </w:r>
    </w:p>
    <w:p w14:paraId="3DAB0C72"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60939A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апреля 1944 японцы впервые атаковали В-29 и один истребитель был сбит (2100).</w:t>
      </w:r>
    </w:p>
    <w:p w14:paraId="0AF54CA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8B6B99"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22ABDC3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66FB130" w14:textId="77777777" w:rsidR="00185B57" w:rsidRPr="007224C3" w:rsidRDefault="00185B57"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27 апреля 1944 отремонтированный Су-6 АМ-42 официально поступил в ГК НИИ ВВС. Ответственным исполнителем по ис</w:t>
      </w:r>
      <w:r w:rsidRPr="007224C3">
        <w:rPr>
          <w:rFonts w:ascii="Times New Roman" w:hAnsi="Times New Roman"/>
          <w:color w:val="0070C0"/>
          <w:sz w:val="16"/>
          <w:szCs w:val="16"/>
        </w:rPr>
        <w:softHyphen/>
        <w:t>пытаниям был назначен помощник веду</w:t>
      </w:r>
      <w:r w:rsidRPr="007224C3">
        <w:rPr>
          <w:rFonts w:ascii="Times New Roman" w:hAnsi="Times New Roman"/>
          <w:color w:val="0070C0"/>
          <w:sz w:val="16"/>
          <w:szCs w:val="16"/>
        </w:rPr>
        <w:softHyphen/>
        <w:t>щего инженера старший техник-лейтенант Марьин, ведущим летчиком - заместитель начальника института по летной части ге- нерал-майор Кабанов, вторым ведущим летчиком - инженер-майор Синельников. Самолет облетал заместитель начальника 5-го отдела 1-го Управления института по летной части подполковник Долгов (19852).</w:t>
      </w:r>
    </w:p>
    <w:p w14:paraId="25ED361C" w14:textId="77777777" w:rsidR="00185B57" w:rsidRPr="007224C3" w:rsidRDefault="00185B57" w:rsidP="007224C3">
      <w:pPr>
        <w:spacing w:after="0" w:line="240" w:lineRule="auto"/>
        <w:jc w:val="both"/>
        <w:rPr>
          <w:rFonts w:ascii="Times New Roman" w:hAnsi="Times New Roman"/>
          <w:color w:val="0070C0"/>
          <w:sz w:val="16"/>
          <w:szCs w:val="16"/>
        </w:rPr>
      </w:pPr>
    </w:p>
    <w:p w14:paraId="362C322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апреля 1944 года завершились Государственные испытания Як-9У с М-107А и показали, что самолет не пригоден для принятия на вооружение. Тем не менее, в августе 1944 года ВВС НК.АП заключили договор о поставках Як-9У с ВК-107А. Видимо, это произошло в надежде, что промышленность устранит дефекты, выявленные не только в НИИ ВВС, но и в эксплуатации. Однако проведенные впоследствии три государственных испытания машины прогресса в улучшении летных и эксплуатационных данных истребителя не выявили.</w:t>
      </w:r>
    </w:p>
    <w:p w14:paraId="588BD10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поступил на испытания 18 января с винтом обратной схемы АВ-10П-20, замененным впоследствии ВИШ-107Л5. Ведущими по машине были инженер А.Т. Степанец и летчик А.Г. Прошаков. Самолет облетали Ю.А. Антипов и А.Г. Кубышкин.</w:t>
      </w:r>
    </w:p>
    <w:p w14:paraId="06DF373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плане НКАП на 1943 год числился Як-9 с двигателем М-107А со следующими данными: максимальная скорость у земли - 580 км/ч, а на высоте 5900 м - 590 км/ч, при посадочной - 147 км/ч; время виража на высоте 1000 м - 18 секунд и практический потолок - 11 500 м. Его вооружение ограничивалось 20-миллиметровой пушкой с боезапасом 120 патронов и пулеметом калибром 12,7 мм с 200 патронами. На государственные испытания машину предписывалось передать к 15 июня 1943 г. Однако из-за трудностей с доводкой двигателя создание этого истребителя затянулось.</w:t>
      </w:r>
    </w:p>
    <w:p w14:paraId="3C54FC0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Як-9У с мотором ВК-107А построили в соответствие декабрьским 1943 года постановлением ГКО на базе пушечного Як-9Т. При этом заимствовали ряд технических решений с истребителя Як-3 с двигателем ВК-105ПФ.</w:t>
      </w:r>
    </w:p>
    <w:p w14:paraId="2354D52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тому времени ВК-107А прошел 100-часовые стендовые испытания и развивал мощность 1650 л.с. на первой границе высотности (1800 м) и 1500 л.с. на 4500 м (вторая граница высотности). Новый двигатель потребовал изменения конструкции подмо- торной рамы и фермы крепления оружия из-за установки второго пулемета (на Як-9Т устанавливали 37-миллиметровую пушку и пулемет БС). Вооружение Як-9У с двигателем ВК-107А состояло из мотор-пушки МП-20 и двух синхронных пулеметов УБС.</w:t>
      </w:r>
    </w:p>
    <w:p w14:paraId="08833A9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сравнению с предшественником, на новой машине установили маслорадиатор с большей теплоотдачей и перенесли его в центроплан крыла по типу Як-3. При этом укоротили трубки водорадиатора и улучшили внешние и внутренние обводы его тоннеля.</w:t>
      </w:r>
    </w:p>
    <w:p w14:paraId="2D6BE73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Тогда же доработали нижнюю панель фюзеляжа между вторым и четвертым шпангоутами из-за размещения нового водорадиатора и вала ручного управления машиной, смонтированного на каркасе фюзеляжа.</w:t>
      </w:r>
    </w:p>
    <w:p w14:paraId="1F91BE1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фонаре кабины пилота появился механизм аварийного сброса его сдвижной части, а с козырька сняли лобовое бронестекло, сделав его более обтекаемым из гнутого плексигласа. Но, как выяснилось позже, снижение аэродинамического сопротивления фонаря сильно исказило изображение передней полусферы.</w:t>
      </w:r>
    </w:p>
    <w:p w14:paraId="35371A8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Убрали подлокотники для летчика, оказавшиеся лишними в непродолжительном полете и утяжелявшие истребитель. От Як-3 так же заимствовали бронеспинку, заголовник из прозрачной брони, надголовник и полуавтоматический стопор костыльной опоры.</w:t>
      </w:r>
    </w:p>
    <w:p w14:paraId="1E02800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Два семилитровых воздушных баллона заменили одним - объемом восемь литров. Сняли грузы весовой компенсации элеронов и на 200 мм увеличили размах аэродинамического компенсатора руля высоты.</w:t>
      </w:r>
    </w:p>
    <w:p w14:paraId="60F60FC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Как известно различные щели в планере приводят не только к задуванию кабины, но и к увеличению аэродинамического сопротивления. В связи с этим, заделали щели (герметизировали) в противопожарной перегородке, крыле, кабине, хвостовой части фюзеляжа, отсеках бензобаков и в тоннеле маслорадиатора.</w:t>
      </w:r>
    </w:p>
    <w:p w14:paraId="5AC7A4C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Полотняными перегородками закрыли щели между крылом и элеронами, что исключило перетекание воздуха и, как следствие, улучшило аэродинамику машины. Также отполировали передние кромки крыла, оперения и носовой части капота мотора.</w:t>
      </w:r>
    </w:p>
    <w:p w14:paraId="3809203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своих выводах специалисты института отмечали, в частности, что опытный Як-9У с ВК-107А по максимальной скорости горизонтального полета, скороподъемности и вертикальной маневренности в диапазоне высот до 6000 м является лучшим из известных отечественных и иностранных истребителей.</w:t>
      </w:r>
    </w:p>
    <w:p w14:paraId="5125A11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 скорость горизонтального полета на боевом режиме составляла: у земли (на высоте 5000 м) 600 км/ч (690 км/ч), что больше, чем у трехточечного Me-109G-2 на 76 км/ч (80 км/ч), у FW-190A-4 - на 90 км/ч (102 км/ч), Як-9Т - на 67 км/ч (105 км/ч), Як-9У эталона 1944 года - на 42 км/ч (75 км/ч), Як-3 "Дублера" - на 30 км/ч (42 км/ч) и Ла-7 эталона 1944 года - на 29 км/ч.</w:t>
      </w:r>
    </w:p>
    <w:p w14:paraId="2BA2CC2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Время набора высоты 5000 м на боевом режиме не превышало 4,1 минуты, что было почти как у Як-3 "Дублер" и меньше на 0,3 минуты, по сравнению с трехточечным Ме- 109G-2. Дольше набирали эту высоту FW190A-4 - на 2,7 минуты, Як-9Т - на 1,4 минуты, Як-9У с мотором М-105ПФ - на 0,7 минуты и Ла-7 - на 0,35 минуты. Последние две машины стали эталонами 1944 г.</w:t>
      </w:r>
    </w:p>
    <w:p w14:paraId="1F7E95E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Установка двигателя ВК-107А не усложнила технику пилотирования. Самолет оставался простым в управлении и доступным для летчиков средней квалификации.</w:t>
      </w:r>
    </w:p>
    <w:p w14:paraId="5648F54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Заказчик посчитал бронезашиту летчика недостаточной и не отвечавшей, предъявлявшимся к ней требованиям. Военные испытатели отметили и отсутствие зеркала, что затрудняло обзор задней полусферы.</w:t>
      </w:r>
    </w:p>
    <w:p w14:paraId="47F5F65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заключение "Акта по результатам государственных испытаний..." отмечалось: "Для быстрейшей доводки и ввода в строй Як-9У необходимо срочно провести войсковые и эксплуатационные испытания самолета..." (12046).</w:t>
      </w:r>
    </w:p>
    <w:p w14:paraId="41F829C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Основные данные унифицированных истребителей Як-9У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5106D0" w:rsidRPr="007224C3" w14:paraId="3326460F" w14:textId="77777777">
        <w:tc>
          <w:tcPr>
            <w:tcW w:w="1868" w:type="dxa"/>
            <w:tcBorders>
              <w:top w:val="single" w:sz="12" w:space="0" w:color="auto"/>
            </w:tcBorders>
          </w:tcPr>
          <w:p w14:paraId="68672CF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Тип</w:t>
            </w:r>
          </w:p>
        </w:tc>
        <w:tc>
          <w:tcPr>
            <w:tcW w:w="1868" w:type="dxa"/>
            <w:tcBorders>
              <w:top w:val="single" w:sz="12" w:space="0" w:color="auto"/>
            </w:tcBorders>
          </w:tcPr>
          <w:p w14:paraId="593463E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top w:val="single" w:sz="12" w:space="0" w:color="auto"/>
            </w:tcBorders>
          </w:tcPr>
          <w:p w14:paraId="49EA92C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Як-9У</w:t>
            </w:r>
          </w:p>
        </w:tc>
        <w:tc>
          <w:tcPr>
            <w:tcW w:w="1868" w:type="dxa"/>
            <w:tcBorders>
              <w:top w:val="single" w:sz="12" w:space="0" w:color="auto"/>
            </w:tcBorders>
          </w:tcPr>
          <w:p w14:paraId="470CC22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top w:val="single" w:sz="12" w:space="0" w:color="auto"/>
            </w:tcBorders>
          </w:tcPr>
          <w:p w14:paraId="4F81AD1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ЯК-9УТ</w:t>
            </w:r>
          </w:p>
        </w:tc>
        <w:tc>
          <w:tcPr>
            <w:tcW w:w="1868" w:type="dxa"/>
            <w:tcBorders>
              <w:top w:val="single" w:sz="12" w:space="0" w:color="auto"/>
            </w:tcBorders>
          </w:tcPr>
          <w:p w14:paraId="3CDADB9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ЯК-9УВ</w:t>
            </w:r>
          </w:p>
        </w:tc>
      </w:tr>
      <w:tr w:rsidR="005106D0" w:rsidRPr="007224C3" w14:paraId="624138C8" w14:textId="77777777">
        <w:tc>
          <w:tcPr>
            <w:tcW w:w="1868" w:type="dxa"/>
          </w:tcPr>
          <w:p w14:paraId="5E5A750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F47931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7E37AA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1943 г.</w:t>
            </w:r>
          </w:p>
        </w:tc>
        <w:tc>
          <w:tcPr>
            <w:tcW w:w="1868" w:type="dxa"/>
          </w:tcPr>
          <w:p w14:paraId="3CE53E9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19E421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40-022</w:t>
            </w:r>
          </w:p>
        </w:tc>
        <w:tc>
          <w:tcPr>
            <w:tcW w:w="1868" w:type="dxa"/>
          </w:tcPr>
          <w:p w14:paraId="6F59C75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9E4EACC" w14:textId="77777777">
        <w:tc>
          <w:tcPr>
            <w:tcW w:w="1868" w:type="dxa"/>
          </w:tcPr>
          <w:p w14:paraId="7B2C4B5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Двигатель</w:t>
            </w:r>
          </w:p>
        </w:tc>
        <w:tc>
          <w:tcPr>
            <w:tcW w:w="1868" w:type="dxa"/>
          </w:tcPr>
          <w:p w14:paraId="6D52232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31BD9B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М-105ПФ21</w:t>
            </w:r>
          </w:p>
        </w:tc>
        <w:tc>
          <w:tcPr>
            <w:tcW w:w="1868" w:type="dxa"/>
          </w:tcPr>
          <w:p w14:paraId="5E7B80F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ВК-107А</w:t>
            </w:r>
          </w:p>
        </w:tc>
        <w:tc>
          <w:tcPr>
            <w:tcW w:w="1868" w:type="dxa"/>
          </w:tcPr>
          <w:p w14:paraId="430F74E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ВК-107А</w:t>
            </w:r>
          </w:p>
        </w:tc>
        <w:tc>
          <w:tcPr>
            <w:tcW w:w="1868" w:type="dxa"/>
          </w:tcPr>
          <w:p w14:paraId="43038A7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92D3691" w14:textId="77777777">
        <w:tc>
          <w:tcPr>
            <w:tcW w:w="1868" w:type="dxa"/>
          </w:tcPr>
          <w:p w14:paraId="5E108AF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Размах крыла, м</w:t>
            </w:r>
          </w:p>
        </w:tc>
        <w:tc>
          <w:tcPr>
            <w:tcW w:w="1868" w:type="dxa"/>
          </w:tcPr>
          <w:p w14:paraId="3BAF430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DAC1B1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9,74</w:t>
            </w:r>
          </w:p>
        </w:tc>
        <w:tc>
          <w:tcPr>
            <w:tcW w:w="1868" w:type="dxa"/>
          </w:tcPr>
          <w:p w14:paraId="5E984B9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3990B4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9,74</w:t>
            </w:r>
          </w:p>
        </w:tc>
        <w:tc>
          <w:tcPr>
            <w:tcW w:w="1868" w:type="dxa"/>
          </w:tcPr>
          <w:p w14:paraId="7153067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9,74</w:t>
            </w:r>
          </w:p>
        </w:tc>
      </w:tr>
      <w:tr w:rsidR="005106D0" w:rsidRPr="007224C3" w14:paraId="5D84B15B" w14:textId="77777777">
        <w:tc>
          <w:tcPr>
            <w:tcW w:w="1868" w:type="dxa"/>
          </w:tcPr>
          <w:p w14:paraId="7693190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Длина, м</w:t>
            </w:r>
          </w:p>
        </w:tc>
        <w:tc>
          <w:tcPr>
            <w:tcW w:w="1868" w:type="dxa"/>
          </w:tcPr>
          <w:p w14:paraId="04346F9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AAA07D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8,5</w:t>
            </w:r>
          </w:p>
        </w:tc>
        <w:tc>
          <w:tcPr>
            <w:tcW w:w="1868" w:type="dxa"/>
          </w:tcPr>
          <w:p w14:paraId="17FB92F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94272C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8,55</w:t>
            </w:r>
          </w:p>
        </w:tc>
        <w:tc>
          <w:tcPr>
            <w:tcW w:w="1868" w:type="dxa"/>
          </w:tcPr>
          <w:p w14:paraId="753A6D6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8,55</w:t>
            </w:r>
          </w:p>
        </w:tc>
      </w:tr>
      <w:tr w:rsidR="005106D0" w:rsidRPr="007224C3" w14:paraId="53E7E26E" w14:textId="77777777">
        <w:tc>
          <w:tcPr>
            <w:tcW w:w="1868" w:type="dxa"/>
          </w:tcPr>
          <w:p w14:paraId="4694EA4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Площадь крыла, мг</w:t>
            </w:r>
          </w:p>
        </w:tc>
        <w:tc>
          <w:tcPr>
            <w:tcW w:w="1868" w:type="dxa"/>
          </w:tcPr>
          <w:p w14:paraId="59EC165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122913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17,15</w:t>
            </w:r>
          </w:p>
        </w:tc>
        <w:tc>
          <w:tcPr>
            <w:tcW w:w="1868" w:type="dxa"/>
          </w:tcPr>
          <w:p w14:paraId="362A34B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C341CE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17,15</w:t>
            </w:r>
          </w:p>
        </w:tc>
        <w:tc>
          <w:tcPr>
            <w:tcW w:w="1868" w:type="dxa"/>
          </w:tcPr>
          <w:p w14:paraId="4644AE8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17,15</w:t>
            </w:r>
          </w:p>
        </w:tc>
      </w:tr>
      <w:tr w:rsidR="005106D0" w:rsidRPr="007224C3" w14:paraId="4D818D86" w14:textId="77777777">
        <w:tc>
          <w:tcPr>
            <w:tcW w:w="1868" w:type="dxa"/>
          </w:tcPr>
          <w:p w14:paraId="01E6860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Взлетный вес, кг</w:t>
            </w:r>
          </w:p>
        </w:tc>
        <w:tc>
          <w:tcPr>
            <w:tcW w:w="1868" w:type="dxa"/>
          </w:tcPr>
          <w:p w14:paraId="03B196B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EF0875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C85B5D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09D08F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36CBC5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DEF88EE" w14:textId="77777777">
        <w:tc>
          <w:tcPr>
            <w:tcW w:w="1868" w:type="dxa"/>
          </w:tcPr>
          <w:p w14:paraId="7E1F318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нормальный</w:t>
            </w:r>
          </w:p>
        </w:tc>
        <w:tc>
          <w:tcPr>
            <w:tcW w:w="1868" w:type="dxa"/>
          </w:tcPr>
          <w:p w14:paraId="0DBD19A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A8E32A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2900</w:t>
            </w:r>
          </w:p>
        </w:tc>
        <w:tc>
          <w:tcPr>
            <w:tcW w:w="1868" w:type="dxa"/>
          </w:tcPr>
          <w:p w14:paraId="2C39E45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3FAD0B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3260</w:t>
            </w:r>
          </w:p>
        </w:tc>
        <w:tc>
          <w:tcPr>
            <w:tcW w:w="1868" w:type="dxa"/>
          </w:tcPr>
          <w:p w14:paraId="08263C9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3128</w:t>
            </w:r>
          </w:p>
        </w:tc>
      </w:tr>
      <w:tr w:rsidR="005106D0" w:rsidRPr="007224C3" w14:paraId="40C971EC" w14:textId="77777777">
        <w:tc>
          <w:tcPr>
            <w:tcW w:w="1868" w:type="dxa"/>
          </w:tcPr>
          <w:p w14:paraId="2964FA0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 пустого, кг</w:t>
            </w:r>
          </w:p>
        </w:tc>
        <w:tc>
          <w:tcPr>
            <w:tcW w:w="1868" w:type="dxa"/>
          </w:tcPr>
          <w:p w14:paraId="21D81FF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B4FA05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2244</w:t>
            </w:r>
          </w:p>
        </w:tc>
        <w:tc>
          <w:tcPr>
            <w:tcW w:w="1868" w:type="dxa"/>
          </w:tcPr>
          <w:p w14:paraId="38C6563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BE6292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2467</w:t>
            </w:r>
          </w:p>
        </w:tc>
        <w:tc>
          <w:tcPr>
            <w:tcW w:w="1868" w:type="dxa"/>
          </w:tcPr>
          <w:p w14:paraId="37C5F80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2505</w:t>
            </w:r>
          </w:p>
        </w:tc>
      </w:tr>
      <w:tr w:rsidR="005106D0" w:rsidRPr="007224C3" w14:paraId="3458E0DF" w14:textId="77777777">
        <w:tc>
          <w:tcPr>
            <w:tcW w:w="1868" w:type="dxa"/>
          </w:tcPr>
          <w:p w14:paraId="0B243FD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 топлива, кг</w:t>
            </w:r>
          </w:p>
        </w:tc>
        <w:tc>
          <w:tcPr>
            <w:tcW w:w="1868" w:type="dxa"/>
          </w:tcPr>
          <w:p w14:paraId="08B2753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147DC2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318</w:t>
            </w:r>
          </w:p>
        </w:tc>
        <w:tc>
          <w:tcPr>
            <w:tcW w:w="1868" w:type="dxa"/>
          </w:tcPr>
          <w:p w14:paraId="7CD6ADB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2D26F7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380</w:t>
            </w:r>
          </w:p>
        </w:tc>
        <w:tc>
          <w:tcPr>
            <w:tcW w:w="1868" w:type="dxa"/>
          </w:tcPr>
          <w:p w14:paraId="6E0AEDF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346</w:t>
            </w:r>
          </w:p>
        </w:tc>
      </w:tr>
      <w:tr w:rsidR="005106D0" w:rsidRPr="007224C3" w14:paraId="47E13063" w14:textId="77777777">
        <w:tc>
          <w:tcPr>
            <w:tcW w:w="1868" w:type="dxa"/>
          </w:tcPr>
          <w:p w14:paraId="50B79C7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Скорость макс., км/ч</w:t>
            </w:r>
          </w:p>
        </w:tc>
        <w:tc>
          <w:tcPr>
            <w:tcW w:w="1868" w:type="dxa"/>
          </w:tcPr>
          <w:p w14:paraId="2EFA1F5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C919A4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8D8AD2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B77615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DDE654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35BA62B" w14:textId="77777777">
        <w:tc>
          <w:tcPr>
            <w:tcW w:w="1868" w:type="dxa"/>
          </w:tcPr>
          <w:p w14:paraId="250A11A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 земли</w:t>
            </w:r>
          </w:p>
        </w:tc>
        <w:tc>
          <w:tcPr>
            <w:tcW w:w="1868" w:type="dxa"/>
          </w:tcPr>
          <w:p w14:paraId="0E53ABF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AF86E4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558</w:t>
            </w:r>
          </w:p>
        </w:tc>
        <w:tc>
          <w:tcPr>
            <w:tcW w:w="1868" w:type="dxa"/>
          </w:tcPr>
          <w:p w14:paraId="67AB944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C65272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578</w:t>
            </w:r>
          </w:p>
        </w:tc>
        <w:tc>
          <w:tcPr>
            <w:tcW w:w="1868" w:type="dxa"/>
          </w:tcPr>
          <w:p w14:paraId="0F9B496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564</w:t>
            </w:r>
          </w:p>
        </w:tc>
      </w:tr>
      <w:tr w:rsidR="005106D0" w:rsidRPr="007224C3" w14:paraId="679DC3B2" w14:textId="77777777">
        <w:tc>
          <w:tcPr>
            <w:tcW w:w="1868" w:type="dxa"/>
          </w:tcPr>
          <w:p w14:paraId="7E02B0D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1-й гр. высотности, м</w:t>
            </w:r>
          </w:p>
        </w:tc>
        <w:tc>
          <w:tcPr>
            <w:tcW w:w="1868" w:type="dxa"/>
          </w:tcPr>
          <w:p w14:paraId="4846ED3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406368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600/1800</w:t>
            </w:r>
          </w:p>
        </w:tc>
        <w:tc>
          <w:tcPr>
            <w:tcW w:w="1868" w:type="dxa"/>
          </w:tcPr>
          <w:p w14:paraId="5D67E9E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625/2200</w:t>
            </w:r>
          </w:p>
        </w:tc>
        <w:tc>
          <w:tcPr>
            <w:tcW w:w="1868" w:type="dxa"/>
          </w:tcPr>
          <w:p w14:paraId="768560F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868" w:type="dxa"/>
          </w:tcPr>
          <w:p w14:paraId="75E4DA7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86F0821" w14:textId="77777777">
        <w:tc>
          <w:tcPr>
            <w:tcW w:w="1868" w:type="dxa"/>
          </w:tcPr>
          <w:p w14:paraId="2A6973F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2-й гр. высотности, м</w:t>
            </w:r>
          </w:p>
        </w:tc>
        <w:tc>
          <w:tcPr>
            <w:tcW w:w="1868" w:type="dxa"/>
          </w:tcPr>
          <w:p w14:paraId="2A9348B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F5A4B5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620/3850</w:t>
            </w:r>
          </w:p>
        </w:tc>
        <w:tc>
          <w:tcPr>
            <w:tcW w:w="1868" w:type="dxa"/>
          </w:tcPr>
          <w:p w14:paraId="7609D3F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671/4900</w:t>
            </w:r>
          </w:p>
        </w:tc>
        <w:tc>
          <w:tcPr>
            <w:tcW w:w="1868" w:type="dxa"/>
          </w:tcPr>
          <w:p w14:paraId="7214EEB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623/4100</w:t>
            </w:r>
          </w:p>
        </w:tc>
        <w:tc>
          <w:tcPr>
            <w:tcW w:w="1868" w:type="dxa"/>
          </w:tcPr>
          <w:p w14:paraId="2816A97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95BDBDE" w14:textId="77777777">
        <w:tc>
          <w:tcPr>
            <w:tcW w:w="1868" w:type="dxa"/>
          </w:tcPr>
          <w:p w14:paraId="269796A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Время набора</w:t>
            </w:r>
          </w:p>
        </w:tc>
        <w:tc>
          <w:tcPr>
            <w:tcW w:w="1868" w:type="dxa"/>
          </w:tcPr>
          <w:p w14:paraId="207C6FF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0E15AD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0677FD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DA1283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A9175A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3873A5F" w14:textId="77777777">
        <w:tc>
          <w:tcPr>
            <w:tcW w:w="1868" w:type="dxa"/>
          </w:tcPr>
          <w:p w14:paraId="240E96B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высоты 5000 м, мин</w:t>
            </w:r>
          </w:p>
        </w:tc>
        <w:tc>
          <w:tcPr>
            <w:tcW w:w="1868" w:type="dxa"/>
          </w:tcPr>
          <w:p w14:paraId="5EB88D6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9154E4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4,8</w:t>
            </w:r>
          </w:p>
        </w:tc>
        <w:tc>
          <w:tcPr>
            <w:tcW w:w="1868" w:type="dxa"/>
          </w:tcPr>
          <w:p w14:paraId="7168096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F3D7C9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5,2</w:t>
            </w:r>
          </w:p>
        </w:tc>
        <w:tc>
          <w:tcPr>
            <w:tcW w:w="1868" w:type="dxa"/>
          </w:tcPr>
          <w:p w14:paraId="34E0EA3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5,5</w:t>
            </w:r>
          </w:p>
        </w:tc>
      </w:tr>
      <w:tr w:rsidR="005106D0" w:rsidRPr="007224C3" w14:paraId="25B66081" w14:textId="77777777">
        <w:tc>
          <w:tcPr>
            <w:tcW w:w="1868" w:type="dxa"/>
          </w:tcPr>
          <w:p w14:paraId="65D70CE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Практический потолок, м</w:t>
            </w:r>
          </w:p>
        </w:tc>
        <w:tc>
          <w:tcPr>
            <w:tcW w:w="1868" w:type="dxa"/>
          </w:tcPr>
          <w:p w14:paraId="0617C5B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908498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10400</w:t>
            </w:r>
          </w:p>
        </w:tc>
        <w:tc>
          <w:tcPr>
            <w:tcW w:w="1868" w:type="dxa"/>
          </w:tcPr>
          <w:p w14:paraId="2DFAAB2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4848D2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10700</w:t>
            </w:r>
          </w:p>
        </w:tc>
        <w:tc>
          <w:tcPr>
            <w:tcW w:w="1868" w:type="dxa"/>
          </w:tcPr>
          <w:p w14:paraId="6C26C09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11300</w:t>
            </w:r>
          </w:p>
        </w:tc>
      </w:tr>
      <w:tr w:rsidR="005106D0" w:rsidRPr="007224C3" w14:paraId="00DAAC17" w14:textId="77777777">
        <w:tc>
          <w:tcPr>
            <w:tcW w:w="1868" w:type="dxa"/>
          </w:tcPr>
          <w:p w14:paraId="60A1090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Время виража</w:t>
            </w:r>
          </w:p>
        </w:tc>
        <w:tc>
          <w:tcPr>
            <w:tcW w:w="1868" w:type="dxa"/>
          </w:tcPr>
          <w:p w14:paraId="1CE36AE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B888C8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08355B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97BCB9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D3EE4C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A534944" w14:textId="77777777">
        <w:tc>
          <w:tcPr>
            <w:tcW w:w="1868" w:type="dxa"/>
          </w:tcPr>
          <w:p w14:paraId="6008980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высоте 1000 м,</w:t>
            </w:r>
          </w:p>
        </w:tc>
        <w:tc>
          <w:tcPr>
            <w:tcW w:w="1868" w:type="dxa"/>
          </w:tcPr>
          <w:p w14:paraId="44BCAAF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4F8B9E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19,5</w:t>
            </w:r>
          </w:p>
        </w:tc>
        <w:tc>
          <w:tcPr>
            <w:tcW w:w="1868" w:type="dxa"/>
          </w:tcPr>
          <w:p w14:paraId="25008E6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164348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868" w:type="dxa"/>
          </w:tcPr>
          <w:p w14:paraId="1C3FE57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w:t>
            </w:r>
          </w:p>
        </w:tc>
      </w:tr>
      <w:tr w:rsidR="005106D0" w:rsidRPr="007224C3" w14:paraId="5920E6CF" w14:textId="77777777">
        <w:tc>
          <w:tcPr>
            <w:tcW w:w="1868" w:type="dxa"/>
          </w:tcPr>
          <w:p w14:paraId="482EAEA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Дальность макс, км</w:t>
            </w:r>
          </w:p>
        </w:tc>
        <w:tc>
          <w:tcPr>
            <w:tcW w:w="1868" w:type="dxa"/>
          </w:tcPr>
          <w:p w14:paraId="41EE837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63788A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850</w:t>
            </w:r>
          </w:p>
        </w:tc>
        <w:tc>
          <w:tcPr>
            <w:tcW w:w="1868" w:type="dxa"/>
          </w:tcPr>
          <w:p w14:paraId="4B81A57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7B58E6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690</w:t>
            </w:r>
          </w:p>
        </w:tc>
        <w:tc>
          <w:tcPr>
            <w:tcW w:w="1868" w:type="dxa"/>
          </w:tcPr>
          <w:p w14:paraId="1B2442B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650</w:t>
            </w:r>
          </w:p>
        </w:tc>
      </w:tr>
      <w:tr w:rsidR="005106D0" w:rsidRPr="007224C3" w14:paraId="6A7DAD44" w14:textId="77777777">
        <w:tc>
          <w:tcPr>
            <w:tcW w:w="1868" w:type="dxa"/>
            <w:tcBorders>
              <w:bottom w:val="single" w:sz="12" w:space="0" w:color="auto"/>
            </w:tcBorders>
          </w:tcPr>
          <w:p w14:paraId="5E437C1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Разбег/пробег, м</w:t>
            </w:r>
          </w:p>
        </w:tc>
        <w:tc>
          <w:tcPr>
            <w:tcW w:w="1868" w:type="dxa"/>
            <w:tcBorders>
              <w:bottom w:val="single" w:sz="12" w:space="0" w:color="auto"/>
            </w:tcBorders>
          </w:tcPr>
          <w:p w14:paraId="5DFCB04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bottom w:val="single" w:sz="12" w:space="0" w:color="auto"/>
            </w:tcBorders>
          </w:tcPr>
          <w:p w14:paraId="4204AFC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320/575</w:t>
            </w:r>
          </w:p>
        </w:tc>
        <w:tc>
          <w:tcPr>
            <w:tcW w:w="1868" w:type="dxa"/>
            <w:tcBorders>
              <w:bottom w:val="single" w:sz="12" w:space="0" w:color="auto"/>
            </w:tcBorders>
          </w:tcPr>
          <w:p w14:paraId="48D7258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bottom w:val="single" w:sz="12" w:space="0" w:color="auto"/>
            </w:tcBorders>
          </w:tcPr>
          <w:p w14:paraId="00C8730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868" w:type="dxa"/>
            <w:tcBorders>
              <w:bottom w:val="single" w:sz="12" w:space="0" w:color="auto"/>
            </w:tcBorders>
          </w:tcPr>
          <w:p w14:paraId="24F1C77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390/560</w:t>
            </w:r>
          </w:p>
        </w:tc>
      </w:tr>
    </w:tbl>
    <w:p w14:paraId="726D064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Наддув двигателя 1100 мм рт. ст. (12046).</w:t>
      </w:r>
    </w:p>
    <w:p w14:paraId="5B96714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Основные данные истребителей Як-9У с двигателями М-107А (ВК-107А)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5106D0" w:rsidRPr="007224C3" w14:paraId="36900C99" w14:textId="77777777">
        <w:tc>
          <w:tcPr>
            <w:tcW w:w="1868" w:type="dxa"/>
            <w:tcBorders>
              <w:top w:val="single" w:sz="12" w:space="0" w:color="auto"/>
            </w:tcBorders>
          </w:tcPr>
          <w:p w14:paraId="3583FC4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Тип</w:t>
            </w:r>
          </w:p>
        </w:tc>
        <w:tc>
          <w:tcPr>
            <w:tcW w:w="1868" w:type="dxa"/>
            <w:tcBorders>
              <w:top w:val="single" w:sz="12" w:space="0" w:color="auto"/>
            </w:tcBorders>
          </w:tcPr>
          <w:p w14:paraId="2371B03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Як-9У</w:t>
            </w:r>
          </w:p>
        </w:tc>
        <w:tc>
          <w:tcPr>
            <w:tcW w:w="1868" w:type="dxa"/>
            <w:tcBorders>
              <w:top w:val="single" w:sz="12" w:space="0" w:color="auto"/>
            </w:tcBorders>
          </w:tcPr>
          <w:p w14:paraId="5B8317C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Як-9У</w:t>
            </w:r>
          </w:p>
        </w:tc>
        <w:tc>
          <w:tcPr>
            <w:tcW w:w="1868" w:type="dxa"/>
            <w:tcBorders>
              <w:top w:val="single" w:sz="12" w:space="0" w:color="auto"/>
            </w:tcBorders>
          </w:tcPr>
          <w:p w14:paraId="4F353F8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Як-9У2</w:t>
            </w:r>
          </w:p>
        </w:tc>
        <w:tc>
          <w:tcPr>
            <w:tcW w:w="1868" w:type="dxa"/>
            <w:tcBorders>
              <w:top w:val="single" w:sz="12" w:space="0" w:color="auto"/>
            </w:tcBorders>
          </w:tcPr>
          <w:p w14:paraId="48D239D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ЯК-9У</w:t>
            </w:r>
          </w:p>
        </w:tc>
        <w:tc>
          <w:tcPr>
            <w:tcW w:w="1868" w:type="dxa"/>
            <w:tcBorders>
              <w:top w:val="single" w:sz="12" w:space="0" w:color="auto"/>
            </w:tcBorders>
          </w:tcPr>
          <w:p w14:paraId="4402B2B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ЯК-9У</w:t>
            </w:r>
          </w:p>
        </w:tc>
      </w:tr>
      <w:tr w:rsidR="005106D0" w:rsidRPr="007224C3" w14:paraId="2923F877" w14:textId="77777777">
        <w:tc>
          <w:tcPr>
            <w:tcW w:w="1868" w:type="dxa"/>
          </w:tcPr>
          <w:p w14:paraId="4F4020C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w:t>
            </w:r>
          </w:p>
        </w:tc>
        <w:tc>
          <w:tcPr>
            <w:tcW w:w="1868" w:type="dxa"/>
          </w:tcPr>
          <w:p w14:paraId="6A371C6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115</w:t>
            </w:r>
          </w:p>
        </w:tc>
        <w:tc>
          <w:tcPr>
            <w:tcW w:w="1868" w:type="dxa"/>
          </w:tcPr>
          <w:p w14:paraId="5F4A9E7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166</w:t>
            </w:r>
          </w:p>
        </w:tc>
        <w:tc>
          <w:tcPr>
            <w:tcW w:w="1868" w:type="dxa"/>
          </w:tcPr>
          <w:p w14:paraId="4CAF559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166 и 115</w:t>
            </w:r>
          </w:p>
        </w:tc>
        <w:tc>
          <w:tcPr>
            <w:tcW w:w="1868" w:type="dxa"/>
          </w:tcPr>
          <w:p w14:paraId="7D743BF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166</w:t>
            </w:r>
          </w:p>
        </w:tc>
        <w:tc>
          <w:tcPr>
            <w:tcW w:w="1868" w:type="dxa"/>
          </w:tcPr>
          <w:p w14:paraId="6F2CEA4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82</w:t>
            </w:r>
          </w:p>
        </w:tc>
      </w:tr>
      <w:tr w:rsidR="005106D0" w:rsidRPr="007224C3" w14:paraId="48EFD2B8" w14:textId="77777777">
        <w:tc>
          <w:tcPr>
            <w:tcW w:w="1868" w:type="dxa"/>
          </w:tcPr>
          <w:p w14:paraId="63FFA4E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Серийный №</w:t>
            </w:r>
          </w:p>
        </w:tc>
        <w:tc>
          <w:tcPr>
            <w:tcW w:w="1868" w:type="dxa"/>
          </w:tcPr>
          <w:p w14:paraId="61660A2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опытный</w:t>
            </w:r>
          </w:p>
        </w:tc>
        <w:tc>
          <w:tcPr>
            <w:tcW w:w="1868" w:type="dxa"/>
          </w:tcPr>
          <w:p w14:paraId="22A185D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39-083</w:t>
            </w:r>
          </w:p>
        </w:tc>
        <w:tc>
          <w:tcPr>
            <w:tcW w:w="1868" w:type="dxa"/>
          </w:tcPr>
          <w:p w14:paraId="2999527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41-038</w:t>
            </w:r>
          </w:p>
        </w:tc>
        <w:tc>
          <w:tcPr>
            <w:tcW w:w="1868" w:type="dxa"/>
          </w:tcPr>
          <w:p w14:paraId="79FE722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52-082</w:t>
            </w:r>
          </w:p>
        </w:tc>
        <w:tc>
          <w:tcPr>
            <w:tcW w:w="1868" w:type="dxa"/>
          </w:tcPr>
          <w:p w14:paraId="316D4B5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10-10</w:t>
            </w:r>
          </w:p>
        </w:tc>
      </w:tr>
      <w:tr w:rsidR="005106D0" w:rsidRPr="007224C3" w14:paraId="72233850" w14:textId="77777777">
        <w:tc>
          <w:tcPr>
            <w:tcW w:w="1868" w:type="dxa"/>
          </w:tcPr>
          <w:p w14:paraId="3373CAB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Мощность, л.с.</w:t>
            </w:r>
          </w:p>
        </w:tc>
        <w:tc>
          <w:tcPr>
            <w:tcW w:w="1868" w:type="dxa"/>
          </w:tcPr>
          <w:p w14:paraId="7C33A6B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48FA01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4FD2B2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F6D7C1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63E613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0FE6683" w14:textId="77777777">
        <w:tc>
          <w:tcPr>
            <w:tcW w:w="1868" w:type="dxa"/>
          </w:tcPr>
          <w:p w14:paraId="4C34590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взлетная</w:t>
            </w:r>
          </w:p>
        </w:tc>
        <w:tc>
          <w:tcPr>
            <w:tcW w:w="1868" w:type="dxa"/>
          </w:tcPr>
          <w:p w14:paraId="0F479CF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868" w:type="dxa"/>
          </w:tcPr>
          <w:p w14:paraId="495E41A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1500</w:t>
            </w:r>
          </w:p>
        </w:tc>
        <w:tc>
          <w:tcPr>
            <w:tcW w:w="1868" w:type="dxa"/>
          </w:tcPr>
          <w:p w14:paraId="400A19F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1650</w:t>
            </w:r>
          </w:p>
        </w:tc>
        <w:tc>
          <w:tcPr>
            <w:tcW w:w="1868" w:type="dxa"/>
          </w:tcPr>
          <w:p w14:paraId="5E92A7D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1650</w:t>
            </w:r>
          </w:p>
        </w:tc>
        <w:tc>
          <w:tcPr>
            <w:tcW w:w="1868" w:type="dxa"/>
          </w:tcPr>
          <w:p w14:paraId="3B3EBDA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1500</w:t>
            </w:r>
          </w:p>
        </w:tc>
      </w:tr>
      <w:tr w:rsidR="005106D0" w:rsidRPr="007224C3" w14:paraId="1FA7034B" w14:textId="77777777">
        <w:tc>
          <w:tcPr>
            <w:tcW w:w="1868" w:type="dxa"/>
          </w:tcPr>
          <w:p w14:paraId="6AAFAE4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высоте</w:t>
            </w:r>
          </w:p>
        </w:tc>
        <w:tc>
          <w:tcPr>
            <w:tcW w:w="1868" w:type="dxa"/>
          </w:tcPr>
          <w:p w14:paraId="70BE531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1600/1800</w:t>
            </w:r>
          </w:p>
        </w:tc>
        <w:tc>
          <w:tcPr>
            <w:tcW w:w="1868" w:type="dxa"/>
          </w:tcPr>
          <w:p w14:paraId="50860C5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1550/1200</w:t>
            </w:r>
          </w:p>
        </w:tc>
        <w:tc>
          <w:tcPr>
            <w:tcW w:w="1868" w:type="dxa"/>
          </w:tcPr>
          <w:p w14:paraId="4193688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1600/1800</w:t>
            </w:r>
          </w:p>
        </w:tc>
        <w:tc>
          <w:tcPr>
            <w:tcW w:w="1868" w:type="dxa"/>
          </w:tcPr>
          <w:p w14:paraId="4F1EBCF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1600/1800'</w:t>
            </w:r>
          </w:p>
        </w:tc>
        <w:tc>
          <w:tcPr>
            <w:tcW w:w="1868" w:type="dxa"/>
          </w:tcPr>
          <w:p w14:paraId="694538F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550/1200</w:t>
            </w:r>
          </w:p>
        </w:tc>
      </w:tr>
      <w:tr w:rsidR="005106D0" w:rsidRPr="007224C3" w14:paraId="791960FA" w14:textId="77777777">
        <w:tc>
          <w:tcPr>
            <w:tcW w:w="1868" w:type="dxa"/>
          </w:tcPr>
          <w:p w14:paraId="65362A7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A08D9D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1500/4500</w:t>
            </w:r>
          </w:p>
        </w:tc>
        <w:tc>
          <w:tcPr>
            <w:tcW w:w="1868" w:type="dxa"/>
          </w:tcPr>
          <w:p w14:paraId="709B1F6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1450/3800</w:t>
            </w:r>
          </w:p>
        </w:tc>
        <w:tc>
          <w:tcPr>
            <w:tcW w:w="1868" w:type="dxa"/>
          </w:tcPr>
          <w:p w14:paraId="0A10484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1500/4500</w:t>
            </w:r>
          </w:p>
        </w:tc>
        <w:tc>
          <w:tcPr>
            <w:tcW w:w="1868" w:type="dxa"/>
          </w:tcPr>
          <w:p w14:paraId="2DB266F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1500/3800'</w:t>
            </w:r>
          </w:p>
        </w:tc>
        <w:tc>
          <w:tcPr>
            <w:tcW w:w="1868" w:type="dxa"/>
          </w:tcPr>
          <w:p w14:paraId="30243BD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450/3800</w:t>
            </w:r>
          </w:p>
        </w:tc>
      </w:tr>
      <w:tr w:rsidR="005106D0" w:rsidRPr="007224C3" w14:paraId="3319893A" w14:textId="77777777">
        <w:tc>
          <w:tcPr>
            <w:tcW w:w="1868" w:type="dxa"/>
          </w:tcPr>
          <w:p w14:paraId="5DAA52E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Размах крыла,м</w:t>
            </w:r>
          </w:p>
        </w:tc>
        <w:tc>
          <w:tcPr>
            <w:tcW w:w="1868" w:type="dxa"/>
          </w:tcPr>
          <w:p w14:paraId="6A3B39F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9,74</w:t>
            </w:r>
          </w:p>
        </w:tc>
        <w:tc>
          <w:tcPr>
            <w:tcW w:w="1868" w:type="dxa"/>
          </w:tcPr>
          <w:p w14:paraId="7D2B8E9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9,74</w:t>
            </w:r>
          </w:p>
        </w:tc>
        <w:tc>
          <w:tcPr>
            <w:tcW w:w="1868" w:type="dxa"/>
          </w:tcPr>
          <w:p w14:paraId="0B0A639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9,74</w:t>
            </w:r>
          </w:p>
        </w:tc>
        <w:tc>
          <w:tcPr>
            <w:tcW w:w="1868" w:type="dxa"/>
          </w:tcPr>
          <w:p w14:paraId="289A7F6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9,74</w:t>
            </w:r>
          </w:p>
        </w:tc>
        <w:tc>
          <w:tcPr>
            <w:tcW w:w="1868" w:type="dxa"/>
          </w:tcPr>
          <w:p w14:paraId="4A156D9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9,74</w:t>
            </w:r>
          </w:p>
        </w:tc>
      </w:tr>
      <w:tr w:rsidR="005106D0" w:rsidRPr="007224C3" w14:paraId="1FA3265B" w14:textId="77777777">
        <w:tc>
          <w:tcPr>
            <w:tcW w:w="1868" w:type="dxa"/>
          </w:tcPr>
          <w:p w14:paraId="75B2545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Длина, м</w:t>
            </w:r>
          </w:p>
        </w:tc>
        <w:tc>
          <w:tcPr>
            <w:tcW w:w="1868" w:type="dxa"/>
          </w:tcPr>
          <w:p w14:paraId="555A07A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8,55</w:t>
            </w:r>
          </w:p>
        </w:tc>
        <w:tc>
          <w:tcPr>
            <w:tcW w:w="1868" w:type="dxa"/>
          </w:tcPr>
          <w:p w14:paraId="79E5B77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8,55</w:t>
            </w:r>
          </w:p>
        </w:tc>
        <w:tc>
          <w:tcPr>
            <w:tcW w:w="1868" w:type="dxa"/>
          </w:tcPr>
          <w:p w14:paraId="7CBB2EF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8,55</w:t>
            </w:r>
          </w:p>
        </w:tc>
        <w:tc>
          <w:tcPr>
            <w:tcW w:w="1868" w:type="dxa"/>
          </w:tcPr>
          <w:p w14:paraId="3406579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8,55</w:t>
            </w:r>
          </w:p>
        </w:tc>
        <w:tc>
          <w:tcPr>
            <w:tcW w:w="1868" w:type="dxa"/>
          </w:tcPr>
          <w:p w14:paraId="725AC77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8,55</w:t>
            </w:r>
          </w:p>
        </w:tc>
      </w:tr>
      <w:tr w:rsidR="005106D0" w:rsidRPr="007224C3" w14:paraId="4FE93E04" w14:textId="77777777">
        <w:tc>
          <w:tcPr>
            <w:tcW w:w="1868" w:type="dxa"/>
          </w:tcPr>
          <w:p w14:paraId="510329E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Площадь крыла, мг</w:t>
            </w:r>
          </w:p>
        </w:tc>
        <w:tc>
          <w:tcPr>
            <w:tcW w:w="1868" w:type="dxa"/>
          </w:tcPr>
          <w:p w14:paraId="016C642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17,15</w:t>
            </w:r>
          </w:p>
        </w:tc>
        <w:tc>
          <w:tcPr>
            <w:tcW w:w="1868" w:type="dxa"/>
          </w:tcPr>
          <w:p w14:paraId="364A299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17,15</w:t>
            </w:r>
          </w:p>
        </w:tc>
        <w:tc>
          <w:tcPr>
            <w:tcW w:w="1868" w:type="dxa"/>
          </w:tcPr>
          <w:p w14:paraId="562988E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17,15</w:t>
            </w:r>
          </w:p>
        </w:tc>
        <w:tc>
          <w:tcPr>
            <w:tcW w:w="1868" w:type="dxa"/>
          </w:tcPr>
          <w:p w14:paraId="1274DF9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17,15</w:t>
            </w:r>
          </w:p>
        </w:tc>
        <w:tc>
          <w:tcPr>
            <w:tcW w:w="1868" w:type="dxa"/>
          </w:tcPr>
          <w:p w14:paraId="28B2015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17,15</w:t>
            </w:r>
          </w:p>
        </w:tc>
      </w:tr>
      <w:tr w:rsidR="005106D0" w:rsidRPr="007224C3" w14:paraId="4366BCC1" w14:textId="77777777">
        <w:tc>
          <w:tcPr>
            <w:tcW w:w="1868" w:type="dxa"/>
          </w:tcPr>
          <w:p w14:paraId="41FD052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Взлетный вес, кг</w:t>
            </w:r>
          </w:p>
        </w:tc>
        <w:tc>
          <w:tcPr>
            <w:tcW w:w="1868" w:type="dxa"/>
          </w:tcPr>
          <w:p w14:paraId="22BAAF7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3204</w:t>
            </w:r>
          </w:p>
        </w:tc>
        <w:tc>
          <w:tcPr>
            <w:tcW w:w="1868" w:type="dxa"/>
          </w:tcPr>
          <w:p w14:paraId="6EEB027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3204</w:t>
            </w:r>
          </w:p>
        </w:tc>
        <w:tc>
          <w:tcPr>
            <w:tcW w:w="1868" w:type="dxa"/>
          </w:tcPr>
          <w:p w14:paraId="48CB321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3145</w:t>
            </w:r>
          </w:p>
        </w:tc>
        <w:tc>
          <w:tcPr>
            <w:tcW w:w="1868" w:type="dxa"/>
          </w:tcPr>
          <w:p w14:paraId="364DEE6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3268</w:t>
            </w:r>
          </w:p>
        </w:tc>
        <w:tc>
          <w:tcPr>
            <w:tcW w:w="1868" w:type="dxa"/>
          </w:tcPr>
          <w:p w14:paraId="66BEDE6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3197</w:t>
            </w:r>
          </w:p>
        </w:tc>
      </w:tr>
      <w:tr w:rsidR="005106D0" w:rsidRPr="007224C3" w14:paraId="38F1E5A6" w14:textId="77777777">
        <w:tc>
          <w:tcPr>
            <w:tcW w:w="1868" w:type="dxa"/>
          </w:tcPr>
          <w:p w14:paraId="57641FD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 пустого, кг</w:t>
            </w:r>
          </w:p>
        </w:tc>
        <w:tc>
          <w:tcPr>
            <w:tcW w:w="1868" w:type="dxa"/>
          </w:tcPr>
          <w:p w14:paraId="3725576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868" w:type="dxa"/>
          </w:tcPr>
          <w:p w14:paraId="2E964F3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2512</w:t>
            </w:r>
          </w:p>
        </w:tc>
        <w:tc>
          <w:tcPr>
            <w:tcW w:w="1868" w:type="dxa"/>
          </w:tcPr>
          <w:p w14:paraId="576A2AE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2498</w:t>
            </w:r>
          </w:p>
        </w:tc>
        <w:tc>
          <w:tcPr>
            <w:tcW w:w="1868" w:type="dxa"/>
          </w:tcPr>
          <w:p w14:paraId="1EFBC62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2596</w:t>
            </w:r>
          </w:p>
        </w:tc>
        <w:tc>
          <w:tcPr>
            <w:tcW w:w="1868" w:type="dxa"/>
          </w:tcPr>
          <w:p w14:paraId="3BEE1D9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2529</w:t>
            </w:r>
          </w:p>
        </w:tc>
      </w:tr>
      <w:tr w:rsidR="005106D0" w:rsidRPr="007224C3" w14:paraId="7C608AD7" w14:textId="77777777">
        <w:tc>
          <w:tcPr>
            <w:tcW w:w="1868" w:type="dxa"/>
          </w:tcPr>
          <w:p w14:paraId="3303E93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 топлива, кг</w:t>
            </w:r>
          </w:p>
        </w:tc>
        <w:tc>
          <w:tcPr>
            <w:tcW w:w="1868" w:type="dxa"/>
          </w:tcPr>
          <w:p w14:paraId="3815FF7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355</w:t>
            </w:r>
          </w:p>
        </w:tc>
        <w:tc>
          <w:tcPr>
            <w:tcW w:w="1868" w:type="dxa"/>
          </w:tcPr>
          <w:p w14:paraId="3EF6BCC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380</w:t>
            </w:r>
          </w:p>
        </w:tc>
        <w:tc>
          <w:tcPr>
            <w:tcW w:w="1868" w:type="dxa"/>
          </w:tcPr>
          <w:p w14:paraId="1AB4960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351</w:t>
            </w:r>
          </w:p>
        </w:tc>
        <w:tc>
          <w:tcPr>
            <w:tcW w:w="1868" w:type="dxa"/>
          </w:tcPr>
          <w:p w14:paraId="1CED4B5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360</w:t>
            </w:r>
          </w:p>
        </w:tc>
        <w:tc>
          <w:tcPr>
            <w:tcW w:w="1868" w:type="dxa"/>
          </w:tcPr>
          <w:p w14:paraId="566F06B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481D0951" w14:textId="77777777">
        <w:tc>
          <w:tcPr>
            <w:tcW w:w="1868" w:type="dxa"/>
          </w:tcPr>
          <w:p w14:paraId="1EBB527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Скорость макс., км/ч</w:t>
            </w:r>
          </w:p>
        </w:tc>
        <w:tc>
          <w:tcPr>
            <w:tcW w:w="1868" w:type="dxa"/>
          </w:tcPr>
          <w:p w14:paraId="1356881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9B0191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3C0A5A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09F1CE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325B1A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B5F7F4E" w14:textId="77777777">
        <w:tc>
          <w:tcPr>
            <w:tcW w:w="1868" w:type="dxa"/>
          </w:tcPr>
          <w:p w14:paraId="1CFB445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 земли</w:t>
            </w:r>
          </w:p>
        </w:tc>
        <w:tc>
          <w:tcPr>
            <w:tcW w:w="1868" w:type="dxa"/>
          </w:tcPr>
          <w:p w14:paraId="6E7A78C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600</w:t>
            </w:r>
          </w:p>
        </w:tc>
        <w:tc>
          <w:tcPr>
            <w:tcW w:w="1868" w:type="dxa"/>
          </w:tcPr>
          <w:p w14:paraId="6B775D3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575</w:t>
            </w:r>
          </w:p>
        </w:tc>
        <w:tc>
          <w:tcPr>
            <w:tcW w:w="1868" w:type="dxa"/>
          </w:tcPr>
          <w:p w14:paraId="5D3F6CA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577</w:t>
            </w:r>
          </w:p>
        </w:tc>
        <w:tc>
          <w:tcPr>
            <w:tcW w:w="1868" w:type="dxa"/>
          </w:tcPr>
          <w:p w14:paraId="6539327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572</w:t>
            </w:r>
          </w:p>
        </w:tc>
        <w:tc>
          <w:tcPr>
            <w:tcW w:w="1868" w:type="dxa"/>
          </w:tcPr>
          <w:p w14:paraId="5E52D91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564</w:t>
            </w:r>
          </w:p>
        </w:tc>
      </w:tr>
      <w:tr w:rsidR="005106D0" w:rsidRPr="007224C3" w14:paraId="23E4BBED" w14:textId="77777777">
        <w:tc>
          <w:tcPr>
            <w:tcW w:w="1868" w:type="dxa"/>
          </w:tcPr>
          <w:p w14:paraId="09A3AA6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1-й гр. высотности, м</w:t>
            </w:r>
          </w:p>
        </w:tc>
        <w:tc>
          <w:tcPr>
            <w:tcW w:w="1868" w:type="dxa"/>
          </w:tcPr>
          <w:p w14:paraId="66CD0DC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676/3000</w:t>
            </w:r>
          </w:p>
        </w:tc>
        <w:tc>
          <w:tcPr>
            <w:tcW w:w="1868" w:type="dxa"/>
          </w:tcPr>
          <w:p w14:paraId="6397704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636/2500</w:t>
            </w:r>
          </w:p>
        </w:tc>
        <w:tc>
          <w:tcPr>
            <w:tcW w:w="1868" w:type="dxa"/>
          </w:tcPr>
          <w:p w14:paraId="43BA2DF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641/2950</w:t>
            </w:r>
          </w:p>
        </w:tc>
        <w:tc>
          <w:tcPr>
            <w:tcW w:w="1868" w:type="dxa"/>
          </w:tcPr>
          <w:p w14:paraId="5882AAC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648/3300</w:t>
            </w:r>
          </w:p>
        </w:tc>
        <w:tc>
          <w:tcPr>
            <w:tcW w:w="1868" w:type="dxa"/>
          </w:tcPr>
          <w:p w14:paraId="27DEA82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632/2700</w:t>
            </w:r>
          </w:p>
        </w:tc>
      </w:tr>
      <w:tr w:rsidR="005106D0" w:rsidRPr="007224C3" w14:paraId="3E8B8ACA" w14:textId="77777777">
        <w:tc>
          <w:tcPr>
            <w:tcW w:w="1868" w:type="dxa"/>
          </w:tcPr>
          <w:p w14:paraId="190A46F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2-й гр. высотности, м</w:t>
            </w:r>
          </w:p>
        </w:tc>
        <w:tc>
          <w:tcPr>
            <w:tcW w:w="1868" w:type="dxa"/>
          </w:tcPr>
          <w:p w14:paraId="3A506F3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700/5500</w:t>
            </w:r>
          </w:p>
        </w:tc>
        <w:tc>
          <w:tcPr>
            <w:tcW w:w="1868" w:type="dxa"/>
          </w:tcPr>
          <w:p w14:paraId="3AC70E0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672/5000</w:t>
            </w:r>
          </w:p>
        </w:tc>
        <w:tc>
          <w:tcPr>
            <w:tcW w:w="1868" w:type="dxa"/>
          </w:tcPr>
          <w:p w14:paraId="01732C1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676/5900</w:t>
            </w:r>
          </w:p>
        </w:tc>
        <w:tc>
          <w:tcPr>
            <w:tcW w:w="1868" w:type="dxa"/>
          </w:tcPr>
          <w:p w14:paraId="3A6E611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680/5850</w:t>
            </w:r>
          </w:p>
        </w:tc>
        <w:tc>
          <w:tcPr>
            <w:tcW w:w="1868" w:type="dxa"/>
          </w:tcPr>
          <w:p w14:paraId="379086A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668/5300</w:t>
            </w:r>
          </w:p>
        </w:tc>
      </w:tr>
      <w:tr w:rsidR="005106D0" w:rsidRPr="007224C3" w14:paraId="0EBFA45D" w14:textId="77777777">
        <w:tc>
          <w:tcPr>
            <w:tcW w:w="1868" w:type="dxa"/>
          </w:tcPr>
          <w:p w14:paraId="0A584F7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Время набора</w:t>
            </w:r>
          </w:p>
        </w:tc>
        <w:tc>
          <w:tcPr>
            <w:tcW w:w="1868" w:type="dxa"/>
          </w:tcPr>
          <w:p w14:paraId="78ED20C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C106ED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D79905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BA2353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8E044E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C8F0A45" w14:textId="77777777">
        <w:tc>
          <w:tcPr>
            <w:tcW w:w="1868" w:type="dxa"/>
          </w:tcPr>
          <w:p w14:paraId="69114CD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высоты 5000 м, мин</w:t>
            </w:r>
          </w:p>
        </w:tc>
        <w:tc>
          <w:tcPr>
            <w:tcW w:w="1868" w:type="dxa"/>
          </w:tcPr>
          <w:p w14:paraId="57BDB1C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4,1</w:t>
            </w:r>
          </w:p>
        </w:tc>
        <w:tc>
          <w:tcPr>
            <w:tcW w:w="1868" w:type="dxa"/>
          </w:tcPr>
          <w:p w14:paraId="235987F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tc>
        <w:tc>
          <w:tcPr>
            <w:tcW w:w="1868" w:type="dxa"/>
          </w:tcPr>
          <w:p w14:paraId="3CC2E24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4,4</w:t>
            </w:r>
          </w:p>
        </w:tc>
        <w:tc>
          <w:tcPr>
            <w:tcW w:w="1868" w:type="dxa"/>
          </w:tcPr>
          <w:p w14:paraId="1B70ABA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5,4/4,4</w:t>
            </w:r>
          </w:p>
        </w:tc>
        <w:tc>
          <w:tcPr>
            <w:tcW w:w="1868" w:type="dxa"/>
          </w:tcPr>
          <w:p w14:paraId="4C76971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4,9</w:t>
            </w:r>
          </w:p>
        </w:tc>
      </w:tr>
      <w:tr w:rsidR="005106D0" w:rsidRPr="007224C3" w14:paraId="2C241644" w14:textId="77777777">
        <w:tc>
          <w:tcPr>
            <w:tcW w:w="1868" w:type="dxa"/>
          </w:tcPr>
          <w:p w14:paraId="1689ECC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Практический потолок, м</w:t>
            </w:r>
          </w:p>
        </w:tc>
        <w:tc>
          <w:tcPr>
            <w:tcW w:w="1868" w:type="dxa"/>
          </w:tcPr>
          <w:p w14:paraId="444C935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868" w:type="dxa"/>
          </w:tcPr>
          <w:p w14:paraId="48BD214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10650</w:t>
            </w:r>
          </w:p>
        </w:tc>
        <w:tc>
          <w:tcPr>
            <w:tcW w:w="1868" w:type="dxa"/>
          </w:tcPr>
          <w:p w14:paraId="1AB3B01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10850</w:t>
            </w:r>
          </w:p>
        </w:tc>
        <w:tc>
          <w:tcPr>
            <w:tcW w:w="1868" w:type="dxa"/>
          </w:tcPr>
          <w:p w14:paraId="7A77146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868" w:type="dxa"/>
          </w:tcPr>
          <w:p w14:paraId="4556C08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1481CCF1" w14:textId="77777777">
        <w:tc>
          <w:tcPr>
            <w:tcW w:w="1868" w:type="dxa"/>
          </w:tcPr>
          <w:p w14:paraId="7F76FCC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Время виража</w:t>
            </w:r>
          </w:p>
        </w:tc>
        <w:tc>
          <w:tcPr>
            <w:tcW w:w="1868" w:type="dxa"/>
          </w:tcPr>
          <w:p w14:paraId="12CC427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11EF04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AF3AE5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1748A2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EE4399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8B67C84" w14:textId="77777777">
        <w:tc>
          <w:tcPr>
            <w:tcW w:w="1868" w:type="dxa"/>
          </w:tcPr>
          <w:p w14:paraId="529FFBD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высоте 1000 м,</w:t>
            </w:r>
          </w:p>
        </w:tc>
        <w:tc>
          <w:tcPr>
            <w:tcW w:w="1868" w:type="dxa"/>
          </w:tcPr>
          <w:p w14:paraId="5E8E1D9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18,5</w:t>
            </w:r>
          </w:p>
        </w:tc>
        <w:tc>
          <w:tcPr>
            <w:tcW w:w="1868" w:type="dxa"/>
          </w:tcPr>
          <w:p w14:paraId="0D12B8B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868" w:type="dxa"/>
          </w:tcPr>
          <w:p w14:paraId="22455CE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868" w:type="dxa"/>
          </w:tcPr>
          <w:p w14:paraId="5A09357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868" w:type="dxa"/>
          </w:tcPr>
          <w:p w14:paraId="2E5547F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01EFE09A" w14:textId="77777777">
        <w:tc>
          <w:tcPr>
            <w:tcW w:w="1868" w:type="dxa"/>
            <w:tcBorders>
              <w:bottom w:val="single" w:sz="12" w:space="0" w:color="auto"/>
            </w:tcBorders>
          </w:tcPr>
          <w:p w14:paraId="2BD386C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Дальность макс, км</w:t>
            </w:r>
          </w:p>
        </w:tc>
        <w:tc>
          <w:tcPr>
            <w:tcW w:w="1868" w:type="dxa"/>
            <w:tcBorders>
              <w:bottom w:val="single" w:sz="12" w:space="0" w:color="auto"/>
            </w:tcBorders>
          </w:tcPr>
          <w:p w14:paraId="6CE579C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884</w:t>
            </w:r>
          </w:p>
        </w:tc>
        <w:tc>
          <w:tcPr>
            <w:tcW w:w="1868" w:type="dxa"/>
            <w:tcBorders>
              <w:bottom w:val="single" w:sz="12" w:space="0" w:color="auto"/>
            </w:tcBorders>
          </w:tcPr>
          <w:p w14:paraId="3A7E5F3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675"</w:t>
            </w:r>
          </w:p>
        </w:tc>
        <w:tc>
          <w:tcPr>
            <w:tcW w:w="1868" w:type="dxa"/>
            <w:tcBorders>
              <w:bottom w:val="single" w:sz="12" w:space="0" w:color="auto"/>
            </w:tcBorders>
          </w:tcPr>
          <w:p w14:paraId="1D17FEE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10603)</w:t>
            </w:r>
          </w:p>
        </w:tc>
        <w:tc>
          <w:tcPr>
            <w:tcW w:w="1868" w:type="dxa"/>
            <w:tcBorders>
              <w:bottom w:val="single" w:sz="12" w:space="0" w:color="auto"/>
            </w:tcBorders>
          </w:tcPr>
          <w:p w14:paraId="3C9B8F2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868" w:type="dxa"/>
            <w:tcBorders>
              <w:bottom w:val="single" w:sz="12" w:space="0" w:color="auto"/>
            </w:tcBorders>
          </w:tcPr>
          <w:p w14:paraId="36D0C3A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7855</w:t>
            </w:r>
          </w:p>
        </w:tc>
      </w:tr>
    </w:tbl>
    <w:p w14:paraId="6A88271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По результатам испытаний в январе 1941 г.</w:t>
      </w:r>
    </w:p>
    <w:p w14:paraId="0451AC6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Эталон 1945 г.</w:t>
      </w:r>
    </w:p>
    <w:p w14:paraId="4C50AC1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На наивыгоднейшем режиме (скорость 314 км/ч и высота 1000 м), продолжительность полета 3 часа 23 минуты. На режиме скоростной дальности (0,9 от максимальной) - 640 км и продолжительность 1 час 18 минут).</w:t>
      </w:r>
    </w:p>
    <w:p w14:paraId="4DE7983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На скорости 508 км/ч и высоте 5070 м, продолжительность полета 1 час 21 минута.</w:t>
      </w:r>
    </w:p>
    <w:p w14:paraId="48C690D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На скорости 509 км/ч и высоте 5040 м, продолжительность полета 1 час 33 минуты) (12046).</w:t>
      </w:r>
    </w:p>
    <w:p w14:paraId="04AEE69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4D1E77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27 апреля 1944 после доводок Як-9 М-105ПД были начаты испытания. После того, как 16 октября 1943 года на самолете Як-9 М-105ПД была достигнута предельная высота 13000 м на самолете произведены переделки, в основном в части облегчения самолета и усовершенствования системы охлаждения воды и масла. В результате проведенных работ полетный вес самолета уменьшился с 2745 кг до 2650 кг. На самолете установлены: диффузор и сепаратор в водяной системе, впрыск воды в цилиндры мотора, облегченный водорадиатор и новые туннели с облагороженным входом. В новых полетах обнаружены высокие температуры воды и масла (1825).</w:t>
      </w:r>
    </w:p>
    <w:p w14:paraId="43A945D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E9879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C 27 по 30 апреля 1944 проходили заводские испытания Як-9ПД с М-106ПВ и облегченным винтом ВИШ-105Т и пушкой ША-20М с боекомплектом в 60 снарядов вел В.И.Юганов. Достигли 13500 м, но потом, а в тот раз было только три полета продолжительностью 1:20. Потом на 301 заводе переделали 30 серийных Як-9ПД с М-105ПД под М-106ПД и всего было сделано 35 Як-9ПД (65,127). По другим данным эти испытания так и не были закончены в марте 1945 (2592,223).</w:t>
      </w:r>
    </w:p>
    <w:p w14:paraId="4D02E1E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A12A0C" w14:textId="77777777" w:rsidR="00476D5F" w:rsidRPr="007224C3" w:rsidRDefault="00476D5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апреля в 1944 году катастрофа самолёта «P-39Q-10», лётчик-испытатель прдполковник Овчинников К.И. Лётчик погиб при выполнении испытательного полета (15112).</w:t>
      </w:r>
    </w:p>
    <w:p w14:paraId="7BD6BAA4" w14:textId="77777777" w:rsidR="00476D5F" w:rsidRPr="007224C3" w:rsidRDefault="00476D5F" w:rsidP="007224C3">
      <w:pPr>
        <w:spacing w:after="0" w:line="240" w:lineRule="auto"/>
        <w:jc w:val="both"/>
        <w:rPr>
          <w:rFonts w:ascii="Times New Roman" w:hAnsi="Times New Roman"/>
          <w:color w:val="000000" w:themeColor="text1"/>
          <w:sz w:val="16"/>
          <w:szCs w:val="16"/>
        </w:rPr>
      </w:pPr>
    </w:p>
    <w:p w14:paraId="77C30CD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апреля 1944 года вышло распоряжение Совнаркома № 9191-р об организации самостоятельного ОКБ № 3 НКАП. Начальник ОКБ –3 – Братухин. Выделено из состава МАИ (8946).</w:t>
      </w:r>
    </w:p>
    <w:p w14:paraId="10D01D7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00DD44" w14:textId="77777777" w:rsidR="00185B57" w:rsidRPr="007224C3" w:rsidRDefault="00185B57"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С 27 апреля по 21 мая 1944 года в НИИ ВВС прошли испытания В-25ДП. Ведущий летчик Г.А. Ашитков отмечал, что по технике пилотирования и летным данным самолет от предыдущих модификаций отличается мало, а его вооружение стало значительно лучше. Отказы в работе новых пулеметных установок удалось устранить доработкой патронных коробок и рукавов подачи лент. Новый автопилот С-1 с электрическими рулевыми машинами хотя и был сложен в настройке и более чувствителен к болтанке, чем старый, вызвал острый интерес наших КБ, разрабатывавших аналогичное оборудование.</w:t>
      </w:r>
    </w:p>
    <w:p w14:paraId="0F355E90" w14:textId="77777777" w:rsidR="00185B57" w:rsidRPr="007224C3" w:rsidRDefault="00185B57"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Поставки самолетов B-25D-30-NC (у нас — В-25ДП) начались с 1943 года. На них нижней башни уже не было, зато в бортах появились два удобных шкворня с одним М-2 в каждом, а в хвосте вместо плексигласового кока — электрически управляемая турель еще с двумя такими же пулеметами. Самолет имел ряд других усовершенствований. Появились моторы R-2600-29 с флюгируемыми воздушными винтами, что облегчило длительный полет при отказе одного двигателя. За счет перекомпоновки баков удалось вдвое увеличить бомбоотсек, и реальная бомбовая нагрузка достигла трех тонн.</w:t>
      </w:r>
    </w:p>
    <w:p w14:paraId="0D79713D" w14:textId="77777777" w:rsidR="00185B57" w:rsidRPr="007224C3" w:rsidRDefault="00185B57"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Летчик облета Нюхтиков записал в Акте по результатам испытаний: «Самолет Б-25-ДП, несмотря на большой полетный вес (13700 кг), имеет несложные по технике пилотирования взлет и посадку, сравнительно легко ходит на одном моторе, имеет хорошую продольную и вполне удовлетворительную боковую устойчивость. Последнее могло быть и хорошим, если бы у самолета был бы немного увеличен запас путевой устойчивости относительно поперечной и уменьшена нагрузка на ноги». Больше претензий высказали штурманы Филлипов, Литвинчук и Цветков в отношении задней кабины навигатора: «Штурман не имеет места, на котором он мог бы сосредоточенно работать, видеть все приборы, пользоваться ими и наблюдать за землей. Для работы с радиокомпасом и навигационным визиром надо слезать с сиденья. В кабине нет указателя скорости, часов и высотомера. Эти приборы находятся на доске летчика, и штурман их с сиденья не видит. Обзор из кабины не позволяет вести детальную ориентировку. Общую ориентировку вести затруднительно... Наиболее подходящим местом для работы штурмана является кабина бомбардира, обзор из которой хороший и вполне обеспечивает ведение общей и детальной ориентировки».</w:t>
      </w:r>
    </w:p>
    <w:p w14:paraId="06F9EA1C" w14:textId="77777777" w:rsidR="00185B57" w:rsidRPr="007224C3" w:rsidRDefault="00185B57"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Особый восторг вызвала радиостанция — предельную дальность связи с землей так и не смогли определить. Самолет, взлетевший в Подмосковье, прошел 2340 км до Харабали в Астраханской области, а качественная двусторонняя связь с землей все еще была! (22858).</w:t>
      </w:r>
    </w:p>
    <w:p w14:paraId="3C96E972" w14:textId="77777777" w:rsidR="00185B57" w:rsidRPr="007224C3" w:rsidRDefault="00185B57" w:rsidP="007224C3">
      <w:pPr>
        <w:spacing w:after="0" w:line="240" w:lineRule="auto"/>
        <w:jc w:val="both"/>
        <w:rPr>
          <w:rFonts w:ascii="Times New Roman" w:hAnsi="Times New Roman"/>
          <w:color w:val="0070C0"/>
          <w:sz w:val="16"/>
          <w:szCs w:val="16"/>
        </w:rPr>
      </w:pPr>
    </w:p>
    <w:p w14:paraId="1B07798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апреля 1944 года вышел приказ НКАП</w:t>
      </w:r>
    </w:p>
    <w:p w14:paraId="08CF2B2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Утвердить директором завода № 261 Анфимова В.Ф., освободить Явица Н.Ш. (8925)</w:t>
      </w:r>
    </w:p>
    <w:p w14:paraId="0EB8617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Утвердить директором завода № 284 Чистякова И.И., освободить Петрова И.Л. (8925)</w:t>
      </w:r>
    </w:p>
    <w:p w14:paraId="527F352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Утвердить директором завода № 47 Евтеева А.А., освободить Котова В.С. (8925)</w:t>
      </w:r>
    </w:p>
    <w:p w14:paraId="75279BE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B9481E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27 апреля 1944 г. приказом Наркомата авиационной промышленности СССР Трест организации авиационной промышленности «Оргавиапром», созданный 24 ноября 1940 г. был преименован приказом наркомата в Научно-исследовательский институт по организации авиационной промышленности «Оргавиапром» (НИИ «Оргавиапром») и приказом Министерства авиационной промышленности СССР от 26 мая 1947 г. в Научно-исследовательский институт технологии и организации производства (НИАТ) (12101). </w:t>
      </w:r>
    </w:p>
    <w:p w14:paraId="5B4828FF" w14:textId="77777777" w:rsidR="00476D5F" w:rsidRPr="007224C3" w:rsidRDefault="00476D5F"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A59B3AC"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5E4EC30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E9D7D0D" w14:textId="77777777" w:rsidR="00783151" w:rsidRPr="007224C3" w:rsidRDefault="0078315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апреля 1944 подписали программу испытаний СУ-57, а испытания на Гороховецком АНИОП прошли с 1 по 4 мая</w:t>
      </w:r>
    </w:p>
    <w:p w14:paraId="4AD31F75" w14:textId="77777777" w:rsidR="00783151" w:rsidRPr="007224C3" w:rsidRDefault="0078315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постройки опытного образца машины была взята серийная СУ-76М с серийным номером 404855, выпущенная в апреле 1944 года. Первые её испытания стрельбой прошли на заводе 30 апреля. Всего произвели 25 выстрелов, из них 20 усиленным зарядом. На АНИОП произвели ещё 270 выстрелов, из них 107 на усиленном заряде. Кучность осколочно-фугасного снаряда признали удовлетворительной, а кучность бронебойно-трассирующего снаряда — неудовлетворительной. Это была проблема не САУ, а её пушки: похожие проблемы АНИОП отмечал и при испытании ЗИС-2 осенью 1943 года. Лучше оказались результаты стрельбой подкалиберным снарядом.</w:t>
      </w:r>
    </w:p>
    <w:p w14:paraId="206AAD23" w14:textId="77777777" w:rsidR="00783151" w:rsidRPr="007224C3" w:rsidRDefault="0078315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Прицельная скорострельность достигла 10 выстрелов в минуту, а максимальная — до 15. Испытателям не понравились прицельные приспособления. СУ-76М получила не ЗИС-2, а ствол от неё: панорамный прицел от ЗИС-3, плохо подходивший для стрельбы по движущимся целям, остался на месте. Также не понравилось боевое отделение, частично открытое сзади и с боков.</w:t>
      </w:r>
    </w:p>
    <w:p w14:paraId="3780E531" w14:textId="77777777" w:rsidR="00783151" w:rsidRPr="007224C3" w:rsidRDefault="0078315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Опытную САУ признали выдержавшей испытания, но требующей ряда переделок. Вместо панорамного прицела следовало поставить телескопический прицел 10-Т. Также нужно было установить электроспуск с кнопкой в рукоятке маховика подъёмного механизма и сделать боевое отделение полностью закрытым. Крышу требовалось изготовить из листов толщиной 5–8 мм, а борта и корму — 15 мм. В корме предусматривался двухстворчатый люк.</w:t>
      </w:r>
    </w:p>
    <w:p w14:paraId="66E55B98" w14:textId="77777777" w:rsidR="00783151" w:rsidRPr="007224C3" w:rsidRDefault="0078315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учётом этих требований КБ ГАЗ им. Молотова разработало второй вариант САУ. Вместо изготовления новой машины в июне 1944 года был переделан уже имеющийся образец. Наибольшие изменения претерпело боевое отделение, которое стало полностью закрытым. Боевая масса этой машины указывается такой же, как и СУ-76М, что выглядит сомнительно. Вероятнее всего, она выросла примерно на полтонны. Для улучшения обзорности в крыше появились перископические приборы наблюдения MK-IV. Переделка вооружения выполнялась в соответствии с полученным заданием (18098).</w:t>
      </w:r>
    </w:p>
    <w:p w14:paraId="07F7CB69" w14:textId="77777777" w:rsidR="00783151" w:rsidRPr="007224C3" w:rsidRDefault="00783151" w:rsidP="007224C3">
      <w:pPr>
        <w:spacing w:after="0" w:line="240" w:lineRule="auto"/>
        <w:jc w:val="both"/>
        <w:rPr>
          <w:rFonts w:ascii="Times New Roman" w:hAnsi="Times New Roman"/>
          <w:color w:val="000000" w:themeColor="text1"/>
          <w:sz w:val="16"/>
          <w:szCs w:val="16"/>
        </w:rPr>
      </w:pPr>
    </w:p>
    <w:p w14:paraId="484331E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апреля 1944 г. вышел ПРИКАЗ НАЧАЛЬНИКА ГАВТУ КА О ПРОВЕДЕНИИ СРАВНИТЕЛЬНЫХ ИСПЫТАНИЙ АВТОМОБИЛЕЙ ГАЗ-63 И ШЕВРОЛЕ (4X4) №40</w:t>
      </w:r>
    </w:p>
    <w:p w14:paraId="54DED5B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p w14:paraId="03BABDE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определения возможности использования в Красной Армии нового грузового автомобиля ГАЗ-63 с двумя ведущими осями, изготовленного Горьковским автозаводом им. Молотова, провести в Научно-испытательном батальоне ГАВТУ КА сравнительные испытания автомобилей ГАЗ-63 и Шевроле С-7107 (4x4).</w:t>
      </w:r>
    </w:p>
    <w:p w14:paraId="2E1425A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p w14:paraId="55F45BB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проведения испытаний назначить комиссию под председательством заместителя начальни</w:t>
      </w:r>
      <w:r w:rsidRPr="007224C3">
        <w:rPr>
          <w:rFonts w:ascii="Times New Roman" w:hAnsi="Times New Roman"/>
          <w:color w:val="000000" w:themeColor="text1"/>
          <w:sz w:val="16"/>
          <w:szCs w:val="16"/>
        </w:rPr>
        <w:softHyphen/>
        <w:t>ка автомобильно-технического комитета ГАВТУ КА инженер-полковника т. Лаврова Н.А. в составе:</w:t>
      </w:r>
    </w:p>
    <w:p w14:paraId="1A70621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старшего помощника начальника 2 отдела УС ГАВТУ КА инженер-майора т. Давидович;</w:t>
      </w:r>
    </w:p>
    <w:p w14:paraId="646FCC9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помощника командира научно-испытательного батальона ГАВТУ КА по технической части инженер-капитана т. Генкина;</w:t>
      </w:r>
    </w:p>
    <w:p w14:paraId="3007CA1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начальника автолаборатории научно-испытательного батальона ГАВТУ КА инженер-майора т. Седова;</w:t>
      </w:r>
    </w:p>
    <w:p w14:paraId="35DFBD8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представителя АРТКОМа ГАУ КА — по указанию начальника АРТКОМА;</w:t>
      </w:r>
    </w:p>
    <w:p w14:paraId="6376A53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представителя НКСМ;</w:t>
      </w:r>
    </w:p>
    <w:p w14:paraId="59ADA35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представителя ГАЗ.</w:t>
      </w:r>
    </w:p>
    <w:p w14:paraId="755F674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p w14:paraId="680A6E4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Комиссии провести испытания обоих машин в соответствии с утвержденной мною программой испытаний автомобля ГАЗ-63.</w:t>
      </w:r>
    </w:p>
    <w:p w14:paraId="733679E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w:t>
      </w:r>
    </w:p>
    <w:p w14:paraId="0BEE9AE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Комиссии приступить к испытаниям 26 апреля 1944 г. Закончить испытания 20 июня 1944 г.</w:t>
      </w:r>
    </w:p>
    <w:p w14:paraId="5BB8AA8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p w14:paraId="5673533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Предварительное заключение по лабораторно-дорожным испытаниям автомашин доложить мне к 10 июня 1944 г.</w:t>
      </w:r>
    </w:p>
    <w:p w14:paraId="214B373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Полный отчет о проведенных испытаниях представить к 25 июня 1944 г.</w:t>
      </w:r>
    </w:p>
    <w:p w14:paraId="5D9256E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Главного автомобильного управления КА генерал-лейтенант технических войск Тягунов</w:t>
      </w:r>
    </w:p>
    <w:p w14:paraId="521DBE6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41. Оп. 11579. Д. 21. Л. 4-6. Копия (11403).</w:t>
      </w:r>
    </w:p>
    <w:p w14:paraId="5A1E5C5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9CA7204" w14:textId="77777777" w:rsidR="00476D5F" w:rsidRPr="007224C3" w:rsidRDefault="00476D5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апреля в 1944 году приказом ГКО организован Центральный научно-исследовательский институт черной металлургии, с 1960 г. имени И.П.Бардина (ныне ФГУП) (15112).</w:t>
      </w:r>
    </w:p>
    <w:p w14:paraId="4684E48F" w14:textId="77777777" w:rsidR="00476D5F" w:rsidRPr="007224C3" w:rsidRDefault="00476D5F" w:rsidP="007224C3">
      <w:pPr>
        <w:spacing w:after="0" w:line="240" w:lineRule="auto"/>
        <w:jc w:val="both"/>
        <w:rPr>
          <w:rFonts w:ascii="Times New Roman" w:hAnsi="Times New Roman"/>
          <w:color w:val="000000" w:themeColor="text1"/>
          <w:sz w:val="16"/>
          <w:szCs w:val="16"/>
        </w:rPr>
      </w:pPr>
    </w:p>
    <w:p w14:paraId="73412B5F" w14:textId="77777777" w:rsidR="00476D5F" w:rsidRPr="007224C3" w:rsidRDefault="00476D5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апреля в 1944 году вступил в строй Омский сажевый завод (или завод технического углерода). Ныне ОАО «Омсктехуглерод» – одно из крупнейших по мощности предприятий химической отрасли России. За качество технического углерода получил 24 международные премии (15112).</w:t>
      </w:r>
    </w:p>
    <w:p w14:paraId="2629CB28" w14:textId="77777777" w:rsidR="00476D5F" w:rsidRPr="007224C3" w:rsidRDefault="00476D5F" w:rsidP="007224C3">
      <w:pPr>
        <w:spacing w:after="0" w:line="240" w:lineRule="auto"/>
        <w:jc w:val="both"/>
        <w:rPr>
          <w:rFonts w:ascii="Times New Roman" w:hAnsi="Times New Roman"/>
          <w:color w:val="000000" w:themeColor="text1"/>
          <w:sz w:val="16"/>
          <w:szCs w:val="16"/>
        </w:rPr>
      </w:pPr>
    </w:p>
    <w:p w14:paraId="2C6389E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апреля 1944 вышло Постановление ГКО № 5745 О мероприятиях по обеспечению бесперебойной работы предприятий Наркомата черной металлургии во II квартале 1944 г. РГАНИР, Фонд ГКО, д. 245, лл. 1-4,5-233 (11012).</w:t>
      </w:r>
    </w:p>
    <w:p w14:paraId="01AD807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8261524"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апреля 1944 вышло Постановление ГКО № 5746 О восстановительных работах I очереди на важнейших железнодорожных направлениях. (7223, 234-244,245-249).</w:t>
      </w:r>
    </w:p>
    <w:p w14:paraId="680603F5"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9D2C4E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апреля 1944 вышло Постановление ГКО № 5747 О материально-техническом обеспечении нефтяной промышленности во II квартале 1944 г. РГАНИР, Фонд ГКО, д. 245, лл. 250-257,258-273 (11012).</w:t>
      </w:r>
    </w:p>
    <w:p w14:paraId="35D928F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7054B0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апреля 1944 вышло Постановление ГКО № 5748 О разработке проектов первоочередных типов судов морского, речного и промыслового флотов. РГАНИР, Фонд ГКО, д. 246, лл. 1-3,4-9 (11012).</w:t>
      </w:r>
    </w:p>
    <w:p w14:paraId="511CD17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99DA93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апреля 1944 вышло Постановление ГКО № 5750 О сборе, ремонте и хранении теплых вещей и лыжного имущества, находившихся на снабжении Красной Армии, войск НКВД СССР и Наркомвоенморфлота зимой 1943-44 гг. РГАНИР, Фонд ГКО, д. 246, лл. 94-99,100-133 (11012).</w:t>
      </w:r>
    </w:p>
    <w:p w14:paraId="10715FA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870284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апреля 1944 Адмиралтейцы спустили на воду очередной МБК,</w:t>
      </w:r>
    </w:p>
    <w:p w14:paraId="31C5B04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808DCD4"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570C719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36F10D1" w14:textId="77777777" w:rsidR="00476D5F" w:rsidRPr="007224C3" w:rsidRDefault="00476D5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апреля в 1944 году оперативная сводка Совинформбюро:</w:t>
      </w:r>
    </w:p>
    <w:p w14:paraId="26E4DCAC" w14:textId="77777777" w:rsidR="00476D5F" w:rsidRPr="007224C3" w:rsidRDefault="00476D5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27 апреля на фронтах существенных изменений не произошло.</w:t>
      </w:r>
    </w:p>
    <w:p w14:paraId="34F2758C" w14:textId="77777777" w:rsidR="00476D5F" w:rsidRPr="007224C3" w:rsidRDefault="00476D5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26 апреля наши войска на всех фронтах подбили и уничтожили 65 немецких танков. В воздушных боях и огнём зенитной артиллерии сбито 22 самолёта противника.</w:t>
      </w:r>
    </w:p>
    <w:p w14:paraId="54944523" w14:textId="77777777" w:rsidR="00476D5F" w:rsidRPr="007224C3" w:rsidRDefault="00476D5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Юго-восточнее города Станислав пехота и танки противника на различных участках предприняли атаки. Немцы безуспешно пытались нащупать слабое звено в советской обороне. Всюду наши бойцы огнём и контрударами отбросили противника на исходные рубежи. Части Н-ского соединения, отражая вражескую атаку, истребили до 400 немецких солдат и офицеров, сожгли и подбили 15 танков, 4 бронетранспортёра и 20 автомашин. Захвачены трофеи. В другом районе находившийся в засаде отряд советских танков нанёс внезапный удар противнику, перешедшему в атаку. Наши танкисты обратили гитлеровцев в бегство. Пулемётно-пушечным огнём уничтожено более роты немецкой пехоты.</w:t>
      </w:r>
    </w:p>
    <w:p w14:paraId="572D4247" w14:textId="77777777" w:rsidR="00476D5F" w:rsidRPr="007224C3" w:rsidRDefault="00476D5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одном участке 2-го Украинского фронта наша разведка установила, что крупные силы противника накапливаются для атаки. Советские артиллеристы и миномётчики упредили немцев. Сосредоточенным огнём они накрыли скопление немецкой пехоты и произвели опустошение в её рядах. Уничтожено до полка гитлеровцев, подбито и сожжено свыше 20 немецких танков и самоходных орудий. Воспользовавшись возникшей среди немцев паникой, наши бойцы овладели сильно укреплёнными позициями. Захвачены у противника 27 орудий разных калибров, склад боеприпасов и большое число пленных.</w:t>
      </w:r>
    </w:p>
    <w:p w14:paraId="7E549394" w14:textId="77777777" w:rsidR="00476D5F" w:rsidRPr="007224C3" w:rsidRDefault="00476D5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подходах к Севастополю группа торпедных катеров Черноморского флота атаковала две быстроходные десантные баржи. В результате атаки потоплена одна десантная баржа противника.</w:t>
      </w:r>
    </w:p>
    <w:p w14:paraId="0DAE834A" w14:textId="77777777" w:rsidR="00476D5F" w:rsidRPr="007224C3" w:rsidRDefault="00476D5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Наша авиация продолжала бомбардировать вражеские суда в порту Севастополь и в открытом море. В Южной бухте прямым попаданием бомб потоплены три баржи. В открытом море советские лётчики потопили два торпедных катера и сторожевой корабль. Одна баржа противника подожжена.</w:t>
      </w:r>
    </w:p>
    <w:p w14:paraId="7AEF5E5C" w14:textId="77777777" w:rsidR="00476D5F" w:rsidRPr="007224C3" w:rsidRDefault="00476D5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воздушных боях в течение дня сбито 9 немецких самолётов.</w:t>
      </w:r>
    </w:p>
    <w:p w14:paraId="4C03DD44" w14:textId="77777777" w:rsidR="00476D5F" w:rsidRPr="007224C3" w:rsidRDefault="00476D5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Украинский партизанский отряд имени 26-й годовщины Красной Армии 14 апреля пустил под откос немецкий воинский эшелон, следовавший к линии фронта. Разбит паровоз и 15 вагонов. Во время крушения погибло много гитлеровцев. Партизаны другого отряда расставили мины на двух смежных одно с другим шоссе. На минах взорвались 8 немецких автомашин и 2 повозки с боеприпасами.</w:t>
      </w:r>
    </w:p>
    <w:p w14:paraId="4B4C5EA2" w14:textId="77777777" w:rsidR="00476D5F" w:rsidRPr="007224C3" w:rsidRDefault="00476D5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Пленный лейтенант разведроты 5 батальона 3 румынской горно-стрелковой дивизии Буня Кристя рассказал: «После того, как русские заняли Одессу, настроение румынских офицеров в Крыму резко ухудшилось. Раньше многие ещё верили, что нам удастся как-либо проложить себе путь с Крымского полуострова. С падением Одессы мы поняли, что из крымской ловушки вам уже не выбраться. Многие офицеры всеми правдами и неправдами стали добиваться разрешения на отъезд в Румынию. С помощью подкупа, взяток и шантажа они вымогали у врачей свидетельства о болезни. Так поступили начальник штаба 6 румынской кавалерийской дивизии подполковник Славеску, начальник штаба 9 румынской кавалерийской дивизия и другие. Незадолго до начала русского наступления командир 3 горно-стрелковой дивизии генерал Мочульский информировал офицеров о положении на фронтах. Капитан Хиня задал генералу вопрос: «Удержим ли мы Крым или его придется оставить?» Капитан Янку спросил: «Удастся ли вывести немецко-румынские войска из Крыма, если русские прорвутся?» Генерал раздражённо ответил: «Подобные вопросы свидетельствуют о трусости. Немецкое командование будет защищать Крым всеми силами. Вам известно, что только в феврале сюда прибыли две немецкие дивизии». Это заявление не внесло успокоения в ряды офицеров. Все знают, что Мочульский — бездарный генерал и пресмыкается перед немцами. Наша дивизия была разгромлена русскими и перестала существовать».</w:t>
      </w:r>
    </w:p>
    <w:p w14:paraId="4BD73A07" w14:textId="77777777" w:rsidR="00476D5F" w:rsidRPr="007224C3" w:rsidRDefault="00476D5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Жители села Белгородка, Каменец-Подольской области, составили акт о зверствах немецко-фашистских мерзавцев. В акте говорится: «23 февраля этого года в наше село прибыл отряд немцев. Гитлеровцы приказали всем жителям в течение десяти минут собраться в дорогу. Солдаты ходили из дома в дом и насильно выгоняли взрослых и детей на улицу, а сами забирали себе наиболее ценные вещи. Всех, кто отказался эвакуироваться, а также стариков, детей и больных, которые не могли передвигаться, фашистские изверги расстреляли. Колхозница Гриньчук заявила, что её восьмилетний сын Андрей болен и она не может оставить его. Немцы на её глазах застрелили мальчика, лежавшего в постели. Учительница Валентина Милевская отказалась покинуть свою больную мать. Фашистские бандиты убили двух детей Милевской и её старуху мать. После этого один гитлеровец из автомата расстрелял и учительницу Милевскую. Угнав жителей на железнодорожную станцию, немцы заперли их в сараи. Несколько дней заключённые оставались. в сараях без пищи и воды. Многие дети умерли от голода. Быстро наступающие части Красной Армии спасли остальных жителей от мучительной смерти».</w:t>
      </w:r>
    </w:p>
    <w:p w14:paraId="1AD9FBD5" w14:textId="77777777" w:rsidR="00476D5F" w:rsidRPr="007224C3" w:rsidRDefault="00476D5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Акт подписали жители села Белгородка: М.Семченко, Н.Наконечная, О.Яремчук, П.Воливач, Т.Ратковский, И.Крачковский.» (15112).</w:t>
      </w:r>
    </w:p>
    <w:p w14:paraId="379ED353" w14:textId="77777777" w:rsidR="00476D5F" w:rsidRPr="007224C3" w:rsidRDefault="00476D5F" w:rsidP="007224C3">
      <w:pPr>
        <w:spacing w:after="0" w:line="240" w:lineRule="auto"/>
        <w:jc w:val="both"/>
        <w:rPr>
          <w:rFonts w:ascii="Times New Roman" w:hAnsi="Times New Roman"/>
          <w:color w:val="000000" w:themeColor="text1"/>
          <w:sz w:val="16"/>
          <w:szCs w:val="16"/>
        </w:rPr>
      </w:pPr>
    </w:p>
    <w:p w14:paraId="631DF2C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апреля 1944 г. при взлете на боевое задание младший лейтенант Онищенко из 949-го шап потерял направление и задел за верхушки деревьев. В результате на Ил-2 зав. № 301767 была полностью разрушена левая половина стабилизатора и руля высоты и сильно повреждена правая половина стабилизатора. Имея такие повреждения, летчик сделал два круга над аэродромом и нормально посадил самолет с бомбами (300 кг), 4-мя РС-82 и боекомплектом к пушкам и пулеметам (11921).</w:t>
      </w:r>
    </w:p>
    <w:p w14:paraId="0EF80ED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D5E37A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апреля 1944 г. мл. лейтенант Онищенко из 949-го шап при взлете на боевое задание потерял направление и задел за верхушки деревьев. В результате на Ил-2 зав. №301767 была полностью разрушена левая половина стабилизатора и руля высоты и сильно повреждена правая половина стабилизатора. Имея такие повреждения, летчик сделал два круга над аэродромом и нормально посадил самолет с бомбами 300 кг, 4 РС-82 и боекомплектом к пушкам и пулеметам (12020).</w:t>
      </w:r>
    </w:p>
    <w:p w14:paraId="028AE56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59070E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апреля 1944 в 19:00 ТК-343, 344 и 332 вышли из Ялты и в 21:15 обнаружили конвой. По оценке командиров катеров он состоял из двух транспортов, тральщика и четырех СКА. Реально в конвои входили три транспорта с охранением из румынской канлод-ки, двух моторных тральщиков и такого же количества больших охотников за подводными лодками “U-104” и “U-115”. Цель для торпед была заманчивая, к тому же черноморцам помогал самолет, сбросивший осветительные бомбы. В 21:18 первым вышел в атаку ТК-344, через две минуты - ТК-343. Их командиры старшие лейтенанты Петров и Кананадзе доложили о потоплении каждым из них по одному транспорту. Судьба 332-го оказалась несчастливой - его атака в 21:25 была безрезультатной, а сам катер, оторвавшийся от двух других, в базу не вернулся. Вероятнее всего, причиной его гибели стал артогонь кораблей охранения. В результате быстротечной схватки был торпедирован и потерял носовую часть “Uj-104” (бывший военный транспорт “КТ-17”, 834 брт). Оставшийся “обрубок” отбуксировали в Севастополь, где его окончательно добили наши летчики в начале мая (6002).</w:t>
      </w:r>
    </w:p>
    <w:p w14:paraId="3148DDE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760BC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апреля 1944 в 04:00 утра л 1-го ГМТАП А.З.Большаков обнаружил два вражеских тральщика в районе маяка Поркаллан-Каллбода и торпедировал один из них (9965).</w:t>
      </w:r>
    </w:p>
    <w:p w14:paraId="72AE02B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8AA2BC0"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535D2A8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8349B30" w14:textId="77777777" w:rsidR="00476D5F" w:rsidRPr="007224C3" w:rsidRDefault="00476D5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апреля в 1944 году во избежание путаницы, самолеты «ХР-61С» с двигателями «Пратт &amp; Уитни» «R-2800-14W» и четырьмя подкрыльевыми пилонами назвали «XP-61D», чтобы не путать их с серийными машинами модели «С» (15112).</w:t>
      </w:r>
    </w:p>
    <w:p w14:paraId="553251BC" w14:textId="77777777" w:rsidR="00476D5F" w:rsidRPr="007224C3" w:rsidRDefault="00476D5F" w:rsidP="007224C3">
      <w:pPr>
        <w:spacing w:after="0" w:line="240" w:lineRule="auto"/>
        <w:jc w:val="both"/>
        <w:rPr>
          <w:rFonts w:ascii="Times New Roman" w:hAnsi="Times New Roman"/>
          <w:color w:val="000000" w:themeColor="text1"/>
          <w:sz w:val="16"/>
          <w:szCs w:val="16"/>
        </w:rPr>
      </w:pPr>
    </w:p>
    <w:p w14:paraId="2F2505DB" w14:textId="77777777" w:rsidR="00185B57" w:rsidRPr="007224C3" w:rsidRDefault="00185B57"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27–28 апреля (ночь) 1944 323 британских бомбардировщика наносят удары по Фридрихсхафен, Германия, при ярком лунном свете, чтобы повысить свои шансы поразить фабрики в городе, немецкие ночные истребители не смогли перехватить их, пока они не достигнут цели. Они сбрасывают 1254 метрических тонны бомб и разрушают 99 акров (40 гектаров) города (две трети его площади), серьезно повреждая несколько заводов. После Второй мировой войны немцы говорят, что это был самый разрушительный налет на их производство танков за всю войну. Восемнадцать бомбардировщиков (5,6% сил) не возвращаются (20373).</w:t>
      </w:r>
    </w:p>
    <w:p w14:paraId="3A5E81B8" w14:textId="77777777" w:rsidR="00185B57" w:rsidRPr="007224C3" w:rsidRDefault="00185B57" w:rsidP="007224C3">
      <w:pPr>
        <w:spacing w:after="0" w:line="240" w:lineRule="auto"/>
        <w:jc w:val="both"/>
        <w:rPr>
          <w:rFonts w:ascii="Times New Roman" w:hAnsi="Times New Roman"/>
          <w:color w:val="0070C0"/>
          <w:sz w:val="16"/>
          <w:szCs w:val="16"/>
        </w:rPr>
      </w:pPr>
    </w:p>
    <w:p w14:paraId="56A33D8B" w14:textId="77777777" w:rsidR="00185B57" w:rsidRPr="007224C3" w:rsidRDefault="00185B57"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27–28 апреля (ночь) 1944 223 британских бомбардировщика атаковали железнодорожные станции в Аульном, Франция, причинив большой ущерб. Один бомбардировщик потерян (20373).</w:t>
      </w:r>
    </w:p>
    <w:p w14:paraId="4F7CE532" w14:textId="77777777" w:rsidR="00185B57" w:rsidRPr="007224C3" w:rsidRDefault="00185B57" w:rsidP="007224C3">
      <w:pPr>
        <w:spacing w:after="0" w:line="240" w:lineRule="auto"/>
        <w:jc w:val="both"/>
        <w:rPr>
          <w:rFonts w:ascii="Times New Roman" w:hAnsi="Times New Roman"/>
          <w:color w:val="0070C0"/>
          <w:sz w:val="16"/>
          <w:szCs w:val="16"/>
        </w:rPr>
      </w:pPr>
    </w:p>
    <w:p w14:paraId="057197FE" w14:textId="77777777" w:rsidR="00185B57" w:rsidRPr="007224C3" w:rsidRDefault="00185B57" w:rsidP="007224C3">
      <w:pPr>
        <w:spacing w:after="0" w:line="240" w:lineRule="auto"/>
        <w:jc w:val="both"/>
        <w:rPr>
          <w:rFonts w:ascii="Times New Roman" w:hAnsi="Times New Roman"/>
          <w:color w:val="0070C0"/>
          <w:sz w:val="16"/>
          <w:szCs w:val="16"/>
          <w:lang w:val="en-US"/>
        </w:rPr>
      </w:pPr>
      <w:r w:rsidRPr="007224C3">
        <w:rPr>
          <w:rFonts w:ascii="Times New Roman" w:hAnsi="Times New Roman"/>
          <w:color w:val="0070C0"/>
          <w:sz w:val="16"/>
          <w:szCs w:val="16"/>
        </w:rPr>
        <w:t>27–28 апреля (ночь) 1944 144 британских бомбардировщика атаковали железнодорожные станции в Монцене, Бельгия, повредив их лишь частично. Немецкие</w:t>
      </w:r>
      <w:r w:rsidRPr="007224C3">
        <w:rPr>
          <w:rFonts w:ascii="Times New Roman" w:hAnsi="Times New Roman"/>
          <w:color w:val="0070C0"/>
          <w:sz w:val="16"/>
          <w:szCs w:val="16"/>
          <w:lang w:val="en-US"/>
        </w:rPr>
        <w:t xml:space="preserve"> </w:t>
      </w:r>
      <w:r w:rsidRPr="007224C3">
        <w:rPr>
          <w:rFonts w:ascii="Times New Roman" w:hAnsi="Times New Roman"/>
          <w:color w:val="0070C0"/>
          <w:sz w:val="16"/>
          <w:szCs w:val="16"/>
        </w:rPr>
        <w:t>ночные</w:t>
      </w:r>
      <w:r w:rsidRPr="007224C3">
        <w:rPr>
          <w:rFonts w:ascii="Times New Roman" w:hAnsi="Times New Roman"/>
          <w:color w:val="0070C0"/>
          <w:sz w:val="16"/>
          <w:szCs w:val="16"/>
          <w:lang w:val="en-US"/>
        </w:rPr>
        <w:t xml:space="preserve"> </w:t>
      </w:r>
      <w:r w:rsidRPr="007224C3">
        <w:rPr>
          <w:rFonts w:ascii="Times New Roman" w:hAnsi="Times New Roman"/>
          <w:color w:val="0070C0"/>
          <w:sz w:val="16"/>
          <w:szCs w:val="16"/>
        </w:rPr>
        <w:t>истребители</w:t>
      </w:r>
      <w:r w:rsidRPr="007224C3">
        <w:rPr>
          <w:rFonts w:ascii="Times New Roman" w:hAnsi="Times New Roman"/>
          <w:color w:val="0070C0"/>
          <w:sz w:val="16"/>
          <w:szCs w:val="16"/>
          <w:lang w:val="en-US"/>
        </w:rPr>
        <w:t xml:space="preserve"> </w:t>
      </w:r>
      <w:r w:rsidRPr="007224C3">
        <w:rPr>
          <w:rFonts w:ascii="Times New Roman" w:hAnsi="Times New Roman"/>
          <w:color w:val="0070C0"/>
          <w:sz w:val="16"/>
          <w:szCs w:val="16"/>
        </w:rPr>
        <w:t>перехватывают</w:t>
      </w:r>
      <w:r w:rsidRPr="007224C3">
        <w:rPr>
          <w:rFonts w:ascii="Times New Roman" w:hAnsi="Times New Roman"/>
          <w:color w:val="0070C0"/>
          <w:sz w:val="16"/>
          <w:szCs w:val="16"/>
          <w:lang w:val="en-US"/>
        </w:rPr>
        <w:t xml:space="preserve"> </w:t>
      </w:r>
      <w:r w:rsidRPr="007224C3">
        <w:rPr>
          <w:rFonts w:ascii="Times New Roman" w:hAnsi="Times New Roman"/>
          <w:color w:val="0070C0"/>
          <w:sz w:val="16"/>
          <w:szCs w:val="16"/>
        </w:rPr>
        <w:t>их</w:t>
      </w:r>
      <w:r w:rsidRPr="007224C3">
        <w:rPr>
          <w:rFonts w:ascii="Times New Roman" w:hAnsi="Times New Roman"/>
          <w:color w:val="0070C0"/>
          <w:sz w:val="16"/>
          <w:szCs w:val="16"/>
          <w:lang w:val="en-US"/>
        </w:rPr>
        <w:t xml:space="preserve">, 15 </w:t>
      </w:r>
      <w:r w:rsidRPr="007224C3">
        <w:rPr>
          <w:rFonts w:ascii="Times New Roman" w:hAnsi="Times New Roman"/>
          <w:color w:val="0070C0"/>
          <w:sz w:val="16"/>
          <w:szCs w:val="16"/>
        </w:rPr>
        <w:t>бомбардировщиков</w:t>
      </w:r>
      <w:r w:rsidRPr="007224C3">
        <w:rPr>
          <w:rFonts w:ascii="Times New Roman" w:hAnsi="Times New Roman"/>
          <w:color w:val="0070C0"/>
          <w:sz w:val="16"/>
          <w:szCs w:val="16"/>
          <w:lang w:val="en-US"/>
        </w:rPr>
        <w:t xml:space="preserve"> </w:t>
      </w:r>
      <w:r w:rsidRPr="007224C3">
        <w:rPr>
          <w:rFonts w:ascii="Times New Roman" w:hAnsi="Times New Roman"/>
          <w:color w:val="0070C0"/>
          <w:sz w:val="16"/>
          <w:szCs w:val="16"/>
        </w:rPr>
        <w:t>потеряны</w:t>
      </w:r>
      <w:r w:rsidRPr="007224C3">
        <w:rPr>
          <w:rFonts w:ascii="Times New Roman" w:hAnsi="Times New Roman"/>
          <w:color w:val="0070C0"/>
          <w:sz w:val="16"/>
          <w:szCs w:val="16"/>
          <w:lang w:val="en-US"/>
        </w:rPr>
        <w:t xml:space="preserve"> (20373).</w:t>
      </w:r>
    </w:p>
    <w:p w14:paraId="71E0A32B" w14:textId="77777777" w:rsidR="00185B57" w:rsidRPr="007224C3" w:rsidRDefault="00185B57" w:rsidP="007224C3">
      <w:pPr>
        <w:spacing w:after="0" w:line="240" w:lineRule="auto"/>
        <w:jc w:val="both"/>
        <w:rPr>
          <w:rFonts w:ascii="Times New Roman" w:hAnsi="Times New Roman"/>
          <w:color w:val="0070C0"/>
          <w:sz w:val="16"/>
          <w:szCs w:val="16"/>
          <w:lang w:val="en-US"/>
        </w:rPr>
      </w:pPr>
    </w:p>
    <w:p w14:paraId="06767636" w14:textId="77777777" w:rsidR="00476D5F" w:rsidRPr="007224C3" w:rsidRDefault="00476D5F"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April 27th, 1944: German planes spot an Allied convoy west of Start Point along the Channel Coast. The convoy is actually making a practice run for the planned invasion of Normandy on a stretch of coast very much alike to that found in the Normandy region of France. The 5.Schnellbootflottille and 9.Schnellbootflottille are directed to attack at night, which they do with the following boats: S100, S130, S138, S138, S140, S142, S143, S145, S150. They engaged the convoy, consisting of 8 landing craft (LSTs or Landing Ship Tank), and protected only by the English Korvette Azeala, at Lyme Bay. The result: LST 507, on fire, had to be given up, LST 531 was sunk, and LST 289 received a torpedo hit which killed many soldiers. Total Allied losses were 197 seaman and 441 soldiers lost. The event was largely covered up by the Allies during and after WWII and is not well known (3819).</w:t>
      </w:r>
    </w:p>
    <w:p w14:paraId="09A1B217" w14:textId="77777777" w:rsidR="00476D5F" w:rsidRPr="007224C3" w:rsidRDefault="00476D5F"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B39BFE0" w14:textId="77777777" w:rsidR="00476D5F" w:rsidRPr="007224C3" w:rsidRDefault="00476D5F"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апреля 1944 немецкие самолеты выполнили налет на конвой из 8 десантных судов под защитой корвета в районе Старт Пойнта, который тренировался в подготовке к высадке в Нормандии. На конвой были нацелены 5 и 9 флотилии торпедных катеров. Разгромили и были большие потери (3819).</w:t>
      </w:r>
    </w:p>
    <w:p w14:paraId="1182AB9A" w14:textId="77777777" w:rsidR="00476D5F" w:rsidRPr="007224C3" w:rsidRDefault="00476D5F"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FDE166"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апреля 1944 в ходе подготовки к вторжению в Нормандию в Англии запрещены все поездки за границу (4962).</w:t>
      </w:r>
    </w:p>
    <w:p w14:paraId="12BCF793"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6727CFE" w14:textId="77777777" w:rsidR="00476D5F" w:rsidRPr="007224C3" w:rsidRDefault="00476D5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апреля в 1944 году в ходе подготовки к вторжению в Нормандию в Англии запрещаются все поездки за границу (15112).</w:t>
      </w:r>
    </w:p>
    <w:p w14:paraId="21321E20" w14:textId="77777777" w:rsidR="00476D5F" w:rsidRPr="007224C3" w:rsidRDefault="00476D5F" w:rsidP="007224C3">
      <w:pPr>
        <w:spacing w:after="0" w:line="240" w:lineRule="auto"/>
        <w:jc w:val="both"/>
        <w:rPr>
          <w:rFonts w:ascii="Times New Roman" w:hAnsi="Times New Roman"/>
          <w:color w:val="000000" w:themeColor="text1"/>
          <w:sz w:val="16"/>
          <w:szCs w:val="16"/>
        </w:rPr>
      </w:pPr>
    </w:p>
    <w:p w14:paraId="3A7807BD" w14:textId="77777777" w:rsidR="00185B57" w:rsidRPr="007224C3" w:rsidRDefault="00185B57"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27 апреля 1044 единственной реакцией японской авиации на высадку в США в Голландии стал ночной налет трех самолетов - торпедоносцев и повреждение грузового корабля (20373).</w:t>
      </w:r>
    </w:p>
    <w:p w14:paraId="29CD9EED" w14:textId="77777777" w:rsidR="00185B57" w:rsidRPr="007224C3" w:rsidRDefault="00185B57" w:rsidP="007224C3">
      <w:pPr>
        <w:spacing w:after="0" w:line="240" w:lineRule="auto"/>
        <w:jc w:val="both"/>
        <w:rPr>
          <w:rFonts w:ascii="Times New Roman" w:hAnsi="Times New Roman"/>
          <w:color w:val="0070C0"/>
          <w:sz w:val="16"/>
          <w:szCs w:val="16"/>
        </w:rPr>
      </w:pPr>
    </w:p>
    <w:p w14:paraId="1ABA8339"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0048F42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9CA685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апреля 1944 г. Су-6 АМ-42 с пушками ВЯ-23 поступил на государственные испытания, которые уже 15 мая были приостановлены вледствие совершенно ненормальной работы мотора (9649).</w:t>
      </w:r>
    </w:p>
    <w:p w14:paraId="3511769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008FA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апреля 1944 г. Су-6 АМ-42 с пушками ВЯ-23 вновь поступил на госиспытания, которые уже 15 мая пришлось приоста</w:t>
      </w:r>
      <w:r w:rsidRPr="007224C3">
        <w:rPr>
          <w:rFonts w:ascii="Times New Roman" w:hAnsi="Times New Roman"/>
          <w:color w:val="000000" w:themeColor="text1"/>
          <w:sz w:val="16"/>
          <w:szCs w:val="16"/>
        </w:rPr>
        <w:softHyphen/>
        <w:t>новить вследствие плохой работы мото</w:t>
      </w:r>
      <w:r w:rsidRPr="007224C3">
        <w:rPr>
          <w:rFonts w:ascii="Times New Roman" w:hAnsi="Times New Roman"/>
          <w:color w:val="000000" w:themeColor="text1"/>
          <w:sz w:val="16"/>
          <w:szCs w:val="16"/>
        </w:rPr>
        <w:softHyphen/>
        <w:t>ра. Двигатель заменили, и полеты про</w:t>
      </w:r>
      <w:r w:rsidRPr="007224C3">
        <w:rPr>
          <w:rFonts w:ascii="Times New Roman" w:hAnsi="Times New Roman"/>
          <w:color w:val="000000" w:themeColor="text1"/>
          <w:sz w:val="16"/>
          <w:szCs w:val="16"/>
        </w:rPr>
        <w:softHyphen/>
        <w:t>должились до 2 июля. Данные немного улучшились. При по</w:t>
      </w:r>
      <w:r w:rsidRPr="007224C3">
        <w:rPr>
          <w:rFonts w:ascii="Times New Roman" w:hAnsi="Times New Roman"/>
          <w:color w:val="000000" w:themeColor="text1"/>
          <w:sz w:val="16"/>
          <w:szCs w:val="16"/>
        </w:rPr>
        <w:softHyphen/>
        <w:t>летном весе 6200 кг скорость штурмови</w:t>
      </w:r>
      <w:r w:rsidRPr="007224C3">
        <w:rPr>
          <w:rFonts w:ascii="Times New Roman" w:hAnsi="Times New Roman"/>
          <w:color w:val="000000" w:themeColor="text1"/>
          <w:sz w:val="16"/>
          <w:szCs w:val="16"/>
        </w:rPr>
        <w:softHyphen/>
        <w:t>ка у земли составила 492 км/ч, а на вы</w:t>
      </w:r>
      <w:r w:rsidRPr="007224C3">
        <w:rPr>
          <w:rFonts w:ascii="Times New Roman" w:hAnsi="Times New Roman"/>
          <w:color w:val="000000" w:themeColor="text1"/>
          <w:sz w:val="16"/>
          <w:szCs w:val="16"/>
        </w:rPr>
        <w:softHyphen/>
        <w:t>соте 1860 м — 521 км/ч. Скороподъем</w:t>
      </w:r>
      <w:r w:rsidRPr="007224C3">
        <w:rPr>
          <w:rFonts w:ascii="Times New Roman" w:hAnsi="Times New Roman"/>
          <w:color w:val="000000" w:themeColor="text1"/>
          <w:sz w:val="16"/>
          <w:szCs w:val="16"/>
        </w:rPr>
        <w:softHyphen/>
        <w:t>ность не изменилась. Максимальная дальность полета на высоте 500 м при скорости 340 км/ч равнялась 790 км; разбег — 540 м; пробег — 660 м (10680).</w:t>
      </w:r>
    </w:p>
    <w:p w14:paraId="029341A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64ABFBE" w14:textId="77777777" w:rsidR="00476D5F" w:rsidRPr="007224C3" w:rsidRDefault="00476D5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апреля в 1944 году начались Государственные испытания опытного двухместного бронированного штурмовика «Су-6» с мотором «АМ-42» и пушками ВЯ-23, ведущий летчик А.И.Кабанов. Всего в период с 28 апреля по 2 июля 1944 г. на «Су-6» «АМ-42» с пушками «ВЯ-23» было выполнено 24 полета с суммарным налетом 10 часов 25 мин. При полетном весе 6200 кг (600 кг бомб, боекомплект к пушкам и пулеметам) скорость штурмовика у земли составила 492 км/ч, а на высоте I860 м - 521 км/ч. Время подъема на высоту 1000 м равнялось двум мин., на высоту 5000 м - 11 мин. Максимальная дальность полета -790 км. В мае 1944 г. успешно завершил госиспытания штурмовик «Ил-10» «АМ-42», показавшего высокие летные данные.Сравнение летно-боевых свойств суховского штурмовика с «Ил-10» было не в пользу первого. «Су-6» «АМ-42» уступал ильюшинской машине по большинству определяющих характеристик. В итоге был сделан вывод о нецелесообразности запуска «Су-6» «АМ-42» в серийное производство. За создание двухместного штурмовика «Су-6» «М-71Ф» Главный конструктор самолета П.О.Сухой в 1943 г. был удостоен Государственной премии 1-й степени, которую он передал в Фонд обороны (15113).</w:t>
      </w:r>
    </w:p>
    <w:p w14:paraId="5CAAC393" w14:textId="77777777" w:rsidR="00476D5F" w:rsidRPr="007224C3" w:rsidRDefault="00476D5F" w:rsidP="007224C3">
      <w:pPr>
        <w:spacing w:after="0" w:line="240" w:lineRule="auto"/>
        <w:jc w:val="both"/>
        <w:rPr>
          <w:rFonts w:ascii="Times New Roman" w:hAnsi="Times New Roman"/>
          <w:color w:val="000000" w:themeColor="text1"/>
          <w:sz w:val="16"/>
          <w:szCs w:val="16"/>
        </w:rPr>
      </w:pPr>
    </w:p>
    <w:p w14:paraId="28857F47" w14:textId="77777777" w:rsidR="00185B57" w:rsidRPr="007224C3" w:rsidRDefault="00185B57"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28 апреля 1944 начались испытания Су-6 АМ-42, но уже 15 мая были приоста</w:t>
      </w:r>
      <w:r w:rsidRPr="007224C3">
        <w:rPr>
          <w:rFonts w:ascii="Times New Roman" w:hAnsi="Times New Roman"/>
          <w:color w:val="0070C0"/>
          <w:sz w:val="16"/>
          <w:szCs w:val="16"/>
        </w:rPr>
        <w:softHyphen/>
        <w:t>новлены вследствие совершенно ненор</w:t>
      </w:r>
      <w:r w:rsidRPr="007224C3">
        <w:rPr>
          <w:rFonts w:ascii="Times New Roman" w:hAnsi="Times New Roman"/>
          <w:color w:val="0070C0"/>
          <w:sz w:val="16"/>
          <w:szCs w:val="16"/>
        </w:rPr>
        <w:softHyphen/>
        <w:t>мальной работы мотора. Ни в одном из полетов мотор зав. №4252 нормально не работал. Всего за это время удалось вы</w:t>
      </w:r>
      <w:r w:rsidRPr="007224C3">
        <w:rPr>
          <w:rFonts w:ascii="Times New Roman" w:hAnsi="Times New Roman"/>
          <w:color w:val="0070C0"/>
          <w:sz w:val="16"/>
          <w:szCs w:val="16"/>
        </w:rPr>
        <w:softHyphen/>
        <w:t>полнить 18 полетов с общим налетом 6 ч 30 мин. Наработка мотора составила 27 ч 55 мин при установленном ресурсе 50 ч.</w:t>
      </w:r>
    </w:p>
    <w:p w14:paraId="24708476" w14:textId="77777777" w:rsidR="00185B57" w:rsidRPr="007224C3" w:rsidRDefault="00185B57"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Ответственным исполнителем по ис</w:t>
      </w:r>
      <w:r w:rsidRPr="007224C3">
        <w:rPr>
          <w:rFonts w:ascii="Times New Roman" w:hAnsi="Times New Roman"/>
          <w:color w:val="0070C0"/>
          <w:sz w:val="16"/>
          <w:szCs w:val="16"/>
        </w:rPr>
        <w:softHyphen/>
        <w:t>пытаниям был назначен помощник веду</w:t>
      </w:r>
      <w:r w:rsidRPr="007224C3">
        <w:rPr>
          <w:rFonts w:ascii="Times New Roman" w:hAnsi="Times New Roman"/>
          <w:color w:val="0070C0"/>
          <w:sz w:val="16"/>
          <w:szCs w:val="16"/>
        </w:rPr>
        <w:softHyphen/>
        <w:t>щего инженера старший техник-лейтенант Марьин, ведущим летчиком - заместитель начальника института по летной части генерал-майор Кабанов, вторым ведущим летчиком - инженер-майор Синельников. Самолет облетал заместитель начальника 5-го отдела 1-го Управления института по летной части подполковник Долгов</w:t>
      </w:r>
    </w:p>
    <w:p w14:paraId="0B966927" w14:textId="77777777" w:rsidR="00185B57" w:rsidRPr="007224C3" w:rsidRDefault="00185B57"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 ряду конструктивных и производст</w:t>
      </w:r>
      <w:r w:rsidRPr="007224C3">
        <w:rPr>
          <w:rFonts w:ascii="Times New Roman" w:hAnsi="Times New Roman"/>
          <w:color w:val="0070C0"/>
          <w:sz w:val="16"/>
          <w:szCs w:val="16"/>
        </w:rPr>
        <w:softHyphen/>
        <w:t>венных дефектов мотора отмечались сле</w:t>
      </w:r>
      <w:r w:rsidRPr="007224C3">
        <w:rPr>
          <w:rFonts w:ascii="Times New Roman" w:hAnsi="Times New Roman"/>
          <w:color w:val="0070C0"/>
          <w:sz w:val="16"/>
          <w:szCs w:val="16"/>
        </w:rPr>
        <w:softHyphen/>
        <w:t>дующие:</w:t>
      </w:r>
    </w:p>
    <w:p w14:paraId="244CBF2F" w14:textId="77777777" w:rsidR="00185B57" w:rsidRPr="007224C3" w:rsidRDefault="00185B57" w:rsidP="007224C3">
      <w:pPr>
        <w:tabs>
          <w:tab w:val="left" w:pos="399"/>
        </w:tabs>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 опасное загорание смеси во всасы</w:t>
      </w:r>
      <w:r w:rsidRPr="007224C3">
        <w:rPr>
          <w:rFonts w:ascii="Times New Roman" w:hAnsi="Times New Roman"/>
          <w:color w:val="0070C0"/>
          <w:sz w:val="16"/>
          <w:szCs w:val="16"/>
        </w:rPr>
        <w:softHyphen/>
        <w:t>вающих патрубках на земле при запуске мотора (4 случая);</w:t>
      </w:r>
    </w:p>
    <w:p w14:paraId="2F4F2286" w14:textId="40C0A63F" w:rsidR="00185B57" w:rsidRPr="007224C3" w:rsidRDefault="00185B57" w:rsidP="007224C3">
      <w:pPr>
        <w:pStyle w:val="121"/>
        <w:shd w:val="clear" w:color="auto" w:fill="auto"/>
        <w:tabs>
          <w:tab w:val="left" w:pos="409"/>
        </w:tabs>
        <w:spacing w:line="240" w:lineRule="auto"/>
        <w:jc w:val="both"/>
        <w:rPr>
          <w:rFonts w:ascii="Times New Roman" w:hAnsi="Times New Roman" w:cs="Times New Roman"/>
          <w:b w:val="0"/>
          <w:bCs w:val="0"/>
          <w:color w:val="0070C0"/>
          <w:sz w:val="16"/>
          <w:szCs w:val="16"/>
        </w:rPr>
      </w:pPr>
      <w:r w:rsidRPr="007224C3">
        <w:rPr>
          <w:rStyle w:val="128pt100"/>
          <w:rFonts w:ascii="Times New Roman" w:hAnsi="Times New Roman" w:cs="Times New Roman"/>
          <w:b w:val="0"/>
          <w:bCs w:val="0"/>
          <w:color w:val="0070C0"/>
        </w:rPr>
        <w:t xml:space="preserve">- </w:t>
      </w:r>
      <w:r w:rsidRPr="007224C3">
        <w:rPr>
          <w:rStyle w:val="128pt100"/>
          <w:rFonts w:ascii="Times New Roman" w:hAnsi="Times New Roman" w:cs="Times New Roman"/>
          <w:b w:val="0"/>
          <w:bCs w:val="0"/>
          <w:i w:val="0"/>
          <w:iCs w:val="0"/>
          <w:color w:val="0070C0"/>
        </w:rPr>
        <w:t>недопустимо большой расход ма</w:t>
      </w:r>
      <w:r w:rsidRPr="007224C3">
        <w:rPr>
          <w:rStyle w:val="128pt100"/>
          <w:rFonts w:ascii="Times New Roman" w:hAnsi="Times New Roman" w:cs="Times New Roman"/>
          <w:b w:val="0"/>
          <w:bCs w:val="0"/>
          <w:i w:val="0"/>
          <w:iCs w:val="0"/>
          <w:color w:val="0070C0"/>
        </w:rPr>
        <w:softHyphen/>
        <w:t>сла</w:t>
      </w:r>
      <w:r w:rsidRPr="007224C3">
        <w:rPr>
          <w:rFonts w:ascii="Times New Roman" w:hAnsi="Times New Roman" w:cs="Times New Roman"/>
          <w:b w:val="0"/>
          <w:bCs w:val="0"/>
          <w:color w:val="0070C0"/>
          <w:sz w:val="16"/>
          <w:szCs w:val="16"/>
        </w:rPr>
        <w:t xml:space="preserve"> («за один полет продолжительностью 50 минут расход масла достигал 43 ли</w:t>
      </w:r>
      <w:r w:rsidRPr="007224C3">
        <w:rPr>
          <w:rFonts w:ascii="Times New Roman" w:hAnsi="Times New Roman" w:cs="Times New Roman"/>
          <w:b w:val="0"/>
          <w:bCs w:val="0"/>
          <w:color w:val="0070C0"/>
          <w:sz w:val="16"/>
          <w:szCs w:val="16"/>
        </w:rPr>
        <w:softHyphen/>
        <w:t>тров»)</w:t>
      </w:r>
      <w:r w:rsidR="009127A0" w:rsidRPr="007224C3">
        <w:rPr>
          <w:rFonts w:ascii="Times New Roman" w:hAnsi="Times New Roman" w:cs="Times New Roman"/>
          <w:b w:val="0"/>
          <w:bCs w:val="0"/>
          <w:color w:val="0070C0"/>
          <w:sz w:val="16"/>
          <w:szCs w:val="16"/>
        </w:rPr>
        <w:t>;</w:t>
      </w:r>
    </w:p>
    <w:p w14:paraId="09EC4E38" w14:textId="77777777" w:rsidR="00185B57" w:rsidRPr="007224C3" w:rsidRDefault="00185B57" w:rsidP="007224C3">
      <w:pPr>
        <w:tabs>
          <w:tab w:val="left" w:pos="399"/>
        </w:tabs>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 сильное дымление мотора на всех режимах работы;</w:t>
      </w:r>
    </w:p>
    <w:p w14:paraId="49815E29" w14:textId="77777777" w:rsidR="00185B57" w:rsidRPr="007224C3" w:rsidRDefault="00185B57"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 тряска мотора при давлении наддува 800-1000 мм. рт. ст., на форсаже и номи</w:t>
      </w:r>
      <w:r w:rsidRPr="007224C3">
        <w:rPr>
          <w:rFonts w:ascii="Times New Roman" w:hAnsi="Times New Roman"/>
          <w:color w:val="0070C0"/>
          <w:sz w:val="16"/>
          <w:szCs w:val="16"/>
        </w:rPr>
        <w:softHyphen/>
        <w:t>нальном режиме в течение 1-1,5 мин по</w:t>
      </w:r>
      <w:r w:rsidRPr="007224C3">
        <w:rPr>
          <w:rFonts w:ascii="Times New Roman" w:hAnsi="Times New Roman"/>
          <w:color w:val="0070C0"/>
          <w:sz w:val="16"/>
          <w:szCs w:val="16"/>
        </w:rPr>
        <w:softHyphen/>
        <w:t>сле дачи газа.</w:t>
      </w:r>
    </w:p>
    <w:p w14:paraId="03061DFE" w14:textId="77777777" w:rsidR="00185B57" w:rsidRPr="007224C3" w:rsidRDefault="00185B57"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Изменение регулировки карбюрато</w:t>
      </w:r>
      <w:r w:rsidRPr="007224C3">
        <w:rPr>
          <w:rFonts w:ascii="Times New Roman" w:hAnsi="Times New Roman"/>
          <w:color w:val="0070C0"/>
          <w:sz w:val="16"/>
          <w:szCs w:val="16"/>
        </w:rPr>
        <w:softHyphen/>
        <w:t>ров положительных результатов не дало.</w:t>
      </w:r>
    </w:p>
    <w:p w14:paraId="1CB95D9C" w14:textId="77777777" w:rsidR="00185B57" w:rsidRPr="007224C3" w:rsidRDefault="00185B57"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По этим причинам летные харак</w:t>
      </w:r>
      <w:r w:rsidRPr="007224C3">
        <w:rPr>
          <w:rFonts w:ascii="Times New Roman" w:hAnsi="Times New Roman"/>
          <w:color w:val="0070C0"/>
          <w:sz w:val="16"/>
          <w:szCs w:val="16"/>
        </w:rPr>
        <w:softHyphen/>
        <w:t>теристики Су-6 АМ-42 в полном объ</w:t>
      </w:r>
      <w:r w:rsidRPr="007224C3">
        <w:rPr>
          <w:rFonts w:ascii="Times New Roman" w:hAnsi="Times New Roman"/>
          <w:color w:val="0070C0"/>
          <w:sz w:val="16"/>
          <w:szCs w:val="16"/>
        </w:rPr>
        <w:softHyphen/>
        <w:t>еме снять не удалось. При полетном весе 6200 кг (400 кг бомб, пушки 11П и пуле</w:t>
      </w:r>
      <w:r w:rsidRPr="007224C3">
        <w:rPr>
          <w:rFonts w:ascii="Times New Roman" w:hAnsi="Times New Roman"/>
          <w:color w:val="0070C0"/>
          <w:sz w:val="16"/>
          <w:szCs w:val="16"/>
        </w:rPr>
        <w:softHyphen/>
        <w:t>меты ШКАС с боекомплектом) максималь</w:t>
      </w:r>
      <w:r w:rsidRPr="007224C3">
        <w:rPr>
          <w:rFonts w:ascii="Times New Roman" w:hAnsi="Times New Roman"/>
          <w:color w:val="0070C0"/>
          <w:sz w:val="16"/>
          <w:szCs w:val="16"/>
        </w:rPr>
        <w:softHyphen/>
        <w:t>ная скорость полета достигала 482 км/ч - у земли, и 523 км/ч - на высоте 2800 м. Дальность полета на высоте 1000 м и ско</w:t>
      </w:r>
      <w:r w:rsidRPr="007224C3">
        <w:rPr>
          <w:rFonts w:ascii="Times New Roman" w:hAnsi="Times New Roman"/>
          <w:color w:val="0070C0"/>
          <w:sz w:val="16"/>
          <w:szCs w:val="16"/>
        </w:rPr>
        <w:softHyphen/>
        <w:t>рости 340 км/ч - 850 км. Разбег (с откло</w:t>
      </w:r>
      <w:r w:rsidRPr="007224C3">
        <w:rPr>
          <w:rFonts w:ascii="Times New Roman" w:hAnsi="Times New Roman"/>
          <w:color w:val="0070C0"/>
          <w:sz w:val="16"/>
          <w:szCs w:val="16"/>
        </w:rPr>
        <w:softHyphen/>
        <w:t>ненными на 20° щитками и форсажем по оборотам) - 540 м. На высоту 1000 м са</w:t>
      </w:r>
      <w:r w:rsidRPr="007224C3">
        <w:rPr>
          <w:rFonts w:ascii="Times New Roman" w:hAnsi="Times New Roman"/>
          <w:color w:val="0070C0"/>
          <w:sz w:val="16"/>
          <w:szCs w:val="16"/>
        </w:rPr>
        <w:softHyphen/>
        <w:t>молет забирался за 2 мин. Вертикаль</w:t>
      </w:r>
      <w:r w:rsidRPr="007224C3">
        <w:rPr>
          <w:rFonts w:ascii="Times New Roman" w:hAnsi="Times New Roman"/>
          <w:color w:val="0070C0"/>
          <w:sz w:val="16"/>
          <w:szCs w:val="16"/>
        </w:rPr>
        <w:softHyphen/>
        <w:t>ная скорость у земли получилась равной 7,6 м/с, на высоте 1000 м - 8,3 м/с.</w:t>
      </w:r>
    </w:p>
    <w:p w14:paraId="0E48F654" w14:textId="77777777" w:rsidR="00185B57" w:rsidRPr="007224C3" w:rsidRDefault="00185B57"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Отметим, что «взлетные свойства са</w:t>
      </w:r>
      <w:r w:rsidRPr="007224C3">
        <w:rPr>
          <w:rFonts w:ascii="Times New Roman" w:hAnsi="Times New Roman"/>
          <w:color w:val="0070C0"/>
          <w:sz w:val="16"/>
          <w:szCs w:val="16"/>
        </w:rPr>
        <w:softHyphen/>
        <w:t>молета определялись на номинальном наддуве 1330 мм. рт. ст. и форсированных оборотах 2500 об/мин, так как на форси</w:t>
      </w:r>
      <w:r w:rsidRPr="007224C3">
        <w:rPr>
          <w:rFonts w:ascii="Times New Roman" w:hAnsi="Times New Roman"/>
          <w:color w:val="0070C0"/>
          <w:sz w:val="16"/>
          <w:szCs w:val="16"/>
        </w:rPr>
        <w:softHyphen/>
        <w:t>рованном наддуве мотор работал ненор</w:t>
      </w:r>
      <w:r w:rsidRPr="007224C3">
        <w:rPr>
          <w:rFonts w:ascii="Times New Roman" w:hAnsi="Times New Roman"/>
          <w:color w:val="0070C0"/>
          <w:sz w:val="16"/>
          <w:szCs w:val="16"/>
        </w:rPr>
        <w:softHyphen/>
        <w:t>мально».</w:t>
      </w:r>
    </w:p>
    <w:p w14:paraId="201EB807" w14:textId="77777777" w:rsidR="00185B57" w:rsidRPr="007224C3" w:rsidRDefault="00185B57"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После получения с завода №24 дру</w:t>
      </w:r>
      <w:r w:rsidRPr="007224C3">
        <w:rPr>
          <w:rFonts w:ascii="Times New Roman" w:hAnsi="Times New Roman"/>
          <w:color w:val="0070C0"/>
          <w:sz w:val="16"/>
          <w:szCs w:val="16"/>
        </w:rPr>
        <w:softHyphen/>
        <w:t>гого экземпляра мотора АМ-42 испытания самолета предполагалось продолжить (19853).</w:t>
      </w:r>
    </w:p>
    <w:p w14:paraId="5586B145" w14:textId="77777777" w:rsidR="00185B57" w:rsidRPr="007224C3" w:rsidRDefault="00185B57" w:rsidP="007224C3">
      <w:pPr>
        <w:spacing w:after="0" w:line="240" w:lineRule="auto"/>
        <w:jc w:val="both"/>
        <w:rPr>
          <w:rFonts w:ascii="Times New Roman" w:hAnsi="Times New Roman"/>
          <w:color w:val="0070C0"/>
          <w:sz w:val="16"/>
          <w:szCs w:val="16"/>
        </w:rPr>
      </w:pPr>
    </w:p>
    <w:p w14:paraId="1E1DD04C" w14:textId="77777777" w:rsidR="00476D5F" w:rsidRPr="007224C3" w:rsidRDefault="00476D5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апреля в 1944 году начались Государственные испытания опытного двухместного бронированного штурмовика Су-6 с мотором АМ-42, ведущий летчик А.И.Кабанов (15113).</w:t>
      </w:r>
    </w:p>
    <w:p w14:paraId="78CCAAAE" w14:textId="77777777" w:rsidR="00476D5F" w:rsidRPr="007224C3" w:rsidRDefault="00476D5F" w:rsidP="007224C3">
      <w:pPr>
        <w:spacing w:after="0" w:line="240" w:lineRule="auto"/>
        <w:jc w:val="both"/>
        <w:rPr>
          <w:rFonts w:ascii="Times New Roman" w:hAnsi="Times New Roman"/>
          <w:color w:val="000000" w:themeColor="text1"/>
          <w:sz w:val="16"/>
          <w:szCs w:val="16"/>
        </w:rPr>
      </w:pPr>
    </w:p>
    <w:p w14:paraId="5EBCC27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ап</w:t>
      </w:r>
      <w:r w:rsidRPr="007224C3">
        <w:rPr>
          <w:rFonts w:ascii="Times New Roman" w:hAnsi="Times New Roman"/>
          <w:color w:val="000000" w:themeColor="text1"/>
          <w:sz w:val="16"/>
          <w:szCs w:val="16"/>
        </w:rPr>
        <w:softHyphen/>
        <w:t>реля 1944 начались государственные испытания Су-6 АМ-42 с пушками ВЯ-23 начались, но уже 16 мая были приостановлены вследствие совер</w:t>
      </w:r>
      <w:r w:rsidRPr="007224C3">
        <w:rPr>
          <w:rFonts w:ascii="Times New Roman" w:hAnsi="Times New Roman"/>
          <w:color w:val="000000" w:themeColor="text1"/>
          <w:sz w:val="16"/>
          <w:szCs w:val="16"/>
        </w:rPr>
        <w:softHyphen/>
        <w:t>шенно ненормальной работы мотора. Всего за это время уда</w:t>
      </w:r>
      <w:r w:rsidRPr="007224C3">
        <w:rPr>
          <w:rFonts w:ascii="Times New Roman" w:hAnsi="Times New Roman"/>
          <w:color w:val="000000" w:themeColor="text1"/>
          <w:sz w:val="16"/>
          <w:szCs w:val="16"/>
        </w:rPr>
        <w:softHyphen/>
        <w:t>лось выполнить 17 полетов с общим налетом 6 ч 5 мин. После получения с завода № 24 другого экземпляра мотора АМ-42 испытания самолета предполагалось продолжить (11474,433).</w:t>
      </w:r>
    </w:p>
    <w:p w14:paraId="0A7CD60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2C788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период с 28 апреля по 2 июля 1944 г. самолет Су-6 АМ-42 прошел в НИИ ВВС государ</w:t>
      </w:r>
      <w:r w:rsidRPr="007224C3">
        <w:rPr>
          <w:rFonts w:ascii="Times New Roman" w:hAnsi="Times New Roman"/>
          <w:color w:val="000000" w:themeColor="text1"/>
          <w:sz w:val="16"/>
          <w:szCs w:val="16"/>
        </w:rPr>
        <w:softHyphen/>
        <w:t>ственные испытания. За это время про</w:t>
      </w:r>
      <w:r w:rsidRPr="007224C3">
        <w:rPr>
          <w:rFonts w:ascii="Times New Roman" w:hAnsi="Times New Roman"/>
          <w:color w:val="000000" w:themeColor="text1"/>
          <w:sz w:val="16"/>
          <w:szCs w:val="16"/>
        </w:rPr>
        <w:softHyphen/>
        <w:t>изведено 24 полета с общим налетом 10 часов 25 минут. Ведущим летчиком был генерал-майор авиации А.И. Кабанов, вторым ведущим летчиком - инженер-майор Синельников. В облетах участвовали подполковник Долгов, штурманы-испытатели капитан Ковынев и старший лейтенант Филиппов. При испытаниях были определены только основные летные данные самоле</w:t>
      </w:r>
      <w:r w:rsidRPr="007224C3">
        <w:rPr>
          <w:rFonts w:ascii="Times New Roman" w:hAnsi="Times New Roman"/>
          <w:color w:val="000000" w:themeColor="text1"/>
          <w:sz w:val="16"/>
          <w:szCs w:val="16"/>
        </w:rPr>
        <w:softHyphen/>
        <w:t>та, причем пушки ОКБ-16 заменили пуш</w:t>
      </w:r>
      <w:r w:rsidRPr="007224C3">
        <w:rPr>
          <w:rFonts w:ascii="Times New Roman" w:hAnsi="Times New Roman"/>
          <w:color w:val="000000" w:themeColor="text1"/>
          <w:sz w:val="16"/>
          <w:szCs w:val="16"/>
        </w:rPr>
        <w:softHyphen/>
        <w:t>ками «ВЯ», а в установку БЛУМ внесли некоторые улучшения. Проверка бомбардировочных устано</w:t>
      </w:r>
      <w:r w:rsidRPr="007224C3">
        <w:rPr>
          <w:rFonts w:ascii="Times New Roman" w:hAnsi="Times New Roman"/>
          <w:color w:val="000000" w:themeColor="text1"/>
          <w:sz w:val="16"/>
          <w:szCs w:val="16"/>
        </w:rPr>
        <w:softHyphen/>
        <w:t>вок производилась отработкой на земле, растрясочными полетами и бомбомета</w:t>
      </w:r>
      <w:r w:rsidRPr="007224C3">
        <w:rPr>
          <w:rFonts w:ascii="Times New Roman" w:hAnsi="Times New Roman"/>
          <w:color w:val="000000" w:themeColor="text1"/>
          <w:sz w:val="16"/>
          <w:szCs w:val="16"/>
        </w:rPr>
        <w:softHyphen/>
        <w:t>нием с горизонтального полета. Отказав в их работе не зафиксировано. В целом, по технике пилотирования са</w:t>
      </w:r>
      <w:r w:rsidRPr="007224C3">
        <w:rPr>
          <w:rFonts w:ascii="Times New Roman" w:hAnsi="Times New Roman"/>
          <w:color w:val="000000" w:themeColor="text1"/>
          <w:sz w:val="16"/>
          <w:szCs w:val="16"/>
        </w:rPr>
        <w:softHyphen/>
        <w:t>молет был доступен летчикам средней квалификации. В просторную кабину пилота посадку сделали удобной. Размещение оборудо</w:t>
      </w:r>
      <w:r w:rsidRPr="007224C3">
        <w:rPr>
          <w:rFonts w:ascii="Times New Roman" w:hAnsi="Times New Roman"/>
          <w:color w:val="000000" w:themeColor="text1"/>
          <w:sz w:val="16"/>
          <w:szCs w:val="16"/>
        </w:rPr>
        <w:softHyphen/>
        <w:t xml:space="preserve">вания и приборов на приборной доске выполнили соответственно стандартной кабине для штурмовика. Кабина стрелка, по своим габаритам, бронированию и по удобству работы в ней, являлась </w:t>
      </w:r>
      <w:r w:rsidRPr="007224C3">
        <w:rPr>
          <w:rFonts w:ascii="Times New Roman" w:hAnsi="Times New Roman"/>
          <w:color w:val="000000" w:themeColor="text1"/>
          <w:sz w:val="16"/>
          <w:szCs w:val="16"/>
        </w:rPr>
        <w:lastRenderedPageBreak/>
        <w:t>лучшей среди имевшихся штурмовиков. Углы об</w:t>
      </w:r>
      <w:r w:rsidRPr="007224C3">
        <w:rPr>
          <w:rFonts w:ascii="Times New Roman" w:hAnsi="Times New Roman"/>
          <w:color w:val="000000" w:themeColor="text1"/>
          <w:sz w:val="16"/>
          <w:szCs w:val="16"/>
        </w:rPr>
        <w:softHyphen/>
        <w:t>стрела из стрелковой установки БЛУБ и запас патронов для ее пулемета призна</w:t>
      </w:r>
      <w:r w:rsidRPr="007224C3">
        <w:rPr>
          <w:rFonts w:ascii="Times New Roman" w:hAnsi="Times New Roman"/>
          <w:color w:val="000000" w:themeColor="text1"/>
          <w:sz w:val="16"/>
          <w:szCs w:val="16"/>
        </w:rPr>
        <w:softHyphen/>
        <w:t>ны достаточными. Капотаж мотора с точки зрения удоб</w:t>
      </w:r>
      <w:r w:rsidRPr="007224C3">
        <w:rPr>
          <w:rFonts w:ascii="Times New Roman" w:hAnsi="Times New Roman"/>
          <w:color w:val="000000" w:themeColor="text1"/>
          <w:sz w:val="16"/>
          <w:szCs w:val="16"/>
        </w:rPr>
        <w:softHyphen/>
        <w:t>ства съемки и постановки капотов был сделан лучше, чем на существовавших самолетах с моторами водяного охлаж</w:t>
      </w:r>
      <w:r w:rsidRPr="007224C3">
        <w:rPr>
          <w:rFonts w:ascii="Times New Roman" w:hAnsi="Times New Roman"/>
          <w:color w:val="000000" w:themeColor="text1"/>
          <w:sz w:val="16"/>
          <w:szCs w:val="16"/>
        </w:rPr>
        <w:softHyphen/>
        <w:t>дения. В целом эксплуатация самолета Су-6 с АМ-42 не вызывала никаких за</w:t>
      </w:r>
      <w:r w:rsidRPr="007224C3">
        <w:rPr>
          <w:rFonts w:ascii="Times New Roman" w:hAnsi="Times New Roman"/>
          <w:color w:val="000000" w:themeColor="text1"/>
          <w:sz w:val="16"/>
          <w:szCs w:val="16"/>
        </w:rPr>
        <w:softHyphen/>
        <w:t>труднений, по сравнению с однотипными самолетами Ил-8 и Ил-10. Замена мотора не сказалась на пове</w:t>
      </w:r>
      <w:r w:rsidRPr="007224C3">
        <w:rPr>
          <w:rFonts w:ascii="Times New Roman" w:hAnsi="Times New Roman"/>
          <w:color w:val="000000" w:themeColor="text1"/>
          <w:sz w:val="16"/>
          <w:szCs w:val="16"/>
        </w:rPr>
        <w:softHyphen/>
        <w:t>дении самолета в воздухе. По сравнению с однотипным самолетом Ил-10, в лет</w:t>
      </w:r>
      <w:r w:rsidRPr="007224C3">
        <w:rPr>
          <w:rFonts w:ascii="Times New Roman" w:hAnsi="Times New Roman"/>
          <w:color w:val="000000" w:themeColor="text1"/>
          <w:sz w:val="16"/>
          <w:szCs w:val="16"/>
        </w:rPr>
        <w:softHyphen/>
        <w:t>ном отношении Су-6 преимуществ не имел. Увеличение площади крыла и снятие предкрылков значительно упростили тех</w:t>
      </w:r>
      <w:r w:rsidRPr="007224C3">
        <w:rPr>
          <w:rFonts w:ascii="Times New Roman" w:hAnsi="Times New Roman"/>
          <w:color w:val="000000" w:themeColor="text1"/>
          <w:sz w:val="16"/>
          <w:szCs w:val="16"/>
        </w:rPr>
        <w:softHyphen/>
        <w:t>нику пилотирования самолета на взлете и посадке - по сравнению с самолетом Су-6 М-71Ф. К недостаткам можно отне</w:t>
      </w:r>
      <w:r w:rsidRPr="007224C3">
        <w:rPr>
          <w:rFonts w:ascii="Times New Roman" w:hAnsi="Times New Roman"/>
          <w:color w:val="000000" w:themeColor="text1"/>
          <w:sz w:val="16"/>
          <w:szCs w:val="16"/>
        </w:rPr>
        <w:softHyphen/>
        <w:t>сти большую (по сравнению с аналогич</w:t>
      </w:r>
      <w:r w:rsidRPr="007224C3">
        <w:rPr>
          <w:rFonts w:ascii="Times New Roman" w:hAnsi="Times New Roman"/>
          <w:color w:val="000000" w:themeColor="text1"/>
          <w:sz w:val="16"/>
          <w:szCs w:val="16"/>
        </w:rPr>
        <w:softHyphen/>
        <w:t>ными типами самолетов) длину разбега и взлетной дистанции, большие нагрузки на элероны, руль высоты, крутую глисса</w:t>
      </w:r>
      <w:r w:rsidRPr="007224C3">
        <w:rPr>
          <w:rFonts w:ascii="Times New Roman" w:hAnsi="Times New Roman"/>
          <w:color w:val="000000" w:themeColor="text1"/>
          <w:sz w:val="16"/>
          <w:szCs w:val="16"/>
        </w:rPr>
        <w:softHyphen/>
        <w:t>ду планирования (10718).</w:t>
      </w:r>
    </w:p>
    <w:p w14:paraId="2F17C72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E3FF85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28 апреля по 2 июля 1944 А.И.Кабановым, А.К.Долговым и Синельниковым испытывали Су-6 М-42. Выяснили, что он не имел преимуществ перед Ил-10 и работы свернули (200,38). Испытания прекратили до срока из-за поломки двигателя (1454,63) 16 мая 1944 года были временно прекращены государственные испытания опытного самолета Су-6 с мотором АМ-42, конструкции Сухого - по причине ненормальной работы мотора, расход масла которого превышает допустимый предел (1821).</w:t>
      </w:r>
    </w:p>
    <w:p w14:paraId="3727CF6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4D083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апреля 1944 начались испытания Су-6 АМ-42 с пушка</w:t>
      </w:r>
      <w:r w:rsidRPr="007224C3">
        <w:rPr>
          <w:rFonts w:ascii="Times New Roman" w:hAnsi="Times New Roman"/>
          <w:color w:val="000000" w:themeColor="text1"/>
          <w:sz w:val="16"/>
          <w:szCs w:val="16"/>
        </w:rPr>
        <w:softHyphen/>
        <w:t>ми ВЯ-23, но уже примерно через две недели были приостановлены вследствие совер</w:t>
      </w:r>
      <w:r w:rsidRPr="007224C3">
        <w:rPr>
          <w:rFonts w:ascii="Times New Roman" w:hAnsi="Times New Roman"/>
          <w:color w:val="000000" w:themeColor="text1"/>
          <w:sz w:val="16"/>
          <w:szCs w:val="16"/>
        </w:rPr>
        <w:softHyphen/>
        <w:t>шенно ненормальной работы мото</w:t>
      </w:r>
      <w:r w:rsidRPr="007224C3">
        <w:rPr>
          <w:rFonts w:ascii="Times New Roman" w:hAnsi="Times New Roman"/>
          <w:color w:val="000000" w:themeColor="text1"/>
          <w:sz w:val="16"/>
          <w:szCs w:val="16"/>
        </w:rPr>
        <w:softHyphen/>
        <w:t>ра. Всего удалось выполнить 17 по</w:t>
      </w:r>
      <w:r w:rsidRPr="007224C3">
        <w:rPr>
          <w:rFonts w:ascii="Times New Roman" w:hAnsi="Times New Roman"/>
          <w:color w:val="000000" w:themeColor="text1"/>
          <w:sz w:val="16"/>
          <w:szCs w:val="16"/>
        </w:rPr>
        <w:softHyphen/>
        <w:t>летов с общим налетом 6 ч 5 мин. После получения с завода № 24 другого экземпляра мотора АМ-42 испытания самолета предполагалось продолжить.</w:t>
      </w:r>
    </w:p>
    <w:p w14:paraId="5F41501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Надо сказать, к этому времени сложилась весьма непростая ситуа</w:t>
      </w:r>
      <w:r w:rsidRPr="007224C3">
        <w:rPr>
          <w:rFonts w:ascii="Times New Roman" w:hAnsi="Times New Roman"/>
          <w:color w:val="000000" w:themeColor="text1"/>
          <w:sz w:val="16"/>
          <w:szCs w:val="16"/>
        </w:rPr>
        <w:softHyphen/>
        <w:t>ция. Очевидно, что результаты испы</w:t>
      </w:r>
      <w:r w:rsidRPr="007224C3">
        <w:rPr>
          <w:rFonts w:ascii="Times New Roman" w:hAnsi="Times New Roman"/>
          <w:color w:val="000000" w:themeColor="text1"/>
          <w:sz w:val="16"/>
          <w:szCs w:val="16"/>
        </w:rPr>
        <w:softHyphen/>
        <w:t>таний Ил-8 и Су-6 не могли удовлет</w:t>
      </w:r>
      <w:r w:rsidRPr="007224C3">
        <w:rPr>
          <w:rFonts w:ascii="Times New Roman" w:hAnsi="Times New Roman"/>
          <w:color w:val="000000" w:themeColor="text1"/>
          <w:sz w:val="16"/>
          <w:szCs w:val="16"/>
        </w:rPr>
        <w:softHyphen/>
        <w:t>ворить военных в полном объеме. При этом если "сухой" по летно-бо-евым качествам в целом устраивал ВВС, но мотор на самолете рабо</w:t>
      </w:r>
      <w:r w:rsidRPr="007224C3">
        <w:rPr>
          <w:rFonts w:ascii="Times New Roman" w:hAnsi="Times New Roman"/>
          <w:color w:val="000000" w:themeColor="text1"/>
          <w:sz w:val="16"/>
          <w:szCs w:val="16"/>
        </w:rPr>
        <w:softHyphen/>
        <w:t>тал плохо, то ильюшинская "восьмер</w:t>
      </w:r>
      <w:r w:rsidRPr="007224C3">
        <w:rPr>
          <w:rFonts w:ascii="Times New Roman" w:hAnsi="Times New Roman"/>
          <w:color w:val="000000" w:themeColor="text1"/>
          <w:sz w:val="16"/>
          <w:szCs w:val="16"/>
        </w:rPr>
        <w:softHyphen/>
        <w:t>ка" не вполне устраивала военных -ни как штурмовик, ни как бомбарди</w:t>
      </w:r>
      <w:r w:rsidRPr="007224C3">
        <w:rPr>
          <w:rFonts w:ascii="Times New Roman" w:hAnsi="Times New Roman"/>
          <w:color w:val="000000" w:themeColor="text1"/>
          <w:sz w:val="16"/>
          <w:szCs w:val="16"/>
        </w:rPr>
        <w:softHyphen/>
        <w:t>ровщик, однако мотор работал луч</w:t>
      </w:r>
      <w:r w:rsidRPr="007224C3">
        <w:rPr>
          <w:rFonts w:ascii="Times New Roman" w:hAnsi="Times New Roman"/>
          <w:color w:val="000000" w:themeColor="text1"/>
          <w:sz w:val="16"/>
          <w:szCs w:val="16"/>
        </w:rPr>
        <w:softHyphen/>
        <w:t>ше. В тоже время перспектива быст</w:t>
      </w:r>
      <w:r w:rsidRPr="007224C3">
        <w:rPr>
          <w:rFonts w:ascii="Times New Roman" w:hAnsi="Times New Roman"/>
          <w:color w:val="000000" w:themeColor="text1"/>
          <w:sz w:val="16"/>
          <w:szCs w:val="16"/>
        </w:rPr>
        <w:softHyphen/>
        <w:t>рой доводки мотора АМ-42 до тре</w:t>
      </w:r>
      <w:r w:rsidRPr="007224C3">
        <w:rPr>
          <w:rFonts w:ascii="Times New Roman" w:hAnsi="Times New Roman"/>
          <w:color w:val="000000" w:themeColor="text1"/>
          <w:sz w:val="16"/>
          <w:szCs w:val="16"/>
        </w:rPr>
        <w:softHyphen/>
        <w:t>буемого уровня надежности выгляде</w:t>
      </w:r>
      <w:r w:rsidRPr="007224C3">
        <w:rPr>
          <w:rFonts w:ascii="Times New Roman" w:hAnsi="Times New Roman"/>
          <w:color w:val="000000" w:themeColor="text1"/>
          <w:sz w:val="16"/>
          <w:szCs w:val="16"/>
        </w:rPr>
        <w:softHyphen/>
        <w:t>ла весьма туманной. Было ясно, что решение предстоит непростое, а са</w:t>
      </w:r>
      <w:r w:rsidRPr="007224C3">
        <w:rPr>
          <w:rFonts w:ascii="Times New Roman" w:hAnsi="Times New Roman"/>
          <w:color w:val="000000" w:themeColor="text1"/>
          <w:sz w:val="16"/>
          <w:szCs w:val="16"/>
        </w:rPr>
        <w:softHyphen/>
        <w:t>мое главное, не скорое.</w:t>
      </w:r>
    </w:p>
    <w:p w14:paraId="67A9827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сложившейся обстановке ВВС сделали попытку вернуться к перво</w:t>
      </w:r>
      <w:r w:rsidRPr="007224C3">
        <w:rPr>
          <w:rFonts w:ascii="Times New Roman" w:hAnsi="Times New Roman"/>
          <w:color w:val="000000" w:themeColor="text1"/>
          <w:sz w:val="16"/>
          <w:szCs w:val="16"/>
        </w:rPr>
        <w:softHyphen/>
        <w:t>начальной цельнометаллической кон</w:t>
      </w:r>
      <w:r w:rsidRPr="007224C3">
        <w:rPr>
          <w:rFonts w:ascii="Times New Roman" w:hAnsi="Times New Roman"/>
          <w:color w:val="000000" w:themeColor="text1"/>
          <w:sz w:val="16"/>
          <w:szCs w:val="16"/>
        </w:rPr>
        <w:softHyphen/>
        <w:t>струкции Ил-2. Это позволяло улуч</w:t>
      </w:r>
      <w:r w:rsidRPr="007224C3">
        <w:rPr>
          <w:rFonts w:ascii="Times New Roman" w:hAnsi="Times New Roman"/>
          <w:color w:val="000000" w:themeColor="text1"/>
          <w:sz w:val="16"/>
          <w:szCs w:val="16"/>
        </w:rPr>
        <w:softHyphen/>
        <w:t>шить боевые и эксплуатационные качества самолета и несколько раз</w:t>
      </w:r>
      <w:r w:rsidRPr="007224C3">
        <w:rPr>
          <w:rFonts w:ascii="Times New Roman" w:hAnsi="Times New Roman"/>
          <w:color w:val="000000" w:themeColor="text1"/>
          <w:sz w:val="16"/>
          <w:szCs w:val="16"/>
        </w:rPr>
        <w:softHyphen/>
        <w:t>рядить напряженность в вопросе постановки на вооружение штурмо</w:t>
      </w:r>
      <w:r w:rsidRPr="007224C3">
        <w:rPr>
          <w:rFonts w:ascii="Times New Roman" w:hAnsi="Times New Roman"/>
          <w:color w:val="000000" w:themeColor="text1"/>
          <w:sz w:val="16"/>
          <w:szCs w:val="16"/>
        </w:rPr>
        <w:softHyphen/>
        <w:t>вика, отвечающего современным тре</w:t>
      </w:r>
      <w:r w:rsidRPr="007224C3">
        <w:rPr>
          <w:rFonts w:ascii="Times New Roman" w:hAnsi="Times New Roman"/>
          <w:color w:val="000000" w:themeColor="text1"/>
          <w:sz w:val="16"/>
          <w:szCs w:val="16"/>
        </w:rPr>
        <w:softHyphen/>
        <w:t>бованиям (11427).</w:t>
      </w:r>
    </w:p>
    <w:p w14:paraId="6CFE73A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8A7D3D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28 апреля по 2 июля 1944 в общей слож</w:t>
      </w:r>
      <w:r w:rsidRPr="007224C3">
        <w:rPr>
          <w:rFonts w:ascii="Times New Roman" w:hAnsi="Times New Roman"/>
          <w:color w:val="000000" w:themeColor="text1"/>
          <w:sz w:val="16"/>
          <w:szCs w:val="16"/>
        </w:rPr>
        <w:softHyphen/>
        <w:t>ности на Су-6 удалось выполнить 24 полета с на</w:t>
      </w:r>
      <w:r w:rsidRPr="007224C3">
        <w:rPr>
          <w:rFonts w:ascii="Times New Roman" w:hAnsi="Times New Roman"/>
          <w:color w:val="000000" w:themeColor="text1"/>
          <w:sz w:val="16"/>
          <w:szCs w:val="16"/>
        </w:rPr>
        <w:softHyphen/>
        <w:t>летом 10 ч 25 мин. (11428)</w:t>
      </w:r>
    </w:p>
    <w:p w14:paraId="5977AB6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F7CB2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апреля 1944 года начались государственные испытания са</w:t>
      </w:r>
      <w:r w:rsidRPr="007224C3">
        <w:rPr>
          <w:rFonts w:ascii="Times New Roman" w:hAnsi="Times New Roman"/>
          <w:color w:val="000000" w:themeColor="text1"/>
          <w:sz w:val="16"/>
          <w:szCs w:val="16"/>
        </w:rPr>
        <w:softHyphen/>
        <w:t>молета Су-6 АМ-42. До середины мая летчики-испытатели НИИ ВВС КА генерал-майор авиации А.И.Каба</w:t>
      </w:r>
      <w:r w:rsidRPr="007224C3">
        <w:rPr>
          <w:rFonts w:ascii="Times New Roman" w:hAnsi="Times New Roman"/>
          <w:color w:val="000000" w:themeColor="text1"/>
          <w:sz w:val="16"/>
          <w:szCs w:val="16"/>
        </w:rPr>
        <w:softHyphen/>
        <w:t>нов и инженер-майор А.В.Синель</w:t>
      </w:r>
      <w:r w:rsidRPr="007224C3">
        <w:rPr>
          <w:rFonts w:ascii="Times New Roman" w:hAnsi="Times New Roman"/>
          <w:color w:val="000000" w:themeColor="text1"/>
          <w:sz w:val="16"/>
          <w:szCs w:val="16"/>
        </w:rPr>
        <w:softHyphen/>
        <w:t>ников выполнили по программе 12 полетов. 15 мая из-за ненормаль</w:t>
      </w:r>
      <w:r w:rsidRPr="007224C3">
        <w:rPr>
          <w:rFonts w:ascii="Times New Roman" w:hAnsi="Times New Roman"/>
          <w:color w:val="000000" w:themeColor="text1"/>
          <w:sz w:val="16"/>
          <w:szCs w:val="16"/>
        </w:rPr>
        <w:softHyphen/>
        <w:t>ной работы мотора испытания были приостановлены (11845).</w:t>
      </w:r>
    </w:p>
    <w:p w14:paraId="6339D2F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5E225F" w14:textId="77777777" w:rsidR="00E07A00" w:rsidRPr="007224C3" w:rsidRDefault="00E07A0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апреля 1944 начались испытания Су-6 с ВЯ, но уже 16 мая были приостановлены. После получения с завода № 24 другого экземпляра мотора АМ-42 испытания самолета предполагалось продолжить (17490).</w:t>
      </w:r>
    </w:p>
    <w:p w14:paraId="0259608C" w14:textId="77777777" w:rsidR="00E07A00" w:rsidRPr="007224C3" w:rsidRDefault="00E07A00" w:rsidP="007224C3">
      <w:pPr>
        <w:spacing w:after="0" w:line="240" w:lineRule="auto"/>
        <w:jc w:val="both"/>
        <w:rPr>
          <w:rFonts w:ascii="Times New Roman" w:eastAsia="Times New Roman" w:hAnsi="Times New Roman"/>
          <w:color w:val="000000" w:themeColor="text1"/>
          <w:sz w:val="16"/>
          <w:szCs w:val="16"/>
          <w:lang w:eastAsia="ru-RU"/>
        </w:rPr>
      </w:pPr>
    </w:p>
    <w:p w14:paraId="39D979A8" w14:textId="77777777" w:rsidR="00E07A00" w:rsidRPr="007224C3" w:rsidRDefault="00E07A00"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28 апреля 1944 начались испытания Су-6 АМ-42 с пушками ВЯ, но уже 16 мая были приостановлены вследствие совершенно ненормальной работы мо</w:t>
      </w:r>
      <w:r w:rsidRPr="007224C3">
        <w:rPr>
          <w:color w:val="000000" w:themeColor="text1"/>
          <w:sz w:val="16"/>
          <w:szCs w:val="16"/>
        </w:rPr>
        <w:softHyphen/>
        <w:t>тора. Всего за это время удалось выполнить 17 по</w:t>
      </w:r>
      <w:r w:rsidRPr="007224C3">
        <w:rPr>
          <w:color w:val="000000" w:themeColor="text1"/>
          <w:sz w:val="16"/>
          <w:szCs w:val="16"/>
        </w:rPr>
        <w:softHyphen/>
        <w:t>летов с общим налетом 6 ч 5 мин (17500).</w:t>
      </w:r>
    </w:p>
    <w:p w14:paraId="671CEE9C" w14:textId="77777777" w:rsidR="00E07A00" w:rsidRPr="007224C3" w:rsidRDefault="00E07A00" w:rsidP="007224C3">
      <w:pPr>
        <w:spacing w:after="0" w:line="240" w:lineRule="auto"/>
        <w:jc w:val="both"/>
        <w:rPr>
          <w:rFonts w:ascii="Times New Roman" w:hAnsi="Times New Roman"/>
          <w:color w:val="000000" w:themeColor="text1"/>
          <w:sz w:val="16"/>
          <w:szCs w:val="16"/>
        </w:rPr>
      </w:pPr>
    </w:p>
    <w:p w14:paraId="5BFAB993" w14:textId="77777777" w:rsidR="00B240EB" w:rsidRPr="007224C3" w:rsidRDefault="00B240EB" w:rsidP="007224C3">
      <w:pPr>
        <w:pStyle w:val="ae"/>
        <w:shd w:val="clear" w:color="auto" w:fill="FFFFFF"/>
        <w:spacing w:before="0" w:after="0"/>
        <w:jc w:val="both"/>
        <w:textAlignment w:val="baseline"/>
        <w:rPr>
          <w:color w:val="000000" w:themeColor="text1"/>
          <w:sz w:val="16"/>
          <w:szCs w:val="16"/>
        </w:rPr>
      </w:pPr>
      <w:r w:rsidRPr="007224C3">
        <w:rPr>
          <w:color w:val="000000" w:themeColor="text1"/>
          <w:sz w:val="16"/>
          <w:szCs w:val="16"/>
        </w:rPr>
        <w:t>28 апреля 1944 г. Су-6 АМ-42 с пушками ВЯ-23 поступил на государственные испытания, которые уже 15 мая были приостановлены вследствие совершенно ненормальной работы мотора.</w:t>
      </w:r>
    </w:p>
    <w:p w14:paraId="3CAE339D" w14:textId="77777777" w:rsidR="00B240EB" w:rsidRPr="007224C3" w:rsidRDefault="00B240EB" w:rsidP="007224C3">
      <w:pPr>
        <w:pStyle w:val="ae"/>
        <w:shd w:val="clear" w:color="auto" w:fill="FFFFFF"/>
        <w:spacing w:before="0" w:after="0"/>
        <w:jc w:val="both"/>
        <w:textAlignment w:val="baseline"/>
        <w:rPr>
          <w:color w:val="000000" w:themeColor="text1"/>
          <w:sz w:val="16"/>
          <w:szCs w:val="16"/>
        </w:rPr>
      </w:pPr>
      <w:r w:rsidRPr="007224C3">
        <w:rPr>
          <w:color w:val="000000" w:themeColor="text1"/>
          <w:sz w:val="16"/>
          <w:szCs w:val="16"/>
        </w:rPr>
        <w:t>К этому времени закончились госиспытания тяжелого штурмовика Ил-8 АМ-42 и решался вопрос о его запуске в серию (19188).</w:t>
      </w:r>
    </w:p>
    <w:p w14:paraId="01FEE781" w14:textId="77777777" w:rsidR="00B240EB" w:rsidRPr="007224C3" w:rsidRDefault="00B240EB" w:rsidP="007224C3">
      <w:pPr>
        <w:pStyle w:val="ae"/>
        <w:shd w:val="clear" w:color="auto" w:fill="FFFFFF"/>
        <w:spacing w:before="0" w:after="0"/>
        <w:jc w:val="both"/>
        <w:textAlignment w:val="baseline"/>
        <w:rPr>
          <w:color w:val="000000" w:themeColor="text1"/>
          <w:sz w:val="16"/>
          <w:szCs w:val="16"/>
        </w:rPr>
      </w:pPr>
    </w:p>
    <w:p w14:paraId="2B03EEB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апреля 1944 г. истребитель И-222 передали на ЛЭС завода №155 (5852,38).</w:t>
      </w:r>
    </w:p>
    <w:p w14:paraId="50E8EA4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7148F8" w14:textId="77777777" w:rsidR="00476D5F" w:rsidRPr="007224C3" w:rsidRDefault="00476D5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апреля в 1944 году высотный истребитель-перехватчик с гермокабиной, двигателем «АМ-39Б» и двумя турбокомпрессорами «ТК-2Б» «И-222» передан на ЛЭС завода №155 на заводские испытания (15113).</w:t>
      </w:r>
    </w:p>
    <w:p w14:paraId="1F090007" w14:textId="77777777" w:rsidR="00476D5F" w:rsidRPr="007224C3" w:rsidRDefault="00476D5F" w:rsidP="007224C3">
      <w:pPr>
        <w:spacing w:after="0" w:line="240" w:lineRule="auto"/>
        <w:jc w:val="both"/>
        <w:rPr>
          <w:rFonts w:ascii="Times New Roman" w:hAnsi="Times New Roman"/>
          <w:color w:val="000000" w:themeColor="text1"/>
          <w:sz w:val="16"/>
          <w:szCs w:val="16"/>
        </w:rPr>
      </w:pPr>
    </w:p>
    <w:p w14:paraId="3752CD4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апреля 1944 согласно журнала наблюдения за проектированием, постройкой и испытаниями высотного истребителя МиГ-1 за 1 мая 1944 И-222 АМ-39Б 2ТК-2Б передан на ЛЭС завода.</w:t>
      </w:r>
    </w:p>
    <w:p w14:paraId="7E9A1A9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И-224 с АМ-39Б ТК-300Б - центроплан находится в стапеле. Хвостовая часть и крылья - в сборке.</w:t>
      </w:r>
    </w:p>
    <w:p w14:paraId="78FB387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макетной гермокабине удалось создать давление 60 мм рс вместо намеченных 200. Герметичность проверялась с помощью дымовых шашек (991,13).</w:t>
      </w:r>
    </w:p>
    <w:p w14:paraId="58B157B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67FBDE9" w14:textId="77777777" w:rsidR="00B240EB" w:rsidRPr="007224C3" w:rsidRDefault="00B240E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апреля 1944 вышло Распоряжение ГКО № 5752</w:t>
      </w:r>
    </w:p>
    <w:p w14:paraId="0DA55BBB" w14:textId="77777777" w:rsidR="00B240EB" w:rsidRPr="007224C3" w:rsidRDefault="00B240E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Возложить на Наркомат Боеприпасов техническое руководство вопросами проектирования, изготовления опыт</w:t>
      </w:r>
      <w:r w:rsidRPr="007224C3">
        <w:rPr>
          <w:rFonts w:ascii="Times New Roman" w:hAnsi="Times New Roman"/>
          <w:color w:val="000000" w:themeColor="text1"/>
          <w:sz w:val="16"/>
          <w:szCs w:val="16"/>
        </w:rPr>
        <w:softHyphen/>
        <w:t>ных образцов и обеспечения промышленности чертежами и техническими условиями на все элементы авиабомб.</w:t>
      </w:r>
    </w:p>
    <w:p w14:paraId="1BBCBE5F" w14:textId="77777777" w:rsidR="00B240EB" w:rsidRPr="007224C3" w:rsidRDefault="00B240EB" w:rsidP="007224C3">
      <w:pPr>
        <w:spacing w:after="0" w:line="240" w:lineRule="auto"/>
        <w:jc w:val="both"/>
        <w:rPr>
          <w:rFonts w:ascii="Times New Roman" w:hAnsi="Times New Roman"/>
          <w:color w:val="000000" w:themeColor="text1"/>
          <w:sz w:val="16"/>
          <w:szCs w:val="16"/>
        </w:rPr>
      </w:pPr>
      <w:r w:rsidRPr="007224C3">
        <w:rPr>
          <w:rStyle w:val="Consolas9pt"/>
          <w:rFonts w:ascii="Times New Roman" w:eastAsiaTheme="minorHAnsi" w:hAnsi="Times New Roman" w:cs="Times New Roman"/>
          <w:i w:val="0"/>
          <w:color w:val="000000" w:themeColor="text1"/>
          <w:sz w:val="16"/>
          <w:szCs w:val="16"/>
        </w:rPr>
        <w:t>2.</w:t>
      </w:r>
      <w:r w:rsidRPr="007224C3">
        <w:rPr>
          <w:rFonts w:ascii="Times New Roman" w:hAnsi="Times New Roman"/>
          <w:color w:val="000000" w:themeColor="text1"/>
          <w:sz w:val="16"/>
          <w:szCs w:val="16"/>
        </w:rPr>
        <w:t xml:space="preserve"> Обязать Наркомминвоорукения т.Паршина возвратить Наркомату боеприпасов Конструкторские бюро ГСКБ-47, КБ-35 и завод № 67 со всем имеющимся оборудованием, кадрами, транспортом, жилыми и производственными помещениями, инвентарем и фондами на материальное обеспече</w:t>
      </w:r>
      <w:r w:rsidRPr="007224C3">
        <w:rPr>
          <w:rFonts w:ascii="Times New Roman" w:hAnsi="Times New Roman"/>
          <w:color w:val="000000" w:themeColor="text1"/>
          <w:sz w:val="16"/>
          <w:szCs w:val="16"/>
        </w:rPr>
        <w:softHyphen/>
        <w:t>ние, выделенными на II квартал 1944 года (19484).</w:t>
      </w:r>
    </w:p>
    <w:p w14:paraId="32E00726" w14:textId="77777777" w:rsidR="00B240EB" w:rsidRPr="007224C3" w:rsidRDefault="00B240EB" w:rsidP="007224C3">
      <w:pPr>
        <w:spacing w:after="0" w:line="240" w:lineRule="auto"/>
        <w:jc w:val="both"/>
        <w:rPr>
          <w:rFonts w:ascii="Times New Roman" w:hAnsi="Times New Roman"/>
          <w:color w:val="000000" w:themeColor="text1"/>
          <w:sz w:val="16"/>
          <w:szCs w:val="16"/>
        </w:rPr>
      </w:pPr>
    </w:p>
    <w:p w14:paraId="577EFEF7"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3E08327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B856FF9" w14:textId="77777777" w:rsidR="00B240EB" w:rsidRPr="007224C3" w:rsidRDefault="00B240EB" w:rsidP="007224C3">
      <w:pPr>
        <w:pStyle w:val="ae"/>
        <w:spacing w:before="0" w:after="0"/>
        <w:jc w:val="both"/>
        <w:textAlignment w:val="baseline"/>
        <w:rPr>
          <w:color w:val="000000" w:themeColor="text1"/>
          <w:sz w:val="16"/>
          <w:szCs w:val="16"/>
        </w:rPr>
      </w:pPr>
      <w:r w:rsidRPr="007224C3">
        <w:rPr>
          <w:color w:val="000000" w:themeColor="text1"/>
          <w:sz w:val="16"/>
          <w:szCs w:val="16"/>
        </w:rPr>
        <w:t>28 апреля 1944 в ГБТУ КА пришли краткие ТТХ улучшенной машины Т-44, также со стороны завода прозвучало обещание сдать два танка к 5 мая. При этом машины были разными: первый образец имел толщину борта 60 мм, а второй — 75 мм (18950).</w:t>
      </w:r>
    </w:p>
    <w:p w14:paraId="292594C0" w14:textId="77777777" w:rsidR="00B240EB" w:rsidRPr="007224C3" w:rsidRDefault="00B240EB" w:rsidP="007224C3">
      <w:pPr>
        <w:pStyle w:val="ae"/>
        <w:spacing w:before="0" w:after="0"/>
        <w:jc w:val="both"/>
        <w:textAlignment w:val="baseline"/>
        <w:rPr>
          <w:color w:val="000000" w:themeColor="text1"/>
          <w:sz w:val="16"/>
          <w:szCs w:val="16"/>
        </w:rPr>
      </w:pPr>
    </w:p>
    <w:p w14:paraId="21C855C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апреля 1944 г. были подготовлены ТАКТИКО-ТЕХНИЧЕСКИЕ ХАРАКТЕРИСТИКИ САМОХОДНЫХ АРТИЛЛЕРИЙСКИХ УСТАНОВОК И ИХ СИСТЕМ</w:t>
      </w:r>
    </w:p>
    <w:tbl>
      <w:tblPr>
        <w:tblW w:w="0" w:type="auto"/>
        <w:tblInd w:w="40" w:type="dxa"/>
        <w:tblLayout w:type="fixed"/>
        <w:tblCellMar>
          <w:left w:w="40" w:type="dxa"/>
          <w:right w:w="40" w:type="dxa"/>
        </w:tblCellMar>
        <w:tblLook w:val="0000" w:firstRow="0" w:lastRow="0" w:firstColumn="0" w:lastColumn="0" w:noHBand="0" w:noVBand="0"/>
      </w:tblPr>
      <w:tblGrid>
        <w:gridCol w:w="3072"/>
        <w:gridCol w:w="701"/>
        <w:gridCol w:w="701"/>
        <w:gridCol w:w="691"/>
        <w:gridCol w:w="701"/>
        <w:gridCol w:w="701"/>
        <w:gridCol w:w="701"/>
        <w:gridCol w:w="691"/>
        <w:gridCol w:w="701"/>
        <w:gridCol w:w="950"/>
      </w:tblGrid>
      <w:tr w:rsidR="005106D0" w:rsidRPr="007224C3" w14:paraId="0073466A" w14:textId="77777777">
        <w:trPr>
          <w:trHeight w:val="221"/>
        </w:trPr>
        <w:tc>
          <w:tcPr>
            <w:tcW w:w="3072" w:type="dxa"/>
            <w:tcBorders>
              <w:top w:val="single" w:sz="6" w:space="0" w:color="auto"/>
              <w:left w:val="single" w:sz="6" w:space="0" w:color="auto"/>
              <w:bottom w:val="nil"/>
              <w:right w:val="single" w:sz="6" w:space="0" w:color="auto"/>
            </w:tcBorders>
          </w:tcPr>
          <w:p w14:paraId="1D90815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Параметры</w:t>
            </w:r>
          </w:p>
          <w:p w14:paraId="4BBE1D8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94" w:type="dxa"/>
            <w:gridSpan w:val="4"/>
            <w:tcBorders>
              <w:top w:val="single" w:sz="6" w:space="0" w:color="auto"/>
              <w:left w:val="single" w:sz="6" w:space="0" w:color="auto"/>
              <w:bottom w:val="single" w:sz="6" w:space="0" w:color="auto"/>
              <w:right w:val="single" w:sz="6" w:space="0" w:color="auto"/>
            </w:tcBorders>
          </w:tcPr>
          <w:p w14:paraId="5780803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Опытные</w:t>
            </w:r>
          </w:p>
          <w:p w14:paraId="77C4921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94" w:type="dxa"/>
            <w:gridSpan w:val="4"/>
            <w:tcBorders>
              <w:top w:val="single" w:sz="6" w:space="0" w:color="auto"/>
              <w:left w:val="single" w:sz="6" w:space="0" w:color="auto"/>
              <w:bottom w:val="single" w:sz="6" w:space="0" w:color="auto"/>
              <w:right w:val="single" w:sz="6" w:space="0" w:color="auto"/>
            </w:tcBorders>
          </w:tcPr>
          <w:p w14:paraId="4B24F50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Серийные</w:t>
            </w:r>
          </w:p>
          <w:p w14:paraId="63D855B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7D5D67A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Немецкие</w:t>
            </w:r>
          </w:p>
          <w:p w14:paraId="035F776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B815908" w14:textId="77777777">
        <w:trPr>
          <w:trHeight w:val="374"/>
        </w:trPr>
        <w:tc>
          <w:tcPr>
            <w:tcW w:w="3072" w:type="dxa"/>
            <w:tcBorders>
              <w:top w:val="nil"/>
              <w:left w:val="single" w:sz="6" w:space="0" w:color="auto"/>
              <w:bottom w:val="single" w:sz="6" w:space="0" w:color="auto"/>
              <w:right w:val="single" w:sz="6" w:space="0" w:color="auto"/>
            </w:tcBorders>
          </w:tcPr>
          <w:p w14:paraId="61610E3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36C7A8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53A4703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СУ-85 ГАЗа</w:t>
            </w:r>
          </w:p>
          <w:p w14:paraId="6671E78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3ACB7E4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СУ-100 УЗТМ</w:t>
            </w:r>
          </w:p>
          <w:p w14:paraId="2BB7728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37B0B87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СУ-122 БМ</w:t>
            </w:r>
          </w:p>
          <w:p w14:paraId="11A1CC3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0724B7D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СУ-152 БМ</w:t>
            </w:r>
          </w:p>
          <w:p w14:paraId="26ADAD1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6FD61A1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СУ-76</w:t>
            </w:r>
          </w:p>
          <w:p w14:paraId="03B453F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3806737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СУ-85</w:t>
            </w:r>
          </w:p>
          <w:p w14:paraId="6A88674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0DF01BB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ИСУ-122</w:t>
            </w:r>
          </w:p>
          <w:p w14:paraId="4F630E8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2631E20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ИСУ-152</w:t>
            </w:r>
          </w:p>
          <w:p w14:paraId="62B835B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FF0FF1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Фердинанд</w:t>
            </w:r>
          </w:p>
          <w:p w14:paraId="6B77519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9485132" w14:textId="77777777">
        <w:trPr>
          <w:trHeight w:val="326"/>
        </w:trPr>
        <w:tc>
          <w:tcPr>
            <w:tcW w:w="3072" w:type="dxa"/>
            <w:tcBorders>
              <w:top w:val="single" w:sz="6" w:space="0" w:color="auto"/>
              <w:left w:val="single" w:sz="6" w:space="0" w:color="auto"/>
              <w:bottom w:val="single" w:sz="6" w:space="0" w:color="auto"/>
              <w:right w:val="single" w:sz="6" w:space="0" w:color="auto"/>
            </w:tcBorders>
          </w:tcPr>
          <w:p w14:paraId="0C415FA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Боевой вес в тоннах</w:t>
            </w:r>
          </w:p>
          <w:p w14:paraId="42FF31A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5321B9E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14,0</w:t>
            </w:r>
          </w:p>
          <w:p w14:paraId="4FE596A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35D1664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31,6</w:t>
            </w:r>
          </w:p>
          <w:p w14:paraId="3D4E657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0396BF9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4940393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3FE0433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47,0</w:t>
            </w:r>
          </w:p>
          <w:p w14:paraId="197F19A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3C06F30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10,5</w:t>
            </w:r>
          </w:p>
          <w:p w14:paraId="71A54C1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6D643F2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29,6</w:t>
            </w:r>
          </w:p>
          <w:p w14:paraId="39D7BBA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24477CB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45,7</w:t>
            </w:r>
          </w:p>
          <w:p w14:paraId="658954E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608AC72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45,7</w:t>
            </w:r>
          </w:p>
          <w:p w14:paraId="47072DE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797A12F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67-70</w:t>
            </w:r>
          </w:p>
          <w:p w14:paraId="5B35C80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108D409" w14:textId="77777777">
        <w:trPr>
          <w:trHeight w:val="317"/>
        </w:trPr>
        <w:tc>
          <w:tcPr>
            <w:tcW w:w="3072" w:type="dxa"/>
            <w:tcBorders>
              <w:top w:val="single" w:sz="6" w:space="0" w:color="auto"/>
              <w:left w:val="single" w:sz="6" w:space="0" w:color="auto"/>
              <w:bottom w:val="single" w:sz="6" w:space="0" w:color="auto"/>
              <w:right w:val="single" w:sz="6" w:space="0" w:color="auto"/>
            </w:tcBorders>
          </w:tcPr>
          <w:p w14:paraId="265FC70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Экипаж</w:t>
            </w:r>
          </w:p>
          <w:p w14:paraId="4363258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4DA422B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w:t>
            </w:r>
          </w:p>
          <w:p w14:paraId="2CD4521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685E427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w:t>
            </w:r>
          </w:p>
          <w:p w14:paraId="0329216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5BF3598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21BDE26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0CA3D59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p w14:paraId="0446274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125E6AD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w:t>
            </w:r>
          </w:p>
          <w:p w14:paraId="4B35D14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6AABB2A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w:t>
            </w:r>
          </w:p>
          <w:p w14:paraId="57F2245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7F68C56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p w14:paraId="7169787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763FB09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p w14:paraId="0465993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8B2EA0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w:t>
            </w:r>
          </w:p>
          <w:p w14:paraId="12C8163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8A7767C" w14:textId="77777777">
        <w:trPr>
          <w:trHeight w:val="432"/>
        </w:trPr>
        <w:tc>
          <w:tcPr>
            <w:tcW w:w="3072" w:type="dxa"/>
            <w:tcBorders>
              <w:top w:val="single" w:sz="6" w:space="0" w:color="auto"/>
              <w:left w:val="single" w:sz="6" w:space="0" w:color="auto"/>
              <w:bottom w:val="single" w:sz="6" w:space="0" w:color="auto"/>
              <w:right w:val="single" w:sz="6" w:space="0" w:color="auto"/>
            </w:tcBorders>
          </w:tcPr>
          <w:p w14:paraId="6ABB1C8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Наибольшая толщина брони в мм / угол наклона в градусах</w:t>
            </w:r>
          </w:p>
          <w:p w14:paraId="27418CC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18C1A6A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82 23е</w:t>
            </w:r>
          </w:p>
          <w:p w14:paraId="5823F72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76CDE89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55е</w:t>
            </w:r>
          </w:p>
          <w:p w14:paraId="545FC22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78A7B33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54936AD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3677CCD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120 ЗОе</w:t>
            </w:r>
          </w:p>
          <w:p w14:paraId="2CFA608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1C55B74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60е</w:t>
            </w:r>
          </w:p>
          <w:p w14:paraId="1F657E1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13A2AA3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 55е</w:t>
            </w:r>
          </w:p>
          <w:p w14:paraId="62680D5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4CD49FE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120 ЗОе</w:t>
            </w:r>
          </w:p>
          <w:p w14:paraId="1406CD2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63F8935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120 ЗОе</w:t>
            </w:r>
          </w:p>
          <w:p w14:paraId="5239C32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0D0098B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200 20е</w:t>
            </w:r>
          </w:p>
          <w:p w14:paraId="6AF0883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DED7167" w14:textId="77777777">
        <w:trPr>
          <w:trHeight w:val="326"/>
        </w:trPr>
        <w:tc>
          <w:tcPr>
            <w:tcW w:w="3072" w:type="dxa"/>
            <w:tcBorders>
              <w:top w:val="single" w:sz="6" w:space="0" w:color="auto"/>
              <w:left w:val="single" w:sz="6" w:space="0" w:color="auto"/>
              <w:bottom w:val="single" w:sz="6" w:space="0" w:color="auto"/>
              <w:right w:val="single" w:sz="6" w:space="0" w:color="auto"/>
            </w:tcBorders>
          </w:tcPr>
          <w:p w14:paraId="3B79434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Боекомплект пушки</w:t>
            </w:r>
          </w:p>
          <w:p w14:paraId="361782B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3EFD901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43</w:t>
            </w:r>
          </w:p>
          <w:p w14:paraId="208DFA1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01BFB9C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33</w:t>
            </w:r>
          </w:p>
          <w:p w14:paraId="3347632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54B2E6A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6E4729D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3B1E395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w:t>
            </w:r>
          </w:p>
          <w:p w14:paraId="118B674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2C04BA2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w:t>
            </w:r>
          </w:p>
          <w:p w14:paraId="4C660A9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01B1F57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48</w:t>
            </w:r>
          </w:p>
          <w:p w14:paraId="2322943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009C245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w:t>
            </w:r>
          </w:p>
          <w:p w14:paraId="012A4CB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4ECCA8D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w:t>
            </w:r>
          </w:p>
          <w:p w14:paraId="1C755E1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DA647E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38</w:t>
            </w:r>
          </w:p>
          <w:p w14:paraId="4F215CA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332B851" w14:textId="77777777">
        <w:trPr>
          <w:trHeight w:val="326"/>
        </w:trPr>
        <w:tc>
          <w:tcPr>
            <w:tcW w:w="3072" w:type="dxa"/>
            <w:tcBorders>
              <w:top w:val="single" w:sz="6" w:space="0" w:color="auto"/>
              <w:left w:val="single" w:sz="6" w:space="0" w:color="auto"/>
              <w:bottom w:val="single" w:sz="6" w:space="0" w:color="auto"/>
              <w:right w:val="single" w:sz="6" w:space="0" w:color="auto"/>
            </w:tcBorders>
          </w:tcPr>
          <w:p w14:paraId="29244F5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Вооружение:</w:t>
            </w:r>
          </w:p>
          <w:p w14:paraId="71057F8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7AFAF2C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83FA85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0D28C29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FBD867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54DCC09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D4A18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7F4618A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F2D941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529812B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F1221A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65A238E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6E782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7803148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38568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715BD20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94583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809068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4C4CF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6B9D187" w14:textId="77777777">
        <w:trPr>
          <w:trHeight w:val="624"/>
        </w:trPr>
        <w:tc>
          <w:tcPr>
            <w:tcW w:w="3072" w:type="dxa"/>
            <w:tcBorders>
              <w:top w:val="single" w:sz="6" w:space="0" w:color="auto"/>
              <w:left w:val="single" w:sz="6" w:space="0" w:color="auto"/>
              <w:bottom w:val="single" w:sz="6" w:space="0" w:color="auto"/>
              <w:right w:val="single" w:sz="6" w:space="0" w:color="auto"/>
            </w:tcBorders>
          </w:tcPr>
          <w:p w14:paraId="6BD5C1A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Пушка</w:t>
            </w:r>
          </w:p>
          <w:p w14:paraId="0272454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74D7D3E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85-мм Д-5С-85</w:t>
            </w:r>
          </w:p>
          <w:p w14:paraId="16E970C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1499739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100-мм Д-10С</w:t>
            </w:r>
          </w:p>
          <w:p w14:paraId="5DF533A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22CAD9B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122-мм ОБМ-50</w:t>
            </w:r>
          </w:p>
          <w:p w14:paraId="5B102C9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168B32D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152-мм ОБМ-53</w:t>
            </w:r>
          </w:p>
          <w:p w14:paraId="7529118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439167B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76-мм ЗИС-3</w:t>
            </w:r>
          </w:p>
          <w:p w14:paraId="3C43C57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0EFA7F9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85-мм Д-5С-85</w:t>
            </w:r>
          </w:p>
          <w:p w14:paraId="3AFD307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1E3883E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122-мм А-19</w:t>
            </w:r>
          </w:p>
          <w:p w14:paraId="7928B30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2969987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152-мм МЛ-20</w:t>
            </w:r>
          </w:p>
          <w:p w14:paraId="530A132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48E5CF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88-мм ЮЛ/К-43</w:t>
            </w:r>
          </w:p>
          <w:p w14:paraId="2490813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45DADB1" w14:textId="77777777">
        <w:trPr>
          <w:trHeight w:val="634"/>
        </w:trPr>
        <w:tc>
          <w:tcPr>
            <w:tcW w:w="3072" w:type="dxa"/>
            <w:tcBorders>
              <w:top w:val="single" w:sz="6" w:space="0" w:color="auto"/>
              <w:left w:val="single" w:sz="6" w:space="0" w:color="auto"/>
              <w:bottom w:val="single" w:sz="6" w:space="0" w:color="auto"/>
              <w:right w:val="single" w:sz="6" w:space="0" w:color="auto"/>
            </w:tcBorders>
          </w:tcPr>
          <w:p w14:paraId="31A80AE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ППШ</w:t>
            </w:r>
          </w:p>
          <w:p w14:paraId="16B5FD4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5EC1843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p w14:paraId="40F96D5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3BE4BA7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p w14:paraId="50D3080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4AE6E9D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p w14:paraId="17A621B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5B685B4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p w14:paraId="4D83491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40974F4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p w14:paraId="07C8DD1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3FD678B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p w14:paraId="21E221F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7B3E6CA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p w14:paraId="24DC288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2D0B8A4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p w14:paraId="2EC57BD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692CFF6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7,92-мм пулемет МГ-42-1</w:t>
            </w:r>
          </w:p>
          <w:p w14:paraId="7E5029B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564E4F8" w14:textId="77777777">
        <w:trPr>
          <w:trHeight w:val="432"/>
        </w:trPr>
        <w:tc>
          <w:tcPr>
            <w:tcW w:w="3072" w:type="dxa"/>
            <w:tcBorders>
              <w:top w:val="single" w:sz="6" w:space="0" w:color="auto"/>
              <w:left w:val="single" w:sz="6" w:space="0" w:color="auto"/>
              <w:bottom w:val="single" w:sz="6" w:space="0" w:color="auto"/>
              <w:right w:val="single" w:sz="6" w:space="0" w:color="auto"/>
            </w:tcBorders>
          </w:tcPr>
          <w:p w14:paraId="78DD598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Начальная скорость бронеб. снаряда в м/с</w:t>
            </w:r>
          </w:p>
          <w:p w14:paraId="5EBFB3E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7B64AF0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785</w:t>
            </w:r>
          </w:p>
          <w:p w14:paraId="609C90A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7165B46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900</w:t>
            </w:r>
          </w:p>
          <w:p w14:paraId="65C7930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3461A22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1000</w:t>
            </w:r>
          </w:p>
          <w:p w14:paraId="2096AE1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4FA1DF8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900</w:t>
            </w:r>
          </w:p>
          <w:p w14:paraId="100A28B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70C813E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662</w:t>
            </w:r>
          </w:p>
          <w:p w14:paraId="46B0333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70A9F56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785</w:t>
            </w:r>
          </w:p>
          <w:p w14:paraId="43399A7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13E7738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790</w:t>
            </w:r>
          </w:p>
          <w:p w14:paraId="31474FD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17CED07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600</w:t>
            </w:r>
          </w:p>
          <w:p w14:paraId="7420F5A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2F7D8C0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1000</w:t>
            </w:r>
          </w:p>
          <w:p w14:paraId="7E7263A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FE02827" w14:textId="77777777">
        <w:trPr>
          <w:trHeight w:val="317"/>
        </w:trPr>
        <w:tc>
          <w:tcPr>
            <w:tcW w:w="3072" w:type="dxa"/>
            <w:tcBorders>
              <w:top w:val="single" w:sz="6" w:space="0" w:color="auto"/>
              <w:left w:val="single" w:sz="6" w:space="0" w:color="auto"/>
              <w:bottom w:val="single" w:sz="6" w:space="0" w:color="auto"/>
              <w:right w:val="single" w:sz="6" w:space="0" w:color="auto"/>
            </w:tcBorders>
          </w:tcPr>
          <w:p w14:paraId="0AB0AAA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Длина ствола в калибрах</w:t>
            </w:r>
          </w:p>
          <w:p w14:paraId="36908B9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6248B49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55</w:t>
            </w:r>
          </w:p>
          <w:p w14:paraId="1A43F0C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3B799EF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56</w:t>
            </w:r>
          </w:p>
          <w:p w14:paraId="43D385C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24BFF14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59,8</w:t>
            </w:r>
          </w:p>
          <w:p w14:paraId="7298A77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655D0BD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52,5</w:t>
            </w:r>
          </w:p>
          <w:p w14:paraId="3D9C3D4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2DE8990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41,6</w:t>
            </w:r>
          </w:p>
          <w:p w14:paraId="4F43642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6766185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55</w:t>
            </w:r>
          </w:p>
          <w:p w14:paraId="52C18CB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664015A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46,3</w:t>
            </w:r>
          </w:p>
          <w:p w14:paraId="438BAB5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603821B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32,5</w:t>
            </w:r>
          </w:p>
          <w:p w14:paraId="647304E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2B91244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71</w:t>
            </w:r>
          </w:p>
          <w:p w14:paraId="7A29C7B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78B7131" w14:textId="77777777">
        <w:trPr>
          <w:trHeight w:val="326"/>
        </w:trPr>
        <w:tc>
          <w:tcPr>
            <w:tcW w:w="3072" w:type="dxa"/>
            <w:tcBorders>
              <w:top w:val="single" w:sz="6" w:space="0" w:color="auto"/>
              <w:left w:val="single" w:sz="6" w:space="0" w:color="auto"/>
              <w:bottom w:val="single" w:sz="6" w:space="0" w:color="auto"/>
              <w:right w:val="single" w:sz="6" w:space="0" w:color="auto"/>
            </w:tcBorders>
          </w:tcPr>
          <w:p w14:paraId="4571242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 бронебойного снаряда в кг</w:t>
            </w:r>
          </w:p>
          <w:p w14:paraId="2083D62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7CBBCA5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9,2</w:t>
            </w:r>
          </w:p>
          <w:p w14:paraId="4B4F726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41E5D09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15,8</w:t>
            </w:r>
          </w:p>
          <w:p w14:paraId="287FD02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4A62255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25,2</w:t>
            </w:r>
          </w:p>
          <w:p w14:paraId="323F500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41EDD2B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48,8</w:t>
            </w:r>
          </w:p>
          <w:p w14:paraId="5BB99CD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7AC275D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6,5</w:t>
            </w:r>
          </w:p>
          <w:p w14:paraId="11307B0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0BEB6F1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9,2</w:t>
            </w:r>
          </w:p>
          <w:p w14:paraId="62109E4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32946E4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25,2</w:t>
            </w:r>
          </w:p>
          <w:p w14:paraId="03581A0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65EC204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48,8</w:t>
            </w:r>
          </w:p>
          <w:p w14:paraId="2E9FA03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3CD2E01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10,2</w:t>
            </w:r>
          </w:p>
          <w:p w14:paraId="00EC628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27EA5D0" w14:textId="77777777">
        <w:trPr>
          <w:trHeight w:val="432"/>
        </w:trPr>
        <w:tc>
          <w:tcPr>
            <w:tcW w:w="3072" w:type="dxa"/>
            <w:tcBorders>
              <w:top w:val="single" w:sz="6" w:space="0" w:color="auto"/>
              <w:left w:val="single" w:sz="6" w:space="0" w:color="auto"/>
              <w:bottom w:val="single" w:sz="6" w:space="0" w:color="auto"/>
              <w:right w:val="single" w:sz="6" w:space="0" w:color="auto"/>
            </w:tcBorders>
          </w:tcPr>
          <w:p w14:paraId="0B820A1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Длина унитарного патрона в мм</w:t>
            </w:r>
          </w:p>
          <w:p w14:paraId="16CAF16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029C167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945</w:t>
            </w:r>
          </w:p>
          <w:p w14:paraId="391574E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0731C80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1050</w:t>
            </w:r>
          </w:p>
          <w:p w14:paraId="1BD4678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3E94607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427</w:t>
            </w:r>
            <w:r w:rsidRPr="007224C3">
              <w:rPr>
                <w:rFonts w:ascii="Times New Roman" w:hAnsi="Times New Roman"/>
                <w:color w:val="000000" w:themeColor="text1"/>
                <w:sz w:val="16"/>
                <w:szCs w:val="16"/>
                <w:vertAlign w:val="superscript"/>
              </w:rPr>
              <w:t>Х</w:t>
            </w:r>
            <w:r w:rsidRPr="007224C3">
              <w:rPr>
                <w:rFonts w:ascii="Times New Roman" w:hAnsi="Times New Roman"/>
                <w:color w:val="000000" w:themeColor="text1"/>
                <w:sz w:val="16"/>
                <w:szCs w:val="16"/>
              </w:rPr>
              <w:t>&gt; 535</w:t>
            </w:r>
          </w:p>
          <w:p w14:paraId="5D4668F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71357F2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578</w:t>
            </w:r>
            <w:r w:rsidRPr="007224C3">
              <w:rPr>
                <w:rFonts w:ascii="Times New Roman" w:hAnsi="Times New Roman"/>
                <w:color w:val="000000" w:themeColor="text1"/>
                <w:sz w:val="16"/>
                <w:szCs w:val="16"/>
                <w:vertAlign w:val="superscript"/>
              </w:rPr>
              <w:t>Х</w:t>
            </w:r>
            <w:r w:rsidRPr="007224C3">
              <w:rPr>
                <w:rFonts w:ascii="Times New Roman" w:hAnsi="Times New Roman"/>
                <w:color w:val="000000" w:themeColor="text1"/>
                <w:sz w:val="16"/>
                <w:szCs w:val="16"/>
              </w:rPr>
              <w:t>&gt; 535</w:t>
            </w:r>
          </w:p>
          <w:p w14:paraId="2C5B060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3B0424A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670</w:t>
            </w:r>
          </w:p>
          <w:p w14:paraId="28FFAF4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73F50E7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945</w:t>
            </w:r>
          </w:p>
          <w:p w14:paraId="1B39B25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0F7C9BC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427</w:t>
            </w:r>
            <w:r w:rsidRPr="007224C3">
              <w:rPr>
                <w:rFonts w:ascii="Times New Roman" w:hAnsi="Times New Roman"/>
                <w:color w:val="000000" w:themeColor="text1"/>
                <w:sz w:val="16"/>
                <w:szCs w:val="16"/>
                <w:vertAlign w:val="superscript"/>
              </w:rPr>
              <w:t>х</w:t>
            </w:r>
            <w:r w:rsidRPr="007224C3">
              <w:rPr>
                <w:rFonts w:ascii="Times New Roman" w:hAnsi="Times New Roman"/>
                <w:color w:val="000000" w:themeColor="text1"/>
                <w:sz w:val="16"/>
                <w:szCs w:val="16"/>
              </w:rPr>
              <w:t>' 780</w:t>
            </w:r>
          </w:p>
          <w:p w14:paraId="3A714D7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27B62AE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578</w:t>
            </w:r>
            <w:r w:rsidRPr="007224C3">
              <w:rPr>
                <w:rFonts w:ascii="Times New Roman" w:hAnsi="Times New Roman"/>
                <w:color w:val="000000" w:themeColor="text1"/>
                <w:sz w:val="16"/>
                <w:szCs w:val="16"/>
                <w:vertAlign w:val="superscript"/>
              </w:rPr>
              <w:t>Х</w:t>
            </w:r>
            <w:r w:rsidRPr="007224C3">
              <w:rPr>
                <w:rFonts w:ascii="Times New Roman" w:hAnsi="Times New Roman"/>
                <w:color w:val="000000" w:themeColor="text1"/>
                <w:sz w:val="16"/>
                <w:szCs w:val="16"/>
              </w:rPr>
              <w:t>&gt; 535</w:t>
            </w:r>
          </w:p>
          <w:p w14:paraId="12986A6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7C37021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1110</w:t>
            </w:r>
          </w:p>
          <w:p w14:paraId="655895F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AF9B519" w14:textId="77777777">
        <w:trPr>
          <w:trHeight w:val="317"/>
        </w:trPr>
        <w:tc>
          <w:tcPr>
            <w:tcW w:w="3072" w:type="dxa"/>
            <w:tcBorders>
              <w:top w:val="single" w:sz="6" w:space="0" w:color="auto"/>
              <w:left w:val="single" w:sz="6" w:space="0" w:color="auto"/>
              <w:bottom w:val="single" w:sz="6" w:space="0" w:color="auto"/>
              <w:right w:val="single" w:sz="6" w:space="0" w:color="auto"/>
            </w:tcBorders>
          </w:tcPr>
          <w:p w14:paraId="1FABD80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 выстрела в кг</w:t>
            </w:r>
          </w:p>
          <w:p w14:paraId="1E8C737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0D36890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16,0</w:t>
            </w:r>
          </w:p>
          <w:p w14:paraId="0033A17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57C7315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30,3</w:t>
            </w:r>
          </w:p>
          <w:p w14:paraId="0FBCDD4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5B80D82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ок. 47,0</w:t>
            </w:r>
          </w:p>
          <w:p w14:paraId="78F0822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3DBE821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63,6</w:t>
            </w:r>
          </w:p>
          <w:p w14:paraId="5091778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77A2972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8,8</w:t>
            </w:r>
          </w:p>
          <w:p w14:paraId="338EC19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06A482E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16,0</w:t>
            </w:r>
          </w:p>
          <w:p w14:paraId="703EF71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3A99198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40,6</w:t>
            </w:r>
          </w:p>
          <w:p w14:paraId="1E74F52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07ECEFD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55,4</w:t>
            </w:r>
          </w:p>
          <w:p w14:paraId="27B9164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02990E4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22,65</w:t>
            </w:r>
          </w:p>
          <w:p w14:paraId="44C52A6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C5917F4" w14:textId="77777777">
        <w:trPr>
          <w:trHeight w:val="326"/>
        </w:trPr>
        <w:tc>
          <w:tcPr>
            <w:tcW w:w="3072" w:type="dxa"/>
            <w:tcBorders>
              <w:top w:val="single" w:sz="6" w:space="0" w:color="auto"/>
              <w:left w:val="single" w:sz="6" w:space="0" w:color="auto"/>
              <w:bottom w:val="single" w:sz="6" w:space="0" w:color="auto"/>
              <w:right w:val="single" w:sz="6" w:space="0" w:color="auto"/>
            </w:tcBorders>
          </w:tcPr>
          <w:p w14:paraId="38A5699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Дульная энергия в т.м.</w:t>
            </w:r>
          </w:p>
          <w:p w14:paraId="3CD0496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1D9BD65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300</w:t>
            </w:r>
          </w:p>
          <w:p w14:paraId="7E79D79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2350807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639</w:t>
            </w:r>
          </w:p>
          <w:p w14:paraId="625E23E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5095709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1285</w:t>
            </w:r>
          </w:p>
          <w:p w14:paraId="100C8EB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4CCB0D9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1795</w:t>
            </w:r>
          </w:p>
          <w:p w14:paraId="24D54C4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25DBDAE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152</w:t>
            </w:r>
          </w:p>
          <w:p w14:paraId="7E6A39C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4C37109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300</w:t>
            </w:r>
          </w:p>
          <w:p w14:paraId="7784120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20B5421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800</w:t>
            </w:r>
          </w:p>
          <w:p w14:paraId="64B5E77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317CA78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930</w:t>
            </w:r>
          </w:p>
          <w:p w14:paraId="1633B8D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946DEE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516</w:t>
            </w:r>
          </w:p>
          <w:p w14:paraId="0EE32D9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DED7D94" w14:textId="77777777">
        <w:trPr>
          <w:trHeight w:val="432"/>
        </w:trPr>
        <w:tc>
          <w:tcPr>
            <w:tcW w:w="3072" w:type="dxa"/>
            <w:tcBorders>
              <w:top w:val="single" w:sz="6" w:space="0" w:color="auto"/>
              <w:left w:val="single" w:sz="6" w:space="0" w:color="auto"/>
              <w:bottom w:val="single" w:sz="6" w:space="0" w:color="auto"/>
              <w:right w:val="single" w:sz="6" w:space="0" w:color="auto"/>
            </w:tcBorders>
          </w:tcPr>
          <w:p w14:paraId="40F8CF8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 качающейся части с бронировкой в кг</w:t>
            </w:r>
          </w:p>
          <w:p w14:paraId="243E000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7993D6C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ок. 1500</w:t>
            </w:r>
          </w:p>
          <w:p w14:paraId="37A42A2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2FF2C0B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2260</w:t>
            </w:r>
          </w:p>
          <w:p w14:paraId="0ED7E11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0AE2A9B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4700</w:t>
            </w:r>
          </w:p>
          <w:p w14:paraId="3496799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0BC3B66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4920</w:t>
            </w:r>
          </w:p>
          <w:p w14:paraId="6E3A574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4F32226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500</w:t>
            </w:r>
          </w:p>
          <w:p w14:paraId="515F399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4D30293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ок. 1500</w:t>
            </w:r>
          </w:p>
          <w:p w14:paraId="4BAA365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5BF472A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3300</w:t>
            </w:r>
          </w:p>
          <w:p w14:paraId="4BDEC3C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3C09D76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3200</w:t>
            </w:r>
          </w:p>
          <w:p w14:paraId="609A4F8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1AE9F39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C31CF6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E0DD289" w14:textId="77777777">
        <w:trPr>
          <w:trHeight w:val="432"/>
        </w:trPr>
        <w:tc>
          <w:tcPr>
            <w:tcW w:w="3072" w:type="dxa"/>
            <w:tcBorders>
              <w:top w:val="single" w:sz="6" w:space="0" w:color="auto"/>
              <w:left w:val="single" w:sz="6" w:space="0" w:color="auto"/>
              <w:bottom w:val="single" w:sz="6" w:space="0" w:color="auto"/>
              <w:right w:val="single" w:sz="6" w:space="0" w:color="auto"/>
            </w:tcBorders>
          </w:tcPr>
          <w:p w14:paraId="5AF7593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Наибольшее сопротивление откату в тоннах</w:t>
            </w:r>
          </w:p>
          <w:p w14:paraId="5E26E45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151257B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17,5</w:t>
            </w:r>
          </w:p>
          <w:p w14:paraId="7BBAC75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477F1F1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ок. 24,0</w:t>
            </w:r>
          </w:p>
          <w:p w14:paraId="72D97DC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1CBAA71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39,1</w:t>
            </w:r>
          </w:p>
          <w:p w14:paraId="3FA7E92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27A85CE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31,0</w:t>
            </w:r>
            <w:r w:rsidRPr="007224C3">
              <w:rPr>
                <w:rFonts w:ascii="Times New Roman" w:hAnsi="Times New Roman"/>
                <w:color w:val="000000" w:themeColor="text1"/>
                <w:sz w:val="16"/>
                <w:szCs w:val="16"/>
                <w:vertAlign w:val="superscript"/>
              </w:rPr>
              <w:t>ХХ</w:t>
            </w:r>
            <w:r w:rsidRPr="007224C3">
              <w:rPr>
                <w:rFonts w:ascii="Times New Roman" w:hAnsi="Times New Roman"/>
                <w:color w:val="000000" w:themeColor="text1"/>
                <w:sz w:val="16"/>
                <w:szCs w:val="16"/>
              </w:rPr>
              <w:t>&gt;</w:t>
            </w:r>
          </w:p>
          <w:p w14:paraId="0101CF3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3D7604C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ок. 2,7</w:t>
            </w:r>
          </w:p>
          <w:p w14:paraId="73A33EA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58A7A6F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17,5</w:t>
            </w:r>
          </w:p>
          <w:p w14:paraId="32BC6BC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017E9CC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39,0</w:t>
            </w:r>
          </w:p>
          <w:p w14:paraId="7151A46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641D1E5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40,0</w:t>
            </w:r>
          </w:p>
          <w:p w14:paraId="4C22F9C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74D61EC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567114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D12A4FA" w14:textId="77777777">
        <w:trPr>
          <w:trHeight w:val="326"/>
        </w:trPr>
        <w:tc>
          <w:tcPr>
            <w:tcW w:w="3072" w:type="dxa"/>
            <w:tcBorders>
              <w:top w:val="single" w:sz="6" w:space="0" w:color="auto"/>
              <w:left w:val="single" w:sz="6" w:space="0" w:color="auto"/>
              <w:bottom w:val="single" w:sz="6" w:space="0" w:color="auto"/>
              <w:right w:val="single" w:sz="6" w:space="0" w:color="auto"/>
            </w:tcBorders>
          </w:tcPr>
          <w:p w14:paraId="2352CF8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Длина отката в мм</w:t>
            </w:r>
          </w:p>
          <w:p w14:paraId="3AEF338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059957B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300</w:t>
            </w:r>
          </w:p>
          <w:p w14:paraId="66C75A8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08E9C73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550</w:t>
            </w:r>
          </w:p>
          <w:p w14:paraId="0B8C435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1F009A4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850</w:t>
            </w:r>
          </w:p>
          <w:p w14:paraId="752B73A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1F01A48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850</w:t>
            </w:r>
          </w:p>
          <w:p w14:paraId="1D12232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5BDBE4B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750</w:t>
            </w:r>
          </w:p>
          <w:p w14:paraId="1DE20DE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043B62E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300</w:t>
            </w:r>
          </w:p>
          <w:p w14:paraId="754F176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7641CD8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850</w:t>
            </w:r>
          </w:p>
          <w:p w14:paraId="5577228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5674E84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850</w:t>
            </w:r>
          </w:p>
          <w:p w14:paraId="5DFF544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27508D3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предп. 530</w:t>
            </w:r>
          </w:p>
          <w:p w14:paraId="58457E7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768960A" w14:textId="77777777">
        <w:trPr>
          <w:trHeight w:val="643"/>
        </w:trPr>
        <w:tc>
          <w:tcPr>
            <w:tcW w:w="3072" w:type="dxa"/>
            <w:tcBorders>
              <w:top w:val="single" w:sz="6" w:space="0" w:color="auto"/>
              <w:left w:val="single" w:sz="6" w:space="0" w:color="auto"/>
              <w:bottom w:val="single" w:sz="6" w:space="0" w:color="auto"/>
              <w:right w:val="single" w:sz="6" w:space="0" w:color="auto"/>
            </w:tcBorders>
          </w:tcPr>
          <w:p w14:paraId="4F4FF8A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Бронепробиваемость в мм с дистан</w:t>
            </w:r>
            <w:r w:rsidRPr="007224C3">
              <w:rPr>
                <w:rFonts w:ascii="Times New Roman" w:hAnsi="Times New Roman"/>
                <w:color w:val="000000" w:themeColor="text1"/>
                <w:sz w:val="16"/>
                <w:szCs w:val="16"/>
              </w:rPr>
              <w:softHyphen/>
              <w:t>ции 1000 м при углах встречи снаряда с броней 60°/90°</w:t>
            </w:r>
          </w:p>
          <w:p w14:paraId="4A0376B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01ED0B1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82 102</w:t>
            </w:r>
          </w:p>
          <w:p w14:paraId="7DD034D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37873B9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121 149</w:t>
            </w:r>
          </w:p>
          <w:p w14:paraId="5A064F4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3F1CF3F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170 209</w:t>
            </w:r>
          </w:p>
          <w:p w14:paraId="54C8575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24CCAF0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120 209</w:t>
            </w:r>
          </w:p>
          <w:p w14:paraId="5B637F6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131A6BE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49 61</w:t>
            </w:r>
          </w:p>
          <w:p w14:paraId="77AB4C1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01923AB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w:t>
            </w:r>
          </w:p>
          <w:p w14:paraId="61E4233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102</w:t>
            </w:r>
          </w:p>
          <w:p w14:paraId="0828354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098F9AA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120 147</w:t>
            </w:r>
          </w:p>
          <w:p w14:paraId="652C368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6C33E42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101 124</w:t>
            </w:r>
          </w:p>
          <w:p w14:paraId="1DC49E9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1B04A20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121 148</w:t>
            </w:r>
          </w:p>
          <w:p w14:paraId="1BC9CA7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7250C59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Примечание: </w:t>
      </w:r>
      <w:r w:rsidRPr="007224C3">
        <w:rPr>
          <w:rFonts w:ascii="Times New Roman" w:hAnsi="Times New Roman"/>
          <w:color w:val="000000" w:themeColor="text1"/>
          <w:sz w:val="16"/>
          <w:szCs w:val="16"/>
          <w:vertAlign w:val="superscript"/>
        </w:rPr>
        <w:t>х</w:t>
      </w:r>
      <w:r w:rsidRPr="007224C3">
        <w:rPr>
          <w:rFonts w:ascii="Times New Roman" w:hAnsi="Times New Roman"/>
          <w:color w:val="000000" w:themeColor="text1"/>
          <w:sz w:val="16"/>
          <w:szCs w:val="16"/>
        </w:rPr>
        <w:t>' Снаряд / гильза</w:t>
      </w:r>
    </w:p>
    <w:p w14:paraId="1FB80D8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Предполагается, что дульный тормоз этой пушки будет поглощать до 70% энергии отката.</w:t>
      </w:r>
    </w:p>
    <w:p w14:paraId="72EC341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УСА ГБТУ КА генерал-майор инженерно-танковой службы Алымов</w:t>
      </w:r>
    </w:p>
    <w:p w14:paraId="6A96F85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3 отдела УСА ГБТУ КА инженер-полковник Ковалев</w:t>
      </w:r>
    </w:p>
    <w:p w14:paraId="3CC3405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38. Оп. 11369. Д. 490. Л. 80. Подлинник (11403).</w:t>
      </w:r>
    </w:p>
    <w:p w14:paraId="2987E55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D75A94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апреля 1944 г. были подготовлены ТАКТИКО-ТЕХНИЧЕСКИЕ ХАРАКТЕРИСТИКИ ОПЫТНЫХ И СЕРИЙНЫХ ТАНКОВЫХ ПУШЕК КРАСНОЙ АРМИИ</w:t>
      </w:r>
    </w:p>
    <w:p w14:paraId="05ECA40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Тактико-технические характеристики танковых пушек Красной Армии</w:t>
      </w:r>
    </w:p>
    <w:tbl>
      <w:tblPr>
        <w:tblW w:w="0" w:type="auto"/>
        <w:tblInd w:w="40" w:type="dxa"/>
        <w:tblLayout w:type="fixed"/>
        <w:tblCellMar>
          <w:left w:w="40" w:type="dxa"/>
          <w:right w:w="40" w:type="dxa"/>
        </w:tblCellMar>
        <w:tblLook w:val="0000" w:firstRow="0" w:lastRow="0" w:firstColumn="0" w:lastColumn="0" w:noHBand="0" w:noVBand="0"/>
      </w:tblPr>
      <w:tblGrid>
        <w:gridCol w:w="470"/>
        <w:gridCol w:w="4099"/>
        <w:gridCol w:w="1594"/>
        <w:gridCol w:w="1622"/>
        <w:gridCol w:w="1718"/>
      </w:tblGrid>
      <w:tr w:rsidR="005106D0" w:rsidRPr="007224C3" w14:paraId="04B892CA" w14:textId="77777777">
        <w:trPr>
          <w:trHeight w:val="346"/>
        </w:trPr>
        <w:tc>
          <w:tcPr>
            <w:tcW w:w="470" w:type="dxa"/>
            <w:tcBorders>
              <w:top w:val="single" w:sz="6" w:space="0" w:color="auto"/>
              <w:left w:val="single" w:sz="6" w:space="0" w:color="auto"/>
              <w:bottom w:val="single" w:sz="6" w:space="0" w:color="auto"/>
              <w:right w:val="single" w:sz="6" w:space="0" w:color="auto"/>
            </w:tcBorders>
          </w:tcPr>
          <w:p w14:paraId="625D44B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п/п</w:t>
            </w:r>
          </w:p>
          <w:p w14:paraId="2F22AFD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99" w:type="dxa"/>
            <w:tcBorders>
              <w:top w:val="single" w:sz="6" w:space="0" w:color="auto"/>
              <w:left w:val="single" w:sz="6" w:space="0" w:color="auto"/>
              <w:bottom w:val="single" w:sz="6" w:space="0" w:color="auto"/>
              <w:right w:val="single" w:sz="6" w:space="0" w:color="auto"/>
            </w:tcBorders>
          </w:tcPr>
          <w:p w14:paraId="60C1D41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Параметры</w:t>
            </w:r>
          </w:p>
          <w:p w14:paraId="06F2DE5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single" w:sz="6" w:space="0" w:color="auto"/>
              <w:left w:val="single" w:sz="6" w:space="0" w:color="auto"/>
              <w:bottom w:val="single" w:sz="6" w:space="0" w:color="auto"/>
              <w:right w:val="single" w:sz="6" w:space="0" w:color="auto"/>
            </w:tcBorders>
          </w:tcPr>
          <w:p w14:paraId="2E484A8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85-мм пушка ЗИС-С53 на Т-34</w:t>
            </w:r>
          </w:p>
          <w:p w14:paraId="265F18B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29442D3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122-мм пушка Д-25 на ИС-2</w:t>
            </w:r>
          </w:p>
          <w:p w14:paraId="3787D08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18" w:type="dxa"/>
            <w:tcBorders>
              <w:top w:val="single" w:sz="6" w:space="0" w:color="auto"/>
              <w:left w:val="single" w:sz="6" w:space="0" w:color="auto"/>
              <w:bottom w:val="single" w:sz="6" w:space="0" w:color="auto"/>
              <w:right w:val="single" w:sz="6" w:space="0" w:color="auto"/>
            </w:tcBorders>
          </w:tcPr>
          <w:p w14:paraId="7056B4C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100-мм пушка Д-1 ОТ (опытн. обр.) на ИС-2</w:t>
            </w:r>
          </w:p>
          <w:p w14:paraId="4963622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24E0765" w14:textId="77777777">
        <w:trPr>
          <w:trHeight w:val="202"/>
        </w:trPr>
        <w:tc>
          <w:tcPr>
            <w:tcW w:w="470" w:type="dxa"/>
            <w:tcBorders>
              <w:top w:val="single" w:sz="6" w:space="0" w:color="auto"/>
              <w:left w:val="single" w:sz="6" w:space="0" w:color="auto"/>
              <w:bottom w:val="single" w:sz="6" w:space="0" w:color="auto"/>
              <w:right w:val="single" w:sz="6" w:space="0" w:color="auto"/>
            </w:tcBorders>
          </w:tcPr>
          <w:p w14:paraId="37E3FA1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p w14:paraId="3FFE32B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99" w:type="dxa"/>
            <w:tcBorders>
              <w:top w:val="single" w:sz="6" w:space="0" w:color="auto"/>
              <w:left w:val="single" w:sz="6" w:space="0" w:color="auto"/>
              <w:bottom w:val="single" w:sz="6" w:space="0" w:color="auto"/>
              <w:right w:val="single" w:sz="6" w:space="0" w:color="auto"/>
            </w:tcBorders>
          </w:tcPr>
          <w:p w14:paraId="15ECD26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Начальная скорость бронеб. снаряда в м/с</w:t>
            </w:r>
          </w:p>
          <w:p w14:paraId="3950822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single" w:sz="6" w:space="0" w:color="auto"/>
              <w:left w:val="single" w:sz="6" w:space="0" w:color="auto"/>
              <w:bottom w:val="single" w:sz="6" w:space="0" w:color="auto"/>
              <w:right w:val="single" w:sz="6" w:space="0" w:color="auto"/>
            </w:tcBorders>
          </w:tcPr>
          <w:p w14:paraId="609EBA2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785</w:t>
            </w:r>
          </w:p>
          <w:p w14:paraId="4457969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6F3A3DA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790</w:t>
            </w:r>
          </w:p>
          <w:p w14:paraId="285C457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18" w:type="dxa"/>
            <w:tcBorders>
              <w:top w:val="single" w:sz="6" w:space="0" w:color="auto"/>
              <w:left w:val="single" w:sz="6" w:space="0" w:color="auto"/>
              <w:bottom w:val="single" w:sz="6" w:space="0" w:color="auto"/>
              <w:right w:val="single" w:sz="6" w:space="0" w:color="auto"/>
            </w:tcBorders>
          </w:tcPr>
          <w:p w14:paraId="76E12A8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900</w:t>
            </w:r>
          </w:p>
          <w:p w14:paraId="3728C65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4A88D59" w14:textId="77777777">
        <w:trPr>
          <w:trHeight w:val="192"/>
        </w:trPr>
        <w:tc>
          <w:tcPr>
            <w:tcW w:w="470" w:type="dxa"/>
            <w:tcBorders>
              <w:top w:val="single" w:sz="6" w:space="0" w:color="auto"/>
              <w:left w:val="single" w:sz="6" w:space="0" w:color="auto"/>
              <w:bottom w:val="single" w:sz="6" w:space="0" w:color="auto"/>
              <w:right w:val="single" w:sz="6" w:space="0" w:color="auto"/>
            </w:tcBorders>
          </w:tcPr>
          <w:p w14:paraId="767E76F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p w14:paraId="6CA6FAA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99" w:type="dxa"/>
            <w:tcBorders>
              <w:top w:val="single" w:sz="6" w:space="0" w:color="auto"/>
              <w:left w:val="single" w:sz="6" w:space="0" w:color="auto"/>
              <w:bottom w:val="single" w:sz="6" w:space="0" w:color="auto"/>
              <w:right w:val="single" w:sz="6" w:space="0" w:color="auto"/>
            </w:tcBorders>
          </w:tcPr>
          <w:p w14:paraId="5CEAF4E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Длина ствола в калибрах</w:t>
            </w:r>
          </w:p>
          <w:p w14:paraId="3CC1C46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single" w:sz="6" w:space="0" w:color="auto"/>
              <w:left w:val="single" w:sz="6" w:space="0" w:color="auto"/>
              <w:bottom w:val="single" w:sz="6" w:space="0" w:color="auto"/>
              <w:right w:val="single" w:sz="6" w:space="0" w:color="auto"/>
            </w:tcBorders>
          </w:tcPr>
          <w:p w14:paraId="709809F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55</w:t>
            </w:r>
          </w:p>
          <w:p w14:paraId="13C245A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1EF80A0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48,8</w:t>
            </w:r>
          </w:p>
          <w:p w14:paraId="2CA5F5B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18" w:type="dxa"/>
            <w:tcBorders>
              <w:top w:val="single" w:sz="6" w:space="0" w:color="auto"/>
              <w:left w:val="single" w:sz="6" w:space="0" w:color="auto"/>
              <w:bottom w:val="single" w:sz="6" w:space="0" w:color="auto"/>
              <w:right w:val="single" w:sz="6" w:space="0" w:color="auto"/>
            </w:tcBorders>
          </w:tcPr>
          <w:p w14:paraId="75CFCC9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56</w:t>
            </w:r>
          </w:p>
          <w:p w14:paraId="3FE87A4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854C33F" w14:textId="77777777">
        <w:trPr>
          <w:trHeight w:val="211"/>
        </w:trPr>
        <w:tc>
          <w:tcPr>
            <w:tcW w:w="470" w:type="dxa"/>
            <w:tcBorders>
              <w:top w:val="single" w:sz="6" w:space="0" w:color="auto"/>
              <w:left w:val="single" w:sz="6" w:space="0" w:color="auto"/>
              <w:bottom w:val="single" w:sz="6" w:space="0" w:color="auto"/>
              <w:right w:val="single" w:sz="6" w:space="0" w:color="auto"/>
            </w:tcBorders>
          </w:tcPr>
          <w:p w14:paraId="6143841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p w14:paraId="762E803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99" w:type="dxa"/>
            <w:tcBorders>
              <w:top w:val="single" w:sz="6" w:space="0" w:color="auto"/>
              <w:left w:val="single" w:sz="6" w:space="0" w:color="auto"/>
              <w:bottom w:val="single" w:sz="6" w:space="0" w:color="auto"/>
              <w:right w:val="single" w:sz="6" w:space="0" w:color="auto"/>
            </w:tcBorders>
          </w:tcPr>
          <w:p w14:paraId="70FA1B2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 бронебойного снаряда в кг</w:t>
            </w:r>
          </w:p>
          <w:p w14:paraId="45F1224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single" w:sz="6" w:space="0" w:color="auto"/>
              <w:left w:val="single" w:sz="6" w:space="0" w:color="auto"/>
              <w:bottom w:val="single" w:sz="6" w:space="0" w:color="auto"/>
              <w:right w:val="single" w:sz="6" w:space="0" w:color="auto"/>
            </w:tcBorders>
          </w:tcPr>
          <w:p w14:paraId="4EBBE52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9,2</w:t>
            </w:r>
          </w:p>
          <w:p w14:paraId="1953560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2D17EEE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25,2</w:t>
            </w:r>
          </w:p>
          <w:p w14:paraId="0A34319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18" w:type="dxa"/>
            <w:tcBorders>
              <w:top w:val="single" w:sz="6" w:space="0" w:color="auto"/>
              <w:left w:val="single" w:sz="6" w:space="0" w:color="auto"/>
              <w:bottom w:val="single" w:sz="6" w:space="0" w:color="auto"/>
              <w:right w:val="single" w:sz="6" w:space="0" w:color="auto"/>
            </w:tcBorders>
          </w:tcPr>
          <w:p w14:paraId="0F6021E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15,8</w:t>
            </w:r>
          </w:p>
          <w:p w14:paraId="7600D0B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63181B8" w14:textId="77777777">
        <w:trPr>
          <w:trHeight w:val="384"/>
        </w:trPr>
        <w:tc>
          <w:tcPr>
            <w:tcW w:w="470" w:type="dxa"/>
            <w:tcBorders>
              <w:top w:val="single" w:sz="6" w:space="0" w:color="auto"/>
              <w:left w:val="single" w:sz="6" w:space="0" w:color="auto"/>
              <w:bottom w:val="single" w:sz="6" w:space="0" w:color="auto"/>
              <w:right w:val="single" w:sz="6" w:space="0" w:color="auto"/>
            </w:tcBorders>
          </w:tcPr>
          <w:p w14:paraId="06D3009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w:t>
            </w:r>
          </w:p>
          <w:p w14:paraId="67CB276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99" w:type="dxa"/>
            <w:tcBorders>
              <w:top w:val="single" w:sz="6" w:space="0" w:color="auto"/>
              <w:left w:val="single" w:sz="6" w:space="0" w:color="auto"/>
              <w:bottom w:val="single" w:sz="6" w:space="0" w:color="auto"/>
              <w:right w:val="single" w:sz="6" w:space="0" w:color="auto"/>
            </w:tcBorders>
          </w:tcPr>
          <w:p w14:paraId="77B3863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Длина унитарного патрона в мм</w:t>
            </w:r>
          </w:p>
          <w:p w14:paraId="3D31BA9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single" w:sz="6" w:space="0" w:color="auto"/>
              <w:left w:val="single" w:sz="6" w:space="0" w:color="auto"/>
              <w:bottom w:val="single" w:sz="6" w:space="0" w:color="auto"/>
              <w:right w:val="single" w:sz="6" w:space="0" w:color="auto"/>
            </w:tcBorders>
          </w:tcPr>
          <w:p w14:paraId="37D0D49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945</w:t>
            </w:r>
          </w:p>
          <w:p w14:paraId="6179014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7A3382E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Раздельн. заряж. 427 / 780 *)</w:t>
            </w:r>
          </w:p>
          <w:p w14:paraId="2532680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18" w:type="dxa"/>
            <w:tcBorders>
              <w:top w:val="single" w:sz="6" w:space="0" w:color="auto"/>
              <w:left w:val="single" w:sz="6" w:space="0" w:color="auto"/>
              <w:bottom w:val="single" w:sz="6" w:space="0" w:color="auto"/>
              <w:right w:val="single" w:sz="6" w:space="0" w:color="auto"/>
            </w:tcBorders>
          </w:tcPr>
          <w:p w14:paraId="19CED68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1050</w:t>
            </w:r>
          </w:p>
          <w:p w14:paraId="2F07B82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2FC881E" w14:textId="77777777">
        <w:trPr>
          <w:trHeight w:val="230"/>
        </w:trPr>
        <w:tc>
          <w:tcPr>
            <w:tcW w:w="470" w:type="dxa"/>
            <w:tcBorders>
              <w:top w:val="single" w:sz="6" w:space="0" w:color="auto"/>
              <w:left w:val="single" w:sz="6" w:space="0" w:color="auto"/>
              <w:bottom w:val="single" w:sz="6" w:space="0" w:color="auto"/>
              <w:right w:val="single" w:sz="6" w:space="0" w:color="auto"/>
            </w:tcBorders>
          </w:tcPr>
          <w:p w14:paraId="444A54D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p w14:paraId="72A5DCF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99" w:type="dxa"/>
            <w:tcBorders>
              <w:top w:val="single" w:sz="6" w:space="0" w:color="auto"/>
              <w:left w:val="single" w:sz="6" w:space="0" w:color="auto"/>
              <w:bottom w:val="single" w:sz="6" w:space="0" w:color="auto"/>
              <w:right w:val="single" w:sz="6" w:space="0" w:color="auto"/>
            </w:tcBorders>
          </w:tcPr>
          <w:p w14:paraId="601B3BF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 выстрела в кг</w:t>
            </w:r>
          </w:p>
          <w:p w14:paraId="0FD9126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single" w:sz="6" w:space="0" w:color="auto"/>
              <w:left w:val="single" w:sz="6" w:space="0" w:color="auto"/>
              <w:bottom w:val="single" w:sz="6" w:space="0" w:color="auto"/>
              <w:right w:val="single" w:sz="6" w:space="0" w:color="auto"/>
            </w:tcBorders>
          </w:tcPr>
          <w:p w14:paraId="15A2F94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w:t>
            </w:r>
          </w:p>
          <w:p w14:paraId="284274D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1889E1C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40,6</w:t>
            </w:r>
          </w:p>
          <w:p w14:paraId="7CA68E0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18" w:type="dxa"/>
            <w:tcBorders>
              <w:top w:val="single" w:sz="6" w:space="0" w:color="auto"/>
              <w:left w:val="single" w:sz="6" w:space="0" w:color="auto"/>
              <w:bottom w:val="single" w:sz="6" w:space="0" w:color="auto"/>
              <w:right w:val="single" w:sz="6" w:space="0" w:color="auto"/>
            </w:tcBorders>
          </w:tcPr>
          <w:p w14:paraId="1CA4092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30,3</w:t>
            </w:r>
          </w:p>
          <w:p w14:paraId="5C00BA6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112F340" w14:textId="77777777">
        <w:trPr>
          <w:trHeight w:val="269"/>
        </w:trPr>
        <w:tc>
          <w:tcPr>
            <w:tcW w:w="470" w:type="dxa"/>
            <w:tcBorders>
              <w:top w:val="single" w:sz="6" w:space="0" w:color="auto"/>
              <w:left w:val="single" w:sz="6" w:space="0" w:color="auto"/>
              <w:bottom w:val="single" w:sz="6" w:space="0" w:color="auto"/>
              <w:right w:val="single" w:sz="6" w:space="0" w:color="auto"/>
            </w:tcBorders>
          </w:tcPr>
          <w:p w14:paraId="4CFEBA4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w:t>
            </w:r>
          </w:p>
          <w:p w14:paraId="633DAF7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99" w:type="dxa"/>
            <w:tcBorders>
              <w:top w:val="single" w:sz="6" w:space="0" w:color="auto"/>
              <w:left w:val="single" w:sz="6" w:space="0" w:color="auto"/>
              <w:bottom w:val="single" w:sz="6" w:space="0" w:color="auto"/>
              <w:right w:val="single" w:sz="6" w:space="0" w:color="auto"/>
            </w:tcBorders>
          </w:tcPr>
          <w:p w14:paraId="5080D7A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Дульная энергия в т.м</w:t>
            </w:r>
          </w:p>
          <w:p w14:paraId="79DEB5D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single" w:sz="6" w:space="0" w:color="auto"/>
              <w:left w:val="single" w:sz="6" w:space="0" w:color="auto"/>
              <w:bottom w:val="single" w:sz="6" w:space="0" w:color="auto"/>
              <w:right w:val="single" w:sz="6" w:space="0" w:color="auto"/>
            </w:tcBorders>
          </w:tcPr>
          <w:p w14:paraId="6FF35A4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300</w:t>
            </w:r>
          </w:p>
          <w:p w14:paraId="65DAB61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1288BD5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800</w:t>
            </w:r>
          </w:p>
          <w:p w14:paraId="22D5824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18" w:type="dxa"/>
            <w:tcBorders>
              <w:top w:val="single" w:sz="6" w:space="0" w:color="auto"/>
              <w:left w:val="single" w:sz="6" w:space="0" w:color="auto"/>
              <w:bottom w:val="single" w:sz="6" w:space="0" w:color="auto"/>
              <w:right w:val="single" w:sz="6" w:space="0" w:color="auto"/>
            </w:tcBorders>
          </w:tcPr>
          <w:p w14:paraId="73F3FAC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639</w:t>
            </w:r>
          </w:p>
          <w:p w14:paraId="71E81FA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E10E169" w14:textId="77777777">
        <w:trPr>
          <w:trHeight w:val="307"/>
        </w:trPr>
        <w:tc>
          <w:tcPr>
            <w:tcW w:w="470" w:type="dxa"/>
            <w:tcBorders>
              <w:top w:val="single" w:sz="6" w:space="0" w:color="auto"/>
              <w:left w:val="single" w:sz="6" w:space="0" w:color="auto"/>
              <w:bottom w:val="single" w:sz="6" w:space="0" w:color="auto"/>
              <w:right w:val="single" w:sz="6" w:space="0" w:color="auto"/>
            </w:tcBorders>
          </w:tcPr>
          <w:p w14:paraId="7F0AD74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w:t>
            </w:r>
          </w:p>
          <w:p w14:paraId="5DF0E64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99" w:type="dxa"/>
            <w:tcBorders>
              <w:top w:val="single" w:sz="6" w:space="0" w:color="auto"/>
              <w:left w:val="single" w:sz="6" w:space="0" w:color="auto"/>
              <w:bottom w:val="single" w:sz="6" w:space="0" w:color="auto"/>
              <w:right w:val="single" w:sz="6" w:space="0" w:color="auto"/>
            </w:tcBorders>
          </w:tcPr>
          <w:p w14:paraId="7DC0046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 качающейся части с бронировкой в кг</w:t>
            </w:r>
          </w:p>
          <w:p w14:paraId="4A756A2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single" w:sz="6" w:space="0" w:color="auto"/>
              <w:left w:val="single" w:sz="6" w:space="0" w:color="auto"/>
              <w:bottom w:val="single" w:sz="6" w:space="0" w:color="auto"/>
              <w:right w:val="single" w:sz="6" w:space="0" w:color="auto"/>
            </w:tcBorders>
          </w:tcPr>
          <w:p w14:paraId="15768E3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ок. 1350</w:t>
            </w:r>
          </w:p>
          <w:p w14:paraId="003AE6B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6EB0E0C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2880</w:t>
            </w:r>
          </w:p>
          <w:p w14:paraId="12AD03C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18" w:type="dxa"/>
            <w:tcBorders>
              <w:top w:val="single" w:sz="6" w:space="0" w:color="auto"/>
              <w:left w:val="single" w:sz="6" w:space="0" w:color="auto"/>
              <w:bottom w:val="single" w:sz="6" w:space="0" w:color="auto"/>
              <w:right w:val="single" w:sz="6" w:space="0" w:color="auto"/>
            </w:tcBorders>
          </w:tcPr>
          <w:p w14:paraId="127688F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ок. 2260</w:t>
            </w:r>
          </w:p>
          <w:p w14:paraId="6872256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57180DE" w14:textId="77777777">
        <w:trPr>
          <w:trHeight w:val="269"/>
        </w:trPr>
        <w:tc>
          <w:tcPr>
            <w:tcW w:w="470" w:type="dxa"/>
            <w:tcBorders>
              <w:top w:val="single" w:sz="6" w:space="0" w:color="auto"/>
              <w:left w:val="single" w:sz="6" w:space="0" w:color="auto"/>
              <w:bottom w:val="single" w:sz="6" w:space="0" w:color="auto"/>
              <w:right w:val="single" w:sz="6" w:space="0" w:color="auto"/>
            </w:tcBorders>
          </w:tcPr>
          <w:p w14:paraId="68A47DE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w:t>
            </w:r>
          </w:p>
          <w:p w14:paraId="097F751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99" w:type="dxa"/>
            <w:tcBorders>
              <w:top w:val="single" w:sz="6" w:space="0" w:color="auto"/>
              <w:left w:val="single" w:sz="6" w:space="0" w:color="auto"/>
              <w:bottom w:val="single" w:sz="6" w:space="0" w:color="auto"/>
              <w:right w:val="single" w:sz="6" w:space="0" w:color="auto"/>
            </w:tcBorders>
          </w:tcPr>
          <w:p w14:paraId="79BCC41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Наибольшее сопротивление откату в тоннах</w:t>
            </w:r>
          </w:p>
          <w:p w14:paraId="59BB3EB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single" w:sz="6" w:space="0" w:color="auto"/>
              <w:left w:val="single" w:sz="6" w:space="0" w:color="auto"/>
              <w:bottom w:val="single" w:sz="6" w:space="0" w:color="auto"/>
              <w:right w:val="single" w:sz="6" w:space="0" w:color="auto"/>
            </w:tcBorders>
          </w:tcPr>
          <w:p w14:paraId="7F6180F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23,9</w:t>
            </w:r>
          </w:p>
          <w:p w14:paraId="5A9C799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3FF0654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39,0</w:t>
            </w:r>
          </w:p>
          <w:p w14:paraId="04691D3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18" w:type="dxa"/>
            <w:tcBorders>
              <w:top w:val="single" w:sz="6" w:space="0" w:color="auto"/>
              <w:left w:val="single" w:sz="6" w:space="0" w:color="auto"/>
              <w:bottom w:val="single" w:sz="6" w:space="0" w:color="auto"/>
              <w:right w:val="single" w:sz="6" w:space="0" w:color="auto"/>
            </w:tcBorders>
          </w:tcPr>
          <w:p w14:paraId="4F92C66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ок. 24,0</w:t>
            </w:r>
          </w:p>
          <w:p w14:paraId="4CD3690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F31AFFE" w14:textId="77777777">
        <w:trPr>
          <w:trHeight w:val="192"/>
        </w:trPr>
        <w:tc>
          <w:tcPr>
            <w:tcW w:w="470" w:type="dxa"/>
            <w:tcBorders>
              <w:top w:val="single" w:sz="6" w:space="0" w:color="auto"/>
              <w:left w:val="single" w:sz="6" w:space="0" w:color="auto"/>
              <w:bottom w:val="single" w:sz="6" w:space="0" w:color="auto"/>
              <w:right w:val="single" w:sz="6" w:space="0" w:color="auto"/>
            </w:tcBorders>
          </w:tcPr>
          <w:p w14:paraId="4E69B57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w:t>
            </w:r>
          </w:p>
          <w:p w14:paraId="48646B6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99" w:type="dxa"/>
            <w:tcBorders>
              <w:top w:val="single" w:sz="6" w:space="0" w:color="auto"/>
              <w:left w:val="single" w:sz="6" w:space="0" w:color="auto"/>
              <w:bottom w:val="single" w:sz="6" w:space="0" w:color="auto"/>
              <w:right w:val="single" w:sz="6" w:space="0" w:color="auto"/>
            </w:tcBorders>
          </w:tcPr>
          <w:p w14:paraId="4F78427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Длина отката в мм</w:t>
            </w:r>
          </w:p>
          <w:p w14:paraId="539A2A4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single" w:sz="6" w:space="0" w:color="auto"/>
              <w:left w:val="single" w:sz="6" w:space="0" w:color="auto"/>
              <w:bottom w:val="single" w:sz="6" w:space="0" w:color="auto"/>
              <w:right w:val="single" w:sz="6" w:space="0" w:color="auto"/>
            </w:tcBorders>
          </w:tcPr>
          <w:p w14:paraId="5C55440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300</w:t>
            </w:r>
          </w:p>
          <w:p w14:paraId="4E1FB70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31BC81D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550</w:t>
            </w:r>
          </w:p>
          <w:p w14:paraId="27CF200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18" w:type="dxa"/>
            <w:tcBorders>
              <w:top w:val="single" w:sz="6" w:space="0" w:color="auto"/>
              <w:left w:val="single" w:sz="6" w:space="0" w:color="auto"/>
              <w:bottom w:val="single" w:sz="6" w:space="0" w:color="auto"/>
              <w:right w:val="single" w:sz="6" w:space="0" w:color="auto"/>
            </w:tcBorders>
          </w:tcPr>
          <w:p w14:paraId="500D7CF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550</w:t>
            </w:r>
          </w:p>
          <w:p w14:paraId="308025A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E1599C2" w14:textId="77777777">
        <w:trPr>
          <w:trHeight w:val="413"/>
        </w:trPr>
        <w:tc>
          <w:tcPr>
            <w:tcW w:w="470" w:type="dxa"/>
            <w:tcBorders>
              <w:top w:val="single" w:sz="6" w:space="0" w:color="auto"/>
              <w:left w:val="single" w:sz="6" w:space="0" w:color="auto"/>
              <w:bottom w:val="single" w:sz="6" w:space="0" w:color="auto"/>
              <w:right w:val="single" w:sz="6" w:space="0" w:color="auto"/>
            </w:tcBorders>
          </w:tcPr>
          <w:p w14:paraId="703976D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w:t>
            </w:r>
          </w:p>
          <w:p w14:paraId="67901E1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99" w:type="dxa"/>
            <w:tcBorders>
              <w:top w:val="single" w:sz="6" w:space="0" w:color="auto"/>
              <w:left w:val="single" w:sz="6" w:space="0" w:color="auto"/>
              <w:bottom w:val="single" w:sz="6" w:space="0" w:color="auto"/>
              <w:right w:val="single" w:sz="6" w:space="0" w:color="auto"/>
            </w:tcBorders>
          </w:tcPr>
          <w:p w14:paraId="1EDE72F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Толщина брони в мм пробиваемая с дистанции 1000 м при углах встречи снаряда с броней 60°/90°</w:t>
            </w:r>
          </w:p>
          <w:p w14:paraId="56EDC3E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single" w:sz="6" w:space="0" w:color="auto"/>
              <w:left w:val="single" w:sz="6" w:space="0" w:color="auto"/>
              <w:bottom w:val="single" w:sz="6" w:space="0" w:color="auto"/>
              <w:right w:val="single" w:sz="6" w:space="0" w:color="auto"/>
            </w:tcBorders>
          </w:tcPr>
          <w:p w14:paraId="7A80472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83/102</w:t>
            </w:r>
          </w:p>
          <w:p w14:paraId="2636C11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1D9B71D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120/147</w:t>
            </w:r>
          </w:p>
          <w:p w14:paraId="6F6B2C0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18" w:type="dxa"/>
            <w:tcBorders>
              <w:top w:val="single" w:sz="6" w:space="0" w:color="auto"/>
              <w:left w:val="single" w:sz="6" w:space="0" w:color="auto"/>
              <w:bottom w:val="single" w:sz="6" w:space="0" w:color="auto"/>
              <w:right w:val="single" w:sz="6" w:space="0" w:color="auto"/>
            </w:tcBorders>
          </w:tcPr>
          <w:p w14:paraId="7D8604F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121/149</w:t>
            </w:r>
          </w:p>
          <w:p w14:paraId="1978E5D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DB8739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Примечание: </w:t>
      </w:r>
      <w:r w:rsidRPr="007224C3">
        <w:rPr>
          <w:rFonts w:ascii="Times New Roman" w:hAnsi="Times New Roman"/>
          <w:color w:val="000000" w:themeColor="text1"/>
          <w:sz w:val="16"/>
          <w:szCs w:val="16"/>
          <w:vertAlign w:val="superscript"/>
        </w:rPr>
        <w:t>х)</w:t>
      </w:r>
      <w:r w:rsidRPr="007224C3">
        <w:rPr>
          <w:rFonts w:ascii="Times New Roman" w:hAnsi="Times New Roman"/>
          <w:color w:val="000000" w:themeColor="text1"/>
          <w:sz w:val="16"/>
          <w:szCs w:val="16"/>
        </w:rPr>
        <w:t xml:space="preserve"> длина снаряда / длина гильзы</w:t>
      </w:r>
    </w:p>
    <w:p w14:paraId="1837C9C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УСА ГБТУ КА генерал-майор инженерно-танковой службы Алымов</w:t>
      </w:r>
    </w:p>
    <w:p w14:paraId="2F44307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3 отдела УСА ГБТУ КА инженер-полковник Ковалев</w:t>
      </w:r>
    </w:p>
    <w:p w14:paraId="6604B51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Тактико-технические характеристики опытных образцов 100, 122 и 130-мм пушек</w:t>
      </w:r>
    </w:p>
    <w:p w14:paraId="5DA3844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конструкции ЦАКБ</w:t>
      </w:r>
    </w:p>
    <w:tbl>
      <w:tblPr>
        <w:tblW w:w="0" w:type="auto"/>
        <w:tblInd w:w="40" w:type="dxa"/>
        <w:tblLayout w:type="fixed"/>
        <w:tblCellMar>
          <w:left w:w="40" w:type="dxa"/>
          <w:right w:w="40" w:type="dxa"/>
        </w:tblCellMar>
        <w:tblLook w:val="0000" w:firstRow="0" w:lastRow="0" w:firstColumn="0" w:lastColumn="0" w:noHBand="0" w:noVBand="0"/>
      </w:tblPr>
      <w:tblGrid>
        <w:gridCol w:w="470"/>
        <w:gridCol w:w="4080"/>
        <w:gridCol w:w="1738"/>
        <w:gridCol w:w="1747"/>
        <w:gridCol w:w="1584"/>
      </w:tblGrid>
      <w:tr w:rsidR="005106D0" w:rsidRPr="007224C3" w14:paraId="76BB7C2E" w14:textId="77777777">
        <w:trPr>
          <w:trHeight w:val="355"/>
        </w:trPr>
        <w:tc>
          <w:tcPr>
            <w:tcW w:w="470" w:type="dxa"/>
            <w:tcBorders>
              <w:top w:val="single" w:sz="6" w:space="0" w:color="auto"/>
              <w:left w:val="single" w:sz="6" w:space="0" w:color="auto"/>
              <w:bottom w:val="single" w:sz="6" w:space="0" w:color="auto"/>
              <w:right w:val="single" w:sz="6" w:space="0" w:color="auto"/>
            </w:tcBorders>
          </w:tcPr>
          <w:p w14:paraId="6517551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п/п</w:t>
            </w:r>
          </w:p>
          <w:p w14:paraId="4B291CE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80" w:type="dxa"/>
            <w:tcBorders>
              <w:top w:val="single" w:sz="6" w:space="0" w:color="auto"/>
              <w:left w:val="single" w:sz="6" w:space="0" w:color="auto"/>
              <w:bottom w:val="single" w:sz="6" w:space="0" w:color="auto"/>
              <w:right w:val="single" w:sz="6" w:space="0" w:color="auto"/>
            </w:tcBorders>
          </w:tcPr>
          <w:p w14:paraId="03462B2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Параметры</w:t>
            </w:r>
          </w:p>
          <w:p w14:paraId="35F12B5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0019663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00 мм пушка С-34 (в танке)</w:t>
            </w:r>
          </w:p>
          <w:p w14:paraId="6973AEF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47" w:type="dxa"/>
            <w:tcBorders>
              <w:top w:val="single" w:sz="6" w:space="0" w:color="auto"/>
              <w:left w:val="single" w:sz="6" w:space="0" w:color="auto"/>
              <w:bottom w:val="single" w:sz="6" w:space="0" w:color="auto"/>
              <w:right w:val="single" w:sz="6" w:space="0" w:color="auto"/>
            </w:tcBorders>
          </w:tcPr>
          <w:p w14:paraId="160B0E4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122 мм пушка С-26-1 (в СУ)</w:t>
            </w:r>
          </w:p>
          <w:p w14:paraId="41304A4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84" w:type="dxa"/>
            <w:tcBorders>
              <w:top w:val="single" w:sz="6" w:space="0" w:color="auto"/>
              <w:left w:val="single" w:sz="6" w:space="0" w:color="auto"/>
              <w:bottom w:val="single" w:sz="6" w:space="0" w:color="auto"/>
              <w:right w:val="single" w:sz="6" w:space="0" w:color="auto"/>
            </w:tcBorders>
          </w:tcPr>
          <w:p w14:paraId="749F843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130 мм пушка С-26 (в СУ)</w:t>
            </w:r>
          </w:p>
          <w:p w14:paraId="26A0828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F4AE135" w14:textId="77777777">
        <w:trPr>
          <w:trHeight w:val="192"/>
        </w:trPr>
        <w:tc>
          <w:tcPr>
            <w:tcW w:w="470" w:type="dxa"/>
            <w:tcBorders>
              <w:top w:val="single" w:sz="6" w:space="0" w:color="auto"/>
              <w:left w:val="single" w:sz="6" w:space="0" w:color="auto"/>
              <w:bottom w:val="single" w:sz="6" w:space="0" w:color="auto"/>
              <w:right w:val="single" w:sz="6" w:space="0" w:color="auto"/>
            </w:tcBorders>
          </w:tcPr>
          <w:p w14:paraId="1197F17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p w14:paraId="0D1631E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80" w:type="dxa"/>
            <w:tcBorders>
              <w:top w:val="single" w:sz="6" w:space="0" w:color="auto"/>
              <w:left w:val="single" w:sz="6" w:space="0" w:color="auto"/>
              <w:bottom w:val="single" w:sz="6" w:space="0" w:color="auto"/>
              <w:right w:val="single" w:sz="6" w:space="0" w:color="auto"/>
            </w:tcBorders>
          </w:tcPr>
          <w:p w14:paraId="27861B9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Начальная скорость бронебойного снаряда в м/с</w:t>
            </w:r>
          </w:p>
          <w:p w14:paraId="5EDCC55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568CA7B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900</w:t>
            </w:r>
          </w:p>
          <w:p w14:paraId="6D0B58B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47" w:type="dxa"/>
            <w:tcBorders>
              <w:top w:val="single" w:sz="6" w:space="0" w:color="auto"/>
              <w:left w:val="single" w:sz="6" w:space="0" w:color="auto"/>
              <w:bottom w:val="single" w:sz="6" w:space="0" w:color="auto"/>
              <w:right w:val="single" w:sz="6" w:space="0" w:color="auto"/>
            </w:tcBorders>
          </w:tcPr>
          <w:p w14:paraId="675775F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1000</w:t>
            </w:r>
          </w:p>
          <w:p w14:paraId="2156618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84" w:type="dxa"/>
            <w:tcBorders>
              <w:top w:val="single" w:sz="6" w:space="0" w:color="auto"/>
              <w:left w:val="single" w:sz="6" w:space="0" w:color="auto"/>
              <w:bottom w:val="single" w:sz="6" w:space="0" w:color="auto"/>
              <w:right w:val="single" w:sz="6" w:space="0" w:color="auto"/>
            </w:tcBorders>
          </w:tcPr>
          <w:p w14:paraId="09E819C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900</w:t>
            </w:r>
          </w:p>
          <w:p w14:paraId="28311DA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1E2BF4D" w14:textId="77777777">
        <w:trPr>
          <w:trHeight w:val="192"/>
        </w:trPr>
        <w:tc>
          <w:tcPr>
            <w:tcW w:w="470" w:type="dxa"/>
            <w:tcBorders>
              <w:top w:val="single" w:sz="6" w:space="0" w:color="auto"/>
              <w:left w:val="single" w:sz="6" w:space="0" w:color="auto"/>
              <w:bottom w:val="single" w:sz="6" w:space="0" w:color="auto"/>
              <w:right w:val="single" w:sz="6" w:space="0" w:color="auto"/>
            </w:tcBorders>
          </w:tcPr>
          <w:p w14:paraId="76AEBD2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p w14:paraId="289AF6E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80" w:type="dxa"/>
            <w:tcBorders>
              <w:top w:val="single" w:sz="6" w:space="0" w:color="auto"/>
              <w:left w:val="single" w:sz="6" w:space="0" w:color="auto"/>
              <w:bottom w:val="single" w:sz="6" w:space="0" w:color="auto"/>
              <w:right w:val="single" w:sz="6" w:space="0" w:color="auto"/>
            </w:tcBorders>
          </w:tcPr>
          <w:p w14:paraId="5BFEDA4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Длина ствола в калибрах</w:t>
            </w:r>
          </w:p>
          <w:p w14:paraId="5B07BD6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52F96DA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56</w:t>
            </w:r>
          </w:p>
          <w:p w14:paraId="45EFC48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47" w:type="dxa"/>
            <w:tcBorders>
              <w:top w:val="single" w:sz="6" w:space="0" w:color="auto"/>
              <w:left w:val="single" w:sz="6" w:space="0" w:color="auto"/>
              <w:bottom w:val="single" w:sz="6" w:space="0" w:color="auto"/>
              <w:right w:val="single" w:sz="6" w:space="0" w:color="auto"/>
            </w:tcBorders>
          </w:tcPr>
          <w:p w14:paraId="1A545A3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58</w:t>
            </w:r>
          </w:p>
          <w:p w14:paraId="3115FFF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84" w:type="dxa"/>
            <w:tcBorders>
              <w:top w:val="single" w:sz="6" w:space="0" w:color="auto"/>
              <w:left w:val="single" w:sz="6" w:space="0" w:color="auto"/>
              <w:bottom w:val="single" w:sz="6" w:space="0" w:color="auto"/>
              <w:right w:val="single" w:sz="6" w:space="0" w:color="auto"/>
            </w:tcBorders>
          </w:tcPr>
          <w:p w14:paraId="340A917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53,9</w:t>
            </w:r>
          </w:p>
          <w:p w14:paraId="147B1BB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5EF15AF" w14:textId="77777777">
        <w:trPr>
          <w:trHeight w:val="202"/>
        </w:trPr>
        <w:tc>
          <w:tcPr>
            <w:tcW w:w="470" w:type="dxa"/>
            <w:tcBorders>
              <w:top w:val="single" w:sz="6" w:space="0" w:color="auto"/>
              <w:left w:val="single" w:sz="6" w:space="0" w:color="auto"/>
              <w:bottom w:val="single" w:sz="6" w:space="0" w:color="auto"/>
              <w:right w:val="single" w:sz="6" w:space="0" w:color="auto"/>
            </w:tcBorders>
          </w:tcPr>
          <w:p w14:paraId="02D1D0E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p w14:paraId="4648F9C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80" w:type="dxa"/>
            <w:tcBorders>
              <w:top w:val="single" w:sz="6" w:space="0" w:color="auto"/>
              <w:left w:val="single" w:sz="6" w:space="0" w:color="auto"/>
              <w:bottom w:val="single" w:sz="6" w:space="0" w:color="auto"/>
              <w:right w:val="single" w:sz="6" w:space="0" w:color="auto"/>
            </w:tcBorders>
          </w:tcPr>
          <w:p w14:paraId="78A30D6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 бронебойного снаряда в кг</w:t>
            </w:r>
          </w:p>
          <w:p w14:paraId="2247000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18D959C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15,8</w:t>
            </w:r>
          </w:p>
          <w:p w14:paraId="6555C81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47" w:type="dxa"/>
            <w:tcBorders>
              <w:top w:val="single" w:sz="6" w:space="0" w:color="auto"/>
              <w:left w:val="single" w:sz="6" w:space="0" w:color="auto"/>
              <w:bottom w:val="single" w:sz="6" w:space="0" w:color="auto"/>
              <w:right w:val="single" w:sz="6" w:space="0" w:color="auto"/>
            </w:tcBorders>
          </w:tcPr>
          <w:p w14:paraId="26EAC97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25,2</w:t>
            </w:r>
          </w:p>
          <w:p w14:paraId="183EC3C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84" w:type="dxa"/>
            <w:tcBorders>
              <w:top w:val="single" w:sz="6" w:space="0" w:color="auto"/>
              <w:left w:val="single" w:sz="6" w:space="0" w:color="auto"/>
              <w:bottom w:val="single" w:sz="6" w:space="0" w:color="auto"/>
              <w:right w:val="single" w:sz="6" w:space="0" w:color="auto"/>
            </w:tcBorders>
          </w:tcPr>
          <w:p w14:paraId="3AE966F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33,5</w:t>
            </w:r>
          </w:p>
          <w:p w14:paraId="271FB1A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3D55298" w14:textId="77777777">
        <w:trPr>
          <w:trHeight w:val="192"/>
        </w:trPr>
        <w:tc>
          <w:tcPr>
            <w:tcW w:w="470" w:type="dxa"/>
            <w:tcBorders>
              <w:top w:val="single" w:sz="6" w:space="0" w:color="auto"/>
              <w:left w:val="single" w:sz="6" w:space="0" w:color="auto"/>
              <w:bottom w:val="single" w:sz="6" w:space="0" w:color="auto"/>
              <w:right w:val="single" w:sz="6" w:space="0" w:color="auto"/>
            </w:tcBorders>
          </w:tcPr>
          <w:p w14:paraId="401F8F0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w:t>
            </w:r>
          </w:p>
          <w:p w14:paraId="15BEB8B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80" w:type="dxa"/>
            <w:tcBorders>
              <w:top w:val="single" w:sz="6" w:space="0" w:color="auto"/>
              <w:left w:val="single" w:sz="6" w:space="0" w:color="auto"/>
              <w:bottom w:val="single" w:sz="6" w:space="0" w:color="auto"/>
              <w:right w:val="single" w:sz="6" w:space="0" w:color="auto"/>
            </w:tcBorders>
          </w:tcPr>
          <w:p w14:paraId="50C10EA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Длина унитарного патрона в мм</w:t>
            </w:r>
          </w:p>
          <w:p w14:paraId="195C3C7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0289721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1050</w:t>
            </w:r>
          </w:p>
          <w:p w14:paraId="6DEB68D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47" w:type="dxa"/>
            <w:tcBorders>
              <w:top w:val="single" w:sz="6" w:space="0" w:color="auto"/>
              <w:left w:val="single" w:sz="6" w:space="0" w:color="auto"/>
              <w:bottom w:val="single" w:sz="6" w:space="0" w:color="auto"/>
              <w:right w:val="single" w:sz="6" w:space="0" w:color="auto"/>
            </w:tcBorders>
          </w:tcPr>
          <w:p w14:paraId="7B21398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Разд. </w:t>
            </w:r>
            <w:r w:rsidRPr="007224C3">
              <w:rPr>
                <w:rFonts w:ascii="Times New Roman" w:hAnsi="Times New Roman"/>
                <w:color w:val="000000" w:themeColor="text1"/>
                <w:sz w:val="16"/>
                <w:szCs w:val="16"/>
                <w:vertAlign w:val="superscript"/>
              </w:rPr>
              <w:t>х</w:t>
            </w:r>
            <w:r w:rsidRPr="007224C3">
              <w:rPr>
                <w:rFonts w:ascii="Times New Roman" w:hAnsi="Times New Roman"/>
                <w:color w:val="000000" w:themeColor="text1"/>
                <w:sz w:val="16"/>
                <w:szCs w:val="16"/>
              </w:rPr>
              <w:t>&gt;</w:t>
            </w:r>
          </w:p>
          <w:p w14:paraId="44A8B68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84" w:type="dxa"/>
            <w:tcBorders>
              <w:top w:val="single" w:sz="6" w:space="0" w:color="auto"/>
              <w:left w:val="single" w:sz="6" w:space="0" w:color="auto"/>
              <w:bottom w:val="single" w:sz="6" w:space="0" w:color="auto"/>
              <w:right w:val="single" w:sz="6" w:space="0" w:color="auto"/>
            </w:tcBorders>
          </w:tcPr>
          <w:p w14:paraId="1770163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Разд. </w:t>
            </w:r>
            <w:r w:rsidRPr="007224C3">
              <w:rPr>
                <w:rFonts w:ascii="Times New Roman" w:hAnsi="Times New Roman"/>
                <w:color w:val="000000" w:themeColor="text1"/>
                <w:sz w:val="16"/>
                <w:szCs w:val="16"/>
                <w:vertAlign w:val="superscript"/>
              </w:rPr>
              <w:t>х</w:t>
            </w:r>
            <w:r w:rsidRPr="007224C3">
              <w:rPr>
                <w:rFonts w:ascii="Times New Roman" w:hAnsi="Times New Roman"/>
                <w:color w:val="000000" w:themeColor="text1"/>
                <w:sz w:val="16"/>
                <w:szCs w:val="16"/>
              </w:rPr>
              <w:t>&gt;</w:t>
            </w:r>
          </w:p>
          <w:p w14:paraId="4211116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7A17DE0" w14:textId="77777777">
        <w:trPr>
          <w:trHeight w:val="202"/>
        </w:trPr>
        <w:tc>
          <w:tcPr>
            <w:tcW w:w="470" w:type="dxa"/>
            <w:tcBorders>
              <w:top w:val="single" w:sz="6" w:space="0" w:color="auto"/>
              <w:left w:val="single" w:sz="6" w:space="0" w:color="auto"/>
              <w:bottom w:val="single" w:sz="6" w:space="0" w:color="auto"/>
              <w:right w:val="single" w:sz="6" w:space="0" w:color="auto"/>
            </w:tcBorders>
          </w:tcPr>
          <w:p w14:paraId="49CE513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p w14:paraId="0B0E3CB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80" w:type="dxa"/>
            <w:tcBorders>
              <w:top w:val="single" w:sz="6" w:space="0" w:color="auto"/>
              <w:left w:val="single" w:sz="6" w:space="0" w:color="auto"/>
              <w:bottom w:val="single" w:sz="6" w:space="0" w:color="auto"/>
              <w:right w:val="single" w:sz="6" w:space="0" w:color="auto"/>
            </w:tcBorders>
          </w:tcPr>
          <w:p w14:paraId="3C3CFA5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 выстрела в кг</w:t>
            </w:r>
          </w:p>
          <w:p w14:paraId="0A5DF4F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518A80A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30,3</w:t>
            </w:r>
          </w:p>
          <w:p w14:paraId="4975EB2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47" w:type="dxa"/>
            <w:tcBorders>
              <w:top w:val="single" w:sz="6" w:space="0" w:color="auto"/>
              <w:left w:val="single" w:sz="6" w:space="0" w:color="auto"/>
              <w:bottom w:val="single" w:sz="6" w:space="0" w:color="auto"/>
              <w:right w:val="single" w:sz="6" w:space="0" w:color="auto"/>
            </w:tcBorders>
          </w:tcPr>
          <w:p w14:paraId="4BCBB76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ок. 47,0</w:t>
            </w:r>
          </w:p>
          <w:p w14:paraId="61488C2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84" w:type="dxa"/>
            <w:tcBorders>
              <w:top w:val="single" w:sz="6" w:space="0" w:color="auto"/>
              <w:left w:val="single" w:sz="6" w:space="0" w:color="auto"/>
              <w:bottom w:val="single" w:sz="6" w:space="0" w:color="auto"/>
              <w:right w:val="single" w:sz="6" w:space="0" w:color="auto"/>
            </w:tcBorders>
          </w:tcPr>
          <w:p w14:paraId="3736109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ок. 57,0</w:t>
            </w:r>
          </w:p>
          <w:p w14:paraId="3027F2F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9BAB959" w14:textId="77777777">
        <w:trPr>
          <w:trHeight w:val="192"/>
        </w:trPr>
        <w:tc>
          <w:tcPr>
            <w:tcW w:w="470" w:type="dxa"/>
            <w:tcBorders>
              <w:top w:val="single" w:sz="6" w:space="0" w:color="auto"/>
              <w:left w:val="single" w:sz="6" w:space="0" w:color="auto"/>
              <w:bottom w:val="single" w:sz="6" w:space="0" w:color="auto"/>
              <w:right w:val="single" w:sz="6" w:space="0" w:color="auto"/>
            </w:tcBorders>
          </w:tcPr>
          <w:p w14:paraId="5966A30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w:t>
            </w:r>
          </w:p>
          <w:p w14:paraId="518A687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80" w:type="dxa"/>
            <w:tcBorders>
              <w:top w:val="single" w:sz="6" w:space="0" w:color="auto"/>
              <w:left w:val="single" w:sz="6" w:space="0" w:color="auto"/>
              <w:bottom w:val="single" w:sz="6" w:space="0" w:color="auto"/>
              <w:right w:val="single" w:sz="6" w:space="0" w:color="auto"/>
            </w:tcBorders>
          </w:tcPr>
          <w:p w14:paraId="45D76EC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Дульная энергия в т.м</w:t>
            </w:r>
          </w:p>
          <w:p w14:paraId="74C1D3A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4AE1CE8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639</w:t>
            </w:r>
          </w:p>
          <w:p w14:paraId="53BD5D5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47" w:type="dxa"/>
            <w:tcBorders>
              <w:top w:val="single" w:sz="6" w:space="0" w:color="auto"/>
              <w:left w:val="single" w:sz="6" w:space="0" w:color="auto"/>
              <w:bottom w:val="single" w:sz="6" w:space="0" w:color="auto"/>
              <w:right w:val="single" w:sz="6" w:space="0" w:color="auto"/>
            </w:tcBorders>
          </w:tcPr>
          <w:p w14:paraId="22B3EC2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1285</w:t>
            </w:r>
          </w:p>
          <w:p w14:paraId="6B77DB4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84" w:type="dxa"/>
            <w:tcBorders>
              <w:top w:val="single" w:sz="6" w:space="0" w:color="auto"/>
              <w:left w:val="single" w:sz="6" w:space="0" w:color="auto"/>
              <w:bottom w:val="single" w:sz="6" w:space="0" w:color="auto"/>
              <w:right w:val="single" w:sz="6" w:space="0" w:color="auto"/>
            </w:tcBorders>
          </w:tcPr>
          <w:p w14:paraId="702317D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1385</w:t>
            </w:r>
          </w:p>
          <w:p w14:paraId="0D567B0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F281929" w14:textId="77777777">
        <w:trPr>
          <w:trHeight w:val="202"/>
        </w:trPr>
        <w:tc>
          <w:tcPr>
            <w:tcW w:w="470" w:type="dxa"/>
            <w:tcBorders>
              <w:top w:val="single" w:sz="6" w:space="0" w:color="auto"/>
              <w:left w:val="single" w:sz="6" w:space="0" w:color="auto"/>
              <w:bottom w:val="single" w:sz="6" w:space="0" w:color="auto"/>
              <w:right w:val="single" w:sz="6" w:space="0" w:color="auto"/>
            </w:tcBorders>
          </w:tcPr>
          <w:p w14:paraId="1B65643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w:t>
            </w:r>
          </w:p>
          <w:p w14:paraId="1BC1BC5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80" w:type="dxa"/>
            <w:tcBorders>
              <w:top w:val="single" w:sz="6" w:space="0" w:color="auto"/>
              <w:left w:val="single" w:sz="6" w:space="0" w:color="auto"/>
              <w:bottom w:val="single" w:sz="6" w:space="0" w:color="auto"/>
              <w:right w:val="single" w:sz="6" w:space="0" w:color="auto"/>
            </w:tcBorders>
          </w:tcPr>
          <w:p w14:paraId="726317D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Вес качающейся части в кг</w:t>
            </w:r>
          </w:p>
          <w:p w14:paraId="5E9682D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4F25ABE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2450</w:t>
            </w:r>
          </w:p>
          <w:p w14:paraId="734068D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47" w:type="dxa"/>
            <w:tcBorders>
              <w:top w:val="single" w:sz="6" w:space="0" w:color="auto"/>
              <w:left w:val="single" w:sz="6" w:space="0" w:color="auto"/>
              <w:bottom w:val="single" w:sz="6" w:space="0" w:color="auto"/>
              <w:right w:val="single" w:sz="6" w:space="0" w:color="auto"/>
            </w:tcBorders>
          </w:tcPr>
          <w:p w14:paraId="0902516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4900</w:t>
            </w:r>
          </w:p>
          <w:p w14:paraId="38FA964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84" w:type="dxa"/>
            <w:tcBorders>
              <w:top w:val="single" w:sz="6" w:space="0" w:color="auto"/>
              <w:left w:val="single" w:sz="6" w:space="0" w:color="auto"/>
              <w:bottom w:val="single" w:sz="6" w:space="0" w:color="auto"/>
              <w:right w:val="single" w:sz="6" w:space="0" w:color="auto"/>
            </w:tcBorders>
          </w:tcPr>
          <w:p w14:paraId="006490F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4900</w:t>
            </w:r>
          </w:p>
          <w:p w14:paraId="2D1A25C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B4C5D9B" w14:textId="77777777">
        <w:trPr>
          <w:trHeight w:val="192"/>
        </w:trPr>
        <w:tc>
          <w:tcPr>
            <w:tcW w:w="470" w:type="dxa"/>
            <w:tcBorders>
              <w:top w:val="single" w:sz="6" w:space="0" w:color="auto"/>
              <w:left w:val="single" w:sz="6" w:space="0" w:color="auto"/>
              <w:bottom w:val="single" w:sz="6" w:space="0" w:color="auto"/>
              <w:right w:val="single" w:sz="6" w:space="0" w:color="auto"/>
            </w:tcBorders>
          </w:tcPr>
          <w:p w14:paraId="205A284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8</w:t>
            </w:r>
          </w:p>
          <w:p w14:paraId="3DC7818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80" w:type="dxa"/>
            <w:tcBorders>
              <w:top w:val="single" w:sz="6" w:space="0" w:color="auto"/>
              <w:left w:val="single" w:sz="6" w:space="0" w:color="auto"/>
              <w:bottom w:val="single" w:sz="6" w:space="0" w:color="auto"/>
              <w:right w:val="single" w:sz="6" w:space="0" w:color="auto"/>
            </w:tcBorders>
          </w:tcPr>
          <w:p w14:paraId="29C12D8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Наибольшее сопротивление откату в тоннах</w:t>
            </w:r>
          </w:p>
          <w:p w14:paraId="72FC55D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5575924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32,37</w:t>
            </w:r>
          </w:p>
          <w:p w14:paraId="1A79E67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47" w:type="dxa"/>
            <w:tcBorders>
              <w:top w:val="single" w:sz="6" w:space="0" w:color="auto"/>
              <w:left w:val="single" w:sz="6" w:space="0" w:color="auto"/>
              <w:bottom w:val="single" w:sz="6" w:space="0" w:color="auto"/>
              <w:right w:val="single" w:sz="6" w:space="0" w:color="auto"/>
            </w:tcBorders>
          </w:tcPr>
          <w:p w14:paraId="518C3FC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62,0</w:t>
            </w:r>
          </w:p>
          <w:p w14:paraId="0C784EA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84" w:type="dxa"/>
            <w:tcBorders>
              <w:top w:val="single" w:sz="6" w:space="0" w:color="auto"/>
              <w:left w:val="single" w:sz="6" w:space="0" w:color="auto"/>
              <w:bottom w:val="single" w:sz="6" w:space="0" w:color="auto"/>
              <w:right w:val="single" w:sz="6" w:space="0" w:color="auto"/>
            </w:tcBorders>
          </w:tcPr>
          <w:p w14:paraId="7E6E127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62,0</w:t>
            </w:r>
          </w:p>
          <w:p w14:paraId="5FC7491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7FF2E06" w14:textId="77777777">
        <w:trPr>
          <w:trHeight w:val="202"/>
        </w:trPr>
        <w:tc>
          <w:tcPr>
            <w:tcW w:w="470" w:type="dxa"/>
            <w:tcBorders>
              <w:top w:val="single" w:sz="6" w:space="0" w:color="auto"/>
              <w:left w:val="single" w:sz="6" w:space="0" w:color="auto"/>
              <w:bottom w:val="single" w:sz="6" w:space="0" w:color="auto"/>
              <w:right w:val="single" w:sz="6" w:space="0" w:color="auto"/>
            </w:tcBorders>
          </w:tcPr>
          <w:p w14:paraId="3BB00A7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w:t>
            </w:r>
          </w:p>
          <w:p w14:paraId="6B8EDE3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80" w:type="dxa"/>
            <w:tcBorders>
              <w:top w:val="single" w:sz="6" w:space="0" w:color="auto"/>
              <w:left w:val="single" w:sz="6" w:space="0" w:color="auto"/>
              <w:bottom w:val="single" w:sz="6" w:space="0" w:color="auto"/>
              <w:right w:val="single" w:sz="6" w:space="0" w:color="auto"/>
            </w:tcBorders>
          </w:tcPr>
          <w:p w14:paraId="62F07D8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Длина отката в мм</w:t>
            </w:r>
          </w:p>
          <w:p w14:paraId="3F0DC82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0EC4DEB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400</w:t>
            </w:r>
          </w:p>
          <w:p w14:paraId="31A08B5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47" w:type="dxa"/>
            <w:tcBorders>
              <w:top w:val="single" w:sz="6" w:space="0" w:color="auto"/>
              <w:left w:val="single" w:sz="6" w:space="0" w:color="auto"/>
              <w:bottom w:val="single" w:sz="6" w:space="0" w:color="auto"/>
              <w:right w:val="single" w:sz="6" w:space="0" w:color="auto"/>
            </w:tcBorders>
          </w:tcPr>
          <w:p w14:paraId="770F3EC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550</w:t>
            </w:r>
          </w:p>
          <w:p w14:paraId="1EE964B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84" w:type="dxa"/>
            <w:tcBorders>
              <w:top w:val="single" w:sz="6" w:space="0" w:color="auto"/>
              <w:left w:val="single" w:sz="6" w:space="0" w:color="auto"/>
              <w:bottom w:val="single" w:sz="6" w:space="0" w:color="auto"/>
              <w:right w:val="single" w:sz="6" w:space="0" w:color="auto"/>
            </w:tcBorders>
          </w:tcPr>
          <w:p w14:paraId="7ACA82E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550</w:t>
            </w:r>
          </w:p>
          <w:p w14:paraId="460C7C0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93EDA0F" w14:textId="77777777">
        <w:trPr>
          <w:trHeight w:val="403"/>
        </w:trPr>
        <w:tc>
          <w:tcPr>
            <w:tcW w:w="470" w:type="dxa"/>
            <w:tcBorders>
              <w:top w:val="single" w:sz="6" w:space="0" w:color="auto"/>
              <w:left w:val="single" w:sz="6" w:space="0" w:color="auto"/>
              <w:bottom w:val="single" w:sz="6" w:space="0" w:color="auto"/>
              <w:right w:val="single" w:sz="6" w:space="0" w:color="auto"/>
            </w:tcBorders>
          </w:tcPr>
          <w:p w14:paraId="4395845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w:t>
            </w:r>
          </w:p>
          <w:p w14:paraId="5A0276C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80" w:type="dxa"/>
            <w:tcBorders>
              <w:top w:val="single" w:sz="6" w:space="0" w:color="auto"/>
              <w:left w:val="single" w:sz="6" w:space="0" w:color="auto"/>
              <w:bottom w:val="single" w:sz="6" w:space="0" w:color="auto"/>
              <w:right w:val="single" w:sz="6" w:space="0" w:color="auto"/>
            </w:tcBorders>
          </w:tcPr>
          <w:p w14:paraId="2B93E8E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Толщина пробиваемой брони в мм с дистанции 1000 м, при углах встречи снаряда с броней 60°/90°</w:t>
            </w:r>
          </w:p>
          <w:p w14:paraId="645B486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1CF65B4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121/149</w:t>
            </w:r>
          </w:p>
          <w:p w14:paraId="3217CEC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47" w:type="dxa"/>
            <w:tcBorders>
              <w:top w:val="single" w:sz="6" w:space="0" w:color="auto"/>
              <w:left w:val="single" w:sz="6" w:space="0" w:color="auto"/>
              <w:bottom w:val="single" w:sz="6" w:space="0" w:color="auto"/>
              <w:right w:val="single" w:sz="6" w:space="0" w:color="auto"/>
            </w:tcBorders>
          </w:tcPr>
          <w:p w14:paraId="5663FC3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170/209</w:t>
            </w:r>
          </w:p>
          <w:p w14:paraId="54D06B2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84" w:type="dxa"/>
            <w:tcBorders>
              <w:top w:val="single" w:sz="6" w:space="0" w:color="auto"/>
              <w:left w:val="single" w:sz="6" w:space="0" w:color="auto"/>
              <w:bottom w:val="single" w:sz="6" w:space="0" w:color="auto"/>
              <w:right w:val="single" w:sz="6" w:space="0" w:color="auto"/>
            </w:tcBorders>
          </w:tcPr>
          <w:p w14:paraId="5AAAA8F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157/196</w:t>
            </w:r>
          </w:p>
          <w:p w14:paraId="60207BE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B405CA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Примечание: </w:t>
      </w:r>
      <w:r w:rsidRPr="007224C3">
        <w:rPr>
          <w:rFonts w:ascii="Times New Roman" w:hAnsi="Times New Roman"/>
          <w:color w:val="000000" w:themeColor="text1"/>
          <w:sz w:val="16"/>
          <w:szCs w:val="16"/>
          <w:vertAlign w:val="superscript"/>
        </w:rPr>
        <w:t>х)</w:t>
      </w:r>
      <w:r w:rsidRPr="007224C3">
        <w:rPr>
          <w:rFonts w:ascii="Times New Roman" w:hAnsi="Times New Roman"/>
          <w:color w:val="000000" w:themeColor="text1"/>
          <w:sz w:val="16"/>
          <w:szCs w:val="16"/>
        </w:rPr>
        <w:t xml:space="preserve"> Новая гильза, размеры неизвестны.</w:t>
      </w:r>
    </w:p>
    <w:p w14:paraId="4F30098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УСА ГБТУ КА генерал-майор инженерно-танковой службы Алымов</w:t>
      </w:r>
    </w:p>
    <w:p w14:paraId="00EB429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3 отдела УСА ГБТУ КА инженер-полковник Ковалев</w:t>
      </w:r>
    </w:p>
    <w:p w14:paraId="5C67331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38. Оп. 11369. Д. 490. Л. 77. Подлинник (11403).</w:t>
      </w:r>
    </w:p>
    <w:p w14:paraId="7E1FB9B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224AE4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апреля 1944 вышло Постановление ГКО № 5751 О материально-техническом обеспечении подшипниковых заводов Наркомсредмаша во II квартале 1944 г. РГАНИР, Фонд ГКО, д. 246, лл. 134-139,140-165 (11012).</w:t>
      </w:r>
    </w:p>
    <w:p w14:paraId="743E729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ABF0FC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апреля 1944 вышло Распоряжение ГКО № 5752. О передаче НКБ технического руководства проектирование, изготовлением опытных образцов и обеспечением промышленности чертежами и техническими условиями на все элементы авиабомб. РГАНИР, Фонд ГКО, д. 246, лл. 166 (11012).</w:t>
      </w:r>
    </w:p>
    <w:p w14:paraId="2ECD2820" w14:textId="77777777" w:rsidR="009C4CA4" w:rsidRPr="007224C3" w:rsidRDefault="009C4CA4" w:rsidP="007224C3">
      <w:pPr>
        <w:autoSpaceDE w:val="0"/>
        <w:autoSpaceDN w:val="0"/>
        <w:adjustRightInd w:val="0"/>
        <w:spacing w:after="0" w:line="240" w:lineRule="auto"/>
        <w:jc w:val="both"/>
        <w:rPr>
          <w:rFonts w:ascii="Times New Roman" w:hAnsi="Times New Roman"/>
          <w:color w:val="000000" w:themeColor="text1"/>
          <w:sz w:val="16"/>
          <w:szCs w:val="16"/>
        </w:rPr>
      </w:pPr>
    </w:p>
    <w:p w14:paraId="0F891D82" w14:textId="77777777" w:rsidR="000E2A81" w:rsidRPr="007224C3" w:rsidRDefault="000E2A8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апреля 1944 вышло Распоряжение ГКО № 5752</w:t>
      </w:r>
    </w:p>
    <w:p w14:paraId="1A3DBB74" w14:textId="77777777" w:rsidR="000E2A81" w:rsidRPr="007224C3" w:rsidRDefault="000E2A8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Возложить на Наркомат Боеприпасов техническое руководство вопросами проектирования, изготовления опыт</w:t>
      </w:r>
      <w:r w:rsidRPr="007224C3">
        <w:rPr>
          <w:rFonts w:ascii="Times New Roman" w:hAnsi="Times New Roman"/>
          <w:color w:val="000000" w:themeColor="text1"/>
          <w:sz w:val="16"/>
          <w:szCs w:val="16"/>
        </w:rPr>
        <w:softHyphen/>
        <w:t>ных образцов и обеспечения промышленности чертежами и техническими условиями на все элементы авиабомб.</w:t>
      </w:r>
    </w:p>
    <w:p w14:paraId="4D4CFF98" w14:textId="77777777" w:rsidR="000E2A81" w:rsidRPr="007224C3" w:rsidRDefault="000E2A81" w:rsidP="007224C3">
      <w:pPr>
        <w:spacing w:after="0" w:line="240" w:lineRule="auto"/>
        <w:jc w:val="both"/>
        <w:rPr>
          <w:rFonts w:ascii="Times New Roman" w:hAnsi="Times New Roman"/>
          <w:color w:val="000000" w:themeColor="text1"/>
          <w:sz w:val="16"/>
          <w:szCs w:val="16"/>
        </w:rPr>
      </w:pPr>
      <w:r w:rsidRPr="007224C3">
        <w:rPr>
          <w:rStyle w:val="Consolas9pt"/>
          <w:rFonts w:ascii="Times New Roman" w:hAnsi="Times New Roman" w:cs="Times New Roman"/>
          <w:color w:val="000000" w:themeColor="text1"/>
          <w:sz w:val="16"/>
          <w:szCs w:val="16"/>
        </w:rPr>
        <w:t>2.</w:t>
      </w:r>
      <w:r w:rsidRPr="007224C3">
        <w:rPr>
          <w:rFonts w:ascii="Times New Roman" w:hAnsi="Times New Roman"/>
          <w:color w:val="000000" w:themeColor="text1"/>
          <w:sz w:val="16"/>
          <w:szCs w:val="16"/>
        </w:rPr>
        <w:t xml:space="preserve"> Обязать Наркомминвоорукения т.Паршина возвратить Наркомату боеприпасов Конструкторские бюро ГСКБ-47, КБ-35 и завод № 67 со всем имеющимся оборудованием, кадрами, транспортом, жилыми и производственными помещениями, инвентарем и фондами на материальное обеспече</w:t>
      </w:r>
      <w:r w:rsidRPr="007224C3">
        <w:rPr>
          <w:rFonts w:ascii="Times New Roman" w:hAnsi="Times New Roman"/>
          <w:color w:val="000000" w:themeColor="text1"/>
          <w:sz w:val="16"/>
          <w:szCs w:val="16"/>
        </w:rPr>
        <w:softHyphen/>
        <w:t>ние, выделенными на II квартал 1944 года (19484).</w:t>
      </w:r>
    </w:p>
    <w:p w14:paraId="1DF65BB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F2A1C42"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5D8AC51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FB847F8" w14:textId="77777777" w:rsidR="00476D5F" w:rsidRPr="007224C3" w:rsidRDefault="00476D5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апреля в 1944 году оперативная сводка Совинформбюро:</w:t>
      </w:r>
    </w:p>
    <w:p w14:paraId="4BADC08C" w14:textId="77777777" w:rsidR="00476D5F" w:rsidRPr="007224C3" w:rsidRDefault="00476D5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28 апреля на фронтах существенных изменений не произошло.</w:t>
      </w:r>
    </w:p>
    <w:p w14:paraId="63C09153" w14:textId="77777777" w:rsidR="00476D5F" w:rsidRPr="007224C3" w:rsidRDefault="00476D5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27 апреля наши войска на всех фронтах подбили и уничтожили 22 немецких танка. В воздушных боях и огнём зенитной артиллерии сбито 29 самолётов противника.».</w:t>
      </w:r>
    </w:p>
    <w:p w14:paraId="6D940E84" w14:textId="77777777" w:rsidR="00476D5F" w:rsidRPr="007224C3" w:rsidRDefault="00476D5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Массированный налёт нашей авиации на железнодорожный узел Львов.</w:t>
      </w:r>
    </w:p>
    <w:p w14:paraId="63FDD756" w14:textId="77777777" w:rsidR="00476D5F" w:rsidRPr="007224C3" w:rsidRDefault="00476D5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ночь на 28 апреля наша авиация дальнего действия произвела массированный налёт на железнодорожный узел Львов и бомбардировала скопление воинских эшелонов противника. В результате бомбардировки на железнодорожном узле возникли многочисленные пожары, которые сопровождались сильными взрывами. Одновременно наши лётчики блокировали аэродром противника в районе города Львов. Пулемётно-пушечным огнём обстреляны колонны немецких автомашин на дорогах, идущих к Львову.».</w:t>
      </w:r>
    </w:p>
    <w:p w14:paraId="1C3AE1F9" w14:textId="77777777" w:rsidR="00476D5F" w:rsidRPr="007224C3" w:rsidRDefault="00476D5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Бомбардировка аэродрома противника в районе города Орша.</w:t>
      </w:r>
    </w:p>
    <w:p w14:paraId="19FBDE3B" w14:textId="77777777" w:rsidR="00476D5F" w:rsidRPr="007224C3" w:rsidRDefault="00476D5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ночь на 28 апреля наша авиация бомбардировала аэродром противника, расположенный в районе города Орша. В момент налёта на аэродроме находилось много немецких самолётов. Бомбардировкой создано 15 крупных очагов пожаров.</w:t>
      </w:r>
    </w:p>
    <w:p w14:paraId="6E894FED" w14:textId="77777777" w:rsidR="00476D5F" w:rsidRPr="007224C3" w:rsidRDefault="00476D5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Горели самолёты противника, склады горючего и боеприпасов, при этом произошло несколько сильных взрывов.</w:t>
      </w:r>
    </w:p>
    <w:p w14:paraId="24CC36C7" w14:textId="77777777" w:rsidR="00476D5F" w:rsidRPr="007224C3" w:rsidRDefault="00476D5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Наши лётчики, уходя от цели, наблюдали пожары с расстояния более 100 километров.».</w:t>
      </w:r>
    </w:p>
    <w:p w14:paraId="495E378D" w14:textId="77777777" w:rsidR="00476D5F" w:rsidRPr="007224C3" w:rsidRDefault="00476D5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«Юго-восточнее города Станислав немецко-венгерские войска предпринялинесколько атак. Наши части встретили противника артиллерийским и миномётным огнём. Гитлеровцы понесли большие потери и отступили. На поле боя осталось свыше 800 вражеских трупов и 10 подбитых танков и самоходных орудий. На другом участке наши подразделения под командованием тов. Бойцова в результате умелого обходного манёвра разгромили гарнизон опорного пункта противника. Уничтожено две роты гитлеровцев. Захвачены 12 полевых и 2 самоходных орудия, 40 автомашин с боеприпасами и военным имуществом. Взято в плен 400 венгерских солдат. Захваченные в плен венгерские солдаты сообщили, что на-днях они отказались идти в атаку. Тогда позади венгерских частей были выставлены специальные отряды немецких пулемётчиков и автоматчиков.</w:t>
      </w:r>
    </w:p>
    <w:p w14:paraId="3E85EC19" w14:textId="77777777" w:rsidR="00476D5F" w:rsidRPr="007224C3" w:rsidRDefault="00476D5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1-м Украинском фронте наша авиация продолжала наносить удары по железнодорожным эшелонам противника. В течение дня советские лётчики разбили 3 паровоза и 50 вагонов, а также сожгли три эшелона с горючим. Сгорело около 90 бензоцистерн.</w:t>
      </w:r>
    </w:p>
    <w:p w14:paraId="32BF46B0" w14:textId="77777777" w:rsidR="00476D5F" w:rsidRPr="007224C3" w:rsidRDefault="00476D5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Авиацией Краснознамённого Балтийского флота потоплены в Финском заливе танкер водоизмещением в 6 тысяч тонн и тральщик противника.</w:t>
      </w:r>
    </w:p>
    <w:p w14:paraId="6F078BFA" w14:textId="77777777" w:rsidR="00476D5F" w:rsidRPr="007224C3" w:rsidRDefault="00476D5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Авиация Черноморского флота на подходах к Севастополю потопила транспорт водоизмещением в тысячу тонн и быстроходную десантную баржу. Двум другим транспортам противника нанесены серьёзные повреждения.</w:t>
      </w:r>
    </w:p>
    <w:p w14:paraId="0F91DEF3" w14:textId="77777777" w:rsidR="00476D5F" w:rsidRPr="007224C3" w:rsidRDefault="00476D5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Группа Львовских партизан ночью напала на немецких солдат, охранявших военные склады. Советские патриоты в короткой схватке истребили 20 гитлеровцев, а затем подожгли два крупных склада противника. Другая группа львовских партизан за три дня пустила под откос два железнодорожных эшелона немцев. Под обломками вагонов погибло до 200 гитлеровцев. Движение поездов на этом участке было прервано в течение двух дней.</w:t>
      </w:r>
    </w:p>
    <w:p w14:paraId="6A22BDC2" w14:textId="77777777" w:rsidR="00476D5F" w:rsidRPr="007224C3" w:rsidRDefault="00476D5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Крыму захвачена в плен большая группа солдат и офицеров 98 немецкой пехотной дивизии. Пленный командир 3 роты 198 сапёрного батальона капитан Вальтер Штраус сообщил: «Я со своей ротой находился в резерве. Неожиданно мы были атакованы русскими танками. За несколько минут наша рота была разгромлена». Пленный лейтенант 1 роты того же батальона Бош рассказал: «Наш батальон отступал очень поспешно, но русские танки нас всё-таки догнали. В этоже время на нас с тыла напали партизаны. Оказавшись в кольце, мы сложили оружие. Вместе с нами сдались в плен подразделения 282 и 290 полков 98 дивизии и разрозненные группы солдат 73 немецкой пехотной дивизии». Пленный лейтенант из 198 немецкого артиллерийского полка Курт Харлондер заявил: «Русская артиллерия уничтожила командные пункты полка и подавила наши батареи. Всякая связь между штабами была нарушена. Каждый старался спастись бегством. Все знали, что нам будет невероятно трудно выбраться из Крыма, но такого разгрома никто не ожидал. Катастрофа в Крыму обнаружила полный провал стратегии немецкого командования».</w:t>
      </w:r>
    </w:p>
    <w:p w14:paraId="51D69F21" w14:textId="77777777" w:rsidR="00476D5F" w:rsidRPr="007224C3" w:rsidRDefault="00476D5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Ниже публикуется акт о зверствах немецко-фашистских мерзавцев в местечке Горы, Могилёвской области: «Гитлеровцы сожгли в местечке Горы 243 жилых дома, среднюю школу, Дом культуры и библиотеку. За время оккупации немецкие разбойники убили несколько сот мирных жителей. Только за один день фашистские палачи расстреляли в районе льнозавода до 200 советских граждан. Немцы подводили ни вчём не повинных и беззащитных людей к огромной яме, заставляли ложиться лицом вниз и расстреливали их из пулемётов. Комиссия в составе: судебно-медицинскогоэксперта капитана медицинской службы Макарова, старшего лейтенанта Чумакова и врачей Дендиберова и Кобзевой вскрыла одну массовую могилу. В этой могиле обнаружено около 150 трупов расстрелянных немецкими извергами стариков, женщин и детей». Акт подписали: командир партизанского отряда Н.Кохов, заместительпредседателя Горецкого райисполкома Г.Тарасенко, учительницы А.Эренбург, М.Дыленок и Е.Павлючкова.» (15113).</w:t>
      </w:r>
    </w:p>
    <w:p w14:paraId="31A3A528" w14:textId="77777777" w:rsidR="00476D5F" w:rsidRPr="007224C3" w:rsidRDefault="00476D5F" w:rsidP="007224C3">
      <w:pPr>
        <w:spacing w:after="0" w:line="240" w:lineRule="auto"/>
        <w:jc w:val="both"/>
        <w:rPr>
          <w:rFonts w:ascii="Times New Roman" w:hAnsi="Times New Roman"/>
          <w:color w:val="000000" w:themeColor="text1"/>
          <w:sz w:val="16"/>
          <w:szCs w:val="16"/>
        </w:rPr>
      </w:pPr>
    </w:p>
    <w:p w14:paraId="6E03C62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апреля 1944 г. в 683-м шап 335-й шад самолет Ил-2 получил всего лишь одну пробоину сбоку, но воздушный стрелок был убит. Однако усилить защиту стрелка без кардинальной переделки бронекорпуса было нельзя, так как центровка самолета становилась опасной для полетов (11921).</w:t>
      </w:r>
    </w:p>
    <w:p w14:paraId="21D578B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586023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апреля 1944, согласно докладу Л.П.Б. И.В.С от 18 мая, на аэродроме Полтава обнаружили оставленные немцами в подвалах аэродромных зданий радиофугасы весом 4 т и приемник.</w:t>
      </w:r>
    </w:p>
    <w:p w14:paraId="5110C99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132B4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апреля 1944 УПВИ НКВД г-л Петров издал распоряжение О сборе и заготовке в 1944 дикорастущей зелени, грибов, ягод и пр. для питания военнопленных и 11 мая отправили телеграмму, настаивающую на решении этой задачи (3428).</w:t>
      </w:r>
    </w:p>
    <w:p w14:paraId="5670392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4E7340" w14:textId="77777777" w:rsidR="00476D5F" w:rsidRPr="007224C3" w:rsidRDefault="00476D5F" w:rsidP="007224C3">
      <w:pPr>
        <w:pStyle w:val="book"/>
        <w:ind w:firstLine="0"/>
        <w:jc w:val="both"/>
        <w:rPr>
          <w:color w:val="000000" w:themeColor="text1"/>
          <w:sz w:val="16"/>
          <w:szCs w:val="16"/>
        </w:rPr>
      </w:pPr>
      <w:r w:rsidRPr="007224C3">
        <w:rPr>
          <w:color w:val="000000" w:themeColor="text1"/>
          <w:sz w:val="16"/>
          <w:szCs w:val="16"/>
        </w:rPr>
        <w:t xml:space="preserve">28 апреля 1944 г. председателем Трофейного комитета ГКО было утверждено новое «Положение о трофейных органах, частях и учреждениях Красной армии». В этом положении давалась формулировка задач трофейной службы: «Трофейные органы, части и учреждения Красной армии обеспечивают сбор, охрану, учет, вывоз </w:t>
      </w:r>
      <w:r w:rsidRPr="007224C3">
        <w:rPr>
          <w:color w:val="000000" w:themeColor="text1"/>
          <w:sz w:val="16"/>
          <w:szCs w:val="16"/>
        </w:rPr>
        <w:lastRenderedPageBreak/>
        <w:t>и сдачу трофейного вооружения, боеприпасов, боевой техники, продфуража, горючего и других военных и народнохозяйственных ценностей, захваченных Красной армией у противника».</w:t>
      </w:r>
    </w:p>
    <w:p w14:paraId="1EA83A6A" w14:textId="77777777" w:rsidR="00476D5F" w:rsidRPr="007224C3" w:rsidRDefault="00476D5F" w:rsidP="007224C3">
      <w:pPr>
        <w:pStyle w:val="book"/>
        <w:ind w:firstLine="0"/>
        <w:jc w:val="both"/>
        <w:rPr>
          <w:color w:val="000000" w:themeColor="text1"/>
          <w:sz w:val="16"/>
          <w:szCs w:val="16"/>
        </w:rPr>
      </w:pPr>
      <w:r w:rsidRPr="007224C3">
        <w:rPr>
          <w:color w:val="000000" w:themeColor="text1"/>
          <w:sz w:val="16"/>
          <w:szCs w:val="16"/>
        </w:rPr>
        <w:t>Положение определяло трофейные органы в Красной армии: Главное управление трофейного вооружения Красной армии при Трофейном комитете ГКО; во фронтах — Управления трофейного вооружения фронтов; в армиях — отделы трофейного вооружения армий; в войсках — соединения действующей армии — трофейные отделения корпуса, дивизии, бригады. В трофейных бригадах были свои отделы контрразведки «СМЕРШ», которые следили за тем, чтобы трофеи не разворовывались.</w:t>
      </w:r>
    </w:p>
    <w:p w14:paraId="36D5B805" w14:textId="77777777" w:rsidR="00476D5F" w:rsidRPr="007224C3" w:rsidRDefault="00476D5F" w:rsidP="007224C3">
      <w:pPr>
        <w:pStyle w:val="book"/>
        <w:ind w:firstLine="0"/>
        <w:jc w:val="both"/>
        <w:rPr>
          <w:color w:val="000000" w:themeColor="text1"/>
          <w:sz w:val="16"/>
          <w:szCs w:val="16"/>
        </w:rPr>
      </w:pPr>
      <w:r w:rsidRPr="007224C3">
        <w:rPr>
          <w:color w:val="000000" w:themeColor="text1"/>
          <w:sz w:val="16"/>
          <w:szCs w:val="16"/>
        </w:rPr>
        <w:t>Трофейные команды собрали 24 615 немецких танков и самоходных артиллерийских установок, свыше 68 тыс. орудий и 30 тыс. минометов, более 114 млн. снарядов, 16 млн. мин, 257 тыс. пулеметов, 3 млн. винтовок, около 2 млрд. винтовочных патронов и 50 тыс. автомобилей. Для правильного применения трофейной техники ГБТУ и ГАУ в 1941—1944 гг. издали на русском языке многочисленные наставления службы по трофейной технике. Так, в моем архиве есть оригиналы и копии наставлений на танк T-V «Пантера», 6-ствольный 15-см реактивный химический миномет, 2,0/2,8-см противотанковую пушку обр. 41 с коническим стволом, 15-см тяжелую полевую гаубицу обр. 18 и т.д (15225).</w:t>
      </w:r>
    </w:p>
    <w:p w14:paraId="4001648B" w14:textId="77777777" w:rsidR="00476D5F" w:rsidRPr="007224C3" w:rsidRDefault="00476D5F" w:rsidP="007224C3">
      <w:pPr>
        <w:pStyle w:val="book"/>
        <w:ind w:firstLine="0"/>
        <w:jc w:val="both"/>
        <w:rPr>
          <w:color w:val="000000" w:themeColor="text1"/>
          <w:sz w:val="16"/>
          <w:szCs w:val="16"/>
        </w:rPr>
      </w:pPr>
    </w:p>
    <w:p w14:paraId="107B0257" w14:textId="77777777" w:rsidR="00476D5F"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5A156EEA" w14:textId="77777777" w:rsidR="00476D5F" w:rsidRPr="007224C3" w:rsidRDefault="00476D5F"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34CE067" w14:textId="77777777" w:rsidR="00476D5F" w:rsidRPr="007224C3" w:rsidRDefault="00476D5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апреля в 1944 году разбился при проведении испытаний двигателя «Centaurus» IV, специально для этого построенный, английский самолет «Fo.108» (43/37). Это был первый самолет, сконструированный специально для летных испытаний двигателей. Большой одномоторный моноплан с низкорасположенным крылом и неубирающимся шасси, самолет Folland 43/37 был столь же большим, как и самолет Bristol "Beaufort", и значительно выше его. Напоминая собой увеличенную копию самолета «Hurricane», он вмещал пилота и двух наблюдателей в большой кабине, оборудованной приборами для полного контроля за характеристиками двигателя в полете. Конструкция самолета была смешанной, полумонококовый фюзеляж был обшит аллюминием, а крылья и хвост - клееной фанерой. На самолете устанавливались секционированные закрылки и автоматически регулируемые щели на концах крыла (15113).</w:t>
      </w:r>
    </w:p>
    <w:p w14:paraId="37497748" w14:textId="77777777" w:rsidR="00476D5F" w:rsidRPr="007224C3" w:rsidRDefault="00476D5F" w:rsidP="007224C3">
      <w:pPr>
        <w:spacing w:after="0" w:line="240" w:lineRule="auto"/>
        <w:jc w:val="both"/>
        <w:rPr>
          <w:rFonts w:ascii="Times New Roman" w:hAnsi="Times New Roman"/>
          <w:color w:val="000000" w:themeColor="text1"/>
          <w:sz w:val="16"/>
          <w:szCs w:val="16"/>
        </w:rPr>
      </w:pPr>
    </w:p>
    <w:p w14:paraId="69AC2BD5" w14:textId="7CCFDE20" w:rsidR="009127A0" w:rsidRPr="007224C3" w:rsidRDefault="009127A0" w:rsidP="007224C3">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7224C3">
        <w:rPr>
          <w:rFonts w:ascii="Times New Roman" w:hAnsi="Times New Roman"/>
          <w:i/>
          <w:iCs/>
          <w:color w:val="000000" w:themeColor="text1"/>
          <w:sz w:val="16"/>
          <w:szCs w:val="16"/>
        </w:rPr>
        <w:t>За рубежом:</w:t>
      </w:r>
    </w:p>
    <w:p w14:paraId="4E4EC748" w14:textId="77777777" w:rsidR="009127A0" w:rsidRPr="007224C3" w:rsidRDefault="009127A0" w:rsidP="007224C3">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4D895F18" w14:textId="77777777" w:rsidR="009127A0" w:rsidRPr="007224C3" w:rsidRDefault="009127A0"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28-29 апреля 1944 бомбардировщики пятой армии ВВС США проводят удары против японских войск в Биак, Wakde, Савар и Sarmi, Западнная Новая Гвинея (20373).</w:t>
      </w:r>
    </w:p>
    <w:p w14:paraId="2A120418" w14:textId="77777777" w:rsidR="009127A0" w:rsidRPr="007224C3" w:rsidRDefault="009127A0" w:rsidP="007224C3">
      <w:pPr>
        <w:spacing w:after="0" w:line="240" w:lineRule="auto"/>
        <w:jc w:val="both"/>
        <w:rPr>
          <w:rFonts w:ascii="Times New Roman" w:hAnsi="Times New Roman"/>
          <w:color w:val="0070C0"/>
          <w:sz w:val="16"/>
          <w:szCs w:val="16"/>
        </w:rPr>
      </w:pPr>
    </w:p>
    <w:p w14:paraId="1033E789" w14:textId="77777777" w:rsidR="009127A0" w:rsidRPr="007224C3" w:rsidRDefault="009127A0"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28 апреля - 6 мая 1944 арктический конвой RA 59 идет от Кольского залива в Советском Союзе до озера Лох-Эве, Шотландия. Самолеты сопровождения британских авианосцев HMS Activity и HMS Fencer потопили три немецкие подводные лодки, атаковали еще восемь и сбили немецкую летающую лодку BV 138C за время рейса (20373).</w:t>
      </w:r>
    </w:p>
    <w:p w14:paraId="32462BF1" w14:textId="77777777" w:rsidR="009127A0" w:rsidRPr="007224C3" w:rsidRDefault="009127A0" w:rsidP="007224C3">
      <w:pPr>
        <w:spacing w:after="0" w:line="240" w:lineRule="auto"/>
        <w:jc w:val="both"/>
        <w:rPr>
          <w:rFonts w:ascii="Times New Roman" w:hAnsi="Times New Roman"/>
          <w:color w:val="0070C0"/>
          <w:sz w:val="16"/>
          <w:szCs w:val="16"/>
        </w:rPr>
      </w:pPr>
    </w:p>
    <w:p w14:paraId="491086BB" w14:textId="77777777" w:rsidR="009127A0" w:rsidRPr="007224C3" w:rsidRDefault="009127A0"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28–29 апреля (ночь) 1944 92 британских бомбардировщика без потерь совершили налет на фабрику взрывчатых веществ в Сен-Медар-ан-Жалль, Франция, но безуспешно из-за дыма и тумана над целью (20373).</w:t>
      </w:r>
    </w:p>
    <w:p w14:paraId="1A0D8708" w14:textId="77777777" w:rsidR="009127A0" w:rsidRPr="007224C3" w:rsidRDefault="009127A0" w:rsidP="007224C3">
      <w:pPr>
        <w:spacing w:after="0" w:line="240" w:lineRule="auto"/>
        <w:jc w:val="both"/>
        <w:rPr>
          <w:rFonts w:ascii="Times New Roman" w:hAnsi="Times New Roman"/>
          <w:color w:val="0070C0"/>
          <w:sz w:val="16"/>
          <w:szCs w:val="16"/>
        </w:rPr>
      </w:pPr>
    </w:p>
    <w:p w14:paraId="1402023E" w14:textId="77777777" w:rsidR="009127A0" w:rsidRPr="007224C3" w:rsidRDefault="009127A0"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28–29 апреля (ночь) 1944 55 британских бомбардировщиков без потерь совершают точную атаку на завод планеров в Осло, Норвегия (20373).</w:t>
      </w:r>
    </w:p>
    <w:p w14:paraId="2C1CD12D" w14:textId="77777777" w:rsidR="009127A0" w:rsidRPr="007224C3" w:rsidRDefault="009127A0" w:rsidP="007224C3">
      <w:pPr>
        <w:spacing w:after="0" w:line="240" w:lineRule="auto"/>
        <w:jc w:val="both"/>
        <w:rPr>
          <w:rFonts w:ascii="Times New Roman" w:hAnsi="Times New Roman"/>
          <w:color w:val="0070C0"/>
          <w:sz w:val="16"/>
          <w:szCs w:val="16"/>
        </w:rPr>
      </w:pPr>
    </w:p>
    <w:p w14:paraId="1871D0EA" w14:textId="0D1A8AE2"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61685DA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BDC9AF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апреля 1944 Нач. ЛИИ А.В.Чесалов и Зам. Нач. НИИ ВВС Федоров утвердили Отчет по результатам гос. испытаний и доводки системы НГ 1-й зоны от выхлопа мотора на самолете Ил-2 N 1873370 с АМ-38Ф (испытания проведены в ЛИИ совместно с НИИ ВВС КА (2492).</w:t>
      </w:r>
    </w:p>
    <w:p w14:paraId="5930E4E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Отв. исполнители:</w:t>
      </w:r>
    </w:p>
    <w:p w14:paraId="43C9FAD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ви Лаб. 3 ЛИИ ст. и В.В.Косточкин</w:t>
      </w:r>
    </w:p>
    <w:p w14:paraId="36A8AED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ви 8 отд. НИИ ВВС и-м С.А.Обыденников</w:t>
      </w:r>
    </w:p>
    <w:p w14:paraId="0047884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 лаб. 3 ЛИИ В.Ф.Московский</w:t>
      </w:r>
    </w:p>
    <w:p w14:paraId="5343EB6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Цель испытаний:</w:t>
      </w:r>
    </w:p>
    <w:p w14:paraId="6FAA9F9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Проверить основные характеристики опытной системы НГ, изготовленной заводом 18 НКАП и отработать систему НГ, как эталон для внедрения в серию на Ил-2 с АМ-38Ф</w:t>
      </w:r>
    </w:p>
    <w:p w14:paraId="7FB85B0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Объект испытаний:</w:t>
      </w:r>
    </w:p>
    <w:p w14:paraId="5E894EB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Опытная система НГ 1-й зоны от выхлопа мотора, разработана заводом 18 НКАП и установлена на серийном Ил-2 N 1873370 с АМ-38Ф взамен углекислотной установки.</w:t>
      </w:r>
    </w:p>
    <w:p w14:paraId="549CE83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Выводы:</w:t>
      </w:r>
    </w:p>
    <w:p w14:paraId="22847E5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основании результатов сравнительных летных испытаний системы НГ 1-й зоны по схеме завода 18 и по схеме, отработанной в ЛИИ, проведенных на Ил-2 N 1873370 с АМ-38Ф можно считать установленным:</w:t>
      </w:r>
    </w:p>
    <w:p w14:paraId="4FF0721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Система НГ 1-й зоны в предъявленном заводом 18 виде работает неудовлетворительно и не м.б. рекомендована для внедрения в серию...</w:t>
      </w:r>
    </w:p>
    <w:p w14:paraId="565631C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Система, отработанная ЛИИ, работает удовлетворительно, соответствует ТТТ и м.б. рекомендована в качестве эталона для Ил-2 с АМ-38Ф...(2492).</w:t>
      </w:r>
    </w:p>
    <w:p w14:paraId="43BF789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8199D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апреля 1944 года начальник НИИ ВВС генерал-лейтенант инженерной службы Лосюков и начальник 3-го отдела НИИ ВВС инженер-полковник Сафронов писали письмо N 3/0515 гл. инженеру ВВС генерал-полковнику Репину А.К., Шахурину, управление кадров ЦК ВКП(б) генерал лейтенанту авиации Шиманову Н.С.</w:t>
      </w:r>
    </w:p>
    <w:p w14:paraId="3DF778F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Докладываю, что на самолете Як-3 с мотором ВК-107А 27 апреля 1944 года после испытательного полета обнаружено:</w:t>
      </w:r>
    </w:p>
    <w:p w14:paraId="59E772F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течь воды через верхнее уплотнение цилиндра мотора) необходима замена левого блока);</w:t>
      </w:r>
    </w:p>
    <w:p w14:paraId="1F33520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течь спиртоглицериновой смеси из левой амортстойки шасси (требуется переборка амортстойки).</w:t>
      </w:r>
    </w:p>
    <w:p w14:paraId="0EDE31D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связи с этим испытания самолета Як-3 ВК-107А временно приостановлены (1821).</w:t>
      </w:r>
    </w:p>
    <w:p w14:paraId="7D2A6BB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72C27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апреля 1944 вышел приказ НКАП N 298с/107с в исполнение распоряжения ГКО N 5684с от 19 апреля 1944 о передаче завода 486 (б. Промпаровоз N 452 в Днепропетровске) Наркомцветмету (1647,52).</w:t>
      </w:r>
    </w:p>
    <w:p w14:paraId="509C170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2CCE7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апреля 1944 г. приказом НКАП/НКЦМ № 298с/107с завод Завод № 486 НКАП, НКЦМ /Украина  г. Днепропетровск/, созданный в 1943 г. на площадке завода № 452 («Промпаровоз») в Днепропетровске, был переведен в ведение НКЦМ со всем оборудованием и личным составом.</w:t>
      </w:r>
    </w:p>
    <w:p w14:paraId="44F9CAC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(04.1944 г.)- В.В. Ошко, Иванов (11982).</w:t>
      </w:r>
    </w:p>
    <w:p w14:paraId="3DE41CF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337005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апреля 1944 года вышел приказ НКАП</w:t>
      </w:r>
    </w:p>
    <w:p w14:paraId="2014418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Утвердить директором завода № 86 Федоренко П.М. (8925)</w:t>
      </w:r>
    </w:p>
    <w:p w14:paraId="442295B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DD62D6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апреля 1944 А.Г.Кочетков разбил Кингкобру в штопоре. Вручили Золотую гусеницу от парашютной фирмы Ирвинг (172,170).</w:t>
      </w:r>
    </w:p>
    <w:p w14:paraId="1C988A6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0378DA" w14:textId="77777777" w:rsidR="00552857" w:rsidRPr="007224C3" w:rsidRDefault="0055285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апреля 1944 г. Кочетков, получив от американцев новенький истребитель Р-63А-6, «загнал» его в плоский штопор, из которого не смог выйти. «Отмотав» некоторое количество витков, после тщетных попыток вывести истребитель в прямолинейный полёт на высоте 900 м Кочетков сбросил дверь и выпрыгнул с парашютом. К месту его приземления прикатило всё руководство фирмы во главе с вицепрезидентом компании Джонсоном. Все вместе отправились осматривать обломки «Кингкобры». Вместо ожидаемого нагоняя советский лётчик получил благодарность за выявленный дефект и предложение отметить событие в ресторане. Так Кочеткову удалось доказать американцам необходимость улучшения противоштопорных свойств истребителя - наследственной беды потомка «Аэрокобры».</w:t>
      </w:r>
    </w:p>
    <w:p w14:paraId="57400355" w14:textId="77777777" w:rsidR="00552857" w:rsidRPr="007224C3" w:rsidRDefault="0055285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память все присутствовавшие прямо у обломков истребителя оставили свои автографы на единственном нашедшемся листочке бумаге - долларовой банкноте, извлечённой кем-то из бумажника. Этот «счастливый доллар» Кочетков потом долго носил с собой. Позже лётчику вручили памятный знак фирмы «Ирвин», поставлявшей парашюты, - значок в виде золотой гусеницы. Такой выдавали каждому, кто спасся на парашюте её изготовления.</w:t>
      </w:r>
    </w:p>
    <w:p w14:paraId="4DCCC04D" w14:textId="77777777" w:rsidR="00552857" w:rsidRPr="007224C3" w:rsidRDefault="0055285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Кочетков также провёл учебные воздушные бои с истребителями Р-39 и Р-51. Результаты определялись по кадрам фо- токинопулемёта. «Аэрокобра» проиграла без всяких сомнений, бой с «Мустангом», по общей оценке, окончился вничью.</w:t>
      </w:r>
    </w:p>
    <w:p w14:paraId="42FA1D71" w14:textId="77777777" w:rsidR="00552857" w:rsidRPr="007224C3" w:rsidRDefault="0055285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После этого Кочетков вывел из строя ещё одну «Кингкобру», прокрутив на ней высший пилотаж с большими перегрузками. У самолёта выявили выпучивание и вмятины обшивки на крыле и в хвостовой части фюзеляжа. Фирма внесла изменения в конструкцию, частично устранившие недостатки, но не сразу и не в полной мере.</w:t>
      </w:r>
    </w:p>
    <w:p w14:paraId="10485F3B" w14:textId="77777777" w:rsidR="00552857" w:rsidRPr="007224C3" w:rsidRDefault="0055285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То же должно было произойти с Р-63. К этому времени в США уже наладили массовый выпуск усовершенствованных модификаций истребителя Р-51 «Мустанг», превосходившего «Кингкобру» по скорости и дальности. А Р-63 предложили Советскому Союзу.</w:t>
      </w:r>
    </w:p>
    <w:p w14:paraId="437A127B" w14:textId="77777777" w:rsidR="00552857" w:rsidRPr="007224C3" w:rsidRDefault="0055285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модификации А-7 фирма «Белл» учла опыт испытаний и ввела утолщённую обшивку крыла и усилила его набор. Чтобы парировать недостаточную устойчивость истребителя на выходе из пикирования и на вводе в вертикальные фигуры высшего пилотажа, смонтировали контрбалансир в системе управления рулём высоты. Для уменьшения нагрузки на крыло использование 284-литровых баков запретили, заменив их на меньшие, по 242 п. Пропеллер ставили того же типа, что и ранее, но чуть меньшего диаметра. Р-63А-7 изготовили в 150 экземплярах.</w:t>
      </w:r>
    </w:p>
    <w:p w14:paraId="3D23CD6E" w14:textId="77777777" w:rsidR="00552857" w:rsidRPr="007224C3" w:rsidRDefault="0055285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Следующей модификацией стала Р-63А-8. На ней ещё раз усилили бронеза- щиту, вес которой дошёл до 85,7 (по другим данным - 85,5) кг. Установка усовершенствованного винта «Аэропродактс» А6425-03 позволила, несмотря на рост взлётного веса, поднять максимальную скорость на высоте с 652 км/ч у Р-63А-5 до 671 км/ч (по другим данным - до 667 км/ч). Таких истребителей изготовили 490.</w:t>
      </w:r>
    </w:p>
    <w:p w14:paraId="218CB926" w14:textId="77777777" w:rsidR="00552857" w:rsidRPr="007224C3" w:rsidRDefault="0055285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типе А-9 добавили ещё 5 кг брони. Постоянное усиление бронезащиты американскими конструкторами можно объяснить тем, что они рассматривали «Кингкобру» в качестве многоцелевого самолёта, не столько предназначенного для воздушного боя, сколько для поддержки войск на передовой, то есть как истребитель-бомбардировщик и штурмовик. Одновременно 37-мм пушку М4 заменили на М10 того же калибра, сдвинув еёчуть вперёд. Это благоприятно сказалось на центровке истребителя. М10 тоже питалась из подковообразного магазина, установленного над казённой частью орудия, но боезапас составлял 58, а не 30 патронов, как ранее. Р-63А-9 выпустили в количестве 450 экземпляров.</w:t>
      </w:r>
    </w:p>
    <w:p w14:paraId="2EA7A585" w14:textId="77777777" w:rsidR="00552857" w:rsidRPr="007224C3" w:rsidRDefault="0055285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Последним вариантом типа А стала модификация Р-63А-10. Брони на ней стало уже 107 кг. На машине предусмотрели подвеску под каждым крылом связки МХ-241 из трёх пусковых труб для неуправляемых ракет (у нас их тогда именовали реактивными снарядами). Они крепились под консолями снаружи от крыльевых пулемётов. Внешне истребители А-10 отличались тем, что большое отверстие, через которое на взлёте подавался воздух для двигателя (оттуда он шёл через фильтр), перенесли с правого борта на верхнюю панель капота слева.</w:t>
      </w:r>
    </w:p>
    <w:p w14:paraId="7085BA6D" w14:textId="77777777" w:rsidR="00552857" w:rsidRPr="007224C3" w:rsidRDefault="0055285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Модификация Р-63В существовала только в проекте. Это был тот же тип А, но с мотором \/-1650-5 номинальной мощностью 1400 л.с. (американский вариант известного английского двигателя «Мерлин» с двухступенчатым двухскоростным нагнетателем, отличавшегося высокой экономичностью и хорошими высотными характеристиками). В США их изготовляла фирма «Паккард». С этим мотором лётные данные «Кингкобры», безусловно, улучшились бы. Но «Мерлины» были дефицитны - их ставили на «Мустанги». Поэтому решили, что на экспорт Р-63 сойдёт и с «Аллисоном». Даже опытный образец модификации В строить не стали, хотя первоначально планировали доработать в ХР-63В имевшийся ХР-63А.</w:t>
      </w:r>
    </w:p>
    <w:p w14:paraId="554DE301" w14:textId="77777777" w:rsidR="00552857" w:rsidRPr="007224C3" w:rsidRDefault="0055285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Следующим серийным вариантом стал Р-63С. На нём внедрили мотор \/-1710-117. Номинальная мощность у него осталась прежней, но конструкторы предусмотрели чрезвычайный боевой режим, на котором обороты повышались, обеспечивая 1500 л.с. в течение 5 мин. Это можно было использовать, догоняя противника или, наоборот, отрываясь от него. Если удерживать газ в таком положении дольше, то перегретые подшипники коленчатого вала заклинивали мотор. Чтобы пилот не мог выйти на чрезвычайный режим случайно, на сектор газа надевалась защёлка. Только откинув её, лётчик мог двинуть ручку за обычную максимальную отметку.</w:t>
      </w:r>
    </w:p>
    <w:p w14:paraId="280A7D80" w14:textId="77777777" w:rsidR="00552857" w:rsidRPr="007224C3" w:rsidRDefault="0055285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Внутренний запас топлива немного увеличили - с 379 л до 405 л. Бронезащиту, наоборот, частично сняли. Её суммарный вес снизился до 91,4 кг. Но все эти изменения внешне оставались незаметны. Если хорошо приглядеться, то можно было уловить некоторое уменьшение колеи основных колёс шасси. Несколько отличались очертания воздухозаборника двигателя над фюзеляжем - его приподняли вверх, чтобы избавиться от подсоса возмущённого пограничного слоя. Главной же особенностью Р-63С стал под- фюзеляжный гребень в хвостовой части фюзеляжа, улучшивший положение с устойчивостью. Но не всякая «Кингкобра» с гребнем - Р-63С, поскольку их стали «задним числом» ставить и на машины модификации Р-63А (12265).</w:t>
      </w:r>
    </w:p>
    <w:p w14:paraId="357D4CB3" w14:textId="77777777" w:rsidR="00552857" w:rsidRPr="007224C3" w:rsidRDefault="00552857" w:rsidP="007224C3">
      <w:pPr>
        <w:spacing w:after="0" w:line="240" w:lineRule="auto"/>
        <w:jc w:val="both"/>
        <w:rPr>
          <w:rFonts w:ascii="Times New Roman" w:hAnsi="Times New Roman"/>
          <w:color w:val="000000" w:themeColor="text1"/>
          <w:sz w:val="16"/>
          <w:szCs w:val="16"/>
        </w:rPr>
      </w:pPr>
    </w:p>
    <w:p w14:paraId="22F44785" w14:textId="77777777" w:rsidR="00476D5F" w:rsidRPr="007224C3" w:rsidRDefault="00476D5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апреля в 1944 году на «Як-3» и «Ла-7» началась установка двигателей «РД-1X3» разработанных в ОКБ-СД завода № 16. Это был вариант двигателя РД-1 с химическим зажиганием взамен электрического. В качестве пусковых компонентов топлива использовались: горючее Б23-75 (раствор полупродукта синтетического каучука в бензине Б-70) и окислитель (азотная кислота) (15114).</w:t>
      </w:r>
    </w:p>
    <w:p w14:paraId="106880A7" w14:textId="77777777" w:rsidR="00476D5F" w:rsidRPr="007224C3" w:rsidRDefault="00476D5F" w:rsidP="007224C3">
      <w:pPr>
        <w:spacing w:after="0" w:line="240" w:lineRule="auto"/>
        <w:jc w:val="both"/>
        <w:rPr>
          <w:rFonts w:ascii="Times New Roman" w:hAnsi="Times New Roman"/>
          <w:color w:val="000000" w:themeColor="text1"/>
          <w:sz w:val="16"/>
          <w:szCs w:val="16"/>
        </w:rPr>
      </w:pPr>
    </w:p>
    <w:p w14:paraId="141C3726" w14:textId="77777777" w:rsidR="009C4CA4" w:rsidRPr="007224C3" w:rsidRDefault="009C4CA4"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197C744A" w14:textId="77777777" w:rsidR="009C4CA4" w:rsidRPr="007224C3" w:rsidRDefault="009C4CA4"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685F94C" w14:textId="77777777" w:rsidR="009C4CA4" w:rsidRPr="007224C3" w:rsidRDefault="009C4CA4"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апреля 1944 вышло Постановление ГКО № 5753 О плане производства проката черных металлов во II квартале 1944 г. на основных заводах Наркомчермета. РГАНИР, Фонд ГКО, д. 246, лл. 167,168 (11012).</w:t>
      </w:r>
    </w:p>
    <w:p w14:paraId="6CB9BE36" w14:textId="77777777" w:rsidR="009C4CA4" w:rsidRPr="007224C3" w:rsidRDefault="009C4CA4" w:rsidP="007224C3">
      <w:pPr>
        <w:autoSpaceDE w:val="0"/>
        <w:autoSpaceDN w:val="0"/>
        <w:adjustRightInd w:val="0"/>
        <w:spacing w:after="0" w:line="240" w:lineRule="auto"/>
        <w:jc w:val="both"/>
        <w:rPr>
          <w:rFonts w:ascii="Times New Roman" w:hAnsi="Times New Roman"/>
          <w:color w:val="000000" w:themeColor="text1"/>
          <w:sz w:val="16"/>
          <w:szCs w:val="16"/>
        </w:rPr>
      </w:pPr>
    </w:p>
    <w:p w14:paraId="2CC30326" w14:textId="77777777" w:rsidR="009C4CA4" w:rsidRPr="007224C3" w:rsidRDefault="009C4CA4"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апреля 1944 вышло Распоряжение ГКО № 5754 [О выделении вагонов для перевозки леса и стройматериалов для восстановления Ленинграда.] (7224, 169).</w:t>
      </w:r>
    </w:p>
    <w:p w14:paraId="505C8113" w14:textId="77777777" w:rsidR="009C4CA4" w:rsidRPr="007224C3" w:rsidRDefault="009C4CA4"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7D09F8E" w14:textId="77777777" w:rsidR="009C4CA4" w:rsidRPr="007224C3" w:rsidRDefault="009C4CA4"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апреля 1944 вышло Постановление ГКО № 5755 Об отпуске продовольственных, госпитальных и фуражных пайков для Красной Армии, Военно-Морского флота и войск НКВД в мае 1944 года. РГАНИР, Фонд ГКО, д. 246, лл. 170-172,173 (11012).</w:t>
      </w:r>
    </w:p>
    <w:p w14:paraId="6985C268" w14:textId="77777777" w:rsidR="009C4CA4" w:rsidRPr="007224C3" w:rsidRDefault="009C4CA4" w:rsidP="007224C3">
      <w:pPr>
        <w:autoSpaceDE w:val="0"/>
        <w:autoSpaceDN w:val="0"/>
        <w:adjustRightInd w:val="0"/>
        <w:spacing w:after="0" w:line="240" w:lineRule="auto"/>
        <w:jc w:val="both"/>
        <w:rPr>
          <w:rFonts w:ascii="Times New Roman" w:hAnsi="Times New Roman"/>
          <w:color w:val="000000" w:themeColor="text1"/>
          <w:sz w:val="16"/>
          <w:szCs w:val="16"/>
        </w:rPr>
      </w:pPr>
    </w:p>
    <w:p w14:paraId="4B7FF5FC" w14:textId="77777777" w:rsidR="009C4CA4" w:rsidRPr="007224C3" w:rsidRDefault="009C4CA4"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апреля 1944 Закончен ремонт БМО с бортовым номером 506 (начат 12.ХП 1943 г.) (10671).</w:t>
      </w:r>
    </w:p>
    <w:p w14:paraId="070C9519" w14:textId="77777777" w:rsidR="009C4CA4" w:rsidRPr="007224C3" w:rsidRDefault="009C4CA4" w:rsidP="007224C3">
      <w:pPr>
        <w:autoSpaceDE w:val="0"/>
        <w:autoSpaceDN w:val="0"/>
        <w:adjustRightInd w:val="0"/>
        <w:spacing w:after="0" w:line="240" w:lineRule="auto"/>
        <w:jc w:val="both"/>
        <w:rPr>
          <w:rFonts w:ascii="Times New Roman" w:hAnsi="Times New Roman"/>
          <w:color w:val="000000" w:themeColor="text1"/>
          <w:sz w:val="16"/>
          <w:szCs w:val="16"/>
        </w:rPr>
      </w:pPr>
    </w:p>
    <w:p w14:paraId="08C09DAD" w14:textId="77777777" w:rsidR="00476D5F"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606DB529" w14:textId="77777777" w:rsidR="00476D5F" w:rsidRPr="007224C3" w:rsidRDefault="00476D5F"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BCBD263" w14:textId="77777777" w:rsidR="00476D5F" w:rsidRPr="007224C3" w:rsidRDefault="00476D5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апреля в 1944 году оперативная сводка Совинформбюро:</w:t>
      </w:r>
    </w:p>
    <w:p w14:paraId="055320C5" w14:textId="77777777" w:rsidR="00476D5F" w:rsidRPr="007224C3" w:rsidRDefault="00476D5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29 апреля на фронтах существенных изменений не произошло.</w:t>
      </w:r>
    </w:p>
    <w:p w14:paraId="611CE255" w14:textId="77777777" w:rsidR="00476D5F" w:rsidRPr="007224C3" w:rsidRDefault="00476D5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28 апреля наши войска на всех фронтах подбили и уничтожили 28 немецких танков. В воздушных боях и огнём зенитной артиллерии сбит 71 самолёт противника.».</w:t>
      </w:r>
    </w:p>
    <w:p w14:paraId="2C23BCA2" w14:textId="77777777" w:rsidR="00476D5F" w:rsidRPr="007224C3" w:rsidRDefault="00476D5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Удары кораблей Черноморского флота по судам противника в районеСевастополя.</w:t>
      </w:r>
    </w:p>
    <w:p w14:paraId="72085FF3" w14:textId="77777777" w:rsidR="00476D5F" w:rsidRPr="007224C3" w:rsidRDefault="00476D5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«Корабли Черноморского флота ночью обнаружили две группы судов противника врайоне Севастополя. Один транспорт был атакован нашими кораблями при выходе из бухты Казачья. Другой конвой в составе двух транспортов, тральщика и сторожевых катеров был обнаружен в районе Херсонесского маяка и следовал на запад. В результате ударов наших кораблей потоплены три транспорта противника общим водоизмещением до 11.000 тонн. Кроме того, потоплен один сторожевой катер и нанесены повреждения другим судам охранения.».</w:t>
      </w:r>
    </w:p>
    <w:p w14:paraId="4655E9F5" w14:textId="77777777" w:rsidR="00476D5F" w:rsidRPr="007224C3" w:rsidRDefault="00476D5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«Юго-восточнее города Станислав части Н-ского соединения отбили несколько атак танков и пехоты противника. В этом бою уничтожено до батальона гитлеровцев и 6 немецких танков. Бронебойщик Кайгель Аухадиев в течение дня подбил два немецких танка. Пулемётный расчёт гвардейца Ивана Фирсова под огнём противника зашёл во фланг немцам. В то время, когда гитлеровцы пошли в атаку, наши пулеметчики ударили им в тыл. Атака была сорвана. На поле боя осталось 120 вражеских трупов.</w:t>
      </w:r>
    </w:p>
    <w:p w14:paraId="68FD3F6E" w14:textId="77777777" w:rsidR="00476D5F" w:rsidRPr="007224C3" w:rsidRDefault="00476D5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Советские лётчики подразделения гвардии майора Катнова бомбили скопления вражеских танков и автомашин. Зайдя со стороны солнца, наши бомбардировщики внезапно появились над целью и нанесли тяжёлые потери противнику. В течение дня нашей авиацией уничтожено несколько немецких танков, 5 самоходных орудий и свыше 100 автомашин с грузами. В воздушных боях сбито 13 немецких самолётов.</w:t>
      </w:r>
    </w:p>
    <w:p w14:paraId="56776096" w14:textId="77777777" w:rsidR="00476D5F" w:rsidRPr="007224C3" w:rsidRDefault="00476D5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2-м Прибалтийском фронте наши штурмовики и истребители под командованием старших лейтенантов Грехникова, Савченко и лейтенанта Орден совершили налёт на аэродром противника. По данным разведки, на аэродроме находилось 60 самолётов разных типов. В результате внезапной и стремительной атаки советские лётчики уничтожили на земле 11 немецких самолётов. Кроме того, в воздушных боях над аэродромом сбито 10 самолётов противника.</w:t>
      </w:r>
    </w:p>
    <w:p w14:paraId="3CC13D79" w14:textId="77777777" w:rsidR="00476D5F" w:rsidRPr="007224C3" w:rsidRDefault="00476D5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ночь на 29 апреля в Баренцовом море были обнаружены две самоходные баржи противника, шедшие в охранении четырёх сторожевых катеров. Отряд наших торпедных катеров под командованием капитан-лейтенанта Лозовского атаковал противника. В результате атаки обе баржи потоплены. Артиллерийским огнём повреждён один сторожевой немецкий катер.</w:t>
      </w:r>
    </w:p>
    <w:p w14:paraId="5C6022C6" w14:textId="77777777" w:rsidR="00476D5F" w:rsidRPr="007224C3" w:rsidRDefault="00476D5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Несколько партизанских отрядов Могилёвской области за месяц пустили под откос свыше двадцати немецких воинских эшелонов. Разбито много паровозов и до 300 вагонов с войсками и грузами. Кроме того, огнём из противотанковых ружей советские патриоты вывели из строя 12 паровозов. В боях с противником партизаны истребили более 200 гитлеровцев.</w:t>
      </w:r>
    </w:p>
    <w:p w14:paraId="6F22DB45" w14:textId="77777777" w:rsidR="00476D5F" w:rsidRPr="007224C3" w:rsidRDefault="00476D5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днях в районе города Станислав на сторону Красной Армии перешла большая группа венгерских солдат. Пленные рассказали: «Мы получили приказ атаковать советские позиции. На высоте, позади нас, расположились немцы. Русские вели огонь из всех видов оружия. Атака захлебнулась, и мы залегли. Немцы, занимавшие высоту, тотчас же начали нас обстреливать. Таким образом, мы очутились между двух огней. Короткими перебежками солдаты укрылись в противотанковом рву и решили перейти на сторону русских. Мы послали 8 человек без оружия для переговоров. Вскоре наши парламентёры вернулись в сопровождении советского офицера. Мы сдали ему оружие и мелкими группами перешли в расположение русских».</w:t>
      </w:r>
    </w:p>
    <w:p w14:paraId="2742E200" w14:textId="77777777" w:rsidR="00476D5F" w:rsidRPr="007224C3" w:rsidRDefault="00476D5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другом участке на сторону Красной Армии перешёл солдат пулемётной роты 19 венгерского полка. Он приехал на повозке и привез два исправных станковых пулемёта и 5 тысяч патронов. Перебежчик заявил: «Меня призвали в армию 13 марта 1944 года. Немцы безудержно грабят и опустошают Венгрию. Я не хотел проливать свою кровь за Гитлера. Если уж воевать, так я бы воевал не заодно с немцами, а против них. Я всей душой ненавижу немцев, превративших Венгрию в свою колонию».</w:t>
      </w:r>
    </w:p>
    <w:p w14:paraId="4BE4DE42" w14:textId="77777777" w:rsidR="00476D5F" w:rsidRPr="007224C3" w:rsidRDefault="00476D5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Жители города Гайсин, Винницкой области, составили акт о зверствах немецко-фашистских мерзавцев. В акте говорится: «За время оккупации немецкие изверги расстреляли и замучили свыше 10 тысяч мирных жителей города Гайсин и Гайсинского района. Казни происходили в урочище Белендинка, на гайсинских хуторах и в лесу. Массовые убийства мирных жителей продолжались до самого последнего дня хозяйничанья немецких оккупантов. Гитлеровцы подвергали свои жертвы самым зверским и жестоким пыткам. Тимофея Панчука и Петра Бобура немцы сожгли живьём. Инженера Фадея Шерба гитлеровцы так изуродовали, что семья опознала его только по сохранившимся клочьям нательного белья. На гайсинских хуторах немецко-фашистские разбойники 14 февраля 1944 года бросали взрослых и детей в колодцы. В тот день погибли в колодцах Степан Тарлецкий, Ольга Лиханова и её трое детей, колхозник Яков Юркевич, его жена, трехмесячная дочь Галя, пятилетний сын Жорж и другие. По неполным данным, немцы угнали на каторгу в Германию 3.200 жителей Гайсинского района. Главными виновниками всех этихч удовищных преступлений мы считаем немецкого гебитскомиссара Бехера, его заместителя Ротенбахера и сельскохозяйственного коменданта Гинзеля».</w:t>
      </w:r>
    </w:p>
    <w:p w14:paraId="262F7606" w14:textId="77777777" w:rsidR="00476D5F" w:rsidRPr="007224C3" w:rsidRDefault="00476D5F" w:rsidP="007224C3">
      <w:pPr>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rPr>
        <w:t xml:space="preserve">Акт подписали: доктор А.Оржеховский, священник К.Зарасинский, жители города — Д.Галузинский, Л.Шварнштейн, А.Глазацкий.» </w:t>
      </w:r>
      <w:r w:rsidRPr="007224C3">
        <w:rPr>
          <w:rFonts w:ascii="Times New Roman" w:hAnsi="Times New Roman"/>
          <w:color w:val="000000" w:themeColor="text1"/>
          <w:sz w:val="16"/>
          <w:szCs w:val="16"/>
          <w:lang w:val="en-US"/>
        </w:rPr>
        <w:t>(15114).</w:t>
      </w:r>
    </w:p>
    <w:p w14:paraId="05CF9B2D" w14:textId="77777777" w:rsidR="00476D5F" w:rsidRPr="007224C3" w:rsidRDefault="00476D5F" w:rsidP="007224C3">
      <w:pPr>
        <w:spacing w:after="0" w:line="240" w:lineRule="auto"/>
        <w:jc w:val="both"/>
        <w:rPr>
          <w:rFonts w:ascii="Times New Roman" w:hAnsi="Times New Roman"/>
          <w:color w:val="000000" w:themeColor="text1"/>
          <w:sz w:val="16"/>
          <w:szCs w:val="16"/>
          <w:lang w:val="en-US"/>
        </w:rPr>
      </w:pPr>
    </w:p>
    <w:p w14:paraId="0880BC68"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7224C3">
        <w:rPr>
          <w:rFonts w:ascii="Times New Roman" w:hAnsi="Times New Roman"/>
          <w:i/>
          <w:iCs/>
          <w:color w:val="000000" w:themeColor="text1"/>
          <w:sz w:val="16"/>
          <w:szCs w:val="16"/>
        </w:rPr>
        <w:t>За</w:t>
      </w:r>
      <w:r w:rsidRPr="007224C3">
        <w:rPr>
          <w:rFonts w:ascii="Times New Roman" w:hAnsi="Times New Roman"/>
          <w:i/>
          <w:iCs/>
          <w:color w:val="000000" w:themeColor="text1"/>
          <w:sz w:val="16"/>
          <w:szCs w:val="16"/>
          <w:lang w:val="en-US"/>
        </w:rPr>
        <w:t xml:space="preserve"> </w:t>
      </w:r>
      <w:r w:rsidRPr="007224C3">
        <w:rPr>
          <w:rFonts w:ascii="Times New Roman" w:hAnsi="Times New Roman"/>
          <w:i/>
          <w:iCs/>
          <w:color w:val="000000" w:themeColor="text1"/>
          <w:sz w:val="16"/>
          <w:szCs w:val="16"/>
        </w:rPr>
        <w:t>рубежом</w:t>
      </w:r>
      <w:r w:rsidRPr="007224C3">
        <w:rPr>
          <w:rFonts w:ascii="Times New Roman" w:hAnsi="Times New Roman"/>
          <w:i/>
          <w:iCs/>
          <w:color w:val="000000" w:themeColor="text1"/>
          <w:sz w:val="16"/>
          <w:szCs w:val="16"/>
          <w:lang w:val="en-US"/>
        </w:rPr>
        <w:t>:</w:t>
      </w:r>
    </w:p>
    <w:p w14:paraId="4DC897F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3DE08C6A" w14:textId="77777777" w:rsidR="009127A0" w:rsidRPr="007224C3" w:rsidRDefault="009127A0"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29–30 апреля 1944 самолет оперативной группы авианосцев 58 атакует атолл Трук, сбив 59 японских самолетов, уничтожив 34 самолета на земле, потопив более 20 малых кораблей и судов в гавани, и способствуя потоплению подводной лодки в обмен на потерю 35 самолетов, из них 26 боевых. Поскольку осталось всего 12 исправных самолетов, Truk больше никогда не представляет угрозы для союзных войск (20373).</w:t>
      </w:r>
    </w:p>
    <w:p w14:paraId="6A7794E6" w14:textId="77777777" w:rsidR="009127A0" w:rsidRPr="007224C3" w:rsidRDefault="009127A0" w:rsidP="007224C3">
      <w:pPr>
        <w:spacing w:after="0" w:line="240" w:lineRule="auto"/>
        <w:jc w:val="both"/>
        <w:rPr>
          <w:rFonts w:ascii="Times New Roman" w:hAnsi="Times New Roman"/>
          <w:color w:val="0070C0"/>
          <w:sz w:val="16"/>
          <w:szCs w:val="16"/>
        </w:rPr>
      </w:pPr>
    </w:p>
    <w:p w14:paraId="089825F5" w14:textId="77777777" w:rsidR="009127A0" w:rsidRPr="007224C3" w:rsidRDefault="009127A0"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29–30 апреля 1944 132 британских бомбардировщика без ущерба для себя совершают точные атаки на завод по производству взрывчатых веществ в Сен-Медар-ан-Жаль, Франция и шинный завод Michelin в Клермон-Ферране, Франция (20373).</w:t>
      </w:r>
    </w:p>
    <w:p w14:paraId="4FF4D8C8" w14:textId="77777777" w:rsidR="009127A0" w:rsidRPr="007224C3" w:rsidRDefault="009127A0" w:rsidP="007224C3">
      <w:pPr>
        <w:spacing w:after="0" w:line="240" w:lineRule="auto"/>
        <w:jc w:val="both"/>
        <w:rPr>
          <w:rFonts w:ascii="Times New Roman" w:hAnsi="Times New Roman"/>
          <w:color w:val="0070C0"/>
          <w:sz w:val="16"/>
          <w:szCs w:val="16"/>
        </w:rPr>
      </w:pPr>
    </w:p>
    <w:p w14:paraId="7F2D5402" w14:textId="77777777" w:rsidR="009127A0" w:rsidRPr="007224C3" w:rsidRDefault="009127A0"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29 апреля 1944 первый полет Чемпион Aeronca (20373).</w:t>
      </w:r>
    </w:p>
    <w:p w14:paraId="08FCCB63" w14:textId="77777777" w:rsidR="009127A0" w:rsidRPr="007224C3" w:rsidRDefault="009127A0" w:rsidP="007224C3">
      <w:pPr>
        <w:spacing w:after="0" w:line="240" w:lineRule="auto"/>
        <w:jc w:val="both"/>
        <w:rPr>
          <w:rFonts w:ascii="Times New Roman" w:hAnsi="Times New Roman"/>
          <w:color w:val="0070C0"/>
          <w:sz w:val="16"/>
          <w:szCs w:val="16"/>
        </w:rPr>
      </w:pPr>
    </w:p>
    <w:p w14:paraId="237A51F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29 April - l May 1944 Second Carrier Strike on Truk 1944 Task Force 58 (Vice Admiral M. A. Mitscher), returning to Majuro from the Hollandia operation, launched a 2-day attack on enemy installations and supply dumps at Truk. In addition to damage ashore, three small ships were sunk and 145 enemy aircraft destroyed. Task Group 58.1 (Rear Admiral J. J. Clark), detached from the main force on the second day, flew protective cover for a cruiser bombardment of Satawan, and on 1 May supported bombardment of Ponape with air cover and bombing and strafing attacks (1090).</w:t>
      </w:r>
    </w:p>
    <w:p w14:paraId="26A85BC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3D4FD3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29 апреля по 1 мая 1944 состоялся удар по Турку (1090).</w:t>
      </w:r>
    </w:p>
    <w:p w14:paraId="3D0200D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E803BE"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2FE4414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2A81B0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апреля 1944 закончились заводские испытания Як-9ПД с М-106ПВ, которые начались 27 апреля 1944 и их вел В.И.Юганов. Машину передали в 12 гв. иап Москвы. Потом переделали 30 серийных Як-9ПД с М-105ПД и всего было сделано 35 Як-9ПД (65,127).</w:t>
      </w:r>
    </w:p>
    <w:p w14:paraId="6622A3A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ED2704" w14:textId="77777777" w:rsidR="00630135" w:rsidRPr="007224C3" w:rsidRDefault="0063013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апреля в 1944 году завершены (проводились с 27 апреля) заводские испытания истребителя «Як-9ПД» с двигателем «М-106ПВ». В.И.Югановым, выполнено три полета общей продолжительностью 1 ч 30 мин. После этого самолет передали в 12 гвардейский истребительный авиационный полк ПВО Москвы, где он успешно эксплуатировался до конца войны (15115).</w:t>
      </w:r>
    </w:p>
    <w:p w14:paraId="79FEAD20" w14:textId="77777777" w:rsidR="00630135" w:rsidRPr="007224C3" w:rsidRDefault="00630135" w:rsidP="007224C3">
      <w:pPr>
        <w:spacing w:after="0" w:line="240" w:lineRule="auto"/>
        <w:jc w:val="both"/>
        <w:rPr>
          <w:rFonts w:ascii="Times New Roman" w:hAnsi="Times New Roman"/>
          <w:color w:val="000000" w:themeColor="text1"/>
          <w:sz w:val="16"/>
          <w:szCs w:val="16"/>
        </w:rPr>
      </w:pPr>
    </w:p>
    <w:p w14:paraId="3A449B5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апреля 1944 г. была построена вторая машина Пе-2И В.М.М., на которой были устранены многие из выявленных в ходе испытаний первой машины дефектов. После окончания заводских испытаний дублер своим ходом отправили из Казани в НИИ ВВС. Однако во время перелета он потерпел аварию, что задержало начало гос. испытаний до 12 августа (3337).</w:t>
      </w:r>
    </w:p>
    <w:p w14:paraId="75071B1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A7F33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ап</w:t>
      </w:r>
      <w:r w:rsidRPr="007224C3">
        <w:rPr>
          <w:rFonts w:ascii="Times New Roman" w:hAnsi="Times New Roman"/>
          <w:color w:val="000000" w:themeColor="text1"/>
          <w:sz w:val="16"/>
          <w:szCs w:val="16"/>
        </w:rPr>
        <w:softHyphen/>
        <w:t>реля 1944 года был построен второй Пе-2И, на котором были устранены многие из выявленных в ходе испытаний дефектов. После окончания заводских испыта</w:t>
      </w:r>
      <w:r w:rsidRPr="007224C3">
        <w:rPr>
          <w:rFonts w:ascii="Times New Roman" w:hAnsi="Times New Roman"/>
          <w:color w:val="000000" w:themeColor="text1"/>
          <w:sz w:val="16"/>
          <w:szCs w:val="16"/>
        </w:rPr>
        <w:softHyphen/>
        <w:t>ний дублер своим ходом отправили из Казани в НИИ ВВС. Однако во время перелета он потерпел аварию, что задержало начало государственных испытаний до 12 августа.</w:t>
      </w:r>
    </w:p>
    <w:p w14:paraId="422A4A2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дублере Пе-2И носовой пулемет УБК перенесли на левый борт под сиденье пилота, предусмотрев на его месте установку облегченной 20-мм пушки УБ-20. Допускалась наружная подвеска двух бомб калибра 250 или 500 кг, что позволило увеличить максималь</w:t>
      </w:r>
      <w:r w:rsidRPr="007224C3">
        <w:rPr>
          <w:rFonts w:ascii="Times New Roman" w:hAnsi="Times New Roman"/>
          <w:color w:val="000000" w:themeColor="text1"/>
          <w:sz w:val="16"/>
          <w:szCs w:val="16"/>
        </w:rPr>
        <w:softHyphen/>
        <w:t>ную бомбовую нагрузку до 2000 кг. В систему управле</w:t>
      </w:r>
      <w:r w:rsidRPr="007224C3">
        <w:rPr>
          <w:rFonts w:ascii="Times New Roman" w:hAnsi="Times New Roman"/>
          <w:color w:val="000000" w:themeColor="text1"/>
          <w:sz w:val="16"/>
          <w:szCs w:val="16"/>
        </w:rPr>
        <w:softHyphen/>
        <w:t>ния рулем высоты ввели весовой балансир и пружину, что, однако, не привело к снижению усилий на штурва</w:t>
      </w:r>
      <w:r w:rsidRPr="007224C3">
        <w:rPr>
          <w:rFonts w:ascii="Times New Roman" w:hAnsi="Times New Roman"/>
          <w:color w:val="000000" w:themeColor="text1"/>
          <w:sz w:val="16"/>
          <w:szCs w:val="16"/>
        </w:rPr>
        <w:softHyphen/>
        <w:t>ле и не улучшило управляемость. На воздушных вин</w:t>
      </w:r>
      <w:r w:rsidRPr="007224C3">
        <w:rPr>
          <w:rFonts w:ascii="Times New Roman" w:hAnsi="Times New Roman"/>
          <w:color w:val="000000" w:themeColor="text1"/>
          <w:sz w:val="16"/>
          <w:szCs w:val="16"/>
        </w:rPr>
        <w:softHyphen/>
        <w:t>тах установили антиобледенительные устройства. Из</w:t>
      </w:r>
      <w:r w:rsidRPr="007224C3">
        <w:rPr>
          <w:rFonts w:ascii="Times New Roman" w:hAnsi="Times New Roman"/>
          <w:color w:val="000000" w:themeColor="text1"/>
          <w:sz w:val="16"/>
          <w:szCs w:val="16"/>
        </w:rPr>
        <w:softHyphen/>
        <w:t>менили нижнее остекление и расположение приборов у летчика. Уменьшили на 50 литров емкость бензоба</w:t>
      </w:r>
      <w:r w:rsidRPr="007224C3">
        <w:rPr>
          <w:rFonts w:ascii="Times New Roman" w:hAnsi="Times New Roman"/>
          <w:color w:val="000000" w:themeColor="text1"/>
          <w:sz w:val="16"/>
          <w:szCs w:val="16"/>
        </w:rPr>
        <w:softHyphen/>
        <w:t>ков. Установили кассеты авиационных гранат ДАГ-10 для защиты задней полусферы. Радиостанцию пере</w:t>
      </w:r>
      <w:r w:rsidRPr="007224C3">
        <w:rPr>
          <w:rFonts w:ascii="Times New Roman" w:hAnsi="Times New Roman"/>
          <w:color w:val="000000" w:themeColor="text1"/>
          <w:sz w:val="16"/>
          <w:szCs w:val="16"/>
        </w:rPr>
        <w:softHyphen/>
        <w:t>несли из хвостового отсека к штурману и сняли один аккумулятор, заменив электрогенераторы более мощ</w:t>
      </w:r>
      <w:r w:rsidRPr="007224C3">
        <w:rPr>
          <w:rFonts w:ascii="Times New Roman" w:hAnsi="Times New Roman"/>
          <w:color w:val="000000" w:themeColor="text1"/>
          <w:sz w:val="16"/>
          <w:szCs w:val="16"/>
        </w:rPr>
        <w:softHyphen/>
        <w:t>ными. В таком виде вторая машина поступила в НИИ ВВС.</w:t>
      </w:r>
    </w:p>
    <w:p w14:paraId="6B6B13A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июля 1944 года оба Пе-2И начали второй этап государственных испытаний. Почти за три месяца бы</w:t>
      </w:r>
      <w:r w:rsidRPr="007224C3">
        <w:rPr>
          <w:rFonts w:ascii="Times New Roman" w:hAnsi="Times New Roman"/>
          <w:color w:val="000000" w:themeColor="text1"/>
          <w:sz w:val="16"/>
          <w:szCs w:val="16"/>
        </w:rPr>
        <w:softHyphen/>
        <w:t>ло выполнено 49 полетов. Ведущими по испытаниям были инженер Г.В. Грибакин и летчик А.М. Хрипков. В облетах машины принимали участие штурманы Ро-машко и Филиппов.</w:t>
      </w:r>
    </w:p>
    <w:p w14:paraId="05DDDFF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акте по результатам второго этапа государствен</w:t>
      </w:r>
      <w:r w:rsidRPr="007224C3">
        <w:rPr>
          <w:rFonts w:ascii="Times New Roman" w:hAnsi="Times New Roman"/>
          <w:color w:val="000000" w:themeColor="text1"/>
          <w:sz w:val="16"/>
          <w:szCs w:val="16"/>
        </w:rPr>
        <w:softHyphen/>
        <w:t>ных испытаний, утвержденном 21 ноября 1944 года, отмечалось, что «самолет пикирует устойчиво под угла</w:t>
      </w:r>
      <w:r w:rsidRPr="007224C3">
        <w:rPr>
          <w:rFonts w:ascii="Times New Roman" w:hAnsi="Times New Roman"/>
          <w:color w:val="000000" w:themeColor="text1"/>
          <w:sz w:val="16"/>
          <w:szCs w:val="16"/>
        </w:rPr>
        <w:softHyphen/>
        <w:t>ми до 70 град. На виражах поведение самолета устойчи</w:t>
      </w:r>
      <w:r w:rsidRPr="007224C3">
        <w:rPr>
          <w:rFonts w:ascii="Times New Roman" w:hAnsi="Times New Roman"/>
          <w:color w:val="000000" w:themeColor="text1"/>
          <w:sz w:val="16"/>
          <w:szCs w:val="16"/>
        </w:rPr>
        <w:softHyphen/>
        <w:t>во... При выполнении глубоких виражей (60—65 град.) на штурвале возникают ощутительные нагрузки. Выполне</w:t>
      </w:r>
      <w:r w:rsidRPr="007224C3">
        <w:rPr>
          <w:rFonts w:ascii="Times New Roman" w:hAnsi="Times New Roman"/>
          <w:color w:val="000000" w:themeColor="text1"/>
          <w:sz w:val="16"/>
          <w:szCs w:val="16"/>
        </w:rPr>
        <w:softHyphen/>
        <w:t>ние предельного виража является трудным и требует для сохранения высоты и выдерживания скорости навыка и тренировки...</w:t>
      </w:r>
    </w:p>
    <w:p w14:paraId="2BE4ADD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пилотируется на одном моторе с полетным весом около 9000 кг на высотах до 5000 метров с затяже-ленным винтом неработающего мотора. С незатяжелен-ным винтом при этом же весе самолет пилотируется на одном моторе на высотах до 2000 метров... При полете на одном моторе нагрузки полностью снимаются триммером руля поворота».</w:t>
      </w:r>
    </w:p>
    <w:p w14:paraId="7EECE42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Особое место в ходе испытаний занимал воздуш</w:t>
      </w:r>
      <w:r w:rsidRPr="007224C3">
        <w:rPr>
          <w:rFonts w:ascii="Times New Roman" w:hAnsi="Times New Roman"/>
          <w:color w:val="000000" w:themeColor="text1"/>
          <w:sz w:val="16"/>
          <w:szCs w:val="16"/>
        </w:rPr>
        <w:softHyphen/>
        <w:t>ный бой Пе-2И с немецким трофейным истребителем ВИ09С-4 с мотором ОВ-601, который пилотировал летчик-испытатель Поминальный. Он производился на высотах до 7000 м и продолжался 50 минут.</w:t>
      </w:r>
    </w:p>
    <w:p w14:paraId="60FA3D2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Штурман-испытатель Ромашко в своем донесении отмечал:</w:t>
      </w:r>
    </w:p>
    <w:p w14:paraId="7B08106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наборе высоты 3000 м и на боевом курсе при ско</w:t>
      </w:r>
      <w:r w:rsidRPr="007224C3">
        <w:rPr>
          <w:rFonts w:ascii="Times New Roman" w:hAnsi="Times New Roman"/>
          <w:color w:val="000000" w:themeColor="text1"/>
          <w:sz w:val="16"/>
          <w:szCs w:val="16"/>
        </w:rPr>
        <w:softHyphen/>
        <w:t>рости самолета Пе-2И, равной 0.8 \/тах, истребитель не сделал ни одной атаки. При разворотах для повторного захода на бомбометание истребителю удавалось, срезая круг, производить одну кратковременную атаку сбоку. При попытке повторить атаку истребитель оказался в хво</w:t>
      </w:r>
      <w:r w:rsidRPr="007224C3">
        <w:rPr>
          <w:rFonts w:ascii="Times New Roman" w:hAnsi="Times New Roman"/>
          <w:color w:val="000000" w:themeColor="text1"/>
          <w:sz w:val="16"/>
          <w:szCs w:val="16"/>
        </w:rPr>
        <w:softHyphen/>
        <w:t>сте, в конусе обстрела задней пулеметной установки. При наборе высоты 7000 м и снижении с газом, Ме-109Г-4 имеет преимущество в вертикальной скорости и может делать даже повторные атаки с хвоста, под углами, не</w:t>
      </w:r>
      <w:r w:rsidRPr="007224C3">
        <w:rPr>
          <w:rFonts w:ascii="Times New Roman" w:hAnsi="Times New Roman"/>
          <w:color w:val="000000" w:themeColor="text1"/>
          <w:sz w:val="16"/>
          <w:szCs w:val="16"/>
        </w:rPr>
        <w:softHyphen/>
        <w:t>много превышающими углы обстрела задней стрелковой установки самолета Пе-2И.</w:t>
      </w:r>
    </w:p>
    <w:p w14:paraId="7F6A0B1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горизонтальном полете на максимальной скорости до высоты 7000 м Ме-109Г-4 отстает от самолета Пе-2И.</w:t>
      </w:r>
    </w:p>
    <w:p w14:paraId="2238833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Уход от истребителя и отражение атак при снижении с газом невозможны, так как Ме-109Г-4 может произвести и повторные атаки, не подставляя себя под огонь заднего пулемета...».</w:t>
      </w:r>
    </w:p>
    <w:p w14:paraId="6D0FAE2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своих выводах летчик Поминальный отмечал: «Самолет истребитель Ме- 109Г-4 имеет преимущество над самолетом Пе-2И по вертикальным скоростям и может атаковать последний только при наборе вы</w:t>
      </w:r>
      <w:r w:rsidRPr="007224C3">
        <w:rPr>
          <w:rFonts w:ascii="Times New Roman" w:hAnsi="Times New Roman"/>
          <w:color w:val="000000" w:themeColor="text1"/>
          <w:sz w:val="16"/>
          <w:szCs w:val="16"/>
        </w:rPr>
        <w:softHyphen/>
        <w:t>соты или снижении.</w:t>
      </w:r>
    </w:p>
    <w:p w14:paraId="0D99C73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горизонтальном полете самолет Пе-2И на всех вы</w:t>
      </w:r>
      <w:r w:rsidRPr="007224C3">
        <w:rPr>
          <w:rFonts w:ascii="Times New Roman" w:hAnsi="Times New Roman"/>
          <w:color w:val="000000" w:themeColor="text1"/>
          <w:sz w:val="16"/>
          <w:szCs w:val="16"/>
        </w:rPr>
        <w:softHyphen/>
        <w:t>сотах до 7000 м имеет преимущество в максимальной скорости над истребителем и последний не может атако</w:t>
      </w:r>
      <w:r w:rsidRPr="007224C3">
        <w:rPr>
          <w:rFonts w:ascii="Times New Roman" w:hAnsi="Times New Roman"/>
          <w:color w:val="000000" w:themeColor="text1"/>
          <w:sz w:val="16"/>
          <w:szCs w:val="16"/>
        </w:rPr>
        <w:softHyphen/>
        <w:t>вать его, если будет своевременно замечен экипажем са</w:t>
      </w:r>
      <w:r w:rsidRPr="007224C3">
        <w:rPr>
          <w:rFonts w:ascii="Times New Roman" w:hAnsi="Times New Roman"/>
          <w:color w:val="000000" w:themeColor="text1"/>
          <w:sz w:val="16"/>
          <w:szCs w:val="16"/>
        </w:rPr>
        <w:softHyphen/>
        <w:t>молета Пе-2И».</w:t>
      </w:r>
    </w:p>
    <w:p w14:paraId="5F7C854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заключении «Акта по результатам государствен</w:t>
      </w:r>
      <w:r w:rsidRPr="007224C3">
        <w:rPr>
          <w:rFonts w:ascii="Times New Roman" w:hAnsi="Times New Roman"/>
          <w:color w:val="000000" w:themeColor="text1"/>
          <w:sz w:val="16"/>
          <w:szCs w:val="16"/>
        </w:rPr>
        <w:softHyphen/>
        <w:t>ных испытаний...» говорилось, что необходимо «... ус</w:t>
      </w:r>
      <w:r w:rsidRPr="007224C3">
        <w:rPr>
          <w:rFonts w:ascii="Times New Roman" w:hAnsi="Times New Roman"/>
          <w:color w:val="000000" w:themeColor="text1"/>
          <w:sz w:val="16"/>
          <w:szCs w:val="16"/>
        </w:rPr>
        <w:softHyphen/>
        <w:t>корить выпуск пяти головных самолетов Пе-2Идля прове</w:t>
      </w:r>
      <w:r w:rsidRPr="007224C3">
        <w:rPr>
          <w:rFonts w:ascii="Times New Roman" w:hAnsi="Times New Roman"/>
          <w:color w:val="000000" w:themeColor="text1"/>
          <w:sz w:val="16"/>
          <w:szCs w:val="16"/>
        </w:rPr>
        <w:softHyphen/>
        <w:t>дения войсковых испытаний. Считать целесообразным, учитывая возможность улучшения в дальнейшем скорост</w:t>
      </w:r>
      <w:r w:rsidRPr="007224C3">
        <w:rPr>
          <w:rFonts w:ascii="Times New Roman" w:hAnsi="Times New Roman"/>
          <w:color w:val="000000" w:themeColor="text1"/>
          <w:sz w:val="16"/>
          <w:szCs w:val="16"/>
        </w:rPr>
        <w:softHyphen/>
        <w:t>ных данных истребителей противника, отработать на са</w:t>
      </w:r>
      <w:r w:rsidRPr="007224C3">
        <w:rPr>
          <w:rFonts w:ascii="Times New Roman" w:hAnsi="Times New Roman"/>
          <w:color w:val="000000" w:themeColor="text1"/>
          <w:sz w:val="16"/>
          <w:szCs w:val="16"/>
        </w:rPr>
        <w:softHyphen/>
        <w:t>молете Пе-2И вариант усиления оборонительного стрел</w:t>
      </w:r>
      <w:r w:rsidRPr="007224C3">
        <w:rPr>
          <w:rFonts w:ascii="Times New Roman" w:hAnsi="Times New Roman"/>
          <w:color w:val="000000" w:themeColor="text1"/>
          <w:sz w:val="16"/>
          <w:szCs w:val="16"/>
        </w:rPr>
        <w:softHyphen/>
        <w:t>кового вооружения...».</w:t>
      </w:r>
    </w:p>
    <w:p w14:paraId="4712287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Данную рекомендацию реализовали в 1945 году на самолете Пе-2М, переделанном из второго экземпляра Пе-2И. На бомбардировщике пулеметное вооружение тремя пушками Б-20. Установили новый измененный фонарь летчика и штурмана, а в задней части фюзеля</w:t>
      </w:r>
      <w:r w:rsidRPr="007224C3">
        <w:rPr>
          <w:rFonts w:ascii="Times New Roman" w:hAnsi="Times New Roman"/>
          <w:color w:val="000000" w:themeColor="text1"/>
          <w:sz w:val="16"/>
          <w:szCs w:val="16"/>
        </w:rPr>
        <w:softHyphen/>
        <w:t>жа появилась кабина стрелка-радиста с бронезащи-той и улучшенным обзором. Для сохранения требуемых запасов продольной устойчивости увеличили стрело</w:t>
      </w:r>
      <w:r w:rsidRPr="007224C3">
        <w:rPr>
          <w:rFonts w:ascii="Times New Roman" w:hAnsi="Times New Roman"/>
          <w:color w:val="000000" w:themeColor="text1"/>
          <w:sz w:val="16"/>
          <w:szCs w:val="16"/>
        </w:rPr>
        <w:softHyphen/>
        <w:t>видность передних кромок крыла и площадь его кон</w:t>
      </w:r>
      <w:r w:rsidRPr="007224C3">
        <w:rPr>
          <w:rFonts w:ascii="Times New Roman" w:hAnsi="Times New Roman"/>
          <w:color w:val="000000" w:themeColor="text1"/>
          <w:sz w:val="16"/>
          <w:szCs w:val="16"/>
        </w:rPr>
        <w:softHyphen/>
        <w:t>цевых обтекателей. Шасси получили новые амортиза</w:t>
      </w:r>
      <w:r w:rsidRPr="007224C3">
        <w:rPr>
          <w:rFonts w:ascii="Times New Roman" w:hAnsi="Times New Roman"/>
          <w:color w:val="000000" w:themeColor="text1"/>
          <w:sz w:val="16"/>
          <w:szCs w:val="16"/>
        </w:rPr>
        <w:softHyphen/>
        <w:t>торы с увеличенным ходом, попутно устранили ряд де</w:t>
      </w:r>
      <w:r w:rsidRPr="007224C3">
        <w:rPr>
          <w:rFonts w:ascii="Times New Roman" w:hAnsi="Times New Roman"/>
          <w:color w:val="000000" w:themeColor="text1"/>
          <w:sz w:val="16"/>
          <w:szCs w:val="16"/>
        </w:rPr>
        <w:softHyphen/>
        <w:t>фектов, выявленных в ходе государственных испыта</w:t>
      </w:r>
      <w:r w:rsidRPr="007224C3">
        <w:rPr>
          <w:rFonts w:ascii="Times New Roman" w:hAnsi="Times New Roman"/>
          <w:color w:val="000000" w:themeColor="text1"/>
          <w:sz w:val="16"/>
          <w:szCs w:val="16"/>
        </w:rPr>
        <w:softHyphen/>
        <w:t>ний Пе-2И (11446).</w:t>
      </w:r>
    </w:p>
    <w:p w14:paraId="1EA7737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90556FA"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7CE677E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091E262" w14:textId="77777777" w:rsidR="005B7AF8" w:rsidRPr="007224C3" w:rsidRDefault="005B7AF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30 апреля 1944 г. С.И.Ветошкин и Дубовицкий (начальники 3-го главка НКВ и УЗПСВ ГАУ РККА, соответственно) направили на завод № 60 НКВ телеграмму, разрешавшую предприятию работать первые три дня в мае в счет выполнения апрельской программы. Когда Ветошкин и Дубовицкий давали КПК объяснения по </w:t>
      </w:r>
      <w:r w:rsidRPr="007224C3">
        <w:rPr>
          <w:rFonts w:ascii="Times New Roman" w:hAnsi="Times New Roman"/>
          <w:color w:val="000000" w:themeColor="text1"/>
          <w:sz w:val="16"/>
          <w:szCs w:val="16"/>
        </w:rPr>
        <w:lastRenderedPageBreak/>
        <w:t>этому поводу, выяснилось, что случай завода № 60 не единственный. Дубовицкий прямо заявил, что во избежании срыва плана и для обеспечения потребности войск УЗПСВ ГАУ совместно с 3-м главком НКВ давало согласие и для других заводов (18627).</w:t>
      </w:r>
    </w:p>
    <w:p w14:paraId="67A695F4" w14:textId="77777777" w:rsidR="005B7AF8" w:rsidRPr="007224C3" w:rsidRDefault="005B7AF8" w:rsidP="007224C3">
      <w:pPr>
        <w:spacing w:after="0" w:line="240" w:lineRule="auto"/>
        <w:jc w:val="both"/>
        <w:rPr>
          <w:rFonts w:ascii="Times New Roman" w:hAnsi="Times New Roman"/>
          <w:color w:val="000000" w:themeColor="text1"/>
          <w:sz w:val="16"/>
          <w:szCs w:val="16"/>
        </w:rPr>
      </w:pPr>
    </w:p>
    <w:p w14:paraId="7CD38EF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апреля 1944 г. был издан приказ НКТП об изго</w:t>
      </w:r>
      <w:r w:rsidRPr="007224C3">
        <w:rPr>
          <w:rFonts w:ascii="Times New Roman" w:hAnsi="Times New Roman"/>
          <w:color w:val="000000" w:themeColor="text1"/>
          <w:sz w:val="16"/>
          <w:szCs w:val="16"/>
        </w:rPr>
        <w:softHyphen/>
        <w:t>товлении к 8 мая 1944 г. опытного образца самоходной установки с пуш</w:t>
      </w:r>
      <w:r w:rsidRPr="007224C3">
        <w:rPr>
          <w:rFonts w:ascii="Times New Roman" w:hAnsi="Times New Roman"/>
          <w:color w:val="000000" w:themeColor="text1"/>
          <w:sz w:val="16"/>
          <w:szCs w:val="16"/>
        </w:rPr>
        <w:softHyphen/>
        <w:t>кой С-34 и проведении сравнительных испытаний самоходных устано</w:t>
      </w:r>
      <w:r w:rsidRPr="007224C3">
        <w:rPr>
          <w:rFonts w:ascii="Times New Roman" w:hAnsi="Times New Roman"/>
          <w:color w:val="000000" w:themeColor="text1"/>
          <w:sz w:val="16"/>
          <w:szCs w:val="16"/>
        </w:rPr>
        <w:softHyphen/>
        <w:t>вок СУ-100, вооруженных 100-мм пушками Д-10С и С-34. Так как кон</w:t>
      </w:r>
      <w:r w:rsidRPr="007224C3">
        <w:rPr>
          <w:rFonts w:ascii="Times New Roman" w:hAnsi="Times New Roman"/>
          <w:color w:val="000000" w:themeColor="text1"/>
          <w:sz w:val="16"/>
          <w:szCs w:val="16"/>
        </w:rPr>
        <w:softHyphen/>
        <w:t>струкция пушки С-34 не позволяла установить ее в корпус СУ-85 без су</w:t>
      </w:r>
      <w:r w:rsidRPr="007224C3">
        <w:rPr>
          <w:rFonts w:ascii="Times New Roman" w:hAnsi="Times New Roman"/>
          <w:color w:val="000000" w:themeColor="text1"/>
          <w:sz w:val="16"/>
          <w:szCs w:val="16"/>
        </w:rPr>
        <w:softHyphen/>
        <w:t>щественных изменений последней, то по распоряжению НКВ и ГАУ РККА завод № 9 произвел частичные переделки пушки С-34 ЦАКБ. Эти изменения позволили осуществить ее монтаж в броневую рубку са</w:t>
      </w:r>
      <w:r w:rsidRPr="007224C3">
        <w:rPr>
          <w:rFonts w:ascii="Times New Roman" w:hAnsi="Times New Roman"/>
          <w:color w:val="000000" w:themeColor="text1"/>
          <w:sz w:val="16"/>
          <w:szCs w:val="16"/>
        </w:rPr>
        <w:softHyphen/>
        <w:t>моходной установки СУ-85. Это были минимальные переделки, при ко</w:t>
      </w:r>
      <w:r w:rsidRPr="007224C3">
        <w:rPr>
          <w:rFonts w:ascii="Times New Roman" w:hAnsi="Times New Roman"/>
          <w:color w:val="000000" w:themeColor="text1"/>
          <w:sz w:val="16"/>
          <w:szCs w:val="16"/>
        </w:rPr>
        <w:softHyphen/>
        <w:t>торых могла быть выполнена установка пушки с меньшими дефектами, чем без переделок. Полное устранение дефектов по существу приводило к изготовлению артиллерийского орудия, аналогичного орудию, специ</w:t>
      </w:r>
      <w:r w:rsidRPr="007224C3">
        <w:rPr>
          <w:rFonts w:ascii="Times New Roman" w:hAnsi="Times New Roman"/>
          <w:color w:val="000000" w:themeColor="text1"/>
          <w:sz w:val="16"/>
          <w:szCs w:val="16"/>
        </w:rPr>
        <w:softHyphen/>
        <w:t>ально сконструированному заводом № 9 для этой самоходной установ</w:t>
      </w:r>
      <w:r w:rsidRPr="007224C3">
        <w:rPr>
          <w:rFonts w:ascii="Times New Roman" w:hAnsi="Times New Roman"/>
          <w:color w:val="000000" w:themeColor="text1"/>
          <w:sz w:val="16"/>
          <w:szCs w:val="16"/>
        </w:rPr>
        <w:softHyphen/>
        <w:t>ки — пушке Д-10С. Новая САУ получила заводской индекс СУ-100-2 (10703).</w:t>
      </w:r>
    </w:p>
    <w:p w14:paraId="5B21D94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99506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апреля 1944 г. было подготовлено ЗАКЛЮЧЕНИЕ КОМАНДУЮЩЕГО АРТИЛЛЕРИЕЙ КА КОМАНДУЮЩЕМУ БТ и МВ КА ПО РЕЗУЛЬТАТАМ СТРЕЛЬБ ИЗ 122-мм ТАНКОВОЙ ПУШКИ Д-25 И 100-мм ТАНКОВОЙ ПУШКИ Д-10 №620516</w:t>
      </w:r>
    </w:p>
    <w:p w14:paraId="60ADA66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Рассмотрев результаты сравнительных стрельб из 122-мм танковой пушки Д-25 и 100-мм тан</w:t>
      </w:r>
      <w:r w:rsidRPr="007224C3">
        <w:rPr>
          <w:rFonts w:ascii="Times New Roman" w:hAnsi="Times New Roman"/>
          <w:color w:val="000000" w:themeColor="text1"/>
          <w:sz w:val="16"/>
          <w:szCs w:val="16"/>
        </w:rPr>
        <w:softHyphen/>
        <w:t>ковой пушки Д-10, ГАУ Красной Армии приходит к следующему заключению:</w:t>
      </w:r>
    </w:p>
    <w:p w14:paraId="00D59F5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Скорострельность пушки Д-10 в три раза больше скорострельности пушки Д-25, что являет</w:t>
      </w:r>
      <w:r w:rsidRPr="007224C3">
        <w:rPr>
          <w:rFonts w:ascii="Times New Roman" w:hAnsi="Times New Roman"/>
          <w:color w:val="000000" w:themeColor="text1"/>
          <w:sz w:val="16"/>
          <w:szCs w:val="16"/>
        </w:rPr>
        <w:softHyphen/>
        <w:t>ся значительным преимуществом пушки Д-10.</w:t>
      </w:r>
    </w:p>
    <w:p w14:paraId="1E4F02A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100-мм пушка Д-10 имеет в настоящее время бронебойный снаряд недостаточной прочности, и поэтому не обеспечивает надежного пробития брони танка «Пантера» на дальности свыше 1200м.</w:t>
      </w:r>
    </w:p>
    <w:p w14:paraId="5826B5E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Решение о введении на вооружение танка ИС 100-мм пушки Д-10 взамен 122-мм пушки Д-25 сле</w:t>
      </w:r>
      <w:r w:rsidRPr="007224C3">
        <w:rPr>
          <w:rFonts w:ascii="Times New Roman" w:hAnsi="Times New Roman"/>
          <w:color w:val="000000" w:themeColor="text1"/>
          <w:sz w:val="16"/>
          <w:szCs w:val="16"/>
        </w:rPr>
        <w:softHyphen/>
        <w:t>дует отложить до надлежащей отработки 100-мм бронебойного снаряда и полуавтоматики пушки Д-10.</w:t>
      </w:r>
    </w:p>
    <w:p w14:paraId="601CA14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Вследствие того, что 100-мм пушка Д-10 и ее боеприпасы в уже существующем виде значитель</w:t>
      </w:r>
      <w:r w:rsidRPr="007224C3">
        <w:rPr>
          <w:rFonts w:ascii="Times New Roman" w:hAnsi="Times New Roman"/>
          <w:color w:val="000000" w:themeColor="text1"/>
          <w:sz w:val="16"/>
          <w:szCs w:val="16"/>
        </w:rPr>
        <w:softHyphen/>
        <w:t>но мощнее 85-мм пушки Д-5, необходимо осуществить перевооружение артсамохода СУ-85 100-мм пушкой Д-10, для чего следует заказать установочную серию артсамоходов с пушкой Д-10, при из</w:t>
      </w:r>
      <w:r w:rsidRPr="007224C3">
        <w:rPr>
          <w:rFonts w:ascii="Times New Roman" w:hAnsi="Times New Roman"/>
          <w:color w:val="000000" w:themeColor="text1"/>
          <w:sz w:val="16"/>
          <w:szCs w:val="16"/>
        </w:rPr>
        <w:softHyphen/>
        <w:t>готовлении которой исправить недостатки самохода и орудия, выявленные на испытаниях.</w:t>
      </w:r>
    </w:p>
    <w:p w14:paraId="4564718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122-мм пушка Д-25 обеспечивает надежное пробитие лобовой брони танка «Пантера» на дальности несколько более 2000 м.</w:t>
      </w:r>
    </w:p>
    <w:p w14:paraId="3964BD4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Бронебойный снаряд пушки обладает необходимой прочностью, а осколочно-фугасная грана</w:t>
      </w:r>
      <w:r w:rsidRPr="007224C3">
        <w:rPr>
          <w:rFonts w:ascii="Times New Roman" w:hAnsi="Times New Roman"/>
          <w:color w:val="000000" w:themeColor="text1"/>
          <w:sz w:val="16"/>
          <w:szCs w:val="16"/>
        </w:rPr>
        <w:softHyphen/>
        <w:t>та большим эффектом осколочного и фугасного действия.</w:t>
      </w:r>
    </w:p>
    <w:p w14:paraId="68BE608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Впредь до отработки боеприпасов и материальной части пушки Д-10 необходимо 122-мм танко</w:t>
      </w:r>
      <w:r w:rsidRPr="007224C3">
        <w:rPr>
          <w:rFonts w:ascii="Times New Roman" w:hAnsi="Times New Roman"/>
          <w:color w:val="000000" w:themeColor="text1"/>
          <w:sz w:val="16"/>
          <w:szCs w:val="16"/>
        </w:rPr>
        <w:softHyphen/>
        <w:t>вую пушку Д-25 иметь основным вооружением танка ИС.</w:t>
      </w:r>
    </w:p>
    <w:p w14:paraId="6A8AE28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Проведение опытных работ по созданию 122-мм унитарного патрона целесообразно, при этом нужно учесть, что для введения унитарного патрона к пушке Д-25 потребуется изменение каморы орудия, запасной части снаряда и гильзы.</w:t>
      </w:r>
    </w:p>
    <w:p w14:paraId="6D22398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 и габариты унитарного 122-мм патрона будут затруднять работу заряжающего, что, безус</w:t>
      </w:r>
      <w:r w:rsidRPr="007224C3">
        <w:rPr>
          <w:rFonts w:ascii="Times New Roman" w:hAnsi="Times New Roman"/>
          <w:color w:val="000000" w:themeColor="text1"/>
          <w:sz w:val="16"/>
          <w:szCs w:val="16"/>
        </w:rPr>
        <w:softHyphen/>
        <w:t>ловно, не позволит довести скорострельность пушки Д-25 до уровня 100-мм пушки Д-10.</w:t>
      </w:r>
    </w:p>
    <w:p w14:paraId="5506B98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Вне зависимости от результатов сравнительных стрельб из пушек Д-10 и Д-25, монтаж 100-мм пушек С-34 на танке и самоходе продолжать с последующим их испытанием.</w:t>
      </w:r>
    </w:p>
    <w:p w14:paraId="7E07574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Командующий артиллерией КА Главный маршал артиллерии Н. Воронов</w:t>
      </w:r>
    </w:p>
    <w:p w14:paraId="7AAB978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38. Оп. 11359. Д. 490. Л. 37 - 38. Подлинник (11420).</w:t>
      </w:r>
    </w:p>
    <w:p w14:paraId="23E10F5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C16CC89" w14:textId="77777777" w:rsidR="005B7AF8" w:rsidRPr="007224C3" w:rsidRDefault="005B7AF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апреля 1944 на ГАЗ прошли первые испытания стрельбой СУ-57. Для постройки опытного образца машины была взята серийная СУ-76М с серийным номером 404855, выпущенная в апреле 1944 года. Всего произвели 25 выстрелов, из них 20 усиленным зарядом. На АНИОП с 1 по 4 мая произвели ещё 270 выстрелов, из них 107 на усиленном заряде. Кучность осколочно-фугасного снаряда признали удовлетворительной, а кучность бронебойно-трассирующего снаряда — неудовлетворительной. Это была проблема не САУ, а её пушки: похожие проблемы АНИОП отмечал и при испытании ЗИС-2 осенью 1943 года. Лучше оказались результаты стрельбой подкалиберным снарядом.</w:t>
      </w:r>
    </w:p>
    <w:p w14:paraId="61B15944" w14:textId="77777777" w:rsidR="005B7AF8" w:rsidRPr="007224C3" w:rsidRDefault="005B7AF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Прицельная скорострельность достигла 10 выстрелов в минуту, а максимальная — до 15. Испытателям не понравились прицельные приспособления. СУ-76М получила не ЗИС-2, а ствол от неё: панорамный прицел от ЗИС-3, плохо подходивший для стрельбы по движущимся целям, остался на месте. Также не понравилось боевое отделение, частично открытое сзади и с боков.</w:t>
      </w:r>
    </w:p>
    <w:p w14:paraId="6BBA7A10" w14:textId="77777777" w:rsidR="005B7AF8" w:rsidRPr="007224C3" w:rsidRDefault="005B7AF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Опытную САУ признали выдержавшей испытания, но требующей ряда переделок. Вместо панорамного прицела следовало поставить телескопический прицел 10-Т. Также нужно было установить электроспуск с кнопкой в рукоятке маховика подъёмного механизма и сделать боевое отделение полностью закрытым. Крышу требовалось изготовить из листов толщиной 5–8 мм, а борта и корму — 15 мм. В корме предусматривался двухстворчатый люк.</w:t>
      </w:r>
    </w:p>
    <w:p w14:paraId="6BE9BB62" w14:textId="77777777" w:rsidR="005B7AF8" w:rsidRPr="007224C3" w:rsidRDefault="005B7AF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учётом этих требований КБ ГАЗ им. Молотова разработало второй вариант САУ. Вместо изготовления новой машины в июне 1944 года был переделан уже имеющийся образец. Наибольшие изменения претерпело боевое отделение, которое стало полностью закрытым. Боевая масса этой машины указывается такой же, как и СУ-76М, что выглядит сомнительно. Вероятнее всего, она выросла примерно на полтонны. Для улучшения обзорности в крыше появились перископические приборы наблюдения MK-IV. Переделка вооружения выполнялась в соответствии с полученным заданием (18098).</w:t>
      </w:r>
    </w:p>
    <w:p w14:paraId="00C69D4F" w14:textId="77777777" w:rsidR="005B7AF8" w:rsidRPr="007224C3" w:rsidRDefault="005B7AF8" w:rsidP="007224C3">
      <w:pPr>
        <w:spacing w:after="0" w:line="240" w:lineRule="auto"/>
        <w:jc w:val="both"/>
        <w:rPr>
          <w:rFonts w:ascii="Times New Roman" w:hAnsi="Times New Roman"/>
          <w:color w:val="000000" w:themeColor="text1"/>
          <w:sz w:val="16"/>
          <w:szCs w:val="16"/>
        </w:rPr>
      </w:pPr>
    </w:p>
    <w:p w14:paraId="5E8D992B" w14:textId="77777777" w:rsidR="00630135" w:rsidRPr="007224C3" w:rsidRDefault="00630135" w:rsidP="007224C3">
      <w:pPr>
        <w:pStyle w:val="27"/>
        <w:shd w:val="clear" w:color="auto" w:fill="auto"/>
        <w:spacing w:after="0" w:line="240" w:lineRule="auto"/>
        <w:ind w:firstLine="0"/>
        <w:rPr>
          <w:rFonts w:ascii="Times New Roman" w:cs="Times New Roman"/>
          <w:color w:val="000000" w:themeColor="text1"/>
          <w:spacing w:val="0"/>
        </w:rPr>
      </w:pPr>
      <w:r w:rsidRPr="007224C3">
        <w:rPr>
          <w:rFonts w:ascii="Times New Roman" w:cs="Times New Roman"/>
          <w:color w:val="000000" w:themeColor="text1"/>
          <w:spacing w:val="0"/>
        </w:rPr>
        <w:t>30 апреля 1944 г. Постановлением ГОКО за N 5773 и приказом НКТП от 4 мая 1944 г. за № 289 заводу N 75 было предложено спроекти</w:t>
      </w:r>
      <w:r w:rsidRPr="007224C3">
        <w:rPr>
          <w:rFonts w:ascii="Times New Roman" w:cs="Times New Roman"/>
          <w:color w:val="000000" w:themeColor="text1"/>
          <w:spacing w:val="0"/>
        </w:rPr>
        <w:softHyphen/>
        <w:t>ровать и изготовить опытные образцы быстро</w:t>
      </w:r>
      <w:r w:rsidRPr="007224C3">
        <w:rPr>
          <w:rFonts w:ascii="Times New Roman" w:cs="Times New Roman"/>
          <w:color w:val="000000" w:themeColor="text1"/>
          <w:spacing w:val="0"/>
        </w:rPr>
        <w:softHyphen/>
        <w:t>ходного тягача средней массы для корпусной артиллерии. В соответствии с этим постанов</w:t>
      </w:r>
      <w:r w:rsidRPr="007224C3">
        <w:rPr>
          <w:rFonts w:ascii="Times New Roman" w:cs="Times New Roman"/>
          <w:color w:val="000000" w:themeColor="text1"/>
          <w:spacing w:val="0"/>
        </w:rPr>
        <w:softHyphen/>
        <w:t>лением отделом главного конструктора заво</w:t>
      </w:r>
      <w:r w:rsidRPr="007224C3">
        <w:rPr>
          <w:rFonts w:ascii="Times New Roman" w:cs="Times New Roman"/>
          <w:color w:val="000000" w:themeColor="text1"/>
          <w:spacing w:val="0"/>
        </w:rPr>
        <w:softHyphen/>
        <w:t>да был разработан технический проект тягача АТ-К («Артиллерийский тягач, корпусной») по тактико-техническим требованиям ГАУ КА. На тягаче АТ-К предполагалось установить двигатель мощностью 200 л.с., однако такие моторы в нашей стране тогда серийно не вы</w:t>
      </w:r>
      <w:r w:rsidRPr="007224C3">
        <w:rPr>
          <w:rFonts w:ascii="Times New Roman" w:cs="Times New Roman"/>
          <w:color w:val="000000" w:themeColor="text1"/>
          <w:spacing w:val="0"/>
        </w:rPr>
        <w:softHyphen/>
        <w:t>пускались (15765).</w:t>
      </w:r>
    </w:p>
    <w:p w14:paraId="7939ECAC" w14:textId="77777777" w:rsidR="00630135" w:rsidRPr="007224C3" w:rsidRDefault="00630135" w:rsidP="007224C3">
      <w:pPr>
        <w:pStyle w:val="27"/>
        <w:shd w:val="clear" w:color="auto" w:fill="auto"/>
        <w:spacing w:after="0" w:line="240" w:lineRule="auto"/>
        <w:ind w:firstLine="0"/>
        <w:rPr>
          <w:rFonts w:ascii="Times New Roman" w:cs="Times New Roman"/>
          <w:color w:val="000000" w:themeColor="text1"/>
          <w:spacing w:val="0"/>
        </w:rPr>
      </w:pPr>
    </w:p>
    <w:p w14:paraId="3E3976EC" w14:textId="77777777" w:rsidR="00630135" w:rsidRPr="007224C3" w:rsidRDefault="0063013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апреля в 1944 году распоряжением СНК СССР был организован Научно-исследовательский институт прикладной геофизики по разработке вопросов теории, техники и методики геофизической разведки нефтяных месторождений (ныне Всероссийский НИИ геофизических методов разведки – ВНИИГеофизика, город Москва). Было положено начало подготовке специалистов по геофизическим методам разведки полезных ископаемых в крупнейших государственных университетах страны (15115).</w:t>
      </w:r>
    </w:p>
    <w:p w14:paraId="3D942010" w14:textId="77777777" w:rsidR="00630135" w:rsidRPr="007224C3" w:rsidRDefault="00630135" w:rsidP="007224C3">
      <w:pPr>
        <w:spacing w:after="0" w:line="240" w:lineRule="auto"/>
        <w:jc w:val="both"/>
        <w:rPr>
          <w:rFonts w:ascii="Times New Roman" w:hAnsi="Times New Roman"/>
          <w:color w:val="000000" w:themeColor="text1"/>
          <w:sz w:val="16"/>
          <w:szCs w:val="16"/>
        </w:rPr>
      </w:pPr>
    </w:p>
    <w:p w14:paraId="769EE7F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апреля 1944 вышло Распоряжение ГКО № 5756. О неотложном ремонте основного оборудования электростанций в дни 1 и 2 мая 1944 г. РГАНИР, Фонд ГКО, д. 246, лл. 174-175 (11012).</w:t>
      </w:r>
    </w:p>
    <w:p w14:paraId="4935ECF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4D15BE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апреля 1944 вышло Постановление ГКО № 5757 О восстановлении доменной печи № 2 Ново-Тагильского металлургического завода Наркомчермета. РГАНИР, Фонд ГКО, д. 246, лл. 176-180,181-183 (11012).</w:t>
      </w:r>
    </w:p>
    <w:p w14:paraId="5EC0B83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268E2E4"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апреля 1944 вышло Постановление ГКО № 5758 Об обеспечении водородом частей аэростатного заграждения г. Ленинграда. (7224, 184-186,187-188).</w:t>
      </w:r>
    </w:p>
    <w:p w14:paraId="2CD4F96E"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171B81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апреля 1944 вышло Распоряжение ГКО № 5760. О дополнительных поставках дизельного топлива для восстановления Криворожского бассейна. РГАНИР, Фонд ГКО, д. 246, лл. 191 (11012).</w:t>
      </w:r>
    </w:p>
    <w:p w14:paraId="02AF4C7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A15B82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апреля 1944 вышло Распоряжение ГКО № 5761. О материально-техническом обеспечении Красноусольского стекольного завода. РГАНИР, Фонд ГКО, д. 246, лл. 192 (11012).</w:t>
      </w:r>
    </w:p>
    <w:p w14:paraId="4E47126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79A2DF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апреля 1944 вышло Распоряжение ГКО № 5762. О передаче выпарной установки с Докшукинского ацетонового завода НКПП на Балахнинский экстрактовый завод "Дубитель" НКЛП. РГАНИР, Фонд ГКО, д. 246, лл. 193 (11012).</w:t>
      </w:r>
    </w:p>
    <w:p w14:paraId="10E1F01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6C36A6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апреля 1944 вышло Распоряжение ГКО № 5763. О передаче заводу № 125 НКАП 100 заключенных Подольского лагеря № 174 НКВРГАНИР, Фонд ГКО, д. РГАНИР, Фонд ГКО, д. 246, лл. 194 (11012).</w:t>
      </w:r>
    </w:p>
    <w:p w14:paraId="51D5F46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80D8DA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апреля 1944 вышло Распоряжение ГКО № 5764. О направлении 200 военнообязанных, не годных к строевой службе, в т.ч. 5 электросварщиков и 40 слесарей, на ТЭЦ Ново-Тагильского металлургического завода. РГАНИР, Фонд ГКО, д. 246, лл. 195 (11012).</w:t>
      </w:r>
    </w:p>
    <w:p w14:paraId="5AFFF3A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833C33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апреля 1944 вышло Распоряжение ГКО № 5765. О строительстве линии электропередачи для обеспечения электроэнергией Калязина и Кашина Калининской обл. РГАНИР, Фонд ГКО, д. 246, лл. 196-197 (11012).</w:t>
      </w:r>
    </w:p>
    <w:p w14:paraId="64D4AB2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DB714B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апреля 1944 вышло Распоряжение ГКО № 5766. О выделении 1 тыс. военнообязанных на постоянную работу на Сегежский целлюлозно-бумажный комбинат. РГАНИР, Фонд ГКО, д. 246, лл. 198 (11012).</w:t>
      </w:r>
    </w:p>
    <w:p w14:paraId="03A3967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5D10E9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30 апреля 1944 вышло Распоряжение ГКО № 5767. О производстве и поставках оборудования Гомельской электростанции. РГАНИР, Фонд ГКО, д. 246, лл. 199 (11012). </w:t>
      </w:r>
    </w:p>
    <w:p w14:paraId="302A17F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9E544E7"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апреля 1944 вышло Постановление ГКО № 5768 О развитии добычи торфа в Удмуртской АССР для заводов Наркомвооружения. (7224, 200-201).</w:t>
      </w:r>
    </w:p>
    <w:p w14:paraId="4B912F47"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BCF9D1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апреля 1944 вышло Постановление ГКО № 5769 О сохранении весовых характеристик бронекатеров ВМФ в связи с вооружением их 85 мм пушкой. РГАНИР, Фонд ГКО, д. 246, лл. 202 (11012).</w:t>
      </w:r>
    </w:p>
    <w:p w14:paraId="06C9930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E1B5FE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апреля 1944 вышло Постановление ГКО № 5770 О строительстве нового газопровода Курдюм-Елшанка и о подаче газа с Курдюмского месторождения в гор. Саратов. РГАНИР, Фонд ГКО, д. 246, лл. 203 (11012).</w:t>
      </w:r>
    </w:p>
    <w:p w14:paraId="7B3BA06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986385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апреля 1944 вышло Постановление ГКО № 5771 О выделении 30 тыс. военнослужащих ДВФ на период сенокошения и уборки урожая. РГАНИР, Фонд ГКО, д. 246, лл. 204 (11012).</w:t>
      </w:r>
    </w:p>
    <w:p w14:paraId="6D2CF54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0CA155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апреля 1944 вышло Распоряжение ГКО № 5772. О комиссии по разработке предложений о дополнительном производстве 700-1000 моторов к комбайнам до 15 августа 1944 г. РГАНИР, Фонд ГКО, д. 246, лл. 205 (11012).</w:t>
      </w:r>
    </w:p>
    <w:p w14:paraId="13A2346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0C02B8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апреля 1944 вышло Постановление ГКО № 5773 Об изготовлении образцов артиллерийских тягачей. РГАНИР, Фонд ГКО, д. 246, лл. 206-207 (11012).</w:t>
      </w:r>
    </w:p>
    <w:p w14:paraId="7751CB8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7F9E7D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апреля 1944 вышло Постановление ГКО № 5774 О неотложных мерах по обеспечению восстановления заводов № 9 и 53 Наркомбоеприпасов в гор. Шостка (УССР). РГАНИР, Фонд ГКО, д. 246, лл. 208-216,217-232 (11012).</w:t>
      </w:r>
    </w:p>
    <w:p w14:paraId="693EF47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F34AA1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апреля 1944 вышло Постановление ГКО № 5775 О восстановлении Винницкого и Одесского суперфосфатных заводов Наркомхимпрома. РГАНИР, Фонд ГКО, д. 247, лл. 1-4 (11012).</w:t>
      </w:r>
    </w:p>
    <w:p w14:paraId="126EAED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B36509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апреля 1944 вышло Постановление ГКО № 5776 О строительстве в 1944 году хранилищ для свежих овощей и картофеля и дошников для квашения овощей. РГАНИР, Фонд ГКО, д. 247, лл. 5-7 (11012).</w:t>
      </w:r>
    </w:p>
    <w:p w14:paraId="2DBD71B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7C0454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апреля 1944 вышло Постановление ГКО № 5777 О ремонте танков и танковых моторов на ленинградских заводах во II квартале 1944 года. РГАНИР, Фонд ГКО, д. 247, лл. 8-11,12-15 (11012).</w:t>
      </w:r>
    </w:p>
    <w:p w14:paraId="062FBAA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01828B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апреля 1944 вышло Распоряжение ГКО № 5778. Об изменении плана производства запасных частей на ХТЗ и заводе "XX лет Октября" НКСМ. РГАНИР, Фонд ГКО, д. 247, лл. 16,17 (11012).</w:t>
      </w:r>
    </w:p>
    <w:p w14:paraId="69DE564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1A100B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апреля 1944 вышло Распоряжение ГКО № 5779. О мерах помощи по восстановлению торфопредприятий местной топливной промышленности УССР и обеспечению их работы в торфяном сезоне 1944 г. РГАНИР, Фонд ГКО, д. 247, лл. 18-19,20 (11012).</w:t>
      </w:r>
    </w:p>
    <w:p w14:paraId="68A5504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905D84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апреля 1944 вышло Постановление ГКО № 5780 О создании собственной продовольственной базы Челябинской ТЭЦ НКЭС. РГАНИР, Фонд ГКО, д. 247, лл. 21,22-23 (11012).</w:t>
      </w:r>
    </w:p>
    <w:p w14:paraId="604650B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493562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апреля 1944 вышло Постановление ГКО № 5781 № 5781 О неотложных мерах помощи строительству ТЭЦ Березниковского магниевого завода Наркомцветмета. РГАНИР, Фонд ГКО, д. 247, лл. 24-31,32-35 (11012).</w:t>
      </w:r>
    </w:p>
    <w:p w14:paraId="235D99B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8DF097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апреля 1944 вышло Распоряжение ГКО № 5782. Об обеспечении асбоцементными трубами нефтяной и газодобывающей промышленности в 1944 г. РГАНИР, Фонд ГКО, д. 247, лл. 36-38,39-43 (11012).</w:t>
      </w:r>
    </w:p>
    <w:p w14:paraId="7F7B5AC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A5716E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апреля 1944 вышло Постановление ГКО № 5783 О плане производства продукции по Уралмашзаводу Наркомтанкопрома на II квартал 1944 г. РГАНИР, Фонд ГКО, д. 247, лл. 44-46,47-50 (11012).</w:t>
      </w:r>
    </w:p>
    <w:p w14:paraId="3A16912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ECC75D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апреля 1944 вышло Постановление ГКО № 5784 Об обеспечении Вишерского целлюлозно-бумажного комбината Наркомбумпрома химикатами, производственными материалами, горючим, промышленными и продовольственными товарами. РГАНИР, Фонд ГКО, д. 247, лл. 51-55,56-58 (11012).</w:t>
      </w:r>
    </w:p>
    <w:p w14:paraId="54D0A02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29DC29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апреля 1944 вышло Постановление ГКО № 5785 Об обеспечении работы правительственной ВЧ связи НКВД СССР. РГАНИР, Фонд ГКО, д. 247, лл. 59-61,62-67 (11012).</w:t>
      </w:r>
    </w:p>
    <w:p w14:paraId="593F692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0B1195C"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апреля 1944 вышло Постановление ГКО № 5786 О перебазировании опытно-экспериментального завода ВНИИПТМаша Наркомтяжмаша и передаче его помещений Управлению оборонительного строительства КА. (7225, 68-70).</w:t>
      </w:r>
    </w:p>
    <w:p w14:paraId="5526E0B9"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F87EE4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апреля 1944 вышло Постановление ГКО № 5787 Об увеличении производства нормальных осветительных электрических ламп на заводах Наркомата электропромышленности. РГАНИР, Фонд ГКО, д. 247, лл. 71-78 (11012).</w:t>
      </w:r>
    </w:p>
    <w:p w14:paraId="2CCBED4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65BC44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апреля 1944 вышло Постановление ГКО № 5788 О расширении производства тяжелых понтонно-переправочных средств для Красной Армии на заводе № 342 НКСП. РГАНИР, Фонд ГКО, д. 247, лл. 79-83,84-90 (11012).</w:t>
      </w:r>
    </w:p>
    <w:p w14:paraId="29864DD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065B7E2"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апреля 1944 вышло Постановление ГКО № 5789 Об общем плане перевозок грузов по железнодорожному и водному транспорту на май 1944 г. (7225, 91).</w:t>
      </w:r>
    </w:p>
    <w:p w14:paraId="794C0D19"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59F7A87"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апреля 1944 вышло Постановление ГКО № 5790 О плане перевозок народнохозяйственных грузов по железнодорожному и водному транспорту на май 1944 г. (7226, 1-6,7-203).</w:t>
      </w:r>
    </w:p>
    <w:p w14:paraId="022C9664"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3922BD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апреля 1944 вышло Постановление ГКО № 5791 О подготовке комбайнов и других уборочных машин в МТС, совхозах и колхозах к уборке урожая 1944 года и о материально-техническом обеспечении сельского хозяйства во II квартале 1944 года. РГАНИР, Фонд ГКО, д. 249, лл. 1-17,18-39 (11012).</w:t>
      </w:r>
    </w:p>
    <w:p w14:paraId="19A94CE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EF6EF7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апреля 1944 вышло Постановление ГКО № 5792 О мероприятиях по обеспечению строительства и ввода в действие Ферганского гидролизного завода Главлесоспирта. РГАНИР, Фонд ГКО, д. 249, лл. 40-45,46-68 (11012).</w:t>
      </w:r>
    </w:p>
    <w:p w14:paraId="324D07A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02C4177"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апреля 1944 вышло Постановление ГКО № 5793 Об организации производства металлорежущих станков, прессов и электросварочного оборудования на заводах Наркомминвооружения. (7227, 69-73,74-85).</w:t>
      </w:r>
    </w:p>
    <w:p w14:paraId="4CD84A9C"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0B312B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апреля 1944 вышло Постановление ГКО № 5794 О материально-техническом обеспечении предприятий Наркомата электропромышленности во II квартале 1944 года. РГАНИР, Фонд ГКО, д. 249, лл. 86-92,93-134 (11012).</w:t>
      </w:r>
    </w:p>
    <w:p w14:paraId="10E1103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537770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30 апреля 1944 года вышло постановление Правительства об организации ЦКБ по станкостроению НКМВ для разработки новых конструкций специальных операционных, агрегатных, а также универсальных станков, не производимых НК станкостроения (8661).</w:t>
      </w:r>
    </w:p>
    <w:p w14:paraId="5BDF179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99155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апреля 1944 года Приказом НКБ № 448 на базе Ленинградского филиала ЦКБ № 22 был организован завод № 323 (10118).</w:t>
      </w:r>
    </w:p>
    <w:p w14:paraId="43D3518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EBECCF" w14:textId="77777777" w:rsidR="00476D5F" w:rsidRPr="007224C3" w:rsidRDefault="00476D5F" w:rsidP="007224C3">
      <w:pPr>
        <w:spacing w:after="0" w:line="240" w:lineRule="auto"/>
        <w:jc w:val="both"/>
        <w:rPr>
          <w:rFonts w:ascii="Times New Roman" w:hAnsi="Times New Roman"/>
          <w:color w:val="000000" w:themeColor="text1"/>
          <w:sz w:val="16"/>
          <w:szCs w:val="16"/>
        </w:rPr>
      </w:pPr>
      <w:r w:rsidRPr="007224C3">
        <w:rPr>
          <w:rFonts w:ascii="Times New Roman" w:hAnsi="Times New Roman"/>
          <w:iCs/>
          <w:color w:val="000000" w:themeColor="text1"/>
          <w:sz w:val="16"/>
          <w:szCs w:val="16"/>
        </w:rPr>
        <w:t>30 апреля 1944 «Совет по радиолокации при ГКО писал за №№ 0448, 0449, 0450, 0451, 0452, 0453, 0454, 0455</w:t>
      </w:r>
    </w:p>
    <w:p w14:paraId="21E8743A" w14:textId="77777777" w:rsidR="00476D5F" w:rsidRPr="007224C3" w:rsidRDefault="00476D5F" w:rsidP="007224C3">
      <w:pPr>
        <w:spacing w:after="0" w:line="240" w:lineRule="auto"/>
        <w:jc w:val="both"/>
        <w:rPr>
          <w:rFonts w:ascii="Times New Roman" w:hAnsi="Times New Roman"/>
          <w:color w:val="000000" w:themeColor="text1"/>
          <w:sz w:val="16"/>
          <w:szCs w:val="16"/>
        </w:rPr>
      </w:pPr>
      <w:r w:rsidRPr="007224C3">
        <w:rPr>
          <w:rFonts w:ascii="Times New Roman" w:hAnsi="Times New Roman"/>
          <w:iCs/>
          <w:color w:val="000000" w:themeColor="text1"/>
          <w:sz w:val="16"/>
          <w:szCs w:val="16"/>
        </w:rPr>
        <w:t>Народному комиссару электропромышленности КАБАНОВУ</w:t>
      </w:r>
    </w:p>
    <w:p w14:paraId="6DBFA34B" w14:textId="77777777" w:rsidR="00476D5F" w:rsidRPr="007224C3" w:rsidRDefault="00476D5F" w:rsidP="007224C3">
      <w:pPr>
        <w:spacing w:after="0" w:line="240" w:lineRule="auto"/>
        <w:jc w:val="both"/>
        <w:rPr>
          <w:rFonts w:ascii="Times New Roman" w:hAnsi="Times New Roman"/>
          <w:color w:val="000000" w:themeColor="text1"/>
          <w:sz w:val="16"/>
          <w:szCs w:val="16"/>
        </w:rPr>
      </w:pPr>
      <w:r w:rsidRPr="007224C3">
        <w:rPr>
          <w:rFonts w:ascii="Times New Roman" w:hAnsi="Times New Roman"/>
          <w:iCs/>
          <w:color w:val="000000" w:themeColor="text1"/>
          <w:sz w:val="16"/>
          <w:szCs w:val="16"/>
        </w:rPr>
        <w:t>Направляется:</w:t>
      </w:r>
    </w:p>
    <w:p w14:paraId="6BE8665C" w14:textId="77777777" w:rsidR="00476D5F" w:rsidRPr="007224C3" w:rsidRDefault="00476D5F" w:rsidP="007224C3">
      <w:pPr>
        <w:spacing w:after="0" w:line="240" w:lineRule="auto"/>
        <w:jc w:val="both"/>
        <w:rPr>
          <w:rFonts w:ascii="Times New Roman" w:hAnsi="Times New Roman"/>
          <w:color w:val="000000" w:themeColor="text1"/>
          <w:sz w:val="16"/>
          <w:szCs w:val="16"/>
        </w:rPr>
      </w:pPr>
      <w:r w:rsidRPr="007224C3">
        <w:rPr>
          <w:rFonts w:ascii="Times New Roman" w:hAnsi="Times New Roman"/>
          <w:iCs/>
          <w:color w:val="000000" w:themeColor="text1"/>
          <w:sz w:val="16"/>
          <w:szCs w:val="16"/>
        </w:rPr>
        <w:t>а) Докладная записка о пребывании м-ра Эллиса.</w:t>
      </w:r>
    </w:p>
    <w:p w14:paraId="4DABC9D6" w14:textId="77777777" w:rsidR="00476D5F" w:rsidRPr="007224C3" w:rsidRDefault="00476D5F" w:rsidP="007224C3">
      <w:pPr>
        <w:spacing w:after="0" w:line="240" w:lineRule="auto"/>
        <w:jc w:val="both"/>
        <w:rPr>
          <w:rFonts w:ascii="Times New Roman" w:hAnsi="Times New Roman"/>
          <w:color w:val="000000" w:themeColor="text1"/>
          <w:sz w:val="16"/>
          <w:szCs w:val="16"/>
        </w:rPr>
      </w:pPr>
      <w:r w:rsidRPr="007224C3">
        <w:rPr>
          <w:rFonts w:ascii="Times New Roman" w:hAnsi="Times New Roman"/>
          <w:iCs/>
          <w:color w:val="000000" w:themeColor="text1"/>
          <w:sz w:val="16"/>
          <w:szCs w:val="16"/>
        </w:rPr>
        <w:t>б) Докладная записка о посещении м-ром Эллисом НИИ-10 в Москве.</w:t>
      </w:r>
    </w:p>
    <w:p w14:paraId="526AFEAB" w14:textId="77777777" w:rsidR="00476D5F" w:rsidRPr="007224C3" w:rsidRDefault="00476D5F" w:rsidP="007224C3">
      <w:pPr>
        <w:spacing w:after="0" w:line="240" w:lineRule="auto"/>
        <w:jc w:val="both"/>
        <w:rPr>
          <w:rFonts w:ascii="Times New Roman" w:hAnsi="Times New Roman"/>
          <w:color w:val="000000" w:themeColor="text1"/>
          <w:sz w:val="16"/>
          <w:szCs w:val="16"/>
        </w:rPr>
      </w:pPr>
      <w:r w:rsidRPr="007224C3">
        <w:rPr>
          <w:rFonts w:ascii="Times New Roman" w:hAnsi="Times New Roman"/>
          <w:iCs/>
          <w:color w:val="000000" w:themeColor="text1"/>
          <w:sz w:val="16"/>
          <w:szCs w:val="16"/>
        </w:rPr>
        <w:t>в) Краткое содержание сообщения м-ра Эллиса по радиолокационной аппаратуре во время переговоров на заводе № 339.</w:t>
      </w:r>
    </w:p>
    <w:p w14:paraId="6DB8BD7C" w14:textId="77777777" w:rsidR="00476D5F" w:rsidRPr="007224C3" w:rsidRDefault="00476D5F" w:rsidP="007224C3">
      <w:pPr>
        <w:spacing w:after="0" w:line="240" w:lineRule="auto"/>
        <w:jc w:val="both"/>
        <w:rPr>
          <w:rFonts w:ascii="Times New Roman" w:hAnsi="Times New Roman"/>
          <w:color w:val="000000" w:themeColor="text1"/>
          <w:sz w:val="16"/>
          <w:szCs w:val="16"/>
        </w:rPr>
      </w:pPr>
      <w:r w:rsidRPr="007224C3">
        <w:rPr>
          <w:rFonts w:ascii="Times New Roman" w:hAnsi="Times New Roman"/>
          <w:iCs/>
          <w:color w:val="000000" w:themeColor="text1"/>
          <w:sz w:val="16"/>
          <w:szCs w:val="16"/>
        </w:rPr>
        <w:t>г) Краткое содержание доклада на тему «История развития и современного военные приложения радиолокации».</w:t>
      </w:r>
    </w:p>
    <w:p w14:paraId="634A364E" w14:textId="77777777" w:rsidR="00476D5F" w:rsidRPr="007224C3" w:rsidRDefault="00476D5F" w:rsidP="007224C3">
      <w:pPr>
        <w:spacing w:after="0" w:line="240" w:lineRule="auto"/>
        <w:jc w:val="both"/>
        <w:rPr>
          <w:rFonts w:ascii="Times New Roman" w:hAnsi="Times New Roman"/>
          <w:color w:val="000000" w:themeColor="text1"/>
          <w:sz w:val="16"/>
          <w:szCs w:val="16"/>
        </w:rPr>
      </w:pPr>
      <w:r w:rsidRPr="007224C3">
        <w:rPr>
          <w:rFonts w:ascii="Times New Roman" w:hAnsi="Times New Roman"/>
          <w:iCs/>
          <w:color w:val="000000" w:themeColor="text1"/>
          <w:sz w:val="16"/>
          <w:szCs w:val="16"/>
        </w:rPr>
        <w:t>д) Краткое содержание доклада на тему «Радиопромышленность США, ее история и состояние в мирное и военное время».</w:t>
      </w:r>
    </w:p>
    <w:p w14:paraId="31123CB5" w14:textId="77777777" w:rsidR="00476D5F" w:rsidRPr="007224C3" w:rsidRDefault="00476D5F" w:rsidP="007224C3">
      <w:pPr>
        <w:spacing w:after="0" w:line="240" w:lineRule="auto"/>
        <w:jc w:val="both"/>
        <w:rPr>
          <w:rFonts w:ascii="Times New Roman" w:hAnsi="Times New Roman"/>
          <w:color w:val="000000" w:themeColor="text1"/>
          <w:sz w:val="16"/>
          <w:szCs w:val="16"/>
        </w:rPr>
      </w:pPr>
      <w:r w:rsidRPr="007224C3">
        <w:rPr>
          <w:rFonts w:ascii="Times New Roman" w:hAnsi="Times New Roman"/>
          <w:iCs/>
          <w:color w:val="000000" w:themeColor="text1"/>
          <w:sz w:val="16"/>
          <w:szCs w:val="16"/>
        </w:rPr>
        <w:t>е) Краткое содержание доклада на тему «Обзор общего размаха военного производства в США».</w:t>
      </w:r>
    </w:p>
    <w:p w14:paraId="23AFB496" w14:textId="77777777" w:rsidR="00476D5F" w:rsidRPr="007224C3" w:rsidRDefault="00476D5F" w:rsidP="007224C3">
      <w:pPr>
        <w:spacing w:after="0" w:line="240" w:lineRule="auto"/>
        <w:jc w:val="both"/>
        <w:rPr>
          <w:rFonts w:ascii="Times New Roman" w:hAnsi="Times New Roman"/>
          <w:color w:val="000000" w:themeColor="text1"/>
          <w:sz w:val="16"/>
          <w:szCs w:val="16"/>
        </w:rPr>
      </w:pPr>
      <w:r w:rsidRPr="007224C3">
        <w:rPr>
          <w:rFonts w:ascii="Times New Roman" w:hAnsi="Times New Roman"/>
          <w:iCs/>
          <w:color w:val="000000" w:themeColor="text1"/>
          <w:sz w:val="16"/>
          <w:szCs w:val="16"/>
        </w:rPr>
        <w:t>ж) Отчет о посещении м-ром Эллисом завода № 617.</w:t>
      </w:r>
    </w:p>
    <w:p w14:paraId="26AFA740" w14:textId="77777777" w:rsidR="00476D5F" w:rsidRPr="007224C3" w:rsidRDefault="00476D5F" w:rsidP="007224C3">
      <w:pPr>
        <w:spacing w:after="0" w:line="240" w:lineRule="auto"/>
        <w:jc w:val="both"/>
        <w:rPr>
          <w:rFonts w:ascii="Times New Roman" w:hAnsi="Times New Roman"/>
          <w:color w:val="000000" w:themeColor="text1"/>
          <w:sz w:val="16"/>
          <w:szCs w:val="16"/>
        </w:rPr>
      </w:pPr>
      <w:r w:rsidRPr="007224C3">
        <w:rPr>
          <w:rFonts w:ascii="Times New Roman" w:hAnsi="Times New Roman"/>
          <w:iCs/>
          <w:color w:val="000000" w:themeColor="text1"/>
          <w:sz w:val="16"/>
          <w:szCs w:val="16"/>
        </w:rPr>
        <w:t>г) Протокол совещания на заводе № 208 с м-ром Эллисом.</w:t>
      </w:r>
    </w:p>
    <w:p w14:paraId="3BB0040A" w14:textId="77777777" w:rsidR="00476D5F" w:rsidRPr="007224C3" w:rsidRDefault="00476D5F" w:rsidP="007224C3">
      <w:pPr>
        <w:spacing w:after="0" w:line="240" w:lineRule="auto"/>
        <w:jc w:val="both"/>
        <w:rPr>
          <w:rFonts w:ascii="Times New Roman" w:hAnsi="Times New Roman"/>
          <w:color w:val="000000" w:themeColor="text1"/>
          <w:sz w:val="16"/>
          <w:szCs w:val="16"/>
        </w:rPr>
      </w:pPr>
      <w:r w:rsidRPr="007224C3">
        <w:rPr>
          <w:rFonts w:ascii="Times New Roman" w:hAnsi="Times New Roman"/>
          <w:iCs/>
          <w:color w:val="000000" w:themeColor="text1"/>
          <w:sz w:val="16"/>
          <w:szCs w:val="16"/>
        </w:rPr>
        <w:t>Заместитель председателя Совета инженер-вице-адмирал БЕРГ».</w:t>
      </w:r>
    </w:p>
    <w:p w14:paraId="6A97B98A" w14:textId="77777777" w:rsidR="00476D5F" w:rsidRPr="007224C3" w:rsidRDefault="00476D5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Делегацию сопровождал И.С. Джигит, и перечисленные в письме документы составлены им. В НИИ-10. Были продемонстрированы образцы отечественных магнетронов, на заводе № 339 НКАП – производство радиолокационных станций «Пегматит» (15736).</w:t>
      </w:r>
    </w:p>
    <w:p w14:paraId="59B5CF07" w14:textId="77777777" w:rsidR="00476D5F" w:rsidRPr="007224C3" w:rsidRDefault="00476D5F" w:rsidP="007224C3">
      <w:pPr>
        <w:spacing w:after="0" w:line="240" w:lineRule="auto"/>
        <w:jc w:val="both"/>
        <w:rPr>
          <w:rFonts w:ascii="Times New Roman" w:hAnsi="Times New Roman"/>
          <w:color w:val="000000" w:themeColor="text1"/>
          <w:sz w:val="16"/>
          <w:szCs w:val="16"/>
        </w:rPr>
      </w:pPr>
    </w:p>
    <w:p w14:paraId="2ED42EF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апреля 1944 Балтийцы заложили на стапеле первые два ТЩ типа МТ-2. Завершен ремонт БМО с бортовым номером 504 (начат 12.ХП 1943 г.) (10671).</w:t>
      </w:r>
    </w:p>
    <w:p w14:paraId="1D1A710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A6EF555"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2DC684E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3E5BFFA" w14:textId="77777777" w:rsidR="00630135" w:rsidRPr="007224C3" w:rsidRDefault="0063013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апреля в 1944 году оперативная сводка Совинформбюро:</w:t>
      </w:r>
    </w:p>
    <w:p w14:paraId="1002B1CA" w14:textId="77777777" w:rsidR="00630135" w:rsidRPr="007224C3" w:rsidRDefault="0063013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30 апреля на фронтах существенных изменений не произошло.</w:t>
      </w:r>
    </w:p>
    <w:p w14:paraId="526B4F4C" w14:textId="77777777" w:rsidR="00630135" w:rsidRPr="007224C3" w:rsidRDefault="0063013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29 апреля наши войска на всех фронтах подбили и уничтожили 37 немецких танков. В воздушных боях и огнём зенитной артиллерии сбито 50 самолётов противника.».</w:t>
      </w:r>
    </w:p>
    <w:p w14:paraId="79CE0A4C" w14:textId="77777777" w:rsidR="00630135" w:rsidRPr="007224C3" w:rsidRDefault="0063013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Бомбардировка нашей авиацией железнодорожного узла Идрица и аэродрома противника:</w:t>
      </w:r>
    </w:p>
    <w:p w14:paraId="706DF0D4" w14:textId="77777777" w:rsidR="00630135" w:rsidRPr="007224C3" w:rsidRDefault="0063013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ночь на 30 апреля наша авиация дальнего действия бомбардировала железнодорожный узел Идрица и аэродром противника, находящийся в этом же районе. В момент налёта советских самолётов на железнодорожном узле было несколько воинских эшелонов противника, а на аэродроме — много немецких самолётов. В результате бомбардировки возникли большие пожары, сопровождавшиеся взрывами. Особенно крупный пожар и сильные взрывы наблюдением были отмечены в районеа эродрома.».</w:t>
      </w:r>
    </w:p>
    <w:p w14:paraId="44BCF285" w14:textId="77777777" w:rsidR="00630135" w:rsidRPr="007224C3" w:rsidRDefault="0063013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«Юго-восточнее города Станислав части Н-ского соединения, отбивая атаки противника местного значения, уничтожили 8 немецких танков и 2 самоходных орудия. На подступах к нашим позициям осталось до 300 вражеских трупов. В другом районе наши подразделения умелым манёвром обошли противника и заняли два населённых пункта. Взято в плен 150 венгерских солдат и офицеров.</w:t>
      </w:r>
    </w:p>
    <w:p w14:paraId="1FB0BBC0" w14:textId="77777777" w:rsidR="00630135" w:rsidRPr="007224C3" w:rsidRDefault="0063013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Севернее города Яссы противник атаковал наши позиции. Советские артиллеристы и миномётчики встретили немцев сосредоточенным огнём. Все атаки противника отбиты с большими для него потерями. На других участках наши части вели боевую разведку.</w:t>
      </w:r>
    </w:p>
    <w:p w14:paraId="5A1F69A6" w14:textId="77777777" w:rsidR="00630135" w:rsidRPr="007224C3" w:rsidRDefault="0063013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Советские лётчики активными действиями подавляли огневые средства противникаи уничтожали его живую силу. В течение дня в воздушных боях сбито 33 немецких самолёта.</w:t>
      </w:r>
    </w:p>
    <w:p w14:paraId="0224E84A" w14:textId="77777777" w:rsidR="00630135" w:rsidRPr="007224C3" w:rsidRDefault="0063013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3-м Украинском фронте подразделение автоматчиков гвардии старшего лейтенанта Седченко прикрывало подступы к переправе через Днестр. Немцы напрягали все усилия, чтобы овладеть этой переправой. В течение дня они семь раз бросались в атаки. Наши автоматчики успешно отбили все атаки противника и истребили до 400 гитлеровцев.</w:t>
      </w:r>
    </w:p>
    <w:p w14:paraId="5CF01056" w14:textId="77777777" w:rsidR="00630135" w:rsidRPr="007224C3" w:rsidRDefault="0063013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Севастополя в отрытом море был обнаружен конвой противника в составе трёх транспортов, эсминца и торпедных катеров. Корабли Черноморского флота атаковали вражеские суда и потопили два транспорта противника.</w:t>
      </w:r>
    </w:p>
    <w:p w14:paraId="00AF8898" w14:textId="77777777" w:rsidR="00630135" w:rsidRPr="007224C3" w:rsidRDefault="0063013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Партизаны отрядов имени Суворова и имени Щорса, действующих в Львовской области, за семь дней пустили под откос 5 немецких воинских эшелонов. В результате крушений разбиты 5 паровозов и 38 вагонов. Убито и ранено до 400 немецких солдат и офицеров. 20 апреля группа партизан отряда имени Суворова заминировала железнодорожные пути. На мины наскочил бронепоезд противника. Паровоз, 8 бронеплатформ и броневагон слетели под откос.</w:t>
      </w:r>
    </w:p>
    <w:p w14:paraId="6917CF10" w14:textId="77777777" w:rsidR="00630135" w:rsidRPr="007224C3" w:rsidRDefault="0063013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Гитлеровцы и их румынские холопы всеми силами и средствами пытались восстановить мирное население румынских прифронтовых районов против Красной Армии. Немецко-румынские военные власти обязали мирных жителей эвакуироваться в тыл и уничтожить ценное имущество. Немцы и их агенты распространяли самую гнусную клевету, стараясь очернить Красную Армию в глазах румынского населения. Все дикие зверства, на которых немецко-фашистские мерзавцы набили себе руку, они пытались приписать советским войскам. На первых порах фашистская пропаганда имела некоторый успех среди части румын. Однако это продолжалось весьма недолго. Заявление Советского Правительства о том, что оно не преследует цели приобретения какой-либо части румынской территории или изменения существующего общественного строя Румынии, разоблачило фашистскую ложь. Жители румынских районов, занятых Красной Армией, воочию убедились, что немецкие провокаторы их нагло и подло обманули.</w:t>
      </w:r>
    </w:p>
    <w:p w14:paraId="516F7A38" w14:textId="77777777" w:rsidR="00630135" w:rsidRPr="007224C3" w:rsidRDefault="0063013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сходке жителей деревни Фетешти крестьянин Василе Унгуряну заявил: «В первой мировой войне я, как и многие мои земляки, вместе срусскими сражался против немцев. Румынские крестьяне не хотели и не хотят воевать против России. Перед приходом Красной Армии немцы нас всячески запугивали и приказывали бежать в тыл. Теперь мы очень довольны, что остались на месте. От души благодарим Красную Армию за то, что она избавила нас от немецких грабителей и разбойников». В село Скобинции вернулись многие семьи, скрывавшиеся первое время в лесу. Крестьянин Трофим Думитру говорит: «Признаться, я со страхом ждал прихода русских. Но все мои опасения рассеялись в первый же день. Русские солдаты и офицеры образцовым поведением завоевали всеобщее доверие и уважение». Жители деревни Берза рассказывают: «Перед отступлением немецкие и румынские военные власти нам говорили, что русские убивают стариков и женщин и варят из них мыло, бросают в огонь детей. Этому не особенно верили, но всё же мы со страхом ждали будущего. Теперь мы убедились, что немцы нас обманывали. Русские офицеры и красноармейцы относятся к нам очень хорошо». Крестьяне этой деревни Чертошин и Мартынюхи заявили: «Преступная война, начатая Гитлером, принесла румынскому народу страшные бедствия. Хорошо, что она приближается к концу. Мы знаем, что Германия будет разбита, и хотим, чтобы это произошло как можно скорее». Жители села Щербауцы во главе со священником Петро Попеску заявили о своей готовности оказывать Красной Армии посильную помощь в разгроме гитлеровской Германии.</w:t>
      </w:r>
    </w:p>
    <w:p w14:paraId="3CB0A0BE" w14:textId="77777777" w:rsidR="00630135" w:rsidRPr="007224C3" w:rsidRDefault="0063013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 всех занятых советскими войсками румынских городах и сёлах жизнь вошла в свою обычную колею. Крестьяне уверенно обрабатывают своя поля. В городах идёт оживлённая торговля. Предприятия продолжают работу. В городе Ботошани и в других населённых пунктах священники отправляют церковную службу. Румынское население, особенно интеллигенция, проявляет большой интерес к советским кинокартинам и радиопередачам на румынском языке.» (15115).</w:t>
      </w:r>
    </w:p>
    <w:p w14:paraId="5F13702A" w14:textId="77777777" w:rsidR="00630135" w:rsidRPr="007224C3" w:rsidRDefault="00630135" w:rsidP="007224C3">
      <w:pPr>
        <w:spacing w:after="0" w:line="240" w:lineRule="auto"/>
        <w:jc w:val="both"/>
        <w:rPr>
          <w:rFonts w:ascii="Times New Roman" w:hAnsi="Times New Roman"/>
          <w:color w:val="000000" w:themeColor="text1"/>
          <w:sz w:val="16"/>
          <w:szCs w:val="16"/>
        </w:rPr>
      </w:pPr>
    </w:p>
    <w:p w14:paraId="07C2DE9E"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апреля 1944 вышло Распоряжение ГКО № 5759 [О переводе из Миасса Челябинской обл. в Москву Первого гвардейского минометно-артиллерийского училища им. Красина.] (7224, 189-190).</w:t>
      </w:r>
    </w:p>
    <w:p w14:paraId="59E30154"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4B6DA9D"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Жизнь и внутренняя политика:</w:t>
      </w:r>
    </w:p>
    <w:p w14:paraId="25EDB6D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B8C2F0C"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апреля 1944 в Ленинграде в Соляном городке открылась выставка Героическая оборона Ленинграда, преобразованная впоследствии в музей. Там был Ил-2 (3960, 169).</w:t>
      </w:r>
    </w:p>
    <w:p w14:paraId="3BF5AA23"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A8CE53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апреля 1944 в Соляном городке открыта выставка "Героическая оборона Ленинграда", созданная по решению Военного совета Ленинградского фронта и горкома партии. Представлено около 10 тысяч экспонатов. Впоследствии выставка преобразована в Музей обороны Ленинграда. Однако история Музея Обороны Ленинграда оказалась крайне трагической: уже в 1948 году музей был разгромлен в угоду кремлевскому грузину. Сталину показалось, что Ленинград затмил своей героической славой столицу, а популярность руководителей Ленинграда угрожает самодержавной власти самого Сталина (10739).</w:t>
      </w:r>
    </w:p>
    <w:p w14:paraId="6A4178E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CC7B8D6"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апреля 1944 в СССР принято постановление о создании школ рабочей молодежи (4962).</w:t>
      </w:r>
    </w:p>
    <w:p w14:paraId="450AED2B"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F39552D" w14:textId="77777777" w:rsidR="00630135"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lastRenderedPageBreak/>
        <w:t>За рубежом:</w:t>
      </w:r>
    </w:p>
    <w:p w14:paraId="65856EEB" w14:textId="77777777" w:rsidR="00630135" w:rsidRPr="007224C3" w:rsidRDefault="00630135"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AFD29D4" w14:textId="77777777" w:rsidR="00630135" w:rsidRPr="007224C3" w:rsidRDefault="0063013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апреля в 1944 году французский опытный разведчик-бомбардировщик «Latecoere» «299A» сгорел в ангаре в результате налета союзной авиации, оставив Вернисса без испытательного стенда. Вот так прозаически закончилась жизнь «Latecoere 299», который вполне мог бы стать одним из массовых морских самолётов Франции (15115).</w:t>
      </w:r>
    </w:p>
    <w:p w14:paraId="6D3A788A" w14:textId="77777777" w:rsidR="00630135" w:rsidRPr="007224C3" w:rsidRDefault="00630135" w:rsidP="007224C3">
      <w:pPr>
        <w:spacing w:after="0" w:line="240" w:lineRule="auto"/>
        <w:jc w:val="both"/>
        <w:rPr>
          <w:rFonts w:ascii="Times New Roman" w:hAnsi="Times New Roman"/>
          <w:color w:val="000000" w:themeColor="text1"/>
          <w:sz w:val="16"/>
          <w:szCs w:val="16"/>
        </w:rPr>
      </w:pPr>
    </w:p>
    <w:p w14:paraId="772F2DC1" w14:textId="77777777" w:rsidR="00630135" w:rsidRPr="007224C3" w:rsidRDefault="0063013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апреля в 1944 году передан на испытания прототип транспортного планера «XCG-10A» «Trojan Horse» (разработчик: «Laister-Kauffman», США). Испытания в полете закончились с положительными результатами и было решено начать серийное производство. Было начато строительство 10 предсерийных экземпляров планера под обозначением «YCG-10», из которых 6 было построено. Перед окончанием войны предполагалось построить 1000 штук планеров, которые должны были применяться против Японии (15115).</w:t>
      </w:r>
    </w:p>
    <w:p w14:paraId="67FB4D68" w14:textId="77777777" w:rsidR="00630135" w:rsidRPr="007224C3" w:rsidRDefault="00630135" w:rsidP="007224C3">
      <w:pPr>
        <w:spacing w:after="0" w:line="240" w:lineRule="auto"/>
        <w:jc w:val="both"/>
        <w:rPr>
          <w:rFonts w:ascii="Times New Roman" w:hAnsi="Times New Roman"/>
          <w:color w:val="000000" w:themeColor="text1"/>
          <w:sz w:val="16"/>
          <w:szCs w:val="16"/>
        </w:rPr>
      </w:pPr>
    </w:p>
    <w:p w14:paraId="78B386C5" w14:textId="77777777" w:rsidR="009127A0" w:rsidRPr="007224C3" w:rsidRDefault="009127A0"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30 апреля 1944, управляя OS2U-3 Kingfisher с линкора USS North Carolina (BB-55), лейтенант ВМС США Джон А. Бернс спасает 10 сбитых летчиков в лагуне Трук за один день, погрузив их на крылья своего гидросамолета и вырулив в сторону подводной лодки USS Tang (SS-306), которая берет их на борт (20373).</w:t>
      </w:r>
    </w:p>
    <w:p w14:paraId="1A4639FE" w14:textId="77777777" w:rsidR="009127A0" w:rsidRPr="007224C3" w:rsidRDefault="009127A0" w:rsidP="007224C3">
      <w:pPr>
        <w:spacing w:after="0" w:line="240" w:lineRule="auto"/>
        <w:jc w:val="both"/>
        <w:rPr>
          <w:rFonts w:ascii="Times New Roman" w:hAnsi="Times New Roman"/>
          <w:color w:val="0070C0"/>
          <w:sz w:val="16"/>
          <w:szCs w:val="16"/>
        </w:rPr>
      </w:pPr>
    </w:p>
    <w:p w14:paraId="132B73A8" w14:textId="77777777" w:rsidR="009127A0" w:rsidRPr="007224C3" w:rsidRDefault="009127A0"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30 апреля - 1 мая (ночь) 1944 399 британских бомбардировщиков нанесли удар по железнодорожным станциям в Сомене и Ашере, Франция, и складу боеприпасов Люфтваффе в Ментеноне, Франция, с потерей только одного самолета. Рейд на Somain не достигает цели, но два других удара успешны (20373).</w:t>
      </w:r>
    </w:p>
    <w:p w14:paraId="0500B838" w14:textId="77777777" w:rsidR="009127A0" w:rsidRPr="007224C3" w:rsidRDefault="009127A0" w:rsidP="007224C3">
      <w:pPr>
        <w:spacing w:after="0" w:line="240" w:lineRule="auto"/>
        <w:jc w:val="both"/>
        <w:rPr>
          <w:rFonts w:ascii="Times New Roman" w:hAnsi="Times New Roman"/>
          <w:color w:val="0070C0"/>
          <w:sz w:val="16"/>
          <w:szCs w:val="16"/>
        </w:rPr>
      </w:pPr>
    </w:p>
    <w:p w14:paraId="2ED57835"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4E71528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C781DF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конце апреля 1944 самолет Су-8 был перевезен на завод № 289 для ус</w:t>
      </w:r>
      <w:r w:rsidRPr="007224C3">
        <w:rPr>
          <w:rFonts w:ascii="Times New Roman" w:hAnsi="Times New Roman"/>
          <w:color w:val="000000" w:themeColor="text1"/>
          <w:sz w:val="16"/>
          <w:szCs w:val="16"/>
        </w:rPr>
        <w:softHyphen/>
        <w:t>тановки вооружения. Первоначаль</w:t>
      </w:r>
      <w:r w:rsidRPr="007224C3">
        <w:rPr>
          <w:rFonts w:ascii="Times New Roman" w:hAnsi="Times New Roman"/>
          <w:color w:val="000000" w:themeColor="text1"/>
          <w:sz w:val="16"/>
          <w:szCs w:val="16"/>
        </w:rPr>
        <w:softHyphen/>
        <w:t>но подфюзеляжную батарею ос</w:t>
      </w:r>
      <w:r w:rsidRPr="007224C3">
        <w:rPr>
          <w:rFonts w:ascii="Times New Roman" w:hAnsi="Times New Roman"/>
          <w:color w:val="000000" w:themeColor="text1"/>
          <w:sz w:val="16"/>
          <w:szCs w:val="16"/>
        </w:rPr>
        <w:softHyphen/>
        <w:t>настили четырьмя пушками калибра 37 мм, которые затем в течение июня-июля заменили пушками калибра 45 мм. В августе в Ногинском филиале НИП АВ ВВС КА провели испыта</w:t>
      </w:r>
      <w:r w:rsidRPr="007224C3">
        <w:rPr>
          <w:rFonts w:ascii="Times New Roman" w:hAnsi="Times New Roman"/>
          <w:color w:val="000000" w:themeColor="text1"/>
          <w:sz w:val="16"/>
          <w:szCs w:val="16"/>
        </w:rPr>
        <w:softHyphen/>
        <w:t>ние вооружения самолета. При отстреле подфюзеляжной батареи произошла деформация обшивки внутренних сторон мотогондол, что потребовало их усиления. Заводские летные испытания самолета Су-8, небольшими пере</w:t>
      </w:r>
      <w:r w:rsidRPr="007224C3">
        <w:rPr>
          <w:rFonts w:ascii="Times New Roman" w:hAnsi="Times New Roman"/>
          <w:color w:val="000000" w:themeColor="text1"/>
          <w:sz w:val="16"/>
          <w:szCs w:val="16"/>
        </w:rPr>
        <w:softHyphen/>
        <w:t>рывами для доработок и устране</w:t>
      </w:r>
      <w:r w:rsidRPr="007224C3">
        <w:rPr>
          <w:rFonts w:ascii="Times New Roman" w:hAnsi="Times New Roman"/>
          <w:color w:val="000000" w:themeColor="text1"/>
          <w:sz w:val="16"/>
          <w:szCs w:val="16"/>
        </w:rPr>
        <w:softHyphen/>
        <w:t>ния неисправностей, продолжались до весны 1945 года. На государ</w:t>
      </w:r>
      <w:r w:rsidRPr="007224C3">
        <w:rPr>
          <w:rFonts w:ascii="Times New Roman" w:hAnsi="Times New Roman"/>
          <w:color w:val="000000" w:themeColor="text1"/>
          <w:sz w:val="16"/>
          <w:szCs w:val="16"/>
        </w:rPr>
        <w:softHyphen/>
        <w:t>ственные испытания самолет не передавался. После окончания войны интерес к штурмовику Су-8 пропал.</w:t>
      </w:r>
    </w:p>
    <w:p w14:paraId="5722A8E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Бронированный штурмовик Су-8 с двумя двигателями М-71Ф, пред</w:t>
      </w:r>
      <w:r w:rsidRPr="007224C3">
        <w:rPr>
          <w:rFonts w:ascii="Times New Roman" w:hAnsi="Times New Roman"/>
          <w:color w:val="000000" w:themeColor="text1"/>
          <w:sz w:val="16"/>
          <w:szCs w:val="16"/>
        </w:rPr>
        <w:softHyphen/>
        <w:t>назначенный «для действий по мо-томехчастям и живой силе против</w:t>
      </w:r>
      <w:r w:rsidRPr="007224C3">
        <w:rPr>
          <w:rFonts w:ascii="Times New Roman" w:hAnsi="Times New Roman"/>
          <w:color w:val="000000" w:themeColor="text1"/>
          <w:sz w:val="16"/>
          <w:szCs w:val="16"/>
        </w:rPr>
        <w:softHyphen/>
        <w:t>ника», представлял собой моноплан смешанной конструкции со средне-расположенным крылом, двухкиле-вым разнесенным хвостовым опе</w:t>
      </w:r>
      <w:r w:rsidRPr="007224C3">
        <w:rPr>
          <w:rFonts w:ascii="Times New Roman" w:hAnsi="Times New Roman"/>
          <w:color w:val="000000" w:themeColor="text1"/>
          <w:sz w:val="16"/>
          <w:szCs w:val="16"/>
        </w:rPr>
        <w:softHyphen/>
        <w:t>рением и трехколесным убираю</w:t>
      </w:r>
      <w:r w:rsidRPr="007224C3">
        <w:rPr>
          <w:rFonts w:ascii="Times New Roman" w:hAnsi="Times New Roman"/>
          <w:color w:val="000000" w:themeColor="text1"/>
          <w:sz w:val="16"/>
          <w:szCs w:val="16"/>
        </w:rPr>
        <w:softHyphen/>
        <w:t>щимся шасси.</w:t>
      </w:r>
    </w:p>
    <w:p w14:paraId="67B5AE4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Фюзеляж овального сечения тех</w:t>
      </w:r>
      <w:r w:rsidRPr="007224C3">
        <w:rPr>
          <w:rFonts w:ascii="Times New Roman" w:hAnsi="Times New Roman"/>
          <w:color w:val="000000" w:themeColor="text1"/>
          <w:sz w:val="16"/>
          <w:szCs w:val="16"/>
        </w:rPr>
        <w:softHyphen/>
        <w:t>нологически делился на три части: носовая часть была выполнена це</w:t>
      </w:r>
      <w:r w:rsidRPr="007224C3">
        <w:rPr>
          <w:rFonts w:ascii="Times New Roman" w:hAnsi="Times New Roman"/>
          <w:color w:val="000000" w:themeColor="text1"/>
          <w:sz w:val="16"/>
          <w:szCs w:val="16"/>
        </w:rPr>
        <w:softHyphen/>
        <w:t>ликом из броневой стали, средняя часть была дюралевой, а хвостовая - полумонокок с деревянным набором и фанерной обшивкой.</w:t>
      </w:r>
    </w:p>
    <w:p w14:paraId="3FEAF0B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Крыло - свободнонесущее тра</w:t>
      </w:r>
      <w:r w:rsidRPr="007224C3">
        <w:rPr>
          <w:rFonts w:ascii="Times New Roman" w:hAnsi="Times New Roman"/>
          <w:color w:val="000000" w:themeColor="text1"/>
          <w:sz w:val="16"/>
          <w:szCs w:val="16"/>
        </w:rPr>
        <w:softHyphen/>
        <w:t>пециевидной формы в плане, состо</w:t>
      </w:r>
      <w:r w:rsidRPr="007224C3">
        <w:rPr>
          <w:rFonts w:ascii="Times New Roman" w:hAnsi="Times New Roman"/>
          <w:color w:val="000000" w:themeColor="text1"/>
          <w:sz w:val="16"/>
          <w:szCs w:val="16"/>
        </w:rPr>
        <w:softHyphen/>
        <w:t>яло из центроплана и двух отъем</w:t>
      </w:r>
      <w:r w:rsidRPr="007224C3">
        <w:rPr>
          <w:rFonts w:ascii="Times New Roman" w:hAnsi="Times New Roman"/>
          <w:color w:val="000000" w:themeColor="text1"/>
          <w:sz w:val="16"/>
          <w:szCs w:val="16"/>
        </w:rPr>
        <w:softHyphen/>
        <w:t>ных консолей. Центроплан - цель</w:t>
      </w:r>
      <w:r w:rsidRPr="007224C3">
        <w:rPr>
          <w:rFonts w:ascii="Times New Roman" w:hAnsi="Times New Roman"/>
          <w:color w:val="000000" w:themeColor="text1"/>
          <w:sz w:val="16"/>
          <w:szCs w:val="16"/>
        </w:rPr>
        <w:softHyphen/>
        <w:t>нометаллический, консоли однолон-жеронной конструкции с дополни</w:t>
      </w:r>
      <w:r w:rsidRPr="007224C3">
        <w:rPr>
          <w:rFonts w:ascii="Times New Roman" w:hAnsi="Times New Roman"/>
          <w:color w:val="000000" w:themeColor="text1"/>
          <w:sz w:val="16"/>
          <w:szCs w:val="16"/>
        </w:rPr>
        <w:softHyphen/>
        <w:t>тельной стенкой. Лонжерон и стен</w:t>
      </w:r>
      <w:r w:rsidRPr="007224C3">
        <w:rPr>
          <w:rFonts w:ascii="Times New Roman" w:hAnsi="Times New Roman"/>
          <w:color w:val="000000" w:themeColor="text1"/>
          <w:sz w:val="16"/>
          <w:szCs w:val="16"/>
        </w:rPr>
        <w:softHyphen/>
        <w:t>ка - цельнометаллические, нервю</w:t>
      </w:r>
      <w:r w:rsidRPr="007224C3">
        <w:rPr>
          <w:rFonts w:ascii="Times New Roman" w:hAnsi="Times New Roman"/>
          <w:color w:val="000000" w:themeColor="text1"/>
          <w:sz w:val="16"/>
          <w:szCs w:val="16"/>
        </w:rPr>
        <w:softHyphen/>
        <w:t>ры деревянные, обшивка фанерная. Профили крыла МАСА-230 большой относительной толщины. Механиза</w:t>
      </w:r>
      <w:r w:rsidRPr="007224C3">
        <w:rPr>
          <w:rFonts w:ascii="Times New Roman" w:hAnsi="Times New Roman"/>
          <w:color w:val="000000" w:themeColor="text1"/>
          <w:sz w:val="16"/>
          <w:szCs w:val="16"/>
        </w:rPr>
        <w:softHyphen/>
        <w:t>ция крыла состояла из автомати</w:t>
      </w:r>
      <w:r w:rsidRPr="007224C3">
        <w:rPr>
          <w:rFonts w:ascii="Times New Roman" w:hAnsi="Times New Roman"/>
          <w:color w:val="000000" w:themeColor="text1"/>
          <w:sz w:val="16"/>
          <w:szCs w:val="16"/>
        </w:rPr>
        <w:softHyphen/>
        <w:t>ческих предкрылков, элеронов и посадочных щитков.</w:t>
      </w:r>
    </w:p>
    <w:p w14:paraId="33228FE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Хвостовое оперение - цельно</w:t>
      </w:r>
      <w:r w:rsidRPr="007224C3">
        <w:rPr>
          <w:rFonts w:ascii="Times New Roman" w:hAnsi="Times New Roman"/>
          <w:color w:val="000000" w:themeColor="text1"/>
          <w:sz w:val="16"/>
          <w:szCs w:val="16"/>
        </w:rPr>
        <w:softHyphen/>
        <w:t>металлическое, рули обтянуты по</w:t>
      </w:r>
      <w:r w:rsidRPr="007224C3">
        <w:rPr>
          <w:rFonts w:ascii="Times New Roman" w:hAnsi="Times New Roman"/>
          <w:color w:val="000000" w:themeColor="text1"/>
          <w:sz w:val="16"/>
          <w:szCs w:val="16"/>
        </w:rPr>
        <w:softHyphen/>
        <w:t>лотном.</w:t>
      </w:r>
    </w:p>
    <w:p w14:paraId="4FF7537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Шасси - трехопорное с хвосто</w:t>
      </w:r>
      <w:r w:rsidRPr="007224C3">
        <w:rPr>
          <w:rFonts w:ascii="Times New Roman" w:hAnsi="Times New Roman"/>
          <w:color w:val="000000" w:themeColor="text1"/>
          <w:sz w:val="16"/>
          <w:szCs w:val="16"/>
        </w:rPr>
        <w:softHyphen/>
        <w:t>вым колесом. Основные опоры с колесами 1200x450 убирались в мотогондолы по потоку. Хвостовая опора с колесом 600x250 убира</w:t>
      </w:r>
      <w:r w:rsidRPr="007224C3">
        <w:rPr>
          <w:rFonts w:ascii="Times New Roman" w:hAnsi="Times New Roman"/>
          <w:color w:val="000000" w:themeColor="text1"/>
          <w:sz w:val="16"/>
          <w:szCs w:val="16"/>
        </w:rPr>
        <w:softHyphen/>
        <w:t>лась в фюзеляж по потоку. Система уборки и выпуска шасси — гидрав</w:t>
      </w:r>
      <w:r w:rsidRPr="007224C3">
        <w:rPr>
          <w:rFonts w:ascii="Times New Roman" w:hAnsi="Times New Roman"/>
          <w:color w:val="000000" w:themeColor="text1"/>
          <w:sz w:val="16"/>
          <w:szCs w:val="16"/>
        </w:rPr>
        <w:softHyphen/>
        <w:t>лическая.</w:t>
      </w:r>
    </w:p>
    <w:p w14:paraId="5E496E5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Система управления самолетом смешанного типа.</w:t>
      </w:r>
    </w:p>
    <w:p w14:paraId="421BF53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Силовая установка состояла из двух двигателей воздушного охлаж-</w:t>
      </w:r>
    </w:p>
    <w:p w14:paraId="459A725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дения М-71Ф, размещенных в мо</w:t>
      </w:r>
      <w:r w:rsidRPr="007224C3">
        <w:rPr>
          <w:rFonts w:ascii="Times New Roman" w:hAnsi="Times New Roman"/>
          <w:color w:val="000000" w:themeColor="text1"/>
          <w:sz w:val="16"/>
          <w:szCs w:val="16"/>
        </w:rPr>
        <w:softHyphen/>
        <w:t>тогондолах. Топливные баки распо</w:t>
      </w:r>
      <w:r w:rsidRPr="007224C3">
        <w:rPr>
          <w:rFonts w:ascii="Times New Roman" w:hAnsi="Times New Roman"/>
          <w:color w:val="000000" w:themeColor="text1"/>
          <w:sz w:val="16"/>
          <w:szCs w:val="16"/>
        </w:rPr>
        <w:softHyphen/>
        <w:t>лагались в мотогондолах и консо</w:t>
      </w:r>
      <w:r w:rsidRPr="007224C3">
        <w:rPr>
          <w:rFonts w:ascii="Times New Roman" w:hAnsi="Times New Roman"/>
          <w:color w:val="000000" w:themeColor="text1"/>
          <w:sz w:val="16"/>
          <w:szCs w:val="16"/>
        </w:rPr>
        <w:softHyphen/>
        <w:t>лях крыла.</w:t>
      </w:r>
    </w:p>
    <w:p w14:paraId="5120E15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Пушечное вооружение включа</w:t>
      </w:r>
      <w:r w:rsidRPr="007224C3">
        <w:rPr>
          <w:rFonts w:ascii="Times New Roman" w:hAnsi="Times New Roman"/>
          <w:color w:val="000000" w:themeColor="text1"/>
          <w:sz w:val="16"/>
          <w:szCs w:val="16"/>
        </w:rPr>
        <w:softHyphen/>
        <w:t>ло подфюзеляжную батарею из четырех пушек калибра 45 мм с сум</w:t>
      </w:r>
      <w:r w:rsidRPr="007224C3">
        <w:rPr>
          <w:rFonts w:ascii="Times New Roman" w:hAnsi="Times New Roman"/>
          <w:color w:val="000000" w:themeColor="text1"/>
          <w:sz w:val="16"/>
          <w:szCs w:val="16"/>
        </w:rPr>
        <w:softHyphen/>
        <w:t>марным боекомплектом 200 патронов.</w:t>
      </w:r>
    </w:p>
    <w:p w14:paraId="7570FAB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Стрелковое вооружение состо</w:t>
      </w:r>
      <w:r w:rsidRPr="007224C3">
        <w:rPr>
          <w:rFonts w:ascii="Times New Roman" w:hAnsi="Times New Roman"/>
          <w:color w:val="000000" w:themeColor="text1"/>
          <w:sz w:val="16"/>
          <w:szCs w:val="16"/>
        </w:rPr>
        <w:softHyphen/>
        <w:t>яло из восьми пулеметов ШКАС (по четыре в каждой консоли крыла) с суммарным боекомплектом 4800 патронов, а также двух подвижных пулеметов в кабине стрелка-ради</w:t>
      </w:r>
      <w:r w:rsidRPr="007224C3">
        <w:rPr>
          <w:rFonts w:ascii="Times New Roman" w:hAnsi="Times New Roman"/>
          <w:color w:val="000000" w:themeColor="text1"/>
          <w:sz w:val="16"/>
          <w:szCs w:val="16"/>
        </w:rPr>
        <w:softHyphen/>
        <w:t>ста. УБТ - на верхней турели УТК-1 с боекомплектом 200 патронов и пулемета ШКАС на нижней люко</w:t>
      </w:r>
      <w:r w:rsidRPr="007224C3">
        <w:rPr>
          <w:rFonts w:ascii="Times New Roman" w:hAnsi="Times New Roman"/>
          <w:color w:val="000000" w:themeColor="text1"/>
          <w:sz w:val="16"/>
          <w:szCs w:val="16"/>
        </w:rPr>
        <w:softHyphen/>
        <w:t>вой турели ЛУ-100 с боекомплек</w:t>
      </w:r>
      <w:r w:rsidRPr="007224C3">
        <w:rPr>
          <w:rFonts w:ascii="Times New Roman" w:hAnsi="Times New Roman"/>
          <w:color w:val="000000" w:themeColor="text1"/>
          <w:sz w:val="16"/>
          <w:szCs w:val="16"/>
        </w:rPr>
        <w:softHyphen/>
        <w:t>том 700 патронов.</w:t>
      </w:r>
    </w:p>
    <w:p w14:paraId="0A4EA52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Бомбы размещались в шести бомбоотсеках центроплана. Каждый отсек вмещал одну бомбу калибра 100 кг или несколько авиабомб меньшего калибра. Под фюзеляжем предусматривалась подвеска трех бомб калибра 250 кг, либо двух бомб калибра 500 кг. Нормальная бомбовая нагрузка 1000 кг, в пере</w:t>
      </w:r>
      <w:r w:rsidRPr="007224C3">
        <w:rPr>
          <w:rFonts w:ascii="Times New Roman" w:hAnsi="Times New Roman"/>
          <w:color w:val="000000" w:themeColor="text1"/>
          <w:sz w:val="16"/>
          <w:szCs w:val="16"/>
        </w:rPr>
        <w:softHyphen/>
        <w:t>грузочном варианте - 1400 кг.</w:t>
      </w:r>
    </w:p>
    <w:p w14:paraId="0622BA6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Бронирование, общей массой 1680 кг, обеспечивало защиту пи</w:t>
      </w:r>
      <w:r w:rsidRPr="007224C3">
        <w:rPr>
          <w:rFonts w:ascii="Times New Roman" w:hAnsi="Times New Roman"/>
          <w:color w:val="000000" w:themeColor="text1"/>
          <w:sz w:val="16"/>
          <w:szCs w:val="16"/>
        </w:rPr>
        <w:softHyphen/>
        <w:t>лота, стрелка-радиста, моторов, крыльевых бензобаков, маслобаков, маслорадиаторов и втулок воздуш</w:t>
      </w:r>
      <w:r w:rsidRPr="007224C3">
        <w:rPr>
          <w:rFonts w:ascii="Times New Roman" w:hAnsi="Times New Roman"/>
          <w:color w:val="000000" w:themeColor="text1"/>
          <w:sz w:val="16"/>
          <w:szCs w:val="16"/>
        </w:rPr>
        <w:softHyphen/>
        <w:t>ных винтов (11853).</w:t>
      </w:r>
    </w:p>
    <w:p w14:paraId="7D552D0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7AE1155" w14:textId="77777777" w:rsidR="00E07A00" w:rsidRPr="007224C3" w:rsidRDefault="00E07A00"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В конце апреля 1944 самолет Су-8 был перевезен на завод № 289, где в ходе доработок самолета в течение июня — июля 37-мм пушки 11П заменили пушками 111П (НС-45 в серии) калибра 45 мм конструкции ОКБ-16 с боекомплектом 200 снарядов.</w:t>
      </w:r>
    </w:p>
    <w:p w14:paraId="7BDBB9F9" w14:textId="77777777" w:rsidR="00E07A00" w:rsidRPr="007224C3" w:rsidRDefault="00E07A00"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Стрелковое вооружение осталось прежним. Ра</w:t>
      </w:r>
      <w:r w:rsidRPr="007224C3">
        <w:rPr>
          <w:color w:val="000000" w:themeColor="text1"/>
          <w:sz w:val="16"/>
          <w:szCs w:val="16"/>
        </w:rPr>
        <w:softHyphen/>
        <w:t>кетное вооружение включало 6 ракетных орудий РО-82 или РО-132. В перегрузку допускалась уста</w:t>
      </w:r>
      <w:r w:rsidRPr="007224C3">
        <w:rPr>
          <w:color w:val="000000" w:themeColor="text1"/>
          <w:sz w:val="16"/>
          <w:szCs w:val="16"/>
        </w:rPr>
        <w:softHyphen/>
        <w:t>новка 10 ракетных орудий.</w:t>
      </w:r>
    </w:p>
    <w:p w14:paraId="377A8C54" w14:textId="77777777" w:rsidR="00E07A00" w:rsidRPr="007224C3" w:rsidRDefault="00E07A00"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Бомбы размещались в 6 бомбоотсеках, распо</w:t>
      </w:r>
      <w:r w:rsidRPr="007224C3">
        <w:rPr>
          <w:color w:val="000000" w:themeColor="text1"/>
          <w:sz w:val="16"/>
          <w:szCs w:val="16"/>
        </w:rPr>
        <w:softHyphen/>
        <w:t>ложенных в центроплане. Каждый отсек вмещал в себя 1 бомбу весом в 100 кг (всего 600 кг) или не</w:t>
      </w:r>
      <w:r w:rsidRPr="007224C3">
        <w:rPr>
          <w:color w:val="000000" w:themeColor="text1"/>
          <w:sz w:val="16"/>
          <w:szCs w:val="16"/>
        </w:rPr>
        <w:softHyphen/>
        <w:t>сколько авиабомб меньшего калибра от 1 до 25 кг (всего 900 кг).</w:t>
      </w:r>
    </w:p>
    <w:p w14:paraId="73664A8E" w14:textId="77777777" w:rsidR="00E07A00" w:rsidRPr="007224C3" w:rsidRDefault="00E07A00"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Под фюзеляжем предусматривалась возмож</w:t>
      </w:r>
      <w:r w:rsidRPr="007224C3">
        <w:rPr>
          <w:color w:val="000000" w:themeColor="text1"/>
          <w:sz w:val="16"/>
          <w:szCs w:val="16"/>
        </w:rPr>
        <w:softHyphen/>
        <w:t>ность подвески 3 бомб калибра 100 или 250 кг либо 2 бомб калибра 500 кг или 2 ВАП-500.</w:t>
      </w:r>
    </w:p>
    <w:p w14:paraId="364713D6" w14:textId="77777777" w:rsidR="00E07A00" w:rsidRPr="007224C3" w:rsidRDefault="00E07A00"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Предельный вес бомбовой нагрузки составлял 1400 кг. В этом случае полетный вес самолета до</w:t>
      </w:r>
      <w:r w:rsidRPr="007224C3">
        <w:rPr>
          <w:color w:val="000000" w:themeColor="text1"/>
          <w:sz w:val="16"/>
          <w:szCs w:val="16"/>
        </w:rPr>
        <w:softHyphen/>
        <w:t>стигал 13 381 кг (17500).</w:t>
      </w:r>
    </w:p>
    <w:p w14:paraId="5FD0C218" w14:textId="77777777" w:rsidR="00E07A00" w:rsidRPr="007224C3" w:rsidRDefault="00E07A00" w:rsidP="007224C3">
      <w:pPr>
        <w:pStyle w:val="123"/>
        <w:shd w:val="clear" w:color="auto" w:fill="auto"/>
        <w:spacing w:after="0" w:line="240" w:lineRule="auto"/>
        <w:jc w:val="both"/>
        <w:rPr>
          <w:color w:val="000000" w:themeColor="text1"/>
          <w:sz w:val="16"/>
          <w:szCs w:val="16"/>
        </w:rPr>
      </w:pPr>
    </w:p>
    <w:p w14:paraId="66B30C4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конце апреля 1944 в г. Куйбышеве на заводе 24 прошел удовлетворительно 100 час. гос. испытания мотор АМ-42 (1817,30).</w:t>
      </w:r>
    </w:p>
    <w:p w14:paraId="7DE9E4E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FFD3E8" w14:textId="77777777" w:rsidR="00630135" w:rsidRPr="007224C3" w:rsidRDefault="00630135" w:rsidP="007224C3">
      <w:pPr>
        <w:shd w:val="clear" w:color="auto" w:fill="FFFFFF"/>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конце апреля 1944 завод № 39 стал получать доработанные двигатели, но и они часто давали сбои при испытаниях. Самолеты приходилось поднимать на одних и тех же двигателях, переставляя их с машины на машину. Для установления причин отказов двигателей при летных испытаниях и на сданных по боеготовности самолетах, в начале июня на заводе собираются представители завода № 134, завода № 500 и одного из авиаполков ВВС. Для проведения специальных летных испытаний выделяются самолеты Ер-2 №№ 703904, 703907, 703916 с двигателями АЧ-30Б, доработанными по предложению прибывших специалистов. Кроме того, экипажи самолетов должны дать оценку новому остеклению фонаря пилотов, изготовленному по чертежам ОКБ. В ходе летных испытаний двигателей был также выполнен большой объем работ по уменьшению силы трения рулей высоты, поворота и элеронов. Удовлетворительные результаты проведенных испытаний Ер-2 с доработанными двигателями и другими конструктивными изменениями утверждаются главным конструктором В.Г. Ермолаевым. В аэродромном цехе завода № 39 организуется техническая учеба мотористов и летчиков-испытателей по изучению двигателя АЧ-30Б и особенностей его эксплуатации. Занятия проводит заместитель Главного конструктора завода № 500 Тулупов (15223).</w:t>
      </w:r>
    </w:p>
    <w:p w14:paraId="4171182A" w14:textId="77777777" w:rsidR="00630135" w:rsidRPr="007224C3" w:rsidRDefault="00630135" w:rsidP="007224C3">
      <w:pPr>
        <w:shd w:val="clear" w:color="auto" w:fill="FFFFFF"/>
        <w:spacing w:after="0" w:line="240" w:lineRule="auto"/>
        <w:jc w:val="both"/>
        <w:rPr>
          <w:rFonts w:ascii="Times New Roman" w:hAnsi="Times New Roman"/>
          <w:color w:val="000000" w:themeColor="text1"/>
          <w:sz w:val="16"/>
          <w:szCs w:val="16"/>
        </w:rPr>
      </w:pPr>
    </w:p>
    <w:p w14:paraId="2AB8D588" w14:textId="77777777" w:rsidR="00630135" w:rsidRPr="007224C3" w:rsidRDefault="0063013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конце апреля 1944 г. Лётчик-испытатель В.Н. Юганов в рамках заво</w:t>
      </w:r>
      <w:r w:rsidRPr="007224C3">
        <w:rPr>
          <w:rFonts w:ascii="Times New Roman" w:hAnsi="Times New Roman"/>
          <w:color w:val="000000" w:themeColor="text1"/>
          <w:sz w:val="16"/>
          <w:szCs w:val="16"/>
        </w:rPr>
        <w:softHyphen/>
        <w:t>дских испытаний выполнил на новом высотном Як-9 три полёта.</w:t>
      </w:r>
    </w:p>
    <w:p w14:paraId="0FE486D2" w14:textId="77777777" w:rsidR="00630135" w:rsidRPr="007224C3" w:rsidRDefault="0063013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серийный Як-9У с ВК-107А, выпуска завода № 166, установили мотор М-106ПВ с высотностью 9500 м и ещё некоторые системы и агрегаты. Его, также как и высотный Ла-5, оборудовали системой впрыска смеси (50% спирта и 50% воды). Самолёт облегчили настолько, на</w:t>
      </w:r>
      <w:r w:rsidRPr="007224C3">
        <w:rPr>
          <w:rFonts w:ascii="Times New Roman" w:hAnsi="Times New Roman"/>
          <w:color w:val="000000" w:themeColor="text1"/>
          <w:sz w:val="16"/>
          <w:szCs w:val="16"/>
        </w:rPr>
        <w:softHyphen/>
        <w:t>сколько это было возможно. Место пушки ШВАК заняла более лёгкая пушка того же Шпитального — ША-20М, её боекомплект уменьшили до 60 снарядов (т.е. соответст</w:t>
      </w:r>
      <w:r w:rsidRPr="007224C3">
        <w:rPr>
          <w:rFonts w:ascii="Times New Roman" w:hAnsi="Times New Roman"/>
          <w:color w:val="000000" w:themeColor="text1"/>
          <w:sz w:val="16"/>
          <w:szCs w:val="16"/>
        </w:rPr>
        <w:softHyphen/>
        <w:t>вовал минимальным требованиям по вооружению, указанным в проекте Постановле</w:t>
      </w:r>
      <w:r w:rsidRPr="007224C3">
        <w:rPr>
          <w:rFonts w:ascii="Times New Roman" w:hAnsi="Times New Roman"/>
          <w:color w:val="000000" w:themeColor="text1"/>
          <w:sz w:val="16"/>
          <w:szCs w:val="16"/>
        </w:rPr>
        <w:softHyphen/>
        <w:t>ния), винт заменили на специальный высотный облегченный винт ВИШ-105ТЛ диаметром 2,8 м с широкими лопастями. С элеронов и руля высоты сняли весовую ба</w:t>
      </w:r>
      <w:r w:rsidRPr="007224C3">
        <w:rPr>
          <w:rFonts w:ascii="Times New Roman" w:hAnsi="Times New Roman"/>
          <w:color w:val="000000" w:themeColor="text1"/>
          <w:sz w:val="16"/>
          <w:szCs w:val="16"/>
        </w:rPr>
        <w:softHyphen/>
        <w:t>лансировку, запас бензина уменьшили с 420 до 240 кг, а масла — с 48 до 30 кг. Бла</w:t>
      </w:r>
      <w:r w:rsidRPr="007224C3">
        <w:rPr>
          <w:rFonts w:ascii="Times New Roman" w:hAnsi="Times New Roman"/>
          <w:color w:val="000000" w:themeColor="text1"/>
          <w:sz w:val="16"/>
          <w:szCs w:val="16"/>
        </w:rPr>
        <w:softHyphen/>
        <w:t xml:space="preserve">годаря этим и некоторым другим мероприятиям по облегчению Яка, его вес составил всего 2500 кг. </w:t>
      </w:r>
    </w:p>
    <w:p w14:paraId="4D14D38C" w14:textId="77777777" w:rsidR="00630135" w:rsidRPr="007224C3" w:rsidRDefault="0063013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 дос</w:t>
      </w:r>
      <w:r w:rsidRPr="007224C3">
        <w:rPr>
          <w:rFonts w:ascii="Times New Roman" w:hAnsi="Times New Roman"/>
          <w:color w:val="000000" w:themeColor="text1"/>
          <w:sz w:val="16"/>
          <w:szCs w:val="16"/>
        </w:rPr>
        <w:softHyphen/>
        <w:t>тигнутая высота составила— 12800-13100 м и являлась потолком самолёта (14830).</w:t>
      </w:r>
    </w:p>
    <w:p w14:paraId="3304709C" w14:textId="77777777" w:rsidR="00630135" w:rsidRPr="007224C3" w:rsidRDefault="00630135" w:rsidP="007224C3">
      <w:pPr>
        <w:spacing w:after="0" w:line="240" w:lineRule="auto"/>
        <w:jc w:val="both"/>
        <w:rPr>
          <w:rFonts w:ascii="Times New Roman" w:hAnsi="Times New Roman"/>
          <w:color w:val="000000" w:themeColor="text1"/>
          <w:sz w:val="16"/>
          <w:szCs w:val="16"/>
        </w:rPr>
      </w:pPr>
    </w:p>
    <w:p w14:paraId="4C60E6D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конце апреля 1944 был выпущен И-222 (3А) МиГ (4,251).</w:t>
      </w:r>
    </w:p>
    <w:p w14:paraId="3C849B9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522016" w14:textId="77777777" w:rsidR="00B240EB" w:rsidRPr="007224C3" w:rsidRDefault="00B240E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57A5CE39" w14:textId="77777777" w:rsidR="00B240EB" w:rsidRPr="007224C3" w:rsidRDefault="00B240E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EE53F92" w14:textId="77777777" w:rsidR="00B240EB" w:rsidRPr="007224C3" w:rsidRDefault="00B240EB" w:rsidP="007224C3">
      <w:pPr>
        <w:pStyle w:val="ae"/>
        <w:spacing w:before="0" w:after="0"/>
        <w:jc w:val="both"/>
        <w:textAlignment w:val="baseline"/>
        <w:rPr>
          <w:color w:val="000000" w:themeColor="text1"/>
          <w:sz w:val="16"/>
          <w:szCs w:val="16"/>
        </w:rPr>
      </w:pPr>
      <w:r w:rsidRPr="007224C3">
        <w:rPr>
          <w:color w:val="000000" w:themeColor="text1"/>
          <w:sz w:val="16"/>
          <w:szCs w:val="16"/>
        </w:rPr>
        <w:t>К концу апреля 1944 года стал формироваться облик модернизированного Т-44 по результатам испытаний (18950).</w:t>
      </w:r>
    </w:p>
    <w:p w14:paraId="0BC475DF" w14:textId="77777777" w:rsidR="00B240EB" w:rsidRPr="007224C3" w:rsidRDefault="00B240EB" w:rsidP="007224C3">
      <w:pPr>
        <w:pStyle w:val="ae"/>
        <w:spacing w:before="0" w:after="0"/>
        <w:jc w:val="both"/>
        <w:textAlignment w:val="baseline"/>
        <w:rPr>
          <w:color w:val="000000" w:themeColor="text1"/>
          <w:sz w:val="16"/>
          <w:szCs w:val="16"/>
        </w:rPr>
      </w:pPr>
    </w:p>
    <w:p w14:paraId="0AEA9779" w14:textId="77777777" w:rsidR="00CF740B" w:rsidRPr="007224C3" w:rsidRDefault="00CF740B" w:rsidP="007224C3">
      <w:pPr>
        <w:pStyle w:val="ae"/>
        <w:shd w:val="clear" w:color="auto" w:fill="FFFFFF"/>
        <w:spacing w:before="0" w:after="0"/>
        <w:jc w:val="both"/>
        <w:textAlignment w:val="baseline"/>
        <w:rPr>
          <w:color w:val="000000" w:themeColor="text1"/>
          <w:sz w:val="16"/>
          <w:szCs w:val="16"/>
        </w:rPr>
      </w:pPr>
      <w:r w:rsidRPr="007224C3">
        <w:rPr>
          <w:color w:val="000000" w:themeColor="text1"/>
          <w:sz w:val="16"/>
          <w:szCs w:val="16"/>
        </w:rPr>
        <w:t xml:space="preserve">К концу апреля 1944 года ОКБ завода №100 проработало техническую документацию по проекту модернизации ИС-2, изготовило несколько деревянных моделей, и… на этом всё закончилось. Несмотря на то что в НКТП и ГБТУ КА шла переписка по утверждению окончательного облика ИС-2 большой модернизации, активность </w:t>
      </w:r>
      <w:r w:rsidRPr="007224C3">
        <w:rPr>
          <w:color w:val="000000" w:themeColor="text1"/>
          <w:sz w:val="16"/>
          <w:szCs w:val="16"/>
        </w:rPr>
        <w:lastRenderedPageBreak/>
        <w:t>завода №100 по данному вопросу прекратилась. Нет, полного игнорирования работ по модернизации не было, завод занимался изготовлением элементов, которые разрабатывало СКБ-2 ЧКЗ. Тем не менее собственный проект модернизации ИС-2 на заводе №100 забросили. Во второй половине апреля 1944 года ОКБ завода №100 активно работало над созданием уже нового танка. Первым признаком того, что ОКБ завода №100 занимается далеко не одной модернизацией ИС-2, стала жалоба нового военного представителя на заводе гвардии инженер-полковника А. Вовка. 18 апреля 1944 года он направил письмо, в котором сообщал о странных активностях на заводе. На заводе он обнаружил комнату, у входа которой была выставлена охрана. Нового военного представителя туда не пустили, мотивируя это тем, что внутрь можно попасть только с личного разрешения </w:t>
      </w:r>
      <w:hyperlink r:id="rId107" w:history="1">
        <w:r w:rsidRPr="007224C3">
          <w:rPr>
            <w:rStyle w:val="a5"/>
            <w:bCs/>
            <w:iCs/>
            <w:color w:val="000000" w:themeColor="text1"/>
            <w:sz w:val="16"/>
            <w:szCs w:val="16"/>
            <w:bdr w:val="none" w:sz="0" w:space="0" w:color="auto" w:frame="1"/>
          </w:rPr>
          <w:t>Ж.Я. Котина</w:t>
        </w:r>
      </w:hyperlink>
      <w:r w:rsidRPr="007224C3">
        <w:rPr>
          <w:color w:val="000000" w:themeColor="text1"/>
          <w:sz w:val="16"/>
          <w:szCs w:val="16"/>
        </w:rPr>
        <w:t>. На вопрос, что это за помещение, Котин ответил, что это его личная рабочая комната.</w:t>
      </w:r>
    </w:p>
    <w:p w14:paraId="64C1BDEB" w14:textId="77777777" w:rsidR="00CF740B" w:rsidRPr="007224C3" w:rsidRDefault="00CF740B" w:rsidP="007224C3">
      <w:pPr>
        <w:pStyle w:val="ae"/>
        <w:shd w:val="clear" w:color="auto" w:fill="FFFFFF"/>
        <w:spacing w:before="0" w:after="0"/>
        <w:jc w:val="both"/>
        <w:textAlignment w:val="baseline"/>
        <w:rPr>
          <w:color w:val="000000" w:themeColor="text1"/>
          <w:sz w:val="16"/>
          <w:szCs w:val="16"/>
        </w:rPr>
      </w:pPr>
      <w:r w:rsidRPr="007224C3">
        <w:rPr>
          <w:color w:val="000000" w:themeColor="text1"/>
          <w:sz w:val="16"/>
          <w:szCs w:val="16"/>
        </w:rPr>
        <w:t>На самом деле в «личной комнате Котина» работали Н.Ф. Шашмурин, А.С. Шнейдман, Г.А. Турчанинов и другие конструкторы. У них имелась своя версия: </w:t>
      </w:r>
      <w:r w:rsidRPr="007224C3">
        <w:rPr>
          <w:iCs/>
          <w:color w:val="000000" w:themeColor="text1"/>
          <w:sz w:val="16"/>
          <w:szCs w:val="16"/>
          <w:bdr w:val="none" w:sz="0" w:space="0" w:color="auto" w:frame="1"/>
        </w:rPr>
        <w:t>«Это курительная комната»</w:t>
      </w:r>
      <w:r w:rsidRPr="007224C3">
        <w:rPr>
          <w:color w:val="000000" w:themeColor="text1"/>
          <w:sz w:val="16"/>
          <w:szCs w:val="16"/>
        </w:rPr>
        <w:t>. Разразился скандал, по этому поводу шла бурная переписка с указанием привести работу по текущим проектам и взаимоотношения с военной приёмкой в нормальное русло. Тем не менее активность по «посторонним» темам отнюдь не прекратилась. Тайная комната была местом, где велись работы по тяжёлому танку, который должен был стать конкурентом Объекту 701. Поскольку за такую работу со стороны НКТП могли последовать серьёзные проблемы, работы проходили в режиме секретности. Понятно и покровительство всему этому со стороны Котина: его явно не устраивал тот факт, что опытный завод №100 из центра разработки новых образцов бронетанковой техники превратился в структуру, которая должна работать на подхвате. В свою очередь, ЧКЗ, который должен был выпускать разработки завода №100, обзавёлся собственным КБ, которое и занималось Объектом 701. Отношения между заводом №100 и ЧКЗ особенно обострились в конце 1943 — начале 1944 года. На этом фоне появление конкурента Объекта 701 выглядело вполне ожидаемым (19150).</w:t>
      </w:r>
    </w:p>
    <w:p w14:paraId="779FCCB7" w14:textId="77777777" w:rsidR="00CF740B" w:rsidRPr="007224C3" w:rsidRDefault="00CF740B" w:rsidP="007224C3">
      <w:pPr>
        <w:pStyle w:val="ae"/>
        <w:shd w:val="clear" w:color="auto" w:fill="FFFFFF"/>
        <w:spacing w:before="0" w:after="0"/>
        <w:jc w:val="both"/>
        <w:textAlignment w:val="baseline"/>
        <w:rPr>
          <w:color w:val="000000" w:themeColor="text1"/>
          <w:sz w:val="16"/>
          <w:szCs w:val="16"/>
        </w:rPr>
      </w:pPr>
    </w:p>
    <w:p w14:paraId="517CD5AF" w14:textId="77777777" w:rsidR="00284391" w:rsidRPr="007224C3" w:rsidRDefault="00284391"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3D1E686D" w14:textId="77777777" w:rsidR="00284391" w:rsidRPr="007224C3" w:rsidRDefault="00284391"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72F11A6" w14:textId="77777777" w:rsidR="00284391" w:rsidRPr="007224C3" w:rsidRDefault="00284391"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Во второй половине апреля 1944 Сергей Владимирович Ильюшин завершил «операцию прикрытия». Двухместный вариант самолета Ил-1 после выполнения комплекса доработок на заводе № 240 получил (сначала полуофициально) новое наименование – Ил-10. События стали развиваться в ускоренном темпе. 18 апреля Владимир Константинович Коккинаки выполнил на новой машине первый вылет, а уже 27 мая с положительной оценкой завершились государственные испытания в НИИ ВВС. За следующие два месяца была проделана огромная работа по организации, планированиюи подготовке производстваИл-10 (21005)</w:t>
      </w:r>
    </w:p>
    <w:p w14:paraId="73C4EE56" w14:textId="77777777" w:rsidR="00284391" w:rsidRPr="007224C3" w:rsidRDefault="00284391" w:rsidP="007224C3">
      <w:pPr>
        <w:spacing w:after="0" w:line="240" w:lineRule="auto"/>
        <w:jc w:val="both"/>
        <w:rPr>
          <w:rFonts w:ascii="Times New Roman" w:hAnsi="Times New Roman"/>
          <w:color w:val="0070C0"/>
          <w:sz w:val="16"/>
          <w:szCs w:val="16"/>
        </w:rPr>
      </w:pPr>
    </w:p>
    <w:p w14:paraId="487D7B58"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10F1CA5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6EC509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апреле 1944 в ЛИИ НКАП проходил совместные с НИИ ВВС государственные летные испытания Ил-2 зав. № 1873370 с мотором АМ-38ф, оборудованный опытной системой заполне</w:t>
      </w:r>
      <w:r w:rsidRPr="007224C3">
        <w:rPr>
          <w:rFonts w:ascii="Times New Roman" w:hAnsi="Times New Roman"/>
          <w:color w:val="000000" w:themeColor="text1"/>
          <w:sz w:val="16"/>
          <w:szCs w:val="16"/>
        </w:rPr>
        <w:softHyphen/>
        <w:t>ния бензобаков выхлопными газами мотора — система НГ 1-й зоны. В ходе испытаний были испытаны две схемы «нейтраль</w:t>
      </w:r>
      <w:r w:rsidRPr="007224C3">
        <w:rPr>
          <w:rFonts w:ascii="Times New Roman" w:hAnsi="Times New Roman"/>
          <w:color w:val="000000" w:themeColor="text1"/>
          <w:sz w:val="16"/>
          <w:szCs w:val="16"/>
        </w:rPr>
        <w:softHyphen/>
        <w:t>ного газа»: СКО завода № 18 и ЛИИ НКАП.</w:t>
      </w:r>
    </w:p>
    <w:p w14:paraId="52DD44D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Напомним, что бензобаки на серийных самолетах Ил-2 за</w:t>
      </w:r>
      <w:r w:rsidRPr="007224C3">
        <w:rPr>
          <w:rFonts w:ascii="Times New Roman" w:hAnsi="Times New Roman"/>
          <w:color w:val="000000" w:themeColor="text1"/>
          <w:sz w:val="16"/>
          <w:szCs w:val="16"/>
        </w:rPr>
        <w:softHyphen/>
        <w:t>полнялись углекислотой от специального баллона. Это созда</w:t>
      </w:r>
      <w:r w:rsidRPr="007224C3">
        <w:rPr>
          <w:rFonts w:ascii="Times New Roman" w:hAnsi="Times New Roman"/>
          <w:color w:val="000000" w:themeColor="text1"/>
          <w:sz w:val="16"/>
          <w:szCs w:val="16"/>
        </w:rPr>
        <w:softHyphen/>
        <w:t>вало определенные затруднения при эксплуатации самолета в условиях фронта — в БАО не всегда имелось специальное обо</w:t>
      </w:r>
      <w:r w:rsidRPr="007224C3">
        <w:rPr>
          <w:rFonts w:ascii="Times New Roman" w:hAnsi="Times New Roman"/>
          <w:color w:val="000000" w:themeColor="text1"/>
          <w:sz w:val="16"/>
          <w:szCs w:val="16"/>
        </w:rPr>
        <w:softHyphen/>
        <w:t>рудование для заполнения баллонов углекислотой и, кроме то</w:t>
      </w:r>
      <w:r w:rsidRPr="007224C3">
        <w:rPr>
          <w:rFonts w:ascii="Times New Roman" w:hAnsi="Times New Roman"/>
          <w:color w:val="000000" w:themeColor="text1"/>
          <w:sz w:val="16"/>
          <w:szCs w:val="16"/>
        </w:rPr>
        <w:softHyphen/>
        <w:t>го, предъявлялись довольно жесткие условия по хранению за</w:t>
      </w:r>
      <w:r w:rsidRPr="007224C3">
        <w:rPr>
          <w:rFonts w:ascii="Times New Roman" w:hAnsi="Times New Roman"/>
          <w:color w:val="000000" w:themeColor="text1"/>
          <w:sz w:val="16"/>
          <w:szCs w:val="16"/>
        </w:rPr>
        <w:softHyphen/>
        <w:t>правленных баллонов на аэродроме.</w:t>
      </w:r>
    </w:p>
    <w:p w14:paraId="0DA5DF1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Забор газов для заполнения бензобаков производился от 5-го выхлопного патрубка левого блока мотора при помощи специального газозаборника, вваренного в патрубок навстречу потоку газов. Газозаборник выполнялся из жароупорной сталь</w:t>
      </w:r>
      <w:r w:rsidRPr="007224C3">
        <w:rPr>
          <w:rFonts w:ascii="Times New Roman" w:hAnsi="Times New Roman"/>
          <w:color w:val="000000" w:themeColor="text1"/>
          <w:sz w:val="16"/>
          <w:szCs w:val="16"/>
        </w:rPr>
        <w:softHyphen/>
        <w:t>ной трубы, участок от газозаборника до входа в крыло — из стальной трубки, а остальная часть — из дюралевых труб. Вклю</w:t>
      </w:r>
      <w:r w:rsidRPr="007224C3">
        <w:rPr>
          <w:rFonts w:ascii="Times New Roman" w:hAnsi="Times New Roman"/>
          <w:color w:val="000000" w:themeColor="text1"/>
          <w:sz w:val="16"/>
          <w:szCs w:val="16"/>
        </w:rPr>
        <w:softHyphen/>
        <w:t>чение и отключение подачи выхлопных газов в бензобаки осу</w:t>
      </w:r>
      <w:r w:rsidRPr="007224C3">
        <w:rPr>
          <w:rFonts w:ascii="Times New Roman" w:hAnsi="Times New Roman"/>
          <w:color w:val="000000" w:themeColor="text1"/>
          <w:sz w:val="16"/>
          <w:szCs w:val="16"/>
        </w:rPr>
        <w:softHyphen/>
        <w:t>ществлялось летчиком при помощи крана пробкового типа.</w:t>
      </w:r>
    </w:p>
    <w:p w14:paraId="2F6C550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Испытания показали, что в системе завода № 18, наряду с достаточной концентрацией СО, и О, в газовой среде бензобаков, выхлопные газы, заполняющие бензобаки, содержат зна</w:t>
      </w:r>
      <w:r w:rsidRPr="007224C3">
        <w:rPr>
          <w:rFonts w:ascii="Times New Roman" w:hAnsi="Times New Roman"/>
          <w:color w:val="000000" w:themeColor="text1"/>
          <w:sz w:val="16"/>
          <w:szCs w:val="16"/>
        </w:rPr>
        <w:softHyphen/>
        <w:t>чительное количество воды, скапливающейся в газопроводе, в бензобаках и в фильтре бензосистемы. Неудовлетворительное обезвоживание выхлопных газов обуславливалось высокой тем</w:t>
      </w:r>
      <w:r w:rsidRPr="007224C3">
        <w:rPr>
          <w:rFonts w:ascii="Times New Roman" w:hAnsi="Times New Roman"/>
          <w:color w:val="000000" w:themeColor="text1"/>
          <w:sz w:val="16"/>
          <w:szCs w:val="16"/>
        </w:rPr>
        <w:softHyphen/>
        <w:t>пературой выхлопных газов, достигающей в районе фильтра-от стойника 40—74°С, вместо максимально допустимой температу</w:t>
      </w:r>
      <w:r w:rsidRPr="007224C3">
        <w:rPr>
          <w:rFonts w:ascii="Times New Roman" w:hAnsi="Times New Roman"/>
          <w:color w:val="000000" w:themeColor="text1"/>
          <w:sz w:val="16"/>
          <w:szCs w:val="16"/>
        </w:rPr>
        <w:softHyphen/>
        <w:t>ры 30°С.</w:t>
      </w:r>
    </w:p>
    <w:p w14:paraId="6A0738B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понижения температуры газа и улучшения конденсации водяных паров, содержащихся в выхлопных газах, система ней</w:t>
      </w:r>
      <w:r w:rsidRPr="007224C3">
        <w:rPr>
          <w:rFonts w:ascii="Times New Roman" w:hAnsi="Times New Roman"/>
          <w:color w:val="000000" w:themeColor="text1"/>
          <w:sz w:val="16"/>
          <w:szCs w:val="16"/>
        </w:rPr>
        <w:softHyphen/>
        <w:t>трального газа ЛИИ НКАП включала специальные конденсато</w:t>
      </w:r>
      <w:r w:rsidRPr="007224C3">
        <w:rPr>
          <w:rFonts w:ascii="Times New Roman" w:hAnsi="Times New Roman"/>
          <w:color w:val="000000" w:themeColor="text1"/>
          <w:sz w:val="16"/>
          <w:szCs w:val="16"/>
        </w:rPr>
        <w:softHyphen/>
        <w:t>ры, выполненные из трубы с внутренними перегородками. Эта схема показала хорошие результаты. Обеспечивалось вполне достаточное обезвоживание выхлопных газов даже при наличии негерметичности системы (искусственное отверстие диаметром 4 мм). Конденсат в фильтре-отстойнике за 1 час полета в сред</w:t>
      </w:r>
      <w:r w:rsidRPr="007224C3">
        <w:rPr>
          <w:rFonts w:ascii="Times New Roman" w:hAnsi="Times New Roman"/>
          <w:color w:val="000000" w:themeColor="text1"/>
          <w:sz w:val="16"/>
          <w:szCs w:val="16"/>
        </w:rPr>
        <w:softHyphen/>
        <w:t>нем не превышал 60 см</w:t>
      </w:r>
      <w:r w:rsidRPr="007224C3">
        <w:rPr>
          <w:rFonts w:ascii="Times New Roman" w:hAnsi="Times New Roman"/>
          <w:color w:val="000000" w:themeColor="text1"/>
          <w:sz w:val="16"/>
          <w:szCs w:val="16"/>
          <w:vertAlign w:val="superscript"/>
        </w:rPr>
        <w:t>3</w:t>
      </w:r>
      <w:r w:rsidRPr="007224C3">
        <w:rPr>
          <w:rFonts w:ascii="Times New Roman" w:hAnsi="Times New Roman"/>
          <w:color w:val="000000" w:themeColor="text1"/>
          <w:sz w:val="16"/>
          <w:szCs w:val="16"/>
        </w:rPr>
        <w:t>. При этом концентрация в бензобаках СО, и О, достигала 2—4% и 8—12%, соответственно.</w:t>
      </w:r>
    </w:p>
    <w:p w14:paraId="3218E89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результате система НГ 1-й зоны ЛИИ НКАП и была ре</w:t>
      </w:r>
      <w:r w:rsidRPr="007224C3">
        <w:rPr>
          <w:rFonts w:ascii="Times New Roman" w:hAnsi="Times New Roman"/>
          <w:color w:val="000000" w:themeColor="text1"/>
          <w:sz w:val="16"/>
          <w:szCs w:val="16"/>
        </w:rPr>
        <w:softHyphen/>
        <w:t>комендована в качестве эталона для внедрения в серию на всех самолетах Ил-2 с АМ-38ф взамен стандартной углекислотной установки.</w:t>
      </w:r>
    </w:p>
    <w:p w14:paraId="00A0476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Кроме этого, в отчете по испытаниям от 4 мая эта система рекомендовалась для установки «на модификации самолетов Ил-2 с новым типом мотора (самолеты Ил-2 с мотором АМ-42. — </w:t>
      </w:r>
      <w:r w:rsidRPr="007224C3">
        <w:rPr>
          <w:rFonts w:ascii="Times New Roman" w:hAnsi="Times New Roman"/>
          <w:iCs/>
          <w:color w:val="000000" w:themeColor="text1"/>
          <w:sz w:val="16"/>
          <w:szCs w:val="16"/>
        </w:rPr>
        <w:t xml:space="preserve">Авт.) </w:t>
      </w:r>
      <w:r w:rsidRPr="007224C3">
        <w:rPr>
          <w:rFonts w:ascii="Times New Roman" w:hAnsi="Times New Roman"/>
          <w:color w:val="000000" w:themeColor="text1"/>
          <w:sz w:val="16"/>
          <w:szCs w:val="16"/>
        </w:rPr>
        <w:t>с последующей проверкой ее характеристики летными испытаниями» (11474,378).</w:t>
      </w:r>
    </w:p>
    <w:p w14:paraId="1FDFB34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3EE60FF" w14:textId="77777777" w:rsidR="00040C50" w:rsidRPr="007224C3" w:rsidRDefault="00040C50"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В апреле 1944 в ЦАГИ совместно с ЛИИ НКАП было проведено исследование проч</w:t>
      </w:r>
      <w:r w:rsidRPr="007224C3">
        <w:rPr>
          <w:color w:val="000000" w:themeColor="text1"/>
          <w:sz w:val="16"/>
          <w:szCs w:val="16"/>
        </w:rPr>
        <w:softHyphen/>
        <w:t>ности крыла (динамической и статической) самоле</w:t>
      </w:r>
      <w:r w:rsidRPr="007224C3">
        <w:rPr>
          <w:color w:val="000000" w:themeColor="text1"/>
          <w:sz w:val="16"/>
          <w:szCs w:val="16"/>
        </w:rPr>
        <w:softHyphen/>
        <w:t>та Ил-2 с 11П после 3000 выстрелов из пушки.</w:t>
      </w:r>
    </w:p>
    <w:p w14:paraId="4B0BFBAD" w14:textId="77777777" w:rsidR="00040C50" w:rsidRPr="007224C3" w:rsidRDefault="00040C50"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По приказанию начальника ЦАГИ профессора С. Н. Шишкина этой темой занимались начальник отдела вибропрочности И. И. Марин и начальник отдела статической прочности 3-й лаборатории Ф. М. Кондаков.</w:t>
      </w:r>
    </w:p>
    <w:p w14:paraId="25C306B3" w14:textId="77777777" w:rsidR="00040C50" w:rsidRPr="007224C3" w:rsidRDefault="00040C50" w:rsidP="007224C3">
      <w:pPr>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hAnsi="Times New Roman"/>
          <w:color w:val="000000" w:themeColor="text1"/>
          <w:sz w:val="16"/>
          <w:szCs w:val="16"/>
        </w:rPr>
        <w:t>Как следует из документов, отъемная часть кры</w:t>
      </w:r>
      <w:r w:rsidRPr="007224C3">
        <w:rPr>
          <w:rFonts w:ascii="Times New Roman" w:hAnsi="Times New Roman"/>
          <w:color w:val="000000" w:themeColor="text1"/>
          <w:sz w:val="16"/>
          <w:szCs w:val="16"/>
        </w:rPr>
        <w:softHyphen/>
        <w:t>ла производства завода № 30 с настрелом 3000 вы</w:t>
      </w:r>
      <w:r w:rsidRPr="007224C3">
        <w:rPr>
          <w:rFonts w:ascii="Times New Roman" w:hAnsi="Times New Roman"/>
          <w:color w:val="000000" w:themeColor="text1"/>
          <w:sz w:val="16"/>
          <w:szCs w:val="16"/>
        </w:rPr>
        <w:softHyphen/>
        <w:t>стрелов выдержала нагрузку в 110% от расчетного значения на случай А</w:t>
      </w:r>
      <w:r w:rsidRPr="007224C3">
        <w:rPr>
          <w:rFonts w:ascii="Times New Roman" w:hAnsi="Times New Roman"/>
          <w:color w:val="000000" w:themeColor="text1"/>
          <w:sz w:val="16"/>
          <w:szCs w:val="16"/>
          <w:vertAlign w:val="subscript"/>
        </w:rPr>
        <w:t>к</w:t>
      </w:r>
      <w:r w:rsidRPr="007224C3">
        <w:rPr>
          <w:rFonts w:ascii="Times New Roman" w:hAnsi="Times New Roman"/>
          <w:color w:val="000000" w:themeColor="text1"/>
          <w:sz w:val="16"/>
          <w:szCs w:val="16"/>
        </w:rPr>
        <w:t>, тогда как крыло без настрела — 120% (17500).</w:t>
      </w:r>
    </w:p>
    <w:p w14:paraId="45E4B541" w14:textId="77777777" w:rsidR="00040C50" w:rsidRPr="007224C3" w:rsidRDefault="00040C50" w:rsidP="007224C3">
      <w:pPr>
        <w:spacing w:after="0" w:line="240" w:lineRule="auto"/>
        <w:jc w:val="both"/>
        <w:rPr>
          <w:rFonts w:ascii="Times New Roman" w:eastAsia="Times New Roman" w:hAnsi="Times New Roman"/>
          <w:color w:val="000000" w:themeColor="text1"/>
          <w:sz w:val="16"/>
          <w:szCs w:val="16"/>
          <w:lang w:eastAsia="ru-RU"/>
        </w:rPr>
      </w:pPr>
    </w:p>
    <w:p w14:paraId="720A493D" w14:textId="77777777" w:rsidR="00040C50" w:rsidRPr="007224C3" w:rsidRDefault="00040C50"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В апреле 1944 г. в НИИ ВВС для прохождения совместных государственных испытаний поступил самолет Ил-2 (зав. №1873370) с мотором АМ-38ф, оборудованный системой заполнения бензобаков выхлопными газами мотора - система НГ 1-й зоны. На нем испытывались две системы «нейтрального газа»: СКО завода №18 и ЛИИ НКАП.</w:t>
      </w:r>
    </w:p>
    <w:p w14:paraId="0FA8A612" w14:textId="77777777" w:rsidR="00040C50" w:rsidRPr="007224C3" w:rsidRDefault="00040C50"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Испытания показали, что в системе завода №18, наряду с достаточной концентрацией С0</w:t>
      </w:r>
      <w:r w:rsidRPr="007224C3">
        <w:rPr>
          <w:rFonts w:ascii="Times New Roman" w:eastAsia="Times New Roman" w:hAnsi="Times New Roman"/>
          <w:color w:val="000000" w:themeColor="text1"/>
          <w:sz w:val="16"/>
          <w:szCs w:val="16"/>
          <w:shd w:val="clear" w:color="auto" w:fill="FFFFFF"/>
          <w:vertAlign w:val="subscript"/>
          <w:lang w:eastAsia="ru-RU"/>
        </w:rPr>
        <w:t>2</w:t>
      </w:r>
      <w:r w:rsidRPr="007224C3">
        <w:rPr>
          <w:rFonts w:ascii="Times New Roman" w:eastAsia="Times New Roman" w:hAnsi="Times New Roman"/>
          <w:color w:val="000000" w:themeColor="text1"/>
          <w:sz w:val="16"/>
          <w:szCs w:val="16"/>
          <w:lang w:eastAsia="ru-RU"/>
        </w:rPr>
        <w:t xml:space="preserve"> и 0</w:t>
      </w:r>
      <w:r w:rsidRPr="007224C3">
        <w:rPr>
          <w:rFonts w:ascii="Times New Roman" w:eastAsia="Times New Roman" w:hAnsi="Times New Roman"/>
          <w:color w:val="000000" w:themeColor="text1"/>
          <w:sz w:val="16"/>
          <w:szCs w:val="16"/>
          <w:shd w:val="clear" w:color="auto" w:fill="FFFFFF"/>
          <w:vertAlign w:val="subscript"/>
          <w:lang w:eastAsia="ru-RU"/>
        </w:rPr>
        <w:t>2</w:t>
      </w:r>
      <w:r w:rsidRPr="007224C3">
        <w:rPr>
          <w:rFonts w:ascii="Times New Roman" w:eastAsia="Times New Roman" w:hAnsi="Times New Roman"/>
          <w:color w:val="000000" w:themeColor="text1"/>
          <w:sz w:val="16"/>
          <w:szCs w:val="16"/>
          <w:lang w:eastAsia="ru-RU"/>
        </w:rPr>
        <w:t xml:space="preserve"> в газовой среде бензобаков, выхлопные газы, заполняющие бензобаки, содержат значительное количество воды, скапливающейся в газопроводе, в бензобаках и в фильтре бензосистемы. Неудовлетворительное обезвоживание выхлопных газов обуславливалось высокой температурой выхлопных газов, достигающей в районе фильтра-отстойника 40-74°С вместо максимально допустимой температуры 30°С.</w:t>
      </w:r>
    </w:p>
    <w:p w14:paraId="53F7AC39" w14:textId="77777777" w:rsidR="00040C50" w:rsidRPr="007224C3" w:rsidRDefault="00040C50"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Для снижения температуры газа и улучшения конденсации водяных паров, содержащихся в выхлопных газах, система нейтрального газа ЛИИ НКАП включала специальные конденсаторы, выполненные из трубы с внутренними перегородками. Эта схема показала хорошие результаты. Обеспечивалось вполне достаточное обезвоживание выхлопных газов даже при наличии негерметичности системы (искусственное отверстие диаметром 4 мм). Конденсат в фильтре-отстойнике за 1 ч полета в среднем не превышал 60 см</w:t>
      </w:r>
      <w:r w:rsidRPr="007224C3">
        <w:rPr>
          <w:rFonts w:ascii="Times New Roman" w:eastAsia="Times New Roman" w:hAnsi="Times New Roman"/>
          <w:color w:val="000000" w:themeColor="text1"/>
          <w:sz w:val="16"/>
          <w:szCs w:val="16"/>
          <w:shd w:val="clear" w:color="auto" w:fill="FFFFFF"/>
          <w:vertAlign w:val="superscript"/>
          <w:lang w:eastAsia="ru-RU"/>
        </w:rPr>
        <w:t>3</w:t>
      </w:r>
      <w:r w:rsidRPr="007224C3">
        <w:rPr>
          <w:rFonts w:ascii="Times New Roman" w:eastAsia="Times New Roman" w:hAnsi="Times New Roman"/>
          <w:color w:val="000000" w:themeColor="text1"/>
          <w:sz w:val="16"/>
          <w:szCs w:val="16"/>
          <w:lang w:eastAsia="ru-RU"/>
        </w:rPr>
        <w:t>. При этом концентрация е бензобаках С0</w:t>
      </w:r>
      <w:r w:rsidRPr="007224C3">
        <w:rPr>
          <w:rFonts w:ascii="Times New Roman" w:eastAsia="Times New Roman" w:hAnsi="Times New Roman"/>
          <w:color w:val="000000" w:themeColor="text1"/>
          <w:sz w:val="16"/>
          <w:szCs w:val="16"/>
          <w:shd w:val="clear" w:color="auto" w:fill="FFFFFF"/>
          <w:vertAlign w:val="subscript"/>
          <w:lang w:eastAsia="ru-RU"/>
        </w:rPr>
        <w:t>2</w:t>
      </w:r>
      <w:r w:rsidRPr="007224C3">
        <w:rPr>
          <w:rFonts w:ascii="Times New Roman" w:eastAsia="Times New Roman" w:hAnsi="Times New Roman"/>
          <w:color w:val="000000" w:themeColor="text1"/>
          <w:sz w:val="16"/>
          <w:szCs w:val="16"/>
          <w:lang w:eastAsia="ru-RU"/>
        </w:rPr>
        <w:t xml:space="preserve"> и 0</w:t>
      </w:r>
      <w:r w:rsidRPr="007224C3">
        <w:rPr>
          <w:rFonts w:ascii="Times New Roman" w:eastAsia="Times New Roman" w:hAnsi="Times New Roman"/>
          <w:color w:val="000000" w:themeColor="text1"/>
          <w:sz w:val="16"/>
          <w:szCs w:val="16"/>
          <w:shd w:val="clear" w:color="auto" w:fill="FFFFFF"/>
          <w:vertAlign w:val="subscript"/>
          <w:lang w:eastAsia="ru-RU"/>
        </w:rPr>
        <w:t>2</w:t>
      </w:r>
      <w:r w:rsidRPr="007224C3">
        <w:rPr>
          <w:rFonts w:ascii="Times New Roman" w:eastAsia="Times New Roman" w:hAnsi="Times New Roman"/>
          <w:color w:val="000000" w:themeColor="text1"/>
          <w:sz w:val="16"/>
          <w:szCs w:val="16"/>
          <w:lang w:eastAsia="ru-RU"/>
        </w:rPr>
        <w:t xml:space="preserve"> достигала 2-4% и 8-12% соответственно.</w:t>
      </w:r>
    </w:p>
    <w:p w14:paraId="5F96DC93" w14:textId="77777777" w:rsidR="00040C50" w:rsidRPr="007224C3" w:rsidRDefault="00040C50"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В итоге система НГ 1-й зоны конструкции ЛИИ НКАП была рекомендована в качестве эталона для внедрения в серию на всех самолетах Ил-2 с АМ-38ф вместо стандартной углекислотной установки. Кроме этого, в отчете пс испытаниям от 4 мая эта система рекомендовалась для установки «на модификации самолетов Ил-2 с новым типом мотора (самолеты Ил-2 с мотором АМ-42. - Прим, авт.) с последующей проверкой ее характеристики летными испытаниями».</w:t>
      </w:r>
    </w:p>
    <w:p w14:paraId="3998D363" w14:textId="77777777" w:rsidR="00040C50" w:rsidRPr="007224C3" w:rsidRDefault="00040C50"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Как известно, до самого окончания войны штурмовики Ил-2 летали с системой НГ-1-й зоны от баллона углекислоты под давлением. Надо сказать, ОКБ С.В. Ильюшина так и не смогло отладить систему НГ-1 от выхлопа мотора и на других штурмовиках. На опытном Ил-8 такая система имелась, но на государственные испытания она не предъявлялась, так как не была «доведена до ума». На серийном штурмовике Ил-10 поначалу система нейтральных газов вообще не предусматривалась. Самолет был принят на вооружение без НГ-1 хотя без нее боевой самолет в то время уже не мыслился. Такую систему внедрили уже в ходе серийного производства (17733).</w:t>
      </w:r>
    </w:p>
    <w:p w14:paraId="36F24A97" w14:textId="77777777" w:rsidR="00040C50" w:rsidRPr="007224C3" w:rsidRDefault="00040C50"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0824639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апрелю 1944 разобрались и с радиосвязью на самолете Ил-2. Для повышения коэффициента полезного действия антенного контура передатчика РСИ-3 в цепь антенны включили удли</w:t>
      </w:r>
      <w:r w:rsidRPr="007224C3">
        <w:rPr>
          <w:rFonts w:ascii="Times New Roman" w:hAnsi="Times New Roman"/>
          <w:color w:val="000000" w:themeColor="text1"/>
          <w:sz w:val="16"/>
          <w:szCs w:val="16"/>
        </w:rPr>
        <w:softHyphen/>
        <w:t>нительную катушку конструкции НИСО НКАП и переделали антенну по образцу, предложенному НИИ СС КА. Уменьше</w:t>
      </w:r>
      <w:r w:rsidRPr="007224C3">
        <w:rPr>
          <w:rFonts w:ascii="Times New Roman" w:hAnsi="Times New Roman"/>
          <w:color w:val="000000" w:themeColor="text1"/>
          <w:sz w:val="16"/>
          <w:szCs w:val="16"/>
        </w:rPr>
        <w:softHyphen/>
        <w:t>ние помех от системы зажигания мотора и других источников помех на самолете обеспечили заменой серийного антенного ввода антенным вводом, разработанным в НИСО.</w:t>
      </w:r>
    </w:p>
    <w:p w14:paraId="770D5E6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Кроме этого, установили фильтр, настроенный на опреде</w:t>
      </w:r>
      <w:r w:rsidRPr="007224C3">
        <w:rPr>
          <w:rFonts w:ascii="Times New Roman" w:hAnsi="Times New Roman"/>
          <w:color w:val="000000" w:themeColor="text1"/>
          <w:sz w:val="16"/>
          <w:szCs w:val="16"/>
        </w:rPr>
        <w:softHyphen/>
        <w:t>ленную полосу частот, который полностью устранил падение чувствительности приемника РСИ-4 при работе на одну ан</w:t>
      </w:r>
      <w:r w:rsidRPr="007224C3">
        <w:rPr>
          <w:rFonts w:ascii="Times New Roman" w:hAnsi="Times New Roman"/>
          <w:color w:val="000000" w:themeColor="text1"/>
          <w:sz w:val="16"/>
          <w:szCs w:val="16"/>
        </w:rPr>
        <w:softHyphen/>
        <w:t>тенну с РПК. Ранее из-за взаимного влияния друг на друга вы</w:t>
      </w:r>
      <w:r w:rsidRPr="007224C3">
        <w:rPr>
          <w:rFonts w:ascii="Times New Roman" w:hAnsi="Times New Roman"/>
          <w:color w:val="000000" w:themeColor="text1"/>
          <w:sz w:val="16"/>
          <w:szCs w:val="16"/>
        </w:rPr>
        <w:softHyphen/>
        <w:t>ходных цепей приемников входной сигнал для РСИ-4 ослаб</w:t>
      </w:r>
      <w:r w:rsidRPr="007224C3">
        <w:rPr>
          <w:rFonts w:ascii="Times New Roman" w:hAnsi="Times New Roman"/>
          <w:color w:val="000000" w:themeColor="text1"/>
          <w:sz w:val="16"/>
          <w:szCs w:val="16"/>
        </w:rPr>
        <w:softHyphen/>
        <w:t>лялся в 2—2,5 раза, а для РПК-10 — на 25—30%.</w:t>
      </w:r>
    </w:p>
    <w:p w14:paraId="56ECCC9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Предложенные доработки радикально изменили картину. При полетах доработанного соответствующим образом серий</w:t>
      </w:r>
      <w:r w:rsidRPr="007224C3">
        <w:rPr>
          <w:rFonts w:ascii="Times New Roman" w:hAnsi="Times New Roman"/>
          <w:color w:val="000000" w:themeColor="text1"/>
          <w:sz w:val="16"/>
          <w:szCs w:val="16"/>
        </w:rPr>
        <w:softHyphen/>
        <w:t>ного самолета Ил-2 зав. № 304054 дальность уверенной радио</w:t>
      </w:r>
      <w:r w:rsidRPr="007224C3">
        <w:rPr>
          <w:rFonts w:ascii="Times New Roman" w:hAnsi="Times New Roman"/>
          <w:color w:val="000000" w:themeColor="text1"/>
          <w:sz w:val="16"/>
          <w:szCs w:val="16"/>
        </w:rPr>
        <w:softHyphen/>
        <w:t>связи с наземной радиостанцией РСБ-Ф возросла: на прием — до 75 км, на передачу с самолета на землю при хорошей слы</w:t>
      </w:r>
      <w:r w:rsidRPr="007224C3">
        <w:rPr>
          <w:rFonts w:ascii="Times New Roman" w:hAnsi="Times New Roman"/>
          <w:color w:val="000000" w:themeColor="text1"/>
          <w:sz w:val="16"/>
          <w:szCs w:val="16"/>
        </w:rPr>
        <w:softHyphen/>
        <w:t>шимости — до 100—110 км.</w:t>
      </w:r>
    </w:p>
    <w:p w14:paraId="5570EDC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Летчик-испытатель завода № 30 подполковник Б.И. Мак</w:t>
      </w:r>
      <w:r w:rsidRPr="007224C3">
        <w:rPr>
          <w:rFonts w:ascii="Times New Roman" w:hAnsi="Times New Roman"/>
          <w:color w:val="000000" w:themeColor="text1"/>
          <w:sz w:val="16"/>
          <w:szCs w:val="16"/>
        </w:rPr>
        <w:softHyphen/>
        <w:t>симов в отчете от 22 апреля отмечал, что «прием на самолете проходит чисто, без заметного треска и шума, имевших место на серийных самолетах» (11474,379).</w:t>
      </w:r>
    </w:p>
    <w:p w14:paraId="685FDFD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1AF31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В апреле 1944 в НИИ ВВС для произ</w:t>
      </w:r>
      <w:r w:rsidRPr="007224C3">
        <w:rPr>
          <w:rFonts w:ascii="Times New Roman" w:hAnsi="Times New Roman"/>
          <w:color w:val="000000" w:themeColor="text1"/>
          <w:sz w:val="16"/>
          <w:szCs w:val="16"/>
        </w:rPr>
        <w:softHyphen/>
        <w:t>водства государственных испытаний был передан конкурент Ил-АМ-42 — опытный штурмовик Су-6 АМ-42. На самолете устанавливался четырехло-пастный винт АВ-9л-172 диаметром 3,4 м.</w:t>
      </w:r>
    </w:p>
    <w:p w14:paraId="41EC140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Вооружение самолета включало две пушки 11 П (90 снарядов), два пу</w:t>
      </w:r>
      <w:r w:rsidRPr="007224C3">
        <w:rPr>
          <w:rFonts w:ascii="Times New Roman" w:hAnsi="Times New Roman"/>
          <w:color w:val="000000" w:themeColor="text1"/>
          <w:sz w:val="16"/>
          <w:szCs w:val="16"/>
        </w:rPr>
        <w:softHyphen/>
        <w:t>лемета ШКАС (1400 патронов), обо</w:t>
      </w:r>
      <w:r w:rsidRPr="007224C3">
        <w:rPr>
          <w:rFonts w:ascii="Times New Roman" w:hAnsi="Times New Roman"/>
          <w:color w:val="000000" w:themeColor="text1"/>
          <w:sz w:val="16"/>
          <w:szCs w:val="16"/>
        </w:rPr>
        <w:softHyphen/>
        <w:t>ронительный пулемет УБТ (150 пат</w:t>
      </w:r>
      <w:r w:rsidRPr="007224C3">
        <w:rPr>
          <w:rFonts w:ascii="Times New Roman" w:hAnsi="Times New Roman"/>
          <w:color w:val="000000" w:themeColor="text1"/>
          <w:sz w:val="16"/>
          <w:szCs w:val="16"/>
        </w:rPr>
        <w:softHyphen/>
        <w:t>ронов), 6 ракетных орудий РО-82 или РО-132 и 400 кг бомб.</w:t>
      </w:r>
    </w:p>
    <w:p w14:paraId="18C9B24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Летные характеристики Су-6 АМ-42 в полном объеме снять не удалось по причине серьезных конструктив</w:t>
      </w:r>
      <w:r w:rsidRPr="007224C3">
        <w:rPr>
          <w:rFonts w:ascii="Times New Roman" w:hAnsi="Times New Roman"/>
          <w:color w:val="000000" w:themeColor="text1"/>
          <w:sz w:val="16"/>
          <w:szCs w:val="16"/>
        </w:rPr>
        <w:softHyphen/>
        <w:t>ных и производственных дефектов ус</w:t>
      </w:r>
      <w:r w:rsidRPr="007224C3">
        <w:rPr>
          <w:rFonts w:ascii="Times New Roman" w:hAnsi="Times New Roman"/>
          <w:color w:val="000000" w:themeColor="text1"/>
          <w:sz w:val="16"/>
          <w:szCs w:val="16"/>
        </w:rPr>
        <w:softHyphen/>
        <w:t>тановленного на самолете экземп</w:t>
      </w:r>
      <w:r w:rsidRPr="007224C3">
        <w:rPr>
          <w:rFonts w:ascii="Times New Roman" w:hAnsi="Times New Roman"/>
          <w:color w:val="000000" w:themeColor="text1"/>
          <w:sz w:val="16"/>
          <w:szCs w:val="16"/>
        </w:rPr>
        <w:softHyphen/>
        <w:t>ляра мотора АМ-42 (возгорание сме</w:t>
      </w:r>
      <w:r w:rsidRPr="007224C3">
        <w:rPr>
          <w:rFonts w:ascii="Times New Roman" w:hAnsi="Times New Roman"/>
          <w:color w:val="000000" w:themeColor="text1"/>
          <w:sz w:val="16"/>
          <w:szCs w:val="16"/>
        </w:rPr>
        <w:softHyphen/>
        <w:t>си во всасывающих патрубках, по</w:t>
      </w:r>
      <w:r w:rsidRPr="007224C3">
        <w:rPr>
          <w:rFonts w:ascii="Times New Roman" w:hAnsi="Times New Roman"/>
          <w:color w:val="000000" w:themeColor="text1"/>
          <w:sz w:val="16"/>
          <w:szCs w:val="16"/>
        </w:rPr>
        <w:softHyphen/>
        <w:t>вышенный в 4-5 раз против нормы расход масла). Ни в одном из поле</w:t>
      </w:r>
      <w:r w:rsidRPr="007224C3">
        <w:rPr>
          <w:rFonts w:ascii="Times New Roman" w:hAnsi="Times New Roman"/>
          <w:color w:val="000000" w:themeColor="text1"/>
          <w:sz w:val="16"/>
          <w:szCs w:val="16"/>
        </w:rPr>
        <w:softHyphen/>
        <w:t>тов мотор нормально не работал.</w:t>
      </w:r>
    </w:p>
    <w:p w14:paraId="0CCA18A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 скорость предъяв</w:t>
      </w:r>
      <w:r w:rsidRPr="007224C3">
        <w:rPr>
          <w:rFonts w:ascii="Times New Roman" w:hAnsi="Times New Roman"/>
          <w:color w:val="000000" w:themeColor="text1"/>
          <w:sz w:val="16"/>
          <w:szCs w:val="16"/>
        </w:rPr>
        <w:softHyphen/>
        <w:t>ленного на испытания Су-6 АМ-42 при полетном весе 6200 кг на высо</w:t>
      </w:r>
      <w:r w:rsidRPr="007224C3">
        <w:rPr>
          <w:rFonts w:ascii="Times New Roman" w:hAnsi="Times New Roman"/>
          <w:color w:val="000000" w:themeColor="text1"/>
          <w:sz w:val="16"/>
          <w:szCs w:val="16"/>
        </w:rPr>
        <w:softHyphen/>
        <w:t>те 1000 м составила 508 км/ч, на высоте 2000 м - 519 км/ч. На высо</w:t>
      </w:r>
      <w:r w:rsidRPr="007224C3">
        <w:rPr>
          <w:rFonts w:ascii="Times New Roman" w:hAnsi="Times New Roman"/>
          <w:color w:val="000000" w:themeColor="text1"/>
          <w:sz w:val="16"/>
          <w:szCs w:val="16"/>
        </w:rPr>
        <w:softHyphen/>
        <w:t>ту 1000 м самолет забирался за 2 минуты.</w:t>
      </w:r>
    </w:p>
    <w:p w14:paraId="4021837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ходе испытаний крупнокалибер</w:t>
      </w:r>
      <w:r w:rsidRPr="007224C3">
        <w:rPr>
          <w:rFonts w:ascii="Times New Roman" w:hAnsi="Times New Roman"/>
          <w:color w:val="000000" w:themeColor="text1"/>
          <w:sz w:val="16"/>
          <w:szCs w:val="16"/>
        </w:rPr>
        <w:softHyphen/>
        <w:t>ные пушки 11 П были заменены стан</w:t>
      </w:r>
      <w:r w:rsidRPr="007224C3">
        <w:rPr>
          <w:rFonts w:ascii="Times New Roman" w:hAnsi="Times New Roman"/>
          <w:color w:val="000000" w:themeColor="text1"/>
          <w:sz w:val="16"/>
          <w:szCs w:val="16"/>
        </w:rPr>
        <w:softHyphen/>
        <w:t>дартными пушками штурмовой авиа</w:t>
      </w:r>
      <w:r w:rsidRPr="007224C3">
        <w:rPr>
          <w:rFonts w:ascii="Times New Roman" w:hAnsi="Times New Roman"/>
          <w:color w:val="000000" w:themeColor="text1"/>
          <w:sz w:val="16"/>
          <w:szCs w:val="16"/>
        </w:rPr>
        <w:softHyphen/>
        <w:t>ции Красной Армии — ВЯ-23 (240 сна</w:t>
      </w:r>
      <w:r w:rsidRPr="007224C3">
        <w:rPr>
          <w:rFonts w:ascii="Times New Roman" w:hAnsi="Times New Roman"/>
          <w:color w:val="000000" w:themeColor="text1"/>
          <w:sz w:val="16"/>
          <w:szCs w:val="16"/>
        </w:rPr>
        <w:softHyphen/>
        <w:t>рядов). Вес бомбовой нагрузки вы</w:t>
      </w:r>
      <w:r w:rsidRPr="007224C3">
        <w:rPr>
          <w:rFonts w:ascii="Times New Roman" w:hAnsi="Times New Roman"/>
          <w:color w:val="000000" w:themeColor="text1"/>
          <w:sz w:val="16"/>
          <w:szCs w:val="16"/>
        </w:rPr>
        <w:softHyphen/>
        <w:t>рос до 600 кг, то есть сравнялся с бомбовой нагрузкой Ил-АМ-42 (11428).</w:t>
      </w:r>
    </w:p>
    <w:p w14:paraId="60BDEF5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936E1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апреля 1944 г. ОКБ серийного завода № 24, которое было филиалом микулинского завода завода, получило полную самостоятельность в своей работе. Основной задачей, которую решало это ОКБ, первоначально была доводка мотора АМ-42, включая работы по созданию высотной модификации мотора АМ-42 с аппаратурой непосредственного впрыска топлива АМ-42НВ. В связи с получением самостоятельности главный конструктор Позже ОКБ поручили АМ-43. М.Р. Флиский добился изменения наименования мотора на АМ-43 на М-43НВ (9030).</w:t>
      </w:r>
    </w:p>
    <w:p w14:paraId="3FF2420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DB640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апреле 1944 г. ВВС были утверждены технические требования к одноместному высотному истребителю с мотором АМ-43 с турбо</w:t>
      </w:r>
      <w:r w:rsidRPr="007224C3">
        <w:rPr>
          <w:rFonts w:ascii="Times New Roman" w:hAnsi="Times New Roman"/>
          <w:color w:val="000000" w:themeColor="text1"/>
          <w:sz w:val="16"/>
          <w:szCs w:val="16"/>
        </w:rPr>
        <w:softHyphen/>
        <w:t>компрессором для ОКБ А.И. Микояна. Планировалось получить потолок 12 000 м и максимальную скорость 700 км/ч на высоте 8000 м. В 1944 г. ОКБ Микояна разрабатывало истребитель-пере</w:t>
      </w:r>
      <w:r w:rsidRPr="007224C3">
        <w:rPr>
          <w:rFonts w:ascii="Times New Roman" w:hAnsi="Times New Roman"/>
          <w:color w:val="000000" w:themeColor="text1"/>
          <w:sz w:val="16"/>
          <w:szCs w:val="16"/>
        </w:rPr>
        <w:softHyphen/>
        <w:t>хватчик И-240 с такой силовой установкой и расчетной максималь</w:t>
      </w:r>
      <w:r w:rsidRPr="007224C3">
        <w:rPr>
          <w:rFonts w:ascii="Times New Roman" w:hAnsi="Times New Roman"/>
          <w:color w:val="000000" w:themeColor="text1"/>
          <w:sz w:val="16"/>
          <w:szCs w:val="16"/>
        </w:rPr>
        <w:softHyphen/>
        <w:t>ной скоростью 700-750 км/ч, но с измененным вооружением, состоявшим из пушки калибра 45 мм и двух пушек калибра 20 мм (10781).</w:t>
      </w:r>
    </w:p>
    <w:p w14:paraId="3A9837F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A7715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апреле 1944 г. ВВС были утверждены технические требования к одноместному высотному истребителю с мотором АМ-43 с турбокомпрессором для ОКБ А.И. Микояна. Планировалось получить потолок 12000 м и максимальную скорость 700 км/ч на высоте 8000 м. В 1944 г. ОКБ Микояна разрабатывало истребитель-перехватчик И-240 с такой силовой установкой и расчетной максимальной скоростью 700...750 км/ч, но с измененным вооружением, состоявшим из пушки калибра 45 мм и двух пушек калибра 20 мм (9032).</w:t>
      </w:r>
    </w:p>
    <w:p w14:paraId="3EB31CE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B7DC85" w14:textId="77777777" w:rsidR="00284391" w:rsidRPr="007224C3" w:rsidRDefault="00284391"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 апреле 1944 г. на специальном техническом совещании в ЦИАМе с участием представителей НАТИ, ЦАГИ и НИИ ГВФ рассматривались предложения Прокофьева и Бабулина и заключения экспертной комиссии НКАП по предложению, подготовленное в 1943 году.</w:t>
      </w:r>
    </w:p>
    <w:p w14:paraId="3E9382EE" w14:textId="77777777" w:rsidR="00284391" w:rsidRPr="007224C3" w:rsidRDefault="00284391"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Начальником 7 Главного управления НКАП С.Шишкин представил 29 сентября 1944 г.заключение по предложению Прокофьева и Бабулина [РГАЭ Ф. 8044 оп. 1 д. 1196 лл. 162-163].</w:t>
      </w:r>
    </w:p>
    <w:p w14:paraId="3C12A92C" w14:textId="77777777" w:rsidR="00284391" w:rsidRPr="007224C3" w:rsidRDefault="00284391"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Заключение экспертной комиссии и технического совещания совпадают и указывают на нецелесообразность реализации предложенного проекта из-за следующих недостатков:</w:t>
      </w:r>
    </w:p>
    <w:p w14:paraId="32F0C61E" w14:textId="77777777" w:rsidR="00284391" w:rsidRPr="007224C3" w:rsidRDefault="00284391"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 мощность мотора при переводе его на низкокалорийное топливо падает на 30-35%.</w:t>
      </w:r>
    </w:p>
    <w:p w14:paraId="59ED2B2A" w14:textId="77777777" w:rsidR="00284391" w:rsidRPr="007224C3" w:rsidRDefault="00284391"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 удельный и абсолютный вес газогенераторной установки значительно выше, чем у бензинового двигателя.</w:t>
      </w:r>
    </w:p>
    <w:p w14:paraId="7A9DC1EC" w14:textId="77777777" w:rsidR="00284391" w:rsidRPr="007224C3" w:rsidRDefault="00284391"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3. аэродинамические качества самолёта ухудшаются.</w:t>
      </w:r>
    </w:p>
    <w:p w14:paraId="11256882" w14:textId="77777777" w:rsidR="00284391" w:rsidRPr="007224C3" w:rsidRDefault="00284391"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4. установка газогенератора на самолёте деревянной конструкции недопустима вследствие увеличения пожарной опасности (взрывы в бункерах и т.п.)</w:t>
      </w:r>
    </w:p>
    <w:p w14:paraId="6326FABF" w14:textId="77777777" w:rsidR="00284391" w:rsidRPr="007224C3" w:rsidRDefault="00284391"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5. условия эксплуатации самолёта усложняются, а надёжность работы двигателя понижается весьма сильно.</w:t>
      </w:r>
    </w:p>
    <w:p w14:paraId="696E6214" w14:textId="77777777" w:rsidR="00284391" w:rsidRPr="007224C3" w:rsidRDefault="00284391"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6. необходимость создания специальных заводов для изготовления брикетированного угля.</w:t>
      </w:r>
    </w:p>
    <w:p w14:paraId="4AB57A4C" w14:textId="77777777" w:rsidR="00284391" w:rsidRPr="007224C3" w:rsidRDefault="00284391"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 xml:space="preserve">Указанные в заключении экспертной комиссии НКАП и технического совещания в ЦИАМ недостатки приводят к ухудшению лётных данных самолёта и уменьшению полезной нагрузки: </w:t>
      </w:r>
    </w:p>
    <w:p w14:paraId="2F219811" w14:textId="77777777" w:rsidR="00284391" w:rsidRPr="007224C3" w:rsidRDefault="00284391"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 xml:space="preserve">1. Продолжительность полёта, если исходить из принятого авторами удельного веса газогенераторной установки = 0,78 кг/л.с. при сохранении полезной нагрузки, падает почти в 3 раза. Если же исходить из удельных весов газогенераторной установки, которые дают специалисты НАТИ и ЦИАМ – от 2 до 2,5 кг/л.с., то при тех же условиях продолжительность полёта будет практически близка к нулю. </w:t>
      </w:r>
    </w:p>
    <w:p w14:paraId="36D39194" w14:textId="77777777" w:rsidR="00284391" w:rsidRPr="007224C3" w:rsidRDefault="00284391"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 xml:space="preserve">2. Максимальная скорость горизонтального полёта уменьшается на 10-12%. </w:t>
      </w:r>
    </w:p>
    <w:p w14:paraId="6D84A697" w14:textId="77777777" w:rsidR="00284391" w:rsidRPr="007224C3" w:rsidRDefault="00284391"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3. Длина разбега возрастает на 30-35%.</w:t>
      </w:r>
    </w:p>
    <w:p w14:paraId="14F7E82B" w14:textId="77777777" w:rsidR="00284391" w:rsidRPr="007224C3" w:rsidRDefault="00284391"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4. Установка газогенератора потребует коренной перекомпоновки самолёта, из-за увеличения веса, габаритов силовой установки, малого удельного веса топлива и нарушения, в связи с этим, центровки самолёта.</w:t>
      </w:r>
    </w:p>
    <w:p w14:paraId="05927019" w14:textId="77777777" w:rsidR="00284391" w:rsidRPr="007224C3" w:rsidRDefault="00284391"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Из изложенного следует, что предложенный Прокофьевым и Бабулиным проект газогенераторного самолёта не имеет серьёзного практического значения и реализация его нецелесообразна». Приведенное выше заключение призвано было дать основание для принятия практического решения. Предложение о таком решении было изложено Начальником 7-го ГУ НКАП Шишкиным в его письме на имя наркома Шахурина от 13 июня 1944 г. [РГАЭ Ф. 8044 оп. 1 д. 1196 лл. 164-1652] Практически дословно пересказав содержание Заключения, Шишкин заканчивал своё письмо словами: «Из вышеизложенного следует, что предложенный т.т ПРОКОФЬЕВЫМ и БАБУЛИНЫМ проект газогенераторного самолёта не имеет серьёзного практического значения и реализация его нецелесообразна». Он добавлял к этому: «Для экономии бензина, на данном этапе видимо было бы целесообразнее перевести на газогенераторное топливо весь автотранспорт». Как следует понимать, нарком с такой позицией согласился. Основания для отклонения проекта выглядели достаточно серьёзно, однако авторы идеи попытались оспорить полученный отказ. (23190).</w:t>
      </w:r>
    </w:p>
    <w:p w14:paraId="5DE32494" w14:textId="77777777" w:rsidR="00284391" w:rsidRPr="007224C3" w:rsidRDefault="00284391" w:rsidP="007224C3">
      <w:pPr>
        <w:spacing w:after="0" w:line="240" w:lineRule="auto"/>
        <w:jc w:val="both"/>
        <w:rPr>
          <w:rFonts w:ascii="Times New Roman" w:hAnsi="Times New Roman"/>
          <w:color w:val="0070C0"/>
          <w:sz w:val="16"/>
          <w:szCs w:val="16"/>
        </w:rPr>
      </w:pPr>
    </w:p>
    <w:p w14:paraId="7869642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апреле 1944 г. был изготовлен первый экземпляр пушки Н-37, а в августе 1944 г. завершились наземные заводские испытания па</w:t>
      </w:r>
      <w:r w:rsidRPr="007224C3">
        <w:rPr>
          <w:rFonts w:ascii="Times New Roman" w:hAnsi="Times New Roman"/>
          <w:color w:val="000000" w:themeColor="text1"/>
          <w:sz w:val="16"/>
          <w:szCs w:val="16"/>
        </w:rPr>
        <w:softHyphen/>
        <w:t>трона и пушки. Разработка 37-мм пушки Н-37 имела цель получить пушку с меньшим весом и большим темпом стрельбы, чем у 37-мм пушки НС-37. Для этого пришлось уменьшить начальную скорость снаря</w:t>
      </w:r>
      <w:r w:rsidRPr="007224C3">
        <w:rPr>
          <w:rFonts w:ascii="Times New Roman" w:hAnsi="Times New Roman"/>
          <w:color w:val="000000" w:themeColor="text1"/>
          <w:sz w:val="16"/>
          <w:szCs w:val="16"/>
        </w:rPr>
        <w:softHyphen/>
        <w:t>да по сравнению с НС-37. Гильза была переделана из гильзы 37-мм патрона зенитной пушки 70К. Гильзу укоротили, переобжали и переделали закраину. Вес нового патрона снизился почти в 1,5 раза, чем у НС-37. Работа автоматики Н-37 основана на принципе использования энергии отдачи при коротком ходе ствола. Основная часть энергии отдачи использовалась на перемещение подвижных частей, преодо</w:t>
      </w:r>
      <w:r w:rsidRPr="007224C3">
        <w:rPr>
          <w:rFonts w:ascii="Times New Roman" w:hAnsi="Times New Roman"/>
          <w:color w:val="000000" w:themeColor="text1"/>
          <w:sz w:val="16"/>
          <w:szCs w:val="16"/>
        </w:rPr>
        <w:softHyphen/>
        <w:t>ление сил трения и на сжатие пружин, а оставшаяся энергия погло</w:t>
      </w:r>
      <w:r w:rsidRPr="007224C3">
        <w:rPr>
          <w:rFonts w:ascii="Times New Roman" w:hAnsi="Times New Roman"/>
          <w:color w:val="000000" w:themeColor="text1"/>
          <w:sz w:val="16"/>
          <w:szCs w:val="16"/>
        </w:rPr>
        <w:softHyphen/>
        <w:t>щалась гидравлическим и дульным тормозами. Канал ствола запи</w:t>
      </w:r>
      <w:r w:rsidRPr="007224C3">
        <w:rPr>
          <w:rFonts w:ascii="Times New Roman" w:hAnsi="Times New Roman"/>
          <w:color w:val="000000" w:themeColor="text1"/>
          <w:sz w:val="16"/>
          <w:szCs w:val="16"/>
        </w:rPr>
        <w:softHyphen/>
        <w:t>рался затвором поршневого типа. Перезаряжание пневматическое. Пушка имела ускоритель, сообщавший запирающему агрегату Щувеличенную скорость относительно движущейся назад силовой коробки. Питание пушки прямое. Патрон подавался подаватель-ными рейками в затвор, а затвором — непосредственно в патрон</w:t>
      </w:r>
      <w:r w:rsidRPr="007224C3">
        <w:rPr>
          <w:rFonts w:ascii="Times New Roman" w:hAnsi="Times New Roman"/>
          <w:color w:val="000000" w:themeColor="text1"/>
          <w:sz w:val="16"/>
          <w:szCs w:val="16"/>
        </w:rPr>
        <w:softHyphen/>
        <w:t>ник ствола (10695).</w:t>
      </w:r>
    </w:p>
    <w:p w14:paraId="7E34CF0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F79191" w14:textId="77777777" w:rsidR="0092480E" w:rsidRPr="007224C3" w:rsidRDefault="0092480E" w:rsidP="007224C3">
      <w:pPr>
        <w:pStyle w:val="rtejustify"/>
        <w:shd w:val="clear" w:color="auto" w:fill="FFFFFF"/>
        <w:spacing w:before="0" w:after="0"/>
        <w:rPr>
          <w:color w:val="000000" w:themeColor="text1"/>
          <w:sz w:val="16"/>
          <w:szCs w:val="16"/>
        </w:rPr>
      </w:pPr>
      <w:r w:rsidRPr="007224C3">
        <w:rPr>
          <w:color w:val="000000" w:themeColor="text1"/>
          <w:sz w:val="16"/>
          <w:szCs w:val="16"/>
        </w:rPr>
        <w:t>В апреле 1944 г. был изготовлен первый экземпляр пушки ОКБ-16 120-П, а в августе 1944 г. были завершены наземные государственные испытания патрона и пушки, после чего пушка получила наименование Н-37. После завершения наземных испытаний, не дожидаясь завершения лётных испытаний, по инициативе наркома Д. Ф. Устинова было решено начать серийное производство пушки Н-37 на заводе № 74. </w:t>
      </w:r>
    </w:p>
    <w:p w14:paraId="169846EA" w14:textId="77777777" w:rsidR="0092480E" w:rsidRPr="007224C3" w:rsidRDefault="0092480E" w:rsidP="007224C3">
      <w:pPr>
        <w:pStyle w:val="rtejustify"/>
        <w:shd w:val="clear" w:color="auto" w:fill="FFFFFF"/>
        <w:spacing w:before="0" w:after="0"/>
        <w:rPr>
          <w:color w:val="000000" w:themeColor="text1"/>
          <w:sz w:val="16"/>
          <w:szCs w:val="16"/>
        </w:rPr>
      </w:pPr>
      <w:r w:rsidRPr="007224C3">
        <w:rPr>
          <w:color w:val="000000" w:themeColor="text1"/>
          <w:sz w:val="16"/>
          <w:szCs w:val="16"/>
        </w:rPr>
        <w:t>Первые летные испытания проводились на Як-9Т и Як-9УТ в марте 1945 г. Пушка была установлена в моторе. В дальнейшем летные испытания проводились на МиГ-9. В МиГ-9 пушка была установлена так, что ствол оказался в центре воздухозаборника двигателя. Из-за этого при стрельбе на высоте 7000- 8000 м происходила остановка двигателя. Для устранения этого явления было создано специальное дульное устройство – локализатор. Тем не менее, применение локализатора не предотвратило остановки двигателя при высотных стрельбах. Вскоре применение МиГ-9 с пушкой Н-37 в войсках было ограничено на высоте 3000 м, поскольку до этой высоты стрельба не влияла на работу двигателя (19170).</w:t>
      </w:r>
    </w:p>
    <w:p w14:paraId="6AE52D50" w14:textId="77777777" w:rsidR="0092480E" w:rsidRPr="007224C3" w:rsidRDefault="0092480E" w:rsidP="007224C3">
      <w:pPr>
        <w:spacing w:after="0" w:line="240" w:lineRule="auto"/>
        <w:jc w:val="both"/>
        <w:rPr>
          <w:rFonts w:ascii="Times New Roman" w:hAnsi="Times New Roman"/>
          <w:color w:val="000000" w:themeColor="text1"/>
          <w:sz w:val="16"/>
          <w:szCs w:val="16"/>
        </w:rPr>
      </w:pPr>
    </w:p>
    <w:p w14:paraId="750839A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апреле 1944 изготовили первый экз. Н-37 (3996, 128).</w:t>
      </w:r>
    </w:p>
    <w:p w14:paraId="579831D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BD59F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апреле 1944 был изготовлен первый образец пушки Н-37 (263,96).</w:t>
      </w:r>
    </w:p>
    <w:p w14:paraId="6F31A73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E9735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апреле 1944 г. командование ВВС утвердило для ОКБ—155 А.И.Микояна тактико-технические требования к одноместному высотному истребителю с мотором АМ—43, оснащенным турбокомпрессором, с высот</w:t>
      </w:r>
      <w:r w:rsidRPr="007224C3">
        <w:rPr>
          <w:rFonts w:ascii="Times New Roman" w:hAnsi="Times New Roman"/>
          <w:color w:val="000000" w:themeColor="text1"/>
          <w:sz w:val="16"/>
          <w:szCs w:val="16"/>
        </w:rPr>
        <w:softHyphen/>
        <w:t>ностью 12000 м и максимальной скоростью 700 км/ч на высоте 8000 м. Двигатель, представлявший собой дальнейшее развитие мотора АМ—42, был спроек</w:t>
      </w:r>
      <w:r w:rsidRPr="007224C3">
        <w:rPr>
          <w:rFonts w:ascii="Times New Roman" w:hAnsi="Times New Roman"/>
          <w:color w:val="000000" w:themeColor="text1"/>
          <w:sz w:val="16"/>
          <w:szCs w:val="16"/>
        </w:rPr>
        <w:softHyphen/>
        <w:t>тирован и построен на заводе № 300 в одном эк</w:t>
      </w:r>
      <w:r w:rsidRPr="007224C3">
        <w:rPr>
          <w:rFonts w:ascii="Times New Roman" w:hAnsi="Times New Roman"/>
          <w:color w:val="000000" w:themeColor="text1"/>
          <w:sz w:val="16"/>
          <w:szCs w:val="16"/>
        </w:rPr>
        <w:softHyphen/>
        <w:t>земпляре. Он имел непосредственный впрыск топ</w:t>
      </w:r>
      <w:r w:rsidRPr="007224C3">
        <w:rPr>
          <w:rFonts w:ascii="Times New Roman" w:hAnsi="Times New Roman"/>
          <w:color w:val="000000" w:themeColor="text1"/>
          <w:sz w:val="16"/>
          <w:szCs w:val="16"/>
        </w:rPr>
        <w:softHyphen/>
        <w:t>лива в цилиндры. Мотор имел взлетную мощность 2300 л.с. и номинальную — 2000 л.с. на расчетной высоте 2300 м. Увеличение мощности достигалось благодаря применению нового всасывающего тру</w:t>
      </w:r>
      <w:r w:rsidRPr="007224C3">
        <w:rPr>
          <w:rFonts w:ascii="Times New Roman" w:hAnsi="Times New Roman"/>
          <w:color w:val="000000" w:themeColor="text1"/>
          <w:sz w:val="16"/>
          <w:szCs w:val="16"/>
        </w:rPr>
        <w:softHyphen/>
        <w:t>бопровода, увеличенному проходному сечению вы</w:t>
      </w:r>
      <w:r w:rsidRPr="007224C3">
        <w:rPr>
          <w:rFonts w:ascii="Times New Roman" w:hAnsi="Times New Roman"/>
          <w:color w:val="000000" w:themeColor="text1"/>
          <w:sz w:val="16"/>
          <w:szCs w:val="16"/>
        </w:rPr>
        <w:softHyphen/>
        <w:t>пускных клапанов и постановке нового кулачкового валика с расширенными фазами газораспределе</w:t>
      </w:r>
      <w:r w:rsidRPr="007224C3">
        <w:rPr>
          <w:rFonts w:ascii="Times New Roman" w:hAnsi="Times New Roman"/>
          <w:color w:val="000000" w:themeColor="text1"/>
          <w:sz w:val="16"/>
          <w:szCs w:val="16"/>
        </w:rPr>
        <w:softHyphen/>
        <w:t>ния. Решением ГОКО в 1944 г. доводка мотора АМ—43 была поручена главному конструктору М.Р.Флискому и заводу № 24. Заметим, что двига</w:t>
      </w:r>
      <w:r w:rsidRPr="007224C3">
        <w:rPr>
          <w:rFonts w:ascii="Times New Roman" w:hAnsi="Times New Roman"/>
          <w:color w:val="000000" w:themeColor="text1"/>
          <w:sz w:val="16"/>
          <w:szCs w:val="16"/>
        </w:rPr>
        <w:softHyphen/>
        <w:t xml:space="preserve">тель </w:t>
      </w:r>
      <w:r w:rsidRPr="007224C3">
        <w:rPr>
          <w:rFonts w:ascii="Times New Roman" w:hAnsi="Times New Roman"/>
          <w:color w:val="000000" w:themeColor="text1"/>
          <w:sz w:val="16"/>
          <w:szCs w:val="16"/>
        </w:rPr>
        <w:lastRenderedPageBreak/>
        <w:t>АМ—43 в отличие от предшественников отно</w:t>
      </w:r>
      <w:r w:rsidRPr="007224C3">
        <w:rPr>
          <w:rFonts w:ascii="Times New Roman" w:hAnsi="Times New Roman"/>
          <w:color w:val="000000" w:themeColor="text1"/>
          <w:sz w:val="16"/>
          <w:szCs w:val="16"/>
        </w:rPr>
        <w:softHyphen/>
        <w:t>сился к типу «пушечных», то есть позволял разме</w:t>
      </w:r>
      <w:r w:rsidRPr="007224C3">
        <w:rPr>
          <w:rFonts w:ascii="Times New Roman" w:hAnsi="Times New Roman"/>
          <w:color w:val="000000" w:themeColor="text1"/>
          <w:sz w:val="16"/>
          <w:szCs w:val="16"/>
        </w:rPr>
        <w:softHyphen/>
        <w:t>щать авиационную артсистему между блоками мотора. Поэтому вооружение самолета стало замет</w:t>
      </w:r>
      <w:r w:rsidRPr="007224C3">
        <w:rPr>
          <w:rFonts w:ascii="Times New Roman" w:hAnsi="Times New Roman"/>
          <w:color w:val="000000" w:themeColor="text1"/>
          <w:sz w:val="16"/>
          <w:szCs w:val="16"/>
        </w:rPr>
        <w:softHyphen/>
        <w:t>но мощнее: одна пушка калибра 37 мм и две пушки калибра 20 мм (в крыле) (9984).</w:t>
      </w:r>
    </w:p>
    <w:p w14:paraId="3CFB135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721F40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апреле 1944 харьковский завод начал налаживать выпуск запасных частей для Як-1 и крыльев для Як-3 (10674).</w:t>
      </w:r>
    </w:p>
    <w:p w14:paraId="3C9BA15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9883BB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апреле 1944 в ОКБ был готов Як-9ДД ВК-105ПФ и его стали делать с мая 1944, изготовив к сентябрю 1945 399 (65,138).</w:t>
      </w:r>
    </w:p>
    <w:p w14:paraId="3A67205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515D9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апреле 1944 в ОКБ А.С.Я. был подготовлен эскизный проект высотного истребителя-перехватчика с большой вертикальной и горизонтальной маневренностью и отличающийся от Як-3 двигателем ВК-105ПД с двухступенчатым нагнетателем и изменениями в ВМГ. Стал Як-3ПД (65,174).</w:t>
      </w:r>
    </w:p>
    <w:p w14:paraId="497F259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D3031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апреле 1944 года подготовили технические предложения по созданию высотного истребителя-перехватчика Як-ЗПД с двигателем ВК-105ПД, оснащенным двухступенчатым нагнетателем. Тогда самолет предлагалось вооружить тремя 20-мм пушками Березина с боекомплектом по 150 патронов на ствол. Но какое крыло запланировали на этой машине, документ умалчивает.</w:t>
      </w:r>
    </w:p>
    <w:p w14:paraId="132ADB1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тому времени было ясно, что с двигателем ВК-105ПД нужных результатов не добиться, но другого не было, а Як-3 получался почти на 200 кг легче, чем Як-9. Расчеты показали, что при полетном весе 2650 кг практический потолок Як-ЗПД достигнет 12 900 метров. Но этого было недостаточно, поскольку еще постановлением ГКО от 12 июня 1943 года предписывалось промышленности создать самолет, способный подниматься на 13 000 - 14 000 метров. Что касается других параметров перехватчика, то максимальная скорость у земли оценивалась в 540 км/ч, на 5000 метрах - 656 км/ч, а на 10 800 метрах - 715 км/ч. Время набора высоты 10 000 метров - 10,8 минуты.</w:t>
      </w:r>
    </w:p>
    <w:p w14:paraId="6E2377E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Рабочее проектирование самолета началось осенью 1944 года. В отличие от технического предложения, сделанного весной, на самолете увеличили на 0,5 м2 площадь крыла и изменили вооружение, оставив в его арсенале лишь одну пушку НС-23 с 60 патронами. В итоге машина должна была полегчать до 2580 кг, но расчетный потолок почему-то получился ниже - 12 500 метров, хотя максимальная скорость на высоте 10 800 метров осталась неизменной. В вариант Як-ЗПД доработали серийный самолет №3620, на котором установили двигатель ВК-105ПД с двухступенчатым нагнетателем Э100 разработки ЦИАМ. При этом машина потяжелела до 2616 кг (запас горючего - 270 кг). Заводские испытания самолета начал летчик М.И. Иванов 5 февраля 1945 года. В тот день он проверил работу силовой установки с серийным винтом ВИШ-105СВ-02. Всасывающий патрубок двигателя находился под фюзеляжем перед туннелем водорадиатора (как на Як-9ПД), а двигатель для уменьшения температуры воздуха за нагнетателем был оборудован системой впрыска 50%-ной спирто-вод- ной смеси, располагавшейся между ступенями нагнетателя.</w:t>
      </w:r>
    </w:p>
    <w:p w14:paraId="61BC2A3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Спустя две недели, 18 февраля, машину опробовали с винтом ВИШ-105ТЛ-2, при этом была достигнута высота 9000 метров, но из-за падения давления бензина до нуля полет пришлось прекратить.</w:t>
      </w:r>
    </w:p>
    <w:p w14:paraId="0AAB801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следующий день М.И. Иванов перегнал самолет в Летно-исследовательский институт для дальнейших испытаний и доводки, которая затянулась до 5 мая 1945 года.</w:t>
      </w:r>
    </w:p>
    <w:p w14:paraId="705D56C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Как следует из отчета ЛИИ, на самолете (ведущий инженер Е.Ф.Шварцбург) с опытным винтом ВИШ-105ТЛ-2 диаметром 3 метра с отшлифованными лопастями с 23 февраля по 3 мая летчик-испытатель С.Н. Анохин совершил 18 полетов. При этом, ввиду появившейся стружки в масляном фильтре и отказа турбомуфты, пришлось заменить двигатель.</w:t>
      </w:r>
    </w:p>
    <w:p w14:paraId="47D7167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Як-ЗПД практический потолок достиг 13 ООО метров. Но на номинальном режиме работы двигателя при полностью открытых заслонках водо- и маслорадиаторов высота полета не превышала 10 ООО метров.</w:t>
      </w:r>
    </w:p>
    <w:p w14:paraId="21869F8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Пока шли рдботы по Як-ЗПД, мотор М-105ПВ на самолете №4419 заменили на ВК-105ПД. Помимо этого, смонтировали створки перепуска воздуха из нагнетателя в атмосферу, предложенные летчиком-ис- Як-ЗРД пытателем И.И. Шунейко, что исключило с дополнительным помпажные явления в компрессоре, и для двигателем РД-1 улучшения работы системы охлаждения воды в ней установили сепаратор и диффузор конструкции ЛИИ. Одновременно улучшили герметизацию приборной доски пилота и подвижной части фонаря, восстановили лакокрасочное покрытие планера.</w:t>
      </w:r>
    </w:p>
    <w:p w14:paraId="44A33AB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Летные исследования облагороженной машины начались в июне 1945 года. Доработки благоприятно сказались на ее летных характеристиках. Так, в полете 26 июня была достигнута скорость 7Ю км/ч на высоте 11 000 метров, а 6 июля - практический потолок 13 300 метров. В те годы под практическим потолком понималась высота полета, на которой вертикальная скорость самолета составляла 1,5 м/с. По свидетельству летчика, на высотах 11 000-12 500 метров самолет допускал боевые развороты и виражи с необходимым углом крена.</w:t>
      </w:r>
    </w:p>
    <w:p w14:paraId="4510403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то же время в отчете ЛИИ отмечалось, что полеты на высоту, близкую к практическому потолку с кислородной маской КПА-Збис, требовали специальной высотной тренировки и соблюдения летчиком строгого режима.</w:t>
      </w:r>
    </w:p>
    <w:p w14:paraId="1B7B7D1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 Як-ЗПД так и не стал самым высотным отечественным истребителем, поскольку за год до него на самолете И-222 ОКБ А.И. Микояна летчик А.И. Жуков достиг высоты 14 500 метров. Тем не менее полеты на Як-ЗПД продолжались еще как минимум два года. В частности, к весне 1947 года в ЛИИ завершились исследования водо- и маслорадиаторов в высотных условиях (12047).</w:t>
      </w:r>
    </w:p>
    <w:p w14:paraId="6B7B3E7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21823E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апреле 1944 закончились гос. испытания Як-3Т - переделки серийного Як-3 с двумя синхронными п Б-20С с боезапасом по 100 снарядов и одной центральной Н-37 с 25 снарядами, которые шли с февраля 1944. Машину предельно облегчили сняв все лишнее. Линия прицеливания не сбивалась после 3-4 выстрелов как у Як-9Т, но военные не могли согласиться с предельно облегченной машиной даже без бронирования. Система охлаждения также работала неудовлетворительно (1728,33).</w:t>
      </w:r>
    </w:p>
    <w:p w14:paraId="232682F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7B88D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апреле 1944 завод № 292 отправил на фронт первые Як-3. В мае их выпуск составил 21,6% от общего выпуска машин заводом, в июне - 52,7%, в июле - 98,1 %. 5 декабря завод выполнил план 1944 года на 108,5%, окончательно перейдя на изготовление Як-3.</w:t>
      </w:r>
    </w:p>
    <w:p w14:paraId="793E4A2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Первые машины, укомплектованные одной пушкой МП-20 и пулеметом БС, стали покидать сборочный цех в марте 1944 года. В таком виде было выпущено 12 серий самолетов. Затем истребители начали комплектоваться орудием МП-20 и двумя БСами.</w:t>
      </w:r>
    </w:p>
    <w:p w14:paraId="65B0433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Благодаря хорошему контролю вес самолета изменялся незначительно. Так, по имеющейся статистике, разница в весе пустых самолетов, выпушенных с ноября 1944-го по май 1945 года изменялась в пределах 5-6 кг (12047).</w:t>
      </w:r>
    </w:p>
    <w:p w14:paraId="360E741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38930A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апреля 1944 года завод № 31 приступил к серийному выпуску самолета Як-3 М-107. В 1944 году директор Саладзе В.Е. В начале 1945 года завод получил новое задание подготовиться к выпуску новой машины ЯК-3 с мотором ВК-107А с металлическими крыльями (директор Саладзе).</w:t>
      </w:r>
    </w:p>
    <w:p w14:paraId="211D939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Ввиду того. Что самолет ЯК-3 с ВК-107А не был доработан оказалось много конструктивных недостатков, приходилось несколько раз переделывать агрегаты, а иногда браковать готовые изделия.</w:t>
      </w:r>
    </w:p>
    <w:p w14:paraId="06B42F4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Постановлением СМ от 12 сентября 1946 года за № 2049-846 заводу было дано новое задание: сдать до 20-го октября 1946 года 15 самолетов ЯК-15 с реактивными двигателями (директор Саладзе). С 1 января 1947 года завод полностью переключился на серийный выпуск самолетов ЯК-15 с реактивным двигателем РД-10.</w:t>
      </w:r>
    </w:p>
    <w:p w14:paraId="4985557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Согласно постановлению СМ за № 3284-1071с от 17 сентября 1947 года дается новое задание по выпуску 2-х местных учебно-тренировочных истребителей ЯК-17 с реактивным двигателем РД-10 (директор Саладзе), серийный выпуск которых заводом был налажен в кратчайший срок, а производство самолетов ЯК-15 прекращено. В марте 1948 года по постановлению СМ за № 878-220с завод приступает к запуску в производство истребителей ЯК-17 боевой с реактивным двигателем РД-10 (директор Саладзе, а с июля 1948 года директором назначен Хведилиани Я.Р.), а выпускаемый заводом учебно-тренировочный истребитель получает наименование УТИ ЯК-17.</w:t>
      </w:r>
    </w:p>
    <w:p w14:paraId="1B2D487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Постепенно самолет УТИ ЯК-17 с производства снимается и завод полностью переключается на выпуск боевых машин ЯК-17 боевой. В декабре 1948 года завод получает новое правительственное задание начать выпуск самолета ЯК-23 с двигателем РД-500 (директор Хведелиани). В июле 1949 года завод получает новое Правительственное задание приступить к выпуску одноместных боевых реактивных истребителей МИГ-15. Однако в дальнейшем завод получил распоряжение запуск машины МИГ-15 прекратить и продолжить выпуск самолетов ЯК-23, которые завод выпускал до конца 1950 года. В начале 1951 года завод получает распоряжение Правительства прекратить производство самолетов ЯК-23 и приступить к запуску самолетов МИГ-15бис (директор Хведелиани).</w:t>
      </w:r>
    </w:p>
    <w:p w14:paraId="3341F5F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Согласно Постановлению СМ за № 3143-1481сс от 25 августа 1951 года и приказа МАП за № 851сс от 1 сентября 1951 года, завод получает задание подготовиться к выпуску нового самолета МИГ-17 и обеспечить его выпуск с декабря 1952 года.</w:t>
      </w:r>
    </w:p>
    <w:p w14:paraId="0484E9E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завода Хведелиани</w:t>
      </w:r>
    </w:p>
    <w:p w14:paraId="7A0F1EF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Адрес: Тбилиси, п/я 51. С июля 1956 года завод приступил к освоению нового самолета МИГ-21 (9821).</w:t>
      </w:r>
    </w:p>
    <w:p w14:paraId="3123927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B7BE6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апреле 1944 начались государственные испытания опытным Як-9У, выпущенного ОКБ-115 в декабре 1943 (4842).</w:t>
      </w:r>
    </w:p>
    <w:p w14:paraId="7010F61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BEE8A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 апреле 1944 г. в Омске построили очередной Як-9У (зав. №25-021), который по железной дороге отправили в Москву и собрали в следующем месяце на заводе №301. Этой машине была уготована особая судьба - она становилась головной серийной и предназначалась для всесторонних испытаний з НИИ ВВС. Инженер-майор </w:t>
      </w:r>
      <w:r w:rsidRPr="007224C3">
        <w:rPr>
          <w:rFonts w:ascii="Times New Roman" w:hAnsi="Times New Roman"/>
          <w:color w:val="000000" w:themeColor="text1"/>
          <w:sz w:val="16"/>
          <w:szCs w:val="16"/>
        </w:rPr>
        <w:lastRenderedPageBreak/>
        <w:t>А.Т.Степанец и подполковник В.И.Хомяков должны были ответить на вопрос: в какой степени Як-9У пригоден для передачи в части ВВС? (4842).</w:t>
      </w:r>
    </w:p>
    <w:p w14:paraId="17EFAC4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B0EB52" w14:textId="77777777" w:rsidR="00D70979" w:rsidRPr="007224C3" w:rsidRDefault="00D70979" w:rsidP="007224C3">
      <w:pPr>
        <w:pStyle w:val="27"/>
        <w:shd w:val="clear" w:color="auto" w:fill="auto"/>
        <w:spacing w:after="0" w:line="240" w:lineRule="auto"/>
        <w:ind w:firstLine="0"/>
        <w:rPr>
          <w:rFonts w:ascii="Times New Roman" w:cs="Times New Roman"/>
          <w:color w:val="000000" w:themeColor="text1"/>
          <w:spacing w:val="0"/>
        </w:rPr>
      </w:pPr>
      <w:r w:rsidRPr="007224C3">
        <w:rPr>
          <w:rFonts w:ascii="Times New Roman" w:cs="Times New Roman"/>
          <w:color w:val="000000" w:themeColor="text1"/>
          <w:spacing w:val="0"/>
        </w:rPr>
        <w:t>В апреле 1944 г. первый прототип Як-9У раз</w:t>
      </w:r>
      <w:r w:rsidRPr="007224C3">
        <w:rPr>
          <w:rFonts w:ascii="Times New Roman" w:cs="Times New Roman"/>
          <w:color w:val="000000" w:themeColor="text1"/>
          <w:spacing w:val="0"/>
        </w:rPr>
        <w:softHyphen/>
        <w:t>бился из-за пожара двигателя, при этом погиб летчик-испы- татель А. Кокин. На втором прототипе Як-9У в феврале 1944 г., после всего 9 часов работы разрушились подшип</w:t>
      </w:r>
      <w:r w:rsidRPr="007224C3">
        <w:rPr>
          <w:rFonts w:ascii="Times New Roman" w:cs="Times New Roman"/>
          <w:color w:val="000000" w:themeColor="text1"/>
          <w:spacing w:val="0"/>
        </w:rPr>
        <w:softHyphen/>
        <w:t>ники нагнетателя, и двигатель заклинило. Летчик-испытатель А. Прошаков с боль</w:t>
      </w:r>
      <w:r w:rsidRPr="007224C3">
        <w:rPr>
          <w:rFonts w:ascii="Times New Roman" w:cs="Times New Roman"/>
          <w:color w:val="000000" w:themeColor="text1"/>
          <w:spacing w:val="0"/>
        </w:rPr>
        <w:softHyphen/>
        <w:t>шим трудом посадил аварийную машину. В отчете о дальнейших испытаниях акку</w:t>
      </w:r>
      <w:r w:rsidRPr="007224C3">
        <w:rPr>
          <w:rFonts w:ascii="Times New Roman" w:cs="Times New Roman"/>
          <w:color w:val="000000" w:themeColor="text1"/>
          <w:spacing w:val="0"/>
        </w:rPr>
        <w:softHyphen/>
        <w:t>ратно говорилось о том, что, хотя Як-9У, по идее, должен превосходить основные немецкие истребители (была достигнута максимальная скорость 700 км/ч), все же «большое количество серьезных дефек</w:t>
      </w:r>
      <w:r w:rsidRPr="007224C3">
        <w:rPr>
          <w:rFonts w:ascii="Times New Roman" w:cs="Times New Roman"/>
          <w:color w:val="000000" w:themeColor="text1"/>
          <w:spacing w:val="0"/>
        </w:rPr>
        <w:softHyphen/>
        <w:t>тов, особенно по винтомоторной группе, не позволяет нормально эксплуатировать этот самолет на всем диапазоне высот».</w:t>
      </w:r>
    </w:p>
    <w:p w14:paraId="7E408639" w14:textId="77777777" w:rsidR="00D70979" w:rsidRPr="007224C3" w:rsidRDefault="00D70979" w:rsidP="007224C3">
      <w:pPr>
        <w:pStyle w:val="27"/>
        <w:shd w:val="clear" w:color="auto" w:fill="auto"/>
        <w:spacing w:after="0" w:line="240" w:lineRule="auto"/>
        <w:ind w:firstLine="0"/>
        <w:rPr>
          <w:rFonts w:ascii="Times New Roman" w:cs="Times New Roman"/>
          <w:color w:val="000000" w:themeColor="text1"/>
          <w:spacing w:val="0"/>
        </w:rPr>
      </w:pPr>
      <w:r w:rsidRPr="007224C3">
        <w:rPr>
          <w:rFonts w:ascii="Times New Roman" w:cs="Times New Roman"/>
          <w:color w:val="000000" w:themeColor="text1"/>
          <w:spacing w:val="0"/>
        </w:rPr>
        <w:t>Однако ожидаемые боевые возможно</w:t>
      </w:r>
      <w:r w:rsidRPr="007224C3">
        <w:rPr>
          <w:rFonts w:ascii="Times New Roman" w:cs="Times New Roman"/>
          <w:color w:val="000000" w:themeColor="text1"/>
          <w:spacing w:val="0"/>
        </w:rPr>
        <w:softHyphen/>
        <w:t>сти самолета были столь высоки, что уже в мае 1944 г. его запустили в массовое про</w:t>
      </w:r>
      <w:r w:rsidRPr="007224C3">
        <w:rPr>
          <w:rFonts w:ascii="Times New Roman" w:cs="Times New Roman"/>
          <w:color w:val="000000" w:themeColor="text1"/>
          <w:spacing w:val="0"/>
        </w:rPr>
        <w:softHyphen/>
        <w:t>изводство (12741).</w:t>
      </w:r>
    </w:p>
    <w:p w14:paraId="0C6A25F5" w14:textId="77777777" w:rsidR="00D70979" w:rsidRPr="007224C3" w:rsidRDefault="00D70979" w:rsidP="007224C3">
      <w:pPr>
        <w:pStyle w:val="27"/>
        <w:shd w:val="clear" w:color="auto" w:fill="auto"/>
        <w:spacing w:after="0" w:line="240" w:lineRule="auto"/>
        <w:ind w:firstLine="0"/>
        <w:rPr>
          <w:rFonts w:ascii="Times New Roman" w:cs="Times New Roman"/>
          <w:color w:val="000000" w:themeColor="text1"/>
          <w:spacing w:val="0"/>
        </w:rPr>
      </w:pPr>
    </w:p>
    <w:p w14:paraId="5F3ED52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апреле 1944 г., когда М-106ПВ оборудовали системой впрыска водно-спиртовой смеси, охлаждавшей за счет интенсив</w:t>
      </w:r>
      <w:r w:rsidRPr="007224C3">
        <w:rPr>
          <w:rFonts w:ascii="Times New Roman" w:hAnsi="Times New Roman"/>
          <w:color w:val="000000" w:themeColor="text1"/>
          <w:sz w:val="16"/>
          <w:szCs w:val="16"/>
        </w:rPr>
        <w:softHyphen/>
        <w:t>ного испарения сильно нагретый в нагнетателе воздух, удалось получить приемлемую надеж</w:t>
      </w:r>
      <w:r w:rsidRPr="007224C3">
        <w:rPr>
          <w:rFonts w:ascii="Times New Roman" w:hAnsi="Times New Roman"/>
          <w:color w:val="000000" w:themeColor="text1"/>
          <w:sz w:val="16"/>
          <w:szCs w:val="16"/>
        </w:rPr>
        <w:softHyphen/>
        <w:t>ность работы двигателя а Як-9ПД. До сих пор остается не</w:t>
      </w:r>
      <w:r w:rsidRPr="007224C3">
        <w:rPr>
          <w:rFonts w:ascii="Times New Roman" w:hAnsi="Times New Roman"/>
          <w:color w:val="000000" w:themeColor="text1"/>
          <w:sz w:val="16"/>
          <w:szCs w:val="16"/>
        </w:rPr>
        <w:softHyphen/>
        <w:t>ясным, почему сразу не стали использовать во</w:t>
      </w:r>
      <w:r w:rsidRPr="007224C3">
        <w:rPr>
          <w:rFonts w:ascii="Times New Roman" w:hAnsi="Times New Roman"/>
          <w:color w:val="000000" w:themeColor="text1"/>
          <w:sz w:val="16"/>
          <w:szCs w:val="16"/>
        </w:rPr>
        <w:softHyphen/>
        <w:t>дно-спиртовую смесь, ведь было известно, что на немецких моторах BMW605 такую сис</w:t>
      </w:r>
      <w:r w:rsidRPr="007224C3">
        <w:rPr>
          <w:rFonts w:ascii="Times New Roman" w:hAnsi="Times New Roman"/>
          <w:color w:val="000000" w:themeColor="text1"/>
          <w:sz w:val="16"/>
          <w:szCs w:val="16"/>
        </w:rPr>
        <w:softHyphen/>
        <w:t>тему применяли, а на английских высотных вари</w:t>
      </w:r>
      <w:r w:rsidRPr="007224C3">
        <w:rPr>
          <w:rFonts w:ascii="Times New Roman" w:hAnsi="Times New Roman"/>
          <w:color w:val="000000" w:themeColor="text1"/>
          <w:sz w:val="16"/>
          <w:szCs w:val="16"/>
        </w:rPr>
        <w:softHyphen/>
        <w:t>антах мотора «Мерлин» с той же целью устанавли</w:t>
      </w:r>
      <w:r w:rsidRPr="007224C3">
        <w:rPr>
          <w:rFonts w:ascii="Times New Roman" w:hAnsi="Times New Roman"/>
          <w:color w:val="000000" w:themeColor="text1"/>
          <w:sz w:val="16"/>
          <w:szCs w:val="16"/>
        </w:rPr>
        <w:softHyphen/>
        <w:t>вали дополнительный радиатор (10712).</w:t>
      </w:r>
    </w:p>
    <w:p w14:paraId="08855A3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E2F0A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апреле 1944 г. вышел на испытания Як-9ДД. В 1944 г. на фронт стали поступать бомбардировщики Ту-2, максимальная дальность полета которых более чем в 2 раза превышала дальность самого рас</w:t>
      </w:r>
      <w:r w:rsidRPr="007224C3">
        <w:rPr>
          <w:rFonts w:ascii="Times New Roman" w:hAnsi="Times New Roman"/>
          <w:color w:val="000000" w:themeColor="text1"/>
          <w:sz w:val="16"/>
          <w:szCs w:val="16"/>
        </w:rPr>
        <w:softHyphen/>
        <w:t>пространенного на Восточном фронте бомбардировщика Пе-2. С появлением Ту-2 советская фронтовая авиация получи</w:t>
      </w:r>
      <w:r w:rsidRPr="007224C3">
        <w:rPr>
          <w:rFonts w:ascii="Times New Roman" w:hAnsi="Times New Roman"/>
          <w:color w:val="000000" w:themeColor="text1"/>
          <w:sz w:val="16"/>
          <w:szCs w:val="16"/>
        </w:rPr>
        <w:softHyphen/>
        <w:t>ла возможность наносить удары по целям, находящимся сравнительно далеко от мест базирования. Естественно, для обес</w:t>
      </w:r>
      <w:r w:rsidRPr="007224C3">
        <w:rPr>
          <w:rFonts w:ascii="Times New Roman" w:hAnsi="Times New Roman"/>
          <w:color w:val="000000" w:themeColor="text1"/>
          <w:sz w:val="16"/>
          <w:szCs w:val="16"/>
        </w:rPr>
        <w:softHyphen/>
        <w:t>печения таких рейдов был необходим специальный истребитель сопровождения, поскольку дальности даже четырехбачного Як-9Д уже не хватало. Такая машина тре</w:t>
      </w:r>
      <w:r w:rsidRPr="007224C3">
        <w:rPr>
          <w:rFonts w:ascii="Times New Roman" w:hAnsi="Times New Roman"/>
          <w:color w:val="000000" w:themeColor="text1"/>
          <w:sz w:val="16"/>
          <w:szCs w:val="16"/>
        </w:rPr>
        <w:softHyphen/>
        <w:t>бовалась и для проведения воздушных операций совместно с авиацией стран ан</w:t>
      </w:r>
      <w:r w:rsidRPr="007224C3">
        <w:rPr>
          <w:rFonts w:ascii="Times New Roman" w:hAnsi="Times New Roman"/>
          <w:color w:val="000000" w:themeColor="text1"/>
          <w:sz w:val="16"/>
          <w:szCs w:val="16"/>
        </w:rPr>
        <w:softHyphen/>
        <w:t>тигитлеровской коалиции. Для решения комплекса новых задач в КБ Яковлева мо</w:t>
      </w:r>
      <w:r w:rsidRPr="007224C3">
        <w:rPr>
          <w:rFonts w:ascii="Times New Roman" w:hAnsi="Times New Roman"/>
          <w:color w:val="000000" w:themeColor="text1"/>
          <w:sz w:val="16"/>
          <w:szCs w:val="16"/>
        </w:rPr>
        <w:softHyphen/>
        <w:t>дернизировали Як-9Д. Создатели самоле</w:t>
      </w:r>
      <w:r w:rsidRPr="007224C3">
        <w:rPr>
          <w:rFonts w:ascii="Times New Roman" w:hAnsi="Times New Roman"/>
          <w:color w:val="000000" w:themeColor="text1"/>
          <w:sz w:val="16"/>
          <w:szCs w:val="16"/>
        </w:rPr>
        <w:softHyphen/>
        <w:t>та остались верны идее размещения топ</w:t>
      </w:r>
      <w:r w:rsidRPr="007224C3">
        <w:rPr>
          <w:rFonts w:ascii="Times New Roman" w:hAnsi="Times New Roman"/>
          <w:color w:val="000000" w:themeColor="text1"/>
          <w:sz w:val="16"/>
          <w:szCs w:val="16"/>
        </w:rPr>
        <w:softHyphen/>
        <w:t>лива не в подвесных баках, а во внутренних объемах. Продемонстрировав буквально чудеса конструкторского мастерства, они смогли почти на треть увеличить запас топ</w:t>
      </w:r>
      <w:r w:rsidRPr="007224C3">
        <w:rPr>
          <w:rFonts w:ascii="Times New Roman" w:hAnsi="Times New Roman"/>
          <w:color w:val="000000" w:themeColor="text1"/>
          <w:sz w:val="16"/>
          <w:szCs w:val="16"/>
        </w:rPr>
        <w:softHyphen/>
        <w:t>лива на борту: 630 кг бензина заливали в восемь крыльевых баков, в то время как че</w:t>
      </w:r>
      <w:r w:rsidRPr="007224C3">
        <w:rPr>
          <w:rFonts w:ascii="Times New Roman" w:hAnsi="Times New Roman"/>
          <w:color w:val="000000" w:themeColor="text1"/>
          <w:sz w:val="16"/>
          <w:szCs w:val="16"/>
        </w:rPr>
        <w:softHyphen/>
        <w:t>тыре бака Як-9Д вмещали 480 кг, а два ба</w:t>
      </w:r>
      <w:r w:rsidRPr="007224C3">
        <w:rPr>
          <w:rFonts w:ascii="Times New Roman" w:hAnsi="Times New Roman"/>
          <w:color w:val="000000" w:themeColor="text1"/>
          <w:sz w:val="16"/>
          <w:szCs w:val="16"/>
        </w:rPr>
        <w:softHyphen/>
        <w:t>ка Як-9 — 320 кг. Помимо измененной топливной систе</w:t>
      </w:r>
      <w:r w:rsidRPr="007224C3">
        <w:rPr>
          <w:rFonts w:ascii="Times New Roman" w:hAnsi="Times New Roman"/>
          <w:color w:val="000000" w:themeColor="text1"/>
          <w:sz w:val="16"/>
          <w:szCs w:val="16"/>
        </w:rPr>
        <w:softHyphen/>
        <w:t>мы и доработанного крыла, новый сверх</w:t>
      </w:r>
      <w:r w:rsidRPr="007224C3">
        <w:rPr>
          <w:rFonts w:ascii="Times New Roman" w:hAnsi="Times New Roman"/>
          <w:color w:val="000000" w:themeColor="text1"/>
          <w:sz w:val="16"/>
          <w:szCs w:val="16"/>
        </w:rPr>
        <w:softHyphen/>
        <w:t>дальний истребитель, получивший обо</w:t>
      </w:r>
      <w:r w:rsidRPr="007224C3">
        <w:rPr>
          <w:rFonts w:ascii="Times New Roman" w:hAnsi="Times New Roman"/>
          <w:color w:val="000000" w:themeColor="text1"/>
          <w:sz w:val="16"/>
          <w:szCs w:val="16"/>
        </w:rPr>
        <w:softHyphen/>
        <w:t>значение Як-9ДД, отличался усовершенс</w:t>
      </w:r>
      <w:r w:rsidRPr="007224C3">
        <w:rPr>
          <w:rFonts w:ascii="Times New Roman" w:hAnsi="Times New Roman"/>
          <w:color w:val="000000" w:themeColor="text1"/>
          <w:sz w:val="16"/>
          <w:szCs w:val="16"/>
        </w:rPr>
        <w:softHyphen/>
        <w:t>твованным приборным и радиосвязным оборудованием, обеспечивавшим прове</w:t>
      </w:r>
      <w:r w:rsidRPr="007224C3">
        <w:rPr>
          <w:rFonts w:ascii="Times New Roman" w:hAnsi="Times New Roman"/>
          <w:color w:val="000000" w:themeColor="text1"/>
          <w:sz w:val="16"/>
          <w:szCs w:val="16"/>
        </w:rPr>
        <w:softHyphen/>
        <w:t>дение боевых операций на большом уда</w:t>
      </w:r>
      <w:r w:rsidRPr="007224C3">
        <w:rPr>
          <w:rFonts w:ascii="Times New Roman" w:hAnsi="Times New Roman"/>
          <w:color w:val="000000" w:themeColor="text1"/>
          <w:sz w:val="16"/>
          <w:szCs w:val="16"/>
        </w:rPr>
        <w:softHyphen/>
        <w:t>лении от баз и в плохих метеоусловиях. Вооружение Як-9ДД осталось стандар</w:t>
      </w:r>
      <w:r w:rsidRPr="007224C3">
        <w:rPr>
          <w:rFonts w:ascii="Times New Roman" w:hAnsi="Times New Roman"/>
          <w:color w:val="000000" w:themeColor="text1"/>
          <w:sz w:val="16"/>
          <w:szCs w:val="16"/>
        </w:rPr>
        <w:softHyphen/>
        <w:t>тным — 20-мм пушка и 12,7-мм пулемет, однако кабина летчика, как и у Як-9Т, была сдвинута назад на 0,4 м. Ввиду очень большого запаса топ</w:t>
      </w:r>
      <w:r w:rsidRPr="007224C3">
        <w:rPr>
          <w:rFonts w:ascii="Times New Roman" w:hAnsi="Times New Roman"/>
          <w:color w:val="000000" w:themeColor="text1"/>
          <w:sz w:val="16"/>
          <w:szCs w:val="16"/>
        </w:rPr>
        <w:softHyphen/>
        <w:t>лива взлетная масса машины оказалась рекордной для самолетов этого типа — 3390 кг, однако и максимальная дальность полета достигла 1800 км (у Як-9Д — 1400 км, у Як-9 — 910 км). В мае самолет запустили в серийное производство на за</w:t>
      </w:r>
      <w:r w:rsidRPr="007224C3">
        <w:rPr>
          <w:rFonts w:ascii="Times New Roman" w:hAnsi="Times New Roman"/>
          <w:color w:val="000000" w:themeColor="text1"/>
          <w:sz w:val="16"/>
          <w:szCs w:val="16"/>
        </w:rPr>
        <w:softHyphen/>
        <w:t>воде № 153. Темп его выпуска был невы</w:t>
      </w:r>
      <w:r w:rsidRPr="007224C3">
        <w:rPr>
          <w:rFonts w:ascii="Times New Roman" w:hAnsi="Times New Roman"/>
          <w:color w:val="000000" w:themeColor="text1"/>
          <w:sz w:val="16"/>
          <w:szCs w:val="16"/>
        </w:rPr>
        <w:softHyphen/>
        <w:t>сок: все понимали, что назначение истре</w:t>
      </w:r>
      <w:r w:rsidRPr="007224C3">
        <w:rPr>
          <w:rFonts w:ascii="Times New Roman" w:hAnsi="Times New Roman"/>
          <w:color w:val="000000" w:themeColor="text1"/>
          <w:sz w:val="16"/>
          <w:szCs w:val="16"/>
        </w:rPr>
        <w:softHyphen/>
        <w:t>бителя узко специализированное и при</w:t>
      </w:r>
      <w:r w:rsidRPr="007224C3">
        <w:rPr>
          <w:rFonts w:ascii="Times New Roman" w:hAnsi="Times New Roman"/>
          <w:color w:val="000000" w:themeColor="text1"/>
          <w:sz w:val="16"/>
          <w:szCs w:val="16"/>
        </w:rPr>
        <w:softHyphen/>
        <w:t>менять его следует только в особых случаях. Всего до сентября 1945 г. изгото</w:t>
      </w:r>
      <w:r w:rsidRPr="007224C3">
        <w:rPr>
          <w:rFonts w:ascii="Times New Roman" w:hAnsi="Times New Roman"/>
          <w:color w:val="000000" w:themeColor="text1"/>
          <w:sz w:val="16"/>
          <w:szCs w:val="16"/>
        </w:rPr>
        <w:softHyphen/>
        <w:t>вили 399 таких машин. Поначалу летчики сдержанно отнес</w:t>
      </w:r>
      <w:r w:rsidRPr="007224C3">
        <w:rPr>
          <w:rFonts w:ascii="Times New Roman" w:hAnsi="Times New Roman"/>
          <w:color w:val="000000" w:themeColor="text1"/>
          <w:sz w:val="16"/>
          <w:szCs w:val="16"/>
        </w:rPr>
        <w:softHyphen/>
        <w:t>лись к новому истребителю, называя его между собой «летающая цистерна». Но привыкли к самолету быстро, ведь он мог взлетать с тех же аэродромов, что и Як-9Д, а по технике пилотирования эти истреби</w:t>
      </w:r>
      <w:r w:rsidRPr="007224C3">
        <w:rPr>
          <w:rFonts w:ascii="Times New Roman" w:hAnsi="Times New Roman"/>
          <w:color w:val="000000" w:themeColor="text1"/>
          <w:sz w:val="16"/>
          <w:szCs w:val="16"/>
        </w:rPr>
        <w:softHyphen/>
        <w:t>тели оказались близки. Як-9ДД применял</w:t>
      </w:r>
      <w:r w:rsidRPr="007224C3">
        <w:rPr>
          <w:rFonts w:ascii="Times New Roman" w:hAnsi="Times New Roman"/>
          <w:color w:val="000000" w:themeColor="text1"/>
          <w:sz w:val="16"/>
          <w:szCs w:val="16"/>
        </w:rPr>
        <w:softHyphen/>
        <w:t>ся на разных участках фронта, но наиболее интересным эпизодом его биографии ста</w:t>
      </w:r>
      <w:r w:rsidRPr="007224C3">
        <w:rPr>
          <w:rFonts w:ascii="Times New Roman" w:hAnsi="Times New Roman"/>
          <w:color w:val="000000" w:themeColor="text1"/>
          <w:sz w:val="16"/>
          <w:szCs w:val="16"/>
        </w:rPr>
        <w:softHyphen/>
        <w:t>ла боевая работа группы из 12 истребите</w:t>
      </w:r>
      <w:r w:rsidRPr="007224C3">
        <w:rPr>
          <w:rFonts w:ascii="Times New Roman" w:hAnsi="Times New Roman"/>
          <w:color w:val="000000" w:themeColor="text1"/>
          <w:sz w:val="16"/>
          <w:szCs w:val="16"/>
        </w:rPr>
        <w:softHyphen/>
        <w:t>лей, которая в августе 1944 г. по заданию советского правительства была направле</w:t>
      </w:r>
      <w:r w:rsidRPr="007224C3">
        <w:rPr>
          <w:rFonts w:ascii="Times New Roman" w:hAnsi="Times New Roman"/>
          <w:color w:val="000000" w:themeColor="text1"/>
          <w:sz w:val="16"/>
          <w:szCs w:val="16"/>
        </w:rPr>
        <w:softHyphen/>
        <w:t>на на авиабазу союзников около итальян</w:t>
      </w:r>
      <w:r w:rsidRPr="007224C3">
        <w:rPr>
          <w:rFonts w:ascii="Times New Roman" w:hAnsi="Times New Roman"/>
          <w:color w:val="000000" w:themeColor="text1"/>
          <w:sz w:val="16"/>
          <w:szCs w:val="16"/>
        </w:rPr>
        <w:softHyphen/>
        <w:t>ского города Бари для сопровождения транспортных С-47, доставлявших грузы югославским партизанам. При перебази</w:t>
      </w:r>
      <w:r w:rsidRPr="007224C3">
        <w:rPr>
          <w:rFonts w:ascii="Times New Roman" w:hAnsi="Times New Roman"/>
          <w:color w:val="000000" w:themeColor="text1"/>
          <w:sz w:val="16"/>
          <w:szCs w:val="16"/>
        </w:rPr>
        <w:softHyphen/>
        <w:t>ровании пришлось выполнить беспосадоч</w:t>
      </w:r>
      <w:r w:rsidRPr="007224C3">
        <w:rPr>
          <w:rFonts w:ascii="Times New Roman" w:hAnsi="Times New Roman"/>
          <w:color w:val="000000" w:themeColor="text1"/>
          <w:sz w:val="16"/>
          <w:szCs w:val="16"/>
        </w:rPr>
        <w:softHyphen/>
        <w:t>ный перелет Бельцы-Бари протяженнос</w:t>
      </w:r>
      <w:r w:rsidRPr="007224C3">
        <w:rPr>
          <w:rFonts w:ascii="Times New Roman" w:hAnsi="Times New Roman"/>
          <w:color w:val="000000" w:themeColor="text1"/>
          <w:sz w:val="16"/>
          <w:szCs w:val="16"/>
        </w:rPr>
        <w:softHyphen/>
        <w:t>тью примерно 1300 км, который почти пол</w:t>
      </w:r>
      <w:r w:rsidRPr="007224C3">
        <w:rPr>
          <w:rFonts w:ascii="Times New Roman" w:hAnsi="Times New Roman"/>
          <w:color w:val="000000" w:themeColor="text1"/>
          <w:sz w:val="16"/>
          <w:szCs w:val="16"/>
        </w:rPr>
        <w:softHyphen/>
        <w:t>ностью прошел над территорией, занятой противником. За время пребывания в Ита</w:t>
      </w:r>
      <w:r w:rsidRPr="007224C3">
        <w:rPr>
          <w:rFonts w:ascii="Times New Roman" w:hAnsi="Times New Roman"/>
          <w:color w:val="000000" w:themeColor="text1"/>
          <w:sz w:val="16"/>
          <w:szCs w:val="16"/>
        </w:rPr>
        <w:softHyphen/>
        <w:t>лии группа Як-9ДД выполнила 155 боевых вылетов. Хотя встреч в воздухе с враже</w:t>
      </w:r>
      <w:r w:rsidRPr="007224C3">
        <w:rPr>
          <w:rFonts w:ascii="Times New Roman" w:hAnsi="Times New Roman"/>
          <w:color w:val="000000" w:themeColor="text1"/>
          <w:sz w:val="16"/>
          <w:szCs w:val="16"/>
        </w:rPr>
        <w:softHyphen/>
        <w:t>скими самолетами не произошло, работа советских истребителей оказалась отнюдь не простой. Как правило, партизанские ба</w:t>
      </w:r>
      <w:r w:rsidRPr="007224C3">
        <w:rPr>
          <w:rFonts w:ascii="Times New Roman" w:hAnsi="Times New Roman"/>
          <w:color w:val="000000" w:themeColor="text1"/>
          <w:sz w:val="16"/>
          <w:szCs w:val="16"/>
        </w:rPr>
        <w:softHyphen/>
        <w:t>зы находились в труднодоступной горной местности. После посадки С-47 группа сопровождавших истребителей остава</w:t>
      </w:r>
      <w:r w:rsidRPr="007224C3">
        <w:rPr>
          <w:rFonts w:ascii="Times New Roman" w:hAnsi="Times New Roman"/>
          <w:color w:val="000000" w:themeColor="text1"/>
          <w:sz w:val="16"/>
          <w:szCs w:val="16"/>
        </w:rPr>
        <w:softHyphen/>
        <w:t>лась в воздухе и прикрывала базу, пока транспортный самолет не разгрузится, а затем сопровождала его на обратном пути. Иногда Як-9ДЦ приходилось приземляться на маленькие партизанские аэродромы, зачастую при сильном боковом, а то и по</w:t>
      </w:r>
      <w:r w:rsidRPr="007224C3">
        <w:rPr>
          <w:rFonts w:ascii="Times New Roman" w:hAnsi="Times New Roman"/>
          <w:color w:val="000000" w:themeColor="text1"/>
          <w:sz w:val="16"/>
          <w:szCs w:val="16"/>
        </w:rPr>
        <w:softHyphen/>
        <w:t>путном ветре. В тех условиях в случае ава</w:t>
      </w:r>
      <w:r w:rsidRPr="007224C3">
        <w:rPr>
          <w:rFonts w:ascii="Times New Roman" w:hAnsi="Times New Roman"/>
          <w:color w:val="000000" w:themeColor="text1"/>
          <w:sz w:val="16"/>
          <w:szCs w:val="16"/>
        </w:rPr>
        <w:softHyphen/>
        <w:t>рии ни о каком ремонте не могло быть и ре</w:t>
      </w:r>
      <w:r w:rsidRPr="007224C3">
        <w:rPr>
          <w:rFonts w:ascii="Times New Roman" w:hAnsi="Times New Roman"/>
          <w:color w:val="000000" w:themeColor="text1"/>
          <w:sz w:val="16"/>
          <w:szCs w:val="16"/>
        </w:rPr>
        <w:softHyphen/>
        <w:t>чи. Однако Як-9ДД продемонстрировали свои лучшие качества — в работе их сис</w:t>
      </w:r>
      <w:r w:rsidRPr="007224C3">
        <w:rPr>
          <w:rFonts w:ascii="Times New Roman" w:hAnsi="Times New Roman"/>
          <w:color w:val="000000" w:themeColor="text1"/>
          <w:sz w:val="16"/>
          <w:szCs w:val="16"/>
        </w:rPr>
        <w:softHyphen/>
        <w:t>тем и агрегатов не было зафиксировано ни одной поломки (10712).</w:t>
      </w:r>
    </w:p>
    <w:p w14:paraId="63364BF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50D501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апреле 1944 г. появились первые серийные машины Як-9У. Освоение Як-9У в войсках шло непрос</w:t>
      </w:r>
      <w:r w:rsidRPr="007224C3">
        <w:rPr>
          <w:rFonts w:ascii="Times New Roman" w:hAnsi="Times New Roman"/>
          <w:color w:val="000000" w:themeColor="text1"/>
          <w:sz w:val="16"/>
          <w:szCs w:val="16"/>
        </w:rPr>
        <w:softHyphen/>
        <w:t>то. Давали о себе знать недоведенность винто-моторной группы и систем охлаж</w:t>
      </w:r>
      <w:r w:rsidRPr="007224C3">
        <w:rPr>
          <w:rFonts w:ascii="Times New Roman" w:hAnsi="Times New Roman"/>
          <w:color w:val="000000" w:themeColor="text1"/>
          <w:sz w:val="16"/>
          <w:szCs w:val="16"/>
        </w:rPr>
        <w:softHyphen/>
        <w:t>дения. Пришлось пойти на ограничение снимаемой мощности (запрет на исполь</w:t>
      </w:r>
      <w:r w:rsidRPr="007224C3">
        <w:rPr>
          <w:rFonts w:ascii="Times New Roman" w:hAnsi="Times New Roman"/>
          <w:color w:val="000000" w:themeColor="text1"/>
          <w:sz w:val="16"/>
          <w:szCs w:val="16"/>
        </w:rPr>
        <w:softHyphen/>
        <w:t>зование боевого режима работы), а зна</w:t>
      </w:r>
      <w:r w:rsidRPr="007224C3">
        <w:rPr>
          <w:rFonts w:ascii="Times New Roman" w:hAnsi="Times New Roman"/>
          <w:color w:val="000000" w:themeColor="text1"/>
          <w:sz w:val="16"/>
          <w:szCs w:val="16"/>
        </w:rPr>
        <w:softHyphen/>
        <w:t>чит, и на снижение летных данных. Но и при этом превосходство Як-9У над само</w:t>
      </w:r>
      <w:r w:rsidRPr="007224C3">
        <w:rPr>
          <w:rFonts w:ascii="Times New Roman" w:hAnsi="Times New Roman"/>
          <w:color w:val="000000" w:themeColor="text1"/>
          <w:sz w:val="16"/>
          <w:szCs w:val="16"/>
        </w:rPr>
        <w:softHyphen/>
        <w:t>летами противника оказалось внушитель</w:t>
      </w:r>
      <w:r w:rsidRPr="007224C3">
        <w:rPr>
          <w:rFonts w:ascii="Times New Roman" w:hAnsi="Times New Roman"/>
          <w:color w:val="000000" w:themeColor="text1"/>
          <w:sz w:val="16"/>
          <w:szCs w:val="16"/>
        </w:rPr>
        <w:softHyphen/>
        <w:t>ным. За два месяца войсковых испыта</w:t>
      </w:r>
      <w:r w:rsidRPr="007224C3">
        <w:rPr>
          <w:rFonts w:ascii="Times New Roman" w:hAnsi="Times New Roman"/>
          <w:color w:val="000000" w:themeColor="text1"/>
          <w:sz w:val="16"/>
          <w:szCs w:val="16"/>
        </w:rPr>
        <w:softHyphen/>
        <w:t>ний — с октября по декабрь 1944 г. — лет</w:t>
      </w:r>
      <w:r w:rsidRPr="007224C3">
        <w:rPr>
          <w:rFonts w:ascii="Times New Roman" w:hAnsi="Times New Roman"/>
          <w:color w:val="000000" w:themeColor="text1"/>
          <w:sz w:val="16"/>
          <w:szCs w:val="16"/>
        </w:rPr>
        <w:softHyphen/>
        <w:t>чики 163-го Краснознаменного ИАП на тридцати двух Як-9У провели 398 само</w:t>
      </w:r>
      <w:r w:rsidRPr="007224C3">
        <w:rPr>
          <w:rFonts w:ascii="Times New Roman" w:hAnsi="Times New Roman"/>
          <w:color w:val="000000" w:themeColor="text1"/>
          <w:sz w:val="16"/>
          <w:szCs w:val="16"/>
        </w:rPr>
        <w:softHyphen/>
        <w:t>лето-вылетов и в 18 воздушных боях Сбили 27 FW190А и 1 Bf109О. Свои по</w:t>
      </w:r>
      <w:r w:rsidRPr="007224C3">
        <w:rPr>
          <w:rFonts w:ascii="Times New Roman" w:hAnsi="Times New Roman"/>
          <w:color w:val="000000" w:themeColor="text1"/>
          <w:sz w:val="16"/>
          <w:szCs w:val="16"/>
        </w:rPr>
        <w:softHyphen/>
        <w:t>тери составили два Як-ЭУ. Счет 28:2 говорит сам за себя. Преимущества Як-9У в глазах летчиков полностью компенсирова</w:t>
      </w:r>
      <w:r w:rsidRPr="007224C3">
        <w:rPr>
          <w:rFonts w:ascii="Times New Roman" w:hAnsi="Times New Roman"/>
          <w:color w:val="000000" w:themeColor="text1"/>
          <w:sz w:val="16"/>
          <w:szCs w:val="16"/>
        </w:rPr>
        <w:softHyphen/>
        <w:t>ли его недостатки. К тому же, в конце 1944 г. на Як-9У стали ставить новые ради</w:t>
      </w:r>
      <w:r w:rsidRPr="007224C3">
        <w:rPr>
          <w:rFonts w:ascii="Times New Roman" w:hAnsi="Times New Roman"/>
          <w:color w:val="000000" w:themeColor="text1"/>
          <w:sz w:val="16"/>
          <w:szCs w:val="16"/>
        </w:rPr>
        <w:softHyphen/>
        <w:t>аторы и улучшили каналы охлаждающих устройств. После этого температурные ре</w:t>
      </w:r>
      <w:r w:rsidRPr="007224C3">
        <w:rPr>
          <w:rFonts w:ascii="Times New Roman" w:hAnsi="Times New Roman"/>
          <w:color w:val="000000" w:themeColor="text1"/>
          <w:sz w:val="16"/>
          <w:szCs w:val="16"/>
        </w:rPr>
        <w:softHyphen/>
        <w:t>жимы мотора вошли, в основном, в норму. К концу войны большинство немецких истребителей на советско-германском фронте составляли FW190 в разных моди</w:t>
      </w:r>
      <w:r w:rsidRPr="007224C3">
        <w:rPr>
          <w:rFonts w:ascii="Times New Roman" w:hAnsi="Times New Roman"/>
          <w:color w:val="000000" w:themeColor="text1"/>
          <w:sz w:val="16"/>
          <w:szCs w:val="16"/>
        </w:rPr>
        <w:softHyphen/>
        <w:t>фикациях. Не вдаваясь в подробности, объясняющие этот факт, отметим только, что в воздушных боях с ними Як-9У имел превосходство благодаря солидному пре</w:t>
      </w:r>
      <w:r w:rsidRPr="007224C3">
        <w:rPr>
          <w:rFonts w:ascii="Times New Roman" w:hAnsi="Times New Roman"/>
          <w:color w:val="000000" w:themeColor="text1"/>
          <w:sz w:val="16"/>
          <w:szCs w:val="16"/>
        </w:rPr>
        <w:softHyphen/>
        <w:t>имуществу по определяющим летным по</w:t>
      </w:r>
      <w:r w:rsidRPr="007224C3">
        <w:rPr>
          <w:rFonts w:ascii="Times New Roman" w:hAnsi="Times New Roman"/>
          <w:color w:val="000000" w:themeColor="text1"/>
          <w:sz w:val="16"/>
          <w:szCs w:val="16"/>
        </w:rPr>
        <w:softHyphen/>
        <w:t>казателям, таким, как скорость, скоропо</w:t>
      </w:r>
      <w:r w:rsidRPr="007224C3">
        <w:rPr>
          <w:rFonts w:ascii="Times New Roman" w:hAnsi="Times New Roman"/>
          <w:color w:val="000000" w:themeColor="text1"/>
          <w:sz w:val="16"/>
          <w:szCs w:val="16"/>
        </w:rPr>
        <w:softHyphen/>
        <w:t>дъемность и маневренность. Это и понят</w:t>
      </w:r>
      <w:r w:rsidRPr="007224C3">
        <w:rPr>
          <w:rFonts w:ascii="Times New Roman" w:hAnsi="Times New Roman"/>
          <w:color w:val="000000" w:themeColor="text1"/>
          <w:sz w:val="16"/>
          <w:szCs w:val="16"/>
        </w:rPr>
        <w:softHyphen/>
        <w:t>но. Более тяжелый FW190 являлся все-таки многоцелевым истребителем, в то время как Як-9У оптимизировался для воздушного боя. По единодушному мне</w:t>
      </w:r>
      <w:r w:rsidRPr="007224C3">
        <w:rPr>
          <w:rFonts w:ascii="Times New Roman" w:hAnsi="Times New Roman"/>
          <w:color w:val="000000" w:themeColor="text1"/>
          <w:sz w:val="16"/>
          <w:szCs w:val="16"/>
        </w:rPr>
        <w:softHyphen/>
        <w:t>нию советских фронтовых летчиков и лет</w:t>
      </w:r>
      <w:r w:rsidRPr="007224C3">
        <w:rPr>
          <w:rFonts w:ascii="Times New Roman" w:hAnsi="Times New Roman"/>
          <w:color w:val="000000" w:themeColor="text1"/>
          <w:sz w:val="16"/>
          <w:szCs w:val="16"/>
        </w:rPr>
        <w:softHyphen/>
        <w:t>чиков-испытателей, в воздушном бою наи</w:t>
      </w:r>
      <w:r w:rsidRPr="007224C3">
        <w:rPr>
          <w:rFonts w:ascii="Times New Roman" w:hAnsi="Times New Roman"/>
          <w:color w:val="000000" w:themeColor="text1"/>
          <w:sz w:val="16"/>
          <w:szCs w:val="16"/>
        </w:rPr>
        <w:softHyphen/>
        <w:t>более сильной машиной люфтваффе был Вf109. Поэтому Як-9У лучше сравнить с истребителем Мессершмитта. Вот мнение немецкого летчика Вальтера Вольфрума, который летал почти на всех основных мо</w:t>
      </w:r>
      <w:r w:rsidRPr="007224C3">
        <w:rPr>
          <w:rFonts w:ascii="Times New Roman" w:hAnsi="Times New Roman"/>
          <w:color w:val="000000" w:themeColor="text1"/>
          <w:sz w:val="16"/>
          <w:szCs w:val="16"/>
        </w:rPr>
        <w:softHyphen/>
        <w:t>дификациях Вf109, среди которых В, О, Е, Р-2, Р-4, С-2, С-4, С-6, С-10, 0-14 и, нако</w:t>
      </w:r>
      <w:r w:rsidRPr="007224C3">
        <w:rPr>
          <w:rFonts w:ascii="Times New Roman" w:hAnsi="Times New Roman"/>
          <w:color w:val="000000" w:themeColor="text1"/>
          <w:sz w:val="16"/>
          <w:szCs w:val="16"/>
        </w:rPr>
        <w:softHyphen/>
        <w:t xml:space="preserve">нец, К-4. </w:t>
      </w:r>
      <w:r w:rsidRPr="007224C3">
        <w:rPr>
          <w:rFonts w:ascii="Times New Roman" w:hAnsi="Times New Roman"/>
          <w:iCs/>
          <w:color w:val="000000" w:themeColor="text1"/>
          <w:sz w:val="16"/>
          <w:szCs w:val="16"/>
        </w:rPr>
        <w:t>«Наилучшими истребителями, с которыми я встречался в бою, были Норт-Америкен «Mustang» Р-51 и русские Як-9У. Оба истребителя имели явное преиму</w:t>
      </w:r>
      <w:r w:rsidRPr="007224C3">
        <w:rPr>
          <w:rFonts w:ascii="Times New Roman" w:hAnsi="Times New Roman"/>
          <w:iCs/>
          <w:color w:val="000000" w:themeColor="text1"/>
          <w:sz w:val="16"/>
          <w:szCs w:val="16"/>
        </w:rPr>
        <w:softHyphen/>
        <w:t>щество в характеристиках над Ме-109 не</w:t>
      </w:r>
      <w:r w:rsidRPr="007224C3">
        <w:rPr>
          <w:rFonts w:ascii="Times New Roman" w:hAnsi="Times New Roman"/>
          <w:iCs/>
          <w:color w:val="000000" w:themeColor="text1"/>
          <w:sz w:val="16"/>
          <w:szCs w:val="16"/>
        </w:rPr>
        <w:softHyphen/>
        <w:t>зависимо от модификации, включая Ме-109К-4» (10712).</w:t>
      </w:r>
    </w:p>
    <w:p w14:paraId="5AC785B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625A4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апреля 1944 года производство карбюратор</w:t>
      </w:r>
      <w:r w:rsidRPr="007224C3">
        <w:rPr>
          <w:rFonts w:ascii="Times New Roman" w:hAnsi="Times New Roman"/>
          <w:color w:val="000000" w:themeColor="text1"/>
          <w:sz w:val="16"/>
          <w:szCs w:val="16"/>
        </w:rPr>
        <w:softHyphen/>
        <w:t>ных моторов М-82 было прекращено и завод полностью перешел на вы</w:t>
      </w:r>
      <w:r w:rsidRPr="007224C3">
        <w:rPr>
          <w:rFonts w:ascii="Times New Roman" w:hAnsi="Times New Roman"/>
          <w:color w:val="000000" w:themeColor="text1"/>
          <w:sz w:val="16"/>
          <w:szCs w:val="16"/>
        </w:rPr>
        <w:softHyphen/>
        <w:t>пуск М-82ФН (10714).</w:t>
      </w:r>
    </w:p>
    <w:p w14:paraId="5F2E65F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20A2DC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апреле 1944 года А.И.Покрышкин посетил Горький, где встретился с С.А. Лавоч</w:t>
      </w:r>
      <w:r w:rsidRPr="007224C3">
        <w:rPr>
          <w:rFonts w:ascii="Times New Roman" w:hAnsi="Times New Roman"/>
          <w:color w:val="000000" w:themeColor="text1"/>
          <w:sz w:val="16"/>
          <w:szCs w:val="16"/>
        </w:rPr>
        <w:softHyphen/>
        <w:t>киным и руководством завода №21 (10714).</w:t>
      </w:r>
    </w:p>
    <w:p w14:paraId="2B8A6FC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8EFDCC4" w14:textId="77777777" w:rsidR="009E6775" w:rsidRPr="007224C3" w:rsidRDefault="009E677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апреле 1944 г. А.И. Покрышкин посетил Горький, где встретился с С.А. Лавочкиным и руководством завода № 21. Ле</w:t>
      </w:r>
      <w:r w:rsidRPr="007224C3">
        <w:rPr>
          <w:rFonts w:ascii="Times New Roman" w:hAnsi="Times New Roman"/>
          <w:color w:val="000000" w:themeColor="text1"/>
          <w:sz w:val="16"/>
          <w:szCs w:val="16"/>
        </w:rPr>
        <w:softHyphen/>
        <w:t>том он сам и группа его лётчиков прошла переподготовку на Ла-7 при Высшей офицер</w:t>
      </w:r>
      <w:r w:rsidRPr="007224C3">
        <w:rPr>
          <w:rFonts w:ascii="Times New Roman" w:hAnsi="Times New Roman"/>
          <w:color w:val="000000" w:themeColor="text1"/>
          <w:sz w:val="16"/>
          <w:szCs w:val="16"/>
        </w:rPr>
        <w:softHyphen/>
        <w:t>ской школе воздушного боя, но по какой-то причине самолётов Лавочкина 9-я ГИАД, командиром которой был назначен гвардии полковник Покрышкин, так и не получила, и оканчивать войну ей пришлось на всё тех же американских «Аэрокобрах» (15829).</w:t>
      </w:r>
    </w:p>
    <w:p w14:paraId="24F54E7B" w14:textId="77777777" w:rsidR="009E6775" w:rsidRPr="007224C3" w:rsidRDefault="009E6775" w:rsidP="007224C3">
      <w:pPr>
        <w:spacing w:after="0" w:line="240" w:lineRule="auto"/>
        <w:jc w:val="both"/>
        <w:rPr>
          <w:rFonts w:ascii="Times New Roman" w:hAnsi="Times New Roman"/>
          <w:color w:val="000000" w:themeColor="text1"/>
          <w:sz w:val="16"/>
          <w:szCs w:val="16"/>
        </w:rPr>
      </w:pPr>
    </w:p>
    <w:p w14:paraId="71D0812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апреле 1944 проходил гос. испытания "82-ВГ" на Ла-5 с М-82 N 39211616 21 завода и прошел удовлетворительно (744,2).</w:t>
      </w:r>
    </w:p>
    <w:p w14:paraId="66F77F0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D1CD1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апреле 1944 на машине Ла-5 № 3811507 карбюраторный двигатель АШ-82Ф заменили на АШ-82ФН с непосредственным впрыском топлива. При этом сохранили выхлопные коллекторы от предшественника и доработали боковые створки. Самолет, получивший официальное название "Гибрид", проходил испытания в НИИ ВВС в мае 1944 г. Ведущими по машине были инженер В.И. Алексеенко и летчик А.Г. Кубышкин. По сравнению с "Дублером" Ла-5ФН завода № 21 он имел значительно худшие летные данные. Например, его максимальная скорость оказалась на 68 км/ч ниже, что, видимо, связано с утяжелением машины и худшей отделкой его внешней поверхности.</w:t>
      </w:r>
    </w:p>
    <w:p w14:paraId="6EB5F47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испытания не выдержал. НИИ ВВС рекомендовал использовать установку двигателей АШ-82ФН при ремонте Ла-5Ф в полевых условиях лишь в крайнем случае (12032).</w:t>
      </w:r>
    </w:p>
    <w:p w14:paraId="5570AF3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FF4C3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апреле 1944 проходил гос. испытания дублер ЛаГГ-3 с ВК-105ПФ2 облегченного, который построила группа Горбунова в Тбилиси и назвала машина 105 и построили еще весной 1943. Вооружение и силовую установку так и не довели. Производство ЛаГГ-3, модифицированного согласно рекомендаций НИИ ВВС и ЦАГИ вели до середины 1944 (3241,3).</w:t>
      </w:r>
    </w:p>
    <w:p w14:paraId="031BB56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0AAE3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апреле 1944 при начале гос. испытаний серийного Ер-2 М-30Б N 7013901 в НИИ ВВС начались проблемы (3322,41).</w:t>
      </w:r>
    </w:p>
    <w:p w14:paraId="09CB767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8C79F6" w14:textId="77777777" w:rsidR="009E6775" w:rsidRPr="007224C3" w:rsidRDefault="009E6775" w:rsidP="007224C3">
      <w:pPr>
        <w:pStyle w:val="a3"/>
        <w:rPr>
          <w:color w:val="000000" w:themeColor="text1"/>
          <w:lang w:val="ru-RU"/>
        </w:rPr>
      </w:pPr>
      <w:r w:rsidRPr="007224C3">
        <w:rPr>
          <w:color w:val="000000" w:themeColor="text1"/>
          <w:lang w:val="ru-RU"/>
        </w:rPr>
        <w:t>С апреля 1944 г. серийные самолёты Ер-2 стали поступать на вооружение строевых частей АДД (с декабря 1944 г. — 18-й Воздушной Армии). В процессе экс</w:t>
      </w:r>
      <w:r w:rsidRPr="007224C3">
        <w:rPr>
          <w:color w:val="000000" w:themeColor="text1"/>
          <w:lang w:val="ru-RU"/>
        </w:rPr>
        <w:softHyphen/>
        <w:t>плуатации в войсках подтвердились все дефекты, выявленные при госиспытаниях и, кроме того, обнаружились новые, обусловленные недостаточной прочностью отдельных элементов конструкции самолёта (15810).</w:t>
      </w:r>
    </w:p>
    <w:p w14:paraId="712FBE30" w14:textId="77777777" w:rsidR="009E6775" w:rsidRPr="007224C3" w:rsidRDefault="009E6775" w:rsidP="007224C3">
      <w:pPr>
        <w:pStyle w:val="a3"/>
        <w:rPr>
          <w:color w:val="000000" w:themeColor="text1"/>
          <w:lang w:val="ru-RU"/>
        </w:rPr>
      </w:pPr>
    </w:p>
    <w:p w14:paraId="4FA01FE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апреле 1944 ОКБ А.Н.Т. проводило исследовательские работы в ходе испытаний машины N 716 по определению максимальной и критической скоростей планирования. Вывод: "Самолет Ту-2 АШ-82ФН N 716 с увеличенным вертикальным оперением имеет хорошую управляемость в полете на минимальных скоростях и нормальное поведение на штопоре (1835,32).</w:t>
      </w:r>
    </w:p>
    <w:p w14:paraId="4CF4296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E4F10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апреле 1944 г. самолет У-2ШС (штабной, санитарный) или У2-ШС выкатили из сборочного цеха. Испыта</w:t>
      </w:r>
      <w:r w:rsidRPr="007224C3">
        <w:rPr>
          <w:rFonts w:ascii="Times New Roman" w:hAnsi="Times New Roman"/>
          <w:color w:val="000000" w:themeColor="text1"/>
          <w:sz w:val="16"/>
          <w:szCs w:val="16"/>
        </w:rPr>
        <w:softHyphen/>
        <w:t>ния прошли очень быстро. Улучшенная аэродинамика и повышенная мощность двигателя привели к увеличе</w:t>
      </w:r>
      <w:r w:rsidRPr="007224C3">
        <w:rPr>
          <w:rFonts w:ascii="Times New Roman" w:hAnsi="Times New Roman"/>
          <w:color w:val="000000" w:themeColor="text1"/>
          <w:sz w:val="16"/>
          <w:szCs w:val="16"/>
        </w:rPr>
        <w:softHyphen/>
        <w:t>нию максимальной скорости полета у земли до 169 км/ч. Разбег и пробег немного возросли. В остальном самолет сохранил свои летные качества. Сразу же приняли реше</w:t>
      </w:r>
      <w:r w:rsidRPr="007224C3">
        <w:rPr>
          <w:rFonts w:ascii="Times New Roman" w:hAnsi="Times New Roman"/>
          <w:color w:val="000000" w:themeColor="text1"/>
          <w:sz w:val="16"/>
          <w:szCs w:val="16"/>
        </w:rPr>
        <w:softHyphen/>
        <w:t>ние о запуске в серию. Так как основные авиационные заводы занимались выпуском другой продукции, для организации серийной постройки У-2ШС выделялись бывшие деревообрабатывающие комбинаты — заводы № 494 в Козловке на Волге и № 471 в Шумерле, куда из ОКБ направили группы конструкторов и технологов для оказания помощи в освоении самолета. После смер</w:t>
      </w:r>
      <w:r w:rsidRPr="007224C3">
        <w:rPr>
          <w:rFonts w:ascii="Times New Roman" w:hAnsi="Times New Roman"/>
          <w:color w:val="000000" w:themeColor="text1"/>
          <w:sz w:val="16"/>
          <w:szCs w:val="16"/>
        </w:rPr>
        <w:softHyphen/>
        <w:t>ти Н.Н.Поликарпова дело заглохло, внедрение в серию У-2ШС прекратилось, во многом по субъективным при</w:t>
      </w:r>
      <w:r w:rsidRPr="007224C3">
        <w:rPr>
          <w:rFonts w:ascii="Times New Roman" w:hAnsi="Times New Roman"/>
          <w:color w:val="000000" w:themeColor="text1"/>
          <w:sz w:val="16"/>
          <w:szCs w:val="16"/>
        </w:rPr>
        <w:softHyphen/>
        <w:t>чинам. Главный конструктор авиационной и ракетной техники Д.Л.Томашевич, бывший заместитель Поли</w:t>
      </w:r>
      <w:r w:rsidRPr="007224C3">
        <w:rPr>
          <w:rFonts w:ascii="Times New Roman" w:hAnsi="Times New Roman"/>
          <w:color w:val="000000" w:themeColor="text1"/>
          <w:sz w:val="16"/>
          <w:szCs w:val="16"/>
        </w:rPr>
        <w:softHyphen/>
        <w:t>карпова, вспоминал:</w:t>
      </w:r>
    </w:p>
    <w:p w14:paraId="62FFF54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«Позже, уже после войны, я сам убедился, как не дава</w:t>
      </w:r>
      <w:r w:rsidRPr="007224C3">
        <w:rPr>
          <w:rFonts w:ascii="Times New Roman" w:hAnsi="Times New Roman"/>
          <w:color w:val="000000" w:themeColor="text1"/>
          <w:sz w:val="16"/>
          <w:szCs w:val="16"/>
        </w:rPr>
        <w:softHyphen/>
        <w:t>ли хода пятиместному пассажирскому самолету «По-2», хотя многие организации нуждались в таком самолете и, отчаявшись его получить, требовали от завода чертежи, чтобы самостоятельно переделать учебный самолет «По-2» в пассажирский» (10667).</w:t>
      </w:r>
    </w:p>
    <w:p w14:paraId="1072A80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9A4BD3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апреле 1944 прошли государственные испытания У-2ШС, которые велись воен</w:t>
      </w:r>
      <w:r w:rsidRPr="007224C3">
        <w:rPr>
          <w:rFonts w:ascii="Times New Roman" w:hAnsi="Times New Roman"/>
          <w:color w:val="000000" w:themeColor="text1"/>
          <w:sz w:val="16"/>
          <w:szCs w:val="16"/>
        </w:rPr>
        <w:softHyphen/>
        <w:t>ными испытателями и их оценки ока</w:t>
      </w:r>
      <w:r w:rsidRPr="007224C3">
        <w:rPr>
          <w:rFonts w:ascii="Times New Roman" w:hAnsi="Times New Roman"/>
          <w:color w:val="000000" w:themeColor="text1"/>
          <w:sz w:val="16"/>
          <w:szCs w:val="16"/>
        </w:rPr>
        <w:softHyphen/>
        <w:t>зались более жесткими и беспристрастны</w:t>
      </w:r>
      <w:r w:rsidRPr="007224C3">
        <w:rPr>
          <w:rFonts w:ascii="Times New Roman" w:hAnsi="Times New Roman"/>
          <w:color w:val="000000" w:themeColor="text1"/>
          <w:sz w:val="16"/>
          <w:szCs w:val="16"/>
        </w:rPr>
        <w:softHyphen/>
        <w:t>ми. Они сообщали о недостаточном обзоре, тесной пилотской кабине при наличии в ней второго человека, значительной на</w:t>
      </w:r>
      <w:r w:rsidRPr="007224C3">
        <w:rPr>
          <w:rFonts w:ascii="Times New Roman" w:hAnsi="Times New Roman"/>
          <w:color w:val="000000" w:themeColor="text1"/>
          <w:sz w:val="16"/>
          <w:szCs w:val="16"/>
        </w:rPr>
        <w:softHyphen/>
        <w:t>грузке на ручке управления от элеронов и рулей высоты, недостаточной путевой ус</w:t>
      </w:r>
      <w:r w:rsidRPr="007224C3">
        <w:rPr>
          <w:rFonts w:ascii="Times New Roman" w:hAnsi="Times New Roman"/>
          <w:color w:val="000000" w:themeColor="text1"/>
          <w:sz w:val="16"/>
          <w:szCs w:val="16"/>
        </w:rPr>
        <w:softHyphen/>
        <w:t>тойчивости. Вместе с тем общая оценка бы</w:t>
      </w:r>
      <w:r w:rsidRPr="007224C3">
        <w:rPr>
          <w:rFonts w:ascii="Times New Roman" w:hAnsi="Times New Roman"/>
          <w:color w:val="000000" w:themeColor="text1"/>
          <w:sz w:val="16"/>
          <w:szCs w:val="16"/>
        </w:rPr>
        <w:softHyphen/>
        <w:t>ла положительной; отмечалось, что У-2ШС удачно решает вопрос применения У-2 в качестве пассажирского самолета. В транспортном варианте на нем можно было перевозить 2 бочки с горючим, кислород</w:t>
      </w:r>
      <w:r w:rsidRPr="007224C3">
        <w:rPr>
          <w:rFonts w:ascii="Times New Roman" w:hAnsi="Times New Roman"/>
          <w:color w:val="000000" w:themeColor="text1"/>
          <w:sz w:val="16"/>
          <w:szCs w:val="16"/>
        </w:rPr>
        <w:softHyphen/>
        <w:t>ные и воздушные баллоны, а также профи</w:t>
      </w:r>
      <w:r w:rsidRPr="007224C3">
        <w:rPr>
          <w:rFonts w:ascii="Times New Roman" w:hAnsi="Times New Roman"/>
          <w:color w:val="000000" w:themeColor="text1"/>
          <w:sz w:val="16"/>
          <w:szCs w:val="16"/>
        </w:rPr>
        <w:softHyphen/>
        <w:t>ли или трубы длиной до 4 метров. В сани</w:t>
      </w:r>
      <w:r w:rsidRPr="007224C3">
        <w:rPr>
          <w:rFonts w:ascii="Times New Roman" w:hAnsi="Times New Roman"/>
          <w:color w:val="000000" w:themeColor="text1"/>
          <w:sz w:val="16"/>
          <w:szCs w:val="16"/>
        </w:rPr>
        <w:softHyphen/>
        <w:t>тарном варианте ШС не имел преимуществ перед обычным С-2, так как позволял пере</w:t>
      </w:r>
      <w:r w:rsidRPr="007224C3">
        <w:rPr>
          <w:rFonts w:ascii="Times New Roman" w:hAnsi="Times New Roman"/>
          <w:color w:val="000000" w:themeColor="text1"/>
          <w:sz w:val="16"/>
          <w:szCs w:val="16"/>
        </w:rPr>
        <w:softHyphen/>
        <w:t>возить только одного лежачего больного. Для установки двух стандартных носилок предлагалось расширить фюзеляж еще на 100 мм. Посадочная фара оказалась не вполне удачной: ее прозрачный обтекатель забрызгивало маслом, поэтому предлага</w:t>
      </w:r>
      <w:r w:rsidRPr="007224C3">
        <w:rPr>
          <w:rFonts w:ascii="Times New Roman" w:hAnsi="Times New Roman"/>
          <w:color w:val="000000" w:themeColor="text1"/>
          <w:sz w:val="16"/>
          <w:szCs w:val="16"/>
        </w:rPr>
        <w:softHyphen/>
        <w:t>лось перенести ее под левое крыло.</w:t>
      </w:r>
    </w:p>
    <w:p w14:paraId="5FFC4C1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Кроме прочего, предлагалось оборудо</w:t>
      </w:r>
      <w:r w:rsidRPr="007224C3">
        <w:rPr>
          <w:rFonts w:ascii="Times New Roman" w:hAnsi="Times New Roman"/>
          <w:color w:val="000000" w:themeColor="text1"/>
          <w:sz w:val="16"/>
          <w:szCs w:val="16"/>
        </w:rPr>
        <w:softHyphen/>
        <w:t>вать «лимузин» тормозными колесами и нормальным хвостовым колесом, двига</w:t>
      </w:r>
      <w:r w:rsidRPr="007224C3">
        <w:rPr>
          <w:rFonts w:ascii="Times New Roman" w:hAnsi="Times New Roman"/>
          <w:color w:val="000000" w:themeColor="text1"/>
          <w:sz w:val="16"/>
          <w:szCs w:val="16"/>
        </w:rPr>
        <w:softHyphen/>
        <w:t>тель оснастить винтом изменяемого шага. Весьма интересным представляется мне</w:t>
      </w:r>
      <w:r w:rsidRPr="007224C3">
        <w:rPr>
          <w:rFonts w:ascii="Times New Roman" w:hAnsi="Times New Roman"/>
          <w:color w:val="000000" w:themeColor="text1"/>
          <w:sz w:val="16"/>
          <w:szCs w:val="16"/>
        </w:rPr>
        <w:softHyphen/>
        <w:t>ние о наличии радиостанции на самолете. Казалось бы, война должна изменить преж</w:t>
      </w:r>
      <w:r w:rsidRPr="007224C3">
        <w:rPr>
          <w:rFonts w:ascii="Times New Roman" w:hAnsi="Times New Roman"/>
          <w:color w:val="000000" w:themeColor="text1"/>
          <w:sz w:val="16"/>
          <w:szCs w:val="16"/>
        </w:rPr>
        <w:softHyphen/>
        <w:t>нее отношение к радиосвязи, доказав ее не</w:t>
      </w:r>
      <w:r w:rsidRPr="007224C3">
        <w:rPr>
          <w:rFonts w:ascii="Times New Roman" w:hAnsi="Times New Roman"/>
          <w:color w:val="000000" w:themeColor="text1"/>
          <w:sz w:val="16"/>
          <w:szCs w:val="16"/>
        </w:rPr>
        <w:softHyphen/>
        <w:t>обходимость. Ничего подобного: военные испытатели указывали, что использование радиостанции на всех У-2ШС нецелесооб</w:t>
      </w:r>
      <w:r w:rsidRPr="007224C3">
        <w:rPr>
          <w:rFonts w:ascii="Times New Roman" w:hAnsi="Times New Roman"/>
          <w:color w:val="000000" w:themeColor="text1"/>
          <w:sz w:val="16"/>
          <w:szCs w:val="16"/>
        </w:rPr>
        <w:softHyphen/>
        <w:t>разно, а ставить ее нужно только на штаб</w:t>
      </w:r>
      <w:r w:rsidRPr="007224C3">
        <w:rPr>
          <w:rFonts w:ascii="Times New Roman" w:hAnsi="Times New Roman"/>
          <w:color w:val="000000" w:themeColor="text1"/>
          <w:sz w:val="16"/>
          <w:szCs w:val="16"/>
        </w:rPr>
        <w:softHyphen/>
        <w:t>ных машинах для руководящего состава. В целом самолет испытания выдержал и при внесении изменений рекомендовался к массовому выпуску. Предлагалось в корот</w:t>
      </w:r>
      <w:r w:rsidRPr="007224C3">
        <w:rPr>
          <w:rFonts w:ascii="Times New Roman" w:hAnsi="Times New Roman"/>
          <w:color w:val="000000" w:themeColor="text1"/>
          <w:sz w:val="16"/>
          <w:szCs w:val="16"/>
        </w:rPr>
        <w:softHyphen/>
        <w:t>кий срок построить эталон для серийного производства.</w:t>
      </w:r>
    </w:p>
    <w:p w14:paraId="6D00B98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1944-м все дела</w:t>
      </w:r>
      <w:r w:rsidRPr="007224C3">
        <w:rPr>
          <w:rFonts w:ascii="Times New Roman" w:hAnsi="Times New Roman"/>
          <w:color w:val="000000" w:themeColor="text1"/>
          <w:sz w:val="16"/>
          <w:szCs w:val="16"/>
        </w:rPr>
        <w:softHyphen/>
        <w:t>лось довольно оперативно. Еще не закончи</w:t>
      </w:r>
      <w:r w:rsidRPr="007224C3">
        <w:rPr>
          <w:rFonts w:ascii="Times New Roman" w:hAnsi="Times New Roman"/>
          <w:color w:val="000000" w:themeColor="text1"/>
          <w:sz w:val="16"/>
          <w:szCs w:val="16"/>
        </w:rPr>
        <w:softHyphen/>
        <w:t>лись госиспытания, а уже 28 марта все необ</w:t>
      </w:r>
      <w:r w:rsidRPr="007224C3">
        <w:rPr>
          <w:rFonts w:ascii="Times New Roman" w:hAnsi="Times New Roman"/>
          <w:color w:val="000000" w:themeColor="text1"/>
          <w:sz w:val="16"/>
          <w:szCs w:val="16"/>
        </w:rPr>
        <w:softHyphen/>
        <w:t>ходимые изменения согласно рекомендаци</w:t>
      </w:r>
      <w:r w:rsidRPr="007224C3">
        <w:rPr>
          <w:rFonts w:ascii="Times New Roman" w:hAnsi="Times New Roman"/>
          <w:color w:val="000000" w:themeColor="text1"/>
          <w:sz w:val="16"/>
          <w:szCs w:val="16"/>
        </w:rPr>
        <w:softHyphen/>
        <w:t>ям военных испытателей осуществили на специальном макете. Подготовили новый вариант расширенного на 100 мм фюзеляжа, гаргрот в месте размещения раненых подня</w:t>
      </w:r>
      <w:r w:rsidRPr="007224C3">
        <w:rPr>
          <w:rFonts w:ascii="Times New Roman" w:hAnsi="Times New Roman"/>
          <w:color w:val="000000" w:themeColor="text1"/>
          <w:sz w:val="16"/>
          <w:szCs w:val="16"/>
        </w:rPr>
        <w:softHyphen/>
        <w:t>ли на 50 мм, фонарь пассажирской кабины сделали съемным. Посадочный трап на ниж</w:t>
      </w:r>
      <w:r w:rsidRPr="007224C3">
        <w:rPr>
          <w:rFonts w:ascii="Times New Roman" w:hAnsi="Times New Roman"/>
          <w:color w:val="000000" w:themeColor="text1"/>
          <w:sz w:val="16"/>
          <w:szCs w:val="16"/>
        </w:rPr>
        <w:softHyphen/>
        <w:t>нем крыле расширили на 150 мм. Так как разговор шел уже о серийном производстве, все изменения реализовали в У-2ШС № 9440101 войсковой серии, изготовленном в августе 1944 г. на заводе № 494. Самолет ос</w:t>
      </w:r>
      <w:r w:rsidRPr="007224C3">
        <w:rPr>
          <w:rFonts w:ascii="Times New Roman" w:hAnsi="Times New Roman"/>
          <w:color w:val="000000" w:themeColor="text1"/>
          <w:sz w:val="16"/>
          <w:szCs w:val="16"/>
        </w:rPr>
        <w:softHyphen/>
        <w:t>настили распространенным двигателем М-11Д мощностью 115 л.с. Кроме уже перечис</w:t>
      </w:r>
      <w:r w:rsidRPr="007224C3">
        <w:rPr>
          <w:rFonts w:ascii="Times New Roman" w:hAnsi="Times New Roman"/>
          <w:color w:val="000000" w:themeColor="text1"/>
          <w:sz w:val="16"/>
          <w:szCs w:val="16"/>
        </w:rPr>
        <w:softHyphen/>
        <w:t>ленного, для более эффективной баланси</w:t>
      </w:r>
      <w:r w:rsidRPr="007224C3">
        <w:rPr>
          <w:rFonts w:ascii="Times New Roman" w:hAnsi="Times New Roman"/>
          <w:color w:val="000000" w:themeColor="text1"/>
          <w:sz w:val="16"/>
          <w:szCs w:val="16"/>
        </w:rPr>
        <w:softHyphen/>
        <w:t>ровки самолета триммером изменили угол установки стабилизатора, увеличили ком</w:t>
      </w:r>
      <w:r w:rsidRPr="007224C3">
        <w:rPr>
          <w:rFonts w:ascii="Times New Roman" w:hAnsi="Times New Roman"/>
          <w:color w:val="000000" w:themeColor="text1"/>
          <w:sz w:val="16"/>
          <w:szCs w:val="16"/>
        </w:rPr>
        <w:softHyphen/>
        <w:t>пенсацию элеронов (25% вместо 19%), верх</w:t>
      </w:r>
      <w:r w:rsidRPr="007224C3">
        <w:rPr>
          <w:rFonts w:ascii="Times New Roman" w:hAnsi="Times New Roman"/>
          <w:color w:val="000000" w:themeColor="text1"/>
          <w:sz w:val="16"/>
          <w:szCs w:val="16"/>
        </w:rPr>
        <w:softHyphen/>
        <w:t>нее крыло подняли на 90 мм, увеличили площадь киля. Заднее пассажирское кресло опустили на 50 мм (ранее пассажир упирал</w:t>
      </w:r>
      <w:r w:rsidRPr="007224C3">
        <w:rPr>
          <w:rFonts w:ascii="Times New Roman" w:hAnsi="Times New Roman"/>
          <w:color w:val="000000" w:themeColor="text1"/>
          <w:sz w:val="16"/>
          <w:szCs w:val="16"/>
        </w:rPr>
        <w:softHyphen/>
        <w:t>ся в переплет фонаря), посадочную фару пе</w:t>
      </w:r>
      <w:r w:rsidRPr="007224C3">
        <w:rPr>
          <w:rFonts w:ascii="Times New Roman" w:hAnsi="Times New Roman"/>
          <w:color w:val="000000" w:themeColor="text1"/>
          <w:sz w:val="16"/>
          <w:szCs w:val="16"/>
        </w:rPr>
        <w:softHyphen/>
        <w:t>ренесли под левое крыло, приборную доску пилота отодвинули вперед на 80 мм. Радио</w:t>
      </w:r>
      <w:r w:rsidRPr="007224C3">
        <w:rPr>
          <w:rFonts w:ascii="Times New Roman" w:hAnsi="Times New Roman"/>
          <w:color w:val="000000" w:themeColor="text1"/>
          <w:sz w:val="16"/>
          <w:szCs w:val="16"/>
        </w:rPr>
        <w:softHyphen/>
        <w:t>станцию и генератор сняли (11085).</w:t>
      </w:r>
    </w:p>
    <w:p w14:paraId="4FDAEE8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CFC78A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апреле 1944 был готов проект планера Г-31 В.К.Грибовского. Г-11 с овальным фюзеляжем, двухместной кабиной, откидывающейся на бок. Был одобрен экспертной комиссией НКАП, но аналогичную машину поручили спроектировать С.А.Москалеву (9080).</w:t>
      </w:r>
    </w:p>
    <w:p w14:paraId="1CAD2B1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5B8A7E" w14:textId="77777777" w:rsidR="00552857" w:rsidRPr="007224C3" w:rsidRDefault="00552857" w:rsidP="007224C3">
      <w:pPr>
        <w:shd w:val="clear" w:color="auto" w:fill="FFFFFF"/>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апреле 1944 г. проект новой машины – планера Грибовского, получившей обозначение Г-31, был готов.</w:t>
      </w:r>
    </w:p>
    <w:p w14:paraId="64DCDBE3" w14:textId="77777777" w:rsidR="00552857" w:rsidRPr="007224C3" w:rsidRDefault="00552857" w:rsidP="007224C3">
      <w:pPr>
        <w:shd w:val="clear" w:color="auto" w:fill="FFFFFF"/>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Основным внешним отличием от Г-11 стал фюзеляж, имеющий в сечении овальную форму. В носовой части размещалась двухместная кабина пилотов, которая могла откидываться набок для загрузки крупногабаритных предметов и боевой техники. Крыло состояло из двух половин, крепящихся непосредственно на центроплане с использованием поддерживающих подкосов. По требованиям ВДВ предусматривалась возможность установки одного-двух двигателей М-11.</w:t>
      </w:r>
    </w:p>
    <w:p w14:paraId="07EC84AF" w14:textId="77777777" w:rsidR="00552857" w:rsidRPr="007224C3" w:rsidRDefault="00552857" w:rsidP="007224C3">
      <w:pPr>
        <w:shd w:val="clear" w:color="auto" w:fill="FFFFFF"/>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Хотя проект Г-31 являлся более совершенным, чем Г-11, и при рассмотрении был одобрен Экспертной Комиссией НКАП, реализовывать его не стали. Дело в том, что чуть ранее аналогичный планер поручили спроектировать конструктору С.А.Москалеву, т.е. задание уже находилось в стадии разработки.</w:t>
      </w:r>
    </w:p>
    <w:p w14:paraId="17AAF2A9" w14:textId="77777777" w:rsidR="00552857" w:rsidRPr="007224C3" w:rsidRDefault="00552857" w:rsidP="007224C3">
      <w:pPr>
        <w:shd w:val="clear" w:color="auto" w:fill="FFFFFF"/>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1946 г. Грибовский сделал несколько проработок десантных планеров грузоподъемностью 3 и 6 тонн, но поддержки не нашел. Вместо этого ему дали задание спроектировать двухместный планер для обучения и тренировки. Планер получил наименование Г-31 (использовалось обозначение нереализованного транспортного аппарата), его построили в двух экземплярах.</w:t>
      </w:r>
    </w:p>
    <w:p w14:paraId="142C0302" w14:textId="77777777" w:rsidR="00552857" w:rsidRPr="007224C3" w:rsidRDefault="00552857" w:rsidP="007224C3">
      <w:pPr>
        <w:shd w:val="clear" w:color="auto" w:fill="FFFFFF"/>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Пилоты находились в просторной, двухместной застекленной кабине друг за другом. Оба Г-31 начали летать весной 1948 г. Этот период совпал со значительными сокращениями ассигнований на опытные и изыскательские работы в области авиастроения. Ряд конструкторских бюро, в число которых попало и КБ Грибовского, были ликвидированы. На этом закончилась история планера Г-31 (12682).</w:t>
      </w:r>
    </w:p>
    <w:p w14:paraId="777C0D62" w14:textId="77777777" w:rsidR="00552857" w:rsidRPr="007224C3" w:rsidRDefault="00552857" w:rsidP="007224C3">
      <w:pPr>
        <w:shd w:val="clear" w:color="auto" w:fill="FFFFFF"/>
        <w:spacing w:after="0" w:line="240" w:lineRule="auto"/>
        <w:jc w:val="both"/>
        <w:rPr>
          <w:rFonts w:ascii="Times New Roman" w:hAnsi="Times New Roman"/>
          <w:color w:val="000000" w:themeColor="text1"/>
          <w:sz w:val="16"/>
          <w:szCs w:val="16"/>
        </w:rPr>
      </w:pPr>
    </w:p>
    <w:p w14:paraId="6D1A688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апреле 1944 на планере А-7 в последний раз летали к партизанам в Белоруссию (94,76).</w:t>
      </w:r>
    </w:p>
    <w:p w14:paraId="2927F91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8C24F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апреле 1944 г. 10 АМ-39 изготовили на заводе № 45, в мае — июне того же года 22 экз. переделали на заводе № 300 из АМ-38Ф с исполь</w:t>
      </w:r>
      <w:r w:rsidRPr="007224C3">
        <w:rPr>
          <w:rFonts w:ascii="Times New Roman" w:hAnsi="Times New Roman"/>
          <w:color w:val="000000" w:themeColor="text1"/>
          <w:sz w:val="16"/>
          <w:szCs w:val="16"/>
        </w:rPr>
        <w:softHyphen/>
        <w:t>зованием узлов, изготовленных заводом № 45.</w:t>
      </w:r>
    </w:p>
    <w:p w14:paraId="0474409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Характеристики:</w:t>
      </w:r>
    </w:p>
    <w:p w14:paraId="7ADE1DA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12-цилиндровый рядный У-образный, четырехтактный, водяного охлаждения, редукторный, с двухскоростным ПЦН и интеркулером;</w:t>
      </w:r>
    </w:p>
    <w:p w14:paraId="36241F6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диаметр цилиндра/ход поршня 160/190 мм (в цилиндрах с прицепными шатунами 196,8 мм);</w:t>
      </w:r>
    </w:p>
    <w:p w14:paraId="22D591F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объем 46,66 л;</w:t>
      </w:r>
    </w:p>
    <w:p w14:paraId="764D07D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мощность и вес в зависимости от модификации;</w:t>
      </w:r>
    </w:p>
    <w:p w14:paraId="0431D66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запуск сжатым воздухом;</w:t>
      </w:r>
    </w:p>
    <w:p w14:paraId="06FA586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возможна установка синхронизатора. Известны модификации:</w:t>
      </w:r>
    </w:p>
    <w:p w14:paraId="4D1D2E7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АМ-39 на базе АМ-38, 1500/1800 л.с., карбюраторный.</w:t>
      </w:r>
    </w:p>
    <w:p w14:paraId="738D8CE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АМ-39А на базе АМ-38Ф, 1500/1800 л.с. (по заданию 1700/1800 л.с.), карбюраторный, с нагнетателем от АМ-38Ф, но с двухскоростной передачей, водо-воздушным интеркулером. Проходил госиспытания в марте 1944 г., в июле — летные испытания.</w:t>
      </w:r>
    </w:p>
    <w:p w14:paraId="1862B6A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АМ-39А-ТК с турбонагнетателями ТК-Б. Испытывался на самолете И-224 в феврале 1944 г.</w:t>
      </w:r>
    </w:p>
    <w:p w14:paraId="1E053A7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АМ-39Б (АМ-39Б-ТК), 1580/1890 л.с., вариант предыдущего типа с двумя турбонагнетателями ТК-ЗООБ и воздухо-воздушным интеркуле</w:t>
      </w:r>
      <w:r w:rsidRPr="007224C3">
        <w:rPr>
          <w:rFonts w:ascii="Times New Roman" w:hAnsi="Times New Roman"/>
          <w:color w:val="000000" w:themeColor="text1"/>
          <w:sz w:val="16"/>
          <w:szCs w:val="16"/>
        </w:rPr>
        <w:softHyphen/>
        <w:t>ром. Испытывался в июне 1944 г. на И-224.</w:t>
      </w:r>
    </w:p>
    <w:p w14:paraId="49A1E53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АМ-39В с одним турбонагнетателем АМТК-1, установленным только на одном блоке двигателя (асимметрично); с другой стороны — вы</w:t>
      </w:r>
      <w:r w:rsidRPr="007224C3">
        <w:rPr>
          <w:rFonts w:ascii="Times New Roman" w:hAnsi="Times New Roman"/>
          <w:color w:val="000000" w:themeColor="text1"/>
          <w:sz w:val="16"/>
          <w:szCs w:val="16"/>
        </w:rPr>
        <w:softHyphen/>
        <w:t>хлопные патрубки.</w:t>
      </w:r>
    </w:p>
    <w:p w14:paraId="62E348F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Мотор АМ-39 с турбонагнетателем АМТК</w:t>
      </w:r>
    </w:p>
    <w:p w14:paraId="447331B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АМ-39Ф с новым односкоростным ПЦН, форсирован по оборотам и наддуву, мощность 1800/1800 л.с. В ноябре 1944 г. прошел заводские испытания, затем летные на самолете «63».</w:t>
      </w:r>
    </w:p>
    <w:p w14:paraId="1246978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АМ-39Ф — вариант предыдущего с впрыском воды на режиме фор</w:t>
      </w:r>
      <w:r w:rsidRPr="007224C3">
        <w:rPr>
          <w:rFonts w:ascii="Times New Roman" w:hAnsi="Times New Roman"/>
          <w:color w:val="000000" w:themeColor="text1"/>
          <w:sz w:val="16"/>
          <w:szCs w:val="16"/>
        </w:rPr>
        <w:softHyphen/>
        <w:t>сажа.</w:t>
      </w:r>
    </w:p>
    <w:p w14:paraId="3930581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АМ-39ФК с форкамерным зажиганием, 1600/1850 л.с. В начале 1946 г. изготовили два опытных экземпляра и начали заводские испытания. В 1947 г. выпустили еще семь двигателей. На государственные ис</w:t>
      </w:r>
      <w:r w:rsidRPr="007224C3">
        <w:rPr>
          <w:rFonts w:ascii="Times New Roman" w:hAnsi="Times New Roman"/>
          <w:color w:val="000000" w:themeColor="text1"/>
          <w:sz w:val="16"/>
          <w:szCs w:val="16"/>
        </w:rPr>
        <w:softHyphen/>
        <w:t>пытания АМ-39ФК не предъявлялся.</w:t>
      </w:r>
    </w:p>
    <w:p w14:paraId="0EB0EEE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АМ-39ФН (ФНВ), форсированный, с непосредственным впрыском, на базе АМ-38Ф. Разрабатывался в ОКБ-300 с середины 1944 г. От</w:t>
      </w:r>
      <w:r w:rsidRPr="007224C3">
        <w:rPr>
          <w:rFonts w:ascii="Times New Roman" w:hAnsi="Times New Roman"/>
          <w:color w:val="000000" w:themeColor="text1"/>
          <w:sz w:val="16"/>
          <w:szCs w:val="16"/>
        </w:rPr>
        <w:softHyphen/>
        <w:t>личался улучшенной гидравликой ПЦН, увеличенным диаметром его крыльчатки, увеличенным диаметром клапанов, всасывающими па</w:t>
      </w:r>
      <w:r w:rsidRPr="007224C3">
        <w:rPr>
          <w:rFonts w:ascii="Times New Roman" w:hAnsi="Times New Roman"/>
          <w:color w:val="000000" w:themeColor="text1"/>
          <w:sz w:val="16"/>
          <w:szCs w:val="16"/>
        </w:rPr>
        <w:softHyphen/>
        <w:t>трубками по типу мотора Аллисон У-1710. Мощность первоначально 1600/1850 л.с., затем 1730/2130 л.с., вес 970 кг. Испытания велись с августа 1944 г., официальные заводские испытания проходили в январе 1945 г. Летом того же года моторы испытывались на бомбардиров</w:t>
      </w:r>
      <w:r w:rsidRPr="007224C3">
        <w:rPr>
          <w:rFonts w:ascii="Times New Roman" w:hAnsi="Times New Roman"/>
          <w:color w:val="000000" w:themeColor="text1"/>
          <w:sz w:val="16"/>
          <w:szCs w:val="16"/>
        </w:rPr>
        <w:softHyphen/>
        <w:t>щике Ту-2. Работы прекращены в сентябре 1945 г. по распоряжению Микулина в связи с успехом модификации АМ-39ФН2. - АМ-39ФН2, аналог АМ-39ФН на базе АМ-42, 1600/1850 л.с., вес 1080 кг. В 1-м квартале 1946 г. изготовлены пять экземпляров, на которых вели госиспытания.</w:t>
      </w:r>
    </w:p>
    <w:p w14:paraId="34C91D3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Двигатели семейства АМ-39 устанавливали на опытных самолетах «68» (Ту-4), И-231 (2Д, МиГ-ЗДД), ИТП (М-2), ВП(К), ТИС-МА, И-224 (МиГ-7), на малой серии бомбардировщиков Ту-10. Их применение преду</w:t>
      </w:r>
      <w:r w:rsidRPr="007224C3">
        <w:rPr>
          <w:rFonts w:ascii="Times New Roman" w:hAnsi="Times New Roman"/>
          <w:color w:val="000000" w:themeColor="text1"/>
          <w:sz w:val="16"/>
          <w:szCs w:val="16"/>
        </w:rPr>
        <w:softHyphen/>
        <w:t>сматривалось проектом самолета СПС (11852).</w:t>
      </w:r>
    </w:p>
    <w:p w14:paraId="2273451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2D4E7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 апреле 1944 г. десять АМ-39 изготовили на заводе № 45, в мае- июне того же года 22 экземпляра переделали на опытном заводе № 300 из АМ-38Ф с использованием узлов, изготовленных заводом № 45. Но в эту партию входили моторы разных модификаций. Большая часть представляло собой АМ-39 максимальной мощностью 1800 л.с., однако, несколько штук относились к типу АМ-39А с нагнетателем от АМ-38Ф, но с двухскоростной передачей. Интеркулер оставался водо-воздушным. АМ-39А проходил государственные испытания в марте 1944 г., а в июле - летные испытания. По крайней мере один мотор был типа АМ-39А-ТК с турбонагнетателями </w:t>
      </w:r>
      <w:r w:rsidRPr="007224C3">
        <w:rPr>
          <w:rFonts w:ascii="Times New Roman" w:hAnsi="Times New Roman"/>
          <w:color w:val="000000" w:themeColor="text1"/>
          <w:sz w:val="16"/>
          <w:szCs w:val="16"/>
        </w:rPr>
        <w:lastRenderedPageBreak/>
        <w:t>ТК-Б. Он испытывался на самолете И-224 в феврале 1944 г. Существовал и АМ-39Б (АМ- 39Б-ТК), 1580/1890 л.с., вариант предыдущего типа с двумя турбонагнетателями ТК-300Б и воздухо- воздушным интеркулером. Мощность равнялась 1580/1890 л.с. Этот мотор испытывался в июне 1944 г. на опытном высотном перехватчике И-224. Третьей модификацией с турбонаддувом являлся АМ-39В с одним турбонагнетателем АМТК-1, установленным на одном блоке двигателя (асимметрично); с другой стороны монтировались обычные выхлопные патрубки.</w:t>
      </w:r>
    </w:p>
    <w:p w14:paraId="54288C1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АМ-39Ф оснащался новым од- носкоростным ПЦН, был форсирован по оборотам и наддуву, расчетная номинальная мощность у него должна была дойти до 1800 л.с. В ноябре 1944 г. мотор прошел заводские испытания, а затем летные на самолете "63". Интеркулер на нем не устанавливался, а чтобы справиться с перегревом на форсированных режимах, предусмотрели впрыск воды.</w:t>
      </w:r>
    </w:p>
    <w:p w14:paraId="32932C2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АМ-39ФК экспериментировали с форкамерным зажиганием. Получили максимальную мощность 1850 л.с. В начале 1946 г. изготовили два опытных экземпляра и начали заводские испытания, в следующем году выпустили еще семь двигателей. Но на государственные испытания АМ-39ФК не предъявлялся.</w:t>
      </w:r>
    </w:p>
    <w:p w14:paraId="531230F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АМ-39ФН (он же ФНВ) - форсированный вариант с непосредственным впрыском, разрабатывался в ОКБ-ЗОО с середины 1944 г. Он отличался улучшенной гидравликой ПЦН, увеличенным диаметром его крыльчатки, увеличенным диаметром клапанов, всасывающими патрубками по типу американского мотора Аллисон V-1710. Испытания велись с августа 1944 г., официальные заводские испытания проходили в январе 1945 г. Максимальная мощность сначала была 1850 л.с., позже ее довели до 2130 л.с. Летом 1945 г. моторы испытывались на бомбардировщике Ту-2. Работы по АМ-39ФН были прекращены в сентябре 1945 г. по распоряжению Микулина в связи с успехом следующей модификации, АМ-39ФН2. Это был аналог АМ-39ФН на базе нового двигателя для штурмовиков, АМ-42. Он имел максимальную мощность 1850 л.с. и вес 1080 кг. В 1-м квартале 1946 г. изготовили пять экземпляров, на которых вели государственные испытания.</w:t>
      </w:r>
    </w:p>
    <w:p w14:paraId="7BEDF25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Позже АМ-39ФН2 переименовали в АМ-40. В 1946-48 годах заводом No 24 были изготовлены 34 экземпляра. Эти моторы испытывались в 1947 г. на одной из модификаций Ту-2.</w:t>
      </w:r>
    </w:p>
    <w:p w14:paraId="7276AF5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Ранее уже говорилось, что Микулин работал над двигателем с удлиненным валом и вынесенным редуктором на базе АМ-37. Хотя задание выдали еще в 1940 г. фактически проектирование начали только в 1942 г. и вскоре за основу вместо АМ-37 взяли АМ-39. Максимальная мощность была меньше, чем даже у ранних АМ-39, и ограничивалась 1600 л.с. Возможно, это ограничение шло от трансмиссии, которую исходно делали под АМ-37. Мотор назывался АМ-39УВ, а позже АМ-41. Изготовили три опытных экземпляра. Доводку одного из них закончили к лету 1943 г. и поставили его на истребитель Гу-1, который в ходе летных испытаний потерпел катастрофу 14 июня того ственных испытаний он не проходил (11934).</w:t>
      </w:r>
    </w:p>
    <w:p w14:paraId="4E30D42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95EE5E5" w14:textId="77777777" w:rsidR="007874A2" w:rsidRPr="007224C3" w:rsidRDefault="007874A2" w:rsidP="007224C3">
      <w:pPr>
        <w:spacing w:after="0" w:line="240" w:lineRule="auto"/>
        <w:jc w:val="both"/>
        <w:rPr>
          <w:rStyle w:val="841"/>
          <w:rFonts w:ascii="Times New Roman" w:hAnsi="Times New Roman" w:cs="Times New Roman"/>
          <w:color w:val="0070C0"/>
          <w:sz w:val="16"/>
          <w:szCs w:val="16"/>
        </w:rPr>
      </w:pPr>
      <w:r w:rsidRPr="007224C3">
        <w:rPr>
          <w:rStyle w:val="841"/>
          <w:rFonts w:ascii="Times New Roman" w:hAnsi="Times New Roman" w:cs="Times New Roman"/>
          <w:color w:val="0070C0"/>
          <w:sz w:val="16"/>
          <w:szCs w:val="16"/>
        </w:rPr>
        <w:t>В апреле 1944 года Михаил Романович Флисский сменил Александра Александровича Микулина. Тогда возникли серьезные проблемы с доводкой запускаемого в серию АМ-42, и по предложению наркома авиапромышленно</w:t>
      </w:r>
      <w:r w:rsidRPr="007224C3">
        <w:rPr>
          <w:rStyle w:val="841"/>
          <w:rFonts w:ascii="Times New Roman" w:hAnsi="Times New Roman" w:cs="Times New Roman"/>
          <w:color w:val="0070C0"/>
          <w:sz w:val="16"/>
          <w:szCs w:val="16"/>
        </w:rPr>
        <w:softHyphen/>
        <w:t>сти А.И. Шахурина, И.В. Сталин постановле</w:t>
      </w:r>
      <w:r w:rsidRPr="007224C3">
        <w:rPr>
          <w:rStyle w:val="841"/>
          <w:rFonts w:ascii="Times New Roman" w:hAnsi="Times New Roman" w:cs="Times New Roman"/>
          <w:color w:val="0070C0"/>
          <w:sz w:val="16"/>
          <w:szCs w:val="16"/>
        </w:rPr>
        <w:softHyphen/>
        <w:t>нием ГОКО № 5525с от 3 апреля освободил Александра Александровича от обязанно</w:t>
      </w:r>
      <w:r w:rsidRPr="007224C3">
        <w:rPr>
          <w:rStyle w:val="841"/>
          <w:rFonts w:ascii="Times New Roman" w:hAnsi="Times New Roman" w:cs="Times New Roman"/>
          <w:color w:val="0070C0"/>
          <w:sz w:val="16"/>
          <w:szCs w:val="16"/>
        </w:rPr>
        <w:softHyphen/>
        <w:t>стей Главного конструктора завода № 24 в Куйбышеве (Самара), при этом он оставался Главным конструктором московских заводов №№ 45 и 300. Помимо доводки АМ-42, на основе этого мотора под руководством М.Р. Флисского был разработан ряд новых двига</w:t>
      </w:r>
      <w:r w:rsidRPr="007224C3">
        <w:rPr>
          <w:rStyle w:val="841"/>
          <w:rFonts w:ascii="Times New Roman" w:hAnsi="Times New Roman" w:cs="Times New Roman"/>
          <w:color w:val="0070C0"/>
          <w:sz w:val="16"/>
          <w:szCs w:val="16"/>
        </w:rPr>
        <w:softHyphen/>
        <w:t>телей и их модификаций: М-43, М-44, М-45, М- 46 и М-47, которые во многих документах обозначались еще «МФ», что вероятнее всего значит «мотор Флисского» (19912).</w:t>
      </w:r>
    </w:p>
    <w:p w14:paraId="38A63D63" w14:textId="77777777" w:rsidR="007874A2" w:rsidRPr="007224C3" w:rsidRDefault="007874A2" w:rsidP="007224C3">
      <w:pPr>
        <w:spacing w:after="0" w:line="240" w:lineRule="auto"/>
        <w:jc w:val="both"/>
        <w:rPr>
          <w:rFonts w:ascii="Times New Roman" w:hAnsi="Times New Roman"/>
          <w:color w:val="0070C0"/>
          <w:sz w:val="16"/>
          <w:szCs w:val="16"/>
        </w:rPr>
      </w:pPr>
    </w:p>
    <w:p w14:paraId="42479D4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апреле 1944 г. модернизированный М-106ПВ испытывал</w:t>
      </w:r>
      <w:r w:rsidRPr="007224C3">
        <w:rPr>
          <w:rFonts w:ascii="Times New Roman" w:hAnsi="Times New Roman"/>
          <w:color w:val="000000" w:themeColor="text1"/>
          <w:sz w:val="16"/>
          <w:szCs w:val="16"/>
        </w:rPr>
        <w:softHyphen/>
        <w:t>ся на Як-9ПД. Было выпущено более 50 модерни</w:t>
      </w:r>
      <w:r w:rsidRPr="007224C3">
        <w:rPr>
          <w:rFonts w:ascii="Times New Roman" w:hAnsi="Times New Roman"/>
          <w:color w:val="000000" w:themeColor="text1"/>
          <w:sz w:val="16"/>
          <w:szCs w:val="16"/>
        </w:rPr>
        <w:softHyphen/>
        <w:t>зированных М-106ПВ. На этом типе двигателя устанавливалась об</w:t>
      </w:r>
      <w:r w:rsidRPr="007224C3">
        <w:rPr>
          <w:rFonts w:ascii="Times New Roman" w:hAnsi="Times New Roman"/>
          <w:color w:val="000000" w:themeColor="text1"/>
          <w:sz w:val="16"/>
          <w:szCs w:val="16"/>
        </w:rPr>
        <w:softHyphen/>
        <w:t>легченная пушка ША-20М (20 мм) (11852).</w:t>
      </w:r>
    </w:p>
    <w:p w14:paraId="5069A71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03B6E8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апреля 1944 г. на заводе № 45 (ГС Завод № 45 НКАП, МАП, ММЗ, МНПО «Салют», п/я 229, Г-4988, ГУП ФНПЦ, ФГУП «Московское машиностроительное производственное предприятие (ММПП) «Салют» /г. Москва Мейеровский пр., 14 (1942 г.)/ /105118  г. Москва пр. Будённого, 16 тел. 369-80-01/) работает В.М. Яковлев, назначенный зам. гл. конструктора завода № 500 по внедрению в производство мотора АЧ-30Б.</w:t>
      </w:r>
    </w:p>
    <w:p w14:paraId="030BF6B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приказу № 261сс от 21.06.1945 г. при заводе организовано ОКБ для работ по авиационным дизелям.</w:t>
      </w:r>
    </w:p>
    <w:p w14:paraId="7D05148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Разрабатывались дизели М-51 и М-52 для дальних бомбардировщиков.</w:t>
      </w:r>
    </w:p>
    <w:p w14:paraId="46F2BC1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07.1946 г. ОКБ переведено на завод № 500 МАП (Тушино) в 1946 г. и влито в ОКБ-500 МАП. Часть мощностей и коллектива ОКБ переданы для формирования филиала завода № 165 ив распоряжение гл. конструктора В.Я. Климова.</w:t>
      </w:r>
    </w:p>
    <w:p w14:paraId="69272FB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конструктор (06.1945-07.1946 г.)- В.М. Яковлев (11982).</w:t>
      </w:r>
    </w:p>
    <w:p w14:paraId="1F5DC25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AF5550D" w14:textId="77777777" w:rsidR="009E6775" w:rsidRPr="007224C3" w:rsidRDefault="009E677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апреля 1944 г. производство карбюраторных моторов М-82, нако</w:t>
      </w:r>
      <w:r w:rsidRPr="007224C3">
        <w:rPr>
          <w:rFonts w:ascii="Times New Roman" w:hAnsi="Times New Roman"/>
          <w:color w:val="000000" w:themeColor="text1"/>
          <w:sz w:val="16"/>
          <w:szCs w:val="16"/>
        </w:rPr>
        <w:softHyphen/>
        <w:t>нец-то, прекратили, и завод полностью перешел на выпуск М-82ФН (15929).</w:t>
      </w:r>
    </w:p>
    <w:p w14:paraId="60CCBE92" w14:textId="77777777" w:rsidR="009E6775" w:rsidRPr="007224C3" w:rsidRDefault="009E6775" w:rsidP="007224C3">
      <w:pPr>
        <w:spacing w:after="0" w:line="240" w:lineRule="auto"/>
        <w:jc w:val="both"/>
        <w:rPr>
          <w:rFonts w:ascii="Times New Roman" w:hAnsi="Times New Roman"/>
          <w:color w:val="000000" w:themeColor="text1"/>
          <w:sz w:val="16"/>
          <w:szCs w:val="16"/>
        </w:rPr>
      </w:pPr>
    </w:p>
    <w:p w14:paraId="29B7C1C7" w14:textId="77777777" w:rsidR="009E6775" w:rsidRPr="007224C3" w:rsidRDefault="009E6775" w:rsidP="007224C3">
      <w:pPr>
        <w:shd w:val="clear" w:color="auto" w:fill="FFFFFF"/>
        <w:spacing w:after="0" w:line="240" w:lineRule="auto"/>
        <w:jc w:val="both"/>
        <w:rPr>
          <w:rFonts w:ascii="Times New Roman" w:eastAsia="Times New Roman" w:hAnsi="Times New Roman"/>
          <w:color w:val="000000" w:themeColor="text1"/>
          <w:sz w:val="16"/>
          <w:szCs w:val="16"/>
        </w:rPr>
      </w:pPr>
      <w:r w:rsidRPr="007224C3">
        <w:rPr>
          <w:rFonts w:ascii="Times New Roman" w:eastAsia="Times New Roman" w:hAnsi="Times New Roman"/>
          <w:color w:val="000000" w:themeColor="text1"/>
          <w:sz w:val="16"/>
          <w:szCs w:val="16"/>
        </w:rPr>
        <w:t>В апреле 1944 г. был изготовлен первый опытный образец пушки Н-37, а в августе успешно завершились государственные наземные испытания пушки и нового патрона.</w:t>
      </w:r>
    </w:p>
    <w:p w14:paraId="0991C7DD" w14:textId="77777777" w:rsidR="009E6775" w:rsidRPr="007224C3" w:rsidRDefault="009E6775" w:rsidP="007224C3">
      <w:pPr>
        <w:shd w:val="clear" w:color="auto" w:fill="FFFFFF"/>
        <w:spacing w:after="0" w:line="240" w:lineRule="auto"/>
        <w:jc w:val="both"/>
        <w:rPr>
          <w:rFonts w:ascii="Times New Roman" w:eastAsia="Times New Roman" w:hAnsi="Times New Roman"/>
          <w:color w:val="000000" w:themeColor="text1"/>
          <w:sz w:val="16"/>
          <w:szCs w:val="16"/>
        </w:rPr>
      </w:pPr>
      <w:r w:rsidRPr="007224C3">
        <w:rPr>
          <w:rFonts w:ascii="Times New Roman" w:eastAsia="Times New Roman" w:hAnsi="Times New Roman"/>
          <w:color w:val="000000" w:themeColor="text1"/>
          <w:sz w:val="16"/>
          <w:szCs w:val="16"/>
        </w:rPr>
        <w:t>Работы по созданию легкой крупнокалиберной пушки Н-37 под облегченный патрон НС-37 велись одновременно с разработкой пушки НС-23С. Разработку нового патрона проводил Грибков П.П., конструкторами пушки и звена были  Неменов В.Я. и Лунин С.Г.</w:t>
      </w:r>
    </w:p>
    <w:p w14:paraId="38AD1139" w14:textId="77777777" w:rsidR="009E6775" w:rsidRPr="007224C3" w:rsidRDefault="009E6775" w:rsidP="007224C3">
      <w:pPr>
        <w:shd w:val="clear" w:color="auto" w:fill="FFFFFF"/>
        <w:spacing w:after="0" w:line="240" w:lineRule="auto"/>
        <w:jc w:val="both"/>
        <w:rPr>
          <w:rFonts w:ascii="Times New Roman" w:eastAsia="Times New Roman" w:hAnsi="Times New Roman"/>
          <w:color w:val="000000" w:themeColor="text1"/>
          <w:sz w:val="16"/>
          <w:szCs w:val="16"/>
        </w:rPr>
      </w:pPr>
      <w:r w:rsidRPr="007224C3">
        <w:rPr>
          <w:rFonts w:ascii="Times New Roman" w:eastAsia="Times New Roman" w:hAnsi="Times New Roman"/>
          <w:color w:val="000000" w:themeColor="text1"/>
          <w:sz w:val="16"/>
          <w:szCs w:val="16"/>
        </w:rPr>
        <w:t>Новая пушка Н-37 выгодно отличалась от НС-37. Масса патрона и масса пушки снизились в полтора раза, а ее скорострельность возросла вдвое. Значительно снизилось силовое воздействие выстрела на самолет.</w:t>
      </w:r>
    </w:p>
    <w:p w14:paraId="627A8A6D" w14:textId="77777777" w:rsidR="009E6775" w:rsidRPr="007224C3" w:rsidRDefault="009E6775" w:rsidP="007224C3">
      <w:pPr>
        <w:shd w:val="clear" w:color="auto" w:fill="FFFFFF"/>
        <w:spacing w:after="0" w:line="240" w:lineRule="auto"/>
        <w:jc w:val="both"/>
        <w:rPr>
          <w:rFonts w:ascii="Times New Roman" w:eastAsia="Times New Roman" w:hAnsi="Times New Roman"/>
          <w:color w:val="000000" w:themeColor="text1"/>
          <w:sz w:val="16"/>
          <w:szCs w:val="16"/>
        </w:rPr>
      </w:pPr>
      <w:r w:rsidRPr="007224C3">
        <w:rPr>
          <w:rFonts w:ascii="Times New Roman" w:eastAsia="Times New Roman" w:hAnsi="Times New Roman"/>
          <w:color w:val="000000" w:themeColor="text1"/>
          <w:sz w:val="16"/>
          <w:szCs w:val="16"/>
        </w:rPr>
        <w:t>При разработке этой пушки был учтен опыт конструирования и технологической отработки пушки НС-37. Запуск ее в производство планировался на том же машиностроительном заводе, где ранее изготавливалась пушка НС-37. Поэтому конструирование деталей, механизмов и всей пушки в целом проводилось с учетом уже известного станочного парка завода, используемых там технологических приемов. Это позволило сократить время освоения новой пушки в серийном производстве.</w:t>
      </w:r>
    </w:p>
    <w:p w14:paraId="121D65D2" w14:textId="77777777" w:rsidR="009E6775" w:rsidRPr="007224C3" w:rsidRDefault="009E6775" w:rsidP="007224C3">
      <w:pPr>
        <w:shd w:val="clear" w:color="auto" w:fill="FFFFFF"/>
        <w:spacing w:after="0" w:line="240" w:lineRule="auto"/>
        <w:jc w:val="both"/>
        <w:rPr>
          <w:rFonts w:ascii="Times New Roman" w:eastAsia="Times New Roman" w:hAnsi="Times New Roman"/>
          <w:color w:val="000000" w:themeColor="text1"/>
          <w:sz w:val="16"/>
          <w:szCs w:val="16"/>
        </w:rPr>
      </w:pPr>
      <w:r w:rsidRPr="007224C3">
        <w:rPr>
          <w:rFonts w:ascii="Times New Roman" w:eastAsia="Times New Roman" w:hAnsi="Times New Roman"/>
          <w:color w:val="000000" w:themeColor="text1"/>
          <w:sz w:val="16"/>
          <w:szCs w:val="16"/>
        </w:rPr>
        <w:t>Летные испытания и стрельбы из пушки Н-37 проводились на самолете Як-9. По инициативе Наркома вооружения Д.Ф. Устинова еще до завершения летных испытаний было решено начать серийное производство пушки Н-37.</w:t>
      </w:r>
    </w:p>
    <w:p w14:paraId="0CD7E430" w14:textId="77777777" w:rsidR="009E6775" w:rsidRPr="007224C3" w:rsidRDefault="009E6775" w:rsidP="007224C3">
      <w:pPr>
        <w:shd w:val="clear" w:color="auto" w:fill="FFFFFF"/>
        <w:spacing w:after="0" w:line="240" w:lineRule="auto"/>
        <w:jc w:val="both"/>
        <w:rPr>
          <w:rFonts w:ascii="Times New Roman" w:eastAsia="Times New Roman" w:hAnsi="Times New Roman"/>
          <w:color w:val="000000" w:themeColor="text1"/>
          <w:sz w:val="16"/>
          <w:szCs w:val="16"/>
        </w:rPr>
      </w:pPr>
      <w:r w:rsidRPr="007224C3">
        <w:rPr>
          <w:rFonts w:ascii="Times New Roman" w:eastAsia="Times New Roman" w:hAnsi="Times New Roman"/>
          <w:color w:val="000000" w:themeColor="text1"/>
          <w:sz w:val="16"/>
          <w:szCs w:val="16"/>
        </w:rPr>
        <w:t>После войны пушка Н-37 успешно эксплуатировалась на реактивных самолетах  МиГ-9, МиГ-15, МиГ-15бис (1пушка Н-37 и 2 пушки НР-23. прошли боевую проверку во время войны в Корее), МиГ-17 и Як-25 (15979).</w:t>
      </w:r>
    </w:p>
    <w:p w14:paraId="5159B012" w14:textId="77777777" w:rsidR="009E6775" w:rsidRPr="007224C3" w:rsidRDefault="009E6775" w:rsidP="007224C3">
      <w:pPr>
        <w:shd w:val="clear" w:color="auto" w:fill="FFFFFF"/>
        <w:spacing w:after="0" w:line="240" w:lineRule="auto"/>
        <w:jc w:val="both"/>
        <w:rPr>
          <w:rFonts w:ascii="Times New Roman" w:eastAsia="Times New Roman" w:hAnsi="Times New Roman"/>
          <w:color w:val="000000" w:themeColor="text1"/>
          <w:sz w:val="16"/>
          <w:szCs w:val="16"/>
        </w:rPr>
      </w:pPr>
    </w:p>
    <w:p w14:paraId="78C489F0" w14:textId="77777777" w:rsidR="002F70F0" w:rsidRPr="007224C3" w:rsidRDefault="002F70F0" w:rsidP="007224C3">
      <w:pPr>
        <w:pStyle w:val="rtejustify"/>
        <w:shd w:val="clear" w:color="auto" w:fill="FFFFFF"/>
        <w:spacing w:before="0" w:after="0"/>
        <w:rPr>
          <w:color w:val="000000" w:themeColor="text1"/>
          <w:sz w:val="16"/>
          <w:szCs w:val="16"/>
        </w:rPr>
      </w:pPr>
      <w:r w:rsidRPr="007224C3">
        <w:rPr>
          <w:color w:val="000000" w:themeColor="text1"/>
          <w:sz w:val="16"/>
          <w:szCs w:val="16"/>
        </w:rPr>
        <w:t>В апреле 1944 г. был изготовлен первый экземпляр пушки 120-П, а в августе 1944 г. были завершены наземные государственные испытания патрона и пушки, после чего пушка получила наименование Н-37. После завершения наземных испытаний, не дожидаясь завершения лётных испытаний, по инициативе наркома Д. Ф. Устинова было решено начать серийное производство пушки Н-37 на заводе № 74 (19170).</w:t>
      </w:r>
    </w:p>
    <w:p w14:paraId="26ECAF81" w14:textId="77777777" w:rsidR="002F70F0" w:rsidRPr="007224C3" w:rsidRDefault="002F70F0" w:rsidP="007224C3">
      <w:pPr>
        <w:pStyle w:val="rtejustify"/>
        <w:shd w:val="clear" w:color="auto" w:fill="FFFFFF"/>
        <w:spacing w:before="0" w:after="0"/>
        <w:rPr>
          <w:color w:val="000000" w:themeColor="text1"/>
          <w:sz w:val="16"/>
          <w:szCs w:val="16"/>
        </w:rPr>
      </w:pPr>
    </w:p>
    <w:p w14:paraId="6115B051" w14:textId="77777777" w:rsidR="002F70F0" w:rsidRPr="007224C3" w:rsidRDefault="002F70F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апреле 1944 г. Люльку переводят в НИИ-1 и назначают начальником отдела № 21 по турборе</w:t>
      </w:r>
      <w:r w:rsidRPr="007224C3">
        <w:rPr>
          <w:rFonts w:ascii="Times New Roman" w:hAnsi="Times New Roman"/>
          <w:color w:val="000000" w:themeColor="text1"/>
          <w:sz w:val="16"/>
          <w:szCs w:val="16"/>
        </w:rPr>
        <w:softHyphen/>
        <w:t>активным двигателям. Вместе с Люлькой в НИИ-1 перешла и группа его конструкторов. Уже в авгу</w:t>
      </w:r>
      <w:r w:rsidRPr="007224C3">
        <w:rPr>
          <w:rFonts w:ascii="Times New Roman" w:hAnsi="Times New Roman"/>
          <w:color w:val="000000" w:themeColor="text1"/>
          <w:sz w:val="16"/>
          <w:szCs w:val="16"/>
        </w:rPr>
        <w:softHyphen/>
        <w:t>сте 1944 г. первый комплект узлов и агрегатов двигателя С-18 был изготовлен, на заводе № 165 произведена сборка, а в начале сентября 1944 г. двигатель установили на стенд в НИИ-1. Дово</w:t>
      </w:r>
      <w:r w:rsidRPr="007224C3">
        <w:rPr>
          <w:rFonts w:ascii="Times New Roman" w:hAnsi="Times New Roman"/>
          <w:color w:val="000000" w:themeColor="text1"/>
          <w:sz w:val="16"/>
          <w:szCs w:val="16"/>
        </w:rPr>
        <w:softHyphen/>
        <w:t>дочные работы продолжались до конца ноября 1945 г. и завершились успешным испытанием на ресурс 20 часов. Двигатель подтвердил парамет</w:t>
      </w:r>
      <w:r w:rsidRPr="007224C3">
        <w:rPr>
          <w:rFonts w:ascii="Times New Roman" w:hAnsi="Times New Roman"/>
          <w:color w:val="000000" w:themeColor="text1"/>
          <w:sz w:val="16"/>
          <w:szCs w:val="16"/>
        </w:rPr>
        <w:softHyphen/>
        <w:t>ры, заложенные в расчётах (19701).</w:t>
      </w:r>
    </w:p>
    <w:p w14:paraId="181A0612" w14:textId="77777777" w:rsidR="002F70F0" w:rsidRPr="007224C3" w:rsidRDefault="002F70F0" w:rsidP="007224C3">
      <w:pPr>
        <w:spacing w:after="0" w:line="240" w:lineRule="auto"/>
        <w:jc w:val="both"/>
        <w:rPr>
          <w:rFonts w:ascii="Times New Roman" w:hAnsi="Times New Roman"/>
          <w:color w:val="000000" w:themeColor="text1"/>
          <w:sz w:val="16"/>
          <w:szCs w:val="16"/>
        </w:rPr>
      </w:pPr>
    </w:p>
    <w:p w14:paraId="3967909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апреле 1944 РНИИ начал разработку ракеты, заказанной в 1943 ФИАН для подъема приборов на высоту до 40 км, которая потом стала 210 (1232).</w:t>
      </w:r>
    </w:p>
    <w:p w14:paraId="5521F51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C3B10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апреле 1944 г. армии был передан снаряд с кучностью, почти в два раза лучшей, чем кучность снаряда M-15. Улучшение было достигнуто без ужесточения требований к ракетному заряду и без какого-либо его изменения, только за счет введения в конструкцию двигателя 12 косорасположенных периферийных отверстий, обеспечивавших проворот снаряда на траектории и тем самым резко уменьшавших отрицательное влияние на кучность эксцентриситета снаряда. Этот снаряд стал называться М-13УК (улучшенной кучности) (11209).</w:t>
      </w:r>
    </w:p>
    <w:p w14:paraId="786BD65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C0B0EF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апреле 1944 г.поступил на вооружение снаряд М-31УК. С целью повышения кучности этого снаряда несколько позднее его ракетный двигатель был снабжен четырьмя штуцерами с Г-образными отверстиями, обеспечивающими проворот снаряда (11209).</w:t>
      </w:r>
    </w:p>
    <w:p w14:paraId="2F4AE71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7901566"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апреле 1944 сдали на испытания ФАБ-100сч з-да № 460, снаряженную сплавом аммотола при горячей заливке. Бомбили с Ил-4 на 300 км/час с2000 м. Прошли несмотря на некоторые недостатки и с 1944 были в серии (7453, 275).</w:t>
      </w:r>
    </w:p>
    <w:p w14:paraId="1D91E52A"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1114072"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апреле 1944 на софринском КИАП провели контрольные испытания ФОТАБ-50-35 выпусков 1941-44 с применением более точных измерительных приборов и выяснили, что максимальная светосила достиганется через 0.3 сек и составляет 700 млн. свечей, хотя ТУ требовали только 250 (7453, 577).</w:t>
      </w:r>
    </w:p>
    <w:p w14:paraId="0DE21422"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52B111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 апреле 1944 г. на софринском КИАП провели контрольные испытания авиабомб ФОТАБ-50-35 выпусков 1941-1944 гг. с применением более точных измерительных приборов. В результате выяснилось, что светотехнические характеристики серийных боеприпасов соответствуют требованиям ВВС, своего максимума вспышка </w:t>
      </w:r>
      <w:r w:rsidRPr="007224C3">
        <w:rPr>
          <w:rFonts w:ascii="Times New Roman" w:hAnsi="Times New Roman"/>
          <w:color w:val="000000" w:themeColor="text1"/>
          <w:sz w:val="16"/>
          <w:szCs w:val="16"/>
        </w:rPr>
        <w:lastRenderedPageBreak/>
        <w:t>достигает через 0,03 с. Но, пожалуй, что самое главное - их максимальная светосила составляла более 700 млн. свечей, что значительно превышало необходимые по техническим условиям 250 млн. свечей (7453).</w:t>
      </w:r>
    </w:p>
    <w:p w14:paraId="503BF2F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E5C29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апреле 1944 года директором завода № 213 был назначен Гоцеридзе М.С. С января 1945 года – директор Кочеров П.П.</w:t>
      </w:r>
    </w:p>
    <w:p w14:paraId="5767FC5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Решением Правительства в мае 1943 года было переведено в Москву манометрическое производство на ныне действующий завод № 133. В августе 1944 года Постановлением Правительства было выделено КБ во главе с конструктором Антиповым Е.Ф. и перебазировано в Москву на территорию завода № 122, а также частично переброшено производство гироскопических приборов.</w:t>
      </w:r>
    </w:p>
    <w:p w14:paraId="4B497B3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целях освобождения промплощадки Мясокомбинату распоряжением СНК от 3 декабря 1945 года за № 1737рс и последующим приказом НКАП от 28 января 1946 года за № 21с, завод № 213 из Энгельса подлежал перебазировке в Саратов на промплощадку бывш. деревообделочного завода № 167 НКАП. В конце 1941 года Мебельный завод № 2 был присоединен к заводу № 292 в качестве его филиала и перешел на изготовление деревянных лыж и винтов для самолетов. В 1942 году на эту промплощадку был перебазирован завод № 167, изготовлявший деревянные винты, лыжи и прочие деревянные детали для самолетов.</w:t>
      </w:r>
    </w:p>
    <w:p w14:paraId="5D09ABE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 213 должен был специализироваться на выпуске авиационных приборов, согласно проектного задания, гироскопических и манометрических приборов.</w:t>
      </w:r>
    </w:p>
    <w:p w14:paraId="57138C9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Постановлением СМ от 29 мая 1951 года № 1337-379сс и приказом МАП за № 935сс от 4 сентября 1951 года филиал завода № 213, расположенный на промплощадке Мясокомбината в Энгельсе организован новый завод № 878.</w:t>
      </w:r>
    </w:p>
    <w:p w14:paraId="24062D8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Приказом МАП № 935сс от 4 сентября 1951 года завод № 213 обязывался передать все манометрические изделия, выпускаемые заводом, а на промплощадке завода в Саратове внедрить новые гироскопические изделия и специализироваться по гироскопическим авиационным изделиям. 4 сентября 1951 года директором завода был назначен Смирнов Е.М.</w:t>
      </w:r>
    </w:p>
    <w:p w14:paraId="1C0CE99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 Смирнов</w:t>
      </w:r>
    </w:p>
    <w:p w14:paraId="3668ED2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Адрес: Саратов 5, п/я 176, Б. Садовая, д. 239</w:t>
      </w:r>
    </w:p>
    <w:p w14:paraId="725F326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Производственный профиль – авиаприборостроение, гироскопическое-ракетное (9837).</w:t>
      </w:r>
    </w:p>
    <w:p w14:paraId="491DAAE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333CB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апреля 1944 года завод № 65 приступил к выпуску продукции гильз для авиамоторных заводов.</w:t>
      </w:r>
    </w:p>
    <w:p w14:paraId="52ACDA3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удовлетворения самолетных и моторных заводов трубами, профилями и прутками из алюминиевых сплавов приказом НКАП за № 595 от 5 сентября 1945 года заводу № 65 было поручено организовать производство этих полуфабрикатов.</w:t>
      </w:r>
    </w:p>
    <w:p w14:paraId="4C3BA65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основании приказа МАП № 289 от 13 мая 1946 года завод приступил к восстановлению прокатного производства.</w:t>
      </w:r>
    </w:p>
    <w:p w14:paraId="2768A92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приказу МАП за 3 96 от 21 февраля 1955 года при заводе № 65 организовано ОКБ-65 на которое возложена разработка новых технологических процессов производства деталей и полуфабрикатов и создание новой техники для заводов авиапромышленности. 11 августа 1961 года ЦК КПСС и СМ вынесли постановление за № 728-304 об организации ВНИИ технологии легких и специальных сплавов (ВНИИТЛиСС) с опытным заводом на базе ОКБ-65 и завода № 65.</w:t>
      </w:r>
    </w:p>
    <w:p w14:paraId="752DFF5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Начальником филиала завода № 95 с января по 23 декабря 1942 года был И.В. Селихов 23 декабря 1942 года приказом НКАП за № 134-ок директором филиала завода № 95 был назначен Румянцев Б.Ф.</w:t>
      </w:r>
    </w:p>
    <w:p w14:paraId="00A9224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реорганизации филиала в самостоятельный завод № 65 директором завода № 95 был назначен Румянцев Б.Ф.</w:t>
      </w:r>
    </w:p>
    <w:p w14:paraId="7394622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Приказом НКАП № 254/к от 22 марта 1944 года на должность директора завода назначен Коваль Б.А.</w:t>
      </w:r>
    </w:p>
    <w:p w14:paraId="1E85FE4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Приказом МАП от 17 апреля 1946 года за № 256/к на должность директора завода назначен Виштынецкий И.С. 23 августа 1950 года на должность директора завода назначен Десятков М.Д.</w:t>
      </w:r>
    </w:p>
    <w:p w14:paraId="1579EC0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Приказом МАП от 28 июня 1954 года за № 304/К директором завода назначен Шапошников В.А., а приказом МАП за № 468 от 22 октября 1955 года Шапошников В.А. по совместительству утвержден в должности гл. конструктора ОКБ-65. 19 августа 1959 года на должность директора завода назначен Квасов Ф.И., в должности гл. конструктора ОКБ-65 оставлен Шапошников В.А.</w:t>
      </w:r>
    </w:p>
    <w:p w14:paraId="01616FE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связи с организацией института на базе ОКБ и завода № 65, приказом председателя ГКАТ от 28 октября 1961 года за № 169к на члена Госкомитета Белова М.Ф. возложено исполнение обязанностей начальника ВНИИТЛиСС.</w:t>
      </w:r>
    </w:p>
    <w:p w14:paraId="120F188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Адрес: Москва, Кунцево, ул. Горбунова, д. 20 (9894).</w:t>
      </w:r>
    </w:p>
    <w:p w14:paraId="682CFFE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625F35" w14:textId="77777777" w:rsidR="00AC118E" w:rsidRPr="007224C3" w:rsidRDefault="00AC118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апреле 1944 г. армии был передан снаряд М-13 с кучностью, почти в два раза лучшей, чем кучность снаряда M-13. Улучшение было достигнуто без ужесточения требований к ракетному заряду и без какого-либо его изменения, только за счет введения в конструкцию двигателя 12 косорасположенных периферийных отверстий, обеспечивавших проворот снаряда на траектории и тем самым резко уменьшавших отрицательное влияние на кучность эксцентриситета снаряда. Этот снаряд стал называться М-13УК (улучшенной кучности). В октябре 1944 г. на базе ракетного заряда для М-13 был сдан на вооружение снаряд, у которого дальность стрельбы составила около 11,8 км, т.е. почти в 1,5 раза больше, чем у снаряда М-13. Увеличение дальности было достигнуто за счет применения двух двигателей M-13, работавших одновременно. Снаряд получил название М-13ДД (дальнего действия) (18646).</w:t>
      </w:r>
    </w:p>
    <w:p w14:paraId="55EB300C" w14:textId="77777777" w:rsidR="00AC118E" w:rsidRPr="007224C3" w:rsidRDefault="00AC118E" w:rsidP="007224C3">
      <w:pPr>
        <w:spacing w:after="0" w:line="240" w:lineRule="auto"/>
        <w:jc w:val="both"/>
        <w:rPr>
          <w:rFonts w:ascii="Times New Roman" w:hAnsi="Times New Roman"/>
          <w:color w:val="000000" w:themeColor="text1"/>
          <w:sz w:val="16"/>
          <w:szCs w:val="16"/>
        </w:rPr>
      </w:pPr>
    </w:p>
    <w:p w14:paraId="3A9F1440"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03D8B79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C06E0C3" w14:textId="77777777" w:rsidR="00552857" w:rsidRPr="007224C3" w:rsidRDefault="0055285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Апрель 1944 г. ИЗ СПРАВКИ ИНСТРУКТОРА ОТДЕЛА БОЕПРИПАСОВ ОБКОМА ВКП(б) А.А. ШАРОВА «ПРОМЫШЛЕННОСТЬ БОЕПРИПАСОВ ЗА 1941 - ПЕРВЫЙ КВАРТАЛ 1944 г.»</w:t>
      </w:r>
    </w:p>
    <w:p w14:paraId="1EE95D54" w14:textId="77777777" w:rsidR="00552857" w:rsidRPr="007224C3" w:rsidRDefault="0055285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Промышленность боеприпасов к началу Великой Отечественной войны была представлена в области всего лишь двумя предприятиями - комбинатом № 179, в то время находящимся в стадии строительства, и тарным заводом «Большевик». Весь товарный выпуск оборонной продукции в июне месяце 1941 года составлял лишь 2 млн. рублей и состоял всего из одной номенклатуры боевых изделий - корпусов 76 мм снарядов. По ведомственному подчинению 10 заводов входят в систему Наркомата боеприпасов (№№65, 136, 325, 386, 556, 564, 635, 677, «Большевик» и комбинат № 179), два завода входят в систему НКПС (завод «МетростроЙ» № 2 и литейно-механические мастерские Мичуринского ПРЗ), один в систему НКСтроя - завод № 10 и один в систему НКВД - ИТК № 5 (завод «Чекист»). В результате восстановления и ввода в строй эвакуированных с запада предприятий, освоения мощностей крупнейшего в области комбината № 179, строительства и пуска ряда новых заводов промышленность боеприпасов области уже с начала 1942 года становится крупнейшей, ведущей отраслью промышленности в области и сейчас по товарному выпуску продукции составляет 42% всей промышленной продукции области. К концу 1943 года месячный выпуск товарной продукции промышленности боеприпасов достигает 140 млн. рублей, а номенклатура насчитывает свыше 40 боевых изделий, причем многие виды боеприпасов производятся в совершенно законченном виде. Наращивание мощностей: За годы Отечественной войны промышленность боеприпасов области выросла более чем в 9 раз. Особенно большой рост мощностей относится к периодам IV квартала 1941 года и первого полугодия 1943 года. В этот период в течение 7—8 месяцев все эвакуированные заводы были пущены в эксплуатацию, и уже к июлю 1942 года мощность промышленности боеприпасов достигает 140 млн. рублей против 21 млн. рублей в июле 1941 года. Освоение и улучшение технологии производства боеприпасов, а также ввод в эксплуатацию новых цехов способствовали дальнейшему наращиванию мощностей, и к декабрю 1943 года промышленность боеприпасов достигла мощности в 186,5 млн. рублей, а к концу первого квартала 1944 года - 196,3 млн. рублей в неизменных ценах. Снаряжательный завод № 635 НКБ прибыл в область в ноябре 1941 года, к марту 1942 года его мощность определилась в 3,6 млн. рублей, к июлю 1942 года - 6,0 млн. рублей, а к марту 1944 года уже превысила 10 млн. рублей. Комбинат № 179, выпускающий 60% всех корпусов снарядов и мин по области, в декабре 1941 года имел мощности 45 млн. рублей, а к марту 1944 года достиг 60 млн. рублей. Рост на 25%. Наращивание мощностей в промышленности боеприпасов обеспечило рост валовой продукции. Однако промышленность боеприпасов области имеет еще огромные неиспользованные резервы мощностей. Это видно хотя бы из того, что среднемесячная валовая продукция в первом квартале 1944 года составила только 151 млн. рублей, тогда как достигнутая мощность в марте 1944 года равна 163,3 млн. рублей. Выпуск товарной продукции за период Отечественной войны вырос в 8,2 раза. Рост выпуска основных видов боеприпасов в натуральном выражении. Начиная с третьего квартала 1943 года, обеспечено у себя в области снаряжение 100% своего выпуска 76 мм снарядов, 100% выпуска 122 мм снарядов, 60% выпуска 152 мм снарядов, а по снаряжению 82 и 120 мм мин дополнительно обслуживаются корпусные заводы, расположенные в других областях Союза. Кроме того, на заводах области производится снаряжение целого ряда новых изделий, в частности снаряжение 57 мм ОФ снарядов, ФАБ-50, сухопутных мин ЯМ-5, а также снаряжение химических шашек ЯФУ и ЯМ-21, корпуса которых производятся также на заводах области. Увеличение выпуска продукции боеприпасов сопровождалось значительным ростом производительности труда на заводах боеприпасов. Об этом свидетельствует тот факт, что выпуск продукции промышленности боеприпасов в области уже в первом полугодии 1942 года по сравнению со вторым полугодием 1941 года увеличился в 6,3 раза, при увеличении численности рабочих за этот же период только в 3,4 раза. Во втором полугодии 1941 года выработка на одного рабочего составляла 10,9 тыс. рублей, во втором полугодии 1943 года она достигает 20,5 тыс. рублей, или увеличивается на 88%. В первом квартале 1944 года производительность труда продолжает расти, и в апреле 1944 года выработка на одного рабочего достигает 4,2 тыс. рублей против среднемесячной выработки на одного рабочего во втором полугодии 1943 года 3,4 тыс. рублей, что составляет рост на 20%. Росту производительности труда в промышленности боеприпасов способствовало быстрое освоение новыми рабочими норм выработки. Так, если число рабочих, не выполняющих нормы выработки, во втором полугодии 1941 года составляло 4 376 человек или 38,5% к общей численности рабочих, то во втором полугодии 1943 года не выполняющих норм - 3 210 человек, или 8,4% к общей численности рабочих, а в первом квартале 1944 года снижено до 5,2%, причем в основной своей массе это ученики, недавно пришедшие на заводы. Особенно значительный рост производительности труда имеют такие предприятия, как завод № </w:t>
      </w:r>
      <w:r w:rsidRPr="007224C3">
        <w:rPr>
          <w:rFonts w:ascii="Times New Roman" w:hAnsi="Times New Roman"/>
          <w:color w:val="000000" w:themeColor="text1"/>
          <w:sz w:val="16"/>
          <w:szCs w:val="16"/>
        </w:rPr>
        <w:lastRenderedPageBreak/>
        <w:t>635. Выработка на одного рабочего в первом полугодии 1943 года по этому заводу выросла по сравнению с первым полугодием 1942 года на 156%, а в III квартале 1943 года - на 274%. На комбинате № 179 выработка на одного рабочего во втором полугодии 1943 года достигает 21,1 тыс. рублей, или на 119% выше второго полугодия 1941 года. Ведущее место в промышленности боеприпасов занимает комбинат № 179, выпуск продукции которого составляет около 30% всего выпуска боеприпасов всеми заводами области. В данное время комбинат полностью закончен строительством и работает на полную мощность. В 1943 году за успешное выполнение программы производства боеприпасов комбинат № 179 награжден орденом Ленина. Значительный прирост выпуска продукции дают заводы: №№ 635, 386, 7, «Большевик», ИТК № 5. Однако ряд предприятий боеприпасов работают неудовлетворительно и плохо справляются с выполнением программы. Начиная с января 1944 года, заводы промышленности боеприпасов значительно улучшили свои показатели в деле выполнения установленных им государственных планов. Комбинат № 179 и заводы № 635 и N° 564 в течение двух месяцев подряд удерживали переходящие Красные знамена ЦК ВКП(б); заводы № 677 и № 325 занимают вторые и третьи места во Всесоюзном социалистическом соревновании. Орденом Трудового Красного Знамени награжден снаряжательный завод № 635. В Первомайском рапорте товарищу СТАЛИНУ промышленность боеприпасов области взяла на себя обязательство увеличить выпуск продукции в октябре по сравнению с мартом 1944 года на 36,2 млн. рублей, повысить выработку на одного рабочего на 15%. Следует признать, что обком ВКП(б) многое не доделал по этой отрасли промышленности и не добился до сих пор такого положения, когда установленное задание выполнялось бы всеми заводами и в каждом месяце без исключения. Завод Н° 677 на всем протяжении своей деятельности до января месяца 1944 года систематически срывал выполнение программы. Такое положение на заводе создавалось потому, что Наркомат боеприпасов невнимательно отнесся к нуждам завода, как в момент выделения его из комбината № 179, так и в последующей его работе. Инструментальный и ремонтный цехи создавались в недостроенном и неотапливаемом помещении, рабочей силы и материалов для достройки не выделялось. В первом квартале 1944 года завод выполнял план, однако в апреле и мае месяцах продолжает отставать в силу недостатка в снабжении металлами и еще недостаточно развитой инструментальной базы. Завод № 564 до сих пор не достроен. Несмотря на то, что за последнее время было пять постановлений СНК Союза о достройке завода. Однако строительство его как промышленное, так и жилищное, по существу, законсервировано. Инструментальное и ремонтное производства размещены на площадках валовых цехов, и для расширения возможности не представляется, вследствие чего потребность в инструменте удовлетворяется слабо. Снаряжательные цеха не достроены и снаряжения взрывателей КТМ-1 не производится. Из-за отсутствия жилплощади более 300 рабочих живут в производственных помещениях завода. Вместе с тем в завершении строительства завода кроются еще большие неиспользованные мощности, позволяющие заводу в 1,5 раза увеличить выпуск продукции на том же оборудовании. Завод № 65, начав работать с апреля 1942 года после эвакуации и восстановления, три раза полностью переоснащал производство в связи с изменением номенклатуры изделий. По этой причине завод систематически не выполнял программы. За последнее время завод № 65 улучшил свою работу, однако из-за ряда трудностей в работе плана не выполняет. На заводе имеет место низкий съем с единицы оборудования в силу его изношенности, слабо развитое энергетическое хозяйство (газ и сжатый воздух), не обеспечивающее его потребности, несоответствие между существующим грузопотоком и подъездными железнодорожными путями, ставящее его в постоянную зависимость от комбината № 179, из-за чего систематически срывается нормальное питание полуфабрикатом основных цехов производства. Завод испытывает систематический недостаток в рабочей силе. В мае заводу не хватает до планового количества 1 126 рабочих.</w:t>
      </w:r>
    </w:p>
    <w:p w14:paraId="79AE13BD" w14:textId="77777777" w:rsidR="00552857" w:rsidRPr="007224C3" w:rsidRDefault="0055285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Инструктор отдела промышленности боеприпасов обкома ВКП(б) Шаров</w:t>
      </w:r>
    </w:p>
    <w:p w14:paraId="26382AA7" w14:textId="77777777" w:rsidR="00552857" w:rsidRPr="007224C3" w:rsidRDefault="0055285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ГАНО. Ф. П-4. Оп. 8. Д. 491. Л. 19-30. Незаверенная копия (12160).</w:t>
      </w:r>
    </w:p>
    <w:p w14:paraId="53C91F36" w14:textId="77777777" w:rsidR="00552857" w:rsidRPr="007224C3" w:rsidRDefault="00552857" w:rsidP="007224C3">
      <w:pPr>
        <w:spacing w:after="0" w:line="240" w:lineRule="auto"/>
        <w:jc w:val="both"/>
        <w:rPr>
          <w:rFonts w:ascii="Times New Roman" w:hAnsi="Times New Roman"/>
          <w:color w:val="000000" w:themeColor="text1"/>
          <w:sz w:val="16"/>
          <w:szCs w:val="16"/>
        </w:rPr>
      </w:pPr>
    </w:p>
    <w:p w14:paraId="65BF2C96" w14:textId="77777777" w:rsidR="00697996" w:rsidRPr="007224C3" w:rsidRDefault="00697996" w:rsidP="007224C3">
      <w:pPr>
        <w:pStyle w:val="ae"/>
        <w:shd w:val="clear" w:color="auto" w:fill="FFFFFF"/>
        <w:spacing w:before="0" w:after="0"/>
        <w:jc w:val="both"/>
        <w:rPr>
          <w:color w:val="000000" w:themeColor="text1"/>
          <w:sz w:val="16"/>
          <w:szCs w:val="16"/>
        </w:rPr>
      </w:pPr>
      <w:r w:rsidRPr="007224C3">
        <w:rPr>
          <w:color w:val="000000" w:themeColor="text1"/>
          <w:sz w:val="16"/>
          <w:szCs w:val="16"/>
        </w:rPr>
        <w:t>В апреле 1944 года на ЧКЗ продолжалась реорганизация производства. На конвейер встала ещё одна машина — ИСУ-122. Имелись проблемы с подачей деталей цехом МХ-3, критичной была ситуация с катками, траками, кривошипами и некоторыми другими деталями. Попытка перейти на литой трак окончилась неудачей, он не выдержал испытаний. Ощущался острый недостаток в людях, особенно в механических и сборочных цехах.</w:t>
      </w:r>
    </w:p>
    <w:p w14:paraId="721E6BC1" w14:textId="77777777" w:rsidR="00697996" w:rsidRPr="007224C3" w:rsidRDefault="00697996" w:rsidP="007224C3">
      <w:pPr>
        <w:pStyle w:val="ae"/>
        <w:shd w:val="clear" w:color="auto" w:fill="FFFFFF"/>
        <w:spacing w:before="0" w:after="0"/>
        <w:jc w:val="both"/>
        <w:rPr>
          <w:color w:val="000000" w:themeColor="text1"/>
          <w:sz w:val="16"/>
          <w:szCs w:val="16"/>
        </w:rPr>
      </w:pPr>
      <w:r w:rsidRPr="007224C3">
        <w:rPr>
          <w:color w:val="000000" w:themeColor="text1"/>
          <w:sz w:val="16"/>
          <w:szCs w:val="16"/>
        </w:rPr>
        <w:t>Тем не менее оптимизация корпусного производства и другие мероприятия позволили заводу справиться с резко увеличившимся планом. В апреле ЧКЗ сдал 150 ИС-2 и 200 ИСУ (в том числе 70 ИСУ-122). За этот месяц было внедрено 11 различных улучшений конструкции танка. В частности, были усилены буксирные крюки, изменились снарядные укладки.</w:t>
      </w:r>
    </w:p>
    <w:p w14:paraId="1418AF38" w14:textId="77777777" w:rsidR="00697996" w:rsidRPr="007224C3" w:rsidRDefault="00697996" w:rsidP="007224C3">
      <w:pPr>
        <w:pStyle w:val="ae"/>
        <w:shd w:val="clear" w:color="auto" w:fill="FFFFFF"/>
        <w:spacing w:before="0" w:after="0"/>
        <w:jc w:val="both"/>
        <w:rPr>
          <w:color w:val="000000" w:themeColor="text1"/>
          <w:sz w:val="16"/>
          <w:szCs w:val="16"/>
        </w:rPr>
      </w:pPr>
      <w:r w:rsidRPr="007224C3">
        <w:rPr>
          <w:color w:val="000000" w:themeColor="text1"/>
          <w:sz w:val="16"/>
          <w:szCs w:val="16"/>
        </w:rPr>
        <w:t>Работы по монтажу оборудования в механических цехах закончились только 20 мая. Существенным образом на работу в мае повлияло отсутствие задела по деталям. 2/3 месяца завод работал не в полную силу, зато оставшуюся декаду выполнял план в авральном режиме. Для помощи в сборке в цеха было направлено много рабочих с других заводов Челябинска. Разумеется, это повлияло на качество. За май ЧКЗ должен был выпустить 175 ИС-2, 135 ИСУ-152 и 90 ИС-2, последние танки из этого плана были сданы к 4 июня (17721).</w:t>
      </w:r>
    </w:p>
    <w:p w14:paraId="1206C499" w14:textId="77777777" w:rsidR="00697996" w:rsidRPr="007224C3" w:rsidRDefault="00697996" w:rsidP="007224C3">
      <w:pPr>
        <w:spacing w:after="0" w:line="240" w:lineRule="auto"/>
        <w:jc w:val="both"/>
        <w:rPr>
          <w:rFonts w:ascii="Times New Roman" w:eastAsia="Times New Roman" w:hAnsi="Times New Roman"/>
          <w:color w:val="000000" w:themeColor="text1"/>
          <w:sz w:val="16"/>
          <w:szCs w:val="16"/>
          <w:lang w:eastAsia="ru-RU"/>
        </w:rPr>
      </w:pPr>
    </w:p>
    <w:p w14:paraId="28B0DF7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апреле 1944 г. был изготовлен первый опытный образец танка "Объект 701" № 0 и прошел длительные заводские испытания, которые вы</w:t>
      </w:r>
      <w:r w:rsidRPr="007224C3">
        <w:rPr>
          <w:rFonts w:ascii="Times New Roman" w:hAnsi="Times New Roman"/>
          <w:color w:val="000000" w:themeColor="text1"/>
          <w:sz w:val="16"/>
          <w:szCs w:val="16"/>
        </w:rPr>
        <w:softHyphen/>
        <w:t>явили ряд недостатков в конструкции новой машины. В мае - июне 1944 г. завод изготовил еще два опытных танка: № 1 и № 2. После поли</w:t>
      </w:r>
      <w:r w:rsidRPr="007224C3">
        <w:rPr>
          <w:rFonts w:ascii="Times New Roman" w:hAnsi="Times New Roman"/>
          <w:color w:val="000000" w:themeColor="text1"/>
          <w:sz w:val="16"/>
          <w:szCs w:val="16"/>
        </w:rPr>
        <w:softHyphen/>
        <w:t>гонных испытаний, проведенных Государственной комиссией в Челя</w:t>
      </w:r>
      <w:r w:rsidRPr="007224C3">
        <w:rPr>
          <w:rFonts w:ascii="Times New Roman" w:hAnsi="Times New Roman"/>
          <w:color w:val="000000" w:themeColor="text1"/>
          <w:sz w:val="16"/>
          <w:szCs w:val="16"/>
        </w:rPr>
        <w:softHyphen/>
        <w:t>бинске, оба танка были демонтированы. С учетом замечаний Государст</w:t>
      </w:r>
      <w:r w:rsidRPr="007224C3">
        <w:rPr>
          <w:rFonts w:ascii="Times New Roman" w:hAnsi="Times New Roman"/>
          <w:color w:val="000000" w:themeColor="text1"/>
          <w:sz w:val="16"/>
          <w:szCs w:val="16"/>
        </w:rPr>
        <w:softHyphen/>
        <w:t>венной комиссии в сентябре был изготовлен еще один опытный образец танка (№ 4), который после испытаний также был демонтирован. В но</w:t>
      </w:r>
      <w:r w:rsidRPr="007224C3">
        <w:rPr>
          <w:rFonts w:ascii="Times New Roman" w:hAnsi="Times New Roman"/>
          <w:color w:val="000000" w:themeColor="text1"/>
          <w:sz w:val="16"/>
          <w:szCs w:val="16"/>
        </w:rPr>
        <w:softHyphen/>
        <w:t>ябре 1944 г. завод выпустил два новых опытных образца (№ 5 и 6), ко</w:t>
      </w:r>
      <w:r w:rsidRPr="007224C3">
        <w:rPr>
          <w:rFonts w:ascii="Times New Roman" w:hAnsi="Times New Roman"/>
          <w:color w:val="000000" w:themeColor="text1"/>
          <w:sz w:val="16"/>
          <w:szCs w:val="16"/>
        </w:rPr>
        <w:softHyphen/>
        <w:t>торые успешно прошли полигонные испытания в декабре 1944 - янва</w:t>
      </w:r>
      <w:r w:rsidRPr="007224C3">
        <w:rPr>
          <w:rFonts w:ascii="Times New Roman" w:hAnsi="Times New Roman"/>
          <w:color w:val="000000" w:themeColor="text1"/>
          <w:sz w:val="16"/>
          <w:szCs w:val="16"/>
        </w:rPr>
        <w:softHyphen/>
        <w:t>ре 1945 гг. и были рекомендованы к серийному производству (10703).</w:t>
      </w:r>
    </w:p>
    <w:p w14:paraId="247A002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7646773" w14:textId="77777777" w:rsidR="00A06A1F" w:rsidRPr="007224C3" w:rsidRDefault="00A06A1F" w:rsidP="007224C3">
      <w:pPr>
        <w:shd w:val="clear" w:color="auto" w:fill="FFFFFF"/>
        <w:spacing w:after="0" w:line="240" w:lineRule="auto"/>
        <w:jc w:val="both"/>
        <w:textAlignment w:val="baseline"/>
        <w:rPr>
          <w:rFonts w:ascii="Times New Roman" w:hAnsi="Times New Roman"/>
          <w:color w:val="000000" w:themeColor="text1"/>
          <w:sz w:val="16"/>
          <w:szCs w:val="16"/>
        </w:rPr>
      </w:pPr>
      <w:r w:rsidRPr="007224C3">
        <w:rPr>
          <w:rFonts w:ascii="Times New Roman" w:hAnsi="Times New Roman"/>
          <w:color w:val="000000" w:themeColor="text1"/>
          <w:sz w:val="16"/>
          <w:szCs w:val="16"/>
        </w:rPr>
        <w:t>В апреле 1944 года ОКБ завода №100 был разработан проект модернизации ИС-2. Он лёг в основу проекта нового танка, который в апреле 1944 года начали разрабатывать на опытном заводе. Основной движущей силой при разработке модернизированного ИС-2 стало ОКБ опытного завода №100, которым руководил А.С. Ермолаев. При этом работы по модернизации начались ещё раньше, поскольку первые наработки появились до постановления ГКО №5583сс. Более того, поначалу на заводе №100 работали не совсем по модернизации обычного ИС-2. Проект, разработанный под руководством Н.Ф. Шашмурина, создавался по тактико-техническим требованиям на тяжёлый танк с боевой массой 55-56 т — он был скорее не модернизацией ИС-2, а конкурентом более тяжёлого и защищённого Объекта 701. К слову, эти требования подразумевали экипаж из 5 человек — как раз таким он был у проекта модернизации ИС-2 Шашмурина. На основе наработок по данному проекту и создали более известную конструкцию с боевой массой 46 т. У предыдущей разработки позаимствовали корпус с рациональными углами наклона броневых листов, ходовую часть с опорными катками большого диаметра, башню с выемкой орудия через люк в крыше и многое другое (19150).</w:t>
      </w:r>
    </w:p>
    <w:p w14:paraId="61E1A913" w14:textId="77777777" w:rsidR="00A06A1F" w:rsidRPr="007224C3" w:rsidRDefault="00A06A1F" w:rsidP="007224C3">
      <w:pPr>
        <w:shd w:val="clear" w:color="auto" w:fill="FFFFFF"/>
        <w:spacing w:after="0" w:line="240" w:lineRule="auto"/>
        <w:jc w:val="both"/>
        <w:textAlignment w:val="baseline"/>
        <w:rPr>
          <w:rFonts w:ascii="Times New Roman" w:hAnsi="Times New Roman"/>
          <w:color w:val="000000" w:themeColor="text1"/>
          <w:sz w:val="16"/>
          <w:szCs w:val="16"/>
        </w:rPr>
      </w:pPr>
    </w:p>
    <w:p w14:paraId="2B720C02" w14:textId="77777777" w:rsidR="007874A2" w:rsidRPr="007224C3" w:rsidRDefault="007874A2"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 апреле 1944, после переустановки башни на корпус прото</w:t>
      </w:r>
      <w:r w:rsidRPr="007224C3">
        <w:rPr>
          <w:rFonts w:ascii="Times New Roman" w:hAnsi="Times New Roman"/>
          <w:color w:val="0070C0"/>
          <w:sz w:val="16"/>
          <w:szCs w:val="16"/>
        </w:rPr>
        <w:softHyphen/>
        <w:t>типа №3, испытания возобновились. Выясни</w:t>
      </w:r>
      <w:r w:rsidRPr="007224C3">
        <w:rPr>
          <w:rFonts w:ascii="Times New Roman" w:hAnsi="Times New Roman"/>
          <w:color w:val="0070C0"/>
          <w:sz w:val="16"/>
          <w:szCs w:val="16"/>
        </w:rPr>
        <w:softHyphen/>
        <w:t>лось, что существенного повышения скоро</w:t>
      </w:r>
      <w:r w:rsidRPr="007224C3">
        <w:rPr>
          <w:rFonts w:ascii="Times New Roman" w:hAnsi="Times New Roman"/>
          <w:color w:val="0070C0"/>
          <w:sz w:val="16"/>
          <w:szCs w:val="16"/>
        </w:rPr>
        <w:softHyphen/>
        <w:t>стрельности за счет унитарного заряжания добиться не удается. Скорострельность составила всего 2-3 выстр./мин. (при раз</w:t>
      </w:r>
      <w:r w:rsidRPr="007224C3">
        <w:rPr>
          <w:rFonts w:ascii="Times New Roman" w:hAnsi="Times New Roman"/>
          <w:color w:val="0070C0"/>
          <w:sz w:val="16"/>
          <w:szCs w:val="16"/>
        </w:rPr>
        <w:softHyphen/>
        <w:t>дельном заряжании - 1 выстр./мин). Боль</w:t>
      </w:r>
      <w:r w:rsidRPr="007224C3">
        <w:rPr>
          <w:rFonts w:ascii="Times New Roman" w:hAnsi="Times New Roman"/>
          <w:color w:val="0070C0"/>
          <w:sz w:val="16"/>
          <w:szCs w:val="16"/>
        </w:rPr>
        <w:softHyphen/>
        <w:t>шая масса и размер унитарного выстрела сильно осложняли работу экипажа. Заряжать пушку из-за ее низкой посадки и недостаточ</w:t>
      </w:r>
      <w:r w:rsidRPr="007224C3">
        <w:rPr>
          <w:rFonts w:ascii="Times New Roman" w:hAnsi="Times New Roman"/>
          <w:color w:val="0070C0"/>
          <w:sz w:val="16"/>
          <w:szCs w:val="16"/>
        </w:rPr>
        <w:softHyphen/>
        <w:t>ного «заднего отрезка» даже в башне с пого</w:t>
      </w:r>
      <w:r w:rsidRPr="007224C3">
        <w:rPr>
          <w:rFonts w:ascii="Times New Roman" w:hAnsi="Times New Roman"/>
          <w:color w:val="0070C0"/>
          <w:sz w:val="16"/>
          <w:szCs w:val="16"/>
        </w:rPr>
        <w:softHyphen/>
        <w:t>ном в 1800 мм было очень сложно. К тому же, боекомплект, составлявший всего 24 выстре</w:t>
      </w:r>
      <w:r w:rsidRPr="007224C3">
        <w:rPr>
          <w:rFonts w:ascii="Times New Roman" w:hAnsi="Times New Roman"/>
          <w:color w:val="0070C0"/>
          <w:sz w:val="16"/>
          <w:szCs w:val="16"/>
        </w:rPr>
        <w:softHyphen/>
        <w:t>ла, сочли явно недостаточным (19935).</w:t>
      </w:r>
    </w:p>
    <w:p w14:paraId="514366EB" w14:textId="77777777" w:rsidR="007874A2" w:rsidRPr="007224C3" w:rsidRDefault="007874A2" w:rsidP="007224C3">
      <w:pPr>
        <w:spacing w:after="0" w:line="240" w:lineRule="auto"/>
        <w:jc w:val="both"/>
        <w:rPr>
          <w:rFonts w:ascii="Times New Roman" w:hAnsi="Times New Roman"/>
          <w:color w:val="0070C0"/>
          <w:sz w:val="16"/>
          <w:szCs w:val="16"/>
        </w:rPr>
      </w:pPr>
    </w:p>
    <w:p w14:paraId="21D01612" w14:textId="77777777" w:rsidR="007874A2" w:rsidRPr="007224C3" w:rsidRDefault="007874A2" w:rsidP="007224C3">
      <w:pPr>
        <w:shd w:val="clear" w:color="auto" w:fill="FFFFFF"/>
        <w:spacing w:after="0" w:line="240" w:lineRule="auto"/>
        <w:jc w:val="both"/>
        <w:rPr>
          <w:rStyle w:val="723"/>
          <w:rFonts w:ascii="Times New Roman" w:hAnsi="Times New Roman" w:cs="Times New Roman"/>
          <w:color w:val="0070C0"/>
          <w:sz w:val="16"/>
          <w:szCs w:val="16"/>
        </w:rPr>
      </w:pPr>
      <w:r w:rsidRPr="007224C3">
        <w:rPr>
          <w:rStyle w:val="712"/>
          <w:rFonts w:ascii="Times New Roman" w:hAnsi="Times New Roman" w:cs="Times New Roman"/>
          <w:color w:val="0070C0"/>
          <w:sz w:val="16"/>
          <w:szCs w:val="16"/>
        </w:rPr>
        <w:t>С апреля 1944 года на ИС-2 ставили уже башни четырех заводов, при этом имелись и другие изменения. За апрель было введено 11 различных изменений. Усилили конструкцию буксирных крюков и их защелок, для обес</w:t>
      </w:r>
      <w:r w:rsidRPr="007224C3">
        <w:rPr>
          <w:rStyle w:val="712"/>
          <w:rFonts w:ascii="Times New Roman" w:hAnsi="Times New Roman" w:cs="Times New Roman"/>
          <w:color w:val="0070C0"/>
          <w:sz w:val="16"/>
          <w:szCs w:val="16"/>
        </w:rPr>
        <w:softHyphen/>
        <w:t>печения монтажа водяного и масляного насо</w:t>
      </w:r>
      <w:r w:rsidRPr="007224C3">
        <w:rPr>
          <w:rStyle w:val="712"/>
          <w:rFonts w:ascii="Times New Roman" w:hAnsi="Times New Roman" w:cs="Times New Roman"/>
          <w:color w:val="0070C0"/>
          <w:sz w:val="16"/>
          <w:szCs w:val="16"/>
        </w:rPr>
        <w:softHyphen/>
        <w:t>са ввели новый люк в днище, изменили горло</w:t>
      </w:r>
      <w:r w:rsidRPr="007224C3">
        <w:rPr>
          <w:rStyle w:val="712"/>
          <w:rFonts w:ascii="Times New Roman" w:hAnsi="Times New Roman" w:cs="Times New Roman"/>
          <w:color w:val="0070C0"/>
          <w:sz w:val="16"/>
          <w:szCs w:val="16"/>
        </w:rPr>
        <w:softHyphen/>
        <w:t>вины топливных баков. Улучшению подвер</w:t>
      </w:r>
      <w:r w:rsidRPr="007224C3">
        <w:rPr>
          <w:rStyle w:val="712"/>
          <w:rFonts w:ascii="Times New Roman" w:hAnsi="Times New Roman" w:cs="Times New Roman"/>
          <w:color w:val="0070C0"/>
          <w:sz w:val="16"/>
          <w:szCs w:val="16"/>
        </w:rPr>
        <w:softHyphen/>
        <w:t>глись вентилятор, ввели амортизацию щитка контрольных приборов, улучшили конструк</w:t>
      </w:r>
      <w:r w:rsidRPr="007224C3">
        <w:rPr>
          <w:rStyle w:val="712"/>
          <w:rFonts w:ascii="Times New Roman" w:hAnsi="Times New Roman" w:cs="Times New Roman"/>
          <w:color w:val="0070C0"/>
          <w:sz w:val="16"/>
          <w:szCs w:val="16"/>
        </w:rPr>
        <w:softHyphen/>
        <w:t>цию замков снарядных укладок. В связи с ча</w:t>
      </w:r>
      <w:r w:rsidRPr="007224C3">
        <w:rPr>
          <w:rStyle w:val="712"/>
          <w:rFonts w:ascii="Times New Roman" w:hAnsi="Times New Roman" w:cs="Times New Roman"/>
          <w:color w:val="0070C0"/>
          <w:sz w:val="16"/>
          <w:szCs w:val="16"/>
        </w:rPr>
        <w:softHyphen/>
        <w:t>стыми случаями набегания гусениц на веду</w:t>
      </w:r>
      <w:r w:rsidRPr="007224C3">
        <w:rPr>
          <w:rStyle w:val="712"/>
          <w:rFonts w:ascii="Times New Roman" w:hAnsi="Times New Roman" w:cs="Times New Roman"/>
          <w:color w:val="0070C0"/>
          <w:sz w:val="16"/>
          <w:szCs w:val="16"/>
        </w:rPr>
        <w:softHyphen/>
        <w:t xml:space="preserve">щие колеса, поддерживающие катки КВ-34- 80, которые ставились еще на КВ-1 выпуска ЧКЗ, заменили катками по чертежу 237-34-3. Кроме того, на 5 апрельских ИС-2 установили </w:t>
      </w:r>
      <w:r w:rsidRPr="007224C3">
        <w:rPr>
          <w:rStyle w:val="723"/>
          <w:rFonts w:ascii="Times New Roman" w:hAnsi="Times New Roman" w:cs="Times New Roman"/>
          <w:color w:val="0070C0"/>
          <w:sz w:val="16"/>
          <w:szCs w:val="16"/>
        </w:rPr>
        <w:t>цельноштампованный кривошип ленивца. При этом, несмотря на огромные проблемы, связанные с ростом объема выпуска, завод боролся за повышение качества продукции (19874).</w:t>
      </w:r>
    </w:p>
    <w:p w14:paraId="46EB7C11" w14:textId="77777777" w:rsidR="007874A2" w:rsidRPr="007224C3" w:rsidRDefault="007874A2" w:rsidP="007224C3">
      <w:pPr>
        <w:shd w:val="clear" w:color="auto" w:fill="FFFFFF"/>
        <w:spacing w:after="0" w:line="240" w:lineRule="auto"/>
        <w:jc w:val="both"/>
        <w:rPr>
          <w:rFonts w:ascii="Times New Roman" w:hAnsi="Times New Roman"/>
          <w:color w:val="0070C0"/>
          <w:sz w:val="16"/>
          <w:szCs w:val="16"/>
        </w:rPr>
      </w:pPr>
    </w:p>
    <w:p w14:paraId="5303759C" w14:textId="77777777" w:rsidR="007874A2" w:rsidRPr="007224C3" w:rsidRDefault="007874A2" w:rsidP="007224C3">
      <w:pPr>
        <w:pStyle w:val="1131"/>
        <w:shd w:val="clear" w:color="auto" w:fill="auto"/>
        <w:spacing w:line="240" w:lineRule="auto"/>
        <w:ind w:firstLine="0"/>
        <w:rPr>
          <w:rFonts w:ascii="Times New Roman" w:hAnsi="Times New Roman" w:cs="Times New Roman"/>
          <w:color w:val="0070C0"/>
          <w:sz w:val="16"/>
          <w:szCs w:val="16"/>
          <w:lang w:val="ru-RU"/>
        </w:rPr>
      </w:pPr>
      <w:r w:rsidRPr="007224C3">
        <w:rPr>
          <w:rStyle w:val="600"/>
          <w:rFonts w:ascii="Times New Roman" w:hAnsi="Times New Roman" w:cs="Times New Roman"/>
          <w:color w:val="0070C0"/>
          <w:sz w:val="16"/>
          <w:szCs w:val="16"/>
        </w:rPr>
        <w:t>В апреле 1944 года ОКБ завода № 100</w:t>
      </w:r>
      <w:r w:rsidRPr="007224C3">
        <w:rPr>
          <w:rStyle w:val="600"/>
          <w:rFonts w:ascii="Times New Roman" w:hAnsi="Times New Roman" w:cs="Times New Roman"/>
          <w:color w:val="0070C0"/>
          <w:sz w:val="16"/>
          <w:szCs w:val="16"/>
          <w:lang w:val="ru-RU"/>
        </w:rPr>
        <w:t xml:space="preserve"> </w:t>
      </w:r>
      <w:r w:rsidRPr="007224C3">
        <w:rPr>
          <w:rStyle w:val="600"/>
          <w:rFonts w:ascii="Times New Roman" w:hAnsi="Times New Roman" w:cs="Times New Roman"/>
          <w:color w:val="0070C0"/>
          <w:sz w:val="16"/>
          <w:szCs w:val="16"/>
        </w:rPr>
        <w:t>были подготовлены чертежи новой башни, у кото</w:t>
      </w:r>
      <w:r w:rsidRPr="007224C3">
        <w:rPr>
          <w:rStyle w:val="600"/>
          <w:rFonts w:ascii="Times New Roman" w:hAnsi="Times New Roman" w:cs="Times New Roman"/>
          <w:color w:val="0070C0"/>
          <w:sz w:val="16"/>
          <w:szCs w:val="16"/>
        </w:rPr>
        <w:softHyphen/>
        <w:t>рой орудие вынималось через верхний люк, а толщина брони увеличилась. Также к 18 апреля на заводе № 100 подготовили доку</w:t>
      </w:r>
      <w:r w:rsidRPr="007224C3">
        <w:rPr>
          <w:rStyle w:val="600"/>
          <w:rFonts w:ascii="Times New Roman" w:hAnsi="Times New Roman" w:cs="Times New Roman"/>
          <w:color w:val="0070C0"/>
          <w:sz w:val="16"/>
          <w:szCs w:val="16"/>
        </w:rPr>
        <w:softHyphen/>
        <w:t>ментацию по танку большой модернизации, имевшему массу отличий от ИС-2. Модерни</w:t>
      </w:r>
      <w:r w:rsidRPr="007224C3">
        <w:rPr>
          <w:rStyle w:val="600"/>
          <w:rFonts w:ascii="Times New Roman" w:hAnsi="Times New Roman" w:cs="Times New Roman"/>
          <w:color w:val="0070C0"/>
          <w:sz w:val="16"/>
          <w:szCs w:val="16"/>
        </w:rPr>
        <w:softHyphen/>
        <w:t>зированная версия танка должна была иметь боевую массу 46-47 тонн. Полностью перепроектировали корпус: его форма стала больше напоминать летающую тарел</w:t>
      </w:r>
      <w:r w:rsidRPr="007224C3">
        <w:rPr>
          <w:rStyle w:val="600"/>
          <w:rFonts w:ascii="Times New Roman" w:hAnsi="Times New Roman" w:cs="Times New Roman"/>
          <w:color w:val="0070C0"/>
          <w:sz w:val="16"/>
          <w:szCs w:val="16"/>
        </w:rPr>
        <w:softHyphen/>
        <w:t>ку, при этом убирался смотровой лючок в ло</w:t>
      </w:r>
      <w:r w:rsidRPr="007224C3">
        <w:rPr>
          <w:rStyle w:val="600"/>
          <w:rFonts w:ascii="Times New Roman" w:hAnsi="Times New Roman" w:cs="Times New Roman"/>
          <w:color w:val="0070C0"/>
          <w:sz w:val="16"/>
          <w:szCs w:val="16"/>
        </w:rPr>
        <w:softHyphen/>
        <w:t>бовом листе корпуса. Толщина лобового листа достигала 120 мм, такая же толщина была и у бортов. Существенно переделыва</w:t>
      </w:r>
      <w:r w:rsidRPr="007224C3">
        <w:rPr>
          <w:rStyle w:val="600"/>
          <w:rFonts w:ascii="Times New Roman" w:hAnsi="Times New Roman" w:cs="Times New Roman"/>
          <w:color w:val="0070C0"/>
          <w:sz w:val="16"/>
          <w:szCs w:val="16"/>
        </w:rPr>
        <w:softHyphen/>
        <w:t>лась и башня, лоб и борта которой усилива</w:t>
      </w:r>
      <w:r w:rsidRPr="007224C3">
        <w:rPr>
          <w:rStyle w:val="600"/>
          <w:rFonts w:ascii="Times New Roman" w:hAnsi="Times New Roman" w:cs="Times New Roman"/>
          <w:color w:val="0070C0"/>
          <w:sz w:val="16"/>
          <w:szCs w:val="16"/>
        </w:rPr>
        <w:softHyphen/>
        <w:t>лись до 150 мм. Но...</w:t>
      </w:r>
      <w:r w:rsidRPr="007224C3">
        <w:rPr>
          <w:rStyle w:val="612"/>
          <w:rFonts w:ascii="Times New Roman" w:hAnsi="Times New Roman" w:cs="Times New Roman"/>
          <w:color w:val="0070C0"/>
          <w:sz w:val="16"/>
          <w:szCs w:val="16"/>
        </w:rPr>
        <w:t xml:space="preserve"> </w:t>
      </w:r>
      <w:r w:rsidRPr="007224C3">
        <w:rPr>
          <w:rStyle w:val="600"/>
          <w:rFonts w:ascii="Times New Roman" w:hAnsi="Times New Roman" w:cs="Times New Roman"/>
          <w:color w:val="0070C0"/>
          <w:sz w:val="16"/>
          <w:szCs w:val="16"/>
        </w:rPr>
        <w:t>во все том же апреле завод № 100 начал тайно, с санкции Ж.Я. Ко</w:t>
      </w:r>
      <w:r w:rsidRPr="007224C3">
        <w:rPr>
          <w:rStyle w:val="600"/>
          <w:rFonts w:ascii="Times New Roman" w:hAnsi="Times New Roman" w:cs="Times New Roman"/>
          <w:color w:val="0070C0"/>
          <w:sz w:val="16"/>
          <w:szCs w:val="16"/>
        </w:rPr>
        <w:softHyphen/>
        <w:t>тина, разрабатывать конкурента «Объекта 701» - позже эту машину «легализовали» под обозначением ИС-6. Что же касается «большой модернизации» ИС-2, то она по</w:t>
      </w:r>
      <w:r w:rsidRPr="007224C3">
        <w:rPr>
          <w:rStyle w:val="600"/>
          <w:rFonts w:ascii="Times New Roman" w:hAnsi="Times New Roman" w:cs="Times New Roman"/>
          <w:color w:val="0070C0"/>
          <w:sz w:val="16"/>
          <w:szCs w:val="16"/>
        </w:rPr>
        <w:softHyphen/>
        <w:t>просту заглохла</w:t>
      </w:r>
      <w:r w:rsidRPr="007224C3">
        <w:rPr>
          <w:rStyle w:val="600"/>
          <w:rFonts w:ascii="Times New Roman" w:hAnsi="Times New Roman" w:cs="Times New Roman"/>
          <w:color w:val="0070C0"/>
          <w:sz w:val="16"/>
          <w:szCs w:val="16"/>
          <w:lang w:val="ru-RU"/>
        </w:rPr>
        <w:t>.</w:t>
      </w:r>
    </w:p>
    <w:p w14:paraId="46C3CEEB" w14:textId="77777777" w:rsidR="007874A2" w:rsidRPr="007224C3" w:rsidRDefault="007874A2" w:rsidP="007224C3">
      <w:pPr>
        <w:pStyle w:val="1131"/>
        <w:shd w:val="clear" w:color="auto" w:fill="auto"/>
        <w:spacing w:line="240" w:lineRule="auto"/>
        <w:ind w:firstLine="0"/>
        <w:rPr>
          <w:rFonts w:ascii="Times New Roman" w:hAnsi="Times New Roman" w:cs="Times New Roman"/>
          <w:color w:val="0070C0"/>
          <w:sz w:val="16"/>
          <w:szCs w:val="16"/>
        </w:rPr>
      </w:pPr>
      <w:r w:rsidRPr="007224C3">
        <w:rPr>
          <w:rFonts w:ascii="Times New Roman" w:hAnsi="Times New Roman" w:cs="Times New Roman"/>
          <w:color w:val="0070C0"/>
          <w:sz w:val="16"/>
          <w:szCs w:val="16"/>
        </w:rPr>
        <w:t>Несмотря на столь странные действия опытного завода № 100, модернизация ИС-2 все же состоялась, но совсем в другом объеме. Да и занималось ей ОГК-ТП ЧКЗ, где работа над модернизированным корпусом серийного ИС-2 закипела сразу после появления приказа по НКТП № 226. (ЧКЗ - Челябинский Киров</w:t>
      </w:r>
      <w:r w:rsidRPr="007224C3">
        <w:rPr>
          <w:rFonts w:ascii="Times New Roman" w:hAnsi="Times New Roman" w:cs="Times New Roman"/>
          <w:color w:val="0070C0"/>
          <w:sz w:val="16"/>
          <w:szCs w:val="16"/>
        </w:rPr>
        <w:softHyphen/>
        <w:t>ский завод или полностью: «Кировский завод Наркомата танковой промышленности в горо</w:t>
      </w:r>
      <w:r w:rsidRPr="007224C3">
        <w:rPr>
          <w:rFonts w:ascii="Times New Roman" w:hAnsi="Times New Roman" w:cs="Times New Roman"/>
          <w:color w:val="0070C0"/>
          <w:sz w:val="16"/>
          <w:szCs w:val="16"/>
        </w:rPr>
        <w:softHyphen/>
        <w:t>де Челябинске». Такое название носил трак</w:t>
      </w:r>
      <w:r w:rsidRPr="007224C3">
        <w:rPr>
          <w:rFonts w:ascii="Times New Roman" w:hAnsi="Times New Roman" w:cs="Times New Roman"/>
          <w:color w:val="0070C0"/>
          <w:sz w:val="16"/>
          <w:szCs w:val="16"/>
        </w:rPr>
        <w:softHyphen/>
        <w:t>торный завод ЧТЗ с 6 октября 1941 года после эвакуации на его площади харьковского ди</w:t>
      </w:r>
      <w:r w:rsidRPr="007224C3">
        <w:rPr>
          <w:rFonts w:ascii="Times New Roman" w:hAnsi="Times New Roman" w:cs="Times New Roman"/>
          <w:color w:val="0070C0"/>
          <w:sz w:val="16"/>
          <w:szCs w:val="16"/>
        </w:rPr>
        <w:softHyphen/>
        <w:t>зель-моторного и ленинградского Кировского заводов). ИС-2 здесь занялись в первую оче</w:t>
      </w:r>
      <w:r w:rsidRPr="007224C3">
        <w:rPr>
          <w:rFonts w:ascii="Times New Roman" w:hAnsi="Times New Roman" w:cs="Times New Roman"/>
          <w:color w:val="0070C0"/>
          <w:sz w:val="16"/>
          <w:szCs w:val="16"/>
        </w:rPr>
        <w:softHyphen/>
        <w:t>редь: согласно утвержденному ГБТУ КА «Пе</w:t>
      </w:r>
      <w:r w:rsidRPr="007224C3">
        <w:rPr>
          <w:rFonts w:ascii="Times New Roman" w:hAnsi="Times New Roman" w:cs="Times New Roman"/>
          <w:color w:val="0070C0"/>
          <w:sz w:val="16"/>
          <w:szCs w:val="16"/>
        </w:rPr>
        <w:softHyphen/>
        <w:t>речню мероприятий по улучшению качества танка ИС», литую конструкцию носовой части требовалось заменить сварной</w:t>
      </w:r>
      <w:r w:rsidRPr="007224C3">
        <w:rPr>
          <w:rFonts w:ascii="Times New Roman" w:hAnsi="Times New Roman" w:cs="Times New Roman"/>
          <w:color w:val="0070C0"/>
          <w:sz w:val="16"/>
          <w:szCs w:val="16"/>
          <w:lang w:val="ru-RU"/>
        </w:rPr>
        <w:t xml:space="preserve"> (19880)</w:t>
      </w:r>
      <w:r w:rsidRPr="007224C3">
        <w:rPr>
          <w:rFonts w:ascii="Times New Roman" w:hAnsi="Times New Roman" w:cs="Times New Roman"/>
          <w:color w:val="0070C0"/>
          <w:sz w:val="16"/>
          <w:szCs w:val="16"/>
        </w:rPr>
        <w:t xml:space="preserve">. </w:t>
      </w:r>
    </w:p>
    <w:p w14:paraId="60E5E0C4" w14:textId="77777777" w:rsidR="007874A2" w:rsidRPr="007224C3" w:rsidRDefault="007874A2" w:rsidP="007224C3">
      <w:pPr>
        <w:pStyle w:val="1131"/>
        <w:shd w:val="clear" w:color="auto" w:fill="auto"/>
        <w:spacing w:line="240" w:lineRule="auto"/>
        <w:ind w:firstLine="0"/>
        <w:rPr>
          <w:rFonts w:ascii="Times New Roman" w:hAnsi="Times New Roman" w:cs="Times New Roman"/>
          <w:color w:val="0070C0"/>
          <w:sz w:val="16"/>
          <w:szCs w:val="16"/>
        </w:rPr>
      </w:pPr>
    </w:p>
    <w:p w14:paraId="29203950" w14:textId="77777777" w:rsidR="00D4630C" w:rsidRPr="007224C3" w:rsidRDefault="00D4630C" w:rsidP="007224C3">
      <w:pPr>
        <w:pStyle w:val="ae"/>
        <w:shd w:val="clear" w:color="auto" w:fill="FFFFFF"/>
        <w:spacing w:before="0" w:after="0"/>
        <w:jc w:val="both"/>
        <w:rPr>
          <w:iCs/>
          <w:color w:val="000000" w:themeColor="text1"/>
          <w:sz w:val="16"/>
          <w:szCs w:val="16"/>
        </w:rPr>
      </w:pPr>
      <w:r w:rsidRPr="007224C3">
        <w:rPr>
          <w:iCs/>
          <w:color w:val="000000" w:themeColor="text1"/>
          <w:sz w:val="16"/>
          <w:szCs w:val="16"/>
        </w:rPr>
        <w:t>В апреле 1944 года, вступив в обязанности старшего военпреда ТУ ГБТУ КА на заводе №100, Вовк докладывал, что его работа на заводе затруднена тем обстоятельством, что руководство завода все время скрывает от него все те опытные работы, которые вновь прорабатываются на заводе. На первых порах моей работы эта скрытность была выражена в форме организации особой комнаты, куда вход был разрешен т. Котиным по особому списку, куда я включен не был (в то время от меня скрывалось проектирование танка ИС-6) (17209).</w:t>
      </w:r>
    </w:p>
    <w:p w14:paraId="54436BC2" w14:textId="77777777" w:rsidR="00D4630C" w:rsidRPr="007224C3" w:rsidRDefault="00D4630C" w:rsidP="007224C3">
      <w:pPr>
        <w:pStyle w:val="ae"/>
        <w:shd w:val="clear" w:color="auto" w:fill="FFFFFF"/>
        <w:spacing w:before="0" w:after="0"/>
        <w:jc w:val="both"/>
        <w:rPr>
          <w:color w:val="000000" w:themeColor="text1"/>
          <w:sz w:val="16"/>
          <w:szCs w:val="16"/>
        </w:rPr>
      </w:pPr>
    </w:p>
    <w:p w14:paraId="3989C61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В апре</w:t>
      </w:r>
      <w:r w:rsidRPr="007224C3">
        <w:rPr>
          <w:rFonts w:ascii="Times New Roman" w:hAnsi="Times New Roman"/>
          <w:color w:val="000000" w:themeColor="text1"/>
          <w:sz w:val="16"/>
          <w:szCs w:val="16"/>
        </w:rPr>
        <w:softHyphen/>
        <w:t>ле 1944 г. был изготовлен первый образец нового танка (№ 0), названного по номеру заказа, "Объект 701" с пушкой Д-25 и двигателем В-12 и до 15 июня 1944 г. был подвергнут длительным заводским испытаниям. В апреле - мае 1944 г. ЧКЗ изготовил два новых образца танка (№ 1 и 2) и к 1 июля предъявил их на полигонные испытания, ко</w:t>
      </w:r>
      <w:r w:rsidRPr="007224C3">
        <w:rPr>
          <w:rFonts w:ascii="Times New Roman" w:hAnsi="Times New Roman"/>
          <w:color w:val="000000" w:themeColor="text1"/>
          <w:sz w:val="16"/>
          <w:szCs w:val="16"/>
        </w:rPr>
        <w:softHyphen/>
        <w:t>торые проходили в районе Челябинска с 1 июля по 15 августа 1944 г. под председательством начальника ГБТУ генерал-лейтенанта танковых войск Б.Г. Вершинина (10703).</w:t>
      </w:r>
    </w:p>
    <w:p w14:paraId="75807D2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4E082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апреле 1944 г. ЧКЗ, также как и завод № 183, получил новые зубодолбежные и агрегатные станки, а в мае - груп</w:t>
      </w:r>
      <w:r w:rsidRPr="007224C3">
        <w:rPr>
          <w:rFonts w:ascii="Times New Roman" w:hAnsi="Times New Roman"/>
          <w:color w:val="000000" w:themeColor="text1"/>
          <w:sz w:val="16"/>
          <w:szCs w:val="16"/>
        </w:rPr>
        <w:softHyphen/>
        <w:t>пу технологов - выпускников МВТУ им. Баумана и не</w:t>
      </w:r>
      <w:r w:rsidRPr="007224C3">
        <w:rPr>
          <w:rFonts w:ascii="Times New Roman" w:hAnsi="Times New Roman"/>
          <w:color w:val="000000" w:themeColor="text1"/>
          <w:sz w:val="16"/>
          <w:szCs w:val="16"/>
        </w:rPr>
        <w:softHyphen/>
        <w:t>сколько выходцев бронетанковой академии.</w:t>
      </w:r>
    </w:p>
    <w:p w14:paraId="159A8E1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 в первом квартале 1944 г. заводом было предъявле</w:t>
      </w:r>
      <w:r w:rsidRPr="007224C3">
        <w:rPr>
          <w:rFonts w:ascii="Times New Roman" w:hAnsi="Times New Roman"/>
          <w:color w:val="000000" w:themeColor="text1"/>
          <w:sz w:val="16"/>
          <w:szCs w:val="16"/>
        </w:rPr>
        <w:softHyphen/>
        <w:t>но НИБТ полигону 6 танков ИС-122, но испытаний они не выдержали. Правда, к лету стало очевидно, что качество се</w:t>
      </w:r>
      <w:r w:rsidRPr="007224C3">
        <w:rPr>
          <w:rFonts w:ascii="Times New Roman" w:hAnsi="Times New Roman"/>
          <w:color w:val="000000" w:themeColor="text1"/>
          <w:sz w:val="16"/>
          <w:szCs w:val="16"/>
        </w:rPr>
        <w:softHyphen/>
        <w:t>рийно выпускаемых танков пусть медленно, но неуклонно повышается, но лишь в августе все смогли перевести дух — первый танк прошел гарантийные испытания без дефектов. За полгода технологам и конструкторам ЧКЗ удалось значи</w:t>
      </w:r>
      <w:r w:rsidRPr="007224C3">
        <w:rPr>
          <w:rFonts w:ascii="Times New Roman" w:hAnsi="Times New Roman"/>
          <w:color w:val="000000" w:themeColor="text1"/>
          <w:sz w:val="16"/>
          <w:szCs w:val="16"/>
        </w:rPr>
        <w:softHyphen/>
        <w:t>тельно повысить качество и надежность механизмов ИС-122, а двигателисты наконец преодолели порог работоспособнос</w:t>
      </w:r>
      <w:r w:rsidRPr="007224C3">
        <w:rPr>
          <w:rFonts w:ascii="Times New Roman" w:hAnsi="Times New Roman"/>
          <w:color w:val="000000" w:themeColor="text1"/>
          <w:sz w:val="16"/>
          <w:szCs w:val="16"/>
        </w:rPr>
        <w:softHyphen/>
        <w:t>ти серийного двигателя В-2-ИС в 200 моточасов.</w:t>
      </w:r>
    </w:p>
    <w:p w14:paraId="6548DED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 наведение порядка с механизмами и вооружением еще не сделало танк ИС-2 тем танком Победы, который с любовью вспоминали ветераны (11135).</w:t>
      </w:r>
    </w:p>
    <w:p w14:paraId="379AC96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2E788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апреле 1944 г. эскизный проект машины, первоначально названной ЭСУ-100, был одобрен к исполнению на пленуме НКТП. Он разрабатывался с середины марта 1944 г. В те</w:t>
      </w:r>
      <w:r w:rsidRPr="007224C3">
        <w:rPr>
          <w:rFonts w:ascii="Times New Roman" w:hAnsi="Times New Roman"/>
          <w:color w:val="000000" w:themeColor="text1"/>
          <w:sz w:val="16"/>
          <w:szCs w:val="16"/>
        </w:rPr>
        <w:softHyphen/>
        <w:t>чение месяца были спроектированы ее основные узлы: бронекорпус, подвеска на торсионных валах с использованием опорных катков Т-34, электротрансмиссия, боевое отделение под 85-мм орудие большой мощности и 100-мм орудие Д-10 (11417)</w:t>
      </w:r>
    </w:p>
    <w:p w14:paraId="39D368C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E68676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 апреля 1944 г. Т-34 вооружались 76,2-мм танковой пушкой Ф-34. До появления у противника тяжелых танков Т-VI "Тигр I" и Т-У "Пантера" с мощной броневой защитой пуш</w:t>
      </w:r>
      <w:r w:rsidRPr="007224C3">
        <w:rPr>
          <w:rFonts w:ascii="Times New Roman" w:hAnsi="Times New Roman"/>
          <w:color w:val="000000" w:themeColor="text1"/>
          <w:sz w:val="16"/>
          <w:szCs w:val="16"/>
        </w:rPr>
        <w:softHyphen/>
        <w:t>ка Ф-34 надежно решала возложенные на нее задачи (10703). Пушка состояла из ствола, затвора с полуавтоматикой, люльки, про</w:t>
      </w:r>
      <w:r w:rsidRPr="007224C3">
        <w:rPr>
          <w:rFonts w:ascii="Times New Roman" w:hAnsi="Times New Roman"/>
          <w:color w:val="000000" w:themeColor="text1"/>
          <w:sz w:val="16"/>
          <w:szCs w:val="16"/>
        </w:rPr>
        <w:softHyphen/>
        <w:t>тивооткатных устройств, спусковых механизмов, гильзоулавливателя, подъемного механизма, стопора крепления пушки по-походному, при</w:t>
      </w:r>
      <w:r w:rsidRPr="007224C3">
        <w:rPr>
          <w:rFonts w:ascii="Times New Roman" w:hAnsi="Times New Roman"/>
          <w:color w:val="000000" w:themeColor="text1"/>
          <w:sz w:val="16"/>
          <w:szCs w:val="16"/>
        </w:rPr>
        <w:softHyphen/>
        <w:t>вода к перископическому прицелу и уравновешивающего груза, наде</w:t>
      </w:r>
      <w:r w:rsidRPr="007224C3">
        <w:rPr>
          <w:rFonts w:ascii="Times New Roman" w:hAnsi="Times New Roman"/>
          <w:color w:val="000000" w:themeColor="text1"/>
          <w:sz w:val="16"/>
          <w:szCs w:val="16"/>
        </w:rPr>
        <w:softHyphen/>
        <w:t>вавшегося на кронштейн гильзоулавливателя. Масса качающейся части пушки была около 1155 кг. Полная длина ствола составляла 41,5 калиб</w:t>
      </w:r>
      <w:r w:rsidRPr="007224C3">
        <w:rPr>
          <w:rFonts w:ascii="Times New Roman" w:hAnsi="Times New Roman"/>
          <w:color w:val="000000" w:themeColor="text1"/>
          <w:sz w:val="16"/>
          <w:szCs w:val="16"/>
        </w:rPr>
        <w:softHyphen/>
        <w:t>ра, а длина нарезной части - 33,6 калибра. Наибольшее давление поро</w:t>
      </w:r>
      <w:r w:rsidRPr="007224C3">
        <w:rPr>
          <w:rFonts w:ascii="Times New Roman" w:hAnsi="Times New Roman"/>
          <w:color w:val="000000" w:themeColor="text1"/>
          <w:sz w:val="16"/>
          <w:szCs w:val="16"/>
        </w:rPr>
        <w:softHyphen/>
        <w:t>ховых газов в канале ствола достигало 2314 кгс/см</w:t>
      </w:r>
      <w:r w:rsidRPr="007224C3">
        <w:rPr>
          <w:rFonts w:ascii="Times New Roman" w:hAnsi="Times New Roman"/>
          <w:color w:val="000000" w:themeColor="text1"/>
          <w:sz w:val="16"/>
          <w:szCs w:val="16"/>
          <w:vertAlign w:val="superscript"/>
        </w:rPr>
        <w:t>2</w:t>
      </w:r>
      <w:r w:rsidRPr="007224C3">
        <w:rPr>
          <w:rFonts w:ascii="Times New Roman" w:hAnsi="Times New Roman"/>
          <w:color w:val="000000" w:themeColor="text1"/>
          <w:sz w:val="16"/>
          <w:szCs w:val="16"/>
        </w:rPr>
        <w:t>. Затвор с опускавшимся вниз клином имел полуавтоматику механи</w:t>
      </w:r>
      <w:r w:rsidRPr="007224C3">
        <w:rPr>
          <w:rFonts w:ascii="Times New Roman" w:hAnsi="Times New Roman"/>
          <w:color w:val="000000" w:themeColor="text1"/>
          <w:sz w:val="16"/>
          <w:szCs w:val="16"/>
        </w:rPr>
        <w:softHyphen/>
        <w:t>ческого копирного типа. Клин затвора был выполнен в виде четырех</w:t>
      </w:r>
      <w:r w:rsidRPr="007224C3">
        <w:rPr>
          <w:rFonts w:ascii="Times New Roman" w:hAnsi="Times New Roman"/>
          <w:color w:val="000000" w:themeColor="text1"/>
          <w:sz w:val="16"/>
          <w:szCs w:val="16"/>
        </w:rPr>
        <w:softHyphen/>
        <w:t>гранной призмы с углублением (лотком) сверху для направления выст</w:t>
      </w:r>
      <w:r w:rsidRPr="007224C3">
        <w:rPr>
          <w:rFonts w:ascii="Times New Roman" w:hAnsi="Times New Roman"/>
          <w:color w:val="000000" w:themeColor="text1"/>
          <w:sz w:val="16"/>
          <w:szCs w:val="16"/>
        </w:rPr>
        <w:softHyphen/>
        <w:t>рела при заряжании. В центральном гнезде клина размещался ударный механизм, предназначавшийся для производства выстрела при воздей</w:t>
      </w:r>
      <w:r w:rsidRPr="007224C3">
        <w:rPr>
          <w:rFonts w:ascii="Times New Roman" w:hAnsi="Times New Roman"/>
          <w:color w:val="000000" w:themeColor="text1"/>
          <w:sz w:val="16"/>
          <w:szCs w:val="16"/>
        </w:rPr>
        <w:softHyphen/>
        <w:t>ствии на ручной или ножной спусковые механизмы. Ручной спуск пуш</w:t>
      </w:r>
      <w:r w:rsidRPr="007224C3">
        <w:rPr>
          <w:rFonts w:ascii="Times New Roman" w:hAnsi="Times New Roman"/>
          <w:color w:val="000000" w:themeColor="text1"/>
          <w:sz w:val="16"/>
          <w:szCs w:val="16"/>
        </w:rPr>
        <w:softHyphen/>
        <w:t>ки был смонтирован на щитке ограждения, привернутом винтами к ле</w:t>
      </w:r>
      <w:r w:rsidRPr="007224C3">
        <w:rPr>
          <w:rFonts w:ascii="Times New Roman" w:hAnsi="Times New Roman"/>
          <w:color w:val="000000" w:themeColor="text1"/>
          <w:sz w:val="16"/>
          <w:szCs w:val="16"/>
        </w:rPr>
        <w:softHyphen/>
        <w:t>вой стороне люльки. Спуск ударника происходил при нажатии рукой на лопатку рычага ручного спуска. Ножной спуск пушки располагался на штанге и состоял из педали, троса в гибкой оболочке и стержня с гай</w:t>
      </w:r>
      <w:r w:rsidRPr="007224C3">
        <w:rPr>
          <w:rFonts w:ascii="Times New Roman" w:hAnsi="Times New Roman"/>
          <w:color w:val="000000" w:themeColor="text1"/>
          <w:sz w:val="16"/>
          <w:szCs w:val="16"/>
        </w:rPr>
        <w:softHyphen/>
        <w:t>кой. При нажатии на левую педаль, трос перемещался вниз и тянул гай</w:t>
      </w:r>
      <w:r w:rsidRPr="007224C3">
        <w:rPr>
          <w:rFonts w:ascii="Times New Roman" w:hAnsi="Times New Roman"/>
          <w:color w:val="000000" w:themeColor="text1"/>
          <w:sz w:val="16"/>
          <w:szCs w:val="16"/>
        </w:rPr>
        <w:softHyphen/>
        <w:t>ку, навинченную на стержень, который в свою очередь воздействовал на спуск ударника. Основанием качающейся части пушки являлась люлька, короб кото</w:t>
      </w:r>
      <w:r w:rsidRPr="007224C3">
        <w:rPr>
          <w:rFonts w:ascii="Times New Roman" w:hAnsi="Times New Roman"/>
          <w:color w:val="000000" w:themeColor="text1"/>
          <w:sz w:val="16"/>
          <w:szCs w:val="16"/>
        </w:rPr>
        <w:softHyphen/>
        <w:t>рой представлял собой корыто с полозками на верхней части боковых стенок. В средней части люльки имелись приливы, в которые были за</w:t>
      </w:r>
      <w:r w:rsidRPr="007224C3">
        <w:rPr>
          <w:rFonts w:ascii="Times New Roman" w:hAnsi="Times New Roman"/>
          <w:color w:val="000000" w:themeColor="text1"/>
          <w:sz w:val="16"/>
          <w:szCs w:val="16"/>
        </w:rPr>
        <w:softHyphen/>
        <w:t>прессованы втулки; во втулках размещались цапфы, которые крепились болтами к щекам башни. Противооткатные устройства состояли из цилиндра гидравлическо</w:t>
      </w:r>
      <w:r w:rsidRPr="007224C3">
        <w:rPr>
          <w:rFonts w:ascii="Times New Roman" w:hAnsi="Times New Roman"/>
          <w:color w:val="000000" w:themeColor="text1"/>
          <w:sz w:val="16"/>
          <w:szCs w:val="16"/>
        </w:rPr>
        <w:softHyphen/>
        <w:t>го тормоза отката, заполненного глицериновой жидкостью Стеол в ко</w:t>
      </w:r>
      <w:r w:rsidRPr="007224C3">
        <w:rPr>
          <w:rFonts w:ascii="Times New Roman" w:hAnsi="Times New Roman"/>
          <w:color w:val="000000" w:themeColor="text1"/>
          <w:sz w:val="16"/>
          <w:szCs w:val="16"/>
        </w:rPr>
        <w:softHyphen/>
        <w:t>личестве 3,7 л, и цилиндра гидравлического накатника, заполненного также жидкостью Стеол в количестве 3,7 л и воздухом, сжатым до дав</w:t>
      </w:r>
      <w:r w:rsidRPr="007224C3">
        <w:rPr>
          <w:rFonts w:ascii="Times New Roman" w:hAnsi="Times New Roman"/>
          <w:color w:val="000000" w:themeColor="text1"/>
          <w:sz w:val="16"/>
          <w:szCs w:val="16"/>
        </w:rPr>
        <w:softHyphen/>
        <w:t>ления 20 кгс/см</w:t>
      </w:r>
      <w:r w:rsidRPr="007224C3">
        <w:rPr>
          <w:rFonts w:ascii="Times New Roman" w:hAnsi="Times New Roman"/>
          <w:color w:val="000000" w:themeColor="text1"/>
          <w:sz w:val="16"/>
          <w:szCs w:val="16"/>
          <w:vertAlign w:val="superscript"/>
        </w:rPr>
        <w:t>2</w:t>
      </w:r>
      <w:r w:rsidRPr="007224C3">
        <w:rPr>
          <w:rFonts w:ascii="Times New Roman" w:hAnsi="Times New Roman"/>
          <w:color w:val="000000" w:themeColor="text1"/>
          <w:sz w:val="16"/>
          <w:szCs w:val="16"/>
        </w:rPr>
        <w:t>. Цилиндры тормоза и накатника были закреплены в обоймах ствола и при выстреле откатывались вместе со стволом. Што</w:t>
      </w:r>
      <w:r w:rsidRPr="007224C3">
        <w:rPr>
          <w:rFonts w:ascii="Times New Roman" w:hAnsi="Times New Roman"/>
          <w:color w:val="000000" w:themeColor="text1"/>
          <w:sz w:val="16"/>
          <w:szCs w:val="16"/>
        </w:rPr>
        <w:softHyphen/>
        <w:t>ки тормоза и накатника были закреплены в крышке люльки и при отка</w:t>
      </w:r>
      <w:r w:rsidRPr="007224C3">
        <w:rPr>
          <w:rFonts w:ascii="Times New Roman" w:hAnsi="Times New Roman"/>
          <w:color w:val="000000" w:themeColor="text1"/>
          <w:sz w:val="16"/>
          <w:szCs w:val="16"/>
        </w:rPr>
        <w:softHyphen/>
        <w:t>те оставались на месте. Нормальная длина отката 320 - 370 мм, а пре</w:t>
      </w:r>
      <w:r w:rsidRPr="007224C3">
        <w:rPr>
          <w:rFonts w:ascii="Times New Roman" w:hAnsi="Times New Roman"/>
          <w:color w:val="000000" w:themeColor="text1"/>
          <w:sz w:val="16"/>
          <w:szCs w:val="16"/>
        </w:rPr>
        <w:softHyphen/>
        <w:t>дельная - 390 мм. При первой модернизации были изменены: затвор и полуавтомати</w:t>
      </w:r>
      <w:r w:rsidRPr="007224C3">
        <w:rPr>
          <w:rFonts w:ascii="Times New Roman" w:hAnsi="Times New Roman"/>
          <w:color w:val="000000" w:themeColor="text1"/>
          <w:sz w:val="16"/>
          <w:szCs w:val="16"/>
        </w:rPr>
        <w:softHyphen/>
        <w:t>ка с копирным устройством; предохранитель для запирания затвора по-походному; спусковые механизмы. В тормозе отката был упразднен компенсатор, из-за чего в нем было увеличено до 5 л количество жидко</w:t>
      </w:r>
      <w:r w:rsidRPr="007224C3">
        <w:rPr>
          <w:rFonts w:ascii="Times New Roman" w:hAnsi="Times New Roman"/>
          <w:color w:val="000000" w:themeColor="text1"/>
          <w:sz w:val="16"/>
          <w:szCs w:val="16"/>
        </w:rPr>
        <w:softHyphen/>
        <w:t>сти Стеол. В ноябре 1941 г. во время второй модернизации пушки Ф-34 в целях уп</w:t>
      </w:r>
      <w:r w:rsidRPr="007224C3">
        <w:rPr>
          <w:rFonts w:ascii="Times New Roman" w:hAnsi="Times New Roman"/>
          <w:color w:val="000000" w:themeColor="text1"/>
          <w:sz w:val="16"/>
          <w:szCs w:val="16"/>
        </w:rPr>
        <w:softHyphen/>
        <w:t>рощения технологии производства вместо ствола со свободной трубой стал изготавливаться ствол-моноблок с казенником, соединявшимся с трубой с помощью муфты. Для стрельбы из 76,2-мм танковой пушки Ф-34 применялись уни</w:t>
      </w:r>
      <w:r w:rsidRPr="007224C3">
        <w:rPr>
          <w:rFonts w:ascii="Times New Roman" w:hAnsi="Times New Roman"/>
          <w:color w:val="000000" w:themeColor="text1"/>
          <w:sz w:val="16"/>
          <w:szCs w:val="16"/>
        </w:rPr>
        <w:softHyphen/>
        <w:t>тарные выстрелы от дивизионных пушек обр. 1902/30 г. и обр. 1939 г. с осколочно-фугасными дальнобойными фанатами (стальной ОФ-350 и сталистого чугуна ОФ-350А) с взрывателем КТМ-1; с фугасной грана</w:t>
      </w:r>
      <w:r w:rsidRPr="007224C3">
        <w:rPr>
          <w:rFonts w:ascii="Times New Roman" w:hAnsi="Times New Roman"/>
          <w:color w:val="000000" w:themeColor="text1"/>
          <w:sz w:val="16"/>
          <w:szCs w:val="16"/>
        </w:rPr>
        <w:softHyphen/>
        <w:t>той старого русского образца Ф-354 с взрывателями КТ-3, КТМ-3 или ЗГТ; с бронебойно-трассирующими снарядами БР-350А, БР-350Б, БР-350СП с взрывателем МД-5. Бронебойные снаряды, имевшие массу 6,5 кг и начальную скорость 680 м/с, на дистанции 1000 м пробивали вертикально расположенную 61-мм броневую плиту. Пушка аналогичного калибра в 1941 - 1942 гг. устанавливалась и на тяжелых танках КВ-1 и КВ-1С. Особенностью развития основного ору</w:t>
      </w:r>
      <w:r w:rsidRPr="007224C3">
        <w:rPr>
          <w:rFonts w:ascii="Times New Roman" w:hAnsi="Times New Roman"/>
          <w:color w:val="000000" w:themeColor="text1"/>
          <w:sz w:val="16"/>
          <w:szCs w:val="16"/>
        </w:rPr>
        <w:softHyphen/>
        <w:t>жия тяжелых танков в годы Великой Отечественной войны явился от</w:t>
      </w:r>
      <w:r w:rsidRPr="007224C3">
        <w:rPr>
          <w:rFonts w:ascii="Times New Roman" w:hAnsi="Times New Roman"/>
          <w:color w:val="000000" w:themeColor="text1"/>
          <w:sz w:val="16"/>
          <w:szCs w:val="16"/>
        </w:rPr>
        <w:softHyphen/>
        <w:t>каз от применения гаубиц на серийных машинах и усиление пушечного вооружения. В июне 1941 г. выпуск тяжелых танков КВ-2, вооруженных 152-мм танковой гаубицей М-10, предназначавшейся для разрушения мощных оборонительных сооружений противника, был прекращен в связи со сложившейся обстановкой на фронте, требовавшей для веде</w:t>
      </w:r>
      <w:r w:rsidRPr="007224C3">
        <w:rPr>
          <w:rFonts w:ascii="Times New Roman" w:hAnsi="Times New Roman"/>
          <w:color w:val="000000" w:themeColor="text1"/>
          <w:sz w:val="16"/>
          <w:szCs w:val="16"/>
        </w:rPr>
        <w:softHyphen/>
        <w:t>ния оборонительных боев и проведения контрударов увеличения про</w:t>
      </w:r>
      <w:r w:rsidRPr="007224C3">
        <w:rPr>
          <w:rFonts w:ascii="Times New Roman" w:hAnsi="Times New Roman"/>
          <w:color w:val="000000" w:themeColor="text1"/>
          <w:sz w:val="16"/>
          <w:szCs w:val="16"/>
        </w:rPr>
        <w:softHyphen/>
        <w:t>изводства танков КВ-1 с 76,2-мм пушкой Ф-32 (10703).</w:t>
      </w:r>
    </w:p>
    <w:p w14:paraId="06548A1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42E8A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апреле 1944 завод № 183 предоставил на испытания два ва</w:t>
      </w:r>
      <w:r w:rsidRPr="007224C3">
        <w:rPr>
          <w:rFonts w:ascii="Times New Roman" w:hAnsi="Times New Roman"/>
          <w:color w:val="000000" w:themeColor="text1"/>
          <w:sz w:val="16"/>
          <w:szCs w:val="16"/>
        </w:rPr>
        <w:softHyphen/>
        <w:t>рианта танка Т-34-85М. Главной целью модернизации было усиление лобовой брони танка с целью доведения ее до уровня немецкого танка «Пантера». При этом толщина ло</w:t>
      </w:r>
      <w:r w:rsidRPr="007224C3">
        <w:rPr>
          <w:rFonts w:ascii="Times New Roman" w:hAnsi="Times New Roman"/>
          <w:color w:val="000000" w:themeColor="text1"/>
          <w:sz w:val="16"/>
          <w:szCs w:val="16"/>
        </w:rPr>
        <w:softHyphen/>
        <w:t>бового листа обоих танков была доведена до 75 мм, толщина люка механика-водителя достигла 100 мм, бронировки кур</w:t>
      </w:r>
      <w:r w:rsidRPr="007224C3">
        <w:rPr>
          <w:rFonts w:ascii="Times New Roman" w:hAnsi="Times New Roman"/>
          <w:color w:val="000000" w:themeColor="text1"/>
          <w:sz w:val="16"/>
          <w:szCs w:val="16"/>
        </w:rPr>
        <w:softHyphen/>
        <w:t>сового пулемета — до 90 мм. Чтобы скомпенсировать неиз</w:t>
      </w:r>
      <w:r w:rsidRPr="007224C3">
        <w:rPr>
          <w:rFonts w:ascii="Times New Roman" w:hAnsi="Times New Roman"/>
          <w:color w:val="000000" w:themeColor="text1"/>
          <w:sz w:val="16"/>
          <w:szCs w:val="16"/>
        </w:rPr>
        <w:softHyphen/>
        <w:t>бежное утяжеление танка, был предпринят ряд специальных мер. Во-первых, толщина броневых листов, наименее под</w:t>
      </w:r>
      <w:r w:rsidRPr="007224C3">
        <w:rPr>
          <w:rFonts w:ascii="Times New Roman" w:hAnsi="Times New Roman"/>
          <w:color w:val="000000" w:themeColor="text1"/>
          <w:sz w:val="16"/>
          <w:szCs w:val="16"/>
        </w:rPr>
        <w:softHyphen/>
        <w:t>верженных обстрелу (крыша над моторным отделением, днище подкрылков, нижний кормовой лист, задняя часть днища), были изготовлены из броневых листов толщиной 15 мм, в ходовой части использованы облегченные баланси</w:t>
      </w:r>
      <w:r w:rsidRPr="007224C3">
        <w:rPr>
          <w:rFonts w:ascii="Times New Roman" w:hAnsi="Times New Roman"/>
          <w:color w:val="000000" w:themeColor="text1"/>
          <w:sz w:val="16"/>
          <w:szCs w:val="16"/>
        </w:rPr>
        <w:softHyphen/>
        <w:t>ры и опорные катки. Далее, в конструкции четырехступен</w:t>
      </w:r>
      <w:r w:rsidRPr="007224C3">
        <w:rPr>
          <w:rFonts w:ascii="Times New Roman" w:hAnsi="Times New Roman"/>
          <w:color w:val="000000" w:themeColor="text1"/>
          <w:sz w:val="16"/>
          <w:szCs w:val="16"/>
        </w:rPr>
        <w:softHyphen/>
        <w:t>чатой коробки передач было уменьшено передаточное отношение конической пары шестерен, введены ведущие колеса с уменьшенным диаметром и пятью ведущими роликами вместо шести. В танке второго варианта попытались изба</w:t>
      </w:r>
      <w:r w:rsidRPr="007224C3">
        <w:rPr>
          <w:rFonts w:ascii="Times New Roman" w:hAnsi="Times New Roman"/>
          <w:color w:val="000000" w:themeColor="text1"/>
          <w:sz w:val="16"/>
          <w:szCs w:val="16"/>
        </w:rPr>
        <w:softHyphen/>
        <w:t>виться от хронического недостатка— расположения топлив</w:t>
      </w:r>
      <w:r w:rsidRPr="007224C3">
        <w:rPr>
          <w:rFonts w:ascii="Times New Roman" w:hAnsi="Times New Roman"/>
          <w:color w:val="000000" w:themeColor="text1"/>
          <w:sz w:val="16"/>
          <w:szCs w:val="16"/>
        </w:rPr>
        <w:softHyphen/>
        <w:t>ных баков в боевом отделении. Вместо шести топливных ба</w:t>
      </w:r>
      <w:r w:rsidRPr="007224C3">
        <w:rPr>
          <w:rFonts w:ascii="Times New Roman" w:hAnsi="Times New Roman"/>
          <w:color w:val="000000" w:themeColor="text1"/>
          <w:sz w:val="16"/>
          <w:szCs w:val="16"/>
        </w:rPr>
        <w:softHyphen/>
        <w:t>ков, располагавшихся в боевом и моторном отделениях се</w:t>
      </w:r>
      <w:r w:rsidRPr="007224C3">
        <w:rPr>
          <w:rFonts w:ascii="Times New Roman" w:hAnsi="Times New Roman"/>
          <w:color w:val="000000" w:themeColor="text1"/>
          <w:sz w:val="16"/>
          <w:szCs w:val="16"/>
        </w:rPr>
        <w:softHyphen/>
        <w:t>рийного танка Т-34-85, в кормовой части корпуса машины, за коробкой передач были установлены два топливных бака емкостью по 190 л каждый, что вызвало необходимость пе</w:t>
      </w:r>
      <w:r w:rsidRPr="007224C3">
        <w:rPr>
          <w:rFonts w:ascii="Times New Roman" w:hAnsi="Times New Roman"/>
          <w:color w:val="000000" w:themeColor="text1"/>
          <w:sz w:val="16"/>
          <w:szCs w:val="16"/>
        </w:rPr>
        <w:softHyphen/>
        <w:t>реконструирования кормовой части танка.</w:t>
      </w:r>
    </w:p>
    <w:p w14:paraId="45E3328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ходе полигонных испытаний выяснилось, что усиле</w:t>
      </w:r>
      <w:r w:rsidRPr="007224C3">
        <w:rPr>
          <w:rFonts w:ascii="Times New Roman" w:hAnsi="Times New Roman"/>
          <w:color w:val="000000" w:themeColor="text1"/>
          <w:sz w:val="16"/>
          <w:szCs w:val="16"/>
        </w:rPr>
        <w:softHyphen/>
        <w:t>ние бронирования лобовой части танка оправданно, но остальные изменения улучшения характеристик машине не дали. Так, применение 15-мм броневого листа для изго</w:t>
      </w:r>
      <w:r w:rsidRPr="007224C3">
        <w:rPr>
          <w:rFonts w:ascii="Times New Roman" w:hAnsi="Times New Roman"/>
          <w:color w:val="000000" w:themeColor="text1"/>
          <w:sz w:val="16"/>
          <w:szCs w:val="16"/>
        </w:rPr>
        <w:softHyphen/>
        <w:t>товления кормовой части днища танка приводило к воз</w:t>
      </w:r>
      <w:r w:rsidRPr="007224C3">
        <w:rPr>
          <w:rFonts w:ascii="Times New Roman" w:hAnsi="Times New Roman"/>
          <w:color w:val="000000" w:themeColor="text1"/>
          <w:sz w:val="16"/>
          <w:szCs w:val="16"/>
        </w:rPr>
        <w:softHyphen/>
        <w:t>можности поражения МТО танка при подрыве на штатной противотанковой мине.</w:t>
      </w:r>
    </w:p>
    <w:p w14:paraId="3815DD7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Танк с указанным усилением бронирования мог быть принят на вооружение только при условии радикальной пе</w:t>
      </w:r>
      <w:r w:rsidRPr="007224C3">
        <w:rPr>
          <w:rFonts w:ascii="Times New Roman" w:hAnsi="Times New Roman"/>
          <w:color w:val="000000" w:themeColor="text1"/>
          <w:sz w:val="16"/>
          <w:szCs w:val="16"/>
        </w:rPr>
        <w:softHyphen/>
        <w:t>реработки трансмиссии. Кроме того, испытания указанного танка обстрелом из 88-мм танковой пушки обр. 1943 г. пока</w:t>
      </w:r>
      <w:r w:rsidRPr="007224C3">
        <w:rPr>
          <w:rFonts w:ascii="Times New Roman" w:hAnsi="Times New Roman"/>
          <w:color w:val="000000" w:themeColor="text1"/>
          <w:sz w:val="16"/>
          <w:szCs w:val="16"/>
        </w:rPr>
        <w:softHyphen/>
        <w:t>зали, что даже 75-мм лобовая броня Т-34 пробивается из указанной пушки с дистанции около 2000 м, тогда как лоб Т-44 только с дальности 600 м. Таким образом, в условиях ориен</w:t>
      </w:r>
      <w:r w:rsidRPr="007224C3">
        <w:rPr>
          <w:rFonts w:ascii="Times New Roman" w:hAnsi="Times New Roman"/>
          <w:color w:val="000000" w:themeColor="text1"/>
          <w:sz w:val="16"/>
          <w:szCs w:val="16"/>
        </w:rPr>
        <w:softHyphen/>
        <w:t>тации на Т-44 было принято решение не тратить усилия на усиление бронирования корпуса Т-34-85 (11135).</w:t>
      </w:r>
    </w:p>
    <w:p w14:paraId="39DE5DE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C50C7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апреле 1944 испытания Т-44-2 возобновились, однако никаких преимуществ в скорострельности унитарное заряжание не дало. Наоборот, большая масса и размер патрона сильно мешали заряжающему, стесненному ограниченным объемом боевого отделения Т-44. Кроме того, боекомплект из 24 122-мм выстрелов был совершенно недостаточным для среднего танка и задач, которые перед ним ставились. Кроме того, Д-24-44Т имела меньшую массу откатных частей и уменьшенную на 2-4% мощность выстрела (3862).</w:t>
      </w:r>
    </w:p>
    <w:p w14:paraId="7C7BBE6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44E783" w14:textId="77777777" w:rsidR="00A06A1F" w:rsidRPr="007224C3" w:rsidRDefault="00A06A1F" w:rsidP="007224C3">
      <w:pPr>
        <w:pStyle w:val="ae"/>
        <w:spacing w:before="0" w:after="0"/>
        <w:jc w:val="both"/>
        <w:textAlignment w:val="baseline"/>
        <w:rPr>
          <w:color w:val="000000" w:themeColor="text1"/>
          <w:sz w:val="16"/>
          <w:szCs w:val="16"/>
        </w:rPr>
      </w:pPr>
      <w:r w:rsidRPr="007224C3">
        <w:rPr>
          <w:color w:val="000000" w:themeColor="text1"/>
          <w:sz w:val="16"/>
          <w:szCs w:val="16"/>
        </w:rPr>
        <w:t>В апреле 1944 года снова был поднят вопрос о выпуске Т-44. На сей раз завод №183 уже не упоминался. В НКТП разумно предположили, что загружать основного производителя Т-34-85 ещё и новым танком является рискованной идеей. Т-34-85 были нужны как воздух, а Т-44 следовало ещё доводить до кондиции. По этой причине Малышев представил 8 апреля 1944 года два варианта проекта постановления ГКО. Варианты отличались местом выпуска танков. Первый вариант предполагал, что на Коломенском заводе НКТМ будет создана новая производственная площадка. В Коломне организовывалось производство бронекорпусов, ходовой части, а также непосредственная сборка. Проблема состояла в том, что ради выпуска танков в Коломне требовалось пожертвовать сразу двумя заводами, выпускавшими лёгкие самоходные артиллерийские установки </w:t>
      </w:r>
      <w:hyperlink r:id="rId108" w:history="1">
        <w:r w:rsidRPr="007224C3">
          <w:rPr>
            <w:rStyle w:val="a5"/>
            <w:bCs/>
            <w:iCs/>
            <w:color w:val="000000" w:themeColor="text1"/>
            <w:sz w:val="16"/>
            <w:szCs w:val="16"/>
            <w:bdr w:val="none" w:sz="0" w:space="0" w:color="auto" w:frame="1"/>
          </w:rPr>
          <w:t>СУ-76М</w:t>
        </w:r>
      </w:hyperlink>
      <w:r w:rsidRPr="007224C3">
        <w:rPr>
          <w:color w:val="000000" w:themeColor="text1"/>
          <w:sz w:val="16"/>
          <w:szCs w:val="16"/>
        </w:rPr>
        <w:t>. Во-первых, в Коломну из Кирова возвращался завод №38, чьи производственные возможности позволяли сравнительно быстро довести выпуск Т-44 до 300 штук в месяц. Во-вторых, на заводе №40 в Мытищах планировалось организовать выпуск элементов трансмиссии Т-44.</w:t>
      </w:r>
    </w:p>
    <w:p w14:paraId="187261F0" w14:textId="77777777" w:rsidR="00A06A1F" w:rsidRPr="007224C3" w:rsidRDefault="00A06A1F" w:rsidP="007224C3">
      <w:pPr>
        <w:pStyle w:val="ae"/>
        <w:spacing w:before="0" w:after="0"/>
        <w:jc w:val="both"/>
        <w:textAlignment w:val="baseline"/>
        <w:rPr>
          <w:color w:val="000000" w:themeColor="text1"/>
          <w:sz w:val="16"/>
          <w:szCs w:val="16"/>
        </w:rPr>
      </w:pPr>
      <w:r w:rsidRPr="007224C3">
        <w:rPr>
          <w:color w:val="000000" w:themeColor="text1"/>
          <w:sz w:val="16"/>
          <w:szCs w:val="16"/>
        </w:rPr>
        <w:t>Альтернативным вариантом являлось возрождение танкового производства на Сталинградском тракторном заводе. Сильно разрушенное предприятие требовалось ещё восстановить, так что больше 175 танков за 1944 год СТЗ сдать не мог. К тому же, на СТЗ планировалось восстанавливать выпуск тракторов, который в случае с запуском производства Т-44 переносился на конец 1945 года. Смежником по выпуску корпусов становился завод №264, где также было необходимо восстанавливать корпусное производство. Впрочем, завод №264 вскоре всё равно привлекли к производству рубок по </w:t>
      </w:r>
      <w:hyperlink r:id="rId109" w:history="1">
        <w:r w:rsidRPr="007224C3">
          <w:rPr>
            <w:rStyle w:val="a5"/>
            <w:bCs/>
            <w:iCs/>
            <w:color w:val="000000" w:themeColor="text1"/>
            <w:sz w:val="16"/>
            <w:szCs w:val="16"/>
            <w:bdr w:val="none" w:sz="0" w:space="0" w:color="auto" w:frame="1"/>
          </w:rPr>
          <w:t>ИСУ-152</w:t>
        </w:r>
      </w:hyperlink>
      <w:r w:rsidRPr="007224C3">
        <w:rPr>
          <w:color w:val="000000" w:themeColor="text1"/>
          <w:sz w:val="16"/>
          <w:szCs w:val="16"/>
        </w:rPr>
        <w:t>, так что отчасти данный вопрос отпал. В целом же Малышев выступал за организацию выпуска Т-44 в Коломне. Первые 25 танков там планировалось сдать в июле 1944 года, постепенно, к декабрю 1944 года, доведя ежемесячный выпуск до 300 штук. Впрочем, и этот вариант также не устроил руководство. Выбирать приходилось из плохого и ещё худшего вариантов: в одном случае весь выпуск лёгких САУ ложился на ГАЗ, а с учётом торпедирования заводским руководством новых разработок после войны СССР остался бы вовсе без разработчиков лёгких самоходок. В случае же с СТЗ требовалось возродить танковый завод почти с нуля (19047).</w:t>
      </w:r>
    </w:p>
    <w:p w14:paraId="7723E364" w14:textId="77777777" w:rsidR="00A06A1F" w:rsidRPr="007224C3" w:rsidRDefault="00A06A1F" w:rsidP="007224C3">
      <w:pPr>
        <w:spacing w:after="0" w:line="240" w:lineRule="auto"/>
        <w:jc w:val="both"/>
        <w:textAlignment w:val="baseline"/>
        <w:rPr>
          <w:rFonts w:ascii="Times New Roman" w:hAnsi="Times New Roman"/>
          <w:color w:val="000000" w:themeColor="text1"/>
          <w:sz w:val="16"/>
          <w:szCs w:val="16"/>
        </w:rPr>
      </w:pPr>
    </w:p>
    <w:p w14:paraId="36D75DC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В апреле 1944 г. в КБ завода № 100 под руководством Ж.Я. Котина была создана самоходная установка ИСУ-122С (ИСУ-122-2) ("Объект 249") и представляла собой модернизированный вариант самоходной установки ИСУ-122. В июне того же года установка прошла ходовые и артиллерийские испытания на Гороховецком АНИОПе. На вооружение была принята 22 августа 1944 г. Серийное производство началось в ав</w:t>
      </w:r>
      <w:r w:rsidRPr="007224C3">
        <w:rPr>
          <w:rFonts w:ascii="Times New Roman" w:hAnsi="Times New Roman"/>
          <w:color w:val="000000" w:themeColor="text1"/>
          <w:sz w:val="16"/>
          <w:szCs w:val="16"/>
        </w:rPr>
        <w:softHyphen/>
        <w:t>густе 1944 г. на ЧКЗ. С августа 1944 г. до сентября 1945 г. был организо</w:t>
      </w:r>
      <w:r w:rsidRPr="007224C3">
        <w:rPr>
          <w:rFonts w:ascii="Times New Roman" w:hAnsi="Times New Roman"/>
          <w:color w:val="000000" w:themeColor="text1"/>
          <w:sz w:val="16"/>
          <w:szCs w:val="16"/>
        </w:rPr>
        <w:softHyphen/>
        <w:t>ван параллельный выпуск ИСУ-122 с пушкой А-19 и модернизирован</w:t>
      </w:r>
      <w:r w:rsidRPr="007224C3">
        <w:rPr>
          <w:rFonts w:ascii="Times New Roman" w:hAnsi="Times New Roman"/>
          <w:color w:val="000000" w:themeColor="text1"/>
          <w:sz w:val="16"/>
          <w:szCs w:val="16"/>
        </w:rPr>
        <w:softHyphen/>
        <w:t>ной ИСУ-122С с пушкой Д-25С, так как производство ИСУ-122С не было полностью обеспечено поставкой 122-мм пушек Д-25С. До 1 июня 1945 г. было выпущено 475 самоходных установок ИСУ-122С, которые использовались в боях в завершающем периоде Великой Отечествен</w:t>
      </w:r>
      <w:r w:rsidRPr="007224C3">
        <w:rPr>
          <w:rFonts w:ascii="Times New Roman" w:hAnsi="Times New Roman"/>
          <w:color w:val="000000" w:themeColor="text1"/>
          <w:sz w:val="16"/>
          <w:szCs w:val="16"/>
        </w:rPr>
        <w:softHyphen/>
        <w:t>ной войны. Всего за время серийного производства было изготовлено 675 машин (10703).</w:t>
      </w:r>
    </w:p>
    <w:p w14:paraId="7F365FA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400963B" w14:textId="77777777" w:rsidR="00A06A1F" w:rsidRPr="007224C3" w:rsidRDefault="00A06A1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апреле 1944 года впервые была поднята тема ИСУ-122 с версией Д-25 для установки в самоходку. На заводе №100 данную машину обозначили как Объект 249. По состоянию на первую половину апреля шасси находилось на сборке, но отсутствовало самое главное —орудие. Его прибытие ожидалось 8 апреля, но на практике система Д-25С поступила только в начале мая, а установили её ещё позже — ближе к концу мая. Чтобы не тратить время впустую, Объект 249 начали испытывать без орудия. Данная машина была построена не только для проверки установки орудия, на ней также испытывали опытный образец планетарного механизма поворота. Всего до установки орудия машина прошла 508 км. Также проверялись различные способы очистки радиаторов от пыли. Как показали результаты, лучше всего их получалось чистить при помощи металлической щётки.</w:t>
      </w:r>
    </w:p>
    <w:p w14:paraId="05904C59" w14:textId="77777777" w:rsidR="00A06A1F" w:rsidRPr="007224C3" w:rsidRDefault="00A06A1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отличие от ИСУ-122, для Объекта 249 орудийную установку пришлось делать заново. Это позволило сделать её более компактной (что не менее важно) и одновременно усилить защиту. Подвижная часть бронировки стала иметь толщину от 80 до 95 мм, а неподвижная — до 100 мм. Меньшие габариты бронировки улучшили обзорность с места механика-водителя. Также снизу появилась защита подвижной бронировки от попадания снарядов и их осколков снизу.</w:t>
      </w:r>
    </w:p>
    <w:p w14:paraId="0BCDAFED" w14:textId="77777777" w:rsidR="00A06A1F" w:rsidRPr="007224C3" w:rsidRDefault="00A06A1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Что же касается самой орудийной системы, то она максимально повторяла Д-25Т. Разница заключалась в том, что систему установили на рамку для обеспечения горизонтальных углов наводки. По сравнению с МЛ-20с масса качающейся части Д-25С оказалась меньше на 1700 кг, кроме того, система комплектовалась прицелом ТШ-17. Это привело к тому, что работы по Объекту 249 (или, как её ещё называли на заводе №100, ИСУ-122-2) задержались. К тому же опытную машину всё равно укомплектовали прицелом 10-Т. Кроме того, на самоходную установку поставили переработанную зенитную турель с пулемётом ДШК. С 27 по 29 мая 1944 года установку испытывали на полигоне 13-го учебного танкового полка в Челябинске. Установка успешно прошла испытания, её приняли на вооружение бронетанковые и механизированные войска РККА (18335).</w:t>
      </w:r>
    </w:p>
    <w:p w14:paraId="6CE2D669" w14:textId="77777777" w:rsidR="00A06A1F" w:rsidRPr="007224C3" w:rsidRDefault="00A06A1F" w:rsidP="007224C3">
      <w:pPr>
        <w:spacing w:after="0" w:line="240" w:lineRule="auto"/>
        <w:jc w:val="both"/>
        <w:rPr>
          <w:rFonts w:ascii="Times New Roman" w:hAnsi="Times New Roman"/>
          <w:color w:val="000000" w:themeColor="text1"/>
          <w:sz w:val="16"/>
          <w:szCs w:val="16"/>
        </w:rPr>
      </w:pPr>
    </w:p>
    <w:p w14:paraId="554866A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апреле 1944 г. в КБ завода № 100 под руководством Я. Котина в инициативном порядке была разработана самоходная установка ИСУ-152БМ (ИСУ-152-1) ("Объект 246"). Изготовленный опытный образец установки в июле того же года прошел ходовые и артиллерийские испытания на ленинградском АНИОПе, в ходе которых были выявле-аы крупные недостатки в конструкции пушки. На вооружение машина не принималась и в серийном производстве не состояла. Инициатором этой работы выступило ОКБ-172 НКВ под руковод</w:t>
      </w:r>
      <w:r w:rsidRPr="007224C3">
        <w:rPr>
          <w:rFonts w:ascii="Times New Roman" w:hAnsi="Times New Roman"/>
          <w:color w:val="000000" w:themeColor="text1"/>
          <w:sz w:val="16"/>
          <w:szCs w:val="16"/>
        </w:rPr>
        <w:softHyphen/>
        <w:t>ством И.И. Иванова, предложившее разместить в установке ИСУ-152 разработанную у них 152,4-мм пушку БЛ-7, имевшую баллистику 152,4-мм пушки Бр-2. Модификация пушки для монтажа в самоходную установку получила наименование БЛ-8, а сама машина - индекс "Объ</w:t>
      </w:r>
      <w:r w:rsidRPr="007224C3">
        <w:rPr>
          <w:rFonts w:ascii="Times New Roman" w:hAnsi="Times New Roman"/>
          <w:color w:val="000000" w:themeColor="text1"/>
          <w:sz w:val="16"/>
          <w:szCs w:val="16"/>
        </w:rPr>
        <w:softHyphen/>
        <w:t>ект 246" (10703).</w:t>
      </w:r>
    </w:p>
    <w:p w14:paraId="55967C0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20888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апреле 1944 Уралмашзавод получил распоряжение о немедленной подготовке к серийному производству Су-100 (4406).</w:t>
      </w:r>
    </w:p>
    <w:p w14:paraId="4021C20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1CBE4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апреле 1944 г. бронетанковое управление 4-й гв. танковой армии уже настойчиво просило вышестоящие организации отыскать хотя бы 20 СУ-122, так как СУ-85 были непригодны для борьбы с укрепленными пулеметными точками (4017).</w:t>
      </w:r>
    </w:p>
    <w:p w14:paraId="6BBDD90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3AE25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апреля 1944 г. началось и продолжалось до сентября 1945 г. серийное производство машины ИСУ-122 на ЧКЗ. До 1 июня 1945 г. завод выпустил 1435 самоходных установок ИСУ-122, кото</w:t>
      </w:r>
      <w:r w:rsidRPr="007224C3">
        <w:rPr>
          <w:rFonts w:ascii="Times New Roman" w:hAnsi="Times New Roman"/>
          <w:color w:val="000000" w:themeColor="text1"/>
          <w:sz w:val="16"/>
          <w:szCs w:val="16"/>
        </w:rPr>
        <w:softHyphen/>
        <w:t>рые широко использовались в боях на завершающем этапе Великой Отечественной войны. Всего за время серийного производства было выпущено 1735 машин. Самоходная установка ИСУ-122 относилась к типу пол</w:t>
      </w:r>
      <w:r w:rsidRPr="007224C3">
        <w:rPr>
          <w:rFonts w:ascii="Times New Roman" w:hAnsi="Times New Roman"/>
          <w:color w:val="000000" w:themeColor="text1"/>
          <w:sz w:val="16"/>
          <w:szCs w:val="16"/>
        </w:rPr>
        <w:softHyphen/>
        <w:t>ностью бронированных самоходных установок с передним расположением броневой рубки. Она была выполнена на ба</w:t>
      </w:r>
      <w:r w:rsidRPr="007224C3">
        <w:rPr>
          <w:rFonts w:ascii="Times New Roman" w:hAnsi="Times New Roman"/>
          <w:color w:val="000000" w:themeColor="text1"/>
          <w:sz w:val="16"/>
          <w:szCs w:val="16"/>
        </w:rPr>
        <w:softHyphen/>
        <w:t>зе самоходной установки ИСУ-152 путем замены гаубицы-пушки МЛ-20С обр. 1937/43 гг. на 122-мм полевую пушку А-19 обр. 1931/37 гг. (устанавливалась до мая 1944 г.) (10703).</w:t>
      </w:r>
    </w:p>
    <w:p w14:paraId="0709071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061796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 апреле 1944 года в КБ завода № 100, по инициативе ОКБ-172, предложившего разместить в установке СУ-152 разработанную у них 152-мм пушку БЛ-7, имевшую баллистику пушки Бр-2 была создана самоходная установка ИСУ-152-1 (ИСУ-152БМ). Модификация пушки для монтажа в САУ получила индекс БЛ-8 (ОБМ-43). Она имела поршневой затвор, дульный тормоз оригинальной конструкции и систему продувки канала ствола сжатым воздухом из баллонов. Углы вертикального наведения составляли от -3°10'до+17°45', горизонтального — в секторе 8°30' (вправо — 6°30', влево — 2°). Высота линии огня — 1655 мм. При стрельбе использовались телескопический прицел СТ-10 и панорама Герца. Дальность стрельбы равнялась 18 500 м. Приводы наведения остались неизменными, по сравнению с установкой ИСУ-122. Боекомплект включал 21 выстрел раздельно-гильзового заряжания. Начальная скорость бронебойного снаряда достигала 850 м/с. В связи с монтажом новой пушки конструкцию броневой маски орудия несколько изменили. </w:t>
      </w:r>
    </w:p>
    <w:p w14:paraId="367A8CC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При проведении испытаний пушки БЛ-8 были выявлены «неудовлетворительные показатели по действию снарядов», ненадежность работы дульного тормоза и поршневого затвора, а также плохие условия работы расчета. Большой вылет ствола (общая длина установки составляла 12,05 м) ограничивал маневренность машины. По результатам испытаний БЛ-8 заменили пушкой БЛ-10 с клиновым полуавтоматическим затвором. </w:t>
      </w:r>
    </w:p>
    <w:p w14:paraId="16768E0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декабре 1944 года самоходная установка ИСУ-152-2 с пушкой БЛ-10 проходила испытания на Ленинградском АНИОПе. Она их не выдержала из-за неудовлетворительной живучести ствола пушки и малого угла горизонтального наведения. Пушку отправили на доработку на завод № 172, однако до окончания войны ее доводка не была завершена (11638).</w:t>
      </w:r>
    </w:p>
    <w:p w14:paraId="5D33501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494B9B5" w14:textId="77777777" w:rsidR="00697996" w:rsidRPr="007224C3" w:rsidRDefault="00697996" w:rsidP="007224C3">
      <w:pPr>
        <w:pStyle w:val="ae"/>
        <w:shd w:val="clear" w:color="auto" w:fill="FFFFFF"/>
        <w:spacing w:before="0" w:after="0"/>
        <w:jc w:val="both"/>
        <w:rPr>
          <w:color w:val="000000" w:themeColor="text1"/>
          <w:sz w:val="16"/>
          <w:szCs w:val="16"/>
        </w:rPr>
      </w:pPr>
      <w:r w:rsidRPr="007224C3">
        <w:rPr>
          <w:color w:val="000000" w:themeColor="text1"/>
          <w:sz w:val="16"/>
          <w:szCs w:val="16"/>
        </w:rPr>
        <w:t xml:space="preserve">За апрель 1944 года завод №38, завод №40 и ГАЗ сдали 176, 87 и 365 машин соответственно. В мае заводы сдали такое же количество машин, а в июне — 175, 90 и 370 соответственно. В июле было принято решение перевести завод №38 в Харьков для комплектации завода №75. Первоначально предполагалось организовать на новом месте выпуск </w:t>
      </w:r>
      <w:hyperlink r:id="rId110" w:history="1">
        <w:r w:rsidRPr="007224C3">
          <w:rPr>
            <w:rStyle w:val="a5"/>
            <w:color w:val="000000" w:themeColor="text1"/>
            <w:sz w:val="16"/>
            <w:szCs w:val="16"/>
            <w:u w:val="none"/>
          </w:rPr>
          <w:t>тягачей</w:t>
        </w:r>
      </w:hyperlink>
      <w:r w:rsidRPr="007224C3">
        <w:rPr>
          <w:color w:val="000000" w:themeColor="text1"/>
          <w:sz w:val="16"/>
          <w:szCs w:val="16"/>
        </w:rPr>
        <w:t xml:space="preserve"> АТ-45, затем вместо них было решено организовать производство новых средних танков Т-44. Тем не менее за июль завод №38 смог сдать 141 СУ-76М. Теперь роль ведущего разработчика СУ-76М перешла к заводу №40 (17728).</w:t>
      </w:r>
    </w:p>
    <w:p w14:paraId="28A51A70" w14:textId="77777777" w:rsidR="00697996" w:rsidRPr="007224C3" w:rsidRDefault="00697996" w:rsidP="007224C3">
      <w:pPr>
        <w:spacing w:after="0" w:line="240" w:lineRule="auto"/>
        <w:jc w:val="both"/>
        <w:rPr>
          <w:rFonts w:ascii="Times New Roman" w:eastAsia="Times New Roman" w:hAnsi="Times New Roman"/>
          <w:color w:val="000000" w:themeColor="text1"/>
          <w:sz w:val="16"/>
          <w:szCs w:val="16"/>
          <w:lang w:eastAsia="ru-RU"/>
        </w:rPr>
      </w:pPr>
    </w:p>
    <w:p w14:paraId="60F411AD" w14:textId="77777777" w:rsidR="00A06A1F" w:rsidRPr="007224C3" w:rsidRDefault="00A06A1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апреле 1944 года конструкторское бюро (КБ) ГАЗ им. Молотова разработало самоходную установку, получившую обозначение «57-мм самоходная противотанковая пушка». Часто встречающийся индекс СУ-57 появился заметно позже — в сентябре 1944 года. Велосипед на ГАЗ изобретать не стали: конструкция СУ-76М осталась прежней, а у системы ЗИС-3 заменили ствол. С учётом взаимозаменяемости деталей ЗИС-2 и ЗИС-3 эта операция не доставила проблем (18098).</w:t>
      </w:r>
    </w:p>
    <w:p w14:paraId="0E5715A2" w14:textId="77777777" w:rsidR="00A06A1F" w:rsidRPr="007224C3" w:rsidRDefault="00A06A1F" w:rsidP="007224C3">
      <w:pPr>
        <w:spacing w:after="0" w:line="240" w:lineRule="auto"/>
        <w:jc w:val="both"/>
        <w:rPr>
          <w:rFonts w:ascii="Times New Roman" w:hAnsi="Times New Roman"/>
          <w:color w:val="000000" w:themeColor="text1"/>
          <w:sz w:val="16"/>
          <w:szCs w:val="16"/>
        </w:rPr>
      </w:pPr>
    </w:p>
    <w:p w14:paraId="3DE59E0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апреле 1944 г. в Мытищах был изготовлен новый опытный образец самоходной зенитной установки, отличавшийся от исходного сниженной массой, измененной конструк</w:t>
      </w:r>
      <w:r w:rsidRPr="007224C3">
        <w:rPr>
          <w:rFonts w:ascii="Times New Roman" w:hAnsi="Times New Roman"/>
          <w:color w:val="000000" w:themeColor="text1"/>
          <w:sz w:val="16"/>
          <w:szCs w:val="16"/>
        </w:rPr>
        <w:softHyphen/>
        <w:t>цией орудийной башни, а также карбюраторным двигате</w:t>
      </w:r>
      <w:r w:rsidRPr="007224C3">
        <w:rPr>
          <w:rFonts w:ascii="Times New Roman" w:hAnsi="Times New Roman"/>
          <w:color w:val="000000" w:themeColor="text1"/>
          <w:sz w:val="16"/>
          <w:szCs w:val="16"/>
        </w:rPr>
        <w:softHyphen/>
        <w:t>лем ЗИС-80МФ (ЗИС-МФ) мощностью 99 л.с. Несмотря на то, что масса САУ снизилась почти на 1,2 тонны, мощ</w:t>
      </w:r>
      <w:r w:rsidRPr="007224C3">
        <w:rPr>
          <w:rFonts w:ascii="Times New Roman" w:hAnsi="Times New Roman"/>
          <w:color w:val="000000" w:themeColor="text1"/>
          <w:sz w:val="16"/>
          <w:szCs w:val="16"/>
        </w:rPr>
        <w:softHyphen/>
        <w:t>ности двигателя с имеющейся КПП оказалось недоста</w:t>
      </w:r>
      <w:r w:rsidRPr="007224C3">
        <w:rPr>
          <w:rFonts w:ascii="Times New Roman" w:hAnsi="Times New Roman"/>
          <w:color w:val="000000" w:themeColor="text1"/>
          <w:sz w:val="16"/>
          <w:szCs w:val="16"/>
        </w:rPr>
        <w:softHyphen/>
        <w:t>точно для проявления необходимой подвижности и про</w:t>
      </w:r>
      <w:r w:rsidRPr="007224C3">
        <w:rPr>
          <w:rFonts w:ascii="Times New Roman" w:hAnsi="Times New Roman"/>
          <w:color w:val="000000" w:themeColor="text1"/>
          <w:sz w:val="16"/>
          <w:szCs w:val="16"/>
        </w:rPr>
        <w:softHyphen/>
        <w:t>ходимости. Поэтому испытания, проведенные в июле ме</w:t>
      </w:r>
      <w:r w:rsidRPr="007224C3">
        <w:rPr>
          <w:rFonts w:ascii="Times New Roman" w:hAnsi="Times New Roman"/>
          <w:color w:val="000000" w:themeColor="text1"/>
          <w:sz w:val="16"/>
          <w:szCs w:val="16"/>
        </w:rPr>
        <w:softHyphen/>
        <w:t>сяце, были признаны неудавшимися и КБ вернулось к си</w:t>
      </w:r>
      <w:r w:rsidRPr="007224C3">
        <w:rPr>
          <w:rFonts w:ascii="Times New Roman" w:hAnsi="Times New Roman"/>
          <w:color w:val="000000" w:themeColor="text1"/>
          <w:sz w:val="16"/>
          <w:szCs w:val="16"/>
        </w:rPr>
        <w:softHyphen/>
        <w:t>ловой установке СУ-76 — сдвоенному моторному агрегату типа ГАЗ-203, который к началу 1945 г. был форсирован до 160 л.с. Прочие отличия, введенные в конструкции второ</w:t>
      </w:r>
      <w:r w:rsidRPr="007224C3">
        <w:rPr>
          <w:rFonts w:ascii="Times New Roman" w:hAnsi="Times New Roman"/>
          <w:color w:val="000000" w:themeColor="text1"/>
          <w:sz w:val="16"/>
          <w:szCs w:val="16"/>
        </w:rPr>
        <w:softHyphen/>
        <w:t>го опытного образца, были в целом сохранены в третьем, так как в основном отвечали поставленной цели.</w:t>
      </w:r>
    </w:p>
    <w:p w14:paraId="2CEC328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После инспекции группы зенитного вооружения тан</w:t>
      </w:r>
      <w:r w:rsidRPr="007224C3">
        <w:rPr>
          <w:rFonts w:ascii="Times New Roman" w:hAnsi="Times New Roman"/>
          <w:color w:val="000000" w:themeColor="text1"/>
          <w:sz w:val="16"/>
          <w:szCs w:val="16"/>
        </w:rPr>
        <w:softHyphen/>
        <w:t>ков третий образец в октябре поступил на испытания сна</w:t>
      </w:r>
      <w:r w:rsidRPr="007224C3">
        <w:rPr>
          <w:rFonts w:ascii="Times New Roman" w:hAnsi="Times New Roman"/>
          <w:color w:val="000000" w:themeColor="text1"/>
          <w:sz w:val="16"/>
          <w:szCs w:val="16"/>
        </w:rPr>
        <w:softHyphen/>
        <w:t>чала в НИБТполигон, затем на Научно-испытательный зе</w:t>
      </w:r>
      <w:r w:rsidRPr="007224C3">
        <w:rPr>
          <w:rFonts w:ascii="Times New Roman" w:hAnsi="Times New Roman"/>
          <w:color w:val="000000" w:themeColor="text1"/>
          <w:sz w:val="16"/>
          <w:szCs w:val="16"/>
        </w:rPr>
        <w:softHyphen/>
        <w:t>нитный полигон и по их завершении, в ноябре 1944 г. был рекомендован для принятия на вооружение с минималь</w:t>
      </w:r>
      <w:r w:rsidRPr="007224C3">
        <w:rPr>
          <w:rFonts w:ascii="Times New Roman" w:hAnsi="Times New Roman"/>
          <w:color w:val="000000" w:themeColor="text1"/>
          <w:sz w:val="16"/>
          <w:szCs w:val="16"/>
        </w:rPr>
        <w:softHyphen/>
        <w:t>ным перечнем требуемых доработок (11417).</w:t>
      </w:r>
    </w:p>
    <w:p w14:paraId="7C5B69E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9FA2B8A" w14:textId="77777777" w:rsidR="00697996" w:rsidRPr="007224C3" w:rsidRDefault="00697996" w:rsidP="007224C3">
      <w:pPr>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С апреля 1944 года СКБ-75 фактически забросило работы по двигателю В-20. ГАБТУ КА пыталось найти возможность возобновить работы в другом месте, но безуспешно. Ничем на тот момент закончилась и попытка возобновить производство В-4 (17639).</w:t>
      </w:r>
    </w:p>
    <w:p w14:paraId="6D65338F" w14:textId="77777777" w:rsidR="00697996" w:rsidRPr="007224C3" w:rsidRDefault="00697996" w:rsidP="007224C3">
      <w:pPr>
        <w:spacing w:after="0" w:line="240" w:lineRule="auto"/>
        <w:jc w:val="both"/>
        <w:rPr>
          <w:rFonts w:ascii="Times New Roman" w:eastAsia="Times New Roman" w:hAnsi="Times New Roman"/>
          <w:color w:val="000000" w:themeColor="text1"/>
          <w:sz w:val="16"/>
          <w:szCs w:val="16"/>
          <w:lang w:eastAsia="ru-RU"/>
        </w:rPr>
      </w:pPr>
    </w:p>
    <w:p w14:paraId="5E77DA6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апреле 1944 года в НИИБТ прошли испытания БА-64Д, вооруженной пулеметом СГ-34 Горюнова, которые оказались неудачными. Отсутствие плечевого упора у СГ-43 делало стрельбу в движении крайне малоэффективной. Стрельба с места также не обладала большой меткостью. Было отмечено неудобство зарядки ленты в пулемет. По результатам испытаний, новая модернизация БА-64 не была рекомендована к принятию на вооружение и дальнейшие работы были прекращены (3862).</w:t>
      </w:r>
    </w:p>
    <w:p w14:paraId="3702792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EEE84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апреле 1944 года опытный образец бронеав</w:t>
      </w:r>
      <w:r w:rsidRPr="007224C3">
        <w:rPr>
          <w:rFonts w:ascii="Times New Roman" w:hAnsi="Times New Roman"/>
          <w:color w:val="000000" w:themeColor="text1"/>
          <w:sz w:val="16"/>
          <w:szCs w:val="16"/>
        </w:rPr>
        <w:softHyphen/>
        <w:t>томобиля БА-64Б с 7,62-мм пулеметом СГ-43 прошел испытания на НИ ВТ полигоне. На вооружение не принимался и и серийном производстве не состоял (10703).</w:t>
      </w:r>
    </w:p>
    <w:p w14:paraId="0C5178C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926E4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 апреле 1944 года на Кольском перешейке началась боевая деятельность двухорудийной батареи №343 на полевом транспортере береговой артиллерии - ПТБАРах. Во время наступления наших войск на Выборг батарея следовала за наступающими частями, вела огонь по наземным целям в интересах сухопутных войск, а также </w:t>
      </w:r>
      <w:r w:rsidRPr="007224C3">
        <w:rPr>
          <w:rFonts w:ascii="Times New Roman" w:hAnsi="Times New Roman"/>
          <w:color w:val="000000" w:themeColor="text1"/>
          <w:sz w:val="16"/>
          <w:szCs w:val="16"/>
        </w:rPr>
        <w:lastRenderedPageBreak/>
        <w:t>обеспечивала действия кораблей в прибрежном районе Выборгского залива. 130-мм пушка Б-13 на ПТБАР была "суррогатным" орудием военного времени. Она не имела приборов управления стрельбой, транспортеры не обеспечивали достаточной устойчивости приведении огня. Это вызывало большой расход снарядов. На крутых подъемах и спусках одну установку волокли 23 трактора ЧТЗ. Великая Отечественная война еще раз показала, что береговой обороне требуются специальные подвижные установки (3861).</w:t>
      </w:r>
    </w:p>
    <w:p w14:paraId="089DCF2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1FA19E"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апреля 1944 года после освобождения города Николаева начал восстанавливаться Завод “Дормашина”2 Главного управления Наркомата минометного вооружения, Николаев (6841).</w:t>
      </w:r>
    </w:p>
    <w:p w14:paraId="3D87FD92"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517955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апреле 1944 г. ВМФ вы</w:t>
      </w:r>
      <w:r w:rsidRPr="007224C3">
        <w:rPr>
          <w:rFonts w:ascii="Times New Roman" w:hAnsi="Times New Roman"/>
          <w:color w:val="000000" w:themeColor="text1"/>
          <w:sz w:val="16"/>
          <w:szCs w:val="16"/>
        </w:rPr>
        <w:softHyphen/>
        <w:t>дал новые задания на проектирование бронекатера. Для большого бронекатера, проект которого получил номер 190, заданием оговаривалось водоизмещение не более 75 т, скоро</w:t>
      </w:r>
      <w:r w:rsidRPr="007224C3">
        <w:rPr>
          <w:rFonts w:ascii="Times New Roman" w:hAnsi="Times New Roman"/>
          <w:color w:val="000000" w:themeColor="text1"/>
          <w:sz w:val="16"/>
          <w:szCs w:val="16"/>
        </w:rPr>
        <w:softHyphen/>
        <w:t>сть 17,5 уз, дальность плавания 600 км при 10-узловой скорости. По малому бронекатеру (пр. 191) требовалось уложиться в водоиз</w:t>
      </w:r>
      <w:r w:rsidRPr="007224C3">
        <w:rPr>
          <w:rFonts w:ascii="Times New Roman" w:hAnsi="Times New Roman"/>
          <w:color w:val="000000" w:themeColor="text1"/>
          <w:sz w:val="16"/>
          <w:szCs w:val="16"/>
        </w:rPr>
        <w:softHyphen/>
        <w:t>мещение 40 т, иметь скорость 15 уз и дальность плавания 300 км. Требования по вооружению оставались прежними, однако на ма</w:t>
      </w:r>
      <w:r w:rsidRPr="007224C3">
        <w:rPr>
          <w:rFonts w:ascii="Times New Roman" w:hAnsi="Times New Roman"/>
          <w:color w:val="000000" w:themeColor="text1"/>
          <w:sz w:val="16"/>
          <w:szCs w:val="16"/>
        </w:rPr>
        <w:softHyphen/>
        <w:t>лом катере допускалась установка только одной пулеметной башни (3898).</w:t>
      </w:r>
    </w:p>
    <w:p w14:paraId="14C9198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1E416C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апреле 1944 в Ленинграде велась достройка 3 ПЛ, строилось 11 БМО, заложены 2 БМО; проводился аварийно-боевой ремонт на 6 БМО и ПЛ М-102. Закончен ремонт 10 ТК типа Д-3, 30 кате-ров типа КМ-4, 20 катеров типа КМ-5, 2 МО, кроме того, 6 МО переоборудовались в дымзавесчики. Начата установка двух РЛС на крейсере "Максим Горький". Ждановцы вели достройку 8 стотонников (10671).</w:t>
      </w:r>
    </w:p>
    <w:p w14:paraId="26496FA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A4D6ACE"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37074B7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DE6B38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данным по апрель 1944 г. с декабря 1942 г. анализ боевых повреждений Ил-2 из состава 1, 2 и 3-го шак, 211, 230 и 335-й шад, а также 6-го гшап, показывает, что: 27% всех повреждений Ил-2 приходилось на консоли и центроплан (обшивка, нервюры, лонжероны), 25% - на хвостовое оперение и управление рулями, 20% - на фюзеляж (обшивка, стрингера, шпангоуты), 10% - на элементы конструкции шасси (пирамида, подкосы, цилиндры выпуска), 8% повреждений составляли пробоины лопастей и цилиндра перестановки шага винта, 4% повреждений - на мотор и капоты, 3% - на радиаторы, 3% - на кабину и задний бензобак.</w:t>
      </w:r>
    </w:p>
    <w:p w14:paraId="0682FF3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Около 10% поврежденных самолетов Ил-2 отправлялись в ремонтные органы или списывались ввиду невозможности ремонта. Остальные 90% восстанавливались силами техсостава и полевых авиаремонтных мастерских.</w:t>
      </w:r>
    </w:p>
    <w:p w14:paraId="6A85B66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этом боевые повреждения составили 22,2% от общего количества самолето-вылетов, то есть примерно в каждом четвертом- пятом вылете Ил-2 получал повреждение.</w:t>
      </w:r>
    </w:p>
    <w:p w14:paraId="26B3439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Установлено, что 6% повреждений приводили к вынужденным посадкам на своей территории или аварии и поломке при посадке на свой аэродром после возвращения с боевого задания. Как правило, это пулевые, снарядные и осколочные повреждения мас- лорадиатора, мотора, водосистемы, пневма- тиков колес, системы шасси, бензобаков, тяг и тросов системы управления. Остальные 94% боевых повреждений Ил-2 приводили к благополучной посадке на свой аэродром. В этих случаях самолеты ремонтировались в полевых условиях. </w:t>
      </w:r>
    </w:p>
    <w:p w14:paraId="4634DE3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 общего количества вынужденных посадок на своей территории, только 6% посадок были связаны с ранением летчика или нарушением работы мотора.</w:t>
      </w:r>
    </w:p>
    <w:p w14:paraId="753D75B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Наиболее частые серьезные повреждения Ил-2 от атак истребителей приходятся на задний верхний бензобак, расширительный бачок, лопасти винта, кабину пилота и воздушного стрелка, а от огня зенитной артиллерии - на маслорадиатор, задний верхний и нижний бензобаки, кабину воздушного стрелка, шасси, органы управления самолета, картер и блоки мотора (12020).</w:t>
      </w:r>
    </w:p>
    <w:p w14:paraId="51DAAF5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D86B5F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апрель 1944 г. за период с декабря 1942 г. средний налет Ил-2, приходящийся на одну боевую безвозвратную потерю штурмовика, в дивизиях 1-го штурмового авиакорпуса составил 106 самолето-вылетов. Если учесть вместе возвратные (севшие на вынужденные посадки и возвращенные в строй) и безвозвратные потери (все списанные самолеты), то средний налет понижается до 40-45 самолето-вылетов на одну потерю Ил-2.</w:t>
      </w:r>
    </w:p>
    <w:p w14:paraId="43FE9DA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Естественно, в периоды некоторых операций потери штурмовиков и экипажей, отнесенные к налету, могли превышать указанные выше цифры.</w:t>
      </w:r>
    </w:p>
    <w:p w14:paraId="19F2742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Важно учитывать, что в ВВС КА в оперативных сводках, донесениях и отчетах обычно указывались как возвратные, так и безвозвратные потери, отнесенные к выбранному периоду. Тогда как часть самолетов, севших на вынужденные посадки, через какое-то время восстанавливались и возвращались в строй (12020).</w:t>
      </w:r>
    </w:p>
    <w:p w14:paraId="055F7C6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B351D2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апреле 1944 на БФ началась подготовка Ил-2 топмачтовиков в 6 шад и в Финском заливе сделали специальный полигон с мишенью шириной 50 м и высотой 1 м. Каждый экипаж сделал 50 заходов на прицеливание и 5-7 со сбросом бомб без взрывателей (1085,181).</w:t>
      </w:r>
    </w:p>
    <w:p w14:paraId="7FACBD9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F2CBF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апреле 1944 г., перед штурмом Севастопольского УР 8-я ВА из 1023 боевых самолетов всех типов насчитывала 261 Ил-2. что составляло 24.6%. В Выборгской операции, в июне этого же года, группировка штурмовой авиации 13-и ВА и ВВС КБФ составила уже 35,7% (298 Ил-2) (от обшей численности авиационных сил, сосредоточенных для удара). Наивысших значений этот коэффициент достиг в 1-й и 2-й Восточно-Прусских операциях - 38,8%, 36.4%, соответственно. Для обеспечения прорыва немецкой обороны в этих операциях выделялось свыше 500 Ил-2.</w:t>
      </w:r>
    </w:p>
    <w:p w14:paraId="1D8852F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Однако несмотря на почти 3-5 кратное увеличение численности группировок Ил-2. задействованных в наступательных операциях 1943-45 гг., выделяемый ресурс на день операции по сравнению с первым периодом войны увеличился всего в 1.5-2 раза и составил 2-3 самолето-вылета на каждый исправный штурмовик.</w:t>
      </w:r>
    </w:p>
    <w:p w14:paraId="11E2E3E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Это объясняется, прежде всего, тем, что коэффициент использования штурмовой авиации на фронте (отношение количества дней, когда летчики выполняли боевые вылеты, к общему количеству дней их пребывания на фронте) в среднем остался примерно на том же уровне, что и в первый период войны и равнялся 30-35%. То есть, что летчики-ШТУРМОВИКИ в среднем "были на войне" один из трех дней своего пребывания на фронте. И только в четырех операциях штурмовики летали в два раза чаще: в оборонительной операции под Курском, а также в Орловской, Белгородско-Харьковской и Берлинской наступательных операциях коэффициент загрузки штурмовых авиаполков составлял 60-63%.</w:t>
      </w:r>
    </w:p>
    <w:p w14:paraId="484F0F6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Плотность Ил-2 в наступательных операциях 1943-45 гг. была увеличена в 6-7 раз по сравнению с таковой в первый период войны и в среднем равнялась 32-35 самолетам на 1 км фронта (8687).</w:t>
      </w:r>
    </w:p>
    <w:p w14:paraId="1C0DE7F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89900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Апрельским 1944 года постановлением ГКО предписывалось перевооружить шесть авиадивизий на истребители Як-9Т и одну - на Як-9К. Но в массовое производство самолет не пошел из-за недостаточной надежности 45-мм орудия, хотя промышленность сдала заказчику 53 машины, большая часть из которых проходила войсковые испытания в 274-м иап 278-й иад и в 812-м иап 65-й иад (12046).</w:t>
      </w:r>
    </w:p>
    <w:p w14:paraId="2467427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86CEA7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апреле 1944 года на ЧМФ 36-й полк минировал Дунайское устье, подходы к Констанце и Сулину (3457,109).</w:t>
      </w:r>
    </w:p>
    <w:p w14:paraId="756B323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724C29" w14:textId="77777777" w:rsidR="002F70F0" w:rsidRPr="007224C3" w:rsidRDefault="002F70F0" w:rsidP="007224C3">
      <w:pPr>
        <w:pStyle w:val="101"/>
        <w:shd w:val="clear" w:color="auto" w:fill="auto"/>
        <w:spacing w:after="0" w:line="240" w:lineRule="auto"/>
        <w:jc w:val="both"/>
        <w:rPr>
          <w:rFonts w:ascii="Times New Roman" w:hAnsi="Times New Roman" w:cs="Times New Roman"/>
          <w:color w:val="000000" w:themeColor="text1"/>
          <w:spacing w:val="0"/>
          <w:sz w:val="16"/>
          <w:szCs w:val="16"/>
        </w:rPr>
      </w:pPr>
      <w:r w:rsidRPr="007224C3">
        <w:rPr>
          <w:rFonts w:ascii="Times New Roman" w:hAnsi="Times New Roman" w:cs="Times New Roman"/>
          <w:color w:val="000000" w:themeColor="text1"/>
          <w:spacing w:val="0"/>
          <w:sz w:val="16"/>
          <w:szCs w:val="16"/>
        </w:rPr>
        <w:t>В апреле 1944 г. (то есть, когда Красная Армия освободила Крым) англо</w:t>
      </w:r>
      <w:r w:rsidRPr="007224C3">
        <w:rPr>
          <w:rFonts w:ascii="Times New Roman" w:hAnsi="Times New Roman" w:cs="Times New Roman"/>
          <w:color w:val="000000" w:themeColor="text1"/>
          <w:spacing w:val="0"/>
          <w:sz w:val="16"/>
          <w:szCs w:val="16"/>
        </w:rPr>
        <w:softHyphen/>
        <w:t>американская авиация приступила к минированию Дуная. С апреля по сентябрь 1944 г. англо-аме- риканская авиация производила минные постановки на всем протяжении Нижнего и Среднего Дуная:</w:t>
      </w:r>
    </w:p>
    <w:p w14:paraId="37E09531" w14:textId="77777777" w:rsidR="002F70F0" w:rsidRPr="007224C3" w:rsidRDefault="002F70F0" w:rsidP="007224C3">
      <w:pPr>
        <w:pStyle w:val="101"/>
        <w:numPr>
          <w:ilvl w:val="0"/>
          <w:numId w:val="2"/>
        </w:numPr>
        <w:shd w:val="clear" w:color="auto" w:fill="auto"/>
        <w:tabs>
          <w:tab w:val="left" w:pos="200"/>
        </w:tabs>
        <w:spacing w:after="0" w:line="240" w:lineRule="auto"/>
        <w:ind w:left="720"/>
        <w:jc w:val="both"/>
        <w:rPr>
          <w:rFonts w:ascii="Times New Roman" w:hAnsi="Times New Roman" w:cs="Times New Roman"/>
          <w:color w:val="000000" w:themeColor="text1"/>
          <w:spacing w:val="0"/>
          <w:sz w:val="16"/>
          <w:szCs w:val="16"/>
        </w:rPr>
      </w:pPr>
      <w:r w:rsidRPr="007224C3">
        <w:rPr>
          <w:rFonts w:ascii="Times New Roman" w:hAnsi="Times New Roman" w:cs="Times New Roman"/>
          <w:color w:val="000000" w:themeColor="text1"/>
          <w:spacing w:val="0"/>
          <w:sz w:val="16"/>
          <w:szCs w:val="16"/>
        </w:rPr>
        <w:t>в районе Никополь - Орехово с 13 июля по 10 августа выставлено 175 мин;</w:t>
      </w:r>
    </w:p>
    <w:p w14:paraId="3DC8398A" w14:textId="77777777" w:rsidR="002F70F0" w:rsidRPr="007224C3" w:rsidRDefault="002F70F0" w:rsidP="007224C3">
      <w:pPr>
        <w:pStyle w:val="101"/>
        <w:numPr>
          <w:ilvl w:val="0"/>
          <w:numId w:val="2"/>
        </w:numPr>
        <w:shd w:val="clear" w:color="auto" w:fill="auto"/>
        <w:tabs>
          <w:tab w:val="left" w:pos="200"/>
        </w:tabs>
        <w:spacing w:after="0" w:line="240" w:lineRule="auto"/>
        <w:ind w:left="720"/>
        <w:jc w:val="both"/>
        <w:rPr>
          <w:rFonts w:ascii="Times New Roman" w:hAnsi="Times New Roman" w:cs="Times New Roman"/>
          <w:color w:val="000000" w:themeColor="text1"/>
          <w:spacing w:val="0"/>
          <w:sz w:val="16"/>
          <w:szCs w:val="16"/>
        </w:rPr>
      </w:pPr>
      <w:r w:rsidRPr="007224C3">
        <w:rPr>
          <w:rFonts w:ascii="Times New Roman" w:hAnsi="Times New Roman" w:cs="Times New Roman"/>
          <w:color w:val="000000" w:themeColor="text1"/>
          <w:spacing w:val="0"/>
          <w:sz w:val="16"/>
          <w:szCs w:val="16"/>
        </w:rPr>
        <w:t>в районе Лом - Видин - Ново-Село в это же время выставлено 175 мин;</w:t>
      </w:r>
    </w:p>
    <w:p w14:paraId="45543A93" w14:textId="77777777" w:rsidR="002F70F0" w:rsidRPr="007224C3" w:rsidRDefault="002F70F0" w:rsidP="007224C3">
      <w:pPr>
        <w:pStyle w:val="101"/>
        <w:numPr>
          <w:ilvl w:val="0"/>
          <w:numId w:val="2"/>
        </w:numPr>
        <w:shd w:val="clear" w:color="auto" w:fill="auto"/>
        <w:tabs>
          <w:tab w:val="left" w:pos="196"/>
        </w:tabs>
        <w:spacing w:after="0" w:line="240" w:lineRule="auto"/>
        <w:ind w:left="720"/>
        <w:jc w:val="both"/>
        <w:rPr>
          <w:rFonts w:ascii="Times New Roman" w:hAnsi="Times New Roman" w:cs="Times New Roman"/>
          <w:color w:val="000000" w:themeColor="text1"/>
          <w:spacing w:val="0"/>
          <w:sz w:val="16"/>
          <w:szCs w:val="16"/>
        </w:rPr>
      </w:pPr>
      <w:r w:rsidRPr="007224C3">
        <w:rPr>
          <w:rFonts w:ascii="Times New Roman" w:hAnsi="Times New Roman" w:cs="Times New Roman"/>
          <w:color w:val="000000" w:themeColor="text1"/>
          <w:spacing w:val="0"/>
          <w:sz w:val="16"/>
          <w:szCs w:val="16"/>
        </w:rPr>
        <w:t>в районе Железных ворот выставлено 150 мин.</w:t>
      </w:r>
    </w:p>
    <w:p w14:paraId="4B57F244" w14:textId="77777777" w:rsidR="002F70F0" w:rsidRPr="007224C3" w:rsidRDefault="002F70F0" w:rsidP="007224C3">
      <w:pPr>
        <w:pStyle w:val="101"/>
        <w:shd w:val="clear" w:color="auto" w:fill="auto"/>
        <w:spacing w:after="0" w:line="240" w:lineRule="auto"/>
        <w:jc w:val="both"/>
        <w:rPr>
          <w:rFonts w:ascii="Times New Roman" w:hAnsi="Times New Roman" w:cs="Times New Roman"/>
          <w:color w:val="000000" w:themeColor="text1"/>
          <w:spacing w:val="0"/>
          <w:sz w:val="16"/>
          <w:szCs w:val="16"/>
        </w:rPr>
      </w:pPr>
      <w:r w:rsidRPr="007224C3">
        <w:rPr>
          <w:rFonts w:ascii="Times New Roman" w:hAnsi="Times New Roman" w:cs="Times New Roman"/>
          <w:color w:val="000000" w:themeColor="text1"/>
          <w:spacing w:val="0"/>
          <w:sz w:val="16"/>
          <w:szCs w:val="16"/>
        </w:rPr>
        <w:t>Наиболее ранние по времени и интенсивные по количеству минные постановки производились на участке реки ниже Белграда - с 8 апреля по 27 августа выставлено 476 мин. В рай</w:t>
      </w:r>
      <w:r w:rsidRPr="007224C3">
        <w:rPr>
          <w:rFonts w:ascii="Times New Roman" w:hAnsi="Times New Roman" w:cs="Times New Roman"/>
          <w:color w:val="000000" w:themeColor="text1"/>
          <w:spacing w:val="0"/>
          <w:sz w:val="16"/>
          <w:szCs w:val="16"/>
        </w:rPr>
        <w:softHyphen/>
        <w:t>оне впадения в Дунай реки Тиса 4 и 5 сентября выставлено 102 мины. На участке реки от Мохача до порта Илок с 8 апреля по 6 сентября выставлено 285 мин. На участке реки выше Мо</w:t>
      </w:r>
      <w:r w:rsidRPr="007224C3">
        <w:rPr>
          <w:rFonts w:ascii="Times New Roman" w:hAnsi="Times New Roman" w:cs="Times New Roman"/>
          <w:color w:val="000000" w:themeColor="text1"/>
          <w:spacing w:val="0"/>
          <w:sz w:val="16"/>
          <w:szCs w:val="16"/>
        </w:rPr>
        <w:softHyphen/>
        <w:t>хача до Дунапентеле со 2 августа по 5 сентября было выставлено 718 мин. Всего англо-американской авиацией с апреля по сентябрь 1944 г. на Дунае было вы</w:t>
      </w:r>
      <w:r w:rsidRPr="007224C3">
        <w:rPr>
          <w:rFonts w:ascii="Times New Roman" w:hAnsi="Times New Roman" w:cs="Times New Roman"/>
          <w:color w:val="000000" w:themeColor="text1"/>
          <w:spacing w:val="0"/>
          <w:sz w:val="16"/>
          <w:szCs w:val="16"/>
        </w:rPr>
        <w:softHyphen/>
        <w:t>ставлено 2445 мин. (18980).</w:t>
      </w:r>
    </w:p>
    <w:p w14:paraId="07F604E1" w14:textId="77777777" w:rsidR="002F70F0" w:rsidRPr="007224C3" w:rsidRDefault="002F70F0" w:rsidP="007224C3">
      <w:pPr>
        <w:pStyle w:val="101"/>
        <w:shd w:val="clear" w:color="auto" w:fill="auto"/>
        <w:spacing w:after="0" w:line="240" w:lineRule="auto"/>
        <w:jc w:val="both"/>
        <w:rPr>
          <w:rFonts w:ascii="Times New Roman" w:hAnsi="Times New Roman" w:cs="Times New Roman"/>
          <w:color w:val="000000" w:themeColor="text1"/>
          <w:spacing w:val="0"/>
          <w:sz w:val="16"/>
          <w:szCs w:val="16"/>
        </w:rPr>
      </w:pPr>
      <w:r w:rsidRPr="007224C3">
        <w:rPr>
          <w:rFonts w:ascii="Times New Roman" w:hAnsi="Times New Roman" w:cs="Times New Roman"/>
          <w:color w:val="000000" w:themeColor="text1"/>
          <w:spacing w:val="0"/>
          <w:sz w:val="16"/>
          <w:szCs w:val="16"/>
        </w:rPr>
        <w:t>Спору нет, минирование Дуная на</w:t>
      </w:r>
      <w:r w:rsidRPr="007224C3">
        <w:rPr>
          <w:rFonts w:ascii="Times New Roman" w:hAnsi="Times New Roman" w:cs="Times New Roman"/>
          <w:color w:val="000000" w:themeColor="text1"/>
          <w:spacing w:val="0"/>
          <w:sz w:val="16"/>
          <w:szCs w:val="16"/>
        </w:rPr>
        <w:softHyphen/>
        <w:t>несло определенный ущерб Германии и ее союзникам. От англо-американских донных мин погибло до 40 германских, венгерских и румынских судов. В то же время союзные мины создали большие проблемы для советской Дунайской флотилии и затруднили движение Крас</w:t>
      </w:r>
      <w:r w:rsidRPr="007224C3">
        <w:rPr>
          <w:rFonts w:ascii="Times New Roman" w:hAnsi="Times New Roman" w:cs="Times New Roman"/>
          <w:color w:val="000000" w:themeColor="text1"/>
          <w:spacing w:val="0"/>
          <w:sz w:val="16"/>
          <w:szCs w:val="16"/>
        </w:rPr>
        <w:softHyphen/>
        <w:t>ной Армии. Ни советские, ни западные историки так и не удосужились посчи</w:t>
      </w:r>
      <w:r w:rsidRPr="007224C3">
        <w:rPr>
          <w:rFonts w:ascii="Times New Roman" w:hAnsi="Times New Roman" w:cs="Times New Roman"/>
          <w:color w:val="000000" w:themeColor="text1"/>
          <w:spacing w:val="0"/>
          <w:sz w:val="16"/>
          <w:szCs w:val="16"/>
        </w:rPr>
        <w:softHyphen/>
        <w:t>тать, кому больший вред нанесло мини</w:t>
      </w:r>
      <w:r w:rsidRPr="007224C3">
        <w:rPr>
          <w:rFonts w:ascii="Times New Roman" w:hAnsi="Times New Roman" w:cs="Times New Roman"/>
          <w:color w:val="000000" w:themeColor="text1"/>
          <w:spacing w:val="0"/>
          <w:sz w:val="16"/>
          <w:szCs w:val="16"/>
        </w:rPr>
        <w:softHyphen/>
        <w:t>рование Дуная англо-американской ави</w:t>
      </w:r>
      <w:r w:rsidRPr="007224C3">
        <w:rPr>
          <w:rFonts w:ascii="Times New Roman" w:hAnsi="Times New Roman" w:cs="Times New Roman"/>
          <w:color w:val="000000" w:themeColor="text1"/>
          <w:spacing w:val="0"/>
          <w:sz w:val="16"/>
          <w:szCs w:val="16"/>
        </w:rPr>
        <w:softHyphen/>
        <w:t>ацией - вермахту или Красной Армии? На мой взгляд, гораздо больший ущерб нанесен нашей армии и Дунайской фло</w:t>
      </w:r>
      <w:r w:rsidRPr="007224C3">
        <w:rPr>
          <w:rFonts w:ascii="Times New Roman" w:hAnsi="Times New Roman" w:cs="Times New Roman"/>
          <w:color w:val="000000" w:themeColor="text1"/>
          <w:spacing w:val="0"/>
          <w:sz w:val="16"/>
          <w:szCs w:val="16"/>
        </w:rPr>
        <w:softHyphen/>
        <w:t>тилии. И почему минные постановки начались в 1944 г., а не в 1941 г.?</w:t>
      </w:r>
    </w:p>
    <w:p w14:paraId="0425EDFB" w14:textId="77777777" w:rsidR="002F70F0" w:rsidRPr="007224C3" w:rsidRDefault="002F70F0" w:rsidP="007224C3">
      <w:pPr>
        <w:pStyle w:val="101"/>
        <w:shd w:val="clear" w:color="auto" w:fill="auto"/>
        <w:spacing w:after="0" w:line="240" w:lineRule="auto"/>
        <w:jc w:val="both"/>
        <w:rPr>
          <w:rFonts w:ascii="Times New Roman" w:hAnsi="Times New Roman" w:cs="Times New Roman"/>
          <w:color w:val="000000" w:themeColor="text1"/>
          <w:spacing w:val="0"/>
          <w:sz w:val="16"/>
          <w:szCs w:val="16"/>
        </w:rPr>
      </w:pPr>
      <w:r w:rsidRPr="007224C3">
        <w:rPr>
          <w:rFonts w:ascii="Times New Roman" w:hAnsi="Times New Roman" w:cs="Times New Roman"/>
          <w:color w:val="000000" w:themeColor="text1"/>
          <w:spacing w:val="0"/>
          <w:sz w:val="16"/>
          <w:szCs w:val="16"/>
        </w:rPr>
        <w:t>А теперь перейдем к весьма деликат</w:t>
      </w:r>
      <w:r w:rsidRPr="007224C3">
        <w:rPr>
          <w:rFonts w:ascii="Times New Roman" w:hAnsi="Times New Roman" w:cs="Times New Roman"/>
          <w:color w:val="000000" w:themeColor="text1"/>
          <w:spacing w:val="0"/>
          <w:sz w:val="16"/>
          <w:szCs w:val="16"/>
        </w:rPr>
        <w:softHyphen/>
        <w:t>ной теме - влиянию союзных бомбардиро</w:t>
      </w:r>
      <w:r w:rsidRPr="007224C3">
        <w:rPr>
          <w:rFonts w:ascii="Times New Roman" w:hAnsi="Times New Roman" w:cs="Times New Roman"/>
          <w:color w:val="000000" w:themeColor="text1"/>
          <w:spacing w:val="0"/>
          <w:sz w:val="16"/>
          <w:szCs w:val="16"/>
        </w:rPr>
        <w:softHyphen/>
        <w:t>вок на производство и экспорт румынской нефти.</w:t>
      </w:r>
    </w:p>
    <w:p w14:paraId="3E27592D" w14:textId="77777777" w:rsidR="002F70F0" w:rsidRPr="007224C3" w:rsidRDefault="002F70F0" w:rsidP="007224C3">
      <w:pPr>
        <w:pStyle w:val="101"/>
        <w:shd w:val="clear" w:color="auto" w:fill="auto"/>
        <w:spacing w:after="0" w:line="240" w:lineRule="auto"/>
        <w:jc w:val="both"/>
        <w:rPr>
          <w:rFonts w:ascii="Times New Roman" w:hAnsi="Times New Roman" w:cs="Times New Roman"/>
          <w:color w:val="000000" w:themeColor="text1"/>
          <w:spacing w:val="0"/>
          <w:sz w:val="16"/>
          <w:szCs w:val="16"/>
        </w:rPr>
      </w:pPr>
      <w:r w:rsidRPr="007224C3">
        <w:rPr>
          <w:rFonts w:ascii="Times New Roman" w:hAnsi="Times New Roman" w:cs="Times New Roman"/>
          <w:color w:val="000000" w:themeColor="text1"/>
          <w:spacing w:val="0"/>
          <w:sz w:val="16"/>
          <w:szCs w:val="16"/>
        </w:rPr>
        <w:t>Англоязычные авторы пишут о много</w:t>
      </w:r>
      <w:r w:rsidRPr="007224C3">
        <w:rPr>
          <w:rFonts w:ascii="Times New Roman" w:hAnsi="Times New Roman" w:cs="Times New Roman"/>
          <w:color w:val="000000" w:themeColor="text1"/>
          <w:spacing w:val="0"/>
          <w:sz w:val="16"/>
          <w:szCs w:val="16"/>
        </w:rPr>
        <w:softHyphen/>
        <w:t>численных разрушениях и даже уничтоже</w:t>
      </w:r>
      <w:r w:rsidRPr="007224C3">
        <w:rPr>
          <w:rFonts w:ascii="Times New Roman" w:hAnsi="Times New Roman" w:cs="Times New Roman"/>
          <w:color w:val="000000" w:themeColor="text1"/>
          <w:spacing w:val="0"/>
          <w:sz w:val="16"/>
          <w:szCs w:val="16"/>
        </w:rPr>
        <w:softHyphen/>
        <w:t>нии многих румынских нефтеперерабаты</w:t>
      </w:r>
      <w:r w:rsidRPr="007224C3">
        <w:rPr>
          <w:rFonts w:ascii="Times New Roman" w:hAnsi="Times New Roman" w:cs="Times New Roman"/>
          <w:color w:val="000000" w:themeColor="text1"/>
          <w:spacing w:val="0"/>
          <w:sz w:val="16"/>
          <w:szCs w:val="16"/>
        </w:rPr>
        <w:softHyphen/>
        <w:t>вающих заводов. Ну а наши «любители» старательно переписывают оные данные, без всяких комментариев.</w:t>
      </w:r>
    </w:p>
    <w:p w14:paraId="0694E686" w14:textId="77777777" w:rsidR="002F70F0" w:rsidRPr="007224C3" w:rsidRDefault="002F70F0" w:rsidP="007224C3">
      <w:pPr>
        <w:pStyle w:val="101"/>
        <w:shd w:val="clear" w:color="auto" w:fill="auto"/>
        <w:spacing w:after="0" w:line="240" w:lineRule="auto"/>
        <w:jc w:val="both"/>
        <w:rPr>
          <w:rFonts w:ascii="Times New Roman" w:hAnsi="Times New Roman" w:cs="Times New Roman"/>
          <w:color w:val="000000" w:themeColor="text1"/>
          <w:spacing w:val="0"/>
          <w:sz w:val="16"/>
          <w:szCs w:val="16"/>
        </w:rPr>
      </w:pPr>
      <w:r w:rsidRPr="007224C3">
        <w:rPr>
          <w:rFonts w:ascii="Times New Roman" w:hAnsi="Times New Roman" w:cs="Times New Roman"/>
          <w:color w:val="000000" w:themeColor="text1"/>
          <w:spacing w:val="0"/>
          <w:sz w:val="16"/>
          <w:szCs w:val="16"/>
        </w:rPr>
        <w:t>Я, естественно, не буду спорить по каждому конкретному объекту, а лишь при</w:t>
      </w:r>
      <w:r w:rsidRPr="007224C3">
        <w:rPr>
          <w:rFonts w:ascii="Times New Roman" w:hAnsi="Times New Roman" w:cs="Times New Roman"/>
          <w:color w:val="000000" w:themeColor="text1"/>
          <w:spacing w:val="0"/>
          <w:sz w:val="16"/>
          <w:szCs w:val="16"/>
        </w:rPr>
        <w:softHyphen/>
        <w:t>веду известные данные по производству и экспорту румынской нефти.</w:t>
      </w:r>
    </w:p>
    <w:p w14:paraId="195C479F" w14:textId="77777777" w:rsidR="002F70F0" w:rsidRPr="007224C3" w:rsidRDefault="002F70F0" w:rsidP="007224C3">
      <w:pPr>
        <w:spacing w:after="0" w:line="240" w:lineRule="auto"/>
        <w:jc w:val="both"/>
        <w:rPr>
          <w:rFonts w:ascii="Times New Roman" w:hAnsi="Times New Roman"/>
          <w:color w:val="000000" w:themeColor="text1"/>
          <w:sz w:val="16"/>
          <w:szCs w:val="16"/>
        </w:rPr>
      </w:pPr>
    </w:p>
    <w:p w14:paraId="0434674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апреле 1944 года полк 112-й (впоследствии 26-й гвардейский) ночных охотников-блокировщиков дальнего действия, входившие в корпуса АДД, на Бостонах A-20G участвовал в налете на Констанцу: его самолеты атаковали близлежащие румынские аэродромы и подавляли средства ПВО. В распоряжении летчиков 112-го полка были не только пушки и пулеметы, по и реактивные снаряды PC-82, подвешенные под крыльями. Чаще всего их выпускали по самолетам на стоянках, но в том же апреле 1944 года ими штурмовали по ночам немецкие суда, вывозившие войска из Севастополя. В 48-м гвардейском дальнеразведывательном полку PC-82 использовали не только для нападения, но и для обороны. В придачу к подвеске под крыльями там монтировали две пусковые балки под задней частью фюзеляжа. Ракеты с них выпускались назад, поражая противника в "мертвой зоне" за хвостом (3457,110).</w:t>
      </w:r>
    </w:p>
    <w:p w14:paraId="696B7B7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6D630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апреле 1944 года смесью Б-3 н А-20С вооружили еще один полк, 13-й бомбардировочный (3457,106).</w:t>
      </w:r>
    </w:p>
    <w:p w14:paraId="0E7D87C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CE643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апреле 1944 г. 332-й ал ДЦ начал формироваться в составе 3-й гвардейской авиадивизии ДД. Основные руководящие кадры были взяты из 10-го и 20-го гв. ап ДЦ, а командиром части стал гвардии подполковник А.П.Митянин (3322,48).</w:t>
      </w:r>
    </w:p>
    <w:p w14:paraId="08E6543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388B9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апреле 1944 г. началось формирование 328-го ап ДД на Ер-2 на аэродроме Попельня (Киевская обл.) в составе 7-й гвардейской авиадивизии ДД (3-й гв. ак ДД). Командный состав полка был взят из 9-го и 21-го ап ДД (командиры эскадрилий и выше), остальной личный состав - из школ и училищ АДД. Командиром полка назначили гвардии майора И.М.Табибишева, но 27 июля в одном из тренировочных полетов в Астафьево он погиб в авиакатастрофе. Его место занял гвардии майор Г.Е.Подоба. В августе 1944 г. полк перебазировался в Белую Церковь (3322,47).</w:t>
      </w:r>
    </w:p>
    <w:p w14:paraId="1F509A4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3C6E2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апреле 1944 г. руководящий состав инженерно-технической службы вновь сформированных полков Ер-2 проходил сборы при заводе N 500 в Тушино, где изучал конструкцию и правила эксплуатации дизелей. На сборы привлекались заместители командиров полков по ИАС и инженеры эскадрилий (3322,46).</w:t>
      </w:r>
    </w:p>
    <w:p w14:paraId="1359A44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FFB6D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апреле 1944 г. при управлении 1-го гвардейского авиакорпуса ДД началось формирование 326-го авиаполка ДД на самолетах Ер-2. По штату N 015/419 каждый полк должен был иметь 208 офицеров, 233 сержанта и старшины, 32 самолета Ер-2 и один У-2. Командиром 326-го полка назначили бывшего заместителя командира 17 гв. ап ДД подполковника П.П.Маркова. Комплектование производилось преимущественно за счет 1-й и 6-й гвардейских авиадивизий ДД. Правые летчики поступали из школ АДД, младший техсостав - из Челябинского военного авиационного училища, 27-й заб и Ижевской авиашколы (3322,46).</w:t>
      </w:r>
    </w:p>
    <w:p w14:paraId="1D15624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67ABB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апреле 1944 г. из трех первых переданных в АДД машин Ер-2 М-30Б две получил НИИ ВВС, а третью оставили в 73-й вад для подготовки и переучивания ее летчиков на новую матчасть. 73-я вспомогательная авиадивизия - вад, специально была развернута в составе АДД для перегонки самолетов по сибирской трассе (3322,43).</w:t>
      </w:r>
    </w:p>
    <w:p w14:paraId="1C342DC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CC128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апреле 1944 г. П-5 младшего лейтенанта Новоселова трижды за одну ночь попадал под огонь истребителей. Пули и снаряды перебили лонжероны фюзеляжа и один из лонжеронов нижней плоскости. Но самолет сел у партизан. На другой машине на место доставили техника Седунина, который за два дня более-менее привел биплан в порядок. Новоселов полетел обратно, но над линией фронта рядом разорвался зенитный снаряд. Это оказалось чересчур даже для живучего П-5. При вынужденной посадке он был разбит и списан. Но экипаж остался жив и продолжал воевать (12034).</w:t>
      </w:r>
    </w:p>
    <w:p w14:paraId="67EF1DC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B56549A" w14:textId="77777777" w:rsidR="00552857" w:rsidRPr="007224C3" w:rsidRDefault="0055285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апреле 1944 г. Последний полёт на планёре к пар</w:t>
      </w:r>
      <w:r w:rsidRPr="007224C3">
        <w:rPr>
          <w:rFonts w:ascii="Times New Roman" w:hAnsi="Times New Roman"/>
          <w:color w:val="000000" w:themeColor="text1"/>
          <w:sz w:val="16"/>
          <w:szCs w:val="16"/>
        </w:rPr>
        <w:softHyphen/>
        <w:t>тизанам Белоруссии в район Ушачи совершил А. Синицын. На этом боевые планёрные операции в Великой Отечественной войне закон</w:t>
      </w:r>
      <w:r w:rsidRPr="007224C3">
        <w:rPr>
          <w:rFonts w:ascii="Times New Roman" w:hAnsi="Times New Roman"/>
          <w:color w:val="000000" w:themeColor="text1"/>
          <w:sz w:val="16"/>
          <w:szCs w:val="16"/>
        </w:rPr>
        <w:softHyphen/>
        <w:t>чились (12266).</w:t>
      </w:r>
    </w:p>
    <w:p w14:paraId="19F874B6" w14:textId="77777777" w:rsidR="00552857" w:rsidRPr="007224C3" w:rsidRDefault="00552857" w:rsidP="007224C3">
      <w:pPr>
        <w:spacing w:after="0" w:line="240" w:lineRule="auto"/>
        <w:jc w:val="both"/>
        <w:rPr>
          <w:rFonts w:ascii="Times New Roman" w:hAnsi="Times New Roman"/>
          <w:color w:val="000000" w:themeColor="text1"/>
          <w:sz w:val="16"/>
          <w:szCs w:val="16"/>
        </w:rPr>
      </w:pPr>
    </w:p>
    <w:p w14:paraId="6BA218A5" w14:textId="77777777" w:rsidR="00552857" w:rsidRPr="007224C3" w:rsidRDefault="00552857" w:rsidP="007224C3">
      <w:pPr>
        <w:pStyle w:val="a3"/>
        <w:rPr>
          <w:color w:val="000000" w:themeColor="text1"/>
          <w:lang w:val="ru-RU"/>
        </w:rPr>
      </w:pPr>
      <w:r w:rsidRPr="007224C3">
        <w:rPr>
          <w:color w:val="000000" w:themeColor="text1"/>
          <w:lang w:val="ru-RU"/>
        </w:rPr>
        <w:t>В апреле 1944 года в ходе боёв на Правобережной Украине танк ИС-2 получил боевое крещение. После того, как поршневой затвор А-19 был заменён на клиновый полуавтоматический, пушка стала называться Д-25Т (опытный образец изготовлен и испытан в январе 1944 года). Скорострельность пушки с новым затвором была значительно выше, но экипаж не мог пользоваться новыми техническими возможностями в полной мере. При высоких темпах стрельбы система вентиляции танка переставала справляться со своими обязанностями, и воздух в боевом отделении слишком сильно загрязнялся пороховыми газами.</w:t>
      </w:r>
    </w:p>
    <w:p w14:paraId="44986A6D" w14:textId="77777777" w:rsidR="00552857" w:rsidRPr="007224C3" w:rsidRDefault="00552857" w:rsidP="007224C3">
      <w:pPr>
        <w:pStyle w:val="a3"/>
        <w:rPr>
          <w:color w:val="000000" w:themeColor="text1"/>
          <w:lang w:val="ru-RU"/>
        </w:rPr>
      </w:pPr>
      <w:r w:rsidRPr="007224C3">
        <w:rPr>
          <w:color w:val="000000" w:themeColor="text1"/>
          <w:lang w:val="ru-RU"/>
        </w:rPr>
        <w:t>Окончательно формирование облика танка ИС завершилось после изменения формы лобового листа корпуса. Дело в том, что лобовой лист корпуса первых ИСов был ломаной формы, которая была традиционной скорее для немецкого, чем для советского танкостроения. Такая форма создавала удобные условия для работы механика-водителя, но ослабляла защищённость танка. Поэтому в 1944 году танкостроители перешли к «спрямлённому носу», что к тому же облегчило производство корпуса.</w:t>
      </w:r>
    </w:p>
    <w:p w14:paraId="2637B470" w14:textId="77777777" w:rsidR="00552857" w:rsidRPr="007224C3" w:rsidRDefault="00552857" w:rsidP="007224C3">
      <w:pPr>
        <w:pStyle w:val="a3"/>
        <w:rPr>
          <w:color w:val="000000" w:themeColor="text1"/>
          <w:lang w:val="ru-RU"/>
        </w:rPr>
      </w:pPr>
      <w:r w:rsidRPr="007224C3">
        <w:rPr>
          <w:color w:val="000000" w:themeColor="text1"/>
          <w:lang w:val="ru-RU"/>
        </w:rPr>
        <w:t>Создание танка ИС было самой радикальной мерой советского танкостроения, предпринятой с целью добиться качественного превосходства над противником. Танк ИС вобрал в себя лучшие достижения конструкторской мысли советских танкостроителей, сочетая в себе высокую приспособленность к массовому производству, мощное вооружение, способное бороться с любыми танками противника, сильную бронезащиту лобовой проекции, неуязвимую для большинства пушек противника, разделение обязанностей наводчика и командира между разными членами экипажа и внимание к таким «мелочам», которые ранее считались третьестепенными, как, например, качественный воздухоочиститель для двигателя, или система подогрева для зимних условий. Танк имел совершенную систему охлаждения, позволявшую использовать двигатель на полную мощность, двойной воздухоочиститель с грубой и тонкой очисткой воздуха, специальную аппаратуру подогрева воздуха, поступающего в двигатель, и много других усовершенствований, повышающих надежность (М. Барятинский. Тяжелый танк ИС//Бронеколлекция. 1998. № 3. С. 13-14). ИС обладал уникальной для тяжелых танков подвижностью, сближавшей его со средними танками. Его средняя скорость движения по дороге на испытаниях превзошла среднюю скорость танка Т-34 (РГАЭ. Ф. 8798. Оп. 4. Д. 5. Л. 220 - 221). Эти великолепные результаты были достигнуты благодаря хорошей подвеске и трансмиссии, в том числе планетарному механизму поворота. Фактически ИС относился к промежуточному классу между средними и тяжелыми танками, так же, как, например, немецкая «Пантера». Сам ИС можно считать одним из непосредственных предшественников будущих основных боевых танков. Броня лобовой проекции танка ИС гарантировала ему безопасность от снарядов практически любых немецких танковых и противотанковых орудий (кроме длинноствольных 88-миллиметровых пушек КЖК 43). Единственным недостатком ИС-2 была низкая скорострельность (из-за раздельного заряжания заряжающему приходилось делать двойную работу) и маленький боекомплект орудия. Правда, оно сочетало в себе высокую бронепробиваемость, дававшую танку возможность поражать сильнобронированные места любых немецких танков и САУ, кроме «Королевского Тигра» и «Фердинанда», мощное заброневое действие, гарантированно выводящее противника из строя, и большую мощность фугасного снаряда, который превосходно разрушал укрепления. На танке были установлены новые, более совершенные прицелы и приборы наблюдения, в том числе, скопированный английский танковый перископ МК-4 (12290).</w:t>
      </w:r>
    </w:p>
    <w:p w14:paraId="4211E230" w14:textId="77777777" w:rsidR="00552857" w:rsidRPr="007224C3" w:rsidRDefault="00552857" w:rsidP="007224C3">
      <w:pPr>
        <w:spacing w:after="0" w:line="240" w:lineRule="auto"/>
        <w:jc w:val="both"/>
        <w:rPr>
          <w:rFonts w:ascii="Times New Roman" w:hAnsi="Times New Roman"/>
          <w:color w:val="000000" w:themeColor="text1"/>
          <w:sz w:val="16"/>
          <w:szCs w:val="16"/>
        </w:rPr>
      </w:pPr>
    </w:p>
    <w:p w14:paraId="431F197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апреле 1944 г. ввиду практической бесполезности ПТР в борьбе с немецкими средними и тяжелыми танками рота противотанковых ружей мотострелкового батальона была обращена на доукомплектование экипажей новых тан</w:t>
      </w:r>
      <w:r w:rsidRPr="007224C3">
        <w:rPr>
          <w:rFonts w:ascii="Times New Roman" w:hAnsi="Times New Roman"/>
          <w:color w:val="000000" w:themeColor="text1"/>
          <w:sz w:val="16"/>
          <w:szCs w:val="16"/>
        </w:rPr>
        <w:softHyphen/>
        <w:t>ков. На этот штат прежде других переводились танковые бригады, входившие в состав танковых и механизированных корпусов. В дальнейшем, вплоть до конца войны, организа</w:t>
      </w:r>
      <w:r w:rsidRPr="007224C3">
        <w:rPr>
          <w:rFonts w:ascii="Times New Roman" w:hAnsi="Times New Roman"/>
          <w:color w:val="000000" w:themeColor="text1"/>
          <w:sz w:val="16"/>
          <w:szCs w:val="16"/>
        </w:rPr>
        <w:softHyphen/>
        <w:t>ция танковой бригады уже практически не менялась (11135).</w:t>
      </w:r>
    </w:p>
    <w:p w14:paraId="1B1FBAE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B51E1E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апреле 1944 с выходом Красной Армии к Днестру ДуВФ была создана вновь для содействия войскам в наступательных операциях по освобождению Придунайских государств. В нее вошли 50 бронекатеров, 18 минометных катеров, 22 тральщика, 16 полуглиссеров, отдельный батальон морской пехоты, зенитно-артиллерийский дивизион, 4 артиллерийские батареи. В ходе боевых действий силы флотилии были увеличены (около 60 БКА, 38 ТЩ, артиллерийские средства).</w:t>
      </w:r>
    </w:p>
    <w:p w14:paraId="7F53EDF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ДФ успешно взаимодействовала с сухопутными войсками в Ясско-Кишиневской, Белградской, Будапештской и Венской наступательных операциях, при форсировании Днестровского лимана; высадила 20 тактических десантов, поддерживала огнем артиллерии десанты и приречные фланги частей, перевозила войска и воинские грузы в оперативных масштабах. Всего было переправлено более 900 тыс. человек, свыше 1,5 тыс. танков и САУ, 7 тыс. орудий и минометов, 450 тыс. т военных грузов. Корабли флотилии прошли с боями по Дунаю более 2 тыс. км, уничтожили до 600 мин. </w:t>
      </w:r>
    </w:p>
    <w:p w14:paraId="51DC625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За боевые заслуги флотилия награждена орденами Красного Знамени, Нахимова I степени, Кутузова II степени. Ее соединениям и частям присвоены почетные наименования Сулинских, Тульчинских, Белградских, Братиславских, Венских. </w:t>
      </w:r>
    </w:p>
    <w:p w14:paraId="0EB6509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Флотилией командовали: Н. О. Абрамов (июнь 1940 — сентябрь 1941), А. С.Фролов (сентябрь — ноябрь 1941), С. Г. Горшков (апрель — декабрь 1944), Г. Н. Холостяков (декабрь 1944 — май 1945) (11712).</w:t>
      </w:r>
    </w:p>
    <w:p w14:paraId="033EA3A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518D546" w14:textId="77777777" w:rsidR="009E6775" w:rsidRPr="007224C3" w:rsidRDefault="009E6775" w:rsidP="007224C3">
      <w:pPr>
        <w:pStyle w:val="book"/>
        <w:ind w:firstLine="0"/>
        <w:jc w:val="both"/>
        <w:rPr>
          <w:color w:val="000000" w:themeColor="text1"/>
          <w:sz w:val="16"/>
          <w:szCs w:val="16"/>
        </w:rPr>
      </w:pPr>
      <w:r w:rsidRPr="007224C3">
        <w:rPr>
          <w:color w:val="000000" w:themeColor="text1"/>
          <w:sz w:val="16"/>
          <w:szCs w:val="16"/>
        </w:rPr>
        <w:t>В апреле 1944 г. немцы применяли SD-1400X на Восточном фронте для разрушения мостов и переправ через реку Одер (15225).</w:t>
      </w:r>
    </w:p>
    <w:p w14:paraId="74BA9A39" w14:textId="77777777" w:rsidR="009E6775" w:rsidRPr="007224C3" w:rsidRDefault="009E6775" w:rsidP="007224C3">
      <w:pPr>
        <w:pStyle w:val="book"/>
        <w:ind w:firstLine="0"/>
        <w:jc w:val="both"/>
        <w:rPr>
          <w:color w:val="000000" w:themeColor="text1"/>
          <w:sz w:val="16"/>
          <w:szCs w:val="16"/>
        </w:rPr>
      </w:pPr>
    </w:p>
    <w:p w14:paraId="35BB6B9A" w14:textId="77777777" w:rsidR="00C140B0" w:rsidRPr="007224C3" w:rsidRDefault="00C140B0"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Жизнь и внутренняя политика:</w:t>
      </w:r>
    </w:p>
    <w:p w14:paraId="721BC630" w14:textId="77777777" w:rsidR="00C140B0" w:rsidRPr="007224C3" w:rsidRDefault="00C140B0"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E8F1813" w14:textId="77777777" w:rsidR="00C140B0" w:rsidRPr="007224C3" w:rsidRDefault="00C140B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Апрель 1944. Открылись двадцать ночных ресторанов в Москве. Они работали до 5 часовутра, и в них играл оркестр, и выступали артиста (18692).</w:t>
      </w:r>
    </w:p>
    <w:p w14:paraId="429B5576" w14:textId="77777777" w:rsidR="00C140B0" w:rsidRPr="007224C3" w:rsidRDefault="00C140B0" w:rsidP="007224C3">
      <w:pPr>
        <w:spacing w:after="0" w:line="240" w:lineRule="auto"/>
        <w:jc w:val="both"/>
        <w:rPr>
          <w:rFonts w:ascii="Times New Roman" w:hAnsi="Times New Roman"/>
          <w:color w:val="000000" w:themeColor="text1"/>
          <w:sz w:val="16"/>
          <w:szCs w:val="16"/>
        </w:rPr>
      </w:pPr>
    </w:p>
    <w:p w14:paraId="5C2A716C"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lastRenderedPageBreak/>
        <w:t>Внешняя политика:</w:t>
      </w:r>
    </w:p>
    <w:p w14:paraId="634E291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88BC7BA" w14:textId="77777777" w:rsidR="009E6775" w:rsidRPr="007224C3" w:rsidRDefault="009E6775" w:rsidP="007224C3">
      <w:pPr>
        <w:pStyle w:val="36"/>
        <w:shd w:val="clear" w:color="auto" w:fill="auto"/>
        <w:spacing w:after="0"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В апреле 1944 г. осна</w:t>
      </w:r>
      <w:r w:rsidRPr="007224C3">
        <w:rPr>
          <w:rFonts w:ascii="Times New Roman" w:cs="Times New Roman"/>
          <w:color w:val="000000" w:themeColor="text1"/>
          <w:spacing w:val="0"/>
          <w:sz w:val="16"/>
          <w:szCs w:val="16"/>
        </w:rPr>
        <w:softHyphen/>
        <w:t>стили новым крылом и мотогондола</w:t>
      </w:r>
      <w:r w:rsidRPr="007224C3">
        <w:rPr>
          <w:rFonts w:ascii="Times New Roman" w:cs="Times New Roman"/>
          <w:color w:val="000000" w:themeColor="text1"/>
          <w:spacing w:val="0"/>
          <w:sz w:val="16"/>
          <w:szCs w:val="16"/>
        </w:rPr>
        <w:softHyphen/>
        <w:t>ми уже существующий фюзеляж от Не-177АЗ, хвостовое оперение взя</w:t>
      </w:r>
      <w:r w:rsidRPr="007224C3">
        <w:rPr>
          <w:rFonts w:ascii="Times New Roman" w:cs="Times New Roman"/>
          <w:color w:val="000000" w:themeColor="text1"/>
          <w:spacing w:val="0"/>
          <w:sz w:val="16"/>
          <w:szCs w:val="16"/>
        </w:rPr>
        <w:softHyphen/>
        <w:t xml:space="preserve">ли от </w:t>
      </w:r>
      <w:r w:rsidRPr="007224C3">
        <w:rPr>
          <w:rFonts w:ascii="Times New Roman" w:cs="Times New Roman"/>
          <w:color w:val="000000" w:themeColor="text1"/>
          <w:spacing w:val="0"/>
          <w:sz w:val="16"/>
          <w:szCs w:val="16"/>
          <w:lang w:val="en-US"/>
        </w:rPr>
        <w:t>Ju</w:t>
      </w:r>
      <w:r w:rsidRPr="007224C3">
        <w:rPr>
          <w:rFonts w:ascii="Times New Roman" w:cs="Times New Roman"/>
          <w:color w:val="000000" w:themeColor="text1"/>
          <w:spacing w:val="0"/>
          <w:sz w:val="16"/>
          <w:szCs w:val="16"/>
        </w:rPr>
        <w:t>-188. Так как шасси убрать в крыло, требующее высокой жёстко</w:t>
      </w:r>
      <w:r w:rsidRPr="007224C3">
        <w:rPr>
          <w:rFonts w:ascii="Times New Roman" w:cs="Times New Roman"/>
          <w:color w:val="000000" w:themeColor="text1"/>
          <w:spacing w:val="0"/>
          <w:sz w:val="16"/>
          <w:szCs w:val="16"/>
        </w:rPr>
        <w:softHyphen/>
        <w:t>сти конструкции, не представлялось возможным, решили использовать неубираемые стойки. Носовую двух</w:t>
      </w:r>
      <w:r w:rsidRPr="007224C3">
        <w:rPr>
          <w:rFonts w:ascii="Times New Roman" w:cs="Times New Roman"/>
          <w:color w:val="000000" w:themeColor="text1"/>
          <w:spacing w:val="0"/>
          <w:sz w:val="16"/>
          <w:szCs w:val="16"/>
        </w:rPr>
        <w:softHyphen/>
        <w:t>колесную стойку взяли от трофейно</w:t>
      </w:r>
      <w:r w:rsidRPr="007224C3">
        <w:rPr>
          <w:rFonts w:ascii="Times New Roman" w:cs="Times New Roman"/>
          <w:color w:val="000000" w:themeColor="text1"/>
          <w:spacing w:val="0"/>
          <w:sz w:val="16"/>
          <w:szCs w:val="16"/>
        </w:rPr>
        <w:softHyphen/>
        <w:t>го В-24, а основные стойки с подко</w:t>
      </w:r>
      <w:r w:rsidRPr="007224C3">
        <w:rPr>
          <w:rFonts w:ascii="Times New Roman" w:cs="Times New Roman"/>
          <w:color w:val="000000" w:themeColor="text1"/>
          <w:spacing w:val="0"/>
          <w:sz w:val="16"/>
          <w:szCs w:val="16"/>
        </w:rPr>
        <w:softHyphen/>
        <w:t xml:space="preserve">сом к переднему лонжерону крыла имели колёса от </w:t>
      </w:r>
      <w:r w:rsidRPr="007224C3">
        <w:rPr>
          <w:rFonts w:ascii="Times New Roman" w:cs="Times New Roman"/>
          <w:color w:val="000000" w:themeColor="text1"/>
          <w:spacing w:val="0"/>
          <w:sz w:val="16"/>
          <w:szCs w:val="16"/>
          <w:lang w:val="en-US"/>
        </w:rPr>
        <w:t>Ju</w:t>
      </w:r>
      <w:r w:rsidRPr="007224C3">
        <w:rPr>
          <w:rFonts w:ascii="Times New Roman" w:cs="Times New Roman"/>
          <w:color w:val="000000" w:themeColor="text1"/>
          <w:spacing w:val="0"/>
          <w:sz w:val="16"/>
          <w:szCs w:val="16"/>
        </w:rPr>
        <w:t>-352, закрытые большими обтекателями. Характер</w:t>
      </w:r>
      <w:r w:rsidRPr="007224C3">
        <w:rPr>
          <w:rFonts w:ascii="Times New Roman" w:cs="Times New Roman"/>
          <w:color w:val="000000" w:themeColor="text1"/>
          <w:spacing w:val="0"/>
          <w:sz w:val="16"/>
          <w:szCs w:val="16"/>
        </w:rPr>
        <w:softHyphen/>
        <w:t>ной особенностью обтекания КОС на малых скоростях является возникно</w:t>
      </w:r>
      <w:r w:rsidRPr="007224C3">
        <w:rPr>
          <w:rFonts w:ascii="Times New Roman" w:cs="Times New Roman"/>
          <w:color w:val="000000" w:themeColor="text1"/>
          <w:spacing w:val="0"/>
          <w:sz w:val="16"/>
          <w:szCs w:val="16"/>
        </w:rPr>
        <w:softHyphen/>
        <w:t>вение срыва потока в корневой час</w:t>
      </w:r>
      <w:r w:rsidRPr="007224C3">
        <w:rPr>
          <w:rFonts w:ascii="Times New Roman" w:cs="Times New Roman"/>
          <w:color w:val="000000" w:themeColor="text1"/>
          <w:spacing w:val="0"/>
          <w:sz w:val="16"/>
          <w:szCs w:val="16"/>
        </w:rPr>
        <w:softHyphen/>
        <w:t>ти при сравнительно небольших уг</w:t>
      </w:r>
      <w:r w:rsidRPr="007224C3">
        <w:rPr>
          <w:rFonts w:ascii="Times New Roman" w:cs="Times New Roman"/>
          <w:color w:val="000000" w:themeColor="text1"/>
          <w:spacing w:val="0"/>
          <w:sz w:val="16"/>
          <w:szCs w:val="16"/>
        </w:rPr>
        <w:softHyphen/>
        <w:t>лах атаки и практически безотрывное обтекание концевых частей крыла. Последнее обеспечивает сохранение эффективно</w:t>
      </w:r>
      <w:r w:rsidRPr="007224C3">
        <w:rPr>
          <w:rFonts w:ascii="Times New Roman" w:cs="Times New Roman"/>
          <w:color w:val="000000" w:themeColor="text1"/>
          <w:spacing w:val="0"/>
          <w:sz w:val="16"/>
          <w:szCs w:val="16"/>
        </w:rPr>
        <w:softHyphen/>
        <w:t>сти элеронов до больших углов атаки. Испытания выявили недос</w:t>
      </w:r>
      <w:r w:rsidRPr="007224C3">
        <w:rPr>
          <w:rFonts w:ascii="Times New Roman" w:cs="Times New Roman"/>
          <w:color w:val="000000" w:themeColor="text1"/>
          <w:spacing w:val="0"/>
          <w:sz w:val="16"/>
          <w:szCs w:val="16"/>
        </w:rPr>
        <w:softHyphen/>
        <w:t>таток размещения двигателей в передней части фюзеляжа — трудность балансировки. В результате расположейие двигателей и их число (тяги явно не хватало) на втором опыт</w:t>
      </w:r>
      <w:r w:rsidRPr="007224C3">
        <w:rPr>
          <w:rFonts w:ascii="Times New Roman" w:cs="Times New Roman"/>
          <w:color w:val="000000" w:themeColor="text1"/>
          <w:spacing w:val="0"/>
          <w:sz w:val="16"/>
          <w:szCs w:val="16"/>
        </w:rPr>
        <w:softHyphen/>
        <w:t xml:space="preserve">ном </w:t>
      </w:r>
      <w:r w:rsidRPr="007224C3">
        <w:rPr>
          <w:rFonts w:ascii="Times New Roman" w:cs="Times New Roman"/>
          <w:color w:val="000000" w:themeColor="text1"/>
          <w:spacing w:val="0"/>
          <w:sz w:val="16"/>
          <w:szCs w:val="16"/>
          <w:lang w:val="en-US"/>
        </w:rPr>
        <w:t>Ju</w:t>
      </w:r>
      <w:r w:rsidRPr="007224C3">
        <w:rPr>
          <w:rFonts w:ascii="Times New Roman" w:cs="Times New Roman"/>
          <w:color w:val="000000" w:themeColor="text1"/>
          <w:spacing w:val="0"/>
          <w:sz w:val="16"/>
          <w:szCs w:val="16"/>
        </w:rPr>
        <w:t>-287</w:t>
      </w:r>
      <w:r w:rsidRPr="007224C3">
        <w:rPr>
          <w:rFonts w:ascii="Times New Roman" w:cs="Times New Roman"/>
          <w:color w:val="000000" w:themeColor="text1"/>
          <w:spacing w:val="0"/>
          <w:sz w:val="16"/>
          <w:szCs w:val="16"/>
          <w:lang w:val="en-US"/>
        </w:rPr>
        <w:t>V</w:t>
      </w:r>
      <w:r w:rsidRPr="007224C3">
        <w:rPr>
          <w:rFonts w:ascii="Times New Roman" w:cs="Times New Roman"/>
          <w:color w:val="000000" w:themeColor="text1"/>
          <w:spacing w:val="0"/>
          <w:sz w:val="16"/>
          <w:szCs w:val="16"/>
        </w:rPr>
        <w:t>2 решили изменить. Крыло для второй машины изготовили к 3 июля 1944 г. (15791).</w:t>
      </w:r>
    </w:p>
    <w:p w14:paraId="3579F905" w14:textId="77777777" w:rsidR="009E6775" w:rsidRPr="007224C3" w:rsidRDefault="009E6775" w:rsidP="007224C3">
      <w:pPr>
        <w:spacing w:after="0" w:line="240" w:lineRule="auto"/>
        <w:jc w:val="both"/>
        <w:rPr>
          <w:rFonts w:ascii="Times New Roman" w:hAnsi="Times New Roman"/>
          <w:color w:val="000000" w:themeColor="text1"/>
          <w:sz w:val="16"/>
          <w:szCs w:val="16"/>
        </w:rPr>
      </w:pPr>
    </w:p>
    <w:p w14:paraId="2353157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апреле 1944 И.В.С. запросил у Рузвельта 500 четырехмоторных бомбардировщиков В-24 и В-17</w:t>
      </w:r>
    </w:p>
    <w:p w14:paraId="456BA8E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E3CBAD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апреле 1944 г. экипажи монгольских Р-5, И-15 и У-2 совершили около 60 боевых вылетов при поддержке своих войск, вытеснявших с территории страны чанкайшистских солдат, которые вторглись в Монголию, преследуя повстанцев-казахов. В ходе операций против японцев монголь</w:t>
      </w:r>
      <w:r w:rsidRPr="007224C3">
        <w:rPr>
          <w:rFonts w:ascii="Times New Roman" w:hAnsi="Times New Roman"/>
          <w:color w:val="000000" w:themeColor="text1"/>
          <w:sz w:val="16"/>
          <w:szCs w:val="16"/>
        </w:rPr>
        <w:softHyphen/>
        <w:t>ские Р-5 действовали как штурмовики под Ондорханом, поддерживая продвижение со</w:t>
      </w:r>
      <w:r w:rsidRPr="007224C3">
        <w:rPr>
          <w:rFonts w:ascii="Times New Roman" w:hAnsi="Times New Roman"/>
          <w:color w:val="000000" w:themeColor="text1"/>
          <w:sz w:val="16"/>
          <w:szCs w:val="16"/>
        </w:rPr>
        <w:softHyphen/>
        <w:t>ветских и монгольских войск на Калган и Жехе. Это, правда, происходило при практи</w:t>
      </w:r>
      <w:r w:rsidRPr="007224C3">
        <w:rPr>
          <w:rFonts w:ascii="Times New Roman" w:hAnsi="Times New Roman"/>
          <w:color w:val="000000" w:themeColor="text1"/>
          <w:sz w:val="16"/>
          <w:szCs w:val="16"/>
        </w:rPr>
        <w:softHyphen/>
        <w:t>чески полном отсутствии в воздухе самоле</w:t>
      </w:r>
      <w:r w:rsidRPr="007224C3">
        <w:rPr>
          <w:rFonts w:ascii="Times New Roman" w:hAnsi="Times New Roman"/>
          <w:color w:val="000000" w:themeColor="text1"/>
          <w:sz w:val="16"/>
          <w:szCs w:val="16"/>
        </w:rPr>
        <w:softHyphen/>
        <w:t>тов противника. Напоследок Р-5 внесли свой вклад в ско</w:t>
      </w:r>
      <w:r w:rsidRPr="007224C3">
        <w:rPr>
          <w:rFonts w:ascii="Times New Roman" w:hAnsi="Times New Roman"/>
          <w:color w:val="000000" w:themeColor="text1"/>
          <w:sz w:val="16"/>
          <w:szCs w:val="16"/>
        </w:rPr>
        <w:softHyphen/>
        <w:t>ротечную кампанию против Японии. Так, в 17-й воздушной армии имелось звено, кото</w:t>
      </w:r>
      <w:r w:rsidRPr="007224C3">
        <w:rPr>
          <w:rFonts w:ascii="Times New Roman" w:hAnsi="Times New Roman"/>
          <w:color w:val="000000" w:themeColor="text1"/>
          <w:sz w:val="16"/>
          <w:szCs w:val="16"/>
        </w:rPr>
        <w:softHyphen/>
        <w:t>рое обеспечивало связь с передовыми ча</w:t>
      </w:r>
      <w:r w:rsidRPr="007224C3">
        <w:rPr>
          <w:rFonts w:ascii="Times New Roman" w:hAnsi="Times New Roman"/>
          <w:color w:val="000000" w:themeColor="text1"/>
          <w:sz w:val="16"/>
          <w:szCs w:val="16"/>
        </w:rPr>
        <w:softHyphen/>
        <w:t>стями Забайкальского фронта. Несколько машин входило также в авиацию Амурской военной флотилии. К операциям привлека</w:t>
      </w:r>
      <w:r w:rsidRPr="007224C3">
        <w:rPr>
          <w:rFonts w:ascii="Times New Roman" w:hAnsi="Times New Roman"/>
          <w:color w:val="000000" w:themeColor="text1"/>
          <w:sz w:val="16"/>
          <w:szCs w:val="16"/>
        </w:rPr>
        <w:softHyphen/>
        <w:t>лись и самолеты погранохраны. В Маньч</w:t>
      </w:r>
      <w:r w:rsidRPr="007224C3">
        <w:rPr>
          <w:rFonts w:ascii="Times New Roman" w:hAnsi="Times New Roman"/>
          <w:color w:val="000000" w:themeColor="text1"/>
          <w:sz w:val="16"/>
          <w:szCs w:val="16"/>
        </w:rPr>
        <w:softHyphen/>
        <w:t>журии действовал 3-й ЛБАП НКВД на У-2, Р-5 и СБ. На его счету бомбежка г. Джурганхе, уничтожение переправ на р. Ган, налеты на позиции японцев в районе Драгоценки. Восемь Р-5 имел Тихоокеанский флот, но в боях они не участвовали (11936).</w:t>
      </w:r>
    </w:p>
    <w:p w14:paraId="0AD8475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6356C6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апреле 1944 г. два смешанных подразделения (укомплектованных Р-5, И-15 и вооруженными У-2) привлекли к поддержке монгольских войск, вытеснявших с территории страны чанкайшистских солдат. Последние вторглись в Монголию, преследуя повстанцев-казахов, возглавляемых Осман-Баатаром. Против китайцев монгольские летчики совершили около 60 боевых вылетов.В ходе операций против японцев монгольские Р-5 не ограничивались вс по м о гател ьн ы м и функциями. Они как штурмовики действовали под Ондорханом, поддерживая продвижение советских и монгольских войск на Калган и Жехе. Это, правда, происходило при практически полном отсутствии в воздухе японских самолетов (12034).</w:t>
      </w:r>
    </w:p>
    <w:p w14:paraId="6A8DAF0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88044B5"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4BD8B13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3126BA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апреле 1944 г. немцами были закончены испытания боевых Мистелей, которые шли с ноября 1943, в том числе и учебно-боевая атака по списанному французскому кораблю «Oran» (Ненахов Ю.Ю. Чудо-оружие Третьего рейха. Минск: ХАРВЕСТ, 1999.). Результаты атаки были признаны вполне обнадеживающими. В апреле 1944 г. была сформирована авиационная часть, вооруженная сцепками. Ее командиром был назначен капитан Хорст Рудет.</w:t>
      </w:r>
    </w:p>
    <w:p w14:paraId="04B9EBF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Боевое применение Мистелей планировалось следующим образом. Взлет и полет сцепки до цели происходил при работе двигателей беспилотного ударного самолета. Управлял самолетом летчик из кабины носителя. Горючее для работы двигателей поступало из баков ударного самолета. Горючее самолета-носителя (самолета управления) использовалось при его обратном полете.</w:t>
      </w:r>
    </w:p>
    <w:p w14:paraId="6B9E694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приближении к цели, примерно на высоте 600 м, пилот самолета управления производил отделение ударного самолета.</w:t>
      </w:r>
    </w:p>
    <w:p w14:paraId="373A918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Беспилотный ударный самолет под управлением автопилота летел по заданному курсу, а затем переходил в пологое пикирование под углом 15–20о со скоростью 250 км/ч. Для поражения цели на ударном самолете было до 2 т взрывчатки.</w:t>
      </w:r>
    </w:p>
    <w:p w14:paraId="5CECD64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Поскольку началось широкомасштабное вторжение англо-американских войск в Европу, немецко-фашистское командование отказалось от планов использования Мистелей против советского Балтийского флота. В ночь с 24 на 25 июня 1944 г. все имевшиеся на то время пять сцепок атаковали крупное скопление англо-американских судов в устье Сены. Четыре беспилотных ударных элемента сцепки Мистель были благополучно сброшены и поразили несколько целей. Пятая сцепка из-за технической неисправности вернулась на базу. Ударный элемент Юнкерс перед посадкой был сброшен в безлюдном районе, так как посадка всей сцепки была невозможна.</w:t>
      </w:r>
    </w:p>
    <w:p w14:paraId="04E6636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дальнейшем Мистели продолжали ночные атаки на десантные конвои союзников в Ла-Манше. В октябре 1944 г. пять Мистелей нанесли удар по главной базе британского флота Скап-Флоу.</w:t>
      </w:r>
    </w:p>
    <w:p w14:paraId="157F291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конце 1944 г. группировка Мистелей насчитывала 60 единиц.</w:t>
      </w:r>
    </w:p>
    <w:p w14:paraId="4A57978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январе 1945 г. подразделение Мистелей начало подготовку к удару по крупнейшим военным объектам Советского Союза с целью срыва зимне-весеннего наступления Красной Армии. Операция получила кодовое название «Eisenhammer» (Ненахов Ю.Ю. Чудо-оружие Третьего рейха. Минск: ХАРВЕСТ, 1999.). К марту около 100 Мистелей было переброшено в Восточную Пруссию.</w:t>
      </w:r>
    </w:p>
    <w:p w14:paraId="1D5C861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Быстрое приближение линии фронта к району базирования сцепок сорвало планы немецко-фашистского командования.</w:t>
      </w:r>
    </w:p>
    <w:p w14:paraId="0190B96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связи с этим Мистели передислоцировали для выполнения несвойственных им тактических задач – нанесения ударов по переправам через Вислу, Одер, Нейсе и Рейн, крупным железнодорожным узлам и скоплениям советских войск. В районе переправ через Одер, обороняемых частями 5-го корпуса ПВО Советской Армии, в апреле 1945 г. было отмечено 12 случаев применения ударных авиасцепок Мистель. Однако точность поражения целей такими системами была незначительной. Кроме того, Мистели оказались беззащитными перед фронтовой и противовоздушной авиацией и несли огромные потери. Последний боевой вылет сцепки был зарегистрирован 16 апреля 1945 г.</w:t>
      </w:r>
    </w:p>
    <w:p w14:paraId="2824B1B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Весной 1945 г. знаменитый советский летчик Е.Я. Савицкий (1910–1990), будущий заместитель главнокомандующего Войсками ПВО, заметил над переправой через Одер «летающую геометрическую трапецию». Это была сцепка из самолетов Fw190 и Ju88. Внезапно истребитель Fw190 отделился от бомбардировщика, выполнил горку и ушел в сторону. Самолет Ju88 направился к окопам советских войск на передовой. Не долетев до окопов, он ударился о землю и разнес все в радиусе 200 м. Это был один из первых случаев применения Мистелей против советских войск.</w:t>
      </w:r>
    </w:p>
    <w:p w14:paraId="22C21CB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Ветеран Великой Отечественной войны В. Чечель вспоминал о применении Мистелей против наших войск в период боев за Берлин: «Помню попытку разрушить самолетами-снарядами переправу через Одер, по которой двигались наши танки, артиллерия, автомобили с боеприпасами, шли войска. Самолетснаряд начинялся взрывчаткой и направлялся в цель другим самолетом, в котором был пилот. Так вот, на ту переправу ни один из тех трех снарядов не упал: как только наши зенитки открыли по ним огонь, немецкие летчики, быстро отделавшись от опасного груза, убрались восвояси, а снаряды упали далеко от переправы. Но взрывы были такие сильные, что наши окопы на плацдарме наполнились водой от сотрясения почвы. Попади хоть один такой снаряд в цель – от нашей переправы не осталось бы и следа» (Чечель В. Не забывается такое никогда. Северный Курьер. 2000, 1 апреля.).</w:t>
      </w:r>
    </w:p>
    <w:p w14:paraId="0BD43AB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Совершенствование сцепок проходило по различным направлениям. Так, поскольку конструкторы не смогли решить задачу синхронизации и единого управления разных по типу и мощности двигателей Bf109 и Ju88G1, то в сцепке Мессершмитт был заменен истребителем Fw190A6. Сцепка получила название Mistel2. Из-за превышенного взлетного веса (14 т), во время разбега у шасси Юнкерса рвались пневматики, что вело к авариям. Из-за этого шасси Юнкерса было заменено сбрасывающейся после взлета тележкой. Доработанная система получила название Mistel3.</w:t>
      </w:r>
    </w:p>
    <w:p w14:paraId="67DC357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1945 г. завод Юнкерса в Бернбурге наладил выпуск новой модификации сцепки на базе бомбардировщика Ju88G10, у которого фюзеляж был удлинен почти на три метра. Такая система снабжалась дополнительным топливным баком. Кроме того, под крыльями Юнкерса подвешивались еще два топливных бака. Все это увеличивало радиус действия сцепки до 4100 км.</w:t>
      </w:r>
    </w:p>
    <w:p w14:paraId="05FCB97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Однако возрос взлетный вес Mistel3 – 23,6 т, а скорость полета снизилась до 340 км/ч. При этом скорость пикирования сцепки при угле 15о составляла почти 600 км/ч. Система получила название Mistel3С.</w:t>
      </w:r>
    </w:p>
    <w:p w14:paraId="4B62E8A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1945 г. появился Mistel3В – на базе Ju88Н4. Впервые ударный самолет был сделан пилотируемым – с экипажем из трех человек. Задняя полусфера прикрывалась 13-мм пулеметом, летающая пилотируемая бомба оборудовалась поисковой РЛС. Экипаж бомбы должен был помогать летчику истребителя пилотировать сцепку, ориентируясь по данным РЛС, и отгонять воздушного противника. Перед боевым применением экипаж на парашютах покидал летающую бомбу. Однако в боевой практике такая сцепка не применялась.</w:t>
      </w:r>
    </w:p>
    <w:p w14:paraId="2C856A1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Германии в последние месяцы войны были разработаны проекты Мистелей с ударным элементом в виде опытной крылатой ракеты класса «воздух–поверхность» Е377. В таких сцепках самолетом наведения служили реактивный бомбардировщик Ar234 и реактивный истребитель He162A. С реактивным истребителем Хейнкель скорость сцепки могла бы достигать 650 км/ч, а радиус действия – до 2000 км/ч. Кроме того, проектировались Мистели на базе реактивных самолетов.</w:t>
      </w:r>
    </w:p>
    <w:p w14:paraId="154429D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Что касается планирующей бомбы Е377, то она была разработана в RLM в конце 1944 г. По существу это был безмоторный вариант одного из проектов самолета фирмы Арадо. Планирующая бомба по первоначальной версии должна была буксироваться на тросе за самолетом Ar234C2 или истребителем He162.</w:t>
      </w:r>
    </w:p>
    <w:p w14:paraId="7305A7A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КР Е377 предназначалась для поражения наземных и морских целей. Управление осуществлялось дистанционно или посредством устройства сопровождения цели. Конструкция КР была деревянной и выполнена в виде тела вращения. При полете к объекту поражения ракета Е377 служила для носителя дополнительным топливным </w:t>
      </w:r>
      <w:r w:rsidRPr="007224C3">
        <w:rPr>
          <w:rFonts w:ascii="Times New Roman" w:hAnsi="Times New Roman"/>
          <w:color w:val="000000" w:themeColor="text1"/>
          <w:sz w:val="16"/>
          <w:szCs w:val="16"/>
        </w:rPr>
        <w:lastRenderedPageBreak/>
        <w:t>баком (в безмоторном варианте). Крылья КР также представляли собой топливные баки. Крыльевые и фюзеляжные топливные баки КР были заполнены инертным газом. Вес боевой части Е377 составлял 2 т.</w:t>
      </w:r>
    </w:p>
    <w:p w14:paraId="3AFE3C6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Германские ударные управляемые средства...</w:t>
      </w:r>
    </w:p>
    <w:p w14:paraId="46607A8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Был разработан вариант КР с двигателем и без двигателя. Боевая часть бездвигательного варианта Е377 состояла из кумулятивного заряда. Она оказалась весьма эффективной против надводных целей. Для поражения крупных целей предусматривалось создание боевой части, близкой по своим характеристикам к тонкостенной мине (Хервиг Д., Роде Г. Секретные проекты бомбардировщиков люфтваффе. Смоленск: Русич, 2001.).</w:t>
      </w:r>
    </w:p>
    <w:p w14:paraId="7E4AA7C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Вместо боевой части на планирующей бомбе была предусмотрена возможность монтировать обычную бомбу SC 1800 без оперения. Предусматривалась также возможность создания пилотируемого варианта бомбы Арадо Е377 специально для летчиков-«камикадзе»183. Окончание войны не дало немецким «сверхчеловекам» возможности наладить массовое производство и применение планирующей бомбы Арадо Е377.</w:t>
      </w:r>
    </w:p>
    <w:p w14:paraId="111433E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Был разработан проект ракетной сцепки Мистеля. Этот проект сложнейшей сцепки разработала фирма «Blohm und Voss» в конце войны. Сцепка состояла из бомбардировщиков Do217 или He177, реактивного самолета-носителя и ударной крылатой ракеты Хеншель.</w:t>
      </w:r>
    </w:p>
    <w:p w14:paraId="4F16C81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Принцип боевого применения этого Мистеля состоял в следующем. Вся сцепка поднималась в воздух и следовала в район цели.</w:t>
      </w:r>
    </w:p>
    <w:p w14:paraId="3807825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Носитель приближался к объекту поражения на расстояние 290 км и отстыковывался. Реактивный носитель поднимался на огромную по тем временам высоту – 15000 м. На этой высоте пилот реактивного истребителя входил в пике, ракета отделялась, запускался ее двигатель, пилот ракеты наводил ракету по радару по баллистической траектории и отделялся от нее для возвращения на базу. Так как в полете перегрузки достигали 20 g, то пилот располагался лежа на амортизирующем лежаке.</w:t>
      </w:r>
    </w:p>
    <w:p w14:paraId="131FDE8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Ракета предназначалась для ударов по наземным и морским целям. Тактико-технические характеристики ракетного носителя были следующими: размах крыла – 6 м, длина – 8 м, максимальная скорость – 1000 км/ч.</w:t>
      </w:r>
    </w:p>
    <w:p w14:paraId="48A7DCB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Помимо самолетов-сцепок с боевыми элементами, в Германии в 1942 г. на фирме «Юнкерс» был разработан проект сцепки EF 101, состоящей из самолета-носителя и высотного разведчика Ме 109Н184. Высотный разведчик размещался под нижней частью фюзеляжа в полуутопленном положении. Крылья разведчика полностью располагались под нижней частью крыла самолета-носителя.</w:t>
      </w:r>
    </w:p>
    <w:p w14:paraId="6ACB613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Самолет-носитель, рассчитанный на дальность полета в 17 000 км, достигал района разведки. После этого разведчик отцеплялся, выполнял боевую задачу и снова подцеплялся к авиаматке. Механизм захвата был разработан в DFS и испытан на самолете He177. Одна из модификаций Юнкерса EF101 предполагала подвешивать к носителю не самолет-разведчик, а мощную управляемую авиабомбу (11686).</w:t>
      </w:r>
    </w:p>
    <w:p w14:paraId="175DB48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0EC762B" w14:textId="77777777" w:rsidR="007874A2" w:rsidRPr="007224C3" w:rsidRDefault="007874A2"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С апреля 1944 г. вертолеты R-4 из 1-й воздушной группы специального назначения Армии США (US Army’s First Air Commando Group) приняли участие в боевых операциях в Бирме и Индии. Они использовались для обеспечения действий коммандос, в том числе эвакуации раненых. Так, благодаря 2-му лейтенанту ВВС Армии США Картеру Харману (Carter Harmon) были эвакуированы три раненых британских солдата и пилот санитарного самолета, сбитого японцами над оккупированной территорией Бирмы (22830).</w:t>
      </w:r>
    </w:p>
    <w:p w14:paraId="5A7E074B" w14:textId="77777777" w:rsidR="007874A2" w:rsidRPr="007224C3" w:rsidRDefault="007874A2" w:rsidP="007224C3">
      <w:pPr>
        <w:spacing w:after="0" w:line="240" w:lineRule="auto"/>
        <w:jc w:val="both"/>
        <w:rPr>
          <w:rFonts w:ascii="Times New Roman" w:hAnsi="Times New Roman"/>
          <w:color w:val="0070C0"/>
          <w:sz w:val="16"/>
          <w:szCs w:val="16"/>
        </w:rPr>
      </w:pPr>
    </w:p>
    <w:p w14:paraId="7CA741F7" w14:textId="77777777" w:rsidR="007874A2" w:rsidRPr="007224C3" w:rsidRDefault="007874A2"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 апреле 1944 Береговая охрана США начинает экспериментировать с погружаемым в воду гидролокатором чтобы разработать вертолет в качестве противолодочной платформы (20373).</w:t>
      </w:r>
    </w:p>
    <w:p w14:paraId="379A96BE" w14:textId="77777777" w:rsidR="007874A2" w:rsidRPr="007224C3" w:rsidRDefault="007874A2" w:rsidP="007224C3">
      <w:pPr>
        <w:spacing w:after="0" w:line="240" w:lineRule="auto"/>
        <w:jc w:val="both"/>
        <w:rPr>
          <w:rFonts w:ascii="Times New Roman" w:hAnsi="Times New Roman"/>
          <w:color w:val="0070C0"/>
          <w:sz w:val="16"/>
          <w:szCs w:val="16"/>
        </w:rPr>
      </w:pPr>
    </w:p>
    <w:p w14:paraId="4095D429" w14:textId="77777777" w:rsidR="007874A2" w:rsidRPr="007224C3" w:rsidRDefault="007874A2"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 апреле 1944 немецкие люфтваффе продолжают использовать бомбы с радиоуправлением против кораблей союзников, действующих у плацдарма Анцио, но они становятся менее эффективными по мере того, как улучшается защита от них эсминцами союзников (20373).</w:t>
      </w:r>
    </w:p>
    <w:p w14:paraId="4EF8FA44" w14:textId="77777777" w:rsidR="007874A2" w:rsidRPr="007224C3" w:rsidRDefault="007874A2" w:rsidP="007224C3">
      <w:pPr>
        <w:spacing w:after="0" w:line="240" w:lineRule="auto"/>
        <w:jc w:val="both"/>
        <w:rPr>
          <w:rFonts w:ascii="Times New Roman" w:hAnsi="Times New Roman"/>
          <w:color w:val="0070C0"/>
          <w:sz w:val="16"/>
          <w:szCs w:val="16"/>
        </w:rPr>
      </w:pPr>
    </w:p>
    <w:p w14:paraId="40A5E695" w14:textId="77777777" w:rsidR="007874A2" w:rsidRPr="007224C3" w:rsidRDefault="007874A2"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 апреле 1944 первый полет Blohm &amp; Voss BV 238 (20373).</w:t>
      </w:r>
    </w:p>
    <w:p w14:paraId="378BC0D7" w14:textId="77777777" w:rsidR="007874A2" w:rsidRPr="007224C3" w:rsidRDefault="007874A2" w:rsidP="007224C3">
      <w:pPr>
        <w:spacing w:after="0" w:line="240" w:lineRule="auto"/>
        <w:jc w:val="both"/>
        <w:rPr>
          <w:rFonts w:ascii="Times New Roman" w:hAnsi="Times New Roman"/>
          <w:color w:val="0070C0"/>
          <w:sz w:val="16"/>
          <w:szCs w:val="16"/>
        </w:rPr>
      </w:pPr>
    </w:p>
    <w:p w14:paraId="00E288D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апреле 1944 с полигона Близна в Польше был осуществлен запуск А-4. ракета упала в болото в нескольких км от старта, не взорвалась и была захвачена партизанами, которые передали ее англичанам (2990).</w:t>
      </w:r>
    </w:p>
    <w:p w14:paraId="0DA7662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0606A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апреле 1944 15 ВА США (Италия) разбомбила нефтепромыслы в Плоешти (1261,32).</w:t>
      </w:r>
    </w:p>
    <w:p w14:paraId="043969D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9EAF0E"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47AE844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D15699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апреле-мае 1944 г. на самолете Ил-6 было сделано еще несколько полетов, в которых оценивались характеристики его устойчивости и управляемости. Летали В.К.Коккинаки, К.К.Коккинаки, летчики ЛИИ А.Н.Гринчик и Н.С.Рыбко. По оценке испытателей самолет имел значительные трудности в пилотировании, которые делали дальнейшие полеты опасными. Было принято решение о его доработке (9528).</w:t>
      </w:r>
    </w:p>
    <w:p w14:paraId="0981935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FF1CC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апреле- мае 1944 г. на самолете Ил-6 было сделано еще несколько полетов, в которых оценивались характеристики его устойчивости и управляемости. Летали В.К. Коккинаки, К.К. Коккинаки, летчики ЛИИ А.Н. Гринчик и Н.С. Рыбко. По оценке испытателей самолет, имеет значительные трудности в пилотировании, которые делают дальнейшие полеты опасными. Испытания были завершены 10 октября 1944 г. после 16 полетов.</w:t>
      </w:r>
    </w:p>
    <w:p w14:paraId="37FF7E1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Странно, что безусловно грамотный и талантливый конструктор как С.В. Илыошин допустил в проектировании машины такой очевидный промах, исправить который традиционными доводками было невозможно - изменение компоновки крыла привело бы к переделке всего самолста. А ведь специалисты ЦАГИ предупреждали главного конструктора о порочности выбранных решений. Ведущий инженер В. Горский в своем отчете по результатам испытаний модели Ил-6 в аэродинамической трубе Т-5 писал, что "...на концах крыла при посадочных углах атаки развивается отрыв потока, захватывающий элероны. Это делает самолет неустойчивым по крену...".</w:t>
      </w:r>
    </w:p>
    <w:p w14:paraId="5F943D7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наглядности на модели Ил-6 (еще с моторами М-71, т.е. задолго до летных испытаний) провели визуализацию потока. Фотографии были направлены главному конструктору, но тот опять не обратил на них внимания. Воплощенная в металле компоновка повела себя в воздухе так, как и предупреждали аэродинамики. Смертельный удар Ил-6 нанесли не двигателисты, а свои же собственные создатели.</w:t>
      </w:r>
    </w:p>
    <w:p w14:paraId="550728F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После прекращения работ по Ил-6 командование АДД не имело других альтернатив, кроме возобновления серийного производства Ер-2.</w:t>
      </w:r>
    </w:p>
    <w:p w14:paraId="0EBC708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Командующий Авиацией дальнего действия маршал А.Е. Голованов, ознакомившись с результатами испытаний, решительно выступил в пользу Ер-2 и инициировал выход постановления Государственного комитета обороны, на которое НКАП отреагировал приказом о возобновлении выпуска Ер-2 (12037).</w:t>
      </w:r>
    </w:p>
    <w:p w14:paraId="6E3636E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0E5DEF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апреле-мае 1944 г. мотор АМ-42 прошел государственные испытания, по результатам которых и был рекомендован к запуску в серийное производство (9649).</w:t>
      </w:r>
    </w:p>
    <w:p w14:paraId="7DA689E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отчете о государственных испытаниях указывалось, что мотор АМ-42 имеет степень сжатия 5,5, редуктор с параллельными осями при передаточном числе 1=0,6. Нагнетатель приводной, центробежный, невыключающийся с передаточным числом 11,5.</w:t>
      </w:r>
    </w:p>
    <w:p w14:paraId="7905789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взлетном режиме мотор развивал мощность в 2000 л. с. при числе оборотов 2500 об/мин, давлении за нагнетателем 1720 мм. рт. ст. и давлении смеси на всасывании 1565 мм. рт. ст. При этом средний удельный расход топлива составлял 330-345 г/л. с. час.</w:t>
      </w:r>
    </w:p>
    <w:p w14:paraId="61F168F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Время непрерывной работы мотора на взлетном режиме ограничивалось 5 минутами, а общая наработка мотора на этом режиме - не более 5% от общего срока службы мотора.</w:t>
      </w:r>
    </w:p>
    <w:p w14:paraId="0554B9A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номинальном режиме на расчетной высоте (1600 м) мотор развивал мощность 1770 л. с., а на земле -1750 л. с. При этом давление воздуха за нагнетателем равнялось 1450 мм. рт. ст., а давление смеси на всасывании - 1335 мм. рт. ст. Удельный расход топлива на этом режиме не превышал 305-315 гр/л. с. час.</w:t>
      </w:r>
    </w:p>
    <w:p w14:paraId="1E63010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Испытания показали, что максимально допустимое число оборотов мотора на режиме пикирования составляло 2550 об/мин (не более 30 с), а минимальное число оборотов, при котором мотор все еще работал устойчиво равнялось 500 об/мин.</w:t>
      </w:r>
    </w:p>
    <w:p w14:paraId="572C313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Приемистость мотора была не хуже 2-3 с. Вес пустого мотора 1030 кг при габаритах 2295х1185х875мм. Срок до первой переборки был определен в 100 часов.</w:t>
      </w:r>
    </w:p>
    <w:p w14:paraId="55687DC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целью уменьшения барботажа масла в картере, улучшения откачки масла из картера, устранения выброса масла через суфлер и уменьшения теплоотдачи в АМ-42 был введен поддон с клапанами и козырьками.</w:t>
      </w:r>
    </w:p>
    <w:p w14:paraId="24AEAFC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Поддон вместе с поперечными стенками образовывали шесть изолированных друг от друга кривошипно-шатунных камер. Это устраняло возможность появления продольных воздушных вихрей.</w:t>
      </w:r>
    </w:p>
    <w:p w14:paraId="5C9A801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Повышение давления в отдельных кривошипно-шатунных камерах при нижнем положении поршней вызывало открытие клапанов поддона и удаление из-под козырька собранного масла в нижнюю полость поддона, общую для всего мотора.</w:t>
      </w:r>
    </w:p>
    <w:p w14:paraId="2E30FCE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Затем масло собиралось в переднем и заднем отстойниках, из которых оно откачивалось отдельными секциями масляного насоса.</w:t>
      </w:r>
    </w:p>
    <w:p w14:paraId="2862D7C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улучшения очистки масла в нагнетающей масляной магистрали устанавливались два фильтра НФМ-25.</w:t>
      </w:r>
    </w:p>
    <w:p w14:paraId="72FCA70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Редуктор мотора выполнялся жестким без амортизирующих промежуточных элементов в соединении большой шестерни редуктора с валом. Это увеличило </w:t>
      </w:r>
      <w:r w:rsidRPr="007224C3">
        <w:rPr>
          <w:rFonts w:ascii="Times New Roman" w:hAnsi="Times New Roman"/>
          <w:color w:val="000000" w:themeColor="text1"/>
          <w:sz w:val="16"/>
          <w:szCs w:val="16"/>
        </w:rPr>
        <w:lastRenderedPageBreak/>
        <w:t>собственную частоту колебаний системы коленвал-редуктор и устранило возможность резонанса на рабочих режимах двигателя.</w:t>
      </w:r>
    </w:p>
    <w:p w14:paraId="61A1EC6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 коленвал мотора выполнялся более жестким и прочным. На продолжении 1,3, б, 7,10 и 12-й щек устанавливались противовесы, которые частично разгрузили коленчатый вал от действия инерциальных сил, уменьшили нагрузку на коренные опоры и позволили повысить обороты мотора без увеличения размеров опор.</w:t>
      </w:r>
    </w:p>
    <w:p w14:paraId="1BF5F78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Механизм газораспределения с непосредственным действием кулачков на тарелки клапанов был заменен механизмом с одним кулачковым валиком на блок и передачей движения на клапаны через рычажный механизм. Это уменьшило износ направляющих и повысило надежность клапанов.</w:t>
      </w:r>
    </w:p>
    <w:p w14:paraId="4625583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Каждый кулачок кулачкового валика воздействовал на один выпускной и один всасывающий клапан. Сам же кулачковый валик получал вращение от коленчатого вала через две конические передачи и наклонный валик.</w:t>
      </w:r>
    </w:p>
    <w:p w14:paraId="21B6514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сожалению, ряд недостатков мотора АМ-42, выявленных на испытаниях, так и не были изжиты до момента запуска последнего, в июне 1944 г., в серийное производство на заводе № 24 (9649).</w:t>
      </w:r>
    </w:p>
    <w:p w14:paraId="6A5A0BE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88873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апреле — мае 1944 года мотор АМ-42 удовлетво</w:t>
      </w:r>
      <w:r w:rsidRPr="007224C3">
        <w:rPr>
          <w:rFonts w:ascii="Times New Roman" w:hAnsi="Times New Roman"/>
          <w:color w:val="000000" w:themeColor="text1"/>
          <w:sz w:val="16"/>
          <w:szCs w:val="16"/>
        </w:rPr>
        <w:softHyphen/>
        <w:t>рительно выдержал государственные испытания и в июне был запущен в мас</w:t>
      </w:r>
      <w:r w:rsidRPr="007224C3">
        <w:rPr>
          <w:rFonts w:ascii="Times New Roman" w:hAnsi="Times New Roman"/>
          <w:color w:val="000000" w:themeColor="text1"/>
          <w:sz w:val="16"/>
          <w:szCs w:val="16"/>
        </w:rPr>
        <w:softHyphen/>
        <w:t>совое производство на заводе № 24 (се</w:t>
      </w:r>
      <w:r w:rsidRPr="007224C3">
        <w:rPr>
          <w:rFonts w:ascii="Times New Roman" w:hAnsi="Times New Roman"/>
          <w:color w:val="000000" w:themeColor="text1"/>
          <w:sz w:val="16"/>
          <w:szCs w:val="16"/>
        </w:rPr>
        <w:softHyphen/>
        <w:t>рийное производство фактически раз</w:t>
      </w:r>
      <w:r w:rsidRPr="007224C3">
        <w:rPr>
          <w:rFonts w:ascii="Times New Roman" w:hAnsi="Times New Roman"/>
          <w:color w:val="000000" w:themeColor="text1"/>
          <w:sz w:val="16"/>
          <w:szCs w:val="16"/>
        </w:rPr>
        <w:softHyphen/>
        <w:t>вертывали уже с начала года). Мощность серийного двигателя на взлетном режиме составляла 2000 л.с. На расчетной высоте 1600 м он разви</w:t>
      </w:r>
      <w:r w:rsidRPr="007224C3">
        <w:rPr>
          <w:rFonts w:ascii="Times New Roman" w:hAnsi="Times New Roman"/>
          <w:color w:val="000000" w:themeColor="text1"/>
          <w:sz w:val="16"/>
          <w:szCs w:val="16"/>
        </w:rPr>
        <w:softHyphen/>
        <w:t>вал 1770 л.с. Моторы 1-й и 2-й серий имели 100-часовой ресурс, у моторов 3-й серии его довели до 150 ч, а в даль</w:t>
      </w:r>
      <w:r w:rsidRPr="007224C3">
        <w:rPr>
          <w:rFonts w:ascii="Times New Roman" w:hAnsi="Times New Roman"/>
          <w:color w:val="000000" w:themeColor="text1"/>
          <w:sz w:val="16"/>
          <w:szCs w:val="16"/>
        </w:rPr>
        <w:softHyphen/>
        <w:t>нейшем — до 200 ч. АМ-42 в больших количествах выпус</w:t>
      </w:r>
      <w:r w:rsidRPr="007224C3">
        <w:rPr>
          <w:rFonts w:ascii="Times New Roman" w:hAnsi="Times New Roman"/>
          <w:color w:val="000000" w:themeColor="text1"/>
          <w:sz w:val="16"/>
          <w:szCs w:val="16"/>
        </w:rPr>
        <w:softHyphen/>
        <w:t>кался в Куйбышеве до 1948 г., затем был вытеснен реактивными двигателями. Однако в начале 1951 г. производство поршневых моторов восстановили и со</w:t>
      </w:r>
      <w:r w:rsidRPr="007224C3">
        <w:rPr>
          <w:rFonts w:ascii="Times New Roman" w:hAnsi="Times New Roman"/>
          <w:color w:val="000000" w:themeColor="text1"/>
          <w:sz w:val="16"/>
          <w:szCs w:val="16"/>
        </w:rPr>
        <w:softHyphen/>
        <w:t>храняли его до 1954 г. Усовершенство</w:t>
      </w:r>
      <w:r w:rsidRPr="007224C3">
        <w:rPr>
          <w:rFonts w:ascii="Times New Roman" w:hAnsi="Times New Roman"/>
          <w:color w:val="000000" w:themeColor="text1"/>
          <w:sz w:val="16"/>
          <w:szCs w:val="16"/>
        </w:rPr>
        <w:softHyphen/>
        <w:t>ванные АМ-42 выпуска 1950-х гг. имели ресурс 400 ч (10680).</w:t>
      </w:r>
    </w:p>
    <w:p w14:paraId="5FB76BE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AB3FFA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апреле — мае 1944 г. успешно прошел госиспытания АМ-42. Еще раньше, с начала 1944 г., двигатель запустили в серию на заводе № 24. АМ-42 изготовлялся в больших количествах до 1948 г., затем его сняли с производства. В начале 1951 г. выпуск мотора восстановили в усовершенствованном варианте с ресурсом 400 ч., но снова прекратили в 1954 г. Всего на заводе № 24 было изготовлено 10 232 экз. С весны 1952 г. АМ-42 изготовлялся по лицензии в Чехословакии на заводе им. Димитрова как М-42. Количество моторов, выпущенных там, неизвестно.</w:t>
      </w:r>
    </w:p>
    <w:p w14:paraId="06633EA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АМ-42 экспортировался в Польшу, Венгрию, Румынию, Чехословакию, Китай, Северную Корею. </w:t>
      </w:r>
    </w:p>
    <w:p w14:paraId="28673AC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Характеристики:</w:t>
      </w:r>
    </w:p>
    <w:p w14:paraId="1B45A66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12-цилиндровый рядный У-образный, четырехтактный, водяного охлаждения, редукторный, с односкоростным ПЦН;</w:t>
      </w:r>
    </w:p>
    <w:p w14:paraId="5A0E72C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диаметр цилиндра/ход поршня 160/190 мм (в цилиндрах с прицепными шатунами 196,8 мм);</w:t>
      </w:r>
    </w:p>
    <w:p w14:paraId="7756D5B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объем 46,66 л;</w:t>
      </w:r>
    </w:p>
    <w:p w14:paraId="5951FD5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 степень сжатия 5,5; </w:t>
      </w:r>
      <w:r w:rsidRPr="007224C3">
        <w:rPr>
          <w:rFonts w:ascii="Times New Roman" w:hAnsi="Times New Roman"/>
          <w:color w:val="000000" w:themeColor="text1"/>
          <w:sz w:val="16"/>
          <w:szCs w:val="16"/>
          <w:vertAlign w:val="subscript"/>
        </w:rPr>
        <w:t>4</w:t>
      </w:r>
    </w:p>
    <w:p w14:paraId="3970B21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мощность и вес в зависимости от модификации;</w:t>
      </w:r>
    </w:p>
    <w:p w14:paraId="336C309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запуск сжатым воздухом. Известны модификации:</w:t>
      </w:r>
    </w:p>
    <w:p w14:paraId="5891A2D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АМ-42, единственный вариант, находившийся в массовом производ</w:t>
      </w:r>
      <w:r w:rsidRPr="007224C3">
        <w:rPr>
          <w:rFonts w:ascii="Times New Roman" w:hAnsi="Times New Roman"/>
          <w:color w:val="000000" w:themeColor="text1"/>
          <w:sz w:val="16"/>
          <w:szCs w:val="16"/>
        </w:rPr>
        <w:softHyphen/>
        <w:t>стве, 1750/2000 л.с., вес 980 кг (поздние серии 996 кг).</w:t>
      </w:r>
    </w:p>
    <w:p w14:paraId="6622027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АМ-42 с форкамерным зажиганием и степенью сжатия 7,0. Опытный образец испытывался на стенде в 1944 г.</w:t>
      </w:r>
    </w:p>
    <w:p w14:paraId="41C4F3E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АМ-42Б (АМ-42ТК, АМ-42Б-ТК), вариант 1943 г. с переделанным ПЦН, новыми всасывающими патрубками и воздухо-воздушным интеркулером. Комплектовался турбонагнетателями ТК-ЗООБ. Мощность 1750/2000 л.с. Был изготовлен в марте 1943 г. Испытывался на опыт</w:t>
      </w:r>
      <w:r w:rsidRPr="007224C3">
        <w:rPr>
          <w:rFonts w:ascii="Times New Roman" w:hAnsi="Times New Roman"/>
          <w:color w:val="000000" w:themeColor="text1"/>
          <w:sz w:val="16"/>
          <w:szCs w:val="16"/>
        </w:rPr>
        <w:softHyphen/>
        <w:t>ном истребителе «5А» конструкции А.И. Микояна. АМ-42ФНВ с непосредственным впрыском топлива, 1650/2000 л.с., вес 1000 кг. Испытания опытного образца на стенде завершены 22 августа 1945 г.</w:t>
      </w:r>
    </w:p>
    <w:p w14:paraId="3BCCF37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АМ-42ФБ-ТК с двумя турбонагнетателями ТК-1А. Двигатели АМ-42 устанавливались на серийных штурмовиках Ил-10 и Ил-ЮМ. Чехословацкие М-42 монтировались на самолетах В-33 (мест</w:t>
      </w:r>
      <w:r w:rsidRPr="007224C3">
        <w:rPr>
          <w:rFonts w:ascii="Times New Roman" w:hAnsi="Times New Roman"/>
          <w:color w:val="000000" w:themeColor="text1"/>
          <w:sz w:val="16"/>
          <w:szCs w:val="16"/>
        </w:rPr>
        <w:softHyphen/>
        <w:t>ный вариант Ил-10). АМ-42 устанавливались также на опытные машины Ил-8, Ил-16, И-225 (5А), Су-6. Применение их предусматривалось про</w:t>
      </w:r>
      <w:r w:rsidRPr="007224C3">
        <w:rPr>
          <w:rFonts w:ascii="Times New Roman" w:hAnsi="Times New Roman"/>
          <w:color w:val="000000" w:themeColor="text1"/>
          <w:sz w:val="16"/>
          <w:szCs w:val="16"/>
        </w:rPr>
        <w:softHyphen/>
        <w:t>ектом Ту-8Б (11852).</w:t>
      </w:r>
    </w:p>
    <w:p w14:paraId="40A5690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4BA5BD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апреле-июне 1944 этого года в НИИ ВВС прошли контрольные испытания самолетов № 12/307, 1/338 и 1/333, которые показали максимальные скорости полета 496-515 км/ч. Причиной явилось снижение качества изготовления самолетов и изменение условий испытаний. ВНИИ ВВС перестали специально готовить самолеты к испытаниям на максимальную скорость (раньше перед их проведением упоры и ухваты бомбодержателей убирали, отверстия для них и лючки заклеивали полотном, бортовые пулеметы снимали, а верхнюю и люковую установки убирали в походное положение). Теперь при испытаниях самолет летал в боевой конфигурации с оружием, подготовленным к отражению атаки истребителей. Кроме того, при обработке итогов испытаний стали учитывать явление сжимаемости воздуха.</w:t>
      </w:r>
    </w:p>
    <w:p w14:paraId="1C618F4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массовом серийном производстве нередкими были случаи, аналогичные произошедшему в августе 1944 г., когда два очень похожих друг на друга самолета из одной серии - зав. № 12/373 и 17/373 - показали максимальные скорости, отличающиеся на 10-12 км/ч. Внимательное обследование машин натолкнуло на мысль, что все дело в моторах. Оказалось, что на более быстроходном самолете № 12/373 стояли моторы завода № 26, а на самолете № 17/373 - моторного завода № 16. Поменяв местами моторы, убедились в верности предположения. Самолеты с моторами завода № 26 действительно летали со скоростями, в среднем на 10 км/ч большими, чем с моторами завода № 16. НКАП срочно принял меры по улучшению качества двигателей, и к концу года положение нормализовалось (12042).</w:t>
      </w:r>
    </w:p>
    <w:p w14:paraId="65C2B0F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90CF96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апреле-июне 1944 г. построили серию Як-9К из 53 самолетов, ко</w:t>
      </w:r>
      <w:r w:rsidRPr="007224C3">
        <w:rPr>
          <w:rFonts w:ascii="Times New Roman" w:hAnsi="Times New Roman"/>
          <w:color w:val="000000" w:themeColor="text1"/>
          <w:sz w:val="16"/>
          <w:szCs w:val="16"/>
        </w:rPr>
        <w:softHyphen/>
        <w:t>торые хорошо проявили себя на фронте. За время войсковых испытаний этих истребителей состоялся 51 воздушный бой, в ходе которых против</w:t>
      </w:r>
      <w:r w:rsidRPr="007224C3">
        <w:rPr>
          <w:rFonts w:ascii="Times New Roman" w:hAnsi="Times New Roman"/>
          <w:color w:val="000000" w:themeColor="text1"/>
          <w:sz w:val="16"/>
          <w:szCs w:val="16"/>
        </w:rPr>
        <w:softHyphen/>
        <w:t>ник потерял 8 FW 190А-8 и 4 Bf 109(3 (встреч с бомбардировщиками не было). Свои потери составили один Як-9К. Средний расход боеприпа</w:t>
      </w:r>
      <w:r w:rsidRPr="007224C3">
        <w:rPr>
          <w:rFonts w:ascii="Times New Roman" w:hAnsi="Times New Roman"/>
          <w:color w:val="000000" w:themeColor="text1"/>
          <w:sz w:val="16"/>
          <w:szCs w:val="16"/>
        </w:rPr>
        <w:softHyphen/>
        <w:t>сов на один сбитый самолет насчитывал 10 снарядов. Во время боевых действий Як-9К применяли совместно с более легкими Як-1 или Як-3. Возглавляли пары летчики Як-9К, основной целью которых была атака самолетов противника или наземных целей, а задача ведомых — при</w:t>
      </w:r>
      <w:r w:rsidRPr="007224C3">
        <w:rPr>
          <w:rFonts w:ascii="Times New Roman" w:hAnsi="Times New Roman"/>
          <w:color w:val="000000" w:themeColor="text1"/>
          <w:sz w:val="16"/>
          <w:szCs w:val="16"/>
        </w:rPr>
        <w:softHyphen/>
        <w:t>крытие ведущих от атак истребителей врага. Несмотря на положительные результаты испытаний, выпускать Як-9К большой серией не стали из-за выявившейся ненадежности пуш</w:t>
      </w:r>
      <w:r w:rsidRPr="007224C3">
        <w:rPr>
          <w:rFonts w:ascii="Times New Roman" w:hAnsi="Times New Roman"/>
          <w:color w:val="000000" w:themeColor="text1"/>
          <w:sz w:val="16"/>
          <w:szCs w:val="16"/>
        </w:rPr>
        <w:softHyphen/>
        <w:t>ки НС-45. Хотя ее дефекты проявлялись редко, мириться с ними было нельзя, поскольку они приводили к серьезным повреждениям, а то и к гибели самолета. КБ Яковлева создало еще несколько опытных Як-9, на которых отра</w:t>
      </w:r>
      <w:r w:rsidRPr="007224C3">
        <w:rPr>
          <w:rFonts w:ascii="Times New Roman" w:hAnsi="Times New Roman"/>
          <w:color w:val="000000" w:themeColor="text1"/>
          <w:sz w:val="16"/>
          <w:szCs w:val="16"/>
        </w:rPr>
        <w:softHyphen/>
        <w:t>батывались новые варианты пушечного вооружения. Среди них: Як-9П (март 1943 г.), на котором вместо пулемета УБ поставили синхронную пушку ШВАК; Як-9ТК (вторая половина 1943 г.), имевший усиленную конструкцию отдельных узлов и унифицированную систему монтажа цен</w:t>
      </w:r>
      <w:r w:rsidRPr="007224C3">
        <w:rPr>
          <w:rFonts w:ascii="Times New Roman" w:hAnsi="Times New Roman"/>
          <w:color w:val="000000" w:themeColor="text1"/>
          <w:sz w:val="16"/>
          <w:szCs w:val="16"/>
        </w:rPr>
        <w:softHyphen/>
        <w:t>тральной пушки, которая позволяла в полевых условиях в зависимости от боевых задач ставить пушку ШВАК либо ВЯ-23 калибром 23 мм, либо НС-37, либо НС-45 (10712).</w:t>
      </w:r>
    </w:p>
    <w:p w14:paraId="01C9E62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8F1CF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апреле-мае 1944 проходили гос. испытания Як-9Д N 0715306 с ВК-105ПФ N 335-1896. Летал Ф.Ф.Демида (809,11).</w:t>
      </w:r>
    </w:p>
    <w:p w14:paraId="42561AE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53CA9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апреле-июне 1944 была построена серия из 53 Як-9К с 45-мм пушкой НС-45 (4237,23).</w:t>
      </w:r>
    </w:p>
    <w:p w14:paraId="3590E50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AFA227" w14:textId="77777777" w:rsidR="00697996" w:rsidRPr="007224C3" w:rsidRDefault="00697996"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В апреле — мае 1944 г. в ГК НИИ ВВС были про</w:t>
      </w:r>
      <w:r w:rsidRPr="007224C3">
        <w:rPr>
          <w:color w:val="000000" w:themeColor="text1"/>
          <w:sz w:val="16"/>
          <w:szCs w:val="16"/>
        </w:rPr>
        <w:softHyphen/>
        <w:t>ведены испытания Як-9т (зав. № 01-21) с пушкой МП-45 на отработку боевого при</w:t>
      </w:r>
      <w:r w:rsidRPr="007224C3">
        <w:rPr>
          <w:color w:val="000000" w:themeColor="text1"/>
          <w:sz w:val="16"/>
          <w:szCs w:val="16"/>
        </w:rPr>
        <w:softHyphen/>
        <w:t>менения и воздушный бой с тро</w:t>
      </w:r>
      <w:r w:rsidRPr="007224C3">
        <w:rPr>
          <w:color w:val="000000" w:themeColor="text1"/>
          <w:sz w:val="16"/>
          <w:szCs w:val="16"/>
        </w:rPr>
        <w:softHyphen/>
        <w:t xml:space="preserve">фейным немецким истребителем </w:t>
      </w:r>
      <w:r w:rsidRPr="007224C3">
        <w:rPr>
          <w:color w:val="000000" w:themeColor="text1"/>
          <w:sz w:val="16"/>
          <w:szCs w:val="16"/>
          <w:lang w:val="en-US"/>
        </w:rPr>
        <w:t>Bf</w:t>
      </w:r>
      <w:r w:rsidRPr="007224C3">
        <w:rPr>
          <w:color w:val="000000" w:themeColor="text1"/>
          <w:sz w:val="16"/>
          <w:szCs w:val="16"/>
        </w:rPr>
        <w:t>109</w:t>
      </w:r>
      <w:r w:rsidRPr="007224C3">
        <w:rPr>
          <w:color w:val="000000" w:themeColor="text1"/>
          <w:sz w:val="16"/>
          <w:szCs w:val="16"/>
          <w:lang w:val="en-US"/>
        </w:rPr>
        <w:t>G</w:t>
      </w:r>
      <w:r w:rsidRPr="007224C3">
        <w:rPr>
          <w:color w:val="000000" w:themeColor="text1"/>
          <w:sz w:val="16"/>
          <w:szCs w:val="16"/>
        </w:rPr>
        <w:t>-2. Отчет по результатам ис</w:t>
      </w:r>
      <w:r w:rsidRPr="007224C3">
        <w:rPr>
          <w:color w:val="000000" w:themeColor="text1"/>
          <w:sz w:val="16"/>
          <w:szCs w:val="16"/>
        </w:rPr>
        <w:softHyphen/>
        <w:t>пытаний начальник института гене</w:t>
      </w:r>
      <w:r w:rsidRPr="007224C3">
        <w:rPr>
          <w:color w:val="000000" w:themeColor="text1"/>
          <w:sz w:val="16"/>
          <w:szCs w:val="16"/>
        </w:rPr>
        <w:softHyphen/>
        <w:t>рал-лейтенант Лосюков утвердил 31 мая.</w:t>
      </w:r>
    </w:p>
    <w:p w14:paraId="76EC6CC2" w14:textId="77777777" w:rsidR="00697996" w:rsidRPr="007224C3" w:rsidRDefault="00697996"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Всего по программе испытаний было выполнено 12 полетов с сум</w:t>
      </w:r>
      <w:r w:rsidRPr="007224C3">
        <w:rPr>
          <w:color w:val="000000" w:themeColor="text1"/>
          <w:sz w:val="16"/>
          <w:szCs w:val="16"/>
        </w:rPr>
        <w:softHyphen/>
        <w:t>марным налетом 6 ч 25 мин. Про</w:t>
      </w:r>
      <w:r w:rsidRPr="007224C3">
        <w:rPr>
          <w:color w:val="000000" w:themeColor="text1"/>
          <w:sz w:val="16"/>
          <w:szCs w:val="16"/>
        </w:rPr>
        <w:softHyphen/>
        <w:t xml:space="preserve">ведено 4 воздушных боя с </w:t>
      </w:r>
      <w:r w:rsidRPr="007224C3">
        <w:rPr>
          <w:color w:val="000000" w:themeColor="text1"/>
          <w:sz w:val="16"/>
          <w:szCs w:val="16"/>
          <w:lang w:val="en-US"/>
        </w:rPr>
        <w:t>Bf</w:t>
      </w:r>
      <w:r w:rsidRPr="007224C3">
        <w:rPr>
          <w:color w:val="000000" w:themeColor="text1"/>
          <w:sz w:val="16"/>
          <w:szCs w:val="16"/>
        </w:rPr>
        <w:t>109</w:t>
      </w:r>
      <w:r w:rsidRPr="007224C3">
        <w:rPr>
          <w:color w:val="000000" w:themeColor="text1"/>
          <w:sz w:val="16"/>
          <w:szCs w:val="16"/>
          <w:lang w:val="en-US"/>
        </w:rPr>
        <w:t>G</w:t>
      </w:r>
      <w:r w:rsidRPr="007224C3">
        <w:rPr>
          <w:color w:val="000000" w:themeColor="text1"/>
          <w:sz w:val="16"/>
          <w:szCs w:val="16"/>
        </w:rPr>
        <w:t>-2 (трехточечный), 1 воздушный бой с бомбардировщиком Пе-2 и 4 поле</w:t>
      </w:r>
      <w:r w:rsidRPr="007224C3">
        <w:rPr>
          <w:color w:val="000000" w:themeColor="text1"/>
          <w:sz w:val="16"/>
          <w:szCs w:val="16"/>
        </w:rPr>
        <w:softHyphen/>
        <w:t>та на отработку атаки по наземным целям. Летали капитаны Терентьев и Мамотенко.</w:t>
      </w:r>
    </w:p>
    <w:p w14:paraId="67155053" w14:textId="77777777" w:rsidR="00697996" w:rsidRPr="007224C3" w:rsidRDefault="00697996"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Установлено, что «крупнокалиберный» Як-9т мо</w:t>
      </w:r>
      <w:r w:rsidRPr="007224C3">
        <w:rPr>
          <w:color w:val="000000" w:themeColor="text1"/>
          <w:sz w:val="16"/>
          <w:szCs w:val="16"/>
        </w:rPr>
        <w:softHyphen/>
        <w:t xml:space="preserve">жет успешно вести воздушный бой с </w:t>
      </w:r>
      <w:r w:rsidRPr="007224C3">
        <w:rPr>
          <w:color w:val="000000" w:themeColor="text1"/>
          <w:sz w:val="16"/>
          <w:szCs w:val="16"/>
          <w:lang w:val="en-US"/>
        </w:rPr>
        <w:t>Bf</w:t>
      </w:r>
      <w:r w:rsidRPr="007224C3">
        <w:rPr>
          <w:color w:val="000000" w:themeColor="text1"/>
          <w:sz w:val="16"/>
          <w:szCs w:val="16"/>
        </w:rPr>
        <w:t>109</w:t>
      </w:r>
      <w:r w:rsidRPr="007224C3">
        <w:rPr>
          <w:color w:val="000000" w:themeColor="text1"/>
          <w:sz w:val="16"/>
          <w:szCs w:val="16"/>
          <w:lang w:val="en-US"/>
        </w:rPr>
        <w:t>G</w:t>
      </w:r>
      <w:r w:rsidRPr="007224C3">
        <w:rPr>
          <w:color w:val="000000" w:themeColor="text1"/>
          <w:sz w:val="16"/>
          <w:szCs w:val="16"/>
        </w:rPr>
        <w:t>-2, как в горизонтальном, так и в вертикальном маневре на высоте до 3000 м. Выше этой высоты общее пре</w:t>
      </w:r>
      <w:r w:rsidRPr="007224C3">
        <w:rPr>
          <w:color w:val="000000" w:themeColor="text1"/>
          <w:sz w:val="16"/>
          <w:szCs w:val="16"/>
        </w:rPr>
        <w:softHyphen/>
        <w:t>имущество переходит к немецкому самолету. От</w:t>
      </w:r>
      <w:r w:rsidRPr="007224C3">
        <w:rPr>
          <w:color w:val="000000" w:themeColor="text1"/>
          <w:sz w:val="16"/>
          <w:szCs w:val="16"/>
        </w:rPr>
        <w:softHyphen/>
        <w:t>мечалось лишь весьма небольшое превосходство «яка» в боевом развороте (на 50—70 м) на высотах 3000—4000 и 4500—5500 м при включении 2-й ско</w:t>
      </w:r>
      <w:r w:rsidRPr="007224C3">
        <w:rPr>
          <w:color w:val="000000" w:themeColor="text1"/>
          <w:sz w:val="16"/>
          <w:szCs w:val="16"/>
        </w:rPr>
        <w:softHyphen/>
        <w:t>рости нагнетателя. Однако, как следует из материа</w:t>
      </w:r>
      <w:r w:rsidRPr="007224C3">
        <w:rPr>
          <w:color w:val="000000" w:themeColor="text1"/>
          <w:sz w:val="16"/>
          <w:szCs w:val="16"/>
        </w:rPr>
        <w:softHyphen/>
        <w:t>лов отчета, мотор у институтского «Мессершмитта» был порядком изношен и не выдавал положенной мощности.</w:t>
      </w:r>
    </w:p>
    <w:p w14:paraId="37B7781D" w14:textId="77777777" w:rsidR="00697996" w:rsidRPr="007224C3" w:rsidRDefault="00697996"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По результатам воздушного боя с Пе-2 рекомен</w:t>
      </w:r>
      <w:r w:rsidRPr="007224C3">
        <w:rPr>
          <w:color w:val="000000" w:themeColor="text1"/>
          <w:sz w:val="16"/>
          <w:szCs w:val="16"/>
        </w:rPr>
        <w:softHyphen/>
        <w:t>довалось атаковать бомбардировщики сзади под ракурсом 0/4. Учитывая, что дальность прицельной стрельбы ограничивалась 600 м, огонь следова</w:t>
      </w:r>
      <w:r w:rsidRPr="007224C3">
        <w:rPr>
          <w:color w:val="000000" w:themeColor="text1"/>
          <w:sz w:val="16"/>
          <w:szCs w:val="16"/>
        </w:rPr>
        <w:softHyphen/>
        <w:t>ло открывать на дальности 200— 400 м, а при выполнении лобовых атак — с 500—600 м. Стрельба ве</w:t>
      </w:r>
      <w:r w:rsidRPr="007224C3">
        <w:rPr>
          <w:color w:val="000000" w:themeColor="text1"/>
          <w:sz w:val="16"/>
          <w:szCs w:val="16"/>
        </w:rPr>
        <w:softHyphen/>
        <w:t>лась только короткими очередями по 1—2 выстрела. С целью наруше</w:t>
      </w:r>
      <w:r w:rsidRPr="007224C3">
        <w:rPr>
          <w:color w:val="000000" w:themeColor="text1"/>
          <w:sz w:val="16"/>
          <w:szCs w:val="16"/>
        </w:rPr>
        <w:softHyphen/>
        <w:t>ния строя бомбардировщиков и по</w:t>
      </w:r>
      <w:r w:rsidRPr="007224C3">
        <w:rPr>
          <w:color w:val="000000" w:themeColor="text1"/>
          <w:sz w:val="16"/>
          <w:szCs w:val="16"/>
        </w:rPr>
        <w:softHyphen/>
        <w:t>давления огня воздушных стрелков путем морального воздействия на противника допускалась не</w:t>
      </w:r>
      <w:r w:rsidRPr="007224C3">
        <w:rPr>
          <w:color w:val="000000" w:themeColor="text1"/>
          <w:sz w:val="16"/>
          <w:szCs w:val="16"/>
        </w:rPr>
        <w:softHyphen/>
        <w:t>прицельная стрельба на дально</w:t>
      </w:r>
      <w:r w:rsidRPr="007224C3">
        <w:rPr>
          <w:color w:val="000000" w:themeColor="text1"/>
          <w:sz w:val="16"/>
          <w:szCs w:val="16"/>
        </w:rPr>
        <w:softHyphen/>
        <w:t>сти 1000—1200 м с последующим переходом к прицельной стрельбе по достижении дальности действи</w:t>
      </w:r>
      <w:r w:rsidRPr="007224C3">
        <w:rPr>
          <w:color w:val="000000" w:themeColor="text1"/>
          <w:sz w:val="16"/>
          <w:szCs w:val="16"/>
        </w:rPr>
        <w:softHyphen/>
        <w:t>тельного огня.</w:t>
      </w:r>
    </w:p>
    <w:p w14:paraId="1487C2F6" w14:textId="77777777" w:rsidR="00697996" w:rsidRPr="007224C3" w:rsidRDefault="00697996"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Атаку наземных целей рекомен</w:t>
      </w:r>
      <w:r w:rsidRPr="007224C3">
        <w:rPr>
          <w:color w:val="000000" w:themeColor="text1"/>
          <w:sz w:val="16"/>
          <w:szCs w:val="16"/>
        </w:rPr>
        <w:softHyphen/>
        <w:t>довалось производить с высоты 800—1000 м с пикирования под углом 35—45°, что позволяло выполнить 2—3 прицельные очереди по 2—3 снаряда в каждой при ведении огня на даль</w:t>
      </w:r>
      <w:r w:rsidRPr="007224C3">
        <w:rPr>
          <w:color w:val="000000" w:themeColor="text1"/>
          <w:sz w:val="16"/>
          <w:szCs w:val="16"/>
        </w:rPr>
        <w:softHyphen/>
        <w:t>ности 900—300 м. Заход на цель следовало делать на скорости 300—320 км/ч с разворотом на 40—45° в сторону цели. Прицеливание осуществлялось по меткам на фонаре кабины летчика и передней кромке крыла. Вывод из пикирования — на высоте 300—200 м с перегрузкой около 3,0 единицы.</w:t>
      </w:r>
    </w:p>
    <w:p w14:paraId="374F035A" w14:textId="77777777" w:rsidR="00697996" w:rsidRPr="007224C3" w:rsidRDefault="00697996"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В заключении отчета делался вывод, что Як-9т с пушкой МП-45 может быть использован для борь</w:t>
      </w:r>
      <w:r w:rsidRPr="007224C3">
        <w:rPr>
          <w:color w:val="000000" w:themeColor="text1"/>
          <w:sz w:val="16"/>
          <w:szCs w:val="16"/>
        </w:rPr>
        <w:softHyphen/>
        <w:t>бы с танками, бронетранспортерами, с самолетами бомбардировочной и разведывательной авиации (в первую очередь), истребителями, а также само</w:t>
      </w:r>
      <w:r w:rsidRPr="007224C3">
        <w:rPr>
          <w:color w:val="000000" w:themeColor="text1"/>
          <w:sz w:val="16"/>
          <w:szCs w:val="16"/>
        </w:rPr>
        <w:softHyphen/>
        <w:t>летами на аэродроме (17500).</w:t>
      </w:r>
    </w:p>
    <w:p w14:paraId="6D405F12" w14:textId="77777777" w:rsidR="00697996" w:rsidRPr="007224C3" w:rsidRDefault="00697996" w:rsidP="007224C3">
      <w:pPr>
        <w:spacing w:after="0" w:line="240" w:lineRule="auto"/>
        <w:jc w:val="both"/>
        <w:rPr>
          <w:rFonts w:ascii="Times New Roman" w:eastAsia="Times New Roman" w:hAnsi="Times New Roman"/>
          <w:color w:val="000000" w:themeColor="text1"/>
          <w:sz w:val="16"/>
          <w:szCs w:val="16"/>
          <w:lang w:eastAsia="ru-RU"/>
        </w:rPr>
      </w:pPr>
    </w:p>
    <w:p w14:paraId="598C2B6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апреле-июле 1944 была построена войсковая серия Як-9К с ВК-105ПФ и ВИШ-62П диаметром 3.0 м и с НС-45. Прицельная стрельба была возможна на скорости, больше 350 км/час очередями по 2-3 выстрела (65,131).</w:t>
      </w:r>
    </w:p>
    <w:p w14:paraId="7169DD9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67D004" w14:textId="77777777" w:rsidR="00697996" w:rsidRPr="007224C3" w:rsidRDefault="00697996"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lastRenderedPageBreak/>
        <w:t>В апреле — июне 1944 г. с пушками МП-45 бы</w:t>
      </w:r>
      <w:r w:rsidRPr="007224C3">
        <w:rPr>
          <w:color w:val="000000" w:themeColor="text1"/>
          <w:sz w:val="16"/>
          <w:szCs w:val="16"/>
        </w:rPr>
        <w:softHyphen/>
        <w:t>ла построена лишь войсковая серия истребителей Як-9к в количестве 53 единиц. Из этого числа 44 самолета официально участвовали в войсковых ис</w:t>
      </w:r>
      <w:r w:rsidRPr="007224C3">
        <w:rPr>
          <w:color w:val="000000" w:themeColor="text1"/>
          <w:sz w:val="16"/>
          <w:szCs w:val="16"/>
        </w:rPr>
        <w:softHyphen/>
        <w:t>пытаниях с 13 августа по 18 сентября 1944 г. на 3-м Белорусском фронте и с 15 января по 15 февраля 1945 г. на 2-м Белорусском фронте.</w:t>
      </w:r>
    </w:p>
    <w:p w14:paraId="7AA3E637" w14:textId="77777777" w:rsidR="00697996" w:rsidRPr="007224C3" w:rsidRDefault="00697996"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Испытания проходили в 274-м иап 278-й иад и в 812-м иап 65-й иад 3-го иак. До начала войсковых испытаний с самолетов были сняты консольные бензобаки.</w:t>
      </w:r>
    </w:p>
    <w:p w14:paraId="7CC3D818" w14:textId="77777777" w:rsidR="00697996" w:rsidRPr="007224C3" w:rsidRDefault="0069799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Подавляющее большинство вылетов Як-9к пришлось на сопровождение штурмовиков Ил-2 и бомбардировщиков Пе-2 — 81,9%. На перехват самолетов противника — 4,7%, на разведку — 9,9%, на свободную «охоту» и прикрытие своих войск — по 1,8% всех вылетов. Во всех случаях боевые вылеты выполнялись с попутной атакой наземных целей. Всего было выполнено 340 само</w:t>
      </w:r>
      <w:r w:rsidRPr="007224C3">
        <w:rPr>
          <w:rFonts w:ascii="Times New Roman" w:hAnsi="Times New Roman"/>
          <w:color w:val="000000" w:themeColor="text1"/>
          <w:sz w:val="16"/>
          <w:szCs w:val="16"/>
        </w:rPr>
        <w:softHyphen/>
        <w:t>лето-вылетов (402 ч 03 мин) и проведен 51 воз</w:t>
      </w:r>
      <w:r w:rsidRPr="007224C3">
        <w:rPr>
          <w:rFonts w:ascii="Times New Roman" w:hAnsi="Times New Roman"/>
          <w:color w:val="000000" w:themeColor="text1"/>
          <w:sz w:val="16"/>
          <w:szCs w:val="16"/>
        </w:rPr>
        <w:softHyphen/>
        <w:t>душный бой. Наибольшая продолжительность полета — 1 ч 10 мин, средняя — 45 мин. Встреч с немецкими бомбардировщиками не было. Сби</w:t>
      </w:r>
      <w:r w:rsidRPr="007224C3">
        <w:rPr>
          <w:rFonts w:ascii="Times New Roman" w:hAnsi="Times New Roman"/>
          <w:color w:val="000000" w:themeColor="text1"/>
          <w:sz w:val="16"/>
          <w:szCs w:val="16"/>
        </w:rPr>
        <w:softHyphen/>
        <w:t>то 12 истребителей противника (</w:t>
      </w:r>
      <w:r w:rsidRPr="007224C3">
        <w:rPr>
          <w:rFonts w:ascii="Times New Roman" w:hAnsi="Times New Roman"/>
          <w:color w:val="000000" w:themeColor="text1"/>
          <w:sz w:val="16"/>
          <w:szCs w:val="16"/>
          <w:lang w:val="en-US"/>
        </w:rPr>
        <w:t>Fw</w:t>
      </w:r>
      <w:r w:rsidRPr="007224C3">
        <w:rPr>
          <w:rFonts w:ascii="Times New Roman" w:hAnsi="Times New Roman"/>
          <w:color w:val="000000" w:themeColor="text1"/>
          <w:sz w:val="16"/>
          <w:szCs w:val="16"/>
        </w:rPr>
        <w:t>190</w:t>
      </w:r>
      <w:r w:rsidRPr="007224C3">
        <w:rPr>
          <w:rFonts w:ascii="Times New Roman" w:hAnsi="Times New Roman"/>
          <w:color w:val="000000" w:themeColor="text1"/>
          <w:sz w:val="16"/>
          <w:szCs w:val="16"/>
          <w:lang w:val="en-US"/>
        </w:rPr>
        <w:t>A</w:t>
      </w:r>
      <w:r w:rsidRPr="007224C3">
        <w:rPr>
          <w:rFonts w:ascii="Times New Roman" w:hAnsi="Times New Roman"/>
          <w:color w:val="000000" w:themeColor="text1"/>
          <w:sz w:val="16"/>
          <w:szCs w:val="16"/>
        </w:rPr>
        <w:t xml:space="preserve">-8 — 8, </w:t>
      </w:r>
      <w:r w:rsidRPr="007224C3">
        <w:rPr>
          <w:rFonts w:ascii="Times New Roman" w:hAnsi="Times New Roman"/>
          <w:color w:val="000000" w:themeColor="text1"/>
          <w:sz w:val="16"/>
          <w:szCs w:val="16"/>
          <w:lang w:val="en-US"/>
        </w:rPr>
        <w:t>Bf</w:t>
      </w:r>
      <w:r w:rsidRPr="007224C3">
        <w:rPr>
          <w:rFonts w:ascii="Times New Roman" w:hAnsi="Times New Roman"/>
          <w:color w:val="000000" w:themeColor="text1"/>
          <w:sz w:val="16"/>
          <w:szCs w:val="16"/>
        </w:rPr>
        <w:t>109</w:t>
      </w:r>
      <w:r w:rsidRPr="007224C3">
        <w:rPr>
          <w:rFonts w:ascii="Times New Roman" w:hAnsi="Times New Roman"/>
          <w:color w:val="000000" w:themeColor="text1"/>
          <w:sz w:val="16"/>
          <w:szCs w:val="16"/>
          <w:lang w:val="en-US"/>
        </w:rPr>
        <w:t>G</w:t>
      </w:r>
      <w:r w:rsidRPr="007224C3">
        <w:rPr>
          <w:rFonts w:ascii="Times New Roman" w:hAnsi="Times New Roman"/>
          <w:color w:val="000000" w:themeColor="text1"/>
          <w:sz w:val="16"/>
          <w:szCs w:val="16"/>
        </w:rPr>
        <w:t>-6 — 4) при своих потерях 1 Як-9к. Воздуш</w:t>
      </w:r>
      <w:r w:rsidRPr="007224C3">
        <w:rPr>
          <w:rFonts w:ascii="Times New Roman" w:hAnsi="Times New Roman"/>
          <w:color w:val="000000" w:themeColor="text1"/>
          <w:sz w:val="16"/>
          <w:szCs w:val="16"/>
        </w:rPr>
        <w:softHyphen/>
        <w:t>ные бои проходили на высотах от 100 до 6000 м. Средний расход боекомплекта к пушке МП-45 на один самолето-бой составил 11 снарядов, а на один сбитый самолет противника — 10 снаря</w:t>
      </w:r>
      <w:r w:rsidRPr="007224C3">
        <w:rPr>
          <w:rFonts w:ascii="Times New Roman" w:hAnsi="Times New Roman"/>
          <w:color w:val="000000" w:themeColor="text1"/>
          <w:sz w:val="16"/>
          <w:szCs w:val="16"/>
        </w:rPr>
        <w:softHyphen/>
        <w:t>дов. Атаки выполнялись с ракурсов 0/4, 1/4 и 2/4. Стрельба велась с дистанции 100—400 м. Попа</w:t>
      </w:r>
      <w:r w:rsidRPr="007224C3">
        <w:rPr>
          <w:rFonts w:ascii="Times New Roman" w:hAnsi="Times New Roman"/>
          <w:color w:val="000000" w:themeColor="text1"/>
          <w:sz w:val="16"/>
          <w:szCs w:val="16"/>
        </w:rPr>
        <w:softHyphen/>
        <w:t>дание одного снаряда в самолет приводило к его уничтожению. При атаках наземных целей попада</w:t>
      </w:r>
      <w:r w:rsidRPr="007224C3">
        <w:rPr>
          <w:rFonts w:ascii="Times New Roman" w:hAnsi="Times New Roman"/>
          <w:color w:val="000000" w:themeColor="text1"/>
          <w:sz w:val="16"/>
          <w:szCs w:val="16"/>
        </w:rPr>
        <w:softHyphen/>
        <w:t>ние одного снаряда разрушало и поджигало авто</w:t>
      </w:r>
      <w:r w:rsidRPr="007224C3">
        <w:rPr>
          <w:rFonts w:ascii="Times New Roman" w:hAnsi="Times New Roman"/>
          <w:color w:val="000000" w:themeColor="text1"/>
          <w:sz w:val="16"/>
          <w:szCs w:val="16"/>
        </w:rPr>
        <w:softHyphen/>
        <w:t>машину, деревянные строения и т.д. Из-за сильной отдачи пушки МП-45 прицельным получался толь</w:t>
      </w:r>
      <w:r w:rsidRPr="007224C3">
        <w:rPr>
          <w:rFonts w:ascii="Times New Roman" w:hAnsi="Times New Roman"/>
          <w:color w:val="000000" w:themeColor="text1"/>
          <w:sz w:val="16"/>
          <w:szCs w:val="16"/>
        </w:rPr>
        <w:softHyphen/>
        <w:t>ко первый выстрел. При очереди в 3—4 снаряда самолет терял в скорости и раскачивался. Поэтому огонь рекомендовалось вести только очередями по 1—2 выстрела, что накладывало высокие требо</w:t>
      </w:r>
      <w:r w:rsidRPr="007224C3">
        <w:rPr>
          <w:rFonts w:ascii="Times New Roman" w:hAnsi="Times New Roman"/>
          <w:color w:val="000000" w:themeColor="text1"/>
          <w:sz w:val="16"/>
          <w:szCs w:val="16"/>
        </w:rPr>
        <w:softHyphen/>
        <w:t>вания к летной и стрелковой подготовке летчиков. Имели место 6 случаев отказа 45-мм пушек ОКБ-16 на 54 боевых вылетов в самом начале войсковых испытаний.</w:t>
      </w:r>
    </w:p>
    <w:p w14:paraId="00460456" w14:textId="77777777" w:rsidR="00697996" w:rsidRPr="007224C3" w:rsidRDefault="00697996"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В большинстве случаев Як-9к были ведущими пар, а ведомыми — более легкие Як-1, Як-3 или Як-9. Основной задачей ведущих была атака само</w:t>
      </w:r>
      <w:r w:rsidRPr="007224C3">
        <w:rPr>
          <w:color w:val="000000" w:themeColor="text1"/>
          <w:sz w:val="16"/>
          <w:szCs w:val="16"/>
        </w:rPr>
        <w:softHyphen/>
        <w:t>летов противника, а ведомых — прикрытие ведущего от атак про</w:t>
      </w:r>
      <w:r w:rsidRPr="007224C3">
        <w:rPr>
          <w:color w:val="000000" w:themeColor="text1"/>
          <w:sz w:val="16"/>
          <w:szCs w:val="16"/>
        </w:rPr>
        <w:softHyphen/>
        <w:t>тивника. Практиковались вылеты двумя парами: одна пара ударная на Як-9к, вторая — прикрытия или сковывающая пара на обычных «яках». При этом второй вариант предлагалось «считать более пра</w:t>
      </w:r>
      <w:r w:rsidRPr="007224C3">
        <w:rPr>
          <w:color w:val="000000" w:themeColor="text1"/>
          <w:sz w:val="16"/>
          <w:szCs w:val="16"/>
        </w:rPr>
        <w:softHyphen/>
        <w:t>вильным».</w:t>
      </w:r>
    </w:p>
    <w:p w14:paraId="19211536" w14:textId="77777777" w:rsidR="00697996" w:rsidRPr="007224C3" w:rsidRDefault="00697996"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Основные выводы по результа</w:t>
      </w:r>
      <w:r w:rsidRPr="007224C3">
        <w:rPr>
          <w:color w:val="000000" w:themeColor="text1"/>
          <w:sz w:val="16"/>
          <w:szCs w:val="16"/>
        </w:rPr>
        <w:softHyphen/>
        <w:t>там войсковых испытаний своди</w:t>
      </w:r>
      <w:r w:rsidRPr="007224C3">
        <w:rPr>
          <w:color w:val="000000" w:themeColor="text1"/>
          <w:sz w:val="16"/>
          <w:szCs w:val="16"/>
        </w:rPr>
        <w:softHyphen/>
        <w:t>лись к следующему. Самолет Як-9к предназначен для борьбы с бом</w:t>
      </w:r>
      <w:r w:rsidRPr="007224C3">
        <w:rPr>
          <w:color w:val="000000" w:themeColor="text1"/>
          <w:sz w:val="16"/>
          <w:szCs w:val="16"/>
        </w:rPr>
        <w:softHyphen/>
        <w:t>бардировщиками, блокировки аэ</w:t>
      </w:r>
      <w:r w:rsidRPr="007224C3">
        <w:rPr>
          <w:color w:val="000000" w:themeColor="text1"/>
          <w:sz w:val="16"/>
          <w:szCs w:val="16"/>
        </w:rPr>
        <w:softHyphen/>
        <w:t>родромов и штурмовых действий, то есть для активных наступательных действий, но по условиям боев применяется главным обра</w:t>
      </w:r>
      <w:r w:rsidRPr="007224C3">
        <w:rPr>
          <w:color w:val="000000" w:themeColor="text1"/>
          <w:sz w:val="16"/>
          <w:szCs w:val="16"/>
        </w:rPr>
        <w:softHyphen/>
        <w:t>зом для сопровождения — как оборонительное средство. С задачей сопровождения Як-9к в целом справляется, но для воздушного боя с истребителя</w:t>
      </w:r>
      <w:r w:rsidRPr="007224C3">
        <w:rPr>
          <w:color w:val="000000" w:themeColor="text1"/>
          <w:sz w:val="16"/>
          <w:szCs w:val="16"/>
        </w:rPr>
        <w:softHyphen/>
        <w:t>ми был малопригоден по причине недостаточного темпа стрельбы пушки МП-45, ограниченного бое</w:t>
      </w:r>
      <w:r w:rsidRPr="007224C3">
        <w:rPr>
          <w:color w:val="000000" w:themeColor="text1"/>
          <w:sz w:val="16"/>
          <w:szCs w:val="16"/>
        </w:rPr>
        <w:softHyphen/>
        <w:t xml:space="preserve">комплекта (28 патрон) и невысоких летных данных. Летчики на Як-9к вполне успешно вели воздушные бои с </w:t>
      </w:r>
      <w:r w:rsidRPr="007224C3">
        <w:rPr>
          <w:color w:val="000000" w:themeColor="text1"/>
          <w:sz w:val="16"/>
          <w:szCs w:val="16"/>
          <w:lang w:val="en-US"/>
        </w:rPr>
        <w:t>Fw</w:t>
      </w:r>
      <w:r w:rsidRPr="007224C3">
        <w:rPr>
          <w:color w:val="000000" w:themeColor="text1"/>
          <w:sz w:val="16"/>
          <w:szCs w:val="16"/>
        </w:rPr>
        <w:t>190</w:t>
      </w:r>
      <w:r w:rsidRPr="007224C3">
        <w:rPr>
          <w:color w:val="000000" w:themeColor="text1"/>
          <w:sz w:val="16"/>
          <w:szCs w:val="16"/>
          <w:lang w:val="en-US"/>
        </w:rPr>
        <w:t>A</w:t>
      </w:r>
      <w:r w:rsidRPr="007224C3">
        <w:rPr>
          <w:color w:val="000000" w:themeColor="text1"/>
          <w:sz w:val="16"/>
          <w:szCs w:val="16"/>
        </w:rPr>
        <w:t xml:space="preserve">-8 на всех высотах, а с </w:t>
      </w:r>
      <w:r w:rsidRPr="007224C3">
        <w:rPr>
          <w:color w:val="000000" w:themeColor="text1"/>
          <w:sz w:val="16"/>
          <w:szCs w:val="16"/>
          <w:lang w:val="en-US"/>
        </w:rPr>
        <w:t>Bf</w:t>
      </w:r>
      <w:r w:rsidRPr="007224C3">
        <w:rPr>
          <w:color w:val="000000" w:themeColor="text1"/>
          <w:sz w:val="16"/>
          <w:szCs w:val="16"/>
        </w:rPr>
        <w:t>109</w:t>
      </w:r>
      <w:r w:rsidRPr="007224C3">
        <w:rPr>
          <w:color w:val="000000" w:themeColor="text1"/>
          <w:sz w:val="16"/>
          <w:szCs w:val="16"/>
          <w:lang w:val="en-US"/>
        </w:rPr>
        <w:t>G</w:t>
      </w:r>
      <w:r w:rsidRPr="007224C3">
        <w:rPr>
          <w:color w:val="000000" w:themeColor="text1"/>
          <w:sz w:val="16"/>
          <w:szCs w:val="16"/>
        </w:rPr>
        <w:t>-6 — только до высоты 3000 м, на большей высоте Як-9к «отстает в вертикальном маневре». В условиях мас</w:t>
      </w:r>
      <w:r w:rsidRPr="007224C3">
        <w:rPr>
          <w:color w:val="000000" w:themeColor="text1"/>
          <w:sz w:val="16"/>
          <w:szCs w:val="16"/>
        </w:rPr>
        <w:softHyphen/>
        <w:t>штабных наступательных действий требовалось увеличить дальность полета (запас топлива 305 кг был мал).</w:t>
      </w:r>
    </w:p>
    <w:p w14:paraId="2537746A" w14:textId="77777777" w:rsidR="00697996" w:rsidRPr="007224C3" w:rsidRDefault="00697996"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Считалось целесообразным иметь в истреби</w:t>
      </w:r>
      <w:r w:rsidRPr="007224C3">
        <w:rPr>
          <w:color w:val="000000" w:themeColor="text1"/>
          <w:sz w:val="16"/>
          <w:szCs w:val="16"/>
        </w:rPr>
        <w:softHyphen/>
        <w:t>тельных авиадивизиях 50% Як-3 и 50% Як-9к в двух полках и один полк на Як-3 целиком. Предлага</w:t>
      </w:r>
      <w:r w:rsidRPr="007224C3">
        <w:rPr>
          <w:color w:val="000000" w:themeColor="text1"/>
          <w:sz w:val="16"/>
          <w:szCs w:val="16"/>
        </w:rPr>
        <w:softHyphen/>
        <w:t>лось установить пушку МП-45 на истребитель Як-9у с М-107А с лучшими летными данными, чем Як-9к с М-105пф2. Самолет Як-9к рекомендовался для принятия в серийное производство.</w:t>
      </w:r>
    </w:p>
    <w:p w14:paraId="5B79C667" w14:textId="77777777" w:rsidR="00697996" w:rsidRPr="007224C3" w:rsidRDefault="0069799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Однако в крупную серию Як-9к не запускался, а вместо него решили строить Як-9У с пушкой Н-45 калибра 45 мм с уменьшенной баллистикой кон</w:t>
      </w:r>
      <w:r w:rsidRPr="007224C3">
        <w:rPr>
          <w:rFonts w:ascii="Times New Roman" w:hAnsi="Times New Roman"/>
          <w:color w:val="000000" w:themeColor="text1"/>
          <w:sz w:val="16"/>
          <w:szCs w:val="16"/>
        </w:rPr>
        <w:softHyphen/>
        <w:t>струкции ОКБ-16 (17500)</w:t>
      </w:r>
    </w:p>
    <w:p w14:paraId="69BD3CCD" w14:textId="77777777" w:rsidR="00697996" w:rsidRPr="007224C3" w:rsidRDefault="00697996" w:rsidP="007224C3">
      <w:pPr>
        <w:spacing w:after="0" w:line="240" w:lineRule="auto"/>
        <w:jc w:val="both"/>
        <w:rPr>
          <w:rFonts w:ascii="Times New Roman" w:hAnsi="Times New Roman"/>
          <w:color w:val="000000" w:themeColor="text1"/>
          <w:sz w:val="16"/>
          <w:szCs w:val="16"/>
        </w:rPr>
      </w:pPr>
    </w:p>
    <w:p w14:paraId="1BD2671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апреля по декабрь 1944 испытывали Як-7 с ПВРД ВИ-4с И.А.Меркулова. Прирост скорости составил 53 км/ч (173,430).</w:t>
      </w:r>
    </w:p>
    <w:p w14:paraId="71C9459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800EE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апреля-мая 1944 были запущены в серийное производство и начали выпускаться истребители:</w:t>
      </w:r>
    </w:p>
    <w:p w14:paraId="38C83B0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Ла-7 - модификация Ла-5 с М-82ФН со значительным улучшением аэродинамики по рекомендациям ЦАГИ и с меньшим полетным весом (массой), но с серийным мотором АШ-82ФН (4109);</w:t>
      </w:r>
    </w:p>
    <w:p w14:paraId="748DABE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Як-3 - модификация Як-1 с М-105ПФ с меньшими габаритами крыла и меньшим полетным весом (массой), с мотором ВК-105ПФ2 (дополнительно форсированным);</w:t>
      </w:r>
    </w:p>
    <w:p w14:paraId="7A096CE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Як-9У - модификация Як-9 с М-105ПФ с более мощным мотором новой модификации ВК-107А (3573).</w:t>
      </w:r>
    </w:p>
    <w:p w14:paraId="56A3B09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Советские ВВС наконец получили самолеты-истребители, которые по своим летно-тактическим данным не только достигли, но и превзошли все новые типы немецких истребителей. Однако на высотах более 5300-5500 м они уступали немецким (4098; 4099; 4100; 4101; 4102; 4079) (3573).</w:t>
      </w:r>
    </w:p>
    <w:p w14:paraId="60BB30A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466AA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апреле-мае 1944 проходили летные испытания скоростного нагнетателя "Э-67" на Ла-5 с М-82ФН N 1618 21 завода (744,3).</w:t>
      </w:r>
    </w:p>
    <w:p w14:paraId="10768FC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7618C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апреле-мае 1944 в НИИ ВВС был испытан Р-47D и их было поставлено в СССР около 200 (173,264).</w:t>
      </w:r>
    </w:p>
    <w:p w14:paraId="60A1B4E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A5F29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апреле-мае 1944 года два самолета из трех полученных из США Р-47D прошли полный комплекс испытаний в НПП ВВС и ЛИП НКАП, а третий попал па изучение в ЦАГИ. Р-47 оказался устойчив, хорошо вел себя на критических углах атаки, не проявляя большой склонности к срыву в штопор. Немалым плюсом стала простота пилотирования - он был вполне доступен среднему летчику военного времени. Кабина истребителя оказалась простой и удобной. Американские конструкторы весьма рационально скомпоновали приборы, оборудование, органы управления. Приборная доска выглядела куда богаче, чем на советских истребителях того времени. Самолет оснастили отличной радиостанцией. И, наконец, он располагал очень мощным вооружением (восемь стволов калибра 12,7 мм), а его бомбовая нагрузка.достигала 1135 кг - больше, чем у нашего двухмоторного Пе-2. В то же время "Тандерболт" оказался довольно неуклюж, намного уступая другим истребителям в показателях горизонтального и особенно вертикального маневра. Машина вяло реагировала на работу рулями - сказывались большие размеры и вес. Из-за этого же Р-47 медленно разгонялся, демонстрируя непривычную инертность. Эти его особенности очень своеобразно прокомментировал в своих воспоминаниях М.Л.Галлай, летавший на "Тандерболте" в ЛИИ: "Это - не истребитель! Устойчивый, удобный, с разумно скомпонованной, просторной кабиной, но - не истребитель". Специалистам понравились некоторые технические решения в конструкции американского самолета. Отмечалась технологичная конструкция крыла с широким применением открытых профилей, удобство обслуживания узлов и агрегатов через рационально размещенные лючки, оригинальное приспособление в виде сварной рамы, упрятанной под обшивкой в нижней части машины, предохраняющее фюзеляж от повреждений при посадке на "брюхо". Особое внимание наши инженеры уделили системе турбонаддува, существенно отличавшейся от советских образцов и обладавшей куда большей надежностью (3457,85).</w:t>
      </w:r>
    </w:p>
    <w:p w14:paraId="17592BB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EE7AD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C апреля по июль 1944 в НИИ ВВС испытывали Тандерболт H-47D-10 RE (173,260).</w:t>
      </w:r>
    </w:p>
    <w:p w14:paraId="21EBA43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085D9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апреле—мае 1944 г. испытывались черноморские катера с М-8-М в боевых действиях против немецких кораблей охранения. Моральный эф</w:t>
      </w:r>
      <w:r w:rsidRPr="007224C3">
        <w:rPr>
          <w:rFonts w:ascii="Times New Roman" w:hAnsi="Times New Roman"/>
          <w:color w:val="000000" w:themeColor="text1"/>
          <w:sz w:val="16"/>
          <w:szCs w:val="16"/>
        </w:rPr>
        <w:softHyphen/>
        <w:t>фект стрельбы реактивными снарядами оказался большим, но ве</w:t>
      </w:r>
      <w:r w:rsidRPr="007224C3">
        <w:rPr>
          <w:rFonts w:ascii="Times New Roman" w:hAnsi="Times New Roman"/>
          <w:color w:val="000000" w:themeColor="text1"/>
          <w:sz w:val="16"/>
          <w:szCs w:val="16"/>
        </w:rPr>
        <w:softHyphen/>
        <w:t>роятность попадания в цель на качке невелика (3898).</w:t>
      </w:r>
    </w:p>
    <w:p w14:paraId="23FC961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160D4D"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650917D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8E571C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апреле - мае 1944 г. ЧКЗ изготовил два новых образца танка (№ 1 и 2) танка Объект-701 и к 1 июля предъявил их на полигонные испытания, ко</w:t>
      </w:r>
      <w:r w:rsidRPr="007224C3">
        <w:rPr>
          <w:rFonts w:ascii="Times New Roman" w:hAnsi="Times New Roman"/>
          <w:color w:val="000000" w:themeColor="text1"/>
          <w:sz w:val="16"/>
          <w:szCs w:val="16"/>
        </w:rPr>
        <w:softHyphen/>
        <w:t>торые проходили в районе Челябинска с 1 июля по 15 августа 1944 г. под председательством начальника ГБТУ генерал-лейтенанта танковых войск Б.Г. Вершинина (10703).</w:t>
      </w:r>
    </w:p>
    <w:p w14:paraId="054A6F6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A09E4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апреля по август 1944 все Т-44 были отремонтированы и проходили «огонь, воду и медные трубы» на полигонах. Производители и конструкторы внимательно изучали их, пытаясь еще более удешевить конструкцию и улучшить на</w:t>
      </w:r>
      <w:r w:rsidRPr="007224C3">
        <w:rPr>
          <w:rFonts w:ascii="Times New Roman" w:hAnsi="Times New Roman"/>
          <w:color w:val="000000" w:themeColor="text1"/>
          <w:sz w:val="16"/>
          <w:szCs w:val="16"/>
        </w:rPr>
        <w:softHyphen/>
        <w:t>дежность работы агрегатов. Запланированные на май 1944 г. изготовление и испытание «улучшенного» танка Т-44А с пушкой С-53 и Т-44-100 с пушкой Д-10 не состоялись по причине отсутствия затребованных у Кировского завода ди</w:t>
      </w:r>
      <w:r w:rsidRPr="007224C3">
        <w:rPr>
          <w:rFonts w:ascii="Times New Roman" w:hAnsi="Times New Roman"/>
          <w:color w:val="000000" w:themeColor="text1"/>
          <w:sz w:val="16"/>
          <w:szCs w:val="16"/>
        </w:rPr>
        <w:softHyphen/>
        <w:t>зелей и работ по постановке на УВЗ валового выпуска Т-34-85. В июне 1944 г. были изготовлены два эталонных экземпляра Т-44 с двигателем В-2-34М и пушками С-53, но эти танки в основном повторяли конструкцию февральской машины, отличаясь от нее в некоторых деталях (11135).</w:t>
      </w:r>
    </w:p>
    <w:p w14:paraId="13E4FE2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2F721B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апреле - августе 1944 г. по заданию УСА Госу</w:t>
      </w:r>
      <w:r w:rsidRPr="007224C3">
        <w:rPr>
          <w:rFonts w:ascii="Times New Roman" w:hAnsi="Times New Roman"/>
          <w:color w:val="000000" w:themeColor="text1"/>
          <w:sz w:val="16"/>
          <w:szCs w:val="16"/>
        </w:rPr>
        <w:softHyphen/>
        <w:t>дарственным оптическим институтом и заводом № 355 был спроектирован и изготовлен командир</w:t>
      </w:r>
      <w:r w:rsidRPr="007224C3">
        <w:rPr>
          <w:rFonts w:ascii="Times New Roman" w:hAnsi="Times New Roman"/>
          <w:color w:val="000000" w:themeColor="text1"/>
          <w:sz w:val="16"/>
          <w:szCs w:val="16"/>
        </w:rPr>
        <w:softHyphen/>
        <w:t>ский смотровой прибор-перископ корректировщик. Этот прибор сочетал в себе качества прибора МК-4 и полевого бинокля 6</w:t>
      </w:r>
      <w:r w:rsidRPr="007224C3">
        <w:rPr>
          <w:rFonts w:ascii="Times New Roman" w:hAnsi="Times New Roman"/>
          <w:color w:val="000000" w:themeColor="text1"/>
          <w:sz w:val="16"/>
          <w:szCs w:val="16"/>
          <w:vertAlign w:val="superscript"/>
        </w:rPr>
        <w:t>х</w:t>
      </w:r>
      <w:r w:rsidRPr="007224C3">
        <w:rPr>
          <w:rFonts w:ascii="Times New Roman" w:hAnsi="Times New Roman"/>
          <w:color w:val="000000" w:themeColor="text1"/>
          <w:sz w:val="16"/>
          <w:szCs w:val="16"/>
        </w:rPr>
        <w:t xml:space="preserve"> увеличения с наличием сетки для корректировки огня и обеспечивал наблюдение за местностью до 3 км. В период Великой Отечест</w:t>
      </w:r>
      <w:r w:rsidRPr="007224C3">
        <w:rPr>
          <w:rFonts w:ascii="Times New Roman" w:hAnsi="Times New Roman"/>
          <w:color w:val="000000" w:themeColor="text1"/>
          <w:sz w:val="16"/>
          <w:szCs w:val="16"/>
        </w:rPr>
        <w:softHyphen/>
        <w:t>венной войны была изготовлена опытная партия, которая выдержала полигонные испытания. В ходе войсковых испытаний была выявлена недостаточ</w:t>
      </w:r>
      <w:r w:rsidRPr="007224C3">
        <w:rPr>
          <w:rFonts w:ascii="Times New Roman" w:hAnsi="Times New Roman"/>
          <w:color w:val="000000" w:themeColor="text1"/>
          <w:sz w:val="16"/>
          <w:szCs w:val="16"/>
        </w:rPr>
        <w:softHyphen/>
        <w:t>ная герметичность прибора. Доработкой командир</w:t>
      </w:r>
      <w:r w:rsidRPr="007224C3">
        <w:rPr>
          <w:rFonts w:ascii="Times New Roman" w:hAnsi="Times New Roman"/>
          <w:color w:val="000000" w:themeColor="text1"/>
          <w:sz w:val="16"/>
          <w:szCs w:val="16"/>
        </w:rPr>
        <w:softHyphen/>
        <w:t>ского смотрового прибора-перископа корректировщика после войны занимался коллектив завода № 393 (10703).</w:t>
      </w:r>
    </w:p>
    <w:p w14:paraId="6DD64E5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189258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апреле — мае 1944 г. американские специалисты посетили Куйбышев, Орск и Гурьев, где в это время монти­ровалось американское оборудование на строившихся НПЗ. Первое, что они были вынуждены признать, это некомплектность поставок оборудования, что замедляло темпы работ. Часть материалов не была вовремя получена из США, некоторые другие — советской стороной ошибочно направлены не на те заводы, для которых они предназначались. 8 июля 1944 г. руководитель группы американских инженеров компании «Баджер» в СССР Р. Мак-Карди в своем отчете отмечал: «Как и прежде, работа на всех заводах, независимо от состояния готовности, тормозится отсутствием оборудования, не пришедше­го прошлой зимой». Возникали различ­ные накладки и недоразумения, что вполне естественно при таком объеме работ и атмосфере «гонки». В конце 1944 г. американская фирма «Буффало Газолин Мотор Ко» ошибочно поставила трансформаторы к выпрямителям на водозаборные станции мощностью 250 ватт, вместо необходи­мых в 500 ватт. В ответ на запрос советской стороны американская фирма посетовала, что именно такие трансформаторы были ошибочно порекомендованы компанией «Дженерал Моторс» (11475).</w:t>
      </w:r>
    </w:p>
    <w:p w14:paraId="157224B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6F7EE9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апреле — мае 1944 года в Баренцевом и Белом морях при волнении от 1 до 8 баллов на эсминце "Громкий" был испытан опытный образец корабельной станции "Гюйс-1" НИИ-20. В 1943 году перед НИИ-20 была поставлена задача в кратчайший срок разработать корабельную радиолокационную станцию обнаружения надводных и воздушных целей, пригодную для вооружения кораблей ВМФ всех классов. Отечественных радиолокаторов такого типа в ВМФ (кроме "Редут-К") тогда не было. Второй этап разработки — создание опытного образца корабельной РЛС "Гюйс-1М" в полутораметровом диапазоне волн завершился ее успешным испытанием с 1 по 20 октября 1944 года на эсминце "Полухин" в Балтийском море. Станция "Гюйс-lM" обеспечивала обнаружение целей на тех же дальностях, что и английская станция типа 291. "Гюйс-1М" показала себя надежной, устойчивой и удобной в эксплуатации. В последующем эти станции применялись при конвоировании караванов судов. Станция серийно выпускалась заводом № 703. Модернизация этой станции позволила создать корабельную РЛС "Гюйс-1Б", по своим характеристикам превосходящую английскую РЛС 291. Промышленное производство РЛС "Гюйс-1Б" было организовано на том же заводе № 703. Разработка станций "Гюйс-1М" и "Гюйс-1Б" велась под руководством К.В.Голева при участии Н.А.Викторова, Ю.А.Мантейфеля, А.И.Узкова, а также Ю.А.Зонненштраля, Б.П.Лебедева, Э.М.Манукяна, И.К.Мельникова, П.В.Подгорнова, В.В.Самарина, Н.В.Сорокина (10737).</w:t>
      </w:r>
    </w:p>
    <w:p w14:paraId="00896D8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33B96E1"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1018107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63CFC6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апреле-мае 1944 на территории СССР был сфор</w:t>
      </w:r>
      <w:r w:rsidRPr="007224C3">
        <w:rPr>
          <w:rFonts w:ascii="Times New Roman" w:hAnsi="Times New Roman"/>
          <w:color w:val="000000" w:themeColor="text1"/>
          <w:sz w:val="16"/>
          <w:szCs w:val="16"/>
        </w:rPr>
        <w:softHyphen/>
        <w:t>мирован 1-й чехословацкий ИАП, который получил 24 Ла-5ФН. В конце августа словацкие партизаны и подразделения национальной армии подняли восстание против фашистов, и 17 сентября этот полк был переброшен на словацкую авиабазу Жолна, а оттуда — на аэродром Три Дуба. Перед летчиками поставили задачу уничтожить немного</w:t>
      </w:r>
      <w:r w:rsidRPr="007224C3">
        <w:rPr>
          <w:rFonts w:ascii="Times New Roman" w:hAnsi="Times New Roman"/>
          <w:color w:val="000000" w:themeColor="text1"/>
          <w:sz w:val="16"/>
          <w:szCs w:val="16"/>
        </w:rPr>
        <w:softHyphen/>
        <w:t>численную авиацию противника на аэродромах. 18 сентября полк выполнил свой первый боевой вылет. На земле, по докладам пилотов, было сож</w:t>
      </w:r>
      <w:r w:rsidRPr="007224C3">
        <w:rPr>
          <w:rFonts w:ascii="Times New Roman" w:hAnsi="Times New Roman"/>
          <w:color w:val="000000" w:themeColor="text1"/>
          <w:sz w:val="16"/>
          <w:szCs w:val="16"/>
        </w:rPr>
        <w:softHyphen/>
        <w:t>жено 10 и повреждено 15 вражеских самолетов. Далее 1-й ИАП стал привлекаться для обеспече</w:t>
      </w:r>
      <w:r w:rsidRPr="007224C3">
        <w:rPr>
          <w:rFonts w:ascii="Times New Roman" w:hAnsi="Times New Roman"/>
          <w:color w:val="000000" w:themeColor="text1"/>
          <w:sz w:val="16"/>
          <w:szCs w:val="16"/>
        </w:rPr>
        <w:softHyphen/>
        <w:t>ния действий тяжелых бомбардировщиков В-24 из 15-й ВА США, бомбивших части вермахта и про</w:t>
      </w:r>
      <w:r w:rsidRPr="007224C3">
        <w:rPr>
          <w:rFonts w:ascii="Times New Roman" w:hAnsi="Times New Roman"/>
          <w:color w:val="000000" w:themeColor="text1"/>
          <w:sz w:val="16"/>
          <w:szCs w:val="16"/>
        </w:rPr>
        <w:softHyphen/>
        <w:t>мышленные объекты в Словакии (11123). Противник обнаружил появление в своем тылу полка современных истребителей и перебросил в Словакию эскадрильи из лучших соединений люфтваффе — истребительной ЛЗ 52 и штурмовой иС 77. Но хуже было другое — плохо вооруженные повстанческие части не могли противостоять ре</w:t>
      </w:r>
      <w:r w:rsidRPr="007224C3">
        <w:rPr>
          <w:rFonts w:ascii="Times New Roman" w:hAnsi="Times New Roman"/>
          <w:color w:val="000000" w:themeColor="text1"/>
          <w:sz w:val="16"/>
          <w:szCs w:val="16"/>
        </w:rPr>
        <w:softHyphen/>
        <w:t>гулярным войскам, и крах был неизбежен. 29 ок</w:t>
      </w:r>
      <w:r w:rsidRPr="007224C3">
        <w:rPr>
          <w:rFonts w:ascii="Times New Roman" w:hAnsi="Times New Roman"/>
          <w:color w:val="000000" w:themeColor="text1"/>
          <w:sz w:val="16"/>
          <w:szCs w:val="16"/>
        </w:rPr>
        <w:softHyphen/>
        <w:t>тября оставшиеся Ла-5 полка перелетели на заня</w:t>
      </w:r>
      <w:r w:rsidRPr="007224C3">
        <w:rPr>
          <w:rFonts w:ascii="Times New Roman" w:hAnsi="Times New Roman"/>
          <w:color w:val="000000" w:themeColor="text1"/>
          <w:sz w:val="16"/>
          <w:szCs w:val="16"/>
        </w:rPr>
        <w:softHyphen/>
        <w:t>тую советскими войсками территорию. Летчики 1 -го чешского ИАП совершили 573 боевых вылета, в основном, на штурмовку и разведку. Им также удалось сбить 7 истребителей, 2 бомбардировщика, 2 разведчика ГЛЛ/189 и 2 связных самолета. 10 Ла-5ФН были по</w:t>
      </w:r>
      <w:r w:rsidRPr="007224C3">
        <w:rPr>
          <w:rFonts w:ascii="Times New Roman" w:hAnsi="Times New Roman"/>
          <w:color w:val="000000" w:themeColor="text1"/>
          <w:sz w:val="16"/>
          <w:szCs w:val="16"/>
        </w:rPr>
        <w:softHyphen/>
        <w:t>теряны от огня зениток, в летных происшествиях или оставлены не</w:t>
      </w:r>
      <w:r w:rsidRPr="007224C3">
        <w:rPr>
          <w:rFonts w:ascii="Times New Roman" w:hAnsi="Times New Roman"/>
          <w:color w:val="000000" w:themeColor="text1"/>
          <w:sz w:val="16"/>
          <w:szCs w:val="16"/>
        </w:rPr>
        <w:softHyphen/>
        <w:t>исправными на аэродроме Три Дуба, где их позднее уничтожила немецкая авиация. Полку присвоили почетное наименование «Зво-ленский» в честь городка, который стал центром Словацкого наци</w:t>
      </w:r>
      <w:r w:rsidRPr="007224C3">
        <w:rPr>
          <w:rFonts w:ascii="Times New Roman" w:hAnsi="Times New Roman"/>
          <w:color w:val="000000" w:themeColor="text1"/>
          <w:sz w:val="16"/>
          <w:szCs w:val="16"/>
        </w:rPr>
        <w:softHyphen/>
        <w:t>онального восстания (11123).</w:t>
      </w:r>
    </w:p>
    <w:p w14:paraId="6CAB3EE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0996A2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апреле – июне 1944 восемь дивизионов тральщиков Волжской военной флотилии провели контрольное траление фарватера реки от Астрахани до Саратова, а также повторное траление минных банок. В результате мин на фарватерах обнаружено не было. После этого приказом наркома ВМФ от 30 июня Волжская военная флотилия была расформирована. Ее корабли и части были переданы другим, действующим флотам и флотилиям. Мобилизованные суда были разоружены и возвращены организациям транспортного и промыслового флота Волжского бассейна (11742).</w:t>
      </w:r>
    </w:p>
    <w:p w14:paraId="1889C21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E8C6F9"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38262E2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BC4D7B2" w14:textId="77777777" w:rsidR="00D92086" w:rsidRPr="007224C3" w:rsidRDefault="00D92086"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маю 1944 завершились госу</w:t>
      </w:r>
      <w:r w:rsidRPr="007224C3">
        <w:rPr>
          <w:rFonts w:ascii="Times New Roman" w:hAnsi="Times New Roman"/>
          <w:color w:val="000000" w:themeColor="text1"/>
          <w:sz w:val="16"/>
          <w:szCs w:val="16"/>
        </w:rPr>
        <w:softHyphen/>
        <w:t>дарственные испытания тяжелого штурмовика Ил-8 (модерни</w:t>
      </w:r>
      <w:r w:rsidRPr="007224C3">
        <w:rPr>
          <w:rFonts w:ascii="Times New Roman" w:hAnsi="Times New Roman"/>
          <w:color w:val="000000" w:themeColor="text1"/>
          <w:sz w:val="16"/>
          <w:szCs w:val="16"/>
        </w:rPr>
        <w:softHyphen/>
        <w:t>зированного Ил-АМ-42) и были получе</w:t>
      </w:r>
      <w:r w:rsidRPr="007224C3">
        <w:rPr>
          <w:rFonts w:ascii="Times New Roman" w:hAnsi="Times New Roman"/>
          <w:color w:val="000000" w:themeColor="text1"/>
          <w:sz w:val="16"/>
          <w:szCs w:val="16"/>
        </w:rPr>
        <w:softHyphen/>
        <w:t>ны основные летные данные опытного образца Су-6 с АМ-42. Характеристики нового варианта Су-6 в полном объеме снять не удалось по причине серьезных конструктивных и производственных дефектов установ</w:t>
      </w:r>
      <w:r w:rsidRPr="007224C3">
        <w:rPr>
          <w:rFonts w:ascii="Times New Roman" w:hAnsi="Times New Roman"/>
          <w:color w:val="000000" w:themeColor="text1"/>
          <w:sz w:val="16"/>
          <w:szCs w:val="16"/>
        </w:rPr>
        <w:softHyphen/>
        <w:t>ленного на этом самолете экземпляра двигателя АМ-42, который страдал воз</w:t>
      </w:r>
      <w:r w:rsidRPr="007224C3">
        <w:rPr>
          <w:rFonts w:ascii="Times New Roman" w:hAnsi="Times New Roman"/>
          <w:color w:val="000000" w:themeColor="text1"/>
          <w:sz w:val="16"/>
          <w:szCs w:val="16"/>
        </w:rPr>
        <w:softHyphen/>
        <w:t>горанием смеси во всасывающих патруб</w:t>
      </w:r>
      <w:r w:rsidRPr="007224C3">
        <w:rPr>
          <w:rFonts w:ascii="Times New Roman" w:hAnsi="Times New Roman"/>
          <w:color w:val="000000" w:themeColor="text1"/>
          <w:sz w:val="16"/>
          <w:szCs w:val="16"/>
        </w:rPr>
        <w:softHyphen/>
        <w:t>ках и повышенным в 4 — 5 раз расходом масла. Ни в одном из полетов мотор нор</w:t>
      </w:r>
      <w:r w:rsidRPr="007224C3">
        <w:rPr>
          <w:rFonts w:ascii="Times New Roman" w:hAnsi="Times New Roman"/>
          <w:color w:val="000000" w:themeColor="text1"/>
          <w:sz w:val="16"/>
          <w:szCs w:val="16"/>
        </w:rPr>
        <w:softHyphen/>
        <w:t>мально не работал. Максимальная ско</w:t>
      </w:r>
      <w:r w:rsidRPr="007224C3">
        <w:rPr>
          <w:rFonts w:ascii="Times New Roman" w:hAnsi="Times New Roman"/>
          <w:color w:val="000000" w:themeColor="text1"/>
          <w:sz w:val="16"/>
          <w:szCs w:val="16"/>
        </w:rPr>
        <w:softHyphen/>
        <w:t>рость с 400 кг бомб, двумя пушками НС-37 и двумя пулеметами ШКАС с боеком</w:t>
      </w:r>
      <w:r w:rsidRPr="007224C3">
        <w:rPr>
          <w:rFonts w:ascii="Times New Roman" w:hAnsi="Times New Roman"/>
          <w:color w:val="000000" w:themeColor="text1"/>
          <w:sz w:val="16"/>
          <w:szCs w:val="16"/>
        </w:rPr>
        <w:softHyphen/>
        <w:t>плектом при полетном весе 6200 кг на высоте 1000 м составляла 508 км/ч, на высоте 2000 м — 519 км/ч (примерно на 30 км/ч меньше, чем у Ил-10). На высо</w:t>
      </w:r>
      <w:r w:rsidRPr="007224C3">
        <w:rPr>
          <w:rFonts w:ascii="Times New Roman" w:hAnsi="Times New Roman"/>
          <w:color w:val="000000" w:themeColor="text1"/>
          <w:sz w:val="16"/>
          <w:szCs w:val="16"/>
        </w:rPr>
        <w:softHyphen/>
        <w:t>ту 1000 м самолет поднимался за 2 мин, а на 3000 м — за 6 мин. Вскоре крупнокалиберные пушки НС-37 были заменены на стандартные ВЯ-23(с запасом 240 снарядов). Зато макси</w:t>
      </w:r>
      <w:r w:rsidRPr="007224C3">
        <w:rPr>
          <w:rFonts w:ascii="Times New Roman" w:hAnsi="Times New Roman"/>
          <w:color w:val="000000" w:themeColor="text1"/>
          <w:sz w:val="16"/>
          <w:szCs w:val="16"/>
        </w:rPr>
        <w:softHyphen/>
        <w:t>мальный вес бомбовой нагрузки вырос до 600 кг. Вес пустого самолета стал 4366 кг. Тяжелый бронированный штурмовик-бомбардировщик Ил-8 при том же воо</w:t>
      </w:r>
      <w:r w:rsidRPr="007224C3">
        <w:rPr>
          <w:rFonts w:ascii="Times New Roman" w:hAnsi="Times New Roman"/>
          <w:color w:val="000000" w:themeColor="text1"/>
          <w:sz w:val="16"/>
          <w:szCs w:val="16"/>
        </w:rPr>
        <w:softHyphen/>
        <w:t>ружении имел нормальный полетный вес 7126 кг и показал максимальную ско</w:t>
      </w:r>
      <w:r w:rsidRPr="007224C3">
        <w:rPr>
          <w:rFonts w:ascii="Times New Roman" w:hAnsi="Times New Roman"/>
          <w:color w:val="000000" w:themeColor="text1"/>
          <w:sz w:val="16"/>
          <w:szCs w:val="16"/>
        </w:rPr>
        <w:softHyphen/>
        <w:t>рость у земли 428 км/ч и на высоте 1500 м — 472 км/ч; время подъема на высоту 1000 м — 2,35 мин, а на 3000 м — 7,5 мин; дальность полета — 990 км; раз</w:t>
      </w:r>
      <w:r w:rsidRPr="007224C3">
        <w:rPr>
          <w:rFonts w:ascii="Times New Roman" w:hAnsi="Times New Roman"/>
          <w:color w:val="000000" w:themeColor="text1"/>
          <w:sz w:val="16"/>
          <w:szCs w:val="16"/>
        </w:rPr>
        <w:softHyphen/>
        <w:t>бег— 435 м; пробег — 465 м. При сравнении Ил-8 с самолетами Ил-10 и Су-6 отмечалось, что «восьмерка» при худших скоростных данных, манев</w:t>
      </w:r>
      <w:r w:rsidRPr="007224C3">
        <w:rPr>
          <w:rFonts w:ascii="Times New Roman" w:hAnsi="Times New Roman"/>
          <w:color w:val="000000" w:themeColor="text1"/>
          <w:sz w:val="16"/>
          <w:szCs w:val="16"/>
        </w:rPr>
        <w:softHyphen/>
        <w:t>ренности и скороподъемности имеет су</w:t>
      </w:r>
      <w:r w:rsidRPr="007224C3">
        <w:rPr>
          <w:rFonts w:ascii="Times New Roman" w:hAnsi="Times New Roman"/>
          <w:color w:val="000000" w:themeColor="text1"/>
          <w:sz w:val="16"/>
          <w:szCs w:val="16"/>
        </w:rPr>
        <w:softHyphen/>
        <w:t>щественное преимущество при исполь</w:t>
      </w:r>
      <w:r w:rsidRPr="007224C3">
        <w:rPr>
          <w:rFonts w:ascii="Times New Roman" w:hAnsi="Times New Roman"/>
          <w:color w:val="000000" w:themeColor="text1"/>
          <w:sz w:val="16"/>
          <w:szCs w:val="16"/>
        </w:rPr>
        <w:softHyphen/>
        <w:t>зовании ее в качестве бронированного бомбардировщика. Максимальная бом</w:t>
      </w:r>
      <w:r w:rsidRPr="007224C3">
        <w:rPr>
          <w:rFonts w:ascii="Times New Roman" w:hAnsi="Times New Roman"/>
          <w:color w:val="000000" w:themeColor="text1"/>
          <w:sz w:val="16"/>
          <w:szCs w:val="16"/>
        </w:rPr>
        <w:softHyphen/>
        <w:t>бовая нагрузка у этого самолета дости</w:t>
      </w:r>
      <w:r w:rsidRPr="007224C3">
        <w:rPr>
          <w:rFonts w:ascii="Times New Roman" w:hAnsi="Times New Roman"/>
          <w:color w:val="000000" w:themeColor="text1"/>
          <w:sz w:val="16"/>
          <w:szCs w:val="16"/>
        </w:rPr>
        <w:softHyphen/>
        <w:t>гала 1000 кг (при подвеске под крылья</w:t>
      </w:r>
      <w:r w:rsidRPr="007224C3">
        <w:rPr>
          <w:rFonts w:ascii="Times New Roman" w:hAnsi="Times New Roman"/>
          <w:color w:val="000000" w:themeColor="text1"/>
          <w:sz w:val="16"/>
          <w:szCs w:val="16"/>
        </w:rPr>
        <w:softHyphen/>
        <w:t>ми двух бомб ФАБ-500). В то же время ограниченный обзор из второй кабины почти полностью исключал точное бом</w:t>
      </w:r>
      <w:r w:rsidRPr="007224C3">
        <w:rPr>
          <w:rFonts w:ascii="Times New Roman" w:hAnsi="Times New Roman"/>
          <w:color w:val="000000" w:themeColor="text1"/>
          <w:sz w:val="16"/>
          <w:szCs w:val="16"/>
        </w:rPr>
        <w:softHyphen/>
        <w:t>бометание штурманом-стрелком, тогда как летчик «вследствие неудовлетвори</w:t>
      </w:r>
      <w:r w:rsidRPr="007224C3">
        <w:rPr>
          <w:rFonts w:ascii="Times New Roman" w:hAnsi="Times New Roman"/>
          <w:color w:val="000000" w:themeColor="text1"/>
          <w:sz w:val="16"/>
          <w:szCs w:val="16"/>
        </w:rPr>
        <w:softHyphen/>
        <w:t>тельного качества прицельных уст</w:t>
      </w:r>
      <w:r w:rsidRPr="007224C3">
        <w:rPr>
          <w:rFonts w:ascii="Times New Roman" w:hAnsi="Times New Roman"/>
          <w:color w:val="000000" w:themeColor="text1"/>
          <w:sz w:val="16"/>
          <w:szCs w:val="16"/>
        </w:rPr>
        <w:softHyphen/>
        <w:t>ройств» мог бомбить лишь по наитию. К достоинствам машины было отнесено применение пневмоэлектрической сис</w:t>
      </w:r>
      <w:r w:rsidRPr="007224C3">
        <w:rPr>
          <w:rFonts w:ascii="Times New Roman" w:hAnsi="Times New Roman"/>
          <w:color w:val="000000" w:themeColor="text1"/>
          <w:sz w:val="16"/>
          <w:szCs w:val="16"/>
        </w:rPr>
        <w:softHyphen/>
        <w:t>темы управления огнем и перезарядки стрелково-пушечного вооружения. По технике пилотирования Ил-8 усту</w:t>
      </w:r>
      <w:r w:rsidRPr="007224C3">
        <w:rPr>
          <w:rFonts w:ascii="Times New Roman" w:hAnsi="Times New Roman"/>
          <w:color w:val="000000" w:themeColor="text1"/>
          <w:sz w:val="16"/>
          <w:szCs w:val="16"/>
        </w:rPr>
        <w:softHyphen/>
        <w:t>пал своим конкурентам, но незначитель</w:t>
      </w:r>
      <w:r w:rsidRPr="007224C3">
        <w:rPr>
          <w:rFonts w:ascii="Times New Roman" w:hAnsi="Times New Roman"/>
          <w:color w:val="000000" w:themeColor="text1"/>
          <w:sz w:val="16"/>
          <w:szCs w:val="16"/>
        </w:rPr>
        <w:softHyphen/>
        <w:t>но. Летчики НИИ ВВС в отчете по испы</w:t>
      </w:r>
      <w:r w:rsidRPr="007224C3">
        <w:rPr>
          <w:rFonts w:ascii="Times New Roman" w:hAnsi="Times New Roman"/>
          <w:color w:val="000000" w:themeColor="text1"/>
          <w:sz w:val="16"/>
          <w:szCs w:val="16"/>
        </w:rPr>
        <w:softHyphen/>
        <w:t>таниям отмечали, что самолет обладает хорошей продольной устойчивостью и управляемостью, а это, в свою очередь, упростило технику пилотирования, осо</w:t>
      </w:r>
      <w:r w:rsidRPr="007224C3">
        <w:rPr>
          <w:rFonts w:ascii="Times New Roman" w:hAnsi="Times New Roman"/>
          <w:color w:val="000000" w:themeColor="text1"/>
          <w:sz w:val="16"/>
          <w:szCs w:val="16"/>
        </w:rPr>
        <w:softHyphen/>
        <w:t>бенно на виражах и в бреющем полете. Но в целом маневренность в вертикаль</w:t>
      </w:r>
      <w:r w:rsidRPr="007224C3">
        <w:rPr>
          <w:rFonts w:ascii="Times New Roman" w:hAnsi="Times New Roman"/>
          <w:color w:val="000000" w:themeColor="text1"/>
          <w:sz w:val="16"/>
          <w:szCs w:val="16"/>
        </w:rPr>
        <w:softHyphen/>
        <w:t>ной и горизонтальной плоскостях была признана недостаточной для успешных боевых действий в условиях насыщения переднего края обороны противника вой</w:t>
      </w:r>
      <w:r w:rsidRPr="007224C3">
        <w:rPr>
          <w:rFonts w:ascii="Times New Roman" w:hAnsi="Times New Roman"/>
          <w:color w:val="000000" w:themeColor="text1"/>
          <w:sz w:val="16"/>
          <w:szCs w:val="16"/>
        </w:rPr>
        <w:softHyphen/>
        <w:t>сковыми средствами ПВО. При одинако-вой боевой нагрузке 600 кг взлетный вес Ил-8 получился на 1000 кг больше, чем у Су-6 с АМ-42, то есть весовая отдача самолета была существенно ниже. Су-6 же по этому показателю превосходил и Ил-10, взлетный вес которого с 600 кг бомб составлял 6500 кг, на 300 кг пре</w:t>
      </w:r>
      <w:r w:rsidRPr="007224C3">
        <w:rPr>
          <w:rFonts w:ascii="Times New Roman" w:hAnsi="Times New Roman"/>
          <w:color w:val="000000" w:themeColor="text1"/>
          <w:sz w:val="16"/>
          <w:szCs w:val="16"/>
        </w:rPr>
        <w:softHyphen/>
        <w:t>вышая вес машины Сухого. Дальность полета на высоте 1000 м при скорости 308 км/ч у Ил-8 составля</w:t>
      </w:r>
      <w:r w:rsidRPr="007224C3">
        <w:rPr>
          <w:rFonts w:ascii="Times New Roman" w:hAnsi="Times New Roman"/>
          <w:color w:val="000000" w:themeColor="text1"/>
          <w:sz w:val="16"/>
          <w:szCs w:val="16"/>
        </w:rPr>
        <w:softHyphen/>
        <w:t>ла 990 км, у Су-6 (при 340 км/ч) —850 км, а у Ил-10 (при 330 км/ч) —790 км. Обратите внимание на то, что скорость полета у Су-6 при определении дально</w:t>
      </w:r>
      <w:r w:rsidRPr="007224C3">
        <w:rPr>
          <w:rFonts w:ascii="Times New Roman" w:hAnsi="Times New Roman"/>
          <w:color w:val="000000" w:themeColor="text1"/>
          <w:sz w:val="16"/>
          <w:szCs w:val="16"/>
        </w:rPr>
        <w:softHyphen/>
        <w:t>сти была несколько выше, чем у его конкурентов. Это означало, что характе</w:t>
      </w:r>
      <w:r w:rsidRPr="007224C3">
        <w:rPr>
          <w:rFonts w:ascii="Times New Roman" w:hAnsi="Times New Roman"/>
          <w:color w:val="000000" w:themeColor="text1"/>
          <w:sz w:val="16"/>
          <w:szCs w:val="16"/>
        </w:rPr>
        <w:softHyphen/>
        <w:t>ристики дальности снимали не на наи</w:t>
      </w:r>
      <w:r w:rsidRPr="007224C3">
        <w:rPr>
          <w:rFonts w:ascii="Times New Roman" w:hAnsi="Times New Roman"/>
          <w:color w:val="000000" w:themeColor="text1"/>
          <w:sz w:val="16"/>
          <w:szCs w:val="16"/>
        </w:rPr>
        <w:softHyphen/>
        <w:t>более экономичном режиме работы мо</w:t>
      </w:r>
      <w:r w:rsidRPr="007224C3">
        <w:rPr>
          <w:rFonts w:ascii="Times New Roman" w:hAnsi="Times New Roman"/>
          <w:color w:val="000000" w:themeColor="text1"/>
          <w:sz w:val="16"/>
          <w:szCs w:val="16"/>
        </w:rPr>
        <w:softHyphen/>
        <w:t>тора. Кроме того, установленный на Су-6 двигатель имел невыгодную регулировку с точки зрения расхода топ</w:t>
      </w:r>
      <w:r w:rsidRPr="007224C3">
        <w:rPr>
          <w:rFonts w:ascii="Times New Roman" w:hAnsi="Times New Roman"/>
          <w:color w:val="000000" w:themeColor="text1"/>
          <w:sz w:val="16"/>
          <w:szCs w:val="16"/>
        </w:rPr>
        <w:softHyphen/>
        <w:t>лива: топливная смесь была переобога</w:t>
      </w:r>
      <w:r w:rsidRPr="007224C3">
        <w:rPr>
          <w:rFonts w:ascii="Times New Roman" w:hAnsi="Times New Roman"/>
          <w:color w:val="000000" w:themeColor="text1"/>
          <w:sz w:val="16"/>
          <w:szCs w:val="16"/>
        </w:rPr>
        <w:softHyphen/>
        <w:t>щенной. С «нормальным» мотором результаты по дальности полета получи</w:t>
      </w:r>
      <w:r w:rsidRPr="007224C3">
        <w:rPr>
          <w:rFonts w:ascii="Times New Roman" w:hAnsi="Times New Roman"/>
          <w:color w:val="000000" w:themeColor="text1"/>
          <w:sz w:val="16"/>
          <w:szCs w:val="16"/>
        </w:rPr>
        <w:softHyphen/>
        <w:t>лись бы выше — практически одинако</w:t>
      </w:r>
      <w:r w:rsidRPr="007224C3">
        <w:rPr>
          <w:rFonts w:ascii="Times New Roman" w:hAnsi="Times New Roman"/>
          <w:color w:val="000000" w:themeColor="text1"/>
          <w:sz w:val="16"/>
          <w:szCs w:val="16"/>
        </w:rPr>
        <w:softHyphen/>
        <w:t>выми с Ил-8, но несколько ниже, чем у Ил-10. Сравнение летных свойств Су-6 и Ил-10 оказалось не в пользу первого. По большинству определяющих харак</w:t>
      </w:r>
      <w:r w:rsidRPr="007224C3">
        <w:rPr>
          <w:rFonts w:ascii="Times New Roman" w:hAnsi="Times New Roman"/>
          <w:color w:val="000000" w:themeColor="text1"/>
          <w:sz w:val="16"/>
          <w:szCs w:val="16"/>
        </w:rPr>
        <w:softHyphen/>
        <w:t>теристик «сухой» уступал «десятке». При полетном весе 6300 кг Ил-10 превос</w:t>
      </w:r>
      <w:r w:rsidRPr="007224C3">
        <w:rPr>
          <w:rFonts w:ascii="Times New Roman" w:hAnsi="Times New Roman"/>
          <w:color w:val="000000" w:themeColor="text1"/>
          <w:sz w:val="16"/>
          <w:szCs w:val="16"/>
        </w:rPr>
        <w:softHyphen/>
        <w:t>ходил Су-6 с полетным весом 6200 кг по горизонтальной скорости почти на всех высотах боевого применения на 10 — 20 км/ч (в зависимости от типа вооружения Су-6 — пушками НС-37 или ВЯ-23). По скороподъемности на «рабочих» высотах Су-6 также проиг</w:t>
      </w:r>
      <w:r w:rsidRPr="007224C3">
        <w:rPr>
          <w:rFonts w:ascii="Times New Roman" w:hAnsi="Times New Roman"/>
          <w:color w:val="000000" w:themeColor="text1"/>
          <w:sz w:val="16"/>
          <w:szCs w:val="16"/>
        </w:rPr>
        <w:softHyphen/>
        <w:t>рывал «десятке», хотя и незначитель</w:t>
      </w:r>
      <w:r w:rsidRPr="007224C3">
        <w:rPr>
          <w:rFonts w:ascii="Times New Roman" w:hAnsi="Times New Roman"/>
          <w:color w:val="000000" w:themeColor="text1"/>
          <w:sz w:val="16"/>
          <w:szCs w:val="16"/>
        </w:rPr>
        <w:softHyphen/>
        <w:t>но. Маневренность самолетов в гори</w:t>
      </w:r>
      <w:r w:rsidRPr="007224C3">
        <w:rPr>
          <w:rFonts w:ascii="Times New Roman" w:hAnsi="Times New Roman"/>
          <w:color w:val="000000" w:themeColor="text1"/>
          <w:sz w:val="16"/>
          <w:szCs w:val="16"/>
        </w:rPr>
        <w:softHyphen/>
        <w:t>зонтальной плоскости оценивалась примерно равной, но Ил-10 имел не</w:t>
      </w:r>
      <w:r w:rsidRPr="007224C3">
        <w:rPr>
          <w:rFonts w:ascii="Times New Roman" w:hAnsi="Times New Roman"/>
          <w:color w:val="000000" w:themeColor="text1"/>
          <w:sz w:val="16"/>
          <w:szCs w:val="16"/>
        </w:rPr>
        <w:softHyphen/>
        <w:t>большое преимущество из-за несколь</w:t>
      </w:r>
      <w:r w:rsidRPr="007224C3">
        <w:rPr>
          <w:rFonts w:ascii="Times New Roman" w:hAnsi="Times New Roman"/>
          <w:color w:val="000000" w:themeColor="text1"/>
          <w:sz w:val="16"/>
          <w:szCs w:val="16"/>
        </w:rPr>
        <w:softHyphen/>
        <w:t>ко меньшей нагрузки на крыло. Испытатель А.И. Кабанов отмечал, что Ил-10 более приятен и прост в технике пилотирования, чем «сухой», а главное — проще в управлении на взлете и посад</w:t>
      </w:r>
      <w:r w:rsidRPr="007224C3">
        <w:rPr>
          <w:rFonts w:ascii="Times New Roman" w:hAnsi="Times New Roman"/>
          <w:color w:val="000000" w:themeColor="text1"/>
          <w:sz w:val="16"/>
          <w:szCs w:val="16"/>
        </w:rPr>
        <w:softHyphen/>
        <w:t>ке. По мнению летчика А.В. Синельни</w:t>
      </w:r>
      <w:r w:rsidRPr="007224C3">
        <w:rPr>
          <w:rFonts w:ascii="Times New Roman" w:hAnsi="Times New Roman"/>
          <w:color w:val="000000" w:themeColor="text1"/>
          <w:sz w:val="16"/>
          <w:szCs w:val="16"/>
        </w:rPr>
        <w:softHyphen/>
        <w:t>кова, Су-6 по сравнению с Ил-10 имел худшую управляемость и обладал более низкими летными данными. Штурман А.К. Долгов указывал, что кабина стрел</w:t>
      </w:r>
      <w:r w:rsidRPr="007224C3">
        <w:rPr>
          <w:rFonts w:ascii="Times New Roman" w:hAnsi="Times New Roman"/>
          <w:color w:val="000000" w:themeColor="text1"/>
          <w:sz w:val="16"/>
          <w:szCs w:val="16"/>
        </w:rPr>
        <w:softHyphen/>
        <w:t>ка на Су-6 — лучшая из всех сравнивае</w:t>
      </w:r>
      <w:r w:rsidRPr="007224C3">
        <w:rPr>
          <w:rFonts w:ascii="Times New Roman" w:hAnsi="Times New Roman"/>
          <w:color w:val="000000" w:themeColor="text1"/>
          <w:sz w:val="16"/>
          <w:szCs w:val="16"/>
        </w:rPr>
        <w:softHyphen/>
        <w:t>мых самолетов, однако строить штурмо</w:t>
      </w:r>
      <w:r w:rsidRPr="007224C3">
        <w:rPr>
          <w:rFonts w:ascii="Times New Roman" w:hAnsi="Times New Roman"/>
          <w:color w:val="000000" w:themeColor="text1"/>
          <w:sz w:val="16"/>
          <w:szCs w:val="16"/>
        </w:rPr>
        <w:softHyphen/>
        <w:t>вик Сухого считал нецелесообразным. В заключении отчета был сделан вы</w:t>
      </w:r>
      <w:r w:rsidRPr="007224C3">
        <w:rPr>
          <w:rFonts w:ascii="Times New Roman" w:hAnsi="Times New Roman"/>
          <w:color w:val="000000" w:themeColor="text1"/>
          <w:sz w:val="16"/>
          <w:szCs w:val="16"/>
        </w:rPr>
        <w:softHyphen/>
        <w:t>вод, что по своим летным данным, тех</w:t>
      </w:r>
      <w:r w:rsidRPr="007224C3">
        <w:rPr>
          <w:rFonts w:ascii="Times New Roman" w:hAnsi="Times New Roman"/>
          <w:color w:val="000000" w:themeColor="text1"/>
          <w:sz w:val="16"/>
          <w:szCs w:val="16"/>
        </w:rPr>
        <w:softHyphen/>
        <w:t>нике пилотирования и управляемости Су-6 уступает Ил-10, в связи с чем за</w:t>
      </w:r>
      <w:r w:rsidRPr="007224C3">
        <w:rPr>
          <w:rFonts w:ascii="Times New Roman" w:hAnsi="Times New Roman"/>
          <w:color w:val="000000" w:themeColor="text1"/>
          <w:sz w:val="16"/>
          <w:szCs w:val="16"/>
        </w:rPr>
        <w:softHyphen/>
        <w:t>пуск «сухого» в серийное производство сочли ненужным. В отличие от Су-6 с мо</w:t>
      </w:r>
      <w:r w:rsidRPr="007224C3">
        <w:rPr>
          <w:rFonts w:ascii="Times New Roman" w:hAnsi="Times New Roman"/>
          <w:color w:val="000000" w:themeColor="text1"/>
          <w:sz w:val="16"/>
          <w:szCs w:val="16"/>
        </w:rPr>
        <w:softHyphen/>
        <w:t>тором М-71Ф на машине с АМ-42 отсут</w:t>
      </w:r>
      <w:r w:rsidRPr="007224C3">
        <w:rPr>
          <w:rFonts w:ascii="Times New Roman" w:hAnsi="Times New Roman"/>
          <w:color w:val="000000" w:themeColor="text1"/>
          <w:sz w:val="16"/>
          <w:szCs w:val="16"/>
        </w:rPr>
        <w:softHyphen/>
        <w:t>ствовали автоматические предкрылки. Видимо, для упрощения производства и экономии времени, а также веса конст</w:t>
      </w:r>
      <w:r w:rsidRPr="007224C3">
        <w:rPr>
          <w:rFonts w:ascii="Times New Roman" w:hAnsi="Times New Roman"/>
          <w:color w:val="000000" w:themeColor="text1"/>
          <w:sz w:val="16"/>
          <w:szCs w:val="16"/>
        </w:rPr>
        <w:softHyphen/>
        <w:t>рукции крыла, решили ограничиться ус</w:t>
      </w:r>
      <w:r w:rsidRPr="007224C3">
        <w:rPr>
          <w:rFonts w:ascii="Times New Roman" w:hAnsi="Times New Roman"/>
          <w:color w:val="000000" w:themeColor="text1"/>
          <w:sz w:val="16"/>
          <w:szCs w:val="16"/>
        </w:rPr>
        <w:softHyphen/>
        <w:t>тановкой на нем только щитков Шренка. Учитывая, что ни Ил-8, ни Ил-10 авто-матическими предкрылками не оснаща</w:t>
      </w:r>
      <w:r w:rsidRPr="007224C3">
        <w:rPr>
          <w:rFonts w:ascii="Times New Roman" w:hAnsi="Times New Roman"/>
          <w:color w:val="000000" w:themeColor="text1"/>
          <w:sz w:val="16"/>
          <w:szCs w:val="16"/>
        </w:rPr>
        <w:softHyphen/>
        <w:t>лись, это был явный «шаг назад», так как серьезно уменьшал главное преимуще</w:t>
      </w:r>
      <w:r w:rsidRPr="007224C3">
        <w:rPr>
          <w:rFonts w:ascii="Times New Roman" w:hAnsi="Times New Roman"/>
          <w:color w:val="000000" w:themeColor="text1"/>
          <w:sz w:val="16"/>
          <w:szCs w:val="16"/>
        </w:rPr>
        <w:softHyphen/>
        <w:t>ство Су-6 — отличные маневренность и управляемость на больших углах атаки. Это и произошло. При сопоставимых в целом летных данных преимущество Су-6 в управляемости и устойчивости было утеряно. Стоит указать и на некоторую не</w:t>
      </w:r>
      <w:r w:rsidRPr="007224C3">
        <w:rPr>
          <w:rFonts w:ascii="Times New Roman" w:hAnsi="Times New Roman"/>
          <w:color w:val="000000" w:themeColor="text1"/>
          <w:sz w:val="16"/>
          <w:szCs w:val="16"/>
        </w:rPr>
        <w:softHyphen/>
        <w:t>корректность проведенного в НИИ ВВС сравнения летных данных. Ведь факти</w:t>
      </w:r>
      <w:r w:rsidRPr="007224C3">
        <w:rPr>
          <w:rFonts w:ascii="Times New Roman" w:hAnsi="Times New Roman"/>
          <w:color w:val="000000" w:themeColor="text1"/>
          <w:sz w:val="16"/>
          <w:szCs w:val="16"/>
        </w:rPr>
        <w:softHyphen/>
        <w:t>чески рассматривались машины разно</w:t>
      </w:r>
      <w:r w:rsidRPr="007224C3">
        <w:rPr>
          <w:rFonts w:ascii="Times New Roman" w:hAnsi="Times New Roman"/>
          <w:color w:val="000000" w:themeColor="text1"/>
          <w:sz w:val="16"/>
          <w:szCs w:val="16"/>
        </w:rPr>
        <w:softHyphen/>
        <w:t>го класса: сильно бронированный мно</w:t>
      </w:r>
      <w:r w:rsidRPr="007224C3">
        <w:rPr>
          <w:rFonts w:ascii="Times New Roman" w:hAnsi="Times New Roman"/>
          <w:color w:val="000000" w:themeColor="text1"/>
          <w:sz w:val="16"/>
          <w:szCs w:val="16"/>
        </w:rPr>
        <w:softHyphen/>
        <w:t>гоцелевой штурмовик-бомбардировщик и легкий самолет-штурмовик. При этом в отношении Су-6 была сделана попыт</w:t>
      </w:r>
      <w:r w:rsidRPr="007224C3">
        <w:rPr>
          <w:rFonts w:ascii="Times New Roman" w:hAnsi="Times New Roman"/>
          <w:color w:val="000000" w:themeColor="text1"/>
          <w:sz w:val="16"/>
          <w:szCs w:val="16"/>
        </w:rPr>
        <w:softHyphen/>
        <w:t>ка подтянуть его вооружение до уровня, сопоставимого с Ил-8. На протяжении всего периода испытаний «сухой» летал с максимальной бомбовой нагрузкой — 600 кг (вариант с ВЯ-23) и 400 кг (вари</w:t>
      </w:r>
      <w:r w:rsidRPr="007224C3">
        <w:rPr>
          <w:rFonts w:ascii="Times New Roman" w:hAnsi="Times New Roman"/>
          <w:color w:val="000000" w:themeColor="text1"/>
          <w:sz w:val="16"/>
          <w:szCs w:val="16"/>
        </w:rPr>
        <w:softHyphen/>
        <w:t>ант с НС-37). Ил-8 и Ил-10 испытывались в нормальном варианте загрузки — 600 кг и 400 кг бомб соответственно. При этом удельные показатели Су-6, главным образом нагрузка на крыло и нагрузка на мощность, были ниже расчетных значе</w:t>
      </w:r>
      <w:r w:rsidRPr="007224C3">
        <w:rPr>
          <w:rFonts w:ascii="Times New Roman" w:hAnsi="Times New Roman"/>
          <w:color w:val="000000" w:themeColor="text1"/>
          <w:sz w:val="16"/>
          <w:szCs w:val="16"/>
        </w:rPr>
        <w:softHyphen/>
        <w:t>ний, поэтому фактически полученные летные характеристики (скорость, управ</w:t>
      </w:r>
      <w:r w:rsidRPr="007224C3">
        <w:rPr>
          <w:rFonts w:ascii="Times New Roman" w:hAnsi="Times New Roman"/>
          <w:color w:val="000000" w:themeColor="text1"/>
          <w:sz w:val="16"/>
          <w:szCs w:val="16"/>
        </w:rPr>
        <w:softHyphen/>
        <w:t>ляемость, горизонтальная и вертикаль</w:t>
      </w:r>
      <w:r w:rsidRPr="007224C3">
        <w:rPr>
          <w:rFonts w:ascii="Times New Roman" w:hAnsi="Times New Roman"/>
          <w:color w:val="000000" w:themeColor="text1"/>
          <w:sz w:val="16"/>
          <w:szCs w:val="16"/>
        </w:rPr>
        <w:softHyphen/>
        <w:t>ная маневренность) были хуже расчет</w:t>
      </w:r>
      <w:r w:rsidRPr="007224C3">
        <w:rPr>
          <w:rFonts w:ascii="Times New Roman" w:hAnsi="Times New Roman"/>
          <w:color w:val="000000" w:themeColor="text1"/>
          <w:sz w:val="16"/>
          <w:szCs w:val="16"/>
        </w:rPr>
        <w:softHyphen/>
        <w:t>ных. У его конкурентов удельные пока</w:t>
      </w:r>
      <w:r w:rsidRPr="007224C3">
        <w:rPr>
          <w:rFonts w:ascii="Times New Roman" w:hAnsi="Times New Roman"/>
          <w:color w:val="000000" w:themeColor="text1"/>
          <w:sz w:val="16"/>
          <w:szCs w:val="16"/>
        </w:rPr>
        <w:softHyphen/>
        <w:t>затели соответствовали расчетным значениям, и на испытаниях они могли продемонстрировать все, на что были способны. При нормальной бомбовой нагрузке характеристики Су-6 заметно повыша</w:t>
      </w:r>
      <w:r w:rsidRPr="007224C3">
        <w:rPr>
          <w:rFonts w:ascii="Times New Roman" w:hAnsi="Times New Roman"/>
          <w:color w:val="000000" w:themeColor="text1"/>
          <w:sz w:val="16"/>
          <w:szCs w:val="16"/>
        </w:rPr>
        <w:softHyphen/>
        <w:t>лись: нагрузка на крыло — 209,8 кг/м</w:t>
      </w:r>
      <w:r w:rsidRPr="007224C3">
        <w:rPr>
          <w:rFonts w:ascii="Times New Roman" w:hAnsi="Times New Roman"/>
          <w:color w:val="000000" w:themeColor="text1"/>
          <w:sz w:val="16"/>
          <w:szCs w:val="16"/>
          <w:vertAlign w:val="superscript"/>
        </w:rPr>
        <w:t>2</w:t>
      </w:r>
      <w:r w:rsidRPr="007224C3">
        <w:rPr>
          <w:rFonts w:ascii="Times New Roman" w:hAnsi="Times New Roman"/>
          <w:color w:val="000000" w:themeColor="text1"/>
          <w:sz w:val="16"/>
          <w:szCs w:val="16"/>
        </w:rPr>
        <w:t>, на мощность — 3,0 кг/л.с. При этом улучша</w:t>
      </w:r>
      <w:r w:rsidRPr="007224C3">
        <w:rPr>
          <w:rFonts w:ascii="Times New Roman" w:hAnsi="Times New Roman"/>
          <w:color w:val="000000" w:themeColor="text1"/>
          <w:sz w:val="16"/>
          <w:szCs w:val="16"/>
        </w:rPr>
        <w:softHyphen/>
        <w:t>лась управляемость на всех режимах полета (взлет, посадка, боевое маневри</w:t>
      </w:r>
      <w:r w:rsidRPr="007224C3">
        <w:rPr>
          <w:rFonts w:ascii="Times New Roman" w:hAnsi="Times New Roman"/>
          <w:color w:val="000000" w:themeColor="text1"/>
          <w:sz w:val="16"/>
          <w:szCs w:val="16"/>
        </w:rPr>
        <w:softHyphen/>
        <w:t>рование). А если «нагрузить» Ил-10 до отказа (600 кг), то сравнение с Су-6 шло уже не в пользу первого — вертикальная и горизонтальная маневренность стано</w:t>
      </w:r>
      <w:r w:rsidRPr="007224C3">
        <w:rPr>
          <w:rFonts w:ascii="Times New Roman" w:hAnsi="Times New Roman"/>
          <w:color w:val="000000" w:themeColor="text1"/>
          <w:sz w:val="16"/>
          <w:szCs w:val="16"/>
        </w:rPr>
        <w:softHyphen/>
        <w:t>вилась хуже, равно как и управляемость. Усложнялась техника пилотирования, особенно на больших углах атаки. В дальнейшем при принятии решения о постановке самолета Ил-10 на вооруже</w:t>
      </w:r>
      <w:r w:rsidRPr="007224C3">
        <w:rPr>
          <w:rFonts w:ascii="Times New Roman" w:hAnsi="Times New Roman"/>
          <w:color w:val="000000" w:themeColor="text1"/>
          <w:sz w:val="16"/>
          <w:szCs w:val="16"/>
        </w:rPr>
        <w:softHyphen/>
        <w:t>ние было особо оговорено ограничение взлетного веса, который не должен был превышать 6300 кг. Остается только догадывать</w:t>
      </w:r>
      <w:r w:rsidRPr="007224C3">
        <w:rPr>
          <w:rFonts w:ascii="Times New Roman" w:hAnsi="Times New Roman"/>
          <w:color w:val="000000" w:themeColor="text1"/>
          <w:sz w:val="16"/>
          <w:szCs w:val="16"/>
        </w:rPr>
        <w:softHyphen/>
        <w:t>ся, по каким причинам Су-6 с мотором АМ-42 предъявили на государственные испытания в варианте с максимальной бомбовой нагрузкой. Была ли это ошиб</w:t>
      </w:r>
      <w:r w:rsidRPr="007224C3">
        <w:rPr>
          <w:rFonts w:ascii="Times New Roman" w:hAnsi="Times New Roman"/>
          <w:color w:val="000000" w:themeColor="text1"/>
          <w:sz w:val="16"/>
          <w:szCs w:val="16"/>
        </w:rPr>
        <w:softHyphen/>
        <w:t>ка Сухого, пожелавшего посоревновать</w:t>
      </w:r>
      <w:r w:rsidRPr="007224C3">
        <w:rPr>
          <w:rFonts w:ascii="Times New Roman" w:hAnsi="Times New Roman"/>
          <w:color w:val="000000" w:themeColor="text1"/>
          <w:sz w:val="16"/>
          <w:szCs w:val="16"/>
        </w:rPr>
        <w:softHyphen/>
        <w:t>ся слетающим «броненосцем» Ильюши</w:t>
      </w:r>
      <w:r w:rsidRPr="007224C3">
        <w:rPr>
          <w:rFonts w:ascii="Times New Roman" w:hAnsi="Times New Roman"/>
          <w:color w:val="000000" w:themeColor="text1"/>
          <w:sz w:val="16"/>
          <w:szCs w:val="16"/>
        </w:rPr>
        <w:softHyphen/>
        <w:t>на, или же поступила соответствующая директива наркомата... Удивляет другое, почему специалисты НИИ ВВС не обра</w:t>
      </w:r>
      <w:r w:rsidRPr="007224C3">
        <w:rPr>
          <w:rFonts w:ascii="Times New Roman" w:hAnsi="Times New Roman"/>
          <w:color w:val="000000" w:themeColor="text1"/>
          <w:sz w:val="16"/>
          <w:szCs w:val="16"/>
        </w:rPr>
        <w:softHyphen/>
        <w:t>тили внимания на разницу боевых нагру</w:t>
      </w:r>
      <w:r w:rsidRPr="007224C3">
        <w:rPr>
          <w:rFonts w:ascii="Times New Roman" w:hAnsi="Times New Roman"/>
          <w:color w:val="000000" w:themeColor="text1"/>
          <w:sz w:val="16"/>
          <w:szCs w:val="16"/>
        </w:rPr>
        <w:softHyphen/>
        <w:t>зок и не провели дополнительные испы</w:t>
      </w:r>
      <w:r w:rsidRPr="007224C3">
        <w:rPr>
          <w:rFonts w:ascii="Times New Roman" w:hAnsi="Times New Roman"/>
          <w:color w:val="000000" w:themeColor="text1"/>
          <w:sz w:val="16"/>
          <w:szCs w:val="16"/>
        </w:rPr>
        <w:softHyphen/>
        <w:t>тания Су-6. Возможно, выводы отлича</w:t>
      </w:r>
      <w:r w:rsidRPr="007224C3">
        <w:rPr>
          <w:rFonts w:ascii="Times New Roman" w:hAnsi="Times New Roman"/>
          <w:color w:val="000000" w:themeColor="text1"/>
          <w:sz w:val="16"/>
          <w:szCs w:val="16"/>
        </w:rPr>
        <w:softHyphen/>
        <w:t>лись бы от тех, что появились в итоговом заключении. Не обратили внимание военные и на имеющийся у Су-6 очевидный резерв повышения летных и маневренных ка</w:t>
      </w:r>
      <w:r w:rsidRPr="007224C3">
        <w:rPr>
          <w:rFonts w:ascii="Times New Roman" w:hAnsi="Times New Roman"/>
          <w:color w:val="000000" w:themeColor="text1"/>
          <w:sz w:val="16"/>
          <w:szCs w:val="16"/>
        </w:rPr>
        <w:softHyphen/>
        <w:t>честв. Распределение толщины брони бронекорпуса «сухого» было выбрано далеко не самым оптимальным образом. Нет в документе и серьезного анализа боевых свойств Ил-10 и Су-6 и их воору</w:t>
      </w:r>
      <w:r w:rsidRPr="007224C3">
        <w:rPr>
          <w:rFonts w:ascii="Times New Roman" w:hAnsi="Times New Roman"/>
          <w:color w:val="000000" w:themeColor="text1"/>
          <w:sz w:val="16"/>
          <w:szCs w:val="16"/>
        </w:rPr>
        <w:softHyphen/>
        <w:t>жения. Если его провести задним чис</w:t>
      </w:r>
      <w:r w:rsidRPr="007224C3">
        <w:rPr>
          <w:rFonts w:ascii="Times New Roman" w:hAnsi="Times New Roman"/>
          <w:color w:val="000000" w:themeColor="text1"/>
          <w:sz w:val="16"/>
          <w:szCs w:val="16"/>
        </w:rPr>
        <w:softHyphen/>
        <w:t xml:space="preserve">лом, то оказывается, что вооружение Су-6 в большей степени соответствовало </w:t>
      </w:r>
      <w:r w:rsidRPr="007224C3">
        <w:rPr>
          <w:rFonts w:ascii="Times New Roman" w:hAnsi="Times New Roman"/>
          <w:color w:val="000000" w:themeColor="text1"/>
          <w:sz w:val="16"/>
          <w:szCs w:val="16"/>
        </w:rPr>
        <w:lastRenderedPageBreak/>
        <w:t>задачам непосредственной поддержки войск и распределению типовых назем</w:t>
      </w:r>
      <w:r w:rsidRPr="007224C3">
        <w:rPr>
          <w:rFonts w:ascii="Times New Roman" w:hAnsi="Times New Roman"/>
          <w:color w:val="000000" w:themeColor="text1"/>
          <w:sz w:val="16"/>
          <w:szCs w:val="16"/>
        </w:rPr>
        <w:softHyphen/>
        <w:t>ных целей, против которых приходилось действовать штурмовой авиации в ходе войны. Единственным достоинством опытно</w:t>
      </w:r>
      <w:r w:rsidRPr="007224C3">
        <w:rPr>
          <w:rFonts w:ascii="Times New Roman" w:hAnsi="Times New Roman"/>
          <w:color w:val="000000" w:themeColor="text1"/>
          <w:sz w:val="16"/>
          <w:szCs w:val="16"/>
        </w:rPr>
        <w:softHyphen/>
        <w:t>го образца Ил-10 в этом отношении яв</w:t>
      </w:r>
      <w:r w:rsidRPr="007224C3">
        <w:rPr>
          <w:rFonts w:ascii="Times New Roman" w:hAnsi="Times New Roman"/>
          <w:color w:val="000000" w:themeColor="text1"/>
          <w:sz w:val="16"/>
          <w:szCs w:val="16"/>
        </w:rPr>
        <w:softHyphen/>
        <w:t>ляется наличие у него оборонительной стрелковой установки ВУ-7 с 20-мм пуш</w:t>
      </w:r>
      <w:r w:rsidRPr="007224C3">
        <w:rPr>
          <w:rFonts w:ascii="Times New Roman" w:hAnsi="Times New Roman"/>
          <w:color w:val="000000" w:themeColor="text1"/>
          <w:sz w:val="16"/>
          <w:szCs w:val="16"/>
        </w:rPr>
        <w:softHyphen/>
        <w:t>кой Ш-20, обеспечивавшей значительно большую эффективность при отражении атак истребителей противника, чем ус</w:t>
      </w:r>
      <w:r w:rsidRPr="007224C3">
        <w:rPr>
          <w:rFonts w:ascii="Times New Roman" w:hAnsi="Times New Roman"/>
          <w:color w:val="000000" w:themeColor="text1"/>
          <w:sz w:val="16"/>
          <w:szCs w:val="16"/>
        </w:rPr>
        <w:softHyphen/>
        <w:t>тановки БЛУБ на Су-6 или ВУБ-3 на Ил-2 (с пулеметами УБТ), за счет более ши</w:t>
      </w:r>
      <w:r w:rsidRPr="007224C3">
        <w:rPr>
          <w:rFonts w:ascii="Times New Roman" w:hAnsi="Times New Roman"/>
          <w:color w:val="000000" w:themeColor="text1"/>
          <w:sz w:val="16"/>
          <w:szCs w:val="16"/>
        </w:rPr>
        <w:softHyphen/>
        <w:t>рокого сектора стрельбы и большей мощности огня. Стрелково-пушечное вооружение «десятки» было таким же, как и у Ил-2 последних серий и Су-6 с пушками ВЯ-23, но уступало тому же Су-6 с НС-37. Бомбовое вооружение Ил-10 по сво</w:t>
      </w:r>
      <w:r w:rsidRPr="007224C3">
        <w:rPr>
          <w:rFonts w:ascii="Times New Roman" w:hAnsi="Times New Roman"/>
          <w:color w:val="000000" w:themeColor="text1"/>
          <w:sz w:val="16"/>
          <w:szCs w:val="16"/>
        </w:rPr>
        <w:softHyphen/>
        <w:t>им возможностям уступало и Ил-2, и Су-6 с мотором АМ-42. Опыт войны пока</w:t>
      </w:r>
      <w:r w:rsidRPr="007224C3">
        <w:rPr>
          <w:rFonts w:ascii="Times New Roman" w:hAnsi="Times New Roman"/>
          <w:color w:val="000000" w:themeColor="text1"/>
          <w:sz w:val="16"/>
          <w:szCs w:val="16"/>
        </w:rPr>
        <w:softHyphen/>
        <w:t>зал, что для поражения наиболее рас</w:t>
      </w:r>
      <w:r w:rsidRPr="007224C3">
        <w:rPr>
          <w:rFonts w:ascii="Times New Roman" w:hAnsi="Times New Roman"/>
          <w:color w:val="000000" w:themeColor="text1"/>
          <w:sz w:val="16"/>
          <w:szCs w:val="16"/>
        </w:rPr>
        <w:softHyphen/>
        <w:t>пространенных целей (мотомехколонны, артиллерийские и минометные батареи на позициях, пехота, огневые точки, транспортные средства и легкоброниро</w:t>
      </w:r>
      <w:r w:rsidRPr="007224C3">
        <w:rPr>
          <w:rFonts w:ascii="Times New Roman" w:hAnsi="Times New Roman"/>
          <w:color w:val="000000" w:themeColor="text1"/>
          <w:sz w:val="16"/>
          <w:szCs w:val="16"/>
        </w:rPr>
        <w:softHyphen/>
        <w:t>ванная техника) основными типами бомб являлись осколочные калибра 25 и 50 кг и фугасные калибра 50 кг, а также мелкие осколочные бомбы (в основном 2,5-кг). Для советских штурмовиков наи</w:t>
      </w:r>
      <w:r w:rsidRPr="007224C3">
        <w:rPr>
          <w:rFonts w:ascii="Times New Roman" w:hAnsi="Times New Roman"/>
          <w:color w:val="000000" w:themeColor="text1"/>
          <w:sz w:val="16"/>
          <w:szCs w:val="16"/>
        </w:rPr>
        <w:softHyphen/>
        <w:t>более «ходовыми» были АО-2,5сч, АО-25сч, АО-25м, АО-50-100, ФАБ-50 и ФАБ-50м. Чтобы достичь большой веро</w:t>
      </w:r>
      <w:r w:rsidRPr="007224C3">
        <w:rPr>
          <w:rFonts w:ascii="Times New Roman" w:hAnsi="Times New Roman"/>
          <w:color w:val="000000" w:themeColor="text1"/>
          <w:sz w:val="16"/>
          <w:szCs w:val="16"/>
        </w:rPr>
        <w:softHyphen/>
        <w:t>ятности попадания, самолет должен нести максимально большое количество бомб именно таких типов, сравнительно небольшого размера. А в «десятку» мелких бомб загружа</w:t>
      </w:r>
      <w:r w:rsidRPr="007224C3">
        <w:rPr>
          <w:rFonts w:ascii="Times New Roman" w:hAnsi="Times New Roman"/>
          <w:color w:val="000000" w:themeColor="text1"/>
          <w:sz w:val="16"/>
          <w:szCs w:val="16"/>
        </w:rPr>
        <w:softHyphen/>
        <w:t>лось значительно меньше, чем в Су-6 или Ил-2. Последние несли больше АО-2,5сч —на 12%, ПТАБ-2,5-1,5 — на 50%, ПТАБ-10-2,5 — на 58%, АО-25сч — на 50%, ФАБ-50 — на 33%. Получалось, что для размещения полной бомбовой нагрузки в новом штурмовике Ильюши</w:t>
      </w:r>
      <w:r w:rsidRPr="007224C3">
        <w:rPr>
          <w:rFonts w:ascii="Times New Roman" w:hAnsi="Times New Roman"/>
          <w:color w:val="000000" w:themeColor="text1"/>
          <w:sz w:val="16"/>
          <w:szCs w:val="16"/>
        </w:rPr>
        <w:softHyphen/>
        <w:t>на просто не хватало места. При снаря</w:t>
      </w:r>
      <w:r w:rsidRPr="007224C3">
        <w:rPr>
          <w:rFonts w:ascii="Times New Roman" w:hAnsi="Times New Roman"/>
          <w:color w:val="000000" w:themeColor="text1"/>
          <w:sz w:val="16"/>
          <w:szCs w:val="16"/>
        </w:rPr>
        <w:softHyphen/>
        <w:t>жении самолета бомбами АО-25сч и ФАБ-50 недогруз от нормы доходил до 22% и 50% соответственно, а от макси</w:t>
      </w:r>
      <w:r w:rsidRPr="007224C3">
        <w:rPr>
          <w:rFonts w:ascii="Times New Roman" w:hAnsi="Times New Roman"/>
          <w:color w:val="000000" w:themeColor="text1"/>
          <w:sz w:val="16"/>
          <w:szCs w:val="16"/>
        </w:rPr>
        <w:softHyphen/>
        <w:t>мального варианта—до 48% и 77%. В то же время, недогруз «сухого» от мак</w:t>
      </w:r>
      <w:r w:rsidRPr="007224C3">
        <w:rPr>
          <w:rFonts w:ascii="Times New Roman" w:hAnsi="Times New Roman"/>
          <w:color w:val="000000" w:themeColor="text1"/>
          <w:sz w:val="16"/>
          <w:szCs w:val="16"/>
        </w:rPr>
        <w:softHyphen/>
        <w:t>симального варианта составлял для АО-25сч всего 23%, а для ФАБ-50 — 50%. При загрузке Ил-2 бомбами АО-25сч нор</w:t>
      </w:r>
      <w:r w:rsidRPr="007224C3">
        <w:rPr>
          <w:rFonts w:ascii="Times New Roman" w:hAnsi="Times New Roman"/>
          <w:color w:val="000000" w:themeColor="text1"/>
          <w:sz w:val="16"/>
          <w:szCs w:val="16"/>
        </w:rPr>
        <w:softHyphen/>
        <w:t>мальная грузоподъемность использова</w:t>
      </w:r>
      <w:r w:rsidRPr="007224C3">
        <w:rPr>
          <w:rFonts w:ascii="Times New Roman" w:hAnsi="Times New Roman"/>
          <w:color w:val="000000" w:themeColor="text1"/>
          <w:sz w:val="16"/>
          <w:szCs w:val="16"/>
        </w:rPr>
        <w:softHyphen/>
        <w:t>лась полностью, а при использовании ФАБ-50 — на 75%. Ил-10 мог взять 440 — 520 кг бомб АО-2,5сч, Су-6 — 520 — 590 кг, и даже уже устаревающий Ил-2—до 475 кг. Нормальная бомбовая нагрузка в 400 кг на Ил-10 обеспечивалась лишь при подвеске четырех бомб ФАБ-100. При использовании меньших калибров «десятка» оказывалась недогруженной даже до нормы варианта. При том, что Су-6 и Ил-2 поднимали по шесть «соток», доводя бомбовую нагрузку до макси</w:t>
      </w:r>
      <w:r w:rsidRPr="007224C3">
        <w:rPr>
          <w:rFonts w:ascii="Times New Roman" w:hAnsi="Times New Roman"/>
          <w:color w:val="000000" w:themeColor="text1"/>
          <w:sz w:val="16"/>
          <w:szCs w:val="16"/>
        </w:rPr>
        <w:softHyphen/>
        <w:t>мально допустимой. Если к этому добавить, что на Ил-10 не предусматривалось ракетное воору</w:t>
      </w:r>
      <w:r w:rsidRPr="007224C3">
        <w:rPr>
          <w:rFonts w:ascii="Times New Roman" w:hAnsi="Times New Roman"/>
          <w:color w:val="000000" w:themeColor="text1"/>
          <w:sz w:val="16"/>
          <w:szCs w:val="16"/>
        </w:rPr>
        <w:softHyphen/>
        <w:t>жение, то можно утверждать, что эффек</w:t>
      </w:r>
      <w:r w:rsidRPr="007224C3">
        <w:rPr>
          <w:rFonts w:ascii="Times New Roman" w:hAnsi="Times New Roman"/>
          <w:color w:val="000000" w:themeColor="text1"/>
          <w:sz w:val="16"/>
          <w:szCs w:val="16"/>
        </w:rPr>
        <w:softHyphen/>
        <w:t>тивность «десятки» по поражению типо</w:t>
      </w:r>
      <w:r w:rsidRPr="007224C3">
        <w:rPr>
          <w:rFonts w:ascii="Times New Roman" w:hAnsi="Times New Roman"/>
          <w:color w:val="000000" w:themeColor="text1"/>
          <w:sz w:val="16"/>
          <w:szCs w:val="16"/>
        </w:rPr>
        <w:softHyphen/>
        <w:t>вых наземных целей была даже ниже, чем у старого Ил-2 с мотором АМ-38Ф, имевшего четыре ракетных орудия РО-82, не говоря уже о Су-6 с АМ-42, на котором устанавливались шесть РО-132 или РО-82. Справедливости ради надо сказать, что в то время среди строевых летчиков и командного состава ВВС существовали прямо противоположные точки зрения на оснащение штурмовика ракетным вооружением. Одни считали, что реак</w:t>
      </w:r>
      <w:r w:rsidRPr="007224C3">
        <w:rPr>
          <w:rFonts w:ascii="Times New Roman" w:hAnsi="Times New Roman"/>
          <w:color w:val="000000" w:themeColor="text1"/>
          <w:sz w:val="16"/>
          <w:szCs w:val="16"/>
        </w:rPr>
        <w:softHyphen/>
        <w:t>тивные снаряды всех типов неэффектив</w:t>
      </w:r>
      <w:r w:rsidRPr="007224C3">
        <w:rPr>
          <w:rFonts w:ascii="Times New Roman" w:hAnsi="Times New Roman"/>
          <w:color w:val="000000" w:themeColor="text1"/>
          <w:sz w:val="16"/>
          <w:szCs w:val="16"/>
        </w:rPr>
        <w:softHyphen/>
        <w:t>ны в бою вследствие их большого рас</w:t>
      </w:r>
      <w:r w:rsidRPr="007224C3">
        <w:rPr>
          <w:rFonts w:ascii="Times New Roman" w:hAnsi="Times New Roman"/>
          <w:color w:val="000000" w:themeColor="text1"/>
          <w:sz w:val="16"/>
          <w:szCs w:val="16"/>
        </w:rPr>
        <w:softHyphen/>
        <w:t>сеивания. В частности, командующий 3-й воздушной армией генерал-лейтенант Н.В. Папивин в своем докладе отмечал, что «установка РО-82 на Ил-2 нецелесо</w:t>
      </w:r>
      <w:r w:rsidRPr="007224C3">
        <w:rPr>
          <w:rFonts w:ascii="Times New Roman" w:hAnsi="Times New Roman"/>
          <w:color w:val="000000" w:themeColor="text1"/>
          <w:sz w:val="16"/>
          <w:szCs w:val="16"/>
        </w:rPr>
        <w:softHyphen/>
        <w:t>образна и они могут быть сняты: незна</w:t>
      </w:r>
      <w:r w:rsidRPr="007224C3">
        <w:rPr>
          <w:rFonts w:ascii="Times New Roman" w:hAnsi="Times New Roman"/>
          <w:color w:val="000000" w:themeColor="text1"/>
          <w:sz w:val="16"/>
          <w:szCs w:val="16"/>
        </w:rPr>
        <w:softHyphen/>
        <w:t>чительный вес боевой части РС-82, не</w:t>
      </w:r>
      <w:r w:rsidRPr="007224C3">
        <w:rPr>
          <w:rFonts w:ascii="Times New Roman" w:hAnsi="Times New Roman"/>
          <w:color w:val="000000" w:themeColor="text1"/>
          <w:sz w:val="16"/>
          <w:szCs w:val="16"/>
        </w:rPr>
        <w:softHyphen/>
        <w:t>рациональное использование осколков, мала точность стрельбы, снижается ско</w:t>
      </w:r>
      <w:r w:rsidRPr="007224C3">
        <w:rPr>
          <w:rFonts w:ascii="Times New Roman" w:hAnsi="Times New Roman"/>
          <w:color w:val="000000" w:themeColor="text1"/>
          <w:sz w:val="16"/>
          <w:szCs w:val="16"/>
        </w:rPr>
        <w:softHyphen/>
        <w:t>рость полета...». Другие, немало пост</w:t>
      </w:r>
      <w:r w:rsidRPr="007224C3">
        <w:rPr>
          <w:rFonts w:ascii="Times New Roman" w:hAnsi="Times New Roman"/>
          <w:color w:val="000000" w:themeColor="text1"/>
          <w:sz w:val="16"/>
          <w:szCs w:val="16"/>
        </w:rPr>
        <w:softHyphen/>
        <w:t>реляв ракетами на фронте, наоборот, по</w:t>
      </w:r>
      <w:r w:rsidRPr="007224C3">
        <w:rPr>
          <w:rFonts w:ascii="Times New Roman" w:hAnsi="Times New Roman"/>
          <w:color w:val="000000" w:themeColor="text1"/>
          <w:sz w:val="16"/>
          <w:szCs w:val="16"/>
        </w:rPr>
        <w:softHyphen/>
        <w:t>лагали, что реактивные снаряды весьма эффективны, и в этой связи настаивали на увеличении числа ракетных орудий РО-132 или РО-82 до 10 — 12 на каждом самолете. Сомнения в отношении эффективно</w:t>
      </w:r>
      <w:r w:rsidRPr="007224C3">
        <w:rPr>
          <w:rFonts w:ascii="Times New Roman" w:hAnsi="Times New Roman"/>
          <w:color w:val="000000" w:themeColor="text1"/>
          <w:sz w:val="16"/>
          <w:szCs w:val="16"/>
        </w:rPr>
        <w:softHyphen/>
        <w:t>сти боевого применения реактивных сна</w:t>
      </w:r>
      <w:r w:rsidRPr="007224C3">
        <w:rPr>
          <w:rFonts w:ascii="Times New Roman" w:hAnsi="Times New Roman"/>
          <w:color w:val="000000" w:themeColor="text1"/>
          <w:sz w:val="16"/>
          <w:szCs w:val="16"/>
        </w:rPr>
        <w:softHyphen/>
        <w:t>рядов на фронте часто объясняют не всегда грамотным их использованием. Стреляли с больших дистанций (600 — 700 м) и несколькими снарядами. Если же летчики действовали правильно, то есть залпом с предельно допустимых по условиям безопасности дистанций (300 — 400 м), результаты стрельб были на порядок лучше. Особенно интересным (применитель</w:t>
      </w:r>
      <w:r w:rsidRPr="007224C3">
        <w:rPr>
          <w:rFonts w:ascii="Times New Roman" w:hAnsi="Times New Roman"/>
          <w:color w:val="000000" w:themeColor="text1"/>
          <w:sz w:val="16"/>
          <w:szCs w:val="16"/>
        </w:rPr>
        <w:softHyphen/>
        <w:t>но к условиям наземных боев в 1944 — 1945 гг.) представляется применение на штурмовиках ракетных снарядов с бро</w:t>
      </w:r>
      <w:r w:rsidRPr="007224C3">
        <w:rPr>
          <w:rFonts w:ascii="Times New Roman" w:hAnsi="Times New Roman"/>
          <w:color w:val="000000" w:themeColor="text1"/>
          <w:sz w:val="16"/>
          <w:szCs w:val="16"/>
        </w:rPr>
        <w:softHyphen/>
        <w:t>небойной и осколочно-фугасной боевой частью типа РБС-82, РБС-132 и РОФС-132, которые имели существенно лучшие показатели рассеивания при стрельбе в воздухе и значительно превосходили снаряды с осколочной боевой частью по бронепробиваемости. РБС-82 и РБС-132 обеспечивали пробивание 50-мм и 75-мм танковой брони соответственно, а оскол</w:t>
      </w:r>
      <w:r w:rsidRPr="007224C3">
        <w:rPr>
          <w:rFonts w:ascii="Times New Roman" w:hAnsi="Times New Roman"/>
          <w:color w:val="000000" w:themeColor="text1"/>
          <w:sz w:val="16"/>
          <w:szCs w:val="16"/>
        </w:rPr>
        <w:softHyphen/>
        <w:t>ки РОФС-132 при разрыве снаряда вбли</w:t>
      </w:r>
      <w:r w:rsidRPr="007224C3">
        <w:rPr>
          <w:rFonts w:ascii="Times New Roman" w:hAnsi="Times New Roman"/>
          <w:color w:val="000000" w:themeColor="text1"/>
          <w:sz w:val="16"/>
          <w:szCs w:val="16"/>
        </w:rPr>
        <w:softHyphen/>
        <w:t>зи танка на расстоянии 1 м от него под углом 30° пронизывали сталь толщиной до 15 мм. Надо полагать, что отсутствие ракет</w:t>
      </w:r>
      <w:r w:rsidRPr="007224C3">
        <w:rPr>
          <w:rFonts w:ascii="Times New Roman" w:hAnsi="Times New Roman"/>
          <w:color w:val="000000" w:themeColor="text1"/>
          <w:sz w:val="16"/>
          <w:szCs w:val="16"/>
        </w:rPr>
        <w:softHyphen/>
        <w:t>ных орудий на Ил-10 явилось все же следствием не столько определенных «настроений» среди военных, сколько желанием ОКБ получить максимальные летные характеристики самолета, безус</w:t>
      </w:r>
      <w:r w:rsidRPr="007224C3">
        <w:rPr>
          <w:rFonts w:ascii="Times New Roman" w:hAnsi="Times New Roman"/>
          <w:color w:val="000000" w:themeColor="text1"/>
          <w:sz w:val="16"/>
          <w:szCs w:val="16"/>
        </w:rPr>
        <w:softHyphen/>
        <w:t>ловно улучшившиеся без подвески ре</w:t>
      </w:r>
      <w:r w:rsidRPr="007224C3">
        <w:rPr>
          <w:rFonts w:ascii="Times New Roman" w:hAnsi="Times New Roman"/>
          <w:color w:val="000000" w:themeColor="text1"/>
          <w:sz w:val="16"/>
          <w:szCs w:val="16"/>
        </w:rPr>
        <w:softHyphen/>
        <w:t>активных снарядов. Основное преимущество «десятки» перед Ил-2 в бою заключалось в более высокой подвижности и лучшей защищен</w:t>
      </w:r>
      <w:r w:rsidRPr="007224C3">
        <w:rPr>
          <w:rFonts w:ascii="Times New Roman" w:hAnsi="Times New Roman"/>
          <w:color w:val="000000" w:themeColor="text1"/>
          <w:sz w:val="16"/>
          <w:szCs w:val="16"/>
        </w:rPr>
        <w:softHyphen/>
        <w:t>ности от поражения малокалиберной зе</w:t>
      </w:r>
      <w:r w:rsidRPr="007224C3">
        <w:rPr>
          <w:rFonts w:ascii="Times New Roman" w:hAnsi="Times New Roman"/>
          <w:color w:val="000000" w:themeColor="text1"/>
          <w:sz w:val="16"/>
          <w:szCs w:val="16"/>
        </w:rPr>
        <w:softHyphen/>
        <w:t>нитной артиллерией и истребителями про</w:t>
      </w:r>
      <w:r w:rsidRPr="007224C3">
        <w:rPr>
          <w:rFonts w:ascii="Times New Roman" w:hAnsi="Times New Roman"/>
          <w:color w:val="000000" w:themeColor="text1"/>
          <w:sz w:val="16"/>
          <w:szCs w:val="16"/>
        </w:rPr>
        <w:softHyphen/>
        <w:t>тивника. Су-6 с мотором АМ-42, пушками ВЯ-23 и нормальной бомбовой нагрузкой при сопоставимой с Ил-10 подвижности мог эффективнее поражать наземные цели бомбами и реактивными снарядами. К сожалению, в то время задача дос</w:t>
      </w:r>
      <w:r w:rsidRPr="007224C3">
        <w:rPr>
          <w:rFonts w:ascii="Times New Roman" w:hAnsi="Times New Roman"/>
          <w:color w:val="000000" w:themeColor="text1"/>
          <w:sz w:val="16"/>
          <w:szCs w:val="16"/>
        </w:rPr>
        <w:softHyphen/>
        <w:t>тижения конкретных показателей боевой эффективности в требованиях к перспек</w:t>
      </w:r>
      <w:r w:rsidRPr="007224C3">
        <w:rPr>
          <w:rFonts w:ascii="Times New Roman" w:hAnsi="Times New Roman"/>
          <w:color w:val="000000" w:themeColor="text1"/>
          <w:sz w:val="16"/>
          <w:szCs w:val="16"/>
        </w:rPr>
        <w:softHyphen/>
        <w:t>тивным самолетам не ставилась, поскольку представление о них у большин</w:t>
      </w:r>
      <w:r w:rsidRPr="007224C3">
        <w:rPr>
          <w:rFonts w:ascii="Times New Roman" w:hAnsi="Times New Roman"/>
          <w:color w:val="000000" w:themeColor="text1"/>
          <w:sz w:val="16"/>
          <w:szCs w:val="16"/>
        </w:rPr>
        <w:softHyphen/>
        <w:t>ства специалистов ВВС, НКАП и авиа</w:t>
      </w:r>
      <w:r w:rsidRPr="007224C3">
        <w:rPr>
          <w:rFonts w:ascii="Times New Roman" w:hAnsi="Times New Roman"/>
          <w:color w:val="000000" w:themeColor="text1"/>
          <w:sz w:val="16"/>
          <w:szCs w:val="16"/>
        </w:rPr>
        <w:softHyphen/>
        <w:t>ционных НИИ было весьма смутным. Если оценивать конкурировавшие маши</w:t>
      </w:r>
      <w:r w:rsidRPr="007224C3">
        <w:rPr>
          <w:rFonts w:ascii="Times New Roman" w:hAnsi="Times New Roman"/>
          <w:color w:val="000000" w:themeColor="text1"/>
          <w:sz w:val="16"/>
          <w:szCs w:val="16"/>
        </w:rPr>
        <w:softHyphen/>
        <w:t>ны по современным методикам, то мож</w:t>
      </w:r>
      <w:r w:rsidRPr="007224C3">
        <w:rPr>
          <w:rFonts w:ascii="Times New Roman" w:hAnsi="Times New Roman"/>
          <w:color w:val="000000" w:themeColor="text1"/>
          <w:sz w:val="16"/>
          <w:szCs w:val="16"/>
        </w:rPr>
        <w:softHyphen/>
        <w:t>но сделать неутешительный вывод: на вооружение ВВС приняли далеко не са</w:t>
      </w:r>
      <w:r w:rsidRPr="007224C3">
        <w:rPr>
          <w:rFonts w:ascii="Times New Roman" w:hAnsi="Times New Roman"/>
          <w:color w:val="000000" w:themeColor="text1"/>
          <w:sz w:val="16"/>
          <w:szCs w:val="16"/>
        </w:rPr>
        <w:softHyphen/>
        <w:t>мую удачную из них. Лучшим по боевой эффективности из числа самолетов поля боя, прошедших испытания весной — летом 1944 г., обладал штурмовик Су-6 с мотором АМ-42 и пушками НС-37. При сопоставимых с Ил-10 летных и манев</w:t>
      </w:r>
      <w:r w:rsidRPr="007224C3">
        <w:rPr>
          <w:rFonts w:ascii="Times New Roman" w:hAnsi="Times New Roman"/>
          <w:color w:val="000000" w:themeColor="text1"/>
          <w:sz w:val="16"/>
          <w:szCs w:val="16"/>
        </w:rPr>
        <w:softHyphen/>
        <w:t>ренных данных «сухой» имел преимуще</w:t>
      </w:r>
      <w:r w:rsidRPr="007224C3">
        <w:rPr>
          <w:rFonts w:ascii="Times New Roman" w:hAnsi="Times New Roman"/>
          <w:color w:val="000000" w:themeColor="text1"/>
          <w:sz w:val="16"/>
          <w:szCs w:val="16"/>
        </w:rPr>
        <w:softHyphen/>
        <w:t>ства по своему вооружению. Но важным плюсом Ил-10 перед ма</w:t>
      </w:r>
      <w:r w:rsidRPr="007224C3">
        <w:rPr>
          <w:rFonts w:ascii="Times New Roman" w:hAnsi="Times New Roman"/>
          <w:color w:val="000000" w:themeColor="text1"/>
          <w:sz w:val="16"/>
          <w:szCs w:val="16"/>
        </w:rPr>
        <w:softHyphen/>
        <w:t>шиной Сухого стало то, что было проще наладить его массовое производство — сказалась преемственность по техноло</w:t>
      </w:r>
      <w:r w:rsidRPr="007224C3">
        <w:rPr>
          <w:rFonts w:ascii="Times New Roman" w:hAnsi="Times New Roman"/>
          <w:color w:val="000000" w:themeColor="text1"/>
          <w:sz w:val="16"/>
          <w:szCs w:val="16"/>
        </w:rPr>
        <w:softHyphen/>
        <w:t>гии и многим принципиальным решени</w:t>
      </w:r>
      <w:r w:rsidRPr="007224C3">
        <w:rPr>
          <w:rFonts w:ascii="Times New Roman" w:hAnsi="Times New Roman"/>
          <w:color w:val="000000" w:themeColor="text1"/>
          <w:sz w:val="16"/>
          <w:szCs w:val="16"/>
        </w:rPr>
        <w:softHyphen/>
        <w:t>ям с Ил-2. Скорее всего, это и оказалось решающим фактором. В ходе доводки на И л-10 подвижную установку ВУ-7 с пушкой Ш-20 заменили на ВУ-8 с пулеметом УБК. ВУ-8 обеспе</w:t>
      </w:r>
      <w:r w:rsidRPr="007224C3">
        <w:rPr>
          <w:rFonts w:ascii="Times New Roman" w:hAnsi="Times New Roman"/>
          <w:color w:val="000000" w:themeColor="text1"/>
          <w:sz w:val="16"/>
          <w:szCs w:val="16"/>
        </w:rPr>
        <w:softHyphen/>
        <w:t>чивала стрельбу в задней полусфере в секторах: вверх — 48° (от нейтрального положения, параллельного оси самоле</w:t>
      </w:r>
      <w:r w:rsidRPr="007224C3">
        <w:rPr>
          <w:rFonts w:ascii="Times New Roman" w:hAnsi="Times New Roman"/>
          <w:color w:val="000000" w:themeColor="text1"/>
          <w:sz w:val="16"/>
          <w:szCs w:val="16"/>
        </w:rPr>
        <w:softHyphen/>
        <w:t>та), вниз — 12° (с поворотом пулемета к борту), вправо — 30°, влево — 45°. Ра</w:t>
      </w:r>
      <w:r w:rsidRPr="007224C3">
        <w:rPr>
          <w:rFonts w:ascii="Times New Roman" w:hAnsi="Times New Roman"/>
          <w:color w:val="000000" w:themeColor="text1"/>
          <w:sz w:val="16"/>
          <w:szCs w:val="16"/>
        </w:rPr>
        <w:softHyphen/>
        <w:t>кетное вооружение по-прежнему отсут</w:t>
      </w:r>
      <w:r w:rsidRPr="007224C3">
        <w:rPr>
          <w:rFonts w:ascii="Times New Roman" w:hAnsi="Times New Roman"/>
          <w:color w:val="000000" w:themeColor="text1"/>
          <w:sz w:val="16"/>
          <w:szCs w:val="16"/>
        </w:rPr>
        <w:softHyphen/>
        <w:t>ствовало.(10680).</w:t>
      </w:r>
    </w:p>
    <w:p w14:paraId="39939F7B" w14:textId="77777777" w:rsidR="00D92086" w:rsidRPr="007224C3" w:rsidRDefault="00D92086"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F5A070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маю 1944 г. (по сути дела, к концу выпуска Як-1) был разработан, испытан и рекомендован к использованию в ВВС КА воздушный фильтр конструкции ВВС СФ с измененной кинематикой управления заслонкой, предложенной опытным заводом НИИ ВВС КА. Этот фильтр не снижал максимальную скорость полета в отличие от других пылефильтров (12048).</w:t>
      </w:r>
    </w:p>
    <w:p w14:paraId="6BCC6D1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C82B5CC" w14:textId="77777777" w:rsidR="00552857" w:rsidRPr="007224C3" w:rsidRDefault="0055285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маю 1944 изготовили более десятка Г-11. За образец взяли аппа</w:t>
      </w:r>
      <w:r w:rsidRPr="007224C3">
        <w:rPr>
          <w:rFonts w:ascii="Times New Roman" w:hAnsi="Times New Roman"/>
          <w:color w:val="000000" w:themeColor="text1"/>
          <w:sz w:val="16"/>
          <w:szCs w:val="16"/>
        </w:rPr>
        <w:softHyphen/>
        <w:t>раты последних серий завода № 471. В мае головной образец облетал стар</w:t>
      </w:r>
      <w:r w:rsidRPr="007224C3">
        <w:rPr>
          <w:rFonts w:ascii="Times New Roman" w:hAnsi="Times New Roman"/>
          <w:color w:val="000000" w:themeColor="text1"/>
          <w:sz w:val="16"/>
          <w:szCs w:val="16"/>
        </w:rPr>
        <w:softHyphen/>
        <w:t>ший лейтенант В. Чубуков с Опытноис-пытательного полигона Воздушно-де- сантных войск. Взвешивание показало, что Г-11 № 63001 рязанского изготов</w:t>
      </w:r>
      <w:r w:rsidRPr="007224C3">
        <w:rPr>
          <w:rFonts w:ascii="Times New Roman" w:hAnsi="Times New Roman"/>
          <w:color w:val="000000" w:themeColor="text1"/>
          <w:sz w:val="16"/>
          <w:szCs w:val="16"/>
        </w:rPr>
        <w:softHyphen/>
        <w:t>ления на 64 кг тяжелее сделанного в Шумерли. По своей центровке, лётным данным и характеристикам пилотиро</w:t>
      </w:r>
      <w:r w:rsidRPr="007224C3">
        <w:rPr>
          <w:rFonts w:ascii="Times New Roman" w:hAnsi="Times New Roman"/>
          <w:color w:val="000000" w:themeColor="text1"/>
          <w:sz w:val="16"/>
          <w:szCs w:val="16"/>
        </w:rPr>
        <w:softHyphen/>
        <w:t>вания они не различались. Планёр показал себя устойчивым в полёте, отличался хорошей управляемостью. На нём даже выполняли штопор, пере</w:t>
      </w:r>
      <w:r w:rsidRPr="007224C3">
        <w:rPr>
          <w:rFonts w:ascii="Times New Roman" w:hAnsi="Times New Roman"/>
          <w:color w:val="000000" w:themeColor="text1"/>
          <w:sz w:val="16"/>
          <w:szCs w:val="16"/>
        </w:rPr>
        <w:softHyphen/>
        <w:t>ворот и бочку. При этом пилотирование Г-11 было проще, чем А-7.</w:t>
      </w:r>
    </w:p>
    <w:p w14:paraId="5D8518DE" w14:textId="77777777" w:rsidR="00552857" w:rsidRPr="007224C3" w:rsidRDefault="0055285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Начиная с 21-го экземпляра рязанс</w:t>
      </w:r>
      <w:r w:rsidRPr="007224C3">
        <w:rPr>
          <w:rFonts w:ascii="Times New Roman" w:hAnsi="Times New Roman"/>
          <w:color w:val="000000" w:themeColor="text1"/>
          <w:sz w:val="16"/>
          <w:szCs w:val="16"/>
        </w:rPr>
        <w:softHyphen/>
        <w:t>кой сборки ввели грузовой люк вместо двери на правом борту. Он закрывался двумя створками. На крыле появились интерцепторы. Позже предусмотрели резиновые пластинчатые амортизато</w:t>
      </w:r>
      <w:r w:rsidRPr="007224C3">
        <w:rPr>
          <w:rFonts w:ascii="Times New Roman" w:hAnsi="Times New Roman"/>
          <w:color w:val="000000" w:themeColor="text1"/>
          <w:sz w:val="16"/>
          <w:szCs w:val="16"/>
        </w:rPr>
        <w:softHyphen/>
        <w:t>ры для посадочной лыжи и установили небольшой форкиль (12266).</w:t>
      </w:r>
    </w:p>
    <w:p w14:paraId="5617DA9C" w14:textId="77777777" w:rsidR="00552857" w:rsidRPr="007224C3" w:rsidRDefault="00552857" w:rsidP="007224C3">
      <w:pPr>
        <w:spacing w:after="0" w:line="240" w:lineRule="auto"/>
        <w:jc w:val="both"/>
        <w:rPr>
          <w:rFonts w:ascii="Times New Roman" w:hAnsi="Times New Roman"/>
          <w:color w:val="000000" w:themeColor="text1"/>
          <w:sz w:val="16"/>
          <w:szCs w:val="16"/>
        </w:rPr>
      </w:pPr>
    </w:p>
    <w:p w14:paraId="6C2A63F7" w14:textId="77777777" w:rsidR="00C140B0" w:rsidRPr="007224C3" w:rsidRDefault="00C140B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маю 1944 в Рязани изготовили более десятка Г-11. За образец взяли аппараты последних серий завода № 471 (19014).</w:t>
      </w:r>
    </w:p>
    <w:p w14:paraId="3149FE02" w14:textId="77777777" w:rsidR="00C140B0" w:rsidRPr="007224C3" w:rsidRDefault="00C140B0" w:rsidP="007224C3">
      <w:pPr>
        <w:spacing w:after="0" w:line="240" w:lineRule="auto"/>
        <w:jc w:val="both"/>
        <w:rPr>
          <w:rFonts w:ascii="Times New Roman" w:hAnsi="Times New Roman"/>
          <w:color w:val="000000" w:themeColor="text1"/>
          <w:sz w:val="16"/>
          <w:szCs w:val="16"/>
        </w:rPr>
      </w:pPr>
    </w:p>
    <w:p w14:paraId="7EA24F31"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33C4FB0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6DFB2B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маю 1944 г. первый образец, «Объект 70 Г» № 0 (со 122-мм пушкой Д-25Т) был готов и в течении последующих полутора месяцев проходил завод</w:t>
      </w:r>
      <w:r w:rsidRPr="007224C3">
        <w:rPr>
          <w:rFonts w:ascii="Times New Roman" w:hAnsi="Times New Roman"/>
          <w:color w:val="000000" w:themeColor="text1"/>
          <w:sz w:val="16"/>
          <w:szCs w:val="16"/>
        </w:rPr>
        <w:softHyphen/>
        <w:t>ские испытания в объеме 1230 км. После внесения в конст</w:t>
      </w:r>
      <w:r w:rsidRPr="007224C3">
        <w:rPr>
          <w:rFonts w:ascii="Times New Roman" w:hAnsi="Times New Roman"/>
          <w:color w:val="000000" w:themeColor="text1"/>
          <w:sz w:val="16"/>
          <w:szCs w:val="16"/>
        </w:rPr>
        <w:softHyphen/>
        <w:t>рукцию необходимых изменений, ЧКЗ изготовил две других машины - «Объект 701» № 1 (со 122-мм пушкой С-34-П) и «Объект 701» № 3 (со 100-мм пушкой С-34-1) (11135). В течении месяца комиссия под председательством на</w:t>
      </w:r>
      <w:r w:rsidRPr="007224C3">
        <w:rPr>
          <w:rFonts w:ascii="Times New Roman" w:hAnsi="Times New Roman"/>
          <w:color w:val="000000" w:themeColor="text1"/>
          <w:sz w:val="16"/>
          <w:szCs w:val="16"/>
        </w:rPr>
        <w:softHyphen/>
        <w:t>чальника ГБТУ КА генерал-лейтенанта танковых войск В. Вершинина проводила испытания этих машин. В выво</w:t>
      </w:r>
      <w:r w:rsidRPr="007224C3">
        <w:rPr>
          <w:rFonts w:ascii="Times New Roman" w:hAnsi="Times New Roman"/>
          <w:color w:val="000000" w:themeColor="text1"/>
          <w:sz w:val="16"/>
          <w:szCs w:val="16"/>
        </w:rPr>
        <w:softHyphen/>
        <w:t>дах она дала высокую оценку нового танка: «Опытный танк 701 по своим основным боевым качествам является наиболее современным тяжелым танком, превосходящим по броне все существующие отечественные танки, а танки противника, кроме того, по вооружению и маневренности. Повышенные боевые качества достигнуты: применением броневых листов толщиной 160мм, удачно выполненной кон</w:t>
      </w:r>
      <w:r w:rsidRPr="007224C3">
        <w:rPr>
          <w:rFonts w:ascii="Times New Roman" w:hAnsi="Times New Roman"/>
          <w:color w:val="000000" w:themeColor="text1"/>
          <w:sz w:val="16"/>
          <w:szCs w:val="16"/>
        </w:rPr>
        <w:softHyphen/>
        <w:t>струкцией корпуса и башни, установкой дизеля В-12 мощ</w:t>
      </w:r>
      <w:r w:rsidRPr="007224C3">
        <w:rPr>
          <w:rFonts w:ascii="Times New Roman" w:hAnsi="Times New Roman"/>
          <w:color w:val="000000" w:themeColor="text1"/>
          <w:sz w:val="16"/>
          <w:szCs w:val="16"/>
        </w:rPr>
        <w:softHyphen/>
        <w:t>ностью 750 л.с., установкой оригинальной планетарной трансмиссии с селекторным механизмом управления». Вместе с тем отмечалась ненадежная работа бортовых редукто</w:t>
      </w:r>
      <w:r w:rsidRPr="007224C3">
        <w:rPr>
          <w:rFonts w:ascii="Times New Roman" w:hAnsi="Times New Roman"/>
          <w:color w:val="000000" w:themeColor="text1"/>
          <w:sz w:val="16"/>
          <w:szCs w:val="16"/>
        </w:rPr>
        <w:softHyphen/>
        <w:t>ров и планетарной трансмиссии. Заводу было предложено устранить недостатки, изготовить два образца танка и предъявить их на повторные полигонные испытания (11135).</w:t>
      </w:r>
    </w:p>
    <w:p w14:paraId="6ED892B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805337" w14:textId="77777777" w:rsidR="00C140B0" w:rsidRPr="007224C3" w:rsidRDefault="00C140B0" w:rsidP="007224C3">
      <w:pPr>
        <w:pStyle w:val="ae"/>
        <w:shd w:val="clear" w:color="auto" w:fill="FFFFFF"/>
        <w:spacing w:before="0" w:after="0"/>
        <w:jc w:val="both"/>
        <w:textAlignment w:val="baseline"/>
        <w:rPr>
          <w:color w:val="000000" w:themeColor="text1"/>
          <w:sz w:val="16"/>
          <w:szCs w:val="16"/>
        </w:rPr>
      </w:pPr>
      <w:r w:rsidRPr="007224C3">
        <w:rPr>
          <w:color w:val="000000" w:themeColor="text1"/>
          <w:sz w:val="16"/>
          <w:szCs w:val="16"/>
        </w:rPr>
        <w:t>Ближе к маю 1944 года проектирование танка, которому предстояло стать прямым конкурентом Объекта 701, перешло в практическую фазу. Несмотря на то что новый проект имел прямое отношение к вариантам «большой модернизации» ИС-2, ОКБ завода №100 лишь отчасти использовало наработки по этой теме. Дело в том, что сама по себе модернизация несколько связывала руки, поскольку предстояло использовать ряд элементов ИС-2. Между тем требования на новый тяжёлый танк подразумевали увеличение боевой массы, броневой защиты, а также усиление вооружения.</w:t>
      </w:r>
    </w:p>
    <w:p w14:paraId="27052067" w14:textId="77777777" w:rsidR="00C140B0" w:rsidRPr="007224C3" w:rsidRDefault="00C140B0" w:rsidP="007224C3">
      <w:pPr>
        <w:pStyle w:val="ae"/>
        <w:shd w:val="clear" w:color="auto" w:fill="FFFFFF"/>
        <w:spacing w:before="0" w:after="0"/>
        <w:jc w:val="both"/>
        <w:textAlignment w:val="baseline"/>
        <w:rPr>
          <w:color w:val="000000" w:themeColor="text1"/>
          <w:sz w:val="16"/>
          <w:szCs w:val="16"/>
        </w:rPr>
      </w:pPr>
      <w:r w:rsidRPr="007224C3">
        <w:rPr>
          <w:color w:val="000000" w:themeColor="text1"/>
          <w:sz w:val="16"/>
          <w:szCs w:val="16"/>
        </w:rPr>
        <w:t>Увеличение массы означало, что потребуется более мощный двигатель. Кандидатур было две — В-11 либо В-12, последний предназначался для тяжёлого танка Объект 701. Благодаря наличию нагнетателя воздуха АМ-38 максимальная мощность оценивалась в 800 л.с. На практике такая мощность могла держаться не более 10 минут, поэтому позже максимальную мощность снизили до 750 л.с. Впрочем, поначалу ОКБ завода №100 рассчитывало на более скромный мотор В-11 с расчётной мощностью 620 л.с. (с учётом того, что боевая масса предполагалась на уровне 50 т, этого должно было хватить). Более интересным фактом было то, что изначально на новый танк предполагалось установить электромеханическую трансмиссию. Данный тип трансмиссии отрабатывался группой конструкторов ВАММ во главе с Н.И. Груздевым совместно с заводами «Динамо» и №627 (кстати, известный писатель-фантаст А.П. Казанцев, занимавший один из руководящих постов на заводе №627, имел к этим работам прямое отношение). В 1944 году затянувшиеся работы привели к созданию опытного танка ЭКВ, построенного на базе КВ-1с. Электромеханическая трансмиссия для нового танка разработки завода №100 базировалась как раз на наработках по ЭКВ. Уже позже, в качестве запасного варианта, подразумевалось использование механической трансмиссии, при этом боевая масса снижалась до 48 т.</w:t>
      </w:r>
    </w:p>
    <w:p w14:paraId="0AB8C479" w14:textId="77777777" w:rsidR="00C140B0" w:rsidRPr="007224C3" w:rsidRDefault="00C140B0" w:rsidP="007224C3">
      <w:pPr>
        <w:pStyle w:val="ae"/>
        <w:shd w:val="clear" w:color="auto" w:fill="FFFFFF"/>
        <w:spacing w:before="0" w:after="0"/>
        <w:jc w:val="both"/>
        <w:textAlignment w:val="baseline"/>
        <w:rPr>
          <w:color w:val="000000" w:themeColor="text1"/>
          <w:sz w:val="16"/>
          <w:szCs w:val="16"/>
        </w:rPr>
      </w:pPr>
      <w:r w:rsidRPr="007224C3">
        <w:rPr>
          <w:color w:val="000000" w:themeColor="text1"/>
          <w:sz w:val="16"/>
          <w:szCs w:val="16"/>
        </w:rPr>
        <w:t xml:space="preserve">Для обеспечения равной или близкой к Объекту 701 броневой защиты ОКБ завода №100 тесно сотрудничало с размещавшимся в Свердловске НИИ-48. Специалисты института, возглавляемого А.С. Завьяловым, к тому моменту имели существенный опыт как в разработке новых типов брони, так и повышении её стойкости. </w:t>
      </w:r>
      <w:r w:rsidRPr="007224C3">
        <w:rPr>
          <w:color w:val="000000" w:themeColor="text1"/>
          <w:sz w:val="16"/>
          <w:szCs w:val="16"/>
        </w:rPr>
        <w:lastRenderedPageBreak/>
        <w:t>Вероятнее всего, сотрудничество с НИИ-48 шло ещё во время проектирования новых корпусов и башен для ИС-2 большой модернизации. Там пришли к выводу, что стойкость броневых листов, схожую с Объектом 701, можно получить за счёт более рациональных углов наклона. Также предусматривалась более мощная орудийная система. Как и Д-25Т, она имела калибр 122 мм, но должна была иметь начальную скорость 850-900 м/с. Правда, на тот момент таких орудий в наличии ещё не было.</w:t>
      </w:r>
    </w:p>
    <w:p w14:paraId="6D55FA25" w14:textId="77777777" w:rsidR="00C140B0" w:rsidRPr="007224C3" w:rsidRDefault="00C140B0" w:rsidP="007224C3">
      <w:pPr>
        <w:pStyle w:val="ae"/>
        <w:shd w:val="clear" w:color="auto" w:fill="FFFFFF"/>
        <w:spacing w:before="0" w:after="0"/>
        <w:jc w:val="both"/>
        <w:textAlignment w:val="baseline"/>
        <w:rPr>
          <w:color w:val="000000" w:themeColor="text1"/>
          <w:sz w:val="16"/>
          <w:szCs w:val="16"/>
        </w:rPr>
      </w:pPr>
      <w:r w:rsidRPr="007224C3">
        <w:rPr>
          <w:color w:val="000000" w:themeColor="text1"/>
          <w:sz w:val="16"/>
          <w:szCs w:val="16"/>
        </w:rPr>
        <w:t>Старшим инженером нового танка был назначен Г.Н. Москвин, имевший большой опыт разработки танков и САУ. Уже упоминавшийся Шнейдман отвечал за установку вооружения. Ермолаев отвечал за работы как главный конструктор, а общее руководство осуществлял Котин. В НКТП проект нового тяжёлого танка был прислан в начале июня 1944 года. Благодаря довольно высокой степени проработки Малышев дал зелёный свет дальнейшим работам (19150).</w:t>
      </w:r>
    </w:p>
    <w:p w14:paraId="166A5362" w14:textId="77777777" w:rsidR="00C140B0" w:rsidRPr="007224C3" w:rsidRDefault="00C140B0" w:rsidP="007224C3">
      <w:pPr>
        <w:pStyle w:val="ae"/>
        <w:shd w:val="clear" w:color="auto" w:fill="FFFFFF"/>
        <w:spacing w:before="0" w:after="0"/>
        <w:jc w:val="both"/>
        <w:textAlignment w:val="baseline"/>
        <w:rPr>
          <w:color w:val="000000" w:themeColor="text1"/>
          <w:sz w:val="16"/>
          <w:szCs w:val="16"/>
        </w:rPr>
      </w:pPr>
    </w:p>
    <w:p w14:paraId="080D867C"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09ECF92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31EDFD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1 мая 1944 на гос. испытания в НИИ спецслужб ВВС был представлен Як-7Б с М-105ПФ и гермокабиной А.Я.Щербакова. Кабина оказалась неудачной, так как не было принудительной вентиляции (65,124).</w:t>
      </w:r>
    </w:p>
    <w:p w14:paraId="327D844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47B351" w14:textId="77777777" w:rsidR="001F4816" w:rsidRPr="007224C3" w:rsidRDefault="001F4816"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 мая</w:t>
      </w:r>
      <w:r w:rsidRPr="007224C3">
        <w:rPr>
          <w:rFonts w:ascii="Times New Roman" w:hAnsi="Times New Roman"/>
          <w:color w:val="000000" w:themeColor="text1"/>
          <w:sz w:val="16"/>
          <w:szCs w:val="16"/>
        </w:rPr>
        <w:t xml:space="preserve"> в 1944 году был предъявлен на госиспытания в НИИ спецслужб ВВС самолет </w:t>
      </w:r>
      <w:hyperlink r:id="rId111" w:tgtFrame="_blank" w:history="1">
        <w:r w:rsidRPr="007224C3">
          <w:rPr>
            <w:rFonts w:ascii="Times New Roman" w:hAnsi="Times New Roman"/>
            <w:color w:val="000000" w:themeColor="text1"/>
            <w:sz w:val="16"/>
            <w:szCs w:val="16"/>
          </w:rPr>
          <w:t xml:space="preserve">«Як-7Г». </w:t>
        </w:r>
      </w:hyperlink>
      <w:r w:rsidRPr="007224C3">
        <w:rPr>
          <w:rFonts w:ascii="Times New Roman" w:hAnsi="Times New Roman"/>
          <w:color w:val="000000" w:themeColor="text1"/>
          <w:sz w:val="16"/>
          <w:szCs w:val="16"/>
        </w:rPr>
        <w:t>В 1943 году два истребителя «Як-7Б» «М-105ПФ» были переоборудованы в истребители перехватчики с герметическими кабинами. Первый самолет (08-05) получил экспериментальный образец гермокабины конструкции А.Я.Щербакова. Кабина оказалась неудачной и не применялась на находившихся на вооружении самолетах. Хотя это была гермокабина вентиляционного типа, в ней отсутствовали элементы, обеспечивающие вентиляцию. Вентиляция осуществлялась естественным путем - через щели и неплотности в соединениях кабины. Недостаточно отработанной оказалась и автоматика - клапаны, регуляторы давления и др. С тем же результатом окончилась переделка второго самолет под кабину другого образца, где герметизация осуществлялась при помощи компрессора (14878).</w:t>
      </w:r>
    </w:p>
    <w:p w14:paraId="1DB6EE03" w14:textId="77777777" w:rsidR="001F4816" w:rsidRPr="007224C3" w:rsidRDefault="001F4816" w:rsidP="007224C3">
      <w:pPr>
        <w:spacing w:after="0" w:line="240" w:lineRule="auto"/>
        <w:jc w:val="both"/>
        <w:rPr>
          <w:rFonts w:ascii="Times New Roman" w:hAnsi="Times New Roman"/>
          <w:color w:val="000000" w:themeColor="text1"/>
          <w:sz w:val="16"/>
          <w:szCs w:val="16"/>
        </w:rPr>
      </w:pPr>
    </w:p>
    <w:p w14:paraId="0DD5BCC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1 мая 1944 состояние опытного строительства на 21 заводе было следующим:</w:t>
      </w:r>
    </w:p>
    <w:p w14:paraId="5BB840B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Изготовлен первый комплект консолей и цп с ламинарным профилем по рекомендациям ЦАГИ. Второй к-т собирался на з-де № 381 для ОКБ-21. На з-де № 381 будект собран с-т для проведения летных испытаний.</w:t>
      </w:r>
    </w:p>
    <w:p w14:paraId="469864B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доводке с-тов:</w:t>
      </w:r>
    </w:p>
    <w:p w14:paraId="5F5C499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Изготовлены чертежи на элероны с дополнительными нервюрами в целях устраниея силовой деформации обшивки на больших скоростях.</w:t>
      </w:r>
    </w:p>
    <w:p w14:paraId="728138B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Запущены в серию на с-ты 39 и 41 типа противокапотажной рамы (738,23).</w:t>
      </w:r>
    </w:p>
    <w:p w14:paraId="626AC50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14E4D3" w14:textId="77777777" w:rsidR="00D635A9" w:rsidRPr="007224C3" w:rsidRDefault="00D635A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1 мая 1944 г. завод №21, в полном соответствии с планом, построил еще один Ла-5 с М-82ФН и ТК-3. Однако в ходе первых экспериментальных полётов стало яс</w:t>
      </w:r>
      <w:r w:rsidRPr="007224C3">
        <w:rPr>
          <w:rFonts w:ascii="Times New Roman" w:hAnsi="Times New Roman"/>
          <w:color w:val="000000" w:themeColor="text1"/>
          <w:sz w:val="16"/>
          <w:szCs w:val="16"/>
        </w:rPr>
        <w:softHyphen/>
        <w:t>но, что установка турбокомпрессоров нуждается в конструктивной переработке. По распоряжению С.А. Лавочкина самолёт переделали по типу Ла-7, в результате его строительство затянулось до июля 1944 г.</w:t>
      </w:r>
    </w:p>
    <w:p w14:paraId="7D9B393B" w14:textId="77777777" w:rsidR="00D635A9" w:rsidRPr="007224C3" w:rsidRDefault="00D635A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Компоновка, по которой производилась установка турбокомпрессоров, осталась пре</w:t>
      </w:r>
      <w:r w:rsidRPr="007224C3">
        <w:rPr>
          <w:rFonts w:ascii="Times New Roman" w:hAnsi="Times New Roman"/>
          <w:color w:val="000000" w:themeColor="text1"/>
          <w:sz w:val="16"/>
          <w:szCs w:val="16"/>
        </w:rPr>
        <w:softHyphen/>
        <w:t>жней. Вместе с тем удалось найти достаточно надёжную схему охлаждения мотора и ресивера турбокомпрессора. Для регулирования охлаждения мотора использовали две боковые створки несколько большей протяжённости, чем на серийной машине. Ресивер охлаждался воздухом, который подводился по специальному каналу из замоторного про</w:t>
      </w:r>
      <w:r w:rsidRPr="007224C3">
        <w:rPr>
          <w:rFonts w:ascii="Times New Roman" w:hAnsi="Times New Roman"/>
          <w:color w:val="000000" w:themeColor="text1"/>
          <w:sz w:val="16"/>
          <w:szCs w:val="16"/>
        </w:rPr>
        <w:softHyphen/>
        <w:t>странства и выходил через постоянную щель, находившуюся за турбокомпрессором. С целью предупреждения повышения температуры головок цилиндров, на высотном Ла-7 снова разместили систему впрыска воды во всасывающие трубы цилиндров.</w:t>
      </w:r>
    </w:p>
    <w:p w14:paraId="46EF90AF" w14:textId="77777777" w:rsidR="00D635A9" w:rsidRPr="007224C3" w:rsidRDefault="00D635A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конструкцию самолёта внесли некоторые изменения. Так, масляный радиатор, ус</w:t>
      </w:r>
      <w:r w:rsidRPr="007224C3">
        <w:rPr>
          <w:rFonts w:ascii="Times New Roman" w:hAnsi="Times New Roman"/>
          <w:color w:val="000000" w:themeColor="text1"/>
          <w:sz w:val="16"/>
          <w:szCs w:val="16"/>
        </w:rPr>
        <w:softHyphen/>
        <w:t>тановленный на том же месте, что и на серийной машине, имел бо'льшую охлаждаю</w:t>
      </w:r>
      <w:r w:rsidRPr="007224C3">
        <w:rPr>
          <w:rFonts w:ascii="Times New Roman" w:hAnsi="Times New Roman"/>
          <w:color w:val="000000" w:themeColor="text1"/>
          <w:sz w:val="16"/>
          <w:szCs w:val="16"/>
        </w:rPr>
        <w:softHyphen/>
        <w:t>щую поверхность. Его тоннель сделали заново, он имел увеличенные обводы. Для лучшей капотировки турбокомпрессоров на высотном самолёте зализ между крылом и фюзеляжем очертили полнее, чем на серийном. Кроме того, с фонаря Ла-7 сняли зад</w:t>
      </w:r>
      <w:r w:rsidRPr="007224C3">
        <w:rPr>
          <w:rFonts w:ascii="Times New Roman" w:hAnsi="Times New Roman"/>
          <w:color w:val="000000" w:themeColor="text1"/>
          <w:sz w:val="16"/>
          <w:szCs w:val="16"/>
        </w:rPr>
        <w:softHyphen/>
        <w:t>нее бронестекло и заменили его плексигласом, также убрали и противокапотажное кре</w:t>
      </w:r>
      <w:r w:rsidRPr="007224C3">
        <w:rPr>
          <w:rFonts w:ascii="Times New Roman" w:hAnsi="Times New Roman"/>
          <w:color w:val="000000" w:themeColor="text1"/>
          <w:sz w:val="16"/>
          <w:szCs w:val="16"/>
        </w:rPr>
        <w:softHyphen/>
        <w:t>пление фонаря. Из вооружения оставили только левую пушку ШВАК с боекомплектом 150 снарядов, правую и все связанные с её установкой агрегаты сняли. Оборудование осталось в основном серийное, исключение составляли лишь изменения, внесенные в связи с размещением турбокомпрессоров. При проектировании и постройке Ла-7 с двумя ТК-3 особое внимание уделили аэродинамике самолёта и винтомоторной груп</w:t>
      </w:r>
      <w:r w:rsidRPr="007224C3">
        <w:rPr>
          <w:rFonts w:ascii="Times New Roman" w:hAnsi="Times New Roman"/>
          <w:color w:val="000000" w:themeColor="text1"/>
          <w:sz w:val="16"/>
          <w:szCs w:val="16"/>
        </w:rPr>
        <w:softHyphen/>
        <w:t>пы — требовалось чтобы аэродинамика Ла-7 с турбокомпрессорами не отличалось от его аэродинамики без них. Внешним отличием опытного самолёта от серийной маши</w:t>
      </w:r>
      <w:r w:rsidRPr="007224C3">
        <w:rPr>
          <w:rFonts w:ascii="Times New Roman" w:hAnsi="Times New Roman"/>
          <w:color w:val="000000" w:themeColor="text1"/>
          <w:sz w:val="16"/>
          <w:szCs w:val="16"/>
        </w:rPr>
        <w:softHyphen/>
        <w:t>ны являлся только почти не выступающий за мидель капота колпак закрытого выхлопа. Для защиты самолёта от обгорания под действием горячих струй выхлопных газов часть ложной обшивки фюзеляжа и центроплана, ранее делавшуюся из дюралюминия, выпол</w:t>
      </w:r>
      <w:r w:rsidRPr="007224C3">
        <w:rPr>
          <w:rFonts w:ascii="Times New Roman" w:hAnsi="Times New Roman"/>
          <w:color w:val="000000" w:themeColor="text1"/>
          <w:sz w:val="16"/>
          <w:szCs w:val="16"/>
        </w:rPr>
        <w:softHyphen/>
        <w:t>нили из стальных листов толщиной 1 мм. У Ла-7 с ТК-3 также увеличили сечение вса</w:t>
      </w:r>
      <w:r w:rsidRPr="007224C3">
        <w:rPr>
          <w:rFonts w:ascii="Times New Roman" w:hAnsi="Times New Roman"/>
          <w:color w:val="000000" w:themeColor="text1"/>
          <w:sz w:val="16"/>
          <w:szCs w:val="16"/>
        </w:rPr>
        <w:softHyphen/>
        <w:t>сывающих патрубков в зализе центроплана.</w:t>
      </w:r>
    </w:p>
    <w:p w14:paraId="6F8E53FA" w14:textId="77777777" w:rsidR="00D635A9" w:rsidRPr="007224C3" w:rsidRDefault="00D635A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Постройка Ла-7 с 2ТК-3 завершилась 20 июля 1944 г., и его передали на аэродром ЛЭС завода № 21. В период с 24 июля по 11 августа провели лётные испытания, их главной задачей стало определение потолка, расчётной высоты мотора и максимальных скоростей самолёта по высотам, при работе мотора на первой скорости ПЦН с турбо</w:t>
      </w:r>
      <w:r w:rsidRPr="007224C3">
        <w:rPr>
          <w:rFonts w:ascii="Times New Roman" w:hAnsi="Times New Roman"/>
          <w:color w:val="000000" w:themeColor="text1"/>
          <w:sz w:val="16"/>
          <w:szCs w:val="16"/>
        </w:rPr>
        <w:softHyphen/>
        <w:t>компрессором, работающем на номинальном режиме. Из шести выполненных полётов два были пробные, один производился для тарировки указателя скорости и ещё три — для снятия максимальных скоростей и скороподъёмности по высотам. Если в первом по</w:t>
      </w:r>
      <w:r w:rsidRPr="007224C3">
        <w:rPr>
          <w:rFonts w:ascii="Times New Roman" w:hAnsi="Times New Roman"/>
          <w:color w:val="000000" w:themeColor="text1"/>
          <w:sz w:val="16"/>
          <w:szCs w:val="16"/>
        </w:rPr>
        <w:softHyphen/>
        <w:t>лёте, 25 июля, винтомоторная группа работала нормально, то во втором — перебои в ра</w:t>
      </w:r>
      <w:r w:rsidRPr="007224C3">
        <w:rPr>
          <w:rFonts w:ascii="Times New Roman" w:hAnsi="Times New Roman"/>
          <w:color w:val="000000" w:themeColor="text1"/>
          <w:sz w:val="16"/>
          <w:szCs w:val="16"/>
        </w:rPr>
        <w:softHyphen/>
        <w:t>боте мотора вынудили Шиянова прекратить полёт. При последующем осмотре мотора обнаружили заброс масла через нагнетатель во всасывающие трубы. Представитель се</w:t>
      </w:r>
      <w:r w:rsidRPr="007224C3">
        <w:rPr>
          <w:rFonts w:ascii="Times New Roman" w:hAnsi="Times New Roman"/>
          <w:color w:val="000000" w:themeColor="text1"/>
          <w:sz w:val="16"/>
          <w:szCs w:val="16"/>
        </w:rPr>
        <w:softHyphen/>
        <w:t>рийного завода № 19 единолично сделал заключение о необходимости замены мотора на новый. Мотор сняли с серийного самолёта и оборудовали высотными агрегатами. По завершении его установки, 7 августа 1944 г., машину вновь подготовили к продол</w:t>
      </w:r>
      <w:r w:rsidRPr="007224C3">
        <w:rPr>
          <w:rFonts w:ascii="Times New Roman" w:hAnsi="Times New Roman"/>
          <w:color w:val="000000" w:themeColor="text1"/>
          <w:sz w:val="16"/>
          <w:szCs w:val="16"/>
        </w:rPr>
        <w:softHyphen/>
        <w:t>жению лётных испытаний. В четырёх последующих полетах сняли максимальные скоро</w:t>
      </w:r>
      <w:r w:rsidRPr="007224C3">
        <w:rPr>
          <w:rFonts w:ascii="Times New Roman" w:hAnsi="Times New Roman"/>
          <w:color w:val="000000" w:themeColor="text1"/>
          <w:sz w:val="16"/>
          <w:szCs w:val="16"/>
        </w:rPr>
        <w:softHyphen/>
        <w:t>сти по площадкам до 8000 м, произвели километраж у земли.</w:t>
      </w:r>
    </w:p>
    <w:p w14:paraId="423885D2" w14:textId="77777777" w:rsidR="00D635A9" w:rsidRPr="007224C3" w:rsidRDefault="00D635A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Удалось определить основные параметры совместной работы мотора и турбокомпрес</w:t>
      </w:r>
      <w:r w:rsidRPr="007224C3">
        <w:rPr>
          <w:rFonts w:ascii="Times New Roman" w:hAnsi="Times New Roman"/>
          <w:color w:val="000000" w:themeColor="text1"/>
          <w:sz w:val="16"/>
          <w:szCs w:val="16"/>
        </w:rPr>
        <w:softHyphen/>
        <w:t>соров на установившемся режиме в горизонтальном полёте на различных высотах. Вместе с тем в полётах наблюдалось факеление на выхлопе из-за перегрева выхлопной систе</w:t>
      </w:r>
      <w:r w:rsidRPr="007224C3">
        <w:rPr>
          <w:rFonts w:ascii="Times New Roman" w:hAnsi="Times New Roman"/>
          <w:color w:val="000000" w:themeColor="text1"/>
          <w:sz w:val="16"/>
          <w:szCs w:val="16"/>
        </w:rPr>
        <w:softHyphen/>
        <w:t>мы, и неравномерного состава смеси по цилиндрам. По мере подъёма на высоту факел увеличивался по длине от 30-40 см у земли до 1,5 м на высоте 8500 м, и начи</w:t>
      </w:r>
      <w:r w:rsidRPr="007224C3">
        <w:rPr>
          <w:rFonts w:ascii="Times New Roman" w:hAnsi="Times New Roman"/>
          <w:color w:val="000000" w:themeColor="text1"/>
          <w:sz w:val="16"/>
          <w:szCs w:val="16"/>
        </w:rPr>
        <w:softHyphen/>
        <w:t>нал приближаться к концу зализа крыла, где зазор между ложной металлической</w:t>
      </w:r>
    </w:p>
    <w:p w14:paraId="0D72A7A1" w14:textId="77777777" w:rsidR="00D635A9" w:rsidRPr="007224C3" w:rsidRDefault="00D635A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обшивкой и обшивкой центроплана приближался к нулю. «Благодаря» сильному факеле- нию подняться до границы высотности мотора на первой скорости ПЦН с турбокомпрес</w:t>
      </w:r>
      <w:r w:rsidRPr="007224C3">
        <w:rPr>
          <w:rFonts w:ascii="Times New Roman" w:hAnsi="Times New Roman"/>
          <w:color w:val="000000" w:themeColor="text1"/>
          <w:sz w:val="16"/>
          <w:szCs w:val="16"/>
        </w:rPr>
        <w:softHyphen/>
        <w:t>сором так и не удалось. Имели место и некоторые другие неполадки: тряска мотора в полёте, небольшая тряска хвостового оперения и высокая температура в кабине. Без подвода инертных газов в бензобак на высоте 8750 м давление бензина падало до нуля.</w:t>
      </w:r>
    </w:p>
    <w:p w14:paraId="029572E8" w14:textId="77777777" w:rsidR="00D635A9" w:rsidRPr="007224C3" w:rsidRDefault="00D635A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основании результатов лётных испытаний самолётов Ла-5 и Ла-7 с турбокомпрес</w:t>
      </w:r>
      <w:r w:rsidRPr="007224C3">
        <w:rPr>
          <w:rFonts w:ascii="Times New Roman" w:hAnsi="Times New Roman"/>
          <w:color w:val="000000" w:themeColor="text1"/>
          <w:sz w:val="16"/>
          <w:szCs w:val="16"/>
        </w:rPr>
        <w:softHyphen/>
        <w:t>сорами ТК-3 и пересчёта высотных характеристик мотора АШ-82ФН с ТК-3 установили, что граница высотности мотора при работе на номинальном режиме, на первой скоро</w:t>
      </w:r>
      <w:r w:rsidRPr="007224C3">
        <w:rPr>
          <w:rFonts w:ascii="Times New Roman" w:hAnsi="Times New Roman"/>
          <w:color w:val="000000" w:themeColor="text1"/>
          <w:sz w:val="16"/>
          <w:szCs w:val="16"/>
        </w:rPr>
        <w:softHyphen/>
        <w:t>сти с турбокомпрессором равна 9500-10000 м, с учётом скоростного напора, при номи</w:t>
      </w:r>
      <w:r w:rsidRPr="007224C3">
        <w:rPr>
          <w:rFonts w:ascii="Times New Roman" w:hAnsi="Times New Roman"/>
          <w:color w:val="000000" w:themeColor="text1"/>
          <w:sz w:val="16"/>
          <w:szCs w:val="16"/>
        </w:rPr>
        <w:softHyphen/>
        <w:t>нальном числе оборотов турбокомпрессора (23000 оборотов в минуту), и на 2000-2500 м выше границы, заявленной по характеристике ЦИАМ, без учёта скоростного напора.</w:t>
      </w:r>
    </w:p>
    <w:p w14:paraId="3A65D039" w14:textId="77777777" w:rsidR="00D635A9" w:rsidRPr="007224C3" w:rsidRDefault="00D635A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12-13 августа Семен Алексеевич дал указание о перегонке самолёта в Москву, и с этой целью 20 августа Шиянов вылетел в Горький. Затем Ла-7 поступил в ЦАГИ, где его продули в аэродинамической трубе.</w:t>
      </w:r>
    </w:p>
    <w:p w14:paraId="6EF1FF69" w14:textId="77777777" w:rsidR="00D635A9" w:rsidRPr="007224C3" w:rsidRDefault="00D635A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распоряжению Наркома 15 сентября 1944 г. высотный Ла-7 передали на завод № 81 для конструктивной переделки. На самолёте улучшили аэродинамику, усовер</w:t>
      </w:r>
      <w:r w:rsidRPr="007224C3">
        <w:rPr>
          <w:rFonts w:ascii="Times New Roman" w:hAnsi="Times New Roman"/>
          <w:color w:val="000000" w:themeColor="text1"/>
          <w:sz w:val="16"/>
          <w:szCs w:val="16"/>
        </w:rPr>
        <w:softHyphen/>
        <w:t>шенствовали установку турбокомпрессоров, а также уменьшили вес за счёт некоторых элементов конструкции. Работы удалось закончить лишь к 20-м числам декабря. Во второй половине 1944 г. на заводе № 381 начался выпуск опытной серии из 10 высот</w:t>
      </w:r>
      <w:r w:rsidRPr="007224C3">
        <w:rPr>
          <w:rFonts w:ascii="Times New Roman" w:hAnsi="Times New Roman"/>
          <w:color w:val="000000" w:themeColor="text1"/>
          <w:sz w:val="16"/>
          <w:szCs w:val="16"/>
        </w:rPr>
        <w:softHyphen/>
        <w:t>ных Ла-7. Модификация Ла-7 с ТК получила заводской индекс «116» по классифика</w:t>
      </w:r>
      <w:r w:rsidRPr="007224C3">
        <w:rPr>
          <w:rFonts w:ascii="Times New Roman" w:hAnsi="Times New Roman"/>
          <w:color w:val="000000" w:themeColor="text1"/>
          <w:sz w:val="16"/>
          <w:szCs w:val="16"/>
        </w:rPr>
        <w:softHyphen/>
        <w:t>ции ОКБ С.А. Лавочкина, которую вели ещё с завода № 21.</w:t>
      </w:r>
    </w:p>
    <w:p w14:paraId="54E054C8" w14:textId="77777777" w:rsidR="00D635A9" w:rsidRPr="007224C3" w:rsidRDefault="00D635A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 как при лётных испытаниях теоретических расчётных значений высоты и скоростей полёта получить не удалось, а причины расхождения пока оставались неясными, Ла-7 с 2ТК-3 отправили для исследования в ЦАГИ. На основании продувок в аэродинамической трубе Т-101 совместно с институтом выработали рекомендации по улучшению аэроди</w:t>
      </w:r>
      <w:r w:rsidRPr="007224C3">
        <w:rPr>
          <w:rFonts w:ascii="Times New Roman" w:hAnsi="Times New Roman"/>
          <w:color w:val="000000" w:themeColor="text1"/>
          <w:sz w:val="16"/>
          <w:szCs w:val="16"/>
        </w:rPr>
        <w:softHyphen/>
        <w:t>намики машины и выхлопной системы турбокомпрессора. После их выполнения, 12 ян</w:t>
      </w:r>
      <w:r w:rsidRPr="007224C3">
        <w:rPr>
          <w:rFonts w:ascii="Times New Roman" w:hAnsi="Times New Roman"/>
          <w:color w:val="000000" w:themeColor="text1"/>
          <w:sz w:val="16"/>
          <w:szCs w:val="16"/>
        </w:rPr>
        <w:softHyphen/>
        <w:t>варя 1945 г. состоялся контрольный полёт, однако его пришлось прекратить из-за сильного факеления из турбокомпрессора. После изменения кинематики управления мо</w:t>
      </w:r>
      <w:r w:rsidRPr="007224C3">
        <w:rPr>
          <w:rFonts w:ascii="Times New Roman" w:hAnsi="Times New Roman"/>
          <w:color w:val="000000" w:themeColor="text1"/>
          <w:sz w:val="16"/>
          <w:szCs w:val="16"/>
        </w:rPr>
        <w:softHyphen/>
        <w:t>тором, 25 января произвели ещё один полёт, на этот раз факел наблюдался только при изменении режима работы мотора. Самолёт подготовили к выполнению полётов по про</w:t>
      </w:r>
      <w:r w:rsidRPr="007224C3">
        <w:rPr>
          <w:rFonts w:ascii="Times New Roman" w:hAnsi="Times New Roman"/>
          <w:color w:val="000000" w:themeColor="text1"/>
          <w:sz w:val="16"/>
          <w:szCs w:val="16"/>
        </w:rPr>
        <w:softHyphen/>
        <w:t xml:space="preserve">грамме, но из-за того, что Г.М. Шиянов занимался испытаниями Ла-7 с </w:t>
      </w:r>
      <w:r w:rsidRPr="007224C3">
        <w:rPr>
          <w:rFonts w:ascii="Times New Roman" w:hAnsi="Times New Roman"/>
          <w:color w:val="000000" w:themeColor="text1"/>
          <w:sz w:val="16"/>
          <w:szCs w:val="16"/>
          <w:lang w:val="en-US"/>
        </w:rPr>
        <w:t>ALU</w:t>
      </w:r>
      <w:r w:rsidRPr="007224C3">
        <w:rPr>
          <w:rFonts w:ascii="Times New Roman" w:hAnsi="Times New Roman"/>
          <w:color w:val="000000" w:themeColor="text1"/>
          <w:sz w:val="16"/>
          <w:szCs w:val="16"/>
        </w:rPr>
        <w:t>-83 и Ла-7 с реактивным ускорителем, следующие два полёта провели только 1 марта 1945 г. Оба пришлось преждевременно прекратить: первый — на 10-й минуте из-за выбивания ма</w:t>
      </w:r>
      <w:r w:rsidRPr="007224C3">
        <w:rPr>
          <w:rFonts w:ascii="Times New Roman" w:hAnsi="Times New Roman"/>
          <w:color w:val="000000" w:themeColor="text1"/>
          <w:sz w:val="16"/>
          <w:szCs w:val="16"/>
        </w:rPr>
        <w:softHyphen/>
        <w:t>сла из горловины маслобака, а во втором на высоте 400 м вследствие переобогащения смеси на конце выхлопа образовался факел. Для устранения факеления с мотора сняли насос БН-Зу, форсунки непосредственного впрыска топлива в мотор и РС-2 с управле</w:t>
      </w:r>
      <w:r w:rsidRPr="007224C3">
        <w:rPr>
          <w:rFonts w:ascii="Times New Roman" w:hAnsi="Times New Roman"/>
          <w:color w:val="000000" w:themeColor="text1"/>
          <w:sz w:val="16"/>
          <w:szCs w:val="16"/>
        </w:rPr>
        <w:softHyphen/>
        <w:t>нием и отправили в ЦИАМ. Кронштейн установки РС-2 заменили новым конструкции ЦИАМ. Как показали испытания в институте, насос на номинальном режиме увеличивал расход на 12%, а на малом газе — на 18%, форсунки подтекали. Для РС-2 пришлось из</w:t>
      </w:r>
      <w:r w:rsidRPr="007224C3">
        <w:rPr>
          <w:rFonts w:ascii="Times New Roman" w:hAnsi="Times New Roman"/>
          <w:color w:val="000000" w:themeColor="text1"/>
          <w:sz w:val="16"/>
          <w:szCs w:val="16"/>
        </w:rPr>
        <w:softHyphen/>
        <w:t>готовить новое управление.</w:t>
      </w:r>
    </w:p>
    <w:p w14:paraId="3D215D64" w14:textId="77777777" w:rsidR="00D635A9" w:rsidRPr="007224C3" w:rsidRDefault="00D635A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Назад из ЦИАМ агрегаты получили лишь в мае. На</w:t>
      </w:r>
      <w:r w:rsidRPr="007224C3">
        <w:rPr>
          <w:rFonts w:ascii="Times New Roman" w:hAnsi="Times New Roman"/>
          <w:color w:val="000000" w:themeColor="text1"/>
          <w:sz w:val="16"/>
          <w:szCs w:val="16"/>
        </w:rPr>
        <w:softHyphen/>
        <w:t>конец, 14 июня состоялся контрольный полёт до вы</w:t>
      </w:r>
      <w:r w:rsidRPr="007224C3">
        <w:rPr>
          <w:rFonts w:ascii="Times New Roman" w:hAnsi="Times New Roman"/>
          <w:color w:val="000000" w:themeColor="text1"/>
          <w:sz w:val="16"/>
          <w:szCs w:val="16"/>
        </w:rPr>
        <w:softHyphen/>
        <w:t>соты 1000 м без включения турбокомпрессора, факел образовался только при посадке, для его устране</w:t>
      </w:r>
      <w:r w:rsidRPr="007224C3">
        <w:rPr>
          <w:rFonts w:ascii="Times New Roman" w:hAnsi="Times New Roman"/>
          <w:color w:val="000000" w:themeColor="text1"/>
          <w:sz w:val="16"/>
          <w:szCs w:val="16"/>
        </w:rPr>
        <w:softHyphen/>
        <w:t>ния отрегулировали мотор по расходам топлива. На следующий день состоялся полёт с работающим турбокомпрессором до высоты 2500 м. Во время посадки вновь по</w:t>
      </w:r>
      <w:r w:rsidRPr="007224C3">
        <w:rPr>
          <w:rFonts w:ascii="Times New Roman" w:hAnsi="Times New Roman"/>
          <w:color w:val="000000" w:themeColor="text1"/>
          <w:sz w:val="16"/>
          <w:szCs w:val="16"/>
        </w:rPr>
        <w:softHyphen/>
        <w:t>явился факел, его длина достигала 2 м, тогда как в предыдущий раз — 80 см. Снова про</w:t>
      </w:r>
      <w:r w:rsidRPr="007224C3">
        <w:rPr>
          <w:rFonts w:ascii="Times New Roman" w:hAnsi="Times New Roman"/>
          <w:color w:val="000000" w:themeColor="text1"/>
          <w:sz w:val="16"/>
          <w:szCs w:val="16"/>
        </w:rPr>
        <w:softHyphen/>
        <w:t xml:space="preserve">извели регулировку мотора. После нескольких дней нелётной погоды для высотных </w:t>
      </w:r>
      <w:r w:rsidRPr="007224C3">
        <w:rPr>
          <w:rStyle w:val="aff7"/>
          <w:rFonts w:ascii="Times New Roman" w:eastAsia="Arial Unicode MS" w:hAnsi="Times New Roman" w:cs="Times New Roman"/>
          <w:i w:val="0"/>
          <w:color w:val="000000" w:themeColor="text1"/>
        </w:rPr>
        <w:t>полётов,</w:t>
      </w:r>
      <w:r w:rsidRPr="007224C3">
        <w:rPr>
          <w:rFonts w:ascii="Times New Roman" w:hAnsi="Times New Roman"/>
          <w:color w:val="000000" w:themeColor="text1"/>
          <w:sz w:val="16"/>
          <w:szCs w:val="16"/>
        </w:rPr>
        <w:t xml:space="preserve"> лётные испытания вновь продолжили только 25 июня. Задание — определение максимальных скоростей на высотах от 8000 до 9000 м. Из-за выливания бензина из горловины правого бензобака (оказалась пробита прокладка под пробкой бака), в пер</w:t>
      </w:r>
      <w:r w:rsidRPr="007224C3">
        <w:rPr>
          <w:rFonts w:ascii="Times New Roman" w:hAnsi="Times New Roman"/>
          <w:color w:val="000000" w:themeColor="text1"/>
          <w:sz w:val="16"/>
          <w:szCs w:val="16"/>
        </w:rPr>
        <w:softHyphen/>
        <w:t>вом полёте задание выполнить не удалось. В повторном полёте, после устранения это</w:t>
      </w:r>
      <w:r w:rsidRPr="007224C3">
        <w:rPr>
          <w:rFonts w:ascii="Times New Roman" w:hAnsi="Times New Roman"/>
          <w:color w:val="000000" w:themeColor="text1"/>
          <w:sz w:val="16"/>
          <w:szCs w:val="16"/>
        </w:rPr>
        <w:softHyphen/>
        <w:t xml:space="preserve">го дефекта, на высоте 9000 м отказал кислородный прибор, однако площадку </w:t>
      </w:r>
      <w:r w:rsidRPr="007224C3">
        <w:rPr>
          <w:rFonts w:ascii="Times New Roman" w:hAnsi="Times New Roman"/>
          <w:color w:val="000000" w:themeColor="text1"/>
          <w:sz w:val="16"/>
          <w:szCs w:val="16"/>
        </w:rPr>
        <w:lastRenderedPageBreak/>
        <w:t>на высоте 9000 м все же сняли. На земле в турбокомпрессоре обнаружили поломку одной лопат</w:t>
      </w:r>
      <w:r w:rsidRPr="007224C3">
        <w:rPr>
          <w:rFonts w:ascii="Times New Roman" w:hAnsi="Times New Roman"/>
          <w:color w:val="000000" w:themeColor="text1"/>
          <w:sz w:val="16"/>
          <w:szCs w:val="16"/>
        </w:rPr>
        <w:softHyphen/>
        <w:t>ки. Совместными усилиями с представителями ЦИАМ для устранения обнаруженного дефекта заменили ротор турбокомпрессора. 4 июля 1945 г. полёт Ла-7 с АШ-82ФН и двумя ТК-3 на определение максимальных скоростей на высотах 8000-9000 окончился катастрофой. Лётчик-испытатель Новиков погиб. Для выяснения причин катастрофы зам. наркома А.С. Яковлев своим приказом назначил комиссию под председательством Окорокова. Комиссия, по итогам работы, высказала предположение, что причиной катаст</w:t>
      </w:r>
      <w:r w:rsidRPr="007224C3">
        <w:rPr>
          <w:rFonts w:ascii="Times New Roman" w:hAnsi="Times New Roman"/>
          <w:color w:val="000000" w:themeColor="text1"/>
          <w:sz w:val="16"/>
          <w:szCs w:val="16"/>
        </w:rPr>
        <w:softHyphen/>
        <w:t>рофы послужила потеря лётчиком сознания на высоте.</w:t>
      </w:r>
    </w:p>
    <w:p w14:paraId="44088BE9" w14:textId="77777777" w:rsidR="00D635A9" w:rsidRPr="007224C3" w:rsidRDefault="00D635A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 81 к концу 1945 г. завершил постройку ещё одного Ла-7 с АШ-82ФН и 2ТК-3, но к тому моменту военные уже утратили интерес к поршневым высотным ис</w:t>
      </w:r>
      <w:r w:rsidRPr="007224C3">
        <w:rPr>
          <w:rFonts w:ascii="Times New Roman" w:hAnsi="Times New Roman"/>
          <w:color w:val="000000" w:themeColor="text1"/>
          <w:sz w:val="16"/>
          <w:szCs w:val="16"/>
        </w:rPr>
        <w:softHyphen/>
        <w:t>требителям. На этом закончилось развитие опытных самолётов С.А. Лавочкина с ТК (15830).</w:t>
      </w:r>
    </w:p>
    <w:p w14:paraId="16EC4788" w14:textId="77777777" w:rsidR="00D635A9" w:rsidRPr="007224C3" w:rsidRDefault="00D635A9" w:rsidP="007224C3">
      <w:pPr>
        <w:spacing w:after="0" w:line="240" w:lineRule="auto"/>
        <w:jc w:val="both"/>
        <w:rPr>
          <w:rFonts w:ascii="Times New Roman" w:hAnsi="Times New Roman"/>
          <w:color w:val="000000" w:themeColor="text1"/>
          <w:sz w:val="16"/>
          <w:szCs w:val="16"/>
        </w:rPr>
      </w:pPr>
    </w:p>
    <w:p w14:paraId="0180F6B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мая 1944 г. И—222в первый раз поднялся в небо. Заводские испытания проводили ведущий инженер К.П.Ковалевский и летчик-испытатель А.П.Якимов. В период с 26 июля по 9 августа 1944 г. была выполне</w:t>
      </w:r>
      <w:r w:rsidRPr="007224C3">
        <w:rPr>
          <w:rFonts w:ascii="Times New Roman" w:hAnsi="Times New Roman"/>
          <w:color w:val="000000" w:themeColor="text1"/>
          <w:sz w:val="16"/>
          <w:szCs w:val="16"/>
        </w:rPr>
        <w:softHyphen/>
        <w:t>на продувка машины в натурной аэродинамической трубе ЦАГИ. После этого произвели доработку само</w:t>
      </w:r>
      <w:r w:rsidRPr="007224C3">
        <w:rPr>
          <w:rFonts w:ascii="Times New Roman" w:hAnsi="Times New Roman"/>
          <w:color w:val="000000" w:themeColor="text1"/>
          <w:sz w:val="16"/>
          <w:szCs w:val="16"/>
        </w:rPr>
        <w:softHyphen/>
        <w:t>лета: установили новые предкрылки и увеличенный воздухо-воздушный радиатор, борта фюзеляжа об</w:t>
      </w:r>
      <w:r w:rsidRPr="007224C3">
        <w:rPr>
          <w:rFonts w:ascii="Times New Roman" w:hAnsi="Times New Roman"/>
          <w:color w:val="000000" w:themeColor="text1"/>
          <w:sz w:val="16"/>
          <w:szCs w:val="16"/>
        </w:rPr>
        <w:softHyphen/>
        <w:t>шили металлическими листами (защита от факела пламени, истекающего из турбокомпрессора). 1 сен</w:t>
      </w:r>
      <w:r w:rsidRPr="007224C3">
        <w:rPr>
          <w:rFonts w:ascii="Times New Roman" w:hAnsi="Times New Roman"/>
          <w:color w:val="000000" w:themeColor="text1"/>
          <w:sz w:val="16"/>
          <w:szCs w:val="16"/>
        </w:rPr>
        <w:softHyphen/>
        <w:t>тября 1944 г. в контрольный полет на И-222 отпра</w:t>
      </w:r>
      <w:r w:rsidRPr="007224C3">
        <w:rPr>
          <w:rFonts w:ascii="Times New Roman" w:hAnsi="Times New Roman"/>
          <w:color w:val="000000" w:themeColor="text1"/>
          <w:sz w:val="16"/>
          <w:szCs w:val="16"/>
        </w:rPr>
        <w:softHyphen/>
        <w:t>вился летчик-испытатель И.И.Шелест, поскольку Якимов находился в госпитале. 4 сентября испыта</w:t>
      </w:r>
      <w:r w:rsidRPr="007224C3">
        <w:rPr>
          <w:rFonts w:ascii="Times New Roman" w:hAnsi="Times New Roman"/>
          <w:color w:val="000000" w:themeColor="text1"/>
          <w:sz w:val="16"/>
          <w:szCs w:val="16"/>
        </w:rPr>
        <w:softHyphen/>
        <w:t>ния самолета продолжил ГМ.Шиянов, так как 3 сен</w:t>
      </w:r>
      <w:r w:rsidRPr="007224C3">
        <w:rPr>
          <w:rFonts w:ascii="Times New Roman" w:hAnsi="Times New Roman"/>
          <w:color w:val="000000" w:themeColor="text1"/>
          <w:sz w:val="16"/>
          <w:szCs w:val="16"/>
        </w:rPr>
        <w:softHyphen/>
        <w:t>тября Шелест потерпел аварию на другом самолете и тоже попал в госпиталь. В ходе заводских летных испытаний было выпол</w:t>
      </w:r>
      <w:r w:rsidRPr="007224C3">
        <w:rPr>
          <w:rFonts w:ascii="Times New Roman" w:hAnsi="Times New Roman"/>
          <w:color w:val="000000" w:themeColor="text1"/>
          <w:sz w:val="16"/>
          <w:szCs w:val="16"/>
        </w:rPr>
        <w:softHyphen/>
        <w:t>нено 39 полетов. Потолок истребителя составил все</w:t>
      </w:r>
      <w:r w:rsidRPr="007224C3">
        <w:rPr>
          <w:rFonts w:ascii="Times New Roman" w:hAnsi="Times New Roman"/>
          <w:color w:val="000000" w:themeColor="text1"/>
          <w:sz w:val="16"/>
          <w:szCs w:val="16"/>
        </w:rPr>
        <w:softHyphen/>
        <w:t xml:space="preserve">го 12000 м. Заданной высоты </w:t>
      </w:r>
      <w:r w:rsidRPr="007224C3">
        <w:rPr>
          <w:rFonts w:ascii="Times New Roman" w:hAnsi="Times New Roman"/>
          <w:iCs/>
          <w:color w:val="000000" w:themeColor="text1"/>
          <w:sz w:val="16"/>
          <w:szCs w:val="16"/>
        </w:rPr>
        <w:t xml:space="preserve">И-222 </w:t>
      </w:r>
      <w:r w:rsidRPr="007224C3">
        <w:rPr>
          <w:rFonts w:ascii="Times New Roman" w:hAnsi="Times New Roman"/>
          <w:color w:val="000000" w:themeColor="text1"/>
          <w:sz w:val="16"/>
          <w:szCs w:val="16"/>
        </w:rPr>
        <w:t>не смог достичь из-за падения давления масла и бензина, а также не</w:t>
      </w:r>
      <w:r w:rsidRPr="007224C3">
        <w:rPr>
          <w:rFonts w:ascii="Times New Roman" w:hAnsi="Times New Roman"/>
          <w:color w:val="000000" w:themeColor="text1"/>
          <w:sz w:val="16"/>
          <w:szCs w:val="16"/>
        </w:rPr>
        <w:softHyphen/>
        <w:t>устойчивой работы винтомоторной группы. В соот</w:t>
      </w:r>
      <w:r w:rsidRPr="007224C3">
        <w:rPr>
          <w:rFonts w:ascii="Times New Roman" w:hAnsi="Times New Roman"/>
          <w:color w:val="000000" w:themeColor="text1"/>
          <w:sz w:val="16"/>
          <w:szCs w:val="16"/>
        </w:rPr>
        <w:softHyphen/>
        <w:t xml:space="preserve">ветствии с приказом наркома от 19 октября 1944 г. истребитель </w:t>
      </w:r>
      <w:r w:rsidRPr="007224C3">
        <w:rPr>
          <w:rFonts w:ascii="Times New Roman" w:hAnsi="Times New Roman"/>
          <w:iCs/>
          <w:color w:val="000000" w:themeColor="text1"/>
          <w:sz w:val="16"/>
          <w:szCs w:val="16"/>
        </w:rPr>
        <w:t xml:space="preserve">И-222 </w:t>
      </w:r>
      <w:r w:rsidRPr="007224C3">
        <w:rPr>
          <w:rFonts w:ascii="Times New Roman" w:hAnsi="Times New Roman"/>
          <w:color w:val="000000" w:themeColor="text1"/>
          <w:sz w:val="16"/>
          <w:szCs w:val="16"/>
        </w:rPr>
        <w:t>передали в ЛИИ для продолже</w:t>
      </w:r>
      <w:r w:rsidRPr="007224C3">
        <w:rPr>
          <w:rFonts w:ascii="Times New Roman" w:hAnsi="Times New Roman"/>
          <w:color w:val="000000" w:themeColor="text1"/>
          <w:sz w:val="16"/>
          <w:szCs w:val="16"/>
        </w:rPr>
        <w:softHyphen/>
        <w:t>ния испытаний. Там он совершил всего три полета; 26 января 1945 г. с машины сняли мотор и отправили на завод № 300 для переборки. Однако после ремон</w:t>
      </w:r>
      <w:r w:rsidRPr="007224C3">
        <w:rPr>
          <w:rFonts w:ascii="Times New Roman" w:hAnsi="Times New Roman"/>
          <w:color w:val="000000" w:themeColor="text1"/>
          <w:sz w:val="16"/>
          <w:szCs w:val="16"/>
        </w:rPr>
        <w:softHyphen/>
        <w:t>та опытный мотор АМ-39Б стал работать еще хуже: отмечалось падение давления масла, поэтому после пяти полетов двигатель вновь пришлось снять и от</w:t>
      </w:r>
      <w:r w:rsidRPr="007224C3">
        <w:rPr>
          <w:rFonts w:ascii="Times New Roman" w:hAnsi="Times New Roman"/>
          <w:color w:val="000000" w:themeColor="text1"/>
          <w:sz w:val="16"/>
          <w:szCs w:val="16"/>
        </w:rPr>
        <w:softHyphen/>
        <w:t xml:space="preserve">править на моторный завод. Больше </w:t>
      </w:r>
      <w:r w:rsidRPr="007224C3">
        <w:rPr>
          <w:rFonts w:ascii="Times New Roman" w:hAnsi="Times New Roman"/>
          <w:iCs/>
          <w:color w:val="000000" w:themeColor="text1"/>
          <w:sz w:val="16"/>
          <w:szCs w:val="16"/>
        </w:rPr>
        <w:t xml:space="preserve">И—222 </w:t>
      </w:r>
      <w:r w:rsidRPr="007224C3">
        <w:rPr>
          <w:rFonts w:ascii="Times New Roman" w:hAnsi="Times New Roman"/>
          <w:color w:val="000000" w:themeColor="text1"/>
          <w:sz w:val="16"/>
          <w:szCs w:val="16"/>
        </w:rPr>
        <w:t>не летал. В отчете завода № 300 о работе в 1944 г. со ссылкой на акты аварийных комиссий отмечалось, что одной из основных причин выхода из строя моторов АМ-39 на самолетах ОКБ Микояна было разрушение тру</w:t>
      </w:r>
      <w:r w:rsidRPr="007224C3">
        <w:rPr>
          <w:rFonts w:ascii="Times New Roman" w:hAnsi="Times New Roman"/>
          <w:color w:val="000000" w:themeColor="text1"/>
          <w:sz w:val="16"/>
          <w:szCs w:val="16"/>
        </w:rPr>
        <w:softHyphen/>
        <w:t>щихся поверхностей в узлах мотора из-за дефектов маслосистем самолетов (9984).</w:t>
      </w:r>
    </w:p>
    <w:p w14:paraId="4B866B5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D057F8"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мая 1944 вышло Постановление ГКО № 5795 О Государственном научно-испытательном институте ВВС Красной Армии. (7227, 135-136).</w:t>
      </w:r>
    </w:p>
    <w:p w14:paraId="19CBC453"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937681D" w14:textId="77777777" w:rsidR="0090533F" w:rsidRPr="007224C3" w:rsidRDefault="0090533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мая 1944 вышло Постановление ГКО № 5795 О Государственном научно-испытательном институте ВВС Красной Армии</w:t>
      </w:r>
    </w:p>
    <w:p w14:paraId="1DA1F0B6" w14:textId="77777777" w:rsidR="0090533F" w:rsidRPr="007224C3" w:rsidRDefault="0090533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повышения ответственности за государственные испытания самолетов и всей авиационной техники Государ</w:t>
      </w:r>
      <w:r w:rsidRPr="007224C3">
        <w:rPr>
          <w:rFonts w:ascii="Times New Roman" w:hAnsi="Times New Roman"/>
          <w:color w:val="000000" w:themeColor="text1"/>
          <w:sz w:val="16"/>
          <w:szCs w:val="16"/>
        </w:rPr>
        <w:softHyphen/>
        <w:t>ственный Комитет Обороны постановляет:</w:t>
      </w:r>
    </w:p>
    <w:p w14:paraId="689C373A" w14:textId="77777777" w:rsidR="0090533F" w:rsidRPr="007224C3" w:rsidRDefault="0090533F" w:rsidP="007224C3">
      <w:pPr>
        <w:tabs>
          <w:tab w:val="left" w:pos="1440"/>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Об"единить ныне существующие в системе ВВС КА три научно-испытательных института - НИИ ВВС КА, НИИ авиационного вооружения и НИИ специальных служб в еди</w:t>
      </w:r>
      <w:r w:rsidRPr="007224C3">
        <w:rPr>
          <w:rFonts w:ascii="Times New Roman" w:hAnsi="Times New Roman"/>
          <w:color w:val="000000" w:themeColor="text1"/>
          <w:sz w:val="16"/>
          <w:szCs w:val="16"/>
        </w:rPr>
        <w:softHyphen/>
        <w:t>ный институт, присвоив ему наименование "Государственный научно-испытательный институт Военно-воздушных сил Красной Армии";</w:t>
      </w:r>
    </w:p>
    <w:p w14:paraId="4BFFA65A" w14:textId="77777777" w:rsidR="0090533F" w:rsidRPr="007224C3" w:rsidRDefault="0090533F" w:rsidP="007224C3">
      <w:pPr>
        <w:tabs>
          <w:tab w:val="left" w:pos="1440"/>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Начальником института назначить главного инжене</w:t>
      </w:r>
      <w:r w:rsidRPr="007224C3">
        <w:rPr>
          <w:rFonts w:ascii="Times New Roman" w:hAnsi="Times New Roman"/>
          <w:color w:val="000000" w:themeColor="text1"/>
          <w:sz w:val="16"/>
          <w:szCs w:val="16"/>
        </w:rPr>
        <w:softHyphen/>
        <w:t>ра ВВС КА генерал-полковника инженерно-авиационной служ</w:t>
      </w:r>
      <w:r w:rsidRPr="007224C3">
        <w:rPr>
          <w:rFonts w:ascii="Times New Roman" w:hAnsi="Times New Roman"/>
          <w:color w:val="000000" w:themeColor="text1"/>
          <w:sz w:val="16"/>
          <w:szCs w:val="16"/>
        </w:rPr>
        <w:softHyphen/>
        <w:t>бы тов.Репина А,К. с оставлением его заместителем коман</w:t>
      </w:r>
      <w:r w:rsidRPr="007224C3">
        <w:rPr>
          <w:rFonts w:ascii="Times New Roman" w:hAnsi="Times New Roman"/>
          <w:color w:val="000000" w:themeColor="text1"/>
          <w:sz w:val="16"/>
          <w:szCs w:val="16"/>
        </w:rPr>
        <w:softHyphen/>
        <w:t>дующего по инженерно-авиационной службе и членом Военно</w:t>
      </w:r>
      <w:r w:rsidRPr="007224C3">
        <w:rPr>
          <w:rFonts w:ascii="Times New Roman" w:hAnsi="Times New Roman"/>
          <w:color w:val="000000" w:themeColor="text1"/>
          <w:sz w:val="16"/>
          <w:szCs w:val="16"/>
        </w:rPr>
        <w:softHyphen/>
        <w:t>го Совета ВВС Красной Армии.</w:t>
      </w:r>
    </w:p>
    <w:p w14:paraId="299DB552" w14:textId="77777777" w:rsidR="0090533F" w:rsidRPr="007224C3" w:rsidRDefault="0090533F" w:rsidP="007224C3">
      <w:pPr>
        <w:tabs>
          <w:tab w:val="left" w:pos="1454"/>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Утвердить первым заместителем начальника институ</w:t>
      </w:r>
      <w:r w:rsidRPr="007224C3">
        <w:rPr>
          <w:rFonts w:ascii="Times New Roman" w:hAnsi="Times New Roman"/>
          <w:color w:val="000000" w:themeColor="text1"/>
          <w:sz w:val="16"/>
          <w:szCs w:val="16"/>
        </w:rPr>
        <w:softHyphen/>
        <w:t>та генерал-лейтенанта инженерно-авиационной службы т.Лосюкова П.А., заместителем по специальным службам генерал- лейтенанта инженерно-авиационной службы т.Данилина С.А. и заместителем по авиационному вооружению генерал-майора инженерно-авиационной службы т.Гуревпча М.В.</w:t>
      </w:r>
    </w:p>
    <w:p w14:paraId="2241D079" w14:textId="77777777" w:rsidR="0090533F" w:rsidRPr="007224C3" w:rsidRDefault="0090533F" w:rsidP="007224C3">
      <w:pPr>
        <w:tabs>
          <w:tab w:val="left" w:pos="1466"/>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Командующему ВВС КА тов.Новикову:</w:t>
      </w:r>
    </w:p>
    <w:p w14:paraId="51E788F3" w14:textId="77777777" w:rsidR="0090533F" w:rsidRPr="007224C3" w:rsidRDefault="0090533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представить к 15 мая с.г. на утверждение ГОКО положение об институте и положение о порядке пред"явления и прохождения испытаний самолетов и всех объектов авиа</w:t>
      </w:r>
      <w:r w:rsidRPr="007224C3">
        <w:rPr>
          <w:rFonts w:ascii="Times New Roman" w:hAnsi="Times New Roman"/>
          <w:color w:val="000000" w:themeColor="text1"/>
          <w:sz w:val="16"/>
          <w:szCs w:val="16"/>
        </w:rPr>
        <w:softHyphen/>
        <w:t>ционной техники;</w:t>
      </w:r>
    </w:p>
    <w:p w14:paraId="3A7DA7B2" w14:textId="77777777" w:rsidR="0090533F" w:rsidRPr="007224C3" w:rsidRDefault="0090533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разработать я представить к 15 мая с.г. на утверждение НКО штат института;</w:t>
      </w:r>
    </w:p>
    <w:p w14:paraId="01973434" w14:textId="77777777" w:rsidR="0090533F" w:rsidRPr="007224C3" w:rsidRDefault="0090533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представить к 1 июня с.г. на утверждение ГОКО мероприятия по усилению научно-испытательной базы института (19485).</w:t>
      </w:r>
    </w:p>
    <w:p w14:paraId="20BA6EE2" w14:textId="77777777" w:rsidR="0090533F" w:rsidRPr="007224C3" w:rsidRDefault="0090533F"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B3C8C3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Приказом ГКО от 1 мая 1944 НИИ ВВС стал Государственным НИИ ВВС (173,325).</w:t>
      </w:r>
    </w:p>
    <w:p w14:paraId="4CDC4DE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A6257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мая 1944 года Постановлением государственного комитета обороны СССР на основе объединения НИИ ВВС, НИИ СС ВВС и НИИ АВ ВВС был создан такой единый центр, получивший наименование Государственный Научно-испытательный Институт ВВС КА ( ГосНИИ ВВС КА ).</w:t>
      </w:r>
    </w:p>
    <w:p w14:paraId="12F76C5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новой штатной структуре в состав ГосНИИ ВВС КА входили:</w:t>
      </w:r>
    </w:p>
    <w:p w14:paraId="39033A7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Командование, штаб, политотдел, Дом Красной Армии,. отдел кадров, финансово –плановый отдел, летно-эксплуатационная служба, испытательные управления и отделы, служба тыла. Кроме того для обеспечения Института материальными и техническими средствами и всеми видами довольствия при ГосНИИ ВВС КА была сформирована авиабаза, непосредственно подчиненная заместителю начальника ГосНИИ ВВС по службе тыла.</w:t>
      </w:r>
    </w:p>
    <w:p w14:paraId="4BE6B54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Общая численность личного состава ГосНИИ ВВС, (без учета авиабазы) составляла 2524 военнослужащих (в том числе 105 человек летно-штурманского и 939 человек инженерно-технического состава) и 1050 человек вольнонаемных (11017).</w:t>
      </w:r>
    </w:p>
    <w:p w14:paraId="6CC6558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FCB7D2D"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0C8DE11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A021776" w14:textId="77777777" w:rsidR="009B7CB6" w:rsidRPr="007224C3" w:rsidRDefault="009B7CB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 по 4 мая 1944 на Гороховецком АНИОП прошли испытаний СУ-57</w:t>
      </w:r>
    </w:p>
    <w:p w14:paraId="7D4AE25B" w14:textId="77777777" w:rsidR="009B7CB6" w:rsidRPr="007224C3" w:rsidRDefault="009B7CB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постройки опытного образца машины была взята серийная СУ-76М с серийным номером 404855, выпущенная в апреле 1944 года. Первые её испытания стрельбой прошли на заводе 30 апреля. Всего произвели 25 выстрелов, из них 20 усиленным зарядом. На АНИОП произвели ещё 270 выстрелов, из них 107 на усиленном заряде. Кучность осколочно-фугасного снаряда признали удовлетворительной, а кучность бронебойно-трассирующего снаряда — неудовлетворительной. Это была проблема не САУ, а её пушки: похожие проблемы АНИОП отмечал и при испытании ЗИС-2 осенью 1943 года. Лучше оказались результаты стрельбой подкалиберным снарядом.</w:t>
      </w:r>
    </w:p>
    <w:p w14:paraId="3CDAAAC1" w14:textId="77777777" w:rsidR="009B7CB6" w:rsidRPr="007224C3" w:rsidRDefault="009B7CB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Прицельная скорострельность достигла 10 выстрелов в минуту, а максимальная — до 15. Испытателям не понравились прицельные приспособления. СУ-76М получила не ЗИС-2, а ствол от неё: панорамный прицел от ЗИС-3, плохо подходивший для стрельбы по движущимся целям, остался на месте. Также не понравилось боевое отделение, частично открытое сзади и с боков.</w:t>
      </w:r>
    </w:p>
    <w:p w14:paraId="2BD584F5" w14:textId="77777777" w:rsidR="009B7CB6" w:rsidRPr="007224C3" w:rsidRDefault="009B7CB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Опытную САУ признали выдержавшей испытания, но требующей ряда переделок. Вместо панорамного прицела следовало поставить телескопический прицел 10-Т. Также нужно было установить электроспуск с кнопкой в рукоятке маховика подъёмного механизма и сделать боевое отделение полностью закрытым. Крышу требовалось изготовить из листов толщиной 5–8 мм, а борта и корму — 15 мм. В корме предусматривался двухстворчатый люк.</w:t>
      </w:r>
    </w:p>
    <w:p w14:paraId="395A727C" w14:textId="77777777" w:rsidR="009B7CB6" w:rsidRPr="007224C3" w:rsidRDefault="009B7CB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учётом этих требований КБ ГАЗ им. Молотова разработало второй вариант САУ. Вместо изготовления новой машины в июне 1944 года был переделан уже имеющийся образец. Наибольшие изменения претерпело боевое отделение, которое стало полностью закрытым. Боевая масса этой машины указывается такой же, как и СУ-76М, что выглядит сомнительно. Вероятнее всего, она выросла примерно на полтонны. Для улучшения обзорности в крыше появились перископические приборы наблюдения MK-IV. Переделка вооружения выполнялась в соответствии с полученным заданием (18098).</w:t>
      </w:r>
    </w:p>
    <w:p w14:paraId="5DE6E3D3" w14:textId="77777777" w:rsidR="009B7CB6" w:rsidRPr="007224C3" w:rsidRDefault="009B7CB6" w:rsidP="007224C3">
      <w:pPr>
        <w:spacing w:after="0" w:line="240" w:lineRule="auto"/>
        <w:jc w:val="both"/>
        <w:rPr>
          <w:rFonts w:ascii="Times New Roman" w:hAnsi="Times New Roman"/>
          <w:color w:val="000000" w:themeColor="text1"/>
          <w:sz w:val="16"/>
          <w:szCs w:val="16"/>
        </w:rPr>
      </w:pPr>
    </w:p>
    <w:p w14:paraId="7DBEFB40"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мая 1944 вышло Постановление ГКО № 5796 [О выдаче 10 легковых автомашин "Виллис" Главвоенпромстрою при СНК СССР.] (7227, 137).</w:t>
      </w:r>
    </w:p>
    <w:p w14:paraId="22B9D225"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DBF8DB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1 мая 1944 г. ульяновцы собрали первый образец ЗИС-253 (12098).</w:t>
      </w:r>
    </w:p>
    <w:p w14:paraId="48AC68C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8A7D1FB" w14:textId="77777777" w:rsidR="007874A2" w:rsidRPr="007224C3" w:rsidRDefault="007874A2"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К 1 мая 1944 в Ульяновске собрали первый авто</w:t>
      </w:r>
      <w:r w:rsidRPr="007224C3">
        <w:rPr>
          <w:rFonts w:ascii="Times New Roman" w:hAnsi="Times New Roman"/>
          <w:color w:val="0070C0"/>
          <w:sz w:val="16"/>
          <w:szCs w:val="16"/>
        </w:rPr>
        <w:softHyphen/>
        <w:t>мобиль ЗИС-253. По внешнему виду он слегка отли</w:t>
      </w:r>
      <w:r w:rsidRPr="007224C3">
        <w:rPr>
          <w:rFonts w:ascii="Times New Roman" w:hAnsi="Times New Roman"/>
          <w:color w:val="0070C0"/>
          <w:sz w:val="16"/>
          <w:szCs w:val="16"/>
        </w:rPr>
        <w:softHyphen/>
        <w:t>чался от своего прототипа УльЗИС-НАТИ (22518).</w:t>
      </w:r>
    </w:p>
    <w:p w14:paraId="592F8E48" w14:textId="77777777" w:rsidR="007874A2" w:rsidRPr="007224C3" w:rsidRDefault="007874A2" w:rsidP="007224C3">
      <w:pPr>
        <w:spacing w:after="0" w:line="240" w:lineRule="auto"/>
        <w:jc w:val="both"/>
        <w:rPr>
          <w:rFonts w:ascii="Times New Roman" w:hAnsi="Times New Roman"/>
          <w:color w:val="0070C0"/>
          <w:sz w:val="16"/>
          <w:szCs w:val="16"/>
        </w:rPr>
      </w:pPr>
    </w:p>
    <w:p w14:paraId="193C0564"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2EA78D2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CDF7B2B" w14:textId="77777777" w:rsidR="001F4816" w:rsidRPr="007224C3" w:rsidRDefault="001F4816"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 мая</w:t>
      </w:r>
      <w:r w:rsidRPr="007224C3">
        <w:rPr>
          <w:rFonts w:ascii="Times New Roman" w:hAnsi="Times New Roman"/>
          <w:color w:val="000000" w:themeColor="text1"/>
          <w:sz w:val="16"/>
          <w:szCs w:val="16"/>
        </w:rPr>
        <w:t xml:space="preserve"> в 1944 году оперативная сводка Совинформбюро:</w:t>
      </w:r>
    </w:p>
    <w:p w14:paraId="54850493" w14:textId="77777777" w:rsidR="001F4816" w:rsidRPr="007224C3" w:rsidRDefault="001F481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 мая на фронтах существенных изменений не произошло. За 30 апреля наши войска на всех фронтах подбили и уничтожили 24 немецких танка. В воздушных боях и огнём зенитной артиллерии сбито 43 самолёта противника.</w:t>
      </w:r>
    </w:p>
    <w:p w14:paraId="0E0D613C" w14:textId="77777777" w:rsidR="001F4816" w:rsidRPr="007224C3" w:rsidRDefault="001F481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Массированный налёт нашей авиации на железнодорожный узел Брест:</w:t>
      </w:r>
    </w:p>
    <w:p w14:paraId="3257E881" w14:textId="77777777" w:rsidR="001F4816" w:rsidRPr="007224C3" w:rsidRDefault="001F481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ночь на 1-е мая наша авиация дальнего действия произвела массированный налёт на железнодорожный узел Брест. В результате бомбардировки на железнодорожном узле возникло 17 очагов пожара, из них 4 пожара особенно больших размеров. Горели эшелоны противника с войсками, боеприпасами и боевой техникой. Пожары сопровождались взрывами.</w:t>
      </w:r>
    </w:p>
    <w:p w14:paraId="717F6F0F" w14:textId="77777777" w:rsidR="001F4816" w:rsidRPr="007224C3" w:rsidRDefault="001F481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Один наш самолёт не вернулся на свой аэродром.»</w:t>
      </w:r>
    </w:p>
    <w:p w14:paraId="40D47641" w14:textId="77777777" w:rsidR="001F4816" w:rsidRPr="007224C3" w:rsidRDefault="001F481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«Юго-восточнее города Станислав группа танков и пехота немцев атаковала наши позиции. В результате боёв, продолжавшихся в течение всего дня, противник был отброшен на исходные рубежи. Уничтожено до батальона гитлеровцев, сожжено и подбито 4 немецких танка и 3 самоходных орудия. На другом участке немецкие </w:t>
      </w:r>
      <w:r w:rsidRPr="007224C3">
        <w:rPr>
          <w:rFonts w:ascii="Times New Roman" w:hAnsi="Times New Roman"/>
          <w:color w:val="000000" w:themeColor="text1"/>
          <w:sz w:val="16"/>
          <w:szCs w:val="16"/>
        </w:rPr>
        <w:lastRenderedPageBreak/>
        <w:t>пулемётчики, засевшие в дзоте, вели обстрел перешедших в атаку советских подразделений. Сержант Ястребцов подобрался к вражескому дзоту на 10-15 метров и бросил в его амбразуру гранату. Однако пулемёт продолжал вести огонь. Тогда товарищ Ястребцов быстро подбежал к дзоту и закрыл амбразуру, своей грудью. Наши подразделения, видя геройскую смерть своего товарища, двинулись вперед и разгромили немцев.</w:t>
      </w:r>
    </w:p>
    <w:p w14:paraId="31C9735B" w14:textId="77777777" w:rsidR="001F4816" w:rsidRPr="007224C3" w:rsidRDefault="001F481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Советские лётчики наносили удары по коммуникациям противника. В результате действий нашей авиации взорвано два железнодорожных эшелона, несколько складов с боеприпасами и склад с горючим. В воздушных боях наши лётчики сбили 18 немецких самолётов.</w:t>
      </w:r>
    </w:p>
    <w:p w14:paraId="185B3870" w14:textId="77777777" w:rsidR="001F4816" w:rsidRPr="007224C3" w:rsidRDefault="001F481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Севернее города Яссы немцы дважды пытались захватить выгодные позиции. Советские бойцы артиллерийско-миномётным и ружейно-пулемётным огнём отбили атаки противника. В ходе боя уничтожено до 600 гитлеровцев, сожжено и подбито несколько немецких танков и самоходных орудий.</w:t>
      </w:r>
    </w:p>
    <w:p w14:paraId="7E90D403" w14:textId="77777777" w:rsidR="001F4816" w:rsidRPr="007224C3" w:rsidRDefault="001F481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Южнее города Тирасполь советские разведчики ночью проникли в район артиллерийских позиций противника. Одна группа разведчиков открыла огонь из автоматов. В это время наши бойцы, пользуясь возникшей среди немцев паникой, уничтожили 3 орудия, трактор и несколько автомашин. Захватив 7 ручных пулемётов, разведчики вернулись в свою часть.</w:t>
      </w:r>
    </w:p>
    <w:p w14:paraId="15226131" w14:textId="77777777" w:rsidR="001F4816" w:rsidRPr="007224C3" w:rsidRDefault="001F481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Партизанские отряды, действующие в южных районах Молдавской ССР, дезорганизуют тылы немецко-румынских войск. Партизаны минируют дороги и из засад уничтожают вражеские обозы и живую силу. Только за 9 и 10 апреля советские патриоты подорвали 2 танка, 16 автомашин и несколько десятков повозок. Группа партизан 14-го апреля напала на большой обоз противника, следовавший к линии фронта. В результате короткой схватки обоз был разгромлен. Убито 60 гитлеровцев. Захвачено много боеприпасов.</w:t>
      </w:r>
    </w:p>
    <w:p w14:paraId="62F75011" w14:textId="77777777" w:rsidR="001F4816" w:rsidRPr="007224C3" w:rsidRDefault="001F481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величайшей радостью встретил советский народ первомайский приказ Верховного Главнокомандующего Маршала Советского Союза товарища Сталина. Рабочие, колхозники, интеллигенция, воодушевлённые высокой оценкой, которую дал товарищ Сталин советскому тылу, на митингах и собраниях единодушно заявляют, что они и в дальнейшем не останутся в долгу перед героической Красной Армией.</w:t>
      </w:r>
    </w:p>
    <w:p w14:paraId="44C79004" w14:textId="77777777" w:rsidR="001F4816" w:rsidRPr="007224C3" w:rsidRDefault="001F481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ночь на 1 мая после передачи по радио первомайского приказа товарища Сталина на московском заводе «Красный пролетарий» состоялись митинги. Старший мастер сборочного цеха т. Грингауз выступил с взволнованной речью: «Мы горды тем, что успехи Красной Армии неразрывно связаны с самоотверженным трудом рабочих, колхозников и интеллигенции. Наш завод выполнил четырёхмесячную программу текущего года к 25 апреля. Но мы должны работать ещё лучше и помочь Красной Армии скорее прикончить раненого фашистского зверя». В ответ на приказ товарища Сталина краснопролетарцы обязались освоить три типа новых станков и выпустить в мае 10, а во втором квартале 50 станков сверх государственного задания.</w:t>
      </w:r>
    </w:p>
    <w:p w14:paraId="36ECBC40" w14:textId="77777777" w:rsidR="001F4816" w:rsidRPr="007224C3" w:rsidRDefault="001F481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Ленинграде на митинге в литейном цехе завода, где директором тов. Калиновский, выступила начальник цеха тов. Ковалёва. Она заявила: «С гордостью слушала я сталинские слова о заслугах советских женщин, самоотверженно работающих для фронта. В ответ на приказ вождя литейщики цеха обязуются восстановить и пустить в ход плавильную печь и освоить фасонное стальное литьё. Пусть ещё крепче будут наши удары по врагу. Пусть скорее найдёт он смерть в своём зверином логове».</w:t>
      </w:r>
    </w:p>
    <w:p w14:paraId="32FEB213" w14:textId="77777777" w:rsidR="001F4816" w:rsidRPr="007224C3" w:rsidRDefault="001F481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ночь на первое мая на митинге рабочих и служащих Киевской электростанции кочегар тов. Кусков сказал: «Наш родной Киев, Советскую Украину освободила доблестная Красная Армия. Слава героям! Слава великому Сталину! Не пожалеем же своих сил и с ещё большей энергией будем восстанавливать разрушенное немцами советское хозяйство».</w:t>
      </w:r>
    </w:p>
    <w:p w14:paraId="70026009" w14:textId="77777777" w:rsidR="001F4816" w:rsidRPr="007224C3" w:rsidRDefault="001F481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митинге в Железнодорожном районе города Ростова-на-Дону выступил начальник восстановительного поезда т. Герасименко. «Первомайский приказ товарища Сталина,— сказал он, — подвёл итоги всемирно-историческим победам Красной Армии, которая со времени разгрома немцев под Сталинградом ведёт почти непрерывное наступление.Сегодня трудящиеся нашего района закончили восстановление моста. Обещаем родному товарищу Сталину в самый короткий срок восстановить все разрушенные немецкими оккупантами сооружения железнодорожного транспорта. Мы не пожалеем сил для того, чтобы помочь Красной Армии и армиям наших союзников полностью сокрушить гитлеровскую Германию» (14878).</w:t>
      </w:r>
    </w:p>
    <w:p w14:paraId="262B3102" w14:textId="77777777" w:rsidR="001F4816" w:rsidRPr="007224C3" w:rsidRDefault="001F4816" w:rsidP="007224C3">
      <w:pPr>
        <w:spacing w:after="0" w:line="240" w:lineRule="auto"/>
        <w:jc w:val="both"/>
        <w:rPr>
          <w:rFonts w:ascii="Times New Roman" w:hAnsi="Times New Roman"/>
          <w:color w:val="000000" w:themeColor="text1"/>
          <w:sz w:val="16"/>
          <w:szCs w:val="16"/>
        </w:rPr>
      </w:pPr>
    </w:p>
    <w:p w14:paraId="6203D764" w14:textId="77777777" w:rsidR="001F4816" w:rsidRPr="007224C3" w:rsidRDefault="001F4816"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 мая</w:t>
      </w:r>
      <w:r w:rsidRPr="007224C3">
        <w:rPr>
          <w:rFonts w:ascii="Times New Roman" w:hAnsi="Times New Roman"/>
          <w:color w:val="000000" w:themeColor="text1"/>
          <w:sz w:val="16"/>
          <w:szCs w:val="16"/>
        </w:rPr>
        <w:t xml:space="preserve"> в 1944 году И.В.Сталин издал приказ, в котором была впервые записана фраза "Вечная слава героям, павшим в боях за свободу и независимость нашей Родины!" (14878).</w:t>
      </w:r>
    </w:p>
    <w:p w14:paraId="486B03F9" w14:textId="77777777" w:rsidR="001F4816" w:rsidRPr="007224C3" w:rsidRDefault="001F4816" w:rsidP="007224C3">
      <w:pPr>
        <w:spacing w:after="0" w:line="240" w:lineRule="auto"/>
        <w:jc w:val="both"/>
        <w:rPr>
          <w:rFonts w:ascii="Times New Roman" w:hAnsi="Times New Roman"/>
          <w:color w:val="000000" w:themeColor="text1"/>
          <w:sz w:val="16"/>
          <w:szCs w:val="16"/>
        </w:rPr>
      </w:pPr>
    </w:p>
    <w:p w14:paraId="4C844FD5"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мая 1944 Л. Брежнев получил медаль “За оборону Кавказа” (4962).</w:t>
      </w:r>
    </w:p>
    <w:p w14:paraId="0AF77932"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2F12C55"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Жизнь и внутренняя политика:</w:t>
      </w:r>
    </w:p>
    <w:p w14:paraId="093EA96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3F66754"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мая 1944 вышло Распоряжение ГКО № 5797 [О мобилизации в Орловской обл. 400 возчиков с лошадьми для восстановительных работ.] (7227, 138).</w:t>
      </w:r>
    </w:p>
    <w:p w14:paraId="5EE6EC36"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C00C6A1"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мая 1944 Сталин издал приказ, в котором была впервые записана фраза “Вечная слава героям, павшим в боях за свободу и независимость нашей Родины ” (4962).</w:t>
      </w:r>
    </w:p>
    <w:p w14:paraId="24D107B9"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2221A01"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714C4B0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6E6AA34" w14:textId="77777777" w:rsidR="001F4816" w:rsidRPr="007224C3" w:rsidRDefault="001F4816"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 мая</w:t>
      </w:r>
      <w:r w:rsidRPr="007224C3">
        <w:rPr>
          <w:rFonts w:ascii="Times New Roman" w:hAnsi="Times New Roman"/>
          <w:color w:val="000000" w:themeColor="text1"/>
          <w:sz w:val="16"/>
          <w:szCs w:val="16"/>
        </w:rPr>
        <w:t xml:space="preserve"> в 1944 году потерпел аварию первый прототип палубного истребителя </w:t>
      </w:r>
      <w:hyperlink r:id="rId112" w:tgtFrame="_blank" w:history="1">
        <w:r w:rsidRPr="007224C3">
          <w:rPr>
            <w:rFonts w:ascii="Times New Roman" w:hAnsi="Times New Roman"/>
            <w:color w:val="000000" w:themeColor="text1"/>
            <w:sz w:val="16"/>
            <w:szCs w:val="16"/>
          </w:rPr>
          <w:t xml:space="preserve">«F7F-1» «Тайгеркэт» </w:t>
        </w:r>
      </w:hyperlink>
      <w:r w:rsidRPr="007224C3">
        <w:rPr>
          <w:rFonts w:ascii="Times New Roman" w:hAnsi="Times New Roman"/>
          <w:color w:val="000000" w:themeColor="text1"/>
          <w:sz w:val="16"/>
          <w:szCs w:val="16"/>
        </w:rPr>
        <w:t>(камышовый кот) (14878).</w:t>
      </w:r>
    </w:p>
    <w:p w14:paraId="2A1C5DE4" w14:textId="77777777" w:rsidR="001F4816" w:rsidRPr="007224C3" w:rsidRDefault="001F4816" w:rsidP="007224C3">
      <w:pPr>
        <w:spacing w:after="0" w:line="240" w:lineRule="auto"/>
        <w:jc w:val="both"/>
        <w:rPr>
          <w:rFonts w:ascii="Times New Roman" w:hAnsi="Times New Roman"/>
          <w:color w:val="000000" w:themeColor="text1"/>
          <w:sz w:val="16"/>
          <w:szCs w:val="16"/>
        </w:rPr>
      </w:pPr>
    </w:p>
    <w:p w14:paraId="45B03529" w14:textId="77777777" w:rsidR="007874A2" w:rsidRPr="007224C3" w:rsidRDefault="007874A2"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1–2 мая (ночь) 1944 653 британских бомбардировщика атаковали железнодорожные объекты в Майлине и Сен-Гислене, Бельгия, и Шамбли, Франция, и промышленные цели в Лионе, Тулузе и Туре, Франция, с потерей восьми самолетов. Бомбы сброшены не точно в Малине, но другие удары точны, и после 500 попаданий бомб железнодорожное депо в Чамбли не работает 10 дней (20373).</w:t>
      </w:r>
    </w:p>
    <w:p w14:paraId="13F446DB" w14:textId="77777777" w:rsidR="007874A2" w:rsidRPr="007224C3" w:rsidRDefault="007874A2" w:rsidP="007224C3">
      <w:pPr>
        <w:spacing w:after="0" w:line="240" w:lineRule="auto"/>
        <w:jc w:val="both"/>
        <w:rPr>
          <w:rFonts w:ascii="Times New Roman" w:hAnsi="Times New Roman"/>
          <w:color w:val="0070C0"/>
          <w:sz w:val="16"/>
          <w:szCs w:val="16"/>
        </w:rPr>
      </w:pPr>
    </w:p>
    <w:p w14:paraId="1D4AB4DE" w14:textId="77777777" w:rsidR="001F4816" w:rsidRPr="007224C3" w:rsidRDefault="001F4816"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мая 1944 в Лондоне прошла конференция премьер-министров британских доминионов (3907,248).</w:t>
      </w:r>
    </w:p>
    <w:p w14:paraId="56097599" w14:textId="77777777" w:rsidR="001F4816" w:rsidRPr="007224C3" w:rsidRDefault="001F4816"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F15D53" w14:textId="77777777" w:rsidR="001F4816" w:rsidRPr="007224C3" w:rsidRDefault="001F4816"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 мая</w:t>
      </w:r>
      <w:r w:rsidRPr="007224C3">
        <w:rPr>
          <w:rFonts w:ascii="Times New Roman" w:hAnsi="Times New Roman"/>
          <w:color w:val="000000" w:themeColor="text1"/>
          <w:sz w:val="16"/>
          <w:szCs w:val="16"/>
        </w:rPr>
        <w:t xml:space="preserve"> в 1944 году конференция премьер-министров британских доминионов в Лондоне (до 16 мая) (14878).</w:t>
      </w:r>
    </w:p>
    <w:p w14:paraId="1D9624D4" w14:textId="77777777" w:rsidR="001F4816" w:rsidRPr="007224C3" w:rsidRDefault="001F4816" w:rsidP="007224C3">
      <w:pPr>
        <w:spacing w:after="0" w:line="240" w:lineRule="auto"/>
        <w:jc w:val="both"/>
        <w:rPr>
          <w:rFonts w:ascii="Times New Roman" w:hAnsi="Times New Roman"/>
          <w:color w:val="000000" w:themeColor="text1"/>
          <w:sz w:val="16"/>
          <w:szCs w:val="16"/>
        </w:rPr>
      </w:pPr>
    </w:p>
    <w:p w14:paraId="240F8D2B"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мая 1944 на этот день была назначена операция по высадки союзных войск в Нормандию (она была перенесена на июнь) (4962).</w:t>
      </w:r>
    </w:p>
    <w:p w14:paraId="03A76E49"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93E9AD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мая 1944 Великобритания заключила с Испанией договор о сокращении экспорта вольфрамовой руды в Германию (3907,248).</w:t>
      </w:r>
    </w:p>
    <w:p w14:paraId="01C63BE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F445E3"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3229E7D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CAEF8F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мая 1944 г. директор НИИ-48 Завьялов в письме на имя Главного инженера ВСС генерала А.И.Репина докладывал, что результаты командировки специалистов достигнуты и получен "вполне удобный материал о действительно необходимом перераспределении броневой защиты." Именно результаты этих работ и были положены в основу схемы бронирования скоростного штурмовика Ил-10 (7442).</w:t>
      </w:r>
    </w:p>
    <w:p w14:paraId="2F91225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Форма бронекорпуса Ил-10 без излишнего усложнения технологии изготовления, была значительно улучшена за счет новой компоновки водо- и мас-лорадиаторов систем охлаждения и смазки мотора, которые теперь полностью размещались в бронекорпусе за передним лонжероном центроплана под полом кабины пилота (7442).</w:t>
      </w:r>
    </w:p>
    <w:p w14:paraId="6DDF804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Охлаждение радиаторов осуществлялось наружным воздухом, поступавшим по двум туннелям: справа и слева от мотора. Вход в туннель был образован вырезом в носке центроплана и углублением в боковине капота. Правый туннель подводил воздух только к во-дорадиатору (фронтовая поверхность радиатора 8ф=33,5 дм2), а левый, имевший два рукава, - к водо- и маслора-диаторам (фронтовая поверхность мас-лорадиатора $ф=12 дм2) (7442).</w:t>
      </w:r>
    </w:p>
    <w:p w14:paraId="32491CB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Температура воды и масла регулировалась открытием бронезаслонок на выходе туннеля. Бронезаслонки (толщина брони 5 и 6 мм) управлялись с помощью механизмов УР-6 и УР-2 из кабины пилота (7442).</w:t>
      </w:r>
    </w:p>
    <w:p w14:paraId="39DFEC0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Туннели изготавливались из материала АМЦН толщиной 1,5 мм. Входные туннели несъемные - крепились заклепками к капоту, к носку и к профилям центроплана. Выходные туннели водо- и маслорадиаторов съемные - крепились на винтах. Вырез в переднем лонжероне для прохода туннелей тщательно герметизировался чехлом из прорезиненной ткани. Снизу туннели прикрывались 6-мм броней, а с боков -4-мм броневым корпусом. Со стороны заднего лонжерона туннели прикрывались броней толщиной 8 мм (7442).</w:t>
      </w:r>
    </w:p>
    <w:p w14:paraId="5E6DB36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Благодаря такому компоновочному решению обводы бронекорпуса удалось сделать более плавными, чем у Ил-2, а более выгодная в аэродинамическом отношении схема продува радиаторов позволила уменьшить их размеры и сопротивление (7442).</w:t>
      </w:r>
    </w:p>
    <w:p w14:paraId="318997B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Броневые листы соединялись при помощи толстых дюралюминовых лент на стальных заклепках и частично на анкерных гайках и болтах (7442).</w:t>
      </w:r>
    </w:p>
    <w:p w14:paraId="068D508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Общий вес брони серийного самолета Ил-10 (без крепления) равнялся 914 кг (7442).</w:t>
      </w:r>
    </w:p>
    <w:p w14:paraId="7655E0E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Отметим, что на опытном Ил-10, проходившем государственные испытания, толщина брони наиболее поражаемых участков бронекорпуса (нижние боковые и боковые стенки капота мотора) была 4 мм, бронирование стрелка и пилота было несколько сильнее -боковые бронелисты обеих кабин имели толщину 6 мм, нижний боковой бро-нелист кабины пилота имел толщину 5 мм, а сверху пилот прикрывался 8-мм бронеплитой, установленной на фонаре. Туннели водо- и маслорадиаторов со стороны заднего лонжерона прикрывались броней толщиной 10 мм. Общий вес бронедеталей на опытной машине (без узлов крепления) составлял 930 кг (7442).</w:t>
      </w:r>
    </w:p>
    <w:p w14:paraId="57A172F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C4CD3D"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040296F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2677572" w14:textId="77777777" w:rsidR="001F4816" w:rsidRPr="007224C3" w:rsidRDefault="001F481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мая в 1944 году оперативная сводка Совинформбюро:</w:t>
      </w:r>
    </w:p>
    <w:p w14:paraId="06119B31" w14:textId="77777777" w:rsidR="001F4816" w:rsidRPr="007224C3" w:rsidRDefault="001F481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2 мая на фронтах существенных изменений не произошло.</w:t>
      </w:r>
    </w:p>
    <w:p w14:paraId="6C7B552E" w14:textId="77777777" w:rsidR="001F4816" w:rsidRPr="007224C3" w:rsidRDefault="001F481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1 мая наши войска на всех фронтах подбили и уничтожили 20 немецких танков. В воздушныхбоях и огнём зенитной артиллерии сбито 36 самолётов противника.»</w:t>
      </w:r>
    </w:p>
    <w:p w14:paraId="527FB042" w14:textId="77777777" w:rsidR="001F4816" w:rsidRPr="007224C3" w:rsidRDefault="001F481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Массированный налёт нашей авиации на железнодорожный узел Львов:</w:t>
      </w:r>
    </w:p>
    <w:p w14:paraId="0799B935" w14:textId="77777777" w:rsidR="001F4816" w:rsidRPr="007224C3" w:rsidRDefault="001F481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ночь на 2 мая авиация дальнего действия произвела массированный налёт на железнодорожный узел Львов и подвергла бомбардировке скопление воинских эшелонов противника. В результате бомбардировки на железнодорожном узле возникло до 30 очагов пожаров, из них 7 особенно больших размеров. Дым пожаров поднимался на высоту 2.000 метров. Горело не менее 6 железнодорожных эшелонов с войсками и боеприпасами и военные склады противника. Среди пожаров наблюдением отмечено 12 взрывов большой силы.</w:t>
      </w:r>
    </w:p>
    <w:p w14:paraId="2F62E8F1" w14:textId="77777777" w:rsidR="001F4816" w:rsidRPr="007224C3" w:rsidRDefault="001F481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 наши самолёты вернулись на свои аэродромы.»</w:t>
      </w:r>
    </w:p>
    <w:p w14:paraId="008F325B" w14:textId="77777777" w:rsidR="001F4816" w:rsidRPr="007224C3" w:rsidRDefault="001F481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Юго-восточнее города Станислав противник на отдельных участках предпринимал атаки, пытаясь нащупать слабое место в советской обороне. Все атаки немцев отбиты. В районе одного населённого пункта бойцы Н-ской части уничтожили две роты гитлеровцев.</w:t>
      </w:r>
    </w:p>
    <w:p w14:paraId="108B8782" w14:textId="77777777" w:rsidR="001F4816" w:rsidRPr="007224C3" w:rsidRDefault="001F481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Наши лётчики наносили удары по скоплениям живой силы и техники противника. В течение дня уничтожено 15 немецких танков и самоходных орудий, 160 автомашин с войсками и грузами, 6 бензоцистерн и сожжён железнодорожный эшелон в составе 50 вагонов. В воздушных боях сбито 13 немецких самолётов.</w:t>
      </w:r>
    </w:p>
    <w:p w14:paraId="53DA2D6A" w14:textId="77777777" w:rsidR="001F4816" w:rsidRPr="007224C3" w:rsidRDefault="001F481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Южнее города Тирасполь подразделения Н-ской части вели боевую разведку и выбили немцев из окопов передней линии обороны. Попытки противника восстановить положение успеха не имели. Наши бойцы отразили вражескую атаку и уничтожали до 400 немецких солдат и офицеров.</w:t>
      </w:r>
    </w:p>
    <w:p w14:paraId="740D20C5" w14:textId="77777777" w:rsidR="001F4816" w:rsidRPr="007224C3" w:rsidRDefault="001F481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одном участке 3-го Украинского фронта на сторону Красной Армии перешла вполном составе 4 гаубичная батарея 1 словацкой мотодивизии. Командир батареи передал Н-ской советской части четыре гаубицы, боеприпасы, карабины ипистолеты.</w:t>
      </w:r>
    </w:p>
    <w:p w14:paraId="36AF253F" w14:textId="77777777" w:rsidR="001F4816" w:rsidRPr="007224C3" w:rsidRDefault="001F481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Воздушная разведка Черноморского флота обнаружила несколько судов противника, следовавших из Севастополя к берегам Румынии. Наши лётчики нанесли бомбово-штурмовой удар по вражеским судам и потопили буксир, две десантные баржии два сторожевых катера. Прямым попаданием бомб серьёзно повреждён транспорт противника водоизмещением в 800 тонн.</w:t>
      </w:r>
    </w:p>
    <w:p w14:paraId="7834A924" w14:textId="77777777" w:rsidR="001F4816" w:rsidRPr="007224C3" w:rsidRDefault="001F481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Несколько вилейских партизанских отрядов в апреле месяце пустили под откос 11 воинских эшелонов и один бронепоезд противника. Кроме того, советские патриоты взорвали 18 мостов на шоссейных дорогах и вырезали 60 километров телеграфно-телефонной линии связи. Партизанский отряд, действующий в Минской области, напал на немецкий конвой, угонявший мирных жителей на каторгу в Германию. Партизаны перебили гитлеровцев и освободили от немецкого рабства более 200 советских граждан.</w:t>
      </w:r>
    </w:p>
    <w:p w14:paraId="1749C051" w14:textId="77777777" w:rsidR="001F4816" w:rsidRPr="007224C3" w:rsidRDefault="001F481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Первомайский приказ Верховного Главнокомандующего Маршала Советского Союзатоварища Сталина вызвал огромное воодушевление в городах и сёлах нашей великой Родины. На собраниях и митингах рабочие, колхозники и представители советской интеллигенции единодушно заявляют о своей непреклонной решимости героическим трудом помочь Красной Армии полностью сокрушить гитлеровскую Германию.</w:t>
      </w:r>
    </w:p>
    <w:p w14:paraId="0363AF2F" w14:textId="77777777" w:rsidR="001F4816" w:rsidRPr="007224C3" w:rsidRDefault="001F481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Москве на заводе, где директором тов. Гонобоблев, на собрании рабочих выступила начальник ночной смены Мария Жгулова. Она сказала: «Товарищ Сталин дал высокую оценку работе советского тыла. В трудных условиях военного времени наш народ обеспечил Красную Армию вооружением, боеприпасами, обмундированием и продовольствием. Мы утроим наши усилия и поможем нашим славным советским воинам очистить от немецких захватчиков всю нашу землю и окончательно добить фашистскую гадину».</w:t>
      </w:r>
    </w:p>
    <w:p w14:paraId="224443B1" w14:textId="77777777" w:rsidR="001F4816" w:rsidRPr="007224C3" w:rsidRDefault="001F481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городе Баку на митинге рабочих промысла треста «Кагановичнефть» взволнованную речь произнёс знатный мастер тов. Гусейнов: «Дорогие товарищи! —сказал он, — все мы слушали приказ любимого вождя. Каждое его слово запало в наши сердца. Товарищ Сталин призывает Красную Армию преследовать раненого фашистского зверя по пятам и добить его в его собственной берлоге. Для советских людей нет сейчас более почётной и благородной задачи. Наш промысел перевыполнил свои предмайские обязательства и добыл свыше 10 тысяч тонн нефти сверх плана. В ответ на приказ товарища Сталина мы будем работать ещё лучше». Коллектив промысла обязался досрочно выполнить полугодовое задание и к первому июля дать 15.500 тонн нефти сверх плана.</w:t>
      </w:r>
    </w:p>
    <w:p w14:paraId="2FE597D2" w14:textId="77777777" w:rsidR="001F4816" w:rsidRPr="007224C3" w:rsidRDefault="001F481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сельскохозяйственной артели «Голубое Озеро», Исаклинского района, Куйбышевской области, состоялось собрание колхозников. Бригадир тов. Ингерясов сказал: «В прошлом году наш колхоз хорошо поработал и полностью выполнил обязательства перед государством по всем видам поставок. Мы, колхозники, заверяем товарища Сталина, что в этом году дадим фронту и стране ещё больше продовольствия».</w:t>
      </w:r>
    </w:p>
    <w:p w14:paraId="15FE27D0" w14:textId="77777777" w:rsidR="001F4816" w:rsidRPr="007224C3" w:rsidRDefault="001F481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исключительным подъёмом трудились первого мая колхозники Октябрьского района, Калининской области. За день они засеяли овсом и льном более ста гектаров. Колхоз «Красный Пахарь» завершил посев льна. Успешно идёт весенний сев в Зубцовском и других районах Калининской области, освобождённых от немецко-фашистских захватчиков.»</w:t>
      </w:r>
    </w:p>
    <w:p w14:paraId="524A05D7" w14:textId="77777777" w:rsidR="001F4816" w:rsidRPr="007224C3" w:rsidRDefault="001F4816" w:rsidP="007224C3">
      <w:pPr>
        <w:spacing w:after="0" w:line="240" w:lineRule="auto"/>
        <w:jc w:val="both"/>
        <w:rPr>
          <w:rFonts w:ascii="Times New Roman" w:hAnsi="Times New Roman"/>
          <w:color w:val="000000" w:themeColor="text1"/>
          <w:sz w:val="16"/>
          <w:szCs w:val="16"/>
        </w:rPr>
      </w:pPr>
    </w:p>
    <w:p w14:paraId="7CCEFA8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мая 1944 согласно Совинформбюро а нанесла массированные удары по аэродромам в районах Станислава, Львова и Романа (Румыния) и уничтожила до 90 самолетов (438,903).</w:t>
      </w:r>
    </w:p>
    <w:p w14:paraId="2B6EA6D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03B28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мая 1944 года 24 Ла-5ФН 113-го гвардейского иап под командованием подполковника С.И. Черткова поднялись с аэродрома Черновцы и взяли курс на Станислав. Ударная группа из 12 Ла-5, ведомая помощником командира полка капитаном А.Н. Григоренко, проштур- мовала аэродром противника и поднялась на 2000 м, ожидая подхода Ил-2 под прикрытием еще 12 истребителей. В это время в воздухе появились восемь Bf 109, а через некоторое время еще 16. Подполковник С.И. Чертков, направив свою группу в атаку, расстроил боевой порядок противника, недосчитавшегося шести машин. Две из них уничтожил командир (12032).</w:t>
      </w:r>
    </w:p>
    <w:p w14:paraId="5BE44A1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FFA5F6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мая 1944 авиация ЧМФ, совершив 172 самолетовылета, нанесла 5 последовательных ударов по конвою западнее Херсонеса, потопив 4 транспорта, 2 больших десантных и одну сухогрузную баржи и сторожевой катер. Сбили 5 самолетов, потеряв 1. П/л М-62 (Н.И.Малышев) там же потопила транспорт 3000 т из другого конвоя (3398,168).</w:t>
      </w:r>
    </w:p>
    <w:p w14:paraId="232A6AC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4F19E7" w14:textId="77777777" w:rsidR="00962976" w:rsidRPr="007224C3" w:rsidRDefault="00962976" w:rsidP="007224C3">
      <w:pPr>
        <w:pStyle w:val="ae"/>
        <w:shd w:val="clear" w:color="auto" w:fill="FFFFFF"/>
        <w:spacing w:before="0" w:after="0"/>
        <w:jc w:val="both"/>
        <w:rPr>
          <w:color w:val="000000" w:themeColor="text1"/>
          <w:sz w:val="16"/>
          <w:szCs w:val="16"/>
        </w:rPr>
      </w:pPr>
      <w:r w:rsidRPr="007224C3">
        <w:rPr>
          <w:color w:val="000000" w:themeColor="text1"/>
          <w:sz w:val="16"/>
          <w:szCs w:val="16"/>
        </w:rPr>
        <w:t>До 2 мая 1944 года Шамин находился при 13-м гв. ттп на ИС-1, после чего отбыл на НИБТ Полигон.</w:t>
      </w:r>
    </w:p>
    <w:p w14:paraId="4EA182F1" w14:textId="77777777" w:rsidR="00962976" w:rsidRPr="007224C3" w:rsidRDefault="00962976" w:rsidP="007224C3">
      <w:pPr>
        <w:pStyle w:val="ae"/>
        <w:shd w:val="clear" w:color="auto" w:fill="FFFFFF"/>
        <w:spacing w:before="0" w:after="0"/>
        <w:jc w:val="both"/>
        <w:rPr>
          <w:color w:val="000000" w:themeColor="text1"/>
          <w:sz w:val="16"/>
          <w:szCs w:val="16"/>
        </w:rPr>
      </w:pPr>
      <w:r w:rsidRPr="007224C3">
        <w:rPr>
          <w:color w:val="000000" w:themeColor="text1"/>
          <w:sz w:val="16"/>
          <w:szCs w:val="16"/>
        </w:rPr>
        <w:t xml:space="preserve">Безвозвратные потери 13-го ГвТТП составили 2 танка. Остальные были либо подбиты, либо потеряны в результате неисправностей. Один танк утонул при переезде через мост в районе села Полковничье, его экипаж погиб, а машину позже эвакуировали. </w:t>
      </w:r>
    </w:p>
    <w:p w14:paraId="25293118" w14:textId="77777777" w:rsidR="00962976" w:rsidRPr="007224C3" w:rsidRDefault="00962976" w:rsidP="007224C3">
      <w:pPr>
        <w:pStyle w:val="ae"/>
        <w:shd w:val="clear" w:color="auto" w:fill="FFFFFF"/>
        <w:spacing w:before="0" w:after="0"/>
        <w:jc w:val="both"/>
        <w:rPr>
          <w:color w:val="000000" w:themeColor="text1"/>
          <w:sz w:val="16"/>
          <w:szCs w:val="16"/>
        </w:rPr>
      </w:pPr>
      <w:r w:rsidRPr="007224C3">
        <w:rPr>
          <w:color w:val="000000" w:themeColor="text1"/>
          <w:sz w:val="16"/>
          <w:szCs w:val="16"/>
        </w:rPr>
        <w:t>Инженер-майор составил подробный доклад, причём заключение оказалось отнюдь не положительным:</w:t>
      </w:r>
    </w:p>
    <w:p w14:paraId="384D1B85" w14:textId="77777777" w:rsidR="00962976" w:rsidRPr="007224C3" w:rsidRDefault="00962976" w:rsidP="007224C3">
      <w:pPr>
        <w:pStyle w:val="ae"/>
        <w:shd w:val="clear" w:color="auto" w:fill="FFFFFF"/>
        <w:spacing w:before="0" w:after="0"/>
        <w:jc w:val="both"/>
        <w:rPr>
          <w:color w:val="000000" w:themeColor="text1"/>
          <w:sz w:val="16"/>
          <w:szCs w:val="16"/>
        </w:rPr>
      </w:pPr>
      <w:r w:rsidRPr="007224C3">
        <w:rPr>
          <w:iCs/>
          <w:color w:val="000000" w:themeColor="text1"/>
          <w:sz w:val="16"/>
          <w:szCs w:val="16"/>
        </w:rPr>
        <w:t>«1. Тяжёлый танк ИС-85 на современном этапе войны не имеет достаточных преимуществ в борьбе с тяжёлыми танками противника.</w:t>
      </w:r>
    </w:p>
    <w:p w14:paraId="012580D5" w14:textId="77777777" w:rsidR="00962976" w:rsidRPr="007224C3" w:rsidRDefault="00962976" w:rsidP="007224C3">
      <w:pPr>
        <w:pStyle w:val="ae"/>
        <w:shd w:val="clear" w:color="auto" w:fill="FFFFFF"/>
        <w:spacing w:before="0" w:after="0"/>
        <w:jc w:val="both"/>
        <w:rPr>
          <w:color w:val="000000" w:themeColor="text1"/>
          <w:sz w:val="16"/>
          <w:szCs w:val="16"/>
        </w:rPr>
      </w:pPr>
      <w:r w:rsidRPr="007224C3">
        <w:rPr>
          <w:iCs/>
          <w:color w:val="000000" w:themeColor="text1"/>
          <w:sz w:val="16"/>
          <w:szCs w:val="16"/>
        </w:rPr>
        <w:t>Боевые качества танка ИС-85 значительно снижены рядом существенных конструктивных и производственных недостатков:</w:t>
      </w:r>
    </w:p>
    <w:p w14:paraId="16CC11BF" w14:textId="77777777" w:rsidR="00962976" w:rsidRPr="007224C3" w:rsidRDefault="00962976" w:rsidP="007224C3">
      <w:pPr>
        <w:pStyle w:val="ae"/>
        <w:shd w:val="clear" w:color="auto" w:fill="FFFFFF"/>
        <w:spacing w:before="0" w:after="0"/>
        <w:jc w:val="both"/>
        <w:rPr>
          <w:color w:val="000000" w:themeColor="text1"/>
          <w:sz w:val="16"/>
          <w:szCs w:val="16"/>
        </w:rPr>
      </w:pPr>
      <w:r w:rsidRPr="007224C3">
        <w:rPr>
          <w:iCs/>
          <w:color w:val="000000" w:themeColor="text1"/>
          <w:sz w:val="16"/>
          <w:szCs w:val="16"/>
        </w:rPr>
        <w:t>а) несоответствие вооружения ИС-85 тяжёлым танкам, применяемым противником;</w:t>
      </w:r>
    </w:p>
    <w:p w14:paraId="2DD17FDD" w14:textId="77777777" w:rsidR="00962976" w:rsidRPr="007224C3" w:rsidRDefault="00962976" w:rsidP="007224C3">
      <w:pPr>
        <w:pStyle w:val="ae"/>
        <w:shd w:val="clear" w:color="auto" w:fill="FFFFFF"/>
        <w:spacing w:before="0" w:after="0"/>
        <w:jc w:val="both"/>
        <w:rPr>
          <w:color w:val="000000" w:themeColor="text1"/>
          <w:sz w:val="16"/>
          <w:szCs w:val="16"/>
        </w:rPr>
      </w:pPr>
      <w:r w:rsidRPr="007224C3">
        <w:rPr>
          <w:iCs/>
          <w:color w:val="000000" w:themeColor="text1"/>
          <w:sz w:val="16"/>
          <w:szCs w:val="16"/>
        </w:rPr>
        <w:t>б) недостаточная броневая защита передней части корпуса и башни танка;</w:t>
      </w:r>
    </w:p>
    <w:p w14:paraId="59231E75" w14:textId="77777777" w:rsidR="00962976" w:rsidRPr="007224C3" w:rsidRDefault="00962976" w:rsidP="007224C3">
      <w:pPr>
        <w:pStyle w:val="ae"/>
        <w:shd w:val="clear" w:color="auto" w:fill="FFFFFF"/>
        <w:spacing w:before="0" w:after="0"/>
        <w:jc w:val="both"/>
        <w:rPr>
          <w:color w:val="000000" w:themeColor="text1"/>
          <w:sz w:val="16"/>
          <w:szCs w:val="16"/>
        </w:rPr>
      </w:pPr>
      <w:r w:rsidRPr="007224C3">
        <w:rPr>
          <w:iCs/>
          <w:color w:val="000000" w:themeColor="text1"/>
          <w:sz w:val="16"/>
          <w:szCs w:val="16"/>
        </w:rPr>
        <w:t>в) отсутствие быстродействующих средств запуска двигателя и ненадежность электроинерционного стартера;</w:t>
      </w:r>
    </w:p>
    <w:p w14:paraId="3354568B" w14:textId="77777777" w:rsidR="00962976" w:rsidRPr="007224C3" w:rsidRDefault="00962976" w:rsidP="007224C3">
      <w:pPr>
        <w:pStyle w:val="ae"/>
        <w:shd w:val="clear" w:color="auto" w:fill="FFFFFF"/>
        <w:spacing w:before="0" w:after="0"/>
        <w:jc w:val="both"/>
        <w:rPr>
          <w:color w:val="000000" w:themeColor="text1"/>
          <w:sz w:val="16"/>
          <w:szCs w:val="16"/>
        </w:rPr>
      </w:pPr>
      <w:r w:rsidRPr="007224C3">
        <w:rPr>
          <w:iCs/>
          <w:color w:val="000000" w:themeColor="text1"/>
          <w:sz w:val="16"/>
          <w:szCs w:val="16"/>
        </w:rPr>
        <w:t>г) недостаточная надёжность механизма переключения передач, ходовой части и подшипников ведущего вала бортовых передач;</w:t>
      </w:r>
    </w:p>
    <w:p w14:paraId="4588E12C" w14:textId="77777777" w:rsidR="00962976" w:rsidRPr="007224C3" w:rsidRDefault="00962976" w:rsidP="007224C3">
      <w:pPr>
        <w:pStyle w:val="ae"/>
        <w:shd w:val="clear" w:color="auto" w:fill="FFFFFF"/>
        <w:spacing w:before="0" w:after="0"/>
        <w:jc w:val="both"/>
        <w:rPr>
          <w:color w:val="000000" w:themeColor="text1"/>
          <w:sz w:val="16"/>
          <w:szCs w:val="16"/>
        </w:rPr>
      </w:pPr>
      <w:r w:rsidRPr="007224C3">
        <w:rPr>
          <w:iCs/>
          <w:color w:val="000000" w:themeColor="text1"/>
          <w:sz w:val="16"/>
          <w:szCs w:val="16"/>
        </w:rPr>
        <w:t>д) неудовлетворительное качество сварных соединений;</w:t>
      </w:r>
    </w:p>
    <w:p w14:paraId="2F33242F" w14:textId="77777777" w:rsidR="00962976" w:rsidRPr="007224C3" w:rsidRDefault="00962976" w:rsidP="007224C3">
      <w:pPr>
        <w:pStyle w:val="ae"/>
        <w:shd w:val="clear" w:color="auto" w:fill="FFFFFF"/>
        <w:spacing w:before="0" w:after="0"/>
        <w:jc w:val="both"/>
        <w:rPr>
          <w:color w:val="000000" w:themeColor="text1"/>
          <w:sz w:val="16"/>
          <w:szCs w:val="16"/>
        </w:rPr>
      </w:pPr>
      <w:r w:rsidRPr="007224C3">
        <w:rPr>
          <w:iCs/>
          <w:color w:val="000000" w:themeColor="text1"/>
          <w:sz w:val="16"/>
          <w:szCs w:val="16"/>
        </w:rPr>
        <w:t>е) малый запас хода танка по просёлку и целине;</w:t>
      </w:r>
    </w:p>
    <w:p w14:paraId="57FFF8B0" w14:textId="77777777" w:rsidR="00962976" w:rsidRPr="007224C3" w:rsidRDefault="00962976" w:rsidP="007224C3">
      <w:pPr>
        <w:pStyle w:val="ae"/>
        <w:shd w:val="clear" w:color="auto" w:fill="FFFFFF"/>
        <w:spacing w:before="0" w:after="0"/>
        <w:jc w:val="both"/>
        <w:rPr>
          <w:color w:val="000000" w:themeColor="text1"/>
          <w:sz w:val="16"/>
          <w:szCs w:val="16"/>
        </w:rPr>
      </w:pPr>
      <w:r w:rsidRPr="007224C3">
        <w:rPr>
          <w:iCs/>
          <w:color w:val="000000" w:themeColor="text1"/>
          <w:sz w:val="16"/>
          <w:szCs w:val="16"/>
        </w:rPr>
        <w:t>ж) ненадёжность средств обогрева двигателя;</w:t>
      </w:r>
    </w:p>
    <w:p w14:paraId="11F45B12" w14:textId="77777777" w:rsidR="00962976" w:rsidRPr="007224C3" w:rsidRDefault="00962976" w:rsidP="007224C3">
      <w:pPr>
        <w:pStyle w:val="ae"/>
        <w:shd w:val="clear" w:color="auto" w:fill="FFFFFF"/>
        <w:spacing w:before="0" w:after="0"/>
        <w:jc w:val="both"/>
        <w:rPr>
          <w:color w:val="000000" w:themeColor="text1"/>
          <w:sz w:val="16"/>
          <w:szCs w:val="16"/>
        </w:rPr>
      </w:pPr>
      <w:r w:rsidRPr="007224C3">
        <w:rPr>
          <w:iCs/>
          <w:color w:val="000000" w:themeColor="text1"/>
          <w:sz w:val="16"/>
          <w:szCs w:val="16"/>
        </w:rPr>
        <w:t>з) недостаточный запас хода танка по топливу.</w:t>
      </w:r>
    </w:p>
    <w:p w14:paraId="665680ED" w14:textId="77777777" w:rsidR="00962976" w:rsidRPr="007224C3" w:rsidRDefault="00962976" w:rsidP="007224C3">
      <w:pPr>
        <w:pStyle w:val="ae"/>
        <w:shd w:val="clear" w:color="auto" w:fill="FFFFFF"/>
        <w:spacing w:before="0" w:after="0"/>
        <w:jc w:val="both"/>
        <w:rPr>
          <w:color w:val="000000" w:themeColor="text1"/>
          <w:sz w:val="16"/>
          <w:szCs w:val="16"/>
        </w:rPr>
      </w:pPr>
      <w:r w:rsidRPr="007224C3">
        <w:rPr>
          <w:iCs/>
          <w:color w:val="000000" w:themeColor="text1"/>
          <w:sz w:val="16"/>
          <w:szCs w:val="16"/>
        </w:rPr>
        <w:t>2. В целях повышения боевых качеств тяжёлого танка ИС-85 необходимо:</w:t>
      </w:r>
    </w:p>
    <w:p w14:paraId="1F9CF791" w14:textId="77777777" w:rsidR="00962976" w:rsidRPr="007224C3" w:rsidRDefault="00962976" w:rsidP="007224C3">
      <w:pPr>
        <w:pStyle w:val="ae"/>
        <w:shd w:val="clear" w:color="auto" w:fill="FFFFFF"/>
        <w:spacing w:before="0" w:after="0"/>
        <w:jc w:val="both"/>
        <w:rPr>
          <w:color w:val="000000" w:themeColor="text1"/>
          <w:sz w:val="16"/>
          <w:szCs w:val="16"/>
        </w:rPr>
      </w:pPr>
      <w:r w:rsidRPr="007224C3">
        <w:rPr>
          <w:iCs/>
          <w:color w:val="000000" w:themeColor="text1"/>
          <w:sz w:val="16"/>
          <w:szCs w:val="16"/>
        </w:rPr>
        <w:t>а) установить на танк, вместо пушки Д5-Т-85, более мощную артсистему;</w:t>
      </w:r>
    </w:p>
    <w:p w14:paraId="63D225A1" w14:textId="77777777" w:rsidR="00962976" w:rsidRPr="007224C3" w:rsidRDefault="00962976" w:rsidP="007224C3">
      <w:pPr>
        <w:pStyle w:val="ae"/>
        <w:shd w:val="clear" w:color="auto" w:fill="FFFFFF"/>
        <w:spacing w:before="0" w:after="0"/>
        <w:jc w:val="both"/>
        <w:rPr>
          <w:color w:val="000000" w:themeColor="text1"/>
          <w:sz w:val="16"/>
          <w:szCs w:val="16"/>
        </w:rPr>
      </w:pPr>
      <w:r w:rsidRPr="007224C3">
        <w:rPr>
          <w:iCs/>
          <w:color w:val="000000" w:themeColor="text1"/>
          <w:sz w:val="16"/>
          <w:szCs w:val="16"/>
        </w:rPr>
        <w:t>б) усилить броневую защиту передней части корпуса и башни за счёт применения большего угла наклона брони и брони высокого качества;</w:t>
      </w:r>
    </w:p>
    <w:p w14:paraId="0FFA74EC" w14:textId="77777777" w:rsidR="00962976" w:rsidRPr="007224C3" w:rsidRDefault="00962976" w:rsidP="007224C3">
      <w:pPr>
        <w:pStyle w:val="ae"/>
        <w:shd w:val="clear" w:color="auto" w:fill="FFFFFF"/>
        <w:spacing w:before="0" w:after="0"/>
        <w:jc w:val="both"/>
        <w:rPr>
          <w:color w:val="000000" w:themeColor="text1"/>
          <w:sz w:val="16"/>
          <w:szCs w:val="16"/>
        </w:rPr>
      </w:pPr>
      <w:r w:rsidRPr="007224C3">
        <w:rPr>
          <w:iCs/>
          <w:color w:val="000000" w:themeColor="text1"/>
          <w:sz w:val="16"/>
          <w:szCs w:val="16"/>
        </w:rPr>
        <w:t>в) повысить надёжность работы механизмов и агрегатов танка путём устранения конструктивных и производственных недостатков, отмеченных в отчёте;</w:t>
      </w:r>
    </w:p>
    <w:p w14:paraId="166436A3" w14:textId="77777777" w:rsidR="00962976" w:rsidRPr="007224C3" w:rsidRDefault="00962976" w:rsidP="007224C3">
      <w:pPr>
        <w:pStyle w:val="ae"/>
        <w:shd w:val="clear" w:color="auto" w:fill="FFFFFF"/>
        <w:spacing w:before="0" w:after="0"/>
        <w:jc w:val="both"/>
        <w:rPr>
          <w:iCs/>
          <w:color w:val="000000" w:themeColor="text1"/>
          <w:sz w:val="16"/>
          <w:szCs w:val="16"/>
        </w:rPr>
      </w:pPr>
      <w:r w:rsidRPr="007224C3">
        <w:rPr>
          <w:iCs/>
          <w:color w:val="000000" w:themeColor="text1"/>
          <w:sz w:val="16"/>
          <w:szCs w:val="16"/>
        </w:rPr>
        <w:t>г) улучшить практическую подготовку экипажей».</w:t>
      </w:r>
    </w:p>
    <w:p w14:paraId="1D90C7D6" w14:textId="77777777" w:rsidR="00962976" w:rsidRPr="007224C3" w:rsidRDefault="00962976" w:rsidP="007224C3">
      <w:pPr>
        <w:pStyle w:val="ae"/>
        <w:shd w:val="clear" w:color="auto" w:fill="FFFFFF"/>
        <w:spacing w:before="0" w:after="0"/>
        <w:jc w:val="both"/>
        <w:rPr>
          <w:color w:val="000000" w:themeColor="text1"/>
          <w:sz w:val="16"/>
          <w:szCs w:val="16"/>
        </w:rPr>
      </w:pPr>
      <w:r w:rsidRPr="007224C3">
        <w:rPr>
          <w:color w:val="000000" w:themeColor="text1"/>
          <w:sz w:val="16"/>
          <w:szCs w:val="16"/>
        </w:rPr>
        <w:t xml:space="preserve">Отчёт немного запоздал. Дело в том, что 10 марта 1944 года, меньше чем через месяц после первого применения ИС-1, состоялся боевой дебют ИС-2. Он оказался куда более успешным. Тем не менее составленный Шаминым отчёт серьёзно повлиял на дальнейшее развитие танков семейства ИС. Характер поражений носовой части корпуса однозначно указывал на необходимость её переделки. Ещё до возвращения Шамина из командировки об этом писали и другие специалисты НИБТ Полигона </w:t>
      </w:r>
      <w:r w:rsidRPr="007224C3">
        <w:rPr>
          <w:iCs/>
          <w:color w:val="000000" w:themeColor="text1"/>
          <w:sz w:val="16"/>
          <w:szCs w:val="16"/>
        </w:rPr>
        <w:t xml:space="preserve"> (17715).</w:t>
      </w:r>
    </w:p>
    <w:p w14:paraId="564F0E32" w14:textId="77777777" w:rsidR="00962976" w:rsidRPr="007224C3" w:rsidRDefault="00962976" w:rsidP="007224C3">
      <w:pPr>
        <w:pStyle w:val="123"/>
        <w:shd w:val="clear" w:color="auto" w:fill="auto"/>
        <w:spacing w:after="0" w:line="240" w:lineRule="auto"/>
        <w:jc w:val="both"/>
        <w:rPr>
          <w:color w:val="000000" w:themeColor="text1"/>
          <w:sz w:val="16"/>
          <w:szCs w:val="16"/>
        </w:rPr>
      </w:pPr>
    </w:p>
    <w:p w14:paraId="31E06982"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093C75C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F7FD737"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2 мая 1944 в английской газете “Дейли телеграф” в кроссворде были загаданы названия двух кораблей, готовящихся к вторжению в Нормандию (что было большой </w:t>
      </w:r>
      <w:r w:rsidRPr="007224C3">
        <w:rPr>
          <w:rFonts w:ascii="Times New Roman" w:hAnsi="Times New Roman"/>
          <w:color w:val="000000" w:themeColor="text1"/>
          <w:sz w:val="16"/>
          <w:szCs w:val="16"/>
        </w:rPr>
        <w:lastRenderedPageBreak/>
        <w:t>военной тайной) (4962).</w:t>
      </w:r>
    </w:p>
    <w:p w14:paraId="16705D75"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FBE0A5F"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68A0D98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DC68D39"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мая 1944 вышло Постановление ГКО № 5798 О выделении самолетов У-2 Главному управлению Гражданского воздушного флота. (7227, 139).</w:t>
      </w:r>
    </w:p>
    <w:p w14:paraId="4524BAD8"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D20C31E"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5CEA16C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B79026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мая 1944 г. по приказу № 305с/0350с площадка № 3 бывшего завода № 234 (ГС Завод № 234 НКОП, НКАП, Электромеханический завод «В. Савельев и К°», Товарищество «БИП и Савельев», АО Соединенных электромеханических заводов, Государственный электромеханический завод «Красный октябрь», Ленинградский государственный машиностроительный завод «Красный Октябрь» НКТП, НКОП, НКСМ, Государственный электромеханический и подъемных сооружений завод «Красный Октябрь» /г. Петербург,  г. Петроград,  г. Ленинград/) передана в НКВМФ, где образован завод № 55.</w:t>
      </w:r>
    </w:p>
    <w:p w14:paraId="0C5DD3A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двух площадках завода № 234 НКАП в соответствии с приказом НКАП № 584с от 22.09.1944 г. образован Завод № 274 НКАП.</w:t>
      </w:r>
    </w:p>
    <w:p w14:paraId="068E7EC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площадке на Обводном канале после эвакуации завода действовала авторемонтная база Военведа по ремонту танков. В соответствии с пост. ГКО № 6639с от 1.10.1944 г. и приказом № 605с от 23.10.1944 г. здесь организован Завод № 283 НКАП (11982).</w:t>
      </w:r>
    </w:p>
    <w:p w14:paraId="23A22D2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FA9EB23"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54AE4E4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DFD7B84" w14:textId="77777777" w:rsidR="001F4816" w:rsidRPr="007224C3" w:rsidRDefault="001F481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мая в 1944 году оперативная сводка Совинформбюро:</w:t>
      </w:r>
    </w:p>
    <w:p w14:paraId="4078579C" w14:textId="77777777" w:rsidR="001F4816" w:rsidRPr="007224C3" w:rsidRDefault="001F481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3 мая на фронтах существенных изменений не произошло.</w:t>
      </w:r>
    </w:p>
    <w:p w14:paraId="63C5E1A6" w14:textId="77777777" w:rsidR="001F4816" w:rsidRPr="007224C3" w:rsidRDefault="001F481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2 мая наши войска на всех фронтах подбили и уничтожили 58 немецких танков. В воздушных боях и огнём зенитной артиллерии сбито 38 самолётов противника.»</w:t>
      </w:r>
    </w:p>
    <w:p w14:paraId="396E7F50" w14:textId="77777777" w:rsidR="001F4816" w:rsidRPr="007224C3" w:rsidRDefault="001F481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Бомбардировка нашей авиацией железнодорожных узлов Львов и Самбор:</w:t>
      </w:r>
    </w:p>
    <w:p w14:paraId="5F16EA04" w14:textId="77777777" w:rsidR="001F4816" w:rsidRPr="007224C3" w:rsidRDefault="001F481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ночь на 3 мая наша авиация дальнего действия подвергла бомбардировке скопления немецких воинских эшелонов на железнодорожных узлах Львов иСамбор.</w:t>
      </w:r>
    </w:p>
    <w:p w14:paraId="0D1C8003" w14:textId="77777777" w:rsidR="001F4816" w:rsidRPr="007224C3" w:rsidRDefault="001F481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железнодорожном узле Львов бомбардировкой создано до 20 очагов пожаров, в том числе 5 особенно больших размеров. Пожары сопровождались взрывами. Взрыв огромной силы произошёл в центральной части железнодорожного узла.</w:t>
      </w:r>
    </w:p>
    <w:p w14:paraId="19679D6D" w14:textId="77777777" w:rsidR="001F4816" w:rsidRPr="007224C3" w:rsidRDefault="001F481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железнодорожном узле Самбор в результате бомбардировки также возникли крупные пожары. Горели вагоны и платформы на путях, а также только что прибывший железнодорожный эшелон. Пожар эшелона сопровождался взрывами яркого пламени.»</w:t>
      </w:r>
    </w:p>
    <w:p w14:paraId="370F2A20" w14:textId="77777777" w:rsidR="001F4816" w:rsidRPr="007224C3" w:rsidRDefault="001F481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Удары нашей авиации по аэродромам противника в районах Станислав, Львов, Роман:</w:t>
      </w:r>
    </w:p>
    <w:p w14:paraId="5BCFEB0F" w14:textId="77777777" w:rsidR="001F4816" w:rsidRPr="007224C3" w:rsidRDefault="001F481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мая крупные соединения нашей авиации нанесли массированный удар по аэродромам противника в районах Станислав, Львов, Роман (Румыния). В момент налёта на этих аэродромах находилось много немецких самолётов. В результате бомбово-штурмовых ударов уничтожено более 90 самолётов противника.»</w:t>
      </w:r>
    </w:p>
    <w:p w14:paraId="52798BB2" w14:textId="77777777" w:rsidR="001F4816" w:rsidRPr="007224C3" w:rsidRDefault="001F481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«Юго-восточнее города Станислав бойцы Н-ского соединения, отражая атаки противника, сожгли и подбили 8 танков, 2 самоходных орудия и уничтожили до 400 немецких солдат и офицеров. На другом участке наши разведчики проникли в тыл противника и ворвались в его траншеи. В короткой рукопашной схватке уничтожено несколько десятков гитлеровцев. Захватив пленных, разведчики вернулись в свою часть.</w:t>
      </w:r>
    </w:p>
    <w:p w14:paraId="1BF0FF10" w14:textId="77777777" w:rsidR="001F4816" w:rsidRPr="007224C3" w:rsidRDefault="001F481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Южнее города Тирасполь противник предпринял атаку, стремясь вернуть потерянные им позиции. Советские бойцы встретили немцев метким огнём и вынудили их поспешно отступить. На поле боя осталось более 200 вражеских трупов. Зенитчики Н-ской части, охраняя переправу через реку Днестр, за три дня сбили 11 немецких самолётов.</w:t>
      </w:r>
    </w:p>
    <w:p w14:paraId="0775C2A9" w14:textId="77777777" w:rsidR="001F4816" w:rsidRPr="007224C3" w:rsidRDefault="001F481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Авиация 2 Украинского фронта бомбардировала скопления войск и техники противника. В результате боевых действий наши лётчики уничтожили большое число танков и автомашин, подавили огонь 16 артиллерийских и миномётных батарей и взорвали несколько складов боеприпасов. В воздушных боях сбито 24 немецких самолёта.</w:t>
      </w:r>
    </w:p>
    <w:p w14:paraId="4BB98990" w14:textId="77777777" w:rsidR="001F4816" w:rsidRPr="007224C3" w:rsidRDefault="001F481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Четыре партизанских отряда, действующих в Барановичской области, за месяц пустили под откос 14 эшелонов противника. Разбито 180 вагонов и платформ свойсками и грузами. Группа барановичских партизан внезапно напала на немецкий гарнизон в одном населённом пункте. Советские патриоты уничтожили до роты гитлеровцев. Захваченное у немцев продовольствие партизаны роздали местным жителям.</w:t>
      </w:r>
    </w:p>
    <w:p w14:paraId="27DF2DAF" w14:textId="77777777" w:rsidR="001F4816" w:rsidRPr="007224C3" w:rsidRDefault="001F481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Первомайский приказ Верховного Главнокомандующего Маршала Советского Союза товарища Сталина вызвал новый могучий патриотический подъём в частях КраснойАрмии и Военно-Морского Флота. В тыловых и прифронтовых гарнизонах, а также на тех участках фронта, где это позволяла военная обстановка, состоялись массовые митинги бойцов и офицеров Красной Армии.</w:t>
      </w:r>
    </w:p>
    <w:p w14:paraId="37E85A48" w14:textId="77777777" w:rsidR="001F4816" w:rsidRPr="007224C3" w:rsidRDefault="001F481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Ленинградском фронте на митинге в Н-ском полку выступил майор т. Филичкин, награждённый орденом Красного Знамени и орденом Суворова 3-й степени. «КраснаяАрмия, — заявил т. Филичкин, — нанесла немцам тяжёлые поражения. Под ударами советских войск трещит и разваливается блок фашистских государств. Красная Армия и армии наших союзников совместными усилиями окончательно сокрушат гитлеровскую Германию».</w:t>
      </w:r>
    </w:p>
    <w:p w14:paraId="67DC4F79" w14:textId="77777777" w:rsidR="001F4816" w:rsidRPr="007224C3" w:rsidRDefault="001F481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митинге в другом полку с речью выступил рядовой т. Юсупов. «У меня девять братьев, — сказал т. Юсупов, — и семь из них сражаются на фронтах. Все вместе мы истребили уже много немцев. Я клянусь товарищу Сталину, что буду в впредь беспощадно уничтожать гитлеровскую нечисть».</w:t>
      </w:r>
    </w:p>
    <w:p w14:paraId="09E1D490" w14:textId="77777777" w:rsidR="001F4816" w:rsidRPr="007224C3" w:rsidRDefault="001F481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2-м Прибалтийском фронте на митинге в Н-ской гвардейской части кавалер ордена Славы третьей степени гвардии ефрейтор т. Галимов заявил: «Товарищ Сталин приказал очистить от фашистских захватчиков всю нашу землю и восстановить государственные границы Советского Союза по всей линии, от Чёрного моря до Баренцова моря. Наша святая обязанность состоит в том, чтобы не дать врагу передышки, не дать раненому фашистскому зверю залечить кровоточащие раны. Мы вышвырнем фашистскую гадину за пределы нашей Родины, загоним врага в его собственную берлогу и там, действуя совместно с войсками наших союзников, прикончим его».</w:t>
      </w:r>
    </w:p>
    <w:p w14:paraId="37A4589A" w14:textId="77777777" w:rsidR="001F4816" w:rsidRPr="007224C3" w:rsidRDefault="001F481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4-м Украинском фронте на митинге Н-ской гвардейской части рядовой пулемётчик Березин сказал: «В успехах Красной Армии, о которых говорится в первомайском приказе товарища Сталина, есть и наша доля. Мы гордимся тем, чт онам выпала честь участвовать в прорыве вражеской обороны на Перекопском перешейке. Войска нашего фронта нанесли немецко-румынским войскам в Крыму тяжёлое поражение. Приказ товарища Сталина зовёт нас к новым решающим боям. Поклянёмся же, друзья гвардейцы, что мы не уроним своей славы, пронесённой от великой русской реки Волги до седого Днепра и цветущего Крыма. С именем товарища Сталина на устах пойдём вперёд и добьём немецко-фашистских оккупантов».</w:t>
      </w:r>
    </w:p>
    <w:p w14:paraId="36E7DFF1" w14:textId="77777777" w:rsidR="001F4816" w:rsidRPr="007224C3" w:rsidRDefault="001F481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Сибирском военном округе на митинге Н-ской части выступил младший сержант т. Жуков. Он сказал: «Я сын машиниста. Немцы убили моего отца. Я хочу как можно быстрее поехать на фронт. Клянусь, что буду беспощадно мстить фашистским мерзавцам за их злодеяния. Приказ товарища Сталина — для нас высший закон, и мы его выполним с честью» (14880).</w:t>
      </w:r>
    </w:p>
    <w:p w14:paraId="7886EBC7" w14:textId="77777777" w:rsidR="001F4816" w:rsidRPr="007224C3" w:rsidRDefault="001F4816" w:rsidP="007224C3">
      <w:pPr>
        <w:spacing w:after="0" w:line="240" w:lineRule="auto"/>
        <w:jc w:val="both"/>
        <w:rPr>
          <w:rFonts w:ascii="Times New Roman" w:hAnsi="Times New Roman"/>
          <w:color w:val="000000" w:themeColor="text1"/>
          <w:sz w:val="16"/>
          <w:szCs w:val="16"/>
        </w:rPr>
      </w:pPr>
    </w:p>
    <w:p w14:paraId="6B101937" w14:textId="77777777" w:rsidR="001F4816" w:rsidRPr="007224C3" w:rsidRDefault="001F481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мая в 1944 году подготовлен акт Ворошиловградской областной чрезвычайной государственной комиссии по установлению злодеяний немецко-фашистских захватчиков и их сообщников и причиненного ими ущерба, констатирующий, что в области расстреляно оккупантами 15490 человек, замучено 366 человек, погибло от бомбежек 3517 человек, подверглись пыткам и издевательствам 7784 человека, угнано на принудительные работы в Германию девушек 41045, мужчин 17986. Общий ущерб народному хозяйству области составил 17 420 260 900 рублей (14880).</w:t>
      </w:r>
    </w:p>
    <w:p w14:paraId="63A450C9" w14:textId="77777777" w:rsidR="001F4816" w:rsidRPr="007224C3" w:rsidRDefault="001F4816" w:rsidP="007224C3">
      <w:pPr>
        <w:spacing w:after="0" w:line="240" w:lineRule="auto"/>
        <w:jc w:val="both"/>
        <w:rPr>
          <w:rFonts w:ascii="Times New Roman" w:hAnsi="Times New Roman"/>
          <w:color w:val="000000" w:themeColor="text1"/>
          <w:sz w:val="16"/>
          <w:szCs w:val="16"/>
        </w:rPr>
      </w:pPr>
    </w:p>
    <w:p w14:paraId="31BC07F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3 мая 1944 на перевозки югославским партизанам переключили практически всю 15 гад - 44 экипажа. Эти полеты продолжались до освобождения Югославии. В одном из таких полетов летчик А.Каракозов атаковал над побережьем Черного моря и сбил немецкий бомбардировщик, а затем повредил второй (3457,94).</w:t>
      </w:r>
    </w:p>
    <w:p w14:paraId="158A332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D8F6EB"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Внешняя политика:</w:t>
      </w:r>
    </w:p>
    <w:p w14:paraId="2B85857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C5DF5E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мая 1944 года</w:t>
      </w:r>
    </w:p>
    <w:p w14:paraId="7BAE95C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ЛИЧНО И СЕКРЕТНО ПОСЛАНИЕ ОТ г-на ЧЕРЧИЛЛЯ МАРШАЛУ СТАЛИНУ</w:t>
      </w:r>
    </w:p>
    <w:p w14:paraId="73B5A3E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Осенью прошлого года я дал указание об отправке в Ваши северные порты цикла конвоев , состоящего из четырех конвоев, в каждый из которых войдет 35 британских и американских судов, причем позднее я смог добавить к первоначальной программе еще два дополнительных полуконвоя в составе 20 судов каждый, доведя таким образом общее количество отправляемых судов до 180 единиц, которые, как предполагалось, должны были перевезти 1 миллион дедвейтных тонн груза. Отправка конвоев этого цикла теперь завершена, и я имею удовольствие сообщить Вам о результатах приложенных нами усилий.</w:t>
      </w:r>
    </w:p>
    <w:p w14:paraId="1A5CB07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За исключением спасательных судов, Королевский Военно-Морской Флот конвоировал в Ваши северные порты 191 судно, в числе которых были 49 британских и 118 судов Соединенных Штатов с сухими грузами, одно судно — кран для помощи в разгрузке, 5 судов с военными грузами Соединенных Штатов и 18 танкеров. Перевезенные грузы в дедвейтных тоннах состояли из:</w:t>
      </w:r>
    </w:p>
    <w:tbl>
      <w:tblPr>
        <w:tblW w:w="0" w:type="auto"/>
        <w:tblLayout w:type="fixed"/>
        <w:tblCellMar>
          <w:left w:w="105" w:type="dxa"/>
          <w:right w:w="105" w:type="dxa"/>
        </w:tblCellMar>
        <w:tblLook w:val="0000" w:firstRow="0" w:lastRow="0" w:firstColumn="0" w:lastColumn="0" w:noHBand="0" w:noVBand="0"/>
      </w:tblPr>
      <w:tblGrid>
        <w:gridCol w:w="5939"/>
        <w:gridCol w:w="1980"/>
      </w:tblGrid>
      <w:tr w:rsidR="005106D0" w:rsidRPr="007224C3" w14:paraId="60F64F17" w14:textId="77777777" w:rsidTr="001F4816">
        <w:tc>
          <w:tcPr>
            <w:tcW w:w="5939" w:type="dxa"/>
            <w:tcBorders>
              <w:top w:val="single" w:sz="6" w:space="0" w:color="auto"/>
              <w:left w:val="single" w:sz="6" w:space="0" w:color="auto"/>
              <w:bottom w:val="single" w:sz="6" w:space="0" w:color="auto"/>
              <w:right w:val="single" w:sz="6" w:space="0" w:color="auto"/>
            </w:tcBorders>
          </w:tcPr>
          <w:p w14:paraId="70EA112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80" w:type="dxa"/>
            <w:tcBorders>
              <w:top w:val="single" w:sz="6" w:space="0" w:color="auto"/>
              <w:left w:val="single" w:sz="6" w:space="0" w:color="auto"/>
              <w:bottom w:val="single" w:sz="6" w:space="0" w:color="auto"/>
              <w:right w:val="single" w:sz="6" w:space="0" w:color="auto"/>
            </w:tcBorders>
          </w:tcPr>
          <w:p w14:paraId="5EA0FC2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Тонны</w:t>
            </w:r>
          </w:p>
        </w:tc>
      </w:tr>
      <w:tr w:rsidR="005106D0" w:rsidRPr="007224C3" w14:paraId="3F0B6FDF" w14:textId="77777777" w:rsidTr="001F4816">
        <w:tc>
          <w:tcPr>
            <w:tcW w:w="5939" w:type="dxa"/>
            <w:tcBorders>
              <w:top w:val="single" w:sz="6" w:space="0" w:color="auto"/>
              <w:left w:val="single" w:sz="6" w:space="0" w:color="auto"/>
              <w:bottom w:val="single" w:sz="6" w:space="0" w:color="auto"/>
              <w:right w:val="single" w:sz="6" w:space="0" w:color="auto"/>
            </w:tcBorders>
          </w:tcPr>
          <w:p w14:paraId="644506E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Британских грузов </w:t>
            </w:r>
          </w:p>
        </w:tc>
        <w:tc>
          <w:tcPr>
            <w:tcW w:w="1980" w:type="dxa"/>
            <w:tcBorders>
              <w:top w:val="single" w:sz="6" w:space="0" w:color="auto"/>
              <w:left w:val="single" w:sz="6" w:space="0" w:color="auto"/>
              <w:bottom w:val="single" w:sz="6" w:space="0" w:color="auto"/>
              <w:right w:val="single" w:sz="6" w:space="0" w:color="auto"/>
            </w:tcBorders>
          </w:tcPr>
          <w:p w14:paraId="4727058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232 600</w:t>
            </w:r>
          </w:p>
        </w:tc>
      </w:tr>
      <w:tr w:rsidR="005106D0" w:rsidRPr="007224C3" w14:paraId="23C5D9A9" w14:textId="77777777" w:rsidTr="001F4816">
        <w:tc>
          <w:tcPr>
            <w:tcW w:w="5939" w:type="dxa"/>
            <w:tcBorders>
              <w:top w:val="single" w:sz="6" w:space="0" w:color="auto"/>
              <w:left w:val="single" w:sz="6" w:space="0" w:color="auto"/>
              <w:bottom w:val="single" w:sz="6" w:space="0" w:color="auto"/>
              <w:right w:val="single" w:sz="6" w:space="0" w:color="auto"/>
            </w:tcBorders>
          </w:tcPr>
          <w:p w14:paraId="34CF8C7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 xml:space="preserve">Американских грузов </w:t>
            </w:r>
          </w:p>
        </w:tc>
        <w:tc>
          <w:tcPr>
            <w:tcW w:w="1980" w:type="dxa"/>
            <w:tcBorders>
              <w:top w:val="single" w:sz="6" w:space="0" w:color="auto"/>
              <w:left w:val="single" w:sz="6" w:space="0" w:color="auto"/>
              <w:bottom w:val="single" w:sz="6" w:space="0" w:color="auto"/>
              <w:right w:val="single" w:sz="6" w:space="0" w:color="auto"/>
            </w:tcBorders>
          </w:tcPr>
          <w:p w14:paraId="194C6B8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830 500</w:t>
            </w:r>
          </w:p>
        </w:tc>
      </w:tr>
      <w:tr w:rsidR="005106D0" w:rsidRPr="007224C3" w14:paraId="4883E81F" w14:textId="77777777" w:rsidTr="001F4816">
        <w:tc>
          <w:tcPr>
            <w:tcW w:w="5939" w:type="dxa"/>
            <w:tcBorders>
              <w:top w:val="single" w:sz="6" w:space="0" w:color="auto"/>
              <w:left w:val="single" w:sz="6" w:space="0" w:color="auto"/>
              <w:bottom w:val="single" w:sz="6" w:space="0" w:color="auto"/>
              <w:right w:val="single" w:sz="6" w:space="0" w:color="auto"/>
            </w:tcBorders>
          </w:tcPr>
          <w:p w14:paraId="783BE40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Авиационного бензина, спирта и тяжелого нефтяного топлива </w:t>
            </w:r>
          </w:p>
        </w:tc>
        <w:tc>
          <w:tcPr>
            <w:tcW w:w="1980" w:type="dxa"/>
            <w:tcBorders>
              <w:top w:val="single" w:sz="6" w:space="0" w:color="auto"/>
              <w:left w:val="single" w:sz="6" w:space="0" w:color="auto"/>
              <w:bottom w:val="single" w:sz="6" w:space="0" w:color="auto"/>
              <w:right w:val="single" w:sz="6" w:space="0" w:color="auto"/>
            </w:tcBorders>
          </w:tcPr>
          <w:p w14:paraId="2CA81D9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171 500</w:t>
            </w:r>
          </w:p>
        </w:tc>
      </w:tr>
      <w:tr w:rsidR="005106D0" w:rsidRPr="007224C3" w14:paraId="09A71376" w14:textId="77777777" w:rsidTr="001F4816">
        <w:tc>
          <w:tcPr>
            <w:tcW w:w="5939" w:type="dxa"/>
            <w:tcBorders>
              <w:top w:val="single" w:sz="6" w:space="0" w:color="auto"/>
              <w:left w:val="single" w:sz="6" w:space="0" w:color="auto"/>
              <w:bottom w:val="single" w:sz="6" w:space="0" w:color="auto"/>
              <w:right w:val="single" w:sz="6" w:space="0" w:color="auto"/>
            </w:tcBorders>
          </w:tcPr>
          <w:p w14:paraId="076CC4E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Военных грузов Соединенных Штатов </w:t>
            </w:r>
          </w:p>
        </w:tc>
        <w:tc>
          <w:tcPr>
            <w:tcW w:w="1980" w:type="dxa"/>
            <w:tcBorders>
              <w:top w:val="single" w:sz="6" w:space="0" w:color="auto"/>
              <w:left w:val="single" w:sz="6" w:space="0" w:color="auto"/>
              <w:bottom w:val="single" w:sz="6" w:space="0" w:color="auto"/>
              <w:right w:val="single" w:sz="6" w:space="0" w:color="auto"/>
            </w:tcBorders>
          </w:tcPr>
          <w:p w14:paraId="72CBA5D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25 000</w:t>
            </w:r>
          </w:p>
        </w:tc>
      </w:tr>
      <w:tr w:rsidR="005106D0" w:rsidRPr="007224C3" w14:paraId="595DCBC9" w14:textId="77777777" w:rsidTr="001F4816">
        <w:tc>
          <w:tcPr>
            <w:tcW w:w="5939" w:type="dxa"/>
            <w:tcBorders>
              <w:top w:val="single" w:sz="6" w:space="0" w:color="auto"/>
              <w:left w:val="single" w:sz="6" w:space="0" w:color="auto"/>
              <w:bottom w:val="single" w:sz="6" w:space="0" w:color="auto"/>
              <w:right w:val="single" w:sz="6" w:space="0" w:color="auto"/>
            </w:tcBorders>
          </w:tcPr>
          <w:p w14:paraId="69A2593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Итого </w:t>
            </w:r>
          </w:p>
        </w:tc>
        <w:tc>
          <w:tcPr>
            <w:tcW w:w="1980" w:type="dxa"/>
            <w:tcBorders>
              <w:top w:val="single" w:sz="6" w:space="0" w:color="auto"/>
              <w:left w:val="single" w:sz="6" w:space="0" w:color="auto"/>
              <w:bottom w:val="single" w:sz="6" w:space="0" w:color="auto"/>
              <w:right w:val="single" w:sz="6" w:space="0" w:color="auto"/>
            </w:tcBorders>
          </w:tcPr>
          <w:p w14:paraId="1445EB3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1 259 600</w:t>
            </w:r>
          </w:p>
        </w:tc>
      </w:tr>
    </w:tbl>
    <w:p w14:paraId="7E5FD54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Несмотря на ожесточенные атаки, предпринятые бдительным врагом, Королевскому Военно-Морскому Флоту удалось благополучно провести в Ваши порты все отправленные суда, за исключением трех. При этом я рад сообщить Вам, что наши потери составили лишь два потопленных эсминца и один сбитый самолет-истребитель, хорошей компенсацией за которые явилась потеря противником “Шарнгорста”, восьми подводных лодок и пяти самолетов. Мы также серьезно повредили в этом районе “Тирпиц”.</w:t>
      </w:r>
    </w:p>
    <w:p w14:paraId="3D86F1C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Все это было большим успехом, и мое сердце радует то, что это оружие поступило в Ваши доблестные армии в то время, когда они одерживают великие победы. Как только критический период “Оверлорда” будет нами пройден, я буду работать над составлением планов дальнейших поставок Вам. Я уже дал указание изучить это дело с тем, чтобы договориться с Вами об отправке еще одного конвоя, если позволит ход боев. Я ожидаю действительно серьезных морских потерь в этой битве “Оверлорд”, где военные суда будут вести длительные бои с береговыми батареями и все корабли будут находиться в большой опасности вследствие наличия мин. Мы полагаем, что мы одолели подводные лодки и авиацию противника довольно успешно, но небольшие торпедные катера типа “Е” при их большой скорости будут представлять собой опасность ночью. Я считал своим долгом по отношению к г-ну Литтлтону, Министру Производства, который главным образом руководил этими поставками через Арктику, ознакомить Вас с тем фактом, что наши успехи превзошли наши ожидания.</w:t>
      </w:r>
    </w:p>
    <w:p w14:paraId="7CF5E3B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Шлю добрые пожелания (7430).</w:t>
      </w:r>
    </w:p>
    <w:p w14:paraId="002DB27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23F75C"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22D581D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4C1E7BA" w14:textId="77777777" w:rsidR="007874A2" w:rsidRPr="007224C3" w:rsidRDefault="007874A2"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3–4 мая (ночь) 1944 360 британских бомбардировщиков атакуют немецкий военный лагерь недалеко от Майи, Франция. Их перехватывают немецкие ночные истребители и сбивают 42 бомбардировщика (11,6%). Бомбардировщики очень точно сбросили 1524 метрических тонны бомб, поразив 114 строений казарм, 47 транспортных навесов и некоторые здания с боеприпасами, а также уничтожив 37 танков и 65 других транспортных средств (20373).</w:t>
      </w:r>
    </w:p>
    <w:p w14:paraId="0DE397D3" w14:textId="77777777" w:rsidR="007874A2" w:rsidRPr="007224C3" w:rsidRDefault="007874A2" w:rsidP="007224C3">
      <w:pPr>
        <w:spacing w:after="0" w:line="240" w:lineRule="auto"/>
        <w:jc w:val="both"/>
        <w:rPr>
          <w:rFonts w:ascii="Times New Roman" w:hAnsi="Times New Roman"/>
          <w:color w:val="0070C0"/>
          <w:sz w:val="16"/>
          <w:szCs w:val="16"/>
        </w:rPr>
      </w:pPr>
    </w:p>
    <w:p w14:paraId="6F44378A" w14:textId="77777777" w:rsidR="007874A2" w:rsidRPr="007224C3" w:rsidRDefault="007874A2"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3–4 мая (ночь) 1944 92 британских бомбардировщика нанесли удар по аэродрому Люфтваффе в Мондидье, Франция, в результате чего было потеряно четыре самолета, в результате чего был нанесен большой ущерб северной части аэродрома (20373).</w:t>
      </w:r>
    </w:p>
    <w:p w14:paraId="2713AAB0" w14:textId="77777777" w:rsidR="007874A2" w:rsidRPr="007224C3" w:rsidRDefault="007874A2" w:rsidP="007224C3">
      <w:pPr>
        <w:spacing w:after="0" w:line="240" w:lineRule="auto"/>
        <w:jc w:val="both"/>
        <w:rPr>
          <w:rFonts w:ascii="Times New Roman" w:hAnsi="Times New Roman"/>
          <w:color w:val="0070C0"/>
          <w:sz w:val="16"/>
          <w:szCs w:val="16"/>
        </w:rPr>
      </w:pPr>
    </w:p>
    <w:p w14:paraId="73E372F7"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мая 1944 Испания согласилась прекратить поставки вольфрама в Германию в обмен на поставки в Испанию американских нефтепродуктов (4962).</w:t>
      </w:r>
    </w:p>
    <w:p w14:paraId="77BE67B6"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E9DA63B"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60FEFBA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109F84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мая 1944 опытная система заполне</w:t>
      </w:r>
      <w:r w:rsidRPr="007224C3">
        <w:rPr>
          <w:rFonts w:ascii="Times New Roman" w:hAnsi="Times New Roman"/>
          <w:color w:val="000000" w:themeColor="text1"/>
          <w:sz w:val="16"/>
          <w:szCs w:val="16"/>
        </w:rPr>
        <w:softHyphen/>
        <w:t xml:space="preserve">ния бензобаков выхлопными газами мотора — система НГ 1-й зоны была рекомендовалась для установки «на модификации самолетов Ил-2 с новым типом мотора (самолеты Ил-2 с мотором АМ-42. — </w:t>
      </w:r>
      <w:r w:rsidRPr="007224C3">
        <w:rPr>
          <w:rFonts w:ascii="Times New Roman" w:hAnsi="Times New Roman"/>
          <w:iCs/>
          <w:color w:val="000000" w:themeColor="text1"/>
          <w:sz w:val="16"/>
          <w:szCs w:val="16"/>
        </w:rPr>
        <w:t xml:space="preserve">Авт.) </w:t>
      </w:r>
      <w:r w:rsidRPr="007224C3">
        <w:rPr>
          <w:rFonts w:ascii="Times New Roman" w:hAnsi="Times New Roman"/>
          <w:color w:val="000000" w:themeColor="text1"/>
          <w:sz w:val="16"/>
          <w:szCs w:val="16"/>
        </w:rPr>
        <w:t>с последующей проверкой ее характеристики летными испытаниями»</w:t>
      </w:r>
    </w:p>
    <w:p w14:paraId="6687CE1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апреле 1944 в ЛИИ НКАП проходил совместные с НИИ ВВС государственные летные испытания Ил-2 зав. № 1873370 с мотором АМ-38ф, оборудованный опытной системой заполне</w:t>
      </w:r>
      <w:r w:rsidRPr="007224C3">
        <w:rPr>
          <w:rFonts w:ascii="Times New Roman" w:hAnsi="Times New Roman"/>
          <w:color w:val="000000" w:themeColor="text1"/>
          <w:sz w:val="16"/>
          <w:szCs w:val="16"/>
        </w:rPr>
        <w:softHyphen/>
        <w:t>ния бензобаков выхлопными газами мотора — система НГ 1-й зоны. В ходе испытаний были испытаны две схемы «нейтраль</w:t>
      </w:r>
      <w:r w:rsidRPr="007224C3">
        <w:rPr>
          <w:rFonts w:ascii="Times New Roman" w:hAnsi="Times New Roman"/>
          <w:color w:val="000000" w:themeColor="text1"/>
          <w:sz w:val="16"/>
          <w:szCs w:val="16"/>
        </w:rPr>
        <w:softHyphen/>
        <w:t>ного газа»: СКО завода № 18 и ЛИИ НКАП.</w:t>
      </w:r>
    </w:p>
    <w:p w14:paraId="02F9DE3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Напомним, что бензобаки на серийных самолетах Ил-2 за</w:t>
      </w:r>
      <w:r w:rsidRPr="007224C3">
        <w:rPr>
          <w:rFonts w:ascii="Times New Roman" w:hAnsi="Times New Roman"/>
          <w:color w:val="000000" w:themeColor="text1"/>
          <w:sz w:val="16"/>
          <w:szCs w:val="16"/>
        </w:rPr>
        <w:softHyphen/>
        <w:t>полнялись углекислотой от специального баллона. Это созда</w:t>
      </w:r>
      <w:r w:rsidRPr="007224C3">
        <w:rPr>
          <w:rFonts w:ascii="Times New Roman" w:hAnsi="Times New Roman"/>
          <w:color w:val="000000" w:themeColor="text1"/>
          <w:sz w:val="16"/>
          <w:szCs w:val="16"/>
        </w:rPr>
        <w:softHyphen/>
        <w:t>вало определенные затруднения при эксплуатации самолета в условиях фронта — в БАО не всегда имелось специальное обо</w:t>
      </w:r>
      <w:r w:rsidRPr="007224C3">
        <w:rPr>
          <w:rFonts w:ascii="Times New Roman" w:hAnsi="Times New Roman"/>
          <w:color w:val="000000" w:themeColor="text1"/>
          <w:sz w:val="16"/>
          <w:szCs w:val="16"/>
        </w:rPr>
        <w:softHyphen/>
        <w:t>рудование для заполнения баллонов углекислотой и, кроме то</w:t>
      </w:r>
      <w:r w:rsidRPr="007224C3">
        <w:rPr>
          <w:rFonts w:ascii="Times New Roman" w:hAnsi="Times New Roman"/>
          <w:color w:val="000000" w:themeColor="text1"/>
          <w:sz w:val="16"/>
          <w:szCs w:val="16"/>
        </w:rPr>
        <w:softHyphen/>
        <w:t>го, предъявлялись довольно жесткие условия по хранению за</w:t>
      </w:r>
      <w:r w:rsidRPr="007224C3">
        <w:rPr>
          <w:rFonts w:ascii="Times New Roman" w:hAnsi="Times New Roman"/>
          <w:color w:val="000000" w:themeColor="text1"/>
          <w:sz w:val="16"/>
          <w:szCs w:val="16"/>
        </w:rPr>
        <w:softHyphen/>
        <w:t>правленных баллонов на аэродроме.</w:t>
      </w:r>
    </w:p>
    <w:p w14:paraId="46CF7F2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Забор газов для заполнения бензобаков производился от 5-го выхлопного патрубка левого блока мотора при помощи специального газозаборника, вваренного в патрубок навстречу потоку газов. Газозаборник выполнялся из жароупорной сталь</w:t>
      </w:r>
      <w:r w:rsidRPr="007224C3">
        <w:rPr>
          <w:rFonts w:ascii="Times New Roman" w:hAnsi="Times New Roman"/>
          <w:color w:val="000000" w:themeColor="text1"/>
          <w:sz w:val="16"/>
          <w:szCs w:val="16"/>
        </w:rPr>
        <w:softHyphen/>
        <w:t>ной трубы, участок от газозаборника до входа в крыло — из стальной трубки, а остальная часть — из дюралевых труб. Вклю</w:t>
      </w:r>
      <w:r w:rsidRPr="007224C3">
        <w:rPr>
          <w:rFonts w:ascii="Times New Roman" w:hAnsi="Times New Roman"/>
          <w:color w:val="000000" w:themeColor="text1"/>
          <w:sz w:val="16"/>
          <w:szCs w:val="16"/>
        </w:rPr>
        <w:softHyphen/>
        <w:t>чение и отключение подачи выхлопных газов в бензобаки осу</w:t>
      </w:r>
      <w:r w:rsidRPr="007224C3">
        <w:rPr>
          <w:rFonts w:ascii="Times New Roman" w:hAnsi="Times New Roman"/>
          <w:color w:val="000000" w:themeColor="text1"/>
          <w:sz w:val="16"/>
          <w:szCs w:val="16"/>
        </w:rPr>
        <w:softHyphen/>
        <w:t>ществлялось летчиком при помощи крана пробкового типа.</w:t>
      </w:r>
    </w:p>
    <w:p w14:paraId="214D254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Испытания показали, что в системе завода № 18, наряду с достаточной концентрацией СО, и О, в газовой среде бензобаков, выхлопные газы, заполняющие бензобаки, содержат зна</w:t>
      </w:r>
      <w:r w:rsidRPr="007224C3">
        <w:rPr>
          <w:rFonts w:ascii="Times New Roman" w:hAnsi="Times New Roman"/>
          <w:color w:val="000000" w:themeColor="text1"/>
          <w:sz w:val="16"/>
          <w:szCs w:val="16"/>
        </w:rPr>
        <w:softHyphen/>
        <w:t>чительное количество воды, скапливающейся в газопроводе, в бензобаках и в фильтре бензосистемы. Неудовлетворительное обезвоживание выхлопных газов обуславливалось высокой тем</w:t>
      </w:r>
      <w:r w:rsidRPr="007224C3">
        <w:rPr>
          <w:rFonts w:ascii="Times New Roman" w:hAnsi="Times New Roman"/>
          <w:color w:val="000000" w:themeColor="text1"/>
          <w:sz w:val="16"/>
          <w:szCs w:val="16"/>
        </w:rPr>
        <w:softHyphen/>
        <w:t>пературой выхлопных газов, достигающей в районе фильтра-от стойника 40—74°С, вместо максимально допустимой температу</w:t>
      </w:r>
      <w:r w:rsidRPr="007224C3">
        <w:rPr>
          <w:rFonts w:ascii="Times New Roman" w:hAnsi="Times New Roman"/>
          <w:color w:val="000000" w:themeColor="text1"/>
          <w:sz w:val="16"/>
          <w:szCs w:val="16"/>
        </w:rPr>
        <w:softHyphen/>
        <w:t>ры 30°С.</w:t>
      </w:r>
    </w:p>
    <w:p w14:paraId="279CE5A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понижения температуры газа и улучшения конденсации водяных паров, содержащихся в выхлопных газах, система ней</w:t>
      </w:r>
      <w:r w:rsidRPr="007224C3">
        <w:rPr>
          <w:rFonts w:ascii="Times New Roman" w:hAnsi="Times New Roman"/>
          <w:color w:val="000000" w:themeColor="text1"/>
          <w:sz w:val="16"/>
          <w:szCs w:val="16"/>
        </w:rPr>
        <w:softHyphen/>
        <w:t>трального газа ЛИИ НКАП включала специальные конденсато</w:t>
      </w:r>
      <w:r w:rsidRPr="007224C3">
        <w:rPr>
          <w:rFonts w:ascii="Times New Roman" w:hAnsi="Times New Roman"/>
          <w:color w:val="000000" w:themeColor="text1"/>
          <w:sz w:val="16"/>
          <w:szCs w:val="16"/>
        </w:rPr>
        <w:softHyphen/>
        <w:t>ры, выполненные из трубы с внутренними перегородками. Эта схема показала хорошие результаты. Обеспечивалось вполне достаточное обезвоживание выхлопных газов даже при наличии негерметичности системы (искусственное отверстие диаметром 4 мм). Конденсат в фильтре-отстойнике за 1 час полета в сред</w:t>
      </w:r>
      <w:r w:rsidRPr="007224C3">
        <w:rPr>
          <w:rFonts w:ascii="Times New Roman" w:hAnsi="Times New Roman"/>
          <w:color w:val="000000" w:themeColor="text1"/>
          <w:sz w:val="16"/>
          <w:szCs w:val="16"/>
        </w:rPr>
        <w:softHyphen/>
        <w:t>нем не превышал 60 см</w:t>
      </w:r>
      <w:r w:rsidRPr="007224C3">
        <w:rPr>
          <w:rFonts w:ascii="Times New Roman" w:hAnsi="Times New Roman"/>
          <w:color w:val="000000" w:themeColor="text1"/>
          <w:sz w:val="16"/>
          <w:szCs w:val="16"/>
          <w:vertAlign w:val="superscript"/>
        </w:rPr>
        <w:t>3</w:t>
      </w:r>
      <w:r w:rsidRPr="007224C3">
        <w:rPr>
          <w:rFonts w:ascii="Times New Roman" w:hAnsi="Times New Roman"/>
          <w:color w:val="000000" w:themeColor="text1"/>
          <w:sz w:val="16"/>
          <w:szCs w:val="16"/>
        </w:rPr>
        <w:t>. При этом концентрация в бензобаках СО, и О, достигала 2—4% и 8—12%, соответственно.</w:t>
      </w:r>
    </w:p>
    <w:p w14:paraId="4923C42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результате система НГ 1-й зоны ЛИИ НКАП и была ре</w:t>
      </w:r>
      <w:r w:rsidRPr="007224C3">
        <w:rPr>
          <w:rFonts w:ascii="Times New Roman" w:hAnsi="Times New Roman"/>
          <w:color w:val="000000" w:themeColor="text1"/>
          <w:sz w:val="16"/>
          <w:szCs w:val="16"/>
        </w:rPr>
        <w:softHyphen/>
        <w:t>комендована в качестве эталона для внедрения в серию на всех самолетах Ил-2 с АМ-38ф взамен стандартной углекислотной установки (11474,378).</w:t>
      </w:r>
    </w:p>
    <w:p w14:paraId="7C28459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0026149" w14:textId="77777777" w:rsidR="00962976" w:rsidRPr="007224C3" w:rsidRDefault="00962976"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4 мая 1944 в отчете пс испытаниям от система НГ 1-й зоны конструкции ЛИИ НКАП рекомендовалась для установки «на модификации самолетов Ил-2 с новым типом мотора (самолеты Ил-2 с мотором АМ-42) с последующей проверкой ее характеристики летными испытаниями».</w:t>
      </w:r>
    </w:p>
    <w:p w14:paraId="665B069B" w14:textId="77777777" w:rsidR="00962976" w:rsidRPr="007224C3" w:rsidRDefault="00962976"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Как известно, до самого окончания войны штурмовики Ил-2 летали с системой НГ-1-й зоны от баллона углекислоты под давлением. Надо сказать, ОКБ С.В. Ильюшина так и не смогло отладить систему НГ-1 от выхлопа мотора и на других штурмовиках. На опытном Ил-8 такая система имелась, но на государственные испытания она не предъявлялась, так как не была «доведена до ума». На серийном штурмовике Ил-10 поначалу система нейтральных газов вообще не предусматривалась. Самолет был принят на вооружение без НГ-1 хотя без нее боевой самолет в то время уже не мыслился. Такую систему внедрили уже в ходе серийного производства (17733).</w:t>
      </w:r>
    </w:p>
    <w:p w14:paraId="4D196763" w14:textId="77777777" w:rsidR="00962976" w:rsidRPr="007224C3" w:rsidRDefault="00962976"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62A01D3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мая 1944 года самолет Пе-2И был принят на испытания в НИИ ВВС. С 4 по 13 мая произведено 4 полета, общей продолжительностью 3 часа 45 минут, из них: первый полет ознакомительный, второй - километраж, третий - определение тепловых режимов винто-моторной группы и четвертый - для определения скоростей по высотам. Третий и четвертый полеты производились до 6500 м. Летные данные самолета в этих полетах еще не были определены (1821).</w:t>
      </w:r>
    </w:p>
    <w:p w14:paraId="338D1E5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D2EB1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мая 1944 вышло постановление ГКО N 5800сс по организации на заводе 86 кап. ремонта самолетов всех типов, в т.ч. самолетов Ер-2 и к началу 1945 началу на этом заводе выпуска самолетов Ер-2 (1602,35).</w:t>
      </w:r>
    </w:p>
    <w:p w14:paraId="0192B81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ADFEAF" w14:textId="77777777" w:rsidR="001F4816" w:rsidRPr="007224C3" w:rsidRDefault="001F4816" w:rsidP="007224C3">
      <w:pPr>
        <w:shd w:val="clear" w:color="auto" w:fill="FFFFFF"/>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4-го мая 1944 года вышло Постановление Государственного Комитета Обороны № 5800сс, в соответствии с которым, наряду с серийным выпуском бомбардировщиков Ер-2, заводу № 39 поручается изготовить и отправить авиационному заводу № 86 в Таганроге комплект оснастки и приспособлений для производства Ер-2, а также 25 этих машин в агрегатах и деталях. Началом поставки был назван ноябрь 1944 года. Постановление ГКО было выполнено в соответствии с графиком поставки. В начале 1945 года в Таганрог было отправлено еще пять бомбардировщиков в деталях и агрегатах (15223).</w:t>
      </w:r>
    </w:p>
    <w:p w14:paraId="52106AB9" w14:textId="77777777" w:rsidR="001F4816" w:rsidRPr="007224C3" w:rsidRDefault="001F4816" w:rsidP="007224C3">
      <w:pPr>
        <w:shd w:val="clear" w:color="auto" w:fill="FFFFFF"/>
        <w:spacing w:after="0" w:line="240" w:lineRule="auto"/>
        <w:jc w:val="both"/>
        <w:rPr>
          <w:rFonts w:ascii="Times New Roman" w:hAnsi="Times New Roman"/>
          <w:color w:val="000000" w:themeColor="text1"/>
          <w:sz w:val="16"/>
          <w:szCs w:val="16"/>
        </w:rPr>
      </w:pPr>
    </w:p>
    <w:p w14:paraId="5ADB16D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мая 1944 в НИИ ВВС для госиспытаний поступил модифицированный ЛаГГ-3 дублер с ВК-105ПФ-2 с винтом ВИШ-105СВ (N 105-2 производства 31 завода (февраль), ГК В.П.Горбунов с ВЯ-23 - 85 патр. И испытания начались 10 мая и были остановлены 12 мая для смены двигателя и продолжены с 1 июня по 12 июня 1944</w:t>
      </w:r>
    </w:p>
    <w:p w14:paraId="22083BE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июня 1944 А.E.Репин утвердил акт по гос. испытаниям модифицированного ЛаГГ-3 дублера с ВК-105ПФ-2 с винтом ВИШ-105СВ (N 105-2 производства 31 завода (февраль), ГК В.П.Горбунов с ВЯ-23</w:t>
      </w:r>
    </w:p>
    <w:p w14:paraId="30EFDCA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Отв. исполнитель вед. инж. З-да ви п/п Ф.М.Шишкин</w:t>
      </w:r>
    </w:p>
    <w:p w14:paraId="7CF189B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Вед. л 3 отд. НИИ ВВС гсс гм Дзюба</w:t>
      </w:r>
    </w:p>
    <w:p w14:paraId="593C825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исп. Шишкин</w:t>
      </w:r>
    </w:p>
    <w:p w14:paraId="016186F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Цель испытаний:</w:t>
      </w:r>
    </w:p>
    <w:p w14:paraId="1582B9F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Определить ЛТД с-та</w:t>
      </w:r>
    </w:p>
    <w:p w14:paraId="53263B7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Дать оценку эксплуатационным свойствам с-та, ВМГ, вооружения и спецоборудования</w:t>
      </w:r>
    </w:p>
    <w:p w14:paraId="7CC307D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Оценить производственное и конструктивное выполнение с-та</w:t>
      </w:r>
    </w:p>
    <w:p w14:paraId="610FFA6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Объект испытаний: предъявленная на госиспытания машина завода № 31 выпуска февраля 1944</w:t>
      </w:r>
    </w:p>
    <w:p w14:paraId="3D06FA3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По сравнению с ранее испытывавшимся ЛаГГ-3 с мотором ВК-105ПФ (первый экз. С-та № 105-1)с-т дублер № 105-2 имеет следующие отличия:</w:t>
      </w:r>
    </w:p>
    <w:p w14:paraId="4FBB03C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планеру - изменена конструкция 4 и 5 шпангоутов фюзеляжа. В нижней ферме 4-го шпангоута произведено два круглых отверстия под тоннуль маслорадиатора, в шп. 5 изменен нижний ... под установку фермы для крепления сидения пилота и качалки управления РВ</w:t>
      </w:r>
    </w:p>
    <w:p w14:paraId="548CA84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в нижней части фюзеляжа перед тоннелем водорадиатора установлено два заборника воздуха для охлаждения маслорадиатора</w:t>
      </w:r>
    </w:p>
    <w:p w14:paraId="3321AF5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увеличено плечо качалки управления элеронами для уменьшения давления на ручку управления с-том</w:t>
      </w:r>
    </w:p>
    <w:p w14:paraId="2E4FC7B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изменены форма и конструкция ручки управления с-том по типу ручки стандартной кабины</w:t>
      </w:r>
    </w:p>
    <w:p w14:paraId="45AD72A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установлен дополнительный кронштейн для крепления лафета пушки ВЯ-23</w:t>
      </w:r>
    </w:p>
    <w:p w14:paraId="2A151D5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ВМГ: установлен мотор ВК-105ПФ-2, установлен винт типа ВИШ-105СВ с профилированной комлевой частью лопастей, маслорадиатор типа ОП-352 заменен двумя последовательно соединенными рядами типа ВМС-8 с трубкой К-4, толщиной 0,1 мм</w:t>
      </w:r>
    </w:p>
    <w:p w14:paraId="071402F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изменен туннель маслорадиатора, который установлен в фюзеляже</w:t>
      </w:r>
    </w:p>
    <w:p w14:paraId="25C2FF4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изменена конструкция и перекомпоновыны ряд коробов и крышек капота мотора и управление заслонками маслорадиатора</w:t>
      </w:r>
    </w:p>
    <w:p w14:paraId="44C7DAB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общая емкость б/б уменьшена на 28 л с 405 до 377 л</w:t>
      </w:r>
    </w:p>
    <w:p w14:paraId="421ED12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на носок вала редуктора установлен центробежный маслоотражатель типа ЛИИ НКАП</w:t>
      </w:r>
    </w:p>
    <w:p w14:paraId="334BDA1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изменен дренаж трубки суфлера бака</w:t>
      </w:r>
    </w:p>
    <w:p w14:paraId="7FFA219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выхлопные патрубки изготовлены по типу с-та Як-3 (рекомендация ЦАГИ)</w:t>
      </w:r>
    </w:p>
    <w:p w14:paraId="39E735A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вооружению: установлена пушка ВЯ-23 с боезапасом 85 патронов вместо пушки МП-20 с б/з 160 патронов, пулемет УБС с б/з 185 патронов вместо 200 патронов</w:t>
      </w:r>
    </w:p>
    <w:p w14:paraId="76034B6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связи с установкой пушки ВЯ-23 изменено крепление пушки, форма и конструкция патронных коробок и гильзоотвода</w:t>
      </w:r>
    </w:p>
    <w:p w14:paraId="777147B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установлен звеньесборник для пушки ВЯ-23</w:t>
      </w:r>
    </w:p>
    <w:p w14:paraId="4FD8735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механизм управления оружием переведен на пневматику</w:t>
      </w:r>
    </w:p>
    <w:p w14:paraId="3DCED92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Спецприборы с-та 105-2 дублер такие же, как на с-те 105-1</w:t>
      </w:r>
    </w:p>
    <w:p w14:paraId="436D9E9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улучшения ЛТД проведены следующие мероприятия:</w:t>
      </w:r>
    </w:p>
    <w:p w14:paraId="5F6AA0A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улучшена внешняя отделка и введена полировка передней кромки крыла</w:t>
      </w:r>
    </w:p>
    <w:p w14:paraId="18A2530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козырьку кабины пилота придана сферическая форма</w:t>
      </w:r>
    </w:p>
    <w:p w14:paraId="26571E8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улучшена герметизация противопожарной перегородки, крыла, кабины пилота и хвостовой части фюзеляжа</w:t>
      </w:r>
    </w:p>
    <w:p w14:paraId="773A569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Согласно данным завода прочность с-та 105-2 и его основных агрегатов: фюзеляжа, крыла, центроплана, шасси удовлетворяет действующим нормам прочности.</w:t>
      </w:r>
    </w:p>
    <w:p w14:paraId="1417BD6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Расчет завода по флаттеру крыла серийного с-та ЛаГГ-3 в облегченном варианте произведен в ЦАГИ и получено разрешение на эксплуатацию на скорости до 700 км/час по прибору</w:t>
      </w:r>
    </w:p>
    <w:p w14:paraId="6DC9482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Результаты испытаний:</w:t>
      </w:r>
    </w:p>
    <w:p w14:paraId="5DE2853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 пибыл в НИИ 4 мая. Испытания начаты 10 мая, приостановлены по просьбе ГК с-та В.П.Горбунова для осмотра с-та и мотора и доводки тепловых режимов ВМГ 12 мая. Возобновлены 1 июня и закончены 12 июня. Выполнено 15 полетов с налетом 8:40</w:t>
      </w:r>
    </w:p>
    <w:p w14:paraId="561D88E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 пустого 2285 22,5% САХ, угол капотирования 26:40</w:t>
      </w:r>
    </w:p>
    <w:p w14:paraId="46195A9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 полетный 2875 22.2% САХ, угол капотирования 28:40</w:t>
      </w:r>
    </w:p>
    <w:p w14:paraId="55B5ECF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Нормальная нагрузка:</w:t>
      </w:r>
    </w:p>
    <w:p w14:paraId="3F506E7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экипаж - 90</w:t>
      </w:r>
    </w:p>
    <w:p w14:paraId="0BAB721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горючее (074 г,см3) - 280</w:t>
      </w:r>
    </w:p>
    <w:p w14:paraId="4B44136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масло - 27</w:t>
      </w:r>
    </w:p>
    <w:p w14:paraId="0DA826D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вооружение - пушка ВЯ-23 - 73, УБС - 21,5, б/з пушки (85) - 47, б/з пулемета (185) - 31,0</w:t>
      </w:r>
    </w:p>
    <w:p w14:paraId="06E7AFB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связное оборудование - 20,5</w:t>
      </w:r>
    </w:p>
    <w:p w14:paraId="014D11F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 - 590</w:t>
      </w:r>
    </w:p>
    <w:p w14:paraId="04B70EB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Таблица изменения веса 105-2 по сравнению с 105-1, проходившим испытания в НИИ в октябре 1943: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708"/>
        <w:gridCol w:w="709"/>
        <w:gridCol w:w="709"/>
      </w:tblGrid>
      <w:tr w:rsidR="005106D0" w:rsidRPr="007224C3" w14:paraId="6A4BA939" w14:textId="77777777">
        <w:tc>
          <w:tcPr>
            <w:tcW w:w="2802" w:type="dxa"/>
            <w:tcBorders>
              <w:top w:val="single" w:sz="12" w:space="0" w:color="auto"/>
            </w:tcBorders>
          </w:tcPr>
          <w:p w14:paraId="7DBB6D9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Наименование</w:t>
            </w:r>
          </w:p>
        </w:tc>
        <w:tc>
          <w:tcPr>
            <w:tcW w:w="708" w:type="dxa"/>
            <w:tcBorders>
              <w:top w:val="single" w:sz="12" w:space="0" w:color="auto"/>
            </w:tcBorders>
          </w:tcPr>
          <w:p w14:paraId="1A686EF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105-2 дублер</w:t>
            </w:r>
          </w:p>
        </w:tc>
        <w:tc>
          <w:tcPr>
            <w:tcW w:w="709" w:type="dxa"/>
            <w:tcBorders>
              <w:top w:val="single" w:sz="12" w:space="0" w:color="auto"/>
            </w:tcBorders>
          </w:tcPr>
          <w:p w14:paraId="3376C9C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105-1 первый</w:t>
            </w:r>
          </w:p>
        </w:tc>
        <w:tc>
          <w:tcPr>
            <w:tcW w:w="709" w:type="dxa"/>
            <w:tcBorders>
              <w:top w:val="single" w:sz="12" w:space="0" w:color="auto"/>
            </w:tcBorders>
          </w:tcPr>
          <w:p w14:paraId="6F27F0B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Разница</w:t>
            </w:r>
          </w:p>
        </w:tc>
      </w:tr>
      <w:tr w:rsidR="005106D0" w:rsidRPr="007224C3" w14:paraId="7847E2D9" w14:textId="77777777">
        <w:tc>
          <w:tcPr>
            <w:tcW w:w="2802" w:type="dxa"/>
          </w:tcPr>
          <w:p w14:paraId="73A7E7D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Нормальный полетный вес</w:t>
            </w:r>
          </w:p>
        </w:tc>
        <w:tc>
          <w:tcPr>
            <w:tcW w:w="708" w:type="dxa"/>
          </w:tcPr>
          <w:p w14:paraId="0B751D4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2875</w:t>
            </w:r>
          </w:p>
        </w:tc>
        <w:tc>
          <w:tcPr>
            <w:tcW w:w="709" w:type="dxa"/>
          </w:tcPr>
          <w:p w14:paraId="26F143C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2818</w:t>
            </w:r>
          </w:p>
        </w:tc>
        <w:tc>
          <w:tcPr>
            <w:tcW w:w="709" w:type="dxa"/>
          </w:tcPr>
          <w:p w14:paraId="10C1DCF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+57</w:t>
            </w:r>
          </w:p>
        </w:tc>
      </w:tr>
      <w:tr w:rsidR="005106D0" w:rsidRPr="007224C3" w14:paraId="5FFF51D6" w14:textId="77777777">
        <w:tc>
          <w:tcPr>
            <w:tcW w:w="2802" w:type="dxa"/>
          </w:tcPr>
          <w:p w14:paraId="78D6923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 пустого</w:t>
            </w:r>
          </w:p>
        </w:tc>
        <w:tc>
          <w:tcPr>
            <w:tcW w:w="708" w:type="dxa"/>
          </w:tcPr>
          <w:p w14:paraId="5AB4640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2285</w:t>
            </w:r>
          </w:p>
        </w:tc>
        <w:tc>
          <w:tcPr>
            <w:tcW w:w="709" w:type="dxa"/>
          </w:tcPr>
          <w:p w14:paraId="556F54B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2234</w:t>
            </w:r>
          </w:p>
        </w:tc>
        <w:tc>
          <w:tcPr>
            <w:tcW w:w="709" w:type="dxa"/>
          </w:tcPr>
          <w:p w14:paraId="2B11ABF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+51</w:t>
            </w:r>
          </w:p>
        </w:tc>
      </w:tr>
      <w:tr w:rsidR="005106D0" w:rsidRPr="007224C3" w14:paraId="11BE2B71" w14:textId="77777777">
        <w:tc>
          <w:tcPr>
            <w:tcW w:w="2802" w:type="dxa"/>
          </w:tcPr>
          <w:p w14:paraId="60F36B8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 нагрузки</w:t>
            </w:r>
          </w:p>
        </w:tc>
        <w:tc>
          <w:tcPr>
            <w:tcW w:w="708" w:type="dxa"/>
          </w:tcPr>
          <w:p w14:paraId="75715D1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590</w:t>
            </w:r>
          </w:p>
        </w:tc>
        <w:tc>
          <w:tcPr>
            <w:tcW w:w="709" w:type="dxa"/>
          </w:tcPr>
          <w:p w14:paraId="190CC13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584</w:t>
            </w:r>
          </w:p>
        </w:tc>
        <w:tc>
          <w:tcPr>
            <w:tcW w:w="709" w:type="dxa"/>
          </w:tcPr>
          <w:p w14:paraId="195CA1F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w:t>
            </w:r>
          </w:p>
        </w:tc>
      </w:tr>
      <w:tr w:rsidR="005106D0" w:rsidRPr="007224C3" w14:paraId="5312A204" w14:textId="77777777">
        <w:tc>
          <w:tcPr>
            <w:tcW w:w="2802" w:type="dxa"/>
          </w:tcPr>
          <w:p w14:paraId="4795560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Центровка при нормальном полетном весе</w:t>
            </w:r>
          </w:p>
        </w:tc>
        <w:tc>
          <w:tcPr>
            <w:tcW w:w="708" w:type="dxa"/>
          </w:tcPr>
          <w:p w14:paraId="4713464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25,2</w:t>
            </w:r>
          </w:p>
        </w:tc>
        <w:tc>
          <w:tcPr>
            <w:tcW w:w="709" w:type="dxa"/>
          </w:tcPr>
          <w:p w14:paraId="497C00E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23,7</w:t>
            </w:r>
          </w:p>
        </w:tc>
        <w:tc>
          <w:tcPr>
            <w:tcW w:w="709" w:type="dxa"/>
          </w:tcPr>
          <w:p w14:paraId="353BD2C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w:t>
            </w:r>
          </w:p>
        </w:tc>
      </w:tr>
      <w:tr w:rsidR="005106D0" w:rsidRPr="007224C3" w14:paraId="273555DC" w14:textId="77777777">
        <w:tc>
          <w:tcPr>
            <w:tcW w:w="2802" w:type="dxa"/>
          </w:tcPr>
          <w:p w14:paraId="0CDE5F5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Предельная передняя эксплуатационная центровка</w:t>
            </w:r>
          </w:p>
        </w:tc>
        <w:tc>
          <w:tcPr>
            <w:tcW w:w="708" w:type="dxa"/>
          </w:tcPr>
          <w:p w14:paraId="49FCC8C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23,9</w:t>
            </w:r>
          </w:p>
        </w:tc>
        <w:tc>
          <w:tcPr>
            <w:tcW w:w="709" w:type="dxa"/>
          </w:tcPr>
          <w:p w14:paraId="01AE4B6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22,3</w:t>
            </w:r>
          </w:p>
        </w:tc>
        <w:tc>
          <w:tcPr>
            <w:tcW w:w="709" w:type="dxa"/>
          </w:tcPr>
          <w:p w14:paraId="168FD6E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tc>
      </w:tr>
      <w:tr w:rsidR="005106D0" w:rsidRPr="007224C3" w14:paraId="26D55F28" w14:textId="77777777">
        <w:tc>
          <w:tcPr>
            <w:tcW w:w="2802" w:type="dxa"/>
            <w:tcBorders>
              <w:bottom w:val="single" w:sz="12" w:space="0" w:color="auto"/>
            </w:tcBorders>
          </w:tcPr>
          <w:p w14:paraId="442BAAE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Запас горючего 4Б-78</w:t>
            </w:r>
          </w:p>
        </w:tc>
        <w:tc>
          <w:tcPr>
            <w:tcW w:w="708" w:type="dxa"/>
            <w:tcBorders>
              <w:bottom w:val="single" w:sz="12" w:space="0" w:color="auto"/>
            </w:tcBorders>
          </w:tcPr>
          <w:p w14:paraId="5A47E21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280</w:t>
            </w:r>
          </w:p>
        </w:tc>
        <w:tc>
          <w:tcPr>
            <w:tcW w:w="709" w:type="dxa"/>
            <w:tcBorders>
              <w:bottom w:val="single" w:sz="12" w:space="0" w:color="auto"/>
            </w:tcBorders>
          </w:tcPr>
          <w:p w14:paraId="12B9707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300</w:t>
            </w:r>
          </w:p>
        </w:tc>
        <w:tc>
          <w:tcPr>
            <w:tcW w:w="709" w:type="dxa"/>
            <w:tcBorders>
              <w:bottom w:val="single" w:sz="12" w:space="0" w:color="auto"/>
            </w:tcBorders>
          </w:tcPr>
          <w:p w14:paraId="6F1C2C1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w:t>
            </w:r>
          </w:p>
        </w:tc>
      </w:tr>
    </w:tbl>
    <w:p w14:paraId="62B0368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Основные причины, вызвавшие увеличение веса - установка пушки ВЯ-23, усиления и конструкционные изменения</w:t>
      </w:r>
    </w:p>
    <w:p w14:paraId="1D27DCD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Основные ЛД</w:t>
      </w:r>
    </w:p>
    <w:p w14:paraId="1D4EEB4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Скорость макс. у земли - 554</w:t>
      </w:r>
    </w:p>
    <w:p w14:paraId="77A418B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Скорость макс. на 1-й гр. высотности (1400) - 590</w:t>
      </w:r>
    </w:p>
    <w:p w14:paraId="6D5436B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Скорость макс. на 2-й гр. высотности (3400) - 618</w:t>
      </w:r>
    </w:p>
    <w:p w14:paraId="52C3BA0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Скорость макс. на 5000 - 593</w:t>
      </w:r>
    </w:p>
    <w:p w14:paraId="39C5B87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Скорость макс. на 6000 - 578</w:t>
      </w:r>
    </w:p>
    <w:p w14:paraId="7142F0C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Время набора 5000 м - 4,8</w:t>
      </w:r>
    </w:p>
    <w:p w14:paraId="301C78B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Потолок 10750</w:t>
      </w:r>
    </w:p>
    <w:p w14:paraId="4F5087C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Граница переключения нагнетателя - 2000 на скорости 542</w:t>
      </w:r>
    </w:p>
    <w:p w14:paraId="5F76DCE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Скорости вертикальные</w:t>
      </w:r>
    </w:p>
    <w:p w14:paraId="6E0649E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 земли - 18,1</w:t>
      </w:r>
    </w:p>
    <w:p w14:paraId="024F4DD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1 гр. 650 - 18,9</w:t>
      </w:r>
    </w:p>
    <w:p w14:paraId="376ACA7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перекл. - 17,0</w:t>
      </w:r>
    </w:p>
    <w:p w14:paraId="16E5ED0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2 гр. (2500) - 19,2</w:t>
      </w:r>
    </w:p>
    <w:p w14:paraId="0DC3266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5000 - 13,6</w:t>
      </w:r>
    </w:p>
    <w:p w14:paraId="12A5C0E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6000 - 11,3</w:t>
      </w:r>
    </w:p>
    <w:p w14:paraId="7BE5EBD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Мотор ВК-105ПФ-2 наработал с начала испытаний 44:02 и был снят из-за течи воды из блока через уплотнение гильзы</w:t>
      </w:r>
    </w:p>
    <w:p w14:paraId="3E96022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Производилось сравнение с 105-1, Як-3 дублер, Ла-7 (испытанном в апреле 1944), с Ме-109G (январь 1943) и ФВ-190 А-4 (июль 1943).</w:t>
      </w:r>
    </w:p>
    <w:p w14:paraId="1BDD8B0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Выводы:</w:t>
      </w:r>
    </w:p>
    <w:p w14:paraId="1D2B64D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ВМГ работает неудовлетворительно</w:t>
      </w:r>
    </w:p>
    <w:p w14:paraId="24C9132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наборе высоты с полностью отурытым туннелем водорадиатора температура воды 116 гр, в горизонтальном полете - 115 (макс. допустимо - 110)</w:t>
      </w:r>
    </w:p>
    <w:p w14:paraId="50F19B9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Установленное пулеметно-пушечное вооружение не доведено.</w:t>
      </w:r>
    </w:p>
    <w:p w14:paraId="5FEA951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Искажение видимости предметов через сферическую часть козырька кабины пилота</w:t>
      </w:r>
    </w:p>
    <w:p w14:paraId="45669E1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с-те отсутствует аварийный сброс фонаря</w:t>
      </w:r>
    </w:p>
    <w:p w14:paraId="0CCCF46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Заключение:</w:t>
      </w:r>
    </w:p>
    <w:p w14:paraId="2DC84DB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Модифицированный с-т 1-5-2 дублер конструкции т. Горбунова постройки ОКБ завода № 31 госиспытания не выдержал по причине:</w:t>
      </w:r>
    </w:p>
    <w:p w14:paraId="785B01F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низкие ЛТД для с-та большой модификации</w:t>
      </w:r>
    </w:p>
    <w:p w14:paraId="5667EE7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неудовлетворительная работа ВМГ и вооружения</w:t>
      </w:r>
    </w:p>
    <w:p w14:paraId="6C346E3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Считать нецелесообразной продолжение работы по дальнейшей модификации с-та ЛаГГ-3 с мотором ВК-105ПФ-2</w:t>
      </w:r>
    </w:p>
    <w:p w14:paraId="327476F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 дублер подлежит сдаче на завод № 31</w:t>
      </w:r>
    </w:p>
    <w:p w14:paraId="3905A77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Подписали с 20 по 24 июня (764,2).</w:t>
      </w:r>
    </w:p>
    <w:p w14:paraId="28F58A9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A8B986" w14:textId="77777777" w:rsidR="00804810" w:rsidRPr="007224C3" w:rsidRDefault="00804810"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lastRenderedPageBreak/>
        <w:t>4 мая 1944 самолет 105-2, который был построен 31-м заводом в феврале 1944 года, после непродолжительных заводских испытаний поступил в НИИ ВВС.</w:t>
      </w:r>
    </w:p>
    <w:p w14:paraId="0BE22C70" w14:textId="77777777" w:rsidR="00804810" w:rsidRPr="007224C3" w:rsidRDefault="00804810"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На самолет 105-2 – так на заводе стали называть второй прототип, а первый при этом получил обозначение 105-1, – было решено установить мотор-пушку Волкова-Ярцева калибром 23 мм. В связи с установкой новой пушки переделали лафет и установили дополнительный кронштейн для его крепления, изменили форму и конструкцию патронных коробок и гильзоотвода, установили звеньесборник для пушки ВЯ-23, а механическое управление стрельбой перевели на пневматику. При этом боекомплект пушки ВЯ-23 составил 85 патронов вместо 160 у пушки МП-20, а у пулемета УБС он сократился до 185 патронов вместо прежних 200.</w:t>
      </w:r>
    </w:p>
    <w:p w14:paraId="7ECF8798" w14:textId="77777777" w:rsidR="00804810" w:rsidRPr="007224C3" w:rsidRDefault="00804810"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Кардинальной переделке подверглась ВМГ. На самолет поставили мотор М-105ПФ2 и винт типа ВИШ-105СВ с профилированной комлевой частью лопастей. На носок вала редуктора был установлен центробежный маслоотражатель типа ЛИИ НКАП. Серьезно переделали каркас капота и схему капотирования мотора. По рекомендации ЦАГИ выхлопные патрубки изготовили по типу Як-3. Маслорадиатор ОП-352 был заменен двумя последовательно соединенными радиаторами типа ВМС-8 с трубкой К-4, толщиной 0,1 мм, которые переместили в фюзеляж, что придало носовой части самолета более обтекаемые формы.</w:t>
      </w:r>
    </w:p>
    <w:p w14:paraId="7A91DA49" w14:textId="77777777" w:rsidR="00804810" w:rsidRPr="007224C3" w:rsidRDefault="00804810"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Тбилисские конструкторы не стали копировать яковлевский вариант c совмещенными воздухозаборниками маслорадиаторов и нагнетателя в корне крыла. В нижней части фюзеляжа перед тоннелем водорадиатора разместили два заборника для охлаждения маслорадиаторов, которые установили под поликом кабины пилота, а воздухозаборники нагнетателя оставили в корне центроплана. Такое решение могло несколько поднять границы высотности мотора. Патрубки сброса воздуха разместили по бортам кабины ниже фонаря кабины пилота. Модернизация маслосистемы повлекла за собой ряд доработок планера. Из-за прокладки тоннелей маслорадиаторов общая емкость топливных баков уменьшилась на 28 литров – с 405 до 377. Бензобаки для самолета 105-2 изготовили при этом заново. Была изменена конструкция 4-го и 5-го шпангоутов фюзеляжа. В нижней ферме 4-го шпангоута прорезали два круглых отверстия под тоннель маслорадиатора, а нижнюю часть шпангоута № 5 изменили под установку фермы для крепления сидения пилота и качалки управления РВ. Помимо этого, было увеличено плечо качалки управления элеронами для уменьшения нагрузки на ручку управления, а ее саму изготовили по типу ручки стандартной кабины. Также было изменено управление заслонками маслорадиатора и дренажная трубка суфлерного бачка. Выпуск и уборка шасси теперь осуществлялся от пневмосистемы.</w:t>
      </w:r>
    </w:p>
    <w:p w14:paraId="48701D54" w14:textId="77777777" w:rsidR="00804810" w:rsidRPr="007224C3" w:rsidRDefault="00804810"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Для повышения летных характеристик была улучшена внешняя отделка и отполирована передняя кромка крыла самолета 105-2, козырьку кабины пилота придана сферическая форма, улучшена герметизация противопожарной перегородки, крыла, кабины пилота и хвостовой части фюзеляжа, облагорожены обводы тоннеля водорадиатора. Однако по непонятным причинам щитки колес шасси на 105-2 ставить не стали, хотя по данным ЛИИ их применение на первых сериях «облегченных» ЛаГГ-3 увеличивало максимальную скорость на 5-7 км/ч.</w:t>
      </w:r>
    </w:p>
    <w:p w14:paraId="1021EE45" w14:textId="77777777" w:rsidR="00804810" w:rsidRPr="007224C3" w:rsidRDefault="00804810"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Ведущим летчиком назначили ГСС майора Дзюбу, ведущим инженером – инженера-подполковника Шишкина. «Дублер» оказался тяжелее самолета 105. Пустой он весил 2285 кг, то есть больше на 51 кг, а полетный вес составлял 2875 кг – «привес» в 57 кг. Рост массы самолета в основном был вызван установкой более тяжелой пушки (23197).</w:t>
      </w:r>
    </w:p>
    <w:p w14:paraId="00BE7CE0" w14:textId="77777777" w:rsidR="00804810" w:rsidRPr="007224C3" w:rsidRDefault="00804810" w:rsidP="007224C3">
      <w:pPr>
        <w:spacing w:after="0" w:line="240" w:lineRule="auto"/>
        <w:jc w:val="both"/>
        <w:rPr>
          <w:rFonts w:ascii="Times New Roman" w:hAnsi="Times New Roman"/>
          <w:color w:val="0070C0"/>
          <w:sz w:val="16"/>
          <w:szCs w:val="16"/>
        </w:rPr>
      </w:pPr>
    </w:p>
    <w:p w14:paraId="6ED2BC5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мая 1944 закончились государственные наземные, а 7 июня - летные испытания пушки НС-23 (263,83).</w:t>
      </w:r>
    </w:p>
    <w:p w14:paraId="258F33C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C18C7F" w14:textId="77777777" w:rsidR="001F4816" w:rsidRPr="007224C3" w:rsidRDefault="001F4816" w:rsidP="007224C3">
      <w:pPr>
        <w:shd w:val="clear" w:color="auto" w:fill="FFFFFF"/>
        <w:spacing w:after="0" w:line="240" w:lineRule="auto"/>
        <w:jc w:val="both"/>
        <w:rPr>
          <w:rFonts w:ascii="Times New Roman" w:eastAsia="Times New Roman" w:hAnsi="Times New Roman"/>
          <w:color w:val="000000" w:themeColor="text1"/>
          <w:sz w:val="16"/>
          <w:szCs w:val="16"/>
        </w:rPr>
      </w:pPr>
      <w:r w:rsidRPr="007224C3">
        <w:rPr>
          <w:rFonts w:ascii="Times New Roman" w:eastAsia="Times New Roman" w:hAnsi="Times New Roman"/>
          <w:color w:val="000000" w:themeColor="text1"/>
          <w:sz w:val="16"/>
          <w:szCs w:val="16"/>
        </w:rPr>
        <w:t>4 мая 1944 закончили наземные государственные испытания НС-23, а 7 июня 1944 г. были завершены летные испытания пушки НС-23 на истребителе Як-9. Пушка НС-23 с новым патроном получила поддержку командования ВВС (15979).</w:t>
      </w:r>
    </w:p>
    <w:p w14:paraId="793790A4" w14:textId="77777777" w:rsidR="001F4816" w:rsidRPr="007224C3" w:rsidRDefault="001F4816" w:rsidP="007224C3">
      <w:pPr>
        <w:shd w:val="clear" w:color="auto" w:fill="FFFFFF"/>
        <w:spacing w:after="0" w:line="240" w:lineRule="auto"/>
        <w:jc w:val="both"/>
        <w:rPr>
          <w:rFonts w:ascii="Times New Roman" w:eastAsia="Times New Roman" w:hAnsi="Times New Roman"/>
          <w:color w:val="000000" w:themeColor="text1"/>
          <w:sz w:val="16"/>
          <w:szCs w:val="16"/>
        </w:rPr>
      </w:pPr>
    </w:p>
    <w:p w14:paraId="63B4DFBC" w14:textId="77777777" w:rsidR="008B289D" w:rsidRPr="007224C3" w:rsidRDefault="008B289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4 мая в 1944 году завершился комплекс наземных испытаний пушки конструкции А.Нудельмана и А.Суранова </w:t>
      </w:r>
      <w:hyperlink r:id="rId113" w:tgtFrame="_blank" w:history="1">
        <w:r w:rsidRPr="007224C3">
          <w:rPr>
            <w:rFonts w:ascii="Times New Roman" w:hAnsi="Times New Roman"/>
            <w:color w:val="000000" w:themeColor="text1"/>
            <w:sz w:val="16"/>
            <w:szCs w:val="16"/>
          </w:rPr>
          <w:t xml:space="preserve">«НС-23» </w:t>
        </w:r>
      </w:hyperlink>
      <w:r w:rsidRPr="007224C3">
        <w:rPr>
          <w:rFonts w:ascii="Times New Roman" w:hAnsi="Times New Roman"/>
          <w:color w:val="000000" w:themeColor="text1"/>
          <w:sz w:val="16"/>
          <w:szCs w:val="16"/>
        </w:rPr>
        <w:t>калибра 23 мм с боезапасом 300 снарядов на истребителе «Як-9», а к 7 мая 1944 года - и летных государственных испытаний (14881).</w:t>
      </w:r>
    </w:p>
    <w:p w14:paraId="2CF81F51" w14:textId="77777777" w:rsidR="008B289D" w:rsidRPr="007224C3" w:rsidRDefault="008B289D" w:rsidP="007224C3">
      <w:pPr>
        <w:spacing w:after="0" w:line="240" w:lineRule="auto"/>
        <w:jc w:val="both"/>
        <w:rPr>
          <w:rFonts w:ascii="Times New Roman" w:hAnsi="Times New Roman"/>
          <w:color w:val="000000" w:themeColor="text1"/>
          <w:sz w:val="16"/>
          <w:szCs w:val="16"/>
        </w:rPr>
      </w:pPr>
    </w:p>
    <w:p w14:paraId="45D62F1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мая 1944 вышло постановление N ГОКО-5801сс об оснащении электропусками конструкции ...пулеметов ШКАС калибра 7.62 мм и, Березина 12.7 мм и на пушках ВЯ 23 мм и НС-37 (1583).</w:t>
      </w:r>
    </w:p>
    <w:p w14:paraId="44D9FFF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НКВ Д.Ф.Устинова и ГК Шпитального, Березина, Волкова, Ярцева, Нудельмана, Суранова внести необходимые изменения в выпускаемые серийно авиапулеметы и пушки для установки электропусков Китаенко.</w:t>
      </w:r>
    </w:p>
    <w:p w14:paraId="7A3E7D4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A59DE7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мая 1944 г. закончились наземные государственные испытания НС-23, а 7 июня 1944 г. были завершены и летные испытания на Як-9 (10695).</w:t>
      </w:r>
    </w:p>
    <w:p w14:paraId="74B97AC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AA86A4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мая 1944 года начальник лаборатории N 2 С. Христианович писал письмо Шахурину.</w:t>
      </w:r>
    </w:p>
    <w:p w14:paraId="7A01158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Постановлением ГКО от 19 апреля 1944 года, разработанные в ЦАГИ реактивные снаряды М-13 и М-31 повышенной кучности приняты на вооружение КА.</w:t>
      </w:r>
    </w:p>
    <w:p w14:paraId="16A4CF8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постановлении ГКО в качестве авторов предложения указаны Шор Я.Б. и Христианович С.А.</w:t>
      </w:r>
    </w:p>
    <w:p w14:paraId="4BBAAAC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 избежание недоразумений, могущих иметь место в дальнейшем в вопросах, в которых авторство может иметь значение, считаю своим долгом сообщить Вам, что основными авторами данного конкретного предложения, послужившего основой разработки снарядов повышенной кучности М-13 и М-31 являются работники ЦАГИ Гантмахер Ф.Р., Левин Л.М., Слезингер И.И. Вся основная часть работы, в том числе и подавляющее большинство производственных работ проводилось в ЦАГИ.</w:t>
      </w:r>
    </w:p>
    <w:p w14:paraId="5336D01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управление вооружения Гвардейских минометных частей всячески содействовало проведению данной работы и в лице Шор Я.Б. внесло много ценных предложений в ходе разработки окончательных вариантов снарядов7</w:t>
      </w:r>
    </w:p>
    <w:p w14:paraId="78D8D6F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тому же надо отметить, что хотя идея улучшения кучности реактивных снарядов путем придания или вращения была известна уже давно, однако опыты ГУВГМЧ со снарядами, снабженными косопоставленным оперением, послужили толчком для предложения, выдвинутого ЦАГИ. Снаряды, снабженные косопоставленным оперением, не дают значительного увеличения кучности и поэтому не были приняты на вооружение, но сравнение проведенных с ними опытов с расчетами по теории, разработанной в ЦАГИ, явилось ступенью к предложению выдвинутому ЦАГИ.</w:t>
      </w:r>
    </w:p>
    <w:p w14:paraId="31BCBEA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Принимая все это во внимание, упомянутая группа работников ЦАГИ сочла возможным включить в число авторов предложения об улучшении кучности снарядов М-13 и М-31 работников ГУВГМЧ Шора Я.Б., Пена С.И. и Семенова А.И., считая, что основную роль со стороны ГУВГМЧ в проведении данной работы играл Шор Я.Б. (1821).</w:t>
      </w:r>
    </w:p>
    <w:p w14:paraId="30EB6B4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7F75B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мая 1944 вышло Постановление ГКО № 5800 О Таганрогском самолетостроительном заводе. РГАНИР, Фонд ГКО, д. 249, лл. 146-149,150-153 (11012).</w:t>
      </w:r>
    </w:p>
    <w:p w14:paraId="7ED4793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83A7371" w14:textId="77777777" w:rsidR="0090533F" w:rsidRPr="007224C3" w:rsidRDefault="0090533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мая 1944 вышло Постановление ГКО № 5800 О Таганрогском самолетостроительном заводе</w:t>
      </w:r>
    </w:p>
    <w:p w14:paraId="356B8EB1" w14:textId="77777777" w:rsidR="0090533F" w:rsidRPr="007224C3" w:rsidRDefault="0090533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Государственный Комитет Обороны постановляет:</w:t>
      </w:r>
    </w:p>
    <w:p w14:paraId="7A4DF191" w14:textId="77777777" w:rsidR="0090533F" w:rsidRPr="007224C3" w:rsidRDefault="0090533F" w:rsidP="007224C3">
      <w:pPr>
        <w:tabs>
          <w:tab w:val="left" w:pos="1494"/>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Обязать Наркомавиапром - т.Шахурина организо</w:t>
      </w:r>
      <w:r w:rsidRPr="007224C3">
        <w:rPr>
          <w:rFonts w:ascii="Times New Roman" w:hAnsi="Times New Roman"/>
          <w:color w:val="000000" w:themeColor="text1"/>
          <w:sz w:val="16"/>
          <w:szCs w:val="16"/>
        </w:rPr>
        <w:softHyphen/>
        <w:t xml:space="preserve">вать на Таганрогской самолетостроительном заводе № 86 капитальный ремонт самолетов всех типов, в том числе самолетов ЕР-2, и к началу </w:t>
      </w:r>
      <w:r w:rsidRPr="007224C3">
        <w:rPr>
          <w:rFonts w:ascii="Times New Roman" w:hAnsi="Times New Roman"/>
          <w:color w:val="000000" w:themeColor="text1"/>
          <w:sz w:val="16"/>
          <w:szCs w:val="16"/>
          <w:lang w:val="en-US"/>
        </w:rPr>
        <w:t>i</w:t>
      </w:r>
      <w:r w:rsidRPr="007224C3">
        <w:rPr>
          <w:rFonts w:ascii="Times New Roman" w:hAnsi="Times New Roman"/>
          <w:color w:val="000000" w:themeColor="text1"/>
          <w:sz w:val="16"/>
          <w:szCs w:val="16"/>
        </w:rPr>
        <w:t>945 года начать на этом заводе выпуск само лотов ЕР-2.</w:t>
      </w:r>
    </w:p>
    <w:p w14:paraId="1B393CA4" w14:textId="77777777" w:rsidR="0090533F" w:rsidRPr="007224C3" w:rsidRDefault="0090533F" w:rsidP="007224C3">
      <w:pPr>
        <w:tabs>
          <w:tab w:val="left" w:pos="1487"/>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Установить заводу № 86 НКАП следующую произ</w:t>
      </w:r>
      <w:r w:rsidRPr="007224C3">
        <w:rPr>
          <w:rFonts w:ascii="Times New Roman" w:hAnsi="Times New Roman"/>
          <w:color w:val="000000" w:themeColor="text1"/>
          <w:sz w:val="16"/>
          <w:szCs w:val="16"/>
        </w:rPr>
        <w:softHyphen/>
        <w:t>водственную программу:</w:t>
      </w:r>
    </w:p>
    <w:p w14:paraId="7DD827E1" w14:textId="77777777" w:rsidR="0090533F" w:rsidRPr="007224C3" w:rsidRDefault="0090533F" w:rsidP="007224C3">
      <w:pPr>
        <w:tabs>
          <w:tab w:val="left" w:pos="1502"/>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по капитальному ремонту самолетов в 1944 году: ЕР-2 в количестве 30 самолетов, Ил-2 - 110 самолетов и У-2 - 120 самолетов, в том числе во втором квартале с.г. 10 самолетов Ил-2 и 65 самолетов У-2.</w:t>
      </w:r>
    </w:p>
    <w:p w14:paraId="687EEDCE" w14:textId="77777777" w:rsidR="0090533F" w:rsidRPr="007224C3" w:rsidRDefault="0090533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К ремонту самолетов Ер-2 приступить с августа </w:t>
      </w:r>
      <w:r w:rsidRPr="007224C3">
        <w:rPr>
          <w:rStyle w:val="1pt"/>
          <w:rFonts w:ascii="Times New Roman" w:hAnsi="Times New Roman" w:cs="Times New Roman"/>
          <w:color w:val="000000" w:themeColor="text1"/>
          <w:spacing w:val="0"/>
          <w:sz w:val="16"/>
          <w:szCs w:val="16"/>
        </w:rPr>
        <w:t>с.г.</w:t>
      </w:r>
    </w:p>
    <w:p w14:paraId="6875D678" w14:textId="77777777" w:rsidR="0090533F" w:rsidRPr="007224C3" w:rsidRDefault="0090533F" w:rsidP="007224C3">
      <w:pPr>
        <w:tabs>
          <w:tab w:val="left" w:pos="1502"/>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по выпуску новых самолетов Ер-2 из агрегатов завода № 39 НКАП в следующих количествах: в январе 1945 года 5 самолета; в феврале 1945 года 5 самолетов и в марте 1945 года 10 самолетов;</w:t>
      </w:r>
    </w:p>
    <w:p w14:paraId="0BB1A33F" w14:textId="77777777" w:rsidR="0090533F" w:rsidRPr="007224C3" w:rsidRDefault="0090533F" w:rsidP="007224C3">
      <w:pPr>
        <w:tabs>
          <w:tab w:val="left" w:pos="1494"/>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по выпуску самолетов Ер-2 из агрегатов собственного производства в следующих количествах: в апреле 1945 г. один самолет, в мае 1945 года 3 самолета, в июне 1945 года 10 самолетов, в июле 1945 года 20 самоле</w:t>
      </w:r>
      <w:r w:rsidRPr="007224C3">
        <w:rPr>
          <w:rFonts w:ascii="Times New Roman" w:hAnsi="Times New Roman"/>
          <w:color w:val="000000" w:themeColor="text1"/>
          <w:sz w:val="16"/>
          <w:szCs w:val="16"/>
        </w:rPr>
        <w:softHyphen/>
        <w:t>тов и с августа 1945 года выпускать по одному самолету Ер-2 в сутки.</w:t>
      </w:r>
    </w:p>
    <w:p w14:paraId="38D05FB6" w14:textId="77777777" w:rsidR="0090533F" w:rsidRPr="007224C3" w:rsidRDefault="0090533F" w:rsidP="007224C3">
      <w:pPr>
        <w:tabs>
          <w:tab w:val="left" w:pos="1478"/>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Обязать Наркомавиапром - т.Шахурина:</w:t>
      </w:r>
    </w:p>
    <w:p w14:paraId="2CF488F5" w14:textId="77777777" w:rsidR="0090533F" w:rsidRPr="007224C3" w:rsidRDefault="0090533F" w:rsidP="007224C3">
      <w:pPr>
        <w:tabs>
          <w:tab w:val="left" w:pos="858"/>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наряду о производством ремонта самолетов произвести на заводе № 86 в г.Таганроге строительно-вос</w:t>
      </w:r>
      <w:r w:rsidRPr="007224C3">
        <w:rPr>
          <w:rFonts w:ascii="Times New Roman" w:hAnsi="Times New Roman"/>
          <w:color w:val="000000" w:themeColor="text1"/>
          <w:sz w:val="16"/>
          <w:szCs w:val="16"/>
        </w:rPr>
        <w:softHyphen/>
        <w:t>становительные работы и ввести в зксплоатацию 40900 кв.метров производственных площадей завода, в том числе:</w:t>
      </w:r>
    </w:p>
    <w:p w14:paraId="3C36EF8D" w14:textId="77777777" w:rsidR="0090533F" w:rsidRPr="007224C3" w:rsidRDefault="0090533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дюралево-заготовительяне и агрегатные цехи площадью 23600 кв.метров к 1 декабря 1944 года;</w:t>
      </w:r>
    </w:p>
    <w:p w14:paraId="2290D82E" w14:textId="77777777" w:rsidR="0090533F" w:rsidRPr="007224C3" w:rsidRDefault="0090533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сборочный цех площадью 7200 кв.метров к 15 де</w:t>
      </w:r>
      <w:r w:rsidRPr="007224C3">
        <w:rPr>
          <w:rFonts w:ascii="Times New Roman" w:hAnsi="Times New Roman"/>
          <w:color w:val="000000" w:themeColor="text1"/>
          <w:sz w:val="16"/>
          <w:szCs w:val="16"/>
        </w:rPr>
        <w:softHyphen/>
        <w:t>кабря 1944 года;</w:t>
      </w:r>
    </w:p>
    <w:p w14:paraId="29C21C07" w14:textId="77777777" w:rsidR="0090533F" w:rsidRPr="007224C3" w:rsidRDefault="0090533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инструментальный цех площадью 1700 кв.метров к 15 июля 1944 года;</w:t>
      </w:r>
    </w:p>
    <w:p w14:paraId="16B9FEAE" w14:textId="77777777" w:rsidR="0090533F" w:rsidRPr="007224C3" w:rsidRDefault="0090533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вспомогательные эдания общей площадью 8400 кв. метров в первом квартале 1945 года;</w:t>
      </w:r>
    </w:p>
    <w:p w14:paraId="786C0D48" w14:textId="77777777" w:rsidR="0090533F" w:rsidRPr="007224C3" w:rsidRDefault="0090533F" w:rsidP="007224C3">
      <w:pPr>
        <w:tabs>
          <w:tab w:val="left" w:pos="841"/>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для выполнения строительно-восстановительных работ на заводе № 86 НКАП организовать строительно- монтажное управление № 17;</w:t>
      </w:r>
    </w:p>
    <w:p w14:paraId="64468C93" w14:textId="77777777" w:rsidR="0090533F" w:rsidRPr="007224C3" w:rsidRDefault="0090533F" w:rsidP="007224C3">
      <w:pPr>
        <w:tabs>
          <w:tab w:val="left" w:pos="858"/>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 выделить заводу № 86 в июне-июле </w:t>
      </w:r>
      <w:r w:rsidRPr="007224C3">
        <w:rPr>
          <w:rFonts w:ascii="Times New Roman" w:hAnsi="Times New Roman"/>
          <w:color w:val="000000" w:themeColor="text1"/>
          <w:sz w:val="16"/>
          <w:szCs w:val="16"/>
          <w:lang w:val="en-US"/>
        </w:rPr>
        <w:t>c</w:t>
      </w:r>
      <w:r w:rsidRPr="007224C3">
        <w:rPr>
          <w:rFonts w:ascii="Times New Roman" w:hAnsi="Times New Roman"/>
          <w:color w:val="000000" w:themeColor="text1"/>
          <w:sz w:val="16"/>
          <w:szCs w:val="16"/>
        </w:rPr>
        <w:t>.</w:t>
      </w:r>
      <w:r w:rsidRPr="007224C3">
        <w:rPr>
          <w:rFonts w:ascii="Times New Roman" w:hAnsi="Times New Roman"/>
          <w:color w:val="000000" w:themeColor="text1"/>
          <w:sz w:val="16"/>
          <w:szCs w:val="16"/>
          <w:lang w:val="en-US"/>
        </w:rPr>
        <w:t>r</w:t>
      </w:r>
      <w:r w:rsidRPr="007224C3">
        <w:rPr>
          <w:rFonts w:ascii="Times New Roman" w:hAnsi="Times New Roman"/>
          <w:color w:val="000000" w:themeColor="text1"/>
          <w:sz w:val="16"/>
          <w:szCs w:val="16"/>
        </w:rPr>
        <w:t>. 15С единиц оборудования за счет пероброски с других заво</w:t>
      </w:r>
      <w:r w:rsidRPr="007224C3">
        <w:rPr>
          <w:rFonts w:ascii="Times New Roman" w:hAnsi="Times New Roman"/>
          <w:color w:val="000000" w:themeColor="text1"/>
          <w:sz w:val="16"/>
          <w:szCs w:val="16"/>
        </w:rPr>
        <w:softHyphen/>
        <w:t>дов НКАП.</w:t>
      </w:r>
    </w:p>
    <w:p w14:paraId="018BC257" w14:textId="77777777" w:rsidR="0090533F" w:rsidRPr="007224C3" w:rsidRDefault="0090533F" w:rsidP="007224C3">
      <w:pPr>
        <w:tabs>
          <w:tab w:val="left" w:pos="845"/>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Обязать Наркомавиапром т.Шахурина и директора завода № 39 т.Абрамова:</w:t>
      </w:r>
    </w:p>
    <w:p w14:paraId="69AB3C66" w14:textId="77777777" w:rsidR="0090533F" w:rsidRPr="007224C3" w:rsidRDefault="0090533F" w:rsidP="007224C3">
      <w:pPr>
        <w:tabs>
          <w:tab w:val="left" w:pos="884"/>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изготовить и сдать заводу № 86 к 1 июля 1944 года один комплект оснастки и приспособлений для производства самолетов Е</w:t>
      </w:r>
      <w:r w:rsidRPr="007224C3">
        <w:rPr>
          <w:rFonts w:ascii="Times New Roman" w:hAnsi="Times New Roman"/>
          <w:color w:val="000000" w:themeColor="text1"/>
          <w:sz w:val="16"/>
          <w:szCs w:val="16"/>
          <w:lang w:val="en-US"/>
        </w:rPr>
        <w:t>p</w:t>
      </w:r>
      <w:r w:rsidRPr="007224C3">
        <w:rPr>
          <w:rFonts w:ascii="Times New Roman" w:hAnsi="Times New Roman"/>
          <w:color w:val="000000" w:themeColor="text1"/>
          <w:sz w:val="16"/>
          <w:szCs w:val="16"/>
        </w:rPr>
        <w:t>-2</w:t>
      </w:r>
    </w:p>
    <w:p w14:paraId="6939091E" w14:textId="77777777" w:rsidR="0090533F" w:rsidRPr="007224C3" w:rsidRDefault="0090533F" w:rsidP="007224C3">
      <w:pPr>
        <w:tabs>
          <w:tab w:val="left" w:pos="1905"/>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б) поставить заводу 86 НКАП с завода № 39 НКАП 25 самолетов Ер-2 в агрегатах и деталях, в том числе: в ноябре </w:t>
      </w:r>
      <w:r w:rsidRPr="007224C3">
        <w:rPr>
          <w:rStyle w:val="0pt"/>
          <w:rFonts w:ascii="Times New Roman" w:hAnsi="Times New Roman" w:cs="Times New Roman"/>
          <w:color w:val="000000" w:themeColor="text1"/>
          <w:spacing w:val="0"/>
          <w:sz w:val="16"/>
          <w:szCs w:val="16"/>
        </w:rPr>
        <w:t>с.г.</w:t>
      </w:r>
      <w:r w:rsidRPr="007224C3">
        <w:rPr>
          <w:rFonts w:ascii="Times New Roman" w:hAnsi="Times New Roman"/>
          <w:color w:val="000000" w:themeColor="text1"/>
          <w:sz w:val="16"/>
          <w:szCs w:val="16"/>
        </w:rPr>
        <w:t xml:space="preserve"> на 5 самолетов, в декабре </w:t>
      </w:r>
      <w:r w:rsidRPr="007224C3">
        <w:rPr>
          <w:rStyle w:val="0pt"/>
          <w:rFonts w:ascii="Times New Roman" w:hAnsi="Times New Roman" w:cs="Times New Roman"/>
          <w:color w:val="000000" w:themeColor="text1"/>
          <w:spacing w:val="0"/>
          <w:sz w:val="16"/>
          <w:szCs w:val="16"/>
        </w:rPr>
        <w:t>с.г.</w:t>
      </w:r>
      <w:r w:rsidRPr="007224C3">
        <w:rPr>
          <w:rFonts w:ascii="Times New Roman" w:hAnsi="Times New Roman"/>
          <w:color w:val="000000" w:themeColor="text1"/>
          <w:sz w:val="16"/>
          <w:szCs w:val="16"/>
        </w:rPr>
        <w:t xml:space="preserve"> на 10 самолетов и в январе 1945 г. на 10 самоле</w:t>
      </w:r>
      <w:r w:rsidRPr="007224C3">
        <w:rPr>
          <w:rFonts w:ascii="Times New Roman" w:hAnsi="Times New Roman"/>
          <w:color w:val="000000" w:themeColor="text1"/>
          <w:sz w:val="16"/>
          <w:szCs w:val="16"/>
        </w:rPr>
        <w:softHyphen/>
        <w:t>тов.</w:t>
      </w:r>
    </w:p>
    <w:p w14:paraId="4C1FB710" w14:textId="77777777" w:rsidR="0090533F" w:rsidRPr="007224C3" w:rsidRDefault="0090533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 xml:space="preserve">5. Обязать Наркомвнешторг - т.Микояна поставить Наркомавиапрому из поступлений по импорту целевым назначением для Таганрогского самолетостроительного завода № 86 НКАП 850 единиц импортного оборудования, в том числе: </w:t>
      </w:r>
      <w:r w:rsidRPr="007224C3">
        <w:rPr>
          <w:rStyle w:val="0pt"/>
          <w:rFonts w:ascii="Times New Roman" w:hAnsi="Times New Roman" w:cs="Times New Roman"/>
          <w:color w:val="000000" w:themeColor="text1"/>
          <w:spacing w:val="0"/>
          <w:sz w:val="16"/>
          <w:szCs w:val="16"/>
        </w:rPr>
        <w:t>350</w:t>
      </w:r>
      <w:r w:rsidRPr="007224C3">
        <w:rPr>
          <w:rFonts w:ascii="Times New Roman" w:hAnsi="Times New Roman"/>
          <w:color w:val="000000" w:themeColor="text1"/>
          <w:sz w:val="16"/>
          <w:szCs w:val="16"/>
        </w:rPr>
        <w:t xml:space="preserve"> единиц во П полугодии </w:t>
      </w:r>
      <w:r w:rsidRPr="007224C3">
        <w:rPr>
          <w:rStyle w:val="0pt"/>
          <w:rFonts w:ascii="Times New Roman" w:hAnsi="Times New Roman" w:cs="Times New Roman"/>
          <w:color w:val="000000" w:themeColor="text1"/>
          <w:spacing w:val="0"/>
          <w:sz w:val="16"/>
          <w:szCs w:val="16"/>
        </w:rPr>
        <w:t>1944</w:t>
      </w:r>
      <w:r w:rsidRPr="007224C3">
        <w:rPr>
          <w:rFonts w:ascii="Times New Roman" w:hAnsi="Times New Roman"/>
          <w:color w:val="000000" w:themeColor="text1"/>
          <w:sz w:val="16"/>
          <w:szCs w:val="16"/>
        </w:rPr>
        <w:t xml:space="preserve"> года и 500 единиц в 1 полугодии </w:t>
      </w:r>
      <w:r w:rsidRPr="007224C3">
        <w:rPr>
          <w:rStyle w:val="0pt"/>
          <w:rFonts w:ascii="Times New Roman" w:hAnsi="Times New Roman" w:cs="Times New Roman"/>
          <w:color w:val="000000" w:themeColor="text1"/>
          <w:spacing w:val="0"/>
          <w:sz w:val="16"/>
          <w:szCs w:val="16"/>
        </w:rPr>
        <w:t>1945</w:t>
      </w:r>
      <w:r w:rsidRPr="007224C3">
        <w:rPr>
          <w:rFonts w:ascii="Times New Roman" w:hAnsi="Times New Roman"/>
          <w:color w:val="000000" w:themeColor="text1"/>
          <w:sz w:val="16"/>
          <w:szCs w:val="16"/>
        </w:rPr>
        <w:t xml:space="preserve"> года, согласно приложе</w:t>
      </w:r>
      <w:r w:rsidRPr="007224C3">
        <w:rPr>
          <w:rFonts w:ascii="Times New Roman" w:hAnsi="Times New Roman"/>
          <w:color w:val="000000" w:themeColor="text1"/>
          <w:sz w:val="16"/>
          <w:szCs w:val="16"/>
        </w:rPr>
        <w:softHyphen/>
        <w:t>нию № 1.</w:t>
      </w:r>
    </w:p>
    <w:p w14:paraId="77BEC19E" w14:textId="77777777" w:rsidR="0090533F" w:rsidRPr="007224C3" w:rsidRDefault="0090533F" w:rsidP="007224C3">
      <w:pPr>
        <w:tabs>
          <w:tab w:val="left" w:pos="990"/>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Обязать Наркомстанкостроения - т.Ефремова поста</w:t>
      </w:r>
      <w:r w:rsidRPr="007224C3">
        <w:rPr>
          <w:rFonts w:ascii="Times New Roman" w:hAnsi="Times New Roman"/>
          <w:color w:val="000000" w:themeColor="text1"/>
          <w:sz w:val="16"/>
          <w:szCs w:val="16"/>
        </w:rPr>
        <w:softHyphen/>
        <w:t xml:space="preserve">вить в Ш квартале </w:t>
      </w:r>
      <w:r w:rsidRPr="007224C3">
        <w:rPr>
          <w:rStyle w:val="16"/>
          <w:rFonts w:ascii="Times New Roman" w:hAnsi="Times New Roman" w:cs="Times New Roman"/>
          <w:color w:val="000000" w:themeColor="text1"/>
          <w:spacing w:val="0"/>
          <w:u w:val="none"/>
        </w:rPr>
        <w:t>с.г.</w:t>
      </w:r>
      <w:r w:rsidRPr="007224C3">
        <w:rPr>
          <w:rFonts w:ascii="Times New Roman" w:hAnsi="Times New Roman"/>
          <w:color w:val="000000" w:themeColor="text1"/>
          <w:sz w:val="16"/>
          <w:szCs w:val="16"/>
        </w:rPr>
        <w:t xml:space="preserve"> Таганрогскому заводу № 86 НКАП </w:t>
      </w:r>
      <w:r w:rsidRPr="007224C3">
        <w:rPr>
          <w:rStyle w:val="0pt"/>
          <w:rFonts w:ascii="Times New Roman" w:hAnsi="Times New Roman" w:cs="Times New Roman"/>
          <w:color w:val="000000" w:themeColor="text1"/>
          <w:spacing w:val="0"/>
          <w:sz w:val="16"/>
          <w:szCs w:val="16"/>
        </w:rPr>
        <w:t>100</w:t>
      </w:r>
      <w:r w:rsidRPr="007224C3">
        <w:rPr>
          <w:rFonts w:ascii="Times New Roman" w:hAnsi="Times New Roman"/>
          <w:color w:val="000000" w:themeColor="text1"/>
          <w:sz w:val="16"/>
          <w:szCs w:val="16"/>
        </w:rPr>
        <w:t xml:space="preserve"> единиц металлорежущего оборудования, согласно при</w:t>
      </w:r>
      <w:r w:rsidRPr="007224C3">
        <w:rPr>
          <w:rFonts w:ascii="Times New Roman" w:hAnsi="Times New Roman"/>
          <w:color w:val="000000" w:themeColor="text1"/>
          <w:sz w:val="16"/>
          <w:szCs w:val="16"/>
        </w:rPr>
        <w:softHyphen/>
        <w:t>ложению</w:t>
      </w:r>
      <w:r w:rsidRPr="007224C3">
        <w:rPr>
          <w:rStyle w:val="8pt1pt"/>
          <w:rFonts w:ascii="Times New Roman" w:hAnsi="Times New Roman" w:cs="Times New Roman"/>
          <w:color w:val="000000" w:themeColor="text1"/>
          <w:spacing w:val="0"/>
        </w:rPr>
        <w:t xml:space="preserve"> № 2</w:t>
      </w:r>
    </w:p>
    <w:p w14:paraId="6C16BE4F" w14:textId="77777777" w:rsidR="0090533F" w:rsidRPr="007224C3" w:rsidRDefault="0090533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Госплану СССР предусмотрев в плане распределения оборудования на Ш квартал </w:t>
      </w:r>
      <w:r w:rsidRPr="007224C3">
        <w:rPr>
          <w:rStyle w:val="16"/>
          <w:rFonts w:ascii="Times New Roman" w:hAnsi="Times New Roman" w:cs="Times New Roman"/>
          <w:color w:val="000000" w:themeColor="text1"/>
          <w:spacing w:val="0"/>
          <w:u w:val="none"/>
        </w:rPr>
        <w:t>с.г.</w:t>
      </w:r>
      <w:r w:rsidRPr="007224C3">
        <w:rPr>
          <w:rFonts w:ascii="Times New Roman" w:hAnsi="Times New Roman"/>
          <w:color w:val="000000" w:themeColor="text1"/>
          <w:sz w:val="16"/>
          <w:szCs w:val="16"/>
        </w:rPr>
        <w:t xml:space="preserve"> выделение заводу 86 НКАП указанного оборудования целевым назначением.</w:t>
      </w:r>
    </w:p>
    <w:p w14:paraId="3F8FDCE7" w14:textId="77777777" w:rsidR="0090533F" w:rsidRPr="007224C3" w:rsidRDefault="0090533F" w:rsidP="007224C3">
      <w:pPr>
        <w:tabs>
          <w:tab w:val="left" w:pos="1013"/>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Обязать Наркомсредмаш - т.Акопова, директора 3И</w:t>
      </w:r>
      <w:r w:rsidRPr="007224C3">
        <w:rPr>
          <w:rFonts w:ascii="Times New Roman" w:hAnsi="Times New Roman"/>
          <w:color w:val="000000" w:themeColor="text1"/>
          <w:sz w:val="16"/>
          <w:szCs w:val="16"/>
          <w:lang w:val="en-US"/>
        </w:rPr>
        <w:t>C</w:t>
      </w:r>
      <w:r w:rsidRPr="007224C3">
        <w:rPr>
          <w:rFonts w:ascii="Times New Roman" w:hAnsi="Times New Roman"/>
          <w:color w:val="000000" w:themeColor="text1"/>
          <w:sz w:val="16"/>
          <w:szCs w:val="16"/>
        </w:rPr>
        <w:t xml:space="preserve"> - т.Лихачева и директора Алтайского тракторного завода - т.Парфенова в десятидневный срок отгрузить Таганрогскому заводу № 86 НКАП </w:t>
      </w:r>
      <w:r w:rsidRPr="007224C3">
        <w:rPr>
          <w:rStyle w:val="0pt"/>
          <w:rFonts w:ascii="Times New Roman" w:hAnsi="Times New Roman" w:cs="Times New Roman"/>
          <w:color w:val="000000" w:themeColor="text1"/>
          <w:spacing w:val="0"/>
          <w:sz w:val="16"/>
          <w:szCs w:val="16"/>
        </w:rPr>
        <w:t>30</w:t>
      </w:r>
      <w:r w:rsidRPr="007224C3">
        <w:rPr>
          <w:rFonts w:ascii="Times New Roman" w:hAnsi="Times New Roman"/>
          <w:color w:val="000000" w:themeColor="text1"/>
          <w:sz w:val="16"/>
          <w:szCs w:val="16"/>
        </w:rPr>
        <w:t xml:space="preserve"> штук грузовых авто</w:t>
      </w:r>
      <w:r w:rsidRPr="007224C3">
        <w:rPr>
          <w:rFonts w:ascii="Times New Roman" w:hAnsi="Times New Roman"/>
          <w:color w:val="000000" w:themeColor="text1"/>
          <w:sz w:val="16"/>
          <w:szCs w:val="16"/>
        </w:rPr>
        <w:softHyphen/>
        <w:t>машин и</w:t>
      </w:r>
      <w:r w:rsidRPr="007224C3">
        <w:rPr>
          <w:rStyle w:val="TimesNewRoman11pt0pt"/>
          <w:rFonts w:eastAsia="Calibri"/>
          <w:color w:val="000000" w:themeColor="text1"/>
          <w:sz w:val="16"/>
          <w:szCs w:val="16"/>
        </w:rPr>
        <w:t xml:space="preserve"> 2</w:t>
      </w:r>
      <w:r w:rsidRPr="007224C3">
        <w:rPr>
          <w:rFonts w:ascii="Times New Roman" w:hAnsi="Times New Roman"/>
          <w:color w:val="000000" w:themeColor="text1"/>
          <w:sz w:val="16"/>
          <w:szCs w:val="16"/>
        </w:rPr>
        <w:t xml:space="preserve"> трактора за счет поставок НКО.</w:t>
      </w:r>
    </w:p>
    <w:p w14:paraId="0D1A5BAB" w14:textId="77777777" w:rsidR="0090533F" w:rsidRPr="007224C3" w:rsidRDefault="0090533F" w:rsidP="007224C3">
      <w:pPr>
        <w:tabs>
          <w:tab w:val="left" w:pos="990"/>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Обязать Комитет по учету и распределению рабо</w:t>
      </w:r>
      <w:r w:rsidRPr="007224C3">
        <w:rPr>
          <w:rFonts w:ascii="Times New Roman" w:hAnsi="Times New Roman"/>
          <w:color w:val="000000" w:themeColor="text1"/>
          <w:sz w:val="16"/>
          <w:szCs w:val="16"/>
        </w:rPr>
        <w:softHyphen/>
        <w:t>чей силы при СНК СССР - т.Шверника и председателя Ростов</w:t>
      </w:r>
      <w:r w:rsidRPr="007224C3">
        <w:rPr>
          <w:rFonts w:ascii="Times New Roman" w:hAnsi="Times New Roman"/>
          <w:color w:val="000000" w:themeColor="text1"/>
          <w:sz w:val="16"/>
          <w:szCs w:val="16"/>
        </w:rPr>
        <w:softHyphen/>
        <w:t xml:space="preserve">ского облисполкома - т.Кипаренко мобилизовать в мае- июне </w:t>
      </w:r>
      <w:r w:rsidRPr="007224C3">
        <w:rPr>
          <w:rStyle w:val="16"/>
          <w:rFonts w:ascii="Times New Roman" w:hAnsi="Times New Roman" w:cs="Times New Roman"/>
          <w:color w:val="000000" w:themeColor="text1"/>
          <w:spacing w:val="0"/>
          <w:u w:val="none"/>
        </w:rPr>
        <w:t>с.г.</w:t>
      </w:r>
      <w:r w:rsidRPr="007224C3">
        <w:rPr>
          <w:rFonts w:ascii="Times New Roman" w:hAnsi="Times New Roman"/>
          <w:color w:val="000000" w:themeColor="text1"/>
          <w:sz w:val="16"/>
          <w:szCs w:val="16"/>
        </w:rPr>
        <w:t xml:space="preserve"> для работы на Таганрогском заводе № 86 НКАП </w:t>
      </w:r>
      <w:r w:rsidRPr="007224C3">
        <w:rPr>
          <w:rStyle w:val="0pt"/>
          <w:rFonts w:ascii="Times New Roman" w:hAnsi="Times New Roman" w:cs="Times New Roman"/>
          <w:color w:val="000000" w:themeColor="text1"/>
          <w:spacing w:val="0"/>
          <w:sz w:val="16"/>
          <w:szCs w:val="16"/>
        </w:rPr>
        <w:t>1500</w:t>
      </w:r>
      <w:r w:rsidRPr="007224C3">
        <w:rPr>
          <w:rFonts w:ascii="Times New Roman" w:hAnsi="Times New Roman"/>
          <w:color w:val="000000" w:themeColor="text1"/>
          <w:sz w:val="16"/>
          <w:szCs w:val="16"/>
        </w:rPr>
        <w:t xml:space="preserve"> человек рабочих из числа трудоспособного населения Ростовской области.</w:t>
      </w:r>
    </w:p>
    <w:p w14:paraId="473B691E" w14:textId="77777777" w:rsidR="0090533F" w:rsidRPr="007224C3" w:rsidRDefault="0090533F" w:rsidP="007224C3">
      <w:pPr>
        <w:tabs>
          <w:tab w:val="left" w:pos="998"/>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9. Обязать Главное Управление трудовых резервов при СНК СССР (т.Москатова) выделить заводу № 86 НКАП в течение </w:t>
      </w:r>
      <w:r w:rsidRPr="007224C3">
        <w:rPr>
          <w:rStyle w:val="0pt"/>
          <w:rFonts w:ascii="Times New Roman" w:hAnsi="Times New Roman" w:cs="Times New Roman"/>
          <w:color w:val="000000" w:themeColor="text1"/>
          <w:spacing w:val="0"/>
          <w:sz w:val="16"/>
          <w:szCs w:val="16"/>
        </w:rPr>
        <w:t>1944</w:t>
      </w:r>
      <w:r w:rsidRPr="007224C3">
        <w:rPr>
          <w:rFonts w:ascii="Times New Roman" w:hAnsi="Times New Roman"/>
          <w:color w:val="000000" w:themeColor="text1"/>
          <w:sz w:val="16"/>
          <w:szCs w:val="16"/>
        </w:rPr>
        <w:t xml:space="preserve"> года 5000 человек молодых рабочих из числа оканчивающих школы ФЗО и ремесленные училища, из них 1000 человек</w:t>
      </w:r>
      <w:r w:rsidRPr="007224C3">
        <w:rPr>
          <w:rStyle w:val="TimesNewRoman85pt1pt"/>
          <w:rFonts w:eastAsia="Calibri"/>
          <w:color w:val="000000" w:themeColor="text1"/>
          <w:spacing w:val="0"/>
          <w:sz w:val="16"/>
          <w:szCs w:val="16"/>
        </w:rPr>
        <w:t xml:space="preserve"> </w:t>
      </w:r>
      <w:r w:rsidRPr="007224C3">
        <w:rPr>
          <w:rStyle w:val="TimesNewRoman85pt1pt"/>
          <w:rFonts w:eastAsia="Gungsuh"/>
          <w:color w:val="000000" w:themeColor="text1"/>
          <w:spacing w:val="0"/>
          <w:sz w:val="16"/>
          <w:szCs w:val="16"/>
        </w:rPr>
        <w:t>в</w:t>
      </w:r>
      <w:r w:rsidRPr="007224C3">
        <w:rPr>
          <w:rStyle w:val="TimesNewRoman85pt1pt"/>
          <w:rFonts w:eastAsia="Calibri"/>
          <w:color w:val="000000" w:themeColor="text1"/>
          <w:spacing w:val="0"/>
          <w:sz w:val="16"/>
          <w:szCs w:val="16"/>
        </w:rPr>
        <w:t>о</w:t>
      </w:r>
      <w:r w:rsidRPr="007224C3">
        <w:rPr>
          <w:rFonts w:ascii="Times New Roman" w:hAnsi="Times New Roman"/>
          <w:color w:val="000000" w:themeColor="text1"/>
          <w:sz w:val="16"/>
          <w:szCs w:val="16"/>
        </w:rPr>
        <w:t xml:space="preserve"> П квартале </w:t>
      </w:r>
      <w:r w:rsidRPr="007224C3">
        <w:rPr>
          <w:rStyle w:val="16"/>
          <w:rFonts w:ascii="Times New Roman" w:hAnsi="Times New Roman" w:cs="Times New Roman"/>
          <w:color w:val="000000" w:themeColor="text1"/>
          <w:spacing w:val="0"/>
          <w:u w:val="none"/>
        </w:rPr>
        <w:t>с.г.</w:t>
      </w:r>
    </w:p>
    <w:p w14:paraId="4D3C6E01" w14:textId="77777777" w:rsidR="0090533F" w:rsidRPr="007224C3" w:rsidRDefault="0090533F" w:rsidP="007224C3">
      <w:pPr>
        <w:tabs>
          <w:tab w:val="left" w:pos="1223"/>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10. Обязать председателя Ростовского облисполкома - т.Кипаренко выделить во П квартале </w:t>
      </w:r>
      <w:r w:rsidRPr="007224C3">
        <w:rPr>
          <w:rStyle w:val="16"/>
          <w:rFonts w:ascii="Times New Roman" w:hAnsi="Times New Roman" w:cs="Times New Roman"/>
          <w:color w:val="000000" w:themeColor="text1"/>
          <w:spacing w:val="0"/>
          <w:u w:val="none"/>
        </w:rPr>
        <w:t>с.г.</w:t>
      </w:r>
      <w:r w:rsidRPr="007224C3">
        <w:rPr>
          <w:rFonts w:ascii="Times New Roman" w:hAnsi="Times New Roman"/>
          <w:color w:val="000000" w:themeColor="text1"/>
          <w:sz w:val="16"/>
          <w:szCs w:val="16"/>
        </w:rPr>
        <w:t xml:space="preserve"> для восстанов</w:t>
      </w:r>
      <w:r w:rsidRPr="007224C3">
        <w:rPr>
          <w:rFonts w:ascii="Times New Roman" w:hAnsi="Times New Roman"/>
          <w:color w:val="000000" w:themeColor="text1"/>
          <w:sz w:val="16"/>
          <w:szCs w:val="16"/>
        </w:rPr>
        <w:softHyphen/>
        <w:t>ления Таганрогского завода № 86 НКАП З00 тонн извести и 1 миллион штук кирпича и обеспечить</w:t>
      </w:r>
      <w:r w:rsidRPr="007224C3">
        <w:rPr>
          <w:rStyle w:val="TimesNewRoman85pt1pt"/>
          <w:rFonts w:eastAsia="Calibri"/>
          <w:color w:val="000000" w:themeColor="text1"/>
          <w:spacing w:val="0"/>
          <w:sz w:val="16"/>
          <w:szCs w:val="16"/>
        </w:rPr>
        <w:t xml:space="preserve"> </w:t>
      </w:r>
      <w:r w:rsidRPr="007224C3">
        <w:rPr>
          <w:rStyle w:val="TimesNewRoman85pt1pt"/>
          <w:rFonts w:eastAsia="Gungsuh"/>
          <w:color w:val="000000" w:themeColor="text1"/>
          <w:spacing w:val="0"/>
          <w:sz w:val="16"/>
          <w:szCs w:val="16"/>
        </w:rPr>
        <w:t>в</w:t>
      </w:r>
      <w:r w:rsidRPr="007224C3">
        <w:rPr>
          <w:rFonts w:ascii="Times New Roman" w:hAnsi="Times New Roman"/>
          <w:color w:val="000000" w:themeColor="text1"/>
          <w:sz w:val="16"/>
          <w:szCs w:val="16"/>
        </w:rPr>
        <w:t xml:space="preserve"> дальнейшем стро</w:t>
      </w:r>
      <w:r w:rsidRPr="007224C3">
        <w:rPr>
          <w:rFonts w:ascii="Times New Roman" w:hAnsi="Times New Roman"/>
          <w:color w:val="000000" w:themeColor="text1"/>
          <w:sz w:val="16"/>
          <w:szCs w:val="16"/>
        </w:rPr>
        <w:softHyphen/>
        <w:t>ительно-восстановительные работы на этом заводе мест</w:t>
      </w:r>
      <w:r w:rsidRPr="007224C3">
        <w:rPr>
          <w:rFonts w:ascii="Times New Roman" w:hAnsi="Times New Roman"/>
          <w:color w:val="000000" w:themeColor="text1"/>
          <w:sz w:val="16"/>
          <w:szCs w:val="16"/>
        </w:rPr>
        <w:softHyphen/>
        <w:t>ными строительными материалами.</w:t>
      </w:r>
    </w:p>
    <w:p w14:paraId="2254E87E" w14:textId="77777777" w:rsidR="0090533F" w:rsidRPr="007224C3" w:rsidRDefault="0090533F" w:rsidP="007224C3">
      <w:pPr>
        <w:tabs>
          <w:tab w:val="left" w:pos="897"/>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Обязать Наркомзаг - т.Субботина и Наркомрыбпром СССР - т.Ишкова выделить Таганрогскому загоду № 86 НКАП по одному району</w:t>
      </w:r>
      <w:r w:rsidRPr="007224C3">
        <w:rPr>
          <w:rStyle w:val="ArialUnicodeMS75pt"/>
          <w:rFonts w:ascii="Times New Roman" w:hAnsi="Times New Roman" w:cs="Times New Roman"/>
          <w:color w:val="000000" w:themeColor="text1"/>
          <w:sz w:val="16"/>
          <w:szCs w:val="16"/>
        </w:rPr>
        <w:t xml:space="preserve"> в</w:t>
      </w:r>
      <w:r w:rsidRPr="007224C3">
        <w:rPr>
          <w:rFonts w:ascii="Times New Roman" w:hAnsi="Times New Roman"/>
          <w:color w:val="000000" w:themeColor="text1"/>
          <w:sz w:val="16"/>
          <w:szCs w:val="16"/>
        </w:rPr>
        <w:t xml:space="preserve"> Ростовской области и Краснодарском крае для проведения децзаготозок всех незерновых и сель</w:t>
      </w:r>
      <w:r w:rsidRPr="007224C3">
        <w:rPr>
          <w:rFonts w:ascii="Times New Roman" w:hAnsi="Times New Roman"/>
          <w:color w:val="000000" w:themeColor="text1"/>
          <w:sz w:val="16"/>
          <w:szCs w:val="16"/>
        </w:rPr>
        <w:softHyphen/>
        <w:t xml:space="preserve">скохозяйственных продуктов и участки для ловли рыбы, кроме того отпустить во П и Ш кварталах </w:t>
      </w:r>
      <w:r w:rsidRPr="007224C3">
        <w:rPr>
          <w:rStyle w:val="1pt"/>
          <w:rFonts w:ascii="Times New Roman" w:hAnsi="Times New Roman" w:cs="Times New Roman"/>
          <w:color w:val="000000" w:themeColor="text1"/>
          <w:spacing w:val="0"/>
          <w:sz w:val="16"/>
          <w:szCs w:val="16"/>
        </w:rPr>
        <w:t>с.г,</w:t>
      </w:r>
      <w:r w:rsidRPr="007224C3">
        <w:rPr>
          <w:rFonts w:ascii="Times New Roman" w:hAnsi="Times New Roman"/>
          <w:color w:val="000000" w:themeColor="text1"/>
          <w:sz w:val="16"/>
          <w:szCs w:val="16"/>
        </w:rPr>
        <w:t xml:space="preserve"> 60 тонн рыбы для продажи рабочий и служащим этого завода.</w:t>
      </w:r>
    </w:p>
    <w:p w14:paraId="2E67F23B" w14:textId="77777777" w:rsidR="0090533F" w:rsidRPr="007224C3" w:rsidRDefault="0090533F" w:rsidP="007224C3">
      <w:pPr>
        <w:tabs>
          <w:tab w:val="left" w:pos="884"/>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12. Обязать Наркомторг СССР - т.Любимова обеспечить с мая </w:t>
      </w:r>
      <w:r w:rsidRPr="007224C3">
        <w:rPr>
          <w:rStyle w:val="1pt"/>
          <w:rFonts w:ascii="Times New Roman" w:hAnsi="Times New Roman" w:cs="Times New Roman"/>
          <w:color w:val="000000" w:themeColor="text1"/>
          <w:spacing w:val="0"/>
          <w:sz w:val="16"/>
          <w:szCs w:val="16"/>
        </w:rPr>
        <w:t>с.г.</w:t>
      </w:r>
      <w:r w:rsidRPr="007224C3">
        <w:rPr>
          <w:rFonts w:ascii="Times New Roman" w:hAnsi="Times New Roman"/>
          <w:color w:val="000000" w:themeColor="text1"/>
          <w:sz w:val="16"/>
          <w:szCs w:val="16"/>
        </w:rPr>
        <w:t xml:space="preserve"> снабжение рабочих, И</w:t>
      </w:r>
      <w:r w:rsidRPr="007224C3">
        <w:rPr>
          <w:rFonts w:ascii="Times New Roman" w:hAnsi="Times New Roman"/>
          <w:color w:val="000000" w:themeColor="text1"/>
          <w:sz w:val="16"/>
          <w:szCs w:val="16"/>
          <w:lang w:val="en-US"/>
        </w:rPr>
        <w:t>TP</w:t>
      </w:r>
      <w:r w:rsidRPr="007224C3">
        <w:rPr>
          <w:rFonts w:ascii="Times New Roman" w:hAnsi="Times New Roman"/>
          <w:color w:val="000000" w:themeColor="text1"/>
          <w:sz w:val="16"/>
          <w:szCs w:val="16"/>
        </w:rPr>
        <w:t xml:space="preserve"> и служащих завода № 86 Наркомавиапрома и привлекаемых им субподрядных орга</w:t>
      </w:r>
      <w:r w:rsidRPr="007224C3">
        <w:rPr>
          <w:rFonts w:ascii="Times New Roman" w:hAnsi="Times New Roman"/>
          <w:color w:val="000000" w:themeColor="text1"/>
          <w:sz w:val="16"/>
          <w:szCs w:val="16"/>
        </w:rPr>
        <w:softHyphen/>
        <w:t>низаций, а также и членов их семей продовольственными то</w:t>
      </w:r>
      <w:r w:rsidRPr="007224C3">
        <w:rPr>
          <w:rFonts w:ascii="Times New Roman" w:hAnsi="Times New Roman"/>
          <w:color w:val="000000" w:themeColor="text1"/>
          <w:sz w:val="16"/>
          <w:szCs w:val="16"/>
        </w:rPr>
        <w:softHyphen/>
        <w:t>варами и хлебом наравне с работниками других предприятий Наркомавиапрома.</w:t>
      </w:r>
    </w:p>
    <w:p w14:paraId="64C48DB5" w14:textId="77777777" w:rsidR="0090533F" w:rsidRPr="007224C3" w:rsidRDefault="0090533F" w:rsidP="007224C3">
      <w:pPr>
        <w:tabs>
          <w:tab w:val="left" w:pos="890"/>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Обязать Наркомфин СССР - т. Зверева выделить в 1944 году заводу № 86 НКАП из резервного фонда СНК СССР 12 млн.рублей на организацию ремонта саполетов и постановку производства самолетов Ер-2, в том числе 7 млн.рублей на дополнительный фонд заработной платы.</w:t>
      </w:r>
    </w:p>
    <w:p w14:paraId="637D5582" w14:textId="77777777" w:rsidR="0090533F" w:rsidRPr="007224C3" w:rsidRDefault="0090533F" w:rsidP="007224C3">
      <w:pPr>
        <w:tabs>
          <w:tab w:val="left" w:pos="890"/>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Обяэать Нарком электростанций - т.Жимерина обеспе</w:t>
      </w:r>
      <w:r w:rsidRPr="007224C3">
        <w:rPr>
          <w:rFonts w:ascii="Times New Roman" w:hAnsi="Times New Roman"/>
          <w:color w:val="000000" w:themeColor="text1"/>
          <w:sz w:val="16"/>
          <w:szCs w:val="16"/>
        </w:rPr>
        <w:softHyphen/>
        <w:t>чить бесперебойное снабжение электроэнергией Таганрогского вавода № 86 НКАП</w:t>
      </w:r>
    </w:p>
    <w:p w14:paraId="5A4646A0" w14:textId="77777777" w:rsidR="0090533F" w:rsidRPr="007224C3" w:rsidRDefault="0090533F" w:rsidP="007224C3">
      <w:pPr>
        <w:tabs>
          <w:tab w:val="left" w:pos="896"/>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Обязать сеокретаря Ростовского обкома ВКП(б) - т.Двинского оказать необходимую помощь Наркомавиапрому (19486).</w:t>
      </w:r>
    </w:p>
    <w:p w14:paraId="55103F44" w14:textId="77777777" w:rsidR="0090533F" w:rsidRPr="007224C3" w:rsidRDefault="0090533F" w:rsidP="007224C3">
      <w:pPr>
        <w:autoSpaceDE w:val="0"/>
        <w:autoSpaceDN w:val="0"/>
        <w:adjustRightInd w:val="0"/>
        <w:spacing w:after="0" w:line="240" w:lineRule="auto"/>
        <w:jc w:val="both"/>
        <w:rPr>
          <w:rFonts w:ascii="Times New Roman" w:hAnsi="Times New Roman"/>
          <w:color w:val="000000" w:themeColor="text1"/>
          <w:sz w:val="16"/>
          <w:szCs w:val="16"/>
        </w:rPr>
      </w:pPr>
    </w:p>
    <w:p w14:paraId="6B57F70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мая 1944 вышло Постановление ГКО № 5801 О производстве авиационных пулеметов и пушек с электроспусками конструкции тов. Китенко. РГАНИР, Фонд ГКО, д. 249, лл. 154-155 (11012).</w:t>
      </w:r>
    </w:p>
    <w:p w14:paraId="28ADCEB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EE13633" w14:textId="77777777" w:rsidR="0090533F" w:rsidRPr="007224C3" w:rsidRDefault="0090533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мая 1944 вышло Постановление ГКО № 5801 О производстве авиационных пулеметов и пушек с электроспусками конструкции тов. Китенко</w:t>
      </w:r>
    </w:p>
    <w:p w14:paraId="10E920F1" w14:textId="77777777" w:rsidR="0090533F" w:rsidRPr="007224C3" w:rsidRDefault="0090533F"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В целях повышения меткости прицельной стрельбы из пулеметов и пушек, установленных па истребителях, штур</w:t>
      </w:r>
      <w:r w:rsidRPr="007224C3">
        <w:rPr>
          <w:rFonts w:ascii="Times New Roman" w:hAnsi="Times New Roman" w:cs="Times New Roman"/>
          <w:color w:val="000000" w:themeColor="text1"/>
          <w:sz w:val="16"/>
          <w:szCs w:val="16"/>
        </w:rPr>
        <w:softHyphen/>
        <w:t>мовиках и бомбардировщиках, Государственный Комитет Оборони постановляет:,</w:t>
      </w:r>
    </w:p>
    <w:p w14:paraId="5AA16BEE" w14:textId="77777777" w:rsidR="0090533F" w:rsidRPr="007224C3" w:rsidRDefault="0090533F" w:rsidP="007224C3">
      <w:pPr>
        <w:pStyle w:val="47"/>
        <w:shd w:val="clear" w:color="auto" w:fill="auto"/>
        <w:tabs>
          <w:tab w:val="left" w:pos="1478"/>
        </w:tabs>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1. Принять к сведению заявление ВВС К</w:t>
      </w:r>
      <w:r w:rsidRPr="007224C3">
        <w:rPr>
          <w:rFonts w:ascii="Times New Roman" w:hAnsi="Times New Roman" w:cs="Times New Roman"/>
          <w:color w:val="000000" w:themeColor="text1"/>
          <w:sz w:val="16"/>
          <w:szCs w:val="16"/>
          <w:lang w:val="en-US"/>
        </w:rPr>
        <w:t>A</w:t>
      </w:r>
      <w:r w:rsidRPr="007224C3">
        <w:rPr>
          <w:rFonts w:ascii="Times New Roman" w:hAnsi="Times New Roman" w:cs="Times New Roman"/>
          <w:color w:val="000000" w:themeColor="text1"/>
          <w:sz w:val="16"/>
          <w:szCs w:val="16"/>
        </w:rPr>
        <w:t xml:space="preserve"> т.т..Новикова и Репина, что электроспуски конструкции т.Китенко успеш</w:t>
      </w:r>
      <w:r w:rsidRPr="007224C3">
        <w:rPr>
          <w:rFonts w:ascii="Times New Roman" w:hAnsi="Times New Roman" w:cs="Times New Roman"/>
          <w:color w:val="000000" w:themeColor="text1"/>
          <w:sz w:val="16"/>
          <w:szCs w:val="16"/>
        </w:rPr>
        <w:softHyphen/>
        <w:t>но прошли государственные испытания на пулемётах Шкас калибра 7,62 мы, Березина калибра 12,7 мм и на пушках Волкова-Ярцева калибра 23 мм, Нудельмана-Суранова калиб</w:t>
      </w:r>
      <w:r w:rsidRPr="007224C3">
        <w:rPr>
          <w:rFonts w:ascii="Times New Roman" w:hAnsi="Times New Roman" w:cs="Times New Roman"/>
          <w:color w:val="000000" w:themeColor="text1"/>
          <w:sz w:val="16"/>
          <w:szCs w:val="16"/>
        </w:rPr>
        <w:softHyphen/>
        <w:t>ра 37 мм.</w:t>
      </w:r>
    </w:p>
    <w:p w14:paraId="7DB67401" w14:textId="77777777" w:rsidR="0090533F" w:rsidRPr="007224C3" w:rsidRDefault="0090533F" w:rsidP="007224C3">
      <w:pPr>
        <w:pStyle w:val="47"/>
        <w:shd w:val="clear" w:color="auto" w:fill="auto"/>
        <w:tabs>
          <w:tab w:val="left" w:pos="1478"/>
        </w:tabs>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2. Обязать Наркомвооружения т.Устинова и главных конструкторов т.т. Шпитальпого, Березина, Волкова,Ярцева, Нудельмана и Суранова внести пеобходимые изменения в выпускаемые серийные авиационные пулеметы и пушки для уста</w:t>
      </w:r>
      <w:r w:rsidRPr="007224C3">
        <w:rPr>
          <w:rFonts w:ascii="Times New Roman" w:hAnsi="Times New Roman" w:cs="Times New Roman"/>
          <w:color w:val="000000" w:themeColor="text1"/>
          <w:sz w:val="16"/>
          <w:szCs w:val="16"/>
        </w:rPr>
        <w:softHyphen/>
        <w:t>новки электроспусков оистемн тов.Китенко.</w:t>
      </w:r>
    </w:p>
    <w:p w14:paraId="5B8D55CE" w14:textId="77777777" w:rsidR="0090533F" w:rsidRPr="007224C3" w:rsidRDefault="0090533F" w:rsidP="007224C3">
      <w:pPr>
        <w:pStyle w:val="47"/>
        <w:shd w:val="clear" w:color="auto" w:fill="auto"/>
        <w:tabs>
          <w:tab w:val="left" w:pos="1485"/>
        </w:tabs>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3. Обязать Наркомвооружения т.Устинова к 1 июля с.г. изготовить и поставить Наркомавкапрому в счет его заказов на пулеметы и пушки:.</w:t>
      </w:r>
    </w:p>
    <w:p w14:paraId="58219B06" w14:textId="77777777" w:rsidR="0090533F" w:rsidRPr="007224C3" w:rsidRDefault="0090533F" w:rsidP="007224C3">
      <w:pPr>
        <w:pStyle w:val="47"/>
        <w:shd w:val="clear" w:color="auto" w:fill="auto"/>
        <w:tabs>
          <w:tab w:val="left" w:pos="1478"/>
        </w:tabs>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а) авиапулеметов с электроспускамн системы т.Китенко Шкас (крыльевых) - 7,62. мм- 250 штук, Березина (кры</w:t>
      </w:r>
      <w:r w:rsidRPr="007224C3">
        <w:rPr>
          <w:rFonts w:ascii="Times New Roman" w:hAnsi="Times New Roman" w:cs="Times New Roman"/>
          <w:color w:val="000000" w:themeColor="text1"/>
          <w:sz w:val="16"/>
          <w:szCs w:val="16"/>
        </w:rPr>
        <w:softHyphen/>
        <w:t>льевых) 12,7 мм - 250 штук;</w:t>
      </w:r>
    </w:p>
    <w:p w14:paraId="1C451132" w14:textId="77777777" w:rsidR="0090533F" w:rsidRPr="007224C3" w:rsidRDefault="0090533F" w:rsidP="007224C3">
      <w:pPr>
        <w:pStyle w:val="47"/>
        <w:shd w:val="clear" w:color="auto" w:fill="auto"/>
        <w:tabs>
          <w:tab w:val="left" w:pos="1478"/>
        </w:tabs>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б) авиапушек с электоспусковой системы т.Китенко Волкова-Ярцева 23 мм - 250 штук, Нудельмана-Суранова (в моторном варианте) 37 мм - 70 штук.</w:t>
      </w:r>
    </w:p>
    <w:p w14:paraId="20B160BD" w14:textId="77777777" w:rsidR="0090533F" w:rsidRPr="007224C3" w:rsidRDefault="0090533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Обязать Наркомавиапрои т.Шахурина:</w:t>
      </w:r>
    </w:p>
    <w:p w14:paraId="4FD907A1" w14:textId="77777777" w:rsidR="0090533F" w:rsidRPr="007224C3" w:rsidRDefault="0090533F" w:rsidP="007224C3">
      <w:pPr>
        <w:tabs>
          <w:tab w:val="left" w:pos="935"/>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до 15 поля с.г. сдать ВВС КА для проведения войс</w:t>
      </w:r>
      <w:r w:rsidRPr="007224C3">
        <w:rPr>
          <w:rFonts w:ascii="Times New Roman" w:hAnsi="Times New Roman"/>
          <w:color w:val="000000" w:themeColor="text1"/>
          <w:sz w:val="16"/>
          <w:szCs w:val="16"/>
        </w:rPr>
        <w:softHyphen/>
        <w:t>ковых испытаний следующее количество самолетов, вооружен</w:t>
      </w:r>
      <w:r w:rsidRPr="007224C3">
        <w:rPr>
          <w:rFonts w:ascii="Times New Roman" w:hAnsi="Times New Roman"/>
          <w:color w:val="000000" w:themeColor="text1"/>
          <w:sz w:val="16"/>
          <w:szCs w:val="16"/>
        </w:rPr>
        <w:softHyphen/>
        <w:t>ных пуле кетами и пушками с электроспуском системы т.Китенко: 100 самолетов Ил-2, вооруженных крыльевыми пулеме</w:t>
      </w:r>
      <w:r w:rsidRPr="007224C3">
        <w:rPr>
          <w:rFonts w:ascii="Times New Roman" w:hAnsi="Times New Roman"/>
          <w:color w:val="000000" w:themeColor="text1"/>
          <w:sz w:val="16"/>
          <w:szCs w:val="16"/>
        </w:rPr>
        <w:softHyphen/>
        <w:t>тами Шкас 7,62 мк и пушками ВЯ - 23 мы, 100 самолетов Пе-2 с носовой неподвижной установкой и люковой подвижной установкой, вооруженных пулеметами УБК - 12,7 мм, 10 са</w:t>
      </w:r>
      <w:r w:rsidRPr="007224C3">
        <w:rPr>
          <w:rFonts w:ascii="Times New Roman" w:hAnsi="Times New Roman"/>
          <w:color w:val="000000" w:themeColor="text1"/>
          <w:sz w:val="16"/>
          <w:szCs w:val="16"/>
        </w:rPr>
        <w:softHyphen/>
        <w:t>молетов Ту-2 с люковой подвижной установкой, вооруженных пулеметами УБК - 12,7 мм и 60 самолетов Як-9, вооружен</w:t>
      </w:r>
      <w:r w:rsidRPr="007224C3">
        <w:rPr>
          <w:rFonts w:ascii="Times New Roman" w:hAnsi="Times New Roman"/>
          <w:color w:val="000000" w:themeColor="text1"/>
          <w:sz w:val="16"/>
          <w:szCs w:val="16"/>
        </w:rPr>
        <w:softHyphen/>
        <w:t>ных пушками НС - 37 мм;</w:t>
      </w:r>
    </w:p>
    <w:p w14:paraId="54068494" w14:textId="77777777" w:rsidR="0090533F" w:rsidRPr="007224C3" w:rsidRDefault="0090533F" w:rsidP="007224C3">
      <w:pPr>
        <w:tabs>
          <w:tab w:val="left" w:pos="943"/>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изготовить и поставить Наркомвосружения необходи</w:t>
      </w:r>
      <w:r w:rsidRPr="007224C3">
        <w:rPr>
          <w:rFonts w:ascii="Times New Roman" w:hAnsi="Times New Roman"/>
          <w:color w:val="000000" w:themeColor="text1"/>
          <w:sz w:val="16"/>
          <w:szCs w:val="16"/>
        </w:rPr>
        <w:softHyphen/>
        <w:t>мое количество катушек электромагнитов для комплектации электроспусков;</w:t>
      </w:r>
    </w:p>
    <w:p w14:paraId="1918FA7C" w14:textId="77777777" w:rsidR="0090533F" w:rsidRPr="007224C3" w:rsidRDefault="0090533F" w:rsidP="007224C3">
      <w:pPr>
        <w:tabs>
          <w:tab w:val="left" w:pos="943"/>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оказать Наркомвооружения необходимую техническую помощь в организации производства элeктpичecкой части электроспусков системы т.Китенко.</w:t>
      </w:r>
    </w:p>
    <w:p w14:paraId="6E4E1CEB" w14:textId="77777777" w:rsidR="0090533F" w:rsidRPr="007224C3" w:rsidRDefault="0090533F" w:rsidP="007224C3">
      <w:pPr>
        <w:tabs>
          <w:tab w:val="left" w:pos="1153"/>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Обязать ВВС КА - т.Новикова провести в Ш</w:t>
      </w:r>
      <w:r w:rsidRPr="007224C3">
        <w:rPr>
          <w:rFonts w:ascii="Times New Roman" w:hAnsi="Times New Roman"/>
          <w:color w:val="000000" w:themeColor="text1"/>
          <w:sz w:val="16"/>
          <w:szCs w:val="16"/>
          <w:lang w:val="en-US"/>
        </w:rPr>
        <w:t>n</w:t>
      </w:r>
      <w:r w:rsidRPr="007224C3">
        <w:rPr>
          <w:rFonts w:ascii="Times New Roman" w:hAnsi="Times New Roman"/>
          <w:color w:val="000000" w:themeColor="text1"/>
          <w:sz w:val="16"/>
          <w:szCs w:val="16"/>
        </w:rPr>
        <w:t xml:space="preserve"> квар</w:t>
      </w:r>
      <w:r w:rsidRPr="007224C3">
        <w:rPr>
          <w:rFonts w:ascii="Times New Roman" w:hAnsi="Times New Roman"/>
          <w:color w:val="000000" w:themeColor="text1"/>
          <w:sz w:val="16"/>
          <w:szCs w:val="16"/>
        </w:rPr>
        <w:softHyphen/>
        <w:t>тале с.г. войсковые испытания</w:t>
      </w:r>
      <w:r w:rsidRPr="007224C3">
        <w:rPr>
          <w:rStyle w:val="Consolas"/>
          <w:rFonts w:ascii="Times New Roman" w:hAnsi="Times New Roman" w:cs="Times New Roman"/>
          <w:color w:val="000000" w:themeColor="text1"/>
          <w:sz w:val="16"/>
          <w:szCs w:val="16"/>
        </w:rPr>
        <w:t xml:space="preserve"> самолетов,</w:t>
      </w:r>
      <w:r w:rsidRPr="007224C3">
        <w:rPr>
          <w:rFonts w:ascii="Times New Roman" w:hAnsi="Times New Roman"/>
          <w:color w:val="000000" w:themeColor="text1"/>
          <w:sz w:val="16"/>
          <w:szCs w:val="16"/>
        </w:rPr>
        <w:t>вооруженных авиа</w:t>
      </w:r>
      <w:r w:rsidRPr="007224C3">
        <w:rPr>
          <w:rFonts w:ascii="Times New Roman" w:hAnsi="Times New Roman"/>
          <w:color w:val="000000" w:themeColor="text1"/>
          <w:sz w:val="16"/>
          <w:szCs w:val="16"/>
        </w:rPr>
        <w:softHyphen/>
        <w:t>ционными пулеметами и пушками с электроспусками системы т.Китенко.</w:t>
      </w:r>
    </w:p>
    <w:p w14:paraId="45B85437" w14:textId="77777777" w:rsidR="0090533F" w:rsidRPr="007224C3" w:rsidRDefault="0090533F" w:rsidP="007224C3">
      <w:pPr>
        <w:tabs>
          <w:tab w:val="left" w:pos="1160"/>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6ю Поручить </w:t>
      </w:r>
      <w:r w:rsidRPr="007224C3">
        <w:rPr>
          <w:rStyle w:val="-1pt"/>
          <w:rFonts w:ascii="Times New Roman" w:hAnsi="Times New Roman" w:cs="Times New Roman"/>
          <w:color w:val="000000" w:themeColor="text1"/>
          <w:spacing w:val="0"/>
          <w:sz w:val="16"/>
          <w:szCs w:val="16"/>
        </w:rPr>
        <w:t>ВВС</w:t>
      </w:r>
      <w:r w:rsidRPr="007224C3">
        <w:rPr>
          <w:rFonts w:ascii="Times New Roman" w:hAnsi="Times New Roman"/>
          <w:color w:val="000000" w:themeColor="text1"/>
          <w:sz w:val="16"/>
          <w:szCs w:val="16"/>
        </w:rPr>
        <w:t xml:space="preserve"> </w:t>
      </w:r>
      <w:r w:rsidRPr="007224C3">
        <w:rPr>
          <w:rStyle w:val="-1pt"/>
          <w:rFonts w:ascii="Times New Roman" w:hAnsi="Times New Roman" w:cs="Times New Roman"/>
          <w:color w:val="000000" w:themeColor="text1"/>
          <w:spacing w:val="0"/>
          <w:sz w:val="16"/>
          <w:szCs w:val="16"/>
        </w:rPr>
        <w:t>КА -</w:t>
      </w:r>
      <w:r w:rsidRPr="007224C3">
        <w:rPr>
          <w:rFonts w:ascii="Times New Roman" w:hAnsi="Times New Roman"/>
          <w:color w:val="000000" w:themeColor="text1"/>
          <w:sz w:val="16"/>
          <w:szCs w:val="16"/>
        </w:rPr>
        <w:t xml:space="preserve"> т.Новикову, Наркомавиапрому- т.Шахурину, Наркомвооружения - т.Устинову доложить о результатах войсковых испытаний (19487).</w:t>
      </w:r>
    </w:p>
    <w:p w14:paraId="4B838ABC" w14:textId="77777777" w:rsidR="0090533F" w:rsidRPr="007224C3" w:rsidRDefault="0090533F" w:rsidP="007224C3">
      <w:pPr>
        <w:autoSpaceDE w:val="0"/>
        <w:autoSpaceDN w:val="0"/>
        <w:adjustRightInd w:val="0"/>
        <w:spacing w:after="0" w:line="240" w:lineRule="auto"/>
        <w:jc w:val="both"/>
        <w:rPr>
          <w:rFonts w:ascii="Times New Roman" w:hAnsi="Times New Roman"/>
          <w:color w:val="000000" w:themeColor="text1"/>
          <w:sz w:val="16"/>
          <w:szCs w:val="16"/>
        </w:rPr>
      </w:pPr>
    </w:p>
    <w:p w14:paraId="106E3673" w14:textId="77777777" w:rsidR="009B7CB6" w:rsidRPr="007224C3" w:rsidRDefault="009B7CB6"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мая 1944 вышло Распоряжение ГКО № 5817. Об изготовлении и поставках для НКО опытных образцов аэростатов заграждения, воздухоплавательного имущества и специального аэростатного оборудования. РГАНИР, Фонд ГКО, д. 250, лл. 1,2 (11012).</w:t>
      </w:r>
    </w:p>
    <w:p w14:paraId="6F2B9FAF" w14:textId="77777777" w:rsidR="009B7CB6" w:rsidRPr="007224C3" w:rsidRDefault="009B7CB6" w:rsidP="007224C3">
      <w:pPr>
        <w:autoSpaceDE w:val="0"/>
        <w:autoSpaceDN w:val="0"/>
        <w:adjustRightInd w:val="0"/>
        <w:spacing w:after="0" w:line="240" w:lineRule="auto"/>
        <w:jc w:val="both"/>
        <w:rPr>
          <w:rFonts w:ascii="Times New Roman" w:hAnsi="Times New Roman"/>
          <w:color w:val="000000" w:themeColor="text1"/>
          <w:sz w:val="16"/>
          <w:szCs w:val="16"/>
        </w:rPr>
      </w:pPr>
    </w:p>
    <w:p w14:paraId="7799E878" w14:textId="77777777" w:rsidR="009B7CB6" w:rsidRPr="007224C3" w:rsidRDefault="009B7CB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мая 1944 вышло Распоряжение ГКО № 5817. Об изготовлении и поставках для НКО опытных образцов аэростатов заграждения, воздухоплавательного имущества и специального аэростатного оборудования</w:t>
      </w:r>
    </w:p>
    <w:p w14:paraId="66783303" w14:textId="77777777" w:rsidR="009B7CB6" w:rsidRPr="007224C3" w:rsidRDefault="009B7CB6" w:rsidP="007224C3">
      <w:pPr>
        <w:spacing w:after="0" w:line="240" w:lineRule="auto"/>
        <w:jc w:val="both"/>
        <w:rPr>
          <w:rFonts w:ascii="Times New Roman" w:hAnsi="Times New Roman"/>
          <w:color w:val="000000" w:themeColor="text1"/>
          <w:sz w:val="16"/>
          <w:szCs w:val="16"/>
        </w:rPr>
      </w:pPr>
      <w:r w:rsidRPr="007224C3">
        <w:rPr>
          <w:rStyle w:val="TimesNewRoman95pt"/>
          <w:rFonts w:eastAsia="Calibri"/>
          <w:b w:val="0"/>
          <w:color w:val="000000" w:themeColor="text1"/>
          <w:sz w:val="16"/>
          <w:szCs w:val="16"/>
        </w:rPr>
        <w:t>Обязать</w:t>
      </w:r>
      <w:r w:rsidRPr="007224C3">
        <w:rPr>
          <w:rFonts w:ascii="Times New Roman" w:hAnsi="Times New Roman"/>
          <w:color w:val="000000" w:themeColor="text1"/>
          <w:sz w:val="16"/>
          <w:szCs w:val="16"/>
        </w:rPr>
        <w:t xml:space="preserve"> Наркомрезинпром (т.Митрохина), Наркомавиапром (т.Шахурина), Наркомтекстиль СССР (т.Акимоэа), Главное Управление трудовых</w:t>
      </w:r>
      <w:r w:rsidRPr="007224C3">
        <w:rPr>
          <w:rStyle w:val="TimesNewRoman95pt"/>
          <w:rFonts w:eastAsia="Calibri"/>
          <w:color w:val="000000" w:themeColor="text1"/>
          <w:sz w:val="16"/>
          <w:szCs w:val="16"/>
        </w:rPr>
        <w:t xml:space="preserve"> </w:t>
      </w:r>
      <w:r w:rsidRPr="007224C3">
        <w:rPr>
          <w:rStyle w:val="TimesNewRoman95pt"/>
          <w:rFonts w:eastAsia="Calibri"/>
          <w:b w:val="0"/>
          <w:color w:val="000000" w:themeColor="text1"/>
          <w:sz w:val="16"/>
          <w:szCs w:val="16"/>
        </w:rPr>
        <w:t>резервов</w:t>
      </w:r>
      <w:r w:rsidRPr="007224C3">
        <w:rPr>
          <w:rFonts w:ascii="Times New Roman" w:hAnsi="Times New Roman"/>
          <w:color w:val="000000" w:themeColor="text1"/>
          <w:sz w:val="16"/>
          <w:szCs w:val="16"/>
        </w:rPr>
        <w:t xml:space="preserve"> при Совнаркоме СССР (т.Москатова) и Главгазтоппром при Совнаркоме СССР (т .Матвеева) изготовить и поставить НКО СССР (ГАУ Крас</w:t>
      </w:r>
      <w:r w:rsidRPr="007224C3">
        <w:rPr>
          <w:rFonts w:ascii="Times New Roman" w:hAnsi="Times New Roman"/>
          <w:color w:val="000000" w:themeColor="text1"/>
          <w:sz w:val="16"/>
          <w:szCs w:val="16"/>
        </w:rPr>
        <w:softHyphen/>
        <w:t>ной Армии) опытные образцы аэростатов заграждения, воз</w:t>
      </w:r>
      <w:r w:rsidRPr="007224C3">
        <w:rPr>
          <w:rFonts w:ascii="Times New Roman" w:hAnsi="Times New Roman"/>
          <w:color w:val="000000" w:themeColor="text1"/>
          <w:sz w:val="16"/>
          <w:szCs w:val="16"/>
        </w:rPr>
        <w:softHyphen/>
        <w:t>духоплавательного имущества и специального аэростатного оборудоваения ( вооружения), согласно приложению (19388).</w:t>
      </w:r>
    </w:p>
    <w:p w14:paraId="2C49D7D4" w14:textId="77777777" w:rsidR="009B7CB6" w:rsidRPr="007224C3" w:rsidRDefault="009B7CB6" w:rsidP="007224C3">
      <w:pPr>
        <w:autoSpaceDE w:val="0"/>
        <w:autoSpaceDN w:val="0"/>
        <w:adjustRightInd w:val="0"/>
        <w:spacing w:after="0" w:line="240" w:lineRule="auto"/>
        <w:jc w:val="both"/>
        <w:rPr>
          <w:rFonts w:ascii="Times New Roman" w:hAnsi="Times New Roman"/>
          <w:color w:val="000000" w:themeColor="text1"/>
          <w:sz w:val="16"/>
          <w:szCs w:val="16"/>
        </w:rPr>
      </w:pPr>
    </w:p>
    <w:p w14:paraId="27E99C69"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48222B0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1DA99CA"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мая 1944 НКБ представил данные по бронепробиваемости пушек</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10"/>
        <w:gridCol w:w="1610"/>
        <w:gridCol w:w="1610"/>
        <w:gridCol w:w="1610"/>
        <w:gridCol w:w="1610"/>
        <w:gridCol w:w="1610"/>
        <w:gridCol w:w="1610"/>
      </w:tblGrid>
      <w:tr w:rsidR="005106D0" w:rsidRPr="007224C3" w14:paraId="501FC352" w14:textId="77777777">
        <w:tc>
          <w:tcPr>
            <w:tcW w:w="1610" w:type="dxa"/>
          </w:tcPr>
          <w:p w14:paraId="1A4AD531"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43E1877A"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 мм пушка Д-10</w:t>
            </w:r>
          </w:p>
        </w:tc>
        <w:tc>
          <w:tcPr>
            <w:tcW w:w="1610" w:type="dxa"/>
          </w:tcPr>
          <w:p w14:paraId="3E172285"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189421EF"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05E68A98"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122 мм пушка Д-25</w:t>
            </w:r>
          </w:p>
        </w:tc>
        <w:tc>
          <w:tcPr>
            <w:tcW w:w="1610" w:type="dxa"/>
          </w:tcPr>
          <w:p w14:paraId="785FA89B"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08D435C7"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EEEF699" w14:textId="77777777">
        <w:tc>
          <w:tcPr>
            <w:tcW w:w="1610" w:type="dxa"/>
          </w:tcPr>
          <w:p w14:paraId="6D950B2F"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 снаряда (кг)</w:t>
            </w:r>
          </w:p>
        </w:tc>
        <w:tc>
          <w:tcPr>
            <w:tcW w:w="1610" w:type="dxa"/>
          </w:tcPr>
          <w:p w14:paraId="09DB0795"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15.6</w:t>
            </w:r>
          </w:p>
        </w:tc>
        <w:tc>
          <w:tcPr>
            <w:tcW w:w="1610" w:type="dxa"/>
          </w:tcPr>
          <w:p w14:paraId="32BE9C32"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557B056D"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6B8C0993"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w:t>
            </w:r>
          </w:p>
        </w:tc>
        <w:tc>
          <w:tcPr>
            <w:tcW w:w="1610" w:type="dxa"/>
          </w:tcPr>
          <w:p w14:paraId="76584A94"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34320B79"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CB5DA59" w14:textId="77777777">
        <w:tc>
          <w:tcPr>
            <w:tcW w:w="1610" w:type="dxa"/>
          </w:tcPr>
          <w:p w14:paraId="30773D06"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 Скорость (м/с)</w:t>
            </w:r>
          </w:p>
        </w:tc>
        <w:tc>
          <w:tcPr>
            <w:tcW w:w="1610" w:type="dxa"/>
          </w:tcPr>
          <w:p w14:paraId="696CE951"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890</w:t>
            </w:r>
          </w:p>
        </w:tc>
        <w:tc>
          <w:tcPr>
            <w:tcW w:w="1610" w:type="dxa"/>
          </w:tcPr>
          <w:p w14:paraId="123FB5F9"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3134DA5D"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53A9F182"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800</w:t>
            </w:r>
          </w:p>
        </w:tc>
        <w:tc>
          <w:tcPr>
            <w:tcW w:w="1610" w:type="dxa"/>
          </w:tcPr>
          <w:p w14:paraId="39A2EC42"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3A4E6643"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16A4F84" w14:textId="77777777">
        <w:tc>
          <w:tcPr>
            <w:tcW w:w="1610" w:type="dxa"/>
          </w:tcPr>
          <w:p w14:paraId="17868983"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Угол встречи</w:t>
            </w:r>
          </w:p>
        </w:tc>
        <w:tc>
          <w:tcPr>
            <w:tcW w:w="1610" w:type="dxa"/>
          </w:tcPr>
          <w:p w14:paraId="1F561FC3"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w:t>
            </w:r>
          </w:p>
        </w:tc>
        <w:tc>
          <w:tcPr>
            <w:tcW w:w="1610" w:type="dxa"/>
          </w:tcPr>
          <w:p w14:paraId="460D4605"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w:t>
            </w:r>
          </w:p>
        </w:tc>
        <w:tc>
          <w:tcPr>
            <w:tcW w:w="1610" w:type="dxa"/>
          </w:tcPr>
          <w:p w14:paraId="064400EA"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55</w:t>
            </w:r>
          </w:p>
        </w:tc>
        <w:tc>
          <w:tcPr>
            <w:tcW w:w="1610" w:type="dxa"/>
          </w:tcPr>
          <w:p w14:paraId="79E3D557"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w:t>
            </w:r>
          </w:p>
        </w:tc>
        <w:tc>
          <w:tcPr>
            <w:tcW w:w="1610" w:type="dxa"/>
          </w:tcPr>
          <w:p w14:paraId="347C5D9F"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w:t>
            </w:r>
          </w:p>
        </w:tc>
        <w:tc>
          <w:tcPr>
            <w:tcW w:w="1610" w:type="dxa"/>
          </w:tcPr>
          <w:p w14:paraId="22206FB6"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55</w:t>
            </w:r>
          </w:p>
        </w:tc>
      </w:tr>
      <w:tr w:rsidR="005106D0" w:rsidRPr="007224C3" w14:paraId="7FCD7BE4" w14:textId="77777777">
        <w:tc>
          <w:tcPr>
            <w:tcW w:w="1610" w:type="dxa"/>
          </w:tcPr>
          <w:p w14:paraId="76794FD8"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300 м</w:t>
            </w:r>
          </w:p>
        </w:tc>
        <w:tc>
          <w:tcPr>
            <w:tcW w:w="1610" w:type="dxa"/>
          </w:tcPr>
          <w:p w14:paraId="26F909F5"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164</w:t>
            </w:r>
          </w:p>
        </w:tc>
        <w:tc>
          <w:tcPr>
            <w:tcW w:w="1610" w:type="dxa"/>
          </w:tcPr>
          <w:p w14:paraId="3AFFB27A"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136</w:t>
            </w:r>
          </w:p>
        </w:tc>
        <w:tc>
          <w:tcPr>
            <w:tcW w:w="1610" w:type="dxa"/>
          </w:tcPr>
          <w:p w14:paraId="7E6ECE2E"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76</w:t>
            </w:r>
          </w:p>
        </w:tc>
        <w:tc>
          <w:tcPr>
            <w:tcW w:w="1610" w:type="dxa"/>
          </w:tcPr>
          <w:p w14:paraId="7BE8AF12"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160</w:t>
            </w:r>
          </w:p>
        </w:tc>
        <w:tc>
          <w:tcPr>
            <w:tcW w:w="1610" w:type="dxa"/>
          </w:tcPr>
          <w:p w14:paraId="28914931"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130</w:t>
            </w:r>
          </w:p>
        </w:tc>
        <w:tc>
          <w:tcPr>
            <w:tcW w:w="1610" w:type="dxa"/>
          </w:tcPr>
          <w:p w14:paraId="68B195D2"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72</w:t>
            </w:r>
          </w:p>
        </w:tc>
      </w:tr>
      <w:tr w:rsidR="005106D0" w:rsidRPr="007224C3" w14:paraId="4A66CAD4" w14:textId="77777777">
        <w:tc>
          <w:tcPr>
            <w:tcW w:w="1610" w:type="dxa"/>
          </w:tcPr>
          <w:p w14:paraId="0916DB88"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500 м</w:t>
            </w:r>
          </w:p>
        </w:tc>
        <w:tc>
          <w:tcPr>
            <w:tcW w:w="1610" w:type="dxa"/>
          </w:tcPr>
          <w:p w14:paraId="4CF0B411"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159</w:t>
            </w:r>
          </w:p>
        </w:tc>
        <w:tc>
          <w:tcPr>
            <w:tcW w:w="1610" w:type="dxa"/>
          </w:tcPr>
          <w:p w14:paraId="4938CAD7"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132</w:t>
            </w:r>
          </w:p>
        </w:tc>
        <w:tc>
          <w:tcPr>
            <w:tcW w:w="1610" w:type="dxa"/>
          </w:tcPr>
          <w:p w14:paraId="22CA6BB4"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73</w:t>
            </w:r>
          </w:p>
        </w:tc>
        <w:tc>
          <w:tcPr>
            <w:tcW w:w="1610" w:type="dxa"/>
          </w:tcPr>
          <w:p w14:paraId="4A92AAD0"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155</w:t>
            </w:r>
          </w:p>
        </w:tc>
        <w:tc>
          <w:tcPr>
            <w:tcW w:w="1610" w:type="dxa"/>
          </w:tcPr>
          <w:p w14:paraId="77AFBFE8"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127</w:t>
            </w:r>
          </w:p>
        </w:tc>
        <w:tc>
          <w:tcPr>
            <w:tcW w:w="1610" w:type="dxa"/>
          </w:tcPr>
          <w:p w14:paraId="2C621906"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70</w:t>
            </w:r>
          </w:p>
        </w:tc>
      </w:tr>
      <w:tr w:rsidR="005106D0" w:rsidRPr="007224C3" w14:paraId="34D5E011" w14:textId="77777777">
        <w:tc>
          <w:tcPr>
            <w:tcW w:w="1610" w:type="dxa"/>
          </w:tcPr>
          <w:p w14:paraId="64800413"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1000 м</w:t>
            </w:r>
          </w:p>
        </w:tc>
        <w:tc>
          <w:tcPr>
            <w:tcW w:w="1610" w:type="dxa"/>
          </w:tcPr>
          <w:p w14:paraId="1E293DAC"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149</w:t>
            </w:r>
          </w:p>
        </w:tc>
        <w:tc>
          <w:tcPr>
            <w:tcW w:w="1610" w:type="dxa"/>
          </w:tcPr>
          <w:p w14:paraId="2F2FB11F"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122</w:t>
            </w:r>
          </w:p>
        </w:tc>
        <w:tc>
          <w:tcPr>
            <w:tcW w:w="1610" w:type="dxa"/>
          </w:tcPr>
          <w:p w14:paraId="53AAD098"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68</w:t>
            </w:r>
          </w:p>
        </w:tc>
        <w:tc>
          <w:tcPr>
            <w:tcW w:w="1610" w:type="dxa"/>
          </w:tcPr>
          <w:p w14:paraId="5B114B5B"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144</w:t>
            </w:r>
          </w:p>
        </w:tc>
        <w:tc>
          <w:tcPr>
            <w:tcW w:w="1610" w:type="dxa"/>
          </w:tcPr>
          <w:p w14:paraId="4184D0BA"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117</w:t>
            </w:r>
          </w:p>
        </w:tc>
        <w:tc>
          <w:tcPr>
            <w:tcW w:w="1610" w:type="dxa"/>
          </w:tcPr>
          <w:p w14:paraId="1F485447"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65</w:t>
            </w:r>
          </w:p>
        </w:tc>
      </w:tr>
      <w:tr w:rsidR="005106D0" w:rsidRPr="007224C3" w14:paraId="23520989" w14:textId="77777777">
        <w:tc>
          <w:tcPr>
            <w:tcW w:w="1610" w:type="dxa"/>
          </w:tcPr>
          <w:p w14:paraId="0C01AF77"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1500 м</w:t>
            </w:r>
          </w:p>
        </w:tc>
        <w:tc>
          <w:tcPr>
            <w:tcW w:w="1610" w:type="dxa"/>
          </w:tcPr>
          <w:p w14:paraId="37B5200E"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138</w:t>
            </w:r>
          </w:p>
        </w:tc>
        <w:tc>
          <w:tcPr>
            <w:tcW w:w="1610" w:type="dxa"/>
          </w:tcPr>
          <w:p w14:paraId="3A9B78ED"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112</w:t>
            </w:r>
          </w:p>
        </w:tc>
        <w:tc>
          <w:tcPr>
            <w:tcW w:w="1610" w:type="dxa"/>
          </w:tcPr>
          <w:p w14:paraId="797AECA4"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62</w:t>
            </w:r>
          </w:p>
        </w:tc>
        <w:tc>
          <w:tcPr>
            <w:tcW w:w="1610" w:type="dxa"/>
          </w:tcPr>
          <w:p w14:paraId="7BD559E4"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133</w:t>
            </w:r>
          </w:p>
        </w:tc>
        <w:tc>
          <w:tcPr>
            <w:tcW w:w="1610" w:type="dxa"/>
          </w:tcPr>
          <w:p w14:paraId="42E68C05"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107</w:t>
            </w:r>
          </w:p>
        </w:tc>
        <w:tc>
          <w:tcPr>
            <w:tcW w:w="1610" w:type="dxa"/>
          </w:tcPr>
          <w:p w14:paraId="21966FF7"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w:t>
            </w:r>
          </w:p>
        </w:tc>
      </w:tr>
      <w:tr w:rsidR="005106D0" w:rsidRPr="007224C3" w14:paraId="7968D3A6" w14:textId="77777777">
        <w:tc>
          <w:tcPr>
            <w:tcW w:w="1610" w:type="dxa"/>
          </w:tcPr>
          <w:p w14:paraId="1D448618"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2000 м</w:t>
            </w:r>
          </w:p>
        </w:tc>
        <w:tc>
          <w:tcPr>
            <w:tcW w:w="1610" w:type="dxa"/>
          </w:tcPr>
          <w:p w14:paraId="68D8F878"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127</w:t>
            </w:r>
          </w:p>
        </w:tc>
        <w:tc>
          <w:tcPr>
            <w:tcW w:w="1610" w:type="dxa"/>
          </w:tcPr>
          <w:p w14:paraId="66C104CF"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103</w:t>
            </w:r>
          </w:p>
        </w:tc>
        <w:tc>
          <w:tcPr>
            <w:tcW w:w="1610" w:type="dxa"/>
          </w:tcPr>
          <w:p w14:paraId="15E264A6"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57</w:t>
            </w:r>
          </w:p>
        </w:tc>
        <w:tc>
          <w:tcPr>
            <w:tcW w:w="1610" w:type="dxa"/>
          </w:tcPr>
          <w:p w14:paraId="293BF9EA"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122</w:t>
            </w:r>
          </w:p>
        </w:tc>
        <w:tc>
          <w:tcPr>
            <w:tcW w:w="1610" w:type="dxa"/>
          </w:tcPr>
          <w:p w14:paraId="7CEF5607"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98</w:t>
            </w:r>
          </w:p>
        </w:tc>
        <w:tc>
          <w:tcPr>
            <w:tcW w:w="1610" w:type="dxa"/>
          </w:tcPr>
          <w:p w14:paraId="04C44A73"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55</w:t>
            </w:r>
          </w:p>
        </w:tc>
      </w:tr>
      <w:tr w:rsidR="005106D0" w:rsidRPr="007224C3" w14:paraId="59E47024" w14:textId="77777777">
        <w:tc>
          <w:tcPr>
            <w:tcW w:w="1610" w:type="dxa"/>
          </w:tcPr>
          <w:p w14:paraId="458C7826"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(7381, 35)</w:t>
            </w:r>
          </w:p>
        </w:tc>
        <w:tc>
          <w:tcPr>
            <w:tcW w:w="1610" w:type="dxa"/>
          </w:tcPr>
          <w:p w14:paraId="38EA1290"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06D6E01A"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7C600B5A"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0BA06798"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23B2FB47"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245E8A18"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bl>
    <w:p w14:paraId="2BAF027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FEBD4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мая 1944 г. на ЧКЗ состоялось совещание по вопросу модерниза</w:t>
      </w:r>
      <w:r w:rsidRPr="007224C3">
        <w:rPr>
          <w:rFonts w:ascii="Times New Roman" w:hAnsi="Times New Roman"/>
          <w:color w:val="000000" w:themeColor="text1"/>
          <w:sz w:val="16"/>
          <w:szCs w:val="16"/>
        </w:rPr>
        <w:softHyphen/>
        <w:t>ции машины ИС. В проекте модернизации танка ИС-2 предусматрива</w:t>
      </w:r>
      <w:r w:rsidRPr="007224C3">
        <w:rPr>
          <w:rFonts w:ascii="Times New Roman" w:hAnsi="Times New Roman"/>
          <w:color w:val="000000" w:themeColor="text1"/>
          <w:sz w:val="16"/>
          <w:szCs w:val="16"/>
        </w:rPr>
        <w:softHyphen/>
        <w:t>лось: усилить броневую защиту корпуса и башни; повысить надежность работы системы охлаждения; снизить пожароопасность танка за счет выноса топливных баков в моторное отделение; улучшить условия ра</w:t>
      </w:r>
      <w:r w:rsidRPr="007224C3">
        <w:rPr>
          <w:rFonts w:ascii="Times New Roman" w:hAnsi="Times New Roman"/>
          <w:color w:val="000000" w:themeColor="text1"/>
          <w:sz w:val="16"/>
          <w:szCs w:val="16"/>
        </w:rPr>
        <w:softHyphen/>
        <w:t>боты механика-водителя; повысить скорострельность и меткость огня за счет нового механизма поворота башни; усилить вооружение за счет установки ЗПУ и увеличения боекомплекта; повысить надежность пус</w:t>
      </w:r>
      <w:r w:rsidRPr="007224C3">
        <w:rPr>
          <w:rFonts w:ascii="Times New Roman" w:hAnsi="Times New Roman"/>
          <w:color w:val="000000" w:themeColor="text1"/>
          <w:sz w:val="16"/>
          <w:szCs w:val="16"/>
        </w:rPr>
        <w:softHyphen/>
        <w:t>ка двигателя за счет установки стартера СТ-700 в дополнение к инерци</w:t>
      </w:r>
      <w:r w:rsidRPr="007224C3">
        <w:rPr>
          <w:rFonts w:ascii="Times New Roman" w:hAnsi="Times New Roman"/>
          <w:color w:val="000000" w:themeColor="text1"/>
          <w:sz w:val="16"/>
          <w:szCs w:val="16"/>
        </w:rPr>
        <w:softHyphen/>
        <w:t>онному стартеру ИС-9 (10703).</w:t>
      </w:r>
    </w:p>
    <w:p w14:paraId="0EB097D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7BE4344"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мая 1944 вышло Постановление ГКО № 5799 О пуске металлургического завода № 268 Наркомавиапрома в гор. Каменск-Уральском. (7227, 140-142,143-145).</w:t>
      </w:r>
    </w:p>
    <w:p w14:paraId="49273C9A"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14CC2E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мая 1944 вышло Постановление ГКО № 5802 Об увеличении производства и поставки НКО СССР и НКВМФ сигнальных, осветительных патронов и о восстановлении производства сигнальных и осветительных гранат. РГАНИР, Фонд ГКО, д. 249, лл. 156-164,165-166 (11012).</w:t>
      </w:r>
    </w:p>
    <w:p w14:paraId="78DED5E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7C1475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мая 1944 вышло Постановление ГКО № 5803 Об обеспечении рабочей силой промышленности и строительства во II квартале 1944 года. РГАНИР, Фонд ГКО, д. 249, лл. 167-168,169-175 (11012).</w:t>
      </w:r>
    </w:p>
    <w:p w14:paraId="6CDB28E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EBC09C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мая 1944 вышло Распоряжение ГКО № 5804. О выделении 300 военнообязанных Узбекской ССР и Кара-Калпакской АССР, не годных к строевой службе, в Распоряжение Кара-Калпакской экспедиции НКММП СССР по перегону скота. РГАНИР, Фонд ГКО, д. 249, лл. 176 (11012).</w:t>
      </w:r>
    </w:p>
    <w:p w14:paraId="7ECF8FB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BC99F2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мая 1944 вышло Распоряжение ГКО № 5805. О выделении 10 трофейных грузовых машин и 3 тракторов на восстановление Винницкого и Одесского суперфосфатных заводов НКХП. РГАНИР, Фонд ГКО, д. 249, лл. 177 (11012).</w:t>
      </w:r>
    </w:p>
    <w:p w14:paraId="00EB40D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C23F97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мая 1944 вышло Распоряжение ГКО № 5806. О поставках всего вырабатываемого тунгового масла HКХП для производства авиационных лаков и красок и о выделении предприятиям Грузинской ССР пресса системы "Экспеллер" и 6 грузовых машин. РГАНИР, Фонд ГКО, д. 249, лл. 178 (11012).</w:t>
      </w:r>
    </w:p>
    <w:p w14:paraId="6B26E16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DA27CD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мая 1944 вышло Распоряжение ГКО № 5807. О передаче на Средне-Уральскую ГРЭС углеразмольной мельницы типа Ш-16. РГАНИР, Фонд ГКО, д. 249, лл. 179 (11012).</w:t>
      </w:r>
    </w:p>
    <w:p w14:paraId="6D9D371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356B95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мая 1944 вышло Распоряжение ГКО № 5808. О реэвакуации Златоустовского насосного завода и восстановлении производства паровых насосов и химического оборудования на Свесском насосном заводе НКМВ. РГАНИР, Фонд ГКО, д. 249, лл. 180 (11012).</w:t>
      </w:r>
    </w:p>
    <w:p w14:paraId="7111AFC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E9219D9"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мая 1944 вышло Распоряжение ГКО № 5809 [О выделении НКлесу КФССР оборудования и подвижного состава узкой колеи.] (7227, 181).</w:t>
      </w:r>
    </w:p>
    <w:p w14:paraId="55F673AC"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AC05F27"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мая 1944 вышло Постановление ГКО № 5810 Об организации конструкторского бюро по проектированию главных турбозубчатых агрегатов для кораблей Военно-Морского Флота при Харьковском турбогенераторном заводе им. Кирова Наркомтяжмаша. (7227, 182-183,184-187).</w:t>
      </w:r>
    </w:p>
    <w:p w14:paraId="710F5AEB"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51FDDF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мая 1944 г. в соответствии с пост. ГКО № 5810 при заводе (Русско-Балтийский электротехнический завод, Российская электрическая компания "Union", Российское АО «Всеобщая компания электричества "Union"», «Электросила-1», Харьковский электромеханический завод (ХЭМЗ) им. Сталина ВСНХ, НКТП, НКЭП, МЭТП, Харьковский электро-турбогенераторный завод (ХЭТЗ) НКМ, НПО «Электромеханический завод», ОАО «ХЭМЗ» /г. Рига;  г. Харьков Чугуевское ш. (1935 г.); пр. Сталина, 199 (1939 г.)/ /Украина 310037  г. Харьков Московский пр., 199/) было организовано КБ по проектированию главных турбозубчатых агрегатов (ГТЗА) для кораблей ВМФ.</w:t>
      </w:r>
    </w:p>
    <w:p w14:paraId="6292F21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(-01.1936 г.)- Шибакин (снят), (01.1936 г.-)- Ицхакин.</w:t>
      </w:r>
    </w:p>
    <w:p w14:paraId="3A5F5B5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директора (1936 г.-)- Девьятков (репрессирован), (1936 г.-)- Флаум.</w:t>
      </w:r>
    </w:p>
    <w:p w14:paraId="773EF3E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Технический директор (-1937 г.)- Зак.</w:t>
      </w:r>
      <w:r w:rsidRPr="007224C3">
        <w:rPr>
          <w:rFonts w:ascii="Times New Roman" w:hAnsi="Times New Roman"/>
          <w:color w:val="000000" w:themeColor="text1"/>
          <w:sz w:val="16"/>
          <w:szCs w:val="16"/>
          <w:vertAlign w:val="superscript"/>
        </w:rPr>
        <w:t>139</w:t>
      </w:r>
    </w:p>
    <w:p w14:paraId="4520286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Производство; ГТЗА: для эсминцев пр. 7 (1930-е), для крейсеров пр. 26 «Ворошилов» (1936), пр. 26бис (1937) для линкоров пр. 23 (1938-40-) (11982).</w:t>
      </w:r>
    </w:p>
    <w:p w14:paraId="7DBAF3D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82AA6E7"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мая 1944 вышло Распоряжение ГКО № 5811 О финансировании восстановительных работ второй очереди на железнодорожном транспорте. (7227, 188-189,190-192).</w:t>
      </w:r>
    </w:p>
    <w:p w14:paraId="6751AD2E"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36D9F9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мая 1944 вышло Распоряжение ГКО № 5812. О мерах по обеспечению выполнения аварийно-восстановительных работ на комбинате "Южуралникель" НКЦМ. РГАНИР, Фонд ГКО, д. 249, лл. 193-194,195-196 (11012).</w:t>
      </w:r>
    </w:p>
    <w:p w14:paraId="5F8F600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A64E5E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мая 1944 вышло Постановление ГКО № 5813 О выработке и поставке Наркомвнешторгу в 1944 г. лесоматериалов на экспорт. РГАНИР, Фонд ГКО, д. 249, лл. 197-199 (11012).</w:t>
      </w:r>
    </w:p>
    <w:p w14:paraId="2BD3DF0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A20C84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мая 1944 вышло Распоряжение ГКО № 5814. О вывозке трестом "Краснодарлес" НКлеса РСФСР древесины в 1944 г. и создании условий для удвоения плана в 1945 г. РГАНИР, Фонд ГКО, д. 249, лл. 200-201 (11012).</w:t>
      </w:r>
    </w:p>
    <w:p w14:paraId="56B0C58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696B59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мая 1944 вышло Постановление ГКО № 5815 О мероприятиях по освоению древесины в районе реки Водлы и Онежского озера. РГАНИР, Фонд ГКО, д. 249, лл. 202-207 (11012).</w:t>
      </w:r>
    </w:p>
    <w:p w14:paraId="6EC2459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DF5825C"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мая 1944 вышло Постановление ГКО № 5815 О мероприятиях по освоению древесины в районе реки Водлы и Онежского озера. (7227, 202-207).</w:t>
      </w:r>
    </w:p>
    <w:p w14:paraId="3E96D3AC"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B43359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мая 1944 вышло Постановление ГКО № 5816 О неотложных мерах по восстановлению завода сельскохозяйственного машиностроения "Красная звезда" Наркомминвооружения в г. Кировограде. РГАНИР, Фонд ГКО, д. 249, лл. 208,209-214 (11012).</w:t>
      </w:r>
    </w:p>
    <w:p w14:paraId="1C6ACB7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80CCBF4"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мая 1944 вышло Постановление ГКО № 5818 О плане ремонта автомобилей народного хозяйства на 1944 г. (7228, 3-10,11-55).</w:t>
      </w:r>
    </w:p>
    <w:p w14:paraId="2DF9382B"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CEC8C0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мая 1944 вышло Постановление ГКО № 5819 О передаче из КА в кожевенную промышленность НКЛП 254 автомашин с шоферами-женщинами. РГАНИР, Фонд ГКО, д. 250, лл. 56 (11012).</w:t>
      </w:r>
    </w:p>
    <w:p w14:paraId="29C4000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F418ABE"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70748D7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262E98A" w14:textId="77777777" w:rsidR="008B289D" w:rsidRPr="007224C3" w:rsidRDefault="008B289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мая в 1944 году оперативная сводка Совинформбюро:</w:t>
      </w:r>
    </w:p>
    <w:p w14:paraId="67A623AE" w14:textId="77777777" w:rsidR="008B289D" w:rsidRPr="007224C3" w:rsidRDefault="008B289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4 мая на фронтах существенных изменений не произошло.</w:t>
      </w:r>
    </w:p>
    <w:p w14:paraId="6BB3AE2A" w14:textId="77777777" w:rsidR="008B289D" w:rsidRPr="007224C3" w:rsidRDefault="008B289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3 мая нашими войсками на всех фронтах подбито и уничтожено 47 немецких танков. В воздушных боях и огнём зенитной артиллерии сбито 24 самолёта противника.»</w:t>
      </w:r>
    </w:p>
    <w:p w14:paraId="672D66EF" w14:textId="77777777" w:rsidR="008B289D" w:rsidRPr="007224C3" w:rsidRDefault="008B289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Удары нашей авиации по войскам и технике противника в районе Севастополя:</w:t>
      </w:r>
    </w:p>
    <w:p w14:paraId="53D2CB65" w14:textId="77777777" w:rsidR="008B289D" w:rsidRPr="007224C3" w:rsidRDefault="008B289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ночь на 4 мая крупные силы нашей авиации дальнего действия бомбардировали немецко-румынские войска, артиллерийские позиции и военные склады противника в районе Севастополя. Бомбоштурмовыми ударами нанесены тяжёлые потери живой силе противника. Севернее города подавлен огонь многих артиллерийских батарей. В районе военных складов и на железнодорожном узле возникло 10 очагов пожаров. Наблюдением отмечены многочисленные взрывы, из них два взрыва большой силы.</w:t>
      </w:r>
    </w:p>
    <w:p w14:paraId="58D1C319" w14:textId="77777777" w:rsidR="008B289D" w:rsidRPr="007224C3" w:rsidRDefault="008B289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 наши самолёты вернулись на свои аэродромы.»</w:t>
      </w:r>
    </w:p>
    <w:p w14:paraId="02367505" w14:textId="77777777" w:rsidR="008B289D" w:rsidRPr="007224C3" w:rsidRDefault="008B289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«Юго-восточнее города Станислав утром группы пехоты противника на ряде участков пытались боем разведать позиции советских войск. Всюду немцы были встречены артиллерийско-миномётным и пулемётным огнём и рассеяны, не достигнув переднего края нашей обороны. Уничтожено две роты гитлеровцев. Во второй половине дня пехота и танки противника атаковали позиции Н-ской части. В результате упорной схватки немцы были отброшены на исходные позиции. На поле боя осталось до 400 вражеских трупов. Уничтожено 12 танков, 2 бронетранспортёра и 20 автомашин.</w:t>
      </w:r>
    </w:p>
    <w:p w14:paraId="7E33F99C" w14:textId="77777777" w:rsidR="008B289D" w:rsidRPr="007224C3" w:rsidRDefault="008B289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Наши лётчики бомбардировали скопления войск и боевой техники противника. В воздушных боях советские истребители сбили 13 немецких самолётов.</w:t>
      </w:r>
    </w:p>
    <w:p w14:paraId="2AFBC9BD" w14:textId="77777777" w:rsidR="008B289D" w:rsidRPr="007224C3" w:rsidRDefault="008B289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Южнее города Тирасполь разведывательный отряд противника пытался ночьюпроникнуть в расположение Н-ской части. Подразделение капитана Фоменко вовремя обнаружило вражеских разведчиков. Советские бойцы подпустили немцев на близкое расстояние, а затем открыли огонь из пулемётов и автоматов. Потеряв до 60 солдат убитыми и ранеными, противник поспешно отступил.</w:t>
      </w:r>
    </w:p>
    <w:p w14:paraId="18773001" w14:textId="77777777" w:rsidR="008B289D" w:rsidRPr="007224C3" w:rsidRDefault="008B289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Несколько групп партизан, действующих в Львовской области, с 10 по 20 апреля пустили под откос 12 немецких воинских эшелонов. Кроме того, партизаны подорвали два поезда, которые немцы выслали для восстановления разрушенных путей. Под обломками вагонов погибло не менее 200 гитлеровцев. 22 апреля львовские партизаны заминировали железнодорожный мост. В результате взрыва мост рухнул вместе с проходившим по нему воинским эшелоном. Движение поездов на этом участке было прервано на пять суток.</w:t>
      </w:r>
    </w:p>
    <w:p w14:paraId="2F794FC2" w14:textId="77777777" w:rsidR="008B289D" w:rsidRPr="007224C3" w:rsidRDefault="008B289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Одессы наши бойцы подобрали раненого командира 1 батальона 717 полка 153 немецкой резервной пехотной дивизии капитана Вилли Шульца. Пленный рассказал: «Вечером русские атаковали наши позиции. Атака была так стремительна,что мои подразделения не выдержали натиска и в замешательстве отступили. Впереди солдат бежали офицеры — командир 2 роты обер-лейтенант Грюн, командир 3 роты капитан Кротэ, командир 4 роты капитал Хемпель. Я был ранен в плечо и не мог подняться. Солдаты и офицеры видели, как я упал, но никто из них не оказал мне помощи. Каждый думал только о себе и спасался, как мог. Я прослужил 25 лет в немецкой армии, но никогда ещё не видел, чтобы офицеры и солдаты вели себя так трусливо. Они теперь, как огня, боятся окружения русских».</w:t>
      </w:r>
    </w:p>
    <w:p w14:paraId="5BF5A48F" w14:textId="77777777" w:rsidR="008B289D" w:rsidRPr="007224C3" w:rsidRDefault="008B289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Ниже публикуется акт о зверствах немецко-фашистских мерзавцев в сёлах Туровецкого сельсовета, Коростышевского района, Житомирской области: «Захватив деревни Туровецкого сельсовета, немцы грабили мирных жителей и всячески издевались над ними. Немецкие власти установили чудовищные денежные и натуральные налоги. Каждый владелец коровы должен был сдавать всё полученное им молоко. У кого сохранилась курица, тот был обязан сдавать 200 яиц. Каждый фашистский сатрап грабил колхозников. Отступая, немцы сожгли сотни жилых домов, разрушили молочно-товарные фермы, ферму племенных тонкорунных овец, колхозные пасеки, поломали весь сельскохозяйственный инвентарь. Фашистские изверги расстреляли колхозника А.А.Канарского и его четырёх детей, учителя Богдана Войцеховского, Любу Стахивскую и других жителей. Много молодёжи гитлеровцы угнали на каторгу в Германию.</w:t>
      </w:r>
    </w:p>
    <w:p w14:paraId="79B6EF0B" w14:textId="77777777" w:rsidR="008B289D" w:rsidRPr="007224C3" w:rsidRDefault="008B289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Освобождённые родной Красной Армией, советские люди сейчас вздохнули полной грудью. Они восстанавливают разрушенное немцами колхозное хозяйство и горят желанием помочь Красной Армии скорее добить немецко-фашистских мерзавцев».</w:t>
      </w:r>
    </w:p>
    <w:p w14:paraId="79FD64D1" w14:textId="77777777" w:rsidR="008B289D" w:rsidRPr="007224C3" w:rsidRDefault="008B289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Акт подписали: майор Монастырёв, председатель Туровецкого сельсовета Ратвинский, председатель колхоза Кушнар.» (14881).</w:t>
      </w:r>
    </w:p>
    <w:p w14:paraId="09118E74" w14:textId="77777777" w:rsidR="008B289D" w:rsidRPr="007224C3" w:rsidRDefault="008B289D" w:rsidP="007224C3">
      <w:pPr>
        <w:spacing w:after="0" w:line="240" w:lineRule="auto"/>
        <w:jc w:val="both"/>
        <w:rPr>
          <w:rFonts w:ascii="Times New Roman" w:hAnsi="Times New Roman"/>
          <w:color w:val="000000" w:themeColor="text1"/>
          <w:sz w:val="16"/>
          <w:szCs w:val="16"/>
        </w:rPr>
      </w:pPr>
    </w:p>
    <w:p w14:paraId="0192BA9B" w14:textId="77777777" w:rsidR="008B289D" w:rsidRPr="007224C3" w:rsidRDefault="008B289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мая в 1944 году в ЦК ВКП(б) проходит совещание членов Военных советов фронтов, рассматривающее вопросы политического руководства войсками в связи с перенесением военных действий за рубежи СССР. Начальство обеспокоено тем, что "европейский капиталистический образ жизни может нарушить идеологическую девственность советского солдата" (14881).</w:t>
      </w:r>
    </w:p>
    <w:p w14:paraId="750D8434" w14:textId="77777777" w:rsidR="008B289D" w:rsidRPr="007224C3" w:rsidRDefault="008B289D" w:rsidP="007224C3">
      <w:pPr>
        <w:spacing w:after="0" w:line="240" w:lineRule="auto"/>
        <w:jc w:val="both"/>
        <w:rPr>
          <w:rFonts w:ascii="Times New Roman" w:hAnsi="Times New Roman"/>
          <w:color w:val="000000" w:themeColor="text1"/>
          <w:sz w:val="16"/>
          <w:szCs w:val="16"/>
        </w:rPr>
      </w:pPr>
    </w:p>
    <w:p w14:paraId="2295AC1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мая 1944 приказом НКВД У войск по охране тыла стало У войск НКВД (И.М.Горбатюк) (3398,169).</w:t>
      </w:r>
    </w:p>
    <w:p w14:paraId="62F6B9D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44CA72"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2017409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716D8F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rPr>
        <w:t>4 мая 1944 г. Черчиль адресовал Идену вопрос, - может ли Великобритания мириться с "коммунизацией" Балкан и, возможно, даже Италии? Нет</w:t>
      </w:r>
      <w:r w:rsidRPr="007224C3">
        <w:rPr>
          <w:rFonts w:ascii="Times New Roman" w:hAnsi="Times New Roman"/>
          <w:color w:val="000000" w:themeColor="text1"/>
          <w:sz w:val="16"/>
          <w:szCs w:val="16"/>
          <w:lang w:val="en-US"/>
        </w:rPr>
        <w:t xml:space="preserve">, </w:t>
      </w:r>
      <w:r w:rsidRPr="007224C3">
        <w:rPr>
          <w:rFonts w:ascii="Times New Roman" w:hAnsi="Times New Roman"/>
          <w:color w:val="000000" w:themeColor="text1"/>
          <w:sz w:val="16"/>
          <w:szCs w:val="16"/>
        </w:rPr>
        <w:t>отвечалсамсебеЧерчиль</w:t>
      </w:r>
      <w:r w:rsidRPr="007224C3">
        <w:rPr>
          <w:rFonts w:ascii="Times New Roman" w:hAnsi="Times New Roman"/>
          <w:color w:val="000000" w:themeColor="text1"/>
          <w:sz w:val="16"/>
          <w:szCs w:val="16"/>
          <w:lang w:val="en-US"/>
        </w:rPr>
        <w:t xml:space="preserve"> (3871).</w:t>
      </w:r>
    </w:p>
    <w:p w14:paraId="028F823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6820CD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May 4th, 1944: The RAF carries out a night raid against Budapest (3819).</w:t>
      </w:r>
    </w:p>
    <w:p w14:paraId="563407D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51DFBF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мая 1944 Королевские ВВС совершили ночной налет на Будапешт (3819).</w:t>
      </w:r>
    </w:p>
    <w:p w14:paraId="0A579D9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45EE3E" w14:textId="77777777" w:rsidR="008B289D" w:rsidRPr="007224C3" w:rsidRDefault="008B289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мая в 1944 году правительство Великобритании предоставило заем гоминьдановскому правительству Китая на сумму 50 миллионов фунтов стерлингов (14881).</w:t>
      </w:r>
    </w:p>
    <w:p w14:paraId="3BD19D6F" w14:textId="77777777" w:rsidR="008B289D" w:rsidRPr="007224C3" w:rsidRDefault="008B289D" w:rsidP="007224C3">
      <w:pPr>
        <w:spacing w:after="0" w:line="240" w:lineRule="auto"/>
        <w:jc w:val="both"/>
        <w:rPr>
          <w:rFonts w:ascii="Times New Roman" w:hAnsi="Times New Roman"/>
          <w:color w:val="000000" w:themeColor="text1"/>
          <w:sz w:val="16"/>
          <w:szCs w:val="16"/>
        </w:rPr>
      </w:pPr>
    </w:p>
    <w:p w14:paraId="73918E27"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мая 1944 в США отменены ограничения на торговлю мясом (4962).</w:t>
      </w:r>
    </w:p>
    <w:p w14:paraId="32075E69"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FBDBFE1"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0D76FD7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8E7B40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мая 1944 года А. Нудельман писал письмо</w:t>
      </w:r>
    </w:p>
    <w:p w14:paraId="5BF3121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инженеру ВВС генерал-полковнику ИАС Репину А.К., Шахурину, УК ЦК ВКП(б) генерал-полковнику авиации Шиманову Н.С.</w:t>
      </w:r>
    </w:p>
    <w:p w14:paraId="1708EA9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ОКБ-16 закончена работа по уменьшению усилия отдачи 37 мм авиапушки Нудельмана-Суранова. Усилие отдачи снижено почти вдвое, что дает возможность вести прицельный огонь из одной крыльевой пушки на самолете ИЛ-2, а также увеличивает число прицельных выстрелов в очереди при автоматической стрельбе.</w:t>
      </w:r>
    </w:p>
    <w:p w14:paraId="4C1DA47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Проведенная нами работа значительно расширяет область применения 37 мм пушки в авиации и ликвидирует недостатки отмеченные в отчете по войсковым испытаниям на самолете ИЛ-2.</w:t>
      </w:r>
    </w:p>
    <w:p w14:paraId="283A2BE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Это дает возможность полностью восстановить производство самолетов ИЛ-2 с 37 мм авиапушками, а также увеличить выпуск самолетов ЯК-9Т (1821).</w:t>
      </w:r>
    </w:p>
    <w:p w14:paraId="5AB27D1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0199F0" w14:textId="77777777" w:rsidR="0059136E" w:rsidRPr="007224C3" w:rsidRDefault="0059136E" w:rsidP="007224C3">
      <w:pPr>
        <w:pStyle w:val="121"/>
        <w:shd w:val="clear" w:color="auto" w:fill="auto"/>
        <w:spacing w:line="240" w:lineRule="auto"/>
        <w:jc w:val="both"/>
        <w:rPr>
          <w:rFonts w:ascii="Times New Roman" w:hAnsi="Times New Roman" w:cs="Times New Roman"/>
          <w:b w:val="0"/>
          <w:bCs w:val="0"/>
          <w:color w:val="0070C0"/>
          <w:sz w:val="16"/>
          <w:szCs w:val="16"/>
        </w:rPr>
      </w:pPr>
      <w:r w:rsidRPr="007224C3">
        <w:rPr>
          <w:rStyle w:val="128pt100"/>
          <w:rFonts w:ascii="Times New Roman" w:hAnsi="Times New Roman" w:cs="Times New Roman"/>
          <w:b w:val="0"/>
          <w:bCs w:val="0"/>
          <w:i w:val="0"/>
          <w:iCs w:val="0"/>
          <w:color w:val="0070C0"/>
        </w:rPr>
        <w:t>5 мая 1944 на имя секре</w:t>
      </w:r>
      <w:r w:rsidRPr="007224C3">
        <w:rPr>
          <w:rStyle w:val="128pt100"/>
          <w:rFonts w:ascii="Times New Roman" w:hAnsi="Times New Roman" w:cs="Times New Roman"/>
          <w:b w:val="0"/>
          <w:bCs w:val="0"/>
          <w:i w:val="0"/>
          <w:iCs w:val="0"/>
          <w:color w:val="0070C0"/>
        </w:rPr>
        <w:softHyphen/>
        <w:t>таря ЦК ВКП(б)</w:t>
      </w:r>
      <w:r w:rsidRPr="007224C3">
        <w:rPr>
          <w:rFonts w:ascii="Times New Roman" w:hAnsi="Times New Roman" w:cs="Times New Roman"/>
          <w:b w:val="0"/>
          <w:bCs w:val="0"/>
          <w:color w:val="0070C0"/>
          <w:sz w:val="16"/>
          <w:szCs w:val="16"/>
        </w:rPr>
        <w:t xml:space="preserve"> «товарища Маленкова Г.М.»</w:t>
      </w:r>
      <w:r w:rsidRPr="007224C3">
        <w:rPr>
          <w:rStyle w:val="128pt100"/>
          <w:rFonts w:ascii="Times New Roman" w:hAnsi="Times New Roman" w:cs="Times New Roman"/>
          <w:b w:val="0"/>
          <w:bCs w:val="0"/>
          <w:i w:val="0"/>
          <w:iCs w:val="0"/>
          <w:color w:val="0070C0"/>
        </w:rPr>
        <w:t xml:space="preserve"> (копия</w:t>
      </w:r>
      <w:r w:rsidRPr="007224C3">
        <w:rPr>
          <w:rFonts w:ascii="Times New Roman" w:hAnsi="Times New Roman" w:cs="Times New Roman"/>
          <w:b w:val="0"/>
          <w:bCs w:val="0"/>
          <w:color w:val="0070C0"/>
          <w:sz w:val="16"/>
          <w:szCs w:val="16"/>
        </w:rPr>
        <w:t xml:space="preserve"> «товарищу ШахуринуА.И.») </w:t>
      </w:r>
      <w:r w:rsidRPr="007224C3">
        <w:rPr>
          <w:rStyle w:val="128pt100"/>
          <w:rFonts w:ascii="Times New Roman" w:hAnsi="Times New Roman" w:cs="Times New Roman"/>
          <w:b w:val="0"/>
          <w:bCs w:val="0"/>
          <w:i w:val="0"/>
          <w:iCs w:val="0"/>
          <w:color w:val="0070C0"/>
        </w:rPr>
        <w:t>ушло письмо за подписью генерал-полковника Репина следующего содержа</w:t>
      </w:r>
      <w:r w:rsidRPr="007224C3">
        <w:rPr>
          <w:rStyle w:val="128pt100"/>
          <w:rFonts w:ascii="Times New Roman" w:hAnsi="Times New Roman" w:cs="Times New Roman"/>
          <w:b w:val="0"/>
          <w:bCs w:val="0"/>
          <w:i w:val="0"/>
          <w:iCs w:val="0"/>
          <w:color w:val="0070C0"/>
        </w:rPr>
        <w:softHyphen/>
        <w:t>ния:</w:t>
      </w:r>
      <w:r w:rsidRPr="007224C3">
        <w:rPr>
          <w:rFonts w:ascii="Times New Roman" w:hAnsi="Times New Roman" w:cs="Times New Roman"/>
          <w:b w:val="0"/>
          <w:bCs w:val="0"/>
          <w:color w:val="0070C0"/>
          <w:sz w:val="16"/>
          <w:szCs w:val="16"/>
        </w:rPr>
        <w:t xml:space="preserve"> «В НИИ ВВС Красной Армии выдержал государственные испытания двухмест</w:t>
      </w:r>
      <w:r w:rsidRPr="007224C3">
        <w:rPr>
          <w:rFonts w:ascii="Times New Roman" w:hAnsi="Times New Roman" w:cs="Times New Roman"/>
          <w:b w:val="0"/>
          <w:bCs w:val="0"/>
          <w:color w:val="0070C0"/>
          <w:sz w:val="16"/>
          <w:szCs w:val="16"/>
        </w:rPr>
        <w:softHyphen/>
        <w:t>ный самолет Ил с мотором АМ-42, предъ</w:t>
      </w:r>
      <w:r w:rsidRPr="007224C3">
        <w:rPr>
          <w:rFonts w:ascii="Times New Roman" w:hAnsi="Times New Roman" w:cs="Times New Roman"/>
          <w:b w:val="0"/>
          <w:bCs w:val="0"/>
          <w:color w:val="0070C0"/>
          <w:sz w:val="16"/>
          <w:szCs w:val="16"/>
        </w:rPr>
        <w:softHyphen/>
        <w:t>явленный Главным конструктором тов. Ильюшиным в вариантах бронированного штурмовика-бомбардировщика и развед</w:t>
      </w:r>
      <w:r w:rsidRPr="007224C3">
        <w:rPr>
          <w:rFonts w:ascii="Times New Roman" w:hAnsi="Times New Roman" w:cs="Times New Roman"/>
          <w:b w:val="0"/>
          <w:bCs w:val="0"/>
          <w:color w:val="0070C0"/>
          <w:sz w:val="16"/>
          <w:szCs w:val="16"/>
        </w:rPr>
        <w:softHyphen/>
        <w:t>чика-корректировщика артиллерийского огня./.../Так как самолет Ил с АМ-42 по полученным летно-тактическим данным имеет явные преимущества, в сравне</w:t>
      </w:r>
      <w:r w:rsidRPr="007224C3">
        <w:rPr>
          <w:rFonts w:ascii="Times New Roman" w:hAnsi="Times New Roman" w:cs="Times New Roman"/>
          <w:b w:val="0"/>
          <w:bCs w:val="0"/>
          <w:color w:val="0070C0"/>
          <w:sz w:val="16"/>
          <w:szCs w:val="16"/>
        </w:rPr>
        <w:softHyphen/>
        <w:t>нии с серийным самолетом Ил-2 с АМ-38ф, прошу Вас рассмотреть вопрос о немед</w:t>
      </w:r>
      <w:r w:rsidRPr="007224C3">
        <w:rPr>
          <w:rFonts w:ascii="Times New Roman" w:hAnsi="Times New Roman" w:cs="Times New Roman"/>
          <w:b w:val="0"/>
          <w:bCs w:val="0"/>
          <w:color w:val="0070C0"/>
          <w:sz w:val="16"/>
          <w:szCs w:val="16"/>
        </w:rPr>
        <w:softHyphen/>
        <w:t>ленном запуске этого самолета в серий</w:t>
      </w:r>
      <w:r w:rsidRPr="007224C3">
        <w:rPr>
          <w:rFonts w:ascii="Times New Roman" w:hAnsi="Times New Roman" w:cs="Times New Roman"/>
          <w:b w:val="0"/>
          <w:bCs w:val="0"/>
          <w:color w:val="0070C0"/>
          <w:sz w:val="16"/>
          <w:szCs w:val="16"/>
        </w:rPr>
        <w:softHyphen/>
        <w:t>ное производство на заводах №№1,18 и 30 и об изготовлении к 15 июля 30 само</w:t>
      </w:r>
      <w:r w:rsidRPr="007224C3">
        <w:rPr>
          <w:rFonts w:ascii="Times New Roman" w:hAnsi="Times New Roman" w:cs="Times New Roman"/>
          <w:b w:val="0"/>
          <w:bCs w:val="0"/>
          <w:color w:val="0070C0"/>
          <w:sz w:val="16"/>
          <w:szCs w:val="16"/>
        </w:rPr>
        <w:softHyphen/>
        <w:t>летов в варианте штурмовика-бомбарди</w:t>
      </w:r>
      <w:r w:rsidRPr="007224C3">
        <w:rPr>
          <w:rFonts w:ascii="Times New Roman" w:hAnsi="Times New Roman" w:cs="Times New Roman"/>
          <w:b w:val="0"/>
          <w:bCs w:val="0"/>
          <w:color w:val="0070C0"/>
          <w:sz w:val="16"/>
          <w:szCs w:val="16"/>
        </w:rPr>
        <w:softHyphen/>
        <w:t>ровщика и 10 самолетов в варианте раз</w:t>
      </w:r>
      <w:r w:rsidRPr="007224C3">
        <w:rPr>
          <w:rFonts w:ascii="Times New Roman" w:hAnsi="Times New Roman" w:cs="Times New Roman"/>
          <w:b w:val="0"/>
          <w:bCs w:val="0"/>
          <w:color w:val="0070C0"/>
          <w:sz w:val="16"/>
          <w:szCs w:val="16"/>
        </w:rPr>
        <w:softHyphen/>
        <w:t>ведчика-корректировщика».</w:t>
      </w:r>
    </w:p>
    <w:p w14:paraId="0F7B4643" w14:textId="77777777" w:rsidR="0059136E" w:rsidRPr="007224C3" w:rsidRDefault="0059136E"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Реакции Маленкова на это обращение не последовало, но зато отреагировал ко</w:t>
      </w:r>
      <w:r w:rsidRPr="007224C3">
        <w:rPr>
          <w:rFonts w:ascii="Times New Roman" w:hAnsi="Times New Roman"/>
          <w:color w:val="0070C0"/>
          <w:sz w:val="16"/>
          <w:szCs w:val="16"/>
        </w:rPr>
        <w:softHyphen/>
        <w:t>мандующий ВВС КА главный маршал ави</w:t>
      </w:r>
      <w:r w:rsidRPr="007224C3">
        <w:rPr>
          <w:rFonts w:ascii="Times New Roman" w:hAnsi="Times New Roman"/>
          <w:color w:val="0070C0"/>
          <w:sz w:val="16"/>
          <w:szCs w:val="16"/>
        </w:rPr>
        <w:softHyphen/>
        <w:t>ации Новиков. Он «довел до сведения» генерала Репина, что прежде, чем ставить самолет в серийное производство необ</w:t>
      </w:r>
      <w:r w:rsidRPr="007224C3">
        <w:rPr>
          <w:rFonts w:ascii="Times New Roman" w:hAnsi="Times New Roman"/>
          <w:color w:val="0070C0"/>
          <w:sz w:val="16"/>
          <w:szCs w:val="16"/>
        </w:rPr>
        <w:softHyphen/>
        <w:t>ходимо принять его на вооружение ВВС (19853).</w:t>
      </w:r>
    </w:p>
    <w:p w14:paraId="0743230E" w14:textId="77777777" w:rsidR="0059136E" w:rsidRPr="007224C3" w:rsidRDefault="0059136E" w:rsidP="007224C3">
      <w:pPr>
        <w:spacing w:after="0" w:line="240" w:lineRule="auto"/>
        <w:jc w:val="both"/>
        <w:rPr>
          <w:rFonts w:ascii="Times New Roman" w:hAnsi="Times New Roman"/>
          <w:color w:val="0070C0"/>
          <w:sz w:val="16"/>
          <w:szCs w:val="16"/>
          <w:lang w:val="ru"/>
        </w:rPr>
      </w:pPr>
    </w:p>
    <w:p w14:paraId="0C754B6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мая 1944 ГИ ВВС КА Репин писал письмо N 921546с (входящий 5992 от 8 мая) Г.М.М. и А.И.Ш.:</w:t>
      </w:r>
    </w:p>
    <w:p w14:paraId="0ADA477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НИИ ВВС КА выдержал гос. испытания двухместный самолет Ил с мотором АМ-42, предъявленный ГК С.В.И. в вариантах бронированного штурмовика-бомбардировщика и разведчика-корректировщика артиллерийского огня.</w:t>
      </w:r>
    </w:p>
    <w:p w14:paraId="72F3AD8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имеет вооружение: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219"/>
        <w:gridCol w:w="7053"/>
      </w:tblGrid>
      <w:tr w:rsidR="005106D0" w:rsidRPr="007224C3" w14:paraId="5D586466" w14:textId="77777777">
        <w:tc>
          <w:tcPr>
            <w:tcW w:w="4219" w:type="dxa"/>
          </w:tcPr>
          <w:p w14:paraId="09547746" w14:textId="77777777" w:rsidR="00595BFB" w:rsidRPr="007224C3" w:rsidRDefault="008B289D"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w:t>
            </w:r>
            <w:r w:rsidR="00595BFB" w:rsidRPr="007224C3">
              <w:rPr>
                <w:rFonts w:ascii="Times New Roman" w:hAnsi="Times New Roman"/>
                <w:color w:val="000000" w:themeColor="text1"/>
                <w:sz w:val="16"/>
                <w:szCs w:val="16"/>
              </w:rPr>
              <w:t>перед</w:t>
            </w:r>
          </w:p>
        </w:tc>
        <w:tc>
          <w:tcPr>
            <w:tcW w:w="7053" w:type="dxa"/>
          </w:tcPr>
          <w:p w14:paraId="0870758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крыльевых пушки ВЯ с боезапасом 300 патронов</w:t>
            </w:r>
          </w:p>
        </w:tc>
      </w:tr>
      <w:tr w:rsidR="005106D0" w:rsidRPr="007224C3" w14:paraId="40F26E56" w14:textId="77777777">
        <w:tc>
          <w:tcPr>
            <w:tcW w:w="4219" w:type="dxa"/>
          </w:tcPr>
          <w:p w14:paraId="2310800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53" w:type="dxa"/>
          </w:tcPr>
          <w:p w14:paraId="4B0CB11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крыльевых пулемета ШКАС с боезапасом 1500 патронов</w:t>
            </w:r>
          </w:p>
        </w:tc>
      </w:tr>
      <w:tr w:rsidR="005106D0" w:rsidRPr="007224C3" w14:paraId="604C1598" w14:textId="77777777">
        <w:tc>
          <w:tcPr>
            <w:tcW w:w="4219" w:type="dxa"/>
          </w:tcPr>
          <w:p w14:paraId="2F7FAED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назад</w:t>
            </w:r>
          </w:p>
        </w:tc>
        <w:tc>
          <w:tcPr>
            <w:tcW w:w="7053" w:type="dxa"/>
          </w:tcPr>
          <w:p w14:paraId="506225A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подвижной установке 1 пулемет калибра 12.7 мм с боезапасом 150 патронов.</w:t>
            </w:r>
          </w:p>
        </w:tc>
      </w:tr>
    </w:tbl>
    <w:p w14:paraId="61E5477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Бомбовая нагрузка нормально 600 кг и при перегрузке 1000 кг.</w:t>
      </w:r>
    </w:p>
    <w:p w14:paraId="33F301D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испытаниях самолета получено:</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5106D0" w:rsidRPr="007224C3" w14:paraId="58AFD883" w14:textId="77777777">
        <w:tc>
          <w:tcPr>
            <w:tcW w:w="5636" w:type="dxa"/>
          </w:tcPr>
          <w:p w14:paraId="0C9945C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Нормальный полетный вес</w:t>
            </w:r>
          </w:p>
        </w:tc>
        <w:tc>
          <w:tcPr>
            <w:tcW w:w="5636" w:type="dxa"/>
          </w:tcPr>
          <w:p w14:paraId="6F16CC7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7260 кг</w:t>
            </w:r>
          </w:p>
        </w:tc>
      </w:tr>
      <w:tr w:rsidR="005106D0" w:rsidRPr="007224C3" w14:paraId="1A504625" w14:textId="77777777">
        <w:tc>
          <w:tcPr>
            <w:tcW w:w="5636" w:type="dxa"/>
          </w:tcPr>
          <w:p w14:paraId="6D11F23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Запас горючего</w:t>
            </w:r>
          </w:p>
        </w:tc>
        <w:tc>
          <w:tcPr>
            <w:tcW w:w="5636" w:type="dxa"/>
          </w:tcPr>
          <w:p w14:paraId="648696B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670 кг</w:t>
            </w:r>
          </w:p>
        </w:tc>
      </w:tr>
      <w:tr w:rsidR="005106D0" w:rsidRPr="007224C3" w14:paraId="68B78BBE" w14:textId="77777777">
        <w:tc>
          <w:tcPr>
            <w:tcW w:w="5636" w:type="dxa"/>
          </w:tcPr>
          <w:p w14:paraId="149FA94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 скорость у земли</w:t>
            </w:r>
          </w:p>
        </w:tc>
        <w:tc>
          <w:tcPr>
            <w:tcW w:w="5636" w:type="dxa"/>
          </w:tcPr>
          <w:p w14:paraId="4C2CAB6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428 км/час</w:t>
            </w:r>
          </w:p>
        </w:tc>
      </w:tr>
      <w:tr w:rsidR="005106D0" w:rsidRPr="007224C3" w14:paraId="0F52D027" w14:textId="77777777">
        <w:tc>
          <w:tcPr>
            <w:tcW w:w="5636" w:type="dxa"/>
          </w:tcPr>
          <w:p w14:paraId="6478DA4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 скорость на гр. высотности</w:t>
            </w:r>
          </w:p>
        </w:tc>
        <w:tc>
          <w:tcPr>
            <w:tcW w:w="5636" w:type="dxa"/>
          </w:tcPr>
          <w:p w14:paraId="0B59CE7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472 км/час</w:t>
            </w:r>
          </w:p>
        </w:tc>
      </w:tr>
      <w:tr w:rsidR="005106D0" w:rsidRPr="007224C3" w14:paraId="0947D034" w14:textId="77777777">
        <w:tc>
          <w:tcPr>
            <w:tcW w:w="5636" w:type="dxa"/>
          </w:tcPr>
          <w:p w14:paraId="770813A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Время набора высоты 1000 м</w:t>
            </w:r>
          </w:p>
        </w:tc>
        <w:tc>
          <w:tcPr>
            <w:tcW w:w="5636" w:type="dxa"/>
          </w:tcPr>
          <w:p w14:paraId="0BE5C87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2:35</w:t>
            </w:r>
          </w:p>
        </w:tc>
      </w:tr>
      <w:tr w:rsidR="005106D0" w:rsidRPr="007224C3" w14:paraId="73DF11F8" w14:textId="77777777">
        <w:tc>
          <w:tcPr>
            <w:tcW w:w="5636" w:type="dxa"/>
          </w:tcPr>
          <w:p w14:paraId="230B080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Практический потолок</w:t>
            </w:r>
          </w:p>
        </w:tc>
        <w:tc>
          <w:tcPr>
            <w:tcW w:w="5636" w:type="dxa"/>
          </w:tcPr>
          <w:p w14:paraId="793EA8C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6400 м</w:t>
            </w:r>
          </w:p>
        </w:tc>
      </w:tr>
      <w:tr w:rsidR="005106D0" w:rsidRPr="007224C3" w14:paraId="0517F2DB" w14:textId="77777777">
        <w:tc>
          <w:tcPr>
            <w:tcW w:w="5636" w:type="dxa"/>
          </w:tcPr>
          <w:p w14:paraId="4FC1523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Длинна разбега с форсажем</w:t>
            </w:r>
          </w:p>
        </w:tc>
        <w:tc>
          <w:tcPr>
            <w:tcW w:w="5636" w:type="dxa"/>
          </w:tcPr>
          <w:p w14:paraId="467B592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435 м</w:t>
            </w:r>
          </w:p>
        </w:tc>
      </w:tr>
      <w:tr w:rsidR="005106D0" w:rsidRPr="007224C3" w14:paraId="1C94A81A" w14:textId="77777777">
        <w:tc>
          <w:tcPr>
            <w:tcW w:w="5636" w:type="dxa"/>
          </w:tcPr>
          <w:p w14:paraId="02CC6C3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Длинна взлетной дистанции до 25 м</w:t>
            </w:r>
          </w:p>
        </w:tc>
        <w:tc>
          <w:tcPr>
            <w:tcW w:w="5636" w:type="dxa"/>
          </w:tcPr>
          <w:p w14:paraId="775F42D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1040 м</w:t>
            </w:r>
          </w:p>
        </w:tc>
      </w:tr>
      <w:tr w:rsidR="005106D0" w:rsidRPr="007224C3" w14:paraId="568A6A53" w14:textId="77777777">
        <w:tc>
          <w:tcPr>
            <w:tcW w:w="5636" w:type="dxa"/>
          </w:tcPr>
          <w:p w14:paraId="0E019E1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Посадочная скорость</w:t>
            </w:r>
          </w:p>
        </w:tc>
        <w:tc>
          <w:tcPr>
            <w:tcW w:w="5636" w:type="dxa"/>
          </w:tcPr>
          <w:p w14:paraId="6F1A145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136 км/час</w:t>
            </w:r>
          </w:p>
        </w:tc>
      </w:tr>
      <w:tr w:rsidR="005106D0" w:rsidRPr="007224C3" w14:paraId="028BBAF0" w14:textId="77777777">
        <w:tc>
          <w:tcPr>
            <w:tcW w:w="5636" w:type="dxa"/>
          </w:tcPr>
          <w:p w14:paraId="171DD89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 тех. дальность на 200 м</w:t>
            </w:r>
          </w:p>
        </w:tc>
        <w:tc>
          <w:tcPr>
            <w:tcW w:w="5636" w:type="dxa"/>
          </w:tcPr>
          <w:p w14:paraId="6F0A8B3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BC6C054" w14:textId="77777777">
        <w:tc>
          <w:tcPr>
            <w:tcW w:w="5636" w:type="dxa"/>
          </w:tcPr>
          <w:p w14:paraId="458F49B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скорости 290 км/час</w:t>
            </w:r>
          </w:p>
        </w:tc>
        <w:tc>
          <w:tcPr>
            <w:tcW w:w="5636" w:type="dxa"/>
          </w:tcPr>
          <w:p w14:paraId="250B40E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835 км</w:t>
            </w:r>
          </w:p>
        </w:tc>
      </w:tr>
    </w:tbl>
    <w:p w14:paraId="52CD367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данном самолете, в отличие от серийных самолетов, стрелок имеет полную броневую защиту снизу, с боков, сзади, а водо и маслорадиаторы помещены в общем туннеле, заключенном в бронекорпус.</w:t>
      </w:r>
    </w:p>
    <w:p w14:paraId="25B09A2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Т.е. это 2 экз. Ил-8</w:t>
      </w:r>
    </w:p>
    <w:p w14:paraId="03159E5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Установленная на самолете новая подвижная установка стрелка ВУ-8 имеет, в сравнении с серийной установкой ВУБ-3, увеличенные углы обстрела, улучшает условия работы стрелка и обеспечивает более надежную работу пулемета.</w:t>
      </w:r>
    </w:p>
    <w:p w14:paraId="6F68F60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Улучшение продольной устойчивости самолета и управляемости позволяет допускать л с серийных самолетов Ил-2 с АМ-38Ф к полетам на самолете Ил с АМ-42 без дополнительной летной тренировки.</w:t>
      </w:r>
    </w:p>
    <w:p w14:paraId="28B2624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Предъявленный на самолете объем специального оборудования соответствует его назначению, как корректировщика-разведчика и ш-б.</w:t>
      </w:r>
    </w:p>
    <w:p w14:paraId="5E70129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конце апреля 1944 в г. Куйбышеве на заводе 24 прошел удовлетворительно 100 час. гос. испытания мотор АМ-42.</w:t>
      </w:r>
    </w:p>
    <w:p w14:paraId="0C85B61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 как самолет Ил с АМ-42 по полученным ЛТД имеет явные преимущества, в сравнении с серийным самолетом Ил-2 с АМ-38Ф, прошу Вас рассмотреть вопрос о немедленном запуске этого самолета в серийное производство на заводах 1, 18, 30 и об изготовлении к 15 июля 30 самолетов в варианте ш-б и 10 самолетов в варианте р-к." (1817,30).</w:t>
      </w:r>
    </w:p>
    <w:p w14:paraId="00A79A0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CBBF54" w14:textId="77777777" w:rsidR="00962976" w:rsidRPr="007224C3" w:rsidRDefault="0096297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5 мая 1944 на имя секретаря ЦК ВКП (б) «товарища Маленкова Г. М.» (и «товарищу Шахурину А. И.») ушло письмо за подписью генерал-полковника А. К. Репина следующего содержания: «В НИИ ВВС Красной Армии выдержал государственные испытания двухместный самолет Ил с мотором АМ-42, предъявленный Главным конструктором тов. Ильюшиным в вариантах бронированного штурмовика-бомбардировщика и разведчика-корректировщика артиллерийского огня./…/Так как </w:t>
      </w:r>
      <w:r w:rsidRPr="007224C3">
        <w:rPr>
          <w:rFonts w:ascii="Times New Roman" w:hAnsi="Times New Roman"/>
          <w:color w:val="000000" w:themeColor="text1"/>
          <w:sz w:val="16"/>
          <w:szCs w:val="16"/>
        </w:rPr>
        <w:lastRenderedPageBreak/>
        <w:t>самолет Ил с АМ-42 по полученным летно-тактическим данным имеет явные преимущества, в сравнении с серийным самолетом Ил-2 с АМ-38ф, прошу Вас рассмотреть вопрос о немедленном запуске этого самолета в серийное производство на заводах № 1, 18 и 30 и об изготовлении к 15 июля 30 самолетов в варианте штурмовика-бомбардировщика и 10 самолетов в варианте разведчика-корректировщика».</w:t>
      </w:r>
    </w:p>
    <w:p w14:paraId="7B77BE5F" w14:textId="77777777" w:rsidR="00962976" w:rsidRPr="007224C3" w:rsidRDefault="0096297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Реакции Г. М. Маленкова на это обращение не последовало, но зато отреагировал командующий ВВС КА главный маршал авиации А. А. Новиков. Он объяснил генералу Репину, что прежде, чем ставить самолет в серийное производство, необходимо принять его на вооружение ВВС (17490).</w:t>
      </w:r>
    </w:p>
    <w:p w14:paraId="3BCF4B68" w14:textId="77777777" w:rsidR="00962976" w:rsidRPr="007224C3" w:rsidRDefault="00962976" w:rsidP="007224C3">
      <w:pPr>
        <w:spacing w:after="0" w:line="240" w:lineRule="auto"/>
        <w:jc w:val="both"/>
        <w:rPr>
          <w:rFonts w:ascii="Times New Roman" w:eastAsia="Times New Roman" w:hAnsi="Times New Roman"/>
          <w:color w:val="000000" w:themeColor="text1"/>
          <w:sz w:val="16"/>
          <w:szCs w:val="16"/>
          <w:lang w:eastAsia="ru-RU"/>
        </w:rPr>
      </w:pPr>
    </w:p>
    <w:p w14:paraId="1A8CA93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мая 1944 С.П.К. завершил подготовку «Предварительного аэродинамического расчета высотного истребителя "Ла-5" с реактивной установкой с РД-1. Часть II. Определение летных характеристик при полетах выше винтомоторного потолка» (ААН, р. 4, оп. 17, № 111) (10676).</w:t>
      </w:r>
    </w:p>
    <w:p w14:paraId="2144E4B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B08429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5 мая по 5 сентября 1944 года опытные анероиды автомата сме</w:t>
      </w:r>
      <w:r w:rsidRPr="007224C3">
        <w:rPr>
          <w:rFonts w:ascii="Times New Roman" w:hAnsi="Times New Roman"/>
          <w:color w:val="000000" w:themeColor="text1"/>
          <w:sz w:val="16"/>
          <w:szCs w:val="16"/>
        </w:rPr>
        <w:softHyphen/>
        <w:t>си РС-2 (малогабаритные и равновысотные), которые были установлены вместо се</w:t>
      </w:r>
      <w:r w:rsidRPr="007224C3">
        <w:rPr>
          <w:rFonts w:ascii="Times New Roman" w:hAnsi="Times New Roman"/>
          <w:color w:val="000000" w:themeColor="text1"/>
          <w:sz w:val="16"/>
          <w:szCs w:val="16"/>
        </w:rPr>
        <w:softHyphen/>
        <w:t>рийных на самолетах Ла-5 с АШ-82ФН, прошли войсковые испыта</w:t>
      </w:r>
      <w:r w:rsidRPr="007224C3">
        <w:rPr>
          <w:rFonts w:ascii="Times New Roman" w:hAnsi="Times New Roman"/>
          <w:color w:val="000000" w:themeColor="text1"/>
          <w:sz w:val="16"/>
          <w:szCs w:val="16"/>
        </w:rPr>
        <w:softHyphen/>
        <w:t>ния в условиях учебно-боевой и бо</w:t>
      </w:r>
      <w:r w:rsidRPr="007224C3">
        <w:rPr>
          <w:rFonts w:ascii="Times New Roman" w:hAnsi="Times New Roman"/>
          <w:color w:val="000000" w:themeColor="text1"/>
          <w:sz w:val="16"/>
          <w:szCs w:val="16"/>
        </w:rPr>
        <w:softHyphen/>
        <w:t>евой работы 161 и 609 ИАП 330 Островской ИАД 14 ВА на 3-м При</w:t>
      </w:r>
      <w:r w:rsidRPr="007224C3">
        <w:rPr>
          <w:rFonts w:ascii="Times New Roman" w:hAnsi="Times New Roman"/>
          <w:color w:val="000000" w:themeColor="text1"/>
          <w:sz w:val="16"/>
          <w:szCs w:val="16"/>
        </w:rPr>
        <w:softHyphen/>
        <w:t>балтийском фронте. В процессе испытаний моторы ра</w:t>
      </w:r>
      <w:r w:rsidRPr="007224C3">
        <w:rPr>
          <w:rFonts w:ascii="Times New Roman" w:hAnsi="Times New Roman"/>
          <w:color w:val="000000" w:themeColor="text1"/>
          <w:sz w:val="16"/>
          <w:szCs w:val="16"/>
        </w:rPr>
        <w:softHyphen/>
        <w:t>ботали на всех режимах от крейсер</w:t>
      </w:r>
      <w:r w:rsidRPr="007224C3">
        <w:rPr>
          <w:rFonts w:ascii="Times New Roman" w:hAnsi="Times New Roman"/>
          <w:color w:val="000000" w:themeColor="text1"/>
          <w:sz w:val="16"/>
          <w:szCs w:val="16"/>
        </w:rPr>
        <w:softHyphen/>
        <w:t>ских до форсажа включительно на 1-й скорости нагнетателя. Всего за вре</w:t>
      </w:r>
      <w:r w:rsidRPr="007224C3">
        <w:rPr>
          <w:rFonts w:ascii="Times New Roman" w:hAnsi="Times New Roman"/>
          <w:color w:val="000000" w:themeColor="text1"/>
          <w:sz w:val="16"/>
          <w:szCs w:val="16"/>
        </w:rPr>
        <w:softHyphen/>
        <w:t>мя испытаний самолеты, оборудован</w:t>
      </w:r>
      <w:r w:rsidRPr="007224C3">
        <w:rPr>
          <w:rFonts w:ascii="Times New Roman" w:hAnsi="Times New Roman"/>
          <w:color w:val="000000" w:themeColor="text1"/>
          <w:sz w:val="16"/>
          <w:szCs w:val="16"/>
        </w:rPr>
        <w:softHyphen/>
        <w:t>ные опытными анероидами автомата РС-2, совершили 1620 полетов, из них с малогабаритными анероидами -772, с равновысотными анероидами - 848 полетов. Малогабаритные анероиды из бериллиевой бронзы в процессе испы</w:t>
      </w:r>
      <w:r w:rsidRPr="007224C3">
        <w:rPr>
          <w:rFonts w:ascii="Times New Roman" w:hAnsi="Times New Roman"/>
          <w:color w:val="000000" w:themeColor="text1"/>
          <w:sz w:val="16"/>
          <w:szCs w:val="16"/>
        </w:rPr>
        <w:softHyphen/>
        <w:t>таний обеспечивали стабильный рас</w:t>
      </w:r>
      <w:r w:rsidRPr="007224C3">
        <w:rPr>
          <w:rFonts w:ascii="Times New Roman" w:hAnsi="Times New Roman"/>
          <w:color w:val="000000" w:themeColor="text1"/>
          <w:sz w:val="16"/>
          <w:szCs w:val="16"/>
        </w:rPr>
        <w:softHyphen/>
        <w:t>ход топлива и признаков усадки не имели. В конце испытаний на 11-ти самолетах были сняты комплекты ане</w:t>
      </w:r>
      <w:r w:rsidRPr="007224C3">
        <w:rPr>
          <w:rFonts w:ascii="Times New Roman" w:hAnsi="Times New Roman"/>
          <w:color w:val="000000" w:themeColor="text1"/>
          <w:sz w:val="16"/>
          <w:szCs w:val="16"/>
        </w:rPr>
        <w:softHyphen/>
        <w:t>роидов для осмотра их и обмера после испытаний. Высота каждого из трех газонаполненных анероидов после 37-70 часов работы осталась практи</w:t>
      </w:r>
      <w:r w:rsidRPr="007224C3">
        <w:rPr>
          <w:rFonts w:ascii="Times New Roman" w:hAnsi="Times New Roman"/>
          <w:color w:val="000000" w:themeColor="text1"/>
          <w:sz w:val="16"/>
          <w:szCs w:val="16"/>
        </w:rPr>
        <w:softHyphen/>
        <w:t>чески без изменения (отклонения в пределах 0,05 мм - в пределах точ</w:t>
      </w:r>
      <w:r w:rsidRPr="007224C3">
        <w:rPr>
          <w:rFonts w:ascii="Times New Roman" w:hAnsi="Times New Roman"/>
          <w:color w:val="000000" w:themeColor="text1"/>
          <w:sz w:val="16"/>
          <w:szCs w:val="16"/>
        </w:rPr>
        <w:softHyphen/>
        <w:t>ности). Незначительная подрегулиров</w:t>
      </w:r>
      <w:r w:rsidRPr="007224C3">
        <w:rPr>
          <w:rFonts w:ascii="Times New Roman" w:hAnsi="Times New Roman"/>
          <w:color w:val="000000" w:themeColor="text1"/>
          <w:sz w:val="16"/>
          <w:szCs w:val="16"/>
        </w:rPr>
        <w:softHyphen/>
        <w:t>ка состава смеси, имевшая место в процессе испытаний малогабаритных анероидов, была вызвана в основном неточной первоначальной регулиров</w:t>
      </w:r>
      <w:r w:rsidRPr="007224C3">
        <w:rPr>
          <w:rFonts w:ascii="Times New Roman" w:hAnsi="Times New Roman"/>
          <w:color w:val="000000" w:themeColor="text1"/>
          <w:sz w:val="16"/>
          <w:szCs w:val="16"/>
        </w:rPr>
        <w:softHyphen/>
        <w:t>кой. Малогабаритные анероиды обес</w:t>
      </w:r>
      <w:r w:rsidRPr="007224C3">
        <w:rPr>
          <w:rFonts w:ascii="Times New Roman" w:hAnsi="Times New Roman"/>
          <w:color w:val="000000" w:themeColor="text1"/>
          <w:sz w:val="16"/>
          <w:szCs w:val="16"/>
        </w:rPr>
        <w:softHyphen/>
        <w:t>печили нормальную работу моторов АШ-82ФН на 1-й скорости нагнета</w:t>
      </w:r>
      <w:r w:rsidRPr="007224C3">
        <w:rPr>
          <w:rFonts w:ascii="Times New Roman" w:hAnsi="Times New Roman"/>
          <w:color w:val="000000" w:themeColor="text1"/>
          <w:sz w:val="16"/>
          <w:szCs w:val="16"/>
        </w:rPr>
        <w:softHyphen/>
        <w:t>теля на всех режимах от малого газа до форсажа включительно как на земле, так и в воздухе при горизонтальном полете и при различных эволюциях самолета (виражи, боевые развороты, пикирование, планирование и т.п.). Во время учебно-боевой подготовки было произведено до 15 полетов на 2-й скорости нагнетателя до высоты 6000-7000 м. По заявлению летчиков, от</w:t>
      </w:r>
      <w:r w:rsidRPr="007224C3">
        <w:rPr>
          <w:rFonts w:ascii="Times New Roman" w:hAnsi="Times New Roman"/>
          <w:color w:val="000000" w:themeColor="text1"/>
          <w:sz w:val="16"/>
          <w:szCs w:val="16"/>
        </w:rPr>
        <w:softHyphen/>
        <w:t>клонений от нормальной работы мо</w:t>
      </w:r>
      <w:r w:rsidRPr="007224C3">
        <w:rPr>
          <w:rFonts w:ascii="Times New Roman" w:hAnsi="Times New Roman"/>
          <w:color w:val="000000" w:themeColor="text1"/>
          <w:sz w:val="16"/>
          <w:szCs w:val="16"/>
        </w:rPr>
        <w:softHyphen/>
        <w:t>торов как в момент переключения скоростей, так и при работе на 2-й скорости нагнетателя с малогабарит</w:t>
      </w:r>
      <w:r w:rsidRPr="007224C3">
        <w:rPr>
          <w:rFonts w:ascii="Times New Roman" w:hAnsi="Times New Roman"/>
          <w:color w:val="000000" w:themeColor="text1"/>
          <w:sz w:val="16"/>
          <w:szCs w:val="16"/>
        </w:rPr>
        <w:softHyphen/>
        <w:t>ными анероидами не наблюдалось. Равновысотные анероиды из фос</w:t>
      </w:r>
      <w:r w:rsidRPr="007224C3">
        <w:rPr>
          <w:rFonts w:ascii="Times New Roman" w:hAnsi="Times New Roman"/>
          <w:color w:val="000000" w:themeColor="text1"/>
          <w:sz w:val="16"/>
          <w:szCs w:val="16"/>
        </w:rPr>
        <w:softHyphen/>
        <w:t>фористой бронзы в процессе испы</w:t>
      </w:r>
      <w:r w:rsidRPr="007224C3">
        <w:rPr>
          <w:rFonts w:ascii="Times New Roman" w:hAnsi="Times New Roman"/>
          <w:color w:val="000000" w:themeColor="text1"/>
          <w:sz w:val="16"/>
          <w:szCs w:val="16"/>
        </w:rPr>
        <w:softHyphen/>
        <w:t>таний не обеспечивали стабильного расхода топлива. 6 комплектов рав-новысотных анероидов были сняты с испытаний из-за резкого забогаще-ния смеси после 5 ч 20 мин - 52 ч 20 мин работы. Обмер высоты и про</w:t>
      </w:r>
      <w:r w:rsidRPr="007224C3">
        <w:rPr>
          <w:rFonts w:ascii="Times New Roman" w:hAnsi="Times New Roman"/>
          <w:color w:val="000000" w:themeColor="text1"/>
          <w:sz w:val="16"/>
          <w:szCs w:val="16"/>
        </w:rPr>
        <w:softHyphen/>
        <w:t>верка усадки снятых анероидов на заводе №133 показали, что все они имеют усадку от 0,43 до 1,5 мм на комплект. Таким образом, малогабаритные анероиды решили проблему неста</w:t>
      </w:r>
      <w:r w:rsidRPr="007224C3">
        <w:rPr>
          <w:rFonts w:ascii="Times New Roman" w:hAnsi="Times New Roman"/>
          <w:color w:val="000000" w:themeColor="text1"/>
          <w:sz w:val="16"/>
          <w:szCs w:val="16"/>
        </w:rPr>
        <w:softHyphen/>
        <w:t>бильной работы регулятора РС-2. Кроме того, завод №296 переконст</w:t>
      </w:r>
      <w:r w:rsidRPr="007224C3">
        <w:rPr>
          <w:rFonts w:ascii="Times New Roman" w:hAnsi="Times New Roman"/>
          <w:color w:val="000000" w:themeColor="text1"/>
          <w:sz w:val="16"/>
          <w:szCs w:val="16"/>
        </w:rPr>
        <w:softHyphen/>
        <w:t>руировал установку РС-2 на насосе, выпустив его улучшенный вариант НБ-ЗФА. Вибрационные нагрузки на ане</w:t>
      </w:r>
      <w:r w:rsidRPr="007224C3">
        <w:rPr>
          <w:rFonts w:ascii="Times New Roman" w:hAnsi="Times New Roman"/>
          <w:color w:val="000000" w:themeColor="text1"/>
          <w:sz w:val="16"/>
          <w:szCs w:val="16"/>
        </w:rPr>
        <w:softHyphen/>
        <w:t>роиды были существенно снижены (10714).</w:t>
      </w:r>
    </w:p>
    <w:p w14:paraId="36EF4E1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59444F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5 мая по 14 июня 1944 проводились гос. испытания Ла-5 в двухместном варианте УТИ с АШ-82Ф и винтом ВИШ-105В (серийного N 37210813 21 завода, модифицированного ПАМ-30 1-й ВА. Выполнили 17 полетов и налетали 3 час. 50 минут. Не выдержал (763,2).</w:t>
      </w:r>
    </w:p>
    <w:p w14:paraId="742590F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363AA6" w14:textId="77777777" w:rsidR="00DF7C94" w:rsidRPr="007224C3" w:rsidRDefault="00DF7C9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5 мая в 1944 году проведен первый полет опытного стратосферного перехватчика </w:t>
      </w:r>
      <w:hyperlink r:id="rId114" w:tgtFrame="_blank" w:history="1">
        <w:r w:rsidRPr="007224C3">
          <w:rPr>
            <w:rFonts w:ascii="Times New Roman" w:hAnsi="Times New Roman"/>
            <w:color w:val="000000" w:themeColor="text1"/>
            <w:sz w:val="16"/>
            <w:szCs w:val="16"/>
          </w:rPr>
          <w:t xml:space="preserve">«И-222», </w:t>
        </w:r>
      </w:hyperlink>
      <w:r w:rsidRPr="007224C3">
        <w:rPr>
          <w:rFonts w:ascii="Times New Roman" w:hAnsi="Times New Roman"/>
          <w:color w:val="000000" w:themeColor="text1"/>
          <w:sz w:val="16"/>
          <w:szCs w:val="16"/>
        </w:rPr>
        <w:t>созданного в ОКБ «МиГ», самолет пилотировал летчик-испытатель А.И.Жуков (14882).</w:t>
      </w:r>
    </w:p>
    <w:p w14:paraId="1B74EF10" w14:textId="77777777" w:rsidR="00DF7C94" w:rsidRPr="007224C3" w:rsidRDefault="00DF7C94" w:rsidP="007224C3">
      <w:pPr>
        <w:spacing w:after="0" w:line="240" w:lineRule="auto"/>
        <w:jc w:val="both"/>
        <w:rPr>
          <w:rFonts w:ascii="Times New Roman" w:hAnsi="Times New Roman"/>
          <w:color w:val="000000" w:themeColor="text1"/>
          <w:sz w:val="16"/>
          <w:szCs w:val="16"/>
        </w:rPr>
      </w:pPr>
    </w:p>
    <w:p w14:paraId="7003FCD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мая 1944 г. «провалил» контрольные ис</w:t>
      </w:r>
      <w:r w:rsidRPr="007224C3">
        <w:rPr>
          <w:rFonts w:ascii="Times New Roman" w:hAnsi="Times New Roman"/>
          <w:color w:val="000000" w:themeColor="text1"/>
          <w:sz w:val="16"/>
          <w:szCs w:val="16"/>
        </w:rPr>
        <w:softHyphen/>
        <w:t>пытания Ла-5УТИ, переделанный из серийного № 37210813 в 30-х полевых авиаремонтных мастер</w:t>
      </w:r>
      <w:r w:rsidRPr="007224C3">
        <w:rPr>
          <w:rFonts w:ascii="Times New Roman" w:hAnsi="Times New Roman"/>
          <w:color w:val="000000" w:themeColor="text1"/>
          <w:sz w:val="16"/>
          <w:szCs w:val="16"/>
        </w:rPr>
        <w:softHyphen/>
        <w:t>ских 1-й воздушной армии. Лишь установка центро</w:t>
      </w:r>
      <w:r w:rsidRPr="007224C3">
        <w:rPr>
          <w:rFonts w:ascii="Times New Roman" w:hAnsi="Times New Roman"/>
          <w:color w:val="000000" w:themeColor="text1"/>
          <w:sz w:val="16"/>
          <w:szCs w:val="16"/>
        </w:rPr>
        <w:softHyphen/>
        <w:t>вочных грузов и контрбалансира (пружины, создавав</w:t>
      </w:r>
      <w:r w:rsidRPr="007224C3">
        <w:rPr>
          <w:rFonts w:ascii="Times New Roman" w:hAnsi="Times New Roman"/>
          <w:color w:val="000000" w:themeColor="text1"/>
          <w:sz w:val="16"/>
          <w:szCs w:val="16"/>
        </w:rPr>
        <w:softHyphen/>
        <w:t>шей дополнительную нагрузку на ручку управления) позволила обеспечить безопасную эксплуатацию это</w:t>
      </w:r>
      <w:r w:rsidRPr="007224C3">
        <w:rPr>
          <w:rFonts w:ascii="Times New Roman" w:hAnsi="Times New Roman"/>
          <w:color w:val="000000" w:themeColor="text1"/>
          <w:sz w:val="16"/>
          <w:szCs w:val="16"/>
        </w:rPr>
        <w:softHyphen/>
        <w:t>го необходимого для ВВС самолета. Что же касается эффективности вертикального оперения, то и Ла-5 не был идеально устойчивым по курсу... В целом, Ла-5УТИ сдали мало, в основном переделывали при</w:t>
      </w:r>
      <w:r w:rsidRPr="007224C3">
        <w:rPr>
          <w:rFonts w:ascii="Times New Roman" w:hAnsi="Times New Roman"/>
          <w:color w:val="000000" w:themeColor="text1"/>
          <w:sz w:val="16"/>
          <w:szCs w:val="16"/>
        </w:rPr>
        <w:softHyphen/>
        <w:t>ходившие на ремонт самолеты всех основных моди</w:t>
      </w:r>
      <w:r w:rsidRPr="007224C3">
        <w:rPr>
          <w:rFonts w:ascii="Times New Roman" w:hAnsi="Times New Roman"/>
          <w:color w:val="000000" w:themeColor="text1"/>
          <w:sz w:val="16"/>
          <w:szCs w:val="16"/>
        </w:rPr>
        <w:softHyphen/>
        <w:t>фикаций, выбирая самые изношенные (11123).</w:t>
      </w:r>
    </w:p>
    <w:p w14:paraId="6407E7F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E5B1EE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мая 1944 года Шахурину была подготовлена Докладная записка по вопросу высотности моторов и самолетов.</w:t>
      </w:r>
    </w:p>
    <w:p w14:paraId="28BCC5B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Проверкой выполнения Ваших приказов по увеличению высотности моторов и моторных агрегатов для высотных самолетов специального назначения Ла-5, Як-9 м Миг установлено следующее:</w:t>
      </w:r>
    </w:p>
    <w:p w14:paraId="6CFA538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По самолету Як-9 с мотором М-105ПД.</w:t>
      </w:r>
    </w:p>
    <w:p w14:paraId="5A64200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ЦИАМ"е были изготовлены досрочно 7 моторов М-105 ПД с высотностью 6100 м для ПВО Москвы. Никаких претензий к работе моторов со стороны командования 12 ГАП ПВО, эксплуатирующих эти моторы, не предъявлялось.</w:t>
      </w:r>
    </w:p>
    <w:p w14:paraId="4E2DF4F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завод N 115 были поданы два мотора М-105ПД с высотностью в 9500 м с водо-воздушными радиаторами, которые заводом N 115, из-за отсутствия самолетов, не были использованы и возвращены в ЦИАМ в апреле 1944 года.</w:t>
      </w:r>
    </w:p>
    <w:p w14:paraId="541BF06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Кроме этого, для предварительной летной отработки заводу N 115 был подан мотор М-105ПД с высотностью в 9500 м без водо-воздушных радиаторов, который на самолете Як-9 N 29 проходил летные испытания в ЛИИ НКАП.</w:t>
      </w:r>
    </w:p>
    <w:p w14:paraId="4EE1F07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Согласно отчету ЛИИ НКАП (N 647с от Х.43 г.), самолет с этим мотором достиг высоты 13000 м. Никаких дефектов по мотору М-105 ПД отмечено не было, помимо рекомендаций по проверке впрыска воды для охлаждения воздуха на всасывании, что и было проведено ЦИАМ"ом в январе 1944 года.</w:t>
      </w:r>
    </w:p>
    <w:p w14:paraId="4CD1D6C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сравнении с иностранными высотными моторами подобного класса: "Мерлин" 61, 63, 73, 76 и др. имеющих высотность не выше 7800 м и "Аллисон Е-11", имеющего высотность 6850 м - мотор М-105ПД имеет преимущество по достигнутой высоте.</w:t>
      </w:r>
    </w:p>
    <w:p w14:paraId="292A2F5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Однако, несмотря на это, самолет Як-9 с мотором М-105 ПД значительно уступает высотному истребителю "Спитфайр" с мотором Мерлин-61, имеющему высотность 15000 м.</w:t>
      </w:r>
    </w:p>
    <w:p w14:paraId="526717A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нашему мнению, дальнейшее увеличение высотности, самолета Як-9 не может быть получено только за счет мотора, вследствие больших удельных нагрузок на м кв. несущей поверхности крыльев (160 кг/м кв.), как на истребителе "Спитфайр" эта нагрузка не превышает 132 кг/м кв., и отсутствием специального высотного винта.</w:t>
      </w:r>
    </w:p>
    <w:p w14:paraId="5802ABC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Этим объясняется то обстоятельство, что несмотря на увеличение высотности мотора М-105ПД с 6100 м до 9500 м - на 3400 м, высотность самолета Як-9 поднялась с 11800 м до 13000 м, т.е. всего на 1200 м.</w:t>
      </w:r>
    </w:p>
    <w:p w14:paraId="798573F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По самолету Ла-5 с моторами АШ-82ФН с ТК-3.</w:t>
      </w:r>
    </w:p>
    <w:p w14:paraId="0FBDE5A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соответствие с Вашим приказом N 523с от 31/VIII-43 года на завод N 21 ЦИАМ"ом были поданы три комплекта ТК-3 раньше установленных Вами сроков.</w:t>
      </w:r>
    </w:p>
    <w:p w14:paraId="0320105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Кроме того были отработаны высотные агрегаты питания и зажигания мотора АШ-82ФН.</w:t>
      </w:r>
    </w:p>
    <w:p w14:paraId="001E7BF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обеспечения летных испытаний на завод N 21 с января 1943 года была прикомандирована бригада ЦИАМ.</w:t>
      </w:r>
    </w:p>
    <w:p w14:paraId="2C86A7B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Начиная с 9 июля 1943 года по 26 ноября 1943 года самолет Ла-5 совершил всего 33 полета из которых 18 полетов на высоту свыше 9000 м, установив боевую высоту в 12500 м.</w:t>
      </w:r>
    </w:p>
    <w:p w14:paraId="44DC36E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 стороны заводу N 21 никаких претензий по ТК и системе ТК к 8 Главку и ЦИАМ предъявлено не было.</w:t>
      </w:r>
    </w:p>
    <w:p w14:paraId="4F32B39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Несмотря на значительное увеличение высотности мотора АШ-82ФН с ТК-3 с 5300 м до 11000 м т.е. на 5200 м высотность самолета Ла-5 поднялась с 10750 м до 12750 м т.е. всего на 2000 м.</w:t>
      </w:r>
    </w:p>
    <w:p w14:paraId="6720EE9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Такое незначительное увеличение высотности самолета Ла-5, по нашему мнению, объясняется теми же причинами, что и для самолета Як-9 - чрезмерной нагрузкой на крыло (186 кг/м кв.) и отсутствием высотного винта.</w:t>
      </w:r>
    </w:p>
    <w:p w14:paraId="756CFF6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Второй самолет Ла-5 с ТК, с несколько увеличенной несущей поверхностью был оборудован заводом N 21 в январе 1944 года, но в течение зимы полетов не было.</w:t>
      </w:r>
    </w:p>
    <w:p w14:paraId="718FCEC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По самолету Миг с мотором АМ-39 с 2 ТК-Б.</w:t>
      </w:r>
    </w:p>
    <w:p w14:paraId="34FC0AD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Вашему приказу N 523с заводом N 300 был подан на завод N 155 один мотор (высотный вариант) АМ-39А с водо-воздушным радиатором в срок т.е. 8 сентября 1943 года.</w:t>
      </w:r>
    </w:p>
    <w:p w14:paraId="4438F1F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летных испытаниях самолет Миг с этим мотором потерпел аварию.</w:t>
      </w:r>
    </w:p>
    <w:p w14:paraId="57A8318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Подача второго мотора АМ-39Б с воздухо-воздушным радиатором, по требованию Микояна, задержалась вследствие встретившихся трудностей при перекомпоновке этого мотора под воздухо-воздушный радиатор, в связи с чем на завод N 155 мотор был подан только 15 апреля 1944 года и второй мотор - 26 апреля с.г.</w:t>
      </w:r>
    </w:p>
    <w:p w14:paraId="6A7FFD5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Таким образом, Ваши приказы по увеличению высотности моторов и поставки их самолетным заводам - выполнены в установленные сроки за исключением поставки второго мотора Ам-39Б заводу N 155 которая задержалась по указанным выше причинам.</w:t>
      </w:r>
    </w:p>
    <w:p w14:paraId="4B27373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Мы весьма обеспокоены тем обстоятельством, что 7-е Гл. управление и самолетчики-конструкторы не достаточно серьезно работают над проблемой высотности самолетов, возлагая свои надежды, в этом отношении, только на мотор, что является крайним заблуждением.</w:t>
      </w:r>
    </w:p>
    <w:p w14:paraId="3A7E2AC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основании вышеизложенного просим Ваших указаний 7-му Гл. управлению и самолетчикам конструкторам об усилении работ по поднятию высотности истребителей до желательных высот, в направлении улучшения самолетов, на базе существующих и уже зарекомендовавших себя в полете высотных моторов (1824).</w:t>
      </w:r>
    </w:p>
    <w:p w14:paraId="153CAA9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68BAC5"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73D1EA9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7216038"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5 мая 1944 года вышел приказ № 226с/165с НКБ и НКМВ</w:t>
      </w:r>
    </w:p>
    <w:p w14:paraId="36753B8E"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соответствии с распоряжением ГОКО от 28 апреля 1944 года № 5752:</w:t>
      </w:r>
    </w:p>
    <w:p w14:paraId="4A7A900D"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Возвратить из системы НКМВ в систему НКБ:</w:t>
      </w:r>
    </w:p>
    <w:p w14:paraId="5AF517EA"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КБ ГСКБ-47, КБ-35 и завод № 67 (6017, 93).</w:t>
      </w:r>
    </w:p>
    <w:p w14:paraId="07A35A02"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0C0A4B8" w14:textId="77777777" w:rsidR="008B289D" w:rsidRPr="007224C3" w:rsidRDefault="008B289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мая в 1944 году в газете «Правда» был опубликован рапорт об окончании строительства и введении в эксплуатацию первой очереди Каменск-Уральского металлургического завода. Каменск-Уральский металлургический завод (ныне ОАО «КУМЗ», Свердловская область) – многопрофильное предприятие по производству алюминиевого проката, выпускающее более 70 тысяч наименований изделий, около 80 марок алюминия и алюминиевых сплавов. Один из основных поставщиков полуфабрикатов из легких сплавов для авиакосмического комплекса, судостроения и автомобилестроения России. История КУМЗа начинается с выхода Постановления Экономсовета СССР № 513-99С от 3 июня 1939 года о строительстве в районе Каменска-Уральского завода № 268 как базы по производству магниевых сплавов. В мае 1940 года начинаются строительные работы. Но начавшаяся Великая Отечественная война меняет планы: строящийся завод приготавливается принять литейное и прокатное производства, эвакуируемого из-под Москвы Ступинского металлургического завода (завода № 150). Спешно монтируется оборудование и уже в феврале 1942 года в литейном цехе получена первая плавка. В это же время в связи с победами в боях под Москвой и смещением линии фронта на безопасное расстояние принимается решение о реэвакуации завода № 150, а новое оборудование для КУМЗа заказывается в США. Первое документальное понимание предназначения завода было обозначено следующим образом: «Завод № 268 является металлургическим заводом, предназначенным для производства основных материалов и заготовок для самолётостроения и частично для моторных заводов. На заводе предусмотрена организация трёх основных производств: прокатного — для изготовления алюминиевых листов, прессового — для изготовления прессованных профилей, кузнечно-прессового — для производства поковок и штамповок из цветных и чёрных металлов». 6 февраля 1942 года была сдана в эксплуатацию первая электрическая печь литейного цеха. Первая плавка металла была отлита 14 февраля. В апреле 1942 года с завода в Верхнюю Салду отправляется первый вагон с первой продукцией — слитками. Осенью 1943 года первую продукцию выдали кузнечный и профильно-прессовый цехи. А в декабре завод стал самостоятельной хозяйственной единицей. В 1945 году запускается новое оборудование прокатного производства, а в 1946 году на завод поступает первая партия машин и прессов по репарациям из Германии. В 1949 году КУМЗ впервые начинает выпуск алюминиевой посуды. В 1960-е годы наращиваются объёмы производства, расширяется номенклатура продукции. Вводятся в эксплуатацию новые корпуса цехов, при сохранении старых: в 1951 — кузнечно-прессового, в 1958 — литейного, в 1959 — прессового. В 1958 году КУМЗ впервые поставил продукцию (2952 тонны алюминиевого проката) на экспорт. В этом же году впервые было выпущено 585 тонн магниевого проката. 25 апреля 1964 года заводу присвоено звание «Коллектив коммунистического труда». В марте 1966 года начала работу механизированная линия по производству испарителей к бытовым холодильникам. В мае плавильно-литейные агрегаты переводятся с мазута на природный газ. В 1972 году на КУМЗе появляется новый корпус и новый цех, предназначенный для выпуска легкосплавных бурильных труб. Первая бурильная труба была отпрессована 28 апреля. В 1975 году внедряется Автоматизированная система управления предприятием. Указом Президиума Верховного Совета СССР 8 июня 1978 года КУМЗ награждён орденом Трудового Красного Знамени. В 1982 году благодаря новой линии «Ферро» выпускаемая на заводе алюминиевая посуда получает покрытие силикатными эмалями и внутренне противопригарное покрытие. В 1991 году активно осваиваются алюминиево-литиевые сплавы. Впервые для России из этих сплавов изготавливаются плакированные листы (14882).</w:t>
      </w:r>
    </w:p>
    <w:p w14:paraId="197BDDD8" w14:textId="77777777" w:rsidR="008B289D" w:rsidRPr="007224C3" w:rsidRDefault="008B289D" w:rsidP="007224C3">
      <w:pPr>
        <w:spacing w:after="0" w:line="240" w:lineRule="auto"/>
        <w:jc w:val="both"/>
        <w:rPr>
          <w:rFonts w:ascii="Times New Roman" w:hAnsi="Times New Roman"/>
          <w:color w:val="000000" w:themeColor="text1"/>
          <w:sz w:val="16"/>
          <w:szCs w:val="16"/>
        </w:rPr>
      </w:pPr>
    </w:p>
    <w:p w14:paraId="3FFA676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5 мая 1944 г. ГС завод № 627 переименован в ГС НИИ-627. Создание источников электропитания для радиостанций, передвижных электростанций. </w:t>
      </w:r>
    </w:p>
    <w:p w14:paraId="045CF21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1946-48 г. группой Н.Н. Шереметьевского воссоздана американская амплидинно-сельсинная следящая система для пушечного вооружения Ту-4.</w:t>
      </w:r>
    </w:p>
    <w:p w14:paraId="7CC148B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 конце 1940-х г.- разработка и выпуск бортоборудования для МБР (Р-7). </w:t>
      </w:r>
    </w:p>
    <w:p w14:paraId="1E1013F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1953 г. в отделе Б.М. Кагана начались работы по вычислительной технике (с 1966 г. начальник- В.М. Долкарт). В 1957 г. вступила в эксплуатацию ЭВМ М-3. В 1962 г. создана управляющая вычислительная машина «ВНИИЭМ-1». В 1965 г.- УВМ «ВНИИЭМ-3», на ее базе созданы: УВМ В-3М, система обработки телеметрической информации с ИСЗ, «Скала» для энергоблоков АЭС, информационно-управляющая система для химпроизводства в Ангарске, управляющие вычислительные комплексы для испытаний КА. В 1979 г.- комплексы функционально-модульных микросредств управляющей ВТ МСУВТ В7. ВК повышенной надежности В6 для КА «Электро» (1994 г.). Для испытаний КА «Электро» была создана испытательная система на микросредствах МСУВТ В7/В9.</w:t>
      </w:r>
    </w:p>
    <w:p w14:paraId="69DB93A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соответствии с постановлением правительства от 30.10.1963 г.- головная организация по производству метеорологического КА «Метеор» (с 1969 г.- в эксплуатации), системы «Метеор» (2) (испытания- с 1975 г.).</w:t>
      </w:r>
    </w:p>
    <w:p w14:paraId="27BD014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Следящие системы ( и для ППВ), электродвигатели, реле рулевых машинок. Источники питания для ЗУР Р-101 (1948 г.). 1960-е г.: бортовое электрооборудование КА (приводы системы ориентации солнечных батарей, построители местной вертикали, двигатели, преобразователи, силовой гироскоп- «гиродин» для управления орбитальными станциями, шаровой двигатель-маховик для станции «Алмаз», бесщеточные двигатели постоянного тока систем жизнеобеспечения КА).</w:t>
      </w:r>
    </w:p>
    <w:p w14:paraId="18E5F74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 1959 г. организован филиал в г. Истра для сборки и испытаний КА, с 1992 г.- самостоятельный НИИЭМ. </w:t>
      </w:r>
    </w:p>
    <w:p w14:paraId="494D12E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Решением ВПК от 4.06.1970 г. начата разработка Единой космической системы гидрометеорологического обеспечения (ГМКС). Затем, по Решению ВПК от 16.12.1972 г. начаты работы по ГМКС 3-го поколения «Планета-С» на базе КА «Метеор» (3).</w:t>
      </w:r>
    </w:p>
    <w:p w14:paraId="2CDAD7C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соответствии с постановлением СМ СССР от 12.1971 г. началось создание КА для получения информации о природных ресурсах Земли (ИПРЗ) «Метеор-Природа» (запуски 9.07.1974 г., 15.05.1976 г., 29.06.1977 г.).</w:t>
      </w:r>
    </w:p>
    <w:p w14:paraId="6295899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1957 г. назывался НИИ электротехнической промышленности № 627. В 1959 г. НИИ-627 переименован во ВНИИЭМ. В 1990 г. ВНИИЭМ- в ведении Минэлектротехпрома. По Указу Президента РФ № 1009 от 4.08.2004 г. вошел в число стратегических оборонных предприятий.</w:t>
      </w:r>
    </w:p>
    <w:p w14:paraId="1DCB856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Разработка и производство бортовых преобразователей тока (умформеров) для РКТ. </w:t>
      </w:r>
    </w:p>
    <w:p w14:paraId="23CA62D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2002 г.: электрооборудование, прецизионные электроприводы для РКТ, электромагнитные подшипники; электрооборудование, системы управления и защиты, информационно-диагностические системы для АЭС.</w:t>
      </w:r>
    </w:p>
    <w:p w14:paraId="263EAD7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 состав ВНИИЭМ входят (2004 г.): отделы: электрооборудования атомных станций (начальник- С.Д. Джумаев), электрооборудования систем управления и защиты атомных станций (начальник- В.А. Соколов), комплексных систем автоматизации (начальник- А.В. Петров), управляющих вычислительных средств (начальник- С.Я. Куцаков), систем управления перегрузочными машинами АЭС и специальных электроприводов (начальник- Ю.Т. Портной), локальных систем автоматизации и испытательных систем (начальник- Л.М. Лукьянов); испытательный центр (начальник- Ю.Ф. Пчеляков).www.vniiem.orc.ru </w:t>
      </w:r>
    </w:p>
    <w:p w14:paraId="4D90B20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конструктор (1941-1970-е г.)- А.Г. Иосифьян.60 Ген. конструктор (1981 г.)- академик Н.Н. Шереметьевский.</w:t>
      </w:r>
    </w:p>
    <w:p w14:paraId="43097DB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(-1945-59 г.-)- А.Г. Иосифьян. Ген. директор (-2002-04 г.-)- С.А. Стома.</w:t>
      </w:r>
    </w:p>
    <w:p w14:paraId="5E27EB6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1-й зам. Гендиректора (2004 г.)- Г.А. Жемчугов. Зам. Гендиректора: по науке (2002 г.)- А.П. Сарычев; по ВЭС (2002 г.)- В.А. Круглин.69 </w:t>
      </w:r>
    </w:p>
    <w:p w14:paraId="3C7DE0A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конструкторы: (1981 г.)- Ю.В. Трифонов («Планета»).</w:t>
      </w:r>
    </w:p>
    <w:p w14:paraId="4420162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Работали: (1945 г.)- Н.Н. Шереметьевский; (1962 г.)- А.И. Воителев, В.Н. Степанов; (-1962-79 г.-)- В.М. Долкарт; (-1962-94 г.-)- М.М. Каневский, Л.М. Лукьянов, Г.Х. Новик; (1965 г.)- В.И. Адасько, А.Д. Воробьев, Б.М. Каган, М.Я. Танаев; (1979 г.)- В.В. Тащиян; (-1979-94 г.-)- И.Р. Крамфус; (1994 г.)- И.А. Жигунов, Ю.А. Кащавцев, И.С. Колтыпин.82 </w:t>
      </w:r>
    </w:p>
    <w:p w14:paraId="1DFF75F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ГС Завод № 627, ГС НИИ-627 Минэлектротехпрома, ГКЭТ, НИИ электротехнической промышленности № 627, ВНИИЭМ (электромеханики) Минэлектротехпрома, ФГУП «НПП ВНИИЭМ с заводом им. А.Г. Иосифьяна» </w:t>
      </w:r>
    </w:p>
    <w:p w14:paraId="6C5D78B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 Москва Хоромный туп., 4 101000 а/я 496 www.vniiem.ru</w:t>
      </w:r>
    </w:p>
    <w:p w14:paraId="58ED0B9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Истринский филиал ВНИИЭМ, ФГУП «НИИЭМ (электромеханики)» РАКА, ФКА</w:t>
      </w:r>
    </w:p>
    <w:p w14:paraId="18E1F36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143500 г. Истра Московской обл. ул. Панфилова, 1 тел. 994-51-42</w:t>
      </w:r>
    </w:p>
    <w:p w14:paraId="2F445B1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Основан в 1959 г. как Истринский филиал ВНИИ электромеханики. В 1992 г. реорганизован в самостоятельное предприятие- НИИЭМ. По Указу Президента РФ № 1009 от 4.08.2004 г. вошел в число стратегических оборонных предприятий. В 10.2004 г. вошел в ОАО «ВПК «НПО машиностроения». </w:t>
      </w:r>
    </w:p>
    <w:p w14:paraId="6C67479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Созданы и испытаны метеорологические КА «Метеор-2» (в 1975-89 г. 18 запусков), «Метеор-3» (запущено 33 аппарата).</w:t>
      </w:r>
    </w:p>
    <w:p w14:paraId="513140B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Работы на 2004 г.: разработка и изготовление бортовых систем для КА: систем ориентации и стабилизации, сброса кинетических моментов, коррекции орбиты радиационных холодильников и тепловых труб, бортовых комплексов управления и автоматизированных испытательных комплексов, информационно-навигационных систем; проектирование и изготовление: источников питания на основе электромашинных генераторов для морского флота, РКТ, прецизионных электроприводов для КА и станков с ЧПУ; разработка передвижных дизельных и газотурбинных электростанций мощностью до 300 кВт; разработка полупроводниковых преобразователей частоты, систем гарантированного питания, сложных электротехнических комплексов, частотно-регулируемых электроприводов. </w:t>
      </w:r>
    </w:p>
    <w:p w14:paraId="698CB1C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Национальные программы: "Метеор", "Ресурс", "Электро". Участие в разработке метеорологических и природоресурсных космических систем нового поколения "Метеор-ЗМ" и "МКА-Метео".</w:t>
      </w:r>
    </w:p>
    <w:p w14:paraId="558CFE7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Международные программы: "Интеркосмос-Болгария 1300", "Метеор-Томе", "Миссия к планете Земля", "СКАРАБ", "Спектр-Рентген-Гамма", запуск малых спутников "Тубсат" и "Темисат" совместно с Германией.</w:t>
      </w:r>
    </w:p>
    <w:p w14:paraId="1D0A75D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настоящее время реализуются международные проекты: попутный запуск микроспутников BADR-B (Пакистан), Maroc/Tubsat (Марокко), установка на борту "Метеор-ЗМ" № 1 спектрометра Sage-3 (США, НАСА).</w:t>
      </w:r>
    </w:p>
    <w:p w14:paraId="3557A0C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Перспективные программы: создание космической системы оперативного краткосрочного прогноза землетрясений "Вулкан".</w:t>
      </w:r>
    </w:p>
    <w:p w14:paraId="7DC0E7A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Научно-производственная база НИИЭМ (2004 г.):</w:t>
      </w:r>
    </w:p>
    <w:p w14:paraId="6C841CA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монтажно-испытательный комплекс для КА с центром приема спутниковой телеметрической информации;</w:t>
      </w:r>
    </w:p>
    <w:p w14:paraId="234C1FF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комплексный стенд механических и климатических испытаний;</w:t>
      </w:r>
    </w:p>
    <w:p w14:paraId="3A74075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комплексный стенд электрических испытаний;</w:t>
      </w:r>
    </w:p>
    <w:p w14:paraId="104AC46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автоматизированное производство сложных многослойных печатных плат;</w:t>
      </w:r>
    </w:p>
    <w:p w14:paraId="1F5CE8C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специализированное производство медицинской рентгеновской техники;</w:t>
      </w:r>
    </w:p>
    <w:p w14:paraId="4A59DEF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 опытный завод НИИЭМ (ЗАО "Новатор"), расположенный на территории института. </w:t>
      </w:r>
    </w:p>
    <w:p w14:paraId="74CBCC6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Гендиректор (-2002-03 г.-)- А.Э. Хохлович. И.О. гендиректора (2004 г.)- А.Э. Хохлович.</w:t>
      </w:r>
    </w:p>
    <w:p w14:paraId="496D4C0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конструктор (1983 г.)- В.И. Адасько, (-2002-03 г.-)- А.Э. Хохлович.</w:t>
      </w:r>
    </w:p>
    <w:p w14:paraId="0109B26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1-й зам. Гендиректора (2002 г.)- Е.Ф. Апанасенко. Зам. Гендиректора/ гл. конструктор по космической технике (2002 г.)- Р.С. Салихов.</w:t>
      </w:r>
    </w:p>
    <w:p w14:paraId="6C0D224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Гл. инженер (2002 г.)- Ю.Ф. Помосов.69, www.tsenki.com </w:t>
      </w:r>
    </w:p>
    <w:p w14:paraId="4EE9055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Работали: (1985 г.)- Э.Г. Кнеллер, Н. Надольский, В. Пац, Э.М. Пройдаков.</w:t>
      </w:r>
    </w:p>
    <w:p w14:paraId="5C7EB03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Создано: ПЭВМ «Истра-4816» (1985). </w:t>
      </w:r>
    </w:p>
    <w:p w14:paraId="033C525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Производство: КА «Метеор-2» (1978-).</w:t>
      </w:r>
    </w:p>
    <w:p w14:paraId="3C2F3A8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Опытный завод ВНИИЭМ, ЗАО «Новатор»</w:t>
      </w:r>
    </w:p>
    <w:p w14:paraId="7AE4467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143500 г. Истра Московской обл. ул. Панфилова, 1 тел. 560-33-04</w:t>
      </w:r>
    </w:p>
    <w:p w14:paraId="2270781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Опытное производство ВНИИЭМ создано в 1965 г. С 1988 г.- Опытный завод ВНИИЭМ, с 1992 г. – ЗАО «Новатор». По решению правительства № 22-р от 9.01.2004 г. вошло в перечень стратегических предприятий.</w:t>
      </w:r>
    </w:p>
    <w:p w14:paraId="4FBC903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Гендиректор (2002 г.)- Н.Д. Федченко.</w:t>
      </w:r>
    </w:p>
    <w:p w14:paraId="0FF5FAE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1-й зам. Гендиректора (2002 г.)- Г.И. Терещенко (10776).</w:t>
      </w:r>
    </w:p>
    <w:p w14:paraId="6AA7571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0C5122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мая 1944 г. приказом наркомата электропромышленности СССР Государственный союзный завод N 627 переименован в Государственный союзный научно-исследовательский институт (НИИ-627), приказом Госкомитета Совета Министров СССР по автоматизации и машиностроению от 29 сентября 1959 г. - во Всесоюзный научно-исследовательский институт электромеханики (ВНИИЭМ). Указом Президиума Верховного Совета СССР в июне 1961 г. награжден орденом Трудового Красного Знамени (12102).</w:t>
      </w:r>
    </w:p>
    <w:p w14:paraId="135550BC" w14:textId="77777777" w:rsidR="008B289D" w:rsidRPr="007224C3" w:rsidRDefault="008B289D" w:rsidP="007224C3">
      <w:pPr>
        <w:autoSpaceDE w:val="0"/>
        <w:autoSpaceDN w:val="0"/>
        <w:adjustRightInd w:val="0"/>
        <w:spacing w:after="0" w:line="240" w:lineRule="auto"/>
        <w:jc w:val="both"/>
        <w:rPr>
          <w:rFonts w:ascii="Times New Roman" w:hAnsi="Times New Roman"/>
          <w:color w:val="000000" w:themeColor="text1"/>
          <w:sz w:val="16"/>
          <w:szCs w:val="16"/>
        </w:rPr>
      </w:pPr>
    </w:p>
    <w:p w14:paraId="4B07007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мая 1944 г. ГС завод № 627 (ГС Завод № 627 НКЭП, ГС НИИ-627 Минэлектротехпрома, ГКЭТ, НИИ электротехнической промышленности № 627, ВНИИ электромеханики (ВНИИЭМ) МЭТП, ФГУП «НПП ВНИИЭМ с заводом им. А. Г. Иосифьяна» ФКА /101000  г. Москва Хоромный туп., 4 а/я 496 и ул. Вольная, 30 тел. 208-84-67, 365-25-70/) был переименован в ГС НИИ-627.</w:t>
      </w:r>
    </w:p>
    <w:p w14:paraId="66AA53C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Создание источников электропитания для радиостанций, передвижных электростанций.</w:t>
      </w:r>
    </w:p>
    <w:p w14:paraId="2F5C3AF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соответствии с пост. ГКО № 3774 от 20.07.1943 г. на заводе организован выпуск электротрансмиссий для танка KB, в связи с этим заводу поставлены станки и инструмент.</w:t>
      </w:r>
    </w:p>
    <w:p w14:paraId="004E77B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1945 г. на базе лабораторий и цехов НИИ-627 создано самостоятельное СКБ-627.</w:t>
      </w:r>
    </w:p>
    <w:p w14:paraId="5D5254A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1946-48 г. группой Н.Н. Шереметьевского воссоздана американская амплидинно-сельсинная следящая система для пушечного вооружения Ту-4. В 1946 г. создан электромагнитный трал для самолета-тральщика Ли- 2МТ (А. Г. Иосифьян).</w:t>
      </w:r>
    </w:p>
    <w:p w14:paraId="3A859F7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конце 1940-х  г. - разработка и выпуск бортоборудования для МБР (Р-7).</w:t>
      </w:r>
    </w:p>
    <w:p w14:paraId="3342C36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1953 г. в отделе Б.М. Кагана начались работы по вычислительной технике. В 1957 г. вступила в эксплуатацию ЭВМ М-3. В 1962 г. создана управляющая вычислительная машина «ВНИИЭМ-1». В 1965 г.- УВМ «ВНИИЭМ-3», на ее базе созданы: УВМ В-ЗМ, система обработки телеметрической информации с ИСЗ, «Скала» для энергоблоков АЭС, информационно-управляющая система для химпроизводства в Ангарске, управляющие вычислительные комплексы для испытаний КА. В 1979 г.- комплексы функционально-модульных микросредств управляющей ВТ МСУВТ В7. ВК повышенной надежности В6 для КА «Электро» (1994 г.). Для испытаний КА «Электро» была создана испытательная система на микросредствах МСУВТ В7/В9.</w:t>
      </w:r>
    </w:p>
    <w:p w14:paraId="234F7BA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Пост, правительства в 08.1962 г. институту из ОКБ-586 переданы работы по созданию метеорологического КА «Метеор». Пост, от 30.10.1963 г. НИИ-627 определен головным по производству КА «Метеор»; системы «Метеор» (2) (испытания- с 1975 г.). В соответствии с ПСМ № 29-7 от 16.01.1967 г. КА «Метеор» в 1969 г. введен в эксплуатацию; 10.10.1969 г. вышло ПСМ № 810-282 о метеорологической космической системе «Метеор».</w:t>
      </w:r>
    </w:p>
    <w:p w14:paraId="3B4837D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Следящие системы ( и для ППВ), электродвигатели, реле рулевых машинок. Источники питания для ЗУР Р- 101 (1948 г.). 1960-е  г.: бортовое электрооборудование КА (приводы системы ориентации солнечных батарей, построители местной вертикали, двигатели, преобразователи, силовой гироскоп- «гиродин» для управления орбитальными станциями, шаровой двигатель-маховик для станции «Алмаз», бесщеточные двигатели постоянного тока систем жизнеобеспечения КА).</w:t>
      </w:r>
    </w:p>
    <w:p w14:paraId="5C943D4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1951 г. создан Томский филиал (затем- НПЦ «Полюс»),</w:t>
      </w:r>
    </w:p>
    <w:p w14:paraId="3E00A44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Действовал филиал при заводе «Электросила». Распоряжением правительства № 2748-рс от 30.09.1959 г. Отдел электроники и борьбы с радиопомехами филиала передан в ведение Минсвязи. В 10.1962 г. Ленинградский филиал вошел в состав образованного ЛПЭО «Электросила».</w:t>
      </w:r>
    </w:p>
    <w:p w14:paraId="39AA90C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1959 г. организован филиал в  г. Истра для сборки и испытаний КА, с 1992 г.- самостоятельный НИИЭМ.</w:t>
      </w:r>
    </w:p>
    <w:p w14:paraId="5F8023F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12.1967 г. в Мирном создан филиал опытного завода ВНИИЭМ, в 11.1971 г. на нем создан НИИ «Новатор» как филиал ВНИИЭМ.</w:t>
      </w:r>
    </w:p>
    <w:p w14:paraId="51F08B2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Решением ВПК от 4.06.1970 г. начата разработка Единой космической системы гидрометеорологического обеспечения (ГМКС). Затем, по Решению ВПК от 16.12.1972 г. начаты работы по ГМКС 3-го поколения «Планета- С» на базе КА «Метеор» (3).</w:t>
      </w:r>
    </w:p>
    <w:p w14:paraId="1416470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соответствии с пост. СМ СССР от 12.1971 г. началось создание КА для получения информации о природных ресурсах Земли (ИПРЗ) «Метеор-Природа» (запуски 9.07.1974 г., 15.05.1976 г., 29.06.1977 г.).</w:t>
      </w:r>
    </w:p>
    <w:p w14:paraId="35AEDF4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1957 г. назывался НИИ электротехнической промышленности № 627. В 1959 г. НИИ-627 переименован во ВНИИЭМ (по другой информации- в 1953 г.).</w:t>
      </w:r>
      <w:r w:rsidRPr="007224C3">
        <w:rPr>
          <w:rFonts w:ascii="Times New Roman" w:hAnsi="Times New Roman"/>
          <w:color w:val="000000" w:themeColor="text1"/>
          <w:sz w:val="16"/>
          <w:szCs w:val="16"/>
          <w:vertAlign w:val="superscript"/>
        </w:rPr>
        <w:t>103</w:t>
      </w:r>
      <w:r w:rsidRPr="007224C3">
        <w:rPr>
          <w:rFonts w:ascii="Times New Roman" w:hAnsi="Times New Roman"/>
          <w:color w:val="000000" w:themeColor="text1"/>
          <w:sz w:val="16"/>
          <w:szCs w:val="16"/>
        </w:rPr>
        <w:t xml:space="preserve"> В 1962 г. - в веднии ГК по автоматизации и машиностроению, затем - ГКЭТ. В 1990 г. ВНИИЭМ - в ведении Минэлектротехпрома.</w:t>
      </w:r>
      <w:r w:rsidRPr="007224C3">
        <w:rPr>
          <w:rFonts w:ascii="Times New Roman" w:hAnsi="Times New Roman"/>
          <w:color w:val="000000" w:themeColor="text1"/>
          <w:sz w:val="16"/>
          <w:szCs w:val="16"/>
          <w:vertAlign w:val="superscript"/>
        </w:rPr>
        <w:t>77</w:t>
      </w:r>
      <w:r w:rsidRPr="007224C3">
        <w:rPr>
          <w:rFonts w:ascii="Times New Roman" w:hAnsi="Times New Roman"/>
          <w:color w:val="000000" w:themeColor="text1"/>
          <w:sz w:val="16"/>
          <w:szCs w:val="16"/>
        </w:rPr>
        <w:t xml:space="preserve"> С 2002 г. - ФГУП «НПП ВНИИЭМ». По Указу Президента РФ № 1009 от 4.08.2004 г. вошел в число стратегических оборонных предприятий. В 2009 г. - в ведении ФКА.</w:t>
      </w:r>
    </w:p>
    <w:p w14:paraId="10B8B8E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Разработка и производство бортовых преобразователей тока (умформеров) для РКТ.</w:t>
      </w:r>
    </w:p>
    <w:p w14:paraId="199A576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1970-е  г. принимал участие в разработке аппаратуры контроля ядерного реактора ВВЭР-440 для Кольской АЭС.</w:t>
      </w:r>
    </w:p>
    <w:p w14:paraId="5117C9F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Принимал участие в программах: «Алмаз», «Мир», МКС.</w:t>
      </w:r>
    </w:p>
    <w:p w14:paraId="18AB970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Работы (2002 г.): электрооборудование, прецизионные электроприводы для РКТ и судостроения, электромагнитные подшипники; электрооборудование, системы управления и защиты, информационно- диагностические системы для АЭС; (2005 г.): разработка КА «Метеор-М» для комплекса «Метеор-ЗМ»; малые КА ДЗЗ; разработка медтехники.</w:t>
      </w:r>
    </w:p>
    <w:p w14:paraId="09CE4F1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состав ВНИИЭМ входили (2004 г.): отделы: электрооборудования АЭС, электрооборудования систем управления и защиты (СУЗ) АЭС, комплексных систем автоматизации, управляющих вычислительных средств, систем управления перегрузочными машинами АЭС и специальных электроприводов, локальных систем автоматизации и испытательных систем; испытательный центр.</w:t>
      </w:r>
      <w:r w:rsidRPr="007224C3">
        <w:rPr>
          <w:rFonts w:ascii="Times New Roman" w:hAnsi="Times New Roman"/>
          <w:color w:val="000000" w:themeColor="text1"/>
          <w:sz w:val="16"/>
          <w:szCs w:val="16"/>
          <w:vertAlign w:val="superscript"/>
        </w:rPr>
        <w:t>1</w:t>
      </w:r>
      <w:r w:rsidRPr="007224C3">
        <w:rPr>
          <w:rFonts w:ascii="Times New Roman" w:hAnsi="Times New Roman"/>
          <w:color w:val="000000" w:themeColor="text1"/>
          <w:sz w:val="16"/>
          <w:szCs w:val="16"/>
        </w:rPr>
        <w:t>™™'™"™</w:t>
      </w:r>
      <w:r w:rsidRPr="007224C3">
        <w:rPr>
          <w:rFonts w:ascii="Times New Roman" w:hAnsi="Times New Roman"/>
          <w:color w:val="000000" w:themeColor="text1"/>
          <w:sz w:val="16"/>
          <w:szCs w:val="16"/>
          <w:vertAlign w:val="superscript"/>
        </w:rPr>
        <w:t>огсш</w:t>
      </w:r>
    </w:p>
    <w:p w14:paraId="4ABC49B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конструктор (1941-1970-е  г.)- А. Г. Иосифьян.</w:t>
      </w:r>
      <w:r w:rsidRPr="007224C3">
        <w:rPr>
          <w:rFonts w:ascii="Times New Roman" w:hAnsi="Times New Roman"/>
          <w:color w:val="000000" w:themeColor="text1"/>
          <w:sz w:val="16"/>
          <w:szCs w:val="16"/>
          <w:vertAlign w:val="superscript"/>
        </w:rPr>
        <w:t>60</w:t>
      </w:r>
      <w:r w:rsidRPr="007224C3">
        <w:rPr>
          <w:rFonts w:ascii="Times New Roman" w:hAnsi="Times New Roman"/>
          <w:color w:val="000000" w:themeColor="text1"/>
          <w:sz w:val="16"/>
          <w:szCs w:val="16"/>
        </w:rPr>
        <w:t xml:space="preserve"> Ген. конструктор (1981 г.)- академик Н.Н. Шереметьевский.</w:t>
      </w:r>
    </w:p>
    <w:p w14:paraId="3464EC1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гл. конструктора по ИСЗ (1962 г.)- Геворкян.</w:t>
      </w:r>
    </w:p>
    <w:p w14:paraId="1EC101F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(08.1941-59 г.-)- А. Г. Иосифьян. Гендиректор (-2000-04 г.-)- С.А. Стома.</w:t>
      </w:r>
    </w:p>
    <w:p w14:paraId="6D747C7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1-й зам. Гендиректора (2004 г.)-  Г.А. Жемчугов. Зам. Гендиректора: по науке (2002 г.)- А.П. Сарычев; по ВЭС (2002 г.)- В.А. Круглин.</w:t>
      </w:r>
      <w:r w:rsidRPr="007224C3">
        <w:rPr>
          <w:rFonts w:ascii="Times New Roman" w:hAnsi="Times New Roman"/>
          <w:color w:val="000000" w:themeColor="text1"/>
          <w:sz w:val="16"/>
          <w:szCs w:val="16"/>
          <w:vertAlign w:val="superscript"/>
        </w:rPr>
        <w:t>69</w:t>
      </w:r>
    </w:p>
    <w:p w14:paraId="28D82CD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конструкторы: (1981 г.)- Ю.В. Трифонов («Планета»), (2009 г.)- Р. Салихов («Коронас-Фотон»),</w:t>
      </w:r>
    </w:p>
    <w:p w14:paraId="083BEEF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Начальники отделов: (1953 г.)- Б.М. Каган, (1966 г.-)- В.М. Долкарт; электрооборудования: АЭС (2004 г.)- С.Д. Джумаев; СУЗ АЭС (2004 г.)- В.А. Соколов; комплексных систем автоматизации (2004 г.)- А.В. Петров; управляющих вычислительных средств (2004 г.)- С.Я. Куцаков; систем управления перегрузочными машинами АЭС и специальных электроприводов (2004 г.)- Ю.Т. Портной; локальных систем автоматизации и испытательных систем (2004 г.)- Л.М. Лукьянов; испытательного центра (2004 г.)- Ю.Ф. Пчеляков.</w:t>
      </w:r>
    </w:p>
    <w:p w14:paraId="7E4B7DE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Создано: КА: «Омега-1» (1963), «Метеор», «Метеор-2», «Радио-1, -2» (1978), «Ресурс-01» (1994), солнечная обсерватория «Коронас-Фотон» (30.01.2009 г.).</w:t>
      </w:r>
    </w:p>
    <w:p w14:paraId="3129F0A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СКБ-627, СКБ ПМ, КБСМ, «Спецмагнит», ФГУП «Спецмагнит» /127238  г. Москва Дмитровское ш., 58 тел. 482-00-08/</w:t>
      </w:r>
    </w:p>
    <w:p w14:paraId="3101A8C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Самостоятельное СКБ-627 создано в 1945 г. на базе лабораторий и цехов НИИ-627 для разработки постоянных магнитов. Далее называлось СКБ ПМ, КБСМ, «Спецмагнит». С 2001 г.- ФГУП «Спецмагнит».</w:t>
      </w:r>
    </w:p>
    <w:p w14:paraId="27B5CFE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годы войны изготавливались постоянные магниты на основе безкобальтовых литых сплавов на заводе НИИ- 627. В 1973 г. при КБСМ создан свой завод для серийного выпуска литых и самарий-кобальтовых магнитов.</w:t>
      </w:r>
    </w:p>
    <w:p w14:paraId="04F5044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В 1960-е-70-е  г. создано более 20 новых сплавов с уникальными свойствами (в т.ч. деформируемые на основе железо-хром-кобальт, 30Х23КА, ЮНДК25БА, ЮНДК35Т5БА). В 1960-х  г. создан сверхсильный магнит на основе самариевого сплава. Разработан новый техпроцесс внепечной направленной кристаллизации, создан первый отечественный плавильно-кристаллизационный комплекс. В 1970-х  г. разработан и внедрен новый высокоэнергетический сплав на основе редкоземельных элементов для миниатюрных магнитов.</w:t>
      </w:r>
    </w:p>
    <w:p w14:paraId="46B1858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w:t>
      </w:r>
    </w:p>
    <w:p w14:paraId="235BC02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Единственное предприятие в стране (2005 г.) по разработке и производству энергоемких постоянных магнитов и систем на их основе. К 2005 г. разработано более 1000 наименований магнитов, более 550 магнитных систем, в т.ч. более 400- для оборонной промышленности.</w:t>
      </w:r>
    </w:p>
    <w:p w14:paraId="11E6FED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Работы (2005 г.): разработка принципиально новых магнитных систем МПФС для приборов СВЧ.</w:t>
      </w:r>
    </w:p>
    <w:p w14:paraId="65CB6F2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(-1986-2000 Г.-)- В.П. Збойков.</w:t>
      </w:r>
    </w:p>
    <w:p w14:paraId="4874C87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инженер (1960-е-70-е)- Ю.С. Сакатунов.</w:t>
      </w:r>
    </w:p>
    <w:p w14:paraId="433C7DF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Истринский филиал (ИФ) ВНИИЭМ, ФГУП «НИИЭМ (электромеханики)» РАКА, ФКА /143500  г. Исгра Московской обл. ул. Панфилова, 1 тел. 994-51-10/</w:t>
      </w:r>
    </w:p>
    <w:p w14:paraId="02BA223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Основан в 1959(60) г. как Истринский филиал ВНИИ электромеханики. В 1992 г. реорганизован в самостоятельное предприятие- НИИЭМ. По Указу Президента РФ № 1009 от 4.08.2004 г. вошел в число стратегических оборонных предприятий. В 10.2004 г. вошел в ОАО «ВПК «НПО машиностроения».</w:t>
      </w:r>
    </w:p>
    <w:p w14:paraId="39BE45A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Созданы и испытаны метеорологические КА «Метеор-2» (в 1975-89 г. 18 запусков), «Метеор-3» (запущено 33 аппарата).</w:t>
      </w:r>
    </w:p>
    <w:p w14:paraId="53831D0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Работы (2004-05 г.): разработка и изготовление бортовых систем для КА: систем ориентации и стабилизации, сброса кинетических моментов, коррекции орбиты радиационных холодильников и тепловых труб, бортовых комплексов управления и автоматизированных испытательных комплексов, информационно-навигационных систем; проектирование и изготовление: источников питания на основе электромашинных генераторов для морского флота, РКТ, прецизионных электроприводов для КА и станков с ЧПУ; разработка передвижных дизельных и газотурбинных электростанций мощностью до 300 кВт; разработка полупроводниковых преобразователей частоты, систем гарантированного питания, сложных электротехнических комплексов, частотно-регулируемых электроприводов.</w:t>
      </w:r>
    </w:p>
    <w:p w14:paraId="67FE05C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Национальные программы: «Метеор», «Ресурс», «Электро». Участие в разработке метеорологических и природоресурсных космических систем нового поколения «Метеор-ЗМ» и «МКА-Метео». Международные программы: «Интеркосмос-Болгария 1300», «Метеор-Томе», «Миссия к планете Земля», «СКАРАБ», «Спектр-Рентген-Гамма», запуск малых спутников «Тубсат» и «Темисат» совместно с Германией; попутный запуск микроспутников BADR-B (Пакистан), Maroc/Tubsat (Марокко), установка на борту «Метеор- ЗМ» № 1 спектрометра Sage-З (США, НАСА).</w:t>
      </w:r>
    </w:p>
    <w:p w14:paraId="172FF0B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Перспективные программы: создание космической системы оперативного краткосрочного прогноза землетрясений «Вулкан»; КА «Коронас-Фотон» для исследования солнечно-земных связей.</w:t>
      </w:r>
      <w:r w:rsidRPr="007224C3">
        <w:rPr>
          <w:rFonts w:ascii="Times New Roman" w:hAnsi="Times New Roman"/>
          <w:color w:val="000000" w:themeColor="text1"/>
          <w:sz w:val="16"/>
          <w:szCs w:val="16"/>
          <w:vertAlign w:val="superscript"/>
        </w:rPr>
        <w:t>101</w:t>
      </w:r>
    </w:p>
    <w:p w14:paraId="2532856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Научно-производственная база НИИЭМ (2004 г.): монтажно-испытательный комплекс для КА с центром приема спутниковой телеметрической информации; - комплексный стенд механических и климатических испытаний; комплексный стенд электрических испытаний; автоматизированное производство сложных многослойных печатных плат; специализированное производство медицинской рентгеновской техники; опытный завод НИИЭМ (ЗАО «Новатор»), расположенный на территории института.</w:t>
      </w:r>
    </w:p>
    <w:p w14:paraId="1E33BF7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Гендиректор (-2002-03 г.-)- А.Э. Хохлович. И.О. гендиректора (2004 г.)- А.Э. Хохлович. Гл. конструктор (1983 г.)- В.И. Адасько, (-2002-03 г.-)- А.Э. Хохлович.</w:t>
      </w:r>
    </w:p>
    <w:p w14:paraId="4245214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1-й зам. Гендиректора (2002 г.)- Е.Ф. Апанасенко. Зам. Гендиректора/ гл. конструктор по космической технике (2002 г.)- Р.С. Салихов.</w:t>
      </w:r>
    </w:p>
    <w:p w14:paraId="711A93F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инженер (2002 г.)- Ю.Ф. Помосов.</w:t>
      </w:r>
      <w:r w:rsidRPr="007224C3">
        <w:rPr>
          <w:rFonts w:ascii="Times New Roman" w:hAnsi="Times New Roman"/>
          <w:color w:val="000000" w:themeColor="text1"/>
          <w:sz w:val="16"/>
          <w:szCs w:val="16"/>
          <w:vertAlign w:val="superscript"/>
        </w:rPr>
        <w:t>69</w:t>
      </w:r>
      <w:r w:rsidRPr="007224C3">
        <w:rPr>
          <w:rFonts w:ascii="Times New Roman" w:hAnsi="Times New Roman"/>
          <w:color w:val="000000" w:themeColor="text1"/>
          <w:sz w:val="16"/>
          <w:szCs w:val="16"/>
        </w:rPr>
        <w:t>'</w:t>
      </w:r>
      <w:r w:rsidRPr="007224C3">
        <w:rPr>
          <w:rFonts w:ascii="Times New Roman" w:hAnsi="Times New Roman"/>
          <w:color w:val="000000" w:themeColor="text1"/>
          <w:sz w:val="16"/>
          <w:szCs w:val="16"/>
          <w:vertAlign w:val="superscript"/>
        </w:rPr>
        <w:t xml:space="preserve">www,senki cora </w:t>
      </w:r>
      <w:r w:rsidRPr="007224C3">
        <w:rPr>
          <w:rFonts w:ascii="Times New Roman" w:hAnsi="Times New Roman"/>
          <w:color w:val="000000" w:themeColor="text1"/>
          <w:sz w:val="16"/>
          <w:szCs w:val="16"/>
        </w:rPr>
        <w:t>Начальники бюро: М.А. Липатов. Создано: ПЭВМ «Истра-4816» (1985).</w:t>
      </w:r>
      <w:r w:rsidRPr="007224C3">
        <w:rPr>
          <w:rFonts w:ascii="Times New Roman" w:hAnsi="Times New Roman"/>
          <w:color w:val="000000" w:themeColor="text1"/>
          <w:sz w:val="16"/>
          <w:szCs w:val="16"/>
          <w:vertAlign w:val="superscript"/>
        </w:rPr>
        <w:t xml:space="preserve">82 </w:t>
      </w:r>
      <w:r w:rsidRPr="007224C3">
        <w:rPr>
          <w:rFonts w:ascii="Times New Roman" w:hAnsi="Times New Roman"/>
          <w:color w:val="000000" w:themeColor="text1"/>
          <w:sz w:val="16"/>
          <w:szCs w:val="16"/>
        </w:rPr>
        <w:t>Производство: КА «Метеор-2» (1978-), «Метеор-3» (1984).</w:t>
      </w:r>
      <w:r w:rsidRPr="007224C3">
        <w:rPr>
          <w:rFonts w:ascii="Times New Roman" w:hAnsi="Times New Roman"/>
          <w:color w:val="000000" w:themeColor="text1"/>
          <w:sz w:val="16"/>
          <w:szCs w:val="16"/>
          <w:vertAlign w:val="superscript"/>
        </w:rPr>
        <w:t>77</w:t>
      </w:r>
    </w:p>
    <w:p w14:paraId="23AAFED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Опытный завод ВНИИЭМ, ЗАО «Новатор» /143500  г. Истра Московской обл. ул. Панфилова, 1 тел. 994-53-04/</w:t>
      </w:r>
    </w:p>
    <w:p w14:paraId="71FE3F1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Опытное производство ВНИИЭМ создано в 1965 г. С 1988 г.- Опытный завод ВНИИЭМ, с 1992 г. - ЗАО «Новатор».</w:t>
      </w:r>
    </w:p>
    <w:p w14:paraId="41C8154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12.1967 г. в  г. Мирном создан филиал опытного завода ВНИИЭМ.</w:t>
      </w:r>
    </w:p>
    <w:p w14:paraId="33E5F5D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Принимало участие в программах: «Метеор», «Ресурс», «Электро», «Радиационный баланс», «Спектр- Рентген-Гамма», «Вулкан».</w:t>
      </w:r>
    </w:p>
    <w:p w14:paraId="18148B1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решению правительства № 22-р от 9.01.2004 г. вошло в перечень стратегических предприятий. Гендиректор (2002 г.)- Н.Д. Федченко.</w:t>
      </w:r>
    </w:p>
    <w:p w14:paraId="67292A0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1-й зам. Гендиректора (2002 г.)-  Г.И. Терещенко. Зам. гендиректора по ВЭД (2002 г.)- Ю.А. Панько. Зам. гл. конструктора (2002 г.)-  Г.И. Терещенко (КК «Метеор-ЗМ»),</w:t>
      </w:r>
    </w:p>
    <w:p w14:paraId="313F2B1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Производство (2002 г.): служебные системы, блоки для КА «Ресурс», «Метеор»; системы управления КА; прецизионные приводы КА ССП-1, ССП-2; наземные испытательные комплексы КА 11Н6392, 17Н321, 17Н35, 17Н41; испытательная станция для климатических и вибрационных испытаний КА; сухие пленочные фоторезисторы.</w:t>
      </w:r>
      <w:r w:rsidRPr="007224C3">
        <w:rPr>
          <w:rFonts w:ascii="Times New Roman" w:hAnsi="Times New Roman"/>
          <w:color w:val="000000" w:themeColor="text1"/>
          <w:sz w:val="16"/>
          <w:szCs w:val="16"/>
          <w:vertAlign w:val="superscript"/>
        </w:rPr>
        <w:t>69</w:t>
      </w:r>
    </w:p>
    <w:p w14:paraId="5F65AAB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НИИ «Новатор»-филиал ВНИИЭМ, ФГУП «НИИ «Новатор» с опытным заводом» /164170  г. Мирный Архангельской обл. ул. Неделина, 35 тел. 53-030/</w:t>
      </w:r>
    </w:p>
    <w:p w14:paraId="5A52E44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12.1967 г. в Мирном создан филиал опытного завода ВНИИЭМ, в 11.1971 г. на нем создан НИИ «Новатор» как филиал ВНИИЭМ с целью приближения базы ВНИИЭМ к космодрому Плесецк.</w:t>
      </w:r>
    </w:p>
    <w:p w14:paraId="390C61A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1998 г. на космодроме создано дочернее предприятие НИИ- ГУП «Технический центр «Новатор». Принимал участие в программах: «Салют», «Мир», «Метеор», «Болгария-1300», «Ангара». Работы (2002 г.): эксплуатация наземных вычислительных комплексов на космодроме Плесецк; разработка и изготовление узлов и блоков для наземных испытательных комплексов; изготовление бортовых устройств КА; производство помехозащитных устройств, трансфильтров, преобразователей напряжения, источников вторичного питания, электродвигателей, трансформаторов, электровентиляторов, узлов и блоков для систем контроля АЭС. Гендиректор (2002 г.)- A.M. Погорелый. Гл. инженер (2002 г.)- В.П. Лыкова.</w:t>
      </w:r>
      <w:r w:rsidRPr="007224C3">
        <w:rPr>
          <w:rFonts w:ascii="Times New Roman" w:hAnsi="Times New Roman"/>
          <w:color w:val="000000" w:themeColor="text1"/>
          <w:sz w:val="16"/>
          <w:szCs w:val="16"/>
          <w:vertAlign w:val="superscript"/>
        </w:rPr>
        <w:t>69</w:t>
      </w:r>
    </w:p>
    <w:p w14:paraId="2B0BA9D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Томский филиал ВНИИЭМ, НПА «Полюс», ФГУП «Научно-производственный центр (НПЦ) «Полюс» /634050  г. Томск пл. Кирова, 2 тел. 55-77-66/</w:t>
      </w:r>
    </w:p>
    <w:p w14:paraId="797FC3A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Томский филиал ВНИИЭМ создан в 1951 г. Разработка электромашинных преобразователей напряжения для бронетанковой, ракетной и торпедной техники. С 1960-х  г.- разработка полупроводниковых статических преобразователей для систем питания и синхронизации бортовой и наземной аппаратуры РКТ.</w:t>
      </w:r>
    </w:p>
    <w:p w14:paraId="35826F2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Принимало участие в программах: «Мир», «Бион», «Фотон», «Сесат», МКС, «Спектр», «Электро», «Экспресс- К2», «Гироскоп-Полюс», «Экспресс-1000», «Гонец», «Руслан-ММ», «Фобос-Грунт».</w:t>
      </w:r>
    </w:p>
    <w:p w14:paraId="67EF2B1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Разработка и производство (2002 г.): бортовое и наземное электротехническое оборудование (электроэнергетические и электромеханические системы, приборы, электромашины), системы точной механики, лазерные гироскопы.</w:t>
      </w:r>
    </w:p>
    <w:p w14:paraId="5D542DB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3.03.2008 г. НПЦ «Полюс» вошло в состав ОАО «ИСС им. академика М.Ф. Решетнева». Гендиректор (2002 г.)- А.И. Чернышев. Ген. Конструктор (2002 г.)- А.И. Чернышев.</w:t>
      </w:r>
    </w:p>
    <w:p w14:paraId="016A15E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гендиректора по экономической работе (2002 г.)- В.Н. Гладущенко.</w:t>
      </w:r>
    </w:p>
    <w:p w14:paraId="5DD70BA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Создано: системы точной механики для РН «Союз-ТМ», «Протресс-ТМ», КА «Молния», «Экран-М», «Галс», «Экспресс», «Метеор», «Фобос», «Марс» (11982).</w:t>
      </w:r>
    </w:p>
    <w:p w14:paraId="1DE692C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199DFC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5 мая 1944 г. приказом Наркомата минометного вооружения СССР создано Центральное конструкторское бюро по станкостроению (ЦКБ по станкостроению). Приказом Министерства машиностроения и приборостроения СССР от 15 апреля 1948 г. бюро реорганизовано в Проектно-технологический и экспериментальный институт "Оргмашприбор" (12102). </w:t>
      </w:r>
    </w:p>
    <w:p w14:paraId="772B401D" w14:textId="77777777" w:rsidR="008B289D" w:rsidRPr="007224C3" w:rsidRDefault="008B289D" w:rsidP="007224C3">
      <w:pPr>
        <w:autoSpaceDE w:val="0"/>
        <w:autoSpaceDN w:val="0"/>
        <w:adjustRightInd w:val="0"/>
        <w:spacing w:after="0" w:line="240" w:lineRule="auto"/>
        <w:jc w:val="both"/>
        <w:rPr>
          <w:rFonts w:ascii="Times New Roman" w:hAnsi="Times New Roman"/>
          <w:color w:val="000000" w:themeColor="text1"/>
          <w:sz w:val="16"/>
          <w:szCs w:val="16"/>
        </w:rPr>
      </w:pPr>
    </w:p>
    <w:p w14:paraId="5147A2C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мая 1944 вышло Постановление ГКО № 5821 О плане снабжения горюче-смазочными материалами и каменноугольным топливом Красной Армии и Военно-Морского флота на май 1944 года. РГАНИР, Фонд ГКО, д. 250, лл. 58-59,60-100 (11012).</w:t>
      </w:r>
    </w:p>
    <w:p w14:paraId="443C8B1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1B04F7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мая 1944 года вышел объединенный приказ наркома минометного вооружения и Комитета по делам искусств при СНК за № 216/239 о передаче Дома звукозаписи, Апрелевского завода грампластинок и Ташкентского завода грампластинок Комитету по делам искусств при СНК (8660,1).</w:t>
      </w:r>
    </w:p>
    <w:p w14:paraId="43E6445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D917A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мая 1944 года вышел приказ НКМВ № 242 в соответствии с постановлением Правительства от 30 апреля 1944 года об организации ЦКБ по станкостроению НКМВ для разработки новых конструкций специальных операционных, агрегатных, а также универсальных станков, не производимых НК станкостроения (8661).</w:t>
      </w:r>
    </w:p>
    <w:p w14:paraId="6A6D04C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5E5A61"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05BE2BA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B9CAB02" w14:textId="77777777" w:rsidR="008B289D" w:rsidRPr="007224C3" w:rsidRDefault="008B289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мая в 1944 году оперативная сводка Совинформбюро:</w:t>
      </w:r>
    </w:p>
    <w:p w14:paraId="74595EAA" w14:textId="77777777" w:rsidR="008B289D" w:rsidRPr="007224C3" w:rsidRDefault="008B289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5 мая на фронтах существенных изменений непроизошло.</w:t>
      </w:r>
    </w:p>
    <w:p w14:paraId="2391922D" w14:textId="77777777" w:rsidR="008B289D" w:rsidRPr="007224C3" w:rsidRDefault="008B289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4 мая нашими войсками на всех фронтах подбито и уничтожено 35 немецких танков. В воздушных боях и огнём зенитной артиллерии сбито 74 самолёта противника.</w:t>
      </w:r>
    </w:p>
    <w:p w14:paraId="22A189E9" w14:textId="77777777" w:rsidR="008B289D" w:rsidRPr="007224C3" w:rsidRDefault="008B289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Удары кораблей и авиации Черноморского флота по судам противника</w:t>
      </w:r>
    </w:p>
    <w:p w14:paraId="2A348703" w14:textId="77777777" w:rsidR="008B289D" w:rsidRPr="007224C3" w:rsidRDefault="008B289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Днём 3-го и в ночь на 4-е мая нашей воздушной разведкой было обнаружено в открытом море несколько групп транспортов противника.</w:t>
      </w:r>
    </w:p>
    <w:p w14:paraId="3C2C4FFD" w14:textId="77777777" w:rsidR="008B289D" w:rsidRPr="007224C3" w:rsidRDefault="008B289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Корабли Черноморского флота западнее Херсонесского маяка нанесли два удара посудам противника. Торпедами потоплены две баржи и транспорт водоизмещением в 3.000 тонн.</w:t>
      </w:r>
    </w:p>
    <w:p w14:paraId="0B0564D8" w14:textId="77777777" w:rsidR="008B289D" w:rsidRPr="007224C3" w:rsidRDefault="008B289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Авиация флота даём и ночью наносила последовательные удары по обнаруженным транспортам и другим плавсредствам противника. Прямыми попаданиями бомб потоплены 4 транспорта общим водоизмещением до 10.000 тонн, две быстроходные десантные баржи, одна сухогрузная баржа и сторожевой катер. Многие другие суда противника повреждены.</w:t>
      </w:r>
    </w:p>
    <w:p w14:paraId="68FA7454" w14:textId="77777777" w:rsidR="008B289D" w:rsidRPr="007224C3" w:rsidRDefault="008B289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Юго-восточнее города Станислав пехота противника пыталась атаковать наши позиции. В результате двухчасового боя немцы отступили, оставив на поле боя до 300 трупов своих солдат и офицеров. На другом участке разведотряды Н-ской части внезапным ударом захватили несколько вражеских дзотов.</w:t>
      </w:r>
    </w:p>
    <w:p w14:paraId="6B4DADC1" w14:textId="77777777" w:rsidR="008B289D" w:rsidRPr="007224C3" w:rsidRDefault="008B289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Южнее города Тирасполь подразделения Н-ской части предприняли разведку боем. Советские бойцы ворвались в траншеи противника и истребили до роты гитлеровцев. Захвачены у немцев 8 пулемётов, 3 противотанковых ружья, 60 винтовок и автоматов.</w:t>
      </w:r>
    </w:p>
    <w:p w14:paraId="1E0FACE4" w14:textId="77777777" w:rsidR="008B289D" w:rsidRPr="007224C3" w:rsidRDefault="008B289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Лётчики под командованием старшего лейтенанта Голчина, возвращаясь с боевого задания, встретили группу немецких самолётов. Советские штурмовики атаковали противника и в завязавшемся воздушном бою сбили 6 немецких бомбардировщиков «Юнкерс-87». Все наши самолёты вернулись на свой аэродром.</w:t>
      </w:r>
    </w:p>
    <w:p w14:paraId="5A687055" w14:textId="77777777" w:rsidR="008B289D" w:rsidRPr="007224C3" w:rsidRDefault="008B289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2 Украинском фронте наша авиация наносила удары по скоплениям немецких войск. Бомбово-штурмовыми ударами нанесен тяжёлый урон противнику в живой силе и технике. В воздушных боях и огнём зенитной артиллерии сбито 34 немецких самолёта.</w:t>
      </w:r>
    </w:p>
    <w:p w14:paraId="73AA4DFC" w14:textId="77777777" w:rsidR="008B289D" w:rsidRPr="007224C3" w:rsidRDefault="008B289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Несколько партизанских отрядов, действующих в оккупированных немцами районах Калининской области, с 6 по 19 апреля пустили под откос 8 немецких воинских эшелонов. Из засад на шоссейных и грунтовых дорогах партизаны уничтожили 40 грузовых автомашин и истребили до роты гитлеровцев. Взято 19 пленных. В одном районе на сторону партизан перешло 40 немецких солдат.</w:t>
      </w:r>
    </w:p>
    <w:p w14:paraId="677EA5F8" w14:textId="77777777" w:rsidR="008B289D" w:rsidRPr="007224C3" w:rsidRDefault="008B289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1-м Украинском фронте за последние десять дней добровольно сдались в плен 600 венгерских солдат и офицеров из 16, 18, 21, 24, 201 лёгкопехотных дивизий, 1 горнострелковой бригады и 2 танковой дивизии. Пленные заявляют, что многие венгерские солдаты и офицеры враждебно настроены против немцев. Все перебежчики считают регента Хорти предателем венгерского народа. Пленные рассказали, что немцы создали специальные заградительные отряды, которым вменено в обязанность следить за поведением венгров в бою и расстреливать их, если они будут отступать. Многие из сдавшихся в плен венгерских солдат заявляют, что они ненавидят немцев и будут бороться против них за освобождение своей родины.</w:t>
      </w:r>
    </w:p>
    <w:p w14:paraId="00B20AD1" w14:textId="77777777" w:rsidR="008B289D" w:rsidRPr="007224C3" w:rsidRDefault="008B289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Ниже публикуется акт о зверствах немецко-фашистских мерзавцев в селе Клембовка, Каменец-Подольской области. «С первых дней оккупации нашего села фашистские бандиты чинили произвол, грабили и убивали мирных жителей. В декабре прошлого года немцы почти ежедневно устраивали обыски, забирали всё ценное, что еще осталось у крестьян. Гитлеровцы насильно угнали на каторгу всю молодёжь. У колхозницы Устиньи Низовец немцы угнали на каторгу в Германию двух сыновей и дочь, у колхозника Ефима Самчука — сына и двух дочерей, у колхозника Петра Мазура — двух сыновей и дочь. И так почти в каждой семье. Фашистской неволи избежали только те, кто скрылся из села. Незадолго до отступления гитлеровцы сожгли свыше 400 жилых домов. Стариков, больных, а также тех, кто отказывался эвакуироваться, немцы расстреляли. В посёлке при станции Клембовка немецкие изверги согнали мирных жителей в один дом и учинили над ними дикую расправу. После долгих издевательств немцы сожгли дом вместе с находившимися в нём стариками, женщинами и детьми. В огне сгорело 76 человек».</w:t>
      </w:r>
    </w:p>
    <w:p w14:paraId="4955A0BC" w14:textId="77777777" w:rsidR="008B289D" w:rsidRPr="007224C3" w:rsidRDefault="008B289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Акт подписали: колхозник Иван Дукач, рабочий сахарного завода Иван Бондарчук, колхозницы Ольга Разумная и Александра Низовец, учительница Зинаида Кирпа,председатель колхоза Антон Скрипнюк.» (14882).</w:t>
      </w:r>
    </w:p>
    <w:p w14:paraId="75041799" w14:textId="77777777" w:rsidR="008B289D" w:rsidRPr="007224C3" w:rsidRDefault="008B289D" w:rsidP="007224C3">
      <w:pPr>
        <w:spacing w:after="0" w:line="240" w:lineRule="auto"/>
        <w:jc w:val="both"/>
        <w:rPr>
          <w:rFonts w:ascii="Times New Roman" w:hAnsi="Times New Roman"/>
          <w:color w:val="000000" w:themeColor="text1"/>
          <w:sz w:val="16"/>
          <w:szCs w:val="16"/>
        </w:rPr>
      </w:pPr>
    </w:p>
    <w:p w14:paraId="390A42F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мая 1944 на территории СССР был создан Польский партизанский штаб (А.Завадский) и ему передали в подчинение все польские партизанские формирования в СССР (13 отрядов и 3 батальона) (3398,172).</w:t>
      </w:r>
    </w:p>
    <w:p w14:paraId="59B6E2D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29B417"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мая 1944 вышло Распоряжение ГКО № 5820 [О выделении 5 тыс. военнослужащих, не годных к строевой службе, для укомплектования конвойных войск НКВД.] (7228, 57).</w:t>
      </w:r>
    </w:p>
    <w:p w14:paraId="52EEA99A"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8ED4B38"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Жизнь и внутренняя политика:</w:t>
      </w:r>
    </w:p>
    <w:p w14:paraId="326B67C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D782AB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мая 1944 был объявлен новый займ на 25 млрд. руб. (1348,202).</w:t>
      </w:r>
    </w:p>
    <w:p w14:paraId="660C3D0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8ECB86" w14:textId="77777777" w:rsidR="00DF7C94" w:rsidRPr="007224C3" w:rsidRDefault="00DF7C9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мая в 1944 году объявлен Третий государственный военный заем в СССР. Общая сумма подписки составила 28 963 млн. рублей (14882).</w:t>
      </w:r>
    </w:p>
    <w:p w14:paraId="4722CF89" w14:textId="77777777" w:rsidR="00DF7C94" w:rsidRPr="007224C3" w:rsidRDefault="00DF7C94" w:rsidP="007224C3">
      <w:pPr>
        <w:spacing w:after="0" w:line="240" w:lineRule="auto"/>
        <w:jc w:val="both"/>
        <w:rPr>
          <w:rFonts w:ascii="Times New Roman" w:hAnsi="Times New Roman"/>
          <w:color w:val="000000" w:themeColor="text1"/>
          <w:sz w:val="16"/>
          <w:szCs w:val="16"/>
        </w:rPr>
      </w:pPr>
    </w:p>
    <w:p w14:paraId="1D809E5A"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Внешняя политика:</w:t>
      </w:r>
    </w:p>
    <w:p w14:paraId="6A47A58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9A62D2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мая 1944 Иден запросил советского посла Гусева, согласен ли СССР поддержать британскую политику в Греции в обмен на свободу рук в Румынии? Гусев передал ответ Москвы, что в принципе она согласна, но что думает по этому поводу в США?</w:t>
      </w:r>
    </w:p>
    <w:p w14:paraId="571EBD0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145C407"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7C7E134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BB5DF90" w14:textId="77777777" w:rsidR="00DF7C94" w:rsidRPr="007224C3" w:rsidRDefault="00DF7C9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5 мая в 1944 году впервые взлетел </w:t>
      </w:r>
      <w:hyperlink r:id="rId115" w:tgtFrame="_blank" w:history="1">
        <w:r w:rsidRPr="007224C3">
          <w:rPr>
            <w:rFonts w:ascii="Times New Roman" w:hAnsi="Times New Roman"/>
            <w:color w:val="000000" w:themeColor="text1"/>
            <w:sz w:val="16"/>
            <w:szCs w:val="16"/>
          </w:rPr>
          <w:t xml:space="preserve">«Ar 234V11» </w:t>
        </w:r>
      </w:hyperlink>
      <w:r w:rsidRPr="007224C3">
        <w:rPr>
          <w:rFonts w:ascii="Times New Roman" w:hAnsi="Times New Roman"/>
          <w:color w:val="000000" w:themeColor="text1"/>
          <w:sz w:val="16"/>
          <w:szCs w:val="16"/>
        </w:rPr>
        <w:t>(PH+SS), который был близок по конфигypации к «V9» и был оснащен герметичной кабиной. Напомню, «Ar 234V9» — прототип серии В. Кабина самолета была герметизирована с помощью полос синтетической резины (впервые эта мера применена на опытном образце V3) и оборудована катапультируемым сиденьем. Высокая скорость «Аr 234» должна была сделать самолет неуязвимым для противника. По этой причине конструкторы ограничились установкой небольшой 15,5-мм бронеспинки, защищавшей голову пилота (14882).</w:t>
      </w:r>
    </w:p>
    <w:p w14:paraId="5B4E5248" w14:textId="77777777" w:rsidR="00DF7C94" w:rsidRPr="007224C3" w:rsidRDefault="00DF7C94" w:rsidP="007224C3">
      <w:pPr>
        <w:spacing w:after="0" w:line="240" w:lineRule="auto"/>
        <w:jc w:val="both"/>
        <w:rPr>
          <w:rFonts w:ascii="Times New Roman" w:hAnsi="Times New Roman"/>
          <w:color w:val="000000" w:themeColor="text1"/>
          <w:sz w:val="16"/>
          <w:szCs w:val="16"/>
        </w:rPr>
      </w:pPr>
    </w:p>
    <w:p w14:paraId="66B76C1F" w14:textId="77777777" w:rsidR="00DF7C94" w:rsidRPr="007224C3" w:rsidRDefault="00DF7C94"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мая 1944 Верн Кастерн совершил первый полет американский Бичкрафт (Beechcraft) ХА-38 Grizzly - штурмовик, заказанный в 1943. Бронирование двухмоторной машины было не существенным, но вооружена она была 75 мм пушкой (2873,46).</w:t>
      </w:r>
    </w:p>
    <w:p w14:paraId="25BBC48B" w14:textId="77777777" w:rsidR="00DF7C94" w:rsidRPr="007224C3" w:rsidRDefault="00DF7C94"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6FD5D3" w14:textId="77777777" w:rsidR="00DF7C94" w:rsidRPr="007224C3" w:rsidRDefault="00DF7C9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5 мая в 1944 году поднялся в воздух первый прототип </w:t>
      </w:r>
      <w:hyperlink r:id="rId116" w:tgtFrame="_blank" w:history="1">
        <w:r w:rsidRPr="007224C3">
          <w:rPr>
            <w:rFonts w:ascii="Times New Roman" w:hAnsi="Times New Roman"/>
            <w:color w:val="000000" w:themeColor="text1"/>
            <w:sz w:val="16"/>
            <w:szCs w:val="16"/>
          </w:rPr>
          <w:t xml:space="preserve">«ХА-38», </w:t>
        </w:r>
      </w:hyperlink>
      <w:r w:rsidRPr="007224C3">
        <w:rPr>
          <w:rFonts w:ascii="Times New Roman" w:hAnsi="Times New Roman"/>
          <w:color w:val="000000" w:themeColor="text1"/>
          <w:sz w:val="16"/>
          <w:szCs w:val="16"/>
        </w:rPr>
        <w:t>под управлением летчика-испытателя фирмы «Бичкрафт» Верна Карстена. Вместо верхней и нижней турелей временно установили их деревянные макеты. Стрельбу в воздухе из мощной пушки 75-мм калибра опробовали в июле. Заводские испытания проходили вполне успешно, и машину передали военно-воздушным силам за день до капитуляции Японии - 14 августа 1945 г. Второй прототип приступил к полетам 22 сентября, когда война уже закончилась (14882).</w:t>
      </w:r>
    </w:p>
    <w:p w14:paraId="706AC482" w14:textId="77777777" w:rsidR="00DF7C94" w:rsidRPr="007224C3" w:rsidRDefault="00DF7C94" w:rsidP="007224C3">
      <w:pPr>
        <w:spacing w:after="0" w:line="240" w:lineRule="auto"/>
        <w:jc w:val="both"/>
        <w:rPr>
          <w:rFonts w:ascii="Times New Roman" w:hAnsi="Times New Roman"/>
          <w:color w:val="000000" w:themeColor="text1"/>
          <w:sz w:val="16"/>
          <w:szCs w:val="16"/>
        </w:rPr>
      </w:pPr>
    </w:p>
    <w:p w14:paraId="4B01ACA8"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мая 1944 немецкая разведка перехватила телефонный разговор Черчилля и Рузвельта (4962).</w:t>
      </w:r>
    </w:p>
    <w:p w14:paraId="1A498592"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195F208"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мая 1944 югославские партизаны-антифашисты захватили в Загребе большой арсенал с оружием (4962).</w:t>
      </w:r>
    </w:p>
    <w:p w14:paraId="4072D507"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063494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мая 1944 М.Ганди был освобожден из Тюрьмы (2247,3).</w:t>
      </w:r>
    </w:p>
    <w:p w14:paraId="4BFE290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794A1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мая 1944 был убит командующий японским флотом а Кога (2247,3).</w:t>
      </w:r>
    </w:p>
    <w:p w14:paraId="781C059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0F0C01"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6A4C6B5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0BEAE71" w14:textId="77777777" w:rsidR="00962976" w:rsidRPr="007224C3" w:rsidRDefault="00962976"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мая 1944 г. вышел ПРИКАЗ НАЧАЛЬНИКА ГБТУ КА О ПРОВЕДЕНИИ ОПЫТНОЙ РАБОТЫ ПО ОПРЕДЕЛЕНИЮ ПЛАВНОСТИ ХОДА И ПОВОРОТЛИВОСТИ ТАНКОВ №028</w:t>
      </w:r>
    </w:p>
    <w:p w14:paraId="7E36E39D" w14:textId="77777777" w:rsidR="00962976" w:rsidRPr="007224C3" w:rsidRDefault="00962976"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определения плавности хода и поворотливости танков: Т-34, КВ-1с, Т-70, СУ-76, МК-2, МК-4, М4-А2, М5-А1, Т-70 (США), Т-2, Т-3, Т-4, Т-5, Т-6, «Фердинанд», «Самуа», М2-А, «Фиат-Ан-сальдо», СПА ПРИКАЗЫВАЮ:</w:t>
      </w:r>
    </w:p>
    <w:p w14:paraId="1AC6F194" w14:textId="77777777" w:rsidR="00962976" w:rsidRPr="007224C3" w:rsidRDefault="00962976"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Работу провести под руководством генерал-майора инженерно-танковой службы т. Груздева, силами кафедры танков Военной академии БТ и МВ Красной Армии им. Сталина согласно плану.</w:t>
      </w:r>
    </w:p>
    <w:p w14:paraId="5D2E71D6" w14:textId="77777777" w:rsidR="00962976" w:rsidRPr="007224C3" w:rsidRDefault="00962976"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Генерал-майору инженерно-танковой службы т. Груздеву обеспечить проведение работы не</w:t>
      </w:r>
      <w:r w:rsidRPr="007224C3">
        <w:rPr>
          <w:rFonts w:ascii="Times New Roman" w:hAnsi="Times New Roman"/>
          <w:color w:val="000000" w:themeColor="text1"/>
          <w:sz w:val="16"/>
          <w:szCs w:val="16"/>
        </w:rPr>
        <w:softHyphen/>
        <w:t>обходимыми приборами и оборудованием.</w:t>
      </w:r>
    </w:p>
    <w:p w14:paraId="59D20BFD" w14:textId="77777777" w:rsidR="00962976" w:rsidRPr="007224C3" w:rsidRDefault="00962976"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Начальнику НИБТ полигона ГБТУ КА генерал-майору танковых войск т. Романову выделить необходимую материальную часть, обеспечив ее горюче-смазочными материалами и обслуживаю</w:t>
      </w:r>
      <w:r w:rsidRPr="007224C3">
        <w:rPr>
          <w:rFonts w:ascii="Times New Roman" w:hAnsi="Times New Roman"/>
          <w:color w:val="000000" w:themeColor="text1"/>
          <w:sz w:val="16"/>
          <w:szCs w:val="16"/>
        </w:rPr>
        <w:softHyphen/>
        <w:t>щим персоналом.</w:t>
      </w:r>
    </w:p>
    <w:p w14:paraId="6A22BC4E" w14:textId="77777777" w:rsidR="00962976" w:rsidRPr="007224C3" w:rsidRDefault="00962976"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Представителей академии, участвующих в работе, обеспечить необходимой жилплощадью и пи</w:t>
      </w:r>
      <w:r w:rsidRPr="007224C3">
        <w:rPr>
          <w:rFonts w:ascii="Times New Roman" w:hAnsi="Times New Roman"/>
          <w:color w:val="000000" w:themeColor="text1"/>
          <w:sz w:val="16"/>
          <w:szCs w:val="16"/>
        </w:rPr>
        <w:softHyphen/>
        <w:t>танием, для чего получить продовольственные пайки по количеству представителей от академии.</w:t>
      </w:r>
    </w:p>
    <w:p w14:paraId="519EDC8B" w14:textId="77777777" w:rsidR="00962976" w:rsidRPr="007224C3" w:rsidRDefault="00962976"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Генерал-майору инженерно-танковой службы т. Груздеву к работе приступить 10.05.1944 го</w:t>
      </w:r>
      <w:r w:rsidRPr="007224C3">
        <w:rPr>
          <w:rFonts w:ascii="Times New Roman" w:hAnsi="Times New Roman"/>
          <w:color w:val="000000" w:themeColor="text1"/>
          <w:sz w:val="16"/>
          <w:szCs w:val="16"/>
        </w:rPr>
        <w:softHyphen/>
        <w:t>да и закончить 10.07.1944 года.</w:t>
      </w:r>
    </w:p>
    <w:p w14:paraId="567FA307" w14:textId="77777777" w:rsidR="00962976" w:rsidRPr="007224C3" w:rsidRDefault="00962976"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Отчет о работе представить в ГБТУ КА 25.07.1944 г.</w:t>
      </w:r>
    </w:p>
    <w:p w14:paraId="799E17E9" w14:textId="77777777" w:rsidR="00962976" w:rsidRPr="007224C3" w:rsidRDefault="00962976"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Место проведения работ — НИБТ полигон ГБТУ КА.</w:t>
      </w:r>
    </w:p>
    <w:p w14:paraId="410833B7" w14:textId="77777777" w:rsidR="00962976" w:rsidRPr="007224C3" w:rsidRDefault="00962976"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ГБТУ КА генерал-лейтенант танковых войск Вершинин</w:t>
      </w:r>
    </w:p>
    <w:p w14:paraId="72B4C6DF" w14:textId="77777777" w:rsidR="00962976" w:rsidRPr="007224C3" w:rsidRDefault="00962976"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38. Оп. 11377. Д. 117. Л. 56. Подлинник (11420).</w:t>
      </w:r>
    </w:p>
    <w:p w14:paraId="1C3E5F96" w14:textId="77777777" w:rsidR="00962976" w:rsidRPr="007224C3" w:rsidRDefault="00962976" w:rsidP="007224C3">
      <w:pPr>
        <w:autoSpaceDE w:val="0"/>
        <w:autoSpaceDN w:val="0"/>
        <w:adjustRightInd w:val="0"/>
        <w:spacing w:after="0" w:line="240" w:lineRule="auto"/>
        <w:jc w:val="both"/>
        <w:rPr>
          <w:rFonts w:ascii="Times New Roman" w:hAnsi="Times New Roman"/>
          <w:color w:val="000000" w:themeColor="text1"/>
          <w:sz w:val="16"/>
          <w:szCs w:val="16"/>
        </w:rPr>
      </w:pPr>
    </w:p>
    <w:p w14:paraId="1FE5B9A9"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6/12 мая 1944 года вышел приказ № 248с/325с НКБ</w:t>
      </w:r>
    </w:p>
    <w:p w14:paraId="4B105CC3"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соответствии с постановлением ГОКО № 5588сс от 9 апреля 1944 года:</w:t>
      </w:r>
    </w:p>
    <w:p w14:paraId="4DC392E9"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Начальнику Гл. управления оборудования НКАП передать, а начальнику 7 Гл. управления НКБ принять бывший завод № 8 Оргавиапрома НКАП в Днепропетровске (6016, 29).</w:t>
      </w:r>
    </w:p>
    <w:p w14:paraId="62E7C7F7"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0EF27F8"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мая 1944 года вышел приказ № 229с НКБ</w:t>
      </w:r>
    </w:p>
    <w:p w14:paraId="21DD3BBF"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 исполнение постановления Правительства № 5774сс от 30 апреля 1944 года “о неотложных мерах по обеспечению восстановления заводов №№ 9 и 53 НКБ в г. Шостка (УССР)” (6017, 36).</w:t>
      </w:r>
    </w:p>
    <w:p w14:paraId="3F49E288"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0845493"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мая 1944 года вышел приказ № 231с НКБ</w:t>
      </w:r>
    </w:p>
    <w:p w14:paraId="3FAD44B9"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 исполнение распоряжения СНК за № 9619рс от 1 мая 1944 года:</w:t>
      </w:r>
    </w:p>
    <w:p w14:paraId="75324552"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Ликвидировать завод № 549, передав с 1 июня 1944 года программу по выпуску корпусов 45 мм фугасных снарядов на завод № 599 (6017, 84).</w:t>
      </w:r>
    </w:p>
    <w:p w14:paraId="249A4C02"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E62ADE3"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3AB5AA0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64933E5" w14:textId="77777777" w:rsidR="00417DE1" w:rsidRPr="007224C3" w:rsidRDefault="00417DE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мая в 1944 году оперативная сводка Совинформбюро:</w:t>
      </w:r>
    </w:p>
    <w:p w14:paraId="2158D879" w14:textId="77777777" w:rsidR="00417DE1" w:rsidRPr="007224C3" w:rsidRDefault="00417DE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6 мая на фронтах существенных изменений не произошло.</w:t>
      </w:r>
    </w:p>
    <w:p w14:paraId="68754C3B" w14:textId="77777777" w:rsidR="00417DE1" w:rsidRPr="007224C3" w:rsidRDefault="00417DE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5 мая в воздушных боях и огнём зенитной артиллерии сбито 62 самолёта противника.»</w:t>
      </w:r>
    </w:p>
    <w:p w14:paraId="76FA6F10" w14:textId="77777777" w:rsidR="00417DE1" w:rsidRPr="007224C3" w:rsidRDefault="00417DE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Удары авиации и кораблей Черноморского флота по судам противника:</w:t>
      </w:r>
    </w:p>
    <w:p w14:paraId="0083ADC8" w14:textId="77777777" w:rsidR="00417DE1" w:rsidRPr="007224C3" w:rsidRDefault="00417DE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«Днём 4 и в ночь на 5 мая наша авиация продолжала наносить удары по судам противника в Чёрном море. В результате действий авиации потоплены транспорт водоизмещением в 3.000 тонн и два сторожевых катера. Двум другим транспортам противника нанесены серьёзные повреждения.</w:t>
      </w:r>
    </w:p>
    <w:p w14:paraId="56AE7399" w14:textId="77777777" w:rsidR="00417DE1" w:rsidRPr="007224C3" w:rsidRDefault="00417DE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районе западнее Севастополя торпедными катерами Черноморского флота разгромлен конвой противника. Прямыми попаданиями торпед потоплены три транспорта общим водоизмещением до 7 тысяч тонн и две быстроходные десантные баржи.»</w:t>
      </w:r>
    </w:p>
    <w:p w14:paraId="7D959949" w14:textId="77777777" w:rsidR="00417DE1" w:rsidRPr="007224C3" w:rsidRDefault="00417DE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«Юго-восточнее города Станислав противник, пытаясь улучшить свои позиции, предпринял несколько атак. Части Н-ского соединения отбросили немцев на исходные рубежи. При отражении вражеских атак сожжено 3 самоходных орудия и убито более 200 гитлеровцев.</w:t>
      </w:r>
    </w:p>
    <w:p w14:paraId="6F266F9E" w14:textId="77777777" w:rsidR="00417DE1" w:rsidRPr="007224C3" w:rsidRDefault="00417DE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Наши лётчики произвели налёт на аэродром противника в районе Станислава. В результате бомбардировки уничтожено на земле 8 немецких самолётов. Кроме того, в воздушных боях над аэродромом сбито 4 самолёта противника.</w:t>
      </w:r>
    </w:p>
    <w:p w14:paraId="3094E208" w14:textId="77777777" w:rsidR="00417DE1" w:rsidRPr="007224C3" w:rsidRDefault="00417DE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Южнее города Тирасполь шесть разведчиков во главе с гвардии старшим лейтенантом т. Герасимовым ворвались в траншею противника и в рукопашном бою уничтожили 10 немцев. Вскоре гитлеровцы перешли в контратаку. Советские воины в течение двух часов вели бой с численно превосходящими силами противника. Разведчики удерживали траншею до тех пор, пока им на помощь не подошли наши подразделения.</w:t>
      </w:r>
    </w:p>
    <w:p w14:paraId="5AB01A75" w14:textId="77777777" w:rsidR="00417DE1" w:rsidRPr="007224C3" w:rsidRDefault="00417DE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мая наш самолёт-торпедоносец обнаружил в Финском заливе немецкий транспорт. Лётчик лейтенант т. Клевцов и штурман лейтенант т. Герахин торпедой потопили транспорт противника водоизмещением в 3 тысячи тонн.</w:t>
      </w:r>
    </w:p>
    <w:p w14:paraId="30F3D445" w14:textId="77777777" w:rsidR="00417DE1" w:rsidRPr="007224C3" w:rsidRDefault="00417DE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Литовские партизанские отряды «Освободитель» и «Борьба» пустили под откос пять немецких воинских эшелонов, следовавших к линии фронта. В результате крушений разбиты 4 паровоза и 28 вагонов и платформ. Партизаны отрядов «Мститель», «За победу», «Жальгирис» и имени Адама Мицкевича взорвали свыше 700 рельсов. Движение поездов на этом участке железной дороги прервано на несколько дней.</w:t>
      </w:r>
    </w:p>
    <w:p w14:paraId="152325C6" w14:textId="77777777" w:rsidR="00417DE1" w:rsidRPr="007224C3" w:rsidRDefault="00417DE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Захваченные в плен, а также перешедшие на сторону Красной Армии румынские солдаты и офицеры рассказывают, что отношения между румынами и немцами резко обострились. За последнее время на ряде участков произошли вооружённые стычки между немецкими и румынскими подразделениями. Пленный сублокотенент (соответствует чину лейтенанта) 6 полка 6 румынской кавалерийской дивизии Ион Джорджеску заявил: «У Германии в этой войне не было и нет союзников в обычном смысле слова. Немцы подмяли и поработили Румынию, Венгрию и другие страны. Многие румынские офицеры поняли, что румынская армия нужна немцам только как пушечное мясо. Судьба Румынии немцам глубоко безразлична. Они готовы превратить все города и сёла нашей страны в руины и пепел, лишь бы только отсрочить приближение военных действий к границам Германии. Поэтому немцы расстреливают румынских солдат и офицеров, когда те под натиском русских войск вынуждены отступать. Некоторые румынские офицеры открыто говорят, что мы только выиграем, если Красная Армия изгонит немцев из Румынии и тем самым перенесёт военные действия за пределы нашей страны».</w:t>
      </w:r>
    </w:p>
    <w:p w14:paraId="006CD415" w14:textId="77777777" w:rsidR="00417DE1" w:rsidRPr="007224C3" w:rsidRDefault="00417DE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Пленный старший сержант 6 егерского полка 14 румынской пехотной дивизии Ион Селеман рассказал: «Большая группа солдат и офицеров нашего полка решила сдаться в плен. При приближении русских мы все вместе с полковником Гросулеску подняли руки вверх. Немцы, находившиеся позади, открыли огонь и убили многих румынских солдат и офицеров».</w:t>
      </w:r>
    </w:p>
    <w:p w14:paraId="6A10D11D" w14:textId="77777777" w:rsidR="00417DE1" w:rsidRPr="007224C3" w:rsidRDefault="00417DE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Пленный солдат 2 роты 25 полка 15 румынской дивизии Костель Раймон заявил: «Румынские солдаты открыто ругают немцев и называют их виновниками войны. Во время переправы через Днестр у моста скопились остатки многих разбитых немецкихи румынских частей. Немцы хотели во что бы то ни стало первыми переправиться через реку. Они наезжали на румын, избивали их, топтали и давили. Командир 25 полка полковник Константинеску приказал одной роте занять позицию у моста и открыть стрельбу по немцам. Немцы также прибегли к оружию. Произошёл настоящий бой. Подошедшие танки помогли немцам одолеть нас. С обеих сторон было много жертв».</w:t>
      </w:r>
    </w:p>
    <w:p w14:paraId="22333B2D" w14:textId="77777777" w:rsidR="00417DE1" w:rsidRPr="007224C3" w:rsidRDefault="00417DE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Жители села Миньковцы, Каменец-Подольской области, составили акт о зверствах немецко-фашистских мерзавцев. В акте говорится: «Гитлеровские разбойники истребили в нашем селе более двух тысяч жителей. Массовые убийства советских людей происходили на Глубочанской горе, в двух километрах от села. Вещи и имущество расстрелянных немцы разграбили. Группу наших односельчан фашистские изверги угнали в Дунаевцы, бросили их в Демьянковскую фосфоритную шахту и живьём засыпали землей. Главными виновниками этих массовых убийств являются начальник немецкой жандармерии Шрамм, немецкие коменданты Симон, Брандт и Кран».</w:t>
      </w:r>
    </w:p>
    <w:p w14:paraId="2271F308" w14:textId="77777777" w:rsidR="00417DE1" w:rsidRPr="007224C3" w:rsidRDefault="00417DE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Акт подписали В.Пионтковский, П.Пидгурский, Е.Шинков, П.Дерешок и другие жители села.» (14883).</w:t>
      </w:r>
    </w:p>
    <w:p w14:paraId="088550E7" w14:textId="77777777" w:rsidR="00417DE1" w:rsidRPr="007224C3" w:rsidRDefault="00417DE1" w:rsidP="007224C3">
      <w:pPr>
        <w:spacing w:after="0" w:line="240" w:lineRule="auto"/>
        <w:jc w:val="both"/>
        <w:rPr>
          <w:rFonts w:ascii="Times New Roman" w:hAnsi="Times New Roman"/>
          <w:color w:val="000000" w:themeColor="text1"/>
          <w:sz w:val="16"/>
          <w:szCs w:val="16"/>
        </w:rPr>
      </w:pPr>
    </w:p>
    <w:p w14:paraId="7D7D5CF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мая 1944 2 и 3УФ перешли к обороне (340,165).</w:t>
      </w:r>
    </w:p>
    <w:p w14:paraId="4D6498F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4E2EB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мая 1944 в Полтаву из Ирана прибыл первый эшелон с постоянным американским составом авиабазы из 390 чел. До этого 5 судов доставили в Мурманск оборудование и в т.ч. 12393 т металлопокрытия для аэродромов (1261,34).</w:t>
      </w:r>
    </w:p>
    <w:p w14:paraId="7D626E7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353C46"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4956304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A88093D" w14:textId="77777777" w:rsidR="00417DE1" w:rsidRPr="007224C3" w:rsidRDefault="00417DE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6 мая в 1944 году совершил первый полет бомбардировщик-штурмовик </w:t>
      </w:r>
      <w:hyperlink r:id="rId117" w:tgtFrame="_blank" w:history="1">
        <w:r w:rsidRPr="007224C3">
          <w:rPr>
            <w:rFonts w:ascii="Times New Roman" w:hAnsi="Times New Roman"/>
            <w:color w:val="000000" w:themeColor="text1"/>
            <w:sz w:val="16"/>
            <w:szCs w:val="16"/>
          </w:rPr>
          <w:t>«Douglas» «ХА-42» «Mixmaster».</w:t>
        </w:r>
      </w:hyperlink>
    </w:p>
    <w:p w14:paraId="1FD72807" w14:textId="77777777" w:rsidR="00417DE1" w:rsidRPr="007224C3" w:rsidRDefault="00417DE1" w:rsidP="007224C3">
      <w:pPr>
        <w:spacing w:after="0" w:line="240" w:lineRule="auto"/>
        <w:jc w:val="both"/>
        <w:rPr>
          <w:rFonts w:ascii="Times New Roman" w:hAnsi="Times New Roman"/>
          <w:color w:val="000000" w:themeColor="text1"/>
          <w:sz w:val="16"/>
          <w:szCs w:val="16"/>
        </w:rPr>
      </w:pPr>
    </w:p>
    <w:p w14:paraId="1C27573B" w14:textId="77777777" w:rsidR="00417DE1" w:rsidRPr="007224C3" w:rsidRDefault="00417DE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6 мая в 1944 году первый полет совершил палубный истребитель </w:t>
      </w:r>
      <w:hyperlink r:id="rId118" w:tgtFrame="_blank" w:history="1">
        <w:r w:rsidRPr="007224C3">
          <w:rPr>
            <w:rFonts w:ascii="Times New Roman" w:hAnsi="Times New Roman"/>
            <w:color w:val="000000" w:themeColor="text1"/>
            <w:sz w:val="16"/>
            <w:szCs w:val="16"/>
          </w:rPr>
          <w:t xml:space="preserve">«Мицубиси» «А7М1» «Реппу» </w:t>
        </w:r>
      </w:hyperlink>
      <w:r w:rsidRPr="007224C3">
        <w:rPr>
          <w:rFonts w:ascii="Times New Roman" w:hAnsi="Times New Roman"/>
          <w:color w:val="000000" w:themeColor="text1"/>
          <w:sz w:val="16"/>
          <w:szCs w:val="16"/>
        </w:rPr>
        <w:t>под управлением Ейсаку Сибаяма (14883).</w:t>
      </w:r>
    </w:p>
    <w:p w14:paraId="2C4A3F3D" w14:textId="77777777" w:rsidR="00417DE1" w:rsidRPr="007224C3" w:rsidRDefault="00417DE1" w:rsidP="007224C3">
      <w:pPr>
        <w:spacing w:after="0" w:line="240" w:lineRule="auto"/>
        <w:jc w:val="both"/>
        <w:rPr>
          <w:rFonts w:ascii="Times New Roman" w:hAnsi="Times New Roman"/>
          <w:color w:val="000000" w:themeColor="text1"/>
          <w:sz w:val="16"/>
          <w:szCs w:val="16"/>
        </w:rPr>
      </w:pPr>
    </w:p>
    <w:p w14:paraId="3768C19B" w14:textId="77777777" w:rsidR="00417DE1" w:rsidRPr="007224C3" w:rsidRDefault="00417DE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6 мая в 1944 году в пятом вылете над районом Гослара ночной истребитель </w:t>
      </w:r>
      <w:hyperlink r:id="rId119" w:tgtFrame="_blank" w:history="1">
        <w:r w:rsidRPr="007224C3">
          <w:rPr>
            <w:rFonts w:ascii="Times New Roman" w:hAnsi="Times New Roman"/>
            <w:color w:val="000000" w:themeColor="text1"/>
            <w:sz w:val="16"/>
            <w:szCs w:val="16"/>
          </w:rPr>
          <w:t xml:space="preserve">«Ta-154V-8» </w:t>
        </w:r>
      </w:hyperlink>
      <w:r w:rsidRPr="007224C3">
        <w:rPr>
          <w:rFonts w:ascii="Times New Roman" w:hAnsi="Times New Roman"/>
          <w:color w:val="000000" w:themeColor="text1"/>
          <w:sz w:val="16"/>
          <w:szCs w:val="16"/>
        </w:rPr>
        <w:t>(сер.№0008, код TE+FL) был атакован американским двухмоторным истребителем «Р-38» "Лайтнинг". На "Фокке-Вульфе" сразу вспыхнул правый двигатель, а деревянная конструкция и бензин способствовали стремительному распространению огня. Пытаясь посадить горящий самолет, обер-фельдфебель Отто Литпольд не справился с управлением из-за поломки шасси и погиб, сгорев в обломках. В целом на конструкцию машины во многом оказал влияние деревянный английский «DH 98» «Mosquito», и не случайно рабочее название «Ta 154» в КБ было таким же – «Moskito». «Ta-154V-8» (сер.№0008, код TE+FL), получил непосредственно перед полетом долгожданные «Jumo213A». Новые "движки" развивали на взлетном режиме 1776 л.с. и вращали пропеллеры «VS111». По существу "восьмерка" стала летающей лабораторией для новой силовой установки, которая весила на 270 кг больше, чем «Jumo211», что и предопределило отсутствие оружия и РЛС. Как видим, жизнь этого прототипа оказалась короткой, самолет провел в воздухе всего три часа и одиннадцать минут (14883).</w:t>
      </w:r>
    </w:p>
    <w:p w14:paraId="48D824DC" w14:textId="77777777" w:rsidR="00417DE1" w:rsidRPr="007224C3" w:rsidRDefault="00417DE1" w:rsidP="007224C3">
      <w:pPr>
        <w:spacing w:after="0" w:line="240" w:lineRule="auto"/>
        <w:jc w:val="both"/>
        <w:rPr>
          <w:rFonts w:ascii="Times New Roman" w:hAnsi="Times New Roman"/>
          <w:color w:val="000000" w:themeColor="text1"/>
          <w:sz w:val="16"/>
          <w:szCs w:val="16"/>
        </w:rPr>
      </w:pPr>
    </w:p>
    <w:p w14:paraId="776FC7E6" w14:textId="77777777" w:rsidR="0059136E" w:rsidRPr="007224C3" w:rsidRDefault="0059136E"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6 мая 1944 первый полет Blohm &amp; Voss BV 40 (20373).</w:t>
      </w:r>
    </w:p>
    <w:p w14:paraId="1654B5DF" w14:textId="77777777" w:rsidR="0059136E" w:rsidRPr="007224C3" w:rsidRDefault="0059136E" w:rsidP="007224C3">
      <w:pPr>
        <w:spacing w:after="0" w:line="240" w:lineRule="auto"/>
        <w:jc w:val="both"/>
        <w:rPr>
          <w:rFonts w:ascii="Times New Roman" w:hAnsi="Times New Roman"/>
          <w:color w:val="0070C0"/>
          <w:sz w:val="16"/>
          <w:szCs w:val="16"/>
        </w:rPr>
      </w:pPr>
    </w:p>
    <w:p w14:paraId="52E32067" w14:textId="77777777" w:rsidR="0059136E" w:rsidRPr="007224C3" w:rsidRDefault="0059136E"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lastRenderedPageBreak/>
        <w:t>6 мая 1944 - Совершил первый полет опытный бомбардировщик-штурмовик Douglas ХА-42 Mixmaster (22511).</w:t>
      </w:r>
    </w:p>
    <w:p w14:paraId="6E5EF9E3" w14:textId="77777777" w:rsidR="0059136E" w:rsidRPr="007224C3" w:rsidRDefault="0059136E" w:rsidP="007224C3">
      <w:pPr>
        <w:spacing w:after="0" w:line="240" w:lineRule="auto"/>
        <w:jc w:val="both"/>
        <w:rPr>
          <w:rFonts w:ascii="Times New Roman" w:hAnsi="Times New Roman"/>
          <w:color w:val="0070C0"/>
          <w:sz w:val="16"/>
          <w:szCs w:val="16"/>
        </w:rPr>
      </w:pPr>
    </w:p>
    <w:p w14:paraId="4CA57DF0" w14:textId="77777777" w:rsidR="0059136E" w:rsidRPr="007224C3" w:rsidRDefault="0059136E"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6 мая 1944 года был облетан первый опытный ХВ-42. «Дуглас» решил воспользоваться большим интересом, который ВВС США проявляли к английскому скоростному дальнему бомбардировщику «Москито» (НиТ №7 2009 г.) и провел сравнительные испытания с модификацией B Mk.XVI этого самолета. Внимание военных акцентировали на превосходстве в вооружении и колоссальной перегоночной дальности: 8690 км, это было бы важно при развертывании машины на Тихоокеанском театре военных действий. С максимальной бомбовой нагрузкой 3600 кг, сброшенной на половине маршрута, при крейсерской скорости 500 км/ч самолет ХВ-42 мог пролететь 2895 км, что тоже было неплохо. Но вместе с тем были вскрыты и крупные недостатки. Усилия в каналах управления не соответствовали нормам и были негармоничны, что делало пилотирование некомфортным. Был затруднен прямой контакт пилотов в раздельных кабинах. Сильные вибрации винтов и перегрев силовой установки из-за «запирания» длинных изогнутых каналов, подающих воздух в радиаторы, делали всю силовую установку ненадежной. Реальные сектора обстрела крыльевых пулеметных установок оказались меньше предусмотренных в проекте и без того ограниченных зон, управлять ими 2-му пилоту было неудобно, особенно левой башней. Самолет на большой скорости имел тенденцию к непроизвольному рысканию, при открытии бомбоотсека курсовая устойчивость еще более ухудшалась.</w:t>
      </w:r>
    </w:p>
    <w:p w14:paraId="03DD3F6D" w14:textId="77777777" w:rsidR="0059136E" w:rsidRPr="007224C3" w:rsidRDefault="0059136E"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Последнее удалось устранить. На 2-м экземпляре ХВ-42, который был облетан 1 августа 1944 года, сделали общую кабину, при этом скорость не уменьшилась, хотя этого фирма опасалась. Этот самолет совершил беспосадочный перелет из Лонг Бич в Калифорнии в столицу Соединенных Штатов Вашингтон. На одном из участков трассы летчики попутно побили мировой рекорд скорости для самолетов этого класса, разогнавшись до 698 км/ч. Но 16 декабря в районе аэродрома Буллинг в округе Колумбия у самолета не вышло шасси. Топлива было мало, и командир экипажа прика - зал экипажу прыгать, считая посадку на фюзеляж на самолете с торчащим под фюзеляжем килем делом опасным. Машина была разбита, зато убедились, что из самолета с толкающим винтом можно выпрыгнуть и не попасть в «мясорубку» (22854).</w:t>
      </w:r>
    </w:p>
    <w:p w14:paraId="59D6E6E7" w14:textId="77777777" w:rsidR="0059136E" w:rsidRPr="007224C3" w:rsidRDefault="0059136E" w:rsidP="007224C3">
      <w:pPr>
        <w:spacing w:after="0" w:line="240" w:lineRule="auto"/>
        <w:jc w:val="both"/>
        <w:rPr>
          <w:rFonts w:ascii="Times New Roman" w:hAnsi="Times New Roman"/>
          <w:color w:val="0070C0"/>
          <w:sz w:val="16"/>
          <w:szCs w:val="16"/>
        </w:rPr>
      </w:pPr>
    </w:p>
    <w:p w14:paraId="24650F80" w14:textId="77777777" w:rsidR="0059136E" w:rsidRPr="007224C3" w:rsidRDefault="0059136E"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6 мая 1944 - Первый полет совершил палубный истребитель Мицубиси А7М1 "Реппу" под управлением Ейсаку Сибаяма (22511).</w:t>
      </w:r>
    </w:p>
    <w:p w14:paraId="54106456" w14:textId="77777777" w:rsidR="0059136E" w:rsidRPr="007224C3" w:rsidRDefault="0059136E" w:rsidP="007224C3">
      <w:pPr>
        <w:spacing w:after="0" w:line="240" w:lineRule="auto"/>
        <w:jc w:val="both"/>
        <w:rPr>
          <w:rFonts w:ascii="Times New Roman" w:hAnsi="Times New Roman"/>
          <w:color w:val="0070C0"/>
          <w:sz w:val="16"/>
          <w:szCs w:val="16"/>
        </w:rPr>
      </w:pPr>
    </w:p>
    <w:p w14:paraId="64B4AC24" w14:textId="77777777" w:rsidR="0059136E" w:rsidRPr="007224C3" w:rsidRDefault="0059136E"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6–7 мая (ночь) 1944 269 британских бомбардировщиков совершают налеты на железнодорожные объекты в Мант-ла-Жоли, Франция и склады боеприпасов в Сабле-сюр-Сарт и Обинье, Франция. Последние два рейда успешны, но в Мант-ла-Жоли больше всего бомб попадает в город и жилые районы, а не на железнодорожную станцию. Коммодор авиации Рональд Ивелу-Чепмен - второй пилот на борту единственного бомбардировщика, потерянного во время налета на Обинье; попадает в плен к немцам, которые никогда не осознают его старшинство и какие сведения они могли бы получить от него (20373).</w:t>
      </w:r>
    </w:p>
    <w:p w14:paraId="023CBE38" w14:textId="77777777" w:rsidR="0059136E" w:rsidRPr="007224C3" w:rsidRDefault="0059136E" w:rsidP="007224C3">
      <w:pPr>
        <w:spacing w:after="0" w:line="240" w:lineRule="auto"/>
        <w:jc w:val="both"/>
        <w:rPr>
          <w:rFonts w:ascii="Times New Roman" w:hAnsi="Times New Roman"/>
          <w:color w:val="0070C0"/>
          <w:sz w:val="16"/>
          <w:szCs w:val="16"/>
        </w:rPr>
      </w:pPr>
    </w:p>
    <w:p w14:paraId="270AE5B0"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мая 1944 англичанами выпущен из тюрьмы Махатма Ганди (4962).</w:t>
      </w:r>
    </w:p>
    <w:p w14:paraId="681A5BA4"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63A8016"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1D50C03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DEA808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мая 1944 эталон Ла-5 на 1944 г. был запущен в серийное производство под обозначением Ла-7, а с ноября 1944 г. Ла-7 полностью вытеснил Ла-5ФН, производство которых прекратилось (кстати, на последних сериях Ла-5ФН внедрены некоторые нововведения "эталона", в частности, на Ла-5ФН 39-й и 41-й серий металлические лонжероны крыла). Большинство серийных Ла-7 выпущено с двумя пушками ШВАК, а не с тремя УБ-20. Пушка УБ-20 представляла собой переделанный под калибр 20 мм пулемет УБ, и поначалу отличалась низкой надежностью; до конца войны изготовили только 368 трехпушечных Ла-7, их строили с марта 1945 г. на заводе № 381 (4707).</w:t>
      </w:r>
    </w:p>
    <w:p w14:paraId="68519BA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CC2823" w14:textId="77777777" w:rsidR="00417DE1" w:rsidRPr="007224C3" w:rsidRDefault="00417DE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мая 1944 г. на имя А.И. Шахурина его за</w:t>
      </w:r>
      <w:r w:rsidRPr="007224C3">
        <w:rPr>
          <w:rFonts w:ascii="Times New Roman" w:hAnsi="Times New Roman"/>
          <w:color w:val="000000" w:themeColor="text1"/>
          <w:sz w:val="16"/>
          <w:szCs w:val="16"/>
        </w:rPr>
        <w:softHyphen/>
        <w:t>меститель по опытному моторостроению В.П. Кузнецов направил Докладную записку по вопросу высотности моторов и самолётов, где всё выглядело с точностью до наобо</w:t>
      </w:r>
      <w:r w:rsidRPr="007224C3">
        <w:rPr>
          <w:rFonts w:ascii="Times New Roman" w:hAnsi="Times New Roman"/>
          <w:color w:val="000000" w:themeColor="text1"/>
          <w:sz w:val="16"/>
          <w:szCs w:val="16"/>
        </w:rPr>
        <w:softHyphen/>
        <w:t>рот и заканчивалось очень примечательной фразой (орфография и пунктуация сохра</w:t>
      </w:r>
      <w:r w:rsidRPr="007224C3">
        <w:rPr>
          <w:rFonts w:ascii="Times New Roman" w:hAnsi="Times New Roman"/>
          <w:color w:val="000000" w:themeColor="text1"/>
          <w:sz w:val="16"/>
          <w:szCs w:val="16"/>
        </w:rPr>
        <w:softHyphen/>
        <w:t>нены):</w:t>
      </w:r>
    </w:p>
    <w:p w14:paraId="3C2C867B" w14:textId="77777777" w:rsidR="00417DE1" w:rsidRPr="007224C3" w:rsidRDefault="00417DE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«Мы весьма обеспокоены тем обстоятельством, что 7-е Главное Управление и самолётчики-конструктора не достаточно серьёзно работают над проб</w:t>
      </w:r>
      <w:r w:rsidRPr="007224C3">
        <w:rPr>
          <w:rFonts w:ascii="Times New Roman" w:hAnsi="Times New Roman"/>
          <w:color w:val="000000" w:themeColor="text1"/>
          <w:sz w:val="16"/>
          <w:szCs w:val="16"/>
        </w:rPr>
        <w:softHyphen/>
        <w:t>лемой высотности самолётов, возлагая свои надежды, в этом отношении, только на мотор, что является крайним заблуждением. На основании вышеизложенного просим Ваших указаний 7-му Главному Управлению и самолётчикам-конструкторам об усиле</w:t>
      </w:r>
      <w:r w:rsidRPr="007224C3">
        <w:rPr>
          <w:rFonts w:ascii="Times New Roman" w:hAnsi="Times New Roman"/>
          <w:color w:val="000000" w:themeColor="text1"/>
          <w:sz w:val="16"/>
          <w:szCs w:val="16"/>
        </w:rPr>
        <w:softHyphen/>
        <w:t>нии работ по поднятию высотности истребителей до желаемых высот, в направлении улучшения самолётов, на базе существующих и уже зарекомендовавших себя в полё</w:t>
      </w:r>
      <w:r w:rsidRPr="007224C3">
        <w:rPr>
          <w:rFonts w:ascii="Times New Roman" w:hAnsi="Times New Roman"/>
          <w:color w:val="000000" w:themeColor="text1"/>
          <w:sz w:val="16"/>
          <w:szCs w:val="16"/>
        </w:rPr>
        <w:softHyphen/>
        <w:t>те высотных моторов». Аргументов в свою защиту у мотористов было более чем дос</w:t>
      </w:r>
      <w:r w:rsidRPr="007224C3">
        <w:rPr>
          <w:rFonts w:ascii="Times New Roman" w:hAnsi="Times New Roman"/>
          <w:color w:val="000000" w:themeColor="text1"/>
          <w:sz w:val="16"/>
          <w:szCs w:val="16"/>
        </w:rPr>
        <w:softHyphen/>
        <w:t>таточно, хотя в своей основе они повторяли то, что уже говорили прежде:</w:t>
      </w:r>
    </w:p>
    <w:p w14:paraId="132FE644" w14:textId="77777777" w:rsidR="00417DE1" w:rsidRPr="007224C3" w:rsidRDefault="00417DE1" w:rsidP="007224C3">
      <w:pPr>
        <w:spacing w:after="0" w:line="240" w:lineRule="auto"/>
        <w:jc w:val="both"/>
        <w:rPr>
          <w:rStyle w:val="59"/>
          <w:rFonts w:ascii="Times New Roman" w:hAnsi="Times New Roman" w:cs="Times New Roman"/>
          <w:color w:val="000000" w:themeColor="text1"/>
          <w:sz w:val="16"/>
          <w:szCs w:val="16"/>
        </w:rPr>
      </w:pPr>
      <w:r w:rsidRPr="007224C3">
        <w:rPr>
          <w:rStyle w:val="59"/>
          <w:rFonts w:ascii="Times New Roman" w:hAnsi="Times New Roman" w:cs="Times New Roman"/>
          <w:color w:val="000000" w:themeColor="text1"/>
          <w:sz w:val="16"/>
          <w:szCs w:val="16"/>
        </w:rPr>
        <w:t>«1. По самолету Як-9 с мотором М-105ПД.</w:t>
      </w:r>
    </w:p>
    <w:p w14:paraId="2FA1806B" w14:textId="77777777" w:rsidR="00417DE1" w:rsidRPr="007224C3" w:rsidRDefault="00417DE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завод № 115 были поданы два мотора М-105ПД с высотностью в 9500 мт с водо-воздушными радиаторами, которые заводом № 115, из-за отсутствия самолётов, не были использованы и возвращены в ЦИАМ в апреле 1944 года.</w:t>
      </w:r>
    </w:p>
    <w:p w14:paraId="61C847CF" w14:textId="77777777" w:rsidR="00417DE1" w:rsidRPr="007224C3" w:rsidRDefault="00417DE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Кроме этого, для предварительной лётной отработки заводу № 115 был подан мотор М-105ПД с высотностью в 9500 мт без водо-воздушных радиаторов, который на само</w:t>
      </w:r>
      <w:r w:rsidRPr="007224C3">
        <w:rPr>
          <w:rFonts w:ascii="Times New Roman" w:hAnsi="Times New Roman"/>
          <w:color w:val="000000" w:themeColor="text1"/>
          <w:sz w:val="16"/>
          <w:szCs w:val="16"/>
        </w:rPr>
        <w:softHyphen/>
        <w:t>лёте Як-9 № 29 проходил лётные испытания в ЛИИ НКАП.</w:t>
      </w:r>
    </w:p>
    <w:p w14:paraId="5B77C037" w14:textId="77777777" w:rsidR="00417DE1" w:rsidRPr="007224C3" w:rsidRDefault="00417DE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Согласно отчёту ЛИИ НКАП &lt;N9 647 от Х.43 г.), самолёт с этим мотором достиг высо</w:t>
      </w:r>
      <w:r w:rsidRPr="007224C3">
        <w:rPr>
          <w:rFonts w:ascii="Times New Roman" w:hAnsi="Times New Roman"/>
          <w:color w:val="000000" w:themeColor="text1"/>
          <w:sz w:val="16"/>
          <w:szCs w:val="16"/>
        </w:rPr>
        <w:softHyphen/>
        <w:t>ты 13000 мт. Никаких дефектов по мотору М-105ПД отмечено не было, помимо реко</w:t>
      </w:r>
      <w:r w:rsidRPr="007224C3">
        <w:rPr>
          <w:rFonts w:ascii="Times New Roman" w:hAnsi="Times New Roman"/>
          <w:color w:val="000000" w:themeColor="text1"/>
          <w:sz w:val="16"/>
          <w:szCs w:val="16"/>
        </w:rPr>
        <w:softHyphen/>
        <w:t>мендаций по проверке впрыска воды для охлаждения воздуха на всасывании, что и было проведено ЦИАМ'ом в январе 1944 года.</w:t>
      </w:r>
    </w:p>
    <w:p w14:paraId="1C15ED07" w14:textId="77777777" w:rsidR="00417DE1" w:rsidRPr="007224C3" w:rsidRDefault="00417DE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сравнении с иностранными высотными моторами подобного класса: «Мерлин» 61, 63, 73, 76 и др., имеющими высотность не выше 7800 мт и «Аллисон Е-11», имеющего высотность 6850 мт — мотор М-105ПД имеет преимущество по достигнутой высоте.</w:t>
      </w:r>
    </w:p>
    <w:p w14:paraId="1032E05D" w14:textId="77777777" w:rsidR="00417DE1" w:rsidRPr="007224C3" w:rsidRDefault="00417DE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Однако, несмотря на это, Як-9 с мотором М-105ПД значительно уступает высотному истребителю «Спитфайр» с мотором Мерлин-61, имеющему высотность 15000 мт.</w:t>
      </w:r>
    </w:p>
    <w:p w14:paraId="0AD619D1" w14:textId="77777777" w:rsidR="00417DE1" w:rsidRPr="007224C3" w:rsidRDefault="00417DE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нашему мнению, дальнейшее увеличение высотности Як-9 не может быть полу</w:t>
      </w:r>
      <w:r w:rsidRPr="007224C3">
        <w:rPr>
          <w:rFonts w:ascii="Times New Roman" w:hAnsi="Times New Roman"/>
          <w:color w:val="000000" w:themeColor="text1"/>
          <w:sz w:val="16"/>
          <w:szCs w:val="16"/>
        </w:rPr>
        <w:softHyphen/>
        <w:t>чено только за счёт мотора, вследствие больших удельных нагрузок на квадратный метр несущей поверхности крыльев (160 кг/м</w:t>
      </w:r>
      <w:r w:rsidRPr="007224C3">
        <w:rPr>
          <w:rFonts w:ascii="Times New Roman" w:hAnsi="Times New Roman"/>
          <w:color w:val="000000" w:themeColor="text1"/>
          <w:sz w:val="16"/>
          <w:szCs w:val="16"/>
          <w:vertAlign w:val="superscript"/>
        </w:rPr>
        <w:t>2</w:t>
      </w:r>
      <w:r w:rsidRPr="007224C3">
        <w:rPr>
          <w:rFonts w:ascii="Times New Roman" w:hAnsi="Times New Roman"/>
          <w:color w:val="000000" w:themeColor="text1"/>
          <w:sz w:val="16"/>
          <w:szCs w:val="16"/>
        </w:rPr>
        <w:t>), [в то время] как на истребителе «Спитфайр» эта нагрузка не превышает 132 кг/м</w:t>
      </w:r>
      <w:r w:rsidRPr="007224C3">
        <w:rPr>
          <w:rFonts w:ascii="Times New Roman" w:hAnsi="Times New Roman"/>
          <w:color w:val="000000" w:themeColor="text1"/>
          <w:sz w:val="16"/>
          <w:szCs w:val="16"/>
          <w:vertAlign w:val="superscript"/>
        </w:rPr>
        <w:t>2</w:t>
      </w:r>
      <w:r w:rsidRPr="007224C3">
        <w:rPr>
          <w:rFonts w:ascii="Times New Roman" w:hAnsi="Times New Roman"/>
          <w:color w:val="000000" w:themeColor="text1"/>
          <w:sz w:val="16"/>
          <w:szCs w:val="16"/>
        </w:rPr>
        <w:t>, и отсутствием специального высотного винта.</w:t>
      </w:r>
    </w:p>
    <w:p w14:paraId="52A92C15" w14:textId="77777777" w:rsidR="00417DE1" w:rsidRPr="007224C3" w:rsidRDefault="00417DE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Этим и объясняется то обстоятельство, что несмотря на увеличение высотности мо</w:t>
      </w:r>
      <w:r w:rsidRPr="007224C3">
        <w:rPr>
          <w:rFonts w:ascii="Times New Roman" w:hAnsi="Times New Roman"/>
          <w:color w:val="000000" w:themeColor="text1"/>
          <w:sz w:val="16"/>
          <w:szCs w:val="16"/>
        </w:rPr>
        <w:softHyphen/>
        <w:t>тора М-105ПД с 6100 м. до 9500 м. — на 3400 м., высотность самолёта Як-9 подня</w:t>
      </w:r>
      <w:r w:rsidRPr="007224C3">
        <w:rPr>
          <w:rFonts w:ascii="Times New Roman" w:hAnsi="Times New Roman"/>
          <w:color w:val="000000" w:themeColor="text1"/>
          <w:sz w:val="16"/>
          <w:szCs w:val="16"/>
        </w:rPr>
        <w:softHyphen/>
        <w:t>лась с 11800 м. до 13000 м., т.е. всего на 1200 м.</w:t>
      </w:r>
    </w:p>
    <w:p w14:paraId="3F0D1492" w14:textId="77777777" w:rsidR="00417DE1" w:rsidRPr="007224C3" w:rsidRDefault="00417DE1" w:rsidP="007224C3">
      <w:pPr>
        <w:tabs>
          <w:tab w:val="left" w:pos="440"/>
        </w:tabs>
        <w:spacing w:after="0" w:line="240" w:lineRule="auto"/>
        <w:jc w:val="both"/>
        <w:rPr>
          <w:rFonts w:ascii="Times New Roman" w:hAnsi="Times New Roman"/>
          <w:color w:val="000000" w:themeColor="text1"/>
          <w:sz w:val="16"/>
          <w:szCs w:val="16"/>
        </w:rPr>
      </w:pPr>
      <w:r w:rsidRPr="007224C3">
        <w:rPr>
          <w:rStyle w:val="66"/>
          <w:rFonts w:ascii="Times New Roman" w:hAnsi="Times New Roman" w:cs="Times New Roman"/>
          <w:color w:val="000000" w:themeColor="text1"/>
          <w:sz w:val="16"/>
          <w:szCs w:val="16"/>
        </w:rPr>
        <w:t>2. По самолёту Ла-5 с моторами АШ-82ФН с ТК-3</w:t>
      </w:r>
    </w:p>
    <w:p w14:paraId="73DAF0F0" w14:textId="77777777" w:rsidR="00417DE1" w:rsidRPr="007224C3" w:rsidRDefault="00417DE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 стороны завода № 21 никаких претензий по ТК и системе ТК к 8 Главку и ЦИАМ предъявлено не было. Незначительное увеличение высотности Ла-5, по нашему мне</w:t>
      </w:r>
      <w:r w:rsidRPr="007224C3">
        <w:rPr>
          <w:rFonts w:ascii="Times New Roman" w:hAnsi="Times New Roman"/>
          <w:color w:val="000000" w:themeColor="text1"/>
          <w:sz w:val="16"/>
          <w:szCs w:val="16"/>
        </w:rPr>
        <w:softHyphen/>
        <w:t>нию, объясняется теми же причинами, что и для Як-9 — чрезмерной нагрузкой на кры</w:t>
      </w:r>
      <w:r w:rsidRPr="007224C3">
        <w:rPr>
          <w:rFonts w:ascii="Times New Roman" w:hAnsi="Times New Roman"/>
          <w:color w:val="000000" w:themeColor="text1"/>
          <w:sz w:val="16"/>
          <w:szCs w:val="16"/>
        </w:rPr>
        <w:softHyphen/>
        <w:t>ло (186 кг/м</w:t>
      </w:r>
      <w:r w:rsidRPr="007224C3">
        <w:rPr>
          <w:rFonts w:ascii="Times New Roman" w:hAnsi="Times New Roman"/>
          <w:color w:val="000000" w:themeColor="text1"/>
          <w:sz w:val="16"/>
          <w:szCs w:val="16"/>
          <w:vertAlign w:val="superscript"/>
        </w:rPr>
        <w:t>2</w:t>
      </w:r>
      <w:r w:rsidRPr="007224C3">
        <w:rPr>
          <w:rFonts w:ascii="Times New Roman" w:hAnsi="Times New Roman"/>
          <w:color w:val="000000" w:themeColor="text1"/>
          <w:sz w:val="16"/>
          <w:szCs w:val="16"/>
        </w:rPr>
        <w:t>) и отсутствием высотного винта...</w:t>
      </w:r>
    </w:p>
    <w:p w14:paraId="315A2777" w14:textId="77777777" w:rsidR="00417DE1" w:rsidRPr="007224C3" w:rsidRDefault="00417DE1" w:rsidP="007224C3">
      <w:pPr>
        <w:tabs>
          <w:tab w:val="left" w:pos="445"/>
        </w:tabs>
        <w:spacing w:after="0" w:line="240" w:lineRule="auto"/>
        <w:jc w:val="both"/>
        <w:rPr>
          <w:rFonts w:ascii="Times New Roman" w:hAnsi="Times New Roman"/>
          <w:color w:val="000000" w:themeColor="text1"/>
          <w:sz w:val="16"/>
          <w:szCs w:val="16"/>
        </w:rPr>
      </w:pPr>
      <w:r w:rsidRPr="007224C3">
        <w:rPr>
          <w:rStyle w:val="66"/>
          <w:rFonts w:ascii="Times New Roman" w:hAnsi="Times New Roman" w:cs="Times New Roman"/>
          <w:color w:val="000000" w:themeColor="text1"/>
          <w:sz w:val="16"/>
          <w:szCs w:val="16"/>
        </w:rPr>
        <w:t>3. По самолёту Миг с мотором АМ-39 с 2 ТК-Б.</w:t>
      </w:r>
    </w:p>
    <w:p w14:paraId="6AA8D8DE" w14:textId="77777777" w:rsidR="00417DE1" w:rsidRPr="007224C3" w:rsidRDefault="00417DE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лётных испытаниях самолёт Миг с этим мотором потерпел аварию».</w:t>
      </w:r>
    </w:p>
    <w:p w14:paraId="6A94B847" w14:textId="77777777" w:rsidR="00417DE1" w:rsidRPr="007224C3" w:rsidRDefault="00417DE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Докладную записку по честности и объективности можно считать «достойным» отве</w:t>
      </w:r>
      <w:r w:rsidRPr="007224C3">
        <w:rPr>
          <w:rFonts w:ascii="Times New Roman" w:hAnsi="Times New Roman"/>
          <w:color w:val="000000" w:themeColor="text1"/>
          <w:sz w:val="16"/>
          <w:szCs w:val="16"/>
        </w:rPr>
        <w:softHyphen/>
        <w:t>том конструкторов-мотористов, 8-го Главка и ЦИАМ на выпад А.С. Яковлева. Читая её, кажется, что наши высотные моторы, включая М-105ПД, у которого никаких дефе</w:t>
      </w:r>
      <w:r w:rsidRPr="007224C3">
        <w:rPr>
          <w:rFonts w:ascii="Times New Roman" w:hAnsi="Times New Roman"/>
          <w:color w:val="000000" w:themeColor="text1"/>
          <w:sz w:val="16"/>
          <w:szCs w:val="16"/>
        </w:rPr>
        <w:softHyphen/>
        <w:t>ктов «отмечено не было», просто замечательные. О недостатках М-105ПД уже много говорилось выше, тем более что 13000 м Як-9 достиг с мотором М-106ПВ, а не с М-105ПД. Иностранные моторы хоть и имели меньшую высотность, но оборудованные ими самолёты в 1944 г. уже выпускались серийно (15830).</w:t>
      </w:r>
    </w:p>
    <w:p w14:paraId="666E70C1" w14:textId="77777777" w:rsidR="00417DE1" w:rsidRPr="007224C3" w:rsidRDefault="00417DE1" w:rsidP="007224C3">
      <w:pPr>
        <w:spacing w:after="0" w:line="240" w:lineRule="auto"/>
        <w:jc w:val="both"/>
        <w:rPr>
          <w:rFonts w:ascii="Times New Roman" w:hAnsi="Times New Roman"/>
          <w:color w:val="000000" w:themeColor="text1"/>
          <w:sz w:val="16"/>
          <w:szCs w:val="16"/>
        </w:rPr>
      </w:pPr>
    </w:p>
    <w:p w14:paraId="35E88AB5"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351E1F7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FAAE12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мая 1944 г. все три полка (12-й и 132-й 454-й) свели в 132-ю бомбардировочную авиадивизию (бад), командиром которой стал полковник И.П. Скок и соединение достигло стадии боеготовности. В том же месяце дивизию перебросили на Ленинградский фронт, где готовился прорыв укрепленной "линии Маннергейма". Так, 12-й бап, имевший 30 машин, расположился на аэродроме Углово. К началу июня в дивизии насчитывалось 87 Ту-2, в том числе 74 исправных. Соединение вошло в состав 13-й воздушной армии. Первоначально факт наличия в составе советских ВВС целого соединения новых бомбардировщиков хотели сохранить в тайне до начала наступления в Белоруссии, но перевесила необходимость разрушения мощных оборонительных сооружений на финской границе. Только Ту-2 могли летать днем с бомбами ФАБ-1000. Кроме того, его большая дальность облегчала обеспечение операции: машины могли наносить удары с аэродромов в районе Ленинграда. При этом, правда, Сталин приказал военным беречь дивизию "как зеницу ока".</w:t>
      </w:r>
    </w:p>
    <w:p w14:paraId="398CF18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Действия авиации в Карелии начались с 8 июня 1944 г. Самолеты нанесли удары по железнодорожным узлам, мостам, штабам и скоплениям войск противника. Летали группами по семь-девять машин. Прикрытие истребителями осуществлялось только у передовой. На маршруте защиту должны были обеспечить скорость и мощное оборонительное вооружение. Затем Ту-2 также начали работать по оборонительным сооружениям, включая бетонные форты. Летчик 12-го бап И.И. Ширкин вспоминал: "Бомбили скопления войск противника, танковые группировки, железнодорожные узлы, совершая в день по два, а то и по три вылета". Против укреплений использовали фугасные бомбы крупного калибра, а также специальные бетонобойные бомбы серии ДС с ракетными ускорителями, поступившие на вооружение перед самой войной. Их из-за большой длины (более 2 м) размещали на наружной подвеске; при этом еще четыре ФАБ-250 грузили в бомбоотсек. Такие боеприпасы, в частности, применяли в районе Лодейного Поля.</w:t>
      </w:r>
    </w:p>
    <w:p w14:paraId="6F1AD01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Командующий ВВС маршал Новиков докладывал Сталину о первых днях боев: "334 БАД потерь не имела, летала днем и работала отлично". Ту-2 действовали днем, крупными группами. Так, в налете на железнодорожный узел в Выборге 15 июня участвовали 23 самолета, 17 июня - 59. Кроме бомбардировки сил противника, Ту-2 использовали и как разведчики. Советские ВВС достигли превосходства в воздухе, поэтому потери в этой операции были небольшими. Например, 12-й бап лишился всего одного самолета - командира 2-й эскадрильи А.А. Шумейко.</w:t>
      </w:r>
    </w:p>
    <w:p w14:paraId="72AEBCF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Наступление было успешным. 21 июня советские войска взяли Выборг.</w:t>
      </w:r>
    </w:p>
    <w:p w14:paraId="3494B7E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Пребывание 334-й дивизии на Ленинградском фронте было кратковременным. В конце июня соединение перебросили на 3-й Белорусский фронт, в 4-ю воздушную армию, где оно приняло участие в операции "Багратион" по освобождению Белоруссии. Ту-2 использовались с большой интенсивностью, совершая до двух вылетов день. Они наносили удары по войскам на передовой и в ближнем тылу противника, по железнодорожным узлам и складам. Летая "на коротком плече", командир 12-го бап М.П. Васякин довел бомбовую нагрузку своего самолета до предела - 3000 кг. Он же применил групповой взлет - Ту-2 стартовали с аэродрома Улла звеньями, сокращая время на сбор группы в воздухе.</w:t>
      </w:r>
    </w:p>
    <w:p w14:paraId="4861221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июле 334-я дивизия опять сменила место. По приказу командования она перешла в подчинение 3-й воздушной армии на 1-м Прибалтийском фронте. Ту-2 летали на бомбежку немецких войск в районах Митавы, Шяуляя, Тильзита, атаковали порты в Либаве и Клайпеде, вели воздушную разведку.</w:t>
      </w:r>
    </w:p>
    <w:p w14:paraId="5164C2A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Ту-2 применяли против наиболее важных узлов сопротивления немцев. Бомбили их днем, с горизонтального полета, действуя крупными группами до полка, а несколько вылетов совершили полным составом дивизии (около 100 самолетов). Летали с плотным прикрытием истребителями Як-9 и Р-39. Наиболее удаленные цели располагались в 300 - 500 км от аэродромов базирования, средняя бомбовая нагрузка составляла 1350 кг.</w:t>
      </w:r>
    </w:p>
    <w:p w14:paraId="218BC69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участие в прорыве обороны противника на р. Западная Двина юго-восточнее Риги 132-й полк был удостоен ордена Кутузова 3-й степени. Но сопротивление немцев было упорным; дивизия понесла потери и от истребителей, и от зенитной артиллерии. За три месяца боев в Прибалтике только истребители сбили 10 и повредили еще 16 бомбардировщиков.</w:t>
      </w:r>
    </w:p>
    <w:p w14:paraId="0A4EBE3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июля в районе Тукумса в Латвии был сбит и погиб Васякин, который вел свой полк на бомбежку позиций немцев. Как правило, истребители противника атаковали ведомых, пользуясь фактором неожиданности. Еще семь Ту-2 уничтожили немецкие зенитчики.</w:t>
      </w:r>
    </w:p>
    <w:p w14:paraId="09E312C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Сменивший Васякина майор И.С. Полевой погиб 20 августа. Он повел 27 самолетов бомбить железнодорожный узел. Бомбардировщики столкнулись с сильным огнем зенитной артиллерии. Ту-2 Полевого был подбит, сам пилот - ранен. Но экипаж сбросил бомбы на цель. На обратном пути бомбардировщик совершил вынужденную посадку на лес. Стрелок вытащил командира из кабины, но тот вскоре скончался.</w:t>
      </w:r>
    </w:p>
    <w:p w14:paraId="67541FE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Дивизия воевала в Прибалтике до конца 1944 г. В целом Ту-2 показал себя очень неплохо. Командир 132-го бап подполковник Бугай писал в своем рапорте: "Летный состав полка высоко ценит самолет Ту-2 и успешно ведет работу на этой новой материальной части". В среднем, на один утраченный бомбардировщик приходилось 465 самолето-вылетов. За 1944 г. советские ВВС лишились 77 самолетов этого типа; при этом около 60% машин - непосредственно боевые потери. Доля техники, потерянной в авариях и катастрофах, оказалась меньше, чем у всех других типов фронтовых бомбардировщиков (11988).</w:t>
      </w:r>
    </w:p>
    <w:p w14:paraId="2157CE6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0974E0B"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0799CE0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28251D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мая 1944 состоялся первый полет И-222 МиГ (А3) (4,251) или Миг с АМ-39Б и 2ТК-2Б (2592,223), выпущенного 23 апреля 1944 (с АМ-39Б-1). Летал А.И.Жуков. Не понадобился, так как немецкие разведчики прекратили полеты (1084,46).</w:t>
      </w:r>
    </w:p>
    <w:p w14:paraId="4C8B6B4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9F03B2" w14:textId="77777777" w:rsidR="00417DE1" w:rsidRPr="007224C3" w:rsidRDefault="00417DE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7 мая в 1944 году состоялся первый полет опытного cтратосферного истребителя-перехватчика </w:t>
      </w:r>
      <w:hyperlink r:id="rId120" w:tgtFrame="_blank" w:history="1">
        <w:r w:rsidRPr="007224C3">
          <w:rPr>
            <w:rFonts w:ascii="Times New Roman" w:hAnsi="Times New Roman"/>
            <w:color w:val="000000" w:themeColor="text1"/>
            <w:sz w:val="16"/>
            <w:szCs w:val="16"/>
          </w:rPr>
          <w:t xml:space="preserve">«И-222» («3А») </w:t>
        </w:r>
      </w:hyperlink>
      <w:r w:rsidRPr="007224C3">
        <w:rPr>
          <w:rFonts w:ascii="Times New Roman" w:hAnsi="Times New Roman"/>
          <w:color w:val="000000" w:themeColor="text1"/>
          <w:sz w:val="16"/>
          <w:szCs w:val="16"/>
        </w:rPr>
        <w:t>ОКБ МиГ, пилот А.И.Жуков (14884).</w:t>
      </w:r>
    </w:p>
    <w:p w14:paraId="3E5D7E09" w14:textId="77777777" w:rsidR="00417DE1" w:rsidRPr="007224C3" w:rsidRDefault="00417DE1" w:rsidP="007224C3">
      <w:pPr>
        <w:spacing w:after="0" w:line="240" w:lineRule="auto"/>
        <w:jc w:val="both"/>
        <w:rPr>
          <w:rFonts w:ascii="Times New Roman" w:hAnsi="Times New Roman"/>
          <w:color w:val="000000" w:themeColor="text1"/>
          <w:sz w:val="16"/>
          <w:szCs w:val="16"/>
        </w:rPr>
      </w:pPr>
    </w:p>
    <w:p w14:paraId="23B8E5D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7 мая 1944 начались испытания высотного истребителя МИГ с мотором АМ-39Б и 2ТК-2Б. Испытания проводил летчик-испытатель ЛИИ Якимов А.П. (1825).</w:t>
      </w:r>
    </w:p>
    <w:p w14:paraId="0756BA1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2D81F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мая 1944 на И-222 выполнили первый вылет. Первоначально на И-222 стоял трехлопастный винт серии АВ-5Л, который в дальнейшем заменили на четырехлопастный АВ-9Л-230. Для проведения заводских испытаний самолета в соответствии с приказом НКАП №372 от 1 июня 1944 г. были утверждены ведущий инженер К.П.Ковалевский и летчик-испытатель А.П.Якимов (5852,38).</w:t>
      </w:r>
    </w:p>
    <w:p w14:paraId="5DDF750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99BCB9"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мая 1944 г. состоялся первый полет опытного стратосферного перехватчика И-222 ОКБ МиГ (6395).</w:t>
      </w:r>
    </w:p>
    <w:p w14:paraId="04E9F8FA"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F01344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7 мая 1944 г. И-222 в первый раз поднялся в небо. Заводские испытания проводили ведущий инженер К.П. Ковалевский и летчик-испытатель А.П. Якимов. В период с 26 июля по 9 августа 1944 г. машину продули в аэродинамической трубе ЦАГИ. После этого произвели доработку самолета: установили новые предкрылки и увеличенный воздухо-воздушный радиатор, борта фюзеляжа обшили металлическими листами (защита от факела пламени, истекающего из турбокомпрессоров). </w:t>
      </w:r>
    </w:p>
    <w:p w14:paraId="0C3FA77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ходе заводских летных испытаний было выполнено 39 полетов. Однако заданных тактико-технических характеристик получить не удалось, в основном из-за неустойчивой работы винтомоторной группы. Гермокабина самолета не доводилась. 19 октября 1944 г. истребитель И-222 передали в ЛИИ для продолжения испытаний. Там он совершил всего три полета. В отчете опытного авиамоторного завода № 300 отмечалось, что одной из основных причин выхода из строя двигателей АМ-39 на машинах ОКБ Микояна являлись неустраненные дефекты маслосистем самолетов (12045).</w:t>
      </w:r>
    </w:p>
    <w:p w14:paraId="01085CF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8E4512B" w14:textId="77777777" w:rsidR="00417DE1" w:rsidRPr="007224C3" w:rsidRDefault="00417DE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7 мая в 1944 году, завершились летные государственные испытания пушки конструкции А.Нудельмана и А.Суранова </w:t>
      </w:r>
      <w:hyperlink r:id="rId121" w:tgtFrame="_blank" w:history="1">
        <w:r w:rsidRPr="007224C3">
          <w:rPr>
            <w:rFonts w:ascii="Times New Roman" w:hAnsi="Times New Roman"/>
            <w:color w:val="000000" w:themeColor="text1"/>
            <w:sz w:val="16"/>
            <w:szCs w:val="16"/>
          </w:rPr>
          <w:t xml:space="preserve">«НС-23» </w:t>
        </w:r>
      </w:hyperlink>
      <w:r w:rsidRPr="007224C3">
        <w:rPr>
          <w:rFonts w:ascii="Times New Roman" w:hAnsi="Times New Roman"/>
          <w:color w:val="000000" w:themeColor="text1"/>
          <w:sz w:val="16"/>
          <w:szCs w:val="16"/>
        </w:rPr>
        <w:t>калибра 23 мм на истребителе «Як-9» (14884).</w:t>
      </w:r>
    </w:p>
    <w:p w14:paraId="2A0AB0BF" w14:textId="77777777" w:rsidR="00417DE1" w:rsidRPr="007224C3" w:rsidRDefault="00417DE1" w:rsidP="007224C3">
      <w:pPr>
        <w:spacing w:after="0" w:line="240" w:lineRule="auto"/>
        <w:jc w:val="both"/>
        <w:rPr>
          <w:rFonts w:ascii="Times New Roman" w:hAnsi="Times New Roman"/>
          <w:color w:val="000000" w:themeColor="text1"/>
          <w:sz w:val="16"/>
          <w:szCs w:val="16"/>
        </w:rPr>
      </w:pPr>
    </w:p>
    <w:p w14:paraId="772B5152"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53DBB0F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E220A5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мая 1944 ГКО свои постановлением принял на вооружение 100-мм полевую пушку БС-3 (1073,76).</w:t>
      </w:r>
    </w:p>
    <w:p w14:paraId="6AF488E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35983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мая 1944 вышло Постановление ГКО № 5822 Об организации производства 100 мм полевой пушки образца 1944 года и мероприятиях по восстановлению завода № 232 НКВ ("Большевик" г. Ленинград). РГАНИР, Фонд ГКО, д. 250, лл. 101-112,113-130 (11012).</w:t>
      </w:r>
    </w:p>
    <w:p w14:paraId="1D1DE8D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F79B4E1" w14:textId="77777777" w:rsidR="00417DE1" w:rsidRPr="007224C3" w:rsidRDefault="00417DE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мая в 1944 году постановлением ГКО на вооружение принята 100-мм полевая пушка образца 1944 г. БС-3, прозванная в армии «Зверобоем» (14884).</w:t>
      </w:r>
    </w:p>
    <w:p w14:paraId="1B1CE77E" w14:textId="77777777" w:rsidR="00417DE1" w:rsidRPr="007224C3" w:rsidRDefault="00417DE1" w:rsidP="007224C3">
      <w:pPr>
        <w:spacing w:after="0" w:line="240" w:lineRule="auto"/>
        <w:jc w:val="both"/>
        <w:rPr>
          <w:rFonts w:ascii="Times New Roman" w:hAnsi="Times New Roman"/>
          <w:color w:val="000000" w:themeColor="text1"/>
          <w:sz w:val="16"/>
          <w:szCs w:val="16"/>
        </w:rPr>
      </w:pPr>
    </w:p>
    <w:p w14:paraId="3EE998C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мая 1944 вышло Постановление ГКО № 5823 О плане производства танков, самоходных артиллерийских установок, дизелей, запасных частей к ним и ремонте танков, артсамоходов и дизелей на май 1944 года. РГАНИР, Фонд ГКО, д. 250, лл. 131-136,137-146 (11012).</w:t>
      </w:r>
    </w:p>
    <w:p w14:paraId="2295DEA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A8AC15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мая 1944 вышло Постановление ГКО № 5824 О поставке НКО и НКВМФ боеприпасов в мае 1944 г. РГАНИР, Фонд ГКО, д. 250, лл. 147-152,153-203 (11012).</w:t>
      </w:r>
    </w:p>
    <w:p w14:paraId="68292F2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F02DC9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мая 1944 вышло Постановление ГКО № 5825 О плане добычи угля по Наркомуглю на май 1944 г. РГАНИР, Фонд ГКО, д. 251, лл. 1-7,8-9 (11012).</w:t>
      </w:r>
    </w:p>
    <w:p w14:paraId="7BD626A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196010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мая 1944 вышло Постановление ГКО № 5826 О плане производства и поставок НКО и НКВМФ артиллерийского, минометного и стрелкового вооружения и военных приборов на май 1944 г. РГАНИР, Фонд ГКО, д. 251, лл. 10-26,27-35 (11012).</w:t>
      </w:r>
    </w:p>
    <w:p w14:paraId="52B1548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803F49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мая 1944 вышло Постановление ГКО № 5827 О плане производства и поставок патронов Наркоматом вооружения в мае 1944 года. РГАНИР, Фонд ГКО, д. 251, лл. 36-41,42-49 (11012).</w:t>
      </w:r>
    </w:p>
    <w:p w14:paraId="4ACA236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7BC562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мая 1944 вышло Постановление ГКО № 5828 О плане производства и поставок пистолетов-пулеметов Шпагина и ПП-43 в мае месяце 1944 г. РГАНИР, Фонд ГКО, д. 251, лл. 50-55,56-60 (11012).</w:t>
      </w:r>
    </w:p>
    <w:p w14:paraId="1F429B3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94986E3"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мая 1944 вышло Распоряжение ГКО № 5829 [О мобилизации в Горьком и области на дровозаготовки 9650 пеших рабочих и 3450 возчиков с лошадьми.] (7229, 61).</w:t>
      </w:r>
    </w:p>
    <w:p w14:paraId="74C8A09B"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FC65AF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мая 1944 вышло Распоряжение ГКО № 5830. О сохранении в распоряжении НКАТ РСФСР 86 военнослужащих для работы на авторемонтных заводах. РГАНИР, Фонд ГКО, д. 251, лл. 62 (11012).</w:t>
      </w:r>
    </w:p>
    <w:p w14:paraId="079C649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5CAAFF2"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7 мая 1944 вышло Распоряжение ГКО № 5831 [О выделении из запасных частей КА 4365 военнослужащих на сплавные и разгрузочные работы в навигацию 1944 г.] </w:t>
      </w:r>
      <w:r w:rsidRPr="007224C3">
        <w:rPr>
          <w:rFonts w:ascii="Times New Roman" w:hAnsi="Times New Roman"/>
          <w:color w:val="000000" w:themeColor="text1"/>
          <w:sz w:val="16"/>
          <w:szCs w:val="16"/>
        </w:rPr>
        <w:lastRenderedPageBreak/>
        <w:t>(7229, 63).</w:t>
      </w:r>
    </w:p>
    <w:p w14:paraId="1BCCA345"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4A04511"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мая 1944 вышло Распоряжение ГКО № 5832 [О выделении 10,3 тыс.т трофейного цемента в Николаеве и Херсоне Наркомстрою, НКСП, НКМФ и Главвоенпромстрою при СНК СССР.] (7229, 64).</w:t>
      </w:r>
    </w:p>
    <w:p w14:paraId="63865D16"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4AE12DF"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мая 1944 вышло Распоряжение ГКО № 5833 [О мобилизации в Кабардинской АССР 70 возчиков с лошадьми на восстановление Нальчика.] (7229, 65).</w:t>
      </w:r>
    </w:p>
    <w:p w14:paraId="1516D4D9"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7F04886"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мая 1944 вышло Распоряжение ГКО № 5834 [О мобилизации в Башкирской и Чувашской АССР 330 пеших рабочих и 105 возчиков с лошадьми на заготовку мочала.] (7229, 66).</w:t>
      </w:r>
    </w:p>
    <w:p w14:paraId="481AFF4A"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EC0A614"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мая 1944 вышло Распоряжение ГКО № 5835 [Об уменьшении на 22,52 млн. руб. плана капитальных работ хозяйствам Мосгорисполкома.] (7229, 67,68-69).</w:t>
      </w:r>
    </w:p>
    <w:p w14:paraId="4FB03232"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582755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мая 1944 вышло Распоряжение ГКО № 5836. Об обеспечении выполнения плана производства поташа Армавирским поташным заводом НКМП РСФСР. РГАНИР, Фонд ГКО, д. 251, лл. 70 (11012).</w:t>
      </w:r>
    </w:p>
    <w:p w14:paraId="68DC67E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A8A7522"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мая 1944 вышло Постановление ГКО № 5837 О строительстве высоководного автогужевого моста через р. Днепр в г. Днепропетровске. (7229, 71-73).</w:t>
      </w:r>
    </w:p>
    <w:p w14:paraId="5CBC9B5A"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AA0AB27"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мая 1944 вышло Распоряжение ГКО № 5838 [О создании в Николаеве (УССР) электромеханического завода и организации на нем производства электрооборудования для строящихся кораблей.] (7229, 74-75).</w:t>
      </w:r>
    </w:p>
    <w:p w14:paraId="10D2E0BF"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504B03E"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мая 1944 вышло Распоряжение ГКО № 5839 [О мерах по обеспечению НКПС рабочей силой и материалами для строительства объекта №16 НКВД.] (7229, 76-77,78-82).</w:t>
      </w:r>
    </w:p>
    <w:p w14:paraId="1FE9FE7C"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ED4AB3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мая 1944 вышло Распоряжение ГКО № 5840. О поставке НКСП изделий и материалов, необходимых для производства и комплектации штурманских и артиллерийских приборов. РГАНИР, Фонд ГКО, д. 251, лл. 83,84-89 (11012).</w:t>
      </w:r>
    </w:p>
    <w:p w14:paraId="6FB96AD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743CE4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мая 1944 вышло Постановление ГКО № 5841 О плане производства Наркомсредмаша и его обеспечении металлом во II квартале 1944 года. РГАНИР, Фонд ГКО, д. 251, лл. 90-91 (11012).</w:t>
      </w:r>
    </w:p>
    <w:p w14:paraId="3F4D91D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DE0142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мая 1944 вышло Постановление ГКО № 5842 О перевозке хлопка-волокна на предприятия текстильной промышленности. РГАНИР, Фонд ГКО, д. 251, лл. 92-94,95 (11012).</w:t>
      </w:r>
    </w:p>
    <w:p w14:paraId="3873225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3F87610"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мая 1944 вышло Постановление ГКО № 5843 О мероприятиях по обеспечению выполнения программы Наркомстроя на II квартал 1944 г. (7229, 96-108,109-125).</w:t>
      </w:r>
    </w:p>
    <w:p w14:paraId="5DD60838"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7064653"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мая 1944 вышло Постановление ГКО № 5844 Об увеличении производства коллоксилина на Краснокамском целлюлозно-бумажном комбинате Наркомбумпрома. (7229, 126-130,131-137).</w:t>
      </w:r>
    </w:p>
    <w:p w14:paraId="46C4D344"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7E9ADF3"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мая 1944 вышло Постановление ГКО № 5845 О развитии производства абразивных изделий на предприятиях Наркомстанкостроения. (7229, 138-146,147-150).</w:t>
      </w:r>
    </w:p>
    <w:p w14:paraId="2AC2F961"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4E5B74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мая 1944 вышло Постановление ГКО № 5846 О мероприятиях по восстановлению Ленинградского гидролизного завода Главлесоспирта. РГАНИР, Фонд ГКО, д. 251, лл. 151-156,157-170 (11012).</w:t>
      </w:r>
    </w:p>
    <w:p w14:paraId="4BB4419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D44CC7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мая 1944 г. из дока вывели крейсер Лазарь Каганович и с осени 1944 года он проходил государственные испытания, но окончатель</w:t>
      </w:r>
      <w:r w:rsidRPr="007224C3">
        <w:rPr>
          <w:rFonts w:ascii="Times New Roman" w:hAnsi="Times New Roman"/>
          <w:color w:val="000000" w:themeColor="text1"/>
          <w:sz w:val="16"/>
          <w:szCs w:val="16"/>
        </w:rPr>
        <w:softHyphen/>
        <w:t>но был принят только в 1947 г. (3898).</w:t>
      </w:r>
    </w:p>
    <w:p w14:paraId="3364DB2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394768"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1375368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2B89E8D" w14:textId="77777777" w:rsidR="00417DE1" w:rsidRPr="007224C3" w:rsidRDefault="00417DE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мая в 1944 году оперативная сводка Совинформбюро:</w:t>
      </w:r>
    </w:p>
    <w:p w14:paraId="4FA736BA" w14:textId="77777777" w:rsidR="00417DE1" w:rsidRPr="007224C3" w:rsidRDefault="00417DE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7 мая на фронтах существенных изменений непроизошло.</w:t>
      </w:r>
    </w:p>
    <w:p w14:paraId="5CEB5D8D" w14:textId="77777777" w:rsidR="00417DE1" w:rsidRPr="007224C3" w:rsidRDefault="00417DE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6 мая наши войска подбили и уничтожили 14 немецких танков. В воздушных боях и огнём зенитной артиллерии сбит 41 самолёт противника.»</w:t>
      </w:r>
    </w:p>
    <w:p w14:paraId="4C70DE36" w14:textId="77777777" w:rsidR="00417DE1" w:rsidRPr="007224C3" w:rsidRDefault="00417DE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Удары нашей авиации по войскам и технике противника в районе Севастополя:</w:t>
      </w:r>
    </w:p>
    <w:p w14:paraId="21099E5A" w14:textId="77777777" w:rsidR="00417DE1" w:rsidRPr="007224C3" w:rsidRDefault="00417DE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«Днём 6 и в ночь на 7 мая крупные соединения нашей авиации наносили бомбово-штурмовые удары по войскам и технике противника в районе Севастополя. Бомбардировке были подвергнуты скопления немецко-румынских войск, огневые средства, оборонительные сооружения, склады, аэродром и суда противника,находившиеся в порту Севастополь. В результате налётов нашей авиации противник понёс тяжёлые потери. Подавлен огонь многих артиллерийских батарей, взорвано 4 склада боеприпасов и повреждено несколько судов. В воздушных боях и на аэродроме уничтожено 22 немецких самолёта.»</w:t>
      </w:r>
    </w:p>
    <w:p w14:paraId="090CA948" w14:textId="77777777" w:rsidR="00417DE1" w:rsidRPr="007224C3" w:rsidRDefault="00417DE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«Юго-восточнее города Станислав действия противника ограничивались разведывательными операциями. На одном участке немцы пытались приблизиться к расположению советских войск. Миномётным и ружейно-пулемётным огнём гитлеровцы были рассеяны. На другом участке два взвода немцев, близко подошедших к нашему переднему краю, окружены и ликвидированы.</w:t>
      </w:r>
    </w:p>
    <w:p w14:paraId="45C6E6AE" w14:textId="77777777" w:rsidR="00417DE1" w:rsidRPr="007224C3" w:rsidRDefault="00417DE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западу от города Яссы противник силами пехоты и танков неоднократно атаковал наши позиции. Немцы пытались овладеть высотой, имеющей важное значение. Бойцы Н-ского соединения успешно отбили все атаки противника и нанесли ему большое поражение. На подступах к высоте осталось 11 подбитых немецких танков и 6 самоходных орудий.</w:t>
      </w:r>
    </w:p>
    <w:p w14:paraId="7A8C6B89" w14:textId="77777777" w:rsidR="00417DE1" w:rsidRPr="007224C3" w:rsidRDefault="00417DE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Южнее города Тирасполь рано утром батальон немцев предпринял атаку и вклинился в передний край нашей обороны. Во второй половине дня наши подразделения контрударом отбросили противника и восстановили положение. На поле боя осталось до 200 вражеских трупов. Захвачены трофеи и пленные.</w:t>
      </w:r>
    </w:p>
    <w:p w14:paraId="78066E29" w14:textId="77777777" w:rsidR="00417DE1" w:rsidRPr="007224C3" w:rsidRDefault="00417DE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Украинский партизанский отряд, действующий в Волынской области, пустил под откос немецкий воинский эшелон. В результате крушения погибло много гитлеровцев. Движение поездов на этом участке железной дороги было прервано на двое суток. Немецкое командование направило против партизан карательный отряд эсэсовцев. Советские патриоты, умело маневрируя, отбили несколько атак противника и уничтожили 70 гитлеровцев. Не добившись успеха, немцы отступили. Через три дня партизаны взорвали еще один эшелон противника, следовавший к линии фронта.</w:t>
      </w:r>
    </w:p>
    <w:p w14:paraId="29BD23CA" w14:textId="77777777" w:rsidR="00417DE1" w:rsidRPr="007224C3" w:rsidRDefault="00417DE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1-м Украинском фронте на сторону Красной Армии перешло несколько групп венгерских солдат и офицеров. Добровольно сдался в плен в полном составе 3 взвод 6 роты 24 полка 24 венгерской пехотной дивизии. Одновременно сложили оружие и сдались в плен 18 венгров из других подразделений того же полка.</w:t>
      </w:r>
    </w:p>
    <w:p w14:paraId="5812D0D3" w14:textId="77777777" w:rsidR="00417DE1" w:rsidRPr="007224C3" w:rsidRDefault="00417DE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Перебежчик Бела Н. рассказал: «Лейтенант Текзо собрал 40 солдат и предложил нам организованно сдаться в плен. Когда мы уже подходили к русским позициям, немцы открыли по нас огонь из пулемётов. Мы залегли. Выждав, пока стрельба немного утихла, мы благополучно дошли до русских окопов и сдались в плен».</w:t>
      </w:r>
    </w:p>
    <w:p w14:paraId="64E223B0" w14:textId="77777777" w:rsidR="00417DE1" w:rsidRPr="007224C3" w:rsidRDefault="00417DE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Сдавшийся в плен ефрейтор 12 батальона 2 венгерской горнострелковой бригады Иштван X. заявил: «Германия оккупировала Венгрию и растоптала ее независимость. Гитлер превратил Венгрию в немецкую колонию. Теперь он хочет горами трупов венгерских солдат преградить советским войскам путь в Германию. Венгерское правительство предало нашу страну. Вместо того, чтобы прогнать немецких оккупантов из Венгрии, правительство приказывает нам воевать против русских. Я не хотел служить правительству изменников и предателей и при первой же возможности сдался в плен».</w:t>
      </w:r>
    </w:p>
    <w:p w14:paraId="52800C80" w14:textId="77777777" w:rsidR="00417DE1" w:rsidRPr="007224C3" w:rsidRDefault="00417DE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Ниже публикуется акт о зверствах немецко-фашистских мерзавцев в селе Китай-город, Винницкой области: «Два с лишним года изнывали мы под немецким игом. За время своего хозяйничанья немцы угнали на каторгу свыше 200 жителей нашего села. Многие колхозники всячески уклонялись от поездки в Германию, прятались и скрывались. Восемнадцатого января 1944 года фашистские бандиты поймали Сергея Тодоровского, Харитона Судома и Даниила Тодоровского и сожгли их живьем только за то, что они отказались поехать в Германию. Несколько дней спустя немецкие изверги расстреляли колхозниц Ксению Орёл, Анастасию Перевертеньи многих других за то, что их родственники скрывались от угона в немецкое рабство».</w:t>
      </w:r>
    </w:p>
    <w:p w14:paraId="156C641E" w14:textId="77777777" w:rsidR="00417DE1" w:rsidRPr="007224C3" w:rsidRDefault="00417DE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Акт подписали: Петр Перевертень, Иван Симчук, Григорий Лазарчук, Фёдор Тимошенко, Петр Юрченко.» (14884).</w:t>
      </w:r>
    </w:p>
    <w:p w14:paraId="7A498FA9" w14:textId="77777777" w:rsidR="00417DE1" w:rsidRPr="007224C3" w:rsidRDefault="00417DE1" w:rsidP="007224C3">
      <w:pPr>
        <w:spacing w:after="0" w:line="240" w:lineRule="auto"/>
        <w:jc w:val="both"/>
        <w:rPr>
          <w:rFonts w:ascii="Times New Roman" w:hAnsi="Times New Roman"/>
          <w:color w:val="000000" w:themeColor="text1"/>
          <w:sz w:val="16"/>
          <w:szCs w:val="16"/>
        </w:rPr>
      </w:pPr>
    </w:p>
    <w:p w14:paraId="73195282"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мая 1944 в ходе кровавых боев за Севастополь советские войска взяли Сапун-гору (4962).</w:t>
      </w:r>
    </w:p>
    <w:p w14:paraId="2D7F38D8"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4B4747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May 1944 Russians capture Sevastopol (270).</w:t>
      </w:r>
    </w:p>
    <w:p w14:paraId="19E3A87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C34E9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мая 1944 советские войска освободили Севастополь (270).</w:t>
      </w:r>
    </w:p>
    <w:p w14:paraId="58AA39B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74F2E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мая 1944 г. во время прорыва Севастопольского УР был зарегистрирован лишь единственный случай, когда 3 девятки Пе-2 с ФАБ-500 и 250 нанесли удар и разрушили небольшой по своим размерам и прочности ДОТ в районе колхоза "Большевик"...</w:t>
      </w:r>
    </w:p>
    <w:p w14:paraId="429858F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То есть, несмотря на повышенные точности бомбометания с пикирования, оно все же не обеспечивало требуемого уровня подавления обороны противника главным образом из-за отсутствия массированности его применения. Оставалось только одно - массированно бить "с горизонта" по площадям, применяя авиабомбы крупного калибра.</w:t>
      </w:r>
    </w:p>
    <w:p w14:paraId="6999168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Опыт боевых действий и полигонные испытания показали, что ФАБ-250 и 500 при сбрасывании их с пикирования (высота ввода в пикирование самолета 2000-3000 м) не пробивали железобетонные перекрытия немецких ДОТ толщиной более 70 см, а ФАБ-1000 - перекрытий толщиной более 1-1,5 м. Железобетонные ДОТ с толщиной перекрытий более 1,5 м в этих условиях вообще не разрушались авиабомбами, стоявшими в это время на вооружении ВВС КА.</w:t>
      </w:r>
    </w:p>
    <w:p w14:paraId="31011D7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Небольшие железобетонные ДОТ с толщиной перекрытий около 50 см уверенно разрушались ФАБами калибров 250, 500, 1000 и 2000 кг при удалении точки подрыва в 1,5-2 м, 3-4 м, 6-8 м и 10-12 м, соответственно.</w:t>
      </w:r>
    </w:p>
    <w:p w14:paraId="12D5415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Учитывая, что Ил-2 могли брать только две ФАБ-250, эффективность ударов штурмовиков по железобетонным ДОТ не могла быть высокой ни при каком раскладе. В ряде случаев в штурмовых авиаполках местные умельцы обеспечивали подвеску на Ил-2 одной ФАБ-500. В частности, такие бомбы сбрасывали с Ил-2 во время штурма Кенигсберга 6-9 апреля 1945 г.</w:t>
      </w:r>
    </w:p>
    <w:p w14:paraId="1A37926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Применение ПТАБ-2.5-1,5 по железобетонным ЛОТ было малоэффективно. Последние были покрыты земляной обсыпкой, растительностью и т.д. Вследствие этого подрыв ПТАБ происходил на значительном удалении от бетонной поверхности и кумулятивная струя не наносила перекрытию каких-либо значительных повреждений.</w:t>
      </w:r>
    </w:p>
    <w:p w14:paraId="60F821F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 эффективности стрелково-пушечного и ракетного вооружения Ил-2 по ДОТам говорить и вовсе не приходится.</w:t>
      </w:r>
    </w:p>
    <w:p w14:paraId="2A3B71B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Боевой опыт показал, что главным средством разрушения УР с железобетонными ЛОТ являлась тяжелая артиллерия, главным образом гаубичные орудия калибра 152, 203 и 305 мм. В то же время разрушение опорных пунктов УР с сооружениями преимущественно полевой фортификации уже вполне было под СИЛУ авиации. Например, для разрушения ЛЗОТ или бронедеревяннои огневой точки необходимо было прямое попадание ФАБ-100 или подрыв ФАБ-250 на удалении 1.5-2 м (8687).</w:t>
      </w:r>
    </w:p>
    <w:p w14:paraId="458779A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52467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мая 1944 ш активно действовали в поддержке советского наступления. Пехотинцы наводили ш п С.Д.Пруткова буквально на каждое орудие (430,200).</w:t>
      </w:r>
    </w:p>
    <w:p w14:paraId="646644C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6988BE"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7224C3">
        <w:rPr>
          <w:rFonts w:ascii="Times New Roman" w:hAnsi="Times New Roman"/>
          <w:i/>
          <w:iCs/>
          <w:color w:val="000000" w:themeColor="text1"/>
          <w:sz w:val="16"/>
          <w:szCs w:val="16"/>
        </w:rPr>
        <w:t>За</w:t>
      </w:r>
      <w:r w:rsidRPr="007224C3">
        <w:rPr>
          <w:rFonts w:ascii="Times New Roman" w:hAnsi="Times New Roman"/>
          <w:i/>
          <w:iCs/>
          <w:color w:val="000000" w:themeColor="text1"/>
          <w:sz w:val="16"/>
          <w:szCs w:val="16"/>
          <w:lang w:val="en-US"/>
        </w:rPr>
        <w:t xml:space="preserve"> </w:t>
      </w:r>
      <w:r w:rsidRPr="007224C3">
        <w:rPr>
          <w:rFonts w:ascii="Times New Roman" w:hAnsi="Times New Roman"/>
          <w:i/>
          <w:iCs/>
          <w:color w:val="000000" w:themeColor="text1"/>
          <w:sz w:val="16"/>
          <w:szCs w:val="16"/>
        </w:rPr>
        <w:t>рубежом</w:t>
      </w:r>
      <w:r w:rsidRPr="007224C3">
        <w:rPr>
          <w:rFonts w:ascii="Times New Roman" w:hAnsi="Times New Roman"/>
          <w:i/>
          <w:iCs/>
          <w:color w:val="000000" w:themeColor="text1"/>
          <w:sz w:val="16"/>
          <w:szCs w:val="16"/>
          <w:lang w:val="en-US"/>
        </w:rPr>
        <w:t>:</w:t>
      </w:r>
    </w:p>
    <w:p w14:paraId="65AFC3E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4269D180" w14:textId="77777777" w:rsidR="00257F65" w:rsidRPr="007224C3" w:rsidRDefault="00257F65"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7 мая 1944 первый полет Beechcraft XA-38 Grizzly (20373).</w:t>
      </w:r>
    </w:p>
    <w:p w14:paraId="7096F5DC" w14:textId="77777777" w:rsidR="00257F65" w:rsidRPr="007224C3" w:rsidRDefault="00257F65" w:rsidP="007224C3">
      <w:pPr>
        <w:spacing w:after="0" w:line="240" w:lineRule="auto"/>
        <w:jc w:val="both"/>
        <w:rPr>
          <w:rFonts w:ascii="Times New Roman" w:hAnsi="Times New Roman"/>
          <w:color w:val="0070C0"/>
          <w:sz w:val="16"/>
          <w:szCs w:val="16"/>
        </w:rPr>
      </w:pPr>
    </w:p>
    <w:p w14:paraId="6A62FB5F" w14:textId="77777777" w:rsidR="00257F65" w:rsidRPr="007224C3" w:rsidRDefault="00257F65"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7 мая 1944 - Первый полет самолета Beechcraft XA-38 Grizzly.</w:t>
      </w:r>
    </w:p>
    <w:p w14:paraId="72524E7D" w14:textId="77777777" w:rsidR="00257F65" w:rsidRPr="007224C3" w:rsidRDefault="00257F65"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 декабре 1942 года ВВС США заключили с компанией «Beechcraft» контракт на два прототипа самолёта модели 28. Первоначально модель 28 должен был стать фронтовым бомбардировщиком, но по ходу разработки было принято решение проектировать штурмовик на замену Douglas A-20 Havoc.</w:t>
      </w:r>
    </w:p>
    <w:p w14:paraId="5A9A0F97" w14:textId="77777777" w:rsidR="00257F65" w:rsidRPr="007224C3" w:rsidRDefault="00257F65"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Штурмовик должен был поражать бронированные и укреплённые цели, такие как танки и бункеры. Для этого штурмовик оснастили 75-мм пушкой с 20 снарядами, установленной в фиксированном положении на носу, а также двумя пулемётами калибра 0,50 (12,7 мм) M2 Browning, стреляющих вперед.</w:t>
      </w:r>
    </w:p>
    <w:p w14:paraId="6354E932" w14:textId="77777777" w:rsidR="00257F65" w:rsidRPr="007224C3" w:rsidRDefault="00257F65"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Оборонительное вооружение состояло из дистанционно управляемых верхних и нижних турелей, каждая из которых была вооружена спаренными пулемётами калибра 0,50 (12,7 мм).</w:t>
      </w:r>
    </w:p>
    <w:p w14:paraId="4B831F18" w14:textId="77777777" w:rsidR="00257F65" w:rsidRPr="007224C3" w:rsidRDefault="00257F65"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7 мая 1944 года штурмовик «Grizzly» совершил первый полёт. Самолёт показал себя удовлетворительно по всем параметрам и по некоторым параметрам превзошёл ожидания, включая максимальную скорость. Вооружение оказалось вполне эффективным.</w:t>
      </w:r>
    </w:p>
    <w:p w14:paraId="004CC632" w14:textId="77777777" w:rsidR="00257F65" w:rsidRPr="007224C3" w:rsidRDefault="00257F65"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Испытания показали, что данный штурмовик не будет готов к предполагаемому вторжению в Японию. К тому же он оснащался двигателями Wright R-3350, уже использовавшимися бомбардировщиками «Boeing B-29 Superfortress». Руководство ВВС США отдало эти двигатели именно B-29, как более приоритетному самолёту. Поэтому проект Beechcraft XA-38 Grizzly был закрыт. Произведено было 2 прототипа (22510).</w:t>
      </w:r>
    </w:p>
    <w:p w14:paraId="1C5C23EA" w14:textId="77777777" w:rsidR="00257F65" w:rsidRPr="007224C3" w:rsidRDefault="00257F65" w:rsidP="007224C3">
      <w:pPr>
        <w:spacing w:after="0" w:line="240" w:lineRule="auto"/>
        <w:jc w:val="both"/>
        <w:rPr>
          <w:rFonts w:ascii="Times New Roman" w:hAnsi="Times New Roman"/>
          <w:color w:val="0070C0"/>
          <w:sz w:val="16"/>
          <w:szCs w:val="16"/>
        </w:rPr>
      </w:pPr>
    </w:p>
    <w:p w14:paraId="22FC525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May 7th, 1944: The US 8th Air Force (Doolittle) launches a 1,500-bomber raid against Berlin. In the East, the Red Army recaptures Sevastopol in the Crimea (3819).</w:t>
      </w:r>
    </w:p>
    <w:p w14:paraId="44EE7A2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BD1727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мая 1944 8ВА США (Дулитл) силами 1500 бомбардировщиков выполнили налет на Берлин (3819).</w:t>
      </w:r>
    </w:p>
    <w:p w14:paraId="7D2093C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D1DF48" w14:textId="77777777" w:rsidR="00D4630C" w:rsidRPr="007224C3" w:rsidRDefault="00D4630C" w:rsidP="007224C3">
      <w:pPr>
        <w:pStyle w:val="ae"/>
        <w:shd w:val="clear" w:color="auto" w:fill="FFFFFF"/>
        <w:spacing w:before="0" w:after="0"/>
        <w:jc w:val="both"/>
        <w:rPr>
          <w:color w:val="000000" w:themeColor="text1"/>
          <w:sz w:val="16"/>
          <w:szCs w:val="16"/>
        </w:rPr>
      </w:pPr>
      <w:r w:rsidRPr="007224C3">
        <w:rPr>
          <w:rStyle w:val="a7"/>
          <w:b w:val="0"/>
          <w:color w:val="000000" w:themeColor="text1"/>
          <w:sz w:val="16"/>
          <w:szCs w:val="16"/>
        </w:rPr>
        <w:t>7 мая 1944 года</w:t>
      </w:r>
      <w:r w:rsidRPr="007224C3">
        <w:rPr>
          <w:color w:val="000000" w:themeColor="text1"/>
          <w:sz w:val="16"/>
          <w:szCs w:val="16"/>
        </w:rPr>
        <w:t xml:space="preserve"> 600 самоле</w:t>
      </w:r>
      <w:r w:rsidRPr="007224C3">
        <w:rPr>
          <w:color w:val="000000" w:themeColor="text1"/>
          <w:sz w:val="16"/>
          <w:szCs w:val="16"/>
        </w:rPr>
        <w:softHyphen/>
        <w:t xml:space="preserve">тов сбросили 1246 тонн бомб на центр Берлина, потеряв 6 машин. </w:t>
      </w:r>
      <w:r w:rsidRPr="007224C3">
        <w:rPr>
          <w:rStyle w:val="a7"/>
          <w:b w:val="0"/>
          <w:color w:val="000000" w:themeColor="text1"/>
          <w:sz w:val="16"/>
          <w:szCs w:val="16"/>
        </w:rPr>
        <w:t>8 мая</w:t>
      </w:r>
      <w:r w:rsidRPr="007224C3">
        <w:rPr>
          <w:color w:val="000000" w:themeColor="text1"/>
          <w:sz w:val="16"/>
          <w:szCs w:val="16"/>
        </w:rPr>
        <w:t xml:space="preserve"> 386 самолетов (25 сбито), а </w:t>
      </w:r>
      <w:r w:rsidRPr="007224C3">
        <w:rPr>
          <w:rStyle w:val="a7"/>
          <w:b w:val="0"/>
          <w:color w:val="000000" w:themeColor="text1"/>
          <w:sz w:val="16"/>
          <w:szCs w:val="16"/>
        </w:rPr>
        <w:t>19 мая</w:t>
      </w:r>
      <w:r w:rsidRPr="007224C3">
        <w:rPr>
          <w:color w:val="000000" w:themeColor="text1"/>
          <w:sz w:val="16"/>
          <w:szCs w:val="16"/>
        </w:rPr>
        <w:t xml:space="preserve"> 465 самолетов продолжили бомбардировку жилых районов. Всего до </w:t>
      </w:r>
      <w:r w:rsidRPr="007224C3">
        <w:rPr>
          <w:rStyle w:val="a7"/>
          <w:b w:val="0"/>
          <w:color w:val="000000" w:themeColor="text1"/>
          <w:sz w:val="16"/>
          <w:szCs w:val="16"/>
        </w:rPr>
        <w:t>21 июня 1944 года</w:t>
      </w:r>
      <w:r w:rsidRPr="007224C3">
        <w:rPr>
          <w:color w:val="000000" w:themeColor="text1"/>
          <w:sz w:val="16"/>
          <w:szCs w:val="16"/>
        </w:rPr>
        <w:t xml:space="preserve"> они потеряли 113 бомбардировщиков, из них 44 машины были уничтожены на земле, на дозаправке.</w:t>
      </w:r>
    </w:p>
    <w:p w14:paraId="3F6FAA98" w14:textId="77777777" w:rsidR="00D4630C" w:rsidRPr="007224C3" w:rsidRDefault="00D4630C" w:rsidP="007224C3">
      <w:pPr>
        <w:pStyle w:val="ae"/>
        <w:shd w:val="clear" w:color="auto" w:fill="FFFFFF"/>
        <w:spacing w:before="0" w:after="0"/>
        <w:jc w:val="both"/>
        <w:rPr>
          <w:color w:val="000000" w:themeColor="text1"/>
          <w:sz w:val="16"/>
          <w:szCs w:val="16"/>
        </w:rPr>
      </w:pPr>
      <w:r w:rsidRPr="007224C3">
        <w:rPr>
          <w:color w:val="000000" w:themeColor="text1"/>
          <w:sz w:val="16"/>
          <w:szCs w:val="16"/>
        </w:rPr>
        <w:t>До самой осени продолжалось относительное затишье, вызванное высадкой союзных войск в Нормандии, куда была отвлечена значительная часть бомбардировочной авиации. Немецкая столица все же была атакована (17416).</w:t>
      </w:r>
    </w:p>
    <w:p w14:paraId="39F0501A" w14:textId="77777777" w:rsidR="00D4630C" w:rsidRPr="007224C3" w:rsidRDefault="00D4630C" w:rsidP="007224C3">
      <w:pPr>
        <w:pStyle w:val="ae"/>
        <w:shd w:val="clear" w:color="auto" w:fill="FFFFFF"/>
        <w:spacing w:before="0" w:after="0"/>
        <w:jc w:val="both"/>
        <w:rPr>
          <w:color w:val="000000" w:themeColor="text1"/>
          <w:sz w:val="16"/>
          <w:szCs w:val="16"/>
        </w:rPr>
      </w:pPr>
    </w:p>
    <w:p w14:paraId="533DC8D7"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044EC05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C349F9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8 мая 1944 в ЛИИ НКАП были завершены специальные летные испытания серий</w:t>
      </w:r>
      <w:r w:rsidRPr="007224C3">
        <w:rPr>
          <w:rFonts w:ascii="Times New Roman" w:hAnsi="Times New Roman"/>
          <w:color w:val="000000" w:themeColor="text1"/>
          <w:sz w:val="16"/>
          <w:szCs w:val="16"/>
        </w:rPr>
        <w:softHyphen/>
        <w:t>ного самолета производства завода № 30 (зав. № 303316) со «стрельчатым крылом» деревянной конструкции на ус</w:t>
      </w:r>
      <w:r w:rsidRPr="007224C3">
        <w:rPr>
          <w:rFonts w:ascii="Times New Roman" w:hAnsi="Times New Roman"/>
          <w:color w:val="000000" w:themeColor="text1"/>
          <w:sz w:val="16"/>
          <w:szCs w:val="16"/>
        </w:rPr>
        <w:softHyphen/>
        <w:t>тойчивость, управляемость и флаттер с разбалансированным рулем высоты и направ</w:t>
      </w:r>
      <w:r w:rsidRPr="007224C3">
        <w:rPr>
          <w:rFonts w:ascii="Times New Roman" w:hAnsi="Times New Roman"/>
          <w:color w:val="000000" w:themeColor="text1"/>
          <w:sz w:val="16"/>
          <w:szCs w:val="16"/>
        </w:rPr>
        <w:softHyphen/>
        <w:t>ления. Элероны имели аэродинамическую ком</w:t>
      </w:r>
      <w:r w:rsidRPr="007224C3">
        <w:rPr>
          <w:rFonts w:ascii="Times New Roman" w:hAnsi="Times New Roman"/>
          <w:color w:val="000000" w:themeColor="text1"/>
          <w:sz w:val="16"/>
          <w:szCs w:val="16"/>
        </w:rPr>
        <w:softHyphen/>
        <w:t>пенсацию 27% вместо 22,5% у серийных само</w:t>
      </w:r>
      <w:r w:rsidRPr="007224C3">
        <w:rPr>
          <w:rFonts w:ascii="Times New Roman" w:hAnsi="Times New Roman"/>
          <w:color w:val="000000" w:themeColor="text1"/>
          <w:sz w:val="16"/>
          <w:szCs w:val="16"/>
        </w:rPr>
        <w:softHyphen/>
        <w:t>летов. Испытания про</w:t>
      </w:r>
      <w:r w:rsidRPr="007224C3">
        <w:rPr>
          <w:rFonts w:ascii="Times New Roman" w:hAnsi="Times New Roman"/>
          <w:color w:val="000000" w:themeColor="text1"/>
          <w:sz w:val="16"/>
          <w:szCs w:val="16"/>
        </w:rPr>
        <w:softHyphen/>
        <w:t>водили летчики-испыта</w:t>
      </w:r>
      <w:r w:rsidRPr="007224C3">
        <w:rPr>
          <w:rFonts w:ascii="Times New Roman" w:hAnsi="Times New Roman"/>
          <w:color w:val="000000" w:themeColor="text1"/>
          <w:sz w:val="16"/>
          <w:szCs w:val="16"/>
        </w:rPr>
        <w:softHyphen/>
        <w:t>тели Л. И.Тарощин,А. Н. Гринчик и Н. С. Рыбко.</w:t>
      </w:r>
    </w:p>
    <w:p w14:paraId="69DB5E9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Оказалось, что сня</w:t>
      </w:r>
      <w:r w:rsidRPr="007224C3">
        <w:rPr>
          <w:rFonts w:ascii="Times New Roman" w:hAnsi="Times New Roman"/>
          <w:color w:val="000000" w:themeColor="text1"/>
          <w:sz w:val="16"/>
          <w:szCs w:val="16"/>
        </w:rPr>
        <w:softHyphen/>
        <w:t>тие балансиров общим весом 14,1 кг смещает центровку самолета впе</w:t>
      </w:r>
      <w:r w:rsidRPr="007224C3">
        <w:rPr>
          <w:rFonts w:ascii="Times New Roman" w:hAnsi="Times New Roman"/>
          <w:color w:val="000000" w:themeColor="text1"/>
          <w:sz w:val="16"/>
          <w:szCs w:val="16"/>
        </w:rPr>
        <w:softHyphen/>
        <w:t>ред на 0,5% САХ и улуч-шаетего продольную устойчивость со свободным управлением. Кроме этого, снятие балансира руля высоты уменьшило шар</w:t>
      </w:r>
      <w:r w:rsidRPr="007224C3">
        <w:rPr>
          <w:rFonts w:ascii="Times New Roman" w:hAnsi="Times New Roman"/>
          <w:color w:val="000000" w:themeColor="text1"/>
          <w:sz w:val="16"/>
          <w:szCs w:val="16"/>
        </w:rPr>
        <w:softHyphen/>
        <w:t>нирный момент, вследствие чего усилие на ручке управления изменилось с+1 кг (на себя) на -6 кг (от себя).</w:t>
      </w:r>
    </w:p>
    <w:p w14:paraId="1FC88E9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процессе пикирований скорость самолета достигала скорости 468 км/ ч (по прибору), но никаких трясок и вибраций не наблюдалось. При осмот</w:t>
      </w:r>
      <w:r w:rsidRPr="007224C3">
        <w:rPr>
          <w:rFonts w:ascii="Times New Roman" w:hAnsi="Times New Roman"/>
          <w:color w:val="000000" w:themeColor="text1"/>
          <w:sz w:val="16"/>
          <w:szCs w:val="16"/>
        </w:rPr>
        <w:softHyphen/>
        <w:t>ре самолета после полетов остаточных деформаций не обнаружено.</w:t>
      </w:r>
    </w:p>
    <w:p w14:paraId="6C11FDA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Летчики отмечали, что на больших скоростях полета устойчивость само</w:t>
      </w:r>
      <w:r w:rsidRPr="007224C3">
        <w:rPr>
          <w:rFonts w:ascii="Times New Roman" w:hAnsi="Times New Roman"/>
          <w:color w:val="000000" w:themeColor="text1"/>
          <w:sz w:val="16"/>
          <w:szCs w:val="16"/>
        </w:rPr>
        <w:softHyphen/>
        <w:t>лета с брошенным управлением близ</w:t>
      </w:r>
      <w:r w:rsidRPr="007224C3">
        <w:rPr>
          <w:rFonts w:ascii="Times New Roman" w:hAnsi="Times New Roman"/>
          <w:color w:val="000000" w:themeColor="text1"/>
          <w:sz w:val="16"/>
          <w:szCs w:val="16"/>
        </w:rPr>
        <w:softHyphen/>
        <w:t xml:space="preserve">ка к нейтральной, затем </w:t>
      </w:r>
      <w:r w:rsidRPr="007224C3">
        <w:rPr>
          <w:rFonts w:ascii="Times New Roman" w:hAnsi="Times New Roman"/>
          <w:iCs/>
          <w:color w:val="000000" w:themeColor="text1"/>
          <w:sz w:val="16"/>
          <w:szCs w:val="16"/>
        </w:rPr>
        <w:t xml:space="preserve">с </w:t>
      </w:r>
      <w:r w:rsidRPr="007224C3">
        <w:rPr>
          <w:rFonts w:ascii="Times New Roman" w:hAnsi="Times New Roman"/>
          <w:color w:val="000000" w:themeColor="text1"/>
          <w:sz w:val="16"/>
          <w:szCs w:val="16"/>
        </w:rPr>
        <w:t>уменьшени</w:t>
      </w:r>
      <w:r w:rsidRPr="007224C3">
        <w:rPr>
          <w:rFonts w:ascii="Times New Roman" w:hAnsi="Times New Roman"/>
          <w:color w:val="000000" w:themeColor="text1"/>
          <w:sz w:val="16"/>
          <w:szCs w:val="16"/>
        </w:rPr>
        <w:softHyphen/>
        <w:t>ем скорости плавно появляется незна</w:t>
      </w:r>
      <w:r w:rsidRPr="007224C3">
        <w:rPr>
          <w:rFonts w:ascii="Times New Roman" w:hAnsi="Times New Roman"/>
          <w:color w:val="000000" w:themeColor="text1"/>
          <w:sz w:val="16"/>
          <w:szCs w:val="16"/>
        </w:rPr>
        <w:softHyphen/>
        <w:t>чительная неустойчивость.</w:t>
      </w:r>
    </w:p>
    <w:p w14:paraId="093C091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планировании запас устойчиво</w:t>
      </w:r>
      <w:r w:rsidRPr="007224C3">
        <w:rPr>
          <w:rFonts w:ascii="Times New Roman" w:hAnsi="Times New Roman"/>
          <w:color w:val="000000" w:themeColor="text1"/>
          <w:sz w:val="16"/>
          <w:szCs w:val="16"/>
        </w:rPr>
        <w:softHyphen/>
        <w:t>сти достаточный, с постепенным умень</w:t>
      </w:r>
      <w:r w:rsidRPr="007224C3">
        <w:rPr>
          <w:rFonts w:ascii="Times New Roman" w:hAnsi="Times New Roman"/>
          <w:color w:val="000000" w:themeColor="text1"/>
          <w:sz w:val="16"/>
          <w:szCs w:val="16"/>
        </w:rPr>
        <w:softHyphen/>
        <w:t>шением запаса при полете на малых скоростях. Нагрузки на ручку управле</w:t>
      </w:r>
      <w:r w:rsidRPr="007224C3">
        <w:rPr>
          <w:rFonts w:ascii="Times New Roman" w:hAnsi="Times New Roman"/>
          <w:color w:val="000000" w:themeColor="text1"/>
          <w:sz w:val="16"/>
          <w:szCs w:val="16"/>
        </w:rPr>
        <w:softHyphen/>
        <w:t>ния, легко снимаются триммерами.</w:t>
      </w:r>
    </w:p>
    <w:p w14:paraId="5F359E1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Выполнение виражей, боевых раз</w:t>
      </w:r>
      <w:r w:rsidRPr="007224C3">
        <w:rPr>
          <w:rFonts w:ascii="Times New Roman" w:hAnsi="Times New Roman"/>
          <w:color w:val="000000" w:themeColor="text1"/>
          <w:sz w:val="16"/>
          <w:szCs w:val="16"/>
        </w:rPr>
        <w:softHyphen/>
        <w:t>воротов и выходов из пикирования со</w:t>
      </w:r>
      <w:r w:rsidRPr="007224C3">
        <w:rPr>
          <w:rFonts w:ascii="Times New Roman" w:hAnsi="Times New Roman"/>
          <w:color w:val="000000" w:themeColor="text1"/>
          <w:sz w:val="16"/>
          <w:szCs w:val="16"/>
        </w:rPr>
        <w:softHyphen/>
        <w:t xml:space="preserve">провождается возникновением </w:t>
      </w:r>
      <w:r w:rsidRPr="007224C3">
        <w:rPr>
          <w:rFonts w:ascii="Times New Roman" w:hAnsi="Times New Roman"/>
          <w:iCs/>
          <w:color w:val="000000" w:themeColor="text1"/>
          <w:sz w:val="16"/>
          <w:szCs w:val="16"/>
        </w:rPr>
        <w:t>«прямых по направлению, но по величине несколь</w:t>
      </w:r>
      <w:r w:rsidRPr="007224C3">
        <w:rPr>
          <w:rFonts w:ascii="Times New Roman" w:hAnsi="Times New Roman"/>
          <w:iCs/>
          <w:color w:val="000000" w:themeColor="text1"/>
          <w:sz w:val="16"/>
          <w:szCs w:val="16"/>
        </w:rPr>
        <w:softHyphen/>
        <w:t xml:space="preserve">ко больших нормы», </w:t>
      </w:r>
      <w:r w:rsidRPr="007224C3">
        <w:rPr>
          <w:rFonts w:ascii="Times New Roman" w:hAnsi="Times New Roman"/>
          <w:color w:val="000000" w:themeColor="text1"/>
          <w:sz w:val="16"/>
          <w:szCs w:val="16"/>
        </w:rPr>
        <w:t>усилий на ручке уп</w:t>
      </w:r>
      <w:r w:rsidRPr="007224C3">
        <w:rPr>
          <w:rFonts w:ascii="Times New Roman" w:hAnsi="Times New Roman"/>
          <w:color w:val="000000" w:themeColor="text1"/>
          <w:sz w:val="16"/>
          <w:szCs w:val="16"/>
        </w:rPr>
        <w:softHyphen/>
        <w:t>равления. При этом возможность срыва в штопор от перетягивания ручки на ви</w:t>
      </w:r>
      <w:r w:rsidRPr="007224C3">
        <w:rPr>
          <w:rFonts w:ascii="Times New Roman" w:hAnsi="Times New Roman"/>
          <w:color w:val="000000" w:themeColor="text1"/>
          <w:sz w:val="16"/>
          <w:szCs w:val="16"/>
        </w:rPr>
        <w:softHyphen/>
        <w:t>раже почти исключалась.</w:t>
      </w:r>
    </w:p>
    <w:p w14:paraId="26FE669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взлете усилия на ручку управ</w:t>
      </w:r>
      <w:r w:rsidRPr="007224C3">
        <w:rPr>
          <w:rFonts w:ascii="Times New Roman" w:hAnsi="Times New Roman"/>
          <w:color w:val="000000" w:themeColor="text1"/>
          <w:sz w:val="16"/>
          <w:szCs w:val="16"/>
        </w:rPr>
        <w:softHyphen/>
        <w:t>ления были несколько меньше, чем у серийного самолета. Величина усилий от руля высоты при посадке оценива</w:t>
      </w:r>
      <w:r w:rsidRPr="007224C3">
        <w:rPr>
          <w:rFonts w:ascii="Times New Roman" w:hAnsi="Times New Roman"/>
          <w:color w:val="000000" w:themeColor="text1"/>
          <w:sz w:val="16"/>
          <w:szCs w:val="16"/>
        </w:rPr>
        <w:softHyphen/>
        <w:t>лась нормальной.</w:t>
      </w:r>
    </w:p>
    <w:p w14:paraId="08B29C5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После проверки полученных результатов дополнительны</w:t>
      </w:r>
      <w:r w:rsidRPr="007224C3">
        <w:rPr>
          <w:rFonts w:ascii="Times New Roman" w:hAnsi="Times New Roman"/>
          <w:color w:val="000000" w:themeColor="text1"/>
          <w:sz w:val="16"/>
          <w:szCs w:val="16"/>
        </w:rPr>
        <w:softHyphen/>
        <w:t>ми испытаниями еще двух серийных штурмовиков выпуска за</w:t>
      </w:r>
      <w:r w:rsidRPr="007224C3">
        <w:rPr>
          <w:rFonts w:ascii="Times New Roman" w:hAnsi="Times New Roman"/>
          <w:color w:val="000000" w:themeColor="text1"/>
          <w:sz w:val="16"/>
          <w:szCs w:val="16"/>
        </w:rPr>
        <w:softHyphen/>
        <w:t>вода № 30 (зав. № 304230) и завода № 1 (зав. № 10565) специа</w:t>
      </w:r>
      <w:r w:rsidRPr="007224C3">
        <w:rPr>
          <w:rFonts w:ascii="Times New Roman" w:hAnsi="Times New Roman"/>
          <w:color w:val="000000" w:themeColor="text1"/>
          <w:sz w:val="16"/>
          <w:szCs w:val="16"/>
        </w:rPr>
        <w:softHyphen/>
        <w:t>листы института рекомендовали проведение полной весовой разбалансировки на всех самолетах Ил-2.</w:t>
      </w:r>
    </w:p>
    <w:p w14:paraId="4724047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Военные летчики из НИИ ВВС с мнением ЛИИ НКАП не согласились. Входе специальных испытаний в период с 5 по 10 июля 1944 г. серийного Ил-2 «крыло со стрелкой» завода № 30 (зав. № 304783) с разбалансированными рулями высоты и направления был сде</w:t>
      </w:r>
      <w:r w:rsidRPr="007224C3">
        <w:rPr>
          <w:rFonts w:ascii="Times New Roman" w:hAnsi="Times New Roman"/>
          <w:color w:val="000000" w:themeColor="text1"/>
          <w:sz w:val="16"/>
          <w:szCs w:val="16"/>
        </w:rPr>
        <w:softHyphen/>
        <w:t>лан вывод, что одновременно с увели</w:t>
      </w:r>
      <w:r w:rsidRPr="007224C3">
        <w:rPr>
          <w:rFonts w:ascii="Times New Roman" w:hAnsi="Times New Roman"/>
          <w:color w:val="000000" w:themeColor="text1"/>
          <w:sz w:val="16"/>
          <w:szCs w:val="16"/>
        </w:rPr>
        <w:softHyphen/>
        <w:t>чением продольной устойчивости уп</w:t>
      </w:r>
      <w:r w:rsidRPr="007224C3">
        <w:rPr>
          <w:rFonts w:ascii="Times New Roman" w:hAnsi="Times New Roman"/>
          <w:color w:val="000000" w:themeColor="text1"/>
          <w:sz w:val="16"/>
          <w:szCs w:val="16"/>
        </w:rPr>
        <w:softHyphen/>
        <w:t>равляемость самолета значительно ухудшилась. Нагрузки на ручке управ</w:t>
      </w:r>
      <w:r w:rsidRPr="007224C3">
        <w:rPr>
          <w:rFonts w:ascii="Times New Roman" w:hAnsi="Times New Roman"/>
          <w:color w:val="000000" w:themeColor="text1"/>
          <w:sz w:val="16"/>
          <w:szCs w:val="16"/>
        </w:rPr>
        <w:softHyphen/>
        <w:t>ления рулем высоты при выполнении боевого разворота, виража, горки и на выводе из пикирования высоты замет</w:t>
      </w:r>
      <w:r w:rsidRPr="007224C3">
        <w:rPr>
          <w:rFonts w:ascii="Times New Roman" w:hAnsi="Times New Roman"/>
          <w:color w:val="000000" w:themeColor="text1"/>
          <w:sz w:val="16"/>
          <w:szCs w:val="16"/>
        </w:rPr>
        <w:softHyphen/>
        <w:t>но увеличились. Усложнилась техника выполнения посадки. При отрегулиро</w:t>
      </w:r>
      <w:r w:rsidRPr="007224C3">
        <w:rPr>
          <w:rFonts w:ascii="Times New Roman" w:hAnsi="Times New Roman"/>
          <w:color w:val="000000" w:themeColor="text1"/>
          <w:sz w:val="16"/>
          <w:szCs w:val="16"/>
        </w:rPr>
        <w:softHyphen/>
        <w:t>ванном на планировании триммере ручка управления с трудом добиралась «на себя», а после посадки на пробеге она с силой уходила «от себя» и удер</w:t>
      </w:r>
      <w:r w:rsidRPr="007224C3">
        <w:rPr>
          <w:rFonts w:ascii="Times New Roman" w:hAnsi="Times New Roman"/>
          <w:color w:val="000000" w:themeColor="text1"/>
          <w:sz w:val="16"/>
          <w:szCs w:val="16"/>
        </w:rPr>
        <w:softHyphen/>
        <w:t>жать ее трудно.</w:t>
      </w:r>
    </w:p>
    <w:p w14:paraId="4BCBA9F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Кроме этого, обнаружилась </w:t>
      </w:r>
      <w:r w:rsidRPr="007224C3">
        <w:rPr>
          <w:rFonts w:ascii="Times New Roman" w:hAnsi="Times New Roman"/>
          <w:iCs/>
          <w:color w:val="000000" w:themeColor="text1"/>
          <w:sz w:val="16"/>
          <w:szCs w:val="16"/>
        </w:rPr>
        <w:t>«тряс</w:t>
      </w:r>
      <w:r w:rsidRPr="007224C3">
        <w:rPr>
          <w:rFonts w:ascii="Times New Roman" w:hAnsi="Times New Roman"/>
          <w:iCs/>
          <w:color w:val="000000" w:themeColor="text1"/>
          <w:sz w:val="16"/>
          <w:szCs w:val="16"/>
        </w:rPr>
        <w:softHyphen/>
        <w:t>ка рулей и их систем управления, ощу</w:t>
      </w:r>
      <w:r w:rsidRPr="007224C3">
        <w:rPr>
          <w:rFonts w:ascii="Times New Roman" w:hAnsi="Times New Roman"/>
          <w:iCs/>
          <w:color w:val="000000" w:themeColor="text1"/>
          <w:sz w:val="16"/>
          <w:szCs w:val="16"/>
        </w:rPr>
        <w:softHyphen/>
        <w:t>щаемая летчиком в форме непрекраща</w:t>
      </w:r>
      <w:r w:rsidRPr="007224C3">
        <w:rPr>
          <w:rFonts w:ascii="Times New Roman" w:hAnsi="Times New Roman"/>
          <w:iCs/>
          <w:color w:val="000000" w:themeColor="text1"/>
          <w:sz w:val="16"/>
          <w:szCs w:val="16"/>
        </w:rPr>
        <w:softHyphen/>
        <w:t>ющегося - постоянного дрожания руч</w:t>
      </w:r>
      <w:r w:rsidRPr="007224C3">
        <w:rPr>
          <w:rFonts w:ascii="Times New Roman" w:hAnsi="Times New Roman"/>
          <w:iCs/>
          <w:color w:val="000000" w:themeColor="text1"/>
          <w:sz w:val="16"/>
          <w:szCs w:val="16"/>
        </w:rPr>
        <w:softHyphen/>
        <w:t>ки и педалей в течение всего полета от старта до посадки, т.е. на всех ре</w:t>
      </w:r>
      <w:r w:rsidRPr="007224C3">
        <w:rPr>
          <w:rFonts w:ascii="Times New Roman" w:hAnsi="Times New Roman"/>
          <w:iCs/>
          <w:color w:val="000000" w:themeColor="text1"/>
          <w:sz w:val="16"/>
          <w:szCs w:val="16"/>
        </w:rPr>
        <w:softHyphen/>
        <w:t>жимах и скоростях, причем с увеличе</w:t>
      </w:r>
      <w:r w:rsidRPr="007224C3">
        <w:rPr>
          <w:rFonts w:ascii="Times New Roman" w:hAnsi="Times New Roman"/>
          <w:iCs/>
          <w:color w:val="000000" w:themeColor="text1"/>
          <w:sz w:val="16"/>
          <w:szCs w:val="16"/>
        </w:rPr>
        <w:softHyphen/>
        <w:t xml:space="preserve">нием скорости тряска увеличивается». </w:t>
      </w:r>
      <w:r w:rsidRPr="007224C3">
        <w:rPr>
          <w:rFonts w:ascii="Times New Roman" w:hAnsi="Times New Roman"/>
          <w:color w:val="000000" w:themeColor="text1"/>
          <w:sz w:val="16"/>
          <w:szCs w:val="16"/>
        </w:rPr>
        <w:t>При этом колебания имели вид биений. Наличие биений указывало на бли</w:t>
      </w:r>
      <w:r w:rsidRPr="007224C3">
        <w:rPr>
          <w:rFonts w:ascii="Times New Roman" w:hAnsi="Times New Roman"/>
          <w:color w:val="000000" w:themeColor="text1"/>
          <w:sz w:val="16"/>
          <w:szCs w:val="16"/>
        </w:rPr>
        <w:softHyphen/>
        <w:t>зость резонанса собственных колеба</w:t>
      </w:r>
      <w:r w:rsidRPr="007224C3">
        <w:rPr>
          <w:rFonts w:ascii="Times New Roman" w:hAnsi="Times New Roman"/>
          <w:color w:val="000000" w:themeColor="text1"/>
          <w:sz w:val="16"/>
          <w:szCs w:val="16"/>
        </w:rPr>
        <w:softHyphen/>
        <w:t>ний руля высоты с пульсацией аэро</w:t>
      </w:r>
      <w:r w:rsidRPr="007224C3">
        <w:rPr>
          <w:rFonts w:ascii="Times New Roman" w:hAnsi="Times New Roman"/>
          <w:color w:val="000000" w:themeColor="text1"/>
          <w:sz w:val="16"/>
          <w:szCs w:val="16"/>
        </w:rPr>
        <w:softHyphen/>
        <w:t>динамического потока. Это обстоя</w:t>
      </w:r>
      <w:r w:rsidRPr="007224C3">
        <w:rPr>
          <w:rFonts w:ascii="Times New Roman" w:hAnsi="Times New Roman"/>
          <w:color w:val="000000" w:themeColor="text1"/>
          <w:sz w:val="16"/>
          <w:szCs w:val="16"/>
        </w:rPr>
        <w:softHyphen/>
        <w:t>тельство сочли весьма опасным для прочности самолета.</w:t>
      </w:r>
    </w:p>
    <w:p w14:paraId="5F450C3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Ведущий летчик-испытатель заме</w:t>
      </w:r>
      <w:r w:rsidRPr="007224C3">
        <w:rPr>
          <w:rFonts w:ascii="Times New Roman" w:hAnsi="Times New Roman"/>
          <w:color w:val="000000" w:themeColor="text1"/>
          <w:sz w:val="16"/>
          <w:szCs w:val="16"/>
        </w:rPr>
        <w:softHyphen/>
        <w:t>ститель начальника 4-го отдела управ</w:t>
      </w:r>
      <w:r w:rsidRPr="007224C3">
        <w:rPr>
          <w:rFonts w:ascii="Times New Roman" w:hAnsi="Times New Roman"/>
          <w:color w:val="000000" w:themeColor="text1"/>
          <w:sz w:val="16"/>
          <w:szCs w:val="16"/>
        </w:rPr>
        <w:softHyphen/>
        <w:t>ления испытаний самолетов инженер-майор А. В. Синельников отмечал, что разбалансировка рулей привела к по</w:t>
      </w:r>
      <w:r w:rsidRPr="007224C3">
        <w:rPr>
          <w:rFonts w:ascii="Times New Roman" w:hAnsi="Times New Roman"/>
          <w:color w:val="000000" w:themeColor="text1"/>
          <w:sz w:val="16"/>
          <w:szCs w:val="16"/>
        </w:rPr>
        <w:softHyphen/>
        <w:t>явлению у самолета серьезных недо</w:t>
      </w:r>
      <w:r w:rsidRPr="007224C3">
        <w:rPr>
          <w:rFonts w:ascii="Times New Roman" w:hAnsi="Times New Roman"/>
          <w:color w:val="000000" w:themeColor="text1"/>
          <w:sz w:val="16"/>
          <w:szCs w:val="16"/>
        </w:rPr>
        <w:softHyphen/>
        <w:t>статков, усложняющих технику пилотирования, которые никак не могут быть компенсированы некоторым уве</w:t>
      </w:r>
      <w:r w:rsidRPr="007224C3">
        <w:rPr>
          <w:rFonts w:ascii="Times New Roman" w:hAnsi="Times New Roman"/>
          <w:color w:val="000000" w:themeColor="text1"/>
          <w:sz w:val="16"/>
          <w:szCs w:val="16"/>
        </w:rPr>
        <w:softHyphen/>
        <w:t>личением продольной устойчивости.</w:t>
      </w:r>
    </w:p>
    <w:p w14:paraId="76F1F0B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Такого же мнения придерживались и летчики облета, в том числе замести</w:t>
      </w:r>
      <w:r w:rsidRPr="007224C3">
        <w:rPr>
          <w:rFonts w:ascii="Times New Roman" w:hAnsi="Times New Roman"/>
          <w:color w:val="000000" w:themeColor="text1"/>
          <w:sz w:val="16"/>
          <w:szCs w:val="16"/>
        </w:rPr>
        <w:softHyphen/>
        <w:t>тель начальника управления испыта</w:t>
      </w:r>
      <w:r w:rsidRPr="007224C3">
        <w:rPr>
          <w:rFonts w:ascii="Times New Roman" w:hAnsi="Times New Roman"/>
          <w:color w:val="000000" w:themeColor="text1"/>
          <w:sz w:val="16"/>
          <w:szCs w:val="16"/>
        </w:rPr>
        <w:softHyphen/>
        <w:t>ний самолетов по летной части гене</w:t>
      </w:r>
      <w:r w:rsidRPr="007224C3">
        <w:rPr>
          <w:rFonts w:ascii="Times New Roman" w:hAnsi="Times New Roman"/>
          <w:color w:val="000000" w:themeColor="text1"/>
          <w:sz w:val="16"/>
          <w:szCs w:val="16"/>
        </w:rPr>
        <w:softHyphen/>
        <w:t xml:space="preserve">рал-майор Стефановский. При этом Стефановский </w:t>
      </w:r>
      <w:r w:rsidRPr="007224C3">
        <w:rPr>
          <w:rFonts w:ascii="Times New Roman" w:hAnsi="Times New Roman"/>
          <w:iCs/>
          <w:color w:val="000000" w:themeColor="text1"/>
          <w:sz w:val="16"/>
          <w:szCs w:val="16"/>
        </w:rPr>
        <w:t xml:space="preserve">в </w:t>
      </w:r>
      <w:r w:rsidRPr="007224C3">
        <w:rPr>
          <w:rFonts w:ascii="Times New Roman" w:hAnsi="Times New Roman"/>
          <w:color w:val="000000" w:themeColor="text1"/>
          <w:sz w:val="16"/>
          <w:szCs w:val="16"/>
        </w:rPr>
        <w:t>донесении об облете самолета потребовал запретить снятие на Ил-2 весовых балансиров (11215).</w:t>
      </w:r>
    </w:p>
    <w:p w14:paraId="6809AA1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5CF4BD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8 мая 1944 в ЛИИ НКАП были завершены специальные летные испытания серийного самолета производства завода № 30 (зав. № 303316) со "стрельчатым крылом" деревянной конструкции на устойчивость, управляемость и флаттер с разбалансирован- ным рулем высоты и направления. Элероны имели аэродинамическую компенсацию 27% вместо 22,5% у серийных самолетов. Испытания проводили летчики-испытатели Л. И. Тарощин, А. Н. Гринчик и Н. С. Рыбко. Результаты обработки показаний установленных на самолете приборов-самописцев типа ЛИИ подтвердили отзывы летчиков.</w:t>
      </w:r>
    </w:p>
    <w:p w14:paraId="0C9E1B6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Оказалось, что разбалансировка смещает центровку самолета вперед на 0,5% САХ и улучшает его продольную устойчивость со свободным управлением. Кроме этого, снятие балансира руля высоты весом (с трубой) 12,3 кг уменьшило шарнирный момент, вследствие чего усилие на ручке управления изменилось с +1 кг (на себя) на -6 кг (от себя).</w:t>
      </w:r>
    </w:p>
    <w:p w14:paraId="288E082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процессе пикирований скорость самолета достигала 468 км/ч (по прибору), но никаких трясок и вибраций не наблюдалось. При осмотре самолета после полетов остаточных деформаций не обнаружено.</w:t>
      </w:r>
    </w:p>
    <w:p w14:paraId="6BDB697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Летчики отмечали, что на больших скоростях полета устойчивость самолета с брошенным управлением близка к нейтральной, затем с уменьшением скорости плавно появляется незначительная неустойчивость.</w:t>
      </w:r>
    </w:p>
    <w:p w14:paraId="5B69643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планировании запас устойчивости достаточный, с постепенным уменьшением при полете на малых скоростях. Нагрузки на ручку управления, легко снимаются триммерами.</w:t>
      </w:r>
    </w:p>
    <w:p w14:paraId="7535E97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Выполнение виражей, боевых разворотов и выходов из пикирования сопровождается возникновением "прямых по направлению, но по величине несколько больших нормы", усилий на ручке управления. При этом возможность срыва в штопор от перетягивания ручки на вираже почти исключалась.</w:t>
      </w:r>
    </w:p>
    <w:p w14:paraId="304989F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взлете усилия на ручку управления были несколько меньше, чем у серийного самолета. Величина усилий от руля высоты при посадке оценивалась нормальной.</w:t>
      </w:r>
    </w:p>
    <w:p w14:paraId="103F852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Обратной стороной "изъятия" балансиров в системе управления являлись "неприятные подергивания ручки при рулении", из-за несбалансированности руля высоты, но это считалось вполне приемлемым.</w:t>
      </w:r>
    </w:p>
    <w:p w14:paraId="6FE405A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После проверки полученных результатов дополнительными испытаниями еще двух серийных штурмовиков выпуска завода № 30 (зав. №304230) и завода № 1 (зав. №10565) специалисты института рекомендовали проведение полной весовой разба- лансировки на всех самолетах Ил-2 (12020).</w:t>
      </w:r>
    </w:p>
    <w:p w14:paraId="19B8D0E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231DDB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мая 1944 года Шахурин писал письмо N Н-7/2339 начальнику 7 гл. управления Шишкину С.Н., начальнику Московского филиала ЦАГИ Балыкову Г.Н.</w:t>
      </w:r>
    </w:p>
    <w:p w14:paraId="2E12B19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исполнение распоряжения ГКО от 4 мая 1944 года, N 5817с, предлагаю изготовить и поставить НКО (ГАУ КА) опытные образцы аэростатов заграждения: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5106D0" w:rsidRPr="007224C3" w14:paraId="431CF1C9" w14:textId="77777777">
        <w:tc>
          <w:tcPr>
            <w:tcW w:w="3757" w:type="dxa"/>
          </w:tcPr>
          <w:p w14:paraId="1E346D2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опытный аэростат заграждения системы</w:t>
            </w:r>
          </w:p>
        </w:tc>
        <w:tc>
          <w:tcPr>
            <w:tcW w:w="3757" w:type="dxa"/>
          </w:tcPr>
          <w:p w14:paraId="5C4BABC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5E0A103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102F339" w14:textId="77777777">
        <w:tc>
          <w:tcPr>
            <w:tcW w:w="3757" w:type="dxa"/>
          </w:tcPr>
          <w:p w14:paraId="487483C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"Тандем" с потолком 700 м и допустимой</w:t>
            </w:r>
          </w:p>
        </w:tc>
        <w:tc>
          <w:tcPr>
            <w:tcW w:w="3757" w:type="dxa"/>
          </w:tcPr>
          <w:p w14:paraId="38EF9E3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5B957DA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51722AF" w14:textId="77777777">
        <w:tc>
          <w:tcPr>
            <w:tcW w:w="3757" w:type="dxa"/>
          </w:tcPr>
          <w:p w14:paraId="39398CF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скоростью ветра 20 м/сек.</w:t>
            </w:r>
          </w:p>
        </w:tc>
        <w:tc>
          <w:tcPr>
            <w:tcW w:w="3757" w:type="dxa"/>
          </w:tcPr>
          <w:p w14:paraId="6FE2204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шт.</w:t>
            </w:r>
          </w:p>
        </w:tc>
        <w:tc>
          <w:tcPr>
            <w:tcW w:w="3757" w:type="dxa"/>
          </w:tcPr>
          <w:p w14:paraId="50FDD66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августа 1944 г.</w:t>
            </w:r>
          </w:p>
        </w:tc>
      </w:tr>
      <w:tr w:rsidR="005106D0" w:rsidRPr="007224C3" w14:paraId="6F40B2A1" w14:textId="77777777">
        <w:tc>
          <w:tcPr>
            <w:tcW w:w="3757" w:type="dxa"/>
          </w:tcPr>
          <w:p w14:paraId="539A515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опытный одиночный аэростат заграждения</w:t>
            </w:r>
          </w:p>
        </w:tc>
        <w:tc>
          <w:tcPr>
            <w:tcW w:w="3757" w:type="dxa"/>
          </w:tcPr>
          <w:p w14:paraId="622E5DA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27CC9A1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8688EF1" w14:textId="77777777">
        <w:tc>
          <w:tcPr>
            <w:tcW w:w="3757" w:type="dxa"/>
          </w:tcPr>
          <w:p w14:paraId="2011CCD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потолком 2500 м и допустимой скоростью</w:t>
            </w:r>
          </w:p>
        </w:tc>
        <w:tc>
          <w:tcPr>
            <w:tcW w:w="3757" w:type="dxa"/>
          </w:tcPr>
          <w:p w14:paraId="65ED163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537A5DA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B3BE391" w14:textId="77777777">
        <w:tc>
          <w:tcPr>
            <w:tcW w:w="3757" w:type="dxa"/>
          </w:tcPr>
          <w:p w14:paraId="7E4065E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ветра 30 м/сек.</w:t>
            </w:r>
          </w:p>
        </w:tc>
        <w:tc>
          <w:tcPr>
            <w:tcW w:w="3757" w:type="dxa"/>
          </w:tcPr>
          <w:p w14:paraId="07922B2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шт.</w:t>
            </w:r>
          </w:p>
        </w:tc>
        <w:tc>
          <w:tcPr>
            <w:tcW w:w="3757" w:type="dxa"/>
          </w:tcPr>
          <w:p w14:paraId="0D8E681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августа 1944 г.</w:t>
            </w:r>
          </w:p>
        </w:tc>
      </w:tr>
      <w:tr w:rsidR="005106D0" w:rsidRPr="007224C3" w14:paraId="19FEEB0B" w14:textId="77777777">
        <w:tc>
          <w:tcPr>
            <w:tcW w:w="3757" w:type="dxa"/>
          </w:tcPr>
          <w:p w14:paraId="339607C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Специальное оборудование (вооружение) к</w:t>
            </w:r>
          </w:p>
        </w:tc>
        <w:tc>
          <w:tcPr>
            <w:tcW w:w="3757" w:type="dxa"/>
          </w:tcPr>
          <w:p w14:paraId="1DB4DF1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3EDF5CF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FBD1515" w14:textId="77777777">
        <w:tc>
          <w:tcPr>
            <w:tcW w:w="3757" w:type="dxa"/>
          </w:tcPr>
          <w:p w14:paraId="638BC10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аэростатам заграждения для поражения</w:t>
            </w:r>
          </w:p>
        </w:tc>
        <w:tc>
          <w:tcPr>
            <w:tcW w:w="3757" w:type="dxa"/>
          </w:tcPr>
          <w:p w14:paraId="03787CE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405BE06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CCEA7A4" w14:textId="77777777">
        <w:tc>
          <w:tcPr>
            <w:tcW w:w="3757" w:type="dxa"/>
          </w:tcPr>
          <w:p w14:paraId="33DE808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самолетов противника со скоростью полета</w:t>
            </w:r>
          </w:p>
        </w:tc>
        <w:tc>
          <w:tcPr>
            <w:tcW w:w="3757" w:type="dxa"/>
          </w:tcPr>
          <w:p w14:paraId="79F6645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7C74EDA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48FC594" w14:textId="77777777">
        <w:tc>
          <w:tcPr>
            <w:tcW w:w="3757" w:type="dxa"/>
          </w:tcPr>
          <w:p w14:paraId="0F02156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 600 км/час</w:t>
            </w:r>
          </w:p>
        </w:tc>
        <w:tc>
          <w:tcPr>
            <w:tcW w:w="3757" w:type="dxa"/>
          </w:tcPr>
          <w:p w14:paraId="5DFC97B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3E552C4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сентября 1944 г. (1825,35)</w:t>
            </w:r>
          </w:p>
        </w:tc>
      </w:tr>
    </w:tbl>
    <w:p w14:paraId="7A9BA44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FFAAFC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мая 1944 вышло Постановление ГКО № 5848 Об организации производства моторов М-88Б для бомбардировщиков Ил-4 на заводе № 478 Наркомавиапрома в г.Запорожье. РГАНИР, Фонд ГКО, д. 251, лл. 173-176,177-182 (11012).</w:t>
      </w:r>
    </w:p>
    <w:p w14:paraId="0F3754A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8B7EE00" w14:textId="77777777" w:rsidR="003A33F9" w:rsidRPr="007224C3" w:rsidRDefault="003A33F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мая 1944 вышло Постановление ГКО № 5848 Об организации производства моторов М-88Б для бомбардировщиков Ил-4 на заводе № 478 Наркомавиапрома в г.Запорожье</w:t>
      </w:r>
    </w:p>
    <w:p w14:paraId="23325396" w14:textId="77777777" w:rsidR="003A33F9" w:rsidRPr="007224C3" w:rsidRDefault="003A33F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Государствонный Комитет Оборсны постановляет:</w:t>
      </w:r>
    </w:p>
    <w:p w14:paraId="5CBD764F" w14:textId="77777777" w:rsidR="003A33F9" w:rsidRPr="007224C3" w:rsidRDefault="003A33F9" w:rsidP="007224C3">
      <w:pPr>
        <w:tabs>
          <w:tab w:val="left" w:pos="1715"/>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Обязать Наркомавиапром - т.Шахурина восстано</w:t>
      </w:r>
      <w:r w:rsidRPr="007224C3">
        <w:rPr>
          <w:rFonts w:ascii="Times New Roman" w:hAnsi="Times New Roman"/>
          <w:color w:val="000000" w:themeColor="text1"/>
          <w:sz w:val="16"/>
          <w:szCs w:val="16"/>
        </w:rPr>
        <w:softHyphen/>
        <w:t>вить разрушенные и поврежденные промышленные об"екты бывшего завода № 29 в г.Запорожье (в настоящее время завод № 478 НКАП) и организовать выпуск моторов М-88Б на этом заводе, с постепенным переводом производства моторов М-88Б с завода № 29 (г.Омск) на завод № 478,</w:t>
      </w:r>
    </w:p>
    <w:p w14:paraId="6B70A637" w14:textId="77777777" w:rsidR="003A33F9" w:rsidRPr="007224C3" w:rsidRDefault="003A33F9" w:rsidP="007224C3">
      <w:pPr>
        <w:tabs>
          <w:tab w:val="left" w:pos="1738"/>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Установить Наркомавиапрому следующую  програм</w:t>
      </w:r>
      <w:r w:rsidRPr="007224C3">
        <w:rPr>
          <w:rFonts w:ascii="Times New Roman" w:hAnsi="Times New Roman"/>
          <w:color w:val="000000" w:themeColor="text1"/>
          <w:sz w:val="16"/>
          <w:szCs w:val="16"/>
        </w:rPr>
        <w:softHyphen/>
        <w:t>му выпуска моторов М-88Б на заводе № 478:</w:t>
      </w:r>
    </w:p>
    <w:p w14:paraId="5BA56CF0" w14:textId="77777777" w:rsidR="003A33F9" w:rsidRPr="007224C3" w:rsidRDefault="003A33F9" w:rsidP="007224C3">
      <w:pPr>
        <w:tabs>
          <w:tab w:val="left" w:pos="1723"/>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по выпуску ремонтных моторов М-88Б: в июне - 15, в июле - 25 и в августе - 40 моторов, с выходом к 1 сентября с.г. на выпуск двух ремонтных моторов в сутки;</w:t>
      </w:r>
    </w:p>
    <w:p w14:paraId="74510ED2" w14:textId="77777777" w:rsidR="003A33F9" w:rsidRPr="007224C3" w:rsidRDefault="003A33F9" w:rsidP="007224C3">
      <w:pPr>
        <w:tabs>
          <w:tab w:val="left" w:pos="1738"/>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по выпуску моторов М-88Б из деталей производ</w:t>
      </w:r>
      <w:r w:rsidRPr="007224C3">
        <w:rPr>
          <w:rFonts w:ascii="Times New Roman" w:hAnsi="Times New Roman"/>
          <w:color w:val="000000" w:themeColor="text1"/>
          <w:sz w:val="16"/>
          <w:szCs w:val="16"/>
        </w:rPr>
        <w:softHyphen/>
        <w:t>ства завода № 29: в августе - 10 моторов, в сентябре - 25, в октябре - 50, ноябре - 75 и с декабря 1944 года - по 100 моторов в месяц;</w:t>
      </w:r>
    </w:p>
    <w:p w14:paraId="64B2941C" w14:textId="77777777" w:rsidR="003A33F9" w:rsidRPr="007224C3" w:rsidRDefault="003A33F9" w:rsidP="007224C3">
      <w:pPr>
        <w:tabs>
          <w:tab w:val="left" w:pos="1730"/>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по выпуску моторов М-88Б из деталей собствен</w:t>
      </w:r>
      <w:r w:rsidRPr="007224C3">
        <w:rPr>
          <w:rFonts w:ascii="Times New Roman" w:hAnsi="Times New Roman"/>
          <w:color w:val="000000" w:themeColor="text1"/>
          <w:sz w:val="16"/>
          <w:szCs w:val="16"/>
        </w:rPr>
        <w:softHyphen/>
        <w:t>ного производства: в мае 1945 года - 10 моторов, в ию</w:t>
      </w:r>
      <w:r w:rsidRPr="007224C3">
        <w:rPr>
          <w:rFonts w:ascii="Times New Roman" w:hAnsi="Times New Roman"/>
          <w:color w:val="000000" w:themeColor="text1"/>
          <w:sz w:val="16"/>
          <w:szCs w:val="16"/>
        </w:rPr>
        <w:softHyphen/>
        <w:t>не - 15 моторов и г. июле 1945 года обеспечить выпуск по одному мотору в сутки.</w:t>
      </w:r>
    </w:p>
    <w:p w14:paraId="31E8DFE6" w14:textId="77777777" w:rsidR="003A33F9" w:rsidRPr="007224C3" w:rsidRDefault="003A33F9" w:rsidP="007224C3">
      <w:pPr>
        <w:tabs>
          <w:tab w:val="left" w:pos="950"/>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Обязать Наркомавиапром - т.Шахурина и директо</w:t>
      </w:r>
      <w:r w:rsidRPr="007224C3">
        <w:rPr>
          <w:rFonts w:ascii="Times New Roman" w:hAnsi="Times New Roman"/>
          <w:color w:val="000000" w:themeColor="text1"/>
          <w:sz w:val="16"/>
          <w:szCs w:val="16"/>
        </w:rPr>
        <w:softHyphen/>
        <w:t>ра завода № 29 - т.Борисова:</w:t>
      </w:r>
    </w:p>
    <w:p w14:paraId="4DE23958" w14:textId="77777777" w:rsidR="003A33F9" w:rsidRPr="007224C3" w:rsidRDefault="003A33F9" w:rsidP="007224C3">
      <w:pPr>
        <w:tabs>
          <w:tab w:val="left" w:pos="965"/>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обеспечить равномерную подачу заводу № 478 полного комплекта деталей мотора М-88Б в количествах: в июле на 10 моторов, в августе - 25, в сентябре - 50, в октябре - 75 и с ноября 1944 года по 100 моторов еже</w:t>
      </w:r>
      <w:r w:rsidRPr="007224C3">
        <w:rPr>
          <w:rFonts w:ascii="Times New Roman" w:hAnsi="Times New Roman"/>
          <w:color w:val="000000" w:themeColor="text1"/>
          <w:sz w:val="16"/>
          <w:szCs w:val="16"/>
        </w:rPr>
        <w:softHyphen/>
        <w:t>месячно, в счет заданной заводу программы по моторам М-88Б.</w:t>
      </w:r>
    </w:p>
    <w:p w14:paraId="7ABEC70C" w14:textId="77777777" w:rsidR="003A33F9" w:rsidRPr="007224C3" w:rsidRDefault="003A33F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Сохранить в 1945 году на заводе № 29 производство моторов М-88Б в количестве 100 моторов ежемесячно, до освоения заводом № 478 выпуска этих моторов из деталей собственного производства;</w:t>
      </w:r>
    </w:p>
    <w:p w14:paraId="03E70EA6" w14:textId="77777777" w:rsidR="003A33F9" w:rsidRPr="007224C3" w:rsidRDefault="003A33F9" w:rsidP="007224C3">
      <w:pPr>
        <w:tabs>
          <w:tab w:val="left" w:pos="958"/>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передать заводу № 478 техническую документацию по мотору М-88Б, дублеры действующей оснастки и специ</w:t>
      </w:r>
      <w:r w:rsidRPr="007224C3">
        <w:rPr>
          <w:rFonts w:ascii="Times New Roman" w:hAnsi="Times New Roman"/>
          <w:color w:val="000000" w:themeColor="text1"/>
          <w:sz w:val="16"/>
          <w:szCs w:val="16"/>
        </w:rPr>
        <w:softHyphen/>
        <w:t>ального оборудования, а также два комплекта монтажного, мерительного и режущего инструмента, необходимые для организации выпуска моторов М-88Б.</w:t>
      </w:r>
    </w:p>
    <w:p w14:paraId="5229B060" w14:textId="77777777" w:rsidR="003A33F9" w:rsidRPr="007224C3" w:rsidRDefault="003A33F9" w:rsidP="007224C3">
      <w:pPr>
        <w:tabs>
          <w:tab w:val="left" w:pos="958"/>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Возложить на Стройтрест № 4 НКАП выполнение ра</w:t>
      </w:r>
      <w:r w:rsidRPr="007224C3">
        <w:rPr>
          <w:rFonts w:ascii="Times New Roman" w:hAnsi="Times New Roman"/>
          <w:color w:val="000000" w:themeColor="text1"/>
          <w:sz w:val="16"/>
          <w:szCs w:val="16"/>
        </w:rPr>
        <w:softHyphen/>
        <w:t>бот по восстановлению Запорожского авиамоторного заво</w:t>
      </w:r>
      <w:r w:rsidRPr="007224C3">
        <w:rPr>
          <w:rFonts w:ascii="Times New Roman" w:hAnsi="Times New Roman"/>
          <w:color w:val="000000" w:themeColor="text1"/>
          <w:sz w:val="16"/>
          <w:szCs w:val="16"/>
        </w:rPr>
        <w:softHyphen/>
        <w:t>да 478.</w:t>
      </w:r>
    </w:p>
    <w:p w14:paraId="246023F3" w14:textId="77777777" w:rsidR="003A33F9" w:rsidRPr="007224C3" w:rsidRDefault="003A33F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Обязать Наркомавиапром - т.Шахурина и управляюще</w:t>
      </w:r>
      <w:r w:rsidRPr="007224C3">
        <w:rPr>
          <w:rFonts w:ascii="Times New Roman" w:hAnsi="Times New Roman"/>
          <w:color w:val="000000" w:themeColor="text1"/>
          <w:sz w:val="16"/>
          <w:szCs w:val="16"/>
        </w:rPr>
        <w:softHyphen/>
        <w:t>го Стройтрестом № 4 НКАП - т.Павлова организовать в Запорожье Строительно-монтажное управление (</w:t>
      </w:r>
      <w:r w:rsidRPr="007224C3">
        <w:rPr>
          <w:rFonts w:ascii="Times New Roman" w:hAnsi="Times New Roman"/>
          <w:color w:val="000000" w:themeColor="text1"/>
          <w:sz w:val="16"/>
          <w:szCs w:val="16"/>
          <w:lang w:val="en-US"/>
        </w:rPr>
        <w:t>C</w:t>
      </w:r>
      <w:r w:rsidRPr="007224C3">
        <w:rPr>
          <w:rFonts w:ascii="Times New Roman" w:hAnsi="Times New Roman"/>
          <w:color w:val="000000" w:themeColor="text1"/>
          <w:sz w:val="16"/>
          <w:szCs w:val="16"/>
        </w:rPr>
        <w:t>МУ-21) и по мере окончания работ по восстановлению завода "Крас</w:t>
      </w:r>
      <w:r w:rsidRPr="007224C3">
        <w:rPr>
          <w:rFonts w:ascii="Times New Roman" w:hAnsi="Times New Roman"/>
          <w:color w:val="000000" w:themeColor="text1"/>
          <w:sz w:val="16"/>
          <w:szCs w:val="16"/>
        </w:rPr>
        <w:softHyphen/>
        <w:t>ный Октябрь" НКЧМ перебрасывать на Запорожский завод рабочих, ИТР, служащих, оборудование и материалы.</w:t>
      </w:r>
    </w:p>
    <w:p w14:paraId="174FE949" w14:textId="77777777" w:rsidR="003A33F9" w:rsidRPr="007224C3" w:rsidRDefault="003A33F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Утвердить сроки восстановления основных об"ектов завода № 478 НКАП, согласно приложению № 1.</w:t>
      </w:r>
    </w:p>
    <w:p w14:paraId="6FB55E59" w14:textId="77777777" w:rsidR="003A33F9" w:rsidRPr="007224C3" w:rsidRDefault="003A33F9" w:rsidP="007224C3">
      <w:pPr>
        <w:tabs>
          <w:tab w:val="left" w:pos="943"/>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Обязать Наркомстанкостроения - т.Ефремова поста</w:t>
      </w:r>
      <w:r w:rsidRPr="007224C3">
        <w:rPr>
          <w:rFonts w:ascii="Times New Roman" w:hAnsi="Times New Roman"/>
          <w:color w:val="000000" w:themeColor="text1"/>
          <w:sz w:val="16"/>
          <w:szCs w:val="16"/>
        </w:rPr>
        <w:softHyphen/>
        <w:t>вить во втором-третьем кварталах с.г. заводу № 478 НКАП 50 металлорежущих станков, а также инструмент на сумму 300 тыс.рублей, по спецификации Наркомавиапрсма и в счет его фондов,'</w:t>
      </w:r>
    </w:p>
    <w:p w14:paraId="1BF16B74" w14:textId="77777777" w:rsidR="003A33F9" w:rsidRPr="007224C3" w:rsidRDefault="003A33F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Обязать Наркомвнешторг - т.Микояна, в целях укомплектования производства авиамоторов М-88Б на з</w:t>
      </w:r>
      <w:r w:rsidRPr="007224C3">
        <w:rPr>
          <w:rFonts w:ascii="Times New Roman" w:hAnsi="Times New Roman"/>
          <w:color w:val="000000" w:themeColor="text1"/>
          <w:sz w:val="16"/>
          <w:szCs w:val="16"/>
          <w:lang w:val="en-US"/>
        </w:rPr>
        <w:t>a</w:t>
      </w:r>
      <w:r w:rsidRPr="007224C3">
        <w:rPr>
          <w:rFonts w:ascii="Times New Roman" w:hAnsi="Times New Roman"/>
          <w:color w:val="000000" w:themeColor="text1"/>
          <w:sz w:val="16"/>
          <w:szCs w:val="16"/>
        </w:rPr>
        <w:t>воде № 478 оборудованием, поставить во втором полуго</w:t>
      </w:r>
      <w:r w:rsidRPr="007224C3">
        <w:rPr>
          <w:rFonts w:ascii="Times New Roman" w:hAnsi="Times New Roman"/>
          <w:color w:val="000000" w:themeColor="text1"/>
          <w:sz w:val="16"/>
          <w:szCs w:val="16"/>
        </w:rPr>
        <w:softHyphen/>
        <w:t>дии с.г. и в первом квартале 1945 года заводу № 470 НКАП из импортных поступлений и дополнительной закуп</w:t>
      </w:r>
      <w:r w:rsidRPr="007224C3">
        <w:rPr>
          <w:rFonts w:ascii="Times New Roman" w:hAnsi="Times New Roman"/>
          <w:color w:val="000000" w:themeColor="text1"/>
          <w:sz w:val="16"/>
          <w:szCs w:val="16"/>
        </w:rPr>
        <w:softHyphen/>
        <w:t>ки: металлорежущего оборудования 1200 единиц (в том число для опытного производства - 100 единиц), куэнечно-прессового - 26 единиц, литейного и термического - 50 единиц, под"емно-транспортного - 45 единиц, комп</w:t>
      </w:r>
      <w:r w:rsidRPr="007224C3">
        <w:rPr>
          <w:rFonts w:ascii="Times New Roman" w:hAnsi="Times New Roman"/>
          <w:color w:val="000000" w:themeColor="text1"/>
          <w:sz w:val="16"/>
          <w:szCs w:val="16"/>
        </w:rPr>
        <w:softHyphen/>
        <w:t>рессорного - 8 единиц, кислородную установку - 1, лабораторного оборудования на сумму 1,0 млн.рублей, а также в третьем-четвертой кварталах с.г. - абразивов, ревущего и мерительного инструмента на сумму 2,0 млн. рублей по спецификации Наркомавиапрома.</w:t>
      </w:r>
    </w:p>
    <w:p w14:paraId="17B40301" w14:textId="77777777" w:rsidR="003A33F9" w:rsidRPr="007224C3" w:rsidRDefault="003A33F9" w:rsidP="007224C3">
      <w:pPr>
        <w:tabs>
          <w:tab w:val="left" w:pos="928"/>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7. Обязать Госплан СССР - т.Вознесенского для обеспечения восстановительных работ на авиамоторном заводе № 478 НКАП предусмотреть в плаке распределения строительных материалов на третий квартал </w:t>
      </w:r>
      <w:r w:rsidRPr="007224C3">
        <w:rPr>
          <w:rStyle w:val="1pt"/>
          <w:rFonts w:ascii="Times New Roman" w:hAnsi="Times New Roman" w:cs="Times New Roman"/>
          <w:color w:val="000000" w:themeColor="text1"/>
          <w:spacing w:val="0"/>
          <w:sz w:val="16"/>
          <w:szCs w:val="16"/>
        </w:rPr>
        <w:t>с.г.</w:t>
      </w:r>
      <w:r w:rsidRPr="007224C3">
        <w:rPr>
          <w:rFonts w:ascii="Times New Roman" w:hAnsi="Times New Roman"/>
          <w:color w:val="000000" w:themeColor="text1"/>
          <w:sz w:val="16"/>
          <w:szCs w:val="16"/>
        </w:rPr>
        <w:t xml:space="preserve"> выделе</w:t>
      </w:r>
      <w:r w:rsidRPr="007224C3">
        <w:rPr>
          <w:rFonts w:ascii="Times New Roman" w:hAnsi="Times New Roman"/>
          <w:color w:val="000000" w:themeColor="text1"/>
          <w:sz w:val="16"/>
          <w:szCs w:val="16"/>
        </w:rPr>
        <w:softHyphen/>
        <w:t>ние для завода № 478 целевых фондов на лес круглый - 12 тыс.кбм,, лес пиленый - 6 тыс.кбм., цемент - 1500 тонн, стекло - 25 тыс.квм, металла для строительства - 700 тонн, трубы газовые и цельнотянутые - 160 тонн и мягкие кровельные материалы - 2700 рулонов.</w:t>
      </w:r>
    </w:p>
    <w:p w14:paraId="6FE40A3D" w14:textId="77777777" w:rsidR="003A33F9" w:rsidRPr="007224C3" w:rsidRDefault="003A33F9" w:rsidP="007224C3">
      <w:pPr>
        <w:tabs>
          <w:tab w:val="left" w:pos="928"/>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Перевести с предприятий, а также из сельских районов Запорожской области на завод № 478 НКАП всех рабочих, ранее работавших на заводе № 29 НКАП.</w:t>
      </w:r>
    </w:p>
    <w:p w14:paraId="1A69ADF0" w14:textId="77777777" w:rsidR="003A33F9" w:rsidRPr="007224C3" w:rsidRDefault="003A33F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Обязать секретаря Запорожского обкома КП(б)У - т.Матюшина обеспечить выполнение этого мероприятия.</w:t>
      </w:r>
    </w:p>
    <w:p w14:paraId="634299B1" w14:textId="77777777" w:rsidR="003A33F9" w:rsidRPr="007224C3" w:rsidRDefault="003A33F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Обязать Совнарком Украинской ССР и Комитет по учету и распределению рабочей силы при СНК СССР мобили</w:t>
      </w:r>
      <w:r w:rsidRPr="007224C3">
        <w:rPr>
          <w:rFonts w:ascii="Times New Roman" w:hAnsi="Times New Roman"/>
          <w:color w:val="000000" w:themeColor="text1"/>
          <w:sz w:val="16"/>
          <w:szCs w:val="16"/>
        </w:rPr>
        <w:softHyphen/>
        <w:t>зовать на территории УССР во втором и третьем кварталах с.г. из числа неработающего населения 5.000 чело</w:t>
      </w:r>
      <w:r w:rsidRPr="007224C3">
        <w:rPr>
          <w:rFonts w:ascii="Times New Roman" w:hAnsi="Times New Roman"/>
          <w:color w:val="000000" w:themeColor="text1"/>
          <w:sz w:val="16"/>
          <w:szCs w:val="16"/>
        </w:rPr>
        <w:softHyphen/>
        <w:t>век для работы на производстве и восстановлении авиа</w:t>
      </w:r>
      <w:r w:rsidRPr="007224C3">
        <w:rPr>
          <w:rFonts w:ascii="Times New Roman" w:hAnsi="Times New Roman"/>
          <w:color w:val="000000" w:themeColor="text1"/>
          <w:sz w:val="16"/>
          <w:szCs w:val="16"/>
        </w:rPr>
        <w:softHyphen/>
        <w:t>моторного завода № 478 НКАП в г.Запорожье.</w:t>
      </w:r>
    </w:p>
    <w:p w14:paraId="0D0EFC69" w14:textId="77777777" w:rsidR="003A33F9" w:rsidRPr="007224C3" w:rsidRDefault="003A33F9" w:rsidP="007224C3">
      <w:pPr>
        <w:tabs>
          <w:tab w:val="left" w:pos="1040"/>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Обязать НКО СССР - т.Смороданова мобилизовать на территории Украинской ССР во втором квартале с.г. из числа военнообязанных, не годных к строевой службе в Красной Армии, но годных к физическому труду - 1000 человек для работы на производстве и восстановлении авиамоторного завода № 478 НКАП в г.Запорожье.</w:t>
      </w:r>
    </w:p>
    <w:p w14:paraId="12F60B35" w14:textId="77777777" w:rsidR="003A33F9" w:rsidRPr="007224C3" w:rsidRDefault="003A33F9" w:rsidP="007224C3">
      <w:pPr>
        <w:tabs>
          <w:tab w:val="left" w:pos="1048"/>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Утвердить мероприятия по обеспечению восста</w:t>
      </w:r>
      <w:r w:rsidRPr="007224C3">
        <w:rPr>
          <w:rFonts w:ascii="Times New Roman" w:hAnsi="Times New Roman"/>
          <w:color w:val="000000" w:themeColor="text1"/>
          <w:sz w:val="16"/>
          <w:szCs w:val="16"/>
        </w:rPr>
        <w:softHyphen/>
        <w:t>новления и работы завода № 478 Наркомавиапрома (см.приложение №2).</w:t>
      </w:r>
    </w:p>
    <w:p w14:paraId="0418B98A" w14:textId="77777777" w:rsidR="003A33F9" w:rsidRPr="007224C3" w:rsidRDefault="003A33F9" w:rsidP="007224C3">
      <w:pPr>
        <w:tabs>
          <w:tab w:val="left" w:pos="1040"/>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Обязать Наркомфин СССР - т.Зверева выделить Наркомавиапрому из резервного фонда Совнаркома СССР 10 млн.рублей на постановку производства моторов М-88Е на заводе № 478, в том числе 1,5 млн.рублей на преми</w:t>
      </w:r>
      <w:r w:rsidRPr="007224C3">
        <w:rPr>
          <w:rFonts w:ascii="Times New Roman" w:hAnsi="Times New Roman"/>
          <w:color w:val="000000" w:themeColor="text1"/>
          <w:sz w:val="16"/>
          <w:szCs w:val="16"/>
        </w:rPr>
        <w:softHyphen/>
        <w:t>рование рабочих, ИТР и служащих, отличившихся на рабо</w:t>
      </w:r>
      <w:r w:rsidRPr="007224C3">
        <w:rPr>
          <w:rFonts w:ascii="Times New Roman" w:hAnsi="Times New Roman"/>
          <w:color w:val="000000" w:themeColor="text1"/>
          <w:sz w:val="16"/>
          <w:szCs w:val="16"/>
        </w:rPr>
        <w:softHyphen/>
        <w:t>те по восстановлению этого завода, и организации произ</w:t>
      </w:r>
      <w:r w:rsidRPr="007224C3">
        <w:rPr>
          <w:rFonts w:ascii="Times New Roman" w:hAnsi="Times New Roman"/>
          <w:color w:val="000000" w:themeColor="text1"/>
          <w:sz w:val="16"/>
          <w:szCs w:val="16"/>
        </w:rPr>
        <w:softHyphen/>
        <w:t>водства моторов М-88Б (19489).</w:t>
      </w:r>
    </w:p>
    <w:p w14:paraId="439288F9" w14:textId="77777777" w:rsidR="00B21653" w:rsidRPr="007224C3" w:rsidRDefault="00B21653" w:rsidP="007224C3">
      <w:pPr>
        <w:autoSpaceDE w:val="0"/>
        <w:autoSpaceDN w:val="0"/>
        <w:adjustRightInd w:val="0"/>
        <w:spacing w:after="0" w:line="240" w:lineRule="auto"/>
        <w:jc w:val="both"/>
        <w:rPr>
          <w:rFonts w:ascii="Times New Roman" w:hAnsi="Times New Roman"/>
          <w:color w:val="000000" w:themeColor="text1"/>
          <w:sz w:val="16"/>
          <w:szCs w:val="16"/>
        </w:rPr>
      </w:pPr>
    </w:p>
    <w:p w14:paraId="679D87E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8 мая 1944 был подготовлен проект приказа НКАП</w:t>
      </w:r>
    </w:p>
    <w:p w14:paraId="2172B14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целях быстрейшего ремонта моторных рам самолетов Пе-2, находящихся на зксплоатации, ПРИКАЗЫВАЮ:</w:t>
      </w:r>
    </w:p>
    <w:p w14:paraId="480707B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Директору завода № 22 тов.Окулову:</w:t>
      </w:r>
    </w:p>
    <w:p w14:paraId="50C0EAE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Изготовить в строки по прилагаемому графику 770 комплектов стальных накладок и крепежных деталей для усиления мо</w:t>
      </w:r>
      <w:r w:rsidRPr="007224C3">
        <w:rPr>
          <w:rFonts w:ascii="Times New Roman" w:hAnsi="Times New Roman"/>
          <w:color w:val="000000" w:themeColor="text1"/>
          <w:sz w:val="16"/>
          <w:szCs w:val="16"/>
        </w:rPr>
        <w:softHyphen/>
        <w:t>торных рам и обеспечить отправку их по разнарядке ВВС в воинские части.</w:t>
      </w:r>
    </w:p>
    <w:p w14:paraId="1400627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Укомплектовать не менее 20 бригад и организовать ра</w:t>
      </w:r>
      <w:r w:rsidRPr="007224C3">
        <w:rPr>
          <w:rFonts w:ascii="Times New Roman" w:hAnsi="Times New Roman"/>
          <w:color w:val="000000" w:themeColor="text1"/>
          <w:sz w:val="16"/>
          <w:szCs w:val="16"/>
        </w:rPr>
        <w:softHyphen/>
        <w:t>боты по ремонту в воинских частях. Обеспечить бригады необ</w:t>
      </w:r>
      <w:r w:rsidRPr="007224C3">
        <w:rPr>
          <w:rFonts w:ascii="Times New Roman" w:hAnsi="Times New Roman"/>
          <w:color w:val="000000" w:themeColor="text1"/>
          <w:sz w:val="16"/>
          <w:szCs w:val="16"/>
        </w:rPr>
        <w:softHyphen/>
        <w:t>ходимыми инструкциями л специальным инструментом.</w:t>
      </w:r>
    </w:p>
    <w:p w14:paraId="6DCDE15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Работу по восстановлению моторных рам, требующих ре</w:t>
      </w:r>
      <w:r w:rsidRPr="007224C3">
        <w:rPr>
          <w:rFonts w:ascii="Times New Roman" w:hAnsi="Times New Roman"/>
          <w:color w:val="000000" w:themeColor="text1"/>
          <w:sz w:val="16"/>
          <w:szCs w:val="16"/>
        </w:rPr>
        <w:softHyphen/>
        <w:t>монта по состоянию на 1.У.с.г.в количестве 400 стук закон</w:t>
      </w:r>
      <w:r w:rsidRPr="007224C3">
        <w:rPr>
          <w:rFonts w:ascii="Times New Roman" w:hAnsi="Times New Roman"/>
          <w:color w:val="000000" w:themeColor="text1"/>
          <w:sz w:val="16"/>
          <w:szCs w:val="16"/>
        </w:rPr>
        <w:softHyphen/>
        <w:t>чить не позднее 1.У1.с.г.</w:t>
      </w:r>
    </w:p>
    <w:p w14:paraId="0E4BBC3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Для замены окончательно забракованных моторных рам изготовить в течение мая месяца необходимое количество новвых моторных рам.</w:t>
      </w:r>
    </w:p>
    <w:p w14:paraId="0A7FBD7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Работу по ремонту и замене моторных рам в воинских частях считать важнейией задачей завода и обеспечить:</w:t>
      </w:r>
    </w:p>
    <w:p w14:paraId="6194E01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ежедневный контроль за изготовлением и отправкой комплектов деталей для ремонта моторных рам;</w:t>
      </w:r>
    </w:p>
    <w:p w14:paraId="2764B17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организацию отправки деталей и бригад в воинские части самолетами.</w:t>
      </w:r>
    </w:p>
    <w:p w14:paraId="5CF9BC8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Установить связь с воинскими частями и о ходе ремонта докладывать ежедневно (1823).</w:t>
      </w:r>
    </w:p>
    <w:p w14:paraId="73C3A3F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AD6534C" w14:textId="77777777" w:rsidR="00D82A10" w:rsidRPr="007224C3" w:rsidRDefault="00D82A10" w:rsidP="007224C3">
      <w:pPr>
        <w:shd w:val="clear" w:color="auto" w:fill="FFFFFF"/>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shd w:val="clear" w:color="auto" w:fill="FFFFFF"/>
        </w:rPr>
        <w:t>8 мая 1944 года ГБТУ и УВВС Курбале направилось письмо, в котором подробно объяснялось, почему его аэромобиль делать не будут. Поскольку это было совместное решение ГБТУ КА и ГУ ВВС, спорить с ним не представлялось чем-то перспективным. Впрочем, это не помешало Курбале и дальше работать над необычными машинами (20335).</w:t>
      </w:r>
    </w:p>
    <w:p w14:paraId="4B465E9B" w14:textId="77777777" w:rsidR="00D82A10" w:rsidRPr="007224C3" w:rsidRDefault="00D82A10" w:rsidP="007224C3">
      <w:pPr>
        <w:shd w:val="clear" w:color="auto" w:fill="FFFFFF"/>
        <w:spacing w:after="0" w:line="240" w:lineRule="auto"/>
        <w:jc w:val="both"/>
        <w:rPr>
          <w:rFonts w:ascii="Times New Roman" w:hAnsi="Times New Roman"/>
          <w:color w:val="0070C0"/>
          <w:sz w:val="16"/>
          <w:szCs w:val="16"/>
        </w:rPr>
      </w:pPr>
    </w:p>
    <w:p w14:paraId="3376621F"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5F9F110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45C5A1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мая 1944 г. ДИРЕКТИВА ЗАМЕСТИТЕЛЯ НАЧАЛЬНИКА ГШ КА О СФОРМИРОВАНИИ АРТИЛЛЕРИЙСКИХ СКЛАДОВ № 308340</w:t>
      </w:r>
    </w:p>
    <w:p w14:paraId="15F8C81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К 1 июня 1944 г. сформировать артиллерийские склады:</w:t>
      </w:r>
    </w:p>
    <w:p w14:paraId="0421334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При Кировском, ГАЗ им. Молотова и 183-м заводах по штату №010/133, численностью 25 че</w:t>
      </w:r>
      <w:r w:rsidRPr="007224C3">
        <w:rPr>
          <w:rFonts w:ascii="Times New Roman" w:hAnsi="Times New Roman"/>
          <w:color w:val="000000" w:themeColor="text1"/>
          <w:sz w:val="16"/>
          <w:szCs w:val="16"/>
        </w:rPr>
        <w:softHyphen/>
        <w:t>ловек военнослужащих и одного вольнонаемного в каждом.</w:t>
      </w:r>
    </w:p>
    <w:p w14:paraId="08B946F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При Уралмаш, 38, 40, 112 и 174-м заводах по штату №010/134, численностью 19 человек во</w:t>
      </w:r>
      <w:r w:rsidRPr="007224C3">
        <w:rPr>
          <w:rFonts w:ascii="Times New Roman" w:hAnsi="Times New Roman"/>
          <w:color w:val="000000" w:themeColor="text1"/>
          <w:sz w:val="16"/>
          <w:szCs w:val="16"/>
        </w:rPr>
        <w:softHyphen/>
        <w:t>еннослужащих и одного вольнонаемного в каждом.</w:t>
      </w:r>
    </w:p>
    <w:p w14:paraId="46E37A1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Сформированным артиллерийским складам присвоить следующую нумерацию:</w:t>
      </w:r>
    </w:p>
    <w:p w14:paraId="1FCEDB4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При Кировском заводе — артиллерийский склад №3409;</w:t>
      </w:r>
    </w:p>
    <w:p w14:paraId="5DC0263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При ГАЗ им. Молотова заводе — артиллерийский склад №3410;</w:t>
      </w:r>
    </w:p>
    <w:p w14:paraId="2F86CE8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При заводе №183 — артиллерийский склад №3411;</w:t>
      </w:r>
    </w:p>
    <w:p w14:paraId="61AD832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При Уралмаш заводе — артиллерийский склад №3412;</w:t>
      </w:r>
    </w:p>
    <w:p w14:paraId="588E64C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При заводе №38 — артиллерийский склад №3413;</w:t>
      </w:r>
    </w:p>
    <w:p w14:paraId="69BC59A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При заводе №40 — артиллерийский склад №3414;</w:t>
      </w:r>
    </w:p>
    <w:p w14:paraId="79C7C96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При заводе №112 — артиллерийский склад №3415;</w:t>
      </w:r>
    </w:p>
    <w:p w14:paraId="0085A88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При заводе №174 — артиллерийский склад №3416.</w:t>
      </w:r>
    </w:p>
    <w:p w14:paraId="229EA9C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Сформированные артиллерийские склады именовать: «Артиллерийский склад ГБТУ КА при танковом заводе» и подчинить начальнику ГБТУ КА через военпредов заводов.</w:t>
      </w:r>
    </w:p>
    <w:p w14:paraId="3BE4A26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Командующим войсками военных округов зачислить формируемые артсклады на все виды до</w:t>
      </w:r>
      <w:r w:rsidRPr="007224C3">
        <w:rPr>
          <w:rFonts w:ascii="Times New Roman" w:hAnsi="Times New Roman"/>
          <w:color w:val="000000" w:themeColor="text1"/>
          <w:sz w:val="16"/>
          <w:szCs w:val="16"/>
        </w:rPr>
        <w:softHyphen/>
        <w:t>вольствия, возложив разгрузку транспортов с боеприпасами и охрану артскладов на местные гарнизоны.</w:t>
      </w:r>
    </w:p>
    <w:p w14:paraId="4D37C7C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Начальникам главных управлений НКО укомплектовать формируемые артсклады личным составом и обеспечить автотранспортом, вооружением и всеми видами имущества согласно штатам и табелям.</w:t>
      </w:r>
    </w:p>
    <w:p w14:paraId="6FF760C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Исполнение прошу донести к 1.06.1944 г.</w:t>
      </w:r>
    </w:p>
    <w:p w14:paraId="0047889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Заместитель начальника ГШ КА генерал-лейтенант Карпоносов</w:t>
      </w:r>
    </w:p>
    <w:p w14:paraId="534F861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оргучетного управления генерал-лейтенант Четвериков</w:t>
      </w:r>
    </w:p>
    <w:p w14:paraId="2CD7B83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38. Оп. 11369. Д. 261. Л. 16. Копия (11420).</w:t>
      </w:r>
    </w:p>
    <w:p w14:paraId="6AC1C22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64265A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мая 1944 вышло Постановление ГКО № 5847 О мероприятиях по оказанию помощи НОАЮ. РГАНИР, Фонд ГКО, д. 251, лл. 171-172 (11012).</w:t>
      </w:r>
    </w:p>
    <w:p w14:paraId="5C4196F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Государственный Комитет Обороны постановляет:</w:t>
      </w:r>
    </w:p>
    <w:p w14:paraId="5B48AA5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Обязать маршала авиации тов. Голованова выделить 30 экипажей из состава 5 гвардейской А.Д. для доставки в Югославию воздушным путем оружия, боеприпасов, медикаментов, продовольствия и др. снаряжения со специальной базы.</w:t>
      </w:r>
    </w:p>
    <w:p w14:paraId="0DBC939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Поручить Начальнику Тыла Красной Армии тов. Хрулеву организовать в Калиновке (место дислокации 5 А.Д.) перевалочную базу для концентрации, сортировки, упаковки и подготовки для транспортирования грузов, предназначенных для Народно-Освободительной армии Югославии. На базе сконцентрировать все грузы, подлежащие транспортировке и необходимое количество грузовых парашютов для этого груза. Организовать радиосвязь базы с Москвой. Н-ком базы утвердить полковника Прянишникова В.Я.</w:t>
      </w:r>
    </w:p>
    <w:p w14:paraId="1675FD1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Поручить тов. Голованову организовать в Бари (Южная Италия) авиабазу, которую временно использовать как запасную для посадки самолетов, осуществляющих снабжение НОАЮ из СССР в случае неблагоприятной обстановки на обратный рейс.</w:t>
      </w:r>
    </w:p>
    <w:p w14:paraId="477B25E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Возложить на военную миссию СССР при Верховном штабе НОАЮ (тов. Корнеева) ответственность за организацию аэродромной службы (радиосвязь, метеообслуживание и сигнализация) по приему самолетов на территории НОАЮ.</w:t>
      </w:r>
    </w:p>
    <w:p w14:paraId="5A6A2B3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Разрешить НКО отпуск необходимого для НОАЮ:</w:t>
      </w:r>
    </w:p>
    <w:p w14:paraId="3608D97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вооружения: винтовок, ручных и станковых пулеметов, противотанковых ружей, автоматов, ручных и противотанковых гранат, зенитных пулеметов, мелкокалиберных зенитных и противотанковых пушек, минометов, а также боеприпасов к ним из числа имеющегося немецкого трофейного вооружения и советских образцов</w:t>
      </w:r>
    </w:p>
    <w:p w14:paraId="0C8A6C3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медикаментов</w:t>
      </w:r>
    </w:p>
    <w:p w14:paraId="35663B3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продовольствия ( соль, крупа, концентраты)</w:t>
      </w:r>
    </w:p>
    <w:p w14:paraId="2DFB9B6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 форменной одежды</w:t>
      </w:r>
    </w:p>
    <w:p w14:paraId="2884BA9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Отпуск оружия, медикаментов и продовольствия производить с санкции тов. Молотова.</w:t>
      </w:r>
    </w:p>
    <w:p w14:paraId="06F82C3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Составление планов снабжения НОАЮ и согласование этих планов с ее миссией в СССР возложить на тов. Жукова.</w:t>
      </w:r>
    </w:p>
    <w:p w14:paraId="79C44A1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Грузы, предназначенные к транспортировке в Югославию, отправлять по заявкам тов. Жукова. обязать т.т. Яковлева, Хрулева, Смирнова, Пересыпкина, Хотенко удовлетворять заявки тов. Жукова, связанные со снабжением НОАЮ оружием, боеприпасами, продовольствием и медикаментами.</w:t>
      </w:r>
    </w:p>
    <w:p w14:paraId="7A5C0D1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Обязать НКФ СССР (тов. Зверева) вместе с представителями военной миссии НОАЮ в СССР выработать условия военного займа Национально-Освободительному Комитету Югославии и представить правительству проект решения по этому вопросу.</w:t>
      </w:r>
    </w:p>
    <w:p w14:paraId="386FA53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Обязать тов. Хрулева обеспечить изготовление в течение мая-июня мес. с.г. 55.000 комплектов формы по образцам, представленным военной миссией НОАЮ.</w:t>
      </w:r>
    </w:p>
    <w:p w14:paraId="2E230CA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Поручить Госзнаку (тов. Андреев) в двухмесячный срок изготовить для НОАЮ по образцам, представленным военной миссией НОАЮ, орденов и медалей Тов. Хрулеву в этот же срок организовать изготовление нагрудных знаков и кокард ля НОАЮ также по образцам, представленным военной миссией НОАЮ в СССР.</w:t>
      </w:r>
    </w:p>
    <w:p w14:paraId="11A9F17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Военную миссию НОАЮ в СССР содержать на дополнительной смете НКО. Тов. Хрулеву организовать питание и обслуживание военной миссии НОАЮ.</w:t>
      </w:r>
    </w:p>
    <w:p w14:paraId="3FA1009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Поручить ВВС КА (тов. Новикову) организовать подготовку в военных школа ВВС КА 300 чел. летчиков из числа югославов (истребителей и бомбардировщиков).</w:t>
      </w:r>
    </w:p>
    <w:p w14:paraId="1E9FF6E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Поручить НКИД через посольство в Иране организовать доставку в СССР 200 чел. югославов, находящихся в Иране для вступления их в югославскую часть на территории СССР.</w:t>
      </w:r>
    </w:p>
    <w:p w14:paraId="79CF93D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В связи с наличием призывного контингента югославских национальностей в лагерях НКВД для военнопленных приступить с 15/У-1944 года к формированию:</w:t>
      </w:r>
    </w:p>
    <w:p w14:paraId="2B66B6F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второго югославского батальона в СССР на основаниях, предусмотренных постановлением ГОКО № 4598сс от 17/Х1-1943 года</w:t>
      </w:r>
    </w:p>
    <w:p w14:paraId="1E859C9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отдельной радиороты</w:t>
      </w:r>
    </w:p>
    <w:p w14:paraId="06D405B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отдельной танковой роты Т-34</w:t>
      </w:r>
    </w:p>
    <w:p w14:paraId="0EEB5F2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Председатель Государственного</w:t>
      </w:r>
    </w:p>
    <w:p w14:paraId="76ADF45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Комитета Обороны</w:t>
      </w:r>
    </w:p>
    <w:p w14:paraId="0A83AF0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 Сталин</w:t>
      </w:r>
    </w:p>
    <w:p w14:paraId="78DDADE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iCs/>
          <w:color w:val="000000" w:themeColor="text1"/>
          <w:sz w:val="16"/>
          <w:szCs w:val="16"/>
        </w:rPr>
        <w:t>РГАСПИ Ф. 644. Оп. 1. Д.251 Лл. 171-172 (12013).</w:t>
      </w:r>
    </w:p>
    <w:p w14:paraId="6B64558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331C5EF"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8 мая 1944 вышло Постановление ГКО № 5849 Об изменении постановления Государственного Комитета Обороны № 46 от 8 июля 1941 г. в части освобождения от мобилизации личного состава особых строительно-монтажных частей. (7229, 183-184,185-189).</w:t>
      </w:r>
    </w:p>
    <w:p w14:paraId="2783039E"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82E9B2A" w14:textId="77777777" w:rsidR="00AE2F39" w:rsidRPr="007224C3" w:rsidRDefault="00AE2F3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мая в 1944 году отчет Горьковского НИИ гигиены труда и профзаболеваний о профессиональной заболеваемости за годы Отечественной войны на заводе N 96 (город Дзержинск) при производстве иприта и люизита. Количества официально зафиксированных поражений, полученных работниками при выпуске иприта: 2-е полугодие 1941 г. - 765 человек, 1942 г. - 2397, 1943 г. - 494, 1-е полугодие 1944 г. - 134. В качестве причин поражений названы: загрязнение ипритом атмосферы вокруг цехов и попадание его в производственные помещения через приточную вентиляцию; негерметичность аппаратуры и коммуникаций; неэффективная работа вентиляции; неудовлетворительная дегазация помещений, оборудования, одежды и территории вокруг цехов; плохая работа санпропускников; неудовлетворительный контроль загрязненности производственных помещений (14885).</w:t>
      </w:r>
    </w:p>
    <w:p w14:paraId="5F039823" w14:textId="77777777" w:rsidR="00AE2F39" w:rsidRPr="007224C3" w:rsidRDefault="00AE2F39" w:rsidP="007224C3">
      <w:pPr>
        <w:spacing w:after="0" w:line="240" w:lineRule="auto"/>
        <w:jc w:val="both"/>
        <w:rPr>
          <w:rFonts w:ascii="Times New Roman" w:hAnsi="Times New Roman"/>
          <w:color w:val="000000" w:themeColor="text1"/>
          <w:sz w:val="16"/>
          <w:szCs w:val="16"/>
        </w:rPr>
      </w:pPr>
    </w:p>
    <w:p w14:paraId="27F0568D"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4A351EE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2EFB99E" w14:textId="77777777" w:rsidR="00AE2F39" w:rsidRPr="007224C3" w:rsidRDefault="00AE2F3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мая в 1944 году оперативная сводка Совинформбюро:</w:t>
      </w:r>
    </w:p>
    <w:p w14:paraId="71B0CE98" w14:textId="77777777" w:rsidR="00AE2F39" w:rsidRPr="007224C3" w:rsidRDefault="00AE2F3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Крыму наши войска при поддержке массированных ударов авиации и мощного огня артиллерии вчера, 7 мая, начали штурм сильно укреплённых позиций немецко-фашистских войск, обороняющих Севастополь. За два дня ожесточённых боёвнаши войска сломили сопротивление противника и на всём протяжении прорвали основную полосу Севастопольского укреплённого района с сильно развитой системой железобетонных сооружений. Наши войска, продвинувшись вперёд до 6 километров, заняли высоты и мощные узлы обороны противника, господствующие над районом Севастополя: Любимовку, железнодорожную станцию Мекензиевы Горы, маяк Восточный Инкерманский, маяк Западный Инкерман, гору Сахарная Головка, Гайтани, Инкерман, Сапун-Гора, колхоз Большевик, Совхоз № 10, Карань, гору Каябаш и завязали бои на ближайших подступах к городу Севастополь.</w:t>
      </w:r>
    </w:p>
    <w:p w14:paraId="26F28226" w14:textId="77777777" w:rsidR="00AE2F39" w:rsidRPr="007224C3" w:rsidRDefault="00AE2F3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 без существенных изменений.</w:t>
      </w:r>
    </w:p>
    <w:p w14:paraId="4077B90E" w14:textId="77777777" w:rsidR="00AE2F39" w:rsidRPr="007224C3" w:rsidRDefault="00AE2F3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7 мая наши войска подбили и уничтожили 52 немецких танка. В воздушных боях и огнём зенитной артиллерии сбит 41 самолёт противника и, кроме того, 15 самолётов уничтожено на аэродромах.»</w:t>
      </w:r>
    </w:p>
    <w:p w14:paraId="4C033257" w14:textId="77777777" w:rsidR="00AE2F39" w:rsidRPr="007224C3" w:rsidRDefault="00AE2F3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Удары авиации Черноморского флота по судам противника:</w:t>
      </w:r>
    </w:p>
    <w:p w14:paraId="31AF0ECB" w14:textId="77777777" w:rsidR="00AE2F39" w:rsidRPr="007224C3" w:rsidRDefault="00AE2F3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«Днем 6 мая нашей воздушной разведкой в открытом море западнее Севастополябыли обнаружены транспорты противника, следовавшие в охранении боевых кораблей. Авиация Черноморского флота нанесла ряд последовательных ударов по конвоям противника. Прямыми попаданиями бомб потоплены четыре транспорта общим водоизмещением до-10 тысяч тонн, сторожевой катер и семь быстроходных десантных барж. Другим судам противника нанесены серьёзные повреждения.»</w:t>
      </w:r>
    </w:p>
    <w:p w14:paraId="23D75DC3" w14:textId="77777777" w:rsidR="00AE2F39" w:rsidRPr="007224C3" w:rsidRDefault="00AE2F3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Крыму наши войска 7 мая начали штурм Севастопольского укреплённого района. Утром советская артиллерия открыла ураганный огонь по позициям противника. Над укреплениями немецко-фашистских войск появились крупные соединения наших бомбардировщиков и штурмовиков, обрушивших на врага тысячи бомб. После артиллерийской и авиационной подготовки наши войска начали штурм мощных узлов немецкой обороны. Бойцы Н-ского соединения стремительным ударом заняли железнодорожную станцию Мекензиевы горы. Другие наши части овладели важнейшим узлом обороны немцев Сапун-Гора. В результате ожесточённых боёв на всем протяжении прорвана главная полоса Севастопольского укреплённого района противника, имевшая многочисленные железобетонные доты и дзоты, построенные на холмах и высотах. Все эти первоклассные оборонительные сооружения были прикрыты широко развитой сетью траншей, проволочных заграждений и минных полей. Противник предпринимал буквально все меры, чтобы спасти положение. Немцы бросали в контратаки пехоту, танки и самоходные орудия. Против наших наступающих войск они использовали все свои огневые средства. Однако удар советских войск был настолько ошеломляющим, что противник понёс тяжёлые потери и оставлял одну позицию за другой. Только в районе Сапун-Гора истреблено свыше 4 тысяч гитлеровцев, взорвано 36 дотов и 27 дзотов. Захвачено много пленных и трофеев. Развивая успех, советские бойцы выбили немцев из ряда высот и опорных пунктов и завязали бои на ближайших подступах к Севастополю.</w:t>
      </w:r>
    </w:p>
    <w:p w14:paraId="1834B76B" w14:textId="77777777" w:rsidR="00AE2F39" w:rsidRPr="007224C3" w:rsidRDefault="00AE2F3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Юго-восточнее города Станислав батальон пехоты противника атаковал наши подразделения, укрепившиеся в одном населённом пункте. В результате рукопашной схватки немцы были отброшены. На поле боя осталось до 300 убитых и раненых гитлеровцев.</w:t>
      </w:r>
    </w:p>
    <w:p w14:paraId="396D327A" w14:textId="77777777" w:rsidR="00AE2F39" w:rsidRPr="007224C3" w:rsidRDefault="00AE2F3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западу от города Яссы пехота и танки противника утром возобновили атаки. Бой принял ожесточённый характер. Отдельные участки неоднократно переходили из рук в руки. К исходу дня наши части нанесли немецко-румынским войскам решительный удар и отбросили их в исходное положение. В этом бою огнём нашей артиллерии подбито и сожжено до 40 немецких танков. Противник понёс большие потери в живой силе.</w:t>
      </w:r>
    </w:p>
    <w:p w14:paraId="2D364B69" w14:textId="77777777" w:rsidR="00AE2F39" w:rsidRPr="007224C3" w:rsidRDefault="00AE2F3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Наши лётчики в воздушных боях в течение дня сбили 15 немецких самолётов.</w:t>
      </w:r>
    </w:p>
    <w:p w14:paraId="16F7D3DD" w14:textId="77777777" w:rsidR="00AE2F39" w:rsidRPr="007224C3" w:rsidRDefault="00AE2F3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Финском заливе нашим самолётом-торпедоносцем потоплен немецкий транспорт водоизмещением в 5 тысяч тонн.</w:t>
      </w:r>
    </w:p>
    <w:p w14:paraId="3C877B29" w14:textId="77777777" w:rsidR="00AE2F39" w:rsidRPr="007224C3" w:rsidRDefault="00AE2F3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Корабли Северного флота потопили мотобот противника водоизмещением в 150 тонн. Команда мотобота взята в плен.</w:t>
      </w:r>
    </w:p>
    <w:p w14:paraId="348C9E60" w14:textId="77777777" w:rsidR="00AE2F39" w:rsidRPr="007224C3" w:rsidRDefault="00AE2F3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время с 10 по 15 апреля минские партизанские отряды пустили под откос 6 немецких воинских эшелонов. В результате крушений разбито несколько десятков вагонов с войсками и грузами. В одном районе советские патриоты напали на вражеский гарнизон и истребили до 60 гитлеровцев. Освобождены 38 семейств советских граждан, приговорённых немцами к смертной казни.</w:t>
      </w:r>
    </w:p>
    <w:p w14:paraId="11A4917C" w14:textId="77777777" w:rsidR="00AE2F39" w:rsidRPr="007224C3" w:rsidRDefault="00AE2F3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румынских районах, занятых Красной Армией, налаживается нормальная жизнь. Почти во всех сёлах крестьяне завершили весенний сев. Приступили к работе местные органы власти — префектуры и примарии. Население восстанавливает телефонную связь, ремонтирует мосты и дороги. В ряде сёл жители выражают горячее желание помочь Красной Армии быстрее изгнать немцев из Румынии.</w:t>
      </w:r>
    </w:p>
    <w:p w14:paraId="716DF5E5" w14:textId="77777777" w:rsidR="00AE2F39" w:rsidRPr="007224C3" w:rsidRDefault="00AE2F3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Димитру Солонка — крестьянин деревни Фетештий, заявил: «Немцы грабили нас. При отступлении они угнали много лошадей и волов. С приходом советских войск в сёлах царит полный порядок. Крестьяне хотят, чтобы русские скорее победили немцев».</w:t>
      </w:r>
    </w:p>
    <w:p w14:paraId="227F46B5" w14:textId="77777777" w:rsidR="00AE2F39" w:rsidRPr="007224C3" w:rsidRDefault="00AE2F3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Жители деревни Лункушоара помогали Н-ской части Красной Армии переправиться через реку. Румыны сами пригнали лодки и перевезли бойцов.</w:t>
      </w:r>
    </w:p>
    <w:p w14:paraId="07C8529E" w14:textId="77777777" w:rsidR="00AE2F39" w:rsidRPr="007224C3" w:rsidRDefault="00AE2F3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селении Рэдений благочинный Николай Добря в проповеди заявил прихожанам, что русские войска и армии союзников победят Германию. Он призвал жителей оказывать Красной Армии помощь и тем самым ускорить окончание войны.» (14885).</w:t>
      </w:r>
    </w:p>
    <w:p w14:paraId="2B16281A" w14:textId="77777777" w:rsidR="00AE2F39" w:rsidRPr="007224C3" w:rsidRDefault="00AE2F39" w:rsidP="007224C3">
      <w:pPr>
        <w:spacing w:after="0" w:line="240" w:lineRule="auto"/>
        <w:jc w:val="both"/>
        <w:rPr>
          <w:rFonts w:ascii="Times New Roman" w:hAnsi="Times New Roman"/>
          <w:color w:val="000000" w:themeColor="text1"/>
          <w:sz w:val="16"/>
          <w:szCs w:val="16"/>
        </w:rPr>
      </w:pPr>
    </w:p>
    <w:p w14:paraId="0C0D49D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8-12 мая 1944 за последние 4 дня крымской операции на ЧМ был пик применения топмачтовиков по эвакуирующим войска конвоям. Часть машин базировалась в Саках, которые были в непосредственной близости от коммуникаций. 8 мая 1944 13 Ил-2 в сопровождении 6 Як-9 атаковали конвой в 45 км западнее Балаклавы и 6 в варианте топмачтовиков потопили три плавединицы (4414,11).</w:t>
      </w:r>
    </w:p>
    <w:p w14:paraId="74D648C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B37A7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мая 1944 в устье Финского залива торпедоносец Ил-4, пилотируемый капитаном Досовым, атаковал одиночный танкер. Впервые на Балтике для стрельбы по одиночной движущей цели применялась циркулирующая высотная торпеда 45-36АВА. Несмотря на крайне малую вероятность достижения успеха, Досов доложил о том, что наблюдал приводнение торпеды, последующее попадание и погружение судна. По всей вероятности, применение высотной торпеды в столь неподходящих условиях объяснялось дефицитом «низких» торпед, поступление которых от промышленности в течение первых трех лет войны практически не было (9965).</w:t>
      </w:r>
    </w:p>
    <w:p w14:paraId="0F6E4F0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5D95AB7"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Внешняя политика:</w:t>
      </w:r>
    </w:p>
    <w:p w14:paraId="4E79DC4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40523D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мая 1944 года</w:t>
      </w:r>
    </w:p>
    <w:p w14:paraId="443C5C2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СЕКРЕТНО И ЛИЧНО ОТ ПРЕМЬЕРА И. В. СТАЛИНА ПРЕМЬЕР-МИНИСТРУ г-ну У. ЧЕРЧИЛЛЮ</w:t>
      </w:r>
    </w:p>
    <w:p w14:paraId="5AA7F95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Ваше послание от 3 мая получил. Организация конвоев, доставлявших грузы в советские северные порты, действительно, заслуживает признания и одобрения. Благодарю Вас за проявленное в этом деле исключительное внимание. Встретятся ли с Вашей стороны возражения, если Советское Правительство представит к награде советским орденом столь много сделавшего г-на Литтлтона? Мы бы охотно представили к награждению также и других лиц, отличившихся в организации и проводке конвоев.</w:t>
      </w:r>
    </w:p>
    <w:p w14:paraId="791663A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Я с удовлетворением узнал из Вашего сообщения, что Вы поручили изучить вопрос о дальнейших конвоях, нужда в которых у нас все еще весьма велика.</w:t>
      </w:r>
    </w:p>
    <w:p w14:paraId="6AF951E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 понимаю, насколько Ваше внимание приковано сейчас к “Оверлорду”, который, конечно, потребует громадного напряжения сил, но и обещает громадные положительные результаты для всего хода войны.</w:t>
      </w:r>
    </w:p>
    <w:p w14:paraId="79C82E7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наилучшими пожеланиями (7430).</w:t>
      </w:r>
    </w:p>
    <w:p w14:paraId="0FAC38F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12478D" w14:textId="77777777" w:rsidR="00AE2F39" w:rsidRPr="007224C3" w:rsidRDefault="00AE2F3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мая в 1944 году подписание советско-чехословацкого Соглашения об отношениях между советским главнокомандующим и чехословацкой администрацией после вступления советских войск на территорию Чехословакии (14885).</w:t>
      </w:r>
    </w:p>
    <w:p w14:paraId="214FD4AD" w14:textId="77777777" w:rsidR="00AE2F39" w:rsidRPr="007224C3" w:rsidRDefault="00AE2F39" w:rsidP="007224C3">
      <w:pPr>
        <w:spacing w:after="0" w:line="240" w:lineRule="auto"/>
        <w:jc w:val="both"/>
        <w:rPr>
          <w:rFonts w:ascii="Times New Roman" w:hAnsi="Times New Roman"/>
          <w:color w:val="000000" w:themeColor="text1"/>
          <w:sz w:val="16"/>
          <w:szCs w:val="16"/>
        </w:rPr>
      </w:pPr>
    </w:p>
    <w:p w14:paraId="0E9EAC45"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7843881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1C9B174" w14:textId="77777777" w:rsidR="00AE2F39" w:rsidRPr="007224C3" w:rsidRDefault="00AE2F3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мая в 1944 году вышел приказ верховного командования люфтваффе о переоборудовании всех бомбардировщиков «Me 410A-1» и «В-1» в истребители «A-1/U2» и 2B-1/U2», которые имели бы поисковый локатор «Хохентвиль» «FuG 200» и «WB 103», а 7,9-мм пулеметы были заменены на 13-мм «MG 131» (14885).</w:t>
      </w:r>
    </w:p>
    <w:p w14:paraId="41A97ECA" w14:textId="77777777" w:rsidR="00AE2F39" w:rsidRPr="007224C3" w:rsidRDefault="00AE2F39" w:rsidP="007224C3">
      <w:pPr>
        <w:spacing w:after="0" w:line="240" w:lineRule="auto"/>
        <w:jc w:val="both"/>
        <w:rPr>
          <w:rFonts w:ascii="Times New Roman" w:hAnsi="Times New Roman"/>
          <w:color w:val="000000" w:themeColor="text1"/>
          <w:sz w:val="16"/>
          <w:szCs w:val="16"/>
        </w:rPr>
      </w:pPr>
    </w:p>
    <w:p w14:paraId="2952C496" w14:textId="77777777" w:rsidR="00D82A10" w:rsidRPr="007224C3" w:rsidRDefault="00D82A10"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8–9 мая (ночь) 1944 303 британских бомбардировщика нанесли удар по пяти целям во Франции, при этом потеряно 11 самолетов. Они повреждают железнодорожные станции и локомотивы в Haine Saint Pierre, аэродром и базу гидросамолетов в Lanveoc Poulmic, а также позицию береговой артиллерии в Morsalines, но наносят только одно попадание по береговой артиллерийской позиции в Berneval-le-Grand и пропускают еще одну береговую орудийную позиция целиком у Кап-Гри-Нез (20373).</w:t>
      </w:r>
    </w:p>
    <w:p w14:paraId="674C6F27" w14:textId="77777777" w:rsidR="00D82A10" w:rsidRPr="007224C3" w:rsidRDefault="00D82A10" w:rsidP="007224C3">
      <w:pPr>
        <w:spacing w:after="0" w:line="240" w:lineRule="auto"/>
        <w:jc w:val="both"/>
        <w:rPr>
          <w:rFonts w:ascii="Times New Roman" w:hAnsi="Times New Roman"/>
          <w:color w:val="0070C0"/>
          <w:sz w:val="16"/>
          <w:szCs w:val="16"/>
        </w:rPr>
      </w:pPr>
    </w:p>
    <w:p w14:paraId="1E71E872"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мая 1944 шеф еврейского отдела гестапо А. Эйхман предложил союзникам обменять венгерских евреев на 10 тыс. тяжелых грузовиков (4962).</w:t>
      </w:r>
    </w:p>
    <w:p w14:paraId="12EF27D2"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BD764EC"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мая 1944 Эйзенхауэр назначил на 5 июня высадку союзников в Нормандии (4962).</w:t>
      </w:r>
    </w:p>
    <w:p w14:paraId="1147B670"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72E8E2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мая 1944 после того, как 15 марта в монастырь Монте-Кассино ворвались англо-индийские и новозеландские войска и 2 мая 1944 польский корпус обошел Монте-Кассино, немецкое сопротивление было окончательно сломлено (2438,294).</w:t>
      </w:r>
    </w:p>
    <w:p w14:paraId="201123A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906B58"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5B72EDF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32075F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мая 1944 г. истребитель И-225 был выпущен из производства и передан на ЛЭС завода №155 (5852,40).</w:t>
      </w:r>
    </w:p>
    <w:p w14:paraId="6F59B4D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7C1DA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мая 1944 г. закончили переоборудова</w:t>
      </w:r>
      <w:r w:rsidRPr="007224C3">
        <w:rPr>
          <w:rFonts w:ascii="Times New Roman" w:hAnsi="Times New Roman"/>
          <w:color w:val="000000" w:themeColor="text1"/>
          <w:sz w:val="16"/>
          <w:szCs w:val="16"/>
        </w:rPr>
        <w:softHyphen/>
        <w:t>ние И—220 зав. № 02 в И—225 (шифр «5А»), после чего машину пере</w:t>
      </w:r>
      <w:r w:rsidRPr="007224C3">
        <w:rPr>
          <w:rFonts w:ascii="Times New Roman" w:hAnsi="Times New Roman"/>
          <w:color w:val="000000" w:themeColor="text1"/>
          <w:sz w:val="16"/>
          <w:szCs w:val="16"/>
        </w:rPr>
        <w:softHyphen/>
        <w:t>дали на заводские испытания, которые провели веду</w:t>
      </w:r>
      <w:r w:rsidRPr="007224C3">
        <w:rPr>
          <w:rFonts w:ascii="Times New Roman" w:hAnsi="Times New Roman"/>
          <w:color w:val="000000" w:themeColor="text1"/>
          <w:sz w:val="16"/>
          <w:szCs w:val="16"/>
        </w:rPr>
        <w:softHyphen/>
        <w:t>щий инженер А.Г.Брунов и летчик-испытатель А.П.Якимов. Форси</w:t>
      </w:r>
      <w:r w:rsidRPr="007224C3">
        <w:rPr>
          <w:rFonts w:ascii="Times New Roman" w:hAnsi="Times New Roman"/>
          <w:color w:val="000000" w:themeColor="text1"/>
          <w:sz w:val="16"/>
          <w:szCs w:val="16"/>
        </w:rPr>
        <w:softHyphen/>
        <w:t>рованный вариант мотора АМ—42 (буква Ф в названии) был дополнен односкоростным привод</w:t>
      </w:r>
      <w:r w:rsidRPr="007224C3">
        <w:rPr>
          <w:rFonts w:ascii="Times New Roman" w:hAnsi="Times New Roman"/>
          <w:color w:val="000000" w:themeColor="text1"/>
          <w:sz w:val="16"/>
          <w:szCs w:val="16"/>
        </w:rPr>
        <w:softHyphen/>
        <w:t>ным центробежным нагнетателем (буква Б), сопря</w:t>
      </w:r>
      <w:r w:rsidRPr="007224C3">
        <w:rPr>
          <w:rFonts w:ascii="Times New Roman" w:hAnsi="Times New Roman"/>
          <w:color w:val="000000" w:themeColor="text1"/>
          <w:sz w:val="16"/>
          <w:szCs w:val="16"/>
        </w:rPr>
        <w:softHyphen/>
        <w:t>женным с турбокомпрессором. В основу конструк</w:t>
      </w:r>
      <w:r w:rsidRPr="007224C3">
        <w:rPr>
          <w:rFonts w:ascii="Times New Roman" w:hAnsi="Times New Roman"/>
          <w:color w:val="000000" w:themeColor="text1"/>
          <w:sz w:val="16"/>
          <w:szCs w:val="16"/>
        </w:rPr>
        <w:softHyphen/>
        <w:t>ции турбокомпрессора легли два изобретения Микулина:</w:t>
      </w:r>
    </w:p>
    <w:p w14:paraId="3789B53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постановка турбокомпрессора на один блок мо</w:t>
      </w:r>
      <w:r w:rsidRPr="007224C3">
        <w:rPr>
          <w:rFonts w:ascii="Times New Roman" w:hAnsi="Times New Roman"/>
          <w:color w:val="000000" w:themeColor="text1"/>
          <w:sz w:val="16"/>
          <w:szCs w:val="16"/>
        </w:rPr>
        <w:softHyphen/>
        <w:t>тора при сохранении реактивного выхлопа с другого блока, что позволяло увеличить скорость самолета и отказаться от ручной регулировки, увеличивало по</w:t>
      </w:r>
      <w:r w:rsidRPr="007224C3">
        <w:rPr>
          <w:rFonts w:ascii="Times New Roman" w:hAnsi="Times New Roman"/>
          <w:color w:val="000000" w:themeColor="text1"/>
          <w:sz w:val="16"/>
          <w:szCs w:val="16"/>
        </w:rPr>
        <w:softHyphen/>
        <w:t>лезную мощность мотора и заметно снижало темпе</w:t>
      </w:r>
      <w:r w:rsidRPr="007224C3">
        <w:rPr>
          <w:rFonts w:ascii="Times New Roman" w:hAnsi="Times New Roman"/>
          <w:color w:val="000000" w:themeColor="text1"/>
          <w:sz w:val="16"/>
          <w:szCs w:val="16"/>
        </w:rPr>
        <w:softHyphen/>
        <w:t>ратуру газа на лопатках турбины;</w:t>
      </w:r>
    </w:p>
    <w:p w14:paraId="38FA690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применение широкохордных лопаток турбины, изготовленных методом фрезерования с приданием эллиптической формы поверхностям, что позволило уменьшить стоимость изготовления и повысило прочность лопаток (9984).</w:t>
      </w:r>
    </w:p>
    <w:p w14:paraId="799D290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D3B134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мая 1944 вышло Постановление ГКО № 5850 О строительстве взлетно-посадочной полосы на заводе № 82 Наркомавиапрома. РГАНИР, Фонд ГКО, д. 251, лл. 190-192,193 (11012).</w:t>
      </w:r>
    </w:p>
    <w:p w14:paraId="7E5F9E2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5440934"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0E21D64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3251E3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мая 1944 г. вышла ДИРЕКТИВА ЗАМЕСТИТЕЛЯ КОМАНДУЮЩЕГО БТ и МВ КА О ВЫХОДЕ ИЗ СТРОЯ МАТЧАСТИ АРТИЛЛЕРИИ И МИНОМЕТОВ ПО ПРИЧИНАМ ПРОИЗВОДСТВЕННЫХ ДЕФЕКТОВ СИСТЕМ И БОЕПРИПАСОВ №483681</w:t>
      </w:r>
    </w:p>
    <w:p w14:paraId="0205942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Случаи выхода из строя матчасти артиллерии и минометов, происходящие по различным причинам производственных дефектов систем или боеприпасов, таким, как преждевременный разрыв снаряда в канале ствола и т.п., войсками не считаются чрезвычайными происшествиями и об этих случаях своевременно не доносится, а ряд случаев вообще остается неизвестным, отче</w:t>
      </w:r>
      <w:r w:rsidRPr="007224C3">
        <w:rPr>
          <w:rFonts w:ascii="Times New Roman" w:hAnsi="Times New Roman"/>
          <w:color w:val="000000" w:themeColor="text1"/>
          <w:sz w:val="16"/>
          <w:szCs w:val="16"/>
        </w:rPr>
        <w:softHyphen/>
        <w:t>го устранение причин ГАУ не производится.</w:t>
      </w:r>
    </w:p>
    <w:p w14:paraId="2B106F8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Каждый случай выхода из строя матчасти по причине производственных дефектов орудий, ми</w:t>
      </w:r>
      <w:r w:rsidRPr="007224C3">
        <w:rPr>
          <w:rFonts w:ascii="Times New Roman" w:hAnsi="Times New Roman"/>
          <w:color w:val="000000" w:themeColor="text1"/>
          <w:sz w:val="16"/>
          <w:szCs w:val="16"/>
        </w:rPr>
        <w:softHyphen/>
        <w:t>нометов и боеприпасов к ним надлежит рассматривать как чрезвычайное происшествие н о нем не</w:t>
      </w:r>
      <w:r w:rsidRPr="007224C3">
        <w:rPr>
          <w:rFonts w:ascii="Times New Roman" w:hAnsi="Times New Roman"/>
          <w:color w:val="000000" w:themeColor="text1"/>
          <w:sz w:val="16"/>
          <w:szCs w:val="16"/>
        </w:rPr>
        <w:softHyphen/>
        <w:t>медленно доносить по команде в ГАУ с кратким изложением характера и причин происшествия, с последующей высылкой ГАУ акта комиссии, назначаемой распоряжением командира части для расследования происшествия.</w:t>
      </w:r>
    </w:p>
    <w:p w14:paraId="3093A16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Одновременно с актом отсылать и донесение по форме №29 АРТ или 30 ЛРТ, установленным табелем срочных донесений по директиве ГШ КА №807203с от 29.06.1943 года.</w:t>
      </w:r>
    </w:p>
    <w:p w14:paraId="2AA4CE7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Заместитель командующего БТ и МВ КА генерал-полковник бронетанковых войск Коробков</w:t>
      </w:r>
    </w:p>
    <w:p w14:paraId="0F911BA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Член военного совета генерал-полковник танковых войск Бирюков</w:t>
      </w:r>
    </w:p>
    <w:p w14:paraId="4CDE6B2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ЦЛМО. Ф. 38. Он. 11353. Д. 199. Л. 147. Подлинник (11420).</w:t>
      </w:r>
    </w:p>
    <w:p w14:paraId="0BC255D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6417A9"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мая 1944 вышло Постановление ГКО № 5851 О вывозке хлеба из глубинных пунктов в мае и июне 1944 г. (7229, 194-195,196).</w:t>
      </w:r>
    </w:p>
    <w:p w14:paraId="4FEC8037"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EFFA54F"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мая 1944 вышло Распоряжение ГКО № 5852 [Об освобождении от призыва в КА студентов вузов и техникумов НКЛП СССР.] (7229, 197).</w:t>
      </w:r>
    </w:p>
    <w:p w14:paraId="70758DAE"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8C93F13"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0B85A74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16F0D6F" w14:textId="77777777" w:rsidR="00F31F26" w:rsidRPr="007224C3" w:rsidRDefault="00F31F2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мая в 1944 году оперативная сводка Совинформбюро:</w:t>
      </w:r>
    </w:p>
    <w:p w14:paraId="3C632F78" w14:textId="77777777" w:rsidR="00F31F26" w:rsidRPr="007224C3" w:rsidRDefault="00F31F2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9 мая в КРыму войска 4-го Украинского фронта при поддержкемассированных ударов авиации и артиллерии продолжали наступательные бои противнемецко-фашистских войск в районе Севастополя.</w:t>
      </w:r>
    </w:p>
    <w:p w14:paraId="4420E7C2" w14:textId="77777777" w:rsidR="00F31F26" w:rsidRPr="007224C3" w:rsidRDefault="00F31F2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Сломив упорное сопротивление противника, наши войска ночью, несколько часов тому назад, штурмом овладели крепостью и важнейшей военно-морской базой на Чёрном море — городом Севастополь. Тем самым ликвидирован последний очаг сопротивления немцев в Крыму, и Крым полностью очищен от немецко-фашистских захватчиков.</w:t>
      </w:r>
    </w:p>
    <w:p w14:paraId="3D67DD29" w14:textId="77777777" w:rsidR="00F31F26" w:rsidRPr="007224C3" w:rsidRDefault="00F31F2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 без существенных изменений.</w:t>
      </w:r>
    </w:p>
    <w:p w14:paraId="549C4602" w14:textId="77777777" w:rsidR="00F31F26" w:rsidRPr="007224C3" w:rsidRDefault="00F31F2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8 мая в воздушных боях и огнём зенитной артиллерии уничтожено 48 самолётов противника.»</w:t>
      </w:r>
    </w:p>
    <w:p w14:paraId="0A36ABF2" w14:textId="77777777" w:rsidR="00F31F26" w:rsidRPr="007224C3" w:rsidRDefault="00F31F2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Удары нашей авиации и торпедных катеров по судам противника в районе Севастополя:</w:t>
      </w:r>
    </w:p>
    <w:p w14:paraId="6E6F27FF" w14:textId="77777777" w:rsidR="00F31F26" w:rsidRPr="007224C3" w:rsidRDefault="00F31F2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ночь на 9 мая крупные силы нашей авиации наносили удары по судам противникав районе Севастополя. Бомбардировке были подвергнуты транспорты и другиеплавучие средства противника, находившиеся в бухтах Казачья, Стрелецкая иКамышёвая. В результате бомбардировки возникло свыше 30 пожаров. Горелитранспорты, причалы и военные склады. Несколько объятых пламенем судоввзорвалось. Взрывы большой силы наблюдались также на причалах и в районескладов.</w:t>
      </w:r>
    </w:p>
    <w:p w14:paraId="395E4D9C" w14:textId="77777777" w:rsidR="00F31F26" w:rsidRPr="007224C3" w:rsidRDefault="00F31F2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открытом море нашими торпедными катерами потоплены два транспортапротивника общим водоизмещением в 7.000 тонн.»</w:t>
      </w:r>
    </w:p>
    <w:p w14:paraId="71D429C4" w14:textId="77777777" w:rsidR="00F31F26" w:rsidRPr="007224C3" w:rsidRDefault="00F31F2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Бомбардировка нашей авиацией железнодорожного узла Тапа:</w:t>
      </w:r>
    </w:p>
    <w:p w14:paraId="73534B12" w14:textId="77777777" w:rsidR="00F31F26" w:rsidRPr="007224C3" w:rsidRDefault="00F31F2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ночь на 9 мая наша авиация дальнего действия бомбардировала скоплениявоинских эшелонов противника на железнодорожном узле Тапа (Эстония). Врезультате бомбардировки произошло 4 сильных взрыва. Возникшими пожарами былаохвачена значительная часть железнодорожного узла. Горели вагоны и платформы своенным имуществом и техникой противника.»</w:t>
      </w:r>
    </w:p>
    <w:p w14:paraId="5D73EFF1" w14:textId="77777777" w:rsidR="00F31F26" w:rsidRPr="007224C3" w:rsidRDefault="00F31F2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Налёт нашей авиации на финский порт Котка:</w:t>
      </w:r>
    </w:p>
    <w:p w14:paraId="43C8DAE0" w14:textId="77777777" w:rsidR="00F31F26" w:rsidRPr="007224C3" w:rsidRDefault="00F31F2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мая авиация Краснознамённого Балтийского флота произвела налёт на финскийпорт Котка и бомбардировала корабли противника. В результате бомбардировкипотоплен транспорт водоизмещением в 2.000 тонн и три морских катера.</w:t>
      </w:r>
    </w:p>
    <w:p w14:paraId="0B81938D" w14:textId="77777777" w:rsidR="00F31F26" w:rsidRPr="007224C3" w:rsidRDefault="00F31F2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Повреждён другой стоявший в порту транспорт и причалы. Кроме того, в Финскомзаливе прямыми попаданиями бомб потоплены тральщик и сторожевой корабльпротивника.»</w:t>
      </w:r>
    </w:p>
    <w:p w14:paraId="05064957" w14:textId="77777777" w:rsidR="00F31F26" w:rsidRPr="007224C3" w:rsidRDefault="00F31F2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4-го Украинского фронта штурмом овладели крепостью и важнейшей военно-морской базой на Чёрном море городом Севастополь. Ночью части Н-скогогвардейского соединения в ходе упорных боёв сломили сопротивление противника и полностью очистили от немцев северное побережье Северной бухты. Советские артиллеристы выдвинули на побережье до 60 орудий и прямой наводкой уничтожали вражеские суда, находившиеся в Северной и Южной бухтах. Тем временем наши войска нанесли противнику мощный удар. Советские пехотинцы и танкисты при поддержке массированных ударов авиации и артиллерии пошли на штурм внутреннегосевастопольского обвода — последнего железобетонного оборонительного рубежанемцев на ближних подступах к Севастополю. Этот рубеж состоял из долговременных железобетонных сооружений, большого числа дзотов, блиндажей, противотанковых рвов, минных полей и проволочных заграждений. Советские части разбили немецко-фашистские войска, оборонявшие внутренний обвод, заняли Малахов курган, Слободу Корабельную, Слободу Рудольфову и ворвались в центр города. Южнее Севастополя бойцы Н-ского соединения овладели хутором Отрадный, посёлком 6-я Верста, Джаншиев. В ожесточённых боях наши войска разгромили противника и полностью освободили от немецко-фашистских захватчиков город русской славы —Севастополь. Разгромлена крымская группировка немцев, и Крым полностью очищен от немецких мерзавцев. Противник понёс огромные потери в живой силе и технике.</w:t>
      </w:r>
    </w:p>
    <w:p w14:paraId="5D383C29" w14:textId="77777777" w:rsidR="00F31F26" w:rsidRPr="007224C3" w:rsidRDefault="00F31F2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 1941 и 1942 годах советские войска в невиданно тяжёлых условиях 250 дней обороняли Севастополь. В течение многих месяцев они отбивали бешеный натиск немецко-фашистских войск и наносили им тягчайшие потери. В 1942 году только за последние 25 дней штурма Севастополя немцы потеряли до 150 тысяч солдат и </w:t>
      </w:r>
      <w:r w:rsidRPr="007224C3">
        <w:rPr>
          <w:rFonts w:ascii="Times New Roman" w:hAnsi="Times New Roman"/>
          <w:color w:val="000000" w:themeColor="text1"/>
          <w:sz w:val="16"/>
          <w:szCs w:val="16"/>
        </w:rPr>
        <w:lastRenderedPageBreak/>
        <w:t>офицеров, из них не менее 60 тысяч убитыми. В 1944 году советские войска за три дня штурма прорвали сильно укреплённую долговременную оборону немцев, состоявшуюиз трёх полос железобетонных оборонительных сооружений, и разгромили немецко-фашистские войска, оборонявшие Севастополь.</w:t>
      </w:r>
    </w:p>
    <w:p w14:paraId="5168DB84" w14:textId="77777777" w:rsidR="00F31F26" w:rsidRPr="007224C3" w:rsidRDefault="00F31F2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Длительной и героической обороной Севастополя в 1941-1942 годах Красная Армия показала непревзойдённый пример мужества и храбрости. В мае 1944 года КраснаяАрмия, в три дня овладев крепостью и военно-морской базой Севастополь, одержала ещё одну славную победу.</w:t>
      </w:r>
    </w:p>
    <w:p w14:paraId="3EBA4300" w14:textId="77777777" w:rsidR="00F31F26" w:rsidRPr="007224C3" w:rsidRDefault="00F31F2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Юго-восточнее города Станислав танки и пехота противника предприняли атаку. Гвардейцы танкового подразделения дважды Героя Советского Союза Бойко стремительным ударом с фланга рассеяли немцев. Подбито 3 танка и уничтожено свыше двух рот гитлеровцев.</w:t>
      </w:r>
    </w:p>
    <w:p w14:paraId="0AA92DFF" w14:textId="77777777" w:rsidR="00F31F26" w:rsidRPr="007224C3" w:rsidRDefault="00F31F2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Украинские партизанские отряды имени Ворошилова и имени 26-й годовщины Красной Армии с 19 по 24 апреля пустили под откос 4 воинских эшелона противника. На шоссейных и грунтовых дорогах советские патриоты взорвали шесть грузовых автомашин, бронемашину и несколько повозок. Убито 42 гитлеровца.</w:t>
      </w:r>
    </w:p>
    <w:p w14:paraId="17563EB2" w14:textId="77777777" w:rsidR="00F31F26" w:rsidRPr="007224C3" w:rsidRDefault="00F31F2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районе города Яссы наши подразделения разгромили 1 батальон 1 полка 3 румынской пехотной дивизии. Остатки батальона и его командир майор Ион Марин сложили оружие и сдались в плен. Пленный майор Ион Марин рассказал: «По дороге на передовые позиции я слышал от офицеров о разгроме многих румынских частей. Мне казалось, что это сильно преувеличено. Я видел, что офицеры, возвращавшиеся с передовой, ещё находятся во власти паники и не пришли в себя. Оттого я снекоторым недоверием относился к их сообщениям о тяжёлых потерях румынской армии. Теперь, на основании горького опыта, я убедился, что офицеры говорили мне правду. Прибыв на фронт, я получил приказ атаковать русских и занять их позиции. Русские танки нас буквально смяли. Из 800 человек, приведённых мною ночью на передовую, к часу дня осталось только 30. Все остальные солдаты и офицеры были убиты или ранены. Я вместе с оставшейся группой солдат сдался в плен».</w:t>
      </w:r>
    </w:p>
    <w:p w14:paraId="62AFE8D6" w14:textId="77777777" w:rsidR="00F31F26" w:rsidRPr="007224C3" w:rsidRDefault="00F31F2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Документ, разоблачающий профессиональных грабителей из румынских гитлеровцев:</w:t>
      </w:r>
    </w:p>
    <w:p w14:paraId="11844019" w14:textId="77777777" w:rsidR="00F31F26" w:rsidRPr="007224C3" w:rsidRDefault="00F31F2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«Наши войска, действующие на Юге, захватили секретные документы противника.Среди них было обнаружено «Наставление» румынского генерального штаба «О функциях организаций Z 1, специализированных по военным захватам и военным трофеям» от 25 июня 1942 года за № 346900. «Наставление» имеет следующие приложения: 1. Схема организаций Z 1; 2. Постановление румынского совета министров за № 1403 от 3 декабря 1941 года; 3. Выписка из немецко-румынского договора, подписанного генералами Беккером и Штефля от 30 июня 1942 года; 4. Решение румынского совета министров за № 426 от 14 апреля 1942 года; 5. Инструкция о срочном приведении в порядок трофеев.</w:t>
      </w:r>
    </w:p>
    <w:p w14:paraId="199BB735" w14:textId="77777777" w:rsidR="00F31F26" w:rsidRPr="007224C3" w:rsidRDefault="00F31F2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«Наставление» отпечатано в типографии румынского генерального штаба и подписано начальником генерального штаба генералом И.Штефля. На обложке документа и на его первой странице имеются пометки: «Генеральный штаб IV секция V отдел». «Совершенно секретно. Хранить в несгораемом шкафу». «В случае опасности немедленно сжечь».</w:t>
      </w:r>
    </w:p>
    <w:p w14:paraId="05D0219B" w14:textId="77777777" w:rsidR="00F31F26" w:rsidRPr="007224C3" w:rsidRDefault="00F31F2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 румынского генерального штаба были достаточно веские основания для того, чтобы тщательно скрывать все, что содержится в этом документе. То, что румынский генштаб издал и разослал под большим секретом командирам войсковых соединении, нельзя назвать наставлением для регулярной армии. «Наставление» румынского генштаба — это не инструкция войскам, а «спутник грабителя» — карманное пособиедля громил и мародёров. Приличия ради «Наставление» носит скромное и замысловатое название: «О функциях организаций Z 1, специализированных по военным захватам и военным трофеям». Но в самом документе всякая маскировка отброшена. В нём идёт речь об открытом организованном ограблении и расхищении всех материальных богатств и культурных ценностей советского народа во временно оккупированных районах.</w:t>
      </w:r>
    </w:p>
    <w:p w14:paraId="1CA5F760" w14:textId="77777777" w:rsidR="00F31F26" w:rsidRPr="007224C3" w:rsidRDefault="00F31F2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 постановления румынского совета министров от 3 декабря 1941 года явствует, что тотчас же после занятия Одессы румынское правительство приступило к осуществлению заранее разработанного плана полного разграбления это го крупног опромышленного и культурного советского города. Статья 1-ая постановления румынского совета министров учреждает «организацию «Одесская служба захватов и сбора трофеев», с подчинением непосредственно главной ставке».</w:t>
      </w:r>
    </w:p>
    <w:p w14:paraId="260FDCF7" w14:textId="77777777" w:rsidR="00F31F26" w:rsidRPr="007224C3" w:rsidRDefault="00F31F2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Статья 2-ая этого постановления следующим образом определяет задачи румынской государственной организации по разграблению Одессы: «Руководство этой службой доверяется главной ставкой одному из офицеров высшего звания, который в соответствии с выполнением функций командования будет иметь звание, равное помощнику командира дивизии со следующими полномочиями:</w:t>
      </w:r>
    </w:p>
    <w:p w14:paraId="499CC752" w14:textId="77777777" w:rsidR="00F31F26" w:rsidRPr="007224C3" w:rsidRDefault="00F31F2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Составить инвентаризацию всего оборудования предприятий и материалов,находящихся в Одессе, будь то для эвакуации на родину иди для восстановления и использования их на месте, по согласованию с военным комендантом Одессы;</w:t>
      </w:r>
    </w:p>
    <w:p w14:paraId="1E977B98" w14:textId="77777777" w:rsidR="00F31F26" w:rsidRPr="007224C3" w:rsidRDefault="00F31F2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Собирать все материалы и оборудование предприятий Одессы, которые подлежат эвакуации в Румынию, и эвакуировать эти материалы на запад от Днестра.</w:t>
      </w:r>
    </w:p>
    <w:p w14:paraId="346D31CA" w14:textId="77777777" w:rsidR="00F31F26" w:rsidRPr="007224C3" w:rsidRDefault="00F31F2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Распределение этих материалов и оборудования по министерствам производится генеральным штабом на основании положения, составленного начальником Одесской службы захватов».</w:t>
      </w:r>
    </w:p>
    <w:p w14:paraId="5C1BD55E" w14:textId="77777777" w:rsidR="00F31F26" w:rsidRPr="007224C3" w:rsidRDefault="00F31F2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Статья 6 гласит: «Господа министры, заместители министров по министерствам: национальной обороны, финансов, национального хозяйства, здравоохранения, труда и социального обеспечения, внутренних дел, национальной культуры, общественных работ и путей сообщения, сельского хозяйства и имений, обязаны выполнять настоящее решение совета министров».</w:t>
      </w:r>
    </w:p>
    <w:p w14:paraId="32D55FD3" w14:textId="77777777" w:rsidR="00F31F26" w:rsidRPr="007224C3" w:rsidRDefault="00F31F2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Это постановление совета министров подписали министры, правящие Румынией по воле Гитлера: председатель совета министров маршал Ион Антонеску, заместитель председателя совета министров и министр иностранных дел Михаил Антонеску, министр национальной обороны генерал Пантази, министр финансов генерал Стоенеску, министр юстиции Константин Стоическу, министр сельского хозяйства и имений генерал Сикитиу, министр внутренних дел генерал Попеску, министр национальной экономики Маринеску и министр труда и социального обеспечения доктор Томеску.</w:t>
      </w:r>
    </w:p>
    <w:p w14:paraId="3EC9F1FA" w14:textId="77777777" w:rsidR="00F31F26" w:rsidRPr="007224C3" w:rsidRDefault="00F31F2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ноября 1941 года и до июля 1942 года, то есть 8 месяцев, румынская государственно-грабительская организация «Службы захватов и сбора трофеев» расхищала и вывозила в Румынию богатства Одессы, опустошала этот, некогда цветущий, советский город. Затем бандитская шайка, именующая себя румынским советом министров, решила придать организованный, государственный характер грабежам и хищениям не только в Одессе, но и во всех оккупированных немецко-румынскими войсками советских районах.</w:t>
      </w:r>
    </w:p>
    <w:p w14:paraId="6454D2DE" w14:textId="77777777" w:rsidR="00F31F26" w:rsidRPr="007224C3" w:rsidRDefault="00F31F2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личному заданию председателя совета министров маршала Иона Антонеску начальник румынского генерального штаба Штефля выработал проект создания грабительских шаек под названием «Организации Z 1» и «Наставление» для них. При разработке проекта Штефля руководствовался постановлением румынского совета министров от 3 декабря 1941 г. за № 1403, о котором уже шла речь выше.</w:t>
      </w:r>
    </w:p>
    <w:p w14:paraId="252A80B1" w14:textId="77777777" w:rsidR="00F31F26" w:rsidRPr="007224C3" w:rsidRDefault="00F31F2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«Наставлении» говорится: «С 23 июня 1942 года Одесская служба захватов преобразуется в специальную организацию для захватов и военных трофеев под названием «Организация Z 1».</w:t>
      </w:r>
    </w:p>
    <w:p w14:paraId="6A97CB4F" w14:textId="77777777" w:rsidR="00F31F26" w:rsidRPr="007224C3" w:rsidRDefault="00F31F2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Румынский генеральный штаб создал пять «Организаций Z 1»: в Одессе — под командованием майора Думитру Котя, в Донецком бассейне — под командованием подполковника Ивана Попа, в Крыму — под командованием подполковника ДарвинаГалина, резервная при командовании и «специальная группа для Москвы». Все «Организации Z 1» находятся под командованием полковника Георгия Кассиана. В состав каждой «Организации» входит несколько батальонов, несколько сапёрных рот, роты шофёров и пожарных, автогенные группы, группы «специалистов» по художественным ценностям.</w:t>
      </w:r>
    </w:p>
    <w:p w14:paraId="5C5F7AB3" w14:textId="77777777" w:rsidR="00F31F26" w:rsidRPr="007224C3" w:rsidRDefault="00F31F2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Далее следует подробно разработанная инструкция по ограблению всех средств производства, культурных и иных ценностей в оккупированных советских районах.</w:t>
      </w:r>
    </w:p>
    <w:p w14:paraId="55F31F89" w14:textId="77777777" w:rsidR="00F31F26" w:rsidRPr="007224C3" w:rsidRDefault="00F31F2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«Наставление» предписывает вывозить в Румынию советские фабрики, заводы и их оборудование. На этот счет в «Наставлении» указывается, что по вопросу о захвате средств производства «Организации Z 1» получают дополнительные инструкции от полковника Георгия Кассиана.</w:t>
      </w:r>
    </w:p>
    <w:p w14:paraId="6B0DA3EF" w14:textId="77777777" w:rsidR="00F31F26" w:rsidRPr="007224C3" w:rsidRDefault="00F31F2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Румынский генштаб организовал массовое разграбление имущества советского государства, варварски расхищал и расхищает собственность советского народа.</w:t>
      </w:r>
    </w:p>
    <w:p w14:paraId="0556E783" w14:textId="77777777" w:rsidR="00F31F26" w:rsidRPr="007224C3" w:rsidRDefault="00F31F2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Захвату и вывозу в Румынию художественных ценностей, созданных советским народом, в «Наставлении» посвящён специальный раздел за № 9. С полным знанием дела, изобличающим опытных грабителей, «Наставление» румынского генерального штаба разъясняет технику и приёмы грабежа художественных ценностей: «Все произведения искусства и художественные ценности надо собирать в строжайшей тайне, не привлекая внимания. Желательно, чтобы картины вывозились вместе с рамами. Если это невозможно, следует вырезать их из рам бритвой и свертывать в трубку. Произведения искусства и национальные ценности надо вывозить только в румынских санитарных поездах в пункты по адресу генерального штаба, который направит их к месту назначения по степени их важности».</w:t>
      </w:r>
    </w:p>
    <w:p w14:paraId="71FC3E6A" w14:textId="77777777" w:rsidR="00F31F26" w:rsidRPr="007224C3" w:rsidRDefault="00F31F2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Генштаб румынской армии, по поручению румынского совета министров, создал команды взломщиков и грабителей, снабдил их отмычками, бритвами и послал в советские музеи и картинные галереи захватывать и вывозить в Румынию картины, статуи, редчайшие рукописи, книги — всё, чем можно поживиться.</w:t>
      </w:r>
    </w:p>
    <w:p w14:paraId="74F360B1" w14:textId="77777777" w:rsidR="00F31F26" w:rsidRPr="007224C3" w:rsidRDefault="00F31F2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«Наставление» предлагает далее всем «Организациям Z 1» в самом срочном порядке изъять в оккупированных районах: «рентгеновскую аппаратуру, зубоврачебные и хирургические инструменты и т. д. ...То, что в хорошем состоянии, передается в полевые госпитали... через полковника Антонеску, а затем через полковника Гырбя. Материалы и инструменты, бывшие в употреблении и неисправные, упаковывать в ящики из-под боеприпасов и отправлять на родину». Предлагается также захватывать «как можно больше фармацевтических материалов, особенно сырья и готовых лекарств».</w:t>
      </w:r>
    </w:p>
    <w:p w14:paraId="37D14DA1" w14:textId="77777777" w:rsidR="00F31F26" w:rsidRPr="007224C3" w:rsidRDefault="00F31F2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Румынские громилы врывались в прекрасные клиники, больницы, санатории и другие гражданские лечебные учреждения, построенные советским правительством дл янарода, и расхищали медикаменты, сложное медицинское оборудование и инструменты, складывали их в ящики из-под боеприпасов и, объявляя всё это «военными трофеями», вывозили в Румынию, лишая население оккупированных районов всякой медицинской помощи.</w:t>
      </w:r>
    </w:p>
    <w:p w14:paraId="739BDF8B" w14:textId="77777777" w:rsidR="00F31F26" w:rsidRPr="007224C3" w:rsidRDefault="00F31F2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«Наставление» предписывает грабить и вывозить в Румынию решительно всё общественное и личное достояние советских людей, в том числе продовольствие, одежду, скот. По поводу лошадей в «Наставлении» имеется специальное указание: «Лошади на основании приказа переходят в государственную собственность и регистрируются».</w:t>
      </w:r>
    </w:p>
    <w:p w14:paraId="3DDBD154" w14:textId="77777777" w:rsidR="00F31F26" w:rsidRPr="007224C3" w:rsidRDefault="00F31F2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«Наставлении» есть специальный раздел «О порядке перевозки трофеев», т. е. имущества, награбленного и наворованного румынскими войсками в оккупированных советских районах: «Самые ценные предметы перевозятся в санитарных румынских поездах».</w:t>
      </w:r>
    </w:p>
    <w:p w14:paraId="34FA6AD8" w14:textId="77777777" w:rsidR="00F31F26" w:rsidRPr="007224C3" w:rsidRDefault="00F31F2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Отсюда следует, что санитарная служба румынской армии превращена в средство доставки награбленных ценностей бандитскому притону, именуемому румынским правительством. Давно установлено, что гитлеровское зверьё, нагло попирая основы международного права, обстреливает и бомбит советские санитарные поезда, </w:t>
      </w:r>
      <w:r w:rsidRPr="007224C3">
        <w:rPr>
          <w:rFonts w:ascii="Times New Roman" w:hAnsi="Times New Roman"/>
          <w:color w:val="000000" w:themeColor="text1"/>
          <w:sz w:val="16"/>
          <w:szCs w:val="16"/>
        </w:rPr>
        <w:lastRenderedPageBreak/>
        <w:t>перевозящие раненых бойцов. Теперь установлено документально, что свои собственные санитарные поезда гитлеровские мерзавцы и их сообщники по бандитизму используют для перевозки украденных у советского народа ценностей.</w:t>
      </w:r>
    </w:p>
    <w:p w14:paraId="05E1A675" w14:textId="77777777" w:rsidR="00F31F26" w:rsidRPr="007224C3" w:rsidRDefault="00F31F2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Румынский генеральный штаб требует от своих грабительских организаций проявления широкой инициативы и самодеятельности в деле грабежа. «Работа «Организации Z 1», — говорится в «Наставлении», — должна быть налажена так, чтобы она могла свободно проявлять свою инициативу и действовать без задержек».</w:t>
      </w:r>
    </w:p>
    <w:p w14:paraId="3CBB7CA5" w14:textId="77777777" w:rsidR="00F31F26" w:rsidRPr="007224C3" w:rsidRDefault="00F31F2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Спрятанный за семью печатями документ матёрых румынских грабителей ныне извлечён из секретных хранилищ и увидел свет. Этот трофейный документ разоблачает преступные замыслы и чудовищные злодеяния румынских гитлеровцев. Румынская дворня Гитлера, в лице Антонеску и его прихвостней, планомерно расхищала и расхищает достояние советского народа и личное имущество советских людей, временно попавших под фашистское ярмо. Гитлеровские лакеи, в форме румынских майоров, полковников и генералов, захватывали промышленные богатства и культурные ценности советского народа. Банды мародёров, сведенные в «Организации Z 1», вывозили и вывозят в Румынию фабрики, заводы, разрушают и уничтожают всё, что создал советский народ своим многолетним самоотверженным трудом.</w:t>
      </w:r>
    </w:p>
    <w:p w14:paraId="7FA98ADF" w14:textId="77777777" w:rsidR="00F31F26" w:rsidRPr="007224C3" w:rsidRDefault="00F31F2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Идея создания специальной государственной бандитской организации для разграбления достояния советского народа, поставленной на широкую государственную ногу, по праву принадлежит Гитлеру и его своре.</w:t>
      </w:r>
    </w:p>
    <w:p w14:paraId="26419169" w14:textId="77777777" w:rsidR="00F31F26" w:rsidRPr="007224C3" w:rsidRDefault="00F31F2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ноября 1942 года Советское Информбюро опубликовало заявление пленного оберштурмфюрера 4-й роты батальона особого назначения германского министерства иностранных дел Нормана Ферстера. Непреложными фактами и документами было доказано, что повсеместные грабежи в оккупированных районах СССР производятся по прямому приказу германского правительства и носят организованный государственный характер. Установлено, что германское правительство является организатором и вдохновителем повсеместных грабежей на оккупированной советской территории.</w:t>
      </w:r>
    </w:p>
    <w:p w14:paraId="3C74417C" w14:textId="77777777" w:rsidR="00F31F26" w:rsidRPr="007224C3" w:rsidRDefault="00F31F2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Захваченное частями Красной Армии «Наставление» румынского генерального штаба показывает, что румынские лакеи Гитлера следуют по стопам своих берлинских хозяев.</w:t>
      </w:r>
    </w:p>
    <w:p w14:paraId="530111CE" w14:textId="77777777" w:rsidR="00F31F26" w:rsidRPr="007224C3" w:rsidRDefault="00F31F2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Бандитское «Наставление» румынского генерального штаба нельзя читать без величайшего чувства негодования и ненависти к его составителям и вдохновителям. Вместе с тем, отдельные места этого документа вызовут у советских читателей смех. Трижды в «Наставлении» упоминается «Специальная Московская группа». Наличие в «Наставлении» раздела о «Московской группе» говорит о многом. Вымогая у Румынии всё новые и новые партии пушечного мяса, Гитлер в своё время посулил своим бухарестским холуям долю при разграблении советской столицы. Румынские убийцы и казнокрады всерьёз поверили матёрому шулеру Гитлеру и поспешили сколотить из уголовного сброда специальную группу для разграбления культурных сокровищ Москвы. Известно, что из этого вышло: немцы и румыны получили по зубам. Румынский министр национальной обороны генерал Пантази, несомненно, в курсе дела. Он мог бы доложить румынскому совету министров о разгроме румынских войскв районе Сталинграда, на Дону, на Кавказе и в Крыму. Он мог бы сообщить, что лишь на подступах к Сталинграду советские войска разгромили 12 пехотных, 3 кавалерийских и 1 танковую румынские дивизии. Он мог бы также сообщить о том, что в Москву, да и в другие места Советского Союза, прибывали и прибывают не одиночные группы, а целые транспорты с румынскими военнослужащими, в числ екоторых находятся видные офицеры и генералы румынской армии. Правда, к советским музеям, к нашим художественным и культурным ценностям они доступа не имеют, так как находятся в Советском Союзе в качестве военнопленных.</w:t>
      </w:r>
    </w:p>
    <w:p w14:paraId="6B14EAEB" w14:textId="77777777" w:rsidR="00F31F26" w:rsidRPr="007224C3" w:rsidRDefault="00F31F2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 захваченных трофейных секретных румынских документов явствует, что профессиональные грабители из румынских гитлеровцев по заранее разработанному плану грабили советские города и сёла, вывозили промышленные предприятия, культурные, научные, исторические и художественные ценности и другие богатства советского народа, опустошали жилища мирных советских граждан, забирали личные вещи и предметы домашнего обихода. Все эти грабежи проводились и проводятся по прямому заданию румынского совета министров и под непосредственным руководством румынского генерального штаба.</w:t>
      </w:r>
    </w:p>
    <w:p w14:paraId="1C852678" w14:textId="77777777" w:rsidR="00F31F26" w:rsidRPr="007224C3" w:rsidRDefault="00F31F2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Красная Армия, очищая советскую землю от немецко-фашистских захватчиков, за последние месяцы изгнала немцев и румын из Николаевской и Одесской областей, из Крыма и многих районов Молдавской ССР. На этой территории во время её оккупации немецко-фашистскими войсками хозяйничали румынские гитлеровцы.</w:t>
      </w:r>
    </w:p>
    <w:p w14:paraId="3B218F0E" w14:textId="77777777" w:rsidR="00F31F26" w:rsidRPr="007224C3" w:rsidRDefault="00F31F2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Воины Красной Армии, освобождая от фашистских мерзавцев города и села советского Юга, наблюдали страшные результаты бандитской деятельности румынских грабителей и мародёров на советской земле — на побережье Чёрного моря, в районах между Южным Бугом и Днестром, между Днестром и Прутом. Румынская саранча разграбила советские фабрики и заводы, совхозы и колхозы, научные учреждения, дворцы, музеи, библиотеки, санатории и больницы, обобрала дочиста мирных жителей. Румыны врывались в дома и квартиры, убивали и мучили советских людей, насиловали женщин. Воины Красной Армии воочию убедились, как румынские бандиты ограбили и обездолили советских крестьян. Они отняли у крестьян и увезли в Румынию плуги, бороны, культиваторы, молотилки, веялки, телеги, сбрую, даже мотыги, лопаты, вилы. Румыны забирали у мирных жителей все ценные вещи, обувь, одежду, продовольствие. Румынские бандиты не брезговали домашней утварью, тащили посуду, ложки, ножи — словом, всё, что попадало под руки.</w:t>
      </w:r>
    </w:p>
    <w:p w14:paraId="1179CE2D" w14:textId="77777777" w:rsidR="00F31F26" w:rsidRPr="007224C3" w:rsidRDefault="00F31F2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Крупные и мелкие румынские жулики и громилы, поощряемые правящей кликой Румынии, не только действовали согласно грабительскому «Наставлению» румынского генерального штаба, но и проявляли на бандитском поприще широкую инициативу. В Чрезвычайную Государственную Комиссию по установлению и расследованию злодеяний немецко-фашистских захватчиков и их сообщников поступают многочисленные заявления от жителей Одессы, Николаева, других городов и сёл об огромном ущербе, который причинили румынские сподручные немцев гражданам, совхозам, общественным организациям, государственным предприятиям и учреждениям СССР.</w:t>
      </w:r>
    </w:p>
    <w:p w14:paraId="08E74FC5" w14:textId="77777777" w:rsidR="00F31F26" w:rsidRPr="007224C3" w:rsidRDefault="00F31F2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Доблестная Красная Армия, развивая успешное наступление, на некоторых участках вступила в пределы Румынии. Советское правительство заявило, что оно не преследует цели приобретения какой-либо части румынской территории или изменения существующего общественного строя Румынии. Советские военные власти обеспечивают безопасность мирного населения занятых румынских районов. Советские воины ведут себя культурно и с достоинством. Красная Армия не мстит мирным жителям Румынии за бесчинства и зверства румынских военных властей в оккупированных советских районах, за разграбление советских городов и сёл. За эти преступления ответит румынская правящая клика, все лица, причастные к мародёрским, грабительским организациям. Все они понесут заслуженную кару. Никто не уйдёт от ответа, не избежит карающей руки советского народа. Час возмездия близок.» (14886).</w:t>
      </w:r>
    </w:p>
    <w:p w14:paraId="2CEBED9E" w14:textId="77777777" w:rsidR="00F31F26" w:rsidRPr="007224C3" w:rsidRDefault="00F31F26" w:rsidP="007224C3">
      <w:pPr>
        <w:spacing w:after="0" w:line="240" w:lineRule="auto"/>
        <w:jc w:val="both"/>
        <w:rPr>
          <w:rFonts w:ascii="Times New Roman" w:hAnsi="Times New Roman"/>
          <w:color w:val="000000" w:themeColor="text1"/>
          <w:sz w:val="16"/>
          <w:szCs w:val="16"/>
        </w:rPr>
      </w:pPr>
    </w:p>
    <w:p w14:paraId="720790F3" w14:textId="77777777" w:rsidR="00F31F26" w:rsidRPr="007224C3" w:rsidRDefault="00F31F2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мая в 1944 году Советская Армия освободила от гитлеровских захватчиков город Севастополь. Освобождение Крыма и Севастополя весной 1944 года Ставкой Верховного Главнокомандования было возложено на войска 4-го Украинского фронта (2-я гвардейская и 51-я армии) под командованием генерала армии Ф.И.Толбухина и войска Отдельной Приморской армии под командованием генерала армии А.И.Еременко при поддержке сил и средств Черноморского флота во главе с адмиралом Ф.С.Октябрьским и Азовской военной флотилии под командованием контр-адмирала С.Г.Горшкова, авиации дальнего дейсгвия под командованием маршала авиации А.Н.Голованова. Их действия координировали представители Ставки Верховного Главнокомандования Маршалы Советского Союза А.М.Василевский и К.Е.Ворошилов. 5 мая 1944 г. в 12 часов, после мощной двухчасовой артиллерийской и авиационной подготовки, 2-я гвардейская армия под командованием генерал-лейтенанта Г.Ф.Захарова начала наступление с Мекензиевых гор, чтобы освободить Северную сторону и форсировать Северную бухту. 7 мая в 10 часов 30 минут, после полуторачасовой артиллерийской и авиационной подготовки, перешли в наступление войска Приморской и 51-и армий. На главном направлении Сапун-гора - Карань (ныне село Флотское) действовали части Приморской армии под командованием генерал-лейтенанта К.С.Мельника. Восточнее Инкермана и Федюхиных высот на Сапун-гору, являющуюся ключом вражеской обороны, наступала 51-я армия под командованием Героя Советского Союза генерал-лейтенанта Я.Г.Крейзера. Особенно тяжелые бои в районе Сапун-горы шли в полосе наступления 77-й стрелковой дивизии полковника А.П.Родионова и 32-й гвардейской стрелковой дивизии полковника Н.К.Закуренкова. Они первыми вышли на гребень Сапун-горы. Штурмовые красные флаги на вершине водрузили рядовые Г.И.Евглевский, И.К.Яцуненко, ефрейтор В.И.Дробязко, сержант А.А.Курбатов и др. К исходу дня советские войска овладели Сапун-горой и прорвали многоярусную систему укреплений основного рубежа противника почти на всем его протяжении. Большую помощь атакующей пехоте оказали летчики 8-й воздушной армии под командованием генерал-лейтенанта авиации Т.Т.Хрюкина. 9 мая к вечеру был полностью освобожден Севастополь, 10 мая в час ночи Москва 24 залпами из 342 орудий салютовала освободителям города. В этот день газета "Правда" писала: "Здравствуй, родной Севастополь! Любимый город советского народа, город-герой, город-богатырь! Радостно приветствует тебя вся страна!". 12 мая в районе мыса Херсонес были разгромлены остатки фашистских войск в Крыму (14886).</w:t>
      </w:r>
    </w:p>
    <w:p w14:paraId="2750B037" w14:textId="77777777" w:rsidR="00F31F26" w:rsidRPr="007224C3" w:rsidRDefault="00F31F26" w:rsidP="007224C3">
      <w:pPr>
        <w:spacing w:after="0" w:line="240" w:lineRule="auto"/>
        <w:jc w:val="both"/>
        <w:rPr>
          <w:rFonts w:ascii="Times New Roman" w:hAnsi="Times New Roman"/>
          <w:color w:val="000000" w:themeColor="text1"/>
          <w:sz w:val="16"/>
          <w:szCs w:val="16"/>
        </w:rPr>
      </w:pPr>
    </w:p>
    <w:p w14:paraId="5D850439"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мая 1944 советские войска освободили от фашистов Севастополь (4962).</w:t>
      </w:r>
    </w:p>
    <w:p w14:paraId="52FFDB2B"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C87E00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May 9 1944 Soviet troops recapture Sevastopol (1050).</w:t>
      </w:r>
    </w:p>
    <w:p w14:paraId="43A968F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52CCD6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мая 1944 советские войска 1УФ освободили Севастополь (270).</w:t>
      </w:r>
    </w:p>
    <w:p w14:paraId="32D1DEE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616457"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0B53335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1E4C934"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мая 1944 немецкий адмирал К. Дениц заявил в Берлине, что в ближайшем будущем высадки союзников во Франции не предвидится (4962).</w:t>
      </w:r>
    </w:p>
    <w:p w14:paraId="11077F66"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7AF25A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May 9th, 1944: Allied air forces begin a campaign of large scale raids against German airfields and rail communications in France in preparation for D-Day (3819).</w:t>
      </w:r>
    </w:p>
    <w:p w14:paraId="45452B7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9A1A1B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9 May 1944 Allied bombing of France prepares the ground for D-Day (270).</w:t>
      </w:r>
    </w:p>
    <w:p w14:paraId="18C4C9E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081C0F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мая 1944 начались бомбардировки Франции с целью подготовки к дню Д (270).</w:t>
      </w:r>
    </w:p>
    <w:p w14:paraId="1CD5743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18020A" w14:textId="77777777" w:rsidR="00D82A10" w:rsidRPr="007224C3" w:rsidRDefault="00D82A10"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9–10 мая (ночь) 1944 521 британский бомбардировщик совершил налет на цели во Франции с потерей шести самолетов. Поразили четыре из семи намеченных береговых орудийных позиций в Cap Gris Nez и завод по производству шарикоподшипников в Анси, а также атаковали фабрики в Gennevilliers (20373).</w:t>
      </w:r>
    </w:p>
    <w:p w14:paraId="7512FB44" w14:textId="77777777" w:rsidR="00D82A10" w:rsidRPr="007224C3" w:rsidRDefault="00D82A10" w:rsidP="007224C3">
      <w:pPr>
        <w:spacing w:after="0" w:line="240" w:lineRule="auto"/>
        <w:jc w:val="both"/>
        <w:rPr>
          <w:rFonts w:ascii="Times New Roman" w:hAnsi="Times New Roman"/>
          <w:color w:val="0070C0"/>
          <w:sz w:val="16"/>
          <w:szCs w:val="16"/>
        </w:rPr>
      </w:pPr>
    </w:p>
    <w:p w14:paraId="43D92931"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7D0E1F4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1D1F46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мая 1944 г. начались государственные испытания самолета Пе-2 "И" В.М.М. (заводские проводил летчик А.Г.Васильченко и завершил их 25 марта 1944). В ходе государственных испытаний первого экземпляра Пе-2И, начавшихся при участии ведущего инженера Г.В.Грибакина, летчика-испытателя А.М.Хрипкова и штурмана Ромашко была достигнута максимальная скорость полета 656 км/ч по сравнению с 640 км/ч, заданными постановлением ГОКО. В тоже время дальность полета с 500 кг бомб оказалась на 125 км ниже заданной. Не выполнили требование ГОКО по установке пушки калибра 20 мм для стрельбы вперед (3337).</w:t>
      </w:r>
    </w:p>
    <w:p w14:paraId="0E98F92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заключении ГК НИИ ВВС отмечалось, что "самолет Пе-2И с 2 ВК-107А по своим летно-техническим данным является современным скоростным дневным бомбардировщиком и может быть рекомендован к принятию на вооружение ВВС Красной Армии с обязательным улучшением взлетных свойств и устранением выявленных дефектов..."(3337).</w:t>
      </w:r>
    </w:p>
    <w:p w14:paraId="1D9AB3F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Ведущий летчик-испытатель А.М.Хрипков отмечал, что "по технике пилотирования самолет Пе-2И доступен летчикам средней квалификации. В целом по летно-техническим свойствам самолет Пе-2И имеет большое преимущество перед находящимися в настоящее время на вооружении ВВС КА самолетами Пе-2. По технике пилотирования аналогичен скоростному дневному бомбардировщику-самолету "103" с 2 АМ-39 (Ту-2)."</w:t>
      </w:r>
    </w:p>
    <w:p w14:paraId="52F7EFE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Облетали новую машину пилоты А.И.Кабанов, П.М.Стефановский, В.И.Жданов и М.А.Нюхтиков, штурманы И.П.Цветков, П. И. Перевалов, Литвинчук и Старых. Довольно подробное заключение по машине сделал В.И.Жданов, отмечавший: "вход в кабину, по сравнению с серийным самолетом Пе-2, свободнее. Рабочее место летчика тесно. Особенно необходимо расширить левую сторону фонаря пилота.</w:t>
      </w:r>
    </w:p>
    <w:p w14:paraId="0CBBB94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Обзор на земле и в полете хороший, но необходимо уменьшить мертвый угол обзора вперед-вниз &lt;...&gt;, ухудшающий условия наводки самолета на цель при бомбометании.</w:t>
      </w:r>
    </w:p>
    <w:p w14:paraId="18BFA76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Амортизация шасси хорошая. Тормоза слабые. Быстро перегреваются и отказывают в работе.</w:t>
      </w:r>
    </w:p>
    <w:p w14:paraId="0B8595E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Разбег &lt;...&gt; значительно больше, чем у самолета Пе-2.</w:t>
      </w:r>
    </w:p>
    <w:p w14:paraId="1ED55C7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Отрыв происходит плавно. На разбеге и выдерживании самолет устойчив.</w:t>
      </w:r>
    </w:p>
    <w:p w14:paraId="7A494A5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Управляемость самолета хорошая. Самолет во всем диапазоне скоростей послушен рулям. Следует отметить большое влияние изменения положения водяных и масляных заслонок на балансировку самолета.</w:t>
      </w:r>
    </w:p>
    <w:p w14:paraId="68B6219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Нагрузки на рулях высоты и элеронах велики, особенно при посадке и на виражах.</w:t>
      </w:r>
    </w:p>
    <w:p w14:paraId="2E34191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Общее впечатление об устойчивости самолета приятное. Путевая устойчивость у самолета хорошая, поперечная устойчивость нейтральна, со слабыми признаками спиральной неустойчивости. Продольная устойчивость нейтральна, с тенденцией к неустойчивости.</w:t>
      </w:r>
    </w:p>
    <w:p w14:paraId="1FB362C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Виражит самолет устойчиво, лучше, чем самолет Пе-2.</w:t>
      </w:r>
    </w:p>
    <w:p w14:paraId="3FE0EA1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Полет на одном моторе, при полетном весе около 9000 кг, с затяжеленным винтом (в положении большого шага) неработающего мотора возможен. Нагрузки с рулей полностью снимаются триммерами... Тенденций к сваливанию на крыло не имеет. Посадка по сравнению с Пе-2 несколько проще, за счет уменьшения скорости планирования и большей поперечной устойчивости при посадке." (3337).</w:t>
      </w:r>
    </w:p>
    <w:p w14:paraId="328276D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15C5D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мая 1944 года начались государственные испыта</w:t>
      </w:r>
      <w:r w:rsidRPr="007224C3">
        <w:rPr>
          <w:rFonts w:ascii="Times New Roman" w:hAnsi="Times New Roman"/>
          <w:color w:val="000000" w:themeColor="text1"/>
          <w:sz w:val="16"/>
          <w:szCs w:val="16"/>
        </w:rPr>
        <w:softHyphen/>
        <w:t>ния первого экземпляра Пе-2И при участии ведущего инженера Г.В. Грибакина, летчика-испытателя А.М. Хрипкова и штурмана Ромашко. Была достигнута максимальная скорость полета 656 км/ч по сравнению с 640 км/ч, заданными постановлением ГКО. В то же время дальность полета с 500 кг бомб оказалась на 125 км ниже заданной. Не выполнили требование ГКО по установке пушки калиб</w:t>
      </w:r>
      <w:r w:rsidRPr="007224C3">
        <w:rPr>
          <w:rFonts w:ascii="Times New Roman" w:hAnsi="Times New Roman"/>
          <w:color w:val="000000" w:themeColor="text1"/>
          <w:sz w:val="16"/>
          <w:szCs w:val="16"/>
        </w:rPr>
        <w:softHyphen/>
        <w:t>ра 20 мм для стрельбы вперед. В заключении НИИ ВВС отмечалось, что «самолет Пе-2И с 2 ВК-107А по своим летно-техническим данным является современным ско</w:t>
      </w:r>
      <w:r w:rsidRPr="007224C3">
        <w:rPr>
          <w:rFonts w:ascii="Times New Roman" w:hAnsi="Times New Roman"/>
          <w:color w:val="000000" w:themeColor="text1"/>
          <w:sz w:val="16"/>
          <w:szCs w:val="16"/>
        </w:rPr>
        <w:softHyphen/>
        <w:t>ростным дневным бомбардировщиком и может быть ре</w:t>
      </w:r>
      <w:r w:rsidRPr="007224C3">
        <w:rPr>
          <w:rFonts w:ascii="Times New Roman" w:hAnsi="Times New Roman"/>
          <w:color w:val="000000" w:themeColor="text1"/>
          <w:sz w:val="16"/>
          <w:szCs w:val="16"/>
        </w:rPr>
        <w:softHyphen/>
        <w:t>комендован к принятию на вооружение ВВС Красной Ар</w:t>
      </w:r>
      <w:r w:rsidRPr="007224C3">
        <w:rPr>
          <w:rFonts w:ascii="Times New Roman" w:hAnsi="Times New Roman"/>
          <w:color w:val="000000" w:themeColor="text1"/>
          <w:sz w:val="16"/>
          <w:szCs w:val="16"/>
        </w:rPr>
        <w:softHyphen/>
        <w:t>мии с обязательным улучшением взлетных свойств и уст</w:t>
      </w:r>
      <w:r w:rsidRPr="007224C3">
        <w:rPr>
          <w:rFonts w:ascii="Times New Roman" w:hAnsi="Times New Roman"/>
          <w:color w:val="000000" w:themeColor="text1"/>
          <w:sz w:val="16"/>
          <w:szCs w:val="16"/>
        </w:rPr>
        <w:softHyphen/>
        <w:t>ранением выявленных дефектов...».</w:t>
      </w:r>
    </w:p>
    <w:p w14:paraId="2853714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Ведущий летчик-испытатель А.М. Хрипков отме</w:t>
      </w:r>
      <w:r w:rsidRPr="007224C3">
        <w:rPr>
          <w:rFonts w:ascii="Times New Roman" w:hAnsi="Times New Roman"/>
          <w:color w:val="000000" w:themeColor="text1"/>
          <w:sz w:val="16"/>
          <w:szCs w:val="16"/>
        </w:rPr>
        <w:softHyphen/>
        <w:t>чал, что «по технике пилотирования самолет Пе-2И до</w:t>
      </w:r>
      <w:r w:rsidRPr="007224C3">
        <w:rPr>
          <w:rFonts w:ascii="Times New Roman" w:hAnsi="Times New Roman"/>
          <w:color w:val="000000" w:themeColor="text1"/>
          <w:sz w:val="16"/>
          <w:szCs w:val="16"/>
        </w:rPr>
        <w:softHyphen/>
        <w:t>ступен летчикам средней квалификации. В целом по лет но-техническим свойствам самолет Пе-2И имеет боль</w:t>
      </w:r>
      <w:r w:rsidRPr="007224C3">
        <w:rPr>
          <w:rFonts w:ascii="Times New Roman" w:hAnsi="Times New Roman"/>
          <w:color w:val="000000" w:themeColor="text1"/>
          <w:sz w:val="16"/>
          <w:szCs w:val="16"/>
        </w:rPr>
        <w:softHyphen/>
        <w:t>шое преимущество перед находящимися в настоящее время на вооружении ВВС КА самолетами Пе-2. По техни</w:t>
      </w:r>
      <w:r w:rsidRPr="007224C3">
        <w:rPr>
          <w:rFonts w:ascii="Times New Roman" w:hAnsi="Times New Roman"/>
          <w:color w:val="000000" w:themeColor="text1"/>
          <w:sz w:val="16"/>
          <w:szCs w:val="16"/>
        </w:rPr>
        <w:softHyphen/>
        <w:t>ке пилотирования аналогичен скоростному дневному бомбардировщику-самолету 103с2АМ-39(Ту-2. — Прим, авт.)».</w:t>
      </w:r>
    </w:p>
    <w:p w14:paraId="242D255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Облетали новую машину пилоты А.И. Кабанов, П.М. Стефановский, В.И. Жданов и М.А. Нюхтиков, штурманы Н.П. Цветков, П.И. Перевалов, Литвинчук и Старых. Довольно подробное заключение по маши</w:t>
      </w:r>
      <w:r w:rsidRPr="007224C3">
        <w:rPr>
          <w:rFonts w:ascii="Times New Roman" w:hAnsi="Times New Roman"/>
          <w:color w:val="000000" w:themeColor="text1"/>
          <w:sz w:val="16"/>
          <w:szCs w:val="16"/>
        </w:rPr>
        <w:softHyphen/>
        <w:t>не сделал В.И. Жданов, отмечавший: «Вход в кабину, по сравнению с серийным самолетом Пе-2, свободнее. Ра</w:t>
      </w:r>
      <w:r w:rsidRPr="007224C3">
        <w:rPr>
          <w:rFonts w:ascii="Times New Roman" w:hAnsi="Times New Roman"/>
          <w:color w:val="000000" w:themeColor="text1"/>
          <w:sz w:val="16"/>
          <w:szCs w:val="16"/>
        </w:rPr>
        <w:softHyphen/>
        <w:t>бочее место летчика тесно. Особенно необходимо расши</w:t>
      </w:r>
      <w:r w:rsidRPr="007224C3">
        <w:rPr>
          <w:rFonts w:ascii="Times New Roman" w:hAnsi="Times New Roman"/>
          <w:color w:val="000000" w:themeColor="text1"/>
          <w:sz w:val="16"/>
          <w:szCs w:val="16"/>
        </w:rPr>
        <w:softHyphen/>
        <w:t>рить левую сторону фонаря пилота.</w:t>
      </w:r>
    </w:p>
    <w:p w14:paraId="72FDE95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Обзор на земле и в полете хороший, но необходимо уменьшить мертвый угол обзора вперед-вниз (...), ухуд</w:t>
      </w:r>
      <w:r w:rsidRPr="007224C3">
        <w:rPr>
          <w:rFonts w:ascii="Times New Roman" w:hAnsi="Times New Roman"/>
          <w:color w:val="000000" w:themeColor="text1"/>
          <w:sz w:val="16"/>
          <w:szCs w:val="16"/>
        </w:rPr>
        <w:softHyphen/>
        <w:t>шающий условия наводки самолета на цель при бомбоме</w:t>
      </w:r>
      <w:r w:rsidRPr="007224C3">
        <w:rPr>
          <w:rFonts w:ascii="Times New Roman" w:hAnsi="Times New Roman"/>
          <w:color w:val="000000" w:themeColor="text1"/>
          <w:sz w:val="16"/>
          <w:szCs w:val="16"/>
        </w:rPr>
        <w:softHyphen/>
        <w:t>тании.</w:t>
      </w:r>
    </w:p>
    <w:p w14:paraId="11EEC3E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Амортизация шасси хорошая. Тормоза слабые. Быст</w:t>
      </w:r>
      <w:r w:rsidRPr="007224C3">
        <w:rPr>
          <w:rFonts w:ascii="Times New Roman" w:hAnsi="Times New Roman"/>
          <w:color w:val="000000" w:themeColor="text1"/>
          <w:sz w:val="16"/>
          <w:szCs w:val="16"/>
        </w:rPr>
        <w:softHyphen/>
        <w:t>ро перегреваются и отказывают в работе.</w:t>
      </w:r>
    </w:p>
    <w:p w14:paraId="0FDDEEB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Разбег(...) значительно больше, чем у самолета Пе-2.</w:t>
      </w:r>
    </w:p>
    <w:p w14:paraId="501B1FF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Отрыв происходит плавно. На разбеге и выдержива</w:t>
      </w:r>
      <w:r w:rsidRPr="007224C3">
        <w:rPr>
          <w:rFonts w:ascii="Times New Roman" w:hAnsi="Times New Roman"/>
          <w:color w:val="000000" w:themeColor="text1"/>
          <w:sz w:val="16"/>
          <w:szCs w:val="16"/>
        </w:rPr>
        <w:softHyphen/>
        <w:t>нии самолет устойчив.</w:t>
      </w:r>
    </w:p>
    <w:p w14:paraId="3BA5555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Управляемость самолета хорошая. Самолет во всем диапазоне скоростей послушен рулям. Следует отметить большое влияние изменения положения водяных и масля</w:t>
      </w:r>
      <w:r w:rsidRPr="007224C3">
        <w:rPr>
          <w:rFonts w:ascii="Times New Roman" w:hAnsi="Times New Roman"/>
          <w:color w:val="000000" w:themeColor="text1"/>
          <w:sz w:val="16"/>
          <w:szCs w:val="16"/>
        </w:rPr>
        <w:softHyphen/>
        <w:t>ных заслонок на балансировку самолета.</w:t>
      </w:r>
    </w:p>
    <w:p w14:paraId="50C8B17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Нагрузки на рулях высоты и элеронах велики, особен</w:t>
      </w:r>
      <w:r w:rsidRPr="007224C3">
        <w:rPr>
          <w:rFonts w:ascii="Times New Roman" w:hAnsi="Times New Roman"/>
          <w:color w:val="000000" w:themeColor="text1"/>
          <w:sz w:val="16"/>
          <w:szCs w:val="16"/>
        </w:rPr>
        <w:softHyphen/>
        <w:t>но при посадке и на виражах.</w:t>
      </w:r>
    </w:p>
    <w:p w14:paraId="3E4C220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Общее впечатление об устойчивости самолета прият</w:t>
      </w:r>
      <w:r w:rsidRPr="007224C3">
        <w:rPr>
          <w:rFonts w:ascii="Times New Roman" w:hAnsi="Times New Roman"/>
          <w:color w:val="000000" w:themeColor="text1"/>
          <w:sz w:val="16"/>
          <w:szCs w:val="16"/>
        </w:rPr>
        <w:softHyphen/>
        <w:t>ное. Путевая устойчивость у самолета хорошая, попереч</w:t>
      </w:r>
      <w:r w:rsidRPr="007224C3">
        <w:rPr>
          <w:rFonts w:ascii="Times New Roman" w:hAnsi="Times New Roman"/>
          <w:color w:val="000000" w:themeColor="text1"/>
          <w:sz w:val="16"/>
          <w:szCs w:val="16"/>
        </w:rPr>
        <w:softHyphen/>
        <w:t>ная устойчивость нейтральна, со слабыми признаками спиральной неустойчивости. Продольная устойчивость нейтральна, с тенденцией к неустойчивости.</w:t>
      </w:r>
    </w:p>
    <w:p w14:paraId="09C2488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Виражит самолет устойчиво, лучше, чем самолет Пе-2.</w:t>
      </w:r>
    </w:p>
    <w:p w14:paraId="7D66132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Полет на одном моторе, при полетном весе около 9000 кг, с за тяжеленным винтом (в положении большого шага. — Прим, авт.) неработающего мотора возможен. Нагрузки с рулей полностью снимаются триммерами... Тенденций к сваливанию на крыло не имеет. Посадка по сравнению с Пе-2 несколько проще, за счет уменьшения скорости планирования и большей поперечной устойчи</w:t>
      </w:r>
      <w:r w:rsidRPr="007224C3">
        <w:rPr>
          <w:rFonts w:ascii="Times New Roman" w:hAnsi="Times New Roman"/>
          <w:color w:val="000000" w:themeColor="text1"/>
          <w:sz w:val="16"/>
          <w:szCs w:val="16"/>
        </w:rPr>
        <w:softHyphen/>
        <w:t>вости при посадке».</w:t>
      </w:r>
    </w:p>
    <w:p w14:paraId="4FFA89E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Испытания показали, что Пе-2И имел большую ско</w:t>
      </w:r>
      <w:r w:rsidRPr="007224C3">
        <w:rPr>
          <w:rFonts w:ascii="Times New Roman" w:hAnsi="Times New Roman"/>
          <w:color w:val="000000" w:themeColor="text1"/>
          <w:sz w:val="16"/>
          <w:szCs w:val="16"/>
        </w:rPr>
        <w:softHyphen/>
        <w:t>рость, по сравнению с истребителями Ме-109(3-2) и ФВ 190 выпуска 1942 года, причем разница достигала 46 км/ч. Отставал от него и английский «Москито» IV (опознавательный знак ОК-296), испытанный в НИИ ВВС. На высоте 6000 м разница между ними достигала 80 км/ч.</w:t>
      </w:r>
    </w:p>
    <w:p w14:paraId="598933C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Как и в случае с ДВБ-102, на советском «Москито» много неприятностей доставляли двигатели. За два месяца испытаний их меняли шесть раз. Главным де</w:t>
      </w:r>
      <w:r w:rsidRPr="007224C3">
        <w:rPr>
          <w:rFonts w:ascii="Times New Roman" w:hAnsi="Times New Roman"/>
          <w:color w:val="000000" w:themeColor="text1"/>
          <w:sz w:val="16"/>
          <w:szCs w:val="16"/>
        </w:rPr>
        <w:softHyphen/>
        <w:t>фектом ВК-107А был прорыв газов через верхнее уп</w:t>
      </w:r>
      <w:r w:rsidRPr="007224C3">
        <w:rPr>
          <w:rFonts w:ascii="Times New Roman" w:hAnsi="Times New Roman"/>
          <w:color w:val="000000" w:themeColor="text1"/>
          <w:sz w:val="16"/>
          <w:szCs w:val="16"/>
        </w:rPr>
        <w:softHyphen/>
        <w:t>лотнение цилиндров, по этой причине двигатели не вырабатывали положенного моторесурса 100 часов. В то же время устройство охлаждения мотора нарека</w:t>
      </w:r>
      <w:r w:rsidRPr="007224C3">
        <w:rPr>
          <w:rFonts w:ascii="Times New Roman" w:hAnsi="Times New Roman"/>
          <w:color w:val="000000" w:themeColor="text1"/>
          <w:sz w:val="16"/>
          <w:szCs w:val="16"/>
        </w:rPr>
        <w:softHyphen/>
        <w:t>ний не вызывало, поскольку температура охлаждаю</w:t>
      </w:r>
      <w:r w:rsidRPr="007224C3">
        <w:rPr>
          <w:rFonts w:ascii="Times New Roman" w:hAnsi="Times New Roman"/>
          <w:color w:val="000000" w:themeColor="text1"/>
          <w:sz w:val="16"/>
          <w:szCs w:val="16"/>
        </w:rPr>
        <w:softHyphen/>
        <w:t>щей жидкости не превышала допустимых пределов, с чем сталкивались создатели самолетов-истребите</w:t>
      </w:r>
      <w:r w:rsidRPr="007224C3">
        <w:rPr>
          <w:rFonts w:ascii="Times New Roman" w:hAnsi="Times New Roman"/>
          <w:color w:val="000000" w:themeColor="text1"/>
          <w:sz w:val="16"/>
          <w:szCs w:val="16"/>
        </w:rPr>
        <w:softHyphen/>
        <w:t>лей. Проблемы с мотором начинались при полетах на высоте более 6000 м, когда падало давление масла, что было связано в том числе и с низким качеством уп</w:t>
      </w:r>
      <w:r w:rsidRPr="007224C3">
        <w:rPr>
          <w:rFonts w:ascii="Times New Roman" w:hAnsi="Times New Roman"/>
          <w:color w:val="000000" w:themeColor="text1"/>
          <w:sz w:val="16"/>
          <w:szCs w:val="16"/>
        </w:rPr>
        <w:softHyphen/>
        <w:t>лотнителей (сальников).</w:t>
      </w:r>
    </w:p>
    <w:p w14:paraId="7F93BFA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Испытания не позволили сделать окончательное заключение по пулеметной установке «ДЭУ». Причин для этого было несколько, я позволю себе остановиться на трех из них. Это, прежде всего, недостаточная жест</w:t>
      </w:r>
      <w:r w:rsidRPr="007224C3">
        <w:rPr>
          <w:rFonts w:ascii="Times New Roman" w:hAnsi="Times New Roman"/>
          <w:color w:val="000000" w:themeColor="text1"/>
          <w:sz w:val="16"/>
          <w:szCs w:val="16"/>
        </w:rPr>
        <w:softHyphen/>
        <w:t>кость установки в горизонтальной плоскости, значительные величины динамического рассогласования прицела у штурмана и оружия, а также слабая электри</w:t>
      </w:r>
      <w:r w:rsidRPr="007224C3">
        <w:rPr>
          <w:rFonts w:ascii="Times New Roman" w:hAnsi="Times New Roman"/>
          <w:color w:val="000000" w:themeColor="text1"/>
          <w:sz w:val="16"/>
          <w:szCs w:val="16"/>
        </w:rPr>
        <w:softHyphen/>
        <w:t>ческая мощность генераторов самолета, недостаточ</w:t>
      </w:r>
      <w:r w:rsidRPr="007224C3">
        <w:rPr>
          <w:rFonts w:ascii="Times New Roman" w:hAnsi="Times New Roman"/>
          <w:color w:val="000000" w:themeColor="text1"/>
          <w:sz w:val="16"/>
          <w:szCs w:val="16"/>
        </w:rPr>
        <w:softHyphen/>
        <w:t>ная для надежной работы пулеметной установки. Уст</w:t>
      </w:r>
      <w:r w:rsidRPr="007224C3">
        <w:rPr>
          <w:rFonts w:ascii="Times New Roman" w:hAnsi="Times New Roman"/>
          <w:color w:val="000000" w:themeColor="text1"/>
          <w:sz w:val="16"/>
          <w:szCs w:val="16"/>
        </w:rPr>
        <w:softHyphen/>
        <w:t>ранить рассогласование прицела и оружия так и не удалось, поскольку в составе установки «ДЭУ» отсут</w:t>
      </w:r>
      <w:r w:rsidRPr="007224C3">
        <w:rPr>
          <w:rFonts w:ascii="Times New Roman" w:hAnsi="Times New Roman"/>
          <w:color w:val="000000" w:themeColor="text1"/>
          <w:sz w:val="16"/>
          <w:szCs w:val="16"/>
        </w:rPr>
        <w:softHyphen/>
        <w:t>ствовал один из важнейших элементов — вычисли</w:t>
      </w:r>
      <w:r w:rsidRPr="007224C3">
        <w:rPr>
          <w:rFonts w:ascii="Times New Roman" w:hAnsi="Times New Roman"/>
          <w:color w:val="000000" w:themeColor="text1"/>
          <w:sz w:val="16"/>
          <w:szCs w:val="16"/>
        </w:rPr>
        <w:softHyphen/>
        <w:t>тель. Промышленность в те годы создать подобное устройство не смогла. Они появились позже, в про</w:t>
      </w:r>
      <w:r w:rsidRPr="007224C3">
        <w:rPr>
          <w:rFonts w:ascii="Times New Roman" w:hAnsi="Times New Roman"/>
          <w:color w:val="000000" w:themeColor="text1"/>
          <w:sz w:val="16"/>
          <w:szCs w:val="16"/>
        </w:rPr>
        <w:softHyphen/>
        <w:t>цессе копирования американского бомбардировщика В-29 компании «Боинг» (11446).</w:t>
      </w:r>
    </w:p>
    <w:p w14:paraId="622CD85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73632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мая 1944 года самолет Лагг-3 с мотором ВК-105ПФ2 конструкции Горбунова, производства завода N 31 был принят на испытания в НИИ ВВС. Испытания начаты 10 мая, приостановлены 12 мая, ввиду выхода из строя мотора ВК-105ПФ2 (течь воды через уплотнение рубашки левого блока цилиндров) и возобновлены после установки нового мотора 18 мая). С 10 по 19 мая 1944 года произведено 6 полетов, общей продолжительностью 3 часа 00 минут, из них: два полета контрольных и остальные для определения летных характеристик и температурных режимов винто-моторной группы. 19 мая 1944 года испытания прерваны (1821).</w:t>
      </w:r>
    </w:p>
    <w:p w14:paraId="7EAEE2A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37D36B" w14:textId="77777777" w:rsidR="00D82A10" w:rsidRPr="007224C3" w:rsidRDefault="00D82A10"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 xml:space="preserve">10 мая 1944 начались полеты на самолете 105-2, который был построен 31-м заводом в феврале 1944 года, а 4 мая после непродолжительных заводских испытаний поступил в НИИ ВВС на госиспытания. 12 мая после второго вылета по программе, испытания пришлось прервать. На моторе ВК-105ПФ2 № ПФп-2580, с которым самолет 105-2 проходил заводские испытания, обнаружили течь левого блока цилиндров. Наработка двигателя к этому моменту составила 44 часа 2 минуты. С новым </w:t>
      </w:r>
      <w:r w:rsidRPr="007224C3">
        <w:rPr>
          <w:rFonts w:ascii="Times New Roman" w:hAnsi="Times New Roman"/>
          <w:color w:val="0070C0"/>
          <w:sz w:val="16"/>
          <w:szCs w:val="16"/>
        </w:rPr>
        <w:lastRenderedPageBreak/>
        <w:t xml:space="preserve">мотором № 402-71 тоже сначала не заладилось. После облета на нем пришлось заменить 1-й и 3-й карбюраторы, а также редукционный клапан основного маслонасоса. Испытания удалось возобновить только 1 июня (23197). </w:t>
      </w:r>
    </w:p>
    <w:p w14:paraId="76B6710E" w14:textId="77777777" w:rsidR="00D82A10" w:rsidRPr="007224C3" w:rsidRDefault="00D82A10" w:rsidP="007224C3">
      <w:pPr>
        <w:spacing w:after="0" w:line="240" w:lineRule="auto"/>
        <w:jc w:val="both"/>
        <w:rPr>
          <w:rFonts w:ascii="Times New Roman" w:hAnsi="Times New Roman"/>
          <w:color w:val="0070C0"/>
          <w:sz w:val="16"/>
          <w:szCs w:val="16"/>
        </w:rPr>
      </w:pPr>
    </w:p>
    <w:p w14:paraId="163AB9B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10 мая (самолет поступил 4) по 12 мая и с 1 июня по 12 июня 1944 проводились гос. испытания модифицированного ЛаГГ-3 дублера с ВК-105ПФ-2 с винтом ВИШ-105СВ (N 105-2 производства 31 завода (февраль), ГК В.П.Горбунов с ВЯ-23 - 85 патр.). Отв. испытатель Ф.М.Шишкин, вед. л Дзюба. 15 полетов продолжительностью 8 час. 40 мин. (764,2).</w:t>
      </w:r>
    </w:p>
    <w:p w14:paraId="65F3D4E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июня 1944 А.E.Репин утвердил акт по гос. испытаниям модифицированного ЛаГГ-3 дублера с ВК-105ПФ-2 с винтом ВИШ-105СВ (N 105-2 производства 31 завода (февраль), ГК В.П.Горбунов с ВЯ-23</w:t>
      </w:r>
    </w:p>
    <w:p w14:paraId="563CAFC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Отв. исполнитель вед. инж. З-да ви п/п Ф.М.Шишкин</w:t>
      </w:r>
    </w:p>
    <w:p w14:paraId="71309F7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Вед. л 3 отд. НИИ ВВС гсс гм Дзюба</w:t>
      </w:r>
    </w:p>
    <w:p w14:paraId="716366B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исп. Шишкин</w:t>
      </w:r>
    </w:p>
    <w:p w14:paraId="0D6827F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Цель испытаний:</w:t>
      </w:r>
    </w:p>
    <w:p w14:paraId="6FD1EC1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Определить ЛТД с-та</w:t>
      </w:r>
    </w:p>
    <w:p w14:paraId="635B4BD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Дать оценку эксплуатационным свойствам с-та, ВМГ, вооружения и спецоборудования</w:t>
      </w:r>
    </w:p>
    <w:p w14:paraId="4079E33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Оценить производственное и конструктивное выполнение с-та</w:t>
      </w:r>
    </w:p>
    <w:p w14:paraId="1F0E292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Объект испытаний: предъявленная на госиспытания машина завода № 31 выпуска февраля 1944</w:t>
      </w:r>
    </w:p>
    <w:p w14:paraId="7D4D2F7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сравнению с ранее испытывавшимся ЛаГГ-3 с мотором ВК-105ПФ (первый экз. С-та № 105-1)с-т дублер № 105-2 имеет следующие отличия:</w:t>
      </w:r>
    </w:p>
    <w:p w14:paraId="15226C2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планеру - изменена конструкция 4 и 5 шпангоутов фюзеляжа. В нижней ферме 4-го шпангоута произведено два круглых отверстия под тоннуль маслорадиатора, в шп. 5 изменен нижний ... под установку фермы для крепления сидения пилота и качалки управления РВ</w:t>
      </w:r>
    </w:p>
    <w:p w14:paraId="649AF28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в нижней части фюзеляжа перед тоннелем водорадиатора установлено два заборника воздуха для охлаждения маслорадиатора</w:t>
      </w:r>
    </w:p>
    <w:p w14:paraId="2757C66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увеличено плечо качалки управления элеронами для уменьшения давления на ручку управления с-том</w:t>
      </w:r>
    </w:p>
    <w:p w14:paraId="6D63BD6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изменены форма и конструкция ручки управления с-том по типу ручки стандартной кабины</w:t>
      </w:r>
    </w:p>
    <w:p w14:paraId="2665092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установлен дополнительный кронштейн для крепления лафета пушки ВЯ-23</w:t>
      </w:r>
    </w:p>
    <w:p w14:paraId="0D1D11F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ВМГ: установлен мотор ВК-105ПФ-2, установлен винт типа ВИШ-105СВ с профилированной комлевой частью лопастей, маслорадиатор типа ОП-352 заменен двумя последовательно соединенными рядами типа ВМС-8 с трубкой К-4, толщиной 0,1 мм</w:t>
      </w:r>
    </w:p>
    <w:p w14:paraId="2F47AAD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изменен туннель маслорадиатора, который установлен в фюзеляже</w:t>
      </w:r>
    </w:p>
    <w:p w14:paraId="6B71E01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изменена конструкция и перекомпоновыны ряд коробов и крышек капота мотора и управление заслонками маслорадиатора</w:t>
      </w:r>
    </w:p>
    <w:p w14:paraId="0AAE67A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общая емкость б/б уменьшена на 28 л с 405 до 377 л</w:t>
      </w:r>
    </w:p>
    <w:p w14:paraId="5FCAA22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на носок вала редуктора установлен центробежный маслоотражатель типа ЛИИ НКАП</w:t>
      </w:r>
    </w:p>
    <w:p w14:paraId="7BBC302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изменен дренаж трубки суфлера бака</w:t>
      </w:r>
    </w:p>
    <w:p w14:paraId="7D90FF0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выхлопные патрубки изготовлены по типу с-та Як-3 (рекомендация ЦАГИ)</w:t>
      </w:r>
    </w:p>
    <w:p w14:paraId="3E953AF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вооружению: установлена пушка ВЯ-23 с боезапасом 85 патронов вместо пушки МП-20 с б/з 160 патронов, пулемет УБС с б/з 185 патронов вместо 200 патронов</w:t>
      </w:r>
    </w:p>
    <w:p w14:paraId="7E03D3D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связи с установкой пушки ВЯ-23 изменено крепление пушки, форма и конструкция патронных коробок и гильзоотвода</w:t>
      </w:r>
    </w:p>
    <w:p w14:paraId="73E2F58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установлен звеньесборник для пушки ВЯ-23</w:t>
      </w:r>
    </w:p>
    <w:p w14:paraId="64F364F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механизм управления оружием переведен на пневматику</w:t>
      </w:r>
    </w:p>
    <w:p w14:paraId="68750E8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Спецприборы с-та 105-2 дублер такие же, как на с-те 105-1</w:t>
      </w:r>
    </w:p>
    <w:p w14:paraId="6DBA3C3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улучшения ЛТД проведены следующие мероприятия:</w:t>
      </w:r>
    </w:p>
    <w:p w14:paraId="1CA5ADA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улучшена внешняя отделка и введена полировка передней кромки крыла</w:t>
      </w:r>
    </w:p>
    <w:p w14:paraId="1B04A4A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козырьку кабины пилота придана сферическая форма</w:t>
      </w:r>
    </w:p>
    <w:p w14:paraId="1C2CAC1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улучшена герметизация противопожарной перегородки, крыла, кабины пилота и хвостовой части фюзеляжа</w:t>
      </w:r>
    </w:p>
    <w:p w14:paraId="78D22AD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Согласно данным завода прочность с-та 105-2 и его основных агрегатов: фюзеляжа, крыла, центроплана, шасси удовлетворяет действующим нормам прочности.</w:t>
      </w:r>
    </w:p>
    <w:p w14:paraId="31C2876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Расчет завода по флаттеру крыла серийного с-та ЛаГГ-3 в облегченном варианте произведен в ЦАГИ и получено разрешение на эксплуатацию на скорости до 700 км/час по прибору</w:t>
      </w:r>
    </w:p>
    <w:p w14:paraId="0ED203E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Результаты испытаний:</w:t>
      </w:r>
    </w:p>
    <w:p w14:paraId="29EC0A8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 пибыл в НИИ 4 мая. Испытания начаты 10 мая, приостановлены по просьбе ГК с-та В.П.Горбунова для осмотра с-та и мотора и доводки тепловых режимов ВМГ 12 мая. Возобновлены 1 июня и закончены 12 июня. Выполнено 15 полетов с налетом 8:40</w:t>
      </w:r>
    </w:p>
    <w:p w14:paraId="5F5BFE6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 пустого 2285 22,5% САХ, угол капотирования 26:40</w:t>
      </w:r>
    </w:p>
    <w:p w14:paraId="673BCC2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 полетный 2875 22.2% САХ, угол капотирования 28:40</w:t>
      </w:r>
    </w:p>
    <w:p w14:paraId="7C149F8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Нормальная нагрузка:</w:t>
      </w:r>
    </w:p>
    <w:p w14:paraId="3E380AC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экипаж - 90</w:t>
      </w:r>
    </w:p>
    <w:p w14:paraId="07034CE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горючее (074 г,см3) - 280</w:t>
      </w:r>
    </w:p>
    <w:p w14:paraId="24A9885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масло - 27</w:t>
      </w:r>
    </w:p>
    <w:p w14:paraId="16DF5BD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вооружение - пушка ВЯ-23 - 73, УБС - 21,5, б/з пушки (85) - 47, б/з пулемета (185) - 31,0</w:t>
      </w:r>
    </w:p>
    <w:p w14:paraId="11D283A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связное оборудование - 20,5</w:t>
      </w:r>
    </w:p>
    <w:p w14:paraId="5412250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 - 590</w:t>
      </w:r>
    </w:p>
    <w:p w14:paraId="5723DC6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Таблица изменения веса 105-2 по сравнению с 105-1, проходившим испытания в НИИ в октябре 1943: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708"/>
        <w:gridCol w:w="709"/>
        <w:gridCol w:w="709"/>
      </w:tblGrid>
      <w:tr w:rsidR="005106D0" w:rsidRPr="007224C3" w14:paraId="40E5B9AA" w14:textId="77777777">
        <w:tc>
          <w:tcPr>
            <w:tcW w:w="2802" w:type="dxa"/>
            <w:tcBorders>
              <w:top w:val="single" w:sz="12" w:space="0" w:color="auto"/>
            </w:tcBorders>
          </w:tcPr>
          <w:p w14:paraId="15CA56B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Наименование</w:t>
            </w:r>
          </w:p>
        </w:tc>
        <w:tc>
          <w:tcPr>
            <w:tcW w:w="708" w:type="dxa"/>
            <w:tcBorders>
              <w:top w:val="single" w:sz="12" w:space="0" w:color="auto"/>
            </w:tcBorders>
          </w:tcPr>
          <w:p w14:paraId="0E6DB6C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105-2 дублер</w:t>
            </w:r>
          </w:p>
        </w:tc>
        <w:tc>
          <w:tcPr>
            <w:tcW w:w="709" w:type="dxa"/>
            <w:tcBorders>
              <w:top w:val="single" w:sz="12" w:space="0" w:color="auto"/>
            </w:tcBorders>
          </w:tcPr>
          <w:p w14:paraId="2208986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105-1 первый</w:t>
            </w:r>
          </w:p>
        </w:tc>
        <w:tc>
          <w:tcPr>
            <w:tcW w:w="709" w:type="dxa"/>
            <w:tcBorders>
              <w:top w:val="single" w:sz="12" w:space="0" w:color="auto"/>
            </w:tcBorders>
          </w:tcPr>
          <w:p w14:paraId="3ECC5BA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Разница</w:t>
            </w:r>
          </w:p>
        </w:tc>
      </w:tr>
      <w:tr w:rsidR="005106D0" w:rsidRPr="007224C3" w14:paraId="634A49EE" w14:textId="77777777">
        <w:tc>
          <w:tcPr>
            <w:tcW w:w="2802" w:type="dxa"/>
          </w:tcPr>
          <w:p w14:paraId="481082F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Нормальный полетный вес</w:t>
            </w:r>
          </w:p>
        </w:tc>
        <w:tc>
          <w:tcPr>
            <w:tcW w:w="708" w:type="dxa"/>
          </w:tcPr>
          <w:p w14:paraId="3C7D90F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2875</w:t>
            </w:r>
          </w:p>
        </w:tc>
        <w:tc>
          <w:tcPr>
            <w:tcW w:w="709" w:type="dxa"/>
          </w:tcPr>
          <w:p w14:paraId="382EBC3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2818</w:t>
            </w:r>
          </w:p>
        </w:tc>
        <w:tc>
          <w:tcPr>
            <w:tcW w:w="709" w:type="dxa"/>
          </w:tcPr>
          <w:p w14:paraId="73F6EF6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+57</w:t>
            </w:r>
          </w:p>
        </w:tc>
      </w:tr>
      <w:tr w:rsidR="005106D0" w:rsidRPr="007224C3" w14:paraId="103CD79A" w14:textId="77777777">
        <w:tc>
          <w:tcPr>
            <w:tcW w:w="2802" w:type="dxa"/>
          </w:tcPr>
          <w:p w14:paraId="34032CA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 пустого</w:t>
            </w:r>
          </w:p>
        </w:tc>
        <w:tc>
          <w:tcPr>
            <w:tcW w:w="708" w:type="dxa"/>
          </w:tcPr>
          <w:p w14:paraId="78D5639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2285</w:t>
            </w:r>
          </w:p>
        </w:tc>
        <w:tc>
          <w:tcPr>
            <w:tcW w:w="709" w:type="dxa"/>
          </w:tcPr>
          <w:p w14:paraId="2D5AEFB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2234</w:t>
            </w:r>
          </w:p>
        </w:tc>
        <w:tc>
          <w:tcPr>
            <w:tcW w:w="709" w:type="dxa"/>
          </w:tcPr>
          <w:p w14:paraId="14AB71E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+51</w:t>
            </w:r>
          </w:p>
        </w:tc>
      </w:tr>
      <w:tr w:rsidR="005106D0" w:rsidRPr="007224C3" w14:paraId="7E8457D1" w14:textId="77777777">
        <w:tc>
          <w:tcPr>
            <w:tcW w:w="2802" w:type="dxa"/>
          </w:tcPr>
          <w:p w14:paraId="0927E30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 нагрузки</w:t>
            </w:r>
          </w:p>
        </w:tc>
        <w:tc>
          <w:tcPr>
            <w:tcW w:w="708" w:type="dxa"/>
          </w:tcPr>
          <w:p w14:paraId="5A3D19D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590</w:t>
            </w:r>
          </w:p>
        </w:tc>
        <w:tc>
          <w:tcPr>
            <w:tcW w:w="709" w:type="dxa"/>
          </w:tcPr>
          <w:p w14:paraId="75165EC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584</w:t>
            </w:r>
          </w:p>
        </w:tc>
        <w:tc>
          <w:tcPr>
            <w:tcW w:w="709" w:type="dxa"/>
          </w:tcPr>
          <w:p w14:paraId="763F895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w:t>
            </w:r>
          </w:p>
        </w:tc>
      </w:tr>
      <w:tr w:rsidR="005106D0" w:rsidRPr="007224C3" w14:paraId="15778ECA" w14:textId="77777777">
        <w:tc>
          <w:tcPr>
            <w:tcW w:w="2802" w:type="dxa"/>
          </w:tcPr>
          <w:p w14:paraId="3629FA5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Центровка при нормальном полетном весе</w:t>
            </w:r>
          </w:p>
        </w:tc>
        <w:tc>
          <w:tcPr>
            <w:tcW w:w="708" w:type="dxa"/>
          </w:tcPr>
          <w:p w14:paraId="0374C5F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25,2</w:t>
            </w:r>
          </w:p>
        </w:tc>
        <w:tc>
          <w:tcPr>
            <w:tcW w:w="709" w:type="dxa"/>
          </w:tcPr>
          <w:p w14:paraId="31DBC56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23,7</w:t>
            </w:r>
          </w:p>
        </w:tc>
        <w:tc>
          <w:tcPr>
            <w:tcW w:w="709" w:type="dxa"/>
          </w:tcPr>
          <w:p w14:paraId="573132D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w:t>
            </w:r>
          </w:p>
        </w:tc>
      </w:tr>
      <w:tr w:rsidR="005106D0" w:rsidRPr="007224C3" w14:paraId="270A0F22" w14:textId="77777777">
        <w:tc>
          <w:tcPr>
            <w:tcW w:w="2802" w:type="dxa"/>
          </w:tcPr>
          <w:p w14:paraId="26AD8F7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Предельная передняя эксплуатационная центровка</w:t>
            </w:r>
          </w:p>
        </w:tc>
        <w:tc>
          <w:tcPr>
            <w:tcW w:w="708" w:type="dxa"/>
          </w:tcPr>
          <w:p w14:paraId="6B655E8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23,9</w:t>
            </w:r>
          </w:p>
        </w:tc>
        <w:tc>
          <w:tcPr>
            <w:tcW w:w="709" w:type="dxa"/>
          </w:tcPr>
          <w:p w14:paraId="2AE972B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22,3</w:t>
            </w:r>
          </w:p>
        </w:tc>
        <w:tc>
          <w:tcPr>
            <w:tcW w:w="709" w:type="dxa"/>
          </w:tcPr>
          <w:p w14:paraId="58E3679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tc>
      </w:tr>
      <w:tr w:rsidR="005106D0" w:rsidRPr="007224C3" w14:paraId="7C16DA0D" w14:textId="77777777">
        <w:tc>
          <w:tcPr>
            <w:tcW w:w="2802" w:type="dxa"/>
            <w:tcBorders>
              <w:bottom w:val="single" w:sz="12" w:space="0" w:color="auto"/>
            </w:tcBorders>
          </w:tcPr>
          <w:p w14:paraId="47F347D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Запас горючего 4Б-78</w:t>
            </w:r>
          </w:p>
        </w:tc>
        <w:tc>
          <w:tcPr>
            <w:tcW w:w="708" w:type="dxa"/>
            <w:tcBorders>
              <w:bottom w:val="single" w:sz="12" w:space="0" w:color="auto"/>
            </w:tcBorders>
          </w:tcPr>
          <w:p w14:paraId="5B170D2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280</w:t>
            </w:r>
          </w:p>
        </w:tc>
        <w:tc>
          <w:tcPr>
            <w:tcW w:w="709" w:type="dxa"/>
            <w:tcBorders>
              <w:bottom w:val="single" w:sz="12" w:space="0" w:color="auto"/>
            </w:tcBorders>
          </w:tcPr>
          <w:p w14:paraId="1E61083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300</w:t>
            </w:r>
          </w:p>
        </w:tc>
        <w:tc>
          <w:tcPr>
            <w:tcW w:w="709" w:type="dxa"/>
            <w:tcBorders>
              <w:bottom w:val="single" w:sz="12" w:space="0" w:color="auto"/>
            </w:tcBorders>
          </w:tcPr>
          <w:p w14:paraId="0B84AE1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w:t>
            </w:r>
          </w:p>
        </w:tc>
      </w:tr>
    </w:tbl>
    <w:p w14:paraId="13B82C0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Основные причины, вызвавшие увеличение веса - установка пушки ВЯ-23, усиления и конструкционные изменения</w:t>
      </w:r>
    </w:p>
    <w:p w14:paraId="1B7E7DA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Основные ЛД</w:t>
      </w:r>
    </w:p>
    <w:p w14:paraId="5EA68F4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Скорость макс. у земли - 554</w:t>
      </w:r>
    </w:p>
    <w:p w14:paraId="36D4B34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Скорость макс. на 1-й гр. высотности (1400) - 590</w:t>
      </w:r>
    </w:p>
    <w:p w14:paraId="18EE5BA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Скорость макс. на 2-й гр. высотности (3400) - 618</w:t>
      </w:r>
    </w:p>
    <w:p w14:paraId="0B3EB34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Скорость макс. на 5000 - 593</w:t>
      </w:r>
    </w:p>
    <w:p w14:paraId="7F7007D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Скорость макс. на 6000 - 578</w:t>
      </w:r>
    </w:p>
    <w:p w14:paraId="07EB03D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Время набора 5000 м - 4,8</w:t>
      </w:r>
    </w:p>
    <w:p w14:paraId="5DFF963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Потолок 10750</w:t>
      </w:r>
    </w:p>
    <w:p w14:paraId="3131A10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Граница переключения нагнетателя - 2000 на скорости 542</w:t>
      </w:r>
    </w:p>
    <w:p w14:paraId="57FB717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Скорости вертикальные</w:t>
      </w:r>
    </w:p>
    <w:p w14:paraId="643CDFF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 земли - 18,1</w:t>
      </w:r>
    </w:p>
    <w:p w14:paraId="0E68B24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1 гр. 650 - 18,9</w:t>
      </w:r>
    </w:p>
    <w:p w14:paraId="618BA2A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перекл. - 17,0</w:t>
      </w:r>
    </w:p>
    <w:p w14:paraId="44EB091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2 гр. (2500) - 19,2</w:t>
      </w:r>
    </w:p>
    <w:p w14:paraId="07C8112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5000 - 13,6</w:t>
      </w:r>
    </w:p>
    <w:p w14:paraId="214679D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6000 - 11,3</w:t>
      </w:r>
    </w:p>
    <w:p w14:paraId="27BD8FF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Мотор ВК-105ПФ-2 наработал с начала испытаний 44:02 и был снят из-за течи воды из блока через уплотнение гильзы</w:t>
      </w:r>
    </w:p>
    <w:p w14:paraId="2E49B70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Производилось сравнение с 105-1, Як-3 дублер, Ла-7 (испытанном в апреле 1944), с Ме-109G (январь 1943) и ФВ-190 А-4 (июль 1943).</w:t>
      </w:r>
    </w:p>
    <w:p w14:paraId="5D0034E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Выводы:</w:t>
      </w:r>
    </w:p>
    <w:p w14:paraId="6BFA712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ВМГ работает неудовлетворительно</w:t>
      </w:r>
    </w:p>
    <w:p w14:paraId="01D50E2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наборе высоты с полностью отурытым туннелем водорадиатора температура воды 116 гр, в горизонтальном полете - 115 (макс. допустимо - 110)</w:t>
      </w:r>
    </w:p>
    <w:p w14:paraId="658D1EE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Установленное пулеметно-пушечное вооружение не доведено.</w:t>
      </w:r>
    </w:p>
    <w:p w14:paraId="71E8306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Искажение видимости предметов через сферическую часть козырька кабины пилота</w:t>
      </w:r>
    </w:p>
    <w:p w14:paraId="7394F89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с-те отсутствует аварийный сброс фонаря</w:t>
      </w:r>
    </w:p>
    <w:p w14:paraId="3512972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Заключение:</w:t>
      </w:r>
    </w:p>
    <w:p w14:paraId="253D46E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Модифицированный с-т 1-5-2 дублер конструкции т. Горбунова постройки ОКБ завода № 31 госиспытания не выдержал по причине:</w:t>
      </w:r>
    </w:p>
    <w:p w14:paraId="3AD4D07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низкие ЛТД для с-та большой модификации</w:t>
      </w:r>
    </w:p>
    <w:p w14:paraId="114D93C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неудовлетворительная работа ВМГ и вооружения</w:t>
      </w:r>
    </w:p>
    <w:p w14:paraId="682B4ED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Считать нецелесообразной продолжение работы по дальнейшей модификации с-та ЛаГГ-3 с мотором ВК-105ПФ-2</w:t>
      </w:r>
    </w:p>
    <w:p w14:paraId="607CC9F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 дублер подлежит сдаче на завод № 31</w:t>
      </w:r>
    </w:p>
    <w:p w14:paraId="2E5C576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Подписали с 20 по 24 июня (764,2).</w:t>
      </w:r>
    </w:p>
    <w:p w14:paraId="2792DCD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301C8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10 мая по 12 июня 1944 года проходили государственные испытания ЛаГГ-3 «105-2» с двигателем М-105ПФ-2 стартовой мощностью 1290 л.с. и рабочей мощностью 1310 л.с. на высоте 2000 м. Емкость топливных баков сократили с 405 до 377 л, пушку ШВАК заменили пушкой ВЯ-23 с боекомплектом 85 выстрелов. Пулемет БС имел боекомплект 185 выстрелов. Закончились они отрицательно. У самолета отметили недоработки в конструкции винтомоторной группы, слабое вооружение и низкие летные параметры. Самолет «105-2» значительно уступал по возможностям немецким истребителям Bf-109G-6 и Fw-190D-9. В результате в НИИ ВВС признали бесперспективным дальнейшее совершенствование ЛаГГа-3 и подняли вопрос о прекращении его серийного выпуска. Дальнейшие планы тбилисских конструкторов так и не были реализованы. В частности они предполагали оснастить самолет эластичными самогерметизирующимися баками. В отличие от жестких баков с резиновой обшивкой, у мягких баков сами стенки были сделаны из самозатягивающейся резины (11749).</w:t>
      </w:r>
    </w:p>
    <w:p w14:paraId="78C3EFE9" w14:textId="77777777" w:rsidR="00595BFB" w:rsidRPr="007224C3" w:rsidRDefault="00595BFB" w:rsidP="007224C3">
      <w:pPr>
        <w:autoSpaceDE w:val="0"/>
        <w:autoSpaceDN w:val="0"/>
        <w:adjustRightInd w:val="0"/>
        <w:spacing w:after="0" w:line="240" w:lineRule="auto"/>
        <w:jc w:val="both"/>
        <w:rPr>
          <w:rFonts w:ascii="Times New Roman" w:hAnsi="Times New Roman"/>
          <w:iCs/>
          <w:color w:val="000000" w:themeColor="text1"/>
          <w:sz w:val="16"/>
          <w:szCs w:val="16"/>
        </w:rPr>
      </w:pPr>
    </w:p>
    <w:p w14:paraId="0FD7C1A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10 мая по 12 июня 1944 второй экземпляр, "105-2", с двигателем М-105ПФ-2 взлетной мощностью, возросшей до 1290 л.е., а на первой границе высотности (200 м) - 1310 л.с., находился на государственных испытаниях и их не выдержал. Был построен в феврале 1944 г. По сравнению с предшественником, объем бензобаков уменьшили с 405 до 377 л, а 20-мм пушку ШВАК заменили на 23-мм ВЯ-23 с боезапасом 85 патронов. При этом запас для пулемета БС был равен 185 патронам. Недоведенные винтомоторная группа и вооружение, а также низкие летные данные истребителя сделали свое дело. Самолет "105-2" уступал немецким истребителям по основным параметрам. В итоге, НИИ ВВС счел нецелесообразным продолжение модернизации ЛаГГ-3, и в этом же году его серийное производство было завершено (11983).</w:t>
      </w:r>
    </w:p>
    <w:p w14:paraId="632D990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Основные данные семейства истребителей ЛаГГ-3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01"/>
        <w:gridCol w:w="1401"/>
        <w:gridCol w:w="1401"/>
        <w:gridCol w:w="1401"/>
        <w:gridCol w:w="1401"/>
        <w:gridCol w:w="1401"/>
        <w:gridCol w:w="1401"/>
        <w:gridCol w:w="1401"/>
      </w:tblGrid>
      <w:tr w:rsidR="005106D0" w:rsidRPr="007224C3" w14:paraId="141F781C" w14:textId="77777777">
        <w:tc>
          <w:tcPr>
            <w:tcW w:w="1401" w:type="dxa"/>
            <w:tcBorders>
              <w:top w:val="single" w:sz="12" w:space="0" w:color="auto"/>
            </w:tcBorders>
          </w:tcPr>
          <w:p w14:paraId="6755A96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Borders>
              <w:top w:val="single" w:sz="12" w:space="0" w:color="auto"/>
            </w:tcBorders>
          </w:tcPr>
          <w:p w14:paraId="5C5146F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И-301</w:t>
            </w:r>
          </w:p>
        </w:tc>
        <w:tc>
          <w:tcPr>
            <w:tcW w:w="1401" w:type="dxa"/>
            <w:tcBorders>
              <w:top w:val="single" w:sz="12" w:space="0" w:color="auto"/>
            </w:tcBorders>
          </w:tcPr>
          <w:p w14:paraId="351C241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ЛаГГ-3 №3121715</w:t>
            </w:r>
          </w:p>
        </w:tc>
        <w:tc>
          <w:tcPr>
            <w:tcW w:w="1401" w:type="dxa"/>
            <w:tcBorders>
              <w:top w:val="single" w:sz="12" w:space="0" w:color="auto"/>
            </w:tcBorders>
          </w:tcPr>
          <w:p w14:paraId="13A115D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ЛаГГ-3 №3121855</w:t>
            </w:r>
          </w:p>
        </w:tc>
        <w:tc>
          <w:tcPr>
            <w:tcW w:w="1401" w:type="dxa"/>
            <w:tcBorders>
              <w:top w:val="single" w:sz="12" w:space="0" w:color="auto"/>
            </w:tcBorders>
          </w:tcPr>
          <w:p w14:paraId="25D0B02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ЛаГГ-3 №31212912</w:t>
            </w:r>
          </w:p>
        </w:tc>
        <w:tc>
          <w:tcPr>
            <w:tcW w:w="1401" w:type="dxa"/>
            <w:tcBorders>
              <w:top w:val="single" w:sz="12" w:space="0" w:color="auto"/>
            </w:tcBorders>
          </w:tcPr>
          <w:p w14:paraId="5201AA9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ЛаГГ-3 №6011</w:t>
            </w:r>
          </w:p>
        </w:tc>
        <w:tc>
          <w:tcPr>
            <w:tcW w:w="1401" w:type="dxa"/>
            <w:tcBorders>
              <w:top w:val="single" w:sz="12" w:space="0" w:color="auto"/>
            </w:tcBorders>
          </w:tcPr>
          <w:p w14:paraId="24FA636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ЛаГГ-3 №7166</w:t>
            </w:r>
          </w:p>
        </w:tc>
        <w:tc>
          <w:tcPr>
            <w:tcW w:w="1401" w:type="dxa"/>
            <w:tcBorders>
              <w:top w:val="single" w:sz="12" w:space="0" w:color="auto"/>
            </w:tcBorders>
          </w:tcPr>
          <w:p w14:paraId="34C5677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"105-2"</w:t>
            </w:r>
          </w:p>
        </w:tc>
      </w:tr>
      <w:tr w:rsidR="005106D0" w:rsidRPr="007224C3" w14:paraId="6B074B3E" w14:textId="77777777">
        <w:tc>
          <w:tcPr>
            <w:tcW w:w="1401" w:type="dxa"/>
          </w:tcPr>
          <w:p w14:paraId="164F73E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Двигатель</w:t>
            </w:r>
          </w:p>
        </w:tc>
        <w:tc>
          <w:tcPr>
            <w:tcW w:w="1401" w:type="dxa"/>
          </w:tcPr>
          <w:p w14:paraId="011E6BC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М-105П</w:t>
            </w:r>
          </w:p>
        </w:tc>
        <w:tc>
          <w:tcPr>
            <w:tcW w:w="1401" w:type="dxa"/>
          </w:tcPr>
          <w:p w14:paraId="0719FC6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М-105П</w:t>
            </w:r>
          </w:p>
        </w:tc>
        <w:tc>
          <w:tcPr>
            <w:tcW w:w="1401" w:type="dxa"/>
          </w:tcPr>
          <w:p w14:paraId="0AF5A57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М-105П</w:t>
            </w:r>
          </w:p>
        </w:tc>
        <w:tc>
          <w:tcPr>
            <w:tcW w:w="1401" w:type="dxa"/>
          </w:tcPr>
          <w:p w14:paraId="0CDA5AC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М-105ПФ</w:t>
            </w:r>
          </w:p>
        </w:tc>
        <w:tc>
          <w:tcPr>
            <w:tcW w:w="1401" w:type="dxa"/>
          </w:tcPr>
          <w:p w14:paraId="2FD871F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М-105ПФ</w:t>
            </w:r>
          </w:p>
        </w:tc>
        <w:tc>
          <w:tcPr>
            <w:tcW w:w="1401" w:type="dxa"/>
          </w:tcPr>
          <w:p w14:paraId="1D9A179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М-105ПФ</w:t>
            </w:r>
          </w:p>
        </w:tc>
        <w:tc>
          <w:tcPr>
            <w:tcW w:w="1401" w:type="dxa"/>
          </w:tcPr>
          <w:p w14:paraId="3B87FD2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М-105ПФ-2</w:t>
            </w:r>
          </w:p>
        </w:tc>
      </w:tr>
      <w:tr w:rsidR="005106D0" w:rsidRPr="007224C3" w14:paraId="08CBBED9" w14:textId="77777777">
        <w:tc>
          <w:tcPr>
            <w:tcW w:w="1401" w:type="dxa"/>
          </w:tcPr>
          <w:p w14:paraId="11DE871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Мощность, л.с. взлетная</w:t>
            </w:r>
          </w:p>
        </w:tc>
        <w:tc>
          <w:tcPr>
            <w:tcW w:w="1401" w:type="dxa"/>
          </w:tcPr>
          <w:p w14:paraId="20F1DAC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796287B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53FE452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5CAF23B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45F9C85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1A87BFE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64D98B8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AD1AAEA" w14:textId="77777777">
        <w:tc>
          <w:tcPr>
            <w:tcW w:w="1401" w:type="dxa"/>
          </w:tcPr>
          <w:p w14:paraId="0B6552C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1-й границе высотности, м на 2-й границе высотности, м</w:t>
            </w:r>
          </w:p>
        </w:tc>
        <w:tc>
          <w:tcPr>
            <w:tcW w:w="1401" w:type="dxa"/>
          </w:tcPr>
          <w:p w14:paraId="4924EB1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1020 1100/2000 1050/4000</w:t>
            </w:r>
          </w:p>
        </w:tc>
        <w:tc>
          <w:tcPr>
            <w:tcW w:w="1401" w:type="dxa"/>
          </w:tcPr>
          <w:p w14:paraId="285AB80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1020 1100/2000 1050/4000</w:t>
            </w:r>
          </w:p>
        </w:tc>
        <w:tc>
          <w:tcPr>
            <w:tcW w:w="1401" w:type="dxa"/>
          </w:tcPr>
          <w:p w14:paraId="3B53B28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1020 1100/2000 1050/4000</w:t>
            </w:r>
          </w:p>
        </w:tc>
        <w:tc>
          <w:tcPr>
            <w:tcW w:w="1401" w:type="dxa"/>
          </w:tcPr>
          <w:p w14:paraId="14F3A1E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1210 1260/700 1180/2700</w:t>
            </w:r>
          </w:p>
        </w:tc>
        <w:tc>
          <w:tcPr>
            <w:tcW w:w="1401" w:type="dxa"/>
          </w:tcPr>
          <w:p w14:paraId="6198019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1210 1260/700 1180/2700</w:t>
            </w:r>
          </w:p>
        </w:tc>
        <w:tc>
          <w:tcPr>
            <w:tcW w:w="1401" w:type="dxa"/>
          </w:tcPr>
          <w:p w14:paraId="1F82382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1210 1260/700 1180/2700</w:t>
            </w:r>
          </w:p>
        </w:tc>
        <w:tc>
          <w:tcPr>
            <w:tcW w:w="1401" w:type="dxa"/>
          </w:tcPr>
          <w:p w14:paraId="61B012E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1290 1310/200 1240/2100</w:t>
            </w:r>
          </w:p>
        </w:tc>
      </w:tr>
      <w:tr w:rsidR="005106D0" w:rsidRPr="007224C3" w14:paraId="59BBF59A" w14:textId="77777777">
        <w:tc>
          <w:tcPr>
            <w:tcW w:w="1401" w:type="dxa"/>
          </w:tcPr>
          <w:p w14:paraId="1896B70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Взлетный вес, кг</w:t>
            </w:r>
          </w:p>
        </w:tc>
        <w:tc>
          <w:tcPr>
            <w:tcW w:w="1401" w:type="dxa"/>
          </w:tcPr>
          <w:p w14:paraId="68F8C0E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2968</w:t>
            </w:r>
          </w:p>
        </w:tc>
        <w:tc>
          <w:tcPr>
            <w:tcW w:w="1401" w:type="dxa"/>
          </w:tcPr>
          <w:p w14:paraId="2A0DB96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3280</w:t>
            </w:r>
          </w:p>
        </w:tc>
        <w:tc>
          <w:tcPr>
            <w:tcW w:w="1401" w:type="dxa"/>
          </w:tcPr>
          <w:p w14:paraId="6B8DBF6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3380</w:t>
            </w:r>
          </w:p>
        </w:tc>
        <w:tc>
          <w:tcPr>
            <w:tcW w:w="1401" w:type="dxa"/>
          </w:tcPr>
          <w:p w14:paraId="37F5250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3160</w:t>
            </w:r>
          </w:p>
        </w:tc>
        <w:tc>
          <w:tcPr>
            <w:tcW w:w="1401" w:type="dxa"/>
          </w:tcPr>
          <w:p w14:paraId="529AE14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3006</w:t>
            </w:r>
          </w:p>
        </w:tc>
        <w:tc>
          <w:tcPr>
            <w:tcW w:w="1401" w:type="dxa"/>
          </w:tcPr>
          <w:p w14:paraId="1AC02E5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2983</w:t>
            </w:r>
          </w:p>
        </w:tc>
        <w:tc>
          <w:tcPr>
            <w:tcW w:w="1401" w:type="dxa"/>
          </w:tcPr>
          <w:p w14:paraId="59BD99A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2875</w:t>
            </w:r>
          </w:p>
        </w:tc>
      </w:tr>
      <w:tr w:rsidR="005106D0" w:rsidRPr="007224C3" w14:paraId="46F2295B" w14:textId="77777777">
        <w:tc>
          <w:tcPr>
            <w:tcW w:w="1401" w:type="dxa"/>
          </w:tcPr>
          <w:p w14:paraId="1ACA0AA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 пустого, кг</w:t>
            </w:r>
          </w:p>
        </w:tc>
        <w:tc>
          <w:tcPr>
            <w:tcW w:w="1401" w:type="dxa"/>
          </w:tcPr>
          <w:p w14:paraId="5407B69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2380</w:t>
            </w:r>
          </w:p>
        </w:tc>
        <w:tc>
          <w:tcPr>
            <w:tcW w:w="1401" w:type="dxa"/>
          </w:tcPr>
          <w:p w14:paraId="46F44D0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2610</w:t>
            </w:r>
          </w:p>
        </w:tc>
        <w:tc>
          <w:tcPr>
            <w:tcW w:w="1401" w:type="dxa"/>
          </w:tcPr>
          <w:p w14:paraId="253B78F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401" w:type="dxa"/>
          </w:tcPr>
          <w:p w14:paraId="759C150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401" w:type="dxa"/>
          </w:tcPr>
          <w:p w14:paraId="7FE0DA4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401" w:type="dxa"/>
          </w:tcPr>
          <w:p w14:paraId="7022E37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401" w:type="dxa"/>
          </w:tcPr>
          <w:p w14:paraId="057DD21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2285</w:t>
            </w:r>
          </w:p>
        </w:tc>
      </w:tr>
      <w:tr w:rsidR="005106D0" w:rsidRPr="007224C3" w14:paraId="192D10CC" w14:textId="77777777">
        <w:tc>
          <w:tcPr>
            <w:tcW w:w="1401" w:type="dxa"/>
          </w:tcPr>
          <w:p w14:paraId="53294FD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 горючего, кг</w:t>
            </w:r>
          </w:p>
        </w:tc>
        <w:tc>
          <w:tcPr>
            <w:tcW w:w="1401" w:type="dxa"/>
          </w:tcPr>
          <w:p w14:paraId="72E8C56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250</w:t>
            </w:r>
          </w:p>
        </w:tc>
        <w:tc>
          <w:tcPr>
            <w:tcW w:w="1401" w:type="dxa"/>
          </w:tcPr>
          <w:p w14:paraId="66E988C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340</w:t>
            </w:r>
          </w:p>
        </w:tc>
        <w:tc>
          <w:tcPr>
            <w:tcW w:w="1401" w:type="dxa"/>
          </w:tcPr>
          <w:p w14:paraId="2832543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401" w:type="dxa"/>
          </w:tcPr>
          <w:p w14:paraId="2DD6058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350</w:t>
            </w:r>
          </w:p>
        </w:tc>
        <w:tc>
          <w:tcPr>
            <w:tcW w:w="1401" w:type="dxa"/>
          </w:tcPr>
          <w:p w14:paraId="069F827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401" w:type="dxa"/>
          </w:tcPr>
          <w:p w14:paraId="305D927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401" w:type="dxa"/>
          </w:tcPr>
          <w:p w14:paraId="10C964C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280</w:t>
            </w:r>
          </w:p>
        </w:tc>
      </w:tr>
      <w:tr w:rsidR="005106D0" w:rsidRPr="007224C3" w14:paraId="7F0C2B71" w14:textId="77777777">
        <w:tc>
          <w:tcPr>
            <w:tcW w:w="1401" w:type="dxa"/>
          </w:tcPr>
          <w:p w14:paraId="70EA336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Скорость макс., км/ч у земли на высоте, м</w:t>
            </w:r>
          </w:p>
        </w:tc>
        <w:tc>
          <w:tcPr>
            <w:tcW w:w="1401" w:type="dxa"/>
          </w:tcPr>
          <w:p w14:paraId="63C2F9B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515 605/4950</w:t>
            </w:r>
          </w:p>
        </w:tc>
        <w:tc>
          <w:tcPr>
            <w:tcW w:w="1401" w:type="dxa"/>
          </w:tcPr>
          <w:p w14:paraId="49F1DE2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474 549/5000</w:t>
            </w:r>
          </w:p>
        </w:tc>
        <w:tc>
          <w:tcPr>
            <w:tcW w:w="1401" w:type="dxa"/>
          </w:tcPr>
          <w:p w14:paraId="5EE3883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462 554/4850</w:t>
            </w:r>
          </w:p>
        </w:tc>
        <w:tc>
          <w:tcPr>
            <w:tcW w:w="1401" w:type="dxa"/>
          </w:tcPr>
          <w:p w14:paraId="59EE1D0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507 566/3850</w:t>
            </w:r>
          </w:p>
        </w:tc>
        <w:tc>
          <w:tcPr>
            <w:tcW w:w="1401" w:type="dxa"/>
          </w:tcPr>
          <w:p w14:paraId="1EDC1DA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545 595/3400</w:t>
            </w:r>
          </w:p>
        </w:tc>
        <w:tc>
          <w:tcPr>
            <w:tcW w:w="1401" w:type="dxa"/>
          </w:tcPr>
          <w:p w14:paraId="7D69C15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532 586/3600</w:t>
            </w:r>
          </w:p>
        </w:tc>
        <w:tc>
          <w:tcPr>
            <w:tcW w:w="1401" w:type="dxa"/>
          </w:tcPr>
          <w:p w14:paraId="5D2C141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554 618/3400</w:t>
            </w:r>
          </w:p>
        </w:tc>
      </w:tr>
      <w:tr w:rsidR="005106D0" w:rsidRPr="007224C3" w14:paraId="5F2B7FBA" w14:textId="77777777">
        <w:tc>
          <w:tcPr>
            <w:tcW w:w="1401" w:type="dxa"/>
          </w:tcPr>
          <w:p w14:paraId="10EB93E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Скороподъемность у земли, м/с</w:t>
            </w:r>
          </w:p>
        </w:tc>
        <w:tc>
          <w:tcPr>
            <w:tcW w:w="1401" w:type="dxa"/>
          </w:tcPr>
          <w:p w14:paraId="3894BBB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401" w:type="dxa"/>
          </w:tcPr>
          <w:p w14:paraId="3CF3007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8,5</w:t>
            </w:r>
          </w:p>
        </w:tc>
        <w:tc>
          <w:tcPr>
            <w:tcW w:w="1401" w:type="dxa"/>
          </w:tcPr>
          <w:p w14:paraId="51651DD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401" w:type="dxa"/>
          </w:tcPr>
          <w:p w14:paraId="2F3751D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401" w:type="dxa"/>
          </w:tcPr>
          <w:p w14:paraId="784BABE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401" w:type="dxa"/>
          </w:tcPr>
          <w:p w14:paraId="0A0E8DF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5,5</w:t>
            </w:r>
          </w:p>
        </w:tc>
        <w:tc>
          <w:tcPr>
            <w:tcW w:w="1401" w:type="dxa"/>
          </w:tcPr>
          <w:p w14:paraId="6B6A116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4.8</w:t>
            </w:r>
          </w:p>
        </w:tc>
      </w:tr>
      <w:tr w:rsidR="005106D0" w:rsidRPr="007224C3" w14:paraId="4C1ED6BF" w14:textId="77777777">
        <w:tc>
          <w:tcPr>
            <w:tcW w:w="1401" w:type="dxa"/>
          </w:tcPr>
          <w:p w14:paraId="22CFE99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Время набора высоты 5000 м, мин</w:t>
            </w:r>
          </w:p>
        </w:tc>
        <w:tc>
          <w:tcPr>
            <w:tcW w:w="1401" w:type="dxa"/>
          </w:tcPr>
          <w:p w14:paraId="1D41630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5,85</w:t>
            </w:r>
          </w:p>
        </w:tc>
        <w:tc>
          <w:tcPr>
            <w:tcW w:w="1401" w:type="dxa"/>
          </w:tcPr>
          <w:p w14:paraId="7081ED1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8,6</w:t>
            </w:r>
          </w:p>
        </w:tc>
        <w:tc>
          <w:tcPr>
            <w:tcW w:w="1401" w:type="dxa"/>
          </w:tcPr>
          <w:p w14:paraId="4370B55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9,1</w:t>
            </w:r>
          </w:p>
        </w:tc>
        <w:tc>
          <w:tcPr>
            <w:tcW w:w="1401" w:type="dxa"/>
          </w:tcPr>
          <w:p w14:paraId="55E9905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6,4</w:t>
            </w:r>
          </w:p>
        </w:tc>
        <w:tc>
          <w:tcPr>
            <w:tcW w:w="1401" w:type="dxa"/>
          </w:tcPr>
          <w:p w14:paraId="7C541DB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401" w:type="dxa"/>
          </w:tcPr>
          <w:p w14:paraId="4205F9A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401" w:type="dxa"/>
          </w:tcPr>
          <w:p w14:paraId="7A488B8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13C7693" w14:textId="77777777">
        <w:tc>
          <w:tcPr>
            <w:tcW w:w="1401" w:type="dxa"/>
          </w:tcPr>
          <w:p w14:paraId="5621498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Практический потолок, м</w:t>
            </w:r>
          </w:p>
        </w:tc>
        <w:tc>
          <w:tcPr>
            <w:tcW w:w="1401" w:type="dxa"/>
          </w:tcPr>
          <w:p w14:paraId="560DDE3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9600</w:t>
            </w:r>
          </w:p>
        </w:tc>
        <w:tc>
          <w:tcPr>
            <w:tcW w:w="1401" w:type="dxa"/>
          </w:tcPr>
          <w:p w14:paraId="6D11A8B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9300</w:t>
            </w:r>
          </w:p>
        </w:tc>
        <w:tc>
          <w:tcPr>
            <w:tcW w:w="1401" w:type="dxa"/>
          </w:tcPr>
          <w:p w14:paraId="5983113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401" w:type="dxa"/>
          </w:tcPr>
          <w:p w14:paraId="1438011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10000</w:t>
            </w:r>
          </w:p>
        </w:tc>
        <w:tc>
          <w:tcPr>
            <w:tcW w:w="1401" w:type="dxa"/>
          </w:tcPr>
          <w:p w14:paraId="438E72D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9400</w:t>
            </w:r>
          </w:p>
        </w:tc>
        <w:tc>
          <w:tcPr>
            <w:tcW w:w="1401" w:type="dxa"/>
          </w:tcPr>
          <w:p w14:paraId="4AD9B29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401" w:type="dxa"/>
          </w:tcPr>
          <w:p w14:paraId="1CA56C6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10750</w:t>
            </w:r>
          </w:p>
        </w:tc>
      </w:tr>
      <w:tr w:rsidR="005106D0" w:rsidRPr="007224C3" w14:paraId="7770A920" w14:textId="77777777">
        <w:tc>
          <w:tcPr>
            <w:tcW w:w="1401" w:type="dxa"/>
          </w:tcPr>
          <w:p w14:paraId="579D9FF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Время виража на высоте I ООО м, с</w:t>
            </w:r>
          </w:p>
        </w:tc>
        <w:tc>
          <w:tcPr>
            <w:tcW w:w="1401" w:type="dxa"/>
          </w:tcPr>
          <w:p w14:paraId="550FD52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w:t>
            </w:r>
          </w:p>
        </w:tc>
        <w:tc>
          <w:tcPr>
            <w:tcW w:w="1401" w:type="dxa"/>
          </w:tcPr>
          <w:p w14:paraId="5B6FFE2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20-21</w:t>
            </w:r>
          </w:p>
        </w:tc>
        <w:tc>
          <w:tcPr>
            <w:tcW w:w="1401" w:type="dxa"/>
          </w:tcPr>
          <w:p w14:paraId="7275C34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401" w:type="dxa"/>
          </w:tcPr>
          <w:p w14:paraId="2AD0917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w:t>
            </w:r>
          </w:p>
        </w:tc>
        <w:tc>
          <w:tcPr>
            <w:tcW w:w="1401" w:type="dxa"/>
          </w:tcPr>
          <w:p w14:paraId="1E688D9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401" w:type="dxa"/>
          </w:tcPr>
          <w:p w14:paraId="2C0BD4A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401" w:type="dxa"/>
          </w:tcPr>
          <w:p w14:paraId="5CE9265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3FA8AD7E" w14:textId="77777777">
        <w:tc>
          <w:tcPr>
            <w:tcW w:w="1401" w:type="dxa"/>
          </w:tcPr>
          <w:p w14:paraId="3815227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Дальность макс., км</w:t>
            </w:r>
          </w:p>
        </w:tc>
        <w:tc>
          <w:tcPr>
            <w:tcW w:w="1401" w:type="dxa"/>
          </w:tcPr>
          <w:p w14:paraId="1DD71F9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556</w:t>
            </w:r>
          </w:p>
        </w:tc>
        <w:tc>
          <w:tcPr>
            <w:tcW w:w="1401" w:type="dxa"/>
          </w:tcPr>
          <w:p w14:paraId="60E3DC3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705</w:t>
            </w:r>
          </w:p>
        </w:tc>
        <w:tc>
          <w:tcPr>
            <w:tcW w:w="1401" w:type="dxa"/>
          </w:tcPr>
          <w:p w14:paraId="208312B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401" w:type="dxa"/>
          </w:tcPr>
          <w:p w14:paraId="5F71412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401" w:type="dxa"/>
          </w:tcPr>
          <w:p w14:paraId="16DC829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537-832</w:t>
            </w:r>
          </w:p>
        </w:tc>
        <w:tc>
          <w:tcPr>
            <w:tcW w:w="1401" w:type="dxa"/>
          </w:tcPr>
          <w:p w14:paraId="248B323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401" w:type="dxa"/>
          </w:tcPr>
          <w:p w14:paraId="0B11A9B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186B25C8" w14:textId="77777777">
        <w:tc>
          <w:tcPr>
            <w:tcW w:w="1401" w:type="dxa"/>
          </w:tcPr>
          <w:p w14:paraId="451496B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Разбег, м</w:t>
            </w:r>
          </w:p>
        </w:tc>
        <w:tc>
          <w:tcPr>
            <w:tcW w:w="1401" w:type="dxa"/>
          </w:tcPr>
          <w:p w14:paraId="41E6991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355</w:t>
            </w:r>
          </w:p>
        </w:tc>
        <w:tc>
          <w:tcPr>
            <w:tcW w:w="1401" w:type="dxa"/>
          </w:tcPr>
          <w:p w14:paraId="468BBA1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480-543</w:t>
            </w:r>
          </w:p>
        </w:tc>
        <w:tc>
          <w:tcPr>
            <w:tcW w:w="1401" w:type="dxa"/>
          </w:tcPr>
          <w:p w14:paraId="796E905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450</w:t>
            </w:r>
          </w:p>
        </w:tc>
        <w:tc>
          <w:tcPr>
            <w:tcW w:w="1401" w:type="dxa"/>
          </w:tcPr>
          <w:p w14:paraId="21A45C3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370</w:t>
            </w:r>
          </w:p>
        </w:tc>
        <w:tc>
          <w:tcPr>
            <w:tcW w:w="1401" w:type="dxa"/>
          </w:tcPr>
          <w:p w14:paraId="397227C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401" w:type="dxa"/>
          </w:tcPr>
          <w:p w14:paraId="6B6DFFC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401" w:type="dxa"/>
          </w:tcPr>
          <w:p w14:paraId="75FA250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5466A2CE" w14:textId="77777777">
        <w:tc>
          <w:tcPr>
            <w:tcW w:w="1401" w:type="dxa"/>
          </w:tcPr>
          <w:p w14:paraId="619531F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Пробег, м</w:t>
            </w:r>
          </w:p>
        </w:tc>
        <w:tc>
          <w:tcPr>
            <w:tcW w:w="1401" w:type="dxa"/>
          </w:tcPr>
          <w:p w14:paraId="33AA8F1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400</w:t>
            </w:r>
          </w:p>
        </w:tc>
        <w:tc>
          <w:tcPr>
            <w:tcW w:w="1401" w:type="dxa"/>
          </w:tcPr>
          <w:p w14:paraId="313F842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450-460</w:t>
            </w:r>
          </w:p>
        </w:tc>
        <w:tc>
          <w:tcPr>
            <w:tcW w:w="1401" w:type="dxa"/>
          </w:tcPr>
          <w:p w14:paraId="6CBE75A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401" w:type="dxa"/>
          </w:tcPr>
          <w:p w14:paraId="61B3A60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401" w:type="dxa"/>
          </w:tcPr>
          <w:p w14:paraId="43F58D8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401" w:type="dxa"/>
          </w:tcPr>
          <w:p w14:paraId="3E440B6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401" w:type="dxa"/>
          </w:tcPr>
          <w:p w14:paraId="537541B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30DA2271" w14:textId="77777777">
        <w:tc>
          <w:tcPr>
            <w:tcW w:w="1401" w:type="dxa"/>
            <w:tcBorders>
              <w:bottom w:val="single" w:sz="12" w:space="0" w:color="auto"/>
            </w:tcBorders>
          </w:tcPr>
          <w:p w14:paraId="0080A1D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Вооружение, количество х калибр, мм</w:t>
            </w:r>
          </w:p>
        </w:tc>
        <w:tc>
          <w:tcPr>
            <w:tcW w:w="1401" w:type="dxa"/>
            <w:tcBorders>
              <w:bottom w:val="single" w:sz="12" w:space="0" w:color="auto"/>
            </w:tcBorders>
          </w:tcPr>
          <w:p w14:paraId="61CC6E6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1x23 2x12,7</w:t>
            </w:r>
          </w:p>
        </w:tc>
        <w:tc>
          <w:tcPr>
            <w:tcW w:w="1401" w:type="dxa"/>
            <w:tcBorders>
              <w:bottom w:val="single" w:sz="12" w:space="0" w:color="auto"/>
            </w:tcBorders>
          </w:tcPr>
          <w:p w14:paraId="7AB3FD9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1x20 1x12,7 2,7,62</w:t>
            </w:r>
          </w:p>
        </w:tc>
        <w:tc>
          <w:tcPr>
            <w:tcW w:w="1401" w:type="dxa"/>
            <w:tcBorders>
              <w:bottom w:val="single" w:sz="12" w:space="0" w:color="auto"/>
            </w:tcBorders>
          </w:tcPr>
          <w:p w14:paraId="6615956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1x20 1x12,7 2x7,62 8хРС-82</w:t>
            </w:r>
          </w:p>
        </w:tc>
        <w:tc>
          <w:tcPr>
            <w:tcW w:w="1401" w:type="dxa"/>
            <w:tcBorders>
              <w:bottom w:val="single" w:sz="12" w:space="0" w:color="auto"/>
            </w:tcBorders>
          </w:tcPr>
          <w:p w14:paraId="651165C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1x20 1x12,7</w:t>
            </w:r>
          </w:p>
        </w:tc>
        <w:tc>
          <w:tcPr>
            <w:tcW w:w="1401" w:type="dxa"/>
            <w:tcBorders>
              <w:bottom w:val="single" w:sz="12" w:space="0" w:color="auto"/>
            </w:tcBorders>
          </w:tcPr>
          <w:p w14:paraId="6779BF6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1x20 1x12,7</w:t>
            </w:r>
          </w:p>
        </w:tc>
        <w:tc>
          <w:tcPr>
            <w:tcW w:w="1401" w:type="dxa"/>
            <w:tcBorders>
              <w:bottom w:val="single" w:sz="12" w:space="0" w:color="auto"/>
            </w:tcBorders>
          </w:tcPr>
          <w:p w14:paraId="44B0E34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1x20 1x12,7</w:t>
            </w:r>
          </w:p>
        </w:tc>
        <w:tc>
          <w:tcPr>
            <w:tcW w:w="1401" w:type="dxa"/>
            <w:tcBorders>
              <w:bottom w:val="single" w:sz="12" w:space="0" w:color="auto"/>
            </w:tcBorders>
          </w:tcPr>
          <w:p w14:paraId="510B12B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1x23 1x12,7</w:t>
            </w:r>
          </w:p>
        </w:tc>
      </w:tr>
    </w:tbl>
    <w:p w14:paraId="3B681DB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Примечание. Геометрические характеристики для всех вариантов ЛаГГ-3 одинаковы: размах крыла - 9,8 м, длина самолета - 8,82 м, площадь крыла - 17,62 м2 (11983).</w:t>
      </w:r>
    </w:p>
    <w:p w14:paraId="2448FF6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ТЕХНИЧЕСКОЕ ОПИСАНИЕ </w:t>
      </w:r>
    </w:p>
    <w:p w14:paraId="1F7BBB7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Основным конструкционным материалом цельнодеревянного самолета ЛаГГ-3 была сосна, детали из которой соединялись клеем ВИАМ-Б-3.</w:t>
      </w:r>
    </w:p>
    <w:p w14:paraId="68D26C0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Крыло, набранное из двояковыпуклых несимметричных профилей NACA-23016 (в корне) и NACA-23010 (в консолях) относительной толщиной 16 и 10% соответственно, технологически делилось на центроплан и две двухлонжеронные консоли с работающей фанерной обшивкой. Угол поперечного V крыла - 6,5°. К торцевой металлической нервюре центроплана крепились основные опоры шасси. Между лонжеронами центроплана были выклеены из фанеры кессоны для бензобаков, а в передней части находились купола (ниши) для колес шасси.</w:t>
      </w:r>
    </w:p>
    <w:p w14:paraId="6B887A6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консолям крепились посадочные щитки с углами отклонения 15° на взлете и до 50° - на посадке, а также элероны типа "Фрайз" с дюралевым каркасом, обшитым перкалем. На левом элероне имелся триммер.</w:t>
      </w:r>
    </w:p>
    <w:p w14:paraId="6DCBA98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Горизонтальное оперение - свободнонесущее. Стабилизатор - двухлон- жеронный, деревянный, с фанерной работающей обшивкой. Его две половины крепились к хвостовой части фюзеляжа. Руль высоты с триммером имел дюралевый каркас, обшитый полотном, и тоже состоял из двух половин.</w:t>
      </w:r>
    </w:p>
    <w:p w14:paraId="3933E5E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Шасси - убирающееся, двухстоеч- ное, с хвостовым колесом. Вскоре после начала войны перешли на упрощенную технологию сборки самолетов с неуби- рающимся костыльным колесом. Основные колеса сначала устанавливались размером 600 х 180 мм, затем их заменили на большие - 650 х 200 мм.</w:t>
      </w:r>
    </w:p>
    <w:p w14:paraId="1708AA5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Фюзеляж собирался из металлической передней фермы и деревянного монокока, выполненного зацело с килем. Каркас монокока состоял из четырех лонжеронов и набора шпангоутов. Фюзеляж и центроплан образовывали единое целое. Кабину пилота закрывал сдвижной фонарь, стопорящийся в открытом и закрытом положениях. Летчика прикрывала бронеспинка толщиной 8,6 мм, защищавшая от прямого попадания пуль и осколков зенитных снарядов.</w:t>
      </w:r>
    </w:p>
    <w:p w14:paraId="427C6F8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Двигатель водяного охлаждения М-105П (впоследствии М-105ПА и М-105ПФ) с винтом изменяемого шага ВИШ-61П диаметром 3,0 м. Водяной радиатор монтировался под кабиной пилота и охлаждался воздухом, поступавшим из воздухозаборников, расположенных в передней кромке центроплана и в подфюзеляжном совке. Температура воды в радиаторе регулировалась выходной заслонкой. Масляный радиатор находился под двигателем. Горючее размещалось в центроплане крыла </w:t>
      </w:r>
      <w:r w:rsidRPr="007224C3">
        <w:rPr>
          <w:rFonts w:ascii="Times New Roman" w:hAnsi="Times New Roman"/>
          <w:color w:val="000000" w:themeColor="text1"/>
          <w:sz w:val="16"/>
          <w:szCs w:val="16"/>
        </w:rPr>
        <w:lastRenderedPageBreak/>
        <w:t>в трех протектированных баках общим объемом 352 л, сваренных из алюминиевого сплава АМц. Допускалась подвеска под крылом (на замках бомбодержателей) двух дополнительных баков по 100 л. Начиная с 11-й серии устанавливалось пять баков (два в консолях) общей емкостью 468 л.</w:t>
      </w:r>
    </w:p>
    <w:p w14:paraId="3ACF5B4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Управление самолетом - смешанное: элеронами - с помощью жестких тяг, рулями высоты и поворота - тросовое. Выпуск и уборка щитков-закрылков осуществлялись с помощью гидропривода.</w:t>
      </w:r>
    </w:p>
    <w:p w14:paraId="3FEE308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Вооружение машин вплоть до 4-й серии включало пулемет БС, стрелявший через втулку винта, два ШКАСа и пару синхронных БС; с 4-й по 11-ю серию - пушку ШВАК, один синхронный пулемет БС и два ШКАСа; с 12-й серии - одну пушку ШВАК и один БС, а также шесть ракетных орудий (пусковых балок) для реактивных снарядов РС-82 и бомбодержатели для пары бомб калибра 50 или 100 кг.</w:t>
      </w:r>
    </w:p>
    <w:p w14:paraId="2FC779B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состав оборудования, кроме стандартного набора пилотажно-навигационных и контролирующих приборов, входили, в частности, радиостанция РСИ-4, посадочная фара и кислородный прибор (11983).</w:t>
      </w:r>
    </w:p>
    <w:p w14:paraId="129430F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A26B63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мая 1944 И-220 № 01 с АМ-39 передали для проведения дополнительных заводских испытаний с целью проверки и доводки ВМГ, а также для определения летных данных после установки серийного мотора АМ-39 №45302. Испытания проводили ведущий инженер А.Г.Брунов и летчик-испытатель А.П.Якимов. Максимальная скорость самолета на боевом режиме работы мотора составила 625 км/ч на высоте 2700 м (первая граница высотности) и 695 км/ч на высоте 7500 м (вторая граница высотности). В целом дополнительные испытания, завершившиеся 28 июня 1944 г., подтвердили полученные ранее результаты, что дало основание передать самолет на госиспытания. Стоит отметить, что к этому времени все четыре пушки ШВАК (СП-20) были включены в нормальную полетную массу истребителя И-220, при этом боезапас составлял по 100 патронов на пушку (5669).</w:t>
      </w:r>
    </w:p>
    <w:p w14:paraId="1A2930F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июля 1944 л-и А.П.Якимов подписал отчет по результатам заводских летных испытаний с-та И-220 с мотором АМ-39, редукция 0,732 и винтом АВ5Л126А</w:t>
      </w:r>
    </w:p>
    <w:p w14:paraId="3947B35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июля 1944 Зам. ГК Гуревич и ст. в/п на заводе 155 Савин утвердили Акт по результатам заводских летных испытаний с-та И-220 с мотором АМ-39, редукция 0,732 и винтом АВ5Л126А</w:t>
      </w:r>
    </w:p>
    <w:p w14:paraId="0EB8F5D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Отв. испытатель ви с-та Брунов</w:t>
      </w:r>
    </w:p>
    <w:p w14:paraId="68BCFB8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л-и Якимов</w:t>
      </w:r>
    </w:p>
    <w:p w14:paraId="350A0E2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Цель испытаний: контрольные испытания для проверки лд с серийным мотором АМ-39, проверка и доводка матчасти и ВМГ. На с-те установлено 4хШВАК 20 мм с б/з по 100 патронов на каждую.</w:t>
      </w:r>
    </w:p>
    <w:p w14:paraId="5DCE038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Длина с-та 9,5, размах - 11,0, площадь крыла 20,38, профиль NACA-230, угол установки 1 гр.</w:t>
      </w:r>
    </w:p>
    <w:p w14:paraId="43691FB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 скорость на 2 гр в боевом режжииме при 2150 и Рк 1175 на 7000 - 695, на номинальном на 7200 - 690</w:t>
      </w:r>
    </w:p>
    <w:p w14:paraId="32F27DA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 скорость на 1 гр. на боевом Рк 1200 на 2700 - 625, на номинальном на 2400 - 624</w:t>
      </w:r>
    </w:p>
    <w:p w14:paraId="1BCA74A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 скорость пикирования - 685 по рибору.</w:t>
      </w:r>
    </w:p>
    <w:p w14:paraId="40E9615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Это - 2-й</w:t>
      </w:r>
    </w:p>
    <w:p w14:paraId="54471A9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первом в консоли крыла были поставлены противофлаттерные грузы общим весом 28 кг</w:t>
      </w:r>
    </w:p>
    <w:p w14:paraId="46D32B1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Полетный вес - 3845, в т.ч.</w:t>
      </w:r>
    </w:p>
    <w:p w14:paraId="2E28888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экипаж - 90</w:t>
      </w:r>
    </w:p>
    <w:p w14:paraId="6409F92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горючее - 350</w:t>
      </w:r>
    </w:p>
    <w:p w14:paraId="6DA85F2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масло - 45</w:t>
      </w:r>
    </w:p>
    <w:p w14:paraId="6F56488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оружие - 156</w:t>
      </w:r>
    </w:p>
    <w:p w14:paraId="5C2977A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б/з - 93</w:t>
      </w:r>
    </w:p>
    <w:p w14:paraId="3DDF167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Съемное оборудование - 16</w:t>
      </w:r>
    </w:p>
    <w:p w14:paraId="326D5E7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 750</w:t>
      </w:r>
    </w:p>
    <w:p w14:paraId="28CE04E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Отзывы л</w:t>
      </w:r>
    </w:p>
    <w:p w14:paraId="029DD2B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Мотор АМ-39 с беспоплавковым карбюратором на форсаже работает плохо. На номинале - хорошо.</w:t>
      </w:r>
    </w:p>
    <w:p w14:paraId="7BA9083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Значительной помехой в полете является обильный выброс масла из носка мотора. Масло нагоняет на козырек и затрудняет полет</w:t>
      </w:r>
    </w:p>
    <w:p w14:paraId="1EAE565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Бензоочистеители козырька не в состоянии справиться с натекающим маслом из носка мотора</w:t>
      </w:r>
    </w:p>
    <w:p w14:paraId="213254E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Велики нагрузки на элероны и РВ, особенно на большой скорости</w:t>
      </w:r>
    </w:p>
    <w:p w14:paraId="22EF852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Слабый обзор назад</w:t>
      </w:r>
    </w:p>
    <w:p w14:paraId="59D3BFD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Крайне передняя центровка, особенно у машины, заправленной горючим</w:t>
      </w:r>
    </w:p>
    <w:p w14:paraId="2B74A94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устранении недостатков с-т может быть принят на вооружение. Несомненно будет легко освоен л</w:t>
      </w:r>
    </w:p>
    <w:p w14:paraId="358EC56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 А.П.Якимов 5 июля 1944</w:t>
      </w:r>
    </w:p>
    <w:p w14:paraId="413824F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 подлежит передаче в НИИ ВВС для продолжения испытаний</w:t>
      </w:r>
    </w:p>
    <w:p w14:paraId="21EEC6B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Брунов (11472,2).</w:t>
      </w:r>
    </w:p>
    <w:p w14:paraId="604A09A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62690D" w14:textId="77777777" w:rsidR="00F31F26" w:rsidRPr="007224C3" w:rsidRDefault="00F31F2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10 мая в 1944 году </w:t>
      </w:r>
      <w:hyperlink r:id="rId122" w:tgtFrame="_blank" w:history="1">
        <w:r w:rsidRPr="007224C3">
          <w:rPr>
            <w:rFonts w:ascii="Times New Roman" w:hAnsi="Times New Roman"/>
            <w:color w:val="000000" w:themeColor="text1"/>
            <w:sz w:val="16"/>
            <w:szCs w:val="16"/>
          </w:rPr>
          <w:t xml:space="preserve">«И-220» </w:t>
        </w:r>
      </w:hyperlink>
      <w:r w:rsidRPr="007224C3">
        <w:rPr>
          <w:rFonts w:ascii="Times New Roman" w:hAnsi="Times New Roman"/>
          <w:color w:val="000000" w:themeColor="text1"/>
          <w:sz w:val="16"/>
          <w:szCs w:val="16"/>
        </w:rPr>
        <w:t>№01 передали для проведения дополнительных заводских испытаний с целью проверки и доводки ВМГ, а также для определения летных данных после установки серийного мотора «АМ-39» №45302. Испытания проводили ведущий инженер А.Г.Брунов и летчик-испытатель А.П.Якимов. Максимальная скорость самолета на боевом режиме работы мотора составила 625 км/ч на высоте 2700 м (первая граница высотности) и 695 км/ч на высоте 7500 м (вторая граница высотности) . В целом дополнительные испытания, завершившиеся 28 июня 1944 г., подтвердили полученные ранее результаты, что дало основание передать самолет на госиспытания. Стоит отметить, что к этому времени все четыре пушки «ШВАК» («СП-20») были включены в нормальную полетную массу истребителя «И-220», при этом боезапас составлял по 100 патронов на пушку (14887).</w:t>
      </w:r>
    </w:p>
    <w:p w14:paraId="4164CF78" w14:textId="77777777" w:rsidR="00F31F26" w:rsidRPr="007224C3" w:rsidRDefault="00F31F26" w:rsidP="007224C3">
      <w:pPr>
        <w:spacing w:after="0" w:line="240" w:lineRule="auto"/>
        <w:jc w:val="both"/>
        <w:rPr>
          <w:rFonts w:ascii="Times New Roman" w:hAnsi="Times New Roman"/>
          <w:color w:val="000000" w:themeColor="text1"/>
          <w:sz w:val="16"/>
          <w:szCs w:val="16"/>
        </w:rPr>
      </w:pPr>
    </w:p>
    <w:p w14:paraId="53780DD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мая 1944 г. машину И—220 зав. № 01 вернули разработчику для проведения дополнительных заводских испытаний силовой установки, а также для определения летных данных с серийным мотором АМ—39. В ОКБ—155 ис</w:t>
      </w:r>
      <w:r w:rsidRPr="007224C3">
        <w:rPr>
          <w:rFonts w:ascii="Times New Roman" w:hAnsi="Times New Roman"/>
          <w:color w:val="000000" w:themeColor="text1"/>
          <w:sz w:val="16"/>
          <w:szCs w:val="16"/>
        </w:rPr>
        <w:softHyphen/>
        <w:t>пытания проводили ведущий инженер А.Г.Брунов и летчик-испытатель А.П.Якимов. Максимальная ско</w:t>
      </w:r>
      <w:r w:rsidRPr="007224C3">
        <w:rPr>
          <w:rFonts w:ascii="Times New Roman" w:hAnsi="Times New Roman"/>
          <w:color w:val="000000" w:themeColor="text1"/>
          <w:sz w:val="16"/>
          <w:szCs w:val="16"/>
        </w:rPr>
        <w:softHyphen/>
        <w:t>рость самолета на боевом режиме работы мотора, ко</w:t>
      </w:r>
      <w:r w:rsidRPr="007224C3">
        <w:rPr>
          <w:rFonts w:ascii="Times New Roman" w:hAnsi="Times New Roman"/>
          <w:color w:val="000000" w:themeColor="text1"/>
          <w:sz w:val="16"/>
          <w:szCs w:val="16"/>
        </w:rPr>
        <w:softHyphen/>
        <w:t>торую сумел «выжать» из машины Якимов, состави</w:t>
      </w:r>
      <w:r w:rsidRPr="007224C3">
        <w:rPr>
          <w:rFonts w:ascii="Times New Roman" w:hAnsi="Times New Roman"/>
          <w:color w:val="000000" w:themeColor="text1"/>
          <w:sz w:val="16"/>
          <w:szCs w:val="16"/>
        </w:rPr>
        <w:softHyphen/>
        <w:t>ла 625 км/ч на высоте 2700 м (первая граница высотности) и 690 км/ч на высоте 7200 м (вторая гра</w:t>
      </w:r>
      <w:r w:rsidRPr="007224C3">
        <w:rPr>
          <w:rFonts w:ascii="Times New Roman" w:hAnsi="Times New Roman"/>
          <w:color w:val="000000" w:themeColor="text1"/>
          <w:sz w:val="16"/>
          <w:szCs w:val="16"/>
        </w:rPr>
        <w:softHyphen/>
        <w:t>ница высотности). В целом дополнительные испыта</w:t>
      </w:r>
      <w:r w:rsidRPr="007224C3">
        <w:rPr>
          <w:rFonts w:ascii="Times New Roman" w:hAnsi="Times New Roman"/>
          <w:color w:val="000000" w:themeColor="text1"/>
          <w:sz w:val="16"/>
          <w:szCs w:val="16"/>
        </w:rPr>
        <w:softHyphen/>
        <w:t>ния, завершившиеся 28 июня 1944 г., подтвердили полученные ранее результаты, что дало основание передать самолет на госиспытания [23] (9984).</w:t>
      </w:r>
    </w:p>
    <w:p w14:paraId="3FB752A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6EBE72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мая 1944 согласно журнала наблюдения за проектированием, постройкой и испытаниями МиГ-3 с-т Д2 передан на ЛЭС завода (992,13)..</w:t>
      </w:r>
    </w:p>
    <w:p w14:paraId="530FAC5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B546CE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мая 1944 ги 3ВА гмиас Мартов подписал и 12 мая 1944 Нач. 3ВА Пашевич утвердил Доклад о живучести матчаст, конструктивных и производственных недостатках, установленных б/опытом 3 ВА за 1943-44 гг.</w:t>
      </w:r>
    </w:p>
    <w:p w14:paraId="10E2190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 Ил-2 АМ-38Ф</w:t>
      </w:r>
    </w:p>
    <w:p w14:paraId="4CE7163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среднем за 1943 г. одна боевая потеря пришлась на 26 б/вылетов или 27 часов налета. За январь-апрель 1944 - на 54 самолето/вылета или 55 часов налета. Безвозвратные б/потери в % от общего к-ва б-х повреждений составила за 1943 г 3,9%, за январь-апрель 1944 - 1,9%. Боевые повреждения составили 22,2% от общего к-ва с/вылетов (на 5 с-то вылетов один ст- получал повреждения)</w:t>
      </w:r>
    </w:p>
    <w:p w14:paraId="584BC1F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 Пе-2 ПФ (как разведчики только) на высоте 500-7000 м. За 1943 г. на 1 боевую потерю 82,5 с/вылеьтов или 119 часов налета. В бою с 2 и более и противника с-т Пе-2, как правило, сбивали (необходимо улучшить протектирование б/б) (816,2).</w:t>
      </w:r>
    </w:p>
    <w:p w14:paraId="6D5D5BA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92DD1B" w14:textId="77777777" w:rsidR="00F31F26" w:rsidRPr="007224C3" w:rsidRDefault="00F31F26"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мая 1944 г. состоялось перебазирование 121 АРЗ в п. Кубинка Московской обл. (6395).</w:t>
      </w:r>
    </w:p>
    <w:p w14:paraId="6A3925F4" w14:textId="77777777" w:rsidR="00F31F26" w:rsidRPr="007224C3" w:rsidRDefault="00F31F26"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D71F6FB"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081CBFE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1FA7D52" w14:textId="77777777" w:rsidR="00552857" w:rsidRPr="007224C3" w:rsidRDefault="0055285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мая] 1944 г.из «ОСНОВНЫХ ПОКАЗАТЕЛЕЙ ЗАВОДА ЗА ПЕРИОД ВОЙНЫ», СОСТАВЛЕННЫХ ПАРТОРГОМ ЦК ВКП(б) НА ЗАВОДЕ № 350 М.А. КОЛЕСОВЫМ</w:t>
      </w:r>
    </w:p>
    <w:p w14:paraId="11A6976C" w14:textId="77777777" w:rsidR="00552857" w:rsidRPr="007224C3" w:rsidRDefault="0055285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Характеристика изменений в производстве в военный период. Испытывая значительные перебои в снабжении авиабензином для промывки деталей, завод применил для этой цели содово-мыльный раствор, что дало экономии бензина до 30%. Для обеспечения производства рядом необходимых вспомогательных материалов, возможного использования для этой цели заменителей организована при лаборатории специальная мастерская вспомогательных материалов. За I квартал 1944 года завод перевыполнил программу и дал в фонд обороны дополнительную продукцию на 1045,0 тыс. руб., в том числе в марте - на 702,0 тыс. руб. За время войны заводу неоднократно присуждались вторые и третьи места во всесоюзном соревновании заводов НКВ. За время войны орденами и медалями награждены 32 работника (ИТР и рабочих) завода. Показатели на 1 апреля 1944 года: стахановцев - 75,0 %, многосотников - 22,3 %, двадцатников - 31,9 %, лунинцев - 9 человек. Бригада т. ГУЩИНА </w:t>
      </w:r>
      <w:r w:rsidRPr="007224C3">
        <w:rPr>
          <w:rFonts w:ascii="Times New Roman" w:hAnsi="Times New Roman"/>
          <w:color w:val="000000" w:themeColor="text1"/>
          <w:sz w:val="16"/>
          <w:szCs w:val="16"/>
        </w:rPr>
        <w:lastRenderedPageBreak/>
        <w:t>взяла обязательство выполнить задание на март месяц на 200%. Свое обязательство бригада перевыполнила, дав 230 %. Узловую сборку, предусмотренную графиком к 28 марта, бригада закончила 14 марта, чем обеспечила досрочную сдачу продукции. Все члены бригады являются двадцатниками. Механики тт. МЯСНИКОВА -4-й разряд, ГАСПРАНОВА - 3-й разряд, ДЕДОВ - б-й разряд, ДЕГТЯРЕВ — 4-й разряд на протяжении марта месяца обеспечили ежесуточную сдачу продукции по строго установленному графику при наличии хорошего качества работы. Старый производственник — шлифовщик 8-го разряда МОЛЧАНОВ работает на шлифовке деталей основного производства и сложного инструмента. Путем работы одновременно на двух станках и рационализации технологического процесса добился выполнения норм на 442 %. Старый производственник — резьбошлифовщик 7-го разряда тов. СААР выполняет точную и сложную работу по резьбовым калибрам, одновременно работает на 2 станках. Добился выполнения норм в марте на 335 %. Работница-шлифовщица 5-го разряда ЗОТОВА систематически выполняет норму на 200 % и выше. В предмайском соревновании взяла на себя обязательство выполнить норму не менее чем на 250 %, взятое обязательство выполняет. Работница- пол и ровщица ТИХОНОВА взяла на себя обязательство выполнить нормы не менее чем на 200 %, свои обязательства выполняет, работая одновременно на 3 станках. Поступление рацпредложений за время войны и полученная экономия от внедренных рацпредложений: поступило рацпредложений - 896, внедрено — 352, экономия — 1 135 586 рублей. Организованный поточный метод предварительной и окончательной сборки одного из основных объектов производства позволил осуществить выпуск этого объекта равномерно и строго по графику. Опыт организации поточной сборки в настоящее время распространен и на другие крупносерийные объекты, что дало возможность все основные объекты выпускать равномерно, несмотря на усложнившееся задание. Помимо того, заводом осуществлен ряд работ по созданию замкнутого цикла обработки деталей. Так, например, в настоящее время создан комбинированный участок производства крепежа. За 1943 год завод снизил себестоимость продукции на 23,8 %, сэкономив 7,5 тонн декапированного железа, 15 тонн черного металла и 8,5 тонн цветного. Наряду с этим сэкономлено 238 274 кВт электроэнергии и 474 тонны топлива. В течение I квартала 1944 г. завод даст дальнейшее снижение себестоимости на 8—9 %. Многостаночников 27 человек — обслуживают 62 станка. Количество фронтовых бригад 5, численностью 28 человек. Всего бригад комсомольско-молодежных - 32, численностью 172 человека.</w:t>
      </w:r>
    </w:p>
    <w:p w14:paraId="3F0BBB8A" w14:textId="77777777" w:rsidR="00552857" w:rsidRPr="007224C3" w:rsidRDefault="0055285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завода</w:t>
      </w:r>
    </w:p>
    <w:p w14:paraId="4026648A" w14:textId="77777777" w:rsidR="00552857" w:rsidRPr="007224C3" w:rsidRDefault="0055285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Парторг ЦК ВКП(б) Колесов</w:t>
      </w:r>
    </w:p>
    <w:p w14:paraId="1BEBDFF2" w14:textId="77777777" w:rsidR="00552857" w:rsidRPr="007224C3" w:rsidRDefault="0055285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ГАНО. Ф. П-4. Оп. 8. Д. 499. Л. 73-76. Подлинник.</w:t>
      </w:r>
    </w:p>
    <w:p w14:paraId="42FB0A46" w14:textId="77777777" w:rsidR="00552857" w:rsidRPr="007224C3" w:rsidRDefault="0055285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директора расписался кто-то из руководителей, подпись-росчерк не читается. Подпись-автограф парторга ЦК ВКП(б) Колесова - чернилами. Отправлено 3 экз.. в том числе в обком ВКП(б) и партком завода № 690 10 мая 1944 г (12194).</w:t>
      </w:r>
    </w:p>
    <w:p w14:paraId="33C60495" w14:textId="77777777" w:rsidR="00552857" w:rsidRPr="007224C3" w:rsidRDefault="00552857" w:rsidP="007224C3">
      <w:pPr>
        <w:spacing w:after="0" w:line="240" w:lineRule="auto"/>
        <w:jc w:val="both"/>
        <w:rPr>
          <w:rFonts w:ascii="Times New Roman" w:hAnsi="Times New Roman"/>
          <w:color w:val="000000" w:themeColor="text1"/>
          <w:sz w:val="16"/>
          <w:szCs w:val="16"/>
        </w:rPr>
      </w:pPr>
    </w:p>
    <w:p w14:paraId="4EAAAA36" w14:textId="77777777" w:rsidR="00A5346F" w:rsidRPr="007224C3" w:rsidRDefault="00A5346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мая 1944 года в адрес УЗТМ и завода №200 поступило распоряжение от </w:t>
      </w:r>
      <w:hyperlink r:id="rId123" w:history="1">
        <w:r w:rsidRPr="007224C3">
          <w:rPr>
            <w:rStyle w:val="a5"/>
            <w:rFonts w:ascii="Times New Roman" w:hAnsi="Times New Roman"/>
            <w:color w:val="000000" w:themeColor="text1"/>
            <w:sz w:val="16"/>
            <w:szCs w:val="16"/>
          </w:rPr>
          <w:t>наркома танковой промышленности</w:t>
        </w:r>
      </w:hyperlink>
      <w:r w:rsidRPr="007224C3">
        <w:rPr>
          <w:rFonts w:ascii="Times New Roman" w:hAnsi="Times New Roman"/>
          <w:color w:val="000000" w:themeColor="text1"/>
          <w:sz w:val="16"/>
          <w:szCs w:val="16"/>
        </w:rPr>
        <w:t> Малышева о передаче первых корпусов со спрямлённым носом на НИБТ Полигон. Впрочем, в мае работы по этой теме не начались. Фактически производство стартовало в июле, а испытания обстрелом прошли только в сентябре 1944 года. К тому времени модернизированные ИС-2 уже два месяца как производились на ЧКЗ, первые танки с изменённым корпусом попали на фронт. В ходе обстрела выяснилось, что верхняя носовая деталь из катаной брони выдерживает попадания 75-мм бронебойных и подкалиберных снарядов пушки KwK 42 L/70 с любых дистанций. Нижний лист пробивался этой же пушкой с дистанции 1,5 километра. Хуже дела обстояли с 88-мм орудием Pak 43, установленным на САУ Ferdinand. Верхнюю часть лобового листа бронебойный снаряд данного орудия пробивал с дистанции 450 метров, а нижнюю — почти с четырёх километров. Критике подверглась конструкция сварных швов, которые при попадании растрескивались (18099).</w:t>
      </w:r>
    </w:p>
    <w:p w14:paraId="0450AA8B" w14:textId="77777777" w:rsidR="00A5346F" w:rsidRPr="007224C3" w:rsidRDefault="00A5346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Иная картина наблюдалась с литым носом производства завода №200. Стоит отметить, что завод получал указания перейти на сварную конструкцию, чего так и не сделал. Потому что и не хотел и, что важнее, не мог. Испытания показали, что этого и не следовало делать. Верхняя часть лба в большинстве случаев не пробивалась 8.8 cm Pak 43 L/71 даже в упор (впрочем, при некоторых условиях она всё же пробивалась, но на небольшой дистанции до 255 метров). Нижнюю часть лобовой детали 75-мм пушка «Пантеры» пробила, но на куда меньшей дистанции — 785 метров. Отмечалась лучшая стойкость сварных швов, правда, и к ним тоже были претензии. Уязвимым местом был смотровой прибор в верхней части лобовой детали, но он получился меньшим, чем смотровой лючок, да и отбойник вполне справлялся со своей задачей.</w:t>
      </w:r>
    </w:p>
    <w:p w14:paraId="25AB5091" w14:textId="77777777" w:rsidR="00A5346F" w:rsidRPr="007224C3" w:rsidRDefault="00A5346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Таким образом, для немецких танков всех типов ИС-2 становился примерно тем же, чем для советских средних танков была «Пантера»: в лобовой проекции пробить его теперь можно было либо в нижний лобовой лист корпуса, либо в лоб башни (18099).</w:t>
      </w:r>
    </w:p>
    <w:p w14:paraId="383E9BC0" w14:textId="77777777" w:rsidR="00A5346F" w:rsidRPr="007224C3" w:rsidRDefault="00A5346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Существенным минусом новой лобовой детали стало ухудшение обзорности с места механика водителя. Даже при закрытом смотровом лючке у ИС-2 с носовой деталью старой конструкции сектор обзора составлял 9 градусов по вертикали и 40 градусов по горизонтали. А при открытом лючке обзор составлял 27 градусов по вертикали и 75 градусов по горизонтали. Что же касается смотрового прибора ИС-2 со спрямлённой носовой деталью, то там сектор обзора составлял 13 градусов по вертикали и 30 градусов по горизонтали. «Мёртвая зона» перед носом танка была 12 метров. Отчасти это компенсировалось наличием двух смотровых приборов MK-IV, но и у них «мёртвая зона» составляла 10 метров. Одним словом, видеть механик-водитель стал явно хуже. При этом мёртвая зона на танках с носовой деталью производства УЗТМ была меньше, чем у танков с литой деталью конструкции завода №200.</w:t>
      </w:r>
    </w:p>
    <w:p w14:paraId="54E9DCC1" w14:textId="77777777" w:rsidR="00A5346F" w:rsidRPr="007224C3" w:rsidRDefault="00A5346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Похожая картина с обзорностью была и у Объекта 701. Неудивительно, что с конца 1944 года на новых тяжёлых танках было решено отказаться от подобных смотровых приборов (18099).</w:t>
      </w:r>
    </w:p>
    <w:p w14:paraId="2AC6C74F" w14:textId="77777777" w:rsidR="00A5346F" w:rsidRPr="007224C3" w:rsidRDefault="00A5346F" w:rsidP="007224C3">
      <w:pPr>
        <w:spacing w:after="0" w:line="240" w:lineRule="auto"/>
        <w:jc w:val="both"/>
        <w:rPr>
          <w:rFonts w:ascii="Times New Roman" w:hAnsi="Times New Roman"/>
          <w:color w:val="000000" w:themeColor="text1"/>
          <w:sz w:val="16"/>
          <w:szCs w:val="16"/>
        </w:rPr>
      </w:pPr>
    </w:p>
    <w:p w14:paraId="26D8EA7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мая 1944 г. было подготовлено СООБЩЕНИЕ ЗАМЕСТИТЕЛЯ НАРОДНОГО КОМИССАРА СРЕДНЕГО МАШИНОСТРОЕНИЯ СССР НАЧАЛЬНИКУ ГБТУ КА ОБ ИЗМЕНЕНИИ ЦЕН НА МОТОЦИКЛЫ М~72</w:t>
      </w:r>
    </w:p>
    <w:p w14:paraId="6AA74C4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Действующая отпускная цена на мотоциклы М-72 в 7500 рублей за штуку убыточна для заво</w:t>
      </w:r>
      <w:r w:rsidRPr="007224C3">
        <w:rPr>
          <w:rFonts w:ascii="Times New Roman" w:hAnsi="Times New Roman"/>
          <w:color w:val="000000" w:themeColor="text1"/>
          <w:sz w:val="16"/>
          <w:szCs w:val="16"/>
        </w:rPr>
        <w:softHyphen/>
        <w:t>дов. Цена эта установлена была в свое время как опытная и па утверждение вышестоящим органи</w:t>
      </w:r>
      <w:r w:rsidRPr="007224C3">
        <w:rPr>
          <w:rFonts w:ascii="Times New Roman" w:hAnsi="Times New Roman"/>
          <w:color w:val="000000" w:themeColor="text1"/>
          <w:sz w:val="16"/>
          <w:szCs w:val="16"/>
        </w:rPr>
        <w:softHyphen/>
        <w:t>зациям не представлялась.</w:t>
      </w:r>
    </w:p>
    <w:p w14:paraId="2F269F2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Отчетные калькуляции за все месяцы 1943 года и 1 квартал 1944 г., приведенные в особой таб</w:t>
      </w:r>
      <w:r w:rsidRPr="007224C3">
        <w:rPr>
          <w:rFonts w:ascii="Times New Roman" w:hAnsi="Times New Roman"/>
          <w:color w:val="000000" w:themeColor="text1"/>
          <w:sz w:val="16"/>
          <w:szCs w:val="16"/>
        </w:rPr>
        <w:softHyphen/>
        <w:t>лице, показывают, что установившаяся фактическая себестоимость машины составляет сумму, пре</w:t>
      </w:r>
      <w:r w:rsidRPr="007224C3">
        <w:rPr>
          <w:rFonts w:ascii="Times New Roman" w:hAnsi="Times New Roman"/>
          <w:color w:val="000000" w:themeColor="text1"/>
          <w:sz w:val="16"/>
          <w:szCs w:val="16"/>
        </w:rPr>
        <w:softHyphen/>
        <w:t>вышающую 11000 рублей.</w:t>
      </w:r>
    </w:p>
    <w:p w14:paraId="77B4871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связи с необходимостью привести экономику заводов Главка в безубыточное состояние про</w:t>
      </w:r>
      <w:r w:rsidRPr="007224C3">
        <w:rPr>
          <w:rFonts w:ascii="Times New Roman" w:hAnsi="Times New Roman"/>
          <w:color w:val="000000" w:themeColor="text1"/>
          <w:sz w:val="16"/>
          <w:szCs w:val="16"/>
        </w:rPr>
        <w:softHyphen/>
        <w:t>шу Вашего согласия на установление отпускной цены мотоцикла М-72 в сумме 11000 рублей с вво</w:t>
      </w:r>
      <w:r w:rsidRPr="007224C3">
        <w:rPr>
          <w:rFonts w:ascii="Times New Roman" w:hAnsi="Times New Roman"/>
          <w:color w:val="000000" w:themeColor="text1"/>
          <w:sz w:val="16"/>
          <w:szCs w:val="16"/>
        </w:rPr>
        <w:softHyphen/>
        <w:t>дом ее в действие с 1 июля с. г.</w:t>
      </w:r>
    </w:p>
    <w:p w14:paraId="63AE603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Справки о динамике себестоимости мотоцикла М-72 по Ирбитскому и Горьковскому мото</w:t>
      </w:r>
      <w:r w:rsidRPr="007224C3">
        <w:rPr>
          <w:rFonts w:ascii="Times New Roman" w:hAnsi="Times New Roman"/>
          <w:color w:val="000000" w:themeColor="text1"/>
          <w:sz w:val="16"/>
          <w:szCs w:val="16"/>
        </w:rPr>
        <w:softHyphen/>
        <w:t>заводам по месяцам 1943 года и I квартал 1944 г., а также расшифровка разделов материалов основных и полуфабрикатов покупных в отчетной калькуляции Горьковского мотозавода за I квар</w:t>
      </w:r>
      <w:r w:rsidRPr="007224C3">
        <w:rPr>
          <w:rFonts w:ascii="Times New Roman" w:hAnsi="Times New Roman"/>
          <w:color w:val="000000" w:themeColor="text1"/>
          <w:sz w:val="16"/>
          <w:szCs w:val="16"/>
        </w:rPr>
        <w:softHyphen/>
        <w:t>тал 1944 г. прилагаются.</w:t>
      </w:r>
    </w:p>
    <w:p w14:paraId="33AE952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Заместитель народного комиссара среднего машиностроения СССР Аравин</w:t>
      </w:r>
    </w:p>
    <w:p w14:paraId="4B9D756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38. Оп. 11358. Д. 93а. Л. 152. Подлинник (11420).</w:t>
      </w:r>
    </w:p>
    <w:p w14:paraId="72ACCD2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A470C82"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мая 1944 вышло Постановление ГКО № 5853 О накоплении запасов угля на железных дорогах к зиме 1944-45 гг. (7231, 1-4).</w:t>
      </w:r>
    </w:p>
    <w:p w14:paraId="42B7D209"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10171F2"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4F7D201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E45D227" w14:textId="77777777" w:rsidR="00F31F26" w:rsidRPr="007224C3" w:rsidRDefault="00F31F2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мая в 1944 году оперативная сводка Совинформбюро:</w:t>
      </w:r>
    </w:p>
    <w:p w14:paraId="279BDEF0" w14:textId="77777777" w:rsidR="00F31F26" w:rsidRPr="007224C3" w:rsidRDefault="00F31F2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10 Мая на фронтах существенных изменений непроизошло.</w:t>
      </w:r>
    </w:p>
    <w:p w14:paraId="21C45C94" w14:textId="77777777" w:rsidR="00F31F26" w:rsidRPr="007224C3" w:rsidRDefault="00F31F2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9 мая в воздушных боях и огнём зенитной артиллерии сбито 14 самолётов противника.</w:t>
      </w:r>
    </w:p>
    <w:p w14:paraId="052066DF" w14:textId="77777777" w:rsidR="00F31F26" w:rsidRPr="007224C3" w:rsidRDefault="00F31F2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Удары авиации Черноморского флота по судам противника</w:t>
      </w:r>
    </w:p>
    <w:p w14:paraId="471728F7" w14:textId="77777777" w:rsidR="00F31F26" w:rsidRPr="007224C3" w:rsidRDefault="00F31F2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Утром 9 мая воздушной разведкой Черноморского флота в открытом море были обнаружены транспорты и другие суда противника. В результате ударов авиации флота прямыми попаданиями бомб потоплены два транспорта водоизмещением в 4.000 тонн, сторожевой катер и несколько быстроходных десантных барж. Ряд других судов противника повреждён.</w:t>
      </w:r>
    </w:p>
    <w:p w14:paraId="5E8B6F29" w14:textId="77777777" w:rsidR="00F31F26" w:rsidRPr="007224C3" w:rsidRDefault="00F31F2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Юго-восточнее города Станислав пехота противника дважды атаковала наши позиции. Части Н-ского соединения контрударом отбросили немцев на исходные рубежи. На поле боя осталось до 600 вражеских трупов. Взято в плен более 100 немецких солдат и офицеров.</w:t>
      </w:r>
    </w:p>
    <w:p w14:paraId="26345329" w14:textId="77777777" w:rsidR="00F31F26" w:rsidRPr="007224C3" w:rsidRDefault="00F31F2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Наша авиация наносила удары по коммуникациям и скоплениям войск противника. Звено штурмовиков гвардии старшего лейтенанта Михаленко сожгло железнодорожный эшелон с танками и автомашинами. Группа лётчиков во главе с Героем Советского Союза гвардии капитаном Макаровым разбила 5 немецких танков и самоходных орудий.</w:t>
      </w:r>
    </w:p>
    <w:p w14:paraId="40670883" w14:textId="77777777" w:rsidR="00F31F26" w:rsidRPr="007224C3" w:rsidRDefault="00F31F2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Южнее города Тирасполь отряд наших разведчиков ночью, пробираясь кустарником, вышел в тыл передней линии укреплений противника. Разведчики стремительно ворвались в блиндажи и уничтожили до роты гитлеровцев. Несколько немцев наши бойцы взяли в плен и доставили в свою часть.</w:t>
      </w:r>
    </w:p>
    <w:p w14:paraId="4BBE6168" w14:textId="77777777" w:rsidR="00F31F26" w:rsidRPr="007224C3" w:rsidRDefault="00F31F2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Баренцовом море нашими самолётами потоплены три мотобота противника.</w:t>
      </w:r>
    </w:p>
    <w:p w14:paraId="61ABA81F" w14:textId="77777777" w:rsidR="00F31F26" w:rsidRPr="007224C3" w:rsidRDefault="00F31F2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Партизанский отряд, действующий в Львовской области, напал на гарнизон противника, расположенный в большом селе. В коротком ночном бою советские патриоты уничтожили немцев и заняли село. На продовольственном складе противника партизаны захватили 12 тысяч пудов зерна и роздали его населению. Другой отряд львовских партизан за десять дней пустил под откос 6 немецких воинских эшелонови один бронепоезд. Разбиты 6 паровозов, один из них бронированный, 4 броневагона, 65 вагонов и платформ. Убито до 200 вражеских солдат и офицеров. Движение поездов на этом участке железной дороги было прервано в течение трех суток.</w:t>
      </w:r>
    </w:p>
    <w:p w14:paraId="115DA932" w14:textId="77777777" w:rsidR="00F31F26" w:rsidRPr="007224C3" w:rsidRDefault="00F31F2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Жители Дубровки, Песочека, Негодиц и других деревень, Дедовичского района, Ленинградской области составили акт о злодеяниях немецко-фашистских мерзавцев. В акте говорится: «Мы были свидетелями чудовищных преступлений гитлеровцев. Мы не только своими глазами видели, но и сами на себе испытали зверства немецких разбойников. Фашистские палачи замучили и убили сотни и тысячи мирных жителей Дедовичского района только за то, что они были русскими людьми и любили свою родину. Немцы сожгли дотла деревни Загорье, Клинец, Петрово, Б.Молоково, Ямицы и другие. Они насильно угнали многих советских людей на каторгу в Германию. В фашистской неволе томятся жена и сын красноармейца Ильи Баранова, жена и сын красноармейца Ивана Николаева и многие другие. Фашистские изверги убивали ни в чём не повинных людей. В деревне Красная Горка гитлеровцы расстреляли десять женщин с грудными детьми. В деревне Закрючье палачи расстреляли Дмитрия Никитина, его сына и дочь, Михаила Сидорова, Антонину Степанову и других.Неслыханным пыткам подвергли немцы советских граждан Алексея Савицкого иЕкатерину Бойкину. Их буквально резали на куски: отрезали уши, выкололи глаза. После долгих и мучительных пыток палачи расстреляли свои жертвы.</w:t>
      </w:r>
    </w:p>
    <w:p w14:paraId="5130A746" w14:textId="77777777" w:rsidR="00F31F26" w:rsidRPr="007224C3" w:rsidRDefault="00F31F2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Мы счастливы, что всем этим ужасам пришёл конец. Доблестная Красная Армия освободила наши сёла от немцев. Сейчас мы вступили в ряды Красной Армии. Родина вручила нам в руки оружие для борьбы с гитлеровскими бандитами. Клянёмся, что мы ничего не простим подлому врагу. Мы отомстим за всё. Наша месть будет беспощадной. Смерть немецким захватчикам!»</w:t>
      </w:r>
    </w:p>
    <w:p w14:paraId="528E068A" w14:textId="77777777" w:rsidR="00F31F26" w:rsidRPr="007224C3" w:rsidRDefault="00F31F2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Акт подписали: В.Петров, В.Кузьмин, П.Павлов, Ф.Ефимов, Н.Григорьев, А.Коломенский, Н.Топоров, С.Лукин, М.Яковлев, Ф.Егоров, И.Соловьёв, В.Сергеев и другие.</w:t>
      </w:r>
    </w:p>
    <w:p w14:paraId="2D9DBB5E" w14:textId="77777777" w:rsidR="00F31F26" w:rsidRPr="007224C3" w:rsidRDefault="00F31F2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10 Мая на фронтах существенных изменений непроизошло.</w:t>
      </w:r>
    </w:p>
    <w:p w14:paraId="1729D9D2" w14:textId="77777777" w:rsidR="00F31F26" w:rsidRPr="007224C3" w:rsidRDefault="00F31F2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9 мая в воздушных боях и огнём зенитной артиллерии сбито 14 самолётов противника.»</w:t>
      </w:r>
    </w:p>
    <w:p w14:paraId="3B960A82" w14:textId="77777777" w:rsidR="00F31F26" w:rsidRPr="007224C3" w:rsidRDefault="00F31F2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Удары авиации Черноморского флота по судам противника:</w:t>
      </w:r>
    </w:p>
    <w:p w14:paraId="061DE011" w14:textId="77777777" w:rsidR="00F31F26" w:rsidRPr="007224C3" w:rsidRDefault="00F31F2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«Утром 9 мая воздушной разведкой Черноморского флота в открытом море былиобнаружены транспорты и другие суда противника. В результате ударов авиациифлота прямыми попаданиями бомб потоплены два транспорта водоизмещением в 4.000тонн, сторожевой катер и несколько быстроходных десантных барж. Ряд других судовпротивника повреждён.»</w:t>
      </w:r>
    </w:p>
    <w:p w14:paraId="4329A08D" w14:textId="77777777" w:rsidR="00F31F26" w:rsidRPr="007224C3" w:rsidRDefault="00F31F2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Юго-восточнее города Станислав пехота противника дважды атаковала нашипозиции. Части Н-ского соединения контрударом отбросили немцев на исходные рубежи. На поле боя осталось до 600 вражеских трупов. Взято в плен более 100 немецких солдат и офицеров.</w:t>
      </w:r>
    </w:p>
    <w:p w14:paraId="2F0119CA" w14:textId="77777777" w:rsidR="00F31F26" w:rsidRPr="007224C3" w:rsidRDefault="00F31F2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Наша авиация наносила удары по коммуникациям и скоплениям войск противника. Звено штурмовиков гвардии старшего лейтенанта Михаленко сожгло железнодорожный эшелон с танками и автомашинами. Группа лётчиков во главе с Героем Советского Союза гвардии капитаном Макаровым разбила 5 немецких танков и самоходных орудий.</w:t>
      </w:r>
    </w:p>
    <w:p w14:paraId="584728AF" w14:textId="77777777" w:rsidR="00F31F26" w:rsidRPr="007224C3" w:rsidRDefault="00F31F2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Южнее города Тирасполь отряд наших разведчиков ночью, пробираясь кустарником, вышел в тыл передней линии укреплений противника. Разведчики стремительно ворвались в блиндажи и уничтожили до роты гитлеровцев. Несколько немцев наши бойцы взяли в плен и доставили в свою часть.</w:t>
      </w:r>
    </w:p>
    <w:p w14:paraId="3CF0944C" w14:textId="77777777" w:rsidR="00F31F26" w:rsidRPr="007224C3" w:rsidRDefault="00F31F2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Баренцовом море нашими самолётами потоплены три мотобота противника.</w:t>
      </w:r>
    </w:p>
    <w:p w14:paraId="7475EF76" w14:textId="77777777" w:rsidR="00F31F26" w:rsidRPr="007224C3" w:rsidRDefault="00F31F2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Партизанский отряд, действующий в Львовской области, напал на гарнизон противника, расположенный в большом селе. В коротком ночном бою советские патриоты уничтожили немцев и заняли село. На продовольственном складе противника партизаны захватили 12 тысяч пудов зерна и роздали его населению. Другой отряд львовских партизан за десять дней пустил под откос 6 немецких воинских эшелонови один бронепоезд. Разбиты 6 паровозов, один из них бронированный, 4 броневагона, 65 вагонов и платформ. Убито до 200 вражеских солдат и офицеров. Движение поездов на этом участке железной дороги было прервано в течение трех суток.</w:t>
      </w:r>
    </w:p>
    <w:p w14:paraId="6B70897C" w14:textId="77777777" w:rsidR="00F31F26" w:rsidRPr="007224C3" w:rsidRDefault="00F31F2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Жители Дубровки, Песочека, Негодиц и других деревень, Дедовичского района, Ленинградской области составили акт о злодеяниях немецко-фашистских мерзавцев. Вакте говорится: «Мы были свидетелями чудовищных преступлений гитлеровцев. Мы не только своими глазами видели, но и сами на себе испытали зверства немецких разбойников. Фашистские палачи замучили и убили сотни и тысячи мирных жителей Дедовичского района только за то, что они были русскими людьми и любили свою родину. Немцы сожгли дотла деревни Загорье, Клинец, Петрово, Б.Молоково, Ямицыи другие. Они насильно угнали многих советских людей на каторгу в Германию. В фашистской неволе томятся жена и сын красноармейца Ильи Баранова, жена и сын красноармейца Ивана Николаева и многие другие. Фашистские изверги убивали ни в чём не повинных людей. В деревне Красная Горка гитлеровцы расстреляли десять женщин с грудными детьми. В деревне Закрючье палачи расстреляли Дмитрия Никитина, его сына и дочь, Михаила Сидорова, Антонину Степанову и других. Неслыханным пыткам подвергли немцы советских граждан Алексея Савицкого и Екатерину Бойкину. Их буквально резали на куски: отрезали уши, выкололи глаза. После долгих и мучительных пыток палачи расстреляли свои жертвы.</w:t>
      </w:r>
    </w:p>
    <w:p w14:paraId="5757518E" w14:textId="77777777" w:rsidR="00F31F26" w:rsidRPr="007224C3" w:rsidRDefault="00F31F2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Мы счастливы, что всем этим ужасам пришёл конец. Доблестная Красная Армия освободила наши сёла от немцев. Сейчас мы вступили в ряды Красной Армии. Родина вручила нам в руки оружие для борьбы с гитлеровскими бандитами. Клянёмся, что мы ничего не простим подлому врагу. Мы отомстим за всё. Наша месть будет беспощадной. Смерть немецким захватчикам!»</w:t>
      </w:r>
    </w:p>
    <w:p w14:paraId="4BE0AA00" w14:textId="77777777" w:rsidR="00F31F26" w:rsidRPr="007224C3" w:rsidRDefault="00F31F2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Акт подписали: В.Петров, В.Кузьмин, П.Павлов, Ф.Ефимов, Н.Григорьев, А.Коломенский, Н.Топоров, С.Лукин, М.Яковлев, Ф.Егоров, И.Соловьёв, В.Сергеев и другие.» (14887).</w:t>
      </w:r>
    </w:p>
    <w:p w14:paraId="04E68DAE" w14:textId="77777777" w:rsidR="00F31F26" w:rsidRPr="007224C3" w:rsidRDefault="00F31F26" w:rsidP="007224C3">
      <w:pPr>
        <w:spacing w:after="0" w:line="240" w:lineRule="auto"/>
        <w:jc w:val="both"/>
        <w:rPr>
          <w:rFonts w:ascii="Times New Roman" w:hAnsi="Times New Roman"/>
          <w:color w:val="000000" w:themeColor="text1"/>
          <w:sz w:val="16"/>
          <w:szCs w:val="16"/>
        </w:rPr>
      </w:pPr>
    </w:p>
    <w:p w14:paraId="1BD61139" w14:textId="77777777" w:rsidR="008B0844" w:rsidRPr="007224C3" w:rsidRDefault="008B0844" w:rsidP="007224C3">
      <w:pPr>
        <w:pStyle w:val="ae"/>
        <w:spacing w:before="0" w:after="0"/>
        <w:jc w:val="both"/>
        <w:textAlignment w:val="baseline"/>
        <w:rPr>
          <w:color w:val="000000" w:themeColor="text1"/>
          <w:sz w:val="16"/>
          <w:szCs w:val="16"/>
        </w:rPr>
      </w:pPr>
      <w:r w:rsidRPr="007224C3">
        <w:rPr>
          <w:color w:val="000000" w:themeColor="text1"/>
          <w:sz w:val="16"/>
          <w:szCs w:val="16"/>
        </w:rPr>
        <w:t>10 мая 1944 «горбатые» атаковали суда, завершавшие эвакуацию немецких и румынских войск из Севастополя. Совместно с бомбардировщиками они тогда сумели потопить крупные транспорты «Тейя» и «Тотила» (19522).</w:t>
      </w:r>
    </w:p>
    <w:p w14:paraId="7E5F7658" w14:textId="77777777" w:rsidR="008B0844" w:rsidRPr="007224C3" w:rsidRDefault="008B0844" w:rsidP="007224C3">
      <w:pPr>
        <w:pStyle w:val="ae"/>
        <w:spacing w:before="0" w:after="0"/>
        <w:jc w:val="both"/>
        <w:textAlignment w:val="baseline"/>
        <w:rPr>
          <w:color w:val="000000" w:themeColor="text1"/>
          <w:sz w:val="16"/>
          <w:szCs w:val="16"/>
        </w:rPr>
      </w:pPr>
    </w:p>
    <w:p w14:paraId="2F4C087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мая 1944 в ходе совместного применения с низкими торпедой 45-36 АВА был поражен транспорт в 6000 т и сторожевик. 6 мая такой же случай был на ЧФ и поразили транспорт в 3000 т (651,24).</w:t>
      </w:r>
    </w:p>
    <w:p w14:paraId="12EE099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F1999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мая 1944 на ЧФ 17 Ил-2, из которых 11 - топмачтовиков, двумя последовательными ударами разгромили конвой и потопили дизельэлектроходы Тотила и Тея, на борту которых было 5-6 тыс. солдат и офицеров. Всего за крымскую операцию топмачтовики произвели 178 самолето-вылетов и потопили 28 плавединиц (4414.11).</w:t>
      </w:r>
    </w:p>
    <w:p w14:paraId="5F9E7CF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2BF4C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мая 1944 года две группы "Киттихауков" без потерь отбомбились но аэродромам Хебугтен и Салмиярви. На Северном флоте "Киттихауки" активно использовали как истребители-бомбардировщики. Штатной для Р-40Е считалась подвеска одной ФАБ-250 под фюзеляжем, но реально брали и ФАБ-500, и комбинации из ФАБ-250 и двух ФАБ-100ЦК или ФАБ-250 и двух ЗАБ-100. Очень успешны были налеты иа Киркенес 13-14 мая. Истребители 78-го и 27-го полков действовали вначале как пикирующие бомбардировщики. Одна "сотка" попала в транспорт водоизмещением 6000 т, другой, поменьше, после прямого попадания выбросился па мель. Иа следующий день "Киттихауки" перешли на топмачтовое бомбометание. Бомба сбрасывалась над самой водой и рикошетировала от ее поверхности, пока не поражала борт корабля. Один транспорт загорелся, был поврежден еще одни и небольшое каботажное судно. Интересно, что результаты бомбометания у истребителей оказались лучше, чем у бомбардировщиков Ил-4, несмотря на отсутствие на "Киттихоками" бомбовых прицелов. За два дня североморцы потеряли всего один "Киттихаук" из 78-го полка (3457,66).</w:t>
      </w:r>
    </w:p>
    <w:p w14:paraId="575A5E3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DD61B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мая 1944 Четвертый Украинский фронт прорвал укрепленную оборону и овладел Севастополем (271,219).</w:t>
      </w:r>
    </w:p>
    <w:p w14:paraId="07FA550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9C426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мая 1944 в посольстве Великобритании в Кремле вручили английские ордена и медали воинам КА и ВМФ (3398,177).</w:t>
      </w:r>
    </w:p>
    <w:p w14:paraId="6AAB91D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063EE4" w14:textId="77777777" w:rsidR="00A83B1B" w:rsidRPr="007224C3" w:rsidRDefault="00A83B1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мая в 1944 году в посольстве Великобритании в Москве состоялась церемония вручения английских орденов и медалей воинам Красной Армии и Флота, отличившимся в боях с немецко-фашистскими захватчиками (14887).</w:t>
      </w:r>
    </w:p>
    <w:p w14:paraId="31A7989B" w14:textId="77777777" w:rsidR="00A83B1B" w:rsidRPr="007224C3" w:rsidRDefault="00A83B1B" w:rsidP="007224C3">
      <w:pPr>
        <w:spacing w:after="0" w:line="240" w:lineRule="auto"/>
        <w:jc w:val="both"/>
        <w:rPr>
          <w:rFonts w:ascii="Times New Roman" w:hAnsi="Times New Roman"/>
          <w:color w:val="000000" w:themeColor="text1"/>
          <w:sz w:val="16"/>
          <w:szCs w:val="16"/>
        </w:rPr>
      </w:pPr>
    </w:p>
    <w:p w14:paraId="000E3F93" w14:textId="280862F0" w:rsidR="00D82A10" w:rsidRPr="007224C3" w:rsidRDefault="00D82A10" w:rsidP="007224C3">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7224C3">
        <w:rPr>
          <w:rFonts w:ascii="Times New Roman" w:hAnsi="Times New Roman"/>
          <w:i/>
          <w:iCs/>
          <w:color w:val="000000" w:themeColor="text1"/>
          <w:sz w:val="16"/>
          <w:szCs w:val="16"/>
        </w:rPr>
        <w:t>За рубежом:</w:t>
      </w:r>
    </w:p>
    <w:p w14:paraId="31005C8F" w14:textId="77777777" w:rsidR="00D82A10" w:rsidRPr="007224C3" w:rsidRDefault="00D82A10" w:rsidP="007224C3">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64C8675A" w14:textId="77777777" w:rsidR="00D82A10" w:rsidRPr="007224C3" w:rsidRDefault="00D82A10"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10–11 мая (ночь) 1944 506 британских бомбардировщиков совершили налет на железнодорожные станции в Дьепе, Лансе и Лилле, Франция, и в Куртре и Генте, Бельгия, с потерей 12 самолетов. Результаты налетов на Дьепп неизвестны, но остальные удары успешны (20373).</w:t>
      </w:r>
    </w:p>
    <w:p w14:paraId="7731E38C" w14:textId="77777777" w:rsidR="00D82A10" w:rsidRPr="007224C3" w:rsidRDefault="00D82A10" w:rsidP="007224C3">
      <w:pPr>
        <w:spacing w:after="0" w:line="240" w:lineRule="auto"/>
        <w:jc w:val="both"/>
        <w:rPr>
          <w:rFonts w:ascii="Times New Roman" w:hAnsi="Times New Roman"/>
          <w:color w:val="0070C0"/>
          <w:sz w:val="16"/>
          <w:szCs w:val="16"/>
        </w:rPr>
      </w:pPr>
    </w:p>
    <w:p w14:paraId="05963BBE" w14:textId="3DA9AA8B"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6F7E9BC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72BCEA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11 мая 1944 шеф-пилот ОКБ В.К.Коккинаки сделал на новом штурмовике свыше трех десятков полетов по программе заводских испытаний (7442).</w:t>
      </w:r>
    </w:p>
    <w:p w14:paraId="16A3CC1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Состав вооружения опытного Ил-10 АМ-42 включал: две пушки ВЯ-23 (300 снарядов), два пулемета ШКАС (1500 патронов), оборонительную подвижную установку ВУ-7 с пушкой Ш-20 ОКБ-15 НКВ с боезапасом 150 снарядов, 4 РО-82, 10 авиагранат АГ-2 и нормальную бомбовую нагрузку 400 кг (в перегрузку 600 кг) (7442).</w:t>
      </w:r>
    </w:p>
    <w:p w14:paraId="24D945A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полетном весе 6300 кг (вес бомб 400 кг, без PC) максимальная скорость нового штурмовика составила у земли 512 км/ч и на высоте 2800 м - 555 км/ч. Время подъема на высоту 1000 м - 1,6 мин, на выстоу 3000 м - 4,9 мин. Дальность полета на высоте 2800 м на скорости 385 км/ч равнялась 850 км (7442).</w:t>
      </w:r>
    </w:p>
    <w:p w14:paraId="3E51F37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F5968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мая 1944 В.К.Коккинаки закончил заводские испытания Ил-10 АМ-42, которые начались с первого полета 18 апреля 1944 (3846,19).</w:t>
      </w:r>
    </w:p>
    <w:p w14:paraId="309CE71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5AA86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мая 1944 шеф-пилот ОКБ В.К. Коккинаки сделал на новом штурмовике около трех десятков полетов по программе заводс</w:t>
      </w:r>
      <w:r w:rsidRPr="007224C3">
        <w:rPr>
          <w:rFonts w:ascii="Times New Roman" w:hAnsi="Times New Roman"/>
          <w:color w:val="000000" w:themeColor="text1"/>
          <w:sz w:val="16"/>
          <w:szCs w:val="16"/>
        </w:rPr>
        <w:softHyphen/>
        <w:t>ких испытаний. Ведущим инженером по испытаниям был В.Н. Бугайский. При полетном весе 6300 кг максималь</w:t>
      </w:r>
      <w:r w:rsidRPr="007224C3">
        <w:rPr>
          <w:rFonts w:ascii="Times New Roman" w:hAnsi="Times New Roman"/>
          <w:color w:val="000000" w:themeColor="text1"/>
          <w:sz w:val="16"/>
          <w:szCs w:val="16"/>
        </w:rPr>
        <w:softHyphen/>
        <w:t>ная скорость составила у земли 512 км/ч, а на высоте 2800 м — 555 км/ч. Время подъема на высоту 1000 м — 1,6 мин, на высоту 3000 м — 4,9 мин. Дальность поле</w:t>
      </w:r>
      <w:r w:rsidRPr="007224C3">
        <w:rPr>
          <w:rFonts w:ascii="Times New Roman" w:hAnsi="Times New Roman"/>
          <w:color w:val="000000" w:themeColor="text1"/>
          <w:sz w:val="16"/>
          <w:szCs w:val="16"/>
        </w:rPr>
        <w:softHyphen/>
        <w:t>та на высоте 2800 м при скорости 385 км/ч равнялась 850 км. «...Испытания само</w:t>
      </w:r>
      <w:r w:rsidRPr="007224C3">
        <w:rPr>
          <w:rFonts w:ascii="Times New Roman" w:hAnsi="Times New Roman"/>
          <w:color w:val="000000" w:themeColor="text1"/>
          <w:sz w:val="16"/>
          <w:szCs w:val="16"/>
        </w:rPr>
        <w:softHyphen/>
        <w:t>лет прошел удовлетворительно и подле</w:t>
      </w:r>
      <w:r w:rsidRPr="007224C3">
        <w:rPr>
          <w:rFonts w:ascii="Times New Roman" w:hAnsi="Times New Roman"/>
          <w:color w:val="000000" w:themeColor="text1"/>
          <w:sz w:val="16"/>
          <w:szCs w:val="16"/>
        </w:rPr>
        <w:softHyphen/>
        <w:t>жит передаче на государственные испы</w:t>
      </w:r>
      <w:r w:rsidRPr="007224C3">
        <w:rPr>
          <w:rFonts w:ascii="Times New Roman" w:hAnsi="Times New Roman"/>
          <w:color w:val="000000" w:themeColor="text1"/>
          <w:sz w:val="16"/>
          <w:szCs w:val="16"/>
        </w:rPr>
        <w:softHyphen/>
        <w:t>тания. Самолет обладает запасом устой</w:t>
      </w:r>
      <w:r w:rsidRPr="007224C3">
        <w:rPr>
          <w:rFonts w:ascii="Times New Roman" w:hAnsi="Times New Roman"/>
          <w:color w:val="000000" w:themeColor="text1"/>
          <w:sz w:val="16"/>
          <w:szCs w:val="16"/>
        </w:rPr>
        <w:softHyphen/>
        <w:t>чивости по всем трем осям», — отмечалось в заключении отчета по за</w:t>
      </w:r>
      <w:r w:rsidRPr="007224C3">
        <w:rPr>
          <w:rFonts w:ascii="Times New Roman" w:hAnsi="Times New Roman"/>
          <w:color w:val="000000" w:themeColor="text1"/>
          <w:sz w:val="16"/>
          <w:szCs w:val="16"/>
        </w:rPr>
        <w:softHyphen/>
        <w:t>водским испытаниям (10680).</w:t>
      </w:r>
    </w:p>
    <w:p w14:paraId="46FBA76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F52CDED" w14:textId="77777777" w:rsidR="00962976" w:rsidRPr="007224C3" w:rsidRDefault="00962976"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К 11 мая 1944 шеф -пилот ОКБ генерал-майор В. К. Коккинаки выполнил на новом штурмовике 22 полета (налет 11 ч) по программе заводских испытаний, которые шли с 20 апреля. В состав испытательной бригады входили: ведущий инженер по испытаниям В. Н. Бугайский, инженер-испытатель А. П. Винокуров, инженер по винтомоторной группе В. В. Семенов и бортмеханик И. Б. Кюсс.</w:t>
      </w:r>
    </w:p>
    <w:p w14:paraId="66B2C1F4" w14:textId="77777777" w:rsidR="00962976" w:rsidRPr="007224C3" w:rsidRDefault="00962976"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Максимальная скорость полета равнялась 555 км/ч на высоте 2800 м и 512 км/ч - у земли. Время подъема на высоту 1000 м - 1,6 мин, на высоту 3000 м - 4,9 мин. Дальность полета на высоте 2800 м при скорости 385 км/ч достигала 850 км. «Испытания самолет прошел удовлетворительно и подлежит передаче на государственные испытания», - отмечалось в заключении отчета по заводским испытаниям.</w:t>
      </w:r>
    </w:p>
    <w:p w14:paraId="72C7AB11" w14:textId="77777777" w:rsidR="00962976" w:rsidRPr="007224C3" w:rsidRDefault="00962976"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13 мая Ил-10 передали в НИИ ВВС для производства государственных испытаний. На самолете устанавливался винт типа АВ-5 л-24 диаметром 3,6 м с редукцией 0,6.</w:t>
      </w:r>
    </w:p>
    <w:p w14:paraId="70FAADEC" w14:textId="77777777" w:rsidR="00962976" w:rsidRPr="007224C3" w:rsidRDefault="00962976"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Самолет испытывался бригадой в составе: ведущего инженера 3-го отдела НИИ ВВС инженер-майора П. Т. Аброщенко, его помощника летчика-испытателя 3-го отдела инженер-капитана С. Г. Фролова, ведущего летчика-испытателя помощника начальника 4-го отделения 3-го отдела по летной части подполковника А. К. Долгова и штурмана капитана Т. Ф. Горбунова. Уже через две недели - 27 мая, бригада рапортовала об успешном завершении программы испытаний. Всего было выполнено 43 полета с суммарным налетом 22 ч 37 мин.</w:t>
      </w:r>
    </w:p>
    <w:p w14:paraId="5BEF3596" w14:textId="77777777" w:rsidR="00962976" w:rsidRPr="007224C3" w:rsidRDefault="00962976"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Отмечалось, что самолет построен по нормам прочности 1943 года и относится к классу Б ограниченно маневренных самолетов с разрушающей перегрузкой на случай А при полетном весе 6000 кг - 8,3.</w:t>
      </w:r>
    </w:p>
    <w:p w14:paraId="02E7A944" w14:textId="77777777" w:rsidR="00962976" w:rsidRPr="007224C3" w:rsidRDefault="00962976"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Вооружение самолета включает две 23-мм пушки ВЯ (300 патронов) и два пулемета ШКАС (1500 патронов) в крыле и пушку калибра 20 мм Ш-20 (150 патронов) на ограниченно подвижной установке ВУ -7 у воздушного стрелка. Прицел у летчика - ПБП-16 на съемном держателе, прицел у стрелка - К8-Т.</w:t>
      </w:r>
    </w:p>
    <w:p w14:paraId="0C554D27" w14:textId="77777777" w:rsidR="00962976" w:rsidRPr="007224C3" w:rsidRDefault="00962976"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Управление огнем из пушек ВЯ и пулеметов ШКАС электрическое от кнопки на ручке управления самолетом и двух тумблеров на щитке в кабине летчика. При стрельбе необходимо было предварительно включить тумблер пулеметов или пушек и затем вести стрельбу, нажимая кнопку на ручке управления. При одновременной стрельбе следовало включить оба тумблера.</w:t>
      </w:r>
    </w:p>
    <w:p w14:paraId="3F7D9488" w14:textId="77777777" w:rsidR="00962976" w:rsidRPr="007224C3" w:rsidRDefault="00962976"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Стрельбой из пушек управляли при помощи пневмоэлектроспуска ПЭС-1, а из пулеметов - электроспуска М-10. На пулеметах дополнительно за крючок спуска закреплялся трос с кольцом для ручного спуска пулемета.</w:t>
      </w:r>
    </w:p>
    <w:p w14:paraId="4FB7FB30" w14:textId="77777777" w:rsidR="00962976" w:rsidRPr="007224C3" w:rsidRDefault="00962976"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Перезарядка пулеметов и пушек электропневматическая. Электрокнопки перезарядки размещались на щитке в кабине летчика. Система перезарядки питалась воздухом от системы шасси и запуска мотора.</w:t>
      </w:r>
    </w:p>
    <w:p w14:paraId="602C5087" w14:textId="77777777" w:rsidR="00962976" w:rsidRPr="007224C3" w:rsidRDefault="00962976"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Подвижная установка ВУ-7 обеспечивала стрельбу в задней полусфере в секторах: вверх - 40° (от нейтрального положения, параллельного оси самолета), вниз - 15° (с поворотом пулемета к борту), вправо - 55°, влево - 50°. Углы замерялись при работе стрелка в зимнем обмундировании с парашютом.</w:t>
      </w:r>
    </w:p>
    <w:p w14:paraId="1F1A410F" w14:textId="77777777" w:rsidR="00962976" w:rsidRPr="007224C3" w:rsidRDefault="00962976"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Обращалось внимание, что «по заявлению Главного конструктора самолета» предусмотрена замена консолей с пушками ВЯ на консоли с пушками 11П калибра 37 мм.</w:t>
      </w:r>
    </w:p>
    <w:p w14:paraId="4D3E9325" w14:textId="77777777" w:rsidR="00962976" w:rsidRPr="007224C3" w:rsidRDefault="00962976"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Бомбардировочное вооружение самолета включало два наружных держателя ДЗ-42 и два бомбовых отсека в центроплане для внутренней загрузки. На наружные держатели допускалась подвеска бомб калибром от 50 до 250 кг. Во внутренние отсеки могли загружаться бомбы калибром от 1,5 до 100 кг. Нормальная бомбовая нагрузка составляла 400 кг, в перегрузку - 600 кг.</w:t>
      </w:r>
    </w:p>
    <w:p w14:paraId="749FE335" w14:textId="77777777" w:rsidR="00962976" w:rsidRPr="007224C3" w:rsidRDefault="00962976" w:rsidP="007224C3">
      <w:pPr>
        <w:spacing w:after="0" w:line="240" w:lineRule="auto"/>
        <w:jc w:val="both"/>
        <w:rPr>
          <w:rStyle w:val="77"/>
          <w:rFonts w:eastAsiaTheme="minorHAnsi"/>
          <w:color w:val="000000" w:themeColor="text1"/>
          <w:sz w:val="16"/>
          <w:szCs w:val="16"/>
        </w:rPr>
      </w:pPr>
      <w:r w:rsidRPr="007224C3">
        <w:rPr>
          <w:rStyle w:val="77"/>
          <w:rFonts w:eastAsiaTheme="minorHAnsi"/>
          <w:color w:val="000000" w:themeColor="text1"/>
          <w:sz w:val="16"/>
          <w:szCs w:val="16"/>
        </w:rPr>
        <w:t>На самолет можно было подвесить: снаружи - 2 ФАБ-100, или 2 ФАБ-250, или 2 УХАП-250, внутри - 2 ФАБ-100, или 2 ФАБ-50, или 120 зажигательных бомб ЗАБ-2,5, или 176 осколочных бомб калибра 2,5 кг, или 54 АО-10, или 12 АО-25, или 144 ПТАБ -2,5-1,5 (всего от 200 до 540 кг). Мелкие бомбы укладывались на створки отсеков, а «сотки» и «полтинники» подвешивались на замках Дер -21.</w:t>
      </w:r>
    </w:p>
    <w:p w14:paraId="34DC5041" w14:textId="77777777" w:rsidR="00962976" w:rsidRPr="007224C3" w:rsidRDefault="00962976"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Сбрасывание бомб осуществлялось от боевой кнопки, расположенной на ручке управления самолетом, электросбрасывателя ЭСБР-3П и временного механизма штурмовика ВМШ-10. Временной механизм позволял сбрасывать бомбы с горизонтального полета в том случае, когда цель закрывалась капотом мотора. После сбрасывания бомб из бомбоотсеков створки люков закрывались штурвалом при помощи троса. Аварийный сброс бомб мог выполнить воздушный стрелок.</w:t>
      </w:r>
    </w:p>
    <w:p w14:paraId="02FFABF4" w14:textId="77777777" w:rsidR="00962976" w:rsidRPr="007224C3" w:rsidRDefault="00962976"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Прицельная система для бомбометания с горизонтального полета и с пикирования ничем принципиально не отличалась от таковой на серийном самолете Ил-2. На капоте имелись визирные штыри и специальная разметка, а на бронестеклах фонаря кабины летчика наносились прицельные линии и метки. Соответственно, методы бомбометания были те же.</w:t>
      </w:r>
    </w:p>
    <w:p w14:paraId="2574570E" w14:textId="77777777" w:rsidR="00962976" w:rsidRPr="007224C3" w:rsidRDefault="00962976"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Для отражения атак истребителей противника со стороны задней нижней полусферы предполагались 10 авиационных гранат АГ-2 в дистанционно управляемой кассете ДАГ-10, установленной в фюзеляже за кабиной стрелка. Сброс гранат осуществлялся стрелком при помощи командного прибора.</w:t>
      </w:r>
    </w:p>
    <w:p w14:paraId="7B3C7C64" w14:textId="77777777" w:rsidR="00962976" w:rsidRPr="007224C3" w:rsidRDefault="00962976"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Все оружие самолета было проверено в воздухе, для чего выполнили 10 полетов. Стреляли из пушек и пулеметов при горизонтальном полете, на виражах (скорость 480 км/ч) и на пикировании. Бомбометание выполнялось по стандартным методам, принятым для самолета Ил-2. Во всех случаях угол пикирования не превышал 25-30°, высота ввода в пикирование - 500-600 м.</w:t>
      </w:r>
    </w:p>
    <w:p w14:paraId="5A7D0409" w14:textId="77777777" w:rsidR="00962976" w:rsidRPr="007224C3" w:rsidRDefault="00962976"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Крыло снабжалось взлетно-посадочными щитками типа Шренк и элеронами типа Фрайз. Питание мотора горючим осуществлялось из двух баков - верхнего емкостью 440 л и нижнего емкостью 290 л. Верхний бак располагался за мотором перед кабиной летчика в верхней части корпуса, а нижний - под полом кабины впереди заднего лонжерона центроплана. Баки имели протектор. Емкость двух маслобаков 94 л.</w:t>
      </w:r>
    </w:p>
    <w:p w14:paraId="0910A2EB" w14:textId="77777777" w:rsidR="00962976" w:rsidRPr="007224C3" w:rsidRDefault="00962976"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В ходе испытаний самолет облетали ведущий инженер -летчик 3-го отдела НИИ ВВС инженер-майор А. В. Синельников, летчик-испытатель 3-го отдела старший лейтенант Г. А. Тиняков, летчик-испытатель 4-го отдела майор М П. Субботин и летчик-испытатель майор А. А. Живописцев.</w:t>
      </w:r>
    </w:p>
    <w:p w14:paraId="5E46B616" w14:textId="77777777" w:rsidR="00962976" w:rsidRPr="007224C3" w:rsidRDefault="00962976"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Вес пустого самолета Ил-10, представленного на госиспытания, составлял 4680 кг. Нормальный полетный вес - 6335 кг. Центровка самолета - в пределах 24,6 % САХ. Полетный вес в перегрузку - 6575 кг.</w:t>
      </w:r>
    </w:p>
    <w:p w14:paraId="59C443FB" w14:textId="77777777" w:rsidR="00962976" w:rsidRPr="007224C3" w:rsidRDefault="00962976"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При нормальном полетном весе максимальная горизонтальная скорость полета достигала 551 км/ч на высоте 2800 м (почти на 150 км/ч больше максимальной скорости Ил-2 с АМ-38ф) и 507 км/ч - у земли. Время набора высоты 1000 м составило 1,6 мин, а высоты 3000 м - 5,0 мин. Вертикальная скорость у земли равнялась 9,8 м/с, на высоте 2400 м - 10,4 м/с. Разбег с отклоненными на 17° щитками и с форсажем мотора - 475 м. Взлетная дистанция - 1220 м.</w:t>
      </w:r>
    </w:p>
    <w:p w14:paraId="5970D3CA" w14:textId="77777777" w:rsidR="00962976" w:rsidRPr="007224C3" w:rsidRDefault="00962976"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Дистанция посадки при полетном весе 5380 кг не превышала 1040 м (щитки в посадочном положении - 45°). Посадочная скорость - 148 км/ч.</w:t>
      </w:r>
    </w:p>
    <w:p w14:paraId="5879E3E4" w14:textId="77777777" w:rsidR="00962976" w:rsidRPr="007224C3" w:rsidRDefault="00962976"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Дальность полета (720 л топлива) на высоте 500 м и скорости 325 км/ч достигала 800 км (2 ч 28 мин), на 1000 м и 330 км/ч - 790 км (2 ч 23 мин) и на 2000 м и 355 км/ч - 740 км (2 ч 5 мин).</w:t>
      </w:r>
    </w:p>
    <w:p w14:paraId="5728972A" w14:textId="77777777" w:rsidR="00962976" w:rsidRPr="007224C3" w:rsidRDefault="00962976"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На режиме максимальной скорости дальность полета на высоте 500 м и скорости 515 км/ч сокращалась до 495 км (57 мин), на 1000 м и 523 км/ч - до 490 км (56 мин), а на 2400 км и 544 км/ч - до 470 км (52 мин).</w:t>
      </w:r>
    </w:p>
    <w:p w14:paraId="4B3C1154" w14:textId="77777777" w:rsidR="00962976" w:rsidRPr="007224C3" w:rsidRDefault="00962976"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Скоростная дальность полета на скорости 0,9 максимальной равнялась 650 км (1 ч 23 мин) на высоте 500 м и 600 км (1 ч 14 мин) - на высоте 2000 м.</w:t>
      </w:r>
    </w:p>
    <w:p w14:paraId="5A71B302" w14:textId="77777777" w:rsidR="00962976" w:rsidRPr="007224C3" w:rsidRDefault="00962976"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 xml:space="preserve">Необходимо отметить, что установленный на Ил-10 экземпляр мотора АМ-42 (зав. № 4257) оказался вполне кондиционным, так как работал значительно устойчивее, чем моторы на Су-6. Такой опасный дефект, как возгорание топливной смеси во всасывающих патрубках, ни в одном из полетов не наблюдался. Однако и на нем в полетах отмечалось дымление на всех режимах работы мотора, «течь масла из фланцев крепления моторных агрегатов», а также «выброс масла через суфлер мотора при работе на номинальной мощности». Причем по мере выработки моторесурса мотора выброс масла прогрессировал: «За 30-40 мин полета выброс масла достигает 25-30 л. При остатке масла в маслобаках 30-35 л на номинальном режиме происходит пульсация давления масла в пределах от 0 до 7 кг/см </w:t>
      </w:r>
      <w:r w:rsidRPr="007224C3">
        <w:rPr>
          <w:rStyle w:val="77"/>
          <w:rFonts w:eastAsiaTheme="minorHAnsi"/>
          <w:color w:val="000000" w:themeColor="text1"/>
          <w:sz w:val="16"/>
          <w:szCs w:val="16"/>
          <w:vertAlign w:val="superscript"/>
        </w:rPr>
        <w:t>2</w:t>
      </w:r>
      <w:r w:rsidRPr="007224C3">
        <w:rPr>
          <w:rStyle w:val="77"/>
          <w:rFonts w:eastAsiaTheme="minorHAnsi"/>
          <w:color w:val="000000" w:themeColor="text1"/>
          <w:sz w:val="16"/>
          <w:szCs w:val="16"/>
        </w:rPr>
        <w:t xml:space="preserve"> При сбавлении газа пульсации прекращаются».</w:t>
      </w:r>
    </w:p>
    <w:p w14:paraId="56ED385B" w14:textId="77777777" w:rsidR="00962976" w:rsidRPr="007224C3" w:rsidRDefault="00962976"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Суммарная наработка мотора к концу испытаний составляла 48 ч 30 мин, в том числе 22 ч 37 мин в воздухе и 7 ч 37 мин на земле - при проведении государственных испытаний и 12 ч 06 мин в воздухе и 6 ч 10 мин на земле - при проведении заводских испытаний. Тогда как гарантированный ресурс мотора устанавливался в 50 ч режимной работы.</w:t>
      </w:r>
    </w:p>
    <w:p w14:paraId="6597D2B9" w14:textId="77777777" w:rsidR="00962976" w:rsidRPr="007224C3" w:rsidRDefault="00962976"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Новый штурмовик оставил у летчиков НИИ ВВС приятное впечатление по устойчивости, управляемости и летным качествам. Во всем диапазоне скоростей (от минимальной по сваливанию до максимальной) самолет был устойчив по всем трем осям и показал прекрасную маневренность как в горизонтальной плоскости, так и в вертикальной.</w:t>
      </w:r>
    </w:p>
    <w:p w14:paraId="0C7BF0FB" w14:textId="77777777" w:rsidR="00962976" w:rsidRPr="007224C3" w:rsidRDefault="00962976"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 xml:space="preserve">Удельные нагрузки на крыло и мощность мотора при нормальном полетном весе, равные 211,2 кг/м </w:t>
      </w:r>
      <w:r w:rsidRPr="007224C3">
        <w:rPr>
          <w:rStyle w:val="77"/>
          <w:rFonts w:eastAsiaTheme="minorHAnsi"/>
          <w:color w:val="000000" w:themeColor="text1"/>
          <w:sz w:val="16"/>
          <w:szCs w:val="16"/>
          <w:vertAlign w:val="superscript"/>
        </w:rPr>
        <w:t>2</w:t>
      </w:r>
      <w:r w:rsidRPr="007224C3">
        <w:rPr>
          <w:rStyle w:val="77"/>
          <w:rFonts w:eastAsiaTheme="minorHAnsi"/>
          <w:color w:val="000000" w:themeColor="text1"/>
          <w:sz w:val="16"/>
          <w:szCs w:val="16"/>
        </w:rPr>
        <w:t>и 3,17 кг/л. с. соответственно, полностью укладывались в рамки концепции маневренного скоростного штурмовика.</w:t>
      </w:r>
    </w:p>
    <w:p w14:paraId="09D884A2" w14:textId="77777777" w:rsidR="00962976" w:rsidRPr="007224C3" w:rsidRDefault="00962976"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 xml:space="preserve">Считалось, что по технике пилотирования самолет относительно простой и вполне доступен летчикам средней квалификации: «По технике пилотирования прост и не требует специального переучивания для перехода на него летчиков, летающих на серийных самолетах Ил-2./.../Устойчивость и управляемость хорошие. Путевая </w:t>
      </w:r>
      <w:r w:rsidRPr="007224C3">
        <w:rPr>
          <w:rStyle w:val="77"/>
          <w:rFonts w:eastAsiaTheme="minorHAnsi"/>
          <w:color w:val="000000" w:themeColor="text1"/>
          <w:sz w:val="16"/>
          <w:szCs w:val="16"/>
        </w:rPr>
        <w:lastRenderedPageBreak/>
        <w:t>устойчивость несколько велика. Нагрузки от рулей нормальные по величине и направлению. Нагрузки от рулей высоты несколько велики. На рулежке устойчивость самолета недостаточная».</w:t>
      </w:r>
    </w:p>
    <w:p w14:paraId="5264FE36" w14:textId="77777777" w:rsidR="00962976" w:rsidRPr="007224C3" w:rsidRDefault="00962976"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Были выявлены и существенные недостатки. В частности, несколько велика была путевая устойчивость самолета. Отсутствовали система нейтрального газа и дублированное управление рулем высоты. Неудовлетворительно работали тормоза колес. Не был предусмотрен аварийный сброс фонарей кабин летчика и стрелка. В случае капота самолета при вынужденной посадке летчик не мог выбраться из самолета. Система вентиляции кабин не обеспечивала гигиенических норм. Экипаж страдал от невыносимой жары - при +12 °</w:t>
      </w:r>
      <w:r w:rsidRPr="007224C3">
        <w:rPr>
          <w:rStyle w:val="77"/>
          <w:rFonts w:eastAsiaTheme="minorHAnsi"/>
          <w:color w:val="000000" w:themeColor="text1"/>
          <w:sz w:val="16"/>
          <w:szCs w:val="16"/>
          <w:lang w:val="en-US"/>
        </w:rPr>
        <w:t>C</w:t>
      </w:r>
      <w:r w:rsidRPr="007224C3">
        <w:rPr>
          <w:rStyle w:val="77"/>
          <w:rFonts w:eastAsiaTheme="minorHAnsi"/>
          <w:color w:val="000000" w:themeColor="text1"/>
          <w:sz w:val="16"/>
          <w:szCs w:val="16"/>
        </w:rPr>
        <w:t xml:space="preserve"> за бортом температура в кабинах достигала +41 °</w:t>
      </w:r>
      <w:r w:rsidRPr="007224C3">
        <w:rPr>
          <w:rStyle w:val="77"/>
          <w:rFonts w:eastAsiaTheme="minorHAnsi"/>
          <w:color w:val="000000" w:themeColor="text1"/>
          <w:sz w:val="16"/>
          <w:szCs w:val="16"/>
          <w:lang w:val="en-US"/>
        </w:rPr>
        <w:t>C</w:t>
      </w:r>
      <w:r w:rsidRPr="007224C3">
        <w:rPr>
          <w:rStyle w:val="77"/>
          <w:rFonts w:eastAsiaTheme="minorHAnsi"/>
          <w:color w:val="000000" w:themeColor="text1"/>
          <w:sz w:val="16"/>
          <w:szCs w:val="16"/>
        </w:rPr>
        <w:t xml:space="preserve"> и более.</w:t>
      </w:r>
    </w:p>
    <w:p w14:paraId="077942C6" w14:textId="77777777" w:rsidR="00962976" w:rsidRPr="007224C3" w:rsidRDefault="00962976"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Серьезные дефекты обнаружились в системе вооружения машины. Вести огонь из крыльевых пушек ВЯ и пулеметов ШКАС оказалось совершенно невозможным. В ходе наземных и летных испытаний ни разу не удалось полностью отстрелять боекомплект к ним.</w:t>
      </w:r>
    </w:p>
    <w:p w14:paraId="520361A6" w14:textId="77777777" w:rsidR="00962976" w:rsidRPr="007224C3" w:rsidRDefault="00962976"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Так, после открытия огня из пушек в большинстве случаев происходила произвольная стрельба, прекратить которую можно было толь ко перезарядкой. Виной этому были дефекты пневмоэлектроспусков. Кроме этого, звенья снарядной ленты, собиравшиеся при стрельбе в снарядные ящики, попадали в подвижные части пушек, что приводило к задержкам в стрельбе. В ходе испытаний пришлось установить звеньеотводы для вывода звеньев наружу, как на серийных самолетах Ил-2.</w:t>
      </w:r>
    </w:p>
    <w:p w14:paraId="66C5EE3A" w14:textId="77777777" w:rsidR="00962976" w:rsidRPr="007224C3" w:rsidRDefault="00962976"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При стрельбе из пулеметов ШКАС уже «после 350-400 выстрелов звенья накапливаются у звеньеотвода и заклинивают выход звеньев». Как следствие, стрельба прекращалась.</w:t>
      </w:r>
    </w:p>
    <w:p w14:paraId="52510781" w14:textId="77777777" w:rsidR="00962976" w:rsidRPr="007224C3" w:rsidRDefault="00962976"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Оборонительная установка ВУ-7 с пушкой Ш-20 оценивалась военными испытателями довольно высоко. По их мнению, установка имела хорошую маневренность и была легкой в управлении. Сама пушка Ш-20 работала «значительно легче, чем пулемет УБТ, а наличие разрывного снаряда калибра 20 мм и непрерывного питания увеличивает защиту самолета».</w:t>
      </w:r>
    </w:p>
    <w:p w14:paraId="0999B0F0" w14:textId="77777777" w:rsidR="00962976" w:rsidRPr="007224C3" w:rsidRDefault="00962976"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Однако установку требовалось дорабатывать до необходимого уровня надежности. Дело в том, что в ходе стрельб (выполнено 3690 выстрелов на земле и 1045 - в воздухе) было получено довольно много задержек при автоматической стрельбе: 10 % - при стрельбе в воздухе и 7 % - при стрельбе на земле, в том числе соответственно 4 и 3 % - по вине пушки, остальные - по вине установки.</w:t>
      </w:r>
    </w:p>
    <w:p w14:paraId="6825AF31" w14:textId="77777777" w:rsidR="00962976" w:rsidRPr="007224C3" w:rsidRDefault="00962976"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Кроме этого, после 1810 выстрелов деформировалась дуга фонаря установки, произошло расцепление зубчатки механизма стабилизации с зубьями неподвижного полукольца, а в шарнирных и болтовых соединениях механизма стабилизации вектора собственной скорости образовались люфты. После 4365 выстрелов разорвался рукав питания пушки, увеличилась деформация дуги фонаря установки. Отстрел еще 150 патронов привел к разрушению (срез болтов) крепления переднего кронштейна механизма стабилизации. Суммарный настрел пушки Ш-20 на установке ВУ-7 (включая заводскую отладку) составил 5115 выстрелов.</w:t>
      </w:r>
    </w:p>
    <w:p w14:paraId="08BEDA00" w14:textId="77777777" w:rsidR="00962976" w:rsidRPr="007224C3" w:rsidRDefault="00962976"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Указывалось, что ВУ-7 после устранения отмеченных недостатков «будет лучше ранее предъявленных установок ВУБ-3, ВУ-8 и УБШ и значительно лучше блистерной БЛУБ (Су-6)». Однако пушка Ш-20 - опытная, поэтому для внедрения ВУ-7 в серию на самолете Ил-10 необходимо решение о постановке Ш-20 на вооружение ВВС КА.</w:t>
      </w:r>
    </w:p>
    <w:p w14:paraId="1CBDD465" w14:textId="77777777" w:rsidR="00962976" w:rsidRPr="007224C3" w:rsidRDefault="00962976"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Если недостатки стрелково-пушечного вооружения легко устранялись при переходе к конструктивным решениям, принятым для серийного самолета Ил-2, то с бомбардировочным вооружением Ил-10 дела обстояли гораздо хуже.</w:t>
      </w:r>
    </w:p>
    <w:p w14:paraId="3989E87B" w14:textId="77777777" w:rsidR="00962976" w:rsidRPr="007224C3" w:rsidRDefault="00962976"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Загрузка бомбоотсеков опытной «десятки» бомбами наиболее «ходовых» калибров (ПТАБ-2,5-1,5, АЖ-2, АО-15, АО-25, ФАБ-50, ФАБ-100) была на 100-300 кг меньше, чем серийной «двойки». На самолете просто не хватало места для размещения большого количества мелких бомб, хотя заявленная грузоподъемность самолета достигала 600 кг бомб (в перегрузку). К тому же подвеска под крылом на внешние держатели бомб калибра 100-250 кг на тросовых поясах была крайне неудобной и сложной в эксплуатации.</w:t>
      </w:r>
    </w:p>
    <w:p w14:paraId="7AA87C97" w14:textId="77777777" w:rsidR="00962976" w:rsidRPr="007224C3" w:rsidRDefault="00962976"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По этой причине начальник 4-го отдела института генерал-майор М. В. Шишкин и его заместитель полковник Н. И. Шауров, давая тактическую оценку новому штурмовику, отметили, что «наличие Ил-10 не исключает необходимость иметь на вооружении ВВС самолет Ил-8/./, хотя и уступающего по летным данным».</w:t>
      </w:r>
    </w:p>
    <w:p w14:paraId="2CC098C1" w14:textId="77777777" w:rsidR="00962976" w:rsidRPr="007224C3" w:rsidRDefault="00962976" w:rsidP="007224C3">
      <w:pPr>
        <w:spacing w:after="0" w:line="240" w:lineRule="auto"/>
        <w:jc w:val="both"/>
        <w:rPr>
          <w:rStyle w:val="77"/>
          <w:rFonts w:eastAsiaTheme="minorHAnsi"/>
          <w:color w:val="000000" w:themeColor="text1"/>
          <w:sz w:val="16"/>
          <w:szCs w:val="16"/>
        </w:rPr>
      </w:pPr>
      <w:r w:rsidRPr="007224C3">
        <w:rPr>
          <w:rStyle w:val="77"/>
          <w:rFonts w:eastAsiaTheme="minorHAnsi"/>
          <w:color w:val="000000" w:themeColor="text1"/>
          <w:sz w:val="16"/>
          <w:szCs w:val="16"/>
        </w:rPr>
        <w:t>В выводах акта по результатам испытаний указывалось, что «Ил-10 по сравнению с Ил-2, несмотря на ухудшение взлетно-посадочных свойств, имеет явное преимущество, в частности, максимальная скорость больше: у земли на 123 км/ч, на границе высотности на 147 км/ч./. ../Время набора высоты 3000 м меньше на 3 мин./.. ./Дальность горизонтального полета на высоте 500 м возросла на 120 км./.. ./Высокая скорость полета, хорошая устойчивость и управляемость при аналогичном с самолетом Ил-2 оружии активного нападения позволяют самолету Ил-10 более эффективно осуществлять штурмовые действия, а повышенная обороноспособность и лучшее бронирование способствуют большему эффекту при ведении воздушного боя с истребителями противника./. ../Самолет Ил-10 является классическим образцом самолета-штурмовика.»</w:t>
      </w:r>
    </w:p>
    <w:p w14:paraId="73B0ED2A" w14:textId="77777777" w:rsidR="00962976" w:rsidRPr="007224C3" w:rsidRDefault="00962976"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При внедрении в серию требовалось обеспечить аварийный сброс фонаря кабины летчика, установить триммер руля поворота, изменить бронирование Ил-10, выполнив его по образцу Ил-8.</w:t>
      </w:r>
    </w:p>
    <w:p w14:paraId="65876848" w14:textId="77777777" w:rsidR="00962976" w:rsidRPr="007224C3" w:rsidRDefault="00962976"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В заключении акта самолет Ил-10 рекомендовался в серийное производство при условии устранения выявленных дефектов и недостатков. Вопрос об оборонительном пушечном вооружении предлагалось решить «после испытаний легких пушек калибра 20 мм».</w:t>
      </w:r>
    </w:p>
    <w:p w14:paraId="16B86E19" w14:textId="77777777" w:rsidR="00962976" w:rsidRPr="007224C3" w:rsidRDefault="00962976" w:rsidP="007224C3">
      <w:pPr>
        <w:spacing w:after="0" w:line="240" w:lineRule="auto"/>
        <w:jc w:val="both"/>
        <w:rPr>
          <w:rStyle w:val="77"/>
          <w:rFonts w:eastAsiaTheme="minorHAnsi"/>
          <w:color w:val="000000" w:themeColor="text1"/>
          <w:sz w:val="16"/>
          <w:szCs w:val="16"/>
        </w:rPr>
      </w:pPr>
      <w:r w:rsidRPr="007224C3">
        <w:rPr>
          <w:rStyle w:val="77"/>
          <w:rFonts w:eastAsiaTheme="minorHAnsi"/>
          <w:color w:val="000000" w:themeColor="text1"/>
          <w:sz w:val="16"/>
          <w:szCs w:val="16"/>
        </w:rPr>
        <w:t>Одновременно считалось необходимым: «4. Просить Наркома авиапромышленности т. Шахурина дать задание: а) Главному конструктору т. Ильюшину - до запуска самолета в серию устранить дефекты и выполнить рекомендации. б) Главному конструктору по авиаколесам - модернизировать серийные тормозные колеса 800^260 мм под перегрузочный полетный вес 6550 кг в сроки, обеспечивающие серийный выпуск Ил-10. в) ЦАГИ - один самолет головной серии статически и динамически испытать. г) ЦИАМ - разработать механизм объединенного управления винта и газа для мотора АМ-42. 5. Просить Наркома НКВ - дать задание тов. Китенко - конструктору электроспусков, срочно устранить дефекты электроспусков» (17490).</w:t>
      </w:r>
    </w:p>
    <w:p w14:paraId="3C6463B0" w14:textId="77777777" w:rsidR="00962976" w:rsidRPr="007224C3" w:rsidRDefault="00962976" w:rsidP="007224C3">
      <w:pPr>
        <w:spacing w:after="0" w:line="240" w:lineRule="auto"/>
        <w:jc w:val="both"/>
        <w:rPr>
          <w:rFonts w:ascii="Times New Roman" w:hAnsi="Times New Roman"/>
          <w:color w:val="000000" w:themeColor="text1"/>
          <w:sz w:val="16"/>
          <w:szCs w:val="16"/>
        </w:rPr>
      </w:pPr>
    </w:p>
    <w:p w14:paraId="7251300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мая 1944 ст. л-т Я.А.Гриднев на Ла-5 № 39211958 сел с деформированным левым лонжероном и оборванной обшивкой. Обшивка правого лонжерона также была частично повреждена. В рез-те деформации с-т не выходил из пикирования и удалось сделать это толлько на высоте 1300 м при скорости 760 км/час. Сел на свой аэродром (755,39).</w:t>
      </w:r>
    </w:p>
    <w:p w14:paraId="2FAC554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4FA138" w14:textId="77777777" w:rsidR="00962976" w:rsidRPr="007224C3" w:rsidRDefault="00962976" w:rsidP="007224C3">
      <w:pPr>
        <w:pStyle w:val="Bodytext1"/>
        <w:shd w:val="clear" w:color="auto" w:fill="auto"/>
        <w:spacing w:line="240" w:lineRule="auto"/>
        <w:ind w:firstLine="0"/>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До 11 мая 1944 г. на закончившемся первом этапе испытаений Як-7Б №0803 - самолет-лаборатория, оборудованный ПВРД Меркулова, самолет-лаборатория был опро</w:t>
      </w:r>
      <w:r w:rsidRPr="007224C3">
        <w:rPr>
          <w:rFonts w:ascii="Times New Roman" w:hAnsi="Times New Roman" w:cs="Times New Roman"/>
          <w:color w:val="000000" w:themeColor="text1"/>
          <w:sz w:val="16"/>
          <w:szCs w:val="16"/>
        </w:rPr>
        <w:softHyphen/>
        <w:t>бован в воздухе без ПВРД и были сняты его летные данные на режимах, на кото</w:t>
      </w:r>
      <w:r w:rsidRPr="007224C3">
        <w:rPr>
          <w:rFonts w:ascii="Times New Roman" w:hAnsi="Times New Roman" w:cs="Times New Roman"/>
          <w:color w:val="000000" w:themeColor="text1"/>
          <w:sz w:val="16"/>
          <w:szCs w:val="16"/>
        </w:rPr>
        <w:softHyphen/>
        <w:t>рых предполагалось их включать. В конце дня И мая «дополнительные моторы» поставили, и на следующий день Анохин совершил первый полет II этапа с ними, а 15 мая впервые включил ДМ-4с.</w:t>
      </w:r>
    </w:p>
    <w:p w14:paraId="66E88575" w14:textId="77777777" w:rsidR="00962976" w:rsidRPr="007224C3" w:rsidRDefault="00962976" w:rsidP="007224C3">
      <w:pPr>
        <w:pStyle w:val="Bodytext1"/>
        <w:shd w:val="clear" w:color="auto" w:fill="auto"/>
        <w:spacing w:line="240" w:lineRule="auto"/>
        <w:ind w:firstLine="0"/>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Летные испытания самолета заверши</w:t>
      </w:r>
      <w:r w:rsidRPr="007224C3">
        <w:rPr>
          <w:rFonts w:ascii="Times New Roman" w:hAnsi="Times New Roman" w:cs="Times New Roman"/>
          <w:color w:val="000000" w:themeColor="text1"/>
          <w:sz w:val="16"/>
          <w:szCs w:val="16"/>
        </w:rPr>
        <w:softHyphen/>
        <w:t>лись 12 декабря 1944 г. как было указано в отчете «с положительными результа</w:t>
      </w:r>
      <w:r w:rsidRPr="007224C3">
        <w:rPr>
          <w:rFonts w:ascii="Times New Roman" w:hAnsi="Times New Roman" w:cs="Times New Roman"/>
          <w:color w:val="000000" w:themeColor="text1"/>
          <w:sz w:val="16"/>
          <w:szCs w:val="16"/>
        </w:rPr>
        <w:softHyphen/>
        <w:t>тами», хотя на первый взгляд таковыми их назвать было трудно. Неработающие ПВРД дали снижение скорости на высоте 2340 м на 34 км/ч (с 494 до 460 км/ч), а прирост от их включения по сравнению с самоле</w:t>
      </w:r>
      <w:r w:rsidRPr="007224C3">
        <w:rPr>
          <w:rFonts w:ascii="Times New Roman" w:hAnsi="Times New Roman" w:cs="Times New Roman"/>
          <w:color w:val="000000" w:themeColor="text1"/>
          <w:sz w:val="16"/>
          <w:szCs w:val="16"/>
        </w:rPr>
        <w:softHyphen/>
        <w:t>том без ПВРД был лишь 19 км/ч - с 494 до 513 км/ч. Максимальные скорости этого самолета с неработающими ПВРД оказа</w:t>
      </w:r>
      <w:r w:rsidRPr="007224C3">
        <w:rPr>
          <w:rFonts w:ascii="Times New Roman" w:hAnsi="Times New Roman" w:cs="Times New Roman"/>
          <w:color w:val="000000" w:themeColor="text1"/>
          <w:sz w:val="16"/>
          <w:szCs w:val="16"/>
        </w:rPr>
        <w:softHyphen/>
        <w:t>лись на 70-80 км/ч ниже, чем у серийного Як-7Б нормального качества изготовления, что объяснялось как недостатками этого конкретного экземпляра машины, так и большими размерами ПВРД - ДМ-4с имел диаметр 500 мм, что увеличивало мидель самолета более чем на 30%.</w:t>
      </w:r>
    </w:p>
    <w:p w14:paraId="0154C87A" w14:textId="77777777" w:rsidR="00962976" w:rsidRPr="007224C3" w:rsidRDefault="00962976" w:rsidP="007224C3">
      <w:pPr>
        <w:pStyle w:val="Bodytext1"/>
        <w:shd w:val="clear" w:color="auto" w:fill="auto"/>
        <w:spacing w:line="240" w:lineRule="auto"/>
        <w:ind w:firstLine="0"/>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Из-за нештатной работы бензонасоса БНК-10Ф расход топлива был 22 кг/мин вместо номинального значения 24 кг/мин, но суммарная тяга двигателей оказалась меньше явно непропорционально этой потере - он+а должна была быть 300 кгс, а получили лишь 158.</w:t>
      </w:r>
    </w:p>
    <w:p w14:paraId="2C9BAFA3" w14:textId="77777777" w:rsidR="00962976" w:rsidRPr="007224C3" w:rsidRDefault="00962976" w:rsidP="007224C3">
      <w:pPr>
        <w:pStyle w:val="Bodytext1"/>
        <w:shd w:val="clear" w:color="auto" w:fill="auto"/>
        <w:spacing w:line="240" w:lineRule="auto"/>
        <w:ind w:firstLine="0"/>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Это могло быть связано как с недостат</w:t>
      </w:r>
      <w:r w:rsidRPr="007224C3">
        <w:rPr>
          <w:rFonts w:ascii="Times New Roman" w:hAnsi="Times New Roman" w:cs="Times New Roman"/>
          <w:color w:val="000000" w:themeColor="text1"/>
          <w:sz w:val="16"/>
          <w:szCs w:val="16"/>
        </w:rPr>
        <w:softHyphen/>
        <w:t>ками самих двигателей, так и с тем, что их испытания велись на пониженных скоро</w:t>
      </w:r>
      <w:r w:rsidRPr="007224C3">
        <w:rPr>
          <w:rFonts w:ascii="Times New Roman" w:hAnsi="Times New Roman" w:cs="Times New Roman"/>
          <w:color w:val="000000" w:themeColor="text1"/>
          <w:sz w:val="16"/>
          <w:szCs w:val="16"/>
        </w:rPr>
        <w:softHyphen/>
        <w:t>стях и скоростных напорах. Но выводы все же были оптимистичны.</w:t>
      </w:r>
    </w:p>
    <w:p w14:paraId="6BADC659" w14:textId="77777777" w:rsidR="00962976" w:rsidRPr="007224C3" w:rsidRDefault="00962976" w:rsidP="007224C3">
      <w:pPr>
        <w:pStyle w:val="Bodytext1"/>
        <w:shd w:val="clear" w:color="auto" w:fill="auto"/>
        <w:spacing w:line="240" w:lineRule="auto"/>
        <w:ind w:firstLine="0"/>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Во-первых, в отчете появилась столь желанная для КБ Меркулова фраза, что ПВРД работоспособны и могут быть при</w:t>
      </w:r>
      <w:r w:rsidRPr="007224C3">
        <w:rPr>
          <w:rFonts w:ascii="Times New Roman" w:hAnsi="Times New Roman" w:cs="Times New Roman"/>
          <w:color w:val="000000" w:themeColor="text1"/>
          <w:sz w:val="16"/>
          <w:szCs w:val="16"/>
        </w:rPr>
        <w:softHyphen/>
        <w:t>менены на самолетах-истребителях в качестве ускорителя, что они просты в изготовлении и обслуживании, поставить их на истребитель можно даже в поле</w:t>
      </w:r>
      <w:r w:rsidRPr="007224C3">
        <w:rPr>
          <w:rFonts w:ascii="Times New Roman" w:hAnsi="Times New Roman" w:cs="Times New Roman"/>
          <w:color w:val="000000" w:themeColor="text1"/>
          <w:sz w:val="16"/>
          <w:szCs w:val="16"/>
        </w:rPr>
        <w:softHyphen/>
        <w:t>вых условиях. Во-вторых, была выражена надежда на больший прирост скорости и высотности - достаточный для перехвата любого самолета противника. Далее было отмечено, что хотя радиус действия са</w:t>
      </w:r>
      <w:r w:rsidRPr="007224C3">
        <w:rPr>
          <w:rFonts w:ascii="Times New Roman" w:hAnsi="Times New Roman" w:cs="Times New Roman"/>
          <w:color w:val="000000" w:themeColor="text1"/>
          <w:sz w:val="16"/>
          <w:szCs w:val="16"/>
        </w:rPr>
        <w:softHyphen/>
        <w:t>молета с ПВРД существенно сокращается из-за большого расхода топлива и увели</w:t>
      </w:r>
      <w:r w:rsidRPr="007224C3">
        <w:rPr>
          <w:rFonts w:ascii="Times New Roman" w:hAnsi="Times New Roman" w:cs="Times New Roman"/>
          <w:color w:val="000000" w:themeColor="text1"/>
          <w:sz w:val="16"/>
          <w:szCs w:val="16"/>
        </w:rPr>
        <w:softHyphen/>
        <w:t>чения аэродинамического сопротивления, но такие самолеты использовать для при</w:t>
      </w:r>
      <w:r w:rsidRPr="007224C3">
        <w:rPr>
          <w:rFonts w:ascii="Times New Roman" w:hAnsi="Times New Roman" w:cs="Times New Roman"/>
          <w:color w:val="000000" w:themeColor="text1"/>
          <w:sz w:val="16"/>
          <w:szCs w:val="16"/>
        </w:rPr>
        <w:softHyphen/>
        <w:t>крытия важных объектов целесообразно. Однако моделирование возможных такти</w:t>
      </w:r>
      <w:r w:rsidRPr="007224C3">
        <w:rPr>
          <w:rFonts w:ascii="Times New Roman" w:hAnsi="Times New Roman" w:cs="Times New Roman"/>
          <w:color w:val="000000" w:themeColor="text1"/>
          <w:sz w:val="16"/>
          <w:szCs w:val="16"/>
        </w:rPr>
        <w:softHyphen/>
        <w:t>ческих ситуаций было проведено не для задач ПВО, а исходя из действий авиа</w:t>
      </w:r>
      <w:r w:rsidRPr="007224C3">
        <w:rPr>
          <w:rFonts w:ascii="Times New Roman" w:hAnsi="Times New Roman" w:cs="Times New Roman"/>
          <w:color w:val="000000" w:themeColor="text1"/>
          <w:sz w:val="16"/>
          <w:szCs w:val="16"/>
        </w:rPr>
        <w:softHyphen/>
        <w:t>ции фронтовой. Было сказано, что с уве</w:t>
      </w:r>
      <w:r w:rsidRPr="007224C3">
        <w:rPr>
          <w:rFonts w:ascii="Times New Roman" w:hAnsi="Times New Roman" w:cs="Times New Roman"/>
          <w:color w:val="000000" w:themeColor="text1"/>
          <w:sz w:val="16"/>
          <w:szCs w:val="16"/>
        </w:rPr>
        <w:softHyphen/>
        <w:t>личением расхода топлива до 30 кг/мин добавка скорости составит до 130 км/ч и тогда для догона появившегося на пре</w:t>
      </w:r>
      <w:r w:rsidRPr="007224C3">
        <w:rPr>
          <w:rFonts w:ascii="Times New Roman" w:hAnsi="Times New Roman" w:cs="Times New Roman"/>
          <w:color w:val="000000" w:themeColor="text1"/>
          <w:sz w:val="16"/>
          <w:szCs w:val="16"/>
        </w:rPr>
        <w:softHyphen/>
        <w:t>деле видимости истребителя противника над будет не более 3 мин, а для выхода из зоны действия его эффективного огня на дистанцию свыше 500 м - до 15 с при технической возможности использования ПВРД в течение 5-6 мин.</w:t>
      </w:r>
    </w:p>
    <w:p w14:paraId="049F2A47" w14:textId="77777777" w:rsidR="00962976" w:rsidRPr="007224C3" w:rsidRDefault="00962976" w:rsidP="007224C3">
      <w:pPr>
        <w:pStyle w:val="Bodytext1"/>
        <w:shd w:val="clear" w:color="auto" w:fill="auto"/>
        <w:spacing w:line="240" w:lineRule="auto"/>
        <w:ind w:firstLine="0"/>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Меркулов выразил уверенность, что сможет не только довести тягу своих дви</w:t>
      </w:r>
      <w:r w:rsidRPr="007224C3">
        <w:rPr>
          <w:rFonts w:ascii="Times New Roman" w:hAnsi="Times New Roman" w:cs="Times New Roman"/>
          <w:color w:val="000000" w:themeColor="text1"/>
          <w:sz w:val="16"/>
          <w:szCs w:val="16"/>
        </w:rPr>
        <w:softHyphen/>
        <w:t>гателей до заданных 150 кгс, но и снизить их массу с 45 до 15-18 кг.</w:t>
      </w:r>
    </w:p>
    <w:p w14:paraId="69258AE1" w14:textId="77777777" w:rsidR="00962976" w:rsidRPr="007224C3" w:rsidRDefault="00962976" w:rsidP="007224C3">
      <w:pPr>
        <w:pStyle w:val="Bodytext1"/>
        <w:shd w:val="clear" w:color="auto" w:fill="auto"/>
        <w:spacing w:line="240" w:lineRule="auto"/>
        <w:ind w:firstLine="0"/>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Специалисты ЛИИ провели оценку возможных выгод от ПВРД, определив, что наилучшие результаты дает установка двух ДМ в хвосте - тогда скорость Як-7 на одном моторе М-105ПФ на границе вы</w:t>
      </w:r>
      <w:r w:rsidRPr="007224C3">
        <w:rPr>
          <w:rFonts w:ascii="Times New Roman" w:hAnsi="Times New Roman" w:cs="Times New Roman"/>
          <w:color w:val="000000" w:themeColor="text1"/>
          <w:sz w:val="16"/>
          <w:szCs w:val="16"/>
        </w:rPr>
        <w:softHyphen/>
        <w:t>сотности сохранится на уровне 600 км/ч, а после их включения возрастет до 800 км/ч.</w:t>
      </w:r>
    </w:p>
    <w:p w14:paraId="604DD691" w14:textId="77777777" w:rsidR="00962976" w:rsidRPr="007224C3" w:rsidRDefault="00962976" w:rsidP="007224C3">
      <w:pPr>
        <w:pStyle w:val="Bodytext1"/>
        <w:shd w:val="clear" w:color="auto" w:fill="auto"/>
        <w:spacing w:line="240" w:lineRule="auto"/>
        <w:ind w:firstLine="0"/>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Яковлев выполнил проект доработки Як-7 установкой двух ДМ-4с в полевых условиях, что он рассматривал как пер</w:t>
      </w:r>
      <w:r w:rsidRPr="007224C3">
        <w:rPr>
          <w:rFonts w:ascii="Times New Roman" w:hAnsi="Times New Roman" w:cs="Times New Roman"/>
          <w:color w:val="000000" w:themeColor="text1"/>
          <w:sz w:val="16"/>
          <w:szCs w:val="16"/>
        </w:rPr>
        <w:softHyphen/>
        <w:t>вый ответ на появление у противника большого числа реактивных истребите</w:t>
      </w:r>
      <w:r w:rsidRPr="007224C3">
        <w:rPr>
          <w:rFonts w:ascii="Times New Roman" w:hAnsi="Times New Roman" w:cs="Times New Roman"/>
          <w:color w:val="000000" w:themeColor="text1"/>
          <w:sz w:val="16"/>
          <w:szCs w:val="16"/>
        </w:rPr>
        <w:softHyphen/>
        <w:t>лей до появления своих таких самолетов в серийном производстве. Но разработку Як-7Р он прекратил (17742).</w:t>
      </w:r>
    </w:p>
    <w:p w14:paraId="252D6A0B" w14:textId="77777777" w:rsidR="00962976" w:rsidRPr="007224C3" w:rsidRDefault="00962976" w:rsidP="007224C3">
      <w:pPr>
        <w:spacing w:after="0" w:line="240" w:lineRule="auto"/>
        <w:jc w:val="both"/>
        <w:rPr>
          <w:rFonts w:ascii="Times New Roman" w:hAnsi="Times New Roman"/>
          <w:color w:val="000000" w:themeColor="text1"/>
          <w:sz w:val="16"/>
          <w:szCs w:val="16"/>
        </w:rPr>
      </w:pPr>
    </w:p>
    <w:p w14:paraId="3A81BB60" w14:textId="77777777" w:rsidR="00C62CBE" w:rsidRPr="007224C3" w:rsidRDefault="00C62CBE"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 xml:space="preserve">С 11 по 25 мая 1944 г. были проведены «воздушные бои» между Ла-7 и трофейным облегченным FW 190A-8 № 210251. На форсажных режимах превосходство Ла-7 в скорости у земли составляло 75 км/ч, на высоте 1 500 м — 84 км/ч, на 6 000 м — 37 км/ч. Он оставался быстрее «фоккера» на всех высотах, в наборе высоты его преимущество сохранялось до 4 270 м, но дальше оно переходило к противнику, хотя разница цифр здесь была невелика. У земли Ла-7 с показателем вертикальной скорости 22,7 м/с превосходил все серийные истребители СССР, союзников и стран «оси», а выигрыш перед FW 190A-8 достигал почти 6 м/с. Наибольший разрыв в пользу противника был выше 5 500 м и составлял незначительные 0,8 м/с. Невзирая на отмеченные испытателями проблемы с охлаждением мотора, серийный Ла-7 </w:t>
      </w:r>
      <w:r w:rsidRPr="007224C3">
        <w:rPr>
          <w:rFonts w:ascii="Times New Roman" w:hAnsi="Times New Roman"/>
          <w:color w:val="0070C0"/>
          <w:sz w:val="16"/>
          <w:szCs w:val="16"/>
        </w:rPr>
        <w:lastRenderedPageBreak/>
        <w:t>набирал 5 000 м за 4,6 мин, а облегченный FW 190A-8 — лишь за 5,4. Набор высоты за один боевой разворот у Ла-7 был 1 200 м, а FW 190A-8 набирал 1 100 и попадал под удар сверху самой удобной дистанции для стрельбы с ходу. Традиционно сильной стороной советского истребителя оставался вираж, который он выполнял 2–4 секунды быстрее «фоккера А-8». Специальные испытания трофейного FW 190A-8 № 68210 с бомбардировочным вооружением, прошедшие 1–12 мая 1945 г., дали аналогичный результат — Ла-7 и с бомбами был резвее. Параллельно испытали облегченный FW 190A-8 № 580967, который смог «убежать» на форсаже от Як-3 и Як-9У, но не оторвался отЛа-7. Новый «Лавочкин» оказался лучше и по скорости, и по горизонтальной и вертикальной маневренности. В 1945 г. проводились «бои» и с «длинноносым» FW 190D-9 с мотором Jumo 213E, и с английским «Спитфайром» Mk. 9, и с американской «Кингкоброй» Р-63, и с другими новыми зарубежными истребителями — трофейными и поставлявшимися союзниками. И все они показали преимущество Ла-7 в основных режимах воздушных боев, характерных для Восточного фронта (22769).</w:t>
      </w:r>
    </w:p>
    <w:p w14:paraId="1DFE36A8" w14:textId="77777777" w:rsidR="00C62CBE" w:rsidRPr="007224C3" w:rsidRDefault="00C62CBE" w:rsidP="007224C3">
      <w:pPr>
        <w:spacing w:after="0" w:line="240" w:lineRule="auto"/>
        <w:jc w:val="both"/>
        <w:rPr>
          <w:rFonts w:ascii="Times New Roman" w:hAnsi="Times New Roman"/>
          <w:color w:val="0070C0"/>
          <w:sz w:val="16"/>
          <w:szCs w:val="16"/>
        </w:rPr>
      </w:pPr>
    </w:p>
    <w:p w14:paraId="5A49FB0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мая 1944 вышел приказ НКАП N 317сс:</w:t>
      </w:r>
    </w:p>
    <w:p w14:paraId="632FAC2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"ГКО постановлением N ГОКО-5801сс от 4 мая 1944 принял к сведению заявление ВВС Новикова и Репина, что электропуски конструкции Китаенко успешно прошли гос. испытания на пулеметах ШКАС калибра 7.62 мм и, Березина 12.7 мм и на пушках ВЯ 23 мм и НС-37 и обязал:</w:t>
      </w:r>
    </w:p>
    <w:p w14:paraId="36ED57D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НКВ Д.Ф.Устинова и ГК Шпитального, Березина, Волкова, Ярцева, Нудельмана, Суранова внести необходимые изменения в выпускаемые серийно авиапулеметы и пушки для установки электропусков Китаенко.</w:t>
      </w:r>
    </w:p>
    <w:p w14:paraId="4A4FF25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ВВС Новикова провести в 3 кв. с.г. войсковые испытания самолетов, вооруженных авиапулеметами и пушками с электропусками Китаенко</w:t>
      </w:r>
    </w:p>
    <w:p w14:paraId="781059D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исполнение данного постановления:</w:t>
      </w:r>
    </w:p>
    <w:p w14:paraId="265307A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ГК А.С.Я., С.В.И., А.Н.Т. и В.М.М. разработать тех. документацию на установку оружия с электропусками Китаенко и передать к 25 мая с.г.:</w:t>
      </w:r>
    </w:p>
    <w:p w14:paraId="5A58C82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заводу 153 на установку пушки НС-37 на Як-9</w:t>
      </w:r>
    </w:p>
    <w:p w14:paraId="1B03C5D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заводу 30 на установку пулемета ШКАС 7.62 мм и пушек ВЯ на самолетах Ил-2</w:t>
      </w:r>
    </w:p>
    <w:p w14:paraId="7AC9364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заводу 22 на установку носовой и люковой установки под УБК на самолете Пе-2</w:t>
      </w:r>
    </w:p>
    <w:p w14:paraId="1434EB1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 заводу 23 на люковую установку под УБК на самолете Ту-2</w:t>
      </w:r>
    </w:p>
    <w:p w14:paraId="4D2C616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Нач. 10 ГУ - зам. наркома А.И.Кузнецову и директорам заводов 30, 22, и 23 до 15 июня с.г. сдать ВВС для проведения войсковых испытаний самолеты, вооруженные пулеметами и пушками с электропусками системы Китаенко:</w:t>
      </w:r>
    </w:p>
    <w:p w14:paraId="3AA2345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с завода 30 - 100 самолетов Ил-2, вооруженных крыльевыми ШКАС и пушками ВЯ</w:t>
      </w:r>
    </w:p>
    <w:p w14:paraId="7BBDD73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с завода 22 - 100 самолетов Пе-2 с носовой неподвижной установкой, вооруженной УБК</w:t>
      </w:r>
    </w:p>
    <w:p w14:paraId="3CF690B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 завода 23 10 самолетов Ту-2 с люковой установкой, вооруженной УБК</w:t>
      </w:r>
    </w:p>
    <w:p w14:paraId="5A1A31E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Нач. ПГУ, зам. наркома П.А.Воронину и директору завода 153 Лисицину до 15 июля с.г. сдать ВВС для проведения войсковых испытаний 60 самолетов Як-9, вооруженные пышками НС-37 мм с электропусками Китаенко (1583,71).</w:t>
      </w:r>
    </w:p>
    <w:p w14:paraId="39F9C6C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4AD7C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мая 1944 в ЦАГИ была проведена конференция для ознакомления работников КБ и заводов с новыми работами (323,102).</w:t>
      </w:r>
    </w:p>
    <w:p w14:paraId="58446B7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DCB33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мая 1944 вышло Постановление ГКО № 5864 О строительстве в 1944 году аэродромов и взлетно-посадочных полос для Военно-воздушных сил Красной Армии и Военно-Морского Флота. РГАНИР, Фонд ГКО, д. 253, лл. 27-34,35-70 (11012).</w:t>
      </w:r>
    </w:p>
    <w:p w14:paraId="54D3204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28A8748"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5774AB2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1D7A4E8" w14:textId="77777777" w:rsidR="00A83B1B" w:rsidRPr="007224C3" w:rsidRDefault="00A83B1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11 по 26 мая 1944 г. два изготовленных экспериментальных образца гранатомета МГ-44 Всесоюзного электротехнического института НКЭП прошли официальные испытания на полигоне НИПСМВО ГАУ КА. По заключению НИПСМВО ГАУ КА "технически конструкция основных механизмов гранатомета отработана настолько, что обеспечивает надежное, безотказное и безопасное метание гранат в заданном направлении, что является большим шагом вперед по сравнению с ранее испытывавшимися центробежными пулеметами" и "дальнейшие работы по изысканию более приемлемой с тактической точки зрения конструктивной формы отработанной схемы центробежного механизма целесообразны" (15597).</w:t>
      </w:r>
    </w:p>
    <w:p w14:paraId="38DE1DAA" w14:textId="77777777" w:rsidR="00A83B1B" w:rsidRPr="007224C3" w:rsidRDefault="00A83B1B" w:rsidP="007224C3">
      <w:pPr>
        <w:spacing w:after="0" w:line="240" w:lineRule="auto"/>
        <w:jc w:val="both"/>
        <w:rPr>
          <w:rFonts w:ascii="Times New Roman" w:hAnsi="Times New Roman"/>
          <w:color w:val="000000" w:themeColor="text1"/>
          <w:sz w:val="16"/>
          <w:szCs w:val="16"/>
        </w:rPr>
      </w:pPr>
    </w:p>
    <w:p w14:paraId="3C24E43D" w14:textId="77777777" w:rsidR="008B0844" w:rsidRPr="007224C3" w:rsidRDefault="008B084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мая 1944 года нарком танковой промышленности Малышев подверг С-34 резкой критике. По его словам, системы, предназначенные для установки в ИС-2 и СУ-100, оказались неприспособленными для установки ни в танк, ни в САУ. Разумеется, системы дорабатывались, но время шло, а С-34 всё никак не устанавливалась в САУ. Поскольку особого прогресса с исправлениями не наблюдалось, то и на УЗТМ не особо торопились. Представитель ЦАКБ гвардии капитан Боглевский, прибывший на завод 23 апреля, сообщил, что с января никакой деятельности на УТЗМ по данной теме не велось (18252).</w:t>
      </w:r>
    </w:p>
    <w:p w14:paraId="6E54DE0F" w14:textId="77777777" w:rsidR="008B0844" w:rsidRPr="007224C3" w:rsidRDefault="008B0844" w:rsidP="007224C3">
      <w:pPr>
        <w:spacing w:after="0" w:line="240" w:lineRule="auto"/>
        <w:jc w:val="both"/>
        <w:rPr>
          <w:rFonts w:ascii="Times New Roman" w:hAnsi="Times New Roman"/>
          <w:color w:val="000000" w:themeColor="text1"/>
          <w:sz w:val="16"/>
          <w:szCs w:val="16"/>
        </w:rPr>
      </w:pPr>
    </w:p>
    <w:p w14:paraId="48D7E6D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мая 1944 вышло Постановление ГКО № 5854 О мероприятиях по увеличению добычи нефти в 1944 году за счет освоения высокодебитных нефтяных месторождений. РГАНИР, Фонд ГКО, д. 252, лл. 5-19,20-24 (11012).</w:t>
      </w:r>
    </w:p>
    <w:p w14:paraId="1DC0075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AE6A61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мая 1944 вышло Постановление ГКО № 5855 О мероприятиях по восстановлению и ремонту бурового оборудования в нефтяной промышленности. РГАНИР, Фонд ГКО, д. 252, лл. 25-30,31-34 (11012).</w:t>
      </w:r>
    </w:p>
    <w:p w14:paraId="2D7F9D0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3B6C33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мая 1944 вышло Постановление ГКО № 5856 О восстановлении производства и организации ремонта компрессоров для нужд нефтедобывающей промышленности. РГАНИР, Фонд ГКО, д. 252, лл. 35-38 (11012).</w:t>
      </w:r>
    </w:p>
    <w:p w14:paraId="656C1A5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F3BD4D2"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мая 1944 вышло Постановление ГКО № 5857 О мероприятиях по усилению ремонта автомашин и тракторов на предприятиях нефтяной промышленности. (7231, 39-42,43-48).</w:t>
      </w:r>
    </w:p>
    <w:p w14:paraId="35606C3C"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F24FBA9"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мая 1944 вышло Постановление ГКО № 5858 Об обеспечении работы Норильского никелевого комбината и Красноярского аффинажного завода НКВД СССР в 1944 г. (7231, 49-60,61-136).</w:t>
      </w:r>
    </w:p>
    <w:p w14:paraId="58D74F45"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708F1D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мая 1944 вышло Постановление ГКО № 5860 О восстановлении производства органических красителей и полупродуктов. РГАНИР, Фонд ГКО, д. 252, лл. 145-152,153-169 (11012).</w:t>
      </w:r>
    </w:p>
    <w:p w14:paraId="0D32B4E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D52B5B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мая 1944 вышло Постановление ГКО № 5861 О неотложных мерах по восстановлению и строительству заводов по производству минеральных удобрений, фосфоритных рудников и комбината "Апатит" Наркомхимпрома. РГАНИР, Фонд ГКО, д. 252, лл. 170-185,186-203 (11012).</w:t>
      </w:r>
    </w:p>
    <w:p w14:paraId="191134D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42531E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мая 1944 вышло Постановление ГКО № 5862 О восстановлении и строительстве заводов Наркомхимпрома по производству ядохимикатов. РГАНИР, Фонд ГКО, д. 253, лл. 1-6,7-16 (11012).</w:t>
      </w:r>
    </w:p>
    <w:p w14:paraId="61F7AF2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6063A6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мая 1944 вышло Постановление ГКО № 5863 О добыче нефти и выработке нефтепродуктов Наркоматом нефтяной промышленности в мае 1944 года. РГАНИР, Фонд ГКО, д. 253, лл. 17-22,23-26 (11012).</w:t>
      </w:r>
    </w:p>
    <w:p w14:paraId="67FBBB8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F567E77"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мая 1944 вышло Распоряжение ГКО № 5865 [О восстановлении движения по Военно-Осетинской дороге.] (7232, 71).</w:t>
      </w:r>
    </w:p>
    <w:p w14:paraId="743E7332"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AD6287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мая 1944 вышло Постановление ГКО № 5866 О накоплении во II кв. 1944 г. на электростанциях НКЭС запасов угля. РГАНИР, Фонд ГКО, д. 253, лл. 72-73 (11012).</w:t>
      </w:r>
    </w:p>
    <w:p w14:paraId="24DA6AD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A409FC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мая 1944 вышло Распоряжение ГКО № 5867. О выделении 35 машин "Виллис" уполномоченным Госплана СССР по определению урожайности. РГАНИР, Фонд ГКО, д. 253, лл. 74 (11012).</w:t>
      </w:r>
    </w:p>
    <w:p w14:paraId="4C3D820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EB3563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мая 1944 вышло Постановление ГКО № 5868 О т.т. Аношине И.С. и Шабанове В.РГАНИР, Фонд ГКО, д. РГАНИР, Фонд ГКО, д. 253, лл. 75 (11012).</w:t>
      </w:r>
    </w:p>
    <w:p w14:paraId="70FF2A8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80EB5C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мая 1944 вышло Постановление ГКО № 5869 О т.т. Булганине Н.А., Телегине К.Ф., Стахурском М.М. РГАНИР, Фонд ГКО, д. 253, лл. 76 (11012).</w:t>
      </w:r>
    </w:p>
    <w:p w14:paraId="3760C3E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6482D44"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lastRenderedPageBreak/>
        <w:t>Армия:</w:t>
      </w:r>
    </w:p>
    <w:p w14:paraId="69FD53F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68AB812" w14:textId="77777777" w:rsidR="00A83B1B" w:rsidRPr="007224C3" w:rsidRDefault="00A83B1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мая в 1944 году оперативная сводка Совинформбюро:</w:t>
      </w:r>
    </w:p>
    <w:p w14:paraId="02C44AC2" w14:textId="77777777" w:rsidR="00A83B1B" w:rsidRPr="007224C3" w:rsidRDefault="00A83B1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11 мая на плацдарме правого берега реки Днестр, северо-западнее города Тирасполь, наши войска отбивали атаки крупных сил пехоты и танков противника и нанесли ему большие потери в живой силе и технике.</w:t>
      </w:r>
    </w:p>
    <w:p w14:paraId="3F749B24" w14:textId="77777777" w:rsidR="00A83B1B" w:rsidRPr="007224C3" w:rsidRDefault="00A83B1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без существенных изменений.</w:t>
      </w:r>
    </w:p>
    <w:p w14:paraId="7770836D" w14:textId="77777777" w:rsidR="00A83B1B" w:rsidRPr="007224C3" w:rsidRDefault="00A83B1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10 мая наши войска на всех фронтах подбили и уничтожили 74 немецких танка. В воздушных боях и огнём зенитной артиллерии сбито 45 самолётов противника.</w:t>
      </w:r>
    </w:p>
    <w:p w14:paraId="326EEB27" w14:textId="77777777" w:rsidR="00A83B1B" w:rsidRPr="007224C3" w:rsidRDefault="00A83B1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Юго-восточнее города Станислав группа наших сапёр, действуя в тылу противника, подорвала 6 немецких танков и 2 самоходных орудия. На другом участке разведчики под командованием тов. Парафина незаметно пробрались в расположение немцев. Огнём из автоматов и гранатами наши бойцы уничтожили 30 гитлеровцев и вернулись в свою часть, добыв ценные сведения об обороне противника.</w:t>
      </w:r>
    </w:p>
    <w:p w14:paraId="64400910" w14:textId="77777777" w:rsidR="00A83B1B" w:rsidRPr="007224C3" w:rsidRDefault="00A83B1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Северо-западнее города Тирасполь крупные силы противника после артиллерийской подготовки атаковали наши позиции на правом берегу Днестра. Немцы пытались одним ударом сломить сопротивление советских войск и отбросить их на левый берег реки. Завязались напряжённые бои. Немецкие танки и пехота волнами непрерывно следовали друг за другом. Советские артиллеристы и миномётчики метким огнём произвели опустошения в рядах гитлеровцев. Наши гвардейские части, отражая атаки противника, подбили и сожгли 60 немецких танков. В течение дня уничтожено до полка немецкой пехоты.</w:t>
      </w:r>
    </w:p>
    <w:p w14:paraId="07A8991C" w14:textId="77777777" w:rsidR="00A83B1B" w:rsidRPr="007224C3" w:rsidRDefault="00A83B1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Советские лётчики в воздушных боях сбили 8 самолётов противника. Кроме того, огнём зенитной артиллерии уничтожено 15 немецких самолётов.</w:t>
      </w:r>
    </w:p>
    <w:p w14:paraId="6A068908" w14:textId="77777777" w:rsidR="00A83B1B" w:rsidRPr="007224C3" w:rsidRDefault="00A83B1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Советский самолёт-торпедоносец у северного побережья Норвегии обнаружил и атаковал немецкий транспорт водоизмещением в 7 тысяч тонн. В результате прямого попадания торпеды на судне произошёл взрыв и возник пожар.</w:t>
      </w:r>
    </w:p>
    <w:p w14:paraId="17C3EB26" w14:textId="77777777" w:rsidR="00A83B1B" w:rsidRPr="007224C3" w:rsidRDefault="00A83B1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Авиация флота 9 мая совершила успешный налёт на порт противника. Прямыми попаданиями бомб потоплены находившиеся в порту транспорт водоизмещением в 4 тысячи тонн, мотобот и пять мелких судов. Взорван большой бензобак с горючим.</w:t>
      </w:r>
    </w:p>
    <w:p w14:paraId="5220D237" w14:textId="77777777" w:rsidR="00A83B1B" w:rsidRPr="007224C3" w:rsidRDefault="00A83B1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ночь на 10 мая наша авиация наносила удары по аэродромам противника. В результате бомбардировки уничтожено на земле не менее 8 немецких самолётов, взорваны ангар и мастерские.</w:t>
      </w:r>
    </w:p>
    <w:p w14:paraId="502D77C6" w14:textId="77777777" w:rsidR="00A83B1B" w:rsidRPr="007224C3" w:rsidRDefault="00A83B1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Партизанский отряд, действующий в южных районах Молдавской ССР, в одном населённом пункте ночью разгромил штаб немецкой части. Убито 22 немецких офицера. Другой отряд партизан в течение четырёх часов вёл бой с батальоном пехоты противника. Несмотря на численное превосходство, немцы отступили, оставив на поле боя много убитых и раненых своих солдат и офицеров.</w:t>
      </w:r>
    </w:p>
    <w:p w14:paraId="7B58C111" w14:textId="77777777" w:rsidR="00A83B1B" w:rsidRPr="007224C3" w:rsidRDefault="00A83B1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Пленный командир 2 батальона 117 полка 111 немецкой пехотной дивизии капитан Вольф Дитрих Линденау рассказал: «После того как русские ликвидировали никопольский плацдарм, 111 пехотная дивизия, потерявшая всю боевую технику, обозы и более 4 тысяч солдат, была отведена в район Одессы. Вскоре дивизию на самолётах перебросили в Крым, в район Джанкоя, где она получила пополнение. В пути офицеры говорили, что наша «прогулка» в Крым окажется роковой. К нашему удивлению, высшие офицеры штаба 17 немецкой армии, находившейся долгое время в Крыму, не видели никаких оснований для тревоги. Командующий армией генерал инженерных войск Иенеке считал крымские укрепления неприступными. Более того, немецкое командование само помышляло о наступлении. Многие офицеры считали оборону в районе Перекопа и Сиваша неприступной. Однако русские войска её взломали и смяли в несколько дней. Прорыв этой линии вызвал полное замешательство. Всеми звеньями армии, начиная от мелкого подразделения и кончая штабом, овладела паника. Русские, преследуя нас, не давали ни минуты передышки. Около одной деревни они отрезали все пути отступления, и остатки батальона сложили оружие».</w:t>
      </w:r>
    </w:p>
    <w:p w14:paraId="16F396B9" w14:textId="77777777" w:rsidR="00A83B1B" w:rsidRPr="007224C3" w:rsidRDefault="00A83B1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Жители села Метлинец, Винницкой области, составили акт о зверствах немецко-фашистских мерзавцев. В акте говорится: «Свыше двух лет немецкие оккупанты хозяйничали в нашем селе. Они глумились над мирным населением, грабили и убивали ни в чём не повинных людей. Немецкий участковый комендант Штруц собственноручно истязал стариков, женщин и детей. Немецко-фашистские захватчики угнали на каторжные работы в Германию 270 наших односельчан. В январе этого года немцы сожгли село. Огнём уничтожены 470 жилых домов и все хозяйственные постройки. Перед поджогом гитлеровцы разграбили всё наше личное имущество.</w:t>
      </w:r>
    </w:p>
    <w:p w14:paraId="19EA0044" w14:textId="77777777" w:rsidR="00A83B1B" w:rsidRPr="007224C3" w:rsidRDefault="00A83B1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Мы сердечно благодарим родную Красную Армию, освободившую нас от немецкого ига, от проклятых фашистских душегубов».</w:t>
      </w:r>
    </w:p>
    <w:p w14:paraId="4118E800" w14:textId="77777777" w:rsidR="00A83B1B" w:rsidRPr="007224C3" w:rsidRDefault="00A83B1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Акт подписали жители села Метлинец: Б.Майский, К.Семенчук, Р.Гончарук, Т.Докийчук, В.Семенчук.» (14888).</w:t>
      </w:r>
    </w:p>
    <w:p w14:paraId="738923C9" w14:textId="77777777" w:rsidR="00A83B1B" w:rsidRPr="007224C3" w:rsidRDefault="00A83B1B" w:rsidP="007224C3">
      <w:pPr>
        <w:spacing w:after="0" w:line="240" w:lineRule="auto"/>
        <w:jc w:val="both"/>
        <w:rPr>
          <w:rFonts w:ascii="Times New Roman" w:hAnsi="Times New Roman"/>
          <w:color w:val="000000" w:themeColor="text1"/>
          <w:sz w:val="16"/>
          <w:szCs w:val="16"/>
        </w:rPr>
      </w:pPr>
    </w:p>
    <w:p w14:paraId="6F2EC36A" w14:textId="77777777" w:rsidR="008B0844" w:rsidRPr="007224C3" w:rsidRDefault="008B0844" w:rsidP="007224C3">
      <w:pPr>
        <w:pStyle w:val="ae"/>
        <w:spacing w:before="0" w:after="0"/>
        <w:jc w:val="both"/>
        <w:textAlignment w:val="baseline"/>
        <w:rPr>
          <w:color w:val="000000" w:themeColor="text1"/>
          <w:sz w:val="16"/>
          <w:szCs w:val="16"/>
        </w:rPr>
      </w:pPr>
      <w:r w:rsidRPr="007224C3">
        <w:rPr>
          <w:color w:val="000000" w:themeColor="text1"/>
          <w:sz w:val="16"/>
          <w:szCs w:val="16"/>
        </w:rPr>
        <w:t>11 мая 1944 экипаж разведчика Пе-3 обнаружил в 00.35 в районе поселка Омганг немецкий конвой из семи транспортов и 21 корабля охранения, следовавший восточным курсом. Первыми его атаковали торпедоносцы Ил-4, потом — истребители Р-40, затем — «Бостоны», и только в 4.02 над конвоем появились шесть Ил-2 из 46-го шап. И уже в который раз все атаки имели нулевой результат.</w:t>
      </w:r>
    </w:p>
    <w:p w14:paraId="700B9AD6" w14:textId="77777777" w:rsidR="008B0844" w:rsidRPr="007224C3" w:rsidRDefault="008B0844" w:rsidP="007224C3">
      <w:pPr>
        <w:pStyle w:val="ae"/>
        <w:spacing w:before="0" w:after="0"/>
        <w:jc w:val="both"/>
        <w:textAlignment w:val="baseline"/>
        <w:rPr>
          <w:color w:val="000000" w:themeColor="text1"/>
          <w:sz w:val="16"/>
          <w:szCs w:val="16"/>
        </w:rPr>
      </w:pPr>
      <w:r w:rsidRPr="007224C3">
        <w:rPr>
          <w:color w:val="000000" w:themeColor="text1"/>
          <w:sz w:val="16"/>
          <w:szCs w:val="16"/>
        </w:rPr>
        <w:t>С 8.32 по 8.40 по конвою, находившемуся около мыса Кибергнес, нанесли последовательные удары три группы «горбатых», состоявшие соответственно из пяти, шести и шести самолетов. Последняя атака «черных смертей» на корабли была зафиксирована в 9.37. Но и после этого конвой еще дважды бомбили «Киттихауки».</w:t>
      </w:r>
    </w:p>
    <w:p w14:paraId="08400226" w14:textId="77777777" w:rsidR="008B0844" w:rsidRPr="007224C3" w:rsidRDefault="008B0844" w:rsidP="007224C3">
      <w:pPr>
        <w:pStyle w:val="ae"/>
        <w:spacing w:before="0" w:after="0"/>
        <w:jc w:val="both"/>
        <w:textAlignment w:val="baseline"/>
        <w:rPr>
          <w:color w:val="000000" w:themeColor="text1"/>
          <w:sz w:val="16"/>
          <w:szCs w:val="16"/>
        </w:rPr>
      </w:pPr>
      <w:r w:rsidRPr="007224C3">
        <w:rPr>
          <w:color w:val="000000" w:themeColor="text1"/>
          <w:sz w:val="16"/>
          <w:szCs w:val="16"/>
        </w:rPr>
        <w:t>Всего же в течение 11 мая ВВС Северного флота произвели против него 207 самолето-вылетов, но их результат оказался очень скромным. Затонул лишь один мобилизованный норвежский рыболовный траулер V-6113 тоннажем 514 брт. Кому именно принадлежит сей скромный трофей, пилотам Ил-2, Р-40 или «Бостонам», неизвестно (19522).</w:t>
      </w:r>
    </w:p>
    <w:p w14:paraId="1A9F2FC4" w14:textId="77777777" w:rsidR="008B0844" w:rsidRPr="007224C3" w:rsidRDefault="008B0844" w:rsidP="007224C3">
      <w:pPr>
        <w:pStyle w:val="ae"/>
        <w:spacing w:before="0" w:after="0"/>
        <w:jc w:val="both"/>
        <w:textAlignment w:val="baseline"/>
        <w:rPr>
          <w:color w:val="000000" w:themeColor="text1"/>
          <w:sz w:val="16"/>
          <w:szCs w:val="16"/>
        </w:rPr>
      </w:pPr>
    </w:p>
    <w:p w14:paraId="67F8426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мая 1944 немцы оставили Севастополь (3907,249).</w:t>
      </w:r>
    </w:p>
    <w:p w14:paraId="3A17445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A6049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мая 1944 6 Ил-4Т 5-й мтап потопили танкер водоизмещением 6000 т и повредили сторожевик у северного побережья Норвегии (2467,5).</w:t>
      </w:r>
    </w:p>
    <w:p w14:paraId="610BE5A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764A15"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Жизнь и внутренняя политика:</w:t>
      </w:r>
    </w:p>
    <w:p w14:paraId="7504B84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11D9165"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мая 1944 вышло Постановление ГКО № 5859 [О переселении крымских татар на постоянное жительство в качестве спецпереселенцев в Узбекской ССР.] (7231, 137-142,143-144).</w:t>
      </w:r>
    </w:p>
    <w:p w14:paraId="765FAC3A"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F5F136C"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мая 1944 Государственный Комитет Обороны постановил переселить крымских татар на Восток СССР (4962).</w:t>
      </w:r>
    </w:p>
    <w:p w14:paraId="0D78F4DF"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456D24B"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41CE8BC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6FE4515" w14:textId="77777777" w:rsidR="00C62CBE" w:rsidRPr="007224C3" w:rsidRDefault="00C62CBE"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11 мая 1944 вертолет Focke-Achgelis Fa 223, пилотируемый летчиком-испытателем Карлом Боде и пилотом Люфтваффе Гельмутом Герстенхауэром, начинает операции по восстановлению Dornier Do 217, разбившегося на болоте Венер в Нижней Саксонии, между Оснабрюком и Ольденбургом, Германия, и друго самолета. Fa. 223 был отправлен за Do 217, который разбился поблизости, прежде чем он смог начать операции по восстановлению. Боде и Герстенхауэр используют грузовую сеть для извлечения всех основных компонентов обоих сбитых самолетов, что дает Люфтваффе ценный опыт в возможности использования вертолетов для перевозки в горных районах (20373).</w:t>
      </w:r>
    </w:p>
    <w:p w14:paraId="03AD0934" w14:textId="77777777" w:rsidR="00C62CBE" w:rsidRPr="007224C3" w:rsidRDefault="00C62CBE" w:rsidP="007224C3">
      <w:pPr>
        <w:spacing w:after="0" w:line="240" w:lineRule="auto"/>
        <w:jc w:val="both"/>
        <w:rPr>
          <w:rFonts w:ascii="Times New Roman" w:hAnsi="Times New Roman"/>
          <w:color w:val="0070C0"/>
          <w:sz w:val="16"/>
          <w:szCs w:val="16"/>
        </w:rPr>
      </w:pPr>
    </w:p>
    <w:p w14:paraId="2046C9D0" w14:textId="77777777" w:rsidR="00C62CBE" w:rsidRPr="007224C3" w:rsidRDefault="00C62CBE"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11–12 мая (ночь) 1944 693 британских бомбардировщика нанесли удар по немецкому военному лагерю в Бур-Леопольд, Бельгия; железнодорожным станциям в Хасселте, Бельгия, и Булони, Лувен, и Трувиле, Франция; и артиллерийской позиции в Коллин-Бомон, Франция. Рейды на Бур-Леопольд и Хасселт терпят неудачу из-за тумана над целью, большая часть бомб Булони попадает в жилые дома и убивает 128 французских мирных жителей, а удар по Коллин Бомон дает неясные результаты, но атака на Трувиль успешна, а атака на Лувен – частично успешна (20373).</w:t>
      </w:r>
    </w:p>
    <w:p w14:paraId="56B8F3B2" w14:textId="77777777" w:rsidR="00C62CBE" w:rsidRPr="007224C3" w:rsidRDefault="00C62CBE" w:rsidP="007224C3">
      <w:pPr>
        <w:spacing w:after="0" w:line="240" w:lineRule="auto"/>
        <w:jc w:val="both"/>
        <w:rPr>
          <w:rFonts w:ascii="Times New Roman" w:hAnsi="Times New Roman"/>
          <w:color w:val="0070C0"/>
          <w:sz w:val="16"/>
          <w:szCs w:val="16"/>
        </w:rPr>
      </w:pPr>
    </w:p>
    <w:p w14:paraId="2BD5D106" w14:textId="77777777" w:rsidR="0094368B" w:rsidRPr="007224C3" w:rsidRDefault="0094368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11-18 мая 1944 была четвертая атака на Монте Кассино и линия Густава была прорвана (3907,248).</w:t>
      </w:r>
    </w:p>
    <w:p w14:paraId="44C0AAB2" w14:textId="77777777" w:rsidR="0094368B" w:rsidRPr="007224C3" w:rsidRDefault="0094368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614E80"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rPr>
        <w:t>11 мая 1944 2 польские дивизии из состава 5-й американской армии выбили части 1-й немецкой парашютно-десантной дивизии из итальянского города Монте-Кассино. Потериполяковсоставили</w:t>
      </w:r>
      <w:r w:rsidRPr="007224C3">
        <w:rPr>
          <w:rFonts w:ascii="Times New Roman" w:hAnsi="Times New Roman"/>
          <w:color w:val="000000" w:themeColor="text1"/>
          <w:sz w:val="16"/>
          <w:szCs w:val="16"/>
          <w:lang w:val="en-US"/>
        </w:rPr>
        <w:t xml:space="preserve"> 4199 </w:t>
      </w:r>
      <w:r w:rsidRPr="007224C3">
        <w:rPr>
          <w:rFonts w:ascii="Times New Roman" w:hAnsi="Times New Roman"/>
          <w:color w:val="000000" w:themeColor="text1"/>
          <w:sz w:val="16"/>
          <w:szCs w:val="16"/>
        </w:rPr>
        <w:t>чел</w:t>
      </w:r>
      <w:r w:rsidRPr="007224C3">
        <w:rPr>
          <w:rFonts w:ascii="Times New Roman" w:hAnsi="Times New Roman"/>
          <w:color w:val="000000" w:themeColor="text1"/>
          <w:sz w:val="16"/>
          <w:szCs w:val="16"/>
          <w:lang w:val="en-US"/>
        </w:rPr>
        <w:t xml:space="preserve"> (4963 ).</w:t>
      </w:r>
    </w:p>
    <w:p w14:paraId="660D4430"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p>
    <w:p w14:paraId="25FDCE6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May 11th, 1944: In Italy, the US Fifth (Clark) and the British Eighth Armies begin an offensive against the Gustav Line at Cassino (3819).</w:t>
      </w:r>
    </w:p>
    <w:p w14:paraId="14E47E5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CCFB48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May 11 1944 Allies attack Gustav Line (1050).</w:t>
      </w:r>
    </w:p>
    <w:p w14:paraId="674DB8F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BBCF93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мая 1944 союзники атаковали Линию Густава (1050).</w:t>
      </w:r>
    </w:p>
    <w:p w14:paraId="0BB0F8D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470562" w14:textId="77777777" w:rsidR="0094368B" w:rsidRPr="007224C3" w:rsidRDefault="0094368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11 мая в 1944 году в Италии союзные войска предпринимают четвертое наступление на линию Густава у Монте-Кассино и прорывают ее (бои закончатся 18 мая). 18 мая польские части возьмут штурмом монастырь. Поражение немцев не позволит группировке в районе Анцио прорвать окружение (14888).</w:t>
      </w:r>
    </w:p>
    <w:p w14:paraId="02A639B3" w14:textId="77777777" w:rsidR="0094368B" w:rsidRPr="007224C3" w:rsidRDefault="0094368B" w:rsidP="007224C3">
      <w:pPr>
        <w:spacing w:after="0" w:line="240" w:lineRule="auto"/>
        <w:jc w:val="both"/>
        <w:rPr>
          <w:rFonts w:ascii="Times New Roman" w:hAnsi="Times New Roman"/>
          <w:color w:val="000000" w:themeColor="text1"/>
          <w:sz w:val="16"/>
          <w:szCs w:val="16"/>
        </w:rPr>
      </w:pPr>
    </w:p>
    <w:p w14:paraId="3E004B3D" w14:textId="77777777" w:rsidR="0094368B" w:rsidRPr="007224C3" w:rsidRDefault="0094368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мая в 1944 году в ходе 2-й мировой войны началось крупное наступление союзных войск в Италии (операция "Диадема"). Оборона противника была прорвана, и 4 июня немцы оставили Рим (14888).</w:t>
      </w:r>
    </w:p>
    <w:p w14:paraId="2C533A61" w14:textId="77777777" w:rsidR="0094368B" w:rsidRPr="007224C3" w:rsidRDefault="0094368B" w:rsidP="007224C3">
      <w:pPr>
        <w:spacing w:after="0" w:line="240" w:lineRule="auto"/>
        <w:jc w:val="both"/>
        <w:rPr>
          <w:rFonts w:ascii="Times New Roman" w:hAnsi="Times New Roman"/>
          <w:color w:val="000000" w:themeColor="text1"/>
          <w:sz w:val="16"/>
          <w:szCs w:val="16"/>
        </w:rPr>
      </w:pPr>
    </w:p>
    <w:p w14:paraId="0FF37634"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0A0A700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D7771F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мая 1944 был утвержден отчет о заводских испытаниях Ил-10 (300,18).</w:t>
      </w:r>
    </w:p>
    <w:p w14:paraId="7A5AD80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1E8E9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мая 1944 были утверждены доклады о живучести самолетов ВВС в 3 ВА (816,2).</w:t>
      </w:r>
    </w:p>
    <w:p w14:paraId="514FF44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5AB94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мая 1944 Нач. 3ВА Папивин утвердил, а 10 мая 1944 ги 3ВА гмиас Мартов подписал Доклад о живучести матчаст, конструктивных и производственных недостатках, установленных б/опытом 3 ВА за 1943-44 гг.</w:t>
      </w:r>
    </w:p>
    <w:p w14:paraId="4A81E9A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 Ил-2 АМ-38Ф</w:t>
      </w:r>
    </w:p>
    <w:p w14:paraId="74EE5D5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среднем за 1943 г. одна боевая потеря пришлась на 26 б/вылетов или 27 часов налета. За январь-апрель 1944 - на 54 самолето/вылета или 55 часов налета. Безвозвратные б/потери в % от общего к-ва б-х повреждений составила за 1943 г 3,9%, за январь-апрель 1944 - 1,9%. Боевые повреждения составили 22,2% от общего к-ва с/вылетов (на 5 с-то вылетов один ст- получал повреждения)</w:t>
      </w:r>
    </w:p>
    <w:p w14:paraId="7781094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 Пе-2 ПФ (как разведчики только) на высоте 500-7000 м.</w:t>
      </w:r>
    </w:p>
    <w:p w14:paraId="2C4F090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1943 г. на 1 боевую потерю 82,5 с/вылеьтов или 119 часов налета. В бою с 2 и более и противника с-т Пе-2, как правило, сбивали (необходимо улучшить протектирование б/б)</w:t>
      </w:r>
    </w:p>
    <w:p w14:paraId="6F19DF4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 Ла-5 АШ-82 По опыту боевого применения в 1943 одна боевая потеря с-та приходится на 85 самолетовылетов или на 81 час боевого налета. В основном все боевые потери произошли в результате боев с с-тами противника и лишь незначительный процент потерь приходится за чет повреждения от огня ЗА. Как правило, все потеря с-тов связаны с повреждением органов управления, повреждениями б/б и бензосистемы, а также поражением летчика с задней полусферы.</w:t>
      </w:r>
    </w:p>
    <w:p w14:paraId="4E96A3A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с-тах, вершувшихся на свои аэродромы,, полученные в боях с с-тами противника и от огня ЗА повреждения по элемкнтам конструкции распределились следующим образом:</w:t>
      </w:r>
    </w:p>
    <w:p w14:paraId="0411B60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повреждения ВМГ - 40%</w:t>
      </w:r>
    </w:p>
    <w:p w14:paraId="3682163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повреждения крыла и б/б - 35%</w:t>
      </w:r>
    </w:p>
    <w:p w14:paraId="379C3C9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поврежждения хвостового оперения - 17%</w:t>
      </w:r>
    </w:p>
    <w:p w14:paraId="7FCD2E3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повреждения фюзеляжа и фонаря кабины и л - 8%</w:t>
      </w:r>
    </w:p>
    <w:p w14:paraId="7D71F69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Ниже приводятся примеры боевых повреждений с-тов, характеризующие живучесть с-та Ла-5:</w:t>
      </w:r>
    </w:p>
    <w:p w14:paraId="180F367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С-т Ла-5 № 2018 - в в/бою был полностью разбит руль поворота, перебита тяга левого элерона, сорвана обшивка - до 0,9 м2 сверху и до 1,5 м2 снизу левой консоли крыла. Л-к млл Сидельников произвел нормальную посадку на свой аэродром, пройдя на с-те около 30 км.</w:t>
      </w:r>
    </w:p>
    <w:p w14:paraId="1AA91AB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На с-те Ла-5 № 0127 ЗА противника разрушена левая сторона цп и крыда на промежутке от фюзеляжа до элерона по хвостикам нервюр до заднего лонжерона. Разрушенные закрылки удерживались только тягами управления. Управление левым элероном, РН было перебито. Л-к л Листратов произвел нормальную посадку на своем аэродроме пройдя от места боя 25-30 км.</w:t>
      </w:r>
    </w:p>
    <w:p w14:paraId="6472D41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 типы Як с ВК-105 ПФ. Одна боевая потеря с-тя Як в 1943 приходилась на 53 с-то вылета или на 51 час боевого налета.</w:t>
      </w:r>
    </w:p>
    <w:p w14:paraId="2440637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повреждения крыла и б/б - 42%</w:t>
      </w:r>
    </w:p>
    <w:p w14:paraId="553544B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поврежждения хвостового оперения и фюзеляжа - 22%</w:t>
      </w:r>
    </w:p>
    <w:p w14:paraId="7799206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повреждения капотов и ВМГ - 18%</w:t>
      </w:r>
    </w:p>
    <w:p w14:paraId="487DE58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повреждения водо и маслорадиаторов - 8%</w:t>
      </w:r>
    </w:p>
    <w:p w14:paraId="20DBC75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повреждения фонаря кабины и л - 4%</w:t>
      </w:r>
    </w:p>
    <w:p w14:paraId="2A7BE14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прочие - 6% (816,2).</w:t>
      </w:r>
    </w:p>
    <w:p w14:paraId="6D7F086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71876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мая 1944 вышел приказ НКАП N 323сс в исполнение постановления ГКО N 5800сс от 4 мая 1944:</w:t>
      </w:r>
    </w:p>
    <w:p w14:paraId="476407D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Нач. 10 ГУ - зам. наркома А.И.Кузнецову и директору завода 86 П.М.Федоренко организовать на заводе 86 кап. ремонт самолетов всех типов, в т.ч. самолетов Ер-2 и к началу 1945 начать на этом заводе выпуск самолетов Ер-2.</w:t>
      </w:r>
    </w:p>
    <w:p w14:paraId="638D3D8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p w14:paraId="3C7F863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по выпуску самолетов Ер-2 из агрегатов завода 39 в след. количествах: в январе 1945 - 3, в феврале - 5, в марте - 10</w:t>
      </w:r>
    </w:p>
    <w:p w14:paraId="034CE21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по выпуску самолетов Ер-2 из агрегатов собственного производства в след. количествах: в апреле - 1, в мае - 3, в июне - 10, в июле - 20 и с августа по 1 в сутки (1602,35).</w:t>
      </w:r>
    </w:p>
    <w:p w14:paraId="37898A3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87D98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мая 1944 были приостановлены по просьбе ГК Горбунова гос. испытаниям модифицированного ЛаГГ-3 дублера с ВК-105ПФ-2 с винтом ВИШ-105СВ (N 105-2 производства 31 завода (февраль) и были продолжены с 1 июня по 12 июня 1944</w:t>
      </w:r>
    </w:p>
    <w:p w14:paraId="20B15C2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июня 1944 А.E.Репин утвердил акт по гос. испытаниям модифицированного ЛаГГ-3 дублера с ВК-105ПФ-2 с винтом ВИШ-105СВ (N 105-2 производства 31 завода (февраль), ГК В.П.Горбунов с ВЯ-23</w:t>
      </w:r>
    </w:p>
    <w:p w14:paraId="4F28EF8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Отв. исполнитель вед. инж. З-да ви п/п Ф.М.Шишкин</w:t>
      </w:r>
    </w:p>
    <w:p w14:paraId="707AD49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Вед. л 3 отд. НИИ ВВС гсс гм Дзюба</w:t>
      </w:r>
    </w:p>
    <w:p w14:paraId="333A223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исп. Шишкин</w:t>
      </w:r>
    </w:p>
    <w:p w14:paraId="584023F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Цель испытаний:</w:t>
      </w:r>
    </w:p>
    <w:p w14:paraId="2FB1E36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Определить ЛТД с-та</w:t>
      </w:r>
    </w:p>
    <w:p w14:paraId="566E94C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Дать оценку эксплуатационным свойствам с-та, ВМГ, вооружения и спецоборудования</w:t>
      </w:r>
    </w:p>
    <w:p w14:paraId="6B4D86E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Оценить производственное и конструктивное выполнение с-та</w:t>
      </w:r>
    </w:p>
    <w:p w14:paraId="183C4C9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Объект испытаний: предъявленная на госиспытания машина завода № 31 выпуска февраля 1944</w:t>
      </w:r>
    </w:p>
    <w:p w14:paraId="5C540C0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сравнению с ранее испытывавшимся ЛаГГ-3 с мотором ВК-105ПФ (первый экз. С-та № 105-1)с-т дублер № 105-2 имеет следующие отличия:</w:t>
      </w:r>
    </w:p>
    <w:p w14:paraId="1F5D94E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планеру - изменена конструкция 4 и 5 шпангоутов фюзеляжа. В нижней ферме 4-го шпангоута произведено два круглых отверстия под тоннуль маслорадиатора, в шп. 5 изменен нижний ... под установку фермы для крепления сидения пилота и качалки управления РВ</w:t>
      </w:r>
    </w:p>
    <w:p w14:paraId="642706A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в нижней части фюзеляжа перед тоннелем водорадиатора установлено два заборника воздуха для охлаждения маслорадиатора</w:t>
      </w:r>
    </w:p>
    <w:p w14:paraId="483774E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увеличено плечо качалки управления элеронами для уменьшения давления на ручку управления с-том</w:t>
      </w:r>
    </w:p>
    <w:p w14:paraId="128DD21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изменены форма и конструкция ручки управления с-том по типу ручки стандартной кабины</w:t>
      </w:r>
    </w:p>
    <w:p w14:paraId="65C25B7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установлен дополнительный кронштейн для крепления лафета пушки ВЯ-23</w:t>
      </w:r>
    </w:p>
    <w:p w14:paraId="6C3C595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ВМГ: установлен мотор ВК-105ПФ-2, установлен винт типа ВИШ-105СВ с профилированной комлевой частью лопастей, маслорадиатор типа ОП-352 заменен двумя последовательно соединенными рядами типа ВМС-8 с трубкой К-4, толщиной 0,1 мм</w:t>
      </w:r>
    </w:p>
    <w:p w14:paraId="623B7E3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изменен туннель маслорадиатора, который установлен в фюзеляже</w:t>
      </w:r>
    </w:p>
    <w:p w14:paraId="1F67209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изменена конструкция и перекомпоновыны ряд коробов и крышек капота мотора и управление заслонками маслорадиатора</w:t>
      </w:r>
    </w:p>
    <w:p w14:paraId="525AE5D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общая емкость б/б уменьшена на 28 л с 405 до 377 л</w:t>
      </w:r>
    </w:p>
    <w:p w14:paraId="042FB1B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на носок вала редуктора установлен центробежный маслоотражатель типа ЛИИ НКАП</w:t>
      </w:r>
    </w:p>
    <w:p w14:paraId="34C24A3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изменен дренаж трубки суфлера бака</w:t>
      </w:r>
    </w:p>
    <w:p w14:paraId="1CA626C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выхлопные патрубки изготовлены по типу с-та Як-3 (рекомендация ЦАГИ)</w:t>
      </w:r>
    </w:p>
    <w:p w14:paraId="2D2A715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вооружению: установлена пушка ВЯ-23 с боезапасом 85 патронов вместо пушки МП-20 с б/з 160 патронов, пулемет УБС с б/з 185 патронов вместо 200 патронов</w:t>
      </w:r>
    </w:p>
    <w:p w14:paraId="504BEB2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связи с установкой пушки ВЯ-23 изменено крепление пушки, форма и конструкция патронных коробок и гильзоотвода</w:t>
      </w:r>
    </w:p>
    <w:p w14:paraId="0B89265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установлен звеньесборник для пушки ВЯ-23</w:t>
      </w:r>
    </w:p>
    <w:p w14:paraId="2791868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механизм управления оружием переведен на пневматику</w:t>
      </w:r>
    </w:p>
    <w:p w14:paraId="14E3444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Спецприборы с-та 105-2 дублер такие же, как на с-те 105-1</w:t>
      </w:r>
    </w:p>
    <w:p w14:paraId="6DBF6A6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улучшения ЛТД проведены следующие мероприятия:</w:t>
      </w:r>
    </w:p>
    <w:p w14:paraId="6362C37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 улучшена внешняя отделка и введена полировка передней кромки крыла</w:t>
      </w:r>
    </w:p>
    <w:p w14:paraId="5EF2A83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козырьку кабины пилота придана сферическая форма</w:t>
      </w:r>
    </w:p>
    <w:p w14:paraId="1E2B3D7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улучшена герметизация противопожарной перегородки, крыла, кабины пилота и хвостовой части фюзеляжа</w:t>
      </w:r>
    </w:p>
    <w:p w14:paraId="7BE1B3A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Согласно данным завода прочность с-та 105-2 и его основных агрегатов: фюзеляжа, крыла, центроплана, шасси удовлетворяет действующим нормам прочности.</w:t>
      </w:r>
    </w:p>
    <w:p w14:paraId="1CB5FB1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Расчет завода по флаттеру крыла серийного с-та ЛаГГ-3 в облегченном варианте произведен в ЦАГИ и получено разрешение на эксплуатацию на скорости до 700 км/час по прибору</w:t>
      </w:r>
    </w:p>
    <w:p w14:paraId="0C6D762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Результаты испытаний:</w:t>
      </w:r>
    </w:p>
    <w:p w14:paraId="5E5A416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 пибыл в НИИ 4 мая. Испытания начаты 10 мая, приостановлены по просьбе ГК с-та В.П.Горбунова для осмотра с-та и мотора и доводки тепловых режимов ВМГ 12 мая. Возобновлены 1 июня и закончены 12 июня. Выполнено 15 полетов с налетом 8:40</w:t>
      </w:r>
    </w:p>
    <w:p w14:paraId="478C161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 пустого 2285 22,5% САХ, угол капотирования 26:40</w:t>
      </w:r>
    </w:p>
    <w:p w14:paraId="6437312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 полетный 2875 22.2% САХ, угол капотирования 28:40</w:t>
      </w:r>
    </w:p>
    <w:p w14:paraId="3464F6F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Нормальная нагрузка:</w:t>
      </w:r>
    </w:p>
    <w:p w14:paraId="20622C4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экипаж - 90</w:t>
      </w:r>
    </w:p>
    <w:p w14:paraId="714895F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горючее (074 г,см3) - 280</w:t>
      </w:r>
    </w:p>
    <w:p w14:paraId="08AF566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масло - 27</w:t>
      </w:r>
    </w:p>
    <w:p w14:paraId="4993073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вооружение - пушка ВЯ-23 - 73, УБС - 21,5, б/з пушки (85) - 47, б/з пулемета (185) - 31,0</w:t>
      </w:r>
    </w:p>
    <w:p w14:paraId="288963C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связное оборудование - 20,5</w:t>
      </w:r>
    </w:p>
    <w:p w14:paraId="39C4F6F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 - 590</w:t>
      </w:r>
    </w:p>
    <w:p w14:paraId="54428A3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Таблица изменения веса 105-2 по сравнению с 105-1, проходившим испытания в НИИ в октябре 1943: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708"/>
        <w:gridCol w:w="709"/>
        <w:gridCol w:w="709"/>
      </w:tblGrid>
      <w:tr w:rsidR="005106D0" w:rsidRPr="007224C3" w14:paraId="6510B39F" w14:textId="77777777">
        <w:tc>
          <w:tcPr>
            <w:tcW w:w="2802" w:type="dxa"/>
            <w:tcBorders>
              <w:top w:val="single" w:sz="12" w:space="0" w:color="auto"/>
            </w:tcBorders>
          </w:tcPr>
          <w:p w14:paraId="17BD33D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Наименование</w:t>
            </w:r>
          </w:p>
        </w:tc>
        <w:tc>
          <w:tcPr>
            <w:tcW w:w="708" w:type="dxa"/>
            <w:tcBorders>
              <w:top w:val="single" w:sz="12" w:space="0" w:color="auto"/>
            </w:tcBorders>
          </w:tcPr>
          <w:p w14:paraId="507A094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105-2 дублер</w:t>
            </w:r>
          </w:p>
        </w:tc>
        <w:tc>
          <w:tcPr>
            <w:tcW w:w="709" w:type="dxa"/>
            <w:tcBorders>
              <w:top w:val="single" w:sz="12" w:space="0" w:color="auto"/>
            </w:tcBorders>
          </w:tcPr>
          <w:p w14:paraId="74C3E58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105-1 первый</w:t>
            </w:r>
          </w:p>
        </w:tc>
        <w:tc>
          <w:tcPr>
            <w:tcW w:w="709" w:type="dxa"/>
            <w:tcBorders>
              <w:top w:val="single" w:sz="12" w:space="0" w:color="auto"/>
            </w:tcBorders>
          </w:tcPr>
          <w:p w14:paraId="1A485C7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Разница</w:t>
            </w:r>
          </w:p>
        </w:tc>
      </w:tr>
      <w:tr w:rsidR="005106D0" w:rsidRPr="007224C3" w14:paraId="06AE5A30" w14:textId="77777777">
        <w:tc>
          <w:tcPr>
            <w:tcW w:w="2802" w:type="dxa"/>
          </w:tcPr>
          <w:p w14:paraId="4CC7CBE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Нормальный полетный вес</w:t>
            </w:r>
          </w:p>
        </w:tc>
        <w:tc>
          <w:tcPr>
            <w:tcW w:w="708" w:type="dxa"/>
          </w:tcPr>
          <w:p w14:paraId="27E6416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2875</w:t>
            </w:r>
          </w:p>
        </w:tc>
        <w:tc>
          <w:tcPr>
            <w:tcW w:w="709" w:type="dxa"/>
          </w:tcPr>
          <w:p w14:paraId="4767AFC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2818</w:t>
            </w:r>
          </w:p>
        </w:tc>
        <w:tc>
          <w:tcPr>
            <w:tcW w:w="709" w:type="dxa"/>
          </w:tcPr>
          <w:p w14:paraId="6FCF81A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+57</w:t>
            </w:r>
          </w:p>
        </w:tc>
      </w:tr>
      <w:tr w:rsidR="005106D0" w:rsidRPr="007224C3" w14:paraId="5C4218D9" w14:textId="77777777">
        <w:tc>
          <w:tcPr>
            <w:tcW w:w="2802" w:type="dxa"/>
          </w:tcPr>
          <w:p w14:paraId="69C687A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 пустого</w:t>
            </w:r>
          </w:p>
        </w:tc>
        <w:tc>
          <w:tcPr>
            <w:tcW w:w="708" w:type="dxa"/>
          </w:tcPr>
          <w:p w14:paraId="004DFB1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2285</w:t>
            </w:r>
          </w:p>
        </w:tc>
        <w:tc>
          <w:tcPr>
            <w:tcW w:w="709" w:type="dxa"/>
          </w:tcPr>
          <w:p w14:paraId="4AA56AE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2234</w:t>
            </w:r>
          </w:p>
        </w:tc>
        <w:tc>
          <w:tcPr>
            <w:tcW w:w="709" w:type="dxa"/>
          </w:tcPr>
          <w:p w14:paraId="470314C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+51</w:t>
            </w:r>
          </w:p>
        </w:tc>
      </w:tr>
      <w:tr w:rsidR="005106D0" w:rsidRPr="007224C3" w14:paraId="2B109BE1" w14:textId="77777777">
        <w:tc>
          <w:tcPr>
            <w:tcW w:w="2802" w:type="dxa"/>
          </w:tcPr>
          <w:p w14:paraId="6EC019E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 нагрузки</w:t>
            </w:r>
          </w:p>
        </w:tc>
        <w:tc>
          <w:tcPr>
            <w:tcW w:w="708" w:type="dxa"/>
          </w:tcPr>
          <w:p w14:paraId="5AAE309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590</w:t>
            </w:r>
          </w:p>
        </w:tc>
        <w:tc>
          <w:tcPr>
            <w:tcW w:w="709" w:type="dxa"/>
          </w:tcPr>
          <w:p w14:paraId="678B1F4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584</w:t>
            </w:r>
          </w:p>
        </w:tc>
        <w:tc>
          <w:tcPr>
            <w:tcW w:w="709" w:type="dxa"/>
          </w:tcPr>
          <w:p w14:paraId="5F3C658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w:t>
            </w:r>
          </w:p>
        </w:tc>
      </w:tr>
      <w:tr w:rsidR="005106D0" w:rsidRPr="007224C3" w14:paraId="66BE8C19" w14:textId="77777777">
        <w:tc>
          <w:tcPr>
            <w:tcW w:w="2802" w:type="dxa"/>
          </w:tcPr>
          <w:p w14:paraId="3738CF6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Центровка при нормальном полетном весе</w:t>
            </w:r>
          </w:p>
        </w:tc>
        <w:tc>
          <w:tcPr>
            <w:tcW w:w="708" w:type="dxa"/>
          </w:tcPr>
          <w:p w14:paraId="197A1D0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25,2</w:t>
            </w:r>
          </w:p>
        </w:tc>
        <w:tc>
          <w:tcPr>
            <w:tcW w:w="709" w:type="dxa"/>
          </w:tcPr>
          <w:p w14:paraId="7CB96C1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23,7</w:t>
            </w:r>
          </w:p>
        </w:tc>
        <w:tc>
          <w:tcPr>
            <w:tcW w:w="709" w:type="dxa"/>
          </w:tcPr>
          <w:p w14:paraId="7075800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w:t>
            </w:r>
          </w:p>
        </w:tc>
      </w:tr>
      <w:tr w:rsidR="005106D0" w:rsidRPr="007224C3" w14:paraId="2F010E59" w14:textId="77777777">
        <w:tc>
          <w:tcPr>
            <w:tcW w:w="2802" w:type="dxa"/>
          </w:tcPr>
          <w:p w14:paraId="3711946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Предельная передняя эксплуатационная центровка</w:t>
            </w:r>
          </w:p>
        </w:tc>
        <w:tc>
          <w:tcPr>
            <w:tcW w:w="708" w:type="dxa"/>
          </w:tcPr>
          <w:p w14:paraId="38769D1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23,9</w:t>
            </w:r>
          </w:p>
        </w:tc>
        <w:tc>
          <w:tcPr>
            <w:tcW w:w="709" w:type="dxa"/>
          </w:tcPr>
          <w:p w14:paraId="3975504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22,3</w:t>
            </w:r>
          </w:p>
        </w:tc>
        <w:tc>
          <w:tcPr>
            <w:tcW w:w="709" w:type="dxa"/>
          </w:tcPr>
          <w:p w14:paraId="6494795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tc>
      </w:tr>
      <w:tr w:rsidR="005106D0" w:rsidRPr="007224C3" w14:paraId="06D00396" w14:textId="77777777">
        <w:tc>
          <w:tcPr>
            <w:tcW w:w="2802" w:type="dxa"/>
            <w:tcBorders>
              <w:bottom w:val="single" w:sz="12" w:space="0" w:color="auto"/>
            </w:tcBorders>
          </w:tcPr>
          <w:p w14:paraId="5690483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Запас горючего 4Б-78</w:t>
            </w:r>
          </w:p>
        </w:tc>
        <w:tc>
          <w:tcPr>
            <w:tcW w:w="708" w:type="dxa"/>
            <w:tcBorders>
              <w:bottom w:val="single" w:sz="12" w:space="0" w:color="auto"/>
            </w:tcBorders>
          </w:tcPr>
          <w:p w14:paraId="782E742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280</w:t>
            </w:r>
          </w:p>
        </w:tc>
        <w:tc>
          <w:tcPr>
            <w:tcW w:w="709" w:type="dxa"/>
            <w:tcBorders>
              <w:bottom w:val="single" w:sz="12" w:space="0" w:color="auto"/>
            </w:tcBorders>
          </w:tcPr>
          <w:p w14:paraId="292B4C7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300</w:t>
            </w:r>
          </w:p>
        </w:tc>
        <w:tc>
          <w:tcPr>
            <w:tcW w:w="709" w:type="dxa"/>
            <w:tcBorders>
              <w:bottom w:val="single" w:sz="12" w:space="0" w:color="auto"/>
            </w:tcBorders>
          </w:tcPr>
          <w:p w14:paraId="7D216FE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w:t>
            </w:r>
          </w:p>
        </w:tc>
      </w:tr>
    </w:tbl>
    <w:p w14:paraId="75264A5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Основные причины, вызвавшие увеличение веса - установка пушки ВЯ-23, усиления и конструкционные изменения</w:t>
      </w:r>
    </w:p>
    <w:p w14:paraId="58FFA67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Основные ЛД</w:t>
      </w:r>
    </w:p>
    <w:p w14:paraId="62A193D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Скорость макс. у земли - 554</w:t>
      </w:r>
    </w:p>
    <w:p w14:paraId="6BB2A2C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Скорость макс. на 1-й гр. высотности (1400) - 590</w:t>
      </w:r>
    </w:p>
    <w:p w14:paraId="3F1BCB8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Скорость макс. на 2-й гр. высотности (3400) - 618</w:t>
      </w:r>
    </w:p>
    <w:p w14:paraId="285B605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Скорость макс. на 5000 - 593</w:t>
      </w:r>
    </w:p>
    <w:p w14:paraId="548BDE3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Скорость макс. на 6000 - 578</w:t>
      </w:r>
    </w:p>
    <w:p w14:paraId="14D7EFE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Время набора 5000 м - 4,8</w:t>
      </w:r>
    </w:p>
    <w:p w14:paraId="3B1BD65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Потолок 10750</w:t>
      </w:r>
    </w:p>
    <w:p w14:paraId="35FAF53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Граница переключения нагнетателя - 2000 на скорости 542</w:t>
      </w:r>
    </w:p>
    <w:p w14:paraId="779E137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Скорости вертикальные</w:t>
      </w:r>
    </w:p>
    <w:p w14:paraId="065EEB2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 земли - 18,1</w:t>
      </w:r>
    </w:p>
    <w:p w14:paraId="026FB59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1 гр. 650 - 18,9</w:t>
      </w:r>
    </w:p>
    <w:p w14:paraId="1296692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перекл. - 17,0</w:t>
      </w:r>
    </w:p>
    <w:p w14:paraId="2F4DBED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2 гр. (2500) - 19,2</w:t>
      </w:r>
    </w:p>
    <w:p w14:paraId="549F004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5000 - 13,6</w:t>
      </w:r>
    </w:p>
    <w:p w14:paraId="72DA197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6000 - 11,3</w:t>
      </w:r>
    </w:p>
    <w:p w14:paraId="340F4E6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Мотор ВК-105ПФ-2 наработал с начала испытаний 44:02 и был снят из-за течи воды из блока через уплотнение гильзы</w:t>
      </w:r>
    </w:p>
    <w:p w14:paraId="4A40C35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Производилось сравнение с 105-1, Як-3 дублер, Ла-7 (испытанном в апреле 1944), с Ме-109G (январь 1943) и ФВ-190 А-4 (июль 1943).</w:t>
      </w:r>
    </w:p>
    <w:p w14:paraId="3192408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Выводы:</w:t>
      </w:r>
    </w:p>
    <w:p w14:paraId="52C2AB8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ВМГ работает неудовлетворительно</w:t>
      </w:r>
    </w:p>
    <w:p w14:paraId="113A1E4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наборе высоты с полностью отурытым туннелем водорадиатора температура воды 116 гр, в горизонтальном полете - 115 (макс. допустимо - 110)</w:t>
      </w:r>
    </w:p>
    <w:p w14:paraId="7DA835E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Установленное пулеметно-пушечное вооружение не доведено.</w:t>
      </w:r>
    </w:p>
    <w:p w14:paraId="39299E6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Искажение видимости предметов через сферическую часть козырька кабины пилота</w:t>
      </w:r>
    </w:p>
    <w:p w14:paraId="0CAF0FC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с-те отсутствует аварийный сброс фонаря</w:t>
      </w:r>
    </w:p>
    <w:p w14:paraId="32FCA21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Заключение:</w:t>
      </w:r>
    </w:p>
    <w:p w14:paraId="20E2A4D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Модифицированный с-т 1-5-2 дублер конструкции т. Горбунова постройки ОКБ завода № 31 госиспытания не выдержал по причине:</w:t>
      </w:r>
    </w:p>
    <w:p w14:paraId="31DBBD0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низкие ЛТД для с-та большой модификации</w:t>
      </w:r>
    </w:p>
    <w:p w14:paraId="55F084D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неудовлетворительная работа ВМГ и вооружения</w:t>
      </w:r>
    </w:p>
    <w:p w14:paraId="07254C9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Считать нецелесообразной продолжение работы по дальнейшей модификации с-та ЛаГГ-3 с мотором ВК-105ПФ-2</w:t>
      </w:r>
    </w:p>
    <w:p w14:paraId="3CF88CA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 дублер подлежит сдаче на завод № 31</w:t>
      </w:r>
    </w:p>
    <w:p w14:paraId="2637F0C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Подписали с 20 по 24 июня (764,2).</w:t>
      </w:r>
    </w:p>
    <w:p w14:paraId="4B1CD88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ABDC3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мая 1944 продолжились гос. испытания Миг-3У (2д или И-231) с АМ-39А и удлиненными консолями, начатые в конце февраля 1944 и прерванные аварией П.М.Стефановского 8 марта 1944. 19 мая при даче форсированного режима из строя вышел мотор. Получение мотора затянулось и испытания не закончили, а работы свернули (5046,34).</w:t>
      </w:r>
    </w:p>
    <w:p w14:paraId="582CA2D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6F0E88" w14:textId="77777777" w:rsidR="0094368B" w:rsidRPr="007224C3" w:rsidRDefault="0094368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12 мая в 1944 году в НИИ ВВС передан восстановленный после аварии истребитель-перехватчик </w:t>
      </w:r>
      <w:hyperlink r:id="rId124" w:tgtFrame="_blank" w:history="1">
        <w:r w:rsidRPr="007224C3">
          <w:rPr>
            <w:rFonts w:ascii="Times New Roman" w:hAnsi="Times New Roman"/>
            <w:color w:val="000000" w:themeColor="text1"/>
            <w:sz w:val="16"/>
            <w:szCs w:val="16"/>
          </w:rPr>
          <w:t xml:space="preserve">«И-231», </w:t>
        </w:r>
      </w:hyperlink>
      <w:r w:rsidRPr="007224C3">
        <w:rPr>
          <w:rFonts w:ascii="Times New Roman" w:hAnsi="Times New Roman"/>
          <w:color w:val="000000" w:themeColor="text1"/>
          <w:sz w:val="16"/>
          <w:szCs w:val="16"/>
        </w:rPr>
        <w:t>ОКБ Микояна, Гуревича. 8 марта на нём при посадке не вышли щитки-закрылки и отказали тормоза, из-за чего в конце пробега самолет выкатился на не укатанную часть аэродрома и скапотировал. Однако 19 мая в полете при даче форсированного режима вышел из строя мотор. Получение нового мотора «АМ-39» затянулось, и вскоре работы по самолету были прекращены (14889).</w:t>
      </w:r>
    </w:p>
    <w:p w14:paraId="168D52BF" w14:textId="77777777" w:rsidR="0094368B" w:rsidRPr="007224C3" w:rsidRDefault="0094368B" w:rsidP="007224C3">
      <w:pPr>
        <w:spacing w:after="0" w:line="240" w:lineRule="auto"/>
        <w:jc w:val="both"/>
        <w:rPr>
          <w:rFonts w:ascii="Times New Roman" w:hAnsi="Times New Roman"/>
          <w:color w:val="000000" w:themeColor="text1"/>
          <w:sz w:val="16"/>
          <w:szCs w:val="16"/>
        </w:rPr>
      </w:pPr>
    </w:p>
    <w:p w14:paraId="46AC2CF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мая 1944 года самолет МИГ-3 улучшенный с АМ-39 был принят на испытания в НИИ ВВС. С 12 по 19 мая произведено 10 полетов, общей продолжительностью 7 часов 30 минут. Произведены полеты: пробный, на определение наивыгоднейших скоростей набора, на определение температурного режима, на определение максимальных горизонтальных скоростей с винтами АВ-5Л-126А и ВИШ-105Л-10 (1821).</w:t>
      </w:r>
    </w:p>
    <w:p w14:paraId="5646202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4C4DE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мая 1944 2Д МиГ после ремонта был вновь передан на гос. испытания в НИИ ВВС и выполнил 10 полетов продолжительностью 7 час. 30 мин. пока 19 мая мотор на форсаже не вышел из строя (992,13).</w:t>
      </w:r>
    </w:p>
    <w:p w14:paraId="1954CF8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A9AA7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мая 1944 согласно журнала наблюдения за проектированием, постройкой и испытаниями МиГ-3 за 20 мая 1944 с-т Д2 передан в НИИ ВВС (992,13)..</w:t>
      </w:r>
    </w:p>
    <w:p w14:paraId="38FD2A7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353CB09"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мая 1944 вышло Постановление ГКО № 5888 О материально-техническом обеспечении строительства и эксплуатации воздушной трассы Красноярск - Уэлькаль. (7232, 132-137,138-162).</w:t>
      </w:r>
    </w:p>
    <w:p w14:paraId="20A0F901"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A7D61F2"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17235EC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2F8A8CD" w14:textId="77777777" w:rsidR="008B0844" w:rsidRPr="007224C3" w:rsidRDefault="008B0844" w:rsidP="007224C3">
      <w:pPr>
        <w:pStyle w:val="ae"/>
        <w:spacing w:before="0" w:after="0"/>
        <w:jc w:val="both"/>
        <w:textAlignment w:val="baseline"/>
        <w:rPr>
          <w:color w:val="000000" w:themeColor="text1"/>
          <w:sz w:val="16"/>
          <w:szCs w:val="16"/>
        </w:rPr>
      </w:pPr>
      <w:r w:rsidRPr="007224C3">
        <w:rPr>
          <w:color w:val="000000" w:themeColor="text1"/>
          <w:sz w:val="16"/>
          <w:szCs w:val="16"/>
        </w:rPr>
        <w:t>К 12 мая 1944 был готов только первый образец модернизированного Т-44, имевший борта толщиной 60 мм. Фактически получившаяся машина представляла собой лишь частичную реализацию требований об улучшениях. В случае с лобовой частью корпуса толщина брони так и осталась на прежнем уровне (75 мм). Вместе с тем КБ-520 учло замечания, высказанные по итогам испытаний корпуса первого варианта Т-44. Угол наклона нижнего лобового листа вырос до 45 градусов, что повысило его стойкость. Неудачное крепление кривошипа ленивца, которое разрушилось при обстреле, заменили на более удачную конструкцию. От будки в Нижнем Тагиле не отказались, но она стала ниже, а толщину смотрового лючка увеличили до 100 мм, также его переделав. Кроме того, на корпусе ввели защитную планку против заклинивания башни вражескими снарядами. Ввиду претензий к месту механика-водителя изменили его сиденье. Благодаря переделкам танк стал чуть ниже первого варианта Т-44.</w:t>
      </w:r>
    </w:p>
    <w:p w14:paraId="5870A181" w14:textId="77777777" w:rsidR="008B0844" w:rsidRPr="007224C3" w:rsidRDefault="008B0844" w:rsidP="007224C3">
      <w:pPr>
        <w:pStyle w:val="ae"/>
        <w:spacing w:before="0" w:after="0"/>
        <w:jc w:val="both"/>
        <w:textAlignment w:val="baseline"/>
        <w:rPr>
          <w:color w:val="000000" w:themeColor="text1"/>
          <w:sz w:val="16"/>
          <w:szCs w:val="16"/>
        </w:rPr>
      </w:pPr>
      <w:r w:rsidRPr="007224C3">
        <w:rPr>
          <w:color w:val="000000" w:themeColor="text1"/>
          <w:sz w:val="16"/>
          <w:szCs w:val="16"/>
        </w:rPr>
        <w:t>Хватало изменений как по ходовой части, так и по моторно-трансмиссионной группе. Двигателя В-2-44 от завода №75 так и не дождались, но всё же от выступа в днище удалось избавиться. Дело в том, что в Нижнем Тагиле изготовили «промежуточный» вариант мотора, то есть В-2-ИС, но с перенесённой на левую сторону двигателя масляной помпой и перенесённой на КПП водяной помпой. Естественно, это было временным решением, но иного варианта устранения проблемы с мотором не имелось. Улучшениям подверглись масляная система и система охлаждения, на танк установили два воздухоочистителя «Мультициклон». После больших проблем с нагревом левого борта от выхлопных газов выпускную систему переделали. Теперь выхлопные газы выходили влево через общий патрубок, разместили его на левом крыле. Переделке подверглась и топливная система. Как и на эскизном проекте, впереди появился бак на 110 л, также улучшили конструкцию лючков для заливки топлива. Переделке подверглись коробка передач, бортовые фрикционы и бортовые передачи. Несмотря на требования поставить опорные катки диаметром 830 мм, на второй итерации Т-44 поставили другие катки — диаметром 790 мм. Тем самым создатели машины пытались избежать извечной проблемы с разрушением опорных катков. Одновременно изменилось и расположение опорных катков: первая пара чуть сместилась вперёд, а остальные «уехали» немного назад.</w:t>
      </w:r>
    </w:p>
    <w:p w14:paraId="73F0B451" w14:textId="77777777" w:rsidR="008B0844" w:rsidRPr="007224C3" w:rsidRDefault="008B0844" w:rsidP="007224C3">
      <w:pPr>
        <w:spacing w:after="0" w:line="240" w:lineRule="auto"/>
        <w:jc w:val="both"/>
        <w:textAlignment w:val="baseline"/>
        <w:rPr>
          <w:rFonts w:ascii="Times New Roman" w:hAnsi="Times New Roman"/>
          <w:color w:val="000000" w:themeColor="text1"/>
          <w:sz w:val="16"/>
          <w:szCs w:val="16"/>
        </w:rPr>
      </w:pPr>
      <w:r w:rsidRPr="007224C3">
        <w:rPr>
          <w:rFonts w:ascii="Times New Roman" w:hAnsi="Times New Roman"/>
          <w:color w:val="000000" w:themeColor="text1"/>
          <w:sz w:val="16"/>
          <w:szCs w:val="16"/>
        </w:rPr>
        <w:t>Будку механика-водителя сильно переделали, что увеличило её стойкость к вражескому огню.</w:t>
      </w:r>
    </w:p>
    <w:p w14:paraId="74427B30" w14:textId="77777777" w:rsidR="008B0844" w:rsidRPr="007224C3" w:rsidRDefault="008B0844" w:rsidP="007224C3">
      <w:pPr>
        <w:pStyle w:val="ae"/>
        <w:spacing w:before="0" w:after="0"/>
        <w:jc w:val="both"/>
        <w:textAlignment w:val="baseline"/>
        <w:rPr>
          <w:color w:val="000000" w:themeColor="text1"/>
          <w:sz w:val="16"/>
          <w:szCs w:val="16"/>
        </w:rPr>
      </w:pPr>
      <w:r w:rsidRPr="007224C3">
        <w:rPr>
          <w:color w:val="000000" w:themeColor="text1"/>
          <w:sz w:val="16"/>
          <w:szCs w:val="16"/>
        </w:rPr>
        <w:t>Весьма существенной доработке подверглась башня. Объём изменений оказался столь велик, что правильнее говорить не о переделанной старой башне, а о новой конструкции. В отличие от корпуса, броневую защиту башни увеличили. Толщина лобовой части башни была доведена до 115 мм, толщина бортов составила 90 мм, а кормы — 75 мм. Благодаря снижению будки механика-водителя удалось снизить общую высоту башни на 75 мм. Также несколько изменилась форма башни, переделке подверглись пистолетные порты. В связи с установкой орудия ЗИС-С-53 переделке подверглась и носовая часть башни. Иной стала и конструкция крыши башни, в частности, увеличился объём вварной секции. Вместо перископического прицела наводчик получил смотровой прибор МК-IV, что улучшило ситуацию с обзором из передней смотровой щели командирской башенки.</w:t>
      </w:r>
    </w:p>
    <w:p w14:paraId="357CD2B4" w14:textId="77777777" w:rsidR="008B0844" w:rsidRPr="007224C3" w:rsidRDefault="008B0844" w:rsidP="007224C3">
      <w:pPr>
        <w:spacing w:after="0" w:line="240" w:lineRule="auto"/>
        <w:jc w:val="both"/>
        <w:textAlignment w:val="baseline"/>
        <w:rPr>
          <w:rFonts w:ascii="Times New Roman" w:hAnsi="Times New Roman"/>
          <w:color w:val="000000" w:themeColor="text1"/>
          <w:sz w:val="16"/>
          <w:szCs w:val="16"/>
        </w:rPr>
      </w:pPr>
      <w:r w:rsidRPr="007224C3">
        <w:rPr>
          <w:rFonts w:ascii="Times New Roman" w:hAnsi="Times New Roman"/>
          <w:color w:val="000000" w:themeColor="text1"/>
          <w:sz w:val="16"/>
          <w:szCs w:val="16"/>
        </w:rPr>
        <w:t>Обратной стороной понижения будки механика-водителя стало снижение высоты отделения управления. Даже человеку среднего роста тут было тесно.</w:t>
      </w:r>
    </w:p>
    <w:p w14:paraId="10AC1D62" w14:textId="77777777" w:rsidR="008B0844" w:rsidRPr="007224C3" w:rsidRDefault="008B0844" w:rsidP="007224C3">
      <w:pPr>
        <w:pStyle w:val="ae"/>
        <w:spacing w:before="0" w:after="0"/>
        <w:jc w:val="both"/>
        <w:textAlignment w:val="baseline"/>
        <w:rPr>
          <w:color w:val="000000" w:themeColor="text1"/>
          <w:sz w:val="16"/>
          <w:szCs w:val="16"/>
        </w:rPr>
      </w:pPr>
      <w:r w:rsidRPr="007224C3">
        <w:rPr>
          <w:color w:val="000000" w:themeColor="text1"/>
          <w:sz w:val="16"/>
          <w:szCs w:val="16"/>
        </w:rPr>
        <w:t>Как это часто бывает, за изменения пришлось платить ростом боевой массы. Для танка с толщиной бортов 75 мм она составила 31 300 кг, то есть на 900 кг больше второго опытного образца Т-44. Впрочем, ориентиром выступал Т-34-85, который был тяжелее на те же 900 кг, а его мотор чуть слабее. Немаловажным фактором стали и сравнения по габаритам. Высота Т-44 во второй итерации составила 2290 мм, в то время как общая высота Т-34-85 составляла 2700 мм (18950).</w:t>
      </w:r>
    </w:p>
    <w:p w14:paraId="35EFF1D9" w14:textId="77777777" w:rsidR="008B0844" w:rsidRPr="007224C3" w:rsidRDefault="008B0844" w:rsidP="007224C3">
      <w:pPr>
        <w:pStyle w:val="ae"/>
        <w:spacing w:before="0" w:after="0"/>
        <w:jc w:val="both"/>
        <w:textAlignment w:val="baseline"/>
        <w:rPr>
          <w:color w:val="000000" w:themeColor="text1"/>
          <w:sz w:val="16"/>
          <w:szCs w:val="16"/>
        </w:rPr>
      </w:pPr>
    </w:p>
    <w:p w14:paraId="511DE2FB"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мая 1944 года вышел приказ № 243с НКБ</w:t>
      </w:r>
    </w:p>
    <w:p w14:paraId="02998629"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 исполнение распоряжения СНК за № 8381 рс от 14 апреля 1944 года о выделении из завода № 15 химических производств в самостоятельный завод с собственной энергетической и ремонтно-механической базой (6016, 7).</w:t>
      </w:r>
    </w:p>
    <w:p w14:paraId="56BC979A"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C10DE7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мая 1944 вышло Постановление ГКО № 5870 О неотложных мерах помощи по восстановлению цехов Ново-Краматорского завода им. Сталина Наркомтяжмаша в г. Электросталь. РГАНИР, Фонд ГКО, д. 253, лл. 77-81,82 (11012).</w:t>
      </w:r>
    </w:p>
    <w:p w14:paraId="4E326A5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F259A6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мая 1944 вышло Постановление ГКО № 5871 О срочных мерах по ликвидации последствий аварии на заводе № 12 НКБ. РГАНИР, Фонд ГКО, д. 253, лл. 83-89,90-91 (11012).</w:t>
      </w:r>
    </w:p>
    <w:p w14:paraId="60A0B68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08869B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мая 1944 вышло Распоряжение ГКО № 5872. О распространении порядка заработной платы строительных рабочих Наркомстроя на рабочих, занятых на оборонительном и базовом строительстве НКВМФ. РГАНИР, Фонд ГКО, д. 253, лл. 92 (11012).</w:t>
      </w:r>
    </w:p>
    <w:p w14:paraId="5C4B415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E161CC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мая 1944 вышло Распоряжение ГКО № 5873. О частичном восстановлении Елецкой городской электростанции Наркомхоза РСФСР. РГАНИР, Фонд ГКО, д. 253, лл. 93-94 (11012).</w:t>
      </w:r>
    </w:p>
    <w:p w14:paraId="415B531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78F6DC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мая 1944 вышло Распоряжение ГКО № 5874. О продлении до 1 августа 1944 г. срока работы бригад учащихся РУ и ЖУ в МТС и совхозах на ремонте техники. РГАНИР, Фонд ГКО, д. 253, лл. 95 (11012).</w:t>
      </w:r>
    </w:p>
    <w:p w14:paraId="0474202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602210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мая 1944 вышло Распоряжение ГКО № 5875. О выделении для НКсвязи 80 грузовых машин НКО во II кв. 1944 г. РГАНИР, Фонд ГКО, д. 253, лл. 96 (11012).</w:t>
      </w:r>
    </w:p>
    <w:p w14:paraId="4AB8FCF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5CDE5F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мая 1944 вышло Распоряжение ГКО № 5876. Об освобождении НКХП от строительства хлорного цеха на Челекенском йодо-бромном заводе. РГАНИР, Фонд ГКО, д. 253, лл. 97 (11012).</w:t>
      </w:r>
    </w:p>
    <w:p w14:paraId="36FB810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991DD01"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мая 1944 вышло Распоряжение ГКО № 5877 [Об изготовлении на Тавдинском лесокомбинате домиков-теплушек, мастерских и складов для ВВС КА.] (7232, 98-99).</w:t>
      </w:r>
    </w:p>
    <w:p w14:paraId="1BD86C0C"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8B5C56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мая 1944 вышло Распоряжение ГКО № 5878. О возвращении в Ленинград в 1944 г. военно-морских учебных заведений. РГАНИР, Фонд ГКО, д. 253, лл. 100 (11012).</w:t>
      </w:r>
    </w:p>
    <w:p w14:paraId="5063C1D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E10F7E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мая 1944 вышло Распоряжение ГКО № 5879. Об отгрузке газовых углей марки Г для стекольных заводов НКПСМ СССР. РГАНИР, Фонд ГКО, д. 253, лл. 101 (11012).</w:t>
      </w:r>
    </w:p>
    <w:p w14:paraId="0C0330B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17171A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мая 1944 вышло Постановление ГКО № 5880 О мерах по оснащению МТС, МТМ и ремзаводов станками и ремонтным оборудованием. РГАНИР, Фонд ГКО, д. 253, лл. 102-104,105-106 (11012).</w:t>
      </w:r>
    </w:p>
    <w:p w14:paraId="2821762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6BE5411"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мая 1944 вышло Распоряжение ГКО № 5881 [О производстве литья нижних катков для танков ИС на Ворошиловградском заводе им. Октябрьской революции НКТМ.] (7232, 107-108,109-112).</w:t>
      </w:r>
    </w:p>
    <w:p w14:paraId="6EABD5DB"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1382FEA"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мая 1944 вышло Распоряжение ГКО № 5882 О восстановлении железнодорожной ветки Солонички - Карагандинская ГРЭС. (7232, 113-115).</w:t>
      </w:r>
    </w:p>
    <w:p w14:paraId="7392F980"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87A870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мая 1944 вышло Распоряжение ГКО № 5883. О дополнительном производстве 1 тыс. моторов к комбайнам на ГАЗ. РГАНИР, Фонд ГКО, д. 253, лл. 116,117 (11012).</w:t>
      </w:r>
    </w:p>
    <w:p w14:paraId="3F9A139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4EE8D1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мая 1944 вышло Постановление ГКО № 5884 Об электроснабжении промышленности и коммунального хозяйства г. Орла. РГАНИР, Фонд ГКО, д. 253, лл. 118-121 (11012).</w:t>
      </w:r>
    </w:p>
    <w:p w14:paraId="1EA7107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A2F2A5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мая 1944 вышло Распоряжение ГКО № 5885. О снабжении 3-й бригады разграждения НКО, переданной в штат Штеровской ГРЭС НКЭС. РГАНИР, Фонд ГКО, д. 253, лл. 122 (11012).</w:t>
      </w:r>
    </w:p>
    <w:p w14:paraId="4E77997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D47C9A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мая 1944 вышло Постановление ГКО № 5886 О строительстве Ивановского завода Наркомзема СССР по производству запасных частей к тракторам и сельскохозяйственным машинам. РГАНИР, Фонд ГКО, д. 253, лл. 123-125,126-127 (11012).</w:t>
      </w:r>
    </w:p>
    <w:p w14:paraId="261071A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FE3CC0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мая 1944 вышло Постановление ГКО № 5887 О мероприятиях по расширению производства гидрографического штурманского вооружения в г. Ленинграде. РГАНИР, Фонд ГКО, д. 253, лл. 128-130,131 (11012).</w:t>
      </w:r>
    </w:p>
    <w:p w14:paraId="4118397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962225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мая 1944 вышло Постановление ГКО № 5889 О материально-техническом снабжении предприятий целлюлозно-бумажной промышленности во II квартале 1944 г. РГАНИР, Фонд ГКО, д. 253, лл. 163-165,166-177 (11012).</w:t>
      </w:r>
    </w:p>
    <w:p w14:paraId="24CB2FD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1F7A16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мая 1944 вышло Постановление ГКО № 5890 О мероприятиях по восстановлению машиностроительных заводов и ремонтных цехов предприятий Наркомчермета на Юге. РГАНИР, Фонд ГКО, д. 253, лл. 178-182,183-195 (11012).</w:t>
      </w:r>
    </w:p>
    <w:p w14:paraId="33F7B2C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092454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мая 1944 вышло Постановление ГКО № 5891 Об окончании строительства ТЭЦ завода "Красный Профинтерн" Наркомтяжмаша в г. Красноярске. РГАНИР, Фонд ГКО, д. 253, лл. 196-199,200-207 (11012).</w:t>
      </w:r>
    </w:p>
    <w:p w14:paraId="4678651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3CC362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мая 1944 вышло Постановление ГКО № 5892 Об утверждении плана военного судостроения на II квартал 1944 г. РГАНИР, Фонд ГКО, д. 253, лл. 208-215,216-228 (11012).</w:t>
      </w:r>
    </w:p>
    <w:p w14:paraId="1C46FCA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A57046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мая 1944 вышло Постановление ГКО № 5893 О мероприятиях по улучшению городского хозяйства г.г. Архангельска и Молотовска Архангельской области. РГАНИР, Фонд ГКО, д. 253, лл. 229-241,242-256 (11012).</w:t>
      </w:r>
    </w:p>
    <w:p w14:paraId="2751DC8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A862ED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мая 1944 вышло Распоряжение ГКО № 5894. О мерах по обеспечению неотложных нужд ЧФ. РГАНИР, Фонд ГКО, д. 253, лл. 257-258 (11012).</w:t>
      </w:r>
    </w:p>
    <w:p w14:paraId="58BEC07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8EBA74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мая 1944 года приказом НКБ № 203с завод № 15 разделен на два самостоятельные завода:</w:t>
      </w:r>
    </w:p>
    <w:p w14:paraId="737DDC4F" w14:textId="77777777" w:rsidR="00595BFB" w:rsidRPr="007224C3" w:rsidRDefault="00595BFB" w:rsidP="007224C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Химический завод № 15 (производство взрывчатых веществ и кислот).</w:t>
      </w:r>
    </w:p>
    <w:p w14:paraId="3E79AA67" w14:textId="77777777" w:rsidR="00595BFB" w:rsidRPr="007224C3" w:rsidRDefault="00595BFB" w:rsidP="007224C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Снаряжательный завод.</w:t>
      </w:r>
    </w:p>
    <w:p w14:paraId="5C8AF3E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Снаряжательного завода инженер-полковник Крысин.</w:t>
      </w:r>
    </w:p>
    <w:p w14:paraId="59BADCF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химического завода № 15 инженер-майор Быков (10214).</w:t>
      </w:r>
    </w:p>
    <w:p w14:paraId="70BD0FC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01444A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мая 1944 Завершен аварийно-боевой ремонт БМО с бортовым номером 503 (начат 12.ХП 1943 г.) (10671).</w:t>
      </w:r>
    </w:p>
    <w:p w14:paraId="4499927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2944E4C"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1E8C918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1B6B7D1" w14:textId="77777777" w:rsidR="0094368B" w:rsidRPr="007224C3" w:rsidRDefault="0094368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мая в 1944 году оперативная сводка Совинформбюро:</w:t>
      </w:r>
    </w:p>
    <w:p w14:paraId="29B67803" w14:textId="77777777" w:rsidR="0094368B" w:rsidRPr="007224C3" w:rsidRDefault="0094368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12 мая на плацдарме правого берега реки Днестр, северо-западнее города Тирасполь, наши войска отбили неоднократные атаки крупных сил пехоты и танков противника, нанеся ему большие потери в живой силе и технике. В результате упорных двухдневных боёв нашими войсками подбито и уничтожено до 100 немецких танков. Противник потерял только убитыми более 4.000 своих солдат и офицеров.</w:t>
      </w:r>
    </w:p>
    <w:p w14:paraId="5826CF93" w14:textId="77777777" w:rsidR="0094368B" w:rsidRPr="007224C3" w:rsidRDefault="0094368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Крыму войска 4-го Украинского фронта полностью закончили ликвидацию остатков войск противника в районе мыса Херсонес.</w:t>
      </w:r>
    </w:p>
    <w:p w14:paraId="63F614FD" w14:textId="77777777" w:rsidR="0094368B" w:rsidRPr="007224C3" w:rsidRDefault="0094368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без существенных изменений.</w:t>
      </w:r>
    </w:p>
    <w:p w14:paraId="72901EE6" w14:textId="77777777" w:rsidR="0094368B" w:rsidRPr="007224C3" w:rsidRDefault="0094368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11 мая наши войска на всех фронтах подбили и уничтожили 45 немецких танков. В воздушных боях и огнём зенитной артиллерии сбито 32 самолёта противника.»</w:t>
      </w:r>
    </w:p>
    <w:p w14:paraId="1DFE5A76" w14:textId="77777777" w:rsidR="0094368B" w:rsidRPr="007224C3" w:rsidRDefault="0094368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Массированный налёт нашей авиации на железнодорожный узел Люблин:</w:t>
      </w:r>
    </w:p>
    <w:p w14:paraId="41E132EA" w14:textId="77777777" w:rsidR="0094368B" w:rsidRPr="007224C3" w:rsidRDefault="0094368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ночь на 12 мая наша авиация дальнего действия произвела массированный налёт на железнодорожный узел Люблин. Бомбардировке были подвергнуты скопления воинских эшелонов и военные склады противника. На железнодорожном узле возникли большие пожары. В районе складов, находящихся в центральной части узла, произошло несколько сильных взрывов.</w:t>
      </w:r>
    </w:p>
    <w:p w14:paraId="776B10DF" w14:textId="77777777" w:rsidR="0094368B" w:rsidRPr="007224C3" w:rsidRDefault="0094368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Два наших самолёта не вернулись на свои аэродромы.»</w:t>
      </w:r>
    </w:p>
    <w:p w14:paraId="6173415B" w14:textId="77777777" w:rsidR="0094368B" w:rsidRPr="007224C3" w:rsidRDefault="0094368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«Некоторое время тому назад Французский Комитет Национального Освобождения обратился к Советскому Правительству с просьбой передать французским военным властям военнопленных германской армии французской национальности, преимущественно эльзасцев и лотарингцев, добровольно перешедших на сторону Красной Армии, и направить их в Северную Африку для включения во французскую армию.</w:t>
      </w:r>
    </w:p>
    <w:p w14:paraId="1D9F3420" w14:textId="77777777" w:rsidR="0094368B" w:rsidRPr="007224C3" w:rsidRDefault="0094368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Советское Правительство удовлетворило эту просьбу Французского Комитета Национального Освобождения и дало необходимые указания советским военным властям.</w:t>
      </w:r>
    </w:p>
    <w:p w14:paraId="7F9F70F5" w14:textId="77777777" w:rsidR="0094368B" w:rsidRPr="007224C3" w:rsidRDefault="0094368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Юго-восточнее города Станислав на одном участке противник силами до батальона пехоты пытался вести разведку. Бойцы Н-ской части нанесли перешедшим в атаку немцам удар с фланга и обратили их в бегство. В этом бою уничтожено две роты гитлеровцев и взяты пленные.</w:t>
      </w:r>
    </w:p>
    <w:p w14:paraId="22BD7632" w14:textId="77777777" w:rsidR="0094368B" w:rsidRPr="007224C3" w:rsidRDefault="0094368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Северо-западнее города Тирасполь противник рано утром вновь начал атаковать наши позиции на правом берегу Днестра. Немцы ввели в бой крупные силы пехоты и танков. Наши пехотинцы, артиллеристы и бронебойщики, при поддержке авиации, отбили атаки противника. Во второй половине дня немцы подтянули дополнительные силы танков и самоходных орудий. Завязался ожесточённый бой. Советские гвардейцы мужественно и стойко сдерживали натиск численно превосходящих сил врага. Противник не добился успеха, хотя и понёс большие потери в живой силе. Сожжено и подбито 40 немецких танков и 11 самоходных орудий.</w:t>
      </w:r>
    </w:p>
    <w:p w14:paraId="596C1422" w14:textId="77777777" w:rsidR="0094368B" w:rsidRPr="007224C3" w:rsidRDefault="0094368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Наши лётчики в воздушных боях в течение дня сбили 23 немецких самолёта.</w:t>
      </w:r>
    </w:p>
    <w:p w14:paraId="224D507E" w14:textId="77777777" w:rsidR="0094368B" w:rsidRPr="007224C3" w:rsidRDefault="0094368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Береговыми батареями Северного оборонительного района потоплена немецкая самоходная баржа, пытавшаяся прорваться в порт Петсамо.</w:t>
      </w:r>
    </w:p>
    <w:p w14:paraId="0B15BA15" w14:textId="77777777" w:rsidR="0094368B" w:rsidRPr="007224C3" w:rsidRDefault="0094368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Отряд латвийских партизан «Смерть фашизму» внезапно напал на гитлеровцев, охранявших лагерь советских военнопленных и мирных жителей. Советские патриоты уничтожили немецкую охрану и освободили заключённых. Немецкие власти направили против партизан карательную экспедицию. Советские патриоты приняли бой, истребили 40 гитлеровцев, а остальных обратили в бегство. На-днях партизаны этого же отряда пустили под откос два немецких воинских эшелона.</w:t>
      </w:r>
    </w:p>
    <w:p w14:paraId="5B9075F8" w14:textId="77777777" w:rsidR="0094368B" w:rsidRPr="007224C3" w:rsidRDefault="0094368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Пленный ефрейтор 37 венгерского полка Денеш Чупор рассказал: «Когда мы уезжали на фронт, у казарм собралась большая толпа женщин. Они плакали и говорили: «Немцы грабят Венгрию, а вы едете на фронт. Оставайтесь дома, и пусть немцы сами воюют». На фронте нам зачитали приказ, в котором перечисляются наказания за воинские преступления: за невыполнение приказания — расстрел, за бегство с поля боя и дезертирство — расстрел, за потерю оружия — расстрел, за разведение костров — расстрел, за саботаж — расстрел, за оскорбление военнослужащих немецкой армии — расстрел. Всем без исключения солдатам и офицерам было предложено расписаться в том, что им известно содержание этого приказа. Такими крутыми мерами немецкое командование пытается удержать венгерских солдат в повиновении».</w:t>
      </w:r>
    </w:p>
    <w:p w14:paraId="500A89BA" w14:textId="77777777" w:rsidR="0094368B" w:rsidRPr="007224C3" w:rsidRDefault="0094368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Ниже публикуется акт о зверствах немецко-фашистских мерзавцев в посёлке Кирпичного завода и селе Куяльник, Одесской области: «Отступая под ударами Красной Армии, гитлеровцы вымещали свою злобу на мирных жителях. Девятого апреля немецкие солдаты и офицеры загнали в глиняный карьер женщин, детей и стариков и учинили над ними зверскую расправу. Фашистские палачи расстреливали ни в чём не повинных мирных советских людей из автоматов и пистолетов. Немецкие изверги в течение этого дня убили до 400 жителей. От рук фашистских палачей погибло более 30 малолетних детей».</w:t>
      </w:r>
    </w:p>
    <w:p w14:paraId="3F528E38" w14:textId="77777777" w:rsidR="0094368B" w:rsidRPr="007224C3" w:rsidRDefault="0094368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Акт подписали: Андрей Шинкарюк, Григорий Фесенко, Яков Кумпань, Прохор Диденко и другие.»</w:t>
      </w:r>
    </w:p>
    <w:p w14:paraId="5D26D887" w14:textId="77777777" w:rsidR="0094368B" w:rsidRPr="007224C3" w:rsidRDefault="0094368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Разгром немецких войск в Крыму. Итоги Крымской кампании:</w:t>
      </w:r>
    </w:p>
    <w:p w14:paraId="364D993F" w14:textId="77777777" w:rsidR="0094368B" w:rsidRPr="007224C3" w:rsidRDefault="0094368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«Сегодня, 12 мая, в Крыму закончилась операция по очищению района мыса Херсонес от остатков немецко-фашистских войск, разбитых при овладении нашими войсками городом Севастополь.</w:t>
      </w:r>
    </w:p>
    <w:p w14:paraId="59FCD66F" w14:textId="77777777" w:rsidR="0094368B" w:rsidRPr="007224C3" w:rsidRDefault="0094368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ходе боёв по разгрому Севастопольского плацдарма противника и очищению мыса Херсонес нашими войсками за период с 7 по 12 мая уничтожено: танков и самоходных орудий — 49, самолётов — 87, орудий разных — 308, миномётов — 331, пулемётов — 620, автомашин — 564, складов разных — 24.</w:t>
      </w:r>
    </w:p>
    <w:p w14:paraId="53BB4447" w14:textId="77777777" w:rsidR="0094368B" w:rsidRPr="007224C3" w:rsidRDefault="0094368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Противник потерял только убитыми более 20.000 солдат и офицеров.</w:t>
      </w:r>
    </w:p>
    <w:p w14:paraId="52373D78" w14:textId="77777777" w:rsidR="0094368B" w:rsidRPr="007224C3" w:rsidRDefault="0094368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Захвачено нашими войсками: танков и самоходных орудий — 48, самолётов — 49, орудий разных — 1.228, миномётов — 721, пулемётов — 4.859, винтовок и автоматов — 46.041, автомашин — 4.173, лошадей — 710, складов разных — 123, паровозов — 25, эшелонов с военной техникой — 14 и отдельно вагонов с разным военным имуществом — 540.</w:t>
      </w:r>
    </w:p>
    <w:p w14:paraId="2C3E1117" w14:textId="77777777" w:rsidR="0094368B" w:rsidRPr="007224C3" w:rsidRDefault="0094368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Взято в плен 24.361 солдат и офицеров, в том числе командир 5 армейского корпуса генерал-лейтенант Бемэ, командир 111 пехотной дивизии генерал-лейтенант Грюнер и несколько полковников.</w:t>
      </w:r>
    </w:p>
    <w:p w14:paraId="642279CB" w14:textId="77777777" w:rsidR="0094368B" w:rsidRPr="007224C3" w:rsidRDefault="0094368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 за период Крымской кампании с 8 апреля по 12 мая нашими войсками уничтожено: танков и самоходных орудий — 188, самолётов — 529, орудий разных — 775, миномётов — 946, пулемётов — 1.882, автомашин — 2.227, складов разных — 39.</w:t>
      </w:r>
    </w:p>
    <w:p w14:paraId="19A743CE" w14:textId="77777777" w:rsidR="0094368B" w:rsidRPr="007224C3" w:rsidRDefault="0094368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Противник потерял убитыми более 50.000 солдат и офицеров.</w:t>
      </w:r>
    </w:p>
    <w:p w14:paraId="40E0EE42" w14:textId="77777777" w:rsidR="0094368B" w:rsidRPr="007224C3" w:rsidRDefault="0094368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Захвачено: танков и самоходных орудий — 111, самолётов — 49, орудий разных — 2.304, миномётов — 1.449, пулемётов — 7.008, винтовок и автоматов — 84.524, автомашин — 4.809, лошадей — 11.684, складов, разных — 188, паровозов — 44, эшелонов с военной техникой — 14 и отдельно вагонов с разным военным имуществом — 2.865.</w:t>
      </w:r>
    </w:p>
    <w:p w14:paraId="10212B34" w14:textId="77777777" w:rsidR="0094368B" w:rsidRPr="007224C3" w:rsidRDefault="0094368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Взято в плен 61.587 солдат и офицеров, из них часть раненых.</w:t>
      </w:r>
    </w:p>
    <w:p w14:paraId="63831978" w14:textId="77777777" w:rsidR="0094368B" w:rsidRPr="007224C3" w:rsidRDefault="0094368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Таким образом, за всю Крымскую кампанию с 8 апреля по 12 мая противник потерял по главным видам боевой техники и людского состава: пленными и убитыми — 111.587 человек, танков и самоходных орудий — 299, самолётов — 578, орудий разных калибров — 3.079, автомашин — 7.036 и много другой техники.</w:t>
      </w:r>
    </w:p>
    <w:p w14:paraId="3774F78C" w14:textId="77777777" w:rsidR="0094368B" w:rsidRPr="007224C3" w:rsidRDefault="0094368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Кроме того, нашей авиацией и кораблями Черноморского флота с 8 апреля по 12 мая потоплено с войсками и военными грузами противника: транспортов — 69, быстроходных десантных барж — 56, сторожевых кораблей — 2, канонерских лодок — 2, тральщиков — 3, сторожевых катеров — 27 и других судов — 32. Всего потоплено за это время 191 судно разного тоннажа.» (14889).</w:t>
      </w:r>
    </w:p>
    <w:p w14:paraId="1D497F5E" w14:textId="77777777" w:rsidR="0094368B" w:rsidRPr="007224C3" w:rsidRDefault="0094368B" w:rsidP="007224C3">
      <w:pPr>
        <w:spacing w:after="0" w:line="240" w:lineRule="auto"/>
        <w:jc w:val="both"/>
        <w:rPr>
          <w:rFonts w:ascii="Times New Roman" w:hAnsi="Times New Roman"/>
          <w:color w:val="000000" w:themeColor="text1"/>
          <w:sz w:val="16"/>
          <w:szCs w:val="16"/>
        </w:rPr>
      </w:pPr>
    </w:p>
    <w:p w14:paraId="27A7F3E5"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мая 1944 Крым полностью освобожден от фашистов (4962).</w:t>
      </w:r>
    </w:p>
    <w:p w14:paraId="71445B40"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66D95E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May 12 1944 Germans surrender in Crimea (1050).</w:t>
      </w:r>
    </w:p>
    <w:p w14:paraId="151C3E8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79837D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мая 1944 немецкие войска в Крыму капитулировали (1050).</w:t>
      </w:r>
    </w:p>
    <w:p w14:paraId="25A3B2D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10935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мая 1944 п/л Щ-201 (П.И.Парамошкин) у маяка Олинька потопила транспорт Гейзерихс (3500 т), а А-5 (В.И.Матвеев) у маяка Херсонесский - Дуростор (1300 т) и шхуну Сейферд (300 т) (3398,179).</w:t>
      </w:r>
    </w:p>
    <w:p w14:paraId="5AF10AA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33972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среднем за 1943 1 боевая потеря приходилась на 26 б/в или 27 час., а за январь-апрель 1944 - 54 вылета и 55 часов. Безвозвратные боевые потери в расчете на все самолеты снизились с 3.9% до 1.9% (816,2).</w:t>
      </w:r>
    </w:p>
    <w:p w14:paraId="123A296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54236C"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22DFC47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D8202F1" w14:textId="77777777" w:rsidR="00B51C29" w:rsidRPr="007224C3" w:rsidRDefault="00B51C2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12 мая в 1944 году одно из боевых применений 50-мм авиационной пушки </w:t>
      </w:r>
      <w:hyperlink r:id="rId125" w:tgtFrame="_blank" w:history="1">
        <w:r w:rsidRPr="007224C3">
          <w:rPr>
            <w:rFonts w:ascii="Times New Roman" w:hAnsi="Times New Roman"/>
            <w:color w:val="000000" w:themeColor="text1"/>
            <w:sz w:val="16"/>
            <w:szCs w:val="16"/>
          </w:rPr>
          <w:t xml:space="preserve">«ВК 5» («BordKanone»), </w:t>
        </w:r>
      </w:hyperlink>
    </w:p>
    <w:p w14:paraId="7FB7CA56" w14:textId="77777777" w:rsidR="00B51C29" w:rsidRPr="007224C3" w:rsidRDefault="00B51C2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созданной на базе танковой 50-мм пушки, закончившейся очередной неудачей. Соединение из 26 «Ме-410» с 50-мм пушками атаковало 50-60 американских бомбардировщиков «В-17», идущих без истребителей сопровождения. На восьми «Ме-410» пушки «ВК5» отказали после первых же выстрелов. Девять «Ме-410» были сбиты оборонительным огнем бомбардировщиков.</w:t>
      </w:r>
    </w:p>
    <w:p w14:paraId="48DA4FEF" w14:textId="77777777" w:rsidR="00B51C29" w:rsidRPr="007224C3" w:rsidRDefault="00B51C2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Без преувеличения «ВК-5» можно назвать "самоделкой на коленке". В воздушных боях эта пушка часто отказывала и сколько всего было отказов «ВК5» - узнать не удалось, но, по-видимому, пушка отказывала сразу в каждом втором случае. Питание пушки «ВК-5» производилось из круглого магазина емкостью 21 патрон. В этой пушке закрывание и открывание затвора осуществлялось за счет энергии отката как в обычной полевой полуавтоматической пушке, а подача снарядов производилась специальным пневматическим приспособлением. Темп стрельбы «ВК-5» - 40 выстр./мин. Пушка вместе с механизмом перезарядки весила 592 кг. Начальная скорость снаряда 500 м/с. Комбинированный прицел «ZFR-4А» позволял вести прицельный огонь на дистанции до 1200 м. Устанавливалась на истребителях «Ме-210А-0», «Ме-410А-2» и «Ju-88».</w:t>
      </w:r>
    </w:p>
    <w:p w14:paraId="7A39660D" w14:textId="77777777" w:rsidR="00B51C29" w:rsidRPr="007224C3" w:rsidRDefault="00B51C2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Тем не менее, несмотря на её ненадёжность по указанию бездарного начальства пушку ВК-5 поставили даже на реактивный Ме-2б2А-1а (боекомплект 30 снарядов) (14889).</w:t>
      </w:r>
    </w:p>
    <w:p w14:paraId="070D05F3" w14:textId="77777777" w:rsidR="00B51C29" w:rsidRPr="007224C3" w:rsidRDefault="00B51C29" w:rsidP="007224C3">
      <w:pPr>
        <w:spacing w:after="0" w:line="240" w:lineRule="auto"/>
        <w:jc w:val="both"/>
        <w:rPr>
          <w:rFonts w:ascii="Times New Roman" w:hAnsi="Times New Roman"/>
          <w:color w:val="000000" w:themeColor="text1"/>
          <w:sz w:val="16"/>
          <w:szCs w:val="16"/>
        </w:rPr>
      </w:pPr>
    </w:p>
    <w:p w14:paraId="19A9ED4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мая 1944 согласно руководителю немецкой военной промышленности Альберту Шпееру противник окончательно одержал победу в сфере военного производства. До этого Германии удавалось, несмотря на значительные потери в вооружении, в общем и целом удовлетворять потребности Вермахта. После налета 935 б 5Ф США на заводы по производству искусственного горючего в центральной и южной Германии начался новый период воздушной войны, положивший начало полному краху военной промышленности. Вообще на Западе немцы потеряли 25% танков и штурмовых орудий, 40% самолетов, 40% военнослужащих (3843).</w:t>
      </w:r>
    </w:p>
    <w:p w14:paraId="26FFB66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043999" w14:textId="77777777" w:rsidR="00B51C29" w:rsidRPr="007224C3" w:rsidRDefault="00B51C29"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rPr>
        <w:t>С 12 мая 1944 8 ВА США (Англия) начала налеты на нефтеперерабатывающие заводы в Германии. Рейды</w:t>
      </w:r>
      <w:r w:rsidRPr="007224C3">
        <w:rPr>
          <w:rFonts w:ascii="Times New Roman" w:hAnsi="Times New Roman"/>
          <w:color w:val="000000" w:themeColor="text1"/>
          <w:sz w:val="16"/>
          <w:szCs w:val="16"/>
          <w:lang w:val="en-US"/>
        </w:rPr>
        <w:t xml:space="preserve"> 900-1400 </w:t>
      </w:r>
      <w:r w:rsidRPr="007224C3">
        <w:rPr>
          <w:rFonts w:ascii="Times New Roman" w:hAnsi="Times New Roman"/>
          <w:color w:val="000000" w:themeColor="text1"/>
          <w:sz w:val="16"/>
          <w:szCs w:val="16"/>
        </w:rPr>
        <w:t>бомбардировщиковидо</w:t>
      </w:r>
      <w:r w:rsidRPr="007224C3">
        <w:rPr>
          <w:rFonts w:ascii="Times New Roman" w:hAnsi="Times New Roman"/>
          <w:color w:val="000000" w:themeColor="text1"/>
          <w:sz w:val="16"/>
          <w:szCs w:val="16"/>
          <w:lang w:val="en-US"/>
        </w:rPr>
        <w:t xml:space="preserve"> 800 </w:t>
      </w:r>
      <w:r w:rsidRPr="007224C3">
        <w:rPr>
          <w:rFonts w:ascii="Times New Roman" w:hAnsi="Times New Roman"/>
          <w:color w:val="000000" w:themeColor="text1"/>
          <w:sz w:val="16"/>
          <w:szCs w:val="16"/>
        </w:rPr>
        <w:t>истребителей</w:t>
      </w:r>
      <w:r w:rsidRPr="007224C3">
        <w:rPr>
          <w:rFonts w:ascii="Times New Roman" w:hAnsi="Times New Roman"/>
          <w:color w:val="000000" w:themeColor="text1"/>
          <w:sz w:val="16"/>
          <w:szCs w:val="16"/>
          <w:lang w:val="en-US"/>
        </w:rPr>
        <w:t xml:space="preserve"> (1261,32).</w:t>
      </w:r>
    </w:p>
    <w:p w14:paraId="2C226951" w14:textId="77777777" w:rsidR="00B51C29" w:rsidRPr="007224C3" w:rsidRDefault="00B51C29"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F2F0DE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May 12th, 1944: In Italy, fierce German counter-attacks along the Gustav Line at Cassino. The US 8th Air Force (800 bombers) carries out attacks against the synthetic fuel plants at Leuna-Merseburg, Lutzkendorf, Zeitz and Brux (3819).</w:t>
      </w:r>
    </w:p>
    <w:p w14:paraId="0B347F8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80E260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мая 1944 были немецкие контратаки вдоль линии Густава у Монте Кассино. 8ВА (800 бомбардировщиков) выполнили налет на завод синтетического горючего и Леуна-Мерсебург, Цайтс и Брюкс (3819).</w:t>
      </w:r>
    </w:p>
    <w:p w14:paraId="51D4CFC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33CFD8"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1AB9876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A8C770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мая 1944 три опытных Ил-10 поступили на госиспытания в ГК НИИ ВВС, которые продолжались всего две недели. Летно-тактические данные Ил-10 оказались выдающимися: максимальная горизонтальная скорость полета на высоте 2800 м была равна 551 км/ч - почти на 150 км/ч больше, чем у двухместного Ил-2 (9532,5).</w:t>
      </w:r>
    </w:p>
    <w:p w14:paraId="59BEFDA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155BF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мая 1944 три опытные Ил-10 поступили на госиспытания в ГК НИИ ВВС (9528).</w:t>
      </w:r>
    </w:p>
    <w:p w14:paraId="4175CEF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Они продолжались всего две недели. Испытания проводила бригада во главе с ведущим инженером П.Т.Аброщенко. Оценка ведущего летчика-испытателя А.К.Долгова и летчиков облета была хорошей: “...самолет по технике пилотирования прост и не требует специального переучивания для перехода на него летчиков, летающих на самолетах Ил-2. Устойчивость и управляемость хорошие. Путевая устойчивость несколько велика. Нагрузки от рулей нормальные...”.</w:t>
      </w:r>
    </w:p>
    <w:p w14:paraId="5F9201C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Летно-тактические данные Ил-10 оказались выдающимися: при полетном весе 6335 кг на номинальном режиме работы двигателя максимальная скорость на высоте 2800 м оказалась равной 551 км/ч - почти на 150 км/ч больше максимальной скорости двухместного Ил-2. На высотах от земли до 2000 м скорость двухместного бронированного Ил-10 была всего лишь на 10-15 км/ч меньше скорости одноместных истребителей Me-109G-2 и FW-109A-4. Результаты госиспытаний Ил-10 и его показательные воздушные бои с истребителем Ла-5ФН подтвердили правильность основной идеи проектирования Ил-10. Она состояла в том, что оптимальное сочетание мощного вооружения бронированного штурмовика с большой скоростью и отличной маневренностью обеспечивает ему не только эффективное выполнение разнообразных боевых задач по уничтожению наземных целей, но и позволяет самолету вести активный воздушный бой со всеми типами вражеских истребителей.</w:t>
      </w:r>
    </w:p>
    <w:p w14:paraId="7F5BB2B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Это подтверждали выводы акта государственных испытаний Ил-10: “Высокая скорость полета, хорошая устойчивость и управляемость при аналогичным с Ил-2 оружии активного нападения позволяют самолету Ил-10 более эффективно осуществлять штурмовые действия, а повышенная обороноспособность и лучшее бронирование способствуют большему эффекту при ведении воздушного боя с истребителями противника. В эксплуатации самолет прост... Самолет Ил-10 является классическим образцом самолета-штурмовика”.</w:t>
      </w:r>
    </w:p>
    <w:p w14:paraId="7BE32A5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Отличные летно-тактические данные Ил-10 способствовали тому, что при сравнительной оценке штурмовиков Су-6, Ил-8 и Ил-10 с двигателями АМ-42, практически одновременно проходившими госиспытания, Ил-10 было отдано предпочтение (9528).</w:t>
      </w:r>
    </w:p>
    <w:p w14:paraId="54DCE13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B8D41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мая 1944 (то есть с опозданием на шесть месяцев) Ил-10 АМ-42 был сдан на государственные испытания в ГК НИИ ВВС КА (9649).</w:t>
      </w:r>
    </w:p>
    <w:p w14:paraId="25AC8F4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Опытный образец Ил-10 с мотором АМ-42 был представлен на испытания сразу в трех экземплярах, что позволило ведущему инженеру П.Т.Аброщенко (ведущий летчик-испытатель А.К.Долгов, штурман Горбунов) завершить испытания нового штурмовика всего за две недели.</w:t>
      </w:r>
    </w:p>
    <w:p w14:paraId="68008CD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мая, выполнив 43 полета по программе испытаний, бригада рапортовала об их успешном завершении. По мнению А. Долгова и летчиков облета ГК НИИ ВВС (А. Синельникова, М. Субботина, А. Живописцева и Г. Тинякова) новый штурмовик Ил-10 “по технике пилотирования прост и не требует специального переучивания для перехода на него летчиков, летающих на серийных самолетах Ил-2...</w:t>
      </w:r>
    </w:p>
    <w:p w14:paraId="782851A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Устойчивость и управляемость хорошие. Путевая устойчивость несколько велика. Нагрузки от рулей нормальные по величине и направлению. Нагрузки от рулей высоты несколько велики. На рулежке устойчивость самолета недостаточна...”</w:t>
      </w:r>
    </w:p>
    <w:p w14:paraId="3DD2227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выводах акта по результатам госиспытаний Ил-10-го отмечалось, что “...Ил-10, по сравнению с Ил-2, несмотря на ухудшение взлетно-поса-дочных свойств, имеет явное преимущество, в частности, максимальная скорость больше: у земли на 123 км/ч, на границе высотности на 147 км/ч</w:t>
      </w:r>
    </w:p>
    <w:p w14:paraId="4180966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Время набора высоты 3000 м меньше на 3 мин... Дальность горизонтального полета на высоте 500 м возросла на 120 км.</w:t>
      </w:r>
    </w:p>
    <w:p w14:paraId="7D17CF1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Высокая скорость полета, хорошая устойчивость и управляемость при аналогичном с самолетом Ил-2 оружии активного нападения позволяют самолету Ил-10 более эффективно осуществлять штурмовые действия, а повышенная обороноспособность и лучшее бронирование способствуют большему эффекту при ведении воздушного боя с истребителями противника...</w:t>
      </w:r>
    </w:p>
    <w:p w14:paraId="1570194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эксплуатации самолет прост... его производство может базироваться на технологии серийного производства Ил-2...</w:t>
      </w:r>
    </w:p>
    <w:p w14:paraId="088722C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Ил-10 является классическим образцом самолета-штурмовика...”</w:t>
      </w:r>
    </w:p>
    <w:p w14:paraId="434EA9B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Машина была рекомендована для постановки серийного производства при условии устранения выявленных дефектов, связанных главным образом с ненадежной работой винтомоторной установки. В этой связи штурмовик был возвращен в ОКБ на завод № 240 для доводки (9649).</w:t>
      </w:r>
    </w:p>
    <w:p w14:paraId="3BD11DB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0C3A75" w14:textId="77777777" w:rsidR="00C62CBE" w:rsidRPr="007224C3" w:rsidRDefault="00C62CBE"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lastRenderedPageBreak/>
        <w:t>13 мая 1944 на государственные испытания поступил опытный штурмовик Ил-10 АМ-42. В то же время вопрос о принятии Ил-8 на воору</w:t>
      </w:r>
      <w:r w:rsidRPr="007224C3">
        <w:rPr>
          <w:rFonts w:ascii="Times New Roman" w:hAnsi="Times New Roman"/>
          <w:color w:val="0070C0"/>
          <w:sz w:val="16"/>
          <w:szCs w:val="16"/>
        </w:rPr>
        <w:softHyphen/>
        <w:t>жение еще только обсуждался. Явно про</w:t>
      </w:r>
      <w:r w:rsidRPr="007224C3">
        <w:rPr>
          <w:rFonts w:ascii="Times New Roman" w:hAnsi="Times New Roman"/>
          <w:color w:val="0070C0"/>
          <w:sz w:val="16"/>
          <w:szCs w:val="16"/>
        </w:rPr>
        <w:softHyphen/>
        <w:t>слеживается желание наркомата поста</w:t>
      </w:r>
      <w:r w:rsidRPr="007224C3">
        <w:rPr>
          <w:rFonts w:ascii="Times New Roman" w:hAnsi="Times New Roman"/>
          <w:color w:val="0070C0"/>
          <w:sz w:val="16"/>
          <w:szCs w:val="16"/>
        </w:rPr>
        <w:softHyphen/>
        <w:t>вить</w:t>
      </w:r>
      <w:r w:rsidRPr="007224C3">
        <w:rPr>
          <w:rStyle w:val="9pt80"/>
          <w:rFonts w:ascii="Times New Roman" w:hAnsi="Times New Roman" w:cs="Times New Roman"/>
          <w:color w:val="0070C0"/>
          <w:w w:val="100"/>
          <w:sz w:val="16"/>
          <w:szCs w:val="16"/>
        </w:rPr>
        <w:t xml:space="preserve"> «на снабжение ВВСКА»</w:t>
      </w:r>
      <w:r w:rsidRPr="007224C3">
        <w:rPr>
          <w:rFonts w:ascii="Times New Roman" w:hAnsi="Times New Roman"/>
          <w:color w:val="0070C0"/>
          <w:sz w:val="16"/>
          <w:szCs w:val="16"/>
        </w:rPr>
        <w:t xml:space="preserve"> именно самолет Ил-8, как более удобный для массо</w:t>
      </w:r>
      <w:r w:rsidRPr="007224C3">
        <w:rPr>
          <w:rFonts w:ascii="Times New Roman" w:hAnsi="Times New Roman"/>
          <w:color w:val="0070C0"/>
          <w:sz w:val="16"/>
          <w:szCs w:val="16"/>
        </w:rPr>
        <w:softHyphen/>
        <w:t>вого производства.</w:t>
      </w:r>
    </w:p>
    <w:p w14:paraId="222B8CEC" w14:textId="77777777" w:rsidR="00C62CBE" w:rsidRPr="007224C3" w:rsidRDefault="00C62CBE"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Несомненно, внедрение в серию Су-6 АМ-42 потребовало бы перестройки сбо</w:t>
      </w:r>
      <w:r w:rsidRPr="007224C3">
        <w:rPr>
          <w:rFonts w:ascii="Times New Roman" w:hAnsi="Times New Roman"/>
          <w:color w:val="0070C0"/>
          <w:sz w:val="16"/>
          <w:szCs w:val="16"/>
        </w:rPr>
        <w:softHyphen/>
        <w:t>рочных конвейеров и изготовления но</w:t>
      </w:r>
      <w:r w:rsidRPr="007224C3">
        <w:rPr>
          <w:rFonts w:ascii="Times New Roman" w:hAnsi="Times New Roman"/>
          <w:color w:val="0070C0"/>
          <w:sz w:val="16"/>
          <w:szCs w:val="16"/>
        </w:rPr>
        <w:softHyphen/>
        <w:t>вой оснастки и инструмента, что в усло</w:t>
      </w:r>
      <w:r w:rsidRPr="007224C3">
        <w:rPr>
          <w:rFonts w:ascii="Times New Roman" w:hAnsi="Times New Roman"/>
          <w:color w:val="0070C0"/>
          <w:sz w:val="16"/>
          <w:szCs w:val="16"/>
        </w:rPr>
        <w:softHyphen/>
        <w:t>виях войны, несомненно, являлось опре</w:t>
      </w:r>
      <w:r w:rsidRPr="007224C3">
        <w:rPr>
          <w:rFonts w:ascii="Times New Roman" w:hAnsi="Times New Roman"/>
          <w:color w:val="0070C0"/>
          <w:sz w:val="16"/>
          <w:szCs w:val="16"/>
        </w:rPr>
        <w:softHyphen/>
        <w:t>деленным техническим риском. В то же время Ил-8 АМ-42 имел много общего с Ил-2 АМ-38ф, и в случае организации его серийного выпуска можно было ис</w:t>
      </w:r>
      <w:r w:rsidRPr="007224C3">
        <w:rPr>
          <w:rFonts w:ascii="Times New Roman" w:hAnsi="Times New Roman"/>
          <w:color w:val="0070C0"/>
          <w:sz w:val="16"/>
          <w:szCs w:val="16"/>
        </w:rPr>
        <w:softHyphen/>
        <w:t>пользовать те же конвейеры и большую часть имеющейся оснастки</w:t>
      </w:r>
      <w:r w:rsidRPr="007224C3">
        <w:rPr>
          <w:rStyle w:val="9pt80"/>
          <w:rFonts w:ascii="Times New Roman" w:hAnsi="Times New Roman" w:cs="Times New Roman"/>
          <w:color w:val="0070C0"/>
          <w:w w:val="100"/>
          <w:sz w:val="16"/>
          <w:szCs w:val="16"/>
        </w:rPr>
        <w:t xml:space="preserve"> </w:t>
      </w:r>
      <w:r w:rsidRPr="007224C3">
        <w:rPr>
          <w:rStyle w:val="9pt80"/>
          <w:rFonts w:ascii="Times New Roman" w:hAnsi="Times New Roman" w:cs="Times New Roman"/>
          <w:i w:val="0"/>
          <w:iCs w:val="0"/>
          <w:color w:val="0070C0"/>
          <w:w w:val="100"/>
          <w:sz w:val="16"/>
          <w:szCs w:val="16"/>
        </w:rPr>
        <w:t>(«50% дета</w:t>
      </w:r>
      <w:r w:rsidRPr="007224C3">
        <w:rPr>
          <w:rStyle w:val="9pt80"/>
          <w:rFonts w:ascii="Times New Roman" w:hAnsi="Times New Roman" w:cs="Times New Roman"/>
          <w:i w:val="0"/>
          <w:iCs w:val="0"/>
          <w:color w:val="0070C0"/>
          <w:w w:val="100"/>
          <w:sz w:val="16"/>
          <w:szCs w:val="16"/>
        </w:rPr>
        <w:softHyphen/>
        <w:t>лей и оснастки остается без изменений, а из 50% оснастки, которая подлежит пе</w:t>
      </w:r>
      <w:r w:rsidRPr="007224C3">
        <w:rPr>
          <w:rStyle w:val="9pt80"/>
          <w:rFonts w:ascii="Times New Roman" w:hAnsi="Times New Roman" w:cs="Times New Roman"/>
          <w:i w:val="0"/>
          <w:iCs w:val="0"/>
          <w:color w:val="0070C0"/>
          <w:w w:val="100"/>
          <w:sz w:val="16"/>
          <w:szCs w:val="16"/>
        </w:rPr>
        <w:softHyphen/>
        <w:t>ределке, 25% подвергается только обра</w:t>
      </w:r>
      <w:r w:rsidRPr="007224C3">
        <w:rPr>
          <w:rStyle w:val="9pt80"/>
          <w:rFonts w:ascii="Times New Roman" w:hAnsi="Times New Roman" w:cs="Times New Roman"/>
          <w:i w:val="0"/>
          <w:iCs w:val="0"/>
          <w:color w:val="0070C0"/>
          <w:w w:val="100"/>
          <w:sz w:val="16"/>
          <w:szCs w:val="16"/>
        </w:rPr>
        <w:softHyphen/>
        <w:t>ботке»</w:t>
      </w:r>
      <w:r w:rsidRPr="007224C3">
        <w:rPr>
          <w:rStyle w:val="9pt80"/>
          <w:rFonts w:ascii="Times New Roman" w:hAnsi="Times New Roman" w:cs="Times New Roman"/>
          <w:color w:val="0070C0"/>
          <w:w w:val="100"/>
          <w:sz w:val="16"/>
          <w:szCs w:val="16"/>
        </w:rPr>
        <w:t>),</w:t>
      </w:r>
      <w:r w:rsidRPr="007224C3">
        <w:rPr>
          <w:rFonts w:ascii="Times New Roman" w:hAnsi="Times New Roman"/>
          <w:color w:val="0070C0"/>
          <w:sz w:val="16"/>
          <w:szCs w:val="16"/>
        </w:rPr>
        <w:t xml:space="preserve"> Штурмовик Ил-10 в этом отно</w:t>
      </w:r>
      <w:r w:rsidRPr="007224C3">
        <w:rPr>
          <w:rFonts w:ascii="Times New Roman" w:hAnsi="Times New Roman"/>
          <w:color w:val="0070C0"/>
          <w:sz w:val="16"/>
          <w:szCs w:val="16"/>
        </w:rPr>
        <w:softHyphen/>
        <w:t>шении заметно уступал «восьмерке», что впоследствии стало для НКАП</w:t>
      </w:r>
      <w:r w:rsidRPr="007224C3">
        <w:rPr>
          <w:rStyle w:val="9pt80"/>
          <w:rFonts w:ascii="Times New Roman" w:hAnsi="Times New Roman" w:cs="Times New Roman"/>
          <w:color w:val="0070C0"/>
          <w:w w:val="100"/>
          <w:sz w:val="16"/>
          <w:szCs w:val="16"/>
        </w:rPr>
        <w:t xml:space="preserve"> «неожидан</w:t>
      </w:r>
      <w:r w:rsidRPr="007224C3">
        <w:rPr>
          <w:rStyle w:val="9pt80"/>
          <w:rFonts w:ascii="Times New Roman" w:hAnsi="Times New Roman" w:cs="Times New Roman"/>
          <w:color w:val="0070C0"/>
          <w:w w:val="100"/>
          <w:sz w:val="16"/>
          <w:szCs w:val="16"/>
        </w:rPr>
        <w:softHyphen/>
        <w:t>ным открытием».</w:t>
      </w:r>
    </w:p>
    <w:p w14:paraId="7BC9FB38" w14:textId="77777777" w:rsidR="00C62CBE" w:rsidRPr="007224C3" w:rsidRDefault="00C62CBE"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Как следует из документов, Ша</w:t>
      </w:r>
      <w:r w:rsidRPr="007224C3">
        <w:rPr>
          <w:rFonts w:ascii="Times New Roman" w:hAnsi="Times New Roman"/>
          <w:color w:val="0070C0"/>
          <w:sz w:val="16"/>
          <w:szCs w:val="16"/>
          <w:lang w:val="en-US"/>
        </w:rPr>
        <w:t>xy</w:t>
      </w:r>
      <w:r w:rsidRPr="007224C3">
        <w:rPr>
          <w:rFonts w:ascii="Times New Roman" w:hAnsi="Times New Roman"/>
          <w:color w:val="0070C0"/>
          <w:sz w:val="16"/>
          <w:szCs w:val="16"/>
        </w:rPr>
        <w:t>рин, не дожидаясь окончательного ре</w:t>
      </w:r>
      <w:r w:rsidRPr="007224C3">
        <w:rPr>
          <w:rFonts w:ascii="Times New Roman" w:hAnsi="Times New Roman"/>
          <w:color w:val="0070C0"/>
          <w:sz w:val="16"/>
          <w:szCs w:val="16"/>
        </w:rPr>
        <w:softHyphen/>
        <w:t>шения военных, дал указание о срочном развертывании серийного производства Ил-8 АМ-42 на авиазаводе №18. Тем бо</w:t>
      </w:r>
      <w:r w:rsidRPr="007224C3">
        <w:rPr>
          <w:rFonts w:ascii="Times New Roman" w:hAnsi="Times New Roman"/>
          <w:color w:val="0070C0"/>
          <w:sz w:val="16"/>
          <w:szCs w:val="16"/>
        </w:rPr>
        <w:softHyphen/>
        <w:t>лее что в наркомате имелось письмо главного инженера ВВС КА генерал-полковника Репина.</w:t>
      </w:r>
    </w:p>
    <w:p w14:paraId="0EB78A1C" w14:textId="4B13210E" w:rsidR="00C62CBE" w:rsidRPr="007224C3" w:rsidRDefault="00C62CBE"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Остается неизвестным, согласовыва</w:t>
      </w:r>
      <w:r w:rsidRPr="007224C3">
        <w:rPr>
          <w:rFonts w:ascii="Times New Roman" w:hAnsi="Times New Roman"/>
          <w:color w:val="0070C0"/>
          <w:sz w:val="16"/>
          <w:szCs w:val="16"/>
        </w:rPr>
        <w:softHyphen/>
        <w:t>лось ли это решение предварительно с ГКО или нет. Скорее всего, в той или иной мере этот вопрос все же обсуждался. Од</w:t>
      </w:r>
      <w:r w:rsidRPr="007224C3">
        <w:rPr>
          <w:rFonts w:ascii="Times New Roman" w:hAnsi="Times New Roman"/>
          <w:color w:val="0070C0"/>
          <w:sz w:val="16"/>
          <w:szCs w:val="16"/>
        </w:rPr>
        <w:softHyphen/>
        <w:t>нако документального подтверждения обращения НКАП к руководству страны с предложением разрешить серийный вы</w:t>
      </w:r>
      <w:r w:rsidRPr="007224C3">
        <w:rPr>
          <w:rFonts w:ascii="Times New Roman" w:hAnsi="Times New Roman"/>
          <w:color w:val="0070C0"/>
          <w:sz w:val="16"/>
          <w:szCs w:val="16"/>
        </w:rPr>
        <w:softHyphen/>
        <w:t>пуск самолета Ил-8 и получение положи</w:t>
      </w:r>
      <w:r w:rsidRPr="007224C3">
        <w:rPr>
          <w:rFonts w:ascii="Times New Roman" w:hAnsi="Times New Roman"/>
          <w:color w:val="0070C0"/>
          <w:sz w:val="16"/>
          <w:szCs w:val="16"/>
        </w:rPr>
        <w:softHyphen/>
        <w:t>тельного или отрицательного ответа по нему пока не найдено (19853).</w:t>
      </w:r>
    </w:p>
    <w:p w14:paraId="323A03E7" w14:textId="77777777" w:rsidR="00C62CBE" w:rsidRPr="007224C3" w:rsidRDefault="00C62CBE" w:rsidP="007224C3">
      <w:pPr>
        <w:spacing w:after="0" w:line="240" w:lineRule="auto"/>
        <w:jc w:val="both"/>
        <w:rPr>
          <w:rFonts w:ascii="Times New Roman" w:hAnsi="Times New Roman"/>
          <w:color w:val="0070C0"/>
          <w:sz w:val="16"/>
          <w:szCs w:val="16"/>
        </w:rPr>
      </w:pPr>
    </w:p>
    <w:p w14:paraId="606D6EE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мая 1944 (то есть с опозданием на шесть месяцев) в ГосНИИ ВВС (с 1 мая 1944 г. НИИ ВВС стал именоваться Государ</w:t>
      </w:r>
      <w:r w:rsidRPr="007224C3">
        <w:rPr>
          <w:rFonts w:ascii="Times New Roman" w:hAnsi="Times New Roman"/>
          <w:color w:val="000000" w:themeColor="text1"/>
          <w:sz w:val="16"/>
          <w:szCs w:val="16"/>
        </w:rPr>
        <w:softHyphen/>
        <w:t>ственным научно-испытательным инсти</w:t>
      </w:r>
      <w:r w:rsidRPr="007224C3">
        <w:rPr>
          <w:rFonts w:ascii="Times New Roman" w:hAnsi="Times New Roman"/>
          <w:color w:val="000000" w:themeColor="text1"/>
          <w:sz w:val="16"/>
          <w:szCs w:val="16"/>
        </w:rPr>
        <w:softHyphen/>
        <w:t>тутом ВВС) опытный образец Ил-10 пе</w:t>
      </w:r>
      <w:r w:rsidRPr="007224C3">
        <w:rPr>
          <w:rFonts w:ascii="Times New Roman" w:hAnsi="Times New Roman"/>
          <w:color w:val="000000" w:themeColor="text1"/>
          <w:sz w:val="16"/>
          <w:szCs w:val="16"/>
        </w:rPr>
        <w:softHyphen/>
        <w:t>редали для государственных испытаний. На самолете устанавливался винт типа АВ-5Л-24 диаметром 3,6 м. Бригада в составе ведущего инженера майора П.Т. Аброщенко, его помощ</w:t>
      </w:r>
      <w:r w:rsidRPr="007224C3">
        <w:rPr>
          <w:rFonts w:ascii="Times New Roman" w:hAnsi="Times New Roman"/>
          <w:color w:val="000000" w:themeColor="text1"/>
          <w:sz w:val="16"/>
          <w:szCs w:val="16"/>
        </w:rPr>
        <w:softHyphen/>
        <w:t>ника капитана С.Г. Фролова, ведущего летчика подполковника А.К. Долгова и штурмана Горбунова сумела завершить испытания нового штурмовика всего за две недели. Уже 27 мая, выполнив 43 полета (налет 22 ч 37 мин), бригада ра</w:t>
      </w:r>
      <w:r w:rsidRPr="007224C3">
        <w:rPr>
          <w:rFonts w:ascii="Times New Roman" w:hAnsi="Times New Roman"/>
          <w:color w:val="000000" w:themeColor="text1"/>
          <w:sz w:val="16"/>
          <w:szCs w:val="16"/>
        </w:rPr>
        <w:softHyphen/>
        <w:t>портовала об их успешном завершении. Вес пустого самолета Ил-10, пред</w:t>
      </w:r>
      <w:r w:rsidRPr="007224C3">
        <w:rPr>
          <w:rFonts w:ascii="Times New Roman" w:hAnsi="Times New Roman"/>
          <w:color w:val="000000" w:themeColor="text1"/>
          <w:sz w:val="16"/>
          <w:szCs w:val="16"/>
        </w:rPr>
        <w:softHyphen/>
        <w:t>ставленного на госиспытания, составлял 4680 кг; нормальный полетный вес при этом равнялся 6335 кг. В перегрузку можно было взять до 500 кг бомб (две ФАБ-250) на наружной подвеске либо до 600 кг—внутри (мелкие бомбы в отсе</w:t>
      </w:r>
      <w:r w:rsidRPr="007224C3">
        <w:rPr>
          <w:rFonts w:ascii="Times New Roman" w:hAnsi="Times New Roman"/>
          <w:color w:val="000000" w:themeColor="text1"/>
          <w:sz w:val="16"/>
          <w:szCs w:val="16"/>
        </w:rPr>
        <w:softHyphen/>
        <w:t>ках). Подвижная установка ВУ-7 обеспе</w:t>
      </w:r>
      <w:r w:rsidRPr="007224C3">
        <w:rPr>
          <w:rFonts w:ascii="Times New Roman" w:hAnsi="Times New Roman"/>
          <w:color w:val="000000" w:themeColor="text1"/>
          <w:sz w:val="16"/>
          <w:szCs w:val="16"/>
        </w:rPr>
        <w:softHyphen/>
        <w:t>чивала стрельбу в задней полусфере в секторах: вверх — 40° (от нейтрального положения, параллельного оси самоле</w:t>
      </w:r>
      <w:r w:rsidRPr="007224C3">
        <w:rPr>
          <w:rFonts w:ascii="Times New Roman" w:hAnsi="Times New Roman"/>
          <w:color w:val="000000" w:themeColor="text1"/>
          <w:sz w:val="16"/>
          <w:szCs w:val="16"/>
        </w:rPr>
        <w:softHyphen/>
        <w:t>та), вниз— 15° (с поворотом пулемета к борту), вправо — 55°, влево — 50°. В итоге летно-тактические данные штурмовика Ил-10 сочли выдающимися. При нормальном полетном весе на но</w:t>
      </w:r>
      <w:r w:rsidRPr="007224C3">
        <w:rPr>
          <w:rFonts w:ascii="Times New Roman" w:hAnsi="Times New Roman"/>
          <w:color w:val="000000" w:themeColor="text1"/>
          <w:sz w:val="16"/>
          <w:szCs w:val="16"/>
        </w:rPr>
        <w:softHyphen/>
        <w:t>минальном режиме работы мотора мак</w:t>
      </w:r>
      <w:r w:rsidRPr="007224C3">
        <w:rPr>
          <w:rFonts w:ascii="Times New Roman" w:hAnsi="Times New Roman"/>
          <w:color w:val="000000" w:themeColor="text1"/>
          <w:sz w:val="16"/>
          <w:szCs w:val="16"/>
        </w:rPr>
        <w:softHyphen/>
        <w:t>симальная горизонтальная скорость по</w:t>
      </w:r>
      <w:r w:rsidRPr="007224C3">
        <w:rPr>
          <w:rFonts w:ascii="Times New Roman" w:hAnsi="Times New Roman"/>
          <w:color w:val="000000" w:themeColor="text1"/>
          <w:sz w:val="16"/>
          <w:szCs w:val="16"/>
        </w:rPr>
        <w:softHyphen/>
        <w:t>лета на высоте 2800 м оказалась рав</w:t>
      </w:r>
      <w:r w:rsidRPr="007224C3">
        <w:rPr>
          <w:rFonts w:ascii="Times New Roman" w:hAnsi="Times New Roman"/>
          <w:color w:val="000000" w:themeColor="text1"/>
          <w:sz w:val="16"/>
          <w:szCs w:val="16"/>
        </w:rPr>
        <w:softHyphen/>
        <w:t>ной 551 км/ч — почти на 150 км/ч больше максимальной скорости Ил-2 с АМ-38Ф, а максимальная скорость у земли соста</w:t>
      </w:r>
      <w:r w:rsidRPr="007224C3">
        <w:rPr>
          <w:rFonts w:ascii="Times New Roman" w:hAnsi="Times New Roman"/>
          <w:color w:val="000000" w:themeColor="text1"/>
          <w:sz w:val="16"/>
          <w:szCs w:val="16"/>
        </w:rPr>
        <w:softHyphen/>
        <w:t>вила 507 км/ч. Время набора высоты 1000 м не превышало 1,6 мин, а высоты 3000 м — 5,0 мин. Вертикальная ско</w:t>
      </w:r>
      <w:r w:rsidRPr="007224C3">
        <w:rPr>
          <w:rFonts w:ascii="Times New Roman" w:hAnsi="Times New Roman"/>
          <w:color w:val="000000" w:themeColor="text1"/>
          <w:sz w:val="16"/>
          <w:szCs w:val="16"/>
        </w:rPr>
        <w:softHyphen/>
        <w:t>рость у земли равнялась 9,8 м/с. Макси</w:t>
      </w:r>
      <w:r w:rsidRPr="007224C3">
        <w:rPr>
          <w:rFonts w:ascii="Times New Roman" w:hAnsi="Times New Roman"/>
          <w:color w:val="000000" w:themeColor="text1"/>
          <w:sz w:val="16"/>
          <w:szCs w:val="16"/>
        </w:rPr>
        <w:softHyphen/>
        <w:t>мальная техническая дальность полета составила 800 км (продолжительность полета 2 ч 28 мин). Длина разбега со щитками и с форсажем мотора — 475 м. Посадочная скорость нового штурмови-ка была почти такой же, как у Ил-2. При посадочном весе 5380 кг и с отклонен</w:t>
      </w:r>
      <w:r w:rsidRPr="007224C3">
        <w:rPr>
          <w:rFonts w:ascii="Times New Roman" w:hAnsi="Times New Roman"/>
          <w:color w:val="000000" w:themeColor="text1"/>
          <w:sz w:val="16"/>
          <w:szCs w:val="16"/>
        </w:rPr>
        <w:softHyphen/>
        <w:t>ными на 45° щитками она равнялась 148 км/ч. Удельные нагрузки на крыло и мощ</w:t>
      </w:r>
      <w:r w:rsidRPr="007224C3">
        <w:rPr>
          <w:rFonts w:ascii="Times New Roman" w:hAnsi="Times New Roman"/>
          <w:color w:val="000000" w:themeColor="text1"/>
          <w:sz w:val="16"/>
          <w:szCs w:val="16"/>
        </w:rPr>
        <w:softHyphen/>
        <w:t>ность мотора при нормальном полетном весе 6335 кг, равные 211,2 кг/м</w:t>
      </w:r>
      <w:r w:rsidRPr="007224C3">
        <w:rPr>
          <w:rFonts w:ascii="Times New Roman" w:hAnsi="Times New Roman"/>
          <w:color w:val="000000" w:themeColor="text1"/>
          <w:sz w:val="16"/>
          <w:szCs w:val="16"/>
          <w:vertAlign w:val="superscript"/>
        </w:rPr>
        <w:t>2</w:t>
      </w:r>
      <w:r w:rsidRPr="007224C3">
        <w:rPr>
          <w:rFonts w:ascii="Times New Roman" w:hAnsi="Times New Roman"/>
          <w:color w:val="000000" w:themeColor="text1"/>
          <w:sz w:val="16"/>
          <w:szCs w:val="16"/>
        </w:rPr>
        <w:t xml:space="preserve"> и 3,17 кг/л.с. соответственно, полностью соответ</w:t>
      </w:r>
      <w:r w:rsidRPr="007224C3">
        <w:rPr>
          <w:rFonts w:ascii="Times New Roman" w:hAnsi="Times New Roman"/>
          <w:color w:val="000000" w:themeColor="text1"/>
          <w:sz w:val="16"/>
          <w:szCs w:val="16"/>
        </w:rPr>
        <w:softHyphen/>
        <w:t>ствовали концепции маневренного ско</w:t>
      </w:r>
      <w:r w:rsidRPr="007224C3">
        <w:rPr>
          <w:rFonts w:ascii="Times New Roman" w:hAnsi="Times New Roman"/>
          <w:color w:val="000000" w:themeColor="text1"/>
          <w:sz w:val="16"/>
          <w:szCs w:val="16"/>
        </w:rPr>
        <w:softHyphen/>
        <w:t>ростного штурмовика. На «рабочих» вы</w:t>
      </w:r>
      <w:r w:rsidRPr="007224C3">
        <w:rPr>
          <w:rFonts w:ascii="Times New Roman" w:hAnsi="Times New Roman"/>
          <w:color w:val="000000" w:themeColor="text1"/>
          <w:sz w:val="16"/>
          <w:szCs w:val="16"/>
        </w:rPr>
        <w:softHyphen/>
        <w:t>сотах (от земли до 1500 м) скорость двух</w:t>
      </w:r>
      <w:r w:rsidRPr="007224C3">
        <w:rPr>
          <w:rFonts w:ascii="Times New Roman" w:hAnsi="Times New Roman"/>
          <w:color w:val="000000" w:themeColor="text1"/>
          <w:sz w:val="16"/>
          <w:szCs w:val="16"/>
        </w:rPr>
        <w:softHyphen/>
        <w:t>местного бронированного Ил-10 была всего лишь на 10 — 40 км/ч меньше макси</w:t>
      </w:r>
      <w:r w:rsidRPr="007224C3">
        <w:rPr>
          <w:rFonts w:ascii="Times New Roman" w:hAnsi="Times New Roman"/>
          <w:color w:val="000000" w:themeColor="text1"/>
          <w:sz w:val="16"/>
          <w:szCs w:val="16"/>
        </w:rPr>
        <w:softHyphen/>
        <w:t>мальных скоростей массовых истребите</w:t>
      </w:r>
      <w:r w:rsidRPr="007224C3">
        <w:rPr>
          <w:rFonts w:ascii="Times New Roman" w:hAnsi="Times New Roman"/>
          <w:color w:val="000000" w:themeColor="text1"/>
          <w:sz w:val="16"/>
          <w:szCs w:val="16"/>
        </w:rPr>
        <w:softHyphen/>
        <w:t>лей Люфтваффе Ме109С-2 и ФВ190А-4. Несмотря на то, что установленный на опытном образце Ил-10 мотор работал с перебоями, дымил и плевался маслом, новый штурмовик оставил у летчиков НИИ ВВС приятное впечатление по ус</w:t>
      </w:r>
      <w:r w:rsidRPr="007224C3">
        <w:rPr>
          <w:rFonts w:ascii="Times New Roman" w:hAnsi="Times New Roman"/>
          <w:color w:val="000000" w:themeColor="text1"/>
          <w:sz w:val="16"/>
          <w:szCs w:val="16"/>
        </w:rPr>
        <w:softHyphen/>
        <w:t>тойчивости, управляемости и летным качествам. Во всем диапазоне скоростей (от минимальной по сваливанию до мак</w:t>
      </w:r>
      <w:r w:rsidRPr="007224C3">
        <w:rPr>
          <w:rFonts w:ascii="Times New Roman" w:hAnsi="Times New Roman"/>
          <w:color w:val="000000" w:themeColor="text1"/>
          <w:sz w:val="16"/>
          <w:szCs w:val="16"/>
        </w:rPr>
        <w:softHyphen/>
        <w:t>симальной) самолет был устойчив по всем трем осям и показал прекрасную маневренность, как в горизонтальной плоскости, так и в вертикальной. По мнению ведущего летчика А.К. Долгова и летчиков облета А.В. Си</w:t>
      </w:r>
      <w:r w:rsidRPr="007224C3">
        <w:rPr>
          <w:rFonts w:ascii="Times New Roman" w:hAnsi="Times New Roman"/>
          <w:color w:val="000000" w:themeColor="text1"/>
          <w:sz w:val="16"/>
          <w:szCs w:val="16"/>
        </w:rPr>
        <w:softHyphen/>
        <w:t>нельникова, М.П. Субботина, А. Живописцева и Г. Тинякова, новый штурмовик «...по технике пилотирования прост и не требует специального переучивания для перехода на него летчиков, летающих на серийных самолетах Ил-2... Устойчи</w:t>
      </w:r>
      <w:r w:rsidRPr="007224C3">
        <w:rPr>
          <w:rFonts w:ascii="Times New Roman" w:hAnsi="Times New Roman"/>
          <w:color w:val="000000" w:themeColor="text1"/>
          <w:sz w:val="16"/>
          <w:szCs w:val="16"/>
        </w:rPr>
        <w:softHyphen/>
        <w:t>вость и управляемость хорошие. Путе</w:t>
      </w:r>
      <w:r w:rsidRPr="007224C3">
        <w:rPr>
          <w:rFonts w:ascii="Times New Roman" w:hAnsi="Times New Roman"/>
          <w:color w:val="000000" w:themeColor="text1"/>
          <w:sz w:val="16"/>
          <w:szCs w:val="16"/>
        </w:rPr>
        <w:softHyphen/>
        <w:t>вая устойчивость несколько велика. На</w:t>
      </w:r>
      <w:r w:rsidRPr="007224C3">
        <w:rPr>
          <w:rFonts w:ascii="Times New Roman" w:hAnsi="Times New Roman"/>
          <w:color w:val="000000" w:themeColor="text1"/>
          <w:sz w:val="16"/>
          <w:szCs w:val="16"/>
        </w:rPr>
        <w:softHyphen/>
        <w:t>грузки от рулей нормальные по величи</w:t>
      </w:r>
      <w:r w:rsidRPr="007224C3">
        <w:rPr>
          <w:rFonts w:ascii="Times New Roman" w:hAnsi="Times New Roman"/>
          <w:color w:val="000000" w:themeColor="text1"/>
          <w:sz w:val="16"/>
          <w:szCs w:val="16"/>
        </w:rPr>
        <w:softHyphen/>
        <w:t>не и направлению. Нагрузки от рулей высоты несколько велики. На рулежке устойчивость самолета недостаточ</w:t>
      </w:r>
      <w:r w:rsidRPr="007224C3">
        <w:rPr>
          <w:rFonts w:ascii="Times New Roman" w:hAnsi="Times New Roman"/>
          <w:color w:val="000000" w:themeColor="text1"/>
          <w:sz w:val="16"/>
          <w:szCs w:val="16"/>
        </w:rPr>
        <w:softHyphen/>
        <w:t>ная...». Но были выявлены и существенные недостатки: не предусматривался ава</w:t>
      </w:r>
      <w:r w:rsidRPr="007224C3">
        <w:rPr>
          <w:rFonts w:ascii="Times New Roman" w:hAnsi="Times New Roman"/>
          <w:color w:val="000000" w:themeColor="text1"/>
          <w:sz w:val="16"/>
          <w:szCs w:val="16"/>
        </w:rPr>
        <w:softHyphen/>
        <w:t>рийный сброс фонарей кабин; экипаж страдал от невыносимой жары — через кабину проходила горячая водяная ма</w:t>
      </w:r>
      <w:r w:rsidRPr="007224C3">
        <w:rPr>
          <w:rFonts w:ascii="Times New Roman" w:hAnsi="Times New Roman"/>
          <w:color w:val="000000" w:themeColor="text1"/>
          <w:sz w:val="16"/>
          <w:szCs w:val="16"/>
        </w:rPr>
        <w:softHyphen/>
        <w:t>гистраль, практически не имевшая теп</w:t>
      </w:r>
      <w:r w:rsidRPr="007224C3">
        <w:rPr>
          <w:rFonts w:ascii="Times New Roman" w:hAnsi="Times New Roman"/>
          <w:color w:val="000000" w:themeColor="text1"/>
          <w:sz w:val="16"/>
          <w:szCs w:val="16"/>
        </w:rPr>
        <w:softHyphen/>
        <w:t>лоизоляции. Отсутствовала система ней</w:t>
      </w:r>
      <w:r w:rsidRPr="007224C3">
        <w:rPr>
          <w:rFonts w:ascii="Times New Roman" w:hAnsi="Times New Roman"/>
          <w:color w:val="000000" w:themeColor="text1"/>
          <w:sz w:val="16"/>
          <w:szCs w:val="16"/>
        </w:rPr>
        <w:softHyphen/>
        <w:t>трального газа, уже ставшая нормой для большинства боевых машин. Плохо ра</w:t>
      </w:r>
      <w:r w:rsidRPr="007224C3">
        <w:rPr>
          <w:rFonts w:ascii="Times New Roman" w:hAnsi="Times New Roman"/>
          <w:color w:val="000000" w:themeColor="text1"/>
          <w:sz w:val="16"/>
          <w:szCs w:val="16"/>
        </w:rPr>
        <w:softHyphen/>
        <w:t>ботали тормоза колес. В выводах акта по результатам испы</w:t>
      </w:r>
      <w:r w:rsidRPr="007224C3">
        <w:rPr>
          <w:rFonts w:ascii="Times New Roman" w:hAnsi="Times New Roman"/>
          <w:color w:val="000000" w:themeColor="text1"/>
          <w:sz w:val="16"/>
          <w:szCs w:val="16"/>
        </w:rPr>
        <w:softHyphen/>
        <w:t>таний отмечалось: "...Ил-10, по сравне</w:t>
      </w:r>
      <w:r w:rsidRPr="007224C3">
        <w:rPr>
          <w:rFonts w:ascii="Times New Roman" w:hAnsi="Times New Roman"/>
          <w:color w:val="000000" w:themeColor="text1"/>
          <w:sz w:val="16"/>
          <w:szCs w:val="16"/>
        </w:rPr>
        <w:softHyphen/>
        <w:t>нию с Ил-2, несмотря на ухудшение взлет</w:t>
      </w:r>
      <w:r w:rsidRPr="007224C3">
        <w:rPr>
          <w:rFonts w:ascii="Times New Roman" w:hAnsi="Times New Roman"/>
          <w:color w:val="000000" w:themeColor="text1"/>
          <w:sz w:val="16"/>
          <w:szCs w:val="16"/>
        </w:rPr>
        <w:softHyphen/>
        <w:t>но-посадочных свойств, имеет явное пре</w:t>
      </w:r>
      <w:r w:rsidRPr="007224C3">
        <w:rPr>
          <w:rFonts w:ascii="Times New Roman" w:hAnsi="Times New Roman"/>
          <w:color w:val="000000" w:themeColor="text1"/>
          <w:sz w:val="16"/>
          <w:szCs w:val="16"/>
        </w:rPr>
        <w:softHyphen/>
        <w:t>имущество, в частности, максимальная скорость больше: у земли на 123 км/ч, на границе высотности на 147 км/ч... Время набора высоты 3000 м меньше на 3 мин... Дальность горизонтального по</w:t>
      </w:r>
      <w:r w:rsidRPr="007224C3">
        <w:rPr>
          <w:rFonts w:ascii="Times New Roman" w:hAnsi="Times New Roman"/>
          <w:color w:val="000000" w:themeColor="text1"/>
          <w:sz w:val="16"/>
          <w:szCs w:val="16"/>
        </w:rPr>
        <w:softHyphen/>
        <w:t>лета на высоте 500 м возросла на 120 км... Высокая скорость полета, хо</w:t>
      </w:r>
      <w:r w:rsidRPr="007224C3">
        <w:rPr>
          <w:rFonts w:ascii="Times New Roman" w:hAnsi="Times New Roman"/>
          <w:color w:val="000000" w:themeColor="text1"/>
          <w:sz w:val="16"/>
          <w:szCs w:val="16"/>
        </w:rPr>
        <w:softHyphen/>
        <w:t>рошая устойчивость и управляемость при аналогичном с самолетом Ил-2 оружии активного нападения позволя</w:t>
      </w:r>
      <w:r w:rsidRPr="007224C3">
        <w:rPr>
          <w:rFonts w:ascii="Times New Roman" w:hAnsi="Times New Roman"/>
          <w:color w:val="000000" w:themeColor="text1"/>
          <w:sz w:val="16"/>
          <w:szCs w:val="16"/>
        </w:rPr>
        <w:softHyphen/>
        <w:t>ют самолету Ил-10 более эффективно осуществлять штурмовые действия, а повышенная обороноспособность и лучшее бронирование способствуют большему эффекту при ведении воздуш</w:t>
      </w:r>
      <w:r w:rsidRPr="007224C3">
        <w:rPr>
          <w:rFonts w:ascii="Times New Roman" w:hAnsi="Times New Roman"/>
          <w:color w:val="000000" w:themeColor="text1"/>
          <w:sz w:val="16"/>
          <w:szCs w:val="16"/>
        </w:rPr>
        <w:softHyphen/>
        <w:t>ного боя с истребителями противника... В эксплуатации самолет прост... его про</w:t>
      </w:r>
      <w:r w:rsidRPr="007224C3">
        <w:rPr>
          <w:rFonts w:ascii="Times New Roman" w:hAnsi="Times New Roman"/>
          <w:color w:val="000000" w:themeColor="text1"/>
          <w:sz w:val="16"/>
          <w:szCs w:val="16"/>
        </w:rPr>
        <w:softHyphen/>
        <w:t>изводство может базироваться на техно</w:t>
      </w:r>
      <w:r w:rsidRPr="007224C3">
        <w:rPr>
          <w:rFonts w:ascii="Times New Roman" w:hAnsi="Times New Roman"/>
          <w:color w:val="000000" w:themeColor="text1"/>
          <w:sz w:val="16"/>
          <w:szCs w:val="16"/>
        </w:rPr>
        <w:softHyphen/>
        <w:t>логии серийного производства Ил-2... Самолет Ил-10 является классическим образцом самолета-штурмовика...». Машина была рекомендована для массового серийного производства в ка</w:t>
      </w:r>
      <w:r w:rsidRPr="007224C3">
        <w:rPr>
          <w:rFonts w:ascii="Times New Roman" w:hAnsi="Times New Roman"/>
          <w:color w:val="000000" w:themeColor="text1"/>
          <w:sz w:val="16"/>
          <w:szCs w:val="16"/>
        </w:rPr>
        <w:softHyphen/>
        <w:t>честве основного типа штурмовика вза</w:t>
      </w:r>
      <w:r w:rsidRPr="007224C3">
        <w:rPr>
          <w:rFonts w:ascii="Times New Roman" w:hAnsi="Times New Roman"/>
          <w:color w:val="000000" w:themeColor="text1"/>
          <w:sz w:val="16"/>
          <w:szCs w:val="16"/>
        </w:rPr>
        <w:softHyphen/>
        <w:t>мен Ил-2 при условии обязательного ус</w:t>
      </w:r>
      <w:r w:rsidRPr="007224C3">
        <w:rPr>
          <w:rFonts w:ascii="Times New Roman" w:hAnsi="Times New Roman"/>
          <w:color w:val="000000" w:themeColor="text1"/>
          <w:sz w:val="16"/>
          <w:szCs w:val="16"/>
        </w:rPr>
        <w:softHyphen/>
        <w:t>транения выявленных дефектов и недо</w:t>
      </w:r>
      <w:r w:rsidRPr="007224C3">
        <w:rPr>
          <w:rFonts w:ascii="Times New Roman" w:hAnsi="Times New Roman"/>
          <w:color w:val="000000" w:themeColor="text1"/>
          <w:sz w:val="16"/>
          <w:szCs w:val="16"/>
        </w:rPr>
        <w:softHyphen/>
        <w:t>статков. В серии предлагалось изменить бронирование Ил-10, выполнив его по образцу Ил-8 (создававшегося парал</w:t>
      </w:r>
      <w:r w:rsidRPr="007224C3">
        <w:rPr>
          <w:rFonts w:ascii="Times New Roman" w:hAnsi="Times New Roman"/>
          <w:color w:val="000000" w:themeColor="text1"/>
          <w:sz w:val="16"/>
          <w:szCs w:val="16"/>
        </w:rPr>
        <w:softHyphen/>
        <w:t>лельно тяжелого штурмовика), а вопрос об оборонительном пушечном вооруже</w:t>
      </w:r>
      <w:r w:rsidRPr="007224C3">
        <w:rPr>
          <w:rFonts w:ascii="Times New Roman" w:hAnsi="Times New Roman"/>
          <w:color w:val="000000" w:themeColor="text1"/>
          <w:sz w:val="16"/>
          <w:szCs w:val="16"/>
        </w:rPr>
        <w:softHyphen/>
        <w:t>нии решить «после испытаний легких пу</w:t>
      </w:r>
      <w:r w:rsidRPr="007224C3">
        <w:rPr>
          <w:rFonts w:ascii="Times New Roman" w:hAnsi="Times New Roman"/>
          <w:color w:val="000000" w:themeColor="text1"/>
          <w:sz w:val="16"/>
          <w:szCs w:val="16"/>
        </w:rPr>
        <w:softHyphen/>
        <w:t>шек калибра 20 мм». Опытный образец самолета вернули на завод № 240 (10680).</w:t>
      </w:r>
    </w:p>
    <w:p w14:paraId="6143D4E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Если недостатки стрелково-пушечного вооружения Ил-10 легко устра</w:t>
      </w:r>
      <w:r w:rsidRPr="007224C3">
        <w:rPr>
          <w:rFonts w:ascii="Times New Roman" w:hAnsi="Times New Roman"/>
          <w:color w:val="000000" w:themeColor="text1"/>
          <w:sz w:val="16"/>
          <w:szCs w:val="16"/>
        </w:rPr>
        <w:softHyphen/>
        <w:t>нялись при переходе к конструктив</w:t>
      </w:r>
      <w:r w:rsidRPr="007224C3">
        <w:rPr>
          <w:rFonts w:ascii="Times New Roman" w:hAnsi="Times New Roman"/>
          <w:color w:val="000000" w:themeColor="text1"/>
          <w:sz w:val="16"/>
          <w:szCs w:val="16"/>
        </w:rPr>
        <w:softHyphen/>
        <w:t>ным решениям, принятым для серий</w:t>
      </w:r>
      <w:r w:rsidRPr="007224C3">
        <w:rPr>
          <w:rFonts w:ascii="Times New Roman" w:hAnsi="Times New Roman"/>
          <w:color w:val="000000" w:themeColor="text1"/>
          <w:sz w:val="16"/>
          <w:szCs w:val="16"/>
        </w:rPr>
        <w:softHyphen/>
        <w:t>ного самолета Ил-2, то с бомбарди</w:t>
      </w:r>
      <w:r w:rsidRPr="007224C3">
        <w:rPr>
          <w:rFonts w:ascii="Times New Roman" w:hAnsi="Times New Roman"/>
          <w:color w:val="000000" w:themeColor="text1"/>
          <w:sz w:val="16"/>
          <w:szCs w:val="16"/>
        </w:rPr>
        <w:softHyphen/>
        <w:t>ровочным вооружением Ил-10 дела обстояли гораздо хуже. Загрузка бомбоотсеков опытной "десятки" бомбами калибров от 1,5 до 50 кг была на 100-200 кг меньше, чем се</w:t>
      </w:r>
      <w:r w:rsidRPr="007224C3">
        <w:rPr>
          <w:rFonts w:ascii="Times New Roman" w:hAnsi="Times New Roman"/>
          <w:color w:val="000000" w:themeColor="text1"/>
          <w:sz w:val="16"/>
          <w:szCs w:val="16"/>
        </w:rPr>
        <w:softHyphen/>
        <w:t>рийной "двойки", и никаких других возможностей, кроме как размеще</w:t>
      </w:r>
      <w:r w:rsidRPr="007224C3">
        <w:rPr>
          <w:rFonts w:ascii="Times New Roman" w:hAnsi="Times New Roman"/>
          <w:color w:val="000000" w:themeColor="text1"/>
          <w:sz w:val="16"/>
          <w:szCs w:val="16"/>
        </w:rPr>
        <w:softHyphen/>
        <w:t>ния дополнительно двух бомб (калиб</w:t>
      </w:r>
      <w:r w:rsidRPr="007224C3">
        <w:rPr>
          <w:rFonts w:ascii="Times New Roman" w:hAnsi="Times New Roman"/>
          <w:color w:val="000000" w:themeColor="text1"/>
          <w:sz w:val="16"/>
          <w:szCs w:val="16"/>
        </w:rPr>
        <w:softHyphen/>
        <w:t>ров 50-100 кг или 250 кг) на вне</w:t>
      </w:r>
      <w:r w:rsidRPr="007224C3">
        <w:rPr>
          <w:rFonts w:ascii="Times New Roman" w:hAnsi="Times New Roman"/>
          <w:color w:val="000000" w:themeColor="text1"/>
          <w:sz w:val="16"/>
          <w:szCs w:val="16"/>
        </w:rPr>
        <w:softHyphen/>
        <w:t>шних узлах подвески, на самолете не имелось. По этой причине началь</w:t>
      </w:r>
      <w:r w:rsidRPr="007224C3">
        <w:rPr>
          <w:rFonts w:ascii="Times New Roman" w:hAnsi="Times New Roman"/>
          <w:color w:val="000000" w:themeColor="text1"/>
          <w:sz w:val="16"/>
          <w:szCs w:val="16"/>
        </w:rPr>
        <w:softHyphen/>
        <w:t>ник 4-го отдела института генерал-майор М. В. Шишкин и его замести</w:t>
      </w:r>
      <w:r w:rsidRPr="007224C3">
        <w:rPr>
          <w:rFonts w:ascii="Times New Roman" w:hAnsi="Times New Roman"/>
          <w:color w:val="000000" w:themeColor="text1"/>
          <w:sz w:val="16"/>
          <w:szCs w:val="16"/>
        </w:rPr>
        <w:softHyphen/>
        <w:t>тель полковник Н. И. Шауров, давая тактическую оценку новому штурмо</w:t>
      </w:r>
      <w:r w:rsidRPr="007224C3">
        <w:rPr>
          <w:rFonts w:ascii="Times New Roman" w:hAnsi="Times New Roman"/>
          <w:color w:val="000000" w:themeColor="text1"/>
          <w:sz w:val="16"/>
          <w:szCs w:val="16"/>
        </w:rPr>
        <w:softHyphen/>
        <w:t xml:space="preserve">вику, указывали, что </w:t>
      </w:r>
      <w:r w:rsidRPr="007224C3">
        <w:rPr>
          <w:rFonts w:ascii="Times New Roman" w:hAnsi="Times New Roman"/>
          <w:iCs/>
          <w:color w:val="000000" w:themeColor="text1"/>
          <w:sz w:val="16"/>
          <w:szCs w:val="16"/>
        </w:rPr>
        <w:t>"наличие Ил-10 не исключает необходимость иметь на вооружении ВВС самолет Ил-8..., хотя и уступающего по летным дан</w:t>
      </w:r>
      <w:r w:rsidRPr="007224C3">
        <w:rPr>
          <w:rFonts w:ascii="Times New Roman" w:hAnsi="Times New Roman"/>
          <w:iCs/>
          <w:color w:val="000000" w:themeColor="text1"/>
          <w:sz w:val="16"/>
          <w:szCs w:val="16"/>
        </w:rPr>
        <w:softHyphen/>
        <w:t>ным ".</w:t>
      </w:r>
    </w:p>
    <w:p w14:paraId="024B84F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заключение отчета Ил-10 был рекомендован в серийное производ</w:t>
      </w:r>
      <w:r w:rsidRPr="007224C3">
        <w:rPr>
          <w:rFonts w:ascii="Times New Roman" w:hAnsi="Times New Roman"/>
          <w:color w:val="000000" w:themeColor="text1"/>
          <w:sz w:val="16"/>
          <w:szCs w:val="16"/>
        </w:rPr>
        <w:softHyphen/>
        <w:t>ство при условии устранения выяв</w:t>
      </w:r>
      <w:r w:rsidRPr="007224C3">
        <w:rPr>
          <w:rFonts w:ascii="Times New Roman" w:hAnsi="Times New Roman"/>
          <w:color w:val="000000" w:themeColor="text1"/>
          <w:sz w:val="16"/>
          <w:szCs w:val="16"/>
        </w:rPr>
        <w:softHyphen/>
        <w:t>ленных дефектов и недостатков. Акт по государственным испытаниям са</w:t>
      </w:r>
      <w:r w:rsidRPr="007224C3">
        <w:rPr>
          <w:rFonts w:ascii="Times New Roman" w:hAnsi="Times New Roman"/>
          <w:color w:val="000000" w:themeColor="text1"/>
          <w:sz w:val="16"/>
          <w:szCs w:val="16"/>
        </w:rPr>
        <w:softHyphen/>
        <w:t>молета утвержден Главным инжене</w:t>
      </w:r>
      <w:r w:rsidRPr="007224C3">
        <w:rPr>
          <w:rFonts w:ascii="Times New Roman" w:hAnsi="Times New Roman"/>
          <w:color w:val="000000" w:themeColor="text1"/>
          <w:sz w:val="16"/>
          <w:szCs w:val="16"/>
        </w:rPr>
        <w:softHyphen/>
        <w:t>ром ВВС генералом А. К. Репиным 9 июня 1944 г. Самолет был возвра</w:t>
      </w:r>
      <w:r w:rsidRPr="007224C3">
        <w:rPr>
          <w:rFonts w:ascii="Times New Roman" w:hAnsi="Times New Roman"/>
          <w:color w:val="000000" w:themeColor="text1"/>
          <w:sz w:val="16"/>
          <w:szCs w:val="16"/>
        </w:rPr>
        <w:softHyphen/>
        <w:t>щен на завод № 240 для замены мо</w:t>
      </w:r>
      <w:r w:rsidRPr="007224C3">
        <w:rPr>
          <w:rFonts w:ascii="Times New Roman" w:hAnsi="Times New Roman"/>
          <w:color w:val="000000" w:themeColor="text1"/>
          <w:sz w:val="16"/>
          <w:szCs w:val="16"/>
        </w:rPr>
        <w:softHyphen/>
        <w:t>тора, выработавшего ресурс, и уст</w:t>
      </w:r>
      <w:r w:rsidRPr="007224C3">
        <w:rPr>
          <w:rFonts w:ascii="Times New Roman" w:hAnsi="Times New Roman"/>
          <w:color w:val="000000" w:themeColor="text1"/>
          <w:sz w:val="16"/>
          <w:szCs w:val="16"/>
        </w:rPr>
        <w:softHyphen/>
        <w:t>ранения дефектов. После этого пред</w:t>
      </w:r>
      <w:r w:rsidRPr="007224C3">
        <w:rPr>
          <w:rFonts w:ascii="Times New Roman" w:hAnsi="Times New Roman"/>
          <w:color w:val="000000" w:themeColor="text1"/>
          <w:sz w:val="16"/>
          <w:szCs w:val="16"/>
        </w:rPr>
        <w:softHyphen/>
        <w:t>лагалось вновь предъявить самолет в НИИ ВВС для производства допол</w:t>
      </w:r>
      <w:r w:rsidRPr="007224C3">
        <w:rPr>
          <w:rFonts w:ascii="Times New Roman" w:hAnsi="Times New Roman"/>
          <w:color w:val="000000" w:themeColor="text1"/>
          <w:sz w:val="16"/>
          <w:szCs w:val="16"/>
        </w:rPr>
        <w:softHyphen/>
        <w:t>нительных испытаний.</w:t>
      </w:r>
    </w:p>
    <w:p w14:paraId="2639233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Таким образом, и военным, и НКАП, и руководству страны было из чего выбирать. Поначалу сравне</w:t>
      </w:r>
      <w:r w:rsidRPr="007224C3">
        <w:rPr>
          <w:rFonts w:ascii="Times New Roman" w:hAnsi="Times New Roman"/>
          <w:color w:val="000000" w:themeColor="text1"/>
          <w:sz w:val="16"/>
          <w:szCs w:val="16"/>
        </w:rPr>
        <w:softHyphen/>
        <w:t>ние опытных боевых самолетов про</w:t>
      </w:r>
      <w:r w:rsidRPr="007224C3">
        <w:rPr>
          <w:rFonts w:ascii="Times New Roman" w:hAnsi="Times New Roman"/>
          <w:color w:val="000000" w:themeColor="text1"/>
          <w:sz w:val="16"/>
          <w:szCs w:val="16"/>
        </w:rPr>
        <w:softHyphen/>
        <w:t>водилось между Ил-8 и Су-6, затем к ним "присоединили" Ил-10.</w:t>
      </w:r>
    </w:p>
    <w:p w14:paraId="7909D2B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После обмена мнениями по это</w:t>
      </w:r>
      <w:r w:rsidRPr="007224C3">
        <w:rPr>
          <w:rFonts w:ascii="Times New Roman" w:hAnsi="Times New Roman"/>
          <w:color w:val="000000" w:themeColor="text1"/>
          <w:sz w:val="16"/>
          <w:szCs w:val="16"/>
        </w:rPr>
        <w:softHyphen/>
        <w:t>му вопросу и, учитывая, что Су-6 к тому времени формально все же не завершил в полном объеме програм</w:t>
      </w:r>
      <w:r w:rsidRPr="007224C3">
        <w:rPr>
          <w:rFonts w:ascii="Times New Roman" w:hAnsi="Times New Roman"/>
          <w:color w:val="000000" w:themeColor="text1"/>
          <w:sz w:val="16"/>
          <w:szCs w:val="16"/>
        </w:rPr>
        <w:softHyphen/>
        <w:t>му государственных испытаний, вы</w:t>
      </w:r>
      <w:r w:rsidRPr="007224C3">
        <w:rPr>
          <w:rFonts w:ascii="Times New Roman" w:hAnsi="Times New Roman"/>
          <w:color w:val="000000" w:themeColor="text1"/>
          <w:sz w:val="16"/>
          <w:szCs w:val="16"/>
        </w:rPr>
        <w:softHyphen/>
        <w:t>бор был сделан в пользу самолета Ил-10, который по основным летным данным превосходил своих конкурен</w:t>
      </w:r>
      <w:r w:rsidRPr="007224C3">
        <w:rPr>
          <w:rFonts w:ascii="Times New Roman" w:hAnsi="Times New Roman"/>
          <w:color w:val="000000" w:themeColor="text1"/>
          <w:sz w:val="16"/>
          <w:szCs w:val="16"/>
        </w:rPr>
        <w:softHyphen/>
        <w:t>тов (11431).</w:t>
      </w:r>
    </w:p>
    <w:p w14:paraId="08E6D65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AB958EB" w14:textId="77777777" w:rsidR="00962976" w:rsidRPr="007224C3" w:rsidRDefault="00962976"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13 мая 1944 Ил-10 передали в НИИ ВВС для производства государственных испытаний. На самолете устанавливался винт типа АВ-5 л-24 диаметром 3,6 м с редукцией 0,6.</w:t>
      </w:r>
    </w:p>
    <w:p w14:paraId="5394E146" w14:textId="77777777" w:rsidR="00962976" w:rsidRPr="007224C3" w:rsidRDefault="00962976"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Самолет испытывался бригадой в составе: ведущего инженера 3-го отдела НИИ ВВС инженер-майора П. Т. Аброщенко, его помощника летчика-испытателя 3-го отдела инженер-капитана С. Г. Фролова, ведущего летчика-испытателя помощника начальника 4-го отделения 3-го отдела по летной части подполковника А. К. Долгова и штурмана капитана Т. Ф. Горбунова. Уже через две недели - 27 мая, бригада рапортовала об успешном завершении программы испытаний. Всего было выполнено 43 полета с суммарным налетом 22 ч 37 мин.</w:t>
      </w:r>
    </w:p>
    <w:p w14:paraId="11931339" w14:textId="77777777" w:rsidR="00962976" w:rsidRPr="007224C3" w:rsidRDefault="00962976"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Отмечалось, что самолет построен по нормам прочности 1943 года и относится к классу Б ограниченно маневренных самолетов с разрушающей перегрузкой на случай А при полетном весе 6000 кг - 8,3.</w:t>
      </w:r>
    </w:p>
    <w:p w14:paraId="52552E8C" w14:textId="77777777" w:rsidR="00962976" w:rsidRPr="007224C3" w:rsidRDefault="00962976"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Вооружение самолета включает две 23-мм пушки ВЯ (300 патронов) и два пулемета ШКАС (1500 патронов) в крыле и пушку калибра 20 мм Ш-20 (150 патронов) на ограниченно подвижной установке ВУ -7 у воздушного стрелка. Прицел у летчика - ПБП-16 на съемном держателе, прицел у стрелка - К8-Т.</w:t>
      </w:r>
    </w:p>
    <w:p w14:paraId="28E79D95" w14:textId="77777777" w:rsidR="00962976" w:rsidRPr="007224C3" w:rsidRDefault="00962976"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Управление огнем из пушек ВЯ и пулеметов ШКАС электрическое от кнопки на ручке управления самолетом и двух тумблеров на щитке в кабине летчика. При стрельбе необходимо было предварительно включить тумблер пулеметов или пушек и затем вести стрельбу, нажимая кнопку на ручке управления. При одновременной стрельбе следовало включить оба тумблера.</w:t>
      </w:r>
    </w:p>
    <w:p w14:paraId="5895261C" w14:textId="77777777" w:rsidR="00962976" w:rsidRPr="007224C3" w:rsidRDefault="00962976"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Стрельбой из пушек управляли при помощи пневмоэлектроспуска ПЭС-1, а из пулеметов - электроспуска М-10. На пулеметах дополнительно за крючок спуска закреплялся трос с кольцом для ручного спуска пулемета.</w:t>
      </w:r>
    </w:p>
    <w:p w14:paraId="6CE3D6DD" w14:textId="77777777" w:rsidR="00962976" w:rsidRPr="007224C3" w:rsidRDefault="00962976"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Перезарядка пулеметов и пушек электропневматическая. Электрокнопки перезарядки размещались на щитке в кабине летчика. Система перезарядки питалась воздухом от системы шасси и запуска мотора.</w:t>
      </w:r>
    </w:p>
    <w:p w14:paraId="7BB6BC31" w14:textId="77777777" w:rsidR="00962976" w:rsidRPr="007224C3" w:rsidRDefault="00962976"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Подвижная установка ВУ-7 обеспечивала стрельбу в задней полусфере в секторах: вверх - 40° (от нейтрального положения, параллельного оси самолета), вниз - 15° (с поворотом пулемета к борту), вправо - 55°, влево - 50°. Углы замерялись при работе стрелка в зимнем обмундировании с парашютом.</w:t>
      </w:r>
    </w:p>
    <w:p w14:paraId="2C5E90D3" w14:textId="77777777" w:rsidR="00962976" w:rsidRPr="007224C3" w:rsidRDefault="00962976"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Обращалось внимание, что «по заявлению Главного конструктора самолета» предусмотрена замена консолей с пушками ВЯ на консоли с пушками 11П калибра 37 мм.</w:t>
      </w:r>
    </w:p>
    <w:p w14:paraId="42E6AD38" w14:textId="77777777" w:rsidR="00962976" w:rsidRPr="007224C3" w:rsidRDefault="00962976"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Бомбардировочное вооружение самолета включало два наружных держателя ДЗ-42 и два бомбовых отсека в центроплане для внутренней загрузки. На наружные держатели допускалась подвеска бомб калибром от 50 до 250 кг. Во внутренние отсеки могли загружаться бомбы калибром от 1,5 до 100 кг. Нормальная бомбовая нагрузка составляла 400 кг, в перегрузку - 600 кг.</w:t>
      </w:r>
    </w:p>
    <w:p w14:paraId="26900A86" w14:textId="77777777" w:rsidR="00962976" w:rsidRPr="007224C3" w:rsidRDefault="00962976" w:rsidP="007224C3">
      <w:pPr>
        <w:spacing w:after="0" w:line="240" w:lineRule="auto"/>
        <w:jc w:val="both"/>
        <w:rPr>
          <w:rStyle w:val="77"/>
          <w:rFonts w:eastAsiaTheme="minorHAnsi"/>
          <w:color w:val="000000" w:themeColor="text1"/>
          <w:sz w:val="16"/>
          <w:szCs w:val="16"/>
        </w:rPr>
      </w:pPr>
      <w:r w:rsidRPr="007224C3">
        <w:rPr>
          <w:rStyle w:val="77"/>
          <w:rFonts w:eastAsiaTheme="minorHAnsi"/>
          <w:color w:val="000000" w:themeColor="text1"/>
          <w:sz w:val="16"/>
          <w:szCs w:val="16"/>
        </w:rPr>
        <w:lastRenderedPageBreak/>
        <w:t>На самолет можно было подвесить: снаружи - 2 ФАБ-100, или 2 ФАБ-250, или 2 УХАП-250, внутри - 2 ФАБ-100, или 2 ФАБ-50, или 120 зажигательных бомб ЗАБ-2,5, или 176 осколочных бомб калибра 2,5 кг, или 54 АО-10, или 12 АО-25, или 144 ПТАБ -2,5-1,5 (всего от 200 до 540 кг). Мелкие бомбы укладывались на створки отсеков, а «сотки» и «полтинники» подвешивались на замках Дер -21.</w:t>
      </w:r>
    </w:p>
    <w:p w14:paraId="7EF06D99" w14:textId="77777777" w:rsidR="00962976" w:rsidRPr="007224C3" w:rsidRDefault="00962976"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Сбрасывание бомб осуществлялось от боевой кнопки, расположенной на ручке управления самолетом, электросбрасывателя ЭСБР-3П и временного механизма штурмовика ВМШ-10. Временной механизм позволял сбрасывать бомбы с горизонтального полета в том случае, когда цель закрывалась капотом мотора. После сбрасывания бомб из бомбоотсеков створки люков закрывались штурвалом при помощи троса. Аварийный сброс бомб мог выполнить воздушный стрелок.</w:t>
      </w:r>
    </w:p>
    <w:p w14:paraId="68A98C40" w14:textId="77777777" w:rsidR="00962976" w:rsidRPr="007224C3" w:rsidRDefault="00962976"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Прицельная система для бомбометания с горизонтального полета и с пикирования ничем принципиально не отличалась от таковой на серийном самолете Ил-2. На капоте имелись визирные штыри и специальная разметка, а на бронестеклах фонаря кабины летчика наносились прицельные линии и метки. Соответственно, методы бомбометания были те же.</w:t>
      </w:r>
    </w:p>
    <w:p w14:paraId="4B767540" w14:textId="77777777" w:rsidR="00962976" w:rsidRPr="007224C3" w:rsidRDefault="00962976"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Для отражения атак истребителей противника со стороны задней нижней полусферы предполагались 10 авиационных гранат АГ-2 в дистанционно управляемой кассете ДАГ-10, установленной в фюзеляже за кабиной стрелка. Сброс гранат осуществлялся стрелком при помощи командного прибора.</w:t>
      </w:r>
    </w:p>
    <w:p w14:paraId="1A7CF7B6" w14:textId="77777777" w:rsidR="00962976" w:rsidRPr="007224C3" w:rsidRDefault="00962976"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Все оружие самолета было проверено в воздухе, для чего выполнили 10 полетов. Стреляли из пушек и пулеметов при горизонтальном полете, на виражах (скорость 480 км/ч) и на пикировании. Бомбометание выполнялось по стандартным методам, принятым для самолета Ил-2. Во всех случаях угол пикирования не превышал 25-30°, высота ввода в пикирование - 500-600 м.</w:t>
      </w:r>
    </w:p>
    <w:p w14:paraId="4737C454" w14:textId="77777777" w:rsidR="00962976" w:rsidRPr="007224C3" w:rsidRDefault="00962976"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Крыло снабжалось взлетно-посадочными щитками типа Шренк и элеронами типа Фрайз. Питание мотора горючим осуществлялось из двух баков - верхнего емкостью 440 л и нижнего емкостью 290 л. Верхний бак располагался за мотором перед кабиной летчика в верхней части корпуса, а нижний - под полом кабины впереди заднего лонжерона центроплана. Баки имели протектор. Емкость двух маслобаков 94 л.</w:t>
      </w:r>
    </w:p>
    <w:p w14:paraId="4173A1BB" w14:textId="77777777" w:rsidR="00962976" w:rsidRPr="007224C3" w:rsidRDefault="00962976"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В ходе испытаний самолет облетали ведущий инженер -летчик 3-го отдела НИИ ВВС инженер-майор А. В. Синельников, летчик-испытатель 3-го отдела старший лейтенант Г. А. Тиняков, летчик-испытатель 4-го отдела майор М П. Субботин и летчик-испытатель майор А. А. Живописцев.</w:t>
      </w:r>
    </w:p>
    <w:p w14:paraId="0C106D43" w14:textId="77777777" w:rsidR="00962976" w:rsidRPr="007224C3" w:rsidRDefault="00962976"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Вес пустого самолета Ил-10, представленного на госиспытания, составлял 4680 кг. Нормальный полетный вес - 6335 кг. Центровка самолета - в пределах 24,6 % САХ. Полетный вес в перегрузку - 6575 кг.</w:t>
      </w:r>
    </w:p>
    <w:p w14:paraId="6D3C4D26" w14:textId="77777777" w:rsidR="00962976" w:rsidRPr="007224C3" w:rsidRDefault="00962976"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При нормальном полетном весе максимальная горизонтальная скорость полета достигала 551 км/ч на высоте 2800 м (почти на 150 км/ч больше максимальной скорости Ил-2 с АМ-38ф) и 507 км/ч - у земли. Время набора высоты 1000 м составило 1,6 мин, а высоты 3000 м - 5,0 мин. Вертикальная скорость у земли равнялась 9,8 м/с, на высоте 2400 м - 10,4 м/с. Разбег с отклоненными на 17° щитками и с форсажем мотора - 475 м. Взлетная дистанция - 1220 м.</w:t>
      </w:r>
    </w:p>
    <w:p w14:paraId="3D689248" w14:textId="77777777" w:rsidR="00962976" w:rsidRPr="007224C3" w:rsidRDefault="00962976"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Дистанция посадки при полетном весе 5380 кг не превышала 1040 м (щитки в посадочном положении - 45°). Посадочная скорость - 148 км/ч.</w:t>
      </w:r>
    </w:p>
    <w:p w14:paraId="6FC0A826" w14:textId="77777777" w:rsidR="00962976" w:rsidRPr="007224C3" w:rsidRDefault="00962976"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Дальность полета (720 л топлива) на высоте 500 м и скорости 325 км/ч достигала 800 км (2 ч 28 мин), на 1000 м и 330 км/ч - 790 км (2 ч 23 мин) и на 2000 м и 355 км/ч - 740 км (2 ч 5 мин).</w:t>
      </w:r>
    </w:p>
    <w:p w14:paraId="4CFFAB65" w14:textId="77777777" w:rsidR="00962976" w:rsidRPr="007224C3" w:rsidRDefault="00962976"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На режиме максимальной скорости дальность полета на высоте 500 м и скорости 515 км/ч сокращалась до 495 км (57 мин), на 1000 м и 523 км/ч - до 490 км (56 мин), а на 2400 км и 544 км/ч - до 470 км (52 мин).</w:t>
      </w:r>
    </w:p>
    <w:p w14:paraId="075F299F" w14:textId="77777777" w:rsidR="00962976" w:rsidRPr="007224C3" w:rsidRDefault="00962976"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Скоростная дальность полета на скорости 0,9 максимальной равнялась 650 км (1 ч 23 мин) на высоте 500 м и 600 км (1 ч 14 мин) - на высоте 2000 м.</w:t>
      </w:r>
    </w:p>
    <w:p w14:paraId="68CC69C3" w14:textId="77777777" w:rsidR="00962976" w:rsidRPr="007224C3" w:rsidRDefault="00962976"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 xml:space="preserve">Необходимо отметить, что установленный на Ил-10 экземпляр мотора АМ-42 (зав. № 4257) оказался вполне кондиционным, так как работал значительно устойчивее, чем моторы на Су-6. Такой опасный дефект, как возгорание топливной смеси во всасывающих патрубках, ни в одном из полетов не наблюдался. Однако и на нем в полетах отмечалось дымление на всех режимах работы мотора, «течь масла из фланцев крепления моторных агрегатов», а также «выброс масла через суфлер мотора при работе на номинальной мощности». Причем по мере выработки моторесурса мотора выброс масла прогрессировал: «За 30-40 мин полета выброс масла достигает 25-30 л. При остатке масла в маслобаках 30-35 л на номинальном режиме происходит пульсация давления масла в пределах от 0 до 7 кг/см </w:t>
      </w:r>
      <w:r w:rsidRPr="007224C3">
        <w:rPr>
          <w:rStyle w:val="77"/>
          <w:rFonts w:eastAsiaTheme="minorHAnsi"/>
          <w:color w:val="000000" w:themeColor="text1"/>
          <w:sz w:val="16"/>
          <w:szCs w:val="16"/>
          <w:vertAlign w:val="superscript"/>
        </w:rPr>
        <w:t>2</w:t>
      </w:r>
      <w:r w:rsidRPr="007224C3">
        <w:rPr>
          <w:rStyle w:val="77"/>
          <w:rFonts w:eastAsiaTheme="minorHAnsi"/>
          <w:color w:val="000000" w:themeColor="text1"/>
          <w:sz w:val="16"/>
          <w:szCs w:val="16"/>
        </w:rPr>
        <w:t xml:space="preserve"> При сбавлении газа пульсации прекращаются».</w:t>
      </w:r>
    </w:p>
    <w:p w14:paraId="0502561B" w14:textId="77777777" w:rsidR="00962976" w:rsidRPr="007224C3" w:rsidRDefault="00962976"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Суммарная наработка мотора к концу испытаний составляла 48 ч 30 мин, в том числе 22 ч 37 мин в воздухе и 7 ч 37 мин на земле - при проведении государственных испытаний и 12 ч 06 мин в воздухе и 6 ч 10 мин на земле - при проведении заводских испытаний. Тогда как гарантированный ресурс мотора устанавливался в 50 ч режимной работы.</w:t>
      </w:r>
    </w:p>
    <w:p w14:paraId="45ADEB60" w14:textId="77777777" w:rsidR="00962976" w:rsidRPr="007224C3" w:rsidRDefault="00962976"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Новый штурмовик оставил у летчиков НИИ ВВС приятное впечатление по устойчивости, управляемости и летным качествам. Во всем диапазоне скоростей (от минимальной по сваливанию до максимальной) самолет был устойчив по всем трем осям и показал прекрасную маневренность как в горизонтальной плоскости, так и в вертикальной.</w:t>
      </w:r>
    </w:p>
    <w:p w14:paraId="3C2BAA1A" w14:textId="77777777" w:rsidR="00962976" w:rsidRPr="007224C3" w:rsidRDefault="00962976"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 xml:space="preserve">Удельные нагрузки на крыло и мощность мотора при нормальном полетном весе, равные 211,2 кг/м </w:t>
      </w:r>
      <w:r w:rsidRPr="007224C3">
        <w:rPr>
          <w:rStyle w:val="77"/>
          <w:rFonts w:eastAsiaTheme="minorHAnsi"/>
          <w:color w:val="000000" w:themeColor="text1"/>
          <w:sz w:val="16"/>
          <w:szCs w:val="16"/>
          <w:vertAlign w:val="superscript"/>
        </w:rPr>
        <w:t>2</w:t>
      </w:r>
      <w:r w:rsidRPr="007224C3">
        <w:rPr>
          <w:rStyle w:val="77"/>
          <w:rFonts w:eastAsiaTheme="minorHAnsi"/>
          <w:color w:val="000000" w:themeColor="text1"/>
          <w:sz w:val="16"/>
          <w:szCs w:val="16"/>
        </w:rPr>
        <w:t>и 3,17 кг/л. с. соответственно, полностью укладывались в рамки концепции маневренного скоростного штурмовика.</w:t>
      </w:r>
    </w:p>
    <w:p w14:paraId="72297452" w14:textId="77777777" w:rsidR="00962976" w:rsidRPr="007224C3" w:rsidRDefault="00962976"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Считалось, что по технике пилотирования самолет относительно простой и вполне доступен летчикам средней квалификации: «По технике пилотирования прост и не требует специального переучивания для перехода на него летчиков, летающих на серийных самолетах Ил-2./.../Устойчивость и управляемость хорошие. Путевая устойчивость несколько велика. Нагрузки от рулей нормальные по величине и направлению. Нагрузки от рулей высоты несколько велики. На рулежке устойчивость самолета недостаточная».</w:t>
      </w:r>
    </w:p>
    <w:p w14:paraId="3B605591" w14:textId="77777777" w:rsidR="00962976" w:rsidRPr="007224C3" w:rsidRDefault="00962976"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Были выявлены и существенные недостатки. В частности, несколько велика была путевая устойчивость самолета. Отсутствовали система нейтрального газа и дублированное управление рулем высоты. Неудовлетворительно работали тормоза колес. Не был предусмотрен аварийный сброс фонарей кабин летчика и стрелка. В случае капота самолета при вынужденной посадке летчик не мог выбраться из самолета. Система вентиляции кабин не обеспечивала гигиенических норм. Экипаж страдал от невыносимой жары - при +12 °</w:t>
      </w:r>
      <w:r w:rsidRPr="007224C3">
        <w:rPr>
          <w:rStyle w:val="77"/>
          <w:rFonts w:eastAsiaTheme="minorHAnsi"/>
          <w:color w:val="000000" w:themeColor="text1"/>
          <w:sz w:val="16"/>
          <w:szCs w:val="16"/>
          <w:lang w:val="en-US"/>
        </w:rPr>
        <w:t>C</w:t>
      </w:r>
      <w:r w:rsidRPr="007224C3">
        <w:rPr>
          <w:rStyle w:val="77"/>
          <w:rFonts w:eastAsiaTheme="minorHAnsi"/>
          <w:color w:val="000000" w:themeColor="text1"/>
          <w:sz w:val="16"/>
          <w:szCs w:val="16"/>
        </w:rPr>
        <w:t xml:space="preserve"> за бортом температура в кабинах достигала +41 °</w:t>
      </w:r>
      <w:r w:rsidRPr="007224C3">
        <w:rPr>
          <w:rStyle w:val="77"/>
          <w:rFonts w:eastAsiaTheme="minorHAnsi"/>
          <w:color w:val="000000" w:themeColor="text1"/>
          <w:sz w:val="16"/>
          <w:szCs w:val="16"/>
          <w:lang w:val="en-US"/>
        </w:rPr>
        <w:t>C</w:t>
      </w:r>
      <w:r w:rsidRPr="007224C3">
        <w:rPr>
          <w:rStyle w:val="77"/>
          <w:rFonts w:eastAsiaTheme="minorHAnsi"/>
          <w:color w:val="000000" w:themeColor="text1"/>
          <w:sz w:val="16"/>
          <w:szCs w:val="16"/>
        </w:rPr>
        <w:t xml:space="preserve"> и более.</w:t>
      </w:r>
    </w:p>
    <w:p w14:paraId="79BF652D" w14:textId="77777777" w:rsidR="00962976" w:rsidRPr="007224C3" w:rsidRDefault="00962976"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Серьезные дефекты обнаружились в системе вооружения машины. Вести огонь из крыльевых пушек ВЯ и пулеметов ШКАС оказалось совершенно невозможным. В ходе наземных и летных испытаний ни разу не удалось полностью отстрелять боекомплект к ним.</w:t>
      </w:r>
    </w:p>
    <w:p w14:paraId="3E9976D2" w14:textId="77777777" w:rsidR="00962976" w:rsidRPr="007224C3" w:rsidRDefault="00962976"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Так, после открытия огня из пушек в большинстве случаев происходила произвольная стрельба, прекратить которую можно было толь ко перезарядкой. Виной этому были дефекты пневмоэлектроспусков. Кроме этого, звенья снарядной ленты, собиравшиеся при стрельбе в снарядные ящики, попадали в подвижные части пушек, что приводило к задержкам в стрельбе. В ходе испытаний пришлось установить звеньеотводы для вывода звеньев наружу, как на серийных самолетах Ил-2.</w:t>
      </w:r>
    </w:p>
    <w:p w14:paraId="2070195A" w14:textId="77777777" w:rsidR="00962976" w:rsidRPr="007224C3" w:rsidRDefault="00962976"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При стрельбе из пулеметов ШКАС уже «после 350-400 выстрелов звенья накапливаются у звеньеотвода и заклинивают выход звеньев». Как следствие, стрельба прекращалась.</w:t>
      </w:r>
    </w:p>
    <w:p w14:paraId="07895AFB" w14:textId="77777777" w:rsidR="00962976" w:rsidRPr="007224C3" w:rsidRDefault="00962976"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Оборонительная установка ВУ-7 с пушкой Ш-20 оценивалась военными испытателями довольно высоко. По их мнению, установка имела хорошую маневренность и была легкой в управлении. Сама пушка Ш-20 работала «значительно легче, чем пулемет УБТ, а наличие разрывного снаряда калибра 20 мм и непрерывного питания увеличивает защиту самолета».</w:t>
      </w:r>
    </w:p>
    <w:p w14:paraId="3B73F506" w14:textId="77777777" w:rsidR="00962976" w:rsidRPr="007224C3" w:rsidRDefault="00962976"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Однако установку требовалось дорабатывать до необходимого уровня надежности. Дело в том, что в ходе стрельб (выполнено 3690 выстрелов на земле и 1045 - в воздухе) было получено довольно много задержек при автоматической стрельбе: 10 % - при стрельбе в воздухе и 7 % - при стрельбе на земле, в том числе соответственно 4 и 3 % - по вине пушки, остальные - по вине установки.</w:t>
      </w:r>
    </w:p>
    <w:p w14:paraId="6A8BB69A" w14:textId="77777777" w:rsidR="00962976" w:rsidRPr="007224C3" w:rsidRDefault="00962976"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Кроме этого, после 1810 выстрелов деформировалась дуга фонаря установки, произошло расцепление зубчатки механизма стабилизации с зубьями неподвижного полукольца, а в шарнирных и болтовых соединениях механизма стабилизации вектора собственной скорости образовались люфты. После 4365 выстрелов разорвался рукав питания пушки, увеличилась деформация дуги фонаря установки. Отстрел еще 150 патронов привел к разрушению (срез болтов) крепления переднего кронштейна механизма стабилизации. Суммарный настрел пушки Ш-20 на установке ВУ-7 (включая заводскую отладку) составил 5115 выстрелов.</w:t>
      </w:r>
    </w:p>
    <w:p w14:paraId="0CE92078" w14:textId="77777777" w:rsidR="00962976" w:rsidRPr="007224C3" w:rsidRDefault="00962976"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Указывалось, что ВУ-7 после устранения отмеченных недостатков «будет лучше ранее предъявленных установок ВУБ-3, ВУ-8 и УБШ и значительно лучше блистерной БЛУБ (Су-6)». Однако пушка Ш-20 - опытная, поэтому для внедрения ВУ-7 в серию на самолете Ил-10 необходимо решение о постановке Ш-20 на вооружение ВВС КА.</w:t>
      </w:r>
    </w:p>
    <w:p w14:paraId="668F4BFF" w14:textId="77777777" w:rsidR="00962976" w:rsidRPr="007224C3" w:rsidRDefault="00962976"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Если недостатки стрелково-пушечного вооружения легко устранялись при переходе к конструктивным решениям, принятым для серийного самолета Ил-2, то с бомбардировочным вооружением Ил-10 дела обстояли гораздо хуже.</w:t>
      </w:r>
    </w:p>
    <w:p w14:paraId="22635C84" w14:textId="77777777" w:rsidR="00962976" w:rsidRPr="007224C3" w:rsidRDefault="00962976"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Загрузка бомбоотсеков опытной «десятки» бомбами наиболее «ходовых» калибров (ПТАБ-2,5-1,5, АЖ-2, АО-15, АО-25, ФАБ-50, ФАБ-100) была на 100-300 кг меньше, чем серийной «двойки». На самолете просто не хватало места для размещения большого количества мелких бомб, хотя заявленная грузоподъемность самолета достигала 600 кг бомб (в перегрузку). К тому же подвеска под крылом на внешние держатели бомб калибра 100-250 кг на тросовых поясах была крайне неудобной и сложной в эксплуатации.</w:t>
      </w:r>
    </w:p>
    <w:p w14:paraId="58E0F67D" w14:textId="77777777" w:rsidR="00962976" w:rsidRPr="007224C3" w:rsidRDefault="00962976"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По этой причине начальник 4-го отдела института генерал-майор М. В. Шишкин и его заместитель полковник Н. И. Шауров, давая тактическую оценку новому штурмовику, отметили, что «наличие Ил-10 не исключает необходимость иметь на вооружении ВВС самолет Ил-8/./, хотя и уступающего по летным данным».</w:t>
      </w:r>
    </w:p>
    <w:p w14:paraId="495CFEA3" w14:textId="77777777" w:rsidR="00962976" w:rsidRPr="007224C3" w:rsidRDefault="00962976" w:rsidP="007224C3">
      <w:pPr>
        <w:spacing w:after="0" w:line="240" w:lineRule="auto"/>
        <w:jc w:val="both"/>
        <w:rPr>
          <w:rStyle w:val="77"/>
          <w:rFonts w:eastAsiaTheme="minorHAnsi"/>
          <w:color w:val="000000" w:themeColor="text1"/>
          <w:sz w:val="16"/>
          <w:szCs w:val="16"/>
        </w:rPr>
      </w:pPr>
      <w:r w:rsidRPr="007224C3">
        <w:rPr>
          <w:rStyle w:val="77"/>
          <w:rFonts w:eastAsiaTheme="minorHAnsi"/>
          <w:color w:val="000000" w:themeColor="text1"/>
          <w:sz w:val="16"/>
          <w:szCs w:val="16"/>
        </w:rPr>
        <w:t xml:space="preserve">В выводах акта по результатам испытаний указывалось, что «Ил-10 по сравнению с Ил-2, несмотря на ухудшение взлетно-посадочных свойств, имеет явное преимущество, в частности, максимальная скорость больше: у земли на 123 км/ч, на границе высотности на 147 км/ч./. ../Время набора высоты 3000 м меньше на 3 мин./.. ./Дальность горизонтального полета на высоте 500 м возросла на 120 км./.. ./Высокая скорость полета, хорошая устойчивость и управляемость при аналогичном с самолетом Ил-2 оружии активного нападения позволяют самолету Ил-10 более эффективно осуществлять штурмовые действия, а повышенная обороноспособность </w:t>
      </w:r>
      <w:r w:rsidRPr="007224C3">
        <w:rPr>
          <w:rStyle w:val="77"/>
          <w:rFonts w:eastAsiaTheme="minorHAnsi"/>
          <w:color w:val="000000" w:themeColor="text1"/>
          <w:sz w:val="16"/>
          <w:szCs w:val="16"/>
        </w:rPr>
        <w:lastRenderedPageBreak/>
        <w:t>и лучшее бронирование способствуют большему эффекту при ведении воздушного боя с истребителями противника./. ../Самолет Ил-10 является классическим образцом самолета-штурмовика.»</w:t>
      </w:r>
    </w:p>
    <w:p w14:paraId="0FA19C45" w14:textId="77777777" w:rsidR="00962976" w:rsidRPr="007224C3" w:rsidRDefault="00962976"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При внедрении в серию требовалось обеспечить аварийный сброс фонаря кабины летчика, установить триммер руля поворота, изменить бронирование Ил-10, выполнив его по образцу Ил-8.</w:t>
      </w:r>
    </w:p>
    <w:p w14:paraId="45F4A981" w14:textId="77777777" w:rsidR="00962976" w:rsidRPr="007224C3" w:rsidRDefault="00962976"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В заключении акта самолет Ил-10 рекомендовался в серийное производство при условии устранения выявленных дефектов и недостатков. Вопрос об оборонительном пушечном вооружении предлагалось решить «после испытаний легких пушек калибра 20 мм».</w:t>
      </w:r>
    </w:p>
    <w:p w14:paraId="56179AAB" w14:textId="77777777" w:rsidR="00962976" w:rsidRPr="007224C3" w:rsidRDefault="00962976" w:rsidP="007224C3">
      <w:pPr>
        <w:spacing w:after="0" w:line="240" w:lineRule="auto"/>
        <w:jc w:val="both"/>
        <w:rPr>
          <w:rStyle w:val="77"/>
          <w:rFonts w:eastAsiaTheme="minorHAnsi"/>
          <w:color w:val="000000" w:themeColor="text1"/>
          <w:sz w:val="16"/>
          <w:szCs w:val="16"/>
        </w:rPr>
      </w:pPr>
      <w:r w:rsidRPr="007224C3">
        <w:rPr>
          <w:rStyle w:val="77"/>
          <w:rFonts w:eastAsiaTheme="minorHAnsi"/>
          <w:color w:val="000000" w:themeColor="text1"/>
          <w:sz w:val="16"/>
          <w:szCs w:val="16"/>
        </w:rPr>
        <w:t>Одновременно считалось необходимым: «4. Просить Наркома авиапромышленности т. Шахурина дать задание: а) Главному конструктору т. Ильюшину - до запуска самолета в серию устранить дефекты и выполнить рекомендации. б) Главному конструктору по авиаколесам - модернизировать серийные тормозные колеса 800^260 мм под перегрузочный полетный вес 6550 кг в сроки, обеспечивающие серийный выпуск Ил-10. в) ЦАГИ - один самолет головной серии статически и динамически испытать. г) ЦИАМ - разработать механизм объединенного управления винта и газа для мотора АМ-42. 5. Просить Наркома НКВ - дать задание тов. Китенко - конструктору электроспусков, срочно устранить дефекты электроспусков» (17490).</w:t>
      </w:r>
    </w:p>
    <w:p w14:paraId="62958609" w14:textId="77777777" w:rsidR="00962976" w:rsidRPr="007224C3" w:rsidRDefault="00962976" w:rsidP="007224C3">
      <w:pPr>
        <w:spacing w:after="0" w:line="240" w:lineRule="auto"/>
        <w:jc w:val="both"/>
        <w:rPr>
          <w:rFonts w:ascii="Times New Roman" w:hAnsi="Times New Roman"/>
          <w:color w:val="000000" w:themeColor="text1"/>
          <w:sz w:val="16"/>
          <w:szCs w:val="16"/>
        </w:rPr>
      </w:pPr>
    </w:p>
    <w:p w14:paraId="1D43E10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мая 1944 вместо 1 июня 1944 (срок 1 июня утвержден по тематическому плану на 1 и 2 кв. 1944 - 2217) Ил-10 был передана на гос. испытания (5,122) в НИИ ВВС, а по другим данным в этот день был выполнен первый полет (111,162). Машина поступила в отдел летных испытаний самолетов-штурмовиков, которым руководил и-пп В.С.Холопов, замом которого и был л-и пп А.К.Долгов (111,162). Было выполнено 43 полета, так как серьезных неполадок не было (111,162).</w:t>
      </w:r>
    </w:p>
    <w:p w14:paraId="501CE0F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Да, поступил на испытания 13 мая, а испытания проходили с 14 по 27 мая 1944. Двухместный бронированный штурмовик Ил-10 с мотором АМ-42 и винтом АВ-5Л-24 конструкции С.В.И." (производство завода 18, сборка завода 240) (Тема N 15 - 1944). Ви и-м П.Т.Аброщенко, Пом. ви и-к С.Г.Фролов, Вл пп А.К.Долгов (1866).</w:t>
      </w:r>
    </w:p>
    <w:p w14:paraId="7EEF8DF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2630F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13 по 25 мая 1944 проходили гос. испытания Ил-10 АМ-43. Вли А.К.Долгов, ви П.Аброщенко, самолет облетали А.Синельников, М.Субботин, А.Живописцев и Г.Тиняков (3846,19).</w:t>
      </w:r>
    </w:p>
    <w:p w14:paraId="1F30834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2888E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мая 1944 (то есть с опозданием на б месяцев) в ГК НИИ ВВС КА для производства государственных испытаний были переданы сразу три экземпляра опытного Ил-10 АМ-42. Последнее обстоятельство позволило ведущему инженеру П.Т.Аброщенко (ведущий летчик-испытатель А.К.Долгов, штурман Горбунов) завершить испытания нового штурмовика всего за две недели. 27 мая, выполнив 43 полета по программе испытаний (налет 22 часа 37 минут), бригада рапортовала об их успешном завершении (7442).</w:t>
      </w:r>
    </w:p>
    <w:p w14:paraId="65186DB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мнению А.Долгова и летчиков облета ГК НИИ ВВС (А.Синельникова, М.Субботина, А.Живописцева и Г.Тинякова), новый штурмовик "по технике пилотирования прост и не требует специального переучивания для перехода на него летчиков, летающих на серийных самолетах Ил-2. Устойчивость и управляемость хорошие. Путевая устойчивость несколько велика. Нагрузки от рулей нормальные по величине и направлению. Нагрузки от рулей высоты несколько велики. На рулежке устойчивость самолета недостаточна" (7442).</w:t>
      </w:r>
    </w:p>
    <w:p w14:paraId="7535EBF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 пустого самолета Ил-10, представленного на государственные испытания, равнялся 4650 кг, нагрузка нормального полетного веса не превышала 1650 кг и включала: экипаж (2 чел) - 180 кг, вес бензина - 535 кг, вес масла - 65 кг, вес стрелково-пушечного вооружения (две пушки ВЯ по 150 снарядов на ствол, два пулемета ШКАС и 1500 патронов к ним, один оборонительный пулемет УБК со 150 патронами) - 420 кг, вес бомбовой нагрузки -400 кг, вес гранат АГ-2 (10 шт.) - 20 кг и вес съемного оборудования - 30 кг (7442).</w:t>
      </w:r>
    </w:p>
    <w:p w14:paraId="30AAE89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допускал перегрузочные варианты загрузки бомб 500 кг (2 ФАБ-250 на наружной подвеске) и 600 кг (мелкие бомбы в отсеках) (7442).</w:t>
      </w:r>
    </w:p>
    <w:p w14:paraId="27AA55D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всех вариантах полетного веса штурмовика центровка (шасси выпущено) самолета лежала в пределах от 21,3% САХ (пустой самолет) до 23,9 (перегрузочный вариант с 600 кг бомб). Центровка при нормальном полетном весе составляла 23,8% САХ (7442).</w:t>
      </w:r>
    </w:p>
    <w:p w14:paraId="4CAC7A5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самолете устанавливался мотор АМ-42 с винтом АВ-5л-24, диаметром 3,6 м с регулятором постоянного числа оборотов Р-7А (7442).</w:t>
      </w:r>
    </w:p>
    <w:p w14:paraId="0FDE35E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Летно-тактические данные штурмовика Ил-10, прошедшего госиспытания, оказались выдающимися: при полетном весе 6300 кг (400 кг бомб, без PC) на номинальном режиме работы мотора максимальная горизонтальная скорость полета на высоте 2300 м оказалась равной 550 км/ч - почти на 150 км/ч больше максимальной скорости Ил-2 АМ-38ф, а максимальная скорость у земли составила 500 км/ч. Время набора высоты 1000 м - 1,6 мин, а высоты 3000 м - 5,0 мин. Практический потолок машины составил 7270 м (7442).</w:t>
      </w:r>
    </w:p>
    <w:p w14:paraId="5AC6674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 техническая дальность полета Ил-10 на высоте полета 500 м при скорости полета по прибору 310 км/ч составила 800 км (продолжительность полета 2 часа 28 мин.). При этом скоростная дальность (0,9 V ) до полного выгорания горючего на высоте полета 2400 м не превышала 600 км (1 час 14 мин) (7442).</w:t>
      </w:r>
    </w:p>
    <w:p w14:paraId="087628B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Длина разбега с отклоненными на 17 щитками и с форсажем мотора составила 475 м, при этом длина взлетной дистанции (взлет с набором высоты 25 м) равнялась 1220 м (7442).</w:t>
      </w:r>
    </w:p>
    <w:p w14:paraId="3805380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посадочном весе 5380 кг длина пробега самолета с применением тормозов и отклонением щитков на 45° равнялась 460 м, а длина посадочной дистанции при тех же условиях не превышала 1040 м (с высоты 25 м) (7442).</w:t>
      </w:r>
    </w:p>
    <w:p w14:paraId="3B43DAF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Посадочная скорость штурмовика была почти такой же, как и у Ил-2 -при посадочном весе 5380 кг с отклоненными на 45° щитками она равнялась 148 км/ч (7442).</w:t>
      </w:r>
    </w:p>
    <w:p w14:paraId="3534B8F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Удельные нагрузки на крыло и мощность мотора при нормальном полетном весе 6300 кг, равные 210 кг/м2 и 3,15 кг/л.с. соответственно, полностью соответствовали концепции маневренного скоростного штурмовика (7442).</w:t>
      </w:r>
    </w:p>
    <w:p w14:paraId="42A9614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высотах от земли до 2000 м скорость двухместного бронированного Ил-10 была всего лишь на 10-15 км/ч меньше максимальных скоростей истребителей люфтваффе Bfl09G-2 и Fwl90A-4 (7442).</w:t>
      </w:r>
    </w:p>
    <w:p w14:paraId="7706CB4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прочности штурмовик относился к классу "Б" с коэффициентом перегрузки на случай "А" (соответствующий наибольшему коэффициенту подъемной силы), равным 8,28 при полетном весе 6000 кг (7442).</w:t>
      </w:r>
    </w:p>
    <w:p w14:paraId="5AB1F3E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Аэродинамическое совершенство Ил-10 достигалось улучшением обводов бронекорпуса, изменением системы уборки шасси, применением более скоростных профилей крыла, герметизацией отсеков самолета. В результате лобовое сопротивление Ил-10 по сравнению с Ил-2 уменьшилось почти в два раза (7442).</w:t>
      </w:r>
    </w:p>
    <w:p w14:paraId="77E6E84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Как и на втором опытном штурмовике Ил-8 АМ-42, в бронекорпусе серийного Ил-10 наряду с мотором и кабиной пилота размещалась кабина стрелка, которая располагалась сразу же за бронеспинкой летчика (7442).</w:t>
      </w:r>
    </w:p>
    <w:p w14:paraId="7069628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Распределение толщины брони было сделано с учетом опыта боевого применения штурмовика Ил-2. От огня со стороны задней полусферы воздушного стрелка защищала более эффективная бронеперегородка, образованная двумя рядом стоящими бронеплитами толщиной по 8 мм каждая с промежутком между ними. Бронеперегородка одновременно являлась и силовым шпангоутом стыка бронекорпуса с хвостовой частью фюзеляжа. Задняя бро-нестенка и подголовник пилота были также сделаны из двух броневых листов толщиной по 8 мм. Такая схема бронирования более эффективно защищала стрелка и пилота от поражения 20-мм снарядами немецких авиапушек (7442).</w:t>
      </w:r>
    </w:p>
    <w:p w14:paraId="15F4B4A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передних стеклах фонаря пилота ставилась прозрачная броня толщиной 64 мм с металлической окантовкой. Прозрачная броня выполнялась двухслойной: сырое силикатное стекло наклеивалось на органическую (плексигласовую) подушку. Откидывающиеся боковые крышки фонаря кабины пилота выполнялись из металлической брони (толщиной б мм) и плексигласа. Сверху голова пилота прикрывалась установленной на фонаре 6-мм броней (7442).</w:t>
      </w:r>
    </w:p>
    <w:p w14:paraId="67C215C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Раздельное открытие крышек фонаря позволяло летчику вылезти из кабины при полном капоте самолета. Сбоку фонаря имелись сдвижные форточки (7442).</w:t>
      </w:r>
    </w:p>
    <w:p w14:paraId="1BCB0B6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Передняя и средняя части фюзеляжа, образующие броневой корпус, выполнялись ИЗ ЛИСТОВ броневой стали типа АБ-2 толщиной от 4 (боковые листы и крышки капота) до 6 мм (диск винта, броня бензобака). Толщина нижних боковых стенок капота мотора была увеличена до 6 и 8 мм, а толщина боковых стенок кабины пилота и стрелка уменьшена до 4 и 5 мм (нижняя боковая броня кабины пилота при этом имела толщину 4 мм) (7442).</w:t>
      </w:r>
    </w:p>
    <w:p w14:paraId="57803AA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Нижняя боковая часть и пол кабины стрелка бронировались бронелистом толщиной 6 мм. Верхняя же часть бронекорпуса, имевшая поверхность двойной кривизны (за счет этого обеспечивался небольшой угол встречи снаряда с обшивкой), выполнялась из дюра-люминовых листов толщиной от 1,5 до 6,0 мм (7442).</w:t>
      </w:r>
    </w:p>
    <w:p w14:paraId="6D576EF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Дело в том, что верхняя передняя часть бронекорпуса Ил-2, как показал опыт его боевого применения, практически не поражалась в воздушных боях - для огня с земли она недосягаема, от огня истребителей со стороны хвоста самолета ее защищал стрелок, а спереди немецкие летчики старались Ил-2 не атаковать, справедливо опасаясь огневой мощи пушек ВЯ-23 (7442).</w:t>
      </w:r>
    </w:p>
    <w:p w14:paraId="4E48C01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FDFB69" w14:textId="77777777" w:rsidR="00962976" w:rsidRPr="007224C3" w:rsidRDefault="00962976"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13 мая 1944 г. командир 2-го гбак генерал-майор И.С. Полбин докладывал, что в ходе эксплуатации «быстро нарушается прочность крепления и герметичность проводки, в результате этого установка быстро выходит из строя и практически в полках не используется, как 1-й, таки, особенно, 2-й зоной».</w:t>
      </w:r>
    </w:p>
    <w:p w14:paraId="45A2C8CE" w14:textId="77777777" w:rsidR="00962976" w:rsidRPr="007224C3" w:rsidRDefault="00962976"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Отмечалось, что «система НГ при хорошем уходе и грамотной эксплуатации повышает живучесть самолета, но при крупных поражениях бензобака она также оказывается недейственной, поэтому самолет в целом воспламеняется легко». Начальник штаба ВВС КА генерал-полковник С.А. Худяков и начальник оперативного управления штаба ВВС генерал-лейтенант Н.А. Журавлев в мае 1944 г. в докладе руководству страны и ВВС КА требовали «незамедлительно отработать и внедрить в серийное производство стандартную систему НГ». Но до самого окончания войны реально работающую систему 2-й зоны нейтрального газа отработать и внедрить в серийное производство так и не удалось (17733).</w:t>
      </w:r>
    </w:p>
    <w:p w14:paraId="10FE62A0" w14:textId="77777777" w:rsidR="00962976" w:rsidRPr="007224C3" w:rsidRDefault="00962976" w:rsidP="007224C3">
      <w:pPr>
        <w:spacing w:after="0" w:line="240" w:lineRule="auto"/>
        <w:jc w:val="both"/>
        <w:rPr>
          <w:rFonts w:ascii="Times New Roman" w:hAnsi="Times New Roman"/>
          <w:color w:val="000000" w:themeColor="text1"/>
          <w:sz w:val="16"/>
          <w:szCs w:val="16"/>
        </w:rPr>
      </w:pPr>
    </w:p>
    <w:p w14:paraId="0A1A5B2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13 мая 1944 в 42-й гвардейский иап (до февраля 1943 г. 8-й иап} поступил приказ: сдать 12 оставшихся Як-1 в ПАРМ и учебно-тренировочный полк и убыть в </w:t>
      </w:r>
      <w:r w:rsidRPr="007224C3">
        <w:rPr>
          <w:rFonts w:ascii="Times New Roman" w:hAnsi="Times New Roman"/>
          <w:color w:val="000000" w:themeColor="text1"/>
          <w:sz w:val="16"/>
          <w:szCs w:val="16"/>
        </w:rPr>
        <w:lastRenderedPageBreak/>
        <w:t>Степыгино, что находилось в 70 км юго-западнее Москвы. Здесь летно-технический состав получил полноценный отпуск - впервые за три года войны. В начале июля командир полка майор Я.А.Александрович приказал начать изучение новой материальной части самолетов Як-9У (4842).</w:t>
      </w:r>
    </w:p>
    <w:p w14:paraId="3027EED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036C4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13 мая 1944 состояние опытного строительства на 21 заводе было следующим:</w:t>
      </w:r>
    </w:p>
    <w:p w14:paraId="295CB68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 Ла-7 АШ-83 - было выполнено 3 полета - имеется выброс масла из-за неисправной маслосистемы</w:t>
      </w:r>
    </w:p>
    <w:p w14:paraId="64D34CB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Ла-7 М-71 - был выведен на аэродром для отработки ВМГ</w:t>
      </w:r>
    </w:p>
    <w:p w14:paraId="19338D2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Ла-5ФН с автоматикой - заканчиваются заводские испытания (738,23).</w:t>
      </w:r>
    </w:p>
    <w:p w14:paraId="69BB0E9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2BDFF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мая 1944 года гл. конструктор заводов NN 22 и 482 Мясищев писал письмо N 1094 начальнику НИИ ВВС генерал-лейтенанту ИАС Лосюкову П.А., начальнику 7-го гл. управления НКАП Шишкину С.Н., зам. наркома Авиапрома и начальнику 10-го гл. управления НКАП Кузнецову А.И.</w:t>
      </w:r>
    </w:p>
    <w:p w14:paraId="563C058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Предъявленный Вам на гос. испытания 1-й экземпляр самолета Пе-2 с 2ВК107А по своему оборудованию не отвечает полностью требованиям макетной комиссии, состоявшейся на заводе N 22 29 февраля 1944 года под председательством генерал-майора авиации Фелорова, т.к. к моменту созыва макетной комиссии 1-й экземпляр находился уже в стадии сборки и был закончен оборудованием уже на 70%.</w:t>
      </w:r>
    </w:p>
    <w:p w14:paraId="57AC32F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совещании макетной комиссии было принято решение все крупные изменения и новые установки оборудования провести на 2-м экземпляре, часть же новых установок как-то: АФА3с, СЧ-2, СЧ-3 и ПР-4, только предусматривалась с дальнейшей отработкой их на эталонном самолете Пе-2 ВК107А, после получения образцов этого оборудования.</w:t>
      </w:r>
    </w:p>
    <w:p w14:paraId="042B959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Ввиду вышеизложенного считаю целесообразным на первом самолете производить только летно-тактические испытания и испытание вооружения; испытания же спецоборудования и отработку новых установок произвести на втором экземпляре, оборудованном в соответствии с замечаниями макетной комиссии.</w:t>
      </w:r>
    </w:p>
    <w:p w14:paraId="1717226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2-й экземпляр самолета Пе-2 ВК-107А будет Вам предъявлен на гос. испытания в мае с.г. (1825,39).</w:t>
      </w:r>
    </w:p>
    <w:p w14:paraId="6D9024C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E0ED0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мая 1944 вышел приказ НКАП N 328с:</w:t>
      </w:r>
    </w:p>
    <w:p w14:paraId="48F2A2B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целях увеличения выпуска транспортных самолетов Ще-2:</w:t>
      </w:r>
    </w:p>
    <w:p w14:paraId="1F598A5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Нач. 11 ГУ И.В.Куликову и директору завода 87 А.И.Бугрову организовать на заводе 87 серийное производство транспортных самолетов Ще-2</w:t>
      </w:r>
    </w:p>
    <w:p w14:paraId="491D247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Обеспечить начало выпуска самолетов Ще-2 в сентябре 1944 в количестве 3-х, в октябре - 8</w:t>
      </w:r>
    </w:p>
    <w:p w14:paraId="7E0CC28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Перевести завод 87 из 6 в 11 ГУ (1602,88).</w:t>
      </w:r>
    </w:p>
    <w:p w14:paraId="4A903C1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5F1AD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мая 1944 вышел приказ НКАП № 329с</w:t>
      </w:r>
    </w:p>
    <w:p w14:paraId="4D95C96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целях сосредоточения з-в металлургического пр-ва НКАп в одном ГУ:</w:t>
      </w:r>
    </w:p>
    <w:p w14:paraId="065C54B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З-д 496 10 ГУ передать в 9 ГУ</w:t>
      </w:r>
    </w:p>
    <w:p w14:paraId="1F2A408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Площадку и сооружения бывшего з-да 381 на ст. Ижора закрепить за з-м 496.</w:t>
      </w:r>
    </w:p>
    <w:p w14:paraId="32FA4B4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Шахурин (1602, 102).</w:t>
      </w:r>
    </w:p>
    <w:p w14:paraId="4727445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751A5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мая 1944 г. по приказу НКАП № 329с площадка и все сооружения бывшего завода № 381 НКАП (на ст. Ижора) закреплены за заводом № 496 НКАП (ГС завод № 496 НКАП, НКТМ, МЭТП, п/я 240, Ленинградский государственный электромашиностроительный завод (ЛЭЗ), НПО «Электрофизика», АООТ, ОАО «Сила», ОАО «Новая сила» /г. Ленинград ул. Глухозерская, 16/ /189631  г. Санкт-Петербург п/о Металлострой/), тем же приказом завод передан из 10ГУ в 9ГУ. Стальное фасонное литье, поковки, штамповка заготовок.</w:t>
      </w:r>
    </w:p>
    <w:p w14:paraId="4F7F5A0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заводе действовал металлургический филиал, образованный в 1940 г. на площадку ремонтно- механического завода НКПС в Ленинграде. По приказу № 258с от 22.06.1945 г. филиал передан в ведение НКугля. В соответствии с пост. СНК от 10.06.1945 г. и приказом НКУП от 15.06.1945 г. на базе филиала создан ГС завод угольного машиностроения «Ленуглемаш».</w:t>
      </w:r>
    </w:p>
    <w:p w14:paraId="63AED9F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приказу № 473с/847с от 22.12.1945 г. завод передан в ведение НКТМ с 1.11.1945 г., с 15.08.1946 г. завод № 496 передан в МЭП, с 1953 г.- МЭТП, с 07.1957 г. - в ведение Управления электротехнической промышленности ЛенСНХ. Строительство велось в 1946-50 г.</w:t>
      </w:r>
      <w:r w:rsidRPr="007224C3">
        <w:rPr>
          <w:rFonts w:ascii="Times New Roman" w:hAnsi="Times New Roman"/>
          <w:color w:val="000000" w:themeColor="text1"/>
          <w:sz w:val="16"/>
          <w:szCs w:val="16"/>
          <w:vertAlign w:val="superscript"/>
        </w:rPr>
        <w:t>78</w:t>
      </w:r>
      <w:r w:rsidRPr="007224C3">
        <w:rPr>
          <w:rFonts w:ascii="Times New Roman" w:hAnsi="Times New Roman"/>
          <w:color w:val="000000" w:themeColor="text1"/>
          <w:sz w:val="16"/>
          <w:szCs w:val="16"/>
        </w:rPr>
        <w:t xml:space="preserve"> В 11.1951 г. завод получил наименование ГС завод «п/я 240» МЭТП, с 1960 г. - организация «п/я 240». В соответствии с пост. ЛенСНХ от 2.10.1962 г. завод вошел в состав ЛПЭО «Электросила» им. С.М. Кирова и в 01.1963 г. переименован в Ленинградский электромашиностроительный завод. В 1988 г. завод вошел в состав НПО «Электрофизика» в качестве самостоятельной структурной единицы.</w:t>
      </w:r>
    </w:p>
    <w:p w14:paraId="45ED0E3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1993 г. завод акционирован и преобразован в АООТ, а с 1996 г.- ОАО «Сила». В 06.1998 г. переименовано в ОАО «Новая сила». В 01.1997 г. стало одним из учередителей ОАО «ЭМК-Сила».</w:t>
      </w:r>
    </w:p>
    <w:p w14:paraId="3246DE8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Производство (2000-е): более 1200 типоразмеров электрических машин: турбогенераторы с воздушным, водородным и водяным охлаждением до 220 МВт; синхронные генераторы до 3500 кВт; электродвигатели до 8000 кВт; аснхронные электродвигатели более 100 кВт; электрооборудование приводов СУЗ АЭС с реакторами ВВЭР-440 и ВВЭР-1000; токоприемники кольцевые экскаваторные; разработка и освоение производства: гидрогенераторы малой мощности; тяговые электродвигатели: асинхронные для электропоездов, вентильные для большегрузных самосвалов; нестандартные электродвигатели для уникального оборудования; плазмотроны для электрофизических установок по утилизации токсичных отходов.</w:t>
      </w:r>
    </w:p>
    <w:p w14:paraId="63D46BC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 к 2000 г. выпущено более 720 турбогенраторов и 83 тыс. крупных электрических машин.</w:t>
      </w:r>
    </w:p>
    <w:p w14:paraId="6737F06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Численность персонала (2000-е)- 1359 чел.</w:t>
      </w:r>
    </w:p>
    <w:p w14:paraId="680FBA2C" w14:textId="77777777" w:rsidR="00B51C29"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(1941 г.)- Н.В. Захаров, (-02-10.1944 г.-)- Соснушкин.</w:t>
      </w:r>
    </w:p>
    <w:p w14:paraId="3E6620B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«Ленметаллургстрой» НКТП, «Ленкранстрой» НКМС /г. Ленинград/</w:t>
      </w:r>
    </w:p>
    <w:p w14:paraId="6F03156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«Ленметаллургстрой» НКТП основан в 1932 г., в 1937 г. он переименован в «Ленкранстрой» в ведении ГУ подъемно-транспортного оборудования НКМС.</w:t>
      </w:r>
    </w:p>
    <w:p w14:paraId="6458FE56" w14:textId="77777777" w:rsidR="00B51C29"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соответствии с пост. СНК № 1369-385с от 26.07.1940 г. и приказом № 418сс от 12.08.1940 г. на территории завода «Ленкранстрой» НКСМ размещен вновь образованный зав»д № 381 НКАП, а сам завод «Ленкранстрой» передан в НКАП и влит в его состав. При эвакуации завода № 381 НКАП в 07.1941 г. из его состава был выделен бывший завод «Ленкранстрой» в самостоятельный завод № 496 НКАП.</w:t>
      </w:r>
    </w:p>
    <w:p w14:paraId="4522151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ГС завод угольного машиностроения «Ленуглемаш» НКУП, Ленинградский экскаваторный завод МСиДМ, МТиТМ, Ленинградский завод строительной робототехники и манипуляторов,Ленинградский завод строительного машиностроения (ЛЗСМ), Машиностроительная фирма (МФ) «ЛЗСМ», МФ «Барс», АООТ «МФ «Барс»</w:t>
      </w:r>
    </w:p>
    <w:p w14:paraId="478EEF4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заводе № 496 НКАП действовал металлургический филиал, образованный в 1940 г. на площадке ремонтно-механического завода НКПС в Ленинграде. По приказу № 258с от 22.06.1945 г. филиал передан в ведение НКугля. В соответствии с пост. СНК от 10.06.1945 г. и приказом НКУП от 15.06.1945 г. на базе филиала создан ГС завод угольного машиностроения «Ленуглемаш» в ведении Главуглемаша Востока НКУП. В соответствии с пост. СНК от 17.02.1946 г. завод передан в ведение ГУ по производству экскаваторов и кранов МСиДМ и переименован в Ленинградский экскаваторный завод. Пост. СМ СССР от 28.03.1953 г. завод передан в ведение ГУ по производству экскаваторов и кранов МТиТМ, с 05.1954 г. - вновь в МСиДМ. В 06.1957 г. завод передан в ведение Управления тяжелого машиностроения ЛенСНХ, в 10.1965 г. - ГУ по производству экскаваторов и кранов Министерства строительного, дорожного и коммунального машиностроения.</w:t>
      </w:r>
    </w:p>
    <w:p w14:paraId="517DBF1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приказу от 4.01.1984 г. завод переименован в Ленинградский завод строительной робототехники и манипуляторов и на правах самостоятельного предприятия вошел в состав НПО «Ленстройробот» ВПО «Союзэкскаватор». По приказу от 21.09.1988 г. завод переименован в Ленинградский завод строительного машиностроения и передан в состав НПО «Ленстройкомммаш». В 1991 г. завод вошел в состав Межотраслевого государственного объединения по разработке и производству машин и оборудования для коммунального хозяйства (МГО «Коммаш»). Приказом председателя «Коммаша» от 15.08.1991 г. завод преобразован в МФ ЛЗСМ, в 01.1992 г. она переименована в МФ «Барс».</w:t>
      </w:r>
    </w:p>
    <w:p w14:paraId="6019E3AC" w14:textId="77777777" w:rsidR="004B3F09"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7224C3">
        <w:rPr>
          <w:rFonts w:ascii="Times New Roman" w:hAnsi="Times New Roman"/>
          <w:color w:val="000000" w:themeColor="text1"/>
          <w:sz w:val="16"/>
          <w:szCs w:val="16"/>
        </w:rPr>
        <w:t>1.03.1994 г. фирма преобразована в АООТ «МФ «Барс». 6.05.1998 г. предприятие признано банкротом, в 1999 г. утвержден ликвидационный баланс.</w:t>
      </w:r>
      <w:r w:rsidRPr="007224C3">
        <w:rPr>
          <w:rFonts w:ascii="Times New Roman" w:hAnsi="Times New Roman"/>
          <w:color w:val="000000" w:themeColor="text1"/>
          <w:sz w:val="16"/>
          <w:szCs w:val="16"/>
          <w:vertAlign w:val="superscript"/>
        </w:rPr>
        <w:t>131</w:t>
      </w:r>
    </w:p>
    <w:p w14:paraId="5C402E6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НПО «Ленстройробот»</w:t>
      </w:r>
    </w:p>
    <w:p w14:paraId="2540F4F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НПО «Ленстройробот» ВПО «Союзэкскаватор» создано по приказу Министерства строительного, дорожного и коммунального машиностроения от 4.01.1984 г., в его состав вошли Ленинградский завод строительной робототехники и манипуляторов (на правах самостоятельного предприятия, входил по 1988 г.), Ленинградский государственный завод строительных машин (11982).</w:t>
      </w:r>
    </w:p>
    <w:p w14:paraId="48038A5E" w14:textId="77777777" w:rsidR="004B3F09" w:rsidRPr="007224C3" w:rsidRDefault="004B3F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AE006AC"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0F6CDC1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E450007" w14:textId="77777777" w:rsidR="008B0844" w:rsidRPr="007224C3" w:rsidRDefault="008B0844" w:rsidP="007224C3">
      <w:pPr>
        <w:pStyle w:val="ae"/>
        <w:spacing w:before="0" w:after="0"/>
        <w:jc w:val="both"/>
        <w:textAlignment w:val="baseline"/>
        <w:rPr>
          <w:color w:val="000000" w:themeColor="text1"/>
          <w:sz w:val="16"/>
          <w:szCs w:val="16"/>
        </w:rPr>
      </w:pPr>
      <w:r w:rsidRPr="007224C3">
        <w:rPr>
          <w:color w:val="000000" w:themeColor="text1"/>
          <w:sz w:val="16"/>
          <w:szCs w:val="16"/>
        </w:rPr>
        <w:t xml:space="preserve">13 мая 1944 года начались Заводские испытания первого опытного образца модернизированного Т-44. Первый пробег 13-14 мая проходил с бортовым редуктором (гитарой), заправленным авиационным маслом. Как показали испытания, подобная смазка работала плохо. После 50 км безостановочного пробега температура масла достигла 175 градусов. Также наблюдалась потеря масла через сальники валов, в результате каждые 40-50 км приходилось дозаправлять гитару. После первого пробега гитару заменили на другую конструкцию, получившую маслонасос с двумя секциями. После этого проблемы с перегревом масла прекратились, к 4 июня танк прошёл </w:t>
      </w:r>
      <w:r w:rsidRPr="007224C3">
        <w:rPr>
          <w:color w:val="000000" w:themeColor="text1"/>
          <w:sz w:val="16"/>
          <w:szCs w:val="16"/>
        </w:rPr>
        <w:lastRenderedPageBreak/>
        <w:t>2118 км.</w:t>
      </w:r>
    </w:p>
    <w:p w14:paraId="181EEEED" w14:textId="77777777" w:rsidR="008B0844" w:rsidRPr="007224C3" w:rsidRDefault="008B0844" w:rsidP="007224C3">
      <w:pPr>
        <w:spacing w:after="0" w:line="240" w:lineRule="auto"/>
        <w:jc w:val="both"/>
        <w:textAlignment w:val="baseline"/>
        <w:rPr>
          <w:rFonts w:ascii="Times New Roman" w:hAnsi="Times New Roman"/>
          <w:color w:val="000000" w:themeColor="text1"/>
          <w:sz w:val="16"/>
          <w:szCs w:val="16"/>
        </w:rPr>
      </w:pPr>
      <w:r w:rsidRPr="007224C3">
        <w:rPr>
          <w:rFonts w:ascii="Times New Roman" w:hAnsi="Times New Roman"/>
          <w:color w:val="000000" w:themeColor="text1"/>
          <w:sz w:val="16"/>
          <w:szCs w:val="16"/>
        </w:rPr>
        <w:t>За время заводских испытаний первый образец с бортами толщиной 60 мм преодолел более 2000 км.</w:t>
      </w:r>
    </w:p>
    <w:p w14:paraId="75C0C087" w14:textId="77777777" w:rsidR="008B0844" w:rsidRPr="007224C3" w:rsidRDefault="008B0844" w:rsidP="007224C3">
      <w:pPr>
        <w:pStyle w:val="ae"/>
        <w:spacing w:before="0" w:after="0"/>
        <w:jc w:val="both"/>
        <w:textAlignment w:val="baseline"/>
        <w:rPr>
          <w:color w:val="000000" w:themeColor="text1"/>
          <w:sz w:val="16"/>
          <w:szCs w:val="16"/>
        </w:rPr>
      </w:pPr>
      <w:r w:rsidRPr="007224C3">
        <w:rPr>
          <w:color w:val="000000" w:themeColor="text1"/>
          <w:sz w:val="16"/>
          <w:szCs w:val="16"/>
        </w:rPr>
        <w:t>Рост боевой массы привёл к тому, что хроническая проблема с износом бандажей опорных катков, присущая и Т-34, и Т-43, стала давать о себе знать ещё сильнее. Всего за время испытаний износились бандажи на 8 катках, причём на 5-м правом опорном катке четыре раза. Имелись и другие неполадки, в том числе по элементам трансмиссии. В ходе испытаний набрались замечания по 25 пунктам. Немало претензий высказали к месту механика-водителя. Снижение будки оказалось правильным решением с точки зрения стойкости корпуса, но при этом появился недостаток по высоте. Механик-водитель среднего роста теперь упирался головой в крышку люка, сиденье признали неудачным, как и размещение контрольных приборов. Имелись претензии к боеукладке, размещению радиостанции в башне и боевому отделению в целом. Одним словом, переделка машины устранила часть проблем, но появились новые.</w:t>
      </w:r>
    </w:p>
    <w:p w14:paraId="7EA6F15A" w14:textId="77777777" w:rsidR="008B0844" w:rsidRPr="007224C3" w:rsidRDefault="008B0844" w:rsidP="007224C3">
      <w:pPr>
        <w:pStyle w:val="ae"/>
        <w:spacing w:before="0" w:after="0"/>
        <w:jc w:val="both"/>
        <w:textAlignment w:val="baseline"/>
        <w:rPr>
          <w:color w:val="000000" w:themeColor="text1"/>
          <w:sz w:val="16"/>
          <w:szCs w:val="16"/>
        </w:rPr>
      </w:pPr>
      <w:r w:rsidRPr="007224C3">
        <w:rPr>
          <w:color w:val="000000" w:themeColor="text1"/>
          <w:sz w:val="16"/>
          <w:szCs w:val="16"/>
        </w:rPr>
        <w:t>Пока шли испытания первой опытной машины, на заводе №183 работали над изготовлением второго экземпляра (с толщиной бортов до 75 мм) (18950).</w:t>
      </w:r>
    </w:p>
    <w:p w14:paraId="658602B4" w14:textId="77777777" w:rsidR="008B0844" w:rsidRPr="007224C3" w:rsidRDefault="008B0844" w:rsidP="007224C3">
      <w:pPr>
        <w:pStyle w:val="ae"/>
        <w:spacing w:before="0" w:after="0"/>
        <w:jc w:val="both"/>
        <w:textAlignment w:val="baseline"/>
        <w:rPr>
          <w:color w:val="000000" w:themeColor="text1"/>
          <w:sz w:val="16"/>
          <w:szCs w:val="16"/>
        </w:rPr>
      </w:pPr>
    </w:p>
    <w:p w14:paraId="61229AB7"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мая 1944 вышло Распоряжение ГКО № 5895 [О возвращении на работу по эксплуатации Беломорско-Балтийского канала 164 семьи эвакуированных спецпереселенцев из Красноярского края, Архангельской обл. и Коми АССР.] (7233, 1).</w:t>
      </w:r>
    </w:p>
    <w:p w14:paraId="07964AD5"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BC17385"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мая 1944 вышло Распоряжение ГКО № 5896 [О мерах по выпуску задних двухосных тележек паровозов ФД для НКПС.] (7233, 2-3).</w:t>
      </w:r>
    </w:p>
    <w:p w14:paraId="37797A40"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A53C74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мая 1944 вышло Постановление ГКО № 5897 О создании запасов горюче-смазочных материалов. РГАНИР, Фонд ГКО, д. 254, лл. 4-6,7-18 (11012).</w:t>
      </w:r>
    </w:p>
    <w:p w14:paraId="0B1113C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930DED0"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52E08E6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BC3F22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мая 1944 на Северном флоте было выполнено первое топ-мачтовое бомбометание по кораблям и транспортам в порту Киркенес (6467).</w:t>
      </w:r>
    </w:p>
    <w:p w14:paraId="772D180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Се</w:t>
      </w:r>
      <w:r w:rsidRPr="007224C3">
        <w:rPr>
          <w:rFonts w:ascii="Times New Roman" w:hAnsi="Times New Roman"/>
          <w:color w:val="000000" w:themeColor="text1"/>
          <w:sz w:val="16"/>
          <w:szCs w:val="16"/>
        </w:rPr>
        <w:softHyphen/>
        <w:t>верном флоте противник имел ко</w:t>
      </w:r>
      <w:r w:rsidRPr="007224C3">
        <w:rPr>
          <w:rFonts w:ascii="Times New Roman" w:hAnsi="Times New Roman"/>
          <w:color w:val="000000" w:themeColor="text1"/>
          <w:sz w:val="16"/>
          <w:szCs w:val="16"/>
        </w:rPr>
        <w:softHyphen/>
        <w:t>рабли и транспорты с усиленным для плавания в ледовых условиях корпусом. Поэтому одно попадание ФАБ-100 не только не могло привести к потоплению корабля или транспорта, но и нанести серьезные повреждения даже таким, ка</w:t>
      </w:r>
      <w:r w:rsidRPr="007224C3">
        <w:rPr>
          <w:rFonts w:ascii="Times New Roman" w:hAnsi="Times New Roman"/>
          <w:color w:val="000000" w:themeColor="text1"/>
          <w:sz w:val="16"/>
          <w:szCs w:val="16"/>
        </w:rPr>
        <w:softHyphen/>
        <w:t>залось бы, "консервным банкам", как нор</w:t>
      </w:r>
      <w:r w:rsidRPr="007224C3">
        <w:rPr>
          <w:rFonts w:ascii="Times New Roman" w:hAnsi="Times New Roman"/>
          <w:color w:val="000000" w:themeColor="text1"/>
          <w:sz w:val="16"/>
          <w:szCs w:val="16"/>
        </w:rPr>
        <w:softHyphen/>
        <w:t>вежские вооруженные сейнеры и трау</w:t>
      </w:r>
      <w:r w:rsidRPr="007224C3">
        <w:rPr>
          <w:rFonts w:ascii="Times New Roman" w:hAnsi="Times New Roman"/>
          <w:color w:val="000000" w:themeColor="text1"/>
          <w:sz w:val="16"/>
          <w:szCs w:val="16"/>
        </w:rPr>
        <w:softHyphen/>
        <w:t>леры. О кораблях же специальной пост</w:t>
      </w:r>
      <w:r w:rsidRPr="007224C3">
        <w:rPr>
          <w:rFonts w:ascii="Times New Roman" w:hAnsi="Times New Roman"/>
          <w:color w:val="000000" w:themeColor="text1"/>
          <w:sz w:val="16"/>
          <w:szCs w:val="16"/>
        </w:rPr>
        <w:softHyphen/>
        <w:t>ройки, например, сторожевых кораблях типа "F", тральщиках типа "М", минонос</w:t>
      </w:r>
      <w:r w:rsidRPr="007224C3">
        <w:rPr>
          <w:rFonts w:ascii="Times New Roman" w:hAnsi="Times New Roman"/>
          <w:color w:val="000000" w:themeColor="text1"/>
          <w:sz w:val="16"/>
          <w:szCs w:val="16"/>
        </w:rPr>
        <w:softHyphen/>
        <w:t>цах типа "Т" и эсминцах типа "Z" гово</w:t>
      </w:r>
      <w:r w:rsidRPr="007224C3">
        <w:rPr>
          <w:rFonts w:ascii="Times New Roman" w:hAnsi="Times New Roman"/>
          <w:color w:val="000000" w:themeColor="text1"/>
          <w:sz w:val="16"/>
          <w:szCs w:val="16"/>
        </w:rPr>
        <w:softHyphen/>
        <w:t>рить не приходится. Потопление неболь</w:t>
      </w:r>
      <w:r w:rsidRPr="007224C3">
        <w:rPr>
          <w:rFonts w:ascii="Times New Roman" w:hAnsi="Times New Roman"/>
          <w:color w:val="000000" w:themeColor="text1"/>
          <w:sz w:val="16"/>
          <w:szCs w:val="16"/>
        </w:rPr>
        <w:softHyphen/>
        <w:t>ших кораблей и транспортов могло быть лишь с применением авиабомб калиб</w:t>
      </w:r>
      <w:r w:rsidRPr="007224C3">
        <w:rPr>
          <w:rFonts w:ascii="Times New Roman" w:hAnsi="Times New Roman"/>
          <w:color w:val="000000" w:themeColor="text1"/>
          <w:sz w:val="16"/>
          <w:szCs w:val="16"/>
        </w:rPr>
        <w:softHyphen/>
        <w:t>ра 250 кг и выше и авиационных торпед типа 45-36. Торпеду Ил-2 нести не мог, а бомбовая зарядка включала всего 2 ФАБ-250, что не обеспечивало при су</w:t>
      </w:r>
      <w:r w:rsidRPr="007224C3">
        <w:rPr>
          <w:rFonts w:ascii="Times New Roman" w:hAnsi="Times New Roman"/>
          <w:color w:val="000000" w:themeColor="text1"/>
          <w:sz w:val="16"/>
          <w:szCs w:val="16"/>
        </w:rPr>
        <w:softHyphen/>
        <w:t>ществующей боевой подготовке летчи</w:t>
      </w:r>
      <w:r w:rsidRPr="007224C3">
        <w:rPr>
          <w:rFonts w:ascii="Times New Roman" w:hAnsi="Times New Roman"/>
          <w:color w:val="000000" w:themeColor="text1"/>
          <w:sz w:val="16"/>
          <w:szCs w:val="16"/>
        </w:rPr>
        <w:softHyphen/>
        <w:t xml:space="preserve">ков 46-го </w:t>
      </w:r>
      <w:r w:rsidRPr="007224C3">
        <w:rPr>
          <w:rFonts w:ascii="Times New Roman" w:hAnsi="Times New Roman"/>
          <w:iCs/>
          <w:color w:val="000000" w:themeColor="text1"/>
          <w:sz w:val="16"/>
          <w:szCs w:val="16"/>
        </w:rPr>
        <w:t>шап</w:t>
      </w:r>
      <w:r w:rsidRPr="007224C3">
        <w:rPr>
          <w:rFonts w:ascii="Times New Roman" w:hAnsi="Times New Roman"/>
          <w:color w:val="000000" w:themeColor="text1"/>
          <w:sz w:val="16"/>
          <w:szCs w:val="16"/>
        </w:rPr>
        <w:t xml:space="preserve"> ВВС СФ требуемых веро</w:t>
      </w:r>
      <w:r w:rsidRPr="007224C3">
        <w:rPr>
          <w:rFonts w:ascii="Times New Roman" w:hAnsi="Times New Roman"/>
          <w:color w:val="000000" w:themeColor="text1"/>
          <w:sz w:val="16"/>
          <w:szCs w:val="16"/>
        </w:rPr>
        <w:softHyphen/>
        <w:t>ятностей поражения надводных целей (6467).</w:t>
      </w:r>
    </w:p>
    <w:p w14:paraId="1800CE2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При изучении архивных документов авторам до сих пор не удалось найти хотя бы какие-то "следы" штурмовика Ил-2 в варианте торпедоносца (так называемый вариант Ил-2Т), о применении которого в 23-м </w:t>
      </w:r>
      <w:r w:rsidRPr="007224C3">
        <w:rPr>
          <w:rFonts w:ascii="Times New Roman" w:hAnsi="Times New Roman"/>
          <w:iCs/>
          <w:color w:val="000000" w:themeColor="text1"/>
          <w:sz w:val="16"/>
          <w:szCs w:val="16"/>
        </w:rPr>
        <w:t>ошап</w:t>
      </w:r>
      <w:r w:rsidRPr="007224C3">
        <w:rPr>
          <w:rFonts w:ascii="Times New Roman" w:hAnsi="Times New Roman"/>
          <w:color w:val="000000" w:themeColor="text1"/>
          <w:sz w:val="16"/>
          <w:szCs w:val="16"/>
        </w:rPr>
        <w:t xml:space="preserve"> ВВС ЧФ упоминается в ряде публикаций. Если бы такая машина су</w:t>
      </w:r>
      <w:r w:rsidRPr="007224C3">
        <w:rPr>
          <w:rFonts w:ascii="Times New Roman" w:hAnsi="Times New Roman"/>
          <w:color w:val="000000" w:themeColor="text1"/>
          <w:sz w:val="16"/>
          <w:szCs w:val="16"/>
        </w:rPr>
        <w:softHyphen/>
        <w:t>ществовала официально (то есть была произведена на авиазаводе, хотя бы и небольшой войсковой серией), то ее следы обязательно должны были остать</w:t>
      </w:r>
      <w:r w:rsidRPr="007224C3">
        <w:rPr>
          <w:rFonts w:ascii="Times New Roman" w:hAnsi="Times New Roman"/>
          <w:color w:val="000000" w:themeColor="text1"/>
          <w:sz w:val="16"/>
          <w:szCs w:val="16"/>
        </w:rPr>
        <w:softHyphen/>
        <w:t>ся в отчетах военпредов авиазаводов о принятых и</w:t>
      </w:r>
      <w:r w:rsidRPr="007224C3">
        <w:rPr>
          <w:rFonts w:ascii="Times New Roman" w:hAnsi="Times New Roman"/>
          <w:b/>
          <w:bCs/>
          <w:color w:val="000000" w:themeColor="text1"/>
          <w:sz w:val="16"/>
          <w:szCs w:val="16"/>
        </w:rPr>
        <w:t xml:space="preserve"> оплаченных</w:t>
      </w:r>
      <w:r w:rsidRPr="007224C3">
        <w:rPr>
          <w:rFonts w:ascii="Times New Roman" w:hAnsi="Times New Roman"/>
          <w:color w:val="000000" w:themeColor="text1"/>
          <w:sz w:val="16"/>
          <w:szCs w:val="16"/>
        </w:rPr>
        <w:t xml:space="preserve"> штурмовиках Ил-2. Однако никаких упоминаний об Ил-2Т в этих документах нет. Если бы тор</w:t>
      </w:r>
      <w:r w:rsidRPr="007224C3">
        <w:rPr>
          <w:rFonts w:ascii="Times New Roman" w:hAnsi="Times New Roman"/>
          <w:color w:val="000000" w:themeColor="text1"/>
          <w:sz w:val="16"/>
          <w:szCs w:val="16"/>
        </w:rPr>
        <w:softHyphen/>
        <w:t>педоносный вариант Ил-2 являлся са</w:t>
      </w:r>
      <w:r w:rsidRPr="007224C3">
        <w:rPr>
          <w:rFonts w:ascii="Times New Roman" w:hAnsi="Times New Roman"/>
          <w:color w:val="000000" w:themeColor="text1"/>
          <w:sz w:val="16"/>
          <w:szCs w:val="16"/>
        </w:rPr>
        <w:softHyphen/>
        <w:t>мостийной переделкой умельцев ВВС ЧФ, то об опыте его боевого применения обязательно имелось бы упомина</w:t>
      </w:r>
      <w:r w:rsidRPr="007224C3">
        <w:rPr>
          <w:rFonts w:ascii="Times New Roman" w:hAnsi="Times New Roman"/>
          <w:color w:val="000000" w:themeColor="text1"/>
          <w:sz w:val="16"/>
          <w:szCs w:val="16"/>
        </w:rPr>
        <w:softHyphen/>
        <w:t>ние в отчетах начальника воздушно-стрелковой службы ВВС флота, а также и в отчетах по расходу боеприпасов (ука</w:t>
      </w:r>
      <w:r w:rsidRPr="007224C3">
        <w:rPr>
          <w:rFonts w:ascii="Times New Roman" w:hAnsi="Times New Roman"/>
          <w:color w:val="000000" w:themeColor="text1"/>
          <w:sz w:val="16"/>
          <w:szCs w:val="16"/>
        </w:rPr>
        <w:softHyphen/>
        <w:t>зание об использовании авиаторпед). Но и в этих документах Ил-2-торпедоносец не упоминается и расход штурмовками торпед не отмечается (6467).</w:t>
      </w:r>
    </w:p>
    <w:p w14:paraId="71F11B0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A8027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May 13th, 1944: In the East, German troops of Heeresgruppe Ukraine belatedly complete the evacuation of the Crimea, suffering heavy casualties and leaving behind large quantities of heavy equipment (3819).</w:t>
      </w:r>
    </w:p>
    <w:p w14:paraId="4D72636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85CECD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мая 1944 Группа Украина завершила эвакуацию из Крыма, оставив много техники и потерпев тяжелые потери (3819).</w:t>
      </w:r>
    </w:p>
    <w:p w14:paraId="5FF5EBC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6454E3"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Внешняя политика:</w:t>
      </w:r>
    </w:p>
    <w:p w14:paraId="3C198FD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BB0CD74"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мая 1944 СССР, США и Англия призвали Венгрию, Румынию, Болгарию и Финляндию немедленно выйти из войны (4962).</w:t>
      </w:r>
    </w:p>
    <w:p w14:paraId="08C6AF83"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947FC4C" w14:textId="77777777" w:rsidR="004B3F09" w:rsidRPr="007224C3" w:rsidRDefault="004B3F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мая в 1944 году обращение правительств СССР, Великобритании и США к Венгрии, Румынии, Болгарии и Финляндии с предложением прекратить войну на стороне Германии (14890).</w:t>
      </w:r>
    </w:p>
    <w:p w14:paraId="69A6C2ED" w14:textId="77777777" w:rsidR="004B3F09" w:rsidRPr="007224C3" w:rsidRDefault="004B3F09" w:rsidP="007224C3">
      <w:pPr>
        <w:spacing w:after="0" w:line="240" w:lineRule="auto"/>
        <w:jc w:val="both"/>
        <w:rPr>
          <w:rFonts w:ascii="Times New Roman" w:hAnsi="Times New Roman"/>
          <w:color w:val="000000" w:themeColor="text1"/>
          <w:sz w:val="16"/>
          <w:szCs w:val="16"/>
        </w:rPr>
      </w:pPr>
    </w:p>
    <w:p w14:paraId="3D90FDB3"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7E61A2A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2AAC136" w14:textId="77777777" w:rsidR="004B3F09" w:rsidRPr="007224C3" w:rsidRDefault="004B3F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мая в 1944 году взлетел первый серийный английский тяжелый бомбардировщик «Halifax» «В.III» собранный на заводе "Руте секьюритиз" Все производственные центры быстро перешли на этот вариант (14890).</w:t>
      </w:r>
    </w:p>
    <w:p w14:paraId="6BC2D98E" w14:textId="77777777" w:rsidR="004B3F09" w:rsidRPr="007224C3" w:rsidRDefault="004B3F09" w:rsidP="007224C3">
      <w:pPr>
        <w:spacing w:after="0" w:line="240" w:lineRule="auto"/>
        <w:jc w:val="both"/>
        <w:rPr>
          <w:rFonts w:ascii="Times New Roman" w:hAnsi="Times New Roman"/>
          <w:color w:val="000000" w:themeColor="text1"/>
          <w:sz w:val="16"/>
          <w:szCs w:val="16"/>
        </w:rPr>
      </w:pPr>
    </w:p>
    <w:p w14:paraId="7BE92329" w14:textId="77777777" w:rsidR="00982729" w:rsidRPr="007224C3" w:rsidRDefault="00982729"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13 мая 1944 ракетный перехватчик Messerschmitt Me 163 B Komet начинает службу в составе служебного испытательного подразделения Erprobungskommando 16 Люфтваффе в Бад-Цвишенане с целью испытательного перехвата бомбардировщиков союзников (20373).</w:t>
      </w:r>
    </w:p>
    <w:p w14:paraId="39F6C492" w14:textId="77777777" w:rsidR="00982729" w:rsidRPr="007224C3" w:rsidRDefault="00982729" w:rsidP="007224C3">
      <w:pPr>
        <w:spacing w:after="0" w:line="240" w:lineRule="auto"/>
        <w:jc w:val="both"/>
        <w:rPr>
          <w:rFonts w:ascii="Times New Roman" w:hAnsi="Times New Roman"/>
          <w:color w:val="0070C0"/>
          <w:sz w:val="16"/>
          <w:szCs w:val="16"/>
        </w:rPr>
      </w:pPr>
    </w:p>
    <w:p w14:paraId="4ADFE570" w14:textId="77777777" w:rsidR="00982729" w:rsidRPr="007224C3" w:rsidRDefault="00982729"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13-17 мая 1944 бомбардировщики 5 армии ВВС выполняют удары по японским силам в преддверии насткпления на Wakde Аэродром и Савар Аэродром в Западной Новой Гвинее (20373).</w:t>
      </w:r>
    </w:p>
    <w:p w14:paraId="0A71CFB5" w14:textId="77777777" w:rsidR="00982729" w:rsidRPr="007224C3" w:rsidRDefault="00982729" w:rsidP="007224C3">
      <w:pPr>
        <w:spacing w:after="0" w:line="240" w:lineRule="auto"/>
        <w:jc w:val="both"/>
        <w:rPr>
          <w:rFonts w:ascii="Times New Roman" w:hAnsi="Times New Roman"/>
          <w:color w:val="0070C0"/>
          <w:sz w:val="16"/>
          <w:szCs w:val="16"/>
        </w:rPr>
      </w:pPr>
    </w:p>
    <w:p w14:paraId="2D210B7C"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мая 1944 в Ла-Манше погиб немецкий офицер Клаус Дениц, второй сын адмирала Деница (4962).</w:t>
      </w:r>
    </w:p>
    <w:p w14:paraId="67C25801"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5B714E7"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7BA9A30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5E03DD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мая 1944 А.И.Ш. писал нач. ГУЗ ВВС Н.Н.Селезневу письмо N Н-34/2734:</w:t>
      </w:r>
    </w:p>
    <w:p w14:paraId="76B0B24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Ваше письмо о серийном производстве на заводах 1, 18 и 30 самолетов Ил-2 с металлической хвостовой частью сообщаю:</w:t>
      </w:r>
    </w:p>
    <w:p w14:paraId="73B4137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НКАП имеет в виду перевести производство завода 18 на выпуск цельнометаллических самолетов Ил-8 АМ-42 в 1944, а заводы 1 и 30 в 1 полугодии 1945.</w:t>
      </w:r>
    </w:p>
    <w:p w14:paraId="5E5C067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Исходя их этого НКАП не считает целесообразным переводить заводы 1 и 30 на выпуск самолетов Ил-2 с металлической хвостовой частью фюзеляжа, т.к. это потребует большого оснащения производства фюзеляжей, в то же время, когда цеха подготовки заводов должны быть заняты изготовлением оснастки производства цельнометаллического самолета Ил-8." (1817,25).</w:t>
      </w:r>
    </w:p>
    <w:p w14:paraId="0B70C04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8DFED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мая 1944, на следующий день, после того, как в НИИ ВВС для производства государ</w:t>
      </w:r>
      <w:r w:rsidRPr="007224C3">
        <w:rPr>
          <w:rFonts w:ascii="Times New Roman" w:hAnsi="Times New Roman"/>
          <w:color w:val="000000" w:themeColor="text1"/>
          <w:sz w:val="16"/>
          <w:szCs w:val="16"/>
        </w:rPr>
        <w:softHyphen/>
        <w:t>ственных испытаний официально был передан новый опытный ильюшинс-кий штурмовик Ил-10 (тот же двух</w:t>
      </w:r>
      <w:r w:rsidRPr="007224C3">
        <w:rPr>
          <w:rFonts w:ascii="Times New Roman" w:hAnsi="Times New Roman"/>
          <w:color w:val="000000" w:themeColor="text1"/>
          <w:sz w:val="16"/>
          <w:szCs w:val="16"/>
        </w:rPr>
        <w:softHyphen/>
        <w:t>местный Ил-1 АМ-42, но с новым обозначением), из наркомата на имя Селезнева за подписью Шахурина ушло письмо. В нем нарком сооб</w:t>
      </w:r>
      <w:r w:rsidRPr="007224C3">
        <w:rPr>
          <w:rFonts w:ascii="Times New Roman" w:hAnsi="Times New Roman"/>
          <w:color w:val="000000" w:themeColor="text1"/>
          <w:sz w:val="16"/>
          <w:szCs w:val="16"/>
        </w:rPr>
        <w:softHyphen/>
        <w:t>щал, что: "...НКАП имеет ввиду пе</w:t>
      </w:r>
      <w:r w:rsidRPr="007224C3">
        <w:rPr>
          <w:rFonts w:ascii="Times New Roman" w:hAnsi="Times New Roman"/>
          <w:color w:val="000000" w:themeColor="text1"/>
          <w:sz w:val="16"/>
          <w:szCs w:val="16"/>
        </w:rPr>
        <w:softHyphen/>
        <w:t>ревести производство завода № 18 на выпуск цельнометаллических са</w:t>
      </w:r>
      <w:r w:rsidRPr="007224C3">
        <w:rPr>
          <w:rFonts w:ascii="Times New Roman" w:hAnsi="Times New Roman"/>
          <w:color w:val="000000" w:themeColor="text1"/>
          <w:sz w:val="16"/>
          <w:szCs w:val="16"/>
        </w:rPr>
        <w:softHyphen/>
        <w:t>молетов Ил-8 АМ-42 в 1944 г., а заводы №№ 1 и 30 в первом полу</w:t>
      </w:r>
      <w:r w:rsidRPr="007224C3">
        <w:rPr>
          <w:rFonts w:ascii="Times New Roman" w:hAnsi="Times New Roman"/>
          <w:color w:val="000000" w:themeColor="text1"/>
          <w:sz w:val="16"/>
          <w:szCs w:val="16"/>
        </w:rPr>
        <w:softHyphen/>
        <w:t>годии 1945 года. Исходя из этого, Наркомавиапром не считает целе</w:t>
      </w:r>
      <w:r w:rsidRPr="007224C3">
        <w:rPr>
          <w:rFonts w:ascii="Times New Roman" w:hAnsi="Times New Roman"/>
          <w:color w:val="000000" w:themeColor="text1"/>
          <w:sz w:val="16"/>
          <w:szCs w:val="16"/>
        </w:rPr>
        <w:softHyphen/>
        <w:t>сообразным переводить заводы №№ / и 30 на выпуск самолетов Ил-2 с металлической хвостовой ча</w:t>
      </w:r>
      <w:r w:rsidRPr="007224C3">
        <w:rPr>
          <w:rFonts w:ascii="Times New Roman" w:hAnsi="Times New Roman"/>
          <w:color w:val="000000" w:themeColor="text1"/>
          <w:sz w:val="16"/>
          <w:szCs w:val="16"/>
        </w:rPr>
        <w:softHyphen/>
        <w:t>стью фюзеляжей, в то время, когда цеха подготовки заводов должны быть заняты изготовлением оснастки для производства цельнометалличес</w:t>
      </w:r>
      <w:r w:rsidRPr="007224C3">
        <w:rPr>
          <w:rFonts w:ascii="Times New Roman" w:hAnsi="Times New Roman"/>
          <w:color w:val="000000" w:themeColor="text1"/>
          <w:sz w:val="16"/>
          <w:szCs w:val="16"/>
        </w:rPr>
        <w:softHyphen/>
        <w:t>ких самолетов Ил-8".</w:t>
      </w:r>
    </w:p>
    <w:p w14:paraId="057793F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Очевидно, наркомат в известной мере лукавил. Несмотря на успеш</w:t>
      </w:r>
      <w:r w:rsidRPr="007224C3">
        <w:rPr>
          <w:rFonts w:ascii="Times New Roman" w:hAnsi="Times New Roman"/>
          <w:color w:val="000000" w:themeColor="text1"/>
          <w:sz w:val="16"/>
          <w:szCs w:val="16"/>
        </w:rPr>
        <w:softHyphen/>
        <w:t>ные в целом государственные испы</w:t>
      </w:r>
      <w:r w:rsidRPr="007224C3">
        <w:rPr>
          <w:rFonts w:ascii="Times New Roman" w:hAnsi="Times New Roman"/>
          <w:color w:val="000000" w:themeColor="text1"/>
          <w:sz w:val="16"/>
          <w:szCs w:val="16"/>
        </w:rPr>
        <w:softHyphen/>
        <w:t>тания Ил-8 АМ-42, окончательное мнение военных по этому самолету еще не оформилось. Для них боль</w:t>
      </w:r>
      <w:r w:rsidRPr="007224C3">
        <w:rPr>
          <w:rFonts w:ascii="Times New Roman" w:hAnsi="Times New Roman"/>
          <w:color w:val="000000" w:themeColor="text1"/>
          <w:sz w:val="16"/>
          <w:szCs w:val="16"/>
        </w:rPr>
        <w:softHyphen/>
        <w:t>ший интерес все же представлял Су-6, как более подходящий для боя.</w:t>
      </w:r>
    </w:p>
    <w:p w14:paraId="57754F2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Обращает внимание, что письмо появилось именно в тот момент, ког</w:t>
      </w:r>
      <w:r w:rsidRPr="007224C3">
        <w:rPr>
          <w:rFonts w:ascii="Times New Roman" w:hAnsi="Times New Roman"/>
          <w:color w:val="000000" w:themeColor="text1"/>
          <w:sz w:val="16"/>
          <w:szCs w:val="16"/>
        </w:rPr>
        <w:softHyphen/>
        <w:t>да были приостановлены полеты на Су-6, а вопрос о принятии на воо</w:t>
      </w:r>
      <w:r w:rsidRPr="007224C3">
        <w:rPr>
          <w:rFonts w:ascii="Times New Roman" w:hAnsi="Times New Roman"/>
          <w:color w:val="000000" w:themeColor="text1"/>
          <w:sz w:val="16"/>
          <w:szCs w:val="16"/>
        </w:rPr>
        <w:softHyphen/>
        <w:t>ружение Ил-8 еще только обсуждал</w:t>
      </w:r>
      <w:r w:rsidRPr="007224C3">
        <w:rPr>
          <w:rFonts w:ascii="Times New Roman" w:hAnsi="Times New Roman"/>
          <w:color w:val="000000" w:themeColor="text1"/>
          <w:sz w:val="16"/>
          <w:szCs w:val="16"/>
        </w:rPr>
        <w:softHyphen/>
        <w:t>ся. Явно прослеживается желание наркомата подтолкнуть военных к решению о постановке "на снабже</w:t>
      </w:r>
      <w:r w:rsidRPr="007224C3">
        <w:rPr>
          <w:rFonts w:ascii="Times New Roman" w:hAnsi="Times New Roman"/>
          <w:color w:val="000000" w:themeColor="text1"/>
          <w:sz w:val="16"/>
          <w:szCs w:val="16"/>
        </w:rPr>
        <w:softHyphen/>
        <w:t>ние ВВС КА "имен но самолета Ил-8, как более удобного в серийном про</w:t>
      </w:r>
      <w:r w:rsidRPr="007224C3">
        <w:rPr>
          <w:rFonts w:ascii="Times New Roman" w:hAnsi="Times New Roman"/>
          <w:color w:val="000000" w:themeColor="text1"/>
          <w:sz w:val="16"/>
          <w:szCs w:val="16"/>
        </w:rPr>
        <w:softHyphen/>
        <w:t>изводстве.</w:t>
      </w:r>
    </w:p>
    <w:p w14:paraId="4A6ADA9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Действительно, внедрение в се</w:t>
      </w:r>
      <w:r w:rsidRPr="007224C3">
        <w:rPr>
          <w:rFonts w:ascii="Times New Roman" w:hAnsi="Times New Roman"/>
          <w:color w:val="000000" w:themeColor="text1"/>
          <w:sz w:val="16"/>
          <w:szCs w:val="16"/>
        </w:rPr>
        <w:softHyphen/>
        <w:t>рийное производство Су-6 АМ-42 по</w:t>
      </w:r>
      <w:r w:rsidRPr="007224C3">
        <w:rPr>
          <w:rFonts w:ascii="Times New Roman" w:hAnsi="Times New Roman"/>
          <w:color w:val="000000" w:themeColor="text1"/>
          <w:sz w:val="16"/>
          <w:szCs w:val="16"/>
        </w:rPr>
        <w:softHyphen/>
        <w:t>требовало бы перестройки сбороч</w:t>
      </w:r>
      <w:r w:rsidRPr="007224C3">
        <w:rPr>
          <w:rFonts w:ascii="Times New Roman" w:hAnsi="Times New Roman"/>
          <w:color w:val="000000" w:themeColor="text1"/>
          <w:sz w:val="16"/>
          <w:szCs w:val="16"/>
        </w:rPr>
        <w:softHyphen/>
        <w:t>ных конвейеров, что в условиях вой</w:t>
      </w:r>
      <w:r w:rsidRPr="007224C3">
        <w:rPr>
          <w:rFonts w:ascii="Times New Roman" w:hAnsi="Times New Roman"/>
          <w:color w:val="000000" w:themeColor="text1"/>
          <w:sz w:val="16"/>
          <w:szCs w:val="16"/>
        </w:rPr>
        <w:softHyphen/>
        <w:t>ны, несомненно, являлось определен</w:t>
      </w:r>
      <w:r w:rsidRPr="007224C3">
        <w:rPr>
          <w:rFonts w:ascii="Times New Roman" w:hAnsi="Times New Roman"/>
          <w:color w:val="000000" w:themeColor="text1"/>
          <w:sz w:val="16"/>
          <w:szCs w:val="16"/>
        </w:rPr>
        <w:softHyphen/>
        <w:t>ным техническим риском. В тоже вре</w:t>
      </w:r>
      <w:r w:rsidRPr="007224C3">
        <w:rPr>
          <w:rFonts w:ascii="Times New Roman" w:hAnsi="Times New Roman"/>
          <w:color w:val="000000" w:themeColor="text1"/>
          <w:sz w:val="16"/>
          <w:szCs w:val="16"/>
        </w:rPr>
        <w:softHyphen/>
        <w:t>мя самолет Ил-8 АМ-42 имел много общего с Ил-2 АМ-38ф, и в случае внедрения его в массовое производ</w:t>
      </w:r>
      <w:r w:rsidRPr="007224C3">
        <w:rPr>
          <w:rFonts w:ascii="Times New Roman" w:hAnsi="Times New Roman"/>
          <w:color w:val="000000" w:themeColor="text1"/>
          <w:sz w:val="16"/>
          <w:szCs w:val="16"/>
        </w:rPr>
        <w:softHyphen/>
        <w:t>ство можно было использовать те же конвейеры и большую часть имею</w:t>
      </w:r>
      <w:r w:rsidRPr="007224C3">
        <w:rPr>
          <w:rFonts w:ascii="Times New Roman" w:hAnsi="Times New Roman"/>
          <w:color w:val="000000" w:themeColor="text1"/>
          <w:sz w:val="16"/>
          <w:szCs w:val="16"/>
        </w:rPr>
        <w:softHyphen/>
        <w:t>щейся оснастки. Штурмовик Ил-10 в этом отношении уступал "восьмерке".</w:t>
      </w:r>
    </w:p>
    <w:p w14:paraId="004FE47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Как следует из документов, А. И. Шахурин, не дожидаясь реакции во</w:t>
      </w:r>
      <w:r w:rsidRPr="007224C3">
        <w:rPr>
          <w:rFonts w:ascii="Times New Roman" w:hAnsi="Times New Roman"/>
          <w:color w:val="000000" w:themeColor="text1"/>
          <w:sz w:val="16"/>
          <w:szCs w:val="16"/>
        </w:rPr>
        <w:softHyphen/>
        <w:t>енных на свое письмо, дал указание о срочном развертывании серийно</w:t>
      </w:r>
      <w:r w:rsidRPr="007224C3">
        <w:rPr>
          <w:rFonts w:ascii="Times New Roman" w:hAnsi="Times New Roman"/>
          <w:color w:val="000000" w:themeColor="text1"/>
          <w:sz w:val="16"/>
          <w:szCs w:val="16"/>
        </w:rPr>
        <w:softHyphen/>
        <w:t>го производства Ил-8 АМ-42 на авиазаводе № 18.</w:t>
      </w:r>
    </w:p>
    <w:p w14:paraId="13FD53E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Остается неизвестным, согласо</w:t>
      </w:r>
      <w:r w:rsidRPr="007224C3">
        <w:rPr>
          <w:rFonts w:ascii="Times New Roman" w:hAnsi="Times New Roman"/>
          <w:color w:val="000000" w:themeColor="text1"/>
          <w:sz w:val="16"/>
          <w:szCs w:val="16"/>
        </w:rPr>
        <w:softHyphen/>
        <w:t>вывалось ли это решение предвари</w:t>
      </w:r>
      <w:r w:rsidRPr="007224C3">
        <w:rPr>
          <w:rFonts w:ascii="Times New Roman" w:hAnsi="Times New Roman"/>
          <w:color w:val="000000" w:themeColor="text1"/>
          <w:sz w:val="16"/>
          <w:szCs w:val="16"/>
        </w:rPr>
        <w:softHyphen/>
        <w:t>тельно с ГОКО или нет. Скорее все</w:t>
      </w:r>
      <w:r w:rsidRPr="007224C3">
        <w:rPr>
          <w:rFonts w:ascii="Times New Roman" w:hAnsi="Times New Roman"/>
          <w:color w:val="000000" w:themeColor="text1"/>
          <w:sz w:val="16"/>
          <w:szCs w:val="16"/>
        </w:rPr>
        <w:softHyphen/>
        <w:t>го, в той или иной мере этот вопрос все же обсуждался. Однако докумен</w:t>
      </w:r>
      <w:r w:rsidRPr="007224C3">
        <w:rPr>
          <w:rFonts w:ascii="Times New Roman" w:hAnsi="Times New Roman"/>
          <w:color w:val="000000" w:themeColor="text1"/>
          <w:sz w:val="16"/>
          <w:szCs w:val="16"/>
        </w:rPr>
        <w:softHyphen/>
        <w:t>тального подтверждения обращения НКАП к руководству страны с предложением разрешить серийный вы</w:t>
      </w:r>
      <w:r w:rsidRPr="007224C3">
        <w:rPr>
          <w:rFonts w:ascii="Times New Roman" w:hAnsi="Times New Roman"/>
          <w:color w:val="000000" w:themeColor="text1"/>
          <w:sz w:val="16"/>
          <w:szCs w:val="16"/>
        </w:rPr>
        <w:softHyphen/>
        <w:t>пуск самолета Ил-8 и получение по</w:t>
      </w:r>
      <w:r w:rsidRPr="007224C3">
        <w:rPr>
          <w:rFonts w:ascii="Times New Roman" w:hAnsi="Times New Roman"/>
          <w:color w:val="000000" w:themeColor="text1"/>
          <w:sz w:val="16"/>
          <w:szCs w:val="16"/>
        </w:rPr>
        <w:softHyphen/>
        <w:t>ложительного или отрицательного ответа по нему пока не найдено (11428).</w:t>
      </w:r>
    </w:p>
    <w:p w14:paraId="788852C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0DC9BA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мая 1944, на следующий день, после того, как для производства государственных испытаний официально был передан новый опытный ильюшинский штурмовик Ил-10 АМ-42, на имя Селезнева за подписью Шахурина ушло письмо. В нем нарком сообщал, что: "...НКАП имеет ввиду перевести производство завода № 18 на выпуск цельнометаллических самолетов Ил-8 АМ-42 в 1944 г., а заводы №№ 1 и 30 в первом полугодии 1945 года. Исходя из этого, Наркомавиапром не считает целесообразным переводить заводы №№ 1 и 30 на выпуск самолетов Ил-2 с металлической хвостовой частью фюзеляжей, в то время, когда цеха подготовки заводов должны быть заняты изготовлением оснастки для производства цельнометаллических самолетов Ил-8".</w:t>
      </w:r>
    </w:p>
    <w:p w14:paraId="4A4C2F5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Очевидно, наркомат в известной мере лукавил. Несмотря на успешные в целом государственные испытания Ил-8 АМ-42, окончательное мнение военных по этому самолету еще не оформилось. Для них больший интерес представлял Су-6 АМ-42, как более подходящий для боя.Обращает внимание, что письмо появилось именно в тот момент, когда были приостановлены полеты на Су-6, а вопрос о принятии на вооружение Ил-8 еше только обсуждался. Явно прослеживается желание наркомата подтолкнуть военных к решению о постановке "на снабжение ВВС КА" именно самолета Ил-8, как более удобного в серийном производстве.</w:t>
      </w:r>
    </w:p>
    <w:p w14:paraId="67C1A02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Действительно, внедрение в серийное производство Су-6 АМ-42 потребовало бы перестройки сборочных конвейеров, что в условиях войны, несомненно, являлось определенным техническим риском. В тоже время самолет Ил-8 АМ-42 имел много общего с Ил-2 АМ-38ф, и в случае внедрения его в массовое производство можно было использовать те же конвейеры и большую часть имеющейся оснастки. Штурмовик Ил-10 в этом отношении уступал "восьмерке".</w:t>
      </w:r>
    </w:p>
    <w:p w14:paraId="0A2A002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Как следует из документов, Шахурин, не дожидаясь реакции военных на свое письмо, дал указание о срочном развертывании серийного производства Ил-8 АМ-42 на авиазаводе № 18.</w:t>
      </w:r>
    </w:p>
    <w:p w14:paraId="085518B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основании распоряжения наркома директор завода Белянский 18 мая издал приказ, согласно которому Ил-8 получил в заводской документации шифр "М", надо полагать, от Ил-2М, и открывались "счета на производство и подготовку производства". Первая серия устанавливалась в количестве 10 машин, вторая - 30 и последующие серии - по 100 самолетов каждая. Сборку первого серийного экземпляра Ил-8 требовалось закончить к 12 августа, а всю "первую головную серию 10 машин выпустить из цеха №7 к 25 августа 1944 г.".</w:t>
      </w:r>
    </w:p>
    <w:p w14:paraId="43A2B71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Однако вскоре все работы по серии Ил-8 были прекращены. Дело в том, что Постановлением ГКО от 23 июля на авиазаводах №№ 1 и 18 в серийное производство запускался штурмовик Ил-10 АМ-42, который по основным летным данным превосходил "восьмерку".</w:t>
      </w:r>
    </w:p>
    <w:p w14:paraId="5456E28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дальнейшем Ил-8 был кардинально переделан. По образцу Ил-10 была выполнена система продува водо- и маслорадиаторов, изменена схема бронирования, шасси стали одностоечным, установлено новые крыло, оперение, воздушный винт, доработаны элероны, рули высоты и направления, внесены изменения в состав оборудования согласно требованиям ВВС. Фактически строился новый самолет с тем же обозначением.</w:t>
      </w:r>
    </w:p>
    <w:p w14:paraId="243DCBA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Предъявить обновленный Ил-8 на госиспытания удалось лишь 14 мая 1945 г. Интереса у военных самолет не вызвал (12020).</w:t>
      </w:r>
    </w:p>
    <w:p w14:paraId="71B9D73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182899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14 по 27 мая 1944 проходили гос. испытания Ил-10. Ведущим по машине был и П.Аброщенко, л - А.Долгов, ш - Горбунов. В облетах приняли участие А.Синельников, М.Субботин, А.Живописцев. "по технике пилотирования прост и не требует специального переучивания для перехода на него л, летающих на серийных Ил-2... Устойчивость и управляемость - хорошие. Путевая устойчивость несколько велика. Нагрузки от рулей высоты несколько велики. На рулежке устойчивость самолета недостаточна... В выводах "Акта по результатам гос. испытаний... отмечалось, что:</w:t>
      </w:r>
    </w:p>
    <w:p w14:paraId="07E51E4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Ил-10 по сравнению с Ил-2, несмотря на ухудшение взлетно-посадочных свойств, имеет явное преимущество, в частности, максимальная скорость больше у земли на 123 км/час, на границе высотность - на 147 км/час. Время набора высоты 3000 м меньше на 3 минуты. Дальность горизонтального полета на высоте 500 м возросла на 120 км...</w:t>
      </w:r>
    </w:p>
    <w:p w14:paraId="7BC75B0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Высокая скорость полета, хорошая устойчивость и управляемость при аналогичном с самолетом Ил-2 оружии активного нападения позволяют самолету Ил-10 более эффективно осуществлять штурмовые действия, а повышенная обороноспособность и лучшее бронирование способствуют большему эффекту при ведении воздушного боя с истребителями противника...</w:t>
      </w:r>
    </w:p>
    <w:p w14:paraId="29FB89E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эксплуатации самолет прост. В сравнении с (...) Ил-2 с АМ-38Ф осмотр основных узлов самолета и ВМГ удобное и требует меньшей затраты времени для подготовки его к вылету.</w:t>
      </w:r>
    </w:p>
    <w:p w14:paraId="31E60BE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...Ил-10 по конструкции, в сравнении с (...) Ил-2 особой сложности не представляет, и его производство может базироваться на технологии заводов серийного производства (...) Ил-2" ВВС рекомендовал в серийное производство несмотря на выявленные дефекты (1605,2).</w:t>
      </w:r>
    </w:p>
    <w:p w14:paraId="6163847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DDCA7B" w14:textId="77777777" w:rsidR="00962976" w:rsidRPr="007224C3" w:rsidRDefault="0096297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мая 1944, на следующий день после того, как в НИИ ВВС для производства государственных испытаний официально был передан опытный штурмовик Ил-10, из наркомата на имя Селезнева за подписью Шахурина ушло письмо. В нем нарком сообщал, что «НКАП имеет в виду перевести производство завода № 18 на выпуск цельнометаллических самолетов Ил-8 АМ-42 в 1944 году, а заводы № 1 и № 30 в первом полугодии 1945 года. Исходя из этого, Наркомавиапром не считает целесообразным переводить заводы № 1 и № 30 на выпуск самолетов Ил-2 с металлической хвостовой частью фюзеляжей, в то время, когда цеха подготовки заводов должны быть заняты изготовлением оснастки для производства цельнометаллических самолетов Ил-8».</w:t>
      </w:r>
    </w:p>
    <w:p w14:paraId="74ADB72F" w14:textId="77777777" w:rsidR="00962976" w:rsidRPr="007224C3" w:rsidRDefault="0096297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Обращает внимание, что письмо появилось именно в тот момент, когда было принято решение о приостановке полетов на Су-6 АМ-42, а вопрос о принятии Ил-8 на вооружение еще только обсуждался. Явно прослеживается желание наркомата подтолкнуть военных к решению о постановке «на снабжение ВВС КА» именно самолета Ил-8, как более удобного для массового производства.</w:t>
      </w:r>
    </w:p>
    <w:p w14:paraId="4759727F" w14:textId="77777777" w:rsidR="00962976" w:rsidRPr="007224C3" w:rsidRDefault="0096297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Действительно, внедрение в серию Су-6 АМ-42 потребовало бы перестройки сборочных конвейеров и изготовления новой оснастки, что в условиях войны, несомненно, являлось определенным техническим риском. В то же время самолет Ил-8 АМ-42 имел много общего с Ил-2 АМ-38 ф, и в случае организации его серийного выпуска можно было использовать те же конвейеры и большую часть имеющейся оснастки. Штурмовик Ил-10 в этом отношении заметно уступал «восьмерке», что впоследствии стало неожиданным для НКАП «открытием».</w:t>
      </w:r>
    </w:p>
    <w:p w14:paraId="4D8A45AE" w14:textId="77777777" w:rsidR="00962976" w:rsidRPr="007224C3" w:rsidRDefault="0096297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Как следует из документов, Шахурин, не дожидаясь окончательного решения военных, дал указание о срочном развертывании серийного производства Ил-8 АМ-42 на авиазаводе № 18. Тем более что в наркомате имелось письмо главного инженера ВВС КА генерал-полковника А. К. Репина.</w:t>
      </w:r>
    </w:p>
    <w:p w14:paraId="4CA0125B" w14:textId="77777777" w:rsidR="00962976" w:rsidRPr="007224C3" w:rsidRDefault="0096297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Остается неизвестным, согласовывалось ли это решение предварительно с ГКО или нет. Скорее всего, в той или иной мере этот вопрос все же обсуждался. Однако документального подтверждения обращения НКАП к руководству страны с предложением разрешить серийный выпуск самолета Ил-8 и получение положительного или отрицательного ответа по нему пока не найдено. (17490).</w:t>
      </w:r>
    </w:p>
    <w:p w14:paraId="33ED0759" w14:textId="77777777" w:rsidR="00962976" w:rsidRPr="007224C3" w:rsidRDefault="00962976" w:rsidP="007224C3">
      <w:pPr>
        <w:spacing w:after="0" w:line="240" w:lineRule="auto"/>
        <w:jc w:val="both"/>
        <w:rPr>
          <w:rFonts w:ascii="Times New Roman" w:eastAsia="Times New Roman" w:hAnsi="Times New Roman"/>
          <w:color w:val="000000" w:themeColor="text1"/>
          <w:sz w:val="16"/>
          <w:szCs w:val="16"/>
          <w:lang w:eastAsia="ru-RU"/>
        </w:rPr>
      </w:pPr>
    </w:p>
    <w:p w14:paraId="273FB67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мая 1944 года испытания Пе-2И 2ВК-107А были прерваны, т.к. с 13 мая 1944 било масло (1821).</w:t>
      </w:r>
    </w:p>
    <w:p w14:paraId="524740C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8DEF50"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6A2286A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995D15F" w14:textId="77777777" w:rsidR="004B3F09" w:rsidRPr="007224C3" w:rsidRDefault="004B3F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мая в 1944 году оперативная сводка Совинформбюро:</w:t>
      </w:r>
    </w:p>
    <w:p w14:paraId="138E15A3" w14:textId="77777777" w:rsidR="004B3F09" w:rsidRPr="007224C3" w:rsidRDefault="004B3F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14 мая на фронтах существенных изменений непроизошло. За 13 мая наши войска подбили и уничтожили 14 немецких танков. В воздушных боях и огнём зенитной артиллерии сбито 35 самолётов противника.</w:t>
      </w:r>
    </w:p>
    <w:p w14:paraId="4CE0C5D0" w14:textId="77777777" w:rsidR="004B3F09" w:rsidRPr="007224C3" w:rsidRDefault="004B3F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Бомбардировка нашей авиацией железнодорожных узлов Брест, Полоцк и железнодорожной станции Нарва</w:t>
      </w:r>
    </w:p>
    <w:p w14:paraId="66118DDC" w14:textId="77777777" w:rsidR="004B3F09" w:rsidRPr="007224C3" w:rsidRDefault="004B3F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ночь на 14 мая крупные соединения нашей авиации дальнего действия бомбардировали скопления воинских эшелонов и военные склады противника на железнодорожных узлах Брест, Полоцк и станции Нарва.</w:t>
      </w:r>
    </w:p>
    <w:p w14:paraId="4A7C0DD5" w14:textId="77777777" w:rsidR="004B3F09" w:rsidRPr="007224C3" w:rsidRDefault="004B3F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результате бомбардировки на железнодорожном узле Брест возникло до 30 очагов пожара. Особенно большие пожары наблюдением отмечены в центральной, северо-западной и юго-восточной части железнодорожной станции Брест-центральная. Пожары сопровождались сильными взрывами. Одновременно с бомбардировкой узла наши самолёты пулемётно-пушечным огнём обстреляли железнодорожные эшелоны на промежуточных станциях, на подходе к Бресту, и автоколонны противника на шоссейных дорогах.</w:t>
      </w:r>
    </w:p>
    <w:p w14:paraId="142B8736" w14:textId="77777777" w:rsidR="004B3F09" w:rsidRPr="007224C3" w:rsidRDefault="004B3F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железнодорожном узле Полоцк создано 10 очагов пожара. Пожары больших размеров и сильные взрывы отмечены в районе станции Полоцк-вторая. Горели склады, вагоны и платформы.</w:t>
      </w:r>
    </w:p>
    <w:p w14:paraId="64EEEC7F" w14:textId="77777777" w:rsidR="004B3F09" w:rsidRPr="007224C3" w:rsidRDefault="004B3F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районе железнодорожной станции Нарва в результате бомбардировки среди пожаров произошло до пятнадцати взрывов, в том числе несколько взрывов большой силы.</w:t>
      </w:r>
    </w:p>
    <w:p w14:paraId="3CF3A1B9" w14:textId="77777777" w:rsidR="004B3F09" w:rsidRPr="007224C3" w:rsidRDefault="004B3F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Два наших самолёта не вернулись на свои аэродромы.</w:t>
      </w:r>
    </w:p>
    <w:p w14:paraId="69900B06" w14:textId="77777777" w:rsidR="004B3F09" w:rsidRPr="007224C3" w:rsidRDefault="004B3F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Юго-восточнее города Станислав немецкие танки атаковали село, в котором закрепилось наше подразделение. Орудийный расчёт сержанта Таганова выкатил свою пушку на открытую позицию и первыми же выстрелами подбил один немецкий танк. Остальные машины противника отошли назад. Через полчаса немцы снова пытались подойти к селу. Расчёт т. Таганова открыл огонь и поджёг еще один танк противника.</w:t>
      </w:r>
    </w:p>
    <w:p w14:paraId="5603D6B2" w14:textId="77777777" w:rsidR="004B3F09" w:rsidRPr="007224C3" w:rsidRDefault="004B3F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Северо-западнее города Тирасполь пехота и танки противника предприняли ряд попыток атаковать наши позиции. На всех участках гитлеровцы не были допущены к передней линии нашей обороны. Встречая всюду сильный огонь советской артиллерии, немецкие танки поворачивали обратно и оставляли свою пехоту без прикрытия. Уничтожено до батальона гитлеровцев. Наши артиллеристы и миномётчики подбили и сожгли 11 немецких танков и 3 бронетранспортёра.</w:t>
      </w:r>
    </w:p>
    <w:p w14:paraId="6C504B9E" w14:textId="77777777" w:rsidR="004B3F09" w:rsidRPr="007224C3" w:rsidRDefault="004B3F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Юго-восточнее города Витебск группа снайперов-девушек Н-ского соединения за три месяца истребила 148 немцев. Снайпер тов. Хазова уничтожила за это время 12 гитлеровцев, тов. Барыкина — 10, тов. Сартлыкова — 9 немцев.</w:t>
      </w:r>
    </w:p>
    <w:p w14:paraId="5F71EE3F" w14:textId="77777777" w:rsidR="004B3F09" w:rsidRPr="007224C3" w:rsidRDefault="004B3F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Авиация Краснознамённого Балтийского флота нанесла удар по кораблям противника в порту Котка. Прямым попаданием бомбы потоплен транспорт водоизмещением в две тысячи тонн. Другой транспорт противника повреждён.</w:t>
      </w:r>
    </w:p>
    <w:p w14:paraId="30CDDED9" w14:textId="77777777" w:rsidR="004B3F09" w:rsidRPr="007224C3" w:rsidRDefault="004B3F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Нарвском заливе нашей авиацией потоплены сторожевой корабль и сторожевой катер противника.</w:t>
      </w:r>
    </w:p>
    <w:p w14:paraId="64EAFD40" w14:textId="77777777" w:rsidR="004B3F09" w:rsidRPr="007224C3" w:rsidRDefault="004B3F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Корабли и авиация Черноморского флота потопили у берегов Румынии два транспорта общим водоизмещением в 5 тысяч тонн, 3 быстроходные десантные баржи и 4 катера противника.</w:t>
      </w:r>
    </w:p>
    <w:p w14:paraId="260278F6" w14:textId="77777777" w:rsidR="004B3F09" w:rsidRPr="007224C3" w:rsidRDefault="004B3F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Литовский партизанский отряд за десять дней пустил под откос 6 немецких воинских эшелонов, следовавших к линии фронта. В результате крушений разбиты 4 паровоза, 46 вагонов и платформ. Партизаны литовских отрядов «Смерть фашистам», «Жальгирис», «Освободитель» и отряд имени Адама Мицкевича за это же время пустили под откос 5 воинских эшелонов противника. Партизаны отряда «Борьба» сожгли имение немецкого помещика.</w:t>
      </w:r>
    </w:p>
    <w:p w14:paraId="47E740BF" w14:textId="77777777" w:rsidR="004B3F09" w:rsidRPr="007224C3" w:rsidRDefault="004B3F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Пленный обер-ефрейтор 5 роты 574 полка 304 немецкой пехотной дивизии Курт Багамир рассказал: «Отношения между немецкими и румынскими солдатами обостряются с каждым днём. Когда мы, преследуемые русскими, добрались до Днестровского лимана, там, на переправе, уже хозяйничали румыны. Немецкий обер-лейтенант пытался переправить через лиман в первую очередь немецкие части, но румыны завязали драку. В завязавшейся перестрелке были убиты обер-лейтенант и 4 немецких солдата».</w:t>
      </w:r>
    </w:p>
    <w:p w14:paraId="0DABAEE4" w14:textId="77777777" w:rsidR="004B3F09" w:rsidRPr="007224C3" w:rsidRDefault="004B3F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Пленный солдат 522 немецкого охранного батальона Фриц Файндель рассказал: «Я прибыл на фронт в конце апреля с маршевой ротой. Мы ехали через Румынию. Н ажелезных дорогах в Румынии царит хаос. Все станции забиты эшелонами с беженцамии ранеными. Три дня нам пришлось итти пешком по румынской территории. Население относится к немцам враждебно и не даёт даже воды».</w:t>
      </w:r>
    </w:p>
    <w:p w14:paraId="0E610998" w14:textId="77777777" w:rsidR="004B3F09" w:rsidRPr="007224C3" w:rsidRDefault="004B3F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Ниже публикуется акт о зверствах немецко-фашистских мерзавцев в селе Пултовцы, Жмеринского района, Винницкой области: «Немецкие захватчики ограбили жителей села. Когда всё уже было разграблено, в село прибыл отряд эсэсовских бандитов. Они собрали всех лиц мужского пола в возрасте от 12 лет и старше и повели их на шоссе. Здесь немцы приказали арестованным лечь на землю лицом вниз, а руки заложить за голову. Фашистские изверги стреляли по лежащим людям в затылок. В течение этого дня немцы убили более ста человек, в том числе, стариков Ивана Ильницкого, Фёдора Завируху, Козаря Квитко, подростков Виталия Опальского — 14 дет, Анатолия Войткова — 14 лет, Владимира Лаврентьева — 13 лет и других».</w:t>
      </w:r>
    </w:p>
    <w:p w14:paraId="3BB9B881" w14:textId="77777777" w:rsidR="004B3F09" w:rsidRPr="007224C3" w:rsidRDefault="004B3F09" w:rsidP="007224C3">
      <w:pPr>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rPr>
        <w:t xml:space="preserve">Акт подписали: председатель сельского Совета депутатов трудящихся Сомов, жители села А.Ковальчук, А.Сорончук, Д.Стецюк, А.Войткова.» </w:t>
      </w:r>
      <w:r w:rsidRPr="007224C3">
        <w:rPr>
          <w:rFonts w:ascii="Times New Roman" w:hAnsi="Times New Roman"/>
          <w:color w:val="000000" w:themeColor="text1"/>
          <w:sz w:val="16"/>
          <w:szCs w:val="16"/>
          <w:lang w:val="en-US"/>
        </w:rPr>
        <w:t>(14891).</w:t>
      </w:r>
    </w:p>
    <w:p w14:paraId="5EE7EDC0" w14:textId="77777777" w:rsidR="004B3F09" w:rsidRPr="007224C3" w:rsidRDefault="004B3F09" w:rsidP="007224C3">
      <w:pPr>
        <w:spacing w:after="0" w:line="240" w:lineRule="auto"/>
        <w:jc w:val="both"/>
        <w:rPr>
          <w:rFonts w:ascii="Times New Roman" w:hAnsi="Times New Roman"/>
          <w:color w:val="000000" w:themeColor="text1"/>
          <w:sz w:val="16"/>
          <w:szCs w:val="16"/>
          <w:lang w:val="en-US"/>
        </w:rPr>
      </w:pPr>
    </w:p>
    <w:p w14:paraId="0298C42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May 14th, 1944: The Red Army recaptures Tarnopol in the Ukraine (3819).</w:t>
      </w:r>
    </w:p>
    <w:p w14:paraId="39A8F69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209A99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мая 1944 КА освободила Тарнополь на Украине (3819).</w:t>
      </w:r>
    </w:p>
    <w:p w14:paraId="67BC24C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DBCA19"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05E4F8D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C2A8507" w14:textId="77777777" w:rsidR="004B3F09" w:rsidRPr="007224C3" w:rsidRDefault="004B3F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мая в 1944 году майор люфтваффе Шпёте совершил первый боевой вылет на ракетном истребителе («Messerschmitt») "Ме-163BV41" W.Nr310050. Первое в мире боевое применение самолета использовавшего в качестве силовой установки ЖРД (14891).</w:t>
      </w:r>
    </w:p>
    <w:p w14:paraId="463E373B" w14:textId="77777777" w:rsidR="004B3F09" w:rsidRPr="007224C3" w:rsidRDefault="004B3F09" w:rsidP="007224C3">
      <w:pPr>
        <w:spacing w:after="0" w:line="240" w:lineRule="auto"/>
        <w:jc w:val="both"/>
        <w:rPr>
          <w:rFonts w:ascii="Times New Roman" w:hAnsi="Times New Roman"/>
          <w:color w:val="000000" w:themeColor="text1"/>
          <w:sz w:val="16"/>
          <w:szCs w:val="16"/>
        </w:rPr>
      </w:pPr>
    </w:p>
    <w:p w14:paraId="5BD9BC88" w14:textId="77777777" w:rsidR="004B3F09" w:rsidRPr="007224C3" w:rsidRDefault="004B3F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14 мая в 1944 году со стадиона Калифорнийского Университета впервые поднялся в воздух прототип вертолета </w:t>
      </w:r>
      <w:hyperlink r:id="rId126" w:tgtFrame="_blank" w:history="1">
        <w:r w:rsidRPr="007224C3">
          <w:rPr>
            <w:rFonts w:ascii="Times New Roman" w:hAnsi="Times New Roman"/>
            <w:color w:val="000000" w:themeColor="text1"/>
            <w:sz w:val="16"/>
            <w:szCs w:val="16"/>
          </w:rPr>
          <w:t xml:space="preserve">«ХН-44». </w:t>
        </w:r>
      </w:hyperlink>
      <w:r w:rsidRPr="007224C3">
        <w:rPr>
          <w:rFonts w:ascii="Times New Roman" w:hAnsi="Times New Roman"/>
          <w:color w:val="000000" w:themeColor="text1"/>
          <w:sz w:val="16"/>
          <w:szCs w:val="16"/>
        </w:rPr>
        <w:t>«ХН-44» стал одной из наиболее удачных винтокрылых машин созданных в США на заре вертолетостроения. Это был первый американский вертолет коаксиальной схемы с цельнометаллическими лопастями несущих винтов. Работа на ним началось в декабре 1942 года когда его создателю Стенли Хиллеру было всего 17 (!) лет. Конструкция вертолета оказалась настолько удачной, что сам Хиллер часто демонстрировал его устойчивость, отпуская рычаги управления и высовывая руки из окон. Вертолет имел настолько небольшой и компактный корпус, особенно в сравнении с неуклюжими конструкциями того времени, что некоторые шутники окрестили его "летающей ванной". В декабре 1945 года Хиллер модифицировал «ХН-44» установив более мощный двигатель «Lycoming» «O-290СР» (125 л.с.) вместо старого «Franklin» (90 л.с.), после чего название сменилось на «Х2-235». В том же году был построен ещё один фюзеляж для испытаний в аэродинамической трубе «NACA» в интересах «US Navy». К серийной постройке «ХН-44» не приняли, так как Хиллер разработал на его основе более удачную модель, позднее названную «UH-44» (14891).</w:t>
      </w:r>
    </w:p>
    <w:p w14:paraId="4B228F0A" w14:textId="77777777" w:rsidR="004B3F09" w:rsidRPr="007224C3" w:rsidRDefault="004B3F09" w:rsidP="007224C3">
      <w:pPr>
        <w:spacing w:after="0" w:line="240" w:lineRule="auto"/>
        <w:jc w:val="both"/>
        <w:rPr>
          <w:rFonts w:ascii="Times New Roman" w:hAnsi="Times New Roman"/>
          <w:color w:val="000000" w:themeColor="text1"/>
          <w:sz w:val="16"/>
          <w:szCs w:val="16"/>
        </w:rPr>
      </w:pPr>
    </w:p>
    <w:p w14:paraId="44C72F92" w14:textId="77777777" w:rsidR="00982729" w:rsidRPr="007224C3" w:rsidRDefault="00982729"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14 мая 1944 немецкие Люфтваффе применяет циркулирующие торпеды в предрассветной атаке на корабли союзников в Неаполе, Италия, но ни разу не попадает в цель (20373).</w:t>
      </w:r>
    </w:p>
    <w:p w14:paraId="2878CB1C" w14:textId="77777777" w:rsidR="00982729" w:rsidRPr="007224C3" w:rsidRDefault="00982729" w:rsidP="007224C3">
      <w:pPr>
        <w:spacing w:after="0" w:line="240" w:lineRule="auto"/>
        <w:jc w:val="both"/>
        <w:rPr>
          <w:rFonts w:ascii="Times New Roman" w:hAnsi="Times New Roman"/>
          <w:color w:val="0070C0"/>
          <w:sz w:val="16"/>
          <w:szCs w:val="16"/>
        </w:rPr>
      </w:pPr>
    </w:p>
    <w:p w14:paraId="07D6401D"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мая 1944 английская разведка перехватила шифр-послание Геринга, вскрывающее план немцев выставить ложные цели для самолетов (4962).</w:t>
      </w:r>
    </w:p>
    <w:p w14:paraId="416644F8"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B70ACEC"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7CA6908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D029C9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мая 1944 из нарко</w:t>
      </w:r>
      <w:r w:rsidRPr="007224C3">
        <w:rPr>
          <w:rFonts w:ascii="Times New Roman" w:hAnsi="Times New Roman"/>
          <w:color w:val="000000" w:themeColor="text1"/>
          <w:sz w:val="16"/>
          <w:szCs w:val="16"/>
        </w:rPr>
        <w:softHyphen/>
        <w:t>мата на имя Селезнева за подписью Шахурина ушло письмо, в котором пос</w:t>
      </w:r>
      <w:r w:rsidRPr="007224C3">
        <w:rPr>
          <w:rFonts w:ascii="Times New Roman" w:hAnsi="Times New Roman"/>
          <w:color w:val="000000" w:themeColor="text1"/>
          <w:sz w:val="16"/>
          <w:szCs w:val="16"/>
        </w:rPr>
        <w:softHyphen/>
        <w:t>ледний сообщал, что:</w:t>
      </w:r>
    </w:p>
    <w:p w14:paraId="083E7D9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iCs/>
          <w:color w:val="000000" w:themeColor="text1"/>
          <w:sz w:val="16"/>
          <w:szCs w:val="16"/>
        </w:rPr>
        <w:t>"...НКАП имеет в виду перевести производство завода No 18 на выпуск цельнометаллических самолетов Ил-8 AM-42 в 1944 г., а заводы №№ 1 и 30 - в первом полугодии 1945 г.</w:t>
      </w:r>
    </w:p>
    <w:p w14:paraId="6065B65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iCs/>
          <w:color w:val="000000" w:themeColor="text1"/>
          <w:sz w:val="16"/>
          <w:szCs w:val="16"/>
        </w:rPr>
        <w:t>Исходя из этого, Наркомавиапром не считает целесообразным перево</w:t>
      </w:r>
      <w:r w:rsidRPr="007224C3">
        <w:rPr>
          <w:rFonts w:ascii="Times New Roman" w:hAnsi="Times New Roman"/>
          <w:iCs/>
          <w:color w:val="000000" w:themeColor="text1"/>
          <w:sz w:val="16"/>
          <w:szCs w:val="16"/>
        </w:rPr>
        <w:softHyphen/>
        <w:t>дить заводы NoNo 1 и 30 на выпуск са</w:t>
      </w:r>
      <w:r w:rsidRPr="007224C3">
        <w:rPr>
          <w:rFonts w:ascii="Times New Roman" w:hAnsi="Times New Roman"/>
          <w:iCs/>
          <w:color w:val="000000" w:themeColor="text1"/>
          <w:sz w:val="16"/>
          <w:szCs w:val="16"/>
        </w:rPr>
        <w:softHyphen/>
        <w:t>молетов Ил-2 с металлической хвос</w:t>
      </w:r>
      <w:r w:rsidRPr="007224C3">
        <w:rPr>
          <w:rFonts w:ascii="Times New Roman" w:hAnsi="Times New Roman"/>
          <w:iCs/>
          <w:color w:val="000000" w:themeColor="text1"/>
          <w:sz w:val="16"/>
          <w:szCs w:val="16"/>
        </w:rPr>
        <w:softHyphen/>
        <w:t>товой частью фюзеляжей в то время, когда цеха подготовки заводов долж</w:t>
      </w:r>
      <w:r w:rsidRPr="007224C3">
        <w:rPr>
          <w:rFonts w:ascii="Times New Roman" w:hAnsi="Times New Roman"/>
          <w:iCs/>
          <w:color w:val="000000" w:themeColor="text1"/>
          <w:sz w:val="16"/>
          <w:szCs w:val="16"/>
        </w:rPr>
        <w:softHyphen/>
        <w:t>ны быть заняты изготовлением осна</w:t>
      </w:r>
      <w:r w:rsidRPr="007224C3">
        <w:rPr>
          <w:rFonts w:ascii="Times New Roman" w:hAnsi="Times New Roman"/>
          <w:iCs/>
          <w:color w:val="000000" w:themeColor="text1"/>
          <w:sz w:val="16"/>
          <w:szCs w:val="16"/>
        </w:rPr>
        <w:softHyphen/>
        <w:t>стки для производства цельнометал</w:t>
      </w:r>
      <w:r w:rsidRPr="007224C3">
        <w:rPr>
          <w:rFonts w:ascii="Times New Roman" w:hAnsi="Times New Roman"/>
          <w:iCs/>
          <w:color w:val="000000" w:themeColor="text1"/>
          <w:sz w:val="16"/>
          <w:szCs w:val="16"/>
        </w:rPr>
        <w:softHyphen/>
        <w:t xml:space="preserve">лических самолетов Ил-8... " </w:t>
      </w:r>
      <w:r w:rsidRPr="007224C3">
        <w:rPr>
          <w:rFonts w:ascii="Times New Roman" w:hAnsi="Times New Roman"/>
          <w:color w:val="000000" w:themeColor="text1"/>
          <w:sz w:val="16"/>
          <w:szCs w:val="16"/>
        </w:rPr>
        <w:t>На самом деле наркомат в извест</w:t>
      </w:r>
      <w:r w:rsidRPr="007224C3">
        <w:rPr>
          <w:rFonts w:ascii="Times New Roman" w:hAnsi="Times New Roman"/>
          <w:color w:val="000000" w:themeColor="text1"/>
          <w:sz w:val="16"/>
          <w:szCs w:val="16"/>
        </w:rPr>
        <w:softHyphen/>
        <w:t>ной мере лукавил. Несмотря на успеш</w:t>
      </w:r>
      <w:r w:rsidRPr="007224C3">
        <w:rPr>
          <w:rFonts w:ascii="Times New Roman" w:hAnsi="Times New Roman"/>
          <w:color w:val="000000" w:themeColor="text1"/>
          <w:sz w:val="16"/>
          <w:szCs w:val="16"/>
        </w:rPr>
        <w:softHyphen/>
        <w:t>ное завершение гос. испытаний Ил-8 АМ-42, надежность винтомоторной группы нового штурмовика оставляла желать лучшего и решение о доработке само</w:t>
      </w:r>
      <w:r w:rsidRPr="007224C3">
        <w:rPr>
          <w:rFonts w:ascii="Times New Roman" w:hAnsi="Times New Roman"/>
          <w:color w:val="000000" w:themeColor="text1"/>
          <w:sz w:val="16"/>
          <w:szCs w:val="16"/>
        </w:rPr>
        <w:softHyphen/>
        <w:t>лета до требуемых норм уже созрело. Просто руководство НКАП панически боялось что-либо перестраивать в про</w:t>
      </w:r>
      <w:r w:rsidRPr="007224C3">
        <w:rPr>
          <w:rFonts w:ascii="Times New Roman" w:hAnsi="Times New Roman"/>
          <w:color w:val="000000" w:themeColor="text1"/>
          <w:sz w:val="16"/>
          <w:szCs w:val="16"/>
        </w:rPr>
        <w:softHyphen/>
        <w:t>изводстве штурмовиков Ил-2 на хоро</w:t>
      </w:r>
      <w:r w:rsidRPr="007224C3">
        <w:rPr>
          <w:rFonts w:ascii="Times New Roman" w:hAnsi="Times New Roman"/>
          <w:color w:val="000000" w:themeColor="text1"/>
          <w:sz w:val="16"/>
          <w:szCs w:val="16"/>
        </w:rPr>
        <w:softHyphen/>
        <w:t>шо отлаженных сборочных конвейерах (6467).</w:t>
      </w:r>
    </w:p>
    <w:p w14:paraId="391029C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20784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мая 1944 государственные испытания Су-6 АМ-42 с пушками ВЯ-23, которые проходили с 28 апреля 1944 г. были приостановлены вледствие совершенно ненормальной работы мотора (9649). К этому времени закончились госиспытания тяжелого штурмовика Ил-8 АМ-42 и решался вопрос о его запуске в серию (9649).</w:t>
      </w:r>
    </w:p>
    <w:p w14:paraId="44B3680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ABAB4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мая 1944 из-за ненормаль</w:t>
      </w:r>
      <w:r w:rsidRPr="007224C3">
        <w:rPr>
          <w:rFonts w:ascii="Times New Roman" w:hAnsi="Times New Roman"/>
          <w:color w:val="000000" w:themeColor="text1"/>
          <w:sz w:val="16"/>
          <w:szCs w:val="16"/>
        </w:rPr>
        <w:softHyphen/>
        <w:t>ной работы мотора испытания были приостановлены государственные испытания са</w:t>
      </w:r>
      <w:r w:rsidRPr="007224C3">
        <w:rPr>
          <w:rFonts w:ascii="Times New Roman" w:hAnsi="Times New Roman"/>
          <w:color w:val="000000" w:themeColor="text1"/>
          <w:sz w:val="16"/>
          <w:szCs w:val="16"/>
        </w:rPr>
        <w:softHyphen/>
        <w:t>молета Су-6 АМ-42, которые шли с 28 апреля 1944 года. До середины мая летчики-испытатели НИИ ВВС КА генерал-майор авиации А.И.Каба</w:t>
      </w:r>
      <w:r w:rsidRPr="007224C3">
        <w:rPr>
          <w:rFonts w:ascii="Times New Roman" w:hAnsi="Times New Roman"/>
          <w:color w:val="000000" w:themeColor="text1"/>
          <w:sz w:val="16"/>
          <w:szCs w:val="16"/>
        </w:rPr>
        <w:softHyphen/>
        <w:t>нов и инженер-майор А.В.Синель</w:t>
      </w:r>
      <w:r w:rsidRPr="007224C3">
        <w:rPr>
          <w:rFonts w:ascii="Times New Roman" w:hAnsi="Times New Roman"/>
          <w:color w:val="000000" w:themeColor="text1"/>
          <w:sz w:val="16"/>
          <w:szCs w:val="16"/>
        </w:rPr>
        <w:softHyphen/>
        <w:t>ников выполнили по программе 12 полетов (11845).</w:t>
      </w:r>
    </w:p>
    <w:p w14:paraId="21D622C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676D0FB" w14:textId="77777777" w:rsidR="00DD3D22" w:rsidRPr="007224C3" w:rsidRDefault="00DD3D22"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15 мая 1944 госиспытания Су-6 АМ-42, начавшиеся 29 апреля, были приоста</w:t>
      </w:r>
      <w:r w:rsidRPr="007224C3">
        <w:rPr>
          <w:rFonts w:ascii="Times New Roman" w:hAnsi="Times New Roman"/>
          <w:color w:val="0070C0"/>
          <w:sz w:val="16"/>
          <w:szCs w:val="16"/>
        </w:rPr>
        <w:softHyphen/>
        <w:t>новлены вследствие совершенно ненор</w:t>
      </w:r>
      <w:r w:rsidRPr="007224C3">
        <w:rPr>
          <w:rFonts w:ascii="Times New Roman" w:hAnsi="Times New Roman"/>
          <w:color w:val="0070C0"/>
          <w:sz w:val="16"/>
          <w:szCs w:val="16"/>
        </w:rPr>
        <w:softHyphen/>
        <w:t>мальной работы мотора. Ни в одном из полетов мотор зав. №4252 нормально не работал. Всего за это время удалось вы</w:t>
      </w:r>
      <w:r w:rsidRPr="007224C3">
        <w:rPr>
          <w:rFonts w:ascii="Times New Roman" w:hAnsi="Times New Roman"/>
          <w:color w:val="0070C0"/>
          <w:sz w:val="16"/>
          <w:szCs w:val="16"/>
        </w:rPr>
        <w:softHyphen/>
        <w:t>полнить 18 полетов с общим налетом 6 ч 30 мин. Наработка мотора составила 27 ч 55 мин при установленном ресурсе 50 ч.</w:t>
      </w:r>
    </w:p>
    <w:p w14:paraId="673BF4D0" w14:textId="77777777" w:rsidR="00DD3D22" w:rsidRPr="007224C3" w:rsidRDefault="00DD3D22"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Ответственным исполнителем по ис</w:t>
      </w:r>
      <w:r w:rsidRPr="007224C3">
        <w:rPr>
          <w:rFonts w:ascii="Times New Roman" w:hAnsi="Times New Roman"/>
          <w:color w:val="0070C0"/>
          <w:sz w:val="16"/>
          <w:szCs w:val="16"/>
        </w:rPr>
        <w:softHyphen/>
        <w:t>пытаниям был назначен помощник веду</w:t>
      </w:r>
      <w:r w:rsidRPr="007224C3">
        <w:rPr>
          <w:rFonts w:ascii="Times New Roman" w:hAnsi="Times New Roman"/>
          <w:color w:val="0070C0"/>
          <w:sz w:val="16"/>
          <w:szCs w:val="16"/>
        </w:rPr>
        <w:softHyphen/>
        <w:t>щего инженера старший техник-лейтенант Марьин, ведущим летчиком - заместитель начальника института по летной части ге- нерал-майор Кабанов, вторым ведущим летчиком - инженер-майор Синельников. Самолет облетал заместитель начальника 5-го отдела 1-го Управления института по летной части подполковник Долгов</w:t>
      </w:r>
    </w:p>
    <w:p w14:paraId="022BC248" w14:textId="77777777" w:rsidR="00DD3D22" w:rsidRPr="007224C3" w:rsidRDefault="00DD3D22"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 ряду конструктивных и производст</w:t>
      </w:r>
      <w:r w:rsidRPr="007224C3">
        <w:rPr>
          <w:rFonts w:ascii="Times New Roman" w:hAnsi="Times New Roman"/>
          <w:color w:val="0070C0"/>
          <w:sz w:val="16"/>
          <w:szCs w:val="16"/>
        </w:rPr>
        <w:softHyphen/>
        <w:t>венных дефектов мотора отмечались сле</w:t>
      </w:r>
      <w:r w:rsidRPr="007224C3">
        <w:rPr>
          <w:rFonts w:ascii="Times New Roman" w:hAnsi="Times New Roman"/>
          <w:color w:val="0070C0"/>
          <w:sz w:val="16"/>
          <w:szCs w:val="16"/>
        </w:rPr>
        <w:softHyphen/>
        <w:t>дующие:</w:t>
      </w:r>
    </w:p>
    <w:p w14:paraId="63C8FB27" w14:textId="77777777" w:rsidR="00DD3D22" w:rsidRPr="007224C3" w:rsidRDefault="00DD3D22" w:rsidP="007224C3">
      <w:pPr>
        <w:tabs>
          <w:tab w:val="left" w:pos="399"/>
        </w:tabs>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 опасное загорание смеси во всасы</w:t>
      </w:r>
      <w:r w:rsidRPr="007224C3">
        <w:rPr>
          <w:rFonts w:ascii="Times New Roman" w:hAnsi="Times New Roman"/>
          <w:color w:val="0070C0"/>
          <w:sz w:val="16"/>
          <w:szCs w:val="16"/>
        </w:rPr>
        <w:softHyphen/>
        <w:t>вающих патрубках на земле при запуске мотора (4 случая);</w:t>
      </w:r>
    </w:p>
    <w:p w14:paraId="3057ED73" w14:textId="53E71B50" w:rsidR="00DD3D22" w:rsidRPr="007224C3" w:rsidRDefault="00DD3D22" w:rsidP="007224C3">
      <w:pPr>
        <w:pStyle w:val="121"/>
        <w:shd w:val="clear" w:color="auto" w:fill="auto"/>
        <w:tabs>
          <w:tab w:val="left" w:pos="409"/>
        </w:tabs>
        <w:spacing w:line="240" w:lineRule="auto"/>
        <w:jc w:val="both"/>
        <w:rPr>
          <w:rFonts w:ascii="Times New Roman" w:hAnsi="Times New Roman" w:cs="Times New Roman"/>
          <w:b w:val="0"/>
          <w:bCs w:val="0"/>
          <w:color w:val="0070C0"/>
          <w:sz w:val="16"/>
          <w:szCs w:val="16"/>
        </w:rPr>
      </w:pPr>
      <w:r w:rsidRPr="007224C3">
        <w:rPr>
          <w:rStyle w:val="128pt100"/>
          <w:rFonts w:ascii="Times New Roman" w:hAnsi="Times New Roman" w:cs="Times New Roman"/>
          <w:b w:val="0"/>
          <w:bCs w:val="0"/>
          <w:i w:val="0"/>
          <w:iCs w:val="0"/>
          <w:color w:val="0070C0"/>
        </w:rPr>
        <w:t>- недопустимо большой расход ма</w:t>
      </w:r>
      <w:r w:rsidRPr="007224C3">
        <w:rPr>
          <w:rStyle w:val="128pt100"/>
          <w:rFonts w:ascii="Times New Roman" w:hAnsi="Times New Roman" w:cs="Times New Roman"/>
          <w:b w:val="0"/>
          <w:bCs w:val="0"/>
          <w:i w:val="0"/>
          <w:iCs w:val="0"/>
          <w:color w:val="0070C0"/>
        </w:rPr>
        <w:softHyphen/>
        <w:t>сла</w:t>
      </w:r>
      <w:r w:rsidRPr="007224C3">
        <w:rPr>
          <w:rFonts w:ascii="Times New Roman" w:hAnsi="Times New Roman" w:cs="Times New Roman"/>
          <w:b w:val="0"/>
          <w:bCs w:val="0"/>
          <w:color w:val="0070C0"/>
          <w:sz w:val="16"/>
          <w:szCs w:val="16"/>
        </w:rPr>
        <w:t xml:space="preserve"> («за один полет продолжительностью 50 минут расход масла достигал 43 ли</w:t>
      </w:r>
      <w:r w:rsidRPr="007224C3">
        <w:rPr>
          <w:rFonts w:ascii="Times New Roman" w:hAnsi="Times New Roman" w:cs="Times New Roman"/>
          <w:b w:val="0"/>
          <w:bCs w:val="0"/>
          <w:color w:val="0070C0"/>
          <w:sz w:val="16"/>
          <w:szCs w:val="16"/>
        </w:rPr>
        <w:softHyphen/>
        <w:t>тров»);</w:t>
      </w:r>
    </w:p>
    <w:p w14:paraId="383D1CEF" w14:textId="77777777" w:rsidR="00DD3D22" w:rsidRPr="007224C3" w:rsidRDefault="00DD3D22" w:rsidP="007224C3">
      <w:pPr>
        <w:tabs>
          <w:tab w:val="left" w:pos="399"/>
        </w:tabs>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 сильное дымление мотора на всех режимах работы;</w:t>
      </w:r>
    </w:p>
    <w:p w14:paraId="1B8BD398" w14:textId="77777777" w:rsidR="00DD3D22" w:rsidRPr="007224C3" w:rsidRDefault="00DD3D22"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 тряска мотора при давлении наддува 800-1000 мм. рт. ст., на форсаже и номи</w:t>
      </w:r>
      <w:r w:rsidRPr="007224C3">
        <w:rPr>
          <w:rFonts w:ascii="Times New Roman" w:hAnsi="Times New Roman"/>
          <w:color w:val="0070C0"/>
          <w:sz w:val="16"/>
          <w:szCs w:val="16"/>
        </w:rPr>
        <w:softHyphen/>
        <w:t>нальном режиме в течение 1-1,5 мин по</w:t>
      </w:r>
      <w:r w:rsidRPr="007224C3">
        <w:rPr>
          <w:rFonts w:ascii="Times New Roman" w:hAnsi="Times New Roman"/>
          <w:color w:val="0070C0"/>
          <w:sz w:val="16"/>
          <w:szCs w:val="16"/>
        </w:rPr>
        <w:softHyphen/>
        <w:t>сле дачи газа.</w:t>
      </w:r>
    </w:p>
    <w:p w14:paraId="5E412EBB" w14:textId="77777777" w:rsidR="00DD3D22" w:rsidRPr="007224C3" w:rsidRDefault="00DD3D22"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Изменение регулировки карбюрато</w:t>
      </w:r>
      <w:r w:rsidRPr="007224C3">
        <w:rPr>
          <w:rFonts w:ascii="Times New Roman" w:hAnsi="Times New Roman"/>
          <w:color w:val="0070C0"/>
          <w:sz w:val="16"/>
          <w:szCs w:val="16"/>
        </w:rPr>
        <w:softHyphen/>
        <w:t>ров положительных результатов не дало.</w:t>
      </w:r>
    </w:p>
    <w:p w14:paraId="05AAA4D6" w14:textId="77777777" w:rsidR="00DD3D22" w:rsidRPr="007224C3" w:rsidRDefault="00DD3D22"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По этим причинам летные харак</w:t>
      </w:r>
      <w:r w:rsidRPr="007224C3">
        <w:rPr>
          <w:rFonts w:ascii="Times New Roman" w:hAnsi="Times New Roman"/>
          <w:color w:val="0070C0"/>
          <w:sz w:val="16"/>
          <w:szCs w:val="16"/>
        </w:rPr>
        <w:softHyphen/>
        <w:t>теристики Су-6 АМ-42 в полном объ</w:t>
      </w:r>
      <w:r w:rsidRPr="007224C3">
        <w:rPr>
          <w:rFonts w:ascii="Times New Roman" w:hAnsi="Times New Roman"/>
          <w:color w:val="0070C0"/>
          <w:sz w:val="16"/>
          <w:szCs w:val="16"/>
        </w:rPr>
        <w:softHyphen/>
        <w:t>еме снять не удалось. При полетном весе 6200 кг (400 кг бомб, пушки 11П и пуле</w:t>
      </w:r>
      <w:r w:rsidRPr="007224C3">
        <w:rPr>
          <w:rFonts w:ascii="Times New Roman" w:hAnsi="Times New Roman"/>
          <w:color w:val="0070C0"/>
          <w:sz w:val="16"/>
          <w:szCs w:val="16"/>
        </w:rPr>
        <w:softHyphen/>
        <w:t>меты ШКАС с боекомплектом) максималь</w:t>
      </w:r>
      <w:r w:rsidRPr="007224C3">
        <w:rPr>
          <w:rFonts w:ascii="Times New Roman" w:hAnsi="Times New Roman"/>
          <w:color w:val="0070C0"/>
          <w:sz w:val="16"/>
          <w:szCs w:val="16"/>
        </w:rPr>
        <w:softHyphen/>
        <w:t>ная скорость полета достигала 482 км/ч - у земли, и 523 км/ч - на высоте 2800 м. Дальность полета на высоте 1000 м и ско</w:t>
      </w:r>
      <w:r w:rsidRPr="007224C3">
        <w:rPr>
          <w:rFonts w:ascii="Times New Roman" w:hAnsi="Times New Roman"/>
          <w:color w:val="0070C0"/>
          <w:sz w:val="16"/>
          <w:szCs w:val="16"/>
        </w:rPr>
        <w:softHyphen/>
        <w:t>рости 340 км/ч - 850 км. Разбег (с откло</w:t>
      </w:r>
      <w:r w:rsidRPr="007224C3">
        <w:rPr>
          <w:rFonts w:ascii="Times New Roman" w:hAnsi="Times New Roman"/>
          <w:color w:val="0070C0"/>
          <w:sz w:val="16"/>
          <w:szCs w:val="16"/>
        </w:rPr>
        <w:softHyphen/>
        <w:t>ненными на 20° щитками и форсажем по оборотам) - 540 м. На высоту 1000 м са</w:t>
      </w:r>
      <w:r w:rsidRPr="007224C3">
        <w:rPr>
          <w:rFonts w:ascii="Times New Roman" w:hAnsi="Times New Roman"/>
          <w:color w:val="0070C0"/>
          <w:sz w:val="16"/>
          <w:szCs w:val="16"/>
        </w:rPr>
        <w:softHyphen/>
        <w:t>молет забирался за 2 мин. Вертикаль</w:t>
      </w:r>
      <w:r w:rsidRPr="007224C3">
        <w:rPr>
          <w:rFonts w:ascii="Times New Roman" w:hAnsi="Times New Roman"/>
          <w:color w:val="0070C0"/>
          <w:sz w:val="16"/>
          <w:szCs w:val="16"/>
        </w:rPr>
        <w:softHyphen/>
        <w:t>ная скорость у земли получилась равной 7,6 м/с, на высоте 1000 м - 8,3 м/с.</w:t>
      </w:r>
    </w:p>
    <w:p w14:paraId="7E82649B" w14:textId="77777777" w:rsidR="00DD3D22" w:rsidRPr="007224C3" w:rsidRDefault="00DD3D22"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lastRenderedPageBreak/>
        <w:t>Отметим, что «взлетные свойства са</w:t>
      </w:r>
      <w:r w:rsidRPr="007224C3">
        <w:rPr>
          <w:rFonts w:ascii="Times New Roman" w:hAnsi="Times New Roman"/>
          <w:color w:val="0070C0"/>
          <w:sz w:val="16"/>
          <w:szCs w:val="16"/>
        </w:rPr>
        <w:softHyphen/>
        <w:t>молета определялись на номинальном наддуве 1330 мм. рт. ст. и форсированных оборотах 2500 об/мин, так как на форси</w:t>
      </w:r>
      <w:r w:rsidRPr="007224C3">
        <w:rPr>
          <w:rFonts w:ascii="Times New Roman" w:hAnsi="Times New Roman"/>
          <w:color w:val="0070C0"/>
          <w:sz w:val="16"/>
          <w:szCs w:val="16"/>
        </w:rPr>
        <w:softHyphen/>
        <w:t>рованном наддуве мотор работал ненор</w:t>
      </w:r>
      <w:r w:rsidRPr="007224C3">
        <w:rPr>
          <w:rFonts w:ascii="Times New Roman" w:hAnsi="Times New Roman"/>
          <w:color w:val="0070C0"/>
          <w:sz w:val="16"/>
          <w:szCs w:val="16"/>
        </w:rPr>
        <w:softHyphen/>
        <w:t>мально».</w:t>
      </w:r>
    </w:p>
    <w:p w14:paraId="6B5A775B" w14:textId="77777777" w:rsidR="00DD3D22" w:rsidRPr="007224C3" w:rsidRDefault="00DD3D22"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После получения с завода №24 дру</w:t>
      </w:r>
      <w:r w:rsidRPr="007224C3">
        <w:rPr>
          <w:rFonts w:ascii="Times New Roman" w:hAnsi="Times New Roman"/>
          <w:color w:val="0070C0"/>
          <w:sz w:val="16"/>
          <w:szCs w:val="16"/>
        </w:rPr>
        <w:softHyphen/>
        <w:t>гого экземпляра мотора АМ-42 испытания самолета предполагалось продолжить (19853).</w:t>
      </w:r>
    </w:p>
    <w:p w14:paraId="08A1D160" w14:textId="77777777" w:rsidR="00DD3D22" w:rsidRPr="007224C3" w:rsidRDefault="00DD3D22" w:rsidP="007224C3">
      <w:pPr>
        <w:spacing w:after="0" w:line="240" w:lineRule="auto"/>
        <w:jc w:val="both"/>
        <w:rPr>
          <w:rFonts w:ascii="Times New Roman" w:hAnsi="Times New Roman"/>
          <w:color w:val="0070C0"/>
          <w:sz w:val="16"/>
          <w:szCs w:val="16"/>
        </w:rPr>
      </w:pPr>
    </w:p>
    <w:p w14:paraId="2F01D6C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мая 1944 С.Н.Анохин в ЛИИ выполнил первый полет с включенными ПВРД ДМ-4С И.А.Меркулова на Як-7В с М-106ПФ N 803 (65,102).</w:t>
      </w:r>
    </w:p>
    <w:p w14:paraId="749A8FD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8D7110" w14:textId="77777777" w:rsidR="008B0844" w:rsidRPr="007224C3" w:rsidRDefault="008B0844" w:rsidP="007224C3">
      <w:pPr>
        <w:pStyle w:val="ae"/>
        <w:shd w:val="clear" w:color="auto" w:fill="FFFFFF"/>
        <w:spacing w:before="0" w:after="0"/>
        <w:jc w:val="both"/>
        <w:rPr>
          <w:color w:val="000000" w:themeColor="text1"/>
          <w:sz w:val="16"/>
          <w:szCs w:val="16"/>
        </w:rPr>
      </w:pPr>
      <w:r w:rsidRPr="007224C3">
        <w:rPr>
          <w:color w:val="000000" w:themeColor="text1"/>
          <w:sz w:val="16"/>
          <w:szCs w:val="16"/>
        </w:rPr>
        <w:t>15 мая 1944 г. состоялся первый полет Як-7Б М-105ПФ  с включенными ДМ-4С Бондарюка.</w:t>
      </w:r>
    </w:p>
    <w:p w14:paraId="15376F1F" w14:textId="77777777" w:rsidR="008B0844" w:rsidRPr="007224C3" w:rsidRDefault="008B0844" w:rsidP="007224C3">
      <w:pPr>
        <w:pStyle w:val="ae"/>
        <w:shd w:val="clear" w:color="auto" w:fill="FFFFFF"/>
        <w:spacing w:before="0" w:after="0"/>
        <w:jc w:val="both"/>
        <w:rPr>
          <w:color w:val="000000" w:themeColor="text1"/>
          <w:sz w:val="16"/>
          <w:szCs w:val="16"/>
        </w:rPr>
      </w:pPr>
      <w:r w:rsidRPr="007224C3">
        <w:rPr>
          <w:color w:val="000000" w:themeColor="text1"/>
          <w:sz w:val="16"/>
          <w:szCs w:val="16"/>
        </w:rPr>
        <w:t>Самолетом управлял ведущий летчик-испытатель ЛИИ С.Н. Анохин. Двигатели ДМ-4С запускались на высотах до 5000 м. Конструкция ДМ-4С позволяла производить останов ки и последующие запуски двигателей в полете. Эксплуата ция ДМ-4С была простой. Управление двигателями в полете затруднений не вызывала. Двигатели работали на бензине из тех же баков, что и основной двигатель.</w:t>
      </w:r>
    </w:p>
    <w:p w14:paraId="0AAEB8DA" w14:textId="77777777" w:rsidR="008B0844" w:rsidRPr="007224C3" w:rsidRDefault="008B0844" w:rsidP="007224C3">
      <w:pPr>
        <w:pStyle w:val="ae"/>
        <w:shd w:val="clear" w:color="auto" w:fill="FFFFFF"/>
        <w:spacing w:before="0" w:after="0"/>
        <w:jc w:val="both"/>
        <w:rPr>
          <w:color w:val="000000" w:themeColor="text1"/>
          <w:sz w:val="16"/>
          <w:szCs w:val="16"/>
        </w:rPr>
      </w:pPr>
      <w:r w:rsidRPr="007224C3">
        <w:rPr>
          <w:color w:val="000000" w:themeColor="text1"/>
          <w:sz w:val="16"/>
          <w:szCs w:val="16"/>
        </w:rPr>
        <w:t>Была достигнута равномерная работа обоих двигателей.</w:t>
      </w:r>
    </w:p>
    <w:p w14:paraId="6BF64CB3" w14:textId="77777777" w:rsidR="008B0844" w:rsidRPr="007224C3" w:rsidRDefault="008B0844" w:rsidP="007224C3">
      <w:pPr>
        <w:pStyle w:val="ae"/>
        <w:shd w:val="clear" w:color="auto" w:fill="FFFFFF"/>
        <w:spacing w:before="0" w:after="0"/>
        <w:jc w:val="both"/>
        <w:rPr>
          <w:color w:val="000000" w:themeColor="text1"/>
          <w:sz w:val="16"/>
          <w:szCs w:val="16"/>
        </w:rPr>
      </w:pPr>
      <w:r w:rsidRPr="007224C3">
        <w:rPr>
          <w:color w:val="000000" w:themeColor="text1"/>
          <w:sz w:val="16"/>
          <w:szCs w:val="16"/>
        </w:rPr>
        <w:t>После проведения этого этапа летных испытаний предполага лось снять подробные тяговые характеристики при различных параметрах конструкции двигателя и дальнейшем его совер шенствовании. Поэтому запуск ПВРД и другие задачи перво го этапа испытаний отрабатывались с произвольными агрегатами и параметрами двигателя, а не с теми, которые на осно вании теоретических расчетов и исследований в трубе представлялись оптимальными. Однако после выполнения первого этапа, летные испытания были прекращены по мотивам боль шого расхода бензина на работу ДМ-4С.</w:t>
      </w:r>
    </w:p>
    <w:p w14:paraId="62E95022" w14:textId="77777777" w:rsidR="008B0844" w:rsidRPr="007224C3" w:rsidRDefault="008B0844" w:rsidP="007224C3">
      <w:pPr>
        <w:pStyle w:val="ae"/>
        <w:shd w:val="clear" w:color="auto" w:fill="FFFFFF"/>
        <w:spacing w:before="0" w:after="0"/>
        <w:jc w:val="both"/>
        <w:rPr>
          <w:color w:val="000000" w:themeColor="text1"/>
          <w:sz w:val="16"/>
          <w:szCs w:val="16"/>
        </w:rPr>
      </w:pPr>
      <w:r w:rsidRPr="007224C3">
        <w:rPr>
          <w:color w:val="000000" w:themeColor="text1"/>
          <w:sz w:val="16"/>
          <w:szCs w:val="16"/>
        </w:rPr>
        <w:t>Максимальная горизонтальная скорость самолета при нера ботающих ДМ-4С из-за их лобового сопротивления уменьшилась до 460 против 494 км/ч у Як-7Б № 803 без ДМ-4С. При работе ДМ-4С на высоте 2340 м максимальная горизонтальная скорость увеличивалась до 513 км/ч, т.е. на 53 км/ч, но она была лишь на 19 км/ч больше, чем скорость исходного Як*7Б. При оценке этого результата следует учесть, что оба ПВРД были подвешены под крыльями без зализов или обтекателей, и что при такой под веске была весьма велика интерференция двигателя и крыла.</w:t>
      </w:r>
    </w:p>
    <w:p w14:paraId="2BB411C7" w14:textId="77777777" w:rsidR="008B0844" w:rsidRPr="007224C3" w:rsidRDefault="008B0844" w:rsidP="007224C3">
      <w:pPr>
        <w:pStyle w:val="ae"/>
        <w:shd w:val="clear" w:color="auto" w:fill="FFFFFF"/>
        <w:spacing w:before="0" w:after="0"/>
        <w:jc w:val="both"/>
        <w:rPr>
          <w:color w:val="000000" w:themeColor="text1"/>
          <w:sz w:val="16"/>
          <w:szCs w:val="16"/>
        </w:rPr>
      </w:pPr>
      <w:r w:rsidRPr="007224C3">
        <w:rPr>
          <w:color w:val="000000" w:themeColor="text1"/>
          <w:sz w:val="16"/>
          <w:szCs w:val="16"/>
        </w:rPr>
        <w:t>Предполагалось, что при повышении расхода топлива с 22 до 30 кг/мин на истребителе, имеющем скорость полета порядка 600 км/ч, дополнительные двигатели ДМ-4С смогут обеспечить прирост скорости в 130 км/ч, а при установке двигателей на более скоростные самолеты эффект от их применения станет еще больше. Установка ДМ-4С осуществлялась весьма просто и могла быть выполнена даже в полевых условиях, что позво ляло оборудовать этими двигателями существующий парк са молетов. Таким образом, для ВВС был создан резерв на случай непредвиденных обстоятельств. Предполагалась установка ПВРД также на Як-1, при этом ожидался прирост скорости 100 км/ч в течение 10 мин. Но этот проект не был реализован. ПВРД практически не использовались в связи с окончанием войны и последующим появлением турбореактивных двигателей, кото рые имели преимущества перед ПВРД в тяге (19586).</w:t>
      </w:r>
    </w:p>
    <w:p w14:paraId="361AC893" w14:textId="77777777" w:rsidR="008B0844" w:rsidRPr="007224C3" w:rsidRDefault="008B0844" w:rsidP="007224C3">
      <w:pPr>
        <w:pStyle w:val="ae"/>
        <w:shd w:val="clear" w:color="auto" w:fill="FFFFFF"/>
        <w:spacing w:before="0" w:after="0"/>
        <w:jc w:val="both"/>
        <w:rPr>
          <w:color w:val="000000" w:themeColor="text1"/>
          <w:sz w:val="16"/>
          <w:szCs w:val="16"/>
        </w:rPr>
      </w:pPr>
    </w:p>
    <w:p w14:paraId="3C8D7B9B" w14:textId="77777777" w:rsidR="00962976" w:rsidRPr="007224C3" w:rsidRDefault="00962976" w:rsidP="007224C3">
      <w:pPr>
        <w:pStyle w:val="Bodytext1"/>
        <w:shd w:val="clear" w:color="auto" w:fill="auto"/>
        <w:spacing w:line="240" w:lineRule="auto"/>
        <w:ind w:firstLine="0"/>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15 мая 1944 Анохин совершил первый полет II этапа испытаений Як-7Б №0803 - самолет-лаборатория, оборудованный ПВРД Меркулова и впервые включил ДМ-4с.</w:t>
      </w:r>
    </w:p>
    <w:p w14:paraId="1ACBB8BC" w14:textId="77777777" w:rsidR="00962976" w:rsidRPr="007224C3" w:rsidRDefault="00962976" w:rsidP="007224C3">
      <w:pPr>
        <w:pStyle w:val="Bodytext1"/>
        <w:shd w:val="clear" w:color="auto" w:fill="auto"/>
        <w:spacing w:line="240" w:lineRule="auto"/>
        <w:ind w:firstLine="0"/>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Летные испытания самолета заверши</w:t>
      </w:r>
      <w:r w:rsidRPr="007224C3">
        <w:rPr>
          <w:rFonts w:ascii="Times New Roman" w:hAnsi="Times New Roman" w:cs="Times New Roman"/>
          <w:color w:val="000000" w:themeColor="text1"/>
          <w:sz w:val="16"/>
          <w:szCs w:val="16"/>
        </w:rPr>
        <w:softHyphen/>
        <w:t>лись 12 декабря 1944 г. как было указано в отчете «с положительными результа</w:t>
      </w:r>
      <w:r w:rsidRPr="007224C3">
        <w:rPr>
          <w:rFonts w:ascii="Times New Roman" w:hAnsi="Times New Roman" w:cs="Times New Roman"/>
          <w:color w:val="000000" w:themeColor="text1"/>
          <w:sz w:val="16"/>
          <w:szCs w:val="16"/>
        </w:rPr>
        <w:softHyphen/>
        <w:t>тами», хотя на первый взгляд таковыми их назвать было трудно. Неработающие ПВРД дали снижение скорости на высоте 2340 м на 34 км/ч (с 494 до 460 км/ч), а прирост от их включения по сравнению с самоле</w:t>
      </w:r>
      <w:r w:rsidRPr="007224C3">
        <w:rPr>
          <w:rFonts w:ascii="Times New Roman" w:hAnsi="Times New Roman" w:cs="Times New Roman"/>
          <w:color w:val="000000" w:themeColor="text1"/>
          <w:sz w:val="16"/>
          <w:szCs w:val="16"/>
        </w:rPr>
        <w:softHyphen/>
        <w:t>том без ПВРД был лишь 19 км/ч - с 494 до 513 км/ч. Максимальные скорости этого самолета с неработающими ПВРД оказа</w:t>
      </w:r>
      <w:r w:rsidRPr="007224C3">
        <w:rPr>
          <w:rFonts w:ascii="Times New Roman" w:hAnsi="Times New Roman" w:cs="Times New Roman"/>
          <w:color w:val="000000" w:themeColor="text1"/>
          <w:sz w:val="16"/>
          <w:szCs w:val="16"/>
        </w:rPr>
        <w:softHyphen/>
        <w:t>лись на 70-80 км/ч ниже, чем у серийного Як-7Б нормального качества изготовления, что объяснялось как недостатками этого конкретного экземпляра машины, так и большими размерами ПВРД - ДМ-4с имел диаметр 500 мм, что увеличивало мидель самолета более чем на 30%.</w:t>
      </w:r>
    </w:p>
    <w:p w14:paraId="147ACC75" w14:textId="77777777" w:rsidR="00962976" w:rsidRPr="007224C3" w:rsidRDefault="00962976" w:rsidP="007224C3">
      <w:pPr>
        <w:pStyle w:val="Bodytext1"/>
        <w:shd w:val="clear" w:color="auto" w:fill="auto"/>
        <w:spacing w:line="240" w:lineRule="auto"/>
        <w:ind w:firstLine="0"/>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Из-за нештатной работы бензонасоса БНК-10Ф расход топлива был 22 кг/мин вместо номинального значения 24 кг/мин, но суммарная тяга двигателей оказалась меньше явно непропорционально этой потере - он+а должна была быть 300 кгс, а получили лишь 158.</w:t>
      </w:r>
    </w:p>
    <w:p w14:paraId="460254E8" w14:textId="77777777" w:rsidR="00962976" w:rsidRPr="007224C3" w:rsidRDefault="00962976" w:rsidP="007224C3">
      <w:pPr>
        <w:pStyle w:val="Bodytext1"/>
        <w:shd w:val="clear" w:color="auto" w:fill="auto"/>
        <w:spacing w:line="240" w:lineRule="auto"/>
        <w:ind w:firstLine="0"/>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Это могло быть связано как с недостат</w:t>
      </w:r>
      <w:r w:rsidRPr="007224C3">
        <w:rPr>
          <w:rFonts w:ascii="Times New Roman" w:hAnsi="Times New Roman" w:cs="Times New Roman"/>
          <w:color w:val="000000" w:themeColor="text1"/>
          <w:sz w:val="16"/>
          <w:szCs w:val="16"/>
        </w:rPr>
        <w:softHyphen/>
        <w:t>ками самих двигателей, так и с тем, что их испытания велись на пониженных скоро</w:t>
      </w:r>
      <w:r w:rsidRPr="007224C3">
        <w:rPr>
          <w:rFonts w:ascii="Times New Roman" w:hAnsi="Times New Roman" w:cs="Times New Roman"/>
          <w:color w:val="000000" w:themeColor="text1"/>
          <w:sz w:val="16"/>
          <w:szCs w:val="16"/>
        </w:rPr>
        <w:softHyphen/>
        <w:t>стях и скоростных напорах. Но выводы все же были оптимистичны.</w:t>
      </w:r>
    </w:p>
    <w:p w14:paraId="62802F28" w14:textId="77777777" w:rsidR="00962976" w:rsidRPr="007224C3" w:rsidRDefault="00962976" w:rsidP="007224C3">
      <w:pPr>
        <w:pStyle w:val="Bodytext1"/>
        <w:shd w:val="clear" w:color="auto" w:fill="auto"/>
        <w:spacing w:line="240" w:lineRule="auto"/>
        <w:ind w:firstLine="0"/>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Во-первых, в отчете появилась столь желанная для КБ Меркулова фраза, что ПВРД работоспособны и могут быть при</w:t>
      </w:r>
      <w:r w:rsidRPr="007224C3">
        <w:rPr>
          <w:rFonts w:ascii="Times New Roman" w:hAnsi="Times New Roman" w:cs="Times New Roman"/>
          <w:color w:val="000000" w:themeColor="text1"/>
          <w:sz w:val="16"/>
          <w:szCs w:val="16"/>
        </w:rPr>
        <w:softHyphen/>
        <w:t>менены на самолетах-истребителях в качестве ускорителя, что они просты в изготовлении и обслуживании, поставить их на истребитель можно даже в поле</w:t>
      </w:r>
      <w:r w:rsidRPr="007224C3">
        <w:rPr>
          <w:rFonts w:ascii="Times New Roman" w:hAnsi="Times New Roman" w:cs="Times New Roman"/>
          <w:color w:val="000000" w:themeColor="text1"/>
          <w:sz w:val="16"/>
          <w:szCs w:val="16"/>
        </w:rPr>
        <w:softHyphen/>
        <w:t>вых условиях. Во-вторых, была выражена надежда на больший прирост скорости и высотности - достаточный для перехвата любого самолета противника. Далее было отмечено, что хотя радиус действия са</w:t>
      </w:r>
      <w:r w:rsidRPr="007224C3">
        <w:rPr>
          <w:rFonts w:ascii="Times New Roman" w:hAnsi="Times New Roman" w:cs="Times New Roman"/>
          <w:color w:val="000000" w:themeColor="text1"/>
          <w:sz w:val="16"/>
          <w:szCs w:val="16"/>
        </w:rPr>
        <w:softHyphen/>
        <w:t>молета с ПВРД существенно сокращается из-за большого расхода топлива и увели</w:t>
      </w:r>
      <w:r w:rsidRPr="007224C3">
        <w:rPr>
          <w:rFonts w:ascii="Times New Roman" w:hAnsi="Times New Roman" w:cs="Times New Roman"/>
          <w:color w:val="000000" w:themeColor="text1"/>
          <w:sz w:val="16"/>
          <w:szCs w:val="16"/>
        </w:rPr>
        <w:softHyphen/>
        <w:t>чения аэродинамического сопротивления, но такие самолеты использовать для при</w:t>
      </w:r>
      <w:r w:rsidRPr="007224C3">
        <w:rPr>
          <w:rFonts w:ascii="Times New Roman" w:hAnsi="Times New Roman" w:cs="Times New Roman"/>
          <w:color w:val="000000" w:themeColor="text1"/>
          <w:sz w:val="16"/>
          <w:szCs w:val="16"/>
        </w:rPr>
        <w:softHyphen/>
        <w:t>крытия важных объектов целесообразно. Однако моделирование возможных такти</w:t>
      </w:r>
      <w:r w:rsidRPr="007224C3">
        <w:rPr>
          <w:rFonts w:ascii="Times New Roman" w:hAnsi="Times New Roman" w:cs="Times New Roman"/>
          <w:color w:val="000000" w:themeColor="text1"/>
          <w:sz w:val="16"/>
          <w:szCs w:val="16"/>
        </w:rPr>
        <w:softHyphen/>
        <w:t>ческих ситуаций было проведено не для задач ПВО, а исходя из действий авиа</w:t>
      </w:r>
      <w:r w:rsidRPr="007224C3">
        <w:rPr>
          <w:rFonts w:ascii="Times New Roman" w:hAnsi="Times New Roman" w:cs="Times New Roman"/>
          <w:color w:val="000000" w:themeColor="text1"/>
          <w:sz w:val="16"/>
          <w:szCs w:val="16"/>
        </w:rPr>
        <w:softHyphen/>
        <w:t>ции фронтовой. Было сказано, что с уве</w:t>
      </w:r>
      <w:r w:rsidRPr="007224C3">
        <w:rPr>
          <w:rFonts w:ascii="Times New Roman" w:hAnsi="Times New Roman" w:cs="Times New Roman"/>
          <w:color w:val="000000" w:themeColor="text1"/>
          <w:sz w:val="16"/>
          <w:szCs w:val="16"/>
        </w:rPr>
        <w:softHyphen/>
        <w:t>личением расхода топлива до 30 кг/мин добавка скорости составит до 130 км/ч и тогда для догона появившегося на пре</w:t>
      </w:r>
      <w:r w:rsidRPr="007224C3">
        <w:rPr>
          <w:rFonts w:ascii="Times New Roman" w:hAnsi="Times New Roman" w:cs="Times New Roman"/>
          <w:color w:val="000000" w:themeColor="text1"/>
          <w:sz w:val="16"/>
          <w:szCs w:val="16"/>
        </w:rPr>
        <w:softHyphen/>
        <w:t>деле видимости истребителя противника над будет не более 3 мин, а для выхода из зоны действия его эффективного огня на дистанцию свыше 500 м - до 15 с при технической возможности использования ПВРД в течение 5-6 мин.</w:t>
      </w:r>
    </w:p>
    <w:p w14:paraId="6A9DFA6E" w14:textId="77777777" w:rsidR="00962976" w:rsidRPr="007224C3" w:rsidRDefault="00962976" w:rsidP="007224C3">
      <w:pPr>
        <w:pStyle w:val="Bodytext1"/>
        <w:shd w:val="clear" w:color="auto" w:fill="auto"/>
        <w:spacing w:line="240" w:lineRule="auto"/>
        <w:ind w:firstLine="0"/>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Меркулов выразил уверенность, что сможет не только довести тягу своих дви</w:t>
      </w:r>
      <w:r w:rsidRPr="007224C3">
        <w:rPr>
          <w:rFonts w:ascii="Times New Roman" w:hAnsi="Times New Roman" w:cs="Times New Roman"/>
          <w:color w:val="000000" w:themeColor="text1"/>
          <w:sz w:val="16"/>
          <w:szCs w:val="16"/>
        </w:rPr>
        <w:softHyphen/>
        <w:t>гателей до заданных 150 кгс, но и снизить их массу с 45 до 15-18 кг.</w:t>
      </w:r>
    </w:p>
    <w:p w14:paraId="499D3330" w14:textId="77777777" w:rsidR="00962976" w:rsidRPr="007224C3" w:rsidRDefault="00962976" w:rsidP="007224C3">
      <w:pPr>
        <w:pStyle w:val="Bodytext1"/>
        <w:shd w:val="clear" w:color="auto" w:fill="auto"/>
        <w:spacing w:line="240" w:lineRule="auto"/>
        <w:ind w:firstLine="0"/>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Специалисты ЛИИ провели оценку возможных выгод от ПВРД, определив, что наилучшие результаты дает установка двух ДМ в хвосте - тогда скорость Як-7 на одном моторе М-105ПФ на границе вы</w:t>
      </w:r>
      <w:r w:rsidRPr="007224C3">
        <w:rPr>
          <w:rFonts w:ascii="Times New Roman" w:hAnsi="Times New Roman" w:cs="Times New Roman"/>
          <w:color w:val="000000" w:themeColor="text1"/>
          <w:sz w:val="16"/>
          <w:szCs w:val="16"/>
        </w:rPr>
        <w:softHyphen/>
        <w:t>сотности сохранится на уровне 600 км/ч, а после их включения возрастет до 800 км/ч.</w:t>
      </w:r>
    </w:p>
    <w:p w14:paraId="2EC1A17D" w14:textId="77777777" w:rsidR="00962976" w:rsidRPr="007224C3" w:rsidRDefault="00962976" w:rsidP="007224C3">
      <w:pPr>
        <w:pStyle w:val="Bodytext1"/>
        <w:shd w:val="clear" w:color="auto" w:fill="auto"/>
        <w:spacing w:line="240" w:lineRule="auto"/>
        <w:ind w:firstLine="0"/>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Яковлев выполнил проект доработки Як-7 установкой двух ДМ-4с в полевых условиях, что он рассматривал как пер</w:t>
      </w:r>
      <w:r w:rsidRPr="007224C3">
        <w:rPr>
          <w:rFonts w:ascii="Times New Roman" w:hAnsi="Times New Roman" w:cs="Times New Roman"/>
          <w:color w:val="000000" w:themeColor="text1"/>
          <w:sz w:val="16"/>
          <w:szCs w:val="16"/>
        </w:rPr>
        <w:softHyphen/>
        <w:t>вый ответ на появление у противника большого числа реактивных истребите</w:t>
      </w:r>
      <w:r w:rsidRPr="007224C3">
        <w:rPr>
          <w:rFonts w:ascii="Times New Roman" w:hAnsi="Times New Roman" w:cs="Times New Roman"/>
          <w:color w:val="000000" w:themeColor="text1"/>
          <w:sz w:val="16"/>
          <w:szCs w:val="16"/>
        </w:rPr>
        <w:softHyphen/>
        <w:t>лей до появления своих таких самолетов в серийном производстве. Но разработку Як-7Р он прекратил (17742).</w:t>
      </w:r>
    </w:p>
    <w:p w14:paraId="555D0536" w14:textId="77777777" w:rsidR="00962976" w:rsidRPr="007224C3" w:rsidRDefault="00962976" w:rsidP="007224C3">
      <w:pPr>
        <w:spacing w:after="0" w:line="240" w:lineRule="auto"/>
        <w:jc w:val="both"/>
        <w:rPr>
          <w:rFonts w:ascii="Times New Roman" w:hAnsi="Times New Roman"/>
          <w:color w:val="000000" w:themeColor="text1"/>
          <w:sz w:val="16"/>
          <w:szCs w:val="16"/>
        </w:rPr>
      </w:pPr>
    </w:p>
    <w:p w14:paraId="6C9DC96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мая 1944 г. ведущий летчик С.Н. Анохин выполнил первый полет на Як-7Б с 2хД-4МС с включением "прямоточников". Испытания показали, что максимальная скорость полета Як-7Б с неработающими двигателями Д-4МС у земли составила 460 км/ч, в то время как без подвешенных под крылом ПВРД она достигала 494 км/ч. С работающими Д-4МС скорость машины у земли возрастала до 513 км/ч, то есть всего на 19 км/ч больше по сравнению с "нормальным" Як-7Б. С увеличением высоты выигрыш в скорости должен был заметно возрасти. Кроме того, конструктор двигателей Меркулов предлагал повысить расход топлива до 30 кг/мин, тогда на расчетной высоте 6000…7000 м самолет имел бы максимальную скорость порядка 635…640 км/ч. Напомним однако, что в указанный период времени у серийного Як-3 с поршневым двигателем ВК-105ПФ2 максимальная скорость на высоте 4100 м составляла 646 км/ч… Таким образом, меркуловские ПВРД не давали особых преимуществ истребителю с подобной комбинированной силовой установкой (11407).</w:t>
      </w:r>
    </w:p>
    <w:p w14:paraId="7C45282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42213A6" w14:textId="77777777" w:rsidR="004B3F09" w:rsidRPr="007224C3" w:rsidRDefault="004B3F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15 мая в 1944 году первое включение в полете дополнительных ПВРД на самолете </w:t>
      </w:r>
      <w:hyperlink r:id="rId127" w:tgtFrame="_blank" w:history="1">
        <w:r w:rsidRPr="007224C3">
          <w:rPr>
            <w:rFonts w:ascii="Times New Roman" w:hAnsi="Times New Roman"/>
            <w:color w:val="000000" w:themeColor="text1"/>
            <w:sz w:val="16"/>
            <w:szCs w:val="16"/>
          </w:rPr>
          <w:t xml:space="preserve">«Як-7Б», </w:t>
        </w:r>
      </w:hyperlink>
      <w:r w:rsidRPr="007224C3">
        <w:rPr>
          <w:rFonts w:ascii="Times New Roman" w:hAnsi="Times New Roman"/>
          <w:color w:val="000000" w:themeColor="text1"/>
          <w:sz w:val="16"/>
          <w:szCs w:val="16"/>
        </w:rPr>
        <w:t>С.Н.Анохин. Истребитель «Як-7Б» был оснащен двигателем "М-105ПФ" с мощностью от 1180 до 1260 л.с. Взлетная масса составляла 3010 кг. Вооружение - 20-миллиметровая пушка и два пулемета калибра 12,7 м (14892).</w:t>
      </w:r>
    </w:p>
    <w:p w14:paraId="2A5872B1" w14:textId="77777777" w:rsidR="004B3F09" w:rsidRPr="007224C3" w:rsidRDefault="004B3F09" w:rsidP="007224C3">
      <w:pPr>
        <w:spacing w:after="0" w:line="240" w:lineRule="auto"/>
        <w:jc w:val="both"/>
        <w:rPr>
          <w:rFonts w:ascii="Times New Roman" w:hAnsi="Times New Roman"/>
          <w:color w:val="000000" w:themeColor="text1"/>
          <w:sz w:val="16"/>
          <w:szCs w:val="16"/>
        </w:rPr>
      </w:pPr>
    </w:p>
    <w:p w14:paraId="1E34AA4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мая 1944 бригада НИИ ВВС (Ю.А.Антипов и А.Г.Прошаков и др.) закончила первый этап гос. испытаний Як-3-2 с ВК107А, которые начались 7 февраля 1944. После перерыва из-за поломки они были продолжены с 13 июля по 29 августа (65,187).</w:t>
      </w:r>
    </w:p>
    <w:p w14:paraId="6575EFB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7A0B9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мая 1944 года закончимлся этап госиспытаний Як-3 ВК-107А №2, которые шли с 7 февраля 1944. Ведущими по машине были инженер Г.А. Седов, летчики Ю.А. Антипов и А.Г. Прошаков.</w:t>
      </w:r>
    </w:p>
    <w:p w14:paraId="7D1C282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февраля 1944 года предъявили в НИИ ВВС. 2 же февраля заводской пилот выполнил два полета на проверку работы винта ВИШ-107 (во время заводских испытаний была отмечена тряска винта на полных оборотах мотора). Характеристика винтомоторной группы осталась неизменной, и в НИИ ВВС самолет поступил с винтом АВ-10п-20. Эту машину 22 января 1944 года выкатили на аэродром. На самолете изначально, еще на стадии проектирования и постройки, применили все технические решения, ставшие основой для переделок первого опытного экземпляра машины. Радикальным изменениям подверглись только фонарь кабины пилота, которому придали более обтекаемую форму, и установка вооружения с двумя опытными синхронными пушками Б-20. При этом полетный вес второго прототипа по сравнению с предшественником практически не изменился - 2932 кг. Соответственно одинаковыми были и летные данные. Максимальная скорость у земли Як-3 ВК-107А № 1 до модификации была равной 611 км/ч, а у №2 - 610 км/ч (из-за неблагоприятных метеоусловий "Дублер" был облетан и проверен только на малых высотах). Заводские испытания, проведенные с 25 по 29 января 1944 года, показали, что основные дефекты, выявленные на первом прототипе, устранены и самолет может быть предъявлен на государственные испытания.</w:t>
      </w:r>
    </w:p>
    <w:p w14:paraId="3C3C465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Несмотря на несколько возросший полетный вес (как за счет установки нового винта, так и введения в крыло проти- вофлаттерных грузов), летные данные машины остались неизменными. При боевой мощности мотора (допускалось 3200 оборотов в минуту в течение получаса) максимальная скорость горизонтального полета на второй границе высотности мотора 5750 метров составила 720 км/ч (717 км/ч на высоте 6000 метров у первого прототипа). Если горизонтальная маневренность машины осталась на уровне серийных образцов Як-3, то на вертикалях самолету не стало равных среди отечественных и среди зарубежных истребителей. Достаточно сказать, что за боевой разворот второй опытный экземпляр Як-3 ВК-107А поднимался на 1400-1500 метров.</w:t>
      </w:r>
    </w:p>
    <w:p w14:paraId="6F63550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Таким образом, цель создания истребителя завоевания господства в воздухе можно было бы считать достигнутой, если бы не два обстоятельства. Первое из них - крайне ненадежная работа двигателя ВК- 107А. За время испытаний сменили три мотора из-за разрушения коренных подшипников. При назначенном ресурсе в 50 часов первые два двигателя 337-й и 347-й серий отработали лишь 15 часов 20 минут и 9 часов 20 минут соответственно. Третий мотор 347-й серии с назначенным ресурсом 100 часов, наработал с начала эксплуатации лишь четыре часа (!), из которых в воздухе - 40 минут. Четвертый двигатель успел наработать только 23 часа 34 минуты, прошел в процессе испытаний ремонт с заменой блока и тоже был снят по причине разрушения коренных подшипников. Сильная тряска на пониженных </w:t>
      </w:r>
      <w:r w:rsidRPr="007224C3">
        <w:rPr>
          <w:rFonts w:ascii="Times New Roman" w:hAnsi="Times New Roman"/>
          <w:color w:val="000000" w:themeColor="text1"/>
          <w:sz w:val="16"/>
          <w:szCs w:val="16"/>
        </w:rPr>
        <w:lastRenderedPageBreak/>
        <w:t>оборотах мотора при его дросселировании выше границы высотности, течь масла через переднее уплотнение редуктора, падение давления масла ниже допустимого на высотах более 8000 метров, перегрев воды и масла в наборе высоты при температуре наружного воздуха у земли +30°С, а в горизонтальном полете - при температуре + 15°С. В полетах отмечалось также самопроизвольное изменение наддува в наборе высоты выше установленных для мотора значений (1090 мм рт.ст. на первой и 1120 мм рт. ст. на второй границе высотности против разрешенных 1060 мм рт. ст.) не повлиявшего тем не менее на его нормальную работу.</w:t>
      </w:r>
    </w:p>
    <w:p w14:paraId="50C24DE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Следует заметить, что двигатель ВК- 107А, как и ВК-105ПФ2, работал на бензинах 4Б-78 и 1 Б-95 с октановыми числами 95 и 96.</w:t>
      </w:r>
    </w:p>
    <w:p w14:paraId="4932844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Вторым существенным недостатком явилась неудовлетворительная работа опытных пушек Б-20 и низкая прочность их креплений (были использованы серийные узлы для пулеметов УБС).</w:t>
      </w:r>
    </w:p>
    <w:p w14:paraId="3209AC4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 своем заключении специалисты НИИ ВВС отметили необходимость доводки самолета, и прежде всего силовой установки, до внедрения его в серийное производство. В противном случае исключалась нормальная эксплуатация самолета с поддержанием необходимого уровня боеготовности в строевых частях. </w:t>
      </w:r>
    </w:p>
    <w:p w14:paraId="3823E04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Доводку второго прототипа завершили силами ОКБ и облетали 3 июля 1944 года. Однако на дополнительные государственные испытания, проходившие с 13 июля по 20 августа 1944 года, предъявили модифицированный по типу второй машины Як-3 ВК-107А№1. Принятыми мерами удалось устранить ряд дефектов. Однако основные недостатки: перегрев воды и масла, течь масла из переднего уплотнения редуктора мотора, большие нагрузки на ручку управления от элеронов и руля высоты, недостаточный противокапотажный угол (смещением кабины пилота добились увеличения противокапотажного угла с 19,5 до 23 градусов при требуемых ВВС 26 градусов) и недостаточная дальность радиопередачи с самолета остались неустраненными. Входе испытаний мотор417-й серии из-за ненадежной работы на высоте более 3000 метров заменили двигателем 427-й серии, который работал практически без перебоев, но выше 7700 метров давление топлива на нем падало ниже допустимого уровня.</w:t>
      </w:r>
    </w:p>
    <w:p w14:paraId="535F3F7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моменту окончания испытаний опытного Як-3 В К- 107А еще только-только удалось наладить серийное производство его базовой модели с мотором ВК-105ПФ-2. Не меньшие трудности испытывали и заводы, приступившие к серийному выпуску Як-9У с ВК-107А. Поэтому решение о запуске новой модификации в серийное производство было отложено до конца года (12047).</w:t>
      </w:r>
    </w:p>
    <w:p w14:paraId="0812528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1F4FBE1" w14:textId="77777777" w:rsidR="008B0844" w:rsidRPr="007224C3" w:rsidRDefault="008B084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мая 1944 года в НИИ ВВС был разбит единственный экземпляр знаменитого английского скоростного бомбардировщика «Москито» с заводским номером DK 296, проходившего испытания в нашей стране в НИИ ВВС (19655).</w:t>
      </w:r>
    </w:p>
    <w:p w14:paraId="6E6FC3B9" w14:textId="77777777" w:rsidR="008B0844" w:rsidRPr="007224C3" w:rsidRDefault="008B0844" w:rsidP="007224C3">
      <w:pPr>
        <w:spacing w:after="0" w:line="240" w:lineRule="auto"/>
        <w:jc w:val="both"/>
        <w:rPr>
          <w:rFonts w:ascii="Times New Roman" w:hAnsi="Times New Roman"/>
          <w:color w:val="000000" w:themeColor="text1"/>
          <w:sz w:val="16"/>
          <w:szCs w:val="16"/>
        </w:rPr>
      </w:pPr>
    </w:p>
    <w:p w14:paraId="50B47A01" w14:textId="77777777" w:rsidR="008B0844" w:rsidRPr="007224C3" w:rsidRDefault="008B084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мая 1944 г. Кабанов со штурма</w:t>
      </w:r>
      <w:r w:rsidRPr="007224C3">
        <w:rPr>
          <w:rFonts w:ascii="Times New Roman" w:hAnsi="Times New Roman"/>
          <w:color w:val="000000" w:themeColor="text1"/>
          <w:sz w:val="16"/>
          <w:szCs w:val="16"/>
        </w:rPr>
        <w:softHyphen/>
        <w:t>ном П.И. Переваловым на борту пере</w:t>
      </w:r>
      <w:r w:rsidRPr="007224C3">
        <w:rPr>
          <w:rFonts w:ascii="Times New Roman" w:hAnsi="Times New Roman"/>
          <w:color w:val="000000" w:themeColor="text1"/>
          <w:sz w:val="16"/>
          <w:szCs w:val="16"/>
        </w:rPr>
        <w:softHyphen/>
        <w:t>гонял «Москито» из ЛИИ на аэродром НИИ ВВС, где собирались продолжить испытания. Но на посадке летчик не справился с управлением, бомбарди</w:t>
      </w:r>
      <w:r w:rsidRPr="007224C3">
        <w:rPr>
          <w:rFonts w:ascii="Times New Roman" w:hAnsi="Times New Roman"/>
          <w:color w:val="000000" w:themeColor="text1"/>
          <w:sz w:val="16"/>
          <w:szCs w:val="16"/>
        </w:rPr>
        <w:softHyphen/>
        <w:t>ровщик развернулся влево, сошел с полосы на грунт, снес шасси и пополз на «брюхе». Экипаж не пострадал, но машина была безнадежно повреждена и более не восстанавливалась (19655).</w:t>
      </w:r>
    </w:p>
    <w:p w14:paraId="36B9647C" w14:textId="77777777" w:rsidR="008B0844" w:rsidRPr="007224C3" w:rsidRDefault="008B0844" w:rsidP="007224C3">
      <w:pPr>
        <w:spacing w:after="0" w:line="240" w:lineRule="auto"/>
        <w:jc w:val="both"/>
        <w:rPr>
          <w:rFonts w:ascii="Times New Roman" w:hAnsi="Times New Roman"/>
          <w:color w:val="000000" w:themeColor="text1"/>
          <w:sz w:val="16"/>
          <w:szCs w:val="16"/>
        </w:rPr>
      </w:pPr>
    </w:p>
    <w:p w14:paraId="0150C70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мая 1944 вышел приказ НКАП № 336с:</w:t>
      </w:r>
    </w:p>
    <w:p w14:paraId="12EF690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 организации з-да 273</w:t>
      </w:r>
    </w:p>
    <w:p w14:paraId="059CE81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соответствии с постановлением ГОКО от 29 марта 1944 № 5309с:</w:t>
      </w:r>
    </w:p>
    <w:p w14:paraId="6F80A8A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Организовать на законсервированных площадках з-в 47 и 387 в Ленинграде з-д по изготовлению запчастей к с-м УТ-2 с дальнейшим переводлом его на про-во УТ-2,</w:t>
      </w:r>
    </w:p>
    <w:p w14:paraId="35D4407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Ор-ванный з-д согласно п. 1 настоящего приказа включить в состав действующих предприятий и впредь именовать з-д 273</w:t>
      </w:r>
    </w:p>
    <w:p w14:paraId="2AB9F34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З-д 273 подчинить 11 ГУ</w:t>
      </w:r>
    </w:p>
    <w:p w14:paraId="3AB64FF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Шахурин (1601, 74).</w:t>
      </w:r>
    </w:p>
    <w:p w14:paraId="7F26B5E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1C824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мая 1944 г. на площадке эвакуированных из Ленинграда заводов № 387 (площадка бывшего завода им. Каракозова) и № 47 НКАП приказом № 336с в соответствии с пост. ГКО № 5509с от 29.03.1944 г. в системе 11 ГУ для изготовления запчастей для УТ-2 с переходом в последующем на производство этого самолета был создан Завод № 273 НКАП (Завод № 273 НКАП, МАП, п/я 936, Завод «Техприбор», ГП, АООТ, ОАО «Техприбор» /г. Ленинград ул. Глиняная (1946 г.); ул. Бассейная, 17/ /196084  г. Санкт-Петербург Корпусной пр., 1А (2002 г.); ул. Варшавская, 5А (2004 г.) тел. 296-97-38/).</w:t>
      </w:r>
    </w:p>
    <w:p w14:paraId="5FBFD70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приказам НКАП № 72с от 21.02.1945 г. и № 249с от 15.06.1945 г. на второй площадке завода № 273 (бывший завод им. Каракозова) вновь образовался завод № 794 НКАП.</w:t>
      </w:r>
    </w:p>
    <w:p w14:paraId="5DAA236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приказу № 76с от 26.02.1945 г. в состав завода № 273 влит завод № 499 НКАП (Тюменская обл.).</w:t>
      </w:r>
    </w:p>
    <w:p w14:paraId="631E09A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приказу МАГ1 № 475с от 4.12.1945 г. на площадку завода № 273 в 1946 г. был переведен из Казани завод № 448 МАП вместе с ОКБ. По этому же приказу планировалось объединить эти заводы под № 448, но в итоге был оставлен № 273.</w:t>
      </w:r>
    </w:p>
    <w:p w14:paraId="12652B9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 начала 1946 г. на заводе имелась техдокументация на планер А-2 O.K. Антонова, далее планировалось передать ее на завод № 164 МАП.</w:t>
      </w:r>
    </w:p>
    <w:p w14:paraId="4E45936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приказу № 440с от 21.06.1948 г. с 1.07.1948 г. в состав завода № 273 влит завод № 458 МАП ( г. Ленинград).</w:t>
      </w:r>
    </w:p>
    <w:p w14:paraId="5E357B1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определен ведущим в отрасли по приборам определения запаса и расхода топлива для всех ЛА. Выпускались также приборы для радионавигационных систем «слепой» посадки, авиационные бомбовые прицелы.</w:t>
      </w:r>
    </w:p>
    <w:p w14:paraId="44BFE79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Другим производственным направлением была наземная аппаратура предстартового контроля и запуска космических кораблей.</w:t>
      </w:r>
    </w:p>
    <w:p w14:paraId="112360B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соответствии с пост. СМ СССР № 713-342 от 26.06.1957 г. завод передан в ведение Управления авиационной промышленности ЛенСНХ, в 09.1958 г.- Управления агрегатостроения и приборостроения ЛенСНХ. Пост. ЛенСНХ от 24.03.1960 г. заводу передан завод «Ленприбор», который преобразован в цех № 54 по производству жидкостных счетчиков (или это относится еще к заводу № 448).</w:t>
      </w:r>
      <w:r w:rsidRPr="007224C3">
        <w:rPr>
          <w:rFonts w:ascii="Times New Roman" w:hAnsi="Times New Roman"/>
          <w:color w:val="000000" w:themeColor="text1"/>
          <w:sz w:val="16"/>
          <w:szCs w:val="16"/>
          <w:vertAlign w:val="superscript"/>
        </w:rPr>
        <w:t>ш</w:t>
      </w:r>
      <w:r w:rsidRPr="007224C3">
        <w:rPr>
          <w:rFonts w:ascii="Times New Roman" w:hAnsi="Times New Roman"/>
          <w:color w:val="000000" w:themeColor="text1"/>
          <w:sz w:val="16"/>
          <w:szCs w:val="16"/>
        </w:rPr>
        <w:t xml:space="preserve"> Имел наименование «п/я 936» (1950-е  г.). В 1966 г. переименован в завод «Техприбор».</w:t>
      </w:r>
    </w:p>
    <w:p w14:paraId="154251C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21.01.1975 г. завод «Техприбор» вошел в состав НПО «Сфера», где находился до 10.02.1992 г., а 11.02.1992 г. преобразован в ГП «Техприбор». 23.01.1993 г. преобразовано в АООТ, затем - ОАО «Техприбор». В 2002 г. предприятие вновь входило в ГП «НПО «Сфера», в 2003 г. входило в НПЦ «Технокомплекс», а затем- в концерн «Авионика». По решению правительства № 22-р от 9.01.2004 г. и Указу Президента РФ № 1009 от 4.08.2004 г. вошло в число стратегических оборонных предприятий.</w:t>
      </w:r>
    </w:p>
    <w:p w14:paraId="2C481E7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Работы (1990-е-2005 г.): разработка и изготовление: бортовых комплексов измерения запаса и расхода топлива (в т.ч. криогенного), центровки ЛА, аппаратуры контроля вибрации, бортовых систем контроля и диагностики ГТД, систем контроля количества гидрожидкости, масла и воды, датчиков (уровня, количества, расхода и температуры топлива, масла, гидрожидкости и воды), пьезоэлектрических датчиков вибрации, датчиков наличия водного отстоя в топливе, индикаторов; наземной аппаратуры, систем автоматизации дизелей, топливомеров для АЗС, систем регистации информации; ТИП (магнитофоны, счетчики энергоносителей и др.).</w:t>
      </w:r>
    </w:p>
    <w:p w14:paraId="65C515D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Имелся филиал (2002 г.): /181600  г. Гдов Псковской обл. ул. Ленина, 4 тел. 91300/.</w:t>
      </w:r>
    </w:p>
    <w:p w14:paraId="54E3C0C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«Техприбор» являлся единственным в России (и одним из трех в мире) разработчиком и производителем бортовой аппаратуры измерения вибрации авиадвигателей (2004 г.).</w:t>
      </w:r>
    </w:p>
    <w:p w14:paraId="406887A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Численность персонала (2002 г.)- 1500 чел.</w:t>
      </w:r>
    </w:p>
    <w:p w14:paraId="05293CA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(11.1945 г.)- А.С. Москалев, (-1985 г.-)- О.Ф. Петров. Гендиректор (1993-2005 г.-)- О.Ф. Петров.</w:t>
      </w:r>
    </w:p>
    <w:p w14:paraId="1A08BFD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конструктор (1990-е  г.)- В.В. Коломнин. Гл. конструктор ТН ТИС (2002 г.)- В.В. Коломнин.</w:t>
      </w:r>
    </w:p>
    <w:p w14:paraId="5CB4678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инженер- О.Ф. Петров, (2002 г.)- Ю.В. Маслов.</w:t>
      </w:r>
    </w:p>
    <w:p w14:paraId="0FF4B0B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гендиректора: (2002 г.)- В.В. Коломнин; по финансам, МТО и маркетингу (2002 г.)- Н.М. Степанян; по экономике (2002 г.)- В.М. Петров.</w:t>
      </w:r>
    </w:p>
    <w:p w14:paraId="392CFE7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Начальники цехов: (1959 г.-)- О.Ф. Петров.</w:t>
      </w:r>
    </w:p>
    <w:p w14:paraId="0E2A800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iCs/>
          <w:color w:val="000000" w:themeColor="text1"/>
          <w:sz w:val="16"/>
          <w:szCs w:val="16"/>
        </w:rPr>
        <w:t>Создано:</w:t>
      </w:r>
      <w:r w:rsidRPr="007224C3">
        <w:rPr>
          <w:rFonts w:ascii="Times New Roman" w:hAnsi="Times New Roman"/>
          <w:color w:val="000000" w:themeColor="text1"/>
          <w:sz w:val="16"/>
          <w:szCs w:val="16"/>
        </w:rPr>
        <w:t xml:space="preserve"> датчик вибрации MB; бортовая система контроля двигателя Г1С-90А БСКД90, двигателя ТВ7-117; система управления и индикации топлива СУИТ-334 для Ту-334, СУИТ-148 для Ан-148; комплекс управления распределения топлива и расходом КУТР1-1 для Су-80, КУТР2-1 для миГ-29СМТ; система виброконтроля авиадвигателей ИВ-М; защищенный регистратор полетных данных СДК-8, бортовая унифицированная аппаратура сбора и обработки полетной информации БСОИ (2000-е); переключатель топливных баков ПС1т; система автоматизации и контроля судового дизеля САДЫ для президентского катера «Буревестник», система дистанционного управления судовым дизелем; система контроля уровня топлива СИТ17 для тепловозов;</w:t>
      </w:r>
      <w:r w:rsidRPr="007224C3">
        <w:rPr>
          <w:rFonts w:ascii="Times New Roman" w:hAnsi="Times New Roman"/>
          <w:color w:val="000000" w:themeColor="text1"/>
          <w:sz w:val="16"/>
          <w:szCs w:val="16"/>
          <w:vertAlign w:val="superscript"/>
        </w:rPr>
        <w:t>101</w:t>
      </w:r>
    </w:p>
    <w:p w14:paraId="0F7E8F3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iCs/>
          <w:color w:val="000000" w:themeColor="text1"/>
          <w:sz w:val="16"/>
          <w:szCs w:val="16"/>
        </w:rPr>
        <w:t>Производство</w:t>
      </w:r>
      <w:r w:rsidRPr="007224C3">
        <w:rPr>
          <w:rFonts w:ascii="Times New Roman" w:hAnsi="Times New Roman"/>
          <w:color w:val="000000" w:themeColor="text1"/>
          <w:sz w:val="16"/>
          <w:szCs w:val="16"/>
        </w:rPr>
        <w:t>: магнитофоны: «Астра», «Астра-2 (1962-), -4 (1966-), -5, -205, -206, -207 (1977-), -208, -209С (1979-), -110С, МК-110, МК-111С, М-113С»- всего около 1,5 млн.</w:t>
      </w:r>
    </w:p>
    <w:p w14:paraId="054928C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ОКБ-8, ОКБ-448 МАП, ГКАТ при заводе № 273 МАП, КБ топливно-измерительных систем (КБ ТИС) /г. Ленинград/</w:t>
      </w:r>
    </w:p>
    <w:p w14:paraId="62AEB83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После слияния в 1948 г. заводов № 448 и № 273 ОКБ-448 (ОКБ-8) МАП продолжило работу по прежней тематике при заводе № 273.</w:t>
      </w:r>
    </w:p>
    <w:p w14:paraId="63DE8A0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передачей в 06.1957 г. завода в систему СНХ ОКБ осталось в ведении МАП, а с 12.1946 г.- в ГКАТ.</w:t>
      </w:r>
    </w:p>
    <w:p w14:paraId="6B61D2C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приказу ГКАТ от 3.01.1964 г. Курский филиал ОКБ-149 передан в подчинение ОКБ-448 и стал Курским филиалом ОКБ-448 по разработке топливно-измерительных приборов и аппаратуры управления сбросом тактических грузов. По приказу МАП от 2.02.1968 г. ОКБ вновь передано в подчинение РПКБ и переименовано в Курский филиал приборостроительного бюро.</w:t>
      </w:r>
    </w:p>
    <w:p w14:paraId="22E125B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1970-х  г. ОКБ объединено с заводом. В 1990-е  г. действовало в составе АООТ «Техприбор» как КБ топливно-измерительных систем (КБ ТИС).</w:t>
      </w:r>
    </w:p>
    <w:p w14:paraId="3271BC1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конструктор (1946 г.-)-  Г.А. Винн, В.В. Медведев, О.И. Башнин, (1990-е)- В.В. Коломнин.</w:t>
      </w:r>
    </w:p>
    <w:p w14:paraId="5048D46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iCs/>
          <w:color w:val="000000" w:themeColor="text1"/>
          <w:sz w:val="16"/>
          <w:szCs w:val="16"/>
        </w:rPr>
        <w:t>Создано:</w:t>
      </w:r>
      <w:r w:rsidRPr="007224C3">
        <w:rPr>
          <w:rFonts w:ascii="Times New Roman" w:hAnsi="Times New Roman"/>
          <w:color w:val="000000" w:themeColor="text1"/>
          <w:sz w:val="16"/>
          <w:szCs w:val="16"/>
        </w:rPr>
        <w:t xml:space="preserve"> электросбрасыватель авиабомб: ЭСБР-45, ЭСБР-49М (1949); бензиномер РТР-48 для Ту-14; пневмо-, электрореле (11982).</w:t>
      </w:r>
    </w:p>
    <w:p w14:paraId="150979C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79121D5"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05CBA2C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02F6654"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мая 1944 года вышел приказ № 255с НКБ</w:t>
      </w:r>
    </w:p>
    <w:p w14:paraId="6575A8C3"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соответствии с распоряжением СНК от 12 мая 1944 года № 10469-рс:</w:t>
      </w:r>
    </w:p>
    <w:p w14:paraId="6DD8319B"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Присвоить № 502 химическому заводу НКБ, выделенному из состава завода № 80 НКБ (6016, 71).</w:t>
      </w:r>
    </w:p>
    <w:p w14:paraId="19F3EF50"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E308809"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мая 1944 года вышел приказ № 256с НКБ</w:t>
      </w:r>
    </w:p>
    <w:p w14:paraId="66DF8F0B"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соответствии с распоряжением Совнаркома № 10031-рс от 7 мая 1944 года:</w:t>
      </w:r>
    </w:p>
    <w:p w14:paraId="297F87AB"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Ликвидировать законсервированное строительство завода № 578 (ст. Лая Свердловской ж/д).</w:t>
      </w:r>
    </w:p>
    <w:p w14:paraId="1C846977"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ECEB281"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Использовать для нужд завода № 63 территорию, строения и материальные ценности ликвидируемого строительства завода № 578 (6016, 73).</w:t>
      </w:r>
    </w:p>
    <w:p w14:paraId="7AA2C225"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0FF09FD"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мая 1944 вышло Постановление ГКО № 5898 О восстановлении Подольского и Дарницкого железнодорожных мостов через реку Днепр у г. Киева. (7233, 19-22,23-24).</w:t>
      </w:r>
    </w:p>
    <w:p w14:paraId="632F152F"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04CA9F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мая 1944 вышло Распоряжение ГКО № 5901. Об утверждении плана распределения радиолокационных средств. РГАНИР, Фонд ГКО, д. 254, лл. 73,74 (11012).</w:t>
      </w:r>
    </w:p>
    <w:p w14:paraId="3820D57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EAA690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мая 1944 года - Начало промышленного производства графитовых деталей высокой чистоты (10549).</w:t>
      </w:r>
    </w:p>
    <w:p w14:paraId="4A8B5AB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F237139" w14:textId="77777777" w:rsidR="004B3F09" w:rsidRPr="007224C3" w:rsidRDefault="004B3F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мая 1944 г. ПИСЬМО НКГБ СССР №1789/м ЗАМЕСТИТЕЛЮ ПРЕДСЕДАТЕЛЯ СНК СССР М.Г.ПЕРВУХИНУ О НАПРАВЛЕНИИ РАЗВЕДМАТЕРИАЛОВ</w:t>
      </w:r>
    </w:p>
    <w:p w14:paraId="6DBB7CA2" w14:textId="77777777" w:rsidR="004B3F09" w:rsidRPr="007224C3" w:rsidRDefault="004B3F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Направляю Вам при этом материалы по научной разработке пробле</w:t>
      </w:r>
      <w:r w:rsidRPr="007224C3">
        <w:rPr>
          <w:rFonts w:ascii="Times New Roman" w:hAnsi="Times New Roman"/>
          <w:color w:val="000000" w:themeColor="text1"/>
          <w:sz w:val="16"/>
          <w:szCs w:val="16"/>
        </w:rPr>
        <w:softHyphen/>
        <w:t>мы использования урана как источника энергии.</w:t>
      </w:r>
    </w:p>
    <w:p w14:paraId="4CA94664" w14:textId="77777777" w:rsidR="004B3F09" w:rsidRPr="007224C3" w:rsidRDefault="004B3F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Материалы представляют собой фотокопии подлинных работ веду</w:t>
      </w:r>
      <w:r w:rsidRPr="007224C3">
        <w:rPr>
          <w:rFonts w:ascii="Times New Roman" w:hAnsi="Times New Roman"/>
          <w:color w:val="000000" w:themeColor="text1"/>
          <w:sz w:val="16"/>
          <w:szCs w:val="16"/>
        </w:rPr>
        <w:softHyphen/>
        <w:t>щих американских и английских ученых по вопросам научно-исследо</w:t>
      </w:r>
      <w:r w:rsidRPr="007224C3">
        <w:rPr>
          <w:rFonts w:ascii="Times New Roman" w:hAnsi="Times New Roman"/>
          <w:color w:val="000000" w:themeColor="text1"/>
          <w:sz w:val="16"/>
          <w:szCs w:val="16"/>
        </w:rPr>
        <w:softHyphen/>
        <w:t>вательского и прикладного характера в области этой проблемы. Из них особо ценным для практического использования у нас является проект атомной машины, т. е. уранового котла.</w:t>
      </w:r>
    </w:p>
    <w:p w14:paraId="14FE47C4" w14:textId="77777777" w:rsidR="004B3F09" w:rsidRPr="007224C3" w:rsidRDefault="004B3F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Некоторые фотокопии направляемых материалов плохого качества (около 20%), тем не менее в связи с большой важностью вопроса считаем необходимым направить их хотя бы для частичного использования.</w:t>
      </w:r>
    </w:p>
    <w:p w14:paraId="7A13F115" w14:textId="77777777" w:rsidR="004B3F09" w:rsidRPr="007224C3" w:rsidRDefault="004B3F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приложении дается краткое изложение содержания каждой из работ.</w:t>
      </w:r>
    </w:p>
    <w:p w14:paraId="6A14AC63" w14:textId="77777777" w:rsidR="004B3F09" w:rsidRPr="007224C3" w:rsidRDefault="004B3F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Прошу сообщить, по возможности в ближайшее время, заключение о ценности направляемых материалов2.</w:t>
      </w:r>
    </w:p>
    <w:p w14:paraId="36263240" w14:textId="77777777" w:rsidR="004B3F09" w:rsidRPr="007224C3" w:rsidRDefault="004B3F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Приложение3:12 стр. описи и 192 фотолиста англ[ийского] текста.</w:t>
      </w:r>
    </w:p>
    <w:p w14:paraId="72628462" w14:textId="77777777" w:rsidR="004B3F09" w:rsidRPr="007224C3" w:rsidRDefault="004B3F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Народный комиссар государственной безопасности ССР Меркулов</w:t>
      </w:r>
    </w:p>
    <w:p w14:paraId="487D9A36" w14:textId="77777777" w:rsidR="004B3F09" w:rsidRPr="007224C3" w:rsidRDefault="004B3F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Печатается по: Атомный проект. СССР: Документы и материалы: ВЗт.Т. 1 1938-1945. 4.2. С. 68. (15493).</w:t>
      </w:r>
    </w:p>
    <w:p w14:paraId="1591F824" w14:textId="77777777" w:rsidR="004B3F09" w:rsidRPr="007224C3" w:rsidRDefault="004B3F09" w:rsidP="007224C3">
      <w:pPr>
        <w:spacing w:after="0" w:line="240" w:lineRule="auto"/>
        <w:jc w:val="both"/>
        <w:rPr>
          <w:rFonts w:ascii="Times New Roman" w:hAnsi="Times New Roman"/>
          <w:color w:val="000000" w:themeColor="text1"/>
          <w:sz w:val="16"/>
          <w:szCs w:val="16"/>
        </w:rPr>
      </w:pPr>
    </w:p>
    <w:p w14:paraId="1BE92D7C"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5B82AE8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F6F8CD9" w14:textId="77777777" w:rsidR="004B3F09" w:rsidRPr="007224C3" w:rsidRDefault="004B3F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мая в 1944 году оперативная сводка Совинформбюро:</w:t>
      </w:r>
    </w:p>
    <w:p w14:paraId="357B4610" w14:textId="77777777" w:rsidR="004B3F09" w:rsidRPr="007224C3" w:rsidRDefault="004B3F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15 мая на фронтах существенных изменений не произошло. За 14 мая наши войска подбили и уничтожили 19 немецких танков. В воздушных боях и огнём зенитной артиллерии сбито 33 самолёта противника.</w:t>
      </w:r>
    </w:p>
    <w:p w14:paraId="553B967F" w14:textId="77777777" w:rsidR="004B3F09" w:rsidRPr="007224C3" w:rsidRDefault="004B3F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Бомбардировка нашей авиацией железнодорожных узлов Рава-Русская, Стрый, Двинск</w:t>
      </w:r>
    </w:p>
    <w:p w14:paraId="6A09794D" w14:textId="77777777" w:rsidR="004B3F09" w:rsidRPr="007224C3" w:rsidRDefault="004B3F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ночь на 15 мая наша авиация дальнего действия бомбардировала воинские эшелоны противника на железнодорожных узлах Рава-Русская (северо-западнее города Львов), Стрый (южнее города Львов), Двинск.</w:t>
      </w:r>
    </w:p>
    <w:p w14:paraId="087F5FC9" w14:textId="77777777" w:rsidR="004B3F09" w:rsidRPr="007224C3" w:rsidRDefault="004B3F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результате бомбардировки на железнодорожном узле Рава-Русская возникло 8 пожаров, из них один пожар большого размера. В центральной части узла горело два железнодорожных эшелона. Среди пожаров наблюдением отмечено несколько сильных взрывов. Наши самолёты пушечно-пулемётным огнём обстреляли эшелоны противника, подходившие к Рава-Русская и находившиеся на перегонах и промежуточных станциях. На станции Ухнов создано три очага пожаров, сопровождавшихся взрывами; на перегоне восточнее этой станции подожжён железнодорожный эшелон; на станцииДобросин прямым попаданием бомбы взорван один эшелон; разбито и подожжено несколько составов на других станциях вблизи Рава-Русская. Такой же интенсивной бомбардировке был подвергнут и железнодорожный узел Стрый.</w:t>
      </w:r>
    </w:p>
    <w:p w14:paraId="198A4936" w14:textId="77777777" w:rsidR="004B3F09" w:rsidRPr="007224C3" w:rsidRDefault="004B3F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железнодорожном узле Двинск бомбардировкой вызваны многочисленные пожары. Горели вагоны, платформы и военные склады противника. Пожары сопровождались взрывами.</w:t>
      </w:r>
    </w:p>
    <w:p w14:paraId="69275004" w14:textId="77777777" w:rsidR="004B3F09" w:rsidRPr="007224C3" w:rsidRDefault="004B3F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Один наш самолёт не вернулся на свой аэродром.»</w:t>
      </w:r>
    </w:p>
    <w:p w14:paraId="24359A86" w14:textId="77777777" w:rsidR="004B3F09" w:rsidRPr="007224C3" w:rsidRDefault="004B3F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Удар авиации флота по судам противника в районе порта Киркинес:</w:t>
      </w:r>
    </w:p>
    <w:p w14:paraId="3775BDD4" w14:textId="77777777" w:rsidR="004B3F09" w:rsidRPr="007224C3" w:rsidRDefault="004B3F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ночь на 14 мая воздушной разведкой на севере Норвегии в районе порта Киркинес был обнаружен конвой противника в составе 16 транспортов и 25 кораблей охранения. Наша авиация бомбардировала эти суда противника. В результате удара потоплены три немецких транспорта общим водоизмещением до 19 тысяч тонн, самоходная баржа, одно вспомогательное судно и сторожевой катер. Три транспорта противника подожжены, причём один из них выбросился на берег. Кроме того, нанесены повреждения двум другим транспортам и кораблям охранения.»</w:t>
      </w:r>
    </w:p>
    <w:p w14:paraId="3B003BDE" w14:textId="77777777" w:rsidR="004B3F09" w:rsidRPr="007224C3" w:rsidRDefault="004B3F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«Юго-восточнее города Станислав немецкий батальон горных стрелков атаковал наши позиции. Вначале гитлеровцам удалось потеснить передовое охранение и занять небольшую высоту. Бойцы Н-ской части контрударом выбили немцев с высоты и полностью восстановили положение. На поле боя осталось до 100 вражеских трупов и оружие, брошенное противником. Рано утром немецкие самолёты пытались бомбить передний край нашей обороны. Зенитчики майора Безрукова и гвардии подполковника Белова метким огнём сбили 10 вражеских самолётов. Остальные немецкие бомбардировщики были рассеяны и не допущены к цели. Некоторое время спустя в этом же районе снова появилась группа «Юнкерсов». Советские зенитчики успешно отразили и эту воздушную атаку, уничтожив еще 3 самолёта противника.</w:t>
      </w:r>
    </w:p>
    <w:p w14:paraId="130582ED" w14:textId="77777777" w:rsidR="004B3F09" w:rsidRPr="007224C3" w:rsidRDefault="004B3F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Северо-западнее города Тирасполь наши части в целях улучшения своих позиций атаковали противника, занимавшего плацдарм на левом берегу Днестра. В результате боя гитлеровцы были сброшены в реку. Уничтожено не менее батальона пехоты противника. Много немцев утонуло в реке. Захвачены трофеи и пленные.</w:t>
      </w:r>
    </w:p>
    <w:p w14:paraId="557C7851" w14:textId="77777777" w:rsidR="004B3F09" w:rsidRPr="007224C3" w:rsidRDefault="004B3F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Группа партизан-разведчиков из отряда, действующего в западных районах Калининской области, ночью проникла на железнодорожную станцию. Разведчики незаметно подобрались к эшелону, стоявшему у разгрузочной площадки, и подожгли его. Сгорело несколько вагонов и взорвался штабель артиллерийских снарядов, находившийся на разгрузочной площадке. С 24 апреля по 1 мая калининские партизаны пустили под откос 14 железнодорожных эшелонов противника. Во время крушений разбиты 9 паровозов и 90 вагонов.</w:t>
      </w:r>
    </w:p>
    <w:p w14:paraId="23209A70" w14:textId="77777777" w:rsidR="004B3F09" w:rsidRPr="007224C3" w:rsidRDefault="004B3F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Участившиеся факты перехода венгерских солдат на сторону Красной Армии не на шутку всполошили будапештских наёмников Гитлера. За последнее время во всех венгерских подразделениях, действующих на советско-германском фронте, учреждены жандармские группы. Пленный солдат 7 роты 24 полка 24 венгерской пехотной дивизии Василий Круп рассказал: «В каждой роте теперь имеется по 5 жандармов, которые следят за поведением солдат. Во время атаки они идут за боевыми порядками. При отступлении или попытке солдат перейти на сторону Красной Армии жандармы открывают огонь».</w:t>
      </w:r>
    </w:p>
    <w:p w14:paraId="34D17A74" w14:textId="77777777" w:rsidR="004B3F09" w:rsidRPr="007224C3" w:rsidRDefault="004B3F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Пленный жандарм 3 роты 3 батальона 1 венгерской горно-стрелковой бригады Дердь рассказал: «В марте меня послали на курсы полевых жандармов в город Рахо. На курсы съехалось по пяти солдат или ефрейторов от каждой роты 1 горнострелковой бригады. После окончания курсов нас направили на фронт. Командир полевой жандармерии находится при штабе батальона. Нам предоставлено право расстреливать солдат без всякого следствия и суда».</w:t>
      </w:r>
    </w:p>
    <w:p w14:paraId="63537DB8" w14:textId="77777777" w:rsidR="004B3F09" w:rsidRPr="007224C3" w:rsidRDefault="004B3F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Венгерские жандармы явно не справляются с возложенными на них обязанностями. Венгерские солдаты, не желающие сражаться за Гитлера, группами и в одиночку сдаются в плен. Продажной правящей клике Венгрии, очевидно, придётся резко увеличить и без того раздутые штаты жандармерии и приставить к каждому венгерскому солдату по крайней мере одного-двух жандармов.» (14892).</w:t>
      </w:r>
    </w:p>
    <w:p w14:paraId="150AE3EC" w14:textId="77777777" w:rsidR="004B3F09" w:rsidRPr="007224C3" w:rsidRDefault="004B3F09" w:rsidP="007224C3">
      <w:pPr>
        <w:spacing w:after="0" w:line="240" w:lineRule="auto"/>
        <w:jc w:val="both"/>
        <w:rPr>
          <w:rFonts w:ascii="Times New Roman" w:hAnsi="Times New Roman"/>
          <w:color w:val="000000" w:themeColor="text1"/>
          <w:sz w:val="16"/>
          <w:szCs w:val="16"/>
        </w:rPr>
      </w:pPr>
    </w:p>
    <w:p w14:paraId="5DD693A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мая 1944 командующий ВВС в директиве потребовал от командующих авиачастями прекратить постановку задач ак и ад РВГК на один вылет и приказал ставить задачи на период (340,161).</w:t>
      </w:r>
    </w:p>
    <w:p w14:paraId="0BEC1D8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34A68A"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Жизнь и внутренняя политика:</w:t>
      </w:r>
    </w:p>
    <w:p w14:paraId="0AE603A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527F451" w14:textId="77777777" w:rsidR="001E0415" w:rsidRPr="007224C3" w:rsidRDefault="001E041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мая 1944. Открылась для пассажиров станция метро "Электрозаводская" (18692).</w:t>
      </w:r>
    </w:p>
    <w:p w14:paraId="58D4938D" w14:textId="77777777" w:rsidR="001E0415" w:rsidRPr="007224C3" w:rsidRDefault="001E0415" w:rsidP="007224C3">
      <w:pPr>
        <w:spacing w:after="0" w:line="240" w:lineRule="auto"/>
        <w:jc w:val="both"/>
        <w:rPr>
          <w:rFonts w:ascii="Times New Roman" w:hAnsi="Times New Roman"/>
          <w:color w:val="000000" w:themeColor="text1"/>
          <w:sz w:val="16"/>
          <w:szCs w:val="16"/>
        </w:rPr>
      </w:pPr>
    </w:p>
    <w:p w14:paraId="6E2D770A"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мая 1944 вышло Постановление ГКО № 5899 О мобилизации местного населения и гужтранспорта на строительство полевых оборонительных рубежей. (7233, 25-26).</w:t>
      </w:r>
    </w:p>
    <w:p w14:paraId="613CAD45"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FD02CF8"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15 марта 1944 вышло Постановление ГКО № 5900 О заготовке, вывозке и завозе дров в г. Москву водным транспортом и по железным дорогам на отопительный сезон 1944/45 г. (7233, 27-43,44-72).</w:t>
      </w:r>
    </w:p>
    <w:p w14:paraId="205A1E6E"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C4E310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мая 1944 умер патриарх Сергий и его хоронили с почестями (3908,369).</w:t>
      </w:r>
    </w:p>
    <w:p w14:paraId="1EBB0BC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BF4994"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7224C3">
        <w:rPr>
          <w:rFonts w:ascii="Times New Roman" w:hAnsi="Times New Roman"/>
          <w:i/>
          <w:iCs/>
          <w:color w:val="000000" w:themeColor="text1"/>
          <w:sz w:val="16"/>
          <w:szCs w:val="16"/>
        </w:rPr>
        <w:t>За</w:t>
      </w:r>
      <w:r w:rsidRPr="007224C3">
        <w:rPr>
          <w:rFonts w:ascii="Times New Roman" w:hAnsi="Times New Roman"/>
          <w:i/>
          <w:iCs/>
          <w:color w:val="000000" w:themeColor="text1"/>
          <w:sz w:val="16"/>
          <w:szCs w:val="16"/>
          <w:lang w:val="en-US"/>
        </w:rPr>
        <w:t xml:space="preserve"> </w:t>
      </w:r>
      <w:r w:rsidRPr="007224C3">
        <w:rPr>
          <w:rFonts w:ascii="Times New Roman" w:hAnsi="Times New Roman"/>
          <w:i/>
          <w:iCs/>
          <w:color w:val="000000" w:themeColor="text1"/>
          <w:sz w:val="16"/>
          <w:szCs w:val="16"/>
        </w:rPr>
        <w:t>рубежом</w:t>
      </w:r>
      <w:r w:rsidRPr="007224C3">
        <w:rPr>
          <w:rFonts w:ascii="Times New Roman" w:hAnsi="Times New Roman"/>
          <w:i/>
          <w:iCs/>
          <w:color w:val="000000" w:themeColor="text1"/>
          <w:sz w:val="16"/>
          <w:szCs w:val="16"/>
          <w:lang w:val="en-US"/>
        </w:rPr>
        <w:t>:</w:t>
      </w:r>
    </w:p>
    <w:p w14:paraId="2D76716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5379B87B" w14:textId="77777777" w:rsidR="00DD3D22" w:rsidRPr="007224C3" w:rsidRDefault="00DD3D22"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15 мая 1944 выполняется первый из 16 специальных трансатлантических перелетов для доставки системы морского траления в Соединенное Королевство для использования в предстоящем вторжении в Нормандию. Когда поставки будут завершены 23 мая, самолет доставит 165 000 фунтов (74 844 кг) оборудования (29373).</w:t>
      </w:r>
    </w:p>
    <w:p w14:paraId="7FA72F81" w14:textId="77777777" w:rsidR="00DD3D22" w:rsidRPr="007224C3" w:rsidRDefault="00DD3D22" w:rsidP="007224C3">
      <w:pPr>
        <w:spacing w:after="0" w:line="240" w:lineRule="auto"/>
        <w:jc w:val="both"/>
        <w:rPr>
          <w:rFonts w:ascii="Times New Roman" w:hAnsi="Times New Roman"/>
          <w:color w:val="0070C0"/>
          <w:sz w:val="16"/>
          <w:szCs w:val="16"/>
        </w:rPr>
      </w:pPr>
    </w:p>
    <w:p w14:paraId="33E976E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May 15th, 1944: In Italy, German troops begin withdrawing from the Gustav Line to new positions, the Adolf Hitler or Dora Line, 30 miles S of Rome (3819).</w:t>
      </w:r>
    </w:p>
    <w:p w14:paraId="1E843B4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1E2590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May 15 1944 Germans withdraw to Adolf Hitler Line (1050).</w:t>
      </w:r>
    </w:p>
    <w:p w14:paraId="737E134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6B7157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мая 1944 немцы были отброшены к Линии А.Гитлера (1050).</w:t>
      </w:r>
    </w:p>
    <w:p w14:paraId="78BF3B6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5637E7"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мая 1944 немецкие власти прекратили движение всех гражданских поездов по Франции (4962).</w:t>
      </w:r>
    </w:p>
    <w:p w14:paraId="15AB8B56"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10D23BA"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мая 1944 союзниками окончательно утвержден план вторжения в Нормандию (4962).</w:t>
      </w:r>
    </w:p>
    <w:p w14:paraId="20208D55"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BDACBF9"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мая 1944 фашисты начали депортацию венгерских евреев в Освенцим (4962).</w:t>
      </w:r>
    </w:p>
    <w:p w14:paraId="33CFDDFC"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883CDCF"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037B600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F20DB7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середины и до конца мая 1944 года 72 ОГвТТП в составе 18А, вооруженный ИС-2 первого выпуска, по приказу Ставки ВГК вел оборонительные боевые действия по отражению контратак противника юго-восточнее г. Станислав. (3862).</w:t>
      </w:r>
    </w:p>
    <w:p w14:paraId="1A90510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81497E"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53ED395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EBDC54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мая 1944 появилась запись из донесения военпреда ГУ ИАС ВВС КА в ЛИИ НКАП по состоянию на 20 апреля 1944:</w:t>
      </w:r>
    </w:p>
    <w:p w14:paraId="614511B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В ЛИИ закончен 1-й этап испытаний Ил-2 N 303316 производства завода 30.</w:t>
      </w:r>
    </w:p>
    <w:p w14:paraId="31C6C30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Самолет Ил-2 N 303316 имеет деревянное крыло с увеличенной стреловидностью крыла (на 6 гр.) и элероны с аэродинамической компенсацией 27% (у серийных самолетов аэродинамическая компенсация составляла 22,5%).</w:t>
      </w:r>
    </w:p>
    <w:p w14:paraId="31339F1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p w14:paraId="246AB86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Вес самолета при номинальной нагрузке - 6185_кг</w:t>
      </w:r>
    </w:p>
    <w:p w14:paraId="2D32189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Центровка самолета сместилась вперед за счет увеличения стреловидности крыла и равна 29,6% САХ (шасси выпущены).</w:t>
      </w:r>
    </w:p>
    <w:p w14:paraId="75E667B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Максимальная скорость равна: у земли - 400 км/час, на границе высотности (1200_м) - 415 км/час</w:t>
      </w:r>
    </w:p>
    <w:p w14:paraId="2326CCC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Время набора высоты 1000_м равно 2 мин.</w:t>
      </w:r>
    </w:p>
    <w:p w14:paraId="228A9F6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ЛИИ НКАП рекомендовал внедрить в серийное производство мероприятия, повышающие максимальную скорость самолета Ил-2 (462,46).</w:t>
      </w:r>
    </w:p>
    <w:p w14:paraId="3B10D86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 донесения военпреда завода 18 по состоянию на 20 апреля 1944:</w:t>
      </w:r>
    </w:p>
    <w:p w14:paraId="1049C50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Принято военпредом 28 самолетов с увеличенной стреловидностью крыла</w:t>
      </w:r>
    </w:p>
    <w:p w14:paraId="791945F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Со 103 серии все 100% самолетов будут выпускаться с крылом с увеличенной стреловидностью (на сегодняшний день заканчивается 100 серия) (462,47).</w:t>
      </w:r>
    </w:p>
    <w:p w14:paraId="599DB7B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1944 г заводами 18, 1 и 30 было поставил 7377 Ил-2 с металлическими крыльями, а завод 1 выпускал также Ил-2 и с деревянными крыльями (493).</w:t>
      </w:r>
    </w:p>
    <w:p w14:paraId="129E077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90BF6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мая 1944 Нач. ЛИИ А.В.Чесалов направил в НКАП А.И.Ш. письмо N сл-11-585:</w:t>
      </w:r>
    </w:p>
    <w:p w14:paraId="730C09E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"Представляю отчет по результатам гос. испытаний и доводки системы НГ 1-й зоны от выхлопа мотора на самолете Ил-2 N 1873370 с АМ-38Ф." (2492).</w:t>
      </w:r>
    </w:p>
    <w:p w14:paraId="2FE54FF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3A920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мая 1944 года временно прекращены государственные испытания опытного самолета Су-6 с мотором АМ-42, конструкции Сухого - по причине ненормальной работы мотора, расход масла которого превышает допустимый предел (1821).</w:t>
      </w:r>
    </w:p>
    <w:p w14:paraId="6100C65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C619D2" w14:textId="77777777" w:rsidR="00962976" w:rsidRPr="007224C3" w:rsidRDefault="00962976"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16 мая 1944 испытания Су-6 АМ-42 с пушками ВЯ, которые шли с 28 апреля 1944, были приостановлены вследствие совершенно ненормальной работы мо</w:t>
      </w:r>
      <w:r w:rsidRPr="007224C3">
        <w:rPr>
          <w:color w:val="000000" w:themeColor="text1"/>
          <w:sz w:val="16"/>
          <w:szCs w:val="16"/>
        </w:rPr>
        <w:softHyphen/>
        <w:t>тора. Всего за это время удалось выполнить 17 по</w:t>
      </w:r>
      <w:r w:rsidRPr="007224C3">
        <w:rPr>
          <w:color w:val="000000" w:themeColor="text1"/>
          <w:sz w:val="16"/>
          <w:szCs w:val="16"/>
        </w:rPr>
        <w:softHyphen/>
        <w:t>летов с общим налетом 6 ч 5 мин (17500).</w:t>
      </w:r>
    </w:p>
    <w:p w14:paraId="4BD99728" w14:textId="77777777" w:rsidR="00962976" w:rsidRPr="007224C3" w:rsidRDefault="00962976" w:rsidP="007224C3">
      <w:pPr>
        <w:spacing w:after="0" w:line="240" w:lineRule="auto"/>
        <w:jc w:val="both"/>
        <w:rPr>
          <w:rFonts w:ascii="Times New Roman" w:hAnsi="Times New Roman"/>
          <w:color w:val="000000" w:themeColor="text1"/>
          <w:sz w:val="16"/>
          <w:szCs w:val="16"/>
        </w:rPr>
      </w:pPr>
    </w:p>
    <w:p w14:paraId="7588BBC2" w14:textId="77777777" w:rsidR="00962976" w:rsidRPr="007224C3" w:rsidRDefault="0096297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мая 1944 начавшиеся 28 апреля 1944 испытания Су-6 с ВЯ, но уже были приостановлены. После получения с завода № 24 другого экземпляра мотора АМ-42 испытания самолета предполагалось продолжить.</w:t>
      </w:r>
    </w:p>
    <w:p w14:paraId="199806B4" w14:textId="77777777" w:rsidR="00962976" w:rsidRPr="007224C3" w:rsidRDefault="0096297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этому времени успешно закончились государственные испытания штурмовика-бомбардировщика Ил-8 с АМ-42 и подходили к завершению испытания штурмовика Ил-10 с АМ-42. Оба самолета по летным данным были близки к самолету Су-6 АМ-42.</w:t>
      </w:r>
    </w:p>
    <w:p w14:paraId="7845D95D" w14:textId="77777777" w:rsidR="00962976" w:rsidRPr="007224C3" w:rsidRDefault="0096297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этих условиях нарком авиапрома А. И. Шахурин без согласования с командованием ВВС КА дает указание о развертывании на заводе № 18 серийного выпуска Ил-8 с АМ-42, как имеющего меньшие технические риски при организации массового производства. Соответствующий приказ директор завода А. А. Белянский отдал 18 мая.</w:t>
      </w:r>
    </w:p>
    <w:p w14:paraId="2AB0CAE9" w14:textId="77777777" w:rsidR="00962976" w:rsidRPr="007224C3" w:rsidRDefault="0096297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Несмотря на плохо работающий мотор, летные данные оказались заметно лучше, чем у Ил-8 АМ-42. По устойчивости, управляемости, маневренности и простоте посадки самолет оценивался достаточно высоко (выше, чем Ил-8). После замены 37-мм пушек 11П пушками ВЯ калибра 23 мм вес нормальной бомбовой нагрузки увеличился с 400 до 600 кг (стал как у Ил-8). Ракетное оружие осталось без изменений – 6 РО-132 или РО-82 (на Ил-8 ракетное оружие не предусматривалось).</w:t>
      </w:r>
    </w:p>
    <w:p w14:paraId="5B650584" w14:textId="77777777" w:rsidR="00962976" w:rsidRPr="007224C3" w:rsidRDefault="0096297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Таким образом, сложилась весьма непростая ситуация. Несмотря на успешные в целом государственные испытания Ил-8 АМ-42 и положительное заключение НИИ ВВС, окончательное решение командования ВВС КА по этому самолету еще не оформилось («ни штурмовик, ни бомбардировщик»). Больший интерес все же представлял Су-6, как наиболее полно отвечающий требованиям к самолету непосредственной поддержки войск. Однако он только с 28 апреля начал летать по программе государственных испытаний, и окончательные результаты еще не получены. К тому же в стадии завершения находились заводские летные испытания опытного штурмовика Ил-10 АМ-42 (истребитель Ил-1 в двухместном штурмовом варианте). По сведениям Ильюшина и военпреда на заводе № 240 инженер-майора Григорьева, его летные данные были также высокими. Очевидно, следовало не торопиться и не принимать скоропалительных решений (17490).</w:t>
      </w:r>
    </w:p>
    <w:p w14:paraId="4D916D9F" w14:textId="77777777" w:rsidR="00962976" w:rsidRPr="007224C3" w:rsidRDefault="00962976" w:rsidP="007224C3">
      <w:pPr>
        <w:spacing w:after="0" w:line="240" w:lineRule="auto"/>
        <w:jc w:val="both"/>
        <w:rPr>
          <w:rFonts w:ascii="Times New Roman" w:eastAsia="Times New Roman" w:hAnsi="Times New Roman"/>
          <w:color w:val="000000" w:themeColor="text1"/>
          <w:sz w:val="16"/>
          <w:szCs w:val="16"/>
          <w:lang w:eastAsia="ru-RU"/>
        </w:rPr>
      </w:pPr>
    </w:p>
    <w:p w14:paraId="5F27505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мая 1944 года зам. начальника 7-го гл. управления НКАП В.Н. Алексеев писал письмо Шахурину.</w:t>
      </w:r>
    </w:p>
    <w:p w14:paraId="024202C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Справка</w:t>
      </w:r>
    </w:p>
    <w:p w14:paraId="3972739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 мероприятиях по улучшению летных качеств самолета</w:t>
      </w:r>
    </w:p>
    <w:p w14:paraId="76C8A6F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ЛА-7 с мотором АШ-82ФН</w:t>
      </w:r>
    </w:p>
    <w:p w14:paraId="0ABA5D6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Ла-7 с мотором АШ-82ФН, прошедший гос. испытания в феврале-марте с.г. в НИИ ВВС, показал следующие летные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5106D0" w:rsidRPr="007224C3" w14:paraId="506C7C4A" w14:textId="77777777">
        <w:tc>
          <w:tcPr>
            <w:tcW w:w="5636" w:type="dxa"/>
          </w:tcPr>
          <w:p w14:paraId="2A9DDBB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Максимальную горизонтальную скорость </w:t>
            </w:r>
          </w:p>
        </w:tc>
        <w:tc>
          <w:tcPr>
            <w:tcW w:w="5636" w:type="dxa"/>
          </w:tcPr>
          <w:p w14:paraId="05029DC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F29104B" w14:textId="77777777">
        <w:tc>
          <w:tcPr>
            <w:tcW w:w="5636" w:type="dxa"/>
          </w:tcPr>
          <w:p w14:paraId="6CE9134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 земли при Рк=1015м</w:t>
            </w:r>
          </w:p>
        </w:tc>
        <w:tc>
          <w:tcPr>
            <w:tcW w:w="5636" w:type="dxa"/>
          </w:tcPr>
          <w:p w14:paraId="44954FF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597 км/час</w:t>
            </w:r>
          </w:p>
        </w:tc>
      </w:tr>
      <w:tr w:rsidR="005106D0" w:rsidRPr="007224C3" w14:paraId="2CECC351" w14:textId="77777777">
        <w:tc>
          <w:tcPr>
            <w:tcW w:w="5636" w:type="dxa"/>
          </w:tcPr>
          <w:p w14:paraId="5562E01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первой границе высотности 3250 м</w:t>
            </w:r>
          </w:p>
        </w:tc>
        <w:tc>
          <w:tcPr>
            <w:tcW w:w="5636" w:type="dxa"/>
          </w:tcPr>
          <w:p w14:paraId="4D3CB4B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670 км/час</w:t>
            </w:r>
          </w:p>
        </w:tc>
      </w:tr>
      <w:tr w:rsidR="005106D0" w:rsidRPr="007224C3" w14:paraId="656DBE12" w14:textId="77777777">
        <w:tc>
          <w:tcPr>
            <w:tcW w:w="5636" w:type="dxa"/>
          </w:tcPr>
          <w:p w14:paraId="120DCC2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второй границе высотности 6000 м</w:t>
            </w:r>
          </w:p>
        </w:tc>
        <w:tc>
          <w:tcPr>
            <w:tcW w:w="5636" w:type="dxa"/>
          </w:tcPr>
          <w:p w14:paraId="365E945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680 км/час</w:t>
            </w:r>
          </w:p>
        </w:tc>
      </w:tr>
      <w:tr w:rsidR="005106D0" w:rsidRPr="007224C3" w14:paraId="3B1F2E10" w14:textId="77777777">
        <w:tc>
          <w:tcPr>
            <w:tcW w:w="5636" w:type="dxa"/>
          </w:tcPr>
          <w:p w14:paraId="3E21AB0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высоте 5000 м</w:t>
            </w:r>
          </w:p>
        </w:tc>
        <w:tc>
          <w:tcPr>
            <w:tcW w:w="5636" w:type="dxa"/>
          </w:tcPr>
          <w:p w14:paraId="2CAB1A5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661 км/час</w:t>
            </w:r>
          </w:p>
        </w:tc>
      </w:tr>
      <w:tr w:rsidR="005106D0" w:rsidRPr="007224C3" w14:paraId="3449B107" w14:textId="77777777">
        <w:tc>
          <w:tcPr>
            <w:tcW w:w="5636" w:type="dxa"/>
          </w:tcPr>
          <w:p w14:paraId="3636F23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Время набора высоты 5000 м</w:t>
            </w:r>
          </w:p>
        </w:tc>
        <w:tc>
          <w:tcPr>
            <w:tcW w:w="5636" w:type="dxa"/>
          </w:tcPr>
          <w:p w14:paraId="74F69F4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4,45 мин.</w:t>
            </w:r>
          </w:p>
        </w:tc>
      </w:tr>
    </w:tbl>
    <w:p w14:paraId="0A19169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сравнению с самолетом Ла-5 с мотором АШ-82ФН (дублер), проходившим испытания в апреле 1943 года и принятым по своим летным данным за образец для серии в 1943 году, самолет Ла-7 имеет большую максимальную скорость</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5106D0" w:rsidRPr="007224C3" w14:paraId="381D7EBA" w14:textId="77777777">
        <w:tc>
          <w:tcPr>
            <w:tcW w:w="3757" w:type="dxa"/>
          </w:tcPr>
          <w:p w14:paraId="7F8539E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 земли</w:t>
            </w:r>
          </w:p>
        </w:tc>
        <w:tc>
          <w:tcPr>
            <w:tcW w:w="3757" w:type="dxa"/>
          </w:tcPr>
          <w:p w14:paraId="350C68C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35 км/час</w:t>
            </w:r>
          </w:p>
        </w:tc>
      </w:tr>
      <w:tr w:rsidR="005106D0" w:rsidRPr="007224C3" w14:paraId="501EC1B5" w14:textId="77777777">
        <w:tc>
          <w:tcPr>
            <w:tcW w:w="3757" w:type="dxa"/>
          </w:tcPr>
          <w:p w14:paraId="5E9381E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на первой границе высотности</w:t>
            </w:r>
          </w:p>
        </w:tc>
        <w:tc>
          <w:tcPr>
            <w:tcW w:w="3757" w:type="dxa"/>
          </w:tcPr>
          <w:p w14:paraId="5BEA8C8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44 км/час</w:t>
            </w:r>
          </w:p>
        </w:tc>
      </w:tr>
      <w:tr w:rsidR="005106D0" w:rsidRPr="007224C3" w14:paraId="5506A520" w14:textId="77777777">
        <w:tc>
          <w:tcPr>
            <w:tcW w:w="3757" w:type="dxa"/>
          </w:tcPr>
          <w:p w14:paraId="46FA175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второй границе высотности</w:t>
            </w:r>
          </w:p>
        </w:tc>
        <w:tc>
          <w:tcPr>
            <w:tcW w:w="3757" w:type="dxa"/>
          </w:tcPr>
          <w:p w14:paraId="035E559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32 км/час</w:t>
            </w:r>
          </w:p>
        </w:tc>
      </w:tr>
    </w:tbl>
    <w:p w14:paraId="7AF98E9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Время набора высоты 5000 м сократилось на 0,25 мин.</w:t>
      </w:r>
    </w:p>
    <w:p w14:paraId="52E0527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сравнению с серийными самолетами Ла-5, выпущенными за последние месяцы и имеющими несколько ухудшенные летные данные по сравнению с образцом самолета Ла-5, проходившим испытания в апреле 1943 года, самолет Ла-7 обладает еще большими преимуществами в скорости и скороподъемности.</w:t>
      </w:r>
    </w:p>
    <w:p w14:paraId="02C91CD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Улучшение летных качеств самолета Ла-7 достигнуто за счет введения ряда конструктивных переделок, значительно снизивших лобовое сопротивление самолета. Основными из них являются:</w:t>
      </w:r>
    </w:p>
    <w:p w14:paraId="78651E8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Улучшения системы дефлекторов, выразившиеся в герметизации ее и уменьшении зазоров между дефлекторами и цилиндрами мотора, что дало значительное уменьшение расхода воздуха, проходящего через капот мотора. Как показали исследования ЦАГИ в аэродинамической трубе Т=101, проведенное улучшение дефлектирования увеличивает максимальную скорость, примерно, на 10 км/час.</w:t>
      </w:r>
    </w:p>
    <w:p w14:paraId="5A501AF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Установка винта ВИШ-105В-4 с "Махоустойчивыми" профилями лопастей, разработанными ЦАГИ. По данным испытаний ЛИИ применение этих лопастей увеличивает скорость самолета, примерно, на 11 км/час.</w:t>
      </w:r>
    </w:p>
    <w:p w14:paraId="4E289B3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Перенос всасывающего патрубка с капота мотора в носок центроплана, снизивший гидравлические потери во внутренних каналах.</w:t>
      </w:r>
    </w:p>
    <w:p w14:paraId="06D6E95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Установка масляного радиатора под фюзеляжем за 5 шпангоутом в туннеле улучшенной аэродинамической формы, имеющем специальный желоб для отвода наиболее заторможенной части воздуха от входа в туннель.</w:t>
      </w:r>
    </w:p>
    <w:p w14:paraId="7DC1909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Уменьшение размеров боковых створок капота и удаление их от поверхности центроплана. Это мероприятие улучшило обтекание центральной части крыла и уничтожило преждевременный срыв потока воздуха, имевшийся ранее. У самолета Ла-7 срыв потока, по испытаниям ЦАГИ, начинается только на углах 20-22 градуса, что очень существенно для маневренности самолета.</w:t>
      </w:r>
    </w:p>
    <w:p w14:paraId="05D47AE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Введение индивидуальных выхлопных патрубков на все цилиндры мотора.</w:t>
      </w:r>
    </w:p>
    <w:p w14:paraId="437B8A3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Применение металлических лонжеронов крыла, вместо деревянных, позволило уменьшить полетный вес самолета, по отчету о гос. испытаниях, на 55 кг против веса серийного самолета Ла-5 с деревянными лонжеронами крыла, при одновременном проведении ряда других изменений, утяжеляющих вес конструкции.</w:t>
      </w:r>
    </w:p>
    <w:p w14:paraId="757256D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Герметизация планера, выполненная более полно и тщательно, по сравнению с ранее произведенной на самолете Ла-5.</w:t>
      </w:r>
    </w:p>
    <w:p w14:paraId="3E796CE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Кроме того, в самолете осуществлен ряд других мероприятий, улучшающих летные качества самолета: установлена безмачтовая антенна, увеличена аэродинамическая компенсация руля высоты до 23%, вместо 20%, спрямлена передняя часть центроплана между фюзеляжем и разъемом крыла, улучшена отделка самолета и некоторые другие (1825).</w:t>
      </w:r>
    </w:p>
    <w:p w14:paraId="5354108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0A8B0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мая 1944 директор завода № 148 писал письмо 55с Зам. Нач. 12 ГУ НКАП т. И.А.Соколову</w:t>
      </w:r>
    </w:p>
    <w:p w14:paraId="3E84FED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Копия: Нач. ПГУ НКХП т. С.Я.Файнштейн</w:t>
      </w:r>
    </w:p>
    <w:p w14:paraId="0F31296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Прлученный от Вас график мая месяца по отгрузке .бронекозырьков К-01, К-05, К-06 осуществлен быть не может, т.к. производство бронекозырьков не обеспечено сталинитом. Как видно из придагаемой при сем копии графика поставок сталинита, согласованного со стеклозаводом.</w:t>
      </w:r>
    </w:p>
    <w:p w14:paraId="6C0EA0E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Неб ооеопечена позиция К-05 где</w:t>
      </w:r>
      <w:r w:rsidRPr="007224C3">
        <w:rPr>
          <w:rFonts w:ascii="Times New Roman" w:hAnsi="Times New Roman"/>
          <w:smallCaps/>
          <w:color w:val="000000" w:themeColor="text1"/>
          <w:sz w:val="16"/>
          <w:szCs w:val="16"/>
        </w:rPr>
        <w:t>при</w:t>
      </w:r>
      <w:r w:rsidRPr="007224C3">
        <w:rPr>
          <w:rFonts w:ascii="Times New Roman" w:hAnsi="Times New Roman"/>
          <w:color w:val="000000" w:themeColor="text1"/>
          <w:sz w:val="16"/>
          <w:szCs w:val="16"/>
        </w:rPr>
        <w:t xml:space="preserve"> требуемых поставках готовых изделий в 800 копл., сталинитом ооеспечено 740 комп., по позиции К-06 по имеющимся на заводе № 148 сведениям, недостающее количество в 25 компл. должен отгрузить завод 233 (Люберцы ).</w:t>
      </w:r>
    </w:p>
    <w:p w14:paraId="083F65C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Кроме того, следует особо обратить внимание на:</w:t>
      </w:r>
    </w:p>
    <w:p w14:paraId="0330756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Стеклозавод им. Горького вместо 466 компл. Подлеж. Отгрузке за 10 дней мая месяца фактически отгрузил 40 комплектов.</w:t>
      </w:r>
    </w:p>
    <w:p w14:paraId="7515091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Несмотря на особое мнение завода № 148 (см.копию графика) стеклозавод им. Горького фактически если и закончит поставку, то только 31-м числом мая месяца.</w:t>
      </w:r>
    </w:p>
    <w:p w14:paraId="430BCB25" w14:textId="77777777" w:rsidR="00595BFB" w:rsidRPr="007224C3" w:rsidRDefault="00595BFB" w:rsidP="007224C3">
      <w:pPr>
        <w:tabs>
          <w:tab w:val="left" w:pos="5878"/>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Следовательно, исходя из технологии пр-ва броне-козырьков, которая требует, 3-4-х суточного цикла их изготовления, 216 ком.</w:t>
      </w:r>
    </w:p>
    <w:p w14:paraId="367D35F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сталинита, поставлених после 27 мая - не смогут быть сданы в мае месяце и пойдут на задел июня месяца.</w:t>
      </w:r>
    </w:p>
    <w:p w14:paraId="7C8C114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Таким образом, стеклозавод им. Горького, в результате отсутствия поставок с 1/У по 10/У и предполагаемого окончания поставок 31/У-44 г. практически сорвет поставки бронекозырьков НКАПу.</w:t>
      </w:r>
    </w:p>
    <w:p w14:paraId="2480CF9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Прошу принятия мер с Вашей стороны, и в частноти поставок сталинита Стеклозаводом им. Горького в мае впредь обязать стеклозавод заканчивать поставки не позднее 26-27 числа каждого месяца (10532,24).</w:t>
      </w:r>
    </w:p>
    <w:p w14:paraId="7CA920E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F61506E"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5357837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F5B880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мая 1944 вышло Распоряжение ГКО № 5902. О поставке заводу № 677 НКБ (Новосибирск) 672 т стали для изготовления минных взрывателей. РГАНИР, Фонд ГКО, д. 254, лл. 75 (11012).</w:t>
      </w:r>
    </w:p>
    <w:p w14:paraId="557D806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AB3DACA"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мая 1944 вышло Распоряжение ГКО № 5903 [О производстве 2970 т проката для сооружения железнодорожных военных мостов.] (7233, 76).</w:t>
      </w:r>
    </w:p>
    <w:p w14:paraId="70DD5C62"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72E161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мая 1944 вышло Постановление ГКО № 5904 Об обеспечении Наркомсредмаша черным прокатом на июнь 1944 г. РГАНИР, Фонд ГКО, д. 254, лл. 77 (11012).</w:t>
      </w:r>
    </w:p>
    <w:p w14:paraId="3E13096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B5CE7D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мая 1944 вышло Постановление ГКО № 5905 О выделении 25 тыс. военнослужащих ДВФ в помощь сельскому хозяйству Приморского края. РГАНИР, Фонд ГКО, д. 254, лл. 78 (11012).</w:t>
      </w:r>
    </w:p>
    <w:p w14:paraId="363830F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4BBAE1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мая 1944 вышло Распоряжение ГКО № 5906. О выделении НКВМФ 350 автомашин во II кв. 1944 г. РГАНИР, Фонд ГКО, д. 254, лл. 79 (11012).</w:t>
      </w:r>
    </w:p>
    <w:p w14:paraId="4F12052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15C01AF"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41B9549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DEFF428" w14:textId="77777777" w:rsidR="004B3F09" w:rsidRPr="007224C3" w:rsidRDefault="004B3F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16 мая</w:t>
      </w:r>
      <w:r w:rsidRPr="007224C3">
        <w:rPr>
          <w:rFonts w:ascii="Times New Roman" w:hAnsi="Times New Roman"/>
          <w:color w:val="000000" w:themeColor="text1"/>
          <w:sz w:val="16"/>
          <w:szCs w:val="16"/>
        </w:rPr>
        <w:t xml:space="preserve"> в 1944 году оперативная сводка Совинформбюро:</w:t>
      </w:r>
    </w:p>
    <w:p w14:paraId="7976A820" w14:textId="77777777" w:rsidR="004B3F09" w:rsidRPr="007224C3" w:rsidRDefault="004B3F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16 мая на фронтах существенных изменений не произошло. За 15 мая в воздушных боях и огнём зенитной артиллерии сбито 19 самолётов противника.»</w:t>
      </w:r>
    </w:p>
    <w:p w14:paraId="581CCEBB" w14:textId="77777777" w:rsidR="004B3F09" w:rsidRPr="007224C3" w:rsidRDefault="004B3F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Налёт нашей авиации на железнодорожный узел Полоцк</w:t>
      </w:r>
    </w:p>
    <w:p w14:paraId="6433C68E" w14:textId="77777777" w:rsidR="004B3F09" w:rsidRPr="007224C3" w:rsidRDefault="004B3F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ночь на 16 мая наша авиация произвела налёт на железнодорожный узел Полоцк. Бомбардировке были подвергнуты военные склады и эшелоны противника, находившиеся на путях железнодорожного узла. В результате бомбардировки возникли многочисленные пожары. Среди пожаров произошло семь взрывов, в том числе один взрыв большой силы.</w:t>
      </w:r>
    </w:p>
    <w:p w14:paraId="315521A2" w14:textId="77777777" w:rsidR="004B3F09" w:rsidRPr="007224C3" w:rsidRDefault="004B3F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 наши самолёты вернулись на свои аэродромы.»</w:t>
      </w:r>
    </w:p>
    <w:p w14:paraId="29F81AD8" w14:textId="77777777" w:rsidR="004B3F09" w:rsidRPr="007224C3" w:rsidRDefault="004B3F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«Северо-западнее города Тирасполь пехота противника в течение дня несколькораз пыталась атаковать наши позиции. Части Н-ского соединения артиллерийско-миномётным и ружейно-пулемётным огнём отбили все атаки немцев и нанесли им большой урон. На другом участке Н-ская танковая часть провела успешную операцию, в результате которой уничтожено более 400 гитлеровцев.Советские танкисты взяли в плен 80 немецких солдат и офицеров, захватили 100 повозок с боеприпасами и 400 лошадей.</w:t>
      </w:r>
    </w:p>
    <w:p w14:paraId="2E2AA5E3" w14:textId="77777777" w:rsidR="004B3F09" w:rsidRPr="007224C3" w:rsidRDefault="004B3F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районе города Яссы лётчики-истребители гвардии лейтенант Бургонов и гвардии лейтенант Басенко в одном бою сбили по два немецких самолёта. Шесть наших истребителей под командованием капитана Чепинога атаковали 60 немецких бомбардировщиков и сбили 6 самолётов противника.</w:t>
      </w:r>
    </w:p>
    <w:p w14:paraId="352AD201" w14:textId="77777777" w:rsidR="004B3F09" w:rsidRPr="007224C3" w:rsidRDefault="004B3F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Ленинградском фронте большая группа немецких самолётов пыталась бомбардировать боевые порядки наших войск. Советские истребители встретили противника ещё на подходе к цели и в завязавшемся воздушном бою сбили 15 немецких самолётов.</w:t>
      </w:r>
    </w:p>
    <w:p w14:paraId="46C7305A" w14:textId="77777777" w:rsidR="004B3F09" w:rsidRPr="007224C3" w:rsidRDefault="004B3F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три дня, с 3 по 5 мая, партизанский отряд, действующий в Волынскойобласти, пустил под откос 3 немецких воинских эшелона, следовавших к линии фронта. Разбиты 15 вагонов с боеприпасами и несколько цистерн с бензином. Немецкое командование направило против партизанских отрядов карательную экспедицию с бронемашинами и танками. Партизаны заняли оборону и отбили три атаки противника. Ночью советские патриоты незаметно для немцев вышли из боя.</w:t>
      </w:r>
    </w:p>
    <w:p w14:paraId="6296CB2E" w14:textId="77777777" w:rsidR="004B3F09" w:rsidRPr="007224C3" w:rsidRDefault="004B3F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сводке немецкого командования, опубликованной 14 мая, говорится: «13 мая из Крыма были перевезены последние германо-румынские войска. С 1 ноября 1943 года советские войска штурмовали нашу слабую оборону в Крыму. Только в апреле сделалось необходимым отвести наши войска на узкое кольцо обороны вокруг Севастополя. Но и там новые попытки советских войск прорвать кольцо и уничтожить немецкие войска закончились неудачей».</w:t>
      </w:r>
    </w:p>
    <w:p w14:paraId="4DFD7F6C" w14:textId="77777777" w:rsidR="004B3F09" w:rsidRPr="007224C3" w:rsidRDefault="004B3F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этом небольшом сообщении жулики из ставки Гитлера явно переусердствовали.Они врут слишком уж глупо. Если послушать берлинских дурачков, то выходит, что советские войска более шести месяцев штурмовали немецкую оборону, но так и не могли её прорвать. И только когда немцам наскучило находиться в Крыму, они,с ловно курортники, у которых истёк срок путёвки, сели на корабли и отчалили от крымских берегов.</w:t>
      </w:r>
    </w:p>
    <w:p w14:paraId="110E38AA" w14:textId="77777777" w:rsidR="004B3F09" w:rsidRPr="007224C3" w:rsidRDefault="004B3F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События в Крыму у всех ещё свежи в памяти, чтобы их можно было извратить даже таким опытным шулерам, какими являются гитлеровцы. Всем известно, что к 1 ноября 1943 года наступающие советские войска вышли в район Турецкого вала на Перекопском перешейке и тем самым заперли немецко-румынские войска, находившиеся в Крыму. Немцы и их румынские сообщники очутились в мышеловке или, как говорили советские бойцы, в «фрицеловке». С тех пор в течение ряда </w:t>
      </w:r>
      <w:r w:rsidRPr="007224C3">
        <w:rPr>
          <w:rFonts w:ascii="Times New Roman" w:hAnsi="Times New Roman"/>
          <w:color w:val="000000" w:themeColor="text1"/>
          <w:sz w:val="16"/>
          <w:szCs w:val="16"/>
        </w:rPr>
        <w:lastRenderedPageBreak/>
        <w:t>месяцев части Красной Армии в Крыму не вели активных действий. Всё это время даже гитлеровские брехуны, которые сплошь да рядом из мухи делают слона, ни разу не говорили о штурме их крымских позиций.</w:t>
      </w:r>
    </w:p>
    <w:p w14:paraId="69A090D8" w14:textId="77777777" w:rsidR="004B3F09" w:rsidRPr="007224C3" w:rsidRDefault="004B3F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Штурм Крыма советские войска начали не 1 ноября 1943 года, как теперь утверждает ставка Гитлера, а 8 апреля 1944 года. За десять дней, с 8 по 18 апреля, Красная Армия прорвала оборону немцев на Сиваше, Перекопе и Керченском полуострове и освободила почти весь Крым. Седьмого мая советские войска начали штурм Севастополя и на третий день, 9 мая, полностью овладели городом.</w:t>
      </w:r>
    </w:p>
    <w:p w14:paraId="4FE1AC6C" w14:textId="77777777" w:rsidR="004B3F09" w:rsidRPr="007224C3" w:rsidRDefault="004B3F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Планы немецкого командования в отношении Севастополя были раскрыты в обращении командующего 17 немецкой армией в Крыму генерала Альмендингера. Ссылаясь на приказ Гитлера, Альмендингер писал: «Я получил приказ защищать каждую пядь Севастопольского плацдарма. Его значение вы понимаете... Плацдарм навсю глубину сильно оборудован в инженерном отношении, и противник, где бы он ни появился, запутается в сетях наших оборонительных сооружений. Но никому из нас не должна даже и в голову притти мысль об отходе на эти позиции, расположенные в глубине... Честь армии зависит от каждого метра порученной ей территории».</w:t>
      </w:r>
    </w:p>
    <w:p w14:paraId="1FA0920A" w14:textId="77777777" w:rsidR="004B3F09" w:rsidRPr="007224C3" w:rsidRDefault="004B3F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Стало быть, ещё 3 мая командующий немецкими войсками в Крыму все надежды возлагал на свою оборону и на её сильные сооружения. Чего же после этого стоит жалкий лепет гитлеровцев о слабости обороны в Крыму и об эвакуации немецких войск с Крымского полуострова. Ставка Гитлера явно запуталась в своей собственной лжи.</w:t>
      </w:r>
    </w:p>
    <w:p w14:paraId="6E0F4533" w14:textId="77777777" w:rsidR="004B3F09" w:rsidRPr="007224C3" w:rsidRDefault="004B3F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своё время немцы много шумели о значении Севастополя и приводили всевозможные сравнения. Пусть сегодня незадачливые фашистские стратеги сравнят итоги двух битв за Севастополь. В 1941-1942 г.г. советский гарнизон Севастополя 250 дней отбивал атаки немецких войск и только по приказу ВерховногоКомандования оставил город. В упорных и ожесточённых восьмимесячных боях прославленные защитники города нанесли противнику тяжёлые потери. Немцы потеряли тогда у стен Севастополя убитыми и ранеными до 300 тысяч солдат и офицеров. В1944 году Красная Армия с 8 апреля по 12 мая сокрушила немецкую оборону и полностью очистила Крым от фашистской нечисти. За это время наши войска уничтожили более 50 тысяч и взяли в плен 61.587 солдат и офицеров противника.</w:t>
      </w:r>
    </w:p>
    <w:p w14:paraId="5ADE9EE0" w14:textId="77777777" w:rsidR="004B3F09" w:rsidRPr="007224C3" w:rsidRDefault="004B3F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Таковы факты. Как бы ни изощрялись дурачки из ставки Гитлера, а скрыть разгром немецких войск в Крыму им не удастся.» (14893).</w:t>
      </w:r>
    </w:p>
    <w:p w14:paraId="2981E034" w14:textId="77777777" w:rsidR="004B3F09" w:rsidRPr="007224C3" w:rsidRDefault="004B3F09" w:rsidP="007224C3">
      <w:pPr>
        <w:spacing w:after="0" w:line="240" w:lineRule="auto"/>
        <w:jc w:val="both"/>
        <w:rPr>
          <w:rFonts w:ascii="Times New Roman" w:hAnsi="Times New Roman"/>
          <w:color w:val="000000" w:themeColor="text1"/>
          <w:sz w:val="16"/>
          <w:szCs w:val="16"/>
        </w:rPr>
      </w:pPr>
    </w:p>
    <w:p w14:paraId="7682E2C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мая 1944 был первый топмачтовый удар на БФ на 9 Ил-2 топмачтовиков и 11 Ил-2 и 18 Пе-2 групп подавления _ 9 истребителей в 12 км севернее о. Асари по конвою из 3 сторожевиков, 3 тральщиков, 4 десантных барж. Топмачтовики потопили 3 тральщика и два катера, а истребители - 8 ФВ-190. Потери - 3 Ил-2 и три Як-9. Потом были 19, 21, 29 мая по 12, 5 и 7. Всего потопили 16 (1085,181).</w:t>
      </w:r>
    </w:p>
    <w:p w14:paraId="1643263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1CF24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мая 1944 был первый случай применения топмачтовиков на БФ. 9 Ил-2 топмачтовиков, обеспечиваемых 18 Пе-2 и 11 Ил-2 + 59 и, атаковали корабли в 12 км севернее о Асерию за одну минуту потопили три тральщика и два сторожевика. Бомбили серией из 4-х ФАБ-100 с интервалом 0.25-0.4 с. Потеряли 3 Ил-2 и 2 и, а противник - 8 ФВ-190 (4414,12).</w:t>
      </w:r>
    </w:p>
    <w:p w14:paraId="56885F4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BBB81A"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мая 1944 вышло Постановление ГКО № 5907 О призыве в армию 25 000 женщин-добровольцев. (7233, 80,81).</w:t>
      </w:r>
    </w:p>
    <w:p w14:paraId="649295B5"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6863FE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мая 1944 г. в Краснознаменном Балтийском фло</w:t>
      </w:r>
      <w:r w:rsidRPr="007224C3">
        <w:rPr>
          <w:rFonts w:ascii="Times New Roman" w:hAnsi="Times New Roman"/>
          <w:color w:val="000000" w:themeColor="text1"/>
          <w:sz w:val="16"/>
          <w:szCs w:val="16"/>
        </w:rPr>
        <w:softHyphen/>
        <w:t>те первый удар с применением Ил-2-топмачтовиков был проведен по конвою в 25 км севернее о. Асери (6467).</w:t>
      </w:r>
    </w:p>
    <w:p w14:paraId="474E8A7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23A3C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мая 1944 началась первая в ходе ВОВ операция подводников СФ (С-56, С-15, С-103, М-201) новым методом - нависающей завесы с использованием разведывательной авиации для наведения и торпедных катеров для совместных ударов. Впервые применяли бесследные электроторпеды. Шла до 31 мая 1943. Потом 10-25 июня и 16 августа - 8 сентября 1943 (3398,184).</w:t>
      </w:r>
    </w:p>
    <w:p w14:paraId="114E858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66228E" w14:textId="77777777" w:rsidR="004B3F09" w:rsidRPr="007224C3" w:rsidRDefault="004B3F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16 мая</w:t>
      </w:r>
      <w:r w:rsidRPr="007224C3">
        <w:rPr>
          <w:rFonts w:ascii="Times New Roman" w:hAnsi="Times New Roman"/>
          <w:color w:val="000000" w:themeColor="text1"/>
          <w:sz w:val="16"/>
          <w:szCs w:val="16"/>
        </w:rPr>
        <w:t xml:space="preserve"> в 1944 году подводники Северного флота начали первую в ходе Великой Отечественной войны операцию новым методом «нависающей завесы» с использованием разведывательной авиации для наведения и торпедных катеров для совместных ударов (завершилась 31 мая). Впервые в операции применялись бесследные электроторпеды (14893).</w:t>
      </w:r>
    </w:p>
    <w:p w14:paraId="45485B22" w14:textId="77777777" w:rsidR="004B3F09" w:rsidRPr="007224C3" w:rsidRDefault="004B3F09" w:rsidP="007224C3">
      <w:pPr>
        <w:spacing w:after="0" w:line="240" w:lineRule="auto"/>
        <w:jc w:val="both"/>
        <w:rPr>
          <w:rFonts w:ascii="Times New Roman" w:hAnsi="Times New Roman"/>
          <w:color w:val="000000" w:themeColor="text1"/>
          <w:sz w:val="16"/>
          <w:szCs w:val="16"/>
        </w:rPr>
      </w:pPr>
    </w:p>
    <w:p w14:paraId="03DCEE03" w14:textId="77777777" w:rsidR="004B3F0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Внешняя политика:</w:t>
      </w:r>
    </w:p>
    <w:p w14:paraId="4DA3A794" w14:textId="77777777" w:rsidR="004B3F09" w:rsidRPr="007224C3" w:rsidRDefault="004B3F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A60C557" w14:textId="77777777" w:rsidR="004B3F09" w:rsidRPr="007224C3" w:rsidRDefault="004B3F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16 мая</w:t>
      </w:r>
      <w:r w:rsidRPr="007224C3">
        <w:rPr>
          <w:rFonts w:ascii="Times New Roman" w:hAnsi="Times New Roman"/>
          <w:color w:val="000000" w:themeColor="text1"/>
          <w:sz w:val="16"/>
          <w:szCs w:val="16"/>
        </w:rPr>
        <w:t xml:space="preserve"> в 1944 году подписание правительствами СССР, США и Великобритании соглашений с эмигрантским правительством Норвегии о гражданской администрации и юрисдикции на норвежской территории после ее освобождения союзными войсками (14893).</w:t>
      </w:r>
    </w:p>
    <w:p w14:paraId="0D7F55A7" w14:textId="77777777" w:rsidR="004B3F09" w:rsidRPr="007224C3" w:rsidRDefault="004B3F09" w:rsidP="007224C3">
      <w:pPr>
        <w:spacing w:after="0" w:line="240" w:lineRule="auto"/>
        <w:jc w:val="both"/>
        <w:rPr>
          <w:rFonts w:ascii="Times New Roman" w:hAnsi="Times New Roman"/>
          <w:color w:val="000000" w:themeColor="text1"/>
          <w:sz w:val="16"/>
          <w:szCs w:val="16"/>
        </w:rPr>
      </w:pPr>
    </w:p>
    <w:p w14:paraId="6905A03D"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17E1235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314CE7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мая 1944 верховное главнокомандование вермахта отдало приказ о применении V-1 (1227,21).</w:t>
      </w:r>
    </w:p>
    <w:p w14:paraId="4042791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2D0FF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мая 1944 г. верховное главнокомандование вермахта отдало приказ на боевое применение крылатых ракет V1. Интересно, что в разгар подготовки союзников к высадке во Франции объектами ракетного поражения были выбраны не районы скопления войск и военные заводы, а города с мирным населением. Не изменились эти цели и после высадки первых эшелонов союзного десанта в Нормандии, хотя генерал Эйзенхауэр в своих мемуарах писал, что если бы немецкие ракетчики ударили по району Портсмут–Саутгемптон (район сосредоточения войск вторжения), то операция «Оверлорд» могла бы и не состояться (11686).</w:t>
      </w:r>
    </w:p>
    <w:p w14:paraId="48CB87E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329495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May 16th, 1944: Aircraft of RAF Coastal Command sink 5 U-boats off the Norwegian coast (3819).</w:t>
      </w:r>
    </w:p>
    <w:p w14:paraId="21F0413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90298F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мая 1944 Королевские ВВС потопили 5 подлодок у побережья Норвегии (3819).</w:t>
      </w:r>
    </w:p>
    <w:p w14:paraId="13B25E1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CFB06E"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06B0484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3D176E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C 17 по 31 мая 1944 в НИИ ВВС проходили летные испытания пулеметно-пушечного и бомбардировочного вооружения самолета Ил-2 с мотором АМ-38Ф (самолет N 304128 производства завода 30 марта 1944). Отв. исполнители: ви и-м А.Ф.Толпышкин, вл ст.л. Г.А.Тиняков, вш к Т.Ф.Горбунов. Испытывали:</w:t>
      </w:r>
    </w:p>
    <w:p w14:paraId="05CA5A3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Характеристики задней ограниченно подвижной установки УБШ под УБТ-12.7 мм (завод 487 с 4 магазинами по 50 патронов) и целесообразность установки на Ил-2 взамен ВУБ-3</w:t>
      </w:r>
    </w:p>
    <w:p w14:paraId="3EF4174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Удобство прицеливания и жесткость крепления прицела ПБП-1Б и возможность его съемки в случае вынужденной посадки</w:t>
      </w:r>
    </w:p>
    <w:p w14:paraId="352E893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Надежность работы и удобство эксплуатации измененной проводки пневмоперезарядки пушек ВЯ-23 мм</w:t>
      </w:r>
    </w:p>
    <w:p w14:paraId="5553BFB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Возможность контроля стрельбы из неподвижного оружия при помощи фотокинопулемета ПАУ-22 (качественность снимков) на земле и в воздухе, а также жесткость и удобство эксплуатации установки</w:t>
      </w:r>
    </w:p>
    <w:p w14:paraId="08EE2E5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Удобство пользования прицельными приспособлениями для бомбометания с прибором ВМШ-2, нанесенными согласно рекомендации НТЖ НИИ АВ и письма ГШ ВВС КА</w:t>
      </w:r>
    </w:p>
    <w:p w14:paraId="347574B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Целесообразность переноса усилителя СПУФ из хвостовой части фюзеляжа в броневую (1861).</w:t>
      </w:r>
    </w:p>
    <w:p w14:paraId="190A41A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867D7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мая 1944 г. после ряда доработок установка УБШ конструкции Шебанова (завод № 487 НКВ) была пред</w:t>
      </w:r>
      <w:r w:rsidRPr="007224C3">
        <w:rPr>
          <w:rFonts w:ascii="Times New Roman" w:hAnsi="Times New Roman"/>
          <w:color w:val="000000" w:themeColor="text1"/>
          <w:sz w:val="16"/>
          <w:szCs w:val="16"/>
        </w:rPr>
        <w:softHyphen/>
        <w:t>ставлена в НИИ ВВС для производства государственных ис</w:t>
      </w:r>
      <w:r w:rsidRPr="007224C3">
        <w:rPr>
          <w:rFonts w:ascii="Times New Roman" w:hAnsi="Times New Roman"/>
          <w:color w:val="000000" w:themeColor="text1"/>
          <w:sz w:val="16"/>
          <w:szCs w:val="16"/>
        </w:rPr>
        <w:softHyphen/>
        <w:t>пытаний.</w:t>
      </w:r>
    </w:p>
    <w:p w14:paraId="7787FC1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Модифицированная установка УБШ была смонтирована на серийном самолете Ил-2 зав. 304128 производства завода № 30.</w:t>
      </w:r>
    </w:p>
    <w:p w14:paraId="36E00C7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июне 1943 в частях 1-й воздушной армии неудачно за</w:t>
      </w:r>
      <w:r w:rsidRPr="007224C3">
        <w:rPr>
          <w:rFonts w:ascii="Times New Roman" w:hAnsi="Times New Roman"/>
          <w:color w:val="000000" w:themeColor="text1"/>
          <w:sz w:val="16"/>
          <w:szCs w:val="16"/>
        </w:rPr>
        <w:softHyphen/>
        <w:t>вершились войсковые испытания оборонительной установки УБШ конструкции Шебанова (завод № 487 НКВ).</w:t>
      </w:r>
    </w:p>
    <w:p w14:paraId="4C4A73D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Установка состояла из подпятника, укрепленного на жест</w:t>
      </w:r>
      <w:r w:rsidRPr="007224C3">
        <w:rPr>
          <w:rFonts w:ascii="Times New Roman" w:hAnsi="Times New Roman"/>
          <w:color w:val="000000" w:themeColor="text1"/>
          <w:sz w:val="16"/>
          <w:szCs w:val="16"/>
        </w:rPr>
        <w:softHyphen/>
        <w:t>кости фюзеляжа, вильчатого шкворня, вертлюга, лафета и меха</w:t>
      </w:r>
      <w:r w:rsidRPr="007224C3">
        <w:rPr>
          <w:rFonts w:ascii="Times New Roman" w:hAnsi="Times New Roman"/>
          <w:color w:val="000000" w:themeColor="text1"/>
          <w:sz w:val="16"/>
          <w:szCs w:val="16"/>
        </w:rPr>
        <w:softHyphen/>
        <w:t>низма стабилизации вектора собственной скорости самолета. Боекомплект к пулемету УБТ включал четыре магазина по 50 патронов в штатной ленте. Запасные магазины крепились на специальных замках, расположенных по бортам кабины стрел</w:t>
      </w:r>
      <w:r w:rsidRPr="007224C3">
        <w:rPr>
          <w:rFonts w:ascii="Times New Roman" w:hAnsi="Times New Roman"/>
          <w:color w:val="000000" w:themeColor="text1"/>
          <w:sz w:val="16"/>
          <w:szCs w:val="16"/>
        </w:rPr>
        <w:softHyphen/>
        <w:t>ка. Гильзы и звенья собирались в легкосъемный мешок, подве</w:t>
      </w:r>
      <w:r w:rsidRPr="007224C3">
        <w:rPr>
          <w:rFonts w:ascii="Times New Roman" w:hAnsi="Times New Roman"/>
          <w:color w:val="000000" w:themeColor="text1"/>
          <w:sz w:val="16"/>
          <w:szCs w:val="16"/>
        </w:rPr>
        <w:softHyphen/>
        <w:t>шиваемый на лафете пулемета. К установке прилагались два мешка — по одному мешку на два магазина.</w:t>
      </w:r>
    </w:p>
    <w:p w14:paraId="5F4BC83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Прицеливание осуществлялось при помощи прицела К-8Т. Наводка пулемета на цель выполнялась путем переброски Ил-2 АМ-38ф с турельной установкой вертлюга в горизонтальной плоскости и поворота оружия во</w:t>
      </w:r>
      <w:r w:rsidRPr="007224C3">
        <w:rPr>
          <w:rFonts w:ascii="Times New Roman" w:hAnsi="Times New Roman"/>
          <w:color w:val="000000" w:themeColor="text1"/>
          <w:sz w:val="16"/>
          <w:szCs w:val="16"/>
        </w:rPr>
        <w:softHyphen/>
        <w:t>круг оси вильчатого шкворня.</w:t>
      </w:r>
    </w:p>
    <w:p w14:paraId="794BD0A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Установка была легка в управлении и в сравнении с ВУБ-3 обеспечивала больший диапазон углов обстрела и меньшее рас</w:t>
      </w:r>
      <w:r w:rsidRPr="007224C3">
        <w:rPr>
          <w:rFonts w:ascii="Times New Roman" w:hAnsi="Times New Roman"/>
          <w:color w:val="000000" w:themeColor="text1"/>
          <w:sz w:val="16"/>
          <w:szCs w:val="16"/>
        </w:rPr>
        <w:softHyphen/>
        <w:t>сеивание при стрельбе в воздухе. Однако высокий процент за</w:t>
      </w:r>
      <w:r w:rsidRPr="007224C3">
        <w:rPr>
          <w:rFonts w:ascii="Times New Roman" w:hAnsi="Times New Roman"/>
          <w:color w:val="000000" w:themeColor="text1"/>
          <w:sz w:val="16"/>
          <w:szCs w:val="16"/>
        </w:rPr>
        <w:softHyphen/>
        <w:t>держек при стрельбе по вине установки не позволил рекомендо</w:t>
      </w:r>
      <w:r w:rsidRPr="007224C3">
        <w:rPr>
          <w:rFonts w:ascii="Times New Roman" w:hAnsi="Times New Roman"/>
          <w:color w:val="000000" w:themeColor="text1"/>
          <w:sz w:val="16"/>
          <w:szCs w:val="16"/>
        </w:rPr>
        <w:softHyphen/>
        <w:t>вать ее к внедрению в серийное производство.</w:t>
      </w:r>
    </w:p>
    <w:p w14:paraId="6C9049C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В отличие от образца, проходившего войсковые испыта</w:t>
      </w:r>
      <w:r w:rsidRPr="007224C3">
        <w:rPr>
          <w:rFonts w:ascii="Times New Roman" w:hAnsi="Times New Roman"/>
          <w:color w:val="000000" w:themeColor="text1"/>
          <w:sz w:val="16"/>
          <w:szCs w:val="16"/>
        </w:rPr>
        <w:softHyphen/>
        <w:t>ния, изменена лейка крепления вертлюга к основанию, смон</w:t>
      </w:r>
      <w:r w:rsidRPr="007224C3">
        <w:rPr>
          <w:rFonts w:ascii="Times New Roman" w:hAnsi="Times New Roman"/>
          <w:color w:val="000000" w:themeColor="text1"/>
          <w:sz w:val="16"/>
          <w:szCs w:val="16"/>
        </w:rPr>
        <w:softHyphen/>
        <w:t>тирован ограничитель вертикальных углов и установлен плече</w:t>
      </w:r>
      <w:r w:rsidRPr="007224C3">
        <w:rPr>
          <w:rFonts w:ascii="Times New Roman" w:hAnsi="Times New Roman"/>
          <w:color w:val="000000" w:themeColor="text1"/>
          <w:sz w:val="16"/>
          <w:szCs w:val="16"/>
        </w:rPr>
        <w:softHyphen/>
        <w:t>вой упор.</w:t>
      </w:r>
    </w:p>
    <w:p w14:paraId="766ADFE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Всесторонние испытания, в том числе воздушные бои с ис</w:t>
      </w:r>
      <w:r w:rsidRPr="007224C3">
        <w:rPr>
          <w:rFonts w:ascii="Times New Roman" w:hAnsi="Times New Roman"/>
          <w:color w:val="000000" w:themeColor="text1"/>
          <w:sz w:val="16"/>
          <w:szCs w:val="16"/>
        </w:rPr>
        <w:softHyphen/>
        <w:t>требителем Ла-5, показали, что УБШ не имеет явных преиму</w:t>
      </w:r>
      <w:r w:rsidRPr="007224C3">
        <w:rPr>
          <w:rFonts w:ascii="Times New Roman" w:hAnsi="Times New Roman"/>
          <w:color w:val="000000" w:themeColor="text1"/>
          <w:sz w:val="16"/>
          <w:szCs w:val="16"/>
        </w:rPr>
        <w:softHyphen/>
        <w:t>ществ перед ВУБ-3. К тому же установка оказалась ненадеж</w:t>
      </w:r>
      <w:r w:rsidRPr="007224C3">
        <w:rPr>
          <w:rFonts w:ascii="Times New Roman" w:hAnsi="Times New Roman"/>
          <w:color w:val="000000" w:themeColor="text1"/>
          <w:sz w:val="16"/>
          <w:szCs w:val="16"/>
        </w:rPr>
        <w:softHyphen/>
        <w:t>ной в работе. В семи полетах из 11 были неустранимые в возду</w:t>
      </w:r>
      <w:r w:rsidRPr="007224C3">
        <w:rPr>
          <w:rFonts w:ascii="Times New Roman" w:hAnsi="Times New Roman"/>
          <w:color w:val="000000" w:themeColor="text1"/>
          <w:sz w:val="16"/>
          <w:szCs w:val="16"/>
        </w:rPr>
        <w:softHyphen/>
        <w:t>хе задержки в стрельбе. В силу этого был сделан вывод о нецелесообразности внедрения турели УБШ в серийное про</w:t>
      </w:r>
      <w:r w:rsidRPr="007224C3">
        <w:rPr>
          <w:rFonts w:ascii="Times New Roman" w:hAnsi="Times New Roman"/>
          <w:color w:val="000000" w:themeColor="text1"/>
          <w:sz w:val="16"/>
          <w:szCs w:val="16"/>
        </w:rPr>
        <w:softHyphen/>
        <w:t>изводство, так как она «не улучшает обороноспособности са</w:t>
      </w:r>
      <w:r w:rsidRPr="007224C3">
        <w:rPr>
          <w:rFonts w:ascii="Times New Roman" w:hAnsi="Times New Roman"/>
          <w:color w:val="000000" w:themeColor="text1"/>
          <w:sz w:val="16"/>
          <w:szCs w:val="16"/>
        </w:rPr>
        <w:softHyphen/>
        <w:t>молета Ил-2 и имеет недостаточную живучесть» (11474,385).</w:t>
      </w:r>
    </w:p>
    <w:p w14:paraId="7D1CC34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FEBF922" w14:textId="77777777" w:rsidR="00DD3D22" w:rsidRPr="007224C3" w:rsidRDefault="00DD3D22"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С 17 по 31 мая 1944 г. в НИИ ВВС про</w:t>
      </w:r>
      <w:r w:rsidRPr="007224C3">
        <w:rPr>
          <w:rFonts w:ascii="Times New Roman" w:hAnsi="Times New Roman"/>
          <w:color w:val="0070C0"/>
          <w:sz w:val="16"/>
          <w:szCs w:val="16"/>
        </w:rPr>
        <w:softHyphen/>
        <w:t>ходил специальные контрольные испытания самолет Ил-2 зав. №304128 с установкой УБШ.</w:t>
      </w:r>
    </w:p>
    <w:p w14:paraId="5AC16A7C" w14:textId="77777777" w:rsidR="00DD3D22" w:rsidRPr="007224C3" w:rsidRDefault="00DD3D22"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По сравнению с опытными установка</w:t>
      </w:r>
      <w:r w:rsidRPr="007224C3">
        <w:rPr>
          <w:rFonts w:ascii="Times New Roman" w:hAnsi="Times New Roman"/>
          <w:color w:val="0070C0"/>
          <w:sz w:val="16"/>
          <w:szCs w:val="16"/>
        </w:rPr>
        <w:softHyphen/>
        <w:t>ми УБШ, проходившими войсковые испыта</w:t>
      </w:r>
      <w:r w:rsidRPr="007224C3">
        <w:rPr>
          <w:rFonts w:ascii="Times New Roman" w:hAnsi="Times New Roman"/>
          <w:color w:val="0070C0"/>
          <w:sz w:val="16"/>
          <w:szCs w:val="16"/>
        </w:rPr>
        <w:softHyphen/>
        <w:t>ния в 1943 г., предъявленный образец имел следующие основные отличия: «смонтиро</w:t>
      </w:r>
      <w:r w:rsidRPr="007224C3">
        <w:rPr>
          <w:rFonts w:ascii="Times New Roman" w:hAnsi="Times New Roman"/>
          <w:color w:val="0070C0"/>
          <w:sz w:val="16"/>
          <w:szCs w:val="16"/>
        </w:rPr>
        <w:softHyphen/>
        <w:t>вана серийная стабилизация прицела ОМП-И, на вертлюге установлен фигурный ограничи</w:t>
      </w:r>
      <w:r w:rsidRPr="007224C3">
        <w:rPr>
          <w:rFonts w:ascii="Times New Roman" w:hAnsi="Times New Roman"/>
          <w:color w:val="0070C0"/>
          <w:sz w:val="16"/>
          <w:szCs w:val="16"/>
        </w:rPr>
        <w:softHyphen/>
        <w:t>тель вертикальных углов, установлен плече</w:t>
      </w:r>
      <w:r w:rsidRPr="007224C3">
        <w:rPr>
          <w:rFonts w:ascii="Times New Roman" w:hAnsi="Times New Roman"/>
          <w:color w:val="0070C0"/>
          <w:sz w:val="16"/>
          <w:szCs w:val="16"/>
        </w:rPr>
        <w:softHyphen/>
        <w:t>вой упор, изменена лейка крепления вертлюга к основанию».</w:t>
      </w:r>
    </w:p>
    <w:p w14:paraId="491F0EC8" w14:textId="77777777" w:rsidR="00DD3D22" w:rsidRPr="007224C3" w:rsidRDefault="00DD3D22"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УБШ отстреляли на земле и в возду</w:t>
      </w:r>
      <w:r w:rsidRPr="007224C3">
        <w:rPr>
          <w:rFonts w:ascii="Times New Roman" w:hAnsi="Times New Roman"/>
          <w:color w:val="0070C0"/>
          <w:sz w:val="16"/>
          <w:szCs w:val="16"/>
        </w:rPr>
        <w:softHyphen/>
        <w:t>хе. В общей сложности выполнили 24 поле</w:t>
      </w:r>
      <w:r w:rsidRPr="007224C3">
        <w:rPr>
          <w:rFonts w:ascii="Times New Roman" w:hAnsi="Times New Roman"/>
          <w:color w:val="0070C0"/>
          <w:sz w:val="16"/>
          <w:szCs w:val="16"/>
        </w:rPr>
        <w:softHyphen/>
        <w:t>та (налет 13 ч 35 мин), в том числе четыре - «на воздушный бой с Ла-5 с целью определе</w:t>
      </w:r>
      <w:r w:rsidRPr="007224C3">
        <w:rPr>
          <w:rFonts w:ascii="Times New Roman" w:hAnsi="Times New Roman"/>
          <w:color w:val="0070C0"/>
          <w:sz w:val="16"/>
          <w:szCs w:val="16"/>
        </w:rPr>
        <w:softHyphen/>
        <w:t>ния маневренных качеств УБШ и ВУБ-3». Все</w:t>
      </w:r>
      <w:r w:rsidRPr="007224C3">
        <w:rPr>
          <w:rFonts w:ascii="Times New Roman" w:hAnsi="Times New Roman"/>
          <w:color w:val="0070C0"/>
          <w:sz w:val="16"/>
          <w:szCs w:val="16"/>
        </w:rPr>
        <w:softHyphen/>
        <w:t>го из УБШ осуществили 5136 выстрелов, в том числе 4000 на земле и 1136 в воздухе. За</w:t>
      </w:r>
      <w:r w:rsidRPr="007224C3">
        <w:rPr>
          <w:rFonts w:ascii="Times New Roman" w:hAnsi="Times New Roman"/>
          <w:color w:val="0070C0"/>
          <w:sz w:val="16"/>
          <w:szCs w:val="16"/>
        </w:rPr>
        <w:softHyphen/>
        <w:t>фиксировали 39 задержек (0,76%), из них 21 - из-за дефектов установки.</w:t>
      </w:r>
    </w:p>
    <w:p w14:paraId="4786F289" w14:textId="77777777" w:rsidR="00DD3D22" w:rsidRPr="007224C3" w:rsidRDefault="00DD3D22"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По сравнению с ВУБ-3 опытная установка УБШ обеспечивала несколько большие углы обстрела. Отмечалось, что маневрирование оружием «заметно легче, чем на ВУБ-3, но при отстреле одного магазина и более пулемет затяжеляется стреляными гильзами и звенья</w:t>
      </w:r>
      <w:r w:rsidRPr="007224C3">
        <w:rPr>
          <w:rFonts w:ascii="Times New Roman" w:hAnsi="Times New Roman"/>
          <w:color w:val="0070C0"/>
          <w:sz w:val="16"/>
          <w:szCs w:val="16"/>
        </w:rPr>
        <w:softHyphen/>
        <w:t>ми и становится хуже, чем ВУБ-3». Перебро</w:t>
      </w:r>
      <w:r w:rsidRPr="007224C3">
        <w:rPr>
          <w:rFonts w:ascii="Times New Roman" w:hAnsi="Times New Roman"/>
          <w:color w:val="0070C0"/>
          <w:sz w:val="16"/>
          <w:szCs w:val="16"/>
        </w:rPr>
        <w:softHyphen/>
        <w:t>ска пулемета с борта на борт в горизонталь</w:t>
      </w:r>
      <w:r w:rsidRPr="007224C3">
        <w:rPr>
          <w:rFonts w:ascii="Times New Roman" w:hAnsi="Times New Roman"/>
          <w:color w:val="0070C0"/>
          <w:sz w:val="16"/>
          <w:szCs w:val="16"/>
        </w:rPr>
        <w:softHyphen/>
        <w:t>ном полете осуществлялась быстро и без за</w:t>
      </w:r>
      <w:r w:rsidRPr="007224C3">
        <w:rPr>
          <w:rFonts w:ascii="Times New Roman" w:hAnsi="Times New Roman"/>
          <w:color w:val="0070C0"/>
          <w:sz w:val="16"/>
          <w:szCs w:val="16"/>
        </w:rPr>
        <w:softHyphen/>
        <w:t>труднений. Питание магазина признали над</w:t>
      </w:r>
      <w:r w:rsidRPr="007224C3">
        <w:rPr>
          <w:rFonts w:ascii="Times New Roman" w:hAnsi="Times New Roman"/>
          <w:color w:val="0070C0"/>
          <w:sz w:val="16"/>
          <w:szCs w:val="16"/>
        </w:rPr>
        <w:softHyphen/>
        <w:t>ежным: «на замену магазина затрачивается 35-50 секунд в перчатках».</w:t>
      </w:r>
    </w:p>
    <w:p w14:paraId="1F13507B" w14:textId="77777777" w:rsidR="00DD3D22" w:rsidRPr="007224C3" w:rsidRDefault="00DD3D22"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Среди основных недостатков отмечались магазинное питание («необходимость заме</w:t>
      </w:r>
      <w:r w:rsidRPr="007224C3">
        <w:rPr>
          <w:rFonts w:ascii="Times New Roman" w:hAnsi="Times New Roman"/>
          <w:color w:val="0070C0"/>
          <w:sz w:val="16"/>
          <w:szCs w:val="16"/>
        </w:rPr>
        <w:softHyphen/>
        <w:t>ны магазина в боевой обстановке»), ухудше</w:t>
      </w:r>
      <w:r w:rsidRPr="007224C3">
        <w:rPr>
          <w:rFonts w:ascii="Times New Roman" w:hAnsi="Times New Roman"/>
          <w:color w:val="0070C0"/>
          <w:sz w:val="16"/>
          <w:szCs w:val="16"/>
        </w:rPr>
        <w:softHyphen/>
        <w:t>ние обзора из-за магазина в нижней задней полусфере (с левого борта самолета по поле</w:t>
      </w:r>
      <w:r w:rsidRPr="007224C3">
        <w:rPr>
          <w:rFonts w:ascii="Times New Roman" w:hAnsi="Times New Roman"/>
          <w:color w:val="0070C0"/>
          <w:sz w:val="16"/>
          <w:szCs w:val="16"/>
        </w:rPr>
        <w:softHyphen/>
        <w:t>ту), невозможность ведения огня по наземной цели (с левого борта). Указывалось и на то, что «в крайних положениях установка стопорится ненадежно, при длинной очереди пулемет сры</w:t>
      </w:r>
      <w:r w:rsidRPr="007224C3">
        <w:rPr>
          <w:rFonts w:ascii="Times New Roman" w:hAnsi="Times New Roman"/>
          <w:color w:val="0070C0"/>
          <w:sz w:val="16"/>
          <w:szCs w:val="16"/>
        </w:rPr>
        <w:softHyphen/>
        <w:t>вается со стопора и уводится к килю - воз</w:t>
      </w:r>
      <w:r w:rsidRPr="007224C3">
        <w:rPr>
          <w:rFonts w:ascii="Times New Roman" w:hAnsi="Times New Roman"/>
          <w:color w:val="0070C0"/>
          <w:sz w:val="16"/>
          <w:szCs w:val="16"/>
        </w:rPr>
        <w:softHyphen/>
        <w:t>можны прострелы хвостового оперения».</w:t>
      </w:r>
    </w:p>
    <w:p w14:paraId="430348F0" w14:textId="77777777" w:rsidR="00DD3D22" w:rsidRPr="007224C3" w:rsidRDefault="00DD3D22"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 заключении акта по испытаниям кон</w:t>
      </w:r>
      <w:r w:rsidRPr="007224C3">
        <w:rPr>
          <w:rFonts w:ascii="Times New Roman" w:hAnsi="Times New Roman"/>
          <w:color w:val="0070C0"/>
          <w:sz w:val="16"/>
          <w:szCs w:val="16"/>
        </w:rPr>
        <w:softHyphen/>
        <w:t>статировалось, что «в целом установка УБШ не улучшает обороноспособности самоле</w:t>
      </w:r>
      <w:r w:rsidRPr="007224C3">
        <w:rPr>
          <w:rFonts w:ascii="Times New Roman" w:hAnsi="Times New Roman"/>
          <w:color w:val="0070C0"/>
          <w:sz w:val="16"/>
          <w:szCs w:val="16"/>
        </w:rPr>
        <w:softHyphen/>
        <w:t>та Ил-2 и имеет недостаточную живучесть». Как следствие, работы по дальнейшему со</w:t>
      </w:r>
      <w:r w:rsidRPr="007224C3">
        <w:rPr>
          <w:rFonts w:ascii="Times New Roman" w:hAnsi="Times New Roman"/>
          <w:color w:val="0070C0"/>
          <w:sz w:val="16"/>
          <w:szCs w:val="16"/>
        </w:rPr>
        <w:softHyphen/>
        <w:t>вершенствованию установки УБШ прекратили. Собственно, в этом уже и не было надобности, так как в НИИ ВВС уже прошли государствен</w:t>
      </w:r>
      <w:r w:rsidRPr="007224C3">
        <w:rPr>
          <w:rFonts w:ascii="Times New Roman" w:hAnsi="Times New Roman"/>
          <w:color w:val="0070C0"/>
          <w:sz w:val="16"/>
          <w:szCs w:val="16"/>
        </w:rPr>
        <w:softHyphen/>
        <w:t>ные испытания более совершенные штурмо</w:t>
      </w:r>
      <w:r w:rsidRPr="007224C3">
        <w:rPr>
          <w:rFonts w:ascii="Times New Roman" w:hAnsi="Times New Roman"/>
          <w:color w:val="0070C0"/>
          <w:sz w:val="16"/>
          <w:szCs w:val="16"/>
        </w:rPr>
        <w:softHyphen/>
        <w:t>вики Ил-8 и Ил-10, и решался вопрос о при</w:t>
      </w:r>
      <w:r w:rsidRPr="007224C3">
        <w:rPr>
          <w:rFonts w:ascii="Times New Roman" w:hAnsi="Times New Roman"/>
          <w:color w:val="0070C0"/>
          <w:sz w:val="16"/>
          <w:szCs w:val="16"/>
        </w:rPr>
        <w:softHyphen/>
        <w:t>нятии одного из них на вооружение ВВС КА (19879).</w:t>
      </w:r>
    </w:p>
    <w:p w14:paraId="7011F940" w14:textId="77777777" w:rsidR="00DD3D22" w:rsidRPr="007224C3" w:rsidRDefault="00DD3D22" w:rsidP="007224C3">
      <w:pPr>
        <w:spacing w:after="0" w:line="240" w:lineRule="auto"/>
        <w:jc w:val="both"/>
        <w:rPr>
          <w:rFonts w:ascii="Times New Roman" w:hAnsi="Times New Roman"/>
          <w:color w:val="0070C0"/>
          <w:sz w:val="16"/>
          <w:szCs w:val="16"/>
        </w:rPr>
      </w:pPr>
    </w:p>
    <w:p w14:paraId="537CB90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мая 1944 А.И.Ш. писал И.В.С. письмо N 33/2471:</w:t>
      </w:r>
    </w:p>
    <w:p w14:paraId="72D36F4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время отечественной войны КБ С.В.И. проделало большую работу по обеспечению массового производства самолетов Ил-2 на серийных заводах, непрерывно улучшало и модернизировало этот самолет, создав двухместный вариант и усилив пушечное и бомбовое вооружение, а также бронирование самолета.</w:t>
      </w:r>
    </w:p>
    <w:p w14:paraId="3461BF6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Кроме того, КБ С.В.И. создало новый бронированный штурмовик с АМ-42. Этот самолет несет бомбовую нагрузку в два раза превосходящую нагрузку существующего самолета Ил-2 и имеет значительно более мощную броню. Новый штурмовик успешно прошел в марте с.г. гос. испытания, показав скорость, превосходящую на 50 км/час скорость серийного штурмовика Ил-2 и рекомендован НИИ ВВС для принятия на вооружение КА.</w:t>
      </w:r>
    </w:p>
    <w:p w14:paraId="24F9AC8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КБ С.В.И. является самолетным бюро, создавши отечественную штурмовую авиацию и успешно обеспечивающих ее дальнейшее развитие.</w:t>
      </w:r>
    </w:p>
    <w:p w14:paraId="195BF75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Ходатайствую о награждении наиболее отличившихся работников КБ С.В.И. во главе с ГК (1756,161).</w:t>
      </w:r>
    </w:p>
    <w:p w14:paraId="782D28C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819E59" w14:textId="77777777" w:rsidR="00962976" w:rsidRPr="007224C3" w:rsidRDefault="00962976"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17 мая 1944 г. по результатам испытаний самолета «Харри</w:t>
      </w:r>
      <w:r w:rsidRPr="007224C3">
        <w:rPr>
          <w:color w:val="000000" w:themeColor="text1"/>
          <w:sz w:val="16"/>
          <w:szCs w:val="16"/>
        </w:rPr>
        <w:softHyphen/>
        <w:t xml:space="preserve">кейн» </w:t>
      </w:r>
      <w:r w:rsidRPr="007224C3">
        <w:rPr>
          <w:color w:val="000000" w:themeColor="text1"/>
          <w:sz w:val="16"/>
          <w:szCs w:val="16"/>
          <w:lang w:val="en-US"/>
        </w:rPr>
        <w:t>IID</w:t>
      </w:r>
      <w:r w:rsidRPr="007224C3">
        <w:rPr>
          <w:color w:val="000000" w:themeColor="text1"/>
          <w:sz w:val="16"/>
          <w:szCs w:val="16"/>
        </w:rPr>
        <w:t xml:space="preserve"> и его вооружения заместитель начальни</w:t>
      </w:r>
      <w:r w:rsidRPr="007224C3">
        <w:rPr>
          <w:color w:val="000000" w:themeColor="text1"/>
          <w:sz w:val="16"/>
          <w:szCs w:val="16"/>
        </w:rPr>
        <w:softHyphen/>
        <w:t>ка оперативного управления ВВС КА генерал-майор А. П. Некрасов направил начальнику штаба ВВС генерал-полковнику С. А. Худякову за</w:t>
      </w:r>
      <w:r w:rsidRPr="007224C3">
        <w:rPr>
          <w:color w:val="000000" w:themeColor="text1"/>
          <w:sz w:val="16"/>
          <w:szCs w:val="16"/>
        </w:rPr>
        <w:softHyphen/>
        <w:t>ключение о боевых возможностях самолета «Хар</w:t>
      </w:r>
      <w:r w:rsidRPr="007224C3">
        <w:rPr>
          <w:color w:val="000000" w:themeColor="text1"/>
          <w:sz w:val="16"/>
          <w:szCs w:val="16"/>
        </w:rPr>
        <w:softHyphen/>
        <w:t xml:space="preserve">рикейн» </w:t>
      </w:r>
      <w:r w:rsidRPr="007224C3">
        <w:rPr>
          <w:color w:val="000000" w:themeColor="text1"/>
          <w:sz w:val="16"/>
          <w:szCs w:val="16"/>
          <w:lang w:val="en-US"/>
        </w:rPr>
        <w:t>IID</w:t>
      </w:r>
      <w:r w:rsidRPr="007224C3">
        <w:rPr>
          <w:color w:val="000000" w:themeColor="text1"/>
          <w:sz w:val="16"/>
          <w:szCs w:val="16"/>
        </w:rPr>
        <w:t>.</w:t>
      </w:r>
    </w:p>
    <w:p w14:paraId="42A4B08C" w14:textId="77777777" w:rsidR="00962976" w:rsidRPr="007224C3" w:rsidRDefault="00962976"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В документе констатировалось, что «вследствие слабого могущества выстрела стрелково-пушечно- го оружия, отсутствия бомбардировочного воору</w:t>
      </w:r>
      <w:r w:rsidRPr="007224C3">
        <w:rPr>
          <w:color w:val="000000" w:themeColor="text1"/>
          <w:sz w:val="16"/>
          <w:szCs w:val="16"/>
        </w:rPr>
        <w:softHyphen/>
        <w:t xml:space="preserve">жения и недостаточного бронирования, самолет «Харрикейн» </w:t>
      </w:r>
      <w:r w:rsidRPr="007224C3">
        <w:rPr>
          <w:color w:val="000000" w:themeColor="text1"/>
          <w:sz w:val="16"/>
          <w:szCs w:val="16"/>
          <w:lang w:val="en-US"/>
        </w:rPr>
        <w:t>IID</w:t>
      </w:r>
      <w:r w:rsidRPr="007224C3">
        <w:rPr>
          <w:color w:val="000000" w:themeColor="text1"/>
          <w:sz w:val="16"/>
          <w:szCs w:val="16"/>
        </w:rPr>
        <w:t xml:space="preserve"> не может быть эффективно исполь</w:t>
      </w:r>
      <w:r w:rsidRPr="007224C3">
        <w:rPr>
          <w:color w:val="000000" w:themeColor="text1"/>
          <w:sz w:val="16"/>
          <w:szCs w:val="16"/>
        </w:rPr>
        <w:softHyphen/>
        <w:t>зован как истребитель танков или штурмовик». Бо</w:t>
      </w:r>
      <w:r w:rsidRPr="007224C3">
        <w:rPr>
          <w:color w:val="000000" w:themeColor="text1"/>
          <w:sz w:val="16"/>
          <w:szCs w:val="16"/>
        </w:rPr>
        <w:softHyphen/>
        <w:t>еприпасы пушек НС-37 калибра 37 мм и ВЯ калибра 23 мм, состоящие из осколочно-зажигательных и бронебойно-зажигательных снарядов, имеют боль</w:t>
      </w:r>
      <w:r w:rsidRPr="007224C3">
        <w:rPr>
          <w:color w:val="000000" w:themeColor="text1"/>
          <w:sz w:val="16"/>
          <w:szCs w:val="16"/>
        </w:rPr>
        <w:softHyphen/>
        <w:t xml:space="preserve">ший разрушающий эффект у цели по сравнению с боеприпасами к пушке Виккерс </w:t>
      </w:r>
      <w:r w:rsidRPr="007224C3">
        <w:rPr>
          <w:color w:val="000000" w:themeColor="text1"/>
          <w:sz w:val="16"/>
          <w:szCs w:val="16"/>
          <w:lang w:val="en-US"/>
        </w:rPr>
        <w:t>S</w:t>
      </w:r>
      <w:r w:rsidRPr="007224C3">
        <w:rPr>
          <w:color w:val="000000" w:themeColor="text1"/>
          <w:sz w:val="16"/>
          <w:szCs w:val="16"/>
        </w:rPr>
        <w:t>, а бронебой</w:t>
      </w:r>
      <w:r w:rsidRPr="007224C3">
        <w:rPr>
          <w:color w:val="000000" w:themeColor="text1"/>
          <w:sz w:val="16"/>
          <w:szCs w:val="16"/>
        </w:rPr>
        <w:softHyphen/>
        <w:t>ный снаряд пушки НС-37 обладает к тому же еще и большей бронепробиваемостью.</w:t>
      </w:r>
    </w:p>
    <w:p w14:paraId="4315BA35" w14:textId="77777777" w:rsidR="00962976" w:rsidRPr="007224C3" w:rsidRDefault="00962976"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Внимание руководства обращалось на ненор</w:t>
      </w:r>
      <w:r w:rsidRPr="007224C3">
        <w:rPr>
          <w:color w:val="000000" w:themeColor="text1"/>
          <w:sz w:val="16"/>
          <w:szCs w:val="16"/>
        </w:rPr>
        <w:softHyphen/>
        <w:t>мальную ситуацию со снабжением ВВС КА снаряда</w:t>
      </w:r>
      <w:r w:rsidRPr="007224C3">
        <w:rPr>
          <w:color w:val="000000" w:themeColor="text1"/>
          <w:sz w:val="16"/>
          <w:szCs w:val="16"/>
        </w:rPr>
        <w:softHyphen/>
        <w:t xml:space="preserve">ми к пушкам Виккерс </w:t>
      </w:r>
      <w:r w:rsidRPr="007224C3">
        <w:rPr>
          <w:color w:val="000000" w:themeColor="text1"/>
          <w:sz w:val="16"/>
          <w:szCs w:val="16"/>
          <w:lang w:val="en-US"/>
        </w:rPr>
        <w:t>S</w:t>
      </w:r>
      <w:r w:rsidRPr="007224C3">
        <w:rPr>
          <w:color w:val="000000" w:themeColor="text1"/>
          <w:sz w:val="16"/>
          <w:szCs w:val="16"/>
        </w:rPr>
        <w:t>. По этому поводу в докла</w:t>
      </w:r>
      <w:r w:rsidRPr="007224C3">
        <w:rPr>
          <w:color w:val="000000" w:themeColor="text1"/>
          <w:sz w:val="16"/>
          <w:szCs w:val="16"/>
        </w:rPr>
        <w:softHyphen/>
        <w:t>де указывалось: «Получаемые нами бронебойные снаряды от англичан являются недоснаряженными (нет взрывчатого вещества и донного взрывателя), вследствие чего баллистические характеристики снарядов — плохие и не отвечают тактико-техни</w:t>
      </w:r>
      <w:r w:rsidRPr="007224C3">
        <w:rPr>
          <w:color w:val="000000" w:themeColor="text1"/>
          <w:sz w:val="16"/>
          <w:szCs w:val="16"/>
        </w:rPr>
        <w:softHyphen/>
        <w:t>ческим требованиям к боеприпасам воздушного боя. Такой тип снаряда не в состоянии пробить броню среднего танка в 45 мм на дистанции 300 м под углом встречи к нормали 30°, а бронь толщи</w:t>
      </w:r>
      <w:r w:rsidRPr="007224C3">
        <w:rPr>
          <w:color w:val="000000" w:themeColor="text1"/>
          <w:sz w:val="16"/>
          <w:szCs w:val="16"/>
        </w:rPr>
        <w:softHyphen/>
        <w:t>ной меньше чем 30 мм или планер самолета, он способен пробить, но не разрушить, так как снаряд не имеет ни зажигательного, ни фугасного снаряже</w:t>
      </w:r>
      <w:r w:rsidRPr="007224C3">
        <w:rPr>
          <w:color w:val="000000" w:themeColor="text1"/>
          <w:sz w:val="16"/>
          <w:szCs w:val="16"/>
        </w:rPr>
        <w:softHyphen/>
        <w:t>ния. Поэтому такие снаряды могут быть использо</w:t>
      </w:r>
      <w:r w:rsidRPr="007224C3">
        <w:rPr>
          <w:color w:val="000000" w:themeColor="text1"/>
          <w:sz w:val="16"/>
          <w:szCs w:val="16"/>
        </w:rPr>
        <w:softHyphen/>
        <w:t>ваны для учебных целей или как лафетопробные. Для поражения самолетов в воздухе нужны снаря</w:t>
      </w:r>
      <w:r w:rsidRPr="007224C3">
        <w:rPr>
          <w:color w:val="000000" w:themeColor="text1"/>
          <w:sz w:val="16"/>
          <w:szCs w:val="16"/>
        </w:rPr>
        <w:softHyphen/>
        <w:t>ды осколочно-фугасного действия».</w:t>
      </w:r>
    </w:p>
    <w:p w14:paraId="33956ACE" w14:textId="77777777" w:rsidR="00962976" w:rsidRPr="007224C3" w:rsidRDefault="00962976"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При сопоставимых летных данных у земли ос</w:t>
      </w:r>
      <w:r w:rsidRPr="007224C3">
        <w:rPr>
          <w:color w:val="000000" w:themeColor="text1"/>
          <w:sz w:val="16"/>
          <w:szCs w:val="16"/>
        </w:rPr>
        <w:softHyphen/>
        <w:t>новной ударный самолет ВВС КА штурмовик Ил-2 имел значительно более сильное бронирование, бомбардировочное вооружение и воздушного стрелка для защиты от атак истребителей против</w:t>
      </w:r>
      <w:r w:rsidRPr="007224C3">
        <w:rPr>
          <w:color w:val="000000" w:themeColor="text1"/>
          <w:sz w:val="16"/>
          <w:szCs w:val="16"/>
        </w:rPr>
        <w:softHyphen/>
        <w:t>ника со стороны задней полусферы. По этим при</w:t>
      </w:r>
      <w:r w:rsidRPr="007224C3">
        <w:rPr>
          <w:color w:val="000000" w:themeColor="text1"/>
          <w:sz w:val="16"/>
          <w:szCs w:val="16"/>
        </w:rPr>
        <w:softHyphen/>
        <w:t>чинам боевые качества Ил-2 оценивались специ</w:t>
      </w:r>
      <w:r w:rsidRPr="007224C3">
        <w:rPr>
          <w:color w:val="000000" w:themeColor="text1"/>
          <w:sz w:val="16"/>
          <w:szCs w:val="16"/>
        </w:rPr>
        <w:softHyphen/>
        <w:t xml:space="preserve">алистами оперативного управления значительно выше, чем «Харрикейна» </w:t>
      </w:r>
      <w:r w:rsidRPr="007224C3">
        <w:rPr>
          <w:color w:val="000000" w:themeColor="text1"/>
          <w:sz w:val="16"/>
          <w:szCs w:val="16"/>
          <w:lang w:val="en-US"/>
        </w:rPr>
        <w:t>IID</w:t>
      </w:r>
      <w:r w:rsidRPr="007224C3">
        <w:rPr>
          <w:color w:val="000000" w:themeColor="text1"/>
          <w:sz w:val="16"/>
          <w:szCs w:val="16"/>
        </w:rPr>
        <w:t>.</w:t>
      </w:r>
    </w:p>
    <w:p w14:paraId="062F3BBA" w14:textId="77777777" w:rsidR="00962976" w:rsidRPr="007224C3" w:rsidRDefault="00962976"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На основании этого делался вывод, что «самолет «Харрикейн» 11Д в качестве штурмовика применять нецелесообразно, вследствие слабого могущества выстрела стрелково-пушечного вооружения, отсут</w:t>
      </w:r>
      <w:r w:rsidRPr="007224C3">
        <w:rPr>
          <w:color w:val="000000" w:themeColor="text1"/>
          <w:sz w:val="16"/>
          <w:szCs w:val="16"/>
        </w:rPr>
        <w:softHyphen/>
        <w:t>ствия бомбардировочного вооружения и слабого бронирования». Истребитель предлагалось исполь</w:t>
      </w:r>
      <w:r w:rsidRPr="007224C3">
        <w:rPr>
          <w:color w:val="000000" w:themeColor="text1"/>
          <w:sz w:val="16"/>
          <w:szCs w:val="16"/>
        </w:rPr>
        <w:softHyphen/>
        <w:t>зовать в системе ПВО страны в качестве истреби</w:t>
      </w:r>
      <w:r w:rsidRPr="007224C3">
        <w:rPr>
          <w:color w:val="000000" w:themeColor="text1"/>
          <w:sz w:val="16"/>
          <w:szCs w:val="16"/>
        </w:rPr>
        <w:softHyphen/>
        <w:t>теля-перехватчика, но при условии использования боеприпасов «осколочно-трассирующего или осколочно-зажигательного снаряжения».</w:t>
      </w:r>
    </w:p>
    <w:p w14:paraId="5D130EB5" w14:textId="77777777" w:rsidR="00962976" w:rsidRPr="007224C3" w:rsidRDefault="00962976"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Известна резолюция генерала Худякова, которую тот наложил на документ: «ОУ. Подготовить справ</w:t>
      </w:r>
      <w:r w:rsidRPr="007224C3">
        <w:rPr>
          <w:color w:val="000000" w:themeColor="text1"/>
          <w:sz w:val="16"/>
          <w:szCs w:val="16"/>
        </w:rPr>
        <w:softHyphen/>
        <w:t>ку такого же содержания главному инженеру ВВС за моей подписью». Уже 23 мая справка ушла в аппарат генерала Репина (17500).</w:t>
      </w:r>
    </w:p>
    <w:p w14:paraId="3F28222D" w14:textId="77777777" w:rsidR="00962976" w:rsidRPr="007224C3" w:rsidRDefault="00962976" w:rsidP="007224C3">
      <w:pPr>
        <w:spacing w:after="0" w:line="240" w:lineRule="auto"/>
        <w:jc w:val="both"/>
        <w:rPr>
          <w:rFonts w:ascii="Times New Roman" w:hAnsi="Times New Roman"/>
          <w:color w:val="000000" w:themeColor="text1"/>
          <w:sz w:val="16"/>
          <w:szCs w:val="16"/>
        </w:rPr>
      </w:pPr>
    </w:p>
    <w:p w14:paraId="01B3EBD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мая 1944 Нач. 1 отдела НИИ ВВС Рудинцев письмом N 1/03 направил в Секретариат НКАП А.И.Ш. карточки, составленные по результатам испытаний самолетов для включения в Альбом по дальности и продолжительности полетов самолетам в 1943:</w:t>
      </w:r>
    </w:p>
    <w:p w14:paraId="6E6A981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Як-9Д с ВК-105ПФ</w:t>
      </w:r>
    </w:p>
    <w:p w14:paraId="0A59FBD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Пе-2 с 2ВК-195ПФ</w:t>
      </w:r>
    </w:p>
    <w:p w14:paraId="391FEC6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И-220 (МиГ-11 с АМ-38Ф).</w:t>
      </w:r>
    </w:p>
    <w:p w14:paraId="18BC2DB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Ил N 1 с АМ-42 (1821,245).</w:t>
      </w:r>
    </w:p>
    <w:p w14:paraId="06319AB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09604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мая 1944 года начальник НИИ ВВС генерал-лейтенант ИАС Лосюков и начальник 3 отдела НИИ ВВС инженер-полковник Сафронов писали письмо N 3/725 гл. инженеру ВВС генерал-полковнику ИАС Репину А.К., Шахурину, УК ЦК ВКП(б) генерал-полковнику авиации Шиманову Н.С.</w:t>
      </w:r>
    </w:p>
    <w:p w14:paraId="5ABE8E8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Докладываю о ходе испытаний самолета Пе-2И "Москито" с двумя моторами ВК-107А.</w:t>
      </w:r>
    </w:p>
    <w:p w14:paraId="5B6EC6F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принят на испытания в НИИ ВВС 4 мая 1944 года.</w:t>
      </w:r>
    </w:p>
    <w:p w14:paraId="43D4614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4 по 13 мая произведено 4 полета, общей продолжительностью 3 часа 45 минут, из них: первый полет ознакомительный, второй - километраж, третий - определение тепловых режимов винто-моторной группы и четвертый - для определения скоростей по высотам.</w:t>
      </w:r>
    </w:p>
    <w:p w14:paraId="45A4AF5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Третий и четвертый полеты производились до 6500 м.</w:t>
      </w:r>
    </w:p>
    <w:p w14:paraId="59E69E0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Летные данные самолета в этих полетах еще не определены.</w:t>
      </w:r>
    </w:p>
    <w:p w14:paraId="7F4A3A9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Основными дефектами, задержавшими испытания явились:</w:t>
      </w:r>
    </w:p>
    <w:p w14:paraId="5DB6222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Неполное закрытие створок гондол шасси в полете.</w:t>
      </w:r>
    </w:p>
    <w:p w14:paraId="2F48D25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Поломка трубы, центрирующей кок винта правого мотора. Фланцы труб обоих моторов сделаны вместо дюралевых стальными.</w:t>
      </w:r>
    </w:p>
    <w:p w14:paraId="17B91DF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Сильное выбивание масла из уплотнения вала редуктора моторов ВК-107А. Устранение первых двух дефектов, потребовало 5 дней.</w:t>
      </w:r>
    </w:p>
    <w:p w14:paraId="33BFF4A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Последний дефект выявился 13 мая 1944 года, при полетах на высоту 6500 метров. Дефект опасен для полета, т.к. масло попадает на капоты моторов и на выхлопные патрубки, вследствие чего возможно возникновение пожара.</w:t>
      </w:r>
    </w:p>
    <w:p w14:paraId="6618CB8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Кроме того масло забрасывается на водяные радиаторы и нарушает охлаждение моторов.</w:t>
      </w:r>
    </w:p>
    <w:p w14:paraId="6044203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связи с этим дефектом с 14 мая 1944 года испытания прерваны.</w:t>
      </w:r>
    </w:p>
    <w:p w14:paraId="30944CE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конструктор самолета Мясищев В.М. принял решение изменить систему суфлирования моторов ВК-107А на самолете и установить дополнительное уплотнение вала редуктора моторов ВК-107А.</w:t>
      </w:r>
    </w:p>
    <w:p w14:paraId="4456DD8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Испытания будут продолжены по устранении указанного дефекта (1821).</w:t>
      </w:r>
    </w:p>
    <w:p w14:paraId="537CA8C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63D15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17 мая 1944 вышел приказом НКВ № 249 во исполнение Постановления СНК № 1672-700с от 19 июня 1941 года, которым в системе НКВ был организован НИИ стрелково-пушечного вооружения авиации (НИИ СПВА) по отработке и исследованию новых и унификации и совершенствованию существующих образцов вооружения и боеприпасов. Институт размещался на площадке завода № 304 НКВ (Кунцево). Приказом Министерства вооружения № 239с от 3 июня 1948 года (в </w:t>
      </w:r>
      <w:r w:rsidRPr="007224C3">
        <w:rPr>
          <w:rFonts w:ascii="Times New Roman" w:hAnsi="Times New Roman"/>
          <w:color w:val="000000" w:themeColor="text1"/>
          <w:sz w:val="16"/>
          <w:szCs w:val="16"/>
        </w:rPr>
        <w:lastRenderedPageBreak/>
        <w:t>соответствии с распоряжением СМ № 6391-рс от 26 мая 1948 года) НИИ СПВА переименован в НИИ-61 с сохранением места расположения (завод № 304 НКВ, Кунцево) (10293).</w:t>
      </w:r>
    </w:p>
    <w:p w14:paraId="40635B9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EBD66EE"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03227F5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D7C265D"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мая 1944 года вышел приказ № 249с НКВ</w:t>
      </w:r>
    </w:p>
    <w:p w14:paraId="7ED89DFE"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соответствии с постановлением СНК № 1672-700с от 19 июня 1941 года:</w:t>
      </w:r>
    </w:p>
    <w:p w14:paraId="573212CE"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Организовать в системе НКВ НИИ стрелково-пушечного вооружения авиации (НИИ СПВА) (6421, 146).</w:t>
      </w:r>
    </w:p>
    <w:p w14:paraId="37085AA7"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68A8F2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мая 1944 г. по приказу НКВ в соответствии с пост. СНК от 19.06.1941 г. для разработки и изготовления новых образцов СПВА, анализа перспектив развития и эксплуатации СПВА организован НИИ-61 НКВ, MB, МОП, НИИ Стрелково-пушечного вооружения авиации (НИИ СПВА) /пос. Кунцево Московской обл./. Первоначально располагался на территории завода № 304 в пос. Кунцево. В 1948 г. НИИ CIIBA переименовано в НИИ-61 MB. В 1949 г. в состав НИИ-61 влит НИИ-44. В 1950 г. часть НИИ-61 переведена в Климовск на территорию, смежную с Климовским заводом (№ 188). Далее это- ЦНИИточмаш.</w:t>
      </w:r>
    </w:p>
    <w:p w14:paraId="1CA1FCB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конце 1946 г. НИИ было привлечено к изучению немецкого опыта по созданию PC и пусковых установок.</w:t>
      </w:r>
    </w:p>
    <w:p w14:paraId="0D68F1D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(1948-50-е-)- В. Н. Новиков.</w:t>
      </w:r>
    </w:p>
    <w:p w14:paraId="0E138F0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директора (1946-50 г.)- В.Н. Казанцев.</w:t>
      </w:r>
    </w:p>
    <w:p w14:paraId="1F625D3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ЦНИИ точного машиностроения, ФГУП ФНПЦ «ЦНИИТочмаш»</w:t>
      </w:r>
    </w:p>
    <w:p w14:paraId="1B9F4C9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/142080(1)  г. Климовск Московской обл., ул. Заводская, 2(1) тел. 996-59-10/</w:t>
      </w:r>
    </w:p>
    <w:p w14:paraId="49492FF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1950 г. часть НИИ-61 переведена в Климовск на территорию, смежную с Климовским заводом (№ 188). Далее это- ЦНИИточмаш.</w:t>
      </w:r>
    </w:p>
    <w:p w14:paraId="17C2EA8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Разработка, испытания и сертификация стрелкового оружия. Разработка вращающегося снаряда 82-мм для пуска с самолета назад, работы по подкалиберным снарядам для авиапушек и зенитных орудий. Создавались авиапушка АО-9 для кормовой подвижной пушечной установки.</w:t>
      </w:r>
    </w:p>
    <w:p w14:paraId="2BAC334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Головная организация (2005 г.) по разработке боевой экипировки, стрелкового вооружения, боеприпасов к нему, тренажеров стрелкового оружия, средств защиты от высокоточного оружия, артиллерии батальонно- полкового звена и вооружения для ВДВ.</w:t>
      </w:r>
    </w:p>
    <w:p w14:paraId="08381CC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Принимал участие в разработке Федеральной целевой программы «Боец-21»- в области носимого вооружения, экипировки и спецоснащения ВС РФ до 2015 г.</w:t>
      </w:r>
    </w:p>
    <w:p w14:paraId="6BB422E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2005 г. разработано более 90 образцов и комплектов вооружения, переданных на снабжение армии.</w:t>
      </w:r>
    </w:p>
    <w:p w14:paraId="78AAFAD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Указу Президента РФ № 1009 от 4.08.2004 г. вошел в число стратегических оборонных предприятий, в этом же году институту присвоен статус ФНПЦ. С 1996 г. (и на 2004 г.) входил в ТФПГ «Точность».</w:t>
      </w:r>
    </w:p>
    <w:p w14:paraId="5266C42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В.М. Сабельников. Гендиректор (-2000 г.)- А.В. Хиникадзе, (28.04.2000-04 г.-)- В.Н. Иванов.</w:t>
      </w:r>
    </w:p>
    <w:p w14:paraId="4B7F09B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конструктор (2000 г.)- Н.Н. Денисов.</w:t>
      </w:r>
    </w:p>
    <w:p w14:paraId="63A4A89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Создано: пулемет «Печенег» 6П41 (1999); автоматы: малогабаритный СР.З, бесшумный АС, подводный АПС; пистолет-пулемет СР.2 «Вереск»; пистолеты: 6П35, СР.1М «Гюрза», «Удар», бесшумный ПСС, подводный СПП- 1; винтовка снайперская специальная 9-мм ВСС «Винторез» (пнв в 1987 г.); патроны: СП4, 9х 39 СП5, СПб, СП10, СП11, СП12, 7БТЗ; для подводного оружия МПС, СПС; 120-мм универсальный арткомплекс «Нона-С», 125-мм самоходная противотанковая пушка «Спрут-Б»; БМД-2, БМД-3; прибор управления и наведения ПТРК «Корнет»; тренажер для обучения стрельбе 1У35 (2006); базовая экипировка «Бармица» (2003).</w:t>
      </w:r>
    </w:p>
    <w:p w14:paraId="3EE587E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Производство: патроны калибра 7,62 и 12,6 мм; аппаратура управления для ПТУР «Фагот», «Фактория», «Корнет-Э», «Метис-М» (1999) (11982).</w:t>
      </w:r>
    </w:p>
    <w:p w14:paraId="069B358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B60837D" w14:textId="77777777" w:rsidR="00C00622" w:rsidRPr="007224C3" w:rsidRDefault="00C00622"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17 мая</w:t>
      </w:r>
      <w:r w:rsidRPr="007224C3">
        <w:rPr>
          <w:rFonts w:ascii="Times New Roman" w:hAnsi="Times New Roman"/>
          <w:color w:val="000000" w:themeColor="text1"/>
          <w:sz w:val="16"/>
          <w:szCs w:val="16"/>
        </w:rPr>
        <w:t xml:space="preserve"> в 1944 году образовано ФГУП "ЦНИИ точного машиностроения" – город Климовск. НИИ стрелково-пушечного вооружения авиации организовано в соответствии с приказом Наркома вооружения СССР от 17 мая 1944 года на основании постановления Совнаркома СССР от 19 июня 1941 года. В 1966 году приказом Миноборонпрома он реорганизован в Центральный научно-исследовательский институт, отвечающий за определение перспектив развития, решение основных научно-технических проблем, исследования, разработку и испытания наиболее массовых видов оружия и техники для армии, авиации и флота. Сегодня ФГУП "ЦНИИ точного машиностроения" - головная организация промышленности по разработке направлений совершенствования и развития стрелкового оружия, боеприпасов и тренажеров, боевой экипировки военнослужащих и средств защиты от высокоточного оружия. Имеет государственную аккредитацию как научная организация, а с 2004 года статус Федерального научно-производственного центра. При непосредственном участии ЦНИИТОЧМАШ разработаны, освоены в серийном производстве и переданы армии, авиации, флоту, специальным подразделениям правоохранительных органов более 90 образцов и комплексов вооружений и технических средств различного назначения, в том числе около 20 за последнее десятилетие. На основе выполненных институтом комплексных научно-исследовательских работ созданы образцы оружия и патронов систем общевойскового стрелкового, подводного специального (пистолет, автомат и боеприпасы к ним СПС, МПС и МПС-Т), бесшумного специального вооружения (автомат АСС, винтовка ВСС, пистолет ПСС, патроны к ним СПб, СПб, СП4) и систем для подразделений по борьбе с терроризмом (пистолет СР1, пистолет-пулемет СР2 с коллиматорным прицелом КП-СР2 и единые патроны к ним СП10, СП11,СП12, 7БТЗ; малогабаритный автомат СРЗ под патроны СП5, СПб). В последнее десятилетие при научно-техническом сопровождении института разработаны и приняты на вооружение высокоэффективный автомат АН-94 «Абакан»; армейский пистолетный комплекс «Грач»; пехотный пулемет «Печенег» и его модификации 6П41Н, 6П41С, 6П.41СН; самозарядный пистолет Сердюкова (индекс 6П53); и новое поколение 120-мм универсальных артиллерийских комплексов, сочетающих качества миномета, гаубицы и противотанковой пушки («Нона», «Нона-С», «Нона-СВК»),а так же аппаратуру лазерных каналов наземной аппаратуры управления ПТРК «Корнет», системы автоматического обнаружения, слежения и сопровождения для вертолетного комплекса «Ка-50», образцы ГСН для высокоточного оружия различного назначения (14894).</w:t>
      </w:r>
    </w:p>
    <w:p w14:paraId="10A0FBEC" w14:textId="77777777" w:rsidR="00C00622" w:rsidRPr="007224C3" w:rsidRDefault="00C00622" w:rsidP="007224C3">
      <w:pPr>
        <w:spacing w:after="0" w:line="240" w:lineRule="auto"/>
        <w:jc w:val="both"/>
        <w:rPr>
          <w:rFonts w:ascii="Times New Roman" w:hAnsi="Times New Roman"/>
          <w:color w:val="000000" w:themeColor="text1"/>
          <w:sz w:val="16"/>
          <w:szCs w:val="16"/>
        </w:rPr>
      </w:pPr>
    </w:p>
    <w:p w14:paraId="0AED5857"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мая 1944 года вышел приказ № 98/262с НКБ и НКЦМ</w:t>
      </w:r>
    </w:p>
    <w:p w14:paraId="4E62BFA5"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соответствии с постановлением Правительства от 7 мая 1944 года за № 5824-сс:</w:t>
      </w:r>
    </w:p>
    <w:p w14:paraId="3D5F0611"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Передать из системы НКЦМ в систему НКБ Московский 1-й механический завод. Завод передать в 8 Гл. управление НКБ (6015, 11).</w:t>
      </w:r>
    </w:p>
    <w:p w14:paraId="01788DF3"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8EA599B"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мая 1944 вышло Постановление ГКО № 5908 О неотложных мерах по материально-техническому обеспечению железнодорожного транспорта во II кв. 1944 г. (7233, 82-95,96-106).</w:t>
      </w:r>
    </w:p>
    <w:p w14:paraId="217C36E0"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551EAC2" w14:textId="77777777" w:rsidR="004B3F0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22A7D93A" w14:textId="77777777" w:rsidR="004B3F09" w:rsidRPr="007224C3" w:rsidRDefault="004B3F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C453F81" w14:textId="77777777" w:rsidR="004B3F09" w:rsidRPr="007224C3" w:rsidRDefault="004B3F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17 мая</w:t>
      </w:r>
      <w:r w:rsidRPr="007224C3">
        <w:rPr>
          <w:rFonts w:ascii="Times New Roman" w:hAnsi="Times New Roman"/>
          <w:color w:val="000000" w:themeColor="text1"/>
          <w:sz w:val="16"/>
          <w:szCs w:val="16"/>
        </w:rPr>
        <w:t xml:space="preserve"> в 1944 году оперативная сводка Совинформбюро:</w:t>
      </w:r>
    </w:p>
    <w:p w14:paraId="27A20740" w14:textId="77777777" w:rsidR="004B3F09" w:rsidRPr="007224C3" w:rsidRDefault="004B3F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17 мая на фронтах существенных изменений не произошло. За 16 мая наши войска подбили и уничтожили 9 немецких танков. В воздушных боях и огнём зенитной артиллерии сбито 29 самолётов противника.»</w:t>
      </w:r>
    </w:p>
    <w:p w14:paraId="0DFCFA1B" w14:textId="77777777" w:rsidR="004B3F09" w:rsidRPr="007224C3" w:rsidRDefault="004B3F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Бомбардировка нашей авиацией железнодорожных узлов Минск, Барановичи, Холм:</w:t>
      </w:r>
    </w:p>
    <w:p w14:paraId="3D13A374" w14:textId="77777777" w:rsidR="004B3F09" w:rsidRPr="007224C3" w:rsidRDefault="004B3F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ночь на 17 мая наша авиация дальнего действия бомбардировала скопления воинских эшелонов и военные склады противника на железнодорожных узлах Минск, Барановичи, Холм (западнее Ковеля).</w:t>
      </w:r>
    </w:p>
    <w:p w14:paraId="35727FD5" w14:textId="77777777" w:rsidR="004B3F09" w:rsidRPr="007224C3" w:rsidRDefault="004B3F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результате бомбардировки на железнодорожном узле Минск возникло 7 очагов пожара, которые затем слились в один пожар большого размера. Наблюдением отмечено много сильных взрывов. Такой же интенсивной бомбардировке был подвергнут и железнодорожный узел Барановичи.</w:t>
      </w:r>
    </w:p>
    <w:p w14:paraId="049ED2B8" w14:textId="77777777" w:rsidR="004B3F09" w:rsidRPr="007224C3" w:rsidRDefault="004B3F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железнодорожном узле Холм (западнее Ковеля) к моменту налёта находилось много железнодорожных составов с войсками и техникой противника. Прямым попаданием бомб разбито несколько эшелонов. Возникли многочисленные пожары, сопровождавшиеся взрывами. Фотографированием установлено, что на железнодорожном узле горят вагоны, платформы и военные склады. Пламя пожаров наши лётчики наблюдали с расстояния более 100 километров.</w:t>
      </w:r>
    </w:p>
    <w:p w14:paraId="5C068321" w14:textId="77777777" w:rsidR="004B3F09" w:rsidRPr="007224C3" w:rsidRDefault="004B3F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Три наших самолёта не вернулись на свои аэродромы.»</w:t>
      </w:r>
    </w:p>
    <w:p w14:paraId="00E1823A" w14:textId="77777777" w:rsidR="004B3F09" w:rsidRPr="007224C3" w:rsidRDefault="004B3F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«Юго-восточнее города Станислав бойцы Н-ской части ворвались в траншеи противника и после непродолжительной схватки овладели ими. Стремясь восстановить положение, немцы предприняли две контратаки, но успеха не добились. На поле боя осталось до 500 вражеских трупов. Наши подразделения захватили 150 пленных, 6 орудий, 16 миномётов, 22 пулемёта, 120 винтовок и 10 автомашин.</w:t>
      </w:r>
    </w:p>
    <w:p w14:paraId="664D9A7F" w14:textId="77777777" w:rsidR="004B3F09" w:rsidRPr="007224C3" w:rsidRDefault="004B3F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Северо-западнее города Тирасполь, на правом берегу реки Днестр, подразделения Н-ской гвардейской части утром атаковали противника. В результате боя советские гвардейцы овладели выгодными позициями. Уничтожено две роты гитлеровцев.</w:t>
      </w:r>
    </w:p>
    <w:p w14:paraId="4A2CF984" w14:textId="77777777" w:rsidR="004B3F09" w:rsidRPr="007224C3" w:rsidRDefault="004B3F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Авиация Краснознамённого Балтийского флота нанесла удар по судам противника в Финском заливе. Прямыми попаданиями бомб потоплено три немецких тральщика и два сторожевых катера.</w:t>
      </w:r>
    </w:p>
    <w:p w14:paraId="3A6D1A2A" w14:textId="77777777" w:rsidR="004B3F09" w:rsidRPr="007224C3" w:rsidRDefault="004B3F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воздушных боях над конвоем противника наши лётчики сбили 16 немецких самолётов.</w:t>
      </w:r>
    </w:p>
    <w:p w14:paraId="0691959A" w14:textId="77777777" w:rsidR="004B3F09" w:rsidRPr="007224C3" w:rsidRDefault="004B3F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Группа партизан из отряда имени Щорса, действующего в Львовской области, в начале мая внезапно ворвалась на одну железнодорожную станцию. Уничтожив охрану, советские патриоты разрушили связь, взорвали входные и выходные стрелки и подожгли военный склад противника. Партизаны отряда имени Суворова </w:t>
      </w:r>
      <w:r w:rsidRPr="007224C3">
        <w:rPr>
          <w:rFonts w:ascii="Times New Roman" w:hAnsi="Times New Roman"/>
          <w:color w:val="000000" w:themeColor="text1"/>
          <w:sz w:val="16"/>
          <w:szCs w:val="16"/>
        </w:rPr>
        <w:lastRenderedPageBreak/>
        <w:t>подорвали немецкий воинский эшелон. Разбиты паровоз и 9 вагонов с боеприпасами. Кроме того, партизанами взорвано 300 метров железнодорожных рельсов. Движение поездов на этом участке железной дороги было прервано на трое суток.</w:t>
      </w:r>
    </w:p>
    <w:p w14:paraId="1A24EE58" w14:textId="77777777" w:rsidR="004B3F09" w:rsidRPr="007224C3" w:rsidRDefault="004B3F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Жители румынских районов, занятых Красной Армией, получили возможность свободно выразить свое отношение к войне и к гитлеровской Германии, навязавшей эту войну Румынии. В городе Хырлэу примария (орган местной власти) созвала сходку, на которой присутствовало до 300 человек. На сходке выступили примар города, священник Константинеску и другие жители. Священник Константинеску заявил: «Немцы были неистощимы в клеветнических выдумках, в описаниях ужасов, будто бы ожидающих нас с приходом русских войск. Сейчас мы все убедились, что немцы бессовестно лгали. Я счастлив, что остался здесь, и постараюсь помочь Красной Армии чем только смогу». Священник Аргир Попа в своей проповеди заявил прихожанам: «Сейчас мы все видим, что Красная Армия пришла в Румынию не для того, чтобы завоевать румынскую землю. Советские войска пришли сюда, чтобы изгнать немцев. Все верующие, все румыны должны помогать Красной Армии, ибо она освобождает нашу страну от немцев — исконных врагов Румынии».</w:t>
      </w:r>
    </w:p>
    <w:p w14:paraId="15D85EB1" w14:textId="77777777" w:rsidR="004B3F09" w:rsidRPr="007224C3" w:rsidRDefault="004B3F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Исторического музея города Сучава профессор Сорочан сообщил: «Немецкие военные власти разместили в Историческом музее и его библиотеке воинскую часть. Отступая, немцы разгромили и растащили музей. Когда их изгнали из города, я обнаружил, что ценнейшие экспонаты музея — древние памятники, оружие, витрины старинных монет, предметы домашнего обихода — уничтожены. Из библиотеки исчезли ценные и редкие книги. Вот что наделали эти варвары».</w:t>
      </w:r>
    </w:p>
    <w:p w14:paraId="28B57309" w14:textId="77777777" w:rsidR="004B3F09" w:rsidRPr="007224C3" w:rsidRDefault="004B3F0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Помещик Василе Алексуку рассказал: «В первую мировую войну я воевал против немцев. С тех пор немцы стали еще наглее, они выкачивают у Румынии нефть, продовольствие и сырьё. Немцы и их пособники запугивали нас и говорили, что, когда советские войска придут в Румынию, они будут беспощадно мстить румынам. Но русские не мстят мирному населению. Немецкие солдаты забрали у меня много лошадей, скота и три трактора. Русские у меня ничего не взяли. Обе мои мельницы работают бесперебойно. Я убедился, что Красная Армия не желает зла румынскому народу. Я, как и многие румыны, хочу, чтобы немцы были навсегда изгнаны с румынской территории» (14894).</w:t>
      </w:r>
    </w:p>
    <w:p w14:paraId="540AE5BA" w14:textId="77777777" w:rsidR="004B3F09" w:rsidRPr="007224C3" w:rsidRDefault="004B3F09" w:rsidP="007224C3">
      <w:pPr>
        <w:spacing w:after="0" w:line="240" w:lineRule="auto"/>
        <w:jc w:val="both"/>
        <w:rPr>
          <w:rFonts w:ascii="Times New Roman" w:hAnsi="Times New Roman"/>
          <w:color w:val="000000" w:themeColor="text1"/>
          <w:sz w:val="16"/>
          <w:szCs w:val="16"/>
        </w:rPr>
      </w:pPr>
    </w:p>
    <w:p w14:paraId="411BF905"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Жизнь и внутренняя политика:</w:t>
      </w:r>
    </w:p>
    <w:p w14:paraId="692D169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1C8C70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17-18 мая 1944 была высылка крымских татар в Казахстан и Среднюю Азию (1348,123).</w:t>
      </w:r>
    </w:p>
    <w:p w14:paraId="0E86EF3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92FA6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17-18 мая 1944 в Казахстан и СА были высланы Крымские татары и Крымская АССР стала Крымской областью (3908,369).</w:t>
      </w:r>
    </w:p>
    <w:p w14:paraId="469C21F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D012EA" w14:textId="77777777" w:rsidR="005F2ECF"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3F728375" w14:textId="77777777" w:rsidR="005F2ECF" w:rsidRPr="007224C3" w:rsidRDefault="005F2ECF"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72A0170" w14:textId="77777777" w:rsidR="005F2ECF" w:rsidRPr="007224C3" w:rsidRDefault="005F2ECF"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17 мая</w:t>
      </w:r>
      <w:r w:rsidRPr="007224C3">
        <w:rPr>
          <w:rFonts w:ascii="Times New Roman" w:hAnsi="Times New Roman"/>
          <w:color w:val="000000" w:themeColor="text1"/>
          <w:sz w:val="16"/>
          <w:szCs w:val="16"/>
        </w:rPr>
        <w:t xml:space="preserve"> в 1944 году в Германии состоялся первый испытательный пилотируемый полет необычного летательного аппарата - "Модель-2" ("Вертикального самолета" или "Фау-7", буквально летающей тарелки) конструкции инженеров Шривера и Габермоля. Скорость аппарата достигла 288 км/ч (14894).</w:t>
      </w:r>
    </w:p>
    <w:p w14:paraId="1185E8AD" w14:textId="77777777" w:rsidR="005F2ECF" w:rsidRPr="007224C3" w:rsidRDefault="005F2ECF" w:rsidP="007224C3">
      <w:pPr>
        <w:spacing w:after="0" w:line="240" w:lineRule="auto"/>
        <w:jc w:val="both"/>
        <w:rPr>
          <w:rFonts w:ascii="Times New Roman" w:hAnsi="Times New Roman"/>
          <w:color w:val="000000" w:themeColor="text1"/>
          <w:sz w:val="16"/>
          <w:szCs w:val="16"/>
        </w:rPr>
      </w:pPr>
    </w:p>
    <w:p w14:paraId="593BF728" w14:textId="77777777" w:rsidR="005F2ECF" w:rsidRPr="007224C3" w:rsidRDefault="005F2ECF"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17 мая</w:t>
      </w:r>
      <w:r w:rsidRPr="007224C3">
        <w:rPr>
          <w:rFonts w:ascii="Times New Roman" w:hAnsi="Times New Roman"/>
          <w:color w:val="000000" w:themeColor="text1"/>
          <w:sz w:val="16"/>
          <w:szCs w:val="16"/>
        </w:rPr>
        <w:t xml:space="preserve"> в 1944 году приступили к испытаниям опытного образца учебно-тренировочного самолёта </w:t>
      </w:r>
      <w:hyperlink r:id="rId128" w:tgtFrame="_blank" w:history="1">
        <w:r w:rsidRPr="007224C3">
          <w:rPr>
            <w:rFonts w:ascii="Times New Roman" w:hAnsi="Times New Roman"/>
            <w:color w:val="000000" w:themeColor="text1"/>
            <w:sz w:val="16"/>
            <w:szCs w:val="16"/>
          </w:rPr>
          <w:t xml:space="preserve">«I.Ae.22» «DL» </w:t>
        </w:r>
      </w:hyperlink>
      <w:r w:rsidRPr="007224C3">
        <w:rPr>
          <w:rFonts w:ascii="Times New Roman" w:hAnsi="Times New Roman"/>
          <w:color w:val="000000" w:themeColor="text1"/>
          <w:sz w:val="16"/>
          <w:szCs w:val="16"/>
        </w:rPr>
        <w:t>(разработчик: «FMA», Аргентина). Прототип в короткий срок прошел испытательный цикл и был принят к серийному производству. По заказу ВВС на предприятии «FMA» заложили две серии по 100 самолётов, последний из которых надлежало сдать в 1946 г. В течении 1944 гг. удалось собрать всего 10 самолётов, но затем темпы производства возросли и в год выпускали по 49 машин. Всего построили 206 экземпляров «I.Ae.22», долгое время состоявших на вооружении ВВС Аргентины. В серии строился вариант с аргентинским мотором «Ае.16» "Gaucho" (450 л.с.) с винтом «Hamilton-Standart» либо с британским «Armstrong Siddley» "Cheetah" 25 (475 л.с.) с винтом фирмы «Rotol». Вторая модификация, обозначавшаяся как 2I.Ae.22C», отличалась несколько более высокими данными и возросшей массой (14894).</w:t>
      </w:r>
    </w:p>
    <w:p w14:paraId="6C85B037" w14:textId="77777777" w:rsidR="005F2ECF" w:rsidRPr="007224C3" w:rsidRDefault="005F2ECF" w:rsidP="007224C3">
      <w:pPr>
        <w:spacing w:after="0" w:line="240" w:lineRule="auto"/>
        <w:jc w:val="both"/>
        <w:rPr>
          <w:rFonts w:ascii="Times New Roman" w:hAnsi="Times New Roman"/>
          <w:color w:val="000000" w:themeColor="text1"/>
          <w:sz w:val="16"/>
          <w:szCs w:val="16"/>
        </w:rPr>
      </w:pPr>
    </w:p>
    <w:p w14:paraId="1992B173" w14:textId="77777777" w:rsidR="00DD3D22" w:rsidRPr="007224C3" w:rsidRDefault="00DD3D22"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17 мая 1944 99 B-24 военно - воздушных сил пятой и тринадцатой воздушных армий нанесли удар по Биак. После этого каждый день, кроме одного, во время высадки американских амфибий на Биак 27 мая, обе армии будут проводить почти ежедневные налеты на Биак и Фогелькоп (20373).</w:t>
      </w:r>
    </w:p>
    <w:p w14:paraId="2BAE4C97" w14:textId="77777777" w:rsidR="00DD3D22" w:rsidRPr="007224C3" w:rsidRDefault="00DD3D22" w:rsidP="007224C3">
      <w:pPr>
        <w:spacing w:after="0" w:line="240" w:lineRule="auto"/>
        <w:jc w:val="both"/>
        <w:rPr>
          <w:rFonts w:ascii="Times New Roman" w:hAnsi="Times New Roman"/>
          <w:color w:val="0070C0"/>
          <w:sz w:val="16"/>
          <w:szCs w:val="16"/>
        </w:rPr>
      </w:pPr>
    </w:p>
    <w:p w14:paraId="58BCFF17" w14:textId="77777777" w:rsidR="00DD3D22" w:rsidRPr="007224C3" w:rsidRDefault="00DD3D22"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17 мая 1944 самолеты британского авианосца HMS Illustrious и американского авианосца USS Saratoga (CV-3) наносят удар по нефтеперерабатывающему заводу в Сурабае, Ява (20373).</w:t>
      </w:r>
    </w:p>
    <w:p w14:paraId="65930512" w14:textId="77777777" w:rsidR="00DD3D22" w:rsidRPr="007224C3" w:rsidRDefault="00DD3D22" w:rsidP="007224C3">
      <w:pPr>
        <w:spacing w:after="0" w:line="240" w:lineRule="auto"/>
        <w:jc w:val="both"/>
        <w:rPr>
          <w:rFonts w:ascii="Times New Roman" w:hAnsi="Times New Roman"/>
          <w:color w:val="0070C0"/>
          <w:sz w:val="16"/>
          <w:szCs w:val="16"/>
        </w:rPr>
      </w:pPr>
    </w:p>
    <w:p w14:paraId="5FC62364" w14:textId="77777777" w:rsidR="005F2ECF" w:rsidRPr="007224C3" w:rsidRDefault="005F2ECF"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17 мая</w:t>
      </w:r>
      <w:r w:rsidRPr="007224C3">
        <w:rPr>
          <w:rFonts w:ascii="Times New Roman" w:hAnsi="Times New Roman"/>
          <w:color w:val="000000" w:themeColor="text1"/>
          <w:sz w:val="16"/>
          <w:szCs w:val="16"/>
        </w:rPr>
        <w:t xml:space="preserve"> в 1944 году немецкие войска отступают из Кассино (14894).</w:t>
      </w:r>
    </w:p>
    <w:p w14:paraId="4F48A571" w14:textId="77777777" w:rsidR="005F2ECF" w:rsidRPr="007224C3" w:rsidRDefault="005F2ECF" w:rsidP="007224C3">
      <w:pPr>
        <w:spacing w:after="0" w:line="240" w:lineRule="auto"/>
        <w:jc w:val="both"/>
        <w:rPr>
          <w:rFonts w:ascii="Times New Roman" w:hAnsi="Times New Roman"/>
          <w:color w:val="000000" w:themeColor="text1"/>
          <w:sz w:val="16"/>
          <w:szCs w:val="16"/>
        </w:rPr>
      </w:pPr>
    </w:p>
    <w:p w14:paraId="30FFD265"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6137273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BE8172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мая 1944 Зам. ГИ ВВС КА л-л ИАС Лапин писал письмо N 921607 Зам. наркома П.Дементьеву (вход. 6540 от 19 мая 1944) о недостаточной живучести брони самолета Ил-2 и о необходимости повышения вязкости, сделанные на основе единичного испытания НИИ ВВС КА в искусственных условиях. Стреляли 15-20 мм снарядами по одному корпусу на земле (1818,10).</w:t>
      </w:r>
    </w:p>
    <w:p w14:paraId="31CC6F5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 частей ВВС КА начали поступать сведения о том, что бронедетали корпуса самолета Ил-2 при поражении их снарядами кал. 15 и 20 мм из авиационного вооружения противника дают хрупкие разрушения.</w:t>
      </w:r>
    </w:p>
    <w:p w14:paraId="0AD8E78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связи с этим НИИ ВВС КА в апреле месяце с.г. были проведены испытания отстрелом бронекорпуса самолета Ил-2, изготовленного на заводе 125 НКАП во втором квартале 1943.</w:t>
      </w:r>
    </w:p>
    <w:p w14:paraId="3E35F37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Эти испытания подтвердили, что при обстреле бронекорпуса снарядами кал. 15-20 мм броня дает хрупкие разрушения: расколы, проломы и отколы. При этом было обнаружено, что с тыльной стороны в месте удара снаряда, отрывается слой металла, толщиной примерно в половину листа и в некоторых случаях загибается наподобие стружки.</w:t>
      </w:r>
    </w:p>
    <w:p w14:paraId="36CAE20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Металлографическими исследованиями качества материала установлено, что металл бронекорпуса сильно загрязнен неметаллическими включениями.</w:t>
      </w:r>
    </w:p>
    <w:p w14:paraId="204DAAF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Исходя из вышеизложенного прошу Ваших распоряжений:</w:t>
      </w:r>
    </w:p>
    <w:p w14:paraId="5EA494B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ВИАМу и заводу 125 НКАП провести исследование взаимодействия снаряда кал. 15-20 мм с броней, применяемой для корпуса самолета Ил-2 и установить оптимальную технологию для нее, исключающую хрупкие разрушения при поражении снарядами данного калибра.</w:t>
      </w:r>
    </w:p>
    <w:p w14:paraId="6AE9A87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Заводам 125 и 207 обратить внимание на усиление контроля за качеством материала брони для корпусов самолета Ил-2.</w:t>
      </w:r>
    </w:p>
    <w:p w14:paraId="20F0A65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Отчет по испытанию бронекорпуса в НКАП направлен." (1818,11).</w:t>
      </w:r>
    </w:p>
    <w:p w14:paraId="4B2AFC0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Дементьев нанес резолюцию: т. Туманову. Прошу доложить по этому вопросу вместе с тов. Кишкиным 23 мая 1944 (1818,11).</w:t>
      </w:r>
    </w:p>
    <w:p w14:paraId="4B14566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4301BC" w14:textId="77777777" w:rsidR="00962976" w:rsidRPr="007224C3" w:rsidRDefault="00962976"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18 мая 1944 г. начальник НИИ АВ генерал-майор М. В. Гуревич утвердил отчет о влиянии «стрельбы из 37-мм пушки ОКБ-16 на матчасть серийного самолета завода № 30». Для этой работы в марте-мае был задействован Ил-2 зав. № 303189, на котором литые хомуты переднего и заднего кре</w:t>
      </w:r>
      <w:r w:rsidRPr="007224C3">
        <w:rPr>
          <w:color w:val="000000" w:themeColor="text1"/>
          <w:sz w:val="16"/>
          <w:szCs w:val="16"/>
        </w:rPr>
        <w:softHyphen/>
        <w:t>плений пушки были заменены коваными как более прочными. Были сделаны и другие доработки.</w:t>
      </w:r>
    </w:p>
    <w:p w14:paraId="33A6671C" w14:textId="77777777" w:rsidR="00962976" w:rsidRPr="007224C3" w:rsidRDefault="00962976"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Ответственным по испытаниям был назначен старший инженер 2-го отделения 1-го отдела НИИ АВ инженер-капитан В. Н. Лужецкий. Летали — май</w:t>
      </w:r>
      <w:r w:rsidRPr="007224C3">
        <w:rPr>
          <w:color w:val="000000" w:themeColor="text1"/>
          <w:sz w:val="16"/>
          <w:szCs w:val="16"/>
        </w:rPr>
        <w:softHyphen/>
        <w:t>ор М. В. Чернышенко и майор В. И. Сироткин. От НКАП в испытаниях участвовали начальник ОТК за</w:t>
      </w:r>
      <w:r w:rsidRPr="007224C3">
        <w:rPr>
          <w:color w:val="000000" w:themeColor="text1"/>
          <w:sz w:val="16"/>
          <w:szCs w:val="16"/>
        </w:rPr>
        <w:softHyphen/>
        <w:t>вода № 30 П. С. Сергеев и инженер опытного заво</w:t>
      </w:r>
      <w:r w:rsidRPr="007224C3">
        <w:rPr>
          <w:color w:val="000000" w:themeColor="text1"/>
          <w:sz w:val="16"/>
          <w:szCs w:val="16"/>
        </w:rPr>
        <w:softHyphen/>
        <w:t>да № 240 С. А. Певзнер.</w:t>
      </w:r>
    </w:p>
    <w:p w14:paraId="11CE6089" w14:textId="77777777" w:rsidR="00962976" w:rsidRPr="007224C3" w:rsidRDefault="00962976"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В общей сложности по программе испытаний было выполнено 43 полета со стрельбой из пу</w:t>
      </w:r>
      <w:r w:rsidRPr="007224C3">
        <w:rPr>
          <w:color w:val="000000" w:themeColor="text1"/>
          <w:sz w:val="16"/>
          <w:szCs w:val="16"/>
        </w:rPr>
        <w:softHyphen/>
        <w:t>шек 11П, в том числе 27 полетов — со стрельбой на пикировании, 10 — на выходе из пикирования, 6 — в горизонтальном полете. Суммарный настрел пушек составил 3799 выстрелов в воздухе и 6809 выстрелов — на земле.</w:t>
      </w:r>
    </w:p>
    <w:p w14:paraId="355A268F" w14:textId="77777777" w:rsidR="00962976" w:rsidRPr="007224C3" w:rsidRDefault="00962976"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Как следует из материалов отчета, сила отдачи «на специальном станке с жестким креплением пу</w:t>
      </w:r>
      <w:r w:rsidRPr="007224C3">
        <w:rPr>
          <w:color w:val="000000" w:themeColor="text1"/>
          <w:sz w:val="16"/>
          <w:szCs w:val="16"/>
        </w:rPr>
        <w:softHyphen/>
        <w:t>шек» при заливке гидротормоза тяжелым кероси</w:t>
      </w:r>
      <w:r w:rsidRPr="007224C3">
        <w:rPr>
          <w:color w:val="000000" w:themeColor="text1"/>
          <w:sz w:val="16"/>
          <w:szCs w:val="16"/>
        </w:rPr>
        <w:softHyphen/>
        <w:t>ном колебалась в пределах 4200—4400 кг, а при за</w:t>
      </w:r>
      <w:r w:rsidRPr="007224C3">
        <w:rPr>
          <w:color w:val="000000" w:themeColor="text1"/>
          <w:sz w:val="16"/>
          <w:szCs w:val="16"/>
        </w:rPr>
        <w:softHyphen/>
        <w:t>ливке водоглицериновой смесью — 4050—4750 кг. То есть отдача оказалась меньше, чем намерили в институте в 1943 г. Однако настрел без наруше</w:t>
      </w:r>
      <w:r w:rsidRPr="007224C3">
        <w:rPr>
          <w:color w:val="000000" w:themeColor="text1"/>
          <w:sz w:val="16"/>
          <w:szCs w:val="16"/>
        </w:rPr>
        <w:softHyphen/>
        <w:t>ния прочности крыла ограничивался все теми же 3000 выстрелами из каждой пушки. «При данной жесткости установок не может быть обеспечена на</w:t>
      </w:r>
      <w:r w:rsidRPr="007224C3">
        <w:rPr>
          <w:color w:val="000000" w:themeColor="text1"/>
          <w:sz w:val="16"/>
          <w:szCs w:val="16"/>
        </w:rPr>
        <w:softHyphen/>
        <w:t>дежная работа пушек из-за большого смещения их во время стрельбы относительно крыла, что также лимитирует живучесть установки», — констатиро</w:t>
      </w:r>
      <w:r w:rsidRPr="007224C3">
        <w:rPr>
          <w:color w:val="000000" w:themeColor="text1"/>
          <w:sz w:val="16"/>
          <w:szCs w:val="16"/>
        </w:rPr>
        <w:softHyphen/>
        <w:t>валось в отчете по результатам испытаний. Для по</w:t>
      </w:r>
      <w:r w:rsidRPr="007224C3">
        <w:rPr>
          <w:color w:val="000000" w:themeColor="text1"/>
          <w:sz w:val="16"/>
          <w:szCs w:val="16"/>
        </w:rPr>
        <w:softHyphen/>
        <w:t>вышения эффективности стрельбы из 11П на само</w:t>
      </w:r>
      <w:r w:rsidRPr="007224C3">
        <w:rPr>
          <w:color w:val="000000" w:themeColor="text1"/>
          <w:sz w:val="16"/>
          <w:szCs w:val="16"/>
        </w:rPr>
        <w:softHyphen/>
        <w:t>лете Ил-2 требовалось: «а) уменьшить силу отдачи; б) приблизить пушки к продольной оси самолета и установить их непосредственно в крыле» (17500).</w:t>
      </w:r>
    </w:p>
    <w:p w14:paraId="5E861E07" w14:textId="77777777" w:rsidR="00962976" w:rsidRPr="007224C3" w:rsidRDefault="00962976" w:rsidP="007224C3">
      <w:pPr>
        <w:spacing w:after="0" w:line="240" w:lineRule="auto"/>
        <w:jc w:val="both"/>
        <w:rPr>
          <w:rFonts w:ascii="Times New Roman" w:eastAsia="Times New Roman" w:hAnsi="Times New Roman"/>
          <w:color w:val="000000" w:themeColor="text1"/>
          <w:sz w:val="16"/>
          <w:szCs w:val="16"/>
          <w:lang w:eastAsia="ru-RU"/>
        </w:rPr>
      </w:pPr>
    </w:p>
    <w:p w14:paraId="5A3AE9D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мая 1944 А.И.Ш. писал Г.М.М. письмо N Н-33/2485:</w:t>
      </w:r>
    </w:p>
    <w:p w14:paraId="21294A7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"Посылаю на Ваше рассмотрение проект докладной записки с проектом постановления ГКО "О постановке серийного производства самолета Ил с АМ-42 на заводе 18":</w:t>
      </w:r>
    </w:p>
    <w:p w14:paraId="4819EED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Председателю ГКО Сталину И.В.</w:t>
      </w:r>
    </w:p>
    <w:p w14:paraId="25ECE93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Опытный 2-х местный бронированный самолет Ил производства завода 240 с опытным мотором АМ-42 гос. испытания выдержал и рекомендован в серийное производство в вариантах штурмовика-бомбардировщика и разведчика корректировщика.</w:t>
      </w:r>
    </w:p>
    <w:p w14:paraId="0CBB38B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Основные данные самолета Ил с АМ-42 и сравнение их с серийным Ил-2 с АМ-38Ф:</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2254"/>
      </w:tblGrid>
      <w:tr w:rsidR="005106D0" w:rsidRPr="007224C3" w14:paraId="1654173D" w14:textId="77777777">
        <w:tc>
          <w:tcPr>
            <w:tcW w:w="2254" w:type="dxa"/>
          </w:tcPr>
          <w:p w14:paraId="057BD9F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7B659A8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Ил с</w:t>
            </w:r>
          </w:p>
        </w:tc>
        <w:tc>
          <w:tcPr>
            <w:tcW w:w="2254" w:type="dxa"/>
          </w:tcPr>
          <w:p w14:paraId="03E5A63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Ил-2 с</w:t>
            </w:r>
          </w:p>
        </w:tc>
        <w:tc>
          <w:tcPr>
            <w:tcW w:w="2254" w:type="dxa"/>
          </w:tcPr>
          <w:p w14:paraId="1C26C4A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Ил с</w:t>
            </w:r>
          </w:p>
        </w:tc>
      </w:tr>
      <w:tr w:rsidR="005106D0" w:rsidRPr="007224C3" w14:paraId="0908BD2C" w14:textId="77777777">
        <w:tc>
          <w:tcPr>
            <w:tcW w:w="2254" w:type="dxa"/>
          </w:tcPr>
          <w:p w14:paraId="330C325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75F3E96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АМ-42 шт.</w:t>
            </w:r>
          </w:p>
        </w:tc>
        <w:tc>
          <w:tcPr>
            <w:tcW w:w="2254" w:type="dxa"/>
          </w:tcPr>
          <w:p w14:paraId="294DFE4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АМ-38Ф (сер.)</w:t>
            </w:r>
          </w:p>
        </w:tc>
        <w:tc>
          <w:tcPr>
            <w:tcW w:w="2254" w:type="dxa"/>
          </w:tcPr>
          <w:p w14:paraId="3021500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АМ-42 разв./кор.</w:t>
            </w:r>
          </w:p>
        </w:tc>
      </w:tr>
      <w:tr w:rsidR="005106D0" w:rsidRPr="007224C3" w14:paraId="370A6485" w14:textId="77777777">
        <w:tc>
          <w:tcPr>
            <w:tcW w:w="2254" w:type="dxa"/>
          </w:tcPr>
          <w:p w14:paraId="2F4DE82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Норм. полетный вес</w:t>
            </w:r>
          </w:p>
        </w:tc>
        <w:tc>
          <w:tcPr>
            <w:tcW w:w="2254" w:type="dxa"/>
          </w:tcPr>
          <w:p w14:paraId="5AD0B9B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7260</w:t>
            </w:r>
          </w:p>
        </w:tc>
        <w:tc>
          <w:tcPr>
            <w:tcW w:w="2254" w:type="dxa"/>
          </w:tcPr>
          <w:p w14:paraId="1472C57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6265</w:t>
            </w:r>
          </w:p>
        </w:tc>
        <w:tc>
          <w:tcPr>
            <w:tcW w:w="2254" w:type="dxa"/>
          </w:tcPr>
          <w:p w14:paraId="120DD0A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6725</w:t>
            </w:r>
          </w:p>
        </w:tc>
      </w:tr>
      <w:tr w:rsidR="005106D0" w:rsidRPr="007224C3" w14:paraId="3717C454" w14:textId="77777777">
        <w:tc>
          <w:tcPr>
            <w:tcW w:w="2254" w:type="dxa"/>
          </w:tcPr>
          <w:p w14:paraId="24BF119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Перегр. пол. вес</w:t>
            </w:r>
          </w:p>
        </w:tc>
        <w:tc>
          <w:tcPr>
            <w:tcW w:w="2254" w:type="dxa"/>
          </w:tcPr>
          <w:p w14:paraId="5112AE7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7600</w:t>
            </w:r>
          </w:p>
        </w:tc>
        <w:tc>
          <w:tcPr>
            <w:tcW w:w="2254" w:type="dxa"/>
          </w:tcPr>
          <w:p w14:paraId="54BADDB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6465</w:t>
            </w:r>
          </w:p>
        </w:tc>
        <w:tc>
          <w:tcPr>
            <w:tcW w:w="2254" w:type="dxa"/>
          </w:tcPr>
          <w:p w14:paraId="1FD7DBC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3CF3554" w14:textId="77777777">
        <w:tc>
          <w:tcPr>
            <w:tcW w:w="2254" w:type="dxa"/>
          </w:tcPr>
          <w:p w14:paraId="25D38C3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Мотор</w:t>
            </w:r>
          </w:p>
        </w:tc>
        <w:tc>
          <w:tcPr>
            <w:tcW w:w="2254" w:type="dxa"/>
          </w:tcPr>
          <w:p w14:paraId="3FB7726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7BAB968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00BAA81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7CA9908" w14:textId="77777777">
        <w:tc>
          <w:tcPr>
            <w:tcW w:w="2254" w:type="dxa"/>
          </w:tcPr>
          <w:p w14:paraId="0F3D891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взл. мощность</w:t>
            </w:r>
          </w:p>
        </w:tc>
        <w:tc>
          <w:tcPr>
            <w:tcW w:w="2254" w:type="dxa"/>
          </w:tcPr>
          <w:p w14:paraId="46C232A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2000</w:t>
            </w:r>
          </w:p>
        </w:tc>
        <w:tc>
          <w:tcPr>
            <w:tcW w:w="2254" w:type="dxa"/>
          </w:tcPr>
          <w:p w14:paraId="231F193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1700</w:t>
            </w:r>
          </w:p>
        </w:tc>
        <w:tc>
          <w:tcPr>
            <w:tcW w:w="2254" w:type="dxa"/>
          </w:tcPr>
          <w:p w14:paraId="7B160BA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2000</w:t>
            </w:r>
          </w:p>
        </w:tc>
      </w:tr>
      <w:tr w:rsidR="005106D0" w:rsidRPr="007224C3" w14:paraId="536F4C12" w14:textId="77777777">
        <w:tc>
          <w:tcPr>
            <w:tcW w:w="2254" w:type="dxa"/>
          </w:tcPr>
          <w:p w14:paraId="525D8FC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мощность на гр. выс.</w:t>
            </w:r>
          </w:p>
        </w:tc>
        <w:tc>
          <w:tcPr>
            <w:tcW w:w="2254" w:type="dxa"/>
          </w:tcPr>
          <w:p w14:paraId="6A610D1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1750/1500</w:t>
            </w:r>
          </w:p>
        </w:tc>
        <w:tc>
          <w:tcPr>
            <w:tcW w:w="2254" w:type="dxa"/>
          </w:tcPr>
          <w:p w14:paraId="2840491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1500/800</w:t>
            </w:r>
          </w:p>
        </w:tc>
        <w:tc>
          <w:tcPr>
            <w:tcW w:w="2254" w:type="dxa"/>
          </w:tcPr>
          <w:p w14:paraId="45406BA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1750/1500</w:t>
            </w:r>
          </w:p>
        </w:tc>
      </w:tr>
      <w:tr w:rsidR="005106D0" w:rsidRPr="007224C3" w14:paraId="178B6EBC" w14:textId="77777777">
        <w:tc>
          <w:tcPr>
            <w:tcW w:w="2254" w:type="dxa"/>
          </w:tcPr>
          <w:p w14:paraId="6FC63D4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 скорость</w:t>
            </w:r>
          </w:p>
        </w:tc>
        <w:tc>
          <w:tcPr>
            <w:tcW w:w="2254" w:type="dxa"/>
          </w:tcPr>
          <w:p w14:paraId="2329DED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1856459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40B915F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76029AD" w14:textId="77777777">
        <w:tc>
          <w:tcPr>
            <w:tcW w:w="2254" w:type="dxa"/>
          </w:tcPr>
          <w:p w14:paraId="5B23CDE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 земли</w:t>
            </w:r>
          </w:p>
        </w:tc>
        <w:tc>
          <w:tcPr>
            <w:tcW w:w="2254" w:type="dxa"/>
          </w:tcPr>
          <w:p w14:paraId="079F0C2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428</w:t>
            </w:r>
          </w:p>
        </w:tc>
        <w:tc>
          <w:tcPr>
            <w:tcW w:w="2254" w:type="dxa"/>
          </w:tcPr>
          <w:p w14:paraId="7BA324D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384</w:t>
            </w:r>
          </w:p>
        </w:tc>
        <w:tc>
          <w:tcPr>
            <w:tcW w:w="2254" w:type="dxa"/>
          </w:tcPr>
          <w:p w14:paraId="3CC8332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436</w:t>
            </w:r>
          </w:p>
        </w:tc>
      </w:tr>
      <w:tr w:rsidR="005106D0" w:rsidRPr="007224C3" w14:paraId="1115F51C" w14:textId="77777777">
        <w:tc>
          <w:tcPr>
            <w:tcW w:w="2254" w:type="dxa"/>
          </w:tcPr>
          <w:p w14:paraId="6F2BB40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гр. высотности</w:t>
            </w:r>
          </w:p>
        </w:tc>
        <w:tc>
          <w:tcPr>
            <w:tcW w:w="2254" w:type="dxa"/>
          </w:tcPr>
          <w:p w14:paraId="7AA5624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472/2500</w:t>
            </w:r>
          </w:p>
        </w:tc>
        <w:tc>
          <w:tcPr>
            <w:tcW w:w="2254" w:type="dxa"/>
          </w:tcPr>
          <w:p w14:paraId="35B7340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404/1500</w:t>
            </w:r>
          </w:p>
        </w:tc>
        <w:tc>
          <w:tcPr>
            <w:tcW w:w="2254" w:type="dxa"/>
          </w:tcPr>
          <w:p w14:paraId="5052BC7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480/2500</w:t>
            </w:r>
          </w:p>
        </w:tc>
      </w:tr>
      <w:tr w:rsidR="005106D0" w:rsidRPr="007224C3" w14:paraId="0B63BF77" w14:textId="77777777">
        <w:tc>
          <w:tcPr>
            <w:tcW w:w="2254" w:type="dxa"/>
          </w:tcPr>
          <w:p w14:paraId="1268E3A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Наиб. техн. дальн.</w:t>
            </w:r>
          </w:p>
        </w:tc>
        <w:tc>
          <w:tcPr>
            <w:tcW w:w="2254" w:type="dxa"/>
          </w:tcPr>
          <w:p w14:paraId="5CF2452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980</w:t>
            </w:r>
          </w:p>
        </w:tc>
        <w:tc>
          <w:tcPr>
            <w:tcW w:w="2254" w:type="dxa"/>
          </w:tcPr>
          <w:p w14:paraId="5553A79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665</w:t>
            </w:r>
          </w:p>
        </w:tc>
        <w:tc>
          <w:tcPr>
            <w:tcW w:w="2254" w:type="dxa"/>
          </w:tcPr>
          <w:p w14:paraId="0550E4B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860</w:t>
            </w:r>
          </w:p>
        </w:tc>
      </w:tr>
      <w:tr w:rsidR="005106D0" w:rsidRPr="007224C3" w14:paraId="359390B7" w14:textId="77777777">
        <w:tc>
          <w:tcPr>
            <w:tcW w:w="2254" w:type="dxa"/>
          </w:tcPr>
          <w:p w14:paraId="0CB4F06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Бомб. нагр.</w:t>
            </w:r>
          </w:p>
        </w:tc>
        <w:tc>
          <w:tcPr>
            <w:tcW w:w="2254" w:type="dxa"/>
          </w:tcPr>
          <w:p w14:paraId="1478684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6A454E1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7FD1FAE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0D5B886" w14:textId="77777777">
        <w:tc>
          <w:tcPr>
            <w:tcW w:w="2254" w:type="dxa"/>
          </w:tcPr>
          <w:p w14:paraId="79238ED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норм.</w:t>
            </w:r>
          </w:p>
        </w:tc>
        <w:tc>
          <w:tcPr>
            <w:tcW w:w="2254" w:type="dxa"/>
          </w:tcPr>
          <w:p w14:paraId="642B266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600</w:t>
            </w:r>
          </w:p>
        </w:tc>
        <w:tc>
          <w:tcPr>
            <w:tcW w:w="2254" w:type="dxa"/>
          </w:tcPr>
          <w:p w14:paraId="666CC05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400</w:t>
            </w:r>
          </w:p>
        </w:tc>
        <w:tc>
          <w:tcPr>
            <w:tcW w:w="2254" w:type="dxa"/>
          </w:tcPr>
          <w:p w14:paraId="751BA6A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5A9BC65" w14:textId="77777777">
        <w:tc>
          <w:tcPr>
            <w:tcW w:w="2254" w:type="dxa"/>
          </w:tcPr>
          <w:p w14:paraId="6214D4C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перегр.</w:t>
            </w:r>
          </w:p>
        </w:tc>
        <w:tc>
          <w:tcPr>
            <w:tcW w:w="2254" w:type="dxa"/>
          </w:tcPr>
          <w:p w14:paraId="5432D56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1000</w:t>
            </w:r>
          </w:p>
        </w:tc>
        <w:tc>
          <w:tcPr>
            <w:tcW w:w="2254" w:type="dxa"/>
          </w:tcPr>
          <w:p w14:paraId="3D32338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600</w:t>
            </w:r>
          </w:p>
        </w:tc>
        <w:tc>
          <w:tcPr>
            <w:tcW w:w="2254" w:type="dxa"/>
          </w:tcPr>
          <w:p w14:paraId="49EF8AB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5BAD125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самолете Ил с АМ-42 установлено стрелково-пушечное вооружение то же, что и на серийном Ил-2 с АМ-38Ф (2хВЯ, 2хШКАС + 1 УБК).</w:t>
      </w:r>
    </w:p>
    <w:p w14:paraId="19A6189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отличие от серийных самолетов Ил-2 с АМ-38Ф самолет Ил с АМ-42 обладает лучшей продольной устойчивостью и управляемостью, что упростило технику пилотирования на виражах и в бреющем полете. По технике пилотирования самолет Ил с Ам-42 прост. Летный состав, летающий на серийных самолетах Ил-2, может быть допущен к полетам на самолете Ил с Ам-42 без доп. летной тренировки.</w:t>
      </w:r>
    </w:p>
    <w:p w14:paraId="1409D8B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Ил с АМ-42 обладает явными преимуществами перед находящимся на вооружении самолетом Ил с АМ-38Ф за счет:</w:t>
      </w:r>
    </w:p>
    <w:p w14:paraId="58CB63A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лучших ЛТД, маневренности и управляемости</w:t>
      </w:r>
    </w:p>
    <w:p w14:paraId="0DBAFDF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большой бомбовой нагрузкой и возможностью подвески бомб до ФАБ-500</w:t>
      </w:r>
    </w:p>
    <w:p w14:paraId="59AD058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лучшей бронезащитой штурмана</w:t>
      </w:r>
    </w:p>
    <w:p w14:paraId="5DBAEDD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 наличия удобств и обеспеченности необходимым оборудованием кабины экипажа</w:t>
      </w:r>
    </w:p>
    <w:p w14:paraId="6743B92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 лучшей огневой защиты задней полусферы с верхней установки</w:t>
      </w:r>
    </w:p>
    <w:p w14:paraId="2C23222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Мотор АМ-42 прошел 100 часовые испытания</w:t>
      </w:r>
    </w:p>
    <w:p w14:paraId="5AE1035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Целесообразно организовать серийное производство самолетов Ил с АМ-42 на заводе 18 в Куйбышеве в вариантах штурмовика-бомбардировщика с металлической хвостовой частью фюзеляжа.</w:t>
      </w:r>
    </w:p>
    <w:p w14:paraId="054AC32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Просим Вас утвердить проект постановления ГОКО о запуске в серию на заводе 18 самолета Ил с АМ-42 (А.И.Ш. и Новиков).</w:t>
      </w:r>
    </w:p>
    <w:p w14:paraId="202E7EA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Постановление ГКО</w:t>
      </w:r>
    </w:p>
    <w:p w14:paraId="32BC7B7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 организации серийного производства на заводе 18 в г. Куйбышеве самолетов Ил-8 конструкции С.В.И."</w:t>
      </w:r>
    </w:p>
    <w:p w14:paraId="03D97F0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ГКО постановляет:</w:t>
      </w:r>
    </w:p>
    <w:p w14:paraId="49EB714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Обязать НКАП - А.И.Ш., дир. завода 18 Белянского и ГК С.В.И. организовать на заводе 18 серийное производство самолетов Ил-8 - 2-х местных бронированных штурмовиков с винтами АВ-5Л-18Б с АМ-42 с металлической хвостовой частью фюзеляжа.</w:t>
      </w:r>
    </w:p>
    <w:p w14:paraId="6866B2E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Самолеты Ил-8 с АМ-42 выпускать со след. ЛТД: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tblGrid>
      <w:tr w:rsidR="005106D0" w:rsidRPr="007224C3" w14:paraId="00AC4282" w14:textId="77777777">
        <w:tc>
          <w:tcPr>
            <w:tcW w:w="2818" w:type="dxa"/>
          </w:tcPr>
          <w:p w14:paraId="46E9FB2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 скорость у земли</w:t>
            </w:r>
          </w:p>
        </w:tc>
        <w:tc>
          <w:tcPr>
            <w:tcW w:w="2818" w:type="dxa"/>
          </w:tcPr>
          <w:p w14:paraId="195583C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428</w:t>
            </w:r>
          </w:p>
        </w:tc>
      </w:tr>
      <w:tr w:rsidR="005106D0" w:rsidRPr="007224C3" w14:paraId="030B2055" w14:textId="77777777">
        <w:tc>
          <w:tcPr>
            <w:tcW w:w="2818" w:type="dxa"/>
          </w:tcPr>
          <w:p w14:paraId="6B801BF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 скорость на 2500</w:t>
            </w:r>
          </w:p>
        </w:tc>
        <w:tc>
          <w:tcPr>
            <w:tcW w:w="2818" w:type="dxa"/>
          </w:tcPr>
          <w:p w14:paraId="2CBDA90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472</w:t>
            </w:r>
          </w:p>
        </w:tc>
      </w:tr>
      <w:tr w:rsidR="005106D0" w:rsidRPr="007224C3" w14:paraId="473DBBC7" w14:textId="77777777">
        <w:tc>
          <w:tcPr>
            <w:tcW w:w="2818" w:type="dxa"/>
          </w:tcPr>
          <w:p w14:paraId="5CE410B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практ. потолок</w:t>
            </w:r>
          </w:p>
        </w:tc>
        <w:tc>
          <w:tcPr>
            <w:tcW w:w="2818" w:type="dxa"/>
          </w:tcPr>
          <w:p w14:paraId="3462A41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6400</w:t>
            </w:r>
          </w:p>
        </w:tc>
      </w:tr>
      <w:tr w:rsidR="005106D0" w:rsidRPr="007224C3" w14:paraId="6FDF6A08" w14:textId="77777777">
        <w:tc>
          <w:tcPr>
            <w:tcW w:w="2818" w:type="dxa"/>
          </w:tcPr>
          <w:p w14:paraId="2659AEB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дальность с 600 кг бомб</w:t>
            </w:r>
          </w:p>
        </w:tc>
        <w:tc>
          <w:tcPr>
            <w:tcW w:w="2818" w:type="dxa"/>
          </w:tcPr>
          <w:p w14:paraId="598F774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980</w:t>
            </w:r>
          </w:p>
        </w:tc>
      </w:tr>
      <w:tr w:rsidR="005106D0" w:rsidRPr="007224C3" w14:paraId="0F9EA1F0" w14:textId="77777777">
        <w:tc>
          <w:tcPr>
            <w:tcW w:w="2818" w:type="dxa"/>
          </w:tcPr>
          <w:p w14:paraId="68F3982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240 км/час</w:t>
            </w:r>
          </w:p>
        </w:tc>
        <w:tc>
          <w:tcPr>
            <w:tcW w:w="2818" w:type="dxa"/>
          </w:tcPr>
          <w:p w14:paraId="642236D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173256A" w14:textId="77777777">
        <w:tc>
          <w:tcPr>
            <w:tcW w:w="2818" w:type="dxa"/>
          </w:tcPr>
          <w:p w14:paraId="53B720C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Вооружение:</w:t>
            </w:r>
          </w:p>
        </w:tc>
        <w:tc>
          <w:tcPr>
            <w:tcW w:w="2818" w:type="dxa"/>
          </w:tcPr>
          <w:p w14:paraId="3371025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9D879FE" w14:textId="77777777">
        <w:tc>
          <w:tcPr>
            <w:tcW w:w="2818" w:type="dxa"/>
          </w:tcPr>
          <w:p w14:paraId="096EFF4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пушки ВЯ вперед</w:t>
            </w:r>
          </w:p>
        </w:tc>
        <w:tc>
          <w:tcPr>
            <w:tcW w:w="2818" w:type="dxa"/>
          </w:tcPr>
          <w:p w14:paraId="0243B08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tc>
      </w:tr>
      <w:tr w:rsidR="005106D0" w:rsidRPr="007224C3" w14:paraId="3FDC093D" w14:textId="77777777">
        <w:tc>
          <w:tcPr>
            <w:tcW w:w="2818" w:type="dxa"/>
          </w:tcPr>
          <w:p w14:paraId="00CCF9A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снарядов</w:t>
            </w:r>
          </w:p>
        </w:tc>
        <w:tc>
          <w:tcPr>
            <w:tcW w:w="2818" w:type="dxa"/>
          </w:tcPr>
          <w:p w14:paraId="5291D66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300</w:t>
            </w:r>
          </w:p>
        </w:tc>
      </w:tr>
      <w:tr w:rsidR="005106D0" w:rsidRPr="007224C3" w14:paraId="09F5E35D" w14:textId="77777777">
        <w:tc>
          <w:tcPr>
            <w:tcW w:w="2818" w:type="dxa"/>
          </w:tcPr>
          <w:p w14:paraId="775B2ED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пул. ШКАС вперед</w:t>
            </w:r>
          </w:p>
        </w:tc>
        <w:tc>
          <w:tcPr>
            <w:tcW w:w="2818" w:type="dxa"/>
          </w:tcPr>
          <w:p w14:paraId="0020EB7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tc>
      </w:tr>
      <w:tr w:rsidR="005106D0" w:rsidRPr="007224C3" w14:paraId="5E0C8988" w14:textId="77777777">
        <w:tc>
          <w:tcPr>
            <w:tcW w:w="2818" w:type="dxa"/>
          </w:tcPr>
          <w:p w14:paraId="392023E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патронов</w:t>
            </w:r>
          </w:p>
        </w:tc>
        <w:tc>
          <w:tcPr>
            <w:tcW w:w="2818" w:type="dxa"/>
          </w:tcPr>
          <w:p w14:paraId="210F2BB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1500</w:t>
            </w:r>
          </w:p>
        </w:tc>
      </w:tr>
      <w:tr w:rsidR="005106D0" w:rsidRPr="007224C3" w14:paraId="51FFFDD0" w14:textId="77777777">
        <w:tc>
          <w:tcPr>
            <w:tcW w:w="2818" w:type="dxa"/>
          </w:tcPr>
          <w:p w14:paraId="22050AE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Норм. бомб. нагр.</w:t>
            </w:r>
          </w:p>
        </w:tc>
        <w:tc>
          <w:tcPr>
            <w:tcW w:w="2818" w:type="dxa"/>
          </w:tcPr>
          <w:p w14:paraId="367F703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600</w:t>
            </w:r>
          </w:p>
        </w:tc>
      </w:tr>
      <w:tr w:rsidR="005106D0" w:rsidRPr="007224C3" w14:paraId="5AB6900B" w14:textId="77777777">
        <w:tc>
          <w:tcPr>
            <w:tcW w:w="2818" w:type="dxa"/>
          </w:tcPr>
          <w:p w14:paraId="64B8F19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 бомб. нагр.</w:t>
            </w:r>
          </w:p>
        </w:tc>
        <w:tc>
          <w:tcPr>
            <w:tcW w:w="2818" w:type="dxa"/>
          </w:tcPr>
          <w:p w14:paraId="261A518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1000</w:t>
            </w:r>
          </w:p>
        </w:tc>
      </w:tr>
      <w:tr w:rsidR="005106D0" w:rsidRPr="007224C3" w14:paraId="45D38B56" w14:textId="77777777">
        <w:tc>
          <w:tcPr>
            <w:tcW w:w="2818" w:type="dxa"/>
          </w:tcPr>
          <w:p w14:paraId="28C0D45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т.ч. 2хФАБ-500</w:t>
            </w:r>
          </w:p>
        </w:tc>
        <w:tc>
          <w:tcPr>
            <w:tcW w:w="2818" w:type="dxa"/>
          </w:tcPr>
          <w:p w14:paraId="089E8EA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5F9546F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Установить на 1944 заводу 18 след. программу по выпуску Ил-8 и Ил-2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8"/>
        <w:gridCol w:w="1878"/>
        <w:gridCol w:w="1878"/>
      </w:tblGrid>
      <w:tr w:rsidR="005106D0" w:rsidRPr="007224C3" w14:paraId="7A968B16" w14:textId="77777777">
        <w:tc>
          <w:tcPr>
            <w:tcW w:w="1878" w:type="dxa"/>
          </w:tcPr>
          <w:p w14:paraId="7CCF908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41E9348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Ил-2</w:t>
            </w:r>
          </w:p>
        </w:tc>
        <w:tc>
          <w:tcPr>
            <w:tcW w:w="1878" w:type="dxa"/>
          </w:tcPr>
          <w:p w14:paraId="2A903D9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Ил-8</w:t>
            </w:r>
          </w:p>
        </w:tc>
      </w:tr>
      <w:tr w:rsidR="005106D0" w:rsidRPr="007224C3" w14:paraId="2F983DF8" w14:textId="77777777">
        <w:tc>
          <w:tcPr>
            <w:tcW w:w="1878" w:type="dxa"/>
          </w:tcPr>
          <w:p w14:paraId="7C62B9A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май</w:t>
            </w:r>
          </w:p>
        </w:tc>
        <w:tc>
          <w:tcPr>
            <w:tcW w:w="1878" w:type="dxa"/>
          </w:tcPr>
          <w:p w14:paraId="72796D2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375</w:t>
            </w:r>
          </w:p>
        </w:tc>
        <w:tc>
          <w:tcPr>
            <w:tcW w:w="1878" w:type="dxa"/>
          </w:tcPr>
          <w:p w14:paraId="375E16A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5389F0CD" w14:textId="77777777">
        <w:tc>
          <w:tcPr>
            <w:tcW w:w="1878" w:type="dxa"/>
          </w:tcPr>
          <w:p w14:paraId="7E8E0E2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июнь</w:t>
            </w:r>
          </w:p>
        </w:tc>
        <w:tc>
          <w:tcPr>
            <w:tcW w:w="1878" w:type="dxa"/>
          </w:tcPr>
          <w:p w14:paraId="2AC133A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250</w:t>
            </w:r>
          </w:p>
        </w:tc>
        <w:tc>
          <w:tcPr>
            <w:tcW w:w="1878" w:type="dxa"/>
          </w:tcPr>
          <w:p w14:paraId="50E7468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20334199" w14:textId="77777777">
        <w:tc>
          <w:tcPr>
            <w:tcW w:w="1878" w:type="dxa"/>
          </w:tcPr>
          <w:p w14:paraId="6DE7CC0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июль</w:t>
            </w:r>
          </w:p>
        </w:tc>
        <w:tc>
          <w:tcPr>
            <w:tcW w:w="1878" w:type="dxa"/>
          </w:tcPr>
          <w:p w14:paraId="708BF7E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250</w:t>
            </w:r>
          </w:p>
        </w:tc>
        <w:tc>
          <w:tcPr>
            <w:tcW w:w="1878" w:type="dxa"/>
          </w:tcPr>
          <w:p w14:paraId="44B2F37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7F807556" w14:textId="77777777">
        <w:tc>
          <w:tcPr>
            <w:tcW w:w="1878" w:type="dxa"/>
          </w:tcPr>
          <w:p w14:paraId="69685FD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август</w:t>
            </w:r>
          </w:p>
        </w:tc>
        <w:tc>
          <w:tcPr>
            <w:tcW w:w="1878" w:type="dxa"/>
          </w:tcPr>
          <w:p w14:paraId="6431FCC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245</w:t>
            </w:r>
          </w:p>
        </w:tc>
        <w:tc>
          <w:tcPr>
            <w:tcW w:w="1878" w:type="dxa"/>
          </w:tcPr>
          <w:p w14:paraId="6CBBE65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tc>
      </w:tr>
      <w:tr w:rsidR="005106D0" w:rsidRPr="007224C3" w14:paraId="475723EB" w14:textId="77777777">
        <w:tc>
          <w:tcPr>
            <w:tcW w:w="1878" w:type="dxa"/>
          </w:tcPr>
          <w:p w14:paraId="7E226D6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сентябрь</w:t>
            </w:r>
          </w:p>
        </w:tc>
        <w:tc>
          <w:tcPr>
            <w:tcW w:w="1878" w:type="dxa"/>
          </w:tcPr>
          <w:p w14:paraId="09CD2BA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225</w:t>
            </w:r>
          </w:p>
        </w:tc>
        <w:tc>
          <w:tcPr>
            <w:tcW w:w="1878" w:type="dxa"/>
          </w:tcPr>
          <w:p w14:paraId="1F10173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w:t>
            </w:r>
          </w:p>
        </w:tc>
      </w:tr>
      <w:tr w:rsidR="005106D0" w:rsidRPr="007224C3" w14:paraId="3D95AA97" w14:textId="77777777">
        <w:tc>
          <w:tcPr>
            <w:tcW w:w="1878" w:type="dxa"/>
          </w:tcPr>
          <w:p w14:paraId="7509DC2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октябрь</w:t>
            </w:r>
          </w:p>
        </w:tc>
        <w:tc>
          <w:tcPr>
            <w:tcW w:w="1878" w:type="dxa"/>
          </w:tcPr>
          <w:p w14:paraId="164F2EE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200</w:t>
            </w:r>
          </w:p>
        </w:tc>
        <w:tc>
          <w:tcPr>
            <w:tcW w:w="1878" w:type="dxa"/>
          </w:tcPr>
          <w:p w14:paraId="76C6A43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w:t>
            </w:r>
          </w:p>
        </w:tc>
      </w:tr>
      <w:tr w:rsidR="005106D0" w:rsidRPr="007224C3" w14:paraId="3E6891DD" w14:textId="77777777">
        <w:tc>
          <w:tcPr>
            <w:tcW w:w="1878" w:type="dxa"/>
          </w:tcPr>
          <w:p w14:paraId="31BE451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ноябрь</w:t>
            </w:r>
          </w:p>
        </w:tc>
        <w:tc>
          <w:tcPr>
            <w:tcW w:w="1878" w:type="dxa"/>
          </w:tcPr>
          <w:p w14:paraId="6B6D3BD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150</w:t>
            </w:r>
          </w:p>
        </w:tc>
        <w:tc>
          <w:tcPr>
            <w:tcW w:w="1878" w:type="dxa"/>
          </w:tcPr>
          <w:p w14:paraId="589DF26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w:t>
            </w:r>
          </w:p>
        </w:tc>
      </w:tr>
      <w:tr w:rsidR="005106D0" w:rsidRPr="007224C3" w14:paraId="5BC294C3" w14:textId="77777777">
        <w:tc>
          <w:tcPr>
            <w:tcW w:w="1878" w:type="dxa"/>
          </w:tcPr>
          <w:p w14:paraId="4CB0933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декабрь</w:t>
            </w:r>
          </w:p>
        </w:tc>
        <w:tc>
          <w:tcPr>
            <w:tcW w:w="1878" w:type="dxa"/>
          </w:tcPr>
          <w:p w14:paraId="2D0C8D3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w:t>
            </w:r>
          </w:p>
        </w:tc>
        <w:tc>
          <w:tcPr>
            <w:tcW w:w="1878" w:type="dxa"/>
          </w:tcPr>
          <w:p w14:paraId="5591F72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200</w:t>
            </w:r>
          </w:p>
        </w:tc>
      </w:tr>
    </w:tbl>
    <w:p w14:paraId="52D1ECA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Директору завода 1 Третьякову и директору завода 30 Смирнову выпустить в 4 кв. 1944 по 10 самолетов Ил-8 с АМ-42 и во 2 полугодии 1944 провести на заводах подготовку производства с тем, чтобы в 1 кв. 1945 начать переход на серийное производство самолетов Ил-8 (1744,180).</w:t>
      </w:r>
    </w:p>
    <w:p w14:paraId="5A6FDCF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7DC37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мая 1944 г. на основании распоряжения нар</w:t>
      </w:r>
      <w:r w:rsidRPr="007224C3">
        <w:rPr>
          <w:rFonts w:ascii="Times New Roman" w:hAnsi="Times New Roman"/>
          <w:color w:val="000000" w:themeColor="text1"/>
          <w:sz w:val="16"/>
          <w:szCs w:val="16"/>
        </w:rPr>
        <w:softHyphen/>
        <w:t>кома директор завода А. А. Белянский издал приказ, согласно которому самолету Ил-8 в оперативной заводской документа</w:t>
      </w:r>
      <w:r w:rsidRPr="007224C3">
        <w:rPr>
          <w:rFonts w:ascii="Times New Roman" w:hAnsi="Times New Roman"/>
          <w:color w:val="000000" w:themeColor="text1"/>
          <w:sz w:val="16"/>
          <w:szCs w:val="16"/>
        </w:rPr>
        <w:softHyphen/>
        <w:t>ции присваивался шифр "М", надо полагать, от Ил-2М, и открывались "счета на производство и подготов</w:t>
      </w:r>
      <w:r w:rsidRPr="007224C3">
        <w:rPr>
          <w:rFonts w:ascii="Times New Roman" w:hAnsi="Times New Roman"/>
          <w:color w:val="000000" w:themeColor="text1"/>
          <w:sz w:val="16"/>
          <w:szCs w:val="16"/>
        </w:rPr>
        <w:softHyphen/>
        <w:t>ку производства". Первая серия ус</w:t>
      </w:r>
      <w:r w:rsidRPr="007224C3">
        <w:rPr>
          <w:rFonts w:ascii="Times New Roman" w:hAnsi="Times New Roman"/>
          <w:color w:val="000000" w:themeColor="text1"/>
          <w:sz w:val="16"/>
          <w:szCs w:val="16"/>
        </w:rPr>
        <w:softHyphen/>
        <w:t>танавливалась в количестве 10 ма</w:t>
      </w:r>
      <w:r w:rsidRPr="007224C3">
        <w:rPr>
          <w:rFonts w:ascii="Times New Roman" w:hAnsi="Times New Roman"/>
          <w:color w:val="000000" w:themeColor="text1"/>
          <w:sz w:val="16"/>
          <w:szCs w:val="16"/>
        </w:rPr>
        <w:softHyphen/>
        <w:t>шин, вторая - 30 и последующие серии - по 100 самолетов каждая. Сборку первого серийного экземп</w:t>
      </w:r>
      <w:r w:rsidRPr="007224C3">
        <w:rPr>
          <w:rFonts w:ascii="Times New Roman" w:hAnsi="Times New Roman"/>
          <w:color w:val="000000" w:themeColor="text1"/>
          <w:sz w:val="16"/>
          <w:szCs w:val="16"/>
        </w:rPr>
        <w:softHyphen/>
        <w:t>ляра Ил-8 требовалось закончить к 12 августа, а всю "первую головную серию 10 машин выпустить из цеха № 7 к 25 августа 1944 г.". Главный технолог завода В. И. Демин обязы</w:t>
      </w:r>
      <w:r w:rsidRPr="007224C3">
        <w:rPr>
          <w:rFonts w:ascii="Times New Roman" w:hAnsi="Times New Roman"/>
          <w:color w:val="000000" w:themeColor="text1"/>
          <w:sz w:val="16"/>
          <w:szCs w:val="16"/>
        </w:rPr>
        <w:softHyphen/>
        <w:t>вался к 29 мая разработать и пред</w:t>
      </w:r>
      <w:r w:rsidRPr="007224C3">
        <w:rPr>
          <w:rFonts w:ascii="Times New Roman" w:hAnsi="Times New Roman"/>
          <w:color w:val="000000" w:themeColor="text1"/>
          <w:sz w:val="16"/>
          <w:szCs w:val="16"/>
        </w:rPr>
        <w:softHyphen/>
        <w:t>ставить на утверждение "график под</w:t>
      </w:r>
      <w:r w:rsidRPr="007224C3">
        <w:rPr>
          <w:rFonts w:ascii="Times New Roman" w:hAnsi="Times New Roman"/>
          <w:color w:val="000000" w:themeColor="text1"/>
          <w:sz w:val="16"/>
          <w:szCs w:val="16"/>
        </w:rPr>
        <w:softHyphen/>
        <w:t>готовки производства Ил-8 первой очереди".</w:t>
      </w:r>
    </w:p>
    <w:p w14:paraId="43C0286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всей видимости, за основу для серии нового штурмовика был взят самолет С-42, который изначально отрабатывался как эталон самолета Ил-2М для массового производства (11428).</w:t>
      </w:r>
    </w:p>
    <w:p w14:paraId="3DDB13D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836203F" w14:textId="77777777" w:rsidR="00DD3D22" w:rsidRPr="007224C3" w:rsidRDefault="00DD3D22" w:rsidP="007224C3">
      <w:pPr>
        <w:spacing w:after="0" w:line="240" w:lineRule="auto"/>
        <w:jc w:val="both"/>
        <w:rPr>
          <w:rStyle w:val="122"/>
          <w:rFonts w:ascii="Times New Roman" w:hAnsi="Times New Roman" w:cs="Times New Roman"/>
          <w:color w:val="0070C0"/>
          <w:sz w:val="16"/>
          <w:szCs w:val="16"/>
        </w:rPr>
      </w:pPr>
      <w:r w:rsidRPr="007224C3">
        <w:rPr>
          <w:rFonts w:ascii="Times New Roman" w:hAnsi="Times New Roman"/>
          <w:color w:val="0070C0"/>
          <w:sz w:val="16"/>
          <w:szCs w:val="16"/>
        </w:rPr>
        <w:t xml:space="preserve">18 мая 1944 г. на основании распоряжения наркома директор завода № 18 Белянский издал приказ №17, согласно которому самолету Ил-8 в оперативной заводской документации присваивался шифр «М», надо полагать от Ил-2М, и открывались </w:t>
      </w:r>
      <w:r w:rsidRPr="007224C3">
        <w:rPr>
          <w:rStyle w:val="9pt80"/>
          <w:rFonts w:ascii="Times New Roman" w:hAnsi="Times New Roman" w:cs="Times New Roman"/>
          <w:color w:val="0070C0"/>
          <w:w w:val="100"/>
          <w:sz w:val="16"/>
          <w:szCs w:val="16"/>
        </w:rPr>
        <w:t>«счета на производство и подготовку производства».</w:t>
      </w:r>
      <w:r w:rsidRPr="007224C3">
        <w:rPr>
          <w:rFonts w:ascii="Times New Roman" w:hAnsi="Times New Roman"/>
          <w:color w:val="0070C0"/>
          <w:sz w:val="16"/>
          <w:szCs w:val="16"/>
        </w:rPr>
        <w:t xml:space="preserve"> Первая серия устанавли</w:t>
      </w:r>
      <w:r w:rsidRPr="007224C3">
        <w:rPr>
          <w:rFonts w:ascii="Times New Roman" w:hAnsi="Times New Roman"/>
          <w:color w:val="0070C0"/>
          <w:sz w:val="16"/>
          <w:szCs w:val="16"/>
        </w:rPr>
        <w:softHyphen/>
        <w:t>валась в количестве 10 машин, вторая - 30 и последующие серии - по 100 само</w:t>
      </w:r>
      <w:r w:rsidRPr="007224C3">
        <w:rPr>
          <w:rFonts w:ascii="Times New Roman" w:hAnsi="Times New Roman"/>
          <w:color w:val="0070C0"/>
          <w:sz w:val="16"/>
          <w:szCs w:val="16"/>
        </w:rPr>
        <w:softHyphen/>
        <w:t>летов каждая. Сборку первого серийного экземпляра Ил-8 требовалось закончить к 12 августа, а всю</w:t>
      </w:r>
      <w:r w:rsidRPr="007224C3">
        <w:rPr>
          <w:rStyle w:val="9pt80"/>
          <w:rFonts w:ascii="Times New Roman" w:hAnsi="Times New Roman" w:cs="Times New Roman"/>
          <w:color w:val="0070C0"/>
          <w:w w:val="100"/>
          <w:sz w:val="16"/>
          <w:szCs w:val="16"/>
        </w:rPr>
        <w:t xml:space="preserve"> «первую головную серию 10 машин выпустить из цеха №7 к 25 ав</w:t>
      </w:r>
      <w:r w:rsidRPr="007224C3">
        <w:rPr>
          <w:rStyle w:val="9pt80"/>
          <w:rFonts w:ascii="Times New Roman" w:hAnsi="Times New Roman" w:cs="Times New Roman"/>
          <w:color w:val="0070C0"/>
          <w:w w:val="100"/>
          <w:sz w:val="16"/>
          <w:szCs w:val="16"/>
        </w:rPr>
        <w:softHyphen/>
        <w:t>густа 1944 г.»</w:t>
      </w:r>
      <w:r w:rsidRPr="007224C3">
        <w:rPr>
          <w:rFonts w:ascii="Times New Roman" w:hAnsi="Times New Roman"/>
          <w:color w:val="0070C0"/>
          <w:sz w:val="16"/>
          <w:szCs w:val="16"/>
        </w:rPr>
        <w:t xml:space="preserve"> Главный технолог завода В.И.Демин обязывался к 29 мая разрабо</w:t>
      </w:r>
      <w:r w:rsidRPr="007224C3">
        <w:rPr>
          <w:rFonts w:ascii="Times New Roman" w:hAnsi="Times New Roman"/>
          <w:color w:val="0070C0"/>
          <w:sz w:val="16"/>
          <w:szCs w:val="16"/>
        </w:rPr>
        <w:softHyphen/>
        <w:t>тать и представить на утверждение</w:t>
      </w:r>
      <w:r w:rsidRPr="007224C3">
        <w:rPr>
          <w:rStyle w:val="122"/>
          <w:rFonts w:ascii="Times New Roman" w:hAnsi="Times New Roman" w:cs="Times New Roman"/>
          <w:color w:val="0070C0"/>
          <w:sz w:val="16"/>
          <w:szCs w:val="16"/>
        </w:rPr>
        <w:t xml:space="preserve"> </w:t>
      </w:r>
      <w:r w:rsidRPr="007224C3">
        <w:rPr>
          <w:rStyle w:val="122"/>
          <w:rFonts w:ascii="Times New Roman" w:hAnsi="Times New Roman" w:cs="Times New Roman"/>
          <w:b w:val="0"/>
          <w:bCs w:val="0"/>
          <w:color w:val="0070C0"/>
          <w:sz w:val="16"/>
          <w:szCs w:val="16"/>
        </w:rPr>
        <w:t>«гра</w:t>
      </w:r>
      <w:r w:rsidRPr="007224C3">
        <w:rPr>
          <w:rStyle w:val="122"/>
          <w:rFonts w:ascii="Times New Roman" w:hAnsi="Times New Roman" w:cs="Times New Roman"/>
          <w:b w:val="0"/>
          <w:bCs w:val="0"/>
          <w:color w:val="0070C0"/>
          <w:sz w:val="16"/>
          <w:szCs w:val="16"/>
        </w:rPr>
        <w:softHyphen/>
        <w:t>фик подготовки производства Ил-8 пер</w:t>
      </w:r>
      <w:r w:rsidRPr="007224C3">
        <w:rPr>
          <w:rStyle w:val="122"/>
          <w:rFonts w:ascii="Times New Roman" w:hAnsi="Times New Roman" w:cs="Times New Roman"/>
          <w:b w:val="0"/>
          <w:bCs w:val="0"/>
          <w:color w:val="0070C0"/>
          <w:sz w:val="16"/>
          <w:szCs w:val="16"/>
        </w:rPr>
        <w:softHyphen/>
        <w:t>вой очереди» (19853).</w:t>
      </w:r>
    </w:p>
    <w:p w14:paraId="3F7FEB07" w14:textId="77777777" w:rsidR="00DD3D22" w:rsidRPr="007224C3" w:rsidRDefault="00DD3D22" w:rsidP="007224C3">
      <w:pPr>
        <w:spacing w:after="0" w:line="240" w:lineRule="auto"/>
        <w:jc w:val="both"/>
        <w:rPr>
          <w:rFonts w:ascii="Times New Roman" w:hAnsi="Times New Roman"/>
          <w:color w:val="0070C0"/>
          <w:sz w:val="16"/>
          <w:szCs w:val="16"/>
        </w:rPr>
      </w:pPr>
    </w:p>
    <w:p w14:paraId="296832BA" w14:textId="77777777" w:rsidR="00DD3D22" w:rsidRPr="007224C3" w:rsidRDefault="00DD3D22"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18 мая 1944 г.</w:t>
      </w:r>
    </w:p>
    <w:p w14:paraId="1D6ED27A" w14:textId="77777777" w:rsidR="00DD3D22" w:rsidRPr="007224C3" w:rsidRDefault="00DD3D22"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Из приказа по заводу № 18</w:t>
      </w:r>
    </w:p>
    <w:p w14:paraId="3F8D620B" w14:textId="77777777" w:rsidR="00DD3D22" w:rsidRPr="007224C3" w:rsidRDefault="00DD3D22"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о запуске в серийное производство машины Ил-8</w:t>
      </w:r>
    </w:p>
    <w:p w14:paraId="2DF72407" w14:textId="77777777" w:rsidR="00DD3D22" w:rsidRPr="007224C3" w:rsidRDefault="00DD3D22"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18 мая 1944 г.</w:t>
      </w:r>
    </w:p>
    <w:p w14:paraId="7D2DE6D3" w14:textId="77777777" w:rsidR="00DD3D22" w:rsidRPr="007224C3" w:rsidRDefault="00DD3D22"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 соответствии с указанием Народного Комиссара авиационной промышленности о запуске в серийное производство машины Ил-8 на заводе № 18 приказываю:</w:t>
      </w:r>
    </w:p>
    <w:p w14:paraId="64FD1507" w14:textId="77777777" w:rsidR="00DD3D22" w:rsidRPr="007224C3" w:rsidRDefault="00DD3D22"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 Машине Ил-8 в оперативной заводской документации присвоить шифр “М”...</w:t>
      </w:r>
    </w:p>
    <w:p w14:paraId="5C1C886E" w14:textId="77777777" w:rsidR="00DD3D22" w:rsidRPr="007224C3" w:rsidRDefault="00DD3D22"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3. Первую серию машины Ил-8 установить в 10 машин, вторую - в 30 машин, последующие - по 100 машин.</w:t>
      </w:r>
    </w:p>
    <w:p w14:paraId="4DAACA76" w14:textId="77777777" w:rsidR="00DD3D22" w:rsidRPr="007224C3" w:rsidRDefault="00DD3D22"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4. Сборку первой машины Ил-8 закончить 12 августа 1944 года.</w:t>
      </w:r>
    </w:p>
    <w:p w14:paraId="2C25FD4A" w14:textId="77777777" w:rsidR="00DD3D22" w:rsidRPr="007224C3" w:rsidRDefault="00DD3D22"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lastRenderedPageBreak/>
        <w:t>Первую, головную серию, 10 машин, выпустить из цеха № 7 к 25 августа 1944 г.</w:t>
      </w:r>
    </w:p>
    <w:p w14:paraId="4872D35A" w14:textId="77777777" w:rsidR="00DD3D22" w:rsidRPr="007224C3" w:rsidRDefault="00DD3D22"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Директор завода</w:t>
      </w:r>
      <w:r w:rsidRPr="007224C3">
        <w:rPr>
          <w:rFonts w:ascii="Times New Roman" w:hAnsi="Times New Roman"/>
          <w:color w:val="0070C0"/>
          <w:sz w:val="16"/>
          <w:szCs w:val="16"/>
        </w:rPr>
        <w:tab/>
        <w:t>Белянский</w:t>
      </w:r>
    </w:p>
    <w:p w14:paraId="78230ADE" w14:textId="77777777" w:rsidR="00DD3D22" w:rsidRPr="007224C3" w:rsidRDefault="00DD3D22"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ГАСО. Ф. P-3454. On. 1. Д. 40. Л. 40-41. Подлинник (20513).</w:t>
      </w:r>
    </w:p>
    <w:p w14:paraId="7364EB6B" w14:textId="77777777" w:rsidR="00DD3D22" w:rsidRPr="007224C3" w:rsidRDefault="00DD3D22" w:rsidP="007224C3">
      <w:pPr>
        <w:spacing w:after="0" w:line="240" w:lineRule="auto"/>
        <w:jc w:val="both"/>
        <w:rPr>
          <w:rFonts w:ascii="Times New Roman" w:hAnsi="Times New Roman"/>
          <w:color w:val="0070C0"/>
          <w:sz w:val="16"/>
          <w:szCs w:val="16"/>
        </w:rPr>
      </w:pPr>
    </w:p>
    <w:p w14:paraId="18960FA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мая 1944 на основании распоряжения наркома, директор завода № 18 Белянский издал приказ, согласно которому Ил-8 получил в заводской документации шифр "М", надо полагать, от Ил-2М, и открывались "счета на производство и подготовку производства". Первая серия устанавливалась в количестве 10 машин, вторая - 30 и последующие серии - по 100 самолетов каждая. Сборку первого серийного экземпляра Ил-8 требовалось закончить к 12 августа, а всю "первую головную серию 10 машин выпустить из цеха №7 к 25 августа 1944 г.".</w:t>
      </w:r>
    </w:p>
    <w:p w14:paraId="4FE44C7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Однако вскоре все работы по серии Ил-8 были прекращены. Дело в том, что Постановлением ГКО от 23 июля на авиазаводах №№ 1 и 18 в серийное производство запускался штурмовик Ил-10 АМ-42, который по основным летным данным превосходил "восьмерку".</w:t>
      </w:r>
    </w:p>
    <w:p w14:paraId="0457662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дальнейшем Ил-8 был кардинально переделан. По образцу Ил-10 была выполнена система продува водо- и маслорадиаторов, изменена схема бронирования, шасси стали одностоечным, установлено новые крыло, оперение, воздушный винт, доработаны элероны, рули высоты и направления, внесены изменения в состав оборудования согласно требованиям ВВС. Фактически строился новый самолет с тем же обозначением.</w:t>
      </w:r>
    </w:p>
    <w:p w14:paraId="27F69A9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Предъявить обновленный Ил-8 на госиспытания удалось лишь 14 мая 1945 г. Интереса у военных самолет не вызвал (12020).</w:t>
      </w:r>
    </w:p>
    <w:p w14:paraId="3A967EE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A906101" w14:textId="77777777" w:rsidR="00104BAB" w:rsidRPr="007224C3" w:rsidRDefault="00104BAB" w:rsidP="007224C3">
      <w:pPr>
        <w:spacing w:after="0" w:line="240" w:lineRule="auto"/>
        <w:jc w:val="both"/>
        <w:textAlignment w:val="top"/>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18 мая 1944 вышел приказ НКАП</w:t>
      </w:r>
    </w:p>
    <w:p w14:paraId="4FE63675" w14:textId="77777777" w:rsidR="00104BAB" w:rsidRPr="007224C3" w:rsidRDefault="00104BAB" w:rsidP="007224C3">
      <w:pPr>
        <w:spacing w:after="0" w:line="240" w:lineRule="auto"/>
        <w:jc w:val="both"/>
        <w:textAlignment w:val="top"/>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О запуске в серийное пр-во Ил-8 (19706).</w:t>
      </w:r>
    </w:p>
    <w:p w14:paraId="4DC41134" w14:textId="77777777" w:rsidR="00104BAB" w:rsidRPr="007224C3" w:rsidRDefault="00104BAB" w:rsidP="007224C3">
      <w:pPr>
        <w:spacing w:after="0" w:line="240" w:lineRule="auto"/>
        <w:jc w:val="both"/>
        <w:textAlignment w:val="top"/>
        <w:rPr>
          <w:rFonts w:ascii="Times New Roman" w:eastAsia="Times New Roman" w:hAnsi="Times New Roman"/>
          <w:color w:val="000000" w:themeColor="text1"/>
          <w:sz w:val="16"/>
          <w:szCs w:val="16"/>
          <w:lang w:eastAsia="ru-RU"/>
        </w:rPr>
      </w:pPr>
    </w:p>
    <w:p w14:paraId="75D4C48A" w14:textId="77777777" w:rsidR="00104BAB" w:rsidRPr="007224C3" w:rsidRDefault="00104BAB" w:rsidP="007224C3">
      <w:pPr>
        <w:pStyle w:val="68"/>
        <w:shd w:val="clear" w:color="auto" w:fill="auto"/>
        <w:spacing w:line="240" w:lineRule="auto"/>
        <w:jc w:val="both"/>
        <w:rPr>
          <w:rStyle w:val="64pt"/>
          <w:rFonts w:ascii="Times New Roman" w:hAnsi="Times New Roman" w:cs="Times New Roman"/>
          <w:color w:val="000000" w:themeColor="text1"/>
          <w:spacing w:val="0"/>
          <w:sz w:val="16"/>
          <w:szCs w:val="16"/>
        </w:rPr>
      </w:pPr>
      <w:r w:rsidRPr="007224C3">
        <w:rPr>
          <w:rStyle w:val="64pt"/>
          <w:rFonts w:ascii="Times New Roman" w:hAnsi="Times New Roman" w:cs="Times New Roman"/>
          <w:color w:val="000000" w:themeColor="text1"/>
          <w:spacing w:val="0"/>
          <w:sz w:val="16"/>
          <w:szCs w:val="16"/>
        </w:rPr>
        <w:t>18 мая 1944</w:t>
      </w:r>
    </w:p>
    <w:p w14:paraId="7E84DB5D" w14:textId="77777777" w:rsidR="00104BAB" w:rsidRPr="007224C3" w:rsidRDefault="00104BAB" w:rsidP="007224C3">
      <w:pPr>
        <w:pStyle w:val="68"/>
        <w:shd w:val="clear" w:color="auto" w:fill="auto"/>
        <w:spacing w:line="240" w:lineRule="auto"/>
        <w:jc w:val="both"/>
        <w:rPr>
          <w:rFonts w:ascii="Times New Roman" w:hAnsi="Times New Roman" w:cs="Times New Roman"/>
          <w:color w:val="000000" w:themeColor="text1"/>
          <w:sz w:val="16"/>
          <w:szCs w:val="16"/>
        </w:rPr>
      </w:pPr>
      <w:r w:rsidRPr="007224C3">
        <w:rPr>
          <w:rStyle w:val="64pt"/>
          <w:rFonts w:ascii="Times New Roman" w:hAnsi="Times New Roman" w:cs="Times New Roman"/>
          <w:color w:val="000000" w:themeColor="text1"/>
          <w:spacing w:val="0"/>
          <w:sz w:val="16"/>
          <w:szCs w:val="16"/>
        </w:rPr>
        <w:t>ПРИКАЗ</w:t>
      </w:r>
      <w:r w:rsidRPr="007224C3">
        <w:rPr>
          <w:rFonts w:ascii="Times New Roman" w:hAnsi="Times New Roman" w:cs="Times New Roman"/>
          <w:color w:val="000000" w:themeColor="text1"/>
          <w:sz w:val="16"/>
          <w:szCs w:val="16"/>
        </w:rPr>
        <w:t xml:space="preserve"> № 17</w:t>
      </w:r>
    </w:p>
    <w:p w14:paraId="49E07B17" w14:textId="77777777" w:rsidR="00104BAB" w:rsidRPr="007224C3" w:rsidRDefault="00104BAB" w:rsidP="007224C3">
      <w:pPr>
        <w:pStyle w:val="430"/>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по заводу именн Ворошилова</w:t>
      </w:r>
    </w:p>
    <w:p w14:paraId="43DF0862" w14:textId="77777777" w:rsidR="00104BAB" w:rsidRPr="007224C3" w:rsidRDefault="00104BAB" w:rsidP="007224C3">
      <w:pPr>
        <w:pStyle w:val="430"/>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lang w:val="en-US"/>
        </w:rPr>
        <w:t>o</w:t>
      </w:r>
      <w:r w:rsidRPr="007224C3">
        <w:rPr>
          <w:rFonts w:ascii="Times New Roman" w:hAnsi="Times New Roman" w:cs="Times New Roman"/>
          <w:color w:val="000000" w:themeColor="text1"/>
          <w:sz w:val="16"/>
          <w:szCs w:val="16"/>
        </w:rPr>
        <w:t>т 18 мая 1944 года</w:t>
      </w:r>
    </w:p>
    <w:p w14:paraId="5E516813" w14:textId="77777777" w:rsidR="00104BAB" w:rsidRPr="007224C3" w:rsidRDefault="00104BAB" w:rsidP="007224C3">
      <w:pPr>
        <w:pStyle w:val="430"/>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В соответствии с указанной Народного Комиссара Авиационной Промышленности о выпуске в серийное производство</w:t>
      </w:r>
      <w:r w:rsidRPr="007224C3">
        <w:rPr>
          <w:rStyle w:val="192"/>
          <w:rFonts w:ascii="Times New Roman" w:hAnsi="Times New Roman" w:cs="Times New Roman"/>
          <w:color w:val="000000" w:themeColor="text1"/>
          <w:spacing w:val="0"/>
          <w:sz w:val="16"/>
          <w:szCs w:val="16"/>
        </w:rPr>
        <w:t xml:space="preserve"> маш</w:t>
      </w:r>
      <w:r w:rsidRPr="007224C3">
        <w:rPr>
          <w:rFonts w:ascii="Times New Roman" w:hAnsi="Times New Roman" w:cs="Times New Roman"/>
          <w:color w:val="000000" w:themeColor="text1"/>
          <w:sz w:val="16"/>
          <w:szCs w:val="16"/>
        </w:rPr>
        <w:t>ины Ил-8 на заводи № 18 приказываю:</w:t>
      </w:r>
    </w:p>
    <w:p w14:paraId="74127DE3" w14:textId="77777777" w:rsidR="00104BAB" w:rsidRPr="007224C3" w:rsidRDefault="00104BAB" w:rsidP="007224C3">
      <w:pPr>
        <w:pStyle w:val="430"/>
        <w:shd w:val="clear" w:color="auto" w:fill="auto"/>
        <w:tabs>
          <w:tab w:val="left" w:pos="1244"/>
        </w:tabs>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1 Машине Ил-8 в оперативной заводской документации</w:t>
      </w:r>
      <w:r w:rsidRPr="007224C3">
        <w:rPr>
          <w:rStyle w:val="192"/>
          <w:rFonts w:ascii="Times New Roman" w:hAnsi="Times New Roman" w:cs="Times New Roman"/>
          <w:color w:val="000000" w:themeColor="text1"/>
          <w:spacing w:val="0"/>
          <w:sz w:val="16"/>
          <w:szCs w:val="16"/>
        </w:rPr>
        <w:t xml:space="preserve"> </w:t>
      </w:r>
      <w:r w:rsidRPr="007224C3">
        <w:rPr>
          <w:rFonts w:ascii="Times New Roman" w:hAnsi="Times New Roman" w:cs="Times New Roman"/>
          <w:color w:val="000000" w:themeColor="text1"/>
          <w:sz w:val="16"/>
          <w:szCs w:val="16"/>
        </w:rPr>
        <w:t>присвоить шифр"М".</w:t>
      </w:r>
    </w:p>
    <w:p w14:paraId="04745744" w14:textId="77777777" w:rsidR="00104BAB" w:rsidRPr="007224C3" w:rsidRDefault="00104BAB" w:rsidP="007224C3">
      <w:pPr>
        <w:pStyle w:val="430"/>
        <w:shd w:val="clear" w:color="auto" w:fill="auto"/>
        <w:tabs>
          <w:tab w:val="left" w:pos="2146"/>
        </w:tabs>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2. Нач.ППО т. Юдину открыть счета на производство и под</w:t>
      </w:r>
      <w:r w:rsidRPr="007224C3">
        <w:rPr>
          <w:rFonts w:ascii="Times New Roman" w:hAnsi="Times New Roman" w:cs="Times New Roman"/>
          <w:color w:val="000000" w:themeColor="text1"/>
          <w:sz w:val="16"/>
          <w:szCs w:val="16"/>
        </w:rPr>
        <w:softHyphen/>
        <w:t>готовку производства машины Ил-8 19/7-44 г.</w:t>
      </w:r>
    </w:p>
    <w:p w14:paraId="7E449175" w14:textId="77777777" w:rsidR="00104BAB" w:rsidRPr="007224C3" w:rsidRDefault="00104BAB" w:rsidP="007224C3">
      <w:pPr>
        <w:pStyle w:val="430"/>
        <w:shd w:val="clear" w:color="auto" w:fill="auto"/>
        <w:tabs>
          <w:tab w:val="left" w:pos="1239"/>
        </w:tabs>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3. Первую серию машины Ил—8 установить в 10 машин, вторую в 30 машин, последующие по 100 машин.</w:t>
      </w:r>
    </w:p>
    <w:p w14:paraId="278D39D4" w14:textId="77777777" w:rsidR="00104BAB" w:rsidRPr="007224C3" w:rsidRDefault="00104BAB" w:rsidP="007224C3">
      <w:pPr>
        <w:pStyle w:val="430"/>
        <w:shd w:val="clear" w:color="auto" w:fill="auto"/>
        <w:tabs>
          <w:tab w:val="left" w:pos="1129"/>
        </w:tabs>
        <w:spacing w:line="240" w:lineRule="auto"/>
        <w:ind w:firstLine="0"/>
        <w:jc w:val="both"/>
        <w:rPr>
          <w:rStyle w:val="1pt"/>
          <w:rFonts w:ascii="Times New Roman" w:hAnsi="Times New Roman" w:cs="Times New Roman"/>
          <w:color w:val="000000" w:themeColor="text1"/>
          <w:spacing w:val="0"/>
          <w:sz w:val="16"/>
          <w:szCs w:val="16"/>
        </w:rPr>
      </w:pPr>
      <w:r w:rsidRPr="007224C3">
        <w:rPr>
          <w:rFonts w:ascii="Times New Roman" w:hAnsi="Times New Roman" w:cs="Times New Roman"/>
          <w:color w:val="000000" w:themeColor="text1"/>
          <w:sz w:val="16"/>
          <w:szCs w:val="16"/>
        </w:rPr>
        <w:t xml:space="preserve">4. Сборку первой иаоины Ил-8 закончить 12 </w:t>
      </w:r>
      <w:r w:rsidRPr="007224C3">
        <w:rPr>
          <w:rStyle w:val="1pt"/>
          <w:rFonts w:ascii="Times New Roman" w:hAnsi="Times New Roman" w:cs="Times New Roman"/>
          <w:color w:val="000000" w:themeColor="text1"/>
          <w:spacing w:val="0"/>
          <w:sz w:val="16"/>
          <w:szCs w:val="16"/>
        </w:rPr>
        <w:t>августа 1944 г.</w:t>
      </w:r>
    </w:p>
    <w:p w14:paraId="6FF04B76" w14:textId="77777777" w:rsidR="00104BAB" w:rsidRPr="007224C3" w:rsidRDefault="00104BAB" w:rsidP="007224C3">
      <w:pPr>
        <w:pStyle w:val="430"/>
        <w:shd w:val="clear" w:color="auto" w:fill="auto"/>
        <w:tabs>
          <w:tab w:val="left" w:pos="1129"/>
        </w:tabs>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 xml:space="preserve">Первую головнуи серию 10 машин вышустить из </w:t>
      </w:r>
      <w:r w:rsidRPr="007224C3">
        <w:rPr>
          <w:rStyle w:val="203"/>
          <w:rFonts w:ascii="Times New Roman" w:hAnsi="Times New Roman" w:cs="Times New Roman"/>
          <w:color w:val="000000" w:themeColor="text1"/>
          <w:spacing w:val="0"/>
          <w:sz w:val="16"/>
          <w:szCs w:val="16"/>
        </w:rPr>
        <w:t xml:space="preserve">цеха ; </w:t>
      </w:r>
      <w:r w:rsidRPr="007224C3">
        <w:rPr>
          <w:rFonts w:ascii="Times New Roman" w:hAnsi="Times New Roman" w:cs="Times New Roman"/>
          <w:color w:val="000000" w:themeColor="text1"/>
          <w:sz w:val="16"/>
          <w:szCs w:val="16"/>
        </w:rPr>
        <w:t>7 к 25 августа 1944 г.</w:t>
      </w:r>
    </w:p>
    <w:p w14:paraId="708BD8B6" w14:textId="77777777" w:rsidR="00104BAB" w:rsidRPr="007224C3" w:rsidRDefault="00104BAB" w:rsidP="007224C3">
      <w:pPr>
        <w:pStyle w:val="430"/>
        <w:shd w:val="clear" w:color="auto" w:fill="auto"/>
        <w:tabs>
          <w:tab w:val="left" w:pos="1446"/>
        </w:tabs>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5. Главному Технологу завода т</w:t>
      </w:r>
      <w:r w:rsidRPr="007224C3">
        <w:rPr>
          <w:rStyle w:val="203"/>
          <w:rFonts w:ascii="Times New Roman" w:hAnsi="Times New Roman" w:cs="Times New Roman"/>
          <w:color w:val="000000" w:themeColor="text1"/>
          <w:spacing w:val="0"/>
          <w:sz w:val="16"/>
          <w:szCs w:val="16"/>
        </w:rPr>
        <w:t xml:space="preserve">. Демину </w:t>
      </w:r>
      <w:r w:rsidRPr="007224C3">
        <w:rPr>
          <w:rFonts w:ascii="Times New Roman" w:hAnsi="Times New Roman" w:cs="Times New Roman"/>
          <w:color w:val="000000" w:themeColor="text1"/>
          <w:sz w:val="16"/>
          <w:szCs w:val="16"/>
        </w:rPr>
        <w:t>29</w:t>
      </w:r>
      <w:r w:rsidRPr="007224C3">
        <w:rPr>
          <w:rStyle w:val="TimesNewRoman85pt0pt"/>
          <w:rFonts w:eastAsia="Gungsuh"/>
          <w:color w:val="000000" w:themeColor="text1"/>
          <w:sz w:val="16"/>
          <w:szCs w:val="16"/>
        </w:rPr>
        <w:t xml:space="preserve"> мая</w:t>
      </w:r>
      <w:r w:rsidRPr="007224C3">
        <w:rPr>
          <w:rFonts w:ascii="Times New Roman" w:hAnsi="Times New Roman" w:cs="Times New Roman"/>
          <w:color w:val="000000" w:themeColor="text1"/>
          <w:sz w:val="16"/>
          <w:szCs w:val="16"/>
        </w:rPr>
        <w:t xml:space="preserve"> </w:t>
      </w:r>
      <w:r w:rsidRPr="007224C3">
        <w:rPr>
          <w:rStyle w:val="203"/>
          <w:rFonts w:ascii="Times New Roman" w:hAnsi="Times New Roman" w:cs="Times New Roman"/>
          <w:color w:val="000000" w:themeColor="text1"/>
          <w:spacing w:val="0"/>
          <w:sz w:val="16"/>
          <w:szCs w:val="16"/>
        </w:rPr>
        <w:t>с.г. предста</w:t>
      </w:r>
      <w:r w:rsidRPr="007224C3">
        <w:rPr>
          <w:rStyle w:val="1pt"/>
          <w:rFonts w:ascii="Times New Roman" w:hAnsi="Times New Roman" w:cs="Times New Roman"/>
          <w:color w:val="000000" w:themeColor="text1"/>
          <w:spacing w:val="0"/>
          <w:sz w:val="16"/>
          <w:szCs w:val="16"/>
        </w:rPr>
        <w:t>вить</w:t>
      </w:r>
      <w:r w:rsidRPr="007224C3">
        <w:rPr>
          <w:rFonts w:ascii="Times New Roman" w:hAnsi="Times New Roman" w:cs="Times New Roman"/>
          <w:color w:val="000000" w:themeColor="text1"/>
          <w:sz w:val="16"/>
          <w:szCs w:val="16"/>
        </w:rPr>
        <w:t xml:space="preserve"> мне на </w:t>
      </w:r>
      <w:r w:rsidRPr="007224C3">
        <w:rPr>
          <w:rStyle w:val="203"/>
          <w:rFonts w:ascii="Times New Roman" w:hAnsi="Times New Roman" w:cs="Times New Roman"/>
          <w:color w:val="000000" w:themeColor="text1"/>
          <w:spacing w:val="0"/>
          <w:sz w:val="16"/>
          <w:szCs w:val="16"/>
        </w:rPr>
        <w:t xml:space="preserve">утверждение </w:t>
      </w:r>
      <w:r w:rsidRPr="007224C3">
        <w:rPr>
          <w:rFonts w:ascii="Times New Roman" w:hAnsi="Times New Roman" w:cs="Times New Roman"/>
          <w:color w:val="000000" w:themeColor="text1"/>
          <w:sz w:val="16"/>
          <w:szCs w:val="16"/>
        </w:rPr>
        <w:t xml:space="preserve">график подготовка </w:t>
      </w:r>
      <w:r w:rsidRPr="007224C3">
        <w:rPr>
          <w:rStyle w:val="203"/>
          <w:rFonts w:ascii="Times New Roman" w:hAnsi="Times New Roman" w:cs="Times New Roman"/>
          <w:color w:val="000000" w:themeColor="text1"/>
          <w:spacing w:val="0"/>
          <w:sz w:val="16"/>
          <w:szCs w:val="16"/>
        </w:rPr>
        <w:t>производства</w:t>
      </w:r>
      <w:r w:rsidRPr="007224C3">
        <w:rPr>
          <w:rFonts w:ascii="Times New Roman" w:hAnsi="Times New Roman" w:cs="Times New Roman"/>
          <w:color w:val="000000" w:themeColor="text1"/>
          <w:sz w:val="16"/>
          <w:szCs w:val="16"/>
        </w:rPr>
        <w:t xml:space="preserve"> Ил-8 п</w:t>
      </w:r>
      <w:r w:rsidRPr="007224C3">
        <w:rPr>
          <w:rStyle w:val="203"/>
          <w:rFonts w:ascii="Times New Roman" w:hAnsi="Times New Roman" w:cs="Times New Roman"/>
          <w:color w:val="000000" w:themeColor="text1"/>
          <w:spacing w:val="0"/>
          <w:sz w:val="16"/>
          <w:szCs w:val="16"/>
        </w:rPr>
        <w:t>ервой очиреди (19789).</w:t>
      </w:r>
    </w:p>
    <w:p w14:paraId="4005BF38" w14:textId="77777777" w:rsidR="00104BAB" w:rsidRPr="007224C3" w:rsidRDefault="00104BAB" w:rsidP="007224C3">
      <w:pPr>
        <w:spacing w:after="0" w:line="240" w:lineRule="auto"/>
        <w:jc w:val="both"/>
        <w:rPr>
          <w:rFonts w:ascii="Times New Roman" w:hAnsi="Times New Roman"/>
          <w:color w:val="000000" w:themeColor="text1"/>
          <w:sz w:val="16"/>
          <w:szCs w:val="16"/>
        </w:rPr>
      </w:pPr>
    </w:p>
    <w:p w14:paraId="37859FFC" w14:textId="77777777" w:rsidR="00962976" w:rsidRPr="007224C3" w:rsidRDefault="00962976"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18 мая 1944 года на основании распоряжения наркома директор завода А. А. Белянский издал приказ, согласно которому самолету Ил-8 в оперативной заводской документации присваивался шифр «М», надо полагать, от Ил-2М, и открывались «счета на производство и подготовку производства». Первая серия устанавливалась в количестве 10 машин, вторая - 30 и последующие серии - по 100 самолетов каждая. Сборку первого серийного экземпляра Ил-8 требовалось закончить к 12 августа, а всю «первую головную серию 10 машин выпустить из цеха № 7 к 25 августа 1944 г.». Главный технолог завода В. И. Демин обязывался к 29 мая разработать и представить на утверждение «график подготовки производства Ил-8 первой очереди».</w:t>
      </w:r>
    </w:p>
    <w:p w14:paraId="1C575BD1" w14:textId="77777777" w:rsidR="00962976" w:rsidRPr="007224C3" w:rsidRDefault="00962976"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По всей видимости, за основу для серии нового штурмовика был взят самолет С-42, который изначально отрабатывался как эталон самолета Ил-2М для массового производства. При этом изменялась схема бронирования по образцу опытного экземпляра Ил-2М (Ил-АМ-42 экз. № 2).</w:t>
      </w:r>
    </w:p>
    <w:p w14:paraId="5E6A2F86" w14:textId="77777777" w:rsidR="00962976" w:rsidRPr="007224C3" w:rsidRDefault="00962976"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Однако вскоре все работы по серии Ил-8 были прекращены. Дело в том, что постановлением ГКО № 6246сс от 23 июля на авиазаводах № 1 и № 18 в массовое производство запускался штурмовик Ил-10 АМ-42, который по основным летным данным превосходил Ил-8 и Су-6 (14790).</w:t>
      </w:r>
    </w:p>
    <w:p w14:paraId="2AAE1647" w14:textId="77777777" w:rsidR="00962976" w:rsidRPr="007224C3" w:rsidRDefault="00962976" w:rsidP="007224C3">
      <w:pPr>
        <w:spacing w:after="0" w:line="240" w:lineRule="auto"/>
        <w:jc w:val="both"/>
        <w:rPr>
          <w:rFonts w:ascii="Times New Roman" w:eastAsia="Times New Roman" w:hAnsi="Times New Roman"/>
          <w:color w:val="000000" w:themeColor="text1"/>
          <w:sz w:val="16"/>
          <w:szCs w:val="16"/>
          <w:lang w:eastAsia="ru-RU"/>
        </w:rPr>
      </w:pPr>
    </w:p>
    <w:p w14:paraId="7399592A" w14:textId="77777777" w:rsidR="002E135C" w:rsidRPr="007224C3" w:rsidRDefault="002E135C" w:rsidP="007224C3">
      <w:pPr>
        <w:spacing w:after="0" w:line="240" w:lineRule="auto"/>
        <w:jc w:val="both"/>
        <w:rPr>
          <w:rFonts w:ascii="Times New Roman" w:hAnsi="Times New Roman"/>
          <w:color w:val="000000" w:themeColor="text1"/>
          <w:sz w:val="16"/>
          <w:szCs w:val="16"/>
        </w:rPr>
      </w:pPr>
      <w:r w:rsidRPr="007224C3">
        <w:rPr>
          <w:rStyle w:val="4c"/>
          <w:rFonts w:ascii="Times New Roman" w:hAnsi="Times New Roman" w:cs="Times New Roman"/>
          <w:i w:val="0"/>
          <w:color w:val="000000" w:themeColor="text1"/>
          <w:sz w:val="16"/>
          <w:szCs w:val="16"/>
        </w:rPr>
        <w:t>18 мая 1944 Лапин направил заместителю на</w:t>
      </w:r>
      <w:r w:rsidRPr="007224C3">
        <w:rPr>
          <w:rStyle w:val="4c"/>
          <w:rFonts w:ascii="Times New Roman" w:hAnsi="Times New Roman" w:cs="Times New Roman"/>
          <w:i w:val="0"/>
          <w:color w:val="000000" w:themeColor="text1"/>
          <w:sz w:val="16"/>
          <w:szCs w:val="16"/>
        </w:rPr>
        <w:softHyphen/>
        <w:t>ркома авиапромышленности Дементьеву пись</w:t>
      </w:r>
      <w:r w:rsidRPr="007224C3">
        <w:rPr>
          <w:rStyle w:val="4c"/>
          <w:rFonts w:ascii="Times New Roman" w:hAnsi="Times New Roman" w:cs="Times New Roman"/>
          <w:i w:val="0"/>
          <w:color w:val="000000" w:themeColor="text1"/>
          <w:sz w:val="16"/>
          <w:szCs w:val="16"/>
        </w:rPr>
        <w:softHyphen/>
        <w:t>мо, в котором сообщал:</w:t>
      </w:r>
      <w:r w:rsidRPr="007224C3">
        <w:rPr>
          <w:rFonts w:ascii="Times New Roman" w:hAnsi="Times New Roman"/>
          <w:color w:val="000000" w:themeColor="text1"/>
          <w:sz w:val="16"/>
          <w:szCs w:val="16"/>
        </w:rPr>
        <w:t xml:space="preserve"> «Из частей ВВС КА начали поступать сведения о том, что броне- детали корпуса самолета Ил-2 при поражении их снарядами кал. 15 и 20 мм из авиационно</w:t>
      </w:r>
      <w:r w:rsidRPr="007224C3">
        <w:rPr>
          <w:rFonts w:ascii="Times New Roman" w:hAnsi="Times New Roman"/>
          <w:color w:val="000000" w:themeColor="text1"/>
          <w:sz w:val="16"/>
          <w:szCs w:val="16"/>
        </w:rPr>
        <w:softHyphen/>
        <w:t>го вооружения противника дают хрупкие раз</w:t>
      </w:r>
      <w:r w:rsidRPr="007224C3">
        <w:rPr>
          <w:rFonts w:ascii="Times New Roman" w:hAnsi="Times New Roman"/>
          <w:color w:val="000000" w:themeColor="text1"/>
          <w:sz w:val="16"/>
          <w:szCs w:val="16"/>
        </w:rPr>
        <w:softHyphen/>
        <w:t>рушения. В связи с этим в НИИ ВВС в апреле месяце 1944 г. были проведены испытания обстрелом бронекорпуса самолета Ил-2, из</w:t>
      </w:r>
      <w:r w:rsidRPr="007224C3">
        <w:rPr>
          <w:rFonts w:ascii="Times New Roman" w:hAnsi="Times New Roman"/>
          <w:color w:val="000000" w:themeColor="text1"/>
          <w:sz w:val="16"/>
          <w:szCs w:val="16"/>
        </w:rPr>
        <w:softHyphen/>
        <w:t>готовленного на заводе № 125 НКАП во втором квартале 1943 г. Эти испытания подтвердили, что при обстреле бронекорпуса снарядами кал. 15-20 мм броня дает хрупкие разруше</w:t>
      </w:r>
      <w:r w:rsidRPr="007224C3">
        <w:rPr>
          <w:rFonts w:ascii="Times New Roman" w:hAnsi="Times New Roman"/>
          <w:color w:val="000000" w:themeColor="text1"/>
          <w:sz w:val="16"/>
          <w:szCs w:val="16"/>
        </w:rPr>
        <w:softHyphen/>
        <w:t>ния; расколы, проломы и отколы. При этом было обнаружено, что с тыльной стороны в ме</w:t>
      </w:r>
      <w:r w:rsidRPr="007224C3">
        <w:rPr>
          <w:rFonts w:ascii="Times New Roman" w:hAnsi="Times New Roman"/>
          <w:color w:val="000000" w:themeColor="text1"/>
          <w:sz w:val="16"/>
          <w:szCs w:val="16"/>
        </w:rPr>
        <w:softHyphen/>
        <w:t>сте удара снаряда, отрывается слой металла толщиной примерно в половину листа и в не</w:t>
      </w:r>
      <w:r w:rsidRPr="007224C3">
        <w:rPr>
          <w:rFonts w:ascii="Times New Roman" w:hAnsi="Times New Roman"/>
          <w:color w:val="000000" w:themeColor="text1"/>
          <w:sz w:val="16"/>
          <w:szCs w:val="16"/>
        </w:rPr>
        <w:softHyphen/>
        <w:t>которых случаях загибается наподобие струж</w:t>
      </w:r>
      <w:r w:rsidRPr="007224C3">
        <w:rPr>
          <w:rFonts w:ascii="Times New Roman" w:hAnsi="Times New Roman"/>
          <w:color w:val="000000" w:themeColor="text1"/>
          <w:sz w:val="16"/>
          <w:szCs w:val="16"/>
        </w:rPr>
        <w:softHyphen/>
        <w:t>ки (17478).</w:t>
      </w:r>
    </w:p>
    <w:p w14:paraId="5CFE8303" w14:textId="77777777" w:rsidR="002E135C" w:rsidRPr="007224C3" w:rsidRDefault="002E135C" w:rsidP="007224C3">
      <w:pPr>
        <w:spacing w:after="0" w:line="240" w:lineRule="auto"/>
        <w:jc w:val="both"/>
        <w:rPr>
          <w:rFonts w:ascii="Times New Roman" w:hAnsi="Times New Roman"/>
          <w:color w:val="000000" w:themeColor="text1"/>
          <w:sz w:val="16"/>
          <w:szCs w:val="16"/>
        </w:rPr>
      </w:pPr>
    </w:p>
    <w:p w14:paraId="2AF4F384"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122ED83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A2A420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мая 1944 Оперативное Бюро ГКО получило новый состав: Л.П.Б. (председатель), Г.М.М., А.И.М., Н.А.Вознесенский и К.Е.В. За 50 месяцев работы приняли 9971 постановление (1566,145).</w:t>
      </w:r>
    </w:p>
    <w:p w14:paraId="3232C96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6622C0" w14:textId="77777777" w:rsidR="00415543" w:rsidRPr="007224C3" w:rsidRDefault="0041554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мая 1944 г. Оперативное бюро ГКО было утверждено в новом составе: Л. П. Берия (председатель), Г. М. Маленков, А. И. Микоян, Н. А. Вознесенский и К. Е. Ворошилов (18390).</w:t>
      </w:r>
    </w:p>
    <w:p w14:paraId="26501CE2" w14:textId="77777777" w:rsidR="00415543" w:rsidRPr="007224C3" w:rsidRDefault="00415543" w:rsidP="007224C3">
      <w:pPr>
        <w:spacing w:after="0" w:line="240" w:lineRule="auto"/>
        <w:jc w:val="both"/>
        <w:rPr>
          <w:rFonts w:ascii="Times New Roman" w:hAnsi="Times New Roman"/>
          <w:color w:val="000000" w:themeColor="text1"/>
          <w:sz w:val="16"/>
          <w:szCs w:val="16"/>
        </w:rPr>
      </w:pPr>
    </w:p>
    <w:p w14:paraId="6A70CA9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мая 1944 г. Оперативное Бюро было утверждено в новом составе: Л.П.Берия (председатель), Г.М.Маленков, А.И.Микоян, Н.А.Вознесенский и К.Е.Ворошилов (1566).</w:t>
      </w:r>
    </w:p>
    <w:p w14:paraId="0419D1F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97A30D"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мая 1944 года вышел приказ № 264с НКБ</w:t>
      </w:r>
    </w:p>
    <w:p w14:paraId="6D5712C5"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 исполнение распоряжения СНК № 10481-РС от 13 мая 1944 года:</w:t>
      </w:r>
    </w:p>
    <w:p w14:paraId="407802E2"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Закрыть с 1 июля 1944 года снаряжательный завод № 610 1 Гл. управления (Баку), а здания и сооружения передать Совнаркому АзССР (6015, 21).</w:t>
      </w:r>
    </w:p>
    <w:p w14:paraId="5713608E"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D6C1A3B"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мая Постановление ГКО № 5909 Об утверждении Оперативного бюро Государственного Комитета Обороны. (7233, 107).</w:t>
      </w:r>
    </w:p>
    <w:p w14:paraId="5736F976"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30D0E4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мая 1944 вышло Постановление ГКО № 5910 О мерах неотложной помощи по восстановлению цехов и жилого поселка металлургического завода "Электросталь" Наркомчермета. РГАНИР, Фонд ГКО, д. 254, лл. 108-110 (11012).</w:t>
      </w:r>
    </w:p>
    <w:p w14:paraId="56E91DD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82ACAE6"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мая 1944 вышло Постановление ГКО № 5911 О неотложных мерах помощи заводу № 80 Наркомбоеприпасов по улучшению погрузочно-разгрузочных работ. (7233, 111-113,114-115).</w:t>
      </w:r>
    </w:p>
    <w:p w14:paraId="2CB6B4D2"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84398E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мая 1944 вышло Постановление ГКО № 5912 Об обеспечении завода № 183 НКТП кислородом в связи с аварией на Нижнетагильском автогенном заводе НКТМ. РГАНИР, Фонд ГКО, д. 254, лл. 116-119 (11012).</w:t>
      </w:r>
    </w:p>
    <w:p w14:paraId="544DD41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8CE986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мая 1944 вышло Постановление ГКО № 5913 О срочных мерах по ликвидации последствий взрыва на заводе № 388 НКБ. РГАНИР, Фонд ГКО, д. 254, лл. 120-128 (11012).</w:t>
      </w:r>
    </w:p>
    <w:p w14:paraId="38BA632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17B2CB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мая 1944 вышло Распоряжение ГКО № 5914. Об уменьшении плана производства продукта М НКХП для ГВХУ КА. РГАНИР, Фонд ГКО, д. 254, лл. 129 (11012).</w:t>
      </w:r>
    </w:p>
    <w:p w14:paraId="4D6FE00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7F2E53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мая 1944 вышло Распоряжение ГКО № 5915. О призыве 1 тыс. военнообязанных, не годных к строевой службе, для работы на лесозаготовках в Красноярском крае. РГАНИР, Фонд ГКО, д. 254, лл. 130 (11012).</w:t>
      </w:r>
    </w:p>
    <w:p w14:paraId="1C50DD1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53F1206"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мая 1944 вышло Распоряжение ГКО № 5916 [О порядке финансирования восстановительных работ на заводах НКМВ.] (7233, 131).</w:t>
      </w:r>
    </w:p>
    <w:p w14:paraId="3FA35961"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8A8B8F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мая 1944 вышло Распоряжение ГКО № 5918. Об обеспечении проектно-изыскательских работ по восстановлению Главной военно-морской базы Черноморского флота в Севастополе. РГАНИР, Фонд ГКО, д. 254, лл. 133 (11012).</w:t>
      </w:r>
    </w:p>
    <w:p w14:paraId="7BCD276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86CCF6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мая 1944 вышло Постановление ГКО № 5919 Об ускорении строительства военно-морской базы в гор. Поти. РГАНИР, Фонд ГКО, д. 254, лл. 134-136,137 (11012).</w:t>
      </w:r>
    </w:p>
    <w:p w14:paraId="515DF63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CBC6F1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мая 1944 вышло Постановление ГКО № 5920 О восстановлении завода № 302 Наркомсредмаша в г. Киеве. РГАНИР, Фонд ГКО, д. 254, лл. 138-142,143-144 (11012).</w:t>
      </w:r>
    </w:p>
    <w:p w14:paraId="03FF3CB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1C842F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мая 1944 г. в соответствии с пост. ГКО № 5920 после освобождения Киева в 1944 г., когда на старое место реэвакуированы из Зеленодольска оборудование и специалисты завода № 300, был организован новый завод № 302 НКСМ. 9.07.1944 г. вышло распоряжение ГКО № 6149 о переводе на завод производства судовых паровых котлов с завода № 141 НКСП ( г. Таганрог).</w:t>
      </w:r>
    </w:p>
    <w:p w14:paraId="2ABEEB4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1945 г. заложены первые суда.</w:t>
      </w:r>
    </w:p>
    <w:p w14:paraId="7955F1D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Строились землесосы, пассажирские пароходы, рейдовые морские буксиры, морские самоходные шаланды. С середины 1950-х  г. начато крупносерийное строительство средних морских рыболовных траулеров (СРТ). До 1990 г. строились СРТ пр. 502 и его модификации по 15-18 шт. в год.</w:t>
      </w:r>
    </w:p>
    <w:p w14:paraId="712CA60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Действовало машиностроительное производство: завод выпускал винты регулируемого шага, котлоагрегаты, насосы, оборудование для химической промышленности, морозильное оборудование.</w:t>
      </w:r>
    </w:p>
    <w:p w14:paraId="58E9D5A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1995 г. завод преобразован в ОАО.</w:t>
      </w:r>
    </w:p>
    <w:p w14:paraId="1DB708D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Гендиректор (2007 г.)- П.И. Блиндар.</w:t>
      </w:r>
    </w:p>
    <w:p w14:paraId="11DA11E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гендиректора: по производству (2007 г.)- А.Н. Вишневецкий; по финансам (2007 г.)- В.Б. Каширский; по персоналу (2007 г.)- С.А. Авдошин; по коммерческим вопросам (2007 г.)- В.В. Малашевский.</w:t>
      </w:r>
    </w:p>
    <w:p w14:paraId="75ED3B1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по ВЭД (2007 г.)- И.В. Татарин.</w:t>
      </w:r>
    </w:p>
    <w:p w14:paraId="29016E8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инженер (2007 г.)- С.А. Белозубенко.</w:t>
      </w:r>
    </w:p>
    <w:p w14:paraId="36F8E95C" w14:textId="77777777" w:rsidR="005F2ECF"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7224C3">
        <w:rPr>
          <w:rFonts w:ascii="Times New Roman" w:hAnsi="Times New Roman"/>
          <w:iCs/>
          <w:color w:val="000000" w:themeColor="text1"/>
          <w:sz w:val="16"/>
          <w:szCs w:val="16"/>
        </w:rPr>
        <w:t>Производство:</w:t>
      </w:r>
      <w:r w:rsidRPr="007224C3">
        <w:rPr>
          <w:rFonts w:ascii="Times New Roman" w:hAnsi="Times New Roman"/>
          <w:color w:val="000000" w:themeColor="text1"/>
          <w:sz w:val="16"/>
          <w:szCs w:val="16"/>
        </w:rPr>
        <w:t xml:space="preserve"> бронекатер пр. 1124 (1945)- I;</w:t>
      </w:r>
      <w:r w:rsidRPr="007224C3">
        <w:rPr>
          <w:rFonts w:ascii="Times New Roman" w:hAnsi="Times New Roman"/>
          <w:color w:val="000000" w:themeColor="text1"/>
          <w:sz w:val="16"/>
          <w:szCs w:val="16"/>
          <w:vertAlign w:val="superscript"/>
        </w:rPr>
        <w:t>61</w:t>
      </w:r>
      <w:r w:rsidRPr="007224C3">
        <w:rPr>
          <w:rFonts w:ascii="Times New Roman" w:hAnsi="Times New Roman"/>
          <w:color w:val="000000" w:themeColor="text1"/>
          <w:sz w:val="16"/>
          <w:szCs w:val="16"/>
        </w:rPr>
        <w:t xml:space="preserve"> корвет «Тернополь» (1992-2005);</w:t>
      </w:r>
      <w:r w:rsidRPr="007224C3">
        <w:rPr>
          <w:rFonts w:ascii="Times New Roman" w:hAnsi="Times New Roman"/>
          <w:iCs/>
          <w:color w:val="000000" w:themeColor="text1"/>
          <w:sz w:val="16"/>
          <w:szCs w:val="16"/>
        </w:rPr>
        <w:t xml:space="preserve"> земснаряды:</w:t>
      </w:r>
      <w:r w:rsidRPr="007224C3">
        <w:rPr>
          <w:rFonts w:ascii="Times New Roman" w:hAnsi="Times New Roman"/>
          <w:color w:val="000000" w:themeColor="text1"/>
          <w:sz w:val="16"/>
          <w:szCs w:val="16"/>
        </w:rPr>
        <w:t xml:space="preserve"> дизель- электрические многочерпаковые (1945-), пр. 1439 «Камский-314» (1966), пр. 1519 «Днепр» (1975-90)- более 35, пр. 15191 (1988-91)- 2; буксиры: пр. 732 «Академик Крылов» (1947), пр. 733 (1950-е)- всего более 440; пассажирский колесный пароход (1951);</w:t>
      </w:r>
      <w:r w:rsidRPr="007224C3">
        <w:rPr>
          <w:rFonts w:ascii="Times New Roman" w:hAnsi="Times New Roman"/>
          <w:iCs/>
          <w:color w:val="000000" w:themeColor="text1"/>
          <w:sz w:val="16"/>
          <w:szCs w:val="16"/>
        </w:rPr>
        <w:t xml:space="preserve"> СРТ:</w:t>
      </w:r>
      <w:r w:rsidRPr="007224C3">
        <w:rPr>
          <w:rFonts w:ascii="Times New Roman" w:hAnsi="Times New Roman"/>
          <w:color w:val="000000" w:themeColor="text1"/>
          <w:sz w:val="16"/>
          <w:szCs w:val="16"/>
        </w:rPr>
        <w:t xml:space="preserve"> пр. 391 «Горностай» (1954-), пр. 395 «Бологое» (1957-), пр. 502 «Маяк» (1960-е), СРТ-300 (1960-е), СРТМ пр. 502Э «Железняков» (1967), «Железный поток», ЯИ-1424 (1968-90- е)- более 300; сейнер-траулер пр. 503 «Альпинист» (1970-е-80-е)- около 300 (вместе с Ярославским и Волгоградским ССЗ); тунцеловный сейнер пр. 1348 «Тибия» (1970-е); малый ПЛК пр. 1124 (1970-85)- 42 (вместе с заводами 340 и 876), пр. 1124М (1982-)- 33 (вместе с заводами 340 и 876).</w:t>
      </w:r>
      <w:r w:rsidRPr="007224C3">
        <w:rPr>
          <w:rFonts w:ascii="Times New Roman" w:hAnsi="Times New Roman"/>
          <w:color w:val="000000" w:themeColor="text1"/>
          <w:sz w:val="16"/>
          <w:szCs w:val="16"/>
          <w:vertAlign w:val="superscript"/>
        </w:rPr>
        <w:t>116</w:t>
      </w:r>
    </w:p>
    <w:p w14:paraId="061D457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СКБ завода № 302, ЦКБ-302, ЦКБ «Ленинская кузница» /252032  г. Киев ул. Коминтерна, 30/</w:t>
      </w:r>
    </w:p>
    <w:p w14:paraId="2BFFA8C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Вероятно, до 1953 г. являлось филиалом Ленинградского ЦТКБ МРФ, затем стало самостоятельным</w:t>
      </w:r>
    </w:p>
    <w:p w14:paraId="09FB728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ЦКБ-302.</w:t>
      </w:r>
    </w:p>
    <w:p w14:paraId="0E65656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1950-х  г. специализировалось на проектировании средних рыболовных судов. В 1960-е  г. спроектирован первый советский СРТ с кормовым тралением пр. 502Э. В начале 1980-х  г. разработана техдокументация изготовления технологической оснастки для производства спасательного катера пр. 03473 на Сосновской судоверфи.</w:t>
      </w:r>
    </w:p>
    <w:p w14:paraId="62F021B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Н.А. Якишин.</w:t>
      </w:r>
    </w:p>
    <w:p w14:paraId="314B637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инженер- Ю.В. Чвертко.</w:t>
      </w:r>
    </w:p>
    <w:p w14:paraId="3434C11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конструктор- В.П. Тахистов.</w:t>
      </w:r>
    </w:p>
    <w:p w14:paraId="66DFC9B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конструкторы: (1957 г.)- А.Б. Байбаков (пр. 395), (1960-е)-  Г.П. Дубский (пр. 502, 502М, 391А, 503), (1960- е)- В.Ф. Безукладов (пр. 502А), (1960-е)-</w:t>
      </w:r>
      <w:r w:rsidRPr="007224C3">
        <w:rPr>
          <w:rFonts w:ascii="Times New Roman" w:hAnsi="Times New Roman"/>
          <w:iCs/>
          <w:color w:val="000000" w:themeColor="text1"/>
          <w:sz w:val="16"/>
          <w:szCs w:val="16"/>
        </w:rPr>
        <w:t xml:space="preserve"> ЯМ.</w:t>
      </w:r>
      <w:r w:rsidRPr="007224C3">
        <w:rPr>
          <w:rFonts w:ascii="Times New Roman" w:hAnsi="Times New Roman"/>
          <w:color w:val="000000" w:themeColor="text1"/>
          <w:sz w:val="16"/>
          <w:szCs w:val="16"/>
        </w:rPr>
        <w:t xml:space="preserve"> Вольфсон (пр. 388Н), (1960-е-80-е&gt; Б.М. Сычев (пр. 502Э, 1296, 12961, 13020), (1970-е)- А.И. Кучук (пр. 1336), (1970-е-80-е)- В.А. Середа (пр. 420, 1348, 1350, 05026), (1970-е)- А.А. Криворотько (пр. 1338), (1970-е)- В.П. Тахистов (пр. 13321).</w:t>
      </w:r>
    </w:p>
    <w:p w14:paraId="324B880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iCs/>
          <w:color w:val="000000" w:themeColor="text1"/>
          <w:sz w:val="16"/>
          <w:szCs w:val="16"/>
        </w:rPr>
        <w:t>Создано: буксиры:</w:t>
      </w:r>
      <w:r w:rsidRPr="007224C3">
        <w:rPr>
          <w:rFonts w:ascii="Times New Roman" w:hAnsi="Times New Roman"/>
          <w:color w:val="000000" w:themeColor="text1"/>
          <w:sz w:val="16"/>
          <w:szCs w:val="16"/>
        </w:rPr>
        <w:t xml:space="preserve"> речные колесные 400 л.с. пр. 732 (1946), 200 л.с. пр. 733 (1940-е), 600 л.с. (1940-е); </w:t>
      </w:r>
      <w:r w:rsidRPr="007224C3">
        <w:rPr>
          <w:rFonts w:ascii="Times New Roman" w:hAnsi="Times New Roman"/>
          <w:iCs/>
          <w:color w:val="000000" w:themeColor="text1"/>
          <w:sz w:val="16"/>
          <w:szCs w:val="16"/>
        </w:rPr>
        <w:t>траулеры: СРТ:</w:t>
      </w:r>
      <w:r w:rsidRPr="007224C3">
        <w:rPr>
          <w:rFonts w:ascii="Times New Roman" w:hAnsi="Times New Roman"/>
          <w:color w:val="000000" w:themeColor="text1"/>
          <w:sz w:val="16"/>
          <w:szCs w:val="16"/>
        </w:rPr>
        <w:t xml:space="preserve"> пр. 391 типа «Горностай» (1954), пр. 395 типа «Бологое» (1957), пр. 502 типа «Маяк» (1960-е), рефрижератор пр. 502Р типа «Саргасса» (1960-е), пр. 502М типа «Ольга» (1967), пр. 502Э типа «Железняков» (1960-е); пр. 391А типа СРТ-300 (1960-е); креветочно-морозильный пр. 1336 типа «Омар» (1974); рефрижераторный пр. 1296 типа «Гируляй» (1978), креветколовный пр. 12961 типа «Лаукува» (1980-е);</w:t>
      </w:r>
      <w:r w:rsidRPr="007224C3">
        <w:rPr>
          <w:rFonts w:ascii="Times New Roman" w:hAnsi="Times New Roman"/>
          <w:iCs/>
          <w:color w:val="000000" w:themeColor="text1"/>
          <w:sz w:val="16"/>
          <w:szCs w:val="16"/>
        </w:rPr>
        <w:t xml:space="preserve"> сейнеры: </w:t>
      </w:r>
      <w:r w:rsidRPr="007224C3">
        <w:rPr>
          <w:rFonts w:ascii="Times New Roman" w:hAnsi="Times New Roman"/>
          <w:color w:val="000000" w:themeColor="text1"/>
          <w:sz w:val="16"/>
          <w:szCs w:val="16"/>
        </w:rPr>
        <w:t>пр. 388 типа РС-300 (1960-е), пр. 388М типа «Маневренный» (1960-е); средний пр. 1330 типа «Керчанин» (1977); малый пр. 1338П и пр. 1338К типа «Нельма» (1975); проект переоборудования траулера пр. 502 в разведывательное судно (1965); сейнеры-траулеры: пр. 503 типа «Альпинист» (1970-е), средний рефрижераторный пр. 420 типа «Надежный» (1978); тунцеловные суда: пр. 502А (1963), ярусник пр. 13321 типа «Тунцелов-1» (1979), сейнер пр. 1348 типа «Тибия» (1970-е); кальмаролов пр. 05026 типа «Голицыно» (1985); малый транспортный рефрижератор пр. 1350 типа «Радужный» (1971); универсальное рыбодобывающее судно пр. 13020 типа «Приморье» (1987); дизель-электрические многочерпаковые земснаряды пр. 1439 «Камский-314» (1965), пр. 1519 типа «Днепр» (1974), пр. 15191 (1987).</w:t>
      </w:r>
      <w:r w:rsidRPr="007224C3">
        <w:rPr>
          <w:rFonts w:ascii="Times New Roman" w:hAnsi="Times New Roman"/>
          <w:color w:val="000000" w:themeColor="text1"/>
          <w:sz w:val="16"/>
          <w:szCs w:val="16"/>
          <w:vertAlign w:val="superscript"/>
        </w:rPr>
        <w:t>И6</w:t>
      </w:r>
    </w:p>
    <w:p w14:paraId="16AED7C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Хабаровский филиал ЦКБ «Ленинская кузница» /680003  г. Хабаровск/</w:t>
      </w:r>
    </w:p>
    <w:p w14:paraId="4C99AA1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М.Ф. Андриенко.</w:t>
      </w:r>
    </w:p>
    <w:p w14:paraId="3E1F0D4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iCs/>
          <w:color w:val="000000" w:themeColor="text1"/>
          <w:sz w:val="16"/>
          <w:szCs w:val="16"/>
        </w:rPr>
        <w:t>Создано:</w:t>
      </w:r>
      <w:r w:rsidRPr="007224C3">
        <w:rPr>
          <w:rFonts w:ascii="Times New Roman" w:hAnsi="Times New Roman"/>
          <w:color w:val="000000" w:themeColor="text1"/>
          <w:sz w:val="16"/>
          <w:szCs w:val="16"/>
        </w:rPr>
        <w:t xml:space="preserve"> морской буксирный катер пр. 1439 (1968) (11982).</w:t>
      </w:r>
    </w:p>
    <w:p w14:paraId="484DE763" w14:textId="77777777" w:rsidR="005F2ECF" w:rsidRPr="007224C3" w:rsidRDefault="005F2ECF" w:rsidP="007224C3">
      <w:pPr>
        <w:autoSpaceDE w:val="0"/>
        <w:autoSpaceDN w:val="0"/>
        <w:adjustRightInd w:val="0"/>
        <w:spacing w:after="0" w:line="240" w:lineRule="auto"/>
        <w:jc w:val="both"/>
        <w:rPr>
          <w:rFonts w:ascii="Times New Roman" w:hAnsi="Times New Roman"/>
          <w:color w:val="000000" w:themeColor="text1"/>
          <w:sz w:val="16"/>
          <w:szCs w:val="16"/>
        </w:rPr>
      </w:pPr>
    </w:p>
    <w:p w14:paraId="6FB2A57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мая 1944 вышло Постановление ГКО № 5921 О мероприятиях по достройке и вводу в эксплуатацию танкоремонтного завода № 21 НКО СССР в г. Чите (cт. Атамановка). РГАНИР, Фонд ГКО, д. 254, лл. 145-147,148-151 (11012).</w:t>
      </w:r>
    </w:p>
    <w:p w14:paraId="3381D02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61AEB18"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мая 1944 вышло Постановление ГКО № 5922 Об обеспечении изготовления заводом "Станкоконструкция" специальных станков для производства танков ИС. (7233, 152-154,155-159).</w:t>
      </w:r>
    </w:p>
    <w:p w14:paraId="21B9AE6B"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B650946"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мая 1944 вышло Постановление ГКО № 5923 О мероприятиях по увеличению кадров квалифицированных рабочих на железнодорожном транспорте. (7233, 160-163,164-167).</w:t>
      </w:r>
    </w:p>
    <w:p w14:paraId="1E21AA6F"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C941C4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мая 1944 вышло Постановление ГКО № 5924 Об окончании строительства и ввода в действие первой очереди завода № 507 Наркомрезинпрома. РГАНИР, Фонд ГКО, д. 254, лл. 168-174,175-177 (11012).</w:t>
      </w:r>
    </w:p>
    <w:p w14:paraId="290E5D6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721674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мая 1944 вышло Распоряжение ГКО № 5925. О материально-техническом обеспечении строительства заводов синтетического каучука НКРП. РГАНИР, Фонд ГКО, д. 254, лл. 178-180,181-190 (11012).</w:t>
      </w:r>
    </w:p>
    <w:p w14:paraId="4783A6C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0A1B23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мая 1944 г. вышло Постановление ГКО № 5926 «Об организации производства шифровальной и засекречивающей аппаратуры на заводе № 209 Наркомсредмаша» (Д. 335. Л. 129–141).</w:t>
      </w:r>
    </w:p>
    <w:p w14:paraId="763E382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BFDF488" w14:textId="77777777" w:rsidR="00415543" w:rsidRPr="007224C3" w:rsidRDefault="0041554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мая 1944 г. постановление ГКО № 5926сс «Об организации производства шифровальной и засекречивающей аппаратуры на заводе № 209 Наркомсудпрома», в соответствии с которым предприятие превращалось в один из ведущих центров страны по разработке и выпуску данного класса техники связи. Постановление обязывало завод обеспечить к определенным срокам выпуск пяти модернизированных аппаратов «Соболь-П», 20 аппаратов «Нева-П», 10 комплектов «Нева-С» и комплекта шифратора «Волга-С», полевого шифрующего аппарата «Соболь-Д» и стационарного аппарата «Соболь-Д»3. Разработка всей этой аппаратуры для автоматического засекречивания телефонных переговоров осуществлялась по заказам ОПС НКВД, а исполнителем ее на предприятии стало специальное КБ – 33-й отдел (18297).</w:t>
      </w:r>
    </w:p>
    <w:p w14:paraId="689AEBAE" w14:textId="77777777" w:rsidR="00415543" w:rsidRPr="007224C3" w:rsidRDefault="00415543" w:rsidP="007224C3">
      <w:pPr>
        <w:spacing w:after="0" w:line="240" w:lineRule="auto"/>
        <w:jc w:val="both"/>
        <w:rPr>
          <w:rFonts w:ascii="Times New Roman" w:hAnsi="Times New Roman"/>
          <w:color w:val="000000" w:themeColor="text1"/>
          <w:sz w:val="16"/>
          <w:szCs w:val="16"/>
        </w:rPr>
      </w:pPr>
    </w:p>
    <w:p w14:paraId="1A50701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мая 1944 вышло Постановление ГКО № 5927 О мероприятиях по восстановлению цементных заводов Наркомстройматериалов СССР в Украинской и Белорусской ССР, Воронежской и Орловской областях. РГАНИР, Фонд ГКО, д. 254, лл. 207-212,213-221 (11012).</w:t>
      </w:r>
    </w:p>
    <w:p w14:paraId="1AE9023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805D17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мая 1944 вышло Постановление ГКО № 5928 Об экономии электроэнергии в промышленности. РГАНИР, Фонд ГКО, д. 254, лл. 222-229,230-234 (11012).</w:t>
      </w:r>
    </w:p>
    <w:p w14:paraId="1242916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ED048E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мая 1944 вышло Распоряжение ГКО № 5929. О выделении 600 военнослужащих ЗабФ на работы по сплаву древесины в Иркутской обл. РГАНИР, Фонд ГКО, д. 254, лл. 235 (11012).</w:t>
      </w:r>
    </w:p>
    <w:p w14:paraId="37887EE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A7979B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мая 1944 вышло Постановление ГКО № 5930 О мероприятиях по обеспечению топливом стекольных заводов Наркомстройматериалов СССР. РГАНИР, Фонд ГКО, д. 254, лл. 236-238,239-243 (11012).</w:t>
      </w:r>
    </w:p>
    <w:p w14:paraId="713EA5A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B672CBA" w14:textId="77777777" w:rsidR="005F2ECF"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lastRenderedPageBreak/>
        <w:t>Армия:</w:t>
      </w:r>
    </w:p>
    <w:p w14:paraId="102BA2AE" w14:textId="77777777" w:rsidR="005F2ECF" w:rsidRPr="007224C3" w:rsidRDefault="005F2ECF"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50CAF25" w14:textId="77777777" w:rsidR="005F2ECF" w:rsidRPr="007224C3" w:rsidRDefault="005F2ECF"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18 МАЯ 1944 СООБЩЕНИЕ СОВИНФОРМБЮРО:</w:t>
      </w:r>
    </w:p>
    <w:p w14:paraId="02A818A7" w14:textId="77777777" w:rsidR="005F2ECF" w:rsidRPr="007224C3" w:rsidRDefault="005F2EC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18 мая на фронтах существенных изменений не произошло. За 17 мая подбито и уничтожено 10 немецких танков. В воздушных боях и огнём зенитной артиллерии сбито 25 самолётов противника.</w:t>
      </w:r>
    </w:p>
    <w:p w14:paraId="05C67C0A" w14:textId="77777777" w:rsidR="005F2ECF" w:rsidRPr="007224C3" w:rsidRDefault="005F2EC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Юго-восточнее города Станислав подразделения Н-ской части атаковали противника и овладели высотой, имеющей важное значение. Отступая, немцы оставили на поле боя 90 убитых и раненых солдат и офицеров. Захвачено 5 пулемётов, 2миномёта, 65 винтовок и автоматов. На другом участке советские бойцы отбили несколько атак противника и истребили две роты гитлеровцев. Взято в плен 40немецких солдат и офицеров.</w:t>
      </w:r>
    </w:p>
    <w:p w14:paraId="2A91360C" w14:textId="77777777" w:rsidR="005F2ECF" w:rsidRPr="007224C3" w:rsidRDefault="005F2EC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Северо-западнее города Тирасполь противник предпринял попытку вернуть потерянные накануне позиции. Рано утром немецкие пехота и танки перешли в атаку. Встреченные артиллерийско-миномётным и ружейно-пулемётным огнём, гитлеровцы понесли большие потери и отступили. Все дальнейшие их атаки успеха не имели. В течение дня наши подразделения уничтожили до 600 солдат и офицеров противника и подбили 7 немецких танков.</w:t>
      </w:r>
    </w:p>
    <w:p w14:paraId="1FD32D7D" w14:textId="77777777" w:rsidR="005F2ECF" w:rsidRPr="007224C3" w:rsidRDefault="005F2EC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Юго-восточнее города Витебск три отряда немецкой пехоты после артиллерийско-миномётного налёта пытались вести разведку. Советские бойцы подпустили противника на близкое расстояние и открыли сильный огонь. Оставив на поле боя более 60 трупов своих солдат и офицеров, немцы отошли на исходные рубежи.</w:t>
      </w:r>
    </w:p>
    <w:p w14:paraId="0384D56A" w14:textId="77777777" w:rsidR="005F2ECF" w:rsidRPr="007224C3" w:rsidRDefault="005F2EC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города Мозырь рядовой тов. Москалёв, находясь в боевом охранении, меткими выстрелами убил двух немецких офицеров. Снайпер сержант тов. Кнутов за последние дни уничтожил 11 гитлеровцев.</w:t>
      </w:r>
    </w:p>
    <w:p w14:paraId="19FBF9CC" w14:textId="77777777" w:rsidR="005F2ECF" w:rsidRPr="007224C3" w:rsidRDefault="005F2EC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мая авиация Краснознамённого Балтийского флота нанесла удар по транспортам в порту противника. Прямым попаданием бомб потоплен транспорт водоизмещением в 3тысячи тонн. Другому транспорту нанесены серьёзные повреждения.</w:t>
      </w:r>
    </w:p>
    <w:p w14:paraId="72AABE5E" w14:textId="77777777" w:rsidR="005F2ECF" w:rsidRPr="007224C3" w:rsidRDefault="005F2EC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воздушных боях наши лётчики сбили 9 самолётов противника.</w:t>
      </w:r>
    </w:p>
    <w:p w14:paraId="1B5607A3" w14:textId="77777777" w:rsidR="005F2ECF" w:rsidRPr="007224C3" w:rsidRDefault="005F2EC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Несколько партизанских отрядов, действующих в Минской области, окружили немецкий гарнизон в одном населённом пункте. В ожесточённом бою партизаны уничтожили роту гитлеровцев. Захвачены у немцев 2 орудия, 11 пулемётов, несколько десятков винтовок и 10 тысяч патронов. В другом районе гитлеровцы направили против партизанского отряда карательную экспедицию, насчитывавшую до600 штыков. В результате упорных боёв советские патриоты успешно отбили все атаки и нанесли противнику серьёзный урон.</w:t>
      </w:r>
    </w:p>
    <w:p w14:paraId="4E6FAE3D" w14:textId="77777777" w:rsidR="005F2ECF" w:rsidRPr="007224C3" w:rsidRDefault="005F2EC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Немецкий генерал Дитмар на днях выступил по радио с обзором крымских событий. Подручный Геббельса взял на себя невыполнимую задачу. Дитмар, например, уверял, что разгром немецких войск в Крыму есть не что иное, кик «выдающееся достижение немецкого командования». Он заявил: «Нам удалось эвакуировать не только главные силы, но и подавляющую часть охранных частей, прикрывавших эвакуацию основных сил». При этом Дитмар скромно умолчал, к какому же разряду войск — к главным силам или к охранным частям — следует отнести более 111 тысяч немецко-румынских солдат и офицеров, уничтоженных или пленённых Красной Армией в Крыму.</w:t>
      </w:r>
    </w:p>
    <w:p w14:paraId="2D7C3294" w14:textId="77777777" w:rsidR="005F2ECF" w:rsidRPr="007224C3" w:rsidRDefault="005F2EC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Взятые в плен немецкие офицеры совсем иначе описывают, как происходила «эвакуация» немецких войск с Крымского полуострова. Пленный начальник штаба 111немецкой пехотной дивизии подполковник Александр Франц сообщил: «Немецкие войска в Крыму получили приказ Гитлера любой ценой удержать Севастополь в своих руках. К нам непрерывно поступало пополнение. Однако русские прорвали оборону и заняли Севастополь. Тогда командование отдало явно запоздалый приказ — удерживать мощные позиции на Херсонесе, а тем временем попытаться эвакуировать остатки разбитых войск из Крыма. На нашем участке скопилось до 30.000 солдат. Из них едва ли удалось вывезти более одной тысячи. Десятого мая я видел, как в бухту Камышёвая вошли четыре судна, но вышли оттуда только два. Два других транспорта были потоплены русской авиацией. С тех пор я больше никаких кораблей не видел. Между тем положение становилось всё более критическим. Командир дивизии генерал Грюнер приказал занять оборону в районе Максим Горький. Но солдаты были уже деморализованы. Все бежали к морю в надежде, что, может быть, в последнюю минуту появятся какие-либо суда. Офицеры пытались силой оружия заставить солдат занять позиции, но из этого ничего не вышло. Мы потеряли власть над своими подчинёнными. Всё перемешалось, и кругом царил хаос. Наши потери росли с каждой минутой. Тогда старшие офицеры решили капитулировать. Наша группа численностью до 10 тысяч человек сложила оружие. Вскоре сдались в плен и остальные группы. Это была полная катастрофа немецких войск в Крыму».</w:t>
      </w:r>
    </w:p>
    <w:p w14:paraId="10AD1822" w14:textId="77777777" w:rsidR="005F2ECF" w:rsidRPr="007224C3" w:rsidRDefault="005F2EC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Это показание, в котором правдиво рассказано о разгроме немецкой армии в Крыму, полностью разоблачает немецкого генерала-враля Дитмара (14895).</w:t>
      </w:r>
    </w:p>
    <w:p w14:paraId="5B8384F3" w14:textId="77777777" w:rsidR="005F2ECF" w:rsidRPr="007224C3" w:rsidRDefault="005F2ECF" w:rsidP="007224C3">
      <w:pPr>
        <w:spacing w:after="0" w:line="240" w:lineRule="auto"/>
        <w:jc w:val="both"/>
        <w:rPr>
          <w:rFonts w:ascii="Times New Roman" w:hAnsi="Times New Roman"/>
          <w:color w:val="000000" w:themeColor="text1"/>
          <w:sz w:val="16"/>
          <w:szCs w:val="16"/>
        </w:rPr>
      </w:pPr>
    </w:p>
    <w:p w14:paraId="5F904BBF"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Жизнь и внутренняя политика:</w:t>
      </w:r>
    </w:p>
    <w:p w14:paraId="3DB6C6B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7F121C9"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мая 1944 проведена депортация крымских татар на восток (4962).</w:t>
      </w:r>
    </w:p>
    <w:p w14:paraId="68A9D94F"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7029BDE" w14:textId="77777777" w:rsidR="005F2ECF" w:rsidRPr="007224C3" w:rsidRDefault="005F2EC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мая 1944 по приказу СТАЛИНА проведена депортация крымских татар в Среднюю Азию. Ее осуществляли спецчасти НКВД под командованием КОБУЛОВА. Только в 1967 году Президиум ВС СССР принял указ о реабилитации народа крымских татар. Указ не был опубликован в центральной прессе, а лишь в Узбекистане. Право на возвращение на Родину тогда дано не было (14895).</w:t>
      </w:r>
    </w:p>
    <w:p w14:paraId="1A226A45" w14:textId="77777777" w:rsidR="005F2ECF" w:rsidRPr="007224C3" w:rsidRDefault="005F2ECF" w:rsidP="007224C3">
      <w:pPr>
        <w:spacing w:after="0" w:line="240" w:lineRule="auto"/>
        <w:jc w:val="both"/>
        <w:rPr>
          <w:rFonts w:ascii="Times New Roman" w:hAnsi="Times New Roman"/>
          <w:color w:val="000000" w:themeColor="text1"/>
          <w:sz w:val="16"/>
          <w:szCs w:val="16"/>
        </w:rPr>
      </w:pPr>
    </w:p>
    <w:p w14:paraId="35538BA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мая 1944 был создан Совет по делам неправославных религий (3908,369).</w:t>
      </w:r>
    </w:p>
    <w:p w14:paraId="612103B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988E53"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5998CFE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66BE0C0"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мая 1944 после недельного штурма польские отряды захватили монастырь Кассино (Италия), открыв союзникам дорогу на Рим (4962).</w:t>
      </w:r>
    </w:p>
    <w:p w14:paraId="039A02D1"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66AAFF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May 18th, 1944: In Italy, the US Fifth Army (Clark) captres Gaeta S of Rome (3819).</w:t>
      </w:r>
    </w:p>
    <w:p w14:paraId="05ED7EB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323AA4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мая 1944 польские войска водрузили свой флаг над Монте Кассино (2247,3).</w:t>
      </w:r>
    </w:p>
    <w:p w14:paraId="0A47E6D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6FB4C8"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мая 1944 в Турции после серии профашистских демонстраций введено чрезвычайное положение (4962).</w:t>
      </w:r>
    </w:p>
    <w:p w14:paraId="6F770BA0"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505E5C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мая 1944 5А США освободила Гаэту (3819).</w:t>
      </w:r>
    </w:p>
    <w:p w14:paraId="0E4DB2F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D801ED"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5ACECA8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A3C3FF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мая 1944 В.К.Коккинаки поднял Ил-1 в воздух. В процессе заводских испытаний на Ил-1 была достигнута максимальная скорость 580 км/ч на высоте 3260 м при массе 5320 кг, а максимальная скорость у земли составила 525 км/час (5,120).</w:t>
      </w:r>
    </w:p>
    <w:p w14:paraId="046E8C9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П.Т.Аброщенко был ведущим инженером по испытаниям Ил-10. Опытный Ил-10 с АМ-42 сделали сразу в 3 экземплярах (172,162).</w:t>
      </w:r>
    </w:p>
    <w:p w14:paraId="20138C7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00796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мая 1944-го летчик-испытатель В.К.Коккинаки совершил на истребителе Ил-1 первый полет. На заводских испытаниях Ил-1 с нормальной полетной массой 5320 кг показал максимальную скорость горизонтального полета 580 км/ч. По оценке Коккинаки, истребитель Ил-1 выполнял все фигуры высшего пилотажа мягко, легко. Однако в связи с возросшей к середине 1944-го мощью советской истребительной авиации, завоевавшей стратегическое господство в воздухе, необходимость в боевом самолете такого типа уже отпала, поэтому на государственные испытания Ил-1 не передавали (9532,5).</w:t>
      </w:r>
    </w:p>
    <w:p w14:paraId="123DA1B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7269C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мая 1944 г. В.К.Коккинаки совершил на Ил-1 первый полет. На заводских испытаниях самолет с нормальным полетным весом 5320 кг (металлическое крыло и деревянный хвост) показал максимальную скорость 580 км/ч на высоте 3260 м. По скоростным характеристикам в диапазоне высот от земли до 4000 м бронированный истребитель Ил-1 был близок к широко применявшимся в люфтваффе истребителям FW-190A и Me-109G. По оценке Коккинаки, Ил-1 выполнял все фигуры высшего пилотажа мягко, легко. Полный вираж в горизонтальной плоскости на высоте 1000 м самолет завершал за 20 секунд, a Me-109G-2 - за 22-23 секунды. Боевым разворотом за 13-14 секунд Ил-1 набирал 900 м высоты. Однако на госиспытания Ил-1 не передавали, т.к. благодаря возросшей мощи советской истребительной авиации, завоевавшей стратегическое господство в воздухе, к середине 1944 г. необходимость в таком боевом самолете отпала (9542).</w:t>
      </w:r>
    </w:p>
    <w:p w14:paraId="7D52131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B38B4F" w14:textId="77777777" w:rsidR="005F2ECF" w:rsidRPr="007224C3" w:rsidRDefault="005F2ECF"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19 мая</w:t>
      </w:r>
      <w:r w:rsidRPr="007224C3">
        <w:rPr>
          <w:rFonts w:ascii="Times New Roman" w:hAnsi="Times New Roman"/>
          <w:color w:val="000000" w:themeColor="text1"/>
          <w:sz w:val="16"/>
          <w:szCs w:val="16"/>
        </w:rPr>
        <w:t xml:space="preserve"> в 1944 году летчик-испытатель В.К.Коккинаки совершил на истребителе </w:t>
      </w:r>
      <w:hyperlink r:id="rId129" w:tgtFrame="_blank" w:history="1">
        <w:r w:rsidRPr="007224C3">
          <w:rPr>
            <w:rFonts w:ascii="Times New Roman" w:hAnsi="Times New Roman"/>
            <w:color w:val="000000" w:themeColor="text1"/>
            <w:sz w:val="16"/>
            <w:szCs w:val="16"/>
          </w:rPr>
          <w:t xml:space="preserve">«Ил-1» </w:t>
        </w:r>
      </w:hyperlink>
      <w:r w:rsidRPr="007224C3">
        <w:rPr>
          <w:rFonts w:ascii="Times New Roman" w:hAnsi="Times New Roman"/>
          <w:color w:val="000000" w:themeColor="text1"/>
          <w:sz w:val="16"/>
          <w:szCs w:val="16"/>
        </w:rPr>
        <w:t>с двигателем «АМ-42» первый полет. В процессе проведения заводских летных испытаний на самолете «Ил-1» с нормальной полетной массой 5320 кг была достигнута максимальная скорость горизонтального полета 580 км/т на высоте 3260м. По своим скоростным характеристикам в диапазоне высот от земли и до 4000 м бронированный истребитель «Ил-1» значительно превосходил широко применявшийся в Люфтваффе истребитель «FW-190A-4» и практически не уступал массовому истребителю врага легкому «Bf-109G-2». По оценке В. К. Коккинаки, истребитель «Ил-1» выполнял все фигуры высшего пилотажа мягко, легко. Полный вираж в горизонтальной плоскости на высоте 1000 м самолет завершал за 20 с, а истребитель «Bf-</w:t>
      </w:r>
      <w:r w:rsidRPr="007224C3">
        <w:rPr>
          <w:rFonts w:ascii="Times New Roman" w:hAnsi="Times New Roman"/>
          <w:color w:val="000000" w:themeColor="text1"/>
          <w:sz w:val="16"/>
          <w:szCs w:val="16"/>
        </w:rPr>
        <w:lastRenderedPageBreak/>
        <w:t>109G-2» - за 22 ... 23 с. Боевым разворотом за 13 ... 14 с истребитель «Ил-1» набирал высоту 900 м Однако благодаря возросшей мощи советской истребительной авиации, завоевавшей стратегическое господство в воздухе, к середине 1944 г. необходимость в боевом самолете такого типа уже отпала, поэтому на государственные испытания «Ил-1» передан не был (14896).</w:t>
      </w:r>
    </w:p>
    <w:p w14:paraId="12F43ED4" w14:textId="77777777" w:rsidR="005F2ECF" w:rsidRPr="007224C3" w:rsidRDefault="005F2ECF" w:rsidP="007224C3">
      <w:pPr>
        <w:spacing w:after="0" w:line="240" w:lineRule="auto"/>
        <w:jc w:val="both"/>
        <w:rPr>
          <w:rFonts w:ascii="Times New Roman" w:hAnsi="Times New Roman"/>
          <w:color w:val="000000" w:themeColor="text1"/>
          <w:sz w:val="16"/>
          <w:szCs w:val="16"/>
        </w:rPr>
      </w:pPr>
    </w:p>
    <w:p w14:paraId="74B904A0" w14:textId="77777777" w:rsidR="00DD3D22" w:rsidRPr="007224C3" w:rsidRDefault="00DD3D22"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19 мая 1944 П.О. Сухой направил Шахурину письмо, в котором просил «при решении вопроса о внедрении в се</w:t>
      </w:r>
      <w:r w:rsidRPr="007224C3">
        <w:rPr>
          <w:rFonts w:ascii="Times New Roman" w:hAnsi="Times New Roman"/>
          <w:color w:val="0070C0"/>
          <w:sz w:val="16"/>
          <w:szCs w:val="16"/>
        </w:rPr>
        <w:softHyphen/>
        <w:t>рию нового образца штурмовика взамен Ил-2» учесть предварительные результаты испытаний самолета Су-6 АМ-42. Он от</w:t>
      </w:r>
      <w:r w:rsidRPr="007224C3">
        <w:rPr>
          <w:rFonts w:ascii="Times New Roman" w:hAnsi="Times New Roman"/>
          <w:color w:val="0070C0"/>
          <w:sz w:val="16"/>
          <w:szCs w:val="16"/>
        </w:rPr>
        <w:softHyphen/>
        <w:t>мечал, что</w:t>
      </w:r>
      <w:r w:rsidRPr="007224C3">
        <w:rPr>
          <w:rStyle w:val="9pt80"/>
          <w:rFonts w:ascii="Times New Roman" w:hAnsi="Times New Roman" w:cs="Times New Roman"/>
          <w:color w:val="0070C0"/>
          <w:w w:val="100"/>
          <w:sz w:val="16"/>
          <w:szCs w:val="16"/>
        </w:rPr>
        <w:t xml:space="preserve"> «при равном вооружении»</w:t>
      </w:r>
      <w:r w:rsidRPr="007224C3">
        <w:rPr>
          <w:rFonts w:ascii="Times New Roman" w:hAnsi="Times New Roman"/>
          <w:color w:val="0070C0"/>
          <w:sz w:val="16"/>
          <w:szCs w:val="16"/>
        </w:rPr>
        <w:t xml:space="preserve"> Су-6 на заводских испытаниях</w:t>
      </w:r>
      <w:r w:rsidRPr="007224C3">
        <w:rPr>
          <w:rStyle w:val="9pt80"/>
          <w:rFonts w:ascii="Times New Roman" w:hAnsi="Times New Roman" w:cs="Times New Roman"/>
          <w:color w:val="0070C0"/>
          <w:w w:val="100"/>
          <w:sz w:val="16"/>
          <w:szCs w:val="16"/>
        </w:rPr>
        <w:t xml:space="preserve"> «показал ре</w:t>
      </w:r>
      <w:r w:rsidRPr="007224C3">
        <w:rPr>
          <w:rStyle w:val="9pt80"/>
          <w:rFonts w:ascii="Times New Roman" w:hAnsi="Times New Roman" w:cs="Times New Roman"/>
          <w:color w:val="0070C0"/>
          <w:w w:val="100"/>
          <w:sz w:val="16"/>
          <w:szCs w:val="16"/>
        </w:rPr>
        <w:softHyphen/>
        <w:t>зультаты значительно более высокие, чем данные самолета Ил-8»,</w:t>
      </w:r>
      <w:r w:rsidRPr="007224C3">
        <w:rPr>
          <w:rFonts w:ascii="Times New Roman" w:hAnsi="Times New Roman"/>
          <w:color w:val="0070C0"/>
          <w:sz w:val="16"/>
          <w:szCs w:val="16"/>
        </w:rPr>
        <w:t xml:space="preserve"> летчики НИИ ВВС подтвердили положительное заключение </w:t>
      </w:r>
      <w:r w:rsidRPr="007224C3">
        <w:rPr>
          <w:rStyle w:val="9pt80"/>
          <w:rFonts w:ascii="Times New Roman" w:hAnsi="Times New Roman" w:cs="Times New Roman"/>
          <w:color w:val="0070C0"/>
          <w:w w:val="100"/>
          <w:sz w:val="16"/>
          <w:szCs w:val="16"/>
        </w:rPr>
        <w:t>«при прошлогодних государственных ис</w:t>
      </w:r>
      <w:r w:rsidRPr="007224C3">
        <w:rPr>
          <w:rStyle w:val="9pt80"/>
          <w:rFonts w:ascii="Times New Roman" w:hAnsi="Times New Roman" w:cs="Times New Roman"/>
          <w:color w:val="0070C0"/>
          <w:w w:val="100"/>
          <w:sz w:val="16"/>
          <w:szCs w:val="16"/>
        </w:rPr>
        <w:softHyphen/>
        <w:t>пытаниях»</w:t>
      </w:r>
      <w:r w:rsidRPr="007224C3">
        <w:rPr>
          <w:rFonts w:ascii="Times New Roman" w:hAnsi="Times New Roman"/>
          <w:color w:val="0070C0"/>
          <w:sz w:val="16"/>
          <w:szCs w:val="16"/>
        </w:rPr>
        <w:t xml:space="preserve"> об устойчивости, управляемо</w:t>
      </w:r>
      <w:r w:rsidRPr="007224C3">
        <w:rPr>
          <w:rFonts w:ascii="Times New Roman" w:hAnsi="Times New Roman"/>
          <w:color w:val="0070C0"/>
          <w:sz w:val="16"/>
          <w:szCs w:val="16"/>
        </w:rPr>
        <w:softHyphen/>
        <w:t>сти и маневренности самолета, а также о простоте посадки. Задержка представле</w:t>
      </w:r>
      <w:r w:rsidRPr="007224C3">
        <w:rPr>
          <w:rFonts w:ascii="Times New Roman" w:hAnsi="Times New Roman"/>
          <w:color w:val="0070C0"/>
          <w:sz w:val="16"/>
          <w:szCs w:val="16"/>
        </w:rPr>
        <w:softHyphen/>
        <w:t>ния акта НИИ ВВС о государственных ис</w:t>
      </w:r>
      <w:r w:rsidRPr="007224C3">
        <w:rPr>
          <w:rFonts w:ascii="Times New Roman" w:hAnsi="Times New Roman"/>
          <w:color w:val="0070C0"/>
          <w:sz w:val="16"/>
          <w:szCs w:val="16"/>
        </w:rPr>
        <w:softHyphen/>
        <w:t>пытаниях Су-6 объяснялась отсутствием кондиционного мотора.</w:t>
      </w:r>
    </w:p>
    <w:p w14:paraId="78F35500" w14:textId="77777777" w:rsidR="00DD3D22" w:rsidRPr="007224C3" w:rsidRDefault="00DD3D22"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Известно, что это письмо рассматри</w:t>
      </w:r>
      <w:r w:rsidRPr="007224C3">
        <w:rPr>
          <w:rFonts w:ascii="Times New Roman" w:hAnsi="Times New Roman"/>
          <w:color w:val="0070C0"/>
          <w:sz w:val="16"/>
          <w:szCs w:val="16"/>
        </w:rPr>
        <w:softHyphen/>
        <w:t>валось Маленковым, но никаких реальных шагов с его стороны не последовало (19853).</w:t>
      </w:r>
    </w:p>
    <w:p w14:paraId="2A10C9FA" w14:textId="77777777" w:rsidR="00DD3D22" w:rsidRPr="007224C3" w:rsidRDefault="00DD3D22" w:rsidP="007224C3">
      <w:pPr>
        <w:spacing w:after="0" w:line="240" w:lineRule="auto"/>
        <w:jc w:val="both"/>
        <w:rPr>
          <w:rFonts w:ascii="Times New Roman" w:hAnsi="Times New Roman"/>
          <w:color w:val="0070C0"/>
          <w:sz w:val="16"/>
          <w:szCs w:val="16"/>
        </w:rPr>
      </w:pPr>
    </w:p>
    <w:p w14:paraId="612141BA" w14:textId="77777777" w:rsidR="00DD3D22" w:rsidRPr="007224C3" w:rsidRDefault="00DD3D22"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19 мая 1944 начались заводские испытания «Ил-1 № 1 АМ-42 с винтом АВ-5л-24 диаметром 3.6 метра». Видимо, в КБ рассчитывали получить дополнительные материалы для доработокИл-10 и мотора. Ведущим летчиком снова назначили В.К. Коккинаки, ведущим инженером – А.П. Виноградова, ведущим инженером по ВМГ стал В.В. Семенов. Обслуживал самолет механик П.И. Милютин. За месяц испытаний был выполнен 21 полет общей продолжительностью 16 часов 6 минут. Помимо этого, на земле мотор дополнительно наработал 13 часов 54 минуты. Пустой самолет весил 4285 кг, нормальный взлетный вес Ил-1 – 5320 кг. Граница высотности мотора при 2350 оборотах в минуту составляла 3260 метров. На этой высоте самолет разгонялся до 580 км/ч, у земли максимальная скорость была 525 км/ч, на высоте 5 километров – 563 км/ч. Высоту в 1000 метров Ил-1 набирал за 1,6 минуты, 3000 – за 4,5 минуты. Потолок самолета был равен 8600 метрам, а забиралась машина на него более получаса. Дальность полета до полного выгорания топлива -1007 км. Генерал Коккинаки в целом дал самолету положительную летную оценку. Кабина Ил-1 по компоновке была сходна с кабиной Ил-2 и отличалась, по мнению летчика, только управлением заслонками водо- и маслорадиаторов при помощи электротумблеров. Рулил самолет «змейкой» из-за приподнятого носа, тормоза колес при этом были достаточно эффективны. В начале разбега хвост поднимался медленно и с увеличением скорости разгружался. Взлет – нормальный, особенностей при наборе высоты и в горизонтальном полете не было. Ил-1 был устойчив в путевом и поперечном направлениях, продольная устойчивость была чрезмерной, что увеличивало нагрузку на рули высоты. При максимальных скоростях самолет стремился к кабрированию и триммера руля высоты для снятия нагрузок не хватало, в то же время, при посадке из-за больших нагрузок на руль высоты ручка значительно не добиралась на себя при полностью выкрученном триммере. Поперечное управление также оценивалось как тяжелое, не смотря на уже «приподнятые» элероны. Вместе с тем, выполнение фигур высшего пилотажа было мягким и приятным. Выполнение иммельмана в течение 13-14 секунд давало набор высоты в 900 метров. Переворот Ил-1 выполнял с потерей 500-600 метров. Петля выполнялась на скорости 440-470 км/ч, вираж на скорости около 320 км/ч и высоте 1000 метров машина проделывала за 20 секунд. Все указанные эволюции требовали обязательного использования триммера руля высоты. Планировал Ил-1 нормально, на скорости порядка 200 км/ч, особенностей при этом не имел, самолет был устойчив, глиссада–крутая. Закрылки были эффективны, но Владимир Константиновичотмечал, чтоследовалоувеличить время их уборки, так как при существующем темпе уборки самолет давал приличную просадку, что могло представлять опасность при уходе на второй круг. При подходе к земле перед выравниванием отмечалось небольшое стремление к проваливанию, котороеисчезало припереходенабольшие углы Посадка в целом была аналогична посадке только что испытанного Ил-10, но со значительным недобором ручки на себя, хвост при этом до конца не опускался и самолет садился на две точки, поэтому имелась тенденция к прыжкам при посадке. На пробеге Ил-1 был устойчив, тормоза эффективны, но из-за разгруженного хвоста в первой трети пробега интенсивное торможение не рекомендовалось во избежание капотирования. Температурный режим работы мотора на всех этапах полета находился в пределах допуска, но на верхней его границе. При давлении наддува от 500 до 850 мм ртутного столба отмечалась интенсивная тряска мотора, сопровождавшаяся дымлением, особенно правого блока цилиндров. При номинальном режиме работы двигателя величина давления наддува заметно «гуляла». Масло выбивало через уплотнения носка вала редуктора, из-под кожухов наклонных валиков, кожухов блоков и маслонасоса. На начальном этапе испытаний винт давал раскрутку на максимальных скоростях по высотам. Проблему далось решить увеличением диапазона углов установки лопастей до 25 град. Производственное исполнение самолета было весьма посредственным. В отчете, в частности, отмечалось, что законцовка левой консоли была задрана вверх, и в полете машина кренилась влево. Требовалась отладка металлизации и экранировки – радиостанция РСИ-4 работала плохо – мешали постоянный треск и шумы. Отсутствовали несколько анкерных гаек на щелевых лентах стабилизатора. На консолях и стабилизаторе был ослаблен ряд заклепок. Трубка Пито была установлена не по потоку и требовала замены. Некачественно были выполнены уплотнения ложементов радиаторов. Самолет был плохо зашпаклеван и окрашен. Достаточно большой перечень дефектов испытательная бригада отнесла к конструктивным недостаткам. В кабине стояла африканская жара – при температуре наружного воздуха в 20 градусов Цельсия пилоту приходилось работать при +54. Фонарь неудобно было открывать и закрывать изнутри. Заслонки водо- и маслорадиаторов имели упругий люфт до 30 мм, система управления при помощи электротумблеров оказалась неудачной. Стойки шасси убирались рывками, с раскачкой и несинхронно, а костыль при этом убирался намного дольше основных стоек. Недостаточно жесткими оказались обтекатели шасси. От ударов при уборке возникали перекосы, и стойки не всегда вставали на верхний замок. Внешние тормозные трубки упирались в профили куполов колес. Посадочные щитки тоже убирались толчками. Обзор задней полусферы В.К. Коккинаки посчитал недостаточным. Хотя в те годы понятие «эргономика» в обиходе отсутствовало, ряд отмеченных недостатков напрямую относился именно к этой научной дисциплине, причем, дело было не только в неудобстве работы, но некоторые конструктивные решения могли серьезно повлиять на уровень боеготовности. Например, подход ко внутренним свечам мотора оказался настолько труден, что для заменыих комплекта в полевых условиях двум мотористам требовалось 12 часов! Размещение проводки и сборника конденсата компрессора АК-50 на левой стороне мотора почти полностью перекрывало подход к задним агрегатам, в том числе, к бензонасосу и маслопомпе. Люк в хвостовой части фюзеляжа испытательная бригада рекомендовала перенести на левуюсторону. В заключении к отчету по заводским испытаниям истребителя Ил-1 особо отмечалась его безопасность в прочностном отношении, мягкое и приятное выполнение всех фигур высшего пилотажа, а также устойчивость самолета по всем трем осям. С учетом повышенной теплоотдачи серийных двигателей АМ-42 рекомендовалось несколько снизить температурный режим мотора, особенно по маслу. Вместе с тем, с учетом избыточных нагрузок на рули высоты и элероны, а также высокуютемпературу в кабине, в заключении было сказано, что самолеттребует некоторых переделок. На этом в истории бронированного истребителя Ил-1 была поставлена точка. Этот необычный самолет свою сверхзадачу выполнил и на государственные испытания не передавался (21005).</w:t>
      </w:r>
    </w:p>
    <w:p w14:paraId="53E36877" w14:textId="77777777" w:rsidR="00DD3D22" w:rsidRPr="007224C3" w:rsidRDefault="00DD3D22" w:rsidP="007224C3">
      <w:pPr>
        <w:spacing w:after="0" w:line="240" w:lineRule="auto"/>
        <w:jc w:val="both"/>
        <w:rPr>
          <w:rFonts w:ascii="Times New Roman" w:hAnsi="Times New Roman"/>
          <w:color w:val="0070C0"/>
          <w:sz w:val="16"/>
          <w:szCs w:val="16"/>
        </w:rPr>
      </w:pPr>
    </w:p>
    <w:p w14:paraId="562B8CA6" w14:textId="77777777" w:rsidR="00DD3D22" w:rsidRPr="007224C3" w:rsidRDefault="00DD3D22"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 xml:space="preserve">19 мая 1944 закончились заводские испытания «Ил-1 № 1 АМ-42 с винтом АВ-5л-24 диаметром 3.6 метра», которые шли с 19 апреля 1944. В КБ рассчитывали получить дополнительные материалы для доработок Ил-10 и мотора. Ведущим летчиком снова назначили В.К. Коккинаки, ведущим инженером – А.П. Виноградова, ведущим инженером по ВМГ стал В.В. Семенов. Обслуживал самолет механик П.И. Милютин. За месяц испытаний был выполнен 21 полет общей продолжительностью 16 часов 6 минут. Помимо этого, на земле мотор дополнительно наработал 13 часов 54 минуты. Пустой самолет весил 4285 кг, нормальный взлетный вес Ил-1 – 5320 кг. Граница высотности мотора при 2350 оборотах в минуту составляла 3260 метров. На этой высоте самолет разгонялся до 580 км/ч, у земли максимальная скорость была 525 км/ч, на высоте 5 километров – 563 км/ч. Высоту в 1000 метров Ил-1 набирал за 1,6 минуты, 3000 – за 4,5 минуты. Потолок самолета был равен 8600 метрам, а забиралась машина на него более получаса. Дальность полета до полного выгорания топлива -1007 км. Генерал Коккинаки в целом дал самолету положительную летную оценку. Кабина Ил-1 по компоновке была сходна с кабиной Ил-2 и отличалась, по мнению летчика, только управлением заслонками водо- и маслорадиаторов при помощи электротумблеров. Рулил самолет «змейкой» из-за приподнятого носа, тормоза колес при этом были достаточно эффективны. В начале разбега хвост поднимался медленно и с увеличением скорости разгружался. Взлет – нормальный, особенностей при наборе высоты и в горизонтальном полете не было. Ил-1 был устойчив в путевом и поперечном направлениях, продольная устойчивость была чрезмерной, что увеличивало нагрузку на рули высоты. При максимальных скоростях самолет стремился к кабрированию и триммера руля высоты для снятия нагрузок не хватало, в то же время, при посадке из-за больших нагрузок на руль высоты ручка значительно не добиралась на себя при полностью выкрученном триммере. Поперечное управление также оценивалось как тяжелое, не смотря на уже «приподнятые» элероны. Вместе с тем, выполнение фигур высшего пилотажа было мягким и приятным. Выполнение иммельмана в течение 13-14 секунд давало набор высоты в 900 метров. Переворот Ил-1 выполнял с потерей 500-600 метров. Петля выполнялась на скорости 440-470 км/ч, вираж на скорости около 320 км/ч и высоте 1000 метров машина проделывала за 20 секунд. Все указанные эволюции требовали обязательного использования триммера руля высоты. Планировал Ил-1 нормально, на скорости порядка 200 км/ч, особенностей при этом не имел, самолет был устойчив, глиссада–крутая. Закрылки были эффективны, но Владимир Константиновичотмечал, чтоследовалоувеличить время их уборки, так как при существующем темпе уборки самолет давал приличную просадку, что могло представлять опасность при уходе на второй круг. При подходе к земле перед выравниванием отмечалось небольшое стремление к проваливанию, котороеисчезало припереходенабольшие углы Посадка в целом была аналогична посадке только что испытанного Ил-10, но со значительным недобором ручки на себя, хвост при этом до конца не опускался и самолет садился на две точки, поэтому имелась тенденция к прыжкам при посадке. На пробеге Ил-1 был устойчив, тормоза эффективны, но из-за разгруженного хвоста в первой трети пробега интенсивное торможение не рекомендовалось во избежание капотирования. Температурный режим работы мотора на всех этапах полета находился в пределах допуска, но на верхней его границе. При давлении наддува от 500 до 850 мм ртутного столба отмечалась интенсивная тряска мотора, сопровождавшаяся дымлением, особенно правого блока цилиндров. При номинальном режиме работы двигателя величина давления наддува заметно «гуляла». Масло выбивало через уплотнения носка вала редуктора, из-под кожухов наклонных валиков, кожухов блоков и маслонасоса. На начальном этапе испытаний винт давал раскрутку на максимальных скоростях по высотам. Проблему далось решить увеличением диапазона углов установки лопастей до 25 град. Производственное исполнение самолета было весьма посредственным. В отчете, в частности, отмечалось, что законцовка левой консоли была задрана вверх, и в полете машина кренилась влево. Требовалась отладка металлизации и экранировки – радиостанция РСИ-4 работала плохо – мешали </w:t>
      </w:r>
      <w:r w:rsidRPr="007224C3">
        <w:rPr>
          <w:rFonts w:ascii="Times New Roman" w:hAnsi="Times New Roman"/>
          <w:color w:val="0070C0"/>
          <w:sz w:val="16"/>
          <w:szCs w:val="16"/>
        </w:rPr>
        <w:lastRenderedPageBreak/>
        <w:t>постоянный треск и шумы. Отсутствовали несколько анкерных гаек на щелевых лентах стабилизатора. На консолях и стабилизаторе был ослаблен ряд заклепок. Трубка Пито была установлена не по потоку и требовала замены. Некачественно были выполнены уплотнения ложементов радиаторов. Самолет был плохо зашпаклеван и окрашен. Достаточно большой перечень дефектов испытательная бригада отнесла к конструктивным недостаткам. В кабине стояла африканская жара – при температуре наружного воздуха в 20 градусов Цельсия пилоту приходилось работать при +54. Фонарь неудобно было открывать и закрывать изнутри. Заслонки водо- и маслорадиаторов имели упругий люфт до 30 мм, система управления при помощи электро-тумблеров оказалась неудачной. Стойки шасси убирались рывками, с раскачкой и несинхронно, а костыль при этом убирался намного дольше основных стоек. Недостаточно жесткими оказались обтекатели шасси. От ударов при уборке возникали перекосы, и стойки не всегда вставали на верхний замок. Внешние тормозные трубки упирались в профили куполов колес. Посадочные щитки тоже убирались толчками. Обзор задней полусферы В.К. Коккинаки посчитал недостаточным. Хотя в те годы понятие «эргономика» в обиходе отсутствовало, ряд отмеченных недостатков напрямую относился именно к этой научной дисциплине, причем, дело было не только в неудобстве работы, но некоторые конструктивные решения могли серьезно повлиять на уровень боеготовности. Например, подход ко внутренним свечам мотора оказался настолько труден, что для замены их комплекта в полевых условиях двум мотористам требовалось 12 часов! Размещение проводки и сборника конденсата компрессора АК-50 на левой стороне мотора почти полностью перекрывало подход к задним агрегатам, в том числе, к бензонасосу и масло помпе. Люк в хвостовой части фюзеляжа испытательная бригада рекомендовала перенести на левую сторону. В заключении к отчету по заводским испытаниям истребителя Ил-1 особо отмечалась его безопасность в прочностном отношении, мягкое и приятное выполнение всех фигур высшего пилотажа, а также устойчивость самолета по всем трем осям. С учетом повышенной теплоотдачи серийных двигателей АМ-42 рекомендовалось несколько снизить температурный режим мотора, особенно по маслу. Вместе с тем, с учетом избыточных нагрузок на рули высоты и элероны, а также высокую температуру в кабине, в заключении было сказано, что самолет требует некоторых переделок. На этом в истории бронированного истребителя Ил-1 была поставлена точка. Этот необычный самолет свою сверхзадачу выполнил и на государственные испытания не передавался (21005).</w:t>
      </w:r>
    </w:p>
    <w:p w14:paraId="5FBF99F7" w14:textId="77777777" w:rsidR="00DD3D22" w:rsidRPr="007224C3" w:rsidRDefault="00DD3D22" w:rsidP="007224C3">
      <w:pPr>
        <w:spacing w:after="0" w:line="240" w:lineRule="auto"/>
        <w:jc w:val="both"/>
        <w:rPr>
          <w:rFonts w:ascii="Times New Roman" w:hAnsi="Times New Roman"/>
          <w:color w:val="0070C0"/>
          <w:sz w:val="16"/>
          <w:szCs w:val="16"/>
        </w:rPr>
      </w:pPr>
    </w:p>
    <w:p w14:paraId="3F1AF86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мая 1944 года гл. конструктор завода N 289 Сухой писал письмо N 05/268с Шахурину.</w:t>
      </w:r>
    </w:p>
    <w:p w14:paraId="08B923E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связи с предстоящим решением о внедрении в серию самолета Ил8-АМ-42 считаю необходимым доложить следующее:</w:t>
      </w:r>
    </w:p>
    <w:p w14:paraId="41A3E2A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Су-6-АМ42 на заводских испытаниях показал результаты значительно более высокие, чем данные самолета Ил-8.</w:t>
      </w:r>
    </w:p>
    <w:p w14:paraId="473B43A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проведении гос. испытаний самолета Су-6 произошли задержки, вызванные 1) поломкой хвостовой части фюзеляжа при посадке, 2) ненормальной работой установленного на самолете экземпляра мотора Ам-42, который 15/V окончательно был снят с испытаний из-за богатой регулировки - регулировать беднее нельзя было из-за опасности загорания смеси во всасывающих трубах - и повышенного в 4-5 раз против нормы расхода масла. В данный момент государственные испытания приостановлены до получения с завода N 24 нового мотора АМ-42.</w:t>
      </w:r>
    </w:p>
    <w:p w14:paraId="479EA0A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Несмотря на ненормальную работу мотора, НИИ ВВС удалось снять приведенные ниже скорости и подтвердить положительное мнение летчиков при прошлогодних гос. испытаниях об устойчивости, маневренности и усилиях на ручку. На взлете и посадке машина проста, не отличаясь в этом отношении от самолетов Ил.</w:t>
      </w:r>
    </w:p>
    <w:p w14:paraId="2B86EC3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Сравнивание данных самолетов Ил-8 и Су-6 приведено в таблице: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6090"/>
      </w:tblGrid>
      <w:tr w:rsidR="005106D0" w:rsidRPr="007224C3" w14:paraId="08C89591" w14:textId="77777777">
        <w:tc>
          <w:tcPr>
            <w:tcW w:w="2254" w:type="dxa"/>
          </w:tcPr>
          <w:p w14:paraId="7221760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08BA38F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Ил-8 АМ-42</w:t>
            </w:r>
          </w:p>
        </w:tc>
        <w:tc>
          <w:tcPr>
            <w:tcW w:w="6090" w:type="dxa"/>
          </w:tcPr>
          <w:p w14:paraId="6B286C1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Су-6-АМ-42</w:t>
            </w:r>
          </w:p>
        </w:tc>
      </w:tr>
      <w:tr w:rsidR="005106D0" w:rsidRPr="007224C3" w14:paraId="7D8FA976" w14:textId="77777777">
        <w:tc>
          <w:tcPr>
            <w:tcW w:w="2254" w:type="dxa"/>
          </w:tcPr>
          <w:p w14:paraId="121E871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Скорость у земли</w:t>
            </w:r>
          </w:p>
        </w:tc>
        <w:tc>
          <w:tcPr>
            <w:tcW w:w="2254" w:type="dxa"/>
          </w:tcPr>
          <w:p w14:paraId="38302AC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428 км/час</w:t>
            </w:r>
          </w:p>
        </w:tc>
        <w:tc>
          <w:tcPr>
            <w:tcW w:w="6090" w:type="dxa"/>
          </w:tcPr>
          <w:p w14:paraId="2AE7114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482 км/час по испытаниям</w:t>
            </w:r>
          </w:p>
        </w:tc>
      </w:tr>
      <w:tr w:rsidR="005106D0" w:rsidRPr="007224C3" w14:paraId="5AC86ACD" w14:textId="77777777">
        <w:tc>
          <w:tcPr>
            <w:tcW w:w="2254" w:type="dxa"/>
          </w:tcPr>
          <w:p w14:paraId="0B6502B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3D24E64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90" w:type="dxa"/>
          </w:tcPr>
          <w:p w14:paraId="4BA3823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НИИ ВВС. По заводским</w:t>
            </w:r>
          </w:p>
        </w:tc>
      </w:tr>
      <w:tr w:rsidR="005106D0" w:rsidRPr="007224C3" w14:paraId="5A4C6AE0" w14:textId="77777777">
        <w:tc>
          <w:tcPr>
            <w:tcW w:w="2254" w:type="dxa"/>
          </w:tcPr>
          <w:p w14:paraId="55B611F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44DCF6B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90" w:type="dxa"/>
          </w:tcPr>
          <w:p w14:paraId="6BF2BD1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испытаниям при удовлетворит.</w:t>
            </w:r>
          </w:p>
        </w:tc>
      </w:tr>
      <w:tr w:rsidR="005106D0" w:rsidRPr="007224C3" w14:paraId="768AE78D" w14:textId="77777777">
        <w:tc>
          <w:tcPr>
            <w:tcW w:w="2254" w:type="dxa"/>
          </w:tcPr>
          <w:p w14:paraId="40ACFFA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47D848D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90" w:type="dxa"/>
          </w:tcPr>
          <w:p w14:paraId="4F6F292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работавшем моторе - 490 км/час</w:t>
            </w:r>
          </w:p>
        </w:tc>
      </w:tr>
      <w:tr w:rsidR="005106D0" w:rsidRPr="007224C3" w14:paraId="7F2A30E4" w14:textId="77777777">
        <w:tc>
          <w:tcPr>
            <w:tcW w:w="2254" w:type="dxa"/>
          </w:tcPr>
          <w:p w14:paraId="49E20E5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Скорость на высоте</w:t>
            </w:r>
          </w:p>
        </w:tc>
        <w:tc>
          <w:tcPr>
            <w:tcW w:w="2254" w:type="dxa"/>
          </w:tcPr>
          <w:p w14:paraId="004E3FF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472 км/час на 2500 м</w:t>
            </w:r>
          </w:p>
        </w:tc>
        <w:tc>
          <w:tcPr>
            <w:tcW w:w="6090" w:type="dxa"/>
          </w:tcPr>
          <w:p w14:paraId="54F9687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523 км/час на 2800 м</w:t>
            </w:r>
          </w:p>
        </w:tc>
      </w:tr>
      <w:tr w:rsidR="005106D0" w:rsidRPr="007224C3" w14:paraId="47462037" w14:textId="77777777">
        <w:tc>
          <w:tcPr>
            <w:tcW w:w="2254" w:type="dxa"/>
          </w:tcPr>
          <w:p w14:paraId="10A28CD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Дальность на высоте</w:t>
            </w:r>
          </w:p>
        </w:tc>
        <w:tc>
          <w:tcPr>
            <w:tcW w:w="2254" w:type="dxa"/>
          </w:tcPr>
          <w:p w14:paraId="47030C2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990 км/308 км/час</w:t>
            </w:r>
          </w:p>
        </w:tc>
        <w:tc>
          <w:tcPr>
            <w:tcW w:w="6090" w:type="dxa"/>
          </w:tcPr>
          <w:p w14:paraId="5AF6C08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850 км/340 км/час</w:t>
            </w:r>
          </w:p>
        </w:tc>
      </w:tr>
      <w:tr w:rsidR="005106D0" w:rsidRPr="007224C3" w14:paraId="3CB532E8" w14:textId="77777777">
        <w:tc>
          <w:tcPr>
            <w:tcW w:w="2254" w:type="dxa"/>
          </w:tcPr>
          <w:p w14:paraId="684EB7E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 м при скорости</w:t>
            </w:r>
          </w:p>
        </w:tc>
        <w:tc>
          <w:tcPr>
            <w:tcW w:w="2254" w:type="dxa"/>
          </w:tcPr>
          <w:p w14:paraId="2EF1A4D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90" w:type="dxa"/>
          </w:tcPr>
          <w:p w14:paraId="074D54A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92EBC8F" w14:textId="77777777">
        <w:tc>
          <w:tcPr>
            <w:tcW w:w="2254" w:type="dxa"/>
          </w:tcPr>
          <w:p w14:paraId="0E6EB68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Стрелковое вооружение</w:t>
            </w:r>
          </w:p>
        </w:tc>
        <w:tc>
          <w:tcPr>
            <w:tcW w:w="2254" w:type="dxa"/>
          </w:tcPr>
          <w:p w14:paraId="485C9D5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пушки В.Я. кал. 32 мм</w:t>
            </w:r>
          </w:p>
        </w:tc>
        <w:tc>
          <w:tcPr>
            <w:tcW w:w="6090" w:type="dxa"/>
          </w:tcPr>
          <w:p w14:paraId="240C5BE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пушки ОКБ-16 кал. 37 мм</w:t>
            </w:r>
          </w:p>
        </w:tc>
      </w:tr>
      <w:tr w:rsidR="005106D0" w:rsidRPr="007224C3" w14:paraId="57E46C05" w14:textId="77777777">
        <w:tc>
          <w:tcPr>
            <w:tcW w:w="2254" w:type="dxa"/>
          </w:tcPr>
          <w:p w14:paraId="6104754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031492B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пулемета ШКАС</w:t>
            </w:r>
          </w:p>
        </w:tc>
        <w:tc>
          <w:tcPr>
            <w:tcW w:w="6090" w:type="dxa"/>
          </w:tcPr>
          <w:p w14:paraId="474C5EF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пулемета ШКАС</w:t>
            </w:r>
          </w:p>
        </w:tc>
      </w:tr>
      <w:tr w:rsidR="005106D0" w:rsidRPr="007224C3" w14:paraId="1689A544" w14:textId="77777777">
        <w:tc>
          <w:tcPr>
            <w:tcW w:w="2254" w:type="dxa"/>
          </w:tcPr>
          <w:p w14:paraId="7110EC6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Нормальная бомбовая</w:t>
            </w:r>
          </w:p>
        </w:tc>
        <w:tc>
          <w:tcPr>
            <w:tcW w:w="2254" w:type="dxa"/>
          </w:tcPr>
          <w:p w14:paraId="314B386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600 кг</w:t>
            </w:r>
          </w:p>
        </w:tc>
        <w:tc>
          <w:tcPr>
            <w:tcW w:w="6090" w:type="dxa"/>
          </w:tcPr>
          <w:p w14:paraId="2DBF14B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400 кг ( при замене пушек</w:t>
            </w:r>
          </w:p>
        </w:tc>
      </w:tr>
      <w:tr w:rsidR="005106D0" w:rsidRPr="007224C3" w14:paraId="41AA6AA0" w14:textId="77777777">
        <w:tc>
          <w:tcPr>
            <w:tcW w:w="2254" w:type="dxa"/>
          </w:tcPr>
          <w:p w14:paraId="3995E8D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нагрузка</w:t>
            </w:r>
          </w:p>
        </w:tc>
        <w:tc>
          <w:tcPr>
            <w:tcW w:w="2254" w:type="dxa"/>
          </w:tcPr>
          <w:p w14:paraId="4711358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90" w:type="dxa"/>
          </w:tcPr>
          <w:p w14:paraId="7A3E435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37 мм на пушки В.Я. кал.</w:t>
            </w:r>
          </w:p>
        </w:tc>
      </w:tr>
      <w:tr w:rsidR="005106D0" w:rsidRPr="007224C3" w14:paraId="1DA77671" w14:textId="77777777">
        <w:tc>
          <w:tcPr>
            <w:tcW w:w="2254" w:type="dxa"/>
          </w:tcPr>
          <w:p w14:paraId="41C9461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619251D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90" w:type="dxa"/>
          </w:tcPr>
          <w:p w14:paraId="4559B5F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мм бомбовая нагрузка</w:t>
            </w:r>
          </w:p>
        </w:tc>
      </w:tr>
      <w:tr w:rsidR="005106D0" w:rsidRPr="007224C3" w14:paraId="42803FF8" w14:textId="77777777">
        <w:tc>
          <w:tcPr>
            <w:tcW w:w="2254" w:type="dxa"/>
          </w:tcPr>
          <w:p w14:paraId="3C77842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5014868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90" w:type="dxa"/>
          </w:tcPr>
          <w:p w14:paraId="3E78FC9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равна 600 кг)</w:t>
            </w:r>
          </w:p>
        </w:tc>
      </w:tr>
      <w:tr w:rsidR="005106D0" w:rsidRPr="007224C3" w14:paraId="25D7CDCA" w14:textId="77777777">
        <w:tc>
          <w:tcPr>
            <w:tcW w:w="2254" w:type="dxa"/>
          </w:tcPr>
          <w:p w14:paraId="4D22EFA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Полный вес самолета</w:t>
            </w:r>
          </w:p>
        </w:tc>
        <w:tc>
          <w:tcPr>
            <w:tcW w:w="2254" w:type="dxa"/>
          </w:tcPr>
          <w:p w14:paraId="504FA17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7260 кг</w:t>
            </w:r>
          </w:p>
        </w:tc>
        <w:tc>
          <w:tcPr>
            <w:tcW w:w="6090" w:type="dxa"/>
          </w:tcPr>
          <w:p w14:paraId="19F34CD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6200 кг</w:t>
            </w:r>
          </w:p>
        </w:tc>
      </w:tr>
    </w:tbl>
    <w:p w14:paraId="62FE979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Таким образом самолет Су-6, уступая несколько в дальности, имеет при равном вооружении значительно большую скорость, чем самолет Ил-8.</w:t>
      </w:r>
    </w:p>
    <w:p w14:paraId="5C0B956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связи с задержкой представления акта НИИ ВВС о гос. испытаниях самолета Су-6 из-за отсутствия мотора, прошу вашего указания учесть приведенные данные при решении вопроса о внедрении в серию нового образца штурмовика взамен Ил-2 (2562,65).</w:t>
      </w:r>
    </w:p>
    <w:p w14:paraId="436FD78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AB3B1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мая 1944 года Павел Осипо</w:t>
      </w:r>
      <w:r w:rsidRPr="007224C3">
        <w:rPr>
          <w:rFonts w:ascii="Times New Roman" w:hAnsi="Times New Roman"/>
          <w:color w:val="000000" w:themeColor="text1"/>
          <w:sz w:val="16"/>
          <w:szCs w:val="16"/>
        </w:rPr>
        <w:softHyphen/>
        <w:t>вич доложил А.И.Шахурину, что: «Самолет Су-6 АМ-42 на заводс</w:t>
      </w:r>
      <w:r w:rsidRPr="007224C3">
        <w:rPr>
          <w:rFonts w:ascii="Times New Roman" w:hAnsi="Times New Roman"/>
          <w:color w:val="000000" w:themeColor="text1"/>
          <w:sz w:val="16"/>
          <w:szCs w:val="16"/>
        </w:rPr>
        <w:softHyphen/>
        <w:t>ких испытаниях показал результаты значительно более высокие, чем данные самолета Ил-8.</w:t>
      </w:r>
    </w:p>
    <w:p w14:paraId="2806C94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проведении государствен</w:t>
      </w:r>
      <w:r w:rsidRPr="007224C3">
        <w:rPr>
          <w:rFonts w:ascii="Times New Roman" w:hAnsi="Times New Roman"/>
          <w:color w:val="000000" w:themeColor="text1"/>
          <w:sz w:val="16"/>
          <w:szCs w:val="16"/>
        </w:rPr>
        <w:softHyphen/>
        <w:t>ных испытаний самолета Су-6 про</w:t>
      </w:r>
      <w:r w:rsidRPr="007224C3">
        <w:rPr>
          <w:rFonts w:ascii="Times New Roman" w:hAnsi="Times New Roman"/>
          <w:color w:val="000000" w:themeColor="text1"/>
          <w:sz w:val="16"/>
          <w:szCs w:val="16"/>
        </w:rPr>
        <w:softHyphen/>
        <w:t>изошли задержки, вызванные: 1) по</w:t>
      </w:r>
      <w:r w:rsidRPr="007224C3">
        <w:rPr>
          <w:rFonts w:ascii="Times New Roman" w:hAnsi="Times New Roman"/>
          <w:color w:val="000000" w:themeColor="text1"/>
          <w:sz w:val="16"/>
          <w:szCs w:val="16"/>
        </w:rPr>
        <w:softHyphen/>
        <w:t>ломкой хвостовой части фюзеляжа при посадке; 2) ненормальной работой установленного на самоле</w:t>
      </w:r>
      <w:r w:rsidRPr="007224C3">
        <w:rPr>
          <w:rFonts w:ascii="Times New Roman" w:hAnsi="Times New Roman"/>
          <w:color w:val="000000" w:themeColor="text1"/>
          <w:sz w:val="16"/>
          <w:szCs w:val="16"/>
        </w:rPr>
        <w:softHyphen/>
        <w:t>те экземпляра мотора АМ-42, кото</w:t>
      </w:r>
      <w:r w:rsidRPr="007224C3">
        <w:rPr>
          <w:rFonts w:ascii="Times New Roman" w:hAnsi="Times New Roman"/>
          <w:color w:val="000000" w:themeColor="text1"/>
          <w:sz w:val="16"/>
          <w:szCs w:val="16"/>
        </w:rPr>
        <w:softHyphen/>
        <w:t>рый 15/У окончательно был снят с испытаний из-за богатой регулиров</w:t>
      </w:r>
      <w:r w:rsidRPr="007224C3">
        <w:rPr>
          <w:rFonts w:ascii="Times New Roman" w:hAnsi="Times New Roman"/>
          <w:color w:val="000000" w:themeColor="text1"/>
          <w:sz w:val="16"/>
          <w:szCs w:val="16"/>
        </w:rPr>
        <w:softHyphen/>
        <w:t>ки - регулировать беднее нельзя было из-за опасности загорания смеси во всасывающих патрубках - и повышенного в 4-5 раз против нормы расхода масла. В данный момент государственные испытания приостановлены до получения с за</w:t>
      </w:r>
      <w:r w:rsidRPr="007224C3">
        <w:rPr>
          <w:rFonts w:ascii="Times New Roman" w:hAnsi="Times New Roman"/>
          <w:color w:val="000000" w:themeColor="text1"/>
          <w:sz w:val="16"/>
          <w:szCs w:val="16"/>
        </w:rPr>
        <w:softHyphen/>
        <w:t>вода №24 нового мотора АМ-42.</w:t>
      </w:r>
    </w:p>
    <w:p w14:paraId="2764A68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Несмотря на ненормальную ра</w:t>
      </w:r>
      <w:r w:rsidRPr="007224C3">
        <w:rPr>
          <w:rFonts w:ascii="Times New Roman" w:hAnsi="Times New Roman"/>
          <w:color w:val="000000" w:themeColor="text1"/>
          <w:sz w:val="16"/>
          <w:szCs w:val="16"/>
        </w:rPr>
        <w:softHyphen/>
        <w:t>боту мотора, НИИ ВВС удалось снять приведенные ниже скорости и подтвердить положительное мне</w:t>
      </w:r>
      <w:r w:rsidRPr="007224C3">
        <w:rPr>
          <w:rFonts w:ascii="Times New Roman" w:hAnsi="Times New Roman"/>
          <w:color w:val="000000" w:themeColor="text1"/>
          <w:sz w:val="16"/>
          <w:szCs w:val="16"/>
        </w:rPr>
        <w:softHyphen/>
        <w:t>ние летчиков при прошлогодних государственных испытаниях об устойчивости, маневренности и усилиях на ручку. На взлете и по</w:t>
      </w:r>
      <w:r w:rsidRPr="007224C3">
        <w:rPr>
          <w:rFonts w:ascii="Times New Roman" w:hAnsi="Times New Roman"/>
          <w:color w:val="000000" w:themeColor="text1"/>
          <w:sz w:val="16"/>
          <w:szCs w:val="16"/>
        </w:rPr>
        <w:softHyphen/>
        <w:t>садке машина проста, не отлича</w:t>
      </w:r>
      <w:r w:rsidRPr="007224C3">
        <w:rPr>
          <w:rFonts w:ascii="Times New Roman" w:hAnsi="Times New Roman"/>
          <w:color w:val="000000" w:themeColor="text1"/>
          <w:sz w:val="16"/>
          <w:szCs w:val="16"/>
        </w:rPr>
        <w:softHyphen/>
        <w:t>ясь в этом отношении от самоле</w:t>
      </w:r>
      <w:r w:rsidRPr="007224C3">
        <w:rPr>
          <w:rFonts w:ascii="Times New Roman" w:hAnsi="Times New Roman"/>
          <w:color w:val="000000" w:themeColor="text1"/>
          <w:sz w:val="16"/>
          <w:szCs w:val="16"/>
        </w:rPr>
        <w:softHyphen/>
        <w:t>тов Ил.</w:t>
      </w:r>
    </w:p>
    <w:p w14:paraId="5B55349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Сравнение данных самолетов Ил-8 и Су-6 приведено в таблице: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5106D0" w:rsidRPr="007224C3" w14:paraId="08CDED0A" w14:textId="77777777">
        <w:tc>
          <w:tcPr>
            <w:tcW w:w="3736" w:type="dxa"/>
            <w:tcBorders>
              <w:top w:val="single" w:sz="12" w:space="0" w:color="auto"/>
            </w:tcBorders>
            <w:shd w:val="clear" w:color="auto" w:fill="FFFFFF"/>
          </w:tcPr>
          <w:p w14:paraId="6ECED9B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w:t>
            </w:r>
          </w:p>
        </w:tc>
        <w:tc>
          <w:tcPr>
            <w:tcW w:w="3736" w:type="dxa"/>
            <w:tcBorders>
              <w:top w:val="single" w:sz="12" w:space="0" w:color="auto"/>
            </w:tcBorders>
            <w:shd w:val="clear" w:color="auto" w:fill="FFFFFF"/>
          </w:tcPr>
          <w:p w14:paraId="108269E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 Ил-8</w:t>
            </w:r>
          </w:p>
        </w:tc>
        <w:tc>
          <w:tcPr>
            <w:tcW w:w="3736" w:type="dxa"/>
            <w:tcBorders>
              <w:top w:val="single" w:sz="12" w:space="0" w:color="auto"/>
            </w:tcBorders>
            <w:shd w:val="clear" w:color="auto" w:fill="FFFFFF"/>
          </w:tcPr>
          <w:p w14:paraId="76251CC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Су-6</w:t>
            </w:r>
          </w:p>
        </w:tc>
      </w:tr>
      <w:tr w:rsidR="005106D0" w:rsidRPr="007224C3" w14:paraId="277AC8D0" w14:textId="77777777">
        <w:tc>
          <w:tcPr>
            <w:tcW w:w="3736" w:type="dxa"/>
            <w:shd w:val="clear" w:color="auto" w:fill="FFFFFF"/>
          </w:tcPr>
          <w:p w14:paraId="5F0B5E1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АМ-42</w:t>
            </w:r>
          </w:p>
        </w:tc>
        <w:tc>
          <w:tcPr>
            <w:tcW w:w="3736" w:type="dxa"/>
            <w:shd w:val="clear" w:color="auto" w:fill="FFFFFF"/>
          </w:tcPr>
          <w:p w14:paraId="522580C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АМ-42</w:t>
            </w:r>
          </w:p>
        </w:tc>
        <w:tc>
          <w:tcPr>
            <w:tcW w:w="3736" w:type="dxa"/>
            <w:shd w:val="clear" w:color="auto" w:fill="FFFFFF"/>
          </w:tcPr>
          <w:p w14:paraId="03CB409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B0C2D40" w14:textId="77777777">
        <w:tc>
          <w:tcPr>
            <w:tcW w:w="3736" w:type="dxa"/>
            <w:shd w:val="clear" w:color="auto" w:fill="FFFFFF"/>
          </w:tcPr>
          <w:p w14:paraId="2C769E1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Скорость у земли, км/ч</w:t>
            </w:r>
          </w:p>
        </w:tc>
        <w:tc>
          <w:tcPr>
            <w:tcW w:w="3736" w:type="dxa"/>
            <w:shd w:val="clear" w:color="auto" w:fill="FFFFFF"/>
          </w:tcPr>
          <w:p w14:paraId="5D9CB47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428</w:t>
            </w:r>
          </w:p>
        </w:tc>
        <w:tc>
          <w:tcPr>
            <w:tcW w:w="3736" w:type="dxa"/>
            <w:shd w:val="clear" w:color="auto" w:fill="FFFFFF"/>
          </w:tcPr>
          <w:p w14:paraId="5FC45C0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482</w:t>
            </w:r>
          </w:p>
        </w:tc>
      </w:tr>
      <w:tr w:rsidR="005106D0" w:rsidRPr="007224C3" w14:paraId="0137234A" w14:textId="77777777">
        <w:tc>
          <w:tcPr>
            <w:tcW w:w="3736" w:type="dxa"/>
            <w:shd w:val="clear" w:color="auto" w:fill="FFFFFF"/>
          </w:tcPr>
          <w:p w14:paraId="6D30B18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Скорость на высоте, км/ч</w:t>
            </w:r>
          </w:p>
        </w:tc>
        <w:tc>
          <w:tcPr>
            <w:tcW w:w="3736" w:type="dxa"/>
            <w:shd w:val="clear" w:color="auto" w:fill="FFFFFF"/>
          </w:tcPr>
          <w:p w14:paraId="0016D07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472</w:t>
            </w:r>
          </w:p>
        </w:tc>
        <w:tc>
          <w:tcPr>
            <w:tcW w:w="3736" w:type="dxa"/>
            <w:shd w:val="clear" w:color="auto" w:fill="FFFFFF"/>
          </w:tcPr>
          <w:p w14:paraId="064787F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523</w:t>
            </w:r>
          </w:p>
        </w:tc>
      </w:tr>
      <w:tr w:rsidR="005106D0" w:rsidRPr="007224C3" w14:paraId="7752DE65" w14:textId="77777777">
        <w:tc>
          <w:tcPr>
            <w:tcW w:w="3736" w:type="dxa"/>
            <w:shd w:val="clear" w:color="auto" w:fill="FFFFFF"/>
          </w:tcPr>
          <w:p w14:paraId="3B517CE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высоте, м</w:t>
            </w:r>
          </w:p>
        </w:tc>
        <w:tc>
          <w:tcPr>
            <w:tcW w:w="3736" w:type="dxa"/>
            <w:shd w:val="clear" w:color="auto" w:fill="FFFFFF"/>
          </w:tcPr>
          <w:p w14:paraId="4030B7D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2500</w:t>
            </w:r>
          </w:p>
        </w:tc>
        <w:tc>
          <w:tcPr>
            <w:tcW w:w="3736" w:type="dxa"/>
            <w:shd w:val="clear" w:color="auto" w:fill="FFFFFF"/>
          </w:tcPr>
          <w:p w14:paraId="2808DEA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2800</w:t>
            </w:r>
          </w:p>
        </w:tc>
      </w:tr>
      <w:tr w:rsidR="005106D0" w:rsidRPr="007224C3" w14:paraId="4D53AA8D" w14:textId="77777777">
        <w:tc>
          <w:tcPr>
            <w:tcW w:w="3736" w:type="dxa"/>
            <w:shd w:val="clear" w:color="auto" w:fill="FFFFFF"/>
          </w:tcPr>
          <w:p w14:paraId="412AC33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Дальность на высоте 1000 м, км</w:t>
            </w:r>
          </w:p>
        </w:tc>
        <w:tc>
          <w:tcPr>
            <w:tcW w:w="3736" w:type="dxa"/>
            <w:shd w:val="clear" w:color="auto" w:fill="FFFFFF"/>
          </w:tcPr>
          <w:p w14:paraId="208F54C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990</w:t>
            </w:r>
          </w:p>
        </w:tc>
        <w:tc>
          <w:tcPr>
            <w:tcW w:w="3736" w:type="dxa"/>
            <w:shd w:val="clear" w:color="auto" w:fill="FFFFFF"/>
          </w:tcPr>
          <w:p w14:paraId="35B3C9D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850</w:t>
            </w:r>
          </w:p>
        </w:tc>
      </w:tr>
      <w:tr w:rsidR="005106D0" w:rsidRPr="007224C3" w14:paraId="385EBD31" w14:textId="77777777">
        <w:tc>
          <w:tcPr>
            <w:tcW w:w="3736" w:type="dxa"/>
            <w:shd w:val="clear" w:color="auto" w:fill="FFFFFF"/>
          </w:tcPr>
          <w:p w14:paraId="1DC2D4D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скорости, км/ч</w:t>
            </w:r>
          </w:p>
        </w:tc>
        <w:tc>
          <w:tcPr>
            <w:tcW w:w="3736" w:type="dxa"/>
            <w:shd w:val="clear" w:color="auto" w:fill="FFFFFF"/>
          </w:tcPr>
          <w:p w14:paraId="566B177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308</w:t>
            </w:r>
          </w:p>
        </w:tc>
        <w:tc>
          <w:tcPr>
            <w:tcW w:w="3736" w:type="dxa"/>
            <w:shd w:val="clear" w:color="auto" w:fill="FFFFFF"/>
          </w:tcPr>
          <w:p w14:paraId="6570EDC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340</w:t>
            </w:r>
          </w:p>
        </w:tc>
      </w:tr>
      <w:tr w:rsidR="005106D0" w:rsidRPr="007224C3" w14:paraId="6DAAC057" w14:textId="77777777">
        <w:tc>
          <w:tcPr>
            <w:tcW w:w="3736" w:type="dxa"/>
            <w:shd w:val="clear" w:color="auto" w:fill="FFFFFF"/>
          </w:tcPr>
          <w:p w14:paraId="258CC8B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Стрелковое вооружение</w:t>
            </w:r>
          </w:p>
        </w:tc>
        <w:tc>
          <w:tcPr>
            <w:tcW w:w="3736" w:type="dxa"/>
            <w:shd w:val="clear" w:color="auto" w:fill="FFFFFF"/>
          </w:tcPr>
          <w:p w14:paraId="24FD962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2x23 мм</w:t>
            </w:r>
          </w:p>
        </w:tc>
        <w:tc>
          <w:tcPr>
            <w:tcW w:w="3736" w:type="dxa"/>
            <w:shd w:val="clear" w:color="auto" w:fill="FFFFFF"/>
          </w:tcPr>
          <w:p w14:paraId="2F766FC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2x37 мм</w:t>
            </w:r>
          </w:p>
        </w:tc>
      </w:tr>
      <w:tr w:rsidR="005106D0" w:rsidRPr="007224C3" w14:paraId="6854483C" w14:textId="77777777">
        <w:tc>
          <w:tcPr>
            <w:tcW w:w="3736" w:type="dxa"/>
            <w:shd w:val="clear" w:color="auto" w:fill="FFFFFF"/>
          </w:tcPr>
          <w:p w14:paraId="4AA1B96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3736" w:type="dxa"/>
            <w:shd w:val="clear" w:color="auto" w:fill="FFFFFF"/>
          </w:tcPr>
          <w:p w14:paraId="3952583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ВЯ</w:t>
            </w:r>
          </w:p>
        </w:tc>
        <w:tc>
          <w:tcPr>
            <w:tcW w:w="3736" w:type="dxa"/>
            <w:shd w:val="clear" w:color="auto" w:fill="FFFFFF"/>
          </w:tcPr>
          <w:p w14:paraId="270E3D5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ОКБ-16</w:t>
            </w:r>
          </w:p>
        </w:tc>
      </w:tr>
      <w:tr w:rsidR="005106D0" w:rsidRPr="007224C3" w14:paraId="3E93AE3A" w14:textId="77777777">
        <w:tc>
          <w:tcPr>
            <w:tcW w:w="3736" w:type="dxa"/>
            <w:shd w:val="clear" w:color="auto" w:fill="FFFFFF"/>
          </w:tcPr>
          <w:p w14:paraId="04641BE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3736" w:type="dxa"/>
            <w:shd w:val="clear" w:color="auto" w:fill="FFFFFF"/>
          </w:tcPr>
          <w:p w14:paraId="0F8E912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2ШКАС</w:t>
            </w:r>
          </w:p>
        </w:tc>
        <w:tc>
          <w:tcPr>
            <w:tcW w:w="3736" w:type="dxa"/>
            <w:shd w:val="clear" w:color="auto" w:fill="FFFFFF"/>
          </w:tcPr>
          <w:p w14:paraId="6B628BA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2ШКАС</w:t>
            </w:r>
          </w:p>
        </w:tc>
      </w:tr>
      <w:tr w:rsidR="005106D0" w:rsidRPr="007224C3" w14:paraId="0BE96AFE" w14:textId="77777777">
        <w:tc>
          <w:tcPr>
            <w:tcW w:w="3736" w:type="dxa"/>
            <w:shd w:val="clear" w:color="auto" w:fill="FFFFFF"/>
          </w:tcPr>
          <w:p w14:paraId="428FC1F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Нормальная бомбовая нагрузка, кг</w:t>
            </w:r>
          </w:p>
        </w:tc>
        <w:tc>
          <w:tcPr>
            <w:tcW w:w="3736" w:type="dxa"/>
            <w:shd w:val="clear" w:color="auto" w:fill="FFFFFF"/>
          </w:tcPr>
          <w:p w14:paraId="2010BA8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600</w:t>
            </w:r>
          </w:p>
        </w:tc>
        <w:tc>
          <w:tcPr>
            <w:tcW w:w="3736" w:type="dxa"/>
            <w:shd w:val="clear" w:color="auto" w:fill="FFFFFF"/>
          </w:tcPr>
          <w:p w14:paraId="3CCFD34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400*</w:t>
            </w:r>
          </w:p>
        </w:tc>
      </w:tr>
      <w:tr w:rsidR="005106D0" w:rsidRPr="007224C3" w14:paraId="0C9E5C72" w14:textId="77777777">
        <w:tc>
          <w:tcPr>
            <w:tcW w:w="3736" w:type="dxa"/>
            <w:tcBorders>
              <w:bottom w:val="single" w:sz="12" w:space="0" w:color="auto"/>
            </w:tcBorders>
            <w:shd w:val="clear" w:color="auto" w:fill="FFFFFF"/>
          </w:tcPr>
          <w:p w14:paraId="14BA531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Полетный вес самолета, кг</w:t>
            </w:r>
          </w:p>
        </w:tc>
        <w:tc>
          <w:tcPr>
            <w:tcW w:w="3736" w:type="dxa"/>
            <w:tcBorders>
              <w:bottom w:val="single" w:sz="12" w:space="0" w:color="auto"/>
            </w:tcBorders>
            <w:shd w:val="clear" w:color="auto" w:fill="FFFFFF"/>
          </w:tcPr>
          <w:p w14:paraId="4B12516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7260</w:t>
            </w:r>
          </w:p>
        </w:tc>
        <w:tc>
          <w:tcPr>
            <w:tcW w:w="3736" w:type="dxa"/>
            <w:tcBorders>
              <w:bottom w:val="single" w:sz="12" w:space="0" w:color="auto"/>
            </w:tcBorders>
            <w:shd w:val="clear" w:color="auto" w:fill="FFFFFF"/>
          </w:tcPr>
          <w:p w14:paraId="18C9B12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6200</w:t>
            </w:r>
          </w:p>
        </w:tc>
      </w:tr>
    </w:tbl>
    <w:p w14:paraId="324D402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при замене пушек 37 мм на пушки ВЯ кал.23 мм бомбовая нагрузка равна 600 кг</w:t>
      </w:r>
    </w:p>
    <w:p w14:paraId="58A20D1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Таким образом, самолет Су-6, уступая несколько в дальности, име</w:t>
      </w:r>
      <w:r w:rsidRPr="007224C3">
        <w:rPr>
          <w:rFonts w:ascii="Times New Roman" w:hAnsi="Times New Roman"/>
          <w:color w:val="000000" w:themeColor="text1"/>
          <w:sz w:val="16"/>
          <w:szCs w:val="16"/>
        </w:rPr>
        <w:softHyphen/>
        <w:t>ет при равном вооружении значи</w:t>
      </w:r>
      <w:r w:rsidRPr="007224C3">
        <w:rPr>
          <w:rFonts w:ascii="Times New Roman" w:hAnsi="Times New Roman"/>
          <w:color w:val="000000" w:themeColor="text1"/>
          <w:sz w:val="16"/>
          <w:szCs w:val="16"/>
        </w:rPr>
        <w:softHyphen/>
        <w:t>тельно большую скорость, чем са</w:t>
      </w:r>
      <w:r w:rsidRPr="007224C3">
        <w:rPr>
          <w:rFonts w:ascii="Times New Roman" w:hAnsi="Times New Roman"/>
          <w:color w:val="000000" w:themeColor="text1"/>
          <w:sz w:val="16"/>
          <w:szCs w:val="16"/>
        </w:rPr>
        <w:softHyphen/>
        <w:t>молет Ил-8.</w:t>
      </w:r>
    </w:p>
    <w:p w14:paraId="5BDD737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связи с задержкой представ</w:t>
      </w:r>
      <w:r w:rsidRPr="007224C3">
        <w:rPr>
          <w:rFonts w:ascii="Times New Roman" w:hAnsi="Times New Roman"/>
          <w:color w:val="000000" w:themeColor="text1"/>
          <w:sz w:val="16"/>
          <w:szCs w:val="16"/>
        </w:rPr>
        <w:softHyphen/>
        <w:t>ления акта НИИ ВВС о государ</w:t>
      </w:r>
      <w:r w:rsidRPr="007224C3">
        <w:rPr>
          <w:rFonts w:ascii="Times New Roman" w:hAnsi="Times New Roman"/>
          <w:color w:val="000000" w:themeColor="text1"/>
          <w:sz w:val="16"/>
          <w:szCs w:val="16"/>
        </w:rPr>
        <w:softHyphen/>
        <w:t>ственных испытаниях самолета Су-6 из-за отсутствия мотора, прошу Вашего указания учесть приведен</w:t>
      </w:r>
      <w:r w:rsidRPr="007224C3">
        <w:rPr>
          <w:rFonts w:ascii="Times New Roman" w:hAnsi="Times New Roman"/>
          <w:color w:val="000000" w:themeColor="text1"/>
          <w:sz w:val="16"/>
          <w:szCs w:val="16"/>
        </w:rPr>
        <w:softHyphen/>
        <w:t>ные данные при решении вопроса о внедрении в серию нового об</w:t>
      </w:r>
      <w:r w:rsidRPr="007224C3">
        <w:rPr>
          <w:rFonts w:ascii="Times New Roman" w:hAnsi="Times New Roman"/>
          <w:color w:val="000000" w:themeColor="text1"/>
          <w:sz w:val="16"/>
          <w:szCs w:val="16"/>
        </w:rPr>
        <w:softHyphen/>
        <w:t>разца штурмовика взамен Ил-2» (11845).</w:t>
      </w:r>
    </w:p>
    <w:p w14:paraId="59A4627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2626A31" w14:textId="77777777" w:rsidR="00FE6F00" w:rsidRPr="007224C3" w:rsidRDefault="00FE6F00" w:rsidP="007224C3">
      <w:pPr>
        <w:pStyle w:val="ae"/>
        <w:shd w:val="clear" w:color="auto" w:fill="FFFFFF"/>
        <w:spacing w:before="0" w:after="0"/>
        <w:jc w:val="both"/>
        <w:textAlignment w:val="baseline"/>
        <w:rPr>
          <w:color w:val="000000" w:themeColor="text1"/>
          <w:sz w:val="16"/>
          <w:szCs w:val="16"/>
        </w:rPr>
      </w:pPr>
      <w:r w:rsidRPr="007224C3">
        <w:rPr>
          <w:color w:val="000000" w:themeColor="text1"/>
          <w:sz w:val="16"/>
          <w:szCs w:val="16"/>
        </w:rPr>
        <w:t>19 мая 1944 г. П. О. Сухой направил письмо в адрес А. И. Шахурина, в котором просил учесть предварительные результаты испытаний самолета Су-6 АМ-42.</w:t>
      </w:r>
    </w:p>
    <w:p w14:paraId="6490900C" w14:textId="77777777" w:rsidR="00FE6F00" w:rsidRPr="007224C3" w:rsidRDefault="00FE6F00" w:rsidP="007224C3">
      <w:pPr>
        <w:pStyle w:val="ae"/>
        <w:shd w:val="clear" w:color="auto" w:fill="FFFFFF"/>
        <w:spacing w:before="0" w:after="0"/>
        <w:jc w:val="both"/>
        <w:textAlignment w:val="baseline"/>
        <w:rPr>
          <w:color w:val="000000" w:themeColor="text1"/>
          <w:sz w:val="16"/>
          <w:szCs w:val="16"/>
        </w:rPr>
      </w:pPr>
      <w:r w:rsidRPr="007224C3">
        <w:rPr>
          <w:color w:val="000000" w:themeColor="text1"/>
          <w:sz w:val="16"/>
          <w:szCs w:val="16"/>
        </w:rPr>
        <w:t>Он отмечал, что летчики ГК НИИ ВВС КА дали положительное заключение об устойчивости и управляемости самолета Су-6, а также о простоте посадки.</w:t>
      </w:r>
    </w:p>
    <w:p w14:paraId="18F309AF" w14:textId="77777777" w:rsidR="00FE6F00" w:rsidRPr="007224C3" w:rsidRDefault="00FE6F00" w:rsidP="007224C3">
      <w:pPr>
        <w:pStyle w:val="ae"/>
        <w:shd w:val="clear" w:color="auto" w:fill="FFFFFF"/>
        <w:spacing w:before="0" w:after="0"/>
        <w:jc w:val="both"/>
        <w:textAlignment w:val="baseline"/>
        <w:rPr>
          <w:color w:val="000000" w:themeColor="text1"/>
          <w:sz w:val="16"/>
          <w:szCs w:val="16"/>
        </w:rPr>
      </w:pPr>
      <w:r w:rsidRPr="007224C3">
        <w:rPr>
          <w:color w:val="000000" w:themeColor="text1"/>
          <w:sz w:val="16"/>
          <w:szCs w:val="16"/>
        </w:rPr>
        <w:t>Сухой привел сравнение летных данных самолетов Ил-8 АМ-42 и Су-6 АМ-42 по результатам испытаний.</w:t>
      </w:r>
    </w:p>
    <w:p w14:paraId="3EC73293" w14:textId="77777777" w:rsidR="00FE6F00" w:rsidRPr="007224C3" w:rsidRDefault="00FE6F00" w:rsidP="007224C3">
      <w:pPr>
        <w:pStyle w:val="ae"/>
        <w:shd w:val="clear" w:color="auto" w:fill="FFFFFF"/>
        <w:spacing w:before="0" w:after="0"/>
        <w:jc w:val="both"/>
        <w:textAlignment w:val="baseline"/>
        <w:rPr>
          <w:color w:val="000000" w:themeColor="text1"/>
          <w:sz w:val="16"/>
          <w:szCs w:val="16"/>
        </w:rPr>
      </w:pPr>
      <w:r w:rsidRPr="007224C3">
        <w:rPr>
          <w:rStyle w:val="af0"/>
          <w:i w:val="0"/>
          <w:color w:val="000000" w:themeColor="text1"/>
          <w:sz w:val="16"/>
          <w:szCs w:val="16"/>
          <w:bdr w:val="none" w:sz="0" w:space="0" w:color="auto" w:frame="1"/>
        </w:rPr>
        <w:t>«… Самолет Су-6 уступая несколько в дальности, имеет при равном вооружении значительно большую скорость, чем самолет Ил-8», </w:t>
      </w:r>
      <w:r w:rsidRPr="007224C3">
        <w:rPr>
          <w:color w:val="000000" w:themeColor="text1"/>
          <w:sz w:val="16"/>
          <w:szCs w:val="16"/>
        </w:rPr>
        <w:t>— писал Павел Осипович в письме. </w:t>
      </w:r>
      <w:r w:rsidRPr="007224C3">
        <w:rPr>
          <w:rStyle w:val="af0"/>
          <w:i w:val="0"/>
          <w:color w:val="000000" w:themeColor="text1"/>
          <w:sz w:val="16"/>
          <w:szCs w:val="16"/>
          <w:bdr w:val="none" w:sz="0" w:space="0" w:color="auto" w:frame="1"/>
        </w:rPr>
        <w:t>«Су-6 испытывался в варианте с двумя пушками ОКБ-16 калибра 37 мм, двумя пулеметами ШКАС и 400 кг бомб. При замене пушек на ВЯ-23 бомбовая нагрузка составила 600 кг, также как и у Ил-8».</w:t>
      </w:r>
    </w:p>
    <w:p w14:paraId="7AEC0D7C" w14:textId="77777777" w:rsidR="00FE6F00" w:rsidRPr="007224C3" w:rsidRDefault="00FE6F00" w:rsidP="007224C3">
      <w:pPr>
        <w:pStyle w:val="ae"/>
        <w:shd w:val="clear" w:color="auto" w:fill="FFFFFF"/>
        <w:spacing w:before="0" w:after="0"/>
        <w:jc w:val="both"/>
        <w:textAlignment w:val="baseline"/>
        <w:rPr>
          <w:color w:val="000000" w:themeColor="text1"/>
          <w:sz w:val="16"/>
          <w:szCs w:val="16"/>
        </w:rPr>
      </w:pPr>
      <w:r w:rsidRPr="007224C3">
        <w:rPr>
          <w:color w:val="000000" w:themeColor="text1"/>
          <w:sz w:val="16"/>
          <w:szCs w:val="16"/>
        </w:rPr>
        <w:t xml:space="preserve">Максимальная скорость полета Ил-8 у земли равнялась 428 км/ч, тогда как по данным ГК НИИ ВВС максимальная скорость полета у Су-6 при неудовлетворительно </w:t>
      </w:r>
      <w:r w:rsidRPr="007224C3">
        <w:rPr>
          <w:color w:val="000000" w:themeColor="text1"/>
          <w:sz w:val="16"/>
          <w:szCs w:val="16"/>
        </w:rPr>
        <w:lastRenderedPageBreak/>
        <w:t>работающем моторе была 482 км/ч, а по данным заводских испытаний при более удовлетворительно работавшем моторе — 490 км/ч.</w:t>
      </w:r>
    </w:p>
    <w:p w14:paraId="4CCE5751" w14:textId="77777777" w:rsidR="00FE6F00" w:rsidRPr="007224C3" w:rsidRDefault="00FE6F00" w:rsidP="007224C3">
      <w:pPr>
        <w:pStyle w:val="ae"/>
        <w:shd w:val="clear" w:color="auto" w:fill="FFFFFF"/>
        <w:spacing w:before="0" w:after="0"/>
        <w:jc w:val="both"/>
        <w:textAlignment w:val="baseline"/>
        <w:rPr>
          <w:color w:val="000000" w:themeColor="text1"/>
          <w:sz w:val="16"/>
          <w:szCs w:val="16"/>
        </w:rPr>
      </w:pPr>
      <w:r w:rsidRPr="007224C3">
        <w:rPr>
          <w:color w:val="000000" w:themeColor="text1"/>
          <w:sz w:val="16"/>
          <w:szCs w:val="16"/>
        </w:rPr>
        <w:t>Скорость на расчетной высоте 2500 м у Ил-8 – 472 км/ч, а у Су-6 на расчетной высоте 2800 м — 523 км/ч. Дальность полета на высоте 1000 м при скорости полета 308 км/ч у Ил-8 составляла 990 км, а у Су-6 при скорости полета 340 км/ч — 850 км.</w:t>
      </w:r>
    </w:p>
    <w:p w14:paraId="22F88F47" w14:textId="77777777" w:rsidR="00FE6F00" w:rsidRPr="007224C3" w:rsidRDefault="00FE6F00" w:rsidP="007224C3">
      <w:pPr>
        <w:pStyle w:val="ae"/>
        <w:shd w:val="clear" w:color="auto" w:fill="FFFFFF"/>
        <w:spacing w:before="0" w:after="0"/>
        <w:jc w:val="both"/>
        <w:textAlignment w:val="baseline"/>
        <w:rPr>
          <w:color w:val="000000" w:themeColor="text1"/>
          <w:sz w:val="16"/>
          <w:szCs w:val="16"/>
        </w:rPr>
      </w:pPr>
      <w:r w:rsidRPr="007224C3">
        <w:rPr>
          <w:color w:val="000000" w:themeColor="text1"/>
          <w:sz w:val="16"/>
          <w:szCs w:val="16"/>
        </w:rPr>
        <w:t>Следует обратить внимание на то, что скорость полета у Су-6 при определении дальности была выше. Кроме того, мотор имел невыгодную регулировку с точки зрения расхода топлива: переобогащенную топливную смесь. Поэтому с нормальным мотором результаты по дальности полета могли были быть практически одинаковыми.</w:t>
      </w:r>
    </w:p>
    <w:p w14:paraId="349D49E5" w14:textId="77777777" w:rsidR="00FE6F00" w:rsidRPr="007224C3" w:rsidRDefault="00FE6F00" w:rsidP="007224C3">
      <w:pPr>
        <w:pStyle w:val="ae"/>
        <w:shd w:val="clear" w:color="auto" w:fill="FFFFFF"/>
        <w:spacing w:before="0" w:after="0"/>
        <w:jc w:val="both"/>
        <w:textAlignment w:val="baseline"/>
        <w:rPr>
          <w:color w:val="000000" w:themeColor="text1"/>
          <w:sz w:val="16"/>
          <w:szCs w:val="16"/>
        </w:rPr>
      </w:pPr>
      <w:r w:rsidRPr="007224C3">
        <w:rPr>
          <w:color w:val="000000" w:themeColor="text1"/>
          <w:sz w:val="16"/>
          <w:szCs w:val="16"/>
        </w:rPr>
        <w:t>Важно отметить, что при одинаковой боевой нагрузке взлетный вес Су-6 был на 1000 кг меньше, чем у Ил-8, то есть весовая отдача самолета Су-6 была существенно выше.</w:t>
      </w:r>
    </w:p>
    <w:p w14:paraId="1128AB63" w14:textId="77777777" w:rsidR="00FE6F00" w:rsidRPr="007224C3" w:rsidRDefault="00FE6F00" w:rsidP="007224C3">
      <w:pPr>
        <w:pStyle w:val="ae"/>
        <w:shd w:val="clear" w:color="auto" w:fill="FFFFFF"/>
        <w:spacing w:before="0" w:after="0"/>
        <w:jc w:val="both"/>
        <w:textAlignment w:val="baseline"/>
        <w:rPr>
          <w:color w:val="000000" w:themeColor="text1"/>
          <w:sz w:val="16"/>
          <w:szCs w:val="16"/>
        </w:rPr>
      </w:pPr>
      <w:r w:rsidRPr="007224C3">
        <w:rPr>
          <w:color w:val="000000" w:themeColor="text1"/>
          <w:sz w:val="16"/>
          <w:szCs w:val="16"/>
        </w:rPr>
        <w:t>В то же время у Ил-8 было существенное преимущество при использовании его в качестве бронированного бомбардировщика.</w:t>
      </w:r>
    </w:p>
    <w:p w14:paraId="6043BC98" w14:textId="77777777" w:rsidR="00FE6F00" w:rsidRPr="007224C3" w:rsidRDefault="00FE6F00" w:rsidP="007224C3">
      <w:pPr>
        <w:pStyle w:val="ae"/>
        <w:shd w:val="clear" w:color="auto" w:fill="FFFFFF"/>
        <w:spacing w:before="0" w:after="0"/>
        <w:jc w:val="both"/>
        <w:textAlignment w:val="baseline"/>
        <w:rPr>
          <w:color w:val="000000" w:themeColor="text1"/>
          <w:sz w:val="16"/>
          <w:szCs w:val="16"/>
        </w:rPr>
      </w:pPr>
      <w:r w:rsidRPr="007224C3">
        <w:rPr>
          <w:color w:val="000000" w:themeColor="text1"/>
          <w:sz w:val="16"/>
          <w:szCs w:val="16"/>
        </w:rPr>
        <w:t>Максимальная бомбовая нагрузка достигала 1000 кг при подвеске под крыльями двух бомб ФАБ-500. Кроме того, самолет Ил-8 оборудовался бомбардировочным прицелом.</w:t>
      </w:r>
    </w:p>
    <w:p w14:paraId="21A705F0" w14:textId="77777777" w:rsidR="00FE6F00" w:rsidRPr="007224C3" w:rsidRDefault="00FE6F00" w:rsidP="007224C3">
      <w:pPr>
        <w:pStyle w:val="ae"/>
        <w:shd w:val="clear" w:color="auto" w:fill="FFFFFF"/>
        <w:spacing w:before="0" w:after="0"/>
        <w:jc w:val="both"/>
        <w:textAlignment w:val="baseline"/>
        <w:rPr>
          <w:color w:val="000000" w:themeColor="text1"/>
          <w:sz w:val="16"/>
          <w:szCs w:val="16"/>
        </w:rPr>
      </w:pPr>
      <w:r w:rsidRPr="007224C3">
        <w:rPr>
          <w:color w:val="000000" w:themeColor="text1"/>
          <w:sz w:val="16"/>
          <w:szCs w:val="16"/>
        </w:rPr>
        <w:t>В мае 1944 г. успешно завершил госиспытания штурмовик Ил-10 АМ-42, показавшего высокие летные данные.</w:t>
      </w:r>
    </w:p>
    <w:p w14:paraId="1F9B7F30" w14:textId="77777777" w:rsidR="00FE6F00" w:rsidRPr="007224C3" w:rsidRDefault="00FE6F00" w:rsidP="007224C3">
      <w:pPr>
        <w:pStyle w:val="ae"/>
        <w:shd w:val="clear" w:color="auto" w:fill="FFFFFF"/>
        <w:spacing w:before="0" w:after="0"/>
        <w:jc w:val="both"/>
        <w:textAlignment w:val="baseline"/>
        <w:rPr>
          <w:color w:val="000000" w:themeColor="text1"/>
          <w:sz w:val="16"/>
          <w:szCs w:val="16"/>
        </w:rPr>
      </w:pPr>
      <w:r w:rsidRPr="007224C3">
        <w:rPr>
          <w:color w:val="000000" w:themeColor="text1"/>
          <w:sz w:val="16"/>
          <w:szCs w:val="16"/>
        </w:rPr>
        <w:t>Сравнение летно-боевых свойств суховского штурмовика с Ил-10 было не в пользу первого. Су-6 АМ-42 уступал ильюшинской машине по большинству определяющих характеристик. В итоге был сделан вывод о нецелесообразности запуска Су-6 АМ-42 в серийное производство.</w:t>
      </w:r>
    </w:p>
    <w:p w14:paraId="2B6B145A" w14:textId="77777777" w:rsidR="00FE6F00" w:rsidRPr="007224C3" w:rsidRDefault="00FE6F00" w:rsidP="007224C3">
      <w:pPr>
        <w:pStyle w:val="ae"/>
        <w:shd w:val="clear" w:color="auto" w:fill="FFFFFF"/>
        <w:spacing w:before="0" w:after="0"/>
        <w:jc w:val="both"/>
        <w:textAlignment w:val="baseline"/>
        <w:rPr>
          <w:color w:val="000000" w:themeColor="text1"/>
          <w:sz w:val="16"/>
          <w:szCs w:val="16"/>
        </w:rPr>
      </w:pPr>
      <w:r w:rsidRPr="007224C3">
        <w:rPr>
          <w:color w:val="000000" w:themeColor="text1"/>
          <w:sz w:val="16"/>
          <w:szCs w:val="16"/>
        </w:rPr>
        <w:t>Тем не менее, после установки на Су-6 нового экземпляра мотора АМ-42 госиспытания штурмовика были возобновлены и продолжались до июля 44-го.</w:t>
      </w:r>
    </w:p>
    <w:p w14:paraId="45F89836" w14:textId="77777777" w:rsidR="00FE6F00" w:rsidRPr="007224C3" w:rsidRDefault="00FE6F00" w:rsidP="007224C3">
      <w:pPr>
        <w:pStyle w:val="ae"/>
        <w:shd w:val="clear" w:color="auto" w:fill="FFFFFF"/>
        <w:spacing w:before="0" w:after="0"/>
        <w:jc w:val="both"/>
        <w:textAlignment w:val="baseline"/>
        <w:rPr>
          <w:color w:val="000000" w:themeColor="text1"/>
          <w:sz w:val="16"/>
          <w:szCs w:val="16"/>
        </w:rPr>
      </w:pPr>
      <w:r w:rsidRPr="007224C3">
        <w:rPr>
          <w:color w:val="000000" w:themeColor="text1"/>
          <w:sz w:val="16"/>
          <w:szCs w:val="16"/>
        </w:rPr>
        <w:t>Всего в период с 28 апреля по 2 июля 1944 г. на Су-6 АМ-42 с пушками ВЯ-23 было выполнено 24 полета с суммарным налетом 10 часов 25 мин.</w:t>
      </w:r>
    </w:p>
    <w:p w14:paraId="6CF42F73" w14:textId="77777777" w:rsidR="00FE6F00" w:rsidRPr="007224C3" w:rsidRDefault="00FE6F00" w:rsidP="007224C3">
      <w:pPr>
        <w:pStyle w:val="ae"/>
        <w:shd w:val="clear" w:color="auto" w:fill="FFFFFF"/>
        <w:spacing w:before="0" w:after="0"/>
        <w:jc w:val="both"/>
        <w:textAlignment w:val="baseline"/>
        <w:rPr>
          <w:color w:val="000000" w:themeColor="text1"/>
          <w:sz w:val="16"/>
          <w:szCs w:val="16"/>
        </w:rPr>
      </w:pPr>
      <w:r w:rsidRPr="007224C3">
        <w:rPr>
          <w:color w:val="000000" w:themeColor="text1"/>
          <w:sz w:val="16"/>
          <w:szCs w:val="16"/>
        </w:rPr>
        <w:t>При полетном весе 6200 кг (600 кг бомб, боекомплект к пушкам и пулеметам) скорость штурмовика у земли составила 492 км/ч, а на высоте 1860 м — 521 км/ч. Время подъема на высоту 1000 м равнялось двум мин., на высоту 5000 м — 11 мин. Максимальная дальность полета — 790 км (19188).</w:t>
      </w:r>
    </w:p>
    <w:p w14:paraId="6ECD34D4" w14:textId="77777777" w:rsidR="00FE6F00" w:rsidRPr="007224C3" w:rsidRDefault="00FE6F00" w:rsidP="007224C3">
      <w:pPr>
        <w:pStyle w:val="ae"/>
        <w:shd w:val="clear" w:color="auto" w:fill="FFFFFF"/>
        <w:spacing w:before="0" w:after="0"/>
        <w:jc w:val="both"/>
        <w:textAlignment w:val="baseline"/>
        <w:rPr>
          <w:color w:val="000000" w:themeColor="text1"/>
          <w:sz w:val="16"/>
          <w:szCs w:val="16"/>
        </w:rPr>
      </w:pPr>
    </w:p>
    <w:p w14:paraId="5170922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мая 1944 г., пытаясь отстоять свой штурмовик, П. О. Сухой напра</w:t>
      </w:r>
      <w:r w:rsidRPr="007224C3">
        <w:rPr>
          <w:rFonts w:ascii="Times New Roman" w:hAnsi="Times New Roman"/>
          <w:color w:val="000000" w:themeColor="text1"/>
          <w:sz w:val="16"/>
          <w:szCs w:val="16"/>
        </w:rPr>
        <w:softHyphen/>
        <w:t>вил письмо в адрес А. И. Шахурина, в котором просил учесть предвари</w:t>
      </w:r>
      <w:r w:rsidRPr="007224C3">
        <w:rPr>
          <w:rFonts w:ascii="Times New Roman" w:hAnsi="Times New Roman"/>
          <w:color w:val="000000" w:themeColor="text1"/>
          <w:sz w:val="16"/>
          <w:szCs w:val="16"/>
        </w:rPr>
        <w:softHyphen/>
        <w:t>тельные результаты испытаний само</w:t>
      </w:r>
      <w:r w:rsidRPr="007224C3">
        <w:rPr>
          <w:rFonts w:ascii="Times New Roman" w:hAnsi="Times New Roman"/>
          <w:color w:val="000000" w:themeColor="text1"/>
          <w:sz w:val="16"/>
          <w:szCs w:val="16"/>
        </w:rPr>
        <w:softHyphen/>
        <w:t>лета Су-6 АМ-42 "при решении воп</w:t>
      </w:r>
      <w:r w:rsidRPr="007224C3">
        <w:rPr>
          <w:rFonts w:ascii="Times New Roman" w:hAnsi="Times New Roman"/>
          <w:color w:val="000000" w:themeColor="text1"/>
          <w:sz w:val="16"/>
          <w:szCs w:val="16"/>
        </w:rPr>
        <w:softHyphen/>
        <w:t>роса о внедрении в серию нового образца штурмовика взамен Ил-2". Он отмечал, что "при равном воо</w:t>
      </w:r>
      <w:r w:rsidRPr="007224C3">
        <w:rPr>
          <w:rFonts w:ascii="Times New Roman" w:hAnsi="Times New Roman"/>
          <w:color w:val="000000" w:themeColor="text1"/>
          <w:sz w:val="16"/>
          <w:szCs w:val="16"/>
        </w:rPr>
        <w:softHyphen/>
        <w:t>ружении" самолет Су-6 АМ-42 на за</w:t>
      </w:r>
      <w:r w:rsidRPr="007224C3">
        <w:rPr>
          <w:rFonts w:ascii="Times New Roman" w:hAnsi="Times New Roman"/>
          <w:color w:val="000000" w:themeColor="text1"/>
          <w:sz w:val="16"/>
          <w:szCs w:val="16"/>
        </w:rPr>
        <w:softHyphen/>
        <w:t>водских испытаниях "показал резуль</w:t>
      </w:r>
      <w:r w:rsidRPr="007224C3">
        <w:rPr>
          <w:rFonts w:ascii="Times New Roman" w:hAnsi="Times New Roman"/>
          <w:color w:val="000000" w:themeColor="text1"/>
          <w:sz w:val="16"/>
          <w:szCs w:val="16"/>
        </w:rPr>
        <w:softHyphen/>
        <w:t>таты значительно более высокие, чем данные самолета Ил-8", летчики НИИ ВВС подтвердили положительное заключение "при прошлогодних го</w:t>
      </w:r>
      <w:r w:rsidRPr="007224C3">
        <w:rPr>
          <w:rFonts w:ascii="Times New Roman" w:hAnsi="Times New Roman"/>
          <w:color w:val="000000" w:themeColor="text1"/>
          <w:sz w:val="16"/>
          <w:szCs w:val="16"/>
        </w:rPr>
        <w:softHyphen/>
        <w:t>сударственных испытаниях"об устой</w:t>
      </w:r>
      <w:r w:rsidRPr="007224C3">
        <w:rPr>
          <w:rFonts w:ascii="Times New Roman" w:hAnsi="Times New Roman"/>
          <w:color w:val="000000" w:themeColor="text1"/>
          <w:sz w:val="16"/>
          <w:szCs w:val="16"/>
        </w:rPr>
        <w:softHyphen/>
        <w:t>чивости, управляемости и маневрен</w:t>
      </w:r>
      <w:r w:rsidRPr="007224C3">
        <w:rPr>
          <w:rFonts w:ascii="Times New Roman" w:hAnsi="Times New Roman"/>
          <w:color w:val="000000" w:themeColor="text1"/>
          <w:sz w:val="16"/>
          <w:szCs w:val="16"/>
        </w:rPr>
        <w:softHyphen/>
        <w:t>ности самолета, а также о простоте посадки. Задержка представления Акта НИИ ВВС о государственных испытаниях Су-6 объяснялась отсут</w:t>
      </w:r>
      <w:r w:rsidRPr="007224C3">
        <w:rPr>
          <w:rFonts w:ascii="Times New Roman" w:hAnsi="Times New Roman"/>
          <w:color w:val="000000" w:themeColor="text1"/>
          <w:sz w:val="16"/>
          <w:szCs w:val="16"/>
        </w:rPr>
        <w:softHyphen/>
        <w:t>ствием мотора.</w:t>
      </w:r>
    </w:p>
    <w:p w14:paraId="66A342E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Известно, что это письмо рассмат</w:t>
      </w:r>
      <w:r w:rsidRPr="007224C3">
        <w:rPr>
          <w:rFonts w:ascii="Times New Roman" w:hAnsi="Times New Roman"/>
          <w:color w:val="000000" w:themeColor="text1"/>
          <w:sz w:val="16"/>
          <w:szCs w:val="16"/>
        </w:rPr>
        <w:softHyphen/>
        <w:t>ривалось Г. М. Маленковым, но ни</w:t>
      </w:r>
      <w:r w:rsidRPr="007224C3">
        <w:rPr>
          <w:rFonts w:ascii="Times New Roman" w:hAnsi="Times New Roman"/>
          <w:color w:val="000000" w:themeColor="text1"/>
          <w:sz w:val="16"/>
          <w:szCs w:val="16"/>
        </w:rPr>
        <w:softHyphen/>
        <w:t>каких реальных шагов с его стороны не последовало.</w:t>
      </w:r>
    </w:p>
    <w:p w14:paraId="204B3B6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Несмотря на "давление" НКАП, ре</w:t>
      </w:r>
      <w:r w:rsidRPr="007224C3">
        <w:rPr>
          <w:rFonts w:ascii="Times New Roman" w:hAnsi="Times New Roman"/>
          <w:color w:val="000000" w:themeColor="text1"/>
          <w:sz w:val="16"/>
          <w:szCs w:val="16"/>
        </w:rPr>
        <w:softHyphen/>
        <w:t>шение установить на опытный Су-6 новый мотор и продолжить его ис</w:t>
      </w:r>
      <w:r w:rsidRPr="007224C3">
        <w:rPr>
          <w:rFonts w:ascii="Times New Roman" w:hAnsi="Times New Roman"/>
          <w:color w:val="000000" w:themeColor="text1"/>
          <w:sz w:val="16"/>
          <w:szCs w:val="16"/>
        </w:rPr>
        <w:softHyphen/>
        <w:t>пытания осталось в силе. Одновре</w:t>
      </w:r>
      <w:r w:rsidRPr="007224C3">
        <w:rPr>
          <w:rFonts w:ascii="Times New Roman" w:hAnsi="Times New Roman"/>
          <w:color w:val="000000" w:themeColor="text1"/>
          <w:sz w:val="16"/>
          <w:szCs w:val="16"/>
        </w:rPr>
        <w:softHyphen/>
        <w:t>менно НИИ ВВС была поставлена задача, форсировать государствен</w:t>
      </w:r>
      <w:r w:rsidRPr="007224C3">
        <w:rPr>
          <w:rFonts w:ascii="Times New Roman" w:hAnsi="Times New Roman"/>
          <w:color w:val="000000" w:themeColor="text1"/>
          <w:sz w:val="16"/>
          <w:szCs w:val="16"/>
        </w:rPr>
        <w:softHyphen/>
        <w:t>ные испытания Ил-10 и повторные летные испытания Ил-8 с таким рас</w:t>
      </w:r>
      <w:r w:rsidRPr="007224C3">
        <w:rPr>
          <w:rFonts w:ascii="Times New Roman" w:hAnsi="Times New Roman"/>
          <w:color w:val="000000" w:themeColor="text1"/>
          <w:sz w:val="16"/>
          <w:szCs w:val="16"/>
        </w:rPr>
        <w:softHyphen/>
        <w:t>четом, чтобы закончить их не позже конца июня месяца (11428).</w:t>
      </w:r>
    </w:p>
    <w:p w14:paraId="0132352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2D2FF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мая 1944 г. П.О.Сухой направил письмо в адрес А.И.Шахурина, в котором просил учесть предварительные результаты испытаний самолета Су-6 АМ-42.</w:t>
      </w:r>
    </w:p>
    <w:p w14:paraId="2696160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Он отмечал, что летчики ГК НИИ ВВС КА дали положительное заключение об устойчивости и управляемости самолета Су-6, а также о простоте посадки.</w:t>
      </w:r>
    </w:p>
    <w:p w14:paraId="66D82DA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Сухой привел сравнение летных данных самолетов Ил-8 АМ-42 и Су-6 АМ-42 по результатам испытаний.</w:t>
      </w:r>
    </w:p>
    <w:p w14:paraId="0E5C96C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Самолет Су-б уступая несколько в дальности, имеет при равном вооружении значительно большую скорость, чем самолет Ил-8”, - писал Павел Осипович в письме.</w:t>
      </w:r>
    </w:p>
    <w:p w14:paraId="1111C0E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Су-б испытывался в варианте с двумя пушками ОКБ-16 калибра 37 мм, двумя пулеметами ШКАС и 400 кг бомб.</w:t>
      </w:r>
    </w:p>
    <w:p w14:paraId="7121A7D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замене пушек на ВЯ-23 бомбовая нагрузка составила 600 кг, также как и у Ил-8.</w:t>
      </w:r>
    </w:p>
    <w:p w14:paraId="332FF79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 скорость полета Ил-8 у земли равнялась 428 км/ч, тогда как по данным ГК НИИ ВВС максимальная скорость полета у Су-б при неудовлетворительно работающем моторе была 482 км/ч, а по данным заводских испытаний при более удовлетворительно работавшем моторе -490 км/ч.</w:t>
      </w:r>
    </w:p>
    <w:p w14:paraId="5239F64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Скорость на расчетной высоте 2500 м у Ил-8 - 472 км/ч, а у Су-6 на расчетной высоте 2800 м - 523 км/ч. Дальность полета на высоте 1000 м при скорости полета 308 км/ч у Ил-8 составляла 990 км, а у Су-б при скорости полета 340 км/ч - 850 км.</w:t>
      </w:r>
    </w:p>
    <w:p w14:paraId="14AAECC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Следует обратить внимание на то, что скорость полета у Су-6 при определении дальности была выше. Кроме того, мотор имел невыгодную регулировку с точки зрения расхода топлива: переобогащенную топливную смесь. Поэтому с нормальным мотором результаты по дальности полета могли были быть практически одинаковыми.</w:t>
      </w:r>
    </w:p>
    <w:p w14:paraId="7C49302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Важно отметить, что при одинаковой боевой нагрузке взлетный вес Су-б был на 1000 кг меньше, чем у Ил-8, то есть весовая отдача самолета Су-6 была существенно выше.</w:t>
      </w:r>
    </w:p>
    <w:p w14:paraId="1EC84C8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то же время у Ил-8 было существенное преимущество при использовании его в качестве бронированного бомбардировщика.</w:t>
      </w:r>
    </w:p>
    <w:p w14:paraId="052D090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 бомбовая нагрузка достигала 1000 кг при подвеске под крыльями двух бомб ФАБ-500. Кроме того, самолет Ил-8 оборудовался бомбардировочным прицелом (9649).</w:t>
      </w:r>
    </w:p>
    <w:p w14:paraId="2BBF07B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96B7B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мая 1944 г. П.О. Сухой пишет нарко</w:t>
      </w:r>
      <w:r w:rsidRPr="007224C3">
        <w:rPr>
          <w:rFonts w:ascii="Times New Roman" w:hAnsi="Times New Roman"/>
          <w:color w:val="000000" w:themeColor="text1"/>
          <w:sz w:val="16"/>
          <w:szCs w:val="16"/>
        </w:rPr>
        <w:softHyphen/>
        <w:t>му А. И. Шахурину: «В связи с предстоя</w:t>
      </w:r>
      <w:r w:rsidRPr="007224C3">
        <w:rPr>
          <w:rFonts w:ascii="Times New Roman" w:hAnsi="Times New Roman"/>
          <w:color w:val="000000" w:themeColor="text1"/>
          <w:sz w:val="16"/>
          <w:szCs w:val="16"/>
        </w:rPr>
        <w:softHyphen/>
        <w:t>щим решением о внедрении в серию са</w:t>
      </w:r>
      <w:r w:rsidRPr="007224C3">
        <w:rPr>
          <w:rFonts w:ascii="Times New Roman" w:hAnsi="Times New Roman"/>
          <w:color w:val="000000" w:themeColor="text1"/>
          <w:sz w:val="16"/>
          <w:szCs w:val="16"/>
        </w:rPr>
        <w:softHyphen/>
        <w:t>молета Ил-8 АМ-42, считаю необходи</w:t>
      </w:r>
      <w:r w:rsidRPr="007224C3">
        <w:rPr>
          <w:rFonts w:ascii="Times New Roman" w:hAnsi="Times New Roman"/>
          <w:color w:val="000000" w:themeColor="text1"/>
          <w:sz w:val="16"/>
          <w:szCs w:val="16"/>
        </w:rPr>
        <w:softHyphen/>
        <w:t>мым доложить следующее.</w:t>
      </w:r>
    </w:p>
    <w:p w14:paraId="6313AE7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Су-6 АМ42 на заводских ис</w:t>
      </w:r>
      <w:r w:rsidRPr="007224C3">
        <w:rPr>
          <w:rFonts w:ascii="Times New Roman" w:hAnsi="Times New Roman"/>
          <w:color w:val="000000" w:themeColor="text1"/>
          <w:sz w:val="16"/>
          <w:szCs w:val="16"/>
        </w:rPr>
        <w:softHyphen/>
        <w:t>пытаниях показал результаты значитель</w:t>
      </w:r>
      <w:r w:rsidRPr="007224C3">
        <w:rPr>
          <w:rFonts w:ascii="Times New Roman" w:hAnsi="Times New Roman"/>
          <w:color w:val="000000" w:themeColor="text1"/>
          <w:sz w:val="16"/>
          <w:szCs w:val="16"/>
        </w:rPr>
        <w:softHyphen/>
        <w:t>но более высокие, чем данные самолета Ил-8.</w:t>
      </w:r>
    </w:p>
    <w:p w14:paraId="0518FF2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проведении государственных ис</w:t>
      </w:r>
      <w:r w:rsidRPr="007224C3">
        <w:rPr>
          <w:rFonts w:ascii="Times New Roman" w:hAnsi="Times New Roman"/>
          <w:color w:val="000000" w:themeColor="text1"/>
          <w:sz w:val="16"/>
          <w:szCs w:val="16"/>
        </w:rPr>
        <w:softHyphen/>
        <w:t>пытаний самолета Су-6 произошли за</w:t>
      </w:r>
      <w:r w:rsidRPr="007224C3">
        <w:rPr>
          <w:rFonts w:ascii="Times New Roman" w:hAnsi="Times New Roman"/>
          <w:color w:val="000000" w:themeColor="text1"/>
          <w:sz w:val="16"/>
          <w:szCs w:val="16"/>
        </w:rPr>
        <w:softHyphen/>
        <w:t>держки, вызванные поломкой хвостовой части фюзеляжа при посадке, а также не</w:t>
      </w:r>
      <w:r w:rsidRPr="007224C3">
        <w:rPr>
          <w:rFonts w:ascii="Times New Roman" w:hAnsi="Times New Roman"/>
          <w:color w:val="000000" w:themeColor="text1"/>
          <w:sz w:val="16"/>
          <w:szCs w:val="16"/>
        </w:rPr>
        <w:softHyphen/>
        <w:t>нормальной работой установленного на самолете экземпляра мотора АМ-42, ко</w:t>
      </w:r>
      <w:r w:rsidRPr="007224C3">
        <w:rPr>
          <w:rFonts w:ascii="Times New Roman" w:hAnsi="Times New Roman"/>
          <w:color w:val="000000" w:themeColor="text1"/>
          <w:sz w:val="16"/>
          <w:szCs w:val="16"/>
        </w:rPr>
        <w:softHyphen/>
        <w:t>торый окончательно был снят с испыта</w:t>
      </w:r>
      <w:r w:rsidRPr="007224C3">
        <w:rPr>
          <w:rFonts w:ascii="Times New Roman" w:hAnsi="Times New Roman"/>
          <w:color w:val="000000" w:themeColor="text1"/>
          <w:sz w:val="16"/>
          <w:szCs w:val="16"/>
        </w:rPr>
        <w:softHyphen/>
        <w:t>ний из-за богатой регулировки - регулировать беднее нельзя было из-за опасно</w:t>
      </w:r>
      <w:r w:rsidRPr="007224C3">
        <w:rPr>
          <w:rFonts w:ascii="Times New Roman" w:hAnsi="Times New Roman"/>
          <w:color w:val="000000" w:themeColor="text1"/>
          <w:sz w:val="16"/>
          <w:szCs w:val="16"/>
        </w:rPr>
        <w:softHyphen/>
        <w:t>сти загорания смеси во всасывающих трубах и повышенного в 4-5 раз против нормы расхода масла.</w:t>
      </w:r>
    </w:p>
    <w:p w14:paraId="2B01083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данный момент государственные ис</w:t>
      </w:r>
      <w:r w:rsidRPr="007224C3">
        <w:rPr>
          <w:rFonts w:ascii="Times New Roman" w:hAnsi="Times New Roman"/>
          <w:color w:val="000000" w:themeColor="text1"/>
          <w:sz w:val="16"/>
          <w:szCs w:val="16"/>
        </w:rPr>
        <w:softHyphen/>
        <w:t>пытания приостановлены до получения с завода № 24 нового мотора АМ-42.</w:t>
      </w:r>
    </w:p>
    <w:p w14:paraId="61A4A3F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Несмотря на ненормальную работу мо</w:t>
      </w:r>
      <w:r w:rsidRPr="007224C3">
        <w:rPr>
          <w:rFonts w:ascii="Times New Roman" w:hAnsi="Times New Roman"/>
          <w:color w:val="000000" w:themeColor="text1"/>
          <w:sz w:val="16"/>
          <w:szCs w:val="16"/>
        </w:rPr>
        <w:softHyphen/>
        <w:t>тора, НИИ ВВС удалось снять приведен</w:t>
      </w:r>
      <w:r w:rsidRPr="007224C3">
        <w:rPr>
          <w:rFonts w:ascii="Times New Roman" w:hAnsi="Times New Roman"/>
          <w:color w:val="000000" w:themeColor="text1"/>
          <w:sz w:val="16"/>
          <w:szCs w:val="16"/>
        </w:rPr>
        <w:softHyphen/>
        <w:t>ные ниже скорости и подтвердить поло</w:t>
      </w:r>
      <w:r w:rsidRPr="007224C3">
        <w:rPr>
          <w:rFonts w:ascii="Times New Roman" w:hAnsi="Times New Roman"/>
          <w:color w:val="000000" w:themeColor="text1"/>
          <w:sz w:val="16"/>
          <w:szCs w:val="16"/>
        </w:rPr>
        <w:softHyphen/>
        <w:t>жительное мнение летчиков при прошло</w:t>
      </w:r>
      <w:r w:rsidRPr="007224C3">
        <w:rPr>
          <w:rFonts w:ascii="Times New Roman" w:hAnsi="Times New Roman"/>
          <w:color w:val="000000" w:themeColor="text1"/>
          <w:sz w:val="16"/>
          <w:szCs w:val="16"/>
        </w:rPr>
        <w:softHyphen/>
        <w:t>годних государственных испытаниях об устойчивости, маневренности и усилиях на ручку.</w:t>
      </w:r>
    </w:p>
    <w:p w14:paraId="0432CB8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взлете и посадке машина проста, не отличаясь в этом отношении от самоле</w:t>
      </w:r>
      <w:r w:rsidRPr="007224C3">
        <w:rPr>
          <w:rFonts w:ascii="Times New Roman" w:hAnsi="Times New Roman"/>
          <w:color w:val="000000" w:themeColor="text1"/>
          <w:sz w:val="16"/>
          <w:szCs w:val="16"/>
        </w:rPr>
        <w:softHyphen/>
        <w:t>тов «Ил».</w:t>
      </w:r>
    </w:p>
    <w:p w14:paraId="2BB654C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Таким образом, самолет Су-6, уступая несколько в дальности, имеет при рав</w:t>
      </w:r>
      <w:r w:rsidRPr="007224C3">
        <w:rPr>
          <w:rFonts w:ascii="Times New Roman" w:hAnsi="Times New Roman"/>
          <w:color w:val="000000" w:themeColor="text1"/>
          <w:sz w:val="16"/>
          <w:szCs w:val="16"/>
        </w:rPr>
        <w:softHyphen/>
        <w:t>ном вооружении значительно большую скорость, чем самолет Ил-8.</w:t>
      </w:r>
    </w:p>
    <w:p w14:paraId="0CE0321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связи с задержкой представления акта НИИ ВВС о государственных испы</w:t>
      </w:r>
      <w:r w:rsidRPr="007224C3">
        <w:rPr>
          <w:rFonts w:ascii="Times New Roman" w:hAnsi="Times New Roman"/>
          <w:color w:val="000000" w:themeColor="text1"/>
          <w:sz w:val="16"/>
          <w:szCs w:val="16"/>
        </w:rPr>
        <w:softHyphen/>
        <w:t>таниях самолета Су-6 из-за отсутствия мотора, прошу Вашего указания учесть приведенные данные при решении во</w:t>
      </w:r>
      <w:r w:rsidRPr="007224C3">
        <w:rPr>
          <w:rFonts w:ascii="Times New Roman" w:hAnsi="Times New Roman"/>
          <w:color w:val="000000" w:themeColor="text1"/>
          <w:sz w:val="16"/>
          <w:szCs w:val="16"/>
        </w:rPr>
        <w:softHyphen/>
        <w:t>проса о внедрении в серию нового об</w:t>
      </w:r>
      <w:r w:rsidRPr="007224C3">
        <w:rPr>
          <w:rFonts w:ascii="Times New Roman" w:hAnsi="Times New Roman"/>
          <w:color w:val="000000" w:themeColor="text1"/>
          <w:sz w:val="16"/>
          <w:szCs w:val="16"/>
        </w:rPr>
        <w:softHyphen/>
        <w:t>разца штурмовика взамен Ил-2».</w:t>
      </w:r>
    </w:p>
    <w:p w14:paraId="0FEF3CC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Это письмо рассматривалось Г. М. Ма</w:t>
      </w:r>
      <w:r w:rsidRPr="007224C3">
        <w:rPr>
          <w:rFonts w:ascii="Times New Roman" w:hAnsi="Times New Roman"/>
          <w:color w:val="000000" w:themeColor="text1"/>
          <w:sz w:val="16"/>
          <w:szCs w:val="16"/>
        </w:rPr>
        <w:softHyphen/>
        <w:t>ленковым, но результата не последова</w:t>
      </w:r>
      <w:r w:rsidRPr="007224C3">
        <w:rPr>
          <w:rFonts w:ascii="Times New Roman" w:hAnsi="Times New Roman"/>
          <w:color w:val="000000" w:themeColor="text1"/>
          <w:sz w:val="16"/>
          <w:szCs w:val="16"/>
        </w:rPr>
        <w:softHyphen/>
        <w:t>ло (10718).</w:t>
      </w:r>
    </w:p>
    <w:p w14:paraId="67FA971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3846664" w14:textId="77777777" w:rsidR="00962976" w:rsidRPr="007224C3" w:rsidRDefault="0096297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мая 1944 года Сухой направил Шахурину письмо, в котором просил «при решении вопроса о внедрении в серию нового образца штурмовика взамен Ил-2» учесть предварительные результаты испытаний самолета Су-6 АМ-42. Он отмечал, что «при равном вооружении» Су-6 на заводских испытаниях «показал результаты значительно более высокие, чем данные самолета Ил-8», летчики НИИ ВВС подтвердили положительное заключение «при прошлогодних государственных испытаниях» об устойчивости, управляемости и маневренности самолета, а также о простоте посадки. Задержка представления акта НИИ ВВС о государственных испытаниях Су-6 объяснялась отсутствием мотора.</w:t>
      </w:r>
    </w:p>
    <w:p w14:paraId="5958D3E8" w14:textId="77777777" w:rsidR="00962976" w:rsidRPr="007224C3" w:rsidRDefault="0096297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Известно, что это письмо рассматривалось Г. М. Маленковым, но никаких реальных шагов с его стороны не последовало.</w:t>
      </w:r>
    </w:p>
    <w:p w14:paraId="3FC6535B" w14:textId="77777777" w:rsidR="00962976" w:rsidRPr="007224C3" w:rsidRDefault="0096297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Вскоре последовало решение о принятии на вооружение ВВС КА штурмовика Ил-10 АМ-42, который имел несколько лучшие летные данные, чем Су-6 и Ил-8 (17490).</w:t>
      </w:r>
    </w:p>
    <w:p w14:paraId="3678AF5D" w14:textId="77777777" w:rsidR="00962976" w:rsidRPr="007224C3" w:rsidRDefault="00962976" w:rsidP="007224C3">
      <w:pPr>
        <w:spacing w:after="0" w:line="240" w:lineRule="auto"/>
        <w:jc w:val="both"/>
        <w:rPr>
          <w:rFonts w:ascii="Times New Roman" w:hAnsi="Times New Roman"/>
          <w:color w:val="000000" w:themeColor="text1"/>
          <w:sz w:val="16"/>
          <w:szCs w:val="16"/>
        </w:rPr>
      </w:pPr>
    </w:p>
    <w:p w14:paraId="4EEC4C70" w14:textId="77777777" w:rsidR="00962976" w:rsidRPr="007224C3" w:rsidRDefault="00962976"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19 мая 1944 г., пытаясь отстоять свой штурмовик, П. О. Сухой, направил письмо в адрес А. И. Шахурина, в котором просил учесть предварительные результаты испытаний самолета Су-6 АМ-42 «при решении вопроса о внедрении в серию нового об</w:t>
      </w:r>
      <w:r w:rsidRPr="007224C3">
        <w:rPr>
          <w:color w:val="000000" w:themeColor="text1"/>
          <w:sz w:val="16"/>
          <w:szCs w:val="16"/>
        </w:rPr>
        <w:softHyphen/>
        <w:t>разца штурмовика взамен Ил-2». Он отмечал, что «при равном вооружении» самолет Су-6 АМ-42 на заводских испытаниях «показал результаты значи</w:t>
      </w:r>
      <w:r w:rsidRPr="007224C3">
        <w:rPr>
          <w:color w:val="000000" w:themeColor="text1"/>
          <w:sz w:val="16"/>
          <w:szCs w:val="16"/>
        </w:rPr>
        <w:softHyphen/>
        <w:t>тельно более высокие, чем данные самолета Ил-8», летчики НИИ ВВС подтвердили положительное за</w:t>
      </w:r>
      <w:r w:rsidRPr="007224C3">
        <w:rPr>
          <w:color w:val="000000" w:themeColor="text1"/>
          <w:sz w:val="16"/>
          <w:szCs w:val="16"/>
        </w:rPr>
        <w:softHyphen/>
        <w:t>ключение «при прошлогодних государственных испытаниях» об устойчивости, управляемости и ма</w:t>
      </w:r>
      <w:r w:rsidRPr="007224C3">
        <w:rPr>
          <w:color w:val="000000" w:themeColor="text1"/>
          <w:sz w:val="16"/>
          <w:szCs w:val="16"/>
        </w:rPr>
        <w:softHyphen/>
        <w:t>невренности самолета, а также о простоте посадки. Задержка представления акта НИИ ВВС о государ</w:t>
      </w:r>
      <w:r w:rsidRPr="007224C3">
        <w:rPr>
          <w:color w:val="000000" w:themeColor="text1"/>
          <w:sz w:val="16"/>
          <w:szCs w:val="16"/>
        </w:rPr>
        <w:softHyphen/>
        <w:t>ственных испытаниях Су-6 объяснялась отсутствием мотора.</w:t>
      </w:r>
    </w:p>
    <w:p w14:paraId="5A3D53BB" w14:textId="77777777" w:rsidR="00962976" w:rsidRPr="007224C3" w:rsidRDefault="00962976"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Известно, что это письмо рассматривалось Г. М. Маленковым, но никаких реальных шагов с его стороны не последовало.</w:t>
      </w:r>
    </w:p>
    <w:p w14:paraId="7DC20E1D" w14:textId="77777777" w:rsidR="00962976" w:rsidRPr="007224C3" w:rsidRDefault="00962976"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Вскоре последовало компромиссное решение о принятии на вооружение ВВС КА штурмовика Ил-10 АМ-42, который имел несколько лучшие лет</w:t>
      </w:r>
      <w:r w:rsidRPr="007224C3">
        <w:rPr>
          <w:color w:val="000000" w:themeColor="text1"/>
          <w:sz w:val="16"/>
          <w:szCs w:val="16"/>
        </w:rPr>
        <w:softHyphen/>
        <w:t>ные данные, чем Су-6 и Ил-8. К тому же формально Су-6 к этому времени еще не завершил в полном объеме программу государственных испытаний.</w:t>
      </w:r>
    </w:p>
    <w:p w14:paraId="18A45EEE" w14:textId="77777777" w:rsidR="00962976" w:rsidRPr="007224C3" w:rsidRDefault="00962976"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Отметим, что за создание двухместного штур</w:t>
      </w:r>
      <w:r w:rsidRPr="007224C3">
        <w:rPr>
          <w:color w:val="000000" w:themeColor="text1"/>
          <w:sz w:val="16"/>
          <w:szCs w:val="16"/>
        </w:rPr>
        <w:softHyphen/>
        <w:t>мовика Су-6 М-71ф главный конструктор самолета П. О. Сухой в 1943 г. был удостоен Государственной премии 1-й степени, которую он передал в Фонд обороны (17500).</w:t>
      </w:r>
    </w:p>
    <w:p w14:paraId="74DA959E" w14:textId="77777777" w:rsidR="00962976" w:rsidRPr="007224C3" w:rsidRDefault="00962976" w:rsidP="007224C3">
      <w:pPr>
        <w:spacing w:after="0" w:line="240" w:lineRule="auto"/>
        <w:jc w:val="both"/>
        <w:rPr>
          <w:rFonts w:ascii="Times New Roman" w:hAnsi="Times New Roman"/>
          <w:color w:val="000000" w:themeColor="text1"/>
          <w:sz w:val="16"/>
          <w:szCs w:val="16"/>
        </w:rPr>
      </w:pPr>
    </w:p>
    <w:p w14:paraId="00AAC15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мая 1944 года Шахурин писал письмо N Н-30/2509 начальнику НИСО Петрову и начальнику ВИАМ Туманову.</w:t>
      </w:r>
    </w:p>
    <w:p w14:paraId="31C7F2A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обеспечения выпуска самолетов Пе-8 в пассажирском варианте с антиобледенительными устройствами на крыльях и оперении, разработайте чертежи и техусловия на антиобледенители типа Гудрич и не позднее 25 мая передайте наркомату резиновой промышленности (1821).</w:t>
      </w:r>
    </w:p>
    <w:p w14:paraId="5EB4FEE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A3000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мая 1944 Ю.А.Антипов садился аварийно на МиГ-3 Д с АМ-39 на Чкаловском (817) 12 мая 1944 продолжились гос. испытания Миг-3У (2д или И-231) с АМ-39А и удлиненными консолями, начатые в конце февраля 1944 и прерванные аварией П.М.Стефановского 8 марта 1944. 19 мая при даче форсированного режима из строя вышел мотор. Получение мотора затянулось и испытания не закончили, а работы свернули (5046,34).</w:t>
      </w:r>
    </w:p>
    <w:p w14:paraId="6843E4B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A9AC0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мая 1944 года в полете на определение максимальных горизонтальных скоростей на форсированном режиме работы мотора, мотор вышел из строя (1821).</w:t>
      </w:r>
    </w:p>
    <w:p w14:paraId="7B394BD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1EE23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мая 1944 согласно журнала наблюдения за проектированием, постройкой и испытаниями МиГ-3 за 20 мая 1944 с-т Д2 в полете при даче форсажного режима мотор вышел из строя (992,13)..</w:t>
      </w:r>
    </w:p>
    <w:p w14:paraId="1BD8A4C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1374A5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состоянию на 19 мая 1944 г. полк Нормандия имел в четырех эскадрильях (“Руан”, “Гавр”, “Шербур” и “Кан”) 55 ис</w:t>
      </w:r>
      <w:r w:rsidRPr="007224C3">
        <w:rPr>
          <w:rFonts w:ascii="Times New Roman" w:hAnsi="Times New Roman"/>
          <w:color w:val="000000" w:themeColor="text1"/>
          <w:sz w:val="16"/>
          <w:szCs w:val="16"/>
        </w:rPr>
        <w:softHyphen/>
        <w:t>требителей Як-9, 61 летчика-француза и 249 советских авиационных специа</w:t>
      </w:r>
      <w:r w:rsidRPr="007224C3">
        <w:rPr>
          <w:rFonts w:ascii="Times New Roman" w:hAnsi="Times New Roman"/>
          <w:color w:val="000000" w:themeColor="text1"/>
          <w:sz w:val="16"/>
          <w:szCs w:val="16"/>
        </w:rPr>
        <w:softHyphen/>
        <w:t>листов. Большая часть пилотов полно</w:t>
      </w:r>
      <w:r w:rsidRPr="007224C3">
        <w:rPr>
          <w:rFonts w:ascii="Times New Roman" w:hAnsi="Times New Roman"/>
          <w:color w:val="000000" w:themeColor="text1"/>
          <w:sz w:val="16"/>
          <w:szCs w:val="16"/>
        </w:rPr>
        <w:softHyphen/>
        <w:t>стью прошла курс переучивания, сдала зачеты и считалась боеготовой (3956).</w:t>
      </w:r>
    </w:p>
    <w:p w14:paraId="212C3E8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67A719"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58822CB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4F96E8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мая 1944 г. нарком танковой промышленности и командующий БТ и МВ РККА в совместном приказе обязали И.М. Зальцмана, С.Н. Махонина и Ж.Я. Котина обеспечить внедрение в конструкцию танка ИС необходимых улучшений для устранения недостатков в соответст</w:t>
      </w:r>
      <w:r w:rsidRPr="007224C3">
        <w:rPr>
          <w:rFonts w:ascii="Times New Roman" w:hAnsi="Times New Roman"/>
          <w:color w:val="000000" w:themeColor="text1"/>
          <w:sz w:val="16"/>
          <w:szCs w:val="16"/>
        </w:rPr>
        <w:softHyphen/>
        <w:t>вии с планом и провести работы по модернизации танка ИС. ЧКЗ не</w:t>
      </w:r>
      <w:r w:rsidRPr="007224C3">
        <w:rPr>
          <w:rFonts w:ascii="Times New Roman" w:hAnsi="Times New Roman"/>
          <w:color w:val="000000" w:themeColor="text1"/>
          <w:sz w:val="16"/>
          <w:szCs w:val="16"/>
        </w:rPr>
        <w:softHyphen/>
        <w:t>обходимо было построить к 25 июня два опытных образца модернизи</w:t>
      </w:r>
      <w:r w:rsidRPr="007224C3">
        <w:rPr>
          <w:rFonts w:ascii="Times New Roman" w:hAnsi="Times New Roman"/>
          <w:color w:val="000000" w:themeColor="text1"/>
          <w:sz w:val="16"/>
          <w:szCs w:val="16"/>
        </w:rPr>
        <w:softHyphen/>
        <w:t>рованного танка ИС-2 с внесением в агрегаты машины всех предусмо</w:t>
      </w:r>
      <w:r w:rsidRPr="007224C3">
        <w:rPr>
          <w:rFonts w:ascii="Times New Roman" w:hAnsi="Times New Roman"/>
          <w:color w:val="000000" w:themeColor="text1"/>
          <w:sz w:val="16"/>
          <w:szCs w:val="16"/>
        </w:rPr>
        <w:softHyphen/>
        <w:t>тренных изменений. В целях быстрейшего внедрения в производство модернизированного танка ИС-2 предусматривалось провести одно</w:t>
      </w:r>
      <w:r w:rsidRPr="007224C3">
        <w:rPr>
          <w:rFonts w:ascii="Times New Roman" w:hAnsi="Times New Roman"/>
          <w:color w:val="000000" w:themeColor="text1"/>
          <w:sz w:val="16"/>
          <w:szCs w:val="16"/>
        </w:rPr>
        <w:softHyphen/>
        <w:t>временно с изготовлением опытных образцов и подготовку серийного производства. Сборка модернизированного танка ИС-2 осуществлялась на Киров</w:t>
      </w:r>
      <w:r w:rsidRPr="007224C3">
        <w:rPr>
          <w:rFonts w:ascii="Times New Roman" w:hAnsi="Times New Roman"/>
          <w:color w:val="000000" w:themeColor="text1"/>
          <w:sz w:val="16"/>
          <w:szCs w:val="16"/>
        </w:rPr>
        <w:softHyphen/>
        <w:t>ском заводе очень медленно. Сроки, указанные в совместном приказе НКТП и ГБТУ, не были выполнены, так как руководство Кировского завода не было заинтересовано в модернизации танка ИС-2 в связи с тем, что все внимание руководства завода было сосредоточено на созда</w:t>
      </w:r>
      <w:r w:rsidRPr="007224C3">
        <w:rPr>
          <w:rFonts w:ascii="Times New Roman" w:hAnsi="Times New Roman"/>
          <w:color w:val="000000" w:themeColor="text1"/>
          <w:sz w:val="16"/>
          <w:szCs w:val="16"/>
        </w:rPr>
        <w:softHyphen/>
        <w:t>нии опытного образца нового тяжелого танка. Коллектив ЧКЗ пытался в кратчайшие сроки создать тяжелый танк собственной разработки, по</w:t>
      </w:r>
      <w:r w:rsidRPr="007224C3">
        <w:rPr>
          <w:rFonts w:ascii="Times New Roman" w:hAnsi="Times New Roman"/>
          <w:color w:val="000000" w:themeColor="text1"/>
          <w:sz w:val="16"/>
          <w:szCs w:val="16"/>
        </w:rPr>
        <w:softHyphen/>
        <w:t>лучившего обозначение "Объект 701", а не улучшать характеристики и конструкцию танка ИС-2, созданного коллективом конструкторов Опытного завода № 100. Вот почему с мая по август 1944 г. все конст</w:t>
      </w:r>
      <w:r w:rsidRPr="007224C3">
        <w:rPr>
          <w:rFonts w:ascii="Times New Roman" w:hAnsi="Times New Roman"/>
          <w:color w:val="000000" w:themeColor="text1"/>
          <w:sz w:val="16"/>
          <w:szCs w:val="16"/>
        </w:rPr>
        <w:softHyphen/>
        <w:t>рукторы и рабочие опытного цеха, созданного на ЧКЗ весной 1944 г., были вовлечены в процесс проектирования, изготовления, испытания и доводки первых трех опытных танков "Объект 701" (10703).</w:t>
      </w:r>
    </w:p>
    <w:p w14:paraId="4010E31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E3D05A" w14:textId="77777777" w:rsidR="00F9272A" w:rsidRPr="007224C3" w:rsidRDefault="00F9272A"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19 мая 1944 года были сформированы окончательно требования к глубокой модернизации ИС-2. Список улучшений включал 20 пунктов. Некоторые из них имели прямое отношение к Объекту 701. От этой машины брались установка радиатора, привод к радиатору, поворотный механизм башни и погонное устройство. Спрямлённый нос корпуса толщиной 90 мм катаной брони либо 100 мм литой брони изготовлялся по типу носа Объекта 701. По его же подобию проектировалась башня: от новой машины бралась командирская башенка и система выемки орудия через специальный люк в крыше. Выхлопные трубы предполагалось перенести на верхний кормовой лист по типу Т-34. Такое решение полностью исключало риск попадания выхлопных газов в воздухозаборники (17756).</w:t>
      </w:r>
    </w:p>
    <w:p w14:paraId="58BCE9FB" w14:textId="77777777" w:rsidR="00F9272A" w:rsidRPr="007224C3" w:rsidRDefault="00F9272A" w:rsidP="007224C3">
      <w:pPr>
        <w:spacing w:after="0" w:line="240" w:lineRule="auto"/>
        <w:jc w:val="both"/>
        <w:rPr>
          <w:rFonts w:ascii="Times New Roman" w:hAnsi="Times New Roman"/>
          <w:color w:val="000000" w:themeColor="text1"/>
          <w:sz w:val="16"/>
          <w:szCs w:val="16"/>
        </w:rPr>
      </w:pPr>
    </w:p>
    <w:p w14:paraId="6269217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мая 1944 г. вышел совместный приказ командую</w:t>
      </w:r>
      <w:r w:rsidRPr="007224C3">
        <w:rPr>
          <w:rFonts w:ascii="Times New Roman" w:hAnsi="Times New Roman"/>
          <w:color w:val="000000" w:themeColor="text1"/>
          <w:sz w:val="16"/>
          <w:szCs w:val="16"/>
        </w:rPr>
        <w:softHyphen/>
        <w:t>щего БТ и МВ РККА и НКТП СССР, согласно которому наряду с изготовлением и испытаниями первого вари</w:t>
      </w:r>
      <w:r w:rsidRPr="007224C3">
        <w:rPr>
          <w:rFonts w:ascii="Times New Roman" w:hAnsi="Times New Roman"/>
          <w:color w:val="000000" w:themeColor="text1"/>
          <w:sz w:val="16"/>
          <w:szCs w:val="16"/>
        </w:rPr>
        <w:softHyphen/>
        <w:t>анта модернизированного танка ИС-122 Челябинский Кировский завод, из</w:t>
      </w:r>
      <w:r w:rsidRPr="007224C3">
        <w:rPr>
          <w:rFonts w:ascii="Times New Roman" w:hAnsi="Times New Roman"/>
          <w:color w:val="000000" w:themeColor="text1"/>
          <w:sz w:val="16"/>
          <w:szCs w:val="16"/>
        </w:rPr>
        <w:softHyphen/>
        <w:t>готовил второй образец модернизированного танка ИС «Образец А», или «Кировец-1». Этот танк при боевой мас</w:t>
      </w:r>
      <w:r w:rsidRPr="007224C3">
        <w:rPr>
          <w:rFonts w:ascii="Times New Roman" w:hAnsi="Times New Roman"/>
          <w:color w:val="000000" w:themeColor="text1"/>
          <w:sz w:val="16"/>
          <w:szCs w:val="16"/>
        </w:rPr>
        <w:softHyphen/>
        <w:t>се 47,5 т мог передвигаться со средней скоростью до 30 км/ч по гравийному шоссе и твердой проселочной доро</w:t>
      </w:r>
      <w:r w:rsidRPr="007224C3">
        <w:rPr>
          <w:rFonts w:ascii="Times New Roman" w:hAnsi="Times New Roman"/>
          <w:color w:val="000000" w:themeColor="text1"/>
          <w:sz w:val="16"/>
          <w:szCs w:val="16"/>
        </w:rPr>
        <w:softHyphen/>
        <w:t>ге. До 24 ноября «Кировец-1» прошел заводские испытания и, в частности, гарантированный пробег в 1000 км с оцен</w:t>
      </w:r>
      <w:r w:rsidRPr="007224C3">
        <w:rPr>
          <w:rFonts w:ascii="Times New Roman" w:hAnsi="Times New Roman"/>
          <w:color w:val="000000" w:themeColor="text1"/>
          <w:sz w:val="16"/>
          <w:szCs w:val="16"/>
        </w:rPr>
        <w:softHyphen/>
        <w:t>кой «удовлетворительно» (11135).</w:t>
      </w:r>
    </w:p>
    <w:p w14:paraId="7636BA6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9A2D9B"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мая 1944 вышло Постановление ГКО № 5931 О работе Оперативного бюро ГОКО. (7234, 1-2).</w:t>
      </w:r>
    </w:p>
    <w:p w14:paraId="31D456A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 РАБОТЕ ОПЕРАТИВНОГО БЮРО ГКО</w:t>
      </w:r>
    </w:p>
    <w:p w14:paraId="3A0DC34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Москва, Кремль</w:t>
      </w:r>
    </w:p>
    <w:p w14:paraId="3D09368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Государственный Комитет Обороны ПОСТАНОВЛЯЕТ:</w:t>
      </w:r>
    </w:p>
    <w:p w14:paraId="257D108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Отнести к ведению Оперативного бюро ГОКО: а) контроль и наблюдение за работой всех наркоматов оборонной промышленности (Наркомавиапром, Наркомтанкопром, Наркомбоеприпасов, Наркомвооружения, Наркомминвооружения, Наркомсудпром), железнодорожного и водного транспорта (НКПС, Наркомречфлот, Наркомморфлот и ГУСМП), черной и цветной металлургии, угольной, нефтяной, химической, резиновой, бумажно-целлюлозной, электротехнической промышленности и Наркомата электростанций;</w:t>
      </w:r>
    </w:p>
    <w:p w14:paraId="49EF520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рассмотрение и внесение на утверждение Председателя Государственного Комитета Обороны проектов решений по отдельным вопросам, квартальных и месячных планов производства указанных выше наркоматов и квартальных планов снабжения народного хозяйства металлом, углем, нефтепродуктами, электроэнергией, а также осуществление контроля за исполнением этих планов и планов снабжения перечисленных наркоматов всеми материально-техническими средствами;</w:t>
      </w:r>
    </w:p>
    <w:p w14:paraId="7D2A814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решение текущих вопросов, касающихся наркоматов, перечисленных в п. «а», и выпуск постановлений и распоряжений по этим вопросам.</w:t>
      </w:r>
    </w:p>
    <w:p w14:paraId="62AD629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Транспортный комитет при Государственном Комитете Обороны упразднить с возложением на Оперативное бюро Государственного Комитета Обороны рассмотрения планов перевозок на железнодорожном, морском и речном транспорте.</w:t>
      </w:r>
    </w:p>
    <w:p w14:paraId="30AD36A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Председатель Государственного Комитета Обороны</w:t>
      </w:r>
    </w:p>
    <w:p w14:paraId="00170DD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 СТАЛИН</w:t>
      </w:r>
    </w:p>
    <w:p w14:paraId="0F7AFB8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РГАСПИ. Ф. 644. Оп. 1. Д. 255. Лл. 1-2 (12013).</w:t>
      </w:r>
    </w:p>
    <w:p w14:paraId="7C0F23C8"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BDCA5A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мая 1944 вышло Постановление ГКО № 5932 Об обеспечении сельского хозяйства Украинской ССР тракторами, оборудованием и инструментом. РГАНИР, Фонд ГКО, д. 255, лл. 3-4,5 (11012).</w:t>
      </w:r>
    </w:p>
    <w:p w14:paraId="0ACD264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B426DC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мая 1944 вышло Распоряжение ГКО № 5933. Об обеспечении строительными материалами важнейших строек черной и цветной металлургии, НКТП, НКБ, НКВ, НКТМ, НКСМ и заводских электростанций. РГАНИР, Фонд ГКО, д. 255, лл. 6,7-9 (11012).</w:t>
      </w:r>
    </w:p>
    <w:p w14:paraId="3E7B1C8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403275D"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5809E1F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E2EB001" w14:textId="77777777" w:rsidR="005F2ECF" w:rsidRPr="007224C3" w:rsidRDefault="005F2ECF"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19 мая</w:t>
      </w:r>
      <w:r w:rsidRPr="007224C3">
        <w:rPr>
          <w:rFonts w:ascii="Times New Roman" w:hAnsi="Times New Roman"/>
          <w:color w:val="000000" w:themeColor="text1"/>
          <w:sz w:val="16"/>
          <w:szCs w:val="16"/>
        </w:rPr>
        <w:t xml:space="preserve"> в 1944 году оперативная сводка Совинформбюро:</w:t>
      </w:r>
    </w:p>
    <w:p w14:paraId="3022BFBA" w14:textId="77777777" w:rsidR="005F2ECF" w:rsidRPr="007224C3" w:rsidRDefault="005F2EC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19 мая на фронтах существенных изменений не произошло. За 18 мая наши войска подбили и уничтожили 14 немецких танков. В воздушных боях и огнём зенитной артиллерии сбито 43 самолёта противника.</w:t>
      </w:r>
    </w:p>
    <w:p w14:paraId="4022003D" w14:textId="77777777" w:rsidR="005F2ECF" w:rsidRPr="007224C3" w:rsidRDefault="005F2EC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Юго-восточнее города Станислав пехота противника рано утром атаковала наши позиции. Завязался ожесточённый бой, длившийся в течение всего дня. Немцы любой ценой пытались захватить выгодный рубеж, но встретили решительный отпор. К исходу дня советские бойцы отбили все атаки противника. В ходе боя уничтожено до 300 немецких солдат и офицеров, подбито и сожжено 7 танков. На другом участке наш разведывательный отряд проник в расположение противника и истребил группу гитлеровцев. Разведчики захватили в плен немецкого офицера, двух солдат и благополучно вернулись в свою часть.</w:t>
      </w:r>
    </w:p>
    <w:p w14:paraId="736FEA71" w14:textId="77777777" w:rsidR="005F2ECF" w:rsidRPr="007224C3" w:rsidRDefault="005F2EC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Северо-западнее города Тирасполь Н-ская гвардейская часть отразила несколько атак противника. Вначале немцам удалось вклиниться в наши позиции. Однако гвардейцы быстро предприняли умелый обходный манёвр и поставили врага в критическое положение. Немцы отступили, оставив на поле боя до 500 убитых и раненых солдат и офицеров. Подбито и уничтожено 6 немецких танков и одно самоходное орудие.</w:t>
      </w:r>
    </w:p>
    <w:p w14:paraId="2781D96D" w14:textId="77777777" w:rsidR="005F2ECF" w:rsidRPr="007224C3" w:rsidRDefault="005F2EC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Юго-восточнее Витебска подразделения Н-ской части атаковали передний край обороны противника. В результате двухчасового боя наши бойцы овладели укреплённой высотой. Захвачены пленные и трофеи.</w:t>
      </w:r>
    </w:p>
    <w:p w14:paraId="3B7F057C" w14:textId="77777777" w:rsidR="005F2ECF" w:rsidRPr="007224C3" w:rsidRDefault="005F2EC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частях Н-ского соединения успешно действует группа девушек, окончивших школу снайперов. За время с 5 апреля по 14 мая они истребили более 300 немцев. Ефрейтор Р.Шанина уничтожила 15 гитлеровцев, ефрейтор Е.Красноборова — 14, ефрейторы Л.Танойлова и В.Смирнова истребили по 12 немцев каждая.</w:t>
      </w:r>
    </w:p>
    <w:p w14:paraId="13024C8D" w14:textId="77777777" w:rsidR="005F2ECF" w:rsidRPr="007224C3" w:rsidRDefault="005F2EC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Авиация Краснознамённого Балтийского флота сегодня произвела налёт на финский порт Котка. В результате бомбардировки в порту возникли пожары. Повреждён пирс и другие портовые сооружения. Одна бомба разорвалась около стоявшего у причала транспорта. Транспорт загорелся.</w:t>
      </w:r>
    </w:p>
    <w:p w14:paraId="5A3F8348" w14:textId="77777777" w:rsidR="005F2ECF" w:rsidRPr="007224C3" w:rsidRDefault="005F2EC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 наши самолёты вернулись на свои аэродромы.</w:t>
      </w:r>
    </w:p>
    <w:p w14:paraId="519C34A0" w14:textId="77777777" w:rsidR="005F2ECF" w:rsidRPr="007224C3" w:rsidRDefault="005F2EC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Советские лётчики нанесли удар по судам противника у побережья Северной Норвегии. В результате прямых попаданий бомб потоплены сторожевой корабль и сторожевой катер. В воздушных боях сбито 7 немецких самолётов.</w:t>
      </w:r>
    </w:p>
    <w:p w14:paraId="709BC54C" w14:textId="77777777" w:rsidR="005F2ECF" w:rsidRPr="007224C3" w:rsidRDefault="005F2EC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Партизанский отряд, действующий в западных областях Украины, за два месяца пустил под откос десятки немецких воинских эшелонов, следовавших к линии фронта. Разбиты 28 паровозов и более 400 вагонов и платформ с войсками и техникой противника. В одном селе гитлеровцы устроили облаву. Немцы задержали многих </w:t>
      </w:r>
      <w:r w:rsidRPr="007224C3">
        <w:rPr>
          <w:rFonts w:ascii="Times New Roman" w:hAnsi="Times New Roman"/>
          <w:color w:val="000000" w:themeColor="text1"/>
          <w:sz w:val="16"/>
          <w:szCs w:val="16"/>
        </w:rPr>
        <w:lastRenderedPageBreak/>
        <w:t>мужчин и женщин и намеревались угнать их на каторгу в Германию. Партизаны узнали об этом и пришли на помощь мирному населению. Они стремительно ворвались в село и разгромили немецкий отряд. Убито 30 гитлеровцев. Остальные немцы убежали, побросав оружие.</w:t>
      </w:r>
    </w:p>
    <w:p w14:paraId="22ECF962" w14:textId="77777777" w:rsidR="005F2ECF" w:rsidRPr="007224C3" w:rsidRDefault="005F2EC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одном участке 1-го Украинского фронта на сторону Красной Армии перешли 22 солдата 25 полка 25 венгерской пехотной дивизии. В другом районе на нашу сторону перешли 19 солдат 57 венгерского пехотного полка. Перебежчики принесли и сдали винтовки и 6 ручных пулемётов. Капрал X. заявил: «Еще будучи в Венгрии, мы сговорились не воевать на стороне немцев. При первом удобном случае решили сдаться в плен. Воспользовавшись тем, что нас послали в боевое охранение, мы перешли к русским». В тот же день пять солдат и два капрала 27 венгерского полка обратились к крестьянину прифронтовой деревни с просьбой помочь им перейти насторону Красной Армии. Крестьянин привел перебежчиков в расположение наших войск.</w:t>
      </w:r>
    </w:p>
    <w:p w14:paraId="7827F958" w14:textId="77777777" w:rsidR="005F2ECF" w:rsidRPr="007224C3" w:rsidRDefault="005F2EC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Несколько жителей города Даугавпилс (Двинск) Латвийской ССР бежали из немецкой тюрьмы. Советские граждане благополучно перебрались через линию фронта. Бежавшие из фашистского застенка рассказали: «Захватив город Даугавпилс, немцы разграбили магазины и квартиры. Сразу же начались массовые аресты и расстрелы мирных жителей. Гитлеровцы хватали и убивали сотни и тысячи граждан, причастных к каким-либо советским общественным организациям. Людей расстреливали за то, что они состояли членами профсоюзов, МОПР'а или посещали клубы. Расстрелы происходили за тюрьмой, в железнодорожном парке, в дачных местностях Погулянки и Стропы. Только за первые шесть месяцев немецко-фашистские убийцы расстреляли и замучили более десяти тысяч жителей города. Многие советские граждане былиброшены в тюрьму. Все камеры в старом четырёхэтажном корпусе городской тюрьмыбыли битком набиты. Зимой тюрьма не отапливалась. Заключённые мёрзли, умирали от холода и голода, от побоев и пыток. На допросах гестаповцы замучили сотни заключённых, в том числе многих врачей, учителей и других представителей интеллигенции. Особенно зверствовали фашистские палачи Крист, Циртис, Штакан и начальник тюрьмы Лаздан» (14896).</w:t>
      </w:r>
    </w:p>
    <w:p w14:paraId="30958F85" w14:textId="77777777" w:rsidR="005F2ECF" w:rsidRPr="007224C3" w:rsidRDefault="005F2ECF" w:rsidP="007224C3">
      <w:pPr>
        <w:spacing w:after="0" w:line="240" w:lineRule="auto"/>
        <w:jc w:val="both"/>
        <w:rPr>
          <w:rFonts w:ascii="Times New Roman" w:hAnsi="Times New Roman"/>
          <w:color w:val="000000" w:themeColor="text1"/>
          <w:sz w:val="16"/>
          <w:szCs w:val="16"/>
        </w:rPr>
      </w:pPr>
    </w:p>
    <w:p w14:paraId="74AFA02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мая 1944 на БФ две группы топмачтовиков по 6 Ил-2 при поддержке 10 и 12 Ил-2 для подавления зенитной артиллерии и 48 и прикрытия + 20 Ла-5, блокировавших аэродромы, за 6 минут потопили 6 плавединиц. За две недели мая топмачтовики, выполнив 33 с/вылета, потопили 13 плавединиц на южном побережье Финского залива (4414,12).</w:t>
      </w:r>
    </w:p>
    <w:p w14:paraId="10A0EDC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CE1ECB" w14:textId="77777777" w:rsidR="00444AC2" w:rsidRPr="007224C3" w:rsidRDefault="00444AC2" w:rsidP="007224C3">
      <w:pPr>
        <w:pStyle w:val="ae"/>
        <w:spacing w:before="0" w:after="0"/>
        <w:jc w:val="both"/>
        <w:textAlignment w:val="baseline"/>
        <w:rPr>
          <w:color w:val="000000" w:themeColor="text1"/>
          <w:sz w:val="16"/>
          <w:szCs w:val="16"/>
        </w:rPr>
      </w:pPr>
      <w:r w:rsidRPr="007224C3">
        <w:rPr>
          <w:color w:val="000000" w:themeColor="text1"/>
          <w:sz w:val="16"/>
          <w:szCs w:val="16"/>
        </w:rPr>
        <w:t>Ранним утром 19 мая 1944 16 Ил-2 из 35-го шап атаковали дозорные корабли, обнаруженные авиаразведкой у эстонского побережья в районе поселка Азери, приблизительно в двадцати километрах к юго-востоку от маяка Кунда. На этот раз немецкие зенитчики подбили штурмовик лейтенанта Анатолия Стратилова. Горящий штурмовик снизился до высоты два-три метра и врезался точно в борт тральщика, который после этого взорвался и вскоре затонул.</w:t>
      </w:r>
    </w:p>
    <w:p w14:paraId="66801A20" w14:textId="77777777" w:rsidR="00444AC2" w:rsidRPr="007224C3" w:rsidRDefault="00444AC2" w:rsidP="007224C3">
      <w:pPr>
        <w:pStyle w:val="ae"/>
        <w:spacing w:before="0" w:after="0"/>
        <w:jc w:val="both"/>
        <w:textAlignment w:val="baseline"/>
        <w:rPr>
          <w:color w:val="000000" w:themeColor="text1"/>
          <w:sz w:val="16"/>
          <w:szCs w:val="16"/>
        </w:rPr>
      </w:pPr>
      <w:r w:rsidRPr="007224C3">
        <w:rPr>
          <w:color w:val="000000" w:themeColor="text1"/>
          <w:sz w:val="16"/>
          <w:szCs w:val="16"/>
        </w:rPr>
        <w:t>Однако по неизвестным причинам летчик не был представлен к званию Героя, как в предыдущем эпизоде. При этом, по иронии судьбы, это оказался первый из немногочисленных случаев, когда данные противоположной стороны подтверждают рапорты советских пилотов. В то утро в районе Азери в результате воздушного удара кригсмарине действительно потеряли тральщик М-3121 (19522).</w:t>
      </w:r>
    </w:p>
    <w:p w14:paraId="5B77294C" w14:textId="77777777" w:rsidR="00444AC2" w:rsidRPr="007224C3" w:rsidRDefault="00444AC2" w:rsidP="007224C3">
      <w:pPr>
        <w:pStyle w:val="ae"/>
        <w:spacing w:before="0" w:after="0"/>
        <w:jc w:val="both"/>
        <w:textAlignment w:val="baseline"/>
        <w:rPr>
          <w:color w:val="000000" w:themeColor="text1"/>
          <w:sz w:val="16"/>
          <w:szCs w:val="16"/>
        </w:rPr>
      </w:pPr>
    </w:p>
    <w:p w14:paraId="0578232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мая 1944 г. был “огненный таран” на Балтике. Это первый случай, когда можно достоверно утверждать, что в ходе его был действительно потоплен вражеский корабль. В тот день 16 Ил-2 из состава 35-го ШАП нанесли удар по корабельному дозору противника в районе Асери. Штурмовик лейтенанта А.И.Стратилатова и стрелка-радиста младшего сержанта С.Ф. Самойлова был подбит и на бреющем полете на высоте 2-3 метров врезался в борт тральщика. По данным немецких документов и справочников, 19 мая 1944 г. в 04.15 в ходе налета авиации противника тральщик М-3121 был потоплен в районе с координатами 59°28' сш. 27°ОГ вд. Обычно немецкие источники достаточно подробно освещают обстоятельства потопления или повреждения своих кораблей. Однако в данном случае о причинах гибели скупо указано “взорвался в ходе атаки авиации противника” (8942).</w:t>
      </w:r>
    </w:p>
    <w:p w14:paraId="6CE8464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DD392F" w14:textId="77777777" w:rsidR="005F2ECF" w:rsidRPr="007224C3" w:rsidRDefault="005F2ECF"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19 мая</w:t>
      </w:r>
      <w:r w:rsidRPr="007224C3">
        <w:rPr>
          <w:rFonts w:ascii="Times New Roman" w:hAnsi="Times New Roman"/>
          <w:color w:val="000000" w:themeColor="text1"/>
          <w:sz w:val="16"/>
          <w:szCs w:val="16"/>
        </w:rPr>
        <w:t xml:space="preserve"> в 1944 году на территории СССР формируется 3-я чехословацкая пехотная бригада (14896).</w:t>
      </w:r>
    </w:p>
    <w:p w14:paraId="32E791D2" w14:textId="77777777" w:rsidR="005F2ECF" w:rsidRPr="007224C3" w:rsidRDefault="005F2ECF" w:rsidP="007224C3">
      <w:pPr>
        <w:spacing w:after="0" w:line="240" w:lineRule="auto"/>
        <w:jc w:val="both"/>
        <w:rPr>
          <w:rFonts w:ascii="Times New Roman" w:hAnsi="Times New Roman"/>
          <w:color w:val="000000" w:themeColor="text1"/>
          <w:sz w:val="16"/>
          <w:szCs w:val="16"/>
        </w:rPr>
      </w:pPr>
    </w:p>
    <w:p w14:paraId="78D205A5"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Жизнь и внутренняя политика:</w:t>
      </w:r>
    </w:p>
    <w:p w14:paraId="2C2F7B6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49E3759"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мая 1944 Совнарком СССР учредил Совет по делам религиозных культов (4962).</w:t>
      </w:r>
    </w:p>
    <w:p w14:paraId="34BE20C2"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CFB7AA1" w14:textId="77777777" w:rsidR="005F2ECF" w:rsidRPr="007224C3" w:rsidRDefault="005F2ECF"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19 мая</w:t>
      </w:r>
      <w:r w:rsidRPr="007224C3">
        <w:rPr>
          <w:rFonts w:ascii="Times New Roman" w:hAnsi="Times New Roman"/>
          <w:color w:val="000000" w:themeColor="text1"/>
          <w:sz w:val="16"/>
          <w:szCs w:val="16"/>
        </w:rPr>
        <w:t xml:space="preserve"> в 1944 году в соответствии с новым курсом в отношениях между советскими органами и религиозными конфессиями в СССР принимается решение о создании Совета по делам неправославных культов. Через 2 года мусульманам официально разрешат паломничество в Мекку (14896).</w:t>
      </w:r>
    </w:p>
    <w:p w14:paraId="569C6F9E" w14:textId="77777777" w:rsidR="005F2ECF" w:rsidRPr="007224C3" w:rsidRDefault="005F2ECF" w:rsidP="007224C3">
      <w:pPr>
        <w:spacing w:after="0" w:line="240" w:lineRule="auto"/>
        <w:jc w:val="both"/>
        <w:rPr>
          <w:rFonts w:ascii="Times New Roman" w:hAnsi="Times New Roman"/>
          <w:color w:val="000000" w:themeColor="text1"/>
          <w:sz w:val="16"/>
          <w:szCs w:val="16"/>
        </w:rPr>
      </w:pPr>
    </w:p>
    <w:p w14:paraId="4A72E76D"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3525111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A0CBC86" w14:textId="77777777" w:rsidR="005F2ECF" w:rsidRPr="007224C3" w:rsidRDefault="005F2ECF"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19 мая</w:t>
      </w:r>
      <w:r w:rsidRPr="007224C3">
        <w:rPr>
          <w:rFonts w:ascii="Times New Roman" w:hAnsi="Times New Roman"/>
          <w:color w:val="000000" w:themeColor="text1"/>
          <w:sz w:val="16"/>
          <w:szCs w:val="16"/>
        </w:rPr>
        <w:t xml:space="preserve"> в 1944 году американский средний транспортный самолет - летающая лодка «JRM» «Marshal Mars», установила своеобразный рекорд, совершив полет с 301 пассажиром и 7 членами экипажа на борту (14896).</w:t>
      </w:r>
    </w:p>
    <w:p w14:paraId="05A94A7B" w14:textId="77777777" w:rsidR="005F2ECF" w:rsidRPr="007224C3" w:rsidRDefault="005F2ECF" w:rsidP="007224C3">
      <w:pPr>
        <w:spacing w:after="0" w:line="240" w:lineRule="auto"/>
        <w:jc w:val="both"/>
        <w:rPr>
          <w:rFonts w:ascii="Times New Roman" w:hAnsi="Times New Roman"/>
          <w:color w:val="000000" w:themeColor="text1"/>
          <w:sz w:val="16"/>
          <w:szCs w:val="16"/>
        </w:rPr>
      </w:pPr>
    </w:p>
    <w:p w14:paraId="4A9B1671" w14:textId="77777777" w:rsidR="005F2ECF" w:rsidRPr="007224C3" w:rsidRDefault="005F2ECF"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19 мая</w:t>
      </w:r>
      <w:r w:rsidRPr="007224C3">
        <w:rPr>
          <w:rFonts w:ascii="Times New Roman" w:hAnsi="Times New Roman"/>
          <w:color w:val="000000" w:themeColor="text1"/>
          <w:sz w:val="16"/>
          <w:szCs w:val="16"/>
        </w:rPr>
        <w:t xml:space="preserve"> в 1944 году облетали прототип – </w:t>
      </w:r>
      <w:hyperlink r:id="rId130" w:tgtFrame="_blank" w:history="1">
        <w:r w:rsidRPr="007224C3">
          <w:rPr>
            <w:rFonts w:ascii="Times New Roman" w:hAnsi="Times New Roman"/>
            <w:color w:val="000000" w:themeColor="text1"/>
            <w:sz w:val="16"/>
            <w:szCs w:val="16"/>
          </w:rPr>
          <w:t xml:space="preserve">«Do-335V7» </w:t>
        </w:r>
      </w:hyperlink>
      <w:r w:rsidRPr="007224C3">
        <w:rPr>
          <w:rFonts w:ascii="Times New Roman" w:hAnsi="Times New Roman"/>
          <w:color w:val="000000" w:themeColor="text1"/>
          <w:sz w:val="16"/>
          <w:szCs w:val="16"/>
        </w:rPr>
        <w:t>(CP+UG, W.Nr. 230007), после чего передали на предприятие «Junkers» в Дессау. Там самолет должны были подготовить к установке двигателей «Jumo213», по характеристикам похожие на «DB603». Скорее всего, «V7» ни разу не поднимался в воздух с двигателями «Jumo 213», а в январе 1945 года машину вернули Дорнье. Известен один послевоенный снимок этого самолета - разбитая машина, брошенная на опушке леса (правда, на фото можно разглядеть только второстепенные детали конструкции). Передний мотор оторван и валяется на боку перед самолетом. Фотография очень низкого качества, невозможно точно определить тип заднего двигателя. Передний, оторванный двигатель по мнению специалистов - стандартный «DB603». Скорее всего, вернувшись на родной завод, самолет получил "родные" двигатели. Правда, есть предположение, что «Юнкерс» заменил только задний мотор. В этом случае у прототипа воздухозаборники обоих двигателей должны находиться на одном, правом борту. Объединение двух разных двигателей в одном фюзеляже было возможно, так как оба мотора работали на бензине В4 с октановым числом 87. На серийных самолетах, конечно, предполагалось ставить двигатели одного типа. Но другие подробности проекта навсегда останутся тайной (14896).</w:t>
      </w:r>
    </w:p>
    <w:p w14:paraId="3AB8CB03" w14:textId="77777777" w:rsidR="005F2ECF" w:rsidRPr="007224C3" w:rsidRDefault="005F2ECF" w:rsidP="007224C3">
      <w:pPr>
        <w:spacing w:after="0" w:line="240" w:lineRule="auto"/>
        <w:jc w:val="both"/>
        <w:rPr>
          <w:rFonts w:ascii="Times New Roman" w:hAnsi="Times New Roman"/>
          <w:color w:val="000000" w:themeColor="text1"/>
          <w:sz w:val="16"/>
          <w:szCs w:val="16"/>
        </w:rPr>
      </w:pPr>
    </w:p>
    <w:p w14:paraId="5E510363"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мая 1944 по приказу Гитлера расстреляны 50 офицеров союзников, пытавшихся бежать из лагеря военнопленных в Сагане (Силезия) (4962).</w:t>
      </w:r>
    </w:p>
    <w:p w14:paraId="64FBC9E0"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A7C793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May 19th, 1944: In Italy, British troops capture Aquino airfield in the Liri valley SE of Rome (3819).</w:t>
      </w:r>
    </w:p>
    <w:p w14:paraId="0442B02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D6BE5F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мая 1944 британские войска освободили аэродром Акуино в долине Лири (3819).</w:t>
      </w:r>
    </w:p>
    <w:p w14:paraId="7F60FD0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D700E1" w14:textId="77777777" w:rsidR="005F2ECF" w:rsidRPr="007224C3" w:rsidRDefault="005F2ECF"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19 мая</w:t>
      </w:r>
      <w:r w:rsidRPr="007224C3">
        <w:rPr>
          <w:rFonts w:ascii="Times New Roman" w:hAnsi="Times New Roman"/>
          <w:color w:val="000000" w:themeColor="text1"/>
          <w:sz w:val="16"/>
          <w:szCs w:val="16"/>
        </w:rPr>
        <w:t xml:space="preserve"> в 1944 году начало германскими оккупационными властями генеральной регистрации и призыва в армию жителей Норвегии. Однако вместо планировавшейся мобилизации 70 тысяч удалось мобилизовать только 300 человек (14896).</w:t>
      </w:r>
    </w:p>
    <w:p w14:paraId="414998C5" w14:textId="77777777" w:rsidR="005F2ECF" w:rsidRPr="007224C3" w:rsidRDefault="005F2ECF" w:rsidP="007224C3">
      <w:pPr>
        <w:spacing w:after="0" w:line="240" w:lineRule="auto"/>
        <w:jc w:val="both"/>
        <w:rPr>
          <w:rFonts w:ascii="Times New Roman" w:hAnsi="Times New Roman"/>
          <w:color w:val="000000" w:themeColor="text1"/>
          <w:sz w:val="16"/>
          <w:szCs w:val="16"/>
        </w:rPr>
      </w:pPr>
    </w:p>
    <w:p w14:paraId="3F76A00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мая 1944 Выход в отставку правительства Д. Божилова в Болгарии (7448).</w:t>
      </w:r>
    </w:p>
    <w:p w14:paraId="44E5D39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F2C6F5"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5FC777F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251820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мая 1944 вышел приказ НКАП и командующего АДД N 348с/0175:</w:t>
      </w:r>
    </w:p>
    <w:p w14:paraId="0BF68E8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"Флюгерный винт УФ-61ИФ удовлетворительно прошел летные испытания в ЛИИ, показав преимущества перед серийным винтом ВИШ-23.</w:t>
      </w:r>
    </w:p>
    <w:p w14:paraId="0CC6A32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целях проверки в условиях боевой эксплуатации флюгерных винтов УФ-61ИФ на самолетах Ил-4 с М-88Б:</w:t>
      </w:r>
    </w:p>
    <w:p w14:paraId="3B6E761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Директору завода 456 Филимончуку до 15 июля 1944 выпустить 25 самолетов Ил-4 с флюгерными винтами УФ-61ИФ</w:t>
      </w:r>
    </w:p>
    <w:p w14:paraId="17B513E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ГИ АДД г-л АС Маркову обеспечить опытную войсковую эксплуатацию флюгерных винтов и к 25 августа 1944 дать заключение о серийном выпуске самолетов Ил-4 с флюгерными винтами УФ-61ИФ</w:t>
      </w:r>
    </w:p>
    <w:p w14:paraId="18C90C5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ГК С.В.И.</w:t>
      </w:r>
    </w:p>
    <w:p w14:paraId="73EB186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разработать и передать заводу 456 к 1 июля с.г. рабочие чертежи для изготовления деталей и узлов, необходимых при установке агрегатов управления флюгером винта УФ-61ИФ, а также чертежи и схемы установки второго генератора на самолет Ил-4</w:t>
      </w:r>
    </w:p>
    <w:p w14:paraId="1D142D7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передать заводу 456 к 20 мая с.г. чертежи для изготовления коков к винтам УФ-61ИФ (1600,135).</w:t>
      </w:r>
    </w:p>
    <w:p w14:paraId="2A21066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002F0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мая 1944 состоялся первый вы</w:t>
      </w:r>
      <w:r w:rsidRPr="007224C3">
        <w:rPr>
          <w:rFonts w:ascii="Times New Roman" w:hAnsi="Times New Roman"/>
          <w:color w:val="000000" w:themeColor="text1"/>
          <w:sz w:val="16"/>
          <w:szCs w:val="16"/>
        </w:rPr>
        <w:softHyphen/>
        <w:t>лет с РЛС Ил-4 5-го гв. мтап. Антенная система уменьшала скорость примерно на 20 км/ч и несколько ухудшила мане</w:t>
      </w:r>
      <w:r w:rsidRPr="007224C3">
        <w:rPr>
          <w:rFonts w:ascii="Times New Roman" w:hAnsi="Times New Roman"/>
          <w:color w:val="000000" w:themeColor="text1"/>
          <w:sz w:val="16"/>
          <w:szCs w:val="16"/>
        </w:rPr>
        <w:softHyphen/>
        <w:t>вренность. Первый ночной поиск имел место 6 июня. Но нашли лишь несколь</w:t>
      </w:r>
      <w:r w:rsidRPr="007224C3">
        <w:rPr>
          <w:rFonts w:ascii="Times New Roman" w:hAnsi="Times New Roman"/>
          <w:color w:val="000000" w:themeColor="text1"/>
          <w:sz w:val="16"/>
          <w:szCs w:val="16"/>
        </w:rPr>
        <w:softHyphen/>
        <w:t>ко рыболовецких судов у румынского берега, на которые не стоило тратить торпеду. И все последующие боевые вылеты с РЛС закончились безрезультатно. На Балтике такие же радары ста</w:t>
      </w:r>
      <w:r w:rsidRPr="007224C3">
        <w:rPr>
          <w:rFonts w:ascii="Times New Roman" w:hAnsi="Times New Roman"/>
          <w:color w:val="000000" w:themeColor="text1"/>
          <w:sz w:val="16"/>
          <w:szCs w:val="16"/>
        </w:rPr>
        <w:softHyphen/>
        <w:t>вили на А-20, их применение было бо</w:t>
      </w:r>
      <w:r w:rsidRPr="007224C3">
        <w:rPr>
          <w:rFonts w:ascii="Times New Roman" w:hAnsi="Times New Roman"/>
          <w:color w:val="000000" w:themeColor="text1"/>
          <w:sz w:val="16"/>
          <w:szCs w:val="16"/>
        </w:rPr>
        <w:softHyphen/>
        <w:t>лее удачным (10734,85).</w:t>
      </w:r>
    </w:p>
    <w:p w14:paraId="321A136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D678F7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мая 1944 года в НИИ ВВС прибыл на государственное испытание самолет Пе-2Б с 2ВК-105ПФ эталон 1944 года после ремонта моторамы на заводе N 23. На самолете произведено 2 полета на определение температурных режимов винто-моторной группы. 22 мая 1944 года при проведении километража была замечена тряска левого мотора, вследствие чего задание было прекращено. Осмотром и опробованием мотора на земле установлено, что причиной тряски является попадание масла в карбюраторы, вследствие разрушения уплотнения подшипника нагнетателя. Мотор подлежит замене. Испытания самолета приостановлены до получения нового мотора ВК-105ПФ (1821).</w:t>
      </w:r>
    </w:p>
    <w:p w14:paraId="78F8A14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4FE5B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мая 1944 закончились наземные и летные испытания моторизованного аэростата “Малыш”, которые проходили с 7 января 1944.</w:t>
      </w:r>
    </w:p>
    <w:p w14:paraId="152CEE9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 Т Ч Е ТО НАЗЕМНЫХ И ЛЕТНЫХ ИСПЫТАНИЯХ МОТОРИЗОВАННОГО АЭРОСТАТА “МАЛЫШ”</w:t>
      </w:r>
    </w:p>
    <w:p w14:paraId="77CA88A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января – 20 мая 1944 года/</w:t>
      </w:r>
    </w:p>
    <w:p w14:paraId="2FE9281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Специфичность работы воздухоплавательных отрядов иногда требует частой перебазировки аэростата при непродолжительной его работе в данном месте.</w:t>
      </w:r>
    </w:p>
    <w:p w14:paraId="1EB2CD0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Это вызывает необходимость проведения весьма трудоемких работ, связанных с разоружением аэростата, выпуском /потерей/ газа, быстрым износом материальной части и транспортными перевозками по неудобным проселочным дорогам.</w:t>
      </w:r>
    </w:p>
    <w:p w14:paraId="4C711A0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данном случае моторизованный аэростат полностью решает проблему быстрой перебазировки отрядов при исключительно эффективном использовании аэростата по его боевой работе с частями Воздушно-Десантных Войск Красной Армии.</w:t>
      </w:r>
    </w:p>
    <w:p w14:paraId="2A00622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Силами 1-го Отдельного Воздухоплавательного Дивизиона ВДВ КА был спроектирован, построен и успешно прошел наземные и летные испытания моторизованный аэростат “МАЛЫШ” объемом 1030 куб. метров, особенность которого заключается в максимальном использовании типовых конструкций аэростата типа БД и фюзеляжа самолета У-2.</w:t>
      </w:r>
    </w:p>
    <w:p w14:paraId="6BC1287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Последнее позволяет довольно просто организовать постройку серии моторизованных аэростатов при минимальных затратах производственных средств и рабочей силы.</w:t>
      </w:r>
    </w:p>
    <w:p w14:paraId="6C3A119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Наличие моторизованного аэростата в системе ВДВ КА позволяет быстрое перебазирование воздухоплавательного отряда без разоружения аэростата и потери газа.</w:t>
      </w:r>
    </w:p>
    <w:p w14:paraId="0AC23FF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тех пунктах, где требуется эпизодическое обслуживание относительно незначительного количества парашютистов /1000-1200 чел./, работа воздухоплавательного отряда заключается в следующем: Аэростат “МАЛЫШ” прилетает к месту работы, куда одновременно приходит автолебедка с обслуживающей командой, и, проработав 2-3 дня, улетает обратно на базу.</w:t>
      </w:r>
    </w:p>
    <w:p w14:paraId="591C229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Превращение аэростата из привязного состояния в моторизованный занимает не более 20-30 минут.</w:t>
      </w:r>
    </w:p>
    <w:p w14:paraId="2769035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Вся работа по эксплуатации моторизованного аэростата упрощает организацию бивачной службы и полностью устраняет потерю газа и транспортные перевозки при перебазировках отряда</w:t>
      </w:r>
    </w:p>
    <w:p w14:paraId="02B197F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Моторизованный аэростат может быть использован с успехом в воздухоплавательных частях Артиллерии Красной Армии и Военно-Морского Флота, а также по разведке проходов во льдах при проводке судов в Арктике.</w:t>
      </w:r>
    </w:p>
    <w:p w14:paraId="7220A30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ТЕХНИЧЕСКОЕ ОПИСАНИЕ</w:t>
      </w:r>
    </w:p>
    <w:p w14:paraId="691AD60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моторизованного аэростата “МАЛЫШ”</w:t>
      </w:r>
    </w:p>
    <w:p w14:paraId="45929C6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Моторизованный аэростат “МАЛЫШ” /по конструкторскому бюро имеет индекс “Н”/ представляет собой мягкий аэростат, спроектированный и построенный на базе типового аэростата “БД”, в оболочку которого внесены следующие изменения:</w:t>
      </w:r>
    </w:p>
    <w:p w14:paraId="2486A935" w14:textId="77777777" w:rsidR="00595BFB" w:rsidRPr="007224C3" w:rsidRDefault="00595BFB" w:rsidP="007224C3">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Вклеен баллонет; </w:t>
      </w:r>
    </w:p>
    <w:p w14:paraId="5D1619EA" w14:textId="77777777" w:rsidR="00595BFB" w:rsidRPr="007224C3" w:rsidRDefault="00595BFB" w:rsidP="007224C3">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Изменена стягивающая система; </w:t>
      </w:r>
    </w:p>
    <w:p w14:paraId="33ED00AC" w14:textId="77777777" w:rsidR="00595BFB" w:rsidRPr="007224C3" w:rsidRDefault="00595BFB" w:rsidP="007224C3">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Поставлено жесткое оперение; </w:t>
      </w:r>
    </w:p>
    <w:p w14:paraId="263F9815" w14:textId="77777777" w:rsidR="00595BFB" w:rsidRPr="007224C3" w:rsidRDefault="00595BFB" w:rsidP="007224C3">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Изменена подвеска. </w:t>
      </w:r>
    </w:p>
    <w:p w14:paraId="70BA300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Конструкция аэростата весьма проста и дешева в изготовлении. Все агрегаты, за исключением оперения, берутся готовыми и подвергаются лишь некоторым конструктивным изменениям. Это позволяет легко реализовывать серийную постройку аэростатов “МАЛЫШ” на базе стандартного аэростата “БД” и фюзеляжей самолетов У-2.</w:t>
      </w:r>
    </w:p>
    <w:p w14:paraId="31D2351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I. ОБЩИЕ ДАННЫЕ АЭРОСТАТА</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6926"/>
        <w:gridCol w:w="2433"/>
      </w:tblGrid>
      <w:tr w:rsidR="005106D0" w:rsidRPr="007224C3" w14:paraId="5DC00006" w14:textId="77777777">
        <w:tc>
          <w:tcPr>
            <w:tcW w:w="6926" w:type="dxa"/>
            <w:tcBorders>
              <w:top w:val="single" w:sz="12" w:space="0" w:color="auto"/>
            </w:tcBorders>
          </w:tcPr>
          <w:p w14:paraId="684ABEF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Газовый объем</w:t>
            </w:r>
          </w:p>
        </w:tc>
        <w:tc>
          <w:tcPr>
            <w:tcW w:w="2433" w:type="dxa"/>
            <w:tcBorders>
              <w:top w:val="single" w:sz="12" w:space="0" w:color="auto"/>
            </w:tcBorders>
          </w:tcPr>
          <w:p w14:paraId="168DECB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U</w:t>
            </w:r>
            <w:r w:rsidRPr="007224C3">
              <w:rPr>
                <w:rFonts w:ascii="Times New Roman" w:hAnsi="Times New Roman"/>
                <w:color w:val="000000" w:themeColor="text1"/>
                <w:sz w:val="16"/>
                <w:szCs w:val="16"/>
                <w:vertAlign w:val="subscript"/>
              </w:rPr>
              <w:t>г</w:t>
            </w:r>
            <w:r w:rsidRPr="007224C3">
              <w:rPr>
                <w:rFonts w:ascii="Times New Roman" w:hAnsi="Times New Roman"/>
                <w:color w:val="000000" w:themeColor="text1"/>
                <w:sz w:val="16"/>
                <w:szCs w:val="16"/>
              </w:rPr>
              <w:t xml:space="preserve"> = 1030 м</w:t>
            </w:r>
            <w:r w:rsidRPr="007224C3">
              <w:rPr>
                <w:rFonts w:ascii="Times New Roman" w:hAnsi="Times New Roman"/>
                <w:color w:val="000000" w:themeColor="text1"/>
                <w:sz w:val="16"/>
                <w:szCs w:val="16"/>
                <w:vertAlign w:val="superscript"/>
              </w:rPr>
              <w:t>3</w:t>
            </w:r>
          </w:p>
        </w:tc>
      </w:tr>
      <w:tr w:rsidR="005106D0" w:rsidRPr="007224C3" w14:paraId="45AB25C5" w14:textId="77777777">
        <w:tc>
          <w:tcPr>
            <w:tcW w:w="6926" w:type="dxa"/>
          </w:tcPr>
          <w:p w14:paraId="29CDDF9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Длина</w:t>
            </w:r>
          </w:p>
        </w:tc>
        <w:tc>
          <w:tcPr>
            <w:tcW w:w="2433" w:type="dxa"/>
          </w:tcPr>
          <w:p w14:paraId="5A067B0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L = 30 м</w:t>
            </w:r>
          </w:p>
        </w:tc>
      </w:tr>
      <w:tr w:rsidR="005106D0" w:rsidRPr="007224C3" w14:paraId="026C6D40" w14:textId="77777777">
        <w:tc>
          <w:tcPr>
            <w:tcW w:w="6926" w:type="dxa"/>
          </w:tcPr>
          <w:p w14:paraId="51D4C91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Диаметр в миделе</w:t>
            </w:r>
          </w:p>
        </w:tc>
        <w:tc>
          <w:tcPr>
            <w:tcW w:w="2433" w:type="dxa"/>
          </w:tcPr>
          <w:p w14:paraId="6B32442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w:t>
            </w:r>
            <w:r w:rsidRPr="007224C3">
              <w:rPr>
                <w:rFonts w:ascii="Times New Roman" w:hAnsi="Times New Roman"/>
                <w:color w:val="000000" w:themeColor="text1"/>
                <w:sz w:val="16"/>
                <w:szCs w:val="16"/>
                <w:vertAlign w:val="subscript"/>
              </w:rPr>
              <w:t>м</w:t>
            </w:r>
            <w:r w:rsidRPr="007224C3">
              <w:rPr>
                <w:rFonts w:ascii="Times New Roman" w:hAnsi="Times New Roman"/>
                <w:color w:val="000000" w:themeColor="text1"/>
                <w:sz w:val="16"/>
                <w:szCs w:val="16"/>
              </w:rPr>
              <w:t xml:space="preserve"> = 8,62 м</w:t>
            </w:r>
          </w:p>
        </w:tc>
      </w:tr>
      <w:tr w:rsidR="005106D0" w:rsidRPr="007224C3" w14:paraId="2E3E295A" w14:textId="77777777">
        <w:tc>
          <w:tcPr>
            <w:tcW w:w="6926" w:type="dxa"/>
          </w:tcPr>
          <w:p w14:paraId="14A7D9D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Удлинение</w:t>
            </w:r>
          </w:p>
        </w:tc>
        <w:tc>
          <w:tcPr>
            <w:tcW w:w="2433" w:type="dxa"/>
          </w:tcPr>
          <w:p w14:paraId="065CB95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 3,48</w:t>
            </w:r>
          </w:p>
        </w:tc>
      </w:tr>
      <w:tr w:rsidR="005106D0" w:rsidRPr="007224C3" w14:paraId="6A3C0ECC" w14:textId="77777777">
        <w:tc>
          <w:tcPr>
            <w:tcW w:w="6926" w:type="dxa"/>
          </w:tcPr>
          <w:p w14:paraId="21C51BC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Поверхность оболочки</w:t>
            </w:r>
          </w:p>
        </w:tc>
        <w:tc>
          <w:tcPr>
            <w:tcW w:w="2433" w:type="dxa"/>
          </w:tcPr>
          <w:p w14:paraId="21C6FF4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S</w:t>
            </w:r>
            <w:r w:rsidRPr="007224C3">
              <w:rPr>
                <w:rFonts w:ascii="Times New Roman" w:hAnsi="Times New Roman"/>
                <w:color w:val="000000" w:themeColor="text1"/>
                <w:sz w:val="16"/>
                <w:szCs w:val="16"/>
                <w:vertAlign w:val="subscript"/>
              </w:rPr>
              <w:t>б</w:t>
            </w:r>
            <w:r w:rsidRPr="007224C3">
              <w:rPr>
                <w:rFonts w:ascii="Times New Roman" w:hAnsi="Times New Roman"/>
                <w:color w:val="000000" w:themeColor="text1"/>
                <w:sz w:val="16"/>
                <w:szCs w:val="16"/>
              </w:rPr>
              <w:t xml:space="preserve"> = 605 м</w:t>
            </w:r>
            <w:r w:rsidRPr="007224C3">
              <w:rPr>
                <w:rFonts w:ascii="Times New Roman" w:hAnsi="Times New Roman"/>
                <w:color w:val="000000" w:themeColor="text1"/>
                <w:sz w:val="16"/>
                <w:szCs w:val="16"/>
                <w:vertAlign w:val="superscript"/>
              </w:rPr>
              <w:t>2</w:t>
            </w:r>
          </w:p>
        </w:tc>
      </w:tr>
      <w:tr w:rsidR="005106D0" w:rsidRPr="007224C3" w14:paraId="4F6BDE81" w14:textId="77777777">
        <w:tc>
          <w:tcPr>
            <w:tcW w:w="6926" w:type="dxa"/>
          </w:tcPr>
          <w:p w14:paraId="1D10974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Объем баллонета</w:t>
            </w:r>
          </w:p>
        </w:tc>
        <w:tc>
          <w:tcPr>
            <w:tcW w:w="2433" w:type="dxa"/>
          </w:tcPr>
          <w:p w14:paraId="2089541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U</w:t>
            </w:r>
            <w:r w:rsidRPr="007224C3">
              <w:rPr>
                <w:rFonts w:ascii="Times New Roman" w:hAnsi="Times New Roman"/>
                <w:color w:val="000000" w:themeColor="text1"/>
                <w:sz w:val="16"/>
                <w:szCs w:val="16"/>
                <w:vertAlign w:val="subscript"/>
              </w:rPr>
              <w:t xml:space="preserve">б </w:t>
            </w:r>
            <w:r w:rsidRPr="007224C3">
              <w:rPr>
                <w:rFonts w:ascii="Times New Roman" w:hAnsi="Times New Roman"/>
                <w:color w:val="000000" w:themeColor="text1"/>
                <w:sz w:val="16"/>
                <w:szCs w:val="16"/>
              </w:rPr>
              <w:t>= 110 м</w:t>
            </w:r>
            <w:r w:rsidRPr="007224C3">
              <w:rPr>
                <w:rFonts w:ascii="Times New Roman" w:hAnsi="Times New Roman"/>
                <w:color w:val="000000" w:themeColor="text1"/>
                <w:sz w:val="16"/>
                <w:szCs w:val="16"/>
                <w:vertAlign w:val="superscript"/>
              </w:rPr>
              <w:t>2</w:t>
            </w:r>
          </w:p>
        </w:tc>
      </w:tr>
      <w:tr w:rsidR="005106D0" w:rsidRPr="007224C3" w14:paraId="0515334F" w14:textId="77777777">
        <w:tc>
          <w:tcPr>
            <w:tcW w:w="6926" w:type="dxa"/>
          </w:tcPr>
          <w:p w14:paraId="7843E72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Площадь оперения:</w:t>
            </w:r>
          </w:p>
        </w:tc>
        <w:tc>
          <w:tcPr>
            <w:tcW w:w="2433" w:type="dxa"/>
          </w:tcPr>
          <w:p w14:paraId="6006EF3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CF85AA1" w14:textId="77777777">
        <w:tc>
          <w:tcPr>
            <w:tcW w:w="6926" w:type="dxa"/>
          </w:tcPr>
          <w:p w14:paraId="195E150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бокового</w:t>
            </w:r>
          </w:p>
        </w:tc>
        <w:tc>
          <w:tcPr>
            <w:tcW w:w="2433" w:type="dxa"/>
          </w:tcPr>
          <w:p w14:paraId="4958566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х 14,875 = 29,75 м</w:t>
            </w:r>
            <w:r w:rsidRPr="007224C3">
              <w:rPr>
                <w:rFonts w:ascii="Times New Roman" w:hAnsi="Times New Roman"/>
                <w:color w:val="000000" w:themeColor="text1"/>
                <w:sz w:val="16"/>
                <w:szCs w:val="16"/>
                <w:vertAlign w:val="superscript"/>
              </w:rPr>
              <w:t>2</w:t>
            </w:r>
          </w:p>
        </w:tc>
      </w:tr>
      <w:tr w:rsidR="005106D0" w:rsidRPr="007224C3" w14:paraId="74043BE4" w14:textId="77777777">
        <w:tc>
          <w:tcPr>
            <w:tcW w:w="6926" w:type="dxa"/>
            <w:tcBorders>
              <w:bottom w:val="single" w:sz="12" w:space="0" w:color="auto"/>
            </w:tcBorders>
          </w:tcPr>
          <w:p w14:paraId="3EB9B3D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вертикального</w:t>
            </w:r>
          </w:p>
        </w:tc>
        <w:tc>
          <w:tcPr>
            <w:tcW w:w="2433" w:type="dxa"/>
            <w:tcBorders>
              <w:bottom w:val="single" w:sz="12" w:space="0" w:color="auto"/>
            </w:tcBorders>
          </w:tcPr>
          <w:p w14:paraId="7534574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14,875 м</w:t>
            </w:r>
            <w:r w:rsidRPr="007224C3">
              <w:rPr>
                <w:rFonts w:ascii="Times New Roman" w:hAnsi="Times New Roman"/>
                <w:color w:val="000000" w:themeColor="text1"/>
                <w:sz w:val="16"/>
                <w:szCs w:val="16"/>
                <w:vertAlign w:val="superscript"/>
              </w:rPr>
              <w:t>2</w:t>
            </w:r>
          </w:p>
        </w:tc>
      </w:tr>
    </w:tbl>
    <w:p w14:paraId="617A8D9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II. ВИНТОМОТОРНАЯ ГРУППА</w:t>
      </w:r>
    </w:p>
    <w:p w14:paraId="3596CC1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Мотор М 11 д – воздушного охлаждения.</w:t>
      </w:r>
    </w:p>
    <w:p w14:paraId="75219B2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Максимальная мощность N</w:t>
      </w:r>
      <w:r w:rsidRPr="007224C3">
        <w:rPr>
          <w:rFonts w:ascii="Times New Roman" w:hAnsi="Times New Roman"/>
          <w:color w:val="000000" w:themeColor="text1"/>
          <w:sz w:val="16"/>
          <w:szCs w:val="16"/>
          <w:vertAlign w:val="subscript"/>
        </w:rPr>
        <w:t>max</w:t>
      </w:r>
      <w:r w:rsidRPr="007224C3">
        <w:rPr>
          <w:rFonts w:ascii="Times New Roman" w:hAnsi="Times New Roman"/>
          <w:color w:val="000000" w:themeColor="text1"/>
          <w:sz w:val="16"/>
          <w:szCs w:val="16"/>
        </w:rPr>
        <w:t xml:space="preserve"> = 126 л.с. при n = 1760 об.м.</w:t>
      </w:r>
    </w:p>
    <w:p w14:paraId="254AE5F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Номинальная мощность N</w:t>
      </w:r>
      <w:r w:rsidRPr="007224C3">
        <w:rPr>
          <w:rFonts w:ascii="Times New Roman" w:hAnsi="Times New Roman"/>
          <w:color w:val="000000" w:themeColor="text1"/>
          <w:sz w:val="16"/>
          <w:szCs w:val="16"/>
          <w:vertAlign w:val="subscript"/>
        </w:rPr>
        <w:t>ном</w:t>
      </w:r>
      <w:r w:rsidRPr="007224C3">
        <w:rPr>
          <w:rFonts w:ascii="Times New Roman" w:hAnsi="Times New Roman"/>
          <w:color w:val="000000" w:themeColor="text1"/>
          <w:sz w:val="16"/>
          <w:szCs w:val="16"/>
        </w:rPr>
        <w:t xml:space="preserve"> = 115л.с. при n = 1700 об.м.</w:t>
      </w:r>
    </w:p>
    <w:p w14:paraId="4565F04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Эксплуатационная мощность N</w:t>
      </w:r>
      <w:r w:rsidRPr="007224C3">
        <w:rPr>
          <w:rFonts w:ascii="Times New Roman" w:hAnsi="Times New Roman"/>
          <w:color w:val="000000" w:themeColor="text1"/>
          <w:sz w:val="16"/>
          <w:szCs w:val="16"/>
          <w:vertAlign w:val="subscript"/>
        </w:rPr>
        <w:t>экс</w:t>
      </w:r>
      <w:r w:rsidRPr="007224C3">
        <w:rPr>
          <w:rFonts w:ascii="Times New Roman" w:hAnsi="Times New Roman"/>
          <w:color w:val="000000" w:themeColor="text1"/>
          <w:sz w:val="16"/>
          <w:szCs w:val="16"/>
        </w:rPr>
        <w:t xml:space="preserve"> = 103л.с. при n = 1640 об.м.</w:t>
      </w:r>
    </w:p>
    <w:p w14:paraId="72BEC32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Винт, тянущий от У-2 диаметр Д = 2,4 м, шаг Н = 1,62 м</w:t>
      </w:r>
    </w:p>
    <w:p w14:paraId="1B52A63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Система питания – самотеком.</w:t>
      </w:r>
    </w:p>
    <w:p w14:paraId="4CBE374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III. ЛЕТНО-ЭКСПЛУАТАЦИОННЫЕ ХАРАКТЕРИСТИКИ</w:t>
      </w:r>
    </w:p>
    <w:p w14:paraId="385AC52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/пересчитанные для стенд. условий/</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6926"/>
        <w:gridCol w:w="2433"/>
      </w:tblGrid>
      <w:tr w:rsidR="005106D0" w:rsidRPr="007224C3" w14:paraId="10C8D124" w14:textId="77777777">
        <w:tc>
          <w:tcPr>
            <w:tcW w:w="6926" w:type="dxa"/>
            <w:tcBorders>
              <w:top w:val="single" w:sz="12" w:space="0" w:color="auto"/>
            </w:tcBorders>
          </w:tcPr>
          <w:p w14:paraId="0D4B464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Максимальная скорость на номин. режиме мотора V</w:t>
            </w:r>
            <w:r w:rsidRPr="007224C3">
              <w:rPr>
                <w:rFonts w:ascii="Times New Roman" w:hAnsi="Times New Roman"/>
                <w:color w:val="000000" w:themeColor="text1"/>
                <w:sz w:val="16"/>
                <w:szCs w:val="16"/>
                <w:vertAlign w:val="subscript"/>
              </w:rPr>
              <w:t>max</w:t>
            </w:r>
            <w:r w:rsidRPr="007224C3">
              <w:rPr>
                <w:rFonts w:ascii="Times New Roman" w:hAnsi="Times New Roman"/>
                <w:color w:val="000000" w:themeColor="text1"/>
                <w:sz w:val="16"/>
                <w:szCs w:val="16"/>
              </w:rPr>
              <w:t xml:space="preserve"> = 80 км/ч</w:t>
            </w:r>
          </w:p>
        </w:tc>
        <w:tc>
          <w:tcPr>
            <w:tcW w:w="2433" w:type="dxa"/>
            <w:tcBorders>
              <w:top w:val="single" w:sz="12" w:space="0" w:color="auto"/>
            </w:tcBorders>
          </w:tcPr>
          <w:p w14:paraId="1BD335E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N</w:t>
            </w:r>
            <w:r w:rsidRPr="007224C3">
              <w:rPr>
                <w:rFonts w:ascii="Times New Roman" w:hAnsi="Times New Roman"/>
                <w:color w:val="000000" w:themeColor="text1"/>
                <w:sz w:val="16"/>
                <w:szCs w:val="16"/>
                <w:vertAlign w:val="subscript"/>
              </w:rPr>
              <w:t>max</w:t>
            </w:r>
            <w:r w:rsidRPr="007224C3">
              <w:rPr>
                <w:rFonts w:ascii="Times New Roman" w:hAnsi="Times New Roman"/>
                <w:color w:val="000000" w:themeColor="text1"/>
                <w:sz w:val="16"/>
                <w:szCs w:val="16"/>
              </w:rPr>
              <w:t xml:space="preserve"> = 1550 об.мин.</w:t>
            </w:r>
          </w:p>
        </w:tc>
      </w:tr>
      <w:tr w:rsidR="005106D0" w:rsidRPr="007224C3" w14:paraId="47CDBE25" w14:textId="77777777">
        <w:tc>
          <w:tcPr>
            <w:tcW w:w="6926" w:type="dxa"/>
          </w:tcPr>
          <w:p w14:paraId="030C183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Крейсерская скорость V</w:t>
            </w:r>
            <w:r w:rsidRPr="007224C3">
              <w:rPr>
                <w:rFonts w:ascii="Times New Roman" w:hAnsi="Times New Roman"/>
                <w:color w:val="000000" w:themeColor="text1"/>
                <w:sz w:val="16"/>
                <w:szCs w:val="16"/>
                <w:vertAlign w:val="subscript"/>
              </w:rPr>
              <w:t>кр</w:t>
            </w:r>
            <w:r w:rsidRPr="007224C3">
              <w:rPr>
                <w:rFonts w:ascii="Times New Roman" w:hAnsi="Times New Roman"/>
                <w:color w:val="000000" w:themeColor="text1"/>
                <w:sz w:val="16"/>
                <w:szCs w:val="16"/>
              </w:rPr>
              <w:t xml:space="preserve"> = 73 км/ч</w:t>
            </w:r>
          </w:p>
        </w:tc>
        <w:tc>
          <w:tcPr>
            <w:tcW w:w="2433" w:type="dxa"/>
          </w:tcPr>
          <w:p w14:paraId="0209AA0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N = 1400 об.мин.</w:t>
            </w:r>
          </w:p>
        </w:tc>
      </w:tr>
      <w:tr w:rsidR="005106D0" w:rsidRPr="007224C3" w14:paraId="7B188101" w14:textId="77777777">
        <w:tc>
          <w:tcPr>
            <w:tcW w:w="6926" w:type="dxa"/>
          </w:tcPr>
          <w:p w14:paraId="3B0460D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Дальность при двух пилотах на крейсерской скорости</w:t>
            </w:r>
          </w:p>
        </w:tc>
        <w:tc>
          <w:tcPr>
            <w:tcW w:w="2433" w:type="dxa"/>
          </w:tcPr>
          <w:p w14:paraId="3204BEC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L = 110 км</w:t>
            </w:r>
          </w:p>
        </w:tc>
      </w:tr>
      <w:tr w:rsidR="005106D0" w:rsidRPr="007224C3" w14:paraId="3CE4260C" w14:textId="77777777">
        <w:tc>
          <w:tcPr>
            <w:tcW w:w="6926" w:type="dxa"/>
          </w:tcPr>
          <w:p w14:paraId="761A0EF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Дальность при одном пилоте на крейсерской скорости</w:t>
            </w:r>
          </w:p>
        </w:tc>
        <w:tc>
          <w:tcPr>
            <w:tcW w:w="2433" w:type="dxa"/>
          </w:tcPr>
          <w:p w14:paraId="60BC8FC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L = 365 км</w:t>
            </w:r>
          </w:p>
        </w:tc>
      </w:tr>
      <w:tr w:rsidR="005106D0" w:rsidRPr="007224C3" w14:paraId="12429F99" w14:textId="77777777">
        <w:tc>
          <w:tcPr>
            <w:tcW w:w="6926" w:type="dxa"/>
          </w:tcPr>
          <w:p w14:paraId="17947E0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Автономия при одном пилоте на крейсерской скорости</w:t>
            </w:r>
          </w:p>
        </w:tc>
        <w:tc>
          <w:tcPr>
            <w:tcW w:w="2433" w:type="dxa"/>
          </w:tcPr>
          <w:p w14:paraId="36B3294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 5 час</w:t>
            </w:r>
          </w:p>
        </w:tc>
      </w:tr>
      <w:tr w:rsidR="005106D0" w:rsidRPr="007224C3" w14:paraId="311F38F7" w14:textId="77777777">
        <w:tc>
          <w:tcPr>
            <w:tcW w:w="6926" w:type="dxa"/>
          </w:tcPr>
          <w:p w14:paraId="20F1632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Автономия при двух пилотах на крейсерской скорости</w:t>
            </w:r>
          </w:p>
        </w:tc>
        <w:tc>
          <w:tcPr>
            <w:tcW w:w="2433" w:type="dxa"/>
          </w:tcPr>
          <w:p w14:paraId="6775E6A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 1,5 часа</w:t>
            </w:r>
          </w:p>
        </w:tc>
      </w:tr>
      <w:tr w:rsidR="005106D0" w:rsidRPr="007224C3" w14:paraId="0EB77804" w14:textId="77777777">
        <w:tc>
          <w:tcPr>
            <w:tcW w:w="6926" w:type="dxa"/>
          </w:tcPr>
          <w:p w14:paraId="15D9257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Стратегический потолок /вариант дирижабля/</w:t>
            </w:r>
          </w:p>
        </w:tc>
        <w:tc>
          <w:tcPr>
            <w:tcW w:w="2433" w:type="dxa"/>
          </w:tcPr>
          <w:p w14:paraId="467EEF8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w:t>
            </w:r>
            <w:r w:rsidRPr="007224C3">
              <w:rPr>
                <w:rFonts w:ascii="Times New Roman" w:hAnsi="Times New Roman"/>
                <w:color w:val="000000" w:themeColor="text1"/>
                <w:sz w:val="16"/>
                <w:szCs w:val="16"/>
                <w:vertAlign w:val="subscript"/>
              </w:rPr>
              <w:t xml:space="preserve">ст. </w:t>
            </w:r>
            <w:r w:rsidRPr="007224C3">
              <w:rPr>
                <w:rFonts w:ascii="Times New Roman" w:hAnsi="Times New Roman"/>
                <w:color w:val="000000" w:themeColor="text1"/>
                <w:sz w:val="16"/>
                <w:szCs w:val="16"/>
              </w:rPr>
              <w:t>= 900 м</w:t>
            </w:r>
          </w:p>
        </w:tc>
      </w:tr>
      <w:tr w:rsidR="005106D0" w:rsidRPr="007224C3" w14:paraId="48239449" w14:textId="77777777">
        <w:tc>
          <w:tcPr>
            <w:tcW w:w="6926" w:type="dxa"/>
          </w:tcPr>
          <w:p w14:paraId="2F83FBD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Статический потолок с одним наблюдателем /вариант привязника/</w:t>
            </w:r>
          </w:p>
        </w:tc>
        <w:tc>
          <w:tcPr>
            <w:tcW w:w="2433" w:type="dxa"/>
          </w:tcPr>
          <w:p w14:paraId="7561E88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w:t>
            </w:r>
            <w:r w:rsidRPr="007224C3">
              <w:rPr>
                <w:rFonts w:ascii="Times New Roman" w:hAnsi="Times New Roman"/>
                <w:color w:val="000000" w:themeColor="text1"/>
                <w:sz w:val="16"/>
                <w:szCs w:val="16"/>
                <w:vertAlign w:val="subscript"/>
              </w:rPr>
              <w:t>ст.</w:t>
            </w:r>
            <w:r w:rsidRPr="007224C3">
              <w:rPr>
                <w:rFonts w:ascii="Times New Roman" w:hAnsi="Times New Roman"/>
                <w:color w:val="000000" w:themeColor="text1"/>
                <w:sz w:val="16"/>
                <w:szCs w:val="16"/>
              </w:rPr>
              <w:t xml:space="preserve"> = 2200 м</w:t>
            </w:r>
          </w:p>
        </w:tc>
      </w:tr>
      <w:tr w:rsidR="005106D0" w:rsidRPr="007224C3" w14:paraId="36DC109A" w14:textId="77777777">
        <w:tc>
          <w:tcPr>
            <w:tcW w:w="6926" w:type="dxa"/>
          </w:tcPr>
          <w:p w14:paraId="17FC825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Статический потолок с двумя наблюдателями</w:t>
            </w:r>
          </w:p>
        </w:tc>
        <w:tc>
          <w:tcPr>
            <w:tcW w:w="2433" w:type="dxa"/>
          </w:tcPr>
          <w:p w14:paraId="4D2245C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w:t>
            </w:r>
            <w:r w:rsidRPr="007224C3">
              <w:rPr>
                <w:rFonts w:ascii="Times New Roman" w:hAnsi="Times New Roman"/>
                <w:color w:val="000000" w:themeColor="text1"/>
                <w:sz w:val="16"/>
                <w:szCs w:val="16"/>
                <w:vertAlign w:val="subscript"/>
              </w:rPr>
              <w:t>ст.</w:t>
            </w:r>
            <w:r w:rsidRPr="007224C3">
              <w:rPr>
                <w:rFonts w:ascii="Times New Roman" w:hAnsi="Times New Roman"/>
                <w:color w:val="000000" w:themeColor="text1"/>
                <w:sz w:val="16"/>
                <w:szCs w:val="16"/>
              </w:rPr>
              <w:t xml:space="preserve"> = 1600 м</w:t>
            </w:r>
          </w:p>
        </w:tc>
      </w:tr>
      <w:tr w:rsidR="005106D0" w:rsidRPr="007224C3" w14:paraId="03EA4CA3" w14:textId="77777777">
        <w:tc>
          <w:tcPr>
            <w:tcW w:w="6926" w:type="dxa"/>
            <w:tcBorders>
              <w:bottom w:val="single" w:sz="12" w:space="0" w:color="auto"/>
            </w:tcBorders>
          </w:tcPr>
          <w:p w14:paraId="3375C2F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Количество сбрасываемых парашютов при работе в качестве тренировочного аэростата на рабочей высоте</w:t>
            </w:r>
          </w:p>
          <w:p w14:paraId="47C4F0C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штиль – 3 человека</w:t>
            </w:r>
          </w:p>
          <w:p w14:paraId="69557F2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ветре более 3 м/сек – 4 чел.</w:t>
            </w:r>
          </w:p>
        </w:tc>
        <w:tc>
          <w:tcPr>
            <w:tcW w:w="2433" w:type="dxa"/>
            <w:tcBorders>
              <w:bottom w:val="single" w:sz="12" w:space="0" w:color="auto"/>
            </w:tcBorders>
          </w:tcPr>
          <w:p w14:paraId="0FFB968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1CA2B4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 = 460 м</w:t>
            </w:r>
          </w:p>
        </w:tc>
      </w:tr>
    </w:tbl>
    <w:p w14:paraId="4E8AAB8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IV. ВЕСОВЫЕ ХАРАКТЕРИСТИКИ</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6965"/>
        <w:gridCol w:w="2395"/>
      </w:tblGrid>
      <w:tr w:rsidR="005106D0" w:rsidRPr="007224C3" w14:paraId="20EC74A0" w14:textId="77777777">
        <w:trPr>
          <w:jc w:val="center"/>
        </w:trPr>
        <w:tc>
          <w:tcPr>
            <w:tcW w:w="6965" w:type="dxa"/>
            <w:tcBorders>
              <w:top w:val="single" w:sz="12" w:space="0" w:color="auto"/>
            </w:tcBorders>
          </w:tcPr>
          <w:p w14:paraId="38E3619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Полная подъемная сила на уровне моря при Ф = 1,1 кг/м</w:t>
            </w:r>
            <w:r w:rsidRPr="007224C3">
              <w:rPr>
                <w:rFonts w:ascii="Times New Roman" w:hAnsi="Times New Roman"/>
                <w:color w:val="000000" w:themeColor="text1"/>
                <w:sz w:val="16"/>
                <w:szCs w:val="16"/>
                <w:vertAlign w:val="superscript"/>
              </w:rPr>
              <w:t>3</w:t>
            </w:r>
          </w:p>
        </w:tc>
        <w:tc>
          <w:tcPr>
            <w:tcW w:w="2395" w:type="dxa"/>
            <w:tcBorders>
              <w:top w:val="single" w:sz="12" w:space="0" w:color="auto"/>
            </w:tcBorders>
          </w:tcPr>
          <w:p w14:paraId="0623A7E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F</w:t>
            </w:r>
            <w:r w:rsidRPr="007224C3">
              <w:rPr>
                <w:rFonts w:ascii="Times New Roman" w:hAnsi="Times New Roman"/>
                <w:color w:val="000000" w:themeColor="text1"/>
                <w:sz w:val="16"/>
                <w:szCs w:val="16"/>
                <w:vertAlign w:val="subscript"/>
              </w:rPr>
              <w:t>n</w:t>
            </w:r>
            <w:r w:rsidRPr="007224C3">
              <w:rPr>
                <w:rFonts w:ascii="Times New Roman" w:hAnsi="Times New Roman"/>
                <w:color w:val="000000" w:themeColor="text1"/>
                <w:sz w:val="16"/>
                <w:szCs w:val="16"/>
              </w:rPr>
              <w:t xml:space="preserve"> = 1130 кг</w:t>
            </w:r>
          </w:p>
        </w:tc>
      </w:tr>
      <w:tr w:rsidR="005106D0" w:rsidRPr="007224C3" w14:paraId="0B14622A" w14:textId="77777777">
        <w:trPr>
          <w:jc w:val="center"/>
        </w:trPr>
        <w:tc>
          <w:tcPr>
            <w:tcW w:w="6965" w:type="dxa"/>
          </w:tcPr>
          <w:p w14:paraId="2A42EAB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Мертвый вес</w:t>
            </w:r>
          </w:p>
        </w:tc>
        <w:tc>
          <w:tcPr>
            <w:tcW w:w="2395" w:type="dxa"/>
          </w:tcPr>
          <w:p w14:paraId="6432C74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G</w:t>
            </w:r>
            <w:r w:rsidRPr="007224C3">
              <w:rPr>
                <w:rFonts w:ascii="Times New Roman" w:hAnsi="Times New Roman"/>
                <w:color w:val="000000" w:themeColor="text1"/>
                <w:sz w:val="16"/>
                <w:szCs w:val="16"/>
                <w:vertAlign w:val="subscript"/>
              </w:rPr>
              <w:t>m</w:t>
            </w:r>
            <w:r w:rsidRPr="007224C3">
              <w:rPr>
                <w:rFonts w:ascii="Times New Roman" w:hAnsi="Times New Roman"/>
                <w:color w:val="000000" w:themeColor="text1"/>
                <w:sz w:val="16"/>
                <w:szCs w:val="16"/>
              </w:rPr>
              <w:t xml:space="preserve"> = 910 кг</w:t>
            </w:r>
          </w:p>
        </w:tc>
      </w:tr>
      <w:tr w:rsidR="005106D0" w:rsidRPr="007224C3" w14:paraId="5DA2A63B" w14:textId="77777777">
        <w:trPr>
          <w:jc w:val="center"/>
        </w:trPr>
        <w:tc>
          <w:tcPr>
            <w:tcW w:w="6965" w:type="dxa"/>
          </w:tcPr>
          <w:p w14:paraId="2806978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Полезная нагрузка</w:t>
            </w:r>
          </w:p>
        </w:tc>
        <w:tc>
          <w:tcPr>
            <w:tcW w:w="2395" w:type="dxa"/>
          </w:tcPr>
          <w:p w14:paraId="1FF0380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9053C8C" w14:textId="77777777">
        <w:trPr>
          <w:jc w:val="center"/>
        </w:trPr>
        <w:tc>
          <w:tcPr>
            <w:tcW w:w="6965" w:type="dxa"/>
          </w:tcPr>
          <w:p w14:paraId="43D0140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экипаж 1 человек</w:t>
            </w:r>
          </w:p>
        </w:tc>
        <w:tc>
          <w:tcPr>
            <w:tcW w:w="2395" w:type="dxa"/>
          </w:tcPr>
          <w:p w14:paraId="209D2E4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80 кг</w:t>
            </w:r>
          </w:p>
        </w:tc>
      </w:tr>
      <w:tr w:rsidR="005106D0" w:rsidRPr="007224C3" w14:paraId="029D15E6" w14:textId="77777777">
        <w:trPr>
          <w:jc w:val="center"/>
        </w:trPr>
        <w:tc>
          <w:tcPr>
            <w:tcW w:w="6965" w:type="dxa"/>
          </w:tcPr>
          <w:p w14:paraId="68F0B02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балласт</w:t>
            </w:r>
          </w:p>
        </w:tc>
        <w:tc>
          <w:tcPr>
            <w:tcW w:w="2395" w:type="dxa"/>
          </w:tcPr>
          <w:p w14:paraId="74A1EA0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 кг</w:t>
            </w:r>
          </w:p>
        </w:tc>
      </w:tr>
      <w:tr w:rsidR="005106D0" w:rsidRPr="007224C3" w14:paraId="175E8658" w14:textId="77777777">
        <w:trPr>
          <w:jc w:val="center"/>
        </w:trPr>
        <w:tc>
          <w:tcPr>
            <w:tcW w:w="6965" w:type="dxa"/>
          </w:tcPr>
          <w:p w14:paraId="5F5DC0F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горючее и смазочное</w:t>
            </w:r>
          </w:p>
        </w:tc>
        <w:tc>
          <w:tcPr>
            <w:tcW w:w="2395" w:type="dxa"/>
          </w:tcPr>
          <w:p w14:paraId="2ABFB3B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85 кг</w:t>
            </w:r>
          </w:p>
        </w:tc>
      </w:tr>
      <w:tr w:rsidR="005106D0" w:rsidRPr="007224C3" w14:paraId="57DD3881" w14:textId="77777777">
        <w:trPr>
          <w:jc w:val="center"/>
        </w:trPr>
        <w:tc>
          <w:tcPr>
            <w:tcW w:w="6965" w:type="dxa"/>
            <w:tcBorders>
              <w:bottom w:val="single" w:sz="12" w:space="0" w:color="auto"/>
            </w:tcBorders>
          </w:tcPr>
          <w:p w14:paraId="2054920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Весовая отдача</w:t>
            </w:r>
          </w:p>
        </w:tc>
        <w:tc>
          <w:tcPr>
            <w:tcW w:w="2395" w:type="dxa"/>
            <w:tcBorders>
              <w:bottom w:val="single" w:sz="12" w:space="0" w:color="auto"/>
            </w:tcBorders>
          </w:tcPr>
          <w:p w14:paraId="6773930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 18,6 %</w:t>
            </w:r>
          </w:p>
        </w:tc>
      </w:tr>
    </w:tbl>
    <w:p w14:paraId="5CCDA473" w14:textId="77777777" w:rsidR="00595BFB" w:rsidRPr="007224C3" w:rsidRDefault="00595BFB" w:rsidP="007224C3">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ОПИСАНИЕ КОНСТРУКЦИИ АЭРОСТАТА </w:t>
      </w:r>
    </w:p>
    <w:p w14:paraId="582AA5B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Матерчатая группа</w:t>
      </w:r>
    </w:p>
    <w:p w14:paraId="77246AC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а/ Оболочка аэростата представляет из себя тело вращения, имеющее следующие основные характеристики:</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6926"/>
        <w:gridCol w:w="2433"/>
      </w:tblGrid>
      <w:tr w:rsidR="005106D0" w:rsidRPr="007224C3" w14:paraId="3F7E7B60" w14:textId="77777777">
        <w:tc>
          <w:tcPr>
            <w:tcW w:w="6926" w:type="dxa"/>
            <w:tcBorders>
              <w:top w:val="single" w:sz="12" w:space="0" w:color="auto"/>
            </w:tcBorders>
          </w:tcPr>
          <w:p w14:paraId="4B21DD9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Длина</w:t>
            </w:r>
          </w:p>
        </w:tc>
        <w:tc>
          <w:tcPr>
            <w:tcW w:w="2433" w:type="dxa"/>
            <w:tcBorders>
              <w:top w:val="single" w:sz="12" w:space="0" w:color="auto"/>
            </w:tcBorders>
          </w:tcPr>
          <w:p w14:paraId="6D3FB13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L = 30 м</w:t>
            </w:r>
          </w:p>
        </w:tc>
      </w:tr>
      <w:tr w:rsidR="005106D0" w:rsidRPr="007224C3" w14:paraId="243990E3" w14:textId="77777777">
        <w:tc>
          <w:tcPr>
            <w:tcW w:w="6926" w:type="dxa"/>
          </w:tcPr>
          <w:p w14:paraId="724FD70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Диаметр миделя</w:t>
            </w:r>
          </w:p>
        </w:tc>
        <w:tc>
          <w:tcPr>
            <w:tcW w:w="2433" w:type="dxa"/>
          </w:tcPr>
          <w:p w14:paraId="7BF940D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w:t>
            </w:r>
            <w:r w:rsidRPr="007224C3">
              <w:rPr>
                <w:rFonts w:ascii="Times New Roman" w:hAnsi="Times New Roman"/>
                <w:color w:val="000000" w:themeColor="text1"/>
                <w:sz w:val="16"/>
                <w:szCs w:val="16"/>
                <w:vertAlign w:val="subscript"/>
              </w:rPr>
              <w:t>м</w:t>
            </w:r>
            <w:r w:rsidRPr="007224C3">
              <w:rPr>
                <w:rFonts w:ascii="Times New Roman" w:hAnsi="Times New Roman"/>
                <w:color w:val="000000" w:themeColor="text1"/>
                <w:sz w:val="16"/>
                <w:szCs w:val="16"/>
              </w:rPr>
              <w:t xml:space="preserve"> = 8,62 м</w:t>
            </w:r>
          </w:p>
        </w:tc>
      </w:tr>
      <w:tr w:rsidR="005106D0" w:rsidRPr="007224C3" w14:paraId="7674798A" w14:textId="77777777">
        <w:tc>
          <w:tcPr>
            <w:tcW w:w="6926" w:type="dxa"/>
          </w:tcPr>
          <w:p w14:paraId="4F78160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Удлинение</w:t>
            </w:r>
          </w:p>
        </w:tc>
        <w:tc>
          <w:tcPr>
            <w:tcW w:w="2433" w:type="dxa"/>
          </w:tcPr>
          <w:p w14:paraId="4CF1E1E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 3,48</w:t>
            </w:r>
          </w:p>
        </w:tc>
      </w:tr>
      <w:tr w:rsidR="005106D0" w:rsidRPr="007224C3" w14:paraId="57376D9A" w14:textId="77777777">
        <w:tc>
          <w:tcPr>
            <w:tcW w:w="6926" w:type="dxa"/>
          </w:tcPr>
          <w:p w14:paraId="6D67916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Поверхность</w:t>
            </w:r>
          </w:p>
        </w:tc>
        <w:tc>
          <w:tcPr>
            <w:tcW w:w="2433" w:type="dxa"/>
          </w:tcPr>
          <w:p w14:paraId="3942EAD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S</w:t>
            </w:r>
            <w:r w:rsidRPr="007224C3">
              <w:rPr>
                <w:rFonts w:ascii="Times New Roman" w:hAnsi="Times New Roman"/>
                <w:color w:val="000000" w:themeColor="text1"/>
                <w:sz w:val="16"/>
                <w:szCs w:val="16"/>
                <w:vertAlign w:val="subscript"/>
              </w:rPr>
              <w:t>об</w:t>
            </w:r>
            <w:r w:rsidRPr="007224C3">
              <w:rPr>
                <w:rFonts w:ascii="Times New Roman" w:hAnsi="Times New Roman"/>
                <w:color w:val="000000" w:themeColor="text1"/>
                <w:sz w:val="16"/>
                <w:szCs w:val="16"/>
              </w:rPr>
              <w:t>. = 605 м</w:t>
            </w:r>
            <w:r w:rsidRPr="007224C3">
              <w:rPr>
                <w:rFonts w:ascii="Times New Roman" w:hAnsi="Times New Roman"/>
                <w:color w:val="000000" w:themeColor="text1"/>
                <w:sz w:val="16"/>
                <w:szCs w:val="16"/>
                <w:vertAlign w:val="superscript"/>
              </w:rPr>
              <w:t>2</w:t>
            </w:r>
          </w:p>
        </w:tc>
      </w:tr>
      <w:tr w:rsidR="005106D0" w:rsidRPr="007224C3" w14:paraId="08892D30" w14:textId="77777777">
        <w:tc>
          <w:tcPr>
            <w:tcW w:w="6926" w:type="dxa"/>
          </w:tcPr>
          <w:p w14:paraId="04749BB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Расстояние миделя от носа</w:t>
            </w:r>
          </w:p>
        </w:tc>
        <w:tc>
          <w:tcPr>
            <w:tcW w:w="2433" w:type="dxa"/>
          </w:tcPr>
          <w:p w14:paraId="08859A9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l = 7,6 м</w:t>
            </w:r>
          </w:p>
        </w:tc>
      </w:tr>
      <w:tr w:rsidR="005106D0" w:rsidRPr="007224C3" w14:paraId="1D4943FC" w14:textId="77777777">
        <w:tc>
          <w:tcPr>
            <w:tcW w:w="6926" w:type="dxa"/>
            <w:tcBorders>
              <w:bottom w:val="single" w:sz="12" w:space="0" w:color="auto"/>
            </w:tcBorders>
          </w:tcPr>
          <w:p w14:paraId="11974E1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Абсцисса центра объема</w:t>
            </w:r>
          </w:p>
        </w:tc>
        <w:tc>
          <w:tcPr>
            <w:tcW w:w="2433" w:type="dxa"/>
            <w:tcBorders>
              <w:bottom w:val="single" w:sz="12" w:space="0" w:color="auto"/>
            </w:tcBorders>
          </w:tcPr>
          <w:p w14:paraId="749BEFB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x = 12,115 м</w:t>
            </w:r>
          </w:p>
        </w:tc>
      </w:tr>
    </w:tbl>
    <w:p w14:paraId="1EC1ED0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Баллон аэростата изготовлен из двухслойной прорезиненной и алюминированной диагонально-дублированной материи ГА 220 /по заводской номенклатуре № 500/, состоящей из двух перкалей В.</w:t>
      </w:r>
    </w:p>
    <w:p w14:paraId="10AF985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Характеристики материи:</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6926"/>
        <w:gridCol w:w="2433"/>
      </w:tblGrid>
      <w:tr w:rsidR="005106D0" w:rsidRPr="007224C3" w14:paraId="424E365C" w14:textId="77777777">
        <w:tc>
          <w:tcPr>
            <w:tcW w:w="6926" w:type="dxa"/>
            <w:tcBorders>
              <w:top w:val="single" w:sz="12" w:space="0" w:color="auto"/>
            </w:tcBorders>
          </w:tcPr>
          <w:p w14:paraId="3B72FC5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Прочность по основе</w:t>
            </w:r>
          </w:p>
        </w:tc>
        <w:tc>
          <w:tcPr>
            <w:tcW w:w="2433" w:type="dxa"/>
            <w:tcBorders>
              <w:top w:val="single" w:sz="12" w:space="0" w:color="auto"/>
            </w:tcBorders>
          </w:tcPr>
          <w:p w14:paraId="4546A5A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650 кг/м</w:t>
            </w:r>
          </w:p>
        </w:tc>
      </w:tr>
      <w:tr w:rsidR="005106D0" w:rsidRPr="007224C3" w14:paraId="0AC39411" w14:textId="77777777">
        <w:tc>
          <w:tcPr>
            <w:tcW w:w="6926" w:type="dxa"/>
          </w:tcPr>
          <w:p w14:paraId="4D884BD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 квадр. Метра</w:t>
            </w:r>
          </w:p>
        </w:tc>
        <w:tc>
          <w:tcPr>
            <w:tcW w:w="2433" w:type="dxa"/>
          </w:tcPr>
          <w:p w14:paraId="00D1C6C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0,264 кг/м</w:t>
            </w:r>
            <w:r w:rsidRPr="007224C3">
              <w:rPr>
                <w:rFonts w:ascii="Times New Roman" w:hAnsi="Times New Roman"/>
                <w:color w:val="000000" w:themeColor="text1"/>
                <w:sz w:val="16"/>
                <w:szCs w:val="16"/>
                <w:vertAlign w:val="superscript"/>
              </w:rPr>
              <w:t>2</w:t>
            </w:r>
          </w:p>
        </w:tc>
      </w:tr>
      <w:tr w:rsidR="005106D0" w:rsidRPr="007224C3" w14:paraId="7503A9FC" w14:textId="77777777">
        <w:tc>
          <w:tcPr>
            <w:tcW w:w="6926" w:type="dxa"/>
            <w:tcBorders>
              <w:bottom w:val="single" w:sz="12" w:space="0" w:color="auto"/>
            </w:tcBorders>
          </w:tcPr>
          <w:p w14:paraId="0C14068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Газопроницаемость</w:t>
            </w:r>
          </w:p>
        </w:tc>
        <w:tc>
          <w:tcPr>
            <w:tcW w:w="2433" w:type="dxa"/>
            <w:tcBorders>
              <w:bottom w:val="single" w:sz="12" w:space="0" w:color="auto"/>
            </w:tcBorders>
          </w:tcPr>
          <w:p w14:paraId="774A35E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л/м</w:t>
            </w:r>
            <w:r w:rsidRPr="007224C3">
              <w:rPr>
                <w:rFonts w:ascii="Times New Roman" w:hAnsi="Times New Roman"/>
                <w:color w:val="000000" w:themeColor="text1"/>
                <w:sz w:val="16"/>
                <w:szCs w:val="16"/>
                <w:vertAlign w:val="superscript"/>
              </w:rPr>
              <w:t>2</w:t>
            </w:r>
            <w:r w:rsidRPr="007224C3">
              <w:rPr>
                <w:rFonts w:ascii="Times New Roman" w:hAnsi="Times New Roman"/>
                <w:color w:val="000000" w:themeColor="text1"/>
                <w:sz w:val="16"/>
                <w:szCs w:val="16"/>
              </w:rPr>
              <w:t xml:space="preserve"> в сутки</w:t>
            </w:r>
          </w:p>
        </w:tc>
      </w:tr>
    </w:tbl>
    <w:p w14:paraId="289D2BE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Раскрой оболочки трапециевидный, с разбивкой на 6 одинаковых полотнищ. Каждое полотнище состоит из 40 трапеций, расположенных по оболочке в шахматном порядке. На всех полотнищах основа направлена перпендикулярно меридианам. Трапеции между собой соединены двухрядным швом нитками № 3 с пересклейкой 20 мм.</w:t>
      </w:r>
    </w:p>
    <w:p w14:paraId="30A9DA1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Снаружи на швы наклеена одна лента, с внутренней стороны – 2 ленты.</w:t>
      </w:r>
    </w:p>
    <w:p w14:paraId="7F1F8AE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На аэростате имеется один баллонет объемом 110 м</w:t>
      </w:r>
      <w:r w:rsidRPr="007224C3">
        <w:rPr>
          <w:rFonts w:ascii="Times New Roman" w:hAnsi="Times New Roman"/>
          <w:color w:val="000000" w:themeColor="text1"/>
          <w:sz w:val="16"/>
          <w:szCs w:val="16"/>
          <w:vertAlign w:val="superscript"/>
        </w:rPr>
        <w:t>3</w:t>
      </w:r>
      <w:r w:rsidRPr="007224C3">
        <w:rPr>
          <w:rFonts w:ascii="Times New Roman" w:hAnsi="Times New Roman"/>
          <w:color w:val="000000" w:themeColor="text1"/>
          <w:sz w:val="16"/>
          <w:szCs w:val="16"/>
        </w:rPr>
        <w:t>. Баллонет состоит из центральной части, имеющей форму цилиндра и 2-х торцов, образованных как части торов. Материалом для баллонета служит материя ГА 220, по конструкции аналогичная материи самой оболочки, но не алюминированная.</w:t>
      </w:r>
    </w:p>
    <w:p w14:paraId="782099C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Баллонет снабжен аппендиксом для наполнения его вентилятором, воздушным клапаном для выпуска воздуха и [неразборчиво] воздухоулавливателя для наполнения баллонета воздухом во время полета.</w:t>
      </w:r>
    </w:p>
    <w:p w14:paraId="15B7793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Для маневрирования аэростата на земле на оболочке имеется 6 поясных по 3 с каждого борта, присоединенных к параболическим мостикам.</w:t>
      </w:r>
    </w:p>
    <w:p w14:paraId="3AB2602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привязном варианте к 1-му и 3-му мостику крепятся уздечки привязного троса, а ко 2-му и 4-му мостику – подвесные стропы десантной гондолы ДТГ-1.</w:t>
      </w:r>
    </w:p>
    <w:p w14:paraId="681F162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моторизованном состоянии мотогондола подвешивается к 1, 2, 3 и 4 мостикам.</w:t>
      </w:r>
    </w:p>
    <w:p w14:paraId="0BA19E2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 Наполнение оболочки газом производится через аппендикс диаметром 550 мм, находящийся снизу в носовой части оболочки перед баллонетом.</w:t>
      </w:r>
    </w:p>
    <w:p w14:paraId="523DED2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 Разрывное приспособление нормального типа БД в нижней носовой части оболочки.</w:t>
      </w:r>
    </w:p>
    <w:p w14:paraId="2CC0C67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е/ Стягивающая система состоит из [неразборчиво] шнуров /по типу аэростата “540”/. Для крепления шнуров использованы пояса нормальной оболочки “БД”. Стягивающая система начинается от носа и кончается на 1 метр впереди оперения.</w:t>
      </w:r>
    </w:p>
    <w:p w14:paraId="7A8AAB6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Таким образом, кормовая часть оболочки имеет неизменяемую форму, что является необходимым условием для правильной работы расчалок оперения. Длины шнуров выбраны из расчета полной вытяжки при сверхдавлении 40 мм. вод. столба, что соответствует высоте подъема 600 мтр.</w:t>
      </w:r>
    </w:p>
    <w:p w14:paraId="34DD948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Минимальный объем /на земле/ имеет место при сверхдавлении 20 мм. водяного столба.</w:t>
      </w:r>
    </w:p>
    <w:p w14:paraId="33972B3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ж/ Носовое усиление аэростата было предусмотрено проектом в двух вариантах – в виде нормального усиления из деревянных реек и в виде внутреннего пневматического усиления из шлангов, надутых воздухом. Однако испытания показали, что носовое усиление вообще является излишним, ибо при полетном сверхдавлении - 40 мм. водяного столба /ложка/ не образуется, даже при максимальной скорости полета.</w:t>
      </w:r>
    </w:p>
    <w:p w14:paraId="4961138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Мотогондола</w:t>
      </w:r>
    </w:p>
    <w:p w14:paraId="2C37E1C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Гондола аэростата переделана из фюзеляжа самолета У-2. От фюзеляжа отнимается по плоскости разъема хвостовая часть /начиная от рамы № 2/. Разрез зашивается фанерной стенкой.</w:t>
      </w:r>
    </w:p>
    <w:p w14:paraId="76DCD20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Впереди рамы № 1 крепится бензобак емкостью 90 кг и маслобак на 10 кг. Вся винто-моторная группа: моторама с мотором, капот, газоуправление, зажигание, бензомаслосхема и т.д. взята целиком от самолета У-2.</w:t>
      </w:r>
    </w:p>
    <w:p w14:paraId="107133E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Винт типа У-2 диаметром 2,4 м и с шагом Н-1,52 метра.</w:t>
      </w:r>
    </w:p>
    <w:p w14:paraId="61DFE52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Гондола снабжена пуфом диаметром 900 мм., прикрепленным под гондолой и представляющим собой тело вращения, образованное в средней части цилиндром с двумя торцами в виде полушарий.</w:t>
      </w:r>
    </w:p>
    <w:p w14:paraId="6567D02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Оборудование</w:t>
      </w:r>
    </w:p>
    <w:p w14:paraId="5AA95C1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Управление аэростатом сосредоточено у первого пилота. Перед ним размещены:</w:t>
      </w:r>
    </w:p>
    <w:p w14:paraId="2E3E6B6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Приборы на приборной доске:</w:t>
      </w:r>
    </w:p>
    <w:p w14:paraId="2BAACC6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компас;</w:t>
      </w:r>
    </w:p>
    <w:p w14:paraId="52701C3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указатель скорости;</w:t>
      </w:r>
    </w:p>
    <w:p w14:paraId="31F6C4B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альтиметр;</w:t>
      </w:r>
    </w:p>
    <w:p w14:paraId="62E67C4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 вариометр;</w:t>
      </w:r>
    </w:p>
    <w:p w14:paraId="3F3B503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 аэротермометр.</w:t>
      </w:r>
    </w:p>
    <w:p w14:paraId="618046C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Газовый и воздушный манометры укреплены перед пилотом справа на стойке воздухоулавливателя.</w:t>
      </w:r>
    </w:p>
    <w:p w14:paraId="1129595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Сектора управления газом, опережением, подогревом, пожарным краном.</w:t>
      </w:r>
    </w:p>
    <w:p w14:paraId="7A54B51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Переключатель зажигания.</w:t>
      </w:r>
    </w:p>
    <w:p w14:paraId="1EB441C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Воздухоулавливатель находится над гондолой перед пилотом и укреплен на дюралевых трубчатых стойках. Ручка управления воздухоулавителем расположена над головой пилота.</w:t>
      </w:r>
    </w:p>
    <w:p w14:paraId="044CEE2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Под левой рукой пилота около сидения находится кольцо управления сбрасыванием гайдропа, укрепленного специальным поясом к днищу гондолы и ее кормовой части.</w:t>
      </w:r>
    </w:p>
    <w:p w14:paraId="1658124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Над головой пилота расположена тяга к разрывному полотнищу, справа тяга к воздушному клапану /находящемуся в нижней части баллонета/ и слева над головой – тяга к газовому клапану /расположенному на левом борту оболочки/. Оба клапана одинаковые типа КГ-16.</w:t>
      </w:r>
    </w:p>
    <w:p w14:paraId="4BC0E5C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Управление рулями высоты осуществляется при помощи штурвала, укрепленного на правом борту кабины. Управление рулями направления педального типа.</w:t>
      </w:r>
    </w:p>
    <w:p w14:paraId="423D17C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 Оперение</w:t>
      </w:r>
    </w:p>
    <w:p w14:paraId="3CC533F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Оперение – жесткое. Выполнено в виде трех одинаковых планов, расположенных друг к другу под углом в 120° . Общая площадь оперения – 44,52 кв. метра. Площадь стабилизатора – 11,58 кв.м. и площадь руля – 3,26 кв. м.</w:t>
      </w:r>
    </w:p>
    <w:p w14:paraId="7468217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Конструкция оперения – деревянная. Нервюры и лонжероны выполнены в виде двух поясных раскосных фермочек.</w:t>
      </w:r>
    </w:p>
    <w:p w14:paraId="59D8A0A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 толщина оперения – 180 мм. Шарниры рулей осуществлены по типу планерных – в виде ушковых и вильчатых болтов. Оперение обтянуто материей АСТ-100 и покрыто бесцветным и алюминированным лаком. Внутренний обвод стабилизатора пятью брезентовыми ремнями с пряжками присоединен к поясам, наклеенным на оболочку; дополнительно каждый стабилизатор укреплен шестью тросовыми расчалками – с тендерами, крепящимися к трубам, зашпагованным в поясах, наклеенных на оболочку.</w:t>
      </w:r>
    </w:p>
    <w:p w14:paraId="669913F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ЭКСПЛУАТАЦИЯ АЭРОСТАТА</w:t>
      </w:r>
    </w:p>
    <w:p w14:paraId="199EF18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привязном варианте эксплуатация аэростата “МАЛЫШ” производится аналогично эксплуатации нормального “БД”.</w:t>
      </w:r>
    </w:p>
    <w:p w14:paraId="01A3730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подтягивания к земле следует также применять систему механического подтягивания МПА-1, значительно облегчающую эту трудоемкую операцию.</w:t>
      </w:r>
    </w:p>
    <w:p w14:paraId="7680778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биваке, для предохранения нижнего стабилизатора, под оболочку подводится газгольдер, наполненный воздухом до такой степени, чтобы стабилизатор не доходил до земли на 0,5 – 0,7 м. В таком положении аэростат закрепляется.</w:t>
      </w:r>
    </w:p>
    <w:p w14:paraId="3975974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привязном варианте рули закреплены при помощи специального троса замками патефонного типа, присоединяемых к тросам штурпроводки к переднему ребру нижнего стабилизатора.</w:t>
      </w:r>
    </w:p>
    <w:p w14:paraId="6F38AD0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Трансформация в мотовариант производится на 15-20 минут путем освобождения рулей присоединения на карабинах строп гондолы, присоединения штурпроводки, шланга воздухоулавливателя и тяг к клапанам и разрывному.</w:t>
      </w:r>
    </w:p>
    <w:p w14:paraId="6C5378A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Эксплуатация “МАЛЫША” в мотоварианте, как показали испытания, требует незначительного количества команды и аналогична эксплуатации дирижабля минимального объема.</w:t>
      </w:r>
    </w:p>
    <w:p w14:paraId="5949847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РЕЗУЛЬТАТЫ НАЗЕМНЫХ И ЛЕТНЫХ</w:t>
      </w:r>
    </w:p>
    <w:p w14:paraId="746B168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ИСПЫТАНИЙ</w:t>
      </w:r>
    </w:p>
    <w:p w14:paraId="4B4B2DD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Испытания моторизованного аэростата “МАЛЫШ” проводились по специальной программе, при сем прилагаемой, утвержденной командиром 1 ОВД ВДВ КА – капитаном Фадеевым.</w:t>
      </w:r>
    </w:p>
    <w:p w14:paraId="1E29E54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В процессе проведения испытаний были допущены некоторые отклонения от программы в части последовательности отдельных испытаний. Однако все пункты программы были выполнены.</w:t>
      </w:r>
    </w:p>
    <w:p w14:paraId="484D7E4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связи с выявившейся необходимостью некоторых конструктивных переделок /перенесения оперения вперед/ отдельные испытательные полеты были повторены. Протоколы всех испытаний прилагаются.</w:t>
      </w:r>
    </w:p>
    <w:p w14:paraId="5FF341F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Следует также отметить, что кроме двух испытаний в привязном варианте /при старом и новом положении оперения/ аэростат использовался на нормальной эксплуатации по сбрасыванию парашютистов. Всего было произведено 68 подъемов, во время которых сброшено 192 парашютиста.</w:t>
      </w:r>
    </w:p>
    <w:p w14:paraId="1235789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Подъемы производились в различных метеоусловиях на обычной лебедке ЛВ-2 с привязным тросом диаметром 6,5 мм.</w:t>
      </w:r>
    </w:p>
    <w:p w14:paraId="286021F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Прыжки производились с гондолы ДТГ-1. Рабочая высота – 400 м. Сила ветра была от 0 до 12 м/сек.</w:t>
      </w:r>
    </w:p>
    <w:p w14:paraId="0B046DF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всех подъемах объект обнаруживал хорошую устойчивость, отсутствие бочения и малый снос.</w:t>
      </w:r>
    </w:p>
    <w:p w14:paraId="43FB065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Наземные испытания проводились: инж. капитаном ГАРФ, инж. капитаном УСТИНОВИЧ, ст. техником-лейтенантом КАРАМЫШЕВЫМ, мл. лейтенантом ИВАНОВЫМ, лейтенантом КОГАН, ст. лейтенантом РОЩИНЫМ.</w:t>
      </w:r>
    </w:p>
    <w:p w14:paraId="102E927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проведения летных испытаний объекта приказом по части была назначена комиссия в составе:</w:t>
      </w:r>
    </w:p>
    <w:p w14:paraId="65B4CF4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Председатель комиссии: командир 1 ОВД капитан Фадеев;</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152"/>
        <w:gridCol w:w="7207"/>
      </w:tblGrid>
      <w:tr w:rsidR="005106D0" w:rsidRPr="007224C3" w14:paraId="7B147051" w14:textId="77777777">
        <w:tc>
          <w:tcPr>
            <w:tcW w:w="2152" w:type="dxa"/>
            <w:tcBorders>
              <w:top w:val="single" w:sz="12" w:space="0" w:color="auto"/>
            </w:tcBorders>
          </w:tcPr>
          <w:p w14:paraId="64814CB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Члены комиссии:</w:t>
            </w:r>
          </w:p>
        </w:tc>
        <w:tc>
          <w:tcPr>
            <w:tcW w:w="7207" w:type="dxa"/>
            <w:tcBorders>
              <w:top w:val="single" w:sz="12" w:space="0" w:color="auto"/>
            </w:tcBorders>
          </w:tcPr>
          <w:p w14:paraId="4F689B2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конструктор объекта инж. капитан Гарф;</w:t>
            </w:r>
          </w:p>
        </w:tc>
      </w:tr>
      <w:tr w:rsidR="005106D0" w:rsidRPr="007224C3" w14:paraId="3267B8F8" w14:textId="77777777">
        <w:tc>
          <w:tcPr>
            <w:tcW w:w="2152" w:type="dxa"/>
          </w:tcPr>
          <w:p w14:paraId="5A25D52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7207" w:type="dxa"/>
          </w:tcPr>
          <w:p w14:paraId="786E16A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 инженер дивизиона – пилот объекта инж. капитан Устинович;</w:t>
            </w:r>
          </w:p>
        </w:tc>
      </w:tr>
      <w:tr w:rsidR="005106D0" w:rsidRPr="007224C3" w14:paraId="5D640255" w14:textId="77777777">
        <w:tc>
          <w:tcPr>
            <w:tcW w:w="2152" w:type="dxa"/>
          </w:tcPr>
          <w:p w14:paraId="502FD3D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7207" w:type="dxa"/>
          </w:tcPr>
          <w:p w14:paraId="55DEBF7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 мастерских – ст. т/л-т Степанов</w:t>
            </w:r>
          </w:p>
        </w:tc>
      </w:tr>
      <w:tr w:rsidR="005106D0" w:rsidRPr="007224C3" w14:paraId="5F7BDB5F" w14:textId="77777777">
        <w:tc>
          <w:tcPr>
            <w:tcW w:w="2152" w:type="dxa"/>
            <w:tcBorders>
              <w:bottom w:val="single" w:sz="12" w:space="0" w:color="auto"/>
            </w:tcBorders>
          </w:tcPr>
          <w:p w14:paraId="60BA695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7207" w:type="dxa"/>
            <w:tcBorders>
              <w:bottom w:val="single" w:sz="12" w:space="0" w:color="auto"/>
            </w:tcBorders>
          </w:tcPr>
          <w:p w14:paraId="6A6929F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Командир дирижабля В-12 ст. л-т Рощин</w:t>
            </w:r>
          </w:p>
        </w:tc>
      </w:tr>
    </w:tbl>
    <w:p w14:paraId="2D9BA1E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Полеты производились утром от 6 до 10 ч.</w:t>
      </w:r>
    </w:p>
    <w:p w14:paraId="469F055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Ввод и вывод объекта из эллинга производился стартовой командой в составе не более 12-14 человек.</w:t>
      </w:r>
    </w:p>
    <w:p w14:paraId="5D9BCB9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всего периода испытаний пришлось несколько раз трансформировать объект из привязника в дирижабль и обратно.</w:t>
      </w:r>
    </w:p>
    <w:p w14:paraId="3CDD5D0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Трансформация занимала каждый раз менее часа. При этом следует отметить, что все соединения отъемных частей осуществлялись не по проекту в виде легко разъемных конструкций /карабины/, а при помощи мальей и тендеров, что, конечно, сказывалось на времени трансформации.</w:t>
      </w:r>
    </w:p>
    <w:p w14:paraId="1346D03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условии замены этих соединений на легкоразъемные, время трансформации может быть доведено до 15-20 мин.</w:t>
      </w:r>
    </w:p>
    <w:p w14:paraId="1EAE1BA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основании проведенных испытаний комиссия пришла к следующим выводам:</w:t>
      </w:r>
    </w:p>
    <w:p w14:paraId="1866C6E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В привязном варианте объект обладает хорошей устойчивостью и не обнаруживает склонности к бочению или клевкам. Снос незначительный. Натяжение троса также не превышает нормы.</w:t>
      </w:r>
    </w:p>
    <w:p w14:paraId="39EA715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 эти характеристики у “МАЛЫША” значительно лучше, чем у нормального аэростата “БД”.</w:t>
      </w:r>
    </w:p>
    <w:p w14:paraId="720A675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Подъемная сила объекта в привязном варианте достаточна для нормальной выброски 3 человек парашютистов в штиль /летом/. При наличии ветра это количество повышается до 4-5 человек.</w:t>
      </w:r>
    </w:p>
    <w:p w14:paraId="142AC3C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В моторизованном варианте объект обладает хорошей устойчивостью и управляемостью как в вертикальной, так и в горизонтальной плоскостях.</w:t>
      </w:r>
    </w:p>
    <w:p w14:paraId="47A48C7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Затруднение поворота влево не является органическим дефектом конструкции и может быть устранено переклейкой пояса крепления стабилизатора.</w:t>
      </w:r>
    </w:p>
    <w:p w14:paraId="0EADAAC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Оригинальную схему трех жестких планов, расположенных под 120° друг к другу следует признать удачной.</w:t>
      </w:r>
    </w:p>
    <w:p w14:paraId="377CEC8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Педальное управление, впервые примененное для дирижабля, оправдывает себя полностью. Усилия на педали несколько высоки, особенно на левую ногу /вследствие большого угла отклонения руля влево/. Однако эти усилия легко уменьшить установкой компенсатора на руле направления, что может быть легко сделано без всякого изменения конструкции руля.</w:t>
      </w:r>
    </w:p>
    <w:p w14:paraId="4E89FFC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Конструкцию остальной матчасти объекта /клапана, улавливатель, подвеска гондолы, управление сбрасыванием гайдропа/ следует признать удачной и вполне отвечающей требованиям, предъявляемым к этим агрегатам.</w:t>
      </w:r>
    </w:p>
    <w:p w14:paraId="1F2588B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Весовые и летно-эксплуатационные характеристики объекта соответствуют расчетным данным.</w:t>
      </w:r>
    </w:p>
    <w:p w14:paraId="7DFAF37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ЗАКЛЮЧЕНИЕ</w:t>
      </w:r>
    </w:p>
    <w:p w14:paraId="1F5B7A1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Моторизованный аэростат “МАЛЫШ” конструкции инженер-капитана ГАРФ Б.А., спроектированный и построенный силами 1-го Отдельного Воздухоплавательного дивизиона ВДВ КА может быть допущен к нормальной эксплуатации в качестве привязного аэростата по тренировке парашютистов частей ВДВ КА.</w:t>
      </w:r>
    </w:p>
    <w:p w14:paraId="1367BE6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моторизованном варианте аэростат “МАЛЫШ” может быть использован для быстрой перебазировки отрядов, также для связи между отрядами.</w:t>
      </w:r>
    </w:p>
    <w:p w14:paraId="0E00BE3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Моторизованный аэростат “МАЛЫШ” с незначительными конструктивными изменениями может также быть применен в других организациях, а именно:</w:t>
      </w:r>
    </w:p>
    <w:p w14:paraId="4D8E891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В системе ГАУ КА, с использованием в качестве аэростата наблюдения и корректировки артиллерийской стрельбы.</w:t>
      </w:r>
    </w:p>
    <w:p w14:paraId="702F19C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этом случае необходимо изменить стягивающую систему для повышения зоны полной вытяжки шнуров.</w:t>
      </w:r>
    </w:p>
    <w:p w14:paraId="59FC542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В системе [неразборчиво] ВМФ для конвоирования судов и обнаружения подводных лодок противника. Аэростат может при этом эксплуатироваться как в привязном варианте /на борту морского судна/, так и в моторизованном варианте.</w:t>
      </w:r>
    </w:p>
    <w:p w14:paraId="4036832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последнем случае необходимо установить на борту рацию истребительного типа для связи с землей или с кораблями флота.</w:t>
      </w:r>
    </w:p>
    <w:p w14:paraId="0651BD6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В системе ГУСМП для ледовой разведки и проводки судов с базированием на палубе ледокола.</w:t>
      </w:r>
    </w:p>
    <w:p w14:paraId="08DC745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Аэростат при этом используется как в привязном, так и в моторизованном варианте для совершения кратковременных эпизодических полетов.</w:t>
      </w:r>
    </w:p>
    <w:p w14:paraId="0C67BF2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Установка рации в данном случае также необходима.</w:t>
      </w:r>
    </w:p>
    <w:p w14:paraId="031C8EE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Для постройки серии пробных аэростатов, необходимо провести следующие доводки и усовершенствование материальной части аэростата “МАЛЫШ”.</w:t>
      </w:r>
    </w:p>
    <w:p w14:paraId="79A266E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установить обтекатель к корме гондолы;</w:t>
      </w:r>
    </w:p>
    <w:p w14:paraId="66521D2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установить реперную ленту к стягивающей системе и к баллонету;</w:t>
      </w:r>
    </w:p>
    <w:p w14:paraId="773580B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усовершенствовать размещение балласта и управление сбрасыванием;</w:t>
      </w:r>
    </w:p>
    <w:p w14:paraId="5A96D52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 укоротить шланг воздухоподачи;</w:t>
      </w:r>
    </w:p>
    <w:p w14:paraId="677B09C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 уменьшить вес оперения;</w:t>
      </w:r>
    </w:p>
    <w:p w14:paraId="76324F3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е/ упростить процесс трансформации за счет использования легко разъемных деталей /карабинов, накладных замков и т.д./.</w:t>
      </w:r>
    </w:p>
    <w:p w14:paraId="0315AE8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С целью еще большего повышения эффективности работы моторизованного аэростата, комиссия считает необходимым приступить в ближайшее время к постройке аэростата подобного же типа /объемом в 1200 м</w:t>
      </w:r>
      <w:r w:rsidRPr="007224C3">
        <w:rPr>
          <w:rFonts w:ascii="Times New Roman" w:hAnsi="Times New Roman"/>
          <w:color w:val="000000" w:themeColor="text1"/>
          <w:sz w:val="16"/>
          <w:szCs w:val="16"/>
          <w:vertAlign w:val="superscript"/>
        </w:rPr>
        <w:t>3</w:t>
      </w:r>
      <w:r w:rsidRPr="007224C3">
        <w:rPr>
          <w:rFonts w:ascii="Times New Roman" w:hAnsi="Times New Roman"/>
          <w:color w:val="000000" w:themeColor="text1"/>
          <w:sz w:val="16"/>
          <w:szCs w:val="16"/>
        </w:rPr>
        <w:t>/, с использованием готовых частей конструкции:</w:t>
      </w:r>
    </w:p>
    <w:p w14:paraId="71D41CE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оболочки, имеющейся в распоряжении 1 ОВД;</w:t>
      </w:r>
    </w:p>
    <w:p w14:paraId="71665AF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оперения от дирижабля В-12, имеющегося в распоряжении 1 ОВД;</w:t>
      </w:r>
    </w:p>
    <w:p w14:paraId="7EBC560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фюзеляжа и винтомоторной группы самолета У-2, которые необходимо передать в распоряжение 1 ОВД.</w:t>
      </w:r>
    </w:p>
    <w:tbl>
      <w:tblPr>
        <w:tblW w:w="0" w:type="auto"/>
        <w:tblInd w:w="10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05" w:type="dxa"/>
          <w:right w:w="105" w:type="dxa"/>
        </w:tblCellMar>
        <w:tblLook w:val="0000" w:firstRow="0" w:lastRow="0" w:firstColumn="0" w:lastColumn="0" w:noHBand="0" w:noVBand="0"/>
      </w:tblPr>
      <w:tblGrid>
        <w:gridCol w:w="4785"/>
        <w:gridCol w:w="4785"/>
      </w:tblGrid>
      <w:tr w:rsidR="005106D0" w:rsidRPr="007224C3" w14:paraId="29BC8698" w14:textId="77777777">
        <w:tc>
          <w:tcPr>
            <w:tcW w:w="4785" w:type="dxa"/>
            <w:tcBorders>
              <w:top w:val="single" w:sz="12" w:space="0" w:color="auto"/>
            </w:tcBorders>
          </w:tcPr>
          <w:p w14:paraId="1A3D091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Председатель комиссии:</w:t>
            </w:r>
          </w:p>
          <w:p w14:paraId="3293446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Командир 1 ОВД ВДВ КА капитан</w:t>
            </w:r>
          </w:p>
        </w:tc>
        <w:tc>
          <w:tcPr>
            <w:tcW w:w="4785" w:type="dxa"/>
            <w:tcBorders>
              <w:top w:val="single" w:sz="12" w:space="0" w:color="auto"/>
            </w:tcBorders>
          </w:tcPr>
          <w:p w14:paraId="56B4C77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055E19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/ФАДЕЕВ/</w:t>
            </w:r>
          </w:p>
        </w:tc>
      </w:tr>
      <w:tr w:rsidR="005106D0" w:rsidRPr="007224C3" w14:paraId="02F94798" w14:textId="77777777">
        <w:tc>
          <w:tcPr>
            <w:tcW w:w="4785" w:type="dxa"/>
          </w:tcPr>
          <w:p w14:paraId="4084512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Члены комиссии:</w:t>
            </w:r>
          </w:p>
        </w:tc>
        <w:tc>
          <w:tcPr>
            <w:tcW w:w="4785" w:type="dxa"/>
          </w:tcPr>
          <w:p w14:paraId="2F2A408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BD830EA" w14:textId="77777777">
        <w:tc>
          <w:tcPr>
            <w:tcW w:w="4785" w:type="dxa"/>
          </w:tcPr>
          <w:p w14:paraId="303C449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 инженер 1 ОВД пилот аэростата</w:t>
            </w:r>
          </w:p>
          <w:p w14:paraId="131F714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инж. капитан</w:t>
            </w:r>
          </w:p>
        </w:tc>
        <w:tc>
          <w:tcPr>
            <w:tcW w:w="4785" w:type="dxa"/>
          </w:tcPr>
          <w:p w14:paraId="3849924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97D6D5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/УСТИНОВИЧ/</w:t>
            </w:r>
          </w:p>
        </w:tc>
      </w:tr>
      <w:tr w:rsidR="005106D0" w:rsidRPr="007224C3" w14:paraId="5BA04838" w14:textId="77777777">
        <w:tc>
          <w:tcPr>
            <w:tcW w:w="4785" w:type="dxa"/>
          </w:tcPr>
          <w:p w14:paraId="0FD9758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Главный конструктор аэростата</w:t>
            </w:r>
          </w:p>
          <w:p w14:paraId="247E5A7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инж. капитан</w:t>
            </w:r>
          </w:p>
        </w:tc>
        <w:tc>
          <w:tcPr>
            <w:tcW w:w="4785" w:type="dxa"/>
          </w:tcPr>
          <w:p w14:paraId="1E61575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760120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/ГАРФ/</w:t>
            </w:r>
          </w:p>
        </w:tc>
      </w:tr>
      <w:tr w:rsidR="005106D0" w:rsidRPr="007224C3" w14:paraId="31EBE1E1" w14:textId="77777777">
        <w:tc>
          <w:tcPr>
            <w:tcW w:w="4785" w:type="dxa"/>
          </w:tcPr>
          <w:p w14:paraId="2EFF769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Командир дирижабля В-12</w:t>
            </w:r>
          </w:p>
          <w:p w14:paraId="19756E6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 л-т</w:t>
            </w:r>
          </w:p>
        </w:tc>
        <w:tc>
          <w:tcPr>
            <w:tcW w:w="4785" w:type="dxa"/>
          </w:tcPr>
          <w:p w14:paraId="491A10D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8048EE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/РОЩИН/</w:t>
            </w:r>
          </w:p>
        </w:tc>
      </w:tr>
      <w:tr w:rsidR="005106D0" w:rsidRPr="007224C3" w14:paraId="70CC0DBD" w14:textId="77777777">
        <w:tc>
          <w:tcPr>
            <w:tcW w:w="4785" w:type="dxa"/>
          </w:tcPr>
          <w:p w14:paraId="41454F0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 мастерских 1 ОВД</w:t>
            </w:r>
          </w:p>
          <w:p w14:paraId="1AF594A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 т/л-т</w:t>
            </w:r>
          </w:p>
        </w:tc>
        <w:tc>
          <w:tcPr>
            <w:tcW w:w="4785" w:type="dxa"/>
          </w:tcPr>
          <w:p w14:paraId="5A54FE6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9B145B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/СТЕПАНОВ/</w:t>
            </w:r>
          </w:p>
        </w:tc>
      </w:tr>
      <w:tr w:rsidR="005106D0" w:rsidRPr="007224C3" w14:paraId="6E999BEA" w14:textId="77777777">
        <w:tc>
          <w:tcPr>
            <w:tcW w:w="4785" w:type="dxa"/>
            <w:tcBorders>
              <w:bottom w:val="single" w:sz="12" w:space="0" w:color="auto"/>
            </w:tcBorders>
          </w:tcPr>
          <w:p w14:paraId="5F37F57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утверждению согласен.:</w:t>
            </w:r>
          </w:p>
          <w:p w14:paraId="00D075A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Главный инженер авиации ВДВ КА</w:t>
            </w:r>
          </w:p>
          <w:p w14:paraId="583D591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Инженер-подполковник</w:t>
            </w:r>
          </w:p>
        </w:tc>
        <w:tc>
          <w:tcPr>
            <w:tcW w:w="4785" w:type="dxa"/>
            <w:tcBorders>
              <w:bottom w:val="single" w:sz="12" w:space="0" w:color="auto"/>
            </w:tcBorders>
          </w:tcPr>
          <w:p w14:paraId="448F724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E20694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C72E3C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/НАХВАНОВИЧ/</w:t>
            </w:r>
          </w:p>
        </w:tc>
      </w:tr>
    </w:tbl>
    <w:p w14:paraId="15FF508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(11080)</w:t>
      </w:r>
    </w:p>
    <w:p w14:paraId="7EC2047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43241DD"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4715A63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49620E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20 мая 1944 г. вышел ПРИКАЗ НАРОДНОГО КОМИССАРА ТАНКОВОЙ ПРОМЫШЛЕННОСТИ, КОМАНДУЮЩЕГО БТ и МВ КА И НАЧАЛЬНИКА ГАУ КА ОБ ИСПЫТАНИИ ЗЕНИТНОЙ УСТАНОВКИ НА ТАНКЕ ИС И АРТУСТАНОВКЕ ИСУ-152 №340/089/0316</w:t>
      </w:r>
    </w:p>
    <w:p w14:paraId="2E7871F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проведения испытаний опытного образца зенитной установки 12,7-мм пулемета ДШК, из</w:t>
      </w:r>
      <w:r w:rsidRPr="007224C3">
        <w:rPr>
          <w:rFonts w:ascii="Times New Roman" w:hAnsi="Times New Roman"/>
          <w:color w:val="000000" w:themeColor="text1"/>
          <w:sz w:val="16"/>
          <w:szCs w:val="16"/>
        </w:rPr>
        <w:softHyphen/>
        <w:t>готовленной заводом №100 назначаем комиссию в составе:</w:t>
      </w:r>
    </w:p>
    <w:p w14:paraId="5DB7FD5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Председатель: командир 33-го учебного полка самоходной артиллерии полковник т. Васильев.</w:t>
      </w:r>
    </w:p>
    <w:p w14:paraId="767F0E2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Членов: от ГБТУ КА: ст. пом. нач. 3-го отдела УСА ГБТУ КА инженер-майор т. Василевский.</w:t>
      </w:r>
    </w:p>
    <w:p w14:paraId="034EF1A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 военпред ГБТУ КА на заводе №100 инженер-подполковник т. Вовк.</w:t>
      </w:r>
    </w:p>
    <w:p w14:paraId="0699FE9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 ГАУ КА: нач. арт. отдела филиала НИПСВО инженер-майор т. Розенштейн.</w:t>
      </w:r>
    </w:p>
    <w:p w14:paraId="5CC7EB8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 завода №100 — по назначению директора завода №100.</w:t>
      </w:r>
    </w:p>
    <w:p w14:paraId="7CA3654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Испытание опытного образца зенитной установки провести по программе артиллерийского комитета ГАУ КА и Главного бронетанкового управления.</w:t>
      </w:r>
    </w:p>
    <w:p w14:paraId="237093F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Испытания проводятся на филиале НИПСВО г. Чебаркуль в период с 20 по 28 мая с. г.</w:t>
      </w:r>
    </w:p>
    <w:p w14:paraId="30E9D98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По результатам испытаний комиссии представить отчет и дать заключение о возможности принятия зенитной установки на вооружение танка ИС и самоходной арт. установки ИСУ-152.</w:t>
      </w:r>
    </w:p>
    <w:p w14:paraId="164AE59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Начальнику УСБ ГАУ КА подать на испытания 3000 штук 12,7-мм патронов ДШК (в возмеще</w:t>
      </w:r>
      <w:r w:rsidRPr="007224C3">
        <w:rPr>
          <w:rFonts w:ascii="Times New Roman" w:hAnsi="Times New Roman"/>
          <w:color w:val="000000" w:themeColor="text1"/>
          <w:sz w:val="16"/>
          <w:szCs w:val="16"/>
        </w:rPr>
        <w:softHyphen/>
        <w:t>ние произведенного расхода).</w:t>
      </w:r>
    </w:p>
    <w:p w14:paraId="52577C2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Директору завода №100 обеспечить комиссию питанием и жильем.</w:t>
      </w:r>
    </w:p>
    <w:p w14:paraId="0142758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Народный комиссар танковой промышленности В. Малышев</w:t>
      </w:r>
    </w:p>
    <w:p w14:paraId="6DA4817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Заместитель командующего БТ и МВ КА генерал-полковник танковых войск В. Коробков</w:t>
      </w:r>
    </w:p>
    <w:p w14:paraId="5B073A2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ГАУ КА маршал артиллерии Н. Яковлев</w:t>
      </w:r>
    </w:p>
    <w:p w14:paraId="3F4F991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38. Оп. 11355. Д. 2211. Л. 21. Копия (11420).</w:t>
      </w:r>
    </w:p>
    <w:p w14:paraId="6BB1629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F204D7E"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мая 1944 года вышел приказ № 271с НКБ</w:t>
      </w:r>
    </w:p>
    <w:p w14:paraId="6549A061"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соответствии с распоряжением СНК от 20 мая 1944 года № 10984рс:</w:t>
      </w:r>
    </w:p>
    <w:p w14:paraId="549A9FA0"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Присвоить № 503 снаряжательному заводу НКБ, выделенному из состава завода № 15 НКБ (6015, 51).</w:t>
      </w:r>
    </w:p>
    <w:p w14:paraId="4AEA96AA"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4A2D3EC" w14:textId="77777777" w:rsidR="00D56B87" w:rsidRPr="007224C3" w:rsidRDefault="00D56B87" w:rsidP="007224C3">
      <w:pPr>
        <w:pStyle w:val="ae"/>
        <w:shd w:val="clear" w:color="auto" w:fill="FFFFFF"/>
        <w:spacing w:before="0" w:after="0"/>
        <w:jc w:val="both"/>
        <w:rPr>
          <w:color w:val="000000" w:themeColor="text1"/>
          <w:sz w:val="16"/>
          <w:szCs w:val="16"/>
        </w:rPr>
      </w:pPr>
      <w:r w:rsidRPr="007224C3">
        <w:rPr>
          <w:color w:val="000000" w:themeColor="text1"/>
          <w:sz w:val="16"/>
          <w:szCs w:val="16"/>
        </w:rPr>
        <w:t>20 мая 1944 на ЧКЗ закончились работы по монтажу оборудования в механических цехах. Существенным образом на работу в мае повлияло отсутствие задела по деталям. 2/3 месяца завод работал не в полную силу, зато оставшуюся декаду выполнял план в авральном режиме. Для помощи в сборке в цеха было направлено много рабочих с других заводов Челябинска. Разумеется, это повлияло на качество. За май ЧКЗ должен был выпустить 175 ИС-2, 135 ИСУ-152 и 90 ИС-2, последние танки из этого плана были сданы к 4 июня (17721).</w:t>
      </w:r>
    </w:p>
    <w:p w14:paraId="15A8C83F" w14:textId="77777777" w:rsidR="00D56B87" w:rsidRPr="007224C3" w:rsidRDefault="00D56B87" w:rsidP="007224C3">
      <w:pPr>
        <w:pStyle w:val="123"/>
        <w:shd w:val="clear" w:color="auto" w:fill="auto"/>
        <w:spacing w:after="0" w:line="240" w:lineRule="auto"/>
        <w:jc w:val="both"/>
        <w:rPr>
          <w:color w:val="000000" w:themeColor="text1"/>
          <w:sz w:val="16"/>
          <w:szCs w:val="16"/>
        </w:rPr>
      </w:pPr>
    </w:p>
    <w:p w14:paraId="0716E59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мая 1944 вышло Распоряжение ГКО № 5934. О производстве вентиляторов высокого давления по заказам НКТП. РГАНИР, Фонд ГКО, д. 255, лл. 10,11 (11012).</w:t>
      </w:r>
    </w:p>
    <w:p w14:paraId="147391E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0B0100C"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мая 1944 вышло Распоряжение ГКО № 5935 [Об отмене выделения Главсеверолесу двух пароходов.] (7234, 12).</w:t>
      </w:r>
    </w:p>
    <w:p w14:paraId="6D6475BF"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20614FA"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мая 1944 вышло Постановление ГКО № 5936 [О фондах снабжения наркоматов и ведомств автобензином на май 1944 г.] (7234, 13,14-16).</w:t>
      </w:r>
    </w:p>
    <w:p w14:paraId="7E5F8692"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1BA816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мая 1944 года была подготовлена справка:</w:t>
      </w:r>
    </w:p>
    <w:p w14:paraId="5B02474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 217 НКВ – Свердловск (9283).</w:t>
      </w:r>
    </w:p>
    <w:p w14:paraId="0175048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 622 – Ижевск (9283).</w:t>
      </w:r>
    </w:p>
    <w:p w14:paraId="013B561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622F7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мая 1944 На Адмиралтейском заводе начаты швартовные испытания 13-го МБК (10671).</w:t>
      </w:r>
    </w:p>
    <w:p w14:paraId="3DC379F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F2A33BA"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610F0EE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9BAC34E" w14:textId="77777777" w:rsidR="005F2ECF" w:rsidRPr="007224C3" w:rsidRDefault="005F2ECF"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20 мая</w:t>
      </w:r>
      <w:r w:rsidRPr="007224C3">
        <w:rPr>
          <w:rFonts w:ascii="Times New Roman" w:hAnsi="Times New Roman"/>
          <w:color w:val="000000" w:themeColor="text1"/>
          <w:sz w:val="16"/>
          <w:szCs w:val="16"/>
        </w:rPr>
        <w:t xml:space="preserve"> в 1944 году оперативная сводка Совинформбюро:</w:t>
      </w:r>
    </w:p>
    <w:p w14:paraId="2CE33A97" w14:textId="77777777" w:rsidR="005F2ECF" w:rsidRPr="007224C3" w:rsidRDefault="005F2EC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20 мая на фронтах существенных изменений не произошло. За 19 мая в воздушных боях и огнём зенитной артиллерии сбит 31 самолёт противника.</w:t>
      </w:r>
    </w:p>
    <w:p w14:paraId="244B6FA0" w14:textId="77777777" w:rsidR="005F2ECF" w:rsidRPr="007224C3" w:rsidRDefault="005F2EC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Северо-западнее города Тирасполь немцы силою до батальона пехоты несколько раз переходили в атаку. Советские гвардейцы артиллерийско-миномётным и пулемётным огнём отбили все атаки противника и истребили две роты гитлеровцев.</w:t>
      </w:r>
    </w:p>
    <w:p w14:paraId="7D060C83" w14:textId="77777777" w:rsidR="005F2ECF" w:rsidRPr="007224C3" w:rsidRDefault="005F2EC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Юго-восточнее города Станислав бойцы Н-ской части продолжали отбивать атаки противника, пытавшегося овладеть выгодным рубежом. Наши подразделения прочно удерживают этот рубеж. На поле боя осталось до 400 убитых немецких солдат и офицеров и 2 подбитых самоходных орудия противника. Взяты пленные.</w:t>
      </w:r>
    </w:p>
    <w:p w14:paraId="6C1AF10D" w14:textId="77777777" w:rsidR="005F2ECF" w:rsidRPr="007224C3" w:rsidRDefault="005F2EC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Юго-восточнее города Витебск немцы пытались вернуть высоту, занятую вчера нашими подразделениями. Советские бойцы закрепились на новых позициях и успешно отразили все атаки противника. За два дня боёв на этом участке наши подразделения истребили более 200 гитлеровцев.</w:t>
      </w:r>
    </w:p>
    <w:p w14:paraId="609E7C7A" w14:textId="77777777" w:rsidR="005F2ECF" w:rsidRPr="007224C3" w:rsidRDefault="005F2EC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города Мозырь разведчики под руководством младшего лейтенанта Семихова ночью тремя группами перешли болото и ворвались в расположение противника. Старший сержант Бедельбаев, красноармейцы Новиков и Дубровцев забросали гранатами дзот, уничтожили четырёх немцев, а одного взяли в плен. Красноармейцы Липецкий, Дубов и Кромар взорвали другой вражеский дзот, убили двух немцев, а одного захватили в плен. Разведчик Исаков из автомата убил трёх немецких солдат, бежавших к месту боя. Таким образом, всего разведчики уничтожили 9 немцев, разрушили два дзота, захватили двух пленных, один пулемёт и благополучно вернулись в свою часть.</w:t>
      </w:r>
    </w:p>
    <w:p w14:paraId="3B1A3ECB" w14:textId="77777777" w:rsidR="005F2ECF" w:rsidRPr="007224C3" w:rsidRDefault="005F2EC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Авиация Краснознамённого Балтийского флота нанесла бомбово-штурмовой удар по судам противника в Финском заливе. Прямыми попаданиями бомб потоплены два сторожевых корабля, две быстроходные десантные баржи и сторожевой катер. В воздушных боях наши лётчики сбили 15 немецких самолётов.</w:t>
      </w:r>
    </w:p>
    <w:p w14:paraId="78E7CFDA" w14:textId="77777777" w:rsidR="005F2ECF" w:rsidRPr="007224C3" w:rsidRDefault="005F2EC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Группа литовских партизан из отряда «Вильнюс» пустила под откос два эшелона противника. Разбиты 2 паровоза и 23 платформы с танками. Другая группа партизан этого же отряда пустила под откос три немецких воинских поезда. Один из эшелонов был взорван в тот момент, когда он проходил по железнодорожному мосту. Поезд свалился с моста. Паровоз и все вагоны разбиты в щепы.</w:t>
      </w:r>
    </w:p>
    <w:p w14:paraId="701DE3CA" w14:textId="77777777" w:rsidR="005F2ECF" w:rsidRPr="007224C3" w:rsidRDefault="005F2EC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сторону Красной Армии перешли две группы солдат 5 румынской кавалерийской дивизии. Перебежчик сержант Олег К. сообщил: «В Румынии царит паника. Дороги запружены беженцами, среди которых много немцев, бежавших из Украины. Дезертирство из румынской армии приняло большие размеры. Крестьяне оказывают дезертирам помощь и укрывают их от жандармов. Недавно в городе Яссы немцы расстреляли 17 солдат из 16 румынского полка. Расправа немцев над румынскими солдатами вызвала огромное возмущение среди населения города. Через несколько дней неизвестные лица убили немецкого полковника и двух солдат».</w:t>
      </w:r>
    </w:p>
    <w:p w14:paraId="45B8B77D" w14:textId="77777777" w:rsidR="005F2ECF" w:rsidRPr="007224C3" w:rsidRDefault="005F2EC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Перебежчик Василе Б. рассказал: «Неделю тому назад наша группа в 11 человек решила организованно перейти к русским. Так как немцы неусыпно следили за нами, мы пошли на хитрость. Между нашими и русскими окопами стояли два противотанковых орудия, брошенных немцами при отступлении. Я заявил немецкому фельдфебелю, что моему отделению поручено доставить эти орудия в наше расположение. Я просил фельдфебеля предупредить немецких солдат, чтобы они не стреляли. Немцы действительно не открывали огня. Для вида мы некоторое время повозились у пушек, а затем всей группой благополучно добрались до русских позиций и сдались в плен» (14897).</w:t>
      </w:r>
    </w:p>
    <w:p w14:paraId="5A642108" w14:textId="77777777" w:rsidR="005F2ECF" w:rsidRPr="007224C3" w:rsidRDefault="005F2ECF" w:rsidP="007224C3">
      <w:pPr>
        <w:spacing w:after="0" w:line="240" w:lineRule="auto"/>
        <w:jc w:val="both"/>
        <w:rPr>
          <w:rFonts w:ascii="Times New Roman" w:hAnsi="Times New Roman"/>
          <w:color w:val="000000" w:themeColor="text1"/>
          <w:sz w:val="16"/>
          <w:szCs w:val="16"/>
        </w:rPr>
      </w:pPr>
    </w:p>
    <w:p w14:paraId="4E541BF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мая 1944 НКВД выделил сроком на 3 месяца для дополнительного питания военнопленных 35 тыс. пайков (3428).</w:t>
      </w:r>
    </w:p>
    <w:p w14:paraId="0BC136A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59BA46"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7224C3">
        <w:rPr>
          <w:rFonts w:ascii="Times New Roman" w:hAnsi="Times New Roman"/>
          <w:i/>
          <w:iCs/>
          <w:color w:val="000000" w:themeColor="text1"/>
          <w:sz w:val="16"/>
          <w:szCs w:val="16"/>
        </w:rPr>
        <w:t>За</w:t>
      </w:r>
      <w:r w:rsidRPr="007224C3">
        <w:rPr>
          <w:rFonts w:ascii="Times New Roman" w:hAnsi="Times New Roman"/>
          <w:i/>
          <w:iCs/>
          <w:color w:val="000000" w:themeColor="text1"/>
          <w:sz w:val="16"/>
          <w:szCs w:val="16"/>
          <w:lang w:val="en-US"/>
        </w:rPr>
        <w:t xml:space="preserve"> </w:t>
      </w:r>
      <w:r w:rsidRPr="007224C3">
        <w:rPr>
          <w:rFonts w:ascii="Times New Roman" w:hAnsi="Times New Roman"/>
          <w:i/>
          <w:iCs/>
          <w:color w:val="000000" w:themeColor="text1"/>
          <w:sz w:val="16"/>
          <w:szCs w:val="16"/>
        </w:rPr>
        <w:t>рубежом</w:t>
      </w:r>
      <w:r w:rsidRPr="007224C3">
        <w:rPr>
          <w:rFonts w:ascii="Times New Roman" w:hAnsi="Times New Roman"/>
          <w:i/>
          <w:iCs/>
          <w:color w:val="000000" w:themeColor="text1"/>
          <w:sz w:val="16"/>
          <w:szCs w:val="16"/>
          <w:lang w:val="en-US"/>
        </w:rPr>
        <w:t>:</w:t>
      </w:r>
    </w:p>
    <w:p w14:paraId="234BC59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2CE88B4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May 20th, 1944: Nearly 5,000 Allied aircraft attack airfields and rail communications in France and Belgium (3819).</w:t>
      </w:r>
    </w:p>
    <w:p w14:paraId="7034C11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2E0916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мая 1944 в атаках на аэродромы во Франции и Бельгии приняло участие около 5000 самолетов союзников (3918).</w:t>
      </w:r>
    </w:p>
    <w:p w14:paraId="6C380F6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44D3FC" w14:textId="77777777" w:rsidR="001D1ADE" w:rsidRPr="007224C3" w:rsidRDefault="001D1ADE"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20 мая 1944 налет американской авиации на остров Маркус (20373).</w:t>
      </w:r>
    </w:p>
    <w:p w14:paraId="2E853DCB" w14:textId="77777777" w:rsidR="001D1ADE" w:rsidRPr="007224C3" w:rsidRDefault="001D1ADE" w:rsidP="007224C3">
      <w:pPr>
        <w:spacing w:after="0" w:line="240" w:lineRule="auto"/>
        <w:jc w:val="both"/>
        <w:rPr>
          <w:rFonts w:ascii="Times New Roman" w:hAnsi="Times New Roman"/>
          <w:color w:val="0070C0"/>
          <w:sz w:val="16"/>
          <w:szCs w:val="16"/>
        </w:rPr>
      </w:pPr>
    </w:p>
    <w:p w14:paraId="3DB32E6B"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1E08969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A86D36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 мая 1944 состоялся первый полет СДБ-первого А.Н.Т. (4,180).</w:t>
      </w:r>
    </w:p>
    <w:p w14:paraId="31693CD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Это была модификация опытного 103 2АМ-37 и получила обозначение 63/1. Поставили АМ-39 (1870 нр) с винтами АВ-5ЛВ-22А 3.6 м вместо АМ-37 с ВИШ-61Т, сняли тормозные решетки, сняли пулеметы верхней и нижней установок, уменьшили экипаж до 2 (1835,56).</w:t>
      </w:r>
    </w:p>
    <w:p w14:paraId="2D4FA17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F2A6F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21 по 31 мая 1944 л-и А.Д.Перелет и ви Б.Н.Гроздов провели заводские испытания СДБ А.Н.Т. (63/1), сделанного на основе 103 2АМ-37 (1835,56).</w:t>
      </w:r>
    </w:p>
    <w:p w14:paraId="11FBAC1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06CDB1"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21 мая</w:t>
      </w:r>
      <w:r w:rsidRPr="007224C3">
        <w:rPr>
          <w:rFonts w:ascii="Times New Roman" w:hAnsi="Times New Roman"/>
          <w:color w:val="000000" w:themeColor="text1"/>
          <w:sz w:val="16"/>
          <w:szCs w:val="16"/>
        </w:rPr>
        <w:t xml:space="preserve"> в 1944 году экипаж в составе летчика-испытателя А.Д.Перелета и ведущего инженера Б.Н.Гроздова поднял в воздух </w:t>
      </w:r>
      <w:hyperlink r:id="rId131" w:tgtFrame="_blank" w:history="1">
        <w:r w:rsidRPr="007224C3">
          <w:rPr>
            <w:rFonts w:ascii="Times New Roman" w:hAnsi="Times New Roman"/>
            <w:color w:val="000000" w:themeColor="text1"/>
            <w:sz w:val="16"/>
            <w:szCs w:val="16"/>
          </w:rPr>
          <w:t xml:space="preserve">«СДБ-1» </w:t>
        </w:r>
      </w:hyperlink>
      <w:r w:rsidRPr="007224C3">
        <w:rPr>
          <w:rFonts w:ascii="Times New Roman" w:hAnsi="Times New Roman"/>
          <w:color w:val="000000" w:themeColor="text1"/>
          <w:sz w:val="16"/>
          <w:szCs w:val="16"/>
        </w:rPr>
        <w:t>(скоростной дальний бомбардировщик, в основе самолет "103" - первый прототип «Ту-2») (14898).</w:t>
      </w:r>
    </w:p>
    <w:p w14:paraId="430DF47D" w14:textId="77777777" w:rsidR="00B652F7" w:rsidRPr="007224C3" w:rsidRDefault="00B652F7" w:rsidP="007224C3">
      <w:pPr>
        <w:spacing w:after="0" w:line="240" w:lineRule="auto"/>
        <w:jc w:val="both"/>
        <w:rPr>
          <w:rFonts w:ascii="Times New Roman" w:hAnsi="Times New Roman"/>
          <w:color w:val="000000" w:themeColor="text1"/>
          <w:sz w:val="16"/>
          <w:szCs w:val="16"/>
        </w:rPr>
      </w:pPr>
    </w:p>
    <w:p w14:paraId="09693C8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 мая 1944 года летчик- испытатель А.Д. Перелет выполнил первый полет "СДБ" и спустя десять дней машину передали в НИИ ВВС.</w:t>
      </w:r>
    </w:p>
    <w:p w14:paraId="2544983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лету 1944 г. на опытном заводе № 156из машины "103" был выполнен двухместный вариант СДБ. В декабре 1943 года командование ВВС предложило НКАП создать на базе машины "103" с двигателями АМ-37 скоростной дневной бомбардировщик СДБ (АНТ-63), но с моторами АМ-39.</w:t>
      </w:r>
    </w:p>
    <w:p w14:paraId="5390F35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этом сохранилась компоновка предшественника. В угоду скорости его стрелковое вооружение ограничили лишь двумя неподвижными орудиями ШBAK в центроплане крыла с боезапасом по 150 патронов на ствол.</w:t>
      </w:r>
    </w:p>
    <w:p w14:paraId="7AD322C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Государственные испытания (ведущий летчик М.А. Нюхтиков), начавшиеся 5 июня, заняли месяц. Хотя самолет и продемонстрировал высокую скорость (633 км/ч) и хорошую маневренность, испытания он не выдержал. Главные дефекты машины были связаны с плохой работой моторов и недостаточным запасом путевой устойчивости. Военные пожелали ввести в экипаж воздушного стрелка.</w:t>
      </w:r>
    </w:p>
    <w:p w14:paraId="10E9D03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Особенностями второго экземпляра машины "63" по сравнению с предшественником был не только экипаж, возросший до трех человек (дополнительно ввели стрелка в задней кабине), но и створки шасси закрывавшиеся как при убранном, так и выпущенном положении основных опор. Управление винтами было секторное, а моторы имели Скоростной дневной дополнительные контуры для охлаждения бомбардировщик ("СДБ") воздуха после нагнетателя перед поступле- на заводских испытаниях нием в двигатель.</w:t>
      </w:r>
    </w:p>
    <w:p w14:paraId="74E4753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Вооружение помимо двух неподвижных пушек ШВАК с общим боезапасом 300 патронов для стрельбы вперед включало и два пулемета Березина для защиты задней полусферы. Нормальная бомбовая нагрузка - 1000 кг (при полной заправке топливом исходя из прочности колес) в грузовом отсеке, максимально допустимая - 4000 кг.</w:t>
      </w:r>
    </w:p>
    <w:p w14:paraId="7B71862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Первый полет на трехместном "СДБ" также выполнил А.Д. Перелет, и в декабре 1944 года машину передали на государственные испытания. 30 декабря 1944 года А. Кузнецов (должность в документе не указана) докладывал наркому А.И. Шахурину:</w:t>
      </w:r>
    </w:p>
    <w:p w14:paraId="4D34C25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СДБ с моторами АМ-39 является модификацией самолета "103" с АМ-37, построенного в 1941 г. Самолет испытан в НИИ ВВС в июле 1944 г.</w:t>
      </w:r>
    </w:p>
    <w:p w14:paraId="7C0F54C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результате установлено:</w:t>
      </w:r>
    </w:p>
    <w:p w14:paraId="7334F8D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Путевая устойчивость недостаточна.</w:t>
      </w:r>
    </w:p>
    <w:p w14:paraId="523C1FB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На скорости менее 350 км/ч по прибору самолет неустойчив:</w:t>
      </w:r>
    </w:p>
    <w:p w14:paraId="6799527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продольная устойчивость недостаточная, во время выдерживания заданной скорости набора высоты имеют место переменные нагрузки на штурвале от руля высоты.</w:t>
      </w:r>
    </w:p>
    <w:p w14:paraId="7FFDBF2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изменение нагрузок на штурвале от руля высоты сопровождается значительным рысканием и появляются переменные нагрузки на педали.</w:t>
      </w:r>
    </w:p>
    <w:p w14:paraId="449A204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Поперечная устойчивость относительно путевой избыточна. Самолет имеет тенденцию к раскачиванию с крыла на крыло.</w:t>
      </w:r>
    </w:p>
    <w:p w14:paraId="67D5A5D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4. Управление рулем поворота слишком легкое, что может привести к передаче (большему отклонению педали - прим. авт.) ноги на виражах и разворотах. </w:t>
      </w:r>
    </w:p>
    <w:p w14:paraId="0A48766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Автоматы управления заслонками во- дорадиаторов при работе создают значительный аэродинамический момент &lt;...&gt; и усложняют технику пилотирования.</w:t>
      </w:r>
    </w:p>
    <w:p w14:paraId="18F3684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Пневматические тормоза не эффективны.</w:t>
      </w:r>
    </w:p>
    <w:p w14:paraId="4CF4F06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Винто-моторная группа не доведенная и имеет те же дефекты, что и на самолете "ЮЗ" с АМ-37.</w:t>
      </w:r>
    </w:p>
    <w:p w14:paraId="6BB722C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Длительная (1,5 часа) и неудобная заправка бензином.</w:t>
      </w:r>
    </w:p>
    <w:p w14:paraId="6BBE7FE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Попадание в кабину летчика горячего воздуха.</w:t>
      </w:r>
    </w:p>
    <w:p w14:paraId="063D25D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Габариты кабины по высоте малы...</w:t>
      </w:r>
    </w:p>
    <w:p w14:paraId="72E29FF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Моторы АМ-39 на 2-й скорости нагнетателя работали неудовлетворительно...</w:t>
      </w:r>
    </w:p>
    <w:p w14:paraId="7B1FE3A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Построен второй экземпляр СДБ, переданный в НИИ ВВС в октябре. Он имеет экипаж вместо двух - три человека. Новая носовая часть фюзеляжа с измененным обзором. Дополнительно установлены люковая и верхняя стрелковые установки. Объем бензина увеличен до 2400 л.</w:t>
      </w:r>
    </w:p>
    <w:p w14:paraId="116C7F1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Изменена маслосхема, предусмотрено новое бронирование экипажа. Взлетный вес возрос на 650 кг.</w:t>
      </w:r>
    </w:p>
    <w:p w14:paraId="0A555D7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самолете "63" на 27 декабря 1944 г. сделано два полета. Во втором полете на высоте 8000 м (15 декабря) вышел из строя мотор".</w:t>
      </w:r>
    </w:p>
    <w:p w14:paraId="07EF879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Государственные испытания второго экземпляра "СДБ" завершились утверждением 28 июня 1945 года акта по их результатам. </w:t>
      </w:r>
    </w:p>
    <w:p w14:paraId="0B31217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Основ'ными дефектами "СДБ" были: недостаточная прочность колес размером 1000x350 мм, малоэффективные и ненадежные пневматические тормоза, падение давления масла в двигателях на высотах 5000-7000 метров и отсутствие противо- пыльных фильтров на всасывающих патрубках моторов. Кроме этого, размещение рамки радиополукомпаса РПК-10 под металлической обшивкой самолета, снижало его чувствительность.</w:t>
      </w:r>
    </w:p>
    <w:p w14:paraId="76DCBC5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заключение же специалисты НИИ ВВС, в частности, отметили: "Самолет "63" &lt;...&gt; по своим летно-тактическим данным превосходит однотипные отечественные и иностранные самолеты, но недостаточность обзора штурмана вперед, что затрудняет для него ориентировки, отыскание цели и вывод самолета на цель при бомбометании, значительно снижает его качество как бомбардировщика.</w:t>
      </w:r>
    </w:p>
    <w:p w14:paraId="0D337DE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не может быть рекомендован на вооружение Красной Армии в качестве бомбардировщика".</w:t>
      </w:r>
    </w:p>
    <w:p w14:paraId="0B72B8D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Примерно в то же время в НИИ ВВС ис- пытывался другой скоростной бомбардировщик Пе-2М, представлявший собой второй экземпляр Пе-2И "Москито" с иным оборонительным вооружением. Государственные испытания Пе-2М с моторами жидкостного охлаждения М-107А, завершившиеся на два месяца позже "СДБ", показали, что максимальная скорость у земли при работе моторов на номинальном режиме на 21 км/ч больше, чем у "СДБ", но на второй границе высотности (5600 метров) она не превышала 630 км/ч, что на 10 км/ч было меньше чем у самолета "63". Правда, не надо забывать, что самолет Туполева имел более слабое оборонительное вооружение по сравнению с Пе-2М (три пушки Б-20 калибра 20 мм, одна из которых неподвижная для стрельбы вперед, другая - у штурмана и третья - люковая). При этом максимальная бомбовая нагрузка Пе-2М была вдвое ниже, чем у "СДБ".</w:t>
      </w:r>
    </w:p>
    <w:p w14:paraId="4B2A4F2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Сделать же вывод, какой из этих самолетов предпочтительней, должны были, прежде всего, военные. Но этого не произошло, поскольку обе машины государственные испытания не выдержали (12035).</w:t>
      </w:r>
    </w:p>
    <w:p w14:paraId="312C2BD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69BB82C"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1EF51F4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CBD3EC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 мая 1944 вышло Постановление ГКО № 5937 О направлении 10 тыс. семей крымских татар в Молотовскую, Горьковскую, Свердловскую обл. и Марийскую АССР для работы в леспромхозах и целлюлозно-бумажную промышленность. РГАНИР, Фонд ГКО, д. 255, лл. 17 (11012).</w:t>
      </w:r>
    </w:p>
    <w:p w14:paraId="431E58A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E3B918C"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 мая 1944 вышло Распоряжение ГКО № 5938 О Секретариате Оперативного бюро ГОКО. (7234, 18).</w:t>
      </w:r>
    </w:p>
    <w:p w14:paraId="4E4B9F5F"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62DCE9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 мая 1944 вышло Распоряжение ГКО № 5939. О корректировке плана производства корпусов ФАБ-50 на заводе № 646 НКСП на май и июнь 1944 г. в связи с производством деталей минометов. РГАНИР, Фонд ГКО, д. 255, лл. 19 (11012).</w:t>
      </w:r>
    </w:p>
    <w:p w14:paraId="665A35F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DD61649"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 мая 1944 вышло Распоряжение ГКО № 5940 [О передаче Днепрострою НКЭС 20 трофейных ходовых танков без вооружения.] (7234, 20).</w:t>
      </w:r>
    </w:p>
    <w:p w14:paraId="0921AD2A"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BFCD209"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 мая 1944 вышло Распоряжение ГКО № 5944 [О скорейшей перевозке из портов Нагаева и Петропавловска-Камчатского оборудования импортных нефтеперерабатывающих заводов.] (7234, 81-82).</w:t>
      </w:r>
    </w:p>
    <w:p w14:paraId="5D12A2CC"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EFC4BF2" w14:textId="77777777" w:rsidR="005F2ECF"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1FFA429B" w14:textId="77777777" w:rsidR="005F2ECF" w:rsidRPr="007224C3" w:rsidRDefault="005F2ECF"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ED9F6EB" w14:textId="77777777" w:rsidR="005F2ECF" w:rsidRPr="007224C3" w:rsidRDefault="005F2ECF"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21 мая</w:t>
      </w:r>
      <w:r w:rsidRPr="007224C3">
        <w:rPr>
          <w:rFonts w:ascii="Times New Roman" w:hAnsi="Times New Roman"/>
          <w:color w:val="000000" w:themeColor="text1"/>
          <w:sz w:val="16"/>
          <w:szCs w:val="16"/>
        </w:rPr>
        <w:t xml:space="preserve"> в 1944 году оперативная сводка Совинформбюро:</w:t>
      </w:r>
    </w:p>
    <w:p w14:paraId="6AE28191" w14:textId="77777777" w:rsidR="005F2ECF" w:rsidRPr="007224C3" w:rsidRDefault="005F2EC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21 мая на фронтах существенных изменений не произошло. За 20 мая ввоздушных боях и огнём зенитной артиллерии сбито 52 самолёта противника.</w:t>
      </w:r>
    </w:p>
    <w:p w14:paraId="0E917C9C" w14:textId="77777777" w:rsidR="005F2ECF" w:rsidRPr="007224C3" w:rsidRDefault="005F2EC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Северо-западнее города Тирасполь немцы силами пехоты и танков предприняли несколько атак, стремясь овладеть выгодными позициями. Части Н-ского соединения отбили атаки противника и нанесли ему серьёзный урон. На поле боя осталось до 600 убитых немецких солдат и офицеров.</w:t>
      </w:r>
    </w:p>
    <w:p w14:paraId="7E66138E" w14:textId="77777777" w:rsidR="005F2ECF" w:rsidRPr="007224C3" w:rsidRDefault="005F2EC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Лётчики-истребители 3-го Украинского фронта за день провели пятнадцать воздушных боёв и сбили 28 самолетов противника. Группа наших истребителей атаковала 26 вражеских самолётов. Старший лейтенант Черногор в этом бою сбил два самолёта «Фокке-Вульф-190». Майор Дикий, младший лейтенант Петров, младший лейтенант Кузьмин и лейтенант Морозов сбили каждый по одному немецкому самолёту. Капитан Мадаев сбил два самолёта противника.</w:t>
      </w:r>
    </w:p>
    <w:p w14:paraId="2D093934" w14:textId="77777777" w:rsidR="005F2ECF" w:rsidRPr="007224C3" w:rsidRDefault="005F2EC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Юго-восточнее города Станислав бойцы Н-ской части в течение ночи отбили две атаки противника. В ходе боя уничтожено более роты гитлеровцев.</w:t>
      </w:r>
    </w:p>
    <w:p w14:paraId="55E45B3A" w14:textId="77777777" w:rsidR="005F2ECF" w:rsidRPr="007224C3" w:rsidRDefault="005F2EC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Старшина Салютин и красноармеец Шаров проникли в тыл немцев и собрали ценные сведения о противнике. На обратном пути разведчики заметили на окраине одного села бронетранспортёр с прицепленным к нему орудием, охраняемый немецким часовым. Рядом в доме находилась группа гитлеровцев. Выждав, когда часовой зашёл в дом, разведчики бросили в окна несколько гранат и огнём из автоматов добили побежавших немцев. Красноармеец Шаров, по специальности шофёр, завёл бронетранспортёр. Находчивые разведчики благополучно доставили трофейный бронетранспортёр вместе с орудием в расположение своей части.</w:t>
      </w:r>
    </w:p>
    <w:p w14:paraId="348CAA05" w14:textId="77777777" w:rsidR="005F2ECF" w:rsidRPr="007224C3" w:rsidRDefault="005F2EC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Лётчики Краснознамённого Балтийского флота нанесли бомбово-штурмовой удар по группе кораблей противника в Нарвском заливе. Прямым попаданием бомб потоплены два сторожевых корабля и два тральщика. Другим кораблям противника нанесены серьёзные повреждения.</w:t>
      </w:r>
    </w:p>
    <w:p w14:paraId="13635584" w14:textId="77777777" w:rsidR="005F2ECF" w:rsidRPr="007224C3" w:rsidRDefault="005F2EC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воздушном бою сбито 6 немецких истребителей.</w:t>
      </w:r>
    </w:p>
    <w:p w14:paraId="64D4584E" w14:textId="77777777" w:rsidR="005F2ECF" w:rsidRPr="007224C3" w:rsidRDefault="005F2EC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ночь на 21 мая самолёт-торпедоносец Краснознамённого Балтийского флотаатаковал и потопил в Финском заливе транспорт противника водоизмещением в 6 тысяч тонн.</w:t>
      </w:r>
    </w:p>
    <w:p w14:paraId="414CA0BF" w14:textId="77777777" w:rsidR="005F2ECF" w:rsidRPr="007224C3" w:rsidRDefault="005F2EC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Несколько белорусских партизанских отрядов, действующих в Могилёвской области, ночью совершили налёт на крупный немецкий гарнизон. В результате внезапного нападения партизаны разгромили полевую комендатуру и хозяйственные подразделения 134 немецкой пехотной дивизии. Убито более 100 гитлеровцев. Взорваны и сожжены 38 автомашин и 5 крупных складов.</w:t>
      </w:r>
    </w:p>
    <w:p w14:paraId="33BF9541" w14:textId="77777777" w:rsidR="005F2ECF" w:rsidRPr="007224C3" w:rsidRDefault="005F2EC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Партизанские отряды Брестской области за месяц пустили под откос десятки вражеских эшелонов. Советские патриоты успешно обстреливают из противотанковых ружей следующие к линии фронта железнодорожные составы. За это время всего разбито и повреждено 115 паровозов и свыше трёхсот вагонов и платформ с войсками, боеприпасами и вооружением противника.</w:t>
      </w:r>
    </w:p>
    <w:p w14:paraId="57CDBE98" w14:textId="77777777" w:rsidR="005F2ECF" w:rsidRPr="007224C3" w:rsidRDefault="005F2EC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Гитлеровцы насильно мобилизовали в немецкую армию французов, жителей Эльзасаи Лотарингии, и погнали их на советско-германский фронт. Эльзасцы и лотарингцы не хотят воевать против Советского Союза, поэтому группами и в одиночку сдаются в плен. Ниже публикуются показания французов, перешедших на сторону Красной Армии.</w:t>
      </w:r>
    </w:p>
    <w:p w14:paraId="0B15C136" w14:textId="77777777" w:rsidR="005F2ECF" w:rsidRPr="007224C3" w:rsidRDefault="005F2EC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Пленный солдат 317 полка 211 немецкой пехотной дивизии Шарль К. рассказал: «Немцы свирепствуют в Эльзасе, истребляют французских патриотов. Тысячи жителей Эльзаса брошены в концлагери, высланы в Польшу и другие оккупированные страны. Многие семьи разобщены. Немцы рассеяли и разбросали их по всей Европе. Моего отца они выслали в Польшу, мать угнали на принудительные работы в Германию, а меня — на фронт. Сознание того, что мы, французы, находимся на советской земле в форме гитлеровских солдат, причиняло нам нестерпимую боль. Мы не хотели сражаться против Красной Армии, к которой питаем чувства горячей симпатии. Меня привёл в русский плен не страх за свою жизнь, а ненависть к немецким оккупантам. Я ушёл из гитлеровской армии потому, что хочу бороться против немцев и отомстить им за все их преступления». Солдат 28 немецкого мотострелкового полка Жозеф Д. заявил: «Недавно я был на родине в Лотарингии. Когда я зашёл к знакомым, меня поздравили с новой победой: русские заняли Одессу. Победы русских войск радуют французов. Они знают, что чем больше поражений терпят немцы в России, тем ближе конец страданиям Франции».</w:t>
      </w:r>
    </w:p>
    <w:p w14:paraId="5CA1EEFC" w14:textId="77777777" w:rsidR="005F2ECF" w:rsidRPr="007224C3" w:rsidRDefault="005F2EC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Солдат 8 немецкой танковой дивизии Пьер Л. сообщил: «Службу в гитлеровской армии я считаю величайшим позором и несчастьем для француза. Французский патриот, на которого насильно напялили немецкий мундир, чувствует себя так, словно его на аркане тащат в пропасть. Ещё в пути на фронт мы, эльзасцы, договорились между собой о переходе на сторону русских. Мне скоро представилась такая возможность. Я сдался в плен не для того, чтобы выйти из войны. Нет, я перешёл на сторону советских войск потому, что хочу участвовать в борьбе с нашим общим врагом — с немцами» (14898).</w:t>
      </w:r>
    </w:p>
    <w:p w14:paraId="4B5A267E" w14:textId="77777777" w:rsidR="005F2ECF" w:rsidRPr="007224C3" w:rsidRDefault="005F2ECF" w:rsidP="007224C3">
      <w:pPr>
        <w:spacing w:after="0" w:line="240" w:lineRule="auto"/>
        <w:jc w:val="both"/>
        <w:rPr>
          <w:rFonts w:ascii="Times New Roman" w:hAnsi="Times New Roman"/>
          <w:color w:val="000000" w:themeColor="text1"/>
          <w:sz w:val="16"/>
          <w:szCs w:val="16"/>
        </w:rPr>
      </w:pPr>
    </w:p>
    <w:p w14:paraId="5C838DA8"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3DDE56B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5B1D83E"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 мая 1944 авиация союзников начала операцию “Чаттануга” по систематическому уничтожению железных дорог в Европе (4962).</w:t>
      </w:r>
    </w:p>
    <w:p w14:paraId="62C17E9D"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42340C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May 21 1944 Allied fighter aircraft begin operations against enemy railroads in France and Germany (1037).</w:t>
      </w:r>
    </w:p>
    <w:p w14:paraId="4779C44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56C90E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May 21, 1944. Operation Chattanooga Choo-Choo - systematic Allied air attacks on trains in Germany and France - begins (1089).</w:t>
      </w:r>
    </w:p>
    <w:p w14:paraId="5100642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70E414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 мая 1944 союзники начали авиационные операции против железных дорог во Франции и Германии. Эту операцию назвали Чатануга Чу Чу (1037;1089).</w:t>
      </w:r>
    </w:p>
    <w:p w14:paraId="18E9E00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43899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 мая 1944 на плебисците в Исландии жители поддержали решение об отделении от Дании и 17 июня объявили республику (3907,249).</w:t>
      </w:r>
    </w:p>
    <w:p w14:paraId="3D01352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61CD58"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2D0FAC8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D5B28D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мая 1944 Нудельман писал А.И.Ш. и Репину письмо N 21/595с:</w:t>
      </w:r>
    </w:p>
    <w:p w14:paraId="3D3A798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ОКБ-16 закончена работа по уменьшению усилия отдачи 37 мм авиапушки Нудельмана-Суранова. Усилие отдачи снижено почти вдвое, что дает возможность вести прицельный огонь из одной пушки на самолете Ил-2, а также увеличивает число прицельных выстрелов в очереди при автоматической стрельбе.</w:t>
      </w:r>
    </w:p>
    <w:p w14:paraId="0754029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Проведенная нами работа значительно расширяет область применения 37 мм пушки в авиации и ликвидирует недостатки, отмеченные в отчете по войсковым испытаниям на самолете Ил-2.</w:t>
      </w:r>
    </w:p>
    <w:p w14:paraId="3CF3FB3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Это дает возможность полностью восстановить производство самолетов Ил-2 с 37 мм авиапушками, а также увеличить выпуск самолетов Як-9Т." (1821,206).</w:t>
      </w:r>
    </w:p>
    <w:p w14:paraId="76F9A58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50147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мая 1944 года начальник НИИ ВВС генерал-лейтенант ИАС Лосюков и начальник 3 отдела НИИ ВВС инженер-полковник Сафронов писали письмо N 3/0740 гл. инженеру ВВС генерал-полковнику ИАС Репину А.К., Шахурину, УК ЦК ВКП(б) генерал-полковнику авиации Шиманову Н.С.</w:t>
      </w:r>
    </w:p>
    <w:p w14:paraId="352F07B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Докладываю, что 16 мая 1944 года временно прекращены государственные испытания опытного самолета Су-6 с мотором АМ-42, конструкции Сухого - по причине ненормальной работы мотора, расход масла которого превышает допустимый предел (см. акт).</w:t>
      </w:r>
    </w:p>
    <w:p w14:paraId="68476DB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время испытаний с 28 апреля по 16 мая на самолете выполнено 17 полетов, общей продолжительностью 6 часов 05 минут на определение летных характеристик и испытание вооружения.</w:t>
      </w:r>
    </w:p>
    <w:p w14:paraId="1749D45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Летные характеристики, полученные в результате испытаний подлежат уточнению после постановки на самолет нового мотора.</w:t>
      </w:r>
    </w:p>
    <w:p w14:paraId="0663B79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Приложение: Акт (1821).</w:t>
      </w:r>
    </w:p>
    <w:p w14:paraId="3A8604B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701F4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мая 1944 года вышло постановление ГОКО за N 5947сс о проведении летных испытаний флюгерных винтов и внедрении их в эксплуатацию для многомоторных самолетов Ил-4, Ли-2, Пе-2, Ер-2, Ту-2 (1879).</w:t>
      </w:r>
    </w:p>
    <w:p w14:paraId="626B9F4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C98BF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мая 1944 вышло Постановление ГКО № 5947 О создании дневных скоростных бомбардировщиков. РГАНИР, Фонд ГКО, д. 255, лл. 118-124 (11012).</w:t>
      </w:r>
    </w:p>
    <w:p w14:paraId="300BF05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50F9FAE" w14:textId="77777777" w:rsidR="00351D4E" w:rsidRPr="007224C3" w:rsidRDefault="00351D4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мая 1944 вышло Постановление ГКО № 5947 О создании дневных скоростных бомбардировщиков</w:t>
      </w:r>
    </w:p>
    <w:p w14:paraId="536DB5E5" w14:textId="77777777" w:rsidR="00351D4E" w:rsidRPr="007224C3" w:rsidRDefault="00351D4E"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Считая целосообразным создание в кратчайший срок дневного бомбардировщика со. скоростью не ниже, чем у истребителей, Государственный Комитет Обороны поста</w:t>
      </w:r>
      <w:r w:rsidRPr="007224C3">
        <w:rPr>
          <w:rFonts w:ascii="Times New Roman" w:hAnsi="Times New Roman" w:cs="Times New Roman"/>
          <w:color w:val="000000" w:themeColor="text1"/>
          <w:sz w:val="16"/>
          <w:szCs w:val="16"/>
        </w:rPr>
        <w:softHyphen/>
        <w:t>новляет:</w:t>
      </w:r>
    </w:p>
    <w:p w14:paraId="32E7EA4F" w14:textId="77777777" w:rsidR="00351D4E" w:rsidRPr="007224C3" w:rsidRDefault="00351D4E" w:rsidP="007224C3">
      <w:pPr>
        <w:pStyle w:val="47"/>
        <w:shd w:val="clear" w:color="auto" w:fill="auto"/>
        <w:tabs>
          <w:tab w:val="left" w:pos="1329"/>
        </w:tabs>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1. Обязать Командующего ВВС - т.Новикова и Нарком- авиапром - т.Шахурина закончить госиспытедшя и довод</w:t>
      </w:r>
      <w:r w:rsidRPr="007224C3">
        <w:rPr>
          <w:rFonts w:ascii="Times New Roman" w:hAnsi="Times New Roman" w:cs="Times New Roman"/>
          <w:color w:val="000000" w:themeColor="text1"/>
          <w:sz w:val="16"/>
          <w:szCs w:val="16"/>
        </w:rPr>
        <w:softHyphen/>
        <w:t xml:space="preserve">ку построенного в 2-х экземплярах, в соответствий с постановлением ГОКО от 12 января 1944г. за № 4934сс, самолета Пе-2 с моторами ВК-107А к 15 июня 1944г, и представить в ГОКО предложения о серийном производстве этих самолетов </w:t>
      </w:r>
    </w:p>
    <w:p w14:paraId="0614A38E" w14:textId="77777777" w:rsidR="00351D4E" w:rsidRPr="007224C3" w:rsidRDefault="00351D4E" w:rsidP="007224C3">
      <w:pPr>
        <w:pStyle w:val="47"/>
        <w:shd w:val="clear" w:color="auto" w:fill="auto"/>
        <w:tabs>
          <w:tab w:val="left" w:pos="1316"/>
        </w:tabs>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2. Обязать Наркомавиапром - т.Шахурина, директора завода № 22 - т.Окулова и главного конструктора т.Мясищева:</w:t>
      </w:r>
    </w:p>
    <w:p w14:paraId="60D343AB" w14:textId="77777777" w:rsidR="00351D4E" w:rsidRPr="007224C3" w:rsidRDefault="00351D4E" w:rsidP="007224C3">
      <w:pPr>
        <w:pStyle w:val="47"/>
        <w:shd w:val="clear" w:color="auto" w:fill="auto"/>
        <w:tabs>
          <w:tab w:val="left" w:pos="1316"/>
        </w:tabs>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а) построить и пред"явить на войсковые испытания 15 октября 1944г.. головную серию самолетов Пе-2 с мо</w:t>
      </w:r>
      <w:r w:rsidRPr="007224C3">
        <w:rPr>
          <w:rFonts w:ascii="Times New Roman" w:hAnsi="Times New Roman" w:cs="Times New Roman"/>
          <w:color w:val="000000" w:themeColor="text1"/>
          <w:sz w:val="16"/>
          <w:szCs w:val="16"/>
        </w:rPr>
        <w:softHyphen/>
        <w:t>торамп ВК-107А в количестве 5 экземпляров</w:t>
      </w:r>
    </w:p>
    <w:p w14:paraId="23D7E318" w14:textId="77777777" w:rsidR="00351D4E" w:rsidRPr="007224C3" w:rsidRDefault="00351D4E" w:rsidP="007224C3">
      <w:pPr>
        <w:pStyle w:val="47"/>
        <w:shd w:val="clear" w:color="auto" w:fill="auto"/>
        <w:tabs>
          <w:tab w:val="left" w:pos="1329"/>
        </w:tabs>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б) спроектировать,, построить в двух экземплярах и предъявить на госиспытания в декабре 1944 года двухмо</w:t>
      </w:r>
      <w:r w:rsidRPr="007224C3">
        <w:rPr>
          <w:rFonts w:ascii="Times New Roman" w:hAnsi="Times New Roman" w:cs="Times New Roman"/>
          <w:color w:val="000000" w:themeColor="text1"/>
          <w:sz w:val="16"/>
          <w:szCs w:val="16"/>
        </w:rPr>
        <w:softHyphen/>
        <w:t>торный скоростной дневной бомбардировщик с моторами ВК-106 без стрелкового вооружения со следующими данны</w:t>
      </w:r>
      <w:r w:rsidRPr="007224C3">
        <w:rPr>
          <w:rFonts w:ascii="Times New Roman" w:hAnsi="Times New Roman" w:cs="Times New Roman"/>
          <w:color w:val="000000" w:themeColor="text1"/>
          <w:sz w:val="16"/>
          <w:szCs w:val="16"/>
        </w:rPr>
        <w:softHyphen/>
        <w:t>ми;</w:t>
      </w:r>
    </w:p>
    <w:p w14:paraId="2C2FDFBE" w14:textId="77777777" w:rsidR="00351D4E" w:rsidRPr="007224C3" w:rsidRDefault="00351D4E" w:rsidP="007224C3">
      <w:pPr>
        <w:tabs>
          <w:tab w:val="left" w:pos="3385"/>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 скорость на</w:t>
      </w:r>
      <w:r w:rsidRPr="007224C3">
        <w:rPr>
          <w:rFonts w:ascii="Times New Roman" w:hAnsi="Times New Roman"/>
          <w:color w:val="000000" w:themeColor="text1"/>
          <w:sz w:val="16"/>
          <w:szCs w:val="16"/>
          <w:vertAlign w:val="subscript"/>
        </w:rPr>
        <w:t xml:space="preserve"> </w:t>
      </w:r>
      <w:r w:rsidRPr="007224C3">
        <w:rPr>
          <w:rFonts w:ascii="Times New Roman" w:hAnsi="Times New Roman"/>
          <w:color w:val="000000" w:themeColor="text1"/>
          <w:sz w:val="16"/>
          <w:szCs w:val="16"/>
        </w:rPr>
        <w:t xml:space="preserve">высоте </w:t>
      </w:r>
      <w:r w:rsidRPr="007224C3">
        <w:rPr>
          <w:rStyle w:val="16"/>
          <w:rFonts w:ascii="Times New Roman" w:hAnsi="Times New Roman" w:cs="Times New Roman"/>
          <w:color w:val="000000" w:themeColor="text1"/>
          <w:spacing w:val="0"/>
          <w:u w:val="none"/>
        </w:rPr>
        <w:t>6000</w:t>
      </w:r>
      <w:r w:rsidRPr="007224C3">
        <w:rPr>
          <w:rFonts w:ascii="Times New Roman" w:hAnsi="Times New Roman"/>
          <w:color w:val="000000" w:themeColor="text1"/>
          <w:sz w:val="16"/>
          <w:szCs w:val="16"/>
        </w:rPr>
        <w:t xml:space="preserve"> метров - </w:t>
      </w:r>
      <w:r w:rsidRPr="007224C3">
        <w:rPr>
          <w:rStyle w:val="16"/>
          <w:rFonts w:ascii="Times New Roman" w:hAnsi="Times New Roman" w:cs="Times New Roman"/>
          <w:color w:val="000000" w:themeColor="text1"/>
          <w:spacing w:val="0"/>
          <w:u w:val="none"/>
        </w:rPr>
        <w:t>700</w:t>
      </w:r>
      <w:r w:rsidRPr="007224C3">
        <w:rPr>
          <w:rFonts w:ascii="Times New Roman" w:hAnsi="Times New Roman"/>
          <w:color w:val="000000" w:themeColor="text1"/>
          <w:sz w:val="16"/>
          <w:szCs w:val="16"/>
        </w:rPr>
        <w:t xml:space="preserve"> км.в час</w:t>
      </w:r>
    </w:p>
    <w:p w14:paraId="43A75590" w14:textId="77777777" w:rsidR="00351D4E" w:rsidRPr="007224C3" w:rsidRDefault="00351D4E" w:rsidP="007224C3">
      <w:pPr>
        <w:tabs>
          <w:tab w:val="left" w:pos="3397"/>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дальность полета с 1000кг. бомб внутри фюзеляяа - </w:t>
      </w:r>
      <w:r w:rsidRPr="007224C3">
        <w:rPr>
          <w:rStyle w:val="16"/>
          <w:rFonts w:ascii="Times New Roman" w:hAnsi="Times New Roman" w:cs="Times New Roman"/>
          <w:color w:val="000000" w:themeColor="text1"/>
          <w:spacing w:val="0"/>
          <w:u w:val="none"/>
        </w:rPr>
        <w:t>2000</w:t>
      </w:r>
      <w:r w:rsidRPr="007224C3">
        <w:rPr>
          <w:rFonts w:ascii="Times New Roman" w:hAnsi="Times New Roman"/>
          <w:color w:val="000000" w:themeColor="text1"/>
          <w:sz w:val="16"/>
          <w:szCs w:val="16"/>
        </w:rPr>
        <w:t xml:space="preserve"> км.</w:t>
      </w:r>
    </w:p>
    <w:p w14:paraId="058A517A" w14:textId="77777777" w:rsidR="00351D4E" w:rsidRPr="007224C3" w:rsidRDefault="00351D4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Предусмотреть возможность установки в носовой части фюзеляжа этого самолета в истребительном вари</w:t>
      </w:r>
      <w:r w:rsidRPr="007224C3">
        <w:rPr>
          <w:rFonts w:ascii="Times New Roman" w:hAnsi="Times New Roman"/>
          <w:color w:val="000000" w:themeColor="text1"/>
          <w:sz w:val="16"/>
          <w:szCs w:val="16"/>
        </w:rPr>
        <w:softHyphen/>
        <w:t xml:space="preserve">анте пушечного вооружения из </w:t>
      </w:r>
      <w:r w:rsidRPr="007224C3">
        <w:rPr>
          <w:rStyle w:val="16"/>
          <w:rFonts w:ascii="Times New Roman" w:hAnsi="Times New Roman" w:cs="Times New Roman"/>
          <w:color w:val="000000" w:themeColor="text1"/>
          <w:spacing w:val="0"/>
          <w:u w:val="none"/>
        </w:rPr>
        <w:t>4-х</w:t>
      </w:r>
      <w:r w:rsidRPr="007224C3">
        <w:rPr>
          <w:rFonts w:ascii="Times New Roman" w:hAnsi="Times New Roman"/>
          <w:color w:val="000000" w:themeColor="text1"/>
          <w:sz w:val="16"/>
          <w:szCs w:val="16"/>
        </w:rPr>
        <w:t xml:space="preserve"> пушек калибра 20мм или </w:t>
      </w:r>
      <w:r w:rsidRPr="007224C3">
        <w:rPr>
          <w:rStyle w:val="16"/>
          <w:rFonts w:ascii="Times New Roman" w:hAnsi="Times New Roman" w:cs="Times New Roman"/>
          <w:color w:val="000000" w:themeColor="text1"/>
          <w:spacing w:val="0"/>
          <w:u w:val="none"/>
        </w:rPr>
        <w:t>2-х</w:t>
      </w:r>
      <w:r w:rsidRPr="007224C3">
        <w:rPr>
          <w:rFonts w:ascii="Times New Roman" w:hAnsi="Times New Roman"/>
          <w:color w:val="000000" w:themeColor="text1"/>
          <w:sz w:val="16"/>
          <w:szCs w:val="16"/>
        </w:rPr>
        <w:t xml:space="preserve"> пушек калибра </w:t>
      </w:r>
      <w:r w:rsidRPr="007224C3">
        <w:rPr>
          <w:rStyle w:val="16"/>
          <w:rFonts w:ascii="Times New Roman" w:hAnsi="Times New Roman" w:cs="Times New Roman"/>
          <w:color w:val="000000" w:themeColor="text1"/>
          <w:spacing w:val="0"/>
          <w:u w:val="none"/>
        </w:rPr>
        <w:t>37-45мм</w:t>
      </w:r>
      <w:r w:rsidRPr="007224C3">
        <w:rPr>
          <w:rFonts w:ascii="Times New Roman" w:hAnsi="Times New Roman"/>
          <w:color w:val="000000" w:themeColor="text1"/>
          <w:sz w:val="16"/>
          <w:szCs w:val="16"/>
        </w:rPr>
        <w:t xml:space="preserve"> вместо бомбовой нагруз</w:t>
      </w:r>
      <w:r w:rsidRPr="007224C3">
        <w:rPr>
          <w:rFonts w:ascii="Times New Roman" w:hAnsi="Times New Roman"/>
          <w:color w:val="000000" w:themeColor="text1"/>
          <w:sz w:val="16"/>
          <w:szCs w:val="16"/>
        </w:rPr>
        <w:softHyphen/>
        <w:t>ки;</w:t>
      </w:r>
    </w:p>
    <w:p w14:paraId="266478D5" w14:textId="77777777" w:rsidR="00351D4E" w:rsidRPr="007224C3" w:rsidRDefault="00351D4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 спроектировать, построить в двух экземплярах и пред"явить на госиспытания в апреле </w:t>
      </w:r>
      <w:r w:rsidRPr="007224C3">
        <w:rPr>
          <w:rStyle w:val="16"/>
          <w:rFonts w:ascii="Times New Roman" w:hAnsi="Times New Roman" w:cs="Times New Roman"/>
          <w:color w:val="000000" w:themeColor="text1"/>
          <w:spacing w:val="0"/>
          <w:u w:val="none"/>
        </w:rPr>
        <w:t>1945г.</w:t>
      </w:r>
      <w:r w:rsidRPr="007224C3">
        <w:rPr>
          <w:rFonts w:ascii="Times New Roman" w:hAnsi="Times New Roman"/>
          <w:color w:val="000000" w:themeColor="text1"/>
          <w:sz w:val="16"/>
          <w:szCs w:val="16"/>
        </w:rPr>
        <w:t xml:space="preserve"> двухмо</w:t>
      </w:r>
      <w:r w:rsidRPr="007224C3">
        <w:rPr>
          <w:rFonts w:ascii="Times New Roman" w:hAnsi="Times New Roman"/>
          <w:color w:val="000000" w:themeColor="text1"/>
          <w:sz w:val="16"/>
          <w:szCs w:val="16"/>
        </w:rPr>
        <w:softHyphen/>
        <w:t>торный высотный дневной бомбардировщик о моторами ВК-109 с герметической кабиной для экипажа, без стрел</w:t>
      </w:r>
      <w:r w:rsidRPr="007224C3">
        <w:rPr>
          <w:rFonts w:ascii="Times New Roman" w:hAnsi="Times New Roman"/>
          <w:color w:val="000000" w:themeColor="text1"/>
          <w:sz w:val="16"/>
          <w:szCs w:val="16"/>
        </w:rPr>
        <w:softHyphen/>
        <w:t>кового вооружения со следующими данными:</w:t>
      </w:r>
    </w:p>
    <w:p w14:paraId="777C501A" w14:textId="77777777" w:rsidR="00351D4E" w:rsidRPr="007224C3" w:rsidRDefault="00351D4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максимальная скорость на высоте </w:t>
      </w:r>
      <w:r w:rsidRPr="007224C3">
        <w:rPr>
          <w:rStyle w:val="16"/>
          <w:rFonts w:ascii="Times New Roman" w:hAnsi="Times New Roman" w:cs="Times New Roman"/>
          <w:color w:val="000000" w:themeColor="text1"/>
          <w:spacing w:val="0"/>
          <w:u w:val="none"/>
        </w:rPr>
        <w:t>10000</w:t>
      </w:r>
      <w:r w:rsidRPr="007224C3">
        <w:rPr>
          <w:rFonts w:ascii="Times New Roman" w:hAnsi="Times New Roman"/>
          <w:color w:val="000000" w:themeColor="text1"/>
          <w:sz w:val="16"/>
          <w:szCs w:val="16"/>
        </w:rPr>
        <w:t xml:space="preserve"> метров - </w:t>
      </w:r>
      <w:r w:rsidRPr="007224C3">
        <w:rPr>
          <w:rStyle w:val="16"/>
          <w:rFonts w:ascii="Times New Roman" w:hAnsi="Times New Roman" w:cs="Times New Roman"/>
          <w:color w:val="000000" w:themeColor="text1"/>
          <w:spacing w:val="0"/>
          <w:u w:val="none"/>
        </w:rPr>
        <w:t xml:space="preserve">720 </w:t>
      </w:r>
      <w:r w:rsidRPr="007224C3">
        <w:rPr>
          <w:rFonts w:ascii="Times New Roman" w:hAnsi="Times New Roman"/>
          <w:color w:val="000000" w:themeColor="text1"/>
          <w:sz w:val="16"/>
          <w:szCs w:val="16"/>
        </w:rPr>
        <w:t>км.в час</w:t>
      </w:r>
    </w:p>
    <w:p w14:paraId="7719F5A5" w14:textId="77777777" w:rsidR="00351D4E" w:rsidRPr="007224C3" w:rsidRDefault="00351D4E" w:rsidP="007224C3">
      <w:pPr>
        <w:tabs>
          <w:tab w:val="left" w:pos="3385"/>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наибольшая дальность полен</w:t>
      </w:r>
      <w:r w:rsidRPr="007224C3">
        <w:rPr>
          <w:rFonts w:ascii="Times New Roman" w:hAnsi="Times New Roman"/>
          <w:color w:val="000000" w:themeColor="text1"/>
          <w:sz w:val="16"/>
          <w:szCs w:val="16"/>
        </w:rPr>
        <w:softHyphen/>
      </w:r>
      <w:r w:rsidRPr="007224C3">
        <w:rPr>
          <w:rStyle w:val="16"/>
          <w:rFonts w:ascii="Times New Roman" w:hAnsi="Times New Roman" w:cs="Times New Roman"/>
          <w:color w:val="000000" w:themeColor="text1"/>
          <w:spacing w:val="0"/>
          <w:u w:val="none"/>
        </w:rPr>
        <w:t xml:space="preserve">та с 1000 </w:t>
      </w:r>
      <w:r w:rsidRPr="007224C3">
        <w:rPr>
          <w:rFonts w:ascii="Times New Roman" w:hAnsi="Times New Roman"/>
          <w:color w:val="000000" w:themeColor="text1"/>
          <w:sz w:val="16"/>
          <w:szCs w:val="16"/>
        </w:rPr>
        <w:t xml:space="preserve">кг бомб внутри фюзеляла - </w:t>
      </w:r>
      <w:r w:rsidRPr="007224C3">
        <w:rPr>
          <w:rStyle w:val="16"/>
          <w:rFonts w:ascii="Times New Roman" w:hAnsi="Times New Roman" w:cs="Times New Roman"/>
          <w:color w:val="000000" w:themeColor="text1"/>
          <w:spacing w:val="0"/>
          <w:u w:val="none"/>
        </w:rPr>
        <w:t xml:space="preserve">2000 </w:t>
      </w:r>
      <w:r w:rsidRPr="007224C3">
        <w:rPr>
          <w:rFonts w:ascii="Times New Roman" w:hAnsi="Times New Roman"/>
          <w:color w:val="000000" w:themeColor="text1"/>
          <w:sz w:val="16"/>
          <w:szCs w:val="16"/>
        </w:rPr>
        <w:t>км.</w:t>
      </w:r>
    </w:p>
    <w:p w14:paraId="39F1B30D" w14:textId="77777777" w:rsidR="00351D4E" w:rsidRPr="007224C3" w:rsidRDefault="00351D4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боевая высота применения - </w:t>
      </w:r>
      <w:r w:rsidRPr="007224C3">
        <w:rPr>
          <w:rStyle w:val="16"/>
          <w:rFonts w:ascii="Times New Roman" w:hAnsi="Times New Roman" w:cs="Times New Roman"/>
          <w:color w:val="000000" w:themeColor="text1"/>
          <w:spacing w:val="0"/>
          <w:u w:val="none"/>
        </w:rPr>
        <w:t xml:space="preserve">12000 </w:t>
      </w:r>
      <w:r w:rsidRPr="007224C3">
        <w:rPr>
          <w:rFonts w:ascii="Times New Roman" w:hAnsi="Times New Roman"/>
          <w:color w:val="000000" w:themeColor="text1"/>
          <w:sz w:val="16"/>
          <w:szCs w:val="16"/>
        </w:rPr>
        <w:t>метров.</w:t>
      </w:r>
    </w:p>
    <w:p w14:paraId="086EDA29" w14:textId="77777777" w:rsidR="00351D4E" w:rsidRPr="007224C3" w:rsidRDefault="00351D4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3. Обязать Наркомавиапром - т.Шахурина и главно</w:t>
      </w:r>
      <w:r w:rsidRPr="007224C3">
        <w:rPr>
          <w:rFonts w:ascii="Times New Roman" w:hAnsi="Times New Roman"/>
          <w:color w:val="000000" w:themeColor="text1"/>
          <w:sz w:val="16"/>
          <w:szCs w:val="16"/>
        </w:rPr>
        <w:softHyphen/>
        <w:t xml:space="preserve">го конструктора завода № </w:t>
      </w:r>
      <w:r w:rsidRPr="007224C3">
        <w:rPr>
          <w:rStyle w:val="16"/>
          <w:rFonts w:ascii="Times New Roman" w:hAnsi="Times New Roman" w:cs="Times New Roman"/>
          <w:color w:val="000000" w:themeColor="text1"/>
          <w:spacing w:val="0"/>
          <w:u w:val="none"/>
        </w:rPr>
        <w:t>156 -</w:t>
      </w:r>
      <w:r w:rsidRPr="007224C3">
        <w:rPr>
          <w:rFonts w:ascii="Times New Roman" w:hAnsi="Times New Roman"/>
          <w:color w:val="000000" w:themeColor="text1"/>
          <w:sz w:val="16"/>
          <w:szCs w:val="16"/>
        </w:rPr>
        <w:t xml:space="preserve"> т.Туполева:</w:t>
      </w:r>
    </w:p>
    <w:p w14:paraId="1FB4019B" w14:textId="77777777" w:rsidR="00351D4E" w:rsidRPr="007224C3" w:rsidRDefault="00351D4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построить на базе самолета Ту-2 двухмоторный двухместный дневной скоростной бомбардировщик с мото</w:t>
      </w:r>
      <w:r w:rsidRPr="007224C3">
        <w:rPr>
          <w:rFonts w:ascii="Times New Roman" w:hAnsi="Times New Roman"/>
          <w:color w:val="000000" w:themeColor="text1"/>
          <w:sz w:val="16"/>
          <w:szCs w:val="16"/>
        </w:rPr>
        <w:softHyphen/>
        <w:t>рами АМ-39 со следующими данными:</w:t>
      </w:r>
    </w:p>
    <w:p w14:paraId="57AE5F50" w14:textId="77777777" w:rsidR="00351D4E" w:rsidRPr="007224C3" w:rsidRDefault="00351D4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максимальная скорость на высоте </w:t>
      </w:r>
      <w:r w:rsidRPr="007224C3">
        <w:rPr>
          <w:rStyle w:val="16"/>
          <w:rFonts w:ascii="Times New Roman" w:hAnsi="Times New Roman" w:cs="Times New Roman"/>
          <w:color w:val="000000" w:themeColor="text1"/>
          <w:spacing w:val="0"/>
          <w:u w:val="none"/>
        </w:rPr>
        <w:t>8000</w:t>
      </w:r>
      <w:r w:rsidRPr="007224C3">
        <w:rPr>
          <w:rFonts w:ascii="Times New Roman" w:hAnsi="Times New Roman"/>
          <w:color w:val="000000" w:themeColor="text1"/>
          <w:sz w:val="16"/>
          <w:szCs w:val="16"/>
        </w:rPr>
        <w:t xml:space="preserve"> метров - </w:t>
      </w:r>
      <w:r w:rsidRPr="007224C3">
        <w:rPr>
          <w:rStyle w:val="16"/>
          <w:rFonts w:ascii="Times New Roman" w:hAnsi="Times New Roman" w:cs="Times New Roman"/>
          <w:color w:val="000000" w:themeColor="text1"/>
          <w:spacing w:val="0"/>
          <w:u w:val="none"/>
        </w:rPr>
        <w:t xml:space="preserve">640-650 </w:t>
      </w:r>
      <w:r w:rsidRPr="007224C3">
        <w:rPr>
          <w:rFonts w:ascii="Times New Roman" w:hAnsi="Times New Roman"/>
          <w:color w:val="000000" w:themeColor="text1"/>
          <w:sz w:val="16"/>
          <w:szCs w:val="16"/>
        </w:rPr>
        <w:t>км.в час</w:t>
      </w:r>
    </w:p>
    <w:p w14:paraId="578B6F41" w14:textId="77777777" w:rsidR="00351D4E" w:rsidRPr="007224C3" w:rsidRDefault="00351D4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бомбовая нагрузка внутри фюзеляжа:</w:t>
      </w:r>
    </w:p>
    <w:p w14:paraId="1B37FFBC" w14:textId="77777777" w:rsidR="00351D4E" w:rsidRPr="007224C3" w:rsidRDefault="00351D4E" w:rsidP="007224C3">
      <w:pPr>
        <w:tabs>
          <w:tab w:val="left" w:pos="3503"/>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нормальная - </w:t>
      </w:r>
      <w:r w:rsidRPr="007224C3">
        <w:rPr>
          <w:rStyle w:val="16"/>
          <w:rFonts w:ascii="Times New Roman" w:hAnsi="Times New Roman" w:cs="Times New Roman"/>
          <w:color w:val="000000" w:themeColor="text1"/>
          <w:spacing w:val="0"/>
          <w:u w:val="none"/>
        </w:rPr>
        <w:t>1000</w:t>
      </w:r>
      <w:r w:rsidRPr="007224C3">
        <w:rPr>
          <w:rFonts w:ascii="Times New Roman" w:hAnsi="Times New Roman"/>
          <w:color w:val="000000" w:themeColor="text1"/>
          <w:sz w:val="16"/>
          <w:szCs w:val="16"/>
        </w:rPr>
        <w:t xml:space="preserve"> кгр.</w:t>
      </w:r>
    </w:p>
    <w:p w14:paraId="4E5A9115" w14:textId="77777777" w:rsidR="00351D4E" w:rsidRPr="007224C3" w:rsidRDefault="00351D4E" w:rsidP="007224C3">
      <w:pPr>
        <w:tabs>
          <w:tab w:val="left" w:pos="3490"/>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с перегрузкой - </w:t>
      </w:r>
      <w:r w:rsidRPr="007224C3">
        <w:rPr>
          <w:rStyle w:val="16"/>
          <w:rFonts w:ascii="Times New Roman" w:hAnsi="Times New Roman" w:cs="Times New Roman"/>
          <w:color w:val="000000" w:themeColor="text1"/>
          <w:spacing w:val="0"/>
          <w:u w:val="none"/>
        </w:rPr>
        <w:t>2000</w:t>
      </w:r>
      <w:r w:rsidRPr="007224C3">
        <w:rPr>
          <w:rFonts w:ascii="Times New Roman" w:hAnsi="Times New Roman"/>
          <w:color w:val="000000" w:themeColor="text1"/>
          <w:sz w:val="16"/>
          <w:szCs w:val="16"/>
        </w:rPr>
        <w:t xml:space="preserve"> кгр.</w:t>
      </w:r>
    </w:p>
    <w:p w14:paraId="037CBEE8" w14:textId="77777777" w:rsidR="00351D4E" w:rsidRPr="007224C3" w:rsidRDefault="00351D4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вооружение: вперед 2 пушки Швак калибра 20мм.</w:t>
      </w:r>
    </w:p>
    <w:p w14:paraId="63B46973" w14:textId="77777777" w:rsidR="00351D4E" w:rsidRPr="007224C3" w:rsidRDefault="00351D4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выпустить в двух экземплярах и пред"явить на совместные испытания в НИИ ВВС:</w:t>
      </w:r>
    </w:p>
    <w:p w14:paraId="1B3E5033" w14:textId="77777777" w:rsidR="00351D4E" w:rsidRPr="007224C3" w:rsidRDefault="00351D4E" w:rsidP="007224C3">
      <w:pPr>
        <w:tabs>
          <w:tab w:val="left" w:pos="1176"/>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1й экземпляр - 1 июня 1944г.</w:t>
      </w:r>
    </w:p>
    <w:p w14:paraId="40976BD3" w14:textId="77777777" w:rsidR="00351D4E" w:rsidRPr="007224C3" w:rsidRDefault="00351D4E" w:rsidP="007224C3">
      <w:pPr>
        <w:tabs>
          <w:tab w:val="left" w:pos="1201"/>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2й экземпляр - 15 октября 1944 г.</w:t>
      </w:r>
    </w:p>
    <w:p w14:paraId="0C105971" w14:textId="77777777" w:rsidR="00351D4E" w:rsidRPr="007224C3" w:rsidRDefault="00351D4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Командующему ВВС - т.Новикову л Наркомавиапром - т.Шахурину провести испытания 1-</w:t>
      </w:r>
      <w:r w:rsidRPr="007224C3">
        <w:rPr>
          <w:rFonts w:ascii="Times New Roman" w:hAnsi="Times New Roman"/>
          <w:color w:val="000000" w:themeColor="text1"/>
          <w:sz w:val="16"/>
          <w:szCs w:val="16"/>
          <w:lang w:val="en-US"/>
        </w:rPr>
        <w:t>ro</w:t>
      </w:r>
      <w:r w:rsidRPr="007224C3">
        <w:rPr>
          <w:rFonts w:ascii="Times New Roman" w:hAnsi="Times New Roman"/>
          <w:color w:val="000000" w:themeColor="text1"/>
          <w:sz w:val="16"/>
          <w:szCs w:val="16"/>
        </w:rPr>
        <w:t xml:space="preserve"> экземпляра самолета к 15 июня 1944г. и представить в ГОКО заключение.</w:t>
      </w:r>
    </w:p>
    <w:p w14:paraId="6A440B15" w14:textId="77777777" w:rsidR="00351D4E" w:rsidRPr="007224C3" w:rsidRDefault="00351D4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Обязать директора завода № 26 - т.Баландина и главного конструктора - т.Климова подать главному кон</w:t>
      </w:r>
      <w:r w:rsidRPr="007224C3">
        <w:rPr>
          <w:rFonts w:ascii="Times New Roman" w:hAnsi="Times New Roman"/>
          <w:color w:val="000000" w:themeColor="text1"/>
          <w:sz w:val="16"/>
          <w:szCs w:val="16"/>
        </w:rPr>
        <w:softHyphen/>
        <w:t>структору т.Мясищеву:</w:t>
      </w:r>
    </w:p>
    <w:p w14:paraId="4F6A05F6" w14:textId="77777777" w:rsidR="00351D4E" w:rsidRPr="007224C3" w:rsidRDefault="00351D4E" w:rsidP="007224C3">
      <w:pPr>
        <w:tabs>
          <w:tab w:val="left" w:pos="790"/>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моторы ВК-108: 2 опытных мотора с 50-чаоовым ресурсом для отработки винтомоторной группы к 1 июля 1944г. и 6 экземпляров летных моторов с 50-часовым ресурсом к 15 сентября 1944г. со следующими данными:</w:t>
      </w:r>
    </w:p>
    <w:p w14:paraId="31738656" w14:textId="77777777" w:rsidR="00351D4E" w:rsidRPr="007224C3" w:rsidRDefault="00351D4E" w:rsidP="007224C3">
      <w:pPr>
        <w:tabs>
          <w:tab w:val="left" w:pos="3680"/>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взлетная мощность 1800 л.с.</w:t>
      </w:r>
    </w:p>
    <w:p w14:paraId="37F54E29" w14:textId="77777777" w:rsidR="00351D4E" w:rsidRPr="007224C3" w:rsidRDefault="00351D4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боевая мощность на высотк 1800 метров</w:t>
      </w:r>
      <w:r w:rsidRPr="007224C3">
        <w:rPr>
          <w:rFonts w:ascii="Times New Roman" w:hAnsi="Times New Roman"/>
          <w:color w:val="000000" w:themeColor="text1"/>
          <w:sz w:val="16"/>
          <w:szCs w:val="16"/>
        </w:rPr>
        <w:tab/>
        <w:t>1800 л.с.</w:t>
      </w:r>
    </w:p>
    <w:p w14:paraId="58C44838" w14:textId="77777777" w:rsidR="00351D4E" w:rsidRPr="007224C3" w:rsidRDefault="00351D4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боевая мощность на высоте 4500 метров</w:t>
      </w:r>
      <w:r w:rsidRPr="007224C3">
        <w:rPr>
          <w:rFonts w:ascii="Times New Roman" w:hAnsi="Times New Roman"/>
          <w:color w:val="000000" w:themeColor="text1"/>
          <w:sz w:val="16"/>
          <w:szCs w:val="16"/>
        </w:rPr>
        <w:tab/>
        <w:t>1700 л.с.</w:t>
      </w:r>
    </w:p>
    <w:p w14:paraId="7D137790" w14:textId="77777777" w:rsidR="00351D4E" w:rsidRPr="007224C3" w:rsidRDefault="00351D4E" w:rsidP="007224C3">
      <w:pPr>
        <w:tabs>
          <w:tab w:val="left" w:pos="790"/>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моторы ВК-109: 2 макетных мотора к 1 сентября 1944г. и 6 экземпляров моторов с 30-часовым ресурсом к 1 января 1945г. со следующими данными:</w:t>
      </w:r>
    </w:p>
    <w:p w14:paraId="6EDECCBD" w14:textId="77777777" w:rsidR="00351D4E" w:rsidRPr="007224C3" w:rsidRDefault="00351D4E" w:rsidP="007224C3">
      <w:pPr>
        <w:tabs>
          <w:tab w:val="left" w:pos="3693"/>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взлетная мощность - 1800 л.с.</w:t>
      </w:r>
    </w:p>
    <w:p w14:paraId="7461718F" w14:textId="77777777" w:rsidR="00351D4E" w:rsidRPr="007224C3" w:rsidRDefault="00351D4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боевая мощность на высоте 9000 метров</w:t>
      </w:r>
      <w:r w:rsidRPr="007224C3">
        <w:rPr>
          <w:rFonts w:ascii="Times New Roman" w:hAnsi="Times New Roman"/>
          <w:color w:val="000000" w:themeColor="text1"/>
          <w:sz w:val="16"/>
          <w:szCs w:val="16"/>
        </w:rPr>
        <w:tab/>
        <w:t>1400 л.с.</w:t>
      </w:r>
    </w:p>
    <w:p w14:paraId="594E6160" w14:textId="77777777" w:rsidR="00351D4E" w:rsidRPr="007224C3" w:rsidRDefault="00351D4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боевая мощность на высоте 2500 метров - 1800 л.с.</w:t>
      </w:r>
    </w:p>
    <w:p w14:paraId="2EFA8567" w14:textId="77777777" w:rsidR="00351D4E" w:rsidRPr="007224C3" w:rsidRDefault="00351D4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чрезвычайная мощность на высоте 700 метров - 2100</w:t>
      </w:r>
    </w:p>
    <w:p w14:paraId="5BDC9EFA" w14:textId="77777777" w:rsidR="00351D4E" w:rsidRPr="007224C3" w:rsidRDefault="00351D4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чрезвычайная мощность на высоте 6500 метров - 1700 л.с.</w:t>
      </w:r>
    </w:p>
    <w:p w14:paraId="39CBBF80" w14:textId="77777777" w:rsidR="00351D4E" w:rsidRPr="007224C3" w:rsidRDefault="00351D4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пользовании чрезвычайным режимом, общий ре</w:t>
      </w:r>
      <w:r w:rsidRPr="007224C3">
        <w:rPr>
          <w:rFonts w:ascii="Times New Roman" w:hAnsi="Times New Roman"/>
          <w:color w:val="000000" w:themeColor="text1"/>
          <w:sz w:val="16"/>
          <w:szCs w:val="16"/>
        </w:rPr>
        <w:softHyphen/>
        <w:t>сурс работы мотора (30 часов) сокращается в пропорции; 2 часа нормальной работы мотора за каждые 5 минут ра</w:t>
      </w:r>
      <w:r w:rsidRPr="007224C3">
        <w:rPr>
          <w:rFonts w:ascii="Times New Roman" w:hAnsi="Times New Roman"/>
          <w:color w:val="000000" w:themeColor="text1"/>
          <w:sz w:val="16"/>
          <w:szCs w:val="16"/>
        </w:rPr>
        <w:softHyphen/>
        <w:t>боты на чрезвычайном режиме.</w:t>
      </w:r>
    </w:p>
    <w:p w14:paraId="587E73CE" w14:textId="77777777" w:rsidR="00351D4E" w:rsidRPr="007224C3" w:rsidRDefault="00351D4E" w:rsidP="007224C3">
      <w:pPr>
        <w:tabs>
          <w:tab w:val="left" w:pos="764"/>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Обязать Наркомавиапром - т.Шахурина, директо</w:t>
      </w:r>
      <w:r w:rsidRPr="007224C3">
        <w:rPr>
          <w:rFonts w:ascii="Times New Roman" w:hAnsi="Times New Roman"/>
          <w:color w:val="000000" w:themeColor="text1"/>
          <w:sz w:val="16"/>
          <w:szCs w:val="16"/>
        </w:rPr>
        <w:softHyphen/>
        <w:t>ра завода № 26 - т.Баландина и главного конструктора - т.Климова представить на рассмотрение ГОКО к 10 июня 1944г. календарный план работ по изготовлению опытных образцов моторов ВК-109 с необходимыми мероприятиями.</w:t>
      </w:r>
    </w:p>
    <w:p w14:paraId="062D8BAB" w14:textId="77777777" w:rsidR="00351D4E" w:rsidRPr="007224C3" w:rsidRDefault="00351D4E" w:rsidP="007224C3">
      <w:pPr>
        <w:tabs>
          <w:tab w:val="left" w:pos="764"/>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Обязать директора завода № 45 - т.Комарова и главного конструктора т.Микулина подать заводу № 156 - 9 мотора АМ-39 к 27 мая 1944г. и 3 мотора - к 1 авгу</w:t>
      </w:r>
      <w:r w:rsidRPr="007224C3">
        <w:rPr>
          <w:rFonts w:ascii="Times New Roman" w:hAnsi="Times New Roman"/>
          <w:color w:val="000000" w:themeColor="text1"/>
          <w:sz w:val="16"/>
          <w:szCs w:val="16"/>
        </w:rPr>
        <w:softHyphen/>
        <w:t>ста 1944г.</w:t>
      </w:r>
    </w:p>
    <w:p w14:paraId="1C53CCD4" w14:textId="77777777" w:rsidR="00351D4E" w:rsidRPr="007224C3" w:rsidRDefault="00351D4E" w:rsidP="007224C3">
      <w:pPr>
        <w:tabs>
          <w:tab w:val="left" w:pos="764"/>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Обязать Наркомфин СССР - т.Зверева выделить НКАП за счет бюджетных ассигнования на опытные работы в 1944 году;</w:t>
      </w:r>
    </w:p>
    <w:p w14:paraId="55E5B336" w14:textId="77777777" w:rsidR="00351D4E" w:rsidRPr="007224C3" w:rsidRDefault="00351D4E" w:rsidP="007224C3">
      <w:pPr>
        <w:tabs>
          <w:tab w:val="left" w:pos="758"/>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на постройку 5-ти экземпляров модифицированных самолетов Пе-2 с моторами ВК-107А головной серии - 8 миллионов рублей, в том числе на премирование рабо</w:t>
      </w:r>
      <w:r w:rsidRPr="007224C3">
        <w:rPr>
          <w:rFonts w:ascii="Times New Roman" w:hAnsi="Times New Roman"/>
          <w:color w:val="000000" w:themeColor="text1"/>
          <w:sz w:val="16"/>
          <w:szCs w:val="16"/>
        </w:rPr>
        <w:softHyphen/>
        <w:t>чих и ИТР - 800 тысяч рублей;</w:t>
      </w:r>
    </w:p>
    <w:p w14:paraId="6819026B" w14:textId="77777777" w:rsidR="00351D4E" w:rsidRPr="007224C3" w:rsidRDefault="00351D4E" w:rsidP="007224C3">
      <w:pPr>
        <w:tabs>
          <w:tab w:val="left" w:pos="770"/>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на постройку скоростного дневного бомбардиров</w:t>
      </w:r>
      <w:r w:rsidRPr="007224C3">
        <w:rPr>
          <w:rFonts w:ascii="Times New Roman" w:hAnsi="Times New Roman"/>
          <w:color w:val="000000" w:themeColor="text1"/>
          <w:sz w:val="16"/>
          <w:szCs w:val="16"/>
        </w:rPr>
        <w:softHyphen/>
        <w:t>щика с моторами ВК-108 - 9 миллионов рублей, в том числе на премирование рабочих и ИТР - 700 тыс.рублей;</w:t>
      </w:r>
    </w:p>
    <w:p w14:paraId="227EC0FA" w14:textId="77777777" w:rsidR="00351D4E" w:rsidRPr="007224C3" w:rsidRDefault="00351D4E" w:rsidP="007224C3">
      <w:pPr>
        <w:tabs>
          <w:tab w:val="left" w:pos="764"/>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 постройку высотного дневного бомбардировщи</w:t>
      </w:r>
      <w:r w:rsidRPr="007224C3">
        <w:rPr>
          <w:rFonts w:ascii="Times New Roman" w:hAnsi="Times New Roman"/>
          <w:color w:val="000000" w:themeColor="text1"/>
          <w:sz w:val="16"/>
          <w:szCs w:val="16"/>
        </w:rPr>
        <w:softHyphen/>
        <w:t>ка о моторами ВК-109 - 10 миллионов рублей, в тон чи</w:t>
      </w:r>
      <w:r w:rsidRPr="007224C3">
        <w:rPr>
          <w:rFonts w:ascii="Times New Roman" w:hAnsi="Times New Roman"/>
          <w:color w:val="000000" w:themeColor="text1"/>
          <w:sz w:val="16"/>
          <w:szCs w:val="16"/>
        </w:rPr>
        <w:softHyphen/>
        <w:t>сле на премирование рабочих и ИТР - 800 тыс.рублей;</w:t>
      </w:r>
    </w:p>
    <w:p w14:paraId="73BE0531" w14:textId="77777777" w:rsidR="00351D4E" w:rsidRPr="007224C3" w:rsidRDefault="00351D4E" w:rsidP="007224C3">
      <w:pPr>
        <w:tabs>
          <w:tab w:val="left" w:pos="758"/>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 на постройку скоростного дневного бомбарди</w:t>
      </w:r>
      <w:r w:rsidRPr="007224C3">
        <w:rPr>
          <w:rFonts w:ascii="Times New Roman" w:hAnsi="Times New Roman"/>
          <w:color w:val="000000" w:themeColor="text1"/>
          <w:sz w:val="16"/>
          <w:szCs w:val="16"/>
        </w:rPr>
        <w:softHyphen/>
        <w:t>ровщика с моторами АМ-39 - 8миллионов рублей, в том числе на премирование рабочих и ИТР: за 1-й экземпляр самолета - 500 тысяч рублей и за 2-й экземпляр само</w:t>
      </w:r>
      <w:r w:rsidRPr="007224C3">
        <w:rPr>
          <w:rFonts w:ascii="Times New Roman" w:hAnsi="Times New Roman"/>
          <w:color w:val="000000" w:themeColor="text1"/>
          <w:sz w:val="16"/>
          <w:szCs w:val="16"/>
        </w:rPr>
        <w:softHyphen/>
        <w:t>лета - 1 миллион рублей;</w:t>
      </w:r>
    </w:p>
    <w:p w14:paraId="5BDA28DA" w14:textId="77777777" w:rsidR="00351D4E" w:rsidRPr="007224C3" w:rsidRDefault="00351D4E" w:rsidP="007224C3">
      <w:pPr>
        <w:tabs>
          <w:tab w:val="left" w:pos="764"/>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 на премирование рабочих и ИТР за мотор ВК-108 - 1,5 миллиона рублей и за мотор ВК-109 - 3,4 миллиона рублей;</w:t>
      </w:r>
    </w:p>
    <w:p w14:paraId="5B5E1D5E" w14:textId="77777777" w:rsidR="00351D4E" w:rsidRPr="007224C3" w:rsidRDefault="00351D4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е) разрешить Наркомавиапрому 50% всех преду</w:t>
      </w:r>
      <w:r w:rsidRPr="007224C3">
        <w:rPr>
          <w:rFonts w:ascii="Times New Roman" w:hAnsi="Times New Roman"/>
          <w:color w:val="000000" w:themeColor="text1"/>
          <w:sz w:val="16"/>
          <w:szCs w:val="16"/>
        </w:rPr>
        <w:softHyphen/>
        <w:t>смотренных настоящим постановлением премиальных сумм выплачивать в процессе выполнения задания и остальные 50№ - по выпуску в срок указанных самолетов и моторов.</w:t>
      </w:r>
    </w:p>
    <w:p w14:paraId="449987C0" w14:textId="77777777" w:rsidR="00351D4E" w:rsidRPr="007224C3" w:rsidRDefault="00351D4E" w:rsidP="007224C3">
      <w:pPr>
        <w:tabs>
          <w:tab w:val="left" w:pos="1576"/>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Обязать Наркомавиапром - т.Шахурина и директо</w:t>
      </w:r>
      <w:r w:rsidRPr="007224C3">
        <w:rPr>
          <w:rFonts w:ascii="Times New Roman" w:hAnsi="Times New Roman"/>
          <w:color w:val="000000" w:themeColor="text1"/>
          <w:sz w:val="16"/>
          <w:szCs w:val="16"/>
        </w:rPr>
        <w:softHyphen/>
        <w:t>ра завода № 466 - Т.Лукина изготовить опытную серию в 80 экземпляров моторов ВК - 105ПД с нагнетателем конст</w:t>
      </w:r>
      <w:r w:rsidRPr="007224C3">
        <w:rPr>
          <w:rFonts w:ascii="Times New Roman" w:hAnsi="Times New Roman"/>
          <w:color w:val="000000" w:themeColor="text1"/>
          <w:sz w:val="16"/>
          <w:szCs w:val="16"/>
        </w:rPr>
        <w:softHyphen/>
        <w:t>рукции Доллежаля к 1 октября 1944г., за счет сокраще</w:t>
      </w:r>
      <w:r w:rsidRPr="007224C3">
        <w:rPr>
          <w:rFonts w:ascii="Times New Roman" w:hAnsi="Times New Roman"/>
          <w:color w:val="000000" w:themeColor="text1"/>
          <w:sz w:val="16"/>
          <w:szCs w:val="16"/>
        </w:rPr>
        <w:softHyphen/>
        <w:t>ния заводу программы выпуска мотороз ВК-105ПФ на 150 штук на этот период; первые 5 моторов ВК-105ПД вы</w:t>
      </w:r>
      <w:r w:rsidRPr="007224C3">
        <w:rPr>
          <w:rFonts w:ascii="Times New Roman" w:hAnsi="Times New Roman"/>
          <w:color w:val="000000" w:themeColor="text1"/>
          <w:sz w:val="16"/>
          <w:szCs w:val="16"/>
        </w:rPr>
        <w:softHyphen/>
        <w:t>пустить в июле 1944 года.</w:t>
      </w:r>
    </w:p>
    <w:p w14:paraId="50F99A1B" w14:textId="77777777" w:rsidR="00351D4E" w:rsidRPr="007224C3" w:rsidRDefault="00351D4E" w:rsidP="007224C3">
      <w:pPr>
        <w:tabs>
          <w:tab w:val="left" w:pos="1570"/>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Обявать Наркомавиапром - т.Шахурина и начальни</w:t>
      </w:r>
      <w:r w:rsidRPr="007224C3">
        <w:rPr>
          <w:rFonts w:ascii="Times New Roman" w:hAnsi="Times New Roman"/>
          <w:color w:val="000000" w:themeColor="text1"/>
          <w:sz w:val="16"/>
          <w:szCs w:val="16"/>
        </w:rPr>
        <w:softHyphen/>
        <w:t>ка ЦИАМ - т.Поляковского подготовить к 1 сентября 1944г. постановку серийного производства автоматов совмеотного управления винтом и газом "ВГ " конструкции ЦИАМ, автоматов переключения скоростей конструкции ЦИАМ и ав</w:t>
      </w:r>
      <w:r w:rsidRPr="007224C3">
        <w:rPr>
          <w:rFonts w:ascii="Times New Roman" w:hAnsi="Times New Roman"/>
          <w:color w:val="000000" w:themeColor="text1"/>
          <w:sz w:val="16"/>
          <w:szCs w:val="16"/>
        </w:rPr>
        <w:softHyphen/>
        <w:t>томатов регулировки температур головок цилиндров мото</w:t>
      </w:r>
      <w:r w:rsidRPr="007224C3">
        <w:rPr>
          <w:rFonts w:ascii="Times New Roman" w:hAnsi="Times New Roman"/>
          <w:color w:val="000000" w:themeColor="text1"/>
          <w:sz w:val="16"/>
          <w:szCs w:val="16"/>
        </w:rPr>
        <w:softHyphen/>
        <w:t>ров.</w:t>
      </w:r>
    </w:p>
    <w:p w14:paraId="1299D0FB" w14:textId="77777777" w:rsidR="00351D4E" w:rsidRPr="007224C3" w:rsidRDefault="00351D4E" w:rsidP="007224C3">
      <w:pPr>
        <w:tabs>
          <w:tab w:val="left" w:pos="1658"/>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Обязать начальника ЛИИ НКАП - т.Чесалова отра</w:t>
      </w:r>
      <w:r w:rsidRPr="007224C3">
        <w:rPr>
          <w:rFonts w:ascii="Times New Roman" w:hAnsi="Times New Roman"/>
          <w:color w:val="000000" w:themeColor="text1"/>
          <w:sz w:val="16"/>
          <w:szCs w:val="16"/>
        </w:rPr>
        <w:softHyphen/>
        <w:t>ботать и произвести стендовые и летные испытания:</w:t>
      </w:r>
    </w:p>
    <w:p w14:paraId="31F2F87D" w14:textId="77777777" w:rsidR="00351D4E" w:rsidRPr="007224C3" w:rsidRDefault="00351D4E" w:rsidP="007224C3">
      <w:pPr>
        <w:tabs>
          <w:tab w:val="left" w:pos="1576"/>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редукционных клапанов для маслосистеы, пере</w:t>
      </w:r>
      <w:r w:rsidRPr="007224C3">
        <w:rPr>
          <w:rFonts w:ascii="Times New Roman" w:hAnsi="Times New Roman"/>
          <w:color w:val="000000" w:themeColor="text1"/>
          <w:sz w:val="16"/>
          <w:szCs w:val="16"/>
        </w:rPr>
        <w:softHyphen/>
        <w:t>пускающих масло в обход радиатора, в зависимости от вязкости масла, в июле 1944 года;</w:t>
      </w:r>
    </w:p>
    <w:p w14:paraId="51339BF1" w14:textId="77777777" w:rsidR="00351D4E" w:rsidRPr="007224C3" w:rsidRDefault="00351D4E" w:rsidP="007224C3">
      <w:pPr>
        <w:tabs>
          <w:tab w:val="left" w:pos="1583"/>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автоматических редукционных клапанов для поддержания постоянного давления в водо и масло системах в июле 1944г.</w:t>
      </w:r>
    </w:p>
    <w:p w14:paraId="43F23FCC" w14:textId="77777777" w:rsidR="00351D4E" w:rsidRPr="007224C3" w:rsidRDefault="00351D4E" w:rsidP="007224C3">
      <w:pPr>
        <w:tabs>
          <w:tab w:val="left" w:pos="1290"/>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Обязать главных конструкторов НКАП т.т.Короткова, Климова и Микулина провести стендовые и летные испытания автокорректора состава смеси к моторам ВК-107А и АМ-39 к 1 августа 1944г.</w:t>
      </w:r>
    </w:p>
    <w:p w14:paraId="3F864762" w14:textId="77777777" w:rsidR="00351D4E" w:rsidRPr="007224C3" w:rsidRDefault="00351D4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Обязать Наркомавиапром т.Щахурина и главных конструкторов винтов и самолетов закончить к 1 авгу</w:t>
      </w:r>
      <w:r w:rsidRPr="007224C3">
        <w:rPr>
          <w:rFonts w:ascii="Times New Roman" w:hAnsi="Times New Roman"/>
          <w:color w:val="000000" w:themeColor="text1"/>
          <w:sz w:val="16"/>
          <w:szCs w:val="16"/>
        </w:rPr>
        <w:softHyphen/>
        <w:t>ста 1944г. государственные летные испытания опытных флюгерных винтов на самолетах Ил-4, Пе-2, Ер-2 и Ту-2 и дать предложения в ГОКО по развертыванию их серий</w:t>
      </w:r>
      <w:r w:rsidRPr="007224C3">
        <w:rPr>
          <w:rFonts w:ascii="Times New Roman" w:hAnsi="Times New Roman"/>
          <w:color w:val="000000" w:themeColor="text1"/>
          <w:sz w:val="16"/>
          <w:szCs w:val="16"/>
        </w:rPr>
        <w:softHyphen/>
        <w:t>ного производства.</w:t>
      </w:r>
    </w:p>
    <w:p w14:paraId="1D6D3F03" w14:textId="77777777" w:rsidR="00351D4E" w:rsidRPr="007224C3" w:rsidRDefault="00351D4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Обязать главных конструкторов моторов т.т. Кли мова, Чаромского, Микулина и Швецова все новые опытные моторы, предназначенные для установки на двухмоторные самолеты, выпускать с двухканальным подводом масла к винту.</w:t>
      </w:r>
    </w:p>
    <w:p w14:paraId="031729B7" w14:textId="77777777" w:rsidR="00351D4E" w:rsidRPr="007224C3" w:rsidRDefault="00351D4E" w:rsidP="007224C3">
      <w:pPr>
        <w:tabs>
          <w:tab w:val="left" w:pos="890"/>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14. Обязать главных конструкторов т.т.Туполева, Мясищева и Ермолаева отработать обогрев и вентиляцию кабин самолетов Ту-2, Пе-2 и </w:t>
      </w:r>
      <w:r w:rsidRPr="007224C3">
        <w:rPr>
          <w:rStyle w:val="-1pt"/>
          <w:rFonts w:ascii="Times New Roman" w:hAnsi="Times New Roman" w:cs="Times New Roman"/>
          <w:color w:val="000000" w:themeColor="text1"/>
          <w:spacing w:val="0"/>
          <w:sz w:val="16"/>
          <w:szCs w:val="16"/>
        </w:rPr>
        <w:t>Ер-2</w:t>
      </w:r>
      <w:r w:rsidRPr="007224C3">
        <w:rPr>
          <w:rFonts w:ascii="Times New Roman" w:hAnsi="Times New Roman"/>
          <w:color w:val="000000" w:themeColor="text1"/>
          <w:sz w:val="16"/>
          <w:szCs w:val="16"/>
        </w:rPr>
        <w:t xml:space="preserve"> и пред"явить на гос- испытания в НИИ ВВС к 1 августа 1944г.</w:t>
      </w:r>
    </w:p>
    <w:p w14:paraId="2AA7F9DE" w14:textId="77777777" w:rsidR="00351D4E" w:rsidRPr="007224C3" w:rsidRDefault="00351D4E" w:rsidP="007224C3">
      <w:pPr>
        <w:tabs>
          <w:tab w:val="left" w:pos="915"/>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Обязать начальника НИСО НКАП т.Петрова раз</w:t>
      </w:r>
      <w:r w:rsidRPr="007224C3">
        <w:rPr>
          <w:rFonts w:ascii="Times New Roman" w:hAnsi="Times New Roman"/>
          <w:color w:val="000000" w:themeColor="text1"/>
          <w:sz w:val="16"/>
          <w:szCs w:val="16"/>
        </w:rPr>
        <w:softHyphen/>
        <w:t>работать типовую приборную доску для дневных двухмо</w:t>
      </w:r>
      <w:r w:rsidRPr="007224C3">
        <w:rPr>
          <w:rFonts w:ascii="Times New Roman" w:hAnsi="Times New Roman"/>
          <w:color w:val="000000" w:themeColor="text1"/>
          <w:sz w:val="16"/>
          <w:szCs w:val="16"/>
        </w:rPr>
        <w:softHyphen/>
        <w:t>торных бомбардировщиков о использованием опыта самоле</w:t>
      </w:r>
      <w:r w:rsidRPr="007224C3">
        <w:rPr>
          <w:rFonts w:ascii="Times New Roman" w:hAnsi="Times New Roman"/>
          <w:color w:val="000000" w:themeColor="text1"/>
          <w:sz w:val="16"/>
          <w:szCs w:val="16"/>
        </w:rPr>
        <w:softHyphen/>
        <w:t>та "Москито" и пред"явить Государственной Макетной Комиссии ВВС, к 1 июля 1944г. -</w:t>
      </w:r>
    </w:p>
    <w:p w14:paraId="09298FD2" w14:textId="77777777" w:rsidR="00351D4E" w:rsidRPr="007224C3" w:rsidRDefault="00351D4E" w:rsidP="007224C3">
      <w:pPr>
        <w:tabs>
          <w:tab w:val="left" w:pos="884"/>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Обязать Наркомнефть т.Седина, Наркомавиапром т.Шахурина и главного инженера ВВС т. Репина предста</w:t>
      </w:r>
      <w:r w:rsidRPr="007224C3">
        <w:rPr>
          <w:rFonts w:ascii="Times New Roman" w:hAnsi="Times New Roman"/>
          <w:color w:val="000000" w:themeColor="text1"/>
          <w:sz w:val="16"/>
          <w:szCs w:val="16"/>
        </w:rPr>
        <w:softHyphen/>
        <w:t>вить в ГОКО к 1 июля 1944г. технические условия на 100-октановое авиатопливо и предложения по его произ</w:t>
      </w:r>
      <w:r w:rsidRPr="007224C3">
        <w:rPr>
          <w:rFonts w:ascii="Times New Roman" w:hAnsi="Times New Roman"/>
          <w:color w:val="000000" w:themeColor="text1"/>
          <w:sz w:val="16"/>
          <w:szCs w:val="16"/>
        </w:rPr>
        <w:softHyphen/>
        <w:t>водству.</w:t>
      </w:r>
    </w:p>
    <w:p w14:paraId="1A7F316D" w14:textId="77777777" w:rsidR="00351D4E" w:rsidRPr="007224C3" w:rsidRDefault="00351D4E" w:rsidP="007224C3">
      <w:pPr>
        <w:tabs>
          <w:tab w:val="left" w:pos="897"/>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Обязать Наркомбоеприпасов т.Ванникова и на</w:t>
      </w:r>
      <w:r w:rsidRPr="007224C3">
        <w:rPr>
          <w:rFonts w:ascii="Times New Roman" w:hAnsi="Times New Roman"/>
          <w:color w:val="000000" w:themeColor="text1"/>
          <w:sz w:val="16"/>
          <w:szCs w:val="16"/>
        </w:rPr>
        <w:softHyphen/>
        <w:t>чальника ГСКБ-47 т.Кулакова отработать отечественные бомбы калибром 250 кг., 500 кг., 1000 кг и 2000 кг. с максимально укороченным стабилизатором и к 15 августа 1944г. подать образцы бомб на испытания в НИК ВВС.</w:t>
      </w:r>
    </w:p>
    <w:p w14:paraId="1C97D6AD" w14:textId="77777777" w:rsidR="00351D4E" w:rsidRPr="007224C3" w:rsidRDefault="00351D4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Главному инженеру ВВС т.Репину в месячный срок провести испытания новых образцов бомб и о результа</w:t>
      </w:r>
      <w:r w:rsidRPr="007224C3">
        <w:rPr>
          <w:rFonts w:ascii="Times New Roman" w:hAnsi="Times New Roman"/>
          <w:color w:val="000000" w:themeColor="text1"/>
          <w:sz w:val="16"/>
          <w:szCs w:val="16"/>
        </w:rPr>
        <w:softHyphen/>
        <w:t>тах доложить ГОКО.</w:t>
      </w:r>
    </w:p>
    <w:p w14:paraId="0813678B" w14:textId="77777777" w:rsidR="00351D4E" w:rsidRPr="007224C3" w:rsidRDefault="00351D4E" w:rsidP="007224C3">
      <w:pPr>
        <w:tabs>
          <w:tab w:val="left" w:pos="890"/>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Обязать Наркомрезинпром т.Митрохина изго</w:t>
      </w:r>
      <w:r w:rsidRPr="007224C3">
        <w:rPr>
          <w:rFonts w:ascii="Times New Roman" w:hAnsi="Times New Roman"/>
          <w:color w:val="000000" w:themeColor="text1"/>
          <w:sz w:val="16"/>
          <w:szCs w:val="16"/>
        </w:rPr>
        <w:softHyphen/>
        <w:t>товить к 1 июля 1944г. по техусловиям НКАП опытную партию герметизирующих резиновых фасонных прокладок.</w:t>
      </w:r>
    </w:p>
    <w:p w14:paraId="6B77F7EA" w14:textId="77777777" w:rsidR="00351D4E" w:rsidRPr="007224C3" w:rsidRDefault="00351D4E" w:rsidP="007224C3">
      <w:pPr>
        <w:tabs>
          <w:tab w:val="left" w:pos="1391"/>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Наркомавиапрому передать Наркомрезинпрому тех- условия на резиновые фасонные прокладки к 1 июня 1944г.</w:t>
      </w:r>
    </w:p>
    <w:p w14:paraId="746EC397" w14:textId="77777777" w:rsidR="00351D4E" w:rsidRPr="007224C3" w:rsidRDefault="00351D4E" w:rsidP="007224C3">
      <w:pPr>
        <w:tabs>
          <w:tab w:val="left" w:pos="884"/>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Поручить Наркомвнешторгу т.Микояну принять меры к закупке в Англии для Наркомавиапрома для изу</w:t>
      </w:r>
      <w:r w:rsidRPr="007224C3">
        <w:rPr>
          <w:rFonts w:ascii="Times New Roman" w:hAnsi="Times New Roman"/>
          <w:color w:val="000000" w:themeColor="text1"/>
          <w:sz w:val="16"/>
          <w:szCs w:val="16"/>
        </w:rPr>
        <w:softHyphen/>
        <w:t>чения конструкции и боевого применения 8 самолетов "Москито" новейших модификаций, всех тактических на</w:t>
      </w:r>
      <w:r w:rsidRPr="007224C3">
        <w:rPr>
          <w:rFonts w:ascii="Times New Roman" w:hAnsi="Times New Roman"/>
          <w:color w:val="000000" w:themeColor="text1"/>
          <w:sz w:val="16"/>
          <w:szCs w:val="16"/>
        </w:rPr>
        <w:softHyphen/>
        <w:t>значений, а также 15 моторов Мерлин-72, Мерлин-73 и более новых модификаций.</w:t>
      </w:r>
    </w:p>
    <w:p w14:paraId="58527429" w14:textId="77777777" w:rsidR="00351D4E" w:rsidRPr="007224C3" w:rsidRDefault="00351D4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Обязать т.т.Микояна и Шахурина в месячный срок командировать в</w:t>
      </w:r>
      <w:r w:rsidRPr="007224C3">
        <w:rPr>
          <w:rStyle w:val="7pt0pt0"/>
          <w:rFonts w:ascii="Times New Roman" w:hAnsi="Times New Roman" w:cs="Times New Roman"/>
          <w:color w:val="000000" w:themeColor="text1"/>
          <w:spacing w:val="0"/>
          <w:sz w:val="16"/>
          <w:szCs w:val="16"/>
        </w:rPr>
        <w:t xml:space="preserve"> Англию</w:t>
      </w:r>
      <w:r w:rsidRPr="007224C3">
        <w:rPr>
          <w:rFonts w:ascii="Times New Roman" w:hAnsi="Times New Roman"/>
          <w:color w:val="000000" w:themeColor="text1"/>
          <w:sz w:val="16"/>
          <w:szCs w:val="16"/>
        </w:rPr>
        <w:t xml:space="preserve"> и Америку комиссию высококвалифицированных специалистов для изучения на месте вопросов конструкции, технологии и организации произ</w:t>
      </w:r>
      <w:r w:rsidRPr="007224C3">
        <w:rPr>
          <w:rFonts w:ascii="Times New Roman" w:hAnsi="Times New Roman"/>
          <w:color w:val="000000" w:themeColor="text1"/>
          <w:sz w:val="16"/>
          <w:szCs w:val="16"/>
        </w:rPr>
        <w:softHyphen/>
        <w:t>водства, а также боевого применения новейших самоле</w:t>
      </w:r>
      <w:r w:rsidRPr="007224C3">
        <w:rPr>
          <w:rFonts w:ascii="Times New Roman" w:hAnsi="Times New Roman"/>
          <w:color w:val="000000" w:themeColor="text1"/>
          <w:sz w:val="16"/>
          <w:szCs w:val="16"/>
        </w:rPr>
        <w:softHyphen/>
        <w:t>тов и моторов (19495).</w:t>
      </w:r>
    </w:p>
    <w:p w14:paraId="6E3F2FEB" w14:textId="77777777" w:rsidR="001144CD" w:rsidRPr="007224C3" w:rsidRDefault="001144CD" w:rsidP="007224C3">
      <w:pPr>
        <w:autoSpaceDE w:val="0"/>
        <w:autoSpaceDN w:val="0"/>
        <w:adjustRightInd w:val="0"/>
        <w:spacing w:after="0" w:line="240" w:lineRule="auto"/>
        <w:jc w:val="both"/>
        <w:rPr>
          <w:rFonts w:ascii="Times New Roman" w:hAnsi="Times New Roman"/>
          <w:color w:val="000000" w:themeColor="text1"/>
          <w:sz w:val="16"/>
          <w:szCs w:val="16"/>
        </w:rPr>
      </w:pPr>
    </w:p>
    <w:p w14:paraId="091E413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мая 1944 г. вышло постановление ГКО № 5947 и 25 мая вышел приказ НКАП № 358, которые не предусматривали оснащения ДБ-108 оборонительным вооружением (4476)</w:t>
      </w:r>
    </w:p>
    <w:p w14:paraId="68B86B6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FCACB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мая 1944 вышло постановления ГКО N 5947 о создании в кратчайший срок дневных скоростных бомбардировщиков (1585,163).</w:t>
      </w:r>
    </w:p>
    <w:p w14:paraId="497A32E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Навеяно было успехами Москито в Европе (1835,56).</w:t>
      </w:r>
    </w:p>
    <w:p w14:paraId="6FFFCCF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Там речь шла и о СДБ на базе Ту-2 и хотели, чтобы первый экз. появился 1 июня 1944, а второй - 15 октября 1944 (1835,56).</w:t>
      </w:r>
    </w:p>
    <w:p w14:paraId="4367F68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669732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мая 1944 г. ГКО принял постановление № 5947, в соответствии с которым заводу № 22 поручалось изготовить малую серию (5 машин) Пе-2И к 15 октября 1944 г. Однако это постановление не было выполнено. Основными причинами являлись, во-пер- вых, нежелание руководства НКАП и завода сокращать объемы выпуска обычных Пе-2 и, во-вторых, трудности с освоением серийного производства моторов ВК-107А, которые прежде всего предназначались для истребителей Як-9У (12042).</w:t>
      </w:r>
    </w:p>
    <w:p w14:paraId="1674994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2841E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мая 1944 вышло постановление ГКО N 5942сс "Об установке на самолет Як-3 2-го пулемета Березина" (1585,146).</w:t>
      </w:r>
    </w:p>
    <w:p w14:paraId="2D744AD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6764A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22 мая 1944 вышло Постановление ГКО № 5942 Об установке на самолет Як-3 второго пулемета системы Березина калибра 12,7 мм. РГАНИР, Фонд ГКО, д. 255, лл. 76 (11012).</w:t>
      </w:r>
    </w:p>
    <w:p w14:paraId="568E53D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AB41879" w14:textId="77777777" w:rsidR="001D1ADE" w:rsidRPr="007224C3" w:rsidRDefault="001D1ADE"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22 мая 1944 г. вышло Постановление ГКО № 5942сс «Об установке на самолет Як-3 2-го пулемета Березина», и НКАП своим приказом № 356сс от 26 мая обязал заводы № 292 и № 31 с 15 июня сдавать истребители только с трехточечным вооружением. Второй УБ-12,7 внедрили на 13-й серии выпуска головного завода № 292 после сдачи 197 «двухточечных» самолетов.</w:t>
      </w:r>
    </w:p>
    <w:p w14:paraId="0A1BA50A" w14:textId="77777777" w:rsidR="001D1ADE" w:rsidRPr="007224C3" w:rsidRDefault="001D1ADE"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Когда ОКБ-115 уже закончило сдачу серийной документации, с фронта стали поступать жалобы на то, что вооружение таких самолетов, как Як-1б, Як-9 и Як-3, в составе одной пушки ШВАК калибра 20 мм, стреляющей сквозь вал воздушного винта, и одного 12,7-мм синхронного пулемета УБ недостаточно для борьбы с такими самолетами противника, как тяжелые штурмовики Хеншель Hs 129, истребители-бомбардировщики и легкие штурмовики Фокке-Вульф FW 190F/G, а также последние модификации дальнего бомбардировщика Не 111Н, бронирование которого было усилено. И наш истребитель Як-7Б, и основной немецкий Мессершмитт Bf 109G имели более мощное вооружение в составе 20-мм мотор-пушки и двух крупнокалиберных пулеметов, которое для легких истребителей на Советско-германском фронте оказалось предпочтительным (22751).</w:t>
      </w:r>
    </w:p>
    <w:p w14:paraId="61972442" w14:textId="77777777" w:rsidR="001D1ADE" w:rsidRPr="007224C3" w:rsidRDefault="001D1ADE" w:rsidP="007224C3">
      <w:pPr>
        <w:spacing w:after="0" w:line="240" w:lineRule="auto"/>
        <w:jc w:val="both"/>
        <w:rPr>
          <w:rFonts w:ascii="Times New Roman" w:hAnsi="Times New Roman"/>
          <w:color w:val="0070C0"/>
          <w:sz w:val="16"/>
          <w:szCs w:val="16"/>
        </w:rPr>
      </w:pPr>
    </w:p>
    <w:p w14:paraId="2D33E0EF" w14:textId="77777777" w:rsidR="00E95DEC" w:rsidRPr="007224C3" w:rsidRDefault="00E95DE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мая 1944 вышло Постановление ГКО № 5942 Об установке на самолет Як-3 второго пулемета системы Березина калибра 12,7 мм. РГАНИР</w:t>
      </w:r>
    </w:p>
    <w:p w14:paraId="3A490BA3" w14:textId="77777777" w:rsidR="00E95DEC" w:rsidRPr="007224C3" w:rsidRDefault="00E95DEC"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Для. увеличения огневой мощи самолета Як-3 Госу</w:t>
      </w:r>
      <w:r w:rsidRPr="007224C3">
        <w:rPr>
          <w:rFonts w:ascii="Times New Roman" w:hAnsi="Times New Roman" w:cs="Times New Roman"/>
          <w:color w:val="000000" w:themeColor="text1"/>
          <w:sz w:val="16"/>
          <w:szCs w:val="16"/>
        </w:rPr>
        <w:softHyphen/>
        <w:t>дарственный Комитет Обороны постановляет:</w:t>
      </w:r>
    </w:p>
    <w:p w14:paraId="1F504BC0" w14:textId="77777777" w:rsidR="00E95DEC" w:rsidRPr="007224C3" w:rsidRDefault="00E95DE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Обязать Наркомавиапром (т.Шахурина), начиная с 15 июня 1944 года, выпускать все самолеты Як-3 с мо</w:t>
      </w:r>
      <w:r w:rsidRPr="007224C3">
        <w:rPr>
          <w:rFonts w:ascii="Times New Roman" w:hAnsi="Times New Roman"/>
          <w:color w:val="000000" w:themeColor="text1"/>
          <w:sz w:val="16"/>
          <w:szCs w:val="16"/>
        </w:rPr>
        <w:softHyphen/>
        <w:t>тором ВК105ПФ2, вооруженные одной пушкой калибра 20 мм и двумя пулеметами системы т.Березина калибра 12,7 мм, по типу самолета Як-3, прошедшего госиспыта</w:t>
      </w:r>
      <w:r w:rsidRPr="007224C3">
        <w:rPr>
          <w:rFonts w:ascii="Times New Roman" w:hAnsi="Times New Roman"/>
          <w:color w:val="000000" w:themeColor="text1"/>
          <w:sz w:val="16"/>
          <w:szCs w:val="16"/>
        </w:rPr>
        <w:softHyphen/>
        <w:t>ния в НИИ ВВС КА (19490).</w:t>
      </w:r>
    </w:p>
    <w:p w14:paraId="6676CEED" w14:textId="77777777" w:rsidR="00E95DEC" w:rsidRPr="007224C3" w:rsidRDefault="00E95DEC" w:rsidP="007224C3">
      <w:pPr>
        <w:spacing w:after="0" w:line="240" w:lineRule="auto"/>
        <w:jc w:val="both"/>
        <w:rPr>
          <w:rFonts w:ascii="Times New Roman" w:hAnsi="Times New Roman"/>
          <w:color w:val="000000" w:themeColor="text1"/>
          <w:sz w:val="16"/>
          <w:szCs w:val="16"/>
        </w:rPr>
      </w:pPr>
    </w:p>
    <w:p w14:paraId="76ED538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мая 1944 вышло Постановление ГКО № 5943 О принятии на вооружение и организации производства бомбардировочных прицелов системы Деренковского. РГАНИР, Фонд ГКО, д. 255, лл. 77-79,80 (11012).</w:t>
      </w:r>
    </w:p>
    <w:p w14:paraId="09AB594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D8D122D" w14:textId="77777777" w:rsidR="00AD30B7" w:rsidRPr="007224C3" w:rsidRDefault="00AD30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мая 1944 вышло Постановление ГКО № 5943 О принятии на вооружение и организации производства бомбардировочных прицелов системы Деренковского</w:t>
      </w:r>
    </w:p>
    <w:p w14:paraId="77FEF4DA" w14:textId="77777777" w:rsidR="00AD30B7" w:rsidRPr="007224C3" w:rsidRDefault="00AD30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Государственный Комитет Обороны постановляет:</w:t>
      </w:r>
    </w:p>
    <w:p w14:paraId="0B044B5B" w14:textId="77777777" w:rsidR="00AD30B7" w:rsidRPr="007224C3" w:rsidRDefault="00AD30B7" w:rsidP="007224C3">
      <w:pPr>
        <w:tabs>
          <w:tab w:val="left" w:pos="1378"/>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Принять к сведению сообщение ВВС КА тов.Новико</w:t>
      </w:r>
      <w:r w:rsidRPr="007224C3">
        <w:rPr>
          <w:rFonts w:ascii="Times New Roman" w:hAnsi="Times New Roman"/>
          <w:color w:val="000000" w:themeColor="text1"/>
          <w:sz w:val="16"/>
          <w:szCs w:val="16"/>
        </w:rPr>
        <w:softHyphen/>
        <w:t>ва и АДД тов.Голованова, что прицелы ОПБ-1Д и НКПБ-1Д системы инженера ЛИИ НКЛП тов.Деренковского конструк</w:t>
      </w:r>
      <w:r w:rsidRPr="007224C3">
        <w:rPr>
          <w:rFonts w:ascii="Times New Roman" w:hAnsi="Times New Roman"/>
          <w:color w:val="000000" w:themeColor="text1"/>
          <w:sz w:val="16"/>
          <w:szCs w:val="16"/>
        </w:rPr>
        <w:softHyphen/>
        <w:t>ции завода № 217 НКВ успешно прошли государственные испытания и показали точность прицельного бомбомета</w:t>
      </w:r>
      <w:r w:rsidRPr="007224C3">
        <w:rPr>
          <w:rFonts w:ascii="Times New Roman" w:hAnsi="Times New Roman"/>
          <w:color w:val="000000" w:themeColor="text1"/>
          <w:sz w:val="16"/>
          <w:szCs w:val="16"/>
        </w:rPr>
        <w:softHyphen/>
        <w:t>ния в 1,5 - 2 раза большую по сравнению с существующи</w:t>
      </w:r>
      <w:r w:rsidRPr="007224C3">
        <w:rPr>
          <w:rFonts w:ascii="Times New Roman" w:hAnsi="Times New Roman"/>
          <w:color w:val="000000" w:themeColor="text1"/>
          <w:sz w:val="16"/>
          <w:szCs w:val="16"/>
        </w:rPr>
        <w:softHyphen/>
        <w:t>ми прицелами.</w:t>
      </w:r>
    </w:p>
    <w:p w14:paraId="3ECB94C9" w14:textId="77777777" w:rsidR="00AD30B7" w:rsidRPr="007224C3" w:rsidRDefault="00AD30B7" w:rsidP="007224C3">
      <w:pPr>
        <w:tabs>
          <w:tab w:val="left" w:pos="1363"/>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Принять на вооружение ВВС КА, АДД и ВВС ВМФ прицелы бомбометания - телескопический 0ПБ-1Д и коллиматорный НКПБ-1Д.</w:t>
      </w:r>
    </w:p>
    <w:p w14:paraId="2317BBBD" w14:textId="77777777" w:rsidR="00AD30B7" w:rsidRPr="007224C3" w:rsidRDefault="00AD30B7" w:rsidP="007224C3">
      <w:pPr>
        <w:tabs>
          <w:tab w:val="left" w:pos="1373"/>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Обязать Наркомвооружения - т.Устинова:</w:t>
      </w:r>
    </w:p>
    <w:p w14:paraId="6089F788" w14:textId="77777777" w:rsidR="00AD30B7" w:rsidRPr="007224C3" w:rsidRDefault="00AD30B7" w:rsidP="007224C3">
      <w:pPr>
        <w:tabs>
          <w:tab w:val="left" w:pos="1385"/>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организовать серийное производство телескопи</w:t>
      </w:r>
      <w:r w:rsidRPr="007224C3">
        <w:rPr>
          <w:rFonts w:ascii="Times New Roman" w:hAnsi="Times New Roman"/>
          <w:color w:val="000000" w:themeColor="text1"/>
          <w:sz w:val="16"/>
          <w:szCs w:val="16"/>
        </w:rPr>
        <w:softHyphen/>
        <w:t>ческих прицелов ОПБ-1Д и изготовить в 1944 году 780 штук этих прицелов для установки на .самолетах Пе-2 и Ту-2, в том числе:</w:t>
      </w:r>
    </w:p>
    <w:p w14:paraId="27EA0D40" w14:textId="77777777" w:rsidR="00AD30B7" w:rsidRPr="007224C3" w:rsidRDefault="00AD30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 П квартале 30 штук, в Ш квартале 100 штук и 1У квартале 650 штук;</w:t>
      </w:r>
    </w:p>
    <w:p w14:paraId="590B18DB" w14:textId="77777777" w:rsidR="00AD30B7" w:rsidRPr="007224C3" w:rsidRDefault="00AD30B7" w:rsidP="007224C3">
      <w:pPr>
        <w:tabs>
          <w:tab w:val="left" w:pos="1400"/>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организовать серийное производство прицелов НКПБ-1Д и изготовить в 1944 году 400 штук этих прицелов для установки на самолетах Ил-4 и Ер-2, в том числе:</w:t>
      </w:r>
    </w:p>
    <w:p w14:paraId="19C563C6" w14:textId="77777777" w:rsidR="00AD30B7" w:rsidRPr="007224C3" w:rsidRDefault="00AD30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 П квартале 30 штук, в Ш квартале 70 штук и 1У квар</w:t>
      </w:r>
      <w:r w:rsidRPr="007224C3">
        <w:rPr>
          <w:rFonts w:ascii="Times New Roman" w:hAnsi="Times New Roman"/>
          <w:color w:val="000000" w:themeColor="text1"/>
          <w:sz w:val="16"/>
          <w:szCs w:val="16"/>
        </w:rPr>
        <w:softHyphen/>
        <w:t>тале 300 штук;</w:t>
      </w:r>
    </w:p>
    <w:p w14:paraId="44917114" w14:textId="77777777" w:rsidR="00AD30B7" w:rsidRPr="007224C3" w:rsidRDefault="00AD30B7" w:rsidP="007224C3">
      <w:pPr>
        <w:tabs>
          <w:tab w:val="left" w:pos="928"/>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 поставить во П квартале 1944 г. для проведения войсковых испытании и отработки монтажа прицелов на самолетах: прицелы ОПБ-1Д ВВС КА 20 штук, ВВС ВМФ 5 штук и НКАП 5 штук; прицель- НКПБ-1Д ВВС КА 4 штуки, ВВС </w:t>
      </w:r>
      <w:r w:rsidRPr="007224C3">
        <w:rPr>
          <w:rFonts w:ascii="Times New Roman" w:hAnsi="Times New Roman"/>
          <w:color w:val="000000" w:themeColor="text1"/>
          <w:sz w:val="16"/>
          <w:szCs w:val="16"/>
          <w:lang w:val="en-US"/>
        </w:rPr>
        <w:t>BM</w:t>
      </w:r>
      <w:r w:rsidRPr="007224C3">
        <w:rPr>
          <w:rFonts w:ascii="Times New Roman" w:hAnsi="Times New Roman"/>
          <w:color w:val="000000" w:themeColor="text1"/>
          <w:sz w:val="16"/>
          <w:szCs w:val="16"/>
        </w:rPr>
        <w:t>Ф 2 штуки, АДД 20 штук и НКАП 4 штуки; начиная с Щ квартала прицелы поставлять только НКАП для обес</w:t>
      </w:r>
      <w:r w:rsidRPr="007224C3">
        <w:rPr>
          <w:rFonts w:ascii="Times New Roman" w:hAnsi="Times New Roman"/>
          <w:color w:val="000000" w:themeColor="text1"/>
          <w:sz w:val="16"/>
          <w:szCs w:val="16"/>
        </w:rPr>
        <w:softHyphen/>
        <w:t>печения выпуска самолетов с новыми прицелами;</w:t>
      </w:r>
    </w:p>
    <w:p w14:paraId="1AABF76A" w14:textId="77777777" w:rsidR="00AD30B7" w:rsidRPr="007224C3" w:rsidRDefault="00AD30B7" w:rsidP="007224C3">
      <w:pPr>
        <w:tabs>
          <w:tab w:val="left" w:pos="935"/>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 обеспечить с 1 января 1945 года полную потреб</w:t>
      </w:r>
      <w:r w:rsidRPr="007224C3">
        <w:rPr>
          <w:rFonts w:ascii="Times New Roman" w:hAnsi="Times New Roman"/>
          <w:color w:val="000000" w:themeColor="text1"/>
          <w:sz w:val="16"/>
          <w:szCs w:val="16"/>
        </w:rPr>
        <w:softHyphen/>
        <w:t>ность НКАП в прицелах ОПБ-1Д и НКПБ-1Д.</w:t>
      </w:r>
    </w:p>
    <w:p w14:paraId="523F6D9B" w14:textId="77777777" w:rsidR="00AD30B7" w:rsidRPr="007224C3" w:rsidRDefault="00AD30B7" w:rsidP="007224C3">
      <w:pPr>
        <w:tabs>
          <w:tab w:val="left" w:pos="943"/>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Обязать Наркомавиапром (тов.Шахурина) обеспе</w:t>
      </w:r>
      <w:r w:rsidRPr="007224C3">
        <w:rPr>
          <w:rFonts w:ascii="Times New Roman" w:hAnsi="Times New Roman"/>
          <w:color w:val="000000" w:themeColor="text1"/>
          <w:sz w:val="16"/>
          <w:szCs w:val="16"/>
        </w:rPr>
        <w:softHyphen/>
        <w:t>чить с 1 октября 1944 года выпуск 50 самолетов Ту-2 с прицелами ОПБ-1Д и</w:t>
      </w:r>
      <w:r w:rsidRPr="007224C3">
        <w:rPr>
          <w:rStyle w:val="TrebuchetMS95pt"/>
          <w:rFonts w:ascii="Times New Roman" w:hAnsi="Times New Roman" w:cs="Times New Roman"/>
          <w:color w:val="000000" w:themeColor="text1"/>
          <w:sz w:val="16"/>
          <w:szCs w:val="16"/>
        </w:rPr>
        <w:t xml:space="preserve"> 25</w:t>
      </w:r>
      <w:r w:rsidRPr="007224C3">
        <w:rPr>
          <w:rFonts w:ascii="Times New Roman" w:hAnsi="Times New Roman"/>
          <w:color w:val="000000" w:themeColor="text1"/>
          <w:sz w:val="16"/>
          <w:szCs w:val="16"/>
        </w:rPr>
        <w:t xml:space="preserve"> самолетов Ер-2 и Ил-4 с прице</w:t>
      </w:r>
      <w:r w:rsidRPr="007224C3">
        <w:rPr>
          <w:rFonts w:ascii="Times New Roman" w:hAnsi="Times New Roman"/>
          <w:color w:val="000000" w:themeColor="text1"/>
          <w:sz w:val="16"/>
          <w:szCs w:val="16"/>
        </w:rPr>
        <w:softHyphen/>
        <w:t>лами НКПБ-1Д.</w:t>
      </w:r>
    </w:p>
    <w:p w14:paraId="665CB3D0" w14:textId="77777777" w:rsidR="00AD30B7" w:rsidRPr="007224C3" w:rsidRDefault="00AD30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января 1945 г. выпускать все самолеты Пе-2,Ту-2, Ил-4 и Ер-2 с прицелами системы Деренковского.</w:t>
      </w:r>
    </w:p>
    <w:p w14:paraId="0D6B30F8" w14:textId="77777777" w:rsidR="00AD30B7" w:rsidRPr="007224C3" w:rsidRDefault="00AD30B7" w:rsidP="007224C3">
      <w:pPr>
        <w:tabs>
          <w:tab w:val="left" w:pos="928"/>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Обязать Наркомвнешторг (тов.Микояна) поставить во П полугодии 1944 года за счет заказов по ранее вы</w:t>
      </w:r>
      <w:r w:rsidRPr="007224C3">
        <w:rPr>
          <w:rFonts w:ascii="Times New Roman" w:hAnsi="Times New Roman"/>
          <w:color w:val="000000" w:themeColor="text1"/>
          <w:sz w:val="16"/>
          <w:szCs w:val="16"/>
        </w:rPr>
        <w:softHyphen/>
        <w:t>несенным постановлениям Правительства для Наркомата вооружения по его спецификации:</w:t>
      </w:r>
    </w:p>
    <w:p w14:paraId="64425DFA" w14:textId="77777777" w:rsidR="00AD30B7" w:rsidRPr="007224C3" w:rsidRDefault="00AD30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металлорежущих станков - 107 един,</w:t>
      </w:r>
    </w:p>
    <w:p w14:paraId="611C2F63" w14:textId="77777777" w:rsidR="00AD30B7" w:rsidRPr="007224C3" w:rsidRDefault="00AD30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куэнечно-прессового и литейного оборудования - 24 "</w:t>
      </w:r>
    </w:p>
    <w:p w14:paraId="1152D491" w14:textId="77777777" w:rsidR="00AD30B7" w:rsidRPr="007224C3" w:rsidRDefault="00AD30B7" w:rsidP="007224C3">
      <w:pPr>
        <w:tabs>
          <w:tab w:val="left" w:pos="3345"/>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электропечей - 5 "</w:t>
      </w:r>
    </w:p>
    <w:p w14:paraId="31B16BDC" w14:textId="77777777" w:rsidR="00AD30B7" w:rsidRPr="007224C3" w:rsidRDefault="00AD30B7" w:rsidP="007224C3">
      <w:pPr>
        <w:tabs>
          <w:tab w:val="left" w:pos="4035"/>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волочильных станов - 1 "</w:t>
      </w:r>
    </w:p>
    <w:p w14:paraId="7E839EB3" w14:textId="77777777" w:rsidR="00AD30B7" w:rsidRPr="007224C3" w:rsidRDefault="00AD30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Кроме того, поставить во П полугодии 1944 года:</w:t>
      </w:r>
    </w:p>
    <w:p w14:paraId="1A6C39AF" w14:textId="77777777" w:rsidR="00AD30B7" w:rsidRPr="007224C3" w:rsidRDefault="00AD30B7" w:rsidP="007224C3">
      <w:pPr>
        <w:tabs>
          <w:tab w:val="left" w:pos="3353"/>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воздушных компрессоров давлением 6-8 атм.</w:t>
      </w:r>
      <w:r w:rsidRPr="007224C3">
        <w:rPr>
          <w:rFonts w:ascii="Times New Roman" w:hAnsi="Times New Roman"/>
          <w:color w:val="000000" w:themeColor="text1"/>
          <w:sz w:val="16"/>
          <w:szCs w:val="16"/>
        </w:rPr>
        <w:tab/>
        <w:t>- 5 шт.</w:t>
      </w:r>
    </w:p>
    <w:p w14:paraId="44ED9D68" w14:textId="77777777" w:rsidR="00AD30B7" w:rsidRPr="007224C3" w:rsidRDefault="00AD30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режущего инструмента на 100 тыс.американских долларов</w:t>
      </w:r>
    </w:p>
    <w:p w14:paraId="6ABC6669" w14:textId="77777777" w:rsidR="00AD30B7" w:rsidRPr="007224C3" w:rsidRDefault="00AD30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мерительного инструмента на 25 тыс.американских долларов.</w:t>
      </w:r>
    </w:p>
    <w:p w14:paraId="58B1BCDC" w14:textId="77777777" w:rsidR="00AD30B7" w:rsidRPr="007224C3" w:rsidRDefault="00AD30B7" w:rsidP="007224C3">
      <w:pPr>
        <w:tabs>
          <w:tab w:val="left" w:pos="960"/>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6. Обязать Наркомередмаш тов.Акопова выделить во П квартале 1944 года заводам № 217 и 237 НКВ 15 грузовых автомашин за счет поставок </w:t>
      </w:r>
      <w:r w:rsidRPr="007224C3">
        <w:rPr>
          <w:rFonts w:ascii="Times New Roman" w:hAnsi="Times New Roman"/>
          <w:color w:val="000000" w:themeColor="text1"/>
          <w:sz w:val="16"/>
          <w:szCs w:val="16"/>
          <w:lang w:val="en-US"/>
        </w:rPr>
        <w:t>HK</w:t>
      </w:r>
      <w:r w:rsidRPr="007224C3">
        <w:rPr>
          <w:rFonts w:ascii="Times New Roman" w:hAnsi="Times New Roman"/>
          <w:color w:val="000000" w:themeColor="text1"/>
          <w:sz w:val="16"/>
          <w:szCs w:val="16"/>
        </w:rPr>
        <w:t>О.</w:t>
      </w:r>
    </w:p>
    <w:p w14:paraId="35A72149" w14:textId="77777777" w:rsidR="00AD30B7" w:rsidRPr="007224C3" w:rsidRDefault="00AD30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Обязать Наркоыэлектропром (тов.Кабанова), Наркомавиапром (тов.Шахурина), Наркомцветмет (тов.Ломано), Наркомхимпром (тов.Первухина) обеспечить поставку во П и Ш кварталах 1944 г. заводам № 217 и 237 НКВ для комплектации приборов ОПБ-1Д и НКПБ-1Д изделий, полу</w:t>
      </w:r>
      <w:r w:rsidRPr="007224C3">
        <w:rPr>
          <w:rFonts w:ascii="Times New Roman" w:hAnsi="Times New Roman"/>
          <w:color w:val="000000" w:themeColor="text1"/>
          <w:sz w:val="16"/>
          <w:szCs w:val="16"/>
        </w:rPr>
        <w:softHyphen/>
        <w:t>фабрикатов и материалов, согласно приложению.</w:t>
      </w:r>
    </w:p>
    <w:p w14:paraId="67B4AD6E" w14:textId="77777777" w:rsidR="00AD30B7" w:rsidRPr="007224C3" w:rsidRDefault="00AD30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Разрешить Наркомвоорунения (тов.Устинову) из</w:t>
      </w:r>
      <w:r w:rsidRPr="007224C3">
        <w:rPr>
          <w:rFonts w:ascii="Times New Roman" w:hAnsi="Times New Roman"/>
          <w:color w:val="000000" w:themeColor="text1"/>
          <w:sz w:val="16"/>
          <w:szCs w:val="16"/>
        </w:rPr>
        <w:softHyphen/>
        <w:t>расходовать в 1944 году - 300.000 рублей на премирова</w:t>
      </w:r>
      <w:r w:rsidRPr="007224C3">
        <w:rPr>
          <w:rFonts w:ascii="Times New Roman" w:hAnsi="Times New Roman"/>
          <w:color w:val="000000" w:themeColor="text1"/>
          <w:sz w:val="16"/>
          <w:szCs w:val="16"/>
        </w:rPr>
        <w:softHyphen/>
        <w:t>ние работников заводов за выполнение и сдачу в срок прицелов ОПБ-1Д и НКПБ-1Д (19490).</w:t>
      </w:r>
    </w:p>
    <w:p w14:paraId="196E52D8" w14:textId="77777777" w:rsidR="00AD30B7" w:rsidRPr="007224C3" w:rsidRDefault="00AD30B7" w:rsidP="007224C3">
      <w:pPr>
        <w:autoSpaceDE w:val="0"/>
        <w:autoSpaceDN w:val="0"/>
        <w:adjustRightInd w:val="0"/>
        <w:spacing w:after="0" w:line="240" w:lineRule="auto"/>
        <w:jc w:val="both"/>
        <w:rPr>
          <w:rFonts w:ascii="Times New Roman" w:hAnsi="Times New Roman"/>
          <w:color w:val="000000" w:themeColor="text1"/>
          <w:sz w:val="16"/>
          <w:szCs w:val="16"/>
        </w:rPr>
      </w:pPr>
    </w:p>
    <w:p w14:paraId="386CE1F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мая 1944 вышло Постановление ГКО № 5945 О создании авиационных реактивных двигателей. РГАНИР, Фонд ГКО, д. 255, лл. 83-87 (11012).</w:t>
      </w:r>
    </w:p>
    <w:p w14:paraId="44249A3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B3DFF22" w14:textId="77777777" w:rsidR="00DF15BD" w:rsidRPr="007224C3" w:rsidRDefault="00DF15B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мая 1944 вышло Постановление ГКО № 5945 О создании авиационных реактивных двигателей</w:t>
      </w:r>
    </w:p>
    <w:p w14:paraId="2471A78D" w14:textId="77777777" w:rsidR="00DF15BD" w:rsidRPr="007224C3" w:rsidRDefault="00DF15BD"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Считая важнейшей задачей Наркомавиапрома разработ</w:t>
      </w:r>
      <w:r w:rsidRPr="007224C3">
        <w:rPr>
          <w:rFonts w:ascii="Times New Roman" w:hAnsi="Times New Roman" w:cs="Times New Roman"/>
          <w:color w:val="000000" w:themeColor="text1"/>
          <w:sz w:val="16"/>
          <w:szCs w:val="16"/>
        </w:rPr>
        <w:softHyphen/>
        <w:t>ку и постройку авиационных реактивных двигателей, Госу</w:t>
      </w:r>
      <w:r w:rsidRPr="007224C3">
        <w:rPr>
          <w:rFonts w:ascii="Times New Roman" w:hAnsi="Times New Roman" w:cs="Times New Roman"/>
          <w:color w:val="000000" w:themeColor="text1"/>
          <w:sz w:val="16"/>
          <w:szCs w:val="16"/>
        </w:rPr>
        <w:softHyphen/>
        <w:t>дарственный Комитет Обороны постановляет:</w:t>
      </w:r>
    </w:p>
    <w:p w14:paraId="37358ACA" w14:textId="77777777" w:rsidR="00DF15BD" w:rsidRPr="007224C3" w:rsidRDefault="00DF15BD"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1. Принять к сведению сообщение Наркомавиалрома т.Шахурина и ВВС КА т.Репина, что одкокамрный жидкост- ный реактивный двигатель РД-1 конструкции Глушко про</w:t>
      </w:r>
      <w:r w:rsidRPr="007224C3">
        <w:rPr>
          <w:rFonts w:ascii="Times New Roman" w:hAnsi="Times New Roman" w:cs="Times New Roman"/>
          <w:color w:val="000000" w:themeColor="text1"/>
          <w:sz w:val="16"/>
          <w:szCs w:val="16"/>
        </w:rPr>
        <w:softHyphen/>
        <w:t>шел совместные стендовые испытания и имеет следующие данные:</w:t>
      </w:r>
    </w:p>
    <w:p w14:paraId="1C1A3490" w14:textId="77777777" w:rsidR="00DF15BD" w:rsidRPr="007224C3" w:rsidRDefault="00DF15BD" w:rsidP="007224C3">
      <w:pPr>
        <w:pStyle w:val="47"/>
        <w:shd w:val="clear" w:color="auto" w:fill="auto"/>
        <w:tabs>
          <w:tab w:val="left" w:pos="3971"/>
        </w:tabs>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максимальная тяга - 300 кг,</w:t>
      </w:r>
    </w:p>
    <w:p w14:paraId="345F2F3C" w14:textId="77777777" w:rsidR="00DF15BD" w:rsidRPr="007224C3" w:rsidRDefault="00DF15BD" w:rsidP="007224C3">
      <w:pPr>
        <w:pStyle w:val="47"/>
        <w:shd w:val="clear" w:color="auto" w:fill="auto"/>
        <w:tabs>
          <w:tab w:val="left" w:pos="3971"/>
        </w:tabs>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номинальная тяга - 250 "</w:t>
      </w:r>
    </w:p>
    <w:p w14:paraId="42A3F01B" w14:textId="77777777" w:rsidR="00DF15BD" w:rsidRPr="007224C3" w:rsidRDefault="00DF15BD" w:rsidP="007224C3">
      <w:pPr>
        <w:pStyle w:val="47"/>
        <w:shd w:val="clear" w:color="auto" w:fill="auto"/>
        <w:tabs>
          <w:tab w:val="left" w:pos="3978"/>
        </w:tabs>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минимальная тяга - 100 "</w:t>
      </w:r>
    </w:p>
    <w:p w14:paraId="263F1773" w14:textId="77777777" w:rsidR="00DF15BD" w:rsidRPr="007224C3" w:rsidRDefault="00DF15BD"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удельная тяга на номиналь</w:t>
      </w:r>
      <w:r w:rsidRPr="007224C3">
        <w:rPr>
          <w:rFonts w:ascii="Times New Roman" w:hAnsi="Times New Roman" w:cs="Times New Roman"/>
          <w:color w:val="000000" w:themeColor="text1"/>
          <w:sz w:val="16"/>
          <w:szCs w:val="16"/>
        </w:rPr>
        <w:softHyphen/>
        <w:t>ном режиме на кг.топлива - 185</w:t>
      </w:r>
    </w:p>
    <w:p w14:paraId="5D734FDF" w14:textId="77777777" w:rsidR="00DF15BD" w:rsidRPr="007224C3" w:rsidRDefault="00DF15BD"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удельная тяга на минимальном режиме на кг.топлива - ^.50</w:t>
      </w:r>
    </w:p>
    <w:p w14:paraId="2BCC0796" w14:textId="77777777" w:rsidR="00DF15BD" w:rsidRPr="007224C3" w:rsidRDefault="00DF15BD"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П. Обязать Наркомавиапром - тов.Шахурина А.И, и тов.Яковлева А.С., начальников - НИИ-1, НКАП и конст</w:t>
      </w:r>
      <w:r w:rsidRPr="007224C3">
        <w:rPr>
          <w:rFonts w:ascii="Times New Roman" w:hAnsi="Times New Roman" w:cs="Times New Roman"/>
          <w:color w:val="000000" w:themeColor="text1"/>
          <w:sz w:val="16"/>
          <w:szCs w:val="16"/>
        </w:rPr>
        <w:softHyphen/>
        <w:t>рукторов НКАП провести следующие работы:</w:t>
      </w:r>
    </w:p>
    <w:p w14:paraId="4D4BDCB5" w14:textId="77777777" w:rsidR="00DF15BD" w:rsidRPr="007224C3" w:rsidRDefault="00DF15BD"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1. Директору завода № 16 тов.Лукину М.М., конст</w:t>
      </w:r>
      <w:r w:rsidRPr="007224C3">
        <w:rPr>
          <w:rFonts w:ascii="Times New Roman" w:hAnsi="Times New Roman" w:cs="Times New Roman"/>
          <w:color w:val="000000" w:themeColor="text1"/>
          <w:sz w:val="16"/>
          <w:szCs w:val="16"/>
        </w:rPr>
        <w:softHyphen/>
        <w:t>руктору Глушко В.П. и начальнику НИИ-1 тов.Федоро</w:t>
      </w:r>
      <w:r w:rsidRPr="007224C3">
        <w:rPr>
          <w:rFonts w:ascii="Times New Roman" w:hAnsi="Times New Roman" w:cs="Times New Roman"/>
          <w:color w:val="000000" w:themeColor="text1"/>
          <w:sz w:val="16"/>
          <w:szCs w:val="16"/>
        </w:rPr>
        <w:softHyphen/>
        <w:t>ву П.И. построить и предъявить на государственные испытания трехкамерный жидкостный реактивный двига</w:t>
      </w:r>
      <w:r w:rsidRPr="007224C3">
        <w:rPr>
          <w:rFonts w:ascii="Times New Roman" w:hAnsi="Times New Roman" w:cs="Times New Roman"/>
          <w:color w:val="000000" w:themeColor="text1"/>
          <w:sz w:val="16"/>
          <w:szCs w:val="16"/>
        </w:rPr>
        <w:softHyphen/>
        <w:t>тель с насосной системой подачи.</w:t>
      </w:r>
    </w:p>
    <w:p w14:paraId="725EF613" w14:textId="77777777" w:rsidR="00DF15BD" w:rsidRPr="007224C3" w:rsidRDefault="00DF15BD" w:rsidP="007224C3">
      <w:pPr>
        <w:tabs>
          <w:tab w:val="center" w:pos="3982"/>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Двигатель должен иметь следующие характеристики:</w:t>
      </w:r>
    </w:p>
    <w:p w14:paraId="40132D70" w14:textId="77777777" w:rsidR="00DF15BD" w:rsidRPr="007224C3" w:rsidRDefault="00DF15BD" w:rsidP="007224C3">
      <w:pPr>
        <w:tabs>
          <w:tab w:val="center" w:pos="3968"/>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взлетная тяга - </w:t>
      </w:r>
      <w:r w:rsidRPr="007224C3">
        <w:rPr>
          <w:rStyle w:val="16"/>
          <w:rFonts w:ascii="Times New Roman" w:hAnsi="Times New Roman" w:cs="Times New Roman"/>
          <w:color w:val="000000" w:themeColor="text1"/>
          <w:spacing w:val="0"/>
          <w:u w:val="none"/>
        </w:rPr>
        <w:t>900</w:t>
      </w:r>
      <w:r w:rsidRPr="007224C3">
        <w:rPr>
          <w:rFonts w:ascii="Times New Roman" w:hAnsi="Times New Roman"/>
          <w:color w:val="000000" w:themeColor="text1"/>
          <w:sz w:val="16"/>
          <w:szCs w:val="16"/>
        </w:rPr>
        <w:t xml:space="preserve"> кг,</w:t>
      </w:r>
    </w:p>
    <w:p w14:paraId="3AC30950" w14:textId="77777777" w:rsidR="00DF15BD" w:rsidRPr="007224C3" w:rsidRDefault="00DF15BD" w:rsidP="007224C3">
      <w:pPr>
        <w:tabs>
          <w:tab w:val="center" w:pos="3961"/>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номинальная тяга - </w:t>
      </w:r>
      <w:r w:rsidRPr="007224C3">
        <w:rPr>
          <w:rStyle w:val="16"/>
          <w:rFonts w:ascii="Times New Roman" w:hAnsi="Times New Roman" w:cs="Times New Roman"/>
          <w:color w:val="000000" w:themeColor="text1"/>
          <w:spacing w:val="0"/>
          <w:u w:val="none"/>
        </w:rPr>
        <w:t>750</w:t>
      </w:r>
      <w:r w:rsidRPr="007224C3">
        <w:rPr>
          <w:rFonts w:ascii="Times New Roman" w:hAnsi="Times New Roman"/>
          <w:color w:val="000000" w:themeColor="text1"/>
          <w:sz w:val="16"/>
          <w:szCs w:val="16"/>
        </w:rPr>
        <w:t xml:space="preserve"> кг.</w:t>
      </w:r>
    </w:p>
    <w:p w14:paraId="674923EB" w14:textId="77777777" w:rsidR="00DF15BD" w:rsidRPr="007224C3" w:rsidRDefault="00DF15BD" w:rsidP="007224C3">
      <w:pPr>
        <w:tabs>
          <w:tab w:val="center" w:pos="3961"/>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минимальная тяга - </w:t>
      </w:r>
      <w:r w:rsidRPr="007224C3">
        <w:rPr>
          <w:rStyle w:val="16"/>
          <w:rFonts w:ascii="Times New Roman" w:hAnsi="Times New Roman" w:cs="Times New Roman"/>
          <w:color w:val="000000" w:themeColor="text1"/>
          <w:spacing w:val="0"/>
          <w:u w:val="none"/>
        </w:rPr>
        <w:t>100</w:t>
      </w:r>
      <w:r w:rsidRPr="007224C3">
        <w:rPr>
          <w:rFonts w:ascii="Times New Roman" w:hAnsi="Times New Roman"/>
          <w:color w:val="000000" w:themeColor="text1"/>
          <w:sz w:val="16"/>
          <w:szCs w:val="16"/>
        </w:rPr>
        <w:t xml:space="preserve"> кг,</w:t>
      </w:r>
    </w:p>
    <w:p w14:paraId="7BF3D0C0" w14:textId="77777777" w:rsidR="00DF15BD" w:rsidRPr="007224C3" w:rsidRDefault="00DF15BD" w:rsidP="007224C3">
      <w:pPr>
        <w:tabs>
          <w:tab w:val="left" w:pos="3179"/>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удельная тяга на номинальном режи</w:t>
      </w:r>
      <w:r w:rsidRPr="007224C3">
        <w:rPr>
          <w:rFonts w:ascii="Times New Roman" w:hAnsi="Times New Roman"/>
          <w:color w:val="000000" w:themeColor="text1"/>
          <w:sz w:val="16"/>
          <w:szCs w:val="16"/>
        </w:rPr>
        <w:softHyphen/>
        <w:t xml:space="preserve">ме на кг топлива - </w:t>
      </w:r>
      <w:r w:rsidRPr="007224C3">
        <w:rPr>
          <w:rStyle w:val="16"/>
          <w:rFonts w:ascii="Times New Roman" w:hAnsi="Times New Roman" w:cs="Times New Roman"/>
          <w:color w:val="000000" w:themeColor="text1"/>
          <w:spacing w:val="0"/>
          <w:u w:val="none"/>
        </w:rPr>
        <w:t>190</w:t>
      </w:r>
      <w:r w:rsidRPr="007224C3">
        <w:rPr>
          <w:rFonts w:ascii="Times New Roman" w:hAnsi="Times New Roman"/>
          <w:color w:val="000000" w:themeColor="text1"/>
          <w:sz w:val="16"/>
          <w:szCs w:val="16"/>
        </w:rPr>
        <w:t xml:space="preserve"> кг.</w:t>
      </w:r>
    </w:p>
    <w:p w14:paraId="539C428C" w14:textId="77777777" w:rsidR="00DF15BD" w:rsidRPr="007224C3" w:rsidRDefault="00DF15B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Срок пред'явления двигателя на государственные испытания 1 января </w:t>
      </w:r>
      <w:r w:rsidRPr="007224C3">
        <w:rPr>
          <w:rStyle w:val="16"/>
          <w:rFonts w:ascii="Times New Roman" w:hAnsi="Times New Roman" w:cs="Times New Roman"/>
          <w:color w:val="000000" w:themeColor="text1"/>
          <w:spacing w:val="0"/>
          <w:u w:val="none"/>
        </w:rPr>
        <w:t>1945</w:t>
      </w:r>
      <w:r w:rsidRPr="007224C3">
        <w:rPr>
          <w:rFonts w:ascii="Times New Roman" w:hAnsi="Times New Roman"/>
          <w:color w:val="000000" w:themeColor="text1"/>
          <w:sz w:val="16"/>
          <w:szCs w:val="16"/>
        </w:rPr>
        <w:t xml:space="preserve"> года.</w:t>
      </w:r>
    </w:p>
    <w:p w14:paraId="2CB1C4CF" w14:textId="77777777" w:rsidR="00DF15BD" w:rsidRPr="007224C3" w:rsidRDefault="00DF15B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Начальнику НИИ-1 тов.Федорову П.И. и конструк</w:t>
      </w:r>
      <w:r w:rsidRPr="007224C3">
        <w:rPr>
          <w:rFonts w:ascii="Times New Roman" w:hAnsi="Times New Roman"/>
          <w:color w:val="000000" w:themeColor="text1"/>
          <w:sz w:val="16"/>
          <w:szCs w:val="16"/>
        </w:rPr>
        <w:softHyphen/>
        <w:t>тору НИИ-1 тов.Исаеву А.И. построить и пред"явить на государственные испытания однокамерный жидкостный реак</w:t>
      </w:r>
      <w:r w:rsidRPr="007224C3">
        <w:rPr>
          <w:rFonts w:ascii="Times New Roman" w:hAnsi="Times New Roman"/>
          <w:color w:val="000000" w:themeColor="text1"/>
          <w:sz w:val="16"/>
          <w:szCs w:val="16"/>
        </w:rPr>
        <w:softHyphen/>
        <w:t>тивный двигатель с подачей топлива из баков под давле</w:t>
      </w:r>
      <w:r w:rsidRPr="007224C3">
        <w:rPr>
          <w:rFonts w:ascii="Times New Roman" w:hAnsi="Times New Roman"/>
          <w:color w:val="000000" w:themeColor="text1"/>
          <w:sz w:val="16"/>
          <w:szCs w:val="16"/>
        </w:rPr>
        <w:softHyphen/>
        <w:t>нием.</w:t>
      </w:r>
    </w:p>
    <w:p w14:paraId="3AD80BC5" w14:textId="77777777" w:rsidR="00DF15BD" w:rsidRPr="007224C3" w:rsidRDefault="00DF15B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Двигатель должен иметь следующие характеристики:</w:t>
      </w:r>
    </w:p>
    <w:p w14:paraId="0D4864DA" w14:textId="77777777" w:rsidR="00DF15BD" w:rsidRPr="007224C3" w:rsidRDefault="00DF15BD" w:rsidP="007224C3">
      <w:pPr>
        <w:tabs>
          <w:tab w:val="left" w:pos="3385"/>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номинальная тяга - </w:t>
      </w:r>
      <w:r w:rsidRPr="007224C3">
        <w:rPr>
          <w:rStyle w:val="16"/>
          <w:rFonts w:ascii="Times New Roman" w:hAnsi="Times New Roman" w:cs="Times New Roman"/>
          <w:color w:val="000000" w:themeColor="text1"/>
          <w:spacing w:val="0"/>
          <w:u w:val="none"/>
        </w:rPr>
        <w:t>1100</w:t>
      </w:r>
      <w:r w:rsidRPr="007224C3">
        <w:rPr>
          <w:rFonts w:ascii="Times New Roman" w:hAnsi="Times New Roman"/>
          <w:color w:val="000000" w:themeColor="text1"/>
          <w:sz w:val="16"/>
          <w:szCs w:val="16"/>
        </w:rPr>
        <w:t xml:space="preserve"> кг.</w:t>
      </w:r>
    </w:p>
    <w:p w14:paraId="2D51C255" w14:textId="77777777" w:rsidR="00DF15BD" w:rsidRPr="007224C3" w:rsidRDefault="00DF15B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минимальная тяга не более - </w:t>
      </w:r>
      <w:r w:rsidRPr="007224C3">
        <w:rPr>
          <w:rStyle w:val="16"/>
          <w:rFonts w:ascii="Times New Roman" w:hAnsi="Times New Roman" w:cs="Times New Roman"/>
          <w:color w:val="000000" w:themeColor="text1"/>
          <w:spacing w:val="0"/>
          <w:u w:val="none"/>
        </w:rPr>
        <w:t>400</w:t>
      </w:r>
    </w:p>
    <w:p w14:paraId="34990721" w14:textId="77777777" w:rsidR="00DF15BD" w:rsidRPr="007224C3" w:rsidRDefault="00DF15B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удельная тяга на номиналь- ном режиме на кг.топлива - </w:t>
      </w:r>
      <w:r w:rsidRPr="007224C3">
        <w:rPr>
          <w:rStyle w:val="16"/>
          <w:rFonts w:ascii="Times New Roman" w:hAnsi="Times New Roman" w:cs="Times New Roman"/>
          <w:color w:val="000000" w:themeColor="text1"/>
          <w:spacing w:val="0"/>
          <w:u w:val="none"/>
        </w:rPr>
        <w:t>200</w:t>
      </w:r>
    </w:p>
    <w:p w14:paraId="6DB34511" w14:textId="77777777" w:rsidR="00DF15BD" w:rsidRPr="007224C3" w:rsidRDefault="00DF15B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Срок пред</w:t>
      </w:r>
      <w:r w:rsidRPr="007224C3">
        <w:rPr>
          <w:rFonts w:ascii="Times New Roman" w:hAnsi="Times New Roman"/>
          <w:color w:val="000000" w:themeColor="text1"/>
          <w:sz w:val="16"/>
          <w:szCs w:val="16"/>
          <w:vertAlign w:val="superscript"/>
        </w:rPr>
        <w:t>1</w:t>
      </w:r>
      <w:r w:rsidRPr="007224C3">
        <w:rPr>
          <w:rFonts w:ascii="Times New Roman" w:hAnsi="Times New Roman"/>
          <w:color w:val="000000" w:themeColor="text1"/>
          <w:sz w:val="16"/>
          <w:szCs w:val="16"/>
        </w:rPr>
        <w:t>явления двигателя на государственные испытания - октябрь 1</w:t>
      </w:r>
      <w:r w:rsidRPr="007224C3">
        <w:rPr>
          <w:rStyle w:val="16"/>
          <w:rFonts w:ascii="Times New Roman" w:hAnsi="Times New Roman" w:cs="Times New Roman"/>
          <w:color w:val="000000" w:themeColor="text1"/>
          <w:spacing w:val="0"/>
          <w:u w:val="none"/>
        </w:rPr>
        <w:t>944</w:t>
      </w:r>
      <w:r w:rsidRPr="007224C3">
        <w:rPr>
          <w:rFonts w:ascii="Times New Roman" w:hAnsi="Times New Roman"/>
          <w:color w:val="000000" w:themeColor="text1"/>
          <w:sz w:val="16"/>
          <w:szCs w:val="16"/>
        </w:rPr>
        <w:t xml:space="preserve"> года.</w:t>
      </w:r>
    </w:p>
    <w:p w14:paraId="116D9357" w14:textId="77777777" w:rsidR="00DF15BD" w:rsidRPr="007224C3" w:rsidRDefault="00DF15B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Начальнику НИИ-1 тов.Федорову П.И. и конструк</w:t>
      </w:r>
      <w:r w:rsidRPr="007224C3">
        <w:rPr>
          <w:rFonts w:ascii="Times New Roman" w:hAnsi="Times New Roman"/>
          <w:color w:val="000000" w:themeColor="text1"/>
          <w:sz w:val="16"/>
          <w:szCs w:val="16"/>
        </w:rPr>
        <w:softHyphen/>
        <w:t>тору НИИ-1</w:t>
      </w:r>
      <w:r w:rsidRPr="007224C3">
        <w:rPr>
          <w:rStyle w:val="16"/>
          <w:rFonts w:ascii="Times New Roman" w:hAnsi="Times New Roman" w:cs="Times New Roman"/>
          <w:color w:val="000000" w:themeColor="text1"/>
          <w:spacing w:val="0"/>
          <w:u w:val="none"/>
        </w:rPr>
        <w:t>-</w:t>
      </w:r>
      <w:r w:rsidRPr="007224C3">
        <w:rPr>
          <w:rFonts w:ascii="Times New Roman" w:hAnsi="Times New Roman"/>
          <w:color w:val="000000" w:themeColor="text1"/>
          <w:sz w:val="16"/>
          <w:szCs w:val="16"/>
        </w:rPr>
        <w:t xml:space="preserve"> тов.Душкину Л.С.:</w:t>
      </w:r>
    </w:p>
    <w:p w14:paraId="33BA3551" w14:textId="77777777" w:rsidR="00DF15BD" w:rsidRPr="007224C3" w:rsidRDefault="00DF15B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а) построить и пред'явить на испытания однокамер</w:t>
      </w:r>
      <w:r w:rsidRPr="007224C3">
        <w:rPr>
          <w:rFonts w:ascii="Times New Roman" w:hAnsi="Times New Roman"/>
          <w:color w:val="000000" w:themeColor="text1"/>
          <w:sz w:val="16"/>
          <w:szCs w:val="16"/>
        </w:rPr>
        <w:softHyphen/>
        <w:t>ный жидкостный реактивный двигатель с насосной систе</w:t>
      </w:r>
      <w:r w:rsidRPr="007224C3">
        <w:rPr>
          <w:rFonts w:ascii="Times New Roman" w:hAnsi="Times New Roman"/>
          <w:color w:val="000000" w:themeColor="text1"/>
          <w:sz w:val="16"/>
          <w:szCs w:val="16"/>
        </w:rPr>
        <w:softHyphen/>
        <w:t>мой подачи.</w:t>
      </w:r>
    </w:p>
    <w:p w14:paraId="099C2D8F" w14:textId="77777777" w:rsidR="00DF15BD" w:rsidRPr="007224C3" w:rsidRDefault="00DF15B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Двигатель должен иметь следующие характеристики:</w:t>
      </w:r>
    </w:p>
    <w:p w14:paraId="478C8537" w14:textId="77777777" w:rsidR="00DF15BD" w:rsidRPr="007224C3" w:rsidRDefault="00DF15BD" w:rsidP="007224C3">
      <w:pPr>
        <w:tabs>
          <w:tab w:val="left" w:pos="3488"/>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Взлетная тяга - 1400 кг.</w:t>
      </w:r>
    </w:p>
    <w:p w14:paraId="74DF66A5" w14:textId="77777777" w:rsidR="00DF15BD" w:rsidRPr="007224C3" w:rsidRDefault="00DF15BD" w:rsidP="007224C3">
      <w:pPr>
        <w:tabs>
          <w:tab w:val="left" w:pos="3488"/>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номинальная тяга - 1100 "</w:t>
      </w:r>
    </w:p>
    <w:p w14:paraId="3971B5B6" w14:textId="77777777" w:rsidR="00DF15BD" w:rsidRPr="007224C3" w:rsidRDefault="00DF15B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удельная тяга на ноаиналь- ном режиме на кг.топлива - 200</w:t>
      </w:r>
    </w:p>
    <w:p w14:paraId="5A54E500" w14:textId="77777777" w:rsidR="00DF15BD" w:rsidRPr="007224C3" w:rsidRDefault="00DF15B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Срок пред'явления двигателя на заводские испытания - ноябрь 194</w:t>
      </w:r>
      <w:r w:rsidRPr="007224C3">
        <w:rPr>
          <w:rFonts w:ascii="Times New Roman" w:eastAsia="Gungsuh" w:hAnsi="Times New Roman"/>
          <w:color w:val="000000" w:themeColor="text1"/>
          <w:sz w:val="16"/>
          <w:szCs w:val="16"/>
        </w:rPr>
        <w:t>4</w:t>
      </w:r>
      <w:r w:rsidRPr="007224C3">
        <w:rPr>
          <w:rFonts w:ascii="Times New Roman" w:hAnsi="Times New Roman"/>
          <w:color w:val="000000" w:themeColor="text1"/>
          <w:sz w:val="16"/>
          <w:szCs w:val="16"/>
        </w:rPr>
        <w:t>. года и на государственные испытания-февраль 1945 года;</w:t>
      </w:r>
    </w:p>
    <w:p w14:paraId="05E221B2" w14:textId="77777777" w:rsidR="00DF15BD" w:rsidRPr="007224C3" w:rsidRDefault="00DF15B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построить и пред'явить на испытания двухкамерный</w:t>
      </w:r>
      <w:r w:rsidRPr="007224C3">
        <w:rPr>
          <w:rStyle w:val="16"/>
          <w:rFonts w:ascii="Times New Roman" w:hAnsi="Times New Roman" w:cs="Times New Roman"/>
          <w:color w:val="000000" w:themeColor="text1"/>
          <w:spacing w:val="0"/>
          <w:u w:val="none"/>
        </w:rPr>
        <w:t xml:space="preserve"> жидкостный реактивный двигатель с насосно</w:t>
      </w:r>
      <w:r w:rsidRPr="007224C3">
        <w:rPr>
          <w:rFonts w:ascii="Times New Roman" w:hAnsi="Times New Roman"/>
          <w:color w:val="000000" w:themeColor="text1"/>
          <w:sz w:val="16"/>
          <w:szCs w:val="16"/>
        </w:rPr>
        <w:t>й систе</w:t>
      </w:r>
      <w:r w:rsidRPr="007224C3">
        <w:rPr>
          <w:rFonts w:ascii="Times New Roman" w:hAnsi="Times New Roman"/>
          <w:color w:val="000000" w:themeColor="text1"/>
          <w:sz w:val="16"/>
          <w:szCs w:val="16"/>
        </w:rPr>
        <w:softHyphen/>
      </w:r>
      <w:r w:rsidRPr="007224C3">
        <w:rPr>
          <w:rStyle w:val="16"/>
          <w:rFonts w:ascii="Times New Roman" w:hAnsi="Times New Roman" w:cs="Times New Roman"/>
          <w:color w:val="000000" w:themeColor="text1"/>
          <w:spacing w:val="0"/>
          <w:u w:val="none"/>
        </w:rPr>
        <w:t>мой подачи</w:t>
      </w:r>
      <w:r w:rsidRPr="007224C3">
        <w:rPr>
          <w:rFonts w:ascii="Times New Roman" w:hAnsi="Times New Roman"/>
          <w:color w:val="000000" w:themeColor="text1"/>
          <w:sz w:val="16"/>
          <w:szCs w:val="16"/>
        </w:rPr>
        <w:t>.</w:t>
      </w:r>
    </w:p>
    <w:p w14:paraId="4F336455" w14:textId="77777777" w:rsidR="00DF15BD" w:rsidRPr="007224C3" w:rsidRDefault="00DF15B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Двигатель должен иметь следующие характеристики:</w:t>
      </w:r>
    </w:p>
    <w:p w14:paraId="019CF357" w14:textId="77777777" w:rsidR="00DF15BD" w:rsidRPr="007224C3" w:rsidRDefault="00DF15BD" w:rsidP="007224C3">
      <w:pPr>
        <w:tabs>
          <w:tab w:val="left" w:pos="3775"/>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взлетная тяга - 1400 кг,</w:t>
      </w:r>
    </w:p>
    <w:p w14:paraId="7D2FF7A4" w14:textId="77777777" w:rsidR="00DF15BD" w:rsidRPr="007224C3" w:rsidRDefault="00DF15BD" w:rsidP="007224C3">
      <w:pPr>
        <w:tabs>
          <w:tab w:val="left" w:pos="3768"/>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номинальная тяга - 1100 "</w:t>
      </w:r>
    </w:p>
    <w:p w14:paraId="343C40C5" w14:textId="77777777" w:rsidR="00DF15BD" w:rsidRPr="007224C3" w:rsidRDefault="00DF15BD" w:rsidP="007224C3">
      <w:pPr>
        <w:tabs>
          <w:tab w:val="left" w:pos="3782"/>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минимальная тяга - 200 "</w:t>
      </w:r>
    </w:p>
    <w:p w14:paraId="068DA40E" w14:textId="77777777" w:rsidR="00DF15BD" w:rsidRPr="007224C3" w:rsidRDefault="00DF15B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удельная тяга на номинальном режиме на кг.топлива не ниже - 200</w:t>
      </w:r>
    </w:p>
    <w:p w14:paraId="02DB6270" w14:textId="77777777" w:rsidR="00DF15BD" w:rsidRPr="007224C3" w:rsidRDefault="00DF15BD" w:rsidP="007224C3">
      <w:pPr>
        <w:tabs>
          <w:tab w:val="left" w:pos="4574"/>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удельная тяга на минимальном режиме на кг.топлива не ниже -160</w:t>
      </w:r>
    </w:p>
    <w:p w14:paraId="355C22C1" w14:textId="77777777" w:rsidR="00DF15BD" w:rsidRPr="007224C3" w:rsidRDefault="00DF15B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Срок пред'явления двигателя:</w:t>
      </w:r>
    </w:p>
    <w:p w14:paraId="2AAE0535" w14:textId="77777777" w:rsidR="00DF15BD" w:rsidRPr="007224C3" w:rsidRDefault="00DF15BD" w:rsidP="007224C3">
      <w:pPr>
        <w:tabs>
          <w:tab w:val="left" w:pos="3782"/>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заводские испытания - декабрь 1944г. и</w:t>
      </w:r>
    </w:p>
    <w:p w14:paraId="710A8A7B" w14:textId="77777777" w:rsidR="00DF15BD" w:rsidRPr="007224C3" w:rsidRDefault="00DF15B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государственные испытания - март 1945 года.</w:t>
      </w:r>
    </w:p>
    <w:p w14:paraId="3C6F94C8" w14:textId="77777777" w:rsidR="00DF15BD" w:rsidRPr="007224C3" w:rsidRDefault="00DF15BD" w:rsidP="007224C3">
      <w:pPr>
        <w:tabs>
          <w:tab w:val="left" w:pos="946"/>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4. Начальнику НИИ-1 т.Федорову П.И. к конструктору НИИ-1 т.Люлька </w:t>
      </w:r>
      <w:r w:rsidRPr="007224C3">
        <w:rPr>
          <w:rFonts w:ascii="Times New Roman" w:hAnsi="Times New Roman"/>
          <w:color w:val="000000" w:themeColor="text1"/>
          <w:sz w:val="16"/>
          <w:szCs w:val="16"/>
          <w:lang w:val="en-US"/>
        </w:rPr>
        <w:t>A</w:t>
      </w:r>
      <w:r w:rsidRPr="007224C3">
        <w:rPr>
          <w:rFonts w:ascii="Times New Roman" w:hAnsi="Times New Roman"/>
          <w:color w:val="000000" w:themeColor="text1"/>
          <w:sz w:val="16"/>
          <w:szCs w:val="16"/>
        </w:rPr>
        <w:t xml:space="preserve">.И. построить и пред"явить на заводские испытания экспериментальный </w:t>
      </w:r>
      <w:r w:rsidRPr="007224C3">
        <w:rPr>
          <w:rStyle w:val="16"/>
          <w:rFonts w:ascii="Times New Roman" w:hAnsi="Times New Roman" w:cs="Times New Roman"/>
          <w:color w:val="000000" w:themeColor="text1"/>
          <w:spacing w:val="0"/>
          <w:u w:val="none"/>
        </w:rPr>
        <w:t>газотурбинный воздушно-реак</w:t>
      </w:r>
      <w:r w:rsidRPr="007224C3">
        <w:rPr>
          <w:rFonts w:ascii="Times New Roman" w:hAnsi="Times New Roman"/>
          <w:color w:val="000000" w:themeColor="text1"/>
          <w:sz w:val="16"/>
          <w:szCs w:val="16"/>
        </w:rPr>
        <w:softHyphen/>
      </w:r>
      <w:r w:rsidRPr="007224C3">
        <w:rPr>
          <w:rStyle w:val="16"/>
          <w:rFonts w:ascii="Times New Roman" w:hAnsi="Times New Roman" w:cs="Times New Roman"/>
          <w:color w:val="000000" w:themeColor="text1"/>
          <w:spacing w:val="0"/>
          <w:u w:val="none"/>
        </w:rPr>
        <w:t>тивный двигатель с компрессором</w:t>
      </w:r>
      <w:r w:rsidRPr="007224C3">
        <w:rPr>
          <w:rFonts w:ascii="Times New Roman" w:hAnsi="Times New Roman"/>
          <w:color w:val="000000" w:themeColor="text1"/>
          <w:sz w:val="16"/>
          <w:szCs w:val="16"/>
        </w:rPr>
        <w:t>.</w:t>
      </w:r>
    </w:p>
    <w:p w14:paraId="1FAB9F7D" w14:textId="77777777" w:rsidR="00DF15BD" w:rsidRPr="007224C3" w:rsidRDefault="00DF15B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Двигатель долгой иметь следующие характеристики:</w:t>
      </w:r>
    </w:p>
    <w:p w14:paraId="1612484B" w14:textId="77777777" w:rsidR="00DF15BD" w:rsidRPr="007224C3" w:rsidRDefault="00DF15B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номинальная тяга у земли - 1250 кг.</w:t>
      </w:r>
    </w:p>
    <w:p w14:paraId="566C1C78" w14:textId="77777777" w:rsidR="00DF15BD" w:rsidRPr="007224C3" w:rsidRDefault="00DF15BD" w:rsidP="007224C3">
      <w:pPr>
        <w:tabs>
          <w:tab w:val="left" w:pos="3775"/>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диаметр двигателя - 950 мм</w:t>
      </w:r>
    </w:p>
    <w:p w14:paraId="0C8CFC6B" w14:textId="77777777" w:rsidR="00DF15BD" w:rsidRPr="007224C3" w:rsidRDefault="00DF15BD" w:rsidP="007224C3">
      <w:pPr>
        <w:tabs>
          <w:tab w:val="left" w:pos="3775"/>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сухой вес - 900 кг.</w:t>
      </w:r>
    </w:p>
    <w:p w14:paraId="17BC39AA" w14:textId="77777777" w:rsidR="00DF15BD" w:rsidRPr="007224C3" w:rsidRDefault="00DF15B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удельная тяга на номинальном режиме на кг.топлива не низе - 1000 кг.</w:t>
      </w:r>
    </w:p>
    <w:p w14:paraId="2AFCE95A" w14:textId="77777777" w:rsidR="00DF15BD" w:rsidRPr="007224C3" w:rsidRDefault="00DF15B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Срок пр&amp;д'явления двигателя на заводские испыта</w:t>
      </w:r>
      <w:r w:rsidRPr="007224C3">
        <w:rPr>
          <w:rFonts w:ascii="Times New Roman" w:hAnsi="Times New Roman"/>
          <w:color w:val="000000" w:themeColor="text1"/>
          <w:sz w:val="16"/>
          <w:szCs w:val="16"/>
        </w:rPr>
        <w:softHyphen/>
        <w:t>ния - 1 марта 1945 года.</w:t>
      </w:r>
    </w:p>
    <w:p w14:paraId="4390FD2F" w14:textId="77777777" w:rsidR="00DF15BD" w:rsidRPr="007224C3" w:rsidRDefault="00DF15BD" w:rsidP="007224C3">
      <w:pPr>
        <w:tabs>
          <w:tab w:val="left" w:pos="924"/>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Начальнику ЦИАМ т.Поликовскому В.И. и конструк</w:t>
      </w:r>
      <w:r w:rsidRPr="007224C3">
        <w:rPr>
          <w:rFonts w:ascii="Times New Roman" w:hAnsi="Times New Roman"/>
          <w:color w:val="000000" w:themeColor="text1"/>
          <w:sz w:val="16"/>
          <w:szCs w:val="16"/>
        </w:rPr>
        <w:softHyphen/>
        <w:t>торам ЦИАМ т.Холщевникову К.Б. и т.Фадееву А.А. пост</w:t>
      </w:r>
      <w:r w:rsidRPr="007224C3">
        <w:rPr>
          <w:rFonts w:ascii="Times New Roman" w:hAnsi="Times New Roman"/>
          <w:color w:val="000000" w:themeColor="text1"/>
          <w:sz w:val="16"/>
          <w:szCs w:val="16"/>
        </w:rPr>
        <w:softHyphen/>
        <w:t xml:space="preserve">роить и пред"явить на заводские испытания </w:t>
      </w:r>
      <w:r w:rsidRPr="007224C3">
        <w:rPr>
          <w:rStyle w:val="16"/>
          <w:rFonts w:ascii="Times New Roman" w:hAnsi="Times New Roman" w:cs="Times New Roman"/>
          <w:color w:val="000000" w:themeColor="text1"/>
          <w:spacing w:val="0"/>
          <w:u w:val="none"/>
        </w:rPr>
        <w:t>воздушно</w:t>
      </w:r>
      <w:r w:rsidRPr="007224C3">
        <w:rPr>
          <w:rFonts w:ascii="Times New Roman" w:hAnsi="Times New Roman"/>
          <w:color w:val="000000" w:themeColor="text1"/>
          <w:sz w:val="16"/>
          <w:szCs w:val="16"/>
        </w:rPr>
        <w:t xml:space="preserve">- </w:t>
      </w:r>
      <w:r w:rsidRPr="007224C3">
        <w:rPr>
          <w:rStyle w:val="16"/>
          <w:rFonts w:ascii="Times New Roman" w:hAnsi="Times New Roman" w:cs="Times New Roman"/>
          <w:color w:val="000000" w:themeColor="text1"/>
          <w:spacing w:val="0"/>
          <w:u w:val="none"/>
        </w:rPr>
        <w:t>реактивный двигатель</w:t>
      </w:r>
      <w:r w:rsidRPr="007224C3">
        <w:rPr>
          <w:rFonts w:ascii="Times New Roman" w:hAnsi="Times New Roman"/>
          <w:color w:val="000000" w:themeColor="text1"/>
          <w:sz w:val="16"/>
          <w:szCs w:val="16"/>
        </w:rPr>
        <w:t xml:space="preserve"> с мотором ВК-107А, винтом и ком</w:t>
      </w:r>
      <w:r w:rsidRPr="007224C3">
        <w:rPr>
          <w:rFonts w:ascii="Times New Roman" w:hAnsi="Times New Roman"/>
          <w:color w:val="000000" w:themeColor="text1"/>
          <w:sz w:val="16"/>
          <w:szCs w:val="16"/>
        </w:rPr>
        <w:softHyphen/>
        <w:t>прессором.</w:t>
      </w:r>
    </w:p>
    <w:p w14:paraId="2C4DC599" w14:textId="77777777" w:rsidR="00DF15BD" w:rsidRPr="007224C3" w:rsidRDefault="00DF15B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Двигатель должен иметь следующие характеристики:</w:t>
      </w:r>
    </w:p>
    <w:p w14:paraId="3EA24A09" w14:textId="77777777" w:rsidR="00DF15BD" w:rsidRPr="007224C3" w:rsidRDefault="00DF15BD" w:rsidP="007224C3">
      <w:pPr>
        <w:tabs>
          <w:tab w:val="left" w:pos="3660"/>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сухой вес - 950 .кг,.</w:t>
      </w:r>
    </w:p>
    <w:p w14:paraId="72FF11BC" w14:textId="77777777" w:rsidR="00DF15BD" w:rsidRPr="007224C3" w:rsidRDefault="00DF15B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нормальная тяга у земли прк скорости 720 км/час удельная тяга на номинальной резюме на кг топлива не ниже</w:t>
      </w:r>
    </w:p>
    <w:p w14:paraId="3E584AAA" w14:textId="77777777" w:rsidR="00DF15BD" w:rsidRPr="007224C3" w:rsidRDefault="00DF15B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Срок пред'явления двигателя на заводские испыта</w:t>
      </w:r>
      <w:r w:rsidRPr="007224C3">
        <w:rPr>
          <w:rFonts w:ascii="Times New Roman" w:hAnsi="Times New Roman"/>
          <w:color w:val="000000" w:themeColor="text1"/>
          <w:sz w:val="16"/>
          <w:szCs w:val="16"/>
        </w:rPr>
        <w:softHyphen/>
        <w:t>ния - декабрь 1944: года.</w:t>
      </w:r>
    </w:p>
    <w:p w14:paraId="5C352EDA" w14:textId="77777777" w:rsidR="00DF15BD" w:rsidRPr="007224C3" w:rsidRDefault="00DF15B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Начальнику ДКАМ т.Поликовскому В.И, и конст</w:t>
      </w:r>
      <w:r w:rsidRPr="007224C3">
        <w:rPr>
          <w:rFonts w:ascii="Times New Roman" w:hAnsi="Times New Roman"/>
          <w:color w:val="000000" w:themeColor="text1"/>
          <w:sz w:val="16"/>
          <w:szCs w:val="16"/>
        </w:rPr>
        <w:softHyphen/>
        <w:t>руктору ЦИАН т.Толстову А.й. построить и пред*явить на заводские испытания воздушно-реактивный двигатель с мотозои АЧ-ЗОБ, винтов к компрессором.</w:t>
      </w:r>
    </w:p>
    <w:p w14:paraId="7F534BE4" w14:textId="77777777" w:rsidR="00DF15BD" w:rsidRPr="007224C3" w:rsidRDefault="00DF15B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Двигатель долген иметь следующие характеристики:</w:t>
      </w:r>
    </w:p>
    <w:p w14:paraId="39935CD8" w14:textId="77777777" w:rsidR="00DF15BD" w:rsidRPr="007224C3" w:rsidRDefault="00DF15B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сухой вес - 1600 кг</w:t>
      </w:r>
    </w:p>
    <w:p w14:paraId="655D9D6A" w14:textId="77777777" w:rsidR="00DF15BD" w:rsidRPr="007224C3" w:rsidRDefault="00DF15B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номинальная тяга у земли при скорости 800 км/час - 850</w:t>
      </w:r>
    </w:p>
    <w:p w14:paraId="536CC845" w14:textId="77777777" w:rsidR="00DF15BD" w:rsidRPr="007224C3" w:rsidRDefault="00DF15B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номинальная тяга на высоте 8000 м при скорости 800 км/час - 1250</w:t>
      </w:r>
    </w:p>
    <w:p w14:paraId="0F4BD3F7" w14:textId="77777777" w:rsidR="00DF15BD" w:rsidRPr="007224C3" w:rsidRDefault="00DF15B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удельная тяга на номинальном режиме у земли на кг.топлива - 850</w:t>
      </w:r>
    </w:p>
    <w:p w14:paraId="6B0F567C" w14:textId="77777777" w:rsidR="00DF15BD" w:rsidRPr="007224C3" w:rsidRDefault="00DF15BD" w:rsidP="007224C3">
      <w:pPr>
        <w:spacing w:after="0" w:line="240" w:lineRule="auto"/>
        <w:jc w:val="both"/>
        <w:rPr>
          <w:rFonts w:ascii="Times New Roman" w:hAnsi="Times New Roman"/>
          <w:color w:val="000000" w:themeColor="text1"/>
          <w:sz w:val="16"/>
          <w:szCs w:val="16"/>
        </w:rPr>
      </w:pPr>
      <w:r w:rsidRPr="007224C3">
        <w:rPr>
          <w:rStyle w:val="5pt"/>
          <w:rFonts w:ascii="Times New Roman" w:hAnsi="Times New Roman" w:cs="Times New Roman"/>
          <w:color w:val="000000" w:themeColor="text1"/>
          <w:spacing w:val="0"/>
          <w:sz w:val="16"/>
          <w:szCs w:val="16"/>
        </w:rPr>
        <w:t>Тоже</w:t>
      </w:r>
      <w:r w:rsidRPr="007224C3">
        <w:rPr>
          <w:rFonts w:ascii="Times New Roman" w:hAnsi="Times New Roman"/>
          <w:color w:val="000000" w:themeColor="text1"/>
          <w:sz w:val="16"/>
          <w:szCs w:val="16"/>
        </w:rPr>
        <w:t xml:space="preserve"> на высоте 8000 м - 1250</w:t>
      </w:r>
    </w:p>
    <w:p w14:paraId="4675D63F" w14:textId="77777777" w:rsidR="00DF15BD" w:rsidRPr="007224C3" w:rsidRDefault="00DF15B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Срок пред</w:t>
      </w:r>
      <w:r w:rsidRPr="007224C3">
        <w:rPr>
          <w:rFonts w:ascii="Times New Roman" w:hAnsi="Times New Roman"/>
          <w:color w:val="000000" w:themeColor="text1"/>
          <w:sz w:val="16"/>
          <w:szCs w:val="16"/>
          <w:vertAlign w:val="superscript"/>
        </w:rPr>
        <w:t>1</w:t>
      </w:r>
      <w:r w:rsidRPr="007224C3">
        <w:rPr>
          <w:rFonts w:ascii="Times New Roman" w:hAnsi="Times New Roman"/>
          <w:color w:val="000000" w:themeColor="text1"/>
          <w:sz w:val="16"/>
          <w:szCs w:val="16"/>
        </w:rPr>
        <w:t>явления двигателя на заводские испыта</w:t>
      </w:r>
      <w:r w:rsidRPr="007224C3">
        <w:rPr>
          <w:rFonts w:ascii="Times New Roman" w:hAnsi="Times New Roman"/>
          <w:color w:val="000000" w:themeColor="text1"/>
          <w:sz w:val="16"/>
          <w:szCs w:val="16"/>
        </w:rPr>
        <w:softHyphen/>
        <w:t>ния - декабрь 1944 года.</w:t>
      </w:r>
    </w:p>
    <w:p w14:paraId="31A90AD3" w14:textId="77777777" w:rsidR="00DF15BD" w:rsidRPr="007224C3" w:rsidRDefault="00DF15B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Начальнику ЦИАН т.Поликовскому В.К. я конструк</w:t>
      </w:r>
      <w:r w:rsidRPr="007224C3">
        <w:rPr>
          <w:rFonts w:ascii="Times New Roman" w:hAnsi="Times New Roman"/>
          <w:color w:val="000000" w:themeColor="text1"/>
          <w:sz w:val="16"/>
          <w:szCs w:val="16"/>
        </w:rPr>
        <w:softHyphen/>
        <w:t>тору ЦИАМ т.Уварову В.З. построить и пред"явить на стендовые испытания для снятия характеристик экспери</w:t>
      </w:r>
      <w:r w:rsidRPr="007224C3">
        <w:rPr>
          <w:rFonts w:ascii="Times New Roman" w:hAnsi="Times New Roman"/>
          <w:color w:val="000000" w:themeColor="text1"/>
          <w:sz w:val="16"/>
          <w:szCs w:val="16"/>
        </w:rPr>
        <w:softHyphen/>
        <w:t>ментальный воздушно-реактивный двигатель с компрессо</w:t>
      </w:r>
      <w:r w:rsidRPr="007224C3">
        <w:rPr>
          <w:rFonts w:ascii="Times New Roman" w:hAnsi="Times New Roman"/>
          <w:color w:val="000000" w:themeColor="text1"/>
          <w:sz w:val="16"/>
          <w:szCs w:val="16"/>
        </w:rPr>
        <w:softHyphen/>
        <w:t>ром, газовой турбишой и винтом.</w:t>
      </w:r>
    </w:p>
    <w:p w14:paraId="3D11159F" w14:textId="77777777" w:rsidR="00DF15BD" w:rsidRPr="007224C3" w:rsidRDefault="00DF15B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Двигатель должен иметь следующие характеристики:</w:t>
      </w:r>
    </w:p>
    <w:p w14:paraId="53774DDA" w14:textId="77777777" w:rsidR="00DF15BD" w:rsidRPr="007224C3" w:rsidRDefault="00DF15B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диаметр двигателя - 550</w:t>
      </w:r>
    </w:p>
    <w:p w14:paraId="22F27CEA" w14:textId="77777777" w:rsidR="00DF15BD" w:rsidRPr="007224C3" w:rsidRDefault="00DF15B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сухой вес - 400</w:t>
      </w:r>
    </w:p>
    <w:p w14:paraId="4BAED2E2" w14:textId="77777777" w:rsidR="00DF15BD" w:rsidRPr="007224C3" w:rsidRDefault="00DF15B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номинальная тяга у земли при скорости 650 км/час - 300</w:t>
      </w:r>
    </w:p>
    <w:p w14:paraId="0CDCF295" w14:textId="77777777" w:rsidR="00DF15BD" w:rsidRPr="007224C3" w:rsidRDefault="00DF15B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удельная тяга на номинальном режиме на кг.топлива не ниже 2100 кг</w:t>
      </w:r>
    </w:p>
    <w:p w14:paraId="135306BD" w14:textId="77777777" w:rsidR="00DF15BD" w:rsidRPr="007224C3" w:rsidRDefault="00DF15B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Срок пред'явления двигателя на стендовые испыта</w:t>
      </w:r>
      <w:r w:rsidRPr="007224C3">
        <w:rPr>
          <w:rFonts w:ascii="Times New Roman" w:hAnsi="Times New Roman"/>
          <w:color w:val="000000" w:themeColor="text1"/>
          <w:sz w:val="16"/>
          <w:szCs w:val="16"/>
        </w:rPr>
        <w:softHyphen/>
        <w:t>ния - март 1945 года.</w:t>
      </w:r>
    </w:p>
    <w:p w14:paraId="73363482" w14:textId="77777777" w:rsidR="00DF15BD" w:rsidRPr="007224C3" w:rsidRDefault="00DF15B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 Обязать Наркомфин СССР т.Зверева выделить НКАП из резервного фонда СКК СССР:</w:t>
      </w:r>
    </w:p>
    <w:p w14:paraId="018953BF" w14:textId="77777777" w:rsidR="00DF15BD" w:rsidRPr="007224C3" w:rsidRDefault="00DF15BD" w:rsidP="007224C3">
      <w:pPr>
        <w:spacing w:after="0" w:line="240" w:lineRule="auto"/>
        <w:jc w:val="both"/>
        <w:rPr>
          <w:rFonts w:ascii="Times New Roman" w:hAnsi="Times New Roman"/>
          <w:color w:val="000000" w:themeColor="text1"/>
          <w:sz w:val="16"/>
          <w:szCs w:val="16"/>
        </w:rPr>
      </w:pPr>
      <w:r w:rsidRPr="007224C3">
        <w:rPr>
          <w:rStyle w:val="7pt0pt"/>
          <w:rFonts w:ascii="Times New Roman" w:hAnsi="Times New Roman" w:cs="Times New Roman"/>
          <w:b w:val="0"/>
          <w:color w:val="000000" w:themeColor="text1"/>
          <w:spacing w:val="0"/>
          <w:sz w:val="16"/>
          <w:szCs w:val="16"/>
        </w:rPr>
        <w:t>1. 20,5</w:t>
      </w:r>
      <w:r w:rsidRPr="007224C3">
        <w:rPr>
          <w:rFonts w:ascii="Times New Roman" w:hAnsi="Times New Roman"/>
          <w:color w:val="000000" w:themeColor="text1"/>
          <w:sz w:val="16"/>
          <w:szCs w:val="16"/>
        </w:rPr>
        <w:t xml:space="preserve"> миллионов рублей,</w:t>
      </w:r>
      <w:r w:rsidRPr="007224C3">
        <w:rPr>
          <w:rStyle w:val="10pt0"/>
          <w:rFonts w:ascii="Times New Roman" w:hAnsi="Times New Roman" w:cs="Times New Roman"/>
          <w:color w:val="000000" w:themeColor="text1"/>
          <w:sz w:val="16"/>
          <w:szCs w:val="16"/>
        </w:rPr>
        <w:t xml:space="preserve"> </w:t>
      </w:r>
      <w:r w:rsidRPr="007224C3">
        <w:rPr>
          <w:rStyle w:val="10pt0"/>
          <w:rFonts w:ascii="Times New Roman" w:hAnsi="Times New Roman" w:cs="Times New Roman"/>
          <w:b w:val="0"/>
          <w:color w:val="000000" w:themeColor="text1"/>
          <w:sz w:val="16"/>
          <w:szCs w:val="16"/>
        </w:rPr>
        <w:t>из них</w:t>
      </w:r>
      <w:r w:rsidRPr="007224C3">
        <w:rPr>
          <w:rStyle w:val="7pt0pt"/>
          <w:rFonts w:ascii="Times New Roman" w:hAnsi="Times New Roman" w:cs="Times New Roman"/>
          <w:b w:val="0"/>
          <w:color w:val="000000" w:themeColor="text1"/>
          <w:spacing w:val="0"/>
          <w:sz w:val="16"/>
          <w:szCs w:val="16"/>
        </w:rPr>
        <w:t>:</w:t>
      </w:r>
      <w:r w:rsidRPr="007224C3">
        <w:rPr>
          <w:rFonts w:ascii="Times New Roman" w:hAnsi="Times New Roman"/>
          <w:color w:val="000000" w:themeColor="text1"/>
          <w:sz w:val="16"/>
          <w:szCs w:val="16"/>
        </w:rPr>
        <w:t xml:space="preserve"> НИИ-1</w:t>
      </w:r>
      <w:r w:rsidRPr="007224C3">
        <w:rPr>
          <w:rStyle w:val="7pt0pt"/>
          <w:rFonts w:ascii="Times New Roman" w:hAnsi="Times New Roman" w:cs="Times New Roman"/>
          <w:color w:val="000000" w:themeColor="text1"/>
          <w:spacing w:val="0"/>
          <w:sz w:val="16"/>
          <w:szCs w:val="16"/>
        </w:rPr>
        <w:t xml:space="preserve"> - </w:t>
      </w:r>
      <w:r w:rsidRPr="007224C3">
        <w:rPr>
          <w:rStyle w:val="7pt0pt"/>
          <w:rFonts w:ascii="Times New Roman" w:hAnsi="Times New Roman" w:cs="Times New Roman"/>
          <w:b w:val="0"/>
          <w:color w:val="000000" w:themeColor="text1"/>
          <w:spacing w:val="0"/>
          <w:sz w:val="16"/>
          <w:szCs w:val="16"/>
        </w:rPr>
        <w:t>8,5</w:t>
      </w:r>
      <w:r w:rsidRPr="007224C3">
        <w:rPr>
          <w:rFonts w:ascii="Times New Roman" w:hAnsi="Times New Roman"/>
          <w:color w:val="000000" w:themeColor="text1"/>
          <w:sz w:val="16"/>
          <w:szCs w:val="16"/>
        </w:rPr>
        <w:t xml:space="preserve"> мил</w:t>
      </w:r>
      <w:r w:rsidRPr="007224C3">
        <w:rPr>
          <w:rFonts w:ascii="Times New Roman" w:hAnsi="Times New Roman"/>
          <w:color w:val="000000" w:themeColor="text1"/>
          <w:sz w:val="16"/>
          <w:szCs w:val="16"/>
        </w:rPr>
        <w:softHyphen/>
        <w:t>лионов рублей, ЦИАМ - 9 миллионов рублей и ОКБ завода № 16 - 3 миллиона рублей, для проведения работ по реак</w:t>
      </w:r>
      <w:r w:rsidRPr="007224C3">
        <w:rPr>
          <w:rFonts w:ascii="Times New Roman" w:hAnsi="Times New Roman"/>
          <w:color w:val="000000" w:themeColor="text1"/>
          <w:sz w:val="16"/>
          <w:szCs w:val="16"/>
        </w:rPr>
        <w:softHyphen/>
        <w:t>тивный двигателях.</w:t>
      </w:r>
    </w:p>
    <w:p w14:paraId="0C5E64E3" w14:textId="77777777" w:rsidR="00DF15BD" w:rsidRPr="007224C3" w:rsidRDefault="00DF15BD" w:rsidP="007224C3">
      <w:pPr>
        <w:spacing w:after="0" w:line="240" w:lineRule="auto"/>
        <w:jc w:val="both"/>
        <w:rPr>
          <w:rFonts w:ascii="Times New Roman" w:hAnsi="Times New Roman"/>
          <w:color w:val="000000" w:themeColor="text1"/>
          <w:sz w:val="16"/>
          <w:szCs w:val="16"/>
        </w:rPr>
      </w:pPr>
      <w:r w:rsidRPr="007224C3">
        <w:rPr>
          <w:rStyle w:val="7pt0pt"/>
          <w:rFonts w:ascii="Times New Roman" w:hAnsi="Times New Roman" w:cs="Times New Roman"/>
          <w:color w:val="000000" w:themeColor="text1"/>
          <w:spacing w:val="0"/>
          <w:sz w:val="16"/>
          <w:szCs w:val="16"/>
        </w:rPr>
        <w:t>2.</w:t>
      </w:r>
      <w:r w:rsidRPr="007224C3">
        <w:rPr>
          <w:rFonts w:ascii="Times New Roman" w:hAnsi="Times New Roman"/>
          <w:color w:val="000000" w:themeColor="text1"/>
          <w:sz w:val="16"/>
          <w:szCs w:val="16"/>
        </w:rPr>
        <w:t xml:space="preserve"> Премиальный фонд в сумме четыре миллиона руб</w:t>
      </w:r>
      <w:r w:rsidRPr="007224C3">
        <w:rPr>
          <w:rFonts w:ascii="Times New Roman" w:hAnsi="Times New Roman"/>
          <w:color w:val="000000" w:themeColor="text1"/>
          <w:sz w:val="16"/>
          <w:szCs w:val="16"/>
        </w:rPr>
        <w:softHyphen/>
        <w:t>лей для стимулирования выполнения заданий, перечислен</w:t>
      </w:r>
      <w:r w:rsidRPr="007224C3">
        <w:rPr>
          <w:rFonts w:ascii="Times New Roman" w:hAnsi="Times New Roman"/>
          <w:color w:val="000000" w:themeColor="text1"/>
          <w:sz w:val="16"/>
          <w:szCs w:val="16"/>
        </w:rPr>
        <w:softHyphen/>
        <w:t>ные в настоящем постановлении.</w:t>
      </w:r>
    </w:p>
    <w:p w14:paraId="1C51092C" w14:textId="77777777" w:rsidR="00DF15BD" w:rsidRPr="007224C3" w:rsidRDefault="00DF15B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1У. Наркомавиапрому тов.Шахурину А.И. из указанного премиального фонда выделить в распоряжение ответствен</w:t>
      </w:r>
      <w:r w:rsidRPr="007224C3">
        <w:rPr>
          <w:rFonts w:ascii="Times New Roman" w:hAnsi="Times New Roman"/>
          <w:color w:val="000000" w:themeColor="text1"/>
          <w:sz w:val="16"/>
          <w:szCs w:val="16"/>
        </w:rPr>
        <w:softHyphen/>
        <w:t>ных ва задания лиц следующие сумм: НИИ-1 - 2 миллиона рублей, заводу № 16 500 тысяч рублей, ЦИАМ'у - 1,5 миллиона рублей.</w:t>
      </w:r>
    </w:p>
    <w:p w14:paraId="6BD99E82" w14:textId="77777777" w:rsidR="00DF15BD" w:rsidRPr="007224C3" w:rsidRDefault="00DF15BD" w:rsidP="007224C3">
      <w:pPr>
        <w:tabs>
          <w:tab w:val="left" w:pos="979"/>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1У. Предоставить право начальнику НИИ-1, директору завода № 16 и начальнику ЦИАМ 50% выделенного настоящим- постановлением премиального фонда расходовать на преми</w:t>
      </w:r>
      <w:r w:rsidRPr="007224C3">
        <w:rPr>
          <w:rFonts w:ascii="Times New Roman" w:hAnsi="Times New Roman"/>
          <w:color w:val="000000" w:themeColor="text1"/>
          <w:sz w:val="16"/>
          <w:szCs w:val="16"/>
        </w:rPr>
        <w:softHyphen/>
        <w:t>рование в процессе выполнения заданий отличившихся ра</w:t>
      </w:r>
      <w:r w:rsidRPr="007224C3">
        <w:rPr>
          <w:rFonts w:ascii="Times New Roman" w:hAnsi="Times New Roman"/>
          <w:color w:val="000000" w:themeColor="text1"/>
          <w:sz w:val="16"/>
          <w:szCs w:val="16"/>
        </w:rPr>
        <w:softHyphen/>
        <w:t>ботников и остальные 50% - на премирование их по окон</w:t>
      </w:r>
      <w:r w:rsidRPr="007224C3">
        <w:rPr>
          <w:rFonts w:ascii="Times New Roman" w:hAnsi="Times New Roman"/>
          <w:color w:val="000000" w:themeColor="text1"/>
          <w:sz w:val="16"/>
          <w:szCs w:val="16"/>
        </w:rPr>
        <w:softHyphen/>
        <w:t>чании выполнения гадания.</w:t>
      </w:r>
    </w:p>
    <w:p w14:paraId="16A2C84B" w14:textId="77777777" w:rsidR="00DF15BD" w:rsidRPr="007224C3" w:rsidRDefault="00DF15BD" w:rsidP="007224C3">
      <w:pPr>
        <w:tabs>
          <w:tab w:val="left" w:pos="870"/>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 Установить лично ответственным конструкторам реактивных двигателей, строящихся по настоящнму  поста</w:t>
      </w:r>
      <w:r w:rsidRPr="007224C3">
        <w:rPr>
          <w:rFonts w:ascii="Times New Roman" w:hAnsi="Times New Roman"/>
          <w:color w:val="000000" w:themeColor="text1"/>
          <w:sz w:val="16"/>
          <w:szCs w:val="16"/>
        </w:rPr>
        <w:softHyphen/>
        <w:t>новлению, премии за выполнение заданий в срок в разме</w:t>
      </w:r>
      <w:r w:rsidRPr="007224C3">
        <w:rPr>
          <w:rFonts w:ascii="Times New Roman" w:hAnsi="Times New Roman"/>
          <w:color w:val="000000" w:themeColor="text1"/>
          <w:sz w:val="16"/>
          <w:szCs w:val="16"/>
        </w:rPr>
        <w:softHyphen/>
        <w:t>ре от 75 до 150 тыс. рублей по каждому двигателю.</w:t>
      </w:r>
    </w:p>
    <w:p w14:paraId="7DEAA60E" w14:textId="77777777" w:rsidR="00DF15BD" w:rsidRPr="007224C3" w:rsidRDefault="00DF15BD" w:rsidP="007224C3">
      <w:pPr>
        <w:tabs>
          <w:tab w:val="left" w:pos="973"/>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У1. Ввиду особой важности создания реактивных дви</w:t>
      </w:r>
      <w:r w:rsidRPr="007224C3">
        <w:rPr>
          <w:rFonts w:ascii="Times New Roman" w:hAnsi="Times New Roman"/>
          <w:color w:val="000000" w:themeColor="text1"/>
          <w:sz w:val="16"/>
          <w:szCs w:val="16"/>
        </w:rPr>
        <w:softHyphen/>
        <w:t>гателей, представить к правительственной награде тех конструкторов и конструкторские коллективы, двигатели которых пройдут государственные стендовые испытания и будут иметь данные, установленные настоящим постанов</w:t>
      </w:r>
      <w:r w:rsidRPr="007224C3">
        <w:rPr>
          <w:rFonts w:ascii="Times New Roman" w:hAnsi="Times New Roman"/>
          <w:color w:val="000000" w:themeColor="text1"/>
          <w:sz w:val="16"/>
          <w:szCs w:val="16"/>
        </w:rPr>
        <w:softHyphen/>
        <w:t>лением (19493).</w:t>
      </w:r>
    </w:p>
    <w:p w14:paraId="2DF16BDC" w14:textId="77777777" w:rsidR="00A60A7C" w:rsidRPr="007224C3" w:rsidRDefault="00A60A7C" w:rsidP="007224C3">
      <w:pPr>
        <w:autoSpaceDE w:val="0"/>
        <w:autoSpaceDN w:val="0"/>
        <w:adjustRightInd w:val="0"/>
        <w:spacing w:after="0" w:line="240" w:lineRule="auto"/>
        <w:jc w:val="both"/>
        <w:rPr>
          <w:rFonts w:ascii="Times New Roman" w:hAnsi="Times New Roman"/>
          <w:color w:val="000000" w:themeColor="text1"/>
          <w:sz w:val="16"/>
          <w:szCs w:val="16"/>
        </w:rPr>
      </w:pPr>
    </w:p>
    <w:p w14:paraId="21C3ABAB" w14:textId="77777777" w:rsidR="00DF15BD" w:rsidRPr="007224C3" w:rsidRDefault="00DF15BD"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мая 1944 вышло:</w:t>
      </w:r>
    </w:p>
    <w:p w14:paraId="6A9D834E" w14:textId="77777777" w:rsidR="00DF15BD" w:rsidRPr="007224C3" w:rsidRDefault="00DF15BD"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ПОСТАНОВЛЕНИЕ ГОСУДАРСТВЕННОГО КОМИТЕТА ОБОРОНЫ № 5945сс</w:t>
      </w:r>
    </w:p>
    <w:p w14:paraId="37C32C6A" w14:textId="77777777" w:rsidR="00DF15BD" w:rsidRPr="007224C3" w:rsidRDefault="00DF15BD"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 создании авиационных реактивных двигателей</w:t>
      </w:r>
    </w:p>
    <w:p w14:paraId="558BB99F" w14:textId="77777777" w:rsidR="00DF15BD" w:rsidRPr="007224C3" w:rsidRDefault="00DF15BD"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Считая важнейшей задачей Наркомавиапрома разработку и постройку авиационных реактивных двигателей, Государственный Комитет Обороны постановляет:</w:t>
      </w:r>
    </w:p>
    <w:p w14:paraId="6C5CDDCE" w14:textId="77777777" w:rsidR="00DF15BD" w:rsidRPr="007224C3" w:rsidRDefault="00DF15BD"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1.Принять к сведенью сообщение Наркоиавиапрома т. Шахурина и ВВС КА т. Репина, что однокамерный жидкостный реактивный двигатель РД-1 конструкция Глушко прошел совместные стендовые испытания и имеет следующие данные:</w:t>
      </w:r>
    </w:p>
    <w:p w14:paraId="41B607E5" w14:textId="77777777" w:rsidR="00DF15BD" w:rsidRPr="007224C3" w:rsidRDefault="00DF15BD"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максимальная тяга - 300 кг </w:t>
      </w:r>
    </w:p>
    <w:p w14:paraId="7F59B0EF" w14:textId="77777777" w:rsidR="00DF15BD" w:rsidRPr="007224C3" w:rsidRDefault="00DF15BD"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номинальная тяга - 250 кг</w:t>
      </w:r>
    </w:p>
    <w:p w14:paraId="2EE5AB60" w14:textId="77777777" w:rsidR="00DF15BD" w:rsidRPr="007224C3" w:rsidRDefault="00DF15BD"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минимальная тяга - 100 кг</w:t>
      </w:r>
    </w:p>
    <w:p w14:paraId="3BEC40BE" w14:textId="77777777" w:rsidR="00DF15BD" w:rsidRPr="007224C3" w:rsidRDefault="00DF15BD"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удельная тяга на номинальном </w:t>
      </w:r>
    </w:p>
    <w:p w14:paraId="717C7BB5" w14:textId="77777777" w:rsidR="00DF15BD" w:rsidRPr="007224C3" w:rsidRDefault="00DF15BD"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режиме на кг топлива - 185 кг</w:t>
      </w:r>
    </w:p>
    <w:p w14:paraId="4FA2C1EB" w14:textId="77777777" w:rsidR="00DF15BD" w:rsidRPr="007224C3" w:rsidRDefault="00DF15BD"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удельная тяга на минимальном </w:t>
      </w:r>
    </w:p>
    <w:p w14:paraId="31F63541" w14:textId="77777777" w:rsidR="00DF15BD" w:rsidRPr="007224C3" w:rsidRDefault="00DF15BD"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режиме на кг топлива - 150 кг</w:t>
      </w:r>
    </w:p>
    <w:p w14:paraId="4D65D322" w14:textId="77777777" w:rsidR="00DF15BD" w:rsidRPr="007224C3" w:rsidRDefault="00DF15BD"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II. Обязать Наркомавиапром- тов. Шахурина А.И. и тов. Яковлева А.С, начальников - НИИ-1, ЦИАМ и констрикторов НКАП провести следующие работу;</w:t>
      </w:r>
    </w:p>
    <w:p w14:paraId="566194FE" w14:textId="77777777" w:rsidR="00DF15BD" w:rsidRPr="007224C3" w:rsidRDefault="00DF15BD"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Директору завода № 16 тов. Лукину М.М., конструктору Глушко В.П. и начальнику НИИ-1 тов. Федорову П.И. построить и предъявить на государственные испытания трехкамерный жидкостный реактивный двигатель с насосной системой подачи.</w:t>
      </w:r>
    </w:p>
    <w:p w14:paraId="789DC5B6" w14:textId="77777777" w:rsidR="00DF15BD" w:rsidRPr="007224C3" w:rsidRDefault="00DF15BD"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Двигатель должен иметь следующие характеристики:</w:t>
      </w:r>
    </w:p>
    <w:p w14:paraId="57B6D778" w14:textId="77777777" w:rsidR="00DF15BD" w:rsidRPr="007224C3" w:rsidRDefault="00DF15BD"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взлетная тяга - 900 кг </w:t>
      </w:r>
    </w:p>
    <w:p w14:paraId="1C74F648" w14:textId="77777777" w:rsidR="00DF15BD" w:rsidRPr="007224C3" w:rsidRDefault="00DF15BD"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номинальная тяга - 750 кг</w:t>
      </w:r>
    </w:p>
    <w:p w14:paraId="4E18D9E8" w14:textId="77777777" w:rsidR="00DF15BD" w:rsidRPr="007224C3" w:rsidRDefault="00DF15BD"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минимальная тяга - 100 кг</w:t>
      </w:r>
    </w:p>
    <w:p w14:paraId="2A6C8A80" w14:textId="77777777" w:rsidR="00DF15BD" w:rsidRPr="007224C3" w:rsidRDefault="00DF15BD"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удельная тяга на номинальном </w:t>
      </w:r>
    </w:p>
    <w:p w14:paraId="210A1596" w14:textId="77777777" w:rsidR="00DF15BD" w:rsidRPr="007224C3" w:rsidRDefault="00DF15BD"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режиме на кг топлива - 190 кг</w:t>
      </w:r>
    </w:p>
    <w:p w14:paraId="1AEAE11A" w14:textId="77777777" w:rsidR="00DF15BD" w:rsidRPr="007224C3" w:rsidRDefault="00DF15BD"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Срок предъявления двигателя на государственные испытания 1 января 1945 г.</w:t>
      </w:r>
    </w:p>
    <w:p w14:paraId="3FCA7278" w14:textId="77777777" w:rsidR="00DF15BD" w:rsidRPr="007224C3" w:rsidRDefault="00DF15BD"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Начальнику НИИ-1 тов. Федорову П.И. и конструктору НИИ-1 тов. Исаеву А.М. построить и предъявить на государственные, испытания однокамерный жидкостный реактивный двигатель с подачей топлива из баков под давлением.</w:t>
      </w:r>
    </w:p>
    <w:p w14:paraId="54963F22" w14:textId="77777777" w:rsidR="00DF15BD" w:rsidRPr="007224C3" w:rsidRDefault="00DF15BD"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Двигатель должен иметь следующие характеристики:</w:t>
      </w:r>
    </w:p>
    <w:p w14:paraId="2300D784" w14:textId="77777777" w:rsidR="00DF15BD" w:rsidRPr="007224C3" w:rsidRDefault="00DF15BD"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номинальная тяга - 1100 кг</w:t>
      </w:r>
    </w:p>
    <w:p w14:paraId="7258A676" w14:textId="77777777" w:rsidR="00DF15BD" w:rsidRPr="007224C3" w:rsidRDefault="00DF15BD"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минимальная тяга не более - 400 кг</w:t>
      </w:r>
    </w:p>
    <w:p w14:paraId="4DF6EFF5" w14:textId="77777777" w:rsidR="00DF15BD" w:rsidRPr="007224C3" w:rsidRDefault="00DF15BD"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удельная тяга на номинальном </w:t>
      </w:r>
    </w:p>
    <w:p w14:paraId="156063D9" w14:textId="77777777" w:rsidR="00DF15BD" w:rsidRPr="007224C3" w:rsidRDefault="00DF15BD"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режиме на кг топлива - 200 кг</w:t>
      </w:r>
    </w:p>
    <w:p w14:paraId="2DE32724" w14:textId="77777777" w:rsidR="00DF15BD" w:rsidRPr="007224C3" w:rsidRDefault="00DF15BD"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Срок предъявления двигателя на государственные испытания - октябрь 1944 г.</w:t>
      </w:r>
    </w:p>
    <w:p w14:paraId="7E616977" w14:textId="77777777" w:rsidR="00DF15BD" w:rsidRPr="007224C3" w:rsidRDefault="00DF15BD"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Начальнику НИИ-1- тов.Федорову П.И. и конструктору НИИ-1 тов. Душкину Л.С. :</w:t>
      </w:r>
    </w:p>
    <w:p w14:paraId="7A17EED1" w14:textId="77777777" w:rsidR="00DF15BD" w:rsidRPr="007224C3" w:rsidRDefault="00DF15BD"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построить и предъявить на государственные, испытания однокамерный жидкостный реактивный двигатель с насосной системой подачи.</w:t>
      </w:r>
    </w:p>
    <w:p w14:paraId="0331BA0C" w14:textId="77777777" w:rsidR="00DF15BD" w:rsidRPr="007224C3" w:rsidRDefault="00DF15BD"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Двигатель должен иметь следующие характеристики:</w:t>
      </w:r>
    </w:p>
    <w:p w14:paraId="25BB040D" w14:textId="77777777" w:rsidR="00DF15BD" w:rsidRPr="007224C3" w:rsidRDefault="00DF15BD"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взлетная тяга - 1400 кг</w:t>
      </w:r>
    </w:p>
    <w:p w14:paraId="12972837" w14:textId="77777777" w:rsidR="00DF15BD" w:rsidRPr="007224C3" w:rsidRDefault="00DF15BD"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номинальная тяга - 1100 кг</w:t>
      </w:r>
    </w:p>
    <w:p w14:paraId="4BEE8705" w14:textId="77777777" w:rsidR="00DF15BD" w:rsidRPr="007224C3" w:rsidRDefault="00DF15BD"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удельная тяга на номинальном </w:t>
      </w:r>
    </w:p>
    <w:p w14:paraId="18BE97C5" w14:textId="77777777" w:rsidR="00DF15BD" w:rsidRPr="007224C3" w:rsidRDefault="00DF15BD"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режиме на кг топлива - 200 кг</w:t>
      </w:r>
    </w:p>
    <w:p w14:paraId="62D128F2" w14:textId="77777777" w:rsidR="00DF15BD" w:rsidRPr="007224C3" w:rsidRDefault="00DF15BD"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Срок предъявления двигателя: </w:t>
      </w:r>
    </w:p>
    <w:p w14:paraId="0D1CB797" w14:textId="77777777" w:rsidR="00DF15BD" w:rsidRPr="007224C3" w:rsidRDefault="00DF15BD"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заводские испытания - ноябрь 1944 и</w:t>
      </w:r>
    </w:p>
    <w:p w14:paraId="21BBD002" w14:textId="77777777" w:rsidR="00DF15BD" w:rsidRPr="007224C3" w:rsidRDefault="00DF15BD"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государственные испытания - февраль 1945 г.</w:t>
      </w:r>
    </w:p>
    <w:p w14:paraId="3D27A063" w14:textId="77777777" w:rsidR="00DF15BD" w:rsidRPr="007224C3" w:rsidRDefault="00DF15BD"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построить и предъявить на государственные, испытания двухкамерный жидкостный реактивный двигатель с насосной системой подачи.</w:t>
      </w:r>
    </w:p>
    <w:p w14:paraId="3440D0A1" w14:textId="77777777" w:rsidR="00DF15BD" w:rsidRPr="007224C3" w:rsidRDefault="00DF15BD"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Двигатель должен иметь следующие характеристики:</w:t>
      </w:r>
    </w:p>
    <w:p w14:paraId="35908216" w14:textId="77777777" w:rsidR="00DF15BD" w:rsidRPr="007224C3" w:rsidRDefault="00DF15BD"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взлетная тяга - 1400 кг</w:t>
      </w:r>
    </w:p>
    <w:p w14:paraId="03DB586B" w14:textId="77777777" w:rsidR="00DF15BD" w:rsidRPr="007224C3" w:rsidRDefault="00DF15BD"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номинальная тяга - 1100 кг</w:t>
      </w:r>
    </w:p>
    <w:p w14:paraId="10DBACDB" w14:textId="77777777" w:rsidR="00DF15BD" w:rsidRPr="007224C3" w:rsidRDefault="00DF15BD"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минимальная тяга - 200 кг</w:t>
      </w:r>
    </w:p>
    <w:p w14:paraId="568318EF" w14:textId="77777777" w:rsidR="00DF15BD" w:rsidRPr="007224C3" w:rsidRDefault="00DF15BD"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удельная тяга на номинальном </w:t>
      </w:r>
    </w:p>
    <w:p w14:paraId="7E607EAF" w14:textId="77777777" w:rsidR="00DF15BD" w:rsidRPr="007224C3" w:rsidRDefault="00DF15BD"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режиме на кг топлива - 200 кг</w:t>
      </w:r>
    </w:p>
    <w:p w14:paraId="56E8F510" w14:textId="77777777" w:rsidR="00DF15BD" w:rsidRPr="007224C3" w:rsidRDefault="00DF15BD"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удельная тяга на минимальном </w:t>
      </w:r>
    </w:p>
    <w:p w14:paraId="420E3975" w14:textId="77777777" w:rsidR="00DF15BD" w:rsidRPr="007224C3" w:rsidRDefault="00DF15BD"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режиме на кг топлива - 160 кг</w:t>
      </w:r>
    </w:p>
    <w:p w14:paraId="36BF24C2" w14:textId="77777777" w:rsidR="00DF15BD" w:rsidRPr="007224C3" w:rsidRDefault="00DF15BD"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Срок предъявления двигателя: </w:t>
      </w:r>
    </w:p>
    <w:p w14:paraId="5DF1E57D" w14:textId="77777777" w:rsidR="00DF15BD" w:rsidRPr="007224C3" w:rsidRDefault="00DF15BD"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заводские испытания - декабрь 1944 и</w:t>
      </w:r>
    </w:p>
    <w:p w14:paraId="23FDE366" w14:textId="77777777" w:rsidR="00DF15BD" w:rsidRPr="007224C3" w:rsidRDefault="00DF15BD"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государственные испытания - март 1945 г.</w:t>
      </w:r>
    </w:p>
    <w:p w14:paraId="5E09849D" w14:textId="77777777" w:rsidR="00DF15BD" w:rsidRPr="007224C3" w:rsidRDefault="00DF15BD"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Начальнику НИИ-1 тов. Федорову П.И, и конструктору НИИ-1 тов.Люлька А.М. построить и предъявить на заводские испытания экспериментальный газотурбинный воздушно-реактивный двигатель с компрессором.</w:t>
      </w:r>
    </w:p>
    <w:p w14:paraId="2E315C98" w14:textId="77777777" w:rsidR="00DF15BD" w:rsidRPr="007224C3" w:rsidRDefault="00DF15BD"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Двигатель должен иметь следующие характеристики:</w:t>
      </w:r>
    </w:p>
    <w:p w14:paraId="36B9F9BA" w14:textId="77777777" w:rsidR="00DF15BD" w:rsidRPr="007224C3" w:rsidRDefault="00DF15BD"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номинальная тяга у земли - 1250 кг</w:t>
      </w:r>
    </w:p>
    <w:p w14:paraId="17AE2B7D" w14:textId="77777777" w:rsidR="00DF15BD" w:rsidRPr="007224C3" w:rsidRDefault="00DF15BD"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диаметр двигателя - 950 мм</w:t>
      </w:r>
    </w:p>
    <w:p w14:paraId="0FC728DD" w14:textId="77777777" w:rsidR="00DF15BD" w:rsidRPr="007224C3" w:rsidRDefault="00DF15BD"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сухой вес - 900 кг</w:t>
      </w:r>
    </w:p>
    <w:p w14:paraId="66776094" w14:textId="77777777" w:rsidR="00DF15BD" w:rsidRPr="007224C3" w:rsidRDefault="00DF15BD"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удельная тяга на номинальном </w:t>
      </w:r>
    </w:p>
    <w:p w14:paraId="0CC0F3BF" w14:textId="77777777" w:rsidR="00DF15BD" w:rsidRPr="007224C3" w:rsidRDefault="00DF15BD"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режиме на кг топлива не ниже - 1500 кг</w:t>
      </w:r>
    </w:p>
    <w:p w14:paraId="6153A207" w14:textId="77777777" w:rsidR="00DF15BD" w:rsidRPr="007224C3" w:rsidRDefault="00DF15BD"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Срок предъявления двигателя на заводские испытания - 1 марта 1944</w:t>
      </w:r>
    </w:p>
    <w:p w14:paraId="607BD6DC" w14:textId="77777777" w:rsidR="00DF15BD" w:rsidRPr="007224C3" w:rsidRDefault="00DF15BD"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Начальнику ЦИАМ тов. Поликовскому В.И. и конструкторам ЦИАМ т. Холщевникову К.В..и т. Фадееву А.А, построить и предъявить на заводские испытания воздушно-реактивный двигатель с мотором ВК-107А, винтом и компрессором.</w:t>
      </w:r>
    </w:p>
    <w:p w14:paraId="09EE9A7B" w14:textId="77777777" w:rsidR="00DF15BD" w:rsidRPr="007224C3" w:rsidRDefault="00DF15BD"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Двигатель должен иметь следующие характеристики:</w:t>
      </w:r>
    </w:p>
    <w:p w14:paraId="21A90B05" w14:textId="77777777" w:rsidR="00DF15BD" w:rsidRPr="007224C3" w:rsidRDefault="00DF15BD"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сухой вес - 950 кг</w:t>
      </w:r>
    </w:p>
    <w:p w14:paraId="6D188A57" w14:textId="77777777" w:rsidR="00DF15BD" w:rsidRPr="007224C3" w:rsidRDefault="00DF15BD"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номинальная тяга у земли при скорости 720 км/ч - 680 кг</w:t>
      </w:r>
    </w:p>
    <w:p w14:paraId="61802F67" w14:textId="77777777" w:rsidR="00DF15BD" w:rsidRPr="007224C3" w:rsidRDefault="00DF15BD"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удельная тяга на номинальном режиме на кг топлива не ниже - 1500 кг</w:t>
      </w:r>
    </w:p>
    <w:p w14:paraId="0DA76FBE" w14:textId="77777777" w:rsidR="00DF15BD" w:rsidRPr="007224C3" w:rsidRDefault="00DF15BD"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Срок предъявления двигателя на заводские испытания - декабрь 1944</w:t>
      </w:r>
    </w:p>
    <w:p w14:paraId="6B768005" w14:textId="77777777" w:rsidR="00DF15BD" w:rsidRPr="007224C3" w:rsidRDefault="00DF15BD"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Начальнику ЦИАМ тов. Поликовскому В.И и конструктору ЦИАМ тов. Толстову А.И. построить и предъявить на заводские испытания воздушно-реактивный двигатель с мотором АЧ-30Б, винтом и компрессором.</w:t>
      </w:r>
    </w:p>
    <w:p w14:paraId="3C1A4244" w14:textId="77777777" w:rsidR="00DF15BD" w:rsidRPr="007224C3" w:rsidRDefault="00DF15BD"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сухой вес - 1600 кг</w:t>
      </w:r>
    </w:p>
    <w:p w14:paraId="566D0DAF" w14:textId="77777777" w:rsidR="00DF15BD" w:rsidRPr="007224C3" w:rsidRDefault="00DF15BD"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номинальная тяга у земли</w:t>
      </w:r>
    </w:p>
    <w:p w14:paraId="30B2CA64" w14:textId="77777777" w:rsidR="00DF15BD" w:rsidRPr="007224C3" w:rsidRDefault="00DF15BD"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скорости 800 км/ч - 850 кг</w:t>
      </w:r>
    </w:p>
    <w:p w14:paraId="560B33AC" w14:textId="77777777" w:rsidR="00DF15BD" w:rsidRPr="007224C3" w:rsidRDefault="00DF15BD"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номинальная тяга на высоте</w:t>
      </w:r>
    </w:p>
    <w:p w14:paraId="06CA230E" w14:textId="77777777" w:rsidR="00DF15BD" w:rsidRPr="007224C3" w:rsidRDefault="00DF15BD"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8000 м при скорости 800 км/час - 1250 кг</w:t>
      </w:r>
    </w:p>
    <w:p w14:paraId="13AF9433" w14:textId="77777777" w:rsidR="00DF15BD" w:rsidRPr="007224C3" w:rsidRDefault="00DF15BD"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удельная тяга на номинальном </w:t>
      </w:r>
    </w:p>
    <w:p w14:paraId="51D52046" w14:textId="77777777" w:rsidR="00DF15BD" w:rsidRPr="007224C3" w:rsidRDefault="00DF15BD"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режиме у земли на кг топлива не ниже - 850 кг</w:t>
      </w:r>
    </w:p>
    <w:p w14:paraId="7843FCA9" w14:textId="77777777" w:rsidR="00DF15BD" w:rsidRPr="007224C3" w:rsidRDefault="00DF15BD"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то же на высоте 8000 м - 1250 кг</w:t>
      </w:r>
    </w:p>
    <w:p w14:paraId="6340DA6D" w14:textId="77777777" w:rsidR="00DF15BD" w:rsidRPr="007224C3" w:rsidRDefault="00DF15BD"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Срок предъявления двигателя на заводские испытания - декабрь 1944</w:t>
      </w:r>
    </w:p>
    <w:p w14:paraId="4A086B54" w14:textId="77777777" w:rsidR="00DF15BD" w:rsidRPr="007224C3" w:rsidRDefault="00DF15BD"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Начальнику ЦИАМ тов. Поликовскому В.И. и конструктору ЦИАМ тов. Уварову В.В. построить и предъявить на стендовые испытания для снятия характеристик экспериментальный воздушно-реактивный двигатель с компрессором, газовой турбиной и винтом.</w:t>
      </w:r>
    </w:p>
    <w:p w14:paraId="400A464A" w14:textId="77777777" w:rsidR="00DF15BD" w:rsidRPr="007224C3" w:rsidRDefault="00DF15BD"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Двигатель должен иметь следующие характеристики:</w:t>
      </w:r>
    </w:p>
    <w:p w14:paraId="65375760" w14:textId="77777777" w:rsidR="00DF15BD" w:rsidRPr="007224C3" w:rsidRDefault="00DF15BD"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диаметр двигателя -550 мм</w:t>
      </w:r>
    </w:p>
    <w:p w14:paraId="171FFD8E" w14:textId="77777777" w:rsidR="00DF15BD" w:rsidRPr="007224C3" w:rsidRDefault="00DF15BD"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сухой вес - 440 кг</w:t>
      </w:r>
    </w:p>
    <w:p w14:paraId="414EF7D8" w14:textId="77777777" w:rsidR="00DF15BD" w:rsidRPr="007224C3" w:rsidRDefault="00DF15BD"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номинальная тяга у земли</w:t>
      </w:r>
    </w:p>
    <w:p w14:paraId="0D86E959" w14:textId="77777777" w:rsidR="00DF15BD" w:rsidRPr="007224C3" w:rsidRDefault="00DF15BD"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скорости 650 км/ч - 300 кг</w:t>
      </w:r>
    </w:p>
    <w:p w14:paraId="0BB2A093" w14:textId="77777777" w:rsidR="00DF15BD" w:rsidRPr="007224C3" w:rsidRDefault="00DF15BD"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удельная тяга на номинальном </w:t>
      </w:r>
    </w:p>
    <w:p w14:paraId="5EC6E571" w14:textId="77777777" w:rsidR="00DF15BD" w:rsidRPr="007224C3" w:rsidRDefault="00DF15BD"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режиме на кг топлива не ниже - 2100 кг</w:t>
      </w:r>
    </w:p>
    <w:p w14:paraId="0F5D092E" w14:textId="77777777" w:rsidR="00DF15BD" w:rsidRPr="007224C3" w:rsidRDefault="00DF15BD"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Срок предъявления двигателя на стендовые испытания - март 1945</w:t>
      </w:r>
    </w:p>
    <w:p w14:paraId="7F35D71D" w14:textId="77777777" w:rsidR="00DF15BD" w:rsidRPr="007224C3" w:rsidRDefault="00DF15BD"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III. Обязать Наркомфин СССР тов. Зверева выделить НКАП из резервного фонда СНК СССР:</w:t>
      </w:r>
    </w:p>
    <w:p w14:paraId="4F8A7696" w14:textId="77777777" w:rsidR="00DF15BD" w:rsidRPr="007224C3" w:rsidRDefault="00DF15BD"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20,5 миллионов рублей, из них: НИИ-1 - 8,5 миллионов рублей, ЦИАМ - 9 миллионов рублей и ОКБ завода № 16 - 3 миллиона рублей, для проведения работ по реактивным двигателям.</w:t>
      </w:r>
    </w:p>
    <w:p w14:paraId="0DF4267F" w14:textId="77777777" w:rsidR="00DF15BD" w:rsidRPr="007224C3" w:rsidRDefault="00DF15BD"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Премиальный фонд в сумме четыре миллиона рублей для стимулирования выполнения заданий, перечисленных в настоящем постановлении.</w:t>
      </w:r>
    </w:p>
    <w:p w14:paraId="6A758CFB" w14:textId="77777777" w:rsidR="00DF15BD" w:rsidRPr="007224C3" w:rsidRDefault="00DF15BD"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Наркомавиапрому тов. Шахурину А.И. из указанного премиального фонда выделить в распоряжение ответственных за задания лиц следующие суммы: НИИ-1 - 2 миллиона рублей, заводу № 16 - 500 тысяч рублей, ЦИАМ'у - 1,5 миллиона рублей.</w:t>
      </w:r>
    </w:p>
    <w:p w14:paraId="3AAE77E3" w14:textId="77777777" w:rsidR="00DF15BD" w:rsidRPr="007224C3" w:rsidRDefault="00DF15BD"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IV. Предоставить право начальнику НИИ-1, директору завода № 16 и начальнику ЦИАМ 50 % выделенного настоящим постановлением премиального фонда расходовать на премирование в процессе выполнения заданий отличившихся работников и остальные 50% - на премирование их по окончании выполнения задания.</w:t>
      </w:r>
    </w:p>
    <w:p w14:paraId="523A1F39" w14:textId="77777777" w:rsidR="00DF15BD" w:rsidRPr="007224C3" w:rsidRDefault="00DF15BD"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V. Установить лично ответственным конструкторам реактивных двигателей, строящихся по настоящему постановлению, премии за выполнение заданий в срок в размере от 75 до 150 тысяч рублей по каждому двигателю.</w:t>
      </w:r>
    </w:p>
    <w:p w14:paraId="1ACCACCB" w14:textId="77777777" w:rsidR="00DF15BD" w:rsidRPr="007224C3" w:rsidRDefault="00DF15BD"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VI. Ввиду особой важности создания реактивных двигателей, представить к правительственной награде тех конструкторов и конструкторские коллективы, двигатели которых пройдут государственные стендовые испытания и будут иметь данные установленные настоящим постановлением.</w:t>
      </w:r>
    </w:p>
    <w:p w14:paraId="390DAE7B" w14:textId="77777777" w:rsidR="00DF15BD" w:rsidRPr="007224C3" w:rsidRDefault="00DF15BD"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ПРЕДСЕДАТЕЛЬ ГОСУДАРСТВЕННОГО КОМИТЕТА ОБОРОНЫ (И. Сталин) </w:t>
      </w:r>
    </w:p>
    <w:p w14:paraId="5CEB6A24" w14:textId="77777777" w:rsidR="00DF15BD" w:rsidRPr="007224C3" w:rsidRDefault="00DF15BD"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Поликовский А. Толстов В. Уваров В. Фадеев К. Холщевников Л. Душкин А. Исаев А.Люлька С. Шишкин (11813).</w:t>
      </w:r>
    </w:p>
    <w:p w14:paraId="4E53CF87" w14:textId="77777777" w:rsidR="00DF15BD" w:rsidRPr="007224C3" w:rsidRDefault="00DF15BD"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04D4FD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мая 1944 года постановлением ГКО № 5945 возобновилость создание ТРД. Сегодня есть все основания считать, что толчком к появлению этого постановления стал первый в СССР проект самолета с газотурбинным двигателем, предложенный в конце 1943-го - начале 1944-го М. И. Гудковым.</w:t>
      </w:r>
    </w:p>
    <w:p w14:paraId="30FC2D1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базировался на том же ЛаГГ-3 и был выполнен по реданной схеме: двигатель располагался под фюзеляжем, горячие газы отводились под хвостовую часть фюзеляжа, защищенную стальным экраном.</w:t>
      </w:r>
    </w:p>
    <w:p w14:paraId="5559AFB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Машина выглядела необычно, поэтому для выяснения возможности ее постройки создали специальную комиссию, посчитавшую необходимым продолжить работу </w:t>
      </w:r>
      <w:r w:rsidRPr="007224C3">
        <w:rPr>
          <w:rFonts w:ascii="Times New Roman" w:hAnsi="Times New Roman"/>
          <w:color w:val="000000" w:themeColor="text1"/>
          <w:sz w:val="16"/>
          <w:szCs w:val="16"/>
        </w:rPr>
        <w:lastRenderedPageBreak/>
        <w:t>над ТРД, а постройку машины -преждевременной. И все же проект Гудкова сделал свое дело, возобновилась разработка ТРД, а после окончания войны отечественные конструкторы использовали для своих реактивных первенцев реданную схему (7686,5).</w:t>
      </w:r>
    </w:p>
    <w:p w14:paraId="6CB776E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59007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мая 1944 г. вышли постановления ГОКО № 5945 "О создании авиационных реактивных двигателей" и № 5946 "О создании самолетов с реактивными двигателями".</w:t>
      </w:r>
    </w:p>
    <w:p w14:paraId="5274986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соответствии с пунктом 4 постановления № 5945 начальнику НИИ-1 П.И. Федорову и конструктору НИИ-1 А.М. Люлька поручалась постройка и предъявление к 1 марта 1945 г. на заводские испытания экспериментального газотурбинного ВРД со статической тягой 1250 кг. Постановлением № 5946 на главного конструктора завода № 21 С.М. Лавочкина возлагалось создание экспериментального реактивного истребителя с двигателем конструкции Люлька. По проекту самолет должен был обладать максимальной скоростью 850 км/ч на высоте 5000 м, временем набора этой высоты - 2,5 мин и практическим потолком 15000 м. Продолжительность полета на скорости 0,8Vmax не превышала 20 мин. Вооружение включало одну пушку калибра 23 мм и две - калибра 20 мм с общим боезапасом 400 снарядов.</w:t>
      </w:r>
    </w:p>
    <w:p w14:paraId="5E07447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обеспечение указанной работы на начальника НИИ-1 Федорова и конструктора НИИ-1 Люлька возлагалась задача к 15 января 1945 г. отправить в ОКБ Лавочкина макетный двигатель, а к 1 ноября и 1 декабря 1945 г. - второй и третий рабочие экземпляры ТР-1. Сухой вес двигателя не должен был превышать 900 кг, а диаметр - 950 мм.</w:t>
      </w:r>
    </w:p>
    <w:p w14:paraId="57DB5B8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 как в НИИ-1 производственной базы для создания ГТД не было, решением правительства СССР в 1945 г. на небольшом московском механическом заводе штампов и приспособлений № 165 была развернута опытно-конструкторская база по изготовлению реактивных двигателей (9018).</w:t>
      </w:r>
    </w:p>
    <w:p w14:paraId="15534E5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F23D72" w14:textId="77777777" w:rsidR="00DF15BD" w:rsidRPr="007224C3" w:rsidRDefault="00DF15BD"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22 мая</w:t>
      </w:r>
      <w:r w:rsidRPr="007224C3">
        <w:rPr>
          <w:rFonts w:ascii="Times New Roman" w:hAnsi="Times New Roman"/>
          <w:color w:val="000000" w:themeColor="text1"/>
          <w:sz w:val="16"/>
          <w:szCs w:val="16"/>
        </w:rPr>
        <w:t xml:space="preserve"> в 1944 году, состоялось постановление правительства "О создании авиационных реактивных двигателей", один из пунктов которого предписывал начальнику НИИ-1 П.И.Федорову и конструктору А.М.Люльке построить экспериментальный газотурбинный ВРД со статической тягой 1250кгс и предъявить его на заводские испытаний к 1 марта 1945 года. Так как в НИИ-1 производственной базы для создания ТРД не было, решением правительства на небольшом московском механическом заводе штампов и приспособлений № 165 развернули опытно-конструкторскую базу по изготовлению реактивных двигателей. В начале 1945 года на этом предприятии был изготовлен первый экземпляр экспериментального ТРД С-18, спроектированного группой А.М.Люльки. К сентябрю предполагалось построить и предъявить на летные испытания модификации истребителей Як-9, Ла-5 и Су-6 2ТК-3 с дополнительными ЖРД РД-1, разработанными В. П. Глушко в ОКБ НКВД при заводе № 16. При работе ускорителей на самолетах Як-9 и Ла-5 время набора высоты 5000 м должно было уменьшиться до трех минут, а максимальная горизонтальная скорость полета - возрасти до 780 км/ч на отрезке времени до трех минут (14899).</w:t>
      </w:r>
    </w:p>
    <w:p w14:paraId="632C1B53" w14:textId="77777777" w:rsidR="00DF15BD" w:rsidRPr="007224C3" w:rsidRDefault="00DF15BD" w:rsidP="007224C3">
      <w:pPr>
        <w:spacing w:after="0" w:line="240" w:lineRule="auto"/>
        <w:jc w:val="both"/>
        <w:rPr>
          <w:rFonts w:ascii="Times New Roman" w:hAnsi="Times New Roman"/>
          <w:color w:val="000000" w:themeColor="text1"/>
          <w:sz w:val="16"/>
          <w:szCs w:val="16"/>
        </w:rPr>
      </w:pPr>
    </w:p>
    <w:p w14:paraId="2E2121F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мая 1944 года вышло Постановление ГОКО за № 5945сс и 30 мая 1944 года приказ НКАП № 370сс, которыми завод № 293 МАП был передан НИИ-1 в качестве его филиала (9360).</w:t>
      </w:r>
    </w:p>
    <w:p w14:paraId="48218A6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C8552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мая 1944 вышло Постановление ГКО № 5946 О создании самолетов с реактивными двигателями. РГАНИР, Фонд ГКО, д. 255, лл. 88-102,103-117 (11012).</w:t>
      </w:r>
    </w:p>
    <w:p w14:paraId="2578C0E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48CDC59"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мая 1944 вышло Постановление ГКО № 5946 О создании самолетов с реактивными двигателями</w:t>
      </w:r>
    </w:p>
    <w:p w14:paraId="4AEDFCED"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Придавая исключительно важное значение делу создания самолетов с реактивными двигателями, Государствен</w:t>
      </w:r>
      <w:r w:rsidRPr="007224C3">
        <w:rPr>
          <w:rFonts w:ascii="Times New Roman" w:hAnsi="Times New Roman"/>
          <w:color w:val="000000" w:themeColor="text1"/>
          <w:sz w:val="16"/>
          <w:szCs w:val="16"/>
        </w:rPr>
        <w:softHyphen/>
        <w:t>ный Комитет С бороны постановляет:</w:t>
      </w:r>
    </w:p>
    <w:p w14:paraId="270CEB96"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Обязать Наркомавиапром - т.т. Шахур.чна </w:t>
      </w:r>
      <w:r w:rsidRPr="007224C3">
        <w:rPr>
          <w:rStyle w:val="0pt"/>
          <w:rFonts w:ascii="Times New Roman" w:hAnsi="Times New Roman" w:cs="Times New Roman"/>
          <w:color w:val="000000" w:themeColor="text1"/>
          <w:spacing w:val="0"/>
          <w:sz w:val="16"/>
          <w:szCs w:val="16"/>
        </w:rPr>
        <w:t>A.H.,</w:t>
      </w:r>
      <w:r w:rsidRPr="007224C3">
        <w:rPr>
          <w:rFonts w:ascii="Times New Roman" w:hAnsi="Times New Roman"/>
          <w:color w:val="000000" w:themeColor="text1"/>
          <w:sz w:val="16"/>
          <w:szCs w:val="16"/>
        </w:rPr>
        <w:t xml:space="preserve"> Яков</w:t>
      </w:r>
      <w:r w:rsidRPr="007224C3">
        <w:rPr>
          <w:rFonts w:ascii="Times New Roman" w:hAnsi="Times New Roman"/>
          <w:color w:val="000000" w:themeColor="text1"/>
          <w:sz w:val="16"/>
          <w:szCs w:val="16"/>
        </w:rPr>
        <w:softHyphen/>
        <w:t xml:space="preserve">лева А.С. и главных конструкторов НКАП - т.т.ЛавочкинаС.А., Поликарпова Н.Н., Микояна </w:t>
      </w:r>
      <w:r w:rsidRPr="007224C3">
        <w:rPr>
          <w:rFonts w:ascii="Times New Roman" w:hAnsi="Times New Roman"/>
          <w:color w:val="000000" w:themeColor="text1"/>
          <w:sz w:val="16"/>
          <w:szCs w:val="16"/>
          <w:lang w:val="en-US"/>
        </w:rPr>
        <w:t>A</w:t>
      </w:r>
      <w:r w:rsidRPr="007224C3">
        <w:rPr>
          <w:rFonts w:ascii="Times New Roman" w:hAnsi="Times New Roman"/>
          <w:color w:val="000000" w:themeColor="text1"/>
          <w:sz w:val="16"/>
          <w:szCs w:val="16"/>
        </w:rPr>
        <w:t>.И., Гуревича М.И. и Сухого П.О. провести следующие работы:</w:t>
      </w:r>
    </w:p>
    <w:p w14:paraId="35B6AB04"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Самолеты главного конструктора т.Яковлева А.С.</w:t>
      </w:r>
    </w:p>
    <w:p w14:paraId="3BCB83E8"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Главному конструктору т.Яковлеву А.С. спроекти</w:t>
      </w:r>
      <w:r w:rsidRPr="007224C3">
        <w:rPr>
          <w:rFonts w:ascii="Times New Roman" w:hAnsi="Times New Roman"/>
          <w:color w:val="000000" w:themeColor="text1"/>
          <w:sz w:val="16"/>
          <w:szCs w:val="16"/>
        </w:rPr>
        <w:softHyphen/>
        <w:t>ровать и достроить:</w:t>
      </w:r>
    </w:p>
    <w:p w14:paraId="099031C1"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модификацию самолета Лк-9 с мотором ВК-105ПФ с дополнительным однокамерным реактивным двигателем РД-1 конструкции Глушко со следующими летно-техническими дан</w:t>
      </w:r>
      <w:r w:rsidRPr="007224C3">
        <w:rPr>
          <w:rFonts w:ascii="Times New Roman" w:hAnsi="Times New Roman"/>
          <w:color w:val="000000" w:themeColor="text1"/>
          <w:sz w:val="16"/>
          <w:szCs w:val="16"/>
        </w:rPr>
        <w:softHyphen/>
        <w:t>ными:</w:t>
      </w:r>
    </w:p>
    <w:p w14:paraId="7BD15DC0" w14:textId="77777777" w:rsidR="00C20F3C" w:rsidRPr="007224C3" w:rsidRDefault="00C20F3C" w:rsidP="007224C3">
      <w:pPr>
        <w:tabs>
          <w:tab w:val="left" w:pos="1442"/>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 скорость с включением РД-1 на высоте 5000 мтр -  780 клм в час</w:t>
      </w:r>
    </w:p>
    <w:p w14:paraId="2A068823"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продолжительность действия РД-1 -  3 минуты</w:t>
      </w:r>
    </w:p>
    <w:p w14:paraId="57A16414" w14:textId="77777777" w:rsidR="00C20F3C" w:rsidRPr="007224C3" w:rsidRDefault="00C20F3C" w:rsidP="007224C3">
      <w:pPr>
        <w:tabs>
          <w:tab w:val="left" w:pos="5739"/>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время набора высоты 5000 мтр. с включением РД-1 - 3</w:t>
      </w:r>
    </w:p>
    <w:p w14:paraId="65894A66" w14:textId="77777777" w:rsidR="00C20F3C" w:rsidRPr="007224C3" w:rsidRDefault="00C20F3C" w:rsidP="007224C3">
      <w:pPr>
        <w:tabs>
          <w:tab w:val="left" w:pos="5527"/>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дальность на режиме 350 клм. в час без включения РД-1 - 700 клм.</w:t>
      </w:r>
    </w:p>
    <w:p w14:paraId="5EF823EA"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Вооружение то же, что у серийного самолета Як-9.</w:t>
      </w:r>
    </w:p>
    <w:p w14:paraId="7086A152"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построить в двух экземплярах и пред"явить на летные испытания:</w:t>
      </w:r>
    </w:p>
    <w:p w14:paraId="77E7B468" w14:textId="77777777" w:rsidR="00C20F3C" w:rsidRPr="007224C3" w:rsidRDefault="00C20F3C" w:rsidP="007224C3">
      <w:pPr>
        <w:tabs>
          <w:tab w:val="left" w:pos="1098"/>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1-й экземпляр - 15 августа </w:t>
      </w:r>
      <w:r w:rsidRPr="007224C3">
        <w:rPr>
          <w:rStyle w:val="0pt"/>
          <w:rFonts w:ascii="Times New Roman" w:hAnsi="Times New Roman" w:cs="Times New Roman"/>
          <w:color w:val="000000" w:themeColor="text1"/>
          <w:spacing w:val="0"/>
          <w:sz w:val="16"/>
          <w:szCs w:val="16"/>
        </w:rPr>
        <w:t>1944</w:t>
      </w:r>
      <w:r w:rsidRPr="007224C3">
        <w:rPr>
          <w:rFonts w:ascii="Times New Roman" w:hAnsi="Times New Roman"/>
          <w:color w:val="000000" w:themeColor="text1"/>
          <w:sz w:val="16"/>
          <w:szCs w:val="16"/>
        </w:rPr>
        <w:t xml:space="preserve"> года</w:t>
      </w:r>
    </w:p>
    <w:p w14:paraId="0F00F019" w14:textId="77777777" w:rsidR="00C20F3C" w:rsidRPr="007224C3" w:rsidRDefault="00C20F3C" w:rsidP="007224C3">
      <w:pPr>
        <w:tabs>
          <w:tab w:val="left" w:pos="1113"/>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2й экземпляр - 15 сентября </w:t>
      </w:r>
      <w:r w:rsidRPr="007224C3">
        <w:rPr>
          <w:rStyle w:val="0pt"/>
          <w:rFonts w:ascii="Times New Roman" w:hAnsi="Times New Roman" w:cs="Times New Roman"/>
          <w:color w:val="000000" w:themeColor="text1"/>
          <w:spacing w:val="0"/>
          <w:sz w:val="16"/>
          <w:szCs w:val="16"/>
        </w:rPr>
        <w:t>1544</w:t>
      </w:r>
      <w:r w:rsidRPr="007224C3">
        <w:rPr>
          <w:rFonts w:ascii="Times New Roman" w:hAnsi="Times New Roman"/>
          <w:color w:val="000000" w:themeColor="text1"/>
          <w:sz w:val="16"/>
          <w:szCs w:val="16"/>
        </w:rPr>
        <w:t xml:space="preserve"> года</w:t>
      </w:r>
    </w:p>
    <w:p w14:paraId="32079B5E"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экспериментальный реактивный истребитель с трехкамерным реактивным двигателем конструкции Глушко со следующими летно-техническиаи данными:</w:t>
      </w:r>
    </w:p>
    <w:p w14:paraId="68E02609"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максимальная скорость у земли </w:t>
      </w:r>
      <w:r w:rsidRPr="007224C3">
        <w:rPr>
          <w:rStyle w:val="0pt"/>
          <w:rFonts w:ascii="Times New Roman" w:hAnsi="Times New Roman" w:cs="Times New Roman"/>
          <w:color w:val="000000" w:themeColor="text1"/>
          <w:spacing w:val="0"/>
          <w:sz w:val="16"/>
          <w:szCs w:val="16"/>
        </w:rPr>
        <w:t>675-709</w:t>
      </w:r>
      <w:r w:rsidRPr="007224C3">
        <w:rPr>
          <w:rFonts w:ascii="Times New Roman" w:hAnsi="Times New Roman"/>
          <w:color w:val="000000" w:themeColor="text1"/>
          <w:sz w:val="16"/>
          <w:szCs w:val="16"/>
        </w:rPr>
        <w:t xml:space="preserve"> клм/час</w:t>
      </w:r>
    </w:p>
    <w:p w14:paraId="7A200CA5"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продолжительность полета на этой скорости у земли на макс, тяге - 5 минут</w:t>
      </w:r>
    </w:p>
    <w:p w14:paraId="3A920CEE"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продолжительность полета у зем</w:t>
      </w:r>
      <w:r w:rsidRPr="007224C3">
        <w:rPr>
          <w:rFonts w:ascii="Times New Roman" w:hAnsi="Times New Roman"/>
          <w:color w:val="000000" w:themeColor="text1"/>
          <w:sz w:val="16"/>
          <w:szCs w:val="16"/>
        </w:rPr>
        <w:softHyphen/>
        <w:t>ли на минимальной тяге - 20 минут</w:t>
      </w:r>
    </w:p>
    <w:p w14:paraId="1006CB06"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 скорость на высо</w:t>
      </w:r>
      <w:r w:rsidRPr="007224C3">
        <w:rPr>
          <w:rFonts w:ascii="Times New Roman" w:hAnsi="Times New Roman"/>
          <w:color w:val="000000" w:themeColor="text1"/>
          <w:sz w:val="16"/>
          <w:szCs w:val="16"/>
        </w:rPr>
        <w:softHyphen/>
        <w:t>те свыше 5000 мтр. - 800 км/час</w:t>
      </w:r>
    </w:p>
    <w:p w14:paraId="6FA7605F"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продолжительность полета на этой скорости на высоте </w:t>
      </w:r>
      <w:r w:rsidRPr="007224C3">
        <w:rPr>
          <w:rStyle w:val="0pt"/>
          <w:rFonts w:ascii="Times New Roman" w:hAnsi="Times New Roman" w:cs="Times New Roman"/>
          <w:color w:val="000000" w:themeColor="text1"/>
          <w:spacing w:val="0"/>
          <w:sz w:val="16"/>
          <w:szCs w:val="16"/>
        </w:rPr>
        <w:t xml:space="preserve">5000м. </w:t>
      </w:r>
      <w:r w:rsidRPr="007224C3">
        <w:rPr>
          <w:rFonts w:ascii="Times New Roman" w:hAnsi="Times New Roman"/>
          <w:color w:val="000000" w:themeColor="text1"/>
          <w:sz w:val="16"/>
          <w:szCs w:val="16"/>
        </w:rPr>
        <w:t>на максимальной тяге - 2 минуты</w:t>
      </w:r>
    </w:p>
    <w:p w14:paraId="03290963"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продолжительность полета на вы</w:t>
      </w:r>
      <w:r w:rsidRPr="007224C3">
        <w:rPr>
          <w:rFonts w:ascii="Times New Roman" w:hAnsi="Times New Roman"/>
          <w:color w:val="000000" w:themeColor="text1"/>
          <w:sz w:val="16"/>
          <w:szCs w:val="16"/>
        </w:rPr>
        <w:softHyphen/>
        <w:t>соте 5000мтр. на минимальной тяге - 10 минут</w:t>
      </w:r>
    </w:p>
    <w:p w14:paraId="5859CB98"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построить в двух экземплярах, и пред"явить на летные испытания:</w:t>
      </w:r>
    </w:p>
    <w:p w14:paraId="07E45BA5" w14:textId="77777777" w:rsidR="00C20F3C" w:rsidRPr="007224C3" w:rsidRDefault="00C20F3C" w:rsidP="007224C3">
      <w:pPr>
        <w:tabs>
          <w:tab w:val="left" w:pos="1105"/>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1й экземпляр - 1марта </w:t>
      </w:r>
      <w:r w:rsidRPr="007224C3">
        <w:rPr>
          <w:rStyle w:val="0pt"/>
          <w:rFonts w:ascii="Times New Roman" w:hAnsi="Times New Roman" w:cs="Times New Roman"/>
          <w:color w:val="000000" w:themeColor="text1"/>
          <w:spacing w:val="0"/>
          <w:sz w:val="16"/>
          <w:szCs w:val="16"/>
        </w:rPr>
        <w:t>1945</w:t>
      </w:r>
      <w:r w:rsidRPr="007224C3">
        <w:rPr>
          <w:rFonts w:ascii="Times New Roman" w:hAnsi="Times New Roman"/>
          <w:color w:val="000000" w:themeColor="text1"/>
          <w:sz w:val="16"/>
          <w:szCs w:val="16"/>
        </w:rPr>
        <w:t xml:space="preserve"> года</w:t>
      </w:r>
    </w:p>
    <w:p w14:paraId="5E9C6FC1" w14:textId="77777777" w:rsidR="00C20F3C" w:rsidRPr="007224C3" w:rsidRDefault="00C20F3C" w:rsidP="007224C3">
      <w:pPr>
        <w:tabs>
          <w:tab w:val="left" w:pos="1105"/>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2й экземпляр - 15апреля 1</w:t>
      </w:r>
      <w:r w:rsidRPr="007224C3">
        <w:rPr>
          <w:rStyle w:val="0pt"/>
          <w:rFonts w:ascii="Times New Roman" w:hAnsi="Times New Roman" w:cs="Times New Roman"/>
          <w:color w:val="000000" w:themeColor="text1"/>
          <w:spacing w:val="0"/>
          <w:sz w:val="16"/>
          <w:szCs w:val="16"/>
        </w:rPr>
        <w:t>945</w:t>
      </w:r>
      <w:r w:rsidRPr="007224C3">
        <w:rPr>
          <w:rFonts w:ascii="Times New Roman" w:hAnsi="Times New Roman"/>
          <w:color w:val="000000" w:themeColor="text1"/>
          <w:sz w:val="16"/>
          <w:szCs w:val="16"/>
        </w:rPr>
        <w:t xml:space="preserve"> года</w:t>
      </w:r>
    </w:p>
    <w:p w14:paraId="32781C66"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В обеспечение выполнения указанных работ обя</w:t>
      </w:r>
      <w:r w:rsidRPr="007224C3">
        <w:rPr>
          <w:rFonts w:ascii="Times New Roman" w:hAnsi="Times New Roman"/>
          <w:color w:val="000000" w:themeColor="text1"/>
          <w:sz w:val="16"/>
          <w:szCs w:val="16"/>
        </w:rPr>
        <w:softHyphen/>
        <w:t>зать директора завода № 16 т.Лукина и конструктора Глушко:</w:t>
      </w:r>
    </w:p>
    <w:p w14:paraId="44E6545D" w14:textId="77777777" w:rsidR="00C20F3C" w:rsidRPr="007224C3" w:rsidRDefault="00C20F3C" w:rsidP="007224C3">
      <w:pPr>
        <w:tabs>
          <w:tab w:val="left" w:pos="393"/>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а) поставить заводу № </w:t>
      </w:r>
      <w:r w:rsidRPr="007224C3">
        <w:rPr>
          <w:rStyle w:val="0pt"/>
          <w:rFonts w:ascii="Times New Roman" w:hAnsi="Times New Roman" w:cs="Times New Roman"/>
          <w:color w:val="000000" w:themeColor="text1"/>
          <w:spacing w:val="0"/>
          <w:sz w:val="16"/>
          <w:szCs w:val="16"/>
        </w:rPr>
        <w:t>115</w:t>
      </w:r>
      <w:r w:rsidRPr="007224C3">
        <w:rPr>
          <w:rFonts w:ascii="Times New Roman" w:hAnsi="Times New Roman"/>
          <w:color w:val="000000" w:themeColor="text1"/>
          <w:sz w:val="16"/>
          <w:szCs w:val="16"/>
        </w:rPr>
        <w:t xml:space="preserve"> однокамерный двигатель с агрегатами в количестве 3-х экземпляров, из них:</w:t>
      </w:r>
    </w:p>
    <w:p w14:paraId="533F4F6C"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2 экземпляра 1 июня </w:t>
      </w:r>
      <w:r w:rsidRPr="007224C3">
        <w:rPr>
          <w:rStyle w:val="0pt"/>
          <w:rFonts w:ascii="Times New Roman" w:hAnsi="Times New Roman" w:cs="Times New Roman"/>
          <w:color w:val="000000" w:themeColor="text1"/>
          <w:spacing w:val="0"/>
          <w:sz w:val="16"/>
          <w:szCs w:val="16"/>
        </w:rPr>
        <w:t>1944</w:t>
      </w:r>
      <w:r w:rsidRPr="007224C3">
        <w:rPr>
          <w:rFonts w:ascii="Times New Roman" w:hAnsi="Times New Roman"/>
          <w:color w:val="000000" w:themeColor="text1"/>
          <w:sz w:val="16"/>
          <w:szCs w:val="16"/>
        </w:rPr>
        <w:t xml:space="preserve"> года</w:t>
      </w:r>
    </w:p>
    <w:p w14:paraId="3ED6C1B2"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1 экземпляр 20 июня </w:t>
      </w:r>
      <w:r w:rsidRPr="007224C3">
        <w:rPr>
          <w:rStyle w:val="0pt"/>
          <w:rFonts w:ascii="Times New Roman" w:hAnsi="Times New Roman" w:cs="Times New Roman"/>
          <w:color w:val="000000" w:themeColor="text1"/>
          <w:spacing w:val="0"/>
          <w:sz w:val="16"/>
          <w:szCs w:val="16"/>
        </w:rPr>
        <w:t>1944</w:t>
      </w:r>
      <w:r w:rsidRPr="007224C3">
        <w:rPr>
          <w:rStyle w:val="16"/>
          <w:rFonts w:ascii="Times New Roman" w:hAnsi="Times New Roman" w:cs="Times New Roman"/>
          <w:color w:val="000000" w:themeColor="text1"/>
          <w:spacing w:val="0"/>
          <w:u w:val="none"/>
        </w:rPr>
        <w:t xml:space="preserve"> года.;</w:t>
      </w:r>
    </w:p>
    <w:p w14:paraId="4FD18CE0"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б) поставить заводу № </w:t>
      </w:r>
      <w:r w:rsidRPr="007224C3">
        <w:rPr>
          <w:rStyle w:val="0pt"/>
          <w:rFonts w:ascii="Times New Roman" w:hAnsi="Times New Roman" w:cs="Times New Roman"/>
          <w:color w:val="000000" w:themeColor="text1"/>
          <w:spacing w:val="0"/>
          <w:sz w:val="16"/>
          <w:szCs w:val="16"/>
        </w:rPr>
        <w:t>115</w:t>
      </w:r>
      <w:r w:rsidRPr="007224C3">
        <w:rPr>
          <w:rFonts w:ascii="Times New Roman" w:hAnsi="Times New Roman"/>
          <w:color w:val="000000" w:themeColor="text1"/>
          <w:sz w:val="16"/>
          <w:szCs w:val="16"/>
        </w:rPr>
        <w:t xml:space="preserve"> трехкамерный двигатель РД-1 с автономным питанием с агрегатами в количестве трех экземпляров со следующими данными:</w:t>
      </w:r>
    </w:p>
    <w:p w14:paraId="35164498" w14:textId="77777777" w:rsidR="00C20F3C" w:rsidRPr="007224C3" w:rsidRDefault="00C20F3C" w:rsidP="007224C3">
      <w:pPr>
        <w:tabs>
          <w:tab w:val="left" w:pos="3662"/>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 тяга - 900 клгр,</w:t>
      </w:r>
    </w:p>
    <w:p w14:paraId="32523F2E" w14:textId="77777777" w:rsidR="00C20F3C" w:rsidRPr="007224C3" w:rsidRDefault="00C20F3C" w:rsidP="007224C3">
      <w:pPr>
        <w:tabs>
          <w:tab w:val="left" w:pos="3681"/>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минимальная тяга - 100</w:t>
      </w:r>
    </w:p>
    <w:p w14:paraId="184E97E3"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расход горючего на максимально скорости - 4,5 кг/сек.</w:t>
      </w:r>
    </w:p>
    <w:p w14:paraId="1A25A095"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расход горючего на минимальной тяге - 0,6 - -</w:t>
      </w:r>
    </w:p>
    <w:p w14:paraId="308E21B0"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Двигатель для летного самолета поставить в следую</w:t>
      </w:r>
      <w:r w:rsidRPr="007224C3">
        <w:rPr>
          <w:rFonts w:ascii="Times New Roman" w:hAnsi="Times New Roman"/>
          <w:color w:val="000000" w:themeColor="text1"/>
          <w:sz w:val="16"/>
          <w:szCs w:val="16"/>
        </w:rPr>
        <w:softHyphen/>
        <w:t>щие сроки:</w:t>
      </w:r>
    </w:p>
    <w:p w14:paraId="57AF2132"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экземпляр макетный - 15 ноября 1944 года 1 экземпляр летный - 1 февраля 1945 года</w:t>
      </w:r>
    </w:p>
    <w:p w14:paraId="74996735"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экземпляр летный - 1 марта 1945 года</w:t>
      </w:r>
    </w:p>
    <w:p w14:paraId="3C19599C"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отработать и изготовить три механических приво</w:t>
      </w:r>
      <w:r w:rsidRPr="007224C3">
        <w:rPr>
          <w:rFonts w:ascii="Times New Roman" w:hAnsi="Times New Roman"/>
          <w:color w:val="000000" w:themeColor="text1"/>
          <w:sz w:val="16"/>
          <w:szCs w:val="16"/>
        </w:rPr>
        <w:softHyphen/>
        <w:t>да к насосу двигателя РД-1 и передать заводу № 115 вме</w:t>
      </w:r>
      <w:r w:rsidRPr="007224C3">
        <w:rPr>
          <w:rFonts w:ascii="Times New Roman" w:hAnsi="Times New Roman"/>
          <w:color w:val="000000" w:themeColor="text1"/>
          <w:sz w:val="16"/>
          <w:szCs w:val="16"/>
        </w:rPr>
        <w:softHyphen/>
        <w:t>сте с двигателями.</w:t>
      </w:r>
    </w:p>
    <w:p w14:paraId="338F8B2B" w14:textId="77777777" w:rsidR="00C20F3C" w:rsidRPr="007224C3" w:rsidRDefault="00C20F3C" w:rsidP="007224C3">
      <w:pPr>
        <w:tabs>
          <w:tab w:val="left" w:pos="852"/>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Начальнику ЦАГИ т.Шишкину разработать рекоменда</w:t>
      </w:r>
      <w:r w:rsidRPr="007224C3">
        <w:rPr>
          <w:rFonts w:ascii="Times New Roman" w:hAnsi="Times New Roman"/>
          <w:color w:val="000000" w:themeColor="text1"/>
          <w:sz w:val="16"/>
          <w:szCs w:val="16"/>
        </w:rPr>
        <w:softHyphen/>
        <w:t>ции по прочности, флаттеру и аэродинамике реактивных самолетов, на основе продувок моделей в аэродинамиче</w:t>
      </w:r>
      <w:r w:rsidRPr="007224C3">
        <w:rPr>
          <w:rFonts w:ascii="Times New Roman" w:hAnsi="Times New Roman"/>
          <w:color w:val="000000" w:themeColor="text1"/>
          <w:sz w:val="16"/>
          <w:szCs w:val="16"/>
        </w:rPr>
        <w:softHyphen/>
        <w:t>ской трубе.</w:t>
      </w:r>
    </w:p>
    <w:p w14:paraId="24DAADC4" w14:textId="77777777" w:rsidR="00C20F3C" w:rsidRPr="007224C3" w:rsidRDefault="00C20F3C" w:rsidP="007224C3">
      <w:pPr>
        <w:tabs>
          <w:tab w:val="left" w:pos="852"/>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Наркоману СССР - т.Звереву выделить НКАП из резервного фонда СНК СССР:</w:t>
      </w:r>
    </w:p>
    <w:p w14:paraId="7448F411" w14:textId="77777777" w:rsidR="00C20F3C" w:rsidRPr="007224C3" w:rsidRDefault="00C20F3C" w:rsidP="007224C3">
      <w:pPr>
        <w:tabs>
          <w:tab w:val="left" w:pos="852"/>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3 миллиона рублей</w:t>
      </w:r>
      <w:r w:rsidRPr="007224C3">
        <w:rPr>
          <w:rStyle w:val="PalatinoLinotype8pt0pt"/>
          <w:rFonts w:ascii="Times New Roman" w:hAnsi="Times New Roman" w:cs="Times New Roman"/>
          <w:color w:val="000000" w:themeColor="text1"/>
        </w:rPr>
        <w:t xml:space="preserve"> на модификацию</w:t>
      </w:r>
      <w:r w:rsidRPr="007224C3">
        <w:rPr>
          <w:rFonts w:ascii="Times New Roman" w:hAnsi="Times New Roman"/>
          <w:color w:val="000000" w:themeColor="text1"/>
          <w:sz w:val="16"/>
          <w:szCs w:val="16"/>
        </w:rPr>
        <w:t xml:space="preserve"> самолета</w:t>
      </w:r>
      <w:r w:rsidRPr="007224C3">
        <w:rPr>
          <w:rStyle w:val="PalatinoLinotype8pt0pt"/>
          <w:rFonts w:ascii="Times New Roman" w:hAnsi="Times New Roman" w:cs="Times New Roman"/>
          <w:color w:val="000000" w:themeColor="text1"/>
        </w:rPr>
        <w:t xml:space="preserve"> Я</w:t>
      </w:r>
      <w:r w:rsidRPr="007224C3">
        <w:rPr>
          <w:rStyle w:val="PalatinoLinotype8pt0pt"/>
          <w:rFonts w:ascii="Times New Roman" w:hAnsi="Times New Roman" w:cs="Times New Roman"/>
          <w:color w:val="000000" w:themeColor="text1"/>
          <w:lang w:val="en-US"/>
        </w:rPr>
        <w:t>K</w:t>
      </w:r>
      <w:r w:rsidRPr="007224C3">
        <w:rPr>
          <w:rFonts w:ascii="Times New Roman" w:hAnsi="Times New Roman"/>
          <w:color w:val="000000" w:themeColor="text1"/>
          <w:sz w:val="16"/>
          <w:szCs w:val="16"/>
        </w:rPr>
        <w:t>-9 под одндкамерный двигатель РД-1 и 6 миллионов рублей</w:t>
      </w:r>
      <w:r w:rsidRPr="007224C3">
        <w:rPr>
          <w:rStyle w:val="PalatinoLinotype8pt0pt"/>
          <w:rFonts w:ascii="Times New Roman" w:hAnsi="Times New Roman" w:cs="Times New Roman"/>
          <w:color w:val="000000" w:themeColor="text1"/>
        </w:rPr>
        <w:t xml:space="preserve"> на </w:t>
      </w:r>
      <w:r w:rsidRPr="007224C3">
        <w:rPr>
          <w:rFonts w:ascii="Times New Roman" w:hAnsi="Times New Roman"/>
          <w:color w:val="000000" w:themeColor="text1"/>
          <w:sz w:val="16"/>
          <w:szCs w:val="16"/>
        </w:rPr>
        <w:t>реактивный самолет с трехкамерным двигателем;</w:t>
      </w:r>
    </w:p>
    <w:p w14:paraId="2DC83566" w14:textId="77777777" w:rsidR="00C20F3C" w:rsidRPr="007224C3" w:rsidRDefault="00C20F3C" w:rsidP="007224C3">
      <w:pPr>
        <w:tabs>
          <w:tab w:val="left" w:pos="865"/>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в распоряжение главного конструктора т.Яковлева А.С, на премирование конструкторов и рабочих завода, работников научных институтов и заводов-смежников:</w:t>
      </w:r>
    </w:p>
    <w:p w14:paraId="74B56264"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модификации самолета Як-9 под однокамерный двигатель РД-1 - 500 тыс.руб.</w:t>
      </w:r>
    </w:p>
    <w:p w14:paraId="6D8C9C73" w14:textId="77777777" w:rsidR="00C20F3C" w:rsidRPr="007224C3" w:rsidRDefault="00C20F3C" w:rsidP="007224C3">
      <w:pPr>
        <w:tabs>
          <w:tab w:val="left" w:pos="3878"/>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реактивному самолету с трех</w:t>
      </w:r>
      <w:r w:rsidRPr="007224C3">
        <w:rPr>
          <w:rFonts w:ascii="Times New Roman" w:hAnsi="Times New Roman"/>
          <w:color w:val="000000" w:themeColor="text1"/>
          <w:sz w:val="16"/>
          <w:szCs w:val="16"/>
        </w:rPr>
        <w:softHyphen/>
        <w:t>камерным двигателем РД-1</w:t>
      </w:r>
      <w:r w:rsidRPr="007224C3">
        <w:rPr>
          <w:rFonts w:ascii="Times New Roman" w:hAnsi="Times New Roman"/>
          <w:color w:val="000000" w:themeColor="text1"/>
          <w:sz w:val="16"/>
          <w:szCs w:val="16"/>
        </w:rPr>
        <w:tab/>
        <w:t>- 1 миллион рублей</w:t>
      </w:r>
    </w:p>
    <w:p w14:paraId="465AC703"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Предоставить право главному конструктору расхо</w:t>
      </w:r>
      <w:r w:rsidRPr="007224C3">
        <w:rPr>
          <w:rFonts w:ascii="Times New Roman" w:hAnsi="Times New Roman"/>
          <w:color w:val="000000" w:themeColor="text1"/>
          <w:sz w:val="16"/>
          <w:szCs w:val="16"/>
        </w:rPr>
        <w:softHyphen/>
        <w:t>довать 50% указанных премиальных сумм в процессе выпол</w:t>
      </w:r>
      <w:r w:rsidRPr="007224C3">
        <w:rPr>
          <w:rFonts w:ascii="Times New Roman" w:hAnsi="Times New Roman"/>
          <w:color w:val="000000" w:themeColor="text1"/>
          <w:sz w:val="16"/>
          <w:szCs w:val="16"/>
        </w:rPr>
        <w:softHyphen/>
        <w:t xml:space="preserve">нения заданий настоящего постановления и остальные </w:t>
      </w:r>
      <w:r w:rsidRPr="007224C3">
        <w:rPr>
          <w:rStyle w:val="16"/>
          <w:rFonts w:ascii="Times New Roman" w:hAnsi="Times New Roman" w:cs="Times New Roman"/>
          <w:color w:val="000000" w:themeColor="text1"/>
          <w:spacing w:val="0"/>
          <w:u w:val="none"/>
        </w:rPr>
        <w:t xml:space="preserve">50% </w:t>
      </w:r>
      <w:r w:rsidRPr="007224C3">
        <w:rPr>
          <w:rFonts w:ascii="Times New Roman" w:hAnsi="Times New Roman"/>
          <w:color w:val="000000" w:themeColor="text1"/>
          <w:sz w:val="16"/>
          <w:szCs w:val="16"/>
        </w:rPr>
        <w:t>по выполнении этих заданий.</w:t>
      </w:r>
    </w:p>
    <w:p w14:paraId="239192D6"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Установить премию главному конструктору т.Яков</w:t>
      </w:r>
      <w:r w:rsidRPr="007224C3">
        <w:rPr>
          <w:rFonts w:ascii="Times New Roman" w:hAnsi="Times New Roman"/>
          <w:color w:val="000000" w:themeColor="text1"/>
          <w:sz w:val="16"/>
          <w:szCs w:val="16"/>
        </w:rPr>
        <w:softHyphen/>
        <w:t>леву А.С. из указанного премиального фонда за выполнение в срок заданий по настоящему постановлению:</w:t>
      </w:r>
    </w:p>
    <w:p w14:paraId="22BADFEE" w14:textId="77777777" w:rsidR="00C20F3C" w:rsidRPr="007224C3" w:rsidRDefault="00C20F3C" w:rsidP="007224C3">
      <w:pPr>
        <w:tabs>
          <w:tab w:val="left" w:pos="3506"/>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выполнение первого задания - 75 тыс.рублей и второго задания</w:t>
      </w:r>
      <w:r w:rsidRPr="007224C3">
        <w:rPr>
          <w:rFonts w:ascii="Times New Roman" w:hAnsi="Times New Roman"/>
          <w:color w:val="000000" w:themeColor="text1"/>
          <w:sz w:val="16"/>
          <w:szCs w:val="16"/>
        </w:rPr>
        <w:tab/>
        <w:t>- 150 тыс. рублей,</w:t>
      </w:r>
    </w:p>
    <w:p w14:paraId="762D6C2C"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П.С</w:t>
      </w:r>
      <w:r w:rsidRPr="007224C3">
        <w:rPr>
          <w:rStyle w:val="16"/>
          <w:rFonts w:ascii="Times New Roman" w:hAnsi="Times New Roman" w:cs="Times New Roman"/>
          <w:color w:val="000000" w:themeColor="text1"/>
          <w:spacing w:val="0"/>
          <w:u w:val="none"/>
        </w:rPr>
        <w:t>амолеты главного конструктора т.Лавочкина С.А.</w:t>
      </w:r>
    </w:p>
    <w:p w14:paraId="479BD576"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Главному конструктору т.Лавочкину С.А. спроектировать и построить:</w:t>
      </w:r>
    </w:p>
    <w:p w14:paraId="4058E4E9" w14:textId="77777777" w:rsidR="00C20F3C" w:rsidRPr="007224C3" w:rsidRDefault="00C20F3C" w:rsidP="007224C3">
      <w:pPr>
        <w:tabs>
          <w:tab w:val="left" w:pos="796"/>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модификацию серийного самолета Ла-5 с моторок АШ-82ФН или М-83 с дополнительным однокамерным реактив</w:t>
      </w:r>
      <w:r w:rsidRPr="007224C3">
        <w:rPr>
          <w:rFonts w:ascii="Times New Roman" w:hAnsi="Times New Roman"/>
          <w:color w:val="000000" w:themeColor="text1"/>
          <w:sz w:val="16"/>
          <w:szCs w:val="16"/>
        </w:rPr>
        <w:softHyphen/>
        <w:t>ным двигателем РД-1 конструкции Глушко со следующими летно-техническими данными:</w:t>
      </w:r>
    </w:p>
    <w:p w14:paraId="2D529EB4"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 скорость с включе</w:t>
      </w:r>
      <w:r w:rsidRPr="007224C3">
        <w:rPr>
          <w:rFonts w:ascii="Times New Roman" w:hAnsi="Times New Roman"/>
          <w:color w:val="000000" w:themeColor="text1"/>
          <w:sz w:val="16"/>
          <w:szCs w:val="16"/>
        </w:rPr>
        <w:softHyphen/>
        <w:t>нием РД-1 на высоте 7000 мтр. 780 км/час</w:t>
      </w:r>
    </w:p>
    <w:p w14:paraId="559F33FC"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продолжительность действия РД-1 - </w:t>
      </w:r>
      <w:r w:rsidRPr="007224C3">
        <w:rPr>
          <w:rStyle w:val="16"/>
          <w:rFonts w:ascii="Times New Roman" w:hAnsi="Times New Roman" w:cs="Times New Roman"/>
          <w:color w:val="000000" w:themeColor="text1"/>
          <w:spacing w:val="0"/>
          <w:u w:val="none"/>
        </w:rPr>
        <w:t>3</w:t>
      </w:r>
      <w:r w:rsidRPr="007224C3">
        <w:rPr>
          <w:rFonts w:ascii="Times New Roman" w:hAnsi="Times New Roman"/>
          <w:color w:val="000000" w:themeColor="text1"/>
          <w:sz w:val="16"/>
          <w:szCs w:val="16"/>
        </w:rPr>
        <w:t xml:space="preserve"> минуты</w:t>
      </w:r>
    </w:p>
    <w:p w14:paraId="579A2728" w14:textId="77777777" w:rsidR="00C20F3C" w:rsidRPr="007224C3" w:rsidRDefault="00C20F3C" w:rsidP="007224C3">
      <w:pPr>
        <w:tabs>
          <w:tab w:val="left" w:pos="4577"/>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время набора высоты 5000 мтр. с включением РД-1 - 3 минуты</w:t>
      </w:r>
    </w:p>
    <w:p w14:paraId="4FDD16DA"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дальность на режиме-350 клм. в час без включения РД-1 - 500 клм»</w:t>
      </w:r>
    </w:p>
    <w:p w14:paraId="6FC2838E"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Вооружение то же, что и у серийного самолета Ла-5,</w:t>
      </w:r>
    </w:p>
    <w:p w14:paraId="143DE10A"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построить в 3-х экземплярах и пред"явить на летные испытания:</w:t>
      </w:r>
    </w:p>
    <w:p w14:paraId="24EEF940" w14:textId="77777777" w:rsidR="00C20F3C" w:rsidRPr="007224C3" w:rsidRDefault="00C20F3C" w:rsidP="007224C3">
      <w:pPr>
        <w:tabs>
          <w:tab w:val="left" w:pos="902"/>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1й экземпляр - сентябрь 1944 года</w:t>
      </w:r>
    </w:p>
    <w:p w14:paraId="7EDCE410" w14:textId="77777777" w:rsidR="00C20F3C" w:rsidRPr="007224C3" w:rsidRDefault="00C20F3C" w:rsidP="007224C3">
      <w:pPr>
        <w:tabs>
          <w:tab w:val="left" w:pos="914"/>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2й экземпляр - октябрь 1944 года</w:t>
      </w:r>
    </w:p>
    <w:p w14:paraId="7B263584" w14:textId="77777777" w:rsidR="00C20F3C" w:rsidRPr="007224C3" w:rsidRDefault="00C20F3C" w:rsidP="007224C3">
      <w:pPr>
        <w:tabs>
          <w:tab w:val="left" w:pos="921"/>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3й экземпляр - январь 1945 года;'</w:t>
      </w:r>
    </w:p>
    <w:p w14:paraId="03E004F7" w14:textId="77777777" w:rsidR="00C20F3C" w:rsidRPr="007224C3" w:rsidRDefault="00C20F3C" w:rsidP="007224C3">
      <w:pPr>
        <w:tabs>
          <w:tab w:val="left" w:pos="796"/>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экспериментальный реактивный истребитель с дви</w:t>
      </w:r>
      <w:r w:rsidRPr="007224C3">
        <w:rPr>
          <w:rFonts w:ascii="Times New Roman" w:hAnsi="Times New Roman"/>
          <w:color w:val="000000" w:themeColor="text1"/>
          <w:sz w:val="16"/>
          <w:szCs w:val="16"/>
        </w:rPr>
        <w:softHyphen/>
        <w:t>гателем конструкции т. Люлька, со следующей летными дан</w:t>
      </w:r>
      <w:r w:rsidRPr="007224C3">
        <w:rPr>
          <w:rFonts w:ascii="Times New Roman" w:hAnsi="Times New Roman"/>
          <w:color w:val="000000" w:themeColor="text1"/>
          <w:sz w:val="16"/>
          <w:szCs w:val="16"/>
        </w:rPr>
        <w:softHyphen/>
        <w:t>ными:</w:t>
      </w:r>
    </w:p>
    <w:p w14:paraId="442B1C85"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 скорость на высоте 5000 мтр.</w:t>
      </w:r>
      <w:r w:rsidRPr="007224C3">
        <w:rPr>
          <w:rFonts w:ascii="Times New Roman" w:hAnsi="Times New Roman"/>
          <w:color w:val="000000" w:themeColor="text1"/>
          <w:sz w:val="16"/>
          <w:szCs w:val="16"/>
        </w:rPr>
        <w:tab/>
        <w:t>800 км. в час</w:t>
      </w:r>
    </w:p>
    <w:p w14:paraId="44F1FB46"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время набора высоты 5000 мтр. - 2,5 мин,</w:t>
      </w:r>
    </w:p>
    <w:p w14:paraId="124187EC" w14:textId="77777777" w:rsidR="00C20F3C" w:rsidRPr="007224C3" w:rsidRDefault="00C20F3C" w:rsidP="007224C3">
      <w:pPr>
        <w:tabs>
          <w:tab w:val="left" w:pos="3707"/>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практический потолок - 15000 метров</w:t>
      </w:r>
    </w:p>
    <w:p w14:paraId="770813E4" w14:textId="77777777" w:rsidR="00C20F3C" w:rsidRPr="007224C3" w:rsidRDefault="00C20F3C" w:rsidP="007224C3">
      <w:pPr>
        <w:tabs>
          <w:tab w:val="left" w:pos="4001"/>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продолжительность полета на режиме 0,8 максимальной ско</w:t>
      </w:r>
      <w:r w:rsidRPr="007224C3">
        <w:rPr>
          <w:rFonts w:ascii="Times New Roman" w:hAnsi="Times New Roman"/>
          <w:color w:val="000000" w:themeColor="text1"/>
          <w:sz w:val="16"/>
          <w:szCs w:val="16"/>
        </w:rPr>
        <w:softHyphen/>
        <w:t>рости на выооте 8000 мтр - 20 мин.</w:t>
      </w:r>
    </w:p>
    <w:p w14:paraId="0BF003A6"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самолете предусмотреть установку трех пушек, из них:</w:t>
      </w:r>
    </w:p>
    <w:p w14:paraId="11C8A77D" w14:textId="77777777" w:rsidR="00C20F3C" w:rsidRPr="007224C3" w:rsidRDefault="00C20F3C" w:rsidP="007224C3">
      <w:pPr>
        <w:tabs>
          <w:tab w:val="left" w:pos="682"/>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пушка калибра 23</w:t>
      </w:r>
      <w:r w:rsidRPr="007224C3">
        <w:rPr>
          <w:rStyle w:val="-1pt"/>
          <w:rFonts w:ascii="Times New Roman" w:hAnsi="Times New Roman" w:cs="Times New Roman"/>
          <w:color w:val="000000" w:themeColor="text1"/>
          <w:spacing w:val="0"/>
          <w:sz w:val="16"/>
          <w:szCs w:val="16"/>
        </w:rPr>
        <w:t xml:space="preserve"> мм</w:t>
      </w:r>
    </w:p>
    <w:p w14:paraId="59CE1204" w14:textId="77777777" w:rsidR="00C20F3C" w:rsidRPr="007224C3" w:rsidRDefault="00C20F3C" w:rsidP="007224C3">
      <w:pPr>
        <w:tabs>
          <w:tab w:val="left" w:pos="694"/>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пушки калибра 20 мм</w:t>
      </w:r>
    </w:p>
    <w:p w14:paraId="519618B7"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с общим боезапасов - </w:t>
      </w:r>
      <w:r w:rsidRPr="007224C3">
        <w:rPr>
          <w:rStyle w:val="16"/>
          <w:rFonts w:ascii="Times New Roman" w:hAnsi="Times New Roman" w:cs="Times New Roman"/>
          <w:color w:val="000000" w:themeColor="text1"/>
          <w:spacing w:val="0"/>
          <w:u w:val="none"/>
        </w:rPr>
        <w:t>400</w:t>
      </w:r>
      <w:r w:rsidRPr="007224C3">
        <w:rPr>
          <w:rFonts w:ascii="Times New Roman" w:hAnsi="Times New Roman"/>
          <w:color w:val="000000" w:themeColor="text1"/>
          <w:sz w:val="16"/>
          <w:szCs w:val="16"/>
        </w:rPr>
        <w:t xml:space="preserve"> снарядов.</w:t>
      </w:r>
    </w:p>
    <w:p w14:paraId="063F0897"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Самолет построить в двух экземплярах и пред"явить первый экземпляр на летные испытания в марте </w:t>
      </w:r>
      <w:r w:rsidRPr="007224C3">
        <w:rPr>
          <w:rStyle w:val="16"/>
          <w:rFonts w:ascii="Times New Roman" w:hAnsi="Times New Roman" w:cs="Times New Roman"/>
          <w:color w:val="000000" w:themeColor="text1"/>
          <w:spacing w:val="0"/>
          <w:u w:val="none"/>
        </w:rPr>
        <w:t>1946</w:t>
      </w:r>
      <w:r w:rsidRPr="007224C3">
        <w:rPr>
          <w:rFonts w:ascii="Times New Roman" w:hAnsi="Times New Roman"/>
          <w:color w:val="000000" w:themeColor="text1"/>
          <w:sz w:val="16"/>
          <w:szCs w:val="16"/>
        </w:rPr>
        <w:t xml:space="preserve"> года.</w:t>
      </w:r>
    </w:p>
    <w:p w14:paraId="3B392FBE"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В обеспечение выполнения указанных работ обя</w:t>
      </w:r>
      <w:r w:rsidRPr="007224C3">
        <w:rPr>
          <w:rFonts w:ascii="Times New Roman" w:hAnsi="Times New Roman"/>
          <w:color w:val="000000" w:themeColor="text1"/>
          <w:sz w:val="16"/>
          <w:szCs w:val="16"/>
        </w:rPr>
        <w:softHyphen/>
        <w:t>зать:</w:t>
      </w:r>
    </w:p>
    <w:p w14:paraId="1BE97048"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начальника НИИ-1 т.Федорова к главного конструк</w:t>
      </w:r>
      <w:r w:rsidRPr="007224C3">
        <w:rPr>
          <w:rFonts w:ascii="Times New Roman" w:hAnsi="Times New Roman"/>
          <w:color w:val="000000" w:themeColor="text1"/>
          <w:sz w:val="16"/>
          <w:szCs w:val="16"/>
        </w:rPr>
        <w:softHyphen/>
        <w:t>тора т.Люлька поставить ОКБ т.Лавочкина двигатель конст</w:t>
      </w:r>
      <w:r w:rsidRPr="007224C3">
        <w:rPr>
          <w:rFonts w:ascii="Times New Roman" w:hAnsi="Times New Roman"/>
          <w:color w:val="000000" w:themeColor="text1"/>
          <w:sz w:val="16"/>
          <w:szCs w:val="16"/>
        </w:rPr>
        <w:softHyphen/>
        <w:t>рукции т.Люлька со следующими данными:</w:t>
      </w:r>
    </w:p>
    <w:p w14:paraId="65852EFB" w14:textId="77777777" w:rsidR="00C20F3C" w:rsidRPr="007224C3" w:rsidRDefault="00C20F3C" w:rsidP="007224C3">
      <w:pPr>
        <w:tabs>
          <w:tab w:val="left" w:pos="4169"/>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тяга, развиваемая у земли - </w:t>
      </w:r>
      <w:r w:rsidRPr="007224C3">
        <w:rPr>
          <w:rStyle w:val="16"/>
          <w:rFonts w:ascii="Times New Roman" w:hAnsi="Times New Roman" w:cs="Times New Roman"/>
          <w:color w:val="000000" w:themeColor="text1"/>
          <w:spacing w:val="0"/>
          <w:u w:val="none"/>
        </w:rPr>
        <w:t>1250</w:t>
      </w:r>
      <w:r w:rsidRPr="007224C3">
        <w:rPr>
          <w:rFonts w:ascii="Times New Roman" w:hAnsi="Times New Roman"/>
          <w:color w:val="000000" w:themeColor="text1"/>
          <w:sz w:val="16"/>
          <w:szCs w:val="16"/>
        </w:rPr>
        <w:t xml:space="preserve"> кг.</w:t>
      </w:r>
    </w:p>
    <w:p w14:paraId="41682F32"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тяга, развиваемая на высоте </w:t>
      </w:r>
      <w:r w:rsidRPr="007224C3">
        <w:rPr>
          <w:rStyle w:val="16"/>
          <w:rFonts w:ascii="Times New Roman" w:hAnsi="Times New Roman" w:cs="Times New Roman"/>
          <w:color w:val="000000" w:themeColor="text1"/>
          <w:spacing w:val="0"/>
          <w:u w:val="none"/>
        </w:rPr>
        <w:t>10000</w:t>
      </w:r>
      <w:r w:rsidRPr="007224C3">
        <w:rPr>
          <w:rFonts w:ascii="Times New Roman" w:hAnsi="Times New Roman"/>
          <w:color w:val="000000" w:themeColor="text1"/>
          <w:sz w:val="16"/>
          <w:szCs w:val="16"/>
        </w:rPr>
        <w:t xml:space="preserve"> мтр. - 650</w:t>
      </w:r>
    </w:p>
    <w:p w14:paraId="54E76D1A"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удельная тяга у земли на 1 кг топлива в секунду - 1500</w:t>
      </w:r>
    </w:p>
    <w:p w14:paraId="4D51536A"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 двигателя - 900</w:t>
      </w:r>
    </w:p>
    <w:p w14:paraId="43F9E299"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диаметр двигателя - 900</w:t>
      </w:r>
    </w:p>
    <w:p w14:paraId="6476E04C"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длина двигателя - 2200</w:t>
      </w:r>
    </w:p>
    <w:p w14:paraId="3F879FD9"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Двигатель для летного самолета о перечисленными дан</w:t>
      </w:r>
      <w:r w:rsidRPr="007224C3">
        <w:rPr>
          <w:rFonts w:ascii="Times New Roman" w:hAnsi="Times New Roman"/>
          <w:color w:val="000000" w:themeColor="text1"/>
          <w:sz w:val="16"/>
          <w:szCs w:val="16"/>
        </w:rPr>
        <w:softHyphen/>
        <w:t>ными передать т.Лавочкину:</w:t>
      </w:r>
    </w:p>
    <w:p w14:paraId="510C124F"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1 макетный экземпляр к 15 января </w:t>
      </w:r>
      <w:r w:rsidRPr="007224C3">
        <w:rPr>
          <w:rStyle w:val="16"/>
          <w:rFonts w:ascii="Times New Roman" w:hAnsi="Times New Roman" w:cs="Times New Roman"/>
          <w:color w:val="000000" w:themeColor="text1"/>
          <w:spacing w:val="0"/>
          <w:u w:val="none"/>
        </w:rPr>
        <w:t>1945</w:t>
      </w:r>
      <w:r w:rsidRPr="007224C3">
        <w:rPr>
          <w:rFonts w:ascii="Times New Roman" w:hAnsi="Times New Roman"/>
          <w:color w:val="000000" w:themeColor="text1"/>
          <w:sz w:val="16"/>
          <w:szCs w:val="16"/>
        </w:rPr>
        <w:t xml:space="preserve"> года</w:t>
      </w:r>
    </w:p>
    <w:p w14:paraId="57274FAB" w14:textId="77777777" w:rsidR="00C20F3C" w:rsidRPr="007224C3" w:rsidRDefault="00C20F3C" w:rsidP="007224C3">
      <w:pPr>
        <w:tabs>
          <w:tab w:val="left" w:pos="688"/>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1 работающий экземпляр к 1 коября </w:t>
      </w:r>
      <w:r w:rsidRPr="007224C3">
        <w:rPr>
          <w:rStyle w:val="16"/>
          <w:rFonts w:ascii="Times New Roman" w:hAnsi="Times New Roman" w:cs="Times New Roman"/>
          <w:color w:val="000000" w:themeColor="text1"/>
          <w:spacing w:val="0"/>
          <w:u w:val="none"/>
        </w:rPr>
        <w:t>1945</w:t>
      </w:r>
      <w:r w:rsidRPr="007224C3">
        <w:rPr>
          <w:rFonts w:ascii="Times New Roman" w:hAnsi="Times New Roman"/>
          <w:color w:val="000000" w:themeColor="text1"/>
          <w:sz w:val="16"/>
          <w:szCs w:val="16"/>
        </w:rPr>
        <w:t xml:space="preserve"> года</w:t>
      </w:r>
    </w:p>
    <w:p w14:paraId="1A282D56" w14:textId="77777777" w:rsidR="00C20F3C" w:rsidRPr="007224C3" w:rsidRDefault="00C20F3C" w:rsidP="007224C3">
      <w:pPr>
        <w:tabs>
          <w:tab w:val="left" w:pos="688"/>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1 работающих экземпляра к 1 декабря </w:t>
      </w:r>
      <w:r w:rsidRPr="007224C3">
        <w:rPr>
          <w:rStyle w:val="16"/>
          <w:rFonts w:ascii="Times New Roman" w:hAnsi="Times New Roman" w:cs="Times New Roman"/>
          <w:color w:val="000000" w:themeColor="text1"/>
          <w:spacing w:val="0"/>
          <w:u w:val="none"/>
        </w:rPr>
        <w:t>1945</w:t>
      </w:r>
      <w:r w:rsidRPr="007224C3">
        <w:rPr>
          <w:rFonts w:ascii="Times New Roman" w:hAnsi="Times New Roman"/>
          <w:color w:val="000000" w:themeColor="text1"/>
          <w:sz w:val="16"/>
          <w:szCs w:val="16"/>
        </w:rPr>
        <w:t xml:space="preserve"> года;</w:t>
      </w:r>
    </w:p>
    <w:p w14:paraId="12600A65" w14:textId="77777777" w:rsidR="00C20F3C" w:rsidRPr="007224C3" w:rsidRDefault="00C20F3C" w:rsidP="007224C3">
      <w:pPr>
        <w:tabs>
          <w:tab w:val="left" w:pos="688"/>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б) директора завода № 16 т.Лукина и конструктора Глушко поставить ОКБ т.Лавочкина двигатель </w:t>
      </w:r>
      <w:r w:rsidRPr="007224C3">
        <w:rPr>
          <w:rStyle w:val="16"/>
          <w:rFonts w:ascii="Times New Roman" w:hAnsi="Times New Roman" w:cs="Times New Roman"/>
          <w:color w:val="000000" w:themeColor="text1"/>
          <w:spacing w:val="0"/>
          <w:u w:val="none"/>
        </w:rPr>
        <w:t>РД-1</w:t>
      </w:r>
      <w:r w:rsidRPr="007224C3">
        <w:rPr>
          <w:rFonts w:ascii="Times New Roman" w:hAnsi="Times New Roman"/>
          <w:color w:val="000000" w:themeColor="text1"/>
          <w:sz w:val="16"/>
          <w:szCs w:val="16"/>
        </w:rPr>
        <w:t xml:space="preserve"> с агре</w:t>
      </w:r>
      <w:r w:rsidRPr="007224C3">
        <w:rPr>
          <w:rFonts w:ascii="Times New Roman" w:hAnsi="Times New Roman"/>
          <w:color w:val="000000" w:themeColor="text1"/>
          <w:sz w:val="16"/>
          <w:szCs w:val="16"/>
        </w:rPr>
        <w:softHyphen/>
        <w:t>гатами в количестве 5 экземпляров, из них:</w:t>
      </w:r>
    </w:p>
    <w:p w14:paraId="097B897B" w14:textId="77777777" w:rsidR="00C20F3C" w:rsidRPr="007224C3" w:rsidRDefault="00C20F3C" w:rsidP="007224C3">
      <w:pPr>
        <w:tabs>
          <w:tab w:val="left" w:pos="700"/>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2 экземпляра - 5 июня </w:t>
      </w:r>
      <w:r w:rsidRPr="007224C3">
        <w:rPr>
          <w:rStyle w:val="16"/>
          <w:rFonts w:ascii="Times New Roman" w:hAnsi="Times New Roman" w:cs="Times New Roman"/>
          <w:color w:val="000000" w:themeColor="text1"/>
          <w:spacing w:val="0"/>
          <w:u w:val="none"/>
        </w:rPr>
        <w:t>1944</w:t>
      </w:r>
      <w:r w:rsidRPr="007224C3">
        <w:rPr>
          <w:rFonts w:ascii="Times New Roman" w:hAnsi="Times New Roman"/>
          <w:color w:val="000000" w:themeColor="text1"/>
          <w:sz w:val="16"/>
          <w:szCs w:val="16"/>
        </w:rPr>
        <w:t xml:space="preserve"> года</w:t>
      </w:r>
    </w:p>
    <w:p w14:paraId="6355DD6B" w14:textId="77777777" w:rsidR="00C20F3C" w:rsidRPr="007224C3" w:rsidRDefault="00C20F3C" w:rsidP="007224C3">
      <w:pPr>
        <w:tabs>
          <w:tab w:val="left" w:pos="707"/>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2 экземпляра - 20 июня </w:t>
      </w:r>
      <w:r w:rsidRPr="007224C3">
        <w:rPr>
          <w:rStyle w:val="16"/>
          <w:rFonts w:ascii="Times New Roman" w:hAnsi="Times New Roman" w:cs="Times New Roman"/>
          <w:color w:val="000000" w:themeColor="text1"/>
          <w:spacing w:val="0"/>
          <w:u w:val="none"/>
        </w:rPr>
        <w:t>1944</w:t>
      </w:r>
      <w:r w:rsidRPr="007224C3">
        <w:rPr>
          <w:rFonts w:ascii="Times New Roman" w:hAnsi="Times New Roman"/>
          <w:color w:val="000000" w:themeColor="text1"/>
          <w:sz w:val="16"/>
          <w:szCs w:val="16"/>
        </w:rPr>
        <w:t xml:space="preserve"> года.</w:t>
      </w:r>
    </w:p>
    <w:p w14:paraId="701C3260"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Главного конструктора т.Швецова - спроекти</w:t>
      </w:r>
      <w:r w:rsidRPr="007224C3">
        <w:rPr>
          <w:rFonts w:ascii="Times New Roman" w:hAnsi="Times New Roman"/>
          <w:color w:val="000000" w:themeColor="text1"/>
          <w:sz w:val="16"/>
          <w:szCs w:val="16"/>
        </w:rPr>
        <w:softHyphen/>
        <w:t>ровать и изготовить 5 комплектов механических, приво</w:t>
      </w:r>
      <w:r w:rsidRPr="007224C3">
        <w:rPr>
          <w:rFonts w:ascii="Times New Roman" w:hAnsi="Times New Roman"/>
          <w:color w:val="000000" w:themeColor="text1"/>
          <w:sz w:val="16"/>
          <w:szCs w:val="16"/>
        </w:rPr>
        <w:softHyphen/>
        <w:t>дов к насосу двигателя РД-1. Из них передать т.Лавоч</w:t>
      </w:r>
      <w:r w:rsidRPr="007224C3">
        <w:rPr>
          <w:rFonts w:ascii="Times New Roman" w:hAnsi="Times New Roman"/>
          <w:color w:val="000000" w:themeColor="text1"/>
          <w:sz w:val="16"/>
          <w:szCs w:val="16"/>
        </w:rPr>
        <w:softHyphen/>
        <w:t>кину:</w:t>
      </w:r>
    </w:p>
    <w:p w14:paraId="04C58B48" w14:textId="77777777" w:rsidR="00C20F3C" w:rsidRPr="007224C3" w:rsidRDefault="00C20F3C" w:rsidP="007224C3">
      <w:pPr>
        <w:tabs>
          <w:tab w:val="left" w:pos="1088"/>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комплекта - 1 июня 1944 г.</w:t>
      </w:r>
    </w:p>
    <w:p w14:paraId="297D0D1E" w14:textId="77777777" w:rsidR="00C20F3C" w:rsidRPr="007224C3" w:rsidRDefault="00C20F3C" w:rsidP="007224C3">
      <w:pPr>
        <w:tabs>
          <w:tab w:val="left" w:pos="1100"/>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комплекта - 15 июня 1944 г.</w:t>
      </w:r>
    </w:p>
    <w:p w14:paraId="3D6D0812"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Начальнику ЦАГИ т.Шишкину разработать рекомен</w:t>
      </w:r>
      <w:r w:rsidRPr="007224C3">
        <w:rPr>
          <w:rFonts w:ascii="Times New Roman" w:hAnsi="Times New Roman"/>
          <w:color w:val="000000" w:themeColor="text1"/>
          <w:sz w:val="16"/>
          <w:szCs w:val="16"/>
        </w:rPr>
        <w:softHyphen/>
        <w:t>дации по прочности, флаттеру и аэродинамике реактивных самолетов.</w:t>
      </w:r>
    </w:p>
    <w:p w14:paraId="1ADB8205"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Наркоману СССР - т.Звереву выделить НКАП .из резервного фонда СНК СССР:</w:t>
      </w:r>
    </w:p>
    <w:p w14:paraId="7217A75F" w14:textId="77777777" w:rsidR="00C20F3C" w:rsidRPr="007224C3" w:rsidRDefault="00C20F3C" w:rsidP="007224C3">
      <w:pPr>
        <w:tabs>
          <w:tab w:val="left" w:pos="810"/>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а) 4 миллиона рублей на модификацию самолета Ла-5 с установкой РД-1 и </w:t>
      </w:r>
      <w:r w:rsidRPr="007224C3">
        <w:rPr>
          <w:rStyle w:val="1pt"/>
          <w:rFonts w:ascii="Times New Roman" w:hAnsi="Times New Roman" w:cs="Times New Roman"/>
          <w:color w:val="000000" w:themeColor="text1"/>
          <w:spacing w:val="0"/>
          <w:sz w:val="16"/>
          <w:szCs w:val="16"/>
        </w:rPr>
        <w:t>8,5</w:t>
      </w:r>
      <w:r w:rsidRPr="007224C3">
        <w:rPr>
          <w:rFonts w:ascii="Times New Roman" w:hAnsi="Times New Roman"/>
          <w:color w:val="000000" w:themeColor="text1"/>
          <w:sz w:val="16"/>
          <w:szCs w:val="16"/>
        </w:rPr>
        <w:t xml:space="preserve"> миллионов рублей на постройку опытных реактивных самолетов с двигателем т.Люлька;</w:t>
      </w:r>
    </w:p>
    <w:p w14:paraId="107CD223" w14:textId="77777777" w:rsidR="00C20F3C" w:rsidRPr="007224C3" w:rsidRDefault="00C20F3C" w:rsidP="007224C3">
      <w:pPr>
        <w:tabs>
          <w:tab w:val="left" w:pos="816"/>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б) </w:t>
      </w:r>
      <w:r w:rsidRPr="007224C3">
        <w:rPr>
          <w:rStyle w:val="TimesNewRoman9pt"/>
          <w:rFonts w:eastAsia="Calibri"/>
          <w:color w:val="000000" w:themeColor="text1"/>
          <w:sz w:val="16"/>
          <w:szCs w:val="16"/>
        </w:rPr>
        <w:t>в</w:t>
      </w:r>
      <w:r w:rsidRPr="007224C3">
        <w:rPr>
          <w:rFonts w:ascii="Times New Roman" w:hAnsi="Times New Roman"/>
          <w:color w:val="000000" w:themeColor="text1"/>
          <w:sz w:val="16"/>
          <w:szCs w:val="16"/>
        </w:rPr>
        <w:t xml:space="preserve"> распоряжение главного конструктора т.Лавочки</w:t>
      </w:r>
      <w:r w:rsidRPr="007224C3">
        <w:rPr>
          <w:rFonts w:ascii="Times New Roman" w:hAnsi="Times New Roman"/>
          <w:color w:val="000000" w:themeColor="text1"/>
          <w:sz w:val="16"/>
          <w:szCs w:val="16"/>
        </w:rPr>
        <w:softHyphen/>
        <w:t>на С.А. на премирование конструкторов и рабочих</w:t>
      </w:r>
      <w:r w:rsidRPr="007224C3">
        <w:rPr>
          <w:rStyle w:val="TimesNewRoman9pt"/>
          <w:rFonts w:eastAsia="Calibri"/>
          <w:color w:val="000000" w:themeColor="text1"/>
          <w:sz w:val="16"/>
          <w:szCs w:val="16"/>
        </w:rPr>
        <w:t xml:space="preserve"> завода, </w:t>
      </w:r>
      <w:r w:rsidRPr="007224C3">
        <w:rPr>
          <w:rFonts w:ascii="Times New Roman" w:hAnsi="Times New Roman"/>
          <w:color w:val="000000" w:themeColor="text1"/>
          <w:sz w:val="16"/>
          <w:szCs w:val="16"/>
        </w:rPr>
        <w:t>работников научных институтов и ваводов-смекников:</w:t>
      </w:r>
    </w:p>
    <w:p w14:paraId="1F964E7A"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модификации самолета Ла-5 под однокамерный двигатель РД-1 - 500 тыс.руб.</w:t>
      </w:r>
    </w:p>
    <w:p w14:paraId="644D55EA"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реактивному самолету о двигателем Люлька - один млн.руб.</w:t>
      </w:r>
    </w:p>
    <w:p w14:paraId="05E5E9AC" w14:textId="77777777" w:rsidR="00C20F3C" w:rsidRPr="007224C3" w:rsidRDefault="00C20F3C" w:rsidP="007224C3">
      <w:pPr>
        <w:tabs>
          <w:tab w:val="left" w:pos="816"/>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Предоставить право главному конструктору рас</w:t>
      </w:r>
      <w:r w:rsidRPr="007224C3">
        <w:rPr>
          <w:rFonts w:ascii="Times New Roman" w:hAnsi="Times New Roman"/>
          <w:color w:val="000000" w:themeColor="text1"/>
          <w:sz w:val="16"/>
          <w:szCs w:val="16"/>
        </w:rPr>
        <w:softHyphen/>
        <w:t>ходовать 50% указанных премиальных сумм в процессе выполнения заданий настоящего постановления и осталь</w:t>
      </w:r>
      <w:r w:rsidRPr="007224C3">
        <w:rPr>
          <w:rFonts w:ascii="Times New Roman" w:hAnsi="Times New Roman"/>
          <w:color w:val="000000" w:themeColor="text1"/>
          <w:sz w:val="16"/>
          <w:szCs w:val="16"/>
        </w:rPr>
        <w:softHyphen/>
        <w:t>ные 50% - по выполнении этих заданий.</w:t>
      </w:r>
    </w:p>
    <w:p w14:paraId="60422208" w14:textId="77777777" w:rsidR="00C20F3C" w:rsidRPr="007224C3" w:rsidRDefault="00C20F3C" w:rsidP="007224C3">
      <w:pPr>
        <w:tabs>
          <w:tab w:val="left" w:pos="798"/>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Установить премию главному конструктору т.Ла</w:t>
      </w:r>
      <w:r w:rsidRPr="007224C3">
        <w:rPr>
          <w:rFonts w:ascii="Times New Roman" w:hAnsi="Times New Roman"/>
          <w:color w:val="000000" w:themeColor="text1"/>
          <w:sz w:val="16"/>
          <w:szCs w:val="16"/>
        </w:rPr>
        <w:softHyphen/>
        <w:t>вочкину С.А. из указанного премиального фонда за вы</w:t>
      </w:r>
      <w:r w:rsidRPr="007224C3">
        <w:rPr>
          <w:rFonts w:ascii="Times New Roman" w:hAnsi="Times New Roman"/>
          <w:color w:val="000000" w:themeColor="text1"/>
          <w:sz w:val="16"/>
          <w:szCs w:val="16"/>
        </w:rPr>
        <w:softHyphen/>
        <w:t>полнение в срок заданий по настоящему постановлению:</w:t>
      </w:r>
    </w:p>
    <w:p w14:paraId="64206FBC"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выполнение первого з</w:t>
      </w:r>
      <w:r w:rsidRPr="007224C3">
        <w:rPr>
          <w:rFonts w:ascii="Times New Roman" w:hAnsi="Times New Roman"/>
          <w:color w:val="000000" w:themeColor="text1"/>
          <w:sz w:val="16"/>
          <w:szCs w:val="16"/>
          <w:lang w:val="en-US"/>
        </w:rPr>
        <w:t>a</w:t>
      </w:r>
      <w:r w:rsidRPr="007224C3">
        <w:rPr>
          <w:rFonts w:ascii="Times New Roman" w:hAnsi="Times New Roman"/>
          <w:color w:val="000000" w:themeColor="text1"/>
          <w:sz w:val="16"/>
          <w:szCs w:val="16"/>
        </w:rPr>
        <w:t>дания - 75 тыс. руб.</w:t>
      </w:r>
    </w:p>
    <w:p w14:paraId="4B6B6F8A"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выполнение второго задания - 150 тыс.руб.</w:t>
      </w:r>
    </w:p>
    <w:p w14:paraId="73A2DEB7"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w:t>
      </w:r>
    </w:p>
    <w:p w14:paraId="4A470DAA"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Style w:val="16"/>
          <w:rFonts w:ascii="Times New Roman" w:hAnsi="Times New Roman" w:cs="Times New Roman"/>
          <w:color w:val="000000" w:themeColor="text1"/>
          <w:spacing w:val="0"/>
          <w:u w:val="none"/>
        </w:rPr>
        <w:t>Самолет главного конструктора т.Поликарпова Н.Н</w:t>
      </w:r>
      <w:r w:rsidRPr="007224C3">
        <w:rPr>
          <w:rFonts w:ascii="Times New Roman" w:hAnsi="Times New Roman"/>
          <w:color w:val="000000" w:themeColor="text1"/>
          <w:sz w:val="16"/>
          <w:szCs w:val="16"/>
          <w:vertAlign w:val="subscript"/>
        </w:rPr>
        <w:t>;</w:t>
      </w:r>
    </w:p>
    <w:p w14:paraId="22E3FDEA"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Главному конструктору т.Поликарпову Н.Н. опроектировать и построить одноместный эксперименталь</w:t>
      </w:r>
      <w:r w:rsidRPr="007224C3">
        <w:rPr>
          <w:rFonts w:ascii="Times New Roman" w:hAnsi="Times New Roman"/>
          <w:color w:val="000000" w:themeColor="text1"/>
          <w:sz w:val="16"/>
          <w:szCs w:val="16"/>
        </w:rPr>
        <w:softHyphen/>
        <w:t>ной реактивный истребитель с двухкамерным двигателем ЖРД конструкции НИИ-1 ШШ1 и герметической кабиной, со следующими летно-техническими данными:</w:t>
      </w:r>
    </w:p>
    <w:p w14:paraId="1F90B49B"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 скорость на высоте - 800 км.в час</w:t>
      </w:r>
    </w:p>
    <w:p w14:paraId="0D6D5370"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окоропод"емность на 5000 мт. - 1,5 мин.</w:t>
      </w:r>
    </w:p>
    <w:p w14:paraId="36269AD9"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скоропод</w:t>
      </w:r>
      <w:r w:rsidRPr="007224C3">
        <w:rPr>
          <w:rFonts w:ascii="Times New Roman" w:hAnsi="Times New Roman"/>
          <w:color w:val="000000" w:themeColor="text1"/>
          <w:sz w:val="16"/>
          <w:szCs w:val="16"/>
          <w:vertAlign w:val="superscript"/>
        </w:rPr>
        <w:t>и</w:t>
      </w:r>
      <w:r w:rsidRPr="007224C3">
        <w:rPr>
          <w:rFonts w:ascii="Times New Roman" w:hAnsi="Times New Roman"/>
          <w:color w:val="000000" w:themeColor="text1"/>
          <w:sz w:val="16"/>
          <w:szCs w:val="16"/>
        </w:rPr>
        <w:t>емность на 10000 мт. - 3,0 -"-</w:t>
      </w:r>
    </w:p>
    <w:p w14:paraId="020F424A" w14:textId="77777777" w:rsidR="00C20F3C" w:rsidRPr="007224C3" w:rsidRDefault="00C20F3C" w:rsidP="007224C3">
      <w:pPr>
        <w:tabs>
          <w:tab w:val="left" w:pos="2565"/>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продолжительность полета на минимальной тяге на высоте 8000 мт. </w:t>
      </w:r>
      <w:r w:rsidRPr="007224C3">
        <w:rPr>
          <w:rStyle w:val="-1pt"/>
          <w:rFonts w:ascii="Times New Roman" w:hAnsi="Times New Roman" w:cs="Times New Roman"/>
          <w:color w:val="000000" w:themeColor="text1"/>
          <w:spacing w:val="0"/>
          <w:sz w:val="16"/>
          <w:szCs w:val="16"/>
        </w:rPr>
        <w:t>-</w:t>
      </w:r>
      <w:r w:rsidRPr="007224C3">
        <w:rPr>
          <w:rFonts w:ascii="Times New Roman" w:hAnsi="Times New Roman"/>
          <w:color w:val="000000" w:themeColor="text1"/>
          <w:sz w:val="16"/>
          <w:szCs w:val="16"/>
        </w:rPr>
        <w:t xml:space="preserve"> 12-14 мин.</w:t>
      </w:r>
    </w:p>
    <w:p w14:paraId="1E6EC0FD"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наибольшая высота под</w:t>
      </w:r>
      <w:r w:rsidRPr="007224C3">
        <w:rPr>
          <w:rFonts w:ascii="Times New Roman" w:hAnsi="Times New Roman"/>
          <w:color w:val="000000" w:themeColor="text1"/>
          <w:sz w:val="16"/>
          <w:szCs w:val="16"/>
          <w:vertAlign w:val="superscript"/>
        </w:rPr>
        <w:t>м</w:t>
      </w:r>
      <w:r w:rsidRPr="007224C3">
        <w:rPr>
          <w:rFonts w:ascii="Times New Roman" w:hAnsi="Times New Roman"/>
          <w:color w:val="000000" w:themeColor="text1"/>
          <w:sz w:val="16"/>
          <w:szCs w:val="16"/>
        </w:rPr>
        <w:t>ема с оставлением 80 кг горючего на посадку</w:t>
      </w:r>
      <w:r w:rsidRPr="007224C3">
        <w:rPr>
          <w:rFonts w:ascii="Times New Roman" w:hAnsi="Times New Roman"/>
          <w:color w:val="000000" w:themeColor="text1"/>
          <w:sz w:val="16"/>
          <w:szCs w:val="16"/>
        </w:rPr>
        <w:tab/>
        <w:t>- 14000 мт.</w:t>
      </w:r>
    </w:p>
    <w:p w14:paraId="19EE74EB" w14:textId="77777777" w:rsidR="00C20F3C" w:rsidRPr="007224C3" w:rsidRDefault="00C20F3C" w:rsidP="007224C3">
      <w:pPr>
        <w:tabs>
          <w:tab w:val="left" w:pos="4106"/>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практический потолок с возмож</w:t>
      </w:r>
      <w:r w:rsidRPr="007224C3">
        <w:rPr>
          <w:rFonts w:ascii="Times New Roman" w:hAnsi="Times New Roman"/>
          <w:color w:val="000000" w:themeColor="text1"/>
          <w:sz w:val="16"/>
          <w:szCs w:val="16"/>
        </w:rPr>
        <w:softHyphen/>
        <w:t>ностью полета в течение 5 ми</w:t>
      </w:r>
      <w:r w:rsidRPr="007224C3">
        <w:rPr>
          <w:rFonts w:ascii="Times New Roman" w:hAnsi="Times New Roman"/>
          <w:color w:val="000000" w:themeColor="text1"/>
          <w:sz w:val="16"/>
          <w:szCs w:val="16"/>
        </w:rPr>
        <w:softHyphen/>
        <w:t>нут на этой высоте и с остав</w:t>
      </w:r>
      <w:r w:rsidRPr="007224C3">
        <w:rPr>
          <w:rFonts w:ascii="Times New Roman" w:hAnsi="Times New Roman"/>
          <w:color w:val="000000" w:themeColor="text1"/>
          <w:sz w:val="16"/>
          <w:szCs w:val="16"/>
        </w:rPr>
        <w:softHyphen/>
        <w:t>лением 80 кг горючего на по</w:t>
      </w:r>
      <w:r w:rsidRPr="007224C3">
        <w:rPr>
          <w:rFonts w:ascii="Times New Roman" w:hAnsi="Times New Roman"/>
          <w:color w:val="000000" w:themeColor="text1"/>
          <w:sz w:val="16"/>
          <w:szCs w:val="16"/>
        </w:rPr>
        <w:softHyphen/>
        <w:t>садку -</w:t>
      </w:r>
      <w:r w:rsidRPr="007224C3">
        <w:rPr>
          <w:rStyle w:val="Candara115pt-1pt"/>
          <w:rFonts w:ascii="Times New Roman" w:hAnsi="Times New Roman" w:cs="Times New Roman"/>
          <w:color w:val="000000" w:themeColor="text1"/>
          <w:spacing w:val="0"/>
          <w:sz w:val="16"/>
          <w:szCs w:val="16"/>
        </w:rPr>
        <w:t xml:space="preserve"> 12000</w:t>
      </w:r>
      <w:r w:rsidRPr="007224C3">
        <w:rPr>
          <w:rFonts w:ascii="Times New Roman" w:hAnsi="Times New Roman"/>
          <w:color w:val="000000" w:themeColor="text1"/>
          <w:sz w:val="16"/>
          <w:szCs w:val="16"/>
        </w:rPr>
        <w:t xml:space="preserve"> мт.</w:t>
      </w:r>
    </w:p>
    <w:p w14:paraId="6C081F07" w14:textId="77777777" w:rsidR="00C20F3C" w:rsidRPr="007224C3" w:rsidRDefault="00C20F3C" w:rsidP="007224C3">
      <w:pPr>
        <w:tabs>
          <w:tab w:val="left" w:pos="4112"/>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 а з б е г</w:t>
      </w:r>
      <w:r w:rsidRPr="007224C3">
        <w:rPr>
          <w:rFonts w:ascii="Times New Roman" w:hAnsi="Times New Roman"/>
          <w:color w:val="000000" w:themeColor="text1"/>
          <w:sz w:val="16"/>
          <w:szCs w:val="16"/>
        </w:rPr>
        <w:tab/>
        <w:t>- 500-600 мт.</w:t>
      </w:r>
    </w:p>
    <w:p w14:paraId="0E9B5093"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самолете предусмотреть установку двух пушек калибра 20 мм.</w:t>
      </w:r>
    </w:p>
    <w:p w14:paraId="776EC2C8"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построить в 2-х экземплярах и пред"явить на летные испытания:</w:t>
      </w:r>
    </w:p>
    <w:p w14:paraId="6F337960" w14:textId="77777777" w:rsidR="00C20F3C" w:rsidRPr="007224C3" w:rsidRDefault="00C20F3C" w:rsidP="007224C3">
      <w:pPr>
        <w:tabs>
          <w:tab w:val="left" w:pos="3038"/>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1й экземпляр - 1 июля 1945 рода</w:t>
      </w:r>
    </w:p>
    <w:p w14:paraId="24C4487F" w14:textId="77777777" w:rsidR="00C20F3C" w:rsidRPr="007224C3" w:rsidRDefault="00C20F3C" w:rsidP="007224C3">
      <w:pPr>
        <w:tabs>
          <w:tab w:val="left" w:pos="3059"/>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2й экземпляр - 15 июля 1945 года</w:t>
      </w:r>
    </w:p>
    <w:p w14:paraId="191DE3EA"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В обеспечение выполнения указанного задания обязать:</w:t>
      </w:r>
    </w:p>
    <w:p w14:paraId="2ABD4F31"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начальника НИИ-1 НКАП т.Федорова и конструктора НИИ-1 т.Душкина изготовить 3 летных экземпляра 2-х камерного двига</w:t>
      </w:r>
      <w:r w:rsidRPr="007224C3">
        <w:rPr>
          <w:rFonts w:ascii="Times New Roman" w:hAnsi="Times New Roman"/>
          <w:color w:val="000000" w:themeColor="text1"/>
          <w:sz w:val="16"/>
          <w:szCs w:val="16"/>
        </w:rPr>
        <w:softHyphen/>
        <w:t>теля ЖРД, удовлетворяющих следующий техническим условиям:</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000" w:firstRow="0" w:lastRow="0" w:firstColumn="0" w:lastColumn="0" w:noHBand="0" w:noVBand="0"/>
      </w:tblPr>
      <w:tblGrid>
        <w:gridCol w:w="3669"/>
        <w:gridCol w:w="1310"/>
      </w:tblGrid>
      <w:tr w:rsidR="005106D0" w:rsidRPr="007224C3" w14:paraId="3CF2AA5A" w14:textId="77777777" w:rsidTr="001144CD">
        <w:trPr>
          <w:trHeight w:val="240"/>
        </w:trPr>
        <w:tc>
          <w:tcPr>
            <w:tcW w:w="3669" w:type="dxa"/>
            <w:shd w:val="clear" w:color="auto" w:fill="FFFFFF"/>
          </w:tcPr>
          <w:p w14:paraId="3B93D3B5"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максимальное значение тяги</w:t>
            </w:r>
          </w:p>
        </w:tc>
        <w:tc>
          <w:tcPr>
            <w:tcW w:w="1310" w:type="dxa"/>
            <w:shd w:val="clear" w:color="auto" w:fill="FFFFFF"/>
          </w:tcPr>
          <w:p w14:paraId="312D967B"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- 1400 кг.</w:t>
            </w:r>
          </w:p>
        </w:tc>
      </w:tr>
      <w:tr w:rsidR="005106D0" w:rsidRPr="007224C3" w14:paraId="425FFFFA" w14:textId="77777777" w:rsidTr="001144CD">
        <w:trPr>
          <w:trHeight w:val="240"/>
        </w:trPr>
        <w:tc>
          <w:tcPr>
            <w:tcW w:w="3669" w:type="dxa"/>
            <w:shd w:val="clear" w:color="auto" w:fill="FFFFFF"/>
          </w:tcPr>
          <w:p w14:paraId="447E04FA"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номинальное</w:t>
            </w:r>
          </w:p>
        </w:tc>
        <w:tc>
          <w:tcPr>
            <w:tcW w:w="1310" w:type="dxa"/>
            <w:shd w:val="clear" w:color="auto" w:fill="FFFFFF"/>
          </w:tcPr>
          <w:p w14:paraId="3191D332"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- 1100 -</w:t>
            </w:r>
            <w:r w:rsidRPr="007224C3">
              <w:rPr>
                <w:rFonts w:ascii="Times New Roman" w:hAnsi="Times New Roman"/>
                <w:color w:val="000000" w:themeColor="text1"/>
                <w:sz w:val="16"/>
                <w:szCs w:val="16"/>
                <w:vertAlign w:val="superscript"/>
              </w:rPr>
              <w:t>и</w:t>
            </w:r>
            <w:r w:rsidRPr="007224C3">
              <w:rPr>
                <w:rFonts w:ascii="Times New Roman" w:hAnsi="Times New Roman"/>
                <w:color w:val="000000" w:themeColor="text1"/>
                <w:sz w:val="16"/>
                <w:szCs w:val="16"/>
              </w:rPr>
              <w:t>-</w:t>
            </w:r>
          </w:p>
        </w:tc>
      </w:tr>
      <w:tr w:rsidR="005106D0" w:rsidRPr="007224C3" w14:paraId="05F91169" w14:textId="77777777" w:rsidTr="001144CD">
        <w:trPr>
          <w:trHeight w:val="233"/>
        </w:trPr>
        <w:tc>
          <w:tcPr>
            <w:tcW w:w="3669" w:type="dxa"/>
            <w:shd w:val="clear" w:color="auto" w:fill="FFFFFF"/>
          </w:tcPr>
          <w:p w14:paraId="77EBF95A"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минимальная тяга большой камеры</w:t>
            </w:r>
          </w:p>
        </w:tc>
        <w:tc>
          <w:tcPr>
            <w:tcW w:w="1310" w:type="dxa"/>
            <w:shd w:val="clear" w:color="auto" w:fill="FFFFFF"/>
          </w:tcPr>
          <w:p w14:paraId="32C9E23D"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- 400</w:t>
            </w:r>
          </w:p>
        </w:tc>
      </w:tr>
      <w:tr w:rsidR="005106D0" w:rsidRPr="007224C3" w14:paraId="348F21C2" w14:textId="77777777" w:rsidTr="001144CD">
        <w:trPr>
          <w:trHeight w:val="254"/>
        </w:trPr>
        <w:tc>
          <w:tcPr>
            <w:tcW w:w="3669" w:type="dxa"/>
            <w:shd w:val="clear" w:color="auto" w:fill="FFFFFF"/>
          </w:tcPr>
          <w:p w14:paraId="3F1D950E"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минимальная тяга малой камеры</w:t>
            </w:r>
          </w:p>
        </w:tc>
        <w:tc>
          <w:tcPr>
            <w:tcW w:w="1310" w:type="dxa"/>
            <w:shd w:val="clear" w:color="auto" w:fill="FFFFFF"/>
          </w:tcPr>
          <w:p w14:paraId="6CEBFE7E"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- 100 -"-</w:t>
            </w:r>
          </w:p>
        </w:tc>
      </w:tr>
      <w:tr w:rsidR="005106D0" w:rsidRPr="007224C3" w14:paraId="4D8452CD" w14:textId="77777777" w:rsidTr="001144CD">
        <w:trPr>
          <w:trHeight w:val="206"/>
        </w:trPr>
        <w:tc>
          <w:tcPr>
            <w:tcW w:w="3669" w:type="dxa"/>
            <w:shd w:val="clear" w:color="auto" w:fill="FFFFFF"/>
          </w:tcPr>
          <w:p w14:paraId="720EDE39"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минимальная тяга</w:t>
            </w:r>
            <w:r w:rsidRPr="007224C3">
              <w:rPr>
                <w:rStyle w:val="9pt"/>
                <w:rFonts w:ascii="Times New Roman" w:hAnsi="Times New Roman" w:cs="Times New Roman"/>
                <w:color w:val="000000" w:themeColor="text1"/>
                <w:sz w:val="16"/>
                <w:szCs w:val="16"/>
              </w:rPr>
              <w:t xml:space="preserve"> 2</w:t>
            </w:r>
            <w:r w:rsidRPr="007224C3">
              <w:rPr>
                <w:rFonts w:ascii="Times New Roman" w:hAnsi="Times New Roman"/>
                <w:color w:val="000000" w:themeColor="text1"/>
                <w:sz w:val="16"/>
                <w:szCs w:val="16"/>
              </w:rPr>
              <w:t>-х камерного  двигателя</w:t>
            </w:r>
          </w:p>
        </w:tc>
        <w:tc>
          <w:tcPr>
            <w:tcW w:w="1310" w:type="dxa"/>
            <w:shd w:val="clear" w:color="auto" w:fill="FFFFFF"/>
          </w:tcPr>
          <w:p w14:paraId="3F702D3D"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- 500</w:t>
            </w:r>
          </w:p>
        </w:tc>
      </w:tr>
      <w:tr w:rsidR="005106D0" w:rsidRPr="007224C3" w14:paraId="3A09633F" w14:textId="77777777" w:rsidTr="001144CD">
        <w:trPr>
          <w:trHeight w:val="206"/>
        </w:trPr>
        <w:tc>
          <w:tcPr>
            <w:tcW w:w="3669" w:type="dxa"/>
            <w:shd w:val="clear" w:color="auto" w:fill="FFFFFF"/>
          </w:tcPr>
          <w:p w14:paraId="686973E9"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 двухкамерного двигателя</w:t>
            </w:r>
          </w:p>
        </w:tc>
        <w:tc>
          <w:tcPr>
            <w:tcW w:w="1310" w:type="dxa"/>
            <w:shd w:val="clear" w:color="auto" w:fill="FFFFFF"/>
          </w:tcPr>
          <w:p w14:paraId="3090B1FF"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70</w:t>
            </w:r>
          </w:p>
        </w:tc>
      </w:tr>
      <w:tr w:rsidR="005106D0" w:rsidRPr="007224C3" w14:paraId="0AE57E99" w14:textId="77777777" w:rsidTr="001144CD">
        <w:trPr>
          <w:trHeight w:val="206"/>
        </w:trPr>
        <w:tc>
          <w:tcPr>
            <w:tcW w:w="3669" w:type="dxa"/>
            <w:shd w:val="clear" w:color="auto" w:fill="FFFFFF"/>
          </w:tcPr>
          <w:p w14:paraId="15313909"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 турбонасосной установки</w:t>
            </w:r>
          </w:p>
        </w:tc>
        <w:tc>
          <w:tcPr>
            <w:tcW w:w="1310" w:type="dxa"/>
            <w:shd w:val="clear" w:color="auto" w:fill="FFFFFF"/>
          </w:tcPr>
          <w:p w14:paraId="1C65DD3F"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- 130 -"-</w:t>
            </w:r>
          </w:p>
        </w:tc>
      </w:tr>
      <w:tr w:rsidR="005106D0" w:rsidRPr="007224C3" w14:paraId="4050150E" w14:textId="77777777" w:rsidTr="001144CD">
        <w:trPr>
          <w:trHeight w:val="206"/>
        </w:trPr>
        <w:tc>
          <w:tcPr>
            <w:tcW w:w="3669" w:type="dxa"/>
            <w:shd w:val="clear" w:color="auto" w:fill="FFFFFF"/>
          </w:tcPr>
          <w:p w14:paraId="21367CB7"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расход топлива на номинальной тяге</w:t>
            </w:r>
          </w:p>
        </w:tc>
        <w:tc>
          <w:tcPr>
            <w:tcW w:w="1310" w:type="dxa"/>
            <w:shd w:val="clear" w:color="auto" w:fill="FFFFFF"/>
          </w:tcPr>
          <w:p w14:paraId="425B36BF"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- 6 кг/сек</w:t>
            </w:r>
          </w:p>
        </w:tc>
      </w:tr>
      <w:tr w:rsidR="005106D0" w:rsidRPr="007224C3" w14:paraId="270BE9DB" w14:textId="77777777" w:rsidTr="001144CD">
        <w:trPr>
          <w:trHeight w:val="206"/>
        </w:trPr>
        <w:tc>
          <w:tcPr>
            <w:tcW w:w="3669" w:type="dxa"/>
            <w:shd w:val="clear" w:color="auto" w:fill="FFFFFF"/>
          </w:tcPr>
          <w:p w14:paraId="5B44817E"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расход топлива на минимальной тяге</w:t>
            </w:r>
          </w:p>
        </w:tc>
        <w:tc>
          <w:tcPr>
            <w:tcW w:w="1310" w:type="dxa"/>
            <w:shd w:val="clear" w:color="auto" w:fill="FFFFFF"/>
          </w:tcPr>
          <w:p w14:paraId="6E289C95"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Style w:val="3pt"/>
                <w:rFonts w:ascii="Times New Roman" w:hAnsi="Times New Roman" w:cs="Times New Roman"/>
                <w:color w:val="000000" w:themeColor="text1"/>
                <w:spacing w:val="0"/>
                <w:sz w:val="16"/>
                <w:szCs w:val="16"/>
              </w:rPr>
              <w:t>-0,65</w:t>
            </w:r>
          </w:p>
        </w:tc>
      </w:tr>
    </w:tbl>
    <w:p w14:paraId="0F17356D"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Подать заводу № 51 двигатели с турбонасосной установ</w:t>
      </w:r>
      <w:r w:rsidRPr="007224C3">
        <w:rPr>
          <w:rFonts w:ascii="Times New Roman" w:hAnsi="Times New Roman"/>
          <w:color w:val="000000" w:themeColor="text1"/>
          <w:sz w:val="16"/>
          <w:szCs w:val="16"/>
        </w:rPr>
        <w:softHyphen/>
        <w:t>кой:</w:t>
      </w:r>
    </w:p>
    <w:p w14:paraId="0869594A" w14:textId="77777777" w:rsidR="00C20F3C" w:rsidRPr="007224C3" w:rsidRDefault="00C20F3C" w:rsidP="007224C3">
      <w:pPr>
        <w:tabs>
          <w:tab w:val="left" w:pos="4667"/>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макетный двигатель - 15 января 1945 г.</w:t>
      </w:r>
    </w:p>
    <w:p w14:paraId="4C931252" w14:textId="77777777" w:rsidR="00C20F3C" w:rsidRPr="007224C3" w:rsidRDefault="00C20F3C" w:rsidP="007224C3">
      <w:pPr>
        <w:tabs>
          <w:tab w:val="left" w:pos="4667"/>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летный двигатель - Апрель 1945 года</w:t>
      </w:r>
    </w:p>
    <w:p w14:paraId="4132B499" w14:textId="77777777" w:rsidR="00C20F3C" w:rsidRPr="007224C3" w:rsidRDefault="00C20F3C" w:rsidP="007224C3">
      <w:pPr>
        <w:tabs>
          <w:tab w:val="left" w:pos="4660"/>
        </w:tabs>
        <w:spacing w:after="0" w:line="240" w:lineRule="auto"/>
        <w:jc w:val="both"/>
        <w:rPr>
          <w:rFonts w:ascii="Times New Roman" w:hAnsi="Times New Roman"/>
          <w:color w:val="000000" w:themeColor="text1"/>
          <w:sz w:val="16"/>
          <w:szCs w:val="16"/>
        </w:rPr>
      </w:pPr>
      <w:r w:rsidRPr="007224C3">
        <w:rPr>
          <w:rStyle w:val="Constantia14pt"/>
          <w:rFonts w:ascii="Times New Roman" w:hAnsi="Times New Roman" w:cs="Times New Roman"/>
          <w:color w:val="000000" w:themeColor="text1"/>
          <w:sz w:val="16"/>
          <w:szCs w:val="16"/>
        </w:rPr>
        <w:t>1</w:t>
      </w:r>
      <w:r w:rsidRPr="007224C3">
        <w:rPr>
          <w:rFonts w:ascii="Times New Roman" w:hAnsi="Times New Roman"/>
          <w:color w:val="000000" w:themeColor="text1"/>
          <w:sz w:val="16"/>
          <w:szCs w:val="16"/>
        </w:rPr>
        <w:t xml:space="preserve"> летный двигатель - </w:t>
      </w:r>
      <w:r w:rsidRPr="007224C3">
        <w:rPr>
          <w:rStyle w:val="5pt"/>
          <w:rFonts w:ascii="Times New Roman" w:hAnsi="Times New Roman" w:cs="Times New Roman"/>
          <w:color w:val="000000" w:themeColor="text1"/>
          <w:spacing w:val="0"/>
          <w:sz w:val="16"/>
          <w:szCs w:val="16"/>
        </w:rPr>
        <w:t>май</w:t>
      </w:r>
      <w:r w:rsidRPr="007224C3">
        <w:rPr>
          <w:rFonts w:ascii="Times New Roman" w:hAnsi="Times New Roman"/>
          <w:color w:val="000000" w:themeColor="text1"/>
          <w:sz w:val="16"/>
          <w:szCs w:val="16"/>
        </w:rPr>
        <w:t xml:space="preserve"> 1945 года</w:t>
      </w:r>
    </w:p>
    <w:p w14:paraId="51471F22" w14:textId="77777777" w:rsidR="00C20F3C" w:rsidRPr="007224C3" w:rsidRDefault="00C20F3C" w:rsidP="007224C3">
      <w:pPr>
        <w:tabs>
          <w:tab w:val="left" w:pos="1550"/>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директора завода № 24 т .Жезлова - изготовить 3 комп</w:t>
      </w:r>
      <w:r w:rsidRPr="007224C3">
        <w:rPr>
          <w:rFonts w:ascii="Times New Roman" w:hAnsi="Times New Roman"/>
          <w:color w:val="000000" w:themeColor="text1"/>
          <w:sz w:val="16"/>
          <w:szCs w:val="16"/>
        </w:rPr>
        <w:softHyphen/>
        <w:t>лекта турбин турбонасосов ЖРД и подать их заводу а 20 к 1 августа с.г.</w:t>
      </w:r>
    </w:p>
    <w:p w14:paraId="3082351E" w14:textId="77777777" w:rsidR="00C20F3C" w:rsidRPr="007224C3" w:rsidRDefault="00C20F3C" w:rsidP="007224C3">
      <w:pPr>
        <w:tabs>
          <w:tab w:val="left" w:pos="1227"/>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НИИ-1 НКАП выдать заводу 24 техусловия на турбины к 25 мая с.г.</w:t>
      </w:r>
    </w:p>
    <w:p w14:paraId="0E3C8A9B" w14:textId="77777777" w:rsidR="00C20F3C" w:rsidRPr="007224C3" w:rsidRDefault="00C20F3C" w:rsidP="007224C3">
      <w:pPr>
        <w:tabs>
          <w:tab w:val="left" w:pos="1564"/>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и.о. директора завода 20 т.Кругленина - изготовить по чертежам х техническим условиям НИИ-1 НКАП и ВИГМ 3 комп</w:t>
      </w:r>
      <w:r w:rsidRPr="007224C3">
        <w:rPr>
          <w:rFonts w:ascii="Times New Roman" w:hAnsi="Times New Roman"/>
          <w:color w:val="000000" w:themeColor="text1"/>
          <w:sz w:val="16"/>
          <w:szCs w:val="16"/>
        </w:rPr>
        <w:softHyphen/>
        <w:t xml:space="preserve">лекта турбонасосного агрегата и подать их НИИ-1 НКАП к 1 сентября </w:t>
      </w:r>
      <w:r w:rsidRPr="007224C3">
        <w:rPr>
          <w:rStyle w:val="1pt"/>
          <w:rFonts w:ascii="Times New Roman" w:hAnsi="Times New Roman" w:cs="Times New Roman"/>
          <w:color w:val="000000" w:themeColor="text1"/>
          <w:spacing w:val="0"/>
          <w:sz w:val="16"/>
          <w:szCs w:val="16"/>
        </w:rPr>
        <w:t>с.г.</w:t>
      </w:r>
    </w:p>
    <w:p w14:paraId="439E1375"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НИН-1 НЮШ и ВИГМ подать заводу </w:t>
      </w:r>
      <w:r w:rsidRPr="007224C3">
        <w:rPr>
          <w:rFonts w:ascii="Times New Roman" w:hAnsi="Times New Roman"/>
          <w:color w:val="000000" w:themeColor="text1"/>
          <w:sz w:val="16"/>
          <w:szCs w:val="16"/>
          <w:lang w:val="en-US"/>
        </w:rPr>
        <w:t>IP</w:t>
      </w:r>
      <w:r w:rsidRPr="007224C3">
        <w:rPr>
          <w:rFonts w:ascii="Times New Roman" w:hAnsi="Times New Roman"/>
          <w:color w:val="000000" w:themeColor="text1"/>
          <w:sz w:val="16"/>
          <w:szCs w:val="16"/>
        </w:rPr>
        <w:t xml:space="preserve"> £0 чертежи и техусловия на изготовление рюбонасос ного агрегата к 25 мая 1944' года;</w:t>
      </w:r>
    </w:p>
    <w:p w14:paraId="225D3D5B"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г) начальника ЦАГИ - т.Шишкина - разработать рекомендации по прочности, флаттеру и аэродинамике реак</w:t>
      </w:r>
      <w:r w:rsidRPr="007224C3">
        <w:rPr>
          <w:rFonts w:ascii="Times New Roman" w:hAnsi="Times New Roman"/>
          <w:color w:val="000000" w:themeColor="text1"/>
          <w:sz w:val="16"/>
          <w:szCs w:val="16"/>
        </w:rPr>
        <w:softHyphen/>
        <w:t>тивного самолета и произвести продувки в аэродинами</w:t>
      </w:r>
      <w:r w:rsidRPr="007224C3">
        <w:rPr>
          <w:rFonts w:ascii="Times New Roman" w:hAnsi="Times New Roman"/>
          <w:color w:val="000000" w:themeColor="text1"/>
          <w:sz w:val="16"/>
          <w:szCs w:val="16"/>
        </w:rPr>
        <w:softHyphen/>
        <w:t>ческой трубе модели самолета, для чего главному кон</w:t>
      </w:r>
      <w:r w:rsidRPr="007224C3">
        <w:rPr>
          <w:rFonts w:ascii="Times New Roman" w:hAnsi="Times New Roman"/>
          <w:color w:val="000000" w:themeColor="text1"/>
          <w:sz w:val="16"/>
          <w:szCs w:val="16"/>
        </w:rPr>
        <w:softHyphen/>
        <w:t>структору т.Поликарпову подать ЦАГИ модель самолета к 1 июля 1944 года по техническим требованиям ЦАГИ.</w:t>
      </w:r>
    </w:p>
    <w:p w14:paraId="6E079B55"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Наркомфину СССР - т.Звереву выделить НКАП из резервного фонда СНК СССР:</w:t>
      </w:r>
    </w:p>
    <w:p w14:paraId="34DEEC76" w14:textId="77777777" w:rsidR="00C20F3C" w:rsidRPr="007224C3" w:rsidRDefault="00C20F3C" w:rsidP="007224C3">
      <w:pPr>
        <w:tabs>
          <w:tab w:val="left" w:pos="816"/>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8 миллионов рублей на постройку самолетов с двигателем НИИ-1;</w:t>
      </w:r>
    </w:p>
    <w:p w14:paraId="672249F3" w14:textId="77777777" w:rsidR="00C20F3C" w:rsidRPr="007224C3" w:rsidRDefault="00C20F3C" w:rsidP="007224C3">
      <w:pPr>
        <w:tabs>
          <w:tab w:val="left" w:pos="835"/>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1 миллион рублей в распоряжение главного кон</w:t>
      </w:r>
      <w:r w:rsidRPr="007224C3">
        <w:rPr>
          <w:rFonts w:ascii="Times New Roman" w:hAnsi="Times New Roman"/>
          <w:color w:val="000000" w:themeColor="text1"/>
          <w:sz w:val="16"/>
          <w:szCs w:val="16"/>
        </w:rPr>
        <w:softHyphen/>
        <w:t>структора т.Поликарпова Н.Н. на премирование конструк</w:t>
      </w:r>
      <w:r w:rsidRPr="007224C3">
        <w:rPr>
          <w:rFonts w:ascii="Times New Roman" w:hAnsi="Times New Roman"/>
          <w:color w:val="000000" w:themeColor="text1"/>
          <w:sz w:val="16"/>
          <w:szCs w:val="16"/>
        </w:rPr>
        <w:softHyphen/>
        <w:t>торов и рабочих завода, работников научных инотитутов и 8аводов-смежников, наиболее отличившихся при выпол</w:t>
      </w:r>
      <w:r w:rsidRPr="007224C3">
        <w:rPr>
          <w:rFonts w:ascii="Times New Roman" w:hAnsi="Times New Roman"/>
          <w:color w:val="000000" w:themeColor="text1"/>
          <w:sz w:val="16"/>
          <w:szCs w:val="16"/>
        </w:rPr>
        <w:softHyphen/>
        <w:t>нении задания по реактивному самолету с двухкамерным двигателем ЖРД.</w:t>
      </w:r>
    </w:p>
    <w:p w14:paraId="297BDC60" w14:textId="77777777" w:rsidR="00C20F3C" w:rsidRPr="007224C3" w:rsidRDefault="00C20F3C" w:rsidP="007224C3">
      <w:pPr>
        <w:tabs>
          <w:tab w:val="left" w:pos="816"/>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Предоставить право главному конструктору рас</w:t>
      </w:r>
      <w:r w:rsidRPr="007224C3">
        <w:rPr>
          <w:rFonts w:ascii="Times New Roman" w:hAnsi="Times New Roman"/>
          <w:color w:val="000000" w:themeColor="text1"/>
          <w:sz w:val="16"/>
          <w:szCs w:val="16"/>
        </w:rPr>
        <w:softHyphen/>
        <w:t>ходовать 50% указанных премиальных сумы в процессе вы</w:t>
      </w:r>
      <w:r w:rsidRPr="007224C3">
        <w:rPr>
          <w:rFonts w:ascii="Times New Roman" w:hAnsi="Times New Roman"/>
          <w:color w:val="000000" w:themeColor="text1"/>
          <w:sz w:val="16"/>
          <w:szCs w:val="16"/>
        </w:rPr>
        <w:softHyphen/>
        <w:t>полнения задания настоящего постановления и остальные  50% - по выполнения этого гадания.</w:t>
      </w:r>
    </w:p>
    <w:p w14:paraId="0FC21456" w14:textId="77777777" w:rsidR="00C20F3C" w:rsidRPr="007224C3" w:rsidRDefault="00C20F3C" w:rsidP="007224C3">
      <w:pPr>
        <w:tabs>
          <w:tab w:val="left" w:pos="804"/>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Установить премию главному конструктору т.Поли</w:t>
      </w:r>
      <w:r w:rsidRPr="007224C3">
        <w:rPr>
          <w:rFonts w:ascii="Times New Roman" w:hAnsi="Times New Roman"/>
          <w:color w:val="000000" w:themeColor="text1"/>
          <w:sz w:val="16"/>
          <w:szCs w:val="16"/>
        </w:rPr>
        <w:softHyphen/>
        <w:t>карпову Н.Н. из указанного премиального фонда за выпол</w:t>
      </w:r>
      <w:r w:rsidRPr="007224C3">
        <w:rPr>
          <w:rFonts w:ascii="Times New Roman" w:hAnsi="Times New Roman"/>
          <w:color w:val="000000" w:themeColor="text1"/>
          <w:sz w:val="16"/>
          <w:szCs w:val="16"/>
        </w:rPr>
        <w:softHyphen/>
        <w:t xml:space="preserve">нение в срок задания по настоящему постановлению - </w:t>
      </w:r>
      <w:r w:rsidRPr="007224C3">
        <w:rPr>
          <w:rStyle w:val="16"/>
          <w:rFonts w:ascii="Times New Roman" w:hAnsi="Times New Roman" w:cs="Times New Roman"/>
          <w:color w:val="000000" w:themeColor="text1"/>
          <w:spacing w:val="0"/>
          <w:u w:val="none"/>
        </w:rPr>
        <w:t>150</w:t>
      </w:r>
      <w:r w:rsidRPr="007224C3">
        <w:rPr>
          <w:rFonts w:ascii="Times New Roman" w:hAnsi="Times New Roman"/>
          <w:color w:val="000000" w:themeColor="text1"/>
          <w:sz w:val="16"/>
          <w:szCs w:val="16"/>
        </w:rPr>
        <w:t xml:space="preserve"> тысяч рублей.</w:t>
      </w:r>
    </w:p>
    <w:p w14:paraId="2392E955"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Style w:val="16"/>
          <w:rFonts w:ascii="Times New Roman" w:hAnsi="Times New Roman" w:cs="Times New Roman"/>
          <w:color w:val="000000" w:themeColor="text1"/>
          <w:spacing w:val="0"/>
          <w:u w:val="none"/>
        </w:rPr>
        <w:t>1У. Самолет конструкторов т.т.Микояна А.И. и Гуре- вича М.И.</w:t>
      </w:r>
    </w:p>
    <w:p w14:paraId="560E1D4C"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Главному конструктору т.Микояну А.И. и замести</w:t>
      </w:r>
      <w:r w:rsidRPr="007224C3">
        <w:rPr>
          <w:rFonts w:ascii="Times New Roman" w:hAnsi="Times New Roman"/>
          <w:color w:val="000000" w:themeColor="text1"/>
          <w:sz w:val="16"/>
          <w:szCs w:val="16"/>
        </w:rPr>
        <w:softHyphen/>
        <w:t>телю главного конструктора т.Гуревичу М.И. спроектиро</w:t>
      </w:r>
      <w:r w:rsidRPr="007224C3">
        <w:rPr>
          <w:rFonts w:ascii="Times New Roman" w:hAnsi="Times New Roman"/>
          <w:color w:val="000000" w:themeColor="text1"/>
          <w:sz w:val="16"/>
          <w:szCs w:val="16"/>
        </w:rPr>
        <w:softHyphen/>
        <w:t>вать и построить одноместный экспериментальный реактив</w:t>
      </w:r>
      <w:r w:rsidRPr="007224C3">
        <w:rPr>
          <w:rFonts w:ascii="Times New Roman" w:hAnsi="Times New Roman"/>
          <w:color w:val="000000" w:themeColor="text1"/>
          <w:sz w:val="16"/>
          <w:szCs w:val="16"/>
        </w:rPr>
        <w:softHyphen/>
        <w:t>ный истребитель с мотором ВК-107А с установкой дополни</w:t>
      </w:r>
      <w:r w:rsidRPr="007224C3">
        <w:rPr>
          <w:rFonts w:ascii="Times New Roman" w:hAnsi="Times New Roman"/>
          <w:color w:val="000000" w:themeColor="text1"/>
          <w:sz w:val="16"/>
          <w:szCs w:val="16"/>
        </w:rPr>
        <w:softHyphen/>
        <w:t xml:space="preserve">тельного воздушно-реактивного двигателя с компрессором "ВРДК" конструкции </w:t>
      </w:r>
      <w:r w:rsidRPr="007224C3">
        <w:rPr>
          <w:rStyle w:val="-1pt"/>
          <w:rFonts w:ascii="Times New Roman" w:hAnsi="Times New Roman" w:cs="Times New Roman"/>
          <w:color w:val="000000" w:themeColor="text1"/>
          <w:spacing w:val="0"/>
          <w:sz w:val="16"/>
          <w:szCs w:val="16"/>
        </w:rPr>
        <w:t>ЦИАМ</w:t>
      </w:r>
      <w:r w:rsidRPr="007224C3">
        <w:rPr>
          <w:rFonts w:ascii="Times New Roman" w:hAnsi="Times New Roman"/>
          <w:color w:val="000000" w:themeColor="text1"/>
          <w:sz w:val="16"/>
          <w:szCs w:val="16"/>
        </w:rPr>
        <w:t xml:space="preserve"> НКАП, со следующими летно-тех- ническими данными:</w:t>
      </w:r>
    </w:p>
    <w:p w14:paraId="7686C805"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 скорость с включением ВРдК на высоте 7000 мт.в течение 15 мин. (при наборе высоты без ВРДК) - 810 км.в час</w:t>
      </w:r>
    </w:p>
    <w:p w14:paraId="2BB458BC"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 скорость без включения ВРДК - 700</w:t>
      </w:r>
    </w:p>
    <w:p w14:paraId="40BCF3F2"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скоропод"емность на 5000 м без ВРДК - 5,5 мин.</w:t>
      </w:r>
    </w:p>
    <w:p w14:paraId="2BE767FA"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скоропод"емность на 5000 мт.с ВРДК - 4,5</w:t>
      </w:r>
    </w:p>
    <w:p w14:paraId="678CAC39"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продолжительность полета при условии пользования форсажем скорости (вклю</w:t>
      </w:r>
      <w:r w:rsidRPr="007224C3">
        <w:rPr>
          <w:rFonts w:ascii="Times New Roman" w:hAnsi="Times New Roman"/>
          <w:color w:val="000000" w:themeColor="text1"/>
          <w:sz w:val="16"/>
          <w:szCs w:val="16"/>
        </w:rPr>
        <w:softHyphen/>
        <w:t>чение ВРД) не более 15 мин. - 1 час 10 мин.</w:t>
      </w:r>
    </w:p>
    <w:p w14:paraId="1AB7EEB6"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практический потолок без включения ВРДК при наборе высоты - 11000 м</w:t>
      </w:r>
    </w:p>
    <w:p w14:paraId="1D4D7417"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Style w:val="4pt"/>
          <w:rFonts w:ascii="Times New Roman" w:hAnsi="Times New Roman" w:cs="Times New Roman"/>
          <w:color w:val="000000" w:themeColor="text1"/>
          <w:spacing w:val="0"/>
          <w:sz w:val="16"/>
          <w:szCs w:val="16"/>
          <w:u w:val="none"/>
        </w:rPr>
        <w:t>тоже,</w:t>
      </w:r>
      <w:r w:rsidRPr="007224C3">
        <w:rPr>
          <w:rFonts w:ascii="Times New Roman" w:hAnsi="Times New Roman"/>
          <w:color w:val="000000" w:themeColor="text1"/>
          <w:sz w:val="16"/>
          <w:szCs w:val="16"/>
        </w:rPr>
        <w:t xml:space="preserve"> но с включением ВРДК после 11000 м - 12000 м</w:t>
      </w:r>
    </w:p>
    <w:p w14:paraId="3F6B6422" w14:textId="77777777" w:rsidR="00C20F3C" w:rsidRPr="007224C3" w:rsidRDefault="00C20F3C" w:rsidP="007224C3">
      <w:pPr>
        <w:tabs>
          <w:tab w:val="left" w:pos="4839"/>
        </w:tabs>
        <w:spacing w:after="0" w:line="240" w:lineRule="auto"/>
        <w:jc w:val="both"/>
        <w:rPr>
          <w:rFonts w:ascii="Times New Roman" w:hAnsi="Times New Roman"/>
          <w:color w:val="000000" w:themeColor="text1"/>
          <w:sz w:val="16"/>
          <w:szCs w:val="16"/>
        </w:rPr>
      </w:pPr>
      <w:r w:rsidRPr="007224C3">
        <w:rPr>
          <w:rStyle w:val="5pt"/>
          <w:rFonts w:ascii="Times New Roman" w:hAnsi="Times New Roman" w:cs="Times New Roman"/>
          <w:color w:val="000000" w:themeColor="text1"/>
          <w:spacing w:val="0"/>
          <w:sz w:val="16"/>
          <w:szCs w:val="16"/>
        </w:rPr>
        <w:t xml:space="preserve">разбег- </w:t>
      </w:r>
      <w:r w:rsidRPr="007224C3">
        <w:rPr>
          <w:rFonts w:ascii="Times New Roman" w:hAnsi="Times New Roman"/>
          <w:color w:val="000000" w:themeColor="text1"/>
          <w:sz w:val="16"/>
          <w:szCs w:val="16"/>
        </w:rPr>
        <w:t>460 "</w:t>
      </w:r>
    </w:p>
    <w:p w14:paraId="15ED34A9"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самолете предусмотреть установку пушки калибра 23 мм и двух пулеметов калибра 12,7 мм.</w:t>
      </w:r>
    </w:p>
    <w:p w14:paraId="4809F5BC"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построить в 2-х экземплярах и пред</w:t>
      </w:r>
      <w:r w:rsidRPr="007224C3">
        <w:rPr>
          <w:rFonts w:ascii="Times New Roman" w:hAnsi="Times New Roman"/>
          <w:color w:val="000000" w:themeColor="text1"/>
          <w:sz w:val="16"/>
          <w:szCs w:val="16"/>
          <w:vertAlign w:val="superscript"/>
        </w:rPr>
        <w:t>и</w:t>
      </w:r>
      <w:r w:rsidRPr="007224C3">
        <w:rPr>
          <w:rFonts w:ascii="Times New Roman" w:hAnsi="Times New Roman"/>
          <w:color w:val="000000" w:themeColor="text1"/>
          <w:sz w:val="16"/>
          <w:szCs w:val="16"/>
        </w:rPr>
        <w:t>явить на летные испытания:</w:t>
      </w:r>
    </w:p>
    <w:p w14:paraId="41250BEE" w14:textId="77777777" w:rsidR="00C20F3C" w:rsidRPr="007224C3" w:rsidRDefault="00C20F3C" w:rsidP="007224C3">
      <w:pPr>
        <w:tabs>
          <w:tab w:val="left" w:pos="978"/>
          <w:tab w:val="left" w:pos="3125"/>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1й экземпляр - февраль 1945г.</w:t>
      </w:r>
    </w:p>
    <w:p w14:paraId="4547931C" w14:textId="77777777" w:rsidR="00C20F3C" w:rsidRPr="007224C3" w:rsidRDefault="00C20F3C" w:rsidP="007224C3">
      <w:pPr>
        <w:tabs>
          <w:tab w:val="left" w:pos="3125"/>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2й - март 1945г.</w:t>
      </w:r>
    </w:p>
    <w:p w14:paraId="65E3775B" w14:textId="77777777" w:rsidR="00C20F3C" w:rsidRPr="007224C3" w:rsidRDefault="00C20F3C" w:rsidP="007224C3">
      <w:pPr>
        <w:tabs>
          <w:tab w:val="left" w:pos="876"/>
        </w:tabs>
        <w:spacing w:after="0" w:line="240" w:lineRule="auto"/>
        <w:jc w:val="both"/>
        <w:rPr>
          <w:rFonts w:ascii="Times New Roman" w:eastAsia="Gungsuh" w:hAnsi="Times New Roman"/>
          <w:color w:val="000000" w:themeColor="text1"/>
          <w:sz w:val="16"/>
          <w:szCs w:val="16"/>
          <w:lang w:eastAsia="ru-RU"/>
        </w:rPr>
      </w:pPr>
      <w:r w:rsidRPr="007224C3">
        <w:rPr>
          <w:rFonts w:ascii="Times New Roman" w:eastAsia="Gungsuh" w:hAnsi="Times New Roman"/>
          <w:color w:val="000000" w:themeColor="text1"/>
          <w:sz w:val="16"/>
          <w:szCs w:val="16"/>
          <w:lang w:eastAsia="ru-RU"/>
        </w:rPr>
        <w:t>2. В обеспечение выполнения указанного задания обязать:</w:t>
      </w:r>
    </w:p>
    <w:p w14:paraId="6266C442" w14:textId="77777777" w:rsidR="00C20F3C" w:rsidRPr="007224C3" w:rsidRDefault="00C20F3C" w:rsidP="007224C3">
      <w:pPr>
        <w:tabs>
          <w:tab w:val="left" w:pos="888"/>
        </w:tabs>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Gungsuh" w:hAnsi="Times New Roman"/>
          <w:color w:val="000000" w:themeColor="text1"/>
          <w:sz w:val="16"/>
          <w:szCs w:val="16"/>
          <w:lang w:eastAsia="ru-RU"/>
        </w:rPr>
        <w:t>а) начальника ЦИ1АМ т.Поликовского - изготовить 3 комплекта ВРДК, удовлетворяющих-следующим техническим условиям:</w:t>
      </w:r>
    </w:p>
    <w:p w14:paraId="1B840EE4" w14:textId="77777777" w:rsidR="00C20F3C" w:rsidRPr="007224C3" w:rsidRDefault="00C20F3C" w:rsidP="007224C3">
      <w:pPr>
        <w:tabs>
          <w:tab w:val="left" w:pos="4368"/>
        </w:tabs>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Gungsuh" w:hAnsi="Times New Roman"/>
          <w:color w:val="000000" w:themeColor="text1"/>
          <w:sz w:val="16"/>
          <w:szCs w:val="16"/>
          <w:lang w:eastAsia="ru-RU"/>
        </w:rPr>
        <w:t>тяговая мощность на высоте 7000 мт. при скорости 800 км/час, расхода топлива. 1200 кг в час и потребной мощности для работы компрессора - 300 л.с. - 900 тяговых л. с.</w:t>
      </w:r>
    </w:p>
    <w:p w14:paraId="343BFE6C" w14:textId="77777777" w:rsidR="00C20F3C" w:rsidRPr="007224C3" w:rsidRDefault="00C20F3C" w:rsidP="007224C3">
      <w:pPr>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Gungsuh" w:hAnsi="Times New Roman"/>
          <w:color w:val="000000" w:themeColor="text1"/>
          <w:sz w:val="16"/>
          <w:szCs w:val="16"/>
          <w:lang w:eastAsia="ru-RU"/>
        </w:rPr>
        <w:t>наружный диаметр компрессора ВРДК не более - 650 мм</w:t>
      </w:r>
    </w:p>
    <w:p w14:paraId="7C9C348C" w14:textId="77777777" w:rsidR="00C20F3C" w:rsidRPr="007224C3" w:rsidRDefault="00C20F3C" w:rsidP="007224C3">
      <w:pPr>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Gungsuh" w:hAnsi="Times New Roman"/>
          <w:color w:val="000000" w:themeColor="text1"/>
          <w:sz w:val="16"/>
          <w:szCs w:val="16"/>
          <w:lang w:eastAsia="ru-RU"/>
        </w:rPr>
        <w:t>вес двигателя с компрессором не более 170 кг</w:t>
      </w:r>
    </w:p>
    <w:p w14:paraId="0F98CB5C" w14:textId="77777777" w:rsidR="00C20F3C" w:rsidRPr="007224C3" w:rsidRDefault="00C20F3C" w:rsidP="007224C3">
      <w:pPr>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Gungsuh" w:hAnsi="Times New Roman"/>
          <w:color w:val="000000" w:themeColor="text1"/>
          <w:sz w:val="16"/>
          <w:szCs w:val="16"/>
          <w:lang w:eastAsia="ru-RU"/>
        </w:rPr>
        <w:t>и подать их заводу № 155:</w:t>
      </w:r>
    </w:p>
    <w:p w14:paraId="73BE3C7F" w14:textId="77777777" w:rsidR="00C20F3C" w:rsidRPr="007224C3" w:rsidRDefault="00C20F3C" w:rsidP="007224C3">
      <w:pPr>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Gungsuh" w:hAnsi="Times New Roman"/>
          <w:color w:val="000000" w:themeColor="text1"/>
          <w:sz w:val="16"/>
          <w:szCs w:val="16"/>
          <w:lang w:eastAsia="ru-RU"/>
        </w:rPr>
        <w:t>1 макетный двигатель - август 1944г.</w:t>
      </w:r>
    </w:p>
    <w:p w14:paraId="6423B731" w14:textId="77777777" w:rsidR="00C20F3C" w:rsidRPr="007224C3" w:rsidRDefault="00C20F3C" w:rsidP="007224C3">
      <w:pPr>
        <w:tabs>
          <w:tab w:val="left" w:pos="2929"/>
        </w:tabs>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Gungsuh" w:hAnsi="Times New Roman"/>
          <w:color w:val="000000" w:themeColor="text1"/>
          <w:sz w:val="16"/>
          <w:szCs w:val="16"/>
          <w:lang w:eastAsia="ru-RU"/>
        </w:rPr>
        <w:t>1 летный - декабрь 1944г.</w:t>
      </w:r>
    </w:p>
    <w:p w14:paraId="4937B1BC" w14:textId="77777777" w:rsidR="00C20F3C" w:rsidRPr="007224C3" w:rsidRDefault="00C20F3C" w:rsidP="007224C3">
      <w:pPr>
        <w:tabs>
          <w:tab w:val="left" w:pos="2923"/>
        </w:tabs>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Gungsuh" w:hAnsi="Times New Roman"/>
          <w:color w:val="000000" w:themeColor="text1"/>
          <w:sz w:val="16"/>
          <w:szCs w:val="16"/>
          <w:lang w:eastAsia="ru-RU"/>
        </w:rPr>
        <w:t>1 летный - январь 1946 г,</w:t>
      </w:r>
    </w:p>
    <w:p w14:paraId="78AA5874" w14:textId="77777777" w:rsidR="00C20F3C" w:rsidRPr="007224C3" w:rsidRDefault="00C20F3C" w:rsidP="007224C3">
      <w:pPr>
        <w:tabs>
          <w:tab w:val="left" w:pos="2923"/>
        </w:tabs>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Gungsuh" w:hAnsi="Times New Roman"/>
          <w:color w:val="000000" w:themeColor="text1"/>
          <w:sz w:val="16"/>
          <w:szCs w:val="16"/>
          <w:lang w:eastAsia="ru-RU"/>
        </w:rPr>
        <w:t>1 летный - февраль 1945г. ;</w:t>
      </w:r>
    </w:p>
    <w:p w14:paraId="3A104E35" w14:textId="77777777" w:rsidR="00C20F3C" w:rsidRPr="007224C3" w:rsidRDefault="00C20F3C" w:rsidP="007224C3">
      <w:pPr>
        <w:tabs>
          <w:tab w:val="left" w:pos="895"/>
        </w:tabs>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Gungsuh" w:hAnsi="Times New Roman"/>
          <w:color w:val="000000" w:themeColor="text1"/>
          <w:sz w:val="16"/>
          <w:szCs w:val="16"/>
          <w:lang w:eastAsia="ru-RU"/>
        </w:rPr>
        <w:t>б) начальника ЦАГИ - т.Шишкина разработать реко</w:t>
      </w:r>
      <w:r w:rsidRPr="007224C3">
        <w:rPr>
          <w:rFonts w:ascii="Times New Roman" w:eastAsia="Gungsuh" w:hAnsi="Times New Roman"/>
          <w:color w:val="000000" w:themeColor="text1"/>
          <w:sz w:val="16"/>
          <w:szCs w:val="16"/>
          <w:lang w:eastAsia="ru-RU"/>
        </w:rPr>
        <w:softHyphen/>
        <w:t>мендации по прочности. флаттеру и аэродинамике Самолета и произвести продувки в аэродинамической трубе натурного макета самолета.</w:t>
      </w:r>
    </w:p>
    <w:p w14:paraId="1E9508AB" w14:textId="77777777" w:rsidR="00C20F3C" w:rsidRPr="007224C3" w:rsidRDefault="00C20F3C" w:rsidP="007224C3">
      <w:pPr>
        <w:tabs>
          <w:tab w:val="left" w:pos="876"/>
        </w:tabs>
        <w:spacing w:after="0" w:line="240" w:lineRule="auto"/>
        <w:jc w:val="both"/>
        <w:rPr>
          <w:rFonts w:ascii="Times New Roman" w:eastAsia="Gungsuh" w:hAnsi="Times New Roman"/>
          <w:color w:val="000000" w:themeColor="text1"/>
          <w:sz w:val="16"/>
          <w:szCs w:val="16"/>
          <w:lang w:eastAsia="ru-RU"/>
        </w:rPr>
      </w:pPr>
      <w:r w:rsidRPr="007224C3">
        <w:rPr>
          <w:rFonts w:ascii="Times New Roman" w:eastAsia="Gungsuh" w:hAnsi="Times New Roman"/>
          <w:color w:val="000000" w:themeColor="text1"/>
          <w:sz w:val="16"/>
          <w:szCs w:val="16"/>
          <w:lang w:eastAsia="ru-RU"/>
        </w:rPr>
        <w:t xml:space="preserve">3. Наркомфину .СССР, - т.. Звереву выделить </w:t>
      </w:r>
      <w:r w:rsidRPr="007224C3">
        <w:rPr>
          <w:rFonts w:ascii="Times New Roman" w:eastAsia="Gungsuh" w:hAnsi="Times New Roman"/>
          <w:color w:val="000000" w:themeColor="text1"/>
          <w:sz w:val="16"/>
          <w:szCs w:val="16"/>
          <w:lang w:val="en-US"/>
        </w:rPr>
        <w:t>HK</w:t>
      </w:r>
      <w:r w:rsidRPr="007224C3">
        <w:rPr>
          <w:rFonts w:ascii="Times New Roman" w:eastAsia="Gungsuh" w:hAnsi="Times New Roman"/>
          <w:color w:val="000000" w:themeColor="text1"/>
          <w:sz w:val="16"/>
          <w:szCs w:val="16"/>
        </w:rPr>
        <w:t xml:space="preserve">АП </w:t>
      </w:r>
      <w:r w:rsidRPr="007224C3">
        <w:rPr>
          <w:rFonts w:ascii="Times New Roman" w:eastAsia="Gungsuh" w:hAnsi="Times New Roman"/>
          <w:color w:val="000000" w:themeColor="text1"/>
          <w:sz w:val="16"/>
          <w:szCs w:val="16"/>
          <w:lang w:eastAsia="ru-RU"/>
        </w:rPr>
        <w:t>из резервного фонда СНК СССР:</w:t>
      </w:r>
    </w:p>
    <w:p w14:paraId="567A518D" w14:textId="77777777" w:rsidR="00C20F3C" w:rsidRPr="007224C3" w:rsidRDefault="00C20F3C" w:rsidP="007224C3">
      <w:pPr>
        <w:tabs>
          <w:tab w:val="left" w:pos="870"/>
        </w:tabs>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Gungsuh" w:hAnsi="Times New Roman"/>
          <w:color w:val="000000" w:themeColor="text1"/>
          <w:sz w:val="16"/>
          <w:szCs w:val="16"/>
          <w:lang w:eastAsia="ru-RU"/>
        </w:rPr>
        <w:t>а) 9 миллионов рублей на постройку реактивных самолетов с двигателем ЦИАМ;</w:t>
      </w:r>
    </w:p>
    <w:p w14:paraId="2D97685D" w14:textId="77777777" w:rsidR="00C20F3C" w:rsidRPr="007224C3" w:rsidRDefault="00C20F3C" w:rsidP="007224C3">
      <w:pPr>
        <w:tabs>
          <w:tab w:val="left" w:pos="870"/>
        </w:tabs>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Gungsuh" w:hAnsi="Times New Roman"/>
          <w:color w:val="000000" w:themeColor="text1"/>
          <w:sz w:val="16"/>
          <w:szCs w:val="16"/>
          <w:lang w:eastAsia="ru-RU"/>
        </w:rPr>
        <w:t>б) один миллион рублей в распоряжение Главного конструктора т. Микояна А.И. на премирование конструк</w:t>
      </w:r>
      <w:r w:rsidRPr="007224C3">
        <w:rPr>
          <w:rFonts w:ascii="Times New Roman" w:eastAsia="Gungsuh" w:hAnsi="Times New Roman"/>
          <w:color w:val="000000" w:themeColor="text1"/>
          <w:sz w:val="16"/>
          <w:szCs w:val="16"/>
          <w:lang w:eastAsia="ru-RU"/>
        </w:rPr>
        <w:softHyphen/>
        <w:t>торов и рабочих завода, работников научных институтов и заводов-смехников, наиболее отличившихся при выполне</w:t>
      </w:r>
      <w:r w:rsidRPr="007224C3">
        <w:rPr>
          <w:rFonts w:ascii="Times New Roman" w:eastAsia="Gungsuh" w:hAnsi="Times New Roman"/>
          <w:color w:val="000000" w:themeColor="text1"/>
          <w:sz w:val="16"/>
          <w:szCs w:val="16"/>
          <w:lang w:eastAsia="ru-RU"/>
        </w:rPr>
        <w:softHyphen/>
        <w:t>нии задания по реактивному самолету.</w:t>
      </w:r>
    </w:p>
    <w:p w14:paraId="248B7EF8" w14:textId="77777777" w:rsidR="00C20F3C" w:rsidRPr="007224C3" w:rsidRDefault="00C20F3C" w:rsidP="007224C3">
      <w:pPr>
        <w:tabs>
          <w:tab w:val="left" w:pos="803"/>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Предостазйть право главному конструктору рас</w:t>
      </w:r>
      <w:r w:rsidRPr="007224C3">
        <w:rPr>
          <w:rFonts w:ascii="Times New Roman" w:hAnsi="Times New Roman"/>
          <w:color w:val="000000" w:themeColor="text1"/>
          <w:sz w:val="16"/>
          <w:szCs w:val="16"/>
        </w:rPr>
        <w:softHyphen/>
        <w:t>ходовать 50% указанных премиальных сумм в процессе выпол</w:t>
      </w:r>
      <w:r w:rsidRPr="007224C3">
        <w:rPr>
          <w:rFonts w:ascii="Times New Roman" w:hAnsi="Times New Roman"/>
          <w:color w:val="000000" w:themeColor="text1"/>
          <w:sz w:val="16"/>
          <w:szCs w:val="16"/>
        </w:rPr>
        <w:softHyphen/>
        <w:t>нения задания настоящего постановления и остальные 50%</w:t>
      </w:r>
    </w:p>
    <w:p w14:paraId="1692B900"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по выполнении</w:t>
      </w:r>
      <w:r w:rsidRPr="007224C3">
        <w:rPr>
          <w:rStyle w:val="Tahoma7pt1pt"/>
          <w:rFonts w:ascii="Times New Roman" w:hAnsi="Times New Roman" w:cs="Times New Roman"/>
          <w:color w:val="000000" w:themeColor="text1"/>
          <w:spacing w:val="0"/>
          <w:sz w:val="16"/>
          <w:szCs w:val="16"/>
        </w:rPr>
        <w:t xml:space="preserve"> этого</w:t>
      </w:r>
      <w:r w:rsidRPr="007224C3">
        <w:rPr>
          <w:rFonts w:ascii="Times New Roman" w:hAnsi="Times New Roman"/>
          <w:color w:val="000000" w:themeColor="text1"/>
          <w:sz w:val="16"/>
          <w:szCs w:val="16"/>
        </w:rPr>
        <w:t xml:space="preserve"> задания.</w:t>
      </w:r>
    </w:p>
    <w:p w14:paraId="15D004BA" w14:textId="77777777" w:rsidR="00C20F3C" w:rsidRPr="007224C3" w:rsidRDefault="00C20F3C" w:rsidP="007224C3">
      <w:pPr>
        <w:tabs>
          <w:tab w:val="left" w:pos="803"/>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Установить премию главному конструктору т.Ми</w:t>
      </w:r>
      <w:r w:rsidRPr="007224C3">
        <w:rPr>
          <w:rFonts w:ascii="Times New Roman" w:hAnsi="Times New Roman"/>
          <w:color w:val="000000" w:themeColor="text1"/>
          <w:sz w:val="16"/>
          <w:szCs w:val="16"/>
        </w:rPr>
        <w:softHyphen/>
        <w:t>кояну и заместителю главного конструктора т.Гуревичу из указанного премиального фонда за выполнение в срок зада</w:t>
      </w:r>
      <w:r w:rsidRPr="007224C3">
        <w:rPr>
          <w:rFonts w:ascii="Times New Roman" w:hAnsi="Times New Roman"/>
          <w:color w:val="000000" w:themeColor="text1"/>
          <w:sz w:val="16"/>
          <w:szCs w:val="16"/>
        </w:rPr>
        <w:softHyphen/>
        <w:t>ния по настоящему постановлению:</w:t>
      </w:r>
    </w:p>
    <w:p w14:paraId="6852113C"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т.Микояну А.И. - 100 тыс.рублей т.Гуревичу</w:t>
      </w:r>
      <w:r w:rsidRPr="007224C3">
        <w:rPr>
          <w:rStyle w:val="Tahoma"/>
          <w:rFonts w:ascii="Times New Roman" w:hAnsi="Times New Roman" w:cs="Times New Roman"/>
          <w:color w:val="000000" w:themeColor="text1"/>
          <w:sz w:val="16"/>
          <w:szCs w:val="16"/>
        </w:rPr>
        <w:t xml:space="preserve"> И.</w:t>
      </w:r>
      <w:r w:rsidRPr="007224C3">
        <w:rPr>
          <w:rFonts w:ascii="Times New Roman" w:hAnsi="Times New Roman"/>
          <w:color w:val="000000" w:themeColor="text1"/>
          <w:sz w:val="16"/>
          <w:szCs w:val="16"/>
        </w:rPr>
        <w:t xml:space="preserve"> И. - 100 тыс.рублей.</w:t>
      </w:r>
    </w:p>
    <w:p w14:paraId="2F6C1772"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У. </w:t>
      </w:r>
      <w:r w:rsidRPr="007224C3">
        <w:rPr>
          <w:rStyle w:val="16"/>
          <w:rFonts w:ascii="Times New Roman" w:hAnsi="Times New Roman" w:cs="Times New Roman"/>
          <w:color w:val="000000" w:themeColor="text1"/>
          <w:spacing w:val="0"/>
          <w:u w:val="none"/>
        </w:rPr>
        <w:t>Самолет главного конструктора тов.Сухого П.О.</w:t>
      </w:r>
    </w:p>
    <w:p w14:paraId="60CC326D"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Главному конструктору т.Сухому П.О. спроекти</w:t>
      </w:r>
      <w:r w:rsidRPr="007224C3">
        <w:rPr>
          <w:rFonts w:ascii="Times New Roman" w:hAnsi="Times New Roman"/>
          <w:color w:val="000000" w:themeColor="text1"/>
          <w:sz w:val="16"/>
          <w:szCs w:val="16"/>
        </w:rPr>
        <w:softHyphen/>
        <w:t>ровать и построить одноместный экспериментальный реак</w:t>
      </w:r>
      <w:r w:rsidRPr="007224C3">
        <w:rPr>
          <w:rFonts w:ascii="Times New Roman" w:hAnsi="Times New Roman"/>
          <w:color w:val="000000" w:themeColor="text1"/>
          <w:sz w:val="16"/>
          <w:szCs w:val="16"/>
        </w:rPr>
        <w:softHyphen/>
        <w:t>тивный самолет с мотором ВК-107А о установкой дополни</w:t>
      </w:r>
      <w:r w:rsidRPr="007224C3">
        <w:rPr>
          <w:rFonts w:ascii="Times New Roman" w:hAnsi="Times New Roman"/>
          <w:color w:val="000000" w:themeColor="text1"/>
          <w:sz w:val="16"/>
          <w:szCs w:val="16"/>
        </w:rPr>
        <w:softHyphen/>
        <w:t>тельного воздушного реактивного двигателя с компрессо</w:t>
      </w:r>
      <w:r w:rsidRPr="007224C3">
        <w:rPr>
          <w:rFonts w:ascii="Times New Roman" w:hAnsi="Times New Roman"/>
          <w:color w:val="000000" w:themeColor="text1"/>
          <w:sz w:val="16"/>
          <w:szCs w:val="16"/>
        </w:rPr>
        <w:softHyphen/>
        <w:t>ром "ВРДК" конструкции и постройки ЦИАМ, со следующими летно-техническими данными:</w:t>
      </w:r>
    </w:p>
    <w:p w14:paraId="14B75A6A"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 скорость с включением ВРДК на расчетной высоте 7000-8000 мт в течение 10 мин. - 800 км.в час</w:t>
      </w:r>
    </w:p>
    <w:p w14:paraId="59144DAD"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Максимальнаяскорость без включения ВРДМ - 700 -"-</w:t>
      </w:r>
    </w:p>
    <w:p w14:paraId="7AF4D663" w14:textId="77777777" w:rsidR="00C20F3C" w:rsidRPr="007224C3" w:rsidRDefault="00C20F3C" w:rsidP="007224C3">
      <w:pPr>
        <w:tabs>
          <w:tab w:val="left" w:pos="4271"/>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 под"емкость на 5000. м. без включения ВРДК - 5,5 мин</w:t>
      </w:r>
    </w:p>
    <w:p w14:paraId="1DD18D6D" w14:textId="77777777" w:rsidR="00C20F3C" w:rsidRPr="007224C3" w:rsidRDefault="00C20F3C" w:rsidP="007224C3">
      <w:pPr>
        <w:tabs>
          <w:tab w:val="left" w:pos="4271"/>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скоропод"емность на 5000 мт.с включе</w:t>
      </w:r>
      <w:r w:rsidRPr="007224C3">
        <w:rPr>
          <w:rFonts w:ascii="Times New Roman" w:hAnsi="Times New Roman"/>
          <w:color w:val="000000" w:themeColor="text1"/>
          <w:sz w:val="16"/>
          <w:szCs w:val="16"/>
        </w:rPr>
        <w:softHyphen/>
        <w:t>нием ВРдК - 4,3 мин.</w:t>
      </w:r>
    </w:p>
    <w:p w14:paraId="0B2B5303" w14:textId="77777777" w:rsidR="00C20F3C" w:rsidRPr="007224C3" w:rsidRDefault="00C20F3C" w:rsidP="007224C3">
      <w:pPr>
        <w:tabs>
          <w:tab w:val="left" w:pos="2099"/>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продолжительность полета при условии рлдбзования форсажем не более 10 мин - 1ч.30 мин</w:t>
      </w:r>
    </w:p>
    <w:p w14:paraId="181C4759" w14:textId="77777777" w:rsidR="00C20F3C" w:rsidRPr="007224C3" w:rsidRDefault="00C20F3C" w:rsidP="007224C3">
      <w:pPr>
        <w:tabs>
          <w:tab w:val="left" w:pos="3855"/>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практический потолок - 11800 мт.</w:t>
      </w:r>
    </w:p>
    <w:p w14:paraId="0FE9F016" w14:textId="77777777" w:rsidR="00C20F3C" w:rsidRPr="007224C3" w:rsidRDefault="00C20F3C" w:rsidP="007224C3">
      <w:pPr>
        <w:tabs>
          <w:tab w:val="left" w:pos="2772"/>
          <w:tab w:val="left" w:pos="4037"/>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 а з б</w:t>
      </w:r>
      <w:r w:rsidRPr="007224C3">
        <w:rPr>
          <w:rStyle w:val="ArialNarrow95pt"/>
          <w:rFonts w:ascii="Times New Roman" w:hAnsi="Times New Roman" w:cs="Times New Roman"/>
          <w:color w:val="000000" w:themeColor="text1"/>
          <w:sz w:val="16"/>
          <w:szCs w:val="16"/>
        </w:rPr>
        <w:t xml:space="preserve"> в</w:t>
      </w:r>
      <w:r w:rsidRPr="007224C3">
        <w:rPr>
          <w:rFonts w:ascii="Times New Roman" w:hAnsi="Times New Roman"/>
          <w:color w:val="000000" w:themeColor="text1"/>
          <w:sz w:val="16"/>
          <w:szCs w:val="16"/>
        </w:rPr>
        <w:t xml:space="preserve"> г - 330 мт.</w:t>
      </w:r>
    </w:p>
    <w:p w14:paraId="1CAC2BCD"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самолете предусмотреть установку одной пушки калибра 20 мм или 23 мм и 2-х пулеметов калибра 12,7 мм.</w:t>
      </w:r>
    </w:p>
    <w:p w14:paraId="1419069B"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построить в 2-х экземплярах и пред"явить на летные испытания:</w:t>
      </w:r>
    </w:p>
    <w:p w14:paraId="1F1F2574" w14:textId="77777777" w:rsidR="00C20F3C" w:rsidRPr="007224C3" w:rsidRDefault="00C20F3C" w:rsidP="007224C3">
      <w:pPr>
        <w:tabs>
          <w:tab w:val="left" w:pos="1182"/>
          <w:tab w:val="left" w:pos="2847"/>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1й экземпляр - 15 февраля 1945 г.</w:t>
      </w:r>
    </w:p>
    <w:p w14:paraId="08EC8F03" w14:textId="77777777" w:rsidR="00C20F3C" w:rsidRPr="007224C3" w:rsidRDefault="00C20F3C" w:rsidP="007224C3">
      <w:pPr>
        <w:tabs>
          <w:tab w:val="left" w:pos="2879"/>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2й - 15 марта 1945 г.</w:t>
      </w:r>
    </w:p>
    <w:p w14:paraId="76371E95"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В обеспечение выполнения указанного задания, обязать</w:t>
      </w:r>
    </w:p>
    <w:p w14:paraId="3B9D38AF" w14:textId="77777777" w:rsidR="00C20F3C" w:rsidRPr="007224C3" w:rsidRDefault="00C20F3C" w:rsidP="007224C3">
      <w:pPr>
        <w:tabs>
          <w:tab w:val="left" w:pos="815"/>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начальника ЦИАМ т.Поликовского изготовить 2 летных зкземпляра ВРДК, удовлетворяющих следующим техничес</w:t>
      </w:r>
      <w:r w:rsidRPr="007224C3">
        <w:rPr>
          <w:rFonts w:ascii="Times New Roman" w:hAnsi="Times New Roman"/>
          <w:color w:val="000000" w:themeColor="text1"/>
          <w:sz w:val="16"/>
          <w:szCs w:val="16"/>
        </w:rPr>
        <w:softHyphen/>
        <w:t>ким условиям:</w:t>
      </w:r>
    </w:p>
    <w:p w14:paraId="19946379" w14:textId="77777777" w:rsidR="00C20F3C" w:rsidRPr="007224C3" w:rsidRDefault="00C20F3C" w:rsidP="007224C3">
      <w:pPr>
        <w:tabs>
          <w:tab w:val="left" w:pos="4331"/>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тяговая мощность на высоте 7000 мт. при скорости 800 км/час, расходе топлива 1200 кг. в час и потребной мощности для работы компрессора 300 л.с. - 900 тяговых л.с.</w:t>
      </w:r>
    </w:p>
    <w:p w14:paraId="6CB8E0E3"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наружный диаметр компрессора ВРДК не более - 650 мм</w:t>
      </w:r>
    </w:p>
    <w:p w14:paraId="0B984CB2"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 двигателя с компрессором не более - 170 кг.</w:t>
      </w:r>
    </w:p>
    <w:p w14:paraId="6CC2EF40"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Подать заводу № 289:</w:t>
      </w:r>
    </w:p>
    <w:p w14:paraId="0D6158FF" w14:textId="77777777" w:rsidR="00C20F3C" w:rsidRPr="007224C3" w:rsidRDefault="00C20F3C" w:rsidP="007224C3">
      <w:pPr>
        <w:tabs>
          <w:tab w:val="left" w:pos="3442"/>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макетный двигатель - 1 ноября 1944 г.</w:t>
      </w:r>
    </w:p>
    <w:p w14:paraId="6A9FF418" w14:textId="77777777" w:rsidR="00C20F3C" w:rsidRPr="007224C3" w:rsidRDefault="00C20F3C" w:rsidP="007224C3">
      <w:pPr>
        <w:tabs>
          <w:tab w:val="left" w:pos="3442"/>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летный - 1 января 1545 г.</w:t>
      </w:r>
    </w:p>
    <w:p w14:paraId="1564252C" w14:textId="77777777" w:rsidR="00C20F3C" w:rsidRPr="007224C3" w:rsidRDefault="00C20F3C" w:rsidP="007224C3">
      <w:pPr>
        <w:tabs>
          <w:tab w:val="left" w:pos="3442"/>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лётный - 1 февраля 1945 г.</w:t>
      </w:r>
    </w:p>
    <w:p w14:paraId="3DF2C467" w14:textId="77777777" w:rsidR="00C20F3C" w:rsidRPr="007224C3" w:rsidRDefault="00C20F3C" w:rsidP="007224C3">
      <w:pPr>
        <w:tabs>
          <w:tab w:val="left" w:pos="821"/>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начальнику ЦАГИ - т.Шишкину разработать рекомен</w:t>
      </w:r>
      <w:r w:rsidRPr="007224C3">
        <w:rPr>
          <w:rFonts w:ascii="Times New Roman" w:hAnsi="Times New Roman"/>
          <w:color w:val="000000" w:themeColor="text1"/>
          <w:sz w:val="16"/>
          <w:szCs w:val="16"/>
        </w:rPr>
        <w:softHyphen/>
        <w:t>дации по прочности, флаттеру и аэродинамике и произвести продувки в аэродинамической трубе модели самолета, для чего главному конструктору т.Сухому подать ЦАГИ модель самолета к 1 июня 1944 года.</w:t>
      </w:r>
    </w:p>
    <w:p w14:paraId="25657ED5" w14:textId="77777777" w:rsidR="00C20F3C" w:rsidRPr="007224C3" w:rsidRDefault="00C20F3C" w:rsidP="007224C3">
      <w:pPr>
        <w:tabs>
          <w:tab w:val="left" w:pos="790"/>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Наркомфин СССР - т.Зверева выделить НКАП из резервного фонда СНК СССР:</w:t>
      </w:r>
    </w:p>
    <w:p w14:paraId="41BF7BEF" w14:textId="77777777" w:rsidR="00C20F3C" w:rsidRPr="007224C3" w:rsidRDefault="00C20F3C" w:rsidP="007224C3">
      <w:pPr>
        <w:tabs>
          <w:tab w:val="left" w:pos="796"/>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8 миллионов на постройку экспериментального самолета с</w:t>
      </w:r>
      <w:r w:rsidRPr="007224C3">
        <w:rPr>
          <w:rStyle w:val="ArialUnicodeMS-1pt"/>
          <w:rFonts w:ascii="Times New Roman" w:hAnsi="Times New Roman" w:cs="Times New Roman"/>
          <w:color w:val="000000" w:themeColor="text1"/>
          <w:spacing w:val="0"/>
          <w:sz w:val="16"/>
          <w:szCs w:val="16"/>
        </w:rPr>
        <w:t xml:space="preserve"> ВРДК</w:t>
      </w:r>
      <w:r w:rsidRPr="007224C3">
        <w:rPr>
          <w:rFonts w:ascii="Times New Roman" w:hAnsi="Times New Roman"/>
          <w:color w:val="000000" w:themeColor="text1"/>
          <w:sz w:val="16"/>
          <w:szCs w:val="16"/>
        </w:rPr>
        <w:t xml:space="preserve"> ЦИАМ;</w:t>
      </w:r>
    </w:p>
    <w:p w14:paraId="6A024F65" w14:textId="77777777" w:rsidR="00C20F3C" w:rsidRPr="007224C3" w:rsidRDefault="00C20F3C" w:rsidP="007224C3">
      <w:pPr>
        <w:tabs>
          <w:tab w:val="left" w:pos="828"/>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1 миллион рублей в распоряжение главного кон</w:t>
      </w:r>
      <w:r w:rsidRPr="007224C3">
        <w:rPr>
          <w:rFonts w:ascii="Times New Roman" w:hAnsi="Times New Roman"/>
          <w:color w:val="000000" w:themeColor="text1"/>
          <w:sz w:val="16"/>
          <w:szCs w:val="16"/>
        </w:rPr>
        <w:softHyphen/>
        <w:t>структора т.Сухого на премирование конструкторов и рабочих завода, работников научных институтов и за</w:t>
      </w:r>
      <w:r w:rsidRPr="007224C3">
        <w:rPr>
          <w:rFonts w:ascii="Times New Roman" w:hAnsi="Times New Roman"/>
          <w:color w:val="000000" w:themeColor="text1"/>
          <w:sz w:val="16"/>
          <w:szCs w:val="16"/>
        </w:rPr>
        <w:softHyphen/>
        <w:t>водов-смежников .</w:t>
      </w:r>
    </w:p>
    <w:p w14:paraId="75ACD225" w14:textId="77777777" w:rsidR="00C20F3C" w:rsidRPr="007224C3" w:rsidRDefault="00C20F3C" w:rsidP="007224C3">
      <w:pPr>
        <w:tabs>
          <w:tab w:val="left" w:pos="815"/>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Предоставить право главному конструктору рас</w:t>
      </w:r>
      <w:r w:rsidRPr="007224C3">
        <w:rPr>
          <w:rFonts w:ascii="Times New Roman" w:hAnsi="Times New Roman"/>
          <w:color w:val="000000" w:themeColor="text1"/>
          <w:sz w:val="16"/>
          <w:szCs w:val="16"/>
        </w:rPr>
        <w:softHyphen/>
        <w:t>ходовать 50% указанной премиальной суммы в процессе выполнения задания настоящего постановления и осталь</w:t>
      </w:r>
      <w:r w:rsidRPr="007224C3">
        <w:rPr>
          <w:rFonts w:ascii="Times New Roman" w:hAnsi="Times New Roman"/>
          <w:color w:val="000000" w:themeColor="text1"/>
          <w:sz w:val="16"/>
          <w:szCs w:val="16"/>
        </w:rPr>
        <w:softHyphen/>
        <w:t>ные 50% - по выполнении этого задания.</w:t>
      </w:r>
    </w:p>
    <w:p w14:paraId="0206CA55" w14:textId="77777777" w:rsidR="00C20F3C" w:rsidRPr="007224C3" w:rsidRDefault="00C20F3C" w:rsidP="007224C3">
      <w:pPr>
        <w:tabs>
          <w:tab w:val="left" w:pos="796"/>
        </w:tabs>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Установить премию главному конструктору т.Сухому П.О. из указанного премиального фонда за выполнение в срок эадания по настоящему постановлению в сумме 150.000 рублей.</w:t>
      </w:r>
    </w:p>
    <w:p w14:paraId="598CE024"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У1.</w:t>
      </w:r>
    </w:p>
    <w:p w14:paraId="0C7FA6F1"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1. Ввиду особой важности создания в кратчайший срок реактивных самолетов со скоростью не ниже 800 км в час. представить к правительственной награде тех главных конструкторов и конструкторские коллекти</w:t>
      </w:r>
      <w:r w:rsidRPr="007224C3">
        <w:rPr>
          <w:rFonts w:ascii="Times New Roman" w:hAnsi="Times New Roman"/>
          <w:color w:val="000000" w:themeColor="text1"/>
          <w:sz w:val="16"/>
          <w:szCs w:val="16"/>
        </w:rPr>
        <w:softHyphen/>
        <w:t xml:space="preserve">вы, которые построят реактивные самолеты в сроки и с данными, установленными настоящим постановлением, но скоростью не ниже </w:t>
      </w:r>
      <w:r w:rsidRPr="007224C3">
        <w:rPr>
          <w:rStyle w:val="16"/>
          <w:rFonts w:ascii="Times New Roman" w:hAnsi="Times New Roman" w:cs="Times New Roman"/>
          <w:color w:val="000000" w:themeColor="text1"/>
          <w:spacing w:val="0"/>
          <w:u w:val="none"/>
        </w:rPr>
        <w:t>800</w:t>
      </w:r>
      <w:r w:rsidRPr="007224C3">
        <w:rPr>
          <w:rFonts w:ascii="Times New Roman" w:hAnsi="Times New Roman"/>
          <w:color w:val="000000" w:themeColor="text1"/>
          <w:sz w:val="16"/>
          <w:szCs w:val="16"/>
        </w:rPr>
        <w:t xml:space="preserve"> км. в час.</w:t>
      </w:r>
    </w:p>
    <w:p w14:paraId="18341836"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Установить, что летно-тактические данные реактивных самолетов должны быть зафиксированы НИИ ВВС.</w:t>
      </w:r>
    </w:p>
    <w:p w14:paraId="21918CFC" w14:textId="77777777" w:rsidR="00C20F3C" w:rsidRPr="007224C3" w:rsidRDefault="00C20F3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Утвердить Мероприятия по обеспечению работ по реактивной авиации в Наркомавиаироме (19494).</w:t>
      </w:r>
    </w:p>
    <w:p w14:paraId="67DA7051" w14:textId="77777777" w:rsidR="00DF15BD" w:rsidRPr="007224C3" w:rsidRDefault="00DF15BD" w:rsidP="007224C3">
      <w:pPr>
        <w:autoSpaceDE w:val="0"/>
        <w:autoSpaceDN w:val="0"/>
        <w:adjustRightInd w:val="0"/>
        <w:spacing w:after="0" w:line="240" w:lineRule="auto"/>
        <w:jc w:val="both"/>
        <w:rPr>
          <w:rFonts w:ascii="Times New Roman" w:hAnsi="Times New Roman"/>
          <w:color w:val="000000" w:themeColor="text1"/>
          <w:sz w:val="16"/>
          <w:szCs w:val="16"/>
        </w:rPr>
      </w:pPr>
    </w:p>
    <w:p w14:paraId="4213CC49" w14:textId="77777777" w:rsidR="00792FE2" w:rsidRPr="007224C3" w:rsidRDefault="00792FE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Согласно вышедшему 22 мая 1944 года постановлению Государственного комитета обороны (ГОКО), к сентябрю предполагалось построить и передать на летные испытания модификации истребителей Як-9, Ла-5 и Су-6 2ТК-3 с дополнительными ЖРД РД-1, разработанными В.П. Глушко в ОКБ НКВД при заводе № 16. При работе ускорителей на самолетах Як-9 и Ла-5 время набора высоты 5000 м должно было уменьшиться до трех минут, а максимальная скорость полета – возрасти до 780 км/час на отрезке времени до трех минут.</w:t>
      </w:r>
    </w:p>
    <w:p w14:paraId="0C90E5D6" w14:textId="77777777" w:rsidR="00792FE2" w:rsidRPr="007224C3" w:rsidRDefault="00792FE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 Лавочкин поручил выполнение этого задания организованному в марте 1944 года в Москве филиалу своего ОКБ (основное ОКБ располагалось пока в Горьком на заводе № 21), которым руководил С.М. Алексеев. Филиал назывался «Опытный завод № 81» и располагался на специально выделенной для него части серийного московского завода № 381, выпускавшего в то время истребители Ла-7. Таким образом, к созданию первых «полуреактивных» «Лавочкиных» был привлечен будущий руководитель ОКБ-21, заместитель С.А. Лавочкина в годы Великой Отечественной войны, Семен Михайлович Алексеев.</w:t>
      </w:r>
    </w:p>
    <w:p w14:paraId="2DCE0A00" w14:textId="77777777" w:rsidR="00792FE2" w:rsidRPr="007224C3" w:rsidRDefault="00792FE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Третьей машиной С.А. Лавочкина с РД-1 стала модификация опытного самолета «120» постройки завода № 21. Для испытаний двух ПВРД ВРД-1 в августе 1942 года использовался ЛаГГ-3 № 31213173 также постройки Горьковского авиационного завода. Всего до 16 августа 1942 года летчик-испытатель авиазавода № 21 Г.А. Мищенко совершил на нем 14 полетов.</w:t>
      </w:r>
    </w:p>
    <w:p w14:paraId="546271DF" w14:textId="77777777" w:rsidR="00792FE2" w:rsidRPr="007224C3" w:rsidRDefault="00792FE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базе серийного истребителя Ла-9 в 1947 году был создан опытный самолет «138», оснащенный двумя дополнительными ПВРД-430. Двигателями Д-13 в июле того же года был оборудован серийный Ла-9, выпущенный на заводе № 21. Таким образом, самолеты, построенные на Горьковском авиазаводе им. С. Орджоникидзе, активно использовались в качестве «летающих лабораторий» для отработки опытных реактивных двигателей (18097).</w:t>
      </w:r>
    </w:p>
    <w:p w14:paraId="5FB769FA" w14:textId="77777777" w:rsidR="00792FE2" w:rsidRPr="007224C3" w:rsidRDefault="00792FE2" w:rsidP="007224C3">
      <w:pPr>
        <w:spacing w:after="0" w:line="240" w:lineRule="auto"/>
        <w:jc w:val="both"/>
        <w:rPr>
          <w:rFonts w:ascii="Times New Roman" w:hAnsi="Times New Roman"/>
          <w:color w:val="000000" w:themeColor="text1"/>
          <w:sz w:val="16"/>
          <w:szCs w:val="16"/>
        </w:rPr>
      </w:pPr>
    </w:p>
    <w:p w14:paraId="1A69803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мая 1944 г. вышло постановление ГКО, согласно которому, наряду с самолетами других конструкторов предлагалось установить РД-1 и наЛа-5ФН. При штатном вооружении Ла-5ФН максимальная скорость полуреактивного истребителя должна была быть не менее 780 км/ч на высоте 7000 м. Подниматься на 5000 м он должен был за 3 минуты (время работы ЖРД) при дальности полета на основном двигателе - 300 км. Самолет требовалось построить в трех экземплярах, причем первый - к сентябрю 1944 года, а последний с ламинарным профилем крыла - к январю 1945 года (12032).</w:t>
      </w:r>
    </w:p>
    <w:p w14:paraId="5C68F3D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15F0626" w14:textId="77777777" w:rsidR="000406C2" w:rsidRPr="007224C3" w:rsidRDefault="000406C2" w:rsidP="007224C3">
      <w:pPr>
        <w:spacing w:after="0" w:line="240" w:lineRule="auto"/>
        <w:jc w:val="both"/>
        <w:rPr>
          <w:rFonts w:ascii="Times New Roman" w:hAnsi="Times New Roman"/>
          <w:bCs/>
          <w:color w:val="000000" w:themeColor="text1"/>
          <w:sz w:val="16"/>
          <w:szCs w:val="16"/>
        </w:rPr>
      </w:pPr>
      <w:r w:rsidRPr="007224C3">
        <w:rPr>
          <w:rFonts w:ascii="Times New Roman" w:hAnsi="Times New Roman"/>
          <w:bCs/>
          <w:color w:val="000000" w:themeColor="text1"/>
          <w:sz w:val="16"/>
          <w:szCs w:val="16"/>
        </w:rPr>
        <w:t>22 мая</w:t>
      </w:r>
      <w:r w:rsidRPr="007224C3">
        <w:rPr>
          <w:rFonts w:ascii="Times New Roman" w:hAnsi="Times New Roman"/>
          <w:color w:val="000000" w:themeColor="text1"/>
          <w:sz w:val="16"/>
          <w:szCs w:val="16"/>
        </w:rPr>
        <w:t xml:space="preserve"> в 1944 году Государственный Комитет Обороны принял постановление № 5946 о развитии реактивной авиации в СССР и утвердил задания НКАП для ОКБ С.А.Лавочкина, А.И.Микояна, М.И.Гуревича, Н.Н.Поликарпова, П.О.Сухого и А.С.Яковлева. Начало фундаментальных работ по созданию боевых реактивных самолетов. Ввиду отсутствия в нашей стране турбореактивных двигателей (ТРД) его результатом стало появление самолёта «№И-250» с комбинированной силовой установкой («ВК-107А» плюс ВРДК), взлетевшего в марте 1945 г;</w:t>
      </w:r>
    </w:p>
    <w:p w14:paraId="757BBC7D" w14:textId="77777777" w:rsidR="000406C2" w:rsidRPr="007224C3" w:rsidRDefault="000406C2" w:rsidP="007224C3">
      <w:pPr>
        <w:spacing w:after="0" w:line="240" w:lineRule="auto"/>
        <w:jc w:val="both"/>
        <w:rPr>
          <w:rFonts w:ascii="Times New Roman" w:hAnsi="Times New Roman"/>
          <w:bCs/>
          <w:color w:val="000000" w:themeColor="text1"/>
          <w:sz w:val="16"/>
          <w:szCs w:val="16"/>
        </w:rPr>
      </w:pPr>
    </w:p>
    <w:p w14:paraId="26FAFBB3" w14:textId="77777777" w:rsidR="000406C2" w:rsidRPr="007224C3" w:rsidRDefault="000406C2"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22 мая</w:t>
      </w:r>
      <w:r w:rsidRPr="007224C3">
        <w:rPr>
          <w:rFonts w:ascii="Times New Roman" w:hAnsi="Times New Roman"/>
          <w:color w:val="000000" w:themeColor="text1"/>
          <w:sz w:val="16"/>
          <w:szCs w:val="16"/>
        </w:rPr>
        <w:t xml:space="preserve"> в 1944 году постановление ГКО № 5946 о развитии реактивной авиации в стране. Ввиду отсутствия в нашей стране турбореактивных двигателей (ТРД) его результатом стало появление самолёта «И-250» с комбинированной силовой установкой («ВК-107А» плюс ВРДК), взлетевшего в марте 1945 года (14899).</w:t>
      </w:r>
    </w:p>
    <w:p w14:paraId="0596D846" w14:textId="77777777" w:rsidR="000406C2" w:rsidRPr="007224C3" w:rsidRDefault="000406C2" w:rsidP="007224C3">
      <w:pPr>
        <w:spacing w:after="0" w:line="240" w:lineRule="auto"/>
        <w:jc w:val="both"/>
        <w:rPr>
          <w:rFonts w:ascii="Times New Roman" w:hAnsi="Times New Roman"/>
          <w:color w:val="000000" w:themeColor="text1"/>
          <w:sz w:val="16"/>
          <w:szCs w:val="16"/>
        </w:rPr>
      </w:pPr>
    </w:p>
    <w:p w14:paraId="06F3AB8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мая 1944 г. вышло Постановление ГКО № 5946сс, а 30 мая — при</w:t>
      </w:r>
      <w:r w:rsidRPr="007224C3">
        <w:rPr>
          <w:rFonts w:ascii="Times New Roman" w:hAnsi="Times New Roman"/>
          <w:color w:val="000000" w:themeColor="text1"/>
          <w:sz w:val="16"/>
          <w:szCs w:val="16"/>
        </w:rPr>
        <w:softHyphen/>
        <w:t>каз НКАП №371, в которых среди прочих работ пору</w:t>
      </w:r>
      <w:r w:rsidRPr="007224C3">
        <w:rPr>
          <w:rFonts w:ascii="Times New Roman" w:hAnsi="Times New Roman"/>
          <w:color w:val="000000" w:themeColor="text1"/>
          <w:sz w:val="16"/>
          <w:szCs w:val="16"/>
        </w:rPr>
        <w:softHyphen/>
        <w:t>чалось ОКБ-21 создать модификацию Ла-5ФН с мото</w:t>
      </w:r>
      <w:r w:rsidRPr="007224C3">
        <w:rPr>
          <w:rFonts w:ascii="Times New Roman" w:hAnsi="Times New Roman"/>
          <w:color w:val="000000" w:themeColor="text1"/>
          <w:sz w:val="16"/>
          <w:szCs w:val="16"/>
        </w:rPr>
        <w:softHyphen/>
        <w:t>ром М-82ФН или М-83 и однокамерным жидкостным ракетным двигателем РД-1 конструкции Глушко. Опыт</w:t>
      </w:r>
      <w:r w:rsidRPr="007224C3">
        <w:rPr>
          <w:rFonts w:ascii="Times New Roman" w:hAnsi="Times New Roman"/>
          <w:color w:val="000000" w:themeColor="text1"/>
          <w:sz w:val="16"/>
          <w:szCs w:val="16"/>
        </w:rPr>
        <w:softHyphen/>
        <w:t>ный Ла-5РД № 1 следовало передать на испытания в сентябре 1944 г., № 2 — в октябре, а № 3 — в январе 1945 г. С включенным ЖРД предстояло достигнуть ско</w:t>
      </w:r>
      <w:r w:rsidRPr="007224C3">
        <w:rPr>
          <w:rFonts w:ascii="Times New Roman" w:hAnsi="Times New Roman"/>
          <w:color w:val="000000" w:themeColor="text1"/>
          <w:sz w:val="16"/>
          <w:szCs w:val="16"/>
        </w:rPr>
        <w:softHyphen/>
        <w:t>рости 780 км/ч, а высоту 5 км набирать за 3 мин (11123).</w:t>
      </w:r>
    </w:p>
    <w:p w14:paraId="4D08396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F8FED3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мая 1944 Постановлением №5946 ГКО утвердил задания НКАП для ОКБ С.А. Лавочкина, А.И.Микояна и М.И.Гуре-вича, Н.Н.Поликарпова, П.О.Сухого и А.С.Яковлева (6000).</w:t>
      </w:r>
    </w:p>
    <w:p w14:paraId="5F8BBF3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33FE0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мая 1944 г. ГКО постановлени</w:t>
      </w:r>
      <w:r w:rsidRPr="007224C3">
        <w:rPr>
          <w:rFonts w:ascii="Times New Roman" w:hAnsi="Times New Roman"/>
          <w:color w:val="000000" w:themeColor="text1"/>
          <w:sz w:val="16"/>
          <w:szCs w:val="16"/>
        </w:rPr>
        <w:softHyphen/>
        <w:t>ем №5946 утвердил представленные НКАП предложения по реактивной технике (11128).</w:t>
      </w:r>
    </w:p>
    <w:p w14:paraId="58A4D98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7394C4F" w14:textId="77777777" w:rsidR="00F61FAB" w:rsidRPr="007224C3" w:rsidRDefault="00F61FA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мая 1944 вышло постановление ГОКО N 5946сс о постройке экспериментального реактивного истребителя конструкции А.С.Я. (1813,234).</w:t>
      </w:r>
    </w:p>
    <w:p w14:paraId="7C3144BE" w14:textId="77777777" w:rsidR="00F61FAB" w:rsidRPr="007224C3" w:rsidRDefault="00F61FA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27294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мая 1944 ГКО принял второе постановление N 5946cc (2928,80), наметившее широкую программу строительства реактивной авиации (173,413). К сентябрю 1944 хотели построить и предъявить на летные испытания Як-9, Ла-5, Су-6 2ТК-3 с ЖРД РД-1 В.П.Глушко. Хотели 780 км/час на 3 мин. (2134,8).</w:t>
      </w:r>
    </w:p>
    <w:p w14:paraId="3E6682B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B2B4F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мая 1944 года ГКО принял постановления №5945 "О создании авиационных реактивных двигателей" и №5946 "О создании самолетов с реактивными двигателями". Поскольку в то время в Советском Союзе еще было далеко до постройки газотурбинного двигателя, то эти документы стали отправными точками на пути создания первых отечественных самолетов с комбинированными силовыми установками.</w:t>
      </w:r>
    </w:p>
    <w:p w14:paraId="4BD4A6C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Согласно этим документам, ОКБ-115 предписывалось построить по две экспериментальные машины на базе истребителя Як-9 с дополнительными жидкостно-ре- активными двигателями РД-1 тягой 300 кгс и трехкамерногоРД-3 тягой 900 кгс конструкции В.П. Глушко. Однако проработки варианта Як-9 с РД-1 показали, что из- за большого полетного веса эффект от использования ЖРД будет значительно меньше, чем при установке его на новый более легкий истребитель Як-3 (12047).</w:t>
      </w:r>
    </w:p>
    <w:p w14:paraId="380E9AF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35C204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мая 1944 придавая исключительно важное значение делу создания самолетов с реактивными двигателями вышло постановление ГКО N 5946сс (1673,7).</w:t>
      </w:r>
    </w:p>
    <w:p w14:paraId="204EBA6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Создали НИИ-1 и поручили разработать модификации Як-9, Ла-5 и Су-6с ускорительными ЖРД РД-1 и постройку чисто ракетных в ОКБ А.С.Я. и Н.Н.П., а также экспериментальной машины с ТРД С.А.Л. и истребителей с мотор-компрессорами у А.И.М. и П.О.С. (2393,23).</w:t>
      </w:r>
    </w:p>
    <w:p w14:paraId="0752CCC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85C3D6"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22 мая 1944 г. вышло Постановление ГКО № 5946 О развитии реактивной авиации в стране (6395), которое утвердило предложения по строительству РД и самолетов, представленные с опозданием </w:t>
      </w:r>
      <w:r w:rsidR="00552857" w:rsidRPr="007224C3">
        <w:rPr>
          <w:rFonts w:ascii="Times New Roman" w:hAnsi="Times New Roman"/>
          <w:color w:val="000000" w:themeColor="text1"/>
          <w:sz w:val="16"/>
          <w:szCs w:val="16"/>
        </w:rPr>
        <w:t>(</w:t>
      </w:r>
      <w:r w:rsidRPr="007224C3">
        <w:rPr>
          <w:rFonts w:ascii="Times New Roman" w:hAnsi="Times New Roman"/>
          <w:color w:val="000000" w:themeColor="text1"/>
          <w:sz w:val="16"/>
          <w:szCs w:val="16"/>
        </w:rPr>
        <w:t>срок был - 15 марта 1944) (6471, 5).</w:t>
      </w:r>
    </w:p>
    <w:p w14:paraId="3CB6934D"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33DD168" w14:textId="77777777" w:rsidR="00552857" w:rsidRPr="007224C3" w:rsidRDefault="0055285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мая 1944 г. постановлением ГКО №5946 НИИРА переименовывается в НИИ-1 НКАП. Начальником института назначили генерал-майора авиации П.И. Федорова. В состав института в качестве филиала № 1 было включено ОКБ-293, разрабатывавшее первые советские реактивные самолеты БИ-1, а его руководитель В.Ф. Болховитинов стал первым заместителем начальника. Институт был переориентирован на решение задач создания реактивный авиации, в первую очередь по разработке жидкостных ракетных и воздушно-реактивных двигателей. Разработку реактивных снарядов как непрофильную тематику руководство Наркомата авиапрома стремилось передать из НИИ-1 в другую специализированную организацию (12205).</w:t>
      </w:r>
    </w:p>
    <w:p w14:paraId="359753DB" w14:textId="77777777" w:rsidR="00552857" w:rsidRPr="007224C3" w:rsidRDefault="00552857" w:rsidP="007224C3">
      <w:pPr>
        <w:spacing w:after="0" w:line="240" w:lineRule="auto"/>
        <w:jc w:val="both"/>
        <w:rPr>
          <w:rFonts w:ascii="Times New Roman" w:hAnsi="Times New Roman"/>
          <w:color w:val="000000" w:themeColor="text1"/>
          <w:sz w:val="16"/>
          <w:szCs w:val="16"/>
        </w:rPr>
      </w:pPr>
    </w:p>
    <w:p w14:paraId="0978C09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мая 1944 г. постановлением ГКО № 5946 конструкторскому коллективу, возглавлявшемуся С.А. Лавочкиным, была официально задана разработка первого в нашей стране самолета с турбореактивным двигателем. Ведущим конструктором по теме был С.М. Алексеев, спроектировавший двухбалочную машину с двигателем тягой 1250 кгс в хвостовой части фюзеляжа, трехопорным шасси с носовой стойкой и даже с герметичной кабиной. По расчетам максимальная скорость полета должна была достигать 890 км/ч у земли, а практический потолок - составить 15000 м. Это была мечта, так и оставшаяся нереализованной из-за отсутствия пригодного для полетов двигателя (11407).</w:t>
      </w:r>
    </w:p>
    <w:p w14:paraId="7880438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BAA9AF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мая 1944 г. вышло постановление правительства "О создании авиационных реактивных двигателей", один из пунктов которого предписывал начальнику НИИ-1 П.И. Федорову и конструктору А.М. Люльке построить экспериментальный газотурбинный ВРД со статической тягой 1250 кгс и предъявить его на заводские испытания к 1 марта 1945 г (11147).</w:t>
      </w:r>
    </w:p>
    <w:p w14:paraId="0B08776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ED9C41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мая 1944 главный инженер ВВС генерал-полковник А.К.Репин утвердил тактико-технические требования к И-250. По расчетам максимальная скорость истребителя И-250, с применением ВРДК, должна была составить 825 км/ч на высоте 7000 м (6000).</w:t>
      </w:r>
    </w:p>
    <w:p w14:paraId="6344BB7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D8898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мая 1944 года состоялось по</w:t>
      </w:r>
      <w:r w:rsidRPr="007224C3">
        <w:rPr>
          <w:rFonts w:ascii="Times New Roman" w:hAnsi="Times New Roman"/>
          <w:color w:val="000000" w:themeColor="text1"/>
          <w:sz w:val="16"/>
          <w:szCs w:val="16"/>
        </w:rPr>
        <w:softHyphen/>
        <w:t>становление правительства «О созда</w:t>
      </w:r>
      <w:r w:rsidRPr="007224C3">
        <w:rPr>
          <w:rFonts w:ascii="Times New Roman" w:hAnsi="Times New Roman"/>
          <w:color w:val="000000" w:themeColor="text1"/>
          <w:sz w:val="16"/>
          <w:szCs w:val="16"/>
        </w:rPr>
        <w:softHyphen/>
        <w:t>нии авиационных реактивных двига</w:t>
      </w:r>
      <w:r w:rsidRPr="007224C3">
        <w:rPr>
          <w:rFonts w:ascii="Times New Roman" w:hAnsi="Times New Roman"/>
          <w:color w:val="000000" w:themeColor="text1"/>
          <w:sz w:val="16"/>
          <w:szCs w:val="16"/>
        </w:rPr>
        <w:softHyphen/>
        <w:t>телей», один из пунктов которого пред</w:t>
      </w:r>
      <w:r w:rsidRPr="007224C3">
        <w:rPr>
          <w:rFonts w:ascii="Times New Roman" w:hAnsi="Times New Roman"/>
          <w:color w:val="000000" w:themeColor="text1"/>
          <w:sz w:val="16"/>
          <w:szCs w:val="16"/>
        </w:rPr>
        <w:softHyphen/>
        <w:t>писывал начальнику НИИ-1 П.И.Фе</w:t>
      </w:r>
      <w:r w:rsidRPr="007224C3">
        <w:rPr>
          <w:rFonts w:ascii="Times New Roman" w:hAnsi="Times New Roman"/>
          <w:color w:val="000000" w:themeColor="text1"/>
          <w:sz w:val="16"/>
          <w:szCs w:val="16"/>
        </w:rPr>
        <w:softHyphen/>
        <w:t>дорову и конструктору А.М.Люльке построить экспериментальный газо</w:t>
      </w:r>
      <w:r w:rsidRPr="007224C3">
        <w:rPr>
          <w:rFonts w:ascii="Times New Roman" w:hAnsi="Times New Roman"/>
          <w:color w:val="000000" w:themeColor="text1"/>
          <w:sz w:val="16"/>
          <w:szCs w:val="16"/>
        </w:rPr>
        <w:softHyphen/>
        <w:t>турбинный ВРД со статической тягой 1250кгс и предъявить его на заводс</w:t>
      </w:r>
      <w:r w:rsidRPr="007224C3">
        <w:rPr>
          <w:rFonts w:ascii="Times New Roman" w:hAnsi="Times New Roman"/>
          <w:color w:val="000000" w:themeColor="text1"/>
          <w:sz w:val="16"/>
          <w:szCs w:val="16"/>
        </w:rPr>
        <w:softHyphen/>
        <w:t>кие испытаний к 1 марта 1945 года. Так как в НИИ-1 производствен</w:t>
      </w:r>
      <w:r w:rsidRPr="007224C3">
        <w:rPr>
          <w:rFonts w:ascii="Times New Roman" w:hAnsi="Times New Roman"/>
          <w:color w:val="000000" w:themeColor="text1"/>
          <w:sz w:val="16"/>
          <w:szCs w:val="16"/>
        </w:rPr>
        <w:softHyphen/>
        <w:t>ной базы для создания ТРД не было, решением правительства на неболь</w:t>
      </w:r>
      <w:r w:rsidRPr="007224C3">
        <w:rPr>
          <w:rFonts w:ascii="Times New Roman" w:hAnsi="Times New Roman"/>
          <w:color w:val="000000" w:themeColor="text1"/>
          <w:sz w:val="16"/>
          <w:szCs w:val="16"/>
        </w:rPr>
        <w:softHyphen/>
        <w:t xml:space="preserve">шом московском механическом </w:t>
      </w:r>
      <w:r w:rsidRPr="007224C3">
        <w:rPr>
          <w:rFonts w:ascii="Times New Roman" w:hAnsi="Times New Roman"/>
          <w:color w:val="000000" w:themeColor="text1"/>
          <w:sz w:val="16"/>
          <w:szCs w:val="16"/>
        </w:rPr>
        <w:lastRenderedPageBreak/>
        <w:t>за</w:t>
      </w:r>
      <w:r w:rsidRPr="007224C3">
        <w:rPr>
          <w:rFonts w:ascii="Times New Roman" w:hAnsi="Times New Roman"/>
          <w:color w:val="000000" w:themeColor="text1"/>
          <w:sz w:val="16"/>
          <w:szCs w:val="16"/>
        </w:rPr>
        <w:softHyphen/>
        <w:t>воде штампов и приспособлений № 165 развернули опытно-конструктор</w:t>
      </w:r>
      <w:r w:rsidRPr="007224C3">
        <w:rPr>
          <w:rFonts w:ascii="Times New Roman" w:hAnsi="Times New Roman"/>
          <w:color w:val="000000" w:themeColor="text1"/>
          <w:sz w:val="16"/>
          <w:szCs w:val="16"/>
        </w:rPr>
        <w:softHyphen/>
        <w:t>скую базу по изготовлению реактив</w:t>
      </w:r>
      <w:r w:rsidRPr="007224C3">
        <w:rPr>
          <w:rFonts w:ascii="Times New Roman" w:hAnsi="Times New Roman"/>
          <w:color w:val="000000" w:themeColor="text1"/>
          <w:sz w:val="16"/>
          <w:szCs w:val="16"/>
        </w:rPr>
        <w:softHyphen/>
        <w:t>ных двигателей. В начале 1945 года на этом предприятии был изготовлен первый экземпляр экспериментального ТРД С-18, спроектированного группой А.М.Люльки (10706).</w:t>
      </w:r>
    </w:p>
    <w:p w14:paraId="34214DA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AC9CF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мая 1944 г. вышло постановление правительства "О создании авиационных реактивных двигателей", один из пунктов которого предписывал начальнику НИИ-1 П.И. Федорову и конструктору А.М. Люльке построить экспериментальный газотурбинный ВРД со статической тягой 1250 кгс и предъявить его на заводские испытания к 1 марта 1945 г. (11407).</w:t>
      </w:r>
    </w:p>
    <w:p w14:paraId="050E8A6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E0167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мая 1944 состоялось заседание коллегии НКАП по вопросам:</w:t>
      </w:r>
    </w:p>
    <w:p w14:paraId="44C9A70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О ходе сева в подсобных хозяйствах НКАП и на индивидуальных огородах</w:t>
      </w:r>
    </w:p>
    <w:p w14:paraId="071A417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О жилищном строительстве в Москве</w:t>
      </w:r>
    </w:p>
    <w:p w14:paraId="154E3E5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О подготовке энергохозяйства к зиме (1742).</w:t>
      </w:r>
    </w:p>
    <w:p w14:paraId="75BB17E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8FDF04" w14:textId="77777777" w:rsidR="00444AC2" w:rsidRPr="007224C3" w:rsidRDefault="00444AC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мая 1944 г. по постанов</w:t>
      </w:r>
      <w:r w:rsidRPr="007224C3">
        <w:rPr>
          <w:rFonts w:ascii="Times New Roman" w:hAnsi="Times New Roman"/>
          <w:color w:val="000000" w:themeColor="text1"/>
          <w:sz w:val="16"/>
          <w:szCs w:val="16"/>
        </w:rPr>
        <w:softHyphen/>
        <w:t>лению ГКО от предпи</w:t>
      </w:r>
      <w:r w:rsidRPr="007224C3">
        <w:rPr>
          <w:rFonts w:ascii="Times New Roman" w:hAnsi="Times New Roman"/>
          <w:color w:val="000000" w:themeColor="text1"/>
          <w:sz w:val="16"/>
          <w:szCs w:val="16"/>
        </w:rPr>
        <w:softHyphen/>
        <w:t>сывалось закупить в Великобритании «Москито» восьми новейших модифи</w:t>
      </w:r>
      <w:r w:rsidRPr="007224C3">
        <w:rPr>
          <w:rFonts w:ascii="Times New Roman" w:hAnsi="Times New Roman"/>
          <w:color w:val="000000" w:themeColor="text1"/>
          <w:sz w:val="16"/>
          <w:szCs w:val="16"/>
        </w:rPr>
        <w:softHyphen/>
        <w:t>каций - бомбардировщики, дневные и ночные истребители и разведчики. При этом нарком авиапромышленно</w:t>
      </w:r>
      <w:r w:rsidRPr="007224C3">
        <w:rPr>
          <w:rFonts w:ascii="Times New Roman" w:hAnsi="Times New Roman"/>
          <w:color w:val="000000" w:themeColor="text1"/>
          <w:sz w:val="16"/>
          <w:szCs w:val="16"/>
        </w:rPr>
        <w:softHyphen/>
        <w:t>сти А.И. Шахурин требовал от НКВТ добиваться передачи машин в полной комплектации - со всей радиоаппара</w:t>
      </w:r>
      <w:r w:rsidRPr="007224C3">
        <w:rPr>
          <w:rFonts w:ascii="Times New Roman" w:hAnsi="Times New Roman"/>
          <w:color w:val="000000" w:themeColor="text1"/>
          <w:sz w:val="16"/>
          <w:szCs w:val="16"/>
        </w:rPr>
        <w:softHyphen/>
        <w:t>турой, включая РЛС, автоматические радиокомпасы и ответчики СРО, сов</w:t>
      </w:r>
      <w:r w:rsidRPr="007224C3">
        <w:rPr>
          <w:rFonts w:ascii="Times New Roman" w:hAnsi="Times New Roman"/>
          <w:color w:val="000000" w:themeColor="text1"/>
          <w:sz w:val="16"/>
          <w:szCs w:val="16"/>
        </w:rPr>
        <w:softHyphen/>
        <w:t>ременными прицелами, фотокамерами и вооружением. К бомбардировщикам хотели получить по пять комплектов ан</w:t>
      </w:r>
      <w:r w:rsidRPr="007224C3">
        <w:rPr>
          <w:rFonts w:ascii="Times New Roman" w:hAnsi="Times New Roman"/>
          <w:color w:val="000000" w:themeColor="text1"/>
          <w:sz w:val="16"/>
          <w:szCs w:val="16"/>
        </w:rPr>
        <w:softHyphen/>
        <w:t>глийских бомб разных типов. Конечно, англичане не дали ничего.</w:t>
      </w:r>
    </w:p>
    <w:p w14:paraId="1B6B72FF" w14:textId="77777777" w:rsidR="00444AC2" w:rsidRPr="007224C3" w:rsidRDefault="00444AC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этот же период пытались дого</w:t>
      </w:r>
      <w:r w:rsidRPr="007224C3">
        <w:rPr>
          <w:rFonts w:ascii="Times New Roman" w:hAnsi="Times New Roman"/>
          <w:color w:val="000000" w:themeColor="text1"/>
          <w:sz w:val="16"/>
          <w:szCs w:val="16"/>
        </w:rPr>
        <w:softHyphen/>
        <w:t>вориться о поставках «Москито» из Канады, где имелся филиал «Де Хэвил- ленд», строивший эти машины. Хотели с июля 1943 г. получать оттуда по 50 - 100 бомбардировщиков в месяц. Сначала канадцы согласились, но позже ответили отказом. Причиной, видимо, был приоритет британских и американ</w:t>
      </w:r>
      <w:r w:rsidRPr="007224C3">
        <w:rPr>
          <w:rFonts w:ascii="Times New Roman" w:hAnsi="Times New Roman"/>
          <w:color w:val="000000" w:themeColor="text1"/>
          <w:sz w:val="16"/>
          <w:szCs w:val="16"/>
        </w:rPr>
        <w:softHyphen/>
        <w:t>ских заказов.</w:t>
      </w:r>
    </w:p>
    <w:p w14:paraId="0427729D" w14:textId="77777777" w:rsidR="00444AC2" w:rsidRPr="007224C3" w:rsidRDefault="00444AC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в предложениях по IV протоколу о поставках (на 1944 - 45 годы) совет</w:t>
      </w:r>
      <w:r w:rsidRPr="007224C3">
        <w:rPr>
          <w:rFonts w:ascii="Times New Roman" w:hAnsi="Times New Roman"/>
          <w:color w:val="000000" w:themeColor="text1"/>
          <w:sz w:val="16"/>
          <w:szCs w:val="16"/>
        </w:rPr>
        <w:softHyphen/>
        <w:t>ская сторона затребовала ни много, ни мало - 1200 «Москито». Но этому вос</w:t>
      </w:r>
      <w:r w:rsidRPr="007224C3">
        <w:rPr>
          <w:rFonts w:ascii="Times New Roman" w:hAnsi="Times New Roman"/>
          <w:color w:val="000000" w:themeColor="text1"/>
          <w:sz w:val="16"/>
          <w:szCs w:val="16"/>
        </w:rPr>
        <w:softHyphen/>
        <w:t>препятствовало вето британского ми</w:t>
      </w:r>
      <w:r w:rsidRPr="007224C3">
        <w:rPr>
          <w:rFonts w:ascii="Times New Roman" w:hAnsi="Times New Roman"/>
          <w:color w:val="000000" w:themeColor="text1"/>
          <w:sz w:val="16"/>
          <w:szCs w:val="16"/>
        </w:rPr>
        <w:softHyphen/>
        <w:t>нистерства авиации, ссылавшегося на недостаточную насыщенность новыми бомбардировщиками Королевских ВВС.</w:t>
      </w:r>
    </w:p>
    <w:p w14:paraId="78649991" w14:textId="77777777" w:rsidR="00444AC2" w:rsidRPr="007224C3" w:rsidRDefault="00444AC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Единственный попавший в СССР «Москито» после аварии разобрали на отдельные агрегаты, розданные в раз</w:t>
      </w:r>
      <w:r w:rsidRPr="007224C3">
        <w:rPr>
          <w:rFonts w:ascii="Times New Roman" w:hAnsi="Times New Roman"/>
          <w:color w:val="000000" w:themeColor="text1"/>
          <w:sz w:val="16"/>
          <w:szCs w:val="16"/>
        </w:rPr>
        <w:softHyphen/>
        <w:t>личные организации для изучения. Но влияние знакомства с ним на советскую авиапромышленность было достаточно велико. Концепция скоростного бом</w:t>
      </w:r>
      <w:r w:rsidRPr="007224C3">
        <w:rPr>
          <w:rFonts w:ascii="Times New Roman" w:hAnsi="Times New Roman"/>
          <w:color w:val="000000" w:themeColor="text1"/>
          <w:sz w:val="16"/>
          <w:szCs w:val="16"/>
        </w:rPr>
        <w:softHyphen/>
        <w:t>бардировщика без оборонительного вооружения стала очень популярна. Как «советские «Москито» рекламировались опытные самолеты В.М. Мясищева и А.Н. Туполева, конструктивно не имев</w:t>
      </w:r>
      <w:r w:rsidRPr="007224C3">
        <w:rPr>
          <w:rFonts w:ascii="Times New Roman" w:hAnsi="Times New Roman"/>
          <w:color w:val="000000" w:themeColor="text1"/>
          <w:sz w:val="16"/>
          <w:szCs w:val="16"/>
        </w:rPr>
        <w:softHyphen/>
        <w:t>шие ничего общего со своим англий</w:t>
      </w:r>
      <w:r w:rsidRPr="007224C3">
        <w:rPr>
          <w:rFonts w:ascii="Times New Roman" w:hAnsi="Times New Roman"/>
          <w:color w:val="000000" w:themeColor="text1"/>
          <w:sz w:val="16"/>
          <w:szCs w:val="16"/>
        </w:rPr>
        <w:softHyphen/>
        <w:t>ским прототипов (19655).</w:t>
      </w:r>
    </w:p>
    <w:p w14:paraId="46645A25" w14:textId="77777777" w:rsidR="00444AC2" w:rsidRPr="007224C3" w:rsidRDefault="00444AC2" w:rsidP="007224C3">
      <w:pPr>
        <w:spacing w:after="0" w:line="240" w:lineRule="auto"/>
        <w:jc w:val="both"/>
        <w:rPr>
          <w:rFonts w:ascii="Times New Roman" w:hAnsi="Times New Roman"/>
          <w:color w:val="000000" w:themeColor="text1"/>
          <w:sz w:val="16"/>
          <w:szCs w:val="16"/>
        </w:rPr>
      </w:pPr>
    </w:p>
    <w:p w14:paraId="12E30AB2"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2B1E0C8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AD47EC6"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мая 1944 г. Из основных показателей работы завода № 237 о количестве выпускаемых заводом главнейших изделий за 1941 – четыре месяца 1944 гг.</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44"/>
        <w:gridCol w:w="3128"/>
        <w:gridCol w:w="898"/>
        <w:gridCol w:w="709"/>
        <w:gridCol w:w="850"/>
        <w:gridCol w:w="851"/>
        <w:gridCol w:w="850"/>
        <w:gridCol w:w="851"/>
      </w:tblGrid>
      <w:tr w:rsidR="005106D0" w:rsidRPr="007224C3" w14:paraId="562D75A7"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05104DF2"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п/п</w:t>
            </w:r>
          </w:p>
        </w:tc>
        <w:tc>
          <w:tcPr>
            <w:tcW w:w="3128" w:type="dxa"/>
            <w:tcBorders>
              <w:top w:val="outset" w:sz="6" w:space="0" w:color="auto"/>
              <w:left w:val="outset" w:sz="6" w:space="0" w:color="auto"/>
              <w:bottom w:val="outset" w:sz="6" w:space="0" w:color="auto"/>
              <w:right w:val="outset" w:sz="6" w:space="0" w:color="auto"/>
            </w:tcBorders>
            <w:hideMark/>
          </w:tcPr>
          <w:p w14:paraId="5D8AF27C"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Наименование</w:t>
            </w:r>
          </w:p>
        </w:tc>
        <w:tc>
          <w:tcPr>
            <w:tcW w:w="898" w:type="dxa"/>
            <w:tcBorders>
              <w:top w:val="outset" w:sz="6" w:space="0" w:color="auto"/>
              <w:left w:val="outset" w:sz="6" w:space="0" w:color="auto"/>
              <w:bottom w:val="outset" w:sz="6" w:space="0" w:color="auto"/>
              <w:right w:val="outset" w:sz="6" w:space="0" w:color="auto"/>
            </w:tcBorders>
            <w:hideMark/>
          </w:tcPr>
          <w:p w14:paraId="36857A61"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Шифр прибора</w:t>
            </w:r>
          </w:p>
        </w:tc>
        <w:tc>
          <w:tcPr>
            <w:tcW w:w="709" w:type="dxa"/>
            <w:tcBorders>
              <w:top w:val="outset" w:sz="6" w:space="0" w:color="auto"/>
              <w:left w:val="outset" w:sz="6" w:space="0" w:color="auto"/>
              <w:bottom w:val="outset" w:sz="6" w:space="0" w:color="auto"/>
              <w:right w:val="outset" w:sz="6" w:space="0" w:color="auto"/>
            </w:tcBorders>
            <w:hideMark/>
          </w:tcPr>
          <w:p w14:paraId="39B4B454"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Ед. изм.</w:t>
            </w:r>
          </w:p>
        </w:tc>
        <w:tc>
          <w:tcPr>
            <w:tcW w:w="850" w:type="dxa"/>
            <w:tcBorders>
              <w:top w:val="outset" w:sz="6" w:space="0" w:color="auto"/>
              <w:left w:val="outset" w:sz="6" w:space="0" w:color="auto"/>
              <w:bottom w:val="outset" w:sz="6" w:space="0" w:color="auto"/>
              <w:right w:val="outset" w:sz="6" w:space="0" w:color="auto"/>
            </w:tcBorders>
            <w:hideMark/>
          </w:tcPr>
          <w:p w14:paraId="6476D33B"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1941 г.</w:t>
            </w:r>
          </w:p>
        </w:tc>
        <w:tc>
          <w:tcPr>
            <w:tcW w:w="851" w:type="dxa"/>
            <w:tcBorders>
              <w:top w:val="outset" w:sz="6" w:space="0" w:color="auto"/>
              <w:left w:val="outset" w:sz="6" w:space="0" w:color="auto"/>
              <w:bottom w:val="outset" w:sz="6" w:space="0" w:color="auto"/>
              <w:right w:val="outset" w:sz="6" w:space="0" w:color="auto"/>
            </w:tcBorders>
            <w:hideMark/>
          </w:tcPr>
          <w:p w14:paraId="3D925AAC"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1942 г.</w:t>
            </w:r>
          </w:p>
        </w:tc>
        <w:tc>
          <w:tcPr>
            <w:tcW w:w="850" w:type="dxa"/>
            <w:tcBorders>
              <w:top w:val="outset" w:sz="6" w:space="0" w:color="auto"/>
              <w:left w:val="outset" w:sz="6" w:space="0" w:color="auto"/>
              <w:bottom w:val="outset" w:sz="6" w:space="0" w:color="auto"/>
              <w:right w:val="outset" w:sz="6" w:space="0" w:color="auto"/>
            </w:tcBorders>
            <w:hideMark/>
          </w:tcPr>
          <w:p w14:paraId="32AD42F7"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1943 г.</w:t>
            </w:r>
          </w:p>
        </w:tc>
        <w:tc>
          <w:tcPr>
            <w:tcW w:w="851" w:type="dxa"/>
            <w:tcBorders>
              <w:top w:val="outset" w:sz="6" w:space="0" w:color="auto"/>
              <w:left w:val="outset" w:sz="6" w:space="0" w:color="auto"/>
              <w:bottom w:val="outset" w:sz="6" w:space="0" w:color="auto"/>
              <w:right w:val="outset" w:sz="6" w:space="0" w:color="auto"/>
            </w:tcBorders>
            <w:hideMark/>
          </w:tcPr>
          <w:p w14:paraId="3BEEC656"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4 месяца</w:t>
            </w:r>
          </w:p>
          <w:p w14:paraId="523BAB74"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1944 г.</w:t>
            </w:r>
          </w:p>
        </w:tc>
      </w:tr>
      <w:tr w:rsidR="005106D0" w:rsidRPr="007224C3" w14:paraId="15FA228F"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290772D1"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tc>
        <w:tc>
          <w:tcPr>
            <w:tcW w:w="3128" w:type="dxa"/>
            <w:tcBorders>
              <w:top w:val="outset" w:sz="6" w:space="0" w:color="auto"/>
              <w:left w:val="outset" w:sz="6" w:space="0" w:color="auto"/>
              <w:bottom w:val="outset" w:sz="6" w:space="0" w:color="auto"/>
              <w:right w:val="outset" w:sz="6" w:space="0" w:color="auto"/>
            </w:tcBorders>
            <w:hideMark/>
          </w:tcPr>
          <w:p w14:paraId="1DCC8C07"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Монокулярный морской дальномер c базой 0,7 м.</w:t>
            </w:r>
          </w:p>
        </w:tc>
        <w:tc>
          <w:tcPr>
            <w:tcW w:w="898" w:type="dxa"/>
            <w:tcBorders>
              <w:top w:val="outset" w:sz="6" w:space="0" w:color="auto"/>
              <w:left w:val="outset" w:sz="6" w:space="0" w:color="auto"/>
              <w:bottom w:val="outset" w:sz="6" w:space="0" w:color="auto"/>
              <w:right w:val="outset" w:sz="6" w:space="0" w:color="auto"/>
            </w:tcBorders>
            <w:hideMark/>
          </w:tcPr>
          <w:p w14:paraId="4B24A2B0"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ДМ-0,7</w:t>
            </w:r>
          </w:p>
        </w:tc>
        <w:tc>
          <w:tcPr>
            <w:tcW w:w="709" w:type="dxa"/>
            <w:tcBorders>
              <w:top w:val="outset" w:sz="6" w:space="0" w:color="auto"/>
              <w:left w:val="outset" w:sz="6" w:space="0" w:color="auto"/>
              <w:bottom w:val="outset" w:sz="6" w:space="0" w:color="auto"/>
              <w:right w:val="outset" w:sz="6" w:space="0" w:color="auto"/>
            </w:tcBorders>
            <w:hideMark/>
          </w:tcPr>
          <w:p w14:paraId="578211FA"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33F88E12"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w:t>
            </w:r>
          </w:p>
        </w:tc>
        <w:tc>
          <w:tcPr>
            <w:tcW w:w="851" w:type="dxa"/>
            <w:tcBorders>
              <w:top w:val="outset" w:sz="6" w:space="0" w:color="auto"/>
              <w:left w:val="outset" w:sz="6" w:space="0" w:color="auto"/>
              <w:bottom w:val="outset" w:sz="6" w:space="0" w:color="auto"/>
              <w:right w:val="outset" w:sz="6" w:space="0" w:color="auto"/>
            </w:tcBorders>
            <w:hideMark/>
          </w:tcPr>
          <w:p w14:paraId="616F11BE"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120</w:t>
            </w:r>
          </w:p>
        </w:tc>
        <w:tc>
          <w:tcPr>
            <w:tcW w:w="850" w:type="dxa"/>
            <w:tcBorders>
              <w:top w:val="outset" w:sz="6" w:space="0" w:color="auto"/>
              <w:left w:val="outset" w:sz="6" w:space="0" w:color="auto"/>
              <w:bottom w:val="outset" w:sz="6" w:space="0" w:color="auto"/>
              <w:right w:val="outset" w:sz="6" w:space="0" w:color="auto"/>
            </w:tcBorders>
            <w:hideMark/>
          </w:tcPr>
          <w:p w14:paraId="7D08919E"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127</w:t>
            </w:r>
          </w:p>
        </w:tc>
        <w:tc>
          <w:tcPr>
            <w:tcW w:w="851" w:type="dxa"/>
            <w:tcBorders>
              <w:top w:val="outset" w:sz="6" w:space="0" w:color="auto"/>
              <w:left w:val="outset" w:sz="6" w:space="0" w:color="auto"/>
              <w:bottom w:val="outset" w:sz="6" w:space="0" w:color="auto"/>
              <w:right w:val="outset" w:sz="6" w:space="0" w:color="auto"/>
            </w:tcBorders>
            <w:hideMark/>
          </w:tcPr>
          <w:p w14:paraId="4CC7544E"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47</w:t>
            </w:r>
          </w:p>
        </w:tc>
      </w:tr>
      <w:tr w:rsidR="005106D0" w:rsidRPr="007224C3" w14:paraId="447DF133"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380C82D8"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tc>
        <w:tc>
          <w:tcPr>
            <w:tcW w:w="3128" w:type="dxa"/>
            <w:tcBorders>
              <w:top w:val="outset" w:sz="6" w:space="0" w:color="auto"/>
              <w:left w:val="outset" w:sz="6" w:space="0" w:color="auto"/>
              <w:bottom w:val="outset" w:sz="6" w:space="0" w:color="auto"/>
              <w:right w:val="outset" w:sz="6" w:space="0" w:color="auto"/>
            </w:tcBorders>
            <w:hideMark/>
          </w:tcPr>
          <w:p w14:paraId="53046977"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Стериодальномер с базой 1,5 м на АВТ-2</w:t>
            </w:r>
          </w:p>
        </w:tc>
        <w:tc>
          <w:tcPr>
            <w:tcW w:w="898" w:type="dxa"/>
            <w:tcBorders>
              <w:top w:val="outset" w:sz="6" w:space="0" w:color="auto"/>
              <w:left w:val="outset" w:sz="6" w:space="0" w:color="auto"/>
              <w:bottom w:val="outset" w:sz="6" w:space="0" w:color="auto"/>
              <w:right w:val="outset" w:sz="6" w:space="0" w:color="auto"/>
            </w:tcBorders>
            <w:hideMark/>
          </w:tcPr>
          <w:p w14:paraId="6B4EE1A1"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ДМ-1,5 на АВТ</w:t>
            </w:r>
          </w:p>
        </w:tc>
        <w:tc>
          <w:tcPr>
            <w:tcW w:w="709" w:type="dxa"/>
            <w:tcBorders>
              <w:top w:val="outset" w:sz="6" w:space="0" w:color="auto"/>
              <w:left w:val="outset" w:sz="6" w:space="0" w:color="auto"/>
              <w:bottom w:val="outset" w:sz="6" w:space="0" w:color="auto"/>
              <w:right w:val="outset" w:sz="6" w:space="0" w:color="auto"/>
            </w:tcBorders>
            <w:hideMark/>
          </w:tcPr>
          <w:p w14:paraId="4C32D0CD"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5481374A"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7C330485"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w:t>
            </w:r>
          </w:p>
        </w:tc>
        <w:tc>
          <w:tcPr>
            <w:tcW w:w="850" w:type="dxa"/>
            <w:tcBorders>
              <w:top w:val="outset" w:sz="6" w:space="0" w:color="auto"/>
              <w:left w:val="outset" w:sz="6" w:space="0" w:color="auto"/>
              <w:bottom w:val="outset" w:sz="6" w:space="0" w:color="auto"/>
              <w:right w:val="outset" w:sz="6" w:space="0" w:color="auto"/>
            </w:tcBorders>
            <w:hideMark/>
          </w:tcPr>
          <w:p w14:paraId="4C415F12"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62</w:t>
            </w:r>
          </w:p>
        </w:tc>
        <w:tc>
          <w:tcPr>
            <w:tcW w:w="851" w:type="dxa"/>
            <w:tcBorders>
              <w:top w:val="outset" w:sz="6" w:space="0" w:color="auto"/>
              <w:left w:val="outset" w:sz="6" w:space="0" w:color="auto"/>
              <w:bottom w:val="outset" w:sz="6" w:space="0" w:color="auto"/>
              <w:right w:val="outset" w:sz="6" w:space="0" w:color="auto"/>
            </w:tcBorders>
            <w:hideMark/>
          </w:tcPr>
          <w:p w14:paraId="02E92004"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w:t>
            </w:r>
          </w:p>
        </w:tc>
      </w:tr>
      <w:tr w:rsidR="005106D0" w:rsidRPr="007224C3" w14:paraId="42BF3B74"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2E9B10C4"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tc>
        <w:tc>
          <w:tcPr>
            <w:tcW w:w="3128" w:type="dxa"/>
            <w:tcBorders>
              <w:top w:val="outset" w:sz="6" w:space="0" w:color="auto"/>
              <w:left w:val="outset" w:sz="6" w:space="0" w:color="auto"/>
              <w:bottom w:val="outset" w:sz="6" w:space="0" w:color="auto"/>
              <w:right w:val="outset" w:sz="6" w:space="0" w:color="auto"/>
            </w:tcBorders>
            <w:hideMark/>
          </w:tcPr>
          <w:p w14:paraId="0DDEF484"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Стериодальномер с базой 1,5 м на жесткой тумбе</w:t>
            </w:r>
          </w:p>
        </w:tc>
        <w:tc>
          <w:tcPr>
            <w:tcW w:w="898" w:type="dxa"/>
            <w:tcBorders>
              <w:top w:val="outset" w:sz="6" w:space="0" w:color="auto"/>
              <w:left w:val="outset" w:sz="6" w:space="0" w:color="auto"/>
              <w:bottom w:val="outset" w:sz="6" w:space="0" w:color="auto"/>
              <w:right w:val="outset" w:sz="6" w:space="0" w:color="auto"/>
            </w:tcBorders>
            <w:hideMark/>
          </w:tcPr>
          <w:p w14:paraId="3D57201B"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ДМ-1,5 на жест.</w:t>
            </w:r>
          </w:p>
        </w:tc>
        <w:tc>
          <w:tcPr>
            <w:tcW w:w="709" w:type="dxa"/>
            <w:tcBorders>
              <w:top w:val="outset" w:sz="6" w:space="0" w:color="auto"/>
              <w:left w:val="outset" w:sz="6" w:space="0" w:color="auto"/>
              <w:bottom w:val="outset" w:sz="6" w:space="0" w:color="auto"/>
              <w:right w:val="outset" w:sz="6" w:space="0" w:color="auto"/>
            </w:tcBorders>
            <w:hideMark/>
          </w:tcPr>
          <w:p w14:paraId="52776F78"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4AFC2942"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w:t>
            </w:r>
          </w:p>
        </w:tc>
        <w:tc>
          <w:tcPr>
            <w:tcW w:w="851" w:type="dxa"/>
            <w:tcBorders>
              <w:top w:val="outset" w:sz="6" w:space="0" w:color="auto"/>
              <w:left w:val="outset" w:sz="6" w:space="0" w:color="auto"/>
              <w:bottom w:val="outset" w:sz="6" w:space="0" w:color="auto"/>
              <w:right w:val="outset" w:sz="6" w:space="0" w:color="auto"/>
            </w:tcBorders>
            <w:hideMark/>
          </w:tcPr>
          <w:p w14:paraId="46C79A93"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88</w:t>
            </w:r>
          </w:p>
        </w:tc>
        <w:tc>
          <w:tcPr>
            <w:tcW w:w="850" w:type="dxa"/>
            <w:tcBorders>
              <w:top w:val="outset" w:sz="6" w:space="0" w:color="auto"/>
              <w:left w:val="outset" w:sz="6" w:space="0" w:color="auto"/>
              <w:bottom w:val="outset" w:sz="6" w:space="0" w:color="auto"/>
              <w:right w:val="outset" w:sz="6" w:space="0" w:color="auto"/>
            </w:tcBorders>
            <w:hideMark/>
          </w:tcPr>
          <w:p w14:paraId="7281CBD2"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44</w:t>
            </w:r>
          </w:p>
        </w:tc>
        <w:tc>
          <w:tcPr>
            <w:tcW w:w="851" w:type="dxa"/>
            <w:tcBorders>
              <w:top w:val="outset" w:sz="6" w:space="0" w:color="auto"/>
              <w:left w:val="outset" w:sz="6" w:space="0" w:color="auto"/>
              <w:bottom w:val="outset" w:sz="6" w:space="0" w:color="auto"/>
              <w:right w:val="outset" w:sz="6" w:space="0" w:color="auto"/>
            </w:tcBorders>
            <w:hideMark/>
          </w:tcPr>
          <w:p w14:paraId="78752FFF"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w:t>
            </w:r>
          </w:p>
        </w:tc>
      </w:tr>
      <w:tr w:rsidR="005106D0" w:rsidRPr="007224C3" w14:paraId="7CA9E560"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3D58A7AF"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w:t>
            </w:r>
          </w:p>
        </w:tc>
        <w:tc>
          <w:tcPr>
            <w:tcW w:w="3128" w:type="dxa"/>
            <w:tcBorders>
              <w:top w:val="outset" w:sz="6" w:space="0" w:color="auto"/>
              <w:left w:val="outset" w:sz="6" w:space="0" w:color="auto"/>
              <w:bottom w:val="outset" w:sz="6" w:space="0" w:color="auto"/>
              <w:right w:val="outset" w:sz="6" w:space="0" w:color="auto"/>
            </w:tcBorders>
            <w:hideMark/>
          </w:tcPr>
          <w:p w14:paraId="0D25B68D"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Стериодальномер с базой 1,5 м с конвертором</w:t>
            </w:r>
          </w:p>
        </w:tc>
        <w:tc>
          <w:tcPr>
            <w:tcW w:w="898" w:type="dxa"/>
            <w:tcBorders>
              <w:top w:val="outset" w:sz="6" w:space="0" w:color="auto"/>
              <w:left w:val="outset" w:sz="6" w:space="0" w:color="auto"/>
              <w:bottom w:val="outset" w:sz="6" w:space="0" w:color="auto"/>
              <w:right w:val="outset" w:sz="6" w:space="0" w:color="auto"/>
            </w:tcBorders>
            <w:hideMark/>
          </w:tcPr>
          <w:p w14:paraId="7AD8E7C1"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ДМ-1,5 с конверт</w:t>
            </w:r>
          </w:p>
        </w:tc>
        <w:tc>
          <w:tcPr>
            <w:tcW w:w="709" w:type="dxa"/>
            <w:tcBorders>
              <w:top w:val="outset" w:sz="6" w:space="0" w:color="auto"/>
              <w:left w:val="outset" w:sz="6" w:space="0" w:color="auto"/>
              <w:bottom w:val="outset" w:sz="6" w:space="0" w:color="auto"/>
              <w:right w:val="outset" w:sz="6" w:space="0" w:color="auto"/>
            </w:tcBorders>
            <w:hideMark/>
          </w:tcPr>
          <w:p w14:paraId="6E3FE194"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23BDDE62"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46091391"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0" w:type="dxa"/>
            <w:tcBorders>
              <w:top w:val="outset" w:sz="6" w:space="0" w:color="auto"/>
              <w:left w:val="outset" w:sz="6" w:space="0" w:color="auto"/>
              <w:bottom w:val="outset" w:sz="6" w:space="0" w:color="auto"/>
              <w:right w:val="outset" w:sz="6" w:space="0" w:color="auto"/>
            </w:tcBorders>
            <w:hideMark/>
          </w:tcPr>
          <w:p w14:paraId="654083D4"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tc>
        <w:tc>
          <w:tcPr>
            <w:tcW w:w="851" w:type="dxa"/>
            <w:tcBorders>
              <w:top w:val="outset" w:sz="6" w:space="0" w:color="auto"/>
              <w:left w:val="outset" w:sz="6" w:space="0" w:color="auto"/>
              <w:bottom w:val="outset" w:sz="6" w:space="0" w:color="auto"/>
              <w:right w:val="outset" w:sz="6" w:space="0" w:color="auto"/>
            </w:tcBorders>
            <w:hideMark/>
          </w:tcPr>
          <w:p w14:paraId="770E5A44"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6C28E891"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1CD18BB0"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tc>
        <w:tc>
          <w:tcPr>
            <w:tcW w:w="3128" w:type="dxa"/>
            <w:tcBorders>
              <w:top w:val="outset" w:sz="6" w:space="0" w:color="auto"/>
              <w:left w:val="outset" w:sz="6" w:space="0" w:color="auto"/>
              <w:bottom w:val="outset" w:sz="6" w:space="0" w:color="auto"/>
              <w:right w:val="outset" w:sz="6" w:space="0" w:color="auto"/>
            </w:tcBorders>
            <w:hideMark/>
          </w:tcPr>
          <w:p w14:paraId="2DE8A380"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Стериодальномер с базой 3 м без тумбы</w:t>
            </w:r>
          </w:p>
        </w:tc>
        <w:tc>
          <w:tcPr>
            <w:tcW w:w="898" w:type="dxa"/>
            <w:tcBorders>
              <w:top w:val="outset" w:sz="6" w:space="0" w:color="auto"/>
              <w:left w:val="outset" w:sz="6" w:space="0" w:color="auto"/>
              <w:bottom w:val="outset" w:sz="6" w:space="0" w:color="auto"/>
              <w:right w:val="outset" w:sz="6" w:space="0" w:color="auto"/>
            </w:tcBorders>
            <w:hideMark/>
          </w:tcPr>
          <w:p w14:paraId="50D520B1"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ДМ-3 б/т.</w:t>
            </w:r>
          </w:p>
        </w:tc>
        <w:tc>
          <w:tcPr>
            <w:tcW w:w="709" w:type="dxa"/>
            <w:tcBorders>
              <w:top w:val="outset" w:sz="6" w:space="0" w:color="auto"/>
              <w:left w:val="outset" w:sz="6" w:space="0" w:color="auto"/>
              <w:bottom w:val="outset" w:sz="6" w:space="0" w:color="auto"/>
              <w:right w:val="outset" w:sz="6" w:space="0" w:color="auto"/>
            </w:tcBorders>
            <w:hideMark/>
          </w:tcPr>
          <w:p w14:paraId="1B54132D"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037055E8"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079C4D5F"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w:t>
            </w:r>
          </w:p>
        </w:tc>
        <w:tc>
          <w:tcPr>
            <w:tcW w:w="850" w:type="dxa"/>
            <w:tcBorders>
              <w:top w:val="outset" w:sz="6" w:space="0" w:color="auto"/>
              <w:left w:val="outset" w:sz="6" w:space="0" w:color="auto"/>
              <w:bottom w:val="outset" w:sz="6" w:space="0" w:color="auto"/>
              <w:right w:val="outset" w:sz="6" w:space="0" w:color="auto"/>
            </w:tcBorders>
            <w:hideMark/>
          </w:tcPr>
          <w:p w14:paraId="1250EFCF"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w:t>
            </w:r>
          </w:p>
        </w:tc>
        <w:tc>
          <w:tcPr>
            <w:tcW w:w="851" w:type="dxa"/>
            <w:tcBorders>
              <w:top w:val="outset" w:sz="6" w:space="0" w:color="auto"/>
              <w:left w:val="outset" w:sz="6" w:space="0" w:color="auto"/>
              <w:bottom w:val="outset" w:sz="6" w:space="0" w:color="auto"/>
              <w:right w:val="outset" w:sz="6" w:space="0" w:color="auto"/>
            </w:tcBorders>
            <w:hideMark/>
          </w:tcPr>
          <w:p w14:paraId="460C97D0"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w:t>
            </w:r>
          </w:p>
        </w:tc>
      </w:tr>
      <w:tr w:rsidR="005106D0" w:rsidRPr="007224C3" w14:paraId="2EB88BDE"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786EF2FD"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w:t>
            </w:r>
          </w:p>
        </w:tc>
        <w:tc>
          <w:tcPr>
            <w:tcW w:w="3128" w:type="dxa"/>
            <w:tcBorders>
              <w:top w:val="outset" w:sz="6" w:space="0" w:color="auto"/>
              <w:left w:val="outset" w:sz="6" w:space="0" w:color="auto"/>
              <w:bottom w:val="outset" w:sz="6" w:space="0" w:color="auto"/>
              <w:right w:val="outset" w:sz="6" w:space="0" w:color="auto"/>
            </w:tcBorders>
            <w:hideMark/>
          </w:tcPr>
          <w:p w14:paraId="536CDEE7"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Стериодальномер с базой 3 м на жесткой тумбе</w:t>
            </w:r>
          </w:p>
        </w:tc>
        <w:tc>
          <w:tcPr>
            <w:tcW w:w="898" w:type="dxa"/>
            <w:tcBorders>
              <w:top w:val="outset" w:sz="6" w:space="0" w:color="auto"/>
              <w:left w:val="outset" w:sz="6" w:space="0" w:color="auto"/>
              <w:bottom w:val="outset" w:sz="6" w:space="0" w:color="auto"/>
              <w:right w:val="outset" w:sz="6" w:space="0" w:color="auto"/>
            </w:tcBorders>
            <w:hideMark/>
          </w:tcPr>
          <w:p w14:paraId="12B01BA9"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ДМ-3 н/т.</w:t>
            </w:r>
          </w:p>
        </w:tc>
        <w:tc>
          <w:tcPr>
            <w:tcW w:w="709" w:type="dxa"/>
            <w:tcBorders>
              <w:top w:val="outset" w:sz="6" w:space="0" w:color="auto"/>
              <w:left w:val="outset" w:sz="6" w:space="0" w:color="auto"/>
              <w:bottom w:val="outset" w:sz="6" w:space="0" w:color="auto"/>
              <w:right w:val="outset" w:sz="6" w:space="0" w:color="auto"/>
            </w:tcBorders>
            <w:hideMark/>
          </w:tcPr>
          <w:p w14:paraId="0921F0C6"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761E8F41"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w:t>
            </w:r>
          </w:p>
        </w:tc>
        <w:tc>
          <w:tcPr>
            <w:tcW w:w="851" w:type="dxa"/>
            <w:tcBorders>
              <w:top w:val="outset" w:sz="6" w:space="0" w:color="auto"/>
              <w:left w:val="outset" w:sz="6" w:space="0" w:color="auto"/>
              <w:bottom w:val="outset" w:sz="6" w:space="0" w:color="auto"/>
              <w:right w:val="outset" w:sz="6" w:space="0" w:color="auto"/>
            </w:tcBorders>
            <w:hideMark/>
          </w:tcPr>
          <w:p w14:paraId="0D6A9AB7"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w:t>
            </w:r>
          </w:p>
        </w:tc>
        <w:tc>
          <w:tcPr>
            <w:tcW w:w="850" w:type="dxa"/>
            <w:tcBorders>
              <w:top w:val="outset" w:sz="6" w:space="0" w:color="auto"/>
              <w:left w:val="outset" w:sz="6" w:space="0" w:color="auto"/>
              <w:bottom w:val="outset" w:sz="6" w:space="0" w:color="auto"/>
              <w:right w:val="outset" w:sz="6" w:space="0" w:color="auto"/>
            </w:tcBorders>
            <w:hideMark/>
          </w:tcPr>
          <w:p w14:paraId="4DBE19C0"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w:t>
            </w:r>
          </w:p>
        </w:tc>
        <w:tc>
          <w:tcPr>
            <w:tcW w:w="851" w:type="dxa"/>
            <w:tcBorders>
              <w:top w:val="outset" w:sz="6" w:space="0" w:color="auto"/>
              <w:left w:val="outset" w:sz="6" w:space="0" w:color="auto"/>
              <w:bottom w:val="outset" w:sz="6" w:space="0" w:color="auto"/>
              <w:right w:val="outset" w:sz="6" w:space="0" w:color="auto"/>
            </w:tcBorders>
            <w:hideMark/>
          </w:tcPr>
          <w:p w14:paraId="10EEA83B"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w:t>
            </w:r>
          </w:p>
        </w:tc>
      </w:tr>
      <w:tr w:rsidR="005106D0" w:rsidRPr="007224C3" w14:paraId="0E0156D2"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78DA9278"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w:t>
            </w:r>
          </w:p>
        </w:tc>
        <w:tc>
          <w:tcPr>
            <w:tcW w:w="3128" w:type="dxa"/>
            <w:tcBorders>
              <w:top w:val="outset" w:sz="6" w:space="0" w:color="auto"/>
              <w:left w:val="outset" w:sz="6" w:space="0" w:color="auto"/>
              <w:bottom w:val="outset" w:sz="6" w:space="0" w:color="auto"/>
              <w:right w:val="outset" w:sz="6" w:space="0" w:color="auto"/>
            </w:tcBorders>
            <w:hideMark/>
          </w:tcPr>
          <w:p w14:paraId="74320917"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Стериодальномер с базой 3 м на АТ-3</w:t>
            </w:r>
          </w:p>
        </w:tc>
        <w:tc>
          <w:tcPr>
            <w:tcW w:w="898" w:type="dxa"/>
            <w:tcBorders>
              <w:top w:val="outset" w:sz="6" w:space="0" w:color="auto"/>
              <w:left w:val="outset" w:sz="6" w:space="0" w:color="auto"/>
              <w:bottom w:val="outset" w:sz="6" w:space="0" w:color="auto"/>
              <w:right w:val="outset" w:sz="6" w:space="0" w:color="auto"/>
            </w:tcBorders>
            <w:hideMark/>
          </w:tcPr>
          <w:p w14:paraId="3E93AF2B"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ДМ-3 на АТ-3</w:t>
            </w:r>
          </w:p>
        </w:tc>
        <w:tc>
          <w:tcPr>
            <w:tcW w:w="709" w:type="dxa"/>
            <w:tcBorders>
              <w:top w:val="outset" w:sz="6" w:space="0" w:color="auto"/>
              <w:left w:val="outset" w:sz="6" w:space="0" w:color="auto"/>
              <w:bottom w:val="outset" w:sz="6" w:space="0" w:color="auto"/>
              <w:right w:val="outset" w:sz="6" w:space="0" w:color="auto"/>
            </w:tcBorders>
            <w:hideMark/>
          </w:tcPr>
          <w:p w14:paraId="42B3C92E"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0639CB45"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7237DC92"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w:t>
            </w:r>
          </w:p>
        </w:tc>
        <w:tc>
          <w:tcPr>
            <w:tcW w:w="850" w:type="dxa"/>
            <w:tcBorders>
              <w:top w:val="outset" w:sz="6" w:space="0" w:color="auto"/>
              <w:left w:val="outset" w:sz="6" w:space="0" w:color="auto"/>
              <w:bottom w:val="outset" w:sz="6" w:space="0" w:color="auto"/>
              <w:right w:val="outset" w:sz="6" w:space="0" w:color="auto"/>
            </w:tcBorders>
            <w:hideMark/>
          </w:tcPr>
          <w:p w14:paraId="6415CA51"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w:t>
            </w:r>
          </w:p>
        </w:tc>
        <w:tc>
          <w:tcPr>
            <w:tcW w:w="851" w:type="dxa"/>
            <w:tcBorders>
              <w:top w:val="outset" w:sz="6" w:space="0" w:color="auto"/>
              <w:left w:val="outset" w:sz="6" w:space="0" w:color="auto"/>
              <w:bottom w:val="outset" w:sz="6" w:space="0" w:color="auto"/>
              <w:right w:val="outset" w:sz="6" w:space="0" w:color="auto"/>
            </w:tcBorders>
            <w:hideMark/>
          </w:tcPr>
          <w:p w14:paraId="32FF7A3D"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w:t>
            </w:r>
          </w:p>
        </w:tc>
      </w:tr>
      <w:tr w:rsidR="005106D0" w:rsidRPr="007224C3" w14:paraId="7EB06423"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646C75E7"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w:t>
            </w:r>
          </w:p>
        </w:tc>
        <w:tc>
          <w:tcPr>
            <w:tcW w:w="3128" w:type="dxa"/>
            <w:tcBorders>
              <w:top w:val="outset" w:sz="6" w:space="0" w:color="auto"/>
              <w:left w:val="outset" w:sz="6" w:space="0" w:color="auto"/>
              <w:bottom w:val="outset" w:sz="6" w:space="0" w:color="auto"/>
              <w:right w:val="outset" w:sz="6" w:space="0" w:color="auto"/>
            </w:tcBorders>
            <w:hideMark/>
          </w:tcPr>
          <w:p w14:paraId="2FF400ED"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Стериодальномер с базой 4 м без тумбы</w:t>
            </w:r>
          </w:p>
        </w:tc>
        <w:tc>
          <w:tcPr>
            <w:tcW w:w="898" w:type="dxa"/>
            <w:tcBorders>
              <w:top w:val="outset" w:sz="6" w:space="0" w:color="auto"/>
              <w:left w:val="outset" w:sz="6" w:space="0" w:color="auto"/>
              <w:bottom w:val="outset" w:sz="6" w:space="0" w:color="auto"/>
              <w:right w:val="outset" w:sz="6" w:space="0" w:color="auto"/>
            </w:tcBorders>
            <w:hideMark/>
          </w:tcPr>
          <w:p w14:paraId="3ED44E0D"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ДМ-4 б/т.</w:t>
            </w:r>
          </w:p>
        </w:tc>
        <w:tc>
          <w:tcPr>
            <w:tcW w:w="709" w:type="dxa"/>
            <w:tcBorders>
              <w:top w:val="outset" w:sz="6" w:space="0" w:color="auto"/>
              <w:left w:val="outset" w:sz="6" w:space="0" w:color="auto"/>
              <w:bottom w:val="outset" w:sz="6" w:space="0" w:color="auto"/>
              <w:right w:val="outset" w:sz="6" w:space="0" w:color="auto"/>
            </w:tcBorders>
            <w:hideMark/>
          </w:tcPr>
          <w:p w14:paraId="71C32D46"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67ACCD7D"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tc>
        <w:tc>
          <w:tcPr>
            <w:tcW w:w="851" w:type="dxa"/>
            <w:tcBorders>
              <w:top w:val="outset" w:sz="6" w:space="0" w:color="auto"/>
              <w:left w:val="outset" w:sz="6" w:space="0" w:color="auto"/>
              <w:bottom w:val="outset" w:sz="6" w:space="0" w:color="auto"/>
              <w:right w:val="outset" w:sz="6" w:space="0" w:color="auto"/>
            </w:tcBorders>
            <w:hideMark/>
          </w:tcPr>
          <w:p w14:paraId="6B542660"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w:t>
            </w:r>
          </w:p>
        </w:tc>
        <w:tc>
          <w:tcPr>
            <w:tcW w:w="850" w:type="dxa"/>
            <w:tcBorders>
              <w:top w:val="outset" w:sz="6" w:space="0" w:color="auto"/>
              <w:left w:val="outset" w:sz="6" w:space="0" w:color="auto"/>
              <w:bottom w:val="outset" w:sz="6" w:space="0" w:color="auto"/>
              <w:right w:val="outset" w:sz="6" w:space="0" w:color="auto"/>
            </w:tcBorders>
            <w:hideMark/>
          </w:tcPr>
          <w:p w14:paraId="16511548"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w:t>
            </w:r>
          </w:p>
        </w:tc>
        <w:tc>
          <w:tcPr>
            <w:tcW w:w="851" w:type="dxa"/>
            <w:tcBorders>
              <w:top w:val="outset" w:sz="6" w:space="0" w:color="auto"/>
              <w:left w:val="outset" w:sz="6" w:space="0" w:color="auto"/>
              <w:bottom w:val="outset" w:sz="6" w:space="0" w:color="auto"/>
              <w:right w:val="outset" w:sz="6" w:space="0" w:color="auto"/>
            </w:tcBorders>
            <w:hideMark/>
          </w:tcPr>
          <w:p w14:paraId="3FAA2DEB"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7AA83B88"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4FFE95C4"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w:t>
            </w:r>
          </w:p>
        </w:tc>
        <w:tc>
          <w:tcPr>
            <w:tcW w:w="3128" w:type="dxa"/>
            <w:tcBorders>
              <w:top w:val="outset" w:sz="6" w:space="0" w:color="auto"/>
              <w:left w:val="outset" w:sz="6" w:space="0" w:color="auto"/>
              <w:bottom w:val="outset" w:sz="6" w:space="0" w:color="auto"/>
              <w:right w:val="outset" w:sz="6" w:space="0" w:color="auto"/>
            </w:tcBorders>
            <w:hideMark/>
          </w:tcPr>
          <w:p w14:paraId="74C44E33"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Стериодальномер с базой 4 м на жесткой тумбе</w:t>
            </w:r>
          </w:p>
        </w:tc>
        <w:tc>
          <w:tcPr>
            <w:tcW w:w="898" w:type="dxa"/>
            <w:tcBorders>
              <w:top w:val="outset" w:sz="6" w:space="0" w:color="auto"/>
              <w:left w:val="outset" w:sz="6" w:space="0" w:color="auto"/>
              <w:bottom w:val="outset" w:sz="6" w:space="0" w:color="auto"/>
              <w:right w:val="outset" w:sz="6" w:space="0" w:color="auto"/>
            </w:tcBorders>
            <w:hideMark/>
          </w:tcPr>
          <w:p w14:paraId="29F8FE1A"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ДМ-4 н/т.</w:t>
            </w:r>
          </w:p>
        </w:tc>
        <w:tc>
          <w:tcPr>
            <w:tcW w:w="709" w:type="dxa"/>
            <w:tcBorders>
              <w:top w:val="outset" w:sz="6" w:space="0" w:color="auto"/>
              <w:left w:val="outset" w:sz="6" w:space="0" w:color="auto"/>
              <w:bottom w:val="outset" w:sz="6" w:space="0" w:color="auto"/>
              <w:right w:val="outset" w:sz="6" w:space="0" w:color="auto"/>
            </w:tcBorders>
            <w:hideMark/>
          </w:tcPr>
          <w:p w14:paraId="503903C9"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365315C7"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2C775261"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w:t>
            </w:r>
          </w:p>
        </w:tc>
        <w:tc>
          <w:tcPr>
            <w:tcW w:w="850" w:type="dxa"/>
            <w:tcBorders>
              <w:top w:val="outset" w:sz="6" w:space="0" w:color="auto"/>
              <w:left w:val="outset" w:sz="6" w:space="0" w:color="auto"/>
              <w:bottom w:val="outset" w:sz="6" w:space="0" w:color="auto"/>
              <w:right w:val="outset" w:sz="6" w:space="0" w:color="auto"/>
            </w:tcBorders>
            <w:hideMark/>
          </w:tcPr>
          <w:p w14:paraId="78A019F8"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w:t>
            </w:r>
          </w:p>
        </w:tc>
        <w:tc>
          <w:tcPr>
            <w:tcW w:w="851" w:type="dxa"/>
            <w:tcBorders>
              <w:top w:val="outset" w:sz="6" w:space="0" w:color="auto"/>
              <w:left w:val="outset" w:sz="6" w:space="0" w:color="auto"/>
              <w:bottom w:val="outset" w:sz="6" w:space="0" w:color="auto"/>
              <w:right w:val="outset" w:sz="6" w:space="0" w:color="auto"/>
            </w:tcBorders>
            <w:hideMark/>
          </w:tcPr>
          <w:p w14:paraId="31112AEB"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w:t>
            </w:r>
          </w:p>
        </w:tc>
      </w:tr>
      <w:tr w:rsidR="005106D0" w:rsidRPr="007224C3" w14:paraId="576AE95D"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2300B928"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w:t>
            </w:r>
          </w:p>
        </w:tc>
        <w:tc>
          <w:tcPr>
            <w:tcW w:w="3128" w:type="dxa"/>
            <w:tcBorders>
              <w:top w:val="outset" w:sz="6" w:space="0" w:color="auto"/>
              <w:left w:val="outset" w:sz="6" w:space="0" w:color="auto"/>
              <w:bottom w:val="outset" w:sz="6" w:space="0" w:color="auto"/>
              <w:right w:val="outset" w:sz="6" w:space="0" w:color="auto"/>
            </w:tcBorders>
            <w:hideMark/>
          </w:tcPr>
          <w:p w14:paraId="6DCC0AF8"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Стериодальномер с базой 6 м без тумбы</w:t>
            </w:r>
          </w:p>
        </w:tc>
        <w:tc>
          <w:tcPr>
            <w:tcW w:w="898" w:type="dxa"/>
            <w:tcBorders>
              <w:top w:val="outset" w:sz="6" w:space="0" w:color="auto"/>
              <w:left w:val="outset" w:sz="6" w:space="0" w:color="auto"/>
              <w:bottom w:val="outset" w:sz="6" w:space="0" w:color="auto"/>
              <w:right w:val="outset" w:sz="6" w:space="0" w:color="auto"/>
            </w:tcBorders>
            <w:hideMark/>
          </w:tcPr>
          <w:p w14:paraId="47CDCB52"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ДМ-6 б/т.</w:t>
            </w:r>
          </w:p>
        </w:tc>
        <w:tc>
          <w:tcPr>
            <w:tcW w:w="709" w:type="dxa"/>
            <w:tcBorders>
              <w:top w:val="outset" w:sz="6" w:space="0" w:color="auto"/>
              <w:left w:val="outset" w:sz="6" w:space="0" w:color="auto"/>
              <w:bottom w:val="outset" w:sz="6" w:space="0" w:color="auto"/>
              <w:right w:val="outset" w:sz="6" w:space="0" w:color="auto"/>
            </w:tcBorders>
            <w:hideMark/>
          </w:tcPr>
          <w:p w14:paraId="3CFDF31D"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75646FB5"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291E5A3B"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tc>
        <w:tc>
          <w:tcPr>
            <w:tcW w:w="850" w:type="dxa"/>
            <w:tcBorders>
              <w:top w:val="outset" w:sz="6" w:space="0" w:color="auto"/>
              <w:left w:val="outset" w:sz="6" w:space="0" w:color="auto"/>
              <w:bottom w:val="outset" w:sz="6" w:space="0" w:color="auto"/>
              <w:right w:val="outset" w:sz="6" w:space="0" w:color="auto"/>
            </w:tcBorders>
            <w:hideMark/>
          </w:tcPr>
          <w:p w14:paraId="0C785D6F"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w:t>
            </w:r>
          </w:p>
        </w:tc>
        <w:tc>
          <w:tcPr>
            <w:tcW w:w="851" w:type="dxa"/>
            <w:tcBorders>
              <w:top w:val="outset" w:sz="6" w:space="0" w:color="auto"/>
              <w:left w:val="outset" w:sz="6" w:space="0" w:color="auto"/>
              <w:bottom w:val="outset" w:sz="6" w:space="0" w:color="auto"/>
              <w:right w:val="outset" w:sz="6" w:space="0" w:color="auto"/>
            </w:tcBorders>
            <w:hideMark/>
          </w:tcPr>
          <w:p w14:paraId="00A51031"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2325CB0D"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3B876C27"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w:t>
            </w:r>
          </w:p>
        </w:tc>
        <w:tc>
          <w:tcPr>
            <w:tcW w:w="3128" w:type="dxa"/>
            <w:tcBorders>
              <w:top w:val="outset" w:sz="6" w:space="0" w:color="auto"/>
              <w:left w:val="outset" w:sz="6" w:space="0" w:color="auto"/>
              <w:bottom w:val="outset" w:sz="6" w:space="0" w:color="auto"/>
              <w:right w:val="outset" w:sz="6" w:space="0" w:color="auto"/>
            </w:tcBorders>
            <w:hideMark/>
          </w:tcPr>
          <w:p w14:paraId="554CF187"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Стериодальномер с базой 6 м на жесткой тумбе</w:t>
            </w:r>
          </w:p>
        </w:tc>
        <w:tc>
          <w:tcPr>
            <w:tcW w:w="898" w:type="dxa"/>
            <w:tcBorders>
              <w:top w:val="outset" w:sz="6" w:space="0" w:color="auto"/>
              <w:left w:val="outset" w:sz="6" w:space="0" w:color="auto"/>
              <w:bottom w:val="outset" w:sz="6" w:space="0" w:color="auto"/>
              <w:right w:val="outset" w:sz="6" w:space="0" w:color="auto"/>
            </w:tcBorders>
            <w:hideMark/>
          </w:tcPr>
          <w:p w14:paraId="03DAAE53"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ДМ-6 н/т.</w:t>
            </w:r>
          </w:p>
        </w:tc>
        <w:tc>
          <w:tcPr>
            <w:tcW w:w="709" w:type="dxa"/>
            <w:tcBorders>
              <w:top w:val="outset" w:sz="6" w:space="0" w:color="auto"/>
              <w:left w:val="outset" w:sz="6" w:space="0" w:color="auto"/>
              <w:bottom w:val="outset" w:sz="6" w:space="0" w:color="auto"/>
              <w:right w:val="outset" w:sz="6" w:space="0" w:color="auto"/>
            </w:tcBorders>
            <w:hideMark/>
          </w:tcPr>
          <w:p w14:paraId="775E574D"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79482B2B"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60ACF6BF"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w:t>
            </w:r>
          </w:p>
        </w:tc>
        <w:tc>
          <w:tcPr>
            <w:tcW w:w="850" w:type="dxa"/>
            <w:tcBorders>
              <w:top w:val="outset" w:sz="6" w:space="0" w:color="auto"/>
              <w:left w:val="outset" w:sz="6" w:space="0" w:color="auto"/>
              <w:bottom w:val="outset" w:sz="6" w:space="0" w:color="auto"/>
              <w:right w:val="outset" w:sz="6" w:space="0" w:color="auto"/>
            </w:tcBorders>
            <w:hideMark/>
          </w:tcPr>
          <w:p w14:paraId="6682ED67"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w:t>
            </w:r>
          </w:p>
        </w:tc>
        <w:tc>
          <w:tcPr>
            <w:tcW w:w="851" w:type="dxa"/>
            <w:tcBorders>
              <w:top w:val="outset" w:sz="6" w:space="0" w:color="auto"/>
              <w:left w:val="outset" w:sz="6" w:space="0" w:color="auto"/>
              <w:bottom w:val="outset" w:sz="6" w:space="0" w:color="auto"/>
              <w:right w:val="outset" w:sz="6" w:space="0" w:color="auto"/>
            </w:tcBorders>
            <w:hideMark/>
          </w:tcPr>
          <w:p w14:paraId="47DA7776"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tc>
      </w:tr>
      <w:tr w:rsidR="005106D0" w:rsidRPr="007224C3" w14:paraId="768262F2"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7BEB7BC0"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w:t>
            </w:r>
          </w:p>
        </w:tc>
        <w:tc>
          <w:tcPr>
            <w:tcW w:w="3128" w:type="dxa"/>
            <w:tcBorders>
              <w:top w:val="outset" w:sz="6" w:space="0" w:color="auto"/>
              <w:left w:val="outset" w:sz="6" w:space="0" w:color="auto"/>
              <w:bottom w:val="outset" w:sz="6" w:space="0" w:color="auto"/>
              <w:right w:val="outset" w:sz="6" w:space="0" w:color="auto"/>
            </w:tcBorders>
            <w:hideMark/>
          </w:tcPr>
          <w:p w14:paraId="13F76046"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Стериодальномер с базой 8 м без тумбы</w:t>
            </w:r>
          </w:p>
        </w:tc>
        <w:tc>
          <w:tcPr>
            <w:tcW w:w="898" w:type="dxa"/>
            <w:tcBorders>
              <w:top w:val="outset" w:sz="6" w:space="0" w:color="auto"/>
              <w:left w:val="outset" w:sz="6" w:space="0" w:color="auto"/>
              <w:bottom w:val="outset" w:sz="6" w:space="0" w:color="auto"/>
              <w:right w:val="outset" w:sz="6" w:space="0" w:color="auto"/>
            </w:tcBorders>
            <w:hideMark/>
          </w:tcPr>
          <w:p w14:paraId="14352A16"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ДМ-8 б/т.</w:t>
            </w:r>
          </w:p>
        </w:tc>
        <w:tc>
          <w:tcPr>
            <w:tcW w:w="709" w:type="dxa"/>
            <w:tcBorders>
              <w:top w:val="outset" w:sz="6" w:space="0" w:color="auto"/>
              <w:left w:val="outset" w:sz="6" w:space="0" w:color="auto"/>
              <w:bottom w:val="outset" w:sz="6" w:space="0" w:color="auto"/>
              <w:right w:val="outset" w:sz="6" w:space="0" w:color="auto"/>
            </w:tcBorders>
            <w:hideMark/>
          </w:tcPr>
          <w:p w14:paraId="569C3A80"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427D164B"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53CD1443"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tc>
        <w:tc>
          <w:tcPr>
            <w:tcW w:w="850" w:type="dxa"/>
            <w:tcBorders>
              <w:top w:val="outset" w:sz="6" w:space="0" w:color="auto"/>
              <w:left w:val="outset" w:sz="6" w:space="0" w:color="auto"/>
              <w:bottom w:val="outset" w:sz="6" w:space="0" w:color="auto"/>
              <w:right w:val="outset" w:sz="6" w:space="0" w:color="auto"/>
            </w:tcBorders>
            <w:hideMark/>
          </w:tcPr>
          <w:p w14:paraId="7D8F2015"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tc>
        <w:tc>
          <w:tcPr>
            <w:tcW w:w="851" w:type="dxa"/>
            <w:tcBorders>
              <w:top w:val="outset" w:sz="6" w:space="0" w:color="auto"/>
              <w:left w:val="outset" w:sz="6" w:space="0" w:color="auto"/>
              <w:bottom w:val="outset" w:sz="6" w:space="0" w:color="auto"/>
              <w:right w:val="outset" w:sz="6" w:space="0" w:color="auto"/>
            </w:tcBorders>
            <w:hideMark/>
          </w:tcPr>
          <w:p w14:paraId="76CECC59"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66F0258D"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031ADE6C"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w:t>
            </w:r>
          </w:p>
        </w:tc>
        <w:tc>
          <w:tcPr>
            <w:tcW w:w="3128" w:type="dxa"/>
            <w:tcBorders>
              <w:top w:val="outset" w:sz="6" w:space="0" w:color="auto"/>
              <w:left w:val="outset" w:sz="6" w:space="0" w:color="auto"/>
              <w:bottom w:val="outset" w:sz="6" w:space="0" w:color="auto"/>
              <w:right w:val="outset" w:sz="6" w:space="0" w:color="auto"/>
            </w:tcBorders>
            <w:hideMark/>
          </w:tcPr>
          <w:p w14:paraId="38D37621"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Антивибрационные подцапфенники</w:t>
            </w:r>
          </w:p>
        </w:tc>
        <w:tc>
          <w:tcPr>
            <w:tcW w:w="898" w:type="dxa"/>
            <w:tcBorders>
              <w:top w:val="outset" w:sz="6" w:space="0" w:color="auto"/>
              <w:left w:val="outset" w:sz="6" w:space="0" w:color="auto"/>
              <w:bottom w:val="outset" w:sz="6" w:space="0" w:color="auto"/>
              <w:right w:val="outset" w:sz="6" w:space="0" w:color="auto"/>
            </w:tcBorders>
            <w:hideMark/>
          </w:tcPr>
          <w:p w14:paraId="23679FDE"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АПБ-20-12</w:t>
            </w:r>
          </w:p>
        </w:tc>
        <w:tc>
          <w:tcPr>
            <w:tcW w:w="709" w:type="dxa"/>
            <w:tcBorders>
              <w:top w:val="outset" w:sz="6" w:space="0" w:color="auto"/>
              <w:left w:val="outset" w:sz="6" w:space="0" w:color="auto"/>
              <w:bottom w:val="outset" w:sz="6" w:space="0" w:color="auto"/>
              <w:right w:val="outset" w:sz="6" w:space="0" w:color="auto"/>
            </w:tcBorders>
            <w:hideMark/>
          </w:tcPr>
          <w:p w14:paraId="596CC3E4"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3CA3DD2B"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75687E34"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tc>
        <w:tc>
          <w:tcPr>
            <w:tcW w:w="850" w:type="dxa"/>
            <w:tcBorders>
              <w:top w:val="outset" w:sz="6" w:space="0" w:color="auto"/>
              <w:left w:val="outset" w:sz="6" w:space="0" w:color="auto"/>
              <w:bottom w:val="outset" w:sz="6" w:space="0" w:color="auto"/>
              <w:right w:val="outset" w:sz="6" w:space="0" w:color="auto"/>
            </w:tcBorders>
            <w:hideMark/>
          </w:tcPr>
          <w:p w14:paraId="44BE8AF3"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tc>
        <w:tc>
          <w:tcPr>
            <w:tcW w:w="851" w:type="dxa"/>
            <w:tcBorders>
              <w:top w:val="outset" w:sz="6" w:space="0" w:color="auto"/>
              <w:left w:val="outset" w:sz="6" w:space="0" w:color="auto"/>
              <w:bottom w:val="outset" w:sz="6" w:space="0" w:color="auto"/>
              <w:right w:val="outset" w:sz="6" w:space="0" w:color="auto"/>
            </w:tcBorders>
            <w:hideMark/>
          </w:tcPr>
          <w:p w14:paraId="5CE56212"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3FE767DF"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25DD8A56"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w:t>
            </w:r>
          </w:p>
        </w:tc>
        <w:tc>
          <w:tcPr>
            <w:tcW w:w="3128" w:type="dxa"/>
            <w:tcBorders>
              <w:top w:val="outset" w:sz="6" w:space="0" w:color="auto"/>
              <w:left w:val="outset" w:sz="6" w:space="0" w:color="auto"/>
              <w:bottom w:val="outset" w:sz="6" w:space="0" w:color="auto"/>
              <w:right w:val="outset" w:sz="6" w:space="0" w:color="auto"/>
            </w:tcBorders>
            <w:hideMark/>
          </w:tcPr>
          <w:p w14:paraId="3F10BF3D"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Перископ атаки командирский</w:t>
            </w:r>
          </w:p>
        </w:tc>
        <w:tc>
          <w:tcPr>
            <w:tcW w:w="898" w:type="dxa"/>
            <w:tcBorders>
              <w:top w:val="outset" w:sz="6" w:space="0" w:color="auto"/>
              <w:left w:val="outset" w:sz="6" w:space="0" w:color="auto"/>
              <w:bottom w:val="outset" w:sz="6" w:space="0" w:color="auto"/>
              <w:right w:val="outset" w:sz="6" w:space="0" w:color="auto"/>
            </w:tcBorders>
            <w:hideMark/>
          </w:tcPr>
          <w:p w14:paraId="00855145"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ПА-7,5</w:t>
            </w:r>
          </w:p>
        </w:tc>
        <w:tc>
          <w:tcPr>
            <w:tcW w:w="709" w:type="dxa"/>
            <w:tcBorders>
              <w:top w:val="outset" w:sz="6" w:space="0" w:color="auto"/>
              <w:left w:val="outset" w:sz="6" w:space="0" w:color="auto"/>
              <w:bottom w:val="outset" w:sz="6" w:space="0" w:color="auto"/>
              <w:right w:val="outset" w:sz="6" w:space="0" w:color="auto"/>
            </w:tcBorders>
            <w:hideMark/>
          </w:tcPr>
          <w:p w14:paraId="158B69D5"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2067D8D7"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tc>
        <w:tc>
          <w:tcPr>
            <w:tcW w:w="851" w:type="dxa"/>
            <w:tcBorders>
              <w:top w:val="outset" w:sz="6" w:space="0" w:color="auto"/>
              <w:left w:val="outset" w:sz="6" w:space="0" w:color="auto"/>
              <w:bottom w:val="outset" w:sz="6" w:space="0" w:color="auto"/>
              <w:right w:val="outset" w:sz="6" w:space="0" w:color="auto"/>
            </w:tcBorders>
            <w:hideMark/>
          </w:tcPr>
          <w:p w14:paraId="4AF66185"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w:t>
            </w:r>
          </w:p>
        </w:tc>
        <w:tc>
          <w:tcPr>
            <w:tcW w:w="850" w:type="dxa"/>
            <w:tcBorders>
              <w:top w:val="outset" w:sz="6" w:space="0" w:color="auto"/>
              <w:left w:val="outset" w:sz="6" w:space="0" w:color="auto"/>
              <w:bottom w:val="outset" w:sz="6" w:space="0" w:color="auto"/>
              <w:right w:val="outset" w:sz="6" w:space="0" w:color="auto"/>
            </w:tcBorders>
            <w:hideMark/>
          </w:tcPr>
          <w:p w14:paraId="6908105B"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tc>
        <w:tc>
          <w:tcPr>
            <w:tcW w:w="851" w:type="dxa"/>
            <w:tcBorders>
              <w:top w:val="outset" w:sz="6" w:space="0" w:color="auto"/>
              <w:left w:val="outset" w:sz="6" w:space="0" w:color="auto"/>
              <w:bottom w:val="outset" w:sz="6" w:space="0" w:color="auto"/>
              <w:right w:val="outset" w:sz="6" w:space="0" w:color="auto"/>
            </w:tcBorders>
            <w:hideMark/>
          </w:tcPr>
          <w:p w14:paraId="75685DE7"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w:t>
            </w:r>
          </w:p>
        </w:tc>
      </w:tr>
      <w:tr w:rsidR="005106D0" w:rsidRPr="007224C3" w14:paraId="72DDF983"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2B88A0B8"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w:t>
            </w:r>
          </w:p>
        </w:tc>
        <w:tc>
          <w:tcPr>
            <w:tcW w:w="3128" w:type="dxa"/>
            <w:tcBorders>
              <w:top w:val="outset" w:sz="6" w:space="0" w:color="auto"/>
              <w:left w:val="outset" w:sz="6" w:space="0" w:color="auto"/>
              <w:bottom w:val="outset" w:sz="6" w:space="0" w:color="auto"/>
              <w:right w:val="outset" w:sz="6" w:space="0" w:color="auto"/>
            </w:tcBorders>
            <w:hideMark/>
          </w:tcPr>
          <w:p w14:paraId="338A69FE"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Перископ атаки командирский</w:t>
            </w:r>
          </w:p>
        </w:tc>
        <w:tc>
          <w:tcPr>
            <w:tcW w:w="898" w:type="dxa"/>
            <w:tcBorders>
              <w:top w:val="outset" w:sz="6" w:space="0" w:color="auto"/>
              <w:left w:val="outset" w:sz="6" w:space="0" w:color="auto"/>
              <w:bottom w:val="outset" w:sz="6" w:space="0" w:color="auto"/>
              <w:right w:val="outset" w:sz="6" w:space="0" w:color="auto"/>
            </w:tcBorders>
            <w:hideMark/>
          </w:tcPr>
          <w:p w14:paraId="6011031F"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ПА-8,5</w:t>
            </w:r>
          </w:p>
        </w:tc>
        <w:tc>
          <w:tcPr>
            <w:tcW w:w="709" w:type="dxa"/>
            <w:tcBorders>
              <w:top w:val="outset" w:sz="6" w:space="0" w:color="auto"/>
              <w:left w:val="outset" w:sz="6" w:space="0" w:color="auto"/>
              <w:bottom w:val="outset" w:sz="6" w:space="0" w:color="auto"/>
              <w:right w:val="outset" w:sz="6" w:space="0" w:color="auto"/>
            </w:tcBorders>
            <w:hideMark/>
          </w:tcPr>
          <w:p w14:paraId="07B1B1E7"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4702A523"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tc>
        <w:tc>
          <w:tcPr>
            <w:tcW w:w="851" w:type="dxa"/>
            <w:tcBorders>
              <w:top w:val="outset" w:sz="6" w:space="0" w:color="auto"/>
              <w:left w:val="outset" w:sz="6" w:space="0" w:color="auto"/>
              <w:bottom w:val="outset" w:sz="6" w:space="0" w:color="auto"/>
              <w:right w:val="outset" w:sz="6" w:space="0" w:color="auto"/>
            </w:tcBorders>
            <w:hideMark/>
          </w:tcPr>
          <w:p w14:paraId="4B860EB9"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w:t>
            </w:r>
          </w:p>
        </w:tc>
        <w:tc>
          <w:tcPr>
            <w:tcW w:w="850" w:type="dxa"/>
            <w:tcBorders>
              <w:top w:val="outset" w:sz="6" w:space="0" w:color="auto"/>
              <w:left w:val="outset" w:sz="6" w:space="0" w:color="auto"/>
              <w:bottom w:val="outset" w:sz="6" w:space="0" w:color="auto"/>
              <w:right w:val="outset" w:sz="6" w:space="0" w:color="auto"/>
            </w:tcBorders>
            <w:hideMark/>
          </w:tcPr>
          <w:p w14:paraId="70EFB555"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w:t>
            </w:r>
          </w:p>
        </w:tc>
        <w:tc>
          <w:tcPr>
            <w:tcW w:w="851" w:type="dxa"/>
            <w:tcBorders>
              <w:top w:val="outset" w:sz="6" w:space="0" w:color="auto"/>
              <w:left w:val="outset" w:sz="6" w:space="0" w:color="auto"/>
              <w:bottom w:val="outset" w:sz="6" w:space="0" w:color="auto"/>
              <w:right w:val="outset" w:sz="6" w:space="0" w:color="auto"/>
            </w:tcBorders>
            <w:hideMark/>
          </w:tcPr>
          <w:p w14:paraId="370C6DD3"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tc>
      </w:tr>
      <w:tr w:rsidR="005106D0" w:rsidRPr="007224C3" w14:paraId="4F3970FD"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48BA09D4"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w:t>
            </w:r>
          </w:p>
        </w:tc>
        <w:tc>
          <w:tcPr>
            <w:tcW w:w="3128" w:type="dxa"/>
            <w:tcBorders>
              <w:top w:val="outset" w:sz="6" w:space="0" w:color="auto"/>
              <w:left w:val="outset" w:sz="6" w:space="0" w:color="auto"/>
              <w:bottom w:val="outset" w:sz="6" w:space="0" w:color="auto"/>
              <w:right w:val="outset" w:sz="6" w:space="0" w:color="auto"/>
            </w:tcBorders>
            <w:hideMark/>
          </w:tcPr>
          <w:p w14:paraId="2417F1F1"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Перископ атаки командирский</w:t>
            </w:r>
          </w:p>
        </w:tc>
        <w:tc>
          <w:tcPr>
            <w:tcW w:w="898" w:type="dxa"/>
            <w:tcBorders>
              <w:top w:val="outset" w:sz="6" w:space="0" w:color="auto"/>
              <w:left w:val="outset" w:sz="6" w:space="0" w:color="auto"/>
              <w:bottom w:val="outset" w:sz="6" w:space="0" w:color="auto"/>
              <w:right w:val="outset" w:sz="6" w:space="0" w:color="auto"/>
            </w:tcBorders>
            <w:hideMark/>
          </w:tcPr>
          <w:p w14:paraId="45A981EB"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ПА-9,0</w:t>
            </w:r>
          </w:p>
        </w:tc>
        <w:tc>
          <w:tcPr>
            <w:tcW w:w="709" w:type="dxa"/>
            <w:tcBorders>
              <w:top w:val="outset" w:sz="6" w:space="0" w:color="auto"/>
              <w:left w:val="outset" w:sz="6" w:space="0" w:color="auto"/>
              <w:bottom w:val="outset" w:sz="6" w:space="0" w:color="auto"/>
              <w:right w:val="outset" w:sz="6" w:space="0" w:color="auto"/>
            </w:tcBorders>
            <w:hideMark/>
          </w:tcPr>
          <w:p w14:paraId="12E9E645"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3233AD00"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w:t>
            </w:r>
          </w:p>
        </w:tc>
        <w:tc>
          <w:tcPr>
            <w:tcW w:w="851" w:type="dxa"/>
            <w:tcBorders>
              <w:top w:val="outset" w:sz="6" w:space="0" w:color="auto"/>
              <w:left w:val="outset" w:sz="6" w:space="0" w:color="auto"/>
              <w:bottom w:val="outset" w:sz="6" w:space="0" w:color="auto"/>
              <w:right w:val="outset" w:sz="6" w:space="0" w:color="auto"/>
            </w:tcBorders>
            <w:hideMark/>
          </w:tcPr>
          <w:p w14:paraId="03809ADE"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w:t>
            </w:r>
          </w:p>
        </w:tc>
        <w:tc>
          <w:tcPr>
            <w:tcW w:w="850" w:type="dxa"/>
            <w:tcBorders>
              <w:top w:val="outset" w:sz="6" w:space="0" w:color="auto"/>
              <w:left w:val="outset" w:sz="6" w:space="0" w:color="auto"/>
              <w:bottom w:val="outset" w:sz="6" w:space="0" w:color="auto"/>
              <w:right w:val="outset" w:sz="6" w:space="0" w:color="auto"/>
            </w:tcBorders>
            <w:hideMark/>
          </w:tcPr>
          <w:p w14:paraId="77C1DD29"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634E55AB"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hyperlink r:id="rId132" w:anchor="_ftn1" w:history="1">
              <w:r w:rsidRPr="007224C3">
                <w:rPr>
                  <w:rFonts w:ascii="Times New Roman" w:hAnsi="Times New Roman"/>
                  <w:color w:val="000000" w:themeColor="text1"/>
                  <w:sz w:val="16"/>
                  <w:szCs w:val="16"/>
                </w:rPr>
                <w:t>[1]</w:t>
              </w:r>
            </w:hyperlink>
          </w:p>
        </w:tc>
      </w:tr>
      <w:tr w:rsidR="005106D0" w:rsidRPr="007224C3" w14:paraId="074179F0"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69B07B04"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w:t>
            </w:r>
          </w:p>
        </w:tc>
        <w:tc>
          <w:tcPr>
            <w:tcW w:w="3128" w:type="dxa"/>
            <w:tcBorders>
              <w:top w:val="outset" w:sz="6" w:space="0" w:color="auto"/>
              <w:left w:val="outset" w:sz="6" w:space="0" w:color="auto"/>
              <w:bottom w:val="outset" w:sz="6" w:space="0" w:color="auto"/>
              <w:right w:val="outset" w:sz="6" w:space="0" w:color="auto"/>
            </w:tcBorders>
            <w:hideMark/>
          </w:tcPr>
          <w:p w14:paraId="326C31E1"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Перископ зенитный</w:t>
            </w:r>
          </w:p>
        </w:tc>
        <w:tc>
          <w:tcPr>
            <w:tcW w:w="898" w:type="dxa"/>
            <w:tcBorders>
              <w:top w:val="outset" w:sz="6" w:space="0" w:color="auto"/>
              <w:left w:val="outset" w:sz="6" w:space="0" w:color="auto"/>
              <w:bottom w:val="outset" w:sz="6" w:space="0" w:color="auto"/>
              <w:right w:val="outset" w:sz="6" w:space="0" w:color="auto"/>
            </w:tcBorders>
            <w:hideMark/>
          </w:tcPr>
          <w:p w14:paraId="7BC24E04"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ПЗ-7,0</w:t>
            </w:r>
          </w:p>
        </w:tc>
        <w:tc>
          <w:tcPr>
            <w:tcW w:w="709" w:type="dxa"/>
            <w:tcBorders>
              <w:top w:val="outset" w:sz="6" w:space="0" w:color="auto"/>
              <w:left w:val="outset" w:sz="6" w:space="0" w:color="auto"/>
              <w:bottom w:val="outset" w:sz="6" w:space="0" w:color="auto"/>
              <w:right w:val="outset" w:sz="6" w:space="0" w:color="auto"/>
            </w:tcBorders>
            <w:hideMark/>
          </w:tcPr>
          <w:p w14:paraId="6837E204"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42E6A951"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tc>
        <w:tc>
          <w:tcPr>
            <w:tcW w:w="851" w:type="dxa"/>
            <w:tcBorders>
              <w:top w:val="outset" w:sz="6" w:space="0" w:color="auto"/>
              <w:left w:val="outset" w:sz="6" w:space="0" w:color="auto"/>
              <w:bottom w:val="outset" w:sz="6" w:space="0" w:color="auto"/>
              <w:right w:val="outset" w:sz="6" w:space="0" w:color="auto"/>
            </w:tcBorders>
            <w:hideMark/>
          </w:tcPr>
          <w:p w14:paraId="25FA578D"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w:t>
            </w:r>
          </w:p>
        </w:tc>
        <w:tc>
          <w:tcPr>
            <w:tcW w:w="850" w:type="dxa"/>
            <w:tcBorders>
              <w:top w:val="outset" w:sz="6" w:space="0" w:color="auto"/>
              <w:left w:val="outset" w:sz="6" w:space="0" w:color="auto"/>
              <w:bottom w:val="outset" w:sz="6" w:space="0" w:color="auto"/>
              <w:right w:val="outset" w:sz="6" w:space="0" w:color="auto"/>
            </w:tcBorders>
            <w:hideMark/>
          </w:tcPr>
          <w:p w14:paraId="0FFD8EDF"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w:t>
            </w:r>
          </w:p>
        </w:tc>
        <w:tc>
          <w:tcPr>
            <w:tcW w:w="851" w:type="dxa"/>
            <w:tcBorders>
              <w:top w:val="outset" w:sz="6" w:space="0" w:color="auto"/>
              <w:left w:val="outset" w:sz="6" w:space="0" w:color="auto"/>
              <w:bottom w:val="outset" w:sz="6" w:space="0" w:color="auto"/>
              <w:right w:val="outset" w:sz="6" w:space="0" w:color="auto"/>
            </w:tcBorders>
            <w:hideMark/>
          </w:tcPr>
          <w:p w14:paraId="0D5EC1E7"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2704D53B"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75EF9672"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w:t>
            </w:r>
          </w:p>
        </w:tc>
        <w:tc>
          <w:tcPr>
            <w:tcW w:w="3128" w:type="dxa"/>
            <w:tcBorders>
              <w:top w:val="outset" w:sz="6" w:space="0" w:color="auto"/>
              <w:left w:val="outset" w:sz="6" w:space="0" w:color="auto"/>
              <w:bottom w:val="outset" w:sz="6" w:space="0" w:color="auto"/>
              <w:right w:val="outset" w:sz="6" w:space="0" w:color="auto"/>
            </w:tcBorders>
            <w:hideMark/>
          </w:tcPr>
          <w:p w14:paraId="036B7E57"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Перископ зенитный</w:t>
            </w:r>
          </w:p>
        </w:tc>
        <w:tc>
          <w:tcPr>
            <w:tcW w:w="898" w:type="dxa"/>
            <w:tcBorders>
              <w:top w:val="outset" w:sz="6" w:space="0" w:color="auto"/>
              <w:left w:val="outset" w:sz="6" w:space="0" w:color="auto"/>
              <w:bottom w:val="outset" w:sz="6" w:space="0" w:color="auto"/>
              <w:right w:val="outset" w:sz="6" w:space="0" w:color="auto"/>
            </w:tcBorders>
            <w:hideMark/>
          </w:tcPr>
          <w:p w14:paraId="4DDA8AE0"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ПЗ-7,5</w:t>
            </w:r>
          </w:p>
        </w:tc>
        <w:tc>
          <w:tcPr>
            <w:tcW w:w="709" w:type="dxa"/>
            <w:tcBorders>
              <w:top w:val="outset" w:sz="6" w:space="0" w:color="auto"/>
              <w:left w:val="outset" w:sz="6" w:space="0" w:color="auto"/>
              <w:bottom w:val="outset" w:sz="6" w:space="0" w:color="auto"/>
              <w:right w:val="outset" w:sz="6" w:space="0" w:color="auto"/>
            </w:tcBorders>
            <w:hideMark/>
          </w:tcPr>
          <w:p w14:paraId="540E80DA"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4B71FDFE"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6F29C818"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w:t>
            </w:r>
          </w:p>
        </w:tc>
        <w:tc>
          <w:tcPr>
            <w:tcW w:w="850" w:type="dxa"/>
            <w:tcBorders>
              <w:top w:val="outset" w:sz="6" w:space="0" w:color="auto"/>
              <w:left w:val="outset" w:sz="6" w:space="0" w:color="auto"/>
              <w:bottom w:val="outset" w:sz="6" w:space="0" w:color="auto"/>
              <w:right w:val="outset" w:sz="6" w:space="0" w:color="auto"/>
            </w:tcBorders>
            <w:hideMark/>
          </w:tcPr>
          <w:p w14:paraId="30EE4438"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w:t>
            </w:r>
          </w:p>
        </w:tc>
        <w:tc>
          <w:tcPr>
            <w:tcW w:w="851" w:type="dxa"/>
            <w:tcBorders>
              <w:top w:val="outset" w:sz="6" w:space="0" w:color="auto"/>
              <w:left w:val="outset" w:sz="6" w:space="0" w:color="auto"/>
              <w:bottom w:val="outset" w:sz="6" w:space="0" w:color="auto"/>
              <w:right w:val="outset" w:sz="6" w:space="0" w:color="auto"/>
            </w:tcBorders>
            <w:hideMark/>
          </w:tcPr>
          <w:p w14:paraId="3FBBE9CB"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tc>
      </w:tr>
      <w:tr w:rsidR="005106D0" w:rsidRPr="007224C3" w14:paraId="260D4C6E"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7F751305"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w:t>
            </w:r>
          </w:p>
        </w:tc>
        <w:tc>
          <w:tcPr>
            <w:tcW w:w="3128" w:type="dxa"/>
            <w:tcBorders>
              <w:top w:val="outset" w:sz="6" w:space="0" w:color="auto"/>
              <w:left w:val="outset" w:sz="6" w:space="0" w:color="auto"/>
              <w:bottom w:val="outset" w:sz="6" w:space="0" w:color="auto"/>
              <w:right w:val="outset" w:sz="6" w:space="0" w:color="auto"/>
            </w:tcBorders>
            <w:hideMark/>
          </w:tcPr>
          <w:p w14:paraId="496797CF"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Перископ зенитный</w:t>
            </w:r>
          </w:p>
        </w:tc>
        <w:tc>
          <w:tcPr>
            <w:tcW w:w="898" w:type="dxa"/>
            <w:tcBorders>
              <w:top w:val="outset" w:sz="6" w:space="0" w:color="auto"/>
              <w:left w:val="outset" w:sz="6" w:space="0" w:color="auto"/>
              <w:bottom w:val="outset" w:sz="6" w:space="0" w:color="auto"/>
              <w:right w:val="outset" w:sz="6" w:space="0" w:color="auto"/>
            </w:tcBorders>
            <w:hideMark/>
          </w:tcPr>
          <w:p w14:paraId="2637B6BE"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ПЗ-8,5</w:t>
            </w:r>
          </w:p>
        </w:tc>
        <w:tc>
          <w:tcPr>
            <w:tcW w:w="709" w:type="dxa"/>
            <w:tcBorders>
              <w:top w:val="outset" w:sz="6" w:space="0" w:color="auto"/>
              <w:left w:val="outset" w:sz="6" w:space="0" w:color="auto"/>
              <w:bottom w:val="outset" w:sz="6" w:space="0" w:color="auto"/>
              <w:right w:val="outset" w:sz="6" w:space="0" w:color="auto"/>
            </w:tcBorders>
            <w:hideMark/>
          </w:tcPr>
          <w:p w14:paraId="426A68FF"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074ACD8A"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tc>
        <w:tc>
          <w:tcPr>
            <w:tcW w:w="851" w:type="dxa"/>
            <w:tcBorders>
              <w:top w:val="outset" w:sz="6" w:space="0" w:color="auto"/>
              <w:left w:val="outset" w:sz="6" w:space="0" w:color="auto"/>
              <w:bottom w:val="outset" w:sz="6" w:space="0" w:color="auto"/>
              <w:right w:val="outset" w:sz="6" w:space="0" w:color="auto"/>
            </w:tcBorders>
            <w:hideMark/>
          </w:tcPr>
          <w:p w14:paraId="5BBBE4DF"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w:t>
            </w:r>
          </w:p>
        </w:tc>
        <w:tc>
          <w:tcPr>
            <w:tcW w:w="850" w:type="dxa"/>
            <w:tcBorders>
              <w:top w:val="outset" w:sz="6" w:space="0" w:color="auto"/>
              <w:left w:val="outset" w:sz="6" w:space="0" w:color="auto"/>
              <w:bottom w:val="outset" w:sz="6" w:space="0" w:color="auto"/>
              <w:right w:val="outset" w:sz="6" w:space="0" w:color="auto"/>
            </w:tcBorders>
            <w:hideMark/>
          </w:tcPr>
          <w:p w14:paraId="524832A0"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w:t>
            </w:r>
          </w:p>
        </w:tc>
        <w:tc>
          <w:tcPr>
            <w:tcW w:w="851" w:type="dxa"/>
            <w:tcBorders>
              <w:top w:val="outset" w:sz="6" w:space="0" w:color="auto"/>
              <w:left w:val="outset" w:sz="6" w:space="0" w:color="auto"/>
              <w:bottom w:val="outset" w:sz="6" w:space="0" w:color="auto"/>
              <w:right w:val="outset" w:sz="6" w:space="0" w:color="auto"/>
            </w:tcBorders>
            <w:hideMark/>
          </w:tcPr>
          <w:p w14:paraId="36CB0861"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tc>
      </w:tr>
      <w:tr w:rsidR="005106D0" w:rsidRPr="007224C3" w14:paraId="29803E00"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6739CD9C"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w:t>
            </w:r>
          </w:p>
        </w:tc>
        <w:tc>
          <w:tcPr>
            <w:tcW w:w="3128" w:type="dxa"/>
            <w:tcBorders>
              <w:top w:val="outset" w:sz="6" w:space="0" w:color="auto"/>
              <w:left w:val="outset" w:sz="6" w:space="0" w:color="auto"/>
              <w:bottom w:val="outset" w:sz="6" w:space="0" w:color="auto"/>
              <w:right w:val="outset" w:sz="6" w:space="0" w:color="auto"/>
            </w:tcBorders>
            <w:hideMark/>
          </w:tcPr>
          <w:p w14:paraId="2F91B59C"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Перископ зенитный</w:t>
            </w:r>
          </w:p>
        </w:tc>
        <w:tc>
          <w:tcPr>
            <w:tcW w:w="898" w:type="dxa"/>
            <w:tcBorders>
              <w:top w:val="outset" w:sz="6" w:space="0" w:color="auto"/>
              <w:left w:val="outset" w:sz="6" w:space="0" w:color="auto"/>
              <w:bottom w:val="outset" w:sz="6" w:space="0" w:color="auto"/>
              <w:right w:val="outset" w:sz="6" w:space="0" w:color="auto"/>
            </w:tcBorders>
            <w:hideMark/>
          </w:tcPr>
          <w:p w14:paraId="03F0F6A5"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ПЗ-9,0</w:t>
            </w:r>
          </w:p>
        </w:tc>
        <w:tc>
          <w:tcPr>
            <w:tcW w:w="709" w:type="dxa"/>
            <w:tcBorders>
              <w:top w:val="outset" w:sz="6" w:space="0" w:color="auto"/>
              <w:left w:val="outset" w:sz="6" w:space="0" w:color="auto"/>
              <w:bottom w:val="outset" w:sz="6" w:space="0" w:color="auto"/>
              <w:right w:val="outset" w:sz="6" w:space="0" w:color="auto"/>
            </w:tcBorders>
            <w:hideMark/>
          </w:tcPr>
          <w:p w14:paraId="4E32CAAB"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0D95DAD7"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tc>
        <w:tc>
          <w:tcPr>
            <w:tcW w:w="851" w:type="dxa"/>
            <w:tcBorders>
              <w:top w:val="outset" w:sz="6" w:space="0" w:color="auto"/>
              <w:left w:val="outset" w:sz="6" w:space="0" w:color="auto"/>
              <w:bottom w:val="outset" w:sz="6" w:space="0" w:color="auto"/>
              <w:right w:val="outset" w:sz="6" w:space="0" w:color="auto"/>
            </w:tcBorders>
            <w:hideMark/>
          </w:tcPr>
          <w:p w14:paraId="48F91FFB"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w:t>
            </w:r>
          </w:p>
        </w:tc>
        <w:tc>
          <w:tcPr>
            <w:tcW w:w="850" w:type="dxa"/>
            <w:tcBorders>
              <w:top w:val="outset" w:sz="6" w:space="0" w:color="auto"/>
              <w:left w:val="outset" w:sz="6" w:space="0" w:color="auto"/>
              <w:bottom w:val="outset" w:sz="6" w:space="0" w:color="auto"/>
              <w:right w:val="outset" w:sz="6" w:space="0" w:color="auto"/>
            </w:tcBorders>
            <w:hideMark/>
          </w:tcPr>
          <w:p w14:paraId="184CAAAA"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tc>
        <w:tc>
          <w:tcPr>
            <w:tcW w:w="851" w:type="dxa"/>
            <w:tcBorders>
              <w:top w:val="outset" w:sz="6" w:space="0" w:color="auto"/>
              <w:left w:val="outset" w:sz="6" w:space="0" w:color="auto"/>
              <w:bottom w:val="outset" w:sz="6" w:space="0" w:color="auto"/>
              <w:right w:val="outset" w:sz="6" w:space="0" w:color="auto"/>
            </w:tcBorders>
            <w:hideMark/>
          </w:tcPr>
          <w:p w14:paraId="503C045D"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477E6A2D"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37D75427"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w:t>
            </w:r>
          </w:p>
        </w:tc>
        <w:tc>
          <w:tcPr>
            <w:tcW w:w="3128" w:type="dxa"/>
            <w:tcBorders>
              <w:top w:val="outset" w:sz="6" w:space="0" w:color="auto"/>
              <w:left w:val="outset" w:sz="6" w:space="0" w:color="auto"/>
              <w:bottom w:val="outset" w:sz="6" w:space="0" w:color="auto"/>
              <w:right w:val="outset" w:sz="6" w:space="0" w:color="auto"/>
            </w:tcBorders>
            <w:hideMark/>
          </w:tcPr>
          <w:p w14:paraId="5AC420F3"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Фотокамера для перископа</w:t>
            </w:r>
          </w:p>
        </w:tc>
        <w:tc>
          <w:tcPr>
            <w:tcW w:w="898" w:type="dxa"/>
            <w:tcBorders>
              <w:top w:val="outset" w:sz="6" w:space="0" w:color="auto"/>
              <w:left w:val="outset" w:sz="6" w:space="0" w:color="auto"/>
              <w:bottom w:val="outset" w:sz="6" w:space="0" w:color="auto"/>
              <w:right w:val="outset" w:sz="6" w:space="0" w:color="auto"/>
            </w:tcBorders>
            <w:hideMark/>
          </w:tcPr>
          <w:p w14:paraId="313100BD"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ФН-201</w:t>
            </w:r>
          </w:p>
        </w:tc>
        <w:tc>
          <w:tcPr>
            <w:tcW w:w="709" w:type="dxa"/>
            <w:tcBorders>
              <w:top w:val="outset" w:sz="6" w:space="0" w:color="auto"/>
              <w:left w:val="outset" w:sz="6" w:space="0" w:color="auto"/>
              <w:bottom w:val="outset" w:sz="6" w:space="0" w:color="auto"/>
              <w:right w:val="outset" w:sz="6" w:space="0" w:color="auto"/>
            </w:tcBorders>
            <w:hideMark/>
          </w:tcPr>
          <w:p w14:paraId="3FF6332B"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6315D0A9"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w:t>
            </w:r>
          </w:p>
        </w:tc>
        <w:tc>
          <w:tcPr>
            <w:tcW w:w="851" w:type="dxa"/>
            <w:tcBorders>
              <w:top w:val="outset" w:sz="6" w:space="0" w:color="auto"/>
              <w:left w:val="outset" w:sz="6" w:space="0" w:color="auto"/>
              <w:bottom w:val="outset" w:sz="6" w:space="0" w:color="auto"/>
              <w:right w:val="outset" w:sz="6" w:space="0" w:color="auto"/>
            </w:tcBorders>
            <w:hideMark/>
          </w:tcPr>
          <w:p w14:paraId="56F2CDA4"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82</w:t>
            </w:r>
          </w:p>
        </w:tc>
        <w:tc>
          <w:tcPr>
            <w:tcW w:w="850" w:type="dxa"/>
            <w:tcBorders>
              <w:top w:val="outset" w:sz="6" w:space="0" w:color="auto"/>
              <w:left w:val="outset" w:sz="6" w:space="0" w:color="auto"/>
              <w:bottom w:val="outset" w:sz="6" w:space="0" w:color="auto"/>
              <w:right w:val="outset" w:sz="6" w:space="0" w:color="auto"/>
            </w:tcBorders>
            <w:hideMark/>
          </w:tcPr>
          <w:p w14:paraId="3BC7FC26"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70</w:t>
            </w:r>
          </w:p>
        </w:tc>
        <w:tc>
          <w:tcPr>
            <w:tcW w:w="851" w:type="dxa"/>
            <w:tcBorders>
              <w:top w:val="outset" w:sz="6" w:space="0" w:color="auto"/>
              <w:left w:val="outset" w:sz="6" w:space="0" w:color="auto"/>
              <w:bottom w:val="outset" w:sz="6" w:space="0" w:color="auto"/>
              <w:right w:val="outset" w:sz="6" w:space="0" w:color="auto"/>
            </w:tcBorders>
            <w:hideMark/>
          </w:tcPr>
          <w:p w14:paraId="0221030B"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w:t>
            </w:r>
          </w:p>
        </w:tc>
      </w:tr>
      <w:tr w:rsidR="005106D0" w:rsidRPr="007224C3" w14:paraId="0A435F38"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57BC2E7E"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w:t>
            </w:r>
          </w:p>
        </w:tc>
        <w:tc>
          <w:tcPr>
            <w:tcW w:w="3128" w:type="dxa"/>
            <w:tcBorders>
              <w:top w:val="outset" w:sz="6" w:space="0" w:color="auto"/>
              <w:left w:val="outset" w:sz="6" w:space="0" w:color="auto"/>
              <w:bottom w:val="outset" w:sz="6" w:space="0" w:color="auto"/>
              <w:right w:val="outset" w:sz="6" w:space="0" w:color="auto"/>
            </w:tcBorders>
            <w:hideMark/>
          </w:tcPr>
          <w:p w14:paraId="69508910"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Визир центральной наводки</w:t>
            </w:r>
          </w:p>
        </w:tc>
        <w:tc>
          <w:tcPr>
            <w:tcW w:w="898" w:type="dxa"/>
            <w:tcBorders>
              <w:top w:val="outset" w:sz="6" w:space="0" w:color="auto"/>
              <w:left w:val="outset" w:sz="6" w:space="0" w:color="auto"/>
              <w:bottom w:val="outset" w:sz="6" w:space="0" w:color="auto"/>
              <w:right w:val="outset" w:sz="6" w:space="0" w:color="auto"/>
            </w:tcBorders>
            <w:hideMark/>
          </w:tcPr>
          <w:p w14:paraId="51A71D3A"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ВМЦ-2</w:t>
            </w:r>
          </w:p>
        </w:tc>
        <w:tc>
          <w:tcPr>
            <w:tcW w:w="709" w:type="dxa"/>
            <w:tcBorders>
              <w:top w:val="outset" w:sz="6" w:space="0" w:color="auto"/>
              <w:left w:val="outset" w:sz="6" w:space="0" w:color="auto"/>
              <w:bottom w:val="outset" w:sz="6" w:space="0" w:color="auto"/>
              <w:right w:val="outset" w:sz="6" w:space="0" w:color="auto"/>
            </w:tcBorders>
            <w:hideMark/>
          </w:tcPr>
          <w:p w14:paraId="131921ED"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46372B22"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4D7E8D5E"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tc>
        <w:tc>
          <w:tcPr>
            <w:tcW w:w="850" w:type="dxa"/>
            <w:tcBorders>
              <w:top w:val="outset" w:sz="6" w:space="0" w:color="auto"/>
              <w:left w:val="outset" w:sz="6" w:space="0" w:color="auto"/>
              <w:bottom w:val="outset" w:sz="6" w:space="0" w:color="auto"/>
              <w:right w:val="outset" w:sz="6" w:space="0" w:color="auto"/>
            </w:tcBorders>
            <w:hideMark/>
          </w:tcPr>
          <w:p w14:paraId="0B023D12"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w:t>
            </w:r>
          </w:p>
        </w:tc>
        <w:tc>
          <w:tcPr>
            <w:tcW w:w="851" w:type="dxa"/>
            <w:tcBorders>
              <w:top w:val="outset" w:sz="6" w:space="0" w:color="auto"/>
              <w:left w:val="outset" w:sz="6" w:space="0" w:color="auto"/>
              <w:bottom w:val="outset" w:sz="6" w:space="0" w:color="auto"/>
              <w:right w:val="outset" w:sz="6" w:space="0" w:color="auto"/>
            </w:tcBorders>
            <w:hideMark/>
          </w:tcPr>
          <w:p w14:paraId="6FEDA0EC"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tc>
      </w:tr>
      <w:tr w:rsidR="005106D0" w:rsidRPr="007224C3" w14:paraId="48C26C7B"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55A8A6F5"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w:t>
            </w:r>
          </w:p>
        </w:tc>
        <w:tc>
          <w:tcPr>
            <w:tcW w:w="3128" w:type="dxa"/>
            <w:tcBorders>
              <w:top w:val="outset" w:sz="6" w:space="0" w:color="auto"/>
              <w:left w:val="outset" w:sz="6" w:space="0" w:color="auto"/>
              <w:bottom w:val="outset" w:sz="6" w:space="0" w:color="auto"/>
              <w:right w:val="outset" w:sz="6" w:space="0" w:color="auto"/>
            </w:tcBorders>
            <w:hideMark/>
          </w:tcPr>
          <w:p w14:paraId="4219E703"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Торпедный инклинометр</w:t>
            </w:r>
          </w:p>
        </w:tc>
        <w:tc>
          <w:tcPr>
            <w:tcW w:w="898" w:type="dxa"/>
            <w:tcBorders>
              <w:top w:val="outset" w:sz="6" w:space="0" w:color="auto"/>
              <w:left w:val="outset" w:sz="6" w:space="0" w:color="auto"/>
              <w:bottom w:val="outset" w:sz="6" w:space="0" w:color="auto"/>
              <w:right w:val="outset" w:sz="6" w:space="0" w:color="auto"/>
            </w:tcBorders>
            <w:hideMark/>
          </w:tcPr>
          <w:p w14:paraId="76C0280B"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ПМР-21</w:t>
            </w:r>
          </w:p>
        </w:tc>
        <w:tc>
          <w:tcPr>
            <w:tcW w:w="709" w:type="dxa"/>
            <w:tcBorders>
              <w:top w:val="outset" w:sz="6" w:space="0" w:color="auto"/>
              <w:left w:val="outset" w:sz="6" w:space="0" w:color="auto"/>
              <w:bottom w:val="outset" w:sz="6" w:space="0" w:color="auto"/>
              <w:right w:val="outset" w:sz="6" w:space="0" w:color="auto"/>
            </w:tcBorders>
            <w:hideMark/>
          </w:tcPr>
          <w:p w14:paraId="44CD128D"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0A4D7C13"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w:t>
            </w:r>
          </w:p>
        </w:tc>
        <w:tc>
          <w:tcPr>
            <w:tcW w:w="851" w:type="dxa"/>
            <w:tcBorders>
              <w:top w:val="outset" w:sz="6" w:space="0" w:color="auto"/>
              <w:left w:val="outset" w:sz="6" w:space="0" w:color="auto"/>
              <w:bottom w:val="outset" w:sz="6" w:space="0" w:color="auto"/>
              <w:right w:val="outset" w:sz="6" w:space="0" w:color="auto"/>
            </w:tcBorders>
            <w:hideMark/>
          </w:tcPr>
          <w:p w14:paraId="599D9801"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w:t>
            </w:r>
          </w:p>
        </w:tc>
        <w:tc>
          <w:tcPr>
            <w:tcW w:w="850" w:type="dxa"/>
            <w:tcBorders>
              <w:top w:val="outset" w:sz="6" w:space="0" w:color="auto"/>
              <w:left w:val="outset" w:sz="6" w:space="0" w:color="auto"/>
              <w:bottom w:val="outset" w:sz="6" w:space="0" w:color="auto"/>
              <w:right w:val="outset" w:sz="6" w:space="0" w:color="auto"/>
            </w:tcBorders>
            <w:hideMark/>
          </w:tcPr>
          <w:p w14:paraId="0DDD338F"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tc>
        <w:tc>
          <w:tcPr>
            <w:tcW w:w="851" w:type="dxa"/>
            <w:tcBorders>
              <w:top w:val="outset" w:sz="6" w:space="0" w:color="auto"/>
              <w:left w:val="outset" w:sz="6" w:space="0" w:color="auto"/>
              <w:bottom w:val="outset" w:sz="6" w:space="0" w:color="auto"/>
              <w:right w:val="outset" w:sz="6" w:space="0" w:color="auto"/>
            </w:tcBorders>
            <w:hideMark/>
          </w:tcPr>
          <w:p w14:paraId="7A0FBC94"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tc>
      </w:tr>
      <w:tr w:rsidR="005106D0" w:rsidRPr="007224C3" w14:paraId="7EF842FD"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65C8881E"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w:t>
            </w:r>
          </w:p>
        </w:tc>
        <w:tc>
          <w:tcPr>
            <w:tcW w:w="3128" w:type="dxa"/>
            <w:tcBorders>
              <w:top w:val="outset" w:sz="6" w:space="0" w:color="auto"/>
              <w:left w:val="outset" w:sz="6" w:space="0" w:color="auto"/>
              <w:bottom w:val="outset" w:sz="6" w:space="0" w:color="auto"/>
              <w:right w:val="outset" w:sz="6" w:space="0" w:color="auto"/>
            </w:tcBorders>
            <w:hideMark/>
          </w:tcPr>
          <w:p w14:paraId="591AD425"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Визир наводки поста стабилизатора</w:t>
            </w:r>
          </w:p>
        </w:tc>
        <w:tc>
          <w:tcPr>
            <w:tcW w:w="898" w:type="dxa"/>
            <w:tcBorders>
              <w:top w:val="outset" w:sz="6" w:space="0" w:color="auto"/>
              <w:left w:val="outset" w:sz="6" w:space="0" w:color="auto"/>
              <w:bottom w:val="outset" w:sz="6" w:space="0" w:color="auto"/>
              <w:right w:val="outset" w:sz="6" w:space="0" w:color="auto"/>
            </w:tcBorders>
            <w:hideMark/>
          </w:tcPr>
          <w:p w14:paraId="754962D5"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ВЦН-21</w:t>
            </w:r>
          </w:p>
        </w:tc>
        <w:tc>
          <w:tcPr>
            <w:tcW w:w="709" w:type="dxa"/>
            <w:tcBorders>
              <w:top w:val="outset" w:sz="6" w:space="0" w:color="auto"/>
              <w:left w:val="outset" w:sz="6" w:space="0" w:color="auto"/>
              <w:bottom w:val="outset" w:sz="6" w:space="0" w:color="auto"/>
              <w:right w:val="outset" w:sz="6" w:space="0" w:color="auto"/>
            </w:tcBorders>
            <w:hideMark/>
          </w:tcPr>
          <w:p w14:paraId="1B618BF4"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0842CBD0"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05919893"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0" w:type="dxa"/>
            <w:tcBorders>
              <w:top w:val="outset" w:sz="6" w:space="0" w:color="auto"/>
              <w:left w:val="outset" w:sz="6" w:space="0" w:color="auto"/>
              <w:bottom w:val="outset" w:sz="6" w:space="0" w:color="auto"/>
              <w:right w:val="outset" w:sz="6" w:space="0" w:color="auto"/>
            </w:tcBorders>
            <w:hideMark/>
          </w:tcPr>
          <w:p w14:paraId="3D96E0BF"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w:t>
            </w:r>
          </w:p>
        </w:tc>
        <w:tc>
          <w:tcPr>
            <w:tcW w:w="851" w:type="dxa"/>
            <w:tcBorders>
              <w:top w:val="outset" w:sz="6" w:space="0" w:color="auto"/>
              <w:left w:val="outset" w:sz="6" w:space="0" w:color="auto"/>
              <w:bottom w:val="outset" w:sz="6" w:space="0" w:color="auto"/>
              <w:right w:val="outset" w:sz="6" w:space="0" w:color="auto"/>
            </w:tcBorders>
            <w:hideMark/>
          </w:tcPr>
          <w:p w14:paraId="6038D2B5"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72C6BA2F"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152EF0EE"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w:t>
            </w:r>
          </w:p>
        </w:tc>
        <w:tc>
          <w:tcPr>
            <w:tcW w:w="3128" w:type="dxa"/>
            <w:tcBorders>
              <w:top w:val="outset" w:sz="6" w:space="0" w:color="auto"/>
              <w:left w:val="outset" w:sz="6" w:space="0" w:color="auto"/>
              <w:bottom w:val="outset" w:sz="6" w:space="0" w:color="auto"/>
              <w:right w:val="outset" w:sz="6" w:space="0" w:color="auto"/>
            </w:tcBorders>
            <w:hideMark/>
          </w:tcPr>
          <w:p w14:paraId="44DD883E"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Оптический передний магнитный компас</w:t>
            </w:r>
          </w:p>
        </w:tc>
        <w:tc>
          <w:tcPr>
            <w:tcW w:w="898" w:type="dxa"/>
            <w:tcBorders>
              <w:top w:val="outset" w:sz="6" w:space="0" w:color="auto"/>
              <w:left w:val="outset" w:sz="6" w:space="0" w:color="auto"/>
              <w:bottom w:val="outset" w:sz="6" w:space="0" w:color="auto"/>
              <w:right w:val="outset" w:sz="6" w:space="0" w:color="auto"/>
            </w:tcBorders>
            <w:hideMark/>
          </w:tcPr>
          <w:p w14:paraId="01C08BB1"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ГОН-23</w:t>
            </w:r>
          </w:p>
        </w:tc>
        <w:tc>
          <w:tcPr>
            <w:tcW w:w="709" w:type="dxa"/>
            <w:tcBorders>
              <w:top w:val="outset" w:sz="6" w:space="0" w:color="auto"/>
              <w:left w:val="outset" w:sz="6" w:space="0" w:color="auto"/>
              <w:bottom w:val="outset" w:sz="6" w:space="0" w:color="auto"/>
              <w:right w:val="outset" w:sz="6" w:space="0" w:color="auto"/>
            </w:tcBorders>
            <w:hideMark/>
          </w:tcPr>
          <w:p w14:paraId="52BBBE9F"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078CB1E2"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3B90E698"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0" w:type="dxa"/>
            <w:tcBorders>
              <w:top w:val="outset" w:sz="6" w:space="0" w:color="auto"/>
              <w:left w:val="outset" w:sz="6" w:space="0" w:color="auto"/>
              <w:bottom w:val="outset" w:sz="6" w:space="0" w:color="auto"/>
              <w:right w:val="outset" w:sz="6" w:space="0" w:color="auto"/>
            </w:tcBorders>
            <w:hideMark/>
          </w:tcPr>
          <w:p w14:paraId="40EB379A"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w:t>
            </w:r>
          </w:p>
        </w:tc>
        <w:tc>
          <w:tcPr>
            <w:tcW w:w="851" w:type="dxa"/>
            <w:tcBorders>
              <w:top w:val="outset" w:sz="6" w:space="0" w:color="auto"/>
              <w:left w:val="outset" w:sz="6" w:space="0" w:color="auto"/>
              <w:bottom w:val="outset" w:sz="6" w:space="0" w:color="auto"/>
              <w:right w:val="outset" w:sz="6" w:space="0" w:color="auto"/>
            </w:tcBorders>
            <w:hideMark/>
          </w:tcPr>
          <w:p w14:paraId="1AC0D561"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tc>
      </w:tr>
      <w:tr w:rsidR="005106D0" w:rsidRPr="007224C3" w14:paraId="463DDD89"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4CE19602"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w:t>
            </w:r>
          </w:p>
        </w:tc>
        <w:tc>
          <w:tcPr>
            <w:tcW w:w="3128" w:type="dxa"/>
            <w:tcBorders>
              <w:top w:val="outset" w:sz="6" w:space="0" w:color="auto"/>
              <w:left w:val="outset" w:sz="6" w:space="0" w:color="auto"/>
              <w:bottom w:val="outset" w:sz="6" w:space="0" w:color="auto"/>
              <w:right w:val="outset" w:sz="6" w:space="0" w:color="auto"/>
            </w:tcBorders>
            <w:hideMark/>
          </w:tcPr>
          <w:p w14:paraId="0544AB2A"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Визир наводки</w:t>
            </w:r>
          </w:p>
        </w:tc>
        <w:tc>
          <w:tcPr>
            <w:tcW w:w="898" w:type="dxa"/>
            <w:tcBorders>
              <w:top w:val="outset" w:sz="6" w:space="0" w:color="auto"/>
              <w:left w:val="outset" w:sz="6" w:space="0" w:color="auto"/>
              <w:bottom w:val="outset" w:sz="6" w:space="0" w:color="auto"/>
              <w:right w:val="outset" w:sz="6" w:space="0" w:color="auto"/>
            </w:tcBorders>
            <w:hideMark/>
          </w:tcPr>
          <w:p w14:paraId="366714F8"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ГУ</w:t>
            </w:r>
          </w:p>
        </w:tc>
        <w:tc>
          <w:tcPr>
            <w:tcW w:w="709" w:type="dxa"/>
            <w:tcBorders>
              <w:top w:val="outset" w:sz="6" w:space="0" w:color="auto"/>
              <w:left w:val="outset" w:sz="6" w:space="0" w:color="auto"/>
              <w:bottom w:val="outset" w:sz="6" w:space="0" w:color="auto"/>
              <w:right w:val="outset" w:sz="6" w:space="0" w:color="auto"/>
            </w:tcBorders>
            <w:hideMark/>
          </w:tcPr>
          <w:p w14:paraId="2B9C361A"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22D44C47"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457F088C"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w:t>
            </w:r>
          </w:p>
        </w:tc>
        <w:tc>
          <w:tcPr>
            <w:tcW w:w="850" w:type="dxa"/>
            <w:tcBorders>
              <w:top w:val="outset" w:sz="6" w:space="0" w:color="auto"/>
              <w:left w:val="outset" w:sz="6" w:space="0" w:color="auto"/>
              <w:bottom w:val="outset" w:sz="6" w:space="0" w:color="auto"/>
              <w:right w:val="outset" w:sz="6" w:space="0" w:color="auto"/>
            </w:tcBorders>
            <w:hideMark/>
          </w:tcPr>
          <w:p w14:paraId="3577CB03"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tc>
        <w:tc>
          <w:tcPr>
            <w:tcW w:w="851" w:type="dxa"/>
            <w:tcBorders>
              <w:top w:val="outset" w:sz="6" w:space="0" w:color="auto"/>
              <w:left w:val="outset" w:sz="6" w:space="0" w:color="auto"/>
              <w:bottom w:val="outset" w:sz="6" w:space="0" w:color="auto"/>
              <w:right w:val="outset" w:sz="6" w:space="0" w:color="auto"/>
            </w:tcBorders>
            <w:hideMark/>
          </w:tcPr>
          <w:p w14:paraId="4FB3F7FF"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70C49DD1"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4E6899D3"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w:t>
            </w:r>
          </w:p>
        </w:tc>
        <w:tc>
          <w:tcPr>
            <w:tcW w:w="3128" w:type="dxa"/>
            <w:tcBorders>
              <w:top w:val="outset" w:sz="6" w:space="0" w:color="auto"/>
              <w:left w:val="outset" w:sz="6" w:space="0" w:color="auto"/>
              <w:bottom w:val="outset" w:sz="6" w:space="0" w:color="auto"/>
              <w:right w:val="outset" w:sz="6" w:space="0" w:color="auto"/>
            </w:tcBorders>
            <w:hideMark/>
          </w:tcPr>
          <w:p w14:paraId="1DE21151"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Прибор для осушки</w:t>
            </w:r>
          </w:p>
        </w:tc>
        <w:tc>
          <w:tcPr>
            <w:tcW w:w="898" w:type="dxa"/>
            <w:tcBorders>
              <w:top w:val="outset" w:sz="6" w:space="0" w:color="auto"/>
              <w:left w:val="outset" w:sz="6" w:space="0" w:color="auto"/>
              <w:bottom w:val="outset" w:sz="6" w:space="0" w:color="auto"/>
              <w:right w:val="outset" w:sz="6" w:space="0" w:color="auto"/>
            </w:tcBorders>
            <w:hideMark/>
          </w:tcPr>
          <w:p w14:paraId="04BF05DB"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ТОб</w:t>
            </w:r>
          </w:p>
        </w:tc>
        <w:tc>
          <w:tcPr>
            <w:tcW w:w="709" w:type="dxa"/>
            <w:tcBorders>
              <w:top w:val="outset" w:sz="6" w:space="0" w:color="auto"/>
              <w:left w:val="outset" w:sz="6" w:space="0" w:color="auto"/>
              <w:bottom w:val="outset" w:sz="6" w:space="0" w:color="auto"/>
              <w:right w:val="outset" w:sz="6" w:space="0" w:color="auto"/>
            </w:tcBorders>
            <w:hideMark/>
          </w:tcPr>
          <w:p w14:paraId="2F50433B"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352FE967"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0A19EC63"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222</w:t>
            </w:r>
          </w:p>
        </w:tc>
        <w:tc>
          <w:tcPr>
            <w:tcW w:w="850" w:type="dxa"/>
            <w:tcBorders>
              <w:top w:val="outset" w:sz="6" w:space="0" w:color="auto"/>
              <w:left w:val="outset" w:sz="6" w:space="0" w:color="auto"/>
              <w:bottom w:val="outset" w:sz="6" w:space="0" w:color="auto"/>
              <w:right w:val="outset" w:sz="6" w:space="0" w:color="auto"/>
            </w:tcBorders>
            <w:hideMark/>
          </w:tcPr>
          <w:p w14:paraId="1F8E4EE2"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296</w:t>
            </w:r>
          </w:p>
        </w:tc>
        <w:tc>
          <w:tcPr>
            <w:tcW w:w="851" w:type="dxa"/>
            <w:tcBorders>
              <w:top w:val="outset" w:sz="6" w:space="0" w:color="auto"/>
              <w:left w:val="outset" w:sz="6" w:space="0" w:color="auto"/>
              <w:bottom w:val="outset" w:sz="6" w:space="0" w:color="auto"/>
              <w:right w:val="outset" w:sz="6" w:space="0" w:color="auto"/>
            </w:tcBorders>
            <w:hideMark/>
          </w:tcPr>
          <w:p w14:paraId="3175016E"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w:t>
            </w:r>
          </w:p>
        </w:tc>
      </w:tr>
      <w:tr w:rsidR="005106D0" w:rsidRPr="007224C3" w14:paraId="539A0F81"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41E7585B"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w:t>
            </w:r>
          </w:p>
        </w:tc>
        <w:tc>
          <w:tcPr>
            <w:tcW w:w="3128" w:type="dxa"/>
            <w:tcBorders>
              <w:top w:val="outset" w:sz="6" w:space="0" w:color="auto"/>
              <w:left w:val="outset" w:sz="6" w:space="0" w:color="auto"/>
              <w:bottom w:val="outset" w:sz="6" w:space="0" w:color="auto"/>
              <w:right w:val="outset" w:sz="6" w:space="0" w:color="auto"/>
            </w:tcBorders>
            <w:hideMark/>
          </w:tcPr>
          <w:p w14:paraId="63357798"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Прибор для обучения дальн.</w:t>
            </w:r>
          </w:p>
        </w:tc>
        <w:tc>
          <w:tcPr>
            <w:tcW w:w="898" w:type="dxa"/>
            <w:tcBorders>
              <w:top w:val="outset" w:sz="6" w:space="0" w:color="auto"/>
              <w:left w:val="outset" w:sz="6" w:space="0" w:color="auto"/>
              <w:bottom w:val="outset" w:sz="6" w:space="0" w:color="auto"/>
              <w:right w:val="outset" w:sz="6" w:space="0" w:color="auto"/>
            </w:tcBorders>
            <w:hideMark/>
          </w:tcPr>
          <w:p w14:paraId="1539E893"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ДОР</w:t>
            </w:r>
          </w:p>
        </w:tc>
        <w:tc>
          <w:tcPr>
            <w:tcW w:w="709" w:type="dxa"/>
            <w:tcBorders>
              <w:top w:val="outset" w:sz="6" w:space="0" w:color="auto"/>
              <w:left w:val="outset" w:sz="6" w:space="0" w:color="auto"/>
              <w:bottom w:val="outset" w:sz="6" w:space="0" w:color="auto"/>
              <w:right w:val="outset" w:sz="6" w:space="0" w:color="auto"/>
            </w:tcBorders>
            <w:hideMark/>
          </w:tcPr>
          <w:p w14:paraId="699C0785"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21D97B65"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2F5F91C2"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w:t>
            </w:r>
          </w:p>
        </w:tc>
        <w:tc>
          <w:tcPr>
            <w:tcW w:w="850" w:type="dxa"/>
            <w:tcBorders>
              <w:top w:val="outset" w:sz="6" w:space="0" w:color="auto"/>
              <w:left w:val="outset" w:sz="6" w:space="0" w:color="auto"/>
              <w:bottom w:val="outset" w:sz="6" w:space="0" w:color="auto"/>
              <w:right w:val="outset" w:sz="6" w:space="0" w:color="auto"/>
            </w:tcBorders>
            <w:hideMark/>
          </w:tcPr>
          <w:p w14:paraId="00677E92"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104</w:t>
            </w:r>
          </w:p>
        </w:tc>
        <w:tc>
          <w:tcPr>
            <w:tcW w:w="851" w:type="dxa"/>
            <w:tcBorders>
              <w:top w:val="outset" w:sz="6" w:space="0" w:color="auto"/>
              <w:left w:val="outset" w:sz="6" w:space="0" w:color="auto"/>
              <w:bottom w:val="outset" w:sz="6" w:space="0" w:color="auto"/>
              <w:right w:val="outset" w:sz="6" w:space="0" w:color="auto"/>
            </w:tcBorders>
            <w:hideMark/>
          </w:tcPr>
          <w:p w14:paraId="1D6F5845"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62</w:t>
            </w:r>
          </w:p>
        </w:tc>
      </w:tr>
      <w:tr w:rsidR="005106D0" w:rsidRPr="007224C3" w14:paraId="6D8EF22D"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5851B82E"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w:t>
            </w:r>
          </w:p>
        </w:tc>
        <w:tc>
          <w:tcPr>
            <w:tcW w:w="3128" w:type="dxa"/>
            <w:tcBorders>
              <w:top w:val="outset" w:sz="6" w:space="0" w:color="auto"/>
              <w:left w:val="outset" w:sz="6" w:space="0" w:color="auto"/>
              <w:bottom w:val="outset" w:sz="6" w:space="0" w:color="auto"/>
              <w:right w:val="outset" w:sz="6" w:space="0" w:color="auto"/>
            </w:tcBorders>
            <w:hideMark/>
          </w:tcPr>
          <w:p w14:paraId="5213A144"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Прибор для осмотра канала ствола орудия</w:t>
            </w:r>
          </w:p>
        </w:tc>
        <w:tc>
          <w:tcPr>
            <w:tcW w:w="898" w:type="dxa"/>
            <w:tcBorders>
              <w:top w:val="outset" w:sz="6" w:space="0" w:color="auto"/>
              <w:left w:val="outset" w:sz="6" w:space="0" w:color="auto"/>
              <w:bottom w:val="outset" w:sz="6" w:space="0" w:color="auto"/>
              <w:right w:val="outset" w:sz="6" w:space="0" w:color="auto"/>
            </w:tcBorders>
            <w:hideMark/>
          </w:tcPr>
          <w:p w14:paraId="561E7E66"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РВП</w:t>
            </w:r>
          </w:p>
        </w:tc>
        <w:tc>
          <w:tcPr>
            <w:tcW w:w="709" w:type="dxa"/>
            <w:tcBorders>
              <w:top w:val="outset" w:sz="6" w:space="0" w:color="auto"/>
              <w:left w:val="outset" w:sz="6" w:space="0" w:color="auto"/>
              <w:bottom w:val="outset" w:sz="6" w:space="0" w:color="auto"/>
              <w:right w:val="outset" w:sz="6" w:space="0" w:color="auto"/>
            </w:tcBorders>
            <w:hideMark/>
          </w:tcPr>
          <w:p w14:paraId="6AE400F2"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48052159"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07DD40A8"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0" w:type="dxa"/>
            <w:tcBorders>
              <w:top w:val="outset" w:sz="6" w:space="0" w:color="auto"/>
              <w:left w:val="outset" w:sz="6" w:space="0" w:color="auto"/>
              <w:bottom w:val="outset" w:sz="6" w:space="0" w:color="auto"/>
              <w:right w:val="outset" w:sz="6" w:space="0" w:color="auto"/>
            </w:tcBorders>
            <w:hideMark/>
          </w:tcPr>
          <w:p w14:paraId="4E062108"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33</w:t>
            </w:r>
          </w:p>
        </w:tc>
        <w:tc>
          <w:tcPr>
            <w:tcW w:w="851" w:type="dxa"/>
            <w:tcBorders>
              <w:top w:val="outset" w:sz="6" w:space="0" w:color="auto"/>
              <w:left w:val="outset" w:sz="6" w:space="0" w:color="auto"/>
              <w:bottom w:val="outset" w:sz="6" w:space="0" w:color="auto"/>
              <w:right w:val="outset" w:sz="6" w:space="0" w:color="auto"/>
            </w:tcBorders>
            <w:hideMark/>
          </w:tcPr>
          <w:p w14:paraId="5C2E0BFE"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w:t>
            </w:r>
          </w:p>
        </w:tc>
      </w:tr>
      <w:tr w:rsidR="005106D0" w:rsidRPr="007224C3" w14:paraId="250E382C"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1FED9F90"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w:t>
            </w:r>
          </w:p>
        </w:tc>
        <w:tc>
          <w:tcPr>
            <w:tcW w:w="3128" w:type="dxa"/>
            <w:tcBorders>
              <w:top w:val="outset" w:sz="6" w:space="0" w:color="auto"/>
              <w:left w:val="outset" w:sz="6" w:space="0" w:color="auto"/>
              <w:bottom w:val="outset" w:sz="6" w:space="0" w:color="auto"/>
              <w:right w:val="outset" w:sz="6" w:space="0" w:color="auto"/>
            </w:tcBorders>
            <w:hideMark/>
          </w:tcPr>
          <w:p w14:paraId="7A0F0A7C"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Бинокль 6х30</w:t>
            </w:r>
          </w:p>
        </w:tc>
        <w:tc>
          <w:tcPr>
            <w:tcW w:w="898" w:type="dxa"/>
            <w:tcBorders>
              <w:top w:val="outset" w:sz="6" w:space="0" w:color="auto"/>
              <w:left w:val="outset" w:sz="6" w:space="0" w:color="auto"/>
              <w:bottom w:val="outset" w:sz="6" w:space="0" w:color="auto"/>
              <w:right w:val="outset" w:sz="6" w:space="0" w:color="auto"/>
            </w:tcBorders>
            <w:hideMark/>
          </w:tcPr>
          <w:p w14:paraId="2E123993"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Б-6</w:t>
            </w:r>
          </w:p>
        </w:tc>
        <w:tc>
          <w:tcPr>
            <w:tcW w:w="709" w:type="dxa"/>
            <w:tcBorders>
              <w:top w:val="outset" w:sz="6" w:space="0" w:color="auto"/>
              <w:left w:val="outset" w:sz="6" w:space="0" w:color="auto"/>
              <w:bottom w:val="outset" w:sz="6" w:space="0" w:color="auto"/>
              <w:right w:val="outset" w:sz="6" w:space="0" w:color="auto"/>
            </w:tcBorders>
            <w:hideMark/>
          </w:tcPr>
          <w:p w14:paraId="0C378011"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4838C07A"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20322</w:t>
            </w:r>
          </w:p>
        </w:tc>
        <w:tc>
          <w:tcPr>
            <w:tcW w:w="851" w:type="dxa"/>
            <w:tcBorders>
              <w:top w:val="outset" w:sz="6" w:space="0" w:color="auto"/>
              <w:left w:val="outset" w:sz="6" w:space="0" w:color="auto"/>
              <w:bottom w:val="outset" w:sz="6" w:space="0" w:color="auto"/>
              <w:right w:val="outset" w:sz="6" w:space="0" w:color="auto"/>
            </w:tcBorders>
            <w:hideMark/>
          </w:tcPr>
          <w:p w14:paraId="443CD9EB"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108920</w:t>
            </w:r>
          </w:p>
        </w:tc>
        <w:tc>
          <w:tcPr>
            <w:tcW w:w="850" w:type="dxa"/>
            <w:tcBorders>
              <w:top w:val="outset" w:sz="6" w:space="0" w:color="auto"/>
              <w:left w:val="outset" w:sz="6" w:space="0" w:color="auto"/>
              <w:bottom w:val="outset" w:sz="6" w:space="0" w:color="auto"/>
              <w:right w:val="outset" w:sz="6" w:space="0" w:color="auto"/>
            </w:tcBorders>
            <w:hideMark/>
          </w:tcPr>
          <w:p w14:paraId="6D80DECA"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175707</w:t>
            </w:r>
          </w:p>
        </w:tc>
        <w:tc>
          <w:tcPr>
            <w:tcW w:w="851" w:type="dxa"/>
            <w:tcBorders>
              <w:top w:val="outset" w:sz="6" w:space="0" w:color="auto"/>
              <w:left w:val="outset" w:sz="6" w:space="0" w:color="auto"/>
              <w:bottom w:val="outset" w:sz="6" w:space="0" w:color="auto"/>
              <w:right w:val="outset" w:sz="6" w:space="0" w:color="auto"/>
            </w:tcBorders>
            <w:hideMark/>
          </w:tcPr>
          <w:p w14:paraId="03EFE419"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68020</w:t>
            </w:r>
          </w:p>
        </w:tc>
      </w:tr>
      <w:tr w:rsidR="005106D0" w:rsidRPr="007224C3" w14:paraId="25875539"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2D8DC674"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w:t>
            </w:r>
          </w:p>
        </w:tc>
        <w:tc>
          <w:tcPr>
            <w:tcW w:w="3128" w:type="dxa"/>
            <w:tcBorders>
              <w:top w:val="outset" w:sz="6" w:space="0" w:color="auto"/>
              <w:left w:val="outset" w:sz="6" w:space="0" w:color="auto"/>
              <w:bottom w:val="outset" w:sz="6" w:space="0" w:color="auto"/>
              <w:right w:val="outset" w:sz="6" w:space="0" w:color="auto"/>
            </w:tcBorders>
            <w:hideMark/>
          </w:tcPr>
          <w:p w14:paraId="33031B25"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Полевая орудийная панорама</w:t>
            </w:r>
          </w:p>
        </w:tc>
        <w:tc>
          <w:tcPr>
            <w:tcW w:w="898" w:type="dxa"/>
            <w:tcBorders>
              <w:top w:val="outset" w:sz="6" w:space="0" w:color="auto"/>
              <w:left w:val="outset" w:sz="6" w:space="0" w:color="auto"/>
              <w:bottom w:val="outset" w:sz="6" w:space="0" w:color="auto"/>
              <w:right w:val="outset" w:sz="6" w:space="0" w:color="auto"/>
            </w:tcBorders>
            <w:hideMark/>
          </w:tcPr>
          <w:p w14:paraId="19352D77"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ПГ</w:t>
            </w:r>
          </w:p>
        </w:tc>
        <w:tc>
          <w:tcPr>
            <w:tcW w:w="709" w:type="dxa"/>
            <w:tcBorders>
              <w:top w:val="outset" w:sz="6" w:space="0" w:color="auto"/>
              <w:left w:val="outset" w:sz="6" w:space="0" w:color="auto"/>
              <w:bottom w:val="outset" w:sz="6" w:space="0" w:color="auto"/>
              <w:right w:val="outset" w:sz="6" w:space="0" w:color="auto"/>
            </w:tcBorders>
            <w:hideMark/>
          </w:tcPr>
          <w:p w14:paraId="281DEB99"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1EE41D5B"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579</w:t>
            </w:r>
          </w:p>
        </w:tc>
        <w:tc>
          <w:tcPr>
            <w:tcW w:w="851" w:type="dxa"/>
            <w:tcBorders>
              <w:top w:val="outset" w:sz="6" w:space="0" w:color="auto"/>
              <w:left w:val="outset" w:sz="6" w:space="0" w:color="auto"/>
              <w:bottom w:val="outset" w:sz="6" w:space="0" w:color="auto"/>
              <w:right w:val="outset" w:sz="6" w:space="0" w:color="auto"/>
            </w:tcBorders>
            <w:hideMark/>
          </w:tcPr>
          <w:p w14:paraId="3046FE8E"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8489</w:t>
            </w:r>
          </w:p>
        </w:tc>
        <w:tc>
          <w:tcPr>
            <w:tcW w:w="850" w:type="dxa"/>
            <w:tcBorders>
              <w:top w:val="outset" w:sz="6" w:space="0" w:color="auto"/>
              <w:left w:val="outset" w:sz="6" w:space="0" w:color="auto"/>
              <w:bottom w:val="outset" w:sz="6" w:space="0" w:color="auto"/>
              <w:right w:val="outset" w:sz="6" w:space="0" w:color="auto"/>
            </w:tcBorders>
            <w:hideMark/>
          </w:tcPr>
          <w:p w14:paraId="2EA066E7"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8162</w:t>
            </w:r>
          </w:p>
        </w:tc>
        <w:tc>
          <w:tcPr>
            <w:tcW w:w="851" w:type="dxa"/>
            <w:tcBorders>
              <w:top w:val="outset" w:sz="6" w:space="0" w:color="auto"/>
              <w:left w:val="outset" w:sz="6" w:space="0" w:color="auto"/>
              <w:bottom w:val="outset" w:sz="6" w:space="0" w:color="auto"/>
              <w:right w:val="outset" w:sz="6" w:space="0" w:color="auto"/>
            </w:tcBorders>
            <w:hideMark/>
          </w:tcPr>
          <w:p w14:paraId="5A98732C"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4015</w:t>
            </w:r>
          </w:p>
        </w:tc>
      </w:tr>
      <w:tr w:rsidR="005106D0" w:rsidRPr="007224C3" w14:paraId="6B9B1408"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53DD374F"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32.</w:t>
            </w:r>
          </w:p>
        </w:tc>
        <w:tc>
          <w:tcPr>
            <w:tcW w:w="3128" w:type="dxa"/>
            <w:tcBorders>
              <w:top w:val="outset" w:sz="6" w:space="0" w:color="auto"/>
              <w:left w:val="outset" w:sz="6" w:space="0" w:color="auto"/>
              <w:bottom w:val="outset" w:sz="6" w:space="0" w:color="auto"/>
              <w:right w:val="outset" w:sz="6" w:space="0" w:color="auto"/>
            </w:tcBorders>
            <w:hideMark/>
          </w:tcPr>
          <w:p w14:paraId="689FB61A"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Минометный оптический прицел</w:t>
            </w:r>
          </w:p>
        </w:tc>
        <w:tc>
          <w:tcPr>
            <w:tcW w:w="898" w:type="dxa"/>
            <w:tcBorders>
              <w:top w:val="outset" w:sz="6" w:space="0" w:color="auto"/>
              <w:left w:val="outset" w:sz="6" w:space="0" w:color="auto"/>
              <w:bottom w:val="outset" w:sz="6" w:space="0" w:color="auto"/>
              <w:right w:val="outset" w:sz="6" w:space="0" w:color="auto"/>
            </w:tcBorders>
            <w:hideMark/>
          </w:tcPr>
          <w:p w14:paraId="5219EC92"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МП</w:t>
            </w:r>
          </w:p>
        </w:tc>
        <w:tc>
          <w:tcPr>
            <w:tcW w:w="709" w:type="dxa"/>
            <w:tcBorders>
              <w:top w:val="outset" w:sz="6" w:space="0" w:color="auto"/>
              <w:left w:val="outset" w:sz="6" w:space="0" w:color="auto"/>
              <w:bottom w:val="outset" w:sz="6" w:space="0" w:color="auto"/>
              <w:right w:val="outset" w:sz="6" w:space="0" w:color="auto"/>
            </w:tcBorders>
            <w:hideMark/>
          </w:tcPr>
          <w:p w14:paraId="479570CF"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4B1591E3"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150</w:t>
            </w:r>
          </w:p>
        </w:tc>
        <w:tc>
          <w:tcPr>
            <w:tcW w:w="851" w:type="dxa"/>
            <w:tcBorders>
              <w:top w:val="outset" w:sz="6" w:space="0" w:color="auto"/>
              <w:left w:val="outset" w:sz="6" w:space="0" w:color="auto"/>
              <w:bottom w:val="outset" w:sz="6" w:space="0" w:color="auto"/>
              <w:right w:val="outset" w:sz="6" w:space="0" w:color="auto"/>
            </w:tcBorders>
            <w:hideMark/>
          </w:tcPr>
          <w:p w14:paraId="158A7F65"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5964</w:t>
            </w:r>
          </w:p>
        </w:tc>
        <w:tc>
          <w:tcPr>
            <w:tcW w:w="850" w:type="dxa"/>
            <w:tcBorders>
              <w:top w:val="outset" w:sz="6" w:space="0" w:color="auto"/>
              <w:left w:val="outset" w:sz="6" w:space="0" w:color="auto"/>
              <w:bottom w:val="outset" w:sz="6" w:space="0" w:color="auto"/>
              <w:right w:val="outset" w:sz="6" w:space="0" w:color="auto"/>
            </w:tcBorders>
            <w:hideMark/>
          </w:tcPr>
          <w:p w14:paraId="7D45F591"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6266</w:t>
            </w:r>
          </w:p>
        </w:tc>
        <w:tc>
          <w:tcPr>
            <w:tcW w:w="851" w:type="dxa"/>
            <w:tcBorders>
              <w:top w:val="outset" w:sz="6" w:space="0" w:color="auto"/>
              <w:left w:val="outset" w:sz="6" w:space="0" w:color="auto"/>
              <w:bottom w:val="outset" w:sz="6" w:space="0" w:color="auto"/>
              <w:right w:val="outset" w:sz="6" w:space="0" w:color="auto"/>
            </w:tcBorders>
            <w:hideMark/>
          </w:tcPr>
          <w:p w14:paraId="7FEABE7F"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293</w:t>
            </w:r>
          </w:p>
        </w:tc>
      </w:tr>
      <w:tr w:rsidR="005106D0" w:rsidRPr="007224C3" w14:paraId="20CEC9D3"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375C6786"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33.</w:t>
            </w:r>
          </w:p>
        </w:tc>
        <w:tc>
          <w:tcPr>
            <w:tcW w:w="3128" w:type="dxa"/>
            <w:tcBorders>
              <w:top w:val="outset" w:sz="6" w:space="0" w:color="auto"/>
              <w:left w:val="outset" w:sz="6" w:space="0" w:color="auto"/>
              <w:bottom w:val="outset" w:sz="6" w:space="0" w:color="auto"/>
              <w:right w:val="outset" w:sz="6" w:space="0" w:color="auto"/>
            </w:tcBorders>
            <w:hideMark/>
          </w:tcPr>
          <w:p w14:paraId="6EFC59D1"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Танковый прицел</w:t>
            </w:r>
          </w:p>
        </w:tc>
        <w:tc>
          <w:tcPr>
            <w:tcW w:w="898" w:type="dxa"/>
            <w:tcBorders>
              <w:top w:val="outset" w:sz="6" w:space="0" w:color="auto"/>
              <w:left w:val="outset" w:sz="6" w:space="0" w:color="auto"/>
              <w:bottom w:val="outset" w:sz="6" w:space="0" w:color="auto"/>
              <w:right w:val="outset" w:sz="6" w:space="0" w:color="auto"/>
            </w:tcBorders>
            <w:hideMark/>
          </w:tcPr>
          <w:p w14:paraId="620E9478"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ТМФП</w:t>
            </w:r>
          </w:p>
        </w:tc>
        <w:tc>
          <w:tcPr>
            <w:tcW w:w="709" w:type="dxa"/>
            <w:tcBorders>
              <w:top w:val="outset" w:sz="6" w:space="0" w:color="auto"/>
              <w:left w:val="outset" w:sz="6" w:space="0" w:color="auto"/>
              <w:bottom w:val="outset" w:sz="6" w:space="0" w:color="auto"/>
              <w:right w:val="outset" w:sz="6" w:space="0" w:color="auto"/>
            </w:tcBorders>
            <w:hideMark/>
          </w:tcPr>
          <w:p w14:paraId="6462AF03"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38E0E3C0"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150</w:t>
            </w:r>
          </w:p>
        </w:tc>
        <w:tc>
          <w:tcPr>
            <w:tcW w:w="851" w:type="dxa"/>
            <w:tcBorders>
              <w:top w:val="outset" w:sz="6" w:space="0" w:color="auto"/>
              <w:left w:val="outset" w:sz="6" w:space="0" w:color="auto"/>
              <w:bottom w:val="outset" w:sz="6" w:space="0" w:color="auto"/>
              <w:right w:val="outset" w:sz="6" w:space="0" w:color="auto"/>
            </w:tcBorders>
            <w:hideMark/>
          </w:tcPr>
          <w:p w14:paraId="268E188A"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550</w:t>
            </w:r>
          </w:p>
        </w:tc>
        <w:tc>
          <w:tcPr>
            <w:tcW w:w="850" w:type="dxa"/>
            <w:tcBorders>
              <w:top w:val="outset" w:sz="6" w:space="0" w:color="auto"/>
              <w:left w:val="outset" w:sz="6" w:space="0" w:color="auto"/>
              <w:bottom w:val="outset" w:sz="6" w:space="0" w:color="auto"/>
              <w:right w:val="outset" w:sz="6" w:space="0" w:color="auto"/>
            </w:tcBorders>
            <w:hideMark/>
          </w:tcPr>
          <w:p w14:paraId="34502D2A"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02E18598"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3EF23F48"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38216092"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34.</w:t>
            </w:r>
          </w:p>
        </w:tc>
        <w:tc>
          <w:tcPr>
            <w:tcW w:w="3128" w:type="dxa"/>
            <w:tcBorders>
              <w:top w:val="outset" w:sz="6" w:space="0" w:color="auto"/>
              <w:left w:val="outset" w:sz="6" w:space="0" w:color="auto"/>
              <w:bottom w:val="outset" w:sz="6" w:space="0" w:color="auto"/>
              <w:right w:val="outset" w:sz="6" w:space="0" w:color="auto"/>
            </w:tcBorders>
            <w:hideMark/>
          </w:tcPr>
          <w:p w14:paraId="7382A55D"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Танковый прицел</w:t>
            </w:r>
          </w:p>
        </w:tc>
        <w:tc>
          <w:tcPr>
            <w:tcW w:w="898" w:type="dxa"/>
            <w:tcBorders>
              <w:top w:val="outset" w:sz="6" w:space="0" w:color="auto"/>
              <w:left w:val="outset" w:sz="6" w:space="0" w:color="auto"/>
              <w:bottom w:val="outset" w:sz="6" w:space="0" w:color="auto"/>
              <w:right w:val="outset" w:sz="6" w:space="0" w:color="auto"/>
            </w:tcBorders>
            <w:hideMark/>
          </w:tcPr>
          <w:p w14:paraId="760EE94D"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ТМФД</w:t>
            </w:r>
          </w:p>
        </w:tc>
        <w:tc>
          <w:tcPr>
            <w:tcW w:w="709" w:type="dxa"/>
            <w:tcBorders>
              <w:top w:val="outset" w:sz="6" w:space="0" w:color="auto"/>
              <w:left w:val="outset" w:sz="6" w:space="0" w:color="auto"/>
              <w:bottom w:val="outset" w:sz="6" w:space="0" w:color="auto"/>
              <w:right w:val="outset" w:sz="6" w:space="0" w:color="auto"/>
            </w:tcBorders>
            <w:hideMark/>
          </w:tcPr>
          <w:p w14:paraId="35192D61"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21EEA633"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5B6AC2B3"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2667</w:t>
            </w:r>
          </w:p>
        </w:tc>
        <w:tc>
          <w:tcPr>
            <w:tcW w:w="850" w:type="dxa"/>
            <w:tcBorders>
              <w:top w:val="outset" w:sz="6" w:space="0" w:color="auto"/>
              <w:left w:val="outset" w:sz="6" w:space="0" w:color="auto"/>
              <w:bottom w:val="outset" w:sz="6" w:space="0" w:color="auto"/>
              <w:right w:val="outset" w:sz="6" w:space="0" w:color="auto"/>
            </w:tcBorders>
            <w:hideMark/>
          </w:tcPr>
          <w:p w14:paraId="29BC3481"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34370CC9"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37171B56"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6E7272D6"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35.</w:t>
            </w:r>
          </w:p>
        </w:tc>
        <w:tc>
          <w:tcPr>
            <w:tcW w:w="3128" w:type="dxa"/>
            <w:tcBorders>
              <w:top w:val="outset" w:sz="6" w:space="0" w:color="auto"/>
              <w:left w:val="outset" w:sz="6" w:space="0" w:color="auto"/>
              <w:bottom w:val="outset" w:sz="6" w:space="0" w:color="auto"/>
              <w:right w:val="outset" w:sz="6" w:space="0" w:color="auto"/>
            </w:tcBorders>
            <w:hideMark/>
          </w:tcPr>
          <w:p w14:paraId="37AC7919"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Снайперский винтовочный прицел</w:t>
            </w:r>
          </w:p>
        </w:tc>
        <w:tc>
          <w:tcPr>
            <w:tcW w:w="898" w:type="dxa"/>
            <w:tcBorders>
              <w:top w:val="outset" w:sz="6" w:space="0" w:color="auto"/>
              <w:left w:val="outset" w:sz="6" w:space="0" w:color="auto"/>
              <w:bottom w:val="outset" w:sz="6" w:space="0" w:color="auto"/>
              <w:right w:val="outset" w:sz="6" w:space="0" w:color="auto"/>
            </w:tcBorders>
            <w:hideMark/>
          </w:tcPr>
          <w:p w14:paraId="6EAE8993"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ПУ</w:t>
            </w:r>
          </w:p>
        </w:tc>
        <w:tc>
          <w:tcPr>
            <w:tcW w:w="709" w:type="dxa"/>
            <w:tcBorders>
              <w:top w:val="outset" w:sz="6" w:space="0" w:color="auto"/>
              <w:left w:val="outset" w:sz="6" w:space="0" w:color="auto"/>
              <w:bottom w:val="outset" w:sz="6" w:space="0" w:color="auto"/>
              <w:right w:val="outset" w:sz="6" w:space="0" w:color="auto"/>
            </w:tcBorders>
            <w:hideMark/>
          </w:tcPr>
          <w:p w14:paraId="38E0AFE8"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1EC93984"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28B03573"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0" w:type="dxa"/>
            <w:tcBorders>
              <w:top w:val="outset" w:sz="6" w:space="0" w:color="auto"/>
              <w:left w:val="outset" w:sz="6" w:space="0" w:color="auto"/>
              <w:bottom w:val="outset" w:sz="6" w:space="0" w:color="auto"/>
              <w:right w:val="outset" w:sz="6" w:space="0" w:color="auto"/>
            </w:tcBorders>
            <w:hideMark/>
          </w:tcPr>
          <w:p w14:paraId="0AFF54F9"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21783</w:t>
            </w:r>
          </w:p>
        </w:tc>
        <w:tc>
          <w:tcPr>
            <w:tcW w:w="851" w:type="dxa"/>
            <w:tcBorders>
              <w:top w:val="outset" w:sz="6" w:space="0" w:color="auto"/>
              <w:left w:val="outset" w:sz="6" w:space="0" w:color="auto"/>
              <w:bottom w:val="outset" w:sz="6" w:space="0" w:color="auto"/>
              <w:right w:val="outset" w:sz="6" w:space="0" w:color="auto"/>
            </w:tcBorders>
            <w:hideMark/>
          </w:tcPr>
          <w:p w14:paraId="006B7FEB"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12123</w:t>
            </w:r>
          </w:p>
        </w:tc>
      </w:tr>
      <w:tr w:rsidR="005106D0" w:rsidRPr="007224C3" w14:paraId="26E25EA5"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0C80783B"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36.</w:t>
            </w:r>
          </w:p>
        </w:tc>
        <w:tc>
          <w:tcPr>
            <w:tcW w:w="3128" w:type="dxa"/>
            <w:tcBorders>
              <w:top w:val="outset" w:sz="6" w:space="0" w:color="auto"/>
              <w:left w:val="outset" w:sz="6" w:space="0" w:color="auto"/>
              <w:bottom w:val="outset" w:sz="6" w:space="0" w:color="auto"/>
              <w:right w:val="outset" w:sz="6" w:space="0" w:color="auto"/>
            </w:tcBorders>
            <w:hideMark/>
          </w:tcPr>
          <w:p w14:paraId="37912109"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Пулеметная панорама</w:t>
            </w:r>
          </w:p>
        </w:tc>
        <w:tc>
          <w:tcPr>
            <w:tcW w:w="898" w:type="dxa"/>
            <w:tcBorders>
              <w:top w:val="outset" w:sz="6" w:space="0" w:color="auto"/>
              <w:left w:val="outset" w:sz="6" w:space="0" w:color="auto"/>
              <w:bottom w:val="outset" w:sz="6" w:space="0" w:color="auto"/>
              <w:right w:val="outset" w:sz="6" w:space="0" w:color="auto"/>
            </w:tcBorders>
            <w:hideMark/>
          </w:tcPr>
          <w:p w14:paraId="55AD398C"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ПП-1</w:t>
            </w:r>
          </w:p>
        </w:tc>
        <w:tc>
          <w:tcPr>
            <w:tcW w:w="709" w:type="dxa"/>
            <w:tcBorders>
              <w:top w:val="outset" w:sz="6" w:space="0" w:color="auto"/>
              <w:left w:val="outset" w:sz="6" w:space="0" w:color="auto"/>
              <w:bottom w:val="outset" w:sz="6" w:space="0" w:color="auto"/>
              <w:right w:val="outset" w:sz="6" w:space="0" w:color="auto"/>
            </w:tcBorders>
            <w:hideMark/>
          </w:tcPr>
          <w:p w14:paraId="7185A38C"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2EE01D15"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707</w:t>
            </w:r>
          </w:p>
        </w:tc>
        <w:tc>
          <w:tcPr>
            <w:tcW w:w="851" w:type="dxa"/>
            <w:tcBorders>
              <w:top w:val="outset" w:sz="6" w:space="0" w:color="auto"/>
              <w:left w:val="outset" w:sz="6" w:space="0" w:color="auto"/>
              <w:bottom w:val="outset" w:sz="6" w:space="0" w:color="auto"/>
              <w:right w:val="outset" w:sz="6" w:space="0" w:color="auto"/>
            </w:tcBorders>
            <w:hideMark/>
          </w:tcPr>
          <w:p w14:paraId="66C885C5"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1002</w:t>
            </w:r>
          </w:p>
        </w:tc>
        <w:tc>
          <w:tcPr>
            <w:tcW w:w="850" w:type="dxa"/>
            <w:tcBorders>
              <w:top w:val="outset" w:sz="6" w:space="0" w:color="auto"/>
              <w:left w:val="outset" w:sz="6" w:space="0" w:color="auto"/>
              <w:bottom w:val="outset" w:sz="6" w:space="0" w:color="auto"/>
              <w:right w:val="outset" w:sz="6" w:space="0" w:color="auto"/>
            </w:tcBorders>
            <w:hideMark/>
          </w:tcPr>
          <w:p w14:paraId="35C0B9EC"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3DA96707"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30A0A1AD"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5555B762"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37.</w:t>
            </w:r>
          </w:p>
        </w:tc>
        <w:tc>
          <w:tcPr>
            <w:tcW w:w="3128" w:type="dxa"/>
            <w:tcBorders>
              <w:top w:val="outset" w:sz="6" w:space="0" w:color="auto"/>
              <w:left w:val="outset" w:sz="6" w:space="0" w:color="auto"/>
              <w:bottom w:val="outset" w:sz="6" w:space="0" w:color="auto"/>
              <w:right w:val="outset" w:sz="6" w:space="0" w:color="auto"/>
            </w:tcBorders>
            <w:hideMark/>
          </w:tcPr>
          <w:p w14:paraId="54690377"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Оптический прицел для тяжелого бомбардировщика</w:t>
            </w:r>
          </w:p>
        </w:tc>
        <w:tc>
          <w:tcPr>
            <w:tcW w:w="898" w:type="dxa"/>
            <w:tcBorders>
              <w:top w:val="outset" w:sz="6" w:space="0" w:color="auto"/>
              <w:left w:val="outset" w:sz="6" w:space="0" w:color="auto"/>
              <w:bottom w:val="outset" w:sz="6" w:space="0" w:color="auto"/>
              <w:right w:val="outset" w:sz="6" w:space="0" w:color="auto"/>
            </w:tcBorders>
            <w:hideMark/>
          </w:tcPr>
          <w:p w14:paraId="5BB6D667"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ОПБ-2м</w:t>
            </w:r>
          </w:p>
        </w:tc>
        <w:tc>
          <w:tcPr>
            <w:tcW w:w="709" w:type="dxa"/>
            <w:tcBorders>
              <w:top w:val="outset" w:sz="6" w:space="0" w:color="auto"/>
              <w:left w:val="outset" w:sz="6" w:space="0" w:color="auto"/>
              <w:bottom w:val="outset" w:sz="6" w:space="0" w:color="auto"/>
              <w:right w:val="outset" w:sz="6" w:space="0" w:color="auto"/>
            </w:tcBorders>
            <w:hideMark/>
          </w:tcPr>
          <w:p w14:paraId="104C1605"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51F5872C"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534F7627"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w:t>
            </w:r>
          </w:p>
        </w:tc>
        <w:tc>
          <w:tcPr>
            <w:tcW w:w="850" w:type="dxa"/>
            <w:tcBorders>
              <w:top w:val="outset" w:sz="6" w:space="0" w:color="auto"/>
              <w:left w:val="outset" w:sz="6" w:space="0" w:color="auto"/>
              <w:bottom w:val="outset" w:sz="6" w:space="0" w:color="auto"/>
              <w:right w:val="outset" w:sz="6" w:space="0" w:color="auto"/>
            </w:tcBorders>
            <w:hideMark/>
          </w:tcPr>
          <w:p w14:paraId="2A74A7D6"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58578546"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48A22C88"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1D673C1F"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38.</w:t>
            </w:r>
          </w:p>
        </w:tc>
        <w:tc>
          <w:tcPr>
            <w:tcW w:w="3128" w:type="dxa"/>
            <w:tcBorders>
              <w:top w:val="outset" w:sz="6" w:space="0" w:color="auto"/>
              <w:left w:val="outset" w:sz="6" w:space="0" w:color="auto"/>
              <w:bottom w:val="outset" w:sz="6" w:space="0" w:color="auto"/>
              <w:right w:val="outset" w:sz="6" w:space="0" w:color="auto"/>
            </w:tcBorders>
            <w:hideMark/>
          </w:tcPr>
          <w:p w14:paraId="1C7A35AC"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Пята ОПБ-2м</w:t>
            </w:r>
          </w:p>
        </w:tc>
        <w:tc>
          <w:tcPr>
            <w:tcW w:w="898" w:type="dxa"/>
            <w:tcBorders>
              <w:top w:val="outset" w:sz="6" w:space="0" w:color="auto"/>
              <w:left w:val="outset" w:sz="6" w:space="0" w:color="auto"/>
              <w:bottom w:val="outset" w:sz="6" w:space="0" w:color="auto"/>
              <w:right w:val="outset" w:sz="6" w:space="0" w:color="auto"/>
            </w:tcBorders>
            <w:hideMark/>
          </w:tcPr>
          <w:p w14:paraId="1769DB1B" w14:textId="77777777" w:rsidR="00B652F7" w:rsidRPr="007224C3" w:rsidRDefault="00B652F7" w:rsidP="007224C3">
            <w:pPr>
              <w:spacing w:after="0" w:line="240" w:lineRule="auto"/>
              <w:jc w:val="both"/>
              <w:rPr>
                <w:rFonts w:ascii="Times New Roman" w:hAnsi="Times New Roman"/>
                <w:color w:val="000000" w:themeColor="text1"/>
                <w:sz w:val="16"/>
                <w:szCs w:val="16"/>
              </w:rPr>
            </w:pPr>
          </w:p>
        </w:tc>
        <w:tc>
          <w:tcPr>
            <w:tcW w:w="709" w:type="dxa"/>
            <w:tcBorders>
              <w:top w:val="outset" w:sz="6" w:space="0" w:color="auto"/>
              <w:left w:val="outset" w:sz="6" w:space="0" w:color="auto"/>
              <w:bottom w:val="outset" w:sz="6" w:space="0" w:color="auto"/>
              <w:right w:val="outset" w:sz="6" w:space="0" w:color="auto"/>
            </w:tcBorders>
            <w:hideMark/>
          </w:tcPr>
          <w:p w14:paraId="5307698F"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5E69691D"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0CF27965"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73</w:t>
            </w:r>
          </w:p>
        </w:tc>
        <w:tc>
          <w:tcPr>
            <w:tcW w:w="850" w:type="dxa"/>
            <w:tcBorders>
              <w:top w:val="outset" w:sz="6" w:space="0" w:color="auto"/>
              <w:left w:val="outset" w:sz="6" w:space="0" w:color="auto"/>
              <w:bottom w:val="outset" w:sz="6" w:space="0" w:color="auto"/>
              <w:right w:val="outset" w:sz="6" w:space="0" w:color="auto"/>
            </w:tcBorders>
            <w:hideMark/>
          </w:tcPr>
          <w:p w14:paraId="4D27D4D5"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0C1CD19D"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0C135CA7"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1093359A"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39.</w:t>
            </w:r>
          </w:p>
        </w:tc>
        <w:tc>
          <w:tcPr>
            <w:tcW w:w="3128" w:type="dxa"/>
            <w:tcBorders>
              <w:top w:val="outset" w:sz="6" w:space="0" w:color="auto"/>
              <w:left w:val="outset" w:sz="6" w:space="0" w:color="auto"/>
              <w:bottom w:val="outset" w:sz="6" w:space="0" w:color="auto"/>
              <w:right w:val="outset" w:sz="6" w:space="0" w:color="auto"/>
            </w:tcBorders>
            <w:hideMark/>
          </w:tcPr>
          <w:p w14:paraId="7A7C0067"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Оптический стрелковый авиационный прицел</w:t>
            </w:r>
          </w:p>
        </w:tc>
        <w:tc>
          <w:tcPr>
            <w:tcW w:w="898" w:type="dxa"/>
            <w:tcBorders>
              <w:top w:val="outset" w:sz="6" w:space="0" w:color="auto"/>
              <w:left w:val="outset" w:sz="6" w:space="0" w:color="auto"/>
              <w:bottom w:val="outset" w:sz="6" w:space="0" w:color="auto"/>
              <w:right w:val="outset" w:sz="6" w:space="0" w:color="auto"/>
            </w:tcBorders>
            <w:hideMark/>
          </w:tcPr>
          <w:p w14:paraId="022856C0"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ОПТ-2</w:t>
            </w:r>
          </w:p>
        </w:tc>
        <w:tc>
          <w:tcPr>
            <w:tcW w:w="709" w:type="dxa"/>
            <w:tcBorders>
              <w:top w:val="outset" w:sz="6" w:space="0" w:color="auto"/>
              <w:left w:val="outset" w:sz="6" w:space="0" w:color="auto"/>
              <w:bottom w:val="outset" w:sz="6" w:space="0" w:color="auto"/>
              <w:right w:val="outset" w:sz="6" w:space="0" w:color="auto"/>
            </w:tcBorders>
            <w:hideMark/>
          </w:tcPr>
          <w:p w14:paraId="6094A371"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414F1FE3"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210</w:t>
            </w:r>
          </w:p>
        </w:tc>
        <w:tc>
          <w:tcPr>
            <w:tcW w:w="851" w:type="dxa"/>
            <w:tcBorders>
              <w:top w:val="outset" w:sz="6" w:space="0" w:color="auto"/>
              <w:left w:val="outset" w:sz="6" w:space="0" w:color="auto"/>
              <w:bottom w:val="outset" w:sz="6" w:space="0" w:color="auto"/>
              <w:right w:val="outset" w:sz="6" w:space="0" w:color="auto"/>
            </w:tcBorders>
            <w:hideMark/>
          </w:tcPr>
          <w:p w14:paraId="13871F49"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567</w:t>
            </w:r>
          </w:p>
        </w:tc>
        <w:tc>
          <w:tcPr>
            <w:tcW w:w="850" w:type="dxa"/>
            <w:tcBorders>
              <w:top w:val="outset" w:sz="6" w:space="0" w:color="auto"/>
              <w:left w:val="outset" w:sz="6" w:space="0" w:color="auto"/>
              <w:bottom w:val="outset" w:sz="6" w:space="0" w:color="auto"/>
              <w:right w:val="outset" w:sz="6" w:space="0" w:color="auto"/>
            </w:tcBorders>
            <w:hideMark/>
          </w:tcPr>
          <w:p w14:paraId="41C7E280"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2C491E12"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5D40A9FB"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5DD62A6A"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w:t>
            </w:r>
          </w:p>
        </w:tc>
        <w:tc>
          <w:tcPr>
            <w:tcW w:w="3128" w:type="dxa"/>
            <w:tcBorders>
              <w:top w:val="outset" w:sz="6" w:space="0" w:color="auto"/>
              <w:left w:val="outset" w:sz="6" w:space="0" w:color="auto"/>
              <w:bottom w:val="outset" w:sz="6" w:space="0" w:color="auto"/>
              <w:right w:val="outset" w:sz="6" w:space="0" w:color="auto"/>
            </w:tcBorders>
            <w:hideMark/>
          </w:tcPr>
          <w:p w14:paraId="7C2603BD"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Оптический стрелковый авиационный прицел</w:t>
            </w:r>
          </w:p>
        </w:tc>
        <w:tc>
          <w:tcPr>
            <w:tcW w:w="898" w:type="dxa"/>
            <w:tcBorders>
              <w:top w:val="outset" w:sz="6" w:space="0" w:color="auto"/>
              <w:left w:val="outset" w:sz="6" w:space="0" w:color="auto"/>
              <w:bottom w:val="outset" w:sz="6" w:space="0" w:color="auto"/>
              <w:right w:val="outset" w:sz="6" w:space="0" w:color="auto"/>
            </w:tcBorders>
            <w:hideMark/>
          </w:tcPr>
          <w:p w14:paraId="596A64B1"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ОПТ-2а</w:t>
            </w:r>
          </w:p>
        </w:tc>
        <w:tc>
          <w:tcPr>
            <w:tcW w:w="709" w:type="dxa"/>
            <w:tcBorders>
              <w:top w:val="outset" w:sz="6" w:space="0" w:color="auto"/>
              <w:left w:val="outset" w:sz="6" w:space="0" w:color="auto"/>
              <w:bottom w:val="outset" w:sz="6" w:space="0" w:color="auto"/>
              <w:right w:val="outset" w:sz="6" w:space="0" w:color="auto"/>
            </w:tcBorders>
            <w:hideMark/>
          </w:tcPr>
          <w:p w14:paraId="61A5BE07"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2E7809AE"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4E182AB5"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0" w:type="dxa"/>
            <w:tcBorders>
              <w:top w:val="outset" w:sz="6" w:space="0" w:color="auto"/>
              <w:left w:val="outset" w:sz="6" w:space="0" w:color="auto"/>
              <w:bottom w:val="outset" w:sz="6" w:space="0" w:color="auto"/>
              <w:right w:val="outset" w:sz="6" w:space="0" w:color="auto"/>
            </w:tcBorders>
            <w:hideMark/>
          </w:tcPr>
          <w:p w14:paraId="102B3B12"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262</w:t>
            </w:r>
          </w:p>
        </w:tc>
        <w:tc>
          <w:tcPr>
            <w:tcW w:w="851" w:type="dxa"/>
            <w:tcBorders>
              <w:top w:val="outset" w:sz="6" w:space="0" w:color="auto"/>
              <w:left w:val="outset" w:sz="6" w:space="0" w:color="auto"/>
              <w:bottom w:val="outset" w:sz="6" w:space="0" w:color="auto"/>
              <w:right w:val="outset" w:sz="6" w:space="0" w:color="auto"/>
            </w:tcBorders>
            <w:hideMark/>
          </w:tcPr>
          <w:p w14:paraId="6585E8CB"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4D0E3F19"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14C5F427"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41.</w:t>
            </w:r>
          </w:p>
        </w:tc>
        <w:tc>
          <w:tcPr>
            <w:tcW w:w="3128" w:type="dxa"/>
            <w:tcBorders>
              <w:top w:val="outset" w:sz="6" w:space="0" w:color="auto"/>
              <w:left w:val="outset" w:sz="6" w:space="0" w:color="auto"/>
              <w:bottom w:val="outset" w:sz="6" w:space="0" w:color="auto"/>
              <w:right w:val="outset" w:sz="6" w:space="0" w:color="auto"/>
            </w:tcBorders>
            <w:hideMark/>
          </w:tcPr>
          <w:p w14:paraId="09343A36"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Оптический стрелковый авиационный прицел</w:t>
            </w:r>
          </w:p>
        </w:tc>
        <w:tc>
          <w:tcPr>
            <w:tcW w:w="898" w:type="dxa"/>
            <w:tcBorders>
              <w:top w:val="outset" w:sz="6" w:space="0" w:color="auto"/>
              <w:left w:val="outset" w:sz="6" w:space="0" w:color="auto"/>
              <w:bottom w:val="outset" w:sz="6" w:space="0" w:color="auto"/>
              <w:right w:val="outset" w:sz="6" w:space="0" w:color="auto"/>
            </w:tcBorders>
            <w:hideMark/>
          </w:tcPr>
          <w:p w14:paraId="33A9EC61"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ОПТ-3</w:t>
            </w:r>
          </w:p>
        </w:tc>
        <w:tc>
          <w:tcPr>
            <w:tcW w:w="709" w:type="dxa"/>
            <w:tcBorders>
              <w:top w:val="outset" w:sz="6" w:space="0" w:color="auto"/>
              <w:left w:val="outset" w:sz="6" w:space="0" w:color="auto"/>
              <w:bottom w:val="outset" w:sz="6" w:space="0" w:color="auto"/>
              <w:right w:val="outset" w:sz="6" w:space="0" w:color="auto"/>
            </w:tcBorders>
            <w:hideMark/>
          </w:tcPr>
          <w:p w14:paraId="18DE1903"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1B723E6A"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08D13670"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119</w:t>
            </w:r>
          </w:p>
        </w:tc>
        <w:tc>
          <w:tcPr>
            <w:tcW w:w="850" w:type="dxa"/>
            <w:tcBorders>
              <w:top w:val="outset" w:sz="6" w:space="0" w:color="auto"/>
              <w:left w:val="outset" w:sz="6" w:space="0" w:color="auto"/>
              <w:bottom w:val="outset" w:sz="6" w:space="0" w:color="auto"/>
              <w:right w:val="outset" w:sz="6" w:space="0" w:color="auto"/>
            </w:tcBorders>
            <w:hideMark/>
          </w:tcPr>
          <w:p w14:paraId="5D221691"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78</w:t>
            </w:r>
          </w:p>
        </w:tc>
        <w:tc>
          <w:tcPr>
            <w:tcW w:w="851" w:type="dxa"/>
            <w:tcBorders>
              <w:top w:val="outset" w:sz="6" w:space="0" w:color="auto"/>
              <w:left w:val="outset" w:sz="6" w:space="0" w:color="auto"/>
              <w:bottom w:val="outset" w:sz="6" w:space="0" w:color="auto"/>
              <w:right w:val="outset" w:sz="6" w:space="0" w:color="auto"/>
            </w:tcBorders>
            <w:hideMark/>
          </w:tcPr>
          <w:p w14:paraId="7FC89522"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w:t>
            </w:r>
          </w:p>
        </w:tc>
      </w:tr>
      <w:tr w:rsidR="005106D0" w:rsidRPr="007224C3" w14:paraId="4A102A78"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369784C3"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42.</w:t>
            </w:r>
          </w:p>
        </w:tc>
        <w:tc>
          <w:tcPr>
            <w:tcW w:w="3128" w:type="dxa"/>
            <w:tcBorders>
              <w:top w:val="outset" w:sz="6" w:space="0" w:color="auto"/>
              <w:left w:val="outset" w:sz="6" w:space="0" w:color="auto"/>
              <w:bottom w:val="outset" w:sz="6" w:space="0" w:color="auto"/>
              <w:right w:val="outset" w:sz="6" w:space="0" w:color="auto"/>
            </w:tcBorders>
            <w:hideMark/>
          </w:tcPr>
          <w:p w14:paraId="6DCD0F25"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Оптический стрелковый авиационный прицел</w:t>
            </w:r>
          </w:p>
        </w:tc>
        <w:tc>
          <w:tcPr>
            <w:tcW w:w="898" w:type="dxa"/>
            <w:tcBorders>
              <w:top w:val="outset" w:sz="6" w:space="0" w:color="auto"/>
              <w:left w:val="outset" w:sz="6" w:space="0" w:color="auto"/>
              <w:bottom w:val="outset" w:sz="6" w:space="0" w:color="auto"/>
              <w:right w:val="outset" w:sz="6" w:space="0" w:color="auto"/>
            </w:tcBorders>
            <w:hideMark/>
          </w:tcPr>
          <w:p w14:paraId="6ECAE444"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ОПТ-6</w:t>
            </w:r>
          </w:p>
        </w:tc>
        <w:tc>
          <w:tcPr>
            <w:tcW w:w="709" w:type="dxa"/>
            <w:tcBorders>
              <w:top w:val="outset" w:sz="6" w:space="0" w:color="auto"/>
              <w:left w:val="outset" w:sz="6" w:space="0" w:color="auto"/>
              <w:bottom w:val="outset" w:sz="6" w:space="0" w:color="auto"/>
              <w:right w:val="outset" w:sz="6" w:space="0" w:color="auto"/>
            </w:tcBorders>
            <w:hideMark/>
          </w:tcPr>
          <w:p w14:paraId="78A3FF35"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468293DB"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1A6F1F4A"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0" w:type="dxa"/>
            <w:tcBorders>
              <w:top w:val="outset" w:sz="6" w:space="0" w:color="auto"/>
              <w:left w:val="outset" w:sz="6" w:space="0" w:color="auto"/>
              <w:bottom w:val="outset" w:sz="6" w:space="0" w:color="auto"/>
              <w:right w:val="outset" w:sz="6" w:space="0" w:color="auto"/>
            </w:tcBorders>
            <w:hideMark/>
          </w:tcPr>
          <w:p w14:paraId="34100E7C"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67087227"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201</w:t>
            </w:r>
          </w:p>
        </w:tc>
      </w:tr>
      <w:tr w:rsidR="005106D0" w:rsidRPr="007224C3" w14:paraId="614E9C50"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693A1170"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43.</w:t>
            </w:r>
          </w:p>
        </w:tc>
        <w:tc>
          <w:tcPr>
            <w:tcW w:w="3128" w:type="dxa"/>
            <w:tcBorders>
              <w:top w:val="outset" w:sz="6" w:space="0" w:color="auto"/>
              <w:left w:val="outset" w:sz="6" w:space="0" w:color="auto"/>
              <w:bottom w:val="outset" w:sz="6" w:space="0" w:color="auto"/>
              <w:right w:val="outset" w:sz="6" w:space="0" w:color="auto"/>
            </w:tcBorders>
            <w:hideMark/>
          </w:tcPr>
          <w:p w14:paraId="73BBD957"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Синхронный оптический прицел</w:t>
            </w:r>
          </w:p>
        </w:tc>
        <w:tc>
          <w:tcPr>
            <w:tcW w:w="898" w:type="dxa"/>
            <w:tcBorders>
              <w:top w:val="outset" w:sz="6" w:space="0" w:color="auto"/>
              <w:left w:val="outset" w:sz="6" w:space="0" w:color="auto"/>
              <w:bottom w:val="outset" w:sz="6" w:space="0" w:color="auto"/>
              <w:right w:val="outset" w:sz="6" w:space="0" w:color="auto"/>
            </w:tcBorders>
            <w:hideMark/>
          </w:tcPr>
          <w:p w14:paraId="088DCEC7"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ПС-1</w:t>
            </w:r>
          </w:p>
        </w:tc>
        <w:tc>
          <w:tcPr>
            <w:tcW w:w="709" w:type="dxa"/>
            <w:tcBorders>
              <w:top w:val="outset" w:sz="6" w:space="0" w:color="auto"/>
              <w:left w:val="outset" w:sz="6" w:space="0" w:color="auto"/>
              <w:bottom w:val="outset" w:sz="6" w:space="0" w:color="auto"/>
              <w:right w:val="outset" w:sz="6" w:space="0" w:color="auto"/>
            </w:tcBorders>
            <w:hideMark/>
          </w:tcPr>
          <w:p w14:paraId="4342589F"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634EABAB"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5C1CAC24"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w:t>
            </w:r>
          </w:p>
        </w:tc>
        <w:tc>
          <w:tcPr>
            <w:tcW w:w="850" w:type="dxa"/>
            <w:tcBorders>
              <w:top w:val="outset" w:sz="6" w:space="0" w:color="auto"/>
              <w:left w:val="outset" w:sz="6" w:space="0" w:color="auto"/>
              <w:bottom w:val="outset" w:sz="6" w:space="0" w:color="auto"/>
              <w:right w:val="outset" w:sz="6" w:space="0" w:color="auto"/>
            </w:tcBorders>
            <w:hideMark/>
          </w:tcPr>
          <w:p w14:paraId="5304C5EE"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792A2807"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4905041A"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1FCF8800"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44.</w:t>
            </w:r>
          </w:p>
        </w:tc>
        <w:tc>
          <w:tcPr>
            <w:tcW w:w="3128" w:type="dxa"/>
            <w:tcBorders>
              <w:top w:val="outset" w:sz="6" w:space="0" w:color="auto"/>
              <w:left w:val="outset" w:sz="6" w:space="0" w:color="auto"/>
              <w:bottom w:val="outset" w:sz="6" w:space="0" w:color="auto"/>
              <w:right w:val="outset" w:sz="6" w:space="0" w:color="auto"/>
            </w:tcBorders>
            <w:hideMark/>
          </w:tcPr>
          <w:p w14:paraId="77A120CB"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Фотокинопулемет</w:t>
            </w:r>
          </w:p>
        </w:tc>
        <w:tc>
          <w:tcPr>
            <w:tcW w:w="898" w:type="dxa"/>
            <w:tcBorders>
              <w:top w:val="outset" w:sz="6" w:space="0" w:color="auto"/>
              <w:left w:val="outset" w:sz="6" w:space="0" w:color="auto"/>
              <w:bottom w:val="outset" w:sz="6" w:space="0" w:color="auto"/>
              <w:right w:val="outset" w:sz="6" w:space="0" w:color="auto"/>
            </w:tcBorders>
            <w:hideMark/>
          </w:tcPr>
          <w:p w14:paraId="7B73FFCF"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ПАУ-22</w:t>
            </w:r>
          </w:p>
        </w:tc>
        <w:tc>
          <w:tcPr>
            <w:tcW w:w="709" w:type="dxa"/>
            <w:tcBorders>
              <w:top w:val="outset" w:sz="6" w:space="0" w:color="auto"/>
              <w:left w:val="outset" w:sz="6" w:space="0" w:color="auto"/>
              <w:bottom w:val="outset" w:sz="6" w:space="0" w:color="auto"/>
              <w:right w:val="outset" w:sz="6" w:space="0" w:color="auto"/>
            </w:tcBorders>
            <w:hideMark/>
          </w:tcPr>
          <w:p w14:paraId="2C298FFA"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51853353"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390</w:t>
            </w:r>
          </w:p>
        </w:tc>
        <w:tc>
          <w:tcPr>
            <w:tcW w:w="851" w:type="dxa"/>
            <w:tcBorders>
              <w:top w:val="outset" w:sz="6" w:space="0" w:color="auto"/>
              <w:left w:val="outset" w:sz="6" w:space="0" w:color="auto"/>
              <w:bottom w:val="outset" w:sz="6" w:space="0" w:color="auto"/>
              <w:right w:val="outset" w:sz="6" w:space="0" w:color="auto"/>
            </w:tcBorders>
            <w:hideMark/>
          </w:tcPr>
          <w:p w14:paraId="7E0ED842"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82</w:t>
            </w:r>
          </w:p>
        </w:tc>
        <w:tc>
          <w:tcPr>
            <w:tcW w:w="850" w:type="dxa"/>
            <w:tcBorders>
              <w:top w:val="outset" w:sz="6" w:space="0" w:color="auto"/>
              <w:left w:val="outset" w:sz="6" w:space="0" w:color="auto"/>
              <w:bottom w:val="outset" w:sz="6" w:space="0" w:color="auto"/>
              <w:right w:val="outset" w:sz="6" w:space="0" w:color="auto"/>
            </w:tcBorders>
            <w:hideMark/>
          </w:tcPr>
          <w:p w14:paraId="1A8B4567"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586</w:t>
            </w:r>
          </w:p>
        </w:tc>
        <w:tc>
          <w:tcPr>
            <w:tcW w:w="851" w:type="dxa"/>
            <w:tcBorders>
              <w:top w:val="outset" w:sz="6" w:space="0" w:color="auto"/>
              <w:left w:val="outset" w:sz="6" w:space="0" w:color="auto"/>
              <w:bottom w:val="outset" w:sz="6" w:space="0" w:color="auto"/>
              <w:right w:val="outset" w:sz="6" w:space="0" w:color="auto"/>
            </w:tcBorders>
            <w:hideMark/>
          </w:tcPr>
          <w:p w14:paraId="6BF249C5"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136</w:t>
            </w:r>
          </w:p>
        </w:tc>
      </w:tr>
      <w:tr w:rsidR="005106D0" w:rsidRPr="007224C3" w14:paraId="3CE6870F"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607B24E5"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w:t>
            </w:r>
          </w:p>
        </w:tc>
        <w:tc>
          <w:tcPr>
            <w:tcW w:w="3128" w:type="dxa"/>
            <w:tcBorders>
              <w:top w:val="outset" w:sz="6" w:space="0" w:color="auto"/>
              <w:left w:val="outset" w:sz="6" w:space="0" w:color="auto"/>
              <w:bottom w:val="outset" w:sz="6" w:space="0" w:color="auto"/>
              <w:right w:val="outset" w:sz="6" w:space="0" w:color="auto"/>
            </w:tcBorders>
            <w:hideMark/>
          </w:tcPr>
          <w:p w14:paraId="6F436205"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Дешифратор к ПАУ-22</w:t>
            </w:r>
          </w:p>
        </w:tc>
        <w:tc>
          <w:tcPr>
            <w:tcW w:w="898" w:type="dxa"/>
            <w:tcBorders>
              <w:top w:val="outset" w:sz="6" w:space="0" w:color="auto"/>
              <w:left w:val="outset" w:sz="6" w:space="0" w:color="auto"/>
              <w:bottom w:val="outset" w:sz="6" w:space="0" w:color="auto"/>
              <w:right w:val="outset" w:sz="6" w:space="0" w:color="auto"/>
            </w:tcBorders>
            <w:hideMark/>
          </w:tcPr>
          <w:p w14:paraId="07144B30"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ЭДИ-22</w:t>
            </w:r>
          </w:p>
        </w:tc>
        <w:tc>
          <w:tcPr>
            <w:tcW w:w="709" w:type="dxa"/>
            <w:tcBorders>
              <w:top w:val="outset" w:sz="6" w:space="0" w:color="auto"/>
              <w:left w:val="outset" w:sz="6" w:space="0" w:color="auto"/>
              <w:bottom w:val="outset" w:sz="6" w:space="0" w:color="auto"/>
              <w:right w:val="outset" w:sz="6" w:space="0" w:color="auto"/>
            </w:tcBorders>
            <w:hideMark/>
          </w:tcPr>
          <w:p w14:paraId="30951D2C"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638CE551"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2F464771"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0" w:type="dxa"/>
            <w:tcBorders>
              <w:top w:val="outset" w:sz="6" w:space="0" w:color="auto"/>
              <w:left w:val="outset" w:sz="6" w:space="0" w:color="auto"/>
              <w:bottom w:val="outset" w:sz="6" w:space="0" w:color="auto"/>
              <w:right w:val="outset" w:sz="6" w:space="0" w:color="auto"/>
            </w:tcBorders>
            <w:hideMark/>
          </w:tcPr>
          <w:p w14:paraId="362F8CEC"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w:t>
            </w:r>
          </w:p>
        </w:tc>
        <w:tc>
          <w:tcPr>
            <w:tcW w:w="851" w:type="dxa"/>
            <w:tcBorders>
              <w:top w:val="outset" w:sz="6" w:space="0" w:color="auto"/>
              <w:left w:val="outset" w:sz="6" w:space="0" w:color="auto"/>
              <w:bottom w:val="outset" w:sz="6" w:space="0" w:color="auto"/>
              <w:right w:val="outset" w:sz="6" w:space="0" w:color="auto"/>
            </w:tcBorders>
            <w:hideMark/>
          </w:tcPr>
          <w:p w14:paraId="593E0F87"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62</w:t>
            </w:r>
          </w:p>
        </w:tc>
      </w:tr>
      <w:tr w:rsidR="005106D0" w:rsidRPr="007224C3" w14:paraId="4C96E562"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72D81C31"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46.</w:t>
            </w:r>
          </w:p>
        </w:tc>
        <w:tc>
          <w:tcPr>
            <w:tcW w:w="3128" w:type="dxa"/>
            <w:tcBorders>
              <w:top w:val="outset" w:sz="6" w:space="0" w:color="auto"/>
              <w:left w:val="outset" w:sz="6" w:space="0" w:color="auto"/>
              <w:bottom w:val="outset" w:sz="6" w:space="0" w:color="auto"/>
              <w:right w:val="outset" w:sz="6" w:space="0" w:color="auto"/>
            </w:tcBorders>
            <w:hideMark/>
          </w:tcPr>
          <w:p w14:paraId="67BE8A85"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Механический прицел для бомбометания</w:t>
            </w:r>
          </w:p>
        </w:tc>
        <w:tc>
          <w:tcPr>
            <w:tcW w:w="898" w:type="dxa"/>
            <w:tcBorders>
              <w:top w:val="outset" w:sz="6" w:space="0" w:color="auto"/>
              <w:left w:val="outset" w:sz="6" w:space="0" w:color="auto"/>
              <w:bottom w:val="outset" w:sz="6" w:space="0" w:color="auto"/>
              <w:right w:val="outset" w:sz="6" w:space="0" w:color="auto"/>
            </w:tcBorders>
            <w:hideMark/>
          </w:tcPr>
          <w:p w14:paraId="13D500F0"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ПБЛ-1</w:t>
            </w:r>
          </w:p>
        </w:tc>
        <w:tc>
          <w:tcPr>
            <w:tcW w:w="709" w:type="dxa"/>
            <w:tcBorders>
              <w:top w:val="outset" w:sz="6" w:space="0" w:color="auto"/>
              <w:left w:val="outset" w:sz="6" w:space="0" w:color="auto"/>
              <w:bottom w:val="outset" w:sz="6" w:space="0" w:color="auto"/>
              <w:right w:val="outset" w:sz="6" w:space="0" w:color="auto"/>
            </w:tcBorders>
            <w:hideMark/>
          </w:tcPr>
          <w:p w14:paraId="6D91AAE3"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0855AD0C"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59DC4C19"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w:t>
            </w:r>
          </w:p>
        </w:tc>
        <w:tc>
          <w:tcPr>
            <w:tcW w:w="850" w:type="dxa"/>
            <w:tcBorders>
              <w:top w:val="outset" w:sz="6" w:space="0" w:color="auto"/>
              <w:left w:val="outset" w:sz="6" w:space="0" w:color="auto"/>
              <w:bottom w:val="outset" w:sz="6" w:space="0" w:color="auto"/>
              <w:right w:val="outset" w:sz="6" w:space="0" w:color="auto"/>
            </w:tcBorders>
            <w:hideMark/>
          </w:tcPr>
          <w:p w14:paraId="73603166"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2904</w:t>
            </w:r>
          </w:p>
        </w:tc>
        <w:tc>
          <w:tcPr>
            <w:tcW w:w="851" w:type="dxa"/>
            <w:tcBorders>
              <w:top w:val="outset" w:sz="6" w:space="0" w:color="auto"/>
              <w:left w:val="outset" w:sz="6" w:space="0" w:color="auto"/>
              <w:bottom w:val="outset" w:sz="6" w:space="0" w:color="auto"/>
              <w:right w:val="outset" w:sz="6" w:space="0" w:color="auto"/>
            </w:tcBorders>
            <w:hideMark/>
          </w:tcPr>
          <w:p w14:paraId="4C53F97C"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3EE83365"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53EACA8D"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47.</w:t>
            </w:r>
          </w:p>
        </w:tc>
        <w:tc>
          <w:tcPr>
            <w:tcW w:w="3128" w:type="dxa"/>
            <w:tcBorders>
              <w:top w:val="outset" w:sz="6" w:space="0" w:color="auto"/>
              <w:left w:val="outset" w:sz="6" w:space="0" w:color="auto"/>
              <w:bottom w:val="outset" w:sz="6" w:space="0" w:color="auto"/>
              <w:right w:val="outset" w:sz="6" w:space="0" w:color="auto"/>
            </w:tcBorders>
            <w:hideMark/>
          </w:tcPr>
          <w:p w14:paraId="716956EA"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Механический прицел для бомбометания</w:t>
            </w:r>
          </w:p>
        </w:tc>
        <w:tc>
          <w:tcPr>
            <w:tcW w:w="898" w:type="dxa"/>
            <w:tcBorders>
              <w:top w:val="outset" w:sz="6" w:space="0" w:color="auto"/>
              <w:left w:val="outset" w:sz="6" w:space="0" w:color="auto"/>
              <w:bottom w:val="outset" w:sz="6" w:space="0" w:color="auto"/>
              <w:right w:val="outset" w:sz="6" w:space="0" w:color="auto"/>
            </w:tcBorders>
            <w:hideMark/>
          </w:tcPr>
          <w:p w14:paraId="71384B16"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ПБЛ-2</w:t>
            </w:r>
          </w:p>
        </w:tc>
        <w:tc>
          <w:tcPr>
            <w:tcW w:w="709" w:type="dxa"/>
            <w:tcBorders>
              <w:top w:val="outset" w:sz="6" w:space="0" w:color="auto"/>
              <w:left w:val="outset" w:sz="6" w:space="0" w:color="auto"/>
              <w:bottom w:val="outset" w:sz="6" w:space="0" w:color="auto"/>
              <w:right w:val="outset" w:sz="6" w:space="0" w:color="auto"/>
            </w:tcBorders>
            <w:hideMark/>
          </w:tcPr>
          <w:p w14:paraId="17A58368"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43AEDC5C"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26489C60"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0" w:type="dxa"/>
            <w:tcBorders>
              <w:top w:val="outset" w:sz="6" w:space="0" w:color="auto"/>
              <w:left w:val="outset" w:sz="6" w:space="0" w:color="auto"/>
              <w:bottom w:val="outset" w:sz="6" w:space="0" w:color="auto"/>
              <w:right w:val="outset" w:sz="6" w:space="0" w:color="auto"/>
            </w:tcBorders>
            <w:hideMark/>
          </w:tcPr>
          <w:p w14:paraId="4AA3D861"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619</w:t>
            </w:r>
          </w:p>
        </w:tc>
        <w:tc>
          <w:tcPr>
            <w:tcW w:w="851" w:type="dxa"/>
            <w:tcBorders>
              <w:top w:val="outset" w:sz="6" w:space="0" w:color="auto"/>
              <w:left w:val="outset" w:sz="6" w:space="0" w:color="auto"/>
              <w:bottom w:val="outset" w:sz="6" w:space="0" w:color="auto"/>
              <w:right w:val="outset" w:sz="6" w:space="0" w:color="auto"/>
            </w:tcBorders>
            <w:hideMark/>
          </w:tcPr>
          <w:p w14:paraId="0AB0E259"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1620</w:t>
            </w:r>
          </w:p>
        </w:tc>
      </w:tr>
      <w:tr w:rsidR="005106D0" w:rsidRPr="007224C3" w14:paraId="1CF69E71"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6D0872F8"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48.</w:t>
            </w:r>
          </w:p>
        </w:tc>
        <w:tc>
          <w:tcPr>
            <w:tcW w:w="3128" w:type="dxa"/>
            <w:tcBorders>
              <w:top w:val="outset" w:sz="6" w:space="0" w:color="auto"/>
              <w:left w:val="outset" w:sz="6" w:space="0" w:color="auto"/>
              <w:bottom w:val="outset" w:sz="6" w:space="0" w:color="auto"/>
              <w:right w:val="outset" w:sz="6" w:space="0" w:color="auto"/>
            </w:tcBorders>
            <w:hideMark/>
          </w:tcPr>
          <w:p w14:paraId="782F86A8"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Монокуляры</w:t>
            </w:r>
          </w:p>
        </w:tc>
        <w:tc>
          <w:tcPr>
            <w:tcW w:w="898" w:type="dxa"/>
            <w:tcBorders>
              <w:top w:val="outset" w:sz="6" w:space="0" w:color="auto"/>
              <w:left w:val="outset" w:sz="6" w:space="0" w:color="auto"/>
              <w:bottom w:val="outset" w:sz="6" w:space="0" w:color="auto"/>
              <w:right w:val="outset" w:sz="6" w:space="0" w:color="auto"/>
            </w:tcBorders>
            <w:hideMark/>
          </w:tcPr>
          <w:p w14:paraId="524DD0E5"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КМТ</w:t>
            </w:r>
          </w:p>
        </w:tc>
        <w:tc>
          <w:tcPr>
            <w:tcW w:w="709" w:type="dxa"/>
            <w:tcBorders>
              <w:top w:val="outset" w:sz="6" w:space="0" w:color="auto"/>
              <w:left w:val="outset" w:sz="6" w:space="0" w:color="auto"/>
              <w:bottom w:val="outset" w:sz="6" w:space="0" w:color="auto"/>
              <w:right w:val="outset" w:sz="6" w:space="0" w:color="auto"/>
            </w:tcBorders>
            <w:hideMark/>
          </w:tcPr>
          <w:p w14:paraId="0E53B065"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3BA2C5F1"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6E9091AE"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0" w:type="dxa"/>
            <w:tcBorders>
              <w:top w:val="outset" w:sz="6" w:space="0" w:color="auto"/>
              <w:left w:val="outset" w:sz="6" w:space="0" w:color="auto"/>
              <w:bottom w:val="outset" w:sz="6" w:space="0" w:color="auto"/>
              <w:right w:val="outset" w:sz="6" w:space="0" w:color="auto"/>
            </w:tcBorders>
            <w:hideMark/>
          </w:tcPr>
          <w:p w14:paraId="3B31A5F7"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7AB8C1FA"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497</w:t>
            </w:r>
          </w:p>
        </w:tc>
      </w:tr>
      <w:tr w:rsidR="005106D0" w:rsidRPr="007224C3" w14:paraId="1A3EDD29"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3C290A07"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49.</w:t>
            </w:r>
          </w:p>
        </w:tc>
        <w:tc>
          <w:tcPr>
            <w:tcW w:w="3128" w:type="dxa"/>
            <w:tcBorders>
              <w:top w:val="outset" w:sz="6" w:space="0" w:color="auto"/>
              <w:left w:val="outset" w:sz="6" w:space="0" w:color="auto"/>
              <w:bottom w:val="outset" w:sz="6" w:space="0" w:color="auto"/>
              <w:right w:val="outset" w:sz="6" w:space="0" w:color="auto"/>
            </w:tcBorders>
            <w:hideMark/>
          </w:tcPr>
          <w:p w14:paraId="0D727222"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Узлы оптики для КМТ</w:t>
            </w:r>
          </w:p>
        </w:tc>
        <w:tc>
          <w:tcPr>
            <w:tcW w:w="898" w:type="dxa"/>
            <w:tcBorders>
              <w:top w:val="outset" w:sz="6" w:space="0" w:color="auto"/>
              <w:left w:val="outset" w:sz="6" w:space="0" w:color="auto"/>
              <w:bottom w:val="outset" w:sz="6" w:space="0" w:color="auto"/>
              <w:right w:val="outset" w:sz="6" w:space="0" w:color="auto"/>
            </w:tcBorders>
            <w:hideMark/>
          </w:tcPr>
          <w:p w14:paraId="7A912FAE"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КМТ-1</w:t>
            </w:r>
          </w:p>
        </w:tc>
        <w:tc>
          <w:tcPr>
            <w:tcW w:w="709" w:type="dxa"/>
            <w:tcBorders>
              <w:top w:val="outset" w:sz="6" w:space="0" w:color="auto"/>
              <w:left w:val="outset" w:sz="6" w:space="0" w:color="auto"/>
              <w:bottom w:val="outset" w:sz="6" w:space="0" w:color="auto"/>
              <w:right w:val="outset" w:sz="6" w:space="0" w:color="auto"/>
            </w:tcBorders>
            <w:hideMark/>
          </w:tcPr>
          <w:p w14:paraId="2EDF224B"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4133694B"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6C5B381D"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0" w:type="dxa"/>
            <w:tcBorders>
              <w:top w:val="outset" w:sz="6" w:space="0" w:color="auto"/>
              <w:left w:val="outset" w:sz="6" w:space="0" w:color="auto"/>
              <w:bottom w:val="outset" w:sz="6" w:space="0" w:color="auto"/>
              <w:right w:val="outset" w:sz="6" w:space="0" w:color="auto"/>
            </w:tcBorders>
            <w:hideMark/>
          </w:tcPr>
          <w:p w14:paraId="02849086"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1510</w:t>
            </w:r>
          </w:p>
        </w:tc>
        <w:tc>
          <w:tcPr>
            <w:tcW w:w="851" w:type="dxa"/>
            <w:tcBorders>
              <w:top w:val="outset" w:sz="6" w:space="0" w:color="auto"/>
              <w:left w:val="outset" w:sz="6" w:space="0" w:color="auto"/>
              <w:bottom w:val="outset" w:sz="6" w:space="0" w:color="auto"/>
              <w:right w:val="outset" w:sz="6" w:space="0" w:color="auto"/>
            </w:tcBorders>
            <w:hideMark/>
          </w:tcPr>
          <w:p w14:paraId="32A90C05"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5637171E"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78B720FE"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w:t>
            </w:r>
          </w:p>
        </w:tc>
        <w:tc>
          <w:tcPr>
            <w:tcW w:w="3128" w:type="dxa"/>
            <w:tcBorders>
              <w:top w:val="outset" w:sz="6" w:space="0" w:color="auto"/>
              <w:left w:val="outset" w:sz="6" w:space="0" w:color="auto"/>
              <w:bottom w:val="outset" w:sz="6" w:space="0" w:color="auto"/>
              <w:right w:val="outset" w:sz="6" w:space="0" w:color="auto"/>
            </w:tcBorders>
            <w:hideMark/>
          </w:tcPr>
          <w:p w14:paraId="2479ABD5"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Прибор для ночного видения (см. часть).</w:t>
            </w:r>
          </w:p>
        </w:tc>
        <w:tc>
          <w:tcPr>
            <w:tcW w:w="898" w:type="dxa"/>
            <w:tcBorders>
              <w:top w:val="outset" w:sz="6" w:space="0" w:color="auto"/>
              <w:left w:val="outset" w:sz="6" w:space="0" w:color="auto"/>
              <w:bottom w:val="outset" w:sz="6" w:space="0" w:color="auto"/>
              <w:right w:val="outset" w:sz="6" w:space="0" w:color="auto"/>
            </w:tcBorders>
            <w:hideMark/>
          </w:tcPr>
          <w:p w14:paraId="6AC1D215"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КМТ-2</w:t>
            </w:r>
          </w:p>
        </w:tc>
        <w:tc>
          <w:tcPr>
            <w:tcW w:w="709" w:type="dxa"/>
            <w:tcBorders>
              <w:top w:val="outset" w:sz="6" w:space="0" w:color="auto"/>
              <w:left w:val="outset" w:sz="6" w:space="0" w:color="auto"/>
              <w:bottom w:val="outset" w:sz="6" w:space="0" w:color="auto"/>
              <w:right w:val="outset" w:sz="6" w:space="0" w:color="auto"/>
            </w:tcBorders>
            <w:hideMark/>
          </w:tcPr>
          <w:p w14:paraId="28A56950"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6CC5FB4D"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02469FA1"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0" w:type="dxa"/>
            <w:tcBorders>
              <w:top w:val="outset" w:sz="6" w:space="0" w:color="auto"/>
              <w:left w:val="outset" w:sz="6" w:space="0" w:color="auto"/>
              <w:bottom w:val="outset" w:sz="6" w:space="0" w:color="auto"/>
              <w:right w:val="outset" w:sz="6" w:space="0" w:color="auto"/>
            </w:tcBorders>
            <w:hideMark/>
          </w:tcPr>
          <w:p w14:paraId="6A669144"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1020</w:t>
            </w:r>
          </w:p>
        </w:tc>
        <w:tc>
          <w:tcPr>
            <w:tcW w:w="851" w:type="dxa"/>
            <w:tcBorders>
              <w:top w:val="outset" w:sz="6" w:space="0" w:color="auto"/>
              <w:left w:val="outset" w:sz="6" w:space="0" w:color="auto"/>
              <w:bottom w:val="outset" w:sz="6" w:space="0" w:color="auto"/>
              <w:right w:val="outset" w:sz="6" w:space="0" w:color="auto"/>
            </w:tcBorders>
            <w:hideMark/>
          </w:tcPr>
          <w:p w14:paraId="7BDFDD3B"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625</w:t>
            </w:r>
          </w:p>
        </w:tc>
      </w:tr>
      <w:tr w:rsidR="005106D0" w:rsidRPr="007224C3" w14:paraId="64A09BE3"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1A7ECF50"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51.</w:t>
            </w:r>
          </w:p>
        </w:tc>
        <w:tc>
          <w:tcPr>
            <w:tcW w:w="3128" w:type="dxa"/>
            <w:tcBorders>
              <w:top w:val="outset" w:sz="6" w:space="0" w:color="auto"/>
              <w:left w:val="outset" w:sz="6" w:space="0" w:color="auto"/>
              <w:bottom w:val="outset" w:sz="6" w:space="0" w:color="auto"/>
              <w:right w:val="outset" w:sz="6" w:space="0" w:color="auto"/>
            </w:tcBorders>
            <w:hideMark/>
          </w:tcPr>
          <w:p w14:paraId="0DE3FBBE"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Прибор для ночного видения (см. часть).</w:t>
            </w:r>
          </w:p>
        </w:tc>
        <w:tc>
          <w:tcPr>
            <w:tcW w:w="898" w:type="dxa"/>
            <w:tcBorders>
              <w:top w:val="outset" w:sz="6" w:space="0" w:color="auto"/>
              <w:left w:val="outset" w:sz="6" w:space="0" w:color="auto"/>
              <w:bottom w:val="outset" w:sz="6" w:space="0" w:color="auto"/>
              <w:right w:val="outset" w:sz="6" w:space="0" w:color="auto"/>
            </w:tcBorders>
            <w:hideMark/>
          </w:tcPr>
          <w:p w14:paraId="7E3D6D07"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БИС-26</w:t>
            </w:r>
          </w:p>
        </w:tc>
        <w:tc>
          <w:tcPr>
            <w:tcW w:w="709" w:type="dxa"/>
            <w:tcBorders>
              <w:top w:val="outset" w:sz="6" w:space="0" w:color="auto"/>
              <w:left w:val="outset" w:sz="6" w:space="0" w:color="auto"/>
              <w:bottom w:val="outset" w:sz="6" w:space="0" w:color="auto"/>
              <w:right w:val="outset" w:sz="6" w:space="0" w:color="auto"/>
            </w:tcBorders>
            <w:hideMark/>
          </w:tcPr>
          <w:p w14:paraId="158CB0EA"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516BAECA"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2B1D548D"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w:t>
            </w:r>
          </w:p>
        </w:tc>
        <w:tc>
          <w:tcPr>
            <w:tcW w:w="850" w:type="dxa"/>
            <w:tcBorders>
              <w:top w:val="outset" w:sz="6" w:space="0" w:color="auto"/>
              <w:left w:val="outset" w:sz="6" w:space="0" w:color="auto"/>
              <w:bottom w:val="outset" w:sz="6" w:space="0" w:color="auto"/>
              <w:right w:val="outset" w:sz="6" w:space="0" w:color="auto"/>
            </w:tcBorders>
            <w:hideMark/>
          </w:tcPr>
          <w:p w14:paraId="1F415E8C"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29D4D29D"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20A9C1F2"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00893EEB"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52.</w:t>
            </w:r>
          </w:p>
        </w:tc>
        <w:tc>
          <w:tcPr>
            <w:tcW w:w="3128" w:type="dxa"/>
            <w:tcBorders>
              <w:top w:val="outset" w:sz="6" w:space="0" w:color="auto"/>
              <w:left w:val="outset" w:sz="6" w:space="0" w:color="auto"/>
              <w:bottom w:val="outset" w:sz="6" w:space="0" w:color="auto"/>
              <w:right w:val="outset" w:sz="6" w:space="0" w:color="auto"/>
            </w:tcBorders>
            <w:hideMark/>
          </w:tcPr>
          <w:p w14:paraId="2C3F5C9E"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Стволы миномета</w:t>
            </w:r>
          </w:p>
        </w:tc>
        <w:tc>
          <w:tcPr>
            <w:tcW w:w="898" w:type="dxa"/>
            <w:tcBorders>
              <w:top w:val="outset" w:sz="6" w:space="0" w:color="auto"/>
              <w:left w:val="outset" w:sz="6" w:space="0" w:color="auto"/>
              <w:bottom w:val="outset" w:sz="6" w:space="0" w:color="auto"/>
              <w:right w:val="outset" w:sz="6" w:space="0" w:color="auto"/>
            </w:tcBorders>
            <w:hideMark/>
          </w:tcPr>
          <w:p w14:paraId="15D0E96D" w14:textId="77777777" w:rsidR="00B652F7" w:rsidRPr="007224C3" w:rsidRDefault="00B652F7" w:rsidP="007224C3">
            <w:pPr>
              <w:spacing w:after="0" w:line="240" w:lineRule="auto"/>
              <w:jc w:val="both"/>
              <w:rPr>
                <w:rFonts w:ascii="Times New Roman" w:hAnsi="Times New Roman"/>
                <w:color w:val="000000" w:themeColor="text1"/>
                <w:sz w:val="16"/>
                <w:szCs w:val="16"/>
              </w:rPr>
            </w:pPr>
          </w:p>
        </w:tc>
        <w:tc>
          <w:tcPr>
            <w:tcW w:w="709" w:type="dxa"/>
            <w:tcBorders>
              <w:top w:val="outset" w:sz="6" w:space="0" w:color="auto"/>
              <w:left w:val="outset" w:sz="6" w:space="0" w:color="auto"/>
              <w:bottom w:val="outset" w:sz="6" w:space="0" w:color="auto"/>
              <w:right w:val="outset" w:sz="6" w:space="0" w:color="auto"/>
            </w:tcBorders>
            <w:hideMark/>
          </w:tcPr>
          <w:p w14:paraId="0A97B947"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79AB9D3D"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47BC1772"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462</w:t>
            </w:r>
          </w:p>
        </w:tc>
        <w:tc>
          <w:tcPr>
            <w:tcW w:w="850" w:type="dxa"/>
            <w:tcBorders>
              <w:top w:val="outset" w:sz="6" w:space="0" w:color="auto"/>
              <w:left w:val="outset" w:sz="6" w:space="0" w:color="auto"/>
              <w:bottom w:val="outset" w:sz="6" w:space="0" w:color="auto"/>
              <w:right w:val="outset" w:sz="6" w:space="0" w:color="auto"/>
            </w:tcBorders>
            <w:hideMark/>
          </w:tcPr>
          <w:p w14:paraId="15DC5066"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400526AE"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035ADDD7"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2B822780"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53.</w:t>
            </w:r>
          </w:p>
        </w:tc>
        <w:tc>
          <w:tcPr>
            <w:tcW w:w="3128" w:type="dxa"/>
            <w:tcBorders>
              <w:top w:val="outset" w:sz="6" w:space="0" w:color="auto"/>
              <w:left w:val="outset" w:sz="6" w:space="0" w:color="auto"/>
              <w:bottom w:val="outset" w:sz="6" w:space="0" w:color="auto"/>
              <w:right w:val="outset" w:sz="6" w:space="0" w:color="auto"/>
            </w:tcBorders>
            <w:hideMark/>
          </w:tcPr>
          <w:p w14:paraId="3B321106"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Аэрофотообъектив</w:t>
            </w:r>
          </w:p>
        </w:tc>
        <w:tc>
          <w:tcPr>
            <w:tcW w:w="898" w:type="dxa"/>
            <w:tcBorders>
              <w:top w:val="outset" w:sz="6" w:space="0" w:color="auto"/>
              <w:left w:val="outset" w:sz="6" w:space="0" w:color="auto"/>
              <w:bottom w:val="outset" w:sz="6" w:space="0" w:color="auto"/>
              <w:right w:val="outset" w:sz="6" w:space="0" w:color="auto"/>
            </w:tcBorders>
            <w:hideMark/>
          </w:tcPr>
          <w:p w14:paraId="0AC3DD83"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И-4</w:t>
            </w:r>
          </w:p>
        </w:tc>
        <w:tc>
          <w:tcPr>
            <w:tcW w:w="709" w:type="dxa"/>
            <w:tcBorders>
              <w:top w:val="outset" w:sz="6" w:space="0" w:color="auto"/>
              <w:left w:val="outset" w:sz="6" w:space="0" w:color="auto"/>
              <w:bottom w:val="outset" w:sz="6" w:space="0" w:color="auto"/>
              <w:right w:val="outset" w:sz="6" w:space="0" w:color="auto"/>
            </w:tcBorders>
            <w:hideMark/>
          </w:tcPr>
          <w:p w14:paraId="1715A543"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3471B76F"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0996EABB"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68</w:t>
            </w:r>
          </w:p>
        </w:tc>
        <w:tc>
          <w:tcPr>
            <w:tcW w:w="850" w:type="dxa"/>
            <w:tcBorders>
              <w:top w:val="outset" w:sz="6" w:space="0" w:color="auto"/>
              <w:left w:val="outset" w:sz="6" w:space="0" w:color="auto"/>
              <w:bottom w:val="outset" w:sz="6" w:space="0" w:color="auto"/>
              <w:right w:val="outset" w:sz="6" w:space="0" w:color="auto"/>
            </w:tcBorders>
            <w:hideMark/>
          </w:tcPr>
          <w:p w14:paraId="7DB7AD65"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0A83F501"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453FCAAC"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4FFD369B"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54.</w:t>
            </w:r>
          </w:p>
        </w:tc>
        <w:tc>
          <w:tcPr>
            <w:tcW w:w="3128" w:type="dxa"/>
            <w:tcBorders>
              <w:top w:val="outset" w:sz="6" w:space="0" w:color="auto"/>
              <w:left w:val="outset" w:sz="6" w:space="0" w:color="auto"/>
              <w:bottom w:val="outset" w:sz="6" w:space="0" w:color="auto"/>
              <w:right w:val="outset" w:sz="6" w:space="0" w:color="auto"/>
            </w:tcBorders>
            <w:hideMark/>
          </w:tcPr>
          <w:p w14:paraId="4024A64F"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Аэрофотообъектив</w:t>
            </w:r>
          </w:p>
        </w:tc>
        <w:tc>
          <w:tcPr>
            <w:tcW w:w="898" w:type="dxa"/>
            <w:tcBorders>
              <w:top w:val="outset" w:sz="6" w:space="0" w:color="auto"/>
              <w:left w:val="outset" w:sz="6" w:space="0" w:color="auto"/>
              <w:bottom w:val="outset" w:sz="6" w:space="0" w:color="auto"/>
              <w:right w:val="outset" w:sz="6" w:space="0" w:color="auto"/>
            </w:tcBorders>
            <w:hideMark/>
          </w:tcPr>
          <w:p w14:paraId="590D01E9"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И-13</w:t>
            </w:r>
          </w:p>
        </w:tc>
        <w:tc>
          <w:tcPr>
            <w:tcW w:w="709" w:type="dxa"/>
            <w:tcBorders>
              <w:top w:val="outset" w:sz="6" w:space="0" w:color="auto"/>
              <w:left w:val="outset" w:sz="6" w:space="0" w:color="auto"/>
              <w:bottom w:val="outset" w:sz="6" w:space="0" w:color="auto"/>
              <w:right w:val="outset" w:sz="6" w:space="0" w:color="auto"/>
            </w:tcBorders>
            <w:hideMark/>
          </w:tcPr>
          <w:p w14:paraId="630F1FFC"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564AE64E"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12721D6C"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254</w:t>
            </w:r>
          </w:p>
        </w:tc>
        <w:tc>
          <w:tcPr>
            <w:tcW w:w="850" w:type="dxa"/>
            <w:tcBorders>
              <w:top w:val="outset" w:sz="6" w:space="0" w:color="auto"/>
              <w:left w:val="outset" w:sz="6" w:space="0" w:color="auto"/>
              <w:bottom w:val="outset" w:sz="6" w:space="0" w:color="auto"/>
              <w:right w:val="outset" w:sz="6" w:space="0" w:color="auto"/>
            </w:tcBorders>
            <w:hideMark/>
          </w:tcPr>
          <w:p w14:paraId="3EDF7EF8"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180</w:t>
            </w:r>
          </w:p>
        </w:tc>
        <w:tc>
          <w:tcPr>
            <w:tcW w:w="851" w:type="dxa"/>
            <w:tcBorders>
              <w:top w:val="outset" w:sz="6" w:space="0" w:color="auto"/>
              <w:left w:val="outset" w:sz="6" w:space="0" w:color="auto"/>
              <w:bottom w:val="outset" w:sz="6" w:space="0" w:color="auto"/>
              <w:right w:val="outset" w:sz="6" w:space="0" w:color="auto"/>
            </w:tcBorders>
            <w:hideMark/>
          </w:tcPr>
          <w:p w14:paraId="1F16B58E"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57064923"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3B4F0A44"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55.</w:t>
            </w:r>
          </w:p>
        </w:tc>
        <w:tc>
          <w:tcPr>
            <w:tcW w:w="3128" w:type="dxa"/>
            <w:tcBorders>
              <w:top w:val="outset" w:sz="6" w:space="0" w:color="auto"/>
              <w:left w:val="outset" w:sz="6" w:space="0" w:color="auto"/>
              <w:bottom w:val="outset" w:sz="6" w:space="0" w:color="auto"/>
              <w:right w:val="outset" w:sz="6" w:space="0" w:color="auto"/>
            </w:tcBorders>
            <w:hideMark/>
          </w:tcPr>
          <w:p w14:paraId="6249AE1D"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Аэрофотообъектив</w:t>
            </w:r>
          </w:p>
        </w:tc>
        <w:tc>
          <w:tcPr>
            <w:tcW w:w="898" w:type="dxa"/>
            <w:tcBorders>
              <w:top w:val="outset" w:sz="6" w:space="0" w:color="auto"/>
              <w:left w:val="outset" w:sz="6" w:space="0" w:color="auto"/>
              <w:bottom w:val="outset" w:sz="6" w:space="0" w:color="auto"/>
              <w:right w:val="outset" w:sz="6" w:space="0" w:color="auto"/>
            </w:tcBorders>
            <w:hideMark/>
          </w:tcPr>
          <w:p w14:paraId="3FA97F74"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И-17</w:t>
            </w:r>
          </w:p>
        </w:tc>
        <w:tc>
          <w:tcPr>
            <w:tcW w:w="709" w:type="dxa"/>
            <w:tcBorders>
              <w:top w:val="outset" w:sz="6" w:space="0" w:color="auto"/>
              <w:left w:val="outset" w:sz="6" w:space="0" w:color="auto"/>
              <w:bottom w:val="outset" w:sz="6" w:space="0" w:color="auto"/>
              <w:right w:val="outset" w:sz="6" w:space="0" w:color="auto"/>
            </w:tcBorders>
            <w:hideMark/>
          </w:tcPr>
          <w:p w14:paraId="648B54B6"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503DC693"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6CF7C3ED"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354</w:t>
            </w:r>
          </w:p>
        </w:tc>
        <w:tc>
          <w:tcPr>
            <w:tcW w:w="850" w:type="dxa"/>
            <w:tcBorders>
              <w:top w:val="outset" w:sz="6" w:space="0" w:color="auto"/>
              <w:left w:val="outset" w:sz="6" w:space="0" w:color="auto"/>
              <w:bottom w:val="outset" w:sz="6" w:space="0" w:color="auto"/>
              <w:right w:val="outset" w:sz="6" w:space="0" w:color="auto"/>
            </w:tcBorders>
            <w:hideMark/>
          </w:tcPr>
          <w:p w14:paraId="782442B8"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857</w:t>
            </w:r>
          </w:p>
        </w:tc>
        <w:tc>
          <w:tcPr>
            <w:tcW w:w="851" w:type="dxa"/>
            <w:tcBorders>
              <w:top w:val="outset" w:sz="6" w:space="0" w:color="auto"/>
              <w:left w:val="outset" w:sz="6" w:space="0" w:color="auto"/>
              <w:bottom w:val="outset" w:sz="6" w:space="0" w:color="auto"/>
              <w:right w:val="outset" w:sz="6" w:space="0" w:color="auto"/>
            </w:tcBorders>
            <w:hideMark/>
          </w:tcPr>
          <w:p w14:paraId="22209524"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280</w:t>
            </w:r>
          </w:p>
        </w:tc>
      </w:tr>
      <w:tr w:rsidR="005106D0" w:rsidRPr="007224C3" w14:paraId="30CB4BCA"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2730B35C"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56.</w:t>
            </w:r>
          </w:p>
        </w:tc>
        <w:tc>
          <w:tcPr>
            <w:tcW w:w="3128" w:type="dxa"/>
            <w:tcBorders>
              <w:top w:val="outset" w:sz="6" w:space="0" w:color="auto"/>
              <w:left w:val="outset" w:sz="6" w:space="0" w:color="auto"/>
              <w:bottom w:val="outset" w:sz="6" w:space="0" w:color="auto"/>
              <w:right w:val="outset" w:sz="6" w:space="0" w:color="auto"/>
            </w:tcBorders>
            <w:hideMark/>
          </w:tcPr>
          <w:p w14:paraId="125D9CA1"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Аэрофотообъектив</w:t>
            </w:r>
          </w:p>
        </w:tc>
        <w:tc>
          <w:tcPr>
            <w:tcW w:w="898" w:type="dxa"/>
            <w:tcBorders>
              <w:top w:val="outset" w:sz="6" w:space="0" w:color="auto"/>
              <w:left w:val="outset" w:sz="6" w:space="0" w:color="auto"/>
              <w:bottom w:val="outset" w:sz="6" w:space="0" w:color="auto"/>
              <w:right w:val="outset" w:sz="6" w:space="0" w:color="auto"/>
            </w:tcBorders>
            <w:hideMark/>
          </w:tcPr>
          <w:p w14:paraId="2C4E758D"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И-51</w:t>
            </w:r>
          </w:p>
        </w:tc>
        <w:tc>
          <w:tcPr>
            <w:tcW w:w="709" w:type="dxa"/>
            <w:tcBorders>
              <w:top w:val="outset" w:sz="6" w:space="0" w:color="auto"/>
              <w:left w:val="outset" w:sz="6" w:space="0" w:color="auto"/>
              <w:bottom w:val="outset" w:sz="6" w:space="0" w:color="auto"/>
              <w:right w:val="outset" w:sz="6" w:space="0" w:color="auto"/>
            </w:tcBorders>
            <w:hideMark/>
          </w:tcPr>
          <w:p w14:paraId="59006A61"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7FFDE200"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49D4273D"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0" w:type="dxa"/>
            <w:tcBorders>
              <w:top w:val="outset" w:sz="6" w:space="0" w:color="auto"/>
              <w:left w:val="outset" w:sz="6" w:space="0" w:color="auto"/>
              <w:bottom w:val="outset" w:sz="6" w:space="0" w:color="auto"/>
              <w:right w:val="outset" w:sz="6" w:space="0" w:color="auto"/>
            </w:tcBorders>
            <w:hideMark/>
          </w:tcPr>
          <w:p w14:paraId="6AF23822"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650</w:t>
            </w:r>
          </w:p>
        </w:tc>
        <w:tc>
          <w:tcPr>
            <w:tcW w:w="851" w:type="dxa"/>
            <w:tcBorders>
              <w:top w:val="outset" w:sz="6" w:space="0" w:color="auto"/>
              <w:left w:val="outset" w:sz="6" w:space="0" w:color="auto"/>
              <w:bottom w:val="outset" w:sz="6" w:space="0" w:color="auto"/>
              <w:right w:val="outset" w:sz="6" w:space="0" w:color="auto"/>
            </w:tcBorders>
            <w:hideMark/>
          </w:tcPr>
          <w:p w14:paraId="69605C8C"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300</w:t>
            </w:r>
          </w:p>
        </w:tc>
      </w:tr>
      <w:tr w:rsidR="005106D0" w:rsidRPr="007224C3" w14:paraId="666CA6DD"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02275190"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57.</w:t>
            </w:r>
          </w:p>
        </w:tc>
        <w:tc>
          <w:tcPr>
            <w:tcW w:w="3128" w:type="dxa"/>
            <w:tcBorders>
              <w:top w:val="outset" w:sz="6" w:space="0" w:color="auto"/>
              <w:left w:val="outset" w:sz="6" w:space="0" w:color="auto"/>
              <w:bottom w:val="outset" w:sz="6" w:space="0" w:color="auto"/>
              <w:right w:val="outset" w:sz="6" w:space="0" w:color="auto"/>
            </w:tcBorders>
            <w:hideMark/>
          </w:tcPr>
          <w:p w14:paraId="3970B83C"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Аэрофототелеобъектив</w:t>
            </w:r>
          </w:p>
        </w:tc>
        <w:tc>
          <w:tcPr>
            <w:tcW w:w="898" w:type="dxa"/>
            <w:tcBorders>
              <w:top w:val="outset" w:sz="6" w:space="0" w:color="auto"/>
              <w:left w:val="outset" w:sz="6" w:space="0" w:color="auto"/>
              <w:bottom w:val="outset" w:sz="6" w:space="0" w:color="auto"/>
              <w:right w:val="outset" w:sz="6" w:space="0" w:color="auto"/>
            </w:tcBorders>
            <w:hideMark/>
          </w:tcPr>
          <w:p w14:paraId="3458B51C"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Ф-3</w:t>
            </w:r>
          </w:p>
        </w:tc>
        <w:tc>
          <w:tcPr>
            <w:tcW w:w="709" w:type="dxa"/>
            <w:tcBorders>
              <w:top w:val="outset" w:sz="6" w:space="0" w:color="auto"/>
              <w:left w:val="outset" w:sz="6" w:space="0" w:color="auto"/>
              <w:bottom w:val="outset" w:sz="6" w:space="0" w:color="auto"/>
              <w:right w:val="outset" w:sz="6" w:space="0" w:color="auto"/>
            </w:tcBorders>
            <w:hideMark/>
          </w:tcPr>
          <w:p w14:paraId="4A28BF73"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1845752C"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3BACDD05"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840</w:t>
            </w:r>
          </w:p>
        </w:tc>
        <w:tc>
          <w:tcPr>
            <w:tcW w:w="850" w:type="dxa"/>
            <w:tcBorders>
              <w:top w:val="outset" w:sz="6" w:space="0" w:color="auto"/>
              <w:left w:val="outset" w:sz="6" w:space="0" w:color="auto"/>
              <w:bottom w:val="outset" w:sz="6" w:space="0" w:color="auto"/>
              <w:right w:val="outset" w:sz="6" w:space="0" w:color="auto"/>
            </w:tcBorders>
            <w:hideMark/>
          </w:tcPr>
          <w:p w14:paraId="71A7DFF5"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w:t>
            </w:r>
          </w:p>
        </w:tc>
        <w:tc>
          <w:tcPr>
            <w:tcW w:w="851" w:type="dxa"/>
            <w:tcBorders>
              <w:top w:val="outset" w:sz="6" w:space="0" w:color="auto"/>
              <w:left w:val="outset" w:sz="6" w:space="0" w:color="auto"/>
              <w:bottom w:val="outset" w:sz="6" w:space="0" w:color="auto"/>
              <w:right w:val="outset" w:sz="6" w:space="0" w:color="auto"/>
            </w:tcBorders>
            <w:hideMark/>
          </w:tcPr>
          <w:p w14:paraId="50479D5C"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20DA7751"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714A6152"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58.</w:t>
            </w:r>
          </w:p>
        </w:tc>
        <w:tc>
          <w:tcPr>
            <w:tcW w:w="3128" w:type="dxa"/>
            <w:tcBorders>
              <w:top w:val="outset" w:sz="6" w:space="0" w:color="auto"/>
              <w:left w:val="outset" w:sz="6" w:space="0" w:color="auto"/>
              <w:bottom w:val="outset" w:sz="6" w:space="0" w:color="auto"/>
              <w:right w:val="outset" w:sz="6" w:space="0" w:color="auto"/>
            </w:tcBorders>
            <w:hideMark/>
          </w:tcPr>
          <w:p w14:paraId="4D847C5A"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Аэрофотообъектив</w:t>
            </w:r>
          </w:p>
        </w:tc>
        <w:tc>
          <w:tcPr>
            <w:tcW w:w="898" w:type="dxa"/>
            <w:tcBorders>
              <w:top w:val="outset" w:sz="6" w:space="0" w:color="auto"/>
              <w:left w:val="outset" w:sz="6" w:space="0" w:color="auto"/>
              <w:bottom w:val="outset" w:sz="6" w:space="0" w:color="auto"/>
              <w:right w:val="outset" w:sz="6" w:space="0" w:color="auto"/>
            </w:tcBorders>
            <w:hideMark/>
          </w:tcPr>
          <w:p w14:paraId="6EA36262"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Г-8</w:t>
            </w:r>
          </w:p>
        </w:tc>
        <w:tc>
          <w:tcPr>
            <w:tcW w:w="709" w:type="dxa"/>
            <w:tcBorders>
              <w:top w:val="outset" w:sz="6" w:space="0" w:color="auto"/>
              <w:left w:val="outset" w:sz="6" w:space="0" w:color="auto"/>
              <w:bottom w:val="outset" w:sz="6" w:space="0" w:color="auto"/>
              <w:right w:val="outset" w:sz="6" w:space="0" w:color="auto"/>
            </w:tcBorders>
            <w:hideMark/>
          </w:tcPr>
          <w:p w14:paraId="0D0233B4"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28863BA9"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40AB8FDF"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tc>
        <w:tc>
          <w:tcPr>
            <w:tcW w:w="850" w:type="dxa"/>
            <w:tcBorders>
              <w:top w:val="outset" w:sz="6" w:space="0" w:color="auto"/>
              <w:left w:val="outset" w:sz="6" w:space="0" w:color="auto"/>
              <w:bottom w:val="outset" w:sz="6" w:space="0" w:color="auto"/>
              <w:right w:val="outset" w:sz="6" w:space="0" w:color="auto"/>
            </w:tcBorders>
            <w:hideMark/>
          </w:tcPr>
          <w:p w14:paraId="10BB30D0"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784C4405"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42250D92"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78202FDF"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59.</w:t>
            </w:r>
          </w:p>
        </w:tc>
        <w:tc>
          <w:tcPr>
            <w:tcW w:w="3128" w:type="dxa"/>
            <w:tcBorders>
              <w:top w:val="outset" w:sz="6" w:space="0" w:color="auto"/>
              <w:left w:val="outset" w:sz="6" w:space="0" w:color="auto"/>
              <w:bottom w:val="outset" w:sz="6" w:space="0" w:color="auto"/>
              <w:right w:val="outset" w:sz="6" w:space="0" w:color="auto"/>
            </w:tcBorders>
            <w:hideMark/>
          </w:tcPr>
          <w:p w14:paraId="05D968DD"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Аэрофотообъектив</w:t>
            </w:r>
          </w:p>
        </w:tc>
        <w:tc>
          <w:tcPr>
            <w:tcW w:w="898" w:type="dxa"/>
            <w:tcBorders>
              <w:top w:val="outset" w:sz="6" w:space="0" w:color="auto"/>
              <w:left w:val="outset" w:sz="6" w:space="0" w:color="auto"/>
              <w:bottom w:val="outset" w:sz="6" w:space="0" w:color="auto"/>
              <w:right w:val="outset" w:sz="6" w:space="0" w:color="auto"/>
            </w:tcBorders>
            <w:hideMark/>
          </w:tcPr>
          <w:p w14:paraId="00989AAA"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Г-9</w:t>
            </w:r>
          </w:p>
        </w:tc>
        <w:tc>
          <w:tcPr>
            <w:tcW w:w="709" w:type="dxa"/>
            <w:tcBorders>
              <w:top w:val="outset" w:sz="6" w:space="0" w:color="auto"/>
              <w:left w:val="outset" w:sz="6" w:space="0" w:color="auto"/>
              <w:bottom w:val="outset" w:sz="6" w:space="0" w:color="auto"/>
              <w:right w:val="outset" w:sz="6" w:space="0" w:color="auto"/>
            </w:tcBorders>
            <w:hideMark/>
          </w:tcPr>
          <w:p w14:paraId="79721DF5"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29F434AC"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18956275"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49</w:t>
            </w:r>
          </w:p>
        </w:tc>
        <w:tc>
          <w:tcPr>
            <w:tcW w:w="850" w:type="dxa"/>
            <w:tcBorders>
              <w:top w:val="outset" w:sz="6" w:space="0" w:color="auto"/>
              <w:left w:val="outset" w:sz="6" w:space="0" w:color="auto"/>
              <w:bottom w:val="outset" w:sz="6" w:space="0" w:color="auto"/>
              <w:right w:val="outset" w:sz="6" w:space="0" w:color="auto"/>
            </w:tcBorders>
            <w:hideMark/>
          </w:tcPr>
          <w:p w14:paraId="35EEF048"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2A84C277"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391E4031"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228678AD"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w:t>
            </w:r>
          </w:p>
        </w:tc>
        <w:tc>
          <w:tcPr>
            <w:tcW w:w="3128" w:type="dxa"/>
            <w:tcBorders>
              <w:top w:val="outset" w:sz="6" w:space="0" w:color="auto"/>
              <w:left w:val="outset" w:sz="6" w:space="0" w:color="auto"/>
              <w:bottom w:val="outset" w:sz="6" w:space="0" w:color="auto"/>
              <w:right w:val="outset" w:sz="6" w:space="0" w:color="auto"/>
            </w:tcBorders>
            <w:hideMark/>
          </w:tcPr>
          <w:p w14:paraId="1BD04823"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Аэрофотообъектив</w:t>
            </w:r>
          </w:p>
        </w:tc>
        <w:tc>
          <w:tcPr>
            <w:tcW w:w="898" w:type="dxa"/>
            <w:tcBorders>
              <w:top w:val="outset" w:sz="6" w:space="0" w:color="auto"/>
              <w:left w:val="outset" w:sz="6" w:space="0" w:color="auto"/>
              <w:bottom w:val="outset" w:sz="6" w:space="0" w:color="auto"/>
              <w:right w:val="outset" w:sz="6" w:space="0" w:color="auto"/>
            </w:tcBorders>
            <w:hideMark/>
          </w:tcPr>
          <w:p w14:paraId="206C1E8A"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Г-10</w:t>
            </w:r>
          </w:p>
        </w:tc>
        <w:tc>
          <w:tcPr>
            <w:tcW w:w="709" w:type="dxa"/>
            <w:tcBorders>
              <w:top w:val="outset" w:sz="6" w:space="0" w:color="auto"/>
              <w:left w:val="outset" w:sz="6" w:space="0" w:color="auto"/>
              <w:bottom w:val="outset" w:sz="6" w:space="0" w:color="auto"/>
              <w:right w:val="outset" w:sz="6" w:space="0" w:color="auto"/>
            </w:tcBorders>
            <w:hideMark/>
          </w:tcPr>
          <w:p w14:paraId="6EDC53F8"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158E4802"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0E6D3265"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101</w:t>
            </w:r>
          </w:p>
        </w:tc>
        <w:tc>
          <w:tcPr>
            <w:tcW w:w="850" w:type="dxa"/>
            <w:tcBorders>
              <w:top w:val="outset" w:sz="6" w:space="0" w:color="auto"/>
              <w:left w:val="outset" w:sz="6" w:space="0" w:color="auto"/>
              <w:bottom w:val="outset" w:sz="6" w:space="0" w:color="auto"/>
              <w:right w:val="outset" w:sz="6" w:space="0" w:color="auto"/>
            </w:tcBorders>
            <w:hideMark/>
          </w:tcPr>
          <w:p w14:paraId="0E3312FA"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586BC2D5"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72FDD532"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58917755"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61.</w:t>
            </w:r>
          </w:p>
        </w:tc>
        <w:tc>
          <w:tcPr>
            <w:tcW w:w="3128" w:type="dxa"/>
            <w:tcBorders>
              <w:top w:val="outset" w:sz="6" w:space="0" w:color="auto"/>
              <w:left w:val="outset" w:sz="6" w:space="0" w:color="auto"/>
              <w:bottom w:val="outset" w:sz="6" w:space="0" w:color="auto"/>
              <w:right w:val="outset" w:sz="6" w:space="0" w:color="auto"/>
            </w:tcBorders>
            <w:hideMark/>
          </w:tcPr>
          <w:p w14:paraId="5F9BE86B"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Аэрофотообъектив</w:t>
            </w:r>
          </w:p>
        </w:tc>
        <w:tc>
          <w:tcPr>
            <w:tcW w:w="898" w:type="dxa"/>
            <w:tcBorders>
              <w:top w:val="outset" w:sz="6" w:space="0" w:color="auto"/>
              <w:left w:val="outset" w:sz="6" w:space="0" w:color="auto"/>
              <w:bottom w:val="outset" w:sz="6" w:space="0" w:color="auto"/>
              <w:right w:val="outset" w:sz="6" w:space="0" w:color="auto"/>
            </w:tcBorders>
            <w:hideMark/>
          </w:tcPr>
          <w:p w14:paraId="7B304A54"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В-1</w:t>
            </w:r>
          </w:p>
        </w:tc>
        <w:tc>
          <w:tcPr>
            <w:tcW w:w="709" w:type="dxa"/>
            <w:tcBorders>
              <w:top w:val="outset" w:sz="6" w:space="0" w:color="auto"/>
              <w:left w:val="outset" w:sz="6" w:space="0" w:color="auto"/>
              <w:bottom w:val="outset" w:sz="6" w:space="0" w:color="auto"/>
              <w:right w:val="outset" w:sz="6" w:space="0" w:color="auto"/>
            </w:tcBorders>
            <w:hideMark/>
          </w:tcPr>
          <w:p w14:paraId="06A06338"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520B01A2"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0B4A76BA"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tc>
        <w:tc>
          <w:tcPr>
            <w:tcW w:w="850" w:type="dxa"/>
            <w:tcBorders>
              <w:top w:val="outset" w:sz="6" w:space="0" w:color="auto"/>
              <w:left w:val="outset" w:sz="6" w:space="0" w:color="auto"/>
              <w:bottom w:val="outset" w:sz="6" w:space="0" w:color="auto"/>
              <w:right w:val="outset" w:sz="6" w:space="0" w:color="auto"/>
            </w:tcBorders>
            <w:hideMark/>
          </w:tcPr>
          <w:p w14:paraId="42B96D00"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5E977203"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38F6D82B"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0EE8E5E3"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62.</w:t>
            </w:r>
          </w:p>
        </w:tc>
        <w:tc>
          <w:tcPr>
            <w:tcW w:w="3128" w:type="dxa"/>
            <w:tcBorders>
              <w:top w:val="outset" w:sz="6" w:space="0" w:color="auto"/>
              <w:left w:val="outset" w:sz="6" w:space="0" w:color="auto"/>
              <w:bottom w:val="outset" w:sz="6" w:space="0" w:color="auto"/>
              <w:right w:val="outset" w:sz="6" w:space="0" w:color="auto"/>
            </w:tcBorders>
            <w:hideMark/>
          </w:tcPr>
          <w:p w14:paraId="17C7FFB9"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Танковые призмы</w:t>
            </w:r>
          </w:p>
        </w:tc>
        <w:tc>
          <w:tcPr>
            <w:tcW w:w="898" w:type="dxa"/>
            <w:tcBorders>
              <w:top w:val="outset" w:sz="6" w:space="0" w:color="auto"/>
              <w:left w:val="outset" w:sz="6" w:space="0" w:color="auto"/>
              <w:bottom w:val="outset" w:sz="6" w:space="0" w:color="auto"/>
              <w:right w:val="outset" w:sz="6" w:space="0" w:color="auto"/>
            </w:tcBorders>
            <w:hideMark/>
          </w:tcPr>
          <w:p w14:paraId="6EAA0FE8"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ТП</w:t>
            </w:r>
          </w:p>
        </w:tc>
        <w:tc>
          <w:tcPr>
            <w:tcW w:w="709" w:type="dxa"/>
            <w:tcBorders>
              <w:top w:val="outset" w:sz="6" w:space="0" w:color="auto"/>
              <w:left w:val="outset" w:sz="6" w:space="0" w:color="auto"/>
              <w:bottom w:val="outset" w:sz="6" w:space="0" w:color="auto"/>
              <w:right w:val="outset" w:sz="6" w:space="0" w:color="auto"/>
            </w:tcBorders>
            <w:hideMark/>
          </w:tcPr>
          <w:p w14:paraId="0D311DDD"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30534E06"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06E51280"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17380</w:t>
            </w:r>
          </w:p>
        </w:tc>
        <w:tc>
          <w:tcPr>
            <w:tcW w:w="850" w:type="dxa"/>
            <w:tcBorders>
              <w:top w:val="outset" w:sz="6" w:space="0" w:color="auto"/>
              <w:left w:val="outset" w:sz="6" w:space="0" w:color="auto"/>
              <w:bottom w:val="outset" w:sz="6" w:space="0" w:color="auto"/>
              <w:right w:val="outset" w:sz="6" w:space="0" w:color="auto"/>
            </w:tcBorders>
            <w:hideMark/>
          </w:tcPr>
          <w:p w14:paraId="1D037592"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11084</w:t>
            </w:r>
          </w:p>
        </w:tc>
        <w:tc>
          <w:tcPr>
            <w:tcW w:w="851" w:type="dxa"/>
            <w:tcBorders>
              <w:top w:val="outset" w:sz="6" w:space="0" w:color="auto"/>
              <w:left w:val="outset" w:sz="6" w:space="0" w:color="auto"/>
              <w:bottom w:val="outset" w:sz="6" w:space="0" w:color="auto"/>
              <w:right w:val="outset" w:sz="6" w:space="0" w:color="auto"/>
            </w:tcBorders>
            <w:hideMark/>
          </w:tcPr>
          <w:p w14:paraId="28C216F1"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1D55168B"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70CFC16F"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63.</w:t>
            </w:r>
          </w:p>
        </w:tc>
        <w:tc>
          <w:tcPr>
            <w:tcW w:w="3128" w:type="dxa"/>
            <w:tcBorders>
              <w:top w:val="outset" w:sz="6" w:space="0" w:color="auto"/>
              <w:left w:val="outset" w:sz="6" w:space="0" w:color="auto"/>
              <w:bottom w:val="outset" w:sz="6" w:space="0" w:color="auto"/>
              <w:right w:val="outset" w:sz="6" w:space="0" w:color="auto"/>
            </w:tcBorders>
            <w:hideMark/>
          </w:tcPr>
          <w:p w14:paraId="6D3CBB07"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Комплект танковых призм для МК-4</w:t>
            </w:r>
          </w:p>
        </w:tc>
        <w:tc>
          <w:tcPr>
            <w:tcW w:w="898" w:type="dxa"/>
            <w:tcBorders>
              <w:top w:val="outset" w:sz="6" w:space="0" w:color="auto"/>
              <w:left w:val="outset" w:sz="6" w:space="0" w:color="auto"/>
              <w:bottom w:val="outset" w:sz="6" w:space="0" w:color="auto"/>
              <w:right w:val="outset" w:sz="6" w:space="0" w:color="auto"/>
            </w:tcBorders>
            <w:hideMark/>
          </w:tcPr>
          <w:p w14:paraId="4DDFF78C" w14:textId="77777777" w:rsidR="00B652F7" w:rsidRPr="007224C3" w:rsidRDefault="00B652F7" w:rsidP="007224C3">
            <w:pPr>
              <w:spacing w:after="0" w:line="240" w:lineRule="auto"/>
              <w:jc w:val="both"/>
              <w:rPr>
                <w:rFonts w:ascii="Times New Roman" w:hAnsi="Times New Roman"/>
                <w:color w:val="000000" w:themeColor="text1"/>
                <w:sz w:val="16"/>
                <w:szCs w:val="16"/>
              </w:rPr>
            </w:pPr>
          </w:p>
        </w:tc>
        <w:tc>
          <w:tcPr>
            <w:tcW w:w="709" w:type="dxa"/>
            <w:tcBorders>
              <w:top w:val="outset" w:sz="6" w:space="0" w:color="auto"/>
              <w:left w:val="outset" w:sz="6" w:space="0" w:color="auto"/>
              <w:bottom w:val="outset" w:sz="6" w:space="0" w:color="auto"/>
              <w:right w:val="outset" w:sz="6" w:space="0" w:color="auto"/>
            </w:tcBorders>
            <w:hideMark/>
          </w:tcPr>
          <w:p w14:paraId="2428A761"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46A9EED5"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003C3CDF"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0" w:type="dxa"/>
            <w:tcBorders>
              <w:top w:val="outset" w:sz="6" w:space="0" w:color="auto"/>
              <w:left w:val="outset" w:sz="6" w:space="0" w:color="auto"/>
              <w:bottom w:val="outset" w:sz="6" w:space="0" w:color="auto"/>
              <w:right w:val="outset" w:sz="6" w:space="0" w:color="auto"/>
            </w:tcBorders>
            <w:hideMark/>
          </w:tcPr>
          <w:p w14:paraId="21F7E22C"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6276</w:t>
            </w:r>
          </w:p>
        </w:tc>
        <w:tc>
          <w:tcPr>
            <w:tcW w:w="851" w:type="dxa"/>
            <w:tcBorders>
              <w:top w:val="outset" w:sz="6" w:space="0" w:color="auto"/>
              <w:left w:val="outset" w:sz="6" w:space="0" w:color="auto"/>
              <w:bottom w:val="outset" w:sz="6" w:space="0" w:color="auto"/>
              <w:right w:val="outset" w:sz="6" w:space="0" w:color="auto"/>
            </w:tcBorders>
            <w:hideMark/>
          </w:tcPr>
          <w:p w14:paraId="3DAC7D70"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5199</w:t>
            </w:r>
          </w:p>
        </w:tc>
      </w:tr>
      <w:tr w:rsidR="005106D0" w:rsidRPr="007224C3" w14:paraId="4D0CD7C2"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644E98B4"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64.</w:t>
            </w:r>
          </w:p>
        </w:tc>
        <w:tc>
          <w:tcPr>
            <w:tcW w:w="3128" w:type="dxa"/>
            <w:tcBorders>
              <w:top w:val="outset" w:sz="6" w:space="0" w:color="auto"/>
              <w:left w:val="outset" w:sz="6" w:space="0" w:color="auto"/>
              <w:bottom w:val="outset" w:sz="6" w:space="0" w:color="auto"/>
              <w:right w:val="outset" w:sz="6" w:space="0" w:color="auto"/>
            </w:tcBorders>
            <w:hideMark/>
          </w:tcPr>
          <w:p w14:paraId="364512CC"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Верхняя призма для МК-4</w:t>
            </w:r>
          </w:p>
        </w:tc>
        <w:tc>
          <w:tcPr>
            <w:tcW w:w="898" w:type="dxa"/>
            <w:tcBorders>
              <w:top w:val="outset" w:sz="6" w:space="0" w:color="auto"/>
              <w:left w:val="outset" w:sz="6" w:space="0" w:color="auto"/>
              <w:bottom w:val="outset" w:sz="6" w:space="0" w:color="auto"/>
              <w:right w:val="outset" w:sz="6" w:space="0" w:color="auto"/>
            </w:tcBorders>
            <w:hideMark/>
          </w:tcPr>
          <w:p w14:paraId="12EEFB0C" w14:textId="77777777" w:rsidR="00B652F7" w:rsidRPr="007224C3" w:rsidRDefault="00B652F7" w:rsidP="007224C3">
            <w:pPr>
              <w:spacing w:after="0" w:line="240" w:lineRule="auto"/>
              <w:jc w:val="both"/>
              <w:rPr>
                <w:rFonts w:ascii="Times New Roman" w:hAnsi="Times New Roman"/>
                <w:color w:val="000000" w:themeColor="text1"/>
                <w:sz w:val="16"/>
                <w:szCs w:val="16"/>
              </w:rPr>
            </w:pPr>
          </w:p>
        </w:tc>
        <w:tc>
          <w:tcPr>
            <w:tcW w:w="709" w:type="dxa"/>
            <w:tcBorders>
              <w:top w:val="outset" w:sz="6" w:space="0" w:color="auto"/>
              <w:left w:val="outset" w:sz="6" w:space="0" w:color="auto"/>
              <w:bottom w:val="outset" w:sz="6" w:space="0" w:color="auto"/>
              <w:right w:val="outset" w:sz="6" w:space="0" w:color="auto"/>
            </w:tcBorders>
            <w:hideMark/>
          </w:tcPr>
          <w:p w14:paraId="7521B427"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2909303C"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608C2F35"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0" w:type="dxa"/>
            <w:tcBorders>
              <w:top w:val="outset" w:sz="6" w:space="0" w:color="auto"/>
              <w:left w:val="outset" w:sz="6" w:space="0" w:color="auto"/>
              <w:bottom w:val="outset" w:sz="6" w:space="0" w:color="auto"/>
              <w:right w:val="outset" w:sz="6" w:space="0" w:color="auto"/>
            </w:tcBorders>
            <w:hideMark/>
          </w:tcPr>
          <w:p w14:paraId="7CFBF40B"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500</w:t>
            </w:r>
          </w:p>
        </w:tc>
        <w:tc>
          <w:tcPr>
            <w:tcW w:w="851" w:type="dxa"/>
            <w:tcBorders>
              <w:top w:val="outset" w:sz="6" w:space="0" w:color="auto"/>
              <w:left w:val="outset" w:sz="6" w:space="0" w:color="auto"/>
              <w:bottom w:val="outset" w:sz="6" w:space="0" w:color="auto"/>
              <w:right w:val="outset" w:sz="6" w:space="0" w:color="auto"/>
            </w:tcBorders>
            <w:hideMark/>
          </w:tcPr>
          <w:p w14:paraId="68CE4A7F"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1350</w:t>
            </w:r>
          </w:p>
        </w:tc>
      </w:tr>
      <w:tr w:rsidR="005106D0" w:rsidRPr="007224C3" w14:paraId="52746EB0"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00BDFD5B"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65.</w:t>
            </w:r>
          </w:p>
        </w:tc>
        <w:tc>
          <w:tcPr>
            <w:tcW w:w="3128" w:type="dxa"/>
            <w:tcBorders>
              <w:top w:val="outset" w:sz="6" w:space="0" w:color="auto"/>
              <w:left w:val="outset" w:sz="6" w:space="0" w:color="auto"/>
              <w:bottom w:val="outset" w:sz="6" w:space="0" w:color="auto"/>
              <w:right w:val="outset" w:sz="6" w:space="0" w:color="auto"/>
            </w:tcBorders>
            <w:hideMark/>
          </w:tcPr>
          <w:p w14:paraId="13AD314D"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Фотоаппарат 13х18</w:t>
            </w:r>
          </w:p>
        </w:tc>
        <w:tc>
          <w:tcPr>
            <w:tcW w:w="898" w:type="dxa"/>
            <w:tcBorders>
              <w:top w:val="outset" w:sz="6" w:space="0" w:color="auto"/>
              <w:left w:val="outset" w:sz="6" w:space="0" w:color="auto"/>
              <w:bottom w:val="outset" w:sz="6" w:space="0" w:color="auto"/>
              <w:right w:val="outset" w:sz="6" w:space="0" w:color="auto"/>
            </w:tcBorders>
            <w:hideMark/>
          </w:tcPr>
          <w:p w14:paraId="76491503"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ФА-1318</w:t>
            </w:r>
          </w:p>
        </w:tc>
        <w:tc>
          <w:tcPr>
            <w:tcW w:w="709" w:type="dxa"/>
            <w:tcBorders>
              <w:top w:val="outset" w:sz="6" w:space="0" w:color="auto"/>
              <w:left w:val="outset" w:sz="6" w:space="0" w:color="auto"/>
              <w:bottom w:val="outset" w:sz="6" w:space="0" w:color="auto"/>
              <w:right w:val="outset" w:sz="6" w:space="0" w:color="auto"/>
            </w:tcBorders>
            <w:hideMark/>
          </w:tcPr>
          <w:p w14:paraId="6CB808B7"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6B333702"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33</w:t>
            </w:r>
          </w:p>
        </w:tc>
        <w:tc>
          <w:tcPr>
            <w:tcW w:w="851" w:type="dxa"/>
            <w:tcBorders>
              <w:top w:val="outset" w:sz="6" w:space="0" w:color="auto"/>
              <w:left w:val="outset" w:sz="6" w:space="0" w:color="auto"/>
              <w:bottom w:val="outset" w:sz="6" w:space="0" w:color="auto"/>
              <w:right w:val="outset" w:sz="6" w:space="0" w:color="auto"/>
            </w:tcBorders>
            <w:hideMark/>
          </w:tcPr>
          <w:p w14:paraId="26D24289"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0" w:type="dxa"/>
            <w:tcBorders>
              <w:top w:val="outset" w:sz="6" w:space="0" w:color="auto"/>
              <w:left w:val="outset" w:sz="6" w:space="0" w:color="auto"/>
              <w:bottom w:val="outset" w:sz="6" w:space="0" w:color="auto"/>
              <w:right w:val="outset" w:sz="6" w:space="0" w:color="auto"/>
            </w:tcBorders>
            <w:hideMark/>
          </w:tcPr>
          <w:p w14:paraId="6B4F5084"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5CD0D47C"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68BBDB1D"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57C74761"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66.</w:t>
            </w:r>
          </w:p>
        </w:tc>
        <w:tc>
          <w:tcPr>
            <w:tcW w:w="3128" w:type="dxa"/>
            <w:tcBorders>
              <w:top w:val="outset" w:sz="6" w:space="0" w:color="auto"/>
              <w:left w:val="outset" w:sz="6" w:space="0" w:color="auto"/>
              <w:bottom w:val="outset" w:sz="6" w:space="0" w:color="auto"/>
              <w:right w:val="outset" w:sz="6" w:space="0" w:color="auto"/>
            </w:tcBorders>
            <w:hideMark/>
          </w:tcPr>
          <w:p w14:paraId="130A2E3B"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Лупы 4-х кратные</w:t>
            </w:r>
          </w:p>
        </w:tc>
        <w:tc>
          <w:tcPr>
            <w:tcW w:w="898" w:type="dxa"/>
            <w:tcBorders>
              <w:top w:val="outset" w:sz="6" w:space="0" w:color="auto"/>
              <w:left w:val="outset" w:sz="6" w:space="0" w:color="auto"/>
              <w:bottom w:val="outset" w:sz="6" w:space="0" w:color="auto"/>
              <w:right w:val="outset" w:sz="6" w:space="0" w:color="auto"/>
            </w:tcBorders>
            <w:hideMark/>
          </w:tcPr>
          <w:p w14:paraId="089C46AF" w14:textId="77777777" w:rsidR="00B652F7" w:rsidRPr="007224C3" w:rsidRDefault="00B652F7" w:rsidP="007224C3">
            <w:pPr>
              <w:spacing w:after="0" w:line="240" w:lineRule="auto"/>
              <w:jc w:val="both"/>
              <w:rPr>
                <w:rFonts w:ascii="Times New Roman" w:hAnsi="Times New Roman"/>
                <w:color w:val="000000" w:themeColor="text1"/>
                <w:sz w:val="16"/>
                <w:szCs w:val="16"/>
              </w:rPr>
            </w:pPr>
          </w:p>
        </w:tc>
        <w:tc>
          <w:tcPr>
            <w:tcW w:w="709" w:type="dxa"/>
            <w:tcBorders>
              <w:top w:val="outset" w:sz="6" w:space="0" w:color="auto"/>
              <w:left w:val="outset" w:sz="6" w:space="0" w:color="auto"/>
              <w:bottom w:val="outset" w:sz="6" w:space="0" w:color="auto"/>
              <w:right w:val="outset" w:sz="6" w:space="0" w:color="auto"/>
            </w:tcBorders>
            <w:hideMark/>
          </w:tcPr>
          <w:p w14:paraId="6E50525B"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1A746266"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7DEFA7E9"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0" w:type="dxa"/>
            <w:tcBorders>
              <w:top w:val="outset" w:sz="6" w:space="0" w:color="auto"/>
              <w:left w:val="outset" w:sz="6" w:space="0" w:color="auto"/>
              <w:bottom w:val="outset" w:sz="6" w:space="0" w:color="auto"/>
              <w:right w:val="outset" w:sz="6" w:space="0" w:color="auto"/>
            </w:tcBorders>
            <w:hideMark/>
          </w:tcPr>
          <w:p w14:paraId="6E099312"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13300</w:t>
            </w:r>
          </w:p>
        </w:tc>
        <w:tc>
          <w:tcPr>
            <w:tcW w:w="851" w:type="dxa"/>
            <w:tcBorders>
              <w:top w:val="outset" w:sz="6" w:space="0" w:color="auto"/>
              <w:left w:val="outset" w:sz="6" w:space="0" w:color="auto"/>
              <w:bottom w:val="outset" w:sz="6" w:space="0" w:color="auto"/>
              <w:right w:val="outset" w:sz="6" w:space="0" w:color="auto"/>
            </w:tcBorders>
            <w:hideMark/>
          </w:tcPr>
          <w:p w14:paraId="005C1C71"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hyperlink r:id="rId133" w:anchor="_ftn2" w:history="1">
              <w:r w:rsidRPr="007224C3">
                <w:rPr>
                  <w:rFonts w:ascii="Times New Roman" w:hAnsi="Times New Roman"/>
                  <w:color w:val="000000" w:themeColor="text1"/>
                  <w:sz w:val="16"/>
                  <w:szCs w:val="16"/>
                </w:rPr>
                <w:t>[2]</w:t>
              </w:r>
            </w:hyperlink>
          </w:p>
        </w:tc>
      </w:tr>
      <w:tr w:rsidR="005106D0" w:rsidRPr="007224C3" w14:paraId="0317D61C"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09D1CCFE"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67.</w:t>
            </w:r>
          </w:p>
        </w:tc>
        <w:tc>
          <w:tcPr>
            <w:tcW w:w="3128" w:type="dxa"/>
            <w:tcBorders>
              <w:top w:val="outset" w:sz="6" w:space="0" w:color="auto"/>
              <w:left w:val="outset" w:sz="6" w:space="0" w:color="auto"/>
              <w:bottom w:val="outset" w:sz="6" w:space="0" w:color="auto"/>
              <w:right w:val="outset" w:sz="6" w:space="0" w:color="auto"/>
            </w:tcBorders>
            <w:hideMark/>
          </w:tcPr>
          <w:p w14:paraId="50B1EBE3"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Лупы 8-ми кратные</w:t>
            </w:r>
          </w:p>
        </w:tc>
        <w:tc>
          <w:tcPr>
            <w:tcW w:w="898" w:type="dxa"/>
            <w:tcBorders>
              <w:top w:val="outset" w:sz="6" w:space="0" w:color="auto"/>
              <w:left w:val="outset" w:sz="6" w:space="0" w:color="auto"/>
              <w:bottom w:val="outset" w:sz="6" w:space="0" w:color="auto"/>
              <w:right w:val="outset" w:sz="6" w:space="0" w:color="auto"/>
            </w:tcBorders>
            <w:hideMark/>
          </w:tcPr>
          <w:p w14:paraId="54B34578" w14:textId="77777777" w:rsidR="00B652F7" w:rsidRPr="007224C3" w:rsidRDefault="00B652F7" w:rsidP="007224C3">
            <w:pPr>
              <w:spacing w:after="0" w:line="240" w:lineRule="auto"/>
              <w:jc w:val="both"/>
              <w:rPr>
                <w:rFonts w:ascii="Times New Roman" w:hAnsi="Times New Roman"/>
                <w:color w:val="000000" w:themeColor="text1"/>
                <w:sz w:val="16"/>
                <w:szCs w:val="16"/>
              </w:rPr>
            </w:pPr>
          </w:p>
        </w:tc>
        <w:tc>
          <w:tcPr>
            <w:tcW w:w="709" w:type="dxa"/>
            <w:tcBorders>
              <w:top w:val="outset" w:sz="6" w:space="0" w:color="auto"/>
              <w:left w:val="outset" w:sz="6" w:space="0" w:color="auto"/>
              <w:bottom w:val="outset" w:sz="6" w:space="0" w:color="auto"/>
              <w:right w:val="outset" w:sz="6" w:space="0" w:color="auto"/>
            </w:tcBorders>
            <w:hideMark/>
          </w:tcPr>
          <w:p w14:paraId="7C7CFCE8"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61FF5B32"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1C5A8461"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150</w:t>
            </w:r>
          </w:p>
        </w:tc>
        <w:tc>
          <w:tcPr>
            <w:tcW w:w="850" w:type="dxa"/>
            <w:tcBorders>
              <w:top w:val="outset" w:sz="6" w:space="0" w:color="auto"/>
              <w:left w:val="outset" w:sz="6" w:space="0" w:color="auto"/>
              <w:bottom w:val="outset" w:sz="6" w:space="0" w:color="auto"/>
              <w:right w:val="outset" w:sz="6" w:space="0" w:color="auto"/>
            </w:tcBorders>
            <w:hideMark/>
          </w:tcPr>
          <w:p w14:paraId="57953057"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960</w:t>
            </w:r>
          </w:p>
        </w:tc>
        <w:tc>
          <w:tcPr>
            <w:tcW w:w="851" w:type="dxa"/>
            <w:tcBorders>
              <w:top w:val="outset" w:sz="6" w:space="0" w:color="auto"/>
              <w:left w:val="outset" w:sz="6" w:space="0" w:color="auto"/>
              <w:bottom w:val="outset" w:sz="6" w:space="0" w:color="auto"/>
              <w:right w:val="outset" w:sz="6" w:space="0" w:color="auto"/>
            </w:tcBorders>
            <w:hideMark/>
          </w:tcPr>
          <w:p w14:paraId="116C4ECD"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292</w:t>
            </w:r>
          </w:p>
        </w:tc>
      </w:tr>
      <w:tr w:rsidR="005106D0" w:rsidRPr="007224C3" w14:paraId="7A699BA1"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447D9629"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68.</w:t>
            </w:r>
          </w:p>
        </w:tc>
        <w:tc>
          <w:tcPr>
            <w:tcW w:w="3128" w:type="dxa"/>
            <w:tcBorders>
              <w:top w:val="outset" w:sz="6" w:space="0" w:color="auto"/>
              <w:left w:val="outset" w:sz="6" w:space="0" w:color="auto"/>
              <w:bottom w:val="outset" w:sz="6" w:space="0" w:color="auto"/>
              <w:right w:val="outset" w:sz="6" w:space="0" w:color="auto"/>
            </w:tcBorders>
            <w:hideMark/>
          </w:tcPr>
          <w:p w14:paraId="20F68042"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Монокуляры Б-6</w:t>
            </w:r>
          </w:p>
        </w:tc>
        <w:tc>
          <w:tcPr>
            <w:tcW w:w="898" w:type="dxa"/>
            <w:tcBorders>
              <w:top w:val="outset" w:sz="6" w:space="0" w:color="auto"/>
              <w:left w:val="outset" w:sz="6" w:space="0" w:color="auto"/>
              <w:bottom w:val="outset" w:sz="6" w:space="0" w:color="auto"/>
              <w:right w:val="outset" w:sz="6" w:space="0" w:color="auto"/>
            </w:tcBorders>
            <w:hideMark/>
          </w:tcPr>
          <w:p w14:paraId="2BA33AE5" w14:textId="77777777" w:rsidR="00B652F7" w:rsidRPr="007224C3" w:rsidRDefault="00B652F7" w:rsidP="007224C3">
            <w:pPr>
              <w:spacing w:after="0" w:line="240" w:lineRule="auto"/>
              <w:jc w:val="both"/>
              <w:rPr>
                <w:rFonts w:ascii="Times New Roman" w:hAnsi="Times New Roman"/>
                <w:color w:val="000000" w:themeColor="text1"/>
                <w:sz w:val="16"/>
                <w:szCs w:val="16"/>
              </w:rPr>
            </w:pPr>
          </w:p>
        </w:tc>
        <w:tc>
          <w:tcPr>
            <w:tcW w:w="709" w:type="dxa"/>
            <w:tcBorders>
              <w:top w:val="outset" w:sz="6" w:space="0" w:color="auto"/>
              <w:left w:val="outset" w:sz="6" w:space="0" w:color="auto"/>
              <w:bottom w:val="outset" w:sz="6" w:space="0" w:color="auto"/>
              <w:right w:val="outset" w:sz="6" w:space="0" w:color="auto"/>
            </w:tcBorders>
            <w:hideMark/>
          </w:tcPr>
          <w:p w14:paraId="301731A5"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04D8413D"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774B80C5"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0" w:type="dxa"/>
            <w:tcBorders>
              <w:top w:val="outset" w:sz="6" w:space="0" w:color="auto"/>
              <w:left w:val="outset" w:sz="6" w:space="0" w:color="auto"/>
              <w:bottom w:val="outset" w:sz="6" w:space="0" w:color="auto"/>
              <w:right w:val="outset" w:sz="6" w:space="0" w:color="auto"/>
            </w:tcBorders>
            <w:hideMark/>
          </w:tcPr>
          <w:p w14:paraId="26980DF0"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1938</w:t>
            </w:r>
          </w:p>
        </w:tc>
        <w:tc>
          <w:tcPr>
            <w:tcW w:w="851" w:type="dxa"/>
            <w:tcBorders>
              <w:top w:val="outset" w:sz="6" w:space="0" w:color="auto"/>
              <w:left w:val="outset" w:sz="6" w:space="0" w:color="auto"/>
              <w:bottom w:val="outset" w:sz="6" w:space="0" w:color="auto"/>
              <w:right w:val="outset" w:sz="6" w:space="0" w:color="auto"/>
            </w:tcBorders>
            <w:hideMark/>
          </w:tcPr>
          <w:p w14:paraId="325B7A25"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325</w:t>
            </w:r>
          </w:p>
        </w:tc>
      </w:tr>
      <w:tr w:rsidR="005106D0" w:rsidRPr="007224C3" w14:paraId="2A81735B"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4084668D"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69.</w:t>
            </w:r>
          </w:p>
        </w:tc>
        <w:tc>
          <w:tcPr>
            <w:tcW w:w="3128" w:type="dxa"/>
            <w:tcBorders>
              <w:top w:val="outset" w:sz="6" w:space="0" w:color="auto"/>
              <w:left w:val="outset" w:sz="6" w:space="0" w:color="auto"/>
              <w:bottom w:val="outset" w:sz="6" w:space="0" w:color="auto"/>
              <w:right w:val="outset" w:sz="6" w:space="0" w:color="auto"/>
            </w:tcBorders>
            <w:hideMark/>
          </w:tcPr>
          <w:p w14:paraId="325EFAD4"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Половинки Б-6</w:t>
            </w:r>
          </w:p>
        </w:tc>
        <w:tc>
          <w:tcPr>
            <w:tcW w:w="898" w:type="dxa"/>
            <w:tcBorders>
              <w:top w:val="outset" w:sz="6" w:space="0" w:color="auto"/>
              <w:left w:val="outset" w:sz="6" w:space="0" w:color="auto"/>
              <w:bottom w:val="outset" w:sz="6" w:space="0" w:color="auto"/>
              <w:right w:val="outset" w:sz="6" w:space="0" w:color="auto"/>
            </w:tcBorders>
            <w:hideMark/>
          </w:tcPr>
          <w:p w14:paraId="00C9550F" w14:textId="77777777" w:rsidR="00B652F7" w:rsidRPr="007224C3" w:rsidRDefault="00B652F7" w:rsidP="007224C3">
            <w:pPr>
              <w:spacing w:after="0" w:line="240" w:lineRule="auto"/>
              <w:jc w:val="both"/>
              <w:rPr>
                <w:rFonts w:ascii="Times New Roman" w:hAnsi="Times New Roman"/>
                <w:color w:val="000000" w:themeColor="text1"/>
                <w:sz w:val="16"/>
                <w:szCs w:val="16"/>
              </w:rPr>
            </w:pPr>
          </w:p>
        </w:tc>
        <w:tc>
          <w:tcPr>
            <w:tcW w:w="709" w:type="dxa"/>
            <w:tcBorders>
              <w:top w:val="outset" w:sz="6" w:space="0" w:color="auto"/>
              <w:left w:val="outset" w:sz="6" w:space="0" w:color="auto"/>
              <w:bottom w:val="outset" w:sz="6" w:space="0" w:color="auto"/>
              <w:right w:val="outset" w:sz="6" w:space="0" w:color="auto"/>
            </w:tcBorders>
            <w:hideMark/>
          </w:tcPr>
          <w:p w14:paraId="46D0E336"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56A96263"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3B30581E"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0" w:type="dxa"/>
            <w:tcBorders>
              <w:top w:val="outset" w:sz="6" w:space="0" w:color="auto"/>
              <w:left w:val="outset" w:sz="6" w:space="0" w:color="auto"/>
              <w:bottom w:val="outset" w:sz="6" w:space="0" w:color="auto"/>
              <w:right w:val="outset" w:sz="6" w:space="0" w:color="auto"/>
            </w:tcBorders>
            <w:hideMark/>
          </w:tcPr>
          <w:p w14:paraId="48B13CCE"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705</w:t>
            </w:r>
          </w:p>
        </w:tc>
        <w:tc>
          <w:tcPr>
            <w:tcW w:w="851" w:type="dxa"/>
            <w:tcBorders>
              <w:top w:val="outset" w:sz="6" w:space="0" w:color="auto"/>
              <w:left w:val="outset" w:sz="6" w:space="0" w:color="auto"/>
              <w:bottom w:val="outset" w:sz="6" w:space="0" w:color="auto"/>
              <w:right w:val="outset" w:sz="6" w:space="0" w:color="auto"/>
            </w:tcBorders>
            <w:hideMark/>
          </w:tcPr>
          <w:p w14:paraId="527696BB"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300</w:t>
            </w:r>
          </w:p>
        </w:tc>
      </w:tr>
      <w:tr w:rsidR="005106D0" w:rsidRPr="007224C3" w14:paraId="2775C58F"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4333215B"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70.</w:t>
            </w:r>
          </w:p>
        </w:tc>
        <w:tc>
          <w:tcPr>
            <w:tcW w:w="3128" w:type="dxa"/>
            <w:tcBorders>
              <w:top w:val="outset" w:sz="6" w:space="0" w:color="auto"/>
              <w:left w:val="outset" w:sz="6" w:space="0" w:color="auto"/>
              <w:bottom w:val="outset" w:sz="6" w:space="0" w:color="auto"/>
              <w:right w:val="outset" w:sz="6" w:space="0" w:color="auto"/>
            </w:tcBorders>
            <w:hideMark/>
          </w:tcPr>
          <w:p w14:paraId="1B937BD9"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Ампулы уровней</w:t>
            </w:r>
          </w:p>
        </w:tc>
        <w:tc>
          <w:tcPr>
            <w:tcW w:w="898" w:type="dxa"/>
            <w:tcBorders>
              <w:top w:val="outset" w:sz="6" w:space="0" w:color="auto"/>
              <w:left w:val="outset" w:sz="6" w:space="0" w:color="auto"/>
              <w:bottom w:val="outset" w:sz="6" w:space="0" w:color="auto"/>
              <w:right w:val="outset" w:sz="6" w:space="0" w:color="auto"/>
            </w:tcBorders>
            <w:hideMark/>
          </w:tcPr>
          <w:p w14:paraId="0402FADE" w14:textId="77777777" w:rsidR="00B652F7" w:rsidRPr="007224C3" w:rsidRDefault="00B652F7" w:rsidP="007224C3">
            <w:pPr>
              <w:spacing w:after="0" w:line="240" w:lineRule="auto"/>
              <w:jc w:val="both"/>
              <w:rPr>
                <w:rFonts w:ascii="Times New Roman" w:hAnsi="Times New Roman"/>
                <w:color w:val="000000" w:themeColor="text1"/>
                <w:sz w:val="16"/>
                <w:szCs w:val="16"/>
              </w:rPr>
            </w:pPr>
          </w:p>
        </w:tc>
        <w:tc>
          <w:tcPr>
            <w:tcW w:w="709" w:type="dxa"/>
            <w:tcBorders>
              <w:top w:val="outset" w:sz="6" w:space="0" w:color="auto"/>
              <w:left w:val="outset" w:sz="6" w:space="0" w:color="auto"/>
              <w:bottom w:val="outset" w:sz="6" w:space="0" w:color="auto"/>
              <w:right w:val="outset" w:sz="6" w:space="0" w:color="auto"/>
            </w:tcBorders>
            <w:hideMark/>
          </w:tcPr>
          <w:p w14:paraId="015ED19F"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2D9C725E"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65DC3D10"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0" w:type="dxa"/>
            <w:tcBorders>
              <w:top w:val="outset" w:sz="6" w:space="0" w:color="auto"/>
              <w:left w:val="outset" w:sz="6" w:space="0" w:color="auto"/>
              <w:bottom w:val="outset" w:sz="6" w:space="0" w:color="auto"/>
              <w:right w:val="outset" w:sz="6" w:space="0" w:color="auto"/>
            </w:tcBorders>
            <w:hideMark/>
          </w:tcPr>
          <w:p w14:paraId="4D1F8E01"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13387</w:t>
            </w:r>
          </w:p>
        </w:tc>
        <w:tc>
          <w:tcPr>
            <w:tcW w:w="851" w:type="dxa"/>
            <w:tcBorders>
              <w:top w:val="outset" w:sz="6" w:space="0" w:color="auto"/>
              <w:left w:val="outset" w:sz="6" w:space="0" w:color="auto"/>
              <w:bottom w:val="outset" w:sz="6" w:space="0" w:color="auto"/>
              <w:right w:val="outset" w:sz="6" w:space="0" w:color="auto"/>
            </w:tcBorders>
            <w:hideMark/>
          </w:tcPr>
          <w:p w14:paraId="4E978FD5"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7480</w:t>
            </w:r>
          </w:p>
        </w:tc>
      </w:tr>
      <w:tr w:rsidR="005106D0" w:rsidRPr="007224C3" w14:paraId="16B1B7B5"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6C28B6FE"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71.</w:t>
            </w:r>
          </w:p>
        </w:tc>
        <w:tc>
          <w:tcPr>
            <w:tcW w:w="3128" w:type="dxa"/>
            <w:tcBorders>
              <w:top w:val="outset" w:sz="6" w:space="0" w:color="auto"/>
              <w:left w:val="outset" w:sz="6" w:space="0" w:color="auto"/>
              <w:bottom w:val="outset" w:sz="6" w:space="0" w:color="auto"/>
              <w:right w:val="outset" w:sz="6" w:space="0" w:color="auto"/>
            </w:tcBorders>
            <w:hideMark/>
          </w:tcPr>
          <w:p w14:paraId="71012961"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Ампулы уровней</w:t>
            </w:r>
          </w:p>
        </w:tc>
        <w:tc>
          <w:tcPr>
            <w:tcW w:w="898" w:type="dxa"/>
            <w:tcBorders>
              <w:top w:val="outset" w:sz="6" w:space="0" w:color="auto"/>
              <w:left w:val="outset" w:sz="6" w:space="0" w:color="auto"/>
              <w:bottom w:val="outset" w:sz="6" w:space="0" w:color="auto"/>
              <w:right w:val="outset" w:sz="6" w:space="0" w:color="auto"/>
            </w:tcBorders>
            <w:hideMark/>
          </w:tcPr>
          <w:p w14:paraId="549D58DC" w14:textId="77777777" w:rsidR="00B652F7" w:rsidRPr="007224C3" w:rsidRDefault="00B652F7" w:rsidP="007224C3">
            <w:pPr>
              <w:spacing w:after="0" w:line="240" w:lineRule="auto"/>
              <w:jc w:val="both"/>
              <w:rPr>
                <w:rFonts w:ascii="Times New Roman" w:hAnsi="Times New Roman"/>
                <w:color w:val="000000" w:themeColor="text1"/>
                <w:sz w:val="16"/>
                <w:szCs w:val="16"/>
              </w:rPr>
            </w:pPr>
          </w:p>
        </w:tc>
        <w:tc>
          <w:tcPr>
            <w:tcW w:w="709" w:type="dxa"/>
            <w:tcBorders>
              <w:top w:val="outset" w:sz="6" w:space="0" w:color="auto"/>
              <w:left w:val="outset" w:sz="6" w:space="0" w:color="auto"/>
              <w:bottom w:val="outset" w:sz="6" w:space="0" w:color="auto"/>
              <w:right w:val="outset" w:sz="6" w:space="0" w:color="auto"/>
            </w:tcBorders>
            <w:hideMark/>
          </w:tcPr>
          <w:p w14:paraId="3366DC0B"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0C146FF6"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0717DB4E"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38355</w:t>
            </w:r>
          </w:p>
        </w:tc>
        <w:tc>
          <w:tcPr>
            <w:tcW w:w="850" w:type="dxa"/>
            <w:tcBorders>
              <w:top w:val="outset" w:sz="6" w:space="0" w:color="auto"/>
              <w:left w:val="outset" w:sz="6" w:space="0" w:color="auto"/>
              <w:bottom w:val="outset" w:sz="6" w:space="0" w:color="auto"/>
              <w:right w:val="outset" w:sz="6" w:space="0" w:color="auto"/>
            </w:tcBorders>
            <w:hideMark/>
          </w:tcPr>
          <w:p w14:paraId="3944F5E2"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42759</w:t>
            </w:r>
          </w:p>
        </w:tc>
        <w:tc>
          <w:tcPr>
            <w:tcW w:w="851" w:type="dxa"/>
            <w:tcBorders>
              <w:top w:val="outset" w:sz="6" w:space="0" w:color="auto"/>
              <w:left w:val="outset" w:sz="6" w:space="0" w:color="auto"/>
              <w:bottom w:val="outset" w:sz="6" w:space="0" w:color="auto"/>
              <w:right w:val="outset" w:sz="6" w:space="0" w:color="auto"/>
            </w:tcBorders>
            <w:hideMark/>
          </w:tcPr>
          <w:p w14:paraId="2599C1EF"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26597</w:t>
            </w:r>
          </w:p>
        </w:tc>
      </w:tr>
      <w:tr w:rsidR="005106D0" w:rsidRPr="007224C3" w14:paraId="786DBBB2"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3AE151FA"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72.</w:t>
            </w:r>
          </w:p>
        </w:tc>
        <w:tc>
          <w:tcPr>
            <w:tcW w:w="3128" w:type="dxa"/>
            <w:tcBorders>
              <w:top w:val="outset" w:sz="6" w:space="0" w:color="auto"/>
              <w:left w:val="outset" w:sz="6" w:space="0" w:color="auto"/>
              <w:bottom w:val="outset" w:sz="6" w:space="0" w:color="auto"/>
              <w:right w:val="outset" w:sz="6" w:space="0" w:color="auto"/>
            </w:tcBorders>
            <w:hideMark/>
          </w:tcPr>
          <w:p w14:paraId="7112B8A3"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Колодки ПАУ-22</w:t>
            </w:r>
          </w:p>
        </w:tc>
        <w:tc>
          <w:tcPr>
            <w:tcW w:w="898" w:type="dxa"/>
            <w:tcBorders>
              <w:top w:val="outset" w:sz="6" w:space="0" w:color="auto"/>
              <w:left w:val="outset" w:sz="6" w:space="0" w:color="auto"/>
              <w:bottom w:val="outset" w:sz="6" w:space="0" w:color="auto"/>
              <w:right w:val="outset" w:sz="6" w:space="0" w:color="auto"/>
            </w:tcBorders>
            <w:hideMark/>
          </w:tcPr>
          <w:p w14:paraId="764236BA"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709" w:type="dxa"/>
            <w:tcBorders>
              <w:top w:val="outset" w:sz="6" w:space="0" w:color="auto"/>
              <w:left w:val="outset" w:sz="6" w:space="0" w:color="auto"/>
              <w:bottom w:val="outset" w:sz="6" w:space="0" w:color="auto"/>
              <w:right w:val="outset" w:sz="6" w:space="0" w:color="auto"/>
            </w:tcBorders>
            <w:hideMark/>
          </w:tcPr>
          <w:p w14:paraId="653A84F7"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110BDA44"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3176</w:t>
            </w:r>
          </w:p>
        </w:tc>
        <w:tc>
          <w:tcPr>
            <w:tcW w:w="851" w:type="dxa"/>
            <w:tcBorders>
              <w:top w:val="outset" w:sz="6" w:space="0" w:color="auto"/>
              <w:left w:val="outset" w:sz="6" w:space="0" w:color="auto"/>
              <w:bottom w:val="outset" w:sz="6" w:space="0" w:color="auto"/>
              <w:right w:val="outset" w:sz="6" w:space="0" w:color="auto"/>
            </w:tcBorders>
            <w:hideMark/>
          </w:tcPr>
          <w:p w14:paraId="0EC110B6"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0" w:type="dxa"/>
            <w:tcBorders>
              <w:top w:val="outset" w:sz="6" w:space="0" w:color="auto"/>
              <w:left w:val="outset" w:sz="6" w:space="0" w:color="auto"/>
              <w:bottom w:val="outset" w:sz="6" w:space="0" w:color="auto"/>
              <w:right w:val="outset" w:sz="6" w:space="0" w:color="auto"/>
            </w:tcBorders>
            <w:hideMark/>
          </w:tcPr>
          <w:p w14:paraId="1FAADDD3"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790CBAF8"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29A348C4"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24C68265" w14:textId="77777777" w:rsidR="00B652F7" w:rsidRPr="007224C3" w:rsidRDefault="00B652F7" w:rsidP="007224C3">
            <w:pPr>
              <w:spacing w:after="0" w:line="240" w:lineRule="auto"/>
              <w:jc w:val="both"/>
              <w:rPr>
                <w:rFonts w:ascii="Times New Roman" w:hAnsi="Times New Roman"/>
                <w:color w:val="000000" w:themeColor="text1"/>
                <w:sz w:val="16"/>
                <w:szCs w:val="16"/>
              </w:rPr>
            </w:pPr>
          </w:p>
        </w:tc>
        <w:tc>
          <w:tcPr>
            <w:tcW w:w="3128" w:type="dxa"/>
            <w:tcBorders>
              <w:top w:val="outset" w:sz="6" w:space="0" w:color="auto"/>
              <w:left w:val="outset" w:sz="6" w:space="0" w:color="auto"/>
              <w:bottom w:val="outset" w:sz="6" w:space="0" w:color="auto"/>
              <w:right w:val="outset" w:sz="6" w:space="0" w:color="auto"/>
            </w:tcBorders>
            <w:hideMark/>
          </w:tcPr>
          <w:p w14:paraId="6E85115D" w14:textId="77777777" w:rsidR="00B652F7" w:rsidRPr="007224C3" w:rsidRDefault="00B652F7" w:rsidP="007224C3">
            <w:pPr>
              <w:spacing w:after="0" w:line="240" w:lineRule="auto"/>
              <w:jc w:val="both"/>
              <w:rPr>
                <w:rFonts w:ascii="Times New Roman" w:hAnsi="Times New Roman"/>
                <w:color w:val="000000" w:themeColor="text1"/>
                <w:sz w:val="16"/>
                <w:szCs w:val="16"/>
              </w:rPr>
            </w:pPr>
          </w:p>
        </w:tc>
        <w:tc>
          <w:tcPr>
            <w:tcW w:w="898" w:type="dxa"/>
            <w:tcBorders>
              <w:top w:val="outset" w:sz="6" w:space="0" w:color="auto"/>
              <w:left w:val="outset" w:sz="6" w:space="0" w:color="auto"/>
              <w:bottom w:val="outset" w:sz="6" w:space="0" w:color="auto"/>
              <w:right w:val="outset" w:sz="6" w:space="0" w:color="auto"/>
            </w:tcBorders>
            <w:hideMark/>
          </w:tcPr>
          <w:p w14:paraId="01F8113A" w14:textId="77777777" w:rsidR="00B652F7" w:rsidRPr="007224C3" w:rsidRDefault="00B652F7" w:rsidP="007224C3">
            <w:pPr>
              <w:spacing w:after="0" w:line="240" w:lineRule="auto"/>
              <w:jc w:val="both"/>
              <w:rPr>
                <w:rFonts w:ascii="Times New Roman" w:hAnsi="Times New Roman"/>
                <w:color w:val="000000" w:themeColor="text1"/>
                <w:sz w:val="16"/>
                <w:szCs w:val="16"/>
              </w:rPr>
            </w:pPr>
          </w:p>
        </w:tc>
        <w:tc>
          <w:tcPr>
            <w:tcW w:w="709" w:type="dxa"/>
            <w:tcBorders>
              <w:top w:val="outset" w:sz="6" w:space="0" w:color="auto"/>
              <w:left w:val="outset" w:sz="6" w:space="0" w:color="auto"/>
              <w:bottom w:val="outset" w:sz="6" w:space="0" w:color="auto"/>
              <w:right w:val="outset" w:sz="6" w:space="0" w:color="auto"/>
            </w:tcBorders>
            <w:hideMark/>
          </w:tcPr>
          <w:p w14:paraId="24B99C0A" w14:textId="77777777" w:rsidR="00B652F7" w:rsidRPr="007224C3" w:rsidRDefault="00B652F7" w:rsidP="007224C3">
            <w:pPr>
              <w:spacing w:after="0" w:line="240" w:lineRule="auto"/>
              <w:jc w:val="both"/>
              <w:rPr>
                <w:rFonts w:ascii="Times New Roman" w:hAnsi="Times New Roman"/>
                <w:color w:val="000000" w:themeColor="text1"/>
                <w:sz w:val="16"/>
                <w:szCs w:val="16"/>
              </w:rPr>
            </w:pPr>
          </w:p>
        </w:tc>
        <w:tc>
          <w:tcPr>
            <w:tcW w:w="850" w:type="dxa"/>
            <w:tcBorders>
              <w:top w:val="outset" w:sz="6" w:space="0" w:color="auto"/>
              <w:left w:val="outset" w:sz="6" w:space="0" w:color="auto"/>
              <w:bottom w:val="outset" w:sz="6" w:space="0" w:color="auto"/>
              <w:right w:val="outset" w:sz="6" w:space="0" w:color="auto"/>
            </w:tcBorders>
            <w:hideMark/>
          </w:tcPr>
          <w:p w14:paraId="7FA3E76D" w14:textId="77777777" w:rsidR="00B652F7" w:rsidRPr="007224C3" w:rsidRDefault="00B652F7" w:rsidP="007224C3">
            <w:pPr>
              <w:spacing w:after="0" w:line="240" w:lineRule="auto"/>
              <w:jc w:val="both"/>
              <w:rPr>
                <w:rFonts w:ascii="Times New Roman" w:hAnsi="Times New Roman"/>
                <w:color w:val="000000" w:themeColor="text1"/>
                <w:sz w:val="16"/>
                <w:szCs w:val="16"/>
              </w:rPr>
            </w:pPr>
          </w:p>
        </w:tc>
        <w:tc>
          <w:tcPr>
            <w:tcW w:w="851" w:type="dxa"/>
            <w:tcBorders>
              <w:top w:val="outset" w:sz="6" w:space="0" w:color="auto"/>
              <w:left w:val="outset" w:sz="6" w:space="0" w:color="auto"/>
              <w:bottom w:val="outset" w:sz="6" w:space="0" w:color="auto"/>
              <w:right w:val="outset" w:sz="6" w:space="0" w:color="auto"/>
            </w:tcBorders>
            <w:hideMark/>
          </w:tcPr>
          <w:p w14:paraId="4DF22F7E" w14:textId="77777777" w:rsidR="00B652F7" w:rsidRPr="007224C3" w:rsidRDefault="00B652F7" w:rsidP="007224C3">
            <w:pPr>
              <w:spacing w:after="0" w:line="240" w:lineRule="auto"/>
              <w:jc w:val="both"/>
              <w:rPr>
                <w:rFonts w:ascii="Times New Roman" w:hAnsi="Times New Roman"/>
                <w:color w:val="000000" w:themeColor="text1"/>
                <w:sz w:val="16"/>
                <w:szCs w:val="16"/>
              </w:rPr>
            </w:pPr>
          </w:p>
        </w:tc>
        <w:tc>
          <w:tcPr>
            <w:tcW w:w="850" w:type="dxa"/>
            <w:tcBorders>
              <w:top w:val="outset" w:sz="6" w:space="0" w:color="auto"/>
              <w:left w:val="outset" w:sz="6" w:space="0" w:color="auto"/>
              <w:bottom w:val="outset" w:sz="6" w:space="0" w:color="auto"/>
              <w:right w:val="outset" w:sz="6" w:space="0" w:color="auto"/>
            </w:tcBorders>
            <w:hideMark/>
          </w:tcPr>
          <w:p w14:paraId="5F14C804" w14:textId="77777777" w:rsidR="00B652F7" w:rsidRPr="007224C3" w:rsidRDefault="00B652F7" w:rsidP="007224C3">
            <w:pPr>
              <w:spacing w:after="0" w:line="240" w:lineRule="auto"/>
              <w:jc w:val="both"/>
              <w:rPr>
                <w:rFonts w:ascii="Times New Roman" w:hAnsi="Times New Roman"/>
                <w:color w:val="000000" w:themeColor="text1"/>
                <w:sz w:val="16"/>
                <w:szCs w:val="16"/>
              </w:rPr>
            </w:pPr>
          </w:p>
        </w:tc>
        <w:tc>
          <w:tcPr>
            <w:tcW w:w="851" w:type="dxa"/>
            <w:tcBorders>
              <w:top w:val="outset" w:sz="6" w:space="0" w:color="auto"/>
              <w:left w:val="outset" w:sz="6" w:space="0" w:color="auto"/>
              <w:bottom w:val="outset" w:sz="6" w:space="0" w:color="auto"/>
              <w:right w:val="outset" w:sz="6" w:space="0" w:color="auto"/>
            </w:tcBorders>
            <w:hideMark/>
          </w:tcPr>
          <w:p w14:paraId="3B4A3A17"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hyperlink r:id="rId134" w:anchor="_ftn3" w:history="1">
              <w:r w:rsidRPr="007224C3">
                <w:rPr>
                  <w:rFonts w:ascii="Times New Roman" w:hAnsi="Times New Roman"/>
                  <w:color w:val="000000" w:themeColor="text1"/>
                  <w:sz w:val="16"/>
                  <w:szCs w:val="16"/>
                </w:rPr>
                <w:t>[3]</w:t>
              </w:r>
            </w:hyperlink>
          </w:p>
        </w:tc>
      </w:tr>
    </w:tbl>
    <w:p w14:paraId="782B5AD2"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завода № 237 Соловьев</w:t>
      </w:r>
    </w:p>
    <w:p w14:paraId="32481F67"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отдела № 62 Шейнин</w:t>
      </w:r>
    </w:p>
    <w:p w14:paraId="13E988AA" w14:textId="77777777" w:rsidR="00B652F7" w:rsidRPr="007224C3" w:rsidRDefault="00B652F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РТ. Ф. Р-6600. Оп. 1. Д. 76. Л. 224-225. Отпуск (15494).</w:t>
      </w:r>
    </w:p>
    <w:p w14:paraId="012C97DC" w14:textId="77777777" w:rsidR="00B652F7" w:rsidRPr="007224C3" w:rsidRDefault="00B652F7" w:rsidP="007224C3">
      <w:pPr>
        <w:spacing w:after="0" w:line="240" w:lineRule="auto"/>
        <w:jc w:val="both"/>
        <w:rPr>
          <w:rFonts w:ascii="Times New Roman" w:hAnsi="Times New Roman"/>
          <w:color w:val="000000" w:themeColor="text1"/>
          <w:sz w:val="16"/>
          <w:szCs w:val="16"/>
        </w:rPr>
      </w:pPr>
    </w:p>
    <w:p w14:paraId="26CA8BF2"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мая 1944 вышло Постановление ГКО № 5941 О мерах по увеличению добычи и улучшению качества коксующихся углей на шахтах Кузнецкого угольного бассейна. (7234, 21-51,52-75).</w:t>
      </w:r>
    </w:p>
    <w:p w14:paraId="43677F28"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486085E"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54FBF6C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1374194" w14:textId="77777777" w:rsidR="00075AF1" w:rsidRPr="007224C3" w:rsidRDefault="00075AF1"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22 мая</w:t>
      </w:r>
      <w:r w:rsidRPr="007224C3">
        <w:rPr>
          <w:rFonts w:ascii="Times New Roman" w:hAnsi="Times New Roman"/>
          <w:color w:val="000000" w:themeColor="text1"/>
          <w:sz w:val="16"/>
          <w:szCs w:val="16"/>
        </w:rPr>
        <w:t xml:space="preserve"> в 1944 году оперативная сводка Совинформбюро:</w:t>
      </w:r>
    </w:p>
    <w:p w14:paraId="1FDBAC53" w14:textId="77777777" w:rsidR="00075AF1" w:rsidRPr="007224C3" w:rsidRDefault="00075AF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22 мая на фронтах существенных изменений не произошло. За 21 мая в воздушных боях и огнём зенитной артиллерии сбито 17 самолётов противника.</w:t>
      </w:r>
    </w:p>
    <w:p w14:paraId="496EB2A9" w14:textId="77777777" w:rsidR="00075AF1" w:rsidRPr="007224C3" w:rsidRDefault="00075AF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Северо-западнее города Тирасполь наши части отразили несколько атак противника. В ходе боя уничтожено до 300 гитлеровцев и 3 немецких бронетранспортёра. Взяты пленные. В районе одного села танк старшины Маслова находился в засаде на переднем крае нашей обороны. Рано утром немцы предприняли атаку. Наши танкисты открылы огонь и подожгли два немецких танка. Остальные танки противника быстро повернули назад. Их отход прикрывала самоходная пушка. Танк Маслова вышел из засады и выстрелил в боковую часть вражеского орудия. Бросив самоходную пушку, немцы убежали. Наши танкисты прицепили самоходное орудие к танку и на буксире доставили его в свою часть.</w:t>
      </w:r>
    </w:p>
    <w:p w14:paraId="36C8D450" w14:textId="77777777" w:rsidR="00075AF1" w:rsidRPr="007224C3" w:rsidRDefault="00075AF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Юго-восточнее города Станислав немцы пытались вести разведку боем. Встреченные сильным артиллерийским и ружейно-пулемётным огнём, гитлеровцы откатились назад, не достигнув переднего края нашей обороны.</w:t>
      </w:r>
    </w:p>
    <w:p w14:paraId="5185CF83" w14:textId="77777777" w:rsidR="00075AF1" w:rsidRPr="007224C3" w:rsidRDefault="00075AF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Советские лётчики в воздушных боях сбили 2 немецких самолёта. Кроме того, огнём зенитной артиллерии уничтожено 4 самолёта противника.</w:t>
      </w:r>
    </w:p>
    <w:p w14:paraId="1576B540" w14:textId="77777777" w:rsidR="00075AF1" w:rsidRPr="007224C3" w:rsidRDefault="00075AF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Северо-западнее города Луцк десять разведчиков во главе с лейтенантом Подобиным пробрались в расположение противника. Ночью наши бойцы проникли в крупный населённый пункт, захватили в плен немецкого фельдфебеля и доставили его в штаб своей части.</w:t>
      </w:r>
    </w:p>
    <w:p w14:paraId="061417DE" w14:textId="77777777" w:rsidR="00075AF1" w:rsidRPr="007224C3" w:rsidRDefault="00075AF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Партизанский отряд имени товарища Сталина, действующий в Минской области, за месяц пустил под откос 12 немецких воинских эшелонов. На шоссейных и грунтовых дорогах партизаны сожгли 19 мостов и взорвали 11 автомашин. Вырезано 82 километра телеграфно-телефонной линии связи противника. В боях с немецкими оккупантами и огнём из засад убито и ранено более 200 гитлеровцев. Партизанские отряды «Искра» и «Знамя» объединёнными силами напали на немецкий воинский эшелон, следовавший к линии фронта. Сожжено 26 вагонов и платформ с различными военными грузами.</w:t>
      </w:r>
    </w:p>
    <w:p w14:paraId="4BE45B4A" w14:textId="77777777" w:rsidR="00075AF1" w:rsidRPr="007224C3" w:rsidRDefault="00075AF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Пленный командир роты 3 румынской пехотной дивизии капитан Ион Матрекия рассказал: «Вступление советских войск на территорию Румынии окончательно убедило многих румын в том, что Германия проиграла войну. Офицеры нашего батальона считают дальнейшее сопротивление не только бесполезным, но и гибельным для Румынии. Наши войска плохо вооружены. В Румынии имеется всего лишь один орудийный завод, но им уже давно владеют немцы и забирают себе всю продукцию. 3 дивизия совершенно не имеет крупнокалиберной противотанковой артиллерии. Очень мало автоматического оружия. Не хватает и патронов. Фактическим хозяином Румынии является Киллингер — немецкий наместник в Бухаресте. Некоторые офицеры говорят про Антонеску, что он является дежурным офицером при этом гитлеровском наместнике. Антонеску жертвует румынскими солдатами, лишь бы дать немцам возможность вывезти из страны как можно больше нефти, сырья и продовольствия. Однако теперь с каждым днём увеличивается число румынских солдат и офицеров, которые не хотят сражаться на стороне немцев».</w:t>
      </w:r>
    </w:p>
    <w:p w14:paraId="128F1634" w14:textId="77777777" w:rsidR="00075AF1" w:rsidRPr="007224C3" w:rsidRDefault="00075AF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Гитлеровцы распространяют следующее сообщение: «Германские и румынские войска, которые были эвакуированы из Крыма, расквартированы в городах черноморского побережья Румынии. Они будут переведены на южный участок Восточного фронта».</w:t>
      </w:r>
    </w:p>
    <w:p w14:paraId="16538715" w14:textId="77777777" w:rsidR="00075AF1" w:rsidRPr="007224C3" w:rsidRDefault="00075AF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помощью такого неуклюжего трюка немцы хотят скрыть подлинные размеры своего поражения в Крыму. Они боятся открыто сказать о разгроме немецко-румынских войск на Крымском полуострове. Во всяком случае гитлеровцы, убитые в Крыму, уже не нуждаются в квартирах. Свыше 60 тысяч немецко-румынских солдат и офицеров, взятых в плен нашими войсками, подучили жильё в лагерях для военнопленных. Ничтожная же часть немцев, которой удалось удрать с Крымского полуострова, без труда разместится в любой румынской деревушке. Гораздо больше будет хлопот у немецких генералов южного участка советско-германского фронта, которые заполучат этих вояк. Недобитые немцы разнесут весть о страшном разгроме фашистских войск в Крыму и о бесславной гибели десятков тысяч немецких и румынских солдат.» (14899).</w:t>
      </w:r>
    </w:p>
    <w:p w14:paraId="1D720154" w14:textId="77777777" w:rsidR="00075AF1" w:rsidRPr="007224C3" w:rsidRDefault="00075AF1" w:rsidP="007224C3">
      <w:pPr>
        <w:spacing w:after="0" w:line="240" w:lineRule="auto"/>
        <w:jc w:val="both"/>
        <w:rPr>
          <w:rFonts w:ascii="Times New Roman" w:hAnsi="Times New Roman"/>
          <w:color w:val="000000" w:themeColor="text1"/>
          <w:sz w:val="16"/>
          <w:szCs w:val="16"/>
        </w:rPr>
      </w:pPr>
    </w:p>
    <w:p w14:paraId="39A9BF0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и 23 мая 1944 Ставка ВГК обсуждала план Белорусской операции - 4 фронта - 1ПрФ, 2, 3 и 1БФ и Днепровская флотилия. Пять ВА - 3ВА, (г Н.Ф.Папивин), 1ВА (г Т.Т.Хрюкин), 4ВА (г К.А.Вершинин), 16ВА (г С.И.Руденко). На левом крыле 1БФ была и 6ВА (г Ф.П.Полынин), которая в апреле вошла в состав 1БФ - это были 3 гшад, 242 нбад и 2 иап. Всего - 6000 самолетов, в т.ч. 1100 д и нб и 2000 ш + привлекались до 1000 б АДД. У немцев - 6ВФ - 1342 с в Минске, Барановичах, Бобруйске (340,166).</w:t>
      </w:r>
    </w:p>
    <w:p w14:paraId="4012E66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B9C76D" w14:textId="77777777" w:rsidR="00411A0B" w:rsidRPr="007224C3" w:rsidRDefault="00411A0B" w:rsidP="007224C3">
      <w:pPr>
        <w:pStyle w:val="1162"/>
        <w:shd w:val="clear" w:color="auto" w:fill="auto"/>
        <w:spacing w:after="0" w:line="240" w:lineRule="auto"/>
        <w:ind w:firstLine="0"/>
        <w:jc w:val="both"/>
        <w:rPr>
          <w:rStyle w:val="900"/>
          <w:rFonts w:ascii="Times New Roman" w:hAnsi="Times New Roman" w:cs="Times New Roman"/>
          <w:color w:val="0070C0"/>
          <w:sz w:val="16"/>
          <w:szCs w:val="16"/>
        </w:rPr>
      </w:pPr>
      <w:r w:rsidRPr="007224C3">
        <w:rPr>
          <w:rStyle w:val="900"/>
          <w:rFonts w:ascii="Times New Roman" w:hAnsi="Times New Roman" w:cs="Times New Roman"/>
          <w:color w:val="0070C0"/>
          <w:sz w:val="16"/>
          <w:szCs w:val="16"/>
        </w:rPr>
        <w:t>22 мая 1944 г. произош</w:t>
      </w:r>
      <w:r w:rsidRPr="007224C3">
        <w:rPr>
          <w:rStyle w:val="900"/>
          <w:rFonts w:ascii="Times New Roman" w:hAnsi="Times New Roman" w:cs="Times New Roman"/>
          <w:color w:val="0070C0"/>
          <w:sz w:val="16"/>
          <w:szCs w:val="16"/>
        </w:rPr>
        <w:softHyphen/>
        <w:t>ла навигационная авария со Щ-109. Из-за штурманской ошибки субмарина села на мель в районе мыса Поворотный и получила серь</w:t>
      </w:r>
      <w:r w:rsidRPr="007224C3">
        <w:rPr>
          <w:rStyle w:val="900"/>
          <w:rFonts w:ascii="Times New Roman" w:hAnsi="Times New Roman" w:cs="Times New Roman"/>
          <w:color w:val="0070C0"/>
          <w:sz w:val="16"/>
          <w:szCs w:val="16"/>
        </w:rPr>
        <w:softHyphen/>
        <w:t>езные повреждения. Командир лодки был снят с должности</w:t>
      </w:r>
      <w:r w:rsidRPr="007224C3">
        <w:rPr>
          <w:rStyle w:val="900"/>
          <w:rFonts w:ascii="Times New Roman" w:hAnsi="Times New Roman" w:cs="Times New Roman"/>
          <w:color w:val="0070C0"/>
          <w:sz w:val="16"/>
          <w:szCs w:val="16"/>
          <w:lang w:val="ru-RU"/>
        </w:rPr>
        <w:t xml:space="preserve"> (19891)</w:t>
      </w:r>
      <w:r w:rsidRPr="007224C3">
        <w:rPr>
          <w:rStyle w:val="900"/>
          <w:rFonts w:ascii="Times New Roman" w:hAnsi="Times New Roman" w:cs="Times New Roman"/>
          <w:color w:val="0070C0"/>
          <w:sz w:val="16"/>
          <w:szCs w:val="16"/>
        </w:rPr>
        <w:t>.</w:t>
      </w:r>
    </w:p>
    <w:p w14:paraId="1A24841B" w14:textId="77777777" w:rsidR="00411A0B" w:rsidRPr="007224C3" w:rsidRDefault="00411A0B" w:rsidP="007224C3">
      <w:pPr>
        <w:pStyle w:val="1162"/>
        <w:shd w:val="clear" w:color="auto" w:fill="auto"/>
        <w:spacing w:after="0" w:line="240" w:lineRule="auto"/>
        <w:ind w:firstLine="0"/>
        <w:jc w:val="both"/>
        <w:rPr>
          <w:rFonts w:ascii="Times New Roman" w:hAnsi="Times New Roman" w:cs="Times New Roman"/>
          <w:color w:val="0070C0"/>
          <w:sz w:val="16"/>
          <w:szCs w:val="16"/>
        </w:rPr>
      </w:pPr>
    </w:p>
    <w:p w14:paraId="301EF735"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Внешняя политика:</w:t>
      </w:r>
    </w:p>
    <w:p w14:paraId="2EFE7FA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473E382"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мая 1944 СССР заявил о признании Крайовой Рады Народовой в качестве представительства польского народа (4962).</w:t>
      </w:r>
    </w:p>
    <w:p w14:paraId="1CEBFB1F"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40DA8B5"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3B0DF66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1B3A92A" w14:textId="77777777" w:rsidR="00623E4A" w:rsidRPr="007224C3" w:rsidRDefault="00623E4A"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22 мая</w:t>
      </w:r>
      <w:r w:rsidRPr="007224C3">
        <w:rPr>
          <w:rFonts w:ascii="Times New Roman" w:hAnsi="Times New Roman"/>
          <w:color w:val="000000" w:themeColor="text1"/>
          <w:sz w:val="16"/>
          <w:szCs w:val="16"/>
        </w:rPr>
        <w:t xml:space="preserve"> в 1944 году взлетел третий прототип «XP-51F» американского истребителя «P-51» «Mustang». Сухой вес прототипа оказался почти на 2000 фунтов меньше, чем у «P-51D», а нормальный взлетный вес оказался меньше на 1600 фунтов. Прототип имел стандартный 1695-сильный двигатель «Packard Merlin» «V-1650-7» от «P-51D». По предварительным расчетам взлетный вес, по сравнению с «P-51D», предполагалось снизить почти на тонну, но реальная экономия веса оказалась намного меньше. В связи с этим максимальная скорость оказалась 466 миль в час на высоте 29000 футов (14899).</w:t>
      </w:r>
    </w:p>
    <w:p w14:paraId="046D6383" w14:textId="77777777" w:rsidR="00623E4A" w:rsidRPr="007224C3" w:rsidRDefault="00623E4A" w:rsidP="007224C3">
      <w:pPr>
        <w:spacing w:after="0" w:line="240" w:lineRule="auto"/>
        <w:jc w:val="both"/>
        <w:rPr>
          <w:rFonts w:ascii="Times New Roman" w:hAnsi="Times New Roman"/>
          <w:color w:val="000000" w:themeColor="text1"/>
          <w:sz w:val="16"/>
          <w:szCs w:val="16"/>
        </w:rPr>
      </w:pPr>
    </w:p>
    <w:p w14:paraId="09220108" w14:textId="77777777" w:rsidR="00411A0B" w:rsidRPr="007224C3" w:rsidRDefault="00411A0B" w:rsidP="007224C3">
      <w:pPr>
        <w:pStyle w:val="1162"/>
        <w:shd w:val="clear" w:color="auto" w:fill="auto"/>
        <w:spacing w:after="0" w:line="240" w:lineRule="auto"/>
        <w:ind w:firstLine="0"/>
        <w:jc w:val="both"/>
        <w:rPr>
          <w:rFonts w:ascii="Times New Roman" w:hAnsi="Times New Roman" w:cs="Times New Roman"/>
          <w:color w:val="0070C0"/>
          <w:sz w:val="16"/>
          <w:szCs w:val="16"/>
        </w:rPr>
      </w:pPr>
      <w:r w:rsidRPr="007224C3">
        <w:rPr>
          <w:rFonts w:ascii="Times New Roman" w:hAnsi="Times New Roman" w:cs="Times New Roman"/>
          <w:color w:val="0070C0"/>
          <w:sz w:val="16"/>
          <w:szCs w:val="16"/>
        </w:rPr>
        <w:t>22 мая 1944 года был облетан самолет G4M2a модель 24 с моторами MK 4T «Казей» 25 (1800 л.с. на взлете) и новыми створками бомбоотсека, рассчитанными на бомбы с большим диаметром корпуса. На 2-м опытном самолете было внесено еще несколько изменений по мотоустановкам и вооружению, и в таком виде самолет пошел в серию в базовой комплектации, лишь по одному экземпляру вышли с завода с локатором (модель 24-Ko) и с более мощной длинноствольной пушкой Тип 99 мод. 2 (модель 24-Otsu). В единственном числе остался и морской патрульный разведчик модель 24-Hei с РЛС и усиленным оборонительным вооружением. Модификация G4M2b Тип 1 модель 25 была построена в трех экземплярах, но ни один из установленных на этих самолетах высотных моторов не смогли довести до серийного производства. Сохранение технологии и оснастки модели 22 (G4M2a) позволило за короткий срок построить 713 таких бомбардировщиков, но блокировало повышение тактико-технических характеристик. Конструктивные и технологические доработки привели к смещению назад центра масс, устойчивость и управляемость ухудшились</w:t>
      </w:r>
      <w:r w:rsidRPr="007224C3">
        <w:rPr>
          <w:rFonts w:ascii="Times New Roman" w:hAnsi="Times New Roman" w:cs="Times New Roman"/>
          <w:color w:val="0070C0"/>
          <w:sz w:val="16"/>
          <w:szCs w:val="16"/>
          <w:lang w:val="ru-RU"/>
        </w:rPr>
        <w:t xml:space="preserve"> (22842)</w:t>
      </w:r>
      <w:r w:rsidRPr="007224C3">
        <w:rPr>
          <w:rFonts w:ascii="Times New Roman" w:hAnsi="Times New Roman" w:cs="Times New Roman"/>
          <w:color w:val="0070C0"/>
          <w:sz w:val="16"/>
          <w:szCs w:val="16"/>
        </w:rPr>
        <w:t>.</w:t>
      </w:r>
    </w:p>
    <w:p w14:paraId="788E5762" w14:textId="77777777" w:rsidR="00411A0B" w:rsidRPr="007224C3" w:rsidRDefault="00411A0B" w:rsidP="007224C3">
      <w:pPr>
        <w:pStyle w:val="1162"/>
        <w:shd w:val="clear" w:color="auto" w:fill="auto"/>
        <w:spacing w:after="0" w:line="240" w:lineRule="auto"/>
        <w:ind w:firstLine="0"/>
        <w:jc w:val="both"/>
        <w:rPr>
          <w:rFonts w:ascii="Times New Roman" w:hAnsi="Times New Roman" w:cs="Times New Roman"/>
          <w:color w:val="0070C0"/>
          <w:sz w:val="16"/>
          <w:szCs w:val="16"/>
        </w:rPr>
      </w:pPr>
    </w:p>
    <w:p w14:paraId="738F555B" w14:textId="77777777" w:rsidR="00075AF1" w:rsidRPr="007224C3" w:rsidRDefault="00075AF1"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22 мая</w:t>
      </w:r>
      <w:r w:rsidRPr="007224C3">
        <w:rPr>
          <w:rFonts w:ascii="Times New Roman" w:hAnsi="Times New Roman"/>
          <w:color w:val="000000" w:themeColor="text1"/>
          <w:sz w:val="16"/>
          <w:szCs w:val="16"/>
        </w:rPr>
        <w:t xml:space="preserve"> в 1944 году начата операция под кодовым названием "Чаттануга Чу-Чу" (Chattanooga Choo-Choo). В этот день американскиe и британскиe самолеты начинают систематический набег-бомбежки на железныe дороги в Германии и других частях Северной Европы. Операция имеет успех, германской железнодорожной сети нанесен огромный ущерб (14899).</w:t>
      </w:r>
    </w:p>
    <w:p w14:paraId="5CCA69CF" w14:textId="77777777" w:rsidR="00075AF1" w:rsidRPr="007224C3" w:rsidRDefault="00075AF1" w:rsidP="007224C3">
      <w:pPr>
        <w:spacing w:after="0" w:line="240" w:lineRule="auto"/>
        <w:jc w:val="both"/>
        <w:rPr>
          <w:rFonts w:ascii="Times New Roman" w:hAnsi="Times New Roman"/>
          <w:color w:val="000000" w:themeColor="text1"/>
          <w:sz w:val="16"/>
          <w:szCs w:val="16"/>
        </w:rPr>
      </w:pPr>
    </w:p>
    <w:p w14:paraId="5C4A1DD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мая 1944 референдум в Исландии призвал к полному отделению от Дании (2247,3).</w:t>
      </w:r>
    </w:p>
    <w:p w14:paraId="226698D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01651D"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3190E58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EC307C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мая 1944 года директор и гл. конструктор завода N 240 С.В.И. писал письмо N 17/101с зам. наркома Авиапрома В.И. Тарасову.</w:t>
      </w:r>
    </w:p>
    <w:p w14:paraId="3B0EF21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Опытное производство завода N 240 НКАП обеспечено рабочей силой лишь на 65%.</w:t>
      </w:r>
    </w:p>
    <w:p w14:paraId="4769C25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настоящее время завод проводит большую работу по модернизации и перевооружению самолетов Ил-2, Ил-6 и Ил-1, испытание и подготовку к внедрению в серию самолетов Ил-8 и Ил-10, которые крайне нужны фронту (2562,71).</w:t>
      </w:r>
    </w:p>
    <w:p w14:paraId="3F51F5C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4E892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мая 1944 г. летчик Гаврилов совершил на НБ 2хМ-82НВ первый полет. В по</w:t>
      </w:r>
      <w:r w:rsidRPr="007224C3">
        <w:rPr>
          <w:rFonts w:ascii="Times New Roman" w:hAnsi="Times New Roman"/>
          <w:color w:val="000000" w:themeColor="text1"/>
          <w:sz w:val="16"/>
          <w:szCs w:val="16"/>
        </w:rPr>
        <w:softHyphen/>
        <w:t>следующих полетах выявились недостатки - перегрев моторов, масла, на некоторых режимах - сваливание на левое крыло. Доработки потребовали времени и поэто</w:t>
      </w:r>
      <w:r w:rsidRPr="007224C3">
        <w:rPr>
          <w:rFonts w:ascii="Times New Roman" w:hAnsi="Times New Roman"/>
          <w:color w:val="000000" w:themeColor="text1"/>
          <w:sz w:val="16"/>
          <w:szCs w:val="16"/>
        </w:rPr>
        <w:softHyphen/>
        <w:t>му к нормальным заводским испытаниям приступили 25 августа 1944 г., после смерти Н.Н.Поликарпова. У земли была достигнута максимальная скорость 430 км/ч (436 км/ч по расчету), 510 км/ч на высоте 5000 м (493 км/ч по расчету). Испытания на границе высотнос</w:t>
      </w:r>
      <w:r w:rsidRPr="007224C3">
        <w:rPr>
          <w:rFonts w:ascii="Times New Roman" w:hAnsi="Times New Roman"/>
          <w:color w:val="000000" w:themeColor="text1"/>
          <w:sz w:val="16"/>
          <w:szCs w:val="16"/>
        </w:rPr>
        <w:softHyphen/>
        <w:t>ти (6250 м) перенесли на 1945 г. Отмечалось, что по бом</w:t>
      </w:r>
      <w:r w:rsidRPr="007224C3">
        <w:rPr>
          <w:rFonts w:ascii="Times New Roman" w:hAnsi="Times New Roman"/>
          <w:color w:val="000000" w:themeColor="text1"/>
          <w:sz w:val="16"/>
          <w:szCs w:val="16"/>
        </w:rPr>
        <w:softHyphen/>
        <w:t>бовой нагрузке НБ превосходит Ту-2, но уступает ему в максимальной скорости, что для снижения вероятности поражения от огня зенитной артиллерии необходимо поднять потолок. Эти мероприятия можно было осуще</w:t>
      </w:r>
      <w:r w:rsidRPr="007224C3">
        <w:rPr>
          <w:rFonts w:ascii="Times New Roman" w:hAnsi="Times New Roman"/>
          <w:color w:val="000000" w:themeColor="text1"/>
          <w:sz w:val="16"/>
          <w:szCs w:val="16"/>
        </w:rPr>
        <w:softHyphen/>
        <w:t>ствить, установив на самолете турбокомпрессоры, что и собирались сделать после завершения первого этапа ис</w:t>
      </w:r>
      <w:r w:rsidRPr="007224C3">
        <w:rPr>
          <w:rFonts w:ascii="Times New Roman" w:hAnsi="Times New Roman"/>
          <w:color w:val="000000" w:themeColor="text1"/>
          <w:sz w:val="16"/>
          <w:szCs w:val="16"/>
        </w:rPr>
        <w:softHyphen/>
        <w:t>пытаний. Всю зиму НБ оставался на аэродроме. В феврале вы</w:t>
      </w:r>
      <w:r w:rsidRPr="007224C3">
        <w:rPr>
          <w:rFonts w:ascii="Times New Roman" w:hAnsi="Times New Roman"/>
          <w:color w:val="000000" w:themeColor="text1"/>
          <w:sz w:val="16"/>
          <w:szCs w:val="16"/>
        </w:rPr>
        <w:softHyphen/>
        <w:t>яснилось, что фанерная обшивка начала ветшать - кое-где трескалась и коробилась. По указанию НКАП испытания прекратили. Самолет хотели передать в МАИ для учебных целей, но наркомат не разрешил это</w:t>
      </w:r>
      <w:r w:rsidRPr="007224C3">
        <w:rPr>
          <w:rFonts w:ascii="Times New Roman" w:hAnsi="Times New Roman"/>
          <w:color w:val="000000" w:themeColor="text1"/>
          <w:sz w:val="16"/>
          <w:szCs w:val="16"/>
        </w:rPr>
        <w:softHyphen/>
        <w:t>го сделать по причине секретности машины и в марте 1945 г. НБ разобрали (10667).</w:t>
      </w:r>
    </w:p>
    <w:p w14:paraId="4DF1011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C40B0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мая 1944 состоялся первый полет НБ (Т) Н.Н.П. Заводские испытания проходили в августе, но их не закончили (4,201).</w:t>
      </w:r>
    </w:p>
    <w:p w14:paraId="48E8CBF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E48457" w14:textId="77777777" w:rsidR="00623E4A" w:rsidRPr="007224C3" w:rsidRDefault="00623E4A"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23 мая</w:t>
      </w:r>
      <w:r w:rsidRPr="007224C3">
        <w:rPr>
          <w:rFonts w:ascii="Times New Roman" w:hAnsi="Times New Roman"/>
          <w:color w:val="000000" w:themeColor="text1"/>
          <w:sz w:val="16"/>
          <w:szCs w:val="16"/>
        </w:rPr>
        <w:t xml:space="preserve"> в 1944 году первый полет ночного бомбардировщика ОКБ Поликарпова </w:t>
      </w:r>
      <w:hyperlink r:id="rId135" w:tgtFrame="_blank" w:history="1">
        <w:r w:rsidRPr="007224C3">
          <w:rPr>
            <w:rFonts w:ascii="Times New Roman" w:hAnsi="Times New Roman"/>
            <w:color w:val="000000" w:themeColor="text1"/>
            <w:sz w:val="16"/>
            <w:szCs w:val="16"/>
          </w:rPr>
          <w:t xml:space="preserve">«НБ» </w:t>
        </w:r>
      </w:hyperlink>
      <w:r w:rsidRPr="007224C3">
        <w:rPr>
          <w:rFonts w:ascii="Times New Roman" w:hAnsi="Times New Roman"/>
          <w:color w:val="000000" w:themeColor="text1"/>
          <w:sz w:val="16"/>
          <w:szCs w:val="16"/>
        </w:rPr>
        <w:t>состоялся на Центральном аэродроме в Москве. Заводские испытания вел летчик Гаврилов. К сожалению, полеты бомбовоза были прерваны смертью Н.Н.Поликарпова, последовавшей 30 июля 1944 года. Насколько известно, какое-то время спустя «НБ» раздавили бульдозером (14900).</w:t>
      </w:r>
    </w:p>
    <w:p w14:paraId="4AB5C264" w14:textId="77777777" w:rsidR="00623E4A" w:rsidRPr="007224C3" w:rsidRDefault="00623E4A" w:rsidP="007224C3">
      <w:pPr>
        <w:spacing w:after="0" w:line="240" w:lineRule="auto"/>
        <w:jc w:val="both"/>
        <w:rPr>
          <w:rFonts w:ascii="Times New Roman" w:hAnsi="Times New Roman"/>
          <w:color w:val="000000" w:themeColor="text1"/>
          <w:sz w:val="16"/>
          <w:szCs w:val="16"/>
        </w:rPr>
      </w:pPr>
    </w:p>
    <w:p w14:paraId="39EF466D" w14:textId="77777777" w:rsidR="00623E4A" w:rsidRPr="007224C3" w:rsidRDefault="00623E4A"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23 мая</w:t>
      </w:r>
      <w:r w:rsidRPr="007224C3">
        <w:rPr>
          <w:rFonts w:ascii="Times New Roman" w:hAnsi="Times New Roman"/>
          <w:color w:val="000000" w:themeColor="text1"/>
          <w:sz w:val="16"/>
          <w:szCs w:val="16"/>
        </w:rPr>
        <w:t xml:space="preserve"> в 1944 году по приказу НКАП №351 разработка самолета "особого назначения" была поручена конструкторскому бюро, возглавляемому В.Г.Ермолаевым. Было решено - для быстрейшего выполнения задания - самолет делать на базе бомбардировщика </w:t>
      </w:r>
      <w:hyperlink r:id="rId136" w:tgtFrame="_blank" w:history="1">
        <w:r w:rsidRPr="007224C3">
          <w:rPr>
            <w:rFonts w:ascii="Times New Roman" w:hAnsi="Times New Roman"/>
            <w:color w:val="000000" w:themeColor="text1"/>
            <w:sz w:val="16"/>
            <w:szCs w:val="16"/>
          </w:rPr>
          <w:t xml:space="preserve">«Ер-2». </w:t>
        </w:r>
      </w:hyperlink>
      <w:r w:rsidRPr="007224C3">
        <w:rPr>
          <w:rFonts w:ascii="Times New Roman" w:hAnsi="Times New Roman"/>
          <w:color w:val="000000" w:themeColor="text1"/>
          <w:sz w:val="16"/>
          <w:szCs w:val="16"/>
        </w:rPr>
        <w:t>Машина получила обозначение – «Ер-2ОН» (14900).</w:t>
      </w:r>
    </w:p>
    <w:p w14:paraId="2B6DA41B" w14:textId="77777777" w:rsidR="00623E4A" w:rsidRPr="007224C3" w:rsidRDefault="00623E4A" w:rsidP="007224C3">
      <w:pPr>
        <w:spacing w:after="0" w:line="240" w:lineRule="auto"/>
        <w:jc w:val="both"/>
        <w:rPr>
          <w:rFonts w:ascii="Times New Roman" w:hAnsi="Times New Roman"/>
          <w:color w:val="000000" w:themeColor="text1"/>
          <w:sz w:val="16"/>
          <w:szCs w:val="16"/>
        </w:rPr>
      </w:pPr>
    </w:p>
    <w:p w14:paraId="283D77D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мая 1944 вышел приказ НКАП о разработке Ер-2ОН к августу 1944 и чертежи были направлены на завод в Иркутске. После смерти Ермолаева его коллектив влили в ОКБ П.О.С. Заказали 4, но сделали 3 машины. 2 машины под управлением Алексеева и Коростылева выполнили рекордный полет из Иркутска в Москву (1454,71).</w:t>
      </w:r>
    </w:p>
    <w:p w14:paraId="592BAA1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Это был приказ НКАП N 351сс "О постройке 4-х самолетов Ер-2 2АЧ-30Б в пассажирском варианте"</w:t>
      </w:r>
    </w:p>
    <w:p w14:paraId="7B28B0D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Обязать ГК самолета Ер-2 Ермолаева спроектировать на базе серийного самолета Ер-2 пассажирский вариант со следующими данными:</w:t>
      </w:r>
    </w:p>
    <w:p w14:paraId="6314C6F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дальность техническая на крейсерской скорости 360 км/час (0.85 макс.) на высоте 3000-4000 - 4500 км</w:t>
      </w:r>
    </w:p>
    <w:p w14:paraId="2F22385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макс. скорость на высоте 4000 м - 420 км/час</w:t>
      </w:r>
    </w:p>
    <w:p w14:paraId="4ED935E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число пассажиров - 10 чел.</w:t>
      </w:r>
    </w:p>
    <w:p w14:paraId="7DF6C5B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 экипаж - летчик, 2-й летчик или борт=-механик, радист</w:t>
      </w:r>
    </w:p>
    <w:p w14:paraId="7F0D2BD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Оборудовать кабину пассажиров обогревательным устройством, вентиляцией, кислородным оборудованием и обеспечить макс. удобства для пассажиров</w:t>
      </w:r>
    </w:p>
    <w:p w14:paraId="3758CAA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крыле и оперении установить антиобледенители типа Гудрич</w:t>
      </w:r>
    </w:p>
    <w:p w14:paraId="64641F6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Изготовить макет кабины самолета (л и пассажиров) и представить на утверждение к 15 июля 1944. Чертежи на переделку самолета Ер-2 в пассажирском варианте передать на завод 39 к 15 июня 1944</w:t>
      </w:r>
    </w:p>
    <w:p w14:paraId="701549A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Директору завода 39 Абрамову изготовить по чертежам ГК Ермолаева 4 самолета указанного типа, обеспечив сдачу: 1 - 1 августа, 2 - 10 августа, 3 - 20 августа, 4 - 1 октября (1585,4).</w:t>
      </w:r>
    </w:p>
    <w:p w14:paraId="7BB7249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04ADF8" w14:textId="77777777" w:rsidR="00623E4A" w:rsidRPr="007224C3" w:rsidRDefault="00623E4A" w:rsidP="007224C3">
      <w:pPr>
        <w:shd w:val="clear" w:color="auto" w:fill="FFFFFF"/>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23-го мая 1944 года выходит приказ наркомата авиапромышленности за № 351сс, согласно которому ОКБ В.Г. Ермолаева поручалось проектирование 10-ти местного пассажирского самолета с повышенной комфортностью на базе бомбардировщика Ер-2. Его пассажирский вариант получил обозначение Ер-2ОН («особого назначения»). Самолет предназначался для полетов высшего командного состава Красной Армии и членов правительства СССР на дальние расстояния. С бомбомбардировщика сняли все вооружение, а в центральной части на месте бомбоотсека и фюзеляжных баков устроили пассажирскую кабину, состоящую из двух салонов с тепло и звукоизоляцией, обогревательными устройствами, вентиляцией, кислородным оборудованием и максимальными удобствами для пассажиров. В первом салоне установили шесть мягких кресел, которые располагались по бортам с проходом посередине. Во втором салоне установили три мягких кресла и одно откидное место для стюарда. Здесь же размещалось багажное отделение и туалет. В бортах фюзеляжа прорезали иллюминаторы. Фонарь кабины летчиков удлинили и за ним, для увеличения высоты пассажирской кабины, сделали большой гаргрот. Топливные баки поместили в отсеках крыла (15223).</w:t>
      </w:r>
    </w:p>
    <w:p w14:paraId="1A92E494" w14:textId="77777777" w:rsidR="00623E4A" w:rsidRPr="007224C3" w:rsidRDefault="00623E4A" w:rsidP="007224C3">
      <w:pPr>
        <w:shd w:val="clear" w:color="auto" w:fill="FFFFFF"/>
        <w:spacing w:after="0" w:line="240" w:lineRule="auto"/>
        <w:jc w:val="both"/>
        <w:rPr>
          <w:rFonts w:ascii="Times New Roman" w:hAnsi="Times New Roman"/>
          <w:color w:val="000000" w:themeColor="text1"/>
          <w:sz w:val="16"/>
          <w:szCs w:val="16"/>
        </w:rPr>
      </w:pPr>
    </w:p>
    <w:p w14:paraId="1057C14F" w14:textId="77777777" w:rsidR="00623E4A" w:rsidRPr="007224C3" w:rsidRDefault="00623E4A" w:rsidP="007224C3">
      <w:pPr>
        <w:pStyle w:val="a3"/>
        <w:rPr>
          <w:color w:val="000000" w:themeColor="text1"/>
          <w:lang w:val="ru-RU"/>
        </w:rPr>
      </w:pPr>
      <w:r w:rsidRPr="007224C3">
        <w:rPr>
          <w:color w:val="000000" w:themeColor="text1"/>
          <w:lang w:val="ru-RU"/>
        </w:rPr>
        <w:t>23 мая 1944 г. в соответствии с приказом НКАП № 351 главный конструктор завода № 134 В.Г. Ермолаев получил задание на проектирование самолёта «Осо</w:t>
      </w:r>
      <w:r w:rsidRPr="007224C3">
        <w:rPr>
          <w:color w:val="000000" w:themeColor="text1"/>
          <w:lang w:val="ru-RU"/>
        </w:rPr>
        <w:softHyphen/>
        <w:t xml:space="preserve">бого </w:t>
      </w:r>
      <w:r w:rsidRPr="007224C3">
        <w:rPr>
          <w:color w:val="000000" w:themeColor="text1"/>
          <w:lang w:val="ru-RU"/>
        </w:rPr>
        <w:lastRenderedPageBreak/>
        <w:t>назначения», представляю</w:t>
      </w:r>
      <w:r w:rsidRPr="007224C3">
        <w:rPr>
          <w:color w:val="000000" w:themeColor="text1"/>
          <w:lang w:val="ru-RU"/>
        </w:rPr>
        <w:softHyphen/>
        <w:t>щего собой комфортабельный пассажирский вариант бомбар</w:t>
      </w:r>
      <w:r w:rsidRPr="007224C3">
        <w:rPr>
          <w:color w:val="000000" w:themeColor="text1"/>
          <w:lang w:val="ru-RU"/>
        </w:rPr>
        <w:softHyphen/>
        <w:t>дировщика Ер-2. Постройка че</w:t>
      </w:r>
      <w:r w:rsidRPr="007224C3">
        <w:rPr>
          <w:color w:val="000000" w:themeColor="text1"/>
          <w:lang w:val="ru-RU"/>
        </w:rPr>
        <w:softHyphen/>
        <w:t>тырёх экземпляров Ер-20Н пла</w:t>
      </w:r>
      <w:r w:rsidRPr="007224C3">
        <w:rPr>
          <w:color w:val="000000" w:themeColor="text1"/>
          <w:lang w:val="ru-RU"/>
        </w:rPr>
        <w:softHyphen/>
        <w:t>нировалась на заводе № 39 в Ир- кутстке, с окончанием постройки головного экземпляра к 1 ноября 1944 г. (15810).</w:t>
      </w:r>
    </w:p>
    <w:p w14:paraId="119FA861" w14:textId="77777777" w:rsidR="00623E4A" w:rsidRPr="007224C3" w:rsidRDefault="00623E4A" w:rsidP="007224C3">
      <w:pPr>
        <w:pStyle w:val="a3"/>
        <w:rPr>
          <w:color w:val="000000" w:themeColor="text1"/>
          <w:lang w:val="ru-RU"/>
        </w:rPr>
      </w:pPr>
    </w:p>
    <w:p w14:paraId="350B38F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23 мая по 11 июля 1944 в рамках второго этапа гос. испытаний Як-9Б (заводской индекс - Як-9Л) с ВК-105ПФ и 4хФАБ-100 или 128 ПТАБ-2,5-1,5 машину испытывали на устойчивость и управляемость. Летали многие, в т.ч. А.Г.Прошаков, Ю.А.Антипов, А.Г.Кубышкин, а ви был А.Т.Степанец (65,135).</w:t>
      </w:r>
    </w:p>
    <w:p w14:paraId="0A94A67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C2AAB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мая 1944 во втором полете Як-9 с М-105ПД произошла раскрутка винта (1824).</w:t>
      </w:r>
    </w:p>
    <w:p w14:paraId="5E1C5B5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0E8F42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мая 1941 состоялся контрольный полет, в котором на высоте 4000 мт резко упало давление масла в моторе. После посадки произведен осмотр самолета и масляной системы, обнаруживший наличие стружки в маслофильтре.Мотор подлежит замене (1825).</w:t>
      </w:r>
    </w:p>
    <w:p w14:paraId="03EBEE1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1A95D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мая 1944 года зам. начальника 7-го гл. управления Алексеев писал письмо Шахурину.</w:t>
      </w:r>
    </w:p>
    <w:p w14:paraId="4FF447F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Сводка о ходе испытаний высотных самолетов на 22 мая 1944 года.</w:t>
      </w:r>
    </w:p>
    <w:p w14:paraId="697A836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Высотный истребитель Як-9 с М-105ПД</w:t>
      </w:r>
    </w:p>
    <w:p w14:paraId="1C10690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Проходит летные испытания в ЛИИ НКАП. Испытания проводит летчик-испытатель ЛИИ Юганов.</w:t>
      </w:r>
    </w:p>
    <w:p w14:paraId="3C9909A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октября 1943 года на самолете была достигнута предельная высота 13000 м. после этого полета на самолете произведены переделки, в основном в части облегчения самолета и усовершенствования системы охлаждения воды и масла. В результате проведенных работ полетный вес самолета уменьшился с 2745 кг до 2650 кг. На самолете установлены: диффузор и сепаратор в водяной системе, впрыск воды в цилиндры мотора, облегченный водорадиатор и новые туннели с облагороженным входом.</w:t>
      </w:r>
    </w:p>
    <w:p w14:paraId="56133D2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Испытания после доводок начаты 27 апреля с.г. и по 22 мая совершены 6 полетов, из них один на высоту 10000 м и один полет на высоту 11000 м.</w:t>
      </w:r>
    </w:p>
    <w:p w14:paraId="3B1DEEF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полетах обнаружены высокие температуры воды и масла. После полета на 11000 м обнаружена течь воды из блока мотора. После замены блока 21 мая состоялся контрольный полет, в котором выявилась плохая работа РПД и системы зажигания. 22 мая производилась замена РПД и проверка зажигания.</w:t>
      </w:r>
    </w:p>
    <w:p w14:paraId="06644B0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Высотный истребитель Ла-5 с АШ-82ФН и 2 ТК-3.</w:t>
      </w:r>
    </w:p>
    <w:p w14:paraId="509E025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2-й экземпляр самолета с увеличенной площадью крыла.</w:t>
      </w:r>
    </w:p>
    <w:p w14:paraId="58CD689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Проходит летные испытания на заводе N 21 в г. Горьком.</w:t>
      </w:r>
    </w:p>
    <w:p w14:paraId="5B31B17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Испытания проводит летчик-испытатель ЛИИ Шиянов.</w:t>
      </w:r>
    </w:p>
    <w:p w14:paraId="1C72B2F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Летные испытания начаты 17 марта с.г., произведено 7 полетов.</w:t>
      </w:r>
    </w:p>
    <w:p w14:paraId="7748B48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полетах наблюдалась ненормальная температура головок цилиндров, доходившая до 240-260 градусов на высотах более 2000 м, а также ряд дефектов в работе бензиновой и масляной помп, а также системы зажигания. С высоты 5000 м падало давление бензина, а также начиналось сильное дымление из ТК. Дым попадал в кабину пилота, что заставляло прекращать полеты. Для принятия мер по устранению дефектов агрегатов мотора, сообщено 8 гл. управлению.</w:t>
      </w:r>
    </w:p>
    <w:p w14:paraId="3B42701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настоящее время производится замена правого ТК и устранение обнаруженных в полетах дефектов, путем улучшения дефлектирования головок цилиндров, а также проверка всей бензо и масло системы.</w:t>
      </w:r>
    </w:p>
    <w:p w14:paraId="7ED3F70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Высотный истребитель МИГ с мотором АМ-39Б и 2ТК-2Б.</w:t>
      </w:r>
    </w:p>
    <w:p w14:paraId="24B9AAD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Проходит заводские испытания с 7 мая с.г.</w:t>
      </w:r>
    </w:p>
    <w:p w14:paraId="01DC543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Испытания проводит летчик-испытатель ЛИИ Якимов А.П.</w:t>
      </w:r>
    </w:p>
    <w:p w14:paraId="7C97DF2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7 мая по 20 мая с.г. произведено пять полетов для отработки винтомоторной группы с ТК.</w:t>
      </w:r>
    </w:p>
    <w:p w14:paraId="6959C4B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этих полетах была достигнута максимальная высота 7200 м.</w:t>
      </w:r>
    </w:p>
    <w:p w14:paraId="33DBE17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полетах обнаружены следующие дефекты:</w:t>
      </w:r>
    </w:p>
    <w:p w14:paraId="1565754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Большое сопротивление воздуховоздушного радиатора, доходящее до 180-200 мм рт. ст.</w:t>
      </w:r>
    </w:p>
    <w:p w14:paraId="7051504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Течь в манжетах соединения воздушного радиатора с патрубками мотора и нагнетателя.</w:t>
      </w:r>
    </w:p>
    <w:p w14:paraId="7A82918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Отсутствие высотности на 1-й скорости нагнетателя без включения ТК. При взлете Ра было =1050 мм вместо 1200 мм рт. ст.</w:t>
      </w:r>
    </w:p>
    <w:p w14:paraId="7E16F0E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Отсутствие высотности на 2-й скорости нагнетателя. Ра падает с высоты 1700 м несмотря на переключение мотора на 2-ю скорость.</w:t>
      </w:r>
    </w:p>
    <w:p w14:paraId="512441D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восстановления высотности, с 21 мая на самолете устанавливается новый улучшенный воздухо-воздушный радиатор, дающий меньшее сопротивление при проходе воздуха. В производстве изготавливаются новые узлы крепления радиатора и производится переделка воздухопровода в связи с установкой новых радиаторов.</w:t>
      </w:r>
    </w:p>
    <w:p w14:paraId="76FF3F1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Окончание этих работ намечено на 25 мая с.г. (1825).</w:t>
      </w:r>
    </w:p>
    <w:p w14:paraId="3924D2C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B668A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мая 1944 г. по приказу НКАП № 19 по решению СНК № 10920-р от 19.05.1944 г. бывшая мебельная фабрика возвращена обратно в ведение ХозУ СНК СССР. В 1943 г. заводу № 381 в качестве филиала № 2 передана Мебельная фабрика Управления делами СНК СССР для изготовления оперения, деревянных узлов фюзеляжа Ла-5 (Филиал № 2 завода № 381 НКАП /г. Москва Наставнический пер., 3/) (возможно, это переданный по приказу № 743с от 11.12.1943 г. филиал завода № 464 НКАП) (11982).</w:t>
      </w:r>
    </w:p>
    <w:p w14:paraId="74DA3C30" w14:textId="77777777" w:rsidR="00623E4A" w:rsidRPr="007224C3" w:rsidRDefault="00623E4A" w:rsidP="007224C3">
      <w:pPr>
        <w:autoSpaceDE w:val="0"/>
        <w:autoSpaceDN w:val="0"/>
        <w:adjustRightInd w:val="0"/>
        <w:spacing w:after="0" w:line="240" w:lineRule="auto"/>
        <w:jc w:val="both"/>
        <w:rPr>
          <w:rFonts w:ascii="Times New Roman" w:hAnsi="Times New Roman"/>
          <w:color w:val="000000" w:themeColor="text1"/>
          <w:sz w:val="16"/>
          <w:szCs w:val="16"/>
        </w:rPr>
      </w:pPr>
    </w:p>
    <w:p w14:paraId="7343F5F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мая 1944 г. в постанов</w:t>
      </w:r>
      <w:r w:rsidRPr="007224C3">
        <w:rPr>
          <w:rFonts w:ascii="Times New Roman" w:hAnsi="Times New Roman"/>
          <w:color w:val="000000" w:themeColor="text1"/>
          <w:sz w:val="16"/>
          <w:szCs w:val="16"/>
        </w:rPr>
        <w:softHyphen/>
        <w:t>лении ГКО № 6245 от приложение № 32, п. 32, роль авиапромышленности в приборостроении описывалась достаточно чётко: «НКАП является основным поставщиком промышленных электроизмерительных приборов для всех отраслей народного хозяйства» (РГАЭ. Ф. 4372. Оп. 44. Д. 691. Л. 107.).</w:t>
      </w:r>
    </w:p>
    <w:p w14:paraId="11411B85" w14:textId="77777777" w:rsidR="00595BFB" w:rsidRPr="007224C3" w:rsidRDefault="00595BFB" w:rsidP="007224C3">
      <w:pPr>
        <w:tabs>
          <w:tab w:val="left" w:pos="416"/>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Более того, периодически НКАП был вынужден «сожа</w:t>
      </w:r>
      <w:r w:rsidRPr="007224C3">
        <w:rPr>
          <w:rFonts w:ascii="Times New Roman" w:hAnsi="Times New Roman"/>
          <w:color w:val="000000" w:themeColor="text1"/>
          <w:sz w:val="16"/>
          <w:szCs w:val="16"/>
        </w:rPr>
        <w:softHyphen/>
        <w:t>леть» о своей уступчивости и просить о снижении плана сторонних поставок. Так, в 1943 г., ввиду явной неспособ</w:t>
      </w:r>
      <w:r w:rsidRPr="007224C3">
        <w:rPr>
          <w:rFonts w:ascii="Times New Roman" w:hAnsi="Times New Roman"/>
          <w:color w:val="000000" w:themeColor="text1"/>
          <w:sz w:val="16"/>
          <w:szCs w:val="16"/>
        </w:rPr>
        <w:softHyphen/>
        <w:t>ности Наркомата электропромышленности осилить план по выпуску радиоумформеров, необходимых в том числе и для оснащения авиарадиостанций, авиазавод № 266 освоил вы</w:t>
      </w:r>
      <w:r w:rsidRPr="007224C3">
        <w:rPr>
          <w:rFonts w:ascii="Times New Roman" w:hAnsi="Times New Roman"/>
          <w:color w:val="000000" w:themeColor="text1"/>
          <w:sz w:val="16"/>
          <w:szCs w:val="16"/>
        </w:rPr>
        <w:softHyphen/>
        <w:t>пуск этих устройств. Обрадованный таким поворотом дел, Госплан назначил на 1944 г. заводу № 266 плановое задание в 170 тыс. радиоумформеров. Возмущённый нарком авиапро</w:t>
      </w:r>
      <w:r w:rsidRPr="007224C3">
        <w:rPr>
          <w:rFonts w:ascii="Times New Roman" w:hAnsi="Times New Roman"/>
          <w:color w:val="000000" w:themeColor="text1"/>
          <w:sz w:val="16"/>
          <w:szCs w:val="16"/>
        </w:rPr>
        <w:softHyphen/>
        <w:t>мышленности писал в СНК о том, что указанное предприятие и без того перегружено выпуском жизненно важных для авиа</w:t>
      </w:r>
      <w:r w:rsidRPr="007224C3">
        <w:rPr>
          <w:rFonts w:ascii="Times New Roman" w:hAnsi="Times New Roman"/>
          <w:color w:val="000000" w:themeColor="text1"/>
          <w:sz w:val="16"/>
          <w:szCs w:val="16"/>
        </w:rPr>
        <w:softHyphen/>
        <w:t>производства магнетоэлектрогенераторов, устройств дистан</w:t>
      </w:r>
      <w:r w:rsidRPr="007224C3">
        <w:rPr>
          <w:rFonts w:ascii="Times New Roman" w:hAnsi="Times New Roman"/>
          <w:color w:val="000000" w:themeColor="text1"/>
          <w:sz w:val="16"/>
          <w:szCs w:val="16"/>
        </w:rPr>
        <w:softHyphen/>
        <w:t>ционного управления и прочим электрооборудованием, и не может отвлекаться на выполенение функций НКЭП. Впрочем, понимая, что «коготок увяз», НКАП не отказывался от выпу</w:t>
      </w:r>
      <w:r w:rsidRPr="007224C3">
        <w:rPr>
          <w:rFonts w:ascii="Times New Roman" w:hAnsi="Times New Roman"/>
          <w:color w:val="000000" w:themeColor="text1"/>
          <w:sz w:val="16"/>
          <w:szCs w:val="16"/>
        </w:rPr>
        <w:softHyphen/>
        <w:t>ска радиоумформеров вовсе, а предлагал лишь сократить пла</w:t>
      </w:r>
      <w:r w:rsidRPr="007224C3">
        <w:rPr>
          <w:rFonts w:ascii="Times New Roman" w:hAnsi="Times New Roman"/>
          <w:color w:val="000000" w:themeColor="text1"/>
          <w:sz w:val="16"/>
          <w:szCs w:val="16"/>
        </w:rPr>
        <w:softHyphen/>
        <w:t>новое задание до 130 тыс., из которых 115 тыс. должны были быть переданы НКЭП. Заводские электростанции авиазаво</w:t>
      </w:r>
      <w:r w:rsidRPr="007224C3">
        <w:rPr>
          <w:rFonts w:ascii="Times New Roman" w:hAnsi="Times New Roman"/>
          <w:color w:val="000000" w:themeColor="text1"/>
          <w:sz w:val="16"/>
          <w:szCs w:val="16"/>
        </w:rPr>
        <w:softHyphen/>
        <w:t>дов получали плановые задания на поставку электроэнергии в общесоюзную сеть, причём НКАП также периодически хо</w:t>
      </w:r>
      <w:r w:rsidRPr="007224C3">
        <w:rPr>
          <w:rFonts w:ascii="Times New Roman" w:hAnsi="Times New Roman"/>
          <w:color w:val="000000" w:themeColor="text1"/>
          <w:sz w:val="16"/>
          <w:szCs w:val="16"/>
        </w:rPr>
        <w:softHyphen/>
        <w:t>датайствовал о снижении подобных поставок.</w:t>
      </w:r>
    </w:p>
    <w:p w14:paraId="09C975B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Впрочем, «гражданское» производство для НКАП воен</w:t>
      </w:r>
      <w:r w:rsidRPr="007224C3">
        <w:rPr>
          <w:rFonts w:ascii="Times New Roman" w:hAnsi="Times New Roman"/>
          <w:color w:val="000000" w:themeColor="text1"/>
          <w:sz w:val="16"/>
          <w:szCs w:val="16"/>
        </w:rPr>
        <w:softHyphen/>
        <w:t>ной поры явно не было превалирующим.</w:t>
      </w:r>
    </w:p>
    <w:p w14:paraId="10B6A4E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Валовая «гражданская» и «военная» продукция НКАП (в млн руб. в ценах 1926/27)</w:t>
      </w:r>
    </w:p>
    <w:tbl>
      <w:tblPr>
        <w:tblW w:w="0" w:type="auto"/>
        <w:tblInd w:w="8" w:type="dxa"/>
        <w:tblLayout w:type="fixed"/>
        <w:tblCellMar>
          <w:left w:w="0" w:type="dxa"/>
          <w:right w:w="0" w:type="dxa"/>
        </w:tblCellMar>
        <w:tblLook w:val="0000" w:firstRow="0" w:lastRow="0" w:firstColumn="0" w:lastColumn="0" w:noHBand="0" w:noVBand="0"/>
      </w:tblPr>
      <w:tblGrid>
        <w:gridCol w:w="1200"/>
        <w:gridCol w:w="1186"/>
        <w:gridCol w:w="1186"/>
        <w:gridCol w:w="1190"/>
        <w:gridCol w:w="1195"/>
      </w:tblGrid>
      <w:tr w:rsidR="005106D0" w:rsidRPr="007224C3" w14:paraId="13CFA7FC" w14:textId="77777777">
        <w:trPr>
          <w:trHeight w:val="240"/>
        </w:trPr>
        <w:tc>
          <w:tcPr>
            <w:tcW w:w="1200" w:type="dxa"/>
            <w:tcBorders>
              <w:top w:val="single" w:sz="6" w:space="0" w:color="auto"/>
              <w:left w:val="single" w:sz="6" w:space="0" w:color="auto"/>
              <w:bottom w:val="single" w:sz="6" w:space="0" w:color="auto"/>
              <w:right w:val="single" w:sz="6" w:space="0" w:color="auto"/>
            </w:tcBorders>
            <w:shd w:val="clear" w:color="auto" w:fill="FFFFFF"/>
          </w:tcPr>
          <w:p w14:paraId="49E0480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186" w:type="dxa"/>
            <w:tcBorders>
              <w:top w:val="single" w:sz="6" w:space="0" w:color="auto"/>
              <w:left w:val="single" w:sz="6" w:space="0" w:color="auto"/>
              <w:bottom w:val="single" w:sz="6" w:space="0" w:color="auto"/>
              <w:right w:val="single" w:sz="6" w:space="0" w:color="auto"/>
            </w:tcBorders>
            <w:shd w:val="clear" w:color="auto" w:fill="FFFFFF"/>
          </w:tcPr>
          <w:p w14:paraId="3C38B4F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1940 г.</w:t>
            </w:r>
          </w:p>
        </w:tc>
        <w:tc>
          <w:tcPr>
            <w:tcW w:w="1186" w:type="dxa"/>
            <w:tcBorders>
              <w:top w:val="single" w:sz="6" w:space="0" w:color="auto"/>
              <w:left w:val="single" w:sz="6" w:space="0" w:color="auto"/>
              <w:bottom w:val="single" w:sz="6" w:space="0" w:color="auto"/>
              <w:right w:val="single" w:sz="6" w:space="0" w:color="auto"/>
            </w:tcBorders>
            <w:shd w:val="clear" w:color="auto" w:fill="FFFFFF"/>
          </w:tcPr>
          <w:p w14:paraId="668297C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1942 г.</w:t>
            </w:r>
          </w:p>
        </w:tc>
        <w:tc>
          <w:tcPr>
            <w:tcW w:w="1190" w:type="dxa"/>
            <w:tcBorders>
              <w:top w:val="single" w:sz="6" w:space="0" w:color="auto"/>
              <w:left w:val="single" w:sz="6" w:space="0" w:color="auto"/>
              <w:bottom w:val="single" w:sz="6" w:space="0" w:color="auto"/>
              <w:right w:val="single" w:sz="6" w:space="0" w:color="auto"/>
            </w:tcBorders>
            <w:shd w:val="clear" w:color="auto" w:fill="FFFFFF"/>
          </w:tcPr>
          <w:p w14:paraId="3B05B4C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1944 г.</w:t>
            </w:r>
          </w:p>
        </w:tc>
        <w:tc>
          <w:tcPr>
            <w:tcW w:w="1195" w:type="dxa"/>
            <w:tcBorders>
              <w:top w:val="single" w:sz="6" w:space="0" w:color="auto"/>
              <w:left w:val="single" w:sz="6" w:space="0" w:color="auto"/>
              <w:bottom w:val="single" w:sz="6" w:space="0" w:color="auto"/>
              <w:right w:val="single" w:sz="6" w:space="0" w:color="auto"/>
            </w:tcBorders>
            <w:shd w:val="clear" w:color="auto" w:fill="FFFFFF"/>
          </w:tcPr>
          <w:p w14:paraId="64F4864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1945г.</w:t>
            </w:r>
          </w:p>
        </w:tc>
      </w:tr>
      <w:tr w:rsidR="005106D0" w:rsidRPr="007224C3" w14:paraId="32A08594" w14:textId="77777777">
        <w:trPr>
          <w:trHeight w:val="221"/>
        </w:trPr>
        <w:tc>
          <w:tcPr>
            <w:tcW w:w="1200" w:type="dxa"/>
            <w:tcBorders>
              <w:top w:val="single" w:sz="6" w:space="0" w:color="auto"/>
              <w:left w:val="single" w:sz="6" w:space="0" w:color="auto"/>
              <w:bottom w:val="single" w:sz="6" w:space="0" w:color="auto"/>
              <w:right w:val="single" w:sz="6" w:space="0" w:color="auto"/>
            </w:tcBorders>
            <w:shd w:val="clear" w:color="auto" w:fill="FFFFFF"/>
          </w:tcPr>
          <w:p w14:paraId="206C3AC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НКАП—всего</w:t>
            </w:r>
          </w:p>
        </w:tc>
        <w:tc>
          <w:tcPr>
            <w:tcW w:w="1186" w:type="dxa"/>
            <w:tcBorders>
              <w:top w:val="single" w:sz="6" w:space="0" w:color="auto"/>
              <w:left w:val="single" w:sz="6" w:space="0" w:color="auto"/>
              <w:bottom w:val="single" w:sz="6" w:space="0" w:color="auto"/>
              <w:right w:val="single" w:sz="6" w:space="0" w:color="auto"/>
            </w:tcBorders>
            <w:shd w:val="clear" w:color="auto" w:fill="FFFFFF"/>
          </w:tcPr>
          <w:p w14:paraId="7316A72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6583</w:t>
            </w:r>
          </w:p>
        </w:tc>
        <w:tc>
          <w:tcPr>
            <w:tcW w:w="1186" w:type="dxa"/>
            <w:tcBorders>
              <w:top w:val="single" w:sz="6" w:space="0" w:color="auto"/>
              <w:left w:val="single" w:sz="6" w:space="0" w:color="auto"/>
              <w:bottom w:val="single" w:sz="6" w:space="0" w:color="auto"/>
              <w:right w:val="single" w:sz="6" w:space="0" w:color="auto"/>
            </w:tcBorders>
            <w:shd w:val="clear" w:color="auto" w:fill="FFFFFF"/>
          </w:tcPr>
          <w:p w14:paraId="4718318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11985</w:t>
            </w:r>
          </w:p>
        </w:tc>
        <w:tc>
          <w:tcPr>
            <w:tcW w:w="1190" w:type="dxa"/>
            <w:tcBorders>
              <w:top w:val="single" w:sz="6" w:space="0" w:color="auto"/>
              <w:left w:val="single" w:sz="6" w:space="0" w:color="auto"/>
              <w:bottom w:val="single" w:sz="6" w:space="0" w:color="auto"/>
              <w:right w:val="single" w:sz="6" w:space="0" w:color="auto"/>
            </w:tcBorders>
            <w:shd w:val="clear" w:color="auto" w:fill="FFFFFF"/>
          </w:tcPr>
          <w:p w14:paraId="062FF8B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16436</w:t>
            </w:r>
          </w:p>
        </w:tc>
        <w:tc>
          <w:tcPr>
            <w:tcW w:w="1195" w:type="dxa"/>
            <w:tcBorders>
              <w:top w:val="single" w:sz="6" w:space="0" w:color="auto"/>
              <w:left w:val="single" w:sz="6" w:space="0" w:color="auto"/>
              <w:bottom w:val="single" w:sz="6" w:space="0" w:color="auto"/>
              <w:right w:val="single" w:sz="6" w:space="0" w:color="auto"/>
            </w:tcBorders>
            <w:shd w:val="clear" w:color="auto" w:fill="FFFFFF"/>
          </w:tcPr>
          <w:p w14:paraId="7964FF3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13000</w:t>
            </w:r>
          </w:p>
        </w:tc>
      </w:tr>
      <w:tr w:rsidR="005106D0" w:rsidRPr="007224C3" w14:paraId="160E4BA0" w14:textId="77777777">
        <w:trPr>
          <w:trHeight w:val="413"/>
        </w:trPr>
        <w:tc>
          <w:tcPr>
            <w:tcW w:w="1200" w:type="dxa"/>
            <w:tcBorders>
              <w:top w:val="single" w:sz="6" w:space="0" w:color="auto"/>
              <w:left w:val="single" w:sz="6" w:space="0" w:color="auto"/>
              <w:bottom w:val="single" w:sz="6" w:space="0" w:color="auto"/>
              <w:right w:val="single" w:sz="6" w:space="0" w:color="auto"/>
            </w:tcBorders>
            <w:shd w:val="clear" w:color="auto" w:fill="FFFFFF"/>
          </w:tcPr>
          <w:p w14:paraId="53313E1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«гражданская» продукция</w:t>
            </w:r>
          </w:p>
        </w:tc>
        <w:tc>
          <w:tcPr>
            <w:tcW w:w="1186" w:type="dxa"/>
            <w:tcBorders>
              <w:top w:val="single" w:sz="6" w:space="0" w:color="auto"/>
              <w:left w:val="single" w:sz="6" w:space="0" w:color="auto"/>
              <w:bottom w:val="single" w:sz="6" w:space="0" w:color="auto"/>
              <w:right w:val="single" w:sz="6" w:space="0" w:color="auto"/>
            </w:tcBorders>
            <w:shd w:val="clear" w:color="auto" w:fill="FFFFFF"/>
          </w:tcPr>
          <w:p w14:paraId="232771C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1240(19)'</w:t>
            </w:r>
          </w:p>
        </w:tc>
        <w:tc>
          <w:tcPr>
            <w:tcW w:w="1186" w:type="dxa"/>
            <w:tcBorders>
              <w:top w:val="single" w:sz="6" w:space="0" w:color="auto"/>
              <w:left w:val="single" w:sz="6" w:space="0" w:color="auto"/>
              <w:bottom w:val="single" w:sz="6" w:space="0" w:color="auto"/>
              <w:right w:val="single" w:sz="6" w:space="0" w:color="auto"/>
            </w:tcBorders>
            <w:shd w:val="clear" w:color="auto" w:fill="FFFFFF"/>
          </w:tcPr>
          <w:p w14:paraId="3B44204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966(8)</w:t>
            </w:r>
          </w:p>
        </w:tc>
        <w:tc>
          <w:tcPr>
            <w:tcW w:w="1190" w:type="dxa"/>
            <w:tcBorders>
              <w:top w:val="single" w:sz="6" w:space="0" w:color="auto"/>
              <w:left w:val="single" w:sz="6" w:space="0" w:color="auto"/>
              <w:bottom w:val="single" w:sz="6" w:space="0" w:color="auto"/>
              <w:right w:val="single" w:sz="6" w:space="0" w:color="auto"/>
            </w:tcBorders>
            <w:shd w:val="clear" w:color="auto" w:fill="FFFFFF"/>
          </w:tcPr>
          <w:p w14:paraId="3F9726D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1180(7)</w:t>
            </w:r>
          </w:p>
        </w:tc>
        <w:tc>
          <w:tcPr>
            <w:tcW w:w="1195" w:type="dxa"/>
            <w:tcBorders>
              <w:top w:val="single" w:sz="6" w:space="0" w:color="auto"/>
              <w:left w:val="single" w:sz="6" w:space="0" w:color="auto"/>
              <w:bottom w:val="single" w:sz="6" w:space="0" w:color="auto"/>
              <w:right w:val="single" w:sz="6" w:space="0" w:color="auto"/>
            </w:tcBorders>
            <w:shd w:val="clear" w:color="auto" w:fill="FFFFFF"/>
          </w:tcPr>
          <w:p w14:paraId="24BA319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1500(11,5)</w:t>
            </w:r>
          </w:p>
        </w:tc>
      </w:tr>
      <w:tr w:rsidR="005106D0" w:rsidRPr="007224C3" w14:paraId="0D098072" w14:textId="77777777">
        <w:trPr>
          <w:trHeight w:val="432"/>
        </w:trPr>
        <w:tc>
          <w:tcPr>
            <w:tcW w:w="1200" w:type="dxa"/>
            <w:tcBorders>
              <w:top w:val="single" w:sz="6" w:space="0" w:color="auto"/>
              <w:left w:val="single" w:sz="6" w:space="0" w:color="auto"/>
              <w:bottom w:val="single" w:sz="6" w:space="0" w:color="auto"/>
              <w:right w:val="single" w:sz="6" w:space="0" w:color="auto"/>
            </w:tcBorders>
            <w:shd w:val="clear" w:color="auto" w:fill="FFFFFF"/>
          </w:tcPr>
          <w:p w14:paraId="3D77E8B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«военная» продукция</w:t>
            </w:r>
          </w:p>
        </w:tc>
        <w:tc>
          <w:tcPr>
            <w:tcW w:w="1186" w:type="dxa"/>
            <w:tcBorders>
              <w:top w:val="single" w:sz="6" w:space="0" w:color="auto"/>
              <w:left w:val="single" w:sz="6" w:space="0" w:color="auto"/>
              <w:bottom w:val="single" w:sz="6" w:space="0" w:color="auto"/>
              <w:right w:val="single" w:sz="6" w:space="0" w:color="auto"/>
            </w:tcBorders>
            <w:shd w:val="clear" w:color="auto" w:fill="FFFFFF"/>
          </w:tcPr>
          <w:p w14:paraId="3C27285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5343</w:t>
            </w:r>
          </w:p>
        </w:tc>
        <w:tc>
          <w:tcPr>
            <w:tcW w:w="1186" w:type="dxa"/>
            <w:tcBorders>
              <w:top w:val="single" w:sz="6" w:space="0" w:color="auto"/>
              <w:left w:val="single" w:sz="6" w:space="0" w:color="auto"/>
              <w:bottom w:val="single" w:sz="6" w:space="0" w:color="auto"/>
              <w:right w:val="single" w:sz="6" w:space="0" w:color="auto"/>
            </w:tcBorders>
            <w:shd w:val="clear" w:color="auto" w:fill="FFFFFF"/>
          </w:tcPr>
          <w:p w14:paraId="4543817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11019</w:t>
            </w:r>
          </w:p>
        </w:tc>
        <w:tc>
          <w:tcPr>
            <w:tcW w:w="1190" w:type="dxa"/>
            <w:tcBorders>
              <w:top w:val="single" w:sz="6" w:space="0" w:color="auto"/>
              <w:left w:val="single" w:sz="6" w:space="0" w:color="auto"/>
              <w:bottom w:val="single" w:sz="6" w:space="0" w:color="auto"/>
              <w:right w:val="single" w:sz="6" w:space="0" w:color="auto"/>
            </w:tcBorders>
            <w:shd w:val="clear" w:color="auto" w:fill="FFFFFF"/>
          </w:tcPr>
          <w:p w14:paraId="49CAE01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15256</w:t>
            </w:r>
          </w:p>
        </w:tc>
        <w:tc>
          <w:tcPr>
            <w:tcW w:w="1195" w:type="dxa"/>
            <w:tcBorders>
              <w:top w:val="single" w:sz="6" w:space="0" w:color="auto"/>
              <w:left w:val="single" w:sz="6" w:space="0" w:color="auto"/>
              <w:bottom w:val="single" w:sz="6" w:space="0" w:color="auto"/>
              <w:right w:val="single" w:sz="6" w:space="0" w:color="auto"/>
            </w:tcBorders>
            <w:shd w:val="clear" w:color="auto" w:fill="FFFFFF"/>
          </w:tcPr>
          <w:p w14:paraId="0702AF3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11500</w:t>
            </w:r>
          </w:p>
        </w:tc>
      </w:tr>
    </w:tbl>
    <w:p w14:paraId="40913B4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Для нагаадности в скобках приводится удельный вес (в %) «гражданского» про</w:t>
      </w:r>
      <w:r w:rsidRPr="007224C3">
        <w:rPr>
          <w:rFonts w:ascii="Times New Roman" w:hAnsi="Times New Roman"/>
          <w:color w:val="000000" w:themeColor="text1"/>
          <w:sz w:val="16"/>
          <w:szCs w:val="16"/>
        </w:rPr>
        <w:softHyphen/>
        <w:t>изводства в конкретный год.</w:t>
      </w:r>
    </w:p>
    <w:p w14:paraId="1E9AFC0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Как видно из таблицы, даже в 1945 г. удельный вес нево</w:t>
      </w:r>
      <w:r w:rsidRPr="007224C3">
        <w:rPr>
          <w:rFonts w:ascii="Times New Roman" w:hAnsi="Times New Roman"/>
          <w:color w:val="000000" w:themeColor="text1"/>
          <w:sz w:val="16"/>
          <w:szCs w:val="16"/>
        </w:rPr>
        <w:softHyphen/>
        <w:t>енного производства авиапромышленности был практически вдвое меньше довоенной отметки (12011).</w:t>
      </w:r>
    </w:p>
    <w:p w14:paraId="3AC3D3C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5A0C327"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036B6FA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BA84F1C" w14:textId="77777777" w:rsidR="00701987" w:rsidRPr="007224C3" w:rsidRDefault="0070198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мая 1944 началиси закончились 20 июня 1944 Заводские испытания ИСУ-122-2. За это время машина прошла ещё 225 км. Выяснилось, что за счёт снижения массы орудия и переноса цапф артсистемы назад улучшились характеристики проходимости и езды. Максимальная скорость выросла с 32-35 до 34-37 км/ч, также чуть снизилось удельное давление на грунт. Плюсом установки Д-25с стало увеличение объёма боевого отделения. Что же касается огневых испытаний, то они прошли не без проблем. Дело в том, что имелись трудности с экстракцией гильз, а расчёт оказался неподготовленным. Несмотря на все выявившиеся проблемы, ИСУ-122-2 признали выдержавшей испытания.</w:t>
      </w:r>
    </w:p>
    <w:p w14:paraId="12EFCA67" w14:textId="77777777" w:rsidR="00701987" w:rsidRPr="007224C3" w:rsidRDefault="0070198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Следующим этапом стали испытания на Гороховецком АНИОП. Программу испытаний подписали ещё 16 мая, но ввиду задержки с системой прошли они позже — с 2 по 7 июля 1944 года. Всего за время испытаний было произведено 446 выстрелов, из них 252 — усиленным зарядом. В целом испытания проходили успешно, но на 370-м выстреле произошёл самоспуск. Имелись претензии к прицелу и замкам боеукладок, а обзорность из приборов наблюдения посчитали недостаточной. Вместе с тем самоходка показала несомненные преимущества по сравнению с ИСУ-122. Помимо более просторного боевого отделения отмечалась более высокая </w:t>
      </w:r>
      <w:r w:rsidRPr="007224C3">
        <w:rPr>
          <w:rFonts w:ascii="Times New Roman" w:hAnsi="Times New Roman"/>
          <w:color w:val="000000" w:themeColor="text1"/>
          <w:sz w:val="16"/>
          <w:szCs w:val="16"/>
        </w:rPr>
        <w:lastRenderedPageBreak/>
        <w:t>скорострельность. Прицельная скорострельность с места достигла 3-4 выстрелов в минуту, а максимальная — 5-6 выстрелов в минуту. Скорострельность с хода достигла 3-4 выстрелов в минуту. Кучность не отличалась от А-19, вполне эффективной признали и стрельбу по движущимся целям. Вердикт комиссии оказался следующим: после устранения отмеченных недостатков ИСУ-122 с системой Д-25с целесообразно запускать в серийное производство (18335).</w:t>
      </w:r>
    </w:p>
    <w:p w14:paraId="1434941B" w14:textId="77777777" w:rsidR="00701987" w:rsidRPr="007224C3" w:rsidRDefault="00701987" w:rsidP="007224C3">
      <w:pPr>
        <w:spacing w:after="0" w:line="240" w:lineRule="auto"/>
        <w:jc w:val="both"/>
        <w:rPr>
          <w:rFonts w:ascii="Times New Roman" w:hAnsi="Times New Roman"/>
          <w:color w:val="000000" w:themeColor="text1"/>
          <w:sz w:val="16"/>
          <w:szCs w:val="16"/>
        </w:rPr>
      </w:pPr>
    </w:p>
    <w:p w14:paraId="40229C9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мая 1944 г. вышел ПРИКАЗ НАЧАЛЬНИКА ГАВТУ КА О ПРОВЕДЕНИИ ИСПЫТАНИЙ АВТОМОБИЛЯ ЗИС-150 №45</w:t>
      </w:r>
    </w:p>
    <w:p w14:paraId="0ADEED7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p w14:paraId="2549553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определения тактико-технических показателей, выявления надежности и суждения о характере использования в Красной Армии нового двухосного автомобиля ЗИС-150, из</w:t>
      </w:r>
      <w:r w:rsidRPr="007224C3">
        <w:rPr>
          <w:rFonts w:ascii="Times New Roman" w:hAnsi="Times New Roman"/>
          <w:color w:val="000000" w:themeColor="text1"/>
          <w:sz w:val="16"/>
          <w:szCs w:val="16"/>
        </w:rPr>
        <w:softHyphen/>
        <w:t>готовленного на автомобильном заводе им. Сталина (ЗИС), провести в научно-исследователь</w:t>
      </w:r>
      <w:r w:rsidRPr="007224C3">
        <w:rPr>
          <w:rFonts w:ascii="Times New Roman" w:hAnsi="Times New Roman"/>
          <w:color w:val="000000" w:themeColor="text1"/>
          <w:sz w:val="16"/>
          <w:szCs w:val="16"/>
        </w:rPr>
        <w:softHyphen/>
        <w:t>ском батальоне ГАВТУ КА испытания автомобиля ЗИС-150 сравнительно с автомобилем ЗИС-5В.</w:t>
      </w:r>
    </w:p>
    <w:p w14:paraId="0957B89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p w14:paraId="0550370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проведения испытаний назначить комиссию под председательством заместителя начальни</w:t>
      </w:r>
      <w:r w:rsidRPr="007224C3">
        <w:rPr>
          <w:rFonts w:ascii="Times New Roman" w:hAnsi="Times New Roman"/>
          <w:color w:val="000000" w:themeColor="text1"/>
          <w:sz w:val="16"/>
          <w:szCs w:val="16"/>
        </w:rPr>
        <w:softHyphen/>
        <w:t>ка автомобильно-технического комитета ГАВТУ КА инженер-полковника т. Лаврова Н. А. в составе:</w:t>
      </w:r>
    </w:p>
    <w:p w14:paraId="715B71F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начальника автолаборатории НИБ ГАВТУ КА инженер-майора т. Седова;</w:t>
      </w:r>
    </w:p>
    <w:p w14:paraId="5C2FDE9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помощника командира НИБ ГАВТУ КА по технической части инженер-капитана т. Генкина;</w:t>
      </w:r>
    </w:p>
    <w:p w14:paraId="337AC97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представителя УС ГАВТУ КА инженер-майора т. Давидович;</w:t>
      </w:r>
    </w:p>
    <w:p w14:paraId="089034E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представителя ЗИС инженера т. Михайлова;</w:t>
      </w:r>
    </w:p>
    <w:p w14:paraId="1F4929E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представителя АРТКОМа ГАУ КА старшего т/лейтенанта т. Сперанского;</w:t>
      </w:r>
    </w:p>
    <w:p w14:paraId="54D9430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представителя НКСМ инженера т. Карпенко.</w:t>
      </w:r>
    </w:p>
    <w:p w14:paraId="2DEE5C8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p w14:paraId="2C5FBAB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Испытания провести согласно утвержденной мною программе.</w:t>
      </w:r>
    </w:p>
    <w:p w14:paraId="6F8A25D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w:t>
      </w:r>
    </w:p>
    <w:p w14:paraId="21DA878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испытаниям приступить 25 мая 1944 г. Закончить испытания 22 июля 1944 г.</w:t>
      </w:r>
    </w:p>
    <w:p w14:paraId="578DA7B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p w14:paraId="7067423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 ходе испытаний доложить мне 1 июля 1944 г. Отчет по испытаниям представить к 22 июля 1944 г.</w:t>
      </w:r>
    </w:p>
    <w:p w14:paraId="4463F6B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ГАВТУ КА генерал-лейтенант технических войск Тягунов (11420).</w:t>
      </w:r>
    </w:p>
    <w:p w14:paraId="49FBE5D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FADB835"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мая 1944 вышло Постановление ГКО № 5948 О создании индустриальной базы для массового жилищного строительства. (7234, 125-141,142-206).</w:t>
      </w:r>
    </w:p>
    <w:p w14:paraId="2680A531"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04E1DC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мая 1944 вышло Постановление ГКО № 5949 О проведении капитального ремонта, изготовлении запасных частей и мерах улучшения эксплуатации заводских и коммунальных электростанций в 1944 году. РГАНИР, Фонд ГКО, д. 256, лл. 1-7,8-184 (11012).</w:t>
      </w:r>
    </w:p>
    <w:p w14:paraId="3FD8E7A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F3BF0BE"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мая 1944 вышло Постановление ГКО № 5950 Об обеспечении отгрузки импорта в мае и июне 1944 г. из Владивостока, Находки и Перелетной. (7235, 185-186).</w:t>
      </w:r>
    </w:p>
    <w:p w14:paraId="398FABA0"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7B7E3A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мая 1944 закончен монтаж и начаты швартовные испытания 11-го МБК (10671).</w:t>
      </w:r>
    </w:p>
    <w:p w14:paraId="44A659C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CCF4A1D"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775B090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A776C12" w14:textId="77777777" w:rsidR="00623E4A" w:rsidRPr="007224C3" w:rsidRDefault="00623E4A"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23 мая</w:t>
      </w:r>
      <w:r w:rsidRPr="007224C3">
        <w:rPr>
          <w:rFonts w:ascii="Times New Roman" w:hAnsi="Times New Roman"/>
          <w:color w:val="000000" w:themeColor="text1"/>
          <w:sz w:val="16"/>
          <w:szCs w:val="16"/>
        </w:rPr>
        <w:t xml:space="preserve"> в 1944 году оперативная сводка Совинформбюро:</w:t>
      </w:r>
    </w:p>
    <w:p w14:paraId="5279F6D5" w14:textId="77777777" w:rsidR="00623E4A" w:rsidRPr="007224C3" w:rsidRDefault="00623E4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23 мая на фронтах существенных изменений не произошло. За 22 мая в воздушных боях и огнём зенитной артиллерии сбито 14 самолётов противника.</w:t>
      </w:r>
    </w:p>
    <w:p w14:paraId="2BFF32CE" w14:textId="77777777" w:rsidR="00623E4A" w:rsidRPr="007224C3" w:rsidRDefault="00623E4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Северо-западнее города Тирасполь наши подразделения в разведывательных целях атаковали позиции противника. Советские бойцы ворвались в немецкие траншеи и в рукопашной схватке истребили до роты гитлеровцев. Захватив пленных и трофеи, наши подразделения отошли на исходные рубежи. На другом участке советские артиллеристы произвели огневой налёт на скопление немецких войск и нанесли противнику большие потери.</w:t>
      </w:r>
    </w:p>
    <w:p w14:paraId="784CD21D" w14:textId="77777777" w:rsidR="00623E4A" w:rsidRPr="007224C3" w:rsidRDefault="00623E4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Юго-восточнее города Станислав подразделения Н-ской части вели бои за улучшение своих позиций и заняли высоту, господствующую над местностью. Немцы пытались восстановить положение, но успеха не добились. Наши бойцы уничтожили более 200 вражеских солдат и офицеров и захватили пленных. В бою за высоту красноармейцы тт. Шарифилов, Макаров, Яскин, Кузнецов и Кузишов первыми достигли позиций противника и забросали гранатами немецкие траншей.</w:t>
      </w:r>
    </w:p>
    <w:p w14:paraId="3625951A" w14:textId="77777777" w:rsidR="00623E4A" w:rsidRPr="007224C3" w:rsidRDefault="00623E4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города Мозырь успешно действуют снайперы батальона майора Пищулина. За время пребывания на фронте они истребили много немцев. Несколько дней назад снайперы во главе с ефрейтором Тихоновым ночью залегли на берегу реки. На рассвете т. Тихонов заметил, что большая группа немцев пробирается к переправе. Меткими выстрелами снайперы убили несколько десятков гитлеровцев. Оставшиеся в живых немцы прижались к земле. В течение нескольких часов снайперы вели огонь по пытавшимся уползти гитлеровцам. Всего в течение дня около переправы было уничтожено 96 немцев.</w:t>
      </w:r>
    </w:p>
    <w:p w14:paraId="5AD5D5F1" w14:textId="77777777" w:rsidR="00623E4A" w:rsidRPr="007224C3" w:rsidRDefault="00623E4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Лётчики Краснознамённого Балтийского флота днём 22 мая обнаружили в Финском заливе и подвергли бомбардировке немецкий транспорт водоизмещением в 6 тысяч тонн. В результате прямого попадания бомб транспорт затонул. В ночь на 23 мая нашей авиацией потоплен другой транспорт противника водоизмещением в 3 тысячи тонн.</w:t>
      </w:r>
    </w:p>
    <w:p w14:paraId="587D740A" w14:textId="77777777" w:rsidR="00623E4A" w:rsidRPr="007224C3" w:rsidRDefault="00623E4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Партизанский отряд, действующий в Львовской области, 12 мая напал на немецкий гарнизон в одном населённом пункте. В ожесточённой схватке советские патриоты истребили 40 гитлеровцев. В тот же день группа партизан пустила под откос воинский эшелон противника. Под обломками вагонов погибло несколько десятков вражеских солдат и офицеров. Движение поездов на этом участке железной дороги было прервано на сутки. Другой львовский партизанский отряд, уничтожив немецкую охрану, взорвал железнодорожный мост.</w:t>
      </w:r>
    </w:p>
    <w:p w14:paraId="5FD97647" w14:textId="77777777" w:rsidR="00623E4A" w:rsidRPr="007224C3" w:rsidRDefault="00623E4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Взятый в плен командир 1 роты 26 полка 13 немецкой авиаполевой дивизии обер-лейтенант Ганс Лориш рассказал: «В первый период войны, когда немецкая армия заняла обширную советскую территорию, все офицеры были уверены в том, что Россия не устоит против немецкого оружия. Сталинград поколебал эту уверенность. Потрясающие успехи советских войск в 1943 и в 1944 гг. ещё больше подорвали боевой дух немецких солдат и офицеров. В узком кругу, с глазу на глаз, офицеры ведут весьма откровенные беседы. Многие из них считают, что Германия уже не оправится после столь жестоких ударов. Хорошо осведомлённые офицеры обычно указывают на огромные трудности немецкой военной промышленности». В заключение пленный сообщил некоторые факты о положении в тылу Германии. «В руководящих нацистских кругах царит беспокойство. Они боятся вторжения англо-американских войск и возобновления советского наступления. Многие в Германии считают также, что иностранные рабочие в грядущих событиях могут сыграть роковую роль. Железнодорожный транспорт, почта и телеграф работают с перебоями. Почтовые отправления вместо одного-двух дней путешествуют много недель и даже месяцев. Количество пассажирских поездов сокращено в три-четыре раза. Расстройство железнодорожного транспорта затрудняет снабжение фронта. Да- же людские пополнения, вооружение и боеприпасы поступают в части с большим опозданием. Глядя на то, что происходит в глубоком тылу, я понял, что Германия катится к катастрофе».</w:t>
      </w:r>
    </w:p>
    <w:p w14:paraId="349B690C" w14:textId="77777777" w:rsidR="00623E4A" w:rsidRPr="007224C3" w:rsidRDefault="00623E4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Немецкий генерал о потерях и поражениях немецко-фашистских войск на советском фронте:</w:t>
      </w:r>
    </w:p>
    <w:p w14:paraId="4919B060" w14:textId="77777777" w:rsidR="00623E4A" w:rsidRPr="007224C3" w:rsidRDefault="00623E4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«Как уже ранее сообщалось, войска 3-го Украинского фронта в боях с 6 по 16 марта 1944 г. полностью разгромили 6 немецкую армию генерал-полковника Холлидта. Лишь небольшим остаткам разбитых соединений немцев и некоторым штабам, бросившим на произвол судьбы даже штабные документы, удалось спастись бегством.</w:t>
      </w:r>
    </w:p>
    <w:p w14:paraId="7990237F" w14:textId="77777777" w:rsidR="00623E4A" w:rsidRPr="007224C3" w:rsidRDefault="00623E4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Среди захваченных документов противника обнаружена обширная переписка «О самовольном оставлении командиром 16 немецкой мотодивизии графом фон Шверином занимаемых позиций». Весь сыр-бор загорелся в первых числах февраля, после того как советские войска, перейдя в наступление из районов северо-восточнее города Кривой Рог и северо-восточнее города Никополь, прорвали сильно укреплённую оборону немцев и за четыре дня боёв, с 2 по 6 февраля, разбили четыре пехотных и три танковых дивизии немцев. Командир 30 армейского корпуса генерал Фреттер-Пико, пытаясь свалить вину за разгром корпуса на подчинённого ему командира 16 мотодивизии генерал-лейтенанта графа фон Шверина, возбудил перед командующим 6 немецкой армией генерал-полковником Холлидтом ходатайство о привлечении фон Шверина к ответственности.</w:t>
      </w:r>
    </w:p>
    <w:p w14:paraId="29AEAA10" w14:textId="77777777" w:rsidR="00623E4A" w:rsidRPr="007224C3" w:rsidRDefault="00623E4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февраля командующий 6 немецкой армией генерал-полковник Холлидт в письме за № 132/44 сообщил фон Шверину о том, что он обвиняется в самовольном оставлении позиций. Холлидт предложил фон Шверину сдать дивизию полковнику Мантейфелю и представить в главную квартиру армии объяснения по поводу предъявленных обвинений.».</w:t>
      </w:r>
    </w:p>
    <w:p w14:paraId="2CBEE315" w14:textId="77777777" w:rsidR="00623E4A" w:rsidRPr="007224C3" w:rsidRDefault="00623E4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Генерал фон Шверин 15 февраля направил генералу Холлидту следующий ответ (публикуется несколько сокращённый текст):</w:t>
      </w:r>
    </w:p>
    <w:p w14:paraId="321A6A1B" w14:textId="77777777" w:rsidR="00623E4A" w:rsidRPr="007224C3" w:rsidRDefault="00623E4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«Генерал-лейтенант граф фон Шверин.</w:t>
      </w:r>
    </w:p>
    <w:p w14:paraId="3A65609B" w14:textId="77777777" w:rsidR="00623E4A" w:rsidRPr="007224C3" w:rsidRDefault="00623E4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 132/44 от 9.2.44 г. Россия 15.2.44 г.</w:t>
      </w:r>
    </w:p>
    <w:p w14:paraId="5E37E922" w14:textId="77777777" w:rsidR="00623E4A" w:rsidRPr="007224C3" w:rsidRDefault="00623E4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Командующему 6 армией господину генерал-полковнику Холлидт</w:t>
      </w:r>
    </w:p>
    <w:p w14:paraId="21F79A7D" w14:textId="77777777" w:rsidR="00623E4A" w:rsidRPr="007224C3" w:rsidRDefault="00623E4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...С наступлением темноты, как и ожидалось, противник начал появляться перед населёнными пунктами и стал просачиваться в юго-восточный выступ Михайловка. В селе началась паника. Она была подавлена решительным вмешательством начальника оперативного отдела штаба дивизии, который лично с несколькими </w:t>
      </w:r>
      <w:r w:rsidRPr="007224C3">
        <w:rPr>
          <w:rFonts w:ascii="Times New Roman" w:hAnsi="Times New Roman"/>
          <w:color w:val="000000" w:themeColor="text1"/>
          <w:sz w:val="16"/>
          <w:szCs w:val="16"/>
        </w:rPr>
        <w:lastRenderedPageBreak/>
        <w:t>офицерами организовал контрудар и выбил просочившегося противника из южной части Михайловка, а затем изолировал юго-восточный выступ села, который не мог быть удержан.</w:t>
      </w:r>
    </w:p>
    <w:p w14:paraId="32EE7EC9" w14:textId="77777777" w:rsidR="00623E4A" w:rsidRPr="007224C3" w:rsidRDefault="00623E4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23.00 противник крупными силами, с криками «ура», перешёл в атаку на высоту 81,5 южнее Михайловка, опрокинул стоявшую там на позициях зенитную батарею 9 танковой дивизии и продолжал свой натиск в западном направлении. 306 полевой запасный батальон, которому был поручен этот участок, никакого сопротивления не оказал...</w:t>
      </w:r>
    </w:p>
    <w:p w14:paraId="0282A28A" w14:textId="77777777" w:rsidR="00623E4A" w:rsidRPr="007224C3" w:rsidRDefault="00623E4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Утром 3 февраля ко мне на командный пункт в Михайловка явился командир 156 мотополка полковник Фишер с остатками своего штаба. Полковник доложил, что его полк, как уже было известно, за последние дни в ходе боёв был оттеснён на восток и находится, вероятно, в окружении под Шолохово... Одновременно я получил со ст. Апостолово донесение, что туда прибывают довольно крупные разрозненные отряды всех частей дивизии, правда, без оружия и техники и в совершенно истощённом состоянии...</w:t>
      </w:r>
    </w:p>
    <w:p w14:paraId="68A2407A" w14:textId="77777777" w:rsidR="00623E4A" w:rsidRPr="007224C3" w:rsidRDefault="00623E4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Много машин было потеряно в грязи во время отхода из Михайловка на запад. Отступающая пехота потеряла своё последнее тяжёлое оружие и боеприпасы.</w:t>
      </w:r>
    </w:p>
    <w:p w14:paraId="339078F1" w14:textId="77777777" w:rsidR="00623E4A" w:rsidRPr="007224C3" w:rsidRDefault="00623E4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Отступающие солдаты из-за вязкой грязи, доходившей до колен, настолько физически обессилели, что должны были побросать свое личное оружие для того, чтобы вообще иметь возможность передвигаться. Многие падали от истощения и оставались на дороге. В этих условиях солдаты оказались полностью дезорганизованными и деморализованными. Лишь на рассвете удалось у железнодорожного моста вблизи Трудовая собрать небольшое количество боеспособных солдат, которые добрались на нескольких уцелевших штурмовых орудиях. Это было человек 40 солдат 60 мотополка...</w:t>
      </w:r>
    </w:p>
    <w:p w14:paraId="487C8041" w14:textId="77777777" w:rsidR="00623E4A" w:rsidRPr="007224C3" w:rsidRDefault="00623E4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 намеревался удержаться на железнодорожной линии в надежде, что русские из-за глубокой грязи не смогут преследовать нас крупными силами. Во всяком случае я надеялся выиграть достаточно времени для того, чтобы части, реорганизованные полковником Фишером в Ингулец, используя местный конный транспорт, успели подтянуться раньше, чем русские начнут атаку крупными силами... Выполнение этого плана потерпело неудачу».</w:t>
      </w:r>
    </w:p>
    <w:p w14:paraId="6B511B1F" w14:textId="77777777" w:rsidR="00623E4A" w:rsidRPr="007224C3" w:rsidRDefault="00623E4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Два дня спустя фон Шверин написал и направил командующему 6 немецкой армией «Отчёт командира 16 моторизованной дивизии и 123 пехотной дивизии, сведенных в группу Шверин». Отчёт озаглавлен «Развал фронта в районе юго-западнее Ново-Николаевка». В этом отчёте говорится:</w:t>
      </w:r>
    </w:p>
    <w:p w14:paraId="218A687A" w14:textId="77777777" w:rsidR="00623E4A" w:rsidRPr="007224C3" w:rsidRDefault="00623E4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«...123 пехотную дивизию можно было ещё считать боеспособной, хотя она и была численно ослаблена. Недостаток тяжёлой противотанковой артиллерии компенсировался взаимодействием имевшихся противотанковых пушек с подвижными бронесредствами 16 мотодивизии. Большое беспокойство у штаба группы вызывало состояние пехоты 16 мотодивизии. После больших летних и осенних сражений она должна была вновь, не выходя из боя, драться на главных направлениях обороны; дивизия истекала кровью и дралась из последних сил. 20.1.44 г. командир дивизии представил об этом рапорт, составленный со всей серьёзностью.</w:t>
      </w:r>
    </w:p>
    <w:p w14:paraId="55D6DFAB" w14:textId="77777777" w:rsidR="00623E4A" w:rsidRPr="007224C3" w:rsidRDefault="00623E4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Обоснованность рапорта была полностью признана как корпусом, так и армией. Текст рапорта прилагается. Однако дивизия никакой помощи не получила.</w:t>
      </w:r>
    </w:p>
    <w:p w14:paraId="2F4F8AAC" w14:textId="77777777" w:rsidR="00623E4A" w:rsidRPr="007224C3" w:rsidRDefault="00623E4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123 пехотная дивизия, включая 416 гренадерский полк, который был разбит уже в первый день наступления, очень хорошо держалась первые два дня, а некоторые ее части дрались даже отлично. Глубокое вклинение на Ново-Подольск во второй день наступления произошло на правом фланге 46 пехотной дивизии. Вклинение в районе северо-восточнее Приюта произошло на участке уже потерявшего боеспособность 416 гренадерского полка, командир которого был убит в этих боях...</w:t>
      </w:r>
    </w:p>
    <w:p w14:paraId="1987C360" w14:textId="77777777" w:rsidR="00623E4A" w:rsidRPr="007224C3" w:rsidRDefault="00623E4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третий день наступления основная масса пехоты 16 мотодивизии в результате танкового прорыва противника через Павлополье на Петровский была отрезана и оттеснена на восток за Бузулук. Пробиться на запад и спастись смогли только подразделения 60 мотополка... При вышеописанных событиях потепление разразилось с неистовством и мощью катастрофического природного явления. Даже тяжёлые 18-тонные тягачи утопали в глубоком море грязи. Бессильно и беспомощно солдат должен был наблюдать, как его оружие гибнет под властью природной катастрофы, как вместе с автомашинами погружаются в трясину боеприпасы, снаряжение, вся техника и личное имущество. Большое число машин застревало в глубоких балках и при приближении противника становилось добычей огня. Оставался только водитель и то, что он мог унести на себе.</w:t>
      </w:r>
    </w:p>
    <w:p w14:paraId="085EFA04" w14:textId="77777777" w:rsidR="00623E4A" w:rsidRPr="007224C3" w:rsidRDefault="00623E4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Сотнями брели эти уставшие люди шаг за шагом по грязи, доходившей до колен. Они были лишены всякого руководства и двигались в том направлении, куда их вёл инстинкт. Над нами витал дух катастрофы. Там, куда они приходили, распространялись паника и ужас. Всякое правильное управление войсками застопорилось и запуталось, так как с потерей штабных машин, а также машин с телефонным и радиоимуществом весь аппарат управления был внезапно выведен из строя. Всё в целом можно приравнять к такому случаю, когда солдата сначала лишили ног, чтобы он не мог больше двигаться, а затем рук, чтобы он не мог больше драться, и, наконец, заткнули ему рот, чтобы он не мог призывать и приказывать. Эта жалкая беспомощность перед... катастрофой приводит каждого, над кем бы такая катастрофа ни разразилась, все равно офицер он или солдат, в состояние шока».</w:t>
      </w:r>
    </w:p>
    <w:p w14:paraId="3EAA3183" w14:textId="77777777" w:rsidR="00623E4A" w:rsidRPr="007224C3" w:rsidRDefault="00623E4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отчёту приложен вышеупомянутый рапорт генерала Шверина генералу Фреттер-Пико от 20 января 1944 года. Приводим текст этого рапорта:</w:t>
      </w:r>
    </w:p>
    <w:p w14:paraId="223A4210" w14:textId="77777777" w:rsidR="00623E4A" w:rsidRPr="007224C3" w:rsidRDefault="00623E4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«Командир 16 моторизованной дивизии</w:t>
      </w:r>
    </w:p>
    <w:p w14:paraId="300520A0" w14:textId="77777777" w:rsidR="00623E4A" w:rsidRPr="007224C3" w:rsidRDefault="00623E4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Командный пункт</w:t>
      </w:r>
    </w:p>
    <w:p w14:paraId="4FC17889" w14:textId="77777777" w:rsidR="00623E4A" w:rsidRPr="007224C3" w:rsidRDefault="00623E4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дивизии. 20.1.1944 г.</w:t>
      </w:r>
    </w:p>
    <w:p w14:paraId="4C39F483" w14:textId="77777777" w:rsidR="00623E4A" w:rsidRPr="007224C3" w:rsidRDefault="00623E4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Командиру 30 армейского корпуса господину генералу артиллерии Фреттер-Пико</w:t>
      </w:r>
    </w:p>
    <w:p w14:paraId="66663023" w14:textId="77777777" w:rsidR="00623E4A" w:rsidRPr="007224C3" w:rsidRDefault="00623E4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связи с телеграммой от 19.1.44 г. докладываю:</w:t>
      </w:r>
    </w:p>
    <w:p w14:paraId="795193CA" w14:textId="77777777" w:rsidR="00623E4A" w:rsidRPr="007224C3" w:rsidRDefault="00623E4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Дивизия оплатила троекратное упоминание о ней в сводках главного штаба троекратными тяжелейшими кровавыми потерями в период больших оборонительных сражений прошлого лета, когда дивизия беспрерывно действовала на решающих участках — на Миусе, на Донце и под Запорожьем. В этих боях дивизия потеряла 9.411 человек. Таким образом, учитывая тогдашнюю боевую численность дивизии, она была трижды перемолота... После окончания сражения за Запорожье резервы для восстановления дивизии исчерпались.</w:t>
      </w:r>
    </w:p>
    <w:p w14:paraId="499FADDC" w14:textId="77777777" w:rsidR="00623E4A" w:rsidRPr="007224C3" w:rsidRDefault="00623E4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этот момент — 20.10.43 г. — дивизия вступила в бои в районе юго-западнее Днепропетровска без предварительного пополнения. В период с 20.10.43 г. по 14.1.44 г. дивизия потеряла еще 5.120 человек убитыми, ранеными, пропавшими без вести и больными и опять беспрерывно вела бои.</w:t>
      </w:r>
    </w:p>
    <w:p w14:paraId="0DDDA5F8" w14:textId="77777777" w:rsidR="00623E4A" w:rsidRPr="007224C3" w:rsidRDefault="00623E4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Исходя из нынешней численности боевого состава пехотных частей, потери дивизии вновь равняются, по меньшей мере, её трёхкратному уничтожению. Таким образом, с начала прошлогодних летних боёв пехота дивизии потеряла, по меньшей мере, шесть раз весь свой личный состав.</w:t>
      </w:r>
    </w:p>
    <w:p w14:paraId="0B34D4CB" w14:textId="77777777" w:rsidR="00623E4A" w:rsidRPr="007224C3" w:rsidRDefault="00623E4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настоящее время дивизия обескровлена. Как мне ни тяжело и больно, однако, я должен в соответствии с истиной доложить, что... боевая ценность дивизии заключается на сегодня только в её артиллерии и бронеподразделениях. Пехота больше не в состоянии противостоять сильным атакам.</w:t>
      </w:r>
    </w:p>
    <w:p w14:paraId="04D41DFB" w14:textId="77777777" w:rsidR="00623E4A" w:rsidRPr="007224C3" w:rsidRDefault="00623E4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Граф фон Шверин».</w:t>
      </w:r>
    </w:p>
    <w:p w14:paraId="588EDC6E" w14:textId="77777777" w:rsidR="00623E4A" w:rsidRPr="007224C3" w:rsidRDefault="00623E4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«Опубликованные выше документы не нуждаются в комментариях. Переписка по делу Шверина как нельзя лучше вскрывает истинные масштабы поражения и потерь немецких войск на советско-германском фронте.</w:t>
      </w:r>
    </w:p>
    <w:p w14:paraId="7BAB5547" w14:textId="77777777" w:rsidR="00623E4A" w:rsidRPr="007224C3" w:rsidRDefault="00623E4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Трофейные документы ещё и ещё раз разоблачают лживые сообщения немецкого командования о положении дел на советско-германском фронте. На протяжении долгих месяцев, начиная с июля прошлого года, брехуны из ставки Гитлера трубили о том, что немецкую армию на Востоке не гонят, не отбрасывают на запад, а она «добровольно» сама отходит, «сокращает» фронт, осуществляет «планомерное» отступление. Генерал фон Шверин, свидетель и участник боёв, в своих официальных рапортах употреблял совсем иные слова. Он писал о «развале немецкого фронта», о «катастрофе», о «шоке» и других подобных вещах.</w:t>
      </w:r>
    </w:p>
    <w:p w14:paraId="76F38584" w14:textId="77777777" w:rsidR="00623E4A" w:rsidRPr="007224C3" w:rsidRDefault="00623E4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Брехуны из ставки Гитлера неустанно твердили, что немецкая армия, отступая, сохраняет и сберегает свои людские силы и технику. Что стало с немецкими дивизиями за месяцы непрерывного отступления, можно видеть на примере той же 16 моторизованной дивизии. По авторитетному свидетельству её командира генерала графа фон Шверина, она, начиная с июля по январь, почти ежемесячно теряла весь личный состав. Не прошло и двух месяцев, как судьба 16 немецкой мотодивизии постигла всю 6 немецкую армию. Такая же участь постигла и многие другие немецкие дивизии. Вольно или невольно граф фон Шверин изобличает ставку Гитлера и немецкое командование в самой низкопробной лжи.» (14900).</w:t>
      </w:r>
    </w:p>
    <w:p w14:paraId="77561B8D" w14:textId="77777777" w:rsidR="00623E4A" w:rsidRPr="007224C3" w:rsidRDefault="00623E4A" w:rsidP="007224C3">
      <w:pPr>
        <w:spacing w:after="0" w:line="240" w:lineRule="auto"/>
        <w:jc w:val="both"/>
        <w:rPr>
          <w:rFonts w:ascii="Times New Roman" w:hAnsi="Times New Roman"/>
          <w:color w:val="000000" w:themeColor="text1"/>
          <w:sz w:val="16"/>
          <w:szCs w:val="16"/>
        </w:rPr>
      </w:pPr>
    </w:p>
    <w:p w14:paraId="3D6BE12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мая 1944 в степи в районе поселка Утта совершил посадку четырехмоторный Ju-290 из 1-й группы KG200. Находившийся на его борту отряд диверсантов во главе с гауптманом фон Шеллером должен был стать авангардом планировавшегося десанта в Калмыкию 36 эскадронов Калмыцкого корпуса зондерфюрера СС Отто Верба. Целью операции являлась организация национально-освободительного восстания в Калмыкии (немцы не знали, что к тому времени почти всех калмыков по приказу Сталина уже выселили в Сибирь). Отряду фон Шеллера на полном серьезе была поставлена задача организовать радиоцентр и авиабазу для регулярного приема самолетов. Шеллер доложил по рации об успешном приземлении, но вскоре в небе появились четыре «Харрикейна» из 144-й ИАД ПВО, а по суше к «Юнкерсу» уже мчались опергруппы НКВД и НКГБ Астраханской области. В результате обстрела с воздуха Ju-290 загорелся, а на земле завязалась упорная перестрелка. В итоге три летчика и четыре диверсанта погибли, еще шесть летчиков и шесть диверсантов попали в плен, однако 14 все же смогли уйти! В числе пленных оказались фон Шеллер и радист обер-лейтенант Ханс Ханзен. Об этом событии доложили Берии, и началась радиоигра. Германский разведцентр поверил, что в Калмыкии удалось создать «авиабазу», и 12 июня в небе Астраханской области появился еще один Ju-290. Сначала с самолета была выброшена группа парашютистов и 20 тюков с грузами, а затем 50-тонный транспортник сел около поселка Яшкуль. Опергруппы НКВД начали захват «Юнкерса». Однако контрразведчики опять сработали плоховато. В результате боя двое пилотов погибли, один застрелился, остальным летчикам удалось убежать! Тем не менее в результате этой авантюры KG200 потеряла сразу два четырехмоторных самолета, и о секретной эскадре стало известно органам НКГБ. Весной 1944 г. немецких агентов выловили на территории Саратовской и Куйбышевской областей. Задачу по формированию бандитских групп для совершения диверсий и актов террора имели участники разведгруппы, обезвреженной в апреле на территории Сенглиеевского района Ульяновской области. В их экипировку входили оружие, взрывчатка и запас продовольствия. Группа была быстро поймана и практических действий совершить не успела. Летом немецкая авиация вела усиленную заброску агентов-парашютистов на территорию Сталинградской области. Органам контрразведки удалось арестовать здесь в общей сложности 50 человек. Все они имели похожие задания: сколачивать бандгруппы из числа уголовных элементов, дезертиров и лиц, уклоняющихся от призыва в Красную Армию (11744).</w:t>
      </w:r>
    </w:p>
    <w:p w14:paraId="6EA8F1B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24E49A1"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706B966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A75E35A" w14:textId="77777777" w:rsidR="00773CC6" w:rsidRPr="007224C3" w:rsidRDefault="00773CC6"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23 мая</w:t>
      </w:r>
      <w:r w:rsidRPr="007224C3">
        <w:rPr>
          <w:rFonts w:ascii="Times New Roman" w:hAnsi="Times New Roman"/>
          <w:color w:val="000000" w:themeColor="text1"/>
          <w:sz w:val="16"/>
          <w:szCs w:val="16"/>
        </w:rPr>
        <w:t xml:space="preserve"> в 1944 году впервые поднялся в воздух первый прототип английского истребителя </w:t>
      </w:r>
      <w:hyperlink r:id="rId137" w:tgtFrame="_blank" w:history="1">
        <w:r w:rsidRPr="007224C3">
          <w:rPr>
            <w:rFonts w:ascii="Times New Roman" w:hAnsi="Times New Roman"/>
            <w:color w:val="000000" w:themeColor="text1"/>
            <w:sz w:val="16"/>
            <w:szCs w:val="16"/>
          </w:rPr>
          <w:t xml:space="preserve">«МВ.5» </w:t>
        </w:r>
      </w:hyperlink>
      <w:r w:rsidRPr="007224C3">
        <w:rPr>
          <w:rFonts w:ascii="Times New Roman" w:hAnsi="Times New Roman"/>
          <w:color w:val="000000" w:themeColor="text1"/>
          <w:sz w:val="16"/>
          <w:szCs w:val="16"/>
        </w:rPr>
        <w:t>(«R2496»). Пройдя все стадии усовершенствований истребитель МВ.5 внешне стал сильно напоминать американский «Р-51» "Mustang" с двигателем "Merlin". Он собирался из стальных труб и имел много съёмных панелей, значительно облегчавших доступ к узлам и агрегатам самолёта. Вооружение состояло из четырех стандартных 20-мм пушек «Hispano-Suisa» «Mk.I»I. Кроме того, вместо ненадежного двигателя «Napier» "Sabre" был установлен более перспективный, но также крайне "сырой" Rolls-Royce "Griffon" 83. Этот V-образный 12-цилиндровый двигатель развивал мощность 2340 л.с. и вращал два соосных пропеллера - передний типа «De Havilland» «Hydromatic» «SKP 74489/15A» диаметром 3.58 метра и задний – «SKP 74490/18A» диаметром 3.54 метра (14900).</w:t>
      </w:r>
    </w:p>
    <w:p w14:paraId="479FF04D" w14:textId="77777777" w:rsidR="00773CC6" w:rsidRPr="007224C3" w:rsidRDefault="00773CC6" w:rsidP="007224C3">
      <w:pPr>
        <w:spacing w:after="0" w:line="240" w:lineRule="auto"/>
        <w:jc w:val="both"/>
        <w:rPr>
          <w:rFonts w:ascii="Times New Roman" w:hAnsi="Times New Roman"/>
          <w:color w:val="000000" w:themeColor="text1"/>
          <w:sz w:val="16"/>
          <w:szCs w:val="16"/>
        </w:rPr>
      </w:pPr>
    </w:p>
    <w:p w14:paraId="5DD2966F" w14:textId="77777777" w:rsidR="00773CC6" w:rsidRPr="007224C3" w:rsidRDefault="00773CC6"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23 мая</w:t>
      </w:r>
      <w:r w:rsidRPr="007224C3">
        <w:rPr>
          <w:rFonts w:ascii="Times New Roman" w:hAnsi="Times New Roman"/>
          <w:color w:val="000000" w:themeColor="text1"/>
          <w:sz w:val="16"/>
          <w:szCs w:val="16"/>
        </w:rPr>
        <w:t xml:space="preserve"> в 1944 году был готов </w:t>
      </w:r>
      <w:hyperlink r:id="rId138" w:tgtFrame="_blank" w:history="1">
        <w:r w:rsidRPr="007224C3">
          <w:rPr>
            <w:rFonts w:ascii="Times New Roman" w:hAnsi="Times New Roman"/>
            <w:color w:val="000000" w:themeColor="text1"/>
            <w:sz w:val="16"/>
            <w:szCs w:val="16"/>
          </w:rPr>
          <w:t xml:space="preserve">«Me 163» «S» </w:t>
        </w:r>
      </w:hyperlink>
      <w:r w:rsidRPr="007224C3">
        <w:rPr>
          <w:rFonts w:ascii="Times New Roman" w:hAnsi="Times New Roman"/>
          <w:color w:val="000000" w:themeColor="text1"/>
          <w:sz w:val="16"/>
          <w:szCs w:val="16"/>
        </w:rPr>
        <w:t>(«S» - Schule, «школьная»), учебный двухместный самолет, и через несколько дней облётан. «Me 163» «S» производства Юнкерса несколько отличался от прототипа, в частности конструкцией остекления фонарей и составом радиооборудования. Для удовлетворения потребности в учебной машине один из серийных самолётов «Me 163 B» был переделан по проекту «Me 163» «S». У самолёта удалили бак окислителя, а на его месте смонтировали кабину инструктора, закрытую большим каплевидным фонарём. Запас топлива сократился настолько, что взлёт на двигателе стал невозможен. «Me 163» «S» годился только для планерной подготовки пилотов. Первый полет на «Me 163» «S» совер¬шил пилот Гоманн. Затем конструк¬цию самолета начали совершенство¬вать, учитывая пожелания пилотов. К 25 июля 1944 года доводка была завер¬шена. Планировалось выпустить 42 учебные машины. Выпуск начался на заводе Юнкерса в Дессау. После того, как было выпущено несколько самоле¬тов, поступил приказ свернуть производ¬ство, поскольку все острее ощущался дефицит боевых самолетов. Точное чис¬ло выпущенных «Me 163» «S» неизвестно, известно только, что 2 или 3 годных к полётам экземпляра были перевезены в СССР и здесь испытаны (14900).</w:t>
      </w:r>
    </w:p>
    <w:p w14:paraId="72E1FFB5" w14:textId="77777777" w:rsidR="00773CC6" w:rsidRPr="007224C3" w:rsidRDefault="00773CC6" w:rsidP="007224C3">
      <w:pPr>
        <w:spacing w:after="0" w:line="240" w:lineRule="auto"/>
        <w:jc w:val="both"/>
        <w:rPr>
          <w:rFonts w:ascii="Times New Roman" w:hAnsi="Times New Roman"/>
          <w:color w:val="000000" w:themeColor="text1"/>
          <w:sz w:val="16"/>
          <w:szCs w:val="16"/>
        </w:rPr>
      </w:pPr>
    </w:p>
    <w:p w14:paraId="3362359F" w14:textId="77777777" w:rsidR="00411A0B" w:rsidRPr="007224C3" w:rsidRDefault="00411A0B"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23 мая 1944 первый полет Мартин-Бейкер МБ 5 (20373).</w:t>
      </w:r>
    </w:p>
    <w:p w14:paraId="59AFD6C6" w14:textId="77777777" w:rsidR="00411A0B" w:rsidRPr="007224C3" w:rsidRDefault="00411A0B" w:rsidP="007224C3">
      <w:pPr>
        <w:spacing w:after="0" w:line="240" w:lineRule="auto"/>
        <w:jc w:val="both"/>
        <w:rPr>
          <w:rFonts w:ascii="Times New Roman" w:hAnsi="Times New Roman"/>
          <w:color w:val="0070C0"/>
          <w:sz w:val="16"/>
          <w:szCs w:val="16"/>
        </w:rPr>
      </w:pPr>
    </w:p>
    <w:p w14:paraId="49CF44BE" w14:textId="77777777" w:rsidR="00411A0B" w:rsidRPr="007224C3" w:rsidRDefault="00411A0B"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23 мая 1944 - Впервые поднялся в воздух первый прототип английского истребителя МВ.5 (R2496). Пройдя все стадии усовершенствований истребитель МВ.5 внешне стал сильно напоминать американский Р-51 "Mustang" с двигателем "Merlin". Он собирался из стальных труб и имел много съёмных панелей, значительно облегчавших доступ к узлам и агрегатам самолёта. Вооружение состояло из четырех стандартных 20-мм пушек Hispano-Suisa Mk.II. Кроме того, вместо ненадежного двигателя Napier "Sabre" был установлен более перспективный, но также крайне "сырой" Rolls-Royce "Griffon" 83. Этот V-образный 12-цилиндровый двигатель развивал мощность 2340 л.с. и вращал два соосных пропеллера - передний типа De Havilland Hydromatic SKP 74489/15A диаметром 3.58 метра и задний - SKP 74490/18A диаметром 3.54 метра. Серийно не строился (22493).</w:t>
      </w:r>
    </w:p>
    <w:p w14:paraId="2F8D0C8F" w14:textId="77777777" w:rsidR="00411A0B" w:rsidRPr="007224C3" w:rsidRDefault="00411A0B" w:rsidP="007224C3">
      <w:pPr>
        <w:spacing w:after="0" w:line="240" w:lineRule="auto"/>
        <w:jc w:val="both"/>
        <w:rPr>
          <w:rFonts w:ascii="Times New Roman" w:hAnsi="Times New Roman"/>
          <w:color w:val="0070C0"/>
          <w:sz w:val="16"/>
          <w:szCs w:val="16"/>
        </w:rPr>
      </w:pPr>
    </w:p>
    <w:p w14:paraId="51279421" w14:textId="77777777" w:rsidR="00411A0B" w:rsidRPr="007224C3" w:rsidRDefault="00411A0B"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23 мая 1944 на совещании у Гитлера отношение к Не177В внезапно изменилось — его горячо поддержал Геринг, назвав «ядром новой бомбардировочной авиации», и потребовал срочно начать серийный выпуск с темпом 200 штук в месяц. Самолет, названный по предложению Хейнкеля Не277В (такой индекс уже ставился на его чертежах с 1940 года, первые опытные самолеты были обозначены He277V1 и V2), предназначался для уничтожения конвоев в Атлантике и для прицельных бомбардировок важнейших объектов в Великобритании в дневное время. Но самолет, как и Не177А, страдал недостаточной путевой устойчивостью и управляемостью. Тогда на третьем прототипе He277V3 сделали двухкилевое оперение, заодно улучшив сектора обстрела верхних огневых башен — передней дистанционно-управляемой FDL131E/F2 с парой пулеметов калибра 13,2 мм и задней обитаемой EDL131A-2, в которой был один такой же пулемет с электрическими силовыми приводами. В лобовом остеклении кабины экипажа в шаровой установке стоял пулемет MG81J винтовочного калибра, еще по четыре таких пулемета «смотрели» назад в гондоле под кабиной и в хвосте в установках HDL81V с гидравлическим приводом.</w:t>
      </w:r>
    </w:p>
    <w:p w14:paraId="766A8915" w14:textId="77777777" w:rsidR="00411A0B" w:rsidRPr="007224C3" w:rsidRDefault="00411A0B"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Чтобы ускорить начало поставок Не277, было решено на первой серийной модификации не ставить аппаратуру наведения противокорабельных ракет Hs293 и планирующих бомб РС1400 «Фриц-Х», ограничившись лишь подвеской тяжелых свободнопадающих фугасок SC2500. Официально самолет все еще рассматривался и как носитель атомной бомбы, но фирма все еще не получила даже ее габаритных чертежей.</w:t>
      </w:r>
    </w:p>
    <w:p w14:paraId="7019D553" w14:textId="77777777" w:rsidR="00411A0B" w:rsidRPr="007224C3" w:rsidRDefault="00411A0B"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Эрнст Хейнкель был обязан в кратчайшие сроки организовать выпуск новых самолетов, но все его основные заводы на территории Германии уже были заняты серийными заказами. В его распоряжении оставались бывший австрийский авиаремонтный завод в предместье Вены Швехат, а также реквизированные Германией заводы «Фарман» в оккупированной Франции, которые уже участвовали в выпуске Не177А. Туда начали свозить отдельные агрегаты Не177А, которые в новом проекте не изменились, и пригодную к использованию для выпускаНе277В-5 технологическую оснастку «177-го» с заводов в Мариэнехе, Бранденбурге и Ораниенбурге (22883).</w:t>
      </w:r>
    </w:p>
    <w:p w14:paraId="2A19C42B" w14:textId="77777777" w:rsidR="00411A0B" w:rsidRPr="007224C3" w:rsidRDefault="00411A0B" w:rsidP="007224C3">
      <w:pPr>
        <w:spacing w:after="0" w:line="240" w:lineRule="auto"/>
        <w:jc w:val="both"/>
        <w:rPr>
          <w:rFonts w:ascii="Times New Roman" w:hAnsi="Times New Roman"/>
          <w:color w:val="0070C0"/>
          <w:sz w:val="16"/>
          <w:szCs w:val="16"/>
        </w:rPr>
      </w:pPr>
    </w:p>
    <w:p w14:paraId="631BA55C"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мая 1944 фашисты провели операцию “Ход конем” по захвату И. Броз Тито, но тот успел скрыться (4962).</w:t>
      </w:r>
    </w:p>
    <w:p w14:paraId="36A395C3"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CB51D6D" w14:textId="77777777" w:rsidR="00773CC6" w:rsidRPr="007224C3" w:rsidRDefault="00773CC6"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23 мая</w:t>
      </w:r>
      <w:r w:rsidRPr="007224C3">
        <w:rPr>
          <w:rFonts w:ascii="Times New Roman" w:hAnsi="Times New Roman"/>
          <w:color w:val="000000" w:themeColor="text1"/>
          <w:sz w:val="16"/>
          <w:szCs w:val="16"/>
        </w:rPr>
        <w:t xml:space="preserve"> в 1944 году главнокомандующий немецкими войсками во Франции, Бельгии и Нидерландах Руднштедт, оценивая обстановку, высказал мнение, что «наиболее угрожаемым участком нашей бороны является фронт между рекой Шельда и Нормандией, а также северная часть полуострова Бретань, включая Брест» (14900).</w:t>
      </w:r>
    </w:p>
    <w:p w14:paraId="0B36B24C" w14:textId="77777777" w:rsidR="00773CC6" w:rsidRPr="007224C3" w:rsidRDefault="00773CC6" w:rsidP="007224C3">
      <w:pPr>
        <w:spacing w:after="0" w:line="240" w:lineRule="auto"/>
        <w:jc w:val="both"/>
        <w:rPr>
          <w:rFonts w:ascii="Times New Roman" w:hAnsi="Times New Roman"/>
          <w:color w:val="000000" w:themeColor="text1"/>
          <w:sz w:val="16"/>
          <w:szCs w:val="16"/>
        </w:rPr>
      </w:pPr>
    </w:p>
    <w:p w14:paraId="4C62BCF7" w14:textId="77777777" w:rsidR="00773CC6" w:rsidRPr="007224C3" w:rsidRDefault="00773CC6"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23 мая</w:t>
      </w:r>
      <w:r w:rsidRPr="007224C3">
        <w:rPr>
          <w:rFonts w:ascii="Times New Roman" w:hAnsi="Times New Roman"/>
          <w:color w:val="000000" w:themeColor="text1"/>
          <w:sz w:val="16"/>
          <w:szCs w:val="16"/>
        </w:rPr>
        <w:t xml:space="preserve"> в 1944 году (23 - 25 мая) американские войска с плацдарма в районе Анцион прорвали фронт и соединились с английскими войсками, наступавшими на север от Кассино (14900).</w:t>
      </w:r>
    </w:p>
    <w:p w14:paraId="02F821C8" w14:textId="77777777" w:rsidR="00773CC6" w:rsidRPr="007224C3" w:rsidRDefault="00773CC6" w:rsidP="007224C3">
      <w:pPr>
        <w:spacing w:after="0" w:line="240" w:lineRule="auto"/>
        <w:jc w:val="both"/>
        <w:rPr>
          <w:rFonts w:ascii="Times New Roman" w:hAnsi="Times New Roman"/>
          <w:color w:val="000000" w:themeColor="text1"/>
          <w:sz w:val="16"/>
          <w:szCs w:val="16"/>
        </w:rPr>
      </w:pPr>
    </w:p>
    <w:p w14:paraId="0434A52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May 23rd, 1944: In Italy, the US Fifth Army (Clark) begins an offensive from the Anzio bridgehead toward Rome, while the British Eighth Army (Alexander) attacks the Dora Line further East (3819).</w:t>
      </w:r>
    </w:p>
    <w:p w14:paraId="72B0F5E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9D59D5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мая 1944 5А США (Кларк) начала наступление от Анцио к Риму, а британская 8А (Александр) начала атаки на Линию Дора (3819).</w:t>
      </w:r>
    </w:p>
    <w:p w14:paraId="63029AE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FC7603"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71484DD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DDF41F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мая 1944 года начальник НИИ ВВС генерал-лейтенант ИАС Лосюков и начальник 3 отдела НИИ ВВС инженер-полковник Сафронов писали письмо N 3/725 гл. инженеру ВВС генерал-полковнику ИАС Репину А.К., Шахурину, УК ЦК ВКП(б) генерал-полковнику авиации Шиманову Н.С.</w:t>
      </w:r>
    </w:p>
    <w:p w14:paraId="78F198B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Доношу, что 20 мая 1944 года в НИИ ВВС прибыл на государственное испытание самолет Пе-2Б с 2ВК-105ПФ эталон 1944 года после ремонта моторамы на заводе N 23.</w:t>
      </w:r>
    </w:p>
    <w:p w14:paraId="677D4A9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самолете произведено 2 полета на определение температурных режимов винто-моторной группы. 22 мая 1944 года при проведении километража была замечена тряска левого мотора, вследствие чего задание было прекращено. Осмотром и опробованием мотора на земле установлено, что причиной тряски является попадание масла в карбюраторы, вследствие разрушения уплотнения подшипника нагнетателя. Мотор подлежит замене. Испытания самолета приостановлены до получения нового мотора ВК-105ПФ (1821).</w:t>
      </w:r>
    </w:p>
    <w:p w14:paraId="4CA2C0F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D9E324" w14:textId="77777777" w:rsidR="00D22FC4" w:rsidRPr="007224C3" w:rsidRDefault="00D22FC4"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24 мая 1944 самолет ТБ-7 №42066 перегнали из Тилинга на аэродром Прествик, который имел более длинную взлетную полосу и располагался ближе к Исландии, куда им предстояло лететь даль</w:t>
      </w:r>
      <w:r w:rsidRPr="007224C3">
        <w:rPr>
          <w:rFonts w:ascii="Times New Roman" w:hAnsi="Times New Roman"/>
          <w:color w:val="0070C0"/>
          <w:sz w:val="16"/>
          <w:szCs w:val="16"/>
        </w:rPr>
        <w:softHyphen/>
        <w:t>ше. Продолжительность полета составила 47 минут. Здесь с самолета сняли бронеспинки, бронеплиты и часть боеприпасов для пушек и пулеметов, так как вероятность встречи с самолетами противника над северной Атлан</w:t>
      </w:r>
      <w:r w:rsidRPr="007224C3">
        <w:rPr>
          <w:rFonts w:ascii="Times New Roman" w:hAnsi="Times New Roman"/>
          <w:color w:val="0070C0"/>
          <w:sz w:val="16"/>
          <w:szCs w:val="16"/>
        </w:rPr>
        <w:softHyphen/>
        <w:t>тикой была мала. Взамен этого на борт взяли две большие резиновые надувные лодки (клипперботы) и спасательные жилеты на каждого члена экипажа. Вместо скамеек для пассажиров в центральном отсеке установи</w:t>
      </w:r>
      <w:r w:rsidRPr="007224C3">
        <w:rPr>
          <w:rFonts w:ascii="Times New Roman" w:hAnsi="Times New Roman"/>
          <w:color w:val="0070C0"/>
          <w:sz w:val="16"/>
          <w:szCs w:val="16"/>
        </w:rPr>
        <w:softHyphen/>
        <w:t>ли мягкие диваны и постелили ковер. В один из дней командиру корабля позвонили из Лондона и сказали, что англичане предла</w:t>
      </w:r>
      <w:r w:rsidRPr="007224C3">
        <w:rPr>
          <w:rFonts w:ascii="Times New Roman" w:hAnsi="Times New Roman"/>
          <w:color w:val="0070C0"/>
          <w:sz w:val="16"/>
          <w:szCs w:val="16"/>
        </w:rPr>
        <w:softHyphen/>
        <w:t>гают им взять на борт своего штурмана и радиста. Предложение вызвало негодование у наших штурманов и радистов. Вскоре позвонили еще раз и настояли взять хотя бы одного радиста. Пришлось согласиться, и вскоре прибыл радист канадец мистер Кемпбелл. Тем временем наша делегация в Лондо</w:t>
      </w:r>
      <w:r w:rsidRPr="007224C3">
        <w:rPr>
          <w:rFonts w:ascii="Times New Roman" w:hAnsi="Times New Roman"/>
          <w:color w:val="0070C0"/>
          <w:sz w:val="16"/>
          <w:szCs w:val="16"/>
        </w:rPr>
        <w:softHyphen/>
        <w:t>не провела переговоры и прибыла на аэро</w:t>
      </w:r>
      <w:r w:rsidRPr="007224C3">
        <w:rPr>
          <w:rFonts w:ascii="Times New Roman" w:hAnsi="Times New Roman"/>
          <w:color w:val="0070C0"/>
          <w:sz w:val="16"/>
          <w:szCs w:val="16"/>
        </w:rPr>
        <w:softHyphen/>
        <w:t>дром. Старт был назначен на 27 мая, и в 7 часов 20 минут корабль взлетел. На подлете к аэродрому Рейкьявика к ТБ-7 пристроились две «Аэрокобры» и сопроводили до аэродро</w:t>
      </w:r>
      <w:r w:rsidRPr="007224C3">
        <w:rPr>
          <w:rFonts w:ascii="Times New Roman" w:hAnsi="Times New Roman"/>
          <w:color w:val="0070C0"/>
          <w:sz w:val="16"/>
          <w:szCs w:val="16"/>
        </w:rPr>
        <w:softHyphen/>
        <w:t>ма. В 11 часов 57 минут через 4 часа 37 минут после взлета, преодолев 1590 километров пути, самолет совершил посадку (19936).</w:t>
      </w:r>
    </w:p>
    <w:p w14:paraId="42EBDF6D" w14:textId="77777777" w:rsidR="00D22FC4" w:rsidRPr="007224C3" w:rsidRDefault="00D22FC4" w:rsidP="007224C3">
      <w:pPr>
        <w:spacing w:after="0" w:line="240" w:lineRule="auto"/>
        <w:jc w:val="both"/>
        <w:rPr>
          <w:rFonts w:ascii="Times New Roman" w:hAnsi="Times New Roman"/>
          <w:color w:val="0070C0"/>
          <w:sz w:val="16"/>
          <w:szCs w:val="16"/>
        </w:rPr>
      </w:pPr>
    </w:p>
    <w:p w14:paraId="1AD2B71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мая 1944 Зам. Нач. 7ГУ Алексеев подготовил сводку г-7 № 6793 о ходе испытаний высотных самолетов на 23 мая 1944 по Як-9 М-105ПД, Ла-5 АШ-82ФН и 2ТК-3, МиГ АМ-39А и 2ТК-2Б (1825).</w:t>
      </w:r>
    </w:p>
    <w:p w14:paraId="20C635D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ВЫСОТНЫЙ ИСТРЕБИТЕЛЬ Як-9 с М-105ПД</w:t>
      </w:r>
    </w:p>
    <w:p w14:paraId="6F0C15B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После замены РПД и проверки системы зажигания, 23 мая состоялся контрольный полет, в котором на высоте 4000 мт резко упало давление масла в моторе. После посадки произведен осмотр самолета и масляной системы, обнаруживший наличие стружки в маслофильтре.Мотор подлежит замене.</w:t>
      </w:r>
    </w:p>
    <w:p w14:paraId="3DAA693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ЦИАМ поставлен в известность о выходе мотора из строя и о необходимости срочной поставки нового мо</w:t>
      </w:r>
      <w:r w:rsidRPr="007224C3">
        <w:rPr>
          <w:rFonts w:ascii="Times New Roman" w:hAnsi="Times New Roman"/>
          <w:color w:val="000000" w:themeColor="text1"/>
          <w:sz w:val="16"/>
          <w:szCs w:val="16"/>
        </w:rPr>
        <w:softHyphen/>
        <w:t>тора. По заявлению Начальника Высотного отдела ЦИАМа тов.ФАДЕЕВА, мотор будет подан 1 июня с.г.</w:t>
      </w:r>
    </w:p>
    <w:p w14:paraId="4D94664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ВЫСОТНЫЙ ИСТРЕЕИТЕТЬ Ла-5 с АШ-82ФН и 2ТК-3</w:t>
      </w:r>
    </w:p>
    <w:p w14:paraId="5124D48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Производилось устранение дефектов и гонка мотора на земле. ВМГ самолета на земле работает нормально. Температура головок цилиндров снижена до нормальной. Полет намечен на 24 мая.</w:t>
      </w:r>
    </w:p>
    <w:p w14:paraId="0CFA79B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ВЫСОТНЫЙ ИСТРЕБИТЕЛЬ МИГ с мотором АМ-39Б и 2ТК-2Б</w:t>
      </w:r>
    </w:p>
    <w:p w14:paraId="001B40B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Продолжались работы по изготовлению новых узлов крепления радиатора и воздухопривода в связи с уста</w:t>
      </w:r>
      <w:r w:rsidRPr="007224C3">
        <w:rPr>
          <w:rFonts w:ascii="Times New Roman" w:hAnsi="Times New Roman"/>
          <w:color w:val="000000" w:themeColor="text1"/>
          <w:sz w:val="16"/>
          <w:szCs w:val="16"/>
        </w:rPr>
        <w:softHyphen/>
        <w:t>новкой нового улучшенного воздухо-воздушного радиато</w:t>
      </w:r>
      <w:r w:rsidRPr="007224C3">
        <w:rPr>
          <w:rFonts w:ascii="Times New Roman" w:hAnsi="Times New Roman"/>
          <w:color w:val="000000" w:themeColor="text1"/>
          <w:sz w:val="16"/>
          <w:szCs w:val="16"/>
        </w:rPr>
        <w:softHyphen/>
        <w:t>ра (1825).</w:t>
      </w:r>
    </w:p>
    <w:p w14:paraId="308D5B0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EB0DF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мая 1944 года N 0470 гл. инженеру ВВС генерал-полковнику ИАС Репину А.К., Шахурину, УК ЦК ВКП(б) генерал-полковнику авиации Шиманову Н.С.</w:t>
      </w:r>
    </w:p>
    <w:p w14:paraId="09848C5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Докладываю о ходе испытаний модернизированного самолета Лагг-3 с мотором ВК-105ПФ2 конструкции Горбунова, производства завода N 31.</w:t>
      </w:r>
    </w:p>
    <w:p w14:paraId="3D08888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принят на испытания 10 мая 1944 года. Испытания начаты 10 мая, приостановлены 12 мая, ввиду выхода из строя мотора ВК-105ПФ2 (течь воды через уплотнение рубашки левого блока цилиндров) и возобновлены после установки нового мотора 18 мая 1944 года.</w:t>
      </w:r>
    </w:p>
    <w:p w14:paraId="0B6A48E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10 по 19 мая 1944 года произведено 6 полетов, общей продолжительностью 3 часа 00 минут, из них: два полета контрольных и остальные для определения летных характеристик и температурных режимов винто-моторной группы.</w:t>
      </w:r>
    </w:p>
    <w:p w14:paraId="077AD58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мая 1944 года испытания прерваны (1821).</w:t>
      </w:r>
    </w:p>
    <w:p w14:paraId="0E5E643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36CF4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мая 1944 года начальник НИИ ВВС генерал-лейтенант ИАС Лосюков и начальник 3 отдела НИИ ВВС инженер-полковник Сафронов писали письмо N 3/725 гл. инженеру ВВС генерал-полковнику ИАС Репину А.К., Шахурину, УК ЦК ВКП(б) генерал-полковнику авиации Шиманову Н.С.</w:t>
      </w:r>
    </w:p>
    <w:p w14:paraId="0FBB572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Докладываю о ходе испытаний самолета МИГ-3 улучшенного с АМ-39 в НИИ ВВС.</w:t>
      </w:r>
    </w:p>
    <w:p w14:paraId="210A292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принят на испытания 12 мая 1944 года.</w:t>
      </w:r>
    </w:p>
    <w:p w14:paraId="1DD9EF2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12 по 19 мая произведено 10 полетов, общей продолжительностью 7 часов 30 минут.</w:t>
      </w:r>
    </w:p>
    <w:p w14:paraId="4CB7615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Произведены полеты: пробный, на определение наивыгоднейших скоростей набора, на определение температурного режима, на определение максимальных горизонтальных скоростей с винтами АВ-5Л-126А и ВИШ-105Л-10.</w:t>
      </w:r>
    </w:p>
    <w:p w14:paraId="321D06D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время испытаний выявлены следующие недостатки:</w:t>
      </w:r>
    </w:p>
    <w:p w14:paraId="1E9D2D1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Затруднена трехточечная посадка самолета, так как при доборе ручки теряется эффективность руля высоты.</w:t>
      </w:r>
    </w:p>
    <w:p w14:paraId="0ED7BF4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Перегревается вода при пробе мотора, на рулежке и на наборе высоты.</w:t>
      </w:r>
    </w:p>
    <w:p w14:paraId="05D193D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полете 19 мая 1944 года на определение максимальных горизонтальных скоростей на форсированном режиме работы мотора, мотор вышел из строя.</w:t>
      </w:r>
    </w:p>
    <w:p w14:paraId="54211D1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осмотре в фильтре маслобака обнаружено большое количество металлической стружки.</w:t>
      </w:r>
    </w:p>
    <w:p w14:paraId="15658C2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Испытания самолета временно приостановлены для замены мотора (1821).</w:t>
      </w:r>
    </w:p>
    <w:p w14:paraId="73BE0EE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4F8FBC"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504A000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1EFF97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период с 24 мая по 10 июня 1944 г. на НИБТ полигоне были проведены испытания двух опытных машин Т-34-85М. Учитывая исключительную необходимость усиления броневой защиты лобовой части танка Т-34 члены комиссии посчитали целесообразным немедленное введение в серийное производство модернизированного танка. Однако, в связи с тем, что завод № 183 занимался доработкой танка Т-44, который по с боевым качествам превосходил танки Т-34-85, ГБТУ не ставило перед ГКО вопрос о принятии модернизированного танка Т-34-85М на серийное производство (10703).</w:t>
      </w:r>
    </w:p>
    <w:p w14:paraId="2E430E4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8843F0" w14:textId="77777777" w:rsidR="00552857" w:rsidRPr="007224C3" w:rsidRDefault="0055285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24 мая по 10 июня 1944 года на НИБТ полигоне прошли испытания двух машин, получивших обозначение Т-35-85М. Модернизация заключалась в следующем: верхний лобовой лист корпуса установили толщиной 75 мм. башня имела бронезащиту 90 мм в лобовой части и 70 - 52 на бортах. Во избежание увеличения массы танка уменьшили толщину листов дниша. днища подкрылков, крыши моторного и трансмиссионного отделения с 20 до 15 мм и нижнего листа кормы с 45 до 30 мм. В результате масса Т-34М составила 32,3 тонны.</w:t>
      </w:r>
    </w:p>
    <w:p w14:paraId="4FA32F38" w14:textId="77777777" w:rsidR="00552857" w:rsidRPr="007224C3" w:rsidRDefault="0055285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втором образце, кроме того вместо шести топливных баков, размещенных на серийном Т-34-85 в боевом и моторном отделениях, в корме установили два топливных бака емкостью по 190 л, из-за чего пришлось изменить форму кормовой части корпуса.</w:t>
      </w:r>
    </w:p>
    <w:p w14:paraId="425759CD" w14:textId="77777777" w:rsidR="00552857" w:rsidRPr="007224C3" w:rsidRDefault="0055285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Проведенные на полигоне испытания показали неплохие результаты, но все же не обеспечивали надежной защиты от новых немецких танковых и противотанковых орудий. Например, при обстреле верхнего лобового листа толщиной 75 мм из 75-мм пушки «Пантеры» он пробивался бронебойным снарядом с дистанции 650 метров, а из 88-мм пушки РаК 43 с дистанции до 2000 метров. Вопрос об организации серийного производства танков Т-34-85М не поднимался.</w:t>
      </w:r>
    </w:p>
    <w:p w14:paraId="2C1CDAE0" w14:textId="77777777" w:rsidR="00552857" w:rsidRPr="007224C3" w:rsidRDefault="0055285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После начала серийного производства Т-34-85 делались попытки усилить их вооружение (12217).</w:t>
      </w:r>
    </w:p>
    <w:p w14:paraId="6A058F33" w14:textId="77777777" w:rsidR="00552857" w:rsidRPr="007224C3" w:rsidRDefault="00552857" w:rsidP="007224C3">
      <w:pPr>
        <w:spacing w:after="0" w:line="240" w:lineRule="auto"/>
        <w:jc w:val="both"/>
        <w:rPr>
          <w:rFonts w:ascii="Times New Roman" w:hAnsi="Times New Roman"/>
          <w:color w:val="000000" w:themeColor="text1"/>
          <w:sz w:val="16"/>
          <w:szCs w:val="16"/>
        </w:rPr>
      </w:pPr>
    </w:p>
    <w:p w14:paraId="725390D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мая 1944 г. была подггтовлена СПРАВКА О ВЫПОЛНЕНИИ ПРОГРАММЫ ПО ВЫПУСКУ НОВЫХ ТАНКОВ И САМОХОДНЫХ АРТУСТАНОВОК В ПРОЦЕНТАХ К ПЛАНУ, с 1.07.1941 г. по 1.05.1944 г.</w:t>
      </w:r>
    </w:p>
    <w:tbl>
      <w:tblPr>
        <w:tblW w:w="0" w:type="auto"/>
        <w:tblInd w:w="40" w:type="dxa"/>
        <w:tblLayout w:type="fixed"/>
        <w:tblCellMar>
          <w:left w:w="40" w:type="dxa"/>
          <w:right w:w="40" w:type="dxa"/>
        </w:tblCellMar>
        <w:tblLook w:val="0000" w:firstRow="0" w:lastRow="0" w:firstColumn="0" w:lastColumn="0" w:noHBand="0" w:noVBand="0"/>
      </w:tblPr>
      <w:tblGrid>
        <w:gridCol w:w="816"/>
        <w:gridCol w:w="470"/>
        <w:gridCol w:w="509"/>
        <w:gridCol w:w="518"/>
        <w:gridCol w:w="605"/>
        <w:gridCol w:w="538"/>
        <w:gridCol w:w="605"/>
        <w:gridCol w:w="566"/>
        <w:gridCol w:w="538"/>
        <w:gridCol w:w="576"/>
        <w:gridCol w:w="586"/>
        <w:gridCol w:w="605"/>
        <w:gridCol w:w="528"/>
        <w:gridCol w:w="490"/>
        <w:gridCol w:w="557"/>
        <w:gridCol w:w="557"/>
        <w:gridCol w:w="605"/>
      </w:tblGrid>
      <w:tr w:rsidR="005106D0" w:rsidRPr="007224C3" w14:paraId="5F563C4E" w14:textId="77777777">
        <w:trPr>
          <w:trHeight w:val="278"/>
        </w:trPr>
        <w:tc>
          <w:tcPr>
            <w:tcW w:w="816" w:type="dxa"/>
            <w:tcBorders>
              <w:top w:val="single" w:sz="6" w:space="0" w:color="auto"/>
              <w:left w:val="single" w:sz="6" w:space="0" w:color="auto"/>
              <w:bottom w:val="nil"/>
              <w:right w:val="single" w:sz="6" w:space="0" w:color="auto"/>
            </w:tcBorders>
          </w:tcPr>
          <w:p w14:paraId="0AE83E8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Классифи</w:t>
            </w:r>
            <w:r w:rsidRPr="007224C3">
              <w:rPr>
                <w:rFonts w:ascii="Times New Roman" w:hAnsi="Times New Roman"/>
                <w:color w:val="000000" w:themeColor="text1"/>
                <w:sz w:val="16"/>
                <w:szCs w:val="16"/>
              </w:rPr>
              <w:softHyphen/>
              <w:t>кация</w:t>
            </w:r>
          </w:p>
          <w:p w14:paraId="0AB2AFE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gridSpan w:val="2"/>
            <w:tcBorders>
              <w:top w:val="single" w:sz="6" w:space="0" w:color="auto"/>
              <w:left w:val="single" w:sz="6" w:space="0" w:color="auto"/>
              <w:bottom w:val="single" w:sz="6" w:space="0" w:color="auto"/>
              <w:right w:val="single" w:sz="6" w:space="0" w:color="auto"/>
            </w:tcBorders>
          </w:tcPr>
          <w:p w14:paraId="0413375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1941 г.</w:t>
            </w:r>
          </w:p>
          <w:p w14:paraId="703ED93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32" w:type="dxa"/>
            <w:gridSpan w:val="5"/>
            <w:tcBorders>
              <w:top w:val="single" w:sz="6" w:space="0" w:color="auto"/>
              <w:left w:val="single" w:sz="6" w:space="0" w:color="auto"/>
              <w:bottom w:val="single" w:sz="6" w:space="0" w:color="auto"/>
              <w:right w:val="single" w:sz="6" w:space="0" w:color="auto"/>
            </w:tcBorders>
          </w:tcPr>
          <w:p w14:paraId="361F562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1942 г.</w:t>
            </w:r>
          </w:p>
          <w:p w14:paraId="6B386A0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33" w:type="dxa"/>
            <w:gridSpan w:val="5"/>
            <w:tcBorders>
              <w:top w:val="single" w:sz="6" w:space="0" w:color="auto"/>
              <w:left w:val="single" w:sz="6" w:space="0" w:color="auto"/>
              <w:bottom w:val="single" w:sz="6" w:space="0" w:color="auto"/>
              <w:right w:val="single" w:sz="6" w:space="0" w:color="auto"/>
            </w:tcBorders>
          </w:tcPr>
          <w:p w14:paraId="6E48B5A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1943 г.</w:t>
            </w:r>
          </w:p>
          <w:p w14:paraId="766CE41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09" w:type="dxa"/>
            <w:gridSpan w:val="4"/>
            <w:tcBorders>
              <w:top w:val="single" w:sz="6" w:space="0" w:color="auto"/>
              <w:left w:val="single" w:sz="6" w:space="0" w:color="auto"/>
              <w:bottom w:val="single" w:sz="6" w:space="0" w:color="auto"/>
              <w:right w:val="single" w:sz="6" w:space="0" w:color="auto"/>
            </w:tcBorders>
          </w:tcPr>
          <w:p w14:paraId="4A7710E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1944 г.</w:t>
            </w:r>
          </w:p>
          <w:p w14:paraId="54D08A4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7C9E4E2" w14:textId="77777777">
        <w:trPr>
          <w:trHeight w:val="240"/>
        </w:trPr>
        <w:tc>
          <w:tcPr>
            <w:tcW w:w="816" w:type="dxa"/>
            <w:tcBorders>
              <w:top w:val="nil"/>
              <w:left w:val="single" w:sz="6" w:space="0" w:color="auto"/>
              <w:bottom w:val="single" w:sz="6" w:space="0" w:color="auto"/>
              <w:right w:val="single" w:sz="6" w:space="0" w:color="auto"/>
            </w:tcBorders>
          </w:tcPr>
          <w:p w14:paraId="0A546D1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3EA667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470" w:type="dxa"/>
            <w:tcBorders>
              <w:top w:val="single" w:sz="6" w:space="0" w:color="auto"/>
              <w:left w:val="single" w:sz="6" w:space="0" w:color="auto"/>
              <w:bottom w:val="single" w:sz="6" w:space="0" w:color="auto"/>
              <w:right w:val="nil"/>
            </w:tcBorders>
          </w:tcPr>
          <w:p w14:paraId="326901C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III кв.</w:t>
            </w:r>
          </w:p>
          <w:p w14:paraId="0174F08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nil"/>
              <w:bottom w:val="single" w:sz="6" w:space="0" w:color="auto"/>
              <w:right w:val="single" w:sz="6" w:space="0" w:color="auto"/>
            </w:tcBorders>
          </w:tcPr>
          <w:p w14:paraId="7E3C335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IV кв.</w:t>
            </w:r>
          </w:p>
          <w:p w14:paraId="668AC20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nil"/>
            </w:tcBorders>
          </w:tcPr>
          <w:p w14:paraId="7442BD7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1кв.</w:t>
            </w:r>
          </w:p>
          <w:p w14:paraId="3F6A80A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nil"/>
              <w:bottom w:val="single" w:sz="6" w:space="0" w:color="auto"/>
              <w:right w:val="nil"/>
            </w:tcBorders>
          </w:tcPr>
          <w:p w14:paraId="73D6500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II кв.</w:t>
            </w:r>
          </w:p>
          <w:p w14:paraId="7FC8C95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38" w:type="dxa"/>
            <w:tcBorders>
              <w:top w:val="single" w:sz="6" w:space="0" w:color="auto"/>
              <w:left w:val="nil"/>
              <w:bottom w:val="single" w:sz="6" w:space="0" w:color="auto"/>
              <w:right w:val="nil"/>
            </w:tcBorders>
          </w:tcPr>
          <w:p w14:paraId="54E14D2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III кв.</w:t>
            </w:r>
          </w:p>
          <w:p w14:paraId="6259815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nil"/>
              <w:bottom w:val="single" w:sz="6" w:space="0" w:color="auto"/>
              <w:right w:val="nil"/>
            </w:tcBorders>
          </w:tcPr>
          <w:p w14:paraId="1EC4054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IV кв.</w:t>
            </w:r>
          </w:p>
          <w:p w14:paraId="610C503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nil"/>
              <w:bottom w:val="single" w:sz="6" w:space="0" w:color="auto"/>
              <w:right w:val="single" w:sz="6" w:space="0" w:color="auto"/>
            </w:tcBorders>
          </w:tcPr>
          <w:p w14:paraId="306EF1E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w:t>
            </w:r>
          </w:p>
          <w:p w14:paraId="2B42F82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38" w:type="dxa"/>
            <w:tcBorders>
              <w:top w:val="single" w:sz="6" w:space="0" w:color="auto"/>
              <w:left w:val="single" w:sz="6" w:space="0" w:color="auto"/>
              <w:bottom w:val="single" w:sz="6" w:space="0" w:color="auto"/>
              <w:right w:val="nil"/>
            </w:tcBorders>
          </w:tcPr>
          <w:p w14:paraId="43376DE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1кв.</w:t>
            </w:r>
          </w:p>
          <w:p w14:paraId="407F059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nil"/>
              <w:bottom w:val="single" w:sz="6" w:space="0" w:color="auto"/>
              <w:right w:val="nil"/>
            </w:tcBorders>
          </w:tcPr>
          <w:p w14:paraId="6405415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II кв.</w:t>
            </w:r>
          </w:p>
          <w:p w14:paraId="38A7E91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nil"/>
              <w:bottom w:val="single" w:sz="6" w:space="0" w:color="auto"/>
              <w:right w:val="nil"/>
            </w:tcBorders>
          </w:tcPr>
          <w:p w14:paraId="1CA5EC5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III кв.</w:t>
            </w:r>
          </w:p>
          <w:p w14:paraId="2468053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nil"/>
              <w:bottom w:val="single" w:sz="6" w:space="0" w:color="auto"/>
              <w:right w:val="nil"/>
            </w:tcBorders>
          </w:tcPr>
          <w:p w14:paraId="459DF43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IV кв.</w:t>
            </w:r>
          </w:p>
          <w:p w14:paraId="57AFA46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28" w:type="dxa"/>
            <w:tcBorders>
              <w:top w:val="single" w:sz="6" w:space="0" w:color="auto"/>
              <w:left w:val="nil"/>
              <w:bottom w:val="single" w:sz="6" w:space="0" w:color="auto"/>
              <w:right w:val="single" w:sz="6" w:space="0" w:color="auto"/>
            </w:tcBorders>
          </w:tcPr>
          <w:p w14:paraId="0842A78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w:t>
            </w:r>
          </w:p>
          <w:p w14:paraId="0021FB6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0" w:type="dxa"/>
            <w:tcBorders>
              <w:top w:val="single" w:sz="6" w:space="0" w:color="auto"/>
              <w:left w:val="single" w:sz="6" w:space="0" w:color="auto"/>
              <w:bottom w:val="single" w:sz="6" w:space="0" w:color="auto"/>
              <w:right w:val="nil"/>
            </w:tcBorders>
          </w:tcPr>
          <w:p w14:paraId="32B56C1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янв.</w:t>
            </w:r>
          </w:p>
          <w:p w14:paraId="75007C8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gridSpan w:val="2"/>
            <w:tcBorders>
              <w:top w:val="single" w:sz="6" w:space="0" w:color="auto"/>
              <w:left w:val="nil"/>
              <w:bottom w:val="single" w:sz="6" w:space="0" w:color="auto"/>
              <w:right w:val="nil"/>
            </w:tcBorders>
          </w:tcPr>
          <w:p w14:paraId="2EB55A6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фев. | март</w:t>
            </w:r>
          </w:p>
          <w:p w14:paraId="7E59C68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nil"/>
              <w:bottom w:val="single" w:sz="6" w:space="0" w:color="auto"/>
              <w:right w:val="single" w:sz="6" w:space="0" w:color="auto"/>
            </w:tcBorders>
          </w:tcPr>
          <w:p w14:paraId="55213FB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апр.</w:t>
            </w:r>
          </w:p>
          <w:p w14:paraId="77955AD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0CA4779" w14:textId="77777777">
        <w:trPr>
          <w:trHeight w:val="202"/>
        </w:trPr>
        <w:tc>
          <w:tcPr>
            <w:tcW w:w="9669" w:type="dxa"/>
            <w:gridSpan w:val="17"/>
            <w:tcBorders>
              <w:top w:val="single" w:sz="6" w:space="0" w:color="auto"/>
              <w:left w:val="single" w:sz="6" w:space="0" w:color="auto"/>
              <w:bottom w:val="single" w:sz="6" w:space="0" w:color="auto"/>
              <w:right w:val="single" w:sz="6" w:space="0" w:color="auto"/>
            </w:tcBorders>
          </w:tcPr>
          <w:p w14:paraId="575E8DB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 Танки</w:t>
            </w:r>
          </w:p>
          <w:p w14:paraId="61706B1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574C634" w14:textId="77777777">
        <w:trPr>
          <w:trHeight w:val="557"/>
        </w:trPr>
        <w:tc>
          <w:tcPr>
            <w:tcW w:w="816" w:type="dxa"/>
            <w:tcBorders>
              <w:top w:val="single" w:sz="6" w:space="0" w:color="auto"/>
              <w:left w:val="single" w:sz="6" w:space="0" w:color="auto"/>
              <w:bottom w:val="single" w:sz="6" w:space="0" w:color="auto"/>
              <w:right w:val="single" w:sz="6" w:space="0" w:color="auto"/>
            </w:tcBorders>
          </w:tcPr>
          <w:p w14:paraId="5B24C42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Тяжелые Средние Легкие</w:t>
            </w:r>
          </w:p>
          <w:p w14:paraId="2C86B64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70" w:type="dxa"/>
            <w:tcBorders>
              <w:top w:val="single" w:sz="6" w:space="0" w:color="auto"/>
              <w:left w:val="single" w:sz="6" w:space="0" w:color="auto"/>
              <w:bottom w:val="single" w:sz="6" w:space="0" w:color="auto"/>
              <w:right w:val="single" w:sz="6" w:space="0" w:color="auto"/>
            </w:tcBorders>
          </w:tcPr>
          <w:p w14:paraId="470CC4D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85,0 84,1 23,0</w:t>
            </w:r>
          </w:p>
          <w:p w14:paraId="4FE9867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4CD93D5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47,8 56,0 85,0</w:t>
            </w:r>
          </w:p>
          <w:p w14:paraId="4512AA2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7815ECC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70,1 56,7 67,0</w:t>
            </w:r>
          </w:p>
          <w:p w14:paraId="7C28CBD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44207FD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106,0 83,5 92,1</w:t>
            </w:r>
          </w:p>
          <w:p w14:paraId="2DD6719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38" w:type="dxa"/>
            <w:tcBorders>
              <w:top w:val="single" w:sz="6" w:space="0" w:color="auto"/>
              <w:left w:val="single" w:sz="6" w:space="0" w:color="auto"/>
              <w:bottom w:val="single" w:sz="6" w:space="0" w:color="auto"/>
              <w:right w:val="single" w:sz="6" w:space="0" w:color="auto"/>
            </w:tcBorders>
          </w:tcPr>
          <w:p w14:paraId="16D0970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100,1 88,6 111,5</w:t>
            </w:r>
          </w:p>
          <w:p w14:paraId="5B3FCED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39EE4D3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72,5 87,6 75,7</w:t>
            </w:r>
          </w:p>
          <w:p w14:paraId="06152BA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75382BA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86,5 80,9 83,5</w:t>
            </w:r>
          </w:p>
          <w:p w14:paraId="06EFE09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38" w:type="dxa"/>
            <w:tcBorders>
              <w:top w:val="single" w:sz="6" w:space="0" w:color="auto"/>
              <w:left w:val="single" w:sz="6" w:space="0" w:color="auto"/>
              <w:bottom w:val="single" w:sz="6" w:space="0" w:color="auto"/>
              <w:right w:val="single" w:sz="6" w:space="0" w:color="auto"/>
            </w:tcBorders>
          </w:tcPr>
          <w:p w14:paraId="3B88C85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79,6 91,5 86,6</w:t>
            </w:r>
          </w:p>
          <w:p w14:paraId="097B961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653AB9D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54,4 75,5 64,0</w:t>
            </w:r>
          </w:p>
          <w:p w14:paraId="18F7544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6368067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112,9 100,2 102,0</w:t>
            </w:r>
          </w:p>
          <w:p w14:paraId="28CD270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615EED9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100,1 100,1 105,5</w:t>
            </w:r>
          </w:p>
          <w:p w14:paraId="11CCAC1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73F2D51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81,5 91,0 83,0</w:t>
            </w:r>
          </w:p>
          <w:p w14:paraId="45E5619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0" w:type="dxa"/>
            <w:tcBorders>
              <w:top w:val="single" w:sz="6" w:space="0" w:color="auto"/>
              <w:left w:val="single" w:sz="6" w:space="0" w:color="auto"/>
              <w:bottom w:val="single" w:sz="6" w:space="0" w:color="auto"/>
              <w:right w:val="single" w:sz="6" w:space="0" w:color="auto"/>
            </w:tcBorders>
          </w:tcPr>
          <w:p w14:paraId="0BDDCB7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100,0 100,1</w:t>
            </w:r>
          </w:p>
          <w:p w14:paraId="56D3D73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17F364C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100,0 102,5</w:t>
            </w:r>
          </w:p>
          <w:p w14:paraId="6F6D979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5A5DFE6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100,0 97,8</w:t>
            </w:r>
          </w:p>
          <w:p w14:paraId="62F6BC2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2E9DA14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100,0 100,2</w:t>
            </w:r>
          </w:p>
          <w:p w14:paraId="7040EA9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5041224" w14:textId="77777777">
        <w:trPr>
          <w:trHeight w:val="202"/>
        </w:trPr>
        <w:tc>
          <w:tcPr>
            <w:tcW w:w="9669" w:type="dxa"/>
            <w:gridSpan w:val="17"/>
            <w:tcBorders>
              <w:top w:val="single" w:sz="6" w:space="0" w:color="auto"/>
              <w:left w:val="single" w:sz="6" w:space="0" w:color="auto"/>
              <w:bottom w:val="single" w:sz="6" w:space="0" w:color="auto"/>
              <w:right w:val="single" w:sz="6" w:space="0" w:color="auto"/>
            </w:tcBorders>
          </w:tcPr>
          <w:p w14:paraId="6BE46B7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Самоходные артустановки</w:t>
            </w:r>
          </w:p>
          <w:p w14:paraId="34FBA56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1C2CC95" w14:textId="77777777">
        <w:trPr>
          <w:trHeight w:val="605"/>
        </w:trPr>
        <w:tc>
          <w:tcPr>
            <w:tcW w:w="816" w:type="dxa"/>
            <w:tcBorders>
              <w:top w:val="single" w:sz="6" w:space="0" w:color="auto"/>
              <w:left w:val="single" w:sz="6" w:space="0" w:color="auto"/>
              <w:bottom w:val="single" w:sz="6" w:space="0" w:color="auto"/>
              <w:right w:val="single" w:sz="6" w:space="0" w:color="auto"/>
            </w:tcBorders>
          </w:tcPr>
          <w:p w14:paraId="7838C6B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Тяжелые Средние Легкие</w:t>
            </w:r>
          </w:p>
          <w:p w14:paraId="352D54C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70" w:type="dxa"/>
            <w:tcBorders>
              <w:top w:val="single" w:sz="6" w:space="0" w:color="auto"/>
              <w:left w:val="single" w:sz="6" w:space="0" w:color="auto"/>
              <w:bottom w:val="single" w:sz="6" w:space="0" w:color="auto"/>
              <w:right w:val="single" w:sz="6" w:space="0" w:color="auto"/>
            </w:tcBorders>
          </w:tcPr>
          <w:p w14:paraId="271ACDA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_</w:t>
            </w:r>
          </w:p>
          <w:p w14:paraId="4A4F8A2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6874E7B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_</w:t>
            </w:r>
          </w:p>
          <w:p w14:paraId="67EB467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47FBAA1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_</w:t>
            </w:r>
          </w:p>
          <w:p w14:paraId="1CB8D9D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7A89203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_</w:t>
            </w:r>
          </w:p>
          <w:p w14:paraId="79A67A8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38" w:type="dxa"/>
            <w:tcBorders>
              <w:top w:val="single" w:sz="6" w:space="0" w:color="auto"/>
              <w:left w:val="single" w:sz="6" w:space="0" w:color="auto"/>
              <w:bottom w:val="single" w:sz="6" w:space="0" w:color="auto"/>
              <w:right w:val="single" w:sz="6" w:space="0" w:color="auto"/>
            </w:tcBorders>
          </w:tcPr>
          <w:p w14:paraId="02B894F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_</w:t>
            </w:r>
          </w:p>
          <w:p w14:paraId="7E38B46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606DD55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50,0 100,0</w:t>
            </w:r>
          </w:p>
          <w:p w14:paraId="709E808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0BB5F35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50,0 100,0</w:t>
            </w:r>
          </w:p>
          <w:p w14:paraId="5E4630B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38" w:type="dxa"/>
            <w:tcBorders>
              <w:top w:val="single" w:sz="6" w:space="0" w:color="auto"/>
              <w:left w:val="single" w:sz="6" w:space="0" w:color="auto"/>
              <w:bottom w:val="single" w:sz="6" w:space="0" w:color="auto"/>
              <w:right w:val="single" w:sz="6" w:space="0" w:color="auto"/>
            </w:tcBorders>
          </w:tcPr>
          <w:p w14:paraId="45C6E47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87,5 77,3 66,0</w:t>
            </w:r>
          </w:p>
          <w:p w14:paraId="7A36C3B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21FEA58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82,2 91,6 85,3</w:t>
            </w:r>
          </w:p>
          <w:p w14:paraId="4120534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1026B51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100,0 96,0 103,4</w:t>
            </w:r>
          </w:p>
          <w:p w14:paraId="37FDE9F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2306059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102,4 100,8 100,6</w:t>
            </w:r>
          </w:p>
          <w:p w14:paraId="39126A8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128D4E4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94,5 90,8 90,8</w:t>
            </w:r>
          </w:p>
          <w:p w14:paraId="5200CB1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0" w:type="dxa"/>
            <w:tcBorders>
              <w:top w:val="single" w:sz="6" w:space="0" w:color="auto"/>
              <w:left w:val="single" w:sz="6" w:space="0" w:color="auto"/>
              <w:bottom w:val="single" w:sz="6" w:space="0" w:color="auto"/>
              <w:right w:val="single" w:sz="6" w:space="0" w:color="auto"/>
            </w:tcBorders>
          </w:tcPr>
          <w:p w14:paraId="037C0E4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100,0 100,6 100,3</w:t>
            </w:r>
          </w:p>
          <w:p w14:paraId="493C298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241236A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100,0 100,6 100,2</w:t>
            </w:r>
          </w:p>
          <w:p w14:paraId="69C75BE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201D0EA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100,0 100,5 100,4</w:t>
            </w:r>
          </w:p>
          <w:p w14:paraId="15C7C17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2B55867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100,0 100,0 100,4</w:t>
            </w:r>
          </w:p>
          <w:p w14:paraId="0B14385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492F3B9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ТУ ГБТУ КА генерал-майор инженерно-танковой службы Афонин</w:t>
      </w:r>
    </w:p>
    <w:p w14:paraId="340D999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УСА ГБТУ КА генерал-майор инженерно-танковой службы Алымов</w:t>
      </w:r>
    </w:p>
    <w:p w14:paraId="08CA4D9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38. Оп. 11355. Д. 663. Л. 11. Подлинник (11420).</w:t>
      </w:r>
    </w:p>
    <w:p w14:paraId="540F468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910F35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мая 1944 г. было подготовлено СООБЩЕНИЕ НАРОДНОГО КОМИССАРА ВНЕШНЕЙ ТОРГОВЛИ СССР КОМАНДУЮЩЕМУ БТ и МВ КА С ВЫДЕРЖКАМИ ИЗ ОФИЦИАЛЬНОГО ОТЧЕТА ВОЕННОГО ДЕПАРТАМЕНТА США ПО ИСПЫТАНИЮ ТАНКОВ КВ И Т-34</w:t>
      </w:r>
    </w:p>
    <w:p w14:paraId="4A53619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Направляю Вам подробный официальный отчет Военного департамента США по испытанию наших танков КВ и Т-34 на Абердинском полигоне и краткие выдержки перевода этого отчета. Прошу сообщить Ваши замечания по существу отчетов. Приложение: 2 книги отчетов и выдержки перевода.</w:t>
      </w:r>
    </w:p>
    <w:p w14:paraId="7BD2A3C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Народный комиссар внешней торговли СССР</w:t>
      </w:r>
    </w:p>
    <w:p w14:paraId="5AE3158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Микоян</w:t>
      </w:r>
    </w:p>
    <w:p w14:paraId="54BD303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Приложение ВЫДЕРЖКИ из сводного отчета по испытанию русских танков КВ и Т-34 на Абердинском полигоне</w:t>
      </w:r>
    </w:p>
    <w:p w14:paraId="78EF577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Отзывы немецкой печати.</w:t>
      </w:r>
    </w:p>
    <w:p w14:paraId="10FC486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Новые русские танки, представляющие стандарт приличной конструкции, были выпущены в поразительно короткий срок.</w:t>
      </w:r>
    </w:p>
    <w:p w14:paraId="39716F5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Наиболее страшный танк Красной Армии — это танк Т-34. Эффективность вооружения, конструк</w:t>
      </w:r>
      <w:r w:rsidRPr="007224C3">
        <w:rPr>
          <w:rFonts w:ascii="Times New Roman" w:hAnsi="Times New Roman"/>
          <w:color w:val="000000" w:themeColor="text1"/>
          <w:sz w:val="16"/>
          <w:szCs w:val="16"/>
        </w:rPr>
        <w:softHyphen/>
        <w:t>ция весьма удачного наклона брони, мобильность — делают этот танк весьма опасным для противника.</w:t>
      </w:r>
    </w:p>
    <w:p w14:paraId="4FC9BFC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Отзывы английской печати.</w:t>
      </w:r>
    </w:p>
    <w:p w14:paraId="09CF780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Русские превзошли немцев не только в производстве танков, но также и по качеству вооруже</w:t>
      </w:r>
      <w:r w:rsidRPr="007224C3">
        <w:rPr>
          <w:rFonts w:ascii="Times New Roman" w:hAnsi="Times New Roman"/>
          <w:color w:val="000000" w:themeColor="text1"/>
          <w:sz w:val="16"/>
          <w:szCs w:val="16"/>
        </w:rPr>
        <w:softHyphen/>
        <w:t>ния. Русский танк Т-34 является единственным танком, которого боятся немцы. Они считают танк Т-34 наиболее эффективным и лучшим русским танком, с которым им приходилось встречаться.</w:t>
      </w:r>
    </w:p>
    <w:p w14:paraId="773CA7F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Высокая маневренность, работа пушки и качество брони танка Т-34 превосходны, что делает его любимцем русских танковых команд.</w:t>
      </w:r>
    </w:p>
    <w:p w14:paraId="6D049F7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Танк КВ представляет интерес исключительно благодаря его броне.</w:t>
      </w:r>
    </w:p>
    <w:p w14:paraId="6567B33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Оценка американцев.</w:t>
      </w:r>
    </w:p>
    <w:p w14:paraId="565303F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Конструкция русских танков КВ и Т-34 была разработана вскоре после польской компании, до на</w:t>
      </w:r>
      <w:r w:rsidRPr="007224C3">
        <w:rPr>
          <w:rFonts w:ascii="Times New Roman" w:hAnsi="Times New Roman"/>
          <w:color w:val="000000" w:themeColor="text1"/>
          <w:sz w:val="16"/>
          <w:szCs w:val="16"/>
        </w:rPr>
        <w:softHyphen/>
        <w:t>падения Германии на Россию. Данные машины являются новейшими образцами советских танков.</w:t>
      </w:r>
    </w:p>
    <w:p w14:paraId="49CD1E4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процессе испытаний были выявлены следующие недостатки:</w:t>
      </w:r>
    </w:p>
    <w:p w14:paraId="5D0EB4E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Плохая характеристика охлаждения, ограничивающая температурный предел работы. Во время испытаний на охлаждение — вода закипала.</w:t>
      </w:r>
    </w:p>
    <w:p w14:paraId="183EBD1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Трудность управления на высоких скоростях на твердом грунте, а также переключение на низшую передачу из-за массивности шестерен трансмиссии.</w:t>
      </w:r>
    </w:p>
    <w:p w14:paraId="39E9C80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Воздухоочистители имеют неудовлетворительную характеристику, что ускоряет износ двигателя.</w:t>
      </w:r>
    </w:p>
    <w:p w14:paraId="58AC24E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Плохая проходимость по песчаной почве.</w:t>
      </w:r>
    </w:p>
    <w:p w14:paraId="5F10F37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Наблюдается недостаточная равномерность работы и неполная механическая надежность агрегатов. Вообще, надежность танков удовлетворительна, поскольку они выдержали 14-часовой пробег, но пробуксовка сцепления и перебои в работе двигателей свидетельствуют о неспособнос</w:t>
      </w:r>
      <w:r w:rsidRPr="007224C3">
        <w:rPr>
          <w:rFonts w:ascii="Times New Roman" w:hAnsi="Times New Roman"/>
          <w:color w:val="000000" w:themeColor="text1"/>
          <w:sz w:val="16"/>
          <w:szCs w:val="16"/>
        </w:rPr>
        <w:softHyphen/>
        <w:t>ти танков к более продолжительной работе.</w:t>
      </w:r>
    </w:p>
    <w:p w14:paraId="2858B02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Срок службы траков и пальцев гусеницы оказался коротким и составляет примерно 600 миль, что считается чрезмерно малым.</w:t>
      </w:r>
    </w:p>
    <w:p w14:paraId="6D6AFAD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Механическая обработка деталей и отделка арматуры недостаточны, обработка брони плохая.</w:t>
      </w:r>
    </w:p>
    <w:p w14:paraId="3C271F0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Место водителя выбрано неудачно вследствие его близости к наклонной броне. Эффектив</w:t>
      </w:r>
      <w:r w:rsidRPr="007224C3">
        <w:rPr>
          <w:rFonts w:ascii="Times New Roman" w:hAnsi="Times New Roman"/>
          <w:color w:val="000000" w:themeColor="text1"/>
          <w:sz w:val="16"/>
          <w:szCs w:val="16"/>
        </w:rPr>
        <w:softHyphen/>
        <w:t>ность работы может быть достигнута только при очень большой тренировке водителя.</w:t>
      </w:r>
    </w:p>
    <w:p w14:paraId="43DDCCC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Положительные стороны.</w:t>
      </w:r>
    </w:p>
    <w:p w14:paraId="2F05861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Контуры корпуса и башни говорят о превосходных баллистических данных, но ограничива</w:t>
      </w:r>
      <w:r w:rsidRPr="007224C3">
        <w:rPr>
          <w:rFonts w:ascii="Times New Roman" w:hAnsi="Times New Roman"/>
          <w:color w:val="000000" w:themeColor="text1"/>
          <w:sz w:val="16"/>
          <w:szCs w:val="16"/>
        </w:rPr>
        <w:softHyphen/>
        <w:t>ют полезное пространство в боевом отделении.</w:t>
      </w:r>
    </w:p>
    <w:p w14:paraId="01F723F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Предусмотрены удачные места для хранения боезапаса в нижней части корпусов.</w:t>
      </w:r>
    </w:p>
    <w:p w14:paraId="012B5FE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Пулеметы надежны и отличаются простотой конструкции.</w:t>
      </w:r>
    </w:p>
    <w:p w14:paraId="780AB1A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Прицелы превосходны, а смотровые приборы, хотя и примитивны, но удовлетворяют требо</w:t>
      </w:r>
      <w:r w:rsidRPr="007224C3">
        <w:rPr>
          <w:rFonts w:ascii="Times New Roman" w:hAnsi="Times New Roman"/>
          <w:color w:val="000000" w:themeColor="text1"/>
          <w:sz w:val="16"/>
          <w:szCs w:val="16"/>
        </w:rPr>
        <w:softHyphen/>
        <w:t>ваниям.</w:t>
      </w:r>
    </w:p>
    <w:p w14:paraId="4D4D4B5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Система воздухопуска эффективна, но ее надежность подлежит проверке.</w:t>
      </w:r>
    </w:p>
    <w:p w14:paraId="295132B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Расположение ведущих колес сзади делает танки менее уязвимыми и способствует лучшему натяжению гусениц при преодолении препятствий.</w:t>
      </w:r>
    </w:p>
    <w:p w14:paraId="2B142B1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Торсионная подвеска танка КВ представляет значительный интерес и показала себя с хоро</w:t>
      </w:r>
      <w:r w:rsidRPr="007224C3">
        <w:rPr>
          <w:rFonts w:ascii="Times New Roman" w:hAnsi="Times New Roman"/>
          <w:color w:val="000000" w:themeColor="text1"/>
          <w:sz w:val="16"/>
          <w:szCs w:val="16"/>
        </w:rPr>
        <w:softHyphen/>
        <w:t>шей стороны.</w:t>
      </w:r>
    </w:p>
    <w:p w14:paraId="3FC6E90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Низкий силуэт танков обеспечивает легкость маскировки.</w:t>
      </w:r>
    </w:p>
    <w:p w14:paraId="4CE778A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Хорошая проходимость по пересеченной местности, по грязи и по снегу.</w:t>
      </w:r>
    </w:p>
    <w:p w14:paraId="670D86B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Определенный принцип взаимозаменяемости и простота конструкции указывают на тен</w:t>
      </w:r>
      <w:r w:rsidRPr="007224C3">
        <w:rPr>
          <w:rFonts w:ascii="Times New Roman" w:hAnsi="Times New Roman"/>
          <w:color w:val="000000" w:themeColor="text1"/>
          <w:sz w:val="16"/>
          <w:szCs w:val="16"/>
        </w:rPr>
        <w:softHyphen/>
        <w:t>денцию массового производства и упрощение ремонта. Части, приборы и агрегаты танка КВ могут монтироваться на Т-34 и наоборот, что требует более узкую номенклатуру запчастей.</w:t>
      </w:r>
    </w:p>
    <w:p w14:paraId="0CF5528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Потребное количество горючего и смазок — умеренное.</w:t>
      </w:r>
    </w:p>
    <w:p w14:paraId="3A6CB6A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Запуск хороший.</w:t>
      </w:r>
    </w:p>
    <w:p w14:paraId="77A8E15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Общий предел видимости хороший.</w:t>
      </w:r>
    </w:p>
    <w:p w14:paraId="24D8AB6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Компактность танков хорошая.</w:t>
      </w:r>
    </w:p>
    <w:p w14:paraId="27356E0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Сравнение русских танков с американскими.</w:t>
      </w:r>
    </w:p>
    <w:p w14:paraId="47CBF9C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Между русским танком Т-34 и американским танком Т-4 типа Кристи существует заметное сходство. Т-34 в основном происходит от танка типа Кристи.</w:t>
      </w:r>
    </w:p>
    <w:p w14:paraId="773A60A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Огневую мощь танков в основном можно сравнить с американскими танками М-4. Несмот</w:t>
      </w:r>
      <w:r w:rsidRPr="007224C3">
        <w:rPr>
          <w:rFonts w:ascii="Times New Roman" w:hAnsi="Times New Roman"/>
          <w:color w:val="000000" w:themeColor="text1"/>
          <w:sz w:val="16"/>
          <w:szCs w:val="16"/>
        </w:rPr>
        <w:softHyphen/>
        <w:t>ря на то, что на русских танках установлены 76-мм пушки, их начальные скорости только на 100 фу</w:t>
      </w:r>
      <w:r w:rsidRPr="007224C3">
        <w:rPr>
          <w:rFonts w:ascii="Times New Roman" w:hAnsi="Times New Roman"/>
          <w:color w:val="000000" w:themeColor="text1"/>
          <w:sz w:val="16"/>
          <w:szCs w:val="16"/>
        </w:rPr>
        <w:softHyphen/>
        <w:t>тов/сек больше, чем у 75-мм пушек американских танков М-3.</w:t>
      </w:r>
    </w:p>
    <w:p w14:paraId="159B795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Удельное давление считается очень хорошим по сравнению с американскими танками, что увеличивает проходимость по плохим дорогам.</w:t>
      </w:r>
    </w:p>
    <w:p w14:paraId="088B6E0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Работа танка Т-34 на низких скоростях дает толчки, на более высоких скоростях отличается равномерностью, но все же хуже, чем у американских танков М4-А2.</w:t>
      </w:r>
    </w:p>
    <w:p w14:paraId="6807DCF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При преодолении вертикальных препятствий, русские танки проявили себя как равные или даже как превосходящие в этом отношении стандартные американские танки.</w:t>
      </w:r>
    </w:p>
    <w:p w14:paraId="10B4462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Вывод.</w:t>
      </w:r>
    </w:p>
    <w:p w14:paraId="6EF3DA8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Русские танки КВ и Т-34 в основном машины хорошей конструкции, удобные для массового производства при полуквалифицированной рабочей силе.</w:t>
      </w:r>
    </w:p>
    <w:p w14:paraId="1C14164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ЦЛМО. Ф. 38. Оп. 11355. Д. 2218. Л. 118-120. Подлинник (11420).</w:t>
      </w:r>
    </w:p>
    <w:p w14:paraId="49A7B7E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245DF8C"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мая 1944 вышло Распоряжение ГКО № 5951 [О временном оставлении 41 военнослужащего на авторемонтных заводах Москвы.] (7235, 187).</w:t>
      </w:r>
    </w:p>
    <w:p w14:paraId="0D9DC92A"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93B18C9"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мая 1944 вышло Постановление ГКО № 5954 О положении дел в целлюлозно-бумажной промышленности. (7235, 191-196).</w:t>
      </w:r>
    </w:p>
    <w:p w14:paraId="6B32D0A0"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77A82D6"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51FA173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258AFA3" w14:textId="77777777" w:rsidR="00773CC6" w:rsidRPr="007224C3" w:rsidRDefault="00773CC6"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24 мая</w:t>
      </w:r>
      <w:r w:rsidRPr="007224C3">
        <w:rPr>
          <w:rFonts w:ascii="Times New Roman" w:hAnsi="Times New Roman"/>
          <w:color w:val="000000" w:themeColor="text1"/>
          <w:sz w:val="16"/>
          <w:szCs w:val="16"/>
        </w:rPr>
        <w:t xml:space="preserve"> в 1944 году оперативная сводка Совинформбюро:</w:t>
      </w:r>
    </w:p>
    <w:p w14:paraId="1F56A4DB" w14:textId="77777777" w:rsidR="00773CC6" w:rsidRPr="007224C3" w:rsidRDefault="00773CC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24 мая на фронтах существенных изменений не произошло.</w:t>
      </w:r>
    </w:p>
    <w:p w14:paraId="59FF3895" w14:textId="77777777" w:rsidR="00773CC6" w:rsidRPr="007224C3" w:rsidRDefault="00773CC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23 мая наши войска подбили и уничтожили 27 немецких танков и самоходных орудий. В воздушных боях и огнём зенитной артиллерии сбито 9 самолётов противника.</w:t>
      </w:r>
    </w:p>
    <w:p w14:paraId="2F2A8080" w14:textId="77777777" w:rsidR="00773CC6" w:rsidRPr="007224C3" w:rsidRDefault="00773CC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Северо-западнее города Тирасполь противник утром атаковал позиции гвардейской части. Советские бойцы встретили немцев артиллерийско-миномётным и пулемётным огнём и вынудили их поспешно отойти. В течение дня немцы предприняли ещё четыре атаки, но успеха не добились. На поле боя осталось до 400 вражеских трупов. Подбито и сожжено 20 немецких танков и 4 самоходных орудия. Уничтожены 3 бронемашины, 40 автомашин и 15 повозок. Взяты пленные.</w:t>
      </w:r>
    </w:p>
    <w:p w14:paraId="0C907636" w14:textId="77777777" w:rsidR="00773CC6" w:rsidRPr="007224C3" w:rsidRDefault="00773CC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одном участке 2-го Украинского фронта немецкая артиллерийская батарея обстреливала наши позиции. Старший сержант Сахаров с группой бойцов пробрался втыл противника и внезапно напал на гитлеровцев. В короткой схватке наши бойцы уничтожили немецких артиллеристов и взорвали орудия противника. На другом участке гвардии рядовой Фёдор Залеский с группой разведчиков ворвался в село, занятое противником. Разведчики уничтожили 6 немцев и, захватив двух пленных, благополучно вернулись в свою часть.</w:t>
      </w:r>
    </w:p>
    <w:p w14:paraId="1D13A294" w14:textId="77777777" w:rsidR="00773CC6" w:rsidRPr="007224C3" w:rsidRDefault="00773CC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Юго-восточнее города Станислав противник на отдельных участках пытался вести разведку боем. Вражеские подразделения были рассеяны раньше, чем они достигли переднего края нашей обороны.</w:t>
      </w:r>
    </w:p>
    <w:p w14:paraId="1550BAA5" w14:textId="77777777" w:rsidR="00773CC6" w:rsidRPr="007224C3" w:rsidRDefault="00773CC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города Мозырь снайперы младший лейтенант Чикаш и ефрейтор Самохин ночью вышли на нейтральную зону и залегли недалеко от немецких позиций. Утром на дороге в тылу у врага показалась походная кухня. Одним выстрелом Самохин убил немца, сидевшего на передке кухни. Через некоторое время Чикаш убил подбегавшего к кухне гитлеровца, а Самохин уничтожил двух немцев, шедших по дороге с котелками в руках. Всего в течение дня два снайпера уничтожили 19 гитлеровцев.</w:t>
      </w:r>
    </w:p>
    <w:p w14:paraId="55150C3B" w14:textId="77777777" w:rsidR="00773CC6" w:rsidRPr="007224C3" w:rsidRDefault="00773CC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мая кораблями Черноморского флота потоплена немецкая подводная лодка.</w:t>
      </w:r>
    </w:p>
    <w:p w14:paraId="2383076E" w14:textId="77777777" w:rsidR="00773CC6" w:rsidRPr="007224C3" w:rsidRDefault="00773CC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Партизанский отряд, действующий в Витебской области, напал на немецкий гарнизон в одном населённом пункте. Советские патриоты уничтожили более 100 немецких оккупантов и взорвали три военных склада. Другой партизанский отряд за последние дни пустил под откос 6 воинских эшелонов противника. Кроме того, партизаны этого отряда взорвали на шоссейных и грунтовых дорогах 27 грузовых и 5 легковых автомашин, 14 повозок и вырезали несколько километров телеграфно-телефонной линии связи противника.</w:t>
      </w:r>
    </w:p>
    <w:p w14:paraId="74C0D230" w14:textId="77777777" w:rsidR="00773CC6" w:rsidRPr="007224C3" w:rsidRDefault="00773CC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сторону Красной Армии перешла группа артиллеристов 1 венгерскойгорно-стрелковой бригады. Перебежчики сообщили следующее: «Наш отряд, в количестве 50 человек, охранял склад боеприпасов. Русские автоматчики приблизились к складу. Сержант Имре Бор запретил нам стрелять в русских и предложил организованно сдаться в плен; все солдаты с радостью поддержали сержанта. До отъезда на фронт мы видели, как немцы оккупировали и грабили Венгрию. Никто из нас не хотел сложить свою голову за Гитлера».</w:t>
      </w:r>
    </w:p>
    <w:p w14:paraId="244C635D" w14:textId="77777777" w:rsidR="00773CC6" w:rsidRPr="007224C3" w:rsidRDefault="00773CC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Пленный лейтенант 2 венгерской дивизии Пал Малейтер сообщил: «Нашей дивизией фактически командуют немцы. Венгерские офицеры находятся на побегушках у немцев и без позволения немецких контролёров ничего не могут делать».</w:t>
      </w:r>
    </w:p>
    <w:p w14:paraId="218CBE3B" w14:textId="77777777" w:rsidR="00773CC6" w:rsidRPr="007224C3" w:rsidRDefault="00773CC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сводке немецкого командования, опубликованной 23 мая, говорится, что южнее Дубоссары немецкие войска будто бы уничтожили «несколько советских стрелковых дивизий и одну танковую бригаду».</w:t>
      </w:r>
    </w:p>
    <w:p w14:paraId="2F6A8FF0" w14:textId="77777777" w:rsidR="00773CC6" w:rsidRPr="007224C3" w:rsidRDefault="00773CC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 этом немецком сообщении нет ни слова правды. Уже больше месяца на участке фронта южнее Дубоссары не было ни одного крупного сражения, и только на отдельных участках происходили бои местного значения. С советской стороны в этих боях участвовали незначительные силы. Стало быть, немцы никак не могли уничтожить и, разумеется, не уничтожили «несколько стрелковых дивизий и одну танковую бригаду». Таким образом, это сообщение является плодом больного </w:t>
      </w:r>
      <w:r w:rsidRPr="007224C3">
        <w:rPr>
          <w:rFonts w:ascii="Times New Roman" w:hAnsi="Times New Roman"/>
          <w:color w:val="000000" w:themeColor="text1"/>
          <w:sz w:val="16"/>
          <w:szCs w:val="16"/>
        </w:rPr>
        <w:lastRenderedPageBreak/>
        <w:t>воображения брехунов из ставки Гитлера. Вот уже более полутора лет гитлеровцы не могут похвастаться ни одной победой, добытой ими на поле боя. С тех пор они сочиняют всевозможные небылицы об успехах немецких войск, пытаясь тем самым хоть немного приободрить своих упавших духом солдат и население Германии. О вралях из ставки Гитлера можно сказать: «Пустая мельница и без ветру мелет» (14901).</w:t>
      </w:r>
    </w:p>
    <w:p w14:paraId="2620AE00" w14:textId="77777777" w:rsidR="00773CC6" w:rsidRPr="007224C3" w:rsidRDefault="00773CC6" w:rsidP="007224C3">
      <w:pPr>
        <w:spacing w:after="0" w:line="240" w:lineRule="auto"/>
        <w:jc w:val="both"/>
        <w:rPr>
          <w:rFonts w:ascii="Times New Roman" w:hAnsi="Times New Roman"/>
          <w:color w:val="000000" w:themeColor="text1"/>
          <w:sz w:val="16"/>
          <w:szCs w:val="16"/>
        </w:rPr>
      </w:pPr>
    </w:p>
    <w:p w14:paraId="4EBFF83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мая 1944 на СФ 8 Ил-2 пикировщиков обеспечивали удар 4 Ил-2 топмачтовиков по конвою из 5 транспортов, 5 миноносцев, 10 сторожевых катеров и 4 тральщиков, обнаруженному в 10 км восточнее м. Хавинигберг. Первую группу обеспечивали 14 и, вторую - 8. Первыми ударили пикировщики, подавив зенитный огонь и потопив сторожевик. Топмачтовики бросали ФАБ-250 с 30 м и потопили транспорт в 8 тыс. т (4414,12).</w:t>
      </w:r>
    </w:p>
    <w:p w14:paraId="35A3058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176C2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мая 1944 года посадкой двух F-5 (это невооруженная модификация "Лайтнинга" - фоторазведчика) на аэродроме в Полтаве начались "челночные" рейды. Впоследствии на различных базах в СССР гостили и разведчики, и истребители Р-38; поодиночно, группами и большими соединениями. Так, в ходе операции "Фрэнтик" III в июле 1944 года в нашу страну перелетели 72 Р-38 из 15-й воздушной армии США. В их обслуживании принимал участие и наш наземный состав. Один F-5 разбили немецкие бомбы при налете ночных бомбардировщиков Люфтваффе на Полтаву. После эвакуации базы он был там брошен (3457,89).</w:t>
      </w:r>
    </w:p>
    <w:p w14:paraId="7F9BD2E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F7BCFF"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мая 1944 вышло Постановление ГКО № 5952 [О мерах по надежному прикрытию аэродромов ВВС КА средствами зенитной обороны.] (7235, 188).</w:t>
      </w:r>
    </w:p>
    <w:p w14:paraId="161A2F86"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59DD397"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мая 1944 вышло Постановление ГКО № 5953 О мобилизации местного населения и гужевого транспорта на строительство полевых оборонительных рубежей. (7235, 189-190).</w:t>
      </w:r>
    </w:p>
    <w:p w14:paraId="12CB0C45"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2A26054" w14:textId="77777777" w:rsidR="00795773" w:rsidRPr="007224C3" w:rsidRDefault="00795773"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мая 1944 в СССР сформирована югославская пехотная бригада (4962).</w:t>
      </w:r>
    </w:p>
    <w:p w14:paraId="7A561EE6" w14:textId="77777777" w:rsidR="00795773" w:rsidRPr="007224C3" w:rsidRDefault="00795773"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4EC5A16" w14:textId="77777777" w:rsidR="00795773" w:rsidRPr="007224C3" w:rsidRDefault="00795773"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мая 1944 на территории СССР была сформирована первая югославская бригада (3398,192).</w:t>
      </w:r>
    </w:p>
    <w:p w14:paraId="0A48D3A4" w14:textId="77777777" w:rsidR="00795773" w:rsidRPr="007224C3" w:rsidRDefault="00795773"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EBDF4B" w14:textId="77777777" w:rsidR="00795773"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Жизнь и внутренняя политика:</w:t>
      </w:r>
    </w:p>
    <w:p w14:paraId="41E21A3C" w14:textId="77777777" w:rsidR="00795773" w:rsidRPr="007224C3" w:rsidRDefault="00795773"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A154F68" w14:textId="77777777" w:rsidR="00795773" w:rsidRPr="007224C3" w:rsidRDefault="007957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24 мая</w:t>
      </w:r>
      <w:r w:rsidRPr="007224C3">
        <w:rPr>
          <w:rFonts w:ascii="Times New Roman" w:hAnsi="Times New Roman"/>
          <w:color w:val="000000" w:themeColor="text1"/>
          <w:sz w:val="16"/>
          <w:szCs w:val="16"/>
        </w:rPr>
        <w:t xml:space="preserve"> в 1944 году в Ленинграде впервые после блокады возобновлено троллейбусное движение. Первым открыт маршрут от Адмиралтейства до Сызранской улицы (14901).</w:t>
      </w:r>
    </w:p>
    <w:p w14:paraId="3E9419EE" w14:textId="77777777" w:rsidR="00795773" w:rsidRPr="007224C3" w:rsidRDefault="00795773" w:rsidP="007224C3">
      <w:pPr>
        <w:spacing w:after="0" w:line="240" w:lineRule="auto"/>
        <w:jc w:val="both"/>
        <w:rPr>
          <w:rFonts w:ascii="Times New Roman" w:hAnsi="Times New Roman"/>
          <w:color w:val="000000" w:themeColor="text1"/>
          <w:sz w:val="16"/>
          <w:szCs w:val="16"/>
        </w:rPr>
      </w:pPr>
    </w:p>
    <w:p w14:paraId="52B38E6F" w14:textId="77777777" w:rsidR="00701987" w:rsidRPr="007224C3" w:rsidRDefault="00701987"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Внешняя политика:</w:t>
      </w:r>
    </w:p>
    <w:p w14:paraId="4D6C2365" w14:textId="77777777" w:rsidR="00701987" w:rsidRPr="007224C3" w:rsidRDefault="00701987"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896C92F" w14:textId="77777777" w:rsidR="00701987" w:rsidRPr="007224C3" w:rsidRDefault="0070198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shd w:val="clear" w:color="auto" w:fill="FFFFFF"/>
        </w:rPr>
        <w:t>24 мая 1944 года вице-президент США Генри Уоллес Уоллес прибыл в Магадан, столицу Дальстроя. Вице-президент США имел твердое намерение узнать какими способами и методами во владениях товарища Сталина перевоспитывают врагов и преступников, как их превращают в честных трудолюбивых граждан (19016).</w:t>
      </w:r>
    </w:p>
    <w:p w14:paraId="5BB0F4B4" w14:textId="77777777" w:rsidR="00701987" w:rsidRPr="007224C3" w:rsidRDefault="00701987" w:rsidP="007224C3">
      <w:pPr>
        <w:spacing w:after="0" w:line="240" w:lineRule="auto"/>
        <w:jc w:val="both"/>
        <w:rPr>
          <w:rFonts w:ascii="Times New Roman" w:hAnsi="Times New Roman"/>
          <w:color w:val="000000" w:themeColor="text1"/>
          <w:sz w:val="16"/>
          <w:szCs w:val="16"/>
        </w:rPr>
      </w:pPr>
    </w:p>
    <w:p w14:paraId="2EA8750F"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0F9F87D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D8841D9" w14:textId="77777777" w:rsidR="006C7B98" w:rsidRPr="007224C3" w:rsidRDefault="006C7B98"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24 мая</w:t>
      </w:r>
      <w:r w:rsidRPr="007224C3">
        <w:rPr>
          <w:rFonts w:ascii="Times New Roman" w:hAnsi="Times New Roman"/>
          <w:color w:val="000000" w:themeColor="text1"/>
          <w:sz w:val="16"/>
          <w:szCs w:val="16"/>
        </w:rPr>
        <w:t xml:space="preserve"> в 1944 году поднялся в воздух второй прототип </w:t>
      </w:r>
      <w:hyperlink r:id="rId139" w:tgtFrame="_blank" w:history="1">
        <w:r w:rsidRPr="007224C3">
          <w:rPr>
            <w:rFonts w:ascii="Times New Roman" w:hAnsi="Times New Roman"/>
            <w:color w:val="000000" w:themeColor="text1"/>
            <w:sz w:val="16"/>
            <w:szCs w:val="16"/>
          </w:rPr>
          <w:t xml:space="preserve">«ХР-54» </w:t>
        </w:r>
      </w:hyperlink>
      <w:r w:rsidRPr="007224C3">
        <w:rPr>
          <w:rFonts w:ascii="Times New Roman" w:hAnsi="Times New Roman"/>
          <w:color w:val="000000" w:themeColor="text1"/>
          <w:sz w:val="16"/>
          <w:szCs w:val="16"/>
        </w:rPr>
        <w:t>(41-1211) американского истребителя «P-54» 2Swoose Goose», заказ на постройку которого был выдан 17 марта 1942-го. От своего собрата он отличался отсутствием окраски, а вместо двух турбокомпрессоров установили один фирмы «Дженерал Электрик». Истребитель успел совершить лишь два полета, после чего его передали на авиабазу «Нортон» в Калифорнии для разборки на детали. Позднее носовую часть от него перевезли в испытательный центр на авиабазе Эглин во Флориде для испытаний вооружения (14901).</w:t>
      </w:r>
    </w:p>
    <w:p w14:paraId="3F52DFA6" w14:textId="77777777" w:rsidR="006C7B98" w:rsidRPr="007224C3" w:rsidRDefault="006C7B98" w:rsidP="007224C3">
      <w:pPr>
        <w:spacing w:after="0" w:line="240" w:lineRule="auto"/>
        <w:jc w:val="both"/>
        <w:rPr>
          <w:rFonts w:ascii="Times New Roman" w:hAnsi="Times New Roman"/>
          <w:color w:val="000000" w:themeColor="text1"/>
          <w:sz w:val="16"/>
          <w:szCs w:val="16"/>
        </w:rPr>
      </w:pPr>
    </w:p>
    <w:p w14:paraId="762BBA5E" w14:textId="77777777" w:rsidR="00795773" w:rsidRPr="007224C3" w:rsidRDefault="007957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24 мая</w:t>
      </w:r>
      <w:r w:rsidRPr="007224C3">
        <w:rPr>
          <w:rFonts w:ascii="Times New Roman" w:hAnsi="Times New Roman"/>
          <w:color w:val="000000" w:themeColor="text1"/>
          <w:sz w:val="16"/>
          <w:szCs w:val="16"/>
        </w:rPr>
        <w:t xml:space="preserve"> в 1944 году в испытательном центре Пенемюнде был проведен первый испытательно-боевой пуск комплекса </w:t>
      </w:r>
      <w:hyperlink r:id="rId140" w:tgtFrame="_blank" w:history="1">
        <w:r w:rsidRPr="007224C3">
          <w:rPr>
            <w:rFonts w:ascii="Times New Roman" w:hAnsi="Times New Roman"/>
            <w:color w:val="000000" w:themeColor="text1"/>
            <w:sz w:val="16"/>
            <w:szCs w:val="16"/>
          </w:rPr>
          <w:t xml:space="preserve">«Мистел-1» </w:t>
        </w:r>
      </w:hyperlink>
      <w:r w:rsidRPr="007224C3">
        <w:rPr>
          <w:rFonts w:ascii="Times New Roman" w:hAnsi="Times New Roman"/>
          <w:color w:val="000000" w:themeColor="text1"/>
          <w:sz w:val="16"/>
          <w:szCs w:val="16"/>
        </w:rPr>
        <w:t>(«Mistel», немецкое название – «Mistletoe»), также известен как «Папа и сын» (немецкое название – «Vati und Sohn») - связка состоящая из пилотируемого истребителя «Bf-109F-4» установленного "верхом" на «Ju-88A-4» начиненного взрывчаткой, фактически являющимся летающей бомбой. Систему пилотировал испытатель фирмы «Юнкерс» З.Хольцбаур. Испытание прошло неудачно. Система предназначалась для поражения наземных объектов в глубоком тылу противника (14901).</w:t>
      </w:r>
    </w:p>
    <w:p w14:paraId="069991E0" w14:textId="77777777" w:rsidR="00795773" w:rsidRPr="007224C3" w:rsidRDefault="00795773" w:rsidP="007224C3">
      <w:pPr>
        <w:spacing w:after="0" w:line="240" w:lineRule="auto"/>
        <w:jc w:val="both"/>
        <w:rPr>
          <w:rFonts w:ascii="Times New Roman" w:hAnsi="Times New Roman"/>
          <w:color w:val="000000" w:themeColor="text1"/>
          <w:sz w:val="16"/>
          <w:szCs w:val="16"/>
        </w:rPr>
      </w:pPr>
    </w:p>
    <w:p w14:paraId="1598159A" w14:textId="77777777" w:rsidR="00D22FC4" w:rsidRPr="007224C3" w:rsidRDefault="00D22FC4"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24 мая 1944 налет американской авиации на остров Уэйк (20373).</w:t>
      </w:r>
    </w:p>
    <w:p w14:paraId="0681631B" w14:textId="77777777" w:rsidR="00D22FC4" w:rsidRPr="007224C3" w:rsidRDefault="00D22FC4" w:rsidP="007224C3">
      <w:pPr>
        <w:spacing w:after="0" w:line="240" w:lineRule="auto"/>
        <w:jc w:val="both"/>
        <w:rPr>
          <w:rFonts w:ascii="Times New Roman" w:hAnsi="Times New Roman"/>
          <w:color w:val="0070C0"/>
          <w:sz w:val="16"/>
          <w:szCs w:val="16"/>
        </w:rPr>
      </w:pPr>
    </w:p>
    <w:p w14:paraId="0DBA426C"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3D92E3A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73557C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мая 1944 был произведен контрольный полет на Ла-5 с АШ-82ФН с 2ТК-3, в котором достиг</w:t>
      </w:r>
      <w:r w:rsidRPr="007224C3">
        <w:rPr>
          <w:rFonts w:ascii="Times New Roman" w:hAnsi="Times New Roman"/>
          <w:color w:val="000000" w:themeColor="text1"/>
          <w:sz w:val="16"/>
          <w:szCs w:val="16"/>
        </w:rPr>
        <w:softHyphen/>
        <w:t>нута высота 7000 мт. Из-за попадания дыма в каби</w:t>
      </w:r>
      <w:r w:rsidRPr="007224C3">
        <w:rPr>
          <w:rFonts w:ascii="Times New Roman" w:hAnsi="Times New Roman"/>
          <w:color w:val="000000" w:themeColor="text1"/>
          <w:sz w:val="16"/>
          <w:szCs w:val="16"/>
        </w:rPr>
        <w:softHyphen/>
        <w:t>ну пилота полет был прекращен. Дымление проис</w:t>
      </w:r>
      <w:r w:rsidRPr="007224C3">
        <w:rPr>
          <w:rFonts w:ascii="Times New Roman" w:hAnsi="Times New Roman"/>
          <w:color w:val="000000" w:themeColor="text1"/>
          <w:sz w:val="16"/>
          <w:szCs w:val="16"/>
        </w:rPr>
        <w:softHyphen/>
        <w:t>ходило по причине выбивания большого количества масла из мест соединения мотора с маслопроводом и попадания его на ресивер ТК. Кроме того, с высотой падало давление бензина и грелась головка- 5-го цилиндра. Для устранения указанных дефектов, на самолете проведены следующие мероприятия:</w:t>
      </w:r>
    </w:p>
    <w:p w14:paraId="6474AD9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подтянуты соединения в моторе и маслопроводе, из'ят клапан из бензосистемы, могущий вызвать утечку азота и падение давления бензина, исправ</w:t>
      </w:r>
      <w:r w:rsidRPr="007224C3">
        <w:rPr>
          <w:rFonts w:ascii="Times New Roman" w:hAnsi="Times New Roman"/>
          <w:color w:val="000000" w:themeColor="text1"/>
          <w:sz w:val="16"/>
          <w:szCs w:val="16"/>
        </w:rPr>
        <w:softHyphen/>
        <w:t>лено дефлектирование и заменена форсунка для впрыска воды в 5-й цилиндр мотора (1825).</w:t>
      </w:r>
    </w:p>
    <w:p w14:paraId="6B34DE0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35F699" w14:textId="77777777" w:rsidR="00795773" w:rsidRPr="007224C3" w:rsidRDefault="007957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мая 1944 г. состоялся контрольный полёт на отремонтированным Ла-5А. При этом достигли высоты 7000 м, но просочившийся в кабину пилота дым вынудил прекра</w:t>
      </w:r>
      <w:r w:rsidRPr="007224C3">
        <w:rPr>
          <w:rFonts w:ascii="Times New Roman" w:hAnsi="Times New Roman"/>
          <w:color w:val="000000" w:themeColor="text1"/>
          <w:sz w:val="16"/>
          <w:szCs w:val="16"/>
        </w:rPr>
        <w:softHyphen/>
        <w:t>тить полёт. Дым образовался в результате выбивания большого количества масла из мест соединения мотора с маслопроводом и попадания его в ресивер турбокомпрессо</w:t>
      </w:r>
      <w:r w:rsidRPr="007224C3">
        <w:rPr>
          <w:rFonts w:ascii="Times New Roman" w:hAnsi="Times New Roman"/>
          <w:color w:val="000000" w:themeColor="text1"/>
          <w:sz w:val="16"/>
          <w:szCs w:val="16"/>
        </w:rPr>
        <w:softHyphen/>
        <w:t>ра. Кроме того, с набором высоты падало давление бензина, и грелась головка пятого цилиндра. Для устранения дефектов провели ряд мероприятий, но 27 мая следующий полёт на высоту 10500 м снова пришлось прекратить из-за задымления. На этот раз масло выбивалось из-под левого синхронизатора и попадало на горячие патрубки. Од</w:t>
      </w:r>
      <w:r w:rsidRPr="007224C3">
        <w:rPr>
          <w:rFonts w:ascii="Times New Roman" w:hAnsi="Times New Roman"/>
          <w:color w:val="000000" w:themeColor="text1"/>
          <w:sz w:val="16"/>
          <w:szCs w:val="16"/>
        </w:rPr>
        <w:softHyphen/>
        <w:t>нако давление бензина при наборе высоты оставалось нормальным и при горизонталь</w:t>
      </w:r>
      <w:r w:rsidRPr="007224C3">
        <w:rPr>
          <w:rFonts w:ascii="Times New Roman" w:hAnsi="Times New Roman"/>
          <w:color w:val="000000" w:themeColor="text1"/>
          <w:sz w:val="16"/>
          <w:szCs w:val="16"/>
        </w:rPr>
        <w:softHyphen/>
        <w:t>ных полётах не падало. Дефекты удалось устранить к концу того же дня. Правда, при контрольной гонке мотора на земле снова обнаружили масло в магнето, в результате произвели замену наддувного магнето на ненаддувное с улучшенной высотностью.</w:t>
      </w:r>
    </w:p>
    <w:p w14:paraId="3F423FCC" w14:textId="77777777" w:rsidR="00795773" w:rsidRPr="007224C3" w:rsidRDefault="007957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После нескольких дней нелётной погоды 3 июня состоялся полёт до высоты 8000 м с работающими турбокомпрессорами. Вновь падение давление бензина и высокие темпе</w:t>
      </w:r>
      <w:r w:rsidRPr="007224C3">
        <w:rPr>
          <w:rFonts w:ascii="Times New Roman" w:hAnsi="Times New Roman"/>
          <w:color w:val="000000" w:themeColor="text1"/>
          <w:sz w:val="16"/>
          <w:szCs w:val="16"/>
        </w:rPr>
        <w:softHyphen/>
        <w:t>ратуры головок цилиндров мотора привели к прекращению полёта. На самолёте заме</w:t>
      </w:r>
      <w:r w:rsidRPr="007224C3">
        <w:rPr>
          <w:rFonts w:ascii="Times New Roman" w:hAnsi="Times New Roman"/>
          <w:color w:val="000000" w:themeColor="text1"/>
          <w:sz w:val="16"/>
          <w:szCs w:val="16"/>
        </w:rPr>
        <w:softHyphen/>
        <w:t>нили центральный бензобак и эжекторную помпу, улучшили дефлектирование головок цилиндров и изменили боковые крышки капотов. Однако 8 июня контрольный полёт при</w:t>
      </w:r>
      <w:r w:rsidRPr="007224C3">
        <w:rPr>
          <w:rFonts w:ascii="Times New Roman" w:hAnsi="Times New Roman"/>
          <w:color w:val="000000" w:themeColor="text1"/>
          <w:sz w:val="16"/>
          <w:szCs w:val="16"/>
        </w:rPr>
        <w:softHyphen/>
        <w:t>шлось прекратить из-за течи масла. Наконец, 11 июня 1944 г. в полёте на определение потолка на первой скорости нагнетателя с включенными турбокомпрессорами достигли высоты 11000 м. На высоте 3000 м включилась система впрыска воды, и температура го</w:t>
      </w:r>
      <w:r w:rsidRPr="007224C3">
        <w:rPr>
          <w:rFonts w:ascii="Times New Roman" w:hAnsi="Times New Roman"/>
          <w:color w:val="000000" w:themeColor="text1"/>
          <w:sz w:val="16"/>
          <w:szCs w:val="16"/>
        </w:rPr>
        <w:softHyphen/>
        <w:t>ловок цилиндров на протяжении полёта сохранялась нормальной, на высоте 7000 м сработала система нейтрального газа, обеспечившая поддержание нормального давления бензина. Однако течь масла в соединениях мотора и высокая температура масла на вы</w:t>
      </w:r>
      <w:r w:rsidRPr="007224C3">
        <w:rPr>
          <w:rFonts w:ascii="Times New Roman" w:hAnsi="Times New Roman"/>
          <w:color w:val="000000" w:themeColor="text1"/>
          <w:sz w:val="16"/>
          <w:szCs w:val="16"/>
        </w:rPr>
        <w:softHyphen/>
        <w:t>ходе — 90°С, привели к прекращению полёта. Для снижения температуры масла на са</w:t>
      </w:r>
      <w:r w:rsidRPr="007224C3">
        <w:rPr>
          <w:rFonts w:ascii="Times New Roman" w:hAnsi="Times New Roman"/>
          <w:color w:val="000000" w:themeColor="text1"/>
          <w:sz w:val="16"/>
          <w:szCs w:val="16"/>
        </w:rPr>
        <w:softHyphen/>
        <w:t>молёте установили радиатор с трубкой диаметром 4 мм, вместо прежнего радиатора с трубкой 5 мм, а также приспособление для защиты радиатора от попадания масла из за- моторного пространства. 13 июня 1944 г. произвели два полёта: первый до высоты 9500 м, второй — до 4500 м, и оба пришлось прекратить из-за выброса масла из мотора. Как по</w:t>
      </w:r>
      <w:r w:rsidRPr="007224C3">
        <w:rPr>
          <w:rFonts w:ascii="Times New Roman" w:hAnsi="Times New Roman"/>
          <w:color w:val="000000" w:themeColor="text1"/>
          <w:sz w:val="16"/>
          <w:szCs w:val="16"/>
        </w:rPr>
        <w:softHyphen/>
        <w:t>казали произведенные при участии представителя завода N9 19 испытания и осмотр, течь происходила из кольцевого уплотнения нагнетателя. Сделали однозначный вывод, что для проведения высотных полётов требуются моторы специальной сборки.</w:t>
      </w:r>
    </w:p>
    <w:p w14:paraId="6B964462" w14:textId="77777777" w:rsidR="00795773" w:rsidRPr="007224C3" w:rsidRDefault="007957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 как такие моторы завод № 19 мог изготовить лишь к 1 июля, ему дали указание отгрузить заводу № 21 два мотора обычной сборки, но с улучшенным дефлектирова- нием. К 25 июня, после установки на месте пушки дополнительного маслобака, само</w:t>
      </w:r>
      <w:r w:rsidRPr="007224C3">
        <w:rPr>
          <w:rFonts w:ascii="Times New Roman" w:hAnsi="Times New Roman"/>
          <w:color w:val="000000" w:themeColor="text1"/>
          <w:sz w:val="16"/>
          <w:szCs w:val="16"/>
        </w:rPr>
        <w:softHyphen/>
        <w:t>лёт снова подготовили к продолжению испытаний. Во время состоявшихся 3-4 июля полётов до высоты 7800 м температура масла на входе поднялась выше допустимого уровня, произошло затяжеление винта, и имел место выброс масла из дренажа, за все время полёта он составил 15 кг. После чего на самолёте установили высотную масло- помпу — агрегат № 180, и произвели отсос масла из суфлёрного бачка. Однако в кон</w:t>
      </w:r>
      <w:r w:rsidRPr="007224C3">
        <w:rPr>
          <w:rFonts w:ascii="Times New Roman" w:hAnsi="Times New Roman"/>
          <w:color w:val="000000" w:themeColor="text1"/>
          <w:sz w:val="16"/>
          <w:szCs w:val="16"/>
        </w:rPr>
        <w:softHyphen/>
        <w:t>трольном полёте 8 июля при наборе высоты 5000 м температура на входе снова поднялась выше допустимых пределов (87°С) и полёт опять пришлось прекратить. При осмотре самолёта на земле снова обнаружили выброс масла. 11 июля 1944 г. Ла-5А перегнали в Москву на завод № 81. По заключению представителя завода № 19, из-за попадания масла в нагнетатель мотора по причине дефектов маслоуплотнений валика нагнетателя, к дальнейшим полётам самолёт признали непригодным.</w:t>
      </w:r>
    </w:p>
    <w:p w14:paraId="7ECA442E" w14:textId="77777777" w:rsidR="00795773" w:rsidRPr="007224C3" w:rsidRDefault="007957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Новую винтомоторную группу на Ла-5А смонтировали только в 20-х числах августа, заодно в соответствии с рекомендациями ЦАГИ произвели доводки систем охлаждения. 12 сентября состоялся контрольный полёт, мотор снова работал с перебоями из-за не</w:t>
      </w:r>
      <w:r w:rsidRPr="007224C3">
        <w:rPr>
          <w:rFonts w:ascii="Times New Roman" w:hAnsi="Times New Roman"/>
          <w:color w:val="000000" w:themeColor="text1"/>
          <w:sz w:val="16"/>
          <w:szCs w:val="16"/>
        </w:rPr>
        <w:softHyphen/>
        <w:t>поладок регулятора смеси. На следующий день для скорейшей отработки винтомотор</w:t>
      </w:r>
      <w:r w:rsidRPr="007224C3">
        <w:rPr>
          <w:rFonts w:ascii="Times New Roman" w:hAnsi="Times New Roman"/>
          <w:color w:val="000000" w:themeColor="text1"/>
          <w:sz w:val="16"/>
          <w:szCs w:val="16"/>
        </w:rPr>
        <w:softHyphen/>
        <w:t>ной группы на больших высотах при участии сотрудников лаборатории ЛИИ самолёт перегнали на аэродром «Раменское». При перелёте мотор работал «богато», и на сред</w:t>
      </w:r>
      <w:r w:rsidRPr="007224C3">
        <w:rPr>
          <w:rFonts w:ascii="Times New Roman" w:hAnsi="Times New Roman"/>
          <w:color w:val="000000" w:themeColor="text1"/>
          <w:sz w:val="16"/>
          <w:szCs w:val="16"/>
        </w:rPr>
        <w:softHyphen/>
        <w:t>них режимах его трясло. В ЛИИ лётные испытания продолжили. 21 сентября в конт</w:t>
      </w:r>
      <w:r w:rsidRPr="007224C3">
        <w:rPr>
          <w:rFonts w:ascii="Times New Roman" w:hAnsi="Times New Roman"/>
          <w:color w:val="000000" w:themeColor="text1"/>
          <w:sz w:val="16"/>
          <w:szCs w:val="16"/>
        </w:rPr>
        <w:softHyphen/>
        <w:t xml:space="preserve">рольном полёте достигли высоты 5600 м, дальнейший </w:t>
      </w:r>
      <w:r w:rsidRPr="007224C3">
        <w:rPr>
          <w:rFonts w:ascii="Times New Roman" w:hAnsi="Times New Roman"/>
          <w:color w:val="000000" w:themeColor="text1"/>
          <w:sz w:val="16"/>
          <w:szCs w:val="16"/>
        </w:rPr>
        <w:lastRenderedPageBreak/>
        <w:t>набор высоты в связи с поломкой датчика оборотов турбокомпрессора пришлось прекратить. 26 сентября полёт до вы</w:t>
      </w:r>
      <w:r w:rsidRPr="007224C3">
        <w:rPr>
          <w:rFonts w:ascii="Times New Roman" w:hAnsi="Times New Roman"/>
          <w:color w:val="000000" w:themeColor="text1"/>
          <w:sz w:val="16"/>
          <w:szCs w:val="16"/>
        </w:rPr>
        <w:softHyphen/>
        <w:t>соты 9000 м прекратили вследствие обледенения фонаря, отказа в работе впрыска во</w:t>
      </w:r>
      <w:r w:rsidRPr="007224C3">
        <w:rPr>
          <w:rFonts w:ascii="Times New Roman" w:hAnsi="Times New Roman"/>
          <w:color w:val="000000" w:themeColor="text1"/>
          <w:sz w:val="16"/>
          <w:szCs w:val="16"/>
        </w:rPr>
        <w:softHyphen/>
        <w:t>ды в цилиндры мотора и высоких температур масла. Следующий полёт состоялся лишь 3 октября. На высоте 10000 м сильная тряска мотора при включении впрыска воды и низкое давление бензина в системе не позволили его продолжить. Ещё один день ушёл на устранение обнаруженных дефектов.</w:t>
      </w:r>
    </w:p>
    <w:p w14:paraId="30A69E29" w14:textId="77777777" w:rsidR="00795773" w:rsidRPr="007224C3" w:rsidRDefault="007957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октября в полёте на замер расхода горючего на высотах 500 м и 4000 м и проверку работы мотора с включённым впрыском воды на Ла-5А, который пилотировал лётчик-ис</w:t>
      </w:r>
      <w:r w:rsidRPr="007224C3">
        <w:rPr>
          <w:rFonts w:ascii="Times New Roman" w:hAnsi="Times New Roman"/>
          <w:color w:val="000000" w:themeColor="text1"/>
          <w:sz w:val="16"/>
          <w:szCs w:val="16"/>
        </w:rPr>
        <w:softHyphen/>
        <w:t>пытатель С.Н. Анохин, на высоте 3400 м при нормальной работе мотора и при нормальных показаниях всех контрольных приборов на выхлопе возникло сильное факеление. Для его устранения лётчик обеднил смесь при помощи рычага остановки мотора. Факе</w:t>
      </w:r>
      <w:r w:rsidRPr="007224C3">
        <w:rPr>
          <w:rFonts w:ascii="Times New Roman" w:hAnsi="Times New Roman"/>
          <w:color w:val="000000" w:themeColor="text1"/>
          <w:sz w:val="16"/>
          <w:szCs w:val="16"/>
        </w:rPr>
        <w:softHyphen/>
        <w:t>ление привело к сильному нагреву бортов фюзеляжа, обгорела обшивка правого борта. Вследствие высокой температуры фанерная оболочка задымилась. Анохину удалось до</w:t>
      </w:r>
      <w:r w:rsidRPr="007224C3">
        <w:rPr>
          <w:rFonts w:ascii="Times New Roman" w:hAnsi="Times New Roman"/>
          <w:color w:val="000000" w:themeColor="text1"/>
          <w:sz w:val="16"/>
          <w:szCs w:val="16"/>
        </w:rPr>
        <w:softHyphen/>
        <w:t>вести загоревшийся самолёт до аэродрома и нормально сесть в пределах ВПП. Горение и обугливание деревянной конструкции фюзеляжа было вызвано перегревом металличе</w:t>
      </w:r>
      <w:r w:rsidRPr="007224C3">
        <w:rPr>
          <w:rFonts w:ascii="Times New Roman" w:hAnsi="Times New Roman"/>
          <w:color w:val="000000" w:themeColor="text1"/>
          <w:sz w:val="16"/>
          <w:szCs w:val="16"/>
        </w:rPr>
        <w:softHyphen/>
        <w:t>ской обшивки факелом, образующимся на выхлопе мотора, теплоизоляция между жаро</w:t>
      </w:r>
      <w:r w:rsidRPr="007224C3">
        <w:rPr>
          <w:rFonts w:ascii="Times New Roman" w:hAnsi="Times New Roman"/>
          <w:color w:val="000000" w:themeColor="text1"/>
          <w:sz w:val="16"/>
          <w:szCs w:val="16"/>
        </w:rPr>
        <w:softHyphen/>
        <w:t>упорными листами обшивки и деревянной конструкцией фюзеляжа оказалась недоста</w:t>
      </w:r>
      <w:r w:rsidRPr="007224C3">
        <w:rPr>
          <w:rFonts w:ascii="Times New Roman" w:hAnsi="Times New Roman"/>
          <w:color w:val="000000" w:themeColor="text1"/>
          <w:sz w:val="16"/>
          <w:szCs w:val="16"/>
        </w:rPr>
        <w:softHyphen/>
        <w:t>точной. Факел же появился в результате ненормального забогащения мотора при увели</w:t>
      </w:r>
      <w:r w:rsidRPr="007224C3">
        <w:rPr>
          <w:rFonts w:ascii="Times New Roman" w:hAnsi="Times New Roman"/>
          <w:color w:val="000000" w:themeColor="text1"/>
          <w:sz w:val="16"/>
          <w:szCs w:val="16"/>
        </w:rPr>
        <w:softHyphen/>
        <w:t>чении высоты полёта, тогда же расход горючего увеличился с 360 кг/ч до 459 кг/ч на вы</w:t>
      </w:r>
      <w:r w:rsidRPr="007224C3">
        <w:rPr>
          <w:rFonts w:ascii="Times New Roman" w:hAnsi="Times New Roman"/>
          <w:color w:val="000000" w:themeColor="text1"/>
          <w:sz w:val="16"/>
          <w:szCs w:val="16"/>
        </w:rPr>
        <w:softHyphen/>
        <w:t>соте 3400 м. Наиболее интенсивный факел образовался из ресивера правого турбо</w:t>
      </w:r>
      <w:r w:rsidRPr="007224C3">
        <w:rPr>
          <w:rFonts w:ascii="Times New Roman" w:hAnsi="Times New Roman"/>
          <w:color w:val="000000" w:themeColor="text1"/>
          <w:sz w:val="16"/>
          <w:szCs w:val="16"/>
        </w:rPr>
        <w:softHyphen/>
        <w:t>компрессора. Аварийная комиссия под председательством М.Д. Романовича, для безо</w:t>
      </w:r>
      <w:r w:rsidRPr="007224C3">
        <w:rPr>
          <w:rFonts w:ascii="Times New Roman" w:hAnsi="Times New Roman"/>
          <w:color w:val="000000" w:themeColor="text1"/>
          <w:sz w:val="16"/>
          <w:szCs w:val="16"/>
        </w:rPr>
        <w:softHyphen/>
        <w:t>пасности проведения дальнейших лётных испытаний, порекомендовала: установить для моторов АШ-82ФН с ТК нормы часового расхода горючего, насосы НБЗ-У проверять на равномерность подачи горючего, на стабильность его расходования по высотам, заводу № 81 улучшить теплоизоляцию деревянных частей фюзеляжа от металлической обшив</w:t>
      </w:r>
      <w:r w:rsidRPr="007224C3">
        <w:rPr>
          <w:rFonts w:ascii="Times New Roman" w:hAnsi="Times New Roman"/>
          <w:color w:val="000000" w:themeColor="text1"/>
          <w:sz w:val="16"/>
          <w:szCs w:val="16"/>
        </w:rPr>
        <w:softHyphen/>
        <w:t>ки, подверженной воздействию выхлопных газов. Самолёт нуждался в ремонте, и его от</w:t>
      </w:r>
      <w:r w:rsidRPr="007224C3">
        <w:rPr>
          <w:rFonts w:ascii="Times New Roman" w:hAnsi="Times New Roman"/>
          <w:color w:val="000000" w:themeColor="text1"/>
          <w:sz w:val="16"/>
          <w:szCs w:val="16"/>
        </w:rPr>
        <w:softHyphen/>
        <w:t>правили на завод № 81. Откуда назад он не вернулся, поскольку программу испытаний признали выполненной, а тему законченной.</w:t>
      </w:r>
    </w:p>
    <w:p w14:paraId="030E51B5" w14:textId="77777777" w:rsidR="00795773" w:rsidRPr="007224C3" w:rsidRDefault="0079577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обстоятельствах, аналогичных тем, в которых оказался С.Н. Анохин на Ла-5А, 7 февраля разбился И-221 ОКБ-155. Пилотировавший его летчик 12-го ГИАП П.А. Жу</w:t>
      </w:r>
      <w:r w:rsidRPr="007224C3">
        <w:rPr>
          <w:rFonts w:ascii="Times New Roman" w:hAnsi="Times New Roman"/>
          <w:color w:val="000000" w:themeColor="text1"/>
          <w:sz w:val="16"/>
          <w:szCs w:val="16"/>
        </w:rPr>
        <w:softHyphen/>
        <w:t>равлев принял факеление из выхлопных патрубков и дым в кабине за начавшийся по</w:t>
      </w:r>
      <w:r w:rsidRPr="007224C3">
        <w:rPr>
          <w:rFonts w:ascii="Times New Roman" w:hAnsi="Times New Roman"/>
          <w:color w:val="000000" w:themeColor="text1"/>
          <w:sz w:val="16"/>
          <w:szCs w:val="16"/>
        </w:rPr>
        <w:softHyphen/>
        <w:t>жар, и на высоте 9000 м покинул самолёт (15830).</w:t>
      </w:r>
    </w:p>
    <w:p w14:paraId="576132D1" w14:textId="77777777" w:rsidR="00795773" w:rsidRPr="007224C3" w:rsidRDefault="00795773" w:rsidP="007224C3">
      <w:pPr>
        <w:spacing w:after="0" w:line="240" w:lineRule="auto"/>
        <w:jc w:val="both"/>
        <w:rPr>
          <w:rFonts w:ascii="Times New Roman" w:hAnsi="Times New Roman"/>
          <w:color w:val="000000" w:themeColor="text1"/>
          <w:sz w:val="16"/>
          <w:szCs w:val="16"/>
        </w:rPr>
      </w:pPr>
    </w:p>
    <w:p w14:paraId="46E7604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мая 1944 В.П.Кузнецов подготовил для А.И.Ш. справку о выполнении постановления по повышению высотности самолетов по состоянию на этот день и были упомянуты МиГ-А-3 и Як-9 (1824).</w:t>
      </w:r>
    </w:p>
    <w:p w14:paraId="356496C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F8F8C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мая 1944 Зам. Нач. 7ГУ Алексеев подготовил сводку г-7 № 6861 о ходе испытаний высотных самолетов на 24 мая 1944 по Як-9 М-105ПД, Ла-5 АШ-82ФН и 2ТК-3, МиГ АМ-39А и 2ТК-2Б (1825).</w:t>
      </w:r>
    </w:p>
    <w:p w14:paraId="606BE13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Высотный потребитель Як-9 с М-105ПД</w:t>
      </w:r>
    </w:p>
    <w:p w14:paraId="25AD25B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находится не в летном состоянии. Мотор с самолета снят для замены на новый, который ожидается из ЦИАМ к 1 июля с.г.</w:t>
      </w:r>
    </w:p>
    <w:p w14:paraId="7E8C088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Высотный истребитель Ла-5 с АМ-82ФН и 2ТК-3</w:t>
      </w:r>
    </w:p>
    <w:p w14:paraId="5D2F642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Полеты не производились и-за неблагоприятных для высотных полетов метеорологических условий.</w:t>
      </w:r>
    </w:p>
    <w:p w14:paraId="7E23036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Высотный истребитель МИГ с АМ-39Б и 2ТК-2Б.</w:t>
      </w:r>
    </w:p>
    <w:p w14:paraId="2046D70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Продолжались работы по изготовлению узлов и деталей для установки нового улучшенного вовдухо-воздушногс радиатора (1825).</w:t>
      </w:r>
    </w:p>
    <w:p w14:paraId="58B3A8A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5A776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мая 1944 г. в до</w:t>
      </w:r>
      <w:r w:rsidRPr="007224C3">
        <w:rPr>
          <w:rFonts w:ascii="Times New Roman" w:hAnsi="Times New Roman"/>
          <w:color w:val="000000" w:themeColor="text1"/>
          <w:sz w:val="16"/>
          <w:szCs w:val="16"/>
        </w:rPr>
        <w:softHyphen/>
        <w:t>кладной записке Н.Н.П. к эскизному проекту шестиместного пассажирского самолета «Лимузин» отмечалось:</w:t>
      </w:r>
    </w:p>
    <w:p w14:paraId="4CA33E4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«Проект модернизированного самолета «Лимузин» с мотором М-11Ф разрабатывался в развитии полученно</w:t>
      </w:r>
      <w:r w:rsidRPr="007224C3">
        <w:rPr>
          <w:rFonts w:ascii="Times New Roman" w:hAnsi="Times New Roman"/>
          <w:color w:val="000000" w:themeColor="text1"/>
          <w:sz w:val="16"/>
          <w:szCs w:val="16"/>
        </w:rPr>
        <w:softHyphen/>
        <w:t>го нами задания по модификации многоцелевого легко</w:t>
      </w:r>
      <w:r w:rsidRPr="007224C3">
        <w:rPr>
          <w:rFonts w:ascii="Times New Roman" w:hAnsi="Times New Roman"/>
          <w:color w:val="000000" w:themeColor="text1"/>
          <w:sz w:val="16"/>
          <w:szCs w:val="16"/>
        </w:rPr>
        <w:softHyphen/>
        <w:t>моторного самолета в соответствии с практикой применения самолета У-2.</w:t>
      </w:r>
    </w:p>
    <w:p w14:paraId="2D98E28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Удовлетворяя требованиям штабного самолета, «Ли</w:t>
      </w:r>
      <w:r w:rsidRPr="007224C3">
        <w:rPr>
          <w:rFonts w:ascii="Times New Roman" w:hAnsi="Times New Roman"/>
          <w:color w:val="000000" w:themeColor="text1"/>
          <w:sz w:val="16"/>
          <w:szCs w:val="16"/>
        </w:rPr>
        <w:softHyphen/>
        <w:t>музин» в том же варианте используется как транспорт</w:t>
      </w:r>
      <w:r w:rsidRPr="007224C3">
        <w:rPr>
          <w:rFonts w:ascii="Times New Roman" w:hAnsi="Times New Roman"/>
          <w:color w:val="000000" w:themeColor="text1"/>
          <w:sz w:val="16"/>
          <w:szCs w:val="16"/>
        </w:rPr>
        <w:softHyphen/>
        <w:t>ный и санитарный. Прочие виды военного применения могут быть осуществлены путем дополнительного несложного дооборудования без изменения конструкции и производственной технологии самолета.</w:t>
      </w:r>
    </w:p>
    <w:p w14:paraId="5D36A8A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Нами предусмотрено дальнейшее усовершенствова</w:t>
      </w:r>
      <w:r w:rsidRPr="007224C3">
        <w:rPr>
          <w:rFonts w:ascii="Times New Roman" w:hAnsi="Times New Roman"/>
          <w:color w:val="000000" w:themeColor="text1"/>
          <w:sz w:val="16"/>
          <w:szCs w:val="16"/>
        </w:rPr>
        <w:softHyphen/>
        <w:t>ние самолета «Лимузин», в частности, хотя бы в отно</w:t>
      </w:r>
      <w:r w:rsidRPr="007224C3">
        <w:rPr>
          <w:rFonts w:ascii="Times New Roman" w:hAnsi="Times New Roman"/>
          <w:color w:val="000000" w:themeColor="text1"/>
          <w:sz w:val="16"/>
          <w:szCs w:val="16"/>
        </w:rPr>
        <w:softHyphen/>
        <w:t>шении постановки мотора более мощного, чем М-11Ф.</w:t>
      </w:r>
    </w:p>
    <w:p w14:paraId="14F22D6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разработке проекта помимо военного примене</w:t>
      </w:r>
      <w:r w:rsidRPr="007224C3">
        <w:rPr>
          <w:rFonts w:ascii="Times New Roman" w:hAnsi="Times New Roman"/>
          <w:color w:val="000000" w:themeColor="text1"/>
          <w:sz w:val="16"/>
          <w:szCs w:val="16"/>
        </w:rPr>
        <w:softHyphen/>
        <w:t>ния были особо учтены требования послевоенного вос</w:t>
      </w:r>
      <w:r w:rsidRPr="007224C3">
        <w:rPr>
          <w:rFonts w:ascii="Times New Roman" w:hAnsi="Times New Roman"/>
          <w:color w:val="000000" w:themeColor="text1"/>
          <w:sz w:val="16"/>
          <w:szCs w:val="16"/>
        </w:rPr>
        <w:softHyphen/>
        <w:t>становительного периода мирного строительства в Советском Союзе. Значение простоты и дешевизны производства, удобства и по возможности комфортабельности в эксплуатации мы считали основными кри</w:t>
      </w:r>
      <w:r w:rsidRPr="007224C3">
        <w:rPr>
          <w:rFonts w:ascii="Times New Roman" w:hAnsi="Times New Roman"/>
          <w:color w:val="000000" w:themeColor="text1"/>
          <w:sz w:val="16"/>
          <w:szCs w:val="16"/>
        </w:rPr>
        <w:softHyphen/>
        <w:t>териями целесообразности массового применения са</w:t>
      </w:r>
      <w:r w:rsidRPr="007224C3">
        <w:rPr>
          <w:rFonts w:ascii="Times New Roman" w:hAnsi="Times New Roman"/>
          <w:color w:val="000000" w:themeColor="text1"/>
          <w:sz w:val="16"/>
          <w:szCs w:val="16"/>
        </w:rPr>
        <w:softHyphen/>
        <w:t>молета, модернизируемого в соответствие этому периоду».</w:t>
      </w:r>
    </w:p>
    <w:p w14:paraId="29C4642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«Лимузин» представлял собой шестиместный одно</w:t>
      </w:r>
      <w:r w:rsidRPr="007224C3">
        <w:rPr>
          <w:rFonts w:ascii="Times New Roman" w:hAnsi="Times New Roman"/>
          <w:color w:val="000000" w:themeColor="text1"/>
          <w:sz w:val="16"/>
          <w:szCs w:val="16"/>
        </w:rPr>
        <w:softHyphen/>
        <w:t>моторный моноплан с низким расположением крыла и убирающимся шасси. Крыло однолонжеронное. Само</w:t>
      </w:r>
      <w:r w:rsidRPr="007224C3">
        <w:rPr>
          <w:rFonts w:ascii="Times New Roman" w:hAnsi="Times New Roman"/>
          <w:color w:val="000000" w:themeColor="text1"/>
          <w:sz w:val="16"/>
          <w:szCs w:val="16"/>
        </w:rPr>
        <w:softHyphen/>
        <w:t>лет оборудовался двойным управлением. Места для шести человек располагались в два ряда. За кабиной имелось багажное отделение. Обшивка фюзеляжа - фа</w:t>
      </w:r>
      <w:r w:rsidRPr="007224C3">
        <w:rPr>
          <w:rFonts w:ascii="Times New Roman" w:hAnsi="Times New Roman"/>
          <w:color w:val="000000" w:themeColor="text1"/>
          <w:sz w:val="16"/>
          <w:szCs w:val="16"/>
        </w:rPr>
        <w:softHyphen/>
        <w:t>нерная. Мотор - М-11Ф мощностью 140 л.с. с винтом переменного шага. Шасси убиралось ручным механиче</w:t>
      </w:r>
      <w:r w:rsidRPr="007224C3">
        <w:rPr>
          <w:rFonts w:ascii="Times New Roman" w:hAnsi="Times New Roman"/>
          <w:color w:val="000000" w:themeColor="text1"/>
          <w:sz w:val="16"/>
          <w:szCs w:val="16"/>
        </w:rPr>
        <w:softHyphen/>
        <w:t>ским приводом, но предусматривался и пневматичес</w:t>
      </w:r>
      <w:r w:rsidRPr="007224C3">
        <w:rPr>
          <w:rFonts w:ascii="Times New Roman" w:hAnsi="Times New Roman"/>
          <w:color w:val="000000" w:themeColor="text1"/>
          <w:sz w:val="16"/>
          <w:szCs w:val="16"/>
        </w:rPr>
        <w:softHyphen/>
        <w:t>кий механизм. Топливные баки емкостью 240 литров находились в крыле. Благодаря двойному управлению, «Лимузин» мог быть легко переделан в двухместный са</w:t>
      </w:r>
      <w:r w:rsidRPr="007224C3">
        <w:rPr>
          <w:rFonts w:ascii="Times New Roman" w:hAnsi="Times New Roman"/>
          <w:color w:val="000000" w:themeColor="text1"/>
          <w:sz w:val="16"/>
          <w:szCs w:val="16"/>
        </w:rPr>
        <w:softHyphen/>
        <w:t>молет первоначального обучения. Полетный вес самолета составлял 1375 кг, максималь</w:t>
      </w:r>
      <w:r w:rsidRPr="007224C3">
        <w:rPr>
          <w:rFonts w:ascii="Times New Roman" w:hAnsi="Times New Roman"/>
          <w:color w:val="000000" w:themeColor="text1"/>
          <w:sz w:val="16"/>
          <w:szCs w:val="16"/>
        </w:rPr>
        <w:softHyphen/>
        <w:t>ный - 1483 кг, при этом вес пустого был равен 798 кг. По расчетам «Лимузин» имел у земли максимальную ско</w:t>
      </w:r>
      <w:r w:rsidRPr="007224C3">
        <w:rPr>
          <w:rFonts w:ascii="Times New Roman" w:hAnsi="Times New Roman"/>
          <w:color w:val="000000" w:themeColor="text1"/>
          <w:sz w:val="16"/>
          <w:szCs w:val="16"/>
        </w:rPr>
        <w:softHyphen/>
        <w:t>рость 248 км/ч, экономическую - 195 км/ч. Посадочная скорость была небольшой - 86 км/ч. Практический пото</w:t>
      </w:r>
      <w:r w:rsidRPr="007224C3">
        <w:rPr>
          <w:rFonts w:ascii="Times New Roman" w:hAnsi="Times New Roman"/>
          <w:color w:val="000000" w:themeColor="text1"/>
          <w:sz w:val="16"/>
          <w:szCs w:val="16"/>
        </w:rPr>
        <w:softHyphen/>
        <w:t>лок - 3750 м. Дальность при нормальной нагрузке равня</w:t>
      </w:r>
      <w:r w:rsidRPr="007224C3">
        <w:rPr>
          <w:rFonts w:ascii="Times New Roman" w:hAnsi="Times New Roman"/>
          <w:color w:val="000000" w:themeColor="text1"/>
          <w:sz w:val="16"/>
          <w:szCs w:val="16"/>
        </w:rPr>
        <w:softHyphen/>
        <w:t>лась 800 км, а при полных баках - 1700 км. Самолет перевозил нагрузку до 577 кг. Весовая отдача, как характе</w:t>
      </w:r>
      <w:r w:rsidRPr="007224C3">
        <w:rPr>
          <w:rFonts w:ascii="Times New Roman" w:hAnsi="Times New Roman"/>
          <w:color w:val="000000" w:themeColor="text1"/>
          <w:sz w:val="16"/>
          <w:szCs w:val="16"/>
        </w:rPr>
        <w:softHyphen/>
        <w:t>ристика весового совершенства конструкции, была отно</w:t>
      </w:r>
      <w:r w:rsidRPr="007224C3">
        <w:rPr>
          <w:rFonts w:ascii="Times New Roman" w:hAnsi="Times New Roman"/>
          <w:color w:val="000000" w:themeColor="text1"/>
          <w:sz w:val="16"/>
          <w:szCs w:val="16"/>
        </w:rPr>
        <w:softHyphen/>
        <w:t>сительно большой - 42%. «Лимузин» имел размах 11,5 м при площади крыла 18 м</w:t>
      </w:r>
      <w:r w:rsidRPr="007224C3">
        <w:rPr>
          <w:rFonts w:ascii="Times New Roman" w:hAnsi="Times New Roman"/>
          <w:color w:val="000000" w:themeColor="text1"/>
          <w:sz w:val="16"/>
          <w:szCs w:val="16"/>
          <w:vertAlign w:val="superscript"/>
        </w:rPr>
        <w:t>2</w:t>
      </w:r>
      <w:r w:rsidRPr="007224C3">
        <w:rPr>
          <w:rFonts w:ascii="Times New Roman" w:hAnsi="Times New Roman"/>
          <w:color w:val="000000" w:themeColor="text1"/>
          <w:sz w:val="16"/>
          <w:szCs w:val="16"/>
        </w:rPr>
        <w:t>, длину 8,54 м и неплохие взлетно-посадочные характеристики: разбег 330 м, пробег 125 м, взлетную дистанцию 560 м. Были выпущены чертежи, построен и одобрен макет самолета, началось изготовление отдельных узлов и аг</w:t>
      </w:r>
      <w:r w:rsidRPr="007224C3">
        <w:rPr>
          <w:rFonts w:ascii="Times New Roman" w:hAnsi="Times New Roman"/>
          <w:color w:val="000000" w:themeColor="text1"/>
          <w:sz w:val="16"/>
          <w:szCs w:val="16"/>
        </w:rPr>
        <w:softHyphen/>
        <w:t>регатов. Но в сентябре 1944 г. все работы по машине прекратились (10667).</w:t>
      </w:r>
    </w:p>
    <w:p w14:paraId="6E429AD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3BC55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мая 1944 в НИИ ВВС на а Чкаловская закончились испытания облегченного - FW-190D-9 N 210251, которые проводились с 11 мая 1944. Ви В.О.Мельников, вл В.Е.Голофастов, а облетывали А.Г.Кочетков, А.Г.Прошаков, Л.М.Кувшинов, В.Г.Масич. Провели воздушный бой с 63 - СДБ А.Н.Т. - мог атаковать только сзади. Бой с Ла-7 показал преимущества Ла-7 (1145,20).</w:t>
      </w:r>
    </w:p>
    <w:p w14:paraId="6C0E3EC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8BE7AE"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0743FAD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5FA007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мая 1944 г. была подготовлена ДОКЛАДНАЯ ЗАПИСКА НАЧАЛЬНИКА ТАНКОВОГО УПРАВЛЕНИЯ ГБТУ КА НАЧАЛЬНИКУ УФиУ ГУФ и БП БТ и МВ КА О СНАБЖЕНИИ ОГНЕМЕТНЫХ ТАНКОВЫХ ЧАСТЕЙ ПАТРОНАМИ К ОГНЕМЕТУ № 522326</w:t>
      </w:r>
    </w:p>
    <w:p w14:paraId="72F0953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Огнеметные танки Т-О34 выпускаются небольшими партиями (70 — 75 шт. в месяц), поэтому обеспечение патронами к огнемету АТО-42 действующих и формируемых огнеметных танковых частей не может быть организовано по линии артиллерийского снабжения.</w:t>
      </w:r>
    </w:p>
    <w:p w14:paraId="129963D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Это обстоятельство вынуждает ТУ ГБТУ КА удовлетворять заявки действующих и формируемых огнеметных танковых частей, доставляя патроны к АТО-42 из г. Горького и г. Казани на автомашинах.</w:t>
      </w:r>
    </w:p>
    <w:p w14:paraId="219797C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целью сокращения перевозок бесперебойного снабжения огнеметных танковых частей про</w:t>
      </w:r>
      <w:r w:rsidRPr="007224C3">
        <w:rPr>
          <w:rFonts w:ascii="Times New Roman" w:hAnsi="Times New Roman"/>
          <w:color w:val="000000" w:themeColor="text1"/>
          <w:sz w:val="16"/>
          <w:szCs w:val="16"/>
        </w:rPr>
        <w:softHyphen/>
        <w:t>щу Вашего указания Московскому БТ центру принять на хранение 1—2 вагона патронов к АТО-42 и выдавать их по распоряжению ТУ ГБТУ КА.</w:t>
      </w:r>
    </w:p>
    <w:p w14:paraId="4FA780D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ТУ ГБТУ КА генерал-майор инженерно-танковой службы Афонин</w:t>
      </w:r>
    </w:p>
    <w:p w14:paraId="6807A5F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1 отдела ТУ ГБТУ КА инженер-подполковник Егоров</w:t>
      </w:r>
    </w:p>
    <w:p w14:paraId="0877662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38. Он, 11355. Д. 2195. Л. 21 (11420).</w:t>
      </w:r>
    </w:p>
    <w:p w14:paraId="6796A31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8FB505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мая 1944 г. была подготовлена ИНФОРМАЦИЯ НАЧАЛЬНИКА 2-го УПРАВЛЕНИЯ ТРУ НАЧАЛЬНИКУ ШТАБА БТ и МВ КА О НОВОЙ ОБМАЗКЕ НЕМЕЦКИХ ТАНКОВ № 307079</w:t>
      </w:r>
    </w:p>
    <w:p w14:paraId="7C451EA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процессе работы с военнопленными выявлен новый состав обмазки, которым, якобы, покры</w:t>
      </w:r>
      <w:r w:rsidRPr="007224C3">
        <w:rPr>
          <w:rFonts w:ascii="Times New Roman" w:hAnsi="Times New Roman"/>
          <w:color w:val="000000" w:themeColor="text1"/>
          <w:sz w:val="16"/>
          <w:szCs w:val="16"/>
        </w:rPr>
        <w:softHyphen/>
        <w:t>вается большинство немецких танков, оперирующих на фронте. Обмазка состоит из целлюлозы, растворенной в ацетоне, и носит название «целлюлозный лак». При наложении на броню «целлю</w:t>
      </w:r>
      <w:r w:rsidRPr="007224C3">
        <w:rPr>
          <w:rFonts w:ascii="Times New Roman" w:hAnsi="Times New Roman"/>
          <w:color w:val="000000" w:themeColor="text1"/>
          <w:sz w:val="16"/>
          <w:szCs w:val="16"/>
        </w:rPr>
        <w:softHyphen/>
        <w:t>лозный лак» разводится в обработанном бензине.</w:t>
      </w:r>
    </w:p>
    <w:p w14:paraId="02B59D6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Обмазка имеет двойное назначение:</w:t>
      </w:r>
    </w:p>
    <w:p w14:paraId="0C63220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Для маскировки.</w:t>
      </w:r>
    </w:p>
    <w:p w14:paraId="521E0CB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Для предохранения танков от магнитных мин.</w:t>
      </w:r>
    </w:p>
    <w:p w14:paraId="65DA979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Кроме танков этой же обмазкой немцы покрывают самолеты и другие виды вооружения.</w:t>
      </w:r>
    </w:p>
    <w:p w14:paraId="0DF68BF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Обмазка, имея в своем составе целлюлозу, предупреждает соприкосновение магнитной мины с танком, а этим самым и ее взрыв. Однако она не может оказать противодействия русским минам с резиновой оболочкой.</w:t>
      </w:r>
    </w:p>
    <w:p w14:paraId="466381B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последнее время на восточном фронте появились танки, окрашенные в желтый цвет, но состав обмазки, оказывается, они имеют тот же самый. Дело в том, что эти танки, якобы, предназначались для военных действий в Африке, в песках, но направлены были на русский фронт.</w:t>
      </w:r>
    </w:p>
    <w:p w14:paraId="7273B87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 д. начальника 2 управления Г'РУ КА генерал-майор Скрынник</w:t>
      </w:r>
    </w:p>
    <w:p w14:paraId="5C78CAE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38. Оп. 11353. Д. 612. Л. 33. Подлинник (11420).</w:t>
      </w:r>
    </w:p>
    <w:p w14:paraId="210BFA2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3893B0E"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25 мая 1944 поздней ночью на заводе № 75 в Харькове собрали первый артиллерийский тягач А-45 - Новый Ворошиловец. На следующий день начали испытания пробегом сначала без нагрузки, а затем - с нагрузкой (7382).</w:t>
      </w:r>
    </w:p>
    <w:p w14:paraId="22AB7675"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6EC2F56"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мая 1944 года вышел приказ № 284сс НКБ</w:t>
      </w:r>
    </w:p>
    <w:p w14:paraId="4DE0BEFF"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соответствии с распоряжением СНК от 24 мая 1944 года № 11260-рс:</w:t>
      </w:r>
    </w:p>
    <w:p w14:paraId="420C24CA"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Присвоить № 504 Первому механическому заводу Наркомцветмета (Москва), переданному в ведение НКБ (5820, 12).</w:t>
      </w:r>
    </w:p>
    <w:p w14:paraId="66EC1F4A"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B7945C8"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мая 1944 вышло Распоряжение ГКО № 5955 [О перевозке в Москву 40 тыс. куб. м пиломатериалов для спецукупорки из Архангельска водным путем.] (7236, 1-2).</w:t>
      </w:r>
    </w:p>
    <w:p w14:paraId="4676D2B6"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77E6DC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мая 1944 вышло Распоряжение ГКО № 5955. О перевозке в Москву 40 тыс. куб.м пиломатериалов для спецукупорки из Архангельска водным путем. РГАНИР, Фонд ГКО, д. 257, лл. 1-2 (11012).</w:t>
      </w:r>
    </w:p>
    <w:p w14:paraId="2846471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B21B7A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мая 1944 вышло Распоряжение ГКО № 5956. Об увеличении производства красителей для сигнальных и осветительных средств. РГАНИР, Фонд ГКО, д. 257, лл. 3-4,5-8 (11012).</w:t>
      </w:r>
    </w:p>
    <w:p w14:paraId="478FAFB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E554A8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мая 1944 г. на месте эвакуированного завода № 346 НКСП был создан Завод № 457 ИМ. В. М. Молотова НКСП, МСП, п/я 604, Завод, ПО «Знамя Октября» МСП, Государственное машиностроительное предприятие (ГМП) «Знамя Октября», АООТ «Армалнт», ОАО «Армалит-1» / г. Ленинград/ /198097  г. Санкт-Петербург ул. Трефолева, 2/. С 1946 г. завод специализировался на выпуске запорных клапанов, задвижек, кранов для трубопроводов.</w:t>
      </w:r>
    </w:p>
    <w:p w14:paraId="59194D0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1957 г. - в ведении Управления судостроительной промышленности ЛенСНХ. В 1960-66 г. завод имел наименование «п/я 604». Пост. ЛенСНХ от 10.02.1964 г. на базе завода как головного предприятия создано Ленинградское объединение арматурных заводов «Ленарматура» им. Лепсе, в состав которого вошли также Завод им. Лепсе, «Знамя труда», Литейно-механический завод и ЦКБ арматуростроения.</w:t>
      </w:r>
    </w:p>
    <w:p w14:paraId="3AADB92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Объединение выпускало арматуру, чугунное, стальное и цветное литье, штамповки и поковки, запчасти для сельского хозяйства, ТНП.</w:t>
      </w:r>
    </w:p>
    <w:p w14:paraId="35A3CC7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01.1966 г. завод вновь передан в ведение МСП, с 1.07.1966 г. переименован в завод «Знамя Октября». Начато освоение производства арматуры и автоматических дистанционно-управляемых исполнительных механизмов (АДУИМ) для кораблей ВМФ и атомного флота.</w:t>
      </w:r>
    </w:p>
    <w:p w14:paraId="67E7511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24.04.1973 г. образовано НПО «Знамя Октября», в которое вошли завод и ЦКБ судовой арматуры.</w:t>
      </w:r>
    </w:p>
    <w:p w14:paraId="301E95C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Были построены новые цветно-литейный, механо-сборочный и гальванический цехи, стендовое хозяйство. Внедрена система комплексной механизации и автоматизации производства. Были созданы гибкие переменно- поточные линии типовых групп деталей. В механических цехах работало 116 станков с ЧПУ и 10 обрабатывающих центров. Было освоено производство новых сплавов, наплавок; внедрены новые способы получения отливок (в т.ч. титановых): оболочковое литье, с применением холоднотвердеющих смесей, получение расплавов металлов в индукционных печах, горячая объемная штамповка. Объединение стало базовым по изготовлению литых и штампованных заготовок.</w:t>
      </w:r>
    </w:p>
    <w:p w14:paraId="2063E20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1980-е  г. были разработаны и изготовлены пусковые клапаны для паропроводов катапульт авианесущих кораблей (массой по 700 кг).</w:t>
      </w:r>
    </w:p>
    <w:p w14:paraId="32E238D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29.11.1991 г. завод вышел из состава объединения и получил наименование «ГМП «Знамя Октября». 12.10.1993 г. завод был акционирован и преобразован в АООТ «Армалит». В 1999 г. переименовано в ОАО «Армалит-1».</w:t>
      </w:r>
    </w:p>
    <w:p w14:paraId="2BABB9A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1990-е  г. продолжен выпуск судовой арматуры, литых и штампованных заготовок, освоен выпуск изделий для газового и городского хозяйства, энергетики.</w:t>
      </w:r>
    </w:p>
    <w:p w14:paraId="75FEB0F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Гендиректор (2007 г.)- А.В. Кузнецов (11982).</w:t>
      </w:r>
    </w:p>
    <w:p w14:paraId="46D8818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AEEB524"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32A82BC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8A34062" w14:textId="77777777" w:rsidR="00353781" w:rsidRPr="007224C3" w:rsidRDefault="00353781"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25 мая</w:t>
      </w:r>
      <w:r w:rsidRPr="007224C3">
        <w:rPr>
          <w:rFonts w:ascii="Times New Roman" w:hAnsi="Times New Roman"/>
          <w:color w:val="000000" w:themeColor="text1"/>
          <w:sz w:val="16"/>
          <w:szCs w:val="16"/>
        </w:rPr>
        <w:t xml:space="preserve"> в 1944 году оперативная сводка Совинформбюро:</w:t>
      </w:r>
    </w:p>
    <w:p w14:paraId="29E9F56D" w14:textId="77777777" w:rsidR="00353781" w:rsidRPr="007224C3" w:rsidRDefault="0035378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25 мая на фронтах существенных изменений не произошло.</w:t>
      </w:r>
    </w:p>
    <w:p w14:paraId="0F7919F6" w14:textId="77777777" w:rsidR="00353781" w:rsidRPr="007224C3" w:rsidRDefault="0035378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24 мая в воздушных боях и огнём зенитной артиллерии сбито 17 самолётов противника.»</w:t>
      </w:r>
    </w:p>
    <w:p w14:paraId="33E5B128" w14:textId="77777777" w:rsidR="00353781" w:rsidRPr="007224C3" w:rsidRDefault="0035378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Удар нашей авиации по транспортам противника в Финском заливе:</w:t>
      </w:r>
    </w:p>
    <w:p w14:paraId="0DCA2D9E" w14:textId="77777777" w:rsidR="00353781" w:rsidRPr="007224C3" w:rsidRDefault="0035378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ночь на 25 мая авиация Краснознамённого Балтийского флота обнаружила вФинском заливе два немецких транспорта: один транспорт водоизмещением в 4 тысячитонн и другой водоизмещением в 3 тысячи тонн. Наши лётчики атаковали и потопили оба транспорта противника.»</w:t>
      </w:r>
    </w:p>
    <w:p w14:paraId="2044B0F6" w14:textId="77777777" w:rsidR="00353781" w:rsidRPr="007224C3" w:rsidRDefault="0035378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Юго-восточнее города Станислав немцы на ряде участков пытались вести разведку боем. Наши подразделения, отражая атаки противника, уничтожили более 200 немецких солдат и офицеров. Взяты пленные. Гвардии рядовой Непокрытый, выдвинувшись вперёд, уничтожил из автомата 12 гитлеровцев. Затем он ворвался в немецкий блиндаж и гранатами истребил ещё нескольких вражеских солдат и офицеров. Рядовой Барсук из винтовки убил 5 немцев. Бойцы тт. Байдевич и Павлуцкий в первый раз находились в боевом охранении. Поздно ночью они заметили приближавшихся к ним двух немцев. Советские бойцы обезоружили вражеских разведчиков и взяли их в плен.</w:t>
      </w:r>
    </w:p>
    <w:p w14:paraId="06458771" w14:textId="77777777" w:rsidR="00353781" w:rsidRPr="007224C3" w:rsidRDefault="0035378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Юго-восточнее города Витебск группа разведчиков под командованием лейтенанта Разорвина совершила ночную вылазку в расположение противника. Под прикрытием огневой завесы, созданной нашей артиллерией, советские бойцы ворвались в немецкие траншеи и истребили свыше 60 гитлеровцев. Выполнив задание и захватив трофеи, разведчики вернулись в свою часть. Гвардии старшина Илья Григорьев завремя войны уничтожил много немецких солдат и офицеров. Тов. Григорьев сейчас командует снайперским подразделением. За один месяц молодые снайперы этого подразделения уничтожили свыше 200 гитлеровцев.</w:t>
      </w:r>
    </w:p>
    <w:p w14:paraId="3469A4C3" w14:textId="77777777" w:rsidR="00353781" w:rsidRPr="007224C3" w:rsidRDefault="0035378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города Мозырь отряд немцев ночью переправился через водный рубеж. Бойцы Н-ской части внезапно атаковали противника и в рукопашной схватке истребили 40 гитлеровцев. Несколько немцев пустились вплавь через реку, но были обстреляны советскими бойцами и утонули.</w:t>
      </w:r>
    </w:p>
    <w:p w14:paraId="53E294D8" w14:textId="77777777" w:rsidR="00353781" w:rsidRPr="007224C3" w:rsidRDefault="0035378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Белорусский партизанский отряд «Мститель», действующий в Минской области, пустил под откос немецкий воинский эшелон. В результате крушения взорвались вагоны со снарядами и загорелись три цистерны с бензином. Прибывшая к месту катастрофы аварийная команда извлекла из-под обломков вагонов около ста обгоревших трупов немецких солдат и офицеров. Белостокский партизанский отряд «Боевой» за две недели мая пустил под откос 13 воинских эшелонов противника. Разбито несколько паровозов и свыше 90 вагонов с различными военными грузами.</w:t>
      </w:r>
    </w:p>
    <w:p w14:paraId="367511AA" w14:textId="77777777" w:rsidR="00353781" w:rsidRPr="007224C3" w:rsidRDefault="0035378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2 Украинском фронте на сторону Красной Армии перешли 23 солдата 85 полка 1 румынской пехотной дивизии. Все перебежчики принесли с собой своё оружие и сдали его нашим бойцам. Румынский солдат Константин П. рассказал: «Для нас совершенно ясно, что Германия проиграла войну. Румынам не приходится жалеть об этом. Наоборот, мы будем довольны таким исходом. Наш народ избавится от немцев, наводнивших Румынию, и вздохнёт свободно. Румынские солдаты мечтают о мире. Есть немало солдат, которые хотят сдаться в плен, но вокруг нас много немцев. Специальные подразделения немецких автоматчиков стерегут румын и следят за ними. В апреле, когда один полк нашей дивизии отступал под напором русских, немцы открыли огонь и убили много румынских солдат. Несмотря на слежку, организованную немцами, мы всё же ушли из части и благополучно добрались до русских позиций».</w:t>
      </w:r>
    </w:p>
    <w:p w14:paraId="44336F83" w14:textId="77777777" w:rsidR="00353781" w:rsidRPr="007224C3" w:rsidRDefault="0035378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На-днях в городе Эршекуйвар (Венгрия) с речью выступил венгерский «министр» внутренних дел Ярош. Он разразился бранью и угрозами по адресу своих соотечественников, поднимающихся на борьбу против немецких оккупантов. «Тем, кто сопротивляется,— заявил Ярош, — я дам понять, что означает воинская дисциплина». Далее венгерский подручный Гитлера изрёк: «Кто стремится к славе, кто хочет лавровых венков, тот может найти их по ту сторону Карпатских гор». Однако венгерские солдаты нынче не падки на лавровые венки. Они знают, что всякий, кто в сообщничестве с немцами гонится за призрачными лаврами на советско-германском фронте, найдёт лишь позорную смерть. Будапештские наймиты Гитлера насильно гонят солдат в поход «по ту сторону Карпат», приставляя к ним специальные отряды жандармов. Несмотря на такой бдительный надзор, большие и мелкие группы венгерских солдат каждый день переходят на сторону Красной Армии.» (14902).</w:t>
      </w:r>
    </w:p>
    <w:p w14:paraId="0449DCBE" w14:textId="77777777" w:rsidR="00353781" w:rsidRPr="007224C3" w:rsidRDefault="00353781" w:rsidP="007224C3">
      <w:pPr>
        <w:spacing w:after="0" w:line="240" w:lineRule="auto"/>
        <w:jc w:val="both"/>
        <w:rPr>
          <w:rFonts w:ascii="Times New Roman" w:hAnsi="Times New Roman"/>
          <w:color w:val="000000" w:themeColor="text1"/>
          <w:sz w:val="16"/>
          <w:szCs w:val="16"/>
        </w:rPr>
      </w:pPr>
    </w:p>
    <w:p w14:paraId="20A62AE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мая 1944 “Нормандия” перебазировалась на аэ</w:t>
      </w:r>
      <w:r w:rsidRPr="007224C3">
        <w:rPr>
          <w:rFonts w:ascii="Times New Roman" w:hAnsi="Times New Roman"/>
          <w:color w:val="000000" w:themeColor="text1"/>
          <w:sz w:val="16"/>
          <w:szCs w:val="16"/>
        </w:rPr>
        <w:softHyphen/>
        <w:t>родром Дубровка в районе Смоленска и вновь вошла в оперативное подчине</w:t>
      </w:r>
      <w:r w:rsidRPr="007224C3">
        <w:rPr>
          <w:rFonts w:ascii="Times New Roman" w:hAnsi="Times New Roman"/>
          <w:color w:val="000000" w:themeColor="text1"/>
          <w:sz w:val="16"/>
          <w:szCs w:val="16"/>
        </w:rPr>
        <w:softHyphen/>
        <w:t>ние командира 303-й иад генерала За</w:t>
      </w:r>
      <w:r w:rsidRPr="007224C3">
        <w:rPr>
          <w:rFonts w:ascii="Times New Roman" w:hAnsi="Times New Roman"/>
          <w:color w:val="000000" w:themeColor="text1"/>
          <w:sz w:val="16"/>
          <w:szCs w:val="16"/>
        </w:rPr>
        <w:softHyphen/>
        <w:t>харова (3956). Возвращение полка на фронт оказа</w:t>
      </w:r>
      <w:r w:rsidRPr="007224C3">
        <w:rPr>
          <w:rFonts w:ascii="Times New Roman" w:hAnsi="Times New Roman"/>
          <w:color w:val="000000" w:themeColor="text1"/>
          <w:sz w:val="16"/>
          <w:szCs w:val="16"/>
        </w:rPr>
        <w:softHyphen/>
        <w:t>лось омрачено гибелью командира 3-й эскадрильи капитана Лефевра, имев</w:t>
      </w:r>
      <w:r w:rsidRPr="007224C3">
        <w:rPr>
          <w:rFonts w:ascii="Times New Roman" w:hAnsi="Times New Roman"/>
          <w:color w:val="000000" w:themeColor="text1"/>
          <w:sz w:val="16"/>
          <w:szCs w:val="16"/>
        </w:rPr>
        <w:softHyphen/>
        <w:t>шего к этому моменту 10 побед. Из-за негерметичности бензопровода в ка</w:t>
      </w:r>
      <w:r w:rsidRPr="007224C3">
        <w:rPr>
          <w:rFonts w:ascii="Times New Roman" w:hAnsi="Times New Roman"/>
          <w:color w:val="000000" w:themeColor="text1"/>
          <w:sz w:val="16"/>
          <w:szCs w:val="16"/>
        </w:rPr>
        <w:softHyphen/>
        <w:t>бине его истребителя уже на земле возник пожар, летчик получил тяжелые ожоги, от которых скончался. А 6 июня произошла еще одна трагедия: нови</w:t>
      </w:r>
      <w:r w:rsidRPr="007224C3">
        <w:rPr>
          <w:rFonts w:ascii="Times New Roman" w:hAnsi="Times New Roman"/>
          <w:color w:val="000000" w:themeColor="text1"/>
          <w:sz w:val="16"/>
          <w:szCs w:val="16"/>
        </w:rPr>
        <w:softHyphen/>
        <w:t>чок младший лейтенант Морис Шалль (это был его первый боевой вылет) по ошибке сбил одного из лучших пилотов 18-го гвардейского авиаполка старше</w:t>
      </w:r>
      <w:r w:rsidRPr="007224C3">
        <w:rPr>
          <w:rFonts w:ascii="Times New Roman" w:hAnsi="Times New Roman"/>
          <w:color w:val="000000" w:themeColor="text1"/>
          <w:sz w:val="16"/>
          <w:szCs w:val="16"/>
        </w:rPr>
        <w:softHyphen/>
        <w:t>го лейтенанта В.И.Архипова. Шалль тя</w:t>
      </w:r>
      <w:r w:rsidRPr="007224C3">
        <w:rPr>
          <w:rFonts w:ascii="Times New Roman" w:hAnsi="Times New Roman"/>
          <w:color w:val="000000" w:themeColor="text1"/>
          <w:sz w:val="16"/>
          <w:szCs w:val="16"/>
        </w:rPr>
        <w:softHyphen/>
        <w:t>жело переживал случившееся, ожидал отправки во Францию и даже трибуна</w:t>
      </w:r>
      <w:r w:rsidRPr="007224C3">
        <w:rPr>
          <w:rFonts w:ascii="Times New Roman" w:hAnsi="Times New Roman"/>
          <w:color w:val="000000" w:themeColor="text1"/>
          <w:sz w:val="16"/>
          <w:szCs w:val="16"/>
        </w:rPr>
        <w:softHyphen/>
        <w:t>ла, но инцидент замяли. Двадцать дней спустя Шалль, искупая вину, сбил сразу двух немцев: это были Bf109 и FW190 (3956).</w:t>
      </w:r>
    </w:p>
    <w:p w14:paraId="21C9D85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7E0A7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мая 1944 состоялся вылет большой партии Каталин по северному маршруту Элизабет-сити - Гандер - Рейкьявик - Мурманск (последний этап - 15-22 час.) (1085,211).</w:t>
      </w:r>
    </w:p>
    <w:p w14:paraId="1964C7F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58C3F8"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Жизнь и внутренняя политика:</w:t>
      </w:r>
    </w:p>
    <w:p w14:paraId="4A62EE7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06412B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мая 1944 впервые после блокады возобновлено троллейбусное движение в Ленинграде. Первым открыт маршрут от Адмиралтейства до Сызранской улицы (10739).</w:t>
      </w:r>
    </w:p>
    <w:p w14:paraId="2A2FDAF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8F0FF32" w14:textId="77777777" w:rsidR="00353781" w:rsidRPr="007224C3" w:rsidRDefault="00353781"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25 мая</w:t>
      </w:r>
      <w:r w:rsidRPr="007224C3">
        <w:rPr>
          <w:rFonts w:ascii="Times New Roman" w:hAnsi="Times New Roman"/>
          <w:color w:val="000000" w:themeColor="text1"/>
          <w:sz w:val="16"/>
          <w:szCs w:val="16"/>
        </w:rPr>
        <w:t xml:space="preserve"> в 1944 году опубликовано сообщение: за время войны трудящиеся страны внесли в Фонд обороны и в Фонд Красной Армии свыше 14 млрд рублей деньгами и более 4 млрд рублей облигациями, а также много золота, серебра, драгоценностей (14902).</w:t>
      </w:r>
    </w:p>
    <w:p w14:paraId="207AC821" w14:textId="77777777" w:rsidR="00353781" w:rsidRPr="007224C3" w:rsidRDefault="00353781" w:rsidP="007224C3">
      <w:pPr>
        <w:spacing w:after="0" w:line="240" w:lineRule="auto"/>
        <w:jc w:val="both"/>
        <w:rPr>
          <w:rFonts w:ascii="Times New Roman" w:hAnsi="Times New Roman"/>
          <w:color w:val="000000" w:themeColor="text1"/>
          <w:sz w:val="16"/>
          <w:szCs w:val="16"/>
        </w:rPr>
      </w:pPr>
    </w:p>
    <w:p w14:paraId="215C5ED9"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6FAF81E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B1730F1" w14:textId="77777777" w:rsidR="00353781" w:rsidRPr="007224C3" w:rsidRDefault="00353781"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25 мая</w:t>
      </w:r>
      <w:r w:rsidRPr="007224C3">
        <w:rPr>
          <w:rFonts w:ascii="Times New Roman" w:hAnsi="Times New Roman"/>
          <w:color w:val="000000" w:themeColor="text1"/>
          <w:sz w:val="16"/>
          <w:szCs w:val="16"/>
        </w:rPr>
        <w:t xml:space="preserve"> в 1944 году Г.Геринг заявил, что тяжелый бомбардировщик является "ядром боевой авиации" и потребовал немедленно запустить </w:t>
      </w:r>
      <w:hyperlink r:id="rId141" w:tgtFrame="_blank" w:history="1">
        <w:r w:rsidRPr="007224C3">
          <w:rPr>
            <w:rFonts w:ascii="Times New Roman" w:hAnsi="Times New Roman"/>
            <w:color w:val="000000" w:themeColor="text1"/>
            <w:sz w:val="16"/>
            <w:szCs w:val="16"/>
          </w:rPr>
          <w:t xml:space="preserve">«Hе.277b» </w:t>
        </w:r>
      </w:hyperlink>
      <w:r w:rsidRPr="007224C3">
        <w:rPr>
          <w:rFonts w:ascii="Times New Roman" w:hAnsi="Times New Roman"/>
          <w:color w:val="000000" w:themeColor="text1"/>
          <w:sz w:val="16"/>
          <w:szCs w:val="16"/>
        </w:rPr>
        <w:t>в серийное производство темпом не менее 200 машин в месяц! Первым серийным вариантом должен был стать «Hе.277b-5/R-2» - тяжелый дальний бомбардировщик с четыремя «DB-603А». Уже были собраны восемь серийных «Не 277B-5/R2», но летом 1944 года произошли очередные изменения в концепции вооружения «Люфтваффе» — теперь приоритет был отдан массовому производству истребителей, а работы по программе «Не 277» были прекращены (14902).</w:t>
      </w:r>
    </w:p>
    <w:p w14:paraId="03BD660C" w14:textId="77777777" w:rsidR="00353781" w:rsidRPr="007224C3" w:rsidRDefault="00353781" w:rsidP="007224C3">
      <w:pPr>
        <w:spacing w:after="0" w:line="240" w:lineRule="auto"/>
        <w:jc w:val="both"/>
        <w:rPr>
          <w:rFonts w:ascii="Times New Roman" w:hAnsi="Times New Roman"/>
          <w:color w:val="000000" w:themeColor="text1"/>
          <w:sz w:val="16"/>
          <w:szCs w:val="16"/>
        </w:rPr>
      </w:pPr>
    </w:p>
    <w:p w14:paraId="14007B55" w14:textId="77777777" w:rsidR="00353781" w:rsidRPr="007224C3" w:rsidRDefault="00353781"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25 мая</w:t>
      </w:r>
      <w:r w:rsidRPr="007224C3">
        <w:rPr>
          <w:rFonts w:ascii="Times New Roman" w:hAnsi="Times New Roman"/>
          <w:color w:val="000000" w:themeColor="text1"/>
          <w:sz w:val="16"/>
          <w:szCs w:val="16"/>
        </w:rPr>
        <w:t xml:space="preserve"> в 1944 году департамент генераллюфтцойгмейстера издал директиву о прекращении производства </w:t>
      </w:r>
      <w:hyperlink w:tgtFrame="_blank" w:history="1">
        <w:r w:rsidRPr="007224C3">
          <w:rPr>
            <w:rFonts w:ascii="Times New Roman" w:hAnsi="Times New Roman"/>
            <w:color w:val="000000" w:themeColor="text1"/>
            <w:sz w:val="16"/>
            <w:szCs w:val="16"/>
          </w:rPr>
          <w:t xml:space="preserve">«Не 219» </w:t>
        </w:r>
      </w:hyperlink>
      <w:r w:rsidRPr="007224C3">
        <w:rPr>
          <w:rFonts w:ascii="Times New Roman" w:hAnsi="Times New Roman"/>
          <w:color w:val="000000" w:themeColor="text1"/>
          <w:sz w:val="16"/>
          <w:szCs w:val="16"/>
        </w:rPr>
        <w:t>и разворачивании выпуска «Ju 388J» и «Та 154». Истребитель на базе «Ju 388» при этом получил кодовое обозначение "Штертебекер" (в честь легендарного немецкого пирата). Главным побудительным мотивом для работ по «Ju 388» Мильх считал возможность за счет унификации узлов и разворачивания массового производства резко снизить стоимость нового истребителя по сравнению с «Не 219», но дальнейшие события показали, что Мильх был не прав (14902).</w:t>
      </w:r>
    </w:p>
    <w:p w14:paraId="71881C5B" w14:textId="77777777" w:rsidR="00353781" w:rsidRPr="007224C3" w:rsidRDefault="00353781" w:rsidP="007224C3">
      <w:pPr>
        <w:spacing w:after="0" w:line="240" w:lineRule="auto"/>
        <w:jc w:val="both"/>
        <w:rPr>
          <w:rFonts w:ascii="Times New Roman" w:hAnsi="Times New Roman"/>
          <w:color w:val="000000" w:themeColor="text1"/>
          <w:sz w:val="16"/>
          <w:szCs w:val="16"/>
        </w:rPr>
      </w:pPr>
    </w:p>
    <w:p w14:paraId="0DB4BCE8" w14:textId="77777777" w:rsidR="00353781" w:rsidRPr="007224C3" w:rsidRDefault="00353781" w:rsidP="007224C3">
      <w:pPr>
        <w:pStyle w:val="36"/>
        <w:shd w:val="clear" w:color="auto" w:fill="auto"/>
        <w:spacing w:after="0"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25 мая 1944 г. на совещании, со</w:t>
      </w:r>
      <w:r w:rsidRPr="007224C3">
        <w:rPr>
          <w:rFonts w:ascii="Times New Roman" w:cs="Times New Roman"/>
          <w:color w:val="000000" w:themeColor="text1"/>
          <w:spacing w:val="0"/>
          <w:sz w:val="16"/>
          <w:szCs w:val="16"/>
        </w:rPr>
        <w:softHyphen/>
        <w:t>стоявшемся в Оберзальцбурге, ведущий кон</w:t>
      </w:r>
      <w:r w:rsidRPr="007224C3">
        <w:rPr>
          <w:rFonts w:ascii="Times New Roman" w:cs="Times New Roman"/>
          <w:color w:val="000000" w:themeColor="text1"/>
          <w:spacing w:val="0"/>
          <w:sz w:val="16"/>
          <w:szCs w:val="16"/>
        </w:rPr>
        <w:softHyphen/>
        <w:t>структор фирмы «Юн</w:t>
      </w:r>
      <w:r w:rsidRPr="007224C3">
        <w:rPr>
          <w:rFonts w:ascii="Times New Roman" w:cs="Times New Roman"/>
          <w:color w:val="000000" w:themeColor="text1"/>
          <w:spacing w:val="0"/>
          <w:sz w:val="16"/>
          <w:szCs w:val="16"/>
        </w:rPr>
        <w:softHyphen/>
        <w:t>кере» профессор Гертель доложил Герингу, что сборка закан</w:t>
      </w:r>
      <w:r w:rsidRPr="007224C3">
        <w:rPr>
          <w:rFonts w:ascii="Times New Roman" w:cs="Times New Roman"/>
          <w:color w:val="000000" w:themeColor="text1"/>
          <w:spacing w:val="0"/>
          <w:sz w:val="16"/>
          <w:szCs w:val="16"/>
        </w:rPr>
        <w:softHyphen/>
        <w:t>чивается, и в ближай</w:t>
      </w:r>
      <w:r w:rsidRPr="007224C3">
        <w:rPr>
          <w:rFonts w:ascii="Times New Roman" w:cs="Times New Roman"/>
          <w:color w:val="000000" w:themeColor="text1"/>
          <w:spacing w:val="0"/>
          <w:sz w:val="16"/>
          <w:szCs w:val="16"/>
        </w:rPr>
        <w:softHyphen/>
        <w:t xml:space="preserve">шие дни </w:t>
      </w:r>
      <w:r w:rsidRPr="007224C3">
        <w:rPr>
          <w:rFonts w:ascii="Times New Roman" w:cs="Times New Roman"/>
          <w:color w:val="000000" w:themeColor="text1"/>
          <w:spacing w:val="0"/>
          <w:sz w:val="16"/>
          <w:szCs w:val="16"/>
          <w:lang w:val="en-US"/>
        </w:rPr>
        <w:t>Ju</w:t>
      </w:r>
      <w:r w:rsidRPr="007224C3">
        <w:rPr>
          <w:rFonts w:ascii="Times New Roman" w:cs="Times New Roman"/>
          <w:color w:val="000000" w:themeColor="text1"/>
          <w:spacing w:val="0"/>
          <w:sz w:val="16"/>
          <w:szCs w:val="16"/>
        </w:rPr>
        <w:t>-287</w:t>
      </w:r>
      <w:r w:rsidRPr="007224C3">
        <w:rPr>
          <w:rFonts w:ascii="Times New Roman" w:cs="Times New Roman"/>
          <w:color w:val="000000" w:themeColor="text1"/>
          <w:spacing w:val="0"/>
          <w:sz w:val="16"/>
          <w:szCs w:val="16"/>
          <w:lang w:val="en-US"/>
        </w:rPr>
        <w:t>V</w:t>
      </w:r>
      <w:r w:rsidRPr="007224C3">
        <w:rPr>
          <w:rFonts w:ascii="Times New Roman" w:cs="Times New Roman"/>
          <w:color w:val="000000" w:themeColor="text1"/>
          <w:spacing w:val="0"/>
          <w:sz w:val="16"/>
          <w:szCs w:val="16"/>
        </w:rPr>
        <w:t>1 будет доставлен в Брандис. 28 мая ВВС США бомбили Бран</w:t>
      </w:r>
      <w:r w:rsidRPr="007224C3">
        <w:rPr>
          <w:rFonts w:ascii="Times New Roman" w:cs="Times New Roman"/>
          <w:color w:val="000000" w:themeColor="text1"/>
          <w:spacing w:val="0"/>
          <w:sz w:val="16"/>
          <w:szCs w:val="16"/>
        </w:rPr>
        <w:softHyphen/>
        <w:t>дис, но V1 чудом спас</w:t>
      </w:r>
      <w:r w:rsidRPr="007224C3">
        <w:rPr>
          <w:rFonts w:ascii="Times New Roman" w:cs="Times New Roman"/>
          <w:color w:val="000000" w:themeColor="text1"/>
          <w:spacing w:val="0"/>
          <w:sz w:val="16"/>
          <w:szCs w:val="16"/>
        </w:rPr>
        <w:softHyphen/>
        <w:t>ся от разрушения (15791).</w:t>
      </w:r>
    </w:p>
    <w:p w14:paraId="69BFCED8" w14:textId="77777777" w:rsidR="00353781" w:rsidRPr="007224C3" w:rsidRDefault="00353781" w:rsidP="007224C3">
      <w:pPr>
        <w:pStyle w:val="36"/>
        <w:shd w:val="clear" w:color="auto" w:fill="auto"/>
        <w:spacing w:after="0" w:line="240" w:lineRule="auto"/>
        <w:jc w:val="both"/>
        <w:rPr>
          <w:rFonts w:ascii="Times New Roman" w:cs="Times New Roman"/>
          <w:color w:val="000000" w:themeColor="text1"/>
          <w:spacing w:val="0"/>
          <w:sz w:val="16"/>
          <w:szCs w:val="16"/>
        </w:rPr>
      </w:pPr>
    </w:p>
    <w:p w14:paraId="7E6F280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May 25 1944 Germans retreat from Anzio (1050).</w:t>
      </w:r>
    </w:p>
    <w:p w14:paraId="095EB20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0DFFC7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мая 1944 немцы отступили из Анцио (1050) и союзники начали наступление (2247,3).</w:t>
      </w:r>
    </w:p>
    <w:p w14:paraId="7BE5908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E7BFA7" w14:textId="77777777" w:rsidR="00353781" w:rsidRPr="007224C3" w:rsidRDefault="00353781"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25 мая</w:t>
      </w:r>
      <w:r w:rsidRPr="007224C3">
        <w:rPr>
          <w:rFonts w:ascii="Times New Roman" w:hAnsi="Times New Roman"/>
          <w:color w:val="000000" w:themeColor="text1"/>
          <w:sz w:val="16"/>
          <w:szCs w:val="16"/>
        </w:rPr>
        <w:t xml:space="preserve"> в 1944 году диверсионно-штурмовые подразделения «Бранденбурга», зондеркоманды СД и парашютисты СС участвуют в совместной операции «Ход конем» — нападении на штаб-квартиру Освободительной армии Югославии и попытке захватить Тито. Тито удается скрыться (14902).</w:t>
      </w:r>
    </w:p>
    <w:p w14:paraId="45B02D54" w14:textId="77777777" w:rsidR="00353781" w:rsidRPr="007224C3" w:rsidRDefault="00353781" w:rsidP="007224C3">
      <w:pPr>
        <w:spacing w:after="0" w:line="240" w:lineRule="auto"/>
        <w:jc w:val="both"/>
        <w:rPr>
          <w:rFonts w:ascii="Times New Roman" w:hAnsi="Times New Roman"/>
          <w:color w:val="000000" w:themeColor="text1"/>
          <w:sz w:val="16"/>
          <w:szCs w:val="16"/>
        </w:rPr>
      </w:pPr>
    </w:p>
    <w:p w14:paraId="12C7CA2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мая 1944 ВД батальон СС в 7 час. утра был высажен в Дрваре с заданием уничтожить штаб И.Б.Тито. В 10 час. И.Б.Т. оставили базу и за ним гнались до 3 июня 1944 в ночь на 4 (455,152), когда он был вывезен на Ли-2 вместе с советскими и английскими советниками в Москву (2112).</w:t>
      </w:r>
    </w:p>
    <w:p w14:paraId="15A4185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45611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мая 1944 Тито смог ускользнуть от немецких парашютистов, поддерживаемых авиацией (3819).</w:t>
      </w:r>
    </w:p>
    <w:p w14:paraId="27ABB49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3C900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May 25th, 1944: Yugoslav partisan leader Tito narrowly escapes capture by German paratroops supported by Stukas in his HQ in Bosnia (3819).</w:t>
      </w:r>
    </w:p>
    <w:p w14:paraId="0B6F123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F1AE3D5"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мая 1944 в Дрваре (Босния) чудом избежали захвата немцами глава югославских партизан И. Тито и сын Уинстона Черчилля майор Рандольф Черчилль (4962).</w:t>
      </w:r>
    </w:p>
    <w:p w14:paraId="05A34088"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2EF4A9D"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110E657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058614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мая 1944 вышел приказ НКАП N 356сс "Об установке на самолет Як-3 2-го пулемета Березина" в исполнение постановления ГКО N 5942сс от 22 мая 1944:</w:t>
      </w:r>
    </w:p>
    <w:p w14:paraId="0999883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 ПГУ, зам. наркома Воронину, дир. завода 292 Левину и директору завода 31 Саладзе, начиная с 15 июня 1944 выпускать все самолеты Як-3 с ВК-105ПФ2, вооруженные одной пушкой 20 мм и 2 пулеметами Березина калибра 12.7 мм по типу самолета Як-3, прошедшего испытания в НИИ ВВС" (1585,146).</w:t>
      </w:r>
    </w:p>
    <w:p w14:paraId="620C47B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2893E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мае-июне 1944 РЛС типа ПНБ-4 была установлена на серийном Ту-2 N 104. На машину также дополнительно поставили 2 ВЯ (1835,59).</w:t>
      </w:r>
    </w:p>
    <w:p w14:paraId="0BBF870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ACA7A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мае-июне 1944 г. летал Пе-2И (3542).</w:t>
      </w:r>
    </w:p>
    <w:p w14:paraId="73A9B39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5CCCC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 ОКБ А.Н.Т. приступило к установке РЛС на Ту-2 N 104 выпуска 1942 Омского завода 166 (2629,26).</w:t>
      </w:r>
    </w:p>
    <w:p w14:paraId="1329BFF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B76637"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6DD917E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C761304" w14:textId="77777777" w:rsidR="00701987" w:rsidRPr="007224C3" w:rsidRDefault="00701987" w:rsidP="007224C3">
      <w:pPr>
        <w:pStyle w:val="ae"/>
        <w:spacing w:before="0" w:after="0"/>
        <w:jc w:val="both"/>
        <w:textAlignment w:val="baseline"/>
        <w:rPr>
          <w:color w:val="000000" w:themeColor="text1"/>
          <w:sz w:val="16"/>
          <w:szCs w:val="16"/>
        </w:rPr>
      </w:pPr>
      <w:r w:rsidRPr="007224C3">
        <w:rPr>
          <w:color w:val="000000" w:themeColor="text1"/>
          <w:sz w:val="16"/>
          <w:szCs w:val="16"/>
        </w:rPr>
        <w:t>26 мая 1944 года НИБТ Полигон в Кубинку началтсь испытания Т-34-85. К моменту прибытия на НИБТ Полигон Т-34-85М по первому варианту модернизации прошел 1204 км, а по второму – 1188 км в ходе заводских испытаний. Впрочем, ввиду того, что привод спидометра не переделывался, реальный километраж мог быть и иным. Специалисты полигона отмечали, что прибывшие танки, несмотря на пройденный километраж, имели новые ведущие колёса, опорные катки и гусеничные ленты.</w:t>
      </w:r>
    </w:p>
    <w:p w14:paraId="18C45919" w14:textId="77777777" w:rsidR="00701987" w:rsidRPr="007224C3" w:rsidRDefault="00701987" w:rsidP="007224C3">
      <w:pPr>
        <w:pStyle w:val="ae"/>
        <w:spacing w:before="0" w:after="0"/>
        <w:jc w:val="both"/>
        <w:textAlignment w:val="baseline"/>
        <w:rPr>
          <w:color w:val="000000" w:themeColor="text1"/>
          <w:sz w:val="16"/>
          <w:szCs w:val="16"/>
        </w:rPr>
      </w:pPr>
      <w:r w:rsidRPr="007224C3">
        <w:rPr>
          <w:color w:val="000000" w:themeColor="text1"/>
          <w:sz w:val="16"/>
          <w:szCs w:val="16"/>
        </w:rPr>
        <w:t>Программу испытаний утвердили позже – 28 мая. Совместно с Т-34-85М на испытания вышел и серийный танк. Как показали ходовые испытания, которые продолжались до 10 июня, усиление броневой защиты почти никак не отразились на ходовых качествах танков. Максимальная и средняя скорости Т-34-85М по первому варианту оказались равными серийному Т-34-85. Второй вариант танка оказался немного медленнее, но отнюдь не из-за перегруза. Ввиду того, что двигатель после заводских испытаний не меняли, на определённом этапе полигонных тестов начались неполадки, в том числе отмечалась потеря мощности. Этот факт комиссия приняла во внимания, учитывая то, что первый вариант танка по динамике не отличался от серийной машины. При этом передвигаться пришлось, в основном, по разбитому просёлку и лесным дорогам, то есть в наиболее сложных условиях.</w:t>
      </w:r>
    </w:p>
    <w:p w14:paraId="3F9AC2FD" w14:textId="77777777" w:rsidR="00701987" w:rsidRPr="007224C3" w:rsidRDefault="00701987" w:rsidP="007224C3">
      <w:pPr>
        <w:pStyle w:val="ae"/>
        <w:spacing w:before="0" w:after="0"/>
        <w:jc w:val="both"/>
        <w:textAlignment w:val="baseline"/>
        <w:rPr>
          <w:color w:val="000000" w:themeColor="text1"/>
          <w:sz w:val="16"/>
          <w:szCs w:val="16"/>
        </w:rPr>
      </w:pPr>
      <w:r w:rsidRPr="007224C3">
        <w:rPr>
          <w:color w:val="000000" w:themeColor="text1"/>
          <w:sz w:val="16"/>
          <w:szCs w:val="16"/>
        </w:rPr>
        <w:t>За время испытаний первый вариант Т-34-85М прошёл 1006 км, второй вариант – 1084, а серийный танк – 1005 км. Несмотря на то, что общие динамические характеристики модернизированных машин оказались на уровне серийного Т-34-85, переделку ходовой части признали неудачной. Испытания показали, что ухудшилась плавность зацепления роликов с гребнями траков, наблюдались набегания траков на ролики. Итогом стало то, что гребни траков имели повышенный износ – причиной тому стали удары об ролики ведущих колёс. По итогам испытаний инженеры отказались от идеи ставить КПП с изменёнными передаточными числами, а также уменьшенные ведущие колёса. Помимо уже отмеченных недостатков, их введение в серийное производство означало бы снижение унификации танков. Кроме того, боевая масса танков не выросла, так что усиление ходовой части лишалось смысла.</w:t>
      </w:r>
    </w:p>
    <w:p w14:paraId="2F373283" w14:textId="77777777" w:rsidR="00701987" w:rsidRPr="007224C3" w:rsidRDefault="00701987" w:rsidP="007224C3">
      <w:pPr>
        <w:pStyle w:val="ae"/>
        <w:spacing w:before="0" w:after="0"/>
        <w:jc w:val="both"/>
        <w:textAlignment w:val="baseline"/>
        <w:rPr>
          <w:color w:val="000000" w:themeColor="text1"/>
          <w:sz w:val="16"/>
          <w:szCs w:val="16"/>
        </w:rPr>
      </w:pPr>
      <w:r w:rsidRPr="007224C3">
        <w:rPr>
          <w:color w:val="000000" w:themeColor="text1"/>
          <w:sz w:val="16"/>
          <w:szCs w:val="16"/>
        </w:rPr>
        <w:t>То, что модернизированные танки ничуть не уступают по ходовым качествам серийной машине, показали и специспытания. В ходе испытаний на подъём оба танка смогли преодолеть участок крутизной 30 градусов. Более крутой подъём оказался непреодолим из-за сильного износа двигателей. В ходе дальнейших испытаний танки преодолели косогор крутизной 15-25 градусов. Вполне успешно прошли и испытания буксировкой танка. За исключением повышенного износа гусеничных лент, связанного с неудачной конструкцией ведущих колёс, боле низкой надёжности по сравнению с Т-34-85 не отмечалось.</w:t>
      </w:r>
    </w:p>
    <w:p w14:paraId="739993D1" w14:textId="77777777" w:rsidR="00701987" w:rsidRPr="007224C3" w:rsidRDefault="00701987" w:rsidP="007224C3">
      <w:pPr>
        <w:pStyle w:val="ae"/>
        <w:spacing w:before="0" w:after="0"/>
        <w:jc w:val="both"/>
        <w:textAlignment w:val="baseline"/>
        <w:rPr>
          <w:color w:val="000000" w:themeColor="text1"/>
          <w:sz w:val="16"/>
          <w:szCs w:val="16"/>
        </w:rPr>
      </w:pPr>
      <w:r w:rsidRPr="007224C3">
        <w:rPr>
          <w:color w:val="000000" w:themeColor="text1"/>
          <w:sz w:val="16"/>
          <w:szCs w:val="16"/>
        </w:rPr>
        <w:t>Неоднозначную реакцию испытателей вызвала переделка топливной системы, проведённая по второму варианту Т-34-85М. Не отрицая положительных эффектов переноса баков назад, комиссия указывала и на явные недостатки. Главный из них заключался в том, что баки сильно мешали монтажным работам и обслуживанию в отделении трансмиссии. Также сильно усложнилась дозаправка масла в КПП. Машину в ходе испытаний пришлось часто регулировать, так что повышение безопасности на практике превратилась в настоящую головную боль. Единственное условие, при котором баки могли остаться на новом месте, являлось повышение надёжности агрегатов отделения трансмиссии и возможность их эксплуатации (без регулировок) не менее 500 км. Кроме того, испытателям не понравилась усложнённая защита бортов – по мнению комиссии, следовало сделать борта в районе баков также наклонными. Фактически выводы комиссии сводились к тому, что перенос баков не имеет большого смысла, поскольку приносит больше проблем, чем пользы.</w:t>
      </w:r>
    </w:p>
    <w:p w14:paraId="65C8BD06" w14:textId="77777777" w:rsidR="00701987" w:rsidRPr="007224C3" w:rsidRDefault="00701987" w:rsidP="007224C3">
      <w:pPr>
        <w:pStyle w:val="ae"/>
        <w:spacing w:before="0" w:after="0"/>
        <w:jc w:val="both"/>
        <w:textAlignment w:val="baseline"/>
        <w:rPr>
          <w:color w:val="000000" w:themeColor="text1"/>
          <w:sz w:val="16"/>
          <w:szCs w:val="16"/>
        </w:rPr>
      </w:pPr>
      <w:r w:rsidRPr="007224C3">
        <w:rPr>
          <w:color w:val="000000" w:themeColor="text1"/>
          <w:sz w:val="16"/>
          <w:szCs w:val="16"/>
        </w:rPr>
        <w:t>Имелись вопросы и к модернизированной броневой защите. Комиссия посчитала, что снижение толщины листов днища до 15 мм сделает танк более уязвимым к подрыву вражеских мин и фугасов. Не особо удачной оказалась бронировка защиты курсового пулемёта ДТ. Увеличение периметра сварного шва снижало прочность верхнего лобового листа корпуса. Выходом из положения являлась установка курсового пулемёта по типу того, как это делали на КВ-85, ИС и Т-44, то есть без подвижной, но при этом громоздкой бронировки. Также имелись претензии к новому уравновешивающему механизму люка механика-водителя – согласно отчёту, он оказался непригодным к эксплуатации.</w:t>
      </w:r>
    </w:p>
    <w:p w14:paraId="61087202" w14:textId="77777777" w:rsidR="00701987" w:rsidRPr="007224C3" w:rsidRDefault="00701987" w:rsidP="007224C3">
      <w:pPr>
        <w:pStyle w:val="ae"/>
        <w:spacing w:before="0" w:after="0"/>
        <w:jc w:val="both"/>
        <w:textAlignment w:val="baseline"/>
        <w:rPr>
          <w:color w:val="000000" w:themeColor="text1"/>
          <w:sz w:val="16"/>
          <w:szCs w:val="16"/>
        </w:rPr>
      </w:pPr>
      <w:r w:rsidRPr="007224C3">
        <w:rPr>
          <w:color w:val="000000" w:themeColor="text1"/>
          <w:sz w:val="16"/>
          <w:szCs w:val="16"/>
        </w:rPr>
        <w:t>По итогам испытаний были забракованы оба варианта Т-34-85М, но при этом комиссия однозначно поддержала саму идею усиления броневой защиты корпуса и башни. Вместо обоих вариантов Т-34-85М НИБТ Полигон предложил третью версию модернизации. Лоб корпуса и башни усиливался по первому варианту, но при этом передняя часть днища сохраняла толщину 20 мм, а подвижную установку курсового пулемёта заменяли на неподвижную (18998).</w:t>
      </w:r>
    </w:p>
    <w:p w14:paraId="1C0AA6F9" w14:textId="77777777" w:rsidR="00701987" w:rsidRPr="007224C3" w:rsidRDefault="00701987" w:rsidP="007224C3">
      <w:pPr>
        <w:pStyle w:val="ae"/>
        <w:spacing w:before="0" w:after="0"/>
        <w:jc w:val="both"/>
        <w:textAlignment w:val="baseline"/>
        <w:rPr>
          <w:color w:val="000000" w:themeColor="text1"/>
          <w:sz w:val="16"/>
          <w:szCs w:val="16"/>
        </w:rPr>
      </w:pPr>
    </w:p>
    <w:p w14:paraId="5FB455A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26 мая 1944 вышло Постановление ГКО № 5957 О мерах по обеспечению выполнения плана погрузки угля в летний период 1944 года. РГАНИР, Фонд ГКО, д. 257, лл. 9-18,19 (11012).</w:t>
      </w:r>
    </w:p>
    <w:p w14:paraId="2447C90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0F8030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мая 1944 вышло Постановление ГКО № 5958 О плане распределения проката черных металлов и труб на капитальное строительство на II квартал 1944 года. РГАНИР, Фонд ГКО, д. 257, лл. 20-21,22-28 (11012).</w:t>
      </w:r>
    </w:p>
    <w:p w14:paraId="759A376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84C6C6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мая 1944 вышло Постановление ГКО № 5959 Об организации производства танков ИС, бронекорпусов к ним и о восстановлении металлургии на Кировском и Ижорском заводах Наркомтанкопрома в г.Ленинграде. РГАНИР, Фонд ГКО, д. 257, лл. 29-44,45-105 (11012).</w:t>
      </w:r>
    </w:p>
    <w:p w14:paraId="66E8246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2C973F5" w14:textId="77777777" w:rsidR="00827943" w:rsidRPr="007224C3" w:rsidRDefault="0082794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мая 1944 года Сталин подписал постановление ГКО №5959сс «Об организации производства танков ИС, бронекорпусов к ним и о восстановлении металлургии на Кировском и Ижорском заводах Наркомата танковой промышленности в г. Ленинграде». Уже в октябре ожидалась сдача первых десяти ленинградских ИС-2, в ноябре их должно было быть 20, а в декабре — 25. В первом квартале 1945 года предполагалось увеличить объём выпуска ИС-2 до 50 штук в месяц. Постановление возрождало и работу Ижорского завода, который, как и до войны, должен был обеспечивать ЛКЗ корпусами и башнями.</w:t>
      </w:r>
    </w:p>
    <w:p w14:paraId="35727777" w14:textId="77777777" w:rsidR="00827943" w:rsidRPr="007224C3" w:rsidRDefault="0082794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Это постановление вызвало нездоровый ажиотаж не только на ЧКЗ, но и на заводе №200, а также других предприятиях, на которых трудились эвакуированные из Ленинграда рабочие и инженеры. В июне 1944 года на заводе №200 был нарушен нормальный режим работы предприятия, что отразилось и на производстве.</w:t>
      </w:r>
    </w:p>
    <w:p w14:paraId="035DD4A5" w14:textId="77777777" w:rsidR="00827943" w:rsidRPr="007224C3" w:rsidRDefault="0082794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 постановление и его реализация — это две большие разницы. Ленинград не только потерял около миллиона человек, но и был основательно разрушен. Кировский завод, несмотря на то, что действовал в годы блокады, был довольно сильно повреждён, а большая часть его оборудования уехала в эвакуацию. Ижорский завод неоднократно становился местом сражений, за него дрался 72-й отдельный пулемётно-артиллерийский батальон под командованием лейтенанта запаса Г.В. Водопьянова, собранный из рабочих предприятия.</w:t>
      </w:r>
    </w:p>
    <w:p w14:paraId="41B36B33" w14:textId="77777777" w:rsidR="00827943" w:rsidRPr="007224C3" w:rsidRDefault="0082794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Ситуация была крайне непростая. В НКТП это понимали, поэтому в постановлении оговаривались поставки оборудования на Кировский и Ижорский заводы. Но ни летом, ни осенью 1944 года оба завода не были готовы к производству. По состоянию на 25 сентября 1944 года цех МХ-3 на ЛКЗ всё ещё был частично разрушен и требовал серьёзного ремонта. В похожем состоянии были и остальные цеха завода. Имеющиеся станки были в неудовлетворительном состоянии, новых станков прибыло 54 штуки (из них 26 импортных). Из поступивших с Челябинска узлов и агрегатов был собран один ИС-2, его испытали пробегом, но не приняли (18099).</w:t>
      </w:r>
    </w:p>
    <w:p w14:paraId="1B245248" w14:textId="77777777" w:rsidR="00827943" w:rsidRPr="007224C3" w:rsidRDefault="00827943" w:rsidP="007224C3">
      <w:pPr>
        <w:spacing w:after="0" w:line="240" w:lineRule="auto"/>
        <w:jc w:val="both"/>
        <w:rPr>
          <w:rFonts w:ascii="Times New Roman" w:hAnsi="Times New Roman"/>
          <w:color w:val="000000" w:themeColor="text1"/>
          <w:sz w:val="16"/>
          <w:szCs w:val="16"/>
        </w:rPr>
      </w:pPr>
    </w:p>
    <w:p w14:paraId="5B7543F6" w14:textId="77777777" w:rsidR="00827943" w:rsidRPr="007224C3" w:rsidRDefault="00827943"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мая 1944 вышло специальное решение ГКО о налаживании выпуска машин новых конструкций на Кировском з-де в Ленинграде (5008, 172).</w:t>
      </w:r>
    </w:p>
    <w:p w14:paraId="3CBD09DC" w14:textId="77777777" w:rsidR="00827943" w:rsidRPr="007224C3" w:rsidRDefault="00827943"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B30206D"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мая 1944 вышло Постановление ГКО № 5960 Об электрификации участка Челябинск-Златоуст Южно-Уральской железной дороги. (7236, 106-109,110-112).</w:t>
      </w:r>
    </w:p>
    <w:p w14:paraId="4058D7D4"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B5CBEE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мая 1944 г. бвло Ходатайство наркому боеприпасов СССР Б.Л. Ванникову о выделении дополнительного питания для рабочих.</w:t>
      </w:r>
    </w:p>
    <w:p w14:paraId="20136F9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Секретно.</w:t>
      </w:r>
    </w:p>
    <w:p w14:paraId="24ABDF8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…Положение с продовольственными товарами на нашем заводе в настоящее время обстоит чрезвычайно остро, никаких дополнительных ресурсов от нашего подсобного хозяйства и децзаготовок завод не имеет. Имеющиеся запасы овощей от коллективных огородов у рабочих также иссякли впредь до получения нового урожая…</w:t>
      </w:r>
    </w:p>
    <w:p w14:paraId="70A9F27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данным медосмотра, проведенного на заводе с 17 по 26 мая, мы имеем следующие данные. В прокатном цехе из 234 осмотренных, дистрофией и др. болезнями, связанными с недостатком питания страдают 185 человек (79%). В цехе холодного оружия из 257 человек дистрофией болеют 229 человек (89%). Аналогичное положение с больными дистрофией и по другим цехам. При этом в общее количество больных не входят больные дистрофией, находящиеся на больничных листках…</w:t>
      </w:r>
    </w:p>
    <w:p w14:paraId="42C7853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Прошу Вашего распоряжения об отпуске нашему заводу дополнительного питания из расчета на 1 рабочего в месяц: крупы – 2 кг., мяса – 2 кг., жиров – 750 грамм, картофеля – 12 кг.</w:t>
      </w:r>
    </w:p>
    <w:p w14:paraId="7B4E5BA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И.о. директора завода № 391 Шердаков (ОГАЧО, ф. П-915, оп. 1, д. 64, л. 73) (11599).</w:t>
      </w:r>
    </w:p>
    <w:p w14:paraId="081E28B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80D1727" w14:textId="77777777" w:rsidR="00353781" w:rsidRPr="007224C3" w:rsidRDefault="00353781" w:rsidP="007224C3">
      <w:pPr>
        <w:pStyle w:val="a3"/>
        <w:rPr>
          <w:color w:val="000000" w:themeColor="text1"/>
          <w:lang w:val="ru-RU"/>
        </w:rPr>
      </w:pPr>
      <w:r w:rsidRPr="007224C3">
        <w:rPr>
          <w:color w:val="000000" w:themeColor="text1"/>
          <w:lang w:val="ru-RU"/>
        </w:rPr>
        <w:t>26 мая 1944 т. был собран и вышел в обкатку первый гусеничный артиллерийский тягач АТ-45 опытной партии. Он одновременно стал первой машиной на восстановленном заводе и первой в Харькове, освобожденном от немецких за</w:t>
      </w:r>
      <w:r w:rsidRPr="007224C3">
        <w:rPr>
          <w:color w:val="000000" w:themeColor="text1"/>
          <w:lang w:val="ru-RU"/>
        </w:rPr>
        <w:softHyphen/>
        <w:t>хватчиков. Ордена Ленина завод №75 вновь стал полноценным машиностроительным заводом (15748).</w:t>
      </w:r>
    </w:p>
    <w:p w14:paraId="793DF3C1" w14:textId="77777777" w:rsidR="00353781" w:rsidRPr="007224C3" w:rsidRDefault="00353781" w:rsidP="007224C3">
      <w:pPr>
        <w:pStyle w:val="a3"/>
        <w:rPr>
          <w:color w:val="000000" w:themeColor="text1"/>
          <w:lang w:val="ru-RU"/>
        </w:rPr>
      </w:pPr>
    </w:p>
    <w:p w14:paraId="58BD22FB" w14:textId="77777777" w:rsidR="00353781"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6AF3D85D" w14:textId="77777777" w:rsidR="00353781" w:rsidRPr="007224C3" w:rsidRDefault="00353781"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7C0582E" w14:textId="77777777" w:rsidR="00353781" w:rsidRPr="007224C3" w:rsidRDefault="00353781"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26 мая</w:t>
      </w:r>
      <w:r w:rsidRPr="007224C3">
        <w:rPr>
          <w:rFonts w:ascii="Times New Roman" w:hAnsi="Times New Roman"/>
          <w:color w:val="000000" w:themeColor="text1"/>
          <w:sz w:val="16"/>
          <w:szCs w:val="16"/>
        </w:rPr>
        <w:t xml:space="preserve"> в 1944 году оперативная сводка Совинформбюро:</w:t>
      </w:r>
    </w:p>
    <w:p w14:paraId="1903A1DF" w14:textId="77777777" w:rsidR="00353781" w:rsidRPr="007224C3" w:rsidRDefault="0035378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26 мая на фронтах существенных изменений не произошло.</w:t>
      </w:r>
    </w:p>
    <w:p w14:paraId="3B65B497" w14:textId="77777777" w:rsidR="00353781" w:rsidRPr="007224C3" w:rsidRDefault="0035378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25 мая в воздушных боях и огнём зенитной артиллерии сбито 18 самолётов противника.</w:t>
      </w:r>
    </w:p>
    <w:p w14:paraId="47CDD0C2" w14:textId="77777777" w:rsidR="00353781" w:rsidRPr="007224C3" w:rsidRDefault="0035378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Удары нашей авиации по транспортам противника в Баренцовом море</w:t>
      </w:r>
    </w:p>
    <w:p w14:paraId="3DCE7C64" w14:textId="77777777" w:rsidR="00353781" w:rsidRPr="007224C3" w:rsidRDefault="0035378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Нашей воздушной разведкой в Баренцовом море был обнаружен конвой противника в составе пяти транспортов, пяти миноносцев и других кораблей охранения. Авиация флота в ночь на 26 мая произвела несколько массированных бомбово-штурмовых и торпедных ударов по судам противника. В результате этих ударов потоплено два немецких транспорта общим водоизмещением до 15 тысяч тонн, один миноносец и один сторожевой корабль. Нанесены серьёзные повреждения транспорту и другим кораблям противника. В воздушных боях, по предварительным данным, сбито 10 немецких самолётов. Семь наших самолётов не вернулись на свои базы.</w:t>
      </w:r>
    </w:p>
    <w:p w14:paraId="3586E0F8" w14:textId="77777777" w:rsidR="00353781" w:rsidRPr="007224C3" w:rsidRDefault="0035378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Юго-восточнее города Станислав батальон пехоты противника ночью атаковал наши позиции в районе одной высоты. Отдельным группам немцев вначале удалось проникнуть в траншеи переднего края нашей обороны. Решительной контратакой бойцы Н-ской части отбросили противника и восстановили положение. В траншеях осталось 50 вражеских трудов. Захвачены пленные. Наша авиация вела активные действия по коммуникациям противника. Советскими лётчиками уничтожено 3 паровоза, более 30 вагонов, 20 автомашин и на ряде участков разрушены железнодорожные пути.</w:t>
      </w:r>
    </w:p>
    <w:p w14:paraId="12715F5E" w14:textId="77777777" w:rsidR="00353781" w:rsidRPr="007224C3" w:rsidRDefault="0035378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Северо-западнее города Тирасполь происходила артиллерийско-миномётная перестрелка. Советские разведчики выяснили, что в одной балке накапливается немецкая пехота. Сильным огневым налётом на эту балку наши артиллеристы уничтожили до трёх рот гитлеровцев.</w:t>
      </w:r>
    </w:p>
    <w:p w14:paraId="22644163" w14:textId="77777777" w:rsidR="00353781" w:rsidRPr="007224C3" w:rsidRDefault="0035378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одном участке 2-го Украинского фронта снайпер т. Бочаров, находясь в засаде за передним краем нашей обороны, за день уничтожил 24 немца. Через два дня на этом участке наши разведчики изъяли у убитого немецкого офицера дневник. В этом дневнике имеется следующая запись: «Сегодня нас особенно тревожил русский снайпер. Многие погибли от его пуль: 18 рядовых, три унтер-офицера. Погиб и командир роты Отто Крюгер. Русский, видимо, меткий стрелок. Почти все пули попали в лоб или в глаз. Кто этот безвестный стрелок?» Запись датирована как раз тем днём, когда снайпер тов. Бочаров вёл огонь из засады.</w:t>
      </w:r>
    </w:p>
    <w:p w14:paraId="7B2D3B31" w14:textId="77777777" w:rsidR="00353781" w:rsidRPr="007224C3" w:rsidRDefault="0035378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Латвийский партизанский отряд «Виестурс» за две недели пустил под откос 4 немецких воинских эшелона. Один поезд был взорван в тот момент, когда он проходил по железнодорожному мосту. Взрывом разрушен мост. Паровоз и 7 вагонов упали в реку. Погибло более 100 гитлеровцев. Движение поездов на этом участке было прекращено на трое суток.</w:t>
      </w:r>
    </w:p>
    <w:p w14:paraId="1144CAE7" w14:textId="77777777" w:rsidR="00353781" w:rsidRPr="007224C3" w:rsidRDefault="0035378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Немецкое верховное командование издаёт бюллетень «Сообщения для войск». В №87 этого бюллетеня за 1941 год в разделе «Вопросы и ответы» был опубликован следующий вопрос немецкого ефрейтора: «Нельзя ли заставить пленных польских солдат воевать против России и тем самым сохранить кровь и жизнь многих немцев?» Редакция бюллетеня ответила тогда ефрейтору: «Пленные польские солдаты заняты в Германии на различных работах, мы привыкли к ним, как к работникам, которым не надо платить, и очень довольны... Но необходимо предостеречь от беспечности... Полякам нельзя доверять оружия, ибо они обратят его против нас».</w:t>
      </w:r>
    </w:p>
    <w:p w14:paraId="1728BC63" w14:textId="77777777" w:rsidR="00353781" w:rsidRPr="007224C3" w:rsidRDefault="0035378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Несмотря на такое категорическое заявление, гитлеровцы, начиная с весны 1942 года, начали загонять поляков в немецкую армию. Не от хорошей жизни гитлеровцы пошли на такой шаг. Огромные потери немецко-фашистских войск на советско-германском фронте вынудили Гитлера искать людских пополнений для замены своих потрёпанных и перемолотых дивизий. Однако честные патриоты Польши не хотят служить немцам. Ниже публикуются показания немецких солдат, поляков понациональности, перешедших на сторону Красной Армии.</w:t>
      </w:r>
    </w:p>
    <w:p w14:paraId="10CFEBD9" w14:textId="77777777" w:rsidR="00353781" w:rsidRPr="007224C3" w:rsidRDefault="0035378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Солдат 14 немецкой моторизованной дивизии Францишек М. рассказал: «Всё время немецкие фашисты во всеуслышание говорили, что поляки — недочеловеки, что они могут быть только рабами господ из высшей немецкой расы. Теперь, когда у немцев не хватает солдат, Гитлер решил заставить поляков сражаться за интересы фашистской Германии. Однако никогда немцам не удастся восстановить поляков против русских. Мы, поляки, верим, что только вместе с русскими изгоним немцев из пределов нашей Родины. Тогда мы со спокойной душой и совестью вернёмся ксвоим семьям. А сейчас у меня только одна цель, одна мысль — бить и уничтожать немецко-фашистских захватчиков, являющихся самыми заклятыми врагами Польши».</w:t>
      </w:r>
    </w:p>
    <w:p w14:paraId="13979B0F" w14:textId="77777777" w:rsidR="00353781" w:rsidRPr="007224C3" w:rsidRDefault="0035378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Солдат 227 полка 100 немецкой егерской дивизии Казимир Б. рассказал: «На передовых позициях я пробыл всего лишь три дня. Мне выдали 90 патронов, но я ни одного из них не истратил. Свою винтовку и все патроны я сдал русскому офицеру. Немцы совершают в Польше такие злодеяния против мирных жителей, о которых народ будет помнить всю жизнь».</w:t>
      </w:r>
    </w:p>
    <w:p w14:paraId="3A243CE8" w14:textId="77777777" w:rsidR="00353781" w:rsidRPr="007224C3" w:rsidRDefault="0035378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Солдат 257 немецкой пехотной дивизии Владислав К. заявил: «Недавно я после госпиталя побывал на родине. Мои родственники и друзья упрекали и стыдили меня за то, что я всё ещё нахожусь в немецкой армии. Все они советовали мне перейти к русским, как только вернусь на фронт. Я так и сделал. Прошу предоставить мне возможность поступить в польскую армию и в её рядах сражаться против немцев» (14903).</w:t>
      </w:r>
    </w:p>
    <w:p w14:paraId="1B415B70" w14:textId="77777777" w:rsidR="00353781" w:rsidRPr="007224C3" w:rsidRDefault="00353781" w:rsidP="007224C3">
      <w:pPr>
        <w:spacing w:after="0" w:line="240" w:lineRule="auto"/>
        <w:jc w:val="both"/>
        <w:rPr>
          <w:rFonts w:ascii="Times New Roman" w:hAnsi="Times New Roman"/>
          <w:color w:val="000000" w:themeColor="text1"/>
          <w:sz w:val="16"/>
          <w:szCs w:val="16"/>
        </w:rPr>
      </w:pPr>
    </w:p>
    <w:p w14:paraId="355D9248"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61C1AFA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2DB561D" w14:textId="77777777" w:rsidR="006C7B98" w:rsidRPr="007224C3" w:rsidRDefault="006C7B98"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26 мая 1944 г. в Мельбурне был облетан головной самолет «Бофайтер» Mk. 21с бортовым обозначением А8-1, и до конца 1945 г. там и в Маскоте их сделали 364 штуки.</w:t>
      </w:r>
    </w:p>
    <w:p w14:paraId="6383843A" w14:textId="77777777" w:rsidR="006C7B98" w:rsidRPr="007224C3" w:rsidRDefault="006C7B98"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 1941 г. в Австралию было поставлено 24 самолета «Бофайтер» IC. На Тихоокеанском ТВД такая машина оказалась особенно полезной, и о ее действиях мы неоднократно вспоминали на страницах Авиакаталога. Конструкторы государственного завода DAP в пригороде Мельбурна Фишменс Бэнд переоборудовали один из них американскими моторами Райт «Циклон» 14 GR-2800. Постепенно машина была доведена до уровня английской модификации TF X и получила еще более мощное вооружение — вместо пулеметов винтовочного калибра в крыле появились четыре американских 12,7-мм «браунинга». Английской «десятке» серийный австралийский  уступал только по запасу топлива, будучи несколько легче, быстрее и маневреннее. Наладить поставки моторов из Америки не удалось, и в серии ставили английские «Геркулес» XVIII с турбокомпрессорами, с большей взлетной мощностью (что важно в тропиках) и более высотные (22973).</w:t>
      </w:r>
    </w:p>
    <w:p w14:paraId="4774A246" w14:textId="77777777" w:rsidR="006C7B98" w:rsidRPr="007224C3" w:rsidRDefault="006C7B98" w:rsidP="007224C3">
      <w:pPr>
        <w:spacing w:after="0" w:line="240" w:lineRule="auto"/>
        <w:jc w:val="both"/>
        <w:rPr>
          <w:rFonts w:ascii="Times New Roman" w:hAnsi="Times New Roman"/>
          <w:color w:val="0070C0"/>
          <w:sz w:val="16"/>
          <w:szCs w:val="16"/>
        </w:rPr>
      </w:pPr>
    </w:p>
    <w:p w14:paraId="5E7C1E76"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мая 1944 из-за слухов о том, что французские оккупационные власти собираются отменить паранджи для сирийских женщин, в Дамаске начался вооруженный бунт арабов (4962).</w:t>
      </w:r>
    </w:p>
    <w:p w14:paraId="5AA986AF"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4A0BE0B"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15A7770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48D0E0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мая 1944, выполнив 43 полета по программе испытаний, бригада (ведущий инженер П.Т.Аброщенко, ведущий летчик-испытатель А.К.Долгов, штурман Горбунов) рапортовала об успешном завершении госиспытаний Ил-10, которые проходили с 13 мая.</w:t>
      </w:r>
    </w:p>
    <w:p w14:paraId="425FB98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Опытный образец Ил-10 с мотором АМ-42 был представлен на испытания сразу в трех экземплярах, что позволило завершить испытания нового штурмовика всего за две недели.</w:t>
      </w:r>
    </w:p>
    <w:p w14:paraId="6D5E00A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мнению А. Долгова и летчиков облета ГК НИИ ВВС (А. Синельникова, М. Субботина, А. Живописцева и Г. Тинякова) новый штурмовик Ил-10 “по технике пилотирования прост и не требует специального переучивания для перехода на него летчиков, летающих на серийных самолетах Ил-2...</w:t>
      </w:r>
    </w:p>
    <w:p w14:paraId="4A4B195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Устойчивость и управляемость хорошие. Путевая устойчивость несколько велика. Нагрузки от рулей нормальные по величине и направлению. Нагрузки от рулей высоты несколько велики. На рулежке устойчивость самолета недостаточна...”</w:t>
      </w:r>
    </w:p>
    <w:p w14:paraId="3E1844B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выводах акта по результатам госиспытаний Ил-10-го отмечалось, что “...Ил-10, по сравнению с Ил-2, несмотря на ухудшение взлетно-поса-дочных свойств, имеет явное преимущество, в частности, максимальная скорость больше: у земли на 123 км/ч, на границе высотности на 147 км/ч</w:t>
      </w:r>
    </w:p>
    <w:p w14:paraId="44113B6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Время набора высоты 3000 м меньше на 3 мин... Дальность горизонтального полета на высоте 500 м возросла на 120 км.</w:t>
      </w:r>
    </w:p>
    <w:p w14:paraId="6421DD1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Высокая скорость полета, хорошая устойчивость и управляемость при аналогичном с самолетом Ил-2 оружии активного нападения позволяют самолету Ил-10 более эффективно осуществлять штурмовые действия, а повышенная обороноспособность и лучшее бронирование способствуют большему эффекту при ведении воздушного боя с истребителями противника...</w:t>
      </w:r>
    </w:p>
    <w:p w14:paraId="022B143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эксплуатации самолет прост... его производство может базироваться на технологии серийного производства Ил-2...</w:t>
      </w:r>
    </w:p>
    <w:p w14:paraId="49B46F6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Ил-10 является классическим образцом самолета-штурмовика...”</w:t>
      </w:r>
    </w:p>
    <w:p w14:paraId="2A22BD4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Машина была рекомендована для постановки серийного производства при условии устранения выявленных дефектов, связанных главным образом с ненадежной работой винтомоторной установки. В этой связи штурмовик был возвращен в ОКБ на завод № 240 для доводки (9649).</w:t>
      </w:r>
    </w:p>
    <w:p w14:paraId="11C51F9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заключение отметим, что в Красной армии не проводились серьезные исследования по поиску оптимальной тактики боевого применения авиации при решении задач непосредственной авиационной поддержки войск в наступлении (контрнаступлении) и обороне.</w:t>
      </w:r>
    </w:p>
    <w:p w14:paraId="525AD8C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Вследствие этого не были определены показатели и содержание авиационной поддержки войск и факторы, влияющие на нее. Вопрос выбора правильных направлений развития штурмовой авиации являлся для этого времени трудноразрешимой задачей и не имел однозначного, очевидного решения.</w:t>
      </w:r>
    </w:p>
    <w:p w14:paraId="023AFEB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результате, страна и авиапромышленность, затратив громадные усилия и средства на создание эффективных самолетов-штурмовиков (самолетов поля боя), получила на вооружение только один самолет, в известной мере удовлетворивший требованиям боевого применения вусло-виях Великой Отечественной войны -бронированный штурмовик Ил-2.</w:t>
      </w:r>
    </w:p>
    <w:p w14:paraId="2C4B9E8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Придирчиво анализируя конструктивные особенности штурмовика Ил-2, можно сказать, что обещание создать “летающий танк” С.В.Ильюшин все же не выполнил - бронирование самолета не обеспечивало противо-снарядную защиту, а его вооружение нельзя признать танковым.</w:t>
      </w:r>
    </w:p>
    <w:p w14:paraId="6C0E9E2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 создать “летающий БМП”, выдающийся самолет, ставший впоследствии непревзойденным классиком штурмовой авиации, Ильюшин смог.</w:t>
      </w:r>
    </w:p>
    <w:p w14:paraId="07D5421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Ил-2 и его развитие Ил-10 (последний уже в конце войны) были единственными в мире серийными штурмо-виками периода войны, удачно сочетавшими хорошее бронирование с достаточно мощным бортовым комплексом вооружения: пушечным, пулеметным, ракетным и бомбовым, зажигательными и химическими системами.</w:t>
      </w:r>
    </w:p>
    <w:p w14:paraId="1B5527A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 всех авиаконструкторов, занимавшихся созданием штурмовых самолетов (самолетов поля боя), только П.О.Сухому удалось, уже во время войны, превзойти достижение С.В.Ильюшина и создать лучшую в мировой практике и, пожалуй, единственную в это время полноценную авиационную систему вооружения для непосредственной поддержки войск - одномоторный скоростной маневренный штурмовик Су-6 М-71Ф и тяжелый двухмоторный бронированный Су-8 2М-71Ф.</w:t>
      </w:r>
    </w:p>
    <w:p w14:paraId="2CDDF29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периода 2-й Мировой войны боевые возможности этой пары штурмовиков, взаимно дополняющих друг друга в бою, наилучшим образом соответствовали требованиям непосредственной авиационной поддержки войск, обеспечивая эффективное огневое поражение с воздуха войск и боевой техники противника на всю глубину его оперативного построения.</w:t>
      </w:r>
    </w:p>
    <w:p w14:paraId="59B0D0B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случае постановки на вооружение “суховской” штурмовой авиасистемы эффективность авиационной поддержки войск Красной армии в наступлении (контрнаступлении) и обороне могла быть повышена, как показывают расчеты, примерно, в 2-2,5 раза, что уменьшило бы потери войск и приблизило Победу.</w:t>
      </w:r>
    </w:p>
    <w:p w14:paraId="6F44D7D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Остается только сожалеть, что такая интересная машина С.А.Кочеригина как ОПБ с М-90 (или с АМ-37) не была реализована.</w:t>
      </w:r>
    </w:p>
    <w:p w14:paraId="3F197CF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Это становится особенно важным, если рассматривать ОПБ как дополнение к двухмоторному тяжелому штурмовику Су-8 2М-71Ф, который все же не мог успешно поражать малоразмерные сильнозащищенные цели, например, такие как железобетонные ДОТ и т. д., для поражения которых необходимо было бомбометание с пикирования.</w:t>
      </w:r>
    </w:p>
    <w:p w14:paraId="4FDC078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Представляется, что ОПБ и Су-8 в условиях войны 1941-45 гг. были бы оптимальной “боевой парой” в составе ВВС КА, которая “накрывала” абсолютно все боевые задачи авиационной поддержки наземных войск при проведении последними как глубокой наступательной, так и оборонительной операций (9649).</w:t>
      </w:r>
    </w:p>
    <w:p w14:paraId="471A23F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E32EC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мая 1944, выполнив 43 полета (налет 22 ч 37 мин), бригада ра</w:t>
      </w:r>
      <w:r w:rsidRPr="007224C3">
        <w:rPr>
          <w:rFonts w:ascii="Times New Roman" w:hAnsi="Times New Roman"/>
          <w:color w:val="000000" w:themeColor="text1"/>
          <w:sz w:val="16"/>
          <w:szCs w:val="16"/>
        </w:rPr>
        <w:softHyphen/>
        <w:t>портовала об успешном завершении госиспытаний Ил-10. Вес пустого самолета Ил-10, пред</w:t>
      </w:r>
      <w:r w:rsidRPr="007224C3">
        <w:rPr>
          <w:rFonts w:ascii="Times New Roman" w:hAnsi="Times New Roman"/>
          <w:color w:val="000000" w:themeColor="text1"/>
          <w:sz w:val="16"/>
          <w:szCs w:val="16"/>
        </w:rPr>
        <w:softHyphen/>
        <w:t>ставленного на госиспытания, составлял 4680 кг; нормальный полетный вес при этом равнялся 6335 кг. В перегрузку можно было взять до 500 кг бомб (две ФАБ-250) на наружной подвеске либо до 600 кг—внутри (мелкие бомбы в отсе</w:t>
      </w:r>
      <w:r w:rsidRPr="007224C3">
        <w:rPr>
          <w:rFonts w:ascii="Times New Roman" w:hAnsi="Times New Roman"/>
          <w:color w:val="000000" w:themeColor="text1"/>
          <w:sz w:val="16"/>
          <w:szCs w:val="16"/>
        </w:rPr>
        <w:softHyphen/>
        <w:t>ках). Подвижная установка ВУ-7 обеспе</w:t>
      </w:r>
      <w:r w:rsidRPr="007224C3">
        <w:rPr>
          <w:rFonts w:ascii="Times New Roman" w:hAnsi="Times New Roman"/>
          <w:color w:val="000000" w:themeColor="text1"/>
          <w:sz w:val="16"/>
          <w:szCs w:val="16"/>
        </w:rPr>
        <w:softHyphen/>
        <w:t>чивала стрельбу в задней полусфере в секторах: вверх — 40° (от нейтрального положения, параллельного оси самоле</w:t>
      </w:r>
      <w:r w:rsidRPr="007224C3">
        <w:rPr>
          <w:rFonts w:ascii="Times New Roman" w:hAnsi="Times New Roman"/>
          <w:color w:val="000000" w:themeColor="text1"/>
          <w:sz w:val="16"/>
          <w:szCs w:val="16"/>
        </w:rPr>
        <w:softHyphen/>
        <w:t>та), вниз— 15° (с поворотом пулемета к борту), вправо — 55°, влево — 50°. В итоге летно-тактические данные штурмовика Ил-10 сочли выдающимися. При нормальном полетном весе на но</w:t>
      </w:r>
      <w:r w:rsidRPr="007224C3">
        <w:rPr>
          <w:rFonts w:ascii="Times New Roman" w:hAnsi="Times New Roman"/>
          <w:color w:val="000000" w:themeColor="text1"/>
          <w:sz w:val="16"/>
          <w:szCs w:val="16"/>
        </w:rPr>
        <w:softHyphen/>
        <w:t>минальном режиме работы мотора мак</w:t>
      </w:r>
      <w:r w:rsidRPr="007224C3">
        <w:rPr>
          <w:rFonts w:ascii="Times New Roman" w:hAnsi="Times New Roman"/>
          <w:color w:val="000000" w:themeColor="text1"/>
          <w:sz w:val="16"/>
          <w:szCs w:val="16"/>
        </w:rPr>
        <w:softHyphen/>
        <w:t>симальная горизонтальная скорость по</w:t>
      </w:r>
      <w:r w:rsidRPr="007224C3">
        <w:rPr>
          <w:rFonts w:ascii="Times New Roman" w:hAnsi="Times New Roman"/>
          <w:color w:val="000000" w:themeColor="text1"/>
          <w:sz w:val="16"/>
          <w:szCs w:val="16"/>
        </w:rPr>
        <w:softHyphen/>
        <w:t>лета на высоте 2800 м оказалась рав</w:t>
      </w:r>
      <w:r w:rsidRPr="007224C3">
        <w:rPr>
          <w:rFonts w:ascii="Times New Roman" w:hAnsi="Times New Roman"/>
          <w:color w:val="000000" w:themeColor="text1"/>
          <w:sz w:val="16"/>
          <w:szCs w:val="16"/>
        </w:rPr>
        <w:softHyphen/>
        <w:t>ной 551 км/ч — почти на 150 км/ч больше максимальной скорости Ил-2 с АМ-38Ф, а максимальная скорость у земли соста</w:t>
      </w:r>
      <w:r w:rsidRPr="007224C3">
        <w:rPr>
          <w:rFonts w:ascii="Times New Roman" w:hAnsi="Times New Roman"/>
          <w:color w:val="000000" w:themeColor="text1"/>
          <w:sz w:val="16"/>
          <w:szCs w:val="16"/>
        </w:rPr>
        <w:softHyphen/>
        <w:t>вила 507 км/ч. Время набора высоты 1000 м не превышало 1,6 мин, а высоты 3000 м — 5,0 мин. Вертикальная ско</w:t>
      </w:r>
      <w:r w:rsidRPr="007224C3">
        <w:rPr>
          <w:rFonts w:ascii="Times New Roman" w:hAnsi="Times New Roman"/>
          <w:color w:val="000000" w:themeColor="text1"/>
          <w:sz w:val="16"/>
          <w:szCs w:val="16"/>
        </w:rPr>
        <w:softHyphen/>
        <w:t>рость у земли равнялась 9,8 м/с. Макси</w:t>
      </w:r>
      <w:r w:rsidRPr="007224C3">
        <w:rPr>
          <w:rFonts w:ascii="Times New Roman" w:hAnsi="Times New Roman"/>
          <w:color w:val="000000" w:themeColor="text1"/>
          <w:sz w:val="16"/>
          <w:szCs w:val="16"/>
        </w:rPr>
        <w:softHyphen/>
        <w:t>мальная техническая дальность полета составила 800 км (продолжительность полета 2 ч 28 мин). Длина разбега со щитками и с форсажем мотора — 475 м. Посадочная скорость нового штурмови-ка была почти такой же, как у Ил-2. При посадочном весе 5380 кг и с отклонен</w:t>
      </w:r>
      <w:r w:rsidRPr="007224C3">
        <w:rPr>
          <w:rFonts w:ascii="Times New Roman" w:hAnsi="Times New Roman"/>
          <w:color w:val="000000" w:themeColor="text1"/>
          <w:sz w:val="16"/>
          <w:szCs w:val="16"/>
        </w:rPr>
        <w:softHyphen/>
        <w:t>ными на 45° щитками она равнялась 148 км/ч. Удельные нагрузки на крыло и мощ</w:t>
      </w:r>
      <w:r w:rsidRPr="007224C3">
        <w:rPr>
          <w:rFonts w:ascii="Times New Roman" w:hAnsi="Times New Roman"/>
          <w:color w:val="000000" w:themeColor="text1"/>
          <w:sz w:val="16"/>
          <w:szCs w:val="16"/>
        </w:rPr>
        <w:softHyphen/>
        <w:t>ность мотора при нормальном полетном весе 6335 кг, равные 211,2 кг/м</w:t>
      </w:r>
      <w:r w:rsidRPr="007224C3">
        <w:rPr>
          <w:rFonts w:ascii="Times New Roman" w:hAnsi="Times New Roman"/>
          <w:color w:val="000000" w:themeColor="text1"/>
          <w:sz w:val="16"/>
          <w:szCs w:val="16"/>
          <w:vertAlign w:val="superscript"/>
        </w:rPr>
        <w:t>2</w:t>
      </w:r>
      <w:r w:rsidRPr="007224C3">
        <w:rPr>
          <w:rFonts w:ascii="Times New Roman" w:hAnsi="Times New Roman"/>
          <w:color w:val="000000" w:themeColor="text1"/>
          <w:sz w:val="16"/>
          <w:szCs w:val="16"/>
        </w:rPr>
        <w:t xml:space="preserve"> и 3,17 кг/л.с. соответственно, полностью соответ</w:t>
      </w:r>
      <w:r w:rsidRPr="007224C3">
        <w:rPr>
          <w:rFonts w:ascii="Times New Roman" w:hAnsi="Times New Roman"/>
          <w:color w:val="000000" w:themeColor="text1"/>
          <w:sz w:val="16"/>
          <w:szCs w:val="16"/>
        </w:rPr>
        <w:softHyphen/>
        <w:t>ствовали концепции маневренного ско</w:t>
      </w:r>
      <w:r w:rsidRPr="007224C3">
        <w:rPr>
          <w:rFonts w:ascii="Times New Roman" w:hAnsi="Times New Roman"/>
          <w:color w:val="000000" w:themeColor="text1"/>
          <w:sz w:val="16"/>
          <w:szCs w:val="16"/>
        </w:rPr>
        <w:softHyphen/>
        <w:t>ростного штурмовика. На «рабочих» вы</w:t>
      </w:r>
      <w:r w:rsidRPr="007224C3">
        <w:rPr>
          <w:rFonts w:ascii="Times New Roman" w:hAnsi="Times New Roman"/>
          <w:color w:val="000000" w:themeColor="text1"/>
          <w:sz w:val="16"/>
          <w:szCs w:val="16"/>
        </w:rPr>
        <w:softHyphen/>
        <w:t>сотах (от земли до 1500 м) скорость двух</w:t>
      </w:r>
      <w:r w:rsidRPr="007224C3">
        <w:rPr>
          <w:rFonts w:ascii="Times New Roman" w:hAnsi="Times New Roman"/>
          <w:color w:val="000000" w:themeColor="text1"/>
          <w:sz w:val="16"/>
          <w:szCs w:val="16"/>
        </w:rPr>
        <w:softHyphen/>
        <w:t>местного бронированного Ил-10 была всего лишь на 10 — 40 км/ч меньше макси</w:t>
      </w:r>
      <w:r w:rsidRPr="007224C3">
        <w:rPr>
          <w:rFonts w:ascii="Times New Roman" w:hAnsi="Times New Roman"/>
          <w:color w:val="000000" w:themeColor="text1"/>
          <w:sz w:val="16"/>
          <w:szCs w:val="16"/>
        </w:rPr>
        <w:softHyphen/>
        <w:t>мальных скоростей массовых истребите</w:t>
      </w:r>
      <w:r w:rsidRPr="007224C3">
        <w:rPr>
          <w:rFonts w:ascii="Times New Roman" w:hAnsi="Times New Roman"/>
          <w:color w:val="000000" w:themeColor="text1"/>
          <w:sz w:val="16"/>
          <w:szCs w:val="16"/>
        </w:rPr>
        <w:softHyphen/>
        <w:t>лей Люфтваффе Ме109С-2 и ФВ190А-4. Несмотря на то, что установленный на опытном образце Ил-10 мотор работал с перебоями, дымил и плевался маслом, новый штурмовик оставил у летчиков НИИ ВВС приятное впечатление по ус</w:t>
      </w:r>
      <w:r w:rsidRPr="007224C3">
        <w:rPr>
          <w:rFonts w:ascii="Times New Roman" w:hAnsi="Times New Roman"/>
          <w:color w:val="000000" w:themeColor="text1"/>
          <w:sz w:val="16"/>
          <w:szCs w:val="16"/>
        </w:rPr>
        <w:softHyphen/>
        <w:t>тойчивости, управляемости и летным качествам. Во всем диапазоне скоростей (от минимальной по сваливанию до мак</w:t>
      </w:r>
      <w:r w:rsidRPr="007224C3">
        <w:rPr>
          <w:rFonts w:ascii="Times New Roman" w:hAnsi="Times New Roman"/>
          <w:color w:val="000000" w:themeColor="text1"/>
          <w:sz w:val="16"/>
          <w:szCs w:val="16"/>
        </w:rPr>
        <w:softHyphen/>
        <w:t>симальной) самолет был устойчив по всем трем осям и показал прекрасную маневренность, как в горизонтальной плоскости, так и в вертикальной. По мнению ведущего летчика А.К. Долгова и летчиков облета А.В. Си</w:t>
      </w:r>
      <w:r w:rsidRPr="007224C3">
        <w:rPr>
          <w:rFonts w:ascii="Times New Roman" w:hAnsi="Times New Roman"/>
          <w:color w:val="000000" w:themeColor="text1"/>
          <w:sz w:val="16"/>
          <w:szCs w:val="16"/>
        </w:rPr>
        <w:softHyphen/>
        <w:t>нельникова, М.П. Субботина, А. Живописцева и Г. Тинякова, новый штурмовик «...по технике пилотирования прост и не требует специального переучивания для перехода на него летчиков, летающих на серийных самолетах Ил-2... Устойчи</w:t>
      </w:r>
      <w:r w:rsidRPr="007224C3">
        <w:rPr>
          <w:rFonts w:ascii="Times New Roman" w:hAnsi="Times New Roman"/>
          <w:color w:val="000000" w:themeColor="text1"/>
          <w:sz w:val="16"/>
          <w:szCs w:val="16"/>
        </w:rPr>
        <w:softHyphen/>
        <w:t>вость и управляемость хорошие. Путе</w:t>
      </w:r>
      <w:r w:rsidRPr="007224C3">
        <w:rPr>
          <w:rFonts w:ascii="Times New Roman" w:hAnsi="Times New Roman"/>
          <w:color w:val="000000" w:themeColor="text1"/>
          <w:sz w:val="16"/>
          <w:szCs w:val="16"/>
        </w:rPr>
        <w:softHyphen/>
        <w:t>вая устойчивость несколько велика. На</w:t>
      </w:r>
      <w:r w:rsidRPr="007224C3">
        <w:rPr>
          <w:rFonts w:ascii="Times New Roman" w:hAnsi="Times New Roman"/>
          <w:color w:val="000000" w:themeColor="text1"/>
          <w:sz w:val="16"/>
          <w:szCs w:val="16"/>
        </w:rPr>
        <w:softHyphen/>
        <w:t>грузки от рулей нормальные по величи</w:t>
      </w:r>
      <w:r w:rsidRPr="007224C3">
        <w:rPr>
          <w:rFonts w:ascii="Times New Roman" w:hAnsi="Times New Roman"/>
          <w:color w:val="000000" w:themeColor="text1"/>
          <w:sz w:val="16"/>
          <w:szCs w:val="16"/>
        </w:rPr>
        <w:softHyphen/>
        <w:t>не и направлению. Нагрузки от рулей высоты несколько велики. На рулежке устойчивость самолета недостаточ</w:t>
      </w:r>
      <w:r w:rsidRPr="007224C3">
        <w:rPr>
          <w:rFonts w:ascii="Times New Roman" w:hAnsi="Times New Roman"/>
          <w:color w:val="000000" w:themeColor="text1"/>
          <w:sz w:val="16"/>
          <w:szCs w:val="16"/>
        </w:rPr>
        <w:softHyphen/>
        <w:t>ная...». Но были выявлены и существенные недостатки: не предусматривался ава</w:t>
      </w:r>
      <w:r w:rsidRPr="007224C3">
        <w:rPr>
          <w:rFonts w:ascii="Times New Roman" w:hAnsi="Times New Roman"/>
          <w:color w:val="000000" w:themeColor="text1"/>
          <w:sz w:val="16"/>
          <w:szCs w:val="16"/>
        </w:rPr>
        <w:softHyphen/>
        <w:t>рийный сброс фонарей кабин; экипаж страдал от невыносимой жары — через кабину проходила горячая водяная ма</w:t>
      </w:r>
      <w:r w:rsidRPr="007224C3">
        <w:rPr>
          <w:rFonts w:ascii="Times New Roman" w:hAnsi="Times New Roman"/>
          <w:color w:val="000000" w:themeColor="text1"/>
          <w:sz w:val="16"/>
          <w:szCs w:val="16"/>
        </w:rPr>
        <w:softHyphen/>
        <w:t>гистраль, практически не имевшая теп</w:t>
      </w:r>
      <w:r w:rsidRPr="007224C3">
        <w:rPr>
          <w:rFonts w:ascii="Times New Roman" w:hAnsi="Times New Roman"/>
          <w:color w:val="000000" w:themeColor="text1"/>
          <w:sz w:val="16"/>
          <w:szCs w:val="16"/>
        </w:rPr>
        <w:softHyphen/>
        <w:t>лоизоляции. Отсутствовала система ней</w:t>
      </w:r>
      <w:r w:rsidRPr="007224C3">
        <w:rPr>
          <w:rFonts w:ascii="Times New Roman" w:hAnsi="Times New Roman"/>
          <w:color w:val="000000" w:themeColor="text1"/>
          <w:sz w:val="16"/>
          <w:szCs w:val="16"/>
        </w:rPr>
        <w:softHyphen/>
        <w:t>трального газа, уже ставшая нормой для большинства боевых машин. Плохо ра</w:t>
      </w:r>
      <w:r w:rsidRPr="007224C3">
        <w:rPr>
          <w:rFonts w:ascii="Times New Roman" w:hAnsi="Times New Roman"/>
          <w:color w:val="000000" w:themeColor="text1"/>
          <w:sz w:val="16"/>
          <w:szCs w:val="16"/>
        </w:rPr>
        <w:softHyphen/>
        <w:t xml:space="preserve">ботали тормоза колес. В выводах </w:t>
      </w:r>
      <w:r w:rsidRPr="007224C3">
        <w:rPr>
          <w:rFonts w:ascii="Times New Roman" w:hAnsi="Times New Roman"/>
          <w:color w:val="000000" w:themeColor="text1"/>
          <w:sz w:val="16"/>
          <w:szCs w:val="16"/>
        </w:rPr>
        <w:lastRenderedPageBreak/>
        <w:t>акта по результатам испы</w:t>
      </w:r>
      <w:r w:rsidRPr="007224C3">
        <w:rPr>
          <w:rFonts w:ascii="Times New Roman" w:hAnsi="Times New Roman"/>
          <w:color w:val="000000" w:themeColor="text1"/>
          <w:sz w:val="16"/>
          <w:szCs w:val="16"/>
        </w:rPr>
        <w:softHyphen/>
        <w:t>таний отмечалось: "...Ил-10, по сравне</w:t>
      </w:r>
      <w:r w:rsidRPr="007224C3">
        <w:rPr>
          <w:rFonts w:ascii="Times New Roman" w:hAnsi="Times New Roman"/>
          <w:color w:val="000000" w:themeColor="text1"/>
          <w:sz w:val="16"/>
          <w:szCs w:val="16"/>
        </w:rPr>
        <w:softHyphen/>
        <w:t>нию с Ил-2, несмотря на ухудшение взлет</w:t>
      </w:r>
      <w:r w:rsidRPr="007224C3">
        <w:rPr>
          <w:rFonts w:ascii="Times New Roman" w:hAnsi="Times New Roman"/>
          <w:color w:val="000000" w:themeColor="text1"/>
          <w:sz w:val="16"/>
          <w:szCs w:val="16"/>
        </w:rPr>
        <w:softHyphen/>
        <w:t>но-посадочных свойств, имеет явное пре</w:t>
      </w:r>
      <w:r w:rsidRPr="007224C3">
        <w:rPr>
          <w:rFonts w:ascii="Times New Roman" w:hAnsi="Times New Roman"/>
          <w:color w:val="000000" w:themeColor="text1"/>
          <w:sz w:val="16"/>
          <w:szCs w:val="16"/>
        </w:rPr>
        <w:softHyphen/>
        <w:t>имущество, в частности, максимальная скорость больше: у земли на 123 км/ч, на границе высотности на 147 км/ч... Время набора высоты 3000 м меньше на 3 мин... Дальность горизонтального по</w:t>
      </w:r>
      <w:r w:rsidRPr="007224C3">
        <w:rPr>
          <w:rFonts w:ascii="Times New Roman" w:hAnsi="Times New Roman"/>
          <w:color w:val="000000" w:themeColor="text1"/>
          <w:sz w:val="16"/>
          <w:szCs w:val="16"/>
        </w:rPr>
        <w:softHyphen/>
        <w:t>лета на высоте 500 м возросла на 120 км... Высокая скорость полета, хо</w:t>
      </w:r>
      <w:r w:rsidRPr="007224C3">
        <w:rPr>
          <w:rFonts w:ascii="Times New Roman" w:hAnsi="Times New Roman"/>
          <w:color w:val="000000" w:themeColor="text1"/>
          <w:sz w:val="16"/>
          <w:szCs w:val="16"/>
        </w:rPr>
        <w:softHyphen/>
        <w:t>рошая устойчивость и управляемость при аналогичном с самолетом Ил-2 оружии активного нападения позволя</w:t>
      </w:r>
      <w:r w:rsidRPr="007224C3">
        <w:rPr>
          <w:rFonts w:ascii="Times New Roman" w:hAnsi="Times New Roman"/>
          <w:color w:val="000000" w:themeColor="text1"/>
          <w:sz w:val="16"/>
          <w:szCs w:val="16"/>
        </w:rPr>
        <w:softHyphen/>
        <w:t>ют самолету Ил-10 более эффективно осуществлять штурмовые действия, а повышенная обороноспособность и лучшее бронирование способствуют большему эффекту при ведении воздуш</w:t>
      </w:r>
      <w:r w:rsidRPr="007224C3">
        <w:rPr>
          <w:rFonts w:ascii="Times New Roman" w:hAnsi="Times New Roman"/>
          <w:color w:val="000000" w:themeColor="text1"/>
          <w:sz w:val="16"/>
          <w:szCs w:val="16"/>
        </w:rPr>
        <w:softHyphen/>
        <w:t>ного боя с истребителями противника... В эксплуатации самолет прост... его про</w:t>
      </w:r>
      <w:r w:rsidRPr="007224C3">
        <w:rPr>
          <w:rFonts w:ascii="Times New Roman" w:hAnsi="Times New Roman"/>
          <w:color w:val="000000" w:themeColor="text1"/>
          <w:sz w:val="16"/>
          <w:szCs w:val="16"/>
        </w:rPr>
        <w:softHyphen/>
        <w:t>изводство может базироваться на техно</w:t>
      </w:r>
      <w:r w:rsidRPr="007224C3">
        <w:rPr>
          <w:rFonts w:ascii="Times New Roman" w:hAnsi="Times New Roman"/>
          <w:color w:val="000000" w:themeColor="text1"/>
          <w:sz w:val="16"/>
          <w:szCs w:val="16"/>
        </w:rPr>
        <w:softHyphen/>
        <w:t>логии серийного производства Ил-2... Самолет Ил-10 является классическим образцом самолета-штурмовика...». Машина была рекомендована для массового серийного производства в ка</w:t>
      </w:r>
      <w:r w:rsidRPr="007224C3">
        <w:rPr>
          <w:rFonts w:ascii="Times New Roman" w:hAnsi="Times New Roman"/>
          <w:color w:val="000000" w:themeColor="text1"/>
          <w:sz w:val="16"/>
          <w:szCs w:val="16"/>
        </w:rPr>
        <w:softHyphen/>
        <w:t>честве основного типа штурмовика вза</w:t>
      </w:r>
      <w:r w:rsidRPr="007224C3">
        <w:rPr>
          <w:rFonts w:ascii="Times New Roman" w:hAnsi="Times New Roman"/>
          <w:color w:val="000000" w:themeColor="text1"/>
          <w:sz w:val="16"/>
          <w:szCs w:val="16"/>
        </w:rPr>
        <w:softHyphen/>
        <w:t>мен Ил-2 при условии обязательного ус</w:t>
      </w:r>
      <w:r w:rsidRPr="007224C3">
        <w:rPr>
          <w:rFonts w:ascii="Times New Roman" w:hAnsi="Times New Roman"/>
          <w:color w:val="000000" w:themeColor="text1"/>
          <w:sz w:val="16"/>
          <w:szCs w:val="16"/>
        </w:rPr>
        <w:softHyphen/>
        <w:t>транения выявленных дефектов и недо</w:t>
      </w:r>
      <w:r w:rsidRPr="007224C3">
        <w:rPr>
          <w:rFonts w:ascii="Times New Roman" w:hAnsi="Times New Roman"/>
          <w:color w:val="000000" w:themeColor="text1"/>
          <w:sz w:val="16"/>
          <w:szCs w:val="16"/>
        </w:rPr>
        <w:softHyphen/>
        <w:t>статков. В серии предлагалось изменить бронирование Ил-10, выполнив его по образцу Ил-8 (создававшегося парал</w:t>
      </w:r>
      <w:r w:rsidRPr="007224C3">
        <w:rPr>
          <w:rFonts w:ascii="Times New Roman" w:hAnsi="Times New Roman"/>
          <w:color w:val="000000" w:themeColor="text1"/>
          <w:sz w:val="16"/>
          <w:szCs w:val="16"/>
        </w:rPr>
        <w:softHyphen/>
        <w:t>лельно тяжелого штурмовика), а вопрос об оборонительном пушечном вооруже</w:t>
      </w:r>
      <w:r w:rsidRPr="007224C3">
        <w:rPr>
          <w:rFonts w:ascii="Times New Roman" w:hAnsi="Times New Roman"/>
          <w:color w:val="000000" w:themeColor="text1"/>
          <w:sz w:val="16"/>
          <w:szCs w:val="16"/>
        </w:rPr>
        <w:softHyphen/>
        <w:t>нии решить «после испытаний легких пу</w:t>
      </w:r>
      <w:r w:rsidRPr="007224C3">
        <w:rPr>
          <w:rFonts w:ascii="Times New Roman" w:hAnsi="Times New Roman"/>
          <w:color w:val="000000" w:themeColor="text1"/>
          <w:sz w:val="16"/>
          <w:szCs w:val="16"/>
        </w:rPr>
        <w:softHyphen/>
        <w:t>шек калибра 20 мм». Опытный образец самолета вернули на завод № 240 (10680).</w:t>
      </w:r>
    </w:p>
    <w:p w14:paraId="36862C8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68407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мая 1944 закончились гос. испытания духместного бронированного штурмовика Ил-10 с мотором АМ-42 и винтом АВ-5Л-24 конструкции С.В.И." (производство завода 18, сборка завода 240 в апреле 1944) (Тема N 15 - 1944), которые проходили с 14 мая 1944. Ви и-м П.Т.Аброщенко, Пом. ви и-к С.Г.Фролов, Вл пп А.К.Долгов. Облетали и-м Синельников, м Субботин, м Живописцев, ст. л Тиняков, пп Цветков, ш-и Шауров, и-и к Горбунов, ш-и к Васильев и др.</w:t>
      </w:r>
    </w:p>
    <w:p w14:paraId="3E7EF3B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Цель испытаний:</w:t>
      </w:r>
    </w:p>
    <w:p w14:paraId="2759B54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Определить ЛТД двухместного самолета Ил-10 с мотором АМ-42</w:t>
      </w:r>
    </w:p>
    <w:p w14:paraId="378C95A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Дать заключение о целесообразности внедрение его в серийное производство.</w:t>
      </w:r>
    </w:p>
    <w:p w14:paraId="2754E86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время испытаний выполнили 47 полетов с общим налетом 22:37</w:t>
      </w:r>
    </w:p>
    <w:p w14:paraId="7F638F2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Конструкция - обычная. Броня - от 10 до 4 мм по типу Ил-2, но с защитой стрелка. Сзади вместо 12 мм 2х8 мм разнесенная. Новое бронестекло. Вес брони 1010 кг 15.5%. ВЯ-23 могли быть заменены на 11-П с сохранением остального вооружения без изменений. Ву-7 с Ш-20 и прицелом К-8Т. Бомбы до ФАБ-100 внутри и ДАГ-10 для АГ-2.</w:t>
      </w:r>
    </w:p>
    <w:p w14:paraId="2976C02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Испытания - выдержал. Рекомендован в серию как основной тип штурмовика. Просили С.В.И. устранить дефекты, ЦАГИ - подвергнуть стат. и динамическим испытаниям, ЦИАМ - разработать механизм объединенного управления винтом и газом для АМ-42. Передать машину С.В.И. для смены мотора и предъявить в НИИ ВВС для дополнительных испытаний (1866).</w:t>
      </w:r>
    </w:p>
    <w:p w14:paraId="4BB75A6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15373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мая 1944 государственные испытания Ил-10 завершились. Летные данные "десятки" оказались весьма высоки</w:t>
      </w:r>
      <w:r w:rsidRPr="007224C3">
        <w:rPr>
          <w:rFonts w:ascii="Times New Roman" w:hAnsi="Times New Roman"/>
          <w:color w:val="000000" w:themeColor="text1"/>
          <w:sz w:val="16"/>
          <w:szCs w:val="16"/>
        </w:rPr>
        <w:softHyphen/>
        <w:t>ми. При полетном весе 6335 кг (400 кг бомб) максимальная скорость поле</w:t>
      </w:r>
      <w:r w:rsidRPr="007224C3">
        <w:rPr>
          <w:rFonts w:ascii="Times New Roman" w:hAnsi="Times New Roman"/>
          <w:color w:val="000000" w:themeColor="text1"/>
          <w:sz w:val="16"/>
          <w:szCs w:val="16"/>
        </w:rPr>
        <w:softHyphen/>
        <w:t>та на высоте 2800 м оказалась рав</w:t>
      </w:r>
      <w:r w:rsidRPr="007224C3">
        <w:rPr>
          <w:rFonts w:ascii="Times New Roman" w:hAnsi="Times New Roman"/>
          <w:color w:val="000000" w:themeColor="text1"/>
          <w:sz w:val="16"/>
          <w:szCs w:val="16"/>
        </w:rPr>
        <w:softHyphen/>
        <w:t>ной 551 км/ч, а у земли — 507 км/ч. Время набора высоты 1000 м не превышало 1,6 минут. На самолете использовался винт АВ-9л-24 диамет</w:t>
      </w:r>
      <w:r w:rsidRPr="007224C3">
        <w:rPr>
          <w:rFonts w:ascii="Times New Roman" w:hAnsi="Times New Roman"/>
          <w:color w:val="000000" w:themeColor="text1"/>
          <w:sz w:val="16"/>
          <w:szCs w:val="16"/>
        </w:rPr>
        <w:softHyphen/>
        <w:t>ром 3,6 м.</w:t>
      </w:r>
    </w:p>
    <w:p w14:paraId="4CF4A34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Необходимо отметить, что уста</w:t>
      </w:r>
      <w:r w:rsidRPr="007224C3">
        <w:rPr>
          <w:rFonts w:ascii="Times New Roman" w:hAnsi="Times New Roman"/>
          <w:color w:val="000000" w:themeColor="text1"/>
          <w:sz w:val="16"/>
          <w:szCs w:val="16"/>
        </w:rPr>
        <w:softHyphen/>
        <w:t>новленный на Ил-10 мотор АМ-42 (зав. № 4257) оказался вполне кон</w:t>
      </w:r>
      <w:r w:rsidRPr="007224C3">
        <w:rPr>
          <w:rFonts w:ascii="Times New Roman" w:hAnsi="Times New Roman"/>
          <w:color w:val="000000" w:themeColor="text1"/>
          <w:sz w:val="16"/>
          <w:szCs w:val="16"/>
        </w:rPr>
        <w:softHyphen/>
        <w:t>диционным, так как работал значи</w:t>
      </w:r>
      <w:r w:rsidRPr="007224C3">
        <w:rPr>
          <w:rFonts w:ascii="Times New Roman" w:hAnsi="Times New Roman"/>
          <w:color w:val="000000" w:themeColor="text1"/>
          <w:sz w:val="16"/>
          <w:szCs w:val="16"/>
        </w:rPr>
        <w:softHyphen/>
        <w:t>тельно устойчивее, чем мотор, уста</w:t>
      </w:r>
      <w:r w:rsidRPr="007224C3">
        <w:rPr>
          <w:rFonts w:ascii="Times New Roman" w:hAnsi="Times New Roman"/>
          <w:color w:val="000000" w:themeColor="text1"/>
          <w:sz w:val="16"/>
          <w:szCs w:val="16"/>
        </w:rPr>
        <w:softHyphen/>
        <w:t>новленный на Су-6. Такой опасный дефект, как возгорание топливной смеси во всасывающих патрубках, ни в одном из полетов не наблюдался. Однако и на нем в полетах отмеча</w:t>
      </w:r>
      <w:r w:rsidRPr="007224C3">
        <w:rPr>
          <w:rFonts w:ascii="Times New Roman" w:hAnsi="Times New Roman"/>
          <w:color w:val="000000" w:themeColor="text1"/>
          <w:sz w:val="16"/>
          <w:szCs w:val="16"/>
        </w:rPr>
        <w:softHyphen/>
        <w:t>лось дымление на всех режимах ра</w:t>
      </w:r>
      <w:r w:rsidRPr="007224C3">
        <w:rPr>
          <w:rFonts w:ascii="Times New Roman" w:hAnsi="Times New Roman"/>
          <w:color w:val="000000" w:themeColor="text1"/>
          <w:sz w:val="16"/>
          <w:szCs w:val="16"/>
        </w:rPr>
        <w:softHyphen/>
        <w:t>боты мотора, "выброс масла через суфлер мотора при работе на но</w:t>
      </w:r>
      <w:r w:rsidRPr="007224C3">
        <w:rPr>
          <w:rFonts w:ascii="Times New Roman" w:hAnsi="Times New Roman"/>
          <w:color w:val="000000" w:themeColor="text1"/>
          <w:sz w:val="16"/>
          <w:szCs w:val="16"/>
        </w:rPr>
        <w:softHyphen/>
        <w:t>минальной мощности", а также "течь масла из фланцев крепления мотор</w:t>
      </w:r>
      <w:r w:rsidRPr="007224C3">
        <w:rPr>
          <w:rFonts w:ascii="Times New Roman" w:hAnsi="Times New Roman"/>
          <w:color w:val="000000" w:themeColor="text1"/>
          <w:sz w:val="16"/>
          <w:szCs w:val="16"/>
        </w:rPr>
        <w:softHyphen/>
        <w:t>ных агрегатов".</w:t>
      </w:r>
    </w:p>
    <w:p w14:paraId="6028DA9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устойчивости, управляемости и летным качествам новый штурмо</w:t>
      </w:r>
      <w:r w:rsidRPr="007224C3">
        <w:rPr>
          <w:rFonts w:ascii="Times New Roman" w:hAnsi="Times New Roman"/>
          <w:color w:val="000000" w:themeColor="text1"/>
          <w:sz w:val="16"/>
          <w:szCs w:val="16"/>
        </w:rPr>
        <w:softHyphen/>
        <w:t>вик оставил у летчиков НИИ ВВС при</w:t>
      </w:r>
      <w:r w:rsidRPr="007224C3">
        <w:rPr>
          <w:rFonts w:ascii="Times New Roman" w:hAnsi="Times New Roman"/>
          <w:color w:val="000000" w:themeColor="text1"/>
          <w:sz w:val="16"/>
          <w:szCs w:val="16"/>
        </w:rPr>
        <w:softHyphen/>
        <w:t>ятное впечатление. Во всем диапа</w:t>
      </w:r>
      <w:r w:rsidRPr="007224C3">
        <w:rPr>
          <w:rFonts w:ascii="Times New Roman" w:hAnsi="Times New Roman"/>
          <w:color w:val="000000" w:themeColor="text1"/>
          <w:sz w:val="16"/>
          <w:szCs w:val="16"/>
        </w:rPr>
        <w:softHyphen/>
        <w:t>зоне скоростей самолет был устой</w:t>
      </w:r>
      <w:r w:rsidRPr="007224C3">
        <w:rPr>
          <w:rFonts w:ascii="Times New Roman" w:hAnsi="Times New Roman"/>
          <w:color w:val="000000" w:themeColor="text1"/>
          <w:sz w:val="16"/>
          <w:szCs w:val="16"/>
        </w:rPr>
        <w:softHyphen/>
        <w:t>чив по всем трем осям. Штурмовик показал прекрасную маневренность. Считалось, что по технике пилоти</w:t>
      </w:r>
      <w:r w:rsidRPr="007224C3">
        <w:rPr>
          <w:rFonts w:ascii="Times New Roman" w:hAnsi="Times New Roman"/>
          <w:color w:val="000000" w:themeColor="text1"/>
          <w:sz w:val="16"/>
          <w:szCs w:val="16"/>
        </w:rPr>
        <w:softHyphen/>
        <w:t>рования самолет относительно про</w:t>
      </w:r>
      <w:r w:rsidRPr="007224C3">
        <w:rPr>
          <w:rFonts w:ascii="Times New Roman" w:hAnsi="Times New Roman"/>
          <w:color w:val="000000" w:themeColor="text1"/>
          <w:sz w:val="16"/>
          <w:szCs w:val="16"/>
        </w:rPr>
        <w:softHyphen/>
        <w:t>стой и вполне доступен летчикам средней квалификации.</w:t>
      </w:r>
    </w:p>
    <w:p w14:paraId="1A57DAF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Серьезные дефекты и недостатки выявились в системе вооружения ма</w:t>
      </w:r>
      <w:r w:rsidRPr="007224C3">
        <w:rPr>
          <w:rFonts w:ascii="Times New Roman" w:hAnsi="Times New Roman"/>
          <w:color w:val="000000" w:themeColor="text1"/>
          <w:sz w:val="16"/>
          <w:szCs w:val="16"/>
        </w:rPr>
        <w:softHyphen/>
        <w:t>шины. Вести огонь из крыльевых пу</w:t>
      </w:r>
      <w:r w:rsidRPr="007224C3">
        <w:rPr>
          <w:rFonts w:ascii="Times New Roman" w:hAnsi="Times New Roman"/>
          <w:color w:val="000000" w:themeColor="text1"/>
          <w:sz w:val="16"/>
          <w:szCs w:val="16"/>
        </w:rPr>
        <w:softHyphen/>
        <w:t>шек ВЯ-23 и пулеметов ШКАС ока</w:t>
      </w:r>
      <w:r w:rsidRPr="007224C3">
        <w:rPr>
          <w:rFonts w:ascii="Times New Roman" w:hAnsi="Times New Roman"/>
          <w:color w:val="000000" w:themeColor="text1"/>
          <w:sz w:val="16"/>
          <w:szCs w:val="16"/>
        </w:rPr>
        <w:softHyphen/>
        <w:t>залось совершенно невозможным. В ходе наземных и летных испытаний ни разу не удалось полностью от</w:t>
      </w:r>
      <w:r w:rsidRPr="007224C3">
        <w:rPr>
          <w:rFonts w:ascii="Times New Roman" w:hAnsi="Times New Roman"/>
          <w:color w:val="000000" w:themeColor="text1"/>
          <w:sz w:val="16"/>
          <w:szCs w:val="16"/>
        </w:rPr>
        <w:softHyphen/>
        <w:t>стрелять боекомплект к ним. Так, после открытия огня из пушек в боль</w:t>
      </w:r>
      <w:r w:rsidRPr="007224C3">
        <w:rPr>
          <w:rFonts w:ascii="Times New Roman" w:hAnsi="Times New Roman"/>
          <w:color w:val="000000" w:themeColor="text1"/>
          <w:sz w:val="16"/>
          <w:szCs w:val="16"/>
        </w:rPr>
        <w:softHyphen/>
        <w:t>шинстве случаев происходила про</w:t>
      </w:r>
      <w:r w:rsidRPr="007224C3">
        <w:rPr>
          <w:rFonts w:ascii="Times New Roman" w:hAnsi="Times New Roman"/>
          <w:color w:val="000000" w:themeColor="text1"/>
          <w:sz w:val="16"/>
          <w:szCs w:val="16"/>
        </w:rPr>
        <w:softHyphen/>
        <w:t>извольная стрельба, прекратить ко</w:t>
      </w:r>
      <w:r w:rsidRPr="007224C3">
        <w:rPr>
          <w:rFonts w:ascii="Times New Roman" w:hAnsi="Times New Roman"/>
          <w:color w:val="000000" w:themeColor="text1"/>
          <w:sz w:val="16"/>
          <w:szCs w:val="16"/>
        </w:rPr>
        <w:softHyphen/>
        <w:t>торую можно было только переза</w:t>
      </w:r>
      <w:r w:rsidRPr="007224C3">
        <w:rPr>
          <w:rFonts w:ascii="Times New Roman" w:hAnsi="Times New Roman"/>
          <w:color w:val="000000" w:themeColor="text1"/>
          <w:sz w:val="16"/>
          <w:szCs w:val="16"/>
        </w:rPr>
        <w:softHyphen/>
        <w:t>рядкой. Виной этому были дефекты электроспусков. Кроме этого, звенья снарядной ленты, собиравшиеся при стрельбе в снарядные ящики, попа</w:t>
      </w:r>
      <w:r w:rsidRPr="007224C3">
        <w:rPr>
          <w:rFonts w:ascii="Times New Roman" w:hAnsi="Times New Roman"/>
          <w:color w:val="000000" w:themeColor="text1"/>
          <w:sz w:val="16"/>
          <w:szCs w:val="16"/>
        </w:rPr>
        <w:softHyphen/>
        <w:t>дали в подвижные части пушек, что приводило к задержкам в стрельбе. Пришлось установить звеньеотводы для вывода звеньев наружу как на серийных самолетах Ил-2. При стрельбе из пулеметов ШКАС уже "после 350-400 выстрелов звенья на</w:t>
      </w:r>
      <w:r w:rsidRPr="007224C3">
        <w:rPr>
          <w:rFonts w:ascii="Times New Roman" w:hAnsi="Times New Roman"/>
          <w:color w:val="000000" w:themeColor="text1"/>
          <w:sz w:val="16"/>
          <w:szCs w:val="16"/>
        </w:rPr>
        <w:softHyphen/>
        <w:t>капливаются у звеньеотвода и зак</w:t>
      </w:r>
      <w:r w:rsidRPr="007224C3">
        <w:rPr>
          <w:rFonts w:ascii="Times New Roman" w:hAnsi="Times New Roman"/>
          <w:color w:val="000000" w:themeColor="text1"/>
          <w:sz w:val="16"/>
          <w:szCs w:val="16"/>
        </w:rPr>
        <w:softHyphen/>
        <w:t>линивают выход звеньев". Как след</w:t>
      </w:r>
      <w:r w:rsidRPr="007224C3">
        <w:rPr>
          <w:rFonts w:ascii="Times New Roman" w:hAnsi="Times New Roman"/>
          <w:color w:val="000000" w:themeColor="text1"/>
          <w:sz w:val="16"/>
          <w:szCs w:val="16"/>
        </w:rPr>
        <w:softHyphen/>
        <w:t>ствие, стрельба прекращалась.</w:t>
      </w:r>
    </w:p>
    <w:p w14:paraId="3777B0A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Оборонительная установка ВУ-7 с пушкой Ш-20, хотя и не в полном объеме, но оценивалась военными испытателями довольно высоко. По их мнению, установка имела хоро</w:t>
      </w:r>
      <w:r w:rsidRPr="007224C3">
        <w:rPr>
          <w:rFonts w:ascii="Times New Roman" w:hAnsi="Times New Roman"/>
          <w:color w:val="000000" w:themeColor="text1"/>
          <w:sz w:val="16"/>
          <w:szCs w:val="16"/>
        </w:rPr>
        <w:softHyphen/>
        <w:t>шую маневренность и была легкой в управлении. Сама пушка Ш-20 ра</w:t>
      </w:r>
      <w:r w:rsidRPr="007224C3">
        <w:rPr>
          <w:rFonts w:ascii="Times New Roman" w:hAnsi="Times New Roman"/>
          <w:color w:val="000000" w:themeColor="text1"/>
          <w:sz w:val="16"/>
          <w:szCs w:val="16"/>
        </w:rPr>
        <w:softHyphen/>
        <w:t>ботала "значительно легче, чем пу</w:t>
      </w:r>
      <w:r w:rsidRPr="007224C3">
        <w:rPr>
          <w:rFonts w:ascii="Times New Roman" w:hAnsi="Times New Roman"/>
          <w:color w:val="000000" w:themeColor="text1"/>
          <w:sz w:val="16"/>
          <w:szCs w:val="16"/>
        </w:rPr>
        <w:softHyphen/>
        <w:t>лемет УБТ, а наличие разрывного снаряда калибра 20 мм и непрерыв</w:t>
      </w:r>
      <w:r w:rsidRPr="007224C3">
        <w:rPr>
          <w:rFonts w:ascii="Times New Roman" w:hAnsi="Times New Roman"/>
          <w:color w:val="000000" w:themeColor="text1"/>
          <w:sz w:val="16"/>
          <w:szCs w:val="16"/>
        </w:rPr>
        <w:softHyphen/>
        <w:t>ного питания увеличивает защиту самолета". Указывалось, что ВУ-7 после устранения отмеченных недо</w:t>
      </w:r>
      <w:r w:rsidRPr="007224C3">
        <w:rPr>
          <w:rFonts w:ascii="Times New Roman" w:hAnsi="Times New Roman"/>
          <w:color w:val="000000" w:themeColor="text1"/>
          <w:sz w:val="16"/>
          <w:szCs w:val="16"/>
        </w:rPr>
        <w:softHyphen/>
        <w:t>статков "будет лучше ранее предъяв</w:t>
      </w:r>
      <w:r w:rsidRPr="007224C3">
        <w:rPr>
          <w:rFonts w:ascii="Times New Roman" w:hAnsi="Times New Roman"/>
          <w:color w:val="000000" w:themeColor="text1"/>
          <w:sz w:val="16"/>
          <w:szCs w:val="16"/>
        </w:rPr>
        <w:softHyphen/>
        <w:t>ленных установок ВУБ-3, ВУ-8 и УБШ, и значительно лучше блистерной БЛУБ (Су-6)" (11428).</w:t>
      </w:r>
    </w:p>
    <w:p w14:paraId="05C0299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8077D0A" w14:textId="77777777" w:rsidR="00353781" w:rsidRPr="007224C3" w:rsidRDefault="00353781"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27 мая</w:t>
      </w:r>
      <w:r w:rsidRPr="007224C3">
        <w:rPr>
          <w:rFonts w:ascii="Times New Roman" w:hAnsi="Times New Roman"/>
          <w:color w:val="000000" w:themeColor="text1"/>
          <w:sz w:val="16"/>
          <w:szCs w:val="16"/>
        </w:rPr>
        <w:t xml:space="preserve"> в 1944 году, выполнив 43 полета по программе испытаний (налет 22 часа 37 минут), завершились государственные испытания опытного </w:t>
      </w:r>
      <w:hyperlink r:id="rId142" w:tgtFrame="_blank" w:history="1">
        <w:r w:rsidRPr="007224C3">
          <w:rPr>
            <w:rFonts w:ascii="Times New Roman" w:hAnsi="Times New Roman"/>
            <w:color w:val="000000" w:themeColor="text1"/>
            <w:sz w:val="16"/>
            <w:szCs w:val="16"/>
          </w:rPr>
          <w:t xml:space="preserve">«Ил-10» </w:t>
        </w:r>
      </w:hyperlink>
      <w:r w:rsidRPr="007224C3">
        <w:rPr>
          <w:rFonts w:ascii="Times New Roman" w:hAnsi="Times New Roman"/>
          <w:color w:val="000000" w:themeColor="text1"/>
          <w:sz w:val="16"/>
          <w:szCs w:val="16"/>
        </w:rPr>
        <w:t>«АМ-42» в ГК НИИ ВВС КА. Ведущий инженер П.Т.Аброщенко (ведущий летчик-испытатель А.К.Долгов, штурман Горбунов) (14904).</w:t>
      </w:r>
    </w:p>
    <w:p w14:paraId="1254A88D" w14:textId="77777777" w:rsidR="00353781" w:rsidRPr="007224C3" w:rsidRDefault="00353781" w:rsidP="007224C3">
      <w:pPr>
        <w:spacing w:after="0" w:line="240" w:lineRule="auto"/>
        <w:jc w:val="both"/>
        <w:rPr>
          <w:rFonts w:ascii="Times New Roman" w:hAnsi="Times New Roman"/>
          <w:color w:val="000000" w:themeColor="text1"/>
          <w:sz w:val="16"/>
          <w:szCs w:val="16"/>
        </w:rPr>
      </w:pPr>
    </w:p>
    <w:p w14:paraId="54D2DA60" w14:textId="77777777" w:rsidR="00353781" w:rsidRPr="007224C3" w:rsidRDefault="00353781"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27 мая</w:t>
      </w:r>
      <w:r w:rsidRPr="007224C3">
        <w:rPr>
          <w:rFonts w:ascii="Times New Roman" w:hAnsi="Times New Roman"/>
          <w:color w:val="000000" w:themeColor="text1"/>
          <w:sz w:val="16"/>
          <w:szCs w:val="16"/>
        </w:rPr>
        <w:t xml:space="preserve"> в 1944 году, выполнив 43 полета по программе испытаний (налет 22 часа 37 минут), завершились государственные испытания опытного </w:t>
      </w:r>
      <w:hyperlink r:id="rId143" w:tgtFrame="_blank" w:history="1">
        <w:r w:rsidRPr="007224C3">
          <w:rPr>
            <w:rFonts w:ascii="Times New Roman" w:hAnsi="Times New Roman"/>
            <w:color w:val="000000" w:themeColor="text1"/>
            <w:sz w:val="16"/>
            <w:szCs w:val="16"/>
          </w:rPr>
          <w:t xml:space="preserve">«Ил-10» </w:t>
        </w:r>
      </w:hyperlink>
      <w:r w:rsidRPr="007224C3">
        <w:rPr>
          <w:rFonts w:ascii="Times New Roman" w:hAnsi="Times New Roman"/>
          <w:color w:val="000000" w:themeColor="text1"/>
          <w:sz w:val="16"/>
          <w:szCs w:val="16"/>
        </w:rPr>
        <w:t>«АМ-42» в ГК НИИ ВВС КА. Ведущий инженер П.Т.Аброщенко (ведущий летчик-испытатель А.К.Долгов, штурман Горбунов) (14904).</w:t>
      </w:r>
    </w:p>
    <w:p w14:paraId="381074B6" w14:textId="77777777" w:rsidR="00353781" w:rsidRPr="007224C3" w:rsidRDefault="00353781" w:rsidP="007224C3">
      <w:pPr>
        <w:spacing w:after="0" w:line="240" w:lineRule="auto"/>
        <w:jc w:val="both"/>
        <w:rPr>
          <w:rFonts w:ascii="Times New Roman" w:hAnsi="Times New Roman"/>
          <w:color w:val="000000" w:themeColor="text1"/>
          <w:sz w:val="16"/>
          <w:szCs w:val="16"/>
        </w:rPr>
      </w:pPr>
    </w:p>
    <w:p w14:paraId="6A5A29C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мая 1944 закончились гос. испытания тяжелого ш Ил-8, которые шли с 26 февраля 1944. По результатам гос. испытаний он был рекомендован в серийное производство в вариантах ш-б и разведчика-корректировщика (3846,20).</w:t>
      </w:r>
    </w:p>
    <w:p w14:paraId="2002ACD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57D21D" w14:textId="77777777" w:rsidR="006C7B98" w:rsidRPr="007224C3" w:rsidRDefault="006C7B98"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27 мая 1944 завод №289 получил новый мотор АМ-42 зав. №4277. На этом мо</w:t>
      </w:r>
      <w:r w:rsidRPr="007224C3">
        <w:rPr>
          <w:rFonts w:ascii="Times New Roman" w:hAnsi="Times New Roman"/>
          <w:color w:val="0070C0"/>
          <w:sz w:val="16"/>
          <w:szCs w:val="16"/>
        </w:rPr>
        <w:softHyphen/>
        <w:t>торе заводом №</w:t>
      </w:r>
      <w:r w:rsidRPr="007224C3">
        <w:rPr>
          <w:rFonts w:ascii="Times New Roman" w:hAnsi="Times New Roman"/>
          <w:i/>
          <w:iCs/>
          <w:color w:val="0070C0"/>
          <w:sz w:val="16"/>
          <w:szCs w:val="16"/>
        </w:rPr>
        <w:t>24</w:t>
      </w:r>
      <w:r w:rsidRPr="007224C3">
        <w:rPr>
          <w:rStyle w:val="9pt80"/>
          <w:rFonts w:ascii="Times New Roman" w:hAnsi="Times New Roman" w:cs="Times New Roman"/>
          <w:i w:val="0"/>
          <w:iCs w:val="0"/>
          <w:color w:val="0070C0"/>
          <w:w w:val="100"/>
          <w:sz w:val="16"/>
          <w:szCs w:val="16"/>
        </w:rPr>
        <w:t xml:space="preserve"> «произведен ряд кон</w:t>
      </w:r>
      <w:r w:rsidRPr="007224C3">
        <w:rPr>
          <w:rStyle w:val="9pt80"/>
          <w:rFonts w:ascii="Times New Roman" w:hAnsi="Times New Roman" w:cs="Times New Roman"/>
          <w:i w:val="0"/>
          <w:iCs w:val="0"/>
          <w:color w:val="0070C0"/>
          <w:w w:val="100"/>
          <w:sz w:val="16"/>
          <w:szCs w:val="16"/>
        </w:rPr>
        <w:softHyphen/>
        <w:t>структивных изменений, рекомендован</w:t>
      </w:r>
      <w:r w:rsidRPr="007224C3">
        <w:rPr>
          <w:rStyle w:val="9pt80"/>
          <w:rFonts w:ascii="Times New Roman" w:hAnsi="Times New Roman" w:cs="Times New Roman"/>
          <w:i w:val="0"/>
          <w:iCs w:val="0"/>
          <w:color w:val="0070C0"/>
          <w:w w:val="100"/>
          <w:sz w:val="16"/>
          <w:szCs w:val="16"/>
        </w:rPr>
        <w:softHyphen/>
        <w:t>ных в акте по госиспытаниям мотора АМ-42 на станке».</w:t>
      </w:r>
      <w:r w:rsidRPr="007224C3">
        <w:rPr>
          <w:rFonts w:ascii="Times New Roman" w:hAnsi="Times New Roman"/>
          <w:color w:val="0070C0"/>
          <w:sz w:val="16"/>
          <w:szCs w:val="16"/>
        </w:rPr>
        <w:t xml:space="preserve"> В том числе, с 6,0 до 5,5 единиц уменьшили степень сжатия мотора. По этой причине для сохранения мощности мотора наддув увеличили до 1370 мм. рт. ст. (вместо 1330 мм. рт. ст. на моторе зав. №4252). Соответст</w:t>
      </w:r>
      <w:r w:rsidRPr="007224C3">
        <w:rPr>
          <w:rFonts w:ascii="Times New Roman" w:hAnsi="Times New Roman"/>
          <w:color w:val="0070C0"/>
          <w:sz w:val="16"/>
          <w:szCs w:val="16"/>
        </w:rPr>
        <w:softHyphen/>
        <w:t>венно, высотность мотора понизилась до 1860 м. Назначенный ресурс мотора со</w:t>
      </w:r>
      <w:r w:rsidRPr="007224C3">
        <w:rPr>
          <w:rFonts w:ascii="Times New Roman" w:hAnsi="Times New Roman"/>
          <w:color w:val="0070C0"/>
          <w:sz w:val="16"/>
          <w:szCs w:val="16"/>
        </w:rPr>
        <w:softHyphen/>
        <w:t>ставил 50 ч.</w:t>
      </w:r>
    </w:p>
    <w:p w14:paraId="3C249AA5" w14:textId="77777777" w:rsidR="006C7B98" w:rsidRPr="007224C3" w:rsidRDefault="006C7B98"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 xml:space="preserve">Тем временем, в ожидании мотора, на опытном самолете Су-6 крупнокалиберные пушки 11П заменили пушками ВЯ (240 снарядов), установили электромотор </w:t>
      </w:r>
      <w:r w:rsidRPr="007224C3">
        <w:rPr>
          <w:rStyle w:val="9pt80"/>
          <w:rFonts w:ascii="Times New Roman" w:hAnsi="Times New Roman" w:cs="Times New Roman"/>
          <w:i w:val="0"/>
          <w:iCs w:val="0"/>
          <w:color w:val="0070C0"/>
          <w:w w:val="100"/>
          <w:sz w:val="16"/>
          <w:szCs w:val="16"/>
        </w:rPr>
        <w:t>«для вращения кольца установки»</w:t>
      </w:r>
      <w:r w:rsidRPr="007224C3">
        <w:rPr>
          <w:rFonts w:ascii="Times New Roman" w:hAnsi="Times New Roman"/>
          <w:color w:val="0070C0"/>
          <w:sz w:val="16"/>
          <w:szCs w:val="16"/>
        </w:rPr>
        <w:t xml:space="preserve"> БЛУБ, а также изменили крепление пулемета УБТ на самой установке</w:t>
      </w:r>
      <w:r w:rsidRPr="007224C3">
        <w:rPr>
          <w:rStyle w:val="9pt80"/>
          <w:rFonts w:ascii="Times New Roman" w:hAnsi="Times New Roman" w:cs="Times New Roman"/>
          <w:i w:val="0"/>
          <w:iCs w:val="0"/>
          <w:color w:val="0070C0"/>
          <w:w w:val="100"/>
          <w:sz w:val="16"/>
          <w:szCs w:val="16"/>
        </w:rPr>
        <w:t xml:space="preserve"> [«осуществлено с помощью шарикового подшипника»)</w:t>
      </w:r>
      <w:r w:rsidRPr="007224C3">
        <w:rPr>
          <w:rStyle w:val="9pt80"/>
          <w:rFonts w:ascii="Times New Roman" w:hAnsi="Times New Roman" w:cs="Times New Roman"/>
          <w:color w:val="0070C0"/>
          <w:w w:val="100"/>
          <w:sz w:val="16"/>
          <w:szCs w:val="16"/>
        </w:rPr>
        <w:t>.</w:t>
      </w:r>
      <w:r w:rsidRPr="007224C3">
        <w:rPr>
          <w:rFonts w:ascii="Times New Roman" w:hAnsi="Times New Roman"/>
          <w:color w:val="0070C0"/>
          <w:sz w:val="16"/>
          <w:szCs w:val="16"/>
        </w:rPr>
        <w:t xml:space="preserve"> Вес нормальной бомбовой нагрузки вырос до 600 кг (как у Ил-8 АМ-42) (19853).</w:t>
      </w:r>
    </w:p>
    <w:p w14:paraId="634D8C4C" w14:textId="77777777" w:rsidR="006C7B98" w:rsidRPr="007224C3" w:rsidRDefault="006C7B98" w:rsidP="007224C3">
      <w:pPr>
        <w:spacing w:after="0" w:line="240" w:lineRule="auto"/>
        <w:jc w:val="both"/>
        <w:rPr>
          <w:rFonts w:ascii="Times New Roman" w:hAnsi="Times New Roman"/>
          <w:color w:val="0070C0"/>
          <w:sz w:val="16"/>
          <w:szCs w:val="16"/>
        </w:rPr>
      </w:pPr>
    </w:p>
    <w:p w14:paraId="21AC6D6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мая 1944 состоялся осмотр макетной комиссией установки РЛС ПНБ-4 на Ту-2 (1835,59).</w:t>
      </w:r>
    </w:p>
    <w:p w14:paraId="6EEDA09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37C0F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мая 1944 года зам. начальника 7-го гл. управления НКАП Алексеев писал письмо начальнику секретариата наркома Новикову.</w:t>
      </w:r>
    </w:p>
    <w:p w14:paraId="4EF1949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Направляю для наркома Шахурина 57 статкарт по отечественным самолетам с данными, фотографиями и схемами.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227"/>
        <w:gridCol w:w="1930"/>
        <w:gridCol w:w="1930"/>
        <w:gridCol w:w="1930"/>
      </w:tblGrid>
      <w:tr w:rsidR="005106D0" w:rsidRPr="007224C3" w14:paraId="466EE7FF" w14:textId="77777777">
        <w:tc>
          <w:tcPr>
            <w:tcW w:w="3227" w:type="dxa"/>
          </w:tcPr>
          <w:p w14:paraId="24DF850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Наименование с-та</w:t>
            </w:r>
          </w:p>
        </w:tc>
        <w:tc>
          <w:tcPr>
            <w:tcW w:w="1930" w:type="dxa"/>
          </w:tcPr>
          <w:p w14:paraId="2DFE712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Машинный</w:t>
            </w:r>
          </w:p>
        </w:tc>
        <w:tc>
          <w:tcPr>
            <w:tcW w:w="1930" w:type="dxa"/>
          </w:tcPr>
          <w:p w14:paraId="1546927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Вх. N</w:t>
            </w:r>
          </w:p>
        </w:tc>
        <w:tc>
          <w:tcPr>
            <w:tcW w:w="1930" w:type="dxa"/>
          </w:tcPr>
          <w:p w14:paraId="4F6DE82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Вх. N</w:t>
            </w:r>
          </w:p>
        </w:tc>
      </w:tr>
      <w:tr w:rsidR="005106D0" w:rsidRPr="007224C3" w14:paraId="012A1C02" w14:textId="77777777">
        <w:tc>
          <w:tcPr>
            <w:tcW w:w="3227" w:type="dxa"/>
          </w:tcPr>
          <w:p w14:paraId="27C6E95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30" w:type="dxa"/>
          </w:tcPr>
          <w:p w14:paraId="14F2A84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N карты</w:t>
            </w:r>
          </w:p>
        </w:tc>
        <w:tc>
          <w:tcPr>
            <w:tcW w:w="1930" w:type="dxa"/>
          </w:tcPr>
          <w:p w14:paraId="3C2EF81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схемы</w:t>
            </w:r>
          </w:p>
        </w:tc>
        <w:tc>
          <w:tcPr>
            <w:tcW w:w="1930" w:type="dxa"/>
          </w:tcPr>
          <w:p w14:paraId="70F1A3E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фото</w:t>
            </w:r>
          </w:p>
        </w:tc>
      </w:tr>
      <w:tr w:rsidR="005106D0" w:rsidRPr="007224C3" w14:paraId="5C4464D6" w14:textId="77777777">
        <w:tc>
          <w:tcPr>
            <w:tcW w:w="3227" w:type="dxa"/>
          </w:tcPr>
          <w:p w14:paraId="47811DA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Истребители серийные.</w:t>
            </w:r>
          </w:p>
        </w:tc>
        <w:tc>
          <w:tcPr>
            <w:tcW w:w="1930" w:type="dxa"/>
          </w:tcPr>
          <w:p w14:paraId="3F5BF1A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30" w:type="dxa"/>
          </w:tcPr>
          <w:p w14:paraId="4552726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30" w:type="dxa"/>
          </w:tcPr>
          <w:p w14:paraId="06FABD7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B792F13" w14:textId="77777777">
        <w:tc>
          <w:tcPr>
            <w:tcW w:w="3227" w:type="dxa"/>
          </w:tcPr>
          <w:p w14:paraId="46DD4C5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ЯК1-ВК105ПФ</w:t>
            </w:r>
          </w:p>
        </w:tc>
        <w:tc>
          <w:tcPr>
            <w:tcW w:w="1930" w:type="dxa"/>
          </w:tcPr>
          <w:p w14:paraId="32C5B2D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2330</w:t>
            </w:r>
          </w:p>
        </w:tc>
        <w:tc>
          <w:tcPr>
            <w:tcW w:w="1930" w:type="dxa"/>
          </w:tcPr>
          <w:p w14:paraId="6569CB4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278</w:t>
            </w:r>
          </w:p>
        </w:tc>
        <w:tc>
          <w:tcPr>
            <w:tcW w:w="1930" w:type="dxa"/>
          </w:tcPr>
          <w:p w14:paraId="26A823F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2900</w:t>
            </w:r>
          </w:p>
        </w:tc>
      </w:tr>
      <w:tr w:rsidR="005106D0" w:rsidRPr="007224C3" w14:paraId="0E03A154" w14:textId="77777777">
        <w:tc>
          <w:tcPr>
            <w:tcW w:w="3227" w:type="dxa"/>
          </w:tcPr>
          <w:p w14:paraId="130FAC0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ЯК3-ВК105ПФ</w:t>
            </w:r>
          </w:p>
        </w:tc>
        <w:tc>
          <w:tcPr>
            <w:tcW w:w="1930" w:type="dxa"/>
          </w:tcPr>
          <w:p w14:paraId="5B47E80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2311</w:t>
            </w:r>
          </w:p>
        </w:tc>
        <w:tc>
          <w:tcPr>
            <w:tcW w:w="1930" w:type="dxa"/>
          </w:tcPr>
          <w:p w14:paraId="709E348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254</w:t>
            </w:r>
          </w:p>
        </w:tc>
        <w:tc>
          <w:tcPr>
            <w:tcW w:w="1930" w:type="dxa"/>
          </w:tcPr>
          <w:p w14:paraId="005312C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2900</w:t>
            </w:r>
          </w:p>
        </w:tc>
      </w:tr>
      <w:tr w:rsidR="005106D0" w:rsidRPr="007224C3" w14:paraId="26C6C2A3" w14:textId="77777777">
        <w:tc>
          <w:tcPr>
            <w:tcW w:w="3227" w:type="dxa"/>
          </w:tcPr>
          <w:p w14:paraId="3C50C8D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ЯК7-ВК105ПФ</w:t>
            </w:r>
          </w:p>
        </w:tc>
        <w:tc>
          <w:tcPr>
            <w:tcW w:w="1930" w:type="dxa"/>
          </w:tcPr>
          <w:p w14:paraId="0236BB1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2308</w:t>
            </w:r>
          </w:p>
        </w:tc>
        <w:tc>
          <w:tcPr>
            <w:tcW w:w="1930" w:type="dxa"/>
          </w:tcPr>
          <w:p w14:paraId="08B3D6C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289</w:t>
            </w:r>
          </w:p>
        </w:tc>
        <w:tc>
          <w:tcPr>
            <w:tcW w:w="1930" w:type="dxa"/>
          </w:tcPr>
          <w:p w14:paraId="7643EC2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2721</w:t>
            </w:r>
          </w:p>
        </w:tc>
      </w:tr>
      <w:tr w:rsidR="005106D0" w:rsidRPr="007224C3" w14:paraId="784E034E" w14:textId="77777777">
        <w:tc>
          <w:tcPr>
            <w:tcW w:w="3227" w:type="dxa"/>
          </w:tcPr>
          <w:p w14:paraId="3225C04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ЯК9-ВК105ПФ</w:t>
            </w:r>
          </w:p>
        </w:tc>
        <w:tc>
          <w:tcPr>
            <w:tcW w:w="1930" w:type="dxa"/>
          </w:tcPr>
          <w:p w14:paraId="6D4F490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2310</w:t>
            </w:r>
          </w:p>
        </w:tc>
        <w:tc>
          <w:tcPr>
            <w:tcW w:w="1930" w:type="dxa"/>
          </w:tcPr>
          <w:p w14:paraId="15B253F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256</w:t>
            </w:r>
          </w:p>
        </w:tc>
        <w:tc>
          <w:tcPr>
            <w:tcW w:w="1930" w:type="dxa"/>
          </w:tcPr>
          <w:p w14:paraId="754BCEE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2721</w:t>
            </w:r>
          </w:p>
        </w:tc>
      </w:tr>
      <w:tr w:rsidR="005106D0" w:rsidRPr="007224C3" w14:paraId="6E54AADA" w14:textId="77777777">
        <w:tc>
          <w:tcPr>
            <w:tcW w:w="3227" w:type="dxa"/>
          </w:tcPr>
          <w:p w14:paraId="63E1C3F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ЯК9Т-ВК105ПФ (37 мм)</w:t>
            </w:r>
          </w:p>
        </w:tc>
        <w:tc>
          <w:tcPr>
            <w:tcW w:w="1930" w:type="dxa"/>
          </w:tcPr>
          <w:p w14:paraId="6726D11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2309</w:t>
            </w:r>
          </w:p>
        </w:tc>
        <w:tc>
          <w:tcPr>
            <w:tcW w:w="1930" w:type="dxa"/>
          </w:tcPr>
          <w:p w14:paraId="57301F5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253</w:t>
            </w:r>
          </w:p>
        </w:tc>
        <w:tc>
          <w:tcPr>
            <w:tcW w:w="1930" w:type="dxa"/>
          </w:tcPr>
          <w:p w14:paraId="6C2F517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2900</w:t>
            </w:r>
          </w:p>
        </w:tc>
      </w:tr>
      <w:tr w:rsidR="005106D0" w:rsidRPr="007224C3" w14:paraId="58B79250" w14:textId="77777777">
        <w:tc>
          <w:tcPr>
            <w:tcW w:w="3227" w:type="dxa"/>
          </w:tcPr>
          <w:p w14:paraId="412B539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ЯК9Т с пушкой 45 мм</w:t>
            </w:r>
          </w:p>
        </w:tc>
        <w:tc>
          <w:tcPr>
            <w:tcW w:w="1930" w:type="dxa"/>
          </w:tcPr>
          <w:p w14:paraId="3633E04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2402</w:t>
            </w:r>
          </w:p>
        </w:tc>
        <w:tc>
          <w:tcPr>
            <w:tcW w:w="1930" w:type="dxa"/>
          </w:tcPr>
          <w:p w14:paraId="7F30557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273</w:t>
            </w:r>
          </w:p>
        </w:tc>
        <w:tc>
          <w:tcPr>
            <w:tcW w:w="1930" w:type="dxa"/>
          </w:tcPr>
          <w:p w14:paraId="7C4AB2B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2721</w:t>
            </w:r>
          </w:p>
        </w:tc>
      </w:tr>
      <w:tr w:rsidR="005106D0" w:rsidRPr="007224C3" w14:paraId="77328C02" w14:textId="77777777">
        <w:tc>
          <w:tcPr>
            <w:tcW w:w="3227" w:type="dxa"/>
          </w:tcPr>
          <w:p w14:paraId="1574F3F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ЯК9У-ВК107А</w:t>
            </w:r>
          </w:p>
        </w:tc>
        <w:tc>
          <w:tcPr>
            <w:tcW w:w="1930" w:type="dxa"/>
          </w:tcPr>
          <w:p w14:paraId="42BEEEB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2798</w:t>
            </w:r>
          </w:p>
        </w:tc>
        <w:tc>
          <w:tcPr>
            <w:tcW w:w="1930" w:type="dxa"/>
          </w:tcPr>
          <w:p w14:paraId="31D9BD7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321</w:t>
            </w:r>
          </w:p>
        </w:tc>
        <w:tc>
          <w:tcPr>
            <w:tcW w:w="1930" w:type="dxa"/>
          </w:tcPr>
          <w:p w14:paraId="0946AB9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2721</w:t>
            </w:r>
          </w:p>
        </w:tc>
      </w:tr>
      <w:tr w:rsidR="005106D0" w:rsidRPr="007224C3" w14:paraId="67FB2E39" w14:textId="77777777">
        <w:tc>
          <w:tcPr>
            <w:tcW w:w="3227" w:type="dxa"/>
          </w:tcPr>
          <w:p w14:paraId="6932311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ЛА5-АШ82Ф</w:t>
            </w:r>
          </w:p>
        </w:tc>
        <w:tc>
          <w:tcPr>
            <w:tcW w:w="1930" w:type="dxa"/>
          </w:tcPr>
          <w:p w14:paraId="4592560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2331</w:t>
            </w:r>
          </w:p>
        </w:tc>
        <w:tc>
          <w:tcPr>
            <w:tcW w:w="1930" w:type="dxa"/>
          </w:tcPr>
          <w:p w14:paraId="19FB7BD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237</w:t>
            </w:r>
          </w:p>
        </w:tc>
        <w:tc>
          <w:tcPr>
            <w:tcW w:w="1930" w:type="dxa"/>
          </w:tcPr>
          <w:p w14:paraId="5FCA1E5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2978</w:t>
            </w:r>
          </w:p>
        </w:tc>
      </w:tr>
      <w:tr w:rsidR="005106D0" w:rsidRPr="007224C3" w14:paraId="0B39B0B6" w14:textId="77777777">
        <w:tc>
          <w:tcPr>
            <w:tcW w:w="3227" w:type="dxa"/>
          </w:tcPr>
          <w:p w14:paraId="2A291E2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ЛА5-АШ82ФН</w:t>
            </w:r>
          </w:p>
        </w:tc>
        <w:tc>
          <w:tcPr>
            <w:tcW w:w="1930" w:type="dxa"/>
          </w:tcPr>
          <w:p w14:paraId="0676385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2333</w:t>
            </w:r>
          </w:p>
        </w:tc>
        <w:tc>
          <w:tcPr>
            <w:tcW w:w="1930" w:type="dxa"/>
          </w:tcPr>
          <w:p w14:paraId="005B9B8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245</w:t>
            </w:r>
          </w:p>
        </w:tc>
        <w:tc>
          <w:tcPr>
            <w:tcW w:w="1930" w:type="dxa"/>
          </w:tcPr>
          <w:p w14:paraId="556B2A1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2978</w:t>
            </w:r>
          </w:p>
        </w:tc>
      </w:tr>
      <w:tr w:rsidR="005106D0" w:rsidRPr="007224C3" w14:paraId="16CF48C8" w14:textId="77777777">
        <w:tc>
          <w:tcPr>
            <w:tcW w:w="3227" w:type="dxa"/>
          </w:tcPr>
          <w:p w14:paraId="3F3CF28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ЛА7-АШ82ФН</w:t>
            </w:r>
          </w:p>
        </w:tc>
        <w:tc>
          <w:tcPr>
            <w:tcW w:w="1930" w:type="dxa"/>
          </w:tcPr>
          <w:p w14:paraId="20304E8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2332</w:t>
            </w:r>
          </w:p>
        </w:tc>
        <w:tc>
          <w:tcPr>
            <w:tcW w:w="1930" w:type="dxa"/>
          </w:tcPr>
          <w:p w14:paraId="7840663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302</w:t>
            </w:r>
          </w:p>
        </w:tc>
        <w:tc>
          <w:tcPr>
            <w:tcW w:w="1930" w:type="dxa"/>
          </w:tcPr>
          <w:p w14:paraId="599DD3B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3414</w:t>
            </w:r>
          </w:p>
        </w:tc>
      </w:tr>
      <w:tr w:rsidR="005106D0" w:rsidRPr="007224C3" w14:paraId="40A8F360" w14:textId="77777777">
        <w:tc>
          <w:tcPr>
            <w:tcW w:w="3227" w:type="dxa"/>
          </w:tcPr>
          <w:p w14:paraId="2927D07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Истребители опытные.</w:t>
            </w:r>
          </w:p>
        </w:tc>
        <w:tc>
          <w:tcPr>
            <w:tcW w:w="1930" w:type="dxa"/>
          </w:tcPr>
          <w:p w14:paraId="7775145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30" w:type="dxa"/>
          </w:tcPr>
          <w:p w14:paraId="619AF0E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30" w:type="dxa"/>
          </w:tcPr>
          <w:p w14:paraId="1019965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868F5FB" w14:textId="77777777">
        <w:tc>
          <w:tcPr>
            <w:tcW w:w="3227" w:type="dxa"/>
          </w:tcPr>
          <w:p w14:paraId="2C8D821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ЯК3-ВК107А</w:t>
            </w:r>
          </w:p>
        </w:tc>
        <w:tc>
          <w:tcPr>
            <w:tcW w:w="1930" w:type="dxa"/>
          </w:tcPr>
          <w:p w14:paraId="4BC397F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2828</w:t>
            </w:r>
          </w:p>
        </w:tc>
        <w:tc>
          <w:tcPr>
            <w:tcW w:w="1930" w:type="dxa"/>
          </w:tcPr>
          <w:p w14:paraId="29AAF8F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257</w:t>
            </w:r>
          </w:p>
        </w:tc>
        <w:tc>
          <w:tcPr>
            <w:tcW w:w="1930" w:type="dxa"/>
          </w:tcPr>
          <w:p w14:paraId="1F1DE1B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2721</w:t>
            </w:r>
          </w:p>
        </w:tc>
      </w:tr>
      <w:tr w:rsidR="005106D0" w:rsidRPr="007224C3" w14:paraId="11A5BA93" w14:textId="77777777">
        <w:tc>
          <w:tcPr>
            <w:tcW w:w="3227" w:type="dxa"/>
          </w:tcPr>
          <w:p w14:paraId="4DB1897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ЯК9-ВК105ПД</w:t>
            </w:r>
          </w:p>
        </w:tc>
        <w:tc>
          <w:tcPr>
            <w:tcW w:w="1930" w:type="dxa"/>
          </w:tcPr>
          <w:p w14:paraId="2EF411B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2316</w:t>
            </w:r>
          </w:p>
        </w:tc>
        <w:tc>
          <w:tcPr>
            <w:tcW w:w="1930" w:type="dxa"/>
          </w:tcPr>
          <w:p w14:paraId="6458981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278</w:t>
            </w:r>
          </w:p>
        </w:tc>
        <w:tc>
          <w:tcPr>
            <w:tcW w:w="1930" w:type="dxa"/>
          </w:tcPr>
          <w:p w14:paraId="35D042F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2900</w:t>
            </w:r>
          </w:p>
        </w:tc>
      </w:tr>
      <w:tr w:rsidR="005106D0" w:rsidRPr="007224C3" w14:paraId="22D89A61" w14:textId="77777777">
        <w:tc>
          <w:tcPr>
            <w:tcW w:w="3227" w:type="dxa"/>
          </w:tcPr>
          <w:p w14:paraId="1DF35FC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ЯК9Л-ВК105ПФ (бомбард.)</w:t>
            </w:r>
          </w:p>
        </w:tc>
        <w:tc>
          <w:tcPr>
            <w:tcW w:w="1930" w:type="dxa"/>
          </w:tcPr>
          <w:p w14:paraId="1CAD84D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2410</w:t>
            </w:r>
          </w:p>
        </w:tc>
        <w:tc>
          <w:tcPr>
            <w:tcW w:w="1930" w:type="dxa"/>
          </w:tcPr>
          <w:p w14:paraId="47CD42F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275</w:t>
            </w:r>
          </w:p>
        </w:tc>
        <w:tc>
          <w:tcPr>
            <w:tcW w:w="1930" w:type="dxa"/>
          </w:tcPr>
          <w:p w14:paraId="288F771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2900</w:t>
            </w:r>
          </w:p>
        </w:tc>
      </w:tr>
      <w:tr w:rsidR="005106D0" w:rsidRPr="007224C3" w14:paraId="1F58BE58" w14:textId="77777777">
        <w:tc>
          <w:tcPr>
            <w:tcW w:w="3227" w:type="dxa"/>
          </w:tcPr>
          <w:p w14:paraId="6AA739B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ЯК9-ВК105ПФ (сопровож.)</w:t>
            </w:r>
          </w:p>
        </w:tc>
        <w:tc>
          <w:tcPr>
            <w:tcW w:w="1930" w:type="dxa"/>
          </w:tcPr>
          <w:p w14:paraId="2C5E812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2409</w:t>
            </w:r>
          </w:p>
        </w:tc>
        <w:tc>
          <w:tcPr>
            <w:tcW w:w="1930" w:type="dxa"/>
          </w:tcPr>
          <w:p w14:paraId="408D237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274</w:t>
            </w:r>
          </w:p>
        </w:tc>
        <w:tc>
          <w:tcPr>
            <w:tcW w:w="1930" w:type="dxa"/>
          </w:tcPr>
          <w:p w14:paraId="01972AF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2900</w:t>
            </w:r>
          </w:p>
        </w:tc>
      </w:tr>
      <w:tr w:rsidR="005106D0" w:rsidRPr="007224C3" w14:paraId="21124D15" w14:textId="77777777">
        <w:tc>
          <w:tcPr>
            <w:tcW w:w="3227" w:type="dxa"/>
          </w:tcPr>
          <w:p w14:paraId="2A8B03A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ЛА5-АШ82ФН с 2ТК3</w:t>
            </w:r>
          </w:p>
        </w:tc>
        <w:tc>
          <w:tcPr>
            <w:tcW w:w="1930" w:type="dxa"/>
          </w:tcPr>
          <w:p w14:paraId="3218AA5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30" w:type="dxa"/>
          </w:tcPr>
          <w:p w14:paraId="774B034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30" w:type="dxa"/>
          </w:tcPr>
          <w:p w14:paraId="13C9000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45C7B28" w14:textId="77777777">
        <w:tc>
          <w:tcPr>
            <w:tcW w:w="3227" w:type="dxa"/>
          </w:tcPr>
          <w:p w14:paraId="5623D7E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(высотн.)</w:t>
            </w:r>
          </w:p>
        </w:tc>
        <w:tc>
          <w:tcPr>
            <w:tcW w:w="1930" w:type="dxa"/>
          </w:tcPr>
          <w:p w14:paraId="381D7D8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2312</w:t>
            </w:r>
          </w:p>
        </w:tc>
        <w:tc>
          <w:tcPr>
            <w:tcW w:w="1930" w:type="dxa"/>
          </w:tcPr>
          <w:p w14:paraId="5E654CA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244</w:t>
            </w:r>
          </w:p>
        </w:tc>
        <w:tc>
          <w:tcPr>
            <w:tcW w:w="1930" w:type="dxa"/>
          </w:tcPr>
          <w:p w14:paraId="6F3A8DB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2978</w:t>
            </w:r>
          </w:p>
        </w:tc>
      </w:tr>
      <w:tr w:rsidR="005106D0" w:rsidRPr="007224C3" w14:paraId="69E17477" w14:textId="77777777">
        <w:tc>
          <w:tcPr>
            <w:tcW w:w="3227" w:type="dxa"/>
          </w:tcPr>
          <w:p w14:paraId="5AED6BC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ЛА5-М71Ф</w:t>
            </w:r>
          </w:p>
        </w:tc>
        <w:tc>
          <w:tcPr>
            <w:tcW w:w="1930" w:type="dxa"/>
          </w:tcPr>
          <w:p w14:paraId="614D48C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2313</w:t>
            </w:r>
          </w:p>
        </w:tc>
        <w:tc>
          <w:tcPr>
            <w:tcW w:w="1930" w:type="dxa"/>
          </w:tcPr>
          <w:p w14:paraId="6CEDC1B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241</w:t>
            </w:r>
          </w:p>
        </w:tc>
        <w:tc>
          <w:tcPr>
            <w:tcW w:w="1930" w:type="dxa"/>
          </w:tcPr>
          <w:p w14:paraId="782CCDD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2978</w:t>
            </w:r>
          </w:p>
        </w:tc>
      </w:tr>
      <w:tr w:rsidR="005106D0" w:rsidRPr="007224C3" w14:paraId="1679BE7C" w14:textId="77777777">
        <w:tc>
          <w:tcPr>
            <w:tcW w:w="3227" w:type="dxa"/>
          </w:tcPr>
          <w:p w14:paraId="093DDE7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МИГ-АМ38Ф</w:t>
            </w:r>
          </w:p>
        </w:tc>
        <w:tc>
          <w:tcPr>
            <w:tcW w:w="1930" w:type="dxa"/>
          </w:tcPr>
          <w:p w14:paraId="258C178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2317</w:t>
            </w:r>
          </w:p>
        </w:tc>
        <w:tc>
          <w:tcPr>
            <w:tcW w:w="1930" w:type="dxa"/>
          </w:tcPr>
          <w:p w14:paraId="0A706F6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214</w:t>
            </w:r>
          </w:p>
        </w:tc>
        <w:tc>
          <w:tcPr>
            <w:tcW w:w="1930" w:type="dxa"/>
          </w:tcPr>
          <w:p w14:paraId="166E09C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2978</w:t>
            </w:r>
          </w:p>
        </w:tc>
      </w:tr>
      <w:tr w:rsidR="005106D0" w:rsidRPr="007224C3" w14:paraId="12687CBB" w14:textId="77777777">
        <w:tc>
          <w:tcPr>
            <w:tcW w:w="3227" w:type="dxa"/>
          </w:tcPr>
          <w:p w14:paraId="578D4E7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МИГ-АМ39</w:t>
            </w:r>
          </w:p>
        </w:tc>
        <w:tc>
          <w:tcPr>
            <w:tcW w:w="1930" w:type="dxa"/>
          </w:tcPr>
          <w:p w14:paraId="63075C7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2335</w:t>
            </w:r>
          </w:p>
        </w:tc>
        <w:tc>
          <w:tcPr>
            <w:tcW w:w="1930" w:type="dxa"/>
          </w:tcPr>
          <w:p w14:paraId="2C73B83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279</w:t>
            </w:r>
          </w:p>
        </w:tc>
        <w:tc>
          <w:tcPr>
            <w:tcW w:w="1930" w:type="dxa"/>
          </w:tcPr>
          <w:p w14:paraId="6E6E240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3360</w:t>
            </w:r>
          </w:p>
        </w:tc>
      </w:tr>
      <w:tr w:rsidR="005106D0" w:rsidRPr="007224C3" w14:paraId="58651E5E" w14:textId="77777777">
        <w:tc>
          <w:tcPr>
            <w:tcW w:w="3227" w:type="dxa"/>
          </w:tcPr>
          <w:p w14:paraId="4D85CC4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МИГ-АМ39А 2ТК-2Б</w:t>
            </w:r>
          </w:p>
        </w:tc>
        <w:tc>
          <w:tcPr>
            <w:tcW w:w="1930" w:type="dxa"/>
          </w:tcPr>
          <w:p w14:paraId="20FB92E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30" w:type="dxa"/>
          </w:tcPr>
          <w:p w14:paraId="6E401F4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30" w:type="dxa"/>
          </w:tcPr>
          <w:p w14:paraId="2CFBF14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3E68CC2" w14:textId="77777777">
        <w:tc>
          <w:tcPr>
            <w:tcW w:w="3227" w:type="dxa"/>
          </w:tcPr>
          <w:p w14:paraId="3A4ADE9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(высотн.)</w:t>
            </w:r>
          </w:p>
        </w:tc>
        <w:tc>
          <w:tcPr>
            <w:tcW w:w="1930" w:type="dxa"/>
          </w:tcPr>
          <w:p w14:paraId="654AADB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2336</w:t>
            </w:r>
          </w:p>
        </w:tc>
        <w:tc>
          <w:tcPr>
            <w:tcW w:w="1930" w:type="dxa"/>
          </w:tcPr>
          <w:p w14:paraId="7CF6EAF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286</w:t>
            </w:r>
          </w:p>
        </w:tc>
        <w:tc>
          <w:tcPr>
            <w:tcW w:w="1930" w:type="dxa"/>
          </w:tcPr>
          <w:p w14:paraId="27A018D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3360</w:t>
            </w:r>
          </w:p>
        </w:tc>
      </w:tr>
      <w:tr w:rsidR="005106D0" w:rsidRPr="007224C3" w14:paraId="6ABF90AE" w14:textId="77777777">
        <w:tc>
          <w:tcPr>
            <w:tcW w:w="3227" w:type="dxa"/>
          </w:tcPr>
          <w:p w14:paraId="7EB2CA5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МИГ3-АМ39</w:t>
            </w:r>
          </w:p>
        </w:tc>
        <w:tc>
          <w:tcPr>
            <w:tcW w:w="1930" w:type="dxa"/>
          </w:tcPr>
          <w:p w14:paraId="2C09399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2389</w:t>
            </w:r>
          </w:p>
        </w:tc>
        <w:tc>
          <w:tcPr>
            <w:tcW w:w="1930" w:type="dxa"/>
          </w:tcPr>
          <w:p w14:paraId="78F3CC9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280</w:t>
            </w:r>
          </w:p>
        </w:tc>
        <w:tc>
          <w:tcPr>
            <w:tcW w:w="1930" w:type="dxa"/>
          </w:tcPr>
          <w:p w14:paraId="3BFCC28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2978</w:t>
            </w:r>
          </w:p>
        </w:tc>
      </w:tr>
      <w:tr w:rsidR="005106D0" w:rsidRPr="007224C3" w14:paraId="26D379FD" w14:textId="77777777">
        <w:tc>
          <w:tcPr>
            <w:tcW w:w="3227" w:type="dxa"/>
          </w:tcPr>
          <w:p w14:paraId="521E42A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ИТП-АМ39</w:t>
            </w:r>
          </w:p>
        </w:tc>
        <w:tc>
          <w:tcPr>
            <w:tcW w:w="1930" w:type="dxa"/>
          </w:tcPr>
          <w:p w14:paraId="6DF083B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2338</w:t>
            </w:r>
          </w:p>
        </w:tc>
        <w:tc>
          <w:tcPr>
            <w:tcW w:w="1930" w:type="dxa"/>
          </w:tcPr>
          <w:p w14:paraId="3EF91AE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264</w:t>
            </w:r>
          </w:p>
        </w:tc>
        <w:tc>
          <w:tcPr>
            <w:tcW w:w="1930" w:type="dxa"/>
          </w:tcPr>
          <w:p w14:paraId="7589140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2837</w:t>
            </w:r>
          </w:p>
        </w:tc>
      </w:tr>
      <w:tr w:rsidR="005106D0" w:rsidRPr="007224C3" w14:paraId="1817726C" w14:textId="77777777">
        <w:tc>
          <w:tcPr>
            <w:tcW w:w="3227" w:type="dxa"/>
          </w:tcPr>
          <w:p w14:paraId="19FBA02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ТИС-2АМ39</w:t>
            </w:r>
          </w:p>
        </w:tc>
        <w:tc>
          <w:tcPr>
            <w:tcW w:w="1930" w:type="dxa"/>
          </w:tcPr>
          <w:p w14:paraId="653C99D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2339</w:t>
            </w:r>
          </w:p>
        </w:tc>
        <w:tc>
          <w:tcPr>
            <w:tcW w:w="1930" w:type="dxa"/>
          </w:tcPr>
          <w:p w14:paraId="60E6AF7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265</w:t>
            </w:r>
          </w:p>
        </w:tc>
        <w:tc>
          <w:tcPr>
            <w:tcW w:w="1930" w:type="dxa"/>
          </w:tcPr>
          <w:p w14:paraId="0CE714D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2834</w:t>
            </w:r>
          </w:p>
        </w:tc>
      </w:tr>
      <w:tr w:rsidR="005106D0" w:rsidRPr="007224C3" w14:paraId="225B8E7E" w14:textId="77777777">
        <w:tc>
          <w:tcPr>
            <w:tcW w:w="3227" w:type="dxa"/>
          </w:tcPr>
          <w:p w14:paraId="568D457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ВП-АМ39А с ТК300</w:t>
            </w:r>
          </w:p>
        </w:tc>
        <w:tc>
          <w:tcPr>
            <w:tcW w:w="1930" w:type="dxa"/>
          </w:tcPr>
          <w:p w14:paraId="04ADE05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2397</w:t>
            </w:r>
          </w:p>
        </w:tc>
        <w:tc>
          <w:tcPr>
            <w:tcW w:w="1930" w:type="dxa"/>
          </w:tcPr>
          <w:p w14:paraId="1D84066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283</w:t>
            </w:r>
          </w:p>
        </w:tc>
        <w:tc>
          <w:tcPr>
            <w:tcW w:w="1930" w:type="dxa"/>
          </w:tcPr>
          <w:p w14:paraId="6CF5877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2834</w:t>
            </w:r>
          </w:p>
        </w:tc>
      </w:tr>
      <w:tr w:rsidR="005106D0" w:rsidRPr="007224C3" w14:paraId="27F40E2B" w14:textId="77777777">
        <w:tc>
          <w:tcPr>
            <w:tcW w:w="3227" w:type="dxa"/>
          </w:tcPr>
          <w:p w14:paraId="2D7647B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И185-М71</w:t>
            </w:r>
          </w:p>
        </w:tc>
        <w:tc>
          <w:tcPr>
            <w:tcW w:w="1930" w:type="dxa"/>
          </w:tcPr>
          <w:p w14:paraId="2DAA56C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2337</w:t>
            </w:r>
          </w:p>
        </w:tc>
        <w:tc>
          <w:tcPr>
            <w:tcW w:w="1930" w:type="dxa"/>
          </w:tcPr>
          <w:p w14:paraId="7ACFF09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267</w:t>
            </w:r>
          </w:p>
        </w:tc>
        <w:tc>
          <w:tcPr>
            <w:tcW w:w="1930" w:type="dxa"/>
          </w:tcPr>
          <w:p w14:paraId="164D20E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2834</w:t>
            </w:r>
          </w:p>
        </w:tc>
      </w:tr>
      <w:tr w:rsidR="005106D0" w:rsidRPr="007224C3" w14:paraId="5082F795" w14:textId="77777777">
        <w:tc>
          <w:tcPr>
            <w:tcW w:w="3227" w:type="dxa"/>
          </w:tcPr>
          <w:p w14:paraId="58D04FB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Штурмовики.</w:t>
            </w:r>
          </w:p>
        </w:tc>
        <w:tc>
          <w:tcPr>
            <w:tcW w:w="1930" w:type="dxa"/>
          </w:tcPr>
          <w:p w14:paraId="4A8E7C3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30" w:type="dxa"/>
          </w:tcPr>
          <w:p w14:paraId="573F286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30" w:type="dxa"/>
          </w:tcPr>
          <w:p w14:paraId="2CFF12D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1D1AE9F" w14:textId="77777777">
        <w:tc>
          <w:tcPr>
            <w:tcW w:w="3227" w:type="dxa"/>
          </w:tcPr>
          <w:p w14:paraId="4B60E66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ИЛ2-АМ38Ф</w:t>
            </w:r>
          </w:p>
        </w:tc>
        <w:tc>
          <w:tcPr>
            <w:tcW w:w="1930" w:type="dxa"/>
          </w:tcPr>
          <w:p w14:paraId="5F74882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2362</w:t>
            </w:r>
          </w:p>
        </w:tc>
        <w:tc>
          <w:tcPr>
            <w:tcW w:w="1930" w:type="dxa"/>
          </w:tcPr>
          <w:p w14:paraId="14987F5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284</w:t>
            </w:r>
          </w:p>
        </w:tc>
        <w:tc>
          <w:tcPr>
            <w:tcW w:w="1930" w:type="dxa"/>
          </w:tcPr>
          <w:p w14:paraId="3958E18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2978</w:t>
            </w:r>
          </w:p>
        </w:tc>
      </w:tr>
      <w:tr w:rsidR="005106D0" w:rsidRPr="007224C3" w14:paraId="383A2D9B" w14:textId="77777777">
        <w:tc>
          <w:tcPr>
            <w:tcW w:w="3227" w:type="dxa"/>
          </w:tcPr>
          <w:p w14:paraId="0424DFC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ИЛ2-АМ42</w:t>
            </w:r>
          </w:p>
        </w:tc>
        <w:tc>
          <w:tcPr>
            <w:tcW w:w="1930" w:type="dxa"/>
          </w:tcPr>
          <w:p w14:paraId="15A9C33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30" w:type="dxa"/>
          </w:tcPr>
          <w:p w14:paraId="2CB2DA5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30" w:type="dxa"/>
          </w:tcPr>
          <w:p w14:paraId="6470034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B9C0A7F" w14:textId="77777777">
        <w:tc>
          <w:tcPr>
            <w:tcW w:w="3227" w:type="dxa"/>
          </w:tcPr>
          <w:p w14:paraId="2AF46E5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госисп.)</w:t>
            </w:r>
          </w:p>
        </w:tc>
        <w:tc>
          <w:tcPr>
            <w:tcW w:w="1930" w:type="dxa"/>
          </w:tcPr>
          <w:p w14:paraId="7E3A1A6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2424</w:t>
            </w:r>
          </w:p>
        </w:tc>
        <w:tc>
          <w:tcPr>
            <w:tcW w:w="1930" w:type="dxa"/>
          </w:tcPr>
          <w:p w14:paraId="1613EBF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288</w:t>
            </w:r>
          </w:p>
        </w:tc>
        <w:tc>
          <w:tcPr>
            <w:tcW w:w="1930" w:type="dxa"/>
          </w:tcPr>
          <w:p w14:paraId="155010A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2978</w:t>
            </w:r>
          </w:p>
        </w:tc>
      </w:tr>
      <w:tr w:rsidR="005106D0" w:rsidRPr="007224C3" w14:paraId="60C68BC5" w14:textId="77777777">
        <w:tc>
          <w:tcPr>
            <w:tcW w:w="3227" w:type="dxa"/>
          </w:tcPr>
          <w:p w14:paraId="6C4B819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ИЛ10-АМЧ2</w:t>
            </w:r>
          </w:p>
        </w:tc>
        <w:tc>
          <w:tcPr>
            <w:tcW w:w="1930" w:type="dxa"/>
          </w:tcPr>
          <w:p w14:paraId="27B6E3A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2797</w:t>
            </w:r>
          </w:p>
        </w:tc>
        <w:tc>
          <w:tcPr>
            <w:tcW w:w="1930" w:type="dxa"/>
          </w:tcPr>
          <w:p w14:paraId="2E4781D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330</w:t>
            </w:r>
          </w:p>
        </w:tc>
        <w:tc>
          <w:tcPr>
            <w:tcW w:w="1930" w:type="dxa"/>
          </w:tcPr>
          <w:p w14:paraId="084BD8B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2978</w:t>
            </w:r>
          </w:p>
        </w:tc>
      </w:tr>
      <w:tr w:rsidR="005106D0" w:rsidRPr="007224C3" w14:paraId="513E0061" w14:textId="77777777">
        <w:tc>
          <w:tcPr>
            <w:tcW w:w="3227" w:type="dxa"/>
          </w:tcPr>
          <w:p w14:paraId="3BECFED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ИЛ2-АМ42</w:t>
            </w:r>
          </w:p>
        </w:tc>
        <w:tc>
          <w:tcPr>
            <w:tcW w:w="1930" w:type="dxa"/>
          </w:tcPr>
          <w:p w14:paraId="0DF9B57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30" w:type="dxa"/>
          </w:tcPr>
          <w:p w14:paraId="3FB30F3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30" w:type="dxa"/>
          </w:tcPr>
          <w:p w14:paraId="535A7B6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011874F" w14:textId="77777777">
        <w:tc>
          <w:tcPr>
            <w:tcW w:w="3227" w:type="dxa"/>
          </w:tcPr>
          <w:p w14:paraId="52A165C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госисп. в вар.</w:t>
            </w:r>
          </w:p>
        </w:tc>
        <w:tc>
          <w:tcPr>
            <w:tcW w:w="1930" w:type="dxa"/>
          </w:tcPr>
          <w:p w14:paraId="14CA434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30" w:type="dxa"/>
          </w:tcPr>
          <w:p w14:paraId="2E83FFA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30" w:type="dxa"/>
          </w:tcPr>
          <w:p w14:paraId="18F3124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7CAC072" w14:textId="77777777">
        <w:tc>
          <w:tcPr>
            <w:tcW w:w="3227" w:type="dxa"/>
          </w:tcPr>
          <w:p w14:paraId="7B80C72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разведч. коррект.)</w:t>
            </w:r>
          </w:p>
        </w:tc>
        <w:tc>
          <w:tcPr>
            <w:tcW w:w="1930" w:type="dxa"/>
          </w:tcPr>
          <w:p w14:paraId="1664FAC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2426</w:t>
            </w:r>
          </w:p>
        </w:tc>
        <w:tc>
          <w:tcPr>
            <w:tcW w:w="1930" w:type="dxa"/>
          </w:tcPr>
          <w:p w14:paraId="3AF4CB5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292</w:t>
            </w:r>
          </w:p>
        </w:tc>
        <w:tc>
          <w:tcPr>
            <w:tcW w:w="1930" w:type="dxa"/>
          </w:tcPr>
          <w:p w14:paraId="5C2A249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2978</w:t>
            </w:r>
          </w:p>
        </w:tc>
      </w:tr>
      <w:tr w:rsidR="005106D0" w:rsidRPr="007224C3" w14:paraId="5CE651AB" w14:textId="77777777">
        <w:tc>
          <w:tcPr>
            <w:tcW w:w="3227" w:type="dxa"/>
          </w:tcPr>
          <w:p w14:paraId="1845BE7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СУ6-М71Ф</w:t>
            </w:r>
          </w:p>
        </w:tc>
        <w:tc>
          <w:tcPr>
            <w:tcW w:w="1930" w:type="dxa"/>
          </w:tcPr>
          <w:p w14:paraId="46A8A80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2361</w:t>
            </w:r>
          </w:p>
        </w:tc>
        <w:tc>
          <w:tcPr>
            <w:tcW w:w="1930" w:type="dxa"/>
          </w:tcPr>
          <w:p w14:paraId="4F431BB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220</w:t>
            </w:r>
          </w:p>
        </w:tc>
        <w:tc>
          <w:tcPr>
            <w:tcW w:w="1930" w:type="dxa"/>
          </w:tcPr>
          <w:p w14:paraId="5C8B090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2978</w:t>
            </w:r>
          </w:p>
        </w:tc>
      </w:tr>
      <w:tr w:rsidR="005106D0" w:rsidRPr="007224C3" w14:paraId="4909A3EC" w14:textId="77777777">
        <w:tc>
          <w:tcPr>
            <w:tcW w:w="3227" w:type="dxa"/>
          </w:tcPr>
          <w:p w14:paraId="0AD7FE3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СУ6-АМ42</w:t>
            </w:r>
          </w:p>
        </w:tc>
        <w:tc>
          <w:tcPr>
            <w:tcW w:w="1930" w:type="dxa"/>
          </w:tcPr>
          <w:p w14:paraId="1B3F54F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2360</w:t>
            </w:r>
          </w:p>
        </w:tc>
        <w:tc>
          <w:tcPr>
            <w:tcW w:w="1930" w:type="dxa"/>
          </w:tcPr>
          <w:p w14:paraId="67AABC2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208</w:t>
            </w:r>
          </w:p>
        </w:tc>
        <w:tc>
          <w:tcPr>
            <w:tcW w:w="1930" w:type="dxa"/>
          </w:tcPr>
          <w:p w14:paraId="1C000D4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2978</w:t>
            </w:r>
          </w:p>
        </w:tc>
      </w:tr>
      <w:tr w:rsidR="005106D0" w:rsidRPr="007224C3" w14:paraId="01E7C62D" w14:textId="77777777">
        <w:tc>
          <w:tcPr>
            <w:tcW w:w="3227" w:type="dxa"/>
          </w:tcPr>
          <w:p w14:paraId="11E273B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ДДБШ-2М71Ф</w:t>
            </w:r>
          </w:p>
        </w:tc>
        <w:tc>
          <w:tcPr>
            <w:tcW w:w="1930" w:type="dxa"/>
          </w:tcPr>
          <w:p w14:paraId="377F262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2359</w:t>
            </w:r>
          </w:p>
        </w:tc>
        <w:tc>
          <w:tcPr>
            <w:tcW w:w="1930" w:type="dxa"/>
          </w:tcPr>
          <w:p w14:paraId="23E76FC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209</w:t>
            </w:r>
          </w:p>
        </w:tc>
        <w:tc>
          <w:tcPr>
            <w:tcW w:w="1930" w:type="dxa"/>
          </w:tcPr>
          <w:p w14:paraId="00B6DA7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2978</w:t>
            </w:r>
          </w:p>
        </w:tc>
      </w:tr>
      <w:tr w:rsidR="005106D0" w:rsidRPr="007224C3" w14:paraId="6AF5D1FC" w14:textId="77777777">
        <w:tc>
          <w:tcPr>
            <w:tcW w:w="3227" w:type="dxa"/>
          </w:tcPr>
          <w:p w14:paraId="33AA4FA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Бомбардировщики серийные.</w:t>
            </w:r>
          </w:p>
        </w:tc>
        <w:tc>
          <w:tcPr>
            <w:tcW w:w="1930" w:type="dxa"/>
          </w:tcPr>
          <w:p w14:paraId="27BE1AC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30" w:type="dxa"/>
          </w:tcPr>
          <w:p w14:paraId="43155D4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30" w:type="dxa"/>
          </w:tcPr>
          <w:p w14:paraId="25A94CD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4BE2622" w14:textId="77777777">
        <w:tc>
          <w:tcPr>
            <w:tcW w:w="3227" w:type="dxa"/>
          </w:tcPr>
          <w:p w14:paraId="7385906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ПЕ2-2ВК105ПФ</w:t>
            </w:r>
          </w:p>
        </w:tc>
        <w:tc>
          <w:tcPr>
            <w:tcW w:w="1930" w:type="dxa"/>
          </w:tcPr>
          <w:p w14:paraId="6600BF5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2381</w:t>
            </w:r>
          </w:p>
        </w:tc>
        <w:tc>
          <w:tcPr>
            <w:tcW w:w="1930" w:type="dxa"/>
          </w:tcPr>
          <w:p w14:paraId="45BA42C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260</w:t>
            </w:r>
          </w:p>
        </w:tc>
        <w:tc>
          <w:tcPr>
            <w:tcW w:w="1930" w:type="dxa"/>
          </w:tcPr>
          <w:p w14:paraId="15A1A18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2807</w:t>
            </w:r>
          </w:p>
        </w:tc>
      </w:tr>
      <w:tr w:rsidR="005106D0" w:rsidRPr="007224C3" w14:paraId="401B3EC6" w14:textId="77777777">
        <w:tc>
          <w:tcPr>
            <w:tcW w:w="3227" w:type="dxa"/>
          </w:tcPr>
          <w:p w14:paraId="3DC9D6B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ТУ2-2АШ82ФН</w:t>
            </w:r>
          </w:p>
        </w:tc>
        <w:tc>
          <w:tcPr>
            <w:tcW w:w="1930" w:type="dxa"/>
          </w:tcPr>
          <w:p w14:paraId="0340228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2349</w:t>
            </w:r>
          </w:p>
        </w:tc>
        <w:tc>
          <w:tcPr>
            <w:tcW w:w="1930" w:type="dxa"/>
          </w:tcPr>
          <w:p w14:paraId="4E7A216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291</w:t>
            </w:r>
          </w:p>
        </w:tc>
        <w:tc>
          <w:tcPr>
            <w:tcW w:w="1930" w:type="dxa"/>
          </w:tcPr>
          <w:p w14:paraId="3E61919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2978</w:t>
            </w:r>
          </w:p>
        </w:tc>
      </w:tr>
      <w:tr w:rsidR="005106D0" w:rsidRPr="007224C3" w14:paraId="5DF435BD" w14:textId="77777777">
        <w:tc>
          <w:tcPr>
            <w:tcW w:w="3227" w:type="dxa"/>
          </w:tcPr>
          <w:p w14:paraId="7044018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ЕР2-2АЧ30Б</w:t>
            </w:r>
          </w:p>
        </w:tc>
        <w:tc>
          <w:tcPr>
            <w:tcW w:w="1930" w:type="dxa"/>
          </w:tcPr>
          <w:p w14:paraId="7BFA87F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2348</w:t>
            </w:r>
          </w:p>
        </w:tc>
        <w:tc>
          <w:tcPr>
            <w:tcW w:w="1930" w:type="dxa"/>
          </w:tcPr>
          <w:p w14:paraId="553E909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218</w:t>
            </w:r>
          </w:p>
        </w:tc>
        <w:tc>
          <w:tcPr>
            <w:tcW w:w="1930" w:type="dxa"/>
          </w:tcPr>
          <w:p w14:paraId="5C3E529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2978</w:t>
            </w:r>
          </w:p>
        </w:tc>
      </w:tr>
      <w:tr w:rsidR="005106D0" w:rsidRPr="007224C3" w14:paraId="0A9CDF99" w14:textId="77777777">
        <w:tc>
          <w:tcPr>
            <w:tcW w:w="3227" w:type="dxa"/>
          </w:tcPr>
          <w:p w14:paraId="7CBE724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ИЛ4-2М88Б</w:t>
            </w:r>
          </w:p>
        </w:tc>
        <w:tc>
          <w:tcPr>
            <w:tcW w:w="1930" w:type="dxa"/>
          </w:tcPr>
          <w:p w14:paraId="313390E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2350</w:t>
            </w:r>
          </w:p>
        </w:tc>
        <w:tc>
          <w:tcPr>
            <w:tcW w:w="1930" w:type="dxa"/>
          </w:tcPr>
          <w:p w14:paraId="224A7F8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223</w:t>
            </w:r>
          </w:p>
        </w:tc>
        <w:tc>
          <w:tcPr>
            <w:tcW w:w="1930" w:type="dxa"/>
          </w:tcPr>
          <w:p w14:paraId="1F0B2BD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2978</w:t>
            </w:r>
          </w:p>
        </w:tc>
      </w:tr>
      <w:tr w:rsidR="005106D0" w:rsidRPr="007224C3" w14:paraId="09B04487" w14:textId="77777777">
        <w:tc>
          <w:tcPr>
            <w:tcW w:w="3227" w:type="dxa"/>
          </w:tcPr>
          <w:p w14:paraId="3F3AAEE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ПЕ8-4АМ35А</w:t>
            </w:r>
          </w:p>
        </w:tc>
        <w:tc>
          <w:tcPr>
            <w:tcW w:w="1930" w:type="dxa"/>
          </w:tcPr>
          <w:p w14:paraId="4955725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2347</w:t>
            </w:r>
          </w:p>
        </w:tc>
        <w:tc>
          <w:tcPr>
            <w:tcW w:w="1930" w:type="dxa"/>
          </w:tcPr>
          <w:p w14:paraId="6E1169C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246</w:t>
            </w:r>
          </w:p>
        </w:tc>
        <w:tc>
          <w:tcPr>
            <w:tcW w:w="1930" w:type="dxa"/>
          </w:tcPr>
          <w:p w14:paraId="2D14954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2978</w:t>
            </w:r>
          </w:p>
        </w:tc>
      </w:tr>
      <w:tr w:rsidR="005106D0" w:rsidRPr="007224C3" w14:paraId="65F36BD7" w14:textId="77777777">
        <w:tc>
          <w:tcPr>
            <w:tcW w:w="3227" w:type="dxa"/>
          </w:tcPr>
          <w:p w14:paraId="4A41A03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ПЕ8-4АМ82</w:t>
            </w:r>
          </w:p>
        </w:tc>
        <w:tc>
          <w:tcPr>
            <w:tcW w:w="1930" w:type="dxa"/>
          </w:tcPr>
          <w:p w14:paraId="52AB7DF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2346</w:t>
            </w:r>
          </w:p>
        </w:tc>
        <w:tc>
          <w:tcPr>
            <w:tcW w:w="1930" w:type="dxa"/>
          </w:tcPr>
          <w:p w14:paraId="180D85B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252</w:t>
            </w:r>
          </w:p>
        </w:tc>
        <w:tc>
          <w:tcPr>
            <w:tcW w:w="1930" w:type="dxa"/>
          </w:tcPr>
          <w:p w14:paraId="59CE99E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2978</w:t>
            </w:r>
          </w:p>
        </w:tc>
      </w:tr>
      <w:tr w:rsidR="005106D0" w:rsidRPr="007224C3" w14:paraId="0D82E4E2" w14:textId="77777777">
        <w:tc>
          <w:tcPr>
            <w:tcW w:w="3227" w:type="dxa"/>
          </w:tcPr>
          <w:p w14:paraId="467CFC0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ПЕ8-4АЧ30Б</w:t>
            </w:r>
          </w:p>
        </w:tc>
        <w:tc>
          <w:tcPr>
            <w:tcW w:w="1930" w:type="dxa"/>
          </w:tcPr>
          <w:p w14:paraId="43DDB27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2345</w:t>
            </w:r>
          </w:p>
        </w:tc>
        <w:tc>
          <w:tcPr>
            <w:tcW w:w="1930" w:type="dxa"/>
          </w:tcPr>
          <w:p w14:paraId="2B139CB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243</w:t>
            </w:r>
          </w:p>
        </w:tc>
        <w:tc>
          <w:tcPr>
            <w:tcW w:w="1930" w:type="dxa"/>
          </w:tcPr>
          <w:p w14:paraId="2A6F5E5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2978</w:t>
            </w:r>
          </w:p>
        </w:tc>
      </w:tr>
      <w:tr w:rsidR="005106D0" w:rsidRPr="007224C3" w14:paraId="636E4B17" w14:textId="77777777">
        <w:tc>
          <w:tcPr>
            <w:tcW w:w="3227" w:type="dxa"/>
          </w:tcPr>
          <w:p w14:paraId="71936B3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ЛИ2-2М62ИР</w:t>
            </w:r>
          </w:p>
        </w:tc>
        <w:tc>
          <w:tcPr>
            <w:tcW w:w="1930" w:type="dxa"/>
          </w:tcPr>
          <w:p w14:paraId="3F8446B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2495</w:t>
            </w:r>
          </w:p>
        </w:tc>
        <w:tc>
          <w:tcPr>
            <w:tcW w:w="1930" w:type="dxa"/>
          </w:tcPr>
          <w:p w14:paraId="509A97F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353</w:t>
            </w:r>
          </w:p>
        </w:tc>
        <w:tc>
          <w:tcPr>
            <w:tcW w:w="1930" w:type="dxa"/>
          </w:tcPr>
          <w:p w14:paraId="55C4369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инв. 501</w:t>
            </w:r>
          </w:p>
        </w:tc>
      </w:tr>
      <w:tr w:rsidR="005106D0" w:rsidRPr="007224C3" w14:paraId="74376298" w14:textId="77777777">
        <w:tc>
          <w:tcPr>
            <w:tcW w:w="3227" w:type="dxa"/>
          </w:tcPr>
          <w:p w14:paraId="1943993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Бомбардировщики опытные.</w:t>
            </w:r>
          </w:p>
        </w:tc>
        <w:tc>
          <w:tcPr>
            <w:tcW w:w="1930" w:type="dxa"/>
          </w:tcPr>
          <w:p w14:paraId="515956A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30" w:type="dxa"/>
          </w:tcPr>
          <w:p w14:paraId="6B5E1AA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30" w:type="dxa"/>
          </w:tcPr>
          <w:p w14:paraId="1432997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1F23C4E" w14:textId="77777777">
        <w:tc>
          <w:tcPr>
            <w:tcW w:w="3227" w:type="dxa"/>
          </w:tcPr>
          <w:p w14:paraId="0BCE49A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ПЕ2-2ВК107А</w:t>
            </w:r>
          </w:p>
        </w:tc>
        <w:tc>
          <w:tcPr>
            <w:tcW w:w="1930" w:type="dxa"/>
          </w:tcPr>
          <w:p w14:paraId="03ED070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2382</w:t>
            </w:r>
          </w:p>
        </w:tc>
        <w:tc>
          <w:tcPr>
            <w:tcW w:w="1930" w:type="dxa"/>
          </w:tcPr>
          <w:p w14:paraId="3734671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259</w:t>
            </w:r>
          </w:p>
        </w:tc>
        <w:tc>
          <w:tcPr>
            <w:tcW w:w="1930" w:type="dxa"/>
          </w:tcPr>
          <w:p w14:paraId="7063063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2807</w:t>
            </w:r>
          </w:p>
        </w:tc>
      </w:tr>
      <w:tr w:rsidR="005106D0" w:rsidRPr="007224C3" w14:paraId="11ED9F4E" w14:textId="77777777">
        <w:tc>
          <w:tcPr>
            <w:tcW w:w="3227" w:type="dxa"/>
          </w:tcPr>
          <w:p w14:paraId="65004B6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ПЕ2Е-2М1</w:t>
            </w:r>
          </w:p>
        </w:tc>
        <w:tc>
          <w:tcPr>
            <w:tcW w:w="1930" w:type="dxa"/>
          </w:tcPr>
          <w:p w14:paraId="5758E0A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2399</w:t>
            </w:r>
          </w:p>
        </w:tc>
        <w:tc>
          <w:tcPr>
            <w:tcW w:w="1930" w:type="dxa"/>
          </w:tcPr>
          <w:p w14:paraId="07AEDEF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262</w:t>
            </w:r>
          </w:p>
        </w:tc>
        <w:tc>
          <w:tcPr>
            <w:tcW w:w="1930" w:type="dxa"/>
          </w:tcPr>
          <w:p w14:paraId="5AABF54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2807</w:t>
            </w:r>
          </w:p>
        </w:tc>
      </w:tr>
      <w:tr w:rsidR="005106D0" w:rsidRPr="007224C3" w14:paraId="617F1C30" w14:textId="77777777">
        <w:tc>
          <w:tcPr>
            <w:tcW w:w="3227" w:type="dxa"/>
          </w:tcPr>
          <w:p w14:paraId="6405262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ПЕ2-2АШ82Ф</w:t>
            </w:r>
          </w:p>
        </w:tc>
        <w:tc>
          <w:tcPr>
            <w:tcW w:w="1930" w:type="dxa"/>
          </w:tcPr>
          <w:p w14:paraId="3494EC6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2403</w:t>
            </w:r>
          </w:p>
        </w:tc>
        <w:tc>
          <w:tcPr>
            <w:tcW w:w="1930" w:type="dxa"/>
          </w:tcPr>
          <w:p w14:paraId="503DDD2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261</w:t>
            </w:r>
          </w:p>
        </w:tc>
        <w:tc>
          <w:tcPr>
            <w:tcW w:w="1930" w:type="dxa"/>
          </w:tcPr>
          <w:p w14:paraId="705AABD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2807</w:t>
            </w:r>
          </w:p>
        </w:tc>
      </w:tr>
      <w:tr w:rsidR="005106D0" w:rsidRPr="007224C3" w14:paraId="752546B2" w14:textId="77777777">
        <w:tc>
          <w:tcPr>
            <w:tcW w:w="3227" w:type="dxa"/>
          </w:tcPr>
          <w:p w14:paraId="6469498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НБ-2АШ82ФН</w:t>
            </w:r>
          </w:p>
        </w:tc>
        <w:tc>
          <w:tcPr>
            <w:tcW w:w="1930" w:type="dxa"/>
          </w:tcPr>
          <w:p w14:paraId="3637D0E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2341</w:t>
            </w:r>
          </w:p>
        </w:tc>
        <w:tc>
          <w:tcPr>
            <w:tcW w:w="1930" w:type="dxa"/>
          </w:tcPr>
          <w:p w14:paraId="16564BF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266</w:t>
            </w:r>
          </w:p>
        </w:tc>
        <w:tc>
          <w:tcPr>
            <w:tcW w:w="1930" w:type="dxa"/>
          </w:tcPr>
          <w:p w14:paraId="07AC397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2834</w:t>
            </w:r>
          </w:p>
        </w:tc>
      </w:tr>
      <w:tr w:rsidR="005106D0" w:rsidRPr="007224C3" w14:paraId="06B4FEC1" w14:textId="77777777">
        <w:tc>
          <w:tcPr>
            <w:tcW w:w="3227" w:type="dxa"/>
          </w:tcPr>
          <w:p w14:paraId="32160AE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102-2М120</w:t>
            </w:r>
          </w:p>
        </w:tc>
        <w:tc>
          <w:tcPr>
            <w:tcW w:w="1930" w:type="dxa"/>
          </w:tcPr>
          <w:p w14:paraId="12AD440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2343</w:t>
            </w:r>
          </w:p>
        </w:tc>
        <w:tc>
          <w:tcPr>
            <w:tcW w:w="1930" w:type="dxa"/>
          </w:tcPr>
          <w:p w14:paraId="1C17303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217</w:t>
            </w:r>
          </w:p>
        </w:tc>
        <w:tc>
          <w:tcPr>
            <w:tcW w:w="1930" w:type="dxa"/>
          </w:tcPr>
          <w:p w14:paraId="40A14A8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2978</w:t>
            </w:r>
          </w:p>
        </w:tc>
      </w:tr>
      <w:tr w:rsidR="005106D0" w:rsidRPr="007224C3" w14:paraId="59BFED68" w14:textId="77777777">
        <w:tc>
          <w:tcPr>
            <w:tcW w:w="3227" w:type="dxa"/>
          </w:tcPr>
          <w:p w14:paraId="689DE03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102-2М71ФТК</w:t>
            </w:r>
          </w:p>
        </w:tc>
        <w:tc>
          <w:tcPr>
            <w:tcW w:w="1930" w:type="dxa"/>
          </w:tcPr>
          <w:p w14:paraId="0BAEACD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2342</w:t>
            </w:r>
          </w:p>
        </w:tc>
        <w:tc>
          <w:tcPr>
            <w:tcW w:w="1930" w:type="dxa"/>
          </w:tcPr>
          <w:p w14:paraId="4729834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249</w:t>
            </w:r>
          </w:p>
        </w:tc>
        <w:tc>
          <w:tcPr>
            <w:tcW w:w="1930" w:type="dxa"/>
          </w:tcPr>
          <w:p w14:paraId="1E9F20F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2978</w:t>
            </w:r>
          </w:p>
        </w:tc>
      </w:tr>
      <w:tr w:rsidR="005106D0" w:rsidRPr="007224C3" w14:paraId="1B74952E" w14:textId="77777777">
        <w:tc>
          <w:tcPr>
            <w:tcW w:w="3227" w:type="dxa"/>
          </w:tcPr>
          <w:p w14:paraId="3303948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102-2М71</w:t>
            </w:r>
          </w:p>
        </w:tc>
        <w:tc>
          <w:tcPr>
            <w:tcW w:w="1930" w:type="dxa"/>
          </w:tcPr>
          <w:p w14:paraId="2B6618D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2392</w:t>
            </w:r>
          </w:p>
        </w:tc>
        <w:tc>
          <w:tcPr>
            <w:tcW w:w="1930" w:type="dxa"/>
          </w:tcPr>
          <w:p w14:paraId="06D4F95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248</w:t>
            </w:r>
          </w:p>
        </w:tc>
        <w:tc>
          <w:tcPr>
            <w:tcW w:w="1930" w:type="dxa"/>
          </w:tcPr>
          <w:p w14:paraId="336DEEF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2978</w:t>
            </w:r>
          </w:p>
        </w:tc>
      </w:tr>
      <w:tr w:rsidR="005106D0" w:rsidRPr="007224C3" w14:paraId="328F71E7" w14:textId="77777777">
        <w:tc>
          <w:tcPr>
            <w:tcW w:w="3227" w:type="dxa"/>
          </w:tcPr>
          <w:p w14:paraId="628BC25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ИЛ6-2АЧ30Б</w:t>
            </w:r>
          </w:p>
        </w:tc>
        <w:tc>
          <w:tcPr>
            <w:tcW w:w="1930" w:type="dxa"/>
          </w:tcPr>
          <w:p w14:paraId="26AAE85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2344</w:t>
            </w:r>
          </w:p>
        </w:tc>
        <w:tc>
          <w:tcPr>
            <w:tcW w:w="1930" w:type="dxa"/>
          </w:tcPr>
          <w:p w14:paraId="059FDA3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211</w:t>
            </w:r>
          </w:p>
        </w:tc>
        <w:tc>
          <w:tcPr>
            <w:tcW w:w="1930" w:type="dxa"/>
          </w:tcPr>
          <w:p w14:paraId="6083924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2978</w:t>
            </w:r>
          </w:p>
        </w:tc>
      </w:tr>
      <w:tr w:rsidR="005106D0" w:rsidRPr="007224C3" w14:paraId="622172DA" w14:textId="77777777">
        <w:tc>
          <w:tcPr>
            <w:tcW w:w="3227" w:type="dxa"/>
          </w:tcPr>
          <w:p w14:paraId="4411890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ПЕ8-4АШ82ФНТК3</w:t>
            </w:r>
          </w:p>
        </w:tc>
        <w:tc>
          <w:tcPr>
            <w:tcW w:w="1930" w:type="dxa"/>
          </w:tcPr>
          <w:p w14:paraId="6FC2B0C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2391</w:t>
            </w:r>
          </w:p>
        </w:tc>
        <w:tc>
          <w:tcPr>
            <w:tcW w:w="1930" w:type="dxa"/>
          </w:tcPr>
          <w:p w14:paraId="1B0496F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242</w:t>
            </w:r>
          </w:p>
        </w:tc>
        <w:tc>
          <w:tcPr>
            <w:tcW w:w="1930" w:type="dxa"/>
          </w:tcPr>
          <w:p w14:paraId="1A203F1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2978</w:t>
            </w:r>
          </w:p>
        </w:tc>
      </w:tr>
      <w:tr w:rsidR="005106D0" w:rsidRPr="007224C3" w14:paraId="3B6F5ECF" w14:textId="77777777">
        <w:tc>
          <w:tcPr>
            <w:tcW w:w="3227" w:type="dxa"/>
          </w:tcPr>
          <w:p w14:paraId="38400E0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Разные самолеты.</w:t>
            </w:r>
          </w:p>
        </w:tc>
        <w:tc>
          <w:tcPr>
            <w:tcW w:w="1930" w:type="dxa"/>
          </w:tcPr>
          <w:p w14:paraId="0C68086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30" w:type="dxa"/>
          </w:tcPr>
          <w:p w14:paraId="0E171EA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30" w:type="dxa"/>
          </w:tcPr>
          <w:p w14:paraId="2800A2B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5DB10E4" w14:textId="77777777">
        <w:tc>
          <w:tcPr>
            <w:tcW w:w="3227" w:type="dxa"/>
          </w:tcPr>
          <w:p w14:paraId="3A950F9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ЩЕ2-2М11Д</w:t>
            </w:r>
          </w:p>
        </w:tc>
        <w:tc>
          <w:tcPr>
            <w:tcW w:w="1930" w:type="dxa"/>
          </w:tcPr>
          <w:p w14:paraId="0384701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930" w:type="dxa"/>
          </w:tcPr>
          <w:p w14:paraId="0ACC365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930" w:type="dxa"/>
          </w:tcPr>
          <w:p w14:paraId="574C516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3CDD5998" w14:textId="77777777">
        <w:tc>
          <w:tcPr>
            <w:tcW w:w="3227" w:type="dxa"/>
          </w:tcPr>
          <w:p w14:paraId="6023D11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ЯК6-2М11Ф</w:t>
            </w:r>
          </w:p>
        </w:tc>
        <w:tc>
          <w:tcPr>
            <w:tcW w:w="1930" w:type="dxa"/>
          </w:tcPr>
          <w:p w14:paraId="59187C0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2408</w:t>
            </w:r>
          </w:p>
        </w:tc>
        <w:tc>
          <w:tcPr>
            <w:tcW w:w="1930" w:type="dxa"/>
          </w:tcPr>
          <w:p w14:paraId="1B59EB6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930" w:type="dxa"/>
          </w:tcPr>
          <w:p w14:paraId="63A7F13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2900</w:t>
            </w:r>
          </w:p>
        </w:tc>
      </w:tr>
      <w:tr w:rsidR="005106D0" w:rsidRPr="007224C3" w14:paraId="63455D6D" w14:textId="77777777">
        <w:tc>
          <w:tcPr>
            <w:tcW w:w="3227" w:type="dxa"/>
          </w:tcPr>
          <w:p w14:paraId="12C2DFC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ЛА5-УТИАШ82Ф</w:t>
            </w:r>
          </w:p>
        </w:tc>
        <w:tc>
          <w:tcPr>
            <w:tcW w:w="1930" w:type="dxa"/>
          </w:tcPr>
          <w:p w14:paraId="5910B58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2388</w:t>
            </w:r>
          </w:p>
        </w:tc>
        <w:tc>
          <w:tcPr>
            <w:tcW w:w="1930" w:type="dxa"/>
          </w:tcPr>
          <w:p w14:paraId="7110F81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247</w:t>
            </w:r>
          </w:p>
        </w:tc>
        <w:tc>
          <w:tcPr>
            <w:tcW w:w="1930" w:type="dxa"/>
          </w:tcPr>
          <w:p w14:paraId="330BB5A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2978</w:t>
            </w:r>
          </w:p>
        </w:tc>
      </w:tr>
      <w:tr w:rsidR="005106D0" w:rsidRPr="007224C3" w14:paraId="2AFAD59A" w14:textId="77777777">
        <w:tc>
          <w:tcPr>
            <w:tcW w:w="3227" w:type="dxa"/>
          </w:tcPr>
          <w:p w14:paraId="771E058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У2-М11</w:t>
            </w:r>
          </w:p>
        </w:tc>
        <w:tc>
          <w:tcPr>
            <w:tcW w:w="1930" w:type="dxa"/>
          </w:tcPr>
          <w:p w14:paraId="55C7BBB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930" w:type="dxa"/>
          </w:tcPr>
          <w:p w14:paraId="6A79AFC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930" w:type="dxa"/>
          </w:tcPr>
          <w:p w14:paraId="5958492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50AA0160" w14:textId="77777777">
        <w:tc>
          <w:tcPr>
            <w:tcW w:w="3227" w:type="dxa"/>
          </w:tcPr>
          <w:p w14:paraId="73E1418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У2-ШС-М11Ф</w:t>
            </w:r>
          </w:p>
        </w:tc>
        <w:tc>
          <w:tcPr>
            <w:tcW w:w="1930" w:type="dxa"/>
          </w:tcPr>
          <w:p w14:paraId="239B7D9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2411</w:t>
            </w:r>
          </w:p>
        </w:tc>
        <w:tc>
          <w:tcPr>
            <w:tcW w:w="1930" w:type="dxa"/>
          </w:tcPr>
          <w:p w14:paraId="1F2D971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930" w:type="dxa"/>
          </w:tcPr>
          <w:p w14:paraId="330B398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44637199" w14:textId="77777777">
        <w:tc>
          <w:tcPr>
            <w:tcW w:w="3227" w:type="dxa"/>
          </w:tcPr>
          <w:p w14:paraId="25038ED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У2-ВС-М11Д</w:t>
            </w:r>
          </w:p>
        </w:tc>
        <w:tc>
          <w:tcPr>
            <w:tcW w:w="1930" w:type="dxa"/>
          </w:tcPr>
          <w:p w14:paraId="148C05E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2394</w:t>
            </w:r>
          </w:p>
        </w:tc>
        <w:tc>
          <w:tcPr>
            <w:tcW w:w="1930" w:type="dxa"/>
          </w:tcPr>
          <w:p w14:paraId="5ACB5E6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255</w:t>
            </w:r>
          </w:p>
        </w:tc>
        <w:tc>
          <w:tcPr>
            <w:tcW w:w="1930" w:type="dxa"/>
          </w:tcPr>
          <w:p w14:paraId="46F1C6C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37C33A19" w14:textId="77777777">
        <w:tc>
          <w:tcPr>
            <w:tcW w:w="3227" w:type="dxa"/>
          </w:tcPr>
          <w:p w14:paraId="3609C1F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МП-2М11Ф</w:t>
            </w:r>
          </w:p>
        </w:tc>
        <w:tc>
          <w:tcPr>
            <w:tcW w:w="1930" w:type="dxa"/>
          </w:tcPr>
          <w:p w14:paraId="2F63E4B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2396</w:t>
            </w:r>
          </w:p>
        </w:tc>
        <w:tc>
          <w:tcPr>
            <w:tcW w:w="1930" w:type="dxa"/>
          </w:tcPr>
          <w:p w14:paraId="264A509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930" w:type="dxa"/>
          </w:tcPr>
          <w:p w14:paraId="0C01AFD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6F78B075" w14:textId="77777777">
        <w:tc>
          <w:tcPr>
            <w:tcW w:w="3227" w:type="dxa"/>
          </w:tcPr>
          <w:p w14:paraId="5798A20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БДП-2</w:t>
            </w:r>
          </w:p>
        </w:tc>
        <w:tc>
          <w:tcPr>
            <w:tcW w:w="1930" w:type="dxa"/>
          </w:tcPr>
          <w:p w14:paraId="158BE0C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2395</w:t>
            </w:r>
          </w:p>
        </w:tc>
        <w:tc>
          <w:tcPr>
            <w:tcW w:w="1930" w:type="dxa"/>
          </w:tcPr>
          <w:p w14:paraId="323BC32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930" w:type="dxa"/>
          </w:tcPr>
          <w:p w14:paraId="39BBAA1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066A2D8B" w14:textId="77777777">
        <w:tc>
          <w:tcPr>
            <w:tcW w:w="3227" w:type="dxa"/>
          </w:tcPr>
          <w:p w14:paraId="041667A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БИ - реактивный</w:t>
            </w:r>
          </w:p>
        </w:tc>
        <w:tc>
          <w:tcPr>
            <w:tcW w:w="1930" w:type="dxa"/>
          </w:tcPr>
          <w:p w14:paraId="6A9226F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2365</w:t>
            </w:r>
          </w:p>
        </w:tc>
        <w:tc>
          <w:tcPr>
            <w:tcW w:w="1930" w:type="dxa"/>
          </w:tcPr>
          <w:p w14:paraId="03EE84C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290</w:t>
            </w:r>
          </w:p>
        </w:tc>
        <w:tc>
          <w:tcPr>
            <w:tcW w:w="1930" w:type="dxa"/>
          </w:tcPr>
          <w:p w14:paraId="7068FAC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2978</w:t>
            </w:r>
          </w:p>
        </w:tc>
      </w:tr>
    </w:tbl>
    <w:p w14:paraId="3261E14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Оглавления к статкартам маш. NN - 2811, 2812, 2813, 2814, 2815, 2816 (1825,114).</w:t>
      </w:r>
    </w:p>
    <w:p w14:paraId="700C019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A6ACF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мая 1944 вышел приказ НКАП в исполнение постановления ГКО N 5947 от 22 мая 1944 о создании в кратчайший срок дневных скоростных бомбардировщиков:</w:t>
      </w:r>
    </w:p>
    <w:p w14:paraId="7045695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ГК завода 22 В.М.М. обеспечить окончание гос. испытаний и доводку построенного в 2-х экз. самолета Пе-2 с ВК-107А к 15 июня 1944</w:t>
      </w:r>
    </w:p>
    <w:p w14:paraId="31E7665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ГК Климову устранить имеющиеся на моторе дефекты</w:t>
      </w:r>
    </w:p>
    <w:p w14:paraId="154D8D0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Нач. 10 ГУ, зам. наркома А.И.Кузнецову и директору завода 22 Окулову и ГК В.М.М.</w:t>
      </w:r>
    </w:p>
    <w:p w14:paraId="5B28A16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построить и предъявить на войсковые испытаний 15 октября 1944 головную серию самолетов Пе-2 с ВК-107А в количестве 5 экз.</w:t>
      </w:r>
    </w:p>
    <w:p w14:paraId="40C403E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спроектировать и построить в 2-х экз. и предъявить на гос. испытания в декабре 1944 2 моторный скоростной дневной бомбардировщик с ВК-108 без стрелкового вооружения с макс. скоростью на высоте 6000 м в 700 км/час и дальностью полета с 1000 кг 2000 км</w:t>
      </w:r>
    </w:p>
    <w:p w14:paraId="3AD6331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Предусмотреть возможность установки в носовой части фюзеляжа этого самолета в истребительном варианте пушечного вооружения из 4х20 мм или 2х37-45 мм вместо бомбовой нагрузки</w:t>
      </w:r>
    </w:p>
    <w:p w14:paraId="4673F85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спроектировать, построить в 2 экз. и предъявить на гос. испытания в апреле 1945 2-х моторный высотный дневной бомбардировщик с ВК-109 с герметической кабиной для экипажа без стрелкового вооружения:</w:t>
      </w:r>
    </w:p>
    <w:p w14:paraId="6A09FCE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 скорость на высоте 10000 м - 720 км/час, дальность с 1000 кг бомб 2000 км.</w:t>
      </w:r>
    </w:p>
    <w:p w14:paraId="1C386D6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постройки опытных самолетов с мотором ВК-108 и ВК-109 использовать все возможности серийного и опытного производства завода 22. Общее проектирование, изготовление гермокабин, высотного оборудования и общую сборку самолетов с ВК-109 производить на заводе 482.</w:t>
      </w:r>
    </w:p>
    <w:p w14:paraId="3BCA04C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Отв. руководителя и ГК завода 156 А.Н.Т. построить на базе Ту-2 2-х моторный 2-х местный дневной скоростной бомбардировщик с АМ-39:</w:t>
      </w:r>
    </w:p>
    <w:p w14:paraId="5026F40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 скорость на 8000 м - 640-650 км/час</w:t>
      </w:r>
    </w:p>
    <w:p w14:paraId="016C9C4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бомбовая нагрузка - 1000 кг и 2000 кг в перегруз. Вооружение - 2 ШВАК.</w:t>
      </w:r>
    </w:p>
    <w:p w14:paraId="3EB4A45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выпустить в 2-х экз. и предъявить на совместные испытания: 1-й - 1 июня 1944, 2-й - 15 октября 1944</w:t>
      </w:r>
    </w:p>
    <w:p w14:paraId="331269B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w:t>
      </w:r>
    </w:p>
    <w:p w14:paraId="646D6B7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ГК А.Н.Т. оборудовать самолет Ту-2 с АМ-39 с автоматическим высотным корректором и передать его для летных испытаний в ЛИИ к 12 июля 1944</w:t>
      </w:r>
    </w:p>
    <w:p w14:paraId="54BF941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 Нач. ЛИИ Чесалову и ГК Короткову провести летные испытания и доводку автомата корректора на самолете Ту-2 к 1 августа 1944</w:t>
      </w:r>
    </w:p>
    <w:p w14:paraId="54A1C9A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ГК А.Н.Т., В.М.М., Ермолаеву отработать обогрев и вентиляцию кабин самолетов Ту-2, Пе-2 и Ер-2 и предъявить на гос. испытания в НИИ ВВС к 1 августа 1944 (1585,163).</w:t>
      </w:r>
    </w:p>
    <w:p w14:paraId="5DC17FC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Нач. НИСО Петрову разработать типовую приборную доску для дневных двухмоторных бомбардировщиков с исп. опыта самолета Москито и предъявить на Гос. макетной комиссии ВВС к 1 июля 1944</w:t>
      </w:r>
    </w:p>
    <w:p w14:paraId="634EED8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14. Зам. наркома В.П.Кузнецову и ГК винтов и самолетов закончить к 1 августа 1944 гос. летН7 испытания опытных флюгерных винтов на самолетах Ил-4, Пе-2, Ер-2, и Ту-2 и дать предложения по развертыванию их серийного производства для представления ГКО</w:t>
      </w:r>
    </w:p>
    <w:p w14:paraId="65FB026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Этим же постановлением ГКО и НКАП закончить гос. испытания и доводку построенного в 2-х экз. самолета Пе-2 с ВК-107А к 15 июня 1944 и представить в ГОКО предложения о серийном производстве этих самолетов, а также провести испытания 1-го экз. дневного бомбардировщика с АМ-39 к 15 июня 1944 и представить в ГКО заключение (1585,163).</w:t>
      </w:r>
    </w:p>
    <w:p w14:paraId="6998D3C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0184BD" w14:textId="77777777" w:rsidR="00353781" w:rsidRPr="007224C3" w:rsidRDefault="00353781"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27 мая</w:t>
      </w:r>
      <w:r w:rsidRPr="007224C3">
        <w:rPr>
          <w:rFonts w:ascii="Times New Roman" w:hAnsi="Times New Roman"/>
          <w:color w:val="000000" w:themeColor="text1"/>
          <w:sz w:val="16"/>
          <w:szCs w:val="16"/>
        </w:rPr>
        <w:t xml:space="preserve"> в 1944 году приказ НКАП №358, на основании Решения ГКО от 22 мая 1944 года, ОКБ Туполева должно было построить самолет </w:t>
      </w:r>
      <w:hyperlink r:id="rId144" w:tgtFrame="_blank" w:history="1">
        <w:r w:rsidRPr="007224C3">
          <w:rPr>
            <w:rFonts w:ascii="Times New Roman" w:hAnsi="Times New Roman"/>
            <w:color w:val="000000" w:themeColor="text1"/>
            <w:sz w:val="16"/>
            <w:szCs w:val="16"/>
          </w:rPr>
          <w:t xml:space="preserve">«СДБ» </w:t>
        </w:r>
      </w:hyperlink>
      <w:r w:rsidRPr="007224C3">
        <w:rPr>
          <w:rFonts w:ascii="Times New Roman" w:hAnsi="Times New Roman"/>
          <w:color w:val="000000" w:themeColor="text1"/>
          <w:sz w:val="16"/>
          <w:szCs w:val="16"/>
        </w:rPr>
        <w:t>в двух экземплярах со сроками их предъявления на испытания: 1-го экземпляра - 1 июня 1944 года, 2-го экземпляра - 10 октября 1944 года (14904).</w:t>
      </w:r>
    </w:p>
    <w:p w14:paraId="004DFB6A" w14:textId="77777777" w:rsidR="00353781" w:rsidRPr="007224C3" w:rsidRDefault="00353781" w:rsidP="007224C3">
      <w:pPr>
        <w:spacing w:after="0" w:line="240" w:lineRule="auto"/>
        <w:jc w:val="both"/>
        <w:rPr>
          <w:rFonts w:ascii="Times New Roman" w:hAnsi="Times New Roman"/>
          <w:color w:val="000000" w:themeColor="text1"/>
          <w:sz w:val="16"/>
          <w:szCs w:val="16"/>
        </w:rPr>
      </w:pPr>
    </w:p>
    <w:p w14:paraId="4AB2C03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мая 1944 г. в соответствии с приказом НКАП № 358 во исполнение постановления ГКО № 5947 от 22 мая 1944 г., которыми перед ОКО Мясищева ставилась задача, наряду с доводкой и передачей на госиспытания Пе-2И, “спроектировать и построить в двух экземплярах и предъявить на государственные испытания в декабре 1944 г. двухмоторный скоростной дневной бомбардировщик с моторами ВК-108 без стрелкового вооружения со следующими данными:</w:t>
      </w:r>
    </w:p>
    <w:p w14:paraId="4683D17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максимальная скорость полета на высоте 6000 м - 700 км/ч;</w:t>
      </w:r>
    </w:p>
    <w:p w14:paraId="4A08D81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дальность полета с 1000 кг бомб внутри фюзеляжа - 2000 км...” (4476).</w:t>
      </w:r>
    </w:p>
    <w:p w14:paraId="5057CEB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A217D3" w14:textId="77777777" w:rsidR="00353781" w:rsidRPr="007224C3" w:rsidRDefault="00353781"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27 мая</w:t>
      </w:r>
      <w:r w:rsidRPr="007224C3">
        <w:rPr>
          <w:rFonts w:ascii="Times New Roman" w:hAnsi="Times New Roman"/>
          <w:color w:val="000000" w:themeColor="text1"/>
          <w:sz w:val="16"/>
          <w:szCs w:val="16"/>
        </w:rPr>
        <w:t xml:space="preserve"> в 1944 году приказ НКАП №358, ОКО Мясищева ставилась задача, наряду с доводкой и передачей на госиспытания «Пе-2И», "спроектировать и построить в двух экземплярах и предъявить на государственные испытания в декабре 1944 г. двухмоторный скоростной дневной бомбардировщик с моторами ВК-108 без стрелкового вооружения со следующими данными: максимальная скорость полета на высоте 6000 м - 700 км/ч; дальность полета с 1000 кг бомб внутри фюзеляжа - 2000 км. Летом 1944 года конструкторский коллектив, возглавляемый В.М.Мясищевым, начал разработку скоростного дневного бомбардировщика «ДБ-2ВК-108» (другие применявшиеся названия – «ДБ-108» и «ДСБ-2ВК-108»). От «Пе-2И» новая модификация должна была отличаться улучшенной винтомоторной группой, увеличенным бомбоотсеком, измененной конфигурацией мотогондол, улучшенной аэродинамикой и колесами большего размера. В связи с окончанием войны программа летных испытаний бомбардировщика не была завершена. На снимке «ДБ-108» на статических испытаниях (14904).</w:t>
      </w:r>
    </w:p>
    <w:p w14:paraId="0C78CF39" w14:textId="77777777" w:rsidR="00353781" w:rsidRPr="007224C3" w:rsidRDefault="00353781" w:rsidP="007224C3">
      <w:pPr>
        <w:spacing w:after="0" w:line="240" w:lineRule="auto"/>
        <w:jc w:val="both"/>
        <w:rPr>
          <w:rFonts w:ascii="Times New Roman" w:hAnsi="Times New Roman"/>
          <w:color w:val="000000" w:themeColor="text1"/>
          <w:sz w:val="16"/>
          <w:szCs w:val="16"/>
        </w:rPr>
      </w:pPr>
    </w:p>
    <w:p w14:paraId="11B281D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мая 1944 г. в соответствии с приказом НКАП № 358 ОКО Мясищева ставилась задача наряду с доводкой и передачей на госиспытания Пе-2И "спроектировать и построить в двух экземплярах и предъявить на государственные испытания в декабре 1944 г. двухмоторный скоростной дневной бомбардировщик с моторами ВК-108 без стрелкового вооружения со следующими данными:</w:t>
      </w:r>
    </w:p>
    <w:p w14:paraId="082B0D0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максимальная скорость полета на высоте 6000 м - 700 км/ч;</w:t>
      </w:r>
    </w:p>
    <w:p w14:paraId="769FF18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дальность полета с 1000 кг бомб внутри фюзеляжа - 2000 км..."</w:t>
      </w:r>
    </w:p>
    <w:p w14:paraId="7100B68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августе эскизный проект нового дневного скоростного бомбардировщика ДБ-2ВК-108 (другие применявшиеся названия - ДБ-108 и ДСБ-2ВК-108) был готов. В основу его конструкции была положена схема Пе-2И с дальнейшим увеличением объема фюзеляжного бомбоотсека (стала возможной внутренняя подвеска укороченной бомбы ФАБ-2000М44). Выросшая полетная масса самолета вполне компенсировалась установкой двух мощнейших двигателей ВК-108 с четырехлопастными винтами ВИШ-108Л-20 (в опытном порядке отладку ВК-108 на "долгожителе" Пе-2Ф производил моторный завод № 26). Мотор ВК-108 практически не отличался по габаритам и массе от ВК-107А, но имел новый двухскоростной нагнетатель с регулирующими лопатками Поликовского и был на 150-200 л.с. мощнее.</w:t>
      </w:r>
    </w:p>
    <w:p w14:paraId="4367632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Новая машина отличалась от Пе-2И измененной конфигурацией мотогондол, улучшенной аэродинамикой и колесами большего размера (1000x350 мм), соответствовавшими возросшей взлетной массе. И хотя постановление ГКО № 5947 от 22 мая 1944 г. и приказ НКАП не предусматривали оснащения ДБ-108 оборонительным вооружением, Мясишев вскоре отказался от такого радикализма (он учел мнение А.А. Новикова о Пе-2 И). Поэтому 10 декабря 1944 г. на макетной комиссии рассматривался вариант с пушкой УБ-20, смонтрированной неподвижно под сидением пилота, а также с хвостовой дистанционно управляемой установкой ДЭУ (20-мм пушка УБ-20) с боекомплектом 80 снарядов.</w:t>
      </w:r>
    </w:p>
    <w:p w14:paraId="7053068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Как вариант вооружения для ДБ-108 предусматривалось размещение в бомбоотсеке пары пушек НС-37 (или НС-45) с боекомплектом по 50 патронов на ствол. Экипаж предусматривали прикрыть 10-мм бронеспинками, 8-мм заголовниками и 5-мм чашками сидений. По сравнению с Пе-2И фонарь заметно расширили и немного опустили, что положительно сказалось на обзоре и условиях работы экипажа. Увеличенное остекление нижней носовой части фюзеляжа заметно упростило штурману ориентирование, выход на цель и прицеливание (12042).</w:t>
      </w:r>
    </w:p>
    <w:p w14:paraId="3C2F9BC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977F6A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мая 1944 на Ла-5 АШ-82ФН + 2ТК-3 произвел полет на высоту 10500 м. Выбивало масло, попадало на патрубки и появился дым, полет был прекращен (1825).</w:t>
      </w:r>
    </w:p>
    <w:p w14:paraId="5A3DA0C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4E032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мая 1944 был произведен полет на высоту 10500 мт. На Ла-5 с АШ-82ФН и 2ТК-3. Вследствие выбивания масла из под левого синхрони</w:t>
      </w:r>
      <w:r w:rsidRPr="007224C3">
        <w:rPr>
          <w:rFonts w:ascii="Times New Roman" w:hAnsi="Times New Roman"/>
          <w:color w:val="000000" w:themeColor="text1"/>
          <w:sz w:val="16"/>
          <w:szCs w:val="16"/>
        </w:rPr>
        <w:softHyphen/>
        <w:t>затора и попадания его на горячие патрубки, что вызвало появление дыма в кабине пилота, полет был прекращен.Давление бензина на наборе высоты нор</w:t>
      </w:r>
      <w:r w:rsidRPr="007224C3">
        <w:rPr>
          <w:rFonts w:ascii="Times New Roman" w:hAnsi="Times New Roman"/>
          <w:color w:val="000000" w:themeColor="text1"/>
          <w:sz w:val="16"/>
          <w:szCs w:val="16"/>
        </w:rPr>
        <w:softHyphen/>
        <w:t>мальное, при горизонтальных полетах - падает.Дефекты к конц,у дня были устранены (1825).</w:t>
      </w:r>
    </w:p>
    <w:p w14:paraId="10DAE71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E08951" w14:textId="77777777" w:rsidR="00353781" w:rsidRPr="007224C3" w:rsidRDefault="0035378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мая 1944 следующий полёт Ла-5А на высоту 10500 м снова пришлось прекратить из-за задымления. На этот раз масло выбивалось из-под левого синхронизатора и попадало на горячие патрубки. Од</w:t>
      </w:r>
      <w:r w:rsidRPr="007224C3">
        <w:rPr>
          <w:rFonts w:ascii="Times New Roman" w:hAnsi="Times New Roman"/>
          <w:color w:val="000000" w:themeColor="text1"/>
          <w:sz w:val="16"/>
          <w:szCs w:val="16"/>
        </w:rPr>
        <w:softHyphen/>
        <w:t>нако давление бензина при наборе высоты оставалось нормальным и при горизонталь</w:t>
      </w:r>
      <w:r w:rsidRPr="007224C3">
        <w:rPr>
          <w:rFonts w:ascii="Times New Roman" w:hAnsi="Times New Roman"/>
          <w:color w:val="000000" w:themeColor="text1"/>
          <w:sz w:val="16"/>
          <w:szCs w:val="16"/>
        </w:rPr>
        <w:softHyphen/>
        <w:t>ных полётах не падало. Дефекты удалось устранить к концу того же дня. Правда, при контрольной гонке мотора на земле снова обнаружили масло в магнето, в результате произвели замену наддувного магнето на ненаддувное с улучшенной высотностью.</w:t>
      </w:r>
    </w:p>
    <w:p w14:paraId="1900BD19" w14:textId="77777777" w:rsidR="00353781" w:rsidRPr="007224C3" w:rsidRDefault="0035378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После нескольких дней нелётной погоды 3 июня состоялся полёт до высоты 8000 м с работающими турбокомпрессорами. Вновь падение давление бензина и высокие темпе</w:t>
      </w:r>
      <w:r w:rsidRPr="007224C3">
        <w:rPr>
          <w:rFonts w:ascii="Times New Roman" w:hAnsi="Times New Roman"/>
          <w:color w:val="000000" w:themeColor="text1"/>
          <w:sz w:val="16"/>
          <w:szCs w:val="16"/>
        </w:rPr>
        <w:softHyphen/>
        <w:t>ратуры головок цилиндров мотора привели к прекращению полёта. На самолёте заме</w:t>
      </w:r>
      <w:r w:rsidRPr="007224C3">
        <w:rPr>
          <w:rFonts w:ascii="Times New Roman" w:hAnsi="Times New Roman"/>
          <w:color w:val="000000" w:themeColor="text1"/>
          <w:sz w:val="16"/>
          <w:szCs w:val="16"/>
        </w:rPr>
        <w:softHyphen/>
        <w:t>нили центральный бензобак и эжекторную помпу, улучшили дефлектирование головок цилиндров и изменили боковые крышки капотов. Однако 8 июня контрольный полёт при</w:t>
      </w:r>
      <w:r w:rsidRPr="007224C3">
        <w:rPr>
          <w:rFonts w:ascii="Times New Roman" w:hAnsi="Times New Roman"/>
          <w:color w:val="000000" w:themeColor="text1"/>
          <w:sz w:val="16"/>
          <w:szCs w:val="16"/>
        </w:rPr>
        <w:softHyphen/>
        <w:t>шлось прекратить из-за течи масла. Наконец, 11 июня 1944 г. в полёте на определение потолка на первой скорости нагнетателя с включенными турбокомпрессорами достигли высоты 11000 м. На высоте 3000 м включилась система впрыска воды, и температура го</w:t>
      </w:r>
      <w:r w:rsidRPr="007224C3">
        <w:rPr>
          <w:rFonts w:ascii="Times New Roman" w:hAnsi="Times New Roman"/>
          <w:color w:val="000000" w:themeColor="text1"/>
          <w:sz w:val="16"/>
          <w:szCs w:val="16"/>
        </w:rPr>
        <w:softHyphen/>
        <w:t>ловок цилиндров на протяжении полёта сохранялась нормальной, на высоте 7000 м сработала система нейтрального газа, обеспечившая поддержание нормального давления бензина. Однако течь масла в соединениях мотора и высокая температура масла на вы</w:t>
      </w:r>
      <w:r w:rsidRPr="007224C3">
        <w:rPr>
          <w:rFonts w:ascii="Times New Roman" w:hAnsi="Times New Roman"/>
          <w:color w:val="000000" w:themeColor="text1"/>
          <w:sz w:val="16"/>
          <w:szCs w:val="16"/>
        </w:rPr>
        <w:softHyphen/>
        <w:t>ходе — 90°С, привели к прекращению полёта. Для снижения температуры масла на са</w:t>
      </w:r>
      <w:r w:rsidRPr="007224C3">
        <w:rPr>
          <w:rFonts w:ascii="Times New Roman" w:hAnsi="Times New Roman"/>
          <w:color w:val="000000" w:themeColor="text1"/>
          <w:sz w:val="16"/>
          <w:szCs w:val="16"/>
        </w:rPr>
        <w:softHyphen/>
        <w:t>молёте установили радиатор с трубкой диаметром 4 мм, вместо прежнего радиатора с трубкой 5 мм, а также приспособление для защиты радиатора от попадания масла из за- моторного пространства. 13 июня 1944 г. произвели два полёта: первый до высоты 9500 м, второй — до 4500 м, и оба пришлось прекратить из-за выброса масла из мотора. Как по</w:t>
      </w:r>
      <w:r w:rsidRPr="007224C3">
        <w:rPr>
          <w:rFonts w:ascii="Times New Roman" w:hAnsi="Times New Roman"/>
          <w:color w:val="000000" w:themeColor="text1"/>
          <w:sz w:val="16"/>
          <w:szCs w:val="16"/>
        </w:rPr>
        <w:softHyphen/>
        <w:t>казали произведенные при участии представителя завода N9 19 испытания и осмотр, течь происходила из кольцевого уплотнения нагнетателя. Сделали однозначный вывод, что для проведения высотных полётов требуются моторы специальной сборки.</w:t>
      </w:r>
    </w:p>
    <w:p w14:paraId="4C63254C" w14:textId="77777777" w:rsidR="00353781" w:rsidRPr="007224C3" w:rsidRDefault="0035378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 как такие моторы завод № 19 мог изготовить лишь к 1 июля, ему дали указание отгрузить заводу № 21 два мотора обычной сборки, но с улучшенным дефлектирова- нием. К 25 июня, после установки на месте пушки дополнительного маслобака, само</w:t>
      </w:r>
      <w:r w:rsidRPr="007224C3">
        <w:rPr>
          <w:rFonts w:ascii="Times New Roman" w:hAnsi="Times New Roman"/>
          <w:color w:val="000000" w:themeColor="text1"/>
          <w:sz w:val="16"/>
          <w:szCs w:val="16"/>
        </w:rPr>
        <w:softHyphen/>
        <w:t>лёт снова подготовили к продолжению испытаний. Во время состоявшихся 3-4 июля полётов до высоты 7800 м температура масла на входе поднялась выше допустимого уровня, произошло затяжеление винта, и имел место выброс масла из дренажа, за все время полёта он составил 15 кг. После чего на самолёте установили высотную масло- помпу — агрегат № 180, и произвели отсос масла из суфлёрного бачка. Однако в кон</w:t>
      </w:r>
      <w:r w:rsidRPr="007224C3">
        <w:rPr>
          <w:rFonts w:ascii="Times New Roman" w:hAnsi="Times New Roman"/>
          <w:color w:val="000000" w:themeColor="text1"/>
          <w:sz w:val="16"/>
          <w:szCs w:val="16"/>
        </w:rPr>
        <w:softHyphen/>
        <w:t>трольном полёте 8 июля при наборе высоты 5000 м температура на входе снова поднялась выше допустимых пределов (87°С) и полёт опять пришлось прекратить. При осмотре самолёта на земле снова обнаружили выброс масла. 11 июля 1944 г. Ла-5А перегнали в Москву на завод № 81. По заключению представителя завода № 19, из-за попадания масла в нагнетатель мотора по причине дефектов маслоуплотнений валика нагнетателя, к дальнейшим полётам самолёт признали непригодным.</w:t>
      </w:r>
    </w:p>
    <w:p w14:paraId="129ABDD0" w14:textId="77777777" w:rsidR="00353781" w:rsidRPr="007224C3" w:rsidRDefault="0035378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Новую винтомоторную группу на Ла-5А смонтировали только в 20-х числах августа, заодно в соответствии с рекомендациями ЦАГИ произвели доводки систем охлаждения. 12 сентября состоялся контрольный полёт, мотор снова работал с перебоями из-за не</w:t>
      </w:r>
      <w:r w:rsidRPr="007224C3">
        <w:rPr>
          <w:rFonts w:ascii="Times New Roman" w:hAnsi="Times New Roman"/>
          <w:color w:val="000000" w:themeColor="text1"/>
          <w:sz w:val="16"/>
          <w:szCs w:val="16"/>
        </w:rPr>
        <w:softHyphen/>
        <w:t>поладок регулятора смеси. На следующий день для скорейшей отработки винтомотор</w:t>
      </w:r>
      <w:r w:rsidRPr="007224C3">
        <w:rPr>
          <w:rFonts w:ascii="Times New Roman" w:hAnsi="Times New Roman"/>
          <w:color w:val="000000" w:themeColor="text1"/>
          <w:sz w:val="16"/>
          <w:szCs w:val="16"/>
        </w:rPr>
        <w:softHyphen/>
        <w:t>ной группы на больших высотах при участии сотрудников лаборатории ЛИИ самолёт перегнали на аэродром «Раменское». При перелёте мотор работал «богато», и на сред</w:t>
      </w:r>
      <w:r w:rsidRPr="007224C3">
        <w:rPr>
          <w:rFonts w:ascii="Times New Roman" w:hAnsi="Times New Roman"/>
          <w:color w:val="000000" w:themeColor="text1"/>
          <w:sz w:val="16"/>
          <w:szCs w:val="16"/>
        </w:rPr>
        <w:softHyphen/>
        <w:t>них режимах его трясло. В ЛИИ лётные испытания продолжили. 21 сентября в конт</w:t>
      </w:r>
      <w:r w:rsidRPr="007224C3">
        <w:rPr>
          <w:rFonts w:ascii="Times New Roman" w:hAnsi="Times New Roman"/>
          <w:color w:val="000000" w:themeColor="text1"/>
          <w:sz w:val="16"/>
          <w:szCs w:val="16"/>
        </w:rPr>
        <w:softHyphen/>
        <w:t>рольном полёте достигли высоты 5600 м, дальнейший набор высоты в связи с поломкой датчика оборотов турбокомпрессора пришлось прекратить. 26 сентября полёт до вы</w:t>
      </w:r>
      <w:r w:rsidRPr="007224C3">
        <w:rPr>
          <w:rFonts w:ascii="Times New Roman" w:hAnsi="Times New Roman"/>
          <w:color w:val="000000" w:themeColor="text1"/>
          <w:sz w:val="16"/>
          <w:szCs w:val="16"/>
        </w:rPr>
        <w:softHyphen/>
        <w:t>соты 9000 м прекратили вследствие обледенения фонаря, отказа в работе впрыска во</w:t>
      </w:r>
      <w:r w:rsidRPr="007224C3">
        <w:rPr>
          <w:rFonts w:ascii="Times New Roman" w:hAnsi="Times New Roman"/>
          <w:color w:val="000000" w:themeColor="text1"/>
          <w:sz w:val="16"/>
          <w:szCs w:val="16"/>
        </w:rPr>
        <w:softHyphen/>
        <w:t>ды в цилиндры мотора и высоких температур масла. Следующий полёт состоялся лишь 3 октября. На высоте 10000 м сильная тряска мотора при включении впрыска воды и низкое давление бензина в системе не позволили его продолжить. Ещё один день ушёл на устранение обнаруженных дефектов.</w:t>
      </w:r>
    </w:p>
    <w:p w14:paraId="557088F0" w14:textId="77777777" w:rsidR="00353781" w:rsidRPr="007224C3" w:rsidRDefault="0035378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октября в полёте на замер расхода горючего на высотах 500 м и 4000 м и проверку работы мотора с включённым впрыском воды на Ла-5А, который пилотировал лётчик-ис</w:t>
      </w:r>
      <w:r w:rsidRPr="007224C3">
        <w:rPr>
          <w:rFonts w:ascii="Times New Roman" w:hAnsi="Times New Roman"/>
          <w:color w:val="000000" w:themeColor="text1"/>
          <w:sz w:val="16"/>
          <w:szCs w:val="16"/>
        </w:rPr>
        <w:softHyphen/>
        <w:t>пытатель С.Н. Анохин, на высоте 3400 м при нормальной работе мотора и при нормальных показаниях всех контрольных приборов на выхлопе возникло сильное факеление. Для его устранения лётчик обеднил смесь при помощи рычага остановки мотора. Факе</w:t>
      </w:r>
      <w:r w:rsidRPr="007224C3">
        <w:rPr>
          <w:rFonts w:ascii="Times New Roman" w:hAnsi="Times New Roman"/>
          <w:color w:val="000000" w:themeColor="text1"/>
          <w:sz w:val="16"/>
          <w:szCs w:val="16"/>
        </w:rPr>
        <w:softHyphen/>
        <w:t>ление привело к сильному нагреву бортов фюзеляжа, обгорела обшивка правого борта. Вследствие высокой температуры фанерная оболочка задымилась. Анохину удалось до</w:t>
      </w:r>
      <w:r w:rsidRPr="007224C3">
        <w:rPr>
          <w:rFonts w:ascii="Times New Roman" w:hAnsi="Times New Roman"/>
          <w:color w:val="000000" w:themeColor="text1"/>
          <w:sz w:val="16"/>
          <w:szCs w:val="16"/>
        </w:rPr>
        <w:softHyphen/>
        <w:t xml:space="preserve">вести загоревшийся самолёт до аэродрома и </w:t>
      </w:r>
      <w:r w:rsidRPr="007224C3">
        <w:rPr>
          <w:rFonts w:ascii="Times New Roman" w:hAnsi="Times New Roman"/>
          <w:color w:val="000000" w:themeColor="text1"/>
          <w:sz w:val="16"/>
          <w:szCs w:val="16"/>
        </w:rPr>
        <w:lastRenderedPageBreak/>
        <w:t>нормально сесть в пределах ВПП. Горение и обугливание деревянной конструкции фюзеляжа было вызвано перегревом металличе</w:t>
      </w:r>
      <w:r w:rsidRPr="007224C3">
        <w:rPr>
          <w:rFonts w:ascii="Times New Roman" w:hAnsi="Times New Roman"/>
          <w:color w:val="000000" w:themeColor="text1"/>
          <w:sz w:val="16"/>
          <w:szCs w:val="16"/>
        </w:rPr>
        <w:softHyphen/>
        <w:t>ской обшивки факелом, образующимся на выхлопе мотора, теплоизоляция между жаро</w:t>
      </w:r>
      <w:r w:rsidRPr="007224C3">
        <w:rPr>
          <w:rFonts w:ascii="Times New Roman" w:hAnsi="Times New Roman"/>
          <w:color w:val="000000" w:themeColor="text1"/>
          <w:sz w:val="16"/>
          <w:szCs w:val="16"/>
        </w:rPr>
        <w:softHyphen/>
        <w:t>упорными листами обшивки и деревянной конструкцией фюзеляжа оказалась недоста</w:t>
      </w:r>
      <w:r w:rsidRPr="007224C3">
        <w:rPr>
          <w:rFonts w:ascii="Times New Roman" w:hAnsi="Times New Roman"/>
          <w:color w:val="000000" w:themeColor="text1"/>
          <w:sz w:val="16"/>
          <w:szCs w:val="16"/>
        </w:rPr>
        <w:softHyphen/>
        <w:t>точной. Факел же появился в результате ненормального забогащения мотора при увели</w:t>
      </w:r>
      <w:r w:rsidRPr="007224C3">
        <w:rPr>
          <w:rFonts w:ascii="Times New Roman" w:hAnsi="Times New Roman"/>
          <w:color w:val="000000" w:themeColor="text1"/>
          <w:sz w:val="16"/>
          <w:szCs w:val="16"/>
        </w:rPr>
        <w:softHyphen/>
        <w:t>чении высоты полёта, тогда же расход горючего увеличился с 360 кг/ч до 459 кг/ч на вы</w:t>
      </w:r>
      <w:r w:rsidRPr="007224C3">
        <w:rPr>
          <w:rFonts w:ascii="Times New Roman" w:hAnsi="Times New Roman"/>
          <w:color w:val="000000" w:themeColor="text1"/>
          <w:sz w:val="16"/>
          <w:szCs w:val="16"/>
        </w:rPr>
        <w:softHyphen/>
        <w:t>соте 3400 м. Наиболее интенсивный факел образовался из ресивера правого турбо</w:t>
      </w:r>
      <w:r w:rsidRPr="007224C3">
        <w:rPr>
          <w:rFonts w:ascii="Times New Roman" w:hAnsi="Times New Roman"/>
          <w:color w:val="000000" w:themeColor="text1"/>
          <w:sz w:val="16"/>
          <w:szCs w:val="16"/>
        </w:rPr>
        <w:softHyphen/>
        <w:t>компрессора. Аварийная комиссия под председательством М.Д. Романовича, для безо</w:t>
      </w:r>
      <w:r w:rsidRPr="007224C3">
        <w:rPr>
          <w:rFonts w:ascii="Times New Roman" w:hAnsi="Times New Roman"/>
          <w:color w:val="000000" w:themeColor="text1"/>
          <w:sz w:val="16"/>
          <w:szCs w:val="16"/>
        </w:rPr>
        <w:softHyphen/>
        <w:t>пасности проведения дальнейших лётных испытаний, порекомендовала: установить для моторов АШ-82ФН с ТК нормы часового расхода горючего, насосы НБЗ-У проверять на равномерность подачи горючего, на стабильность его расходования по высотам, заводу № 81 улучшить теплоизоляцию деревянных частей фюзеляжа от металлической обшив</w:t>
      </w:r>
      <w:r w:rsidRPr="007224C3">
        <w:rPr>
          <w:rFonts w:ascii="Times New Roman" w:hAnsi="Times New Roman"/>
          <w:color w:val="000000" w:themeColor="text1"/>
          <w:sz w:val="16"/>
          <w:szCs w:val="16"/>
        </w:rPr>
        <w:softHyphen/>
        <w:t>ки, подверженной воздействию выхлопных газов. Самолёт нуждался в ремонте, и его от</w:t>
      </w:r>
      <w:r w:rsidRPr="007224C3">
        <w:rPr>
          <w:rFonts w:ascii="Times New Roman" w:hAnsi="Times New Roman"/>
          <w:color w:val="000000" w:themeColor="text1"/>
          <w:sz w:val="16"/>
          <w:szCs w:val="16"/>
        </w:rPr>
        <w:softHyphen/>
        <w:t>правили на завод № 81. Откуда назад он не вернулся, поскольку программу испытаний признали выполненной, а тему законченной.</w:t>
      </w:r>
    </w:p>
    <w:p w14:paraId="594237C0" w14:textId="77777777" w:rsidR="00353781" w:rsidRPr="007224C3" w:rsidRDefault="0035378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обстоятельствах, аналогичных тем, в которых оказался С.Н. Анохин на Ла-5А, 7 февраля разбился И-221 ОКБ-155. Пилотировавший его летчик 12-го ГИАП П.А. Жу</w:t>
      </w:r>
      <w:r w:rsidRPr="007224C3">
        <w:rPr>
          <w:rFonts w:ascii="Times New Roman" w:hAnsi="Times New Roman"/>
          <w:color w:val="000000" w:themeColor="text1"/>
          <w:sz w:val="16"/>
          <w:szCs w:val="16"/>
        </w:rPr>
        <w:softHyphen/>
        <w:t>равлев принял факеление из выхлопных патрубков и дым в кабине за начавшийся по</w:t>
      </w:r>
      <w:r w:rsidRPr="007224C3">
        <w:rPr>
          <w:rFonts w:ascii="Times New Roman" w:hAnsi="Times New Roman"/>
          <w:color w:val="000000" w:themeColor="text1"/>
          <w:sz w:val="16"/>
          <w:szCs w:val="16"/>
        </w:rPr>
        <w:softHyphen/>
        <w:t>жар, и на высоте 9000 м покинул самолёт (15830).</w:t>
      </w:r>
    </w:p>
    <w:p w14:paraId="5C61B569" w14:textId="77777777" w:rsidR="00353781" w:rsidRPr="007224C3" w:rsidRDefault="00353781" w:rsidP="007224C3">
      <w:pPr>
        <w:spacing w:after="0" w:line="240" w:lineRule="auto"/>
        <w:jc w:val="both"/>
        <w:rPr>
          <w:rFonts w:ascii="Times New Roman" w:hAnsi="Times New Roman"/>
          <w:color w:val="000000" w:themeColor="text1"/>
          <w:sz w:val="16"/>
          <w:szCs w:val="16"/>
        </w:rPr>
      </w:pPr>
    </w:p>
    <w:p w14:paraId="2B79763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мая 1944 Зам. Нач. 7ГУ Алексеев подготовил сводку г-7 № 6903 о ходе испытаний высотных самолетов на 25 мая 1944 по Як-9 М-105ПД, Ла-5 АШ-82ФН и 2ТК-3, МиГ АМ-39А и 2ТК-2Б (1825).</w:t>
      </w:r>
    </w:p>
    <w:p w14:paraId="6DB97D4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Высотный истребитель Як-9 с М-105ПД.</w:t>
      </w:r>
    </w:p>
    <w:p w14:paraId="0008612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находится не в летной состоянии. Мотор с самолета снят для замены на новый, который ожида</w:t>
      </w:r>
      <w:r w:rsidRPr="007224C3">
        <w:rPr>
          <w:rFonts w:ascii="Times New Roman" w:hAnsi="Times New Roman"/>
          <w:color w:val="000000" w:themeColor="text1"/>
          <w:sz w:val="16"/>
          <w:szCs w:val="16"/>
        </w:rPr>
        <w:softHyphen/>
        <w:t>ется из ЦИАМ к 1 июня с.г.</w:t>
      </w:r>
    </w:p>
    <w:p w14:paraId="5C83733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Высотный истребитель Ла-5 с АШ-82ФН и 2ТК-3.</w:t>
      </w:r>
    </w:p>
    <w:p w14:paraId="39E8470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Произведен контрольный полет, в котором достиг</w:t>
      </w:r>
      <w:r w:rsidRPr="007224C3">
        <w:rPr>
          <w:rFonts w:ascii="Times New Roman" w:hAnsi="Times New Roman"/>
          <w:color w:val="000000" w:themeColor="text1"/>
          <w:sz w:val="16"/>
          <w:szCs w:val="16"/>
        </w:rPr>
        <w:softHyphen/>
        <w:t>нута высота 7000 мт. Из-за попадания дыма в каби</w:t>
      </w:r>
      <w:r w:rsidRPr="007224C3">
        <w:rPr>
          <w:rFonts w:ascii="Times New Roman" w:hAnsi="Times New Roman"/>
          <w:color w:val="000000" w:themeColor="text1"/>
          <w:sz w:val="16"/>
          <w:szCs w:val="16"/>
        </w:rPr>
        <w:softHyphen/>
        <w:t>ну пилота полет был прекращен. Дымление проис</w:t>
      </w:r>
      <w:r w:rsidRPr="007224C3">
        <w:rPr>
          <w:rFonts w:ascii="Times New Roman" w:hAnsi="Times New Roman"/>
          <w:color w:val="000000" w:themeColor="text1"/>
          <w:sz w:val="16"/>
          <w:szCs w:val="16"/>
        </w:rPr>
        <w:softHyphen/>
        <w:t>ходило по причине выбивания большого количества масла из мест соединения мотора с маслопроводом и попадания его на ресивер ТК. Кроме того, с высотой падало давление бензина и грелась головка- 5-го цилиндра. Для устранения указанных дефектов, на самолете проведены следующие мероприятия:</w:t>
      </w:r>
    </w:p>
    <w:p w14:paraId="1EFA69B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подтянуты соединения в моторе и маслопроводе, из'ят клапан из бензосистемы, могущий вызвать утечку азота и падение давления бензина, исправ</w:t>
      </w:r>
      <w:r w:rsidRPr="007224C3">
        <w:rPr>
          <w:rFonts w:ascii="Times New Roman" w:hAnsi="Times New Roman"/>
          <w:color w:val="000000" w:themeColor="text1"/>
          <w:sz w:val="16"/>
          <w:szCs w:val="16"/>
        </w:rPr>
        <w:softHyphen/>
        <w:t>лено дефлектирование и заменена форсунка для впрыска воды в 5-й цилиндр мотора. Самолет готов к полету.</w:t>
      </w:r>
    </w:p>
    <w:p w14:paraId="07B6102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Высотный истребитель ИИГ с АМ-39Б и 2ГК-2Б.</w:t>
      </w:r>
    </w:p>
    <w:p w14:paraId="6E95B7D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Закончено изготовление узлов и деталей крепления воздухопроводов для нового воздухо-воэдушного радиатора, начат монтаж радиатора на самолете (1825).</w:t>
      </w:r>
    </w:p>
    <w:p w14:paraId="00BAF55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621D7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мая 1944 г. в ГК НИИ ВВС закончились государственные испытания самолет B-25-DP, которые шли с 21 апреля 1944. Характерной особенностью машины были двигатели Райт-Циклон R-2600 двадцать девятой серии с флюгерными ВИШ &lt;Гидроматик&gt; фирмы &lt;Гамильтон Стандарт&gt; (на B-25-S стояли аналогичные двигатели 13-й серии) со взлетной мощностью 1700 л.с., а также измененная схема стрелкового вооружения и наличие подкрыльевых бомбодержателей, обеспечивающих подвеску восьми американских бомб калибром до 300 фунтов. Претерпела изменения и топливная система. В консолях крыла были установлены дополнительные бензобаки емкостью 1140 литров (302 американских галлона). За счет уменьшения объема внутрифюзеляжного бензобака более чем вдвое увеличили бомбоотсек, в котором одновременно могло подвешиваться по паре бомб ФАБ-250 и ФАБ-500. Имелись и другие малозначительные отличия.</w:t>
      </w:r>
    </w:p>
    <w:p w14:paraId="1210129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 время государственных испытаний ведущими по машине стали инженер В.Я.Магон, летчик Г.А.Ашитков и штурман Филиппов. Самолет облетали также летчики М.А.Нюхтиков, А.М.Хрипков и В.М.Шульгин, штурманы Литвинчук и Цветков. В отчетах Ашитков писал, что &lt;... поведение самолета и техника пилотирования... в сравнении с самолетом Б-25-С имеет незначительные особенности, объясняющиеся, главным образом, увеличенной удельной нагрузкой самолета Б-25-ДП.</w:t>
      </w:r>
    </w:p>
    <w:p w14:paraId="0DA5824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рулит спокойно, устойчиво с различными направлениями ветра.</w:t>
      </w:r>
    </w:p>
    <w:p w14:paraId="2183E36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взлетах без закрылков и с выпущенными закрылками на 15 и 23 градуса самолет устойчив и хорошо управляем, а с закрылками, выпущенными на 30°, устойчивость и управляемость ухудшаются.</w:t>
      </w:r>
    </w:p>
    <w:p w14:paraId="5BB8B7E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Взлет с закрылками, выпущенными на 45°, практически невозможен, так как скорость на разбеге нарастает медленно, и при поднятии переднего колеса самолет теряет скорость. Отрыв самолета в этом случае происходит с трех точек с подрывом на малой скорости, при этом самолет в поперечном отношении неустойчив и плохо управляем и на выдерживании скорость набирает слишком медленно.</w:t>
      </w:r>
    </w:p>
    <w:p w14:paraId="58751A2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Горизонтальный полете весом 14650 кг допускается на скоростях от 170-180 миль/ч по прибору до максимальной. При скоростях 140-150 миль/ч по прибору элероны оказываются малоэффективными и управляемость самолета ухудшается, а на скорости 135 миль/ч самолет становится неуправляемым.</w:t>
      </w:r>
    </w:p>
    <w:p w14:paraId="1F79803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хорошо балансируется триммерами по всем диапазонам скоростей и идет с брошенным управлением....</w:t>
      </w:r>
    </w:p>
    <w:p w14:paraId="1339B33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Позволяет делать виражи с креном до 55-60 градусов. Нагрузки на рули большие. Время минимального виража с креном 55-60° при работе моторов на первой скорости нагнетателя на высоте 2700 метров - 1 минута 30 секунд, на второй скорости нагнетателя на высоте 4650 метров - 55 секунд.</w:t>
      </w:r>
    </w:p>
    <w:p w14:paraId="279C7BD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Горизонтальный полет с нормальным полетным весом на одном моторе, работающем в режиме номинальной мощности с винтом во флюгерном положении - невозможен (... с полетным весом 14150 кг и скорости 160-175 миль/ч полет возможен с высоты 1700 метров и ниже).</w:t>
      </w:r>
    </w:p>
    <w:p w14:paraId="3948293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отказе одного из моторов самолет резко забрасывает в сторону отказавшего мотора, нагрузка на ногу при этом очень большая и удержать самолет в прямолинейном направлении почти невозможно. В этом случае...целесообразно немного прикрыть газ работающему мотору, после чего нагрузки на ногу снять триммером руля поворота.</w:t>
      </w:r>
    </w:p>
    <w:p w14:paraId="2063219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наличии хорошей устойчивости и имеющегося оборудования самолета полеты на дальность трудностей не представляют и особо не утомляют летчиков.</w:t>
      </w:r>
    </w:p>
    <w:p w14:paraId="160B7CB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Автопилот очень чувствителен и требует очень точной регулировки, особенно на высоте. В &lt;болтанку&gt; автопилот режим полета точно не выдерживает и требует периодической поправки.</w:t>
      </w:r>
    </w:p>
    <w:p w14:paraId="51BB2A9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Самолетное переговорное устройство работает неудовлетворительно. При наличии сплошной трассы прицельную стрельбу (вперед по курсу) как днем, так и ночью вести невозможно - трасса закрывает цель и шкалу прицела.</w:t>
      </w:r>
    </w:p>
    <w:p w14:paraId="145D43E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Благодаря хорошему обзору вперед и влево летчик может при бомбометании самостоятельно выводить самолет на цель...&gt;.</w:t>
      </w:r>
    </w:p>
    <w:p w14:paraId="59031AC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Другие летчики облета в целом согласились со своим коллегой. Наиболее кратко и емко высказался Нюхтиков: &lt;Самолет Б-25-ДП, несмотря на большой полетный вес (13700 кг), имеет несложные по технике пилотирования взлет и посадку, сравнительно легко ходит на одном моторе, имеет хорошую продольную и вполне удовлетворительную боковую устойчивость. Последнее могло быть и хорошим, если бы у самолета был бы немного увеличен запас путевой устойчивости относительно поперечной и уменьшена нагрузка на ноги&gt;.</w:t>
      </w:r>
    </w:p>
    <w:p w14:paraId="672856E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Несмотря на то, что самолет имел две кабины - бомбардира и навигатора, это не обеспечивало нормальной работы штурмана по самолетовождению. Ему мешали два неподвижных пулемета, ящики которых загромождали кабину бомбардира. В связи с этим представляет интерес мнение Литвинчука: &lt;Штурман не имеет места, на котором он мог бы сосредоточенно работать, видеть все приборы, пользоваться ими и наблюдать за землей. Для работы с радиокомпасом и навигационным визиром надо слезать с сиденья. В кабине нет указателя скорости, часов и высотомера. Эти приборы находятся на доске летчика, и штурман их с сиденья не видит. Обзор из кабины не позволяет вести детальную ориентировку. Общую ориентировку вести затруднительно... Наиболее подходящим местом для работы штурмана является кабина бомбардира, обзор из которой хороший и вполне обеспечивает ведение общей и детальной ориентировки...&gt;.</w:t>
      </w:r>
    </w:p>
    <w:p w14:paraId="1199F43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Исследователями отмечалась неудовлетворительная работа пулеметных установок из-за их частых самопроизвольных отказов, связанных, главным образом, с выпадением и перекашиванием патронных лент.</w:t>
      </w:r>
    </w:p>
    <w:p w14:paraId="5A3AD33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результатам испытаний были сделаны, в частности, следующие выводы:</w:t>
      </w:r>
    </w:p>
    <w:p w14:paraId="1DC5109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&lt;Нормальный полетный вес самолета Б-25-ДП, равный 14650 кг, больше на 1750 кг или на 13,55% нормального полетного веса самолета Б-25-С вследствие:</w:t>
      </w:r>
    </w:p>
    <w:p w14:paraId="2C1B1CA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увеличения веса пустого самолета на 75 кг;</w:t>
      </w:r>
    </w:p>
    <w:p w14:paraId="2726B5F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увеличения веса полезной нагрузки на 1675 кг;</w:t>
      </w:r>
    </w:p>
    <w:p w14:paraId="131F9E4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Предельно-эксплуатационные центровки самолета - передняя 21,7%САХ и задняя 33,5% САХ - находятся в диапазоне допускаемых американской фирмой центровок (20-33,5% САХ).</w:t>
      </w:r>
    </w:p>
    <w:p w14:paraId="3F07993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Уменьшение максимальных скоростей по высотам самолета Б-25-ДП в сравнении с самолетом Б-25-С произошло вследствие:</w:t>
      </w:r>
    </w:p>
    <w:p w14:paraId="218E2FF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ухудшения аэродинамики самолета из-за установки дополнительных стрелковых точек;</w:t>
      </w:r>
    </w:p>
    <w:p w14:paraId="66D223A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увеличения нормального полетного веса на 1750 кг. На всех полетных режимах в диапазоне полетных скоростей от минимально допустимой до максимальной самолет Б-25-ДП с нормальным полетным весом 14650 кг (центровка 31,0% САХ) имеет хорошую управляемость и вполне удовлетворительную устойчивость как в продольном, так и в боковом отношениях.</w:t>
      </w:r>
    </w:p>
    <w:p w14:paraId="26AE246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пилотировании на минимально допустимой скорости допускаются развороты с креном не более 15-20 градусов.</w:t>
      </w:r>
    </w:p>
    <w:p w14:paraId="01B7EE8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сравнении с самолетом Б-25-С техника пилотирования на самолете Б-25-ДП несколько сложнее вследствие больших удельных нагрузок. По технике пилотирования самолет доступен летчикам средней квалификации.</w:t>
      </w:r>
    </w:p>
    <w:p w14:paraId="084723E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Винтомоторная группа на всех режимах полета самолета до практического потолка работает безотказно.</w:t>
      </w:r>
    </w:p>
    <w:p w14:paraId="2C3889B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Стрелковая установка не обеспечивает безотказной работы пулеметов и требует частой перезагрузки вследствие больших изгибов рукавов питания и торможения в них патронной ленты. Условия работы стрелков хвостовой установки неудовлетворительные.</w:t>
      </w:r>
    </w:p>
    <w:p w14:paraId="10072E0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Бомбардировочные установки работают безотказно. Подкрыльные американские бомбодержатели подвеску отечественных бомб не обеспечивают. Для увеличения </w:t>
      </w:r>
      <w:r w:rsidRPr="007224C3">
        <w:rPr>
          <w:rFonts w:ascii="Times New Roman" w:hAnsi="Times New Roman"/>
          <w:color w:val="000000" w:themeColor="text1"/>
          <w:sz w:val="16"/>
          <w:szCs w:val="16"/>
        </w:rPr>
        <w:lastRenderedPageBreak/>
        <w:t>бомбовой нагрузки и расширения возможных вариантов подвески отечественных бомб необходима заводская переделка подкрыльных держателей под бомбы ФАБ-250 и ФАБ-500.</w:t>
      </w:r>
    </w:p>
    <w:p w14:paraId="7E7E5C6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Американский бомбардировочный прицел Д-8 не обеспечивает удобства работы сними точности бомбометания и значительно уступает нашим отечественным прицелам типа НКПБ-7&gt;.</w:t>
      </w:r>
    </w:p>
    <w:p w14:paraId="50AB11E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отличие от отечественных бомбардировщиков, кабина членов экипажа B-25-S была комфортабельной. Имелись даже обогреватели.</w:t>
      </w:r>
    </w:p>
    <w:p w14:paraId="4DD9A0C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Радиостанция обеспечивала очень хорошую связь, в том числе и при полете на предельную дальность. Проверку произвели на маршруте Чкаловская-Харабали (Астраханская область) общей протяженностью 2340 километров.</w:t>
      </w:r>
    </w:p>
    <w:p w14:paraId="30F8F8E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заключении Акта по результатам гос. испытаний рекомендовалось переделать американские под крыльевые бомбодержатели под отечественные бомбы ФАБ-100 и ФАБ-250 и заменить американский прицел Д-8 на отечественный НКПБ-7; снять носовые неподвижные пулеметы и установить сидение в передней кабине бомбардира; перекомпоновать имеющееся и установить дополнительное оборудование и приборы в кабине штурмана (3198).</w:t>
      </w:r>
    </w:p>
    <w:p w14:paraId="5A71D29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A8E3CA"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79379CA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5820F41" w14:textId="77777777" w:rsidR="00827943" w:rsidRPr="007224C3" w:rsidRDefault="0082794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27 по 29 мая 1944 года установку ИСУ-122 с версией Д-25 испытывали на полигоне 13-го учебного танкового полка в Челябинске. Установка успешно прошла испытания, её приняли на вооружение бронетанковые и механизированные войска РККА (18335).</w:t>
      </w:r>
    </w:p>
    <w:p w14:paraId="49902739" w14:textId="77777777" w:rsidR="00827943" w:rsidRPr="007224C3" w:rsidRDefault="0082794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Опытный образец строился на базе ИСУ-152 с корпусом выпуска завода №200, их прекратили выпускать в марте 1944 года (18335).</w:t>
      </w:r>
    </w:p>
    <w:p w14:paraId="3A3DA427" w14:textId="77777777" w:rsidR="00827943" w:rsidRPr="007224C3" w:rsidRDefault="00827943" w:rsidP="007224C3">
      <w:pPr>
        <w:spacing w:after="0" w:line="240" w:lineRule="auto"/>
        <w:jc w:val="both"/>
        <w:rPr>
          <w:rFonts w:ascii="Times New Roman" w:hAnsi="Times New Roman"/>
          <w:color w:val="000000" w:themeColor="text1"/>
          <w:sz w:val="16"/>
          <w:szCs w:val="16"/>
        </w:rPr>
      </w:pPr>
    </w:p>
    <w:p w14:paraId="69CF3BF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27 мая 1944 в Ленинграде был создан филиал ЦАКБ, который 8 марта 1945 г. стал ЦКБ-34 Для ЦКБ-34 характерна марка "СМ". </w:t>
      </w:r>
    </w:p>
    <w:p w14:paraId="4E3C5DB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1956 г. создана пушка СМ-54 (2А3) на самоходном шасси для стрельбы ядерными боеприпасами «Конденсатор» (калибр-406 мм, масса- 570 кг, макс. дальность стрельбы- 25,6 км).</w:t>
      </w:r>
    </w:p>
    <w:p w14:paraId="7CE4911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1965 г. ЦКБ-34 ГКОТ передано в ведение 4ГУ МОМ и по приказу от 6.03.1966 г. преобразовано в КБСМ (средств механизации).77 В 1970-80-е г. КБ специального машиностроения вновь вошло в МОМ (в ведении 4ГУ). Затем называлось МаЦКБ. Головное предприятие по наземному оборудованию для РКТ. По решению правительства № 22-р от 9.01.2004 г. и Указу Президента РФ № 1009 от 4.08.2004 г. ОАО вошло в число стратегических оборонных предприятий.</w:t>
      </w:r>
    </w:p>
    <w:p w14:paraId="679F2E7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Работы на 2002 г.: разработка наземного оборудования ракетно-космических комплексов наземного и мобильного базирования, антенные установки, прецизионные опорно-поворотные установки, оборудование для тепловакуумных камер для наземных испытаний РКТ, монтажно-стыковочное оборудование большой грузоподъемности, транспортные средства.</w:t>
      </w:r>
    </w:p>
    <w:p w14:paraId="60C6890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Имело филиал в КБОМ (г. Москва). </w:t>
      </w:r>
    </w:p>
    <w:p w14:paraId="3B83F72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Численность персонала (2002 г.) ~1900 чел.</w:t>
      </w:r>
    </w:p>
    <w:p w14:paraId="50ACBD8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конструктор (1950-60-е)- В.Г. Рудяк,58 (1970-е г.)- В. Степанов, Г.А. Белов.</w:t>
      </w:r>
    </w:p>
    <w:p w14:paraId="0DEFA64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гл. конструктор (2002 г.)- Н.А. Трофимов.</w:t>
      </w:r>
    </w:p>
    <w:p w14:paraId="3DCAE18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1-й зам. Начальника/ гл. инженер (2002 г.)- В.Г. Долбенков. Зам. Начальника по экономике (2002 г.)- И.В. Маркелов.69 </w:t>
      </w:r>
    </w:p>
    <w:p w14:paraId="2B3A31C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Работали: (1958 г.-)- Е.А. Угрюмов (нач. лаборатории).</w:t>
      </w:r>
    </w:p>
    <w:p w14:paraId="7293D12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Создано: палубная артустановка СМ-5 (конец 1940-х); СМ-2-1 (1950-е), СМ-6, СМ-33, СМ-31, СМ-59 (ПУ с «КСЩ» для эсминца пр. 56Э). ПУ: для БРПЛ: СМ-60 для Р-11ФМ и Р-13, СМ-87 для Р-21, для Р-27; СМ-64 для ЗРК «Волхов» М-2 (1957); СМ-44 (2П5) для РСЗО «Коршун» на шасси ЯАЗ-214, КрАЗ-214 (1955); для ККР КСЩ, «Аметист», «Малахит», «Оникс».58 </w:t>
      </w:r>
    </w:p>
    <w:p w14:paraId="2BCB40F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ЦКБ-34 МОП, МО, ГКОТ, КБ средств механизации (КБСМ) МОМ, МаЦКБ МОМ, ФГУП, ОАО «КБ Специального машиностроения» (КБСМ) </w:t>
      </w:r>
    </w:p>
    <w:p w14:paraId="2F8863B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194100 г. Ленинград, Санкт-Петербург Лесной пр., 64 тел. 245-51-13 (10776).</w:t>
      </w:r>
    </w:p>
    <w:p w14:paraId="1E65C2A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0E9B82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мая 1944 г. «для более успешного решения задач вооружения ВМФ» на основе группы конструкторов ЦАКБ во главе с И.И. Ивановым, которая была направлена на завод № 232 для освоения серийного выпуска пушки БС-3 весной 1944, был организован Ленинградский филиал ЦАКБ (ЦКБ-34 МОП, МО, ГКОТ, Морское артиллерийское КБ (МАКБ) НКВ, МАЦКБ, КБ средств механизации (КБСМ) MOM, ФГУП, ОАО «КБ Специального машиностроения» (КБСМ) /194100  г. Ленинград,  г. Санкт-Петербург Лесной пр-д, 64А, 64Б и ул. Бобруйская, 7, и ул. Кантемировская, 15А, 15Б, 17А тел. 245-51-13/). Пост. ГКО № 7739 от 8.03.1945 г. филиал преобразован в самостоятельное МАКБ в ведении НКВ для проектирования артиллерийских систем кораблей ВМФ. Затем называлось МАЦКБ, с 1948г, - ЦКБ-34.</w:t>
      </w:r>
    </w:p>
    <w:p w14:paraId="614B1D3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01.1945 г. начато проектирование 220-мм атиллерийской башни для крейсера пр. 82. В 1945 г. сюда из ЦАКБ переданы работы по 100-мм палубной артустановке С-44, здесь она переименована в СМ-5 («СМ» - фирменный индекс ЦКБ-34, возможно, «система морская»</w:t>
      </w:r>
      <w:r w:rsidRPr="007224C3">
        <w:rPr>
          <w:rFonts w:ascii="Times New Roman" w:hAnsi="Times New Roman"/>
          <w:color w:val="000000" w:themeColor="text1"/>
          <w:sz w:val="16"/>
          <w:szCs w:val="16"/>
          <w:vertAlign w:val="superscript"/>
        </w:rPr>
        <w:t>148</w:t>
      </w:r>
      <w:r w:rsidRPr="007224C3">
        <w:rPr>
          <w:rFonts w:ascii="Times New Roman" w:hAnsi="Times New Roman"/>
          <w:color w:val="000000" w:themeColor="text1"/>
          <w:sz w:val="16"/>
          <w:szCs w:val="16"/>
        </w:rPr>
        <w:t>). Приказом МВМС № 0059 от 11,05.1949 г. СМ-5-1 пнв.</w:t>
      </w:r>
    </w:p>
    <w:p w14:paraId="19ADA24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14.03.1946 г. выдано задание на модернизацию 3-орудийной 152-мм установки МК-5. Техпроект установки утвержден 23.09.1947 г., пост. СМ № 3850-1538 от 22.08.1952 г. башня МК-5бис пнв.</w:t>
      </w:r>
    </w:p>
    <w:p w14:paraId="35372D9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24.04.1948 г. было утверждено ТТЗ на разработку 305-мм пушки СМ-33 для тяжелого крейсера пр. 82, для нее совместно с КБ ЛМЗ велась разработка 3-орудийной башни СМ-31 (в 1953 г. разработка башни прекращена). 19.01.1955 г. вышло постановление правительства о создании на базе СМ-33 305-мм железнодорожной батареи СМ-41 с качающейся частью СМ-33 Т, вскоре по распоряжению Хрущева работы были прекращены.</w:t>
      </w:r>
    </w:p>
    <w:p w14:paraId="20DD1C1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конце 1940-х  г. КБ было привлечено к изучению немецкого опыта по созданию PC и пусковых установок. Разрабатывало ПУ для больших кораблей и ПЛ.</w:t>
      </w:r>
    </w:p>
    <w:p w14:paraId="5D8AE86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Разработана 180-мм пушка СМ-45 и 2-орудийная башня СМ-48 для крейсера пр. 84, пост, правительства от 25.08.1956 г. работы по ним прекращены.</w:t>
      </w:r>
    </w:p>
    <w:p w14:paraId="3502C00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1953 г. КБ поручена разработка ПУ для передвижного ЗРК С-75.</w:t>
      </w:r>
    </w:p>
    <w:p w14:paraId="458D11F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пр. МОП от 20.09.1955 г. КБ поручена разработка ПУ для ПКР «КСЩ» и ЗРК М-3; в 11.1956 г. был готов техпроект СМ-59, затем создана СМ-68. В 12.1956 г. выдано задание на разработку ПУ СМ-70 для ККР П-35.</w:t>
      </w:r>
    </w:p>
    <w:p w14:paraId="4FF66F7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приказу ГКОТ от 14.06.1960 г. начата разработка ШПУ «Шексна» для Р-16.</w:t>
      </w:r>
    </w:p>
    <w:p w14:paraId="3C1F206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1961 г. в ЦКБ переданы тематика и личный состав ликвидированного ОКБ-43.</w:t>
      </w:r>
    </w:p>
    <w:p w14:paraId="112B69D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1965 г. ЦКБ-34 ГКОТ передано в ведение 4ГУ MOM и по приказу от 6.03.1966 г. преобразовано в КБСМ (средств механизации).</w:t>
      </w:r>
      <w:r w:rsidRPr="007224C3">
        <w:rPr>
          <w:rFonts w:ascii="Times New Roman" w:hAnsi="Times New Roman"/>
          <w:color w:val="000000" w:themeColor="text1"/>
          <w:sz w:val="16"/>
          <w:szCs w:val="16"/>
          <w:vertAlign w:val="superscript"/>
        </w:rPr>
        <w:t>77</w:t>
      </w:r>
      <w:r w:rsidRPr="007224C3">
        <w:rPr>
          <w:rFonts w:ascii="Times New Roman" w:hAnsi="Times New Roman"/>
          <w:color w:val="000000" w:themeColor="text1"/>
          <w:sz w:val="16"/>
          <w:szCs w:val="16"/>
        </w:rPr>
        <w:t xml:space="preserve"> В 1970-80-е  г. КБ специального машиностроения вновь вошло в MOM (в ведении 4ГУ).</w:t>
      </w:r>
    </w:p>
    <w:p w14:paraId="4987FCB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1960-х  г. - головное предприятие по наземному оборудованию для РКТ стационарного и мобильного базирования для армии и флота. Создано 13 стартовых комплексов (СК). В 1980-е  г. создан стенд для определения давления на железнодорожное полотно при старте ракеты БЖРК.</w:t>
      </w:r>
    </w:p>
    <w:p w14:paraId="00F7381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Создан ряд антенн диаметром до 32 м, радиотелескоп с диаметром зеркала 70 м.</w:t>
      </w:r>
    </w:p>
    <w:p w14:paraId="272EF5D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1992 г. принимал участие в работах по переоборудованию ШПУ МБР 15Ж60 под ракету «Тополь-М». Для этого на экспериментальной базе был построен стенд-имитатор штатной ПУ СМ-Э316.</w:t>
      </w:r>
    </w:p>
    <w:p w14:paraId="4F99F0C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1990-х  г. на базе системы амортизации МБР в ШПУ разработана система сейсмозащиты АЭС и других экологически опасных объектов. Создан металлобетонированный контейнер для длительного хранения и транспортировки отработанного ядерного топлива и ЯЭУ.</w:t>
      </w:r>
    </w:p>
    <w:p w14:paraId="5FB6E60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Работы (2002 г.): разработка наземного оборудования ракетно-космических комплексов наземного и мобильного базирования, антенные установки, прецизионные опорно-поворотные установки, оборудование для тепловакуумных камер для наземных испытаний РКТ, монтажно-стыковочное оборудование большой грузоподъемности, транспортные средства.</w:t>
      </w:r>
    </w:p>
    <w:p w14:paraId="06A4B4D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Имело в своем составе КБ-4 (1970-е  г., работы по ШПУ, БЖРК). Имело филиал в КБОМ ( г. Москва).</w:t>
      </w:r>
    </w:p>
    <w:p w14:paraId="77BADC2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решению правительства № 22-р от 9.01.2004 г. и Указу Президента РФ № 1009 от 4.08.2004 г. ОАО вошло в число стратегических оборонных предприятий. Предприятие входило (2010 г.) в состав Концерна ПВО «Алмаз- Антей».</w:t>
      </w:r>
    </w:p>
    <w:p w14:paraId="569C662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составе экспериментальной базы имелся (2005 г.) комплексный стен грузоподъемностью 140 т для бросковых испытаний контейнеров.</w:t>
      </w:r>
      <w:r w:rsidRPr="007224C3">
        <w:rPr>
          <w:rFonts w:ascii="Times New Roman" w:hAnsi="Times New Roman"/>
          <w:color w:val="000000" w:themeColor="text1"/>
          <w:sz w:val="16"/>
          <w:szCs w:val="16"/>
          <w:vertAlign w:val="superscript"/>
        </w:rPr>
        <w:t>101</w:t>
      </w:r>
    </w:p>
    <w:p w14:paraId="490904E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рамках принятого осенью 2007 г. проекта создания Северо-Западного регионального центра (СЗРЦ) концерна «Алмаз-Антей» на базе Обуховского завода планировался перевод предприятия на его площадку.</w:t>
      </w:r>
    </w:p>
    <w:p w14:paraId="7A0DADA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Площадь территории (2010 г.)- 3,71 га.</w:t>
      </w:r>
    </w:p>
    <w:p w14:paraId="79CB4E5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Численность персонала (2002 г.) -1900 чел.</w:t>
      </w:r>
    </w:p>
    <w:p w14:paraId="0789FAE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конструктор (1944-50-е)- И.И. Иванов, (1950-е-69 г.-&gt; Е. Г. Рудяк {2.01.1908-4.04.1991 г.},</w:t>
      </w:r>
      <w:r w:rsidRPr="007224C3">
        <w:rPr>
          <w:rFonts w:ascii="Times New Roman" w:hAnsi="Times New Roman"/>
          <w:color w:val="000000" w:themeColor="text1"/>
          <w:sz w:val="16"/>
          <w:szCs w:val="16"/>
          <w:vertAlign w:val="superscript"/>
        </w:rPr>
        <w:t>58</w:t>
      </w:r>
      <w:r w:rsidRPr="007224C3">
        <w:rPr>
          <w:rFonts w:ascii="Times New Roman" w:hAnsi="Times New Roman"/>
          <w:color w:val="000000" w:themeColor="text1"/>
          <w:sz w:val="16"/>
          <w:szCs w:val="16"/>
        </w:rPr>
        <w:t xml:space="preserve"> (1970-е  г.)- B.C. Степанов,  Г.А. Белов, (1980-е-2003 г.)- А.Ф. Уткин. Ген. конструктор (2003-06 г.-)- Н.А. Трофимов.</w:t>
      </w:r>
    </w:p>
    <w:p w14:paraId="536B8E3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(1950-е)- И.И. Иванов, (2002 г.)- Н.А. Трофимов. Гендиректор (2006 г.)- Н.А. Трофимов.</w:t>
      </w:r>
    </w:p>
    <w:p w14:paraId="603CB2F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инженер (2002 г.)- В. Г. Долбенков.</w:t>
      </w:r>
    </w:p>
    <w:p w14:paraId="13A9C04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1-й зам. Начальника (2002 г.)- В. Г. Долбенков. Зам. Начальника по экономике (2002 г.)- И.В. Маркелов.</w:t>
      </w:r>
      <w:r w:rsidRPr="007224C3">
        <w:rPr>
          <w:rFonts w:ascii="Times New Roman" w:hAnsi="Times New Roman"/>
          <w:color w:val="000000" w:themeColor="text1"/>
          <w:sz w:val="16"/>
          <w:szCs w:val="16"/>
          <w:vertAlign w:val="superscript"/>
        </w:rPr>
        <w:t>69</w:t>
      </w:r>
    </w:p>
    <w:p w14:paraId="724195B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конструкторы: (1953 г.-)- Б.С. Коробов (ПУ С-75), (1950-е)- И.П. Шахов (СМ-71П), (1963 г.)- Б. Г. Бочков (СМ-97, -97А, -101, -107), (1972 г.)- А.Ф. Уткин (ШПУ для МР-УРЮО).</w:t>
      </w:r>
    </w:p>
    <w:p w14:paraId="5919835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Начальники отделов: КО (08.1944 г.-)- Т.Д. Вылкост.</w:t>
      </w:r>
    </w:p>
    <w:p w14:paraId="42D0962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Начальники лаборатории: (1958 г.-)- Е.А. Угрюмов.</w:t>
      </w:r>
    </w:p>
    <w:p w14:paraId="571DC93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Создано: пушки: 406-мм СМ-54 (2АЗ) на самоходном шасси для стрельбы ядерными боеприпасами «Конденсатор» (1956); морские: 45-мм зенитный автомат СМ-7 (1949), 180-мм СМ-45 (проект, 1956), 220-мм СМ- 40 для пр. 66 (1953), баллистический ствол СМ-Э77 для СМ-40 (1953), 305-мм СМ-33 (1950-е); артустановки: 2- орудийные: зенитная 45-мм СМ-16 (1949), ее нестабилизированный вариант СМ-17 (1949), палубная 100-мм СМ- 5-1 (пнв 11.05.1949 г.), 100-мм башенная СМ-52 (1955), 180-мм башенная СМ-48 (проект, 1956); 3-орудийные башенные: 152-мм МК-5бис (пнв 22.08.1952 г.), 220-мм СМ-6 для крейсера пр. 66 (проект, 1953), 305-мм СМ-31 (проект, 1950-53, совместно с КБ JIM3); 305-мм железнодорожная СМ-41 (1955, проект); СМ-2-1 (1950-е); командно-дальномерный пост КДП2-8 СМ-18 и СМ-18-1 для пр. 68К и 68бис (1940-е); ПУ: СМ-44 (2П5) для РСЗО «Коршун» на шасси ЯАЗ-214, КрАЗ-214 (1955); для ККР: СМ-58 для КСС крейсера пр. 67 (проект, 1955), СМ-59 для «КСЩ» эсминца пр. 56Э (1956), СМ-77 для П-7 (проект, 1950-е); СМ-64 для ЗРК «Волхов» М-2 крейсера пр. 70Э (1957), СМ-68 (СМ-64-1) для корабельного ЗРК М-3 (1957), СМ-69 и поворотная СМ-76 для П- 40 крейсера пр. 63 (проект, 1955-); СМ-70 (штатная), 4-х контейнерная СМ-82 (для наземнх испытаний) и СМЭ- 142 (опытового судна ОС-15) для П-35 (1959); для «Малахит», «Оникс»,</w:t>
      </w:r>
      <w:r w:rsidRPr="007224C3">
        <w:rPr>
          <w:rFonts w:ascii="Times New Roman" w:hAnsi="Times New Roman"/>
          <w:color w:val="000000" w:themeColor="text1"/>
          <w:sz w:val="16"/>
          <w:szCs w:val="16"/>
          <w:vertAlign w:val="superscript"/>
        </w:rPr>
        <w:t>58</w:t>
      </w:r>
      <w:r w:rsidRPr="007224C3">
        <w:rPr>
          <w:rFonts w:ascii="Times New Roman" w:hAnsi="Times New Roman"/>
          <w:color w:val="000000" w:themeColor="text1"/>
          <w:sz w:val="16"/>
          <w:szCs w:val="16"/>
        </w:rPr>
        <w:t xml:space="preserve"> ЗС14Э для "Club-N"; для БРПЛ: СМ-60 для Р-11ФМ и Р-13, СМ-87 для Р-21, для Р-27; СМ-97 (для ПЛ пр. 661), -97А (для ПЛ пр. 670А), -101 (для плавучего стенда), -107 (для ПЛ пр. 613А) для КР ПЛ П-70 «Аметист» (1963); СМ-71П для В-1000 системы ПРО «А» (1950-е); стартовая позиция комплекса «Шексна» для БР Р-16; ШПУ для Р-36 (1964), МР-УРЮО (1970-е), Р- 36М2 (1980-е); наземный комплекс для БР РТ-20П (1960-е); СК 5П85С для С-300П, 15П765-18Э для «Тополь-М», 15П761, 15П952 для БЖРК РТ-23 «Молодец» (1987), 15П961 для БЖРК РТ-23УТТХ (пнв в 1989 г.); артиллерийская часть ракетного комплекса «Филин» 2П4 (11982).</w:t>
      </w:r>
    </w:p>
    <w:p w14:paraId="2CBDE5E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C2A9ADB"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мая 1944 вышло Распоряжение ГКО № 5961 [Об обеспечении выполнения НКЭП задания по производству запасных частей для электростанций.] (7236, 113).</w:t>
      </w:r>
    </w:p>
    <w:p w14:paraId="59836A4C"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191BBE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мая 1944 вышло Распоряжение ГКО № 5962. О корректировке планов производства отдельных видов боеприпасов в связи с наличием достаточного запаса. РГАНИР, Фонд ГКО, д. 257, лл. 114-117,118-119 (11012).</w:t>
      </w:r>
    </w:p>
    <w:p w14:paraId="6EE3568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27B544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мая 1944 вышло Распоряжение ГКО № 5963. О дополнительном выделении автобензина Мосгорисполкому. РГАНИР, Фонд ГКО, д. 257, лл. 120 (11012).</w:t>
      </w:r>
    </w:p>
    <w:p w14:paraId="705E177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4B715F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мая 1944 Начаты государственные сдаточные испытания 2-го ТЩ типа МТ-1 на Балтийском заводе (10671).</w:t>
      </w:r>
    </w:p>
    <w:p w14:paraId="5ED331C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72A435D"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5B6721F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E8F297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мая 1944 нового успеха добился Большаков, доложивший о потоплении «6000-тонного транспорта» из состава конвоя, обнаруженного им севернее острова Осмуссаар. Один Ил-4 из крейсерского полета не вернулся. После гибели или перевода большинства старого состава 3-й эскадрильи на новую матчасть эффективность Ил-4 как торпедоносца резко упала, в то же время в эскадрильях «Бостонов» набрались опыта молодые кадры. В связи с этим не кажется удивительным, что на 11 успешных докладов в июне на 3-ю эскадрилью снова приходится лишь два - от Большакова, атаковавшего 4-го числа «7000-тонный транспорт» у западного побережья Сааремаа, и старшего лейтенанта Николаенко, «торпедировавшего» на следующий день одиночный транспорт в устье Финского залива. В том же месяце на долю эскадрильи Ил-4 выпала одна из самых необычных акций, имевших место за время войны - удар по плотине на реке Свирь (9965).</w:t>
      </w:r>
    </w:p>
    <w:p w14:paraId="7536BC8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FEB8260"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мая 1944 в ходе боев в Польше советские войска вынудили сдаться подразделения польской партизанской Армии Карёвой, которая боролась с немцами (4962).</w:t>
      </w:r>
    </w:p>
    <w:p w14:paraId="18F5761E"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BC11D30"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5A898E6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A2A038D"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мая 1944 в Париже состоялась премьера спектакля Жана-Поля Сартра “Выхода нет” (4962).</w:t>
      </w:r>
    </w:p>
    <w:p w14:paraId="68D72025"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7244F91" w14:textId="77777777" w:rsidR="00006324" w:rsidRPr="007224C3" w:rsidRDefault="00006324"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27 мая 1944 японцы наносят лишь незначительные воздушные удары по американским войскам, высадившимся в Биаке, повредив охотник за подводными лодками (20373). 29 мая 1944 авианосец сопровождения USS Block Island (CVE-21) торпедирован и потоплен немецкой подводной лодкой недалеко от Азорских островов. Это единственный авианосец ВМС США, потерянный в Атлантическом океане (20373).</w:t>
      </w:r>
    </w:p>
    <w:p w14:paraId="270D608B" w14:textId="77777777" w:rsidR="00006324" w:rsidRPr="007224C3" w:rsidRDefault="00006324" w:rsidP="007224C3">
      <w:pPr>
        <w:spacing w:after="0" w:line="240" w:lineRule="auto"/>
        <w:jc w:val="both"/>
        <w:rPr>
          <w:rFonts w:ascii="Times New Roman" w:hAnsi="Times New Roman"/>
          <w:color w:val="0070C0"/>
          <w:sz w:val="16"/>
          <w:szCs w:val="16"/>
        </w:rPr>
      </w:pPr>
    </w:p>
    <w:p w14:paraId="1FF9292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27 мая по 14 декабря 1944 прошла Хунань-Гуйлинская операция - попытка японских войск в Китае разгромить основные силы гоминдана. Китайцы и американцы потерпели поражение в Хунане. Японцы захватили 10 авиабаз и 36 аэродромов. Китайцы потеряли миллион чел. (2443,258).</w:t>
      </w:r>
    </w:p>
    <w:p w14:paraId="34AD4EE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B7FC08"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684CA72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FB4904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мая 1944 Дементьев и С.В.И. писали Г.М.М. и А.И.Ш. докладную записку "О поставке самолетов Ил-10":</w:t>
      </w:r>
    </w:p>
    <w:p w14:paraId="2D10C8B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"Ознакомившись в Куйбышеве с состоянием производства на заводах 1 и 18, считаем целесообразным самолеты Ил-10 ставить на производство одновременно на заводах 1 и 18.</w:t>
      </w:r>
    </w:p>
    <w:p w14:paraId="77F1002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Целесообразность постановки на производство самолетов Ил-10 одновременно на заводах 1 и 18 вызывается следующим:</w:t>
      </w:r>
    </w:p>
    <w:p w14:paraId="739FB2A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При освоении производства самолетов Ил-10 2-мя заводами позволит им лучше осуществить подготовку нового производства (изготовление оснастки, инструмента, приспособлений, штампов и пр.).</w:t>
      </w:r>
    </w:p>
    <w:p w14:paraId="5096A73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Подготовка производства при этом будет проведена более качественно.</w:t>
      </w:r>
    </w:p>
    <w:p w14:paraId="3E9A838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При запуске самолетов Ил-10 только на заводе 1 или на заводе 18, выпуск этих самолетов в этом году составит около 450 самолетов. При постановке же производства на 2-х заводах, выпуск самолетов Ил-10 в этом году составит 637 самолетов. Выпуск 637 самолетов 2-мя заводами является реальным.</w:t>
      </w:r>
    </w:p>
    <w:p w14:paraId="48B4F75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Освоение самолетов Ил-10 одновременно на двух заводах 1 и 18 даст возможность заводу 24 в более короткий срок осуществить переход на выпуск только моторов АМ-42. Заводы 1 и 18 смогут перейти в 1 кв. 1945 на выпуск только самолетов Ил-10, что позволит заводу 24 в этот же срок также перейти на производство одного типа мотора - АМ-42. выпуск самолетов Ил-10 заводом 1 или 18 вызовет необходимость продолжать на заводе 24 производство 2-х типов моторов - АМ-38 и АМ-42.</w:t>
      </w:r>
    </w:p>
    <w:p w14:paraId="61816C8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обеспечения подготовки и перехода заводов 1 и 18 на производство самолетов Ил-10, необходимо заводу 1 оставить существующий уровень выпуска, т.е. 11 самолетов в день, а заводу 18 установить выпуск 11 самолетов, вместо выпускаемых в настоящее время 15 самолетов в сутки.</w:t>
      </w:r>
    </w:p>
    <w:p w14:paraId="3D2DE33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Считаем возможным установить заводам 1 и 18 программу выпуска самолетов Ил-10 во 2 полугодии 1944 в количестве 637 самолетов, в т.ч.:</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5106D0" w:rsidRPr="007224C3" w14:paraId="1C294CDB" w14:textId="77777777">
        <w:tc>
          <w:tcPr>
            <w:tcW w:w="3757" w:type="dxa"/>
          </w:tcPr>
          <w:p w14:paraId="2472A33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5CEBBCC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1</w:t>
            </w:r>
          </w:p>
        </w:tc>
        <w:tc>
          <w:tcPr>
            <w:tcW w:w="3757" w:type="dxa"/>
          </w:tcPr>
          <w:p w14:paraId="5AB63C0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18</w:t>
            </w:r>
          </w:p>
        </w:tc>
      </w:tr>
      <w:tr w:rsidR="005106D0" w:rsidRPr="007224C3" w14:paraId="7D162D74" w14:textId="77777777">
        <w:tc>
          <w:tcPr>
            <w:tcW w:w="3757" w:type="dxa"/>
          </w:tcPr>
          <w:p w14:paraId="77763A8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августе</w:t>
            </w:r>
          </w:p>
        </w:tc>
        <w:tc>
          <w:tcPr>
            <w:tcW w:w="3757" w:type="dxa"/>
          </w:tcPr>
          <w:p w14:paraId="0DAF7BF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tc>
        <w:tc>
          <w:tcPr>
            <w:tcW w:w="3757" w:type="dxa"/>
          </w:tcPr>
          <w:p w14:paraId="2033C4E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tc>
      </w:tr>
      <w:tr w:rsidR="005106D0" w:rsidRPr="007224C3" w14:paraId="403743B4" w14:textId="77777777">
        <w:tc>
          <w:tcPr>
            <w:tcW w:w="3757" w:type="dxa"/>
          </w:tcPr>
          <w:p w14:paraId="56DAC34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сентябре</w:t>
            </w:r>
          </w:p>
        </w:tc>
        <w:tc>
          <w:tcPr>
            <w:tcW w:w="3757" w:type="dxa"/>
          </w:tcPr>
          <w:p w14:paraId="2182A30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w:t>
            </w:r>
          </w:p>
        </w:tc>
        <w:tc>
          <w:tcPr>
            <w:tcW w:w="3757" w:type="dxa"/>
          </w:tcPr>
          <w:p w14:paraId="2BB4554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w:t>
            </w:r>
          </w:p>
        </w:tc>
      </w:tr>
      <w:tr w:rsidR="005106D0" w:rsidRPr="007224C3" w14:paraId="4D440DA1" w14:textId="77777777">
        <w:tc>
          <w:tcPr>
            <w:tcW w:w="3757" w:type="dxa"/>
          </w:tcPr>
          <w:p w14:paraId="232D26D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октябре</w:t>
            </w:r>
          </w:p>
        </w:tc>
        <w:tc>
          <w:tcPr>
            <w:tcW w:w="3757" w:type="dxa"/>
          </w:tcPr>
          <w:p w14:paraId="163890E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w:t>
            </w:r>
          </w:p>
        </w:tc>
        <w:tc>
          <w:tcPr>
            <w:tcW w:w="3757" w:type="dxa"/>
          </w:tcPr>
          <w:p w14:paraId="131CA71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w:t>
            </w:r>
          </w:p>
        </w:tc>
      </w:tr>
      <w:tr w:rsidR="005106D0" w:rsidRPr="007224C3" w14:paraId="0B6B73B6" w14:textId="77777777">
        <w:tc>
          <w:tcPr>
            <w:tcW w:w="3757" w:type="dxa"/>
          </w:tcPr>
          <w:p w14:paraId="46CBAA4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ноябре</w:t>
            </w:r>
          </w:p>
        </w:tc>
        <w:tc>
          <w:tcPr>
            <w:tcW w:w="3757" w:type="dxa"/>
          </w:tcPr>
          <w:p w14:paraId="0E4F9ED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w:t>
            </w:r>
          </w:p>
        </w:tc>
        <w:tc>
          <w:tcPr>
            <w:tcW w:w="3757" w:type="dxa"/>
          </w:tcPr>
          <w:p w14:paraId="1F8D510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w:t>
            </w:r>
          </w:p>
        </w:tc>
      </w:tr>
      <w:tr w:rsidR="005106D0" w:rsidRPr="007224C3" w14:paraId="2894139A" w14:textId="77777777">
        <w:tc>
          <w:tcPr>
            <w:tcW w:w="3757" w:type="dxa"/>
          </w:tcPr>
          <w:p w14:paraId="3442B6A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декабре</w:t>
            </w:r>
          </w:p>
        </w:tc>
        <w:tc>
          <w:tcPr>
            <w:tcW w:w="3757" w:type="dxa"/>
          </w:tcPr>
          <w:p w14:paraId="7E650A1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150</w:t>
            </w:r>
          </w:p>
        </w:tc>
        <w:tc>
          <w:tcPr>
            <w:tcW w:w="3757" w:type="dxa"/>
          </w:tcPr>
          <w:p w14:paraId="0540F8C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150</w:t>
            </w:r>
          </w:p>
        </w:tc>
      </w:tr>
      <w:tr w:rsidR="005106D0" w:rsidRPr="007224C3" w14:paraId="61B40B1A" w14:textId="77777777">
        <w:tc>
          <w:tcPr>
            <w:tcW w:w="3757" w:type="dxa"/>
          </w:tcPr>
          <w:p w14:paraId="53C0CEB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итого:</w:t>
            </w:r>
          </w:p>
        </w:tc>
        <w:tc>
          <w:tcPr>
            <w:tcW w:w="3757" w:type="dxa"/>
          </w:tcPr>
          <w:p w14:paraId="26C71F2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317</w:t>
            </w:r>
          </w:p>
        </w:tc>
        <w:tc>
          <w:tcPr>
            <w:tcW w:w="3757" w:type="dxa"/>
          </w:tcPr>
          <w:p w14:paraId="4003828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320 (1816,113)</w:t>
            </w:r>
          </w:p>
        </w:tc>
      </w:tr>
    </w:tbl>
    <w:p w14:paraId="531AC0E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46763AA"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4D67535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FF5F22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мая 1944 вышло Постановление ГКО № 5964 О мерах по максимальному использованию местных продовольственно-промышленных ресурсов на территории Румынии, занятой частями КА. РГАНИР, Фонд ГКО, д. 257, лл. 121-124 (11012).</w:t>
      </w:r>
    </w:p>
    <w:p w14:paraId="6956793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574E05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мая 1944 Подписан приемный акт на 22-й БМО. Корабль, названный "Чкаловец", построен на средства, собранные молодежью Чкаловской области. В этот же день передан флоту 2-й ТЩ типа МТ-1 - балтийцев (построен за 11 мес. и 15 дней.) (10671).</w:t>
      </w:r>
    </w:p>
    <w:p w14:paraId="5FCE32C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47EF4B5"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157E734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F188AF6" w14:textId="77777777" w:rsidR="00353781" w:rsidRPr="007224C3" w:rsidRDefault="00353781"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28 мая</w:t>
      </w:r>
      <w:r w:rsidRPr="007224C3">
        <w:rPr>
          <w:rFonts w:ascii="Times New Roman" w:hAnsi="Times New Roman"/>
          <w:color w:val="000000" w:themeColor="text1"/>
          <w:sz w:val="16"/>
          <w:szCs w:val="16"/>
        </w:rPr>
        <w:t xml:space="preserve"> в 1944 году оперативная сводка Совинформбюро:</w:t>
      </w:r>
    </w:p>
    <w:p w14:paraId="5B97CCFE" w14:textId="77777777" w:rsidR="00353781" w:rsidRPr="007224C3" w:rsidRDefault="0035378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28 мая на фронтах существенных изменений не произошло. В воздушных боях и огнём зенитной артиллерии сбито 14 самолётов противника.</w:t>
      </w:r>
    </w:p>
    <w:p w14:paraId="69A00D01" w14:textId="77777777" w:rsidR="00353781" w:rsidRPr="007224C3" w:rsidRDefault="0035378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Нашими кораблями в Финском заливе потоплена немецкая подводная лодка.</w:t>
      </w:r>
    </w:p>
    <w:p w14:paraId="3C1FCC4F" w14:textId="77777777" w:rsidR="00353781" w:rsidRPr="007224C3" w:rsidRDefault="0035378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На днях корабли Краснознамённого Балтийского флота, находясь в дозоре около одного из островов в Финском заливе, обнаружили подводную лодку противника. Наши корабли немедленно атаковали и потопили немецкую подводную лодку.</w:t>
      </w:r>
    </w:p>
    <w:p w14:paraId="2AEDD096" w14:textId="77777777" w:rsidR="00353781" w:rsidRPr="007224C3" w:rsidRDefault="0035378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Северо-западнее города Тирасполь немцы ночью пытались вести разведку боем. Гвардейцы Н-ской части миномётным и пулемётным огнём нанесли противнику большие потери. Не достигнув переднего края нашей обороны, гитлеровцы в беспорядке отступили.</w:t>
      </w:r>
    </w:p>
    <w:p w14:paraId="0067D4D3" w14:textId="77777777" w:rsidR="00353781" w:rsidRPr="007224C3" w:rsidRDefault="0035378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2-м Украинском фронте группа немецких самолётов пыталась бомбардировать наши позиции. Старшина Марк Усов открыл из пулемёта огонь по самолётам противника. Один немецкий самолёт загорелся и врезался в землю. Красноармеец Иван Шивко огнём из винтовки подбил другой самолёт противника. Самолёт совершил посадку на нашей территории. У него оказался пробитым маслобак. Лётчик взят вплен.</w:t>
      </w:r>
    </w:p>
    <w:p w14:paraId="2A5C5D53" w14:textId="77777777" w:rsidR="00353781" w:rsidRPr="007224C3" w:rsidRDefault="0035378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Юго-восточнее города Витебск противник вновь пытался овладеть высотой, на днях занятой нашими подразделениями. Утром немецкая пехота с нескольких направлений атаковала наши позиции. Бойцы Н-ской части, оборонявшие высоту, встретили немцев сильным артиллерийско-миномётным и пулемётным огнём. Атака немцев захлебнулась. Поредевшие от нашего огня подразделения противника были вынуждены отойти на исходные рубежи. На поле боя подсчитано 230 вражеских трупов.</w:t>
      </w:r>
    </w:p>
    <w:p w14:paraId="3474F53F" w14:textId="77777777" w:rsidR="00353781" w:rsidRPr="007224C3" w:rsidRDefault="0035378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Партизанский отряд, действующий в Могилёвской области, 11 мая взорвал три автомашины и уничтожил находившихся в них гитлеровцев. Немецкое командование направило против партизан карательную экспедицию. Партизанская разведка своевременно обнаружила противника. Совершив обходный манёвр, советские патриоты атаковали карательный отряд с фланга и разгромили его. Немцы, прижатые к реке, пытались спастись вплавь, но были истреблены метким огнём. В этом бою партизаны уничтожили не менее роты гитлеровцев и захватили пленных.</w:t>
      </w:r>
    </w:p>
    <w:p w14:paraId="05F14DAE" w14:textId="77777777" w:rsidR="00353781" w:rsidRPr="007224C3" w:rsidRDefault="0035378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После тяжёлых поражений немецкой армии на советско-германском фронте гитлеровцы с помощью крутых и свирепых полицейских мер провели в Эльзасе и Лотарингии военную мобилизацию. Многие французы, насильно призванные в немецкую армию, переходят на сторону Красной Армии.</w:t>
      </w:r>
    </w:p>
    <w:p w14:paraId="153DACE2" w14:textId="77777777" w:rsidR="00353781" w:rsidRPr="007224C3" w:rsidRDefault="0035378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Солдат 28 легко-пехотной немецкой дивизии француз из Лотарингии Жозеф Б. рассказал: «Немцы выслали моих родителей в Силезию. Они находятся там в ужасных условиях и выполняют самые тяжёлые работы. Немцы поработили нашу родину. Понятно, что ни один честный француз не будет служить в немецкой армии. Я и мои друзья Анри, Шарль и Эжен находились в одном окопе. С нами был немец. Рано утром, когда немец отлучился, мы, захватив ссобой винтовки, перебежали к русским».</w:t>
      </w:r>
    </w:p>
    <w:p w14:paraId="7A1E1511" w14:textId="77777777" w:rsidR="00353781" w:rsidRPr="007224C3" w:rsidRDefault="0035378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Пленный солдат 454 немецкой охранной дивизии Пьер В. рассказал: «Я служил во французской армии и 14 июня 1940 года попал в немецкий плен. В лагере для военнопленных немцы всячески оскорбляли нас. Десятки раз на день они говорили,что французы — это не люди, а животные, а французские военнопленные даже хуже животных. Однако в 1943 г. во время мобилизации нас призвали в немецкую армию. Провожая в армию, родные говорили мне: «Не забудь, что ты француз». Попав на советско-германский фронт, я оказался у русских. Мой долг сражаться за освобождение Франции».</w:t>
      </w:r>
    </w:p>
    <w:p w14:paraId="6F1B2B81" w14:textId="77777777" w:rsidR="00353781" w:rsidRPr="007224C3" w:rsidRDefault="0035378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Пленный солдат 14 немецкой дивизии француз из Эльзаса Леон Д. заявил: «Когда вести о первых успехах Красной Армии докатились до Эльзаса, население ликовало. Французские патриоты приветствовали друг друга и говорили: «Наконец-то нашлась такая армия, которая бьёт немцев». Все эльзасцы знают о победах Красной Армии и с большим уважением называют её полководцев» (14905).</w:t>
      </w:r>
    </w:p>
    <w:p w14:paraId="0060D74C" w14:textId="77777777" w:rsidR="00353781" w:rsidRPr="007224C3" w:rsidRDefault="00353781" w:rsidP="007224C3">
      <w:pPr>
        <w:spacing w:after="0" w:line="240" w:lineRule="auto"/>
        <w:jc w:val="both"/>
        <w:rPr>
          <w:rFonts w:ascii="Times New Roman" w:hAnsi="Times New Roman"/>
          <w:color w:val="000000" w:themeColor="text1"/>
          <w:sz w:val="16"/>
          <w:szCs w:val="16"/>
        </w:rPr>
      </w:pPr>
    </w:p>
    <w:p w14:paraId="1E30339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28 мая 1944 1-й иап "Варшава" на Як-1, созданный в начале сентября 1943, стал полностью боеготовым. 3 июня в составе 43 машин 1-й иап "Варшава" перебазировался на аэродром Гостомель под Киевом. В ходе непосредственной подготовки к боевым действиям 7 июня полк получил еще 15 Як-1, а в конце июля сдал такое же количество выработавших ресурс самолетов.</w:t>
      </w:r>
    </w:p>
    <w:p w14:paraId="3A37C51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 июля 1944 г. полк выполнил первое задание: пара "Яков" сопровождала Л и-2. Чтобы помочь составу "Варшавы" освоиться в боевой обстановке 22 июля к ним прибыли 10 советских летчиков из 233-го иап "Минск", которые вылетали на задания вместе с поляками. Первый боевой вылет состоялся 23 августа 1944 г. Для сопровождения и прикрытия двух штурмовиков Ил-2 из польского 3-го шап вылетели две пары 1-го и одна пара 233-го иап. К этому времени 1-й иап Архив Л. Угрюмова "Варшава" состоял из трех эскадрилий по 12 самолетов, трех машин управления полка и двух запасных. Всего 41 самолет Як-1.</w:t>
      </w:r>
    </w:p>
    <w:p w14:paraId="0890725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процессе боевых действий польские летчики выполняли задания по прикрытию штурмовиков, атаке наземных целей, ведению воздушной разведки. В связи с малой активностью немецкой авиации полку "Варшава" практически не приходилось вести воздушных боев. Единственным сбитым Як-1 немецким самолетом был FW. 189 (отличился капитан М. Конечный). До 22 января 1945 г. (когда полк начал переучиваться на Як-9) на истребителях Як-1 было выполнено 620 боевых вылетов, в том числе: на прикрытие штурмовиков - 275, на разведку - 125, на прикрытие войск и переправ - 139, на фоторазведку (для этого на некоторых самолетах установили АФА-1М) - 54, на другие задания - 27 вылетов. Свои потери составили шесть машин, из которых одна сгорела в учебном полете при пожаре в воздухе, две были сбиты зенитной артиллерией, а остальные подбиты ею и разбиты при вынужденных посадках. Последний боевой вылет на Як-1 зафиксирован 3 мая 1945 г. К этому времени в полку оставалось 23 самолета такого типа. После войны они постепенно списывались по износу или сдавались в ремонтные части. Во второй половине 1946 г. часть из них возвратилась из ремонта, но вскоре их заменили новыми Як-9М и Як-9Т.</w:t>
      </w:r>
    </w:p>
    <w:p w14:paraId="287F914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Непродолжительное время Як-1 находился на вооружении других польских авиационных частей. В конце сентября - начале октября 1944 г. такие самолеты получили сформированные на основе советских 248-го и 246-го иап польские 9-й и 10-й иап (13 и 25 самолетов соответственно). Но меньше чем через месяц эти полки перевооружили самолетами Як-9. С января по май 1945 г. один Як-1 числился в управлении польского 1-го смешанного авиационного корпуса и до 24 машин находилось в составе 15-го отдельного зап, сформированного на базе советского 18-го утап. От 10 до 15 машин было в октябре 1945 г. в военном авиационном училище. С октября 1945 г. по февраль 1946 г. один Як-1 находился в 1-м смешанном утап, а в 1946 г. по одному Як-1 было в управлениях польских авиационных дивизий: 1-й бад, 2-й шад, 3-й над. 4-й сад. Один из списанных в январе 1946 г. самолетов Як-1 (№ 01189) несколько лет экспонировался в Музее Войска Польского (12048).</w:t>
      </w:r>
    </w:p>
    <w:p w14:paraId="40F44B0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6EFDC6E"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Внешняя политика:</w:t>
      </w:r>
    </w:p>
    <w:p w14:paraId="6AE8565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E44C3C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rPr>
        <w:t>28 мая 1944 года советское правительство запросило еще 80 л/л "Номад". Этазаявкатакжебылаудовлетворена</w:t>
      </w:r>
      <w:r w:rsidRPr="007224C3">
        <w:rPr>
          <w:rFonts w:ascii="Times New Roman" w:hAnsi="Times New Roman"/>
          <w:color w:val="000000" w:themeColor="text1"/>
          <w:sz w:val="16"/>
          <w:szCs w:val="16"/>
          <w:lang w:val="en-US"/>
        </w:rPr>
        <w:t xml:space="preserve"> (3457,127).</w:t>
      </w:r>
    </w:p>
    <w:p w14:paraId="5F17C5D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E0CCE00"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7224C3">
        <w:rPr>
          <w:rFonts w:ascii="Times New Roman" w:hAnsi="Times New Roman"/>
          <w:i/>
          <w:iCs/>
          <w:color w:val="000000" w:themeColor="text1"/>
          <w:sz w:val="16"/>
          <w:szCs w:val="16"/>
        </w:rPr>
        <w:t>За</w:t>
      </w:r>
      <w:r w:rsidRPr="007224C3">
        <w:rPr>
          <w:rFonts w:ascii="Times New Roman" w:hAnsi="Times New Roman"/>
          <w:i/>
          <w:iCs/>
          <w:color w:val="000000" w:themeColor="text1"/>
          <w:sz w:val="16"/>
          <w:szCs w:val="16"/>
          <w:lang w:val="en-US"/>
        </w:rPr>
        <w:t xml:space="preserve"> </w:t>
      </w:r>
      <w:r w:rsidRPr="007224C3">
        <w:rPr>
          <w:rFonts w:ascii="Times New Roman" w:hAnsi="Times New Roman"/>
          <w:i/>
          <w:iCs/>
          <w:color w:val="000000" w:themeColor="text1"/>
          <w:sz w:val="16"/>
          <w:szCs w:val="16"/>
        </w:rPr>
        <w:t>рубежом</w:t>
      </w:r>
      <w:r w:rsidRPr="007224C3">
        <w:rPr>
          <w:rFonts w:ascii="Times New Roman" w:hAnsi="Times New Roman"/>
          <w:i/>
          <w:iCs/>
          <w:color w:val="000000" w:themeColor="text1"/>
          <w:sz w:val="16"/>
          <w:szCs w:val="16"/>
          <w:lang w:val="en-US"/>
        </w:rPr>
        <w:t>:</w:t>
      </w:r>
    </w:p>
    <w:p w14:paraId="3C479F2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22B0999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May 28th, 1944: The US 8th Air Force attacks synthetic fuel-producing plants at Leuna-Meseburg (3819).</w:t>
      </w:r>
    </w:p>
    <w:p w14:paraId="6C021A1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7AEC59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мая 1944 8ВА США выполнила налет на завод синтетического горючего в Леуна-Месебург (3819).</w:t>
      </w:r>
    </w:p>
    <w:p w14:paraId="76DEC30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EC3AC8"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3397EBB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639A16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мая 1944 Зам. Нач. 7ГУ Алексеев подготовил сводку г-7 № 7024 о ходе испытаний высотных самолетов на 26-28 мая 1944 по Як-9 М-105ПД, Ла-5 АШ-82ФН и 2ТК-3, МиГ АМ-39А и 2ТК-2Б (1825).</w:t>
      </w:r>
    </w:p>
    <w:p w14:paraId="4BF16D1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ВЫСОТНЫЙ ИСТРЕБИТЕЛЬ Як-9 с М-105ПД</w:t>
      </w:r>
    </w:p>
    <w:p w14:paraId="07F2FD8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находится в ЛИИ не в летном состоянии. Мотер с самолета снят, новый мотор ожидается из ЦИАМ'а к 1 июня с.г.</w:t>
      </w:r>
    </w:p>
    <w:p w14:paraId="0FF5B6C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ИСТРЕБИТЕЛЬ Ла-5 с АШ-82ФН и 2ТК-3</w:t>
      </w:r>
    </w:p>
    <w:p w14:paraId="6072D99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мая произведен полет на высоту 10500 мт. Вследствие выбивания масла из под левого синхрони</w:t>
      </w:r>
      <w:r w:rsidRPr="007224C3">
        <w:rPr>
          <w:rFonts w:ascii="Times New Roman" w:hAnsi="Times New Roman"/>
          <w:color w:val="000000" w:themeColor="text1"/>
          <w:sz w:val="16"/>
          <w:szCs w:val="16"/>
        </w:rPr>
        <w:softHyphen/>
        <w:t>затора и попадания его на горячие патрубки, что вызвало появление дыма в кабине пилота, полет был прекращен.Давление бензина на наборе высоты нор</w:t>
      </w:r>
      <w:r w:rsidRPr="007224C3">
        <w:rPr>
          <w:rFonts w:ascii="Times New Roman" w:hAnsi="Times New Roman"/>
          <w:color w:val="000000" w:themeColor="text1"/>
          <w:sz w:val="16"/>
          <w:szCs w:val="16"/>
        </w:rPr>
        <w:softHyphen/>
        <w:t>мальное, при горизонтальных полетах - падает.Дефекты к конц,у дня были устранены. Самолет готов к полету.</w:t>
      </w:r>
    </w:p>
    <w:p w14:paraId="3112977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мая полетов не было ввиду нелетной погоды. Отсутствие резервных свечей АФ-130 ставит под угрозу дальнейшее проведение летных испытаний, т.к. свечи требуют частой замены из-за их отказов в ра</w:t>
      </w:r>
      <w:r w:rsidRPr="007224C3">
        <w:rPr>
          <w:rFonts w:ascii="Times New Roman" w:hAnsi="Times New Roman"/>
          <w:color w:val="000000" w:themeColor="text1"/>
          <w:sz w:val="16"/>
          <w:szCs w:val="16"/>
        </w:rPr>
        <w:softHyphen/>
        <w:t>боте. О необходимости доставить срочно свечи постав</w:t>
      </w:r>
      <w:r w:rsidRPr="007224C3">
        <w:rPr>
          <w:rFonts w:ascii="Times New Roman" w:hAnsi="Times New Roman"/>
          <w:color w:val="000000" w:themeColor="text1"/>
          <w:sz w:val="16"/>
          <w:szCs w:val="16"/>
        </w:rPr>
        <w:softHyphen/>
        <w:t>лен в известность Заместитель Начальника 8 Гл.Управ</w:t>
      </w:r>
      <w:r w:rsidRPr="007224C3">
        <w:rPr>
          <w:rFonts w:ascii="Times New Roman" w:hAnsi="Times New Roman"/>
          <w:color w:val="000000" w:themeColor="text1"/>
          <w:sz w:val="16"/>
          <w:szCs w:val="16"/>
        </w:rPr>
        <w:softHyphen/>
        <w:t>ления тов. ВОЛИКОВ.</w:t>
      </w:r>
    </w:p>
    <w:p w14:paraId="3149F57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ИСТРЕБИТЕЛЬ МИГ с АМ-39Б И 2ТК-2Б.</w:t>
      </w:r>
    </w:p>
    <w:p w14:paraId="7D59CCE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мая производились работы по монтажу нового воздухо-воздушного радиатора на самолете.</w:t>
      </w:r>
    </w:p>
    <w:p w14:paraId="7915FC5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мая производилась отработка винтомоторной группы на земле, дефектов в ее работе не обнаружено.</w:t>
      </w:r>
    </w:p>
    <w:p w14:paraId="5B7DF0A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в летном состоянии, полетов не было, т.к. летчик тов. ЯКИМОВ был болен.Контрольный полет назна</w:t>
      </w:r>
      <w:r w:rsidRPr="007224C3">
        <w:rPr>
          <w:rFonts w:ascii="Times New Roman" w:hAnsi="Times New Roman"/>
          <w:color w:val="000000" w:themeColor="text1"/>
          <w:sz w:val="16"/>
          <w:szCs w:val="16"/>
        </w:rPr>
        <w:softHyphen/>
        <w:t>чен на 29 мая с.г. (1825).</w:t>
      </w:r>
    </w:p>
    <w:p w14:paraId="098694F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0E384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мая 1944 на МиГ АМ-39Б + 2ТК-2Б было выполнено 2 полета с заданием определения высотности на первой скорости нагнетателя. Первый - 0:32 до 6300, 2-й - 0:37 до 7300, т.к. ТК вышел из строя (1825).</w:t>
      </w:r>
    </w:p>
    <w:p w14:paraId="3B90CBA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E104A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мая 1944 МИГ с АМ-39Б И 2ТК-2Б было произведены два полета. Первый полет производился с заданием определить высотность самолета на первой скорос</w:t>
      </w:r>
      <w:r w:rsidRPr="007224C3">
        <w:rPr>
          <w:rFonts w:ascii="Times New Roman" w:hAnsi="Times New Roman"/>
          <w:color w:val="000000" w:themeColor="text1"/>
          <w:sz w:val="16"/>
          <w:szCs w:val="16"/>
        </w:rPr>
        <w:softHyphen/>
        <w:t>ти нагнетателя с полностью включенным ТК. Полет продол</w:t>
      </w:r>
      <w:r w:rsidRPr="007224C3">
        <w:rPr>
          <w:rFonts w:ascii="Times New Roman" w:hAnsi="Times New Roman"/>
          <w:color w:val="000000" w:themeColor="text1"/>
          <w:sz w:val="16"/>
          <w:szCs w:val="16"/>
        </w:rPr>
        <w:softHyphen/>
        <w:t>жался 32 мин., высота в полете - 6300 мт. Задание не выполнено, полет был прекращен из-за падения давления бензина. Для предупреждения в дальнейшем дефекта по произвольному падению давления бензина в полете, вызван представитель завода № 451. Второй полет производился на повторение первого задания. Продолжительность полета - 37 мин., высота - 8000 мт. На высоте 7300 мт вышел из строя ТК и дальнейшее выполне</w:t>
      </w:r>
      <w:r w:rsidRPr="007224C3">
        <w:rPr>
          <w:rFonts w:ascii="Times New Roman" w:hAnsi="Times New Roman"/>
          <w:color w:val="000000" w:themeColor="text1"/>
          <w:sz w:val="16"/>
          <w:szCs w:val="16"/>
        </w:rPr>
        <w:softHyphen/>
        <w:t xml:space="preserve">ние </w:t>
      </w:r>
      <w:r w:rsidRPr="007224C3">
        <w:rPr>
          <w:rFonts w:ascii="Times New Roman" w:hAnsi="Times New Roman"/>
          <w:color w:val="000000" w:themeColor="text1"/>
          <w:sz w:val="16"/>
          <w:szCs w:val="16"/>
        </w:rPr>
        <w:lastRenderedPageBreak/>
        <w:t>задания летчиком было прекращено. После посадки при внешнем осмотре, обнаружено заклинение крыльчатки ТК. Оба ТК с самолета сняты и отправлены в ЦИАМ для раз</w:t>
      </w:r>
      <w:r w:rsidRPr="007224C3">
        <w:rPr>
          <w:rFonts w:ascii="Times New Roman" w:hAnsi="Times New Roman"/>
          <w:color w:val="000000" w:themeColor="text1"/>
          <w:sz w:val="16"/>
          <w:szCs w:val="16"/>
        </w:rPr>
        <w:softHyphen/>
        <w:t>борки и установления причин заклинения крыльчатки (1825).</w:t>
      </w:r>
    </w:p>
    <w:p w14:paraId="1F7B7B3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F32C7F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мая 1944 вышло еще одно постановления ГКО (первое было выпущено 18 февраля 1944), по которому головным ведомством по созданию РД стал НКАП, а ранее выполнявший эти функции ГИРТ при СНК был упразднен и вместо него был создан НИИ-1 (нач. П.И.Федоров, зам. В.Ф.Болховитинов), куда попала и группа А.М.Люльки и группа Глушко с 16 завода, а также завод 293 (173,229).</w:t>
      </w:r>
    </w:p>
    <w:p w14:paraId="3A2D560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49E61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мая 1944 вышел приказ НКАП N 364, по которому директором НИИРА назначили П.И.Федорова, а В.И.Поликовского послали руководить ВИАМ (2393,23).</w:t>
      </w:r>
    </w:p>
    <w:p w14:paraId="460DE0B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73BCC1"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7C1D08E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0EABEF7" w14:textId="77777777" w:rsidR="00552857" w:rsidRPr="007224C3" w:rsidRDefault="0055285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мая 1944 г. ОТВЕТ НАРОДНОГО КОМИССАРА БОЕПРИПАСОВ СОЮЗА ССР Б.Л. ВАННИКОВА СЕКРЕТАРЮ НОВОСИБИРСКОГО ОБКОМА ВКП(б) М.В. КУЛАГИНУ О СТРОИТЕЛЬСТВЕ КУЛЬТУРНО-БЫТОВЫХ УЧРЕЖДЕНИЙ НА ЗАВОДЕ № 635</w:t>
      </w:r>
    </w:p>
    <w:p w14:paraId="48ACBCC2" w14:textId="77777777" w:rsidR="00552857" w:rsidRPr="007224C3" w:rsidRDefault="0055285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Секретарю Новосибирского обкома ВКП(б) тов. Кулагину М.В.</w:t>
      </w:r>
    </w:p>
    <w:p w14:paraId="25D22CB4" w14:textId="77777777" w:rsidR="00552857" w:rsidRPr="007224C3" w:rsidRDefault="0055285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Ваше письмо о строительстве культурно-бытовых учреждений на заводе № 635 сообщаю: Наркомат боеприпасов предусматривает выделение заводу № 635 на культурно-бытовое строительство в 1944 году 1 600 тысяч рублей, в том числе: на строительство больницы — 380 тыс. рублей; на строительство детских яслей — 314 тыс. рублей; на строительство детского сада - 250 тыс. рублей; на строительство бани - 250 тыс. рублей; на строительство прачечной - 250 тыс. рублей, с окончанием этих объектов в июне - августе 1944 года. За счет ассигнований завода N° 386 и № 635 намечается строительство во II—III кварталах дома для советских учреждений и организация к тому же сроку дома отдыха для обслуживания рабочих этих заводов. Ввиду ограниченности материальных ресурсов строительство клуба на заводе № 635 в 1944 году осуществить не представляется возможным.</w:t>
      </w:r>
    </w:p>
    <w:p w14:paraId="0B09CC9C" w14:textId="77777777" w:rsidR="00552857" w:rsidRPr="007224C3" w:rsidRDefault="0055285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Нарком боеприпасов Б. Ванников</w:t>
      </w:r>
    </w:p>
    <w:p w14:paraId="11FB40A3" w14:textId="77777777" w:rsidR="00552857" w:rsidRPr="007224C3" w:rsidRDefault="0055285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ГАНО. Ф. П-4. Оп. 6. Д. 454. Л. 39. Подлинник.</w:t>
      </w:r>
    </w:p>
    <w:p w14:paraId="6EEB5706" w14:textId="77777777" w:rsidR="00552857" w:rsidRPr="007224C3" w:rsidRDefault="0055285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Подпись-автограф Б.Л. Ванникова. В верхнем левом углу - штамп НКБ СССР с гербом. На штампе дата: «29.V.1944 г.» (12194).</w:t>
      </w:r>
    </w:p>
    <w:p w14:paraId="557668A8" w14:textId="77777777" w:rsidR="00552857" w:rsidRPr="007224C3" w:rsidRDefault="00552857" w:rsidP="007224C3">
      <w:pPr>
        <w:spacing w:after="0" w:line="240" w:lineRule="auto"/>
        <w:jc w:val="both"/>
        <w:rPr>
          <w:rFonts w:ascii="Times New Roman" w:hAnsi="Times New Roman"/>
          <w:color w:val="000000" w:themeColor="text1"/>
          <w:sz w:val="16"/>
          <w:szCs w:val="16"/>
        </w:rPr>
      </w:pPr>
    </w:p>
    <w:p w14:paraId="3A99C907"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мая 1944 вышло Распоряжение ГКО № 5965 [О сохранении за Наркомстроем гидротехнических работ, осуществляемых трестом "Алтайстрой".] (7236, 125).</w:t>
      </w:r>
    </w:p>
    <w:p w14:paraId="38C1DCC6"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03F597F"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мая 1944 вышло Распоряжение ГКО № 5966 [О демобилизации 24 архитекторов и инженеров для укомплектования Комитета по делам архитектуры при СНК СССР.] (7236, 126,127-129).</w:t>
      </w:r>
    </w:p>
    <w:p w14:paraId="19590E24"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8804CF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мая 1944 вышло Постановление ГКО № 5967 О материально-техническом обеспечении производства автомобилей, запасных частей к ним, автомобильных прицепов и электрооборудования во II квартале 1944 г. РГАНИР, Фонд ГКО, д. 257, лл. 130-143,144-155 (11012).</w:t>
      </w:r>
    </w:p>
    <w:p w14:paraId="3D15E91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C9D0F2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мая 1944 Поднят Военно-морской флаг СССР на БК пр. 1124 (II серии), построенном волжским заводом (водоизмещение 54,7 т, осадка около 0,85 м, скорость максимальная 19,4 узла). Начаты государственные испытания второго ТЩ типа МТ-1 постройки Петрозавода. На аварийно-боевом ремонте находилось пять БМО (бортовые номера 501, 502, 508, 514 и 515) (10671).</w:t>
      </w:r>
    </w:p>
    <w:p w14:paraId="005C174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7F4CD49" w14:textId="77777777" w:rsidR="00353781"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35745DF6" w14:textId="77777777" w:rsidR="00353781" w:rsidRPr="007224C3" w:rsidRDefault="00353781"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C457292" w14:textId="77777777" w:rsidR="00353781" w:rsidRPr="007224C3" w:rsidRDefault="00353781"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29 мая</w:t>
      </w:r>
      <w:r w:rsidRPr="007224C3">
        <w:rPr>
          <w:rFonts w:ascii="Times New Roman" w:hAnsi="Times New Roman"/>
          <w:color w:val="000000" w:themeColor="text1"/>
          <w:sz w:val="16"/>
          <w:szCs w:val="16"/>
        </w:rPr>
        <w:t xml:space="preserve"> в 1944 году оперативная сводка Совинформбюро:</w:t>
      </w:r>
    </w:p>
    <w:p w14:paraId="1F491A77" w14:textId="77777777" w:rsidR="00353781" w:rsidRPr="007224C3" w:rsidRDefault="0035378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29 мая на фронтах существенных изменений не произошло. За 28 мая в воздушных боях и огнём зенитной артиллерии сбито 33 самолёта противника.»</w:t>
      </w:r>
    </w:p>
    <w:p w14:paraId="52890F63" w14:textId="77777777" w:rsidR="00353781" w:rsidRPr="007224C3" w:rsidRDefault="0035378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Массированный удар нашей авиации по аэродромам противника:</w:t>
      </w:r>
    </w:p>
    <w:p w14:paraId="6F201FBB" w14:textId="77777777" w:rsidR="00353781" w:rsidRPr="007224C3" w:rsidRDefault="0035378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«Сегодня утром наша авиация произвела массированный удар по аэродромам противника в районе городов Роман и Хуши (Румыния). В момент налёта на этих аэродромах находилось много немецких самолётов. Наши лётчики подавили зенитную артиллерию и с нескольких заходов бомбами и пушечно-пулемётным огнём уничтожили и повредили не менее 60 самолётов противника.</w:t>
      </w:r>
    </w:p>
    <w:p w14:paraId="3E6E2FD0" w14:textId="77777777" w:rsidR="00353781" w:rsidRPr="007224C3" w:rsidRDefault="0035378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 наши самолёты вернулись на свои базы.»</w:t>
      </w:r>
    </w:p>
    <w:p w14:paraId="242D012D" w14:textId="77777777" w:rsidR="00353781" w:rsidRPr="007224C3" w:rsidRDefault="0035378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«Северо-западнее города Луцк на одном участке противник атаковал наше подразделение. Ценою больших потерь немцам удалось приблизиться к переднему краю советской обороны и ворваться в траншеи. Завязалась рукопашная схватка. В это время к месту боя подоспела рота автоматчиков под командованием капитана Голованова и контратаковала противника. Оставив в траншеях 40 трупов и более 70 раненых солдат, немцы поспешно отступили. Наши бойцы захватили миномёт, 6 пулемётов и 52 винтовки.</w:t>
      </w:r>
    </w:p>
    <w:p w14:paraId="6D92E12E" w14:textId="77777777" w:rsidR="00353781" w:rsidRPr="007224C3" w:rsidRDefault="0035378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Юго-восточнее города Станислав отряды гитлеровцев пытались вести разведку боем. Ружейно-пулемётным огнём наши подразделения рассеяли противника. Немцы потеряли убитыми до 200 своих солдат и офицеров. Взяты пленные.</w:t>
      </w:r>
    </w:p>
    <w:p w14:paraId="36D586A4" w14:textId="77777777" w:rsidR="00353781" w:rsidRPr="007224C3" w:rsidRDefault="0035378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Советские зенитчики, отражая налёты вражеской авиации на расположение наших войск, сбили 5 немецких самолётов.</w:t>
      </w:r>
    </w:p>
    <w:p w14:paraId="389B0ED4" w14:textId="77777777" w:rsidR="00353781" w:rsidRPr="007224C3" w:rsidRDefault="0035378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Юго-восточнее города Витебск воздушной разведкой была обнаружена переправа противника через один водный рубеж. Советские лётчики получили приказ разбить эту переправу. Подойдя ночью к реке с заглушёнными моторами, наши лётчики прямым попаданием бомб разрушили переправу. Уничтожено 10 немецких автомашин, находившихся около переправы.</w:t>
      </w:r>
    </w:p>
    <w:p w14:paraId="2F94BF45" w14:textId="77777777" w:rsidR="00353781" w:rsidRPr="007224C3" w:rsidRDefault="0035378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мая тридцать немецких самолётов пытались произвести налёт на один наш военный объект в Финском заливе. Огнём зенитной артиллерии и истребителями Краснознамённого Балтийского флота самолёты противника были рассеяны. В воздушных боях сбиты пять немецких истребителей и один бомбардировщик. Кроме того, огнём зенитной артиллерии уничтожены два бомбардировщика противника. Наша авиация потерь не имела.</w:t>
      </w:r>
    </w:p>
    <w:p w14:paraId="787A9540" w14:textId="77777777" w:rsidR="00353781" w:rsidRPr="007224C3" w:rsidRDefault="0035378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Несколько партизанских отрядов, действующих в Калининской области, за первую половину мая пустили под откос 18 воинских эшелонов противника. На шоссейных и грунтовых дорогах партизаны взорвали два моста, уничтожили 4 легковых и 69 грузовых немецких автомашин. В боях с противником и из засад убито более 150 немецких солдат и офицеров. Партизанами взято 12 пленных.</w:t>
      </w:r>
    </w:p>
    <w:p w14:paraId="11BCBAA1" w14:textId="77777777" w:rsidR="00353781" w:rsidRPr="007224C3" w:rsidRDefault="0035378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Как уже сообщалось, наши войска, расположенные на правом берегу Днестра северо-западнее города Тирасполь, в первой половине мая успешно отбили атаки крупных сил танков и пехоты противника. Вот что говорят захваченные в плен немецкие солдаты, участвовавшие в этих боях.</w:t>
      </w:r>
    </w:p>
    <w:p w14:paraId="10506811" w14:textId="77777777" w:rsidR="00353781" w:rsidRPr="007224C3" w:rsidRDefault="0035378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Пленный фельдфебель 8 роты 55 немецкого пехотного полка Рихард Гесс сообщил: «Командир дивизииг енерал-лейтенант Циммер огласил нам следующий приказ командования: «К исходу дня ликвидировать предмостное укрепление русских и отбросить их за Днестр». Перед атакой солдатам для храбрости выдали водку. Мой взвод должен был выйти к противотанковому рву и удержать этот рубеж до подхода подкреплений. До противотанкового рва мы добрались благополучно, но уйти оттуда не удалось ни мне, ни моим солдатам. Русские неожиданно окружили нас и взяли в плен».</w:t>
      </w:r>
    </w:p>
    <w:p w14:paraId="77B502C7" w14:textId="77777777" w:rsidR="00353781" w:rsidRPr="007224C3" w:rsidRDefault="0035378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Пленный младший врач 21 немецкого пехотного полка Ганс Пфанненмюллер сообщил: «Бесплодные атаки стоили нам очень больших потерь. Когда русские перешли в контратаку, все оставшиеся в живых солдаты и офицеры побежали. Персонал перевязочного пункта также разбежался, бросив раненых на произвол судьбы. Меня и фельдфебеля Шефангеля вместе с ранеными русские взяли в плен».</w:t>
      </w:r>
    </w:p>
    <w:p w14:paraId="76388BBE" w14:textId="77777777" w:rsidR="00353781" w:rsidRPr="007224C3" w:rsidRDefault="0035378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Пленный ефрейтор радист 6 роты 6 танкового полка 3 немецкой танковой дивизии Руди Гиерунимус сообщил: «За время отступления весной текущего года наша дивизия растеряла почти всю свою технику. 6-го мая дивизия получила новую материальную часть. В течение трёх дней мы испытывали машины и производили пристрелку. Десятого мая вечером командир роты обер-лейтенант Фельдгейм собрал весь личный состав и зачитал приказ о наступлении. На рассвете танки двинулись к русским позициям. Нам пришлось ещё раз испытать на себе силу и мощь русской артиллерии. За полчаса из строя выбыло 27 танков. Мой танк был подожжён прямым попаданием снаряда. Командир танка унтер-офицер Петерс, башенный стрелок Иннерт и стрелок Шефцер погибли, а я сдался в плен. Кроме больших потерь в технике и тяжёлых людских жертв, эта операция ничего не дала». Характерно, что в этих боях ссоветской стороны принимали участие лишь незначительные силы, главным образом артиллерия, миномёты и передовые подразделения пехоты. Однако, как показывают пленные, немцы дорого заплатили за свою попытку ликвидировать предмостное укрепление советских войск на Днестре.» (14906).</w:t>
      </w:r>
    </w:p>
    <w:p w14:paraId="7255F72D" w14:textId="77777777" w:rsidR="00353781" w:rsidRPr="007224C3" w:rsidRDefault="00353781" w:rsidP="007224C3">
      <w:pPr>
        <w:spacing w:after="0" w:line="240" w:lineRule="auto"/>
        <w:jc w:val="both"/>
        <w:rPr>
          <w:rFonts w:ascii="Times New Roman" w:hAnsi="Times New Roman"/>
          <w:color w:val="000000" w:themeColor="text1"/>
          <w:sz w:val="16"/>
          <w:szCs w:val="16"/>
        </w:rPr>
      </w:pPr>
    </w:p>
    <w:p w14:paraId="66F85CA0"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Жизнь и внутренняя политика:</w:t>
      </w:r>
    </w:p>
    <w:p w14:paraId="610659E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BB34BA8"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мая 1944 Берия предложил Сталину депортировать из Крыма всех болгар, греков и армян (4962).</w:t>
      </w:r>
    </w:p>
    <w:p w14:paraId="386A3EFA"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EFED994"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мая 1944 Совнарком СССР принял постановление о восстановлении индивидуального жилого фонда в районах, освобожденных от фашистов (4962).</w:t>
      </w:r>
    </w:p>
    <w:p w14:paraId="71EDFE05"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236FE4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29 мая 1944 г. Академик Бурденко - Швернику....снятие показаний с участников немецкой инсценировки, фамилиями которых мы располагаем, окончательно разоблачило бы ту гнусную провокацию немецко-фашистских палачей в Катыни (9712).</w:t>
      </w:r>
    </w:p>
    <w:p w14:paraId="22C6ACD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AE05D10"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4C5EFCD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31594C5" w14:textId="17C7D21F" w:rsidR="00353781" w:rsidRPr="007224C3" w:rsidRDefault="00353781"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29 мая</w:t>
      </w:r>
      <w:r w:rsidRPr="007224C3">
        <w:rPr>
          <w:rFonts w:ascii="Times New Roman" w:hAnsi="Times New Roman"/>
          <w:color w:val="000000" w:themeColor="text1"/>
          <w:sz w:val="16"/>
          <w:szCs w:val="16"/>
        </w:rPr>
        <w:t xml:space="preserve"> в 1944 году первый полет датского легкого санитарного самолета </w:t>
      </w:r>
      <w:hyperlink r:id="rId145" w:tgtFrame="_blank" w:history="1">
        <w:r w:rsidRPr="007224C3">
          <w:rPr>
            <w:rFonts w:ascii="Times New Roman" w:hAnsi="Times New Roman"/>
            <w:color w:val="000000" w:themeColor="text1"/>
            <w:sz w:val="16"/>
            <w:szCs w:val="16"/>
          </w:rPr>
          <w:t>«KZ.IV»</w:t>
        </w:r>
        <w:r w:rsidR="00006324" w:rsidRPr="007224C3">
          <w:rPr>
            <w:rFonts w:ascii="Times New Roman" w:hAnsi="Times New Roman"/>
            <w:color w:val="000000" w:themeColor="text1"/>
            <w:sz w:val="16"/>
            <w:szCs w:val="16"/>
          </w:rPr>
          <w:t xml:space="preserve"> (22486)</w:t>
        </w:r>
        <w:r w:rsidRPr="007224C3">
          <w:rPr>
            <w:rFonts w:ascii="Times New Roman" w:hAnsi="Times New Roman"/>
            <w:color w:val="000000" w:themeColor="text1"/>
            <w:sz w:val="16"/>
            <w:szCs w:val="16"/>
          </w:rPr>
          <w:t xml:space="preserve">. </w:t>
        </w:r>
      </w:hyperlink>
    </w:p>
    <w:p w14:paraId="1DF94846" w14:textId="77777777" w:rsidR="00353781" w:rsidRPr="007224C3" w:rsidRDefault="00353781" w:rsidP="007224C3">
      <w:pPr>
        <w:spacing w:after="0" w:line="240" w:lineRule="auto"/>
        <w:jc w:val="both"/>
        <w:rPr>
          <w:rFonts w:ascii="Times New Roman" w:hAnsi="Times New Roman"/>
          <w:color w:val="000000" w:themeColor="text1"/>
          <w:sz w:val="16"/>
          <w:szCs w:val="16"/>
        </w:rPr>
      </w:pPr>
    </w:p>
    <w:p w14:paraId="7F565EE5"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мая 1944 на совещании нацистов в Познани Гиммлер пообещал, что после войны “еврейская проблема” будет решена навечно (4962).</w:t>
      </w:r>
    </w:p>
    <w:p w14:paraId="2F83839C"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35CBA6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May 29th, 1944: In the Atlantic, the US escort carrier Block Island is sunk by U-549. Using its maximum range, the US 8th Air Force attacks aircraft production plants at Marienburg and Posen in eastern Germany (3819).</w:t>
      </w:r>
    </w:p>
    <w:p w14:paraId="7769081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3685D6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мая 1944 в Атлантике У-549 потопила эскортный авианосец Блок Айланд. 8ВА США на пределе дальности атаковала авиастроительный завод в Мариенбурге в Пруссии (3819).</w:t>
      </w:r>
    </w:p>
    <w:p w14:paraId="25D42CC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C6D1DE"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мая 1944 на острове Биак состоялось первое в Тихом океане танковое сражение (4962).</w:t>
      </w:r>
    </w:p>
    <w:p w14:paraId="016E09FE"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5820EAA" w14:textId="77777777" w:rsidR="00353781" w:rsidRPr="007224C3" w:rsidRDefault="00353781"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29 мая</w:t>
      </w:r>
      <w:r w:rsidRPr="007224C3">
        <w:rPr>
          <w:rFonts w:ascii="Times New Roman" w:hAnsi="Times New Roman"/>
          <w:color w:val="000000" w:themeColor="text1"/>
          <w:sz w:val="16"/>
          <w:szCs w:val="16"/>
        </w:rPr>
        <w:t xml:space="preserve"> в 1944 году авианосец «Block Island» в 420 милях южнее Азорских островов торпедирован германской ПЛ «U-549». Через полчаса после попадания трех торпед затонул (14906).</w:t>
      </w:r>
    </w:p>
    <w:p w14:paraId="19799535" w14:textId="77777777" w:rsidR="00353781" w:rsidRPr="007224C3" w:rsidRDefault="00353781" w:rsidP="007224C3">
      <w:pPr>
        <w:spacing w:after="0" w:line="240" w:lineRule="auto"/>
        <w:jc w:val="both"/>
        <w:rPr>
          <w:rFonts w:ascii="Times New Roman" w:hAnsi="Times New Roman"/>
          <w:color w:val="000000" w:themeColor="text1"/>
          <w:sz w:val="16"/>
          <w:szCs w:val="16"/>
        </w:rPr>
      </w:pPr>
    </w:p>
    <w:p w14:paraId="685DE499"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7517B35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94746A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мая 1944 года зам. начальника 8 гл. управления Воликов писал Шахурину.</w:t>
      </w:r>
    </w:p>
    <w:p w14:paraId="2E6E43D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вопросу: Снижения расходов топлива у моторов Ам-42 производства завода N 24.</w:t>
      </w:r>
    </w:p>
    <w:p w14:paraId="572E754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Справка</w:t>
      </w:r>
    </w:p>
    <w:p w14:paraId="2C556E7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связи с тем, что мотор АМ-42 длительное время находился в конструктивной доводке и к моменту гос. испытаний его, работы по улучшению экономичности не были закончены, поэтому требования гл. конструктора С.В.И. о немедленном снижении расходов топлива в настоящее время не могут быть удовлетворены.</w:t>
      </w:r>
    </w:p>
    <w:p w14:paraId="647BD75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Планом опытных работ по ОКБ завода N 24 предусмотрено проведение длительных испытаний мотора АМ-42 на бедных смесях в течение ближайших месяцев с тем, чтобы с 1-го сентября с.г. поставлять эти моторы со сниженными удельными расходами топлива на всех режимах работы.</w:t>
      </w:r>
    </w:p>
    <w:p w14:paraId="7E013E6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Вопрос этого обсуждался гл. конструкторами - С.В.И. и Флисским на совместном совещании у зам. наркома В.П. Кузнецова, где и был установлен указанный срок 1-е сентября с.г. для поставки моторов с новыми нормами удельных расходов топлива, а также намечены уменьшенные нормы расходов (2562,74).</w:t>
      </w:r>
    </w:p>
    <w:p w14:paraId="10C4FEA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69BD0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мая 1944 г. вышел приказ НКАП СССР № 371, который обязал главного конст</w:t>
      </w:r>
      <w:r w:rsidRPr="007224C3">
        <w:rPr>
          <w:rFonts w:ascii="Times New Roman" w:hAnsi="Times New Roman"/>
          <w:color w:val="000000" w:themeColor="text1"/>
          <w:sz w:val="16"/>
          <w:szCs w:val="16"/>
        </w:rPr>
        <w:softHyphen/>
        <w:t>руктора П.О.Сухого наряду с само</w:t>
      </w:r>
      <w:r w:rsidRPr="007224C3">
        <w:rPr>
          <w:rFonts w:ascii="Times New Roman" w:hAnsi="Times New Roman"/>
          <w:color w:val="000000" w:themeColor="text1"/>
          <w:sz w:val="16"/>
          <w:szCs w:val="16"/>
        </w:rPr>
        <w:softHyphen/>
        <w:t>летом Су-5 спроектировать и постро</w:t>
      </w:r>
      <w:r w:rsidRPr="007224C3">
        <w:rPr>
          <w:rFonts w:ascii="Times New Roman" w:hAnsi="Times New Roman"/>
          <w:color w:val="000000" w:themeColor="text1"/>
          <w:sz w:val="16"/>
          <w:szCs w:val="16"/>
        </w:rPr>
        <w:softHyphen/>
        <w:t>ить «...экспериментальную модифика</w:t>
      </w:r>
      <w:r w:rsidRPr="007224C3">
        <w:rPr>
          <w:rFonts w:ascii="Times New Roman" w:hAnsi="Times New Roman"/>
          <w:color w:val="000000" w:themeColor="text1"/>
          <w:sz w:val="16"/>
          <w:szCs w:val="16"/>
        </w:rPr>
        <w:softHyphen/>
        <w:t>цию самолета Су-6 под мотор АШ-82ФН 2ТК-3 или М-83 с установкой однокамерного двигателя РД- 1 конст</w:t>
      </w:r>
      <w:r w:rsidRPr="007224C3">
        <w:rPr>
          <w:rFonts w:ascii="Times New Roman" w:hAnsi="Times New Roman"/>
          <w:color w:val="000000" w:themeColor="text1"/>
          <w:sz w:val="16"/>
          <w:szCs w:val="16"/>
        </w:rPr>
        <w:softHyphen/>
        <w:t>рукции Глушко, со следующими летно-техническими данными:</w:t>
      </w:r>
    </w:p>
    <w:p w14:paraId="2384D0F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 скорость на высоте 7500 м без включения РД - 590 км/ч.</w:t>
      </w:r>
    </w:p>
    <w:p w14:paraId="39525D0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 скорость на высоте 12000 м с включением РД - 700 км/ч.</w:t>
      </w:r>
    </w:p>
    <w:p w14:paraId="27C82E6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Продолжительность полета без включения РД на высоте 10000 м при скорости 450 км/ч - 1 ч. 40 мин.</w:t>
      </w:r>
    </w:p>
    <w:p w14:paraId="45A8591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Вооружение — 2 пушки калибра 20 мм с боезапасом 370 патронов.</w:t>
      </w:r>
    </w:p>
    <w:p w14:paraId="666DB77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предъявить на летные ис</w:t>
      </w:r>
      <w:r w:rsidRPr="007224C3">
        <w:rPr>
          <w:rFonts w:ascii="Times New Roman" w:hAnsi="Times New Roman"/>
          <w:color w:val="000000" w:themeColor="text1"/>
          <w:sz w:val="16"/>
          <w:szCs w:val="16"/>
        </w:rPr>
        <w:softHyphen/>
        <w:t>пытания к 1 сентября 1944 г...» (10668).</w:t>
      </w:r>
    </w:p>
    <w:p w14:paraId="1A25403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1CE628" w14:textId="77777777" w:rsidR="00827943" w:rsidRPr="007224C3" w:rsidRDefault="00827943"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30 мая 1944 г. приказ НКАП № 371 (в Постановление ГКО 22 мая 1944 г. самолет не был вклю чен) обязал глав ного конструктора П.О.Сухого спроектировать и построить экс периментальную модификацию самолета Су-6 под мотор АШ-82ФН 2ТК-3 или М-83 с установкой двигателя РД- В.П. Глушко, со следующими летно-техническими данными:</w:t>
      </w:r>
    </w:p>
    <w:p w14:paraId="49B64926" w14:textId="77777777" w:rsidR="00827943" w:rsidRPr="007224C3" w:rsidRDefault="00827943"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Максимальная скорость на высоте 7500 м без включения РД - 590 км/ч.</w:t>
      </w:r>
    </w:p>
    <w:p w14:paraId="71210E9E" w14:textId="77777777" w:rsidR="00827943" w:rsidRPr="007224C3" w:rsidRDefault="00827943"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Максимальная скорость на высоте 12 000 м с включением РД — 700 км/ч.</w:t>
      </w:r>
    </w:p>
    <w:p w14:paraId="1C3ABF1C" w14:textId="77777777" w:rsidR="00827943" w:rsidRPr="007224C3" w:rsidRDefault="00827943"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Продолжительность полета без включения РД на высоте Ю 000 м при скорости 450 км/ч — 1 ч. 40 мин.</w:t>
      </w:r>
    </w:p>
    <w:p w14:paraId="14C24474" w14:textId="77777777" w:rsidR="00827943" w:rsidRPr="007224C3" w:rsidRDefault="00827943"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Вооружение — 2 пушки калибра 20 мм с боезапасом 370 патронов.</w:t>
      </w:r>
    </w:p>
    <w:p w14:paraId="7BC8E137" w14:textId="77777777" w:rsidR="00827943" w:rsidRPr="007224C3" w:rsidRDefault="00827943"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Самолет надо было предъявить на летные испытания к сентября 1944 года (19586).</w:t>
      </w:r>
    </w:p>
    <w:p w14:paraId="6474FB55" w14:textId="77777777" w:rsidR="00827943" w:rsidRPr="007224C3" w:rsidRDefault="00827943"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76DACB8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мая 1944 вышел приказ НКАП № 371 и всем ГК выдали задания по реактивным машинам: А.С.Я. - Як-9 с ВК-105ПФ и РД-1, С.А.Л. - аналогично для ла-5 с АШ-82ФН или АШ-83 + экспериментальный истребитель с ТР-1 А.М.Люльки, Н.Н.П. - экспериментальный с двухкамерным РД Л.С.Душкина, а П.О.С, - экспериментальтный с ВК-107А и ВРД ЦИАМ + Су-6 под АШ-82ФН или АШ-83 с РД-1, МиГ - экспериментальный с ВК-107А + ВРД ЦИАМ (6471, 5).</w:t>
      </w:r>
    </w:p>
    <w:p w14:paraId="42C02B6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4EE5D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мая 1944 вышел приказ НКАП №371, которым главным конст</w:t>
      </w:r>
      <w:r w:rsidRPr="007224C3">
        <w:rPr>
          <w:rFonts w:ascii="Times New Roman" w:hAnsi="Times New Roman"/>
          <w:color w:val="000000" w:themeColor="text1"/>
          <w:sz w:val="16"/>
          <w:szCs w:val="16"/>
        </w:rPr>
        <w:softHyphen/>
        <w:t>рукторам, занимающимся созданием истребителей, были официально выда</w:t>
      </w:r>
      <w:r w:rsidRPr="007224C3">
        <w:rPr>
          <w:rFonts w:ascii="Times New Roman" w:hAnsi="Times New Roman"/>
          <w:color w:val="000000" w:themeColor="text1"/>
          <w:sz w:val="16"/>
          <w:szCs w:val="16"/>
        </w:rPr>
        <w:softHyphen/>
        <w:t>ны задания на разработку реактивных самолетов. Правда, из-за неясности, какое из направлении в реактивном двигателестроении наиболее перспек</w:t>
      </w:r>
      <w:r w:rsidRPr="007224C3">
        <w:rPr>
          <w:rFonts w:ascii="Times New Roman" w:hAnsi="Times New Roman"/>
          <w:color w:val="000000" w:themeColor="text1"/>
          <w:sz w:val="16"/>
          <w:szCs w:val="16"/>
        </w:rPr>
        <w:softHyphen/>
        <w:t>тивно, конструкторам поручили разра</w:t>
      </w:r>
      <w:r w:rsidRPr="007224C3">
        <w:rPr>
          <w:rFonts w:ascii="Times New Roman" w:hAnsi="Times New Roman"/>
          <w:color w:val="000000" w:themeColor="text1"/>
          <w:sz w:val="16"/>
          <w:szCs w:val="16"/>
        </w:rPr>
        <w:softHyphen/>
        <w:t>ботку самолетов, охватив все типы су</w:t>
      </w:r>
      <w:r w:rsidRPr="007224C3">
        <w:rPr>
          <w:rFonts w:ascii="Times New Roman" w:hAnsi="Times New Roman"/>
          <w:color w:val="000000" w:themeColor="text1"/>
          <w:sz w:val="16"/>
          <w:szCs w:val="16"/>
        </w:rPr>
        <w:softHyphen/>
        <w:t>ществовавших на то время реактивных силовых установок - ЖРД, ВРДК и ТРД.</w:t>
      </w:r>
    </w:p>
    <w:p w14:paraId="2AD3480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Создание экспериментального ис</w:t>
      </w:r>
      <w:r w:rsidRPr="007224C3">
        <w:rPr>
          <w:rFonts w:ascii="Times New Roman" w:hAnsi="Times New Roman"/>
          <w:color w:val="000000" w:themeColor="text1"/>
          <w:sz w:val="16"/>
          <w:szCs w:val="16"/>
        </w:rPr>
        <w:softHyphen/>
        <w:t>требителя с турбореактивным двигате</w:t>
      </w:r>
      <w:r w:rsidRPr="007224C3">
        <w:rPr>
          <w:rFonts w:ascii="Times New Roman" w:hAnsi="Times New Roman"/>
          <w:color w:val="000000" w:themeColor="text1"/>
          <w:sz w:val="16"/>
          <w:szCs w:val="16"/>
        </w:rPr>
        <w:softHyphen/>
        <w:t>лем конструкции А.М.Люлька было по</w:t>
      </w:r>
      <w:r w:rsidRPr="007224C3">
        <w:rPr>
          <w:rFonts w:ascii="Times New Roman" w:hAnsi="Times New Roman"/>
          <w:color w:val="000000" w:themeColor="text1"/>
          <w:sz w:val="16"/>
          <w:szCs w:val="16"/>
        </w:rPr>
        <w:softHyphen/>
        <w:t>ручено только ОКБ С.А.Лавочкина. Од</w:t>
      </w:r>
      <w:r w:rsidRPr="007224C3">
        <w:rPr>
          <w:rFonts w:ascii="Times New Roman" w:hAnsi="Times New Roman"/>
          <w:color w:val="000000" w:themeColor="text1"/>
          <w:sz w:val="16"/>
          <w:szCs w:val="16"/>
        </w:rPr>
        <w:softHyphen/>
        <w:t>нако первый отечественный ТРД С-18 с более высокими, чем у РД-1, характери</w:t>
      </w:r>
      <w:r w:rsidRPr="007224C3">
        <w:rPr>
          <w:rFonts w:ascii="Times New Roman" w:hAnsi="Times New Roman"/>
          <w:color w:val="000000" w:themeColor="text1"/>
          <w:sz w:val="16"/>
          <w:szCs w:val="16"/>
        </w:rPr>
        <w:softHyphen/>
        <w:t>стиками начал проходить стендовые испытания в 1945 г, показав тягу в 1030 кгс. И только в 1947 г. созданный на его базе ТР-1 прошел государственные испытания, а его тяга достигла значе</w:t>
      </w:r>
      <w:r w:rsidRPr="007224C3">
        <w:rPr>
          <w:rFonts w:ascii="Times New Roman" w:hAnsi="Times New Roman"/>
          <w:color w:val="000000" w:themeColor="text1"/>
          <w:sz w:val="16"/>
          <w:szCs w:val="16"/>
        </w:rPr>
        <w:softHyphen/>
        <w:t>ния 1290 кгс. Таким образом, от возоб</w:t>
      </w:r>
      <w:r w:rsidRPr="007224C3">
        <w:rPr>
          <w:rFonts w:ascii="Times New Roman" w:hAnsi="Times New Roman"/>
          <w:color w:val="000000" w:themeColor="text1"/>
          <w:sz w:val="16"/>
          <w:szCs w:val="16"/>
        </w:rPr>
        <w:softHyphen/>
        <w:t>новления работ до завершения испы</w:t>
      </w:r>
      <w:r w:rsidRPr="007224C3">
        <w:rPr>
          <w:rFonts w:ascii="Times New Roman" w:hAnsi="Times New Roman"/>
          <w:color w:val="000000" w:themeColor="text1"/>
          <w:sz w:val="16"/>
          <w:szCs w:val="16"/>
        </w:rPr>
        <w:softHyphen/>
        <w:t>таний прошло еще около трех лет (11128).</w:t>
      </w:r>
    </w:p>
    <w:p w14:paraId="067E60B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50830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мая 1944 Зам. Нач. 7ГУ Алексеев подготовил сводку о ходе испытаний высотных самолетов на 29 мая 1944 по Як-9 М-105ПД, Ла-5 АШ-82ФН и 2ТК-3, МиГ АМ-39А и 2ТК-2Б (1825).</w:t>
      </w:r>
    </w:p>
    <w:p w14:paraId="60C0634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ВЫСОТНЫЙ ИСТРЕБИТЕЛЬ Як-9 с М-105ПД</w:t>
      </w:r>
    </w:p>
    <w:p w14:paraId="4FACDD8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находится не в летной состоянии, из-за отсутствия мотора.</w:t>
      </w:r>
    </w:p>
    <w:p w14:paraId="35BA616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поступившим сведениям в ЦИАМ выбыл из строя мотор, проходивший стендовые испытания и предназначенный для высотного самолета Як-9.</w:t>
      </w:r>
    </w:p>
    <w:p w14:paraId="4A366C9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Таким образом, намеченный срок поставки мотора - 1 июня с.г. выполнен не будет и дальнейшие испытания самолета сорваны.</w:t>
      </w:r>
    </w:p>
    <w:p w14:paraId="24F129C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Срок поставки нового мотора М-105ПФ с двуступенчатым нагнетателем для установки на самолете 8 ГУ назвать не может, из-за отсутствия резервных моторов в ЦИАМ.</w:t>
      </w:r>
    </w:p>
    <w:p w14:paraId="52DCD5B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ИСТРЕБИТЕЛЬ Ла-5 с АШ-82ФН и 2ТК-3</w:t>
      </w:r>
    </w:p>
    <w:p w14:paraId="7CFEC0B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контрольной конке мотора на земле снова обнаружено масло в магнето. В настоящее время производится заме</w:t>
      </w:r>
      <w:r w:rsidRPr="007224C3">
        <w:rPr>
          <w:rFonts w:ascii="Times New Roman" w:hAnsi="Times New Roman"/>
          <w:color w:val="000000" w:themeColor="text1"/>
          <w:sz w:val="16"/>
          <w:szCs w:val="16"/>
        </w:rPr>
        <w:softHyphen/>
        <w:t>на наддувного магнето на ненаддувное, с улучшенной высотностью. Самолет подготавливается к полету, назначенному на 31 мая с.г.</w:t>
      </w:r>
    </w:p>
    <w:p w14:paraId="5433148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ИСТРЕБИТЕЛЬ МИГ с АМ-39Б И 2ТК-2Б.</w:t>
      </w:r>
    </w:p>
    <w:p w14:paraId="46A74AC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Произведены два полета. Первый полет производился с заданием определить высотность самолета на первой скорос</w:t>
      </w:r>
      <w:r w:rsidRPr="007224C3">
        <w:rPr>
          <w:rFonts w:ascii="Times New Roman" w:hAnsi="Times New Roman"/>
          <w:color w:val="000000" w:themeColor="text1"/>
          <w:sz w:val="16"/>
          <w:szCs w:val="16"/>
        </w:rPr>
        <w:softHyphen/>
        <w:t>ти нагнетателя с полностью включенным ТК. Полет продол</w:t>
      </w:r>
      <w:r w:rsidRPr="007224C3">
        <w:rPr>
          <w:rFonts w:ascii="Times New Roman" w:hAnsi="Times New Roman"/>
          <w:color w:val="000000" w:themeColor="text1"/>
          <w:sz w:val="16"/>
          <w:szCs w:val="16"/>
        </w:rPr>
        <w:softHyphen/>
        <w:t>жался 32 мин., высота в полете - 6300 мт. Задание не выполнено, полет был прекращен из-за падения давления бензина. Для предупреждения в дальнейшем дефекта по произвольному падению давления бензина в полете, вызван представитель завода № 451.</w:t>
      </w:r>
    </w:p>
    <w:p w14:paraId="1AED401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Второй полет производился на повторение первого задания. Продолжительность полета - 37 мин., высота - 8000 мт. На высоте 7300 мт вышел из строя ТК и дальнейшее выполне</w:t>
      </w:r>
      <w:r w:rsidRPr="007224C3">
        <w:rPr>
          <w:rFonts w:ascii="Times New Roman" w:hAnsi="Times New Roman"/>
          <w:color w:val="000000" w:themeColor="text1"/>
          <w:sz w:val="16"/>
          <w:szCs w:val="16"/>
        </w:rPr>
        <w:softHyphen/>
        <w:t>ние задания летчиком было прекращено.</w:t>
      </w:r>
    </w:p>
    <w:p w14:paraId="1AC06CE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После посадки при внешнем осмотре, обнаружено заклинение крыльчатки ТК.</w:t>
      </w:r>
    </w:p>
    <w:p w14:paraId="631DA1E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Оба ТК с самолета сняты и отправлены в ЦИАМ для раз</w:t>
      </w:r>
      <w:r w:rsidRPr="007224C3">
        <w:rPr>
          <w:rFonts w:ascii="Times New Roman" w:hAnsi="Times New Roman"/>
          <w:color w:val="000000" w:themeColor="text1"/>
          <w:sz w:val="16"/>
          <w:szCs w:val="16"/>
        </w:rPr>
        <w:softHyphen/>
        <w:t>борки и установления причин заклинения крыльчатки (1825).</w:t>
      </w:r>
    </w:p>
    <w:p w14:paraId="02D8A3D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1213D2" w14:textId="77777777" w:rsidR="006E5527" w:rsidRPr="007224C3" w:rsidRDefault="006E5527"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30 мая</w:t>
      </w:r>
      <w:r w:rsidRPr="007224C3">
        <w:rPr>
          <w:rFonts w:ascii="Times New Roman" w:hAnsi="Times New Roman"/>
          <w:color w:val="000000" w:themeColor="text1"/>
          <w:sz w:val="16"/>
          <w:szCs w:val="16"/>
        </w:rPr>
        <w:t xml:space="preserve"> в 1944 году приказом НКАП №371 всем главным конструкторам, занимающимся созданием истребителей, были официально выданы следующие задания. А.С.Яковлеву надлежало модифицировать истребитель «Як-9» с мотором «ВК-105ПФ», оснастив его дополнительным однокамерным ракетным двигателем «РД-1» конструкции В.П.Глушко, а также разработать экспериментальный истребитель с таким же, но трехкамерным ракетным двигателем С.А.Лавочкина обязывали </w:t>
      </w:r>
      <w:r w:rsidRPr="007224C3">
        <w:rPr>
          <w:rFonts w:ascii="Times New Roman" w:hAnsi="Times New Roman"/>
          <w:color w:val="000000" w:themeColor="text1"/>
          <w:sz w:val="16"/>
          <w:szCs w:val="16"/>
        </w:rPr>
        <w:lastRenderedPageBreak/>
        <w:t>произвести аналогичную доработку истребителя «Ла-5» с мотором «АШ-82ФН» или «АШ-83», а также спроектировать экспериментальный истребитель с реактивным двигателем ТР-1 конструкции А.М.Люльки. Н.Н.Поликарпову приказывали разработать экспериментальный истребитель с двухкамерным реактивным двигателем конструкции Л.С.Душкина, а П.О.Сухому - экспериментальный истребитель с мотором «ВК-107А» и дополнительным воздушно-реактивным двигателем с компрессором конструкции ЦИАМ, а также модификацию самолета «Су-6» под мотор «АШ-82ФН» «2ТК-2» или «АШ-83» с дополнительным однокамерным двигателем «РД-1». Что касается А.И.Микояна и М.И.Гуревича, то в их задачу входило создание экспериментального истребителя с мотором «ВК-107А» и дополнительным воздушно-реактивным двигателем с компрессором конструкции ЦИАМ. Таким образом, ввиду неясности, какое из направлений в реактивном двигателестроении наиболее перспективно, конструкторам поручили охватить все реально существовавшие на то время типы реактивных силовых установок - ЖРД, ТРД и ВРДК. Создание экспериментального истребителя с турбореактивным двигателем конструкции А.М.Люлька было поручено только ОКБ С.А.Лавочкина. Однако первый отечественный ТРД с более высокими, чем у РД-1, характеристиками начал проходить стендовые испытания в 1945 году, показав тягу в 1250 кг. И только в 1947 году двигатель под обозначением «ТР-1» прошел государственные испытания, а его тяга достигла значения 1360 кг. Таким образом, от возобновления работ до завершения испытаний прошло еще около трех лет (14907).</w:t>
      </w:r>
    </w:p>
    <w:p w14:paraId="6C8F3947" w14:textId="77777777" w:rsidR="006E5527" w:rsidRPr="007224C3" w:rsidRDefault="006E5527" w:rsidP="007224C3">
      <w:pPr>
        <w:spacing w:after="0" w:line="240" w:lineRule="auto"/>
        <w:jc w:val="both"/>
        <w:rPr>
          <w:rFonts w:ascii="Times New Roman" w:hAnsi="Times New Roman"/>
          <w:color w:val="000000" w:themeColor="text1"/>
          <w:sz w:val="16"/>
          <w:szCs w:val="16"/>
        </w:rPr>
      </w:pPr>
    </w:p>
    <w:p w14:paraId="4D954F6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мая 1944 Я.А.Гриднев погиб при пикировании на Ла-5 N 39211958 выпуска апреля 1944 (817).</w:t>
      </w:r>
    </w:p>
    <w:p w14:paraId="741410E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DA9DF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мая 1944 г. во исполнение Постановления №5946 вышел приказом НКАП №371, которым коллективу ОКБ-155 предписывали разработать и построить экспериментальный истребитель с мотором ВК-107А и дополнительным воздушно-реактивным двигателем с компрессором (ВРДК) конструкции ЦИАМ. По заданию самолет с использованием ВРДК должен был иметь максимальную скорость 810 км/ч на высоте 7000 м (6000).</w:t>
      </w:r>
    </w:p>
    <w:p w14:paraId="1DEA80A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56F09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мая 1944 вышел приказ НКАП N 371сс "О создании самолетов с реактивными двигателями"</w:t>
      </w:r>
    </w:p>
    <w:p w14:paraId="4A58D43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"Придавая исключительно важное значение делу создания самолетов с реактивными двигателями, в обеспечение постановления ГКО N 5946сс от 22 мая 1944:</w:t>
      </w:r>
    </w:p>
    <w:p w14:paraId="4CD1B8B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Обязать ГК А.С.Я., С.А.Л., Н.Н.П., А.И.М., Гуревича, П.О.С. провести след. работы:</w:t>
      </w:r>
    </w:p>
    <w:p w14:paraId="24A7241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Самолеты ГК А.С.Я.:</w:t>
      </w:r>
    </w:p>
    <w:p w14:paraId="3B1F316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ГК А.С.Я. спроектировать и построить:</w:t>
      </w:r>
    </w:p>
    <w:p w14:paraId="36B75A7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модификацию самолета Як-9 с ВК-105ПФ с доп. однокамерным реактивным двигателем РД-1 конструкции Глушко, со след. ЛТД:</w:t>
      </w:r>
    </w:p>
    <w:p w14:paraId="33157DF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 скорость с включением РД-1 на высоте 5000 м - 780 км/час</w:t>
      </w:r>
    </w:p>
    <w:p w14:paraId="5A8E293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вооружение то же, что у серийного Як-9</w:t>
      </w:r>
    </w:p>
    <w:p w14:paraId="1ACF536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построить в 2-х экз. и предъявить на летные испытания: 1-й - 15 августа, 2-й - 15 сентября</w:t>
      </w:r>
    </w:p>
    <w:p w14:paraId="1EBF9A5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экспериментальный реактивный истребитель с 3-х камерным РД конструкции Глушко, со след. ЛТД:</w:t>
      </w:r>
    </w:p>
    <w:p w14:paraId="3791DCF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 скорость с включением РД-1 на высоте 5000 м - 800 км/час</w:t>
      </w:r>
    </w:p>
    <w:p w14:paraId="71D6E13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продолжительность полета с включенным двигателем - 10 мин.</w:t>
      </w:r>
    </w:p>
    <w:p w14:paraId="5B8C0ED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построить в 2-х экз. и предъявить на летные испытания: 1-й - 1 марта 1945, 2-й - 15 апреля 1945</w:t>
      </w:r>
    </w:p>
    <w:p w14:paraId="2722501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Самолеты ГК С.А.Л.:</w:t>
      </w:r>
    </w:p>
    <w:p w14:paraId="6A67FB4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ГК С.А.Л. спроектировать и построить:</w:t>
      </w:r>
    </w:p>
    <w:p w14:paraId="321F494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модификацию серийного самолета Ла-5 с АШ-82ФН или М-83 с доп. однокамерным реактивным двигателем РД-1 конструкции Глушко, со след. ЛТД:</w:t>
      </w:r>
    </w:p>
    <w:p w14:paraId="754B000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 скорость с включением РД-1 на высоте 7000 м - 780 км/час</w:t>
      </w:r>
    </w:p>
    <w:p w14:paraId="594C370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вооружение то же, что у серийного Ла-5</w:t>
      </w:r>
    </w:p>
    <w:p w14:paraId="5BE8BDF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построить в 3-х экз. и предъявить на летные испытания: 1-й - сентябрь 1944, 2-й - октябрь 1944, 3-й - январь 1945</w:t>
      </w:r>
    </w:p>
    <w:p w14:paraId="0ACCC18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экспериментальный реактивный истребитель с двигателем конструкции Люлька, со след. ЛТД:</w:t>
      </w:r>
    </w:p>
    <w:p w14:paraId="6C299AE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 скорость на высоте 5000 м - 850 км/час</w:t>
      </w:r>
    </w:p>
    <w:p w14:paraId="1329877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продолжительность полета с включенным двигателем на 0.8 макс. скорости - 20 мин.</w:t>
      </w:r>
    </w:p>
    <w:p w14:paraId="3B3E7C0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пушки: 1х23 + 2х20 мм с 400 снарядов</w:t>
      </w:r>
    </w:p>
    <w:p w14:paraId="6729014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построить в 2-х экз. и предъявить на летные испытания: 1-й - в марте 1946</w:t>
      </w:r>
    </w:p>
    <w:p w14:paraId="2B23718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Самолеты ГК Н.Н.П.:</w:t>
      </w:r>
    </w:p>
    <w:p w14:paraId="09C7861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ГК Н.Н.П. спроектировать и построить одноместный реактивный экспериментальный истребитель с 2-х камерным ЖРД конструкции НИИ-1 и герметической кабиной, со след. ЛТД:</w:t>
      </w:r>
    </w:p>
    <w:p w14:paraId="466EDFD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 скорость на высоте 5000 м - 800 км/час</w:t>
      </w:r>
    </w:p>
    <w:p w14:paraId="268F092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продолжительность полета с включенным двигателем на мин. тяге - 12-14 мин.</w:t>
      </w:r>
    </w:p>
    <w:p w14:paraId="585E541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высота - 14000 м и практический потолок 12000 м</w:t>
      </w:r>
    </w:p>
    <w:p w14:paraId="35CDB28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пушки: 1х20 мм</w:t>
      </w:r>
    </w:p>
    <w:p w14:paraId="2F47B92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построить в 2-х экз. и предъявить на летные испытания: 1-й - 1 июля 1945, 2-й 15 июля 1945</w:t>
      </w:r>
    </w:p>
    <w:p w14:paraId="6D9685D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Самолеты ГК А.И.М. и Гуревича:</w:t>
      </w:r>
    </w:p>
    <w:p w14:paraId="4298D12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ГК А.И.М. и зам ГК Гуревичу спроектировать и построить одноместный реактивный экспериментальный истребитель с ВК-107А и доп. ВРД с компрессором конструкции ЦИАМ, со след. ЛТД:</w:t>
      </w:r>
    </w:p>
    <w:p w14:paraId="7B9BEB5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 скорость с включением ВРДК на высоте 7000 м - 810 км/час и без - 700 км/час</w:t>
      </w:r>
    </w:p>
    <w:p w14:paraId="279FD78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продолжительность полета с включением ВРДК на 15 мин - 1:30.</w:t>
      </w:r>
    </w:p>
    <w:p w14:paraId="3A1BF9A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высота - 11000 м</w:t>
      </w:r>
    </w:p>
    <w:p w14:paraId="5E44A06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1х23 мм и 2х12.7 мм</w:t>
      </w:r>
    </w:p>
    <w:p w14:paraId="09CA867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построить в 2-х экз. и предъявить на летные испытания: 1-й - февраль 1945, 2-й март 1945</w:t>
      </w:r>
    </w:p>
    <w:p w14:paraId="3995E83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Самолеты ГК П.О.С.:</w:t>
      </w:r>
    </w:p>
    <w:p w14:paraId="46FA3D0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ГК П.О.С. спроектировать и построить:</w:t>
      </w:r>
    </w:p>
    <w:p w14:paraId="090508F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одноместный реактивный экспериментальный самолет с ВК-107А и доп. ВРД с компрессором конструкции ЦИАМ, со след. ЛТД:</w:t>
      </w:r>
    </w:p>
    <w:p w14:paraId="2135E57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 скорость с включением ВРДК на высоте 7000 м - 800 км/час и без - 700 км/час</w:t>
      </w:r>
    </w:p>
    <w:p w14:paraId="2BB1CC9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продолжительность полета с включением ВРДК на 10 мин - 1:30.</w:t>
      </w:r>
    </w:p>
    <w:p w14:paraId="5F03ABE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высота - 11800 м</w:t>
      </w:r>
    </w:p>
    <w:p w14:paraId="2AE79DD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1х23 мм и 2х12.7 мм</w:t>
      </w:r>
    </w:p>
    <w:p w14:paraId="129EBC1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построить в 2-х экз. и предъявить на летные испытания: 1-й - 15 февраля 1945, 2-й 15 марта 1945</w:t>
      </w:r>
    </w:p>
    <w:p w14:paraId="6EA26B4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экспериментальную модификацию самолета Су-6 под АШ-82ФН 2ТК-3 или М-83 с установкой РД-1 конструкции Глушко, со след. ЛТД:</w:t>
      </w:r>
    </w:p>
    <w:p w14:paraId="67FBB54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 скорость на высоте 7500 м без РД - 590 км/час</w:t>
      </w:r>
    </w:p>
    <w:p w14:paraId="3E6731B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 скорость на высоте 12000 м без РД - 700 км/час</w:t>
      </w:r>
    </w:p>
    <w:p w14:paraId="17EA7AF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вооружение 2х20 с 370 снарядами</w:t>
      </w:r>
    </w:p>
    <w:p w14:paraId="197D296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предъявить на летные испытания к 1 сентября 1944 (1673,7).</w:t>
      </w:r>
    </w:p>
    <w:p w14:paraId="71A9568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69BFF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мая 1944 года вышел приказ НКАП № 370сс во исполнение Постановления ГОКО за № 5945сс от 22 мая 1944 года, которым завод № 293 МАП был передан НИИ-1 в качестве его филиала (9360).</w:t>
      </w:r>
    </w:p>
    <w:p w14:paraId="5BF6BD8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D29AF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мая 1944 г. по приказу НКАП № 370сс завод № 393 стал филиалом № 1 НИИ-1 НКАП (начальник (01.1946 г.)- Нейман, начальник КБ- А.Я. Березняк). Продолжены работы по «БИ». Здесь же работала группа (ОКО) А.М. Исаева по ЖРД (10776).</w:t>
      </w:r>
    </w:p>
    <w:p w14:paraId="6190FB2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1FF20A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мая 1944 г. по приказу № 370сс завод № 293 (Завод № 293 НКАП, МАП, Опытный завод «Фотолет» /г. Химки Московской обл.; пос. Билимбай Свердловской обл.;  г. Химки/) стал филиалом № 1 НИИ-1 НКАП (начальник (01.1946 г.)- Нейман, начальник КБ- А.Я. Березняк). Продолжены работы по «БИ».</w:t>
      </w:r>
    </w:p>
    <w:p w14:paraId="0395076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соответствии с пост. СМ № 1145-471сс от 31.05.1946 г. (о развитии работ по реактивной технике) и приказами № 361сс от 7.06.1946 г. и № 373с от 14.06.1946 г. в 7ГУ на базе филиала № 1 вновь образован самостоятельный завод № 293 НКАП (в связи с прекращением работ по самолетостроению в НИИ-1 и непригодности для работ по ЖРД) и передан как опытная база гл. конструктору М.Р. Бисновату. В 10.1946 г. отдел A.M. Исаева переведен на основную территорию НИИ-1. Березняк в 12.1946 г. назначен зам. гл. конструктора ОКБ-2 завода № 1 МАП.</w:t>
      </w:r>
    </w:p>
    <w:p w14:paraId="0748E41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С 1.05.1948 г. завод передан из 7ГУ в 14ГУ. 1.04.1953 г. завод № 293 передан в подчинение КБ-1 ТГУ СМ (по приказу МАП № 229сс от 21.02.1953 г.) как опытная база.</w:t>
      </w:r>
    </w:p>
    <w:p w14:paraId="1263F82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начала 1954 г. преобразован в опытную базу ОКБ-2 МАП П.Д. Грушина (с этого времени перестало существовать название «завод № 293»).</w:t>
      </w:r>
    </w:p>
    <w:p w14:paraId="20333B1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(1940-44 г.)- В.Ф. Болховитинов, (1946-53 г.)- М.Р. Бисноват, (03.1952 г.)- Ф.П. Герасимов.</w:t>
      </w:r>
    </w:p>
    <w:p w14:paraId="686FD70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конструктор (1940-44 г.)- В.Ф. Болховитинов, (1946-53 г.)- М.Р. Бисноват.</w:t>
      </w:r>
    </w:p>
    <w:p w14:paraId="2598D4F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директора: по производству (09.1940 г.-)- А.И. Мамучашвили; по «БИ» (09.1942 г.)- И.Ф. Флоров; (06.1946 г.-)- В.Н. Елагин.</w:t>
      </w:r>
    </w:p>
    <w:p w14:paraId="732E4AF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гл. конструктора по «БИ» (09.1942 г.)- И.Ф. Флоров.</w:t>
      </w:r>
    </w:p>
    <w:p w14:paraId="51FEB3A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инженер (03.1941 г.-&gt; Л.А. Кац.</w:t>
      </w:r>
    </w:p>
    <w:p w14:paraId="333F0A4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Начальники цехов: сборочного (-10.1940 г.)- И.А. Иванов (11982).</w:t>
      </w:r>
    </w:p>
    <w:p w14:paraId="1479FBE5" w14:textId="77777777" w:rsidR="004A7685" w:rsidRPr="007224C3" w:rsidRDefault="004A7685"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C1393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мая 1944 года в целях сосредоточения основных конструкторских сил в одном месте и создания мощной опытной базы по бомбардировочным и стрелковым установкам авиационного вооружения постановлением ГКО за № 5971 и приказом МАП за № 484с от 3 августа 1944 года на базе ОКБ-43 и ОКБ-32 было решено организовать на заводе № 43 объединенное КБ по бомбардировочным и стрелковым установкам авиационного вооружения.</w:t>
      </w:r>
    </w:p>
    <w:p w14:paraId="5DBCAF3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конструктором ОКБ-43 и завода № 43 по сериному производству был назначен Торопов И.И.</w:t>
      </w:r>
    </w:p>
    <w:p w14:paraId="2A9AF90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Динамика выпуска оборонной продукции по важнейшим видам изделий в период ВОВ 1941-1945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57"/>
        <w:gridCol w:w="1145"/>
        <w:gridCol w:w="1134"/>
        <w:gridCol w:w="1134"/>
        <w:gridCol w:w="1134"/>
        <w:gridCol w:w="1134"/>
        <w:gridCol w:w="1275"/>
      </w:tblGrid>
      <w:tr w:rsidR="005106D0" w:rsidRPr="007224C3" w14:paraId="654C876D" w14:textId="77777777">
        <w:tc>
          <w:tcPr>
            <w:tcW w:w="1657" w:type="dxa"/>
          </w:tcPr>
          <w:p w14:paraId="165104F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Наименование изделий</w:t>
            </w:r>
          </w:p>
        </w:tc>
        <w:tc>
          <w:tcPr>
            <w:tcW w:w="1145" w:type="dxa"/>
          </w:tcPr>
          <w:p w14:paraId="3D378B9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Единица измерений</w:t>
            </w:r>
          </w:p>
        </w:tc>
        <w:tc>
          <w:tcPr>
            <w:tcW w:w="1134" w:type="dxa"/>
          </w:tcPr>
          <w:p w14:paraId="16F3B56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1942 год</w:t>
            </w:r>
          </w:p>
        </w:tc>
        <w:tc>
          <w:tcPr>
            <w:tcW w:w="1134" w:type="dxa"/>
          </w:tcPr>
          <w:p w14:paraId="1E828F6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1943 год</w:t>
            </w:r>
          </w:p>
        </w:tc>
        <w:tc>
          <w:tcPr>
            <w:tcW w:w="1134" w:type="dxa"/>
          </w:tcPr>
          <w:p w14:paraId="11C32BB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1944 год</w:t>
            </w:r>
          </w:p>
        </w:tc>
        <w:tc>
          <w:tcPr>
            <w:tcW w:w="1134" w:type="dxa"/>
          </w:tcPr>
          <w:p w14:paraId="0771F80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За1945 год</w:t>
            </w:r>
          </w:p>
        </w:tc>
        <w:tc>
          <w:tcPr>
            <w:tcW w:w="1275" w:type="dxa"/>
          </w:tcPr>
          <w:p w14:paraId="3A44325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w:t>
            </w:r>
          </w:p>
        </w:tc>
      </w:tr>
      <w:tr w:rsidR="005106D0" w:rsidRPr="007224C3" w14:paraId="37A1A7DB" w14:textId="77777777">
        <w:tc>
          <w:tcPr>
            <w:tcW w:w="1657" w:type="dxa"/>
          </w:tcPr>
          <w:p w14:paraId="43F44D8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Пистолет-пулемет Шпагина</w:t>
            </w:r>
          </w:p>
        </w:tc>
        <w:tc>
          <w:tcPr>
            <w:tcW w:w="1145" w:type="dxa"/>
          </w:tcPr>
          <w:p w14:paraId="0E4FAB6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Штук</w:t>
            </w:r>
          </w:p>
        </w:tc>
        <w:tc>
          <w:tcPr>
            <w:tcW w:w="1134" w:type="dxa"/>
          </w:tcPr>
          <w:p w14:paraId="216E98E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63741</w:t>
            </w:r>
          </w:p>
        </w:tc>
        <w:tc>
          <w:tcPr>
            <w:tcW w:w="1134" w:type="dxa"/>
          </w:tcPr>
          <w:p w14:paraId="2AEDC37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99232</w:t>
            </w:r>
          </w:p>
        </w:tc>
        <w:tc>
          <w:tcPr>
            <w:tcW w:w="1134" w:type="dxa"/>
          </w:tcPr>
          <w:p w14:paraId="7E719B3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128643</w:t>
            </w:r>
          </w:p>
        </w:tc>
        <w:tc>
          <w:tcPr>
            <w:tcW w:w="1134" w:type="dxa"/>
          </w:tcPr>
          <w:p w14:paraId="675CF3D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44035</w:t>
            </w:r>
          </w:p>
        </w:tc>
        <w:tc>
          <w:tcPr>
            <w:tcW w:w="1275" w:type="dxa"/>
          </w:tcPr>
          <w:p w14:paraId="740324A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335651</w:t>
            </w:r>
          </w:p>
        </w:tc>
      </w:tr>
      <w:tr w:rsidR="005106D0" w:rsidRPr="007224C3" w14:paraId="752AEF13" w14:textId="77777777">
        <w:tc>
          <w:tcPr>
            <w:tcW w:w="1657" w:type="dxa"/>
          </w:tcPr>
          <w:p w14:paraId="4FB1553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Крыльевой лафет ИЛ-2</w:t>
            </w:r>
          </w:p>
        </w:tc>
        <w:tc>
          <w:tcPr>
            <w:tcW w:w="1145" w:type="dxa"/>
          </w:tcPr>
          <w:p w14:paraId="611E5AC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Комплект</w:t>
            </w:r>
          </w:p>
        </w:tc>
        <w:tc>
          <w:tcPr>
            <w:tcW w:w="1134" w:type="dxa"/>
          </w:tcPr>
          <w:p w14:paraId="648E12B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3856</w:t>
            </w:r>
          </w:p>
        </w:tc>
        <w:tc>
          <w:tcPr>
            <w:tcW w:w="1134" w:type="dxa"/>
          </w:tcPr>
          <w:p w14:paraId="3970985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3888</w:t>
            </w:r>
          </w:p>
        </w:tc>
        <w:tc>
          <w:tcPr>
            <w:tcW w:w="1134" w:type="dxa"/>
          </w:tcPr>
          <w:p w14:paraId="2F916C1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134" w:type="dxa"/>
          </w:tcPr>
          <w:p w14:paraId="78EBAAE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275" w:type="dxa"/>
          </w:tcPr>
          <w:p w14:paraId="040955B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7744</w:t>
            </w:r>
          </w:p>
        </w:tc>
      </w:tr>
      <w:tr w:rsidR="005106D0" w:rsidRPr="007224C3" w14:paraId="7FADD001" w14:textId="77777777">
        <w:tc>
          <w:tcPr>
            <w:tcW w:w="1657" w:type="dxa"/>
          </w:tcPr>
          <w:p w14:paraId="0B22ADA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Крыльевой лафет БС-ЯК-7</w:t>
            </w:r>
          </w:p>
        </w:tc>
        <w:tc>
          <w:tcPr>
            <w:tcW w:w="1145" w:type="dxa"/>
          </w:tcPr>
          <w:p w14:paraId="4C6DB6C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Комплект</w:t>
            </w:r>
          </w:p>
        </w:tc>
        <w:tc>
          <w:tcPr>
            <w:tcW w:w="1134" w:type="dxa"/>
          </w:tcPr>
          <w:p w14:paraId="28094CC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230</w:t>
            </w:r>
          </w:p>
        </w:tc>
        <w:tc>
          <w:tcPr>
            <w:tcW w:w="1134" w:type="dxa"/>
          </w:tcPr>
          <w:p w14:paraId="07D3446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1029</w:t>
            </w:r>
          </w:p>
        </w:tc>
        <w:tc>
          <w:tcPr>
            <w:tcW w:w="1134" w:type="dxa"/>
          </w:tcPr>
          <w:p w14:paraId="4EF3587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190</w:t>
            </w:r>
          </w:p>
        </w:tc>
        <w:tc>
          <w:tcPr>
            <w:tcW w:w="1134" w:type="dxa"/>
          </w:tcPr>
          <w:p w14:paraId="68969B0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275" w:type="dxa"/>
          </w:tcPr>
          <w:p w14:paraId="74C68A1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1449</w:t>
            </w:r>
          </w:p>
        </w:tc>
      </w:tr>
      <w:tr w:rsidR="005106D0" w:rsidRPr="007224C3" w14:paraId="40DAD8F6" w14:textId="77777777">
        <w:tc>
          <w:tcPr>
            <w:tcW w:w="1657" w:type="dxa"/>
          </w:tcPr>
          <w:p w14:paraId="4A11A33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Носовая установка ИЛ-4</w:t>
            </w:r>
          </w:p>
        </w:tc>
        <w:tc>
          <w:tcPr>
            <w:tcW w:w="1145" w:type="dxa"/>
          </w:tcPr>
          <w:p w14:paraId="21B00BC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Штук</w:t>
            </w:r>
          </w:p>
        </w:tc>
        <w:tc>
          <w:tcPr>
            <w:tcW w:w="1134" w:type="dxa"/>
          </w:tcPr>
          <w:p w14:paraId="79C119C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222</w:t>
            </w:r>
          </w:p>
        </w:tc>
        <w:tc>
          <w:tcPr>
            <w:tcW w:w="1134" w:type="dxa"/>
          </w:tcPr>
          <w:p w14:paraId="0007AA0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686</w:t>
            </w:r>
          </w:p>
        </w:tc>
        <w:tc>
          <w:tcPr>
            <w:tcW w:w="1134" w:type="dxa"/>
          </w:tcPr>
          <w:p w14:paraId="4111F52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w:t>
            </w:r>
          </w:p>
        </w:tc>
        <w:tc>
          <w:tcPr>
            <w:tcW w:w="1134" w:type="dxa"/>
          </w:tcPr>
          <w:p w14:paraId="68F6BE9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275" w:type="dxa"/>
          </w:tcPr>
          <w:p w14:paraId="5CFBBEF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928</w:t>
            </w:r>
          </w:p>
        </w:tc>
      </w:tr>
      <w:tr w:rsidR="005106D0" w:rsidRPr="007224C3" w14:paraId="7176883F" w14:textId="77777777">
        <w:tc>
          <w:tcPr>
            <w:tcW w:w="1657" w:type="dxa"/>
          </w:tcPr>
          <w:p w14:paraId="26C2222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Балка РО-82</w:t>
            </w:r>
          </w:p>
        </w:tc>
        <w:tc>
          <w:tcPr>
            <w:tcW w:w="1145" w:type="dxa"/>
          </w:tcPr>
          <w:p w14:paraId="00A5AC6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Штук</w:t>
            </w:r>
          </w:p>
        </w:tc>
        <w:tc>
          <w:tcPr>
            <w:tcW w:w="1134" w:type="dxa"/>
          </w:tcPr>
          <w:p w14:paraId="6ED4C58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26990</w:t>
            </w:r>
          </w:p>
        </w:tc>
        <w:tc>
          <w:tcPr>
            <w:tcW w:w="1134" w:type="dxa"/>
          </w:tcPr>
          <w:p w14:paraId="73AA0C5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104</w:t>
            </w:r>
          </w:p>
        </w:tc>
        <w:tc>
          <w:tcPr>
            <w:tcW w:w="1134" w:type="dxa"/>
          </w:tcPr>
          <w:p w14:paraId="5DA8D54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134" w:type="dxa"/>
          </w:tcPr>
          <w:p w14:paraId="310BC78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275" w:type="dxa"/>
          </w:tcPr>
          <w:p w14:paraId="2BF1AC9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27094</w:t>
            </w:r>
          </w:p>
        </w:tc>
      </w:tr>
      <w:tr w:rsidR="005106D0" w:rsidRPr="007224C3" w14:paraId="7D673B46" w14:textId="77777777">
        <w:tc>
          <w:tcPr>
            <w:tcW w:w="1657" w:type="dxa"/>
          </w:tcPr>
          <w:p w14:paraId="6B55DAF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Сбрасыватель ЭСБР-3п</w:t>
            </w:r>
          </w:p>
        </w:tc>
        <w:tc>
          <w:tcPr>
            <w:tcW w:w="1145" w:type="dxa"/>
          </w:tcPr>
          <w:p w14:paraId="57BDF5C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Штук</w:t>
            </w:r>
          </w:p>
        </w:tc>
        <w:tc>
          <w:tcPr>
            <w:tcW w:w="1134" w:type="dxa"/>
          </w:tcPr>
          <w:p w14:paraId="2D8B524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9093</w:t>
            </w:r>
          </w:p>
        </w:tc>
        <w:tc>
          <w:tcPr>
            <w:tcW w:w="1134" w:type="dxa"/>
          </w:tcPr>
          <w:p w14:paraId="54E025F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8596</w:t>
            </w:r>
          </w:p>
        </w:tc>
        <w:tc>
          <w:tcPr>
            <w:tcW w:w="1134" w:type="dxa"/>
          </w:tcPr>
          <w:p w14:paraId="361E3D9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134" w:type="dxa"/>
          </w:tcPr>
          <w:p w14:paraId="412DAC2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275" w:type="dxa"/>
          </w:tcPr>
          <w:p w14:paraId="103286B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17689</w:t>
            </w:r>
          </w:p>
        </w:tc>
      </w:tr>
      <w:tr w:rsidR="005106D0" w:rsidRPr="007224C3" w14:paraId="6B92B199" w14:textId="77777777">
        <w:tc>
          <w:tcPr>
            <w:tcW w:w="1657" w:type="dxa"/>
          </w:tcPr>
          <w:p w14:paraId="7C59E4F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Граната ГС-1</w:t>
            </w:r>
          </w:p>
        </w:tc>
        <w:tc>
          <w:tcPr>
            <w:tcW w:w="1145" w:type="dxa"/>
          </w:tcPr>
          <w:p w14:paraId="1FB2A1C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Штук</w:t>
            </w:r>
          </w:p>
        </w:tc>
        <w:tc>
          <w:tcPr>
            <w:tcW w:w="1134" w:type="dxa"/>
          </w:tcPr>
          <w:p w14:paraId="22F5A12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52140</w:t>
            </w:r>
          </w:p>
        </w:tc>
        <w:tc>
          <w:tcPr>
            <w:tcW w:w="1134" w:type="dxa"/>
          </w:tcPr>
          <w:p w14:paraId="4434BFD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134" w:type="dxa"/>
          </w:tcPr>
          <w:p w14:paraId="36B0976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134" w:type="dxa"/>
          </w:tcPr>
          <w:p w14:paraId="2FAD7E1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275" w:type="dxa"/>
          </w:tcPr>
          <w:p w14:paraId="2DCB4E9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52140</w:t>
            </w:r>
          </w:p>
        </w:tc>
      </w:tr>
      <w:tr w:rsidR="005106D0" w:rsidRPr="007224C3" w14:paraId="563AB155" w14:textId="77777777">
        <w:tc>
          <w:tcPr>
            <w:tcW w:w="1657" w:type="dxa"/>
          </w:tcPr>
          <w:p w14:paraId="75B4240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ВАП-6м</w:t>
            </w:r>
          </w:p>
        </w:tc>
        <w:tc>
          <w:tcPr>
            <w:tcW w:w="1145" w:type="dxa"/>
          </w:tcPr>
          <w:p w14:paraId="1AD62A1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Штук</w:t>
            </w:r>
          </w:p>
        </w:tc>
        <w:tc>
          <w:tcPr>
            <w:tcW w:w="1134" w:type="dxa"/>
          </w:tcPr>
          <w:p w14:paraId="25193AE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3800</w:t>
            </w:r>
          </w:p>
        </w:tc>
        <w:tc>
          <w:tcPr>
            <w:tcW w:w="1134" w:type="dxa"/>
          </w:tcPr>
          <w:p w14:paraId="53F475A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200</w:t>
            </w:r>
          </w:p>
        </w:tc>
        <w:tc>
          <w:tcPr>
            <w:tcW w:w="1134" w:type="dxa"/>
          </w:tcPr>
          <w:p w14:paraId="645225B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134" w:type="dxa"/>
          </w:tcPr>
          <w:p w14:paraId="3E7DB11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275" w:type="dxa"/>
          </w:tcPr>
          <w:p w14:paraId="7700013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4000</w:t>
            </w:r>
          </w:p>
        </w:tc>
      </w:tr>
      <w:tr w:rsidR="005106D0" w:rsidRPr="007224C3" w14:paraId="2A5FCFCF" w14:textId="77777777">
        <w:tc>
          <w:tcPr>
            <w:tcW w:w="1657" w:type="dxa"/>
          </w:tcPr>
          <w:p w14:paraId="24B1DF8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ДАГ-10</w:t>
            </w:r>
          </w:p>
        </w:tc>
        <w:tc>
          <w:tcPr>
            <w:tcW w:w="1145" w:type="dxa"/>
          </w:tcPr>
          <w:p w14:paraId="56D8E2C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Штук</w:t>
            </w:r>
          </w:p>
        </w:tc>
        <w:tc>
          <w:tcPr>
            <w:tcW w:w="1134" w:type="dxa"/>
          </w:tcPr>
          <w:p w14:paraId="5980067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1582</w:t>
            </w:r>
          </w:p>
        </w:tc>
        <w:tc>
          <w:tcPr>
            <w:tcW w:w="1134" w:type="dxa"/>
          </w:tcPr>
          <w:p w14:paraId="1F84E2D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4522</w:t>
            </w:r>
          </w:p>
        </w:tc>
        <w:tc>
          <w:tcPr>
            <w:tcW w:w="1134" w:type="dxa"/>
          </w:tcPr>
          <w:p w14:paraId="47FF234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6677</w:t>
            </w:r>
          </w:p>
        </w:tc>
        <w:tc>
          <w:tcPr>
            <w:tcW w:w="1134" w:type="dxa"/>
          </w:tcPr>
          <w:p w14:paraId="21F8439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1700</w:t>
            </w:r>
          </w:p>
        </w:tc>
        <w:tc>
          <w:tcPr>
            <w:tcW w:w="1275" w:type="dxa"/>
          </w:tcPr>
          <w:p w14:paraId="4C45BC9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14481</w:t>
            </w:r>
          </w:p>
        </w:tc>
      </w:tr>
      <w:tr w:rsidR="005106D0" w:rsidRPr="007224C3" w14:paraId="54AB5218" w14:textId="77777777">
        <w:tc>
          <w:tcPr>
            <w:tcW w:w="1657" w:type="dxa"/>
          </w:tcPr>
          <w:p w14:paraId="38B3F67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Замки Дер-21 с п/п</w:t>
            </w:r>
          </w:p>
        </w:tc>
        <w:tc>
          <w:tcPr>
            <w:tcW w:w="1145" w:type="dxa"/>
          </w:tcPr>
          <w:p w14:paraId="6B030AE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Комплект</w:t>
            </w:r>
          </w:p>
        </w:tc>
        <w:tc>
          <w:tcPr>
            <w:tcW w:w="1134" w:type="dxa"/>
          </w:tcPr>
          <w:p w14:paraId="6EC5E0F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2854</w:t>
            </w:r>
          </w:p>
        </w:tc>
        <w:tc>
          <w:tcPr>
            <w:tcW w:w="1134" w:type="dxa"/>
          </w:tcPr>
          <w:p w14:paraId="38541B4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3125</w:t>
            </w:r>
          </w:p>
        </w:tc>
        <w:tc>
          <w:tcPr>
            <w:tcW w:w="1134" w:type="dxa"/>
          </w:tcPr>
          <w:p w14:paraId="0DA6570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134" w:type="dxa"/>
          </w:tcPr>
          <w:p w14:paraId="41651C7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275" w:type="dxa"/>
          </w:tcPr>
          <w:p w14:paraId="5F016C7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5979</w:t>
            </w:r>
          </w:p>
        </w:tc>
      </w:tr>
      <w:tr w:rsidR="005106D0" w:rsidRPr="007224C3" w14:paraId="26180EC3" w14:textId="77777777">
        <w:tc>
          <w:tcPr>
            <w:tcW w:w="1657" w:type="dxa"/>
          </w:tcPr>
          <w:p w14:paraId="4B79516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Замки Д-3-42</w:t>
            </w:r>
          </w:p>
        </w:tc>
        <w:tc>
          <w:tcPr>
            <w:tcW w:w="1145" w:type="dxa"/>
          </w:tcPr>
          <w:p w14:paraId="083427A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Комплект</w:t>
            </w:r>
          </w:p>
        </w:tc>
        <w:tc>
          <w:tcPr>
            <w:tcW w:w="1134" w:type="dxa"/>
          </w:tcPr>
          <w:p w14:paraId="53E2A9C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1352</w:t>
            </w:r>
          </w:p>
        </w:tc>
        <w:tc>
          <w:tcPr>
            <w:tcW w:w="1134" w:type="dxa"/>
          </w:tcPr>
          <w:p w14:paraId="39973AC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3945</w:t>
            </w:r>
          </w:p>
        </w:tc>
        <w:tc>
          <w:tcPr>
            <w:tcW w:w="1134" w:type="dxa"/>
          </w:tcPr>
          <w:p w14:paraId="79B6290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134" w:type="dxa"/>
          </w:tcPr>
          <w:p w14:paraId="5C50B16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275" w:type="dxa"/>
          </w:tcPr>
          <w:p w14:paraId="1EB1CD2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5297</w:t>
            </w:r>
          </w:p>
        </w:tc>
      </w:tr>
      <w:tr w:rsidR="005106D0" w:rsidRPr="007224C3" w14:paraId="186B248A" w14:textId="77777777">
        <w:tc>
          <w:tcPr>
            <w:tcW w:w="1657" w:type="dxa"/>
          </w:tcPr>
          <w:p w14:paraId="03FB0E2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Замки Дер-20</w:t>
            </w:r>
          </w:p>
        </w:tc>
        <w:tc>
          <w:tcPr>
            <w:tcW w:w="1145" w:type="dxa"/>
          </w:tcPr>
          <w:p w14:paraId="515ADAA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Штук</w:t>
            </w:r>
          </w:p>
        </w:tc>
        <w:tc>
          <w:tcPr>
            <w:tcW w:w="1134" w:type="dxa"/>
          </w:tcPr>
          <w:p w14:paraId="2583863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134" w:type="dxa"/>
          </w:tcPr>
          <w:p w14:paraId="41C00F3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296</w:t>
            </w:r>
          </w:p>
        </w:tc>
        <w:tc>
          <w:tcPr>
            <w:tcW w:w="1134" w:type="dxa"/>
          </w:tcPr>
          <w:p w14:paraId="0014B62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w:t>
            </w:r>
          </w:p>
        </w:tc>
        <w:tc>
          <w:tcPr>
            <w:tcW w:w="1134" w:type="dxa"/>
          </w:tcPr>
          <w:p w14:paraId="359BE13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w:t>
            </w:r>
          </w:p>
        </w:tc>
        <w:tc>
          <w:tcPr>
            <w:tcW w:w="1275" w:type="dxa"/>
          </w:tcPr>
          <w:p w14:paraId="381BAA9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366</w:t>
            </w:r>
          </w:p>
        </w:tc>
      </w:tr>
      <w:tr w:rsidR="005106D0" w:rsidRPr="007224C3" w14:paraId="5EAE1C0C" w14:textId="77777777">
        <w:tc>
          <w:tcPr>
            <w:tcW w:w="1657" w:type="dxa"/>
          </w:tcPr>
          <w:p w14:paraId="61658DE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Замки Дер-19</w:t>
            </w:r>
          </w:p>
        </w:tc>
        <w:tc>
          <w:tcPr>
            <w:tcW w:w="1145" w:type="dxa"/>
          </w:tcPr>
          <w:p w14:paraId="1001097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Штук</w:t>
            </w:r>
          </w:p>
        </w:tc>
        <w:tc>
          <w:tcPr>
            <w:tcW w:w="1134" w:type="dxa"/>
          </w:tcPr>
          <w:p w14:paraId="12D414F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134" w:type="dxa"/>
          </w:tcPr>
          <w:p w14:paraId="6D33E95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410</w:t>
            </w:r>
          </w:p>
        </w:tc>
        <w:tc>
          <w:tcPr>
            <w:tcW w:w="1134" w:type="dxa"/>
          </w:tcPr>
          <w:p w14:paraId="7B8BAA9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107</w:t>
            </w:r>
          </w:p>
        </w:tc>
        <w:tc>
          <w:tcPr>
            <w:tcW w:w="1134" w:type="dxa"/>
          </w:tcPr>
          <w:p w14:paraId="381D143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w:t>
            </w:r>
          </w:p>
        </w:tc>
        <w:tc>
          <w:tcPr>
            <w:tcW w:w="1275" w:type="dxa"/>
          </w:tcPr>
          <w:p w14:paraId="4E9C567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547</w:t>
            </w:r>
          </w:p>
        </w:tc>
      </w:tr>
      <w:tr w:rsidR="005106D0" w:rsidRPr="007224C3" w14:paraId="6C8349DF" w14:textId="77777777">
        <w:tc>
          <w:tcPr>
            <w:tcW w:w="1657" w:type="dxa"/>
          </w:tcPr>
          <w:p w14:paraId="5876EC1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ВУБ-3</w:t>
            </w:r>
          </w:p>
        </w:tc>
        <w:tc>
          <w:tcPr>
            <w:tcW w:w="1145" w:type="dxa"/>
          </w:tcPr>
          <w:p w14:paraId="654D537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Штук</w:t>
            </w:r>
          </w:p>
        </w:tc>
        <w:tc>
          <w:tcPr>
            <w:tcW w:w="1134" w:type="dxa"/>
          </w:tcPr>
          <w:p w14:paraId="62875C1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134" w:type="dxa"/>
          </w:tcPr>
          <w:p w14:paraId="7DE494C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4383</w:t>
            </w:r>
          </w:p>
        </w:tc>
        <w:tc>
          <w:tcPr>
            <w:tcW w:w="1134" w:type="dxa"/>
          </w:tcPr>
          <w:p w14:paraId="452B850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8339</w:t>
            </w:r>
          </w:p>
        </w:tc>
        <w:tc>
          <w:tcPr>
            <w:tcW w:w="1134" w:type="dxa"/>
          </w:tcPr>
          <w:p w14:paraId="319A6FE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3490</w:t>
            </w:r>
          </w:p>
        </w:tc>
        <w:tc>
          <w:tcPr>
            <w:tcW w:w="1275" w:type="dxa"/>
          </w:tcPr>
          <w:p w14:paraId="0CC4948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16212</w:t>
            </w:r>
          </w:p>
        </w:tc>
      </w:tr>
      <w:tr w:rsidR="005106D0" w:rsidRPr="007224C3" w14:paraId="6549793A" w14:textId="77777777">
        <w:tc>
          <w:tcPr>
            <w:tcW w:w="1657" w:type="dxa"/>
          </w:tcPr>
          <w:p w14:paraId="03B5E4C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ВУБ-2</w:t>
            </w:r>
          </w:p>
        </w:tc>
        <w:tc>
          <w:tcPr>
            <w:tcW w:w="1145" w:type="dxa"/>
          </w:tcPr>
          <w:p w14:paraId="7415739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Штук</w:t>
            </w:r>
          </w:p>
        </w:tc>
        <w:tc>
          <w:tcPr>
            <w:tcW w:w="1134" w:type="dxa"/>
          </w:tcPr>
          <w:p w14:paraId="7600398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134" w:type="dxa"/>
          </w:tcPr>
          <w:p w14:paraId="01ABC99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134" w:type="dxa"/>
          </w:tcPr>
          <w:p w14:paraId="3661355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367</w:t>
            </w:r>
          </w:p>
        </w:tc>
        <w:tc>
          <w:tcPr>
            <w:tcW w:w="1134" w:type="dxa"/>
          </w:tcPr>
          <w:p w14:paraId="4A4921A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762</w:t>
            </w:r>
          </w:p>
        </w:tc>
        <w:tc>
          <w:tcPr>
            <w:tcW w:w="1275" w:type="dxa"/>
          </w:tcPr>
          <w:p w14:paraId="729BFD1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1129</w:t>
            </w:r>
          </w:p>
        </w:tc>
      </w:tr>
      <w:tr w:rsidR="005106D0" w:rsidRPr="007224C3" w14:paraId="26E82639" w14:textId="77777777">
        <w:tc>
          <w:tcPr>
            <w:tcW w:w="1657" w:type="dxa"/>
          </w:tcPr>
          <w:p w14:paraId="4EBC9B7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Наружная подвеска ИЛ-4</w:t>
            </w:r>
          </w:p>
        </w:tc>
        <w:tc>
          <w:tcPr>
            <w:tcW w:w="1145" w:type="dxa"/>
          </w:tcPr>
          <w:p w14:paraId="34A5AFB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Комплект</w:t>
            </w:r>
          </w:p>
        </w:tc>
        <w:tc>
          <w:tcPr>
            <w:tcW w:w="1134" w:type="dxa"/>
          </w:tcPr>
          <w:p w14:paraId="5353379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134" w:type="dxa"/>
          </w:tcPr>
          <w:p w14:paraId="3A880DC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580</w:t>
            </w:r>
          </w:p>
        </w:tc>
        <w:tc>
          <w:tcPr>
            <w:tcW w:w="1134" w:type="dxa"/>
          </w:tcPr>
          <w:p w14:paraId="108512B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230</w:t>
            </w:r>
          </w:p>
        </w:tc>
        <w:tc>
          <w:tcPr>
            <w:tcW w:w="1134" w:type="dxa"/>
          </w:tcPr>
          <w:p w14:paraId="5C2BA94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150</w:t>
            </w:r>
          </w:p>
        </w:tc>
        <w:tc>
          <w:tcPr>
            <w:tcW w:w="1275" w:type="dxa"/>
          </w:tcPr>
          <w:p w14:paraId="120A0ED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960</w:t>
            </w:r>
          </w:p>
        </w:tc>
      </w:tr>
      <w:tr w:rsidR="005106D0" w:rsidRPr="007224C3" w14:paraId="488F2E03" w14:textId="77777777">
        <w:tc>
          <w:tcPr>
            <w:tcW w:w="1657" w:type="dxa"/>
          </w:tcPr>
          <w:p w14:paraId="330F239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Наружная подвеска ЛИ-2</w:t>
            </w:r>
          </w:p>
        </w:tc>
        <w:tc>
          <w:tcPr>
            <w:tcW w:w="1145" w:type="dxa"/>
          </w:tcPr>
          <w:p w14:paraId="66D4106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Комплект</w:t>
            </w:r>
          </w:p>
        </w:tc>
        <w:tc>
          <w:tcPr>
            <w:tcW w:w="1134" w:type="dxa"/>
          </w:tcPr>
          <w:p w14:paraId="7085DEA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134" w:type="dxa"/>
          </w:tcPr>
          <w:p w14:paraId="5ABBEFC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400</w:t>
            </w:r>
          </w:p>
        </w:tc>
        <w:tc>
          <w:tcPr>
            <w:tcW w:w="1134" w:type="dxa"/>
          </w:tcPr>
          <w:p w14:paraId="76EAA53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525</w:t>
            </w:r>
          </w:p>
        </w:tc>
        <w:tc>
          <w:tcPr>
            <w:tcW w:w="1134" w:type="dxa"/>
          </w:tcPr>
          <w:p w14:paraId="22D04B5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225</w:t>
            </w:r>
          </w:p>
        </w:tc>
        <w:tc>
          <w:tcPr>
            <w:tcW w:w="1275" w:type="dxa"/>
          </w:tcPr>
          <w:p w14:paraId="2BE6992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1150</w:t>
            </w:r>
          </w:p>
        </w:tc>
      </w:tr>
      <w:tr w:rsidR="005106D0" w:rsidRPr="007224C3" w14:paraId="5E2AF947" w14:textId="77777777">
        <w:tc>
          <w:tcPr>
            <w:tcW w:w="1657" w:type="dxa"/>
          </w:tcPr>
          <w:p w14:paraId="37E4FAB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Торпедодержатель 2Т-18</w:t>
            </w:r>
          </w:p>
        </w:tc>
        <w:tc>
          <w:tcPr>
            <w:tcW w:w="1145" w:type="dxa"/>
          </w:tcPr>
          <w:p w14:paraId="6672045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Комплект</w:t>
            </w:r>
          </w:p>
        </w:tc>
        <w:tc>
          <w:tcPr>
            <w:tcW w:w="1134" w:type="dxa"/>
          </w:tcPr>
          <w:p w14:paraId="3F1E0FC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134" w:type="dxa"/>
          </w:tcPr>
          <w:p w14:paraId="7F4FC3F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212</w:t>
            </w:r>
          </w:p>
        </w:tc>
        <w:tc>
          <w:tcPr>
            <w:tcW w:w="1134" w:type="dxa"/>
          </w:tcPr>
          <w:p w14:paraId="321CEA6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270</w:t>
            </w:r>
          </w:p>
        </w:tc>
        <w:tc>
          <w:tcPr>
            <w:tcW w:w="1134" w:type="dxa"/>
          </w:tcPr>
          <w:p w14:paraId="1A59B3B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340</w:t>
            </w:r>
          </w:p>
        </w:tc>
        <w:tc>
          <w:tcPr>
            <w:tcW w:w="1275" w:type="dxa"/>
          </w:tcPr>
          <w:p w14:paraId="7E50005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822</w:t>
            </w:r>
          </w:p>
        </w:tc>
      </w:tr>
      <w:tr w:rsidR="005106D0" w:rsidRPr="007224C3" w14:paraId="0B8D2678" w14:textId="77777777">
        <w:tc>
          <w:tcPr>
            <w:tcW w:w="1657" w:type="dxa"/>
          </w:tcPr>
          <w:p w14:paraId="31A9FE9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Лафет ШВАК на ТУ-2</w:t>
            </w:r>
          </w:p>
        </w:tc>
        <w:tc>
          <w:tcPr>
            <w:tcW w:w="1145" w:type="dxa"/>
          </w:tcPr>
          <w:p w14:paraId="6199EDD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Комплект</w:t>
            </w:r>
          </w:p>
        </w:tc>
        <w:tc>
          <w:tcPr>
            <w:tcW w:w="1134" w:type="dxa"/>
          </w:tcPr>
          <w:p w14:paraId="6945D69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134" w:type="dxa"/>
          </w:tcPr>
          <w:p w14:paraId="3745A93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61</w:t>
            </w:r>
          </w:p>
        </w:tc>
        <w:tc>
          <w:tcPr>
            <w:tcW w:w="1134" w:type="dxa"/>
          </w:tcPr>
          <w:p w14:paraId="06792E0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429</w:t>
            </w:r>
          </w:p>
        </w:tc>
        <w:tc>
          <w:tcPr>
            <w:tcW w:w="1134" w:type="dxa"/>
          </w:tcPr>
          <w:p w14:paraId="71E65E0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916</w:t>
            </w:r>
          </w:p>
        </w:tc>
        <w:tc>
          <w:tcPr>
            <w:tcW w:w="1275" w:type="dxa"/>
          </w:tcPr>
          <w:p w14:paraId="2DB172C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1406</w:t>
            </w:r>
          </w:p>
        </w:tc>
      </w:tr>
      <w:tr w:rsidR="005106D0" w:rsidRPr="007224C3" w14:paraId="3CF5A9B3" w14:textId="77777777">
        <w:tc>
          <w:tcPr>
            <w:tcW w:w="1657" w:type="dxa"/>
          </w:tcPr>
          <w:p w14:paraId="41098BD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Блистерная установка на ТУ-2</w:t>
            </w:r>
          </w:p>
        </w:tc>
        <w:tc>
          <w:tcPr>
            <w:tcW w:w="1145" w:type="dxa"/>
          </w:tcPr>
          <w:p w14:paraId="264633B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Штук</w:t>
            </w:r>
          </w:p>
        </w:tc>
        <w:tc>
          <w:tcPr>
            <w:tcW w:w="1134" w:type="dxa"/>
          </w:tcPr>
          <w:p w14:paraId="6E3B867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134" w:type="dxa"/>
          </w:tcPr>
          <w:p w14:paraId="7CA274E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w:t>
            </w:r>
          </w:p>
        </w:tc>
        <w:tc>
          <w:tcPr>
            <w:tcW w:w="1134" w:type="dxa"/>
          </w:tcPr>
          <w:p w14:paraId="7F6B642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453</w:t>
            </w:r>
          </w:p>
        </w:tc>
        <w:tc>
          <w:tcPr>
            <w:tcW w:w="1134" w:type="dxa"/>
          </w:tcPr>
          <w:p w14:paraId="55EE532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898</w:t>
            </w:r>
          </w:p>
        </w:tc>
        <w:tc>
          <w:tcPr>
            <w:tcW w:w="1275" w:type="dxa"/>
          </w:tcPr>
          <w:p w14:paraId="32FA074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1411</w:t>
            </w:r>
          </w:p>
        </w:tc>
      </w:tr>
      <w:tr w:rsidR="005106D0" w:rsidRPr="007224C3" w14:paraId="669B9088" w14:textId="77777777">
        <w:tc>
          <w:tcPr>
            <w:tcW w:w="1657" w:type="dxa"/>
          </w:tcPr>
          <w:p w14:paraId="377C046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Аварийный сбрасыватель на ТУ-2</w:t>
            </w:r>
          </w:p>
        </w:tc>
        <w:tc>
          <w:tcPr>
            <w:tcW w:w="1145" w:type="dxa"/>
          </w:tcPr>
          <w:p w14:paraId="2BC0DA9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Штук</w:t>
            </w:r>
          </w:p>
        </w:tc>
        <w:tc>
          <w:tcPr>
            <w:tcW w:w="1134" w:type="dxa"/>
          </w:tcPr>
          <w:p w14:paraId="208F05D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134" w:type="dxa"/>
          </w:tcPr>
          <w:p w14:paraId="29E0A07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w:t>
            </w:r>
          </w:p>
        </w:tc>
        <w:tc>
          <w:tcPr>
            <w:tcW w:w="1134" w:type="dxa"/>
          </w:tcPr>
          <w:p w14:paraId="2977C88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491</w:t>
            </w:r>
          </w:p>
        </w:tc>
        <w:tc>
          <w:tcPr>
            <w:tcW w:w="1134" w:type="dxa"/>
          </w:tcPr>
          <w:p w14:paraId="73547C5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286</w:t>
            </w:r>
          </w:p>
        </w:tc>
        <w:tc>
          <w:tcPr>
            <w:tcW w:w="1275" w:type="dxa"/>
          </w:tcPr>
          <w:p w14:paraId="0B340B2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837</w:t>
            </w:r>
          </w:p>
        </w:tc>
      </w:tr>
      <w:tr w:rsidR="005106D0" w:rsidRPr="007224C3" w14:paraId="56F017F2" w14:textId="77777777">
        <w:tc>
          <w:tcPr>
            <w:tcW w:w="1657" w:type="dxa"/>
          </w:tcPr>
          <w:p w14:paraId="79049D4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Кассета ПКД-2</w:t>
            </w:r>
          </w:p>
        </w:tc>
        <w:tc>
          <w:tcPr>
            <w:tcW w:w="1145" w:type="dxa"/>
          </w:tcPr>
          <w:p w14:paraId="4113826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Штук</w:t>
            </w:r>
          </w:p>
        </w:tc>
        <w:tc>
          <w:tcPr>
            <w:tcW w:w="1134" w:type="dxa"/>
          </w:tcPr>
          <w:p w14:paraId="247E141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134" w:type="dxa"/>
          </w:tcPr>
          <w:p w14:paraId="13D48C9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tc>
        <w:tc>
          <w:tcPr>
            <w:tcW w:w="1134" w:type="dxa"/>
          </w:tcPr>
          <w:p w14:paraId="5C217FF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461</w:t>
            </w:r>
          </w:p>
        </w:tc>
        <w:tc>
          <w:tcPr>
            <w:tcW w:w="1134" w:type="dxa"/>
          </w:tcPr>
          <w:p w14:paraId="0C366EF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880</w:t>
            </w:r>
          </w:p>
        </w:tc>
        <w:tc>
          <w:tcPr>
            <w:tcW w:w="1275" w:type="dxa"/>
          </w:tcPr>
          <w:p w14:paraId="1F4C8DF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1342</w:t>
            </w:r>
          </w:p>
        </w:tc>
      </w:tr>
      <w:tr w:rsidR="005106D0" w:rsidRPr="007224C3" w14:paraId="49556928" w14:textId="77777777">
        <w:tc>
          <w:tcPr>
            <w:tcW w:w="1657" w:type="dxa"/>
          </w:tcPr>
          <w:p w14:paraId="53D3947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Пиропистолет</w:t>
            </w:r>
          </w:p>
        </w:tc>
        <w:tc>
          <w:tcPr>
            <w:tcW w:w="1145" w:type="dxa"/>
          </w:tcPr>
          <w:p w14:paraId="76F3E5E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Штук</w:t>
            </w:r>
          </w:p>
        </w:tc>
        <w:tc>
          <w:tcPr>
            <w:tcW w:w="1134" w:type="dxa"/>
          </w:tcPr>
          <w:p w14:paraId="05C8E4F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134" w:type="dxa"/>
          </w:tcPr>
          <w:p w14:paraId="07044A7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134" w:type="dxa"/>
          </w:tcPr>
          <w:p w14:paraId="4AA9B1A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2939</w:t>
            </w:r>
          </w:p>
        </w:tc>
        <w:tc>
          <w:tcPr>
            <w:tcW w:w="1134" w:type="dxa"/>
          </w:tcPr>
          <w:p w14:paraId="6B1198F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1692</w:t>
            </w:r>
          </w:p>
        </w:tc>
        <w:tc>
          <w:tcPr>
            <w:tcW w:w="1275" w:type="dxa"/>
          </w:tcPr>
          <w:p w14:paraId="1D25AC7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4631</w:t>
            </w:r>
          </w:p>
        </w:tc>
      </w:tr>
    </w:tbl>
    <w:p w14:paraId="6CAFF1E7" w14:textId="77777777" w:rsidR="00595BFB" w:rsidRPr="007224C3" w:rsidRDefault="00595BFB" w:rsidP="007224C3">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Работа завода в переходный период (май 1945 года – май 1946 года), когда завод в значительных размераз снизил выпуск военной продукции и перешел на производство и выпуск гражданской продукции и изделий широкого потребления.</w:t>
      </w:r>
    </w:p>
    <w:p w14:paraId="34E02AF9" w14:textId="77777777" w:rsidR="00595BFB" w:rsidRPr="007224C3" w:rsidRDefault="00595BFB" w:rsidP="007224C3">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Работа завода в период осовения и выпуска нового электрофицированного стрелково-пушечного вооружения и специзделий реактивной техники.</w:t>
      </w:r>
    </w:p>
    <w:p w14:paraId="16DD564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Начиная с мая 1946 года завод получил задание приступить к организации производства по освоению и выпуску электрофицированного дистанционного стрелково-пушечного вооружения СВ-20 на самолет ТУ-4.</w:t>
      </w:r>
    </w:p>
    <w:p w14:paraId="4443574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Постановлением СМ от 14 ноября 1949 года за № 5185-1930сс и приказом МАП от 17 ноября 1949 года за № 914с ОКБ-43 гл. конструктора Торопова И.И. было переведено на новые площади реорганизованного завода № 134.</w:t>
      </w:r>
    </w:p>
    <w:p w14:paraId="667914B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связи с этим ОКБ-43 было реорганизовано в опытный завод по вооружению самолетов с присвоением ему № 134.</w:t>
      </w:r>
    </w:p>
    <w:p w14:paraId="4E1B9D7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Адрес: Москва, Д-40, ул. Правды, д. 8</w:t>
      </w:r>
    </w:p>
    <w:p w14:paraId="1474F64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Производственный профиль – специзделия ракетной техники и стрелково-пушечное вооружение с электроагрегатами (9828).</w:t>
      </w:r>
    </w:p>
    <w:p w14:paraId="661830D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17AE42"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2C84EC4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26817A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мая 1944 г. были подготовлены СООБРАЖЕНИЯ НАЧАЛЬНИКА ГБТУ КА НАРОДНОМУ КОМИССАРУ ТАНКОВОЙ ПРОМЫШЛЕННОСТИ СССР В.А. МАЛЫШЕВУ ПО ВОПРОСУ БРОНИРОВАНИЯ ТАНКА Т-44</w:t>
      </w:r>
    </w:p>
    <w:p w14:paraId="6E60820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докладе военного совета БТи МВ КАт. Берия от 17.03.1944 г. о результатах полигонных испы</w:t>
      </w:r>
      <w:r w:rsidRPr="007224C3">
        <w:rPr>
          <w:rFonts w:ascii="Times New Roman" w:hAnsi="Times New Roman"/>
          <w:color w:val="000000" w:themeColor="text1"/>
          <w:sz w:val="16"/>
          <w:szCs w:val="16"/>
        </w:rPr>
        <w:softHyphen/>
        <w:t>таний первого опытного образца танка Т-44 поставлен вопрос о необходимости увеличения толщи</w:t>
      </w:r>
      <w:r w:rsidRPr="007224C3">
        <w:rPr>
          <w:rFonts w:ascii="Times New Roman" w:hAnsi="Times New Roman"/>
          <w:color w:val="000000" w:themeColor="text1"/>
          <w:sz w:val="16"/>
          <w:szCs w:val="16"/>
        </w:rPr>
        <w:softHyphen/>
        <w:t>ны нового листа корпуса танка Т-44 до 90 мм.</w:t>
      </w:r>
    </w:p>
    <w:p w14:paraId="0768A23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своем ответе маршалу бронетанковых войск т. Федоренко на письмо т. Берия вы сообщаете, что Наркомтанкопромом принято решение об изготовлении опытных образцов танков Т-44 с уче</w:t>
      </w:r>
      <w:r w:rsidRPr="007224C3">
        <w:rPr>
          <w:rFonts w:ascii="Times New Roman" w:hAnsi="Times New Roman"/>
          <w:color w:val="000000" w:themeColor="text1"/>
          <w:sz w:val="16"/>
          <w:szCs w:val="16"/>
        </w:rPr>
        <w:softHyphen/>
        <w:t>том устранения выявленных при испытаниях дефектов.</w:t>
      </w:r>
    </w:p>
    <w:p w14:paraId="5423920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Однако толщина носового листа корпуса сохранена прежней, т.е. 75 мм.</w:t>
      </w:r>
    </w:p>
    <w:p w14:paraId="73A73C3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апреля 1944 года военный совет БТ и МВ КА вторично поставил вопрос перед т. Берия о не</w:t>
      </w:r>
      <w:r w:rsidRPr="007224C3">
        <w:rPr>
          <w:rFonts w:ascii="Times New Roman" w:hAnsi="Times New Roman"/>
          <w:color w:val="000000" w:themeColor="text1"/>
          <w:sz w:val="16"/>
          <w:szCs w:val="16"/>
        </w:rPr>
        <w:softHyphen/>
        <w:t>обходимости увеличения толщины верхнего лобового листа корпуса до 90 мм.</w:t>
      </w:r>
    </w:p>
    <w:p w14:paraId="71BED47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Невыполнение этого требования, резко снижает преимущества танка Т-44 перед танком Т-34 (тем более модернизированным).</w:t>
      </w:r>
    </w:p>
    <w:p w14:paraId="40EAA1A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 как опытный образец танка Т-44, предназначенный для полигонных испытаний и корпус, подлежащий обстрелу уже готовы, прошу Вашего указания директору завода №183 о срочной обра</w:t>
      </w:r>
      <w:r w:rsidRPr="007224C3">
        <w:rPr>
          <w:rFonts w:ascii="Times New Roman" w:hAnsi="Times New Roman"/>
          <w:color w:val="000000" w:themeColor="text1"/>
          <w:sz w:val="16"/>
          <w:szCs w:val="16"/>
        </w:rPr>
        <w:softHyphen/>
        <w:t>ботке чертежей танка Т-44 с толщиной верхнего лобового листа корпуса 90 мм.</w:t>
      </w:r>
    </w:p>
    <w:p w14:paraId="0447EF8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 вашем решении прошу поставить меня в известность.</w:t>
      </w:r>
    </w:p>
    <w:p w14:paraId="56BC53B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ГБТУ КА генерал-лейтенант танковых войск Вершинин</w:t>
      </w:r>
    </w:p>
    <w:p w14:paraId="11E5BA7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Начальник ТУ ГБТУ КА генерал-майор инженерно-танковой службы Афонин </w:t>
      </w:r>
    </w:p>
    <w:p w14:paraId="352EB57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33. Оп. 11355. Д. 2210. Л. 50. Подлинник (11420).</w:t>
      </w:r>
    </w:p>
    <w:p w14:paraId="5BF4F22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FA53B3"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мая 1944 вышло Распоряжение ГКО № 5969 [О призыве в Одесской обл. 1 тыс. женщин для работы в полевых прачечных отрядах 3 УФ.] (7236, 157).</w:t>
      </w:r>
    </w:p>
    <w:p w14:paraId="4469E733"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DD75BF5"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мая 1944 вышло Постановление ГКО № 5970 О дополнительном учреждении переходящих Красных знамен Государственного Комитета Обороны для предприятий Наркомцветмета, Наркомхимпрома, Наркомморфлота, Наркомавиапрома, Наркомпищепрома СССР и Наркомлеса СССР. (7236, 158-159).</w:t>
      </w:r>
    </w:p>
    <w:p w14:paraId="39EF83F8"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4A6A34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мая 1944 в Белоруссии при катастрофе самолета погиб парашютист В.И.Харахонов (438,904).</w:t>
      </w:r>
    </w:p>
    <w:p w14:paraId="77D1A62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DF8F6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и 31 мая 1944 Поднят флаг ВМФ СССР на 11-м МБК (построен за 6 мес. 20 дней), а 13-й предъявлен к государственным сдаточным испытаниям, начатым 31 мая; заложены на стапельных местах 18 и 19-й МБК, спущен на воду 14-й. Балтийцы в это же время провели государственные испытания и передали флоту 3-й и 4-й ТИТ (построены за 10 мес.), закончили ремонт ПЛ П-3 и С-4 (10671).</w:t>
      </w:r>
    </w:p>
    <w:p w14:paraId="5B8CC0C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1CC56C7"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5729EAE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E24AABA" w14:textId="77777777" w:rsidR="004A7685" w:rsidRPr="007224C3" w:rsidRDefault="004A7685"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30 мая</w:t>
      </w:r>
      <w:r w:rsidRPr="007224C3">
        <w:rPr>
          <w:rFonts w:ascii="Times New Roman" w:hAnsi="Times New Roman"/>
          <w:color w:val="000000" w:themeColor="text1"/>
          <w:sz w:val="16"/>
          <w:szCs w:val="16"/>
        </w:rPr>
        <w:t xml:space="preserve"> в 1944 году оперативная сводка Совинформбюро:</w:t>
      </w:r>
    </w:p>
    <w:p w14:paraId="5FB69E79" w14:textId="77777777" w:rsidR="004A7685" w:rsidRPr="007224C3" w:rsidRDefault="004A768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30 мая в районе севернее Яссы наши войска отбивали атаки крупных сил пехоты и танков противника. Ценою больших потерь в живой силе и технике противнику удалось незначительно вклиниться в нашу оборону. По предварительным данным, за день боя наши войска уничтожили и подбили 50 немецких танков и сбили 36 самолётов.</w:t>
      </w:r>
    </w:p>
    <w:p w14:paraId="7BEA805D" w14:textId="77777777" w:rsidR="004A7685" w:rsidRPr="007224C3" w:rsidRDefault="004A768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остальных участках фронта — без перемен.</w:t>
      </w:r>
    </w:p>
    <w:p w14:paraId="6E4B6C04" w14:textId="77777777" w:rsidR="004A7685" w:rsidRPr="007224C3" w:rsidRDefault="004A768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29 мая в воздушных боях и огнём зенитной артиллерии сбито 16 самолётов противника.</w:t>
      </w:r>
    </w:p>
    <w:p w14:paraId="5E7BB596" w14:textId="77777777" w:rsidR="004A7685" w:rsidRPr="007224C3" w:rsidRDefault="004A768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Севернее города Яссы противник после сильной артиллерийской подготовки атаковал наши позиции. На узком участке немцы ввели в бой крупные силы танков ипехоты, рассчитывая одним ударом сломить сопротивление советских войск. Немцам благодаря большому численному превосходству удалось незначительно вклиниться в нашу оборону. Завязались ожесточённые бои, в ходе которых противник несёт большие потери в живой силе и технике.</w:t>
      </w:r>
    </w:p>
    <w:p w14:paraId="4AF21721" w14:textId="77777777" w:rsidR="004A7685" w:rsidRPr="007224C3" w:rsidRDefault="004A768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города Тирасполь противник пытался вести разведку боем. Выждав, когда гитлеровцы вышли на открытую местность, бойцы Н-ской части открыли миномётный и пулемётный огонь. Оставив на подступах к нашим позициям 60 убитых своих солдат и офицеров, немцы отступили. Снайперы Н-ского подразделения за последние пять дней уничтожили 48 немецких солдат и офицеров.</w:t>
      </w:r>
    </w:p>
    <w:p w14:paraId="446E2C72" w14:textId="77777777" w:rsidR="004A7685" w:rsidRPr="007224C3" w:rsidRDefault="004A768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Северо-западнее города Витебск полк немецкой пехоты, усиленный танками, рано утром атаковал наши подразделения. Советские бойцы встретили противника сосредоточенным огнём и вынудили его отступить. Дальнейшие атаки немцев успеха не имели. Наши подразделения за день уничтожили до 400 немецких солдат и офицеров, подбили 3 танка и одно самоходное орудие. Советские лётчики в воздушных боях сбили 4 самолёта противника.</w:t>
      </w:r>
    </w:p>
    <w:p w14:paraId="51ABFAFD" w14:textId="77777777" w:rsidR="004A7685" w:rsidRPr="007224C3" w:rsidRDefault="004A768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Авиация Краснознамённого Балтийского флота 29 мая нанесла бомбово-штурмовой удар по кораблям противника в Нарвском заливе. Прямыми попаданиями бомб потоплены три немецких тральщика, быстроходная десантная баржа и сторожевой катер.</w:t>
      </w:r>
    </w:p>
    <w:p w14:paraId="4DC89320" w14:textId="77777777" w:rsidR="004A7685" w:rsidRPr="007224C3" w:rsidRDefault="004A768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воздушных боях советские лётчики-истребители сбили 19 немецких самолётов. Два наших самолёта не вернулись на свои аэродромы.</w:t>
      </w:r>
    </w:p>
    <w:p w14:paraId="22C11CF3" w14:textId="77777777" w:rsidR="004A7685" w:rsidRPr="007224C3" w:rsidRDefault="004A768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ночь на 30 мая корабли Балтийского флота атаковали в Нарвском заливе три тральщика противника. В результате атаки потоплены два тральщика. Третьему немецкому тральщику нанесены серьёзные повреждения.</w:t>
      </w:r>
    </w:p>
    <w:p w14:paraId="65806673" w14:textId="77777777" w:rsidR="004A7685" w:rsidRPr="007224C3" w:rsidRDefault="004A768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Несколько литовских партизанских отрядов за две недели пустили под откос 7 воинских эшелонов противника. Разбито 6 паровозов, 70 вагонов и платформ. Движение поездов на важном участке железной дороги было прервано в общей сложности на шесть суток. Литовский партизанский отряд «Пирмин» разгромил немецкий гарнизон в одном населённом пункте и захватил большие трофеи.</w:t>
      </w:r>
    </w:p>
    <w:p w14:paraId="09E73142" w14:textId="77777777" w:rsidR="004A7685" w:rsidRPr="007224C3" w:rsidRDefault="004A768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сторону Красной Армии переходят группы румынских солдат из состава разных дивизий. Перебежчики рассказывают о росте дезертирства в румынской армии. Капрал 1 румынского кавалерийского полка Нестор Т. сообщил: «Очень многие румыны не хотят больше воевать за Германию. Об этом говорят довольно открыто. За две недели из эскадрона, в котором я служил, дезертировало 30 солдат. Многие дезертиры ушли в горы и леса».</w:t>
      </w:r>
    </w:p>
    <w:p w14:paraId="05595E89" w14:textId="77777777" w:rsidR="004A7685" w:rsidRPr="007224C3" w:rsidRDefault="004A768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Пленный солдат 6 полка 14 румынской пехотной дивизии Василе Д. рассказал: «В лесу близ деревни П. скрывается много солдат, бежавших из различных частей. Они организовали партизанский отряд для борьбы с немцами».</w:t>
      </w:r>
    </w:p>
    <w:p w14:paraId="508C7207" w14:textId="77777777" w:rsidR="004A7685" w:rsidRPr="007224C3" w:rsidRDefault="004A768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Пленные солдаты 27 полка 6 румынской пехотной дивизии рассказали: «Немцы задержали 12 солдат нашего полка, пытавшихся перебежать к русским. По приказу командира дивизии Георгиу всех пойманных солдат расстреляли. Расстреливал солдат немецкий лейтенант».</w:t>
      </w:r>
    </w:p>
    <w:p w14:paraId="36FF6297" w14:textId="77777777" w:rsidR="004A7685" w:rsidRPr="007224C3" w:rsidRDefault="004A768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Солдат 13 полка 14 румынской пехотной дивизии Григор С. сообщил: «За последнее время из нашего полка дезертировало более 200 солдат. На днях командир полка перед строем заявил, что приняты меры к розыску и поимке беглецов. Нам объявили приказ, в котором говорится, что солдат не имеет права без разрешения своего командира сделать ни одного шага в сторону русских. Всякий, кто самовольно удалится от своих позиций, будет рассматриваться как перебежчик» (14907).</w:t>
      </w:r>
    </w:p>
    <w:p w14:paraId="7E7611D8" w14:textId="77777777" w:rsidR="004A7685" w:rsidRPr="007224C3" w:rsidRDefault="004A7685" w:rsidP="007224C3">
      <w:pPr>
        <w:spacing w:after="0" w:line="240" w:lineRule="auto"/>
        <w:jc w:val="both"/>
        <w:rPr>
          <w:rFonts w:ascii="Times New Roman" w:hAnsi="Times New Roman"/>
          <w:color w:val="000000" w:themeColor="text1"/>
          <w:sz w:val="16"/>
          <w:szCs w:val="16"/>
        </w:rPr>
      </w:pPr>
    </w:p>
    <w:p w14:paraId="12978741" w14:textId="77777777" w:rsidR="00827943" w:rsidRPr="007224C3" w:rsidRDefault="0082794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30-го мая 1944 45-я АДДД перелетела с подмосковного аэродрома Кратово, на котором ее авиаполки постоянно бази</w:t>
      </w:r>
      <w:r w:rsidRPr="007224C3">
        <w:rPr>
          <w:rFonts w:ascii="Times New Roman" w:hAnsi="Times New Roman"/>
          <w:color w:val="000000" w:themeColor="text1"/>
          <w:sz w:val="16"/>
          <w:szCs w:val="16"/>
        </w:rPr>
        <w:softHyphen/>
        <w:t>ровались с апреля 1942-го года, на аэ</w:t>
      </w:r>
      <w:r w:rsidRPr="007224C3">
        <w:rPr>
          <w:rFonts w:ascii="Times New Roman" w:hAnsi="Times New Roman"/>
          <w:color w:val="000000" w:themeColor="text1"/>
          <w:sz w:val="16"/>
          <w:szCs w:val="16"/>
        </w:rPr>
        <w:softHyphen/>
        <w:t>родром Олсуфьево (в Брянской области) поближе к ушедшему на запад фронту (19559).</w:t>
      </w:r>
    </w:p>
    <w:p w14:paraId="5A2C7EC9" w14:textId="77777777" w:rsidR="00827943" w:rsidRPr="007224C3" w:rsidRDefault="00827943" w:rsidP="007224C3">
      <w:pPr>
        <w:spacing w:after="0" w:line="240" w:lineRule="auto"/>
        <w:jc w:val="both"/>
        <w:rPr>
          <w:rFonts w:ascii="Times New Roman" w:hAnsi="Times New Roman"/>
          <w:color w:val="000000" w:themeColor="text1"/>
          <w:sz w:val="16"/>
          <w:szCs w:val="16"/>
        </w:rPr>
      </w:pPr>
    </w:p>
    <w:p w14:paraId="7808CB5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мая 1944 немцы перешел в контрнаступление си</w:t>
      </w:r>
      <w:r w:rsidRPr="007224C3">
        <w:rPr>
          <w:rFonts w:ascii="Times New Roman" w:hAnsi="Times New Roman"/>
          <w:color w:val="000000" w:themeColor="text1"/>
          <w:sz w:val="16"/>
          <w:szCs w:val="16"/>
        </w:rPr>
        <w:softHyphen/>
        <w:t>лами 10 дивизий, при этом его авиация работала уже втрое интенсивнее нашей. Тогда командова</w:t>
      </w:r>
      <w:r w:rsidRPr="007224C3">
        <w:rPr>
          <w:rFonts w:ascii="Times New Roman" w:hAnsi="Times New Roman"/>
          <w:color w:val="000000" w:themeColor="text1"/>
          <w:sz w:val="16"/>
          <w:szCs w:val="16"/>
        </w:rPr>
        <w:softHyphen/>
        <w:t>ние 5-й ВА изменило тактику, начав применять эшелонированные построения, а вместо непо</w:t>
      </w:r>
      <w:r w:rsidRPr="007224C3">
        <w:rPr>
          <w:rFonts w:ascii="Times New Roman" w:hAnsi="Times New Roman"/>
          <w:color w:val="000000" w:themeColor="text1"/>
          <w:sz w:val="16"/>
          <w:szCs w:val="16"/>
        </w:rPr>
        <w:softHyphen/>
        <w:t>средственного прикрытия штурмовиков — «рас</w:t>
      </w:r>
      <w:r w:rsidRPr="007224C3">
        <w:rPr>
          <w:rFonts w:ascii="Times New Roman" w:hAnsi="Times New Roman"/>
          <w:color w:val="000000" w:themeColor="text1"/>
          <w:sz w:val="16"/>
          <w:szCs w:val="16"/>
        </w:rPr>
        <w:softHyphen/>
        <w:t>чистку воздуха» за 3-5 минут до их прибытия. Осо</w:t>
      </w:r>
      <w:r w:rsidRPr="007224C3">
        <w:rPr>
          <w:rFonts w:ascii="Times New Roman" w:hAnsi="Times New Roman"/>
          <w:color w:val="000000" w:themeColor="text1"/>
          <w:sz w:val="16"/>
          <w:szCs w:val="16"/>
        </w:rPr>
        <w:softHyphen/>
        <w:t>бое внимание было уделено взаимодействию ударных и прикрывающих групп. Характерный воздушный поединок состоялся 1 июня. Восьмер</w:t>
      </w:r>
      <w:r w:rsidRPr="007224C3">
        <w:rPr>
          <w:rFonts w:ascii="Times New Roman" w:hAnsi="Times New Roman"/>
          <w:color w:val="000000" w:themeColor="text1"/>
          <w:sz w:val="16"/>
          <w:szCs w:val="16"/>
        </w:rPr>
        <w:softHyphen/>
        <w:t>ка Ла-5 из 240-го ИАП, которую вел Кирилл Ев</w:t>
      </w:r>
      <w:r w:rsidRPr="007224C3">
        <w:rPr>
          <w:rFonts w:ascii="Times New Roman" w:hAnsi="Times New Roman"/>
          <w:color w:val="000000" w:themeColor="text1"/>
          <w:sz w:val="16"/>
          <w:szCs w:val="16"/>
        </w:rPr>
        <w:softHyphen/>
        <w:t>стигнеев, заметила большую группу Ю87. Опыт</w:t>
      </w:r>
      <w:r w:rsidRPr="007224C3">
        <w:rPr>
          <w:rFonts w:ascii="Times New Roman" w:hAnsi="Times New Roman"/>
          <w:color w:val="000000" w:themeColor="text1"/>
          <w:sz w:val="16"/>
          <w:szCs w:val="16"/>
        </w:rPr>
        <w:softHyphen/>
        <w:t>ный ведущий понял, что если прикрытия с ними нет, то оно где-то рядом, и появившиеся «мессе</w:t>
      </w:r>
      <w:r w:rsidRPr="007224C3">
        <w:rPr>
          <w:rFonts w:ascii="Times New Roman" w:hAnsi="Times New Roman"/>
          <w:color w:val="000000" w:themeColor="text1"/>
          <w:sz w:val="16"/>
          <w:szCs w:val="16"/>
        </w:rPr>
        <w:softHyphen/>
        <w:t>ры» внезапности не достигли. Уклонившись от ата</w:t>
      </w:r>
      <w:r w:rsidRPr="007224C3">
        <w:rPr>
          <w:rFonts w:ascii="Times New Roman" w:hAnsi="Times New Roman"/>
          <w:color w:val="000000" w:themeColor="text1"/>
          <w:sz w:val="16"/>
          <w:szCs w:val="16"/>
        </w:rPr>
        <w:softHyphen/>
        <w:t>ки, «Лавочкины» сбили один пикировщик, осталь</w:t>
      </w:r>
      <w:r w:rsidRPr="007224C3">
        <w:rPr>
          <w:rFonts w:ascii="Times New Roman" w:hAnsi="Times New Roman"/>
          <w:color w:val="000000" w:themeColor="text1"/>
          <w:sz w:val="16"/>
          <w:szCs w:val="16"/>
        </w:rPr>
        <w:softHyphen/>
        <w:t>ные сбросили бомбы и, построившись оборони</w:t>
      </w:r>
      <w:r w:rsidRPr="007224C3">
        <w:rPr>
          <w:rFonts w:ascii="Times New Roman" w:hAnsi="Times New Roman"/>
          <w:color w:val="000000" w:themeColor="text1"/>
          <w:sz w:val="16"/>
          <w:szCs w:val="16"/>
        </w:rPr>
        <w:softHyphen/>
        <w:t>тельной «змейкой», развернулись домой. Теперь настало время разобраться с истребителями. Противник оказался неслабый — ВТ 1090-1 О/АЗ из ИДЮ 52, но в скоротечном бою 3 вражеских са</w:t>
      </w:r>
      <w:r w:rsidRPr="007224C3">
        <w:rPr>
          <w:rFonts w:ascii="Times New Roman" w:hAnsi="Times New Roman"/>
          <w:color w:val="000000" w:themeColor="text1"/>
          <w:sz w:val="16"/>
          <w:szCs w:val="16"/>
        </w:rPr>
        <w:softHyphen/>
        <w:t>молета были сбиты, 240-й ИАП и сухопутные вой</w:t>
      </w:r>
      <w:r w:rsidRPr="007224C3">
        <w:rPr>
          <w:rFonts w:ascii="Times New Roman" w:hAnsi="Times New Roman"/>
          <w:color w:val="000000" w:themeColor="text1"/>
          <w:sz w:val="16"/>
          <w:szCs w:val="16"/>
        </w:rPr>
        <w:softHyphen/>
        <w:t>ска потерь не понесли (11123).</w:t>
      </w:r>
    </w:p>
    <w:p w14:paraId="046EDA0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BADE76D"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мая 1944 немецкие танки вклинились в оборону советских войск севернее г. Яссы (4962).</w:t>
      </w:r>
    </w:p>
    <w:p w14:paraId="499407A1"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EF58CD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May 30th, 1944: German forces of Heeresgruppe Sudukraine begin a counter-attack near Jassy on the lower Dnestr river (3819).</w:t>
      </w:r>
    </w:p>
    <w:p w14:paraId="3D282C4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9369CE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мая 1944 Группа Южная Украина начала контрнаступление под Яссами в нижнем течении Днестра (3819).</w:t>
      </w:r>
    </w:p>
    <w:p w14:paraId="4F2DCA8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BF152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мая 1944 вышло Постановление ГКО № 5968 Об освобождении от должности начальника штаба АДД Шевелева М.И. РГАНИР, Фонд ГКО, д. 257, лл. 156 (11012).</w:t>
      </w:r>
    </w:p>
    <w:p w14:paraId="7F9C366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6E05CE5"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Жизнь и внутренняя политика:</w:t>
      </w:r>
    </w:p>
    <w:p w14:paraId="085895A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97321E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мая 1944 вышло Постановление ГКО № 5971 О мероприятиях по жилищному хозяйству г. Москвы. РГАНИР, Фонд ГКО, д. 257, лл. 160-163,164-170 (11012).</w:t>
      </w:r>
    </w:p>
    <w:p w14:paraId="60E8981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620CB1B"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431CAF9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189C5DB" w14:textId="77777777" w:rsidR="00276C61" w:rsidRPr="007224C3" w:rsidRDefault="00276C61"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30 мая 1944 первый полет Pilatus SB-2 (20373).</w:t>
      </w:r>
    </w:p>
    <w:p w14:paraId="0D78380E" w14:textId="77777777" w:rsidR="00276C61" w:rsidRPr="007224C3" w:rsidRDefault="00276C61" w:rsidP="007224C3">
      <w:pPr>
        <w:spacing w:after="0" w:line="240" w:lineRule="auto"/>
        <w:jc w:val="both"/>
        <w:rPr>
          <w:rFonts w:ascii="Times New Roman" w:hAnsi="Times New Roman"/>
          <w:color w:val="0070C0"/>
          <w:sz w:val="16"/>
          <w:szCs w:val="16"/>
        </w:rPr>
      </w:pPr>
    </w:p>
    <w:p w14:paraId="580B2E3A" w14:textId="77777777" w:rsidR="00276C61" w:rsidRPr="007224C3" w:rsidRDefault="00276C61"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30 мая 1944 - Первый полет Pilatus SB-2. В Швейцарской высшей технической школе Цюриха создали конструкторское бюро во главе с инженером Хансом Белартом. Задачей бюро стала разработка лёгкого самолёта, адаптированного под рельеф местности Швейцарии. В силу того, что конструкторы часто призывались на военные сборы (время всё же было неспокойное), работа над новой машиной шла медленно и постоянно приостанавливалась. В итоге в 1943 году было решено за 180 000 швейцарских франков продать проект Pilatus Aircraft, где он получил обозначение Pilatus SB-2 Pelican. Гористая местность накладывала ограничения на размеры взлётно-посадочных полос, поэтому самолёт устойчиво летал на низких скоростях и мог взлетать/садиться на короткие ВПП. Pelican планировали использовать в качестве транспортно-пассажирского самолёта, а также в сельском хозяйстве.</w:t>
      </w:r>
    </w:p>
    <w:p w14:paraId="3FF9494D" w14:textId="77777777" w:rsidR="00276C61" w:rsidRPr="007224C3" w:rsidRDefault="00276C61"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Самолет оснащался двигателем Pratt &amp; Whitney R-985 Wasp Junior TB, мощности которого хватало, чтобы развить скорость в 230 км/ч. Минимальная скорость устойчивого полёта составляла 76 км/ч. Дальность полёта — 805 километров или 4 часа.</w:t>
      </w:r>
    </w:p>
    <w:p w14:paraId="597DEDD5" w14:textId="77777777" w:rsidR="00276C61" w:rsidRPr="007224C3" w:rsidRDefault="00276C61"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Через 4 года после своего первого полёта - 13 июня 1948 года - SB-2 потерпел аварию. Во время взлёта на авиашоу в Кирхберге около Берна стойка носового колеса сломалась и самолёт перевернулся через нос. Восстанавливать Pelican не стали и тихо списали. Серийного производства запущено не было (22485).</w:t>
      </w:r>
    </w:p>
    <w:p w14:paraId="4F19DC92" w14:textId="77777777" w:rsidR="00276C61" w:rsidRPr="007224C3" w:rsidRDefault="00276C61" w:rsidP="007224C3">
      <w:pPr>
        <w:spacing w:after="0" w:line="240" w:lineRule="auto"/>
        <w:jc w:val="both"/>
        <w:rPr>
          <w:rFonts w:ascii="Times New Roman" w:hAnsi="Times New Roman"/>
          <w:color w:val="0070C0"/>
          <w:sz w:val="16"/>
          <w:szCs w:val="16"/>
        </w:rPr>
      </w:pPr>
    </w:p>
    <w:p w14:paraId="3E88F318" w14:textId="77777777" w:rsidR="006E5527" w:rsidRPr="007224C3" w:rsidRDefault="006E5527"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lastRenderedPageBreak/>
        <w:t>30 мая</w:t>
      </w:r>
      <w:r w:rsidRPr="007224C3">
        <w:rPr>
          <w:rFonts w:ascii="Times New Roman" w:hAnsi="Times New Roman"/>
          <w:color w:val="000000" w:themeColor="text1"/>
          <w:sz w:val="16"/>
          <w:szCs w:val="16"/>
        </w:rPr>
        <w:t xml:space="preserve"> в 1944 году в испытательном центре Пенемюнде проведен первый успешный испытательно-боевой пуск комплекса "Мистел-1" (Mistel) - связка состоящая из пилотируемого истребителя "Bf-109F-4" установленного "верхом" на "Ju-88A-4", начиненного взрывчаткой и фактически являющимся летающей бомбой. Систему пилотировал испытатель фирмы "Юнкерс" З.Хольцбаур. Система предназначалась для поражения наземных объектов в глубоком тылу противника (14907).</w:t>
      </w:r>
    </w:p>
    <w:p w14:paraId="26E2C540" w14:textId="77777777" w:rsidR="006E5527" w:rsidRPr="007224C3" w:rsidRDefault="006E5527" w:rsidP="007224C3">
      <w:pPr>
        <w:spacing w:after="0" w:line="240" w:lineRule="auto"/>
        <w:jc w:val="both"/>
        <w:rPr>
          <w:rFonts w:ascii="Times New Roman" w:hAnsi="Times New Roman"/>
          <w:color w:val="000000" w:themeColor="text1"/>
          <w:sz w:val="16"/>
          <w:szCs w:val="16"/>
        </w:rPr>
      </w:pPr>
    </w:p>
    <w:p w14:paraId="64B5E072"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мая 1944 рейхсляйтер М. Борман завил, что отныне все сбитые летчики союзников должны линчеваться на месте их захвата (4962).</w:t>
      </w:r>
    </w:p>
    <w:p w14:paraId="30705819"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0F0730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May 30 1944 Loading of Allied assault forces for Operation Overlord is begun (1037).</w:t>
      </w:r>
    </w:p>
    <w:p w14:paraId="0379930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A0987C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мая 1944 началась погрузка экспедиционных войск для высадки в Европе (1037).</w:t>
      </w:r>
    </w:p>
    <w:p w14:paraId="0AAB6F4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D9E723"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5B8527D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E5571B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 мая 1944 в НИИ ВВС закончились летные испытания пулеметно-пушечного и бомбардировочного вооружения самолета Ил-2 с мотором АМ-38Ф (самолет N 304128 производства завода 30 марта 1944), которые проходили с 17 мая 1944. Отв. исполнители: ви и-м А.Ф.Толпышкин, вл ст.л. Г.А.Тиняков, вш к Т.Ф.Горбунов. Испытывали:</w:t>
      </w:r>
    </w:p>
    <w:p w14:paraId="4EF9405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Характеристики задней ограниченно подвижной установки УБШ под УБТ-12.7 мм (завод 487 с 4 магазинами по 50 патронов) и целесообразность установки на Ил-2 взамен ВУБ-3</w:t>
      </w:r>
    </w:p>
    <w:p w14:paraId="4B25496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Удобство прицеливания и жесткость крепления прицела ПБП-1Б и возможность его съемки в случае вынужденной посадки</w:t>
      </w:r>
    </w:p>
    <w:p w14:paraId="707DD66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Надежность работы и удобство эксплуатации измененной проводки пневмоперезарядки пушек ВЯ-23 мм</w:t>
      </w:r>
    </w:p>
    <w:p w14:paraId="2697DD8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Возможность контроля стрельбы из неподвижного оружия при помощи фотокинопулемета ПАУ-22 (качественность снимков) на земле и в воздухе, а также жесткость и удобство эксплуатации установки</w:t>
      </w:r>
    </w:p>
    <w:p w14:paraId="2B1B4ED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Удобство пользования прицельными приспособлениями для бомбометания с прибором ВМШ-2, нанесенными согласно рекомендации НТЖ НИИ АВ и письма ГШ ВВС КА</w:t>
      </w:r>
    </w:p>
    <w:p w14:paraId="51ACD8D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Целесообразность переноса усилителя СПУФ из хвостовой части фюзеляжа в броневую (1861).</w:t>
      </w:r>
    </w:p>
    <w:p w14:paraId="6F085DB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Дней с летной погодой было 8 из 15 и провели 24 полета с общим налетом 13:25 (1861).</w:t>
      </w:r>
    </w:p>
    <w:p w14:paraId="2EFF2D1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7274E6" w14:textId="77777777" w:rsidR="006E5527" w:rsidRPr="007224C3" w:rsidRDefault="006E5527"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31 мая</w:t>
      </w:r>
      <w:r w:rsidRPr="007224C3">
        <w:rPr>
          <w:rFonts w:ascii="Times New Roman" w:hAnsi="Times New Roman"/>
          <w:color w:val="000000" w:themeColor="text1"/>
          <w:sz w:val="16"/>
          <w:szCs w:val="16"/>
        </w:rPr>
        <w:t xml:space="preserve"> в 1944 году самолет </w:t>
      </w:r>
      <w:hyperlink r:id="rId146" w:tgtFrame="_blank" w:history="1">
        <w:r w:rsidRPr="007224C3">
          <w:rPr>
            <w:rFonts w:ascii="Times New Roman" w:hAnsi="Times New Roman"/>
            <w:color w:val="000000" w:themeColor="text1"/>
            <w:sz w:val="16"/>
            <w:szCs w:val="16"/>
          </w:rPr>
          <w:t xml:space="preserve">«СДБ» </w:t>
        </w:r>
      </w:hyperlink>
      <w:r w:rsidRPr="007224C3">
        <w:rPr>
          <w:rFonts w:ascii="Times New Roman" w:hAnsi="Times New Roman"/>
          <w:color w:val="000000" w:themeColor="text1"/>
          <w:sz w:val="16"/>
          <w:szCs w:val="16"/>
        </w:rPr>
        <w:t>был предъявлен на совместные испытания в ГК НИИ ВВС КА, и 1 июня его перегнали на Чкаловский аэродром. С 5 июня по 6 июля машина успешно прошла государственные испытания. В заключении Акта совместных государственных и заводских испытаний опытного скоростного дневного бомбардировщика («СДБ») с двумя моторами «АМ-39» (самолет "103") указано: "Самолет «СДБ» может быть рекомендован к принятию на вооружение ВВС Красной Армии при выполнении его в соответствии с макетом самолета "63", утвержденным 2-го апреля 1944 года главным инженером ВВС РККА и с устранением на нем дефектов, указанных в выводах настоящего Акта" (14908).</w:t>
      </w:r>
    </w:p>
    <w:p w14:paraId="57FB5A58" w14:textId="77777777" w:rsidR="006E5527" w:rsidRPr="007224C3" w:rsidRDefault="006E5527" w:rsidP="007224C3">
      <w:pPr>
        <w:spacing w:after="0" w:line="240" w:lineRule="auto"/>
        <w:jc w:val="both"/>
        <w:rPr>
          <w:rFonts w:ascii="Times New Roman" w:hAnsi="Times New Roman"/>
          <w:color w:val="000000" w:themeColor="text1"/>
          <w:sz w:val="16"/>
          <w:szCs w:val="16"/>
        </w:rPr>
      </w:pPr>
    </w:p>
    <w:p w14:paraId="60C5C40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 мая 1944 года начальник НИИ ВВС генерал-лейтенант ИАС Лосюков и начальник 3 отдела НИИ ВВС инженер-полковник Сафронов писали письмо N 3/0823 гл. инженеру ВВС генерал-полковнику ИАС Репину А.К., Шахурину, УК ЦК ВКП(б) генерал-полковнику авиации Шиманову Н.С.</w:t>
      </w:r>
    </w:p>
    <w:p w14:paraId="1DFEF7A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Докладываю, что 27 мая 1944 года после изменения системы суфлирования, установки дополнительного уплотнения вала редуктора моторов ВК-107А и замены правого мотора, снятого вследствие прорыва газов через верхнее уплотнение блока, были возобновлены испытания самолета Пе-2И "Москито" с 2ВК-107А.</w:t>
      </w:r>
    </w:p>
    <w:p w14:paraId="596F555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мая 1944 года были произведены два полета общей продолжительностью 2 часа. первый полет на опробование работы винто-моторной группы после замены мотора; второй полет на определение температурных режимов ВМ группы.</w:t>
      </w:r>
    </w:p>
    <w:p w14:paraId="1F2B14F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мая 1944 года, при выполнении полета для определения температурных режимов ВМ группы, на планировании с высоты 5200 м на задросселированных моторах (п=2700 об/мин.) замечена была тряска моторов.</w:t>
      </w:r>
    </w:p>
    <w:p w14:paraId="52CF764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осмотре правого мотора на земле в масляных фильтрах была обнаружена металлическая стружка, свидетельствующая о разрушении подшипников мотора.</w:t>
      </w:r>
    </w:p>
    <w:p w14:paraId="7BF9975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Вследствие указанных выше причин испытания самолета Пе-2И с 2ВК-107А вновь приостановлены с 28 мая 1944 года (1821).</w:t>
      </w:r>
    </w:p>
    <w:p w14:paraId="3130207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59C40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 мая 1944 Зам. Нач. 7ГУ Алексеев подготовил сводку г-7 № 7131 о ходе испытаний высотных самолетов на 30 мая 1944 по Як-9 М-105ПД, Ла-5 АШ-82ФН и 2ТК-3, МиГ АМ-39А и 2ТК-2Б (1825).</w:t>
      </w:r>
    </w:p>
    <w:p w14:paraId="74C1273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ВЫСОТНЫЙ ИСТРЕБИТЕЛЬ Як-9 с М-105ПД</w:t>
      </w:r>
    </w:p>
    <w:p w14:paraId="310B36F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находится не в летной состоянии, из-за отсутствия мотора.</w:t>
      </w:r>
    </w:p>
    <w:p w14:paraId="16475EB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ИСТРЕБИТЕЛЬ Ла-5 с АШ-82ФН и 2ТК-3</w:t>
      </w:r>
    </w:p>
    <w:p w14:paraId="4B088D6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Полетев не производилось из-за неблаго</w:t>
      </w:r>
      <w:r w:rsidRPr="007224C3">
        <w:rPr>
          <w:rFonts w:ascii="Times New Roman" w:hAnsi="Times New Roman"/>
          <w:color w:val="000000" w:themeColor="text1"/>
          <w:sz w:val="16"/>
          <w:szCs w:val="16"/>
        </w:rPr>
        <w:softHyphen/>
        <w:t>приятных метеорологических условий для вы</w:t>
      </w:r>
      <w:r w:rsidRPr="007224C3">
        <w:rPr>
          <w:rFonts w:ascii="Times New Roman" w:hAnsi="Times New Roman"/>
          <w:color w:val="000000" w:themeColor="text1"/>
          <w:sz w:val="16"/>
          <w:szCs w:val="16"/>
        </w:rPr>
        <w:softHyphen/>
        <w:t>сотных полетев.</w:t>
      </w:r>
    </w:p>
    <w:p w14:paraId="2225B83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ИСТРЕБИТЕЛЬ МИГ с АМ-39Б И 2ТК-2Б.</w:t>
      </w:r>
    </w:p>
    <w:p w14:paraId="1C18928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находится не в летном состоянии. Вышедшие из строя ТК находятся в ЦИАМе и ожидаются на заводе № 1555 утром 1 июня с.г. (1825).</w:t>
      </w:r>
    </w:p>
    <w:p w14:paraId="75BA5DF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B3E8E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 мая 1944 нач. НИИАВ ВВС гмиас М.Гуревичем был утвержден акт по гос. воздушные испытания 3-х синхронных пушек УБС-20 калибра 20 мм (N 35, 51, 52) и установки их на эталонном самолете Ла-7. Летал Н.И.Новиков, а от ОКБ-21 были конструктор пушки М.Е.Березин и вед. инженер В.П.Горлышков. Не прошли из-за синхронизаторов</w:t>
      </w:r>
    </w:p>
    <w:p w14:paraId="55F9EE4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Отв. исполнитель ик В.М.Суязов</w:t>
      </w:r>
    </w:p>
    <w:p w14:paraId="703630B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л-к мллт Н.И.Новиков</w:t>
      </w:r>
    </w:p>
    <w:p w14:paraId="69F8CFE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конструктор пушки УБ-20 М.Е.Березин</w:t>
      </w:r>
    </w:p>
    <w:p w14:paraId="094C938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вед. исп. ОКБ-21 по с-ту Ла-7 В.П.Горлышков</w:t>
      </w:r>
    </w:p>
    <w:p w14:paraId="59C48E3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полетов</w:t>
      </w:r>
    </w:p>
    <w:p w14:paraId="64919F1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Аналогичные образцы пушек УБ-20 ранеее проходили гос. наземные испытания в НИИАВ в феврале (январе?) 1944</w:t>
      </w:r>
    </w:p>
    <w:p w14:paraId="4191028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Заключение: </w:t>
      </w:r>
    </w:p>
    <w:p w14:paraId="731AF8B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Испытания пушек УБС-20- №№ 35, 51, 52 прекратить, т.к. синхролнные установки на этом с-те вследжствие своей конструкционной недоработанности не обеспечивают надежной работы пушек Б-20</w:t>
      </w:r>
    </w:p>
    <w:p w14:paraId="6CC37D9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Продолжение испытаний пушек УБС-20 провести на с-те Як-3 Москито</w:t>
      </w:r>
    </w:p>
    <w:p w14:paraId="22B6A55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Предложить ОКБ-21 НКАП срочно устранить недостатки синхронной установки под пушки УБС-20, после чего с-т Ла-7 подать на повторные госиспытания</w:t>
      </w:r>
    </w:p>
    <w:p w14:paraId="53F0A73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Нач. НИИАВ ип Рыжаев, нач. 1 отд. НИИАВ ип/п Филиппов (759,3).</w:t>
      </w:r>
    </w:p>
    <w:p w14:paraId="524C72F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E3B3E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 мая 1944 л-и А.Д.Перелет и ви Б.Н.Гроздов закончили заводские испытания СДБ А.Н.Т. (63/1), сделанного на основе 103 2АМ-37, которые шли с 21 мая 1944 (1835,56).</w:t>
      </w:r>
    </w:p>
    <w:p w14:paraId="0F7A02B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C6A668" w14:textId="77777777" w:rsidR="006E5527" w:rsidRPr="007224C3" w:rsidRDefault="006E5527"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31 мая</w:t>
      </w:r>
      <w:r w:rsidRPr="007224C3">
        <w:rPr>
          <w:rFonts w:ascii="Times New Roman" w:hAnsi="Times New Roman"/>
          <w:color w:val="000000" w:themeColor="text1"/>
          <w:sz w:val="16"/>
          <w:szCs w:val="16"/>
        </w:rPr>
        <w:t xml:space="preserve"> в 1944 году самолет </w:t>
      </w:r>
      <w:hyperlink r:id="rId147" w:tgtFrame="_blank" w:history="1">
        <w:r w:rsidRPr="007224C3">
          <w:rPr>
            <w:rFonts w:ascii="Times New Roman" w:hAnsi="Times New Roman"/>
            <w:color w:val="000000" w:themeColor="text1"/>
            <w:sz w:val="16"/>
            <w:szCs w:val="16"/>
          </w:rPr>
          <w:t xml:space="preserve">«СДБ» </w:t>
        </w:r>
      </w:hyperlink>
      <w:r w:rsidRPr="007224C3">
        <w:rPr>
          <w:rFonts w:ascii="Times New Roman" w:hAnsi="Times New Roman"/>
          <w:color w:val="000000" w:themeColor="text1"/>
          <w:sz w:val="16"/>
          <w:szCs w:val="16"/>
        </w:rPr>
        <w:t>был предъявлен на совместные испытания в ГК НИИ ВВС КА, и 1 июня его перегнали на Чкаловский аэродром. С 5 июня по 6 июля машина успешно прошла государственные испытания. В заключении Акта совместных государственных и заводских испытаний опытного скоростного дневного бомбардировщика («СДБ») с двумя моторами «АМ-39» (самолет "103") указано: "Самолет «СДБ» может быть рекомендован к принятию на вооружение ВВС Красной Армии при выполнении его в соответствии с макетом самолета "63", утвержденным 2-го апреля 1944 года главным инженером ВВС РККА и с устранением на нем дефектов, указанных в выводах настоящего Акта" (14908).</w:t>
      </w:r>
    </w:p>
    <w:p w14:paraId="1DEAB6A8" w14:textId="77777777" w:rsidR="006E5527" w:rsidRPr="007224C3" w:rsidRDefault="006E5527" w:rsidP="007224C3">
      <w:pPr>
        <w:spacing w:after="0" w:line="240" w:lineRule="auto"/>
        <w:jc w:val="both"/>
        <w:rPr>
          <w:rFonts w:ascii="Times New Roman" w:hAnsi="Times New Roman"/>
          <w:color w:val="000000" w:themeColor="text1"/>
          <w:sz w:val="16"/>
          <w:szCs w:val="16"/>
        </w:rPr>
      </w:pPr>
    </w:p>
    <w:p w14:paraId="506DFA7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 мая 1944 года, через 10 дней после того, как  летчик- испытатель А.Д. Перелет выполнил первый полет, "СДБ" передали в НИИ ВВС.</w:t>
      </w:r>
    </w:p>
    <w:p w14:paraId="262E59E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лету 1944 г. на опытном заводе № 156из машины "103" был выполнен двухместный вариант СДБ. В декабре 1943 года командование ВВС предложило НКАП создать на базе машины "103" с двигателями АМ-37 скоростной дневной бомбардировщик СДБ (АНТ-63), но с моторами АМ-39.</w:t>
      </w:r>
    </w:p>
    <w:p w14:paraId="5B3B04D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этом сохранилась компоновка предшественника. В угоду скорости его стрелковое вооружение ограничили лишь двумя неподвижными орудиями ШBAK в центроплане крыла с боезапасом по 150 патронов на ствол.</w:t>
      </w:r>
    </w:p>
    <w:p w14:paraId="0235D93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Государственные испытания (ведущий летчик М.А. Нюхтиков), начавшиеся 5 июня, заняли месяц. Хотя самолет и продемонстрировал высокую скорость (633 км/ч) и хорошую маневренность, испытания он не выдержал. Главные дефекты машины были связаны с плохой работой моторов и недостаточным запасом путевой устойчивости. Военные пожелали ввести в экипаж воздушного стрелка.</w:t>
      </w:r>
    </w:p>
    <w:p w14:paraId="66D9F6E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Особенностями второго экземпляра машины "63" по сравнению с предшественником был не только экипаж, возросший до трех человек (дополнительно ввели стрелка в задней кабине), но и створки шасси закрывавшиеся как при убранном, так и выпущенном положении основных опор. Управление винтами было секторное, а моторы имели Скоростной дневной дополнительные контуры для охлаждения бомбардировщик ("СДБ") воздуха после нагнетателя перед поступле- на заводских испытаниях нием в двигатель.</w:t>
      </w:r>
    </w:p>
    <w:p w14:paraId="52E1EE6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Вооружение помимо двух неподвижных пушек ШВАК с общим боезапасом 300 патронов для стрельбы вперед включало и два пулемета Березина для защиты задней полусферы. Нормальная бомбовая нагрузка - 1000 кг (при полной заправке топливом исходя из прочности колес) в грузовом отсеке, максимально допустимая - 4000 кг.</w:t>
      </w:r>
    </w:p>
    <w:p w14:paraId="4084119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Первый полет на трехместном "СДБ" также выполнил А.Д. Перелет, и в декабре 1944 года машину передали на государственные испытания. 30 декабря 1944 года А. Кузнецов (должность в документе не указана) докладывал наркому А.И. Шахурину:</w:t>
      </w:r>
    </w:p>
    <w:p w14:paraId="25A42A8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СДБ с моторами АМ-39 является модификацией самолета "103" с АМ-37, построенного в 1941 г. Самолет испытан в НИИ ВВС в июле 1944 г.</w:t>
      </w:r>
    </w:p>
    <w:p w14:paraId="2600078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результате установлено:</w:t>
      </w:r>
    </w:p>
    <w:p w14:paraId="6A2DD6B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Путевая устойчивость недостаточна.</w:t>
      </w:r>
    </w:p>
    <w:p w14:paraId="7B93941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На скорости менее 350 км/ч по прибору самолет неустойчив:</w:t>
      </w:r>
    </w:p>
    <w:p w14:paraId="67A5B74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продольная устойчивость недостаточная, во время выдерживания заданной скорости набора высоты имеют место переменные нагрузки на штурвале от руля высоты.</w:t>
      </w:r>
    </w:p>
    <w:p w14:paraId="5B753F8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изменение нагрузок на штурвале от руля высоты сопровождается значительным рысканием и появляются переменные нагрузки на педали.</w:t>
      </w:r>
    </w:p>
    <w:p w14:paraId="3C12762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Поперечная устойчивость относительно путевой избыточна. Самолет имеет тенденцию к раскачиванию с крыла на крыло.</w:t>
      </w:r>
    </w:p>
    <w:p w14:paraId="2B4CAAA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4. Управление рулем поворота слишком легкое, что может привести к передаче (большему отклонению педали - прим. авт.) ноги на виражах и разворотах. </w:t>
      </w:r>
    </w:p>
    <w:p w14:paraId="373B069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Автоматы управления заслонками во- дорадиаторов при работе создают значительный аэродинамический момент &lt;...&gt; и усложняют технику пилотирования.</w:t>
      </w:r>
    </w:p>
    <w:p w14:paraId="6E78540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Пневматические тормоза не эффективны.</w:t>
      </w:r>
    </w:p>
    <w:p w14:paraId="193C587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Винто-моторная группа не доведенная и имеет те же дефекты, что и на самолете "ЮЗ" с АМ-37.</w:t>
      </w:r>
    </w:p>
    <w:p w14:paraId="3B1B022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Длительная (1,5 часа) и неудобная заправка бензином.</w:t>
      </w:r>
    </w:p>
    <w:p w14:paraId="162F91F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Попадание в кабину летчика горячего воздуха.</w:t>
      </w:r>
    </w:p>
    <w:p w14:paraId="39FEFF0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Габариты кабины по высоте малы...</w:t>
      </w:r>
    </w:p>
    <w:p w14:paraId="068B858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Моторы АМ-39 на 2-й скорости нагнетателя работали неудовлетворительно...</w:t>
      </w:r>
    </w:p>
    <w:p w14:paraId="318DF31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Построен второй экземпляр СДБ, переданный в НИИ ВВС в октябре. Он имеет экипаж вместо двух - три человека. Новая носовая часть фюзеляжа с измененным обзором. Дополнительно установлены люковая и верхняя стрелковые установки. Объем бензина увеличен до 2400 л.</w:t>
      </w:r>
    </w:p>
    <w:p w14:paraId="2DB3A6E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Изменена маслосхема, предусмотрено новое бронирование экипажа. Взлетный вес возрос на 650 кг.</w:t>
      </w:r>
    </w:p>
    <w:p w14:paraId="6016B4D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самолете "63" на 27 декабря 1944 г. сделано два полета. Во втором полете на высоте 8000 м (15 декабря) вышел из строя мотор".</w:t>
      </w:r>
    </w:p>
    <w:p w14:paraId="6223D26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Государственные испытания второго экземпляра "СДБ" завершились утверждением 28 июня 1945 года акта по их результатам. </w:t>
      </w:r>
    </w:p>
    <w:p w14:paraId="134A90E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Основ'ными дефектами "СДБ" были: недостаточная прочность колес размером 1000x350 мм, малоэффективные и ненадежные пневматические тормоза, падение давления масла в двигателях на высотах 5000-7000 метров и отсутствие противо- пыльных фильтров на всасывающих патрубках моторов. Кроме этого, размещение рамки радиополукомпаса РПК-10 под металлической обшивкой самолета, снижало его чувствительность.</w:t>
      </w:r>
    </w:p>
    <w:p w14:paraId="2EA5DA9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заключение же специалисты НИИ ВВС, в частности, отметили: "Самолет "63" &lt;...&gt; по своим летно-тактическим данным превосходит однотипные отечественные и иностранные самолеты, но недостаточность обзора штурмана вперед, что затрудняет для него ориентировки, отыскание цели и вывод самолета на цель при бомбометании, значительно снижает его качество как бомбардировщика.</w:t>
      </w:r>
    </w:p>
    <w:p w14:paraId="2BBEAEB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не может быть рекомендован на вооружение Красной Армии в качестве бомбардировщика".</w:t>
      </w:r>
    </w:p>
    <w:p w14:paraId="4D4070C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Примерно в то же время в НИИ ВВС ис- пытывался другой скоростной бомбардировщик Пе-2М, представлявший собой второй экземпляр Пе-2И "Москито" с иным оборонительным вооружением. Государственные испытания Пе-2М с моторами жидкостного охлаждения М-107А, завершившиеся на два месяца позже "СДБ", показали, что максимальная скорость у земли при работе моторов на номинальном режиме на 21 км/ч больше, чем у "СДБ", но на второй границе высотности (5600 метров) она не превышала 630 км/ч, что на 10 км/ч было меньше чем у самолета "63". Правда, не надо забывать, что самолет Туполева имел более слабое оборонительное вооружение по сравнению с Пе-2М (три пушки Б-20 калибра 20 мм, одна из которых неподвижная для стрельбы вперед, другая - у штурмана и третья - люковая). При этом максимальная бомбовая нагрузка Пе-2М была вдвое ниже, чем у "СДБ".</w:t>
      </w:r>
    </w:p>
    <w:p w14:paraId="3C32554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Сделать же вывод, какой из этих самолетов предпочтительней, должны были, прежде всего, военные. Но этого не произошло, поскольку обе машины государственные испытания не выдержали (12035).</w:t>
      </w:r>
    </w:p>
    <w:p w14:paraId="71FE9BB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FA7F51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 мая 1944 В.П.Кузнецов подготовил для А.И.Ш. сводку по выполнению постановления по повышению высотности самолетов по состоянию на 30 мая 1944 и были упомянуты МиГ с АМ-39Б-01 и Як-9 с ВК-105ПД (1824).</w:t>
      </w:r>
    </w:p>
    <w:p w14:paraId="7973910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8FD9E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 мая 1944 дневной скоростной бомбардировщик А.Н.Т. с АМ-39 (Ту-2 N 103 с 2АМ-39) был передан на совместные испытания в НИИ ВВС и в этот же день на нем была опробована гидравлика шасси (2562,101).</w:t>
      </w:r>
    </w:p>
    <w:p w14:paraId="66A6CE9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4FD9E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 мая 1944 А. Шахурин писал письмо Маленкову Г.М.</w:t>
      </w:r>
    </w:p>
    <w:p w14:paraId="1A687B5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предложению гл. конструктора Микулина А.А. постановлением ГОКО от 18 февраля 1943 года за № 291сс во главе опытного завода № 300 поставлен гл. конструктор и ответственный руководитель с подчинением ему директора завода.</w:t>
      </w:r>
    </w:p>
    <w:p w14:paraId="354FB5E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примеру завода № 300 во главе завода № 156 был также поставлен гл. конструктор и ответственный руководитель Туполев А.Н., с подчинением ему директора завода.</w:t>
      </w:r>
    </w:p>
    <w:p w14:paraId="4E034DB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Такая структура руководства себя не оправдала.</w:t>
      </w:r>
    </w:p>
    <w:p w14:paraId="6FC85E2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Прошу Вашего согласия на установление на заводах №№ 300 и 156 обычной структуры руководства опытными заводами по которой во главе завода находится директор завода или гл. конструктор, он же директор (8951).</w:t>
      </w:r>
    </w:p>
    <w:p w14:paraId="74D1231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3BD4E4"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1062F6D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FA43893" w14:textId="77777777" w:rsidR="00827943" w:rsidRPr="007224C3" w:rsidRDefault="00827943" w:rsidP="007224C3">
      <w:pPr>
        <w:pStyle w:val="ae"/>
        <w:spacing w:before="0" w:after="0"/>
        <w:jc w:val="both"/>
        <w:textAlignment w:val="baseline"/>
        <w:rPr>
          <w:color w:val="000000" w:themeColor="text1"/>
          <w:sz w:val="16"/>
          <w:szCs w:val="16"/>
        </w:rPr>
      </w:pPr>
      <w:r w:rsidRPr="007224C3">
        <w:rPr>
          <w:color w:val="000000" w:themeColor="text1"/>
          <w:sz w:val="16"/>
          <w:szCs w:val="16"/>
        </w:rPr>
        <w:t>31 мая 1944 Малышев и Федоренко подписали совместный приказ №366/098 наркома танковой промышленности и командующего бронетанковыми и механизированными войсками Красной армии о проведении полигонных испытаний Т-44. Согласно приказу, испытания начинались 10 июня и заканчивались 25 числа того же месяца. Всего планировалось преодолеть 1000 км, из них 330 — по шоссе, 400 — по просёлку, 200 — по целине и 70 км специспытаний. На практике начало испытаний несколько затянулось: по разным причинам танк прибыл на НИБТ Полигон к 15 июня.</w:t>
      </w:r>
    </w:p>
    <w:p w14:paraId="1A1B2829" w14:textId="77777777" w:rsidR="00827943" w:rsidRPr="007224C3" w:rsidRDefault="00827943" w:rsidP="007224C3">
      <w:pPr>
        <w:spacing w:after="0" w:line="240" w:lineRule="auto"/>
        <w:jc w:val="both"/>
        <w:textAlignment w:val="baseline"/>
        <w:rPr>
          <w:rFonts w:ascii="Times New Roman" w:hAnsi="Times New Roman"/>
          <w:color w:val="000000" w:themeColor="text1"/>
          <w:sz w:val="16"/>
          <w:szCs w:val="16"/>
        </w:rPr>
      </w:pPr>
      <w:r w:rsidRPr="007224C3">
        <w:rPr>
          <w:rFonts w:ascii="Times New Roman" w:hAnsi="Times New Roman"/>
          <w:color w:val="000000" w:themeColor="text1"/>
          <w:sz w:val="16"/>
          <w:szCs w:val="16"/>
        </w:rPr>
        <w:t>От первого образца данный танк отличался утолщённой до 75 мм бортовой броней.</w:t>
      </w:r>
    </w:p>
    <w:p w14:paraId="1EE06EAF" w14:textId="77777777" w:rsidR="00827943" w:rsidRPr="007224C3" w:rsidRDefault="00827943" w:rsidP="007224C3">
      <w:pPr>
        <w:pStyle w:val="ae"/>
        <w:spacing w:before="0" w:after="0"/>
        <w:jc w:val="both"/>
        <w:textAlignment w:val="baseline"/>
        <w:rPr>
          <w:color w:val="000000" w:themeColor="text1"/>
          <w:sz w:val="16"/>
          <w:szCs w:val="16"/>
        </w:rPr>
      </w:pPr>
      <w:r w:rsidRPr="007224C3">
        <w:rPr>
          <w:color w:val="000000" w:themeColor="text1"/>
          <w:sz w:val="16"/>
          <w:szCs w:val="16"/>
        </w:rPr>
        <w:t>Задержка испытаний стала лишь началом срыва сроков. Вместо 25 июня они окончились только 17 июля, причем из 32 дней на пробег и специспытания затратили 16, еще 2 на огневые испытания, оставшееся время ушло на ремонт машины. За это время танк прошел 1347 км, из них 474 по шоссе, 683 по проселку, 61 по целине, 99 на специспытаниях и 25 в ходе огневых испытаний. При этом машина испытывалась в наиболее жаркое время года, подчас температура воздуха доходила до 40 градусов.</w:t>
      </w:r>
    </w:p>
    <w:p w14:paraId="2302F57C" w14:textId="77777777" w:rsidR="00827943" w:rsidRPr="007224C3" w:rsidRDefault="00827943" w:rsidP="007224C3">
      <w:pPr>
        <w:spacing w:after="0" w:line="240" w:lineRule="auto"/>
        <w:jc w:val="both"/>
        <w:textAlignment w:val="baseline"/>
        <w:rPr>
          <w:rFonts w:ascii="Times New Roman" w:hAnsi="Times New Roman"/>
          <w:color w:val="000000" w:themeColor="text1"/>
          <w:sz w:val="16"/>
          <w:szCs w:val="16"/>
        </w:rPr>
      </w:pPr>
      <w:r w:rsidRPr="007224C3">
        <w:rPr>
          <w:rFonts w:ascii="Times New Roman" w:hAnsi="Times New Roman"/>
          <w:color w:val="000000" w:themeColor="text1"/>
          <w:sz w:val="16"/>
          <w:szCs w:val="16"/>
        </w:rPr>
        <w:t>Как и на заводских, на полигонных испытаниях отмечалась слишком малая высота отделения управления.</w:t>
      </w:r>
    </w:p>
    <w:p w14:paraId="43905B95" w14:textId="77777777" w:rsidR="00827943" w:rsidRPr="007224C3" w:rsidRDefault="00827943" w:rsidP="007224C3">
      <w:pPr>
        <w:pStyle w:val="ae"/>
        <w:spacing w:before="0" w:after="0"/>
        <w:jc w:val="both"/>
        <w:textAlignment w:val="baseline"/>
        <w:rPr>
          <w:color w:val="000000" w:themeColor="text1"/>
          <w:sz w:val="16"/>
          <w:szCs w:val="16"/>
        </w:rPr>
      </w:pPr>
      <w:r w:rsidRPr="007224C3">
        <w:rPr>
          <w:color w:val="000000" w:themeColor="text1"/>
          <w:sz w:val="16"/>
          <w:szCs w:val="16"/>
        </w:rPr>
        <w:t>Рост боевой массы несколько повлиял на динамические характеристики танка. На мерном участке получили среднюю максимальную скорость 51,98 км/ч, что было чуть меньше, чем у машины первого варианта. Средняя скорость по шоссе составила 35 км/ч, это примерно равно скорости первой версии Т-44, но надо учитывать, что первые испытания проходили на заснеженном шоссе, то есть в более сложных условиях. Правда, и в случае с испытаниями второго варианта танка имелся лимитирующий фактор. Им оказалось разрушение опорных катков: даже снижение их диаметра и переход на иной состав резины на тот момент помогли мало. Впрочем, отмечалась и положительная тенденция. Расход топлива при езде по шоссе составил 158 л на 100 км, что примерно на четверть меньше расхода первой версии Т-44. За счёт снижения расхода топлива, а также увеличения его объёма запас хода вырос до 290 км, то есть на 103 км больше, чем у первого варианта в зимних условиях.</w:t>
      </w:r>
    </w:p>
    <w:p w14:paraId="14162C30" w14:textId="77777777" w:rsidR="00827943" w:rsidRPr="007224C3" w:rsidRDefault="00827943" w:rsidP="007224C3">
      <w:pPr>
        <w:spacing w:after="0" w:line="240" w:lineRule="auto"/>
        <w:jc w:val="both"/>
        <w:textAlignment w:val="baseline"/>
        <w:rPr>
          <w:rFonts w:ascii="Times New Roman" w:hAnsi="Times New Roman"/>
          <w:color w:val="000000" w:themeColor="text1"/>
          <w:sz w:val="16"/>
          <w:szCs w:val="16"/>
        </w:rPr>
      </w:pPr>
      <w:r w:rsidRPr="007224C3">
        <w:rPr>
          <w:rFonts w:ascii="Times New Roman" w:hAnsi="Times New Roman"/>
          <w:color w:val="000000" w:themeColor="text1"/>
          <w:sz w:val="16"/>
          <w:szCs w:val="16"/>
        </w:rPr>
        <w:t>Ещё более существенными были проблемы с опорными катками. Всего за время испытаний заменили 16 катков.</w:t>
      </w:r>
    </w:p>
    <w:p w14:paraId="31A9E4BC" w14:textId="77777777" w:rsidR="00827943" w:rsidRPr="007224C3" w:rsidRDefault="00827943" w:rsidP="007224C3">
      <w:pPr>
        <w:pStyle w:val="ae"/>
        <w:spacing w:before="0" w:after="0"/>
        <w:jc w:val="both"/>
        <w:textAlignment w:val="baseline"/>
        <w:rPr>
          <w:color w:val="000000" w:themeColor="text1"/>
          <w:sz w:val="16"/>
          <w:szCs w:val="16"/>
        </w:rPr>
      </w:pPr>
      <w:r w:rsidRPr="007224C3">
        <w:rPr>
          <w:color w:val="000000" w:themeColor="text1"/>
          <w:sz w:val="16"/>
          <w:szCs w:val="16"/>
        </w:rPr>
        <w:t xml:space="preserve">Совсем другая картина наблюдалась при езде по просёлку. Двигаться приходилось по разбитой танками грунтовой дороге с глубокой колеёй и большими ухабами, залитыми водой. В результате условия езды оказались ещё хуже, чем во время зимних испытаний первого варианта Т-44. Средняя скорость составила 13,9 км/ч, двигаться приходилось на второй и третьей передачах. Тяжёлые дорожные условия стали причиной повышенного расхода топлива: на 100 км потреблялось 310 л, что даже больше, чем на зимних испытаниях. При этом запас хода, даже при большем объёме топлива, составил всего 150 км. О том, сколь непростыми были дорожные условия, говорят данные по итогам езды по целине. Средняя скорость в, казалось бы, более тяжёлых условиях, выросла до 15 км/ч, расход топлива снизился до 295 л </w:t>
      </w:r>
      <w:r w:rsidRPr="007224C3">
        <w:rPr>
          <w:color w:val="000000" w:themeColor="text1"/>
          <w:sz w:val="16"/>
          <w:szCs w:val="16"/>
        </w:rPr>
        <w:lastRenderedPageBreak/>
        <w:t>на 100 км, а запас хода вырос до 155 км. К слову, запасом топлива комиссия оказалась недовольна, поскольку учитывалось и топливо в дополнительных баках. Требовалось увеличить запас горючего в основных баках. Стоит также отметить, что за счёт переделки системы охлаждения, а также выхлопной системы ситуация с охлаждением улучшилась. Перегрев наблюдался только при езде в наиболее тяжёлых условиях, при движении по асфальту и целине температура воды не превышала 85 градусов. И это при том, что, как уже говорилось, порой температура окружающего воздуха возрастала до 40 градусов.</w:t>
      </w:r>
    </w:p>
    <w:p w14:paraId="5DB8DC15" w14:textId="77777777" w:rsidR="00827943" w:rsidRPr="007224C3" w:rsidRDefault="00827943" w:rsidP="007224C3">
      <w:pPr>
        <w:pStyle w:val="ae"/>
        <w:spacing w:before="0" w:after="0"/>
        <w:jc w:val="both"/>
        <w:textAlignment w:val="baseline"/>
        <w:rPr>
          <w:color w:val="000000" w:themeColor="text1"/>
          <w:sz w:val="16"/>
          <w:szCs w:val="16"/>
        </w:rPr>
      </w:pPr>
      <w:r w:rsidRPr="007224C3">
        <w:rPr>
          <w:color w:val="000000" w:themeColor="text1"/>
          <w:sz w:val="16"/>
          <w:szCs w:val="16"/>
        </w:rPr>
        <w:t>Более благоприятные, чем зимой, погодные условия позволили достичь вполне удовлетворительных показателей проходимости на специспытаниях. Танк успешно преодолевал затяжные подъёмы крутизной 24-26 градусов, при этом максимальный преодолеваемый угол составил 31 градус. Отмечалось, что преодоление более крутых подъёмов лимитируется мощностью двигателя. Максимальный преодолеваемый крен составил 32 градуса, далее наблюдалось сползание танка. В ходе езды усилия на рычагах управления составили 17-20 кг, правда, при повороте на месте требовалось усилие 32-40 кг. Вполне успешно прошло испытание буксировкой Т-34 (средняя скорость при этом составила 11 км/ч). Также машина преодолела брод глубиной 1,52 м. Во время движения в танк затекала вода, которая просачивалась через отверстия в кронштейнах торсионов, правда, её уровень не превышал 5-6 см. При движении по броду глубиной 2 м двигатель набрал воды и заглох.</w:t>
      </w:r>
    </w:p>
    <w:p w14:paraId="17DFFF07" w14:textId="77777777" w:rsidR="00827943" w:rsidRPr="007224C3" w:rsidRDefault="00827943" w:rsidP="007224C3">
      <w:pPr>
        <w:spacing w:after="0" w:line="240" w:lineRule="auto"/>
        <w:jc w:val="both"/>
        <w:textAlignment w:val="baseline"/>
        <w:rPr>
          <w:rFonts w:ascii="Times New Roman" w:hAnsi="Times New Roman"/>
          <w:color w:val="000000" w:themeColor="text1"/>
          <w:sz w:val="16"/>
          <w:szCs w:val="16"/>
        </w:rPr>
      </w:pPr>
      <w:r w:rsidRPr="007224C3">
        <w:rPr>
          <w:rFonts w:ascii="Times New Roman" w:hAnsi="Times New Roman"/>
          <w:color w:val="000000" w:themeColor="text1"/>
          <w:sz w:val="16"/>
          <w:szCs w:val="16"/>
        </w:rPr>
        <w:t>Танк вполне уверенно преодолевал подъёмы, максимальный преодолеваемый угол составил 31 градус.</w:t>
      </w:r>
    </w:p>
    <w:p w14:paraId="07476A84" w14:textId="77777777" w:rsidR="00827943" w:rsidRPr="007224C3" w:rsidRDefault="00827943" w:rsidP="007224C3">
      <w:pPr>
        <w:pStyle w:val="ae"/>
        <w:spacing w:before="0" w:after="0"/>
        <w:jc w:val="both"/>
        <w:textAlignment w:val="baseline"/>
        <w:rPr>
          <w:color w:val="000000" w:themeColor="text1"/>
          <w:sz w:val="16"/>
          <w:szCs w:val="16"/>
        </w:rPr>
      </w:pPr>
      <w:r w:rsidRPr="007224C3">
        <w:rPr>
          <w:color w:val="000000" w:themeColor="text1"/>
          <w:sz w:val="16"/>
          <w:szCs w:val="16"/>
        </w:rPr>
        <w:t>Во время ходовых полигонных испытаний во многом повторились дефекты, которые отмечались в ходе заводских испытаний первого опытного образца. Ввиду более тяжёлых дорожных условий количество заменённых опорных катков выросло до 16, некоторые катки менялись по три раза. Дело оказалось не только в выросшей массе, но и в их перегрузке из-за смещения центра тяжести машины назад (это хорошо видно по числу заменённых катков). На первой и второй парах за всё время пришлось заменить лишь каток. При этом гусеничная лента работала надёжно, наблюдался всего один случай разрыва трака (на 1326-м километре). Надёжно работала и подвеска. В целом хорошо работала и силовая установка, при этом особо отмечалась надёжность стартера СТ-15, который, впрочем, требовал доработки. Определённые проблемы возникли с элементами трансмиссии, особенно это касалось КПП и гитары. Также на 689-м километре разрушился ролик правого ведущего колеса.</w:t>
      </w:r>
    </w:p>
    <w:p w14:paraId="59CDFB8E" w14:textId="77777777" w:rsidR="00827943" w:rsidRPr="007224C3" w:rsidRDefault="00827943" w:rsidP="007224C3">
      <w:pPr>
        <w:spacing w:after="0" w:line="240" w:lineRule="auto"/>
        <w:jc w:val="both"/>
        <w:textAlignment w:val="baseline"/>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Максимальный угол преодолеваемого крена составил 32 градуса.</w:t>
      </w:r>
    </w:p>
    <w:p w14:paraId="4E3859DE" w14:textId="77777777" w:rsidR="00827943" w:rsidRPr="007224C3" w:rsidRDefault="00827943" w:rsidP="007224C3">
      <w:pPr>
        <w:pStyle w:val="ae"/>
        <w:spacing w:before="0" w:after="0"/>
        <w:jc w:val="both"/>
        <w:textAlignment w:val="baseline"/>
        <w:rPr>
          <w:color w:val="000000" w:themeColor="text1"/>
          <w:sz w:val="16"/>
          <w:szCs w:val="16"/>
        </w:rPr>
      </w:pPr>
      <w:r w:rsidRPr="007224C3">
        <w:rPr>
          <w:color w:val="000000" w:themeColor="text1"/>
          <w:sz w:val="16"/>
          <w:szCs w:val="16"/>
        </w:rPr>
        <w:t>Огневые испытания Т-44 прошли вполне успешно. Кучность орудия оказалась равной табличным данным, максимальная скорострельность при стрельбе с места по одной цели составила 9,2 выстрела в минуту. При стрельбе по двум-трём целям скорострельность снижалась до 6-7 выстрелов в минуту. Отчасти снижение обуславливалось неудобством перехода от электрического привода башни к ручному, при помощи которого производилась точная наводка на цель. Максимальная неприцельная скорострельность составила 10 выстрелов в минуту. При стрельбе с хода скорострельность снижалась до 4 выстрелов в минуту, при этом отмечалась низкая меткость огня. Причина была той же, что и раньше, — перенос центра тяжести назад. При этом добавилась дополнительная проблема в виде неисправной ходовой части танка. Имелись претензии к прочности основной укладки в носовой части корпуса, кроме того, боекомплект посчитали недостаточным (предлагалось увеличить его до 65 выстрелов).</w:t>
      </w:r>
    </w:p>
    <w:p w14:paraId="62DC66F9" w14:textId="77777777" w:rsidR="00827943" w:rsidRPr="007224C3" w:rsidRDefault="00827943" w:rsidP="007224C3">
      <w:pPr>
        <w:pStyle w:val="ae"/>
        <w:spacing w:before="0" w:after="0"/>
        <w:jc w:val="both"/>
        <w:textAlignment w:val="baseline"/>
        <w:rPr>
          <w:color w:val="000000" w:themeColor="text1"/>
          <w:sz w:val="16"/>
          <w:szCs w:val="16"/>
        </w:rPr>
      </w:pPr>
      <w:r w:rsidRPr="007224C3">
        <w:rPr>
          <w:color w:val="000000" w:themeColor="text1"/>
          <w:sz w:val="16"/>
          <w:szCs w:val="16"/>
        </w:rPr>
        <w:t>Отдельно проверялось удобство работы экипажа, а также обзорность. Обзорность с места командира была вполне достаточной, чего нельзя было сказать об удобстве его размещения. Сиденье размещалось недостаточно удобно, в результате чего стреляные гильзы при падении ударялись о правую ногу командира. Требовалось сместить сиденье на 5-6 см влево и на 5-6 см назад, а также сделать его регулируемым по высоте. Кроме того, отмечалось, что пользоваться перископическим прибором MK-IV можно на дистанциях не более 1500 м. Предлагалось также увеличить высоту башенки на 3-4 см. Имелись претензии и к сиденью наводчика. В ходе испытаний сиденье погнулось, а позже его подушка порвалась от задевания за ограждение орудия. Ввиду проблем, выявившихся при стрельбе, предлагалось сделать ножной электроспуск. Имелись претензии и к сиденью заряжающего, его предлагалось крепить кронштейном к башне. Вместе с тем, обзорность с мест наводчика и заряжающего признали достаточной.</w:t>
      </w:r>
    </w:p>
    <w:p w14:paraId="3C6749AE" w14:textId="77777777" w:rsidR="00827943" w:rsidRPr="007224C3" w:rsidRDefault="00827943" w:rsidP="007224C3">
      <w:pPr>
        <w:pStyle w:val="ae"/>
        <w:spacing w:before="0" w:after="0"/>
        <w:jc w:val="both"/>
        <w:textAlignment w:val="baseline"/>
        <w:rPr>
          <w:color w:val="000000" w:themeColor="text1"/>
          <w:sz w:val="16"/>
          <w:szCs w:val="16"/>
        </w:rPr>
      </w:pPr>
      <w:r w:rsidRPr="007224C3">
        <w:rPr>
          <w:color w:val="000000" w:themeColor="text1"/>
          <w:sz w:val="16"/>
          <w:szCs w:val="16"/>
        </w:rPr>
        <w:t>Наибольшие претензии, как и в случае с заводскими испытаниями, возникли к месту механика-водителя. Высоту отделения управления признали недостаточной, имелись претензии к размещению приборов управления. Также учли опыт испытания зарубежных танков, в частности Light Tank M5A1. Там сиденье механика-водителя было поднимающимся, что позволяло ездить в походном положении, высунувшись из люка. Аналогичное решение захотели внедрить и на Т-44, тем более что такое походное положение позволяло отказаться и от смотрового лючка, и от будки в целом.</w:t>
      </w:r>
    </w:p>
    <w:p w14:paraId="61826F47" w14:textId="77777777" w:rsidR="00827943" w:rsidRPr="007224C3" w:rsidRDefault="00827943" w:rsidP="007224C3">
      <w:pPr>
        <w:pStyle w:val="ae"/>
        <w:spacing w:before="0" w:after="0"/>
        <w:jc w:val="both"/>
        <w:textAlignment w:val="baseline"/>
        <w:rPr>
          <w:color w:val="000000" w:themeColor="text1"/>
          <w:sz w:val="16"/>
          <w:szCs w:val="16"/>
        </w:rPr>
      </w:pPr>
      <w:r w:rsidRPr="007224C3">
        <w:rPr>
          <w:color w:val="000000" w:themeColor="text1"/>
          <w:sz w:val="16"/>
          <w:szCs w:val="16"/>
        </w:rPr>
        <w:t>По мнению комиссии, Т-44 не выдержал испытаний, тем не менее оценили его высоко. В ГБТУ КА и НКТП прекрасно понимали потенциал машины, а также то, что отчасти проблемы связаны со спешкой. В результате комиссия рекомендовала принять Т-44 на вооружение Красной армии, устранив выявленные недостатки. Также нужно было внести ряд изменений, которых требовали представители ГБТУ КА. Во-первых, толщина лобового листа корпуса возрастала до 90 мм; во-вторых, боекомплект увеличивался до 65 патронов калибра 85 мм; в-третьих, запас топлива увеличивался до 550 л. Также требовалось усилить борта корпуса и внести ряд других переделок. Фактически это означало, что в тогдашнем виде Т-44 в серию не шёл, но считался перспективным. О том, насколько перспективной считали машину, говорит тот факт, что 18 июля Сталин подписал постановление ГКО № 6209с «Об организации производства средних танков Т-44 на заводах №75 и №264 Наркомата танковой промышленности». Согласно ему, первые 25 машин ожидались уже в ноябре 1944 года. Фактически танк принимали на вооружение «авансом» (18950).</w:t>
      </w:r>
    </w:p>
    <w:p w14:paraId="63F3D32D" w14:textId="77777777" w:rsidR="00827943" w:rsidRPr="007224C3" w:rsidRDefault="00827943" w:rsidP="007224C3">
      <w:pPr>
        <w:pStyle w:val="ae"/>
        <w:spacing w:before="0" w:after="0"/>
        <w:jc w:val="both"/>
        <w:textAlignment w:val="baseline"/>
        <w:rPr>
          <w:color w:val="000000" w:themeColor="text1"/>
          <w:sz w:val="16"/>
          <w:szCs w:val="16"/>
        </w:rPr>
      </w:pPr>
    </w:p>
    <w:p w14:paraId="1BF96421" w14:textId="77777777" w:rsidR="00827943" w:rsidRPr="007224C3" w:rsidRDefault="0082794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 мая 1944 г. вышел приказ Народного Комиссара Танковой Промышленности Союза ССР и Командующего БТ и МВ Красной Армии № 366/098, в соответствии с которым в период с 15 июня по 17 июля 1944 г. были проведены полигонные испытания второго опытного образца танка Т-44, конструкции завода № 183 НКТП.</w:t>
      </w:r>
    </w:p>
    <w:p w14:paraId="4983065A" w14:textId="77777777" w:rsidR="00827943" w:rsidRPr="007224C3" w:rsidRDefault="0082794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Представленный на испытания опытный образец танка Т-44 выполнен с учетом замечаний комиссии по полигонным испытаниям первого опытного образца, проведенным в феврале-марте 1944 года.</w:t>
      </w:r>
    </w:p>
    <w:p w14:paraId="429785A9" w14:textId="77777777" w:rsidR="00827943" w:rsidRPr="007224C3" w:rsidRDefault="0082794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Испытания проведены по программе, утвержденной Заместителем Народного Комиссара Танковой Промышленности и Начальником ГБТУ Красной Армии.</w:t>
      </w:r>
    </w:p>
    <w:p w14:paraId="49EF6B80" w14:textId="77777777" w:rsidR="00827943" w:rsidRPr="007224C3" w:rsidRDefault="0082794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Испытания проводились на НИБТ Полигоне ГБТУ КА, в районе ст.Кубинка, Западной ж.д. (18276)</w:t>
      </w:r>
    </w:p>
    <w:p w14:paraId="00FBF5CE" w14:textId="77777777" w:rsidR="00827943" w:rsidRPr="007224C3" w:rsidRDefault="00827943" w:rsidP="007224C3">
      <w:pPr>
        <w:spacing w:after="0" w:line="240" w:lineRule="auto"/>
        <w:jc w:val="both"/>
        <w:rPr>
          <w:rFonts w:ascii="Times New Roman" w:hAnsi="Times New Roman"/>
          <w:color w:val="000000" w:themeColor="text1"/>
          <w:sz w:val="16"/>
          <w:szCs w:val="16"/>
        </w:rPr>
      </w:pPr>
    </w:p>
    <w:p w14:paraId="5D118D51"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 мая 1944 года вышел приказ № 261с НКВ</w:t>
      </w:r>
    </w:p>
    <w:p w14:paraId="05674016"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 исполнение распоряжения СНК от 29 мая 1944 года за № 11635-рс:</w:t>
      </w:r>
    </w:p>
    <w:p w14:paraId="65123AE5"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Присвоить ЦКБ патронного станкостроения НКВ номер 3 и именовать его ЦКБ-3 (6422, 23).</w:t>
      </w:r>
    </w:p>
    <w:p w14:paraId="076A5829"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5C4BEC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 мая 1944 г. вышел совместный приказ НКТП и НКЭП (народный комиссариат электропромышленнос</w:t>
      </w:r>
      <w:r w:rsidRPr="007224C3">
        <w:rPr>
          <w:rFonts w:ascii="Times New Roman" w:hAnsi="Times New Roman"/>
          <w:color w:val="000000" w:themeColor="text1"/>
          <w:sz w:val="16"/>
          <w:szCs w:val="16"/>
        </w:rPr>
        <w:softHyphen/>
        <w:t>ти) "О продолжении ОКР по созданию электротрансмиссии для тяже</w:t>
      </w:r>
      <w:r w:rsidRPr="007224C3">
        <w:rPr>
          <w:rFonts w:ascii="Times New Roman" w:hAnsi="Times New Roman"/>
          <w:color w:val="000000" w:themeColor="text1"/>
          <w:sz w:val="16"/>
          <w:szCs w:val="16"/>
        </w:rPr>
        <w:softHyphen/>
        <w:t>лых танков". Основным недостатком электромеханических трансмиссий явля</w:t>
      </w:r>
      <w:r w:rsidRPr="007224C3">
        <w:rPr>
          <w:rFonts w:ascii="Times New Roman" w:hAnsi="Times New Roman"/>
          <w:color w:val="000000" w:themeColor="text1"/>
          <w:sz w:val="16"/>
          <w:szCs w:val="16"/>
        </w:rPr>
        <w:softHyphen/>
        <w:t>лась их большая масса и размеры по сравнению с механическими транс</w:t>
      </w:r>
      <w:r w:rsidRPr="007224C3">
        <w:rPr>
          <w:rFonts w:ascii="Times New Roman" w:hAnsi="Times New Roman"/>
          <w:color w:val="000000" w:themeColor="text1"/>
          <w:sz w:val="16"/>
          <w:szCs w:val="16"/>
        </w:rPr>
        <w:softHyphen/>
        <w:t>миссиями. Масса электромеханической трансмиссии танка ИС-6 ("Объект 253") составляла 3850 кг в то время, как масса механической трансмиссии танка ИС-2 не превышала 980 кг (10703).</w:t>
      </w:r>
    </w:p>
    <w:p w14:paraId="37D71C9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270162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 мая 1944 г. вышел ПРИКАЗ НАРОДНОГО КОМИССАРА ЭЛЕКТРОПРОМЫШЛЕННОСТИ И НАРОДНОГО КОМИССАРА ТАНКОВОЙ ПРОМЫШЛЕННОСТИ СССР ОБ ИЗГОТОВЛЕНИИ ОПЫТНЫХ ОБРАЗЦОВ ТАНКОВ С ЭЛЕКТРОТРАНСМИССИЕЙ №К-315/359</w:t>
      </w:r>
    </w:p>
    <w:p w14:paraId="310EE5C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целях изготовления опытных образцов танков с электротрансмиссией ПРИКАЗЫВАЕМ:</w:t>
      </w:r>
    </w:p>
    <w:p w14:paraId="2392F18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И, о. директора завода «Динамо» т. Черничкину совместно с главным конструктором НКТП т. Котиным организовать разработку и проектирование электротрансмиссии тяжелого танка по техническим условиям, утвержденным НКЭП и НКТП.</w:t>
      </w:r>
    </w:p>
    <w:p w14:paraId="574935F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И. о. директора завода «Динамо» т. Черничкину изготовить 3 комплекта электрооборудова</w:t>
      </w:r>
      <w:r w:rsidRPr="007224C3">
        <w:rPr>
          <w:rFonts w:ascii="Times New Roman" w:hAnsi="Times New Roman"/>
          <w:color w:val="000000" w:themeColor="text1"/>
          <w:sz w:val="16"/>
          <w:szCs w:val="16"/>
        </w:rPr>
        <w:softHyphen/>
        <w:t>ния для трансмиссий опытных танков завода №100 и провести полное комплектное испытание их на стенде к 15 октября 1944 г.</w:t>
      </w:r>
    </w:p>
    <w:p w14:paraId="2EA72D3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Директорам заводов УЗТМ и №100 т. Мазрукову и т. Солодухину изготовить 2 опытных тан</w:t>
      </w:r>
      <w:r w:rsidRPr="007224C3">
        <w:rPr>
          <w:rFonts w:ascii="Times New Roman" w:hAnsi="Times New Roman"/>
          <w:color w:val="000000" w:themeColor="text1"/>
          <w:sz w:val="16"/>
          <w:szCs w:val="16"/>
        </w:rPr>
        <w:softHyphen/>
        <w:t>ка, смонтировать электрооборудование вместе с представителями завода «Динамо» и произвести заводские испытания их к 15 ноября 1944 г.</w:t>
      </w:r>
    </w:p>
    <w:p w14:paraId="5E7ED94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Для проведения проектно-конструкторских работ по электротрансмиссии на заводе «Динамо»:</w:t>
      </w:r>
    </w:p>
    <w:p w14:paraId="436205A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и. о. директора завода «Динамо» т. Черничкину организовать в пятидневный срок на заводе специальную проектно-конструкторскую группу по танковой электротрансмиссии;</w:t>
      </w:r>
    </w:p>
    <w:p w14:paraId="2280C75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директору НИИ-627 т. Иосифьяну откомандировать в трехдневный срок на завод «Динамо» для проведения совместной работы трех инженеров и конструкторов, работавших в области элект</w:t>
      </w:r>
      <w:r w:rsidRPr="007224C3">
        <w:rPr>
          <w:rFonts w:ascii="Times New Roman" w:hAnsi="Times New Roman"/>
          <w:color w:val="000000" w:themeColor="text1"/>
          <w:sz w:val="16"/>
          <w:szCs w:val="16"/>
        </w:rPr>
        <w:softHyphen/>
        <w:t>ротрансмиссий танков сроком на три месяца;</w:t>
      </w:r>
    </w:p>
    <w:p w14:paraId="416C3A5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главному конструктору НКТП т. Котину в пятидневный срок откомандировать на завод «Ди</w:t>
      </w:r>
      <w:r w:rsidRPr="007224C3">
        <w:rPr>
          <w:rFonts w:ascii="Times New Roman" w:hAnsi="Times New Roman"/>
          <w:color w:val="000000" w:themeColor="text1"/>
          <w:sz w:val="16"/>
          <w:szCs w:val="16"/>
        </w:rPr>
        <w:softHyphen/>
        <w:t>намо» 3 конструкторов сроком на 3 месяца;</w:t>
      </w:r>
    </w:p>
    <w:p w14:paraId="7007A88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 руководство проектно-конструкторской группой возложить непосредственно на главного конструктора завода «Динамо» т. Рабиновича.</w:t>
      </w:r>
    </w:p>
    <w:p w14:paraId="70D8F2F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И. о. директора завода «Динамо» т. Черничкину и главному конструктору заводу т. Раби</w:t>
      </w:r>
      <w:r w:rsidRPr="007224C3">
        <w:rPr>
          <w:rFonts w:ascii="Times New Roman" w:hAnsi="Times New Roman"/>
          <w:color w:val="000000" w:themeColor="text1"/>
          <w:sz w:val="16"/>
          <w:szCs w:val="16"/>
        </w:rPr>
        <w:softHyphen/>
        <w:t>новичу:</w:t>
      </w:r>
    </w:p>
    <w:p w14:paraId="4DEF041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разработать и передать заводу №100 НКТП габаритные размеры машин и аппаратов к 20 ию</w:t>
      </w:r>
      <w:r w:rsidRPr="007224C3">
        <w:rPr>
          <w:rFonts w:ascii="Times New Roman" w:hAnsi="Times New Roman"/>
          <w:color w:val="000000" w:themeColor="text1"/>
          <w:sz w:val="16"/>
          <w:szCs w:val="16"/>
        </w:rPr>
        <w:softHyphen/>
        <w:t>ня 1944 г.;</w:t>
      </w:r>
    </w:p>
    <w:p w14:paraId="657BDB8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разработать принципиальную схему привода и представить ее на рассмотрение техническо</w:t>
      </w:r>
      <w:r w:rsidRPr="007224C3">
        <w:rPr>
          <w:rFonts w:ascii="Times New Roman" w:hAnsi="Times New Roman"/>
          <w:color w:val="000000" w:themeColor="text1"/>
          <w:sz w:val="16"/>
          <w:szCs w:val="16"/>
        </w:rPr>
        <w:softHyphen/>
        <w:t>го отдела Наркомэлектропрома к 1 июля 1944 г.;</w:t>
      </w:r>
    </w:p>
    <w:p w14:paraId="5BA11A8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закончить рабочие чертежи электрических машин к 1 августа 1944 г.</w:t>
      </w:r>
    </w:p>
    <w:p w14:paraId="4E83F3D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И. о. директора завода №100 НКТП т. Солодухину и начальнику производственного отдела НКТП т. Дантян обеспечить:</w:t>
      </w:r>
    </w:p>
    <w:p w14:paraId="372DE1B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изготовление технологической оснастки для завода «Динамо» к 15 августа 1944 г. согласно приложению № 1 к настоящему приказу;</w:t>
      </w:r>
    </w:p>
    <w:p w14:paraId="7639BB5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б) изготовление и подачу на завод «Динамо» механических деталей электрических машин по чертежам последнего до 1 сентября 1944 г., согласно приложению №2 к настоящему приказу.</w:t>
      </w:r>
    </w:p>
    <w:p w14:paraId="1FD4F4D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И. о. директора завода «Динамо» т. Черничкину и главному конструктору завода №100 т. Ер</w:t>
      </w:r>
      <w:r w:rsidRPr="007224C3">
        <w:rPr>
          <w:rFonts w:ascii="Times New Roman" w:hAnsi="Times New Roman"/>
          <w:color w:val="000000" w:themeColor="text1"/>
          <w:sz w:val="16"/>
          <w:szCs w:val="16"/>
        </w:rPr>
        <w:softHyphen/>
        <w:t>молаеву разработать систему электропривода вентиляций дизеля и электромашин до 20 июня 1944 г.</w:t>
      </w:r>
    </w:p>
    <w:p w14:paraId="47C195E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И. о. директора завода «Динамо» т. Черничкину до 20 июня с. г. подготовить предложение по организации опытного цеха по производству опытного электрообор5&gt;дования для электротранс</w:t>
      </w:r>
      <w:r w:rsidRPr="007224C3">
        <w:rPr>
          <w:rFonts w:ascii="Times New Roman" w:hAnsi="Times New Roman"/>
          <w:color w:val="000000" w:themeColor="text1"/>
          <w:sz w:val="16"/>
          <w:szCs w:val="16"/>
        </w:rPr>
        <w:softHyphen/>
        <w:t>миссии.</w:t>
      </w:r>
    </w:p>
    <w:p w14:paraId="689F8DE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Начальнику ППО НКЭП т. Литваку выделить целевым назначением заводу «Динамо» 200 000 руб. по фонду зарплаты и разрешить расходование их на аккордные работы по данному заданию.</w:t>
      </w:r>
    </w:p>
    <w:p w14:paraId="4C1508A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Зам. наркома электропромышленности т. Фалину выделить целевым назначением для про-ектно-конструкторской группы завода «Динамо» 15 карточек Р-4 и 30 талонов второго горячего блюда ежедневно.</w:t>
      </w:r>
    </w:p>
    <w:p w14:paraId="5DFAC28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Зам. наркомтанкопрома т. Мосину выделять ежемесячно с июня с. г. заводу «Динамо» для проектно-конструкторской группы по 5 карточек литер «Б» с сухим пайком.</w:t>
      </w:r>
    </w:p>
    <w:p w14:paraId="7806255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Начальнику финансового отдела НКТП т. Шагалову выделить в распоряжение и. о. дирек</w:t>
      </w:r>
      <w:r w:rsidRPr="007224C3">
        <w:rPr>
          <w:rFonts w:ascii="Times New Roman" w:hAnsi="Times New Roman"/>
          <w:color w:val="000000" w:themeColor="text1"/>
          <w:sz w:val="16"/>
          <w:szCs w:val="16"/>
        </w:rPr>
        <w:softHyphen/>
        <w:t>тора завода «Динамо» т. Черничкина 100 000 руб. для премирования работников завода за перевы</w:t>
      </w:r>
      <w:r w:rsidRPr="007224C3">
        <w:rPr>
          <w:rFonts w:ascii="Times New Roman" w:hAnsi="Times New Roman"/>
          <w:color w:val="000000" w:themeColor="text1"/>
          <w:sz w:val="16"/>
          <w:szCs w:val="16"/>
        </w:rPr>
        <w:softHyphen/>
        <w:t>полнение заданий по разработке электротрансмиссии.</w:t>
      </w:r>
    </w:p>
    <w:p w14:paraId="1ED3421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Руководство и контроль за выполнением настоящего приказа по НКЭП, а также утвержде</w:t>
      </w:r>
      <w:r w:rsidRPr="007224C3">
        <w:rPr>
          <w:rFonts w:ascii="Times New Roman" w:hAnsi="Times New Roman"/>
          <w:color w:val="000000" w:themeColor="text1"/>
          <w:sz w:val="16"/>
          <w:szCs w:val="16"/>
        </w:rPr>
        <w:softHyphen/>
        <w:t>ние чертежей и проектов электрической части опытного танка возложить на начальника техничес</w:t>
      </w:r>
      <w:r w:rsidRPr="007224C3">
        <w:rPr>
          <w:rFonts w:ascii="Times New Roman" w:hAnsi="Times New Roman"/>
          <w:color w:val="000000" w:themeColor="text1"/>
          <w:sz w:val="16"/>
          <w:szCs w:val="16"/>
        </w:rPr>
        <w:softHyphen/>
        <w:t>кого отдела — члена коллегии НКЭП т. Бертинова.</w:t>
      </w:r>
    </w:p>
    <w:p w14:paraId="299B2AE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Контроль за выполнением настоящего приказа по НКТП возложить на начальника техниче</w:t>
      </w:r>
      <w:r w:rsidRPr="007224C3">
        <w:rPr>
          <w:rFonts w:ascii="Times New Roman" w:hAnsi="Times New Roman"/>
          <w:color w:val="000000" w:themeColor="text1"/>
          <w:sz w:val="16"/>
          <w:szCs w:val="16"/>
        </w:rPr>
        <w:softHyphen/>
        <w:t>ского управления НКТП т. Фрезерова.</w:t>
      </w:r>
    </w:p>
    <w:p w14:paraId="40CA6CE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Народный комиссар электропромышленности СССР И. Кабанов</w:t>
      </w:r>
    </w:p>
    <w:p w14:paraId="30C103E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Народный комиссар танковой промышленности СССР В. Малышев</w:t>
      </w:r>
    </w:p>
    <w:p w14:paraId="77C0A0C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38. Оп. 11355. Д. 2211. Л. 26-28. Копия (11420).</w:t>
      </w:r>
    </w:p>
    <w:p w14:paraId="33E4813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3D876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 мая 1944 вышло Постановление ГКО № 5972 Об отпуске продовольственных, госпитальных и фуражных пайков для Красной Армии, Военно-Морского Флота и войск НКВД в июне 1944 г. РГАНИР, Фонд ГКО, д. 257, лл. 171-173,174 (11012).</w:t>
      </w:r>
    </w:p>
    <w:p w14:paraId="33812AC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D52E76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 мая 1944 вышло Распоряжение ГКО № 5973. О мерах по окончанию строительства термических печей на заводах НКТП. РГАНИР, Фонд ГКО, д. 257, лл. 175 (11012).</w:t>
      </w:r>
    </w:p>
    <w:p w14:paraId="7083ABA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65D656A"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4808401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F8F8F1D" w14:textId="77777777" w:rsidR="006E5527" w:rsidRPr="007224C3" w:rsidRDefault="006E5527"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31 мая</w:t>
      </w:r>
      <w:r w:rsidRPr="007224C3">
        <w:rPr>
          <w:rFonts w:ascii="Times New Roman" w:hAnsi="Times New Roman"/>
          <w:color w:val="000000" w:themeColor="text1"/>
          <w:sz w:val="16"/>
          <w:szCs w:val="16"/>
        </w:rPr>
        <w:t xml:space="preserve"> в 1944 году оперативная сводка Совинформбюро:</w:t>
      </w:r>
    </w:p>
    <w:p w14:paraId="417246CB" w14:textId="77777777" w:rsidR="006E5527" w:rsidRPr="007224C3" w:rsidRDefault="006E552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31 мая в районе севернее Яссы наши войска успешно отбили все атаки крупных сил пехоты и танков противника и нанесли ему большие потери в живой силе и технике. За день боя наши войска уничтожили 27 немецких танков и сбили 58 самолётов противника.</w:t>
      </w:r>
    </w:p>
    <w:p w14:paraId="5812ABF1" w14:textId="77777777" w:rsidR="006E5527" w:rsidRPr="007224C3" w:rsidRDefault="006E552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уточнённым данным, в боях за 30 мая в районе севернее Яссы наши войска подбили и уничтожили 95 танков противника и сбили 106 немецких самолётов.</w:t>
      </w:r>
    </w:p>
    <w:p w14:paraId="5F5B205B" w14:textId="77777777" w:rsidR="006E5527" w:rsidRPr="007224C3" w:rsidRDefault="006E552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 без перемен.</w:t>
      </w:r>
    </w:p>
    <w:p w14:paraId="45F51ACD" w14:textId="77777777" w:rsidR="006E5527" w:rsidRPr="007224C3" w:rsidRDefault="006E552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30 мая наши войска на всех фронтах подбили и уничтожили 97 немецких танков. В воздушных боях и огнём зенитной артиллерии сбито 142 самолёта противника.</w:t>
      </w:r>
    </w:p>
    <w:p w14:paraId="6711F8D8" w14:textId="77777777" w:rsidR="006E5527" w:rsidRPr="007224C3" w:rsidRDefault="006E552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Севернее города Яссы противник, бросив в бой крупные силы, пытался развить успех на участке, где ему вчера удалось незначительно вклиниться в нашу оборону. В течение всего дня немцы силами танков и пехоты непрерывно атаковали советские позиции. Противник понёс огромные потери, но не смог продвинуться вперёд ни на один шаг. Советские пехотинцы, артиллеристы и танкисты мощным огнём и контрударами успешно отбили все атаки гитлеровцев. На поле боя остались тысячи вражеских трупов, много разбитых и сожжённых немецких танков, самоходных орудий и бронетранспортёров. На этом участке фронта немецкое командование ввело в действие крупные силы авиации. Наши лётчики и зенитчики успешно отражают налёты вражеской авиации и за два дня боёв сбили 164 немецких самолёта.</w:t>
      </w:r>
    </w:p>
    <w:p w14:paraId="37847686" w14:textId="77777777" w:rsidR="006E5527" w:rsidRPr="007224C3" w:rsidRDefault="006E552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Юго-восточнее города Витебск группа наших разведчиков ночью проникла в расположение противника и перерезала телефонный провод, соединявший немецкую артиллерийскую батарею с наблюдательным пунктом. Вскоре к месту повреждения линии связи подошли два немца. Разведчики Мирошин и Белоусов прикололи одного из них, а второго оглушили ударом приклада и захватили в плен. Тем временем из блиндажей выскочила группа немцев. Разведчик Цыганов огнём из пулемёта убил и ранил до 30 гитлеровцев. Воспользовавшись замешательством противника, наши разведчики перешли линию фронта и доставили взятого в плен немецкого солдата в свою часть.</w:t>
      </w:r>
    </w:p>
    <w:p w14:paraId="6FC3B66A" w14:textId="77777777" w:rsidR="006E5527" w:rsidRPr="007224C3" w:rsidRDefault="006E552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Юго-восточнее города Станислав наши подразделения ликвидировали несколько попыток противника разведать боем наши позиции. Немцы потеряли убитыми более 100 солдат и офицеров.</w:t>
      </w:r>
    </w:p>
    <w:p w14:paraId="4239E224" w14:textId="77777777" w:rsidR="006E5527" w:rsidRPr="007224C3" w:rsidRDefault="006E552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Снайперы подразделения капитана Павловича за четыре дня истребили 72 гитлеровца. Снайпер т. Шикерук убил 9, снайпер т. Кондратюк — 6, снайпер т. Мартынюк уничтожил 4 немцев.</w:t>
      </w:r>
    </w:p>
    <w:p w14:paraId="41A54CA1" w14:textId="77777777" w:rsidR="006E5527" w:rsidRPr="007224C3" w:rsidRDefault="006E552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Южнее города Тирасполь наши разведчики ночью ворвались в немецкие траншеи. Советские бойцы истребили до роты гитлеровцев. Захватив 8 пулемётов, 2 миномёта и пленных, разведчики вернулись в своё подразделение.</w:t>
      </w:r>
    </w:p>
    <w:p w14:paraId="7D799640" w14:textId="77777777" w:rsidR="006E5527" w:rsidRPr="007224C3" w:rsidRDefault="006E552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Отряд партизан, действующий в Дрогобычской области, 14 мая атаковал противника, укрепившегося в одном населённом пункте. Советские патриоты уничтожили 80 немцев. Взято 14 пленных, в том числе один немецкий офицер. Захвачены продовольственный склад, радиостанция, 47 винтовок, 10 повозок и 2 автомашины.</w:t>
      </w:r>
    </w:p>
    <w:p w14:paraId="3C860651" w14:textId="77777777" w:rsidR="006E5527" w:rsidRPr="007224C3" w:rsidRDefault="006E552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приказу из Берлина правящая клика Венгрии путём репрессий пытается заставить венгерских солдат воевать против Советского Союза. Однако, несмотря на террор, многие венгерские солдаты перебегают на сторону советских войск. Только за последние дни на 1 Украинском фронте на сторону Красной Армии перешло несколько сот венгерских солдат.</w:t>
      </w:r>
    </w:p>
    <w:p w14:paraId="7CAD2F02" w14:textId="77777777" w:rsidR="006E5527" w:rsidRPr="007224C3" w:rsidRDefault="006E552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Пришедшие в расположение Н-ской части восемь солдат 27 венгерской лёгкопехотной дивизии рассказали: «На днях офицеры объявили нам приказ командира корпуса, в котором говорилось, что жёны, дети и все члены семей солдат, перешедших к русским, будут расстреливаться. Всё имущество перебежчиков будет конфисковано. Такими приказами предатели венгерского народа думают удержать солдат на фронте и заставить их умирать за Гитлера. Но всех солдат им не запугать. Мы не хотим быть вместе с немцами и поэтому перешли на вашу сторону».</w:t>
      </w:r>
    </w:p>
    <w:p w14:paraId="1AF15AE9" w14:textId="77777777" w:rsidR="006E5527" w:rsidRPr="007224C3" w:rsidRDefault="006E552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Вслед за этой группой сдались в плен ещё 6 солдат той же дивизии. Перебежчик Иштван К. рассказал: «Ночью я и два моих товарища направились сдаваться в плен. Было очень темно, и мы никак не могли найти дорогу. В конце концов мы остановились на ночь в пустом доме. Вскоре послышались шаги и стук в дверь. В дом ввалилось три человека. В темноте нельзя было разобрать кто они такие. Мы подумали было, что в роте заметили наше исчезновение и командир послал за нами погоню. Я сказал что-то невнятное по-венгерски, а потом произнёс несколько слов на русском языке. Неизвестные подняли руки вверх. Вскоре недоразумение рассеялось. Эти люди оказались солдатами другого батальона нашего же полка. Они так же, как и мы, шли сдаваться в плен и заблудились. Рано утром мы всей группой благополучно добрались до русских позиций». В тот же день в расположение наших войск пришли 18 солдат 57 полка этой дивизии. Перебежчики принесли и сдали свои винтовки, пулемёт, гранаты и 3 тысячи патронов.» (14908).</w:t>
      </w:r>
    </w:p>
    <w:p w14:paraId="383967CC" w14:textId="77777777" w:rsidR="006E5527" w:rsidRPr="007224C3" w:rsidRDefault="006E5527" w:rsidP="007224C3">
      <w:pPr>
        <w:spacing w:after="0" w:line="240" w:lineRule="auto"/>
        <w:jc w:val="both"/>
        <w:rPr>
          <w:rFonts w:ascii="Times New Roman" w:hAnsi="Times New Roman"/>
          <w:color w:val="000000" w:themeColor="text1"/>
          <w:sz w:val="16"/>
          <w:szCs w:val="16"/>
        </w:rPr>
      </w:pPr>
    </w:p>
    <w:p w14:paraId="0D4FDE12"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 мая 1944 Сталин утвердил план “Багратион” (наступление в Белоруссии) (4962).</w:t>
      </w:r>
    </w:p>
    <w:p w14:paraId="4C070DAA"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5A4044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 мая 1944 г. вышла ДИРЕКТИВА КОМАНДУЮЩЕГО БТ и МВ КА КОМАНДУЮЩИМ БТ и МВ ФРОНТОВ О СБЕРЕЖЕНИИ ТАНКОВ Т-34 С 85-мм ПУШКОЙ №342</w:t>
      </w:r>
    </w:p>
    <w:p w14:paraId="4045099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связи с увеличением веса танков Т-34 по сравнению с танками прежних выпусков на 2 — 2,5 т за счет установки в них более мощной 85-мм пушки и новой башни при оставшихся без изменения двигателе, трансмиссии и ходовой части работа агрегатов и механизмов танков стала более напря</w:t>
      </w:r>
      <w:r w:rsidRPr="007224C3">
        <w:rPr>
          <w:rFonts w:ascii="Times New Roman" w:hAnsi="Times New Roman"/>
          <w:color w:val="000000" w:themeColor="text1"/>
          <w:sz w:val="16"/>
          <w:szCs w:val="16"/>
        </w:rPr>
        <w:softHyphen/>
        <w:t>женной.</w:t>
      </w:r>
    </w:p>
    <w:p w14:paraId="338E7C2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танковых и механизированных частях и соединениях при совершении маршей имеют место случаи перегрузки танков Т-34 с 85-мм пушкой дополнительным боекомплектом, бочками с ГСМ и людским десантом, что приводит к авариям и поломкам агрегатов и механизмов танков. При этом наиболее часто выходят из строя двигатели вследствие их перегрева и разрушаются зубья шестерен коробок перемены передач и бортовые передачи.</w:t>
      </w:r>
    </w:p>
    <w:p w14:paraId="7C3D3C1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целях сбережения танков и предупреждения преждевременного выхода из строя их агрега</w:t>
      </w:r>
      <w:r w:rsidRPr="007224C3">
        <w:rPr>
          <w:rFonts w:ascii="Times New Roman" w:hAnsi="Times New Roman"/>
          <w:color w:val="000000" w:themeColor="text1"/>
          <w:sz w:val="16"/>
          <w:szCs w:val="16"/>
        </w:rPr>
        <w:softHyphen/>
        <w:t>тов и механизмов ПРИКАЗЫВАЮ:</w:t>
      </w:r>
    </w:p>
    <w:p w14:paraId="5436C4A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Категорически запретить погрузку на танки Т-34 с 85-мм пушкой дополнительных комплек</w:t>
      </w:r>
      <w:r w:rsidRPr="007224C3">
        <w:rPr>
          <w:rFonts w:ascii="Times New Roman" w:hAnsi="Times New Roman"/>
          <w:color w:val="000000" w:themeColor="text1"/>
          <w:sz w:val="16"/>
          <w:szCs w:val="16"/>
        </w:rPr>
        <w:softHyphen/>
        <w:t>тов боеприпасов и бочек с горючим.</w:t>
      </w:r>
    </w:p>
    <w:p w14:paraId="5422F80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На танках Т-34 с 85-мм пушкой разрешить перевозку только дополнительных бачков с горю</w:t>
      </w:r>
      <w:r w:rsidRPr="007224C3">
        <w:rPr>
          <w:rFonts w:ascii="Times New Roman" w:hAnsi="Times New Roman"/>
          <w:color w:val="000000" w:themeColor="text1"/>
          <w:sz w:val="16"/>
          <w:szCs w:val="16"/>
        </w:rPr>
        <w:softHyphen/>
        <w:t>чим, устанавливаемых танковыми заводами, и людского десанта не свыше пяти человек.</w:t>
      </w:r>
    </w:p>
    <w:p w14:paraId="5C92420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Командующим БТ и МВ фронтов и армий проследить неуклонное исполнение настоящей ди</w:t>
      </w:r>
      <w:r w:rsidRPr="007224C3">
        <w:rPr>
          <w:rFonts w:ascii="Times New Roman" w:hAnsi="Times New Roman"/>
          <w:color w:val="000000" w:themeColor="text1"/>
          <w:sz w:val="16"/>
          <w:szCs w:val="16"/>
        </w:rPr>
        <w:softHyphen/>
        <w:t>рективы и виновных в ее нарушении привлекать к ответственности. Данную директиву довести до экипажей.</w:t>
      </w:r>
    </w:p>
    <w:p w14:paraId="71FC727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Командующий БТ и МВ КА маршал бронетанковых войск Я. Федоренко</w:t>
      </w:r>
    </w:p>
    <w:p w14:paraId="7CC1251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Член военного совета генерал-лейтенант танковых войск Н. Бирюков</w:t>
      </w:r>
    </w:p>
    <w:p w14:paraId="18B8AA9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ЦАМО. Ф. 38. Оп. 11362. Д. 69. Л. 54. Копия (11420).</w:t>
      </w:r>
    </w:p>
    <w:p w14:paraId="7F7618F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A94E1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 мая 1944 г. была подготовлена ДОКЛАДНАЯ ЗАПИСКА НАЧАЛЬНИКА ГУФ и БП БТ и МВ КА КОМАНДУЮЩЕМУ БТ и МВ КА О ПОДГОТОВКЕ ЭКИПАЖЕЙ НА ТАНКИ Т-34-85 №510824</w:t>
      </w:r>
    </w:p>
    <w:p w14:paraId="2A26B55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Заводы танковой промышленности полностью перешли на выпуск танков Т-34-85; соответст</w:t>
      </w:r>
      <w:r w:rsidRPr="007224C3">
        <w:rPr>
          <w:rFonts w:ascii="Times New Roman" w:hAnsi="Times New Roman"/>
          <w:color w:val="000000" w:themeColor="text1"/>
          <w:sz w:val="16"/>
          <w:szCs w:val="16"/>
        </w:rPr>
        <w:softHyphen/>
        <w:t>венно с этим все учебные, запасные полки Т-34 готовят экипажи на эти танки.</w:t>
      </w:r>
    </w:p>
    <w:p w14:paraId="2A074F0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подготовки экипажей учебным полкам выдано взамен Т-34-76 по 4 танка Т-34-85 на полк, при штате полка 37 танков Т-34 и в запасных полках заменено большинство танков.</w:t>
      </w:r>
    </w:p>
    <w:p w14:paraId="756F8E8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связи с полным переходом учебных частей на подготовку экипажей для Т-34-85 это количест</w:t>
      </w:r>
      <w:r w:rsidRPr="007224C3">
        <w:rPr>
          <w:rFonts w:ascii="Times New Roman" w:hAnsi="Times New Roman"/>
          <w:color w:val="000000" w:themeColor="text1"/>
          <w:sz w:val="16"/>
          <w:szCs w:val="16"/>
        </w:rPr>
        <w:softHyphen/>
        <w:t>во учебно-боевых танков в учебных и запасных полках совершенно не обеспечивает требований нормальной практической выучки экипажей.</w:t>
      </w:r>
    </w:p>
    <w:p w14:paraId="53BB490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июле с. г. полки готовят по 170 экипажей. На огневую подготовку двух человек из экипажа, которая может проводиться только на Т-34-85, необходимо по одному моточасу, всего на экипаж два моточаса. Всего на экипажи необходимо в месяц 170x2 = 340 моточасов.</w:t>
      </w:r>
    </w:p>
    <w:p w14:paraId="52ED5AB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Исходя из средней месячной нормы эксплуатации танка 50 моточасов на учебный полк необходимо минимальное количество Т-34-85 340 моточасов: 50 моточасов = 7 танков. Таким образом, каждому пол</w:t>
      </w:r>
      <w:r w:rsidRPr="007224C3">
        <w:rPr>
          <w:rFonts w:ascii="Times New Roman" w:hAnsi="Times New Roman"/>
          <w:color w:val="000000" w:themeColor="text1"/>
          <w:sz w:val="16"/>
          <w:szCs w:val="16"/>
        </w:rPr>
        <w:softHyphen/>
        <w:t>ку необходимо выдать взамен танков Т-34-76 еще по 3 танка Т-34-85, что составит на 11 полков 33 танка.</w:t>
      </w:r>
    </w:p>
    <w:p w14:paraId="76BF3CF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Кроме того, в 3 ЗТП необходимо заменить 10 танков Т-34-76 на танки Т-34-85, так как вместо по</w:t>
      </w:r>
      <w:r w:rsidRPr="007224C3">
        <w:rPr>
          <w:rFonts w:ascii="Times New Roman" w:hAnsi="Times New Roman"/>
          <w:color w:val="000000" w:themeColor="text1"/>
          <w:sz w:val="16"/>
          <w:szCs w:val="16"/>
        </w:rPr>
        <w:softHyphen/>
        <w:t>ложенных по штату 30 танков 3 ЗТП имеет только 20 Т-34-85, а остальные Т-34-76.</w:t>
      </w:r>
    </w:p>
    <w:p w14:paraId="2193631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 в июне 1944 года по учебным и запасным полкам необходимо заменить 43 танка Т-34-76 на танки Т-34-85.</w:t>
      </w:r>
    </w:p>
    <w:p w14:paraId="2E4D579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основании изложенного прошу Вашего распоряжения штабу БТ и МВ КА запланировать в июне с. г. к выдаче учебным частям 43 танка Т-34-85 взамен танков Т-34-76.</w:t>
      </w:r>
    </w:p>
    <w:p w14:paraId="682583A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Приложение: ведомость на 1 листе</w:t>
      </w:r>
    </w:p>
    <w:p w14:paraId="0238BB6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ГУФ и БП БТ и МВ КА генерал-лейтенант танковых войск Фекленко</w:t>
      </w:r>
    </w:p>
    <w:p w14:paraId="5579D2B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УБП БТ и МВ КА генерал-майор танковых войск Сафир</w:t>
      </w:r>
    </w:p>
    <w:p w14:paraId="3D961CE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38. Оп. 11353. Д. 1301. Л. 251. Подлинник (11420).</w:t>
      </w:r>
    </w:p>
    <w:p w14:paraId="42DF0FD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26FDA7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 мая 1944 вышла директива наркома ВМФ Н.К.Кузнецова N ОУ-2/440 об организации помощи экипажам самолетов, сбитых противниками или терпящих бедствие (2120).</w:t>
      </w:r>
    </w:p>
    <w:p w14:paraId="181BD60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EE8E2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 мая 1944 постановлением СНК были установлены денежные награды и их распределение их между личным составом экипажей за потопление вражеских судов (3398,198).</w:t>
      </w:r>
    </w:p>
    <w:p w14:paraId="20CF72B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6F9697" w14:textId="77777777" w:rsidR="006E5527"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Внешняя политика:</w:t>
      </w:r>
    </w:p>
    <w:p w14:paraId="40F0F1BA" w14:textId="77777777" w:rsidR="006E5527" w:rsidRPr="007224C3" w:rsidRDefault="006E5527"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676425C" w14:textId="77777777" w:rsidR="006E5527" w:rsidRPr="007224C3" w:rsidRDefault="006E5527"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31 мая</w:t>
      </w:r>
      <w:r w:rsidRPr="007224C3">
        <w:rPr>
          <w:rFonts w:ascii="Times New Roman" w:hAnsi="Times New Roman"/>
          <w:color w:val="000000" w:themeColor="text1"/>
          <w:sz w:val="16"/>
          <w:szCs w:val="16"/>
        </w:rPr>
        <w:t xml:space="preserve"> в 1944 году решением Политбюро ЦК ВКП(б) в составе Совинформбюро организовано специальное Бюро по пропаганде на зарубежные страны (14908).</w:t>
      </w:r>
    </w:p>
    <w:p w14:paraId="31DCC2CD" w14:textId="77777777" w:rsidR="006E5527" w:rsidRPr="007224C3" w:rsidRDefault="006E5527" w:rsidP="007224C3">
      <w:pPr>
        <w:spacing w:after="0" w:line="240" w:lineRule="auto"/>
        <w:jc w:val="both"/>
        <w:rPr>
          <w:rFonts w:ascii="Times New Roman" w:hAnsi="Times New Roman"/>
          <w:color w:val="000000" w:themeColor="text1"/>
          <w:sz w:val="16"/>
          <w:szCs w:val="16"/>
        </w:rPr>
      </w:pPr>
    </w:p>
    <w:p w14:paraId="7D2A0437"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4FF0B8B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0EA9BA5"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 мая 1944 руководство Освенцима доложило, что после начала уничтожения венгерских евреев с 17 мая собрано 40 кг золотых зубов (4962).</w:t>
      </w:r>
    </w:p>
    <w:p w14:paraId="2361E302"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D4E83F0" w14:textId="77777777" w:rsidR="006E5527" w:rsidRPr="007224C3" w:rsidRDefault="006E5527"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31 мая</w:t>
      </w:r>
      <w:r w:rsidRPr="007224C3">
        <w:rPr>
          <w:rFonts w:ascii="Times New Roman" w:hAnsi="Times New Roman"/>
          <w:color w:val="000000" w:themeColor="text1"/>
          <w:sz w:val="16"/>
          <w:szCs w:val="16"/>
        </w:rPr>
        <w:t xml:space="preserve"> в 1944 году эскортный миноносец «Ингленд» («DE-635») под командованием капитан-лейтенанта Уолтона Д.Пендлтона топит японскую субмарину «RO-105» - шестую за 13 дней. Абсолютный рекорд для кораблей американских ВМС. Вот слова адмирала Кинга (главкома U.S. Navy): "There'll always be an England in the United States Navy." Обещание не было сдержано. С 1994 года в составе американского ВМФ нет корабля с именем «England» (14908).</w:t>
      </w:r>
    </w:p>
    <w:p w14:paraId="48288194" w14:textId="77777777" w:rsidR="006E5527" w:rsidRPr="007224C3" w:rsidRDefault="006E5527" w:rsidP="007224C3">
      <w:pPr>
        <w:spacing w:after="0" w:line="240" w:lineRule="auto"/>
        <w:jc w:val="both"/>
        <w:rPr>
          <w:rFonts w:ascii="Times New Roman" w:hAnsi="Times New Roman"/>
          <w:color w:val="000000" w:themeColor="text1"/>
          <w:sz w:val="16"/>
          <w:szCs w:val="16"/>
        </w:rPr>
      </w:pPr>
    </w:p>
    <w:p w14:paraId="54FFDA1D"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765F721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6A890E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конце мая 1944 г. ГКО принял постановление № 5947, в соответствии с которым заводу №22 поручалось изготовить малую серию (5 машин) Пе-2И к 15 октября 1944 г. Однако это постановление не было выполнено. Основными причинами являлись, во-первых, нежелание руководства НКАП и завода сокращать объемы выпуска обычных Пе-2 и, во-вторых, трудности с освоением серийного производства моторов ВК-107А, которые прежде всего предназначались для истребителей Як-9У (4476).</w:t>
      </w:r>
    </w:p>
    <w:p w14:paraId="4BCAEE5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25667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конце мая 1944 г. ГКО принял постановление № 5947, в соответствии с которым заводу № 22 поручалось изготовить малую серию (5 машин) Пе-2И к 15 октября 1944 г. Однако это постановление не было выполнено. Основными причинами являлись, во-пер- вых, нежелание руководства НКАП и завода сокращать объемы выпуска обычных Пе-2 и, во-вторых, трудности с освоением серийного производства моторов ВК-107А, которые прежде всего предназначались для истребителей Як-9У (12042).</w:t>
      </w:r>
    </w:p>
    <w:p w14:paraId="0CD83F7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F0885F6" w14:textId="77777777" w:rsidR="00460F8F" w:rsidRPr="007224C3" w:rsidRDefault="00460F8F"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65080941" w14:textId="77777777" w:rsidR="00460F8F" w:rsidRPr="007224C3" w:rsidRDefault="00460F8F"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057E91F" w14:textId="77777777" w:rsidR="00460F8F" w:rsidRPr="007224C3" w:rsidRDefault="00460F8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конце мая 1944 года начальник ГБТУ КА генерал-лейтенант Вершинин обратился на ГАЗ им. Молотова и на завод №9 с просьбой о разработке ещё одной САУ. На базу СУ-76М предлагалось установить 122-мм гаубицу М-30. Вместо ГАЗ работой занялся завод №38, работавший над этой темой ещё с апреля 1944 года. Увы, в июле 1944 года работы были свёрнуты в связи с решением о переводе завода №38 из Кирова в Харьков на площадку завода №75. Не был даже закончен эскизный проект машины (в отличие от проектов ОСУ-76 и ЗСУ-37, которые передали на завод №40). Советская лёгкая гаубичная САУ умерла, так толком и не родившись (18098).</w:t>
      </w:r>
    </w:p>
    <w:p w14:paraId="4796E9F5" w14:textId="77777777" w:rsidR="00460F8F" w:rsidRPr="007224C3" w:rsidRDefault="00460F8F" w:rsidP="007224C3">
      <w:pPr>
        <w:spacing w:after="0" w:line="240" w:lineRule="auto"/>
        <w:jc w:val="both"/>
        <w:rPr>
          <w:rFonts w:ascii="Times New Roman" w:hAnsi="Times New Roman"/>
          <w:color w:val="000000" w:themeColor="text1"/>
          <w:sz w:val="16"/>
          <w:szCs w:val="16"/>
        </w:rPr>
      </w:pPr>
    </w:p>
    <w:p w14:paraId="039A2F7B" w14:textId="77777777" w:rsidR="00460F8F" w:rsidRPr="007224C3" w:rsidRDefault="00460F8F" w:rsidP="007224C3">
      <w:pPr>
        <w:pStyle w:val="ae"/>
        <w:spacing w:before="0" w:after="0"/>
        <w:jc w:val="both"/>
        <w:textAlignment w:val="baseline"/>
        <w:rPr>
          <w:color w:val="000000" w:themeColor="text1"/>
          <w:sz w:val="16"/>
          <w:szCs w:val="16"/>
        </w:rPr>
      </w:pPr>
      <w:r w:rsidRPr="007224C3">
        <w:rPr>
          <w:color w:val="000000" w:themeColor="text1"/>
          <w:sz w:val="16"/>
          <w:szCs w:val="16"/>
        </w:rPr>
        <w:t>В конце мая 1944 года ГБТУ подготовило тактико-технические требования на </w:t>
      </w:r>
      <w:r w:rsidRPr="007224C3">
        <w:rPr>
          <w:iCs/>
          <w:color w:val="000000" w:themeColor="text1"/>
          <w:sz w:val="16"/>
          <w:szCs w:val="16"/>
          <w:bdr w:val="none" w:sz="0" w:space="0" w:color="auto" w:frame="1"/>
        </w:rPr>
        <w:t>«средний танк»</w:t>
      </w:r>
      <w:r w:rsidRPr="007224C3">
        <w:rPr>
          <w:color w:val="000000" w:themeColor="text1"/>
          <w:sz w:val="16"/>
          <w:szCs w:val="16"/>
        </w:rPr>
        <w:t>, в которых был чётко виден Т-44 по версии Главного Бронетанкового Управления. Боевая масса оценивалась в 32 т, толщина верхней лобовой плиты корпуса составляла 90 мм, а башни – до 115 мм.</w:t>
      </w:r>
    </w:p>
    <w:p w14:paraId="4D1C2A85" w14:textId="77777777" w:rsidR="00460F8F" w:rsidRPr="007224C3" w:rsidRDefault="00460F8F" w:rsidP="007224C3">
      <w:pPr>
        <w:pStyle w:val="ae"/>
        <w:spacing w:before="0" w:after="0"/>
        <w:jc w:val="both"/>
        <w:textAlignment w:val="baseline"/>
        <w:rPr>
          <w:color w:val="000000" w:themeColor="text1"/>
          <w:sz w:val="16"/>
          <w:szCs w:val="16"/>
        </w:rPr>
      </w:pPr>
    </w:p>
    <w:p w14:paraId="4C9809EE"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7FC1D29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9B8D09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конце мая 1944 года в торжественной обстановке были переданы два корабля, построенные на средства трудящихся Кайбинского и Бугульминского районов Татарии: "Кайбинский колхозник" и "Бугульминский колхозник". Эти самолеты, оснащенные двигателями АШ-82ФН, вручили экипажам гвардии капитана Зеленского и Героя Советского Союза гвардии майора Обухова. Последний боевой Пе-8 № 42512 был принят представителями 45-й авиадивизии на заводе №22 21 июня 1944 г. (12025).</w:t>
      </w:r>
    </w:p>
    <w:p w14:paraId="5227BDE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4DA8657" w14:textId="04E83415" w:rsidR="003534A5" w:rsidRPr="007224C3" w:rsidRDefault="003534A5" w:rsidP="007224C3">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7224C3">
        <w:rPr>
          <w:rFonts w:ascii="Times New Roman" w:hAnsi="Times New Roman"/>
          <w:i/>
          <w:iCs/>
          <w:color w:val="000000" w:themeColor="text1"/>
          <w:sz w:val="16"/>
          <w:szCs w:val="16"/>
        </w:rPr>
        <w:t>За рубежом:</w:t>
      </w:r>
    </w:p>
    <w:p w14:paraId="6191B1FA" w14:textId="77777777" w:rsidR="003534A5" w:rsidRPr="007224C3" w:rsidRDefault="003534A5" w:rsidP="007224C3">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5B22C7F8" w14:textId="77777777" w:rsidR="003534A5" w:rsidRPr="007224C3" w:rsidRDefault="003534A5"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 xml:space="preserve">К концу мая 1944 изготовлявшееся опытное орудие </w:t>
      </w:r>
      <w:r w:rsidRPr="007224C3">
        <w:rPr>
          <w:rFonts w:ascii="Times New Roman" w:hAnsi="Times New Roman"/>
          <w:color w:val="0070C0"/>
          <w:sz w:val="16"/>
          <w:szCs w:val="16"/>
          <w:lang w:val="en-US"/>
        </w:rPr>
        <w:t>V</w:t>
      </w:r>
      <w:r w:rsidRPr="007224C3">
        <w:rPr>
          <w:rFonts w:ascii="Times New Roman" w:hAnsi="Times New Roman"/>
          <w:color w:val="0070C0"/>
          <w:sz w:val="16"/>
          <w:szCs w:val="16"/>
        </w:rPr>
        <w:t>-3 демонстрировало вполне сносные результаты: дальность полета снаряда достигала 80 км. Но тут, после двадцать пятого выстрела, две боковые камеры экспериментального ствола «V-3» взорвались, вследствие чего орудие получило серьезные повреждения. Были заказаны новые экземпляры камер, а следующее испытание наметили на начало июля. 4 июля снова были проведены стрельбы из экспериментального орудия. На этот раз удалось сделать восемь выстрелов и достигнуть дальности стрельбы в 93 км. После чего экспериментальное орудие снова взорвалось (22870).</w:t>
      </w:r>
    </w:p>
    <w:p w14:paraId="605E53BA" w14:textId="77777777" w:rsidR="003534A5" w:rsidRPr="007224C3" w:rsidRDefault="003534A5" w:rsidP="007224C3">
      <w:pPr>
        <w:spacing w:after="0" w:line="240" w:lineRule="auto"/>
        <w:jc w:val="both"/>
        <w:rPr>
          <w:rFonts w:ascii="Times New Roman" w:hAnsi="Times New Roman"/>
          <w:color w:val="0070C0"/>
          <w:sz w:val="16"/>
          <w:szCs w:val="16"/>
        </w:rPr>
      </w:pPr>
    </w:p>
    <w:p w14:paraId="59ADEAFD" w14:textId="4E605B0C"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001CC71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B0EE61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мая месяца 1944 на всех серийных са</w:t>
      </w:r>
      <w:r w:rsidRPr="007224C3">
        <w:rPr>
          <w:rFonts w:ascii="Times New Roman" w:hAnsi="Times New Roman"/>
          <w:color w:val="000000" w:themeColor="text1"/>
          <w:sz w:val="16"/>
          <w:szCs w:val="16"/>
        </w:rPr>
        <w:softHyphen/>
        <w:t>молетах Ил-2 «крыло со стрелкой» был изменен до -1°40" установочный угол стабилизатора и перенесен аккумуля</w:t>
      </w:r>
      <w:r w:rsidRPr="007224C3">
        <w:rPr>
          <w:rFonts w:ascii="Times New Roman" w:hAnsi="Times New Roman"/>
          <w:color w:val="000000" w:themeColor="text1"/>
          <w:sz w:val="16"/>
          <w:szCs w:val="16"/>
        </w:rPr>
        <w:softHyphen/>
        <w:t>тор из хвоста в правую часть центроп</w:t>
      </w:r>
      <w:r w:rsidRPr="007224C3">
        <w:rPr>
          <w:rFonts w:ascii="Times New Roman" w:hAnsi="Times New Roman"/>
          <w:color w:val="000000" w:themeColor="text1"/>
          <w:sz w:val="16"/>
          <w:szCs w:val="16"/>
        </w:rPr>
        <w:softHyphen/>
        <w:t>лана. Эти доработки положительно сказались на продольной устойчиво</w:t>
      </w:r>
      <w:r w:rsidRPr="007224C3">
        <w:rPr>
          <w:rFonts w:ascii="Times New Roman" w:hAnsi="Times New Roman"/>
          <w:color w:val="000000" w:themeColor="text1"/>
          <w:sz w:val="16"/>
          <w:szCs w:val="16"/>
        </w:rPr>
        <w:softHyphen/>
        <w:t>сти и управляемости самолета (11215).</w:t>
      </w:r>
    </w:p>
    <w:p w14:paraId="359E02A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D8CA7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С мая месяца 1944 на всех серийных самолетах Ил-2 "крыло со стрелкой" был изменен до - 1:40' установочный угол стабилизатора и перенесен аккумулятор из хвоста в правую часть центроплана. Эти доработки положительно сказались на продольной устойчивости и управляемости самолета (12020).</w:t>
      </w:r>
    </w:p>
    <w:p w14:paraId="5CDBEC2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BFE90F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 почти одновременно в ЛИИ НКАП проводились специальные испытания серийного самолета Ил-2 (зав. № 304230) «крыло со стрелкой» произ</w:t>
      </w:r>
      <w:r w:rsidRPr="007224C3">
        <w:rPr>
          <w:rFonts w:ascii="Times New Roman" w:hAnsi="Times New Roman"/>
          <w:color w:val="000000" w:themeColor="text1"/>
          <w:sz w:val="16"/>
          <w:szCs w:val="16"/>
        </w:rPr>
        <w:softHyphen/>
        <w:t>водства завода № 30 с целью опреде</w:t>
      </w:r>
      <w:r w:rsidRPr="007224C3">
        <w:rPr>
          <w:rFonts w:ascii="Times New Roman" w:hAnsi="Times New Roman"/>
          <w:color w:val="000000" w:themeColor="text1"/>
          <w:sz w:val="16"/>
          <w:szCs w:val="16"/>
        </w:rPr>
        <w:softHyphen/>
        <w:t>ления максимальных эксплуатацион</w:t>
      </w:r>
      <w:r w:rsidRPr="007224C3">
        <w:rPr>
          <w:rFonts w:ascii="Times New Roman" w:hAnsi="Times New Roman"/>
          <w:color w:val="000000" w:themeColor="text1"/>
          <w:sz w:val="16"/>
          <w:szCs w:val="16"/>
        </w:rPr>
        <w:softHyphen/>
        <w:t>ных перегрузок.</w:t>
      </w:r>
    </w:p>
    <w:p w14:paraId="700C51E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Испытания показали, что на само</w:t>
      </w:r>
      <w:r w:rsidRPr="007224C3">
        <w:rPr>
          <w:rFonts w:ascii="Times New Roman" w:hAnsi="Times New Roman"/>
          <w:color w:val="000000" w:themeColor="text1"/>
          <w:sz w:val="16"/>
          <w:szCs w:val="16"/>
        </w:rPr>
        <w:softHyphen/>
        <w:t xml:space="preserve">лете Ил-2 «крыло со стрелкой» выход из пикирования происходит </w:t>
      </w:r>
      <w:r w:rsidRPr="007224C3">
        <w:rPr>
          <w:rFonts w:ascii="Times New Roman" w:hAnsi="Times New Roman"/>
          <w:iCs/>
          <w:color w:val="000000" w:themeColor="text1"/>
          <w:sz w:val="16"/>
          <w:szCs w:val="16"/>
        </w:rPr>
        <w:t xml:space="preserve">«при больших усилиях по величине и более продолжительное время», </w:t>
      </w:r>
      <w:r w:rsidRPr="007224C3">
        <w:rPr>
          <w:rFonts w:ascii="Times New Roman" w:hAnsi="Times New Roman"/>
          <w:color w:val="000000" w:themeColor="text1"/>
          <w:sz w:val="16"/>
          <w:szCs w:val="16"/>
        </w:rPr>
        <w:t>чем на Ил-2 с обычным крылом. Эксплуатационные перегрузки порядка 5 единиц могут быть получены лишь при очень резком отклонении ручки «на себя» с больши</w:t>
      </w:r>
      <w:r w:rsidRPr="007224C3">
        <w:rPr>
          <w:rFonts w:ascii="Times New Roman" w:hAnsi="Times New Roman"/>
          <w:color w:val="000000" w:themeColor="text1"/>
          <w:sz w:val="16"/>
          <w:szCs w:val="16"/>
        </w:rPr>
        <w:softHyphen/>
        <w:t>ми усилиями. При этом самолет реаги</w:t>
      </w:r>
      <w:r w:rsidRPr="007224C3">
        <w:rPr>
          <w:rFonts w:ascii="Times New Roman" w:hAnsi="Times New Roman"/>
          <w:color w:val="000000" w:themeColor="text1"/>
          <w:sz w:val="16"/>
          <w:szCs w:val="16"/>
        </w:rPr>
        <w:softHyphen/>
        <w:t>рует не сразу, несколько запаздывает и выходит из пикирования более плав</w:t>
      </w:r>
      <w:r w:rsidRPr="007224C3">
        <w:rPr>
          <w:rFonts w:ascii="Times New Roman" w:hAnsi="Times New Roman"/>
          <w:color w:val="000000" w:themeColor="text1"/>
          <w:sz w:val="16"/>
          <w:szCs w:val="16"/>
        </w:rPr>
        <w:softHyphen/>
        <w:t>но. Отклонение ручки «на себя» требу</w:t>
      </w:r>
      <w:r w:rsidRPr="007224C3">
        <w:rPr>
          <w:rFonts w:ascii="Times New Roman" w:hAnsi="Times New Roman"/>
          <w:color w:val="000000" w:themeColor="text1"/>
          <w:sz w:val="16"/>
          <w:szCs w:val="16"/>
        </w:rPr>
        <w:softHyphen/>
        <w:t>ет усилий порядка 15-20 кг.</w:t>
      </w:r>
    </w:p>
    <w:p w14:paraId="23AF2CF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Перегрузка 6,2 единицы на скорос</w:t>
      </w:r>
      <w:r w:rsidRPr="007224C3">
        <w:rPr>
          <w:rFonts w:ascii="Times New Roman" w:hAnsi="Times New Roman"/>
          <w:color w:val="000000" w:themeColor="text1"/>
          <w:sz w:val="16"/>
          <w:szCs w:val="16"/>
        </w:rPr>
        <w:softHyphen/>
        <w:t>ти 454 км/ч по прибору была получена летчиком Шунейко только в одном по</w:t>
      </w:r>
      <w:r w:rsidRPr="007224C3">
        <w:rPr>
          <w:rFonts w:ascii="Times New Roman" w:hAnsi="Times New Roman"/>
          <w:color w:val="000000" w:themeColor="text1"/>
          <w:sz w:val="16"/>
          <w:szCs w:val="16"/>
        </w:rPr>
        <w:softHyphen/>
        <w:t>лете. Однако на самолете произошло смятие заклепок у косынок, располо</w:t>
      </w:r>
      <w:r w:rsidRPr="007224C3">
        <w:rPr>
          <w:rFonts w:ascii="Times New Roman" w:hAnsi="Times New Roman"/>
          <w:color w:val="000000" w:themeColor="text1"/>
          <w:sz w:val="16"/>
          <w:szCs w:val="16"/>
        </w:rPr>
        <w:softHyphen/>
        <w:t>женных сверху (в сжатой зоне) в сред</w:t>
      </w:r>
      <w:r w:rsidRPr="007224C3">
        <w:rPr>
          <w:rFonts w:ascii="Times New Roman" w:hAnsi="Times New Roman"/>
          <w:color w:val="000000" w:themeColor="text1"/>
          <w:sz w:val="16"/>
          <w:szCs w:val="16"/>
        </w:rPr>
        <w:softHyphen/>
        <w:t>ней части крыла, а также деформиро</w:t>
      </w:r>
      <w:r w:rsidRPr="007224C3">
        <w:rPr>
          <w:rFonts w:ascii="Times New Roman" w:hAnsi="Times New Roman"/>
          <w:color w:val="000000" w:themeColor="text1"/>
          <w:sz w:val="16"/>
          <w:szCs w:val="16"/>
        </w:rPr>
        <w:softHyphen/>
        <w:t>вались после потери устойчивости по</w:t>
      </w:r>
      <w:r w:rsidRPr="007224C3">
        <w:rPr>
          <w:rFonts w:ascii="Times New Roman" w:hAnsi="Times New Roman"/>
          <w:color w:val="000000" w:themeColor="text1"/>
          <w:sz w:val="16"/>
          <w:szCs w:val="16"/>
        </w:rPr>
        <w:softHyphen/>
        <w:t>перечные профили крыла. На выходе из пикирования Шунейко наблюдал образование волн на обшивке крыла.</w:t>
      </w:r>
    </w:p>
    <w:p w14:paraId="125DBB8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появлением Ил-2 «крыло со стрел</w:t>
      </w:r>
      <w:r w:rsidRPr="007224C3">
        <w:rPr>
          <w:rFonts w:ascii="Times New Roman" w:hAnsi="Times New Roman"/>
          <w:color w:val="000000" w:themeColor="text1"/>
          <w:sz w:val="16"/>
          <w:szCs w:val="16"/>
        </w:rPr>
        <w:softHyphen/>
        <w:t>кой» появилась возможность улучшить и защиту воздушного стрелка. Уже к 1 июня 1944 г. были разработаны удли</w:t>
      </w:r>
      <w:r w:rsidRPr="007224C3">
        <w:rPr>
          <w:rFonts w:ascii="Times New Roman" w:hAnsi="Times New Roman"/>
          <w:color w:val="000000" w:themeColor="text1"/>
          <w:sz w:val="16"/>
          <w:szCs w:val="16"/>
        </w:rPr>
        <w:softHyphen/>
        <w:t>ненный бронекорпус с перераспределенной толщиной брони, включающий кабину стрелка, и ремонтный комплект дополнительной брони стрелка. Рем-комплект предполагалось устанавливать на уже выпущенные Ил-2 «крыло со стрелкой» с обычным бронекорпусом силами техсостава строевых частей.</w:t>
      </w:r>
    </w:p>
    <w:p w14:paraId="30F101A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Верхняя передняя часть нового бронекорпуса выполнялась из дюра-люминовых листов, поскольку, как по</w:t>
      </w:r>
      <w:r w:rsidRPr="007224C3">
        <w:rPr>
          <w:rFonts w:ascii="Times New Roman" w:hAnsi="Times New Roman"/>
          <w:color w:val="000000" w:themeColor="text1"/>
          <w:sz w:val="16"/>
          <w:szCs w:val="16"/>
        </w:rPr>
        <w:softHyphen/>
        <w:t>казал боевой опыт, она практически не поражалась в воздушных боях. Вертикальная бронеплита под капотом и бронедиск за втулкой винта заменя</w:t>
      </w:r>
      <w:r w:rsidRPr="007224C3">
        <w:rPr>
          <w:rFonts w:ascii="Times New Roman" w:hAnsi="Times New Roman"/>
          <w:color w:val="000000" w:themeColor="text1"/>
          <w:sz w:val="16"/>
          <w:szCs w:val="16"/>
        </w:rPr>
        <w:softHyphen/>
        <w:t>лись дюралевыми. Толщина нижних боковых стенок капота мотора увели</w:t>
      </w:r>
      <w:r w:rsidRPr="007224C3">
        <w:rPr>
          <w:rFonts w:ascii="Times New Roman" w:hAnsi="Times New Roman"/>
          <w:color w:val="000000" w:themeColor="text1"/>
          <w:sz w:val="16"/>
          <w:szCs w:val="16"/>
        </w:rPr>
        <w:softHyphen/>
        <w:t>чивалась до 6 и 8 мм, а толщина боко</w:t>
      </w:r>
      <w:r w:rsidRPr="007224C3">
        <w:rPr>
          <w:rFonts w:ascii="Times New Roman" w:hAnsi="Times New Roman"/>
          <w:color w:val="000000" w:themeColor="text1"/>
          <w:sz w:val="16"/>
          <w:szCs w:val="16"/>
        </w:rPr>
        <w:softHyphen/>
        <w:t>вых стенок кабины пилота, наоборот, уменьшалась до 4 и 5 мм. Кабина стрел</w:t>
      </w:r>
      <w:r w:rsidRPr="007224C3">
        <w:rPr>
          <w:rFonts w:ascii="Times New Roman" w:hAnsi="Times New Roman"/>
          <w:color w:val="000000" w:themeColor="text1"/>
          <w:sz w:val="16"/>
          <w:szCs w:val="16"/>
        </w:rPr>
        <w:softHyphen/>
        <w:t>ка целиком имела 5-мм броню. Пере</w:t>
      </w:r>
      <w:r w:rsidRPr="007224C3">
        <w:rPr>
          <w:rFonts w:ascii="Times New Roman" w:hAnsi="Times New Roman"/>
          <w:color w:val="000000" w:themeColor="text1"/>
          <w:sz w:val="16"/>
          <w:szCs w:val="16"/>
        </w:rPr>
        <w:softHyphen/>
        <w:t>дняя и средняя части бронекорпуса, как и ранее, выполнялись из броневых ли</w:t>
      </w:r>
      <w:r w:rsidRPr="007224C3">
        <w:rPr>
          <w:rFonts w:ascii="Times New Roman" w:hAnsi="Times New Roman"/>
          <w:color w:val="000000" w:themeColor="text1"/>
          <w:sz w:val="16"/>
          <w:szCs w:val="16"/>
        </w:rPr>
        <w:softHyphen/>
        <w:t>стов толщиной от 4 до б мм. В сравне</w:t>
      </w:r>
      <w:r w:rsidRPr="007224C3">
        <w:rPr>
          <w:rFonts w:ascii="Times New Roman" w:hAnsi="Times New Roman"/>
          <w:color w:val="000000" w:themeColor="text1"/>
          <w:sz w:val="16"/>
          <w:szCs w:val="16"/>
        </w:rPr>
        <w:softHyphen/>
        <w:t>нии с серийным Ил-2 общий вес метал</w:t>
      </w:r>
      <w:r w:rsidRPr="007224C3">
        <w:rPr>
          <w:rFonts w:ascii="Times New Roman" w:hAnsi="Times New Roman"/>
          <w:color w:val="000000" w:themeColor="text1"/>
          <w:sz w:val="16"/>
          <w:szCs w:val="16"/>
        </w:rPr>
        <w:softHyphen/>
        <w:t>лической брони увеличился на 55 кг.</w:t>
      </w:r>
    </w:p>
    <w:p w14:paraId="28D9B0C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Ремкомплект включал в себя девять бронеплит толщиной по 5 мм каждая, соединенных между собой уголками и болтами. Их сборка проводилась по заранее просверленным отверстиям. Два подготовленных техника монтиро</w:t>
      </w:r>
      <w:r w:rsidRPr="007224C3">
        <w:rPr>
          <w:rFonts w:ascii="Times New Roman" w:hAnsi="Times New Roman"/>
          <w:color w:val="000000" w:themeColor="text1"/>
          <w:sz w:val="16"/>
          <w:szCs w:val="16"/>
        </w:rPr>
        <w:softHyphen/>
        <w:t>вали кабину стрелка за два дня. Вес бронедеталей с креплением не превы</w:t>
      </w:r>
      <w:r w:rsidRPr="007224C3">
        <w:rPr>
          <w:rFonts w:ascii="Times New Roman" w:hAnsi="Times New Roman"/>
          <w:color w:val="000000" w:themeColor="text1"/>
          <w:sz w:val="16"/>
          <w:szCs w:val="16"/>
        </w:rPr>
        <w:softHyphen/>
        <w:t>шал 41 кг.</w:t>
      </w:r>
    </w:p>
    <w:p w14:paraId="425E6EF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Вооружение </w:t>
      </w:r>
      <w:r w:rsidRPr="007224C3">
        <w:rPr>
          <w:rFonts w:ascii="Times New Roman" w:hAnsi="Times New Roman"/>
          <w:iCs/>
          <w:color w:val="000000" w:themeColor="text1"/>
          <w:sz w:val="16"/>
          <w:szCs w:val="16"/>
        </w:rPr>
        <w:t xml:space="preserve">в </w:t>
      </w:r>
      <w:r w:rsidRPr="007224C3">
        <w:rPr>
          <w:rFonts w:ascii="Times New Roman" w:hAnsi="Times New Roman"/>
          <w:color w:val="000000" w:themeColor="text1"/>
          <w:sz w:val="16"/>
          <w:szCs w:val="16"/>
        </w:rPr>
        <w:t>целом соответство</w:t>
      </w:r>
      <w:r w:rsidRPr="007224C3">
        <w:rPr>
          <w:rFonts w:ascii="Times New Roman" w:hAnsi="Times New Roman"/>
          <w:color w:val="000000" w:themeColor="text1"/>
          <w:sz w:val="16"/>
          <w:szCs w:val="16"/>
        </w:rPr>
        <w:softHyphen/>
        <w:t>вало серийным вариантам Ил-2 с обыч</w:t>
      </w:r>
      <w:r w:rsidRPr="007224C3">
        <w:rPr>
          <w:rFonts w:ascii="Times New Roman" w:hAnsi="Times New Roman"/>
          <w:color w:val="000000" w:themeColor="text1"/>
          <w:sz w:val="16"/>
          <w:szCs w:val="16"/>
        </w:rPr>
        <w:softHyphen/>
        <w:t>ным бронекорпусом, но бомбовая на</w:t>
      </w:r>
      <w:r w:rsidRPr="007224C3">
        <w:rPr>
          <w:rFonts w:ascii="Times New Roman" w:hAnsi="Times New Roman"/>
          <w:color w:val="000000" w:themeColor="text1"/>
          <w:sz w:val="16"/>
          <w:szCs w:val="16"/>
        </w:rPr>
        <w:softHyphen/>
        <w:t>грузка ограничивалась 400 кг (11215).</w:t>
      </w:r>
    </w:p>
    <w:p w14:paraId="3BD4FDC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518D6F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 г. в НИИ ВВС проходил испытания самолет Ил-2 с установкой кинопулемета ПАУ-22 в левой гондоле шасси. Оказалось, что установка не обеспечивает хорошего качества фотоснимков и нормальной эксплуатации. Необходимо было увеличить жесткость и нормальные условия пристрелки кино</w:t>
      </w:r>
      <w:r w:rsidRPr="007224C3">
        <w:rPr>
          <w:rFonts w:ascii="Times New Roman" w:hAnsi="Times New Roman"/>
          <w:color w:val="000000" w:themeColor="text1"/>
          <w:sz w:val="16"/>
          <w:szCs w:val="16"/>
        </w:rPr>
        <w:softHyphen/>
        <w:t>пулемета.</w:t>
      </w:r>
    </w:p>
    <w:p w14:paraId="54FCB95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Через два месяца на испытания поступил серийный Ил-2 зав. № 1872567 с установленным в обтекателе правой стойки шасси кинопулеметом GSAP. Эти кинопулеметы поставлялись в СССР фирмами Fairchild и BELL Howell. Конструктивное раз</w:t>
      </w:r>
      <w:r w:rsidRPr="007224C3">
        <w:rPr>
          <w:rFonts w:ascii="Times New Roman" w:hAnsi="Times New Roman"/>
          <w:color w:val="000000" w:themeColor="text1"/>
          <w:sz w:val="16"/>
          <w:szCs w:val="16"/>
        </w:rPr>
        <w:softHyphen/>
        <w:t>личие этих кинопулеметов состоит лишь в мелких деталях. По внешнему виду и основным характеристикам кинопулеметы идентичны. Установка была разработана в КБ опытного завода</w:t>
      </w:r>
    </w:p>
    <w:p w14:paraId="7E5F548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НИИ ВВС.</w:t>
      </w:r>
    </w:p>
    <w:p w14:paraId="2A3AF75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Включение кинопулемета производилось при нажатии гашетки оружия. Наводка и пристрелка кинопулемета обес</w:t>
      </w:r>
      <w:r w:rsidRPr="007224C3">
        <w:rPr>
          <w:rFonts w:ascii="Times New Roman" w:hAnsi="Times New Roman"/>
          <w:color w:val="000000" w:themeColor="text1"/>
          <w:sz w:val="16"/>
          <w:szCs w:val="16"/>
        </w:rPr>
        <w:softHyphen/>
        <w:t>печивается наличием в уста</w:t>
      </w:r>
      <w:r w:rsidRPr="007224C3">
        <w:rPr>
          <w:rFonts w:ascii="Times New Roman" w:hAnsi="Times New Roman"/>
          <w:color w:val="000000" w:themeColor="text1"/>
          <w:sz w:val="16"/>
          <w:szCs w:val="16"/>
        </w:rPr>
        <w:softHyphen/>
        <w:t>новке разрезной шаровой го</w:t>
      </w:r>
      <w:r w:rsidRPr="007224C3">
        <w:rPr>
          <w:rFonts w:ascii="Times New Roman" w:hAnsi="Times New Roman"/>
          <w:color w:val="000000" w:themeColor="text1"/>
          <w:sz w:val="16"/>
          <w:szCs w:val="16"/>
        </w:rPr>
        <w:softHyphen/>
        <w:t>ловки с двумя зажимными болтами.</w:t>
      </w:r>
    </w:p>
    <w:p w14:paraId="3330A4B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Испытания проводились в период с 24 по 26 июля 1944 г. За время испытаний выполне</w:t>
      </w:r>
      <w:r w:rsidRPr="007224C3">
        <w:rPr>
          <w:rFonts w:ascii="Times New Roman" w:hAnsi="Times New Roman"/>
          <w:color w:val="000000" w:themeColor="text1"/>
          <w:sz w:val="16"/>
          <w:szCs w:val="16"/>
        </w:rPr>
        <w:softHyphen/>
        <w:t>но четыре полета общей про</w:t>
      </w:r>
      <w:r w:rsidRPr="007224C3">
        <w:rPr>
          <w:rFonts w:ascii="Times New Roman" w:hAnsi="Times New Roman"/>
          <w:color w:val="000000" w:themeColor="text1"/>
          <w:sz w:val="16"/>
          <w:szCs w:val="16"/>
        </w:rPr>
        <w:softHyphen/>
        <w:t>должительностью 1 ч 35 мин. Была проведена киносъемка во время пикирования со стрель</w:t>
      </w:r>
      <w:r w:rsidRPr="007224C3">
        <w:rPr>
          <w:rFonts w:ascii="Times New Roman" w:hAnsi="Times New Roman"/>
          <w:color w:val="000000" w:themeColor="text1"/>
          <w:sz w:val="16"/>
          <w:szCs w:val="16"/>
        </w:rPr>
        <w:softHyphen/>
        <w:t>бой по наземным целям, а так</w:t>
      </w:r>
      <w:r w:rsidRPr="007224C3">
        <w:rPr>
          <w:rFonts w:ascii="Times New Roman" w:hAnsi="Times New Roman"/>
          <w:color w:val="000000" w:themeColor="text1"/>
          <w:sz w:val="16"/>
          <w:szCs w:val="16"/>
        </w:rPr>
        <w:softHyphen/>
        <w:t>же в пикирующем полете без стрельбы.</w:t>
      </w:r>
    </w:p>
    <w:p w14:paraId="6C2B087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Установлено, что конструк</w:t>
      </w:r>
      <w:r w:rsidRPr="007224C3">
        <w:rPr>
          <w:rFonts w:ascii="Times New Roman" w:hAnsi="Times New Roman"/>
          <w:color w:val="000000" w:themeColor="text1"/>
          <w:sz w:val="16"/>
          <w:szCs w:val="16"/>
        </w:rPr>
        <w:softHyphen/>
        <w:t>ция установки кинопулеметов на самолете обладает достаточ</w:t>
      </w:r>
      <w:r w:rsidRPr="007224C3">
        <w:rPr>
          <w:rFonts w:ascii="Times New Roman" w:hAnsi="Times New Roman"/>
          <w:color w:val="000000" w:themeColor="text1"/>
          <w:sz w:val="16"/>
          <w:szCs w:val="16"/>
        </w:rPr>
        <w:softHyphen/>
        <w:t>ной жесткостью и не создает кинопулемету дополнительных вибраций. При съемках на земле при работающем моторе и при съемках в воздухе без стрельбы из оружия устойчи</w:t>
      </w:r>
      <w:r w:rsidRPr="007224C3">
        <w:rPr>
          <w:rFonts w:ascii="Times New Roman" w:hAnsi="Times New Roman"/>
          <w:color w:val="000000" w:themeColor="text1"/>
          <w:sz w:val="16"/>
          <w:szCs w:val="16"/>
        </w:rPr>
        <w:softHyphen/>
        <w:t>вость кадра и резкость изобра</w:t>
      </w:r>
      <w:r w:rsidRPr="007224C3">
        <w:rPr>
          <w:rFonts w:ascii="Times New Roman" w:hAnsi="Times New Roman"/>
          <w:color w:val="000000" w:themeColor="text1"/>
          <w:sz w:val="16"/>
          <w:szCs w:val="16"/>
        </w:rPr>
        <w:softHyphen/>
        <w:t>жения на кинокадре получают</w:t>
      </w:r>
      <w:r w:rsidRPr="007224C3">
        <w:rPr>
          <w:rFonts w:ascii="Times New Roman" w:hAnsi="Times New Roman"/>
          <w:color w:val="000000" w:themeColor="text1"/>
          <w:sz w:val="16"/>
          <w:szCs w:val="16"/>
        </w:rPr>
        <w:softHyphen/>
        <w:t>ся вполне удовлетворительные. При съемке во время стрельбы из крыльевых пушек ВЯ-23 получаются сдвиги от</w:t>
      </w:r>
      <w:r w:rsidRPr="007224C3">
        <w:rPr>
          <w:rFonts w:ascii="Times New Roman" w:hAnsi="Times New Roman"/>
          <w:color w:val="000000" w:themeColor="text1"/>
          <w:sz w:val="16"/>
          <w:szCs w:val="16"/>
        </w:rPr>
        <w:softHyphen/>
        <w:t>дельных кадров, совпадаю</w:t>
      </w:r>
      <w:r w:rsidRPr="007224C3">
        <w:rPr>
          <w:rFonts w:ascii="Times New Roman" w:hAnsi="Times New Roman"/>
          <w:color w:val="000000" w:themeColor="text1"/>
          <w:sz w:val="16"/>
          <w:szCs w:val="16"/>
        </w:rPr>
        <w:softHyphen/>
        <w:t>щих с моментом выстрела. Остальные кадры из очереди получаются по резкости и ус</w:t>
      </w:r>
      <w:r w:rsidRPr="007224C3">
        <w:rPr>
          <w:rFonts w:ascii="Times New Roman" w:hAnsi="Times New Roman"/>
          <w:color w:val="000000" w:themeColor="text1"/>
          <w:sz w:val="16"/>
          <w:szCs w:val="16"/>
        </w:rPr>
        <w:softHyphen/>
        <w:t>тойчивости вполне удовле</w:t>
      </w:r>
      <w:r w:rsidRPr="007224C3">
        <w:rPr>
          <w:rFonts w:ascii="Times New Roman" w:hAnsi="Times New Roman"/>
          <w:color w:val="000000" w:themeColor="text1"/>
          <w:sz w:val="16"/>
          <w:szCs w:val="16"/>
        </w:rPr>
        <w:softHyphen/>
        <w:t>творительными.</w:t>
      </w:r>
    </w:p>
    <w:p w14:paraId="49EFD7B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Делался вывод, что «кино</w:t>
      </w:r>
      <w:r w:rsidRPr="007224C3">
        <w:rPr>
          <w:rFonts w:ascii="Times New Roman" w:hAnsi="Times New Roman"/>
          <w:color w:val="000000" w:themeColor="text1"/>
          <w:sz w:val="16"/>
          <w:szCs w:val="16"/>
        </w:rPr>
        <w:softHyphen/>
        <w:t>кадры, полученные с помо</w:t>
      </w:r>
      <w:r w:rsidRPr="007224C3">
        <w:rPr>
          <w:rFonts w:ascii="Times New Roman" w:hAnsi="Times New Roman"/>
          <w:color w:val="000000" w:themeColor="text1"/>
          <w:sz w:val="16"/>
          <w:szCs w:val="16"/>
        </w:rPr>
        <w:softHyphen/>
        <w:t>щью кинопулемета С5АР на самолете Ил-2, по своему качеству удовлетворительны и могут достаточно хорошо дешифриро</w:t>
      </w:r>
      <w:r w:rsidRPr="007224C3">
        <w:rPr>
          <w:rFonts w:ascii="Times New Roman" w:hAnsi="Times New Roman"/>
          <w:color w:val="000000" w:themeColor="text1"/>
          <w:sz w:val="16"/>
          <w:szCs w:val="16"/>
        </w:rPr>
        <w:softHyphen/>
        <w:t>ваться, что обеспечивает осуществление контроля боевых дей</w:t>
      </w:r>
      <w:r w:rsidRPr="007224C3">
        <w:rPr>
          <w:rFonts w:ascii="Times New Roman" w:hAnsi="Times New Roman"/>
          <w:color w:val="000000" w:themeColor="text1"/>
          <w:sz w:val="16"/>
          <w:szCs w:val="16"/>
        </w:rPr>
        <w:softHyphen/>
        <w:t>ствий самолетов».</w:t>
      </w:r>
    </w:p>
    <w:p w14:paraId="1132E99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заключение отчета установка рекомендовалась к внедре</w:t>
      </w:r>
      <w:r w:rsidRPr="007224C3">
        <w:rPr>
          <w:rFonts w:ascii="Times New Roman" w:hAnsi="Times New Roman"/>
          <w:color w:val="000000" w:themeColor="text1"/>
          <w:sz w:val="16"/>
          <w:szCs w:val="16"/>
        </w:rPr>
        <w:softHyphen/>
        <w:t>нию в частях действующей армии. При этом детали установки могли быть изготовлены на местах в полевых авиаремонтных мастерских (11474,394).</w:t>
      </w:r>
    </w:p>
    <w:p w14:paraId="6937E71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19ECF0" w14:textId="77777777" w:rsidR="009D7F3A" w:rsidRPr="007224C3" w:rsidRDefault="009D7F3A" w:rsidP="007224C3">
      <w:pPr>
        <w:shd w:val="clear" w:color="auto" w:fill="FFFFFF"/>
        <w:spacing w:after="0" w:line="240" w:lineRule="auto"/>
        <w:jc w:val="both"/>
        <w:rPr>
          <w:rFonts w:ascii="Times New Roman" w:eastAsia="Times New Roman" w:hAnsi="Times New Roman"/>
          <w:color w:val="0070C0"/>
          <w:sz w:val="16"/>
          <w:szCs w:val="16"/>
          <w:lang w:eastAsia="ru-RU"/>
        </w:rPr>
      </w:pPr>
      <w:bookmarkStart w:id="29" w:name="_Hlk51395241"/>
      <w:r w:rsidRPr="007224C3">
        <w:rPr>
          <w:rFonts w:ascii="Times New Roman" w:eastAsia="Times New Roman" w:hAnsi="Times New Roman"/>
          <w:color w:val="0070C0"/>
          <w:sz w:val="16"/>
          <w:szCs w:val="16"/>
          <w:lang w:eastAsia="ru-RU"/>
        </w:rPr>
        <w:t>В мае 1944 контрольные испытания в НИИ ВВС проходил Ил-2КР зав. № 10704 с мотором АМ-38ф производства завода № 1 им. Сталина с радиостанцией РСБ-3бис (Растренин)</w:t>
      </w:r>
    </w:p>
    <w:p w14:paraId="79A38767" w14:textId="77777777" w:rsidR="009D7F3A" w:rsidRPr="007224C3" w:rsidRDefault="009D7F3A" w:rsidP="007224C3">
      <w:pPr>
        <w:shd w:val="clear" w:color="auto" w:fill="FFFFFF"/>
        <w:spacing w:after="0" w:line="240" w:lineRule="auto"/>
        <w:jc w:val="both"/>
        <w:rPr>
          <w:rFonts w:ascii="Times New Roman" w:eastAsia="Times New Roman" w:hAnsi="Times New Roman"/>
          <w:color w:val="0070C0"/>
          <w:sz w:val="16"/>
          <w:szCs w:val="16"/>
          <w:lang w:eastAsia="ru-RU"/>
        </w:rPr>
      </w:pPr>
    </w:p>
    <w:bookmarkEnd w:id="29"/>
    <w:p w14:paraId="20AA82FB" w14:textId="77777777" w:rsidR="00963744" w:rsidRPr="007224C3" w:rsidRDefault="00963744"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В мае 1944 г. в ЦАГИ, ЛИИ НКАП и НИИ АВ ВВС закончились специальные исследования по определению прочности крыла Ил-2 с пушками 11П, величины силы отдачи таких пушек при стрельбе на упругом лафете и влияние стрельбы из них на конструкцию самолета Ил-2, укоторые проводились с февраля.</w:t>
      </w:r>
    </w:p>
    <w:p w14:paraId="486F8E2E" w14:textId="77777777" w:rsidR="00963744" w:rsidRPr="007224C3" w:rsidRDefault="00963744"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Так, уже к 20 марта в 4-й лаборатории ЛИИ НКАП была завершена работа по определению си</w:t>
      </w:r>
      <w:r w:rsidRPr="007224C3">
        <w:rPr>
          <w:color w:val="000000" w:themeColor="text1"/>
          <w:sz w:val="16"/>
          <w:szCs w:val="16"/>
        </w:rPr>
        <w:softHyphen/>
        <w:t>лы отдачи пушки 11П при закреплении на лафете с различной жесткостью.</w:t>
      </w:r>
    </w:p>
    <w:p w14:paraId="7AAE60FC" w14:textId="77777777" w:rsidR="00963744" w:rsidRPr="007224C3" w:rsidRDefault="00963744"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Испытывалась пушка серийного изготовления, полученная со склада завода № 30. В цилиндр ги</w:t>
      </w:r>
      <w:r w:rsidRPr="007224C3">
        <w:rPr>
          <w:color w:val="000000" w:themeColor="text1"/>
          <w:sz w:val="16"/>
          <w:szCs w:val="16"/>
        </w:rPr>
        <w:softHyphen/>
        <w:t>дротормоза заливалась штатная водоглицериновая смесь. Все стрельбы выполнялись при температуре окружающего воздуха 5—10°</w:t>
      </w:r>
      <w:r w:rsidRPr="007224C3">
        <w:rPr>
          <w:color w:val="000000" w:themeColor="text1"/>
          <w:sz w:val="16"/>
          <w:szCs w:val="16"/>
          <w:lang w:val="en-US"/>
        </w:rPr>
        <w:t>C</w:t>
      </w:r>
      <w:r w:rsidRPr="007224C3">
        <w:rPr>
          <w:color w:val="000000" w:themeColor="text1"/>
          <w:sz w:val="16"/>
          <w:szCs w:val="16"/>
        </w:rPr>
        <w:t>.</w:t>
      </w:r>
    </w:p>
    <w:p w14:paraId="0ECBA16E" w14:textId="77777777" w:rsidR="00963744" w:rsidRPr="007224C3" w:rsidRDefault="0096374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Было установлено, что сила отдачи пушки «зави</w:t>
      </w:r>
      <w:r w:rsidRPr="007224C3">
        <w:rPr>
          <w:rFonts w:ascii="Times New Roman" w:hAnsi="Times New Roman"/>
          <w:color w:val="000000" w:themeColor="text1"/>
          <w:sz w:val="16"/>
          <w:szCs w:val="16"/>
        </w:rPr>
        <w:softHyphen/>
        <w:t>сит от жесткости ее опоры и для испытанного об</w:t>
      </w:r>
      <w:r w:rsidRPr="007224C3">
        <w:rPr>
          <w:rFonts w:ascii="Times New Roman" w:hAnsi="Times New Roman"/>
          <w:color w:val="000000" w:themeColor="text1"/>
          <w:sz w:val="16"/>
          <w:szCs w:val="16"/>
        </w:rPr>
        <w:softHyphen/>
        <w:t>разца пушки изменяется в пределах 3400—5000 кг и выше (при жесткостях выше 700 кг/мм)». При определении силы отдачи пушки необходимо учи</w:t>
      </w:r>
      <w:r w:rsidRPr="007224C3">
        <w:rPr>
          <w:rFonts w:ascii="Times New Roman" w:hAnsi="Times New Roman"/>
          <w:color w:val="000000" w:themeColor="text1"/>
          <w:sz w:val="16"/>
          <w:szCs w:val="16"/>
        </w:rPr>
        <w:softHyphen/>
        <w:t>тывать смещение крепления пушки при стрельбе: «при статической силе, равной силе отдачи, кре</w:t>
      </w:r>
      <w:r w:rsidRPr="007224C3">
        <w:rPr>
          <w:rFonts w:ascii="Times New Roman" w:hAnsi="Times New Roman"/>
          <w:color w:val="000000" w:themeColor="text1"/>
          <w:sz w:val="16"/>
          <w:szCs w:val="16"/>
        </w:rPr>
        <w:softHyphen/>
        <w:t>пление перемещается на 6—8 мм (без учета дефор</w:t>
      </w:r>
      <w:r w:rsidRPr="007224C3">
        <w:rPr>
          <w:rFonts w:ascii="Times New Roman" w:hAnsi="Times New Roman"/>
          <w:color w:val="000000" w:themeColor="text1"/>
          <w:sz w:val="16"/>
          <w:szCs w:val="16"/>
        </w:rPr>
        <w:softHyphen/>
        <w:t>мации изгиба крыла)».</w:t>
      </w:r>
    </w:p>
    <w:p w14:paraId="34FCB26F" w14:textId="77777777" w:rsidR="00963744" w:rsidRPr="007224C3" w:rsidRDefault="00963744"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При стрельбах имели место удары ствола пуш</w:t>
      </w:r>
      <w:r w:rsidRPr="007224C3">
        <w:rPr>
          <w:color w:val="000000" w:themeColor="text1"/>
          <w:sz w:val="16"/>
          <w:szCs w:val="16"/>
        </w:rPr>
        <w:softHyphen/>
        <w:t>ки в конце отката, что приводило к значительному увеличению силы отдачи. После регулировки дли</w:t>
      </w:r>
      <w:r w:rsidRPr="007224C3">
        <w:rPr>
          <w:color w:val="000000" w:themeColor="text1"/>
          <w:sz w:val="16"/>
          <w:szCs w:val="16"/>
        </w:rPr>
        <w:softHyphen/>
        <w:t>ны отката ствола согласно инструкции удары ство</w:t>
      </w:r>
      <w:r w:rsidRPr="007224C3">
        <w:rPr>
          <w:color w:val="000000" w:themeColor="text1"/>
          <w:sz w:val="16"/>
          <w:szCs w:val="16"/>
        </w:rPr>
        <w:softHyphen/>
        <w:t>ла пушки прекратились. Как следствие, значение силы отдачи пушки оказалось в пределах 3600— 4600 кг при всех значениях жесткости лафета.</w:t>
      </w:r>
    </w:p>
    <w:p w14:paraId="5D560C03" w14:textId="77777777" w:rsidR="00963744" w:rsidRPr="007224C3" w:rsidRDefault="00963744"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На основании этого был сделан вывод, что «си</w:t>
      </w:r>
      <w:r w:rsidRPr="007224C3">
        <w:rPr>
          <w:color w:val="000000" w:themeColor="text1"/>
          <w:sz w:val="16"/>
          <w:szCs w:val="16"/>
        </w:rPr>
        <w:softHyphen/>
        <w:t>ла отдачи пушки целиком определяется регулиров</w:t>
      </w:r>
      <w:r w:rsidRPr="007224C3">
        <w:rPr>
          <w:color w:val="000000" w:themeColor="text1"/>
          <w:sz w:val="16"/>
          <w:szCs w:val="16"/>
        </w:rPr>
        <w:softHyphen/>
        <w:t>кой и условиями работы ее гидротормоза, поэтому приведенные выше данные могут касаться только данного конкретного экземпляра пушки, испытан</w:t>
      </w:r>
      <w:r w:rsidRPr="007224C3">
        <w:rPr>
          <w:color w:val="000000" w:themeColor="text1"/>
          <w:sz w:val="16"/>
          <w:szCs w:val="16"/>
        </w:rPr>
        <w:softHyphen/>
        <w:t>ного при данных температурах и проч. условиях».</w:t>
      </w:r>
    </w:p>
    <w:p w14:paraId="4917B810" w14:textId="77777777" w:rsidR="00963744" w:rsidRPr="007224C3" w:rsidRDefault="00963744"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В этой связи предлагалось определить «степень постоянства работы гидротормоза» при специаль</w:t>
      </w:r>
      <w:r w:rsidRPr="007224C3">
        <w:rPr>
          <w:color w:val="000000" w:themeColor="text1"/>
          <w:sz w:val="16"/>
          <w:szCs w:val="16"/>
        </w:rPr>
        <w:softHyphen/>
        <w:t>ных испытаниях, а также «поставить ряд исследо</w:t>
      </w:r>
      <w:r w:rsidRPr="007224C3">
        <w:rPr>
          <w:color w:val="000000" w:themeColor="text1"/>
          <w:sz w:val="16"/>
          <w:szCs w:val="16"/>
        </w:rPr>
        <w:softHyphen/>
        <w:t>вательских работ для дальнейшего изучения силы отдачи пушки 11П и изучения воздействия на само</w:t>
      </w:r>
      <w:r w:rsidRPr="007224C3">
        <w:rPr>
          <w:color w:val="000000" w:themeColor="text1"/>
          <w:sz w:val="16"/>
          <w:szCs w:val="16"/>
        </w:rPr>
        <w:softHyphen/>
        <w:t>лет силы отдачи оружия крупного калибра» (17500).</w:t>
      </w:r>
    </w:p>
    <w:p w14:paraId="2DFD2A03" w14:textId="77777777" w:rsidR="00963744" w:rsidRPr="007224C3" w:rsidRDefault="00963744" w:rsidP="007224C3">
      <w:pPr>
        <w:spacing w:after="0" w:line="240" w:lineRule="auto"/>
        <w:jc w:val="both"/>
        <w:rPr>
          <w:rFonts w:ascii="Times New Roman" w:hAnsi="Times New Roman"/>
          <w:color w:val="000000" w:themeColor="text1"/>
          <w:sz w:val="16"/>
          <w:szCs w:val="16"/>
        </w:rPr>
      </w:pPr>
    </w:p>
    <w:p w14:paraId="644173A7" w14:textId="77777777" w:rsidR="00963744" w:rsidRPr="007224C3" w:rsidRDefault="00963744"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В мае 1944 г. Начальник штаба ВВС КА генерал-полковник С.А. Худяков и начальник оперативного управления штаба ВВС генерал-лейтенант Н.А. Журавлев в докладе руководству страны и ВВС КА требовали «незамедлительно отработать и внедрить в серийное производство стандартную систему НГ». Но до самого окончания войны реально работающую систему 2-й зоны нейтрального газа отработать и внедрить в серийное производство так и не удалось (17733).</w:t>
      </w:r>
    </w:p>
    <w:p w14:paraId="3DFEC135" w14:textId="77777777" w:rsidR="00963744" w:rsidRPr="007224C3" w:rsidRDefault="00963744" w:rsidP="007224C3">
      <w:pPr>
        <w:spacing w:after="0" w:line="240" w:lineRule="auto"/>
        <w:jc w:val="both"/>
        <w:rPr>
          <w:rFonts w:ascii="Times New Roman" w:hAnsi="Times New Roman"/>
          <w:color w:val="000000" w:themeColor="text1"/>
          <w:sz w:val="16"/>
          <w:szCs w:val="16"/>
        </w:rPr>
      </w:pPr>
    </w:p>
    <w:p w14:paraId="7146EB89" w14:textId="77777777" w:rsidR="00D92086" w:rsidRPr="007224C3" w:rsidRDefault="00D9208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мая 1944 г. на заводе по приказу Наркома авиапромышленности СССР в Таганроге на заводе № 86 началось производство самолетов Ер-2 и ремонт штурмовиков Ил-2. Все это происходило в условиях крайней нехватки буквально всего. Лежали в руинах основные заводские корпуса, были уничтожены коммуникации, не было тепла, электроэнергии, сжатого воздуха и т.д. Но возвращались люди, ехали из эвакуации, приходили с фронта, появились первые специалисты из техникума и институтов. </w:t>
      </w:r>
    </w:p>
    <w:p w14:paraId="48C6EC71" w14:textId="77777777" w:rsidR="00D92086" w:rsidRPr="007224C3" w:rsidRDefault="00D9208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1944 года в заводских условиях было отремонтировано 190 самолетов и в полевых условиях еще 495. Это были снова самолеты самых разных типов У-2, Ут-2, Р-5, ПР-5, ТБ-3, Ил-2 и др. (18580).</w:t>
      </w:r>
    </w:p>
    <w:p w14:paraId="126986B1" w14:textId="77777777" w:rsidR="00D92086" w:rsidRPr="007224C3" w:rsidRDefault="00D92086" w:rsidP="007224C3">
      <w:pPr>
        <w:spacing w:after="0" w:line="240" w:lineRule="auto"/>
        <w:jc w:val="both"/>
        <w:rPr>
          <w:rFonts w:ascii="Times New Roman" w:hAnsi="Times New Roman"/>
          <w:color w:val="000000" w:themeColor="text1"/>
          <w:sz w:val="16"/>
          <w:szCs w:val="16"/>
        </w:rPr>
      </w:pPr>
    </w:p>
    <w:p w14:paraId="7560ED6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 г. успешно завершил госиспытания штурмовик Ил-10 АМ-42, показавшего высокие летные данные.</w:t>
      </w:r>
    </w:p>
    <w:p w14:paraId="2280254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Сравнение летно-боевых свойств суховского штурмовика с Ил-10 было не в пользу первого. Су-6 АМ-42 уступал ильюшинской машине по большинству определяющих характеристик. В итоге был сделан вывод о нецелесообразности запуска Су-б АМ-42 в серийное производство.</w:t>
      </w:r>
    </w:p>
    <w:p w14:paraId="292278F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Тем не менее, после установки на Су-6 нового экземпляра мотора АМ-42 госиспытания штурмовика были возобновлены и продолжались до июля 44-го (9649).</w:t>
      </w:r>
    </w:p>
    <w:p w14:paraId="2A88999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781BB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 на завод 240 прибыл одноместный бронированный штурмовик, стоившийся на заводе 1, который был на нашем производстве доработан и прошел заводские испытания (2217).</w:t>
      </w:r>
    </w:p>
    <w:p w14:paraId="7BCC966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B37DA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 проходили гос. испытания Ил-10. Скорость - 551 км/ч. К 1 мая 1945 действующие ВВС получили 630 (173,135).</w:t>
      </w:r>
    </w:p>
    <w:p w14:paraId="6AE785F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0A638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В мае 1944 г. мотор АМ-42 удовлетворительно прошел госиспы</w:t>
      </w:r>
      <w:r w:rsidRPr="007224C3">
        <w:rPr>
          <w:rFonts w:ascii="Times New Roman" w:hAnsi="Times New Roman"/>
          <w:color w:val="000000" w:themeColor="text1"/>
          <w:sz w:val="16"/>
          <w:szCs w:val="16"/>
        </w:rPr>
        <w:softHyphen/>
        <w:t>тания, а уже в июне был запущен в серийное производство на заводе № 24. Тогда же, в мае, был построен и начал летать еще один брони</w:t>
      </w:r>
      <w:r w:rsidRPr="007224C3">
        <w:rPr>
          <w:rFonts w:ascii="Times New Roman" w:hAnsi="Times New Roman"/>
          <w:color w:val="000000" w:themeColor="text1"/>
          <w:sz w:val="16"/>
          <w:szCs w:val="16"/>
        </w:rPr>
        <w:softHyphen/>
        <w:t>рованный самолет-истребитель. В отличие от «восьмерки», на Ил-1 прирост мощности мотора использовали преимущественно для на</w:t>
      </w:r>
      <w:r w:rsidRPr="007224C3">
        <w:rPr>
          <w:rFonts w:ascii="Times New Roman" w:hAnsi="Times New Roman"/>
          <w:color w:val="000000" w:themeColor="text1"/>
          <w:sz w:val="16"/>
          <w:szCs w:val="16"/>
        </w:rPr>
        <w:softHyphen/>
        <w:t>ращивания скоростных и маневренных характеристик при сохране</w:t>
      </w:r>
      <w:r w:rsidRPr="007224C3">
        <w:rPr>
          <w:rFonts w:ascii="Times New Roman" w:hAnsi="Times New Roman"/>
          <w:color w:val="000000" w:themeColor="text1"/>
          <w:sz w:val="16"/>
          <w:szCs w:val="16"/>
        </w:rPr>
        <w:softHyphen/>
        <w:t>нии на прежнем уровне полезной нагрузки и бронирования. Вскоре Ил-1 переделали в двухместный штурмовик, получивший название Ил-10. Эта машина в августе 1944 г. решением ГКО была запущена в серийное производство на двух заводах. Опытный Ил-10 продсмон стрировал максимальную скорость 551 км/ч, превзойдя по этому показателю обычный серийный Ил-2 почти на 150 км/ч. (10781).</w:t>
      </w:r>
    </w:p>
    <w:p w14:paraId="5C98874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289D3A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 г. мотор АМ-42 удовлетворительно прошел госиспытания. Тогда же, в мае был закончен постройкой и начал летать еще один бронированный самолет-истребитель. В отличие от "восьмерки", на Ил-1 прирост мощности мотора использовали преимущественно для наращивания скоростных и маневренных характеристик при сохранении на прежнем уровне полезной нагрузки и бронирования. Вскоре Ил-1 переделали в двухместный штурмовик, получивший название Ил-10 (9032).</w:t>
      </w:r>
    </w:p>
    <w:p w14:paraId="5C8A98D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16801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 г. турбокомпрессор АМТК-1 удовлетворительно прошел 100-часовые испытания на стенде, которые были засчитаны ВВС и НКАП в качестве совместных (9030).</w:t>
      </w:r>
    </w:p>
    <w:p w14:paraId="163DDD1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5754D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 г. в НИИ ВВС испытывался самолет Ил-4 с увеличенным по хорде на 40% триммером. Летчик подполковник Ашитков отметил, что триммер эффективнее старого, но нагрузок полностью не снимает, самолет летит с креном 2-7° в сторону работающего мотора. Но триммер в серию рекомендовали. Другой вариант отрабатывался в ЛИИ. На одном Ил-4 с регулятора оборотов винта Р-7 сняли упоры большого шага, что позволяло убирать обороты задросселированного мотора практически до холостых 850-1050 об/мин (вместо 1600 об/мин). Однако и это тоже не решило проблемы, хотя несколько облегчило работу пилота. На всех Ил-4 в частях порекомендовали упоры снять. Пытались внедрить винты АВ-5ФВ-158А диаметром 3,5 м. Имея больший диапазон поворота лопастей, они позволяли переводить двигатели на еще меньшие обороты. Новые пропеллеры также сократили разбег - процентов на десять. Но одновременно упала скорость у земли (на 6 км/ч). Ненадежной оказалась и система регулировки оборотов. В результате основная масса летного состава считала, что на ильюшинской машине при одном неработающем моторе “без вмешательства штурмана через второе управление длительный полет практически невозможен”. Избавиться от этого недостатка можно было внедрением флюгируемых винтов (7666).</w:t>
      </w:r>
    </w:p>
    <w:p w14:paraId="575E3FE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C74B0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 г. в НИИ ВВС испытывался самолет с увеличенным по хорде на 40% триммером. Летчик подполковник Ашитков отметил, что триммер эффективнее старого, но нагрузок полностью не снимает. Самолет летит с креном 2-7° в сторону работающего мотора. Но триммер рекомендовали. Его внедрили в Комсомольске с 140-й серии (12021).</w:t>
      </w:r>
    </w:p>
    <w:p w14:paraId="5997176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469908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 г. в ЛИИ на Ил-4 завода № 23 опробовали пропеллеры УФ-61-ИФ завода № 28. Летал А.Н.Гринчик и испытания прошли успешно. Нагрузка на педалях стала незначительной. Хотели собрать малую серию самолетов с такими винтами и направить на войсковые испытания. Серию изготовил завод № 126.</w:t>
      </w:r>
    </w:p>
    <w:p w14:paraId="30DB4BA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 года на территорию завода № 89 был перебазирован опытный завод № 482 гл. конструктора Мясищева, получив при этом часть имеющегося на заводе № 89 оборудования и личного состава, согласно приказа НКАП № 424 от 5 июля 1944 года.</w:t>
      </w:r>
    </w:p>
    <w:p w14:paraId="67F2757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 482 находился в ведении 7 гл. управления НКАП и занимался опытным самолетостроением до слияния с заводом № 240 в феврале 1946 года.</w:t>
      </w:r>
    </w:p>
    <w:p w14:paraId="5B909B8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ОКБ гл. конструктора С.В.И., созданное в 1933 году, до получения самостоятельной производственной базы размещалось (до эвакуации в куйбышев) на территории завода № 39 НКАП, где постройку опытных самолетов осуществлял опытных цех завода № 39.</w:t>
      </w:r>
    </w:p>
    <w:p w14:paraId="55ACB48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Адрес: Москва, Д-167, Ленинградский проспект, д. 45 г, п/я 2418</w:t>
      </w:r>
    </w:p>
    <w:p w14:paraId="5D96C1B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Постройка самолетов конструкции С.В.И. на вновь полученной базе (завод № 240) началась в 1944 году; период с апреля 1942 года по 1943 год был периодом восстановления, поскольку коллектив гл. конструктора Ермолаева, базировавшегося на заводе № 240 эвакуировался в казань и по возвращении в Москву оборудования в достаточной мере не оказалось (9594).</w:t>
      </w:r>
    </w:p>
    <w:p w14:paraId="7B924A1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305E0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 г. в НИИ ВВС испытывался самолет Ил-4 с увеличенным по хорде на 40% триммером. Летчик подполковник Ашитков отметил, что триммер эффек</w:t>
      </w:r>
      <w:r w:rsidRPr="007224C3">
        <w:rPr>
          <w:rFonts w:ascii="Times New Roman" w:hAnsi="Times New Roman"/>
          <w:color w:val="000000" w:themeColor="text1"/>
          <w:sz w:val="16"/>
          <w:szCs w:val="16"/>
        </w:rPr>
        <w:softHyphen/>
        <w:t>тивнее старого, но нагрузок полностью не снимает. Самолет летит с креном 2-7° в сторону работающего мотора. Но триммер рекомендовали. Его внедрили в Комсомольске с 140-й серии. Другой вариант отрабатывался в ЛИИ. На одном Ил-4 с регулятора обо</w:t>
      </w:r>
      <w:r w:rsidRPr="007224C3">
        <w:rPr>
          <w:rFonts w:ascii="Times New Roman" w:hAnsi="Times New Roman"/>
          <w:color w:val="000000" w:themeColor="text1"/>
          <w:sz w:val="16"/>
          <w:szCs w:val="16"/>
        </w:rPr>
        <w:softHyphen/>
        <w:t>ротов винта Р-7 сняли упоры большого шага. Это позволило убрать обороты задросселированного мотора 850-1050 об/мин (вместо 1600 об/мин). Это то</w:t>
      </w:r>
      <w:r w:rsidRPr="007224C3">
        <w:rPr>
          <w:rFonts w:ascii="Times New Roman" w:hAnsi="Times New Roman"/>
          <w:color w:val="000000" w:themeColor="text1"/>
          <w:sz w:val="16"/>
          <w:szCs w:val="16"/>
        </w:rPr>
        <w:softHyphen/>
        <w:t>же не решило проблемы, хотя несколь</w:t>
      </w:r>
      <w:r w:rsidRPr="007224C3">
        <w:rPr>
          <w:rFonts w:ascii="Times New Roman" w:hAnsi="Times New Roman"/>
          <w:color w:val="000000" w:themeColor="text1"/>
          <w:sz w:val="16"/>
          <w:szCs w:val="16"/>
        </w:rPr>
        <w:softHyphen/>
        <w:t>ко облегчило работу пилота. На всех Ил-4 в частях порекомендовали упоры снять. Пытались внедрить винт АВ-5ФВ-158А диаметром 3,5 м. Имея больший диапазон поворота лопастей, они позволяли уйти на еще меньшие обороты. Новые пропеллеры также со</w:t>
      </w:r>
      <w:r w:rsidRPr="007224C3">
        <w:rPr>
          <w:rFonts w:ascii="Times New Roman" w:hAnsi="Times New Roman"/>
          <w:color w:val="000000" w:themeColor="text1"/>
          <w:sz w:val="16"/>
          <w:szCs w:val="16"/>
        </w:rPr>
        <w:softHyphen/>
        <w:t>кратили разбег — процентов на десять. Но одновременно упала скорость у зем</w:t>
      </w:r>
      <w:r w:rsidRPr="007224C3">
        <w:rPr>
          <w:rFonts w:ascii="Times New Roman" w:hAnsi="Times New Roman"/>
          <w:color w:val="000000" w:themeColor="text1"/>
          <w:sz w:val="16"/>
          <w:szCs w:val="16"/>
        </w:rPr>
        <w:softHyphen/>
        <w:t>ли (на 6 км/ч). Ненадежно оказалось и регулирование оборотов. Но в целом для ильюшинской машины при одном неработающем моторе считалось, что «...без вмешательства штурмана через второе управление длительный полет практически невозможен». Избавиться от этого недостатка мож</w:t>
      </w:r>
      <w:r w:rsidRPr="007224C3">
        <w:rPr>
          <w:rFonts w:ascii="Times New Roman" w:hAnsi="Times New Roman"/>
          <w:color w:val="000000" w:themeColor="text1"/>
          <w:sz w:val="16"/>
          <w:szCs w:val="16"/>
        </w:rPr>
        <w:softHyphen/>
        <w:t>но было внедрением флюгируемых вин</w:t>
      </w:r>
      <w:r w:rsidRPr="007224C3">
        <w:rPr>
          <w:rFonts w:ascii="Times New Roman" w:hAnsi="Times New Roman"/>
          <w:color w:val="000000" w:themeColor="text1"/>
          <w:sz w:val="16"/>
          <w:szCs w:val="16"/>
        </w:rPr>
        <w:softHyphen/>
        <w:t>тов (10734,81).</w:t>
      </w:r>
    </w:p>
    <w:p w14:paraId="7894AD2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C487B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 г. в ЛИИ опробовали пропеллеры УФ-61-ИФ завода № 28. На Ил-4 выпуска завода № 23 летал .Н. Гринчик. Испытания прошли ус</w:t>
      </w:r>
      <w:r w:rsidRPr="007224C3">
        <w:rPr>
          <w:rFonts w:ascii="Times New Roman" w:hAnsi="Times New Roman"/>
          <w:color w:val="000000" w:themeColor="text1"/>
          <w:sz w:val="16"/>
          <w:szCs w:val="16"/>
        </w:rPr>
        <w:softHyphen/>
        <w:t>пешно. Нагрузка на педалях стала не</w:t>
      </w:r>
      <w:r w:rsidRPr="007224C3">
        <w:rPr>
          <w:rFonts w:ascii="Times New Roman" w:hAnsi="Times New Roman"/>
          <w:color w:val="000000" w:themeColor="text1"/>
          <w:sz w:val="16"/>
          <w:szCs w:val="16"/>
        </w:rPr>
        <w:softHyphen/>
        <w:t>значительной. Хотели собрать малую серию самолетов с такими винтами и направить на войсковые испытания. Серию изготовил завод № 126. Голо</w:t>
      </w:r>
      <w:r w:rsidRPr="007224C3">
        <w:rPr>
          <w:rFonts w:ascii="Times New Roman" w:hAnsi="Times New Roman"/>
          <w:color w:val="000000" w:themeColor="text1"/>
          <w:sz w:val="16"/>
          <w:szCs w:val="16"/>
        </w:rPr>
        <w:softHyphen/>
        <w:t>вной образец в августе поступил в ЛИИ. После испытаний (вел их Н.С. Рыбко) сделали вывод, что система уп</w:t>
      </w:r>
      <w:r w:rsidRPr="007224C3">
        <w:rPr>
          <w:rFonts w:ascii="Times New Roman" w:hAnsi="Times New Roman"/>
          <w:color w:val="000000" w:themeColor="text1"/>
          <w:sz w:val="16"/>
          <w:szCs w:val="16"/>
        </w:rPr>
        <w:softHyphen/>
        <w:t>равления винтами (электрогидравличе</w:t>
      </w:r>
      <w:r w:rsidRPr="007224C3">
        <w:rPr>
          <w:rFonts w:ascii="Times New Roman" w:hAnsi="Times New Roman"/>
          <w:color w:val="000000" w:themeColor="text1"/>
          <w:sz w:val="16"/>
          <w:szCs w:val="16"/>
        </w:rPr>
        <w:softHyphen/>
        <w:t>ская) недостаточно надежна. Стандарт</w:t>
      </w:r>
      <w:r w:rsidRPr="007224C3">
        <w:rPr>
          <w:rFonts w:ascii="Times New Roman" w:hAnsi="Times New Roman"/>
          <w:color w:val="000000" w:themeColor="text1"/>
          <w:sz w:val="16"/>
          <w:szCs w:val="16"/>
        </w:rPr>
        <w:softHyphen/>
        <w:t>но Ил-4 нес один электрогенератор ГС-1000 на правом моторе. При отказе этого двигателя все управление винта</w:t>
      </w:r>
      <w:r w:rsidRPr="007224C3">
        <w:rPr>
          <w:rFonts w:ascii="Times New Roman" w:hAnsi="Times New Roman"/>
          <w:color w:val="000000" w:themeColor="text1"/>
          <w:sz w:val="16"/>
          <w:szCs w:val="16"/>
        </w:rPr>
        <w:softHyphen/>
        <w:t>ми отключалось, и ни о каком флюгиро-вании не могло быть и речи. Войсковые испытания задержали до устранения ос</w:t>
      </w:r>
      <w:r w:rsidRPr="007224C3">
        <w:rPr>
          <w:rFonts w:ascii="Times New Roman" w:hAnsi="Times New Roman"/>
          <w:color w:val="000000" w:themeColor="text1"/>
          <w:sz w:val="16"/>
          <w:szCs w:val="16"/>
        </w:rPr>
        <w:softHyphen/>
        <w:t>новных дефектов. Но с октября 1944 г. некоторые самолеты комплектовались УФ-61 -ИФ (при двух генераторах — на обоих моторах) (10734,81).</w:t>
      </w:r>
    </w:p>
    <w:p w14:paraId="6098492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3C5CB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 г. в ЛИИ опробовали пропеллеры УФ-61-ИФ завода № 28. На Ил-4 выпуска завода № 23 летал А.Н. Гринчик. Испытания прошли успешно. Нагрузка на педалях стала незначительной. Хотели собрать малую серию самолетов с такими винтами и направить на войсковые испытания. Серию изготовил завод бомбардировщик № 126. Головной образец в августе поступил заходит на посадку в ЛИИ. После испытаний (вел их Н.С. Рыбко) сделали вывод, что система управления винтами (электрогидравлическая) недостаточно надежна. Стандартно Ил-4 нес один электрогенератор ГС-1000 на правом моторе. При отказе этого двигателя все управление винтами отключалось, и ни о каком флюгировании не могло быть и речи. Войсковые испытания задержали до устранения основных дефектов. Но с октября 1944 г. некоторые самолеты комплектовались УФ-61-ИФ (при двух генераторах - на обоих моторах) (12021).</w:t>
      </w:r>
    </w:p>
    <w:p w14:paraId="1FBE1E7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BA2AAD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 года испытания РЛС «Гнейс-2М», специально предназначенной для поис</w:t>
      </w:r>
      <w:r w:rsidRPr="007224C3">
        <w:rPr>
          <w:rFonts w:ascii="Times New Roman" w:hAnsi="Times New Roman"/>
          <w:color w:val="000000" w:themeColor="text1"/>
          <w:sz w:val="16"/>
          <w:szCs w:val="16"/>
        </w:rPr>
        <w:softHyphen/>
        <w:t>ка целей на море, продолжили на одном из самолетов 5-го гв. мтап (принадлежавшем известному летчику В.И. Минакову). Первый вы</w:t>
      </w:r>
      <w:r w:rsidRPr="007224C3">
        <w:rPr>
          <w:rFonts w:ascii="Times New Roman" w:hAnsi="Times New Roman"/>
          <w:color w:val="000000" w:themeColor="text1"/>
          <w:sz w:val="16"/>
          <w:szCs w:val="16"/>
        </w:rPr>
        <w:softHyphen/>
        <w:t>лет с РЛС состоялся 20 мая. Антенная система уменьшала скорость примерно на 20 км/ч и несколько ухудшила мане</w:t>
      </w:r>
      <w:r w:rsidRPr="007224C3">
        <w:rPr>
          <w:rFonts w:ascii="Times New Roman" w:hAnsi="Times New Roman"/>
          <w:color w:val="000000" w:themeColor="text1"/>
          <w:sz w:val="16"/>
          <w:szCs w:val="16"/>
        </w:rPr>
        <w:softHyphen/>
        <w:t>вренность. Первый ночной поиск имел место 6 июня. Но нашли лишь несколь</w:t>
      </w:r>
      <w:r w:rsidRPr="007224C3">
        <w:rPr>
          <w:rFonts w:ascii="Times New Roman" w:hAnsi="Times New Roman"/>
          <w:color w:val="000000" w:themeColor="text1"/>
          <w:sz w:val="16"/>
          <w:szCs w:val="16"/>
        </w:rPr>
        <w:softHyphen/>
        <w:t>ко рыболовецких судов у румынского берега, на которые не стоило тратить торпеду. И все последующие боевые вылеты с РЛС закончились безрезультатно. На Балтике такие же радары ста</w:t>
      </w:r>
      <w:r w:rsidRPr="007224C3">
        <w:rPr>
          <w:rFonts w:ascii="Times New Roman" w:hAnsi="Times New Roman"/>
          <w:color w:val="000000" w:themeColor="text1"/>
          <w:sz w:val="16"/>
          <w:szCs w:val="16"/>
        </w:rPr>
        <w:softHyphen/>
        <w:t>вили на А-20, их применение было бо</w:t>
      </w:r>
      <w:r w:rsidRPr="007224C3">
        <w:rPr>
          <w:rFonts w:ascii="Times New Roman" w:hAnsi="Times New Roman"/>
          <w:color w:val="000000" w:themeColor="text1"/>
          <w:sz w:val="16"/>
          <w:szCs w:val="16"/>
        </w:rPr>
        <w:softHyphen/>
        <w:t>лее удачным (10734,85).</w:t>
      </w:r>
    </w:p>
    <w:p w14:paraId="0A80F97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0EFDBC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 года испытания Ил-4 с РЛС "Гнейс-2М", специально предназначенной для поиска целей на море, продолжили на одном из самолетов 5-го гв. мтап (принадлежавшем известному летчику В.И. Минакову). Первый вылет с РЛС состоялся 20 мая. Антенная система уменьшала скорость примерно на 20 км/ч и несколько ухудшила маневренность. Первый ночной поиск имел место 6 июня. Но нашли лишь несколько рыболовецких судов у румынского берега, на которые не стоило тратить торпеду. И все последующие боевые вылеты с РЛС закончились безрезультатно. На Балтике такие же радары ставили на А-20, их применение было более удачным (12021).</w:t>
      </w:r>
    </w:p>
    <w:p w14:paraId="5CCFDB1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D1564E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 г. Главный штаб ВВС оценил Пе-2: "Горизонтальная скорость Пе-2, вследствие его использования главным образом в зонах наибольшего противодействия истребителей противника, требует повышения ее на 20-30 км/час даже по сравнению с самолетами 205-й серии. Это увеличит свободу действий пикировщиков и затруднит нагон его истребителями, а в сочетании с большой скоростью пикирования (до 750 км/час) обеспечит отрыв от них в воздушном бою". В этом же документе отмечались высокая маневренность и живучесть машины, но говорилось, что самолет строг в пилотировании, особенно на взлете и посадке, поэтому для пилотирования требуется хорошая подготовка (3542).</w:t>
      </w:r>
    </w:p>
    <w:p w14:paraId="28CD312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E2D42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 мае 1944 г. ГШ оценивал Пе-2 следующим образом: "Горизонтальная скорость Пе-2, вследствие его использования главным образом в зонах наибольшего противодействия истребителей противника, требует повышения се на 20-30 км/ч даже по сравнению с самолетами 205-й серии. Это увеличит свободу действий пикировщиков и затруднит нагон его истребителями, а в сочетании с большой скоростью пикирования (до 750 км/ч) обеспечит отрыв от них в воздушном бою". В этом же документе отмечались высокая маневренность и живучесть машины, но говорилось, что самолет строг в пилотировании, особенно на взлете и посадке, </w:t>
      </w:r>
      <w:r w:rsidRPr="007224C3">
        <w:rPr>
          <w:rFonts w:ascii="Times New Roman" w:hAnsi="Times New Roman"/>
          <w:color w:val="000000" w:themeColor="text1"/>
          <w:sz w:val="16"/>
          <w:szCs w:val="16"/>
        </w:rPr>
        <w:lastRenderedPageBreak/>
        <w:t>поэтому для пилотирования требуется хорошая подготовка. Кроме того, считалась неудовлетворительной практическая бомбовая нагрузка Пе-2 - всего 600 кг, но и ее не всегда использовали, так как бомбовый отсек мог вместить лишь от 175 до 532 кг мелких бомб.</w:t>
      </w:r>
    </w:p>
    <w:p w14:paraId="32F2684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Экипажи Пе-2 отмечали хорошие обзор и пикирующие свойства самолета. Опытным летчикам нравилась высокая устойчивость при прицельном пикировании. Прочное шасси позволяло производить взлет и посадку даже при вязком грунте, но из-за недостаточной мощности моторов для самолета в этих условиях требовался слишком длительный разбег. Отмечалось также, что практический потолок 8800-9000 м достигался очень редко. Эксплуатационные качества Пе-2 признали удовлетворительными, в том числе указывалось, что не представляла трудностей подготовка самолета к вылету зимой и летом (12042).</w:t>
      </w:r>
    </w:p>
    <w:p w14:paraId="1896A8B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6D3F85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 закончились испытания Пе-2 - переоборудованного N 14/226 с М-105ПФ НП, носком профиля NACA 230, переделанными законцовками и размахом, увеличенным на 0.92 м, измененным передним лонжероном. Не внедрили, хотя получилось хорошо (2205,43).</w:t>
      </w:r>
    </w:p>
    <w:p w14:paraId="6CEAAC0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D61F2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 г. в ходе испытаний переоборудованного Пе-2 зав. № 14/226, установили, что модифицированное крыло заметно улучшало летно-техниче- ские свойства "пешки", особенно на малых скоростях. Упростилось поведение самолета при посадке, он перестал валиться на крыло, уверенно летал на одном моторе. Новый профиль консолей плюс усовершенствованная технология отделки крыла в совокупности "добавили" машине 100 км дальности, способствовали увеличению потолка на 500 м и уменьшению длины разбега на 40 м.</w:t>
      </w:r>
    </w:p>
    <w:p w14:paraId="0E76AF6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Сущность модификации, выполненной весной 1944, заключалась в следующем:</w:t>
      </w:r>
    </w:p>
    <w:p w14:paraId="7A34DDA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носок консольной части крыла до 25% хорды заменялся профилем NACA 230;</w:t>
      </w:r>
    </w:p>
    <w:p w14:paraId="59279C6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переделывались законцовки консолей, в связи с чем размах крыла возрастал на 0,92 м, а площадь на 0,848 м!;</w:t>
      </w:r>
    </w:p>
    <w:p w14:paraId="5FA8856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изменялся передний лонжерон, средние части нервюр и входная часть тоннелей водорадиаторов.</w:t>
      </w:r>
    </w:p>
    <w:p w14:paraId="5F133DD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сожалению, и это техническое решение несмотря на положительную оценку НИИ ВВС, осталось не внедренным в серию. Причина все та же нежелание руководства наркомата авиапромышленности принимать назревшие, но "слишком радикальные" решения. Нарком А.И. Шахурин не отважился санкционировать переход на новое крыло, что неизбежно привело бы к замене части технологического оборудования и временному снижению темпов выпуска "пешек"...</w:t>
      </w:r>
    </w:p>
    <w:p w14:paraId="0037AD5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Заметим, что нарком имел объективные причины опасаться за снабжение авиации КА фронтовыми бомбардировщиками. Летом 1943 г. правительство США в одностороннем порядке пересмотрело заказ фирме "Дуглас", поставлявшей для американских, английских и советских ВВС бомбардировщик-штурмовик А-20 (у нас его многочисленные варианты называли "Бостон", хотя сами американцы предпочитали другое наименование - "Хэвок"). Заокеанские предприятия перешли на выпуск преимущественно модификации A-20G, не соответствовавшей запросам ВВС КА в связи с отсутствием штурмана в составе экипажа. Накануне нового, 1944 г. в НКАП и ГКО оживленно обсуждалась возможность и целесообразность отказа от поставок "Бостонов" (12042).</w:t>
      </w:r>
    </w:p>
    <w:p w14:paraId="73015C0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633B98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 испытания Пе-2И с ВК-107А и более вместительным бомбоотсеком (вплоть до 1000 кг или 9 ФАБ-100 или 2хШВАК-20 или 2хНС-37) начал л К.И.Жданов и ви Г.Н.Назаров. Оказался хорошим. Потом В.М.М. поручил Л.Л.Селякову и Г.А.Назарову - главному по Пе-2И - сделать Пе-2И-РД с Юмо-004. Отказались - не проходили шасси. У В.М.М. в это время были проблемы с ДБ ДВБ-202 и ДВБ-302 из-за готовящегося решения делать В-29 (1086,20).</w:t>
      </w:r>
    </w:p>
    <w:p w14:paraId="5961618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E88BE9" w14:textId="77777777" w:rsidR="00AA1E7E" w:rsidRPr="007224C3" w:rsidRDefault="00AA1E7E" w:rsidP="007224C3">
      <w:pPr>
        <w:pStyle w:val="ae"/>
        <w:shd w:val="clear" w:color="auto" w:fill="FFFFFF"/>
        <w:spacing w:before="0" w:after="0"/>
        <w:jc w:val="both"/>
        <w:rPr>
          <w:color w:val="000000" w:themeColor="text1"/>
          <w:sz w:val="16"/>
          <w:szCs w:val="16"/>
        </w:rPr>
      </w:pPr>
      <w:r w:rsidRPr="007224C3">
        <w:rPr>
          <w:color w:val="000000" w:themeColor="text1"/>
          <w:sz w:val="16"/>
          <w:szCs w:val="16"/>
        </w:rPr>
        <w:t>В мае 1944 г. проходили испытания Пе-2И (летчик-испытатель К.И. Жданов и ведущий инженер Г.Н. Назаров) и показали, что усовершенствованная машина отвечает предъявленным требованиям. С бомбовой нагрузкой в 500 кг самолет развивал скорость 556 км/ч в полете у земли, 617 км/ч на вы соте 2950 м и 656 км/ч на высоте 5650 м.</w:t>
      </w:r>
    </w:p>
    <w:p w14:paraId="7F4C1EC4" w14:textId="77777777" w:rsidR="00AA1E7E" w:rsidRPr="007224C3" w:rsidRDefault="00AA1E7E" w:rsidP="007224C3">
      <w:pPr>
        <w:pStyle w:val="ae"/>
        <w:shd w:val="clear" w:color="auto" w:fill="FFFFFF"/>
        <w:spacing w:before="0" w:after="0"/>
        <w:jc w:val="both"/>
        <w:rPr>
          <w:color w:val="000000" w:themeColor="text1"/>
          <w:sz w:val="16"/>
          <w:szCs w:val="16"/>
        </w:rPr>
      </w:pPr>
      <w:r w:rsidRPr="007224C3">
        <w:rPr>
          <w:color w:val="000000" w:themeColor="text1"/>
          <w:sz w:val="16"/>
          <w:szCs w:val="16"/>
        </w:rPr>
        <w:t>Дальность полета самолета Пе-2И оказалась большей, чем у серийного самолета на 1000 км, и составляла 2275 км. Вы соту 5000 м он набирал за 7 мин, т.е. быстрее исходной ма шины на 2,5 мин.</w:t>
      </w:r>
    </w:p>
    <w:p w14:paraId="26453D17" w14:textId="77777777" w:rsidR="00AA1E7E" w:rsidRPr="007224C3" w:rsidRDefault="00AA1E7E" w:rsidP="007224C3">
      <w:pPr>
        <w:pStyle w:val="ae"/>
        <w:shd w:val="clear" w:color="auto" w:fill="FFFFFF"/>
        <w:spacing w:before="0" w:after="0"/>
        <w:jc w:val="both"/>
        <w:rPr>
          <w:color w:val="000000" w:themeColor="text1"/>
          <w:sz w:val="16"/>
          <w:szCs w:val="16"/>
        </w:rPr>
      </w:pPr>
      <w:r w:rsidRPr="007224C3">
        <w:rPr>
          <w:color w:val="000000" w:themeColor="text1"/>
          <w:sz w:val="16"/>
          <w:szCs w:val="16"/>
        </w:rPr>
        <w:t>Новый скоростной бомбардировщик, способный наносить удары по наземным целям с горизонтального полета и с пики рования, отличался от прототипа более высокой энерговоору женностью, а также более совершенной внешней и внутренней аэродинамикой. Помимо улучшения летных данных это позво лило значительно повысить самый главный показатель боевого летательного аппарата — бомбовую нагрузку. Одновременного роста перечисленных выше характеристик удалось достичь в результате проведения ряда мероприятий и нововведений. Мо торы М-105ПФ были заменены ВК-107А значительно большей мощности (1650/1450 л.с. против 1210/1180 л.с). Крыло полу чило новые теоретические контуры, образованные из дужек улучшенных скоростных профилей. От носка до переднего лон жерона— «NACA-23012» и до задней кромки— профиль •B-BS». Вместо низкопланной схемы самолет получил среднее расположение крыла относительно фюзеляжа. Крыло было при поднято с целью размещения под его центропланом более вмес тительного бомбового отсека, позволяющего нести авиабомбу калибром в 1000 кг, для ударов по мощным фортификацион ным сооружениям противника, крупным наземным и морским целям.</w:t>
      </w:r>
    </w:p>
    <w:p w14:paraId="494566CF" w14:textId="77777777" w:rsidR="00AA1E7E" w:rsidRPr="007224C3" w:rsidRDefault="00AA1E7E" w:rsidP="007224C3">
      <w:pPr>
        <w:pStyle w:val="ae"/>
        <w:shd w:val="clear" w:color="auto" w:fill="FFFFFF"/>
        <w:spacing w:before="0" w:after="0"/>
        <w:jc w:val="both"/>
        <w:rPr>
          <w:color w:val="000000" w:themeColor="text1"/>
          <w:sz w:val="16"/>
          <w:szCs w:val="16"/>
        </w:rPr>
      </w:pPr>
      <w:r w:rsidRPr="007224C3">
        <w:rPr>
          <w:color w:val="000000" w:themeColor="text1"/>
          <w:sz w:val="16"/>
          <w:szCs w:val="16"/>
        </w:rPr>
        <w:t>Для расширения возможностей боевого применения само летов Пе-2И в составе звеньев, эскадрилий и даже полков была п Редусмотрена частичная замена (в заводских или полевых условиях) бомб на пушки. В передней зоне бомбового отсека можно было установить две пушки ШВАК калибра 20 мм или 37 мм. В таком варианте Пе-2И превращался в двухместный истребитель сопровождения.</w:t>
      </w:r>
    </w:p>
    <w:p w14:paraId="0685E9AC" w14:textId="77777777" w:rsidR="00AA1E7E" w:rsidRPr="007224C3" w:rsidRDefault="00AA1E7E" w:rsidP="007224C3">
      <w:pPr>
        <w:pStyle w:val="ae"/>
        <w:shd w:val="clear" w:color="auto" w:fill="FFFFFF"/>
        <w:spacing w:before="0" w:after="0"/>
        <w:jc w:val="both"/>
        <w:rPr>
          <w:color w:val="000000" w:themeColor="text1"/>
          <w:sz w:val="16"/>
          <w:szCs w:val="16"/>
        </w:rPr>
      </w:pPr>
      <w:r w:rsidRPr="007224C3">
        <w:rPr>
          <w:color w:val="000000" w:themeColor="text1"/>
          <w:sz w:val="16"/>
          <w:szCs w:val="16"/>
        </w:rPr>
        <w:t>Столь мощный и разнообразный арсенал боевого оснаще ния для заключительного периода Второй мировой войны позволял экипажу уверенно вести не только бомбометание по самым различным целям, но разведку и даже воздушный бой с любым противником.</w:t>
      </w:r>
    </w:p>
    <w:p w14:paraId="5A62101F" w14:textId="77777777" w:rsidR="00AA1E7E" w:rsidRPr="007224C3" w:rsidRDefault="00AA1E7E" w:rsidP="007224C3">
      <w:pPr>
        <w:pStyle w:val="ae"/>
        <w:shd w:val="clear" w:color="auto" w:fill="FFFFFF"/>
        <w:spacing w:before="0" w:after="0"/>
        <w:jc w:val="both"/>
        <w:rPr>
          <w:color w:val="000000" w:themeColor="text1"/>
          <w:sz w:val="16"/>
          <w:szCs w:val="16"/>
        </w:rPr>
      </w:pPr>
      <w:r w:rsidRPr="007224C3">
        <w:rPr>
          <w:color w:val="000000" w:themeColor="text1"/>
          <w:sz w:val="16"/>
          <w:szCs w:val="16"/>
        </w:rPr>
        <w:t>Эти работы совпали с наметившимся развертыванием ши роким фронтом качественного перехода авиационной техники на реактивную тягу.</w:t>
      </w:r>
    </w:p>
    <w:p w14:paraId="7F116EA4" w14:textId="77777777" w:rsidR="00AA1E7E" w:rsidRPr="007224C3" w:rsidRDefault="00AA1E7E" w:rsidP="007224C3">
      <w:pPr>
        <w:pStyle w:val="ae"/>
        <w:shd w:val="clear" w:color="auto" w:fill="FFFFFF"/>
        <w:spacing w:before="0" w:after="0"/>
        <w:jc w:val="both"/>
        <w:rPr>
          <w:color w:val="000000" w:themeColor="text1"/>
          <w:sz w:val="16"/>
          <w:szCs w:val="16"/>
        </w:rPr>
      </w:pPr>
      <w:r w:rsidRPr="007224C3">
        <w:rPr>
          <w:color w:val="000000" w:themeColor="text1"/>
          <w:sz w:val="16"/>
          <w:szCs w:val="16"/>
        </w:rPr>
        <w:t>Коллектив В.М. Мясищева в этот период претерпевал по этапную реэвакуацию с казанского завода на самостоятель ную опытно-производственную базу в Москву (на территорию бывшего завода № 133, с 1942 г. занятую ремонтной базой ГВФ) с образованием нового завода № 482. Для конструкто ров ОКБ-482 Пе-2И представлял собой ту реальную модель, которую можно было оперативно переоснастить двумя ТРД путем ремонтных переделок. Испытанный еще в Казани экс периментальный Пе-2РУ с жидкостным ракетным ускорите лем РД-1ХЗ конструкции В.П. Глушко, как бомбардировщик дальнейшей перспективы не имел. Он был лишь пробой ис пользования реактивных ускорителей для увеличения ско рости и высоты полета винтомоторного самолета. Создание и успешное применение самолетов с ТРД на фронтах Второй мировой войны Германией и Англией доказали всему миру будущность именно таких силовых установок для авиации.</w:t>
      </w:r>
    </w:p>
    <w:p w14:paraId="5ACE93AB" w14:textId="77777777" w:rsidR="00AA1E7E" w:rsidRPr="007224C3" w:rsidRDefault="00AA1E7E" w:rsidP="007224C3">
      <w:pPr>
        <w:pStyle w:val="ae"/>
        <w:shd w:val="clear" w:color="auto" w:fill="FFFFFF"/>
        <w:spacing w:before="0" w:after="0"/>
        <w:jc w:val="both"/>
        <w:rPr>
          <w:color w:val="000000" w:themeColor="text1"/>
          <w:sz w:val="16"/>
          <w:szCs w:val="16"/>
        </w:rPr>
      </w:pPr>
      <w:r w:rsidRPr="007224C3">
        <w:rPr>
          <w:color w:val="000000" w:themeColor="text1"/>
          <w:sz w:val="16"/>
          <w:szCs w:val="16"/>
        </w:rPr>
        <w:t>И на первых порах для мясищевцев использование Пе-2И в новом качестве представляло определенный интерес. Соблазн был настолько велик и очевиден, что главного конструктора буквально засыпали предложениями по установке трофейных немецких ТРД на самолет Пе-2И. Он, конечно же, и сам ви дел такую возможность. К тому же по единодушному мне нию ведущих специалистов ОКБ, потенциал их винтомотор ного Пе-2И (с точки зрения повышения летных данных) был исчерпан далеко не полностью. Более совершенные моторы типа ВК-108 не могли обеспечить роста характеристик в ши роких пределах. Их можно было еще применять для повы шения дальности полета или бомбовой нагрузки (испытания ОГНЕННЫЕ КРЫЛЬЯ опытных бомбардировщиков ВБ-108 и ДБ-109 подтвердили это), но заставить десятитонную машину лететь со скорос тью более 750...800 км/ч они оказались не в силах.</w:t>
      </w:r>
    </w:p>
    <w:p w14:paraId="4203FE55" w14:textId="77777777" w:rsidR="00AA1E7E" w:rsidRPr="007224C3" w:rsidRDefault="00AA1E7E" w:rsidP="007224C3">
      <w:pPr>
        <w:pStyle w:val="ae"/>
        <w:shd w:val="clear" w:color="auto" w:fill="FFFFFF"/>
        <w:spacing w:before="0" w:after="0"/>
        <w:jc w:val="both"/>
        <w:rPr>
          <w:color w:val="000000" w:themeColor="text1"/>
          <w:sz w:val="16"/>
          <w:szCs w:val="16"/>
        </w:rPr>
      </w:pPr>
      <w:r w:rsidRPr="007224C3">
        <w:rPr>
          <w:color w:val="000000" w:themeColor="text1"/>
          <w:sz w:val="16"/>
          <w:szCs w:val="16"/>
        </w:rPr>
        <w:t>Было принято решение о создании реактивного бомбарди ровщика на базе Пе-2И. Главным проектировщиком реактив ного Пе-2И в ОКБ-482 был назначен Л.Л. Селяков, а ведущим конструктором оставили Г.А. Назарова, т.к. он занимался те мой Пе-2И с самого начала и едва ли не первым высказал Мясищеву известную точку зрения по поводу установки ТРД именно на этом самолете. Работе по проектированию первого реактивного бомбардировщика В.М. Мясищев придавал осо бое значение, поскольку дотоле перспективные темы дальних бомбардировщиков ДВБ-202 и ДВБ-302 повисли на волоске в связи с назревавшим решением Кремля о копировании амери канского В-29 под маркой Ту-4. Вместе с Назаровым и Селя ковым они ездили по конструкторским бюро, знакомились с освоением и испытаниями тех образцов ТРД, которые были выбраны для серийного выпуска на наших моторных заводах.</w:t>
      </w:r>
    </w:p>
    <w:p w14:paraId="2E40DC58" w14:textId="77777777" w:rsidR="00AA1E7E" w:rsidRPr="007224C3" w:rsidRDefault="00AA1E7E" w:rsidP="007224C3">
      <w:pPr>
        <w:pStyle w:val="ae"/>
        <w:shd w:val="clear" w:color="auto" w:fill="FFFFFF"/>
        <w:spacing w:before="0" w:after="0"/>
        <w:jc w:val="both"/>
        <w:rPr>
          <w:color w:val="000000" w:themeColor="text1"/>
          <w:sz w:val="16"/>
          <w:szCs w:val="16"/>
        </w:rPr>
      </w:pPr>
      <w:r w:rsidRPr="007224C3">
        <w:rPr>
          <w:color w:val="000000" w:themeColor="text1"/>
          <w:sz w:val="16"/>
          <w:szCs w:val="16"/>
        </w:rPr>
        <w:t>В результате пришли к решению отказаться от переделки Пе-2И под новую силовую установку. Вскоре после начала про ектных работ по Пе-2И-РД конструкторы убеди лись, что принятая полумера не решит задачу, поскольку со здание полноценного реактивного бомбардировщика (как и любого другого самолета с ТРД) потребовало специфических узконаправленных конструктивных решений едва ли не по всем статьям: от аэродинамики и прочности до конструкции отдельных агрегатов и устройства целевых систем. По этой причине коллектив бригады проектов при сопутствующих консульта циях с другими подразделениями ОКБ и производства был бе зотлагательно перенацелен на разработку принципиально но вого самолета в соответствии с духом времени без жестких привязок к реально существующим прототипам, пусть даже собственного производства.</w:t>
      </w:r>
    </w:p>
    <w:p w14:paraId="0951F12A" w14:textId="77777777" w:rsidR="00AA1E7E" w:rsidRPr="007224C3" w:rsidRDefault="00AA1E7E" w:rsidP="007224C3">
      <w:pPr>
        <w:pStyle w:val="ae"/>
        <w:shd w:val="clear" w:color="auto" w:fill="FFFFFF"/>
        <w:spacing w:before="0" w:after="0"/>
        <w:jc w:val="both"/>
        <w:rPr>
          <w:color w:val="000000" w:themeColor="text1"/>
          <w:sz w:val="16"/>
          <w:szCs w:val="16"/>
        </w:rPr>
      </w:pPr>
      <w:r w:rsidRPr="007224C3">
        <w:rPr>
          <w:color w:val="000000" w:themeColor="text1"/>
          <w:sz w:val="16"/>
          <w:szCs w:val="16"/>
        </w:rPr>
        <w:t>Кроме того (это отнюдь не являлось главной причиной от каза от разработки коллективом Пе-2И-РД), на исходном типе ни гондолы с двигателями Jumo-004, ни крыло не позволяли сделать добротным убираемое шасси без осложнений для аэро динамики самолета. Ни под ТРД, ни в крыле, ни в фюзеляже стойки с колесами не помещались. Предложение втягивать двухколесную ногу шасси в переднюю зону отсека для бомб представлялось неплохим выходом из положения, однако воп росы теории и эксплуатации крупных самолетов на велоси педном шасси с хвостовой опорой в 1945 г. были совершенно не изучены, а размещение ниши убранного взлетно-посадоч ного приспособления в бомбоотсеке начисто лишало возмож ности применять машину в качестве истребителя сопровожде ния, вооруженного артиллерийской батареей, а также и в ка честве носителя бомбы массой 1000 кг. И то и другое еще в 1944 г. было намечено и осуществлено на Пе-2И. Перевод же этих видов вооружения в категорию внешних подвесок (дабы сохранить боевой арсенал машины) для улучшения скорост ных и высотных характеристик также был бы непригоден из- _ за ухудшения аэродинамики в еще большей степени (19586).</w:t>
      </w:r>
    </w:p>
    <w:p w14:paraId="279D9FE4" w14:textId="77777777" w:rsidR="00AA1E7E" w:rsidRPr="007224C3" w:rsidRDefault="00AA1E7E" w:rsidP="007224C3">
      <w:pPr>
        <w:pStyle w:val="ae"/>
        <w:shd w:val="clear" w:color="auto" w:fill="FFFFFF"/>
        <w:spacing w:before="0" w:after="0"/>
        <w:jc w:val="both"/>
        <w:rPr>
          <w:color w:val="000000" w:themeColor="text1"/>
          <w:sz w:val="16"/>
          <w:szCs w:val="16"/>
        </w:rPr>
      </w:pPr>
    </w:p>
    <w:p w14:paraId="650BBA2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 г. наметившийся успех с Пе-2И стал отправной точкой для целой программы по созданию так называемого “дневного скоростного бомбардировщика” (4476).</w:t>
      </w:r>
    </w:p>
    <w:p w14:paraId="0DF2541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901CD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 в 47 ГДРАП прошел войсковые испытания Ту-2 2АШ-82ФН N 304 выпуска завода 166, переоборудованного в разведывательный вариант на 23 заводе. Поставили подвесной бензобак, фотоаппарат АФА-33/50 на качающейся установке с 2 маршрутной съемкой. дальность достигла 2130 км. В заключении написано: "Самолет Ту-2 в варианте разведчика войсковые испытания прошел удовлетворительно.</w:t>
      </w:r>
    </w:p>
    <w:p w14:paraId="47AE557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Считать необходимым поставить вопрос о серийной постройке Ту-2 в варианте разведчика.</w:t>
      </w:r>
    </w:p>
    <w:p w14:paraId="0610AFE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Рекомендовать применение на Ту-2 в варианте разведчика качающейся фотоустановки под АФА-33/50 или АФА-33/75 и дополнительно к ней АФА-33/20.</w:t>
      </w:r>
    </w:p>
    <w:p w14:paraId="4938572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Просить НКАП дать задание ОКБ завода 156 разработать и предъявить на испытания упрощенную конструкцию качающейся аэрофотоустановки под АФА-33/50 и АФА-33/75, а также дополнительной АФА-33/20...</w:t>
      </w:r>
    </w:p>
    <w:p w14:paraId="11745C2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Дополнительное остекление передней кабины между 4 и 6 шпангоутами считать целесообразным для самолета в варианте разведчика-бомбардировщика..." (1835,54).</w:t>
      </w:r>
    </w:p>
    <w:p w14:paraId="37FFBD4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0D0B5B" w14:textId="77777777" w:rsidR="006E5527" w:rsidRPr="007224C3" w:rsidRDefault="006E552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 г. началось проектирование «самолета 64» в двух вариантах (бомбардировщик и транспортно-пассажирский). Проектные работы показали, что «самолет 64» при габаритах, близких к АНТ-42 (Пе-8), имел в два раза большую массу. Это поставило перед создателями самолета, особенно перед конструкторами и прочнистами, ряд трудных задач, так как усилия в элементах конструкции «самолета 64» были более чем в два раза выше, чем в соответствующих элементах АНТ-42.</w:t>
      </w:r>
    </w:p>
    <w:p w14:paraId="34799599" w14:textId="77777777" w:rsidR="006E5527" w:rsidRPr="007224C3" w:rsidRDefault="006E552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Шла война, и все силы авиационной промышленности и смежных с нею отраслей были направлены на обеспечение массового выпуска серийных боевых самолетов. Внедрение новых авиационных материалов и изделий из них в условиях войны было затруднено, поэтому самолетостроителям приходилось использовать сортамент листов и прессованных профилей из легких сплавов десятилетней давности. Аналогичная ситуация была характерна для радиосвязного и радиотехнического оборудования, а также для системы стрелково-пушечно-го вооружения.</w:t>
      </w:r>
    </w:p>
    <w:p w14:paraId="376CEBDE" w14:textId="77777777" w:rsidR="006E5527" w:rsidRPr="007224C3" w:rsidRDefault="006E552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ходе эскизного проектирования самолета в бригаде общих видов, возглавлявшейся Б. М. Кондорским, были рассмотрены несколько десятков вариантов компоновок. Спектр рассматривавшихся вариантов был очень широк — от четырехмоторных самолетов, близких к В-24, В-17 и Ме-264, до экзотических компоновочных решений с использованием двух балочной схемы.</w:t>
      </w:r>
    </w:p>
    <w:p w14:paraId="68A182F4" w14:textId="77777777" w:rsidR="006E5527" w:rsidRPr="007224C3" w:rsidRDefault="006E552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Проектировщики остановились на нормальной схеме четырехмоторного самолета с герметичными кабинами, разнесенным шайбовидным вертикальным оперением и шасси с носовым колесом. В ходе эскизного проектирования внимательно изучался опыт подобной работы с американским бомбардировщиком В-29. Все то новое, что было на тот момент в самолетостроении и что могла позволить в технологическом отношении отечественная авиапромышленность, было привнесено в проект.</w:t>
      </w:r>
    </w:p>
    <w:p w14:paraId="1729CCA5" w14:textId="77777777" w:rsidR="006E5527" w:rsidRPr="007224C3" w:rsidRDefault="006E552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результате был предложен самолет, по своему техническому совершенству, техническим и технологическим решениям, занимавший промежуточное, переходное место между бомбардировщиками разработки конца 30-х годов и самолетами класса В-29 (15568).</w:t>
      </w:r>
    </w:p>
    <w:p w14:paraId="399C8F0A" w14:textId="77777777" w:rsidR="006E5527" w:rsidRPr="007224C3" w:rsidRDefault="006E5527" w:rsidP="007224C3">
      <w:pPr>
        <w:spacing w:after="0" w:line="240" w:lineRule="auto"/>
        <w:jc w:val="both"/>
        <w:rPr>
          <w:rFonts w:ascii="Times New Roman" w:hAnsi="Times New Roman"/>
          <w:color w:val="000000" w:themeColor="text1"/>
          <w:sz w:val="16"/>
          <w:szCs w:val="16"/>
        </w:rPr>
      </w:pPr>
    </w:p>
    <w:p w14:paraId="462835D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 был первый полет НБ (Т) Н.Н.П. (1023,209).</w:t>
      </w:r>
    </w:p>
    <w:p w14:paraId="0FA676B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2401E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мая 1944-го по 25 июля 1945 года самолет ДВБ-102 проходил летные испытания. Несмотря на то, что двигатель М-71Ф, развивавший взлетную мощность 2250 л.с., прошел 50-часовые стендовые испытания, его надежность оставляла желать лучшего. В итоге почти четырехлетней работы на ДВБ-102 получили мак</w:t>
      </w:r>
      <w:r w:rsidRPr="007224C3">
        <w:rPr>
          <w:rFonts w:ascii="Times New Roman" w:hAnsi="Times New Roman"/>
          <w:color w:val="000000" w:themeColor="text1"/>
          <w:sz w:val="16"/>
          <w:szCs w:val="16"/>
        </w:rPr>
        <w:softHyphen/>
        <w:t>симальную скорость 570 км/ч, практический потолок 10 750 метров и дальность 3740 км. К этому времени пол</w:t>
      </w:r>
      <w:r w:rsidRPr="007224C3">
        <w:rPr>
          <w:rFonts w:ascii="Times New Roman" w:hAnsi="Times New Roman"/>
          <w:color w:val="000000" w:themeColor="text1"/>
          <w:sz w:val="16"/>
          <w:szCs w:val="16"/>
        </w:rPr>
        <w:softHyphen/>
        <w:t>ным ходом шли работы по четырехмоторным дальним бом</w:t>
      </w:r>
      <w:r w:rsidRPr="007224C3">
        <w:rPr>
          <w:rFonts w:ascii="Times New Roman" w:hAnsi="Times New Roman"/>
          <w:color w:val="000000" w:themeColor="text1"/>
          <w:sz w:val="16"/>
          <w:szCs w:val="16"/>
        </w:rPr>
        <w:softHyphen/>
        <w:t>бардировщикам «64» Туполева и ДВБ-202/302 Мясищевас двигателями жидкостного охлаждения АМ-43 ТК и АМ-46ТК, расчетные параметры которых превосходили ДВБ-102 и наиболее полно отвечали требованиям ВВС конца 1940-х годов. Параллельно с доводками первой опытной машины в 1941 году велись работы по проектированию и постройке дублера, первоначально рассчитывавшегося под двигатель МБ-100. Однако после эвакуации завода № 156 в соответ</w:t>
      </w:r>
      <w:r w:rsidRPr="007224C3">
        <w:rPr>
          <w:rFonts w:ascii="Times New Roman" w:hAnsi="Times New Roman"/>
          <w:color w:val="000000" w:themeColor="text1"/>
          <w:sz w:val="16"/>
          <w:szCs w:val="16"/>
        </w:rPr>
        <w:softHyphen/>
        <w:t>ствии с июньским 1942 года приказом НКАП работы по дуб</w:t>
      </w:r>
      <w:r w:rsidRPr="007224C3">
        <w:rPr>
          <w:rFonts w:ascii="Times New Roman" w:hAnsi="Times New Roman"/>
          <w:color w:val="000000" w:themeColor="text1"/>
          <w:sz w:val="16"/>
          <w:szCs w:val="16"/>
        </w:rPr>
        <w:softHyphen/>
        <w:t>леру временно прекратились. Уже в Москве его пытались приспособить под двигатели АМ-46ТК, но в окончательном виде построили с двигателями М-71Ф с учетом установки АШ-72. Вследствие возможного выхода из строя потом его законсервировали вместе с другими самолетами на аэродро</w:t>
      </w:r>
      <w:r w:rsidRPr="007224C3">
        <w:rPr>
          <w:rFonts w:ascii="Times New Roman" w:hAnsi="Times New Roman"/>
          <w:color w:val="000000" w:themeColor="text1"/>
          <w:sz w:val="16"/>
          <w:szCs w:val="16"/>
        </w:rPr>
        <w:softHyphen/>
        <w:t>ме имени Фрунзе, а после списали (10745,238).</w:t>
      </w:r>
    </w:p>
    <w:p w14:paraId="0069A4B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FE15B0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мая 1944-го по 25 июля 1945 года самолет ДВБ-102 М-71 проходил совместные лет</w:t>
      </w:r>
      <w:r w:rsidRPr="007224C3">
        <w:rPr>
          <w:rFonts w:ascii="Times New Roman" w:hAnsi="Times New Roman"/>
          <w:color w:val="000000" w:themeColor="text1"/>
          <w:sz w:val="16"/>
          <w:szCs w:val="16"/>
        </w:rPr>
        <w:softHyphen/>
        <w:t>ные испытания. Ведущими летчиками на этом этапе от ОКБ-482 был Ф.Ф. Опадчий, а от ЛИИ — И.И. Шунейко. От заказчика ведущими по машине были инженер М.И. Ефимов, летчик В.И. Жданов, штурман Н.П. Цвет</w:t>
      </w:r>
      <w:r w:rsidRPr="007224C3">
        <w:rPr>
          <w:rFonts w:ascii="Times New Roman" w:hAnsi="Times New Roman"/>
          <w:color w:val="000000" w:themeColor="text1"/>
          <w:sz w:val="16"/>
          <w:szCs w:val="16"/>
        </w:rPr>
        <w:softHyphen/>
        <w:t>ков и инженер по силовой установке А.Ф. Абашин (11446).</w:t>
      </w:r>
    </w:p>
    <w:p w14:paraId="336EBDA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6E8FF4" w14:textId="77777777" w:rsidR="003B127C" w:rsidRPr="007224C3" w:rsidRDefault="003B127C" w:rsidP="007224C3">
      <w:pPr>
        <w:pStyle w:val="a3"/>
        <w:rPr>
          <w:color w:val="000000" w:themeColor="text1"/>
          <w:lang w:val="ru-RU"/>
        </w:rPr>
      </w:pPr>
      <w:r w:rsidRPr="007224C3">
        <w:rPr>
          <w:color w:val="000000" w:themeColor="text1"/>
          <w:lang w:val="ru-RU"/>
        </w:rPr>
        <w:t>В мае 1944 ДВБ-102 снова мог летать. Для выполнения полетов была назна</w:t>
      </w:r>
      <w:r w:rsidRPr="007224C3">
        <w:rPr>
          <w:color w:val="000000" w:themeColor="text1"/>
          <w:lang w:val="ru-RU"/>
        </w:rPr>
        <w:softHyphen/>
        <w:t>чена бригада в составе летчика-испыта- теля Ф.Ф. Опадчего и ведущего инженера А.В. Лурье от завода, от ЛИИ НКАП - лет</w:t>
      </w:r>
      <w:r w:rsidRPr="007224C3">
        <w:rPr>
          <w:color w:val="000000" w:themeColor="text1"/>
          <w:lang w:val="ru-RU"/>
        </w:rPr>
        <w:softHyphen/>
        <w:t>чика И.И. Шунейко и инженера Н.И. Квитко, от НИИ ВВС - летчика В.И. Жданова, штур</w:t>
      </w:r>
      <w:r w:rsidRPr="007224C3">
        <w:rPr>
          <w:color w:val="000000" w:themeColor="text1"/>
          <w:lang w:val="ru-RU"/>
        </w:rPr>
        <w:softHyphen/>
        <w:t>мана Н.П. Цветкова, ведущего инженера М.И. Ефимова и инженера по силовой установке А.Ф. Абашина.</w:t>
      </w:r>
    </w:p>
    <w:p w14:paraId="3E9546C7" w14:textId="77777777" w:rsidR="003B127C" w:rsidRPr="007224C3" w:rsidRDefault="003B127C" w:rsidP="007224C3">
      <w:pPr>
        <w:pStyle w:val="a3"/>
        <w:rPr>
          <w:color w:val="000000" w:themeColor="text1"/>
          <w:lang w:val="ru-RU"/>
        </w:rPr>
      </w:pPr>
      <w:r w:rsidRPr="007224C3">
        <w:rPr>
          <w:color w:val="000000" w:themeColor="text1"/>
          <w:lang w:val="ru-RU"/>
        </w:rPr>
        <w:t>Новая носовая часть с широкой каби</w:t>
      </w:r>
      <w:r w:rsidRPr="007224C3">
        <w:rPr>
          <w:color w:val="000000" w:themeColor="text1"/>
          <w:lang w:val="ru-RU"/>
        </w:rPr>
        <w:softHyphen/>
        <w:t>ной дала прирост аэродинамического со</w:t>
      </w:r>
      <w:r w:rsidRPr="007224C3">
        <w:rPr>
          <w:color w:val="000000" w:themeColor="text1"/>
          <w:lang w:val="ru-RU"/>
        </w:rPr>
        <w:softHyphen/>
        <w:t>противления, но и двигатели М-71Ф ТК-3 были мощнее. И если бы они работали лучше, то был бы даже некоторый рост скорости и высотности, но вышло наобо</w:t>
      </w:r>
      <w:r w:rsidRPr="007224C3">
        <w:rPr>
          <w:color w:val="000000" w:themeColor="text1"/>
          <w:lang w:val="ru-RU"/>
        </w:rPr>
        <w:softHyphen/>
        <w:t>рот. Но определили судьбу самолета не это, а обилие отказов.</w:t>
      </w:r>
    </w:p>
    <w:p w14:paraId="7FC9108A" w14:textId="77777777" w:rsidR="003B127C" w:rsidRPr="007224C3" w:rsidRDefault="003B127C" w:rsidP="007224C3">
      <w:pPr>
        <w:pStyle w:val="a3"/>
        <w:rPr>
          <w:color w:val="000000" w:themeColor="text1"/>
          <w:lang w:val="ru-RU"/>
        </w:rPr>
      </w:pPr>
      <w:r w:rsidRPr="007224C3">
        <w:rPr>
          <w:color w:val="000000" w:themeColor="text1"/>
          <w:lang w:val="ru-RU"/>
        </w:rPr>
        <w:t>Моторы М-71Ф, формально серийные, прошедшие 50-часовые испытания, ра</w:t>
      </w:r>
      <w:r w:rsidRPr="007224C3">
        <w:rPr>
          <w:color w:val="000000" w:themeColor="text1"/>
          <w:lang w:val="ru-RU"/>
        </w:rPr>
        <w:softHyphen/>
        <w:t>ботали крайне ненадежно, их постоянно меняли, причем 19-й завод не всегда мог поставить очередную пару с турбоком</w:t>
      </w:r>
      <w:r w:rsidRPr="007224C3">
        <w:rPr>
          <w:color w:val="000000" w:themeColor="text1"/>
          <w:lang w:val="ru-RU"/>
        </w:rPr>
        <w:softHyphen/>
        <w:t>прессорами. Машина летала то с обыч</w:t>
      </w:r>
      <w:r w:rsidRPr="007224C3">
        <w:rPr>
          <w:color w:val="000000" w:themeColor="text1"/>
          <w:lang w:val="ru-RU"/>
        </w:rPr>
        <w:softHyphen/>
        <w:t>ными М-71, то с М-71Ф, и не могла пока</w:t>
      </w:r>
      <w:r w:rsidRPr="007224C3">
        <w:rPr>
          <w:color w:val="000000" w:themeColor="text1"/>
          <w:lang w:val="ru-RU"/>
        </w:rPr>
        <w:softHyphen/>
        <w:t>зать «когда надо» свои лучшие качества (17739).</w:t>
      </w:r>
    </w:p>
    <w:p w14:paraId="5F8C6C93" w14:textId="77777777" w:rsidR="003B127C" w:rsidRPr="007224C3" w:rsidRDefault="003B127C" w:rsidP="007224C3">
      <w:pPr>
        <w:spacing w:after="0" w:line="240" w:lineRule="auto"/>
        <w:jc w:val="both"/>
        <w:rPr>
          <w:rFonts w:ascii="Times New Roman" w:hAnsi="Times New Roman"/>
          <w:color w:val="000000" w:themeColor="text1"/>
          <w:sz w:val="16"/>
          <w:szCs w:val="16"/>
        </w:rPr>
      </w:pPr>
    </w:p>
    <w:p w14:paraId="292E39B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 г. ОКО В.М.М. получило задание НКАП на разработку и постройку двух экземпляров ВБ-109, но работы по высотному варианту велись значительно медленнее (4476).</w:t>
      </w:r>
    </w:p>
    <w:p w14:paraId="6D68F40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67770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 г. в ЛИИ прошел испытания единственный из поставленных в СССР самолет "Москито" фирмы Де Хевилленд с моторами "Мерлин 21", выпущенного в 1942 г. При близких полетных весах английский "Москито" без оборонительного вооружения при примерно одинаковой дальности развивал скорость почти на 90 км/ч меньше, чем Пе-2И В.М.М. (3337).</w:t>
      </w:r>
    </w:p>
    <w:p w14:paraId="124D4AF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40B07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 в ЛИИ испытывался Москито IV с Мерлин 21 (173,278).</w:t>
      </w:r>
    </w:p>
    <w:p w14:paraId="5EBF299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AC381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 года в ЛИИ прошел испытания единственный из поставлен</w:t>
      </w:r>
      <w:r w:rsidRPr="007224C3">
        <w:rPr>
          <w:rFonts w:ascii="Times New Roman" w:hAnsi="Times New Roman"/>
          <w:color w:val="000000" w:themeColor="text1"/>
          <w:sz w:val="16"/>
          <w:szCs w:val="16"/>
        </w:rPr>
        <w:softHyphen/>
        <w:t>ных в Советский Союз самолет «Москито» фирмы «Де Хевилленд» с моторами «Мерлин 21», выпущенный в 1942 году. При близких полетных весах английский «Москито» без оборонительного вооружения при при</w:t>
      </w:r>
      <w:r w:rsidRPr="007224C3">
        <w:rPr>
          <w:rFonts w:ascii="Times New Roman" w:hAnsi="Times New Roman"/>
          <w:color w:val="000000" w:themeColor="text1"/>
          <w:sz w:val="16"/>
          <w:szCs w:val="16"/>
        </w:rPr>
        <w:softHyphen/>
        <w:t>мерно одинаковой дальности развивал скорость поч</w:t>
      </w:r>
      <w:r w:rsidRPr="007224C3">
        <w:rPr>
          <w:rFonts w:ascii="Times New Roman" w:hAnsi="Times New Roman"/>
          <w:color w:val="000000" w:themeColor="text1"/>
          <w:sz w:val="16"/>
          <w:szCs w:val="16"/>
        </w:rPr>
        <w:softHyphen/>
        <w:t>ти на 90 км/ч меньше, чем Пе-2И (11446).</w:t>
      </w:r>
    </w:p>
    <w:p w14:paraId="77F08BD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31ADD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 В.Поликовским, В.Климовым, М.Левиным, Е.Погосецким, П.Павлючук была подготовлена Докладная записка</w:t>
      </w:r>
    </w:p>
    <w:p w14:paraId="26E7F3B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вопросу об изучении самолета “Москито 1У” с моторами Мерлин 21.</w:t>
      </w:r>
    </w:p>
    <w:p w14:paraId="2B7E8E8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основании изучения винто-моторной группы самолета Москито 1У с мтором Мерлин 21 комиссией специалистов Наркомавиапрома и ВВС установлено следующее:</w:t>
      </w:r>
    </w:p>
    <w:p w14:paraId="312F787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По мотору Мерлин 21</w:t>
      </w:r>
    </w:p>
    <w:p w14:paraId="052E0EE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Установленный на прибывшем из Англии самолете Москито 1У мотор Мерлин 21 особого интереса не представляет и весьма незначительно отличается от давно находящегося в эксплоатации моторов Мерлин 20. Такие моторы широко применяются на английских истребителях Спитфайр и Харрикейн и достаточно хорошо известны.</w:t>
      </w:r>
    </w:p>
    <w:p w14:paraId="52FE964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то же время известно, что на самолетах Москито в настоящее время устанавливаются новые высотные модификации мотора Мерлин с двухступенчатым нагнетателем, представляющим большой интерес как с точки зрения полученных на этих моторах исключительно высоких высотных характеристиках, так и с точки зррения наличия у этих моторов кратковременных пятиминутных боевых режимов, значительно превыщающих не только номинальные, но и взлетные характеристики.</w:t>
      </w:r>
    </w:p>
    <w:p w14:paraId="0BD8CE6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Заслуживает внимания наличие на расширительном бачке анероидного клапана постоянного давления, а не постоянного перепада давлений. Такие клапаны разработаны и испытаны в НКАП и заслуживают внедрения, т.к. они могут оказаться весьма полезными с точки зрения защиты мотора от перегрева на малых высотах (1825).</w:t>
      </w:r>
    </w:p>
    <w:p w14:paraId="17733BB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C74781" w14:textId="77777777" w:rsidR="00D70979" w:rsidRPr="007224C3" w:rsidRDefault="00D70979" w:rsidP="007224C3">
      <w:pPr>
        <w:pStyle w:val="27"/>
        <w:shd w:val="clear" w:color="auto" w:fill="auto"/>
        <w:spacing w:after="0" w:line="240" w:lineRule="auto"/>
        <w:ind w:firstLine="0"/>
        <w:rPr>
          <w:rFonts w:ascii="Times New Roman" w:cs="Times New Roman"/>
          <w:color w:val="000000" w:themeColor="text1"/>
          <w:spacing w:val="0"/>
        </w:rPr>
      </w:pPr>
      <w:r w:rsidRPr="007224C3">
        <w:rPr>
          <w:rFonts w:ascii="Times New Roman" w:cs="Times New Roman"/>
          <w:color w:val="000000" w:themeColor="text1"/>
          <w:spacing w:val="0"/>
        </w:rPr>
        <w:t>В мае 1944 г. после выхода Постановления Государственного Комитета Обороны о создании скоростных дневных бомбардировщиков в конструкторских кол</w:t>
      </w:r>
      <w:r w:rsidRPr="007224C3">
        <w:rPr>
          <w:rFonts w:ascii="Times New Roman" w:cs="Times New Roman"/>
          <w:color w:val="000000" w:themeColor="text1"/>
          <w:spacing w:val="0"/>
        </w:rPr>
        <w:softHyphen/>
        <w:t>лективах А.Н. Туполева, В.М. Мясищева и С.В. Ильюшина началось проектирование подоб</w:t>
      </w:r>
      <w:r w:rsidRPr="007224C3">
        <w:rPr>
          <w:rFonts w:ascii="Times New Roman" w:cs="Times New Roman"/>
          <w:color w:val="000000" w:themeColor="text1"/>
          <w:spacing w:val="0"/>
        </w:rPr>
        <w:softHyphen/>
        <w:t>ных машин. Уже летом эскизный проект двухместного четырех</w:t>
      </w:r>
      <w:r w:rsidRPr="007224C3">
        <w:rPr>
          <w:rFonts w:ascii="Times New Roman" w:cs="Times New Roman"/>
          <w:color w:val="000000" w:themeColor="text1"/>
          <w:spacing w:val="0"/>
        </w:rPr>
        <w:softHyphen/>
        <w:t>моторного бомбардировщика Ил-14 был направлен на согласование в ВВС и НКАП. Летчик и штурман один за другим разме</w:t>
      </w:r>
      <w:r w:rsidRPr="007224C3">
        <w:rPr>
          <w:rFonts w:ascii="Times New Roman" w:cs="Times New Roman"/>
          <w:color w:val="000000" w:themeColor="text1"/>
          <w:spacing w:val="0"/>
        </w:rPr>
        <w:softHyphen/>
        <w:t>щались в общей кабине. Четыре двига</w:t>
      </w:r>
      <w:r w:rsidRPr="007224C3">
        <w:rPr>
          <w:rFonts w:ascii="Times New Roman" w:cs="Times New Roman"/>
          <w:color w:val="000000" w:themeColor="text1"/>
          <w:spacing w:val="0"/>
        </w:rPr>
        <w:softHyphen/>
        <w:t>теля жидкостного охлаждения АМ-43НВ с мощностью по 4260 л.с. конструктора А.А. Микулина, два из которых имели тяну</w:t>
      </w:r>
      <w:r w:rsidRPr="007224C3">
        <w:rPr>
          <w:rFonts w:ascii="Times New Roman" w:cs="Times New Roman"/>
          <w:color w:val="000000" w:themeColor="text1"/>
          <w:spacing w:val="0"/>
        </w:rPr>
        <w:softHyphen/>
        <w:t>щие воздушные винты, а два оставших</w:t>
      </w:r>
      <w:r w:rsidRPr="007224C3">
        <w:rPr>
          <w:rFonts w:ascii="Times New Roman" w:cs="Times New Roman"/>
          <w:color w:val="000000" w:themeColor="text1"/>
          <w:spacing w:val="0"/>
        </w:rPr>
        <w:softHyphen/>
        <w:t>ся - толкающие, располагались тандемно в двух крыльевых гондолах. Воздушные радиаторы систем смазки и охлаждения двигателей устанавливались в центропла</w:t>
      </w:r>
      <w:r w:rsidRPr="007224C3">
        <w:rPr>
          <w:rFonts w:ascii="Times New Roman" w:cs="Times New Roman"/>
          <w:color w:val="000000" w:themeColor="text1"/>
          <w:spacing w:val="0"/>
        </w:rPr>
        <w:softHyphen/>
        <w:t xml:space="preserve">не и </w:t>
      </w:r>
      <w:r w:rsidRPr="007224C3">
        <w:rPr>
          <w:rFonts w:ascii="Times New Roman" w:cs="Times New Roman"/>
          <w:color w:val="000000" w:themeColor="text1"/>
          <w:spacing w:val="0"/>
        </w:rPr>
        <w:lastRenderedPageBreak/>
        <w:t>продувались воздухом, поступавшим из заборников в его носке. Выбранная схе</w:t>
      </w:r>
      <w:r w:rsidRPr="007224C3">
        <w:rPr>
          <w:rFonts w:ascii="Times New Roman" w:cs="Times New Roman"/>
          <w:color w:val="000000" w:themeColor="text1"/>
          <w:spacing w:val="0"/>
        </w:rPr>
        <w:softHyphen/>
        <w:t>ма самолета давала возможность получить более компактную конструкцию и умень</w:t>
      </w:r>
      <w:r w:rsidRPr="007224C3">
        <w:rPr>
          <w:rFonts w:ascii="Times New Roman" w:cs="Times New Roman"/>
          <w:color w:val="000000" w:themeColor="text1"/>
          <w:spacing w:val="0"/>
        </w:rPr>
        <w:softHyphen/>
        <w:t>шить ее сопротивление. Вместе с тем, возникала опасность попадания экипажа под винты задних моторов при аварийном покидании самолета.</w:t>
      </w:r>
    </w:p>
    <w:p w14:paraId="0A0F0026" w14:textId="77777777" w:rsidR="00D70979" w:rsidRPr="007224C3" w:rsidRDefault="00D70979" w:rsidP="007224C3">
      <w:pPr>
        <w:pStyle w:val="27"/>
        <w:shd w:val="clear" w:color="auto" w:fill="auto"/>
        <w:spacing w:after="0" w:line="240" w:lineRule="auto"/>
        <w:ind w:firstLine="0"/>
        <w:rPr>
          <w:rFonts w:ascii="Times New Roman" w:cs="Times New Roman"/>
          <w:color w:val="000000" w:themeColor="text1"/>
          <w:spacing w:val="0"/>
        </w:rPr>
      </w:pPr>
      <w:r w:rsidRPr="007224C3">
        <w:rPr>
          <w:rFonts w:ascii="Times New Roman" w:cs="Times New Roman"/>
          <w:color w:val="000000" w:themeColor="text1"/>
          <w:spacing w:val="0"/>
        </w:rPr>
        <w:t>Неожиданным для Заказчика оказа</w:t>
      </w:r>
      <w:r w:rsidRPr="007224C3">
        <w:rPr>
          <w:rFonts w:ascii="Times New Roman" w:cs="Times New Roman"/>
          <w:color w:val="000000" w:themeColor="text1"/>
          <w:spacing w:val="0"/>
        </w:rPr>
        <w:softHyphen/>
        <w:t>лось отсутствие на бомбардировщике защитного вооружения, которое, по мне</w:t>
      </w:r>
      <w:r w:rsidRPr="007224C3">
        <w:rPr>
          <w:rFonts w:ascii="Times New Roman" w:cs="Times New Roman"/>
          <w:color w:val="000000" w:themeColor="text1"/>
          <w:spacing w:val="0"/>
        </w:rPr>
        <w:softHyphen/>
        <w:t>нию С.В. Ильюшина, полностью компен</w:t>
      </w:r>
      <w:r w:rsidRPr="007224C3">
        <w:rPr>
          <w:rFonts w:ascii="Times New Roman" w:cs="Times New Roman"/>
          <w:color w:val="000000" w:themeColor="text1"/>
          <w:spacing w:val="0"/>
        </w:rPr>
        <w:softHyphen/>
        <w:t>сировалось предполагаемой расчетной скоростью около 700 км/ч. Переубедить военных не удалось, и проект с перечнем замечаний вернули на доработку. Основ</w:t>
      </w:r>
      <w:r w:rsidRPr="007224C3">
        <w:rPr>
          <w:rFonts w:ascii="Times New Roman" w:cs="Times New Roman"/>
          <w:color w:val="000000" w:themeColor="text1"/>
          <w:spacing w:val="0"/>
        </w:rPr>
        <w:softHyphen/>
        <w:t>ное требование военных предусматрива</w:t>
      </w:r>
      <w:r w:rsidRPr="007224C3">
        <w:rPr>
          <w:rFonts w:ascii="Times New Roman" w:cs="Times New Roman"/>
          <w:color w:val="000000" w:themeColor="text1"/>
          <w:spacing w:val="0"/>
        </w:rPr>
        <w:softHyphen/>
        <w:t>ло установку пушечного вооружения и, как следствие, увеличение экипажа до четы</w:t>
      </w:r>
      <w:r w:rsidRPr="007224C3">
        <w:rPr>
          <w:rFonts w:ascii="Times New Roman" w:cs="Times New Roman"/>
          <w:color w:val="000000" w:themeColor="text1"/>
          <w:spacing w:val="0"/>
        </w:rPr>
        <w:softHyphen/>
        <w:t>рех человек. Поэтому в средней части фюзеляжа оборудовали кабину стрелка- радиста и воздушного стрелка, обслужи</w:t>
      </w:r>
      <w:r w:rsidRPr="007224C3">
        <w:rPr>
          <w:rFonts w:ascii="Times New Roman" w:cs="Times New Roman"/>
          <w:color w:val="000000" w:themeColor="text1"/>
          <w:spacing w:val="0"/>
        </w:rPr>
        <w:softHyphen/>
        <w:t>вавших верхнюю и нижнюю подвижные пушечные установки. В носовой части фюзеляжа появилась неподвижная пуш</w:t>
      </w:r>
      <w:r w:rsidRPr="007224C3">
        <w:rPr>
          <w:rFonts w:ascii="Times New Roman" w:cs="Times New Roman"/>
          <w:color w:val="000000" w:themeColor="text1"/>
          <w:spacing w:val="0"/>
        </w:rPr>
        <w:softHyphen/>
        <w:t>ка, огонь из которой должен был вести летчик. Бомбовое вооружение, оставше</w:t>
      </w:r>
      <w:r w:rsidRPr="007224C3">
        <w:rPr>
          <w:rFonts w:ascii="Times New Roman" w:cs="Times New Roman"/>
          <w:color w:val="000000" w:themeColor="text1"/>
          <w:spacing w:val="0"/>
        </w:rPr>
        <w:softHyphen/>
        <w:t>еся без изменений, давало возможность разместить в бомбоотсеке до 2500 кг раз</w:t>
      </w:r>
      <w:r w:rsidRPr="007224C3">
        <w:rPr>
          <w:rFonts w:ascii="Times New Roman" w:cs="Times New Roman"/>
          <w:color w:val="000000" w:themeColor="text1"/>
          <w:spacing w:val="0"/>
        </w:rPr>
        <w:softHyphen/>
        <w:t>личных бомб, в том числе одну 2000 кг. На наружных подвесках бомбардировщик мог нести две бомбы по 1000 кг каждая. Для исключения касания земли воздуш</w:t>
      </w:r>
      <w:r w:rsidRPr="007224C3">
        <w:rPr>
          <w:rFonts w:ascii="Times New Roman" w:cs="Times New Roman"/>
          <w:color w:val="000000" w:themeColor="text1"/>
          <w:spacing w:val="0"/>
        </w:rPr>
        <w:softHyphen/>
        <w:t>ными винтами задних силовых устано</w:t>
      </w:r>
      <w:r w:rsidRPr="007224C3">
        <w:rPr>
          <w:rFonts w:ascii="Times New Roman" w:cs="Times New Roman"/>
          <w:color w:val="000000" w:themeColor="text1"/>
          <w:spacing w:val="0"/>
        </w:rPr>
        <w:softHyphen/>
        <w:t>вок на машине предусмотрели заднюю опорную стойку. Произошедшее измене</w:t>
      </w:r>
      <w:r w:rsidRPr="007224C3">
        <w:rPr>
          <w:rFonts w:ascii="Times New Roman" w:cs="Times New Roman"/>
          <w:color w:val="000000" w:themeColor="text1"/>
          <w:spacing w:val="0"/>
        </w:rPr>
        <w:softHyphen/>
        <w:t>ние конструкции и уточненные расчеты увеличили нормальную полетную массу самолета до 22500 кг и обеспечили ему возможность на высоте 9300 м совершать полет на дальность 2000 км с бомбовой нагрузкой 2000 кг и скоростью 760 км/ч. Состоявшаяся весной 1945 года макетная комиссия Заказчика дала положительное заключение по представленному маке</w:t>
      </w:r>
      <w:r w:rsidRPr="007224C3">
        <w:rPr>
          <w:rFonts w:ascii="Times New Roman" w:cs="Times New Roman"/>
          <w:color w:val="000000" w:themeColor="text1"/>
          <w:spacing w:val="0"/>
        </w:rPr>
        <w:softHyphen/>
        <w:t>ту, в то же время, сопроводив его целым рядом новых пожеланий по изменению компоновки кабины летчиков и усилению оборонительного вооружения (12740).</w:t>
      </w:r>
    </w:p>
    <w:p w14:paraId="7C8574F0" w14:textId="77777777" w:rsidR="00D70979" w:rsidRPr="007224C3" w:rsidRDefault="00D70979" w:rsidP="007224C3">
      <w:pPr>
        <w:pStyle w:val="27"/>
        <w:shd w:val="clear" w:color="auto" w:fill="auto"/>
        <w:spacing w:after="0" w:line="240" w:lineRule="auto"/>
        <w:ind w:firstLine="0"/>
        <w:rPr>
          <w:rFonts w:ascii="Times New Roman" w:cs="Times New Roman"/>
          <w:color w:val="000000" w:themeColor="text1"/>
          <w:spacing w:val="0"/>
        </w:rPr>
      </w:pPr>
    </w:p>
    <w:p w14:paraId="26E411C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 проходили гос. испытания Як-3 с ВК-107А (65,188).</w:t>
      </w:r>
    </w:p>
    <w:p w14:paraId="168BADA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90D04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 выпуск Як-3 составил 21,6% от общего выпуска машин заводом № 292, в июне - 52,7%, в июле - 98,1 %. 5 декабря завод выполнил план 1944 года на 108,5%, окончательно перейдя на изготовление Як-3.</w:t>
      </w:r>
    </w:p>
    <w:p w14:paraId="5992347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Первые машины, укомплектованные одной пушкой МП-20 и пулеметом БС, стали покидать сборочный цех в марте 1944 года. В таком виде было выпущено 12 серий самолетов. Затем истребители начали комплектоваться орудием МП-20 и двумя БСами.</w:t>
      </w:r>
    </w:p>
    <w:p w14:paraId="58F4884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Благодаря хорошему контролю вес самолета изменялся незначительно. Так, по имеющейся статистике, разница в весе пустых самолетов, выпушенных с ноября 1944-го по май 1945 года изменялась в пределах 5-6 кг (12047).</w:t>
      </w:r>
    </w:p>
    <w:p w14:paraId="381E23E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755242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 для освоения и войсковых испытаний Як-9Л (люкового, Як-9Б с бомбоотсеком на 4 ФАБ-100) создали 130 иад (п, ГСС Ф.И.Шинкаренко) в составе 168 иап, выведенного из 303 иад, и не имевшего боевого опыта 409 и 909 иап. 168 иап была подарена эскадрилья Москва (3950,38).</w:t>
      </w:r>
    </w:p>
    <w:p w14:paraId="1858929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FD253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 закончились гос. испытания Як-9Д N 0715306 с ВК-105ПФ N 335-1896, которые начались с апреля (809,11).</w:t>
      </w:r>
    </w:p>
    <w:p w14:paraId="42889D5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08286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 года на государственные испытания в НИИ ВВС передали опытный истребитель сопровождения Як-9ДД, созданный в соответствии с февральским 1944 года постановлением ГКО. Для этого на опытном заводе № 115 в Москве модифицировали серийный самолет Як-9Т № 09-89, выпущенный в декабре 1943 года заводом № 153 в Новосибирске.</w:t>
      </w:r>
    </w:p>
    <w:p w14:paraId="6A03F56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процессе переделки машины в крыле установили вместо четырех бензобаков общим объемом 420 литров - восемь, вмещавших 845 литров (по четыре в каждом полукрыле). Горючее, видимо, в первую очередь вырабатывалось из внешних консольных баков, что позволило сделать их без протекторов. Запас масла довели до 70 литров. Одновременно усилили нервюры с 13-й по 18-ю, установив под топливными баками люки. В верхней же части обшивки несущей поверхности "вырезали" шесть лючков под заливные горловины баков.</w:t>
      </w:r>
    </w:p>
    <w:p w14:paraId="34EA4A6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Вместо крупнокалиберной НС-37 поставили мотор-пушку МП-20 (ШВАК) с боезапасом 120 патронов, применив общий с пулеметами гильзо- и звеньесборник.</w:t>
      </w:r>
    </w:p>
    <w:p w14:paraId="1B35576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Государственные испытания Як-9ДД прошел с 24 июля по 2 августа. Ведущими на этом этапе были инженер М.А. Пронин и летчик Ю.А. Антипов. Облетали истребитель В.Е. Голофастов, П.М. Стефановский и А.Г. Прошаков. За 25 дней выполнили 36 полетов общей продолжительностью 42 часа 5 минут.</w:t>
      </w:r>
    </w:p>
    <w:p w14:paraId="6866687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мнению летчиков-испытателей, самолет по технике пилотирования, включая штопорные свойства, остался, в основном, таким же, как и серийный Як-9Д. Увеличилась длина разбега, а угол набора высоты заметно снизился. Возросло и время выполнения горизонтальных фигур пилотажа, ухудшилась вертикальная маневренность</w:t>
      </w:r>
    </w:p>
    <w:p w14:paraId="3BC2DF4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длительном полете (свыше двух часов) из-за высокого расположения педалей относительно сидения и неудобной бронеспинки пилот быстро утомлялся. В связи с этим военные испытатели высказали пожелание сделать спинку кресла отклоняемой назад до полулежачего положения летчика. Так как продолжительность полета Як-9ДЦ могла превысить шесть часов, то потребовали изыскать в кабине место для термоса и бортового пайка, разместить писсуар по типу американского истребителя "Киттихаук".</w:t>
      </w:r>
    </w:p>
    <w:p w14:paraId="3DFD2B5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 забыли и о средствах навигации и связи, потребовав от промышленности, в частности, установить радиостанцию, обеспечивающую устойчивую связь при полете машины на полную дальность, радиополукомпас и авиагоризонт.</w:t>
      </w:r>
    </w:p>
    <w:p w14:paraId="3473B1E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ходе испытаний 7 июня Ю.А. Антипов выполнил полет по маршруту Чкаловская - Сталинград - Чкаловская протяженностью по прямой 1800 км, следуя на высоте 1030 м со скоростью 351 км/ч.</w:t>
      </w:r>
    </w:p>
    <w:p w14:paraId="557D690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выводах "Акта по результатам государственных испытаний..." отмечалось, в частности:</w:t>
      </w:r>
    </w:p>
    <w:p w14:paraId="4731FCA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с данным запасом горючего соответствует назначению истребителя сопровождения и может быть использован как истребитель дальнего действия для самостоятельного выполнения задач в тылу противника летчиками, отлично подготовленными в штурманском отношении, при условии обеспечения указанными средствами навигации и связи, а также улучшения положения летчика в кабине" (12046).</w:t>
      </w:r>
    </w:p>
    <w:p w14:paraId="63B6F38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CA95FDA" w14:textId="77777777" w:rsidR="00AA1E7E" w:rsidRPr="007224C3" w:rsidRDefault="00AA1E7E" w:rsidP="007224C3">
      <w:pPr>
        <w:pStyle w:val="27"/>
        <w:shd w:val="clear" w:color="auto" w:fill="auto"/>
        <w:spacing w:after="0" w:line="240" w:lineRule="auto"/>
        <w:ind w:firstLine="0"/>
        <w:rPr>
          <w:rFonts w:ascii="Times New Roman" w:cs="Times New Roman"/>
          <w:color w:val="000000" w:themeColor="text1"/>
          <w:spacing w:val="0"/>
        </w:rPr>
      </w:pPr>
      <w:r w:rsidRPr="007224C3">
        <w:rPr>
          <w:rFonts w:ascii="Times New Roman" w:cs="Times New Roman"/>
          <w:color w:val="000000" w:themeColor="text1"/>
          <w:spacing w:val="0"/>
        </w:rPr>
        <w:t>В мае 1944 г. на испытания в НИИ ВВС пе</w:t>
      </w:r>
      <w:r w:rsidRPr="007224C3">
        <w:rPr>
          <w:rFonts w:ascii="Times New Roman" w:cs="Times New Roman"/>
          <w:color w:val="000000" w:themeColor="text1"/>
          <w:spacing w:val="0"/>
        </w:rPr>
        <w:softHyphen/>
        <w:t>редали истребитель сопровождения Як-9ДД, переделанный на заводе № 115 из серийного Як-9Т, выпущенного заводом № 153. В крыле установили вместо четырёх бензобаков во</w:t>
      </w:r>
      <w:r w:rsidRPr="007224C3">
        <w:rPr>
          <w:rFonts w:ascii="Times New Roman" w:cs="Times New Roman"/>
          <w:color w:val="000000" w:themeColor="text1"/>
          <w:spacing w:val="0"/>
        </w:rPr>
        <w:softHyphen/>
        <w:t>семь, вмещавших 845 л. Горючее в первую очередь вырабатывалось из внешних баков, что позволило отказаться от протекторов в них. Запас масла довели до 70 л. Одновре</w:t>
      </w:r>
      <w:r w:rsidRPr="007224C3">
        <w:rPr>
          <w:rFonts w:ascii="Times New Roman" w:cs="Times New Roman"/>
          <w:color w:val="000000" w:themeColor="text1"/>
          <w:spacing w:val="0"/>
        </w:rPr>
        <w:softHyphen/>
        <w:t>менно усилили нервюры крыла с 13-й по 18-ю, сделав под дополнительными баками люки. На верхней части обшивки находи</w:t>
      </w:r>
      <w:r w:rsidRPr="007224C3">
        <w:rPr>
          <w:rFonts w:ascii="Times New Roman" w:cs="Times New Roman"/>
          <w:color w:val="000000" w:themeColor="text1"/>
          <w:spacing w:val="0"/>
        </w:rPr>
        <w:softHyphen/>
        <w:t>лись шесть лючков под заливные горлови</w:t>
      </w:r>
      <w:r w:rsidRPr="007224C3">
        <w:rPr>
          <w:rFonts w:ascii="Times New Roman" w:cs="Times New Roman"/>
          <w:color w:val="000000" w:themeColor="text1"/>
          <w:spacing w:val="0"/>
        </w:rPr>
        <w:softHyphen/>
        <w:t>ны. Вместо НС-37 поставили пушку МП-20 с боезапасом 120 патронов, применив общий с пулемётами гильзо- и звеньесборник.</w:t>
      </w:r>
    </w:p>
    <w:p w14:paraId="08CF17EC" w14:textId="77777777" w:rsidR="00AA1E7E" w:rsidRPr="007224C3" w:rsidRDefault="00AA1E7E" w:rsidP="007224C3">
      <w:pPr>
        <w:pStyle w:val="27"/>
        <w:shd w:val="clear" w:color="auto" w:fill="auto"/>
        <w:spacing w:after="0" w:line="240" w:lineRule="auto"/>
        <w:ind w:firstLine="0"/>
        <w:rPr>
          <w:rFonts w:ascii="Times New Roman" w:cs="Times New Roman"/>
          <w:color w:val="000000" w:themeColor="text1"/>
          <w:spacing w:val="0"/>
        </w:rPr>
      </w:pPr>
      <w:r w:rsidRPr="007224C3">
        <w:rPr>
          <w:rFonts w:ascii="Times New Roman" w:cs="Times New Roman"/>
          <w:color w:val="000000" w:themeColor="text1"/>
          <w:spacing w:val="0"/>
        </w:rPr>
        <w:t>Госиспытания Як-9ДД прошёл с 24 ию</w:t>
      </w:r>
      <w:r w:rsidRPr="007224C3">
        <w:rPr>
          <w:rFonts w:ascii="Times New Roman" w:cs="Times New Roman"/>
          <w:color w:val="000000" w:themeColor="text1"/>
          <w:spacing w:val="0"/>
        </w:rPr>
        <w:softHyphen/>
        <w:t>ля по 2 августа. Ведущими были инженер М.А. Пронин и лётчик Ю.А. Антипов. Об</w:t>
      </w:r>
      <w:r w:rsidRPr="007224C3">
        <w:rPr>
          <w:rFonts w:ascii="Times New Roman" w:cs="Times New Roman"/>
          <w:color w:val="000000" w:themeColor="text1"/>
          <w:spacing w:val="0"/>
        </w:rPr>
        <w:softHyphen/>
        <w:t>летали истребитель также В.Е. Голофас- тов, П.М. Стефановский и А.Г. Прошаков. За 25 дней выполнили 36 полётов общей продолжительностью 42 ч 5 мин.</w:t>
      </w:r>
    </w:p>
    <w:p w14:paraId="0BD5779A" w14:textId="77777777" w:rsidR="00AA1E7E" w:rsidRPr="007224C3" w:rsidRDefault="00AA1E7E" w:rsidP="007224C3">
      <w:pPr>
        <w:pStyle w:val="27"/>
        <w:shd w:val="clear" w:color="auto" w:fill="auto"/>
        <w:spacing w:after="0" w:line="240" w:lineRule="auto"/>
        <w:ind w:firstLine="0"/>
        <w:rPr>
          <w:rFonts w:ascii="Times New Roman" w:cs="Times New Roman"/>
          <w:color w:val="000000" w:themeColor="text1"/>
          <w:spacing w:val="0"/>
        </w:rPr>
      </w:pPr>
      <w:r w:rsidRPr="007224C3">
        <w:rPr>
          <w:rFonts w:ascii="Times New Roman" w:cs="Times New Roman"/>
          <w:color w:val="000000" w:themeColor="text1"/>
          <w:spacing w:val="0"/>
        </w:rPr>
        <w:t>По мнению испытателей, самолёт по тех</w:t>
      </w:r>
      <w:r w:rsidRPr="007224C3">
        <w:rPr>
          <w:rFonts w:ascii="Times New Roman" w:cs="Times New Roman"/>
          <w:color w:val="000000" w:themeColor="text1"/>
          <w:spacing w:val="0"/>
        </w:rPr>
        <w:softHyphen/>
        <w:t>нике пилотирования, включая штопорные свойства, остался в основном таким же, как серийный Як-9Д. Увеличилась длина разбега, а угол набора высоты заметно сни</w:t>
      </w:r>
      <w:r w:rsidRPr="007224C3">
        <w:rPr>
          <w:rFonts w:ascii="Times New Roman" w:cs="Times New Roman"/>
          <w:color w:val="000000" w:themeColor="text1"/>
          <w:spacing w:val="0"/>
        </w:rPr>
        <w:softHyphen/>
        <w:t>зился. Возросло и время выполнения гори</w:t>
      </w:r>
      <w:r w:rsidRPr="007224C3">
        <w:rPr>
          <w:rFonts w:ascii="Times New Roman" w:cs="Times New Roman"/>
          <w:color w:val="000000" w:themeColor="text1"/>
          <w:spacing w:val="0"/>
        </w:rPr>
        <w:softHyphen/>
        <w:t>зонтальных фигур пилотажа, ухудшилась вертикальная манёвренность.</w:t>
      </w:r>
    </w:p>
    <w:p w14:paraId="175A11A2" w14:textId="77777777" w:rsidR="00AA1E7E" w:rsidRPr="007224C3" w:rsidRDefault="00AA1E7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длительном полёте из-за высокого рас</w:t>
      </w:r>
      <w:r w:rsidRPr="007224C3">
        <w:rPr>
          <w:rFonts w:ascii="Times New Roman" w:hAnsi="Times New Roman"/>
          <w:color w:val="000000" w:themeColor="text1"/>
          <w:sz w:val="16"/>
          <w:szCs w:val="16"/>
        </w:rPr>
        <w:softHyphen/>
        <w:t>положения педалей относительно сиденья и неудобной бронеспинки пилот быстро утомлялся. В связи с этим рекомендова</w:t>
      </w:r>
      <w:r w:rsidRPr="007224C3">
        <w:rPr>
          <w:rFonts w:ascii="Times New Roman" w:hAnsi="Times New Roman"/>
          <w:color w:val="000000" w:themeColor="text1"/>
          <w:sz w:val="16"/>
          <w:szCs w:val="16"/>
        </w:rPr>
        <w:softHyphen/>
        <w:t>ли сделать спинку отклоняемой назад до полулежачего положения лётчика. Так как продолжительность полёта Як-9ДД могла превысить шесть часов, то потребовали изыскать в кабине место для термоса и бортового пайка, разместить писсуар по типу американского истребителя «Китти- хаук», установить радиостанцию, обеспе</w:t>
      </w:r>
      <w:r w:rsidRPr="007224C3">
        <w:rPr>
          <w:rFonts w:ascii="Times New Roman" w:hAnsi="Times New Roman"/>
          <w:color w:val="000000" w:themeColor="text1"/>
          <w:sz w:val="16"/>
          <w:szCs w:val="16"/>
        </w:rPr>
        <w:softHyphen/>
        <w:t>чивающую устойчивую связь при полёте на полную дальность, радиополукомпас и авиагоризонт.</w:t>
      </w:r>
    </w:p>
    <w:p w14:paraId="756340A6" w14:textId="77777777" w:rsidR="00AA1E7E" w:rsidRPr="007224C3" w:rsidRDefault="00AA1E7E" w:rsidP="007224C3">
      <w:pPr>
        <w:pStyle w:val="27"/>
        <w:shd w:val="clear" w:color="auto" w:fill="auto"/>
        <w:spacing w:after="0" w:line="240" w:lineRule="auto"/>
        <w:ind w:firstLine="0"/>
        <w:rPr>
          <w:rFonts w:ascii="Times New Roman" w:cs="Times New Roman"/>
          <w:color w:val="000000" w:themeColor="text1"/>
          <w:spacing w:val="0"/>
        </w:rPr>
      </w:pPr>
      <w:r w:rsidRPr="007224C3">
        <w:rPr>
          <w:rFonts w:ascii="Times New Roman" w:cs="Times New Roman"/>
          <w:color w:val="000000" w:themeColor="text1"/>
          <w:spacing w:val="0"/>
        </w:rPr>
        <w:t>В ходе испытаний 7 июня Антипов вы</w:t>
      </w:r>
      <w:r w:rsidRPr="007224C3">
        <w:rPr>
          <w:rFonts w:ascii="Times New Roman" w:cs="Times New Roman"/>
          <w:color w:val="000000" w:themeColor="text1"/>
          <w:spacing w:val="0"/>
        </w:rPr>
        <w:softHyphen/>
        <w:t>полнил полёт протяжённостью по прямой 1800 км, следуя на высоте 1030 м со ско</w:t>
      </w:r>
      <w:r w:rsidRPr="007224C3">
        <w:rPr>
          <w:rFonts w:ascii="Times New Roman" w:cs="Times New Roman"/>
          <w:color w:val="000000" w:themeColor="text1"/>
          <w:spacing w:val="0"/>
        </w:rPr>
        <w:softHyphen/>
        <w:t>ростью 351 км/ч.</w:t>
      </w:r>
    </w:p>
    <w:p w14:paraId="7BB42779" w14:textId="77777777" w:rsidR="00AA1E7E" w:rsidRPr="007224C3" w:rsidRDefault="00AA1E7E" w:rsidP="007224C3">
      <w:pPr>
        <w:pStyle w:val="27"/>
        <w:shd w:val="clear" w:color="auto" w:fill="auto"/>
        <w:spacing w:after="0" w:line="240" w:lineRule="auto"/>
        <w:ind w:firstLine="0"/>
        <w:rPr>
          <w:rFonts w:ascii="Times New Roman" w:cs="Times New Roman"/>
          <w:color w:val="000000" w:themeColor="text1"/>
          <w:spacing w:val="0"/>
        </w:rPr>
      </w:pPr>
      <w:r w:rsidRPr="007224C3">
        <w:rPr>
          <w:rFonts w:ascii="Times New Roman" w:cs="Times New Roman"/>
          <w:color w:val="000000" w:themeColor="text1"/>
          <w:spacing w:val="0"/>
        </w:rPr>
        <w:t>В выводах акта по результатам испыта</w:t>
      </w:r>
      <w:r w:rsidRPr="007224C3">
        <w:rPr>
          <w:rFonts w:ascii="Times New Roman" w:cs="Times New Roman"/>
          <w:color w:val="000000" w:themeColor="text1"/>
          <w:spacing w:val="0"/>
        </w:rPr>
        <w:softHyphen/>
        <w:t>ний отмечалось: «Самолёт с данным за</w:t>
      </w:r>
      <w:r w:rsidRPr="007224C3">
        <w:rPr>
          <w:rFonts w:ascii="Times New Roman" w:cs="Times New Roman"/>
          <w:color w:val="000000" w:themeColor="text1"/>
          <w:spacing w:val="0"/>
        </w:rPr>
        <w:softHyphen/>
        <w:t>пасом горючего соответствует назначению истребителя сопровождения и может быть использован как истребитель дальнего действия для самостоятельного выполне</w:t>
      </w:r>
      <w:r w:rsidRPr="007224C3">
        <w:rPr>
          <w:rFonts w:ascii="Times New Roman" w:cs="Times New Roman"/>
          <w:color w:val="000000" w:themeColor="text1"/>
          <w:spacing w:val="0"/>
        </w:rPr>
        <w:softHyphen/>
        <w:t>ния задач в тылу противника лётчиками, отлично подготовленными в штурманском отношении, при условии обеспечения ука</w:t>
      </w:r>
      <w:r w:rsidRPr="007224C3">
        <w:rPr>
          <w:rFonts w:ascii="Times New Roman" w:cs="Times New Roman"/>
          <w:color w:val="000000" w:themeColor="text1"/>
          <w:spacing w:val="0"/>
        </w:rPr>
        <w:softHyphen/>
        <w:t>занными средствами навигации и связи, а также улучшения положения лётчика в кабине».</w:t>
      </w:r>
    </w:p>
    <w:p w14:paraId="495B40DF" w14:textId="77777777" w:rsidR="00AA1E7E" w:rsidRPr="007224C3" w:rsidRDefault="00AA1E7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завод в Омске отправил первые самолёты на фронт; по сентябрь 1945 г. промышленность сдала 399 Як-9ДД (19103).</w:t>
      </w:r>
    </w:p>
    <w:p w14:paraId="4CD484DA" w14:textId="77777777" w:rsidR="00AA1E7E" w:rsidRPr="007224C3" w:rsidRDefault="00AA1E7E" w:rsidP="007224C3">
      <w:pPr>
        <w:spacing w:after="0" w:line="240" w:lineRule="auto"/>
        <w:jc w:val="both"/>
        <w:rPr>
          <w:rFonts w:ascii="Times New Roman" w:hAnsi="Times New Roman"/>
          <w:color w:val="000000" w:themeColor="text1"/>
          <w:sz w:val="16"/>
          <w:szCs w:val="16"/>
        </w:rPr>
      </w:pPr>
    </w:p>
    <w:p w14:paraId="0FF970D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 завод в Омске отправил первые самолеты ЯкДД на фронт, и по сентябрь 1945 года промышленность сдала заказчику 399 Як-9ДД. Сорок машин первых двух серий участвовали в войсковых испытаниях, проходивших с 9 марта по 25 апреля 1945 года в 368-м иап (командир М.К. Жулин) 334-й иад 6-го бомбардировочного авиакорпуса.</w:t>
      </w:r>
    </w:p>
    <w:p w14:paraId="6F6BCE0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"Войсковые испытания, - писал ведущий инженер НИИ ВВС А.Т. Степанец, - проходили в период ликвидации группировок противника в Восточной Пруссии и проведения наступательных операций в центральной Германии на города Штеттин и Берлин. Воздушные бои приходилось вести преимущественно с FW-190. Як-9ДД использовались в основном для сопровождения бомбардировщиков Пе-2 и Ту-2, действовавших на малых высотах по переднему краю обороны противника, и поэтому не могли полностью проявить себя. В частности они не вполне удовлетворяли требованиям, предъявлявшимся к истребителям сопровождения такого скоростного бомбардировщика, как Ту-2 по следующим причинам:</w:t>
      </w:r>
    </w:p>
    <w:p w14:paraId="15CC23D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Относительно малая максимальная скорость. При полете Ту-2 на максимальной скорости Як-9ДД не имели необходимого преимущества (на 25-30%) для совместных действий, особенно в моменты ухода Ту-2 от цели отражения атак противника. Для устранения этого недостатка Як-9ДД, как истребителя сопровождения, необходимо было улучшить его аэродинамику по типу Як-9У и Як-3 и установить на нем более мощный двигатель, например М-105ПФ2, но этот двигатель обладал недостаточной, по сравнению с двигателями Ту-2, высотностью.</w:t>
      </w:r>
    </w:p>
    <w:p w14:paraId="53887AA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 Заниженная скороподъемность и недостаточная маневренность, особенно при полной полетной массе.</w:t>
      </w:r>
    </w:p>
    <w:p w14:paraId="35D70AD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Ухудшившаяся живучесть из-за установки центропланного бензобака (90 литров) под ногами летчика и отсутствия протекторов на крайних консольных бензобаках. Живучесть самолета ухудшилась и вследствие большой площади поражения восьми бензобаков в крыле.</w:t>
      </w:r>
    </w:p>
    <w:p w14:paraId="15C7218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Большая полетная масса, большой разнос масс, а также малая мощность двигателя являлись главными причинами ухудшения летно-пилотажных и маневренных качеств Як-9ДД. Поэтому летчики относились к Як-9ДД сдержанно, называя его между собой "летающая цистерна" (12046).</w:t>
      </w:r>
    </w:p>
    <w:p w14:paraId="135E594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594418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мая 1944 г. по июнь 1945 г. серийно выпускался Як-9М. Общее число построенных самолетов составило 4239 экземпляров. В строевых частях, да и во многих официаль</w:t>
      </w:r>
      <w:r w:rsidRPr="007224C3">
        <w:rPr>
          <w:rFonts w:ascii="Times New Roman" w:hAnsi="Times New Roman"/>
          <w:color w:val="000000" w:themeColor="text1"/>
          <w:sz w:val="16"/>
          <w:szCs w:val="16"/>
        </w:rPr>
        <w:softHyphen/>
        <w:t>ных документах тех лет, Як-9М, подобно Як-9Д, чаще называли просто Як-9. По своим летным и пилотажным харак</w:t>
      </w:r>
      <w:r w:rsidRPr="007224C3">
        <w:rPr>
          <w:rFonts w:ascii="Times New Roman" w:hAnsi="Times New Roman"/>
          <w:color w:val="000000" w:themeColor="text1"/>
          <w:sz w:val="16"/>
          <w:szCs w:val="16"/>
        </w:rPr>
        <w:softHyphen/>
        <w:t>теристикам Як-9М вначале почти не отли</w:t>
      </w:r>
      <w:r w:rsidRPr="007224C3">
        <w:rPr>
          <w:rFonts w:ascii="Times New Roman" w:hAnsi="Times New Roman"/>
          <w:color w:val="000000" w:themeColor="text1"/>
          <w:sz w:val="16"/>
          <w:szCs w:val="16"/>
        </w:rPr>
        <w:softHyphen/>
        <w:t>чался от Як-9Д. Но в конце 1944 г. на само</w:t>
      </w:r>
      <w:r w:rsidRPr="007224C3">
        <w:rPr>
          <w:rFonts w:ascii="Times New Roman" w:hAnsi="Times New Roman"/>
          <w:color w:val="000000" w:themeColor="text1"/>
          <w:sz w:val="16"/>
          <w:szCs w:val="16"/>
        </w:rPr>
        <w:softHyphen/>
        <w:t>лет начали устанавливать более мощный и менее высотный мотор ВК-105ПФ-2, что дало некоторое увеличение скорости и улучшение скороподъемности на неболь</w:t>
      </w:r>
      <w:r w:rsidRPr="007224C3">
        <w:rPr>
          <w:rFonts w:ascii="Times New Roman" w:hAnsi="Times New Roman"/>
          <w:color w:val="000000" w:themeColor="text1"/>
          <w:sz w:val="16"/>
          <w:szCs w:val="16"/>
        </w:rPr>
        <w:softHyphen/>
        <w:t>шой высоте. К сожалению, летные харак</w:t>
      </w:r>
      <w:r w:rsidRPr="007224C3">
        <w:rPr>
          <w:rFonts w:ascii="Times New Roman" w:hAnsi="Times New Roman"/>
          <w:color w:val="000000" w:themeColor="text1"/>
          <w:sz w:val="16"/>
          <w:szCs w:val="16"/>
        </w:rPr>
        <w:softHyphen/>
        <w:t>теристики Як-9М с ВК-105ПФ-2 пока обнаружить не удалось. Возможно, самолет просто не проходил испытаний на определение летных данных(10712).</w:t>
      </w:r>
    </w:p>
    <w:p w14:paraId="43A2A31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158B64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мая 1944 года Як-9М запустили в серийное производство на заводе № 153. По технике пилотирования Як-9М не отличался от предшественников, а при посадке и рулежках появилась возможность активнее пользоваться тормозами из-за возросшего противокапотажного угла.</w:t>
      </w:r>
    </w:p>
    <w:p w14:paraId="535494D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Фюзеляж Як-9Т использовали не только в унифицированном истребителе, но и в Як-9М и Як-9С. Первым построили Як-9М. Известны два варианта этого истребителя, построенных на базе Як-9Д и Як-9Т, выпускавшихся в Новосибирске с двигателями ВК-105ПФ и винтами ВИШ-104СВ-01, для фронтовой авиации и для авиации противовоздушной обороны - Як-9МПВО. Этот самолет оказался очень выгодным в производстве, поскольку использовались излишки фюзеляжей и крыльев предшественников, что не нарушало ритм работы агрегатных цехов завода № 153. Но на этом отличия Як-9М от серийных машин не закончились.</w:t>
      </w:r>
    </w:p>
    <w:p w14:paraId="6EDF8D1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Прежде всего, на Як-9М усилили крыло, заменив обшивку более толстой из бакелитовой фанеры, и привели его в соответствие с действовавшими нормами прочности. Существенной доработке подверглась силовая установка. На ней установили автомат регулирования температуры воды АРТ-41, а на входе в карбюратор - воздушный фильтр. Тогда же на подвижной части фонаря появился механизм аварийного сброса, а управление радиостанцией сделали кнопочным (12046).</w:t>
      </w:r>
    </w:p>
    <w:p w14:paraId="1133BA8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8871ED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 года омские авиастроители сдали заказчику 90 Як-9У, а завод № 82 - 50 машин (12046).</w:t>
      </w:r>
    </w:p>
    <w:p w14:paraId="42B5E8A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7AA44E0" w14:textId="77777777" w:rsidR="006E5527" w:rsidRPr="007224C3" w:rsidRDefault="006E552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 г. вывели с фронта с целью переподготовки для действий методом свободной охоты 9-й ГИАП, в рядах которого выросли та</w:t>
      </w:r>
      <w:r w:rsidRPr="007224C3">
        <w:rPr>
          <w:rFonts w:ascii="Times New Roman" w:hAnsi="Times New Roman"/>
          <w:color w:val="000000" w:themeColor="text1"/>
          <w:sz w:val="16"/>
          <w:szCs w:val="16"/>
        </w:rPr>
        <w:softHyphen/>
        <w:t>кие прославленные асы, как А.В. Алелюхин, В.Д. Лавриненков, Амет-Хан Султан и др.</w:t>
      </w:r>
    </w:p>
    <w:p w14:paraId="3A211DCB" w14:textId="77777777" w:rsidR="006E5527" w:rsidRPr="007224C3" w:rsidRDefault="006E552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Как вспоминал ветеран полка Герой Советского Союза А.Ф. Ковачевич, «по прилёту ко</w:t>
      </w:r>
      <w:r w:rsidRPr="007224C3">
        <w:rPr>
          <w:rFonts w:ascii="Times New Roman" w:hAnsi="Times New Roman"/>
          <w:color w:val="000000" w:themeColor="text1"/>
          <w:sz w:val="16"/>
          <w:szCs w:val="16"/>
        </w:rPr>
        <w:softHyphen/>
        <w:t>мандир полка подполковник А.А. Морозов доложил лично главкому маршалу А.А. Нови</w:t>
      </w:r>
      <w:r w:rsidRPr="007224C3">
        <w:rPr>
          <w:rFonts w:ascii="Times New Roman" w:hAnsi="Times New Roman"/>
          <w:color w:val="000000" w:themeColor="text1"/>
          <w:sz w:val="16"/>
          <w:szCs w:val="16"/>
        </w:rPr>
        <w:softHyphen/>
        <w:t>кову о прибытии. Последний принял решение перевооружить часть новейшими истре</w:t>
      </w:r>
      <w:r w:rsidRPr="007224C3">
        <w:rPr>
          <w:rFonts w:ascii="Times New Roman" w:hAnsi="Times New Roman"/>
          <w:color w:val="000000" w:themeColor="text1"/>
          <w:sz w:val="16"/>
          <w:szCs w:val="16"/>
        </w:rPr>
        <w:softHyphen/>
        <w:t>бителями А.С. Яковлева. Как потом выяснилось, речь шла о Як-3. В моём присутствии — в то время заместителя командира полка — Новиков связался по телефону с Яковле</w:t>
      </w:r>
      <w:r w:rsidRPr="007224C3">
        <w:rPr>
          <w:rFonts w:ascii="Times New Roman" w:hAnsi="Times New Roman"/>
          <w:color w:val="000000" w:themeColor="text1"/>
          <w:sz w:val="16"/>
          <w:szCs w:val="16"/>
        </w:rPr>
        <w:softHyphen/>
        <w:t>вым. Несколько только что построенных Як-3 мы получили из Саратова. Я облетал од</w:t>
      </w:r>
      <w:r w:rsidRPr="007224C3">
        <w:rPr>
          <w:rFonts w:ascii="Times New Roman" w:hAnsi="Times New Roman"/>
          <w:color w:val="000000" w:themeColor="text1"/>
          <w:sz w:val="16"/>
          <w:szCs w:val="16"/>
        </w:rPr>
        <w:softHyphen/>
        <w:t>ну машину, а вскоре мы с А. Алелюхиным провели учебные воздушные бои с пересадкой пилотов на Як-3 и Ме-109Г (модификацию не помню).</w:t>
      </w:r>
    </w:p>
    <w:p w14:paraId="2380B51D" w14:textId="77777777" w:rsidR="006E5527" w:rsidRPr="007224C3" w:rsidRDefault="006E552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Новый самолёт Яковлева продемонстрировал отличную управляемость, легкость и по</w:t>
      </w:r>
      <w:r w:rsidRPr="007224C3">
        <w:rPr>
          <w:rFonts w:ascii="Times New Roman" w:hAnsi="Times New Roman"/>
          <w:color w:val="000000" w:themeColor="text1"/>
          <w:sz w:val="16"/>
          <w:szCs w:val="16"/>
        </w:rPr>
        <w:softHyphen/>
        <w:t>слушность в пилотировании («пилотажная машина»). Но его двигатель — всё тот же М-105ПФ, только ещё более форсированный. Следовательно, его надёжность обяза</w:t>
      </w:r>
      <w:r w:rsidRPr="007224C3">
        <w:rPr>
          <w:rFonts w:ascii="Times New Roman" w:hAnsi="Times New Roman"/>
          <w:color w:val="000000" w:themeColor="text1"/>
          <w:sz w:val="16"/>
          <w:szCs w:val="16"/>
        </w:rPr>
        <w:softHyphen/>
        <w:t>тельно снизится. Наш полк много времени проводил за выполнением «свободной охо</w:t>
      </w:r>
      <w:r w:rsidRPr="007224C3">
        <w:rPr>
          <w:rFonts w:ascii="Times New Roman" w:hAnsi="Times New Roman"/>
          <w:color w:val="000000" w:themeColor="text1"/>
          <w:sz w:val="16"/>
          <w:szCs w:val="16"/>
        </w:rPr>
        <w:softHyphen/>
        <w:t>ты» над территорией противника и планировал впредь заниматься подобной работой. В 100-150 км за линией фронта любая пробоина водосистемы может оказаться фаталь</w:t>
      </w:r>
      <w:r w:rsidRPr="007224C3">
        <w:rPr>
          <w:rFonts w:ascii="Times New Roman" w:hAnsi="Times New Roman"/>
          <w:color w:val="000000" w:themeColor="text1"/>
          <w:sz w:val="16"/>
          <w:szCs w:val="16"/>
        </w:rPr>
        <w:softHyphen/>
        <w:t>ной. В то же время на Ла-5 я неоднократно прилетал с десятками пробоин, а один раз осколки зенитного снаряда разбили всю внешнюю «звезду», и всё же мне посчастливи</w:t>
      </w:r>
      <w:r w:rsidRPr="007224C3">
        <w:rPr>
          <w:rFonts w:ascii="Times New Roman" w:hAnsi="Times New Roman"/>
          <w:color w:val="000000" w:themeColor="text1"/>
          <w:sz w:val="16"/>
          <w:szCs w:val="16"/>
        </w:rPr>
        <w:softHyphen/>
        <w:t>лось вернуться на аэродром и приземлиться.</w:t>
      </w:r>
    </w:p>
    <w:p w14:paraId="1BB0CE23" w14:textId="77777777" w:rsidR="006E5527" w:rsidRPr="007224C3" w:rsidRDefault="006E552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 отказался от Як-3, того же мнения придерживался и Морозов: «Дайте нам Ла-5». Узнав о нашем решении, Яковлев отреагировал: «Если лётчики не хотят брать «Яки», то это г..., а не сталинские асы». Но Новиков возразил, что речь идёт о его лучших воз</w:t>
      </w:r>
      <w:r w:rsidRPr="007224C3">
        <w:rPr>
          <w:rFonts w:ascii="Times New Roman" w:hAnsi="Times New Roman"/>
          <w:color w:val="000000" w:themeColor="text1"/>
          <w:sz w:val="16"/>
          <w:szCs w:val="16"/>
        </w:rPr>
        <w:softHyphen/>
        <w:t>душных бойцах. На том разговор не закончился, поскольку главком ВВС оперативно связался с С.А. Лавочкиным. Он запросил у главного конструктора партию новейших истребителей для вооружения части. О новых Ла-7 мы ещё ничего не знали...» (15829).</w:t>
      </w:r>
    </w:p>
    <w:p w14:paraId="68E0DBD2" w14:textId="77777777" w:rsidR="006E5527" w:rsidRPr="007224C3" w:rsidRDefault="006E5527" w:rsidP="007224C3">
      <w:pPr>
        <w:spacing w:after="0" w:line="240" w:lineRule="auto"/>
        <w:jc w:val="both"/>
        <w:rPr>
          <w:rFonts w:ascii="Times New Roman" w:hAnsi="Times New Roman"/>
          <w:color w:val="000000" w:themeColor="text1"/>
          <w:sz w:val="16"/>
          <w:szCs w:val="16"/>
        </w:rPr>
      </w:pPr>
    </w:p>
    <w:p w14:paraId="155DEF98" w14:textId="77777777" w:rsidR="00D70979" w:rsidRPr="007224C3" w:rsidRDefault="00D70979" w:rsidP="007224C3">
      <w:pPr>
        <w:pStyle w:val="27"/>
        <w:shd w:val="clear" w:color="auto" w:fill="auto"/>
        <w:spacing w:after="0" w:line="240" w:lineRule="auto"/>
        <w:ind w:firstLine="0"/>
        <w:rPr>
          <w:rFonts w:ascii="Times New Roman" w:cs="Times New Roman"/>
          <w:color w:val="000000" w:themeColor="text1"/>
          <w:spacing w:val="0"/>
        </w:rPr>
      </w:pPr>
      <w:r w:rsidRPr="007224C3">
        <w:rPr>
          <w:rFonts w:ascii="Times New Roman" w:cs="Times New Roman"/>
          <w:color w:val="000000" w:themeColor="text1"/>
          <w:spacing w:val="0"/>
        </w:rPr>
        <w:t>В мае 1944 г. первые Як-9У передали в 42-й гв. ИАП для фронтовых испытаний. К сожалению, из-за все еще нерешенных проблем с двигателями, полк оказался фактически небоеспособен и его оставили в резерве Ставки ВГК, так и не решившись отправить на фронт. В итоге, войсковые испытания Як-9У проходили уже в октябре 1944 г. в Прибалтике, в составе 336-й ИАД 163 ИАК 3-й ВА. К декабрю 1944 г. характеристики Як-9У были признаны «в целом удовлет</w:t>
      </w:r>
      <w:r w:rsidRPr="007224C3">
        <w:rPr>
          <w:rFonts w:ascii="Times New Roman" w:cs="Times New Roman"/>
          <w:color w:val="000000" w:themeColor="text1"/>
          <w:spacing w:val="0"/>
        </w:rPr>
        <w:softHyphen/>
        <w:t>ворительными», но, опять-таки, с массой оговорок. Отмечался крайне напряженный тепловой режим, вибрация и дымление двигателя, постоянный выход из строя свечей (после 10-12 ч работы) и отстава</w:t>
      </w:r>
      <w:r w:rsidRPr="007224C3">
        <w:rPr>
          <w:rFonts w:ascii="Times New Roman" w:cs="Times New Roman"/>
          <w:color w:val="000000" w:themeColor="text1"/>
          <w:spacing w:val="0"/>
        </w:rPr>
        <w:softHyphen/>
        <w:t>ние обшивки крыльев (производственный дефект, свойственный не только Як-9У, но и другим Якам смешанной конструкции) из-за чего в приказном порядке были вве</w:t>
      </w:r>
      <w:r w:rsidRPr="007224C3">
        <w:rPr>
          <w:rFonts w:ascii="Times New Roman" w:cs="Times New Roman"/>
          <w:color w:val="000000" w:themeColor="text1"/>
          <w:spacing w:val="0"/>
        </w:rPr>
        <w:softHyphen/>
        <w:t>дены ограничения по скорости (особенно по скорости пикирования). При эксплуата</w:t>
      </w:r>
      <w:r w:rsidRPr="007224C3">
        <w:rPr>
          <w:rFonts w:ascii="Times New Roman" w:cs="Times New Roman"/>
          <w:color w:val="000000" w:themeColor="text1"/>
          <w:spacing w:val="0"/>
        </w:rPr>
        <w:softHyphen/>
        <w:t>ции в частях боевой режим работы мотора на всех серийных Як-9У был исключен. В результате все летные характеристики самолета снизились. Но вот что интересно: Самолет все равно оставался одним из самых скоростных и маневренных совет</w:t>
      </w:r>
      <w:r w:rsidRPr="007224C3">
        <w:rPr>
          <w:rFonts w:ascii="Times New Roman" w:cs="Times New Roman"/>
          <w:color w:val="000000" w:themeColor="text1"/>
          <w:spacing w:val="0"/>
        </w:rPr>
        <w:softHyphen/>
        <w:t>ских истребителей и по своим летным данным был близок к более легкому Як-3, имея полное превосходство над истреби</w:t>
      </w:r>
      <w:r w:rsidRPr="007224C3">
        <w:rPr>
          <w:rFonts w:ascii="Times New Roman" w:cs="Times New Roman"/>
          <w:color w:val="000000" w:themeColor="text1"/>
          <w:spacing w:val="0"/>
        </w:rPr>
        <w:softHyphen/>
        <w:t>телями противника. Это превосходство подтвердили войсковые испытания: в 19 воздушных боях летчики Як-9У сбили 27 Р™</w:t>
      </w:r>
      <w:r w:rsidRPr="007224C3">
        <w:rPr>
          <w:rStyle w:val="8pt0"/>
          <w:rFonts w:ascii="Times New Roman" w:hAnsi="Times New Roman" w:cs="Times New Roman"/>
          <w:color w:val="000000" w:themeColor="text1"/>
        </w:rPr>
        <w:t xml:space="preserve"> 1</w:t>
      </w:r>
      <w:r w:rsidRPr="007224C3">
        <w:rPr>
          <w:rFonts w:ascii="Times New Roman" w:cs="Times New Roman"/>
          <w:color w:val="000000" w:themeColor="text1"/>
          <w:spacing w:val="0"/>
        </w:rPr>
        <w:t>90</w:t>
      </w:r>
      <w:r w:rsidRPr="007224C3">
        <w:rPr>
          <w:rStyle w:val="8pt0"/>
          <w:rFonts w:ascii="Times New Roman" w:hAnsi="Times New Roman" w:cs="Times New Roman"/>
          <w:color w:val="000000" w:themeColor="text1"/>
        </w:rPr>
        <w:t xml:space="preserve"> и один</w:t>
      </w:r>
      <w:r w:rsidRPr="007224C3">
        <w:rPr>
          <w:rFonts w:ascii="Times New Roman" w:cs="Times New Roman"/>
          <w:color w:val="000000" w:themeColor="text1"/>
          <w:spacing w:val="0"/>
        </w:rPr>
        <w:t xml:space="preserve"> В! 109, потеряв лишь два самолета. Всего до конца 1944 г. ВВС Красной армии получили 1134 Як-9У.</w:t>
      </w:r>
    </w:p>
    <w:p w14:paraId="4FBD47B3" w14:textId="77777777" w:rsidR="00D70979" w:rsidRPr="007224C3" w:rsidRDefault="00D70979" w:rsidP="007224C3">
      <w:pPr>
        <w:pStyle w:val="27"/>
        <w:shd w:val="clear" w:color="auto" w:fill="auto"/>
        <w:spacing w:after="0" w:line="240" w:lineRule="auto"/>
        <w:ind w:firstLine="0"/>
        <w:rPr>
          <w:rFonts w:ascii="Times New Roman" w:cs="Times New Roman"/>
          <w:color w:val="000000" w:themeColor="text1"/>
          <w:spacing w:val="0"/>
        </w:rPr>
      </w:pPr>
      <w:r w:rsidRPr="007224C3">
        <w:rPr>
          <w:rFonts w:ascii="Times New Roman" w:cs="Times New Roman"/>
          <w:color w:val="000000" w:themeColor="text1"/>
          <w:spacing w:val="0"/>
        </w:rPr>
        <w:t>С начала 1945 г. Як-9У во все возрас</w:t>
      </w:r>
      <w:r w:rsidRPr="007224C3">
        <w:rPr>
          <w:rFonts w:ascii="Times New Roman" w:cs="Times New Roman"/>
          <w:color w:val="000000" w:themeColor="text1"/>
          <w:spacing w:val="0"/>
        </w:rPr>
        <w:softHyphen/>
        <w:t>тающих количествах начали поступать в строевые части. А всего до августа 1945 г. промышленность произвела 3921 само</w:t>
      </w:r>
      <w:r w:rsidRPr="007224C3">
        <w:rPr>
          <w:rFonts w:ascii="Times New Roman" w:cs="Times New Roman"/>
          <w:color w:val="000000" w:themeColor="text1"/>
          <w:spacing w:val="0"/>
        </w:rPr>
        <w:softHyphen/>
        <w:t>лет этого типа, включая две сотни Як-9УТ с усиленным вооружением.</w:t>
      </w:r>
    </w:p>
    <w:p w14:paraId="2B7481AF" w14:textId="77777777" w:rsidR="00D70979" w:rsidRPr="007224C3" w:rsidRDefault="00D70979" w:rsidP="007224C3">
      <w:pPr>
        <w:pStyle w:val="27"/>
        <w:shd w:val="clear" w:color="auto" w:fill="auto"/>
        <w:spacing w:after="0" w:line="240" w:lineRule="auto"/>
        <w:ind w:firstLine="0"/>
        <w:rPr>
          <w:rFonts w:ascii="Times New Roman" w:cs="Times New Roman"/>
          <w:color w:val="000000" w:themeColor="text1"/>
          <w:spacing w:val="0"/>
        </w:rPr>
      </w:pPr>
      <w:r w:rsidRPr="007224C3">
        <w:rPr>
          <w:rFonts w:ascii="Times New Roman" w:cs="Times New Roman"/>
          <w:color w:val="000000" w:themeColor="text1"/>
          <w:spacing w:val="0"/>
        </w:rPr>
        <w:t>К сожалению, все недостатки винто</w:t>
      </w:r>
      <w:r w:rsidRPr="007224C3">
        <w:rPr>
          <w:rFonts w:ascii="Times New Roman" w:cs="Times New Roman"/>
          <w:color w:val="000000" w:themeColor="text1"/>
          <w:spacing w:val="0"/>
        </w:rPr>
        <w:softHyphen/>
        <w:t>моторной группы в условиях военного вре</w:t>
      </w:r>
      <w:r w:rsidRPr="007224C3">
        <w:rPr>
          <w:rFonts w:ascii="Times New Roman" w:cs="Times New Roman"/>
          <w:color w:val="000000" w:themeColor="text1"/>
          <w:spacing w:val="0"/>
        </w:rPr>
        <w:softHyphen/>
        <w:t>мени устранить так и не удалось. Впрочем, с этим тогда мирились, хотя были даже случаи «обратного перевооружения», когда командование принимало решение пере</w:t>
      </w:r>
      <w:r w:rsidRPr="007224C3">
        <w:rPr>
          <w:rFonts w:ascii="Times New Roman" w:cs="Times New Roman"/>
          <w:color w:val="000000" w:themeColor="text1"/>
          <w:spacing w:val="0"/>
        </w:rPr>
        <w:softHyphen/>
        <w:t>оснастить только что перевооруженные на Як-9У полки более старой, но зато более надежной техникой (например, Ла-5ФН).</w:t>
      </w:r>
    </w:p>
    <w:p w14:paraId="2F9FE061" w14:textId="77777777" w:rsidR="00D70979" w:rsidRPr="007224C3" w:rsidRDefault="00D70979" w:rsidP="007224C3">
      <w:pPr>
        <w:pStyle w:val="27"/>
        <w:shd w:val="clear" w:color="auto" w:fill="auto"/>
        <w:spacing w:after="0" w:line="240" w:lineRule="auto"/>
        <w:ind w:firstLine="0"/>
        <w:rPr>
          <w:rFonts w:ascii="Times New Roman" w:cs="Times New Roman"/>
          <w:color w:val="000000" w:themeColor="text1"/>
          <w:spacing w:val="0"/>
        </w:rPr>
      </w:pPr>
      <w:r w:rsidRPr="007224C3">
        <w:rPr>
          <w:rFonts w:ascii="Times New Roman" w:cs="Times New Roman"/>
          <w:color w:val="000000" w:themeColor="text1"/>
          <w:spacing w:val="0"/>
        </w:rPr>
        <w:t>Совершенно иное отношение к само</w:t>
      </w:r>
      <w:r w:rsidRPr="007224C3">
        <w:rPr>
          <w:rFonts w:ascii="Times New Roman" w:cs="Times New Roman"/>
          <w:color w:val="000000" w:themeColor="text1"/>
          <w:spacing w:val="0"/>
        </w:rPr>
        <w:softHyphen/>
        <w:t>лету стало ощущаться после окончания войны. Як-9У, несмотря на более высокие летные характеристики, имел ту же сме</w:t>
      </w:r>
      <w:r w:rsidRPr="007224C3">
        <w:rPr>
          <w:rFonts w:ascii="Times New Roman" w:cs="Times New Roman"/>
          <w:color w:val="000000" w:themeColor="text1"/>
          <w:spacing w:val="0"/>
        </w:rPr>
        <w:softHyphen/>
        <w:t>шанную конструкцию, что и более ран</w:t>
      </w:r>
      <w:r w:rsidRPr="007224C3">
        <w:rPr>
          <w:rFonts w:ascii="Times New Roman" w:cs="Times New Roman"/>
          <w:color w:val="000000" w:themeColor="text1"/>
          <w:spacing w:val="0"/>
        </w:rPr>
        <w:softHyphen/>
        <w:t>ние Яки, а значит, был не приспособлен к длительной службе мирного времени (в военное время «жизнь» среднего отече</w:t>
      </w:r>
      <w:r w:rsidRPr="007224C3">
        <w:rPr>
          <w:rFonts w:ascii="Times New Roman" w:cs="Times New Roman"/>
          <w:color w:val="000000" w:themeColor="text1"/>
          <w:spacing w:val="0"/>
        </w:rPr>
        <w:softHyphen/>
        <w:t>ственного истребителя редко превышала 3 месяца). В типичных для нашей страны условиях круглогодичного безангарного хранения (холодная зима, жаркое лето, дождливые осень и весна) планер Як-9У, а особенно его перкалевая обшивка, прихо</w:t>
      </w:r>
      <w:r w:rsidRPr="007224C3">
        <w:rPr>
          <w:rFonts w:ascii="Times New Roman" w:cs="Times New Roman"/>
          <w:color w:val="000000" w:themeColor="text1"/>
          <w:spacing w:val="0"/>
        </w:rPr>
        <w:softHyphen/>
        <w:t>дили в негодность очень быстро.</w:t>
      </w:r>
    </w:p>
    <w:p w14:paraId="236FBFDC" w14:textId="77777777" w:rsidR="00D70979" w:rsidRPr="007224C3" w:rsidRDefault="00D70979" w:rsidP="007224C3">
      <w:pPr>
        <w:pStyle w:val="27"/>
        <w:shd w:val="clear" w:color="auto" w:fill="auto"/>
        <w:spacing w:after="0" w:line="240" w:lineRule="auto"/>
        <w:ind w:firstLine="0"/>
        <w:rPr>
          <w:rFonts w:ascii="Times New Roman" w:cs="Times New Roman"/>
          <w:color w:val="000000" w:themeColor="text1"/>
          <w:spacing w:val="0"/>
        </w:rPr>
      </w:pPr>
      <w:r w:rsidRPr="007224C3">
        <w:rPr>
          <w:rFonts w:ascii="Times New Roman" w:cs="Times New Roman"/>
          <w:color w:val="000000" w:themeColor="text1"/>
          <w:spacing w:val="0"/>
        </w:rPr>
        <w:t>К началу 1946 г. в отечественной ави</w:t>
      </w:r>
      <w:r w:rsidRPr="007224C3">
        <w:rPr>
          <w:rFonts w:ascii="Times New Roman" w:cs="Times New Roman"/>
          <w:color w:val="000000" w:themeColor="text1"/>
          <w:spacing w:val="0"/>
        </w:rPr>
        <w:softHyphen/>
        <w:t>ации сложилась и вовсе парадоксаль</w:t>
      </w:r>
      <w:r w:rsidRPr="007224C3">
        <w:rPr>
          <w:rFonts w:ascii="Times New Roman" w:cs="Times New Roman"/>
          <w:color w:val="000000" w:themeColor="text1"/>
          <w:spacing w:val="0"/>
        </w:rPr>
        <w:softHyphen/>
        <w:t>ная ситуация. С одной стороны, имелось огромное количество явно устаревших самолетов, требовавших ремонта. С дру</w:t>
      </w:r>
      <w:r w:rsidRPr="007224C3">
        <w:rPr>
          <w:rFonts w:ascii="Times New Roman" w:cs="Times New Roman"/>
          <w:color w:val="000000" w:themeColor="text1"/>
          <w:spacing w:val="0"/>
        </w:rPr>
        <w:softHyphen/>
        <w:t>гой, - СССР опять оказался в положении догоняющего. В Германии, США и Англии уже в 1945 г. имелись на вооружении и даже воевали серийные реактивные самолеты. Немцы, конечно, не сумели применить реактивную авиатехнику и ракеты в количе</w:t>
      </w:r>
      <w:r w:rsidRPr="007224C3">
        <w:rPr>
          <w:rFonts w:ascii="Times New Roman" w:cs="Times New Roman"/>
          <w:color w:val="000000" w:themeColor="text1"/>
          <w:spacing w:val="0"/>
        </w:rPr>
        <w:softHyphen/>
        <w:t>ствах, достаточных для того, чтобы перело</w:t>
      </w:r>
      <w:r w:rsidRPr="007224C3">
        <w:rPr>
          <w:rFonts w:ascii="Times New Roman" w:cs="Times New Roman"/>
          <w:color w:val="000000" w:themeColor="text1"/>
          <w:spacing w:val="0"/>
        </w:rPr>
        <w:softHyphen/>
        <w:t>мить ход войны в свою пользу. Но все-таки они показали рсему миру насколько это грозное и многообещающее оружие (12741).</w:t>
      </w:r>
    </w:p>
    <w:p w14:paraId="11200D80" w14:textId="77777777" w:rsidR="00D70979" w:rsidRPr="007224C3" w:rsidRDefault="00D70979" w:rsidP="007224C3">
      <w:pPr>
        <w:pStyle w:val="27"/>
        <w:shd w:val="clear" w:color="auto" w:fill="auto"/>
        <w:spacing w:after="0" w:line="240" w:lineRule="auto"/>
        <w:ind w:firstLine="0"/>
        <w:rPr>
          <w:rFonts w:ascii="Times New Roman" w:cs="Times New Roman"/>
          <w:color w:val="000000" w:themeColor="text1"/>
          <w:spacing w:val="0"/>
        </w:rPr>
      </w:pPr>
    </w:p>
    <w:p w14:paraId="15B2B24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 года постановлением ОКБ А.С.Яковлева предписывалось создать вариант Як-9 с двигателем РД-1. Спустя семь месяцев вышло еще одно постановление ГКО об оснащении Як-9 ЖРД РД-1. Однако в ОКБ приоритетной задачей считалось создание Як-ЗРД с двигателем РД-1, закончившееся, как известно трагедией - гибелью летчика-испытателя Виктора Расторгуева.</w:t>
      </w:r>
    </w:p>
    <w:p w14:paraId="036E324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1945 год задание трансформировалось в установку дополнительного реактивного двигателя на Як-9У с ВК-107А, который следовало предъявить на летные испытания к 1 сентября. Но дальше бумажной переписки дело не пошло. Возможно, главной причи- Як-9У ной игнорирования Яковлевым постановлений ГКО и приказов НКАП стало создание более перспективного истребителя Як-15 с турбореактивным двигателем.</w:t>
      </w:r>
    </w:p>
    <w:p w14:paraId="358B712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Известен проект установки на Як-9Д вспомогательной силовой установки ВРДК (воздушно-реактивный двигатель компрессорный) разработки ЦИАМ. По мнению конструкторов, наиболее подходящим для той цели был Як-9Д, имевший необходимый запас горючего, часть которого можно было использовать для работы ВРДК в течение пяти минут без снижения времени полета истребителя. В то же время, самолет допускал перегрузку (по взлетному весу) без заметного ухудшения взлетных качеств и характеристик вертикального маневра.</w:t>
      </w:r>
    </w:p>
    <w:p w14:paraId="4181018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Главное, имелся готовый двигатель М-105РЕН с приводом для компрессора номинальной мощностью у земли 1035 л.е., что на 175 л.с. меньше чем развивал М-105ПФ. Этот двигатель, обеспечивавший перелив мощности до 250 л.с. к нагнетателю, сохранился от экспериментального самолета Пе-2 с шасси на воздушной подушке, созданного под руководством А.Д. Надирадзе. Однако размещение ВРДК на серийном истребителе из-за особенностей конструкции его планера потребовало спроектировать второй редуктор с промежуточным валом.</w:t>
      </w:r>
    </w:p>
    <w:p w14:paraId="0D250E8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Редуктор двигателя М-105РЕН крепился к подмоторной раме, из-за чего пришлось снять пушку с патронным ящиком (вместо нее расположили второй пулемет УБС) и сделать выемку в маслобаке. </w:t>
      </w:r>
    </w:p>
    <w:p w14:paraId="61AC4E5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Вспомогательный двигатель разместили за кабиной пилота, использовав в качестве его воздухозаборника совок маслорадиатора. Газовая же струя выходила через сопло, расположенное под фюзеляжем, по редан- ной схеме. Сопло сделали поворотным (убирающимся в фюзеляж). Последнее обстоятельство не позволяло использовать ВРДК при взлете, что значительно снижало возможности машины.</w:t>
      </w:r>
    </w:p>
    <w:p w14:paraId="2A46BAB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Несмотря на то, что машина проектировалась с целью продемонстрировать возможности ВРДК, который по расчетам позволял увеличить скорость на 80-90 км/ч, доводя ее до 650 км/ч (максимальная скорость серийного Як-9Д - 574 км/ч) при полетном весе 3150 кг, от ее постройки оказались. Причин было несколько, но главными считались сложность доработок и бесперспективность машины (12046).</w:t>
      </w:r>
    </w:p>
    <w:p w14:paraId="76751CF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CD0A341" w14:textId="77777777" w:rsidR="009D7F3A" w:rsidRPr="007224C3" w:rsidRDefault="009D7F3A"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 xml:space="preserve">В мае 1944 г. провели учебные бои </w:t>
      </w:r>
      <w:r w:rsidRPr="007224C3">
        <w:rPr>
          <w:rFonts w:ascii="Times New Roman" w:hAnsi="Times New Roman"/>
          <w:color w:val="0070C0"/>
          <w:sz w:val="16"/>
          <w:szCs w:val="16"/>
          <w:lang w:val="en-US"/>
        </w:rPr>
        <w:t>Bf</w:t>
      </w:r>
      <w:r w:rsidRPr="007224C3">
        <w:rPr>
          <w:rFonts w:ascii="Times New Roman" w:hAnsi="Times New Roman"/>
          <w:color w:val="0070C0"/>
          <w:sz w:val="16"/>
          <w:szCs w:val="16"/>
        </w:rPr>
        <w:t xml:space="preserve"> 109</w:t>
      </w:r>
      <w:r w:rsidRPr="007224C3">
        <w:rPr>
          <w:rFonts w:ascii="Times New Roman" w:hAnsi="Times New Roman"/>
          <w:color w:val="0070C0"/>
          <w:sz w:val="16"/>
          <w:szCs w:val="16"/>
          <w:lang w:val="en-US"/>
        </w:rPr>
        <w:t>G</w:t>
      </w:r>
      <w:r w:rsidRPr="007224C3">
        <w:rPr>
          <w:rFonts w:ascii="Times New Roman" w:hAnsi="Times New Roman"/>
          <w:color w:val="0070C0"/>
          <w:sz w:val="16"/>
          <w:szCs w:val="16"/>
        </w:rPr>
        <w:t xml:space="preserve">-4 с Як-3. Последний продемонстрировал явное преимущество на малых и средних высотах, но </w:t>
      </w:r>
      <w:r w:rsidRPr="007224C3">
        <w:rPr>
          <w:rFonts w:ascii="Times New Roman" w:hAnsi="Times New Roman"/>
          <w:color w:val="0070C0"/>
          <w:sz w:val="16"/>
          <w:szCs w:val="16"/>
          <w:lang w:val="en-US"/>
        </w:rPr>
        <w:t>G</w:t>
      </w:r>
      <w:r w:rsidRPr="007224C3">
        <w:rPr>
          <w:rFonts w:ascii="Times New Roman" w:hAnsi="Times New Roman"/>
          <w:color w:val="0070C0"/>
          <w:sz w:val="16"/>
          <w:szCs w:val="16"/>
        </w:rPr>
        <w:t xml:space="preserve"> -6 превосходил </w:t>
      </w:r>
      <w:r w:rsidRPr="007224C3">
        <w:rPr>
          <w:rFonts w:ascii="Times New Roman" w:hAnsi="Times New Roman"/>
          <w:color w:val="0070C0"/>
          <w:sz w:val="16"/>
          <w:szCs w:val="16"/>
          <w:lang w:val="en-US"/>
        </w:rPr>
        <w:t>G</w:t>
      </w:r>
      <w:r w:rsidRPr="007224C3">
        <w:rPr>
          <w:rFonts w:ascii="Times New Roman" w:hAnsi="Times New Roman"/>
          <w:color w:val="0070C0"/>
          <w:sz w:val="16"/>
          <w:szCs w:val="16"/>
        </w:rPr>
        <w:t xml:space="preserve"> -4 по скорости на 25-30 км/ч (23186).</w:t>
      </w:r>
    </w:p>
    <w:p w14:paraId="3B13B9FF" w14:textId="77777777" w:rsidR="009D7F3A" w:rsidRPr="007224C3" w:rsidRDefault="009D7F3A" w:rsidP="007224C3">
      <w:pPr>
        <w:spacing w:after="0" w:line="240" w:lineRule="auto"/>
        <w:jc w:val="both"/>
        <w:rPr>
          <w:rFonts w:ascii="Times New Roman" w:hAnsi="Times New Roman"/>
          <w:color w:val="0070C0"/>
          <w:sz w:val="16"/>
          <w:szCs w:val="16"/>
        </w:rPr>
      </w:pPr>
    </w:p>
    <w:p w14:paraId="05E656C8" w14:textId="77777777" w:rsidR="00AA1E7E" w:rsidRPr="007224C3" w:rsidRDefault="00AA1E7E" w:rsidP="007224C3">
      <w:pPr>
        <w:pStyle w:val="27"/>
        <w:shd w:val="clear" w:color="auto" w:fill="auto"/>
        <w:spacing w:after="0" w:line="240" w:lineRule="auto"/>
        <w:ind w:firstLine="0"/>
        <w:rPr>
          <w:rFonts w:ascii="Times New Roman" w:cs="Times New Roman"/>
          <w:color w:val="000000" w:themeColor="text1"/>
          <w:spacing w:val="0"/>
        </w:rPr>
      </w:pPr>
      <w:r w:rsidRPr="007224C3">
        <w:rPr>
          <w:rFonts w:ascii="Times New Roman" w:cs="Times New Roman"/>
          <w:color w:val="000000" w:themeColor="text1"/>
          <w:spacing w:val="0"/>
        </w:rPr>
        <w:t>В мае 1944 г. постановле</w:t>
      </w:r>
      <w:r w:rsidRPr="007224C3">
        <w:rPr>
          <w:rFonts w:ascii="Times New Roman" w:cs="Times New Roman"/>
          <w:color w:val="000000" w:themeColor="text1"/>
          <w:spacing w:val="0"/>
        </w:rPr>
        <w:softHyphen/>
        <w:t>нием А.С. Яковлеву предписывалось создать вариант Як-9 с РД-1. А спустя семь месяцев вышло ещё одно постановление ГКО. По нему в 1945 г. требовалось смон</w:t>
      </w:r>
      <w:r w:rsidRPr="007224C3">
        <w:rPr>
          <w:rFonts w:ascii="Times New Roman" w:cs="Times New Roman"/>
          <w:color w:val="000000" w:themeColor="text1"/>
          <w:spacing w:val="0"/>
        </w:rPr>
        <w:softHyphen/>
        <w:t>тировать дополнительный ЖРД на Як-9У с мотором ВК-107А и предъявить его на лёт</w:t>
      </w:r>
      <w:r w:rsidRPr="007224C3">
        <w:rPr>
          <w:rFonts w:ascii="Times New Roman" w:cs="Times New Roman"/>
          <w:color w:val="000000" w:themeColor="text1"/>
          <w:spacing w:val="0"/>
        </w:rPr>
        <w:softHyphen/>
        <w:t>ные испытания к 1 сентября. Но дальше бумажной переписки дело опять не пошло (19103).</w:t>
      </w:r>
    </w:p>
    <w:p w14:paraId="709BD8BF" w14:textId="77777777" w:rsidR="00AA1E7E" w:rsidRPr="007224C3" w:rsidRDefault="00AA1E7E" w:rsidP="007224C3">
      <w:pPr>
        <w:pStyle w:val="27"/>
        <w:shd w:val="clear" w:color="auto" w:fill="auto"/>
        <w:spacing w:after="0" w:line="240" w:lineRule="auto"/>
        <w:ind w:firstLine="0"/>
        <w:rPr>
          <w:rFonts w:ascii="Times New Roman" w:cs="Times New Roman"/>
          <w:color w:val="000000" w:themeColor="text1"/>
          <w:spacing w:val="0"/>
        </w:rPr>
      </w:pPr>
    </w:p>
    <w:p w14:paraId="25D70A0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1944-го С.Н.Анохин испытывает самолёт Як-7Б с прямоточным воздушно-реактивным двигателем ДМ-4с. В это же время он проводит лётные исследования по влиянию перегрузки на организм и работоспособность лётчика в полёте; выполняет ряд испытательных полётов на высотном самолёте-перехватчике Як-ЗПД на высотах более 13000м в отсутствии герметичной кабины (5996)</w:t>
      </w:r>
    </w:p>
    <w:p w14:paraId="45A8851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 г. закончились испытания доработанного Пе-2 № 14/226 с новым профилем и было установлено, что модифицированное крыло заметно улучшает летно-технические свойства “пешки”, особенно на малых скоростях. Заметно улучшилось поведение самолета при посадке, он перестал валиться на крыло, уверенно летал на одном моторе. Новый профиль консолей плюс усовершенствованная технология отделки крыла в совокупности “добавили” машине 100 км дальности, способствовали увеличению потолка на 500 м и уменьшению длины разбега на 40 м.</w:t>
      </w:r>
    </w:p>
    <w:p w14:paraId="6D066EF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сожалению, и это техническое решение несмотря на положительную оценку НИИ ВВС осталось не внедренным в серию. Причина все та же - отказ руководства наркомата авиапромышленности санкционировать переход на новое крыло, что неизбежно привело бы к смене технологического оборудования и временному снижению темпов выпуска “пешек”...(4476).</w:t>
      </w:r>
    </w:p>
    <w:p w14:paraId="2ADBC8A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ACACA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 г. в НИИ ВВС проходил испытания Ла-5 № 3811507, на котором карбюраторный двигатель АШ-82Ф заменили на АШ-82ФН с непосредственным впрыском топлива. Самолет, получивший официальное название "Гибрид", проходил испытания в НИИ ВВС. Ведущими по машине были инженер В.И. Алексеенко и летчик А.Г. Кубышкин. По сравнению с "Дублером" Ла-5ФН завода № 21 он имел значительно худшие летные данные. Например, его максимальная скорость оказалась на 68 км/ч ниже, что, видимо, связано с утяжелением машины и худшей отделкой его внешней поверхности.</w:t>
      </w:r>
    </w:p>
    <w:p w14:paraId="1768F05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испытания не выдержал. НИИ ВВС рекомендовал использовать установку двигателей АШ-82ФН при ремонте Ла-5Ф в полевых условиях лишь в крайнем случае (12032).</w:t>
      </w:r>
    </w:p>
    <w:p w14:paraId="2FD919B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BD4339" w14:textId="77777777" w:rsidR="006E5527" w:rsidRPr="007224C3" w:rsidRDefault="006E552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месяце 1944 на Ла-5А заменили правый ТК-3, и для устранения обнаруженных де</w:t>
      </w:r>
      <w:r w:rsidRPr="007224C3">
        <w:rPr>
          <w:rFonts w:ascii="Times New Roman" w:hAnsi="Times New Roman"/>
          <w:color w:val="000000" w:themeColor="text1"/>
          <w:sz w:val="16"/>
          <w:szCs w:val="16"/>
        </w:rPr>
        <w:softHyphen/>
        <w:t>фектов улучшили дефлектирование головок цилиндров, а также проверили всю бензи</w:t>
      </w:r>
      <w:r w:rsidRPr="007224C3">
        <w:rPr>
          <w:rFonts w:ascii="Times New Roman" w:hAnsi="Times New Roman"/>
          <w:color w:val="000000" w:themeColor="text1"/>
          <w:sz w:val="16"/>
          <w:szCs w:val="16"/>
        </w:rPr>
        <w:softHyphen/>
        <w:t>новую и масляную системы. Наконец, 25 мая 1944 г. состоялся контрольный полёт. При этом достигли высоты 7000 м, но просочившийся в кабину пилота дым вынудил прекра</w:t>
      </w:r>
      <w:r w:rsidRPr="007224C3">
        <w:rPr>
          <w:rFonts w:ascii="Times New Roman" w:hAnsi="Times New Roman"/>
          <w:color w:val="000000" w:themeColor="text1"/>
          <w:sz w:val="16"/>
          <w:szCs w:val="16"/>
        </w:rPr>
        <w:softHyphen/>
        <w:t>тить полёт. Дым образовался в результате выбивания большого количества масла из мест соединения мотора с маслопроводом и попадания его в ресивер турбокомпрессо</w:t>
      </w:r>
      <w:r w:rsidRPr="007224C3">
        <w:rPr>
          <w:rFonts w:ascii="Times New Roman" w:hAnsi="Times New Roman"/>
          <w:color w:val="000000" w:themeColor="text1"/>
          <w:sz w:val="16"/>
          <w:szCs w:val="16"/>
        </w:rPr>
        <w:softHyphen/>
        <w:t>ра. Кроме того, с набором высоты падало давление бензина, и грелась головка пятого цилиндра. Для устранения дефектов провели ряд мероприятий, но 27 мая следующий полёт на высоту 10500 м снова пришлось прекратить из-за задымления. На этот раз масло выбивалось из-под левого синхронизатора и попадало на горячие патрубки. Од</w:t>
      </w:r>
      <w:r w:rsidRPr="007224C3">
        <w:rPr>
          <w:rFonts w:ascii="Times New Roman" w:hAnsi="Times New Roman"/>
          <w:color w:val="000000" w:themeColor="text1"/>
          <w:sz w:val="16"/>
          <w:szCs w:val="16"/>
        </w:rPr>
        <w:softHyphen/>
        <w:t>нако давление бензина при наборе высоты оставалось нормальным и при горизонталь</w:t>
      </w:r>
      <w:r w:rsidRPr="007224C3">
        <w:rPr>
          <w:rFonts w:ascii="Times New Roman" w:hAnsi="Times New Roman"/>
          <w:color w:val="000000" w:themeColor="text1"/>
          <w:sz w:val="16"/>
          <w:szCs w:val="16"/>
        </w:rPr>
        <w:softHyphen/>
        <w:t>ных полётах не падало. Дефекты удалось устранить к концу того же дня. Правда, при контрольной гонке мотора на земле снова обнаружили масло в магнето, в результате произвели замену наддувного магнето на ненаддувное с улучшенной высотностью.</w:t>
      </w:r>
    </w:p>
    <w:p w14:paraId="15C8BA33" w14:textId="77777777" w:rsidR="006E5527" w:rsidRPr="007224C3" w:rsidRDefault="006E552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После нескольких дней нелётной погоды 3 июня состоялся полёт до высоты 8000 м с работающими турбокомпрессорами. Вновь падение давление бензина и высокие темпе</w:t>
      </w:r>
      <w:r w:rsidRPr="007224C3">
        <w:rPr>
          <w:rFonts w:ascii="Times New Roman" w:hAnsi="Times New Roman"/>
          <w:color w:val="000000" w:themeColor="text1"/>
          <w:sz w:val="16"/>
          <w:szCs w:val="16"/>
        </w:rPr>
        <w:softHyphen/>
        <w:t>ратуры головок цилиндров мотора привели к прекращению полёта. На самолёте заме</w:t>
      </w:r>
      <w:r w:rsidRPr="007224C3">
        <w:rPr>
          <w:rFonts w:ascii="Times New Roman" w:hAnsi="Times New Roman"/>
          <w:color w:val="000000" w:themeColor="text1"/>
          <w:sz w:val="16"/>
          <w:szCs w:val="16"/>
        </w:rPr>
        <w:softHyphen/>
        <w:t>нили центральный бензобак и эжекторную помпу, улучшили дефлектирование головок цилиндров и изменили боковые крышки капотов. Однако 8 июня контрольный полёт при</w:t>
      </w:r>
      <w:r w:rsidRPr="007224C3">
        <w:rPr>
          <w:rFonts w:ascii="Times New Roman" w:hAnsi="Times New Roman"/>
          <w:color w:val="000000" w:themeColor="text1"/>
          <w:sz w:val="16"/>
          <w:szCs w:val="16"/>
        </w:rPr>
        <w:softHyphen/>
        <w:t>шлось прекратить из-за течи масла. Наконец, 11 июня 1944 г. в полёте на определение потолка на первой скорости нагнетателя с включенными турбокомпрессорами достигли высоты 11000 м. На высоте 3000 м включилась система впрыска воды, и температура го</w:t>
      </w:r>
      <w:r w:rsidRPr="007224C3">
        <w:rPr>
          <w:rFonts w:ascii="Times New Roman" w:hAnsi="Times New Roman"/>
          <w:color w:val="000000" w:themeColor="text1"/>
          <w:sz w:val="16"/>
          <w:szCs w:val="16"/>
        </w:rPr>
        <w:softHyphen/>
        <w:t>ловок цилиндров на протяжении полёта сохранялась нормальной, на высоте 7000 м сработала система нейтрального газа, обеспечившая поддержание нормального давления бензина. Однако течь масла в соединениях мотора и высокая температура масла на вы</w:t>
      </w:r>
      <w:r w:rsidRPr="007224C3">
        <w:rPr>
          <w:rFonts w:ascii="Times New Roman" w:hAnsi="Times New Roman"/>
          <w:color w:val="000000" w:themeColor="text1"/>
          <w:sz w:val="16"/>
          <w:szCs w:val="16"/>
        </w:rPr>
        <w:softHyphen/>
        <w:t>ходе — 90°С, привели к прекращению полёта. Для снижения температуры масла на са</w:t>
      </w:r>
      <w:r w:rsidRPr="007224C3">
        <w:rPr>
          <w:rFonts w:ascii="Times New Roman" w:hAnsi="Times New Roman"/>
          <w:color w:val="000000" w:themeColor="text1"/>
          <w:sz w:val="16"/>
          <w:szCs w:val="16"/>
        </w:rPr>
        <w:softHyphen/>
        <w:t>молёте установили радиатор с трубкой диаметром 4 мм, вместо прежнего радиатора с трубкой 5 мм, а также приспособление для защиты радиатора от попадания масла из за- моторного пространства. 13 июня 1944 г. произвели два полёта: первый до высоты 9500 м, второй — до 4500 м, и оба пришлось прекратить из-за выброса масла из мотора. Как по</w:t>
      </w:r>
      <w:r w:rsidRPr="007224C3">
        <w:rPr>
          <w:rFonts w:ascii="Times New Roman" w:hAnsi="Times New Roman"/>
          <w:color w:val="000000" w:themeColor="text1"/>
          <w:sz w:val="16"/>
          <w:szCs w:val="16"/>
        </w:rPr>
        <w:softHyphen/>
        <w:t>казали произведенные при участии представителя завода N9 19 испытания и осмотр, течь происходила из кольцевого уплотнения нагнетателя. Сделали однозначный вывод, что для проведения высотных полётов требуются моторы специальной сборки.</w:t>
      </w:r>
    </w:p>
    <w:p w14:paraId="509BFDDC" w14:textId="77777777" w:rsidR="006E5527" w:rsidRPr="007224C3" w:rsidRDefault="006E552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 как такие моторы завод № 19 мог изготовить лишь к 1 июля, ему дали указание отгрузить заводу № 21 два мотора обычной сборки, но с улучшенным дефлектирова- нием. К 25 июня, после установки на месте пушки дополнительного маслобака, само</w:t>
      </w:r>
      <w:r w:rsidRPr="007224C3">
        <w:rPr>
          <w:rFonts w:ascii="Times New Roman" w:hAnsi="Times New Roman"/>
          <w:color w:val="000000" w:themeColor="text1"/>
          <w:sz w:val="16"/>
          <w:szCs w:val="16"/>
        </w:rPr>
        <w:softHyphen/>
        <w:t>лёт снова подготовили к продолжению испытаний. Во время состоявшихся 3-4 июля полётов до высоты 7800 м температура масла на входе поднялась выше допустимого уровня, произошло затяжеление винта, и имел место выброс масла из дренажа, за все время полёта он составил 15 кг. После чего на самолёте установили высотную масло- помпу — агрегат № 180, и произвели отсос масла из суфлёрного бачка. Однако в кон</w:t>
      </w:r>
      <w:r w:rsidRPr="007224C3">
        <w:rPr>
          <w:rFonts w:ascii="Times New Roman" w:hAnsi="Times New Roman"/>
          <w:color w:val="000000" w:themeColor="text1"/>
          <w:sz w:val="16"/>
          <w:szCs w:val="16"/>
        </w:rPr>
        <w:softHyphen/>
        <w:t>трольном полёте 8 июля при наборе высоты 5000 м температура на входе снова поднялась выше допустимых пределов (87°С) и полёт опять пришлось прекратить. При осмотре самолёта на земле снова обнаружили выброс масла. 11 июля 1944 г. Ла-5А перегнали в Москву на завод № 81. По заключению представителя завода № 19, из-за попадания масла в нагнетатель мотора по причине дефектов маслоуплотнений валика нагнетателя, к дальнейшим полётам самолёт признали непригодным.</w:t>
      </w:r>
    </w:p>
    <w:p w14:paraId="0B66B7C4" w14:textId="77777777" w:rsidR="006E5527" w:rsidRPr="007224C3" w:rsidRDefault="006E552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Новую винтомоторную группу на Ла-5А смонтировали только в 20-х числах августа, заодно в соответствии с рекомендациями ЦАГИ произвели доводки систем охлаждения. 12 сентября состоялся контрольный полёт, мотор снова работал с перебоями из-за не</w:t>
      </w:r>
      <w:r w:rsidRPr="007224C3">
        <w:rPr>
          <w:rFonts w:ascii="Times New Roman" w:hAnsi="Times New Roman"/>
          <w:color w:val="000000" w:themeColor="text1"/>
          <w:sz w:val="16"/>
          <w:szCs w:val="16"/>
        </w:rPr>
        <w:softHyphen/>
        <w:t>поладок регулятора смеси. На следующий день для скорейшей отработки винтомотор</w:t>
      </w:r>
      <w:r w:rsidRPr="007224C3">
        <w:rPr>
          <w:rFonts w:ascii="Times New Roman" w:hAnsi="Times New Roman"/>
          <w:color w:val="000000" w:themeColor="text1"/>
          <w:sz w:val="16"/>
          <w:szCs w:val="16"/>
        </w:rPr>
        <w:softHyphen/>
        <w:t>ной группы на больших высотах при участии сотрудников лаборатории ЛИИ самолёт перегнали на аэродром «Раменское». При перелёте мотор работал «богато», и на сред</w:t>
      </w:r>
      <w:r w:rsidRPr="007224C3">
        <w:rPr>
          <w:rFonts w:ascii="Times New Roman" w:hAnsi="Times New Roman"/>
          <w:color w:val="000000" w:themeColor="text1"/>
          <w:sz w:val="16"/>
          <w:szCs w:val="16"/>
        </w:rPr>
        <w:softHyphen/>
        <w:t>них режимах его трясло. В ЛИИ лётные испытания продолжили. 21 сентября в конт</w:t>
      </w:r>
      <w:r w:rsidRPr="007224C3">
        <w:rPr>
          <w:rFonts w:ascii="Times New Roman" w:hAnsi="Times New Roman"/>
          <w:color w:val="000000" w:themeColor="text1"/>
          <w:sz w:val="16"/>
          <w:szCs w:val="16"/>
        </w:rPr>
        <w:softHyphen/>
        <w:t>рольном полёте достигли высоты 5600 м, дальнейший набор высоты в связи с поломкой датчика оборотов турбокомпрессора пришлось прекратить. 26 сентября полёт до вы</w:t>
      </w:r>
      <w:r w:rsidRPr="007224C3">
        <w:rPr>
          <w:rFonts w:ascii="Times New Roman" w:hAnsi="Times New Roman"/>
          <w:color w:val="000000" w:themeColor="text1"/>
          <w:sz w:val="16"/>
          <w:szCs w:val="16"/>
        </w:rPr>
        <w:softHyphen/>
        <w:t>соты 9000 м прекратили вследствие обледенения фонаря, отказа в работе впрыска во</w:t>
      </w:r>
      <w:r w:rsidRPr="007224C3">
        <w:rPr>
          <w:rFonts w:ascii="Times New Roman" w:hAnsi="Times New Roman"/>
          <w:color w:val="000000" w:themeColor="text1"/>
          <w:sz w:val="16"/>
          <w:szCs w:val="16"/>
        </w:rPr>
        <w:softHyphen/>
        <w:t>ды в цилиндры мотора и высоких температур масла. Следующий полёт состоялся лишь 3 октября. На высоте 10000 м сильная тряска мотора при включении впрыска воды и низкое давление бензина в системе не позволили его продолжить. Ещё один день ушёл на устранение обнаруженных дефектов.</w:t>
      </w:r>
    </w:p>
    <w:p w14:paraId="7EA4A1AE" w14:textId="77777777" w:rsidR="006E5527" w:rsidRPr="007224C3" w:rsidRDefault="006E552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октября в полёте на замер расхода горючего на высотах 500 м и 4000 м и проверку работы мотора с включённым впрыском воды на Ла-5А, который пилотировал лётчик-ис</w:t>
      </w:r>
      <w:r w:rsidRPr="007224C3">
        <w:rPr>
          <w:rFonts w:ascii="Times New Roman" w:hAnsi="Times New Roman"/>
          <w:color w:val="000000" w:themeColor="text1"/>
          <w:sz w:val="16"/>
          <w:szCs w:val="16"/>
        </w:rPr>
        <w:softHyphen/>
        <w:t>пытатель С.Н. Анохин, на высоте 3400 м при нормальной работе мотора и при нормальных показаниях всех контрольных приборов на выхлопе возникло сильное факеление. Для его устранения лётчик обеднил смесь при помощи рычага остановки мотора. Факе</w:t>
      </w:r>
      <w:r w:rsidRPr="007224C3">
        <w:rPr>
          <w:rFonts w:ascii="Times New Roman" w:hAnsi="Times New Roman"/>
          <w:color w:val="000000" w:themeColor="text1"/>
          <w:sz w:val="16"/>
          <w:szCs w:val="16"/>
        </w:rPr>
        <w:softHyphen/>
        <w:t>ление привело к сильному нагреву бортов фюзеляжа, обгорела обшивка правого борта. Вследствие высокой температуры фанерная оболочка задымилась. Анохину удалось до</w:t>
      </w:r>
      <w:r w:rsidRPr="007224C3">
        <w:rPr>
          <w:rFonts w:ascii="Times New Roman" w:hAnsi="Times New Roman"/>
          <w:color w:val="000000" w:themeColor="text1"/>
          <w:sz w:val="16"/>
          <w:szCs w:val="16"/>
        </w:rPr>
        <w:softHyphen/>
        <w:t>вести загоревшийся самолёт до аэродрома и нормально сесть в пределах ВПП. Горение и обугливание деревянной конструкции фюзеляжа было вызвано перегревом металличе</w:t>
      </w:r>
      <w:r w:rsidRPr="007224C3">
        <w:rPr>
          <w:rFonts w:ascii="Times New Roman" w:hAnsi="Times New Roman"/>
          <w:color w:val="000000" w:themeColor="text1"/>
          <w:sz w:val="16"/>
          <w:szCs w:val="16"/>
        </w:rPr>
        <w:softHyphen/>
        <w:t>ской обшивки факелом, образующимся на выхлопе мотора, теплоизоляция между жаро</w:t>
      </w:r>
      <w:r w:rsidRPr="007224C3">
        <w:rPr>
          <w:rFonts w:ascii="Times New Roman" w:hAnsi="Times New Roman"/>
          <w:color w:val="000000" w:themeColor="text1"/>
          <w:sz w:val="16"/>
          <w:szCs w:val="16"/>
        </w:rPr>
        <w:softHyphen/>
        <w:t>упорными листами обшивки и деревянной конструкцией фюзеляжа оказалась недоста</w:t>
      </w:r>
      <w:r w:rsidRPr="007224C3">
        <w:rPr>
          <w:rFonts w:ascii="Times New Roman" w:hAnsi="Times New Roman"/>
          <w:color w:val="000000" w:themeColor="text1"/>
          <w:sz w:val="16"/>
          <w:szCs w:val="16"/>
        </w:rPr>
        <w:softHyphen/>
        <w:t>точной. Факел же появился в результате ненормального забогащения мотора при увели</w:t>
      </w:r>
      <w:r w:rsidRPr="007224C3">
        <w:rPr>
          <w:rFonts w:ascii="Times New Roman" w:hAnsi="Times New Roman"/>
          <w:color w:val="000000" w:themeColor="text1"/>
          <w:sz w:val="16"/>
          <w:szCs w:val="16"/>
        </w:rPr>
        <w:softHyphen/>
        <w:t>чении высоты полёта, тогда же расход горючего увеличился с 360 кг/ч до 459 кг/ч на вы</w:t>
      </w:r>
      <w:r w:rsidRPr="007224C3">
        <w:rPr>
          <w:rFonts w:ascii="Times New Roman" w:hAnsi="Times New Roman"/>
          <w:color w:val="000000" w:themeColor="text1"/>
          <w:sz w:val="16"/>
          <w:szCs w:val="16"/>
        </w:rPr>
        <w:softHyphen/>
        <w:t>соте 3400 м. Наиболее интенсивный факел образовался из ресивера правого турбо</w:t>
      </w:r>
      <w:r w:rsidRPr="007224C3">
        <w:rPr>
          <w:rFonts w:ascii="Times New Roman" w:hAnsi="Times New Roman"/>
          <w:color w:val="000000" w:themeColor="text1"/>
          <w:sz w:val="16"/>
          <w:szCs w:val="16"/>
        </w:rPr>
        <w:softHyphen/>
        <w:t>компрессора. Аварийная комиссия под председательством М.Д. Романовича, для безо</w:t>
      </w:r>
      <w:r w:rsidRPr="007224C3">
        <w:rPr>
          <w:rFonts w:ascii="Times New Roman" w:hAnsi="Times New Roman"/>
          <w:color w:val="000000" w:themeColor="text1"/>
          <w:sz w:val="16"/>
          <w:szCs w:val="16"/>
        </w:rPr>
        <w:softHyphen/>
        <w:t>пасности проведения дальнейших лётных испытаний, порекомендовала: установить для моторов АШ-82ФН с ТК нормы часового расхода горючего, насосы НБЗ-У проверять на равномерность подачи горючего, на стабильность его расходования по высотам, заводу № 81 улучшить теплоизоляцию деревянных частей фюзеляжа от металлической обшив</w:t>
      </w:r>
      <w:r w:rsidRPr="007224C3">
        <w:rPr>
          <w:rFonts w:ascii="Times New Roman" w:hAnsi="Times New Roman"/>
          <w:color w:val="000000" w:themeColor="text1"/>
          <w:sz w:val="16"/>
          <w:szCs w:val="16"/>
        </w:rPr>
        <w:softHyphen/>
        <w:t>ки, подверженной воздействию выхлопных газов. Самолёт нуждался в ремонте, и его от</w:t>
      </w:r>
      <w:r w:rsidRPr="007224C3">
        <w:rPr>
          <w:rFonts w:ascii="Times New Roman" w:hAnsi="Times New Roman"/>
          <w:color w:val="000000" w:themeColor="text1"/>
          <w:sz w:val="16"/>
          <w:szCs w:val="16"/>
        </w:rPr>
        <w:softHyphen/>
        <w:t>правили на завод № 81. Откуда назад он не вернулся, поскольку программу испытаний признали выполненной, а тему законченной.</w:t>
      </w:r>
    </w:p>
    <w:p w14:paraId="0CDB9B5B" w14:textId="77777777" w:rsidR="006E5527" w:rsidRPr="007224C3" w:rsidRDefault="006E552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обстоятельствах, аналогичных тем, в которых оказался С.Н. Анохин на Ла-5А, 7 февраля разбился И-221 ОКБ-155. Пилотировавший его летчик 12-го ГИАП П.А. Жу</w:t>
      </w:r>
      <w:r w:rsidRPr="007224C3">
        <w:rPr>
          <w:rFonts w:ascii="Times New Roman" w:hAnsi="Times New Roman"/>
          <w:color w:val="000000" w:themeColor="text1"/>
          <w:sz w:val="16"/>
          <w:szCs w:val="16"/>
        </w:rPr>
        <w:softHyphen/>
        <w:t>равлев принял факеление из выхлопных патрубков и дым в кабине за начавшийся по</w:t>
      </w:r>
      <w:r w:rsidRPr="007224C3">
        <w:rPr>
          <w:rFonts w:ascii="Times New Roman" w:hAnsi="Times New Roman"/>
          <w:color w:val="000000" w:themeColor="text1"/>
          <w:sz w:val="16"/>
          <w:szCs w:val="16"/>
        </w:rPr>
        <w:softHyphen/>
        <w:t>жар, и на высоте 9000 м покинул самолёт (15830).</w:t>
      </w:r>
    </w:p>
    <w:p w14:paraId="5FE3B15F" w14:textId="77777777" w:rsidR="006E5527" w:rsidRPr="007224C3" w:rsidRDefault="006E5527" w:rsidP="007224C3">
      <w:pPr>
        <w:spacing w:after="0" w:line="240" w:lineRule="auto"/>
        <w:jc w:val="both"/>
        <w:rPr>
          <w:rFonts w:ascii="Times New Roman" w:hAnsi="Times New Roman"/>
          <w:color w:val="000000" w:themeColor="text1"/>
          <w:sz w:val="16"/>
          <w:szCs w:val="16"/>
        </w:rPr>
      </w:pPr>
    </w:p>
    <w:p w14:paraId="3D18760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мая 1944 завод № 381 полностью перешел на выпуск Ла-7, тогда как в Горьком переход с Ла-5ФН на Ла-7 затянулся с июня до ноября 1944 года. Вооружение на серийных Ла-7 было оставлено пока прежним, так как пушки Б-20 еще нуждались в доводке (10714).</w:t>
      </w:r>
    </w:p>
    <w:p w14:paraId="6E74052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F6FF4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 года был выведен с фронта с целью переподготовки для действий методом свободной охоты 9-й ГИАП, в рядах которого выросли та</w:t>
      </w:r>
      <w:r w:rsidRPr="007224C3">
        <w:rPr>
          <w:rFonts w:ascii="Times New Roman" w:hAnsi="Times New Roman"/>
          <w:color w:val="000000" w:themeColor="text1"/>
          <w:sz w:val="16"/>
          <w:szCs w:val="16"/>
        </w:rPr>
        <w:softHyphen/>
        <w:t>кие прославленные асы, как А.В. Алелюхин, В.Д. Лавриненков, Амет-Хан Султан и другие. Как вспоминал ве</w:t>
      </w:r>
      <w:r w:rsidRPr="007224C3">
        <w:rPr>
          <w:rFonts w:ascii="Times New Roman" w:hAnsi="Times New Roman"/>
          <w:color w:val="000000" w:themeColor="text1"/>
          <w:sz w:val="16"/>
          <w:szCs w:val="16"/>
        </w:rPr>
        <w:softHyphen/>
        <w:t>теран полка Герой Советского Со</w:t>
      </w:r>
      <w:r w:rsidRPr="007224C3">
        <w:rPr>
          <w:rFonts w:ascii="Times New Roman" w:hAnsi="Times New Roman"/>
          <w:color w:val="000000" w:themeColor="text1"/>
          <w:sz w:val="16"/>
          <w:szCs w:val="16"/>
        </w:rPr>
        <w:softHyphen/>
        <w:t>юза А.Ф. Ковачевич:</w:t>
      </w:r>
    </w:p>
    <w:p w14:paraId="65AD7EF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«По прилету командир полка под</w:t>
      </w:r>
      <w:r w:rsidRPr="007224C3">
        <w:rPr>
          <w:rFonts w:ascii="Times New Roman" w:hAnsi="Times New Roman"/>
          <w:color w:val="000000" w:themeColor="text1"/>
          <w:sz w:val="16"/>
          <w:szCs w:val="16"/>
        </w:rPr>
        <w:softHyphen/>
        <w:t>полковник А.А.Морозов доложил лич</w:t>
      </w:r>
      <w:r w:rsidRPr="007224C3">
        <w:rPr>
          <w:rFonts w:ascii="Times New Roman" w:hAnsi="Times New Roman"/>
          <w:color w:val="000000" w:themeColor="text1"/>
          <w:sz w:val="16"/>
          <w:szCs w:val="16"/>
        </w:rPr>
        <w:softHyphen/>
        <w:t>но главкому маршалу А.А.Новикову о прибытии. Последний принял реше</w:t>
      </w:r>
      <w:r w:rsidRPr="007224C3">
        <w:rPr>
          <w:rFonts w:ascii="Times New Roman" w:hAnsi="Times New Roman"/>
          <w:color w:val="000000" w:themeColor="text1"/>
          <w:sz w:val="16"/>
          <w:szCs w:val="16"/>
        </w:rPr>
        <w:softHyphen/>
        <w:t>ние перевооружить часть новейши</w:t>
      </w:r>
      <w:r w:rsidRPr="007224C3">
        <w:rPr>
          <w:rFonts w:ascii="Times New Roman" w:hAnsi="Times New Roman"/>
          <w:color w:val="000000" w:themeColor="text1"/>
          <w:sz w:val="16"/>
          <w:szCs w:val="16"/>
        </w:rPr>
        <w:softHyphen/>
        <w:t>ми истребителями А.С.Яковлева. Как потом выяснилось, речь шла о Як-3. В моем присутствии - в то время за</w:t>
      </w:r>
      <w:r w:rsidRPr="007224C3">
        <w:rPr>
          <w:rFonts w:ascii="Times New Roman" w:hAnsi="Times New Roman"/>
          <w:color w:val="000000" w:themeColor="text1"/>
          <w:sz w:val="16"/>
          <w:szCs w:val="16"/>
        </w:rPr>
        <w:softHyphen/>
        <w:t>местителя командира полка - Нови</w:t>
      </w:r>
      <w:r w:rsidRPr="007224C3">
        <w:rPr>
          <w:rFonts w:ascii="Times New Roman" w:hAnsi="Times New Roman"/>
          <w:color w:val="000000" w:themeColor="text1"/>
          <w:sz w:val="16"/>
          <w:szCs w:val="16"/>
        </w:rPr>
        <w:softHyphen/>
        <w:t>ков связался по телефону с Яковле</w:t>
      </w:r>
      <w:r w:rsidRPr="007224C3">
        <w:rPr>
          <w:rFonts w:ascii="Times New Roman" w:hAnsi="Times New Roman"/>
          <w:color w:val="000000" w:themeColor="text1"/>
          <w:sz w:val="16"/>
          <w:szCs w:val="16"/>
        </w:rPr>
        <w:softHyphen/>
        <w:t>вым. Несколько только что построен</w:t>
      </w:r>
      <w:r w:rsidRPr="007224C3">
        <w:rPr>
          <w:rFonts w:ascii="Times New Roman" w:hAnsi="Times New Roman"/>
          <w:color w:val="000000" w:themeColor="text1"/>
          <w:sz w:val="16"/>
          <w:szCs w:val="16"/>
        </w:rPr>
        <w:softHyphen/>
        <w:t>ных Як-3 мы получили из Саратова. Я облетал одну машину, а вскоре мы с А.Алелюхиным провели учебные воз</w:t>
      </w:r>
      <w:r w:rsidRPr="007224C3">
        <w:rPr>
          <w:rFonts w:ascii="Times New Roman" w:hAnsi="Times New Roman"/>
          <w:color w:val="000000" w:themeColor="text1"/>
          <w:sz w:val="16"/>
          <w:szCs w:val="16"/>
        </w:rPr>
        <w:softHyphen/>
        <w:t>душные бои с пересадкой пилотов на Як-3 и Ме-109Г (модификацию не помню).</w:t>
      </w:r>
    </w:p>
    <w:p w14:paraId="4BEDDBD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Новый самолет Яковлева проде</w:t>
      </w:r>
      <w:r w:rsidRPr="007224C3">
        <w:rPr>
          <w:rFonts w:ascii="Times New Roman" w:hAnsi="Times New Roman"/>
          <w:color w:val="000000" w:themeColor="text1"/>
          <w:sz w:val="16"/>
          <w:szCs w:val="16"/>
        </w:rPr>
        <w:softHyphen/>
        <w:t>монстрировал отличную управляе</w:t>
      </w:r>
      <w:r w:rsidRPr="007224C3">
        <w:rPr>
          <w:rFonts w:ascii="Times New Roman" w:hAnsi="Times New Roman"/>
          <w:color w:val="000000" w:themeColor="text1"/>
          <w:sz w:val="16"/>
          <w:szCs w:val="16"/>
        </w:rPr>
        <w:softHyphen/>
        <w:t>мость, легкость и послушность в пило</w:t>
      </w:r>
      <w:r w:rsidRPr="007224C3">
        <w:rPr>
          <w:rFonts w:ascii="Times New Roman" w:hAnsi="Times New Roman"/>
          <w:color w:val="000000" w:themeColor="text1"/>
          <w:sz w:val="16"/>
          <w:szCs w:val="16"/>
        </w:rPr>
        <w:softHyphen/>
        <w:t>тировании («пилотажная машина»). Но его двигатель - все тот же М-105ПФ, только еще более форсированный. Следовательно, его надежность обя</w:t>
      </w:r>
      <w:r w:rsidRPr="007224C3">
        <w:rPr>
          <w:rFonts w:ascii="Times New Roman" w:hAnsi="Times New Roman"/>
          <w:color w:val="000000" w:themeColor="text1"/>
          <w:sz w:val="16"/>
          <w:szCs w:val="16"/>
        </w:rPr>
        <w:softHyphen/>
        <w:t>зательно снизится. Наш полк много времени проводил за выполнением «свободной охоты» над территорией противника и планировал впредь за</w:t>
      </w:r>
      <w:r w:rsidRPr="007224C3">
        <w:rPr>
          <w:rFonts w:ascii="Times New Roman" w:hAnsi="Times New Roman"/>
          <w:color w:val="000000" w:themeColor="text1"/>
          <w:sz w:val="16"/>
          <w:szCs w:val="16"/>
        </w:rPr>
        <w:softHyphen/>
        <w:t>ниматься подобной работой. В 100-150 км за линией фронта любая про</w:t>
      </w:r>
      <w:r w:rsidRPr="007224C3">
        <w:rPr>
          <w:rFonts w:ascii="Times New Roman" w:hAnsi="Times New Roman"/>
          <w:color w:val="000000" w:themeColor="text1"/>
          <w:sz w:val="16"/>
          <w:szCs w:val="16"/>
        </w:rPr>
        <w:softHyphen/>
        <w:t>боина водосистемы может оказаться фатальной. В то же время на Ла-5 я неоднократно прилетал с десятками пробоин, а один раз осколки зенит</w:t>
      </w:r>
      <w:r w:rsidRPr="007224C3">
        <w:rPr>
          <w:rFonts w:ascii="Times New Roman" w:hAnsi="Times New Roman"/>
          <w:color w:val="000000" w:themeColor="text1"/>
          <w:sz w:val="16"/>
          <w:szCs w:val="16"/>
        </w:rPr>
        <w:softHyphen/>
        <w:t>ного снаряда разбили всю внешнюю «звезду», и все же мне посчастливи</w:t>
      </w:r>
      <w:r w:rsidRPr="007224C3">
        <w:rPr>
          <w:rFonts w:ascii="Times New Roman" w:hAnsi="Times New Roman"/>
          <w:color w:val="000000" w:themeColor="text1"/>
          <w:sz w:val="16"/>
          <w:szCs w:val="16"/>
        </w:rPr>
        <w:softHyphen/>
        <w:t>лось вернуться на аэродром и при</w:t>
      </w:r>
      <w:r w:rsidRPr="007224C3">
        <w:rPr>
          <w:rFonts w:ascii="Times New Roman" w:hAnsi="Times New Roman"/>
          <w:color w:val="000000" w:themeColor="text1"/>
          <w:sz w:val="16"/>
          <w:szCs w:val="16"/>
        </w:rPr>
        <w:softHyphen/>
        <w:t>землиться.</w:t>
      </w:r>
    </w:p>
    <w:p w14:paraId="7F18CEA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 отказался от Як-3, того же мне</w:t>
      </w:r>
      <w:r w:rsidRPr="007224C3">
        <w:rPr>
          <w:rFonts w:ascii="Times New Roman" w:hAnsi="Times New Roman"/>
          <w:color w:val="000000" w:themeColor="text1"/>
          <w:sz w:val="16"/>
          <w:szCs w:val="16"/>
        </w:rPr>
        <w:softHyphen/>
        <w:t>ния придерживался и Морозов: «Дай</w:t>
      </w:r>
      <w:r w:rsidRPr="007224C3">
        <w:rPr>
          <w:rFonts w:ascii="Times New Roman" w:hAnsi="Times New Roman"/>
          <w:color w:val="000000" w:themeColor="text1"/>
          <w:sz w:val="16"/>
          <w:szCs w:val="16"/>
        </w:rPr>
        <w:softHyphen/>
        <w:t>те нам Ла-5». Узнав о нашем реше</w:t>
      </w:r>
      <w:r w:rsidRPr="007224C3">
        <w:rPr>
          <w:rFonts w:ascii="Times New Roman" w:hAnsi="Times New Roman"/>
          <w:color w:val="000000" w:themeColor="text1"/>
          <w:sz w:val="16"/>
          <w:szCs w:val="16"/>
        </w:rPr>
        <w:softHyphen/>
        <w:t>нии, Яковлев отреагировал: «Если лет</w:t>
      </w:r>
      <w:r w:rsidRPr="007224C3">
        <w:rPr>
          <w:rFonts w:ascii="Times New Roman" w:hAnsi="Times New Roman"/>
          <w:color w:val="000000" w:themeColor="text1"/>
          <w:sz w:val="16"/>
          <w:szCs w:val="16"/>
        </w:rPr>
        <w:softHyphen/>
        <w:t>чики не хотят брать «Яки», то это г..., а не сталинские асы». Но Новиков воз</w:t>
      </w:r>
      <w:r w:rsidRPr="007224C3">
        <w:rPr>
          <w:rFonts w:ascii="Times New Roman" w:hAnsi="Times New Roman"/>
          <w:color w:val="000000" w:themeColor="text1"/>
          <w:sz w:val="16"/>
          <w:szCs w:val="16"/>
        </w:rPr>
        <w:softHyphen/>
        <w:t>разил, что речь идет о его лучших воз</w:t>
      </w:r>
      <w:r w:rsidRPr="007224C3">
        <w:rPr>
          <w:rFonts w:ascii="Times New Roman" w:hAnsi="Times New Roman"/>
          <w:color w:val="000000" w:themeColor="text1"/>
          <w:sz w:val="16"/>
          <w:szCs w:val="16"/>
        </w:rPr>
        <w:softHyphen/>
        <w:t>душных бойцах. На том разговор не закончился, поскольку главком ВВС оперативно связался с С.А.Лавочки</w:t>
      </w:r>
      <w:r w:rsidRPr="007224C3">
        <w:rPr>
          <w:rFonts w:ascii="Times New Roman" w:hAnsi="Times New Roman"/>
          <w:color w:val="000000" w:themeColor="text1"/>
          <w:sz w:val="16"/>
          <w:szCs w:val="16"/>
        </w:rPr>
        <w:softHyphen/>
        <w:t>ным. Он запросил у главного конст</w:t>
      </w:r>
      <w:r w:rsidRPr="007224C3">
        <w:rPr>
          <w:rFonts w:ascii="Times New Roman" w:hAnsi="Times New Roman"/>
          <w:color w:val="000000" w:themeColor="text1"/>
          <w:sz w:val="16"/>
          <w:szCs w:val="16"/>
        </w:rPr>
        <w:softHyphen/>
        <w:t>руктора партию новейших истреби</w:t>
      </w:r>
      <w:r w:rsidRPr="007224C3">
        <w:rPr>
          <w:rFonts w:ascii="Times New Roman" w:hAnsi="Times New Roman"/>
          <w:color w:val="000000" w:themeColor="text1"/>
          <w:sz w:val="16"/>
          <w:szCs w:val="16"/>
        </w:rPr>
        <w:softHyphen/>
        <w:t>телей для вооружения части. О но</w:t>
      </w:r>
      <w:r w:rsidRPr="007224C3">
        <w:rPr>
          <w:rFonts w:ascii="Times New Roman" w:hAnsi="Times New Roman"/>
          <w:color w:val="000000" w:themeColor="text1"/>
          <w:sz w:val="16"/>
          <w:szCs w:val="16"/>
        </w:rPr>
        <w:softHyphen/>
        <w:t>вых Ла-7 мы еще ничего не знали...» (10714).</w:t>
      </w:r>
    </w:p>
    <w:p w14:paraId="75BDCCC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664AA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 закончились летные испытания скоростного нагнетателя "Э-67" на Ла-5 с М-82ФН N 1618 21 завода, которые начались в апреле (744,3).</w:t>
      </w:r>
    </w:p>
    <w:p w14:paraId="284AF0D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0536F9" w14:textId="77777777" w:rsidR="00AA1E7E" w:rsidRPr="007224C3" w:rsidRDefault="00AA1E7E" w:rsidP="007224C3">
      <w:pPr>
        <w:pStyle w:val="ae"/>
        <w:shd w:val="clear" w:color="auto" w:fill="FFFFFF"/>
        <w:spacing w:before="0" w:after="0"/>
        <w:jc w:val="both"/>
        <w:rPr>
          <w:color w:val="000000" w:themeColor="text1"/>
          <w:sz w:val="16"/>
          <w:szCs w:val="16"/>
        </w:rPr>
      </w:pPr>
      <w:r w:rsidRPr="007224C3">
        <w:rPr>
          <w:color w:val="000000" w:themeColor="text1"/>
          <w:sz w:val="16"/>
          <w:szCs w:val="16"/>
        </w:rPr>
        <w:t>В мае 1944 г. вышло постановление правительства о про ектировании реактивного истребителя под ТРД A.M. Люльки в ОКБ С.А. Лавочкина. Сроком предъявления самолета на лет ные испытания назначили март 1946 г.. В конце февра ля 1944 г. в очередной сводке военпреда при ОКБ завода № 21 инженер-капитана В.Р. Ефремова сообщалось, что в ОКБ осуществляется разработка проекта истребителя Ла-ВРД с ТРД Люльки со статической тягой 1250 кгс. В.Р. Ефремов отмечал только, что не решен вопрос о приемис тости двигателя A.M. Люльки. Тем не менее было принято решение о постройке этого самолета с передачей первого эк земпляра на летные испытания к 1 марта 1946 г. К 1 ноября 1944 г. был закончен эскизный проект, но по независящим от его создателей причинам Ла-ВРД тоже не пошел в производ ство. В результате начало серьезного развертывания работ по созданию турбореактивных самолетов в России было задержа но на полтора-два года. Машина создавалась в московском филиале ОКБ под ру ководством С.А. Алексеева, установившим с двигателистами тесные контакты (19586).</w:t>
      </w:r>
    </w:p>
    <w:p w14:paraId="091ADF61" w14:textId="77777777" w:rsidR="00AA1E7E" w:rsidRPr="007224C3" w:rsidRDefault="00AA1E7E" w:rsidP="007224C3">
      <w:pPr>
        <w:pStyle w:val="ae"/>
        <w:shd w:val="clear" w:color="auto" w:fill="FFFFFF"/>
        <w:spacing w:before="0" w:after="0"/>
        <w:jc w:val="both"/>
        <w:rPr>
          <w:color w:val="000000" w:themeColor="text1"/>
          <w:sz w:val="16"/>
          <w:szCs w:val="16"/>
        </w:rPr>
      </w:pPr>
    </w:p>
    <w:p w14:paraId="66F8357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 по постановлению ГКО в ОКБ А.С.Я., А.И.М. и П.О.С. была начата разработка истребителей с реактивными ускорителями (262,83).</w:t>
      </w:r>
    </w:p>
    <w:p w14:paraId="5B2752D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A3038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 в НИИ ВВС закончились испытания Р-47D, которые начались в апреле. Всего мы получили около 200 Тандерболтов (173,264).</w:t>
      </w:r>
    </w:p>
    <w:p w14:paraId="1ECB866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EFB28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 в ЦАГИ делали продувки в натурной трубе Т-101 шестого экземпляра Би (Би-6), на котором на концах крыла установили прямоточки ПВРД. Дальше дело не пошло (1107,80).</w:t>
      </w:r>
    </w:p>
    <w:p w14:paraId="06A1873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CE1BF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 был выполнен первый полет на МДР-6 Б-4 с 2хВК107 (667,330).</w:t>
      </w:r>
    </w:p>
    <w:p w14:paraId="6713617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8E527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 прошли испытания первого серийного Г-11 95-й серии N 63001, производство которых было возобновлено на 168 заводе в Рязани, куда был возвращен один из заводов из Тюмени, строивший К-7. Летал В.Чубуков (94,69).</w:t>
      </w:r>
    </w:p>
    <w:p w14:paraId="07FE895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E73D26" w14:textId="77777777" w:rsidR="00822884" w:rsidRPr="007224C3" w:rsidRDefault="0082288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 головной образец Г-11 рязанского завода облетал старший лейтенант В. Чубуков с Опытно-испытательного полигона Воздушно-десантных войск. Взвешивание показало, что Г-11 № 63001 рязанского изготовления на 64 кг тяжелее сделанного в Шумерли. По своей центровке, лётным данным и характеристикам пилотирования они не различались. Планёр показал себя устойчивым в полёте, отличался хорошей управляемостью. На нём даже выполняли штопор, переворот и бочку. При этом пилотирование Г-11 было проще, чем А-7. Начиная с 21-го экземпляра рязанской сборки ввели грузовой люк вместо двери на правом борту. Он закрывался двумя створками. На крыле появились интерцепторы. Позже предусмотрели резиновые пластинчатые амортизаторы для посадочной лыжи и установили небольшой форкиль. В ходе серийного производства в конструкцию Г-11 вносились изменения. Когда стало ясно, что сбрасывать парашютистов из планера не имеет смысла, то упразднили дверь на правом борту (с экземпляра № 21), оставив её только слева. Обобщив опыт применения Г-11, на рязанских планерах стали устанавливать широкую (1400 мм) грузовую дверь (19014).</w:t>
      </w:r>
    </w:p>
    <w:p w14:paraId="2421A848" w14:textId="77777777" w:rsidR="00822884" w:rsidRPr="007224C3" w:rsidRDefault="00822884" w:rsidP="007224C3">
      <w:pPr>
        <w:spacing w:after="0" w:line="240" w:lineRule="auto"/>
        <w:jc w:val="both"/>
        <w:rPr>
          <w:rFonts w:ascii="Times New Roman" w:hAnsi="Times New Roman"/>
          <w:color w:val="000000" w:themeColor="text1"/>
          <w:sz w:val="16"/>
          <w:szCs w:val="16"/>
        </w:rPr>
      </w:pPr>
    </w:p>
    <w:p w14:paraId="3A41A4F4" w14:textId="77777777" w:rsidR="00552857" w:rsidRPr="007224C3" w:rsidRDefault="0055285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 головной образец Г-11, собранный в Рязани, облетал старший лейтенант В. Чу</w:t>
      </w:r>
      <w:r w:rsidRPr="007224C3">
        <w:rPr>
          <w:rFonts w:ascii="Times New Roman" w:hAnsi="Times New Roman"/>
          <w:color w:val="000000" w:themeColor="text1"/>
          <w:sz w:val="16"/>
          <w:szCs w:val="16"/>
        </w:rPr>
        <w:softHyphen/>
        <w:t>буков с Опытно-испытательного полигона Воздушно- десантных войск. Взвешивание показало, что Г-11 № 63001 рязанского изготовления на 64 кг тяжелее сделанного в Шумерли. По своей центровке, лет</w:t>
      </w:r>
      <w:r w:rsidRPr="007224C3">
        <w:rPr>
          <w:rFonts w:ascii="Times New Roman" w:hAnsi="Times New Roman"/>
          <w:color w:val="000000" w:themeColor="text1"/>
          <w:sz w:val="16"/>
          <w:szCs w:val="16"/>
        </w:rPr>
        <w:softHyphen/>
        <w:t>ным данным и характеристикам пилотирования они не различались. Планер показал себя устойчивым в полете, отличался хорошей управляемостью. На нем даже выполняли штопор, переворот и бочку. При этом пилотирование Г-11 было проще, чем А-7.</w:t>
      </w:r>
    </w:p>
    <w:p w14:paraId="0361F378" w14:textId="77777777" w:rsidR="00552857" w:rsidRPr="007224C3" w:rsidRDefault="0055285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Начиная с 21-го экземпляра рязанской сборки ввели грузовой люк вместо двери на правом борту. Он закрывался двумя створками. На крыле появились интерцепторы. Позже предусмотрели резиновые пластинчатые амортизаторы для посадочной лыжи и установили небольшой форкиль.</w:t>
      </w:r>
    </w:p>
    <w:p w14:paraId="5FC5F95D" w14:textId="77777777" w:rsidR="00552857" w:rsidRPr="007224C3" w:rsidRDefault="0055285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ходе серийного производства в конструкцию Г-11 вносились изменения. Когда стало ясно, что сбрасывать парашютистов из планера не имеет смысла, то упразднили дверь на правом борту (с эк</w:t>
      </w:r>
      <w:r w:rsidRPr="007224C3">
        <w:rPr>
          <w:rFonts w:ascii="Times New Roman" w:hAnsi="Times New Roman"/>
          <w:color w:val="000000" w:themeColor="text1"/>
          <w:sz w:val="16"/>
          <w:szCs w:val="16"/>
        </w:rPr>
        <w:softHyphen/>
        <w:t>земпляра № 21), оставив ее только слева. Обобщив опыт применения Г-11, на рязанских планерах стали устанавливать широкую (1400 мм) грузовую дверь (12300).</w:t>
      </w:r>
    </w:p>
    <w:p w14:paraId="48FC5C85" w14:textId="77777777" w:rsidR="00552857" w:rsidRPr="007224C3" w:rsidRDefault="00552857" w:rsidP="007224C3">
      <w:pPr>
        <w:spacing w:after="0" w:line="240" w:lineRule="auto"/>
        <w:jc w:val="both"/>
        <w:rPr>
          <w:rFonts w:ascii="Times New Roman" w:hAnsi="Times New Roman"/>
          <w:color w:val="000000" w:themeColor="text1"/>
          <w:sz w:val="16"/>
          <w:szCs w:val="16"/>
        </w:rPr>
      </w:pPr>
    </w:p>
    <w:p w14:paraId="14763E3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 г. турбокомпрессор АМТК-1 удовлетворительно про</w:t>
      </w:r>
      <w:r w:rsidRPr="007224C3">
        <w:rPr>
          <w:rFonts w:ascii="Times New Roman" w:hAnsi="Times New Roman"/>
          <w:color w:val="000000" w:themeColor="text1"/>
          <w:sz w:val="16"/>
          <w:szCs w:val="16"/>
        </w:rPr>
        <w:softHyphen/>
        <w:t>шел 100-часовые испытания на стенде, которые были засчитаны ВВС и НКАП в качестве совместных (10781).</w:t>
      </w:r>
    </w:p>
    <w:p w14:paraId="173CE2E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5D875A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 г. заводу (ГС Завод № 45 НКАП, МАП, ММЗ, МНПО «Салют», п/я 229, Г-4988, ГУП ФНПЦ, ФГУП «Московское машиностроительное производственное предприятие (ММПП) «Салют» /г. Москва Мейеровский пр., 14 (1942 г.)/ /105118  г. Москва пр. Будённого, 16 тел. 369-80-01/) поручено изготовление части узлов для 5 опытных ТРД С-18 A.M. Люльки, с 1945 г. начато освоение производства его летного варианта ТР-1. В послевоенные годы продолжались работы по моторам Микулина (в т.ч. по АМ-46).</w:t>
      </w:r>
    </w:p>
    <w:p w14:paraId="2C257B8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07.1946 г. завод определен как опытная база по постройке реактивных двигателей A.M. Люльки и А.А. Микулина и вскоре, по приказу № 479сс от 23.07.1946 г., при заводе образованы филиалы завода № 165 (руководитель- С.К. Туманский) и завода № 300 для организации производства ТР-1 и АМТКРД-01, АМТКРД-02.</w:t>
      </w:r>
    </w:p>
    <w:p w14:paraId="3501B6C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1947 г. на заводе- производственная база ОКБ гл. конструктора В.Я. Климова.</w:t>
      </w:r>
    </w:p>
    <w:p w14:paraId="1DCEA38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11.1948 г. начат серийный выпуск двигателя ВК-1. С 06.1956 г. начато серийное производство АЛ-7Ф.</w:t>
      </w:r>
    </w:p>
    <w:p w14:paraId="1B6334D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конце 1950-х на заводе № 45 было налажено производство порохового двигателя ПРД-45 для УРВВ РС-2- УС.</w:t>
      </w:r>
    </w:p>
    <w:p w14:paraId="47EF506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соответствии с пост. СМ СССР № 713-342 от 26.06.1957 г. передан в ведение СНХ РСФСР.</w:t>
      </w:r>
    </w:p>
    <w:p w14:paraId="42EB9A7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1963 г. завод № 45 получил название ММЗ «Салют». Имел наименования «п/я 229», Г-4988 (1973-85 г.), с 1982(1) г.- ММПО «Салют». В состав ПО вошли также: Воскресенский машиностроительный завод «Салют», а затем- Хойницкий, Грибановский и Россошанский машиностроительные заводы. В 12.1991 г. ММПО переименовано в Московское машиностроительное производственное предприятие (ММПП) «Салют». В соответствии с распоряжением правительства № 952-р от 18.06.1999 г. предприятию присвоен статус Федерального научно-производственного центра (ФНПЦ), подтвержден распоряжениями № 188-р от 10.02.2004 г. и №154 от 7.02.2006 г.</w:t>
      </w:r>
    </w:p>
    <w:p w14:paraId="639293E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ММПП «Салют» включает в себя предприятия: НПП «ЭГА», Гаврилов-Ямский машиностроительный завод «Агат», Московский станкостроительный завод «Салют», ГП «Статор», филиал в  г. Воскресенске по производству узлов двигателей.</w:t>
      </w:r>
      <w:r w:rsidRPr="007224C3">
        <w:rPr>
          <w:rFonts w:ascii="Times New Roman" w:hAnsi="Times New Roman"/>
          <w:color w:val="000000" w:themeColor="text1"/>
          <w:sz w:val="16"/>
          <w:szCs w:val="16"/>
          <w:vertAlign w:val="superscript"/>
        </w:rPr>
        <w:t>31</w:t>
      </w:r>
      <w:r w:rsidRPr="007224C3">
        <w:rPr>
          <w:rFonts w:ascii="Times New Roman" w:hAnsi="Times New Roman"/>
          <w:color w:val="000000" w:themeColor="text1"/>
          <w:sz w:val="16"/>
          <w:szCs w:val="16"/>
        </w:rPr>
        <w:t xml:space="preserve"> В 2002 г. в состав холдинга «Салют» вошел кишиневский завод «Топаз». В 07.2003 г. в состав ММПП «Салют» вошел ФГУП «Воскресенский машиностроительный завод «Салют».</w:t>
      </w:r>
      <w:r w:rsidRPr="007224C3">
        <w:rPr>
          <w:rFonts w:ascii="Times New Roman" w:hAnsi="Times New Roman"/>
          <w:color w:val="000000" w:themeColor="text1"/>
          <w:sz w:val="16"/>
          <w:szCs w:val="16"/>
          <w:vertAlign w:val="superscript"/>
        </w:rPr>
        <w:t>V22 07 03</w:t>
      </w:r>
      <w:r w:rsidRPr="007224C3">
        <w:rPr>
          <w:rFonts w:ascii="Times New Roman" w:hAnsi="Times New Roman"/>
          <w:color w:val="000000" w:themeColor="text1"/>
          <w:sz w:val="16"/>
          <w:szCs w:val="16"/>
        </w:rPr>
        <w:t xml:space="preserve"> В 2003 г. построен цех по производству конструкционного графита АТГ-С, применяемого для уплотнительных колец ГТД. В 2005 г. в состав ММПП «Салют» входило также МКБ «Гранит», ОАО «Агрегат» ( г. Сим), НИИД (в качестве филиала), ОКБ «Горизонт».</w:t>
      </w:r>
    </w:p>
    <w:p w14:paraId="09413E1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1999 г. на заводе образовано КБ ПР (перспективных разработок), получившее статус филиала КБ «Прогресс». В него перешла группа специалистов из ОКБ «Люлька-Сатурн». Создана модификация двигателя АЛ-31ФН для китайского истребителя J-10.</w:t>
      </w:r>
    </w:p>
    <w:p w14:paraId="26F6E5A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10.04.2003 г. на базе ММПП «Салют» и УМПО образована корпорация «Газотурбинные двигатели». По Указу Президента РФ № 1009 от 4.08.2004 г. вошло в число стратегических оборонных предприятий. В 07.2005 г. было подписано соглашение о вхождении в состав ММПП «Салют» в течение года ОМО им. Баранова в качестве филиала.</w:t>
      </w:r>
    </w:p>
    <w:p w14:paraId="68D4D21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2000 г. разработана парогазотурбинная установка ПГУ-60С (МЭС-60).</w:t>
      </w:r>
    </w:p>
    <w:p w14:paraId="478DA74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Работы (2005 г.): модификация АЛ-31Ф-М1 (изд. 99М1) с цифровой системой управления, всеракурсным поворотным соплом (пнв в 12.2006 г.); наземная ГТЭС-20С для производства электроэнергии; разработка совместно с ЗМКБ «Прогресс» АИ-222-25 для Як-130. Работы по двигателю для вертолета мощностью 500... 1000 л.с. Установка по газификации твердых топлив, установка для озонирования воды, установка опреснительная «Каскад» (совместно со «СВЕРДНИИХИММАШ»), (2007 г.): модернизация АЛ-31Ф-М2, -МЗ (изд. 99М2, 99МЗ).</w:t>
      </w:r>
    </w:p>
    <w:p w14:paraId="2058567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2003 г. в Москве создан завод по сжиганию мусора.</w:t>
      </w:r>
    </w:p>
    <w:p w14:paraId="77F9179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Численность персонала (середина 1990-х  г.)- 4000 чел., (начало 2000-х  г.)- 12.524 чел., (2005 г.)- 15.000 чел.</w:t>
      </w:r>
    </w:p>
    <w:p w14:paraId="2A0B2DA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(1942-47 г.-)- М.С. Комаров, (1950-е)- М.Л. Кононенко, (1960-е  г.)- И.И. Пудков, А.И. Горелов, (- 1983 г.-)- Ю.Н. Блощицын, Ю.В. Пугин, (1987-96 г.)-  Г.К. Язов, (10.1996-97 г.) Ю.С. Елисеев. Гендиректор (12.1997-2007 г.-)- Ю.С. Елисеев.</w:t>
      </w:r>
    </w:p>
    <w:p w14:paraId="09E3879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Гендиректора: по производству (2002 г.)- А.В. Жихарев; по науке (2000-06 г.-)- В.В. Крымов; по ВЭД (- 2002-05 г.-)- В.Н. Суралев, (07.2006 г.)- И.А. Мулишкин; по МТО и социально-бытовым вопросам (2002 г.)- М.А. Скворцов; по экономике (2002 г.)- В.И. Брылев; по кадрам (2002 г.)- А.В. Пантелеев; по качеству (2002 г.)- С.И. Грачев. Директор: по производству (2005 г.)- А. Г. Самаркин; по авиационным программам (2005 г.)- А.Ю. Потапов; по наземно-промышленным программам (2005 г.)- С. Кузнецов.</w:t>
      </w:r>
    </w:p>
    <w:p w14:paraId="78D53B2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Технический директор (1994-96 г.)- Ю.С. Елисеев.</w:t>
      </w:r>
    </w:p>
    <w:p w14:paraId="274AB00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конструктор: по дизелям (1945-46 г.)- В.М. Яковлев; (-1943-46 г.-)- А.А. Микулин (одновременно- гл. конструктор завода № 300). Ген. конструктор (-2002-05 г.-)- И.И. Гольдинский.</w:t>
      </w:r>
    </w:p>
    <w:p w14:paraId="774F5E7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гл. конструктора (1944 г.)- С.М. Грибов.</w:t>
      </w:r>
    </w:p>
    <w:p w14:paraId="3AE90E3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инженер (1942-44 г.-)- М.Л. Кононенко, (1946 г.)- А.А. Куинджи, (1950-е)- Н.С. Столяров, (1970-е)- М.М. Томашевский, (1976-78 г.)- В.М. Толоконников, (1981-2000 г.)- В.В. Крымов, (-2002-05 г.-&gt; В.А. Поклад.</w:t>
      </w:r>
    </w:p>
    <w:p w14:paraId="19D268E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гл. инженера: по новой технике (1976 г.-)- В.В. Крымов; по механизации и автоматизации (1988 г.-)- Ю.С. Елисеев, (2004 г.)- А.Н. Шутов.</w:t>
      </w:r>
    </w:p>
    <w:p w14:paraId="380F76D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технолог (1944 г.)- В.В. Чернышов.</w:t>
      </w:r>
    </w:p>
    <w:p w14:paraId="444E881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Начальники цехов: (1981 г.-)- Ю.С. Елисеев.</w:t>
      </w:r>
    </w:p>
    <w:p w14:paraId="13C7DBD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Производство: авиационные двигатели: поршневые: АМ-38 (1942-43) и АМ-38Ф (1943-45)- всего более 10.000; дизель АЧ-30Б (1944-45)- 145 (в 1944), АМ-39 (1944-45); ГТД: РД-45 (1948-50), РД-45Ф, ТР-1 (1947-), ВК- 1 (1948-52), ВК-1А (1952-60), ВК-1Ф (1953-), АЛ-7 (1956-), АЛ-7Ф (1958-), АЛ-7ПБ (1959-), АЛ-7Ф-1 (1957-68), АЛ-7Ф-2 (1961-1990-е), АЛ-7Ф-3, Р-15Б-300 (1965-1990-), АЛ-21Ф (1972-84), АЛ-31Ф (изд. 99) (1983-2006-), АЛ- 31ФП, АЛ-55, Д-436 (2002), Д-27 (2002), ТВД-1500, РД-600; гл. редукторы вертолетов; турбостартер ТС-21; узлы для Д-436Т, Д-27, АИ-222 (2006); ремонт двигателей АЛ-31Ф, Р15Б-300 (-2004-06-); промышленные энергетические и газоперекачивающие установки ГТУ89-СТ-20, ГТУ-20С (2002), БГТЭС-1С, БГТЭС-20С, ПГУ- 60 (-2005-06-);</w:t>
      </w:r>
      <w:r w:rsidRPr="007224C3">
        <w:rPr>
          <w:rFonts w:ascii="Times New Roman" w:hAnsi="Times New Roman"/>
          <w:color w:val="000000" w:themeColor="text1"/>
          <w:sz w:val="16"/>
          <w:szCs w:val="16"/>
          <w:vertAlign w:val="superscript"/>
        </w:rPr>
        <w:t>69</w:t>
      </w:r>
      <w:r w:rsidRPr="007224C3">
        <w:rPr>
          <w:rFonts w:ascii="Times New Roman" w:hAnsi="Times New Roman"/>
          <w:color w:val="000000" w:themeColor="text1"/>
          <w:sz w:val="16"/>
          <w:szCs w:val="16"/>
        </w:rPr>
        <w:t xml:space="preserve"> мотоблоки «Салют», весы напольные, байдарка «Таймень-2», бензогенератор «Салют-БГ» (11092).</w:t>
      </w:r>
    </w:p>
    <w:p w14:paraId="75494F6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878C24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 г. большую часть конструкторского коллектива с завода № 154 перевели в Москву на завод № 41. Главным конструктором ОКБ-41 стал Е.В. Урмин. Не согласный с Коссовым в отношении концепции двигателей, Урмин в конце 1944 г. - начале 1945 г. по тем же заданиям спроектировал свои собственные варианты М-12 и М-13, в которых использовалось большее, чем в двигателях Косова, количество деталей от серийного М-11Д. Большая степень унификации должна была удешевить производство, хотя ограничивала возможности в отношении повышения мощности. М-12 Урмина сначала именовался М-11Я. Его опытный образец был изготовлен в конце 1945 г. и испытывался с января следующего года. Однако результаты оказались неудовлетворительными. М-12 конструкции Урмина доводился до середины 1946 г., а затем был заброшен (11478).</w:t>
      </w:r>
    </w:p>
    <w:p w14:paraId="6BC28BF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181537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 г. конструкторское бюро из Андижана перевели в Москву и объединили с бюро завода № 41. После короткого периода "утряски" во главе объединенного коллектива встал Мужилов. Конструкторы продолжили дальнейшее совершенствование М-11Ф. В сентябре 1946 г. мотор прошел госиспытания. Он серийно выпускался с середины 1947 г. М-11ФР-1 осваивали практически параллельно три завода - № 41 в Москве, № 154, возвращенный после окончания войны обратно в Воронеж, и № 478, организованный в цехах эвакуированного в Сибирь завода № 29. Но в Москве эти моторы делали недолго, выпустив всего 27 штук. В Запорожье выпуск М-11ФР-1 начали в 1947 г. Но местных конструкторов во главе с А.Г. Ивченко прибывшие из Москвы чертежи не удовлетворили. Еще в 1946 г. они предложили свой вариант модернизации "старичка" М-11. Их модификация получила обозначение М-11ФР. Первый образец М-11ФР изготовили в октябре 1946 г., а месяц спустя его выставили на государственные испытания. Но запорожцев сначала постигла неудача. Доводка двигателя продолжалась до апреля 1947 г. С 4-го квартала 1948 г. его запустили в серийное производство вместо ФР-1. В следующем году его стали выпускать и в Воронеже. Старый М-11Д в СССР перестали собирать в 1947 г. Но в сентябре того же года документацию на эту модификацию передали Польше, где годом позже развернули ее производство. Но в Воронеже сочли, что в серии нужно сохранить два варианта М-11 разной мощности: один, более мощный и способный работать с винтом изменяемого шага, предназначался для нового учебного самолета Як-18, второй, менее мощный и под винт фиксированного шага, нужен был для сохранявшегося в производстве У-2 (ныне По-2). В качестве первого вполне подходил ФР, а для второй позиции воронежцы предложили свой М-11К мощностью до 125 л.с. Он являлся дальнейшим развитием М-11Д. М-11К выпускался в Воронеже серийно с января 1948 г.; с третьей серии на моторах этой модификации был введен пневмопуск. Дальнейшим развитием типа К третьей серии стал М-11Л. Внесенные в него изменения в основном преследовали одну цель: добиться повышения надежности и увеличить ресурс. Заводские испытания М-11Л успешно прошли в 1948 г., а годом позже ресурс довели до 900 ч. И запустили его в массовое производство. В 1950 г. таких моторов в Воронеже делали больше, чем ФР. Но уже годом позже из Москвы поступило распоряжение прекратить выпуск типа Л. В производстве сохранили только модификацию ФР. Завод № 478 снял М-11ФР с производства фактически еще в конце 1949 г.; в начале 1950 г. там сдали три последних мотора. В Воронеже план урезали примерно вдвое. Однако до 1955 г. завод делал примерно по 1200-1300 М-11ФР в год. Далее выпуск стабильно снижался. Последние 26 двигателей сдали в 1959 г. Всего М-11 находился в СССР в серийном производстве 30 лет, за этот период сделали около 75000 экземпляров. К этому следует добавить моторы, выпущенные в Польше и Китае. Китайцам документацию на М-11ФР передали в начале 50-х годов. Один из китайских заводов выпускал эти моторы около десяти лет. Сейчас на дворе 2008-й. Последние М-11 были собраны около 50 лет назад. Большое количество М-11 хранится в разных музеях. Но некоторое число моторов, конечно, прошедших немало ремонтов, до сих пор находится в эксплуатации. Они стоят на летающих репликах По-2 и Ш-2, а также на аэросанях, строящихся любителями-энтузиастами. Так что вы не только можете полюбоваться на знаменитый двигатель, но и услышать его в работе (11479).</w:t>
      </w:r>
    </w:p>
    <w:p w14:paraId="796B94B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F35B2F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 г. на площадке эвакуированного завода № 387 (и на площадке завода № 47) производился ремонт танков, а затем были организованы заводы № 273 НКАП и № 287 НКАП (11982).</w:t>
      </w:r>
    </w:p>
    <w:p w14:paraId="3A203A8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17108E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 второй раз за войну НКАП повысил на 10% нормы выработки и снизил расценки на 9.1% (173,232).</w:t>
      </w:r>
    </w:p>
    <w:p w14:paraId="686E8B6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E715A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 была подготовлена справка:</w:t>
      </w:r>
    </w:p>
    <w:p w14:paraId="0336C38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“Электрит”, бывш. завод № 470 НКАП в Вильнюсе является союзным заводом, находящимся в ведении 5 гл. управления НКАП.</w:t>
      </w:r>
    </w:p>
    <w:p w14:paraId="66F797F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Устав завода утвержден в соответствии с постановлением Правительства от 7 декабря 1940 года и приказом НКАП № 110 от 15 марта 1941 года.</w:t>
      </w:r>
    </w:p>
    <w:p w14:paraId="438D9F9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соответствии с постановлением СНК от 4 марта 1944 года завод принят НКАП после освобождения от оккупации (8935).</w:t>
      </w:r>
    </w:p>
    <w:p w14:paraId="2B316CC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26FC3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 года директором завода № 11 треста № 41 НКАП был назначен Толмазов Н.Н.</w:t>
      </w:r>
    </w:p>
    <w:p w14:paraId="4CA68F5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Адрес: Жуковский Московской области</w:t>
      </w:r>
    </w:p>
    <w:p w14:paraId="2CD6C44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Производственный профиль – изготовление авиационной техники и аэродромного оборудования</w:t>
      </w:r>
    </w:p>
    <w:p w14:paraId="46344A9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декабре 1944 года директором завода назначен Нестеров В.А. (9729).</w:t>
      </w:r>
    </w:p>
    <w:p w14:paraId="5F1EF75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03DF6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 г. вновь организован в 5ГУ НКАП Завод № 287 на площадке эвакуированного завода № 387 (и на площадке завода № 47). С 1.10.1944 г. по приказу № 605с от 13.10.1944 г. передан из 5ГУ в систему 17ГУ НКАП (по РЛ технике). Работы по радиоприборам и РЛС. Территориально завод расположился между Международным пр., ул. Заставской и ул. Волкова (в 1933 г. на этом месте была фабрика-кухня). В начале 1945 г. проведено восстановление завода, началась организация производства высотомеров.</w:t>
      </w:r>
    </w:p>
    <w:p w14:paraId="299E7CF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12.1958 г. завод передан в ведение ГКРЭ. В соответствии с постановлением от 29.09.1965 г. завод № 287 вошел в состав МРП и получил название завод «Ленинец». По приказу МРП № 756 от 28.12.1973 г. завод «Ленинец» вошел в состав ЛПТО как производство № 3, а ЛПТО «Новатор» переименовано в ЛПТО «Ленинец». ОАО «Механический завод «Ленинец» входит в состав ХК «Ленинец».</w:t>
      </w:r>
    </w:p>
    <w:p w14:paraId="402CBD9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(1944-50 г.)- Л.Д. Юффе, (1950-57 г.)- Н.В. Аверин, (1957-58 г.)- А.Н. Рыжков, (1958-73 г.)- В.И. Солодовников, (затем- зам. директора ЛПТО по производству № 3).</w:t>
      </w:r>
    </w:p>
    <w:p w14:paraId="0F7203A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Производство: высотомеры: ВМВ-1 (1945-), РВ-2 (1950-е), РВ-10, РВ-17; РЛС: "Торий-А" (опытная партия, 1950), "Коршун" (опытная партия, 1952) , "Изумруд" РП-1 (-1952), "Алмаз" (середина 1950-х), РП-5, ЦД-30; радиодальномерная система точного бомбометания «Рым-С»; АРЛГС "Зенит" (5Г11), "Зенит-2" для ЗУР «400». </w:t>
      </w:r>
    </w:p>
    <w:p w14:paraId="2401ECB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Завод № 287 НКАП, МАП, МОП, ГКРЭ, завод, НПО «Ленинец» МРП, ОАО «Механический завод «Ленинец»</w:t>
      </w:r>
    </w:p>
    <w:p w14:paraId="78E1F46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 Ленинград</w:t>
      </w:r>
    </w:p>
    <w:p w14:paraId="0F6AE74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 Санкт-Петербург, ул. Парковая, 6</w:t>
      </w:r>
    </w:p>
    <w:p w14:paraId="1337FF1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ОКБ-287 МАП, ГКАТ, ГКРЭ </w:t>
      </w:r>
    </w:p>
    <w:p w14:paraId="6641DCD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 Ленинград</w:t>
      </w:r>
    </w:p>
    <w:p w14:paraId="07C1E28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Особое КБ № 287 вновь образовано при заводе № 287 МАП по приказу № 247с от 26.04.1946 г. в системе 17ГУ. Работы по сопровождению серии радиовысотомеров и РЛС разработки других организаций: РВ-2 «Кристалл», комплекта измерительной аппаратуры «Радий», радиодальномерной системы точного бомбометания «Рым-С», РЛС «Изумруд». С начала 1950-х г. началась самостоятельная разработка РЛС и радиодальномеров. В 1950-х г. разработаны различные системы для ракетной техники.</w:t>
      </w:r>
    </w:p>
    <w:p w14:paraId="341BEDE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ОКБ начаты одни из первых работ по созданию пассивных РЛ систем наведения УРВВ. Научный руководитель- В.С. Дехтярев.</w:t>
      </w:r>
    </w:p>
    <w:p w14:paraId="2E8335E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12.1957 г. ОКБ передано во вновь созданный ГКАТ, в 12.1958 г.- в ГКРЭ.</w:t>
      </w:r>
    </w:p>
    <w:p w14:paraId="7AB7971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 соответствии с постановлением СМ СССР № 615-278сс от 6.06.1959 г. на базе трех ОКБ-283, ОКБ-287 и ОКБ-794 в системе ГКРЭ в Ленинграде создан новый НИИ-131. ОКБ-287 стало базой для СКБ-4 НИИ-131. </w:t>
      </w:r>
    </w:p>
    <w:p w14:paraId="702D163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(1946-53 г.; 1956-59 г.)- В.С. Шунейко (затем- руководитель СКБ-4 НИИ-131), (1953-56 г.)- И.П. Лисенков.</w:t>
      </w:r>
    </w:p>
    <w:p w14:paraId="0CBA1E5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конструкторы- А.М. Громов (Е-801, Е-802), (1954 г.)- Н.И. Маркелов (РГС-1, РГС-8, РГС-70), (1955 г.)- В.С. Дехтярев («Жемчуг»).</w:t>
      </w:r>
    </w:p>
    <w:p w14:paraId="5B2B9C4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Создано: РЛС: «Курс»; дальномерно-бомбардировочная система точного бомбометания ДБС-2С «Лотос», система тактического бомбометания СТБ «Сигнал», РЛ система ближней навигации и точного бомбометания «Жемчуг» для Ту-98, Ил-54, Як-25Б (1955-); радиовысотомеры: «РВ-Шторм» для КР; радиодальномерная система для П-5Н (1958); радиовзрыватели: Е-801, Е-802, Е-802М для ЗУР «207» и «217»; РЛГСН: РГС-15 для К-15, РГС-1 и РГС-8 для К-8 (1954-), РГС-70 для К-70.</w:t>
      </w:r>
    </w:p>
    <w:p w14:paraId="3317C02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ОКБ завода «Ленинец»</w:t>
      </w:r>
    </w:p>
    <w:p w14:paraId="3133D9B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приказу МРП № 146 от 1.01.1974 г. ОКБ вошло в состав единого ЦКБ ЛПТО (10776).</w:t>
      </w:r>
    </w:p>
    <w:p w14:paraId="2D33D56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88F031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 г. завод № 11 сдал на испытания партию из 52 авиабомб чертежа 3-0411в, с передними обтекателями конической формы. Задние обтекатели также были коническими. Их вальцевали из трех частей и соединяли между собой с помощью точечной или роликовой сварки. Тормозной диск приваривали на восьми угольниках точечной сваркой, а угольники бугеля изготавливали, изгибая заготовки хомута. Помимо этого, изменилась и рецептура снаряжения факела, а купол парашюта из хлопчатобумажной ткани кроили в виде правильного шестнадцатиугольника.</w:t>
      </w:r>
    </w:p>
    <w:p w14:paraId="61779E4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Испытания новых САБ-50-15 провели днем в мае 1944 г. -ночные испытания командование ПВО столицы запретило. Авиабомбы сбрасывали с высот 2000 и 2500 м при скорости носителя 300 км/ч. Отказов в действии боеприпасов и взрывателей не было. Среднее время горения факела составило 3 мин. 16с. На основании испытаний отработанную в ГСКБ-47 техническую документацию утвердили Научно-техническим журналом ВВС № 078 от 1944 г., присвоив новому боеприпасу номер чертежа 3-01396 (7453).</w:t>
      </w:r>
    </w:p>
    <w:p w14:paraId="44FF870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EBAF5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 года специалисты СКБ разработали 6-зарядную установку – “станок М31” облегченного типа. По результатам полигонных испытаний она была принята на вооружение (11772).</w:t>
      </w:r>
    </w:p>
    <w:p w14:paraId="01B3A03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3160325" w14:textId="77777777" w:rsidR="006E5527" w:rsidRPr="007224C3" w:rsidRDefault="006E5527" w:rsidP="007224C3">
      <w:pPr>
        <w:spacing w:after="0" w:line="240" w:lineRule="auto"/>
        <w:jc w:val="both"/>
        <w:rPr>
          <w:rFonts w:ascii="Times New Roman" w:eastAsia="Times New Roman" w:hAnsi="Times New Roman"/>
          <w:color w:val="000000" w:themeColor="text1"/>
          <w:sz w:val="16"/>
          <w:szCs w:val="16"/>
        </w:rPr>
      </w:pPr>
      <w:r w:rsidRPr="007224C3">
        <w:rPr>
          <w:rFonts w:ascii="Times New Roman" w:eastAsia="Times New Roman" w:hAnsi="Times New Roman"/>
          <w:color w:val="000000" w:themeColor="text1"/>
          <w:sz w:val="16"/>
          <w:szCs w:val="16"/>
        </w:rPr>
        <w:t>В мае 1944 года специалисты СКБ завода Компрессор разработали 6-зарядную установку – “станок М31” облегченного типа. По результатам полигонных испытаний она была принята на вооружение (15981).</w:t>
      </w:r>
    </w:p>
    <w:p w14:paraId="5E837FE1" w14:textId="77777777" w:rsidR="006E5527" w:rsidRPr="007224C3" w:rsidRDefault="006E5527" w:rsidP="007224C3">
      <w:pPr>
        <w:spacing w:after="0" w:line="240" w:lineRule="auto"/>
        <w:jc w:val="both"/>
        <w:rPr>
          <w:rFonts w:ascii="Times New Roman" w:eastAsia="Times New Roman" w:hAnsi="Times New Roman"/>
          <w:color w:val="000000" w:themeColor="text1"/>
          <w:sz w:val="16"/>
          <w:szCs w:val="16"/>
        </w:rPr>
      </w:pPr>
    </w:p>
    <w:p w14:paraId="75CDB89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 из ЦКБ-29 освободили почти всех кроме Р.Л.Б. (1105,7).</w:t>
      </w:r>
    </w:p>
    <w:p w14:paraId="70309C7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284005" w14:textId="77777777" w:rsidR="00303837" w:rsidRPr="007224C3" w:rsidRDefault="00303837"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 мае 1944 года отряд особого назначения им. Пожарского был вблизи базы в Девице в Польше и собирал информа</w:t>
      </w:r>
      <w:r w:rsidRPr="007224C3">
        <w:rPr>
          <w:rFonts w:ascii="Times New Roman" w:hAnsi="Times New Roman"/>
          <w:color w:val="0070C0"/>
          <w:sz w:val="16"/>
          <w:szCs w:val="16"/>
        </w:rPr>
        <w:softHyphen/>
        <w:t>цию о тщательно охраняемом полигоне (22798).</w:t>
      </w:r>
    </w:p>
    <w:p w14:paraId="572CE0C6" w14:textId="77777777" w:rsidR="00303837" w:rsidRPr="007224C3" w:rsidRDefault="00303837" w:rsidP="007224C3">
      <w:pPr>
        <w:spacing w:after="0" w:line="240" w:lineRule="auto"/>
        <w:jc w:val="both"/>
        <w:rPr>
          <w:rFonts w:ascii="Times New Roman" w:hAnsi="Times New Roman"/>
          <w:color w:val="0070C0"/>
          <w:sz w:val="16"/>
          <w:szCs w:val="16"/>
        </w:rPr>
      </w:pPr>
    </w:p>
    <w:p w14:paraId="13EEEF2D"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505A4D8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35C9553" w14:textId="77777777" w:rsidR="006E5527" w:rsidRPr="007224C3" w:rsidRDefault="006E552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 г. коллектив конструкторов завода Большевик возвратили в Ленинград, где был организован филиал Центрального артиллерийского конструкторского бюро (ЦАКБ). Начальником и главным конструктором филиала ЦАКБ назначали И. И. Иванова, заместителем главного конструктора по морской артиллерии Е. Г. Рудяка (15132).</w:t>
      </w:r>
    </w:p>
    <w:p w14:paraId="01D958DD" w14:textId="77777777" w:rsidR="006E5527" w:rsidRPr="007224C3" w:rsidRDefault="006E5527" w:rsidP="007224C3">
      <w:pPr>
        <w:spacing w:after="0" w:line="240" w:lineRule="auto"/>
        <w:jc w:val="both"/>
        <w:rPr>
          <w:rFonts w:ascii="Times New Roman" w:hAnsi="Times New Roman"/>
          <w:color w:val="000000" w:themeColor="text1"/>
          <w:sz w:val="16"/>
          <w:szCs w:val="16"/>
        </w:rPr>
      </w:pPr>
    </w:p>
    <w:p w14:paraId="0A32C33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 года в ЦКБ-34 под руководством инженера Гаврилова А.Г. было начато проектирование береговой установки на мехтяге СМ-4-1 (3861).</w:t>
      </w:r>
    </w:p>
    <w:p w14:paraId="5878FAC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39087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 г. в конструкцию ствола пушки А-19 были внесены изме</w:t>
      </w:r>
      <w:r w:rsidRPr="007224C3">
        <w:rPr>
          <w:rFonts w:ascii="Times New Roman" w:hAnsi="Times New Roman"/>
          <w:color w:val="000000" w:themeColor="text1"/>
          <w:sz w:val="16"/>
          <w:szCs w:val="16"/>
        </w:rPr>
        <w:softHyphen/>
        <w:t>нения, которые нарушили взаимозаменяемость вновь разработанных стволов с ранее выпущенными. Модернизированное орудие имело наи</w:t>
      </w:r>
      <w:r w:rsidRPr="007224C3">
        <w:rPr>
          <w:rFonts w:ascii="Times New Roman" w:hAnsi="Times New Roman"/>
          <w:color w:val="000000" w:themeColor="text1"/>
          <w:sz w:val="16"/>
          <w:szCs w:val="16"/>
        </w:rPr>
        <w:softHyphen/>
        <w:t>менование - 122-мм самоходная пушка обр. 1931/44 гг. Оба орудия име</w:t>
      </w:r>
      <w:r w:rsidRPr="007224C3">
        <w:rPr>
          <w:rFonts w:ascii="Times New Roman" w:hAnsi="Times New Roman"/>
          <w:color w:val="000000" w:themeColor="text1"/>
          <w:sz w:val="16"/>
          <w:szCs w:val="16"/>
        </w:rPr>
        <w:softHyphen/>
        <w:t>ли поршневой затвор. Длина ствола составляла 46,3 калибра. На машинах устанавливались как стволы моноблоки, так и стволы со свободной тру</w:t>
      </w:r>
      <w:r w:rsidRPr="007224C3">
        <w:rPr>
          <w:rFonts w:ascii="Times New Roman" w:hAnsi="Times New Roman"/>
          <w:color w:val="000000" w:themeColor="text1"/>
          <w:sz w:val="16"/>
          <w:szCs w:val="16"/>
        </w:rPr>
        <w:softHyphen/>
        <w:t>бой. Устройство пушки А-19 во многом было одинаково с устройством 152-мм гаубицы-пушки МЛ-20С и отличалось от последней установкой ствола меньшего калибра с увеличенной на 730 мм длиной, отсутствием дульного тормоза и меньшим числом нарезов. Для наводки орудия ис</w:t>
      </w:r>
      <w:r w:rsidRPr="007224C3">
        <w:rPr>
          <w:rFonts w:ascii="Times New Roman" w:hAnsi="Times New Roman"/>
          <w:color w:val="000000" w:themeColor="text1"/>
          <w:sz w:val="16"/>
          <w:szCs w:val="16"/>
        </w:rPr>
        <w:softHyphen/>
        <w:t>пользовались подъемный механизм секторного типа и поворотный меха</w:t>
      </w:r>
      <w:r w:rsidRPr="007224C3">
        <w:rPr>
          <w:rFonts w:ascii="Times New Roman" w:hAnsi="Times New Roman"/>
          <w:color w:val="000000" w:themeColor="text1"/>
          <w:sz w:val="16"/>
          <w:szCs w:val="16"/>
        </w:rPr>
        <w:softHyphen/>
        <w:t>низм винтового типа. Углы вертикальной наводки составляли от -3 до +22°, по горизонтали - в секторе 10° (10703).</w:t>
      </w:r>
    </w:p>
    <w:p w14:paraId="0B075F0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D6660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 года были проведены корабельные испытания 25-мм одноствольной автоматической установки 84-КМ. В 1944 году завод № 88 сдал 260 установок 84-КМ, а в 1945 году - 70 установок, на чем производство их и закончилось. 25-мм установки 84-КМ устанавливались на катерах различных типов (3861).</w:t>
      </w:r>
    </w:p>
    <w:p w14:paraId="2015723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FEC5EE" w14:textId="77777777" w:rsidR="00406246" w:rsidRPr="007224C3" w:rsidRDefault="00406246" w:rsidP="007224C3">
      <w:pPr>
        <w:pStyle w:val="165"/>
        <w:shd w:val="clear" w:color="auto" w:fill="auto"/>
        <w:spacing w:line="240" w:lineRule="auto"/>
        <w:jc w:val="both"/>
        <w:rPr>
          <w:color w:val="0070C0"/>
          <w:sz w:val="16"/>
          <w:szCs w:val="16"/>
        </w:rPr>
      </w:pPr>
      <w:r w:rsidRPr="007224C3">
        <w:rPr>
          <w:color w:val="0070C0"/>
          <w:sz w:val="16"/>
          <w:szCs w:val="16"/>
        </w:rPr>
        <w:t>В мае 1944 г. для действий в Карпатах по штату №08/608 семь армейских мино</w:t>
      </w:r>
      <w:r w:rsidRPr="007224C3">
        <w:rPr>
          <w:color w:val="0070C0"/>
          <w:sz w:val="16"/>
          <w:szCs w:val="16"/>
        </w:rPr>
        <w:softHyphen/>
        <w:t>метных полков и три горно-вьючных мино</w:t>
      </w:r>
      <w:r w:rsidRPr="007224C3">
        <w:rPr>
          <w:color w:val="0070C0"/>
          <w:sz w:val="16"/>
          <w:szCs w:val="16"/>
        </w:rPr>
        <w:softHyphen/>
        <w:t>метных полка 107-мм минометов были пере</w:t>
      </w:r>
      <w:r w:rsidRPr="007224C3">
        <w:rPr>
          <w:color w:val="0070C0"/>
          <w:sz w:val="16"/>
          <w:szCs w:val="16"/>
        </w:rPr>
        <w:softHyphen/>
        <w:t>формированы. В каждом полку полагалось иметь по шесть батарей из четырех миноме</w:t>
      </w:r>
      <w:r w:rsidRPr="007224C3">
        <w:rPr>
          <w:color w:val="0070C0"/>
          <w:sz w:val="16"/>
          <w:szCs w:val="16"/>
        </w:rPr>
        <w:softHyphen/>
        <w:t>тов. В «Инструкции командования 4-го Укра</w:t>
      </w:r>
      <w:r w:rsidRPr="007224C3">
        <w:rPr>
          <w:color w:val="0070C0"/>
          <w:sz w:val="16"/>
          <w:szCs w:val="16"/>
        </w:rPr>
        <w:softHyphen/>
        <w:t>инского фронта войскам, действующим в горно-лесистой местности» от 19 января 1944 г. в пункте 28 говорится: «Вьючно-горные батареи и минометные батареи обязательно должны сопровождать пехоту на любой гор</w:t>
      </w:r>
      <w:r w:rsidRPr="007224C3">
        <w:rPr>
          <w:color w:val="0070C0"/>
          <w:sz w:val="16"/>
          <w:szCs w:val="16"/>
        </w:rPr>
        <w:softHyphen/>
        <w:t>ной местности». По штату №04177 от 13 янва</w:t>
      </w:r>
      <w:r w:rsidRPr="007224C3">
        <w:rPr>
          <w:color w:val="0070C0"/>
          <w:sz w:val="16"/>
          <w:szCs w:val="16"/>
        </w:rPr>
        <w:softHyphen/>
        <w:t>ря 1945 г. горнострелковая бригада получила отдельный вьючный минометный дивизион из 12107-мм минометов. В феврале 1945 г. по штату №041650 была изменена структура артиллерийского полка горнострелковой дивизии. В полку теперь было три дивизиона по 12 107-мм минометов и одна батарея из четырех 76-мм горных пушек обр. 1938 г. В условиях преодоления горных масси</w:t>
      </w:r>
      <w:r w:rsidRPr="007224C3">
        <w:rPr>
          <w:color w:val="0070C0"/>
          <w:sz w:val="16"/>
          <w:szCs w:val="16"/>
        </w:rPr>
        <w:softHyphen/>
        <w:t>вов при движении по узким горным тропам 107-мм горно-вьючный полковой миномет мог разбираться на части и перевозиться на конских вьюках. При этом переход на кон</w:t>
      </w:r>
      <w:r w:rsidRPr="007224C3">
        <w:rPr>
          <w:color w:val="0070C0"/>
          <w:sz w:val="16"/>
          <w:szCs w:val="16"/>
        </w:rPr>
        <w:softHyphen/>
        <w:t>ские вьюки мог быть полный или частичный. При полном переходе на конские вьюки колесный ход и передок разбирались на части и перевозились на девяти вьюках. При частичном переходе на вьюк завьючивались только сам миномет и возимый боекомплект (вьюки №1-5), а передок и колесный ход сле</w:t>
      </w:r>
      <w:r w:rsidRPr="007224C3">
        <w:rPr>
          <w:color w:val="0070C0"/>
          <w:sz w:val="16"/>
          <w:szCs w:val="16"/>
        </w:rPr>
        <w:softHyphen/>
        <w:t>довали конной тягой. На колесном ходу в сцепе с передком миномет мог перевозиться четырехконной упряжкой. Кроме того, при перемещении на короткие расстояния мино</w:t>
      </w:r>
      <w:r w:rsidRPr="007224C3">
        <w:rPr>
          <w:color w:val="0070C0"/>
          <w:sz w:val="16"/>
          <w:szCs w:val="16"/>
        </w:rPr>
        <w:softHyphen/>
        <w:t>мет можно было перекатывать силами мино</w:t>
      </w:r>
      <w:r w:rsidRPr="007224C3">
        <w:rPr>
          <w:color w:val="0070C0"/>
          <w:sz w:val="16"/>
          <w:szCs w:val="16"/>
        </w:rPr>
        <w:softHyphen/>
        <w:t>метного расчета и, будучи разобранным на три части (ствол, двунога и плита), он мог и переноситься бойцами расчета. Благодаря осколочно-фугасной мины, миномет решал на дистанциях 800-5000 м огневые задачи по подавлению живой силы против</w:t>
      </w:r>
      <w:r w:rsidRPr="007224C3">
        <w:rPr>
          <w:color w:val="0070C0"/>
          <w:sz w:val="16"/>
          <w:szCs w:val="16"/>
        </w:rPr>
        <w:softHyphen/>
        <w:t>ника и его огневых средств, находящихся на обратных скатах и в глубоких естественных и искусственных укрытиях, как открытого, так и закрытого типа - блиндажах с деревоземляным покрытием. Мог разрушать проволоч</w:t>
      </w:r>
      <w:r w:rsidRPr="007224C3">
        <w:rPr>
          <w:color w:val="0070C0"/>
          <w:sz w:val="16"/>
          <w:szCs w:val="16"/>
        </w:rPr>
        <w:softHyphen/>
        <w:t>ные заграждения и другие легкие сооруже</w:t>
      </w:r>
      <w:r w:rsidRPr="007224C3">
        <w:rPr>
          <w:color w:val="0070C0"/>
          <w:sz w:val="16"/>
          <w:szCs w:val="16"/>
        </w:rPr>
        <w:softHyphen/>
        <w:t>ния и создавать заградительный огонь. Бла</w:t>
      </w:r>
      <w:r w:rsidRPr="007224C3">
        <w:rPr>
          <w:color w:val="0070C0"/>
          <w:sz w:val="16"/>
          <w:szCs w:val="16"/>
        </w:rPr>
        <w:softHyphen/>
        <w:t>годаря крутизне траектории и малым разме</w:t>
      </w:r>
      <w:r w:rsidRPr="007224C3">
        <w:rPr>
          <w:color w:val="0070C0"/>
          <w:sz w:val="16"/>
          <w:szCs w:val="16"/>
        </w:rPr>
        <w:softHyphen/>
        <w:t>рам, миномет возможно было располагать в глубоких укрытиях, недоступных ответному огню противника.</w:t>
      </w:r>
    </w:p>
    <w:p w14:paraId="1DFC1201" w14:textId="77777777" w:rsidR="00406246" w:rsidRPr="007224C3" w:rsidRDefault="00406246" w:rsidP="007224C3">
      <w:pPr>
        <w:pStyle w:val="165"/>
        <w:shd w:val="clear" w:color="auto" w:fill="auto"/>
        <w:spacing w:line="240" w:lineRule="auto"/>
        <w:jc w:val="both"/>
        <w:rPr>
          <w:color w:val="0070C0"/>
          <w:sz w:val="16"/>
          <w:szCs w:val="16"/>
        </w:rPr>
      </w:pPr>
      <w:r w:rsidRPr="007224C3">
        <w:rPr>
          <w:color w:val="0070C0"/>
          <w:sz w:val="16"/>
          <w:szCs w:val="16"/>
        </w:rPr>
        <w:t>В походном движении миномет использо</w:t>
      </w:r>
      <w:r w:rsidRPr="007224C3">
        <w:rPr>
          <w:color w:val="0070C0"/>
          <w:sz w:val="16"/>
          <w:szCs w:val="16"/>
        </w:rPr>
        <w:softHyphen/>
        <w:t>вал колесный ход и передок для тяги колес</w:t>
      </w:r>
      <w:r w:rsidRPr="007224C3">
        <w:rPr>
          <w:color w:val="0070C0"/>
          <w:sz w:val="16"/>
          <w:szCs w:val="16"/>
        </w:rPr>
        <w:softHyphen/>
        <w:t>ного хода с минометом и перевозки 20 мин. Транспортировка конной тягой сцепа (пере</w:t>
      </w:r>
      <w:r w:rsidRPr="007224C3">
        <w:rPr>
          <w:color w:val="0070C0"/>
          <w:sz w:val="16"/>
          <w:szCs w:val="16"/>
        </w:rPr>
        <w:softHyphen/>
        <w:t>док и колесный ход) осуществлялась со ско</w:t>
      </w:r>
      <w:r w:rsidRPr="007224C3">
        <w:rPr>
          <w:color w:val="0070C0"/>
          <w:sz w:val="16"/>
          <w:szCs w:val="16"/>
        </w:rPr>
        <w:softHyphen/>
        <w:t>ростью 7-8 км/час. Кроме того, миномет с колесным ходом без передка перевозился на автомашине ГАЗ-АА со скоростью до 40 км/час. Эта же машина служила для перевоз</w:t>
      </w:r>
      <w:r w:rsidRPr="007224C3">
        <w:rPr>
          <w:color w:val="0070C0"/>
          <w:sz w:val="16"/>
          <w:szCs w:val="16"/>
        </w:rPr>
        <w:softHyphen/>
        <w:t>ки расчета и парковых ящиков с минами. Бое</w:t>
      </w:r>
      <w:r w:rsidRPr="007224C3">
        <w:rPr>
          <w:color w:val="0070C0"/>
          <w:sz w:val="16"/>
          <w:szCs w:val="16"/>
        </w:rPr>
        <w:softHyphen/>
        <w:t>питание миномета осуществлялось парными повозками, в которых перевозили мины, окончательно снаряженные и уложенные в парковые ящики. Каждый взвод боепитания снабжался четырьмя комплектами конских вьюков с укладочными приспособлениями, служащими для перевозки двух парковых ящиков с минами (по четыре мины в каждом).</w:t>
      </w:r>
    </w:p>
    <w:p w14:paraId="6A4B8255" w14:textId="77777777" w:rsidR="00406246" w:rsidRPr="007224C3" w:rsidRDefault="00406246" w:rsidP="007224C3">
      <w:pPr>
        <w:pStyle w:val="165"/>
        <w:shd w:val="clear" w:color="auto" w:fill="auto"/>
        <w:spacing w:line="240" w:lineRule="auto"/>
        <w:jc w:val="both"/>
        <w:rPr>
          <w:color w:val="0070C0"/>
          <w:sz w:val="16"/>
          <w:szCs w:val="16"/>
        </w:rPr>
      </w:pPr>
      <w:r w:rsidRPr="007224C3">
        <w:rPr>
          <w:color w:val="0070C0"/>
          <w:sz w:val="16"/>
          <w:szCs w:val="16"/>
        </w:rPr>
        <w:t>107-мм горно-вьючный миномет пред</w:t>
      </w:r>
      <w:r w:rsidRPr="007224C3">
        <w:rPr>
          <w:color w:val="0070C0"/>
          <w:sz w:val="16"/>
          <w:szCs w:val="16"/>
        </w:rPr>
        <w:softHyphen/>
        <w:t>ставлял собой жесткую, то есть не имеющую противооткатных устройств, гладкостволь</w:t>
      </w:r>
      <w:r w:rsidRPr="007224C3">
        <w:rPr>
          <w:color w:val="0070C0"/>
          <w:sz w:val="16"/>
          <w:szCs w:val="16"/>
        </w:rPr>
        <w:softHyphen/>
        <w:t>ную систему. В боевом положении он состоял из четырех главных частей: ствола, двуноги- лафета, опорной плиты, прицельных приспо</w:t>
      </w:r>
      <w:r w:rsidRPr="007224C3">
        <w:rPr>
          <w:color w:val="0070C0"/>
          <w:sz w:val="16"/>
          <w:szCs w:val="16"/>
        </w:rPr>
        <w:softHyphen/>
        <w:t>соблений. Внутри труба ствола представляет собой гладкий полированный канал, имею</w:t>
      </w:r>
      <w:r w:rsidRPr="007224C3">
        <w:rPr>
          <w:color w:val="0070C0"/>
          <w:sz w:val="16"/>
          <w:szCs w:val="16"/>
        </w:rPr>
        <w:softHyphen/>
        <w:t>щий около дульного среза конусную расточ</w:t>
      </w:r>
      <w:r w:rsidRPr="007224C3">
        <w:rPr>
          <w:color w:val="0070C0"/>
          <w:sz w:val="16"/>
          <w:szCs w:val="16"/>
        </w:rPr>
        <w:softHyphen/>
        <w:t>ку. У казенной части ствола жестко закреп</w:t>
      </w:r>
      <w:r w:rsidRPr="007224C3">
        <w:rPr>
          <w:color w:val="0070C0"/>
          <w:sz w:val="16"/>
          <w:szCs w:val="16"/>
        </w:rPr>
        <w:softHyphen/>
        <w:t>лен хомут с опорами. Двунога-лафет состоит из двух трубчатых ног, каждая их которых внизу оканчивается опорными тарелями с сошниками. Сошник служит для укрепления ног в грунте, а тарели - для упора в грунт. Для ограничения раствора ног применяется цепочка, которая крепится к левой ноге коль</w:t>
      </w:r>
      <w:r w:rsidRPr="007224C3">
        <w:rPr>
          <w:color w:val="0070C0"/>
          <w:sz w:val="16"/>
          <w:szCs w:val="16"/>
        </w:rPr>
        <w:softHyphen/>
        <w:t>цом с пружиной, а к правой - крючком. На правой ноге также собран механизм горизонтирования.</w:t>
      </w:r>
    </w:p>
    <w:p w14:paraId="6DD3EC24" w14:textId="77777777" w:rsidR="00406246" w:rsidRPr="007224C3" w:rsidRDefault="00406246" w:rsidP="007224C3">
      <w:pPr>
        <w:shd w:val="clear" w:color="auto" w:fill="FFFFFF"/>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lastRenderedPageBreak/>
        <w:t>Винт подъемного механизма при неизмен</w:t>
      </w:r>
      <w:r w:rsidRPr="007224C3">
        <w:rPr>
          <w:rFonts w:ascii="Times New Roman" w:hAnsi="Times New Roman"/>
          <w:color w:val="0070C0"/>
          <w:sz w:val="16"/>
          <w:szCs w:val="16"/>
        </w:rPr>
        <w:softHyphen/>
        <w:t>ном положении двуноги обеспечивает изме</w:t>
      </w:r>
      <w:r w:rsidRPr="007224C3">
        <w:rPr>
          <w:rFonts w:ascii="Times New Roman" w:hAnsi="Times New Roman"/>
          <w:color w:val="0070C0"/>
          <w:sz w:val="16"/>
          <w:szCs w:val="16"/>
        </w:rPr>
        <w:softHyphen/>
        <w:t>нение угла возвышения в пределах 15-20 градусов. Для получения углов возвышения от 45 до 65 градусов необходимо обойму вертлюга поставить на переднюю кольцевую выточку трубы ствола. Для построения углов возвышения более 65 градусов необходимо поставить обойму вертлюга в заднюю коль</w:t>
      </w:r>
      <w:r w:rsidRPr="007224C3">
        <w:rPr>
          <w:rFonts w:ascii="Times New Roman" w:hAnsi="Times New Roman"/>
          <w:color w:val="0070C0"/>
          <w:sz w:val="16"/>
          <w:szCs w:val="16"/>
        </w:rPr>
        <w:softHyphen/>
        <w:t>цевую выточку трубы ствола. Подъемный механизм состоит из кожуха, который внизу имеет вид цилиндрической коробки с длин</w:t>
      </w:r>
      <w:r w:rsidRPr="007224C3">
        <w:rPr>
          <w:rFonts w:ascii="Times New Roman" w:hAnsi="Times New Roman"/>
          <w:color w:val="0070C0"/>
          <w:sz w:val="16"/>
          <w:szCs w:val="16"/>
        </w:rPr>
        <w:softHyphen/>
        <w:t>ным кожухом для винта. Кроме того, в короб</w:t>
      </w:r>
      <w:r w:rsidRPr="007224C3">
        <w:rPr>
          <w:rFonts w:ascii="Times New Roman" w:hAnsi="Times New Roman"/>
          <w:color w:val="0070C0"/>
          <w:sz w:val="16"/>
          <w:szCs w:val="16"/>
        </w:rPr>
        <w:softHyphen/>
        <w:t>ке корпуса сверху вставлена узким патруб</w:t>
      </w:r>
      <w:r w:rsidRPr="007224C3">
        <w:rPr>
          <w:rFonts w:ascii="Times New Roman" w:hAnsi="Times New Roman"/>
          <w:color w:val="0070C0"/>
          <w:sz w:val="16"/>
          <w:szCs w:val="16"/>
        </w:rPr>
        <w:softHyphen/>
        <w:t>ком вниз матка.</w:t>
      </w:r>
    </w:p>
    <w:p w14:paraId="7617052E" w14:textId="77777777" w:rsidR="00406246" w:rsidRPr="007224C3" w:rsidRDefault="00406246" w:rsidP="007224C3">
      <w:pPr>
        <w:pStyle w:val="165"/>
        <w:shd w:val="clear" w:color="auto" w:fill="auto"/>
        <w:spacing w:line="240" w:lineRule="auto"/>
        <w:jc w:val="both"/>
        <w:rPr>
          <w:color w:val="0070C0"/>
          <w:sz w:val="16"/>
          <w:szCs w:val="16"/>
        </w:rPr>
      </w:pPr>
      <w:r w:rsidRPr="007224C3">
        <w:rPr>
          <w:color w:val="0070C0"/>
          <w:sz w:val="16"/>
          <w:szCs w:val="16"/>
        </w:rPr>
        <w:t>Механизм горизонтирования предназна</w:t>
      </w:r>
      <w:r w:rsidRPr="007224C3">
        <w:rPr>
          <w:color w:val="0070C0"/>
          <w:sz w:val="16"/>
          <w:szCs w:val="16"/>
        </w:rPr>
        <w:softHyphen/>
        <w:t>чен для приведения угломерного стола при</w:t>
      </w:r>
      <w:r w:rsidRPr="007224C3">
        <w:rPr>
          <w:color w:val="0070C0"/>
          <w:sz w:val="16"/>
          <w:szCs w:val="16"/>
        </w:rPr>
        <w:softHyphen/>
        <w:t>цела в горизонтальное положение. Эти меха</w:t>
      </w:r>
      <w:r w:rsidRPr="007224C3">
        <w:rPr>
          <w:color w:val="0070C0"/>
          <w:sz w:val="16"/>
          <w:szCs w:val="16"/>
        </w:rPr>
        <w:softHyphen/>
        <w:t>низмы использовались в образцах 1938/39 гг. или обр. 1940 г. Внешне они не отлича</w:t>
      </w:r>
      <w:r w:rsidRPr="007224C3">
        <w:rPr>
          <w:color w:val="0070C0"/>
          <w:sz w:val="16"/>
          <w:szCs w:val="16"/>
        </w:rPr>
        <w:softHyphen/>
        <w:t>лись друг от друга, а все отличия состояли в их внутреннем устройстве. Механизм грубого горизонтирования располагался на правой ноге. Механизм точного горизонтирования состоял из двух проушин, закрепленных на концах винта в корпусе. Одной проушиной он закреплялся в проушине над механизмом грубого горизонтирования, а второй - к кор</w:t>
      </w:r>
      <w:r w:rsidRPr="007224C3">
        <w:rPr>
          <w:color w:val="0070C0"/>
          <w:sz w:val="16"/>
          <w:szCs w:val="16"/>
        </w:rPr>
        <w:softHyphen/>
        <w:t>пусу подъемного механизма.</w:t>
      </w:r>
    </w:p>
    <w:p w14:paraId="6C2EA953" w14:textId="77777777" w:rsidR="00406246" w:rsidRPr="007224C3" w:rsidRDefault="00406246" w:rsidP="007224C3">
      <w:pPr>
        <w:pStyle w:val="165"/>
        <w:shd w:val="clear" w:color="auto" w:fill="auto"/>
        <w:spacing w:line="240" w:lineRule="auto"/>
        <w:jc w:val="both"/>
        <w:rPr>
          <w:color w:val="0070C0"/>
          <w:sz w:val="16"/>
          <w:szCs w:val="16"/>
        </w:rPr>
      </w:pPr>
      <w:r w:rsidRPr="007224C3">
        <w:rPr>
          <w:color w:val="0070C0"/>
          <w:sz w:val="16"/>
          <w:szCs w:val="16"/>
        </w:rPr>
        <w:t>Корпус вертлюга - цельная фигурная деталь с отверстием в верхней части для што</w:t>
      </w:r>
      <w:r w:rsidRPr="007224C3">
        <w:rPr>
          <w:color w:val="0070C0"/>
          <w:sz w:val="16"/>
          <w:szCs w:val="16"/>
        </w:rPr>
        <w:softHyphen/>
        <w:t>ков амортизатора, а в нижней части по краям - две проушины для винта поворотного меха</w:t>
      </w:r>
      <w:r w:rsidRPr="007224C3">
        <w:rPr>
          <w:color w:val="0070C0"/>
          <w:sz w:val="16"/>
          <w:szCs w:val="16"/>
        </w:rPr>
        <w:softHyphen/>
        <w:t>низма. Кроме того, в верхней части (если смотреть сзади), был выступ с гнездом для установки хвостовика прицела и отверстие для зажима крепления прицела. Амортизатор состоял из двух цилиндров, смонтированных в обойме, которая служила для соединения двуноги лафета со стволом. Поворотный механизм в корпусе вертлюга предназначал</w:t>
      </w:r>
      <w:r w:rsidRPr="007224C3">
        <w:rPr>
          <w:color w:val="0070C0"/>
          <w:sz w:val="16"/>
          <w:szCs w:val="16"/>
        </w:rPr>
        <w:softHyphen/>
        <w:t>ся для точной наводки в пределах 50 град, в каждую сторону.</w:t>
      </w:r>
    </w:p>
    <w:p w14:paraId="5522B97B" w14:textId="77777777" w:rsidR="00406246" w:rsidRPr="007224C3" w:rsidRDefault="00406246" w:rsidP="007224C3">
      <w:pPr>
        <w:pStyle w:val="165"/>
        <w:shd w:val="clear" w:color="auto" w:fill="auto"/>
        <w:spacing w:line="240" w:lineRule="auto"/>
        <w:jc w:val="both"/>
        <w:rPr>
          <w:color w:val="0070C0"/>
          <w:sz w:val="16"/>
          <w:szCs w:val="16"/>
        </w:rPr>
      </w:pPr>
      <w:r w:rsidRPr="007224C3">
        <w:rPr>
          <w:color w:val="0070C0"/>
          <w:sz w:val="16"/>
          <w:szCs w:val="16"/>
        </w:rPr>
        <w:t>На штампованной цельносварной опор</w:t>
      </w:r>
      <w:r w:rsidRPr="007224C3">
        <w:rPr>
          <w:color w:val="0070C0"/>
          <w:sz w:val="16"/>
          <w:szCs w:val="16"/>
        </w:rPr>
        <w:softHyphen/>
        <w:t>ной плите была приварена чашка с гнездом для шаровой пяты казенника, которой ствол соединяется с плитой. На верхней стороне основания плиты для большей жесткости и прочности приваривались накладки, а внизу ребра, образовывавшие три сошника: цент</w:t>
      </w:r>
      <w:r w:rsidRPr="007224C3">
        <w:rPr>
          <w:color w:val="0070C0"/>
          <w:sz w:val="16"/>
          <w:szCs w:val="16"/>
        </w:rPr>
        <w:softHyphen/>
        <w:t>ральный и два боковых, которыми опорная плита сцепляется с грунтом. На передней сто</w:t>
      </w:r>
      <w:r w:rsidRPr="007224C3">
        <w:rPr>
          <w:color w:val="0070C0"/>
          <w:sz w:val="16"/>
          <w:szCs w:val="16"/>
        </w:rPr>
        <w:softHyphen/>
        <w:t>роне были приварены две ручки для перенос</w:t>
      </w:r>
      <w:r w:rsidRPr="007224C3">
        <w:rPr>
          <w:color w:val="0070C0"/>
          <w:sz w:val="16"/>
          <w:szCs w:val="16"/>
        </w:rPr>
        <w:softHyphen/>
        <w:t>ки плиты. Кроме того, к верхней стороне основания плиты приваривались два крюка, которыми плита подвешивается к раме колес</w:t>
      </w:r>
      <w:r w:rsidRPr="007224C3">
        <w:rPr>
          <w:color w:val="0070C0"/>
          <w:sz w:val="16"/>
          <w:szCs w:val="16"/>
        </w:rPr>
        <w:softHyphen/>
        <w:t>ного хода в походном положении, и скобы для подтягивания плиты стяжкой к раме хода. К верхней стороне основания плиты приварены четыре ребра, при помощи которых опорная плита укладывается на конский вьюк. Для производства выстрела при помощи спуско</w:t>
      </w:r>
      <w:r w:rsidRPr="007224C3">
        <w:rPr>
          <w:color w:val="0070C0"/>
          <w:sz w:val="16"/>
          <w:szCs w:val="16"/>
        </w:rPr>
        <w:softHyphen/>
        <w:t>вого шнура были предусмотрены два крючка, за которые и заводился шнур.</w:t>
      </w:r>
    </w:p>
    <w:p w14:paraId="303285EA" w14:textId="77777777" w:rsidR="00406246" w:rsidRPr="007224C3" w:rsidRDefault="00406246" w:rsidP="007224C3">
      <w:pPr>
        <w:pStyle w:val="165"/>
        <w:shd w:val="clear" w:color="auto" w:fill="auto"/>
        <w:spacing w:line="240" w:lineRule="auto"/>
        <w:jc w:val="both"/>
        <w:rPr>
          <w:color w:val="0070C0"/>
          <w:sz w:val="16"/>
          <w:szCs w:val="16"/>
        </w:rPr>
      </w:pPr>
      <w:r w:rsidRPr="007224C3">
        <w:rPr>
          <w:color w:val="0070C0"/>
          <w:sz w:val="16"/>
          <w:szCs w:val="16"/>
        </w:rPr>
        <w:t>Минометный прицел МП-82УС обеспечи</w:t>
      </w:r>
      <w:r w:rsidRPr="007224C3">
        <w:rPr>
          <w:color w:val="0070C0"/>
          <w:sz w:val="16"/>
          <w:szCs w:val="16"/>
        </w:rPr>
        <w:softHyphen/>
        <w:t>вал ведение огня из миномета по видимым целям (прямая наводка) и по невидимым целям (непрямая наводка).</w:t>
      </w:r>
    </w:p>
    <w:p w14:paraId="1D4840DF" w14:textId="77777777" w:rsidR="00406246" w:rsidRPr="007224C3" w:rsidRDefault="00406246" w:rsidP="007224C3">
      <w:pPr>
        <w:pStyle w:val="165"/>
        <w:shd w:val="clear" w:color="auto" w:fill="auto"/>
        <w:spacing w:line="240" w:lineRule="auto"/>
        <w:jc w:val="both"/>
        <w:rPr>
          <w:color w:val="0070C0"/>
          <w:sz w:val="16"/>
          <w:szCs w:val="16"/>
        </w:rPr>
      </w:pPr>
      <w:r w:rsidRPr="007224C3">
        <w:rPr>
          <w:color w:val="0070C0"/>
          <w:sz w:val="16"/>
          <w:szCs w:val="16"/>
        </w:rPr>
        <w:t>Рама колесного хода состояла из передней и задней частей разборной конструкции, что было сделано для удобства ее навьючивания. Задняя часть представляла собой выгнутую из стальных труб жесткую конструкцию из оси и поперечной связи, приваренной к двум изогну</w:t>
      </w:r>
      <w:r w:rsidRPr="007224C3">
        <w:rPr>
          <w:color w:val="0070C0"/>
          <w:sz w:val="16"/>
          <w:szCs w:val="16"/>
        </w:rPr>
        <w:softHyphen/>
        <w:t>тым трубам, которые в задней части образо</w:t>
      </w:r>
      <w:r w:rsidRPr="007224C3">
        <w:rPr>
          <w:color w:val="0070C0"/>
          <w:sz w:val="16"/>
          <w:szCs w:val="16"/>
        </w:rPr>
        <w:softHyphen/>
        <w:t>вывали два П-образных кронштейна, для под</w:t>
      </w:r>
      <w:r w:rsidRPr="007224C3">
        <w:rPr>
          <w:color w:val="0070C0"/>
          <w:sz w:val="16"/>
          <w:szCs w:val="16"/>
        </w:rPr>
        <w:softHyphen/>
        <w:t>вешивания на них опорной плиты за крюки. В средней части оси шарнирно крепилась стяж</w:t>
      </w:r>
      <w:r w:rsidRPr="007224C3">
        <w:rPr>
          <w:color w:val="0070C0"/>
          <w:sz w:val="16"/>
          <w:szCs w:val="16"/>
        </w:rPr>
        <w:softHyphen/>
        <w:t>ка, которой плита подтягивается к П-образ- ным кронштейнам за скобу. Обе трубы впере</w:t>
      </w:r>
      <w:r w:rsidRPr="007224C3">
        <w:rPr>
          <w:color w:val="0070C0"/>
          <w:sz w:val="16"/>
          <w:szCs w:val="16"/>
        </w:rPr>
        <w:softHyphen/>
        <w:t>ди были снабжены горизонтальными предо</w:t>
      </w:r>
      <w:r w:rsidRPr="007224C3">
        <w:rPr>
          <w:color w:val="0070C0"/>
          <w:sz w:val="16"/>
          <w:szCs w:val="16"/>
        </w:rPr>
        <w:softHyphen/>
        <w:t>хранителями, предотвращавшими прямые удары по колесам при езде. Для жесткости ось со стяжкой и поперечная связь были скрепле</w:t>
      </w:r>
      <w:r w:rsidRPr="007224C3">
        <w:rPr>
          <w:color w:val="0070C0"/>
          <w:sz w:val="16"/>
          <w:szCs w:val="16"/>
        </w:rPr>
        <w:softHyphen/>
        <w:t>ны двумя планками, которые также служили для установки на крюках ящика для принад</w:t>
      </w:r>
      <w:r w:rsidRPr="007224C3">
        <w:rPr>
          <w:color w:val="0070C0"/>
          <w:sz w:val="16"/>
          <w:szCs w:val="16"/>
        </w:rPr>
        <w:softHyphen/>
        <w:t>лежности. Кроме того, П-образные кронштей</w:t>
      </w:r>
      <w:r w:rsidRPr="007224C3">
        <w:rPr>
          <w:color w:val="0070C0"/>
          <w:sz w:val="16"/>
          <w:szCs w:val="16"/>
        </w:rPr>
        <w:softHyphen/>
        <w:t>ны связывались укосинами, к которым прива</w:t>
      </w:r>
      <w:r w:rsidRPr="007224C3">
        <w:rPr>
          <w:color w:val="0070C0"/>
          <w:sz w:val="16"/>
          <w:szCs w:val="16"/>
        </w:rPr>
        <w:softHyphen/>
        <w:t>ривали по лирке и скобе для укладки лома и вехи. На правом конце связи были упор и скоба для крепления банника. Ящик для при</w:t>
      </w:r>
      <w:r w:rsidRPr="007224C3">
        <w:rPr>
          <w:color w:val="0070C0"/>
          <w:sz w:val="16"/>
          <w:szCs w:val="16"/>
        </w:rPr>
        <w:softHyphen/>
        <w:t>надлежности и банник дополнительно удер</w:t>
      </w:r>
      <w:r w:rsidRPr="007224C3">
        <w:rPr>
          <w:color w:val="0070C0"/>
          <w:sz w:val="16"/>
          <w:szCs w:val="16"/>
        </w:rPr>
        <w:softHyphen/>
        <w:t>живались на раме ремнями. Передняя часть рамы состояла из двух изогнутых труб, соеди</w:t>
      </w:r>
      <w:r w:rsidRPr="007224C3">
        <w:rPr>
          <w:color w:val="0070C0"/>
          <w:sz w:val="16"/>
          <w:szCs w:val="16"/>
        </w:rPr>
        <w:softHyphen/>
        <w:t>ненных между собой трубой, обоймой и крон</w:t>
      </w:r>
      <w:r w:rsidRPr="007224C3">
        <w:rPr>
          <w:color w:val="0070C0"/>
          <w:sz w:val="16"/>
          <w:szCs w:val="16"/>
        </w:rPr>
        <w:softHyphen/>
        <w:t>штейном тяги. В свою очередь, кронштейн тяги дополнительно был скреплен с обеих сторон трубами и поручнями, служащими ручками для транспортировки хода расчетом вручную. К трубе были приварены карман для укладки лопаты, захват и упор для кирко</w:t>
      </w:r>
      <w:r w:rsidRPr="007224C3">
        <w:rPr>
          <w:color w:val="0070C0"/>
          <w:sz w:val="16"/>
          <w:szCs w:val="16"/>
        </w:rPr>
        <w:softHyphen/>
        <w:t>мотыги. Колеса имели разъемные металличе</w:t>
      </w:r>
      <w:r w:rsidRPr="007224C3">
        <w:rPr>
          <w:color w:val="0070C0"/>
          <w:sz w:val="16"/>
          <w:szCs w:val="16"/>
        </w:rPr>
        <w:softHyphen/>
        <w:t>ские диски и пневматические шины, запол</w:t>
      </w:r>
      <w:r w:rsidRPr="007224C3">
        <w:rPr>
          <w:color w:val="0070C0"/>
          <w:sz w:val="16"/>
          <w:szCs w:val="16"/>
        </w:rPr>
        <w:softHyphen/>
        <w:t>ненные губчатой резиной (ГК). Такие же колеса были и на 7б-мм горной пушке обр. 1938 г.</w:t>
      </w:r>
    </w:p>
    <w:p w14:paraId="77ED5CD6" w14:textId="77777777" w:rsidR="00406246" w:rsidRPr="007224C3" w:rsidRDefault="00406246" w:rsidP="007224C3">
      <w:pPr>
        <w:pStyle w:val="165"/>
        <w:shd w:val="clear" w:color="auto" w:fill="auto"/>
        <w:spacing w:line="240" w:lineRule="auto"/>
        <w:jc w:val="both"/>
        <w:rPr>
          <w:color w:val="0070C0"/>
          <w:sz w:val="16"/>
          <w:szCs w:val="16"/>
        </w:rPr>
      </w:pPr>
      <w:r w:rsidRPr="007224C3">
        <w:rPr>
          <w:color w:val="0070C0"/>
          <w:sz w:val="16"/>
          <w:szCs w:val="16"/>
        </w:rPr>
        <w:t>Передок предназначался для перевозки двадцати окончательно снаряженных мин (в лотках) и для тяги колесного хода. Он состоял из рамы, короба, десяти лотков для мин, двух колес и тяговых приспособлений. Горизон</w:t>
      </w:r>
      <w:r w:rsidRPr="007224C3">
        <w:rPr>
          <w:color w:val="0070C0"/>
          <w:sz w:val="16"/>
          <w:szCs w:val="16"/>
        </w:rPr>
        <w:softHyphen/>
        <w:t>тальные полки боковин рамы, связей и уголь</w:t>
      </w:r>
      <w:r w:rsidRPr="007224C3">
        <w:rPr>
          <w:color w:val="0070C0"/>
          <w:sz w:val="16"/>
          <w:szCs w:val="16"/>
        </w:rPr>
        <w:softHyphen/>
        <w:t>ников составляли основание, к которому кре</w:t>
      </w:r>
      <w:r w:rsidRPr="007224C3">
        <w:rPr>
          <w:color w:val="0070C0"/>
          <w:sz w:val="16"/>
          <w:szCs w:val="16"/>
        </w:rPr>
        <w:softHyphen/>
        <w:t>пился короб. Отогнутые края дна короба образовывали его стенки. Дно было изогнуто по форме рамы и имело десять отверстий, края которых для придания жесткости дну отогнуты вниз. Стенки снизу вырезаны по форме рамы, а вверху загнуты в виде трубок. Для жесткости в них было по восемь выштампованных углублений. Средние стенки делят короб на три части. Переднюю и заднюю - для лотков и среднюю - для принадлежно</w:t>
      </w:r>
      <w:r w:rsidRPr="007224C3">
        <w:rPr>
          <w:color w:val="0070C0"/>
          <w:sz w:val="16"/>
          <w:szCs w:val="16"/>
        </w:rPr>
        <w:softHyphen/>
        <w:t>сти. Короб имеет десять гнезд для лотков. Под каждым лотком прикреплено по два резиновых буфера. Для закрепления лотков в передке имеются прижимы со стяжками. Каждый лоток служит для перевозки в нем двух окончательно снаряженных мин.</w:t>
      </w:r>
    </w:p>
    <w:p w14:paraId="680F75ED" w14:textId="77777777" w:rsidR="00406246" w:rsidRPr="007224C3" w:rsidRDefault="00406246" w:rsidP="007224C3">
      <w:pPr>
        <w:pStyle w:val="165"/>
        <w:shd w:val="clear" w:color="auto" w:fill="auto"/>
        <w:spacing w:line="240" w:lineRule="auto"/>
        <w:jc w:val="both"/>
        <w:rPr>
          <w:color w:val="0070C0"/>
          <w:sz w:val="16"/>
          <w:szCs w:val="16"/>
        </w:rPr>
      </w:pPr>
      <w:r w:rsidRPr="007224C3">
        <w:rPr>
          <w:color w:val="0070C0"/>
          <w:sz w:val="16"/>
          <w:szCs w:val="16"/>
        </w:rPr>
        <w:t>Стрела механической тяги применялась при движении любой тягой (механической и конной). Основная часть стрелы представля</w:t>
      </w:r>
      <w:r w:rsidRPr="007224C3">
        <w:rPr>
          <w:color w:val="0070C0"/>
          <w:sz w:val="16"/>
          <w:szCs w:val="16"/>
        </w:rPr>
        <w:softHyphen/>
        <w:t>ла собой трубу, в задний конец которой был вставлен конец с отверстиями для засова, крепящего стрелу в дышловой трубе рамы и ловителем. В передний конец вставлялась втулка с парой отверстий на конце для лови</w:t>
      </w:r>
      <w:r w:rsidRPr="007224C3">
        <w:rPr>
          <w:color w:val="0070C0"/>
          <w:sz w:val="16"/>
          <w:szCs w:val="16"/>
        </w:rPr>
        <w:softHyphen/>
        <w:t>теля кронштейна шворневой лапы. Снизу к трубе были приварены проушины для креп</w:t>
      </w:r>
      <w:r w:rsidRPr="007224C3">
        <w:rPr>
          <w:color w:val="0070C0"/>
          <w:sz w:val="16"/>
          <w:szCs w:val="16"/>
        </w:rPr>
        <w:softHyphen/>
        <w:t>ления подстановки и ушко для крепления цепи засова. Спереди в трубу и втулку встав</w:t>
      </w:r>
      <w:r w:rsidRPr="007224C3">
        <w:rPr>
          <w:color w:val="0070C0"/>
          <w:sz w:val="16"/>
          <w:szCs w:val="16"/>
        </w:rPr>
        <w:softHyphen/>
        <w:t>лялся кронштейн с крюками для растяжек.</w:t>
      </w:r>
    </w:p>
    <w:p w14:paraId="342BEC6D" w14:textId="77777777" w:rsidR="00406246" w:rsidRPr="007224C3" w:rsidRDefault="00406246" w:rsidP="007224C3">
      <w:pPr>
        <w:pStyle w:val="165"/>
        <w:shd w:val="clear" w:color="auto" w:fill="auto"/>
        <w:spacing w:line="240" w:lineRule="auto"/>
        <w:jc w:val="both"/>
        <w:rPr>
          <w:color w:val="0070C0"/>
          <w:sz w:val="16"/>
          <w:szCs w:val="16"/>
        </w:rPr>
      </w:pPr>
      <w:r w:rsidRPr="007224C3">
        <w:rPr>
          <w:color w:val="0070C0"/>
          <w:sz w:val="16"/>
          <w:szCs w:val="16"/>
        </w:rPr>
        <w:t>Дышло для конной тяги состояло из кор</w:t>
      </w:r>
      <w:r w:rsidRPr="007224C3">
        <w:rPr>
          <w:color w:val="0070C0"/>
          <w:sz w:val="16"/>
          <w:szCs w:val="16"/>
        </w:rPr>
        <w:softHyphen/>
        <w:t>невой и уносной частей.</w:t>
      </w:r>
    </w:p>
    <w:p w14:paraId="1419D795" w14:textId="77777777" w:rsidR="00406246" w:rsidRPr="007224C3" w:rsidRDefault="00406246" w:rsidP="007224C3">
      <w:pPr>
        <w:shd w:val="clear" w:color="auto" w:fill="FFFFFF"/>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Уносная вага при помощи вилы и звеньев крепилась на уносном крюке дышла. На крюки надеваются кольца постромок унос</w:t>
      </w:r>
      <w:r w:rsidRPr="007224C3">
        <w:rPr>
          <w:rFonts w:ascii="Times New Roman" w:hAnsi="Times New Roman"/>
          <w:color w:val="0070C0"/>
          <w:sz w:val="16"/>
          <w:szCs w:val="16"/>
        </w:rPr>
        <w:softHyphen/>
        <w:t>ных лошадей. Для упряжки корневых лоша</w:t>
      </w:r>
      <w:r w:rsidRPr="007224C3">
        <w:rPr>
          <w:rFonts w:ascii="Times New Roman" w:hAnsi="Times New Roman"/>
          <w:color w:val="0070C0"/>
          <w:sz w:val="16"/>
          <w:szCs w:val="16"/>
        </w:rPr>
        <w:softHyphen/>
        <w:t>дей служили вальки, подвешиваемые на вальковых крюках корневой ваги (19865).</w:t>
      </w:r>
    </w:p>
    <w:p w14:paraId="3E703BA2" w14:textId="77777777" w:rsidR="00406246" w:rsidRPr="007224C3" w:rsidRDefault="00406246" w:rsidP="007224C3">
      <w:pPr>
        <w:shd w:val="clear" w:color="auto" w:fill="FFFFFF"/>
        <w:spacing w:after="0" w:line="240" w:lineRule="auto"/>
        <w:jc w:val="both"/>
        <w:rPr>
          <w:rFonts w:ascii="Times New Roman" w:hAnsi="Times New Roman"/>
          <w:color w:val="0070C0"/>
          <w:sz w:val="16"/>
          <w:szCs w:val="16"/>
        </w:rPr>
      </w:pPr>
    </w:p>
    <w:p w14:paraId="71CA6C2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 мае 1944 г. вступила в строй центральная заводская лаборатория на заводе № 562. Результаты проводимых ею анализов приобрели с этого времени официальный характер и начали вноситься в формуляры на выпускаемую продукцию. До мая 1944 г. все необходимые анализы порохов проводились Московским пороховым институтом, что неизбежно удлиняло сроки сдачи готовой, продукции. </w:t>
      </w:r>
    </w:p>
    <w:p w14:paraId="7DA3463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 результате выпуск порохов в 1944 г. почти в два раза превысил выпуск в 1943 г. В 1945 г. планы производства ракетных зарядов на заводе 512 были уменьшены. Причиной этого явилось полное развертывание в 1944 г. производства ракетных зарядов на ряде мощных пороховых заводов на востоке страны. </w:t>
      </w:r>
    </w:p>
    <w:p w14:paraId="7BCA95F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 за годы Великой Отечественной войны завод 512 изготовил около 550 тыс. ракетных зарядов, в том числе для снарядов M-13 около 217 тыс. и для M-13 около 308 тыс. [</w:t>
      </w:r>
      <w:r w:rsidRPr="007224C3">
        <w:rPr>
          <w:rFonts w:ascii="Times New Roman" w:hAnsi="Times New Roman"/>
          <w:iCs/>
          <w:color w:val="000000" w:themeColor="text1"/>
          <w:sz w:val="16"/>
          <w:szCs w:val="16"/>
        </w:rPr>
        <w:t>Так в тексте. вероятно имелось в виду М-13 и М-8 — im</w:t>
      </w:r>
      <w:r w:rsidRPr="007224C3">
        <w:rPr>
          <w:rFonts w:ascii="Times New Roman" w:hAnsi="Times New Roman"/>
          <w:color w:val="000000" w:themeColor="text1"/>
          <w:sz w:val="16"/>
          <w:szCs w:val="16"/>
        </w:rPr>
        <w:t>]. Все поставленные заряды отличались исключительно высоким качеством. Завод не имел ни одной рекламации от войск за весь период Великой Отечественной войны (11209).</w:t>
      </w:r>
    </w:p>
    <w:p w14:paraId="25E7C55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1945 г. после окончания Великой Отечественной войны завод 512 как валовый завод по выпуску порохов и зарядов из них прекратил свое существование и был преобразован в научно-исследовательский институт. [</w:t>
      </w:r>
      <w:r w:rsidRPr="007224C3">
        <w:rPr>
          <w:rFonts w:ascii="Times New Roman" w:hAnsi="Times New Roman"/>
          <w:iCs/>
          <w:color w:val="000000" w:themeColor="text1"/>
          <w:sz w:val="16"/>
          <w:szCs w:val="16"/>
        </w:rPr>
        <w:t>НИИ-125, г.Дзержинский Московской обл., МАП (1947), МОМ (1965), позднее Научно-исследовательский химико-технологический институт</w:t>
      </w:r>
      <w:r w:rsidRPr="007224C3">
        <w:rPr>
          <w:rFonts w:ascii="Times New Roman" w:hAnsi="Times New Roman"/>
          <w:color w:val="000000" w:themeColor="text1"/>
          <w:sz w:val="16"/>
          <w:szCs w:val="16"/>
        </w:rPr>
        <w:t>] (11209).</w:t>
      </w:r>
    </w:p>
    <w:p w14:paraId="4789DB9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EBA12E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 г. В. Бер получает из НИИ-48 такое письмо: «Согласно вашего запроса от 18.04.44 имеем сообщить:</w:t>
      </w:r>
    </w:p>
    <w:p w14:paraId="1374536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Освоение немецкой промышленностью массового бро</w:t>
      </w:r>
      <w:r w:rsidRPr="007224C3">
        <w:rPr>
          <w:rFonts w:ascii="Times New Roman" w:hAnsi="Times New Roman"/>
          <w:color w:val="000000" w:themeColor="text1"/>
          <w:sz w:val="16"/>
          <w:szCs w:val="16"/>
        </w:rPr>
        <w:softHyphen/>
        <w:t>невого литья башен и корпусов танков считаем невозмож</w:t>
      </w:r>
      <w:r w:rsidRPr="007224C3">
        <w:rPr>
          <w:rFonts w:ascii="Times New Roman" w:hAnsi="Times New Roman"/>
          <w:color w:val="000000" w:themeColor="text1"/>
          <w:sz w:val="16"/>
          <w:szCs w:val="16"/>
        </w:rPr>
        <w:softHyphen/>
        <w:t>ным ввиду отсутствия в настоящее время в Германии необ</w:t>
      </w:r>
      <w:r w:rsidRPr="007224C3">
        <w:rPr>
          <w:rFonts w:ascii="Times New Roman" w:hAnsi="Times New Roman"/>
          <w:color w:val="000000" w:themeColor="text1"/>
          <w:sz w:val="16"/>
          <w:szCs w:val="16"/>
        </w:rPr>
        <w:softHyphen/>
        <w:t>ходимой номенклатуры легирующих компонентов, что под</w:t>
      </w:r>
      <w:r w:rsidRPr="007224C3">
        <w:rPr>
          <w:rFonts w:ascii="Times New Roman" w:hAnsi="Times New Roman"/>
          <w:color w:val="000000" w:themeColor="text1"/>
          <w:sz w:val="16"/>
          <w:szCs w:val="16"/>
        </w:rPr>
        <w:softHyphen/>
        <w:t>тверждается исследованиями химического состава ката</w:t>
      </w:r>
      <w:r w:rsidRPr="007224C3">
        <w:rPr>
          <w:rFonts w:ascii="Times New Roman" w:hAnsi="Times New Roman"/>
          <w:color w:val="000000" w:themeColor="text1"/>
          <w:sz w:val="16"/>
          <w:szCs w:val="16"/>
        </w:rPr>
        <w:softHyphen/>
        <w:t>ной и литой брони танков «Тигр» и «Пантера»...</w:t>
      </w:r>
    </w:p>
    <w:p w14:paraId="70B1742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Немецкая литая броня высокой твердости большой толщины не является надежной защитой против бронебой</w:t>
      </w:r>
      <w:r w:rsidRPr="007224C3">
        <w:rPr>
          <w:rFonts w:ascii="Times New Roman" w:hAnsi="Times New Roman"/>
          <w:color w:val="000000" w:themeColor="text1"/>
          <w:sz w:val="16"/>
          <w:szCs w:val="16"/>
        </w:rPr>
        <w:softHyphen/>
        <w:t>ных снарядов большой массы...»</w:t>
      </w:r>
    </w:p>
    <w:p w14:paraId="62C3050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Можно сделать вывод, что начальник ОГК НКТП, види</w:t>
      </w:r>
      <w:r w:rsidRPr="007224C3">
        <w:rPr>
          <w:rFonts w:ascii="Times New Roman" w:hAnsi="Times New Roman"/>
          <w:color w:val="000000" w:themeColor="text1"/>
          <w:sz w:val="16"/>
          <w:szCs w:val="16"/>
        </w:rPr>
        <w:softHyphen/>
        <w:t>мо, привлекал специалистов по броне для изучения разроз</w:t>
      </w:r>
      <w:r w:rsidRPr="007224C3">
        <w:rPr>
          <w:rFonts w:ascii="Times New Roman" w:hAnsi="Times New Roman"/>
          <w:color w:val="000000" w:themeColor="text1"/>
          <w:sz w:val="16"/>
          <w:szCs w:val="16"/>
        </w:rPr>
        <w:softHyphen/>
        <w:t>ненных данных по новому немецкому танку с «литым броне</w:t>
      </w:r>
      <w:r w:rsidRPr="007224C3">
        <w:rPr>
          <w:rFonts w:ascii="Times New Roman" w:hAnsi="Times New Roman"/>
          <w:color w:val="000000" w:themeColor="text1"/>
          <w:sz w:val="16"/>
          <w:szCs w:val="16"/>
        </w:rPr>
        <w:softHyphen/>
        <w:t>вым корпусом и башней», что было естественно в то время (11135).</w:t>
      </w:r>
    </w:p>
    <w:p w14:paraId="6EA4517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0D6AC28" w14:textId="77777777" w:rsidR="00822884" w:rsidRPr="007224C3" w:rsidRDefault="0082288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 года было принято решение о том, что в Ленинграде необходимо возобновлять производство тяжёлых танков. Связано это было с успехами на фронте: в январе 1944 года РККА </w:t>
      </w:r>
      <w:hyperlink r:id="rId148" w:history="1">
        <w:r w:rsidRPr="007224C3">
          <w:rPr>
            <w:rStyle w:val="a5"/>
            <w:rFonts w:ascii="Times New Roman" w:hAnsi="Times New Roman"/>
            <w:color w:val="000000" w:themeColor="text1"/>
            <w:sz w:val="16"/>
            <w:szCs w:val="16"/>
          </w:rPr>
          <w:t>окончательно сняла блокаду Ленинграда</w:t>
        </w:r>
      </w:hyperlink>
      <w:r w:rsidRPr="007224C3">
        <w:rPr>
          <w:rFonts w:ascii="Times New Roman" w:hAnsi="Times New Roman"/>
          <w:color w:val="000000" w:themeColor="text1"/>
          <w:sz w:val="16"/>
          <w:szCs w:val="16"/>
        </w:rPr>
        <w:t>, фронт стремительно отодвигался от города, который продержался в окружении 900 дней и ночей. 26 мая 1944 года Сталин подписал постановление ГКО №5959сс «Об организации производства танков ИС, бронекорпусов к ним и о восстановлении металлургии на Кировском и Ижорском заводах Наркомата танковой промышленности в г. Ленинграде». Уже в октябре ожидалась сдача первых десяти ленинградских ИС-2, в ноябре их должно было быть 20, а в декабре — 25. В первом квартале 1945 года предполагалось увеличить объём выпуска ИС-2 до 50 штук в месяц. Постановление возрождало и работу Ижорского завода, который, как и до войны, должен был обеспечивать ЛКЗ корпусами и башнями (18099).</w:t>
      </w:r>
    </w:p>
    <w:p w14:paraId="369757AB" w14:textId="77777777" w:rsidR="00822884" w:rsidRPr="007224C3" w:rsidRDefault="00822884" w:rsidP="007224C3">
      <w:pPr>
        <w:spacing w:after="0" w:line="240" w:lineRule="auto"/>
        <w:jc w:val="both"/>
        <w:rPr>
          <w:rFonts w:ascii="Times New Roman" w:hAnsi="Times New Roman"/>
          <w:color w:val="000000" w:themeColor="text1"/>
          <w:sz w:val="16"/>
          <w:szCs w:val="16"/>
        </w:rPr>
      </w:pPr>
    </w:p>
    <w:p w14:paraId="670B0C7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 г. УЗТМ выпустил первые 20 усовершенствованных бронекорпусов танка ИС. Заводу № 200 необходимо было выпускать корпус со спрямленным литым носом и углом наклона верхнего лобового листа в 60° из броневой стали высокой твердости толщиной 100 мм. Бортовая броня литой носовой части корпуса должна была иметь толщину 90 мм. Остальные толщины деталей должны были быть такими же, как и для УЗТМ. С целью сохранения массы корпуса в прежних пределах было решено уменьшить толщину подкрылков до 16 мм, днища корпуса - до 20 мм, крыши над двигателем - до 20 мм (10703).</w:t>
      </w:r>
    </w:p>
    <w:p w14:paraId="2DEB21A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076E26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 года "Уралмашзавод" перешел на выпуск бронекорпусов ИС-2 со "спрямленным" сварным носом, а завод № 200 начал выпускать такие же корпуса, но с литым носом с июня 1944 года. Впрочем, некоторое время танки со старыми и новыми корпусами выпускались параллельно. (3862).</w:t>
      </w:r>
    </w:p>
    <w:p w14:paraId="5BD76D7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9054D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мая 1944 года начался выпуск башен ИС-2 с расширенной амбразурой, что позволило сместить прицел влево. Была также увеличена бронезащита маски орудия и толщина нижней части бортов. Командирскую башенку сместили влево на 63 мм, перископический прицел ПТ4-17 изъяли, а на его месте установили прибор наблюдения MK-IV.</w:t>
      </w:r>
    </w:p>
    <w:p w14:paraId="26137C5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командирской башенке появилась зенитная установка крупнокалиберного пулемета ДШК (конструктор - П.П.Исаков). Вплоть до конца войны башня ИСа никаким другим существенным изменениям не подвергалась. (3862).</w:t>
      </w:r>
    </w:p>
    <w:p w14:paraId="549522E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685B24" w14:textId="77777777" w:rsidR="00552857" w:rsidRPr="007224C3" w:rsidRDefault="00552857" w:rsidP="007224C3">
      <w:pPr>
        <w:pStyle w:val="a3"/>
        <w:rPr>
          <w:color w:val="000000" w:themeColor="text1"/>
          <w:lang w:val="ru-RU"/>
        </w:rPr>
      </w:pPr>
      <w:r w:rsidRPr="007224C3">
        <w:rPr>
          <w:color w:val="000000" w:themeColor="text1"/>
          <w:lang w:val="ru-RU"/>
        </w:rPr>
        <w:t xml:space="preserve">Начиная с мая 1944 г. В целях усиления броневой защиты танка ИС-2 конструкция передней части его корпуса претерпела изменения, машины со спрямленным </w:t>
      </w:r>
      <w:r w:rsidRPr="007224C3">
        <w:rPr>
          <w:color w:val="000000" w:themeColor="text1"/>
          <w:lang w:val="ru-RU"/>
        </w:rPr>
        <w:lastRenderedPageBreak/>
        <w:t>литым, а затем — и с катаным верхним лобовым листом стали выпу</w:t>
      </w:r>
      <w:r w:rsidRPr="007224C3">
        <w:rPr>
          <w:color w:val="000000" w:themeColor="text1"/>
          <w:lang w:val="ru-RU"/>
        </w:rPr>
        <w:softHyphen/>
        <w:t>скаться серийно.</w:t>
      </w:r>
    </w:p>
    <w:p w14:paraId="567D7DDF" w14:textId="77777777" w:rsidR="00552857" w:rsidRPr="007224C3" w:rsidRDefault="00552857" w:rsidP="007224C3">
      <w:pPr>
        <w:pStyle w:val="a3"/>
        <w:rPr>
          <w:color w:val="000000" w:themeColor="text1"/>
          <w:lang w:val="ru-RU"/>
        </w:rPr>
      </w:pPr>
      <w:r w:rsidRPr="007224C3">
        <w:rPr>
          <w:color w:val="000000" w:themeColor="text1"/>
          <w:lang w:val="ru-RU"/>
        </w:rPr>
        <w:t>К концу 1944 г. модернизация, проводив</w:t>
      </w:r>
      <w:r w:rsidRPr="007224C3">
        <w:rPr>
          <w:color w:val="000000" w:themeColor="text1"/>
          <w:lang w:val="ru-RU"/>
        </w:rPr>
        <w:softHyphen/>
        <w:t>шаяся в ходе серийного производства ИС-2, приобрела одну направленность — качествен</w:t>
      </w:r>
      <w:r w:rsidRPr="007224C3">
        <w:rPr>
          <w:color w:val="000000" w:themeColor="text1"/>
          <w:lang w:val="ru-RU"/>
        </w:rPr>
        <w:softHyphen/>
        <w:t>ное усиление броневой защиты, что предпола</w:t>
      </w:r>
      <w:r w:rsidRPr="007224C3">
        <w:rPr>
          <w:color w:val="000000" w:themeColor="text1"/>
          <w:lang w:val="ru-RU"/>
        </w:rPr>
        <w:softHyphen/>
        <w:t>гало полностью отказаться от литых конструк</w:t>
      </w:r>
      <w:r w:rsidRPr="007224C3">
        <w:rPr>
          <w:color w:val="000000" w:themeColor="text1"/>
          <w:lang w:val="ru-RU"/>
        </w:rPr>
        <w:softHyphen/>
        <w:t>ций элементов корпуса.</w:t>
      </w:r>
    </w:p>
    <w:p w14:paraId="2752AF5A" w14:textId="77777777" w:rsidR="00552857" w:rsidRPr="007224C3" w:rsidRDefault="00552857" w:rsidP="007224C3">
      <w:pPr>
        <w:pStyle w:val="a3"/>
        <w:rPr>
          <w:color w:val="000000" w:themeColor="text1"/>
          <w:lang w:val="ru-RU"/>
        </w:rPr>
      </w:pPr>
      <w:r w:rsidRPr="007224C3">
        <w:rPr>
          <w:color w:val="000000" w:themeColor="text1"/>
          <w:lang w:val="ru-RU"/>
        </w:rPr>
        <w:t>Но Г.Н. Москвина как компоновщика волно</w:t>
      </w:r>
      <w:r w:rsidRPr="007224C3">
        <w:rPr>
          <w:color w:val="000000" w:themeColor="text1"/>
          <w:lang w:val="ru-RU"/>
        </w:rPr>
        <w:softHyphen/>
        <w:t>вали еще некоторые аспекты улучшения снарядостойкости спрямленного носа. Во-первых, в верхнем листе было необходимо выполнять сквозную прорезь (смотровую щель) для обе</w:t>
      </w:r>
      <w:r w:rsidRPr="007224C3">
        <w:rPr>
          <w:color w:val="000000" w:themeColor="text1"/>
          <w:lang w:val="ru-RU"/>
        </w:rPr>
        <w:softHyphen/>
        <w:t>спечения обзорности механика-водителя, что нарушало прочность и снижало противоснарядную стойкость лобовой части танка. Альтернативой могла стать установка пери</w:t>
      </w:r>
      <w:r w:rsidRPr="007224C3">
        <w:rPr>
          <w:color w:val="000000" w:themeColor="text1"/>
          <w:lang w:val="ru-RU"/>
        </w:rPr>
        <w:softHyphen/>
        <w:t>скопических зеркальных приборов, но для их размещения места было недостаточно. Кроме того, для посадки-выхода механика-водителя сохранялся лишь один способ — через люк в крыше башни.</w:t>
      </w:r>
    </w:p>
    <w:p w14:paraId="2A1DD348" w14:textId="77777777" w:rsidR="00552857" w:rsidRPr="007224C3" w:rsidRDefault="00552857" w:rsidP="007224C3">
      <w:pPr>
        <w:pStyle w:val="a3"/>
        <w:rPr>
          <w:color w:val="000000" w:themeColor="text1"/>
          <w:lang w:val="ru-RU"/>
        </w:rPr>
      </w:pPr>
      <w:r w:rsidRPr="007224C3">
        <w:rPr>
          <w:color w:val="000000" w:themeColor="text1"/>
          <w:lang w:val="ru-RU"/>
        </w:rPr>
        <w:t>В итоге Г.Н. Москвин предложил выпол</w:t>
      </w:r>
      <w:r w:rsidRPr="007224C3">
        <w:rPr>
          <w:color w:val="000000" w:themeColor="text1"/>
          <w:lang w:val="ru-RU"/>
        </w:rPr>
        <w:softHyphen/>
        <w:t>нить верхний лобовой лист не плоским, а двускатным, т.е. с продольным перегибом посредине. В этом случае в верхней части листа вблизи башни освобождалось место для люка механика-водителя треугольной формы. Кроме того, крышка люка, имеющая два основных положения (нижнее и верхнее), в сочетании с двумя положениями сиденья механика-водителя (также нижним и верхнем), будучи повернутая вокруг вертикальной оси, расположенной в одном из боковых углов крышки, позволяла механику-водителю в верхнем положении сиденья вести наблюде</w:t>
      </w:r>
      <w:r w:rsidRPr="007224C3">
        <w:rPr>
          <w:color w:val="000000" w:themeColor="text1"/>
          <w:lang w:val="ru-RU"/>
        </w:rPr>
        <w:softHyphen/>
        <w:t>ние на марше за местностью.</w:t>
      </w:r>
    </w:p>
    <w:p w14:paraId="553F44DA" w14:textId="77777777" w:rsidR="00552857" w:rsidRPr="007224C3" w:rsidRDefault="00552857" w:rsidP="007224C3">
      <w:pPr>
        <w:pStyle w:val="a3"/>
        <w:rPr>
          <w:color w:val="000000" w:themeColor="text1"/>
          <w:lang w:val="ru-RU"/>
        </w:rPr>
      </w:pPr>
      <w:r w:rsidRPr="007224C3">
        <w:rPr>
          <w:color w:val="000000" w:themeColor="text1"/>
          <w:lang w:val="ru-RU"/>
        </w:rPr>
        <w:t>Подворот крыльев верхнего лобового листа дополнительно повышал броневую стойкость лба корпуса.</w:t>
      </w:r>
    </w:p>
    <w:p w14:paraId="774134E9" w14:textId="77777777" w:rsidR="00552857" w:rsidRPr="007224C3" w:rsidRDefault="00552857" w:rsidP="007224C3">
      <w:pPr>
        <w:pStyle w:val="a3"/>
        <w:rPr>
          <w:color w:val="000000" w:themeColor="text1"/>
          <w:lang w:val="ru-RU"/>
        </w:rPr>
      </w:pPr>
      <w:r w:rsidRPr="007224C3">
        <w:rPr>
          <w:color w:val="000000" w:themeColor="text1"/>
          <w:lang w:val="ru-RU"/>
        </w:rPr>
        <w:t>Проконсультировавшись со специали</w:t>
      </w:r>
      <w:r w:rsidRPr="007224C3">
        <w:rPr>
          <w:color w:val="000000" w:themeColor="text1"/>
          <w:lang w:val="ru-RU"/>
        </w:rPr>
        <w:softHyphen/>
        <w:t>стами Броневого НИИ, Г.Н. Москвин спроекти</w:t>
      </w:r>
      <w:r w:rsidRPr="007224C3">
        <w:rPr>
          <w:color w:val="000000" w:themeColor="text1"/>
          <w:lang w:val="ru-RU"/>
        </w:rPr>
        <w:softHyphen/>
        <w:t>ровал макет бронекорпуса с двумя «носами» — плоским и с перегибом посредине. Обстрел макета, проведенный на полигоне, подтвердил целесообразность замены плоского верхнего лобового листа на лист с перегибом. Эффект усиления бронезащиты был достигнут при всех заданных курсовых углах (12617).</w:t>
      </w:r>
    </w:p>
    <w:p w14:paraId="1B97C70F" w14:textId="77777777" w:rsidR="00552857" w:rsidRPr="007224C3" w:rsidRDefault="00552857" w:rsidP="007224C3">
      <w:pPr>
        <w:pStyle w:val="a3"/>
        <w:rPr>
          <w:color w:val="000000" w:themeColor="text1"/>
          <w:lang w:val="ru-RU"/>
        </w:rPr>
      </w:pPr>
    </w:p>
    <w:p w14:paraId="28BC3A08" w14:textId="77777777" w:rsidR="00822884" w:rsidRPr="007224C3" w:rsidRDefault="00822884" w:rsidP="007224C3">
      <w:pPr>
        <w:pStyle w:val="ae"/>
        <w:spacing w:before="0" w:after="0"/>
        <w:jc w:val="both"/>
        <w:textAlignment w:val="baseline"/>
        <w:rPr>
          <w:color w:val="000000" w:themeColor="text1"/>
          <w:sz w:val="16"/>
          <w:szCs w:val="16"/>
        </w:rPr>
      </w:pPr>
      <w:r w:rsidRPr="007224C3">
        <w:rPr>
          <w:color w:val="000000" w:themeColor="text1"/>
          <w:sz w:val="16"/>
          <w:szCs w:val="16"/>
        </w:rPr>
        <w:t>В мае 1944 года на заводу № 183 на заводские испытания они вышли опытные Т-34-85. Причиной тому стала загрузка по выпуску Т-34-85 и форсирование работ по Т-44. В-третьих, большинство предложений заводского КБ оказалось отвергнуто. Как и требовалось в приказе №109сс, толщину нижнего кормового листа корпуса снизили до 30 мм, уменьшились и толщины крыши и днища.</w:t>
      </w:r>
    </w:p>
    <w:p w14:paraId="580B057E" w14:textId="77777777" w:rsidR="00822884" w:rsidRPr="007224C3" w:rsidRDefault="00822884" w:rsidP="007224C3">
      <w:pPr>
        <w:pStyle w:val="ae"/>
        <w:spacing w:before="0" w:after="0"/>
        <w:jc w:val="both"/>
        <w:textAlignment w:val="baseline"/>
        <w:rPr>
          <w:color w:val="000000" w:themeColor="text1"/>
          <w:sz w:val="16"/>
          <w:szCs w:val="16"/>
        </w:rPr>
      </w:pPr>
      <w:r w:rsidRPr="007224C3">
        <w:rPr>
          <w:color w:val="000000" w:themeColor="text1"/>
          <w:sz w:val="16"/>
          <w:szCs w:val="16"/>
        </w:rPr>
        <w:t>Несмотря на отмену нововведений вроде командирской башенки от Т-44, танк, получивший обозначение Т-34-85М, даже по первому варианту получил некоторые изменения по сравнению с исходным проектом. Толщину крыши люка механика-водителя увеличили с 90 до 100 мм. Вероятнее всего, утолщение связано с результатами испытаний обстрелом корпуса первого варианта Т-44. Выяснилось, что толщины смотрового лючка будки механика-водителя, составлявшей 90 мм, оказалось недостаточно. В результате было принято решение об наращивании толщины смотрового лючка до 100 мм и увеличения угла его наклона. Таким образом, лобовой лист корпуса получил защиту от 75-мм пушки Pak 40. В связи с увеличением толщины крышки люка выросла и его масса, поэтому вместо пружинного уравновешивающего механизма поставили торсион. Следует отметить, что за счёт перераспределения толщины листов боевая масса Т-34-85М по первому варианту составила 32 115 кг, при этом серийный Т-34-85 имел боевую массу 32 250 кг. Также модернизированный танк получил 4-скоростную КПП с изменённым передаточным отношением в конической паре шестерён. Изменились и ведущие колёса: их диаметр снизился до 530 мм, а количество роликов сократили до пяти.</w:t>
      </w:r>
    </w:p>
    <w:p w14:paraId="39DEA2A4" w14:textId="77777777" w:rsidR="00822884" w:rsidRPr="007224C3" w:rsidRDefault="00822884" w:rsidP="007224C3">
      <w:pPr>
        <w:pStyle w:val="ae"/>
        <w:spacing w:before="0" w:after="0"/>
        <w:jc w:val="both"/>
        <w:textAlignment w:val="baseline"/>
        <w:rPr>
          <w:color w:val="000000" w:themeColor="text1"/>
          <w:sz w:val="16"/>
          <w:szCs w:val="16"/>
        </w:rPr>
      </w:pPr>
      <w:r w:rsidRPr="007224C3">
        <w:rPr>
          <w:color w:val="000000" w:themeColor="text1"/>
          <w:sz w:val="16"/>
          <w:szCs w:val="16"/>
        </w:rPr>
        <w:t>Танк по второму варианту модернизации имел куда больше отличий. Для начала машина также получила ведущие колёса с уменьшенным до 530 мм диаметром и 5 роликами вместо 6. Отбойники для досылки пальцев в проушины траков перенесли в переднюю часть корпуса. Наконец, в связи с требованием убрать топливные баки из боевого отделения их перенесли в кормовую часть корпуса. Для этого кормовую часть корпуса удлинили, и там появилось 2 топливных бака по 190 л каждый. Общий объём топливных баков составил 540 л. Благодаря выносу топливных баков из боевого отделения удалось найти место для 4 дополнительных выстрелов к 85-мм орудию ЗИС-С-53 и 2 дополнительных пулемётных дисков.</w:t>
      </w:r>
    </w:p>
    <w:p w14:paraId="2D124EB0" w14:textId="77777777" w:rsidR="00822884" w:rsidRPr="007224C3" w:rsidRDefault="00822884" w:rsidP="007224C3">
      <w:pPr>
        <w:pStyle w:val="ae"/>
        <w:spacing w:before="0" w:after="0"/>
        <w:jc w:val="both"/>
        <w:textAlignment w:val="baseline"/>
        <w:rPr>
          <w:color w:val="000000" w:themeColor="text1"/>
          <w:sz w:val="16"/>
          <w:szCs w:val="16"/>
        </w:rPr>
      </w:pPr>
      <w:r w:rsidRPr="007224C3">
        <w:rPr>
          <w:color w:val="000000" w:themeColor="text1"/>
          <w:sz w:val="16"/>
          <w:szCs w:val="16"/>
        </w:rPr>
        <w:t>Переделка кормовой части машины привела к тому, что корпус стал длиннее на 185 мм, а общая масса машины составила 32 230 кг. Впрочем, это всё равно было меньше, чем у серийного Т-34-85. Переделка кормовой части привела и к изменению выхлопной системы. Нижний кормовой лист увеличился по высоте на 400 мм. Для сохранения боевой массы с бортов баки прикрывались вертикальными листами толщиной 45 мм, при этом были сделаны ложные подкрылки из листового железа. Также переделали спидометр, причём его показатели оказались неверными – дело в том, что на танк поставили ведущие колёса иного диаметра, в привод к спидометру не переделали (18998).</w:t>
      </w:r>
    </w:p>
    <w:p w14:paraId="32617900" w14:textId="77777777" w:rsidR="00822884" w:rsidRPr="007224C3" w:rsidRDefault="00822884" w:rsidP="007224C3">
      <w:pPr>
        <w:pStyle w:val="ae"/>
        <w:spacing w:before="0" w:after="0"/>
        <w:jc w:val="both"/>
        <w:textAlignment w:val="baseline"/>
        <w:rPr>
          <w:color w:val="000000" w:themeColor="text1"/>
          <w:sz w:val="16"/>
          <w:szCs w:val="16"/>
        </w:rPr>
      </w:pPr>
    </w:p>
    <w:p w14:paraId="606BBE4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 г. заводом № 183 были изготовлены два опытных образца Т-44 (второй модификации), один из которых прошел заводские испытания. В июне-июле 1944 г. второй опытный образец танка успешно прошел испыта</w:t>
      </w:r>
      <w:r w:rsidRPr="007224C3">
        <w:rPr>
          <w:rFonts w:ascii="Times New Roman" w:hAnsi="Times New Roman"/>
          <w:color w:val="000000" w:themeColor="text1"/>
          <w:sz w:val="16"/>
          <w:szCs w:val="16"/>
        </w:rPr>
        <w:softHyphen/>
        <w:t>ния на НИБТ полигоне и был рекомендован для принятия на вооруже</w:t>
      </w:r>
      <w:r w:rsidRPr="007224C3">
        <w:rPr>
          <w:rFonts w:ascii="Times New Roman" w:hAnsi="Times New Roman"/>
          <w:color w:val="000000" w:themeColor="text1"/>
          <w:sz w:val="16"/>
          <w:szCs w:val="16"/>
        </w:rPr>
        <w:softHyphen/>
        <w:t>ние РККА после устранения выявленных дефектов и реализации всех предложений комиссии. На вооружение танк не принимался и в серий</w:t>
      </w:r>
      <w:r w:rsidRPr="007224C3">
        <w:rPr>
          <w:rFonts w:ascii="Times New Roman" w:hAnsi="Times New Roman"/>
          <w:color w:val="000000" w:themeColor="text1"/>
          <w:sz w:val="16"/>
          <w:szCs w:val="16"/>
        </w:rPr>
        <w:softHyphen/>
        <w:t>ном производстве не состоял. Явился прототипом предсерийного образ</w:t>
      </w:r>
      <w:r w:rsidRPr="007224C3">
        <w:rPr>
          <w:rFonts w:ascii="Times New Roman" w:hAnsi="Times New Roman"/>
          <w:color w:val="000000" w:themeColor="text1"/>
          <w:sz w:val="16"/>
          <w:szCs w:val="16"/>
        </w:rPr>
        <w:softHyphen/>
        <w:t>ца танка Т-44А (10703).</w:t>
      </w:r>
    </w:p>
    <w:p w14:paraId="206F9C5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CE44D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 г. заводом № 38 был разработан и изготовлен с исполь</w:t>
      </w:r>
      <w:r w:rsidRPr="007224C3">
        <w:rPr>
          <w:rFonts w:ascii="Times New Roman" w:hAnsi="Times New Roman"/>
          <w:color w:val="000000" w:themeColor="text1"/>
          <w:sz w:val="16"/>
          <w:szCs w:val="16"/>
        </w:rPr>
        <w:softHyphen/>
        <w:t>зованием узлов и агрегатов легкого танка Т-60 опытный образец откры</w:t>
      </w:r>
      <w:r w:rsidRPr="007224C3">
        <w:rPr>
          <w:rFonts w:ascii="Times New Roman" w:hAnsi="Times New Roman"/>
          <w:color w:val="000000" w:themeColor="text1"/>
          <w:sz w:val="16"/>
          <w:szCs w:val="16"/>
        </w:rPr>
        <w:softHyphen/>
        <w:t>той артиллерийской установки ОСУ-76, которая предназначалась для непосредственной поддержки пехоты. Самоходная установка была во</w:t>
      </w:r>
      <w:r w:rsidRPr="007224C3">
        <w:rPr>
          <w:rFonts w:ascii="Times New Roman" w:hAnsi="Times New Roman"/>
          <w:color w:val="000000" w:themeColor="text1"/>
          <w:sz w:val="16"/>
          <w:szCs w:val="16"/>
        </w:rPr>
        <w:softHyphen/>
        <w:t>оружена 76,2-мм пушкой ЗИС-3 обр. 1942 г. В июне 1944 г. машина про</w:t>
      </w:r>
      <w:r w:rsidRPr="007224C3">
        <w:rPr>
          <w:rFonts w:ascii="Times New Roman" w:hAnsi="Times New Roman"/>
          <w:color w:val="000000" w:themeColor="text1"/>
          <w:sz w:val="16"/>
          <w:szCs w:val="16"/>
        </w:rPr>
        <w:softHyphen/>
        <w:t>шла государственные испытания. Основными достоинствами машины являлись чрезвычайная простота конструкции и изготовления, низкая стоимость и возможность применения в авиадесантных операциях. Дальнейшего развития установка не получила, так как из-за дефицита шестицилиндровых карбюраторных двигателей, на ней был установлен маломощный четырехцилиндровый карбюраторный двигатель, ГАЗ-М1, в результате чего машина имела низкие показатели подвижно</w:t>
      </w:r>
      <w:r w:rsidRPr="007224C3">
        <w:rPr>
          <w:rFonts w:ascii="Times New Roman" w:hAnsi="Times New Roman"/>
          <w:color w:val="000000" w:themeColor="text1"/>
          <w:sz w:val="16"/>
          <w:szCs w:val="16"/>
        </w:rPr>
        <w:softHyphen/>
        <w:t>сти. Кроме того, малая длина опорной поверхности (четыре опорных катка на борт) не обеспечивала необходимую устойчивость установки при стрельбе. Через четыре месяца Горьковский автозавод представил на испыта</w:t>
      </w:r>
      <w:r w:rsidRPr="007224C3">
        <w:rPr>
          <w:rFonts w:ascii="Times New Roman" w:hAnsi="Times New Roman"/>
          <w:color w:val="000000" w:themeColor="text1"/>
          <w:sz w:val="16"/>
          <w:szCs w:val="16"/>
        </w:rPr>
        <w:softHyphen/>
        <w:t>ния новый опытный образец самоходной установки СУ-85Б (СУ-15Б), в которой были учтены недостатки конструкции предыдущего образца. Кроме того, на машине была установлена 85-мм пушка ЛБ-2 конструк</w:t>
      </w:r>
      <w:r w:rsidRPr="007224C3">
        <w:rPr>
          <w:rFonts w:ascii="Times New Roman" w:hAnsi="Times New Roman"/>
          <w:color w:val="000000" w:themeColor="text1"/>
          <w:sz w:val="16"/>
          <w:szCs w:val="16"/>
        </w:rPr>
        <w:softHyphen/>
        <w:t>ции завода № 92 с дульным тормозом для уменьшения силы отдачи при выстреле. Проведенные испытания прошли успешно, огневая мощь и подвижность машины были признаны удовлетворительными и уста</w:t>
      </w:r>
      <w:r w:rsidRPr="007224C3">
        <w:rPr>
          <w:rFonts w:ascii="Times New Roman" w:hAnsi="Times New Roman"/>
          <w:color w:val="000000" w:themeColor="text1"/>
          <w:sz w:val="16"/>
          <w:szCs w:val="16"/>
        </w:rPr>
        <w:softHyphen/>
        <w:t>новка была рекомендована к принятию на вооружение, хотя и сохрани</w:t>
      </w:r>
      <w:r w:rsidRPr="007224C3">
        <w:rPr>
          <w:rFonts w:ascii="Times New Roman" w:hAnsi="Times New Roman"/>
          <w:color w:val="000000" w:themeColor="text1"/>
          <w:sz w:val="16"/>
          <w:szCs w:val="16"/>
        </w:rPr>
        <w:softHyphen/>
        <w:t>ла некоторые недостатки, присущие установке СУ-85 А. В связи с окон</w:t>
      </w:r>
      <w:r w:rsidRPr="007224C3">
        <w:rPr>
          <w:rFonts w:ascii="Times New Roman" w:hAnsi="Times New Roman"/>
          <w:color w:val="000000" w:themeColor="text1"/>
          <w:sz w:val="16"/>
          <w:szCs w:val="16"/>
        </w:rPr>
        <w:softHyphen/>
        <w:t>чанием Великой Отечественной войны дальнейшие работы над уста</w:t>
      </w:r>
      <w:r w:rsidRPr="007224C3">
        <w:rPr>
          <w:rFonts w:ascii="Times New Roman" w:hAnsi="Times New Roman"/>
          <w:color w:val="000000" w:themeColor="text1"/>
          <w:sz w:val="16"/>
          <w:szCs w:val="16"/>
        </w:rPr>
        <w:softHyphen/>
        <w:t>новкой СУ-85Б были прекращены (10703).</w:t>
      </w:r>
    </w:p>
    <w:p w14:paraId="283400F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E16C0C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 г. конструкторским бюро УЗТМ под руководством Л.И. Горлицкого была разработана самоходная установка СУ-122П, которая представляла собой дальнейшее развитие самоходной установки СУ-100. Опытный образец был изготовлен в сентябре 1944 г. По резуль</w:t>
      </w:r>
      <w:r w:rsidRPr="007224C3">
        <w:rPr>
          <w:rFonts w:ascii="Times New Roman" w:hAnsi="Times New Roman"/>
          <w:color w:val="000000" w:themeColor="text1"/>
          <w:sz w:val="16"/>
          <w:szCs w:val="16"/>
        </w:rPr>
        <w:softHyphen/>
        <w:t>татам испытаний был признан годным для вооружения армии и мог быть принят в кратчайший срок на серийное производство при необ</w:t>
      </w:r>
      <w:r w:rsidRPr="007224C3">
        <w:rPr>
          <w:rFonts w:ascii="Times New Roman" w:hAnsi="Times New Roman"/>
          <w:color w:val="000000" w:themeColor="text1"/>
          <w:sz w:val="16"/>
          <w:szCs w:val="16"/>
        </w:rPr>
        <w:softHyphen/>
        <w:t>ходимости, но на вооружение не принимался и в серийном производ</w:t>
      </w:r>
      <w:r w:rsidRPr="007224C3">
        <w:rPr>
          <w:rFonts w:ascii="Times New Roman" w:hAnsi="Times New Roman"/>
          <w:color w:val="000000" w:themeColor="text1"/>
          <w:sz w:val="16"/>
          <w:szCs w:val="16"/>
        </w:rPr>
        <w:softHyphen/>
        <w:t>стве не состоял (10703).</w:t>
      </w:r>
    </w:p>
    <w:p w14:paraId="79ED739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578732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 на з-де 172 изготовили 122 мм пушку БЛ-9 для ИСУ-122-1 и поставили на ИС в июне (7437, 27).</w:t>
      </w:r>
    </w:p>
    <w:p w14:paraId="18E6460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42B296" w14:textId="77777777" w:rsidR="00406246" w:rsidRPr="007224C3" w:rsidRDefault="00406246" w:rsidP="007224C3">
      <w:pPr>
        <w:spacing w:after="0" w:line="240" w:lineRule="auto"/>
        <w:jc w:val="both"/>
        <w:rPr>
          <w:rStyle w:val="723"/>
          <w:rFonts w:ascii="Times New Roman" w:hAnsi="Times New Roman" w:cs="Times New Roman"/>
          <w:color w:val="0070C0"/>
          <w:sz w:val="16"/>
          <w:szCs w:val="16"/>
        </w:rPr>
      </w:pPr>
      <w:r w:rsidRPr="007224C3">
        <w:rPr>
          <w:rStyle w:val="723"/>
          <w:rFonts w:ascii="Times New Roman" w:hAnsi="Times New Roman" w:cs="Times New Roman"/>
          <w:color w:val="0070C0"/>
          <w:sz w:val="16"/>
          <w:szCs w:val="16"/>
        </w:rPr>
        <w:t>В мае 1944 года в конструкцию танка ИС-2 внесли еще больше изменений. Происходило это на фоне перестройки цехов под поточное производство ИС-2 и ИСУ. Наибольшие изме</w:t>
      </w:r>
      <w:r w:rsidRPr="007224C3">
        <w:rPr>
          <w:rStyle w:val="723"/>
          <w:rFonts w:ascii="Times New Roman" w:hAnsi="Times New Roman" w:cs="Times New Roman"/>
          <w:color w:val="0070C0"/>
          <w:sz w:val="16"/>
          <w:szCs w:val="16"/>
        </w:rPr>
        <w:softHyphen/>
        <w:t>нения претерпела башня танка, а также его вооружение. С мая 1944 года завода № 200 перешел на изготовление башен по чертежу 240-57-Сб117, вместо длинных поручней на</w:t>
      </w:r>
      <w:r w:rsidRPr="007224C3">
        <w:rPr>
          <w:rStyle w:val="723"/>
          <w:rFonts w:ascii="Times New Roman" w:hAnsi="Times New Roman" w:cs="Times New Roman"/>
          <w:color w:val="0070C0"/>
          <w:sz w:val="16"/>
          <w:szCs w:val="16"/>
        </w:rPr>
        <w:softHyphen/>
        <w:t>чали ставить короткие. Впрочем, более важ</w:t>
      </w:r>
      <w:r w:rsidRPr="007224C3">
        <w:rPr>
          <w:rStyle w:val="723"/>
          <w:rFonts w:ascii="Times New Roman" w:hAnsi="Times New Roman" w:cs="Times New Roman"/>
          <w:color w:val="0070C0"/>
          <w:sz w:val="16"/>
          <w:szCs w:val="16"/>
        </w:rPr>
        <w:softHyphen/>
        <w:t>ным изменением стала новая орудийная установка. Появилась она одновременно с прицелом ТШ-17. Данный прицел был разра</w:t>
      </w:r>
      <w:r w:rsidRPr="007224C3">
        <w:rPr>
          <w:rStyle w:val="723"/>
          <w:rFonts w:ascii="Times New Roman" w:hAnsi="Times New Roman" w:cs="Times New Roman"/>
          <w:color w:val="0070C0"/>
          <w:sz w:val="16"/>
          <w:szCs w:val="16"/>
        </w:rPr>
        <w:softHyphen/>
        <w:t>ботан с оглядкой на немецкие конструкции. Благодаря «ломающейся» конструкции ТШ- 17 был более удобен. За май было установле</w:t>
      </w:r>
      <w:r w:rsidRPr="007224C3">
        <w:rPr>
          <w:rStyle w:val="723"/>
          <w:rFonts w:ascii="Times New Roman" w:hAnsi="Times New Roman" w:cs="Times New Roman"/>
          <w:color w:val="0070C0"/>
          <w:sz w:val="16"/>
          <w:szCs w:val="16"/>
        </w:rPr>
        <w:softHyphen/>
        <w:t>но 42 таких прицела, при этом конструкция орудийной установки позволяла ставить и его, и более ранний 10Т-17. Позже, разуме</w:t>
      </w:r>
      <w:r w:rsidRPr="007224C3">
        <w:rPr>
          <w:rStyle w:val="723"/>
          <w:rFonts w:ascii="Times New Roman" w:hAnsi="Times New Roman" w:cs="Times New Roman"/>
          <w:color w:val="0070C0"/>
          <w:sz w:val="16"/>
          <w:szCs w:val="16"/>
        </w:rPr>
        <w:softHyphen/>
        <w:t>ется, ставили ТШ-17, происходило это во время ремонта. Для обеспечения удобства управления машиной изменили стяжки, кото</w:t>
      </w:r>
      <w:r w:rsidRPr="007224C3">
        <w:rPr>
          <w:rStyle w:val="723"/>
          <w:rFonts w:ascii="Times New Roman" w:hAnsi="Times New Roman" w:cs="Times New Roman"/>
          <w:color w:val="0070C0"/>
          <w:sz w:val="16"/>
          <w:szCs w:val="16"/>
        </w:rPr>
        <w:softHyphen/>
        <w:t>рыми крепилась спинка сиденья механика- водителя. Педаль главного фрикциона пере</w:t>
      </w:r>
      <w:r w:rsidRPr="007224C3">
        <w:rPr>
          <w:rStyle w:val="723"/>
          <w:rFonts w:ascii="Times New Roman" w:hAnsi="Times New Roman" w:cs="Times New Roman"/>
          <w:color w:val="0070C0"/>
          <w:sz w:val="16"/>
          <w:szCs w:val="16"/>
        </w:rPr>
        <w:softHyphen/>
        <w:t>несли вперед и немного переделали, переде</w:t>
      </w:r>
      <w:r w:rsidRPr="007224C3">
        <w:rPr>
          <w:rStyle w:val="723"/>
          <w:rFonts w:ascii="Times New Roman" w:hAnsi="Times New Roman" w:cs="Times New Roman"/>
          <w:color w:val="0070C0"/>
          <w:sz w:val="16"/>
          <w:szCs w:val="16"/>
        </w:rPr>
        <w:softHyphen/>
        <w:t>лали кулису переключения КПП, усилили крепление дисков вентилятора (19874).</w:t>
      </w:r>
    </w:p>
    <w:p w14:paraId="05CA1EB4" w14:textId="77777777" w:rsidR="00406246" w:rsidRPr="007224C3" w:rsidRDefault="00406246" w:rsidP="007224C3">
      <w:pPr>
        <w:spacing w:after="0" w:line="240" w:lineRule="auto"/>
        <w:jc w:val="both"/>
        <w:rPr>
          <w:rFonts w:ascii="Times New Roman" w:hAnsi="Times New Roman"/>
          <w:color w:val="0070C0"/>
          <w:sz w:val="16"/>
          <w:szCs w:val="16"/>
        </w:rPr>
      </w:pPr>
    </w:p>
    <w:p w14:paraId="551A6B57" w14:textId="77777777" w:rsidR="00822884" w:rsidRPr="007224C3" w:rsidRDefault="0082288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 года первые ИСУ-122 были отправлены с ЧКЗ. Аналогично ИСУ-152, ими комплектовали гвардейские тяжёлые самоходные артиллерийские полки (ГвТСАП) по штату №010/461 (1 командирская машина и 4 батареи по 5 машины в каждой, плюс 4 бронетранспортёра). О том, насколько важным считалось наверху формирование ГвТСАП с новыми машинами, говорит один факт. Летом-осенью 1944 года в самоходные артиллерийские полки, вооружённые ИСУ-122, переформировывали гвардейские тяжёлые танковые полки (ГвТТП), ранее воевавшие на </w:t>
      </w:r>
      <w:hyperlink r:id="rId149" w:history="1">
        <w:r w:rsidRPr="007224C3">
          <w:rPr>
            <w:rStyle w:val="a5"/>
            <w:rFonts w:ascii="Times New Roman" w:hAnsi="Times New Roman"/>
            <w:color w:val="000000" w:themeColor="text1"/>
            <w:sz w:val="16"/>
            <w:szCs w:val="16"/>
          </w:rPr>
          <w:t>ИС-1</w:t>
        </w:r>
      </w:hyperlink>
      <w:r w:rsidRPr="007224C3">
        <w:rPr>
          <w:rFonts w:ascii="Times New Roman" w:hAnsi="Times New Roman"/>
          <w:color w:val="000000" w:themeColor="text1"/>
          <w:sz w:val="16"/>
          <w:szCs w:val="16"/>
        </w:rPr>
        <w:t> и ИС-2. Например, в сентябре 1944 года так поступили с 71- ГвТТП, который принял самое активное участие в уничтожении «Королевских тигров» на </w:t>
      </w:r>
      <w:hyperlink r:id="rId150" w:history="1">
        <w:r w:rsidRPr="007224C3">
          <w:rPr>
            <w:rStyle w:val="a5"/>
            <w:rFonts w:ascii="Times New Roman" w:hAnsi="Times New Roman"/>
            <w:color w:val="000000" w:themeColor="text1"/>
            <w:sz w:val="16"/>
            <w:szCs w:val="16"/>
          </w:rPr>
          <w:t>Сандомирском плацдарме</w:t>
        </w:r>
      </w:hyperlink>
      <w:r w:rsidRPr="007224C3">
        <w:rPr>
          <w:rFonts w:ascii="Times New Roman" w:hAnsi="Times New Roman"/>
          <w:color w:val="000000" w:themeColor="text1"/>
          <w:sz w:val="16"/>
          <w:szCs w:val="16"/>
        </w:rPr>
        <w:t>. Переформированные полки получали и ИСУ-152.</w:t>
      </w:r>
    </w:p>
    <w:p w14:paraId="7194C3CA" w14:textId="77777777" w:rsidR="00822884" w:rsidRPr="007224C3" w:rsidRDefault="0082288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Ввиду того, что формирование частей, вооружённых ИСУ-122, началось в мае, на фронт они попали уже во второй половине июня 1944 года. Одной из первых частей, вооружённых новыми САУ, стал 341-й ГвТСАП. В состав 48-й армии он попал к 22 июня 1944 года, участвуя в </w:t>
      </w:r>
      <w:hyperlink r:id="rId151" w:history="1">
        <w:r w:rsidRPr="007224C3">
          <w:rPr>
            <w:rStyle w:val="a5"/>
            <w:rFonts w:ascii="Times New Roman" w:hAnsi="Times New Roman"/>
            <w:color w:val="000000" w:themeColor="text1"/>
            <w:sz w:val="16"/>
            <w:szCs w:val="16"/>
          </w:rPr>
          <w:t>операции «Багратион»</w:t>
        </w:r>
      </w:hyperlink>
      <w:r w:rsidRPr="007224C3">
        <w:rPr>
          <w:rFonts w:ascii="Times New Roman" w:hAnsi="Times New Roman"/>
          <w:color w:val="000000" w:themeColor="text1"/>
          <w:sz w:val="16"/>
          <w:szCs w:val="16"/>
        </w:rPr>
        <w:t>. Поддерживая пехоту, полк наступал в направлении Бобруйска, 29 июня город был освобождён. В 11-й гвардейской армии было сразу два ГвТСАП, имевших на вооружении ИСУ-122: 345-й и 348-й. Полки участвовали в освобождении Орши, действуя в связке со стрелковыми и танковыми частями. 348-й ГвТСАП взаимодействовал с 16-й ГвСД и 63-м ГвТТП, а 345-й ГвТСАП — совместно с 84-й ГвСД и 35-м ГвТТП. Первая группировка наступала с севера, вторая с юга от города, и к часу ночи 27 июня Оршу полностью очистили от противника.</w:t>
      </w:r>
    </w:p>
    <w:p w14:paraId="73281EC1" w14:textId="77777777" w:rsidR="00822884" w:rsidRPr="007224C3" w:rsidRDefault="0082288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Похожая ситуация сложилась с 337-м ГвТСАП, также принимавшем участие в операции «Багратион» и отличившемся при освобождении Витебска. Главный вопрос заключается в том, что ИСУ-122 действовали в основном не против танков, а поддерживая стрелковые части. В этом качестве машина была иногда даже лучше ИСУ-152, поскольку имела больший боекомплект. Другое дело, что многие измеряют эффективность данных машин по числу «настрела» вражеских танков, а с этим </w:t>
      </w:r>
      <w:r w:rsidRPr="007224C3">
        <w:rPr>
          <w:rFonts w:ascii="Times New Roman" w:hAnsi="Times New Roman"/>
          <w:color w:val="000000" w:themeColor="text1"/>
          <w:sz w:val="16"/>
          <w:szCs w:val="16"/>
        </w:rPr>
        <w:lastRenderedPageBreak/>
        <w:t>наблюдался некоторый недобор. На других направлениях, например, в Львовско-Сандомирской операции, участвовали ИСУ-152 и СУ-152. По этой причине ИСУ-122 оказались в некоторой тени более известной машины, ещё и обладающей внушительной «дубиной» калибра 152 мм.</w:t>
      </w:r>
    </w:p>
    <w:p w14:paraId="6530D469" w14:textId="77777777" w:rsidR="00822884" w:rsidRPr="007224C3" w:rsidRDefault="0082288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 ИСУ-122 выглядели во второй половине 1944 года. В июне-июле траки перенесли на лобовую часть корпуса, а ближе к концу 1944 года стали ставить зенитные турели.</w:t>
      </w:r>
    </w:p>
    <w:p w14:paraId="1D51BB8E" w14:textId="77777777" w:rsidR="00822884" w:rsidRPr="007224C3" w:rsidRDefault="0082288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По-настоящему массово ИСУ-122 стали использоваться ближе к концу 1944 года. Например, в 3-й гвардейской танковой армии имелись 383-й и 385-й ГвТСАП, сформированные из 47-го и 71-го ГвТТП соответственно. 383-й ТСАП действовал в составе 9-го механизированного корпуса, фактически выполняя ту же роль, что и ИС-2, — средства усиления. За период с 24 января по 4 февраля 1945 года корпус отчитался об уничтожении 88 танков и 58 САУ, потеряв при этом 18 танков, 1 </w:t>
      </w:r>
      <w:hyperlink r:id="rId152" w:history="1">
        <w:r w:rsidRPr="007224C3">
          <w:rPr>
            <w:rStyle w:val="a5"/>
            <w:rFonts w:ascii="Times New Roman" w:hAnsi="Times New Roman"/>
            <w:color w:val="000000" w:themeColor="text1"/>
            <w:sz w:val="16"/>
            <w:szCs w:val="16"/>
          </w:rPr>
          <w:t>СУ-85</w:t>
        </w:r>
      </w:hyperlink>
      <w:r w:rsidRPr="007224C3">
        <w:rPr>
          <w:rFonts w:ascii="Times New Roman" w:hAnsi="Times New Roman"/>
          <w:color w:val="000000" w:themeColor="text1"/>
          <w:sz w:val="16"/>
          <w:szCs w:val="16"/>
        </w:rPr>
        <w:t> и 2 ИСУ-122.</w:t>
      </w:r>
    </w:p>
    <w:p w14:paraId="6394F047" w14:textId="77777777" w:rsidR="00822884" w:rsidRPr="007224C3" w:rsidRDefault="0082288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383-м ГвТСАП служил самый результативный самоходчик, воевавший на ИСУ-122 — лейтенант М.И. Климов. За январь-февраль 1945 года экипаж ИСУ-122 под его командованием уничтожил 8 танков (из них один идентифицирован как </w:t>
      </w:r>
      <w:hyperlink r:id="rId153" w:history="1">
        <w:r w:rsidRPr="007224C3">
          <w:rPr>
            <w:rStyle w:val="a5"/>
            <w:rFonts w:ascii="Times New Roman" w:hAnsi="Times New Roman"/>
            <w:color w:val="000000" w:themeColor="text1"/>
            <w:sz w:val="16"/>
            <w:szCs w:val="16"/>
          </w:rPr>
          <w:t>«Королевский тигр»</w:t>
        </w:r>
      </w:hyperlink>
      <w:r w:rsidRPr="007224C3">
        <w:rPr>
          <w:rFonts w:ascii="Times New Roman" w:hAnsi="Times New Roman"/>
          <w:color w:val="000000" w:themeColor="text1"/>
          <w:sz w:val="16"/>
          <w:szCs w:val="16"/>
        </w:rPr>
        <w:t>), 3 бронетранспортёра, 6 орудий, 4 миномёта, а также до 160 солдат противника. 6-11 марта 1945 года в ходе сражения за Наумбург (ныне — город Новогродзец, Польша) экипаж Климова записал на свой счёт ещё 4 танка, при этом лейтенант получил тяжёлое ранение. За ратные подвиги Климову было присвоено звание Героя Советского Союза (18335).</w:t>
      </w:r>
    </w:p>
    <w:p w14:paraId="63D2CEC0" w14:textId="77777777" w:rsidR="00822884" w:rsidRPr="007224C3" w:rsidRDefault="00822884" w:rsidP="007224C3">
      <w:pPr>
        <w:spacing w:after="0" w:line="240" w:lineRule="auto"/>
        <w:jc w:val="both"/>
        <w:rPr>
          <w:rFonts w:ascii="Times New Roman" w:hAnsi="Times New Roman"/>
          <w:color w:val="000000" w:themeColor="text1"/>
          <w:sz w:val="16"/>
          <w:szCs w:val="16"/>
        </w:rPr>
      </w:pPr>
    </w:p>
    <w:p w14:paraId="2952785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 г., завод № 172 подал заводу № 100 для монтажа опытный образец 122-мм пушки боль</w:t>
      </w:r>
      <w:r w:rsidRPr="007224C3">
        <w:rPr>
          <w:rFonts w:ascii="Times New Roman" w:hAnsi="Times New Roman"/>
          <w:color w:val="000000" w:themeColor="text1"/>
          <w:sz w:val="16"/>
          <w:szCs w:val="16"/>
        </w:rPr>
        <w:softHyphen/>
        <w:t>шой мощности БЛ-9 (прежний индекс ОБМ-50), который, опять же для проведения испытаний артиллерийской час</w:t>
      </w:r>
      <w:r w:rsidRPr="007224C3">
        <w:rPr>
          <w:rFonts w:ascii="Times New Roman" w:hAnsi="Times New Roman"/>
          <w:color w:val="000000" w:themeColor="text1"/>
          <w:sz w:val="16"/>
          <w:szCs w:val="16"/>
        </w:rPr>
        <w:softHyphen/>
        <w:t>ти, был установлен в рубку ИСУ-152. Работы по данной САУ, получившей условное обозначение ИСУ-122-1 или ИСУ-122УМ, шли под индексом «Объект 243».</w:t>
      </w:r>
    </w:p>
    <w:p w14:paraId="5BE04EB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Указанная САУ также рассматривалась в первую оче</w:t>
      </w:r>
      <w:r w:rsidRPr="007224C3">
        <w:rPr>
          <w:rFonts w:ascii="Times New Roman" w:hAnsi="Times New Roman"/>
          <w:color w:val="000000" w:themeColor="text1"/>
          <w:sz w:val="16"/>
          <w:szCs w:val="16"/>
        </w:rPr>
        <w:softHyphen/>
        <w:t>редь в качестве испытания артиллерийской системы, так как в случае их успешного окончания предполагался заказ опытному заводу № 100 специального шасси с задним рас</w:t>
      </w:r>
      <w:r w:rsidRPr="007224C3">
        <w:rPr>
          <w:rFonts w:ascii="Times New Roman" w:hAnsi="Times New Roman"/>
          <w:color w:val="000000" w:themeColor="text1"/>
          <w:sz w:val="16"/>
          <w:szCs w:val="16"/>
        </w:rPr>
        <w:softHyphen/>
        <w:t>положением боевого отделения.</w:t>
      </w:r>
    </w:p>
    <w:p w14:paraId="4739A96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Пушка БЛ-9,установленная в боевом отделении ИСУ-122-1, отличалась от 122-мм танкосамоходного ору</w:t>
      </w:r>
      <w:r w:rsidRPr="007224C3">
        <w:rPr>
          <w:rFonts w:ascii="Times New Roman" w:hAnsi="Times New Roman"/>
          <w:color w:val="000000" w:themeColor="text1"/>
          <w:sz w:val="16"/>
          <w:szCs w:val="16"/>
        </w:rPr>
        <w:softHyphen/>
        <w:t>дия Д-25 и полевой корпусной пушки А-19, главным обра</w:t>
      </w:r>
      <w:r w:rsidRPr="007224C3">
        <w:rPr>
          <w:rFonts w:ascii="Times New Roman" w:hAnsi="Times New Roman"/>
          <w:color w:val="000000" w:themeColor="text1"/>
          <w:sz w:val="16"/>
          <w:szCs w:val="16"/>
        </w:rPr>
        <w:softHyphen/>
        <w:t>зом, значительно большей длиной ствола (59 калибров), ко</w:t>
      </w:r>
      <w:r w:rsidRPr="007224C3">
        <w:rPr>
          <w:rFonts w:ascii="Times New Roman" w:hAnsi="Times New Roman"/>
          <w:color w:val="000000" w:themeColor="text1"/>
          <w:sz w:val="16"/>
          <w:szCs w:val="16"/>
        </w:rPr>
        <w:softHyphen/>
        <w:t>торая (вместе с увеличением массы порохового заряда) поз</w:t>
      </w:r>
      <w:r w:rsidRPr="007224C3">
        <w:rPr>
          <w:rFonts w:ascii="Times New Roman" w:hAnsi="Times New Roman"/>
          <w:color w:val="000000" w:themeColor="text1"/>
          <w:sz w:val="16"/>
          <w:szCs w:val="16"/>
        </w:rPr>
        <w:softHyphen/>
        <w:t>волила поднять начальную скорость бронебойного снаряда до 1007 м/с. Она была укомплектована усовершенствован</w:t>
      </w:r>
      <w:r w:rsidRPr="007224C3">
        <w:rPr>
          <w:rFonts w:ascii="Times New Roman" w:hAnsi="Times New Roman"/>
          <w:color w:val="000000" w:themeColor="text1"/>
          <w:sz w:val="16"/>
          <w:szCs w:val="16"/>
        </w:rPr>
        <w:softHyphen/>
        <w:t>ной системой продувки канала ствола сжатым воздухом, улучшенным лотком облегчения заряжания. Боекомплект САУ предварительно состоял из 21—22 выстрелов, разме</w:t>
      </w:r>
      <w:r w:rsidRPr="007224C3">
        <w:rPr>
          <w:rFonts w:ascii="Times New Roman" w:hAnsi="Times New Roman"/>
          <w:color w:val="000000" w:themeColor="text1"/>
          <w:sz w:val="16"/>
          <w:szCs w:val="16"/>
        </w:rPr>
        <w:softHyphen/>
        <w:t>щенных в доработанных укладках установки ИСУ-122.</w:t>
      </w:r>
    </w:p>
    <w:p w14:paraId="0A24170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 во время испытаний стрельбой полным зарядом на дальность, проводимых в августе, ствол БЛ-9 был частич</w:t>
      </w:r>
      <w:r w:rsidRPr="007224C3">
        <w:rPr>
          <w:rFonts w:ascii="Times New Roman" w:hAnsi="Times New Roman"/>
          <w:color w:val="000000" w:themeColor="text1"/>
          <w:sz w:val="16"/>
          <w:szCs w:val="16"/>
        </w:rPr>
        <w:softHyphen/>
        <w:t>но разрушен, и машина возвращена на завод для ремонта, который длился около полугода. Новый ствол был изготовлен только в январе 1945 г., а в феврале, после его монтажа в ИСУ-122-1, машина вновь отправилась на полигонные испытания. Но в апреле 1945 г., когда машина выдержала весь необходимый объем испытаний, стало ясно, что война кончается и время ИСУ-122-1 прошло. Она так и не вышла из разряда опытных (11417).</w:t>
      </w:r>
    </w:p>
    <w:p w14:paraId="259530A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77615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 мае 1944 года на заводе № 172 изготовили первый опытный образец пушки БЛ-9, а в июне ее установили на ИСУ-122-1. Эту машину представили на полигонные испытания 7 июля 1944 года. Предварительных испытаний в Гороховце в августе 1944 года установка не выдержала из-за низкой живучести ствола. Новый ствол был изготовлен к началу февраля 1945 года, и после его монтажа самоходка вновь поступила на испытания, состоявшиеся в мае 1945 года. На последних при стрельбе произошел разрыв ствола из-за дефектов металла. После этого дальнейшие работы по ИСУ-122-1 прекратили. </w:t>
      </w:r>
    </w:p>
    <w:p w14:paraId="69DDF9B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Самоходная установка ИСУ-152-1 (ИСУ-152БМ) была создана в апреле 1944 года в КБ завода № 100, по инициативе ОКБ-172, предложившего разместить в установке СУ-152 разработанную у них 152-мм пушку БЛ-7, имевшую баллистику пушки Бр-2. Модификация пушки для монтажа в САУ получила индекс БЛ-8 (ОБМ-43). Она имела поршневой затвор, дульный тормоз оригинальной конструкции и систему продувки канала ствола сжатым воздухом из баллонов. Углы вертикального наведения составляли от -3°10'до+17°45', горизонтального — в секторе 8°30' (вправо — 6°30', влево — 2°). Высота линии огня — 1655 мм. При стрельбе использовались телескопический прицел СТ-10 и панорама Герца. Дальность стрельбы равнялась 18 500 м. Приводы наведения остались неизменными, по сравнению с установкой ИСУ-122. Боекомплект включал 21 выстрел раздельно-гильзового заряжания. Начальная скорость бронебойного снаряда достигала 850 м/с. В связи с монтажом новой пушки конструкцию броневой маски орудия несколько изменили. </w:t>
      </w:r>
    </w:p>
    <w:p w14:paraId="03C169F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При проведении испытаний пушки БЛ-8 были выявлены «неудовлетворительные показатели по действию снарядов», ненадежность работы дульного тормоза и поршневого затвора, а также плохие условия работы расчета. Большой вылет ствола (общая длина установки составляла 12,05 м) ограничивал маневренность машины. По результатам испытаний БЛ-8 заменили пушкой БЛ-10 с клиновым полуавтоматическим затвором. </w:t>
      </w:r>
    </w:p>
    <w:p w14:paraId="2E0A56E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декабре 1944 года самоходная установка ИСУ-152-2 с пушкой БЛ-10 проходила испытания на Ленинградском АНИОПе. Она их не выдержала из-за неудовлетворительной живучести ствола пушки и малого угла горизонтального наведения. Пушку отправили на доработку на завод № 172, однако до окончания войны ее доводка не была завершена (11638).</w:t>
      </w:r>
    </w:p>
    <w:p w14:paraId="5DB4F4F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227B800" w14:textId="77777777" w:rsidR="00822884" w:rsidRPr="007224C3" w:rsidRDefault="0082288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 на ЧКЗ сдали 135 ИСУ-152, производство завода увеличивалось за счёт ИС-2 и ИСУ-122, при этом за первую декаду выпустили всего 12% машин. Для выполнения плана с 20 мая были задействованы рабочие из других цехов и даже с других заводов Челябинска. Эта мера отразилась на качестве, но других вариантов решения проблемы попросту не было.</w:t>
      </w:r>
    </w:p>
    <w:p w14:paraId="48CA97EA" w14:textId="77777777" w:rsidR="00822884" w:rsidRPr="007224C3" w:rsidRDefault="0082288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этом машины продолжали дорабатывать. Педаль главного фрикциона перенесли вперёд, усилили крепление дисков вентилятора и ввели новые стяжки для спинки сиденья механика-водителя. В июне было выпущено 130 ИСУ-152, хотя в целом завод наращивал производство машин. Из 450 танков и САУ, построенных за месяц, за первую декаду сдали уже 20% месячной нормы.</w:t>
      </w:r>
    </w:p>
    <w:p w14:paraId="1F32C387" w14:textId="77777777" w:rsidR="00822884" w:rsidRPr="007224C3" w:rsidRDefault="0082288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Ситуация осложнялась проблемами с оптикой, в частности, не хватало прицелов. Машины продолжали дорабатывать: помимо переноса запасных траков на лобовую часть корпуса, появились ящик для личных вещей экипажа, выхлопные жалюзи с увеличенным шагом, а также регулируемая поперечная фиксация КПП. В июле планировалось сдать 100 ИСУ-152 и 175 ИСУ-122, но из-за недостаточного количества систем А-19, которыми вооружались последние, план пришлось менять. Количество ИСУ-122 снизилось до 140 штук, а число ИСУ-152, наоборот, выросло до 135 штук.</w:t>
      </w:r>
    </w:p>
    <w:p w14:paraId="7983E283" w14:textId="77777777" w:rsidR="00822884" w:rsidRPr="007224C3" w:rsidRDefault="0082288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Фактически июньскую программу завод закончил только 10 июля, не имея задела по запчастям. В результате июльская программа оказалась закончена 11 августа, при этом объёмы выпуска продолжали расти. Это, разумеется, сказалось не только на сроках, но и на качестве машин. За июль по цеху СБ-2 забраковали 8600 наименований деталей и узлов. Были претензии и к корпусам, имевшим массу отступлений от чертежей.</w:t>
      </w:r>
    </w:p>
    <w:p w14:paraId="5395BEF0" w14:textId="77777777" w:rsidR="00822884" w:rsidRPr="007224C3" w:rsidRDefault="0082288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июле продолжалось улучшение конструкции машины. В частности, с этого месяца САУ стали получать звёздочку ведущего колеса с изменённым профилем зуба.</w:t>
      </w:r>
    </w:p>
    <w:p w14:paraId="32CAE710" w14:textId="77777777" w:rsidR="00822884" w:rsidRPr="007224C3" w:rsidRDefault="0082288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 запланированного объёма выпуска (по 250 ИС и ИСУ) ЧКЗ дошёл в августе. Завод выпускал уже сразу три типа САУ: в августе сдали 100 ИСУ-152, 125 ИСУ-122 и 25 ИСУ-122с. Благодаря введению второй линии конвейера и другим мероприятиям сдачу танков и САУ из августовского плана завод закончил 31 августа. Одновременно выросло качество машин, снова появились танки и САУ, сдававшиеся без дефектов. Таковых набралось 16% от общего объёма. В августе были внесены небольшие улучшения в конструкцию люков, улучшившие их уплотнение (18171).</w:t>
      </w:r>
    </w:p>
    <w:p w14:paraId="2D0F1D8A" w14:textId="77777777" w:rsidR="00822884" w:rsidRPr="007224C3" w:rsidRDefault="00822884" w:rsidP="007224C3">
      <w:pPr>
        <w:spacing w:after="0" w:line="240" w:lineRule="auto"/>
        <w:jc w:val="both"/>
        <w:rPr>
          <w:rFonts w:ascii="Times New Roman" w:hAnsi="Times New Roman"/>
          <w:color w:val="000000" w:themeColor="text1"/>
          <w:sz w:val="16"/>
          <w:szCs w:val="16"/>
        </w:rPr>
      </w:pPr>
    </w:p>
    <w:p w14:paraId="37ED10F9" w14:textId="77777777" w:rsidR="00822884" w:rsidRPr="007224C3" w:rsidRDefault="0082288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 года был готов второй образец СУ-100. Уже в ходе постройки машина подверглась дополнительным переделкам. Помимо того, что на ней стояло два вентилятора, их заменили более мощными вентиляторами МВ-12. В связи с этим сверху на колпаках появились приварки, которые на серийных машинах превратились в характерные «колокола». Командирскую башенку сместили вправо, ввиду чего выступ под неё стал больше. Сама башенка перестала быть симметричной: в лобовой части толщина брони увеличилась до 90 мм. Также установили ломающийся телескопический прицел ТШ-15, из-за чего немного изменилась бронировка орудия.</w:t>
      </w:r>
    </w:p>
    <w:p w14:paraId="1CB0F222" w14:textId="77777777" w:rsidR="00822884" w:rsidRPr="007224C3" w:rsidRDefault="0082288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Испытания второго опытного образца СУ-100 проходили на Гороховецком АНИОП с 24 по 27 июня, за это время машина прошла 250 км, из них 50 — с расстопоренным орудием. Также произвели 923 выстрела, из них 526 — усиленным зарядом. По итогам испытаний комиссия отметила девять пунктов исправлений по самоходной части и двенадцать по орудию и прицельным приспособлениям. Вместе с тем общий вердикт был однозначным: СУ-100 испытания выдержала и после доработок может быть принята на вооружение Красной армии. 3 июля Сталин подписал постановление ГКО №6131сс «Об организации производства самоходных артиллерийских установок СУ-100 на Уралмашзаводе Наркомата танковой промышленности и 100-мм пушек Д-10с на заводах №№8 и 9 Наркомата вооружения» (18252).</w:t>
      </w:r>
    </w:p>
    <w:p w14:paraId="4B45B561" w14:textId="77777777" w:rsidR="00822884" w:rsidRPr="007224C3" w:rsidRDefault="00822884" w:rsidP="007224C3">
      <w:pPr>
        <w:spacing w:after="0" w:line="240" w:lineRule="auto"/>
        <w:jc w:val="both"/>
        <w:rPr>
          <w:rFonts w:ascii="Times New Roman" w:hAnsi="Times New Roman"/>
          <w:color w:val="000000" w:themeColor="text1"/>
          <w:sz w:val="16"/>
          <w:szCs w:val="16"/>
        </w:rPr>
      </w:pPr>
    </w:p>
    <w:p w14:paraId="4C4C1877" w14:textId="77777777" w:rsidR="00822884" w:rsidRPr="007224C3" w:rsidRDefault="0082288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 года заводское КБ ГАЗ вместо создания принципиально новой 95 мм САУ машины решило разрабатывать её на основе СУ-76М. Работы в этом направлении стали возможными благодаря позиции военной приёмки, прежде всего инженер-полковника Окунева. Новая разработка получила индекс СУ-15А. Отсутствие обозначения ГАЗ в индексе объяснялась просто: базой машины стала СУ-15М, разработка КБ завода №38.</w:t>
      </w:r>
    </w:p>
    <w:p w14:paraId="1E5358FC" w14:textId="77777777" w:rsidR="00822884" w:rsidRPr="007224C3" w:rsidRDefault="0082288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Руководство работами по СУ-15А возглавил Астров, а ведущим инженером машины стал И.В. Гавалов. Игорю Валентиновичу за его долгую конструкторскую карьеру часто приходилось решать сложные технические задания, и эта разработка исключением не стала: в лёгкое шасси нужно было встроить орудие, которое первоначально создавалось для тяжёлых и средних танков.</w:t>
      </w:r>
    </w:p>
    <w:p w14:paraId="7E898785" w14:textId="77777777" w:rsidR="00822884" w:rsidRPr="007224C3" w:rsidRDefault="0082288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 мае 1944 года было проработано несколько вариантов машины. Выбрали наиболее простой: на существующий корпус СУ-15М устанавливалась 85-мм система Д-5С-85. Бронировка системы напоминала ту, что получила ГАЗ-75. Изменялась кормовая часть машины, в частности, нижний кормовой лист выполнялся вертикальным, чтобы внутри поместились увеличенные укладки патронов к Д-5С-85. Поскольку боевая масса, согласно расчётам, вырастала до 12 тонн, требовалось </w:t>
      </w:r>
      <w:r w:rsidRPr="007224C3">
        <w:rPr>
          <w:rFonts w:ascii="Times New Roman" w:hAnsi="Times New Roman"/>
          <w:color w:val="000000" w:themeColor="text1"/>
          <w:sz w:val="16"/>
          <w:szCs w:val="16"/>
        </w:rPr>
        <w:lastRenderedPageBreak/>
        <w:t>усиливать ходовую часть. Задний и передний балансиры опорных катков получали в качестве дополнительных упругих элементов рессоры. Вместо поддерживающих катков устанавливались полозья (склизы) (18098).</w:t>
      </w:r>
    </w:p>
    <w:p w14:paraId="7D21008F" w14:textId="77777777" w:rsidR="00822884" w:rsidRPr="007224C3" w:rsidRDefault="00822884" w:rsidP="007224C3">
      <w:pPr>
        <w:spacing w:after="0" w:line="240" w:lineRule="auto"/>
        <w:jc w:val="both"/>
        <w:rPr>
          <w:rFonts w:ascii="Times New Roman" w:hAnsi="Times New Roman"/>
          <w:color w:val="000000" w:themeColor="text1"/>
          <w:sz w:val="16"/>
          <w:szCs w:val="16"/>
        </w:rPr>
      </w:pPr>
    </w:p>
    <w:p w14:paraId="761F68E7" w14:textId="77777777" w:rsidR="00822884" w:rsidRPr="007224C3" w:rsidRDefault="0082288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 года было проработано несколько вариантов машины СУ-85. Выбрали наиболее простой: на существующий корпус СУ-15М устанавливалась 85-мм система Д-5С-85. Бронировка системы напоминала ту, что получила ГАЗ-75. Изменялась кормовая часть машины, в частности, нижний кормовой лист выполнялся вертикальным, чтобы внутри поместились увеличенные укладки патронов к Д-5С-85. Поскольку боевая масса, согласно расчётам, вырастала до 12 тонн, требовалось усиливать ходовую часть. Задний и передний балансиры опорных катков получали в качестве дополнительных упругих элементов рессоры. Вместо поддерживающих катков устанавливались полозья (склизы).</w:t>
      </w:r>
    </w:p>
    <w:p w14:paraId="2E0868F8" w14:textId="77777777" w:rsidR="00822884" w:rsidRPr="007224C3" w:rsidRDefault="0082288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того, чтобы удостовериться в возможности установки Д-5С-85 на лёгкое шасси, в мае 1944 года этой системой вооружили обычную СУ-76М. Испытания стрельбой дали удовлетворительные результаты. Машину показали маршалу бронетанковых войск Федоренко, который разработку одобрил (18098).</w:t>
      </w:r>
    </w:p>
    <w:p w14:paraId="13AFC019" w14:textId="77777777" w:rsidR="00822884" w:rsidRPr="007224C3" w:rsidRDefault="00822884" w:rsidP="007224C3">
      <w:pPr>
        <w:spacing w:after="0" w:line="240" w:lineRule="auto"/>
        <w:jc w:val="both"/>
        <w:rPr>
          <w:rFonts w:ascii="Times New Roman" w:hAnsi="Times New Roman"/>
          <w:color w:val="000000" w:themeColor="text1"/>
          <w:sz w:val="16"/>
          <w:szCs w:val="16"/>
        </w:rPr>
      </w:pPr>
    </w:p>
    <w:p w14:paraId="586935E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 г. был готов первый и единственный экземпляр ГАЗ-68. Ориентируясь на прототипы послевоенного грузовика повышенной проходимости ГАЗ-63, опытные образцы которого испытывались еще в 1940-1941 гг., В. А. Грачев разработал проект КСП (колесной самоходной пушки)В низком, открытом сверху бронекорпу-се размещалась 76,2-мм пушка. Водитель сидел справа. Силовой агрегат (двигатель ГАЗ-202, разновидность ГАЗ-11 мощностью 85 л. с.) размещался сзади. Все колеса - односкатные, причем привод на передние был постоянным, а на задние отключаемым. При боевой массе 5340 кг ГАЗ-68 развивал на шоссе скорость 77 км/ч и обладал весьма хорошей проходимостью. Однако когда в ноябре 1944 г. закончились испытания этой машины, острой необходимости в ней со стороны армии уже не было (12098).</w:t>
      </w:r>
    </w:p>
    <w:p w14:paraId="5746C3C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0D26F3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 г. на УТЗ (Завод № 76 НКТП, п/я 257, Уральский турбинный завод (УТЗ) им. Кирова НКТМ, Уральский турбомоторный завод, ПО «Турбомоторный завод им. К.Е. Ворошилова» (ТМЗ), ОАО «ТМЗ», ЗАО «УТЗ», ООО «Уральский дизель-моторный завод» /620040 (620017)  г. Екатеринбург ул. Фронтовых Бригад, 18 тел. 326-42-11, -41-09/) организованы конструкторские бригады для разработки двух вариантов проектов двигателей для народного хозяйства: 6-цилиндрового дизеля мощностью в 180 л.с. и 12-цилиндрового дизеля мощностью 500 л.с. для передвижных электростанций, тяжелых грузовиков и судов. Затем на базе бригад сформировано СКБм. В его составе организованы два отдела: опытных работ и серийных дизелей. Создается экспериментальная база СКБм. В 1950-54 г. опытный отдел СКБм работал над 16-цилиндровым двухвальным транспортным двигателем 2ДГ8М.</w:t>
      </w:r>
    </w:p>
    <w:p w14:paraId="3402098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конструктор (2005 г.)- В.В. Лашманов.</w:t>
      </w:r>
    </w:p>
    <w:p w14:paraId="4D33FA0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Создано: дизели: для САУ СУ-100 «ДГ» (1952); 2ДГ8М (1954), В2-600ТК, Д6-250ТК; передвижная электростанция ЭЛ-100 (1950-е) (11982).</w:t>
      </w:r>
    </w:p>
    <w:p w14:paraId="5E0C8A2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21DEF2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месяце 1944 г. ОКБ ВЭИ вновь проводило испытании приборов для ночного вождения на заводе № 100 НКТП (11420).</w:t>
      </w:r>
    </w:p>
    <w:p w14:paraId="716CD9A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7E79D4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 А.И. Берг подготовил отзыв на материалы по радиолокации, добытые резидентурой ГРУ ГШ под руководством Черняка. "Присланные Вами за последние 10 месяцев материалы представляют очень большую ценность для создания радиолокационного вооружения Красной Армии и Военно-Морского Флота. Особая их ценность заключается в том, что они подобраны со знанием дела и дают возможность не только ознакомиться с аппаратурой, но и в ряде случаев изготовить аналогичную, не затрачивая длительного времени на разработку. Кроме того сведения о создаваемом немцами методе борьбы с помехами позволили начать разработку соответствующих контрмероприятий. Все эти сведения и материалы позволяют нам уверенно выбирать пути технического развития новой и мало нам известной техники радиолокации, обеспечивая нам необходимую для этого перспективу и осведомленность." (9921).</w:t>
      </w:r>
    </w:p>
    <w:p w14:paraId="0B88DDE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CB569D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 года на базе завода № 304 в соответствии с постановлением ГК обороны было организовано ЦКБ-3 Кошкина.</w:t>
      </w:r>
    </w:p>
    <w:p w14:paraId="76AA3A2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конце 1945 года ЦКБ-3 было перебазировано на площадку завода № 710, а в октябре 1951 года на территорию завода № 711 (10285).</w:t>
      </w:r>
    </w:p>
    <w:p w14:paraId="7B864E0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A6C244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 был подготовлен Акт о разделе завода № 80 НКБ на два самостоятельных завода за 1944 год</w:t>
      </w:r>
    </w:p>
    <w:p w14:paraId="51B7B6F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соответствии с приказом наркома боеприпасов за № 195-с от 22 апреля 1944 года завод № 80 разделен на два самостоятельных завода:</w:t>
      </w:r>
    </w:p>
    <w:p w14:paraId="0FF3FEE6" w14:textId="77777777" w:rsidR="00595BFB" w:rsidRPr="007224C3" w:rsidRDefault="00595BFB" w:rsidP="007224C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Снаряжательный завод.</w:t>
      </w:r>
    </w:p>
    <w:p w14:paraId="1E86821E" w14:textId="77777777" w:rsidR="00595BFB" w:rsidRPr="007224C3" w:rsidRDefault="00595BFB" w:rsidP="007224C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Химический завод (производство взрывчатых веществ и кислот) (10213).</w:t>
      </w:r>
    </w:p>
    <w:p w14:paraId="293A7418" w14:textId="77777777" w:rsidR="00595BFB" w:rsidRPr="007224C3" w:rsidRDefault="00595BFB" w:rsidP="007224C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4284833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 был подготовлен Акт о разделе завода № 15 НКБ на два самостоятельных завода за 1944 год</w:t>
      </w:r>
    </w:p>
    <w:p w14:paraId="70AB1EF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соответствии с распоряжением СНК за № 8331рс от 14 апреля 1944 года и приказом НКБ № 203с от 12 мая 1944 года завод № 15 разделен на два самостоятельные завода:</w:t>
      </w:r>
    </w:p>
    <w:p w14:paraId="6FD09E5C" w14:textId="77777777" w:rsidR="00595BFB" w:rsidRPr="007224C3" w:rsidRDefault="00595BFB" w:rsidP="007224C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Химический завод № 15 (производство взрывчатых веществ и кислот).</w:t>
      </w:r>
    </w:p>
    <w:p w14:paraId="31581028" w14:textId="77777777" w:rsidR="00595BFB" w:rsidRPr="007224C3" w:rsidRDefault="00595BFB" w:rsidP="007224C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Снаряжательный завод.</w:t>
      </w:r>
    </w:p>
    <w:p w14:paraId="1A70953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Снаряжательного завода инженер-полковник Крысин.</w:t>
      </w:r>
    </w:p>
    <w:p w14:paraId="6C18374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химического завода № 15 инженер-майор Быков (10214).</w:t>
      </w:r>
    </w:p>
    <w:p w14:paraId="780DFE7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BE7899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 г. Завод № 728 НКС, МПСС , Завод «Красный сигналист», ГС Воронежский завод радио</w:t>
      </w:r>
      <w:r w:rsidRPr="007224C3">
        <w:rPr>
          <w:rFonts w:ascii="Times New Roman" w:hAnsi="Times New Roman"/>
          <w:color w:val="000000" w:themeColor="text1"/>
          <w:sz w:val="16"/>
          <w:szCs w:val="16"/>
        </w:rPr>
        <w:softHyphen/>
        <w:t>приемной аппаратуры «Электросигнал» НКТП, НКОП, НКАП, НКЭП, В-8865, ПО «Электросигнал» МПСС, АООТ, ОАО «Электросигнал» /г. Воронеж Задонское ш. а/я 5/ /394026  г. Воронеж ул. Электросигнальная, 1 тел. 16-04-94, -24-87/ был восстановлен и начал выпуск радиоприемников.</w:t>
      </w:r>
    </w:p>
    <w:p w14:paraId="0C977EB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1953 г. начато производство телевизоров, далее завод стал ведущим по этому направлению.</w:t>
      </w:r>
    </w:p>
    <w:p w14:paraId="2AE5FAA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Имел наименование «п/я В-8865». В 1977 г. на базе завода создано ПО «Электросигнал», в состав которого входил также завод «Сигнал» ( г. Коммунарск). На базе завода были созданы предприятия: Воронежский завод радиодеталей (1948 г.), Воронежский радиозавод «Полюс» (1954 г.), Воронежский НИИ «Вега» (1956 г.), ВНИИС (1958 г.), «Рекорд-сервис» (1990 г.). ПО имело филиал, в 03.1982 г. из него выделился самостоятельный завод «Орион» ( г. Тернополь).</w:t>
      </w:r>
    </w:p>
    <w:p w14:paraId="53CE3C1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02.1993 г. предприятие преобразовано в АООТ, с 1996 г.- ОАО «Электросигнал». По решению правительства № 22-р от 9.01.2004 г. ОАО вошло в перечень стратегических предприятий.</w:t>
      </w:r>
    </w:p>
    <w:p w14:paraId="29E3897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Разработка и производство (2002 г.): средства связи специального и общего назначения для МО и силовых структур; мобильные узлы связи на шасси бронетехники; телевизоры.</w:t>
      </w:r>
    </w:p>
    <w:p w14:paraId="191D1E3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Имелось 5 дочерних предприятий (2005 г.): ООО «Завод «ЭЛТА», ООО «Завод «ЭЛМА», ООО «Агрофирма «Поляны», ООО «Телекомпания «ВЭЛС-ТВ», ООО «База отдыха «Сигнал».</w:t>
      </w:r>
    </w:p>
    <w:p w14:paraId="0D1C7C6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(1932 г.-)-  Г.М. Гройсер-Де-Маре, (-11.02.1937 г.)- А.А. Нудэ, (11.02.1937-5.03.1938 г.)- А(Н).И. Щеголь (снят); и.о. (29.04-05.1938 г.)- В.М. Карпов; (14.05-11.1938 г.-)- В.М. Карпов, (1949-68 г.)-  Г.П. Фурсов, (1968-87 г.)- Н.А. Потапов. Гендиректор (1996 г.-&gt; Б.В. Харченко, (2004 г.-)-  Г.Н. Потапов.</w:t>
      </w:r>
    </w:p>
    <w:p w14:paraId="18DDF24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директора (-27.05.1937 г.)- И.К. Вирзин, (27.05.1937 г.-&gt; В.И. Нефедов, (14.10.1937 г.-)- И.Т. Козенко.</w:t>
      </w:r>
    </w:p>
    <w:p w14:paraId="15A5879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Технический директор (03.1937 г.)- Л.А. Раков.</w:t>
      </w:r>
    </w:p>
    <w:p w14:paraId="0A4F328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инженер (16.02.1937 г.-)- Л.А. Раков, (14.10.1937-19.07.1938 г.)- И.Т. Козенко, (9.05-11.1938 г.-)-  Г.К. Марисов.</w:t>
      </w:r>
    </w:p>
    <w:p w14:paraId="1B521EE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гл. инженера (16.02.1937 г.-)- В.Н. Котельников.</w:t>
      </w:r>
    </w:p>
    <w:p w14:paraId="3877CCF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производства (16.02.1937 г.-)- В.Н. Котельников.</w:t>
      </w:r>
    </w:p>
    <w:p w14:paraId="6700270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Начальники цехов: конденсаторного (03.1937 г.-)- И. Г. Козенок.</w:t>
      </w:r>
      <w:r w:rsidRPr="007224C3">
        <w:rPr>
          <w:rFonts w:ascii="Times New Roman" w:hAnsi="Times New Roman"/>
          <w:color w:val="000000" w:themeColor="text1"/>
          <w:sz w:val="16"/>
          <w:szCs w:val="16"/>
          <w:vertAlign w:val="superscript"/>
        </w:rPr>
        <w:t>Ь9</w:t>
      </w:r>
    </w:p>
    <w:p w14:paraId="0BE53F7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iCs/>
          <w:color w:val="000000" w:themeColor="text1"/>
          <w:sz w:val="16"/>
          <w:szCs w:val="16"/>
        </w:rPr>
        <w:t>Производство: радиоприемники:</w:t>
      </w:r>
      <w:r w:rsidRPr="007224C3">
        <w:rPr>
          <w:rFonts w:ascii="Times New Roman" w:hAnsi="Times New Roman"/>
          <w:color w:val="000000" w:themeColor="text1"/>
          <w:sz w:val="16"/>
          <w:szCs w:val="16"/>
        </w:rPr>
        <w:t xml:space="preserve"> П-8 (1934-), батарейный БИ-234 (1934-), сетевой СИ-234 (1934-), СИ-235 (- 1939), 9Н-4 (1937-), 4НБС-6 (1938-), 6НГ-1 (1938), 6Н-1 (американский, 1939-40-), СР-1 (1940)- 100 тыс., 4ДН-6 (1940)- 20 тыс., СПБ (1940)- 4 тыс., ФДН-6 (1940), 9Н-19 (1941-), комбайн Т-19 (1941)- 10, «Родина» (1945-), «Родина-45, -46, -47 (ЭЛС-3), -52, -53, -58, -59, -60М1», «Электросигнал» ЭЛС-2, ЭЛС-3 (1944-45), «Воронеж» (1952-); радиола Д-11 (1939-); репродукторы «Говорящая бумага» (1940-), «Говорящий целлофан» (1941-); </w:t>
      </w:r>
      <w:r w:rsidRPr="007224C3">
        <w:rPr>
          <w:rFonts w:ascii="Times New Roman" w:hAnsi="Times New Roman"/>
          <w:iCs/>
          <w:color w:val="000000" w:themeColor="text1"/>
          <w:sz w:val="16"/>
          <w:szCs w:val="16"/>
        </w:rPr>
        <w:t>радиостанции:</w:t>
      </w:r>
      <w:r w:rsidRPr="007224C3">
        <w:rPr>
          <w:rFonts w:ascii="Times New Roman" w:hAnsi="Times New Roman"/>
          <w:color w:val="000000" w:themeColor="text1"/>
          <w:sz w:val="16"/>
          <w:szCs w:val="16"/>
        </w:rPr>
        <w:t xml:space="preserve"> АРС (1949-), ЦРС (1949-), «Марс» (1949-), «Плахпет» (1949-), «Парус», «Алтай» (1979-), «Лен» (1979-), «Маяк» (1979-), «Маяк-Дуэт» (2000-е), «Эстакада» (1979-), «Гранит», «Фазан» (2000-е), центровая «Алтай-ЦС», локомотивная «Транспорт-РВ-1» (1995-2000-е), промышленные УКВ: «Сигнал-Н», портативная ВЭЛС (2000-е); Р-107М, Р-111, Р-159, Р-163, Р-168-100 (2000-е), Р-407; система радиосвязи ВЭЛС-Л (2000-е); 1РТМ-А2-ЧМ; радиоузел "5-W";</w:t>
      </w:r>
      <w:r w:rsidRPr="007224C3">
        <w:rPr>
          <w:rFonts w:ascii="Times New Roman" w:hAnsi="Times New Roman"/>
          <w:iCs/>
          <w:color w:val="000000" w:themeColor="text1"/>
          <w:sz w:val="16"/>
          <w:szCs w:val="16"/>
        </w:rPr>
        <w:t xml:space="preserve"> телевизоры:</w:t>
      </w:r>
      <w:r w:rsidRPr="007224C3">
        <w:rPr>
          <w:rFonts w:ascii="Times New Roman" w:hAnsi="Times New Roman"/>
          <w:color w:val="000000" w:themeColor="text1"/>
          <w:sz w:val="16"/>
          <w:szCs w:val="16"/>
        </w:rPr>
        <w:t xml:space="preserve"> КВН-49 (1953-), «Воронеж» (1956-), «Воронеж-2, -3, -6», «Рекорд» (1956-), «Рекорд-12, -64, -В300, -В305, -В306 (1972-), -В307, -В308, -В310, -В311, -В312 (1975-), -В350, ВЦ310, ВЦ-311, ВЦ-381 (1984-)», «ВЭЛС» 34ТБ-413 (1991-), 23ТБ-433, 51ТЦ-49; устройства зарядные УЗ-10, ПЗУ-6-1 (2000-е).</w:t>
      </w:r>
      <w:r w:rsidRPr="007224C3">
        <w:rPr>
          <w:rFonts w:ascii="Times New Roman" w:hAnsi="Times New Roman"/>
          <w:color w:val="000000" w:themeColor="text1"/>
          <w:sz w:val="16"/>
          <w:szCs w:val="16"/>
          <w:vertAlign w:val="superscript"/>
        </w:rPr>
        <w:t>101</w:t>
      </w:r>
      <w:r w:rsidRPr="007224C3">
        <w:rPr>
          <w:rFonts w:ascii="Times New Roman" w:hAnsi="Times New Roman"/>
          <w:color w:val="000000" w:themeColor="text1"/>
          <w:sz w:val="16"/>
          <w:szCs w:val="16"/>
        </w:rPr>
        <w:t>'</w:t>
      </w:r>
    </w:p>
    <w:p w14:paraId="74BF58A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«Сигнал», В-8955 /Украина  г. Коммунарск Луганской обл./</w:t>
      </w:r>
    </w:p>
    <w:p w14:paraId="6BB88B2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являлся филиалом завода «Электросигнал», затем входил в состав ПО «Электросигнал». Имел наименование «п/я В-8955».</w:t>
      </w:r>
    </w:p>
    <w:p w14:paraId="21C04A7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iCs/>
          <w:color w:val="000000" w:themeColor="text1"/>
          <w:sz w:val="16"/>
          <w:szCs w:val="16"/>
        </w:rPr>
        <w:t>Производство:</w:t>
      </w:r>
      <w:r w:rsidRPr="007224C3">
        <w:rPr>
          <w:rFonts w:ascii="Times New Roman" w:hAnsi="Times New Roman"/>
          <w:color w:val="000000" w:themeColor="text1"/>
          <w:sz w:val="16"/>
          <w:szCs w:val="16"/>
        </w:rPr>
        <w:t xml:space="preserve"> радиостанция «Гранит-М».</w:t>
      </w:r>
    </w:p>
    <w:p w14:paraId="68F485B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Завод, ПО «Орион», ОАО «Тернопольский радиозавод (ТРЗ) «Орион» /Украина  г. Тернополь ул. 15-го Квитня, 6/</w:t>
      </w:r>
    </w:p>
    <w:p w14:paraId="07BAFEA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«Орион» в 03.1982 г. выделился из состава филиала ПО «Электросигнал» в самостоятельный завод. В 08.1989 г. на базе завода создано ПО «Орион». В 10.1998 г. преобразовано в ОАО «ТРЗ «Орион».</w:t>
      </w:r>
    </w:p>
    <w:p w14:paraId="2BC7E41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iCs/>
          <w:color w:val="000000" w:themeColor="text1"/>
          <w:sz w:val="16"/>
          <w:szCs w:val="16"/>
        </w:rPr>
        <w:t>Производство:</w:t>
      </w:r>
      <w:r w:rsidRPr="007224C3">
        <w:rPr>
          <w:rFonts w:ascii="Times New Roman" w:hAnsi="Times New Roman"/>
          <w:color w:val="000000" w:themeColor="text1"/>
          <w:sz w:val="16"/>
          <w:szCs w:val="16"/>
        </w:rPr>
        <w:t xml:space="preserve"> электропроигрыватели: «Орбита-001С, ЭП-001С»; магнитолы: «Селена», «Топильче РМ- 201С»; радиоприемники: «Орион РП-201, РП-206».</w:t>
      </w:r>
    </w:p>
    <w:p w14:paraId="2E874D7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Воронежский завод радиодеталей, А-7058, ОАО «Воронежский завод радиодеталей» /г. Воронеж/</w:t>
      </w:r>
    </w:p>
    <w:p w14:paraId="17B447D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Создан в 1948 г. на базе завода «Электросигнал». Имел наименование «п/я А-7058».</w:t>
      </w:r>
    </w:p>
    <w:p w14:paraId="7A33F87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решению правительства № 22-р от 9.01.2004 г. вошло в перечень стратегических предприятий.</w:t>
      </w:r>
    </w:p>
    <w:p w14:paraId="36D0ABE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iCs/>
          <w:color w:val="000000" w:themeColor="text1"/>
          <w:sz w:val="16"/>
          <w:szCs w:val="16"/>
        </w:rPr>
        <w:t>Производство:</w:t>
      </w:r>
      <w:r w:rsidRPr="007224C3">
        <w:rPr>
          <w:rFonts w:ascii="Times New Roman" w:hAnsi="Times New Roman"/>
          <w:color w:val="000000" w:themeColor="text1"/>
          <w:sz w:val="16"/>
          <w:szCs w:val="16"/>
        </w:rPr>
        <w:t xml:space="preserve"> транзистор П-216.</w:t>
      </w:r>
    </w:p>
    <w:p w14:paraId="7E5F845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Воронежский радиозавод, ПО «Полюс», Р-6797, ОАО «Воронежский радиозавод «Полюс» /г. Воронеж а/я 10/ /394640  г. Воронеж ул. 9 Января, 180/</w:t>
      </w:r>
    </w:p>
    <w:p w14:paraId="316441F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Создан в начале 1954 г. на базе завода «Электросигнал». Имел наименование «п/я Р-6797».</w:t>
      </w:r>
    </w:p>
    <w:p w14:paraId="6E43641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Специализировался на производстве шифровального оборудования для служб безопасности и оборудовании для телекоммуникационных систем. С 1959 г. начата разработка и производство портативных транзисторных приемников, широкополосных усилителей. Выпускалось также оборудование для измерения и регулирования температуры и влажности в зернохранилищах, устройства звуковой сигнализации.</w:t>
      </w:r>
    </w:p>
    <w:p w14:paraId="2A63AB8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iCs/>
          <w:color w:val="000000" w:themeColor="text1"/>
          <w:sz w:val="16"/>
          <w:szCs w:val="16"/>
        </w:rPr>
        <w:t>Производство:</w:t>
      </w:r>
      <w:r w:rsidRPr="007224C3">
        <w:rPr>
          <w:rFonts w:ascii="Times New Roman" w:hAnsi="Times New Roman"/>
          <w:color w:val="000000" w:themeColor="text1"/>
          <w:sz w:val="16"/>
          <w:szCs w:val="16"/>
        </w:rPr>
        <w:t xml:space="preserve"> Р-389, Р-391; блоки для Р-359;</w:t>
      </w:r>
      <w:r w:rsidRPr="007224C3">
        <w:rPr>
          <w:rFonts w:ascii="Times New Roman" w:hAnsi="Times New Roman"/>
          <w:iCs/>
          <w:color w:val="000000" w:themeColor="text1"/>
          <w:sz w:val="16"/>
          <w:szCs w:val="16"/>
        </w:rPr>
        <w:t xml:space="preserve"> радиоприемники:</w:t>
      </w:r>
      <w:r w:rsidRPr="007224C3">
        <w:rPr>
          <w:rFonts w:ascii="Times New Roman" w:hAnsi="Times New Roman"/>
          <w:color w:val="000000" w:themeColor="text1"/>
          <w:sz w:val="16"/>
          <w:szCs w:val="16"/>
        </w:rPr>
        <w:t xml:space="preserve"> «Воронеж» (1954-), «Дорожный» (1954-), «Новь» (1956-), «Спутник» (1957-), «Сюрприз» (1957-), «Стрела» (1959-), «Сувенир», «Атмосфера» (1959-), «Атмосфера-2 (I960-)», «Альпинист» (1964-), «Альпинист-2, -3 (1964-), -405 (1972-), -406, -407 (1975-), -415, -417, -418 (1979-), -419, -420, -320 (1984-), -321 (1986-), -221 (1990-), -224 (1991-), РП-224, РП-226С, РП-229»; радиола «Стрела»; магнитола «Альпинист-411».</w:t>
      </w:r>
      <w:r w:rsidRPr="007224C3">
        <w:rPr>
          <w:rFonts w:ascii="Times New Roman" w:hAnsi="Times New Roman"/>
          <w:color w:val="000000" w:themeColor="text1"/>
          <w:sz w:val="16"/>
          <w:szCs w:val="16"/>
          <w:vertAlign w:val="superscript"/>
        </w:rPr>
        <w:t>108</w:t>
      </w:r>
    </w:p>
    <w:p w14:paraId="4CB77C7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ФГУП «Воронежский НИИ «Вега» /г. Воронеж/</w:t>
      </w:r>
    </w:p>
    <w:p w14:paraId="362E735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Создан в 1956 г. на базе завода «Электросигнал».</w:t>
      </w:r>
    </w:p>
    <w:p w14:paraId="2F0C8EF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Указу Президента РФ № 1009 от 4.08.2004 г. вошло в перечень стратегических оборонных предприятий.</w:t>
      </w:r>
    </w:p>
    <w:p w14:paraId="0FD5DEA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Воронежский НИИ связи (ВНИИС) МПСС, Р-6208, Минсвязи, ФГУП «Воронежский НИИС», ОАО «Концерн «Созвездие» /394018  г. Воронеж ул. Плехановская, 14 тел. 52-10-06, -12-59/</w:t>
      </w:r>
    </w:p>
    <w:p w14:paraId="1ACB20E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Образован 1.05.1958 г. на базе завода «Электросигнал» для исследований и разработок в области систем и средств сухопутной подвижной связи. Головной институт по данному направлению. Имел наименование «п/я Р- 6208».</w:t>
      </w:r>
    </w:p>
    <w:p w14:paraId="7DBA2A4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Работы (1958-75 г.): разработка средств радиосвязи и управления; (1975-95 г.): разработка АСУ и связи с адаптацией к внешним воздействиям; (1995 г.-): разработка АСУ и гибко программируемых многофункциональных средств радиосвязи, в т.ч. СУ войсками, оружием, средствами радиосвязи и радиоподавления; (2005 г.): технологические средства для CDMA-технологий; устройства кодирования, перемежения и технического закрытия информации; фильтры, линии задержки и устройства обработки данных; автоматизированные антенно-мачтовые устройства высотой до 70 м; высокостабильные кварцевые генераторы.</w:t>
      </w:r>
    </w:p>
    <w:p w14:paraId="69F43F3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1977 г., после образования Запорожского НИИРС, туда переданы работы по разработке KB радиостанций.</w:t>
      </w:r>
    </w:p>
    <w:p w14:paraId="5A29994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Принимал участие в разработке абонентской станции спутниковой связи для ВС Р-439-МДЗКР (совместно с НПП «Радиосвязь»).</w:t>
      </w:r>
    </w:p>
    <w:p w14:paraId="08E9845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Указу Президента № 993 от 29.07.2004 г. Воронежский НИИ связи преобразован в ОАО «Концерн «Созвездие». По Указу Президента РФ № 1009 от 4.08.2004 г. вошло в перечень стратегических оборонных предприятий.</w:t>
      </w:r>
    </w:p>
    <w:p w14:paraId="0186F81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состав Концерна входили (2006 г.): 16 предприятий, в т.ч. ВНИИС, КБОР, Сарапульский радиозавод.</w:t>
      </w:r>
    </w:p>
    <w:p w14:paraId="31E949B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Работы (2006 г.): разработка и производство: АСУ и связи тактического звена, систем телекодовой и речевой связи комплексов ПВО, АСУ и средств РЭБ, АСУ и связи спецназначения, систем и средств радиосвязи для народного хозяйства.</w:t>
      </w:r>
    </w:p>
    <w:p w14:paraId="5DBD37B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Численность персонала (2005 г.)- около 5000 чел.</w:t>
      </w:r>
      <w:r w:rsidRPr="007224C3">
        <w:rPr>
          <w:rFonts w:ascii="Times New Roman" w:hAnsi="Times New Roman"/>
          <w:color w:val="000000" w:themeColor="text1"/>
          <w:sz w:val="16"/>
          <w:szCs w:val="16"/>
          <w:vertAlign w:val="superscript"/>
        </w:rPr>
        <w:t>101</w:t>
      </w:r>
    </w:p>
    <w:p w14:paraId="3F0F24B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(1958-86 г.)- К.Я. Петров, Б.Я. Осипов,</w:t>
      </w:r>
      <w:r w:rsidRPr="007224C3">
        <w:rPr>
          <w:rFonts w:ascii="Times New Roman" w:hAnsi="Times New Roman"/>
          <w:color w:val="000000" w:themeColor="text1"/>
          <w:sz w:val="16"/>
          <w:szCs w:val="16"/>
          <w:vertAlign w:val="superscript"/>
        </w:rPr>
        <w:t>122</w:t>
      </w:r>
      <w:r w:rsidRPr="007224C3">
        <w:rPr>
          <w:rFonts w:ascii="Times New Roman" w:hAnsi="Times New Roman"/>
          <w:color w:val="000000" w:themeColor="text1"/>
          <w:sz w:val="16"/>
          <w:szCs w:val="16"/>
        </w:rPr>
        <w:t xml:space="preserve"> А.П. Биленко,</w:t>
      </w:r>
      <w:r w:rsidRPr="007224C3">
        <w:rPr>
          <w:rFonts w:ascii="Times New Roman" w:hAnsi="Times New Roman"/>
          <w:color w:val="000000" w:themeColor="text1"/>
          <w:sz w:val="16"/>
          <w:szCs w:val="16"/>
          <w:vertAlign w:val="superscript"/>
        </w:rPr>
        <w:t>122</w:t>
      </w:r>
      <w:r w:rsidRPr="007224C3">
        <w:rPr>
          <w:rFonts w:ascii="Times New Roman" w:hAnsi="Times New Roman"/>
          <w:color w:val="000000" w:themeColor="text1"/>
          <w:sz w:val="16"/>
          <w:szCs w:val="16"/>
        </w:rPr>
        <w:t xml:space="preserve"> (1986-2003 г.-)- В.И. Борисов. Гендиректор (-2005-06 Г.-)- В.И. Борисов.</w:t>
      </w:r>
    </w:p>
    <w:p w14:paraId="430119C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директора по науке (2001 г.)- И.И. Малышев.</w:t>
      </w:r>
    </w:p>
    <w:p w14:paraId="1C46230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Ген. конструктор (-2003-06 г.-)- В. Борисов.</w:t>
      </w:r>
    </w:p>
    <w:p w14:paraId="49BAD7E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гл. конструктора- И.И. Малышев.</w:t>
      </w:r>
    </w:p>
    <w:p w14:paraId="1FF9854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инженер- А.П. Биленко, Н.А. Рудиков, В.И. Николаев, Э.А. Янутан.</w:t>
      </w:r>
    </w:p>
    <w:p w14:paraId="427A856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технолог- В.З. Курцев.</w:t>
      </w:r>
    </w:p>
    <w:p w14:paraId="715D8CD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конструкторы: Б.Я. Осипов, А.П. Биленко (аппаратура 15Э), JI.T. Болотин («Выстрел», «Выстрел-М»),</w:t>
      </w:r>
    </w:p>
    <w:p w14:paraId="2CF244E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Начальники отделов: микроэлектроники- B.C. Цымбалюк.</w:t>
      </w:r>
    </w:p>
    <w:p w14:paraId="6549BEA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iCs/>
          <w:color w:val="000000" w:themeColor="text1"/>
          <w:sz w:val="16"/>
          <w:szCs w:val="16"/>
        </w:rPr>
        <w:t>Создано: радиостанции:</w:t>
      </w:r>
      <w:r w:rsidRPr="007224C3">
        <w:rPr>
          <w:rFonts w:ascii="Times New Roman" w:hAnsi="Times New Roman"/>
          <w:color w:val="000000" w:themeColor="text1"/>
          <w:sz w:val="16"/>
          <w:szCs w:val="16"/>
        </w:rPr>
        <w:t xml:space="preserve"> тактического звена: Р-111, Р-123, Р-124, Р-129 «Выстрел» (1960-е), Р-130 «Выстрел- М» (1960-е), Р-134, Р-143, Р-163, Р-173 (1970-е); КВ-УКВ диапазона Р-168 «Акведук» (1975); для оперативной связи сухопутных и пограничных войск: «Визиви», «Виконт», «Гондола», «Малыш», «Уран», «Сокол»; для МВД «Вызов», «Сигнал», «Марс», «Сирена», «Пальма», «Виола»; для КГБ «Сова», «Зяблик», «Чайка», «Кайра»; линии управления «Круг», «Краб», «Эвольвента» (1970-е), линии управления и связи с псевдослучайной nqHopriMB рабочих частот (ППРЧ) «Акведук» (1990-е); аппаратура закрытой системы связи 15Э; изделия «Карабах «Порт», «Кама-С, -П», «Беркут», «Глет-Н, -3», «Лес», «Волемот», «Лен», «Акватория»; навигацпан аппаратура «Азимут» (2000-е); релейная станция «Луч МТ» (2000-е); система связи для МПС «Транспорт»; транкинговая система общего пользования «Алтай» (1970-е).</w:t>
      </w:r>
    </w:p>
    <w:p w14:paraId="59243F7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КБ опытных работ (КБОР) МПСС, ФГУП «КБОР» ФАП /115093  г. Москва 1-й Щипковский пер., 3 тел. 235-83-27/</w:t>
      </w:r>
    </w:p>
    <w:p w14:paraId="5EA2E16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Образовано по приказу МПСС в 12.1974 г. для создания подвижных систем связи специального назначения. С помощью региональных подразделений вело строительство объектов связи, монтаж и наладку систем связи, завершенных в 1982 г. В 1980-е  г. При помощи КБОР были введены в строй Киевский институт радиотехнических материалов, Минский институт радиоматериалов, Боровский завод спецматериалов и Кольский завод спецматериалов.</w:t>
      </w:r>
    </w:p>
    <w:p w14:paraId="29AD7F2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1980-е  г. на базе КБОР и СКБ материалов ЦНИТИ «Техномаш» создан Отраслевой центр специального материаловедения. Им разработано более 200 новых материалов. Велись работы в области радиационных методов модификации материалов, биозащиты, тропикоустойчивости, утилизации многокомпонентного металлолома.</w:t>
      </w:r>
    </w:p>
    <w:p w14:paraId="7FF42CD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Имело Боровский филиал (1975-79 г.).</w:t>
      </w:r>
    </w:p>
    <w:p w14:paraId="556867D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1998 г. главным направлением КБОР стало создание и выпуск многофункциональных систем регистрации и приема-передачи информации серии МСР.</w:t>
      </w:r>
    </w:p>
    <w:p w14:paraId="21640D7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w:t>
      </w:r>
    </w:p>
    <w:p w14:paraId="1664E20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Входил в состав Концерна «Созвездие» (2006 г.).</w:t>
      </w:r>
    </w:p>
    <w:p w14:paraId="373FD39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Работы (2006 г.): создание и эксплуатация многофункциональных систем регистрации, мониторинга и управления силами и средствами.</w:t>
      </w:r>
    </w:p>
    <w:p w14:paraId="26A48E9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А.И. Студеницын, В.А. Латышев, (1980-е-2000 г.-)- З.П. Баскаев. Гендиректор (-2005-06 г.-)- В.В. Симаков (11982).</w:t>
      </w:r>
    </w:p>
    <w:p w14:paraId="11FFD93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F3C7443" w14:textId="77777777" w:rsidR="00714AC7" w:rsidRPr="007224C3" w:rsidRDefault="00714AC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 года был подготовлен отзыв А.И. Берга на материалы по радиолокации, добытые резидентурой ГРУ ГШ под руководством Черняка:</w:t>
      </w:r>
    </w:p>
    <w:p w14:paraId="6D44F60B" w14:textId="77777777" w:rsidR="00714AC7" w:rsidRPr="007224C3" w:rsidRDefault="00714AC7" w:rsidP="007224C3">
      <w:pPr>
        <w:spacing w:after="0" w:line="240" w:lineRule="auto"/>
        <w:jc w:val="both"/>
        <w:rPr>
          <w:rFonts w:ascii="Times New Roman" w:hAnsi="Times New Roman"/>
          <w:color w:val="000000" w:themeColor="text1"/>
          <w:sz w:val="16"/>
          <w:szCs w:val="16"/>
        </w:rPr>
      </w:pPr>
      <w:r w:rsidRPr="007224C3">
        <w:rPr>
          <w:rFonts w:ascii="Times New Roman" w:hAnsi="Times New Roman"/>
          <w:iCs/>
          <w:color w:val="000000" w:themeColor="text1"/>
          <w:sz w:val="16"/>
          <w:szCs w:val="16"/>
        </w:rPr>
        <w:t>«Присланные Вами за последние 10 месяцев материалы представляют очень большую ценность для создания радиолокационного вооружения Красной Армии и Военно-Морского Флота. Особая их ценность заключается в том, что они подобраны со знанием дела и дают возможность не только ознакомиться с аппаратурой, но и в ряде случаев изготовить аналогичную, не затрачивая длительного времени на разработку. Кроме того, сведения о создаваемом немцами методе борьбы с помехами позволили начать разработку соответствующих контрмероприятий. Все эти сведения и материалы позволяют нам уверенно выбирать пути технического развития новой и мало нам известной техники радиолокации, обеспечивая нам необходимую для этого перспективу и осведомленность».</w:t>
      </w:r>
    </w:p>
    <w:p w14:paraId="099FFDAF" w14:textId="77777777" w:rsidR="00714AC7" w:rsidRPr="007224C3" w:rsidRDefault="00714AC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Наряду с тысячами страниц текстов и чертежей доставлялись даже образцы изделий, выпущенных немецкой промышленностью.</w:t>
      </w:r>
    </w:p>
    <w:p w14:paraId="59D3D573" w14:textId="77777777" w:rsidR="00714AC7" w:rsidRPr="007224C3" w:rsidRDefault="00714AC7" w:rsidP="007224C3">
      <w:pPr>
        <w:spacing w:after="0" w:line="240" w:lineRule="auto"/>
        <w:jc w:val="both"/>
        <w:rPr>
          <w:rFonts w:ascii="Times New Roman" w:hAnsi="Times New Roman"/>
          <w:color w:val="000000" w:themeColor="text1"/>
          <w:sz w:val="16"/>
          <w:szCs w:val="16"/>
        </w:rPr>
      </w:pPr>
      <w:r w:rsidRPr="007224C3">
        <w:rPr>
          <w:rFonts w:ascii="Times New Roman" w:hAnsi="Times New Roman"/>
          <w:iCs/>
          <w:color w:val="000000" w:themeColor="text1"/>
          <w:sz w:val="16"/>
          <w:szCs w:val="16"/>
        </w:rPr>
        <w:t>«…Получил от Вас 475 иностранных письменных материалов и 102 образца аппаратуры. Подбор материалов сделан настолько умело, что не оставляет желать ничего иного на будущее. При вызванном военными обстоятельствами отставании нашей радиолокационной техники от заграницы и при насущной необходимости развивать у нас эту технику в кратчайшие сроки для своевременного оснащения нашей армии и флота радиолокационным вооружением и оружием защиты от радиолокации противника, полученные от Вас сведения имеют большое государственное значение. Работу ГРУ за истекший год в данной области следует признать выполненной блестяще». (Декабрь 1944 года.).</w:t>
      </w:r>
    </w:p>
    <w:p w14:paraId="2EB0836E" w14:textId="77777777" w:rsidR="00714AC7" w:rsidRPr="007224C3" w:rsidRDefault="00714AC7" w:rsidP="007224C3">
      <w:pPr>
        <w:spacing w:after="0" w:line="240" w:lineRule="auto"/>
        <w:jc w:val="both"/>
        <w:rPr>
          <w:rFonts w:ascii="Times New Roman" w:hAnsi="Times New Roman"/>
          <w:color w:val="000000" w:themeColor="text1"/>
          <w:sz w:val="16"/>
          <w:szCs w:val="16"/>
        </w:rPr>
      </w:pPr>
    </w:p>
    <w:p w14:paraId="44AEE6F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 г. на площадке эвакуированных заводов № 387, № 47 и «Лентекстильмаш» в 5ГУ НКАП был вновь организован Завод № 287 (Завод № 287 НКАП, МАП, МОП, ГКРЭ, п/я 934, Завод «Ленинец» МРП, АООТ, ОАО «Механический завод «Ленинец», ОАО «НТЦ «Завод «Ленинец» /г. Ленинград/ /196084  г. Санкт-Петербург, ул. Парковая, 6/ /196084  г. Санкт-Петербург ул. Коли Томчака, 9 тел. 324-61-00/). С 1.10.1944 г. по приказу № 605с от 13.10.1944 г. передан из 5ГУ в систему 17ГУ НКАП (по РЛ технике). Территориально завод расположился между Международным пр., ул. Заставской и ул. Волкова (в 1933 г. на этом месте была фабрика-кухня).</w:t>
      </w:r>
    </w:p>
    <w:p w14:paraId="04DF103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Работы по авиационным радиоприборам и РЛС. В начале 1945 г. проведено восстановление завода, началась организация производства высотомеров. В соответствии с пост. ГКО № 8158 от 19.04.1945 г. на завод передано оборудование и материалы с завода «Радио-Верк» ( г. Вена), в том же году передано 57 станков с немецкого завода фирмы «Шмидт» в Мариенвердере для организации производства РЛ приборов; всего в 1945-46 г. поставлено 384 трофейных металлорежущих станка.</w:t>
      </w:r>
    </w:p>
    <w:p w14:paraId="7C7E8F5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 соответствии с пост. СМ СССР № 713-342 от 26.06.1957 г. передан в ведение Управления приборостроительной промышленности ЛенСНХ, с 1958 г. - Управления радиотехнической промышленности ЛенСНХ, в 12.1958 г. завод передан в ведение ГКРЭ. Имел наименование «п/я 934». В соответствии с пост, от 29.09.1965 г. завод </w:t>
      </w:r>
      <w:r w:rsidRPr="007224C3">
        <w:rPr>
          <w:rFonts w:ascii="Times New Roman" w:hAnsi="Times New Roman"/>
          <w:color w:val="000000" w:themeColor="text1"/>
          <w:sz w:val="16"/>
          <w:szCs w:val="16"/>
        </w:rPr>
        <w:lastRenderedPageBreak/>
        <w:t>№ 287 передан в ведение МРП, в 1967 г. переименован в Ленинградский государственный завод «Ленинец». По приказу МРП № 756 от 28.12.1973 г. завод «Ленинец» вошел в состав ЛПТО как производство № 3, а ЛПТО «Новатор» переименовано в ЛПТО «Ленинец».</w:t>
      </w:r>
    </w:p>
    <w:p w14:paraId="1E4E93C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1990-х  г. преобразован в АООТ, в 1996 г. - в ОАО «Механический завод «Ленинец», входил в состав ХК «Ленинец». В 2005 г. назывался ОАО «НТЦ «Завод «Ленинец».</w:t>
      </w:r>
    </w:p>
    <w:p w14:paraId="47887E6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Выпускались антенные устройства для всех изделий ЦНПО «Ленинец».</w:t>
      </w:r>
    </w:p>
    <w:p w14:paraId="5A6717D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 второй половине 1990-х  г. производство практически прекращено. В 09.1999 г. начинается восстановление производства. Организованы два механических цеха, сборочно-монтажный и комплексной настройки. Восстановлены цеха механо-климатических испытаний, ЛКП и гальваники. К 2004 г. деятельность завода восстановлена.</w:t>
      </w:r>
    </w:p>
    <w:p w14:paraId="400A000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Работы (2005 г.): РЛК «Заслон»; обслуживание МиГ-31; модернизация С-800 в С-800А; подготовка производства С-800AM.</w:t>
      </w:r>
    </w:p>
    <w:p w14:paraId="5AAECDA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Численность персонала (1990-е)- 145 чел.</w:t>
      </w:r>
    </w:p>
    <w:p w14:paraId="7F1353D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(1944-50 г.)- Л.Д. Юффе(а), (1950-57 г.)- Н.В. Аверин, (1957-58 г.)- А.Н. Рыжков, (1958-73 г.)- В.И. Солодовников, (-1985 г.)- В.М. До донов. Гендиректор (-1999-2007 г.-)- А. А. Горбунов.</w:t>
      </w:r>
    </w:p>
    <w:p w14:paraId="2384E58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инженер (1945 г.)- Иллювнев.</w:t>
      </w:r>
    </w:p>
    <w:p w14:paraId="3C6563E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начальника производства- В.М. Додонов.</w:t>
      </w:r>
    </w:p>
    <w:p w14:paraId="18B646D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механик (1947-58 г.)- В.И. Солодовников.</w:t>
      </w:r>
    </w:p>
    <w:p w14:paraId="23C7BF1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Начальники цехов: В.М. Додонов.</w:t>
      </w:r>
    </w:p>
    <w:p w14:paraId="40FA457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iCs/>
          <w:color w:val="000000" w:themeColor="text1"/>
          <w:sz w:val="16"/>
          <w:szCs w:val="16"/>
        </w:rPr>
        <w:t>Производство: высотомеры:</w:t>
      </w:r>
      <w:r w:rsidRPr="007224C3">
        <w:rPr>
          <w:rFonts w:ascii="Times New Roman" w:hAnsi="Times New Roman"/>
          <w:color w:val="000000" w:themeColor="text1"/>
          <w:sz w:val="16"/>
          <w:szCs w:val="16"/>
        </w:rPr>
        <w:t xml:space="preserve"> ВМВ-1 (1945-), РВ-2 (1950-е), РВ-10, РВ-17;</w:t>
      </w:r>
      <w:r w:rsidRPr="007224C3">
        <w:rPr>
          <w:rFonts w:ascii="Times New Roman" w:hAnsi="Times New Roman"/>
          <w:iCs/>
          <w:color w:val="000000" w:themeColor="text1"/>
          <w:sz w:val="16"/>
          <w:szCs w:val="16"/>
        </w:rPr>
        <w:t xml:space="preserve"> PJJC:</w:t>
      </w:r>
      <w:r w:rsidRPr="007224C3">
        <w:rPr>
          <w:rFonts w:ascii="Times New Roman" w:hAnsi="Times New Roman"/>
          <w:color w:val="000000" w:themeColor="text1"/>
          <w:sz w:val="16"/>
          <w:szCs w:val="16"/>
        </w:rPr>
        <w:t xml:space="preserve"> «Торий-А» (опытная партия, 1950), «Коршун» (опытная партия, 1952), «Курс», «Изумруд» РП-1 (-1952), «Алмаз» (1955), РП-5, ЦД-30; РТ система предупреждения столкновения А-326 «Роговица» для Ту-95К (1980-е); измерительная аппаратура «Радий» (1950-е); радиодальномерные системы точного бомбометания: «Рым-С» (1950-е), ДБС-2С «Лотос» (1960-е); АРЛГС «Зенит» (5Г11), «Зенит-2» для ЗУР «400»; (2004): «Форсунка», исполнительные устройства на постоянных магнитах, радиорелейная станция РЭСКОМ-15;</w:t>
      </w:r>
      <w:r w:rsidRPr="007224C3">
        <w:rPr>
          <w:rFonts w:ascii="Times New Roman" w:hAnsi="Times New Roman"/>
          <w:color w:val="000000" w:themeColor="text1"/>
          <w:sz w:val="16"/>
          <w:szCs w:val="16"/>
          <w:vertAlign w:val="superscript"/>
        </w:rPr>
        <w:t>101</w:t>
      </w:r>
      <w:r w:rsidRPr="007224C3">
        <w:rPr>
          <w:rFonts w:ascii="Times New Roman" w:hAnsi="Times New Roman"/>
          <w:color w:val="000000" w:themeColor="text1"/>
          <w:sz w:val="16"/>
          <w:szCs w:val="16"/>
        </w:rPr>
        <w:t xml:space="preserve"> радиоприемники: «Нева-48», «Круиз-203».</w:t>
      </w:r>
    </w:p>
    <w:p w14:paraId="5C47F95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ОКБ-287 МАП, ГКАТ, ГКРЭ /г. Ленинград/</w:t>
      </w:r>
    </w:p>
    <w:p w14:paraId="5034616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Особое КБ № 287 вновь образовано при заводе № 287 МАП по приказу № 247с от 26.04.1946 г. в системе 17ГУ. Работы по сопровождению серии радиовысотомеров и РЛС разработки других организаций: РВ-2 «Кристалл», комплекта измерительной аппаратуры «Радий», радиодальномерной системы точного бомбометания «Рым-С», РЛС «Изумруд». С начала 1950-х  г. началась самостоятельная разработка РЛС и радиодальномеров. В 1950-х  г. разработаны различные системы для ракетной техники.</w:t>
      </w:r>
    </w:p>
    <w:p w14:paraId="0489A97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ОКБ начаты одни из первых работ по созданию пассивных РЛ систем наведения УРВБ. Научный руководитель- B.C. Дехтярев.</w:t>
      </w:r>
    </w:p>
    <w:p w14:paraId="303766D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08.1957 г. ОКБ передано во вновь созданный ГКАТ (4ГУ), в 12.1958 г.- в ГКРЭ.</w:t>
      </w:r>
    </w:p>
    <w:p w14:paraId="5872194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соответствии с пост. СМ СССР № 615-278сс от 6.06.1959 г. на базе трех ОКБ-283, ОКБ-287 и ОКБ-794 в системе ГКРЭ в Ленинграде создан новый НИИ-131. ОКБ-287 стало базой для СКБ-4 НИИ-131.</w:t>
      </w:r>
    </w:p>
    <w:p w14:paraId="2C41AA3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(1946-53 г.; 1956-59 г.)- B.C. Шунейко, (1953-56 г.)- И.П. Лисенков.</w:t>
      </w:r>
    </w:p>
    <w:p w14:paraId="6E2AE00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конструкторы- A.M. Громов (Е-801, Е-802), (1960 г.)- В.А. Гудков («Лотос»), (1954 г.)- Н.И. Маркелов (РГС-1, РГС-8, РГС-70), (1955 г.)- B.C. Дехтярев («Жемчуг»).</w:t>
      </w:r>
    </w:p>
    <w:p w14:paraId="7DE08E2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Начальники лабораторий: Н.А. Иовлев.</w:t>
      </w:r>
    </w:p>
    <w:p w14:paraId="2AB98D4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iCs/>
          <w:color w:val="000000" w:themeColor="text1"/>
          <w:sz w:val="16"/>
          <w:szCs w:val="16"/>
        </w:rPr>
        <w:t>Создано:</w:t>
      </w:r>
      <w:r w:rsidRPr="007224C3">
        <w:rPr>
          <w:rFonts w:ascii="Times New Roman" w:hAnsi="Times New Roman"/>
          <w:color w:val="000000" w:themeColor="text1"/>
          <w:sz w:val="16"/>
          <w:szCs w:val="16"/>
        </w:rPr>
        <w:t xml:space="preserve"> РЛС: «Курс» для Ту-16Т (1950-е); дальномерно-бомбардировочная система точного бомбометания ДБС-2С «Лотос» для Як-28 (1960), система тактического бомбометания СТБ «Сигнал», РЛ система ближней навигации и точного бомбометания «Жемчуг» для Ту-98, Ил-54, Як-25Б (1955-); радиовысотомеры: «РВ-Шторм» для КР; радиодальномерная система для П-5Н (1958); радиовзрыватели: Е-801, Е-802, Е-802М для ЗУР «207» и «217»;</w:t>
      </w:r>
      <w:r w:rsidRPr="007224C3">
        <w:rPr>
          <w:rFonts w:ascii="Times New Roman" w:hAnsi="Times New Roman"/>
          <w:iCs/>
          <w:color w:val="000000" w:themeColor="text1"/>
          <w:sz w:val="16"/>
          <w:szCs w:val="16"/>
        </w:rPr>
        <w:t xml:space="preserve"> РЛГСН:</w:t>
      </w:r>
      <w:r w:rsidRPr="007224C3">
        <w:rPr>
          <w:rFonts w:ascii="Times New Roman" w:hAnsi="Times New Roman"/>
          <w:color w:val="000000" w:themeColor="text1"/>
          <w:sz w:val="16"/>
          <w:szCs w:val="16"/>
        </w:rPr>
        <w:t xml:space="preserve"> РГС-15 для К-15, РГС-1 и РГС-8 для К-8 (1954-), РГС-70 для К-70.</w:t>
      </w:r>
    </w:p>
    <w:p w14:paraId="2B6E08C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Ленинградское производственно-техническое объединение (ЛПТО), НПО, ЦНПО, Научно-производственный и внешнеэкономический концерн (НПВЭК) «Ленинец» МРП, А-7162, АООТ, ОАО «Холдинговая компания (ХК) «Ленинец» /196066  г. Санкт-Петербург Московский пр., 212 тел. 379-90-41/</w:t>
      </w:r>
    </w:p>
    <w:p w14:paraId="3752A8C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приказу МРП № 756 от 28.12.1973 г. в состав ЛПТО «Новатор» был включен завод «Ленинец» как производство № 3, а ЛПТО переименовано в ЛПТО «Ленинец». По приказу МРП № 146 от 1.01.1974 г. в состав ЛПТО включен строящийся Петрозаводский радиотехнический завод (ПРЗ). Тем же приказом механическое и заготовительное производство «Новатора» было переименовано в производство № 4, а ОКБ завода «Ленинец» вошло в состав ЦКБ ЛПТО. В целях соединения научного и производственного потенциалов в единую структуру в соответствии с пост. СМ СССР № 139 от 2.03.1976 г. и приказом МРП № 264 от 15.05.1974 г. было создано НПО «Ленинец», в которое вошли: НПО «Марс» с ВНИИРЭС (головная структурная единица), производства № 1 (завод «Новатор»), № 2 (завод «Радиоприбор»), № 3 (завод «Ленинец») и № 4 (механическое и заготовительное производство «Новатора») ЛПТО «Ленинец», ПРЗ и опытный завод в Гатчине. НПО имело наименование «п/я А- 7162» (1983 г.). В состав НПО входили: (1976-83 г.) Витебский завод цветных телевизоров, завод «Игротехника», объединение «Спутник». По приказу МРП № 578 от 22.09.1985 г. на базе НПО «Ленинец» образовано Центральное НПО (ЦНПО) «Ленинец». Оно выведено из состава 4ГУ МРП и подчинено непосредственно замминистра МРП на правах ГУ. В составе ЦНПО - РТЗ-1 (в 1988 г. - вновь завод «Новатор»). По приказу МРП № 686 от 20.07.1990 г. на базе ЦНПО образован НПВЭК «Ленинеп». В соответствии с решениями Госкомимущества РФ № 298-Р от 21.07.1992 г. и № 401-3 от 1.09.1992 г. НПВЭК «Ленинец» преобразован в АООТ «ХК «Ленинец». В составе ХК: НТЦ «Основа» (1987 г.), СКБ «Система» (1991-93 г.), ГП «Асток» (1992 г.), АООТ «НИИ вычислительных систем» (1993 г.), НПП «Конверсия» (1996 г.), НИИ системотехники. В холдинг входило 38 дочерних предприятий и филиалов (2002 г.): ООО «Контур-НИРС», ОАО «Механический завод «Ленинец», Завод электробытовой аппаратуры, ГНИПГС, ГНПП «Мир» (2003 г.). В 2005 г. в холдинг входило около 70 предприятий, в т.ч. ОАО «Радиоавионика».</w:t>
      </w:r>
    </w:p>
    <w:p w14:paraId="7921E43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решению правительства № 22-р от 9.01.2004 г. вошло в перечень стратегических предприятий.</w:t>
      </w:r>
    </w:p>
    <w:p w14:paraId="243DBB0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Гендиректор (1974-76 г.)- Л.Н. Зайков (позднее- зав. оборонным отделом ЦК КПСС), (1976-85 г.)- Л.Т. Михеев, (1985-; 2005 г.)- А.А. Турчак, Ю.М. Смирнов, (1993-97 г.)- В.П. Козлов, (2006 г.)- Р.Ю. Багдонас.</w:t>
      </w:r>
    </w:p>
    <w:p w14:paraId="6F3BA35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директора: по производству № 1 (1974 г.-)- В.М. Додонов, по производству № 2 (1974-76 г.)- Л.Т. Михеев, по производству № 3 (1974 г.-)- В.И. Солодовников, по производству № 4 (1974</w:t>
      </w:r>
      <w:r w:rsidRPr="007224C3">
        <w:rPr>
          <w:rFonts w:ascii="Times New Roman" w:hAnsi="Times New Roman"/>
          <w:color w:val="000000" w:themeColor="text1"/>
          <w:sz w:val="16"/>
          <w:szCs w:val="16"/>
          <w:vertAlign w:val="subscript"/>
        </w:rPr>
        <w:t xml:space="preserve"> г.</w:t>
      </w:r>
      <w:r w:rsidRPr="007224C3">
        <w:rPr>
          <w:rFonts w:ascii="Times New Roman" w:hAnsi="Times New Roman"/>
          <w:color w:val="000000" w:themeColor="text1"/>
          <w:sz w:val="16"/>
          <w:szCs w:val="16"/>
        </w:rPr>
        <w:t>_). в.В. Ануров, по производству (1986-89 г.)- В.К. Дошин; по научной работе (1974-78 г.)- Ю.И. Валов. Зам. гендиректора: по научной работе- В.А. Потехин; (2007 г.)- Е. Самойлов.</w:t>
      </w:r>
    </w:p>
    <w:p w14:paraId="5DF7727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Ген. конструктор- Е.А. Зазорин, (1990-е  г.)-  Г.Н. Громов, (-2004-07 г.-)- А.А. Турчак.</w:t>
      </w:r>
    </w:p>
    <w:p w14:paraId="78EE277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производства (1974-76 г.)- О.Ф. Бураков; технический (1974-77 г.)- В.М. Зуев; по реструктуризации (2000 г.-)- А.А. Турчак (сын); по корпоративной политике (-2002 г.)- А.А. Турчак (сын); центра экономики (2002 г.)- С.П. Корольков; центра финансов (2002 г.)- С.Б. Постников;</w:t>
      </w:r>
      <w:r w:rsidRPr="007224C3">
        <w:rPr>
          <w:rFonts w:ascii="Times New Roman" w:hAnsi="Times New Roman"/>
          <w:color w:val="000000" w:themeColor="text1"/>
          <w:sz w:val="16"/>
          <w:szCs w:val="16"/>
          <w:vertAlign w:val="superscript"/>
        </w:rPr>
        <w:t>69</w:t>
      </w:r>
      <w:r w:rsidRPr="007224C3">
        <w:rPr>
          <w:rFonts w:ascii="Times New Roman" w:hAnsi="Times New Roman"/>
          <w:color w:val="000000" w:themeColor="text1"/>
          <w:sz w:val="16"/>
          <w:szCs w:val="16"/>
        </w:rPr>
        <w:t xml:space="preserve"> стратегического хозяйственного Центра-2- В.М. Додонов.</w:t>
      </w:r>
    </w:p>
    <w:p w14:paraId="636E3A2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технического директора по вычислительной технике (1978-82 г.)- Ю.И. Валов.</w:t>
      </w:r>
    </w:p>
    <w:p w14:paraId="16B9F6A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гл. конструктора: по натурным испытаниям (-1981 г.)- A.JI. Захаров (затем- на заводе № 218); (1994 г.-)- Б.А. Смирнов.</w:t>
      </w:r>
    </w:p>
    <w:p w14:paraId="77387AF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инженер (1974-78 г.)- Ю.И. Валов, (1997-2007 г.-&gt; В.П. Козлов.</w:t>
      </w:r>
    </w:p>
    <w:p w14:paraId="4CD28A8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гл. инженера (1982-86 г.)- Ю.И. Валов.</w:t>
      </w:r>
    </w:p>
    <w:p w14:paraId="441968C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Начальники управлений: научно-технического (1997-2007 г.-)- В.П. Козлов.</w:t>
      </w:r>
    </w:p>
    <w:p w14:paraId="1DD5B7A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начальника управления: ПЭУ (-1992 г.)- Т.Н. Бершадская.</w:t>
      </w:r>
    </w:p>
    <w:p w14:paraId="2AF2F98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конструкторы: (1970-е)- Н.Е. Немилов («Роговица»).</w:t>
      </w:r>
    </w:p>
    <w:p w14:paraId="465A850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Начальники отделений: (1994 г.-)- Б.А. Смирнов.</w:t>
      </w:r>
    </w:p>
    <w:p w14:paraId="19AF56F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Начальники отделов: маркетинга и зарубежных связей (2002 г.)- В.Е. Макаров; (-1994 г.)- Б.А. Смирнов, (1998 г.-)- Ю.Н. Сорокин.</w:t>
      </w:r>
    </w:p>
    <w:p w14:paraId="76A7CBE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Начальники лабораторий: Б.А. Смирнов, (1980 г.-)- Ю.Н. Сорокин.</w:t>
      </w:r>
    </w:p>
    <w:p w14:paraId="1E46EB3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iCs/>
          <w:color w:val="000000" w:themeColor="text1"/>
          <w:sz w:val="16"/>
          <w:szCs w:val="16"/>
        </w:rPr>
        <w:t>Создано:</w:t>
      </w:r>
      <w:r w:rsidRPr="007224C3">
        <w:rPr>
          <w:rFonts w:ascii="Times New Roman" w:hAnsi="Times New Roman"/>
          <w:color w:val="000000" w:themeColor="text1"/>
          <w:sz w:val="16"/>
          <w:szCs w:val="16"/>
        </w:rPr>
        <w:t xml:space="preserve"> РТ система предупреждения столкновения А-326 «Роговица» для Ту-16 и Ту-95 (1975-82); РЭК: «Звонарь», «Корсар», «Грамота-1, -2», «Мателот», «Трос», «Путь», «Путь-Ц», «Море».</w:t>
      </w:r>
      <w:r w:rsidRPr="007224C3">
        <w:rPr>
          <w:rFonts w:ascii="Times New Roman" w:hAnsi="Times New Roman"/>
          <w:color w:val="000000" w:themeColor="text1"/>
          <w:sz w:val="16"/>
          <w:szCs w:val="16"/>
          <w:vertAlign w:val="superscript"/>
        </w:rPr>
        <w:t>130</w:t>
      </w:r>
    </w:p>
    <w:p w14:paraId="21B94AC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iCs/>
          <w:color w:val="000000" w:themeColor="text1"/>
          <w:sz w:val="16"/>
          <w:szCs w:val="16"/>
        </w:rPr>
        <w:t>Производство:</w:t>
      </w:r>
      <w:r w:rsidRPr="007224C3">
        <w:rPr>
          <w:rFonts w:ascii="Times New Roman" w:hAnsi="Times New Roman"/>
          <w:color w:val="000000" w:themeColor="text1"/>
          <w:sz w:val="16"/>
          <w:szCs w:val="16"/>
        </w:rPr>
        <w:t xml:space="preserve"> аппаратура «Дельта» (1983).</w:t>
      </w:r>
    </w:p>
    <w:p w14:paraId="5C77ADC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Гатчинский опытный завод НПО «Ленинец»</w:t>
      </w:r>
    </w:p>
    <w:p w14:paraId="7652AF8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Был в 1974-80 г. в составе НПО «Ленинец».</w:t>
      </w:r>
    </w:p>
    <w:p w14:paraId="5D2531D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(1972-86 г.)- В.К. Дошин.</w:t>
      </w:r>
    </w:p>
    <w:p w14:paraId="76F54CA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инженер (1976-80 г.)- О.Ф. Бураков.</w:t>
      </w:r>
    </w:p>
    <w:p w14:paraId="3B8BB80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ЦКБ НПО «Ленинец»</w:t>
      </w:r>
    </w:p>
    <w:p w14:paraId="7A1FD87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Объединенное ЦКБ создано на базе подразделений ОКБ-283, ОКБ-287 и ОКБ-794 по инициативе А.Е. Оводенко.</w:t>
      </w:r>
    </w:p>
    <w:p w14:paraId="32BFDA4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ЦКБ создана первая в стране серия переносных стереофонических радиоприемников и магнитол высшего класса.</w:t>
      </w:r>
    </w:p>
    <w:p w14:paraId="052553E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А.Е. Оводенко.</w:t>
      </w:r>
      <w:r w:rsidRPr="007224C3">
        <w:rPr>
          <w:rFonts w:ascii="Times New Roman" w:hAnsi="Times New Roman"/>
          <w:color w:val="000000" w:themeColor="text1"/>
          <w:sz w:val="16"/>
          <w:szCs w:val="16"/>
          <w:vertAlign w:val="superscript"/>
        </w:rPr>
        <w:t>130</w:t>
      </w:r>
    </w:p>
    <w:p w14:paraId="041149D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«Игротехника», АОЗТ, ЗАО «Завод «Игротехника» /199034  г. Санкт-Петербург 16-я линия Васильевского о-ва, 7/</w:t>
      </w:r>
    </w:p>
    <w:p w14:paraId="2649C2E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входил в состав НПО «Ленинец».</w:t>
      </w:r>
    </w:p>
    <w:p w14:paraId="76C6C19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iCs/>
          <w:color w:val="000000" w:themeColor="text1"/>
          <w:sz w:val="16"/>
          <w:szCs w:val="16"/>
        </w:rPr>
        <w:lastRenderedPageBreak/>
        <w:t>Производство:</w:t>
      </w:r>
      <w:r w:rsidRPr="007224C3">
        <w:rPr>
          <w:rFonts w:ascii="Times New Roman" w:hAnsi="Times New Roman"/>
          <w:color w:val="000000" w:themeColor="text1"/>
          <w:sz w:val="16"/>
          <w:szCs w:val="16"/>
        </w:rPr>
        <w:t xml:space="preserve"> магнитолы: «Арго-002С, -004С, РМ-006С»; магнитофон «Арго П-401С»; радиоприемники: «Блюз-301, РП-203А».</w:t>
      </w:r>
    </w:p>
    <w:p w14:paraId="41FD244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Электромеханический завод «Спутник», Машиностроительное объединение «Спутник»</w:t>
      </w:r>
    </w:p>
    <w:p w14:paraId="2766A09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«Спутник» основан в 1963 г. В 1969 г. на его базе создано машиностроительное объединение «Спутник». Далее вошло в состав НПО «Ленинец».</w:t>
      </w:r>
    </w:p>
    <w:p w14:paraId="272AF1E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iCs/>
          <w:color w:val="000000" w:themeColor="text1"/>
          <w:sz w:val="16"/>
          <w:szCs w:val="16"/>
        </w:rPr>
        <w:t>Производство:</w:t>
      </w:r>
      <w:r w:rsidRPr="007224C3">
        <w:rPr>
          <w:rFonts w:ascii="Times New Roman" w:hAnsi="Times New Roman"/>
          <w:color w:val="000000" w:themeColor="text1"/>
          <w:sz w:val="16"/>
          <w:szCs w:val="16"/>
        </w:rPr>
        <w:t xml:space="preserve"> электрофоны: «Юность», «Юность-301», «Молодежный», «Спутник-304». СКБ «Нева»</w:t>
      </w:r>
    </w:p>
    <w:p w14:paraId="358E33B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Государственное научно-исследовательское предприятие гиперзвуковых скоростей (НИПГС, ГНИПГС), АООТ «НИПГС» /г. Ленинград/</w:t>
      </w:r>
    </w:p>
    <w:p w14:paraId="2B6280F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1980-х  г. в НПО «Ленинец» было сформировано научно-техническое направление по созданию гиперзвуковых ЛА для ВВС. Был организован отдел, размещенный на филиале «Сектор», руководитель- В.Л. Фрайштадт. В середине 1980-х  г. организовано СКБ «Нева», которое было переведено в здание НИИРЭС, а на территории филиала оставлены экспериментальные стенды. В 1992 г. на базе СКБ «Нева» создано ГНИПГС. В 1993 г. предприятие преобразовано в АООТ.</w:t>
      </w:r>
    </w:p>
    <w:p w14:paraId="7CFA783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Велись работы по исследованию возможности создания гиперзвукового самолета (концепция «Аякс»). Созданы (1990-е) проекты гиперзвуковых ЛА «Нева-М1.. ,М7», многоразовой модели ГЛА.</w:t>
      </w:r>
    </w:p>
    <w:p w14:paraId="2FE3CDA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конструктор (1980-е)- В.Л. Фрайштадт. Ген. конструктор (1990-е)- В.Л. Фрайштадт.</w:t>
      </w:r>
      <w:r w:rsidRPr="007224C3">
        <w:rPr>
          <w:rFonts w:ascii="Times New Roman" w:hAnsi="Times New Roman"/>
          <w:color w:val="000000" w:themeColor="text1"/>
          <w:sz w:val="16"/>
          <w:szCs w:val="16"/>
          <w:vertAlign w:val="superscript"/>
        </w:rPr>
        <w:t>30</w:t>
      </w:r>
    </w:p>
    <w:p w14:paraId="51560FB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СКБ НПВЭК «Ленинец», ОАО «СКБ «Система»</w:t>
      </w:r>
    </w:p>
    <w:p w14:paraId="6DA6676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1991 г. - СКБ концерна «Ленинец», в 1993 г. - ОАО «СКБ «Система».</w:t>
      </w:r>
    </w:p>
    <w:p w14:paraId="23D8C40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(1991 г.-)- Д.Н. Медведев. Гендиректор (-1993 г.)- Д.Н. Медведев.</w:t>
      </w:r>
    </w:p>
    <w:p w14:paraId="4DE5785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АООТ «Ассоциация «Радиоавионика», ОАО «Радиоавионика» /190005 (198005)  г. Санкт-Петербург Троицкий пр., 4Б; пр. Москвиной, 5 тел. 251-38-75/</w:t>
      </w:r>
    </w:p>
    <w:p w14:paraId="7746911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Создано в 09.1991 г. для исследований, разработки и производства сложных РЭ комплексов многоцелевого назначения. В 2000-е  г. - в составе ХК «Ленинец». В составе «Радиоавионики» (1994 г.) - НИИ «Союз».</w:t>
      </w:r>
    </w:p>
    <w:p w14:paraId="693950B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1997 г. велась разработка первой отечественной микропроцессорной системы на базе управляющего вычислительного комплекса УВК РА. С 2001 г. предприятие стало генпроектировщиком и генподрядчиком этих систем на железнодорожных станциях страны. К 2004 г. введены в эксплуатацию комплексы на станциях Новый Петергоф, Жихарево, Назия Октябрьской ж/д.</w:t>
      </w:r>
    </w:p>
    <w:p w14:paraId="56DA2DD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Разработка (2005 г.): информационные технологии; индивидуальное приборное оснащение военнослужащих и средства автоматизации малых тактических групп; средства инженерной разведки на базе сверхширокополосных геолокаторов; измерительные системы контроля характеристик сложных объектов военной техники (автобронетанковой, самолетов и вертолетов); микропроцессорные системы железнодорожной автоматики на базе управляющего ВК УВК РА, источники их песперебойного питания.</w:t>
      </w:r>
    </w:p>
    <w:p w14:paraId="0B1E1F4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Предприятие определено головным по разработке и производству средств неразрушающего контроля на ж/д транспорте.</w:t>
      </w:r>
    </w:p>
    <w:p w14:paraId="1DA3804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2005 г. ОКР «Гео-К» (гл. конструктор- В. Николаев).</w:t>
      </w:r>
    </w:p>
    <w:p w14:paraId="247DCDB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Гендиректор (-2004 г.)- Е.Э. Чернышев, (-2004-06 г.)- Т.Н. Бершадская, (2006 г.)- А. Каплин.</w:t>
      </w:r>
    </w:p>
    <w:p w14:paraId="09497A6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Ген. конструктор (-2004 г.)- Е.Э. Чернышев. Гл. конструктор (2006 г.)- А. Каплин.</w:t>
      </w:r>
    </w:p>
    <w:p w14:paraId="62E8F57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Руководитель отделения подповерхностной радиолокации (1991 г.)- Л.Ю. Астанин. Директор НТЦ средств геолокации (2005 г.)- В. Николаев.</w:t>
      </w:r>
    </w:p>
    <w:p w14:paraId="1E1CC2D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конструкторы (2005 г.)- В. Николаев.</w:t>
      </w:r>
    </w:p>
    <w:p w14:paraId="506BCDA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iCs/>
          <w:color w:val="000000" w:themeColor="text1"/>
          <w:sz w:val="16"/>
          <w:szCs w:val="16"/>
        </w:rPr>
        <w:t>Создано:</w:t>
      </w:r>
      <w:r w:rsidRPr="007224C3">
        <w:rPr>
          <w:rFonts w:ascii="Times New Roman" w:hAnsi="Times New Roman"/>
          <w:color w:val="000000" w:themeColor="text1"/>
          <w:sz w:val="16"/>
          <w:szCs w:val="16"/>
        </w:rPr>
        <w:t xml:space="preserve"> сверхширокополосные PJI искатели взрывоопасных предметов ИВП-PJIl, ИВП-РЛ2; индивидуальный навигационный комплект для войск «Стрелец» (2000-е); ультразвуковой двухниточный дефектоскоп АВИКОН-01 (1998-2004-)- 700, совмещенный вагон-дефектоскоп СВД (1998-2004-)- 7, портативный дефектоскоп для контроля сварных стыков АВИКОН-02Р, программно-аппаратный комплекс для обработки и представления дефектоскопической информации ПАК НК (1998-2004-)- 200.</w:t>
      </w:r>
      <w:r w:rsidRPr="007224C3">
        <w:rPr>
          <w:rFonts w:ascii="Times New Roman" w:hAnsi="Times New Roman"/>
          <w:color w:val="000000" w:themeColor="text1"/>
          <w:sz w:val="16"/>
          <w:szCs w:val="16"/>
          <w:vertAlign w:val="superscript"/>
        </w:rPr>
        <w:t>101</w:t>
      </w:r>
    </w:p>
    <w:p w14:paraId="52BD832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ОАО «НИИ Системотехники» /г. Санкт-Петербург/</w:t>
      </w:r>
    </w:p>
    <w:p w14:paraId="4B5DD9F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2000 г. - ОАО «НИИ системотехники». Входило в состав холдинга «Ленинец». По решению правительства № 22-р от 9.01.2004 г. вошло в перечень стратегических предприятий.</w:t>
      </w:r>
    </w:p>
    <w:p w14:paraId="6A80C92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Разработка РЭО.</w:t>
      </w:r>
    </w:p>
    <w:p w14:paraId="69B1BBE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Гендиректор (2007 г.)- Ф.Ф. Золотухин.</w:t>
      </w:r>
    </w:p>
    <w:p w14:paraId="628170F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iCs/>
          <w:color w:val="000000" w:themeColor="text1"/>
          <w:sz w:val="16"/>
          <w:szCs w:val="16"/>
        </w:rPr>
        <w:t>Создано:</w:t>
      </w:r>
      <w:r w:rsidRPr="007224C3">
        <w:rPr>
          <w:rFonts w:ascii="Times New Roman" w:hAnsi="Times New Roman"/>
          <w:color w:val="000000" w:themeColor="text1"/>
          <w:sz w:val="16"/>
          <w:szCs w:val="16"/>
        </w:rPr>
        <w:t xml:space="preserve"> система «Изумруд-8» для Ил-38, комплекс «Стриж», ППС «Морской змей» для А-40.</w:t>
      </w:r>
    </w:p>
    <w:p w14:paraId="1AD89A5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СКБ «Земля»</w:t>
      </w:r>
    </w:p>
    <w:p w14:paraId="02A5BBD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1985-90 г. СКБ - в составе ЦНПО «Ленинец».</w:t>
      </w:r>
    </w:p>
    <w:p w14:paraId="2B23345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Велась разработка РЭК Ш-141 для Су-34 и Ту-160.</w:t>
      </w:r>
    </w:p>
    <w:p w14:paraId="009AD6C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конструкторы: (-1985-90 г.-)- М.А. Грамагин (Ш-141) (11982).</w:t>
      </w:r>
    </w:p>
    <w:p w14:paraId="4F2E687C" w14:textId="77777777" w:rsidR="00714AC7" w:rsidRPr="007224C3" w:rsidRDefault="00714AC7" w:rsidP="007224C3">
      <w:pPr>
        <w:autoSpaceDE w:val="0"/>
        <w:autoSpaceDN w:val="0"/>
        <w:adjustRightInd w:val="0"/>
        <w:spacing w:after="0" w:line="240" w:lineRule="auto"/>
        <w:jc w:val="both"/>
        <w:rPr>
          <w:rFonts w:ascii="Times New Roman" w:hAnsi="Times New Roman"/>
          <w:color w:val="000000" w:themeColor="text1"/>
          <w:sz w:val="16"/>
          <w:szCs w:val="16"/>
        </w:rPr>
      </w:pPr>
    </w:p>
    <w:p w14:paraId="426B2ED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 заложили на поточной линии четыре БМО (с 35-го по 38-й). Закончены монтажные работы и проведены государственные испытания 4 БМО. В конце мая состоялся спуск на воду 29, 30 и 31-го БМО. В разных стадиях постройки находилось 20 БМО, велись достроечные работы на 6 ПЛ и 8 МБК, закончен аварийно-боевой ремонт 5 БМО, начатый в декабре. Сдан буксир типа "Ижорец". На Петрозаводе строили 8 ТЩ типа МТ-1. Ижорский завод осуществил поставки брони для БМО и МБК. В апреле ижорцы начали восстановительные работы на своем заводе, а в конце июня дали первую плавку стали (10671).</w:t>
      </w:r>
    </w:p>
    <w:p w14:paraId="24F1ED7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02EC60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Катеростроители на зимне-весенний период отремонтировали 10 ТК, 2 МО, 35 катеров типа КМ-4, 20 - типа КМ-5. Шесть ТК переоборудованы в дымзавесчики. Сданы флоту 19 КМ-4 (10671).</w:t>
      </w:r>
    </w:p>
    <w:p w14:paraId="4D6F699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6335DB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 г. после освобождения Севастополя на старом месте был восстановлен судостроительный завод № 497 (Краснознаменный завод № 201 им. С. Орджоникидзе НКОП, НКСП, Севастопольское адмиралтейство, Лазаревское адмиралтейство, Верфь Русского общества пароходства и торговли (РОПиТ), Севастопольский судостроительный завод, Севастопольский морской завод (Севморзавод) им. С. Орджоникидзе НК по морским делам, ВСНХ, НКТП, Потийский судоремонтный завод Минрыбпрома, Потийский судоремонтно-судостроительный завод /г. Севастополь п/я 69 «Вал» (1938 г.);  г. Туапсе;  г. Батуми;  г. Поти/) далее- Севастопольский морской завод.</w:t>
      </w:r>
    </w:p>
    <w:p w14:paraId="3B9EF95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Поти в 1946-50г, проведена модернизация тральщиков пр. 3, 53, 58, 53У. Завод № 201 действовал в Поти в 1950-е  г. и далее; затем - Потийский СРЗ.</w:t>
      </w:r>
      <w:r w:rsidRPr="007224C3">
        <w:rPr>
          <w:rFonts w:ascii="Times New Roman" w:hAnsi="Times New Roman"/>
          <w:color w:val="000000" w:themeColor="text1"/>
          <w:sz w:val="16"/>
          <w:szCs w:val="16"/>
          <w:vertAlign w:val="superscript"/>
        </w:rPr>
        <w:t>116</w:t>
      </w:r>
    </w:p>
    <w:p w14:paraId="5CD1545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Численность персонала (1818 г.)- более 800 чел., (1924 г.)- около 3000 чел., (1937 г.)- 6767 чел., (06.1941 г.)- 6937 чел.</w:t>
      </w:r>
    </w:p>
    <w:p w14:paraId="659DEC4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Заведующий (1880-е)- Л. Г. Конкевич. Директор (1925 г.-)- Н.И. Антонов, (-3.08.1937 г.)- А.Л., Токарев; и.о. (3.08.1937 г.-)- С.Н.(П) Задорожный; (16.09.1937-12.1938 г.-)- С.Н. Задорожный, в Севастополе (1942 г.)- Н.К. Костенко, в Туапсе (1941 г.)- С.О. Шрайбер; М.Н. Сургучев.</w:t>
      </w:r>
    </w:p>
    <w:p w14:paraId="767ECCC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директора (1920-е)- И.П. Морозов, (-21.01.1937 г.)- В.Ф. Попов, (3.10.1937 г.-)- А.К. Шишунов; по коммерческой части (15.06.1938 г.-)- П.Т. Варюхов. Помощник директора по найму и увольнению (-8.10.1937 г.)- ДЛ. Эвадис, (8.10.1937 г.-)- И.В. Чепак.</w:t>
      </w:r>
    </w:p>
    <w:p w14:paraId="79834F8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инженер (-21.01.1937 г.)- В.Ф. Попов, (3.10.1937-12.1938 г.-)- А.К. Шишунов, Т.Н. Хазарадзе.</w:t>
      </w:r>
    </w:p>
    <w:p w14:paraId="3D8EC87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филиала в Поти (12.1941 г.-)- С.М. Щеголь.</w:t>
      </w:r>
    </w:p>
    <w:p w14:paraId="29ADF9D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Корабельный мастер (1819 г.)- И .Я. Осьминин. Строители кораблей: (-1901-04 г.-)- Н.И. Янковский. Гл. строители (1925 г.)- Н.Д. Звягин.</w:t>
      </w:r>
    </w:p>
    <w:p w14:paraId="1255865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Начальники бюро: ПЭБ (02.1938 г.)- Мурин.</w:t>
      </w:r>
    </w:p>
    <w:p w14:paraId="760E9E8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Производство: корветы: 18-пушечный «Крым» (12.1808-01.1810), 20-пушечные «Менелай» (1839-41), «Ариадна» (1848-51), 24-пушечный «Месемврия» (1832-34), «Язон» (1814-15), «Оливуца»; бриги: «Мингрелия» (1813), «Меркурий» (1819), 12-пушечные «Аргонавт» (1837-37), «Язон» (1848-50), 20-пушечный «Пегас» (1825-); шхуны: (1794-)-2, 12-пушечная «Флора» (1815-18), (1838-40)- 2; тендеры: 8-пушечный (1817-), 12-пушечные (1832-39)- 3; транспорты (1819-23-)- 3, «Днепр» (1836-38), (1840-48-)- 2, «Аккерман» (-1849); 12-пушечные катера (1820)- 1, «Жаворонок» (1825); 18-пушечный шлюп «Диана» (1821-23); яхта «Голубка» (1821-22); люгер «Стрела» (1822); фрегаты: 36-пушечный «Рафаил» (1825-28), 44-пушечный «Браилов» (1835-36), 54-пушечный «Сизополь» (1838-41); бригантина «Нарцисс» (1827-29); землечерпательная машина (1826); боты (1836)- 2; миноноски типа «Щегленок» (1877-78)- 3; канонерские лодки: «Кубанец», «Терец», «Уралец» (1886-87), «Черноморец»; броненосцы «Иоанн Златоуст» (31.10.1904-30.04.1906), «Чесма»; крейсер «Очаков» (08.1901- 09.1902); тральщики: пр. 3 «Трал» (Т-401), «Минреп» (Т-402), «Груз» (Т-403), «Щит» (Т-404) (1933-35), пр. 53 Т- 405 «Взрыватель», Т-406 «Искатель», Т-407 «Мина», Т-411 «Защитник», Т-7 «Веха», Т-8 «Чека» (зак. 180, 08.1936-11.1938), IV серии пр. 58 Т-5 «Параван» (зак. 187, 1938), Т-6 «Капсюль» (зак. 188, 1938), Т-408 «Якорь» (зак. 189, 1938), Т-409 «Гарпун» (зак. 190, 1938), Т-410 «Взрыв», Т-412 «Арсений Расскин», Т-413 (03.1937- 04.1941), Т-414, Т-415 (01.1941-, не достроены); пр. 59 Т-450 («Павел Головин»), Т-451 («Иван Борисов»), Т-452 («Сергей Шувалов»), Т-453 («Семен Рошаль»), Т-454 («Иван Сладков») (-1941); искатель мин пр. 257М (1959-60, не достроен); эсминцы: пр. 7у (1941)- 1, достройка «Огневой» (-03.1945); сборка ПЛ завода 112 XII серии (ВОВ); грузопассажирское судно «Св. Николай», пассажирское «Проворный» (1892-93); буксирно-пассажирские пароходы «Волга», «Теща», «Вестник», «Тесть» (1881-83); лесовоз I серии «Михаил Фрунзе» (11.1925-06.1927); сухогрузы: типа «Ногин» «Ногин», «Анри Барбюс» (1929-34); типа «Сихали» «Сихали» («Рыбинск»), «Сызрань» (1932-36), «Вольск», «Молога» (не достроены), «Камышин» (1930-е, достроен после войны); типа «Пионер» «Пионер», «Земляк», «Работник», «Батрак» («Тракторист»), «Местком», «Судком» (1928-33); грузопассажирские «Дельфин», «Чайка» (1928-31); траулеры типа РТ-308 «Красный онежанин» (1930-33)- 4; буксиры: речные 150 л.с. (1928)- 2, 250 л.с. «Колхозник», «Красный Октябрь», «Кимовец» (1928-31); </w:t>
      </w:r>
      <w:r w:rsidRPr="007224C3">
        <w:rPr>
          <w:rFonts w:ascii="Times New Roman" w:hAnsi="Times New Roman"/>
          <w:color w:val="000000" w:themeColor="text1"/>
          <w:sz w:val="16"/>
          <w:szCs w:val="16"/>
        </w:rPr>
        <w:lastRenderedPageBreak/>
        <w:t>морской спасательный 800 л.с. типа «СП» пр.135 (зак 102, 1938), (-1941)- 12; буксирный ледокол 300 л.с. «Байкал» (1932); водолазные боты морские и речные (1930-е); кольцевой судоподъемный понтон грузоподъемностью 1100 т (1930-е); СПК пр. 342МТ «Комета» (1961-); артиллерийский щит 3-секционный (1938)- 3;</w:t>
      </w:r>
    </w:p>
    <w:p w14:paraId="29E4775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восстановление крейсера «Коминтерн» (1922-23); разборка 7 броненосцев, плавдока (1920-е); модернизация: линкора «Парижская Коммуна» (1934-38; 1939-40); ремонт коммерческих судов (1930-е); переоборудование: опытного судна «Тосно» (1937); грузовых судов типа «Пионер» в транспортные (ВОВ); ремонт крейсеров «Красный Кавказ», «Молотов», эсминца «Способный» (ВОВ) (11982).</w:t>
      </w:r>
    </w:p>
    <w:p w14:paraId="3CC3E7D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2A27175"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6CE7787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70604D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 года из состава АДД несколько С-47 были переданы морским летчикам СФ для патрулирования в целях обнаружения немецких п/л. После поступления из США больших летающих лодок PBN-1 функции дальнего противолодочного дозора перешли к ним, а "Дугласы" вернулись к своим транспортным задачам. Всего морская авиация получила 10 С-47, которые эксплуатировались 65-м полком н транспортными эскадрильями и отрядами флотов (3457,138).</w:t>
      </w:r>
    </w:p>
    <w:p w14:paraId="0CF567A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95610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 года начал боевые операции 173-и полк на Бостонах - истребителях, который прибыл под Орел. Впоследствии полки 56-й авиадивизии действовали под Минском, Гомелем, Львовом. Наиболее успешно ночные "Бостоны", прозванные "ершами" за торчащие антенны, применялись под Бреслау, где они охотились за немецкими транспортными самолетами и грузовыми планерами. Удалось сбить два Не 111 и два планера (3457,110).</w:t>
      </w:r>
    </w:p>
    <w:p w14:paraId="26B9409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EE8C1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 51-й МТАП, который был сформирован после получения достаточного количества американских A-20G и A-20DO развернул боевые действия в Финском заливе и водах Центральной Балтики. Такая структура торпедоносной авиации из 1 МТАП и 51 МТАП сохранилась на флоте до конца войны. Обычно самолеты действовали небольшими группами по 4-12 машин, причем половину из них составляли торпедоносцы, а половину - топмачтовики. Всего торпедоносцы-балтийцы выполнили 1588 боевых вылетов, израсходовали 675 торпед, на базы не вернулись 97 самолетов (2867,31).</w:t>
      </w:r>
    </w:p>
    <w:p w14:paraId="797FFAA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C0E03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 года, в соответствии с приказом ГКО, морская авиация получила задание управлять судоходством в Арктике. В специально сформированную авиационную группу авиация дальнего действия направила 6 Ил-4 и 2 С-47, в то время как морская авиация выделила 10 Пе-3 из 95го ИАП, а также целый 22-й РАП, прибывший с Каспийского моря. Всего группа располагала почти 70 машинами (2691).</w:t>
      </w:r>
    </w:p>
    <w:p w14:paraId="2B678E4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C9246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 топмачтовое бомбометание на Ил-2 впервые применили на СФ. Командир 46 шап Г.В.Павлов писал, что подход к цели был на 600-1200 м, потом самолет переводился в снижение с разгоном и противозенитным маневром, разворачивались на боевой и бросали когда капот закрывал цель (1085,182) (1085,182).</w:t>
      </w:r>
    </w:p>
    <w:p w14:paraId="4585BC7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9BD42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 немцы сумели высадить в Калмыцких степях большую диверсионную группу (1565,17).</w:t>
      </w:r>
    </w:p>
    <w:p w14:paraId="1327D65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564AC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 года под румынским городом Тыргу-Фрумос немцы впервые захватили подбитые ИС-2. (3862).</w:t>
      </w:r>
    </w:p>
    <w:p w14:paraId="5B7E99B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DBE5F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 г. получил матчасть зарубежного производст</w:t>
      </w:r>
      <w:r w:rsidRPr="007224C3">
        <w:rPr>
          <w:rFonts w:ascii="Times New Roman" w:hAnsi="Times New Roman"/>
          <w:color w:val="000000" w:themeColor="text1"/>
          <w:sz w:val="16"/>
          <w:szCs w:val="16"/>
        </w:rPr>
        <w:softHyphen/>
        <w:t>ва и 1-й Красногвардейский механизированный корпус 1-го Белорусского фронта. В бригадах и полках корпуса числи</w:t>
      </w:r>
      <w:r w:rsidRPr="007224C3">
        <w:rPr>
          <w:rFonts w:ascii="Times New Roman" w:hAnsi="Times New Roman"/>
          <w:color w:val="000000" w:themeColor="text1"/>
          <w:sz w:val="16"/>
          <w:szCs w:val="16"/>
        </w:rPr>
        <w:softHyphen/>
        <w:t>лось 136 танков М4А2, 44 «Валентайн IX», пять «Валентайн X». 21 СУ-76, 21 СУ-85, 43 БА-64, 47 БТР «Скаут».</w:t>
      </w:r>
    </w:p>
    <w:p w14:paraId="6911D81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5-я гвардейская танковая армия 3-го Белорусского фрон</w:t>
      </w:r>
      <w:r w:rsidRPr="007224C3">
        <w:rPr>
          <w:rFonts w:ascii="Times New Roman" w:hAnsi="Times New Roman"/>
          <w:color w:val="000000" w:themeColor="text1"/>
          <w:sz w:val="16"/>
          <w:szCs w:val="16"/>
        </w:rPr>
        <w:softHyphen/>
        <w:t>та в операции «Багратион» была одной из самых крупных танковых группировок, имевших на вооружении смешанную технику советского и зарубежного производства, в которой насчитывалось 350 Т-34,64 М4А2, 39 «Валентайн IX», 29 ИС-122, 2-3 ИСУ-152, 42 СУ-85, 22 СУ-76, 21 САУ М10, 37 СУ-57.</w:t>
      </w:r>
    </w:p>
    <w:p w14:paraId="6C9C06B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Танки М4А2 «Генерал Шерман» использовались в Крас</w:t>
      </w:r>
      <w:r w:rsidRPr="007224C3">
        <w:rPr>
          <w:rFonts w:ascii="Times New Roman" w:hAnsi="Times New Roman"/>
          <w:color w:val="000000" w:themeColor="text1"/>
          <w:sz w:val="16"/>
          <w:szCs w:val="16"/>
        </w:rPr>
        <w:softHyphen/>
        <w:t>ной Армии до конца войны. Так, 8-й гвардейский Алексан</w:t>
      </w:r>
      <w:r w:rsidRPr="007224C3">
        <w:rPr>
          <w:rFonts w:ascii="Times New Roman" w:hAnsi="Times New Roman"/>
          <w:color w:val="000000" w:themeColor="text1"/>
          <w:sz w:val="16"/>
          <w:szCs w:val="16"/>
        </w:rPr>
        <w:softHyphen/>
        <w:t>дрийский механизированный корпус 2-го Белорусского фронта 14 января 1945 г. имел в своем составе 185 М4А2, пять Т-34, 21 ИС, 21 СУ-85, 21 СУ-76, 53 «Скаута», 52 БА-64 и 19 ЗСУ М17, 9-й гвардейский мехкорпус 2-го Украинского фронта 10 августа 1944 г. насчитывал 100 М4А2, 40 «Вален</w:t>
      </w:r>
      <w:r w:rsidRPr="007224C3">
        <w:rPr>
          <w:rFonts w:ascii="Times New Roman" w:hAnsi="Times New Roman"/>
          <w:color w:val="000000" w:themeColor="text1"/>
          <w:sz w:val="16"/>
          <w:szCs w:val="16"/>
        </w:rPr>
        <w:softHyphen/>
        <w:t>тайн IX» и три СУ-76, а 5-й гвардейский кавалерийский корпус 5 августа 1944 г. имел 26 Т-34, 41 М4А2 и 19 СУ-76.</w:t>
      </w:r>
    </w:p>
    <w:p w14:paraId="38BB10F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«Шерманы» в составе 1-го гв. механизированного кор</w:t>
      </w:r>
      <w:r w:rsidRPr="007224C3">
        <w:rPr>
          <w:rFonts w:ascii="Times New Roman" w:hAnsi="Times New Roman"/>
          <w:color w:val="000000" w:themeColor="text1"/>
          <w:sz w:val="16"/>
          <w:szCs w:val="16"/>
        </w:rPr>
        <w:softHyphen/>
        <w:t>пуса брали Вену и участвовали в Берлинской операции (в составе войск 2-й танковой и 33-й армий). Свой боевой путь в Красной Армии они закончили на Тихом океане: во время войны с Японией.</w:t>
      </w:r>
    </w:p>
    <w:p w14:paraId="7B87D13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М4А2 очень хорошо были приняты советскими танкис</w:t>
      </w:r>
      <w:r w:rsidRPr="007224C3">
        <w:rPr>
          <w:rFonts w:ascii="Times New Roman" w:hAnsi="Times New Roman"/>
          <w:color w:val="000000" w:themeColor="text1"/>
          <w:sz w:val="16"/>
          <w:szCs w:val="16"/>
        </w:rPr>
        <w:softHyphen/>
        <w:t>тами. Как любому оружию, которое нравится, им присваи</w:t>
      </w:r>
      <w:r w:rsidRPr="007224C3">
        <w:rPr>
          <w:rFonts w:ascii="Times New Roman" w:hAnsi="Times New Roman"/>
          <w:color w:val="000000" w:themeColor="text1"/>
          <w:sz w:val="16"/>
          <w:szCs w:val="16"/>
        </w:rPr>
        <w:softHyphen/>
        <w:t>вали дружеские клички. «Эмчи», «горбач», «майский жук», «бронтозавр» был легко управляем, более вынослив при со</w:t>
      </w:r>
      <w:r w:rsidRPr="007224C3">
        <w:rPr>
          <w:rFonts w:ascii="Times New Roman" w:hAnsi="Times New Roman"/>
          <w:color w:val="000000" w:themeColor="text1"/>
          <w:sz w:val="16"/>
          <w:szCs w:val="16"/>
        </w:rPr>
        <w:softHyphen/>
        <w:t>вершении длительных маршей по сравнению с Т-34, так как его двигатель не требовал частой регулировки. Начиная с 1944 г. его броня заслуживала только похвал, а бронепроби-ваемость 75-мм пушки позволяла бороться со всеми типами немецкой бронетанковой техники на дистанции 500 м и да</w:t>
      </w:r>
      <w:r w:rsidRPr="007224C3">
        <w:rPr>
          <w:rFonts w:ascii="Times New Roman" w:hAnsi="Times New Roman"/>
          <w:color w:val="000000" w:themeColor="text1"/>
          <w:sz w:val="16"/>
          <w:szCs w:val="16"/>
        </w:rPr>
        <w:softHyphen/>
        <w:t>лее. Плавный ход танка особенно нравился танкодесантни-кам, которым было легко держаться даже на самой большой скорости движения. Но главное — танк был весьма легкок в освоении малоподготовленными экипажами.</w:t>
      </w:r>
    </w:p>
    <w:p w14:paraId="2471146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Тактико-технические характеристики средних танков выпуска 1943 г.</w:t>
      </w:r>
    </w:p>
    <w:tbl>
      <w:tblPr>
        <w:tblW w:w="0" w:type="auto"/>
        <w:tblInd w:w="40" w:type="dxa"/>
        <w:tblLayout w:type="fixed"/>
        <w:tblCellMar>
          <w:left w:w="40" w:type="dxa"/>
          <w:right w:w="40" w:type="dxa"/>
        </w:tblCellMar>
        <w:tblLook w:val="0000" w:firstRow="0" w:lastRow="0" w:firstColumn="0" w:lastColumn="0" w:noHBand="0" w:noVBand="0"/>
      </w:tblPr>
      <w:tblGrid>
        <w:gridCol w:w="1296"/>
        <w:gridCol w:w="778"/>
        <w:gridCol w:w="1190"/>
        <w:gridCol w:w="970"/>
        <w:gridCol w:w="1190"/>
      </w:tblGrid>
      <w:tr w:rsidR="005106D0" w:rsidRPr="007224C3" w14:paraId="751F4F14" w14:textId="77777777">
        <w:trPr>
          <w:trHeight w:val="202"/>
        </w:trPr>
        <w:tc>
          <w:tcPr>
            <w:tcW w:w="1296" w:type="dxa"/>
            <w:tcBorders>
              <w:top w:val="single" w:sz="12" w:space="0" w:color="auto"/>
              <w:left w:val="single" w:sz="12" w:space="0" w:color="auto"/>
              <w:bottom w:val="single" w:sz="6" w:space="0" w:color="auto"/>
              <w:right w:val="single" w:sz="6" w:space="0" w:color="auto"/>
            </w:tcBorders>
          </w:tcPr>
          <w:p w14:paraId="21277D1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ТТХ/Марка танка</w:t>
            </w:r>
          </w:p>
        </w:tc>
        <w:tc>
          <w:tcPr>
            <w:tcW w:w="778" w:type="dxa"/>
            <w:tcBorders>
              <w:top w:val="single" w:sz="12" w:space="0" w:color="auto"/>
              <w:left w:val="single" w:sz="6" w:space="0" w:color="auto"/>
              <w:bottom w:val="single" w:sz="6" w:space="0" w:color="auto"/>
              <w:right w:val="single" w:sz="6" w:space="0" w:color="auto"/>
            </w:tcBorders>
          </w:tcPr>
          <w:p w14:paraId="02F7C45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Т-34</w:t>
            </w:r>
          </w:p>
        </w:tc>
        <w:tc>
          <w:tcPr>
            <w:tcW w:w="1190" w:type="dxa"/>
            <w:tcBorders>
              <w:top w:val="single" w:sz="12" w:space="0" w:color="auto"/>
              <w:left w:val="single" w:sz="6" w:space="0" w:color="auto"/>
              <w:bottom w:val="single" w:sz="6" w:space="0" w:color="auto"/>
              <w:right w:val="single" w:sz="6" w:space="0" w:color="auto"/>
            </w:tcBorders>
          </w:tcPr>
          <w:p w14:paraId="7634DCC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Т-43-П</w:t>
            </w:r>
          </w:p>
        </w:tc>
        <w:tc>
          <w:tcPr>
            <w:tcW w:w="970" w:type="dxa"/>
            <w:tcBorders>
              <w:top w:val="single" w:sz="12" w:space="0" w:color="auto"/>
              <w:left w:val="single" w:sz="6" w:space="0" w:color="auto"/>
              <w:bottom w:val="single" w:sz="6" w:space="0" w:color="auto"/>
              <w:right w:val="single" w:sz="6" w:space="0" w:color="auto"/>
            </w:tcBorders>
          </w:tcPr>
          <w:p w14:paraId="6507AD7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Т-34-Гаубичный</w:t>
            </w:r>
          </w:p>
        </w:tc>
        <w:tc>
          <w:tcPr>
            <w:tcW w:w="1190" w:type="dxa"/>
            <w:tcBorders>
              <w:top w:val="single" w:sz="12" w:space="0" w:color="auto"/>
              <w:left w:val="single" w:sz="6" w:space="0" w:color="auto"/>
              <w:bottom w:val="single" w:sz="6" w:space="0" w:color="auto"/>
              <w:right w:val="single" w:sz="12" w:space="0" w:color="auto"/>
            </w:tcBorders>
          </w:tcPr>
          <w:p w14:paraId="7295BA7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ИС-1</w:t>
            </w:r>
          </w:p>
        </w:tc>
      </w:tr>
      <w:tr w:rsidR="005106D0" w:rsidRPr="007224C3" w14:paraId="26AEBD12" w14:textId="77777777">
        <w:trPr>
          <w:trHeight w:val="182"/>
        </w:trPr>
        <w:tc>
          <w:tcPr>
            <w:tcW w:w="1296" w:type="dxa"/>
            <w:tcBorders>
              <w:top w:val="single" w:sz="6" w:space="0" w:color="auto"/>
              <w:left w:val="single" w:sz="12" w:space="0" w:color="auto"/>
              <w:bottom w:val="single" w:sz="6" w:space="0" w:color="auto"/>
              <w:right w:val="single" w:sz="6" w:space="0" w:color="auto"/>
            </w:tcBorders>
          </w:tcPr>
          <w:p w14:paraId="4D29A92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524C076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1943</w:t>
            </w:r>
          </w:p>
        </w:tc>
        <w:tc>
          <w:tcPr>
            <w:tcW w:w="1190" w:type="dxa"/>
            <w:tcBorders>
              <w:top w:val="single" w:sz="6" w:space="0" w:color="auto"/>
              <w:left w:val="single" w:sz="6" w:space="0" w:color="auto"/>
              <w:bottom w:val="single" w:sz="6" w:space="0" w:color="auto"/>
              <w:right w:val="single" w:sz="6" w:space="0" w:color="auto"/>
            </w:tcBorders>
          </w:tcPr>
          <w:p w14:paraId="49C3DA8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1943</w:t>
            </w:r>
          </w:p>
        </w:tc>
        <w:tc>
          <w:tcPr>
            <w:tcW w:w="970" w:type="dxa"/>
            <w:tcBorders>
              <w:top w:val="single" w:sz="6" w:space="0" w:color="auto"/>
              <w:left w:val="single" w:sz="6" w:space="0" w:color="auto"/>
              <w:bottom w:val="single" w:sz="6" w:space="0" w:color="auto"/>
              <w:right w:val="single" w:sz="6" w:space="0" w:color="auto"/>
            </w:tcBorders>
          </w:tcPr>
          <w:p w14:paraId="79A308B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проект</w:t>
            </w:r>
          </w:p>
        </w:tc>
        <w:tc>
          <w:tcPr>
            <w:tcW w:w="1190" w:type="dxa"/>
            <w:tcBorders>
              <w:top w:val="single" w:sz="6" w:space="0" w:color="auto"/>
              <w:left w:val="single" w:sz="6" w:space="0" w:color="auto"/>
              <w:bottom w:val="single" w:sz="6" w:space="0" w:color="auto"/>
              <w:right w:val="single" w:sz="12" w:space="0" w:color="auto"/>
            </w:tcBorders>
          </w:tcPr>
          <w:p w14:paraId="7E91491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«Объект 233»</w:t>
            </w:r>
          </w:p>
        </w:tc>
      </w:tr>
      <w:tr w:rsidR="005106D0" w:rsidRPr="007224C3" w14:paraId="7F503F43" w14:textId="77777777">
        <w:trPr>
          <w:trHeight w:val="154"/>
        </w:trPr>
        <w:tc>
          <w:tcPr>
            <w:tcW w:w="1296" w:type="dxa"/>
            <w:tcBorders>
              <w:top w:val="single" w:sz="6" w:space="0" w:color="auto"/>
              <w:left w:val="single" w:sz="12" w:space="0" w:color="auto"/>
              <w:bottom w:val="single" w:sz="6" w:space="0" w:color="auto"/>
              <w:right w:val="single" w:sz="6" w:space="0" w:color="auto"/>
            </w:tcBorders>
          </w:tcPr>
          <w:p w14:paraId="189825C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Боевой вес, кг</w:t>
            </w:r>
          </w:p>
        </w:tc>
        <w:tc>
          <w:tcPr>
            <w:tcW w:w="778" w:type="dxa"/>
            <w:tcBorders>
              <w:top w:val="single" w:sz="6" w:space="0" w:color="auto"/>
              <w:left w:val="single" w:sz="6" w:space="0" w:color="auto"/>
              <w:bottom w:val="single" w:sz="6" w:space="0" w:color="auto"/>
              <w:right w:val="single" w:sz="6" w:space="0" w:color="auto"/>
            </w:tcBorders>
          </w:tcPr>
          <w:p w14:paraId="1FEEB6D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31400</w:t>
            </w:r>
          </w:p>
        </w:tc>
        <w:tc>
          <w:tcPr>
            <w:tcW w:w="1190" w:type="dxa"/>
            <w:tcBorders>
              <w:top w:val="single" w:sz="6" w:space="0" w:color="auto"/>
              <w:left w:val="single" w:sz="6" w:space="0" w:color="auto"/>
              <w:bottom w:val="single" w:sz="6" w:space="0" w:color="auto"/>
              <w:right w:val="single" w:sz="6" w:space="0" w:color="auto"/>
            </w:tcBorders>
          </w:tcPr>
          <w:p w14:paraId="23E809C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34100</w:t>
            </w:r>
          </w:p>
        </w:tc>
        <w:tc>
          <w:tcPr>
            <w:tcW w:w="970" w:type="dxa"/>
            <w:tcBorders>
              <w:top w:val="single" w:sz="6" w:space="0" w:color="auto"/>
              <w:left w:val="single" w:sz="6" w:space="0" w:color="auto"/>
              <w:bottom w:val="single" w:sz="6" w:space="0" w:color="auto"/>
              <w:right w:val="single" w:sz="6" w:space="0" w:color="auto"/>
            </w:tcBorders>
          </w:tcPr>
          <w:p w14:paraId="17CBE45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33000</w:t>
            </w:r>
          </w:p>
        </w:tc>
        <w:tc>
          <w:tcPr>
            <w:tcW w:w="1190" w:type="dxa"/>
            <w:tcBorders>
              <w:top w:val="single" w:sz="6" w:space="0" w:color="auto"/>
              <w:left w:val="single" w:sz="6" w:space="0" w:color="auto"/>
              <w:bottom w:val="single" w:sz="6" w:space="0" w:color="auto"/>
              <w:right w:val="single" w:sz="12" w:space="0" w:color="auto"/>
            </w:tcBorders>
          </w:tcPr>
          <w:p w14:paraId="0402ED2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38200</w:t>
            </w:r>
          </w:p>
        </w:tc>
      </w:tr>
      <w:tr w:rsidR="005106D0" w:rsidRPr="007224C3" w14:paraId="2C2772C0" w14:textId="77777777">
        <w:trPr>
          <w:trHeight w:val="182"/>
        </w:trPr>
        <w:tc>
          <w:tcPr>
            <w:tcW w:w="1296" w:type="dxa"/>
            <w:tcBorders>
              <w:top w:val="single" w:sz="6" w:space="0" w:color="auto"/>
              <w:left w:val="single" w:sz="12" w:space="0" w:color="auto"/>
              <w:bottom w:val="single" w:sz="6" w:space="0" w:color="auto"/>
              <w:right w:val="single" w:sz="6" w:space="0" w:color="auto"/>
            </w:tcBorders>
          </w:tcPr>
          <w:p w14:paraId="4497EE9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Экипаж, чел.</w:t>
            </w:r>
          </w:p>
        </w:tc>
        <w:tc>
          <w:tcPr>
            <w:tcW w:w="778" w:type="dxa"/>
            <w:tcBorders>
              <w:top w:val="single" w:sz="6" w:space="0" w:color="auto"/>
              <w:left w:val="single" w:sz="6" w:space="0" w:color="auto"/>
              <w:bottom w:val="single" w:sz="6" w:space="0" w:color="auto"/>
              <w:right w:val="single" w:sz="6" w:space="0" w:color="auto"/>
            </w:tcBorders>
          </w:tcPr>
          <w:p w14:paraId="13A8FD6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w:t>
            </w:r>
          </w:p>
        </w:tc>
        <w:tc>
          <w:tcPr>
            <w:tcW w:w="1190" w:type="dxa"/>
            <w:tcBorders>
              <w:top w:val="single" w:sz="6" w:space="0" w:color="auto"/>
              <w:left w:val="single" w:sz="6" w:space="0" w:color="auto"/>
              <w:bottom w:val="single" w:sz="6" w:space="0" w:color="auto"/>
              <w:right w:val="single" w:sz="6" w:space="0" w:color="auto"/>
            </w:tcBorders>
          </w:tcPr>
          <w:p w14:paraId="550F585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w:t>
            </w:r>
          </w:p>
        </w:tc>
        <w:tc>
          <w:tcPr>
            <w:tcW w:w="970" w:type="dxa"/>
            <w:tcBorders>
              <w:top w:val="single" w:sz="6" w:space="0" w:color="auto"/>
              <w:left w:val="single" w:sz="6" w:space="0" w:color="auto"/>
              <w:bottom w:val="single" w:sz="6" w:space="0" w:color="auto"/>
              <w:right w:val="single" w:sz="6" w:space="0" w:color="auto"/>
            </w:tcBorders>
          </w:tcPr>
          <w:p w14:paraId="48BD440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w:t>
            </w:r>
          </w:p>
        </w:tc>
        <w:tc>
          <w:tcPr>
            <w:tcW w:w="1190" w:type="dxa"/>
            <w:tcBorders>
              <w:top w:val="single" w:sz="6" w:space="0" w:color="auto"/>
              <w:left w:val="single" w:sz="6" w:space="0" w:color="auto"/>
              <w:bottom w:val="single" w:sz="6" w:space="0" w:color="auto"/>
              <w:right w:val="single" w:sz="12" w:space="0" w:color="auto"/>
            </w:tcBorders>
          </w:tcPr>
          <w:p w14:paraId="1FE8418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w:t>
            </w:r>
          </w:p>
        </w:tc>
      </w:tr>
      <w:tr w:rsidR="005106D0" w:rsidRPr="007224C3" w14:paraId="7B24C3E2" w14:textId="77777777">
        <w:trPr>
          <w:trHeight w:val="173"/>
        </w:trPr>
        <w:tc>
          <w:tcPr>
            <w:tcW w:w="5424" w:type="dxa"/>
            <w:gridSpan w:val="5"/>
            <w:tcBorders>
              <w:top w:val="single" w:sz="6" w:space="0" w:color="auto"/>
              <w:left w:val="single" w:sz="12" w:space="0" w:color="auto"/>
              <w:bottom w:val="single" w:sz="6" w:space="0" w:color="auto"/>
              <w:right w:val="single" w:sz="6" w:space="0" w:color="auto"/>
            </w:tcBorders>
          </w:tcPr>
          <w:p w14:paraId="0069EFE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Размерения. Мм</w:t>
            </w:r>
          </w:p>
        </w:tc>
      </w:tr>
      <w:tr w:rsidR="005106D0" w:rsidRPr="007224C3" w14:paraId="7CB96603" w14:textId="77777777">
        <w:trPr>
          <w:trHeight w:val="240"/>
        </w:trPr>
        <w:tc>
          <w:tcPr>
            <w:tcW w:w="1296" w:type="dxa"/>
            <w:tcBorders>
              <w:top w:val="single" w:sz="6" w:space="0" w:color="auto"/>
              <w:left w:val="single" w:sz="12" w:space="0" w:color="auto"/>
              <w:bottom w:val="single" w:sz="6" w:space="0" w:color="auto"/>
              <w:right w:val="single" w:sz="6" w:space="0" w:color="auto"/>
            </w:tcBorders>
          </w:tcPr>
          <w:p w14:paraId="4C7BAEF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Длина общая</w:t>
            </w:r>
          </w:p>
        </w:tc>
        <w:tc>
          <w:tcPr>
            <w:tcW w:w="778" w:type="dxa"/>
            <w:tcBorders>
              <w:top w:val="single" w:sz="6" w:space="0" w:color="auto"/>
              <w:left w:val="single" w:sz="6" w:space="0" w:color="auto"/>
              <w:bottom w:val="single" w:sz="6" w:space="0" w:color="auto"/>
              <w:right w:val="single" w:sz="6" w:space="0" w:color="auto"/>
            </w:tcBorders>
          </w:tcPr>
          <w:p w14:paraId="3FF2FC6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6100</w:t>
            </w:r>
          </w:p>
        </w:tc>
        <w:tc>
          <w:tcPr>
            <w:tcW w:w="1190" w:type="dxa"/>
            <w:tcBorders>
              <w:top w:val="single" w:sz="6" w:space="0" w:color="auto"/>
              <w:left w:val="single" w:sz="6" w:space="0" w:color="auto"/>
              <w:bottom w:val="single" w:sz="6" w:space="0" w:color="auto"/>
              <w:right w:val="single" w:sz="6" w:space="0" w:color="auto"/>
            </w:tcBorders>
          </w:tcPr>
          <w:p w14:paraId="67C93B9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5955</w:t>
            </w:r>
          </w:p>
        </w:tc>
        <w:tc>
          <w:tcPr>
            <w:tcW w:w="970" w:type="dxa"/>
            <w:tcBorders>
              <w:top w:val="single" w:sz="6" w:space="0" w:color="auto"/>
              <w:left w:val="single" w:sz="6" w:space="0" w:color="auto"/>
              <w:bottom w:val="single" w:sz="6" w:space="0" w:color="auto"/>
              <w:right w:val="single" w:sz="6" w:space="0" w:color="auto"/>
            </w:tcBorders>
          </w:tcPr>
          <w:p w14:paraId="2DFF7FE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5920</w:t>
            </w:r>
          </w:p>
        </w:tc>
        <w:tc>
          <w:tcPr>
            <w:tcW w:w="1190" w:type="dxa"/>
            <w:tcBorders>
              <w:top w:val="single" w:sz="6" w:space="0" w:color="auto"/>
              <w:left w:val="single" w:sz="6" w:space="0" w:color="auto"/>
              <w:bottom w:val="single" w:sz="6" w:space="0" w:color="auto"/>
              <w:right w:val="single" w:sz="12" w:space="0" w:color="auto"/>
            </w:tcBorders>
          </w:tcPr>
          <w:p w14:paraId="3DDA59F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6650</w:t>
            </w:r>
          </w:p>
        </w:tc>
      </w:tr>
      <w:tr w:rsidR="005106D0" w:rsidRPr="007224C3" w14:paraId="38F5C31D" w14:textId="77777777">
        <w:trPr>
          <w:trHeight w:val="173"/>
        </w:trPr>
        <w:tc>
          <w:tcPr>
            <w:tcW w:w="1296" w:type="dxa"/>
            <w:tcBorders>
              <w:top w:val="single" w:sz="6" w:space="0" w:color="auto"/>
              <w:left w:val="single" w:sz="12" w:space="0" w:color="auto"/>
              <w:bottom w:val="single" w:sz="6" w:space="0" w:color="auto"/>
              <w:right w:val="single" w:sz="6" w:space="0" w:color="auto"/>
            </w:tcBorders>
          </w:tcPr>
          <w:p w14:paraId="6F8B7DC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Ширина</w:t>
            </w:r>
          </w:p>
        </w:tc>
        <w:tc>
          <w:tcPr>
            <w:tcW w:w="778" w:type="dxa"/>
            <w:tcBorders>
              <w:top w:val="single" w:sz="6" w:space="0" w:color="auto"/>
              <w:left w:val="single" w:sz="6" w:space="0" w:color="auto"/>
              <w:bottom w:val="single" w:sz="6" w:space="0" w:color="auto"/>
              <w:right w:val="single" w:sz="6" w:space="0" w:color="auto"/>
            </w:tcBorders>
          </w:tcPr>
          <w:p w14:paraId="5564D1F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3000</w:t>
            </w:r>
          </w:p>
        </w:tc>
        <w:tc>
          <w:tcPr>
            <w:tcW w:w="1190" w:type="dxa"/>
            <w:tcBorders>
              <w:top w:val="single" w:sz="6" w:space="0" w:color="auto"/>
              <w:left w:val="single" w:sz="6" w:space="0" w:color="auto"/>
              <w:bottom w:val="single" w:sz="6" w:space="0" w:color="auto"/>
              <w:right w:val="single" w:sz="6" w:space="0" w:color="auto"/>
            </w:tcBorders>
          </w:tcPr>
          <w:p w14:paraId="17D8FEF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2790</w:t>
            </w:r>
          </w:p>
        </w:tc>
        <w:tc>
          <w:tcPr>
            <w:tcW w:w="970" w:type="dxa"/>
            <w:tcBorders>
              <w:top w:val="single" w:sz="6" w:space="0" w:color="auto"/>
              <w:left w:val="single" w:sz="6" w:space="0" w:color="auto"/>
              <w:bottom w:val="single" w:sz="6" w:space="0" w:color="auto"/>
              <w:right w:val="single" w:sz="6" w:space="0" w:color="auto"/>
            </w:tcBorders>
          </w:tcPr>
          <w:p w14:paraId="7ABA806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3000</w:t>
            </w:r>
          </w:p>
        </w:tc>
        <w:tc>
          <w:tcPr>
            <w:tcW w:w="1190" w:type="dxa"/>
            <w:tcBorders>
              <w:top w:val="single" w:sz="6" w:space="0" w:color="auto"/>
              <w:left w:val="single" w:sz="6" w:space="0" w:color="auto"/>
              <w:bottom w:val="single" w:sz="6" w:space="0" w:color="auto"/>
              <w:right w:val="single" w:sz="12" w:space="0" w:color="auto"/>
            </w:tcBorders>
          </w:tcPr>
          <w:p w14:paraId="5FDCE97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2800</w:t>
            </w:r>
          </w:p>
        </w:tc>
      </w:tr>
      <w:tr w:rsidR="005106D0" w:rsidRPr="007224C3" w14:paraId="1B9142E9" w14:textId="77777777">
        <w:trPr>
          <w:trHeight w:val="163"/>
        </w:trPr>
        <w:tc>
          <w:tcPr>
            <w:tcW w:w="1296" w:type="dxa"/>
            <w:tcBorders>
              <w:top w:val="single" w:sz="6" w:space="0" w:color="auto"/>
              <w:left w:val="single" w:sz="12" w:space="0" w:color="auto"/>
              <w:bottom w:val="single" w:sz="6" w:space="0" w:color="auto"/>
              <w:right w:val="single" w:sz="6" w:space="0" w:color="auto"/>
            </w:tcBorders>
          </w:tcPr>
          <w:p w14:paraId="474B088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Высота</w:t>
            </w:r>
          </w:p>
        </w:tc>
        <w:tc>
          <w:tcPr>
            <w:tcW w:w="778" w:type="dxa"/>
            <w:tcBorders>
              <w:top w:val="single" w:sz="6" w:space="0" w:color="auto"/>
              <w:left w:val="single" w:sz="6" w:space="0" w:color="auto"/>
              <w:bottom w:val="single" w:sz="6" w:space="0" w:color="auto"/>
              <w:right w:val="single" w:sz="6" w:space="0" w:color="auto"/>
            </w:tcBorders>
          </w:tcPr>
          <w:p w14:paraId="2493DAF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2700</w:t>
            </w:r>
          </w:p>
        </w:tc>
        <w:tc>
          <w:tcPr>
            <w:tcW w:w="1190" w:type="dxa"/>
            <w:tcBorders>
              <w:top w:val="single" w:sz="6" w:space="0" w:color="auto"/>
              <w:left w:val="single" w:sz="6" w:space="0" w:color="auto"/>
              <w:bottom w:val="single" w:sz="6" w:space="0" w:color="auto"/>
              <w:right w:val="single" w:sz="6" w:space="0" w:color="auto"/>
            </w:tcBorders>
          </w:tcPr>
          <w:p w14:paraId="57443C7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2710</w:t>
            </w:r>
          </w:p>
        </w:tc>
        <w:tc>
          <w:tcPr>
            <w:tcW w:w="970" w:type="dxa"/>
            <w:tcBorders>
              <w:top w:val="single" w:sz="6" w:space="0" w:color="auto"/>
              <w:left w:val="single" w:sz="6" w:space="0" w:color="auto"/>
              <w:bottom w:val="single" w:sz="6" w:space="0" w:color="auto"/>
              <w:right w:val="single" w:sz="6" w:space="0" w:color="auto"/>
            </w:tcBorders>
          </w:tcPr>
          <w:p w14:paraId="6FCFF83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2700</w:t>
            </w:r>
          </w:p>
        </w:tc>
        <w:tc>
          <w:tcPr>
            <w:tcW w:w="1190" w:type="dxa"/>
            <w:tcBorders>
              <w:top w:val="single" w:sz="6" w:space="0" w:color="auto"/>
              <w:left w:val="single" w:sz="6" w:space="0" w:color="auto"/>
              <w:bottom w:val="single" w:sz="6" w:space="0" w:color="auto"/>
              <w:right w:val="single" w:sz="12" w:space="0" w:color="auto"/>
            </w:tcBorders>
          </w:tcPr>
          <w:p w14:paraId="1873550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2500</w:t>
            </w:r>
          </w:p>
        </w:tc>
      </w:tr>
      <w:tr w:rsidR="005106D0" w:rsidRPr="007224C3" w14:paraId="75AA0FBC" w14:textId="77777777">
        <w:trPr>
          <w:trHeight w:val="173"/>
        </w:trPr>
        <w:tc>
          <w:tcPr>
            <w:tcW w:w="1296" w:type="dxa"/>
            <w:tcBorders>
              <w:top w:val="single" w:sz="6" w:space="0" w:color="auto"/>
              <w:left w:val="single" w:sz="12" w:space="0" w:color="auto"/>
              <w:bottom w:val="single" w:sz="6" w:space="0" w:color="auto"/>
              <w:right w:val="single" w:sz="6" w:space="0" w:color="auto"/>
            </w:tcBorders>
          </w:tcPr>
          <w:p w14:paraId="2EC0B0E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Клиренс</w:t>
            </w:r>
          </w:p>
        </w:tc>
        <w:tc>
          <w:tcPr>
            <w:tcW w:w="778" w:type="dxa"/>
            <w:tcBorders>
              <w:top w:val="single" w:sz="6" w:space="0" w:color="auto"/>
              <w:left w:val="single" w:sz="6" w:space="0" w:color="auto"/>
              <w:bottom w:val="single" w:sz="6" w:space="0" w:color="auto"/>
              <w:right w:val="single" w:sz="6" w:space="0" w:color="auto"/>
            </w:tcBorders>
          </w:tcPr>
          <w:p w14:paraId="3150242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400</w:t>
            </w:r>
          </w:p>
        </w:tc>
        <w:tc>
          <w:tcPr>
            <w:tcW w:w="1190" w:type="dxa"/>
            <w:tcBorders>
              <w:top w:val="single" w:sz="6" w:space="0" w:color="auto"/>
              <w:left w:val="single" w:sz="6" w:space="0" w:color="auto"/>
              <w:bottom w:val="single" w:sz="6" w:space="0" w:color="auto"/>
              <w:right w:val="single" w:sz="6" w:space="0" w:color="auto"/>
            </w:tcBorders>
          </w:tcPr>
          <w:p w14:paraId="6A86CA0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450</w:t>
            </w:r>
          </w:p>
        </w:tc>
        <w:tc>
          <w:tcPr>
            <w:tcW w:w="970" w:type="dxa"/>
            <w:tcBorders>
              <w:top w:val="single" w:sz="6" w:space="0" w:color="auto"/>
              <w:left w:val="single" w:sz="6" w:space="0" w:color="auto"/>
              <w:bottom w:val="single" w:sz="6" w:space="0" w:color="auto"/>
              <w:right w:val="single" w:sz="6" w:space="0" w:color="auto"/>
            </w:tcBorders>
          </w:tcPr>
          <w:p w14:paraId="50011F5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400</w:t>
            </w:r>
          </w:p>
        </w:tc>
        <w:tc>
          <w:tcPr>
            <w:tcW w:w="1190" w:type="dxa"/>
            <w:tcBorders>
              <w:top w:val="single" w:sz="6" w:space="0" w:color="auto"/>
              <w:left w:val="single" w:sz="6" w:space="0" w:color="auto"/>
              <w:bottom w:val="single" w:sz="6" w:space="0" w:color="auto"/>
              <w:right w:val="single" w:sz="12" w:space="0" w:color="auto"/>
            </w:tcBorders>
          </w:tcPr>
          <w:p w14:paraId="561B702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450</w:t>
            </w:r>
          </w:p>
        </w:tc>
      </w:tr>
      <w:tr w:rsidR="005106D0" w:rsidRPr="007224C3" w14:paraId="3524F0B8" w14:textId="77777777">
        <w:trPr>
          <w:trHeight w:val="211"/>
        </w:trPr>
        <w:tc>
          <w:tcPr>
            <w:tcW w:w="1296" w:type="dxa"/>
            <w:tcBorders>
              <w:top w:val="single" w:sz="6" w:space="0" w:color="auto"/>
              <w:left w:val="single" w:sz="12" w:space="0" w:color="auto"/>
              <w:bottom w:val="single" w:sz="6" w:space="0" w:color="auto"/>
              <w:right w:val="single" w:sz="6" w:space="0" w:color="auto"/>
            </w:tcBorders>
          </w:tcPr>
          <w:p w14:paraId="182A866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Ширина трака</w:t>
            </w:r>
          </w:p>
        </w:tc>
        <w:tc>
          <w:tcPr>
            <w:tcW w:w="778" w:type="dxa"/>
            <w:tcBorders>
              <w:top w:val="single" w:sz="6" w:space="0" w:color="auto"/>
              <w:left w:val="single" w:sz="6" w:space="0" w:color="auto"/>
              <w:bottom w:val="single" w:sz="6" w:space="0" w:color="auto"/>
              <w:right w:val="single" w:sz="6" w:space="0" w:color="auto"/>
            </w:tcBorders>
          </w:tcPr>
          <w:p w14:paraId="3272CE7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500</w:t>
            </w:r>
          </w:p>
        </w:tc>
        <w:tc>
          <w:tcPr>
            <w:tcW w:w="1190" w:type="dxa"/>
            <w:tcBorders>
              <w:top w:val="single" w:sz="6" w:space="0" w:color="auto"/>
              <w:left w:val="single" w:sz="6" w:space="0" w:color="auto"/>
              <w:bottom w:val="single" w:sz="6" w:space="0" w:color="auto"/>
              <w:right w:val="single" w:sz="6" w:space="0" w:color="auto"/>
            </w:tcBorders>
          </w:tcPr>
          <w:p w14:paraId="7968B70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500</w:t>
            </w:r>
          </w:p>
        </w:tc>
        <w:tc>
          <w:tcPr>
            <w:tcW w:w="970" w:type="dxa"/>
            <w:tcBorders>
              <w:top w:val="single" w:sz="6" w:space="0" w:color="auto"/>
              <w:left w:val="single" w:sz="6" w:space="0" w:color="auto"/>
              <w:bottom w:val="single" w:sz="6" w:space="0" w:color="auto"/>
              <w:right w:val="single" w:sz="6" w:space="0" w:color="auto"/>
            </w:tcBorders>
          </w:tcPr>
          <w:p w14:paraId="4141652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500</w:t>
            </w:r>
          </w:p>
        </w:tc>
        <w:tc>
          <w:tcPr>
            <w:tcW w:w="1190" w:type="dxa"/>
            <w:tcBorders>
              <w:top w:val="single" w:sz="6" w:space="0" w:color="auto"/>
              <w:left w:val="single" w:sz="6" w:space="0" w:color="auto"/>
              <w:bottom w:val="single" w:sz="6" w:space="0" w:color="auto"/>
              <w:right w:val="single" w:sz="12" w:space="0" w:color="auto"/>
            </w:tcBorders>
          </w:tcPr>
          <w:p w14:paraId="04D331A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610</w:t>
            </w:r>
          </w:p>
        </w:tc>
      </w:tr>
      <w:tr w:rsidR="005106D0" w:rsidRPr="007224C3" w14:paraId="0670C9DF" w14:textId="77777777">
        <w:trPr>
          <w:trHeight w:val="163"/>
        </w:trPr>
        <w:tc>
          <w:tcPr>
            <w:tcW w:w="5424" w:type="dxa"/>
            <w:gridSpan w:val="5"/>
            <w:tcBorders>
              <w:top w:val="single" w:sz="6" w:space="0" w:color="auto"/>
              <w:left w:val="single" w:sz="12" w:space="0" w:color="auto"/>
              <w:bottom w:val="single" w:sz="6" w:space="0" w:color="auto"/>
              <w:right w:val="single" w:sz="6" w:space="0" w:color="auto"/>
            </w:tcBorders>
          </w:tcPr>
          <w:p w14:paraId="653391E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Вооружение</w:t>
            </w:r>
          </w:p>
        </w:tc>
      </w:tr>
      <w:tr w:rsidR="005106D0" w:rsidRPr="007224C3" w14:paraId="3A34C3D6" w14:textId="77777777">
        <w:trPr>
          <w:trHeight w:val="250"/>
        </w:trPr>
        <w:tc>
          <w:tcPr>
            <w:tcW w:w="1296" w:type="dxa"/>
            <w:tcBorders>
              <w:top w:val="single" w:sz="6" w:space="0" w:color="auto"/>
              <w:left w:val="single" w:sz="12" w:space="0" w:color="auto"/>
              <w:bottom w:val="single" w:sz="6" w:space="0" w:color="auto"/>
              <w:right w:val="single" w:sz="6" w:space="0" w:color="auto"/>
            </w:tcBorders>
          </w:tcPr>
          <w:p w14:paraId="2FFD350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Пушек, шт. х кал.</w:t>
            </w:r>
          </w:p>
        </w:tc>
        <w:tc>
          <w:tcPr>
            <w:tcW w:w="778" w:type="dxa"/>
            <w:tcBorders>
              <w:top w:val="single" w:sz="6" w:space="0" w:color="auto"/>
              <w:left w:val="single" w:sz="6" w:space="0" w:color="auto"/>
              <w:bottom w:val="single" w:sz="6" w:space="0" w:color="auto"/>
              <w:right w:val="single" w:sz="6" w:space="0" w:color="auto"/>
            </w:tcBorders>
          </w:tcPr>
          <w:p w14:paraId="1FE7E5D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1х7б,2-мм</w:t>
            </w:r>
          </w:p>
        </w:tc>
        <w:tc>
          <w:tcPr>
            <w:tcW w:w="1190" w:type="dxa"/>
            <w:tcBorders>
              <w:top w:val="single" w:sz="6" w:space="0" w:color="auto"/>
              <w:left w:val="single" w:sz="6" w:space="0" w:color="auto"/>
              <w:bottom w:val="single" w:sz="6" w:space="0" w:color="auto"/>
              <w:right w:val="single" w:sz="6" w:space="0" w:color="auto"/>
            </w:tcBorders>
          </w:tcPr>
          <w:p w14:paraId="1E687D7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1х70,2-мм</w:t>
            </w:r>
          </w:p>
        </w:tc>
        <w:tc>
          <w:tcPr>
            <w:tcW w:w="970" w:type="dxa"/>
            <w:tcBorders>
              <w:top w:val="single" w:sz="6" w:space="0" w:color="auto"/>
              <w:left w:val="single" w:sz="6" w:space="0" w:color="auto"/>
              <w:bottom w:val="single" w:sz="6" w:space="0" w:color="auto"/>
              <w:right w:val="single" w:sz="6" w:space="0" w:color="auto"/>
            </w:tcBorders>
          </w:tcPr>
          <w:p w14:paraId="29A0E47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1х122-мм</w:t>
            </w:r>
          </w:p>
        </w:tc>
        <w:tc>
          <w:tcPr>
            <w:tcW w:w="1190" w:type="dxa"/>
            <w:tcBorders>
              <w:top w:val="single" w:sz="6" w:space="0" w:color="auto"/>
              <w:left w:val="single" w:sz="6" w:space="0" w:color="auto"/>
              <w:bottom w:val="single" w:sz="6" w:space="0" w:color="auto"/>
              <w:right w:val="single" w:sz="12" w:space="0" w:color="auto"/>
            </w:tcBorders>
          </w:tcPr>
          <w:p w14:paraId="1C6A6F1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1х76,2-мм</w:t>
            </w:r>
          </w:p>
        </w:tc>
      </w:tr>
      <w:tr w:rsidR="005106D0" w:rsidRPr="007224C3" w14:paraId="43EC3FA8" w14:textId="77777777">
        <w:trPr>
          <w:trHeight w:val="173"/>
        </w:trPr>
        <w:tc>
          <w:tcPr>
            <w:tcW w:w="1296" w:type="dxa"/>
            <w:tcBorders>
              <w:top w:val="single" w:sz="6" w:space="0" w:color="auto"/>
              <w:left w:val="single" w:sz="12" w:space="0" w:color="auto"/>
              <w:bottom w:val="single" w:sz="6" w:space="0" w:color="auto"/>
              <w:right w:val="single" w:sz="6" w:space="0" w:color="auto"/>
            </w:tcBorders>
          </w:tcPr>
          <w:p w14:paraId="1549B39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Тип орудия</w:t>
            </w:r>
          </w:p>
        </w:tc>
        <w:tc>
          <w:tcPr>
            <w:tcW w:w="778" w:type="dxa"/>
            <w:tcBorders>
              <w:top w:val="single" w:sz="6" w:space="0" w:color="auto"/>
              <w:left w:val="single" w:sz="6" w:space="0" w:color="auto"/>
              <w:bottom w:val="single" w:sz="6" w:space="0" w:color="auto"/>
              <w:right w:val="single" w:sz="6" w:space="0" w:color="auto"/>
            </w:tcBorders>
          </w:tcPr>
          <w:p w14:paraId="477BB9A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Ф-34</w:t>
            </w:r>
          </w:p>
        </w:tc>
        <w:tc>
          <w:tcPr>
            <w:tcW w:w="1190" w:type="dxa"/>
            <w:tcBorders>
              <w:top w:val="single" w:sz="6" w:space="0" w:color="auto"/>
              <w:left w:val="single" w:sz="6" w:space="0" w:color="auto"/>
              <w:bottom w:val="single" w:sz="6" w:space="0" w:color="auto"/>
              <w:right w:val="single" w:sz="6" w:space="0" w:color="auto"/>
            </w:tcBorders>
          </w:tcPr>
          <w:p w14:paraId="708E9AB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Ф-34-43</w:t>
            </w:r>
          </w:p>
        </w:tc>
        <w:tc>
          <w:tcPr>
            <w:tcW w:w="970" w:type="dxa"/>
            <w:tcBorders>
              <w:top w:val="single" w:sz="6" w:space="0" w:color="auto"/>
              <w:left w:val="single" w:sz="6" w:space="0" w:color="auto"/>
              <w:bottom w:val="single" w:sz="6" w:space="0" w:color="auto"/>
              <w:right w:val="single" w:sz="6" w:space="0" w:color="auto"/>
            </w:tcBorders>
          </w:tcPr>
          <w:p w14:paraId="29D2C7F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Д-6</w:t>
            </w:r>
          </w:p>
        </w:tc>
        <w:tc>
          <w:tcPr>
            <w:tcW w:w="1190" w:type="dxa"/>
            <w:tcBorders>
              <w:top w:val="single" w:sz="6" w:space="0" w:color="auto"/>
              <w:left w:val="single" w:sz="6" w:space="0" w:color="auto"/>
              <w:bottom w:val="single" w:sz="6" w:space="0" w:color="auto"/>
              <w:right w:val="single" w:sz="12" w:space="0" w:color="auto"/>
            </w:tcBorders>
          </w:tcPr>
          <w:p w14:paraId="164DDB8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Ф-34</w:t>
            </w:r>
          </w:p>
        </w:tc>
      </w:tr>
      <w:tr w:rsidR="005106D0" w:rsidRPr="007224C3" w14:paraId="0CEC2A70" w14:textId="77777777">
        <w:trPr>
          <w:trHeight w:val="163"/>
        </w:trPr>
        <w:tc>
          <w:tcPr>
            <w:tcW w:w="1296" w:type="dxa"/>
            <w:tcBorders>
              <w:top w:val="single" w:sz="6" w:space="0" w:color="auto"/>
              <w:left w:val="single" w:sz="12" w:space="0" w:color="auto"/>
              <w:bottom w:val="single" w:sz="6" w:space="0" w:color="auto"/>
              <w:right w:val="single" w:sz="6" w:space="0" w:color="auto"/>
            </w:tcBorders>
          </w:tcPr>
          <w:p w14:paraId="5952F9E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Снарядов, шт.</w:t>
            </w:r>
          </w:p>
        </w:tc>
        <w:tc>
          <w:tcPr>
            <w:tcW w:w="778" w:type="dxa"/>
            <w:tcBorders>
              <w:top w:val="single" w:sz="6" w:space="0" w:color="auto"/>
              <w:left w:val="single" w:sz="6" w:space="0" w:color="auto"/>
              <w:bottom w:val="single" w:sz="6" w:space="0" w:color="auto"/>
              <w:right w:val="single" w:sz="6" w:space="0" w:color="auto"/>
            </w:tcBorders>
          </w:tcPr>
          <w:p w14:paraId="5F4A060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97</w:t>
            </w:r>
          </w:p>
        </w:tc>
        <w:tc>
          <w:tcPr>
            <w:tcW w:w="1190" w:type="dxa"/>
            <w:tcBorders>
              <w:top w:val="single" w:sz="6" w:space="0" w:color="auto"/>
              <w:left w:val="single" w:sz="6" w:space="0" w:color="auto"/>
              <w:bottom w:val="single" w:sz="6" w:space="0" w:color="auto"/>
              <w:right w:val="single" w:sz="6" w:space="0" w:color="auto"/>
            </w:tcBorders>
          </w:tcPr>
          <w:p w14:paraId="35D5549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96</w:t>
            </w:r>
          </w:p>
        </w:tc>
        <w:tc>
          <w:tcPr>
            <w:tcW w:w="970" w:type="dxa"/>
            <w:tcBorders>
              <w:top w:val="single" w:sz="6" w:space="0" w:color="auto"/>
              <w:left w:val="single" w:sz="6" w:space="0" w:color="auto"/>
              <w:bottom w:val="single" w:sz="6" w:space="0" w:color="auto"/>
              <w:right w:val="single" w:sz="6" w:space="0" w:color="auto"/>
            </w:tcBorders>
          </w:tcPr>
          <w:p w14:paraId="541A105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36</w:t>
            </w:r>
          </w:p>
        </w:tc>
        <w:tc>
          <w:tcPr>
            <w:tcW w:w="1190" w:type="dxa"/>
            <w:tcBorders>
              <w:top w:val="single" w:sz="6" w:space="0" w:color="auto"/>
              <w:left w:val="single" w:sz="6" w:space="0" w:color="auto"/>
              <w:bottom w:val="single" w:sz="6" w:space="0" w:color="auto"/>
              <w:right w:val="single" w:sz="12" w:space="0" w:color="auto"/>
            </w:tcBorders>
          </w:tcPr>
          <w:p w14:paraId="06F1FFB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70</w:t>
            </w:r>
          </w:p>
        </w:tc>
      </w:tr>
      <w:tr w:rsidR="005106D0" w:rsidRPr="007224C3" w14:paraId="7979B779" w14:textId="77777777">
        <w:trPr>
          <w:trHeight w:val="173"/>
        </w:trPr>
        <w:tc>
          <w:tcPr>
            <w:tcW w:w="1296" w:type="dxa"/>
            <w:tcBorders>
              <w:top w:val="single" w:sz="6" w:space="0" w:color="auto"/>
              <w:left w:val="single" w:sz="12" w:space="0" w:color="auto"/>
              <w:bottom w:val="single" w:sz="6" w:space="0" w:color="auto"/>
              <w:right w:val="single" w:sz="6" w:space="0" w:color="auto"/>
            </w:tcBorders>
          </w:tcPr>
          <w:p w14:paraId="5B24B01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Пулеметов, шт. х кал.</w:t>
            </w:r>
          </w:p>
        </w:tc>
        <w:tc>
          <w:tcPr>
            <w:tcW w:w="778" w:type="dxa"/>
            <w:tcBorders>
              <w:top w:val="single" w:sz="6" w:space="0" w:color="auto"/>
              <w:left w:val="single" w:sz="6" w:space="0" w:color="auto"/>
              <w:bottom w:val="single" w:sz="6" w:space="0" w:color="auto"/>
              <w:right w:val="single" w:sz="6" w:space="0" w:color="auto"/>
            </w:tcBorders>
          </w:tcPr>
          <w:p w14:paraId="2983BB3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2х7,62-мм</w:t>
            </w:r>
          </w:p>
        </w:tc>
        <w:tc>
          <w:tcPr>
            <w:tcW w:w="1190" w:type="dxa"/>
            <w:tcBorders>
              <w:top w:val="single" w:sz="6" w:space="0" w:color="auto"/>
              <w:left w:val="single" w:sz="6" w:space="0" w:color="auto"/>
              <w:bottom w:val="single" w:sz="6" w:space="0" w:color="auto"/>
              <w:right w:val="single" w:sz="6" w:space="0" w:color="auto"/>
            </w:tcBorders>
          </w:tcPr>
          <w:p w14:paraId="3DB31A6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2х7,62-мм</w:t>
            </w:r>
          </w:p>
        </w:tc>
        <w:tc>
          <w:tcPr>
            <w:tcW w:w="970" w:type="dxa"/>
            <w:tcBorders>
              <w:top w:val="single" w:sz="6" w:space="0" w:color="auto"/>
              <w:left w:val="single" w:sz="6" w:space="0" w:color="auto"/>
              <w:bottom w:val="single" w:sz="6" w:space="0" w:color="auto"/>
              <w:right w:val="single" w:sz="6" w:space="0" w:color="auto"/>
            </w:tcBorders>
          </w:tcPr>
          <w:p w14:paraId="1B08DC4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2х7,62-мм</w:t>
            </w:r>
          </w:p>
        </w:tc>
        <w:tc>
          <w:tcPr>
            <w:tcW w:w="1190" w:type="dxa"/>
            <w:tcBorders>
              <w:top w:val="single" w:sz="6" w:space="0" w:color="auto"/>
              <w:left w:val="single" w:sz="6" w:space="0" w:color="auto"/>
              <w:bottom w:val="single" w:sz="6" w:space="0" w:color="auto"/>
              <w:right w:val="single" w:sz="12" w:space="0" w:color="auto"/>
            </w:tcBorders>
          </w:tcPr>
          <w:p w14:paraId="3DF84B9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Зх7,62-мм</w:t>
            </w:r>
          </w:p>
        </w:tc>
      </w:tr>
      <w:tr w:rsidR="005106D0" w:rsidRPr="007224C3" w14:paraId="6322ED24" w14:textId="77777777">
        <w:trPr>
          <w:trHeight w:val="173"/>
        </w:trPr>
        <w:tc>
          <w:tcPr>
            <w:tcW w:w="1296" w:type="dxa"/>
            <w:tcBorders>
              <w:top w:val="single" w:sz="6" w:space="0" w:color="auto"/>
              <w:left w:val="single" w:sz="12" w:space="0" w:color="auto"/>
              <w:bottom w:val="single" w:sz="6" w:space="0" w:color="auto"/>
              <w:right w:val="single" w:sz="6" w:space="0" w:color="auto"/>
            </w:tcBorders>
          </w:tcPr>
          <w:p w14:paraId="4D809D4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Тип пулемета</w:t>
            </w:r>
          </w:p>
        </w:tc>
        <w:tc>
          <w:tcPr>
            <w:tcW w:w="778" w:type="dxa"/>
            <w:tcBorders>
              <w:top w:val="single" w:sz="6" w:space="0" w:color="auto"/>
              <w:left w:val="single" w:sz="6" w:space="0" w:color="auto"/>
              <w:bottom w:val="single" w:sz="6" w:space="0" w:color="auto"/>
              <w:right w:val="single" w:sz="6" w:space="0" w:color="auto"/>
            </w:tcBorders>
          </w:tcPr>
          <w:p w14:paraId="5A1FBF6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ДТ</w:t>
            </w:r>
          </w:p>
        </w:tc>
        <w:tc>
          <w:tcPr>
            <w:tcW w:w="1190" w:type="dxa"/>
            <w:tcBorders>
              <w:top w:val="single" w:sz="6" w:space="0" w:color="auto"/>
              <w:left w:val="single" w:sz="6" w:space="0" w:color="auto"/>
              <w:bottom w:val="single" w:sz="6" w:space="0" w:color="auto"/>
              <w:right w:val="single" w:sz="6" w:space="0" w:color="auto"/>
            </w:tcBorders>
          </w:tcPr>
          <w:p w14:paraId="0EFDEAB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ДТ</w:t>
            </w:r>
          </w:p>
        </w:tc>
        <w:tc>
          <w:tcPr>
            <w:tcW w:w="970" w:type="dxa"/>
            <w:tcBorders>
              <w:top w:val="single" w:sz="6" w:space="0" w:color="auto"/>
              <w:left w:val="single" w:sz="6" w:space="0" w:color="auto"/>
              <w:bottom w:val="single" w:sz="6" w:space="0" w:color="auto"/>
              <w:right w:val="single" w:sz="6" w:space="0" w:color="auto"/>
            </w:tcBorders>
          </w:tcPr>
          <w:p w14:paraId="3E225FB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ДТ</w:t>
            </w:r>
          </w:p>
        </w:tc>
        <w:tc>
          <w:tcPr>
            <w:tcW w:w="1190" w:type="dxa"/>
            <w:tcBorders>
              <w:top w:val="single" w:sz="6" w:space="0" w:color="auto"/>
              <w:left w:val="single" w:sz="6" w:space="0" w:color="auto"/>
              <w:bottom w:val="single" w:sz="6" w:space="0" w:color="auto"/>
              <w:right w:val="single" w:sz="12" w:space="0" w:color="auto"/>
            </w:tcBorders>
          </w:tcPr>
          <w:p w14:paraId="47BE1B1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ДТ</w:t>
            </w:r>
          </w:p>
        </w:tc>
      </w:tr>
      <w:tr w:rsidR="005106D0" w:rsidRPr="007224C3" w14:paraId="325980EB" w14:textId="77777777">
        <w:trPr>
          <w:trHeight w:val="202"/>
        </w:trPr>
        <w:tc>
          <w:tcPr>
            <w:tcW w:w="1296" w:type="dxa"/>
            <w:tcBorders>
              <w:top w:val="single" w:sz="6" w:space="0" w:color="auto"/>
              <w:left w:val="single" w:sz="12" w:space="0" w:color="auto"/>
              <w:bottom w:val="single" w:sz="6" w:space="0" w:color="auto"/>
              <w:right w:val="single" w:sz="6" w:space="0" w:color="auto"/>
            </w:tcBorders>
          </w:tcPr>
          <w:p w14:paraId="4DF0747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Патронов, шт.</w:t>
            </w:r>
          </w:p>
        </w:tc>
        <w:tc>
          <w:tcPr>
            <w:tcW w:w="778" w:type="dxa"/>
            <w:tcBorders>
              <w:top w:val="single" w:sz="6" w:space="0" w:color="auto"/>
              <w:left w:val="single" w:sz="6" w:space="0" w:color="auto"/>
              <w:bottom w:val="single" w:sz="6" w:space="0" w:color="auto"/>
              <w:right w:val="single" w:sz="6" w:space="0" w:color="auto"/>
            </w:tcBorders>
          </w:tcPr>
          <w:p w14:paraId="1CB0D2C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3600</w:t>
            </w:r>
          </w:p>
        </w:tc>
        <w:tc>
          <w:tcPr>
            <w:tcW w:w="1190" w:type="dxa"/>
            <w:tcBorders>
              <w:top w:val="single" w:sz="6" w:space="0" w:color="auto"/>
              <w:left w:val="single" w:sz="6" w:space="0" w:color="auto"/>
              <w:bottom w:val="single" w:sz="6" w:space="0" w:color="auto"/>
              <w:right w:val="single" w:sz="6" w:space="0" w:color="auto"/>
            </w:tcBorders>
          </w:tcPr>
          <w:p w14:paraId="4692ABB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2772</w:t>
            </w:r>
          </w:p>
        </w:tc>
        <w:tc>
          <w:tcPr>
            <w:tcW w:w="970" w:type="dxa"/>
            <w:tcBorders>
              <w:top w:val="single" w:sz="6" w:space="0" w:color="auto"/>
              <w:left w:val="single" w:sz="6" w:space="0" w:color="auto"/>
              <w:bottom w:val="single" w:sz="6" w:space="0" w:color="auto"/>
              <w:right w:val="single" w:sz="6" w:space="0" w:color="auto"/>
            </w:tcBorders>
          </w:tcPr>
          <w:p w14:paraId="03D2E87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190" w:type="dxa"/>
            <w:tcBorders>
              <w:top w:val="single" w:sz="6" w:space="0" w:color="auto"/>
              <w:left w:val="single" w:sz="6" w:space="0" w:color="auto"/>
              <w:bottom w:val="single" w:sz="6" w:space="0" w:color="auto"/>
              <w:right w:val="single" w:sz="12" w:space="0" w:color="auto"/>
            </w:tcBorders>
          </w:tcPr>
          <w:p w14:paraId="4D2C2A2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2016</w:t>
            </w:r>
          </w:p>
        </w:tc>
      </w:tr>
      <w:tr w:rsidR="005106D0" w:rsidRPr="007224C3" w14:paraId="389D4463" w14:textId="77777777">
        <w:trPr>
          <w:trHeight w:val="211"/>
        </w:trPr>
        <w:tc>
          <w:tcPr>
            <w:tcW w:w="5424" w:type="dxa"/>
            <w:gridSpan w:val="5"/>
            <w:tcBorders>
              <w:top w:val="single" w:sz="6" w:space="0" w:color="auto"/>
              <w:left w:val="single" w:sz="12" w:space="0" w:color="auto"/>
              <w:bottom w:val="single" w:sz="6" w:space="0" w:color="auto"/>
              <w:right w:val="single" w:sz="12" w:space="0" w:color="auto"/>
            </w:tcBorders>
          </w:tcPr>
          <w:p w14:paraId="2EB3890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Толщина брони, мм</w:t>
            </w:r>
          </w:p>
        </w:tc>
      </w:tr>
      <w:tr w:rsidR="005106D0" w:rsidRPr="007224C3" w14:paraId="63D10016" w14:textId="77777777">
        <w:trPr>
          <w:trHeight w:val="211"/>
        </w:trPr>
        <w:tc>
          <w:tcPr>
            <w:tcW w:w="1296" w:type="dxa"/>
            <w:tcBorders>
              <w:top w:val="single" w:sz="6" w:space="0" w:color="auto"/>
              <w:left w:val="single" w:sz="12" w:space="0" w:color="auto"/>
              <w:bottom w:val="single" w:sz="6" w:space="0" w:color="auto"/>
              <w:right w:val="single" w:sz="6" w:space="0" w:color="auto"/>
            </w:tcBorders>
          </w:tcPr>
          <w:p w14:paraId="0455583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Верт. Корпуса</w:t>
            </w:r>
          </w:p>
        </w:tc>
        <w:tc>
          <w:tcPr>
            <w:tcW w:w="778" w:type="dxa"/>
            <w:tcBorders>
              <w:top w:val="single" w:sz="6" w:space="0" w:color="auto"/>
              <w:left w:val="single" w:sz="6" w:space="0" w:color="auto"/>
              <w:bottom w:val="single" w:sz="6" w:space="0" w:color="auto"/>
              <w:right w:val="single" w:sz="6" w:space="0" w:color="auto"/>
            </w:tcBorders>
          </w:tcPr>
          <w:p w14:paraId="59251B8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w:t>
            </w:r>
          </w:p>
        </w:tc>
        <w:tc>
          <w:tcPr>
            <w:tcW w:w="1190" w:type="dxa"/>
            <w:tcBorders>
              <w:top w:val="single" w:sz="6" w:space="0" w:color="auto"/>
              <w:left w:val="single" w:sz="6" w:space="0" w:color="auto"/>
              <w:bottom w:val="single" w:sz="6" w:space="0" w:color="auto"/>
              <w:right w:val="single" w:sz="6" w:space="0" w:color="auto"/>
            </w:tcBorders>
          </w:tcPr>
          <w:p w14:paraId="7F9EE28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75-60</w:t>
            </w:r>
          </w:p>
        </w:tc>
        <w:tc>
          <w:tcPr>
            <w:tcW w:w="970" w:type="dxa"/>
            <w:tcBorders>
              <w:top w:val="single" w:sz="6" w:space="0" w:color="auto"/>
              <w:left w:val="single" w:sz="6" w:space="0" w:color="auto"/>
              <w:bottom w:val="single" w:sz="6" w:space="0" w:color="auto"/>
              <w:right w:val="single" w:sz="6" w:space="0" w:color="auto"/>
            </w:tcBorders>
          </w:tcPr>
          <w:p w14:paraId="0D668F3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w:t>
            </w:r>
          </w:p>
        </w:tc>
        <w:tc>
          <w:tcPr>
            <w:tcW w:w="1190" w:type="dxa"/>
            <w:tcBorders>
              <w:top w:val="single" w:sz="6" w:space="0" w:color="auto"/>
              <w:left w:val="single" w:sz="6" w:space="0" w:color="auto"/>
              <w:bottom w:val="single" w:sz="6" w:space="0" w:color="auto"/>
              <w:right w:val="single" w:sz="12" w:space="0" w:color="auto"/>
            </w:tcBorders>
          </w:tcPr>
          <w:p w14:paraId="329045C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100-90( литье)</w:t>
            </w:r>
          </w:p>
        </w:tc>
      </w:tr>
      <w:tr w:rsidR="005106D0" w:rsidRPr="007224C3" w14:paraId="2A225ADF" w14:textId="77777777">
        <w:trPr>
          <w:trHeight w:val="163"/>
        </w:trPr>
        <w:tc>
          <w:tcPr>
            <w:tcW w:w="1296" w:type="dxa"/>
            <w:tcBorders>
              <w:top w:val="single" w:sz="6" w:space="0" w:color="auto"/>
              <w:left w:val="single" w:sz="12" w:space="0" w:color="auto"/>
              <w:bottom w:val="single" w:sz="6" w:space="0" w:color="auto"/>
              <w:right w:val="single" w:sz="6" w:space="0" w:color="auto"/>
            </w:tcBorders>
          </w:tcPr>
          <w:p w14:paraId="63FD395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Гориз. Корпуса</w:t>
            </w:r>
          </w:p>
        </w:tc>
        <w:tc>
          <w:tcPr>
            <w:tcW w:w="778" w:type="dxa"/>
            <w:tcBorders>
              <w:top w:val="single" w:sz="6" w:space="0" w:color="auto"/>
              <w:left w:val="single" w:sz="6" w:space="0" w:color="auto"/>
              <w:bottom w:val="single" w:sz="6" w:space="0" w:color="auto"/>
              <w:right w:val="single" w:sz="6" w:space="0" w:color="auto"/>
            </w:tcBorders>
          </w:tcPr>
          <w:p w14:paraId="048C8C6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20-15</w:t>
            </w:r>
          </w:p>
        </w:tc>
        <w:tc>
          <w:tcPr>
            <w:tcW w:w="1190" w:type="dxa"/>
            <w:tcBorders>
              <w:top w:val="single" w:sz="6" w:space="0" w:color="auto"/>
              <w:left w:val="single" w:sz="6" w:space="0" w:color="auto"/>
              <w:bottom w:val="single" w:sz="6" w:space="0" w:color="auto"/>
              <w:right w:val="single" w:sz="6" w:space="0" w:color="auto"/>
            </w:tcBorders>
          </w:tcPr>
          <w:p w14:paraId="1EF40DB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30-20</w:t>
            </w:r>
          </w:p>
        </w:tc>
        <w:tc>
          <w:tcPr>
            <w:tcW w:w="970" w:type="dxa"/>
            <w:tcBorders>
              <w:top w:val="single" w:sz="6" w:space="0" w:color="auto"/>
              <w:left w:val="single" w:sz="6" w:space="0" w:color="auto"/>
              <w:bottom w:val="single" w:sz="6" w:space="0" w:color="auto"/>
              <w:right w:val="single" w:sz="6" w:space="0" w:color="auto"/>
            </w:tcBorders>
          </w:tcPr>
          <w:p w14:paraId="13BDD57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20-15</w:t>
            </w:r>
          </w:p>
        </w:tc>
        <w:tc>
          <w:tcPr>
            <w:tcW w:w="1190" w:type="dxa"/>
            <w:tcBorders>
              <w:top w:val="single" w:sz="6" w:space="0" w:color="auto"/>
              <w:left w:val="single" w:sz="6" w:space="0" w:color="auto"/>
              <w:bottom w:val="single" w:sz="6" w:space="0" w:color="auto"/>
              <w:right w:val="single" w:sz="12" w:space="0" w:color="auto"/>
            </w:tcBorders>
          </w:tcPr>
          <w:p w14:paraId="74B3A08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w:t>
            </w:r>
          </w:p>
        </w:tc>
      </w:tr>
      <w:tr w:rsidR="005106D0" w:rsidRPr="007224C3" w14:paraId="36E4C2BE" w14:textId="77777777">
        <w:trPr>
          <w:trHeight w:val="326"/>
        </w:trPr>
        <w:tc>
          <w:tcPr>
            <w:tcW w:w="1296" w:type="dxa"/>
            <w:tcBorders>
              <w:top w:val="single" w:sz="6" w:space="0" w:color="auto"/>
              <w:left w:val="single" w:sz="12" w:space="0" w:color="auto"/>
              <w:bottom w:val="single" w:sz="6" w:space="0" w:color="auto"/>
              <w:right w:val="single" w:sz="6" w:space="0" w:color="auto"/>
            </w:tcBorders>
          </w:tcPr>
          <w:p w14:paraId="0304F25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Башня</w:t>
            </w:r>
          </w:p>
        </w:tc>
        <w:tc>
          <w:tcPr>
            <w:tcW w:w="778" w:type="dxa"/>
            <w:tcBorders>
              <w:top w:val="single" w:sz="6" w:space="0" w:color="auto"/>
              <w:left w:val="single" w:sz="6" w:space="0" w:color="auto"/>
              <w:bottom w:val="single" w:sz="6" w:space="0" w:color="auto"/>
              <w:right w:val="single" w:sz="6" w:space="0" w:color="auto"/>
            </w:tcBorders>
          </w:tcPr>
          <w:p w14:paraId="6FD262A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54 (литье)</w:t>
            </w:r>
          </w:p>
        </w:tc>
        <w:tc>
          <w:tcPr>
            <w:tcW w:w="1190" w:type="dxa"/>
            <w:tcBorders>
              <w:top w:val="single" w:sz="6" w:space="0" w:color="auto"/>
              <w:left w:val="single" w:sz="6" w:space="0" w:color="auto"/>
              <w:bottom w:val="single" w:sz="6" w:space="0" w:color="auto"/>
              <w:right w:val="single" w:sz="6" w:space="0" w:color="auto"/>
            </w:tcBorders>
          </w:tcPr>
          <w:p w14:paraId="751E7E9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90-62 (литье)</w:t>
            </w:r>
          </w:p>
        </w:tc>
        <w:tc>
          <w:tcPr>
            <w:tcW w:w="970" w:type="dxa"/>
            <w:tcBorders>
              <w:top w:val="single" w:sz="6" w:space="0" w:color="auto"/>
              <w:left w:val="single" w:sz="6" w:space="0" w:color="auto"/>
              <w:bottom w:val="single" w:sz="6" w:space="0" w:color="auto"/>
              <w:right w:val="single" w:sz="6" w:space="0" w:color="auto"/>
            </w:tcBorders>
          </w:tcPr>
          <w:p w14:paraId="2DEBA8B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62-54 (литье)</w:t>
            </w:r>
          </w:p>
        </w:tc>
        <w:tc>
          <w:tcPr>
            <w:tcW w:w="1190" w:type="dxa"/>
            <w:tcBorders>
              <w:top w:val="single" w:sz="6" w:space="0" w:color="auto"/>
              <w:left w:val="single" w:sz="6" w:space="0" w:color="auto"/>
              <w:bottom w:val="single" w:sz="6" w:space="0" w:color="auto"/>
              <w:right w:val="single" w:sz="12" w:space="0" w:color="auto"/>
            </w:tcBorders>
          </w:tcPr>
          <w:p w14:paraId="44B38AE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100-80 (литье)</w:t>
            </w:r>
          </w:p>
        </w:tc>
      </w:tr>
      <w:tr w:rsidR="005106D0" w:rsidRPr="007224C3" w14:paraId="244989F4" w14:textId="77777777">
        <w:trPr>
          <w:trHeight w:val="307"/>
        </w:trPr>
        <w:tc>
          <w:tcPr>
            <w:tcW w:w="1296" w:type="dxa"/>
            <w:tcBorders>
              <w:top w:val="single" w:sz="6" w:space="0" w:color="auto"/>
              <w:left w:val="single" w:sz="12" w:space="0" w:color="auto"/>
              <w:bottom w:val="single" w:sz="6" w:space="0" w:color="auto"/>
              <w:right w:val="single" w:sz="6" w:space="0" w:color="auto"/>
            </w:tcBorders>
          </w:tcPr>
          <w:p w14:paraId="010FD26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Тип</w:t>
            </w:r>
          </w:p>
        </w:tc>
        <w:tc>
          <w:tcPr>
            <w:tcW w:w="778" w:type="dxa"/>
            <w:tcBorders>
              <w:top w:val="single" w:sz="6" w:space="0" w:color="auto"/>
              <w:left w:val="single" w:sz="6" w:space="0" w:color="auto"/>
              <w:bottom w:val="single" w:sz="6" w:space="0" w:color="auto"/>
              <w:right w:val="single" w:sz="6" w:space="0" w:color="auto"/>
            </w:tcBorders>
          </w:tcPr>
          <w:p w14:paraId="5707C26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4т/12ц/д/ж</w:t>
            </w:r>
          </w:p>
        </w:tc>
        <w:tc>
          <w:tcPr>
            <w:tcW w:w="1190" w:type="dxa"/>
            <w:tcBorders>
              <w:top w:val="single" w:sz="6" w:space="0" w:color="auto"/>
              <w:left w:val="single" w:sz="6" w:space="0" w:color="auto"/>
              <w:bottom w:val="single" w:sz="6" w:space="0" w:color="auto"/>
              <w:right w:val="single" w:sz="6" w:space="0" w:color="auto"/>
            </w:tcBorders>
          </w:tcPr>
          <w:p w14:paraId="5FB92B4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4т/12ц/д/ж</w:t>
            </w:r>
          </w:p>
        </w:tc>
        <w:tc>
          <w:tcPr>
            <w:tcW w:w="970" w:type="dxa"/>
            <w:tcBorders>
              <w:top w:val="single" w:sz="6" w:space="0" w:color="auto"/>
              <w:left w:val="single" w:sz="6" w:space="0" w:color="auto"/>
              <w:bottom w:val="single" w:sz="6" w:space="0" w:color="auto"/>
              <w:right w:val="single" w:sz="6" w:space="0" w:color="auto"/>
            </w:tcBorders>
          </w:tcPr>
          <w:p w14:paraId="5DBF1E6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4т/12ц/д/ж</w:t>
            </w:r>
          </w:p>
        </w:tc>
        <w:tc>
          <w:tcPr>
            <w:tcW w:w="1190" w:type="dxa"/>
            <w:tcBorders>
              <w:top w:val="single" w:sz="6" w:space="0" w:color="auto"/>
              <w:left w:val="single" w:sz="6" w:space="0" w:color="auto"/>
              <w:bottom w:val="single" w:sz="6" w:space="0" w:color="auto"/>
              <w:right w:val="single" w:sz="12" w:space="0" w:color="auto"/>
            </w:tcBorders>
          </w:tcPr>
          <w:p w14:paraId="07FD87A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4т/12ц/д/ж</w:t>
            </w:r>
          </w:p>
        </w:tc>
      </w:tr>
      <w:tr w:rsidR="005106D0" w:rsidRPr="007224C3" w14:paraId="3D655ED7" w14:textId="77777777">
        <w:trPr>
          <w:trHeight w:val="154"/>
        </w:trPr>
        <w:tc>
          <w:tcPr>
            <w:tcW w:w="1296" w:type="dxa"/>
            <w:tcBorders>
              <w:top w:val="single" w:sz="6" w:space="0" w:color="auto"/>
              <w:left w:val="single" w:sz="12" w:space="0" w:color="auto"/>
              <w:bottom w:val="single" w:sz="6" w:space="0" w:color="auto"/>
              <w:right w:val="single" w:sz="6" w:space="0" w:color="auto"/>
            </w:tcBorders>
          </w:tcPr>
          <w:p w14:paraId="343E144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Марка</w:t>
            </w:r>
          </w:p>
        </w:tc>
        <w:tc>
          <w:tcPr>
            <w:tcW w:w="778" w:type="dxa"/>
            <w:tcBorders>
              <w:top w:val="single" w:sz="6" w:space="0" w:color="auto"/>
              <w:left w:val="single" w:sz="6" w:space="0" w:color="auto"/>
              <w:bottom w:val="single" w:sz="6" w:space="0" w:color="auto"/>
              <w:right w:val="single" w:sz="6" w:space="0" w:color="auto"/>
            </w:tcBorders>
          </w:tcPr>
          <w:p w14:paraId="4C9CE24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В-2-34</w:t>
            </w:r>
          </w:p>
        </w:tc>
        <w:tc>
          <w:tcPr>
            <w:tcW w:w="1190" w:type="dxa"/>
            <w:tcBorders>
              <w:top w:val="single" w:sz="6" w:space="0" w:color="auto"/>
              <w:left w:val="single" w:sz="6" w:space="0" w:color="auto"/>
              <w:bottom w:val="single" w:sz="6" w:space="0" w:color="auto"/>
              <w:right w:val="single" w:sz="6" w:space="0" w:color="auto"/>
            </w:tcBorders>
          </w:tcPr>
          <w:p w14:paraId="39A27D2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В-2-34</w:t>
            </w:r>
          </w:p>
        </w:tc>
        <w:tc>
          <w:tcPr>
            <w:tcW w:w="970" w:type="dxa"/>
            <w:tcBorders>
              <w:top w:val="single" w:sz="6" w:space="0" w:color="auto"/>
              <w:left w:val="single" w:sz="6" w:space="0" w:color="auto"/>
              <w:bottom w:val="single" w:sz="6" w:space="0" w:color="auto"/>
              <w:right w:val="single" w:sz="6" w:space="0" w:color="auto"/>
            </w:tcBorders>
          </w:tcPr>
          <w:p w14:paraId="29A7876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В-2-34</w:t>
            </w:r>
          </w:p>
        </w:tc>
        <w:tc>
          <w:tcPr>
            <w:tcW w:w="1190" w:type="dxa"/>
            <w:tcBorders>
              <w:top w:val="single" w:sz="6" w:space="0" w:color="auto"/>
              <w:left w:val="single" w:sz="6" w:space="0" w:color="auto"/>
              <w:bottom w:val="single" w:sz="6" w:space="0" w:color="auto"/>
              <w:right w:val="single" w:sz="12" w:space="0" w:color="auto"/>
            </w:tcBorders>
          </w:tcPr>
          <w:p w14:paraId="1B022C2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В-2К-ИС</w:t>
            </w:r>
          </w:p>
        </w:tc>
      </w:tr>
      <w:tr w:rsidR="005106D0" w:rsidRPr="007224C3" w14:paraId="21AB632A" w14:textId="77777777">
        <w:trPr>
          <w:trHeight w:val="173"/>
        </w:trPr>
        <w:tc>
          <w:tcPr>
            <w:tcW w:w="1296" w:type="dxa"/>
            <w:tcBorders>
              <w:top w:val="single" w:sz="6" w:space="0" w:color="auto"/>
              <w:left w:val="single" w:sz="12" w:space="0" w:color="auto"/>
              <w:bottom w:val="single" w:sz="6" w:space="0" w:color="auto"/>
              <w:right w:val="single" w:sz="6" w:space="0" w:color="auto"/>
            </w:tcBorders>
          </w:tcPr>
          <w:p w14:paraId="74F4233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Мощность макс., л.с.</w:t>
            </w:r>
          </w:p>
        </w:tc>
        <w:tc>
          <w:tcPr>
            <w:tcW w:w="778" w:type="dxa"/>
            <w:tcBorders>
              <w:top w:val="single" w:sz="6" w:space="0" w:color="auto"/>
              <w:left w:val="single" w:sz="6" w:space="0" w:color="auto"/>
              <w:bottom w:val="single" w:sz="6" w:space="0" w:color="auto"/>
              <w:right w:val="single" w:sz="6" w:space="0" w:color="auto"/>
            </w:tcBorders>
          </w:tcPr>
          <w:p w14:paraId="54F6D46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500</w:t>
            </w:r>
          </w:p>
        </w:tc>
        <w:tc>
          <w:tcPr>
            <w:tcW w:w="1190" w:type="dxa"/>
            <w:tcBorders>
              <w:top w:val="single" w:sz="6" w:space="0" w:color="auto"/>
              <w:left w:val="single" w:sz="6" w:space="0" w:color="auto"/>
              <w:bottom w:val="single" w:sz="6" w:space="0" w:color="auto"/>
              <w:right w:val="single" w:sz="6" w:space="0" w:color="auto"/>
            </w:tcBorders>
          </w:tcPr>
          <w:p w14:paraId="1C3F903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500</w:t>
            </w:r>
          </w:p>
        </w:tc>
        <w:tc>
          <w:tcPr>
            <w:tcW w:w="970" w:type="dxa"/>
            <w:tcBorders>
              <w:top w:val="single" w:sz="6" w:space="0" w:color="auto"/>
              <w:left w:val="single" w:sz="6" w:space="0" w:color="auto"/>
              <w:bottom w:val="single" w:sz="6" w:space="0" w:color="auto"/>
              <w:right w:val="single" w:sz="6" w:space="0" w:color="auto"/>
            </w:tcBorders>
          </w:tcPr>
          <w:p w14:paraId="4D8D7B0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500</w:t>
            </w:r>
          </w:p>
        </w:tc>
        <w:tc>
          <w:tcPr>
            <w:tcW w:w="1190" w:type="dxa"/>
            <w:tcBorders>
              <w:top w:val="single" w:sz="6" w:space="0" w:color="auto"/>
              <w:left w:val="single" w:sz="6" w:space="0" w:color="auto"/>
              <w:bottom w:val="single" w:sz="6" w:space="0" w:color="auto"/>
              <w:right w:val="single" w:sz="12" w:space="0" w:color="auto"/>
            </w:tcBorders>
          </w:tcPr>
          <w:p w14:paraId="47B5B9F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600</w:t>
            </w:r>
          </w:p>
        </w:tc>
      </w:tr>
      <w:tr w:rsidR="005106D0" w:rsidRPr="007224C3" w14:paraId="3DD04EEB" w14:textId="77777777">
        <w:trPr>
          <w:trHeight w:val="163"/>
        </w:trPr>
        <w:tc>
          <w:tcPr>
            <w:tcW w:w="1296" w:type="dxa"/>
            <w:tcBorders>
              <w:top w:val="single" w:sz="6" w:space="0" w:color="auto"/>
              <w:left w:val="single" w:sz="12" w:space="0" w:color="auto"/>
              <w:bottom w:val="single" w:sz="6" w:space="0" w:color="auto"/>
              <w:right w:val="single" w:sz="6" w:space="0" w:color="auto"/>
            </w:tcBorders>
          </w:tcPr>
          <w:p w14:paraId="47080B7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частоте об/мин</w:t>
            </w:r>
          </w:p>
        </w:tc>
        <w:tc>
          <w:tcPr>
            <w:tcW w:w="778" w:type="dxa"/>
            <w:tcBorders>
              <w:top w:val="single" w:sz="6" w:space="0" w:color="auto"/>
              <w:left w:val="single" w:sz="6" w:space="0" w:color="auto"/>
              <w:bottom w:val="single" w:sz="6" w:space="0" w:color="auto"/>
              <w:right w:val="single" w:sz="6" w:space="0" w:color="auto"/>
            </w:tcBorders>
          </w:tcPr>
          <w:p w14:paraId="1AAC997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1800</w:t>
            </w:r>
          </w:p>
        </w:tc>
        <w:tc>
          <w:tcPr>
            <w:tcW w:w="1190" w:type="dxa"/>
            <w:tcBorders>
              <w:top w:val="single" w:sz="6" w:space="0" w:color="auto"/>
              <w:left w:val="single" w:sz="6" w:space="0" w:color="auto"/>
              <w:bottom w:val="single" w:sz="6" w:space="0" w:color="auto"/>
              <w:right w:val="single" w:sz="6" w:space="0" w:color="auto"/>
            </w:tcBorders>
          </w:tcPr>
          <w:p w14:paraId="6A883DC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1800</w:t>
            </w:r>
          </w:p>
        </w:tc>
        <w:tc>
          <w:tcPr>
            <w:tcW w:w="970" w:type="dxa"/>
            <w:tcBorders>
              <w:top w:val="single" w:sz="6" w:space="0" w:color="auto"/>
              <w:left w:val="single" w:sz="6" w:space="0" w:color="auto"/>
              <w:bottom w:val="single" w:sz="6" w:space="0" w:color="auto"/>
              <w:right w:val="single" w:sz="6" w:space="0" w:color="auto"/>
            </w:tcBorders>
          </w:tcPr>
          <w:p w14:paraId="07B6C31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1800</w:t>
            </w:r>
          </w:p>
        </w:tc>
        <w:tc>
          <w:tcPr>
            <w:tcW w:w="1190" w:type="dxa"/>
            <w:tcBorders>
              <w:top w:val="single" w:sz="6" w:space="0" w:color="auto"/>
              <w:left w:val="single" w:sz="6" w:space="0" w:color="auto"/>
              <w:bottom w:val="single" w:sz="6" w:space="0" w:color="auto"/>
              <w:right w:val="single" w:sz="12" w:space="0" w:color="auto"/>
            </w:tcBorders>
          </w:tcPr>
          <w:p w14:paraId="09668A3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1850</w:t>
            </w:r>
          </w:p>
        </w:tc>
      </w:tr>
      <w:tr w:rsidR="005106D0" w:rsidRPr="007224C3" w14:paraId="59D1CA02" w14:textId="77777777">
        <w:trPr>
          <w:trHeight w:val="182"/>
        </w:trPr>
        <w:tc>
          <w:tcPr>
            <w:tcW w:w="1296" w:type="dxa"/>
            <w:tcBorders>
              <w:top w:val="single" w:sz="6" w:space="0" w:color="auto"/>
              <w:left w:val="single" w:sz="12" w:space="0" w:color="auto"/>
              <w:bottom w:val="single" w:sz="6" w:space="0" w:color="auto"/>
              <w:right w:val="single" w:sz="6" w:space="0" w:color="auto"/>
            </w:tcBorders>
          </w:tcPr>
          <w:p w14:paraId="7B70746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Передач КПП</w:t>
            </w:r>
          </w:p>
        </w:tc>
        <w:tc>
          <w:tcPr>
            <w:tcW w:w="778" w:type="dxa"/>
            <w:tcBorders>
              <w:top w:val="single" w:sz="6" w:space="0" w:color="auto"/>
              <w:left w:val="single" w:sz="6" w:space="0" w:color="auto"/>
              <w:bottom w:val="single" w:sz="6" w:space="0" w:color="auto"/>
              <w:right w:val="single" w:sz="6" w:space="0" w:color="auto"/>
            </w:tcBorders>
          </w:tcPr>
          <w:p w14:paraId="242E3D8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5/1</w:t>
            </w:r>
          </w:p>
        </w:tc>
        <w:tc>
          <w:tcPr>
            <w:tcW w:w="1190" w:type="dxa"/>
            <w:tcBorders>
              <w:top w:val="single" w:sz="6" w:space="0" w:color="auto"/>
              <w:left w:val="single" w:sz="6" w:space="0" w:color="auto"/>
              <w:bottom w:val="single" w:sz="6" w:space="0" w:color="auto"/>
              <w:right w:val="single" w:sz="6" w:space="0" w:color="auto"/>
            </w:tcBorders>
          </w:tcPr>
          <w:p w14:paraId="1CFB412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5/1</w:t>
            </w:r>
          </w:p>
        </w:tc>
        <w:tc>
          <w:tcPr>
            <w:tcW w:w="970" w:type="dxa"/>
            <w:tcBorders>
              <w:top w:val="single" w:sz="6" w:space="0" w:color="auto"/>
              <w:left w:val="single" w:sz="6" w:space="0" w:color="auto"/>
              <w:bottom w:val="single" w:sz="6" w:space="0" w:color="auto"/>
              <w:right w:val="single" w:sz="6" w:space="0" w:color="auto"/>
            </w:tcBorders>
          </w:tcPr>
          <w:p w14:paraId="6E00531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4/1</w:t>
            </w:r>
          </w:p>
        </w:tc>
        <w:tc>
          <w:tcPr>
            <w:tcW w:w="1190" w:type="dxa"/>
            <w:tcBorders>
              <w:top w:val="single" w:sz="6" w:space="0" w:color="auto"/>
              <w:left w:val="single" w:sz="6" w:space="0" w:color="auto"/>
              <w:bottom w:val="single" w:sz="6" w:space="0" w:color="auto"/>
              <w:right w:val="single" w:sz="12" w:space="0" w:color="auto"/>
            </w:tcBorders>
          </w:tcPr>
          <w:p w14:paraId="1D80308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6/1</w:t>
            </w:r>
          </w:p>
        </w:tc>
      </w:tr>
      <w:tr w:rsidR="005106D0" w:rsidRPr="007224C3" w14:paraId="0A9BA11A" w14:textId="77777777">
        <w:trPr>
          <w:trHeight w:val="182"/>
        </w:trPr>
        <w:tc>
          <w:tcPr>
            <w:tcW w:w="1296" w:type="dxa"/>
            <w:tcBorders>
              <w:top w:val="single" w:sz="6" w:space="0" w:color="auto"/>
              <w:left w:val="single" w:sz="12" w:space="0" w:color="auto"/>
              <w:bottom w:val="single" w:sz="6" w:space="0" w:color="auto"/>
              <w:right w:val="single" w:sz="6" w:space="0" w:color="auto"/>
            </w:tcBorders>
          </w:tcPr>
          <w:p w14:paraId="603FA64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Скорость макс., км/ч</w:t>
            </w:r>
          </w:p>
        </w:tc>
        <w:tc>
          <w:tcPr>
            <w:tcW w:w="778" w:type="dxa"/>
            <w:tcBorders>
              <w:top w:val="single" w:sz="6" w:space="0" w:color="auto"/>
              <w:left w:val="single" w:sz="6" w:space="0" w:color="auto"/>
              <w:bottom w:val="single" w:sz="6" w:space="0" w:color="auto"/>
              <w:right w:val="single" w:sz="6" w:space="0" w:color="auto"/>
            </w:tcBorders>
          </w:tcPr>
          <w:p w14:paraId="04DC210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51,2</w:t>
            </w:r>
          </w:p>
        </w:tc>
        <w:tc>
          <w:tcPr>
            <w:tcW w:w="1190" w:type="dxa"/>
            <w:tcBorders>
              <w:top w:val="single" w:sz="6" w:space="0" w:color="auto"/>
              <w:left w:val="single" w:sz="6" w:space="0" w:color="auto"/>
              <w:bottom w:val="single" w:sz="6" w:space="0" w:color="auto"/>
              <w:right w:val="single" w:sz="6" w:space="0" w:color="auto"/>
            </w:tcBorders>
          </w:tcPr>
          <w:p w14:paraId="0BEB0A5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49</w:t>
            </w:r>
          </w:p>
        </w:tc>
        <w:tc>
          <w:tcPr>
            <w:tcW w:w="970" w:type="dxa"/>
            <w:tcBorders>
              <w:top w:val="single" w:sz="6" w:space="0" w:color="auto"/>
              <w:left w:val="single" w:sz="6" w:space="0" w:color="auto"/>
              <w:bottom w:val="single" w:sz="6" w:space="0" w:color="auto"/>
              <w:right w:val="single" w:sz="6" w:space="0" w:color="auto"/>
            </w:tcBorders>
          </w:tcPr>
          <w:p w14:paraId="52F78EE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51,2</w:t>
            </w:r>
          </w:p>
        </w:tc>
        <w:tc>
          <w:tcPr>
            <w:tcW w:w="1190" w:type="dxa"/>
            <w:tcBorders>
              <w:top w:val="single" w:sz="6" w:space="0" w:color="auto"/>
              <w:left w:val="single" w:sz="6" w:space="0" w:color="auto"/>
              <w:bottom w:val="single" w:sz="6" w:space="0" w:color="auto"/>
              <w:right w:val="single" w:sz="12" w:space="0" w:color="auto"/>
            </w:tcBorders>
          </w:tcPr>
          <w:p w14:paraId="7E33219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55</w:t>
            </w:r>
          </w:p>
        </w:tc>
      </w:tr>
      <w:tr w:rsidR="005106D0" w:rsidRPr="007224C3" w14:paraId="2E15E12C" w14:textId="77777777">
        <w:trPr>
          <w:trHeight w:val="211"/>
        </w:trPr>
        <w:tc>
          <w:tcPr>
            <w:tcW w:w="1296" w:type="dxa"/>
            <w:tcBorders>
              <w:top w:val="single" w:sz="6" w:space="0" w:color="auto"/>
              <w:left w:val="single" w:sz="12" w:space="0" w:color="auto"/>
              <w:bottom w:val="single" w:sz="6" w:space="0" w:color="auto"/>
              <w:right w:val="single" w:sz="6" w:space="0" w:color="auto"/>
            </w:tcBorders>
          </w:tcPr>
          <w:p w14:paraId="0F802BC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Тип топлива</w:t>
            </w:r>
          </w:p>
        </w:tc>
        <w:tc>
          <w:tcPr>
            <w:tcW w:w="778" w:type="dxa"/>
            <w:tcBorders>
              <w:top w:val="single" w:sz="6" w:space="0" w:color="auto"/>
              <w:left w:val="single" w:sz="6" w:space="0" w:color="auto"/>
              <w:bottom w:val="single" w:sz="6" w:space="0" w:color="auto"/>
              <w:right w:val="single" w:sz="6" w:space="0" w:color="auto"/>
            </w:tcBorders>
          </w:tcPr>
          <w:p w14:paraId="431D2AA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Дизельное</w:t>
            </w:r>
          </w:p>
        </w:tc>
        <w:tc>
          <w:tcPr>
            <w:tcW w:w="1190" w:type="dxa"/>
            <w:tcBorders>
              <w:top w:val="single" w:sz="6" w:space="0" w:color="auto"/>
              <w:left w:val="single" w:sz="6" w:space="0" w:color="auto"/>
              <w:bottom w:val="single" w:sz="6" w:space="0" w:color="auto"/>
              <w:right w:val="single" w:sz="6" w:space="0" w:color="auto"/>
            </w:tcBorders>
          </w:tcPr>
          <w:p w14:paraId="50F9C73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.Дизельное</w:t>
            </w:r>
          </w:p>
        </w:tc>
        <w:tc>
          <w:tcPr>
            <w:tcW w:w="970" w:type="dxa"/>
            <w:tcBorders>
              <w:top w:val="single" w:sz="6" w:space="0" w:color="auto"/>
              <w:left w:val="single" w:sz="6" w:space="0" w:color="auto"/>
              <w:bottom w:val="single" w:sz="6" w:space="0" w:color="auto"/>
              <w:right w:val="single" w:sz="6" w:space="0" w:color="auto"/>
            </w:tcBorders>
          </w:tcPr>
          <w:p w14:paraId="195D846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Дизельное</w:t>
            </w:r>
          </w:p>
        </w:tc>
        <w:tc>
          <w:tcPr>
            <w:tcW w:w="1190" w:type="dxa"/>
            <w:tcBorders>
              <w:top w:val="single" w:sz="6" w:space="0" w:color="auto"/>
              <w:left w:val="single" w:sz="6" w:space="0" w:color="auto"/>
              <w:bottom w:val="single" w:sz="6" w:space="0" w:color="auto"/>
              <w:right w:val="single" w:sz="12" w:space="0" w:color="auto"/>
            </w:tcBorders>
          </w:tcPr>
          <w:p w14:paraId="33ADD01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Дизельное</w:t>
            </w:r>
          </w:p>
        </w:tc>
      </w:tr>
      <w:tr w:rsidR="005106D0" w:rsidRPr="007224C3" w14:paraId="7011831A" w14:textId="77777777">
        <w:trPr>
          <w:trHeight w:val="182"/>
        </w:trPr>
        <w:tc>
          <w:tcPr>
            <w:tcW w:w="1296" w:type="dxa"/>
            <w:tcBorders>
              <w:top w:val="single" w:sz="6" w:space="0" w:color="auto"/>
              <w:left w:val="single" w:sz="12" w:space="0" w:color="auto"/>
              <w:bottom w:val="single" w:sz="6" w:space="0" w:color="auto"/>
              <w:right w:val="single" w:sz="6" w:space="0" w:color="auto"/>
            </w:tcBorders>
          </w:tcPr>
          <w:p w14:paraId="186C196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Емк. Бака, л</w:t>
            </w:r>
          </w:p>
        </w:tc>
        <w:tc>
          <w:tcPr>
            <w:tcW w:w="778" w:type="dxa"/>
            <w:tcBorders>
              <w:top w:val="single" w:sz="6" w:space="0" w:color="auto"/>
              <w:left w:val="single" w:sz="6" w:space="0" w:color="auto"/>
              <w:bottom w:val="single" w:sz="6" w:space="0" w:color="auto"/>
              <w:right w:val="single" w:sz="6" w:space="0" w:color="auto"/>
            </w:tcBorders>
          </w:tcPr>
          <w:p w14:paraId="06170B5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600</w:t>
            </w:r>
          </w:p>
        </w:tc>
        <w:tc>
          <w:tcPr>
            <w:tcW w:w="1190" w:type="dxa"/>
            <w:tcBorders>
              <w:top w:val="single" w:sz="6" w:space="0" w:color="auto"/>
              <w:left w:val="single" w:sz="6" w:space="0" w:color="auto"/>
              <w:bottom w:val="single" w:sz="6" w:space="0" w:color="auto"/>
              <w:right w:val="single" w:sz="6" w:space="0" w:color="auto"/>
            </w:tcBorders>
          </w:tcPr>
          <w:p w14:paraId="3D19CAD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500</w:t>
            </w:r>
          </w:p>
        </w:tc>
        <w:tc>
          <w:tcPr>
            <w:tcW w:w="970" w:type="dxa"/>
            <w:tcBorders>
              <w:top w:val="single" w:sz="6" w:space="0" w:color="auto"/>
              <w:left w:val="single" w:sz="6" w:space="0" w:color="auto"/>
              <w:bottom w:val="single" w:sz="6" w:space="0" w:color="auto"/>
              <w:right w:val="single" w:sz="6" w:space="0" w:color="auto"/>
            </w:tcBorders>
          </w:tcPr>
          <w:p w14:paraId="218663B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600</w:t>
            </w:r>
          </w:p>
        </w:tc>
        <w:tc>
          <w:tcPr>
            <w:tcW w:w="1190" w:type="dxa"/>
            <w:tcBorders>
              <w:top w:val="single" w:sz="6" w:space="0" w:color="auto"/>
              <w:left w:val="single" w:sz="6" w:space="0" w:color="auto"/>
              <w:bottom w:val="single" w:sz="6" w:space="0" w:color="auto"/>
              <w:right w:val="single" w:sz="12" w:space="0" w:color="auto"/>
            </w:tcBorders>
          </w:tcPr>
          <w:p w14:paraId="3BACD26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36C4DFAE" w14:textId="77777777">
        <w:trPr>
          <w:trHeight w:val="163"/>
        </w:trPr>
        <w:tc>
          <w:tcPr>
            <w:tcW w:w="1296" w:type="dxa"/>
            <w:tcBorders>
              <w:top w:val="single" w:sz="6" w:space="0" w:color="auto"/>
              <w:left w:val="single" w:sz="12" w:space="0" w:color="auto"/>
              <w:bottom w:val="single" w:sz="6" w:space="0" w:color="auto"/>
              <w:right w:val="single" w:sz="6" w:space="0" w:color="auto"/>
            </w:tcBorders>
          </w:tcPr>
          <w:p w14:paraId="6ADF5EA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163FF1C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2E2B64E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Запас хода, км</w:t>
            </w:r>
          </w:p>
        </w:tc>
        <w:tc>
          <w:tcPr>
            <w:tcW w:w="970" w:type="dxa"/>
            <w:tcBorders>
              <w:top w:val="single" w:sz="6" w:space="0" w:color="auto"/>
              <w:left w:val="single" w:sz="6" w:space="0" w:color="auto"/>
              <w:bottom w:val="single" w:sz="6" w:space="0" w:color="auto"/>
              <w:right w:val="single" w:sz="6" w:space="0" w:color="auto"/>
            </w:tcBorders>
          </w:tcPr>
          <w:p w14:paraId="51CA537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12" w:space="0" w:color="auto"/>
            </w:tcBorders>
          </w:tcPr>
          <w:p w14:paraId="59F212B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ECC49CE" w14:textId="77777777">
        <w:trPr>
          <w:trHeight w:val="250"/>
        </w:trPr>
        <w:tc>
          <w:tcPr>
            <w:tcW w:w="1296" w:type="dxa"/>
            <w:tcBorders>
              <w:top w:val="single" w:sz="6" w:space="0" w:color="auto"/>
              <w:left w:val="single" w:sz="12" w:space="0" w:color="auto"/>
              <w:bottom w:val="single" w:sz="6" w:space="0" w:color="auto"/>
              <w:right w:val="single" w:sz="6" w:space="0" w:color="auto"/>
            </w:tcBorders>
          </w:tcPr>
          <w:p w14:paraId="39C5F0F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шоссе</w:t>
            </w:r>
          </w:p>
        </w:tc>
        <w:tc>
          <w:tcPr>
            <w:tcW w:w="778" w:type="dxa"/>
            <w:tcBorders>
              <w:top w:val="single" w:sz="6" w:space="0" w:color="auto"/>
              <w:left w:val="single" w:sz="6" w:space="0" w:color="auto"/>
              <w:bottom w:val="single" w:sz="6" w:space="0" w:color="auto"/>
              <w:right w:val="single" w:sz="6" w:space="0" w:color="auto"/>
            </w:tcBorders>
          </w:tcPr>
          <w:p w14:paraId="79B972D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250</w:t>
            </w:r>
          </w:p>
        </w:tc>
        <w:tc>
          <w:tcPr>
            <w:tcW w:w="1190" w:type="dxa"/>
            <w:tcBorders>
              <w:top w:val="single" w:sz="6" w:space="0" w:color="auto"/>
              <w:left w:val="single" w:sz="6" w:space="0" w:color="auto"/>
              <w:bottom w:val="single" w:sz="6" w:space="0" w:color="auto"/>
              <w:right w:val="single" w:sz="6" w:space="0" w:color="auto"/>
            </w:tcBorders>
          </w:tcPr>
          <w:p w14:paraId="5A7796C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210</w:t>
            </w:r>
          </w:p>
        </w:tc>
        <w:tc>
          <w:tcPr>
            <w:tcW w:w="970" w:type="dxa"/>
            <w:tcBorders>
              <w:top w:val="single" w:sz="6" w:space="0" w:color="auto"/>
              <w:left w:val="single" w:sz="6" w:space="0" w:color="auto"/>
              <w:bottom w:val="single" w:sz="6" w:space="0" w:color="auto"/>
              <w:right w:val="single" w:sz="6" w:space="0" w:color="auto"/>
            </w:tcBorders>
          </w:tcPr>
          <w:p w14:paraId="38DFD65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250</w:t>
            </w:r>
          </w:p>
        </w:tc>
        <w:tc>
          <w:tcPr>
            <w:tcW w:w="1190" w:type="dxa"/>
            <w:tcBorders>
              <w:top w:val="single" w:sz="6" w:space="0" w:color="auto"/>
              <w:left w:val="single" w:sz="6" w:space="0" w:color="auto"/>
              <w:bottom w:val="single" w:sz="6" w:space="0" w:color="auto"/>
              <w:right w:val="single" w:sz="12" w:space="0" w:color="auto"/>
            </w:tcBorders>
          </w:tcPr>
          <w:p w14:paraId="7E2F7C9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260</w:t>
            </w:r>
          </w:p>
        </w:tc>
      </w:tr>
      <w:tr w:rsidR="005106D0" w:rsidRPr="007224C3" w14:paraId="0703CC51" w14:textId="77777777">
        <w:trPr>
          <w:trHeight w:val="192"/>
        </w:trPr>
        <w:tc>
          <w:tcPr>
            <w:tcW w:w="1296" w:type="dxa"/>
            <w:tcBorders>
              <w:top w:val="single" w:sz="6" w:space="0" w:color="auto"/>
              <w:left w:val="single" w:sz="12" w:space="0" w:color="auto"/>
              <w:bottom w:val="single" w:sz="6" w:space="0" w:color="auto"/>
              <w:right w:val="single" w:sz="6" w:space="0" w:color="auto"/>
            </w:tcBorders>
          </w:tcPr>
          <w:p w14:paraId="7E385BA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проселок</w:t>
            </w:r>
          </w:p>
        </w:tc>
        <w:tc>
          <w:tcPr>
            <w:tcW w:w="778" w:type="dxa"/>
            <w:tcBorders>
              <w:top w:val="single" w:sz="6" w:space="0" w:color="auto"/>
              <w:left w:val="single" w:sz="6" w:space="0" w:color="auto"/>
              <w:bottom w:val="single" w:sz="6" w:space="0" w:color="auto"/>
              <w:right w:val="single" w:sz="6" w:space="0" w:color="auto"/>
            </w:tcBorders>
          </w:tcPr>
          <w:p w14:paraId="5320B3D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190" w:type="dxa"/>
            <w:tcBorders>
              <w:top w:val="single" w:sz="6" w:space="0" w:color="auto"/>
              <w:left w:val="single" w:sz="6" w:space="0" w:color="auto"/>
              <w:bottom w:val="single" w:sz="6" w:space="0" w:color="auto"/>
              <w:right w:val="single" w:sz="6" w:space="0" w:color="auto"/>
            </w:tcBorders>
          </w:tcPr>
          <w:p w14:paraId="28A106E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150</w:t>
            </w:r>
          </w:p>
        </w:tc>
        <w:tc>
          <w:tcPr>
            <w:tcW w:w="970" w:type="dxa"/>
            <w:tcBorders>
              <w:top w:val="single" w:sz="6" w:space="0" w:color="auto"/>
              <w:left w:val="single" w:sz="6" w:space="0" w:color="auto"/>
              <w:bottom w:val="single" w:sz="6" w:space="0" w:color="auto"/>
              <w:right w:val="single" w:sz="6" w:space="0" w:color="auto"/>
            </w:tcBorders>
          </w:tcPr>
          <w:p w14:paraId="449332D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190" w:type="dxa"/>
            <w:tcBorders>
              <w:top w:val="single" w:sz="6" w:space="0" w:color="auto"/>
              <w:left w:val="single" w:sz="6" w:space="0" w:color="auto"/>
              <w:bottom w:val="single" w:sz="6" w:space="0" w:color="auto"/>
              <w:right w:val="single" w:sz="12" w:space="0" w:color="auto"/>
            </w:tcBorders>
          </w:tcPr>
          <w:p w14:paraId="5E1281A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200</w:t>
            </w:r>
          </w:p>
        </w:tc>
      </w:tr>
      <w:tr w:rsidR="005106D0" w:rsidRPr="007224C3" w14:paraId="270ED3E7" w14:textId="77777777">
        <w:trPr>
          <w:trHeight w:val="182"/>
        </w:trPr>
        <w:tc>
          <w:tcPr>
            <w:tcW w:w="5424" w:type="dxa"/>
            <w:gridSpan w:val="5"/>
            <w:tcBorders>
              <w:top w:val="single" w:sz="6" w:space="0" w:color="auto"/>
              <w:left w:val="single" w:sz="12" w:space="0" w:color="auto"/>
              <w:bottom w:val="single" w:sz="6" w:space="0" w:color="auto"/>
              <w:right w:val="single" w:sz="12" w:space="0" w:color="auto"/>
            </w:tcBorders>
          </w:tcPr>
          <w:p w14:paraId="37C1F63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Поеололеваемые препятствия</w:t>
            </w:r>
          </w:p>
        </w:tc>
      </w:tr>
      <w:tr w:rsidR="005106D0" w:rsidRPr="007224C3" w14:paraId="20001BF9" w14:textId="77777777">
        <w:trPr>
          <w:trHeight w:val="240"/>
        </w:trPr>
        <w:tc>
          <w:tcPr>
            <w:tcW w:w="1296" w:type="dxa"/>
            <w:tcBorders>
              <w:top w:val="single" w:sz="6" w:space="0" w:color="auto"/>
              <w:left w:val="single" w:sz="12" w:space="0" w:color="auto"/>
              <w:bottom w:val="single" w:sz="6" w:space="0" w:color="auto"/>
              <w:right w:val="single" w:sz="6" w:space="0" w:color="auto"/>
            </w:tcBorders>
          </w:tcPr>
          <w:p w14:paraId="7EE4026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Уд. давление, кгс/см~</w:t>
            </w:r>
          </w:p>
        </w:tc>
        <w:tc>
          <w:tcPr>
            <w:tcW w:w="778" w:type="dxa"/>
            <w:tcBorders>
              <w:top w:val="single" w:sz="6" w:space="0" w:color="auto"/>
              <w:left w:val="single" w:sz="6" w:space="0" w:color="auto"/>
              <w:bottom w:val="single" w:sz="6" w:space="0" w:color="auto"/>
              <w:right w:val="single" w:sz="6" w:space="0" w:color="auto"/>
            </w:tcBorders>
          </w:tcPr>
          <w:p w14:paraId="0C3E3B0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0,79</w:t>
            </w:r>
          </w:p>
        </w:tc>
        <w:tc>
          <w:tcPr>
            <w:tcW w:w="1190" w:type="dxa"/>
            <w:tcBorders>
              <w:top w:val="single" w:sz="6" w:space="0" w:color="auto"/>
              <w:left w:val="single" w:sz="6" w:space="0" w:color="auto"/>
              <w:bottom w:val="single" w:sz="6" w:space="0" w:color="auto"/>
              <w:right w:val="single" w:sz="6" w:space="0" w:color="auto"/>
            </w:tcBorders>
          </w:tcPr>
          <w:p w14:paraId="4A6B928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0,87</w:t>
            </w:r>
          </w:p>
        </w:tc>
        <w:tc>
          <w:tcPr>
            <w:tcW w:w="970" w:type="dxa"/>
            <w:tcBorders>
              <w:top w:val="single" w:sz="6" w:space="0" w:color="auto"/>
              <w:left w:val="single" w:sz="6" w:space="0" w:color="auto"/>
              <w:bottom w:val="single" w:sz="6" w:space="0" w:color="auto"/>
              <w:right w:val="single" w:sz="6" w:space="0" w:color="auto"/>
            </w:tcBorders>
          </w:tcPr>
          <w:p w14:paraId="1BE0F8B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0,83</w:t>
            </w:r>
          </w:p>
        </w:tc>
        <w:tc>
          <w:tcPr>
            <w:tcW w:w="1190" w:type="dxa"/>
            <w:tcBorders>
              <w:top w:val="single" w:sz="6" w:space="0" w:color="auto"/>
              <w:left w:val="single" w:sz="6" w:space="0" w:color="auto"/>
              <w:bottom w:val="single" w:sz="6" w:space="0" w:color="auto"/>
              <w:right w:val="single" w:sz="12" w:space="0" w:color="auto"/>
            </w:tcBorders>
          </w:tcPr>
          <w:p w14:paraId="20B3779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0,9</w:t>
            </w:r>
          </w:p>
        </w:tc>
      </w:tr>
      <w:tr w:rsidR="005106D0" w:rsidRPr="007224C3" w14:paraId="128AF977" w14:textId="77777777">
        <w:trPr>
          <w:trHeight w:val="173"/>
        </w:trPr>
        <w:tc>
          <w:tcPr>
            <w:tcW w:w="1296" w:type="dxa"/>
            <w:tcBorders>
              <w:top w:val="single" w:sz="6" w:space="0" w:color="auto"/>
              <w:left w:val="single" w:sz="12" w:space="0" w:color="auto"/>
              <w:bottom w:val="single" w:sz="6" w:space="0" w:color="auto"/>
              <w:right w:val="single" w:sz="6" w:space="0" w:color="auto"/>
            </w:tcBorders>
          </w:tcPr>
          <w:p w14:paraId="3F3DEEC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Подъем, град.</w:t>
            </w:r>
          </w:p>
        </w:tc>
        <w:tc>
          <w:tcPr>
            <w:tcW w:w="778" w:type="dxa"/>
            <w:tcBorders>
              <w:top w:val="single" w:sz="6" w:space="0" w:color="auto"/>
              <w:left w:val="single" w:sz="6" w:space="0" w:color="auto"/>
              <w:bottom w:val="single" w:sz="6" w:space="0" w:color="auto"/>
              <w:right w:val="single" w:sz="6" w:space="0" w:color="auto"/>
            </w:tcBorders>
          </w:tcPr>
          <w:p w14:paraId="45FF3C6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w:t>
            </w:r>
          </w:p>
        </w:tc>
        <w:tc>
          <w:tcPr>
            <w:tcW w:w="1190" w:type="dxa"/>
            <w:tcBorders>
              <w:top w:val="single" w:sz="6" w:space="0" w:color="auto"/>
              <w:left w:val="single" w:sz="6" w:space="0" w:color="auto"/>
              <w:bottom w:val="single" w:sz="6" w:space="0" w:color="auto"/>
              <w:right w:val="single" w:sz="6" w:space="0" w:color="auto"/>
            </w:tcBorders>
          </w:tcPr>
          <w:p w14:paraId="6BBC7CD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w:t>
            </w:r>
          </w:p>
        </w:tc>
        <w:tc>
          <w:tcPr>
            <w:tcW w:w="970" w:type="dxa"/>
            <w:tcBorders>
              <w:top w:val="single" w:sz="6" w:space="0" w:color="auto"/>
              <w:left w:val="single" w:sz="6" w:space="0" w:color="auto"/>
              <w:bottom w:val="single" w:sz="6" w:space="0" w:color="auto"/>
              <w:right w:val="single" w:sz="6" w:space="0" w:color="auto"/>
            </w:tcBorders>
          </w:tcPr>
          <w:p w14:paraId="390E9DB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w:t>
            </w:r>
          </w:p>
        </w:tc>
        <w:tc>
          <w:tcPr>
            <w:tcW w:w="1190" w:type="dxa"/>
            <w:tcBorders>
              <w:top w:val="single" w:sz="6" w:space="0" w:color="auto"/>
              <w:left w:val="single" w:sz="6" w:space="0" w:color="auto"/>
              <w:bottom w:val="single" w:sz="6" w:space="0" w:color="auto"/>
              <w:right w:val="single" w:sz="12" w:space="0" w:color="auto"/>
            </w:tcBorders>
          </w:tcPr>
          <w:p w14:paraId="00C4A21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w:t>
            </w:r>
          </w:p>
        </w:tc>
      </w:tr>
      <w:tr w:rsidR="005106D0" w:rsidRPr="007224C3" w14:paraId="5C65FC33" w14:textId="77777777">
        <w:trPr>
          <w:trHeight w:val="173"/>
        </w:trPr>
        <w:tc>
          <w:tcPr>
            <w:tcW w:w="1296" w:type="dxa"/>
            <w:tcBorders>
              <w:top w:val="single" w:sz="6" w:space="0" w:color="auto"/>
              <w:left w:val="single" w:sz="12" w:space="0" w:color="auto"/>
              <w:bottom w:val="single" w:sz="6" w:space="0" w:color="auto"/>
              <w:right w:val="single" w:sz="6" w:space="0" w:color="auto"/>
            </w:tcBorders>
          </w:tcPr>
          <w:p w14:paraId="78910B0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Спуск, град.</w:t>
            </w:r>
          </w:p>
        </w:tc>
        <w:tc>
          <w:tcPr>
            <w:tcW w:w="778" w:type="dxa"/>
            <w:tcBorders>
              <w:top w:val="single" w:sz="6" w:space="0" w:color="auto"/>
              <w:left w:val="single" w:sz="6" w:space="0" w:color="auto"/>
              <w:bottom w:val="single" w:sz="6" w:space="0" w:color="auto"/>
              <w:right w:val="single" w:sz="6" w:space="0" w:color="auto"/>
            </w:tcBorders>
          </w:tcPr>
          <w:p w14:paraId="6F618EE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w:t>
            </w:r>
          </w:p>
        </w:tc>
        <w:tc>
          <w:tcPr>
            <w:tcW w:w="1190" w:type="dxa"/>
            <w:tcBorders>
              <w:top w:val="single" w:sz="6" w:space="0" w:color="auto"/>
              <w:left w:val="single" w:sz="6" w:space="0" w:color="auto"/>
              <w:bottom w:val="single" w:sz="6" w:space="0" w:color="auto"/>
              <w:right w:val="single" w:sz="6" w:space="0" w:color="auto"/>
            </w:tcBorders>
          </w:tcPr>
          <w:p w14:paraId="0CB43DB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w:t>
            </w:r>
          </w:p>
        </w:tc>
        <w:tc>
          <w:tcPr>
            <w:tcW w:w="970" w:type="dxa"/>
            <w:tcBorders>
              <w:top w:val="single" w:sz="6" w:space="0" w:color="auto"/>
              <w:left w:val="single" w:sz="6" w:space="0" w:color="auto"/>
              <w:bottom w:val="single" w:sz="6" w:space="0" w:color="auto"/>
              <w:right w:val="single" w:sz="6" w:space="0" w:color="auto"/>
            </w:tcBorders>
          </w:tcPr>
          <w:p w14:paraId="79B04A7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w:t>
            </w:r>
          </w:p>
        </w:tc>
        <w:tc>
          <w:tcPr>
            <w:tcW w:w="1190" w:type="dxa"/>
            <w:tcBorders>
              <w:top w:val="single" w:sz="6" w:space="0" w:color="auto"/>
              <w:left w:val="single" w:sz="6" w:space="0" w:color="auto"/>
              <w:bottom w:val="single" w:sz="6" w:space="0" w:color="auto"/>
              <w:right w:val="single" w:sz="12" w:space="0" w:color="auto"/>
            </w:tcBorders>
          </w:tcPr>
          <w:p w14:paraId="7B252E1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w:t>
            </w:r>
          </w:p>
        </w:tc>
      </w:tr>
      <w:tr w:rsidR="005106D0" w:rsidRPr="007224C3" w14:paraId="617615AD" w14:textId="77777777">
        <w:trPr>
          <w:trHeight w:val="163"/>
        </w:trPr>
        <w:tc>
          <w:tcPr>
            <w:tcW w:w="1296" w:type="dxa"/>
            <w:tcBorders>
              <w:top w:val="single" w:sz="6" w:space="0" w:color="auto"/>
              <w:left w:val="single" w:sz="12" w:space="0" w:color="auto"/>
              <w:bottom w:val="single" w:sz="6" w:space="0" w:color="auto"/>
              <w:right w:val="single" w:sz="6" w:space="0" w:color="auto"/>
            </w:tcBorders>
          </w:tcPr>
          <w:p w14:paraId="4F89144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Крен, град.</w:t>
            </w:r>
          </w:p>
        </w:tc>
        <w:tc>
          <w:tcPr>
            <w:tcW w:w="778" w:type="dxa"/>
            <w:tcBorders>
              <w:top w:val="single" w:sz="6" w:space="0" w:color="auto"/>
              <w:left w:val="single" w:sz="6" w:space="0" w:color="auto"/>
              <w:bottom w:val="single" w:sz="6" w:space="0" w:color="auto"/>
              <w:right w:val="single" w:sz="6" w:space="0" w:color="auto"/>
            </w:tcBorders>
          </w:tcPr>
          <w:p w14:paraId="58DAF8C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w:t>
            </w:r>
          </w:p>
        </w:tc>
        <w:tc>
          <w:tcPr>
            <w:tcW w:w="1190" w:type="dxa"/>
            <w:tcBorders>
              <w:top w:val="single" w:sz="6" w:space="0" w:color="auto"/>
              <w:left w:val="single" w:sz="6" w:space="0" w:color="auto"/>
              <w:bottom w:val="single" w:sz="6" w:space="0" w:color="auto"/>
              <w:right w:val="single" w:sz="6" w:space="0" w:color="auto"/>
            </w:tcBorders>
          </w:tcPr>
          <w:p w14:paraId="6385B03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w:t>
            </w:r>
          </w:p>
        </w:tc>
        <w:tc>
          <w:tcPr>
            <w:tcW w:w="970" w:type="dxa"/>
            <w:tcBorders>
              <w:top w:val="single" w:sz="6" w:space="0" w:color="auto"/>
              <w:left w:val="single" w:sz="6" w:space="0" w:color="auto"/>
              <w:bottom w:val="single" w:sz="6" w:space="0" w:color="auto"/>
              <w:right w:val="single" w:sz="6" w:space="0" w:color="auto"/>
            </w:tcBorders>
          </w:tcPr>
          <w:p w14:paraId="1AC73A3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w:t>
            </w:r>
          </w:p>
        </w:tc>
        <w:tc>
          <w:tcPr>
            <w:tcW w:w="1190" w:type="dxa"/>
            <w:tcBorders>
              <w:top w:val="single" w:sz="6" w:space="0" w:color="auto"/>
              <w:left w:val="single" w:sz="6" w:space="0" w:color="auto"/>
              <w:bottom w:val="single" w:sz="6" w:space="0" w:color="auto"/>
              <w:right w:val="single" w:sz="12" w:space="0" w:color="auto"/>
            </w:tcBorders>
          </w:tcPr>
          <w:p w14:paraId="6810A42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w:t>
            </w:r>
          </w:p>
        </w:tc>
      </w:tr>
      <w:tr w:rsidR="005106D0" w:rsidRPr="007224C3" w14:paraId="25035AD1" w14:textId="77777777">
        <w:trPr>
          <w:trHeight w:val="163"/>
        </w:trPr>
        <w:tc>
          <w:tcPr>
            <w:tcW w:w="1296" w:type="dxa"/>
            <w:tcBorders>
              <w:top w:val="single" w:sz="6" w:space="0" w:color="auto"/>
              <w:left w:val="single" w:sz="12" w:space="0" w:color="auto"/>
              <w:bottom w:val="single" w:sz="6" w:space="0" w:color="auto"/>
              <w:right w:val="single" w:sz="6" w:space="0" w:color="auto"/>
            </w:tcBorders>
          </w:tcPr>
          <w:p w14:paraId="0A2A7FD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Ров, мм</w:t>
            </w:r>
          </w:p>
        </w:tc>
        <w:tc>
          <w:tcPr>
            <w:tcW w:w="778" w:type="dxa"/>
            <w:tcBorders>
              <w:top w:val="single" w:sz="6" w:space="0" w:color="auto"/>
              <w:left w:val="single" w:sz="6" w:space="0" w:color="auto"/>
              <w:bottom w:val="single" w:sz="6" w:space="0" w:color="auto"/>
              <w:right w:val="single" w:sz="6" w:space="0" w:color="auto"/>
            </w:tcBorders>
          </w:tcPr>
          <w:p w14:paraId="1B7632F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2500</w:t>
            </w:r>
          </w:p>
        </w:tc>
        <w:tc>
          <w:tcPr>
            <w:tcW w:w="1190" w:type="dxa"/>
            <w:tcBorders>
              <w:top w:val="single" w:sz="6" w:space="0" w:color="auto"/>
              <w:left w:val="single" w:sz="6" w:space="0" w:color="auto"/>
              <w:bottom w:val="single" w:sz="6" w:space="0" w:color="auto"/>
              <w:right w:val="single" w:sz="6" w:space="0" w:color="auto"/>
            </w:tcBorders>
          </w:tcPr>
          <w:p w14:paraId="208E16D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2500</w:t>
            </w:r>
          </w:p>
        </w:tc>
        <w:tc>
          <w:tcPr>
            <w:tcW w:w="970" w:type="dxa"/>
            <w:tcBorders>
              <w:top w:val="single" w:sz="6" w:space="0" w:color="auto"/>
              <w:left w:val="single" w:sz="6" w:space="0" w:color="auto"/>
              <w:bottom w:val="single" w:sz="6" w:space="0" w:color="auto"/>
              <w:right w:val="single" w:sz="6" w:space="0" w:color="auto"/>
            </w:tcBorders>
          </w:tcPr>
          <w:p w14:paraId="060FA35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2500</w:t>
            </w:r>
          </w:p>
        </w:tc>
        <w:tc>
          <w:tcPr>
            <w:tcW w:w="1190" w:type="dxa"/>
            <w:tcBorders>
              <w:top w:val="single" w:sz="6" w:space="0" w:color="auto"/>
              <w:left w:val="single" w:sz="6" w:space="0" w:color="auto"/>
              <w:bottom w:val="single" w:sz="6" w:space="0" w:color="auto"/>
              <w:right w:val="single" w:sz="12" w:space="0" w:color="auto"/>
            </w:tcBorders>
          </w:tcPr>
          <w:p w14:paraId="20F9AA3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2200</w:t>
            </w:r>
          </w:p>
        </w:tc>
      </w:tr>
      <w:tr w:rsidR="005106D0" w:rsidRPr="007224C3" w14:paraId="7DE3A7F2" w14:textId="77777777">
        <w:trPr>
          <w:trHeight w:val="173"/>
        </w:trPr>
        <w:tc>
          <w:tcPr>
            <w:tcW w:w="1296" w:type="dxa"/>
            <w:tcBorders>
              <w:top w:val="single" w:sz="6" w:space="0" w:color="auto"/>
              <w:left w:val="single" w:sz="12" w:space="0" w:color="auto"/>
              <w:bottom w:val="single" w:sz="6" w:space="0" w:color="auto"/>
              <w:right w:val="single" w:sz="6" w:space="0" w:color="auto"/>
            </w:tcBorders>
          </w:tcPr>
          <w:p w14:paraId="0CBFDA2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Стенка, мм</w:t>
            </w:r>
          </w:p>
        </w:tc>
        <w:tc>
          <w:tcPr>
            <w:tcW w:w="778" w:type="dxa"/>
            <w:tcBorders>
              <w:top w:val="single" w:sz="6" w:space="0" w:color="auto"/>
              <w:left w:val="single" w:sz="6" w:space="0" w:color="auto"/>
              <w:bottom w:val="single" w:sz="6" w:space="0" w:color="auto"/>
              <w:right w:val="single" w:sz="6" w:space="0" w:color="auto"/>
            </w:tcBorders>
          </w:tcPr>
          <w:p w14:paraId="3721801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750</w:t>
            </w:r>
          </w:p>
        </w:tc>
        <w:tc>
          <w:tcPr>
            <w:tcW w:w="1190" w:type="dxa"/>
            <w:tcBorders>
              <w:top w:val="single" w:sz="6" w:space="0" w:color="auto"/>
              <w:left w:val="single" w:sz="6" w:space="0" w:color="auto"/>
              <w:bottom w:val="single" w:sz="6" w:space="0" w:color="auto"/>
              <w:right w:val="single" w:sz="6" w:space="0" w:color="auto"/>
            </w:tcBorders>
          </w:tcPr>
          <w:p w14:paraId="1B3B850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750</w:t>
            </w:r>
          </w:p>
        </w:tc>
        <w:tc>
          <w:tcPr>
            <w:tcW w:w="970" w:type="dxa"/>
            <w:tcBorders>
              <w:top w:val="single" w:sz="6" w:space="0" w:color="auto"/>
              <w:left w:val="single" w:sz="6" w:space="0" w:color="auto"/>
              <w:bottom w:val="single" w:sz="6" w:space="0" w:color="auto"/>
              <w:right w:val="single" w:sz="6" w:space="0" w:color="auto"/>
            </w:tcBorders>
          </w:tcPr>
          <w:p w14:paraId="556AA6B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750</w:t>
            </w:r>
          </w:p>
        </w:tc>
        <w:tc>
          <w:tcPr>
            <w:tcW w:w="1190" w:type="dxa"/>
            <w:tcBorders>
              <w:top w:val="single" w:sz="6" w:space="0" w:color="auto"/>
              <w:left w:val="single" w:sz="6" w:space="0" w:color="auto"/>
              <w:bottom w:val="single" w:sz="6" w:space="0" w:color="auto"/>
              <w:right w:val="single" w:sz="12" w:space="0" w:color="auto"/>
            </w:tcBorders>
          </w:tcPr>
          <w:p w14:paraId="7789D60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900</w:t>
            </w:r>
          </w:p>
        </w:tc>
      </w:tr>
      <w:tr w:rsidR="005106D0" w:rsidRPr="007224C3" w14:paraId="0EFC2A81" w14:textId="77777777">
        <w:trPr>
          <w:trHeight w:val="211"/>
        </w:trPr>
        <w:tc>
          <w:tcPr>
            <w:tcW w:w="1296" w:type="dxa"/>
            <w:tcBorders>
              <w:top w:val="single" w:sz="6" w:space="0" w:color="auto"/>
              <w:left w:val="single" w:sz="12" w:space="0" w:color="auto"/>
              <w:bottom w:val="single" w:sz="6" w:space="0" w:color="auto"/>
              <w:right w:val="single" w:sz="6" w:space="0" w:color="auto"/>
            </w:tcBorders>
          </w:tcPr>
          <w:p w14:paraId="21AEE92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Брод, мм</w:t>
            </w:r>
          </w:p>
        </w:tc>
        <w:tc>
          <w:tcPr>
            <w:tcW w:w="778" w:type="dxa"/>
            <w:tcBorders>
              <w:top w:val="single" w:sz="6" w:space="0" w:color="auto"/>
              <w:left w:val="single" w:sz="6" w:space="0" w:color="auto"/>
              <w:bottom w:val="single" w:sz="6" w:space="0" w:color="auto"/>
              <w:right w:val="single" w:sz="6" w:space="0" w:color="auto"/>
            </w:tcBorders>
          </w:tcPr>
          <w:p w14:paraId="4E322DF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1300</w:t>
            </w:r>
          </w:p>
        </w:tc>
        <w:tc>
          <w:tcPr>
            <w:tcW w:w="1190" w:type="dxa"/>
            <w:tcBorders>
              <w:top w:val="single" w:sz="6" w:space="0" w:color="auto"/>
              <w:left w:val="single" w:sz="6" w:space="0" w:color="auto"/>
              <w:bottom w:val="single" w:sz="6" w:space="0" w:color="auto"/>
              <w:right w:val="single" w:sz="6" w:space="0" w:color="auto"/>
            </w:tcBorders>
          </w:tcPr>
          <w:p w14:paraId="761B3A0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1300</w:t>
            </w:r>
          </w:p>
        </w:tc>
        <w:tc>
          <w:tcPr>
            <w:tcW w:w="970" w:type="dxa"/>
            <w:tcBorders>
              <w:top w:val="single" w:sz="6" w:space="0" w:color="auto"/>
              <w:left w:val="single" w:sz="6" w:space="0" w:color="auto"/>
              <w:bottom w:val="single" w:sz="6" w:space="0" w:color="auto"/>
              <w:right w:val="single" w:sz="6" w:space="0" w:color="auto"/>
            </w:tcBorders>
          </w:tcPr>
          <w:p w14:paraId="0D8EB0D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1300</w:t>
            </w:r>
          </w:p>
        </w:tc>
        <w:tc>
          <w:tcPr>
            <w:tcW w:w="1190" w:type="dxa"/>
            <w:tcBorders>
              <w:top w:val="single" w:sz="6" w:space="0" w:color="auto"/>
              <w:left w:val="single" w:sz="6" w:space="0" w:color="auto"/>
              <w:bottom w:val="single" w:sz="6" w:space="0" w:color="auto"/>
              <w:right w:val="single" w:sz="12" w:space="0" w:color="auto"/>
            </w:tcBorders>
          </w:tcPr>
          <w:p w14:paraId="36239AF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1300</w:t>
            </w:r>
          </w:p>
        </w:tc>
      </w:tr>
      <w:tr w:rsidR="005106D0" w:rsidRPr="007224C3" w14:paraId="035163AF" w14:textId="77777777">
        <w:trPr>
          <w:trHeight w:val="221"/>
        </w:trPr>
        <w:tc>
          <w:tcPr>
            <w:tcW w:w="1296" w:type="dxa"/>
            <w:tcBorders>
              <w:top w:val="single" w:sz="6" w:space="0" w:color="auto"/>
              <w:left w:val="single" w:sz="12" w:space="0" w:color="auto"/>
              <w:bottom w:val="single" w:sz="12" w:space="0" w:color="auto"/>
              <w:right w:val="single" w:sz="6" w:space="0" w:color="auto"/>
            </w:tcBorders>
          </w:tcPr>
          <w:p w14:paraId="7AF7629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 завода № 183</w:t>
            </w:r>
          </w:p>
        </w:tc>
        <w:tc>
          <w:tcPr>
            <w:tcW w:w="778" w:type="dxa"/>
            <w:tcBorders>
              <w:top w:val="single" w:sz="6" w:space="0" w:color="auto"/>
              <w:left w:val="single" w:sz="6" w:space="0" w:color="auto"/>
              <w:bottom w:val="single" w:sz="12" w:space="0" w:color="auto"/>
              <w:right w:val="single" w:sz="6" w:space="0" w:color="auto"/>
            </w:tcBorders>
          </w:tcPr>
          <w:p w14:paraId="7F8F135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12" w:space="0" w:color="auto"/>
              <w:right w:val="single" w:sz="6" w:space="0" w:color="auto"/>
            </w:tcBorders>
          </w:tcPr>
          <w:p w14:paraId="2EE72AE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12" w:space="0" w:color="auto"/>
              <w:right w:val="single" w:sz="6" w:space="0" w:color="auto"/>
            </w:tcBorders>
          </w:tcPr>
          <w:p w14:paraId="7565E8C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12" w:space="0" w:color="auto"/>
              <w:right w:val="single" w:sz="12" w:space="0" w:color="auto"/>
            </w:tcBorders>
          </w:tcPr>
          <w:p w14:paraId="61A147E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6469EB7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Танк Т-34 гаубичный. Проект завода № 9. Данные расчетные.</w:t>
      </w:r>
    </w:p>
    <w:p w14:paraId="4E7B2B9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6443E4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мая 1944 на СФ 46 шап до конца боевых действий на севере нанес 12 топмачтовых ударов и израсходовал 120 250-кг бомб. Потопил 20 плавединиц и повредил 5, т.е. на единицу 2.4 вылета и 4.8 бомб (4365).</w:t>
      </w:r>
    </w:p>
    <w:p w14:paraId="6315543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74580E" w14:textId="77777777" w:rsidR="00564BE7" w:rsidRPr="007224C3" w:rsidRDefault="00564BE7"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 мае 1944 г. на базе двух воздухоплаватель</w:t>
      </w:r>
      <w:r w:rsidRPr="007224C3">
        <w:rPr>
          <w:rFonts w:ascii="Times New Roman" w:hAnsi="Times New Roman"/>
          <w:color w:val="0070C0"/>
          <w:sz w:val="16"/>
          <w:szCs w:val="16"/>
        </w:rPr>
        <w:softHyphen/>
        <w:t>ных отрядов 1-го ОВДААН сформировали 10-й ОВДААН, приданный 1-му Украинскому фрон</w:t>
      </w:r>
      <w:r w:rsidRPr="007224C3">
        <w:rPr>
          <w:rFonts w:ascii="Times New Roman" w:hAnsi="Times New Roman"/>
          <w:color w:val="0070C0"/>
          <w:sz w:val="16"/>
          <w:szCs w:val="16"/>
        </w:rPr>
        <w:softHyphen/>
        <w:t>ту. Перед наступлением на львовском направ</w:t>
      </w:r>
      <w:r w:rsidRPr="007224C3">
        <w:rPr>
          <w:rFonts w:ascii="Times New Roman" w:hAnsi="Times New Roman"/>
          <w:color w:val="0070C0"/>
          <w:sz w:val="16"/>
          <w:szCs w:val="16"/>
        </w:rPr>
        <w:softHyphen/>
        <w:t>лении один из его отрядов с артиллерийской батареей перебросили на второстепенное на</w:t>
      </w:r>
      <w:r w:rsidRPr="007224C3">
        <w:rPr>
          <w:rFonts w:ascii="Times New Roman" w:hAnsi="Times New Roman"/>
          <w:color w:val="0070C0"/>
          <w:sz w:val="16"/>
          <w:szCs w:val="16"/>
        </w:rPr>
        <w:softHyphen/>
        <w:t>правление для демонстрации ложных подъёмов аэростата.</w:t>
      </w:r>
    </w:p>
    <w:p w14:paraId="0562F0A0" w14:textId="77777777" w:rsidR="00564BE7" w:rsidRPr="007224C3" w:rsidRDefault="00564BE7"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 период подготовки Львовско-Сандомир- ской операции воздушная разведка выполня</w:t>
      </w:r>
      <w:r w:rsidRPr="007224C3">
        <w:rPr>
          <w:rFonts w:ascii="Times New Roman" w:hAnsi="Times New Roman"/>
          <w:color w:val="0070C0"/>
          <w:sz w:val="16"/>
          <w:szCs w:val="16"/>
        </w:rPr>
        <w:softHyphen/>
        <w:t>лась 118-м отдельным корректировочно-разве</w:t>
      </w:r>
      <w:r w:rsidRPr="007224C3">
        <w:rPr>
          <w:rFonts w:ascii="Times New Roman" w:hAnsi="Times New Roman"/>
          <w:color w:val="0070C0"/>
          <w:sz w:val="16"/>
          <w:szCs w:val="16"/>
        </w:rPr>
        <w:softHyphen/>
        <w:t>дывательным авиационным полком. Подъёмы аэростатов производили в основном ночью. Когда требовалась разведка хорошо замаскиро</w:t>
      </w:r>
      <w:r w:rsidRPr="007224C3">
        <w:rPr>
          <w:rFonts w:ascii="Times New Roman" w:hAnsi="Times New Roman"/>
          <w:color w:val="0070C0"/>
          <w:sz w:val="16"/>
          <w:szCs w:val="16"/>
        </w:rPr>
        <w:softHyphen/>
        <w:t>ванных целей на главных направлениях удара применялся уже описанный способ «уколов». За несколько дней до начала наступления отряды 10-го ОВДААН передали в расположение коман</w:t>
      </w:r>
      <w:r w:rsidRPr="007224C3">
        <w:rPr>
          <w:rFonts w:ascii="Times New Roman" w:hAnsi="Times New Roman"/>
          <w:color w:val="0070C0"/>
          <w:sz w:val="16"/>
          <w:szCs w:val="16"/>
        </w:rPr>
        <w:softHyphen/>
        <w:t>дующего артиллерией 60-й армии, действовав</w:t>
      </w:r>
      <w:r w:rsidRPr="007224C3">
        <w:rPr>
          <w:rFonts w:ascii="Times New Roman" w:hAnsi="Times New Roman"/>
          <w:color w:val="0070C0"/>
          <w:sz w:val="16"/>
          <w:szCs w:val="16"/>
        </w:rPr>
        <w:softHyphen/>
        <w:t>шей на направлении главного удара.</w:t>
      </w:r>
    </w:p>
    <w:p w14:paraId="3FB5CDF1" w14:textId="77777777" w:rsidR="00564BE7" w:rsidRPr="007224C3" w:rsidRDefault="00564BE7"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Утром 14 июля 1944 г. после мощной артилле</w:t>
      </w:r>
      <w:r w:rsidRPr="007224C3">
        <w:rPr>
          <w:rFonts w:ascii="Times New Roman" w:hAnsi="Times New Roman"/>
          <w:color w:val="0070C0"/>
          <w:sz w:val="16"/>
          <w:szCs w:val="16"/>
        </w:rPr>
        <w:softHyphen/>
        <w:t>рийской подготовки и авиационной поддержки советские войска устремились вперёд. С первы</w:t>
      </w:r>
      <w:r w:rsidRPr="007224C3">
        <w:rPr>
          <w:rFonts w:ascii="Times New Roman" w:hAnsi="Times New Roman"/>
          <w:color w:val="0070C0"/>
          <w:sz w:val="16"/>
          <w:szCs w:val="16"/>
        </w:rPr>
        <w:softHyphen/>
        <w:t>ми залпами «катюш» аэростаты поднялись в воз</w:t>
      </w:r>
      <w:r w:rsidRPr="007224C3">
        <w:rPr>
          <w:rFonts w:ascii="Times New Roman" w:hAnsi="Times New Roman"/>
          <w:color w:val="0070C0"/>
          <w:sz w:val="16"/>
          <w:szCs w:val="16"/>
        </w:rPr>
        <w:softHyphen/>
        <w:t>дух. Началась корректировка огня по батареям врага, затруднявшим продвижение нашей пехо</w:t>
      </w:r>
      <w:r w:rsidRPr="007224C3">
        <w:rPr>
          <w:rFonts w:ascii="Times New Roman" w:hAnsi="Times New Roman"/>
          <w:color w:val="0070C0"/>
          <w:sz w:val="16"/>
          <w:szCs w:val="16"/>
        </w:rPr>
        <w:softHyphen/>
        <w:t>ты. В районе Колтова советские войска прорвали вторую полосу обороны противника. Образовал</w:t>
      </w:r>
      <w:r w:rsidRPr="007224C3">
        <w:rPr>
          <w:rFonts w:ascii="Times New Roman" w:hAnsi="Times New Roman"/>
          <w:color w:val="0070C0"/>
          <w:sz w:val="16"/>
          <w:szCs w:val="16"/>
        </w:rPr>
        <w:softHyphen/>
        <w:t>ся так называемый «колтовский коридор» длиной до 18 км и шириной 6 км. В эту узкую горловину бросили танковые армии, а для их поддержки — артиллерийские части вместе с приданными им отрядами ААН. Наращивая силы и развивая на</w:t>
      </w:r>
      <w:r w:rsidRPr="007224C3">
        <w:rPr>
          <w:rFonts w:ascii="Times New Roman" w:hAnsi="Times New Roman"/>
          <w:color w:val="0070C0"/>
          <w:sz w:val="16"/>
          <w:szCs w:val="16"/>
        </w:rPr>
        <w:softHyphen/>
        <w:t>ступление, 18 июля советские войска ударами с севера и юга взяли в клещи в районе Золочев, Броды восемь дивизий врага. По окружённым войскам провели несколько успешных коррек</w:t>
      </w:r>
      <w:r w:rsidRPr="007224C3">
        <w:rPr>
          <w:rFonts w:ascii="Times New Roman" w:hAnsi="Times New Roman"/>
          <w:color w:val="0070C0"/>
          <w:sz w:val="16"/>
          <w:szCs w:val="16"/>
        </w:rPr>
        <w:softHyphen/>
        <w:t>тировок артиллерийского огня. Во время одной из корректировок в районе с. Зозули (под Золо- чевым) мелкие группы противника пытались вырваться из окружения непосредственно через район подъёмной площадки аэростатов наблю</w:t>
      </w:r>
      <w:r w:rsidRPr="007224C3">
        <w:rPr>
          <w:rFonts w:ascii="Times New Roman" w:hAnsi="Times New Roman"/>
          <w:color w:val="0070C0"/>
          <w:sz w:val="16"/>
          <w:szCs w:val="16"/>
        </w:rPr>
        <w:softHyphen/>
        <w:t>дения. Личный состав 1-го отряда (командир — капитан Н.П. Самойленко) вместе с другими ча</w:t>
      </w:r>
      <w:r w:rsidRPr="007224C3">
        <w:rPr>
          <w:rFonts w:ascii="Times New Roman" w:hAnsi="Times New Roman"/>
          <w:color w:val="0070C0"/>
          <w:sz w:val="16"/>
          <w:szCs w:val="16"/>
        </w:rPr>
        <w:softHyphen/>
        <w:t>стями отразил атаки врага.</w:t>
      </w:r>
    </w:p>
    <w:p w14:paraId="3CAA69A6" w14:textId="77777777" w:rsidR="00564BE7" w:rsidRPr="007224C3" w:rsidRDefault="00564BE7"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Когда развернулись бои за Львов, воздухо</w:t>
      </w:r>
      <w:r w:rsidRPr="007224C3">
        <w:rPr>
          <w:rFonts w:ascii="Times New Roman" w:hAnsi="Times New Roman"/>
          <w:color w:val="0070C0"/>
          <w:sz w:val="16"/>
          <w:szCs w:val="16"/>
        </w:rPr>
        <w:softHyphen/>
        <w:t>плаватели 10-го ОВДААН надёжно обеспечива</w:t>
      </w:r>
      <w:r w:rsidRPr="007224C3">
        <w:rPr>
          <w:rFonts w:ascii="Times New Roman" w:hAnsi="Times New Roman"/>
          <w:color w:val="0070C0"/>
          <w:sz w:val="16"/>
          <w:szCs w:val="16"/>
        </w:rPr>
        <w:softHyphen/>
        <w:t>ли артиллеристов данными о противнике. Семь уничтоженных вражеских батарей — таков бое</w:t>
      </w:r>
      <w:r w:rsidRPr="007224C3">
        <w:rPr>
          <w:rFonts w:ascii="Times New Roman" w:hAnsi="Times New Roman"/>
          <w:color w:val="0070C0"/>
          <w:sz w:val="16"/>
          <w:szCs w:val="16"/>
        </w:rPr>
        <w:softHyphen/>
        <w:t>вой счёт воздухоплавателей только за две недели июля 1944 г.</w:t>
      </w:r>
    </w:p>
    <w:p w14:paraId="70A3C9A3" w14:textId="77777777" w:rsidR="00564BE7" w:rsidRPr="007224C3" w:rsidRDefault="00564BE7"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27 июля Львов был освобождён. 10-й ОВДА</w:t>
      </w:r>
      <w:r w:rsidRPr="007224C3">
        <w:rPr>
          <w:rFonts w:ascii="Times New Roman" w:hAnsi="Times New Roman"/>
          <w:color w:val="0070C0"/>
          <w:sz w:val="16"/>
          <w:szCs w:val="16"/>
        </w:rPr>
        <w:softHyphen/>
        <w:t>АН (командир — майор В.А. Подъюров) был на</w:t>
      </w:r>
      <w:r w:rsidRPr="007224C3">
        <w:rPr>
          <w:rFonts w:ascii="Times New Roman" w:hAnsi="Times New Roman"/>
          <w:color w:val="0070C0"/>
          <w:sz w:val="16"/>
          <w:szCs w:val="16"/>
        </w:rPr>
        <w:softHyphen/>
        <w:t>граждён орденом Красной Звезды и получил по</w:t>
      </w:r>
      <w:r w:rsidRPr="007224C3">
        <w:rPr>
          <w:rFonts w:ascii="Times New Roman" w:hAnsi="Times New Roman"/>
          <w:color w:val="0070C0"/>
          <w:sz w:val="16"/>
          <w:szCs w:val="16"/>
        </w:rPr>
        <w:softHyphen/>
        <w:t>чётное наименование «Львовского» (20120).</w:t>
      </w:r>
    </w:p>
    <w:p w14:paraId="567B653B" w14:textId="77777777" w:rsidR="00564BE7" w:rsidRPr="007224C3" w:rsidRDefault="00564BE7" w:rsidP="007224C3">
      <w:pPr>
        <w:spacing w:after="0" w:line="240" w:lineRule="auto"/>
        <w:jc w:val="both"/>
        <w:rPr>
          <w:rFonts w:ascii="Times New Roman" w:hAnsi="Times New Roman"/>
          <w:color w:val="0070C0"/>
          <w:sz w:val="16"/>
          <w:szCs w:val="16"/>
        </w:rPr>
      </w:pPr>
    </w:p>
    <w:p w14:paraId="444CFE46"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Внешняя политика:</w:t>
      </w:r>
    </w:p>
    <w:p w14:paraId="58C3AF0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61E731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 г. Бенеш подписал с СССР еще одно важное соглашение - о передаче гражданского управления на освобожденной чехословацкой территории чехословацкому правительству (3871).</w:t>
      </w:r>
    </w:p>
    <w:p w14:paraId="3932012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627601"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3255D97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2852AB6" w14:textId="77777777" w:rsidR="00714AC7" w:rsidRPr="007224C3" w:rsidRDefault="00714AC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 года испытания Hs-117 "Schmetterling" показали значительные результаты, превосходящие даже достижения "Wasserfall". В момент сброса ускорителей скорость Hs-117 "Schmetterling" составляла 304 м/с, хотя потом понижалась до 210-270 м/с. Ракета поражала цели на высотах до 10,5 км и горизонтальной дальности до 32 км. Увеличение массы боеового заряда до 40 кг снизило показатели Hs-117 "Schmetterling" по высоте поражения до 5 км и дальности до 12 км. Испытания подтвердили готовность конструкции и, кроме того, выявили массу положительных характеристик. Ракета чрезвычайно легко управлялась и превосходила по маневренности любой самолет того времени. При этом время полета ЗУР составляло около 4-х минут, что было более чем достаточно. В виду неоспоримого превосходства проекта Hs-117 "Schmetterling" над всеми другими вариантами, уже в начале 1945 года Третий Рейх принял решение о развертывании массового производства этих ракет. К концу 1945 года планировалось иметь 600 батарей ракет для обороны воздушного пространства Германии на Западе. Однако этим планам не суждено было сбыться. Впоследствии Hs-117 "Schmetterling" под обозначением Р-105 испытывалась специалистами из НИИ ВВС РККА на полигоне Капустин Яр, где подтвердила свои высокие характеристики (15139).</w:t>
      </w:r>
    </w:p>
    <w:p w14:paraId="69C45897" w14:textId="77777777" w:rsidR="00714AC7" w:rsidRPr="007224C3" w:rsidRDefault="00714AC7" w:rsidP="007224C3">
      <w:pPr>
        <w:spacing w:after="0" w:line="240" w:lineRule="auto"/>
        <w:jc w:val="both"/>
        <w:rPr>
          <w:rFonts w:ascii="Times New Roman" w:hAnsi="Times New Roman"/>
          <w:color w:val="000000" w:themeColor="text1"/>
          <w:sz w:val="16"/>
          <w:szCs w:val="16"/>
        </w:rPr>
      </w:pPr>
    </w:p>
    <w:p w14:paraId="2C8775D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1944-го в Травемюнде в Германии испытали Hs-129 c большого обтекателя для находящегося снизу орудия РаК 40 калибра 75 мм и испытания показали, что летать с таким большим наростом в общем можно. Заменив механический привод на пушке электрическим и установив мощный дульный тормоз, орудием, получившим обозначение ВК 7,5, оснастили небольшую серию Hs 129В-3/Wa. Штурмовики последней и самой грозной модификации получили в конце 1944-го две эскадрильи на "Восточном фронте, 12-кг снаряды калибра 75 мм были грозным оружием для любой бронетехники, но самолетов Hs 129B-3/ Wa выпустили немного, а полное превосходство советской авиации не позволяло немецким штурмовикам выполнять свои атаки безнаказанно (3039,31).</w:t>
      </w:r>
    </w:p>
    <w:p w14:paraId="63C0A2E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36640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1944 в виде деревянного макета на стандартном Hs 129B-2 (зав.N.141258) в E-Stelle (испытательном отделе) в Травемюнде была испытана 75-мм пушка РаК 40, которую первоначально сконструировали как сухопутное противотанковое орудие. Она устанавливалась под фюзеляжем в большом обтекаемом контейнере. На задней части фюзеляжа и хвостового оперения этого подвергшегося интенсивным испытаниям самолета для аэродинамических исследования были закреплены кисточки из шерсти. Установка была намного лучше, чем такая же на Ju 88Р-1, поскольку отличительной особенностью последней было удаление выхлопных газов через оба борта установки, где они попадали в поток от воздушных винтов. В установке на Hs 129 газы удалялись назад, что являлось с технической стороны намного удовлетворительней. Во второй половине 1943 - первой половине 1944 на Hs 129 стали опробовать новое вооружение - 30-мм пушки МК 103 (та же МК 101 с сильно увеличенной дульной энергией), 37-мм ВК 3.7 и 50-мм ВК 5. Результаты этих испытаний привели к запуску в производство новой серии, обозначенной Hs 129В-2, которая была чисто пушечной со снятыми бомбодержателями. До появления этого подтипа, Hs 129B-1 были оснащены были оснащены 4-кг кумулятивными бомбами SD 4, способными пробить броню советских танков. Они использовались в боевых действиях вплоть до внедрения улучшенных Hs 129B-2. Были разработаны четыре подтипа Hs 129B-2, первый из которых Hs 129B-2.R1, кроме снятых бомбодержателей, имел два 13-мм пулемета MG 131, сменивших 7.9-мм MG 17. Hs 129B-2.R2 в дополнение к стандартному встроенному вооружению имел в подфюзеляжной гондоле 30-мм пушку МК 103. Hs 129B-2.R3 нес 37-мм противотанковую пушку ВК 3.7 под фюзеляжем, однако два MG 131 были сняты (3188).</w:t>
      </w:r>
    </w:p>
    <w:p w14:paraId="71A8B19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B1E5AA" w14:textId="77777777" w:rsidR="00822884" w:rsidRPr="007224C3" w:rsidRDefault="00822884" w:rsidP="007224C3">
      <w:pPr>
        <w:spacing w:after="0" w:line="240" w:lineRule="auto"/>
        <w:jc w:val="both"/>
        <w:rPr>
          <w:rFonts w:ascii="Times New Roman" w:hAnsi="Times New Roman"/>
          <w:color w:val="000000" w:themeColor="text1"/>
          <w:sz w:val="16"/>
          <w:szCs w:val="16"/>
          <w:shd w:val="clear" w:color="auto" w:fill="FFFFFF"/>
        </w:rPr>
      </w:pPr>
      <w:r w:rsidRPr="007224C3">
        <w:rPr>
          <w:rFonts w:ascii="Times New Roman" w:hAnsi="Times New Roman"/>
          <w:color w:val="000000" w:themeColor="text1"/>
          <w:sz w:val="16"/>
          <w:szCs w:val="16"/>
          <w:shd w:val="clear" w:color="auto" w:fill="FFFFFF"/>
        </w:rPr>
        <w:t>В мае 1944 года Мессершмитт занялся разработкой оснащения перехватчика бомбодержателями. Был разработан вариант с установкой на фюзеляже Me-262 двух 250-кг или одной 500-кг бомбы. Но параллельно с проектом штурмовика-бомбардировщика конструкторы втайне от командования люфтваффе продолжали дорабатывать проект истребителя.</w:t>
      </w:r>
    </w:p>
    <w:p w14:paraId="16C495AF" w14:textId="77777777" w:rsidR="00822884" w:rsidRPr="007224C3" w:rsidRDefault="00822884" w:rsidP="007224C3">
      <w:pPr>
        <w:spacing w:after="0" w:line="240" w:lineRule="auto"/>
        <w:jc w:val="both"/>
        <w:rPr>
          <w:rFonts w:ascii="Times New Roman" w:hAnsi="Times New Roman"/>
          <w:color w:val="000000" w:themeColor="text1"/>
          <w:sz w:val="16"/>
          <w:szCs w:val="16"/>
          <w:shd w:val="clear" w:color="auto" w:fill="FFFFFF"/>
        </w:rPr>
      </w:pPr>
      <w:r w:rsidRPr="007224C3">
        <w:rPr>
          <w:rFonts w:ascii="Times New Roman" w:hAnsi="Times New Roman"/>
          <w:color w:val="000000" w:themeColor="text1"/>
          <w:sz w:val="16"/>
          <w:szCs w:val="16"/>
          <w:shd w:val="clear" w:color="auto" w:fill="FFFFFF"/>
        </w:rPr>
        <w:lastRenderedPageBreak/>
        <w:t>В ходе инспекции, которая прошла в июле 1944 года, было установлено, что работы над проектом реактивного перехватчика не свернуты. Фюрер был в ярости, и итогом этого инцидента стал личный контроль Гитлера над проектом Me-262. Любое изменение в конструкции реактивного «мессершмитта» с этого момента мог утверждать только Гитлер.</w:t>
      </w:r>
    </w:p>
    <w:p w14:paraId="0EAF15D9" w14:textId="77777777" w:rsidR="00822884" w:rsidRPr="007224C3" w:rsidRDefault="00822884" w:rsidP="007224C3">
      <w:pPr>
        <w:spacing w:after="0" w:line="240" w:lineRule="auto"/>
        <w:jc w:val="both"/>
        <w:rPr>
          <w:rFonts w:ascii="Times New Roman" w:hAnsi="Times New Roman"/>
          <w:color w:val="000000" w:themeColor="text1"/>
          <w:sz w:val="16"/>
          <w:szCs w:val="16"/>
          <w:shd w:val="clear" w:color="auto" w:fill="FFFFFF"/>
        </w:rPr>
      </w:pPr>
      <w:r w:rsidRPr="007224C3">
        <w:rPr>
          <w:rFonts w:ascii="Times New Roman" w:hAnsi="Times New Roman"/>
          <w:color w:val="000000" w:themeColor="text1"/>
          <w:sz w:val="16"/>
          <w:szCs w:val="16"/>
          <w:shd w:val="clear" w:color="auto" w:fill="FFFFFF"/>
        </w:rPr>
        <w:t>В июле 1944 года было создано подразделение Kommando Nowotny (Команда Новотны) под командованием немецкого аса Вальтера Новотны (258 сбитых самолетов противника). Оно оснащалось тридцатью Me-262, снабженными бомбодержателями.</w:t>
      </w:r>
    </w:p>
    <w:p w14:paraId="6DE5CCF1" w14:textId="77777777" w:rsidR="00822884" w:rsidRPr="007224C3" w:rsidRDefault="0082288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shd w:val="clear" w:color="auto" w:fill="FFFFFF"/>
        </w:rPr>
        <w:t>Перед «командой Новотны» была поставлена задача проверить штурмовик в боевых условиях. Новотны нарушил приказ и использовал реактивный самолет в качестве истребителя, в чем добился немалого успеха. После серии отчетов с фронта об удачном применении Me-262 в качестве перехватчика в ноябре Геринг решился отдать приказ о формировании истребительной части с реактивными «мессершмиттами». Также командующий люфтваффе сумел убедить фюрера пересмотреть свое мнение о новом самолете. В декабре 1944 года люфтваффе приняло на вооружение около трехсот истребителей Me-262, а проект производства штурмовиков был закрыт (19691).</w:t>
      </w:r>
    </w:p>
    <w:p w14:paraId="23F432B6" w14:textId="77777777" w:rsidR="00822884" w:rsidRPr="007224C3" w:rsidRDefault="00822884" w:rsidP="007224C3">
      <w:pPr>
        <w:spacing w:after="0" w:line="240" w:lineRule="auto"/>
        <w:jc w:val="both"/>
        <w:rPr>
          <w:rFonts w:ascii="Times New Roman" w:hAnsi="Times New Roman"/>
          <w:color w:val="000000" w:themeColor="text1"/>
          <w:sz w:val="16"/>
          <w:szCs w:val="16"/>
        </w:rPr>
      </w:pPr>
    </w:p>
    <w:p w14:paraId="6A4A3F0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мая 1944 началось комплектование серийными Ме-163В-1а, оснащенных двумя 30-мм пушками МК 108 эскадрилий первой группы 400 истребительной эскадры. Всего построили до февраля 1945 237 Ме 163В (3973,21).</w:t>
      </w:r>
    </w:p>
    <w:p w14:paraId="3D60608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CBB234" w14:textId="77777777" w:rsidR="003A3DF1" w:rsidRPr="007224C3" w:rsidRDefault="003A3DF1"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 мае 1944 немецкие Люфтваффе испытывает 50 ракет класса "воздух-воздух" Henschel Hs 117 Schmetterling (бабочка), некоторые из них сброшены с Heinkel He 111, чтобы проверить их возможности в качестве ракет класса "воздух-воздух". Более половины ракет выходят из строя, но серийное производство Hs 117 будет заказано в декабре (20373).</w:t>
      </w:r>
    </w:p>
    <w:p w14:paraId="3A806B0E" w14:textId="77777777" w:rsidR="003A3DF1" w:rsidRPr="007224C3" w:rsidRDefault="003A3DF1" w:rsidP="007224C3">
      <w:pPr>
        <w:spacing w:after="0" w:line="240" w:lineRule="auto"/>
        <w:jc w:val="both"/>
        <w:rPr>
          <w:rFonts w:ascii="Times New Roman" w:hAnsi="Times New Roman"/>
          <w:color w:val="0070C0"/>
          <w:sz w:val="16"/>
          <w:szCs w:val="16"/>
        </w:rPr>
      </w:pPr>
    </w:p>
    <w:p w14:paraId="6B97BCCB" w14:textId="77777777" w:rsidR="003A3DF1" w:rsidRPr="007224C3" w:rsidRDefault="003A3DF1"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 мае 1944 союзники получили первый немецкий пилотируемый буксируемый автожир-змей Фокке-Achgelis 330, когда они захватывают подводную лодку U-852 нетронутым с Fa 330 уложенном на борту (20373).</w:t>
      </w:r>
    </w:p>
    <w:p w14:paraId="3732A73E" w14:textId="77777777" w:rsidR="003A3DF1" w:rsidRPr="007224C3" w:rsidRDefault="003A3DF1" w:rsidP="007224C3">
      <w:pPr>
        <w:spacing w:after="0" w:line="240" w:lineRule="auto"/>
        <w:jc w:val="both"/>
        <w:rPr>
          <w:rFonts w:ascii="Times New Roman" w:hAnsi="Times New Roman"/>
          <w:color w:val="0070C0"/>
          <w:sz w:val="16"/>
          <w:szCs w:val="16"/>
        </w:rPr>
      </w:pPr>
    </w:p>
    <w:p w14:paraId="31CB40B5" w14:textId="77777777" w:rsidR="002B0823" w:rsidRPr="007224C3" w:rsidRDefault="002B0823" w:rsidP="007224C3">
      <w:pPr>
        <w:shd w:val="clear" w:color="auto" w:fill="FFFFFF"/>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С мая 1944 года, готовя открытие Второго фронта, сотни бомбардировщиков, в основном типа «Галифакс» III, атаковали железнодорожные станции на путях снабжения гарнизонов «Западного Вала», системы оборонительных сооружений на берегу Ла-Манша и Северного моря. Одновременно «галифаксы» нанесли удары по позициям радаров и звукоулавливающих станций, чтобы лишить систему ПВО ее «глаз и ушей». Но когда перешли к бомбежке укрепрайонов, эффективность ночных ударов оказалась ничтожной, а жертвы среди французского мирного населения слишком велики, и после долгого перерыва пришлось вернуться к дневным операциям, которые проводились совместно с американцами под прикрытием истребителей Р-51 «Мустанг» и Р-47 «Тандерболт». Когда операция «Оверлорд» началась, Бомбардировочное Командование приступило и к действиям непосредственно в интересах сухопутных войск. Например, 30 июня 250 «ланкастеров» атаковали танки дивизий СС «Дас Райх» и «Хохенстауфен» в районе Кан — Вилле-Бокаж, где Союзники едва не потерпели поражение (22866).</w:t>
      </w:r>
    </w:p>
    <w:p w14:paraId="5D7E3E29" w14:textId="77777777" w:rsidR="002B0823" w:rsidRPr="007224C3" w:rsidRDefault="002B0823" w:rsidP="007224C3">
      <w:pPr>
        <w:shd w:val="clear" w:color="auto" w:fill="FFFFFF"/>
        <w:spacing w:after="0" w:line="240" w:lineRule="auto"/>
        <w:jc w:val="both"/>
        <w:rPr>
          <w:rFonts w:ascii="Times New Roman" w:hAnsi="Times New Roman"/>
          <w:color w:val="0070C0"/>
          <w:sz w:val="16"/>
          <w:szCs w:val="16"/>
        </w:rPr>
      </w:pPr>
    </w:p>
    <w:p w14:paraId="1379BDEA" w14:textId="77777777" w:rsidR="003A3DF1" w:rsidRPr="007224C3" w:rsidRDefault="003A3DF1"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 мае 1944 американские самолеты провели четыре месяца интенсивных бомбардировок японских войск на атолле Мили, потеряв 26 самолетов (20373).</w:t>
      </w:r>
    </w:p>
    <w:p w14:paraId="40776398" w14:textId="77777777" w:rsidR="003A3DF1" w:rsidRPr="007224C3" w:rsidRDefault="003A3DF1" w:rsidP="007224C3">
      <w:pPr>
        <w:spacing w:after="0" w:line="240" w:lineRule="auto"/>
        <w:jc w:val="both"/>
        <w:rPr>
          <w:rFonts w:ascii="Times New Roman" w:hAnsi="Times New Roman"/>
          <w:color w:val="0070C0"/>
          <w:sz w:val="16"/>
          <w:szCs w:val="16"/>
        </w:rPr>
      </w:pPr>
    </w:p>
    <w:p w14:paraId="35651B34"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02D157C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10165D1" w14:textId="77777777" w:rsidR="009D7F3A" w:rsidRPr="007224C3" w:rsidRDefault="009D7F3A" w:rsidP="007224C3">
      <w:pPr>
        <w:pStyle w:val="ae"/>
        <w:spacing w:before="0" w:after="0"/>
        <w:jc w:val="both"/>
        <w:textAlignment w:val="baseline"/>
        <w:rPr>
          <w:color w:val="0070C0"/>
          <w:sz w:val="16"/>
          <w:szCs w:val="16"/>
          <w:bdr w:val="none" w:sz="0" w:space="0" w:color="auto" w:frame="1"/>
        </w:rPr>
      </w:pPr>
      <w:r w:rsidRPr="007224C3">
        <w:rPr>
          <w:color w:val="0070C0"/>
          <w:sz w:val="16"/>
          <w:szCs w:val="16"/>
          <w:bdr w:val="none" w:sz="0" w:space="0" w:color="auto" w:frame="1"/>
        </w:rPr>
        <w:t>С мая 1944 г. по май 1945 г. в 3-й ВА моторы АМ-38ф наработали 40250 ч. В среднем ежемесячно действовало 350 моторов. За это же время было преждевременно снято по конструктивно-производственным дефектам 85 моторов (среднее время наработки 40 ч). В то же время установленный ресурс в 150 ч полностью выработали 105 моторов. Наработка на отказ моторов АМ-38ф в частях 5-й ВА в 1945 г. без учета моторов, поврежденных в бою и вышедших из строя по причине неграмотной эксплуатации, составила 90 ч.</w:t>
      </w:r>
    </w:p>
    <w:p w14:paraId="1DABD37A" w14:textId="77777777" w:rsidR="009D7F3A" w:rsidRPr="007224C3" w:rsidRDefault="009D7F3A" w:rsidP="007224C3">
      <w:pPr>
        <w:pStyle w:val="ae"/>
        <w:spacing w:before="0" w:after="0"/>
        <w:jc w:val="both"/>
        <w:textAlignment w:val="baseline"/>
        <w:rPr>
          <w:color w:val="0070C0"/>
          <w:sz w:val="16"/>
          <w:szCs w:val="16"/>
        </w:rPr>
      </w:pPr>
      <w:r w:rsidRPr="007224C3">
        <w:rPr>
          <w:color w:val="0070C0"/>
          <w:sz w:val="16"/>
          <w:szCs w:val="16"/>
          <w:bdr w:val="none" w:sz="0" w:space="0" w:color="auto" w:frame="1"/>
        </w:rPr>
        <w:t>Несмотря на обширную номенклатуру дефектов, мотор АМ-38Ф, как показывает анализ документов инженерно-авиационной службы воздушных армий, по надежности занимал первое место среди остальных отечественных моторов, находящихся на снабжении ВВС КА. Действительно, например в 15-й ВА количество моторов АМ-38Ф, снятых в 1945 г. по выработке ресурса, увеличилось в 1,4 раза в сравнении с предыдущим годом, а количество снятых моторов до выработки ресурса, наоборот, уменьшилось в 5,5 раза. При этом наработка в часах на один отказ мотора АМ-38Ф возросла с 50,6 ч до 99 ч, что более чем вдвое было выше результата, показываемого любым другим отечественным мотором. Так, мотор М-105ПФ в 1944 г. нарабатывал 42,8 ч на один отказ, а в 1945 г. - 48,9 ч.</w:t>
      </w:r>
    </w:p>
    <w:p w14:paraId="63DCACE9" w14:textId="77777777" w:rsidR="009D7F3A" w:rsidRPr="007224C3" w:rsidRDefault="009D7F3A" w:rsidP="007224C3">
      <w:pPr>
        <w:pStyle w:val="ae"/>
        <w:shd w:val="clear" w:color="auto" w:fill="FBFCFC"/>
        <w:spacing w:before="0" w:after="0"/>
        <w:jc w:val="both"/>
        <w:textAlignment w:val="baseline"/>
        <w:rPr>
          <w:color w:val="0070C0"/>
          <w:sz w:val="16"/>
          <w:szCs w:val="16"/>
        </w:rPr>
      </w:pPr>
      <w:r w:rsidRPr="007224C3">
        <w:rPr>
          <w:color w:val="0070C0"/>
          <w:sz w:val="16"/>
          <w:szCs w:val="16"/>
          <w:bdr w:val="none" w:sz="0" w:space="0" w:color="auto" w:frame="1"/>
        </w:rPr>
        <w:t>Если на каждые 100 моторов среднего парка свой ресурс полностью вырабатывали 11,5 моторов М-105ПФ, то АМ-38Ф - 16,5 моторов (20442).</w:t>
      </w:r>
    </w:p>
    <w:p w14:paraId="23E24C53" w14:textId="77777777" w:rsidR="009D7F3A" w:rsidRPr="007224C3" w:rsidRDefault="009D7F3A" w:rsidP="007224C3">
      <w:pPr>
        <w:spacing w:after="0" w:line="240" w:lineRule="auto"/>
        <w:jc w:val="both"/>
        <w:rPr>
          <w:rFonts w:ascii="Times New Roman" w:hAnsi="Times New Roman"/>
          <w:color w:val="0070C0"/>
          <w:sz w:val="16"/>
          <w:szCs w:val="16"/>
        </w:rPr>
      </w:pPr>
    </w:p>
    <w:p w14:paraId="34216ED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мае-июле 1944 года на самолете Ил-6 установили опытные форсированные двигатели АЧ-30БФ, имевшие кроме обычного взлетного режима, на котором эти двигатели развивали мощность 1900 л.с., еще и так называемый боевой режим, на котором их мощность достигала 1500 л.с. на высоте 6000 м. Для повышения надежности работы АЧ-30БФ на этих режимах в двигателе осуществлялся двухфазный процесс смесеобразования. Первая фаза - впрыск в сжатый воздух, поступавший из нагнетателей турбокомпрессоров, обычного авиационного бензина, вторая - подача в образовавшуюся смесь порции дизельного топлива: тракторного керосина.</w:t>
      </w:r>
    </w:p>
    <w:p w14:paraId="01A6307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Установка двигателей с проектной взлетной мощностью позволила произвести дооборудование Ил-6 бортовыми пушечными установками, усилить бронезащиту членов экипажа, находившихся в средней кабине. По результатам первых полетов в ЛИИ была изменена форма и уменьшена площадь руля высоты, а центровка самолета сдвинута назад с 23,4% до 26,4% САХ (9528).</w:t>
      </w:r>
    </w:p>
    <w:p w14:paraId="5F9ED19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DCB30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мая 1944 г. по 25 июля 1945 г. самолет ДВБ-102 в доработанном виде - т.е. с форсированными двигателями АШ-71Ф с турбокомпрессорами ТК-3, которые удалось получить лишь в 1944 г. и в соответствии с макетом дублера, с переделанной носовой кабиной, когда каплевидный, смещенный к левому борту фонарь летчика был заменен на новый, занимавший практически всю ширину фюзеляжа, что заметно улучшило обзор и дало возможность штурману подменять летчика в длительном полете - проходил совместные летные испытания. Ведущими летчиками на этом этапе от ОКБ-482 был Ф.Ф.Опадчий, а от ЛИИ - И.И.Шунейко. От заказчика ведущими по машине были инженер М.И.Ефимов, летчик В. И. Жданов, штурман Н.П.Цветков и инженер по силовой установке А.Ф.Абашин (3337).</w:t>
      </w:r>
    </w:p>
    <w:p w14:paraId="2FCCF8E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76466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мае-июне 1944 проходили гос. испытания Пе-2И. Самолет одобрили и выпустили войсковую серию (4,173). Это была наша версия Москито и фюзеляж в нижней части сделали овальным, чтобы разместить сначала 1000 кг, а потом 2000 кг бомбу. В хвостовой части была электродистанционная установка под УБ. Двигатели ВК-107А с реактивными патрубками. Экипаж - 2 человека (1947,79). Это был первый этап. Летали и-м Г.В.Грибакин и м А.М.Хрипков, а ш был Ромашко. Скорость - от 556 км/час у земли и 656 км/час на второй границе высотности (2471,36).</w:t>
      </w:r>
    </w:p>
    <w:p w14:paraId="0578DBD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9717A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мае-июне 1944 г., когда Пе-2И уже летал, самолет Пе-2Б вновь попал в НИИ ВВС. И хотя по результатам госиспытаний Пе-2Б был рекомендован в серию, но НКАП отклонил это предложение, делая ставку на “суперпешку” - Пе-2И (4476).</w:t>
      </w:r>
    </w:p>
    <w:p w14:paraId="277268B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28C7B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мая 1944 по июнь 1945 на 153 заводе серийно выпускался Як-9М вплоть до освоения Як-9У с ВК-107А (65,140).</w:t>
      </w:r>
    </w:p>
    <w:p w14:paraId="1681B18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83AAC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мае-июне 1944 проходили гос. испытания Як-9 N 0909 с М-105 ПФ N 325-2065. Летал Ю.А.Антипов (809,12).</w:t>
      </w:r>
    </w:p>
    <w:p w14:paraId="3E3AA8D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6C548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мае-июне 1944 г. заводом N 166 было выпущено 30 самолетов Як-9 с ВК107А, предназначенных для переоборудования под высотный вариант по решению ГОКО, и они прибыли на завод N 301 в июле-августе 1944 г (2074,123).</w:t>
      </w:r>
    </w:p>
    <w:p w14:paraId="35F4057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820C6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мая по сентябрь 1944 на 153 заводе изготовили 399 Як-9ДД (65,138).</w:t>
      </w:r>
    </w:p>
    <w:p w14:paraId="3121CBE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97BDF8" w14:textId="77777777" w:rsidR="00822884" w:rsidRPr="007224C3" w:rsidRDefault="0082288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мае-июне 1944 г. из-под Куйбышева в Ленинград в полном составе вместе с оборудованием был переведен филиал завода № 327, который и составил ядро будущего коллектива (18297).</w:t>
      </w:r>
    </w:p>
    <w:p w14:paraId="705FD29E" w14:textId="77777777" w:rsidR="00822884" w:rsidRPr="007224C3" w:rsidRDefault="00822884" w:rsidP="007224C3">
      <w:pPr>
        <w:spacing w:after="0" w:line="240" w:lineRule="auto"/>
        <w:jc w:val="both"/>
        <w:rPr>
          <w:rFonts w:ascii="Times New Roman" w:hAnsi="Times New Roman"/>
          <w:color w:val="000000" w:themeColor="text1"/>
          <w:sz w:val="16"/>
          <w:szCs w:val="16"/>
        </w:rPr>
      </w:pPr>
    </w:p>
    <w:p w14:paraId="271FFD99"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1150965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BA49DE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 июне 1944 г. завод изготовил еще два опытных танка Объект 701: № 1 и № 2. После поли</w:t>
      </w:r>
      <w:r w:rsidRPr="007224C3">
        <w:rPr>
          <w:rFonts w:ascii="Times New Roman" w:hAnsi="Times New Roman"/>
          <w:color w:val="000000" w:themeColor="text1"/>
          <w:sz w:val="16"/>
          <w:szCs w:val="16"/>
        </w:rPr>
        <w:softHyphen/>
        <w:t>гонных испытаний, проведенных Государственной комиссией в Челя</w:t>
      </w:r>
      <w:r w:rsidRPr="007224C3">
        <w:rPr>
          <w:rFonts w:ascii="Times New Roman" w:hAnsi="Times New Roman"/>
          <w:color w:val="000000" w:themeColor="text1"/>
          <w:sz w:val="16"/>
          <w:szCs w:val="16"/>
        </w:rPr>
        <w:softHyphen/>
        <w:t>бинске, оба танка были демонтированы. С учетом замечаний Государст</w:t>
      </w:r>
      <w:r w:rsidRPr="007224C3">
        <w:rPr>
          <w:rFonts w:ascii="Times New Roman" w:hAnsi="Times New Roman"/>
          <w:color w:val="000000" w:themeColor="text1"/>
          <w:sz w:val="16"/>
          <w:szCs w:val="16"/>
        </w:rPr>
        <w:softHyphen/>
        <w:t>венной комиссии в сентябре был изготовлен еще один опытный образец танка (№ 4), который после испытаний также был демонтирован. В но</w:t>
      </w:r>
      <w:r w:rsidRPr="007224C3">
        <w:rPr>
          <w:rFonts w:ascii="Times New Roman" w:hAnsi="Times New Roman"/>
          <w:color w:val="000000" w:themeColor="text1"/>
          <w:sz w:val="16"/>
          <w:szCs w:val="16"/>
        </w:rPr>
        <w:softHyphen/>
        <w:t>ябре 1944 г. завод выпустил два новых опытных образца (№ 5 и 6), ко</w:t>
      </w:r>
      <w:r w:rsidRPr="007224C3">
        <w:rPr>
          <w:rFonts w:ascii="Times New Roman" w:hAnsi="Times New Roman"/>
          <w:color w:val="000000" w:themeColor="text1"/>
          <w:sz w:val="16"/>
          <w:szCs w:val="16"/>
        </w:rPr>
        <w:softHyphen/>
        <w:t>торые успешно прошли полигонные испытания в декабре 1944 - янва</w:t>
      </w:r>
      <w:r w:rsidRPr="007224C3">
        <w:rPr>
          <w:rFonts w:ascii="Times New Roman" w:hAnsi="Times New Roman"/>
          <w:color w:val="000000" w:themeColor="text1"/>
          <w:sz w:val="16"/>
          <w:szCs w:val="16"/>
        </w:rPr>
        <w:softHyphen/>
        <w:t>ре 1945 гг. и были рекомендованы к серийному производству (10703).</w:t>
      </w:r>
    </w:p>
    <w:p w14:paraId="554ADBB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DC072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мая по август 1944 г. все конст</w:t>
      </w:r>
      <w:r w:rsidRPr="007224C3">
        <w:rPr>
          <w:rFonts w:ascii="Times New Roman" w:hAnsi="Times New Roman"/>
          <w:color w:val="000000" w:themeColor="text1"/>
          <w:sz w:val="16"/>
          <w:szCs w:val="16"/>
        </w:rPr>
        <w:softHyphen/>
        <w:t>рукторы и рабочие опытного цеха, созданного на ЧКЗ весной 1944 г., были вовлечены в процесс проектирования, изготовления, испытания и доводки первых трех опытных танков "Объект 701" (10703).</w:t>
      </w:r>
    </w:p>
    <w:p w14:paraId="1B0B067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103A58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 июне 1944 г. по результатам испытаний был изготовлен второй опытный образец СУ-100 Объект-138, который стал головным образцом серийного производства. Серийное производство было организовано на УЗТМ с сентября 1944 г. по октябрь 1945 г. За время Великой Отечественной войны с сентября 1944 г. до 1 июня 1945 г. было выпущено 1560 самоходных установок, которые широко использовали в боях на заключительном этапе войны. Всего за время серийного производства выпустили 2495 самоходных установок СУ-100 (10703).</w:t>
      </w:r>
    </w:p>
    <w:p w14:paraId="53F2CD0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B0E90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мае-июне 1944 г. новая САУ, получившая индекс С-59 (сна</w:t>
      </w:r>
      <w:r w:rsidRPr="007224C3">
        <w:rPr>
          <w:rFonts w:ascii="Times New Roman" w:hAnsi="Times New Roman"/>
          <w:color w:val="000000" w:themeColor="text1"/>
          <w:sz w:val="16"/>
          <w:szCs w:val="16"/>
        </w:rPr>
        <w:softHyphen/>
        <w:t>чала проект шел под индексом С-56), была изготовлена и пе</w:t>
      </w:r>
      <w:r w:rsidRPr="007224C3">
        <w:rPr>
          <w:rFonts w:ascii="Times New Roman" w:hAnsi="Times New Roman"/>
          <w:color w:val="000000" w:themeColor="text1"/>
          <w:sz w:val="16"/>
          <w:szCs w:val="16"/>
        </w:rPr>
        <w:softHyphen/>
        <w:t>редана для проведения полигонных испытаний. Конструк</w:t>
      </w:r>
      <w:r w:rsidRPr="007224C3">
        <w:rPr>
          <w:rFonts w:ascii="Times New Roman" w:hAnsi="Times New Roman"/>
          <w:color w:val="000000" w:themeColor="text1"/>
          <w:sz w:val="16"/>
          <w:szCs w:val="16"/>
        </w:rPr>
        <w:softHyphen/>
        <w:t>тивно С-59 в целом повторяла С-51, но создавалась на шасси танка ИС-85 (здесь имеется разночтение данных ЦАКБ с данными полигона, так как в материалах по испытанию ука</w:t>
      </w:r>
      <w:r w:rsidRPr="007224C3">
        <w:rPr>
          <w:rFonts w:ascii="Times New Roman" w:hAnsi="Times New Roman"/>
          <w:color w:val="000000" w:themeColor="text1"/>
          <w:sz w:val="16"/>
          <w:szCs w:val="16"/>
        </w:rPr>
        <w:softHyphen/>
        <w:t>зано «улучшенное шасси тяжелого танка КВ»). Не вполне понятно, почему установка даже на этапе эскизного проекта не была дополнена откидным сошником, как то рекомендо</w:t>
      </w:r>
      <w:r w:rsidRPr="007224C3">
        <w:rPr>
          <w:rFonts w:ascii="Times New Roman" w:hAnsi="Times New Roman"/>
          <w:color w:val="000000" w:themeColor="text1"/>
          <w:sz w:val="16"/>
          <w:szCs w:val="16"/>
        </w:rPr>
        <w:softHyphen/>
        <w:t>валось по результатам предварительных испытаний С-51.</w:t>
      </w:r>
    </w:p>
    <w:p w14:paraId="31E876B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проведении полигонных испытаний на АНИОП были выявлены недостатки, аналогичные тем, что были об</w:t>
      </w:r>
      <w:r w:rsidRPr="007224C3">
        <w:rPr>
          <w:rFonts w:ascii="Times New Roman" w:hAnsi="Times New Roman"/>
          <w:color w:val="000000" w:themeColor="text1"/>
          <w:sz w:val="16"/>
          <w:szCs w:val="16"/>
        </w:rPr>
        <w:softHyphen/>
        <w:t>наружены при испытании С-51, причем отдача при стрельбе полным зарядом из 152-мм пушки оказалась еще большей. Но на вооружение САУ не рекомендовалась, и дальнейшие работы по данному типу САУ были прекращены (11417).</w:t>
      </w:r>
    </w:p>
    <w:p w14:paraId="3E1EA3F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852CFF" w14:textId="77777777" w:rsidR="00714AC7" w:rsidRPr="007224C3" w:rsidRDefault="00714AC7" w:rsidP="007224C3">
      <w:pPr>
        <w:pStyle w:val="a3"/>
        <w:rPr>
          <w:color w:val="000000" w:themeColor="text1"/>
          <w:lang w:val="ru-RU"/>
        </w:rPr>
      </w:pPr>
      <w:r w:rsidRPr="007224C3">
        <w:rPr>
          <w:color w:val="000000" w:themeColor="text1"/>
          <w:lang w:val="ru-RU"/>
        </w:rPr>
        <w:t>В мае-июне 1944 г. выпустили остальные пять машин АТ-45 опытной партии. Таким образом, постановление ГОКО №5122 от 6 февраля 1944 г. было успешно выполнено в установлен</w:t>
      </w:r>
      <w:r w:rsidRPr="007224C3">
        <w:rPr>
          <w:color w:val="000000" w:themeColor="text1"/>
          <w:lang w:val="ru-RU"/>
        </w:rPr>
        <w:softHyphen/>
        <w:t>ный срок.</w:t>
      </w:r>
    </w:p>
    <w:p w14:paraId="681C0C8C" w14:textId="77777777" w:rsidR="00714AC7" w:rsidRPr="007224C3" w:rsidRDefault="00714AC7" w:rsidP="007224C3">
      <w:pPr>
        <w:pStyle w:val="a3"/>
        <w:rPr>
          <w:color w:val="000000" w:themeColor="text1"/>
          <w:lang w:val="ru-RU"/>
        </w:rPr>
      </w:pPr>
      <w:r w:rsidRPr="007224C3">
        <w:rPr>
          <w:color w:val="000000" w:themeColor="text1"/>
          <w:lang w:val="ru-RU"/>
        </w:rPr>
        <w:t>Быстроходный гусеничный артиллерий</w:t>
      </w:r>
      <w:r w:rsidRPr="007224C3">
        <w:rPr>
          <w:color w:val="000000" w:themeColor="text1"/>
          <w:lang w:val="ru-RU"/>
        </w:rPr>
        <w:softHyphen/>
        <w:t>ский тягач АТ-45 большой мощности был раз</w:t>
      </w:r>
      <w:r w:rsidRPr="007224C3">
        <w:rPr>
          <w:color w:val="000000" w:themeColor="text1"/>
          <w:lang w:val="ru-RU"/>
        </w:rPr>
        <w:softHyphen/>
        <w:t>работан с широким использованием узлов и механизмов ходовой части и трансмиссии танка Т-34 (унификация достигала 60%), что в значительной мере облегчало организацию его серийного производства, а также эксплу</w:t>
      </w:r>
      <w:r w:rsidRPr="007224C3">
        <w:rPr>
          <w:color w:val="000000" w:themeColor="text1"/>
          <w:lang w:val="ru-RU"/>
        </w:rPr>
        <w:softHyphen/>
        <w:t>атацию и ремонт как в частях Красной Армии, так и в промышленности.</w:t>
      </w:r>
    </w:p>
    <w:p w14:paraId="171A55DE" w14:textId="77777777" w:rsidR="00714AC7" w:rsidRPr="007224C3" w:rsidRDefault="00714AC7" w:rsidP="007224C3">
      <w:pPr>
        <w:pStyle w:val="a3"/>
        <w:rPr>
          <w:color w:val="000000" w:themeColor="text1"/>
          <w:lang w:val="ru-RU"/>
        </w:rPr>
      </w:pPr>
      <w:r w:rsidRPr="007224C3">
        <w:rPr>
          <w:color w:val="000000" w:themeColor="text1"/>
          <w:lang w:val="ru-RU"/>
        </w:rPr>
        <w:t>По аналогии с ранее выпускавшимися за</w:t>
      </w:r>
      <w:r w:rsidRPr="007224C3">
        <w:rPr>
          <w:color w:val="000000" w:themeColor="text1"/>
          <w:lang w:val="ru-RU"/>
        </w:rPr>
        <w:softHyphen/>
        <w:t>водом №183 тягачами («Коминтерн», «Воро</w:t>
      </w:r>
      <w:r w:rsidRPr="007224C3">
        <w:rPr>
          <w:color w:val="000000" w:themeColor="text1"/>
          <w:lang w:val="ru-RU"/>
        </w:rPr>
        <w:softHyphen/>
        <w:t>шиловец»), общая компоновка тягача АТ-45 была выполнена с передним расположением двигателя. Масса пустого АТ-45 оказалась на 2 т больше, чем у «Ворошиловца» (16500 кг), а в рабочем состоянии достигала 19 т (против 15500 кг у предшественника). С полной загруз</w:t>
      </w:r>
      <w:r w:rsidRPr="007224C3">
        <w:rPr>
          <w:color w:val="000000" w:themeColor="text1"/>
          <w:lang w:val="ru-RU"/>
        </w:rPr>
        <w:softHyphen/>
        <w:t>кой в кузове масса АТ-45 равнялась 25 т.</w:t>
      </w:r>
    </w:p>
    <w:p w14:paraId="685CD48D" w14:textId="77777777" w:rsidR="00714AC7" w:rsidRPr="007224C3" w:rsidRDefault="00714AC7" w:rsidP="007224C3">
      <w:pPr>
        <w:pStyle w:val="a3"/>
        <w:rPr>
          <w:color w:val="000000" w:themeColor="text1"/>
          <w:lang w:val="ru-RU"/>
        </w:rPr>
      </w:pPr>
      <w:r w:rsidRPr="007224C3">
        <w:rPr>
          <w:color w:val="000000" w:themeColor="text1"/>
          <w:lang w:val="ru-RU"/>
        </w:rPr>
        <w:t>Все агрегаты АТ-45 монтировались на сварной коробчатой раме (типа «башмак»), В ее передних углах были вварены кронштей</w:t>
      </w:r>
      <w:r w:rsidRPr="007224C3">
        <w:rPr>
          <w:color w:val="000000" w:themeColor="text1"/>
          <w:lang w:val="ru-RU"/>
        </w:rPr>
        <w:softHyphen/>
        <w:t>ны ленивцев и коробки натяжных механизмов. Сверху в передней части находился секцион</w:t>
      </w:r>
      <w:r w:rsidRPr="007224C3">
        <w:rPr>
          <w:color w:val="000000" w:themeColor="text1"/>
          <w:lang w:val="ru-RU"/>
        </w:rPr>
        <w:softHyphen/>
        <w:t>ный радиатор. Масляный радиатор состоял из трех секций (три левые секции по ходу тягача), смонтированных в общей раме водяного ради</w:t>
      </w:r>
      <w:r w:rsidRPr="007224C3">
        <w:rPr>
          <w:color w:val="000000" w:themeColor="text1"/>
          <w:lang w:val="ru-RU"/>
        </w:rPr>
        <w:softHyphen/>
        <w:t>атора. Непосредственно за радиатором стояли два вентилятора с клиновым ременным приво</w:t>
      </w:r>
      <w:r w:rsidRPr="007224C3">
        <w:rPr>
          <w:color w:val="000000" w:themeColor="text1"/>
          <w:lang w:val="ru-RU"/>
        </w:rPr>
        <w:softHyphen/>
        <w:t>дом от шкива на коленчатом валу двигателя.</w:t>
      </w:r>
    </w:p>
    <w:p w14:paraId="4C531A2F" w14:textId="77777777" w:rsidR="00714AC7" w:rsidRPr="007224C3" w:rsidRDefault="00714AC7" w:rsidP="007224C3">
      <w:pPr>
        <w:pStyle w:val="a3"/>
        <w:rPr>
          <w:color w:val="000000" w:themeColor="text1"/>
          <w:lang w:val="ru-RU"/>
        </w:rPr>
      </w:pPr>
      <w:r w:rsidRPr="007224C3">
        <w:rPr>
          <w:color w:val="000000" w:themeColor="text1"/>
          <w:lang w:val="ru-RU"/>
        </w:rPr>
        <w:t>В передней части рамы размещался двигатель В2-45 с главным фрикционом, за</w:t>
      </w:r>
      <w:r w:rsidRPr="007224C3">
        <w:rPr>
          <w:color w:val="000000" w:themeColor="text1"/>
          <w:lang w:val="ru-RU"/>
        </w:rPr>
        <w:softHyphen/>
        <w:t>имствованным от танка Т-34. По обеим сто</w:t>
      </w:r>
      <w:r w:rsidRPr="007224C3">
        <w:rPr>
          <w:color w:val="000000" w:themeColor="text1"/>
          <w:lang w:val="ru-RU"/>
        </w:rPr>
        <w:softHyphen/>
        <w:t>ронам от двигателя в межрамном простран</w:t>
      </w:r>
      <w:r w:rsidRPr="007224C3">
        <w:rPr>
          <w:color w:val="000000" w:themeColor="text1"/>
          <w:lang w:val="ru-RU"/>
        </w:rPr>
        <w:softHyphen/>
        <w:t>стве были установлены передний топливный (емкость 320 л) и масляный (разделенный перегородкой на дба отсека: рабочий емко</w:t>
      </w:r>
      <w:r w:rsidRPr="007224C3">
        <w:rPr>
          <w:color w:val="000000" w:themeColor="text1"/>
          <w:lang w:val="ru-RU"/>
        </w:rPr>
        <w:softHyphen/>
        <w:t>стью 60 л и запасной, емкостью 190 л) баки. Позади них находились воздухоочистители типа «Мультициклон» (также от Т-34). Рядом с правым воздухоочистителем располагались четыре аккумулятора. Непосредственно за главным фрикционом размещался промежу</w:t>
      </w:r>
      <w:r w:rsidRPr="007224C3">
        <w:rPr>
          <w:color w:val="000000" w:themeColor="text1"/>
          <w:lang w:val="ru-RU"/>
        </w:rPr>
        <w:softHyphen/>
        <w:t>точный вал, на картере которого монтировал</w:t>
      </w:r>
      <w:r w:rsidRPr="007224C3">
        <w:rPr>
          <w:color w:val="000000" w:themeColor="text1"/>
          <w:lang w:val="ru-RU"/>
        </w:rPr>
        <w:softHyphen/>
        <w:t>ся электростартер.</w:t>
      </w:r>
    </w:p>
    <w:p w14:paraId="2B206BAC" w14:textId="77777777" w:rsidR="00714AC7" w:rsidRPr="007224C3" w:rsidRDefault="00714AC7" w:rsidP="007224C3">
      <w:pPr>
        <w:pStyle w:val="1a"/>
        <w:shd w:val="clear" w:color="auto" w:fill="auto"/>
        <w:spacing w:line="240" w:lineRule="auto"/>
        <w:jc w:val="both"/>
        <w:rPr>
          <w:rFonts w:ascii="Times New Roman" w:hAnsi="Times New Roman" w:cs="Times New Roman"/>
          <w:color w:val="000000" w:themeColor="text1"/>
          <w:sz w:val="16"/>
          <w:szCs w:val="16"/>
          <w:lang w:val="ru-RU"/>
        </w:rPr>
      </w:pPr>
      <w:r w:rsidRPr="007224C3">
        <w:rPr>
          <w:rFonts w:ascii="Times New Roman" w:hAnsi="Times New Roman" w:cs="Times New Roman"/>
          <w:color w:val="000000" w:themeColor="text1"/>
          <w:sz w:val="16"/>
          <w:szCs w:val="16"/>
          <w:lang w:val="ru-RU"/>
        </w:rPr>
        <w:t>Рама тягача с вваренным задним мостом и кронштейнами торсионных валов в процессе монтажа элементов и узлов. Внизу - после установки двигателя ихоробки передач.</w:t>
      </w:r>
    </w:p>
    <w:p w14:paraId="15CF5CDC" w14:textId="77777777" w:rsidR="00714AC7" w:rsidRPr="007224C3" w:rsidRDefault="00714AC7" w:rsidP="007224C3">
      <w:pPr>
        <w:pStyle w:val="1a"/>
        <w:shd w:val="clear" w:color="auto" w:fill="auto"/>
        <w:spacing w:line="240" w:lineRule="auto"/>
        <w:jc w:val="both"/>
        <w:rPr>
          <w:rFonts w:ascii="Times New Roman" w:hAnsi="Times New Roman" w:cs="Times New Roman"/>
          <w:color w:val="000000" w:themeColor="text1"/>
          <w:sz w:val="16"/>
          <w:szCs w:val="16"/>
          <w:lang w:val="ru-RU"/>
        </w:rPr>
      </w:pPr>
      <w:r w:rsidRPr="007224C3">
        <w:rPr>
          <w:rFonts w:ascii="Times New Roman" w:hAnsi="Times New Roman" w:cs="Times New Roman"/>
          <w:color w:val="000000" w:themeColor="text1"/>
          <w:sz w:val="16"/>
          <w:szCs w:val="16"/>
          <w:lang w:val="ru-RU"/>
        </w:rPr>
        <w:t>Ходовая часть тягача АТ-45 перед монтажом гусеницы. Ведущее колесо и опорные катки заимствованы от танка Т-34.</w:t>
      </w:r>
    </w:p>
    <w:p w14:paraId="4F2A2050" w14:textId="77777777" w:rsidR="00714AC7" w:rsidRPr="007224C3" w:rsidRDefault="00714AC7" w:rsidP="007224C3">
      <w:pPr>
        <w:pStyle w:val="a3"/>
        <w:rPr>
          <w:color w:val="000000" w:themeColor="text1"/>
          <w:lang w:val="ru-RU"/>
        </w:rPr>
      </w:pPr>
      <w:r w:rsidRPr="007224C3">
        <w:rPr>
          <w:color w:val="000000" w:themeColor="text1"/>
          <w:lang w:val="ru-RU"/>
        </w:rPr>
        <w:t>В средней части рамы размещались два задних топливных бака общей емкостью 1100 л, между которыми проходил карданный вал, соединяющий промежуточный вал с ко</w:t>
      </w:r>
      <w:r w:rsidRPr="007224C3">
        <w:rPr>
          <w:color w:val="000000" w:themeColor="text1"/>
          <w:lang w:val="ru-RU"/>
        </w:rPr>
        <w:softHyphen/>
        <w:t>робкой передач.</w:t>
      </w:r>
    </w:p>
    <w:p w14:paraId="1E268657" w14:textId="77777777" w:rsidR="00714AC7" w:rsidRPr="007224C3" w:rsidRDefault="00714AC7" w:rsidP="007224C3">
      <w:pPr>
        <w:pStyle w:val="a3"/>
        <w:rPr>
          <w:color w:val="000000" w:themeColor="text1"/>
          <w:lang w:val="ru-RU"/>
        </w:rPr>
      </w:pPr>
      <w:r w:rsidRPr="007224C3">
        <w:rPr>
          <w:color w:val="000000" w:themeColor="text1"/>
          <w:lang w:val="ru-RU"/>
        </w:rPr>
        <w:t>В задней части рамы располагалась ко</w:t>
      </w:r>
      <w:r w:rsidRPr="007224C3">
        <w:rPr>
          <w:color w:val="000000" w:themeColor="text1"/>
          <w:lang w:val="ru-RU"/>
        </w:rPr>
        <w:softHyphen/>
        <w:t>робка передач с бортовыми фрикционами и тормозами (их конструкция была полно</w:t>
      </w:r>
      <w:r w:rsidRPr="007224C3">
        <w:rPr>
          <w:color w:val="000000" w:themeColor="text1"/>
          <w:lang w:val="ru-RU"/>
        </w:rPr>
        <w:softHyphen/>
        <w:t>стью взаимозаменяема с соответствующими агрегатами танка Т-34, за исключением под</w:t>
      </w:r>
      <w:r w:rsidRPr="007224C3">
        <w:rPr>
          <w:color w:val="000000" w:themeColor="text1"/>
          <w:lang w:val="ru-RU"/>
        </w:rPr>
        <w:softHyphen/>
        <w:t>вески тормозных лент). В кормовой части рамы размещались бортовые передачи со съемными крышками картеров и прицепное устройство.</w:t>
      </w:r>
    </w:p>
    <w:p w14:paraId="46FC72F3" w14:textId="77777777" w:rsidR="00714AC7" w:rsidRPr="007224C3" w:rsidRDefault="00714AC7" w:rsidP="007224C3">
      <w:pPr>
        <w:pStyle w:val="a3"/>
        <w:rPr>
          <w:color w:val="000000" w:themeColor="text1"/>
          <w:lang w:val="ru-RU"/>
        </w:rPr>
      </w:pPr>
      <w:r w:rsidRPr="007224C3">
        <w:rPr>
          <w:color w:val="000000" w:themeColor="text1"/>
          <w:lang w:val="ru-RU"/>
        </w:rPr>
        <w:t>Дизель В2-45 мощностью 350 л.с. (257,4 кВт) при 1400 об/мин (у «Ворошиловца» - 375 л.с. (275,7 кВт) при 1500 об/мин), по сути, являл</w:t>
      </w:r>
      <w:r w:rsidRPr="007224C3">
        <w:rPr>
          <w:color w:val="000000" w:themeColor="text1"/>
          <w:lang w:val="ru-RU"/>
        </w:rPr>
        <w:softHyphen/>
        <w:t>ся дёфорсированным вариантом танкового 2В-34 и отличался от него, прежде всего, наличием всережимного регулятора, про- тарированного на заниженное число обо</w:t>
      </w:r>
      <w:r w:rsidRPr="007224C3">
        <w:rPr>
          <w:color w:val="000000" w:themeColor="text1"/>
          <w:lang w:val="ru-RU"/>
        </w:rPr>
        <w:softHyphen/>
        <w:t>ротов, и измененной соединительной втул</w:t>
      </w:r>
      <w:r w:rsidRPr="007224C3">
        <w:rPr>
          <w:color w:val="000000" w:themeColor="text1"/>
          <w:lang w:val="ru-RU"/>
        </w:rPr>
        <w:softHyphen/>
        <w:t>кой привода к вентилятору. Пуск двигателя осуществлялся электростартером, как и на «Ворошиловце». Имелась пневмосистема, обеспечивающая зарядку баллонов для пу</w:t>
      </w:r>
      <w:r w:rsidRPr="007224C3">
        <w:rPr>
          <w:color w:val="000000" w:themeColor="text1"/>
          <w:lang w:val="ru-RU"/>
        </w:rPr>
        <w:softHyphen/>
        <w:t>ска двигателя. Максимальная скорость АТ-45 по шоссе составляла 35,2 км/ч - немногим меньше, чем у довоенной машины (36,2 км/ч). Среднее давление на грунт у АТ-45 с грузом в кузове было 0,7 кгс/см</w:t>
      </w:r>
      <w:r w:rsidRPr="007224C3">
        <w:rPr>
          <w:color w:val="000000" w:themeColor="text1"/>
          <w:vertAlign w:val="superscript"/>
          <w:lang w:val="ru-RU"/>
        </w:rPr>
        <w:t>2</w:t>
      </w:r>
      <w:r w:rsidRPr="007224C3">
        <w:rPr>
          <w:color w:val="000000" w:themeColor="text1"/>
          <w:lang w:val="ru-RU"/>
        </w:rPr>
        <w:t>, а у «Ворошилов</w:t>
      </w:r>
      <w:r w:rsidRPr="007224C3">
        <w:rPr>
          <w:color w:val="000000" w:themeColor="text1"/>
          <w:lang w:val="ru-RU"/>
        </w:rPr>
        <w:softHyphen/>
        <w:t>ца» - 0,578 кгс/см</w:t>
      </w:r>
      <w:r w:rsidRPr="007224C3">
        <w:rPr>
          <w:color w:val="000000" w:themeColor="text1"/>
          <w:vertAlign w:val="superscript"/>
          <w:lang w:val="ru-RU"/>
        </w:rPr>
        <w:t>2</w:t>
      </w:r>
      <w:r w:rsidRPr="007224C3">
        <w:rPr>
          <w:color w:val="000000" w:themeColor="text1"/>
          <w:lang w:val="ru-RU"/>
        </w:rPr>
        <w:t>.</w:t>
      </w:r>
    </w:p>
    <w:p w14:paraId="5DD2A8B8" w14:textId="77777777" w:rsidR="00714AC7" w:rsidRPr="007224C3" w:rsidRDefault="00714AC7" w:rsidP="007224C3">
      <w:pPr>
        <w:pStyle w:val="a3"/>
        <w:rPr>
          <w:color w:val="000000" w:themeColor="text1"/>
          <w:lang w:val="ru-RU"/>
        </w:rPr>
      </w:pPr>
      <w:r w:rsidRPr="007224C3">
        <w:rPr>
          <w:color w:val="000000" w:themeColor="text1"/>
          <w:lang w:val="ru-RU"/>
        </w:rPr>
        <w:t>Общая емкость топливной системы АТ-45 составляла 1420 л, что значительно превыша</w:t>
      </w:r>
      <w:r w:rsidRPr="007224C3">
        <w:rPr>
          <w:color w:val="000000" w:themeColor="text1"/>
          <w:lang w:val="ru-RU"/>
        </w:rPr>
        <w:softHyphen/>
        <w:t>ло аналогичный показатель «Ворошиловца», два топливных бака которого вмещали всего 550 л. В результате, у нового тягача оказался выше и часовой запас хода топливу в 3 раза - 30 ч против 10 ч.</w:t>
      </w:r>
    </w:p>
    <w:p w14:paraId="759F8FE1" w14:textId="77777777" w:rsidR="00714AC7" w:rsidRPr="007224C3" w:rsidRDefault="00714AC7" w:rsidP="007224C3">
      <w:pPr>
        <w:pStyle w:val="a3"/>
        <w:rPr>
          <w:color w:val="000000" w:themeColor="text1"/>
          <w:lang w:val="ru-RU"/>
        </w:rPr>
      </w:pPr>
      <w:r w:rsidRPr="007224C3">
        <w:rPr>
          <w:rStyle w:val="MSGothic"/>
          <w:rFonts w:ascii="Times New Roman" w:hAnsi="Times New Roman" w:cs="Times New Roman"/>
          <w:color w:val="000000" w:themeColor="text1"/>
          <w:sz w:val="16"/>
          <w:szCs w:val="16"/>
          <w:lang w:val="ru-RU"/>
        </w:rPr>
        <w:t>у</w:t>
      </w:r>
      <w:r w:rsidRPr="007224C3">
        <w:rPr>
          <w:color w:val="000000" w:themeColor="text1"/>
          <w:lang w:val="ru-RU"/>
        </w:rPr>
        <w:t xml:space="preserve"> Жидкостная система охлаждения двига</w:t>
      </w:r>
      <w:r w:rsidRPr="007224C3">
        <w:rPr>
          <w:color w:val="000000" w:themeColor="text1"/>
          <w:lang w:val="ru-RU"/>
        </w:rPr>
        <w:softHyphen/>
        <w:t>теля (с принуда|ельной циркуляцией через радиатор двигателя) обеспечивала эксплуа</w:t>
      </w:r>
      <w:r w:rsidRPr="007224C3">
        <w:rPr>
          <w:color w:val="000000" w:themeColor="text1"/>
          <w:lang w:val="ru-RU"/>
        </w:rPr>
        <w:softHyphen/>
        <w:t>тацию тягача в условиях широкого диапазона температур окружающего воздуха. Заправоч</w:t>
      </w:r>
      <w:r w:rsidRPr="007224C3">
        <w:rPr>
          <w:color w:val="000000" w:themeColor="text1"/>
          <w:lang w:val="ru-RU"/>
        </w:rPr>
        <w:softHyphen/>
        <w:t>ная емкость -100л.</w:t>
      </w:r>
    </w:p>
    <w:p w14:paraId="055FA04E" w14:textId="77777777" w:rsidR="00714AC7" w:rsidRPr="007224C3" w:rsidRDefault="00714AC7" w:rsidP="007224C3">
      <w:pPr>
        <w:pStyle w:val="a3"/>
        <w:rPr>
          <w:color w:val="000000" w:themeColor="text1"/>
          <w:lang w:val="ru-RU"/>
        </w:rPr>
      </w:pPr>
      <w:r w:rsidRPr="007224C3">
        <w:rPr>
          <w:color w:val="000000" w:themeColor="text1"/>
          <w:lang w:val="ru-RU"/>
        </w:rPr>
        <w:t>Удельная мощность - 18,4 л.с./т (у «Воро- шиловца»-24,0л.с./т).</w:t>
      </w:r>
    </w:p>
    <w:p w14:paraId="409583AA" w14:textId="77777777" w:rsidR="00714AC7" w:rsidRPr="007224C3" w:rsidRDefault="00714AC7" w:rsidP="007224C3">
      <w:pPr>
        <w:pStyle w:val="a3"/>
        <w:rPr>
          <w:color w:val="000000" w:themeColor="text1"/>
          <w:lang w:val="ru-RU"/>
        </w:rPr>
      </w:pPr>
      <w:r w:rsidRPr="007224C3">
        <w:rPr>
          <w:color w:val="000000" w:themeColor="text1"/>
          <w:lang w:val="ru-RU"/>
        </w:rPr>
        <w:t>Хрутящий момент двигателя передавал</w:t>
      </w:r>
      <w:r w:rsidRPr="007224C3">
        <w:rPr>
          <w:color w:val="000000" w:themeColor="text1"/>
          <w:lang w:val="ru-RU"/>
        </w:rPr>
        <w:softHyphen/>
        <w:t>ся на гусеницы по следующей кинематической: схеме: «двигатель - главный фрикцион - про</w:t>
      </w:r>
      <w:r w:rsidRPr="007224C3">
        <w:rPr>
          <w:color w:val="000000" w:themeColor="text1"/>
          <w:lang w:val="ru-RU"/>
        </w:rPr>
        <w:softHyphen/>
        <w:t>межуточный вал - карданный вал - коробка пе</w:t>
      </w:r>
      <w:r w:rsidRPr="007224C3">
        <w:rPr>
          <w:color w:val="000000" w:themeColor="text1"/>
          <w:lang w:val="ru-RU"/>
        </w:rPr>
        <w:softHyphen/>
        <w:t>ремены передач - бортовые фрикционы - бор</w:t>
      </w:r>
      <w:r w:rsidRPr="007224C3">
        <w:rPr>
          <w:color w:val="000000" w:themeColor="text1"/>
          <w:lang w:val="ru-RU"/>
        </w:rPr>
        <w:softHyphen/>
        <w:t>товые передачи - ведущие колеса - гусеницы».</w:t>
      </w:r>
    </w:p>
    <w:p w14:paraId="42E8D47E" w14:textId="77777777" w:rsidR="00714AC7" w:rsidRPr="007224C3" w:rsidRDefault="00714AC7" w:rsidP="007224C3">
      <w:pPr>
        <w:pStyle w:val="a3"/>
        <w:rPr>
          <w:color w:val="000000" w:themeColor="text1"/>
          <w:lang w:val="ru-RU"/>
        </w:rPr>
      </w:pPr>
      <w:r w:rsidRPr="007224C3">
        <w:rPr>
          <w:color w:val="000000" w:themeColor="text1"/>
          <w:lang w:val="ru-RU"/>
        </w:rPr>
        <w:t>Ведомый барабан главного фрикциона со</w:t>
      </w:r>
      <w:r w:rsidRPr="007224C3">
        <w:rPr>
          <w:color w:val="000000" w:themeColor="text1"/>
          <w:lang w:val="ru-RU"/>
        </w:rPr>
        <w:softHyphen/>
        <w:t>единялся с промежуточным валом при помощи зубчатой муфты танка Т-34. Промежуточный вал служил для уменьшения длины карданного вала и разгрузки главного фрикциона от</w:t>
      </w:r>
      <w:r w:rsidRPr="007224C3">
        <w:rPr>
          <w:rStyle w:val="10pt"/>
          <w:rFonts w:ascii="Times New Roman" w:cs="Times New Roman"/>
          <w:color w:val="000000" w:themeColor="text1"/>
          <w:spacing w:val="0"/>
          <w:sz w:val="16"/>
          <w:szCs w:val="16"/>
          <w:lang w:val="ru-RU"/>
        </w:rPr>
        <w:t xml:space="preserve"> ради</w:t>
      </w:r>
      <w:r w:rsidRPr="007224C3">
        <w:rPr>
          <w:rStyle w:val="10pt"/>
          <w:rFonts w:ascii="Times New Roman" w:cs="Times New Roman"/>
          <w:color w:val="000000" w:themeColor="text1"/>
          <w:spacing w:val="0"/>
          <w:sz w:val="16"/>
          <w:szCs w:val="16"/>
          <w:lang w:val="ru-RU"/>
        </w:rPr>
        <w:softHyphen/>
      </w:r>
      <w:r w:rsidRPr="007224C3">
        <w:rPr>
          <w:color w:val="000000" w:themeColor="text1"/>
          <w:lang w:val="ru-RU"/>
        </w:rPr>
        <w:t>альных усилий; Карданный вал соединялся с промежуточным валом и первичным валом ко</w:t>
      </w:r>
      <w:r w:rsidRPr="007224C3">
        <w:rPr>
          <w:color w:val="000000" w:themeColor="text1"/>
          <w:lang w:val="ru-RU"/>
        </w:rPr>
        <w:softHyphen/>
        <w:t>робки передач при помощи зубовых муфт.</w:t>
      </w:r>
    </w:p>
    <w:p w14:paraId="792CC767" w14:textId="77777777" w:rsidR="00714AC7" w:rsidRPr="007224C3" w:rsidRDefault="00714AC7" w:rsidP="007224C3">
      <w:pPr>
        <w:pStyle w:val="a3"/>
        <w:rPr>
          <w:color w:val="000000" w:themeColor="text1"/>
          <w:lang w:val="ru-RU"/>
        </w:rPr>
      </w:pPr>
      <w:r w:rsidRPr="007224C3">
        <w:rPr>
          <w:color w:val="000000" w:themeColor="text1"/>
          <w:lang w:val="ru-RU"/>
        </w:rPr>
        <w:t>Установка коробки передач с бортовыми фрикционами в раме тягача была выполнена по аналогии с Т-34. Ведущая шестерня бор</w:t>
      </w:r>
      <w:r w:rsidRPr="007224C3">
        <w:rPr>
          <w:color w:val="000000" w:themeColor="text1"/>
          <w:lang w:val="ru-RU"/>
        </w:rPr>
        <w:softHyphen/>
        <w:t>товой передачи вместе с опорными подшип</w:t>
      </w:r>
      <w:r w:rsidRPr="007224C3">
        <w:rPr>
          <w:color w:val="000000" w:themeColor="text1"/>
          <w:lang w:val="ru-RU"/>
        </w:rPr>
        <w:softHyphen/>
        <w:t>никами заимствовалась также от танка. Ведо</w:t>
      </w:r>
      <w:r w:rsidRPr="007224C3">
        <w:rPr>
          <w:color w:val="000000" w:themeColor="text1"/>
          <w:lang w:val="ru-RU"/>
        </w:rPr>
        <w:softHyphen/>
        <w:t>мая шестерня на АТ-45 имела 62 зуба вместо 57 Зубьев на шестерне бортовой передачи Т-34. Подшипники ведомого вала бортовой передачи были усилены по сравнению с под</w:t>
      </w:r>
      <w:r w:rsidRPr="007224C3">
        <w:rPr>
          <w:color w:val="000000" w:themeColor="text1"/>
          <w:lang w:val="ru-RU"/>
        </w:rPr>
        <w:softHyphen/>
        <w:t>шипниками танка. Ведущие колеса заимство</w:t>
      </w:r>
      <w:r w:rsidRPr="007224C3">
        <w:rPr>
          <w:color w:val="000000" w:themeColor="text1"/>
          <w:lang w:val="ru-RU"/>
        </w:rPr>
        <w:softHyphen/>
        <w:t>вались от «тридцатьчетверка.</w:t>
      </w:r>
    </w:p>
    <w:p w14:paraId="45EAAE42" w14:textId="77777777" w:rsidR="00714AC7" w:rsidRPr="007224C3" w:rsidRDefault="00714AC7" w:rsidP="007224C3">
      <w:pPr>
        <w:pStyle w:val="a3"/>
        <w:rPr>
          <w:color w:val="000000" w:themeColor="text1"/>
          <w:lang w:val="ru-RU"/>
        </w:rPr>
      </w:pPr>
      <w:r w:rsidRPr="007224C3">
        <w:rPr>
          <w:color w:val="000000" w:themeColor="text1"/>
          <w:lang w:val="ru-RU"/>
        </w:rPr>
        <w:t>Пбдвеска тягача, в отличие от танка Т-34, была торсионная (с поперечным расположени</w:t>
      </w:r>
      <w:r w:rsidRPr="007224C3">
        <w:rPr>
          <w:color w:val="000000" w:themeColor="text1"/>
          <w:lang w:val="ru-RU"/>
        </w:rPr>
        <w:softHyphen/>
        <w:t>ем</w:t>
      </w:r>
      <w:r w:rsidRPr="007224C3">
        <w:rPr>
          <w:rStyle w:val="MSReferenceSansSerif"/>
          <w:rFonts w:ascii="Times New Roman" w:hAnsi="Times New Roman" w:cs="Times New Roman"/>
          <w:color w:val="000000" w:themeColor="text1"/>
          <w:sz w:val="16"/>
          <w:szCs w:val="16"/>
          <w:lang w:val="ru-RU"/>
        </w:rPr>
        <w:t xml:space="preserve"> ТОРСИОННЫХ</w:t>
      </w:r>
      <w:r w:rsidRPr="007224C3">
        <w:rPr>
          <w:color w:val="000000" w:themeColor="text1"/>
          <w:lang w:val="ru-RU"/>
        </w:rPr>
        <w:t xml:space="preserve"> валОВ),</w:t>
      </w:r>
      <w:r w:rsidRPr="007224C3">
        <w:rPr>
          <w:rStyle w:val="MSReferenceSansSerif"/>
          <w:rFonts w:ascii="Times New Roman" w:hAnsi="Times New Roman" w:cs="Times New Roman"/>
          <w:color w:val="000000" w:themeColor="text1"/>
          <w:sz w:val="16"/>
          <w:szCs w:val="16"/>
          <w:lang w:val="ru-RU"/>
        </w:rPr>
        <w:t xml:space="preserve"> ЧТО:</w:t>
      </w:r>
      <w:r w:rsidRPr="007224C3">
        <w:rPr>
          <w:color w:val="000000" w:themeColor="text1"/>
          <w:lang w:val="ru-RU"/>
        </w:rPr>
        <w:t xml:space="preserve"> позволило, Помимо более плавного хода, использовать внутри- рамное пространство для размещения топлив</w:t>
      </w:r>
      <w:r w:rsidRPr="007224C3">
        <w:rPr>
          <w:color w:val="000000" w:themeColor="text1"/>
          <w:lang w:val="ru-RU"/>
        </w:rPr>
        <w:softHyphen/>
        <w:t>ных баков большой емкости.</w:t>
      </w:r>
    </w:p>
    <w:p w14:paraId="572BECEC" w14:textId="77777777" w:rsidR="00714AC7" w:rsidRPr="007224C3" w:rsidRDefault="00714AC7" w:rsidP="007224C3">
      <w:pPr>
        <w:pStyle w:val="a3"/>
        <w:rPr>
          <w:color w:val="000000" w:themeColor="text1"/>
          <w:lang w:val="ru-RU"/>
        </w:rPr>
      </w:pPr>
      <w:r w:rsidRPr="007224C3">
        <w:rPr>
          <w:color w:val="000000" w:themeColor="text1"/>
          <w:lang w:val="ru-RU"/>
        </w:rPr>
        <w:t>Сдвоенные опорные катки (пять на каждый борт) заимствовались от Т-34 без каких-либо изменений. Ленивец (также от Т-34) был смон</w:t>
      </w:r>
      <w:r w:rsidRPr="007224C3">
        <w:rPr>
          <w:color w:val="000000" w:themeColor="text1"/>
          <w:lang w:val="ru-RU"/>
        </w:rPr>
        <w:softHyphen/>
        <w:t>тирован на кривошипе. Натяжение гусениц и фиксирование кривошипа ленивца осущест</w:t>
      </w:r>
      <w:r w:rsidRPr="007224C3">
        <w:rPr>
          <w:color w:val="000000" w:themeColor="text1"/>
          <w:lang w:val="ru-RU"/>
        </w:rPr>
        <w:softHyphen/>
        <w:t>влялось при помощи винта.</w:t>
      </w:r>
    </w:p>
    <w:p w14:paraId="4B2CF67F" w14:textId="77777777" w:rsidR="00714AC7" w:rsidRPr="007224C3" w:rsidRDefault="00714AC7" w:rsidP="007224C3">
      <w:pPr>
        <w:pStyle w:val="a3"/>
        <w:rPr>
          <w:color w:val="000000" w:themeColor="text1"/>
          <w:lang w:val="ru-RU"/>
        </w:rPr>
      </w:pPr>
      <w:r w:rsidRPr="007224C3">
        <w:rPr>
          <w:color w:val="000000" w:themeColor="text1"/>
          <w:lang w:val="ru-RU"/>
        </w:rPr>
        <w:t>Каждая гусеница состояла из 36 гребневых траков (от Т-34) и 36 Специальных безгреб</w:t>
      </w:r>
      <w:r w:rsidRPr="007224C3">
        <w:rPr>
          <w:color w:val="000000" w:themeColor="text1"/>
          <w:lang w:val="ru-RU"/>
        </w:rPr>
        <w:softHyphen/>
        <w:t>невых траков, взаимозаменяемых с: безгреб- невыйй "траками ;танка.«Безгребневые траки ймейгпазы и^ ртдарййя-для (фепярмя доба</w:t>
      </w:r>
      <w:r w:rsidRPr="007224C3">
        <w:rPr>
          <w:color w:val="000000" w:themeColor="text1"/>
          <w:lang w:val="ru-RU"/>
        </w:rPr>
        <w:softHyphen/>
        <w:t>вочных почВозацёпов оригинальной конструк</w:t>
      </w:r>
      <w:r w:rsidRPr="007224C3">
        <w:rPr>
          <w:color w:val="000000" w:themeColor="text1"/>
          <w:lang w:val="ru-RU"/>
        </w:rPr>
        <w:softHyphen/>
        <w:t>ции, обеспечивавших сцепление гусеницы с грунтом при движении АТ-45 по плохим доро- гам. В ЗИП тягача входили 24 почвозацепа.</w:t>
      </w:r>
    </w:p>
    <w:p w14:paraId="16F93B09" w14:textId="77777777" w:rsidR="00714AC7" w:rsidRPr="007224C3" w:rsidRDefault="00714AC7" w:rsidP="007224C3">
      <w:pPr>
        <w:pStyle w:val="a3"/>
        <w:rPr>
          <w:color w:val="000000" w:themeColor="text1"/>
          <w:lang w:val="ru-RU"/>
        </w:rPr>
      </w:pPr>
      <w:r w:rsidRPr="007224C3">
        <w:rPr>
          <w:color w:val="000000" w:themeColor="text1"/>
          <w:lang w:val="ru-RU"/>
        </w:rPr>
        <w:t>Прицепное устройство - с пружинным амортизатором (две буферные вагонные пру</w:t>
      </w:r>
      <w:r w:rsidRPr="007224C3">
        <w:rPr>
          <w:color w:val="000000" w:themeColor="text1"/>
          <w:lang w:val="ru-RU"/>
        </w:rPr>
        <w:softHyphen/>
        <w:t>жины^ Для Вытаскивания застрявших или аварийных машин использовался полиспаст (количество</w:t>
      </w:r>
      <w:r w:rsidRPr="007224C3">
        <w:rPr>
          <w:color w:val="000000" w:themeColor="text1"/>
          <w:vertAlign w:val="superscript"/>
          <w:lang w:val="ru-RU"/>
        </w:rPr>
        <w:t>1</w:t>
      </w:r>
      <w:r w:rsidRPr="007224C3">
        <w:rPr>
          <w:color w:val="000000" w:themeColor="text1"/>
          <w:lang w:val="ru-RU"/>
        </w:rPr>
        <w:t xml:space="preserve"> параллельно работающих вет</w:t>
      </w:r>
      <w:r w:rsidRPr="007224C3">
        <w:rPr>
          <w:color w:val="000000" w:themeColor="text1"/>
          <w:lang w:val="ru-RU"/>
        </w:rPr>
        <w:softHyphen/>
        <w:t>вей - до трех). Длина развернутого троса по</w:t>
      </w:r>
      <w:r w:rsidRPr="007224C3">
        <w:rPr>
          <w:color w:val="000000" w:themeColor="text1"/>
          <w:lang w:val="ru-RU"/>
        </w:rPr>
        <w:softHyphen/>
        <w:t>лиспаста достигала 90 м, при этом тяговое усилие на тросе составляло 9 тс. Тяговое уси</w:t>
      </w:r>
      <w:r w:rsidRPr="007224C3">
        <w:rPr>
          <w:color w:val="000000" w:themeColor="text1"/>
          <w:lang w:val="ru-RU"/>
        </w:rPr>
        <w:softHyphen/>
        <w:t>лие на блоке полиспаста25 тс.</w:t>
      </w:r>
    </w:p>
    <w:p w14:paraId="725A7406" w14:textId="77777777" w:rsidR="00714AC7" w:rsidRPr="007224C3" w:rsidRDefault="00714AC7" w:rsidP="007224C3">
      <w:pPr>
        <w:pStyle w:val="a3"/>
        <w:rPr>
          <w:color w:val="000000" w:themeColor="text1"/>
          <w:lang w:val="ru-RU"/>
        </w:rPr>
      </w:pPr>
      <w:r w:rsidRPr="007224C3">
        <w:rPr>
          <w:color w:val="000000" w:themeColor="text1"/>
          <w:lang w:val="ru-RU"/>
        </w:rPr>
        <w:t>Кабина тягача АТ-45 автомобильного типа обеспечивала круговой обзор. Она рас</w:t>
      </w:r>
      <w:r w:rsidRPr="007224C3">
        <w:rPr>
          <w:color w:val="000000" w:themeColor="text1"/>
          <w:lang w:val="ru-RU"/>
        </w:rPr>
        <w:softHyphen/>
        <w:t>полагалась над задней частью двигателя и крепилась через амортизаторы к специаль</w:t>
      </w:r>
      <w:r w:rsidRPr="007224C3">
        <w:rPr>
          <w:color w:val="000000" w:themeColor="text1"/>
          <w:lang w:val="ru-RU"/>
        </w:rPr>
        <w:softHyphen/>
        <w:t>ным кронштейнам, приваренным к раме. За основу взяли стандартную кабину от ЗИС-5 и расширили ее за счет центральной вставки, чтобы разместить четырех человек экипажа, включая водителя (такое же решение будет использовано и позднее, уже после войны, при постройке первых опытных тягачей АТ-Т на заводе №75).</w:t>
      </w:r>
    </w:p>
    <w:p w14:paraId="13220D62" w14:textId="77777777" w:rsidR="00714AC7" w:rsidRPr="007224C3" w:rsidRDefault="00714AC7" w:rsidP="007224C3">
      <w:pPr>
        <w:pStyle w:val="a3"/>
        <w:rPr>
          <w:color w:val="000000" w:themeColor="text1"/>
          <w:lang w:val="ru-RU"/>
        </w:rPr>
      </w:pPr>
      <w:r w:rsidRPr="007224C3">
        <w:rPr>
          <w:color w:val="000000" w:themeColor="text1"/>
          <w:lang w:val="ru-RU"/>
        </w:rPr>
        <w:t>Непосредственно за кабиной распола</w:t>
      </w:r>
      <w:r w:rsidRPr="007224C3">
        <w:rPr>
          <w:color w:val="000000" w:themeColor="text1"/>
          <w:lang w:val="ru-RU"/>
        </w:rPr>
        <w:softHyphen/>
        <w:t>галась грузовая платформа (кузов) грузо</w:t>
      </w:r>
      <w:r w:rsidRPr="007224C3">
        <w:rPr>
          <w:color w:val="000000" w:themeColor="text1"/>
          <w:lang w:val="ru-RU"/>
        </w:rPr>
        <w:softHyphen/>
        <w:t>подъемностью 6 т (у предшественника - 3 т) с откидными металлическими бортами, уси</w:t>
      </w:r>
      <w:r w:rsidRPr="007224C3">
        <w:rPr>
          <w:color w:val="000000" w:themeColor="text1"/>
          <w:lang w:val="ru-RU"/>
        </w:rPr>
        <w:softHyphen/>
        <w:t>ленными ребрами жесткости. На штатных сиденьях платформы размещалось 18 чел., а максимально - до 30-35 чел. (у «Ворошиловца» - 11 чел, а максимально - 25). Имелся съемный тент, который монтировался на лег</w:t>
      </w:r>
      <w:r w:rsidRPr="007224C3">
        <w:rPr>
          <w:color w:val="000000" w:themeColor="text1"/>
          <w:lang w:val="ru-RU"/>
        </w:rPr>
        <w:softHyphen/>
        <w:t>ком металлическом каркасе.</w:t>
      </w:r>
    </w:p>
    <w:p w14:paraId="1C681E2E" w14:textId="77777777" w:rsidR="00714AC7" w:rsidRPr="007224C3" w:rsidRDefault="00714AC7" w:rsidP="007224C3">
      <w:pPr>
        <w:pStyle w:val="a3"/>
        <w:rPr>
          <w:color w:val="000000" w:themeColor="text1"/>
          <w:lang w:val="ru-RU"/>
        </w:rPr>
      </w:pPr>
      <w:r w:rsidRPr="007224C3">
        <w:rPr>
          <w:color w:val="000000" w:themeColor="text1"/>
          <w:lang w:val="ru-RU"/>
        </w:rPr>
        <w:t>Применение пружинных сервирующих устройств в системе управления АТ-45 обеспе</w:t>
      </w:r>
      <w:r w:rsidRPr="007224C3">
        <w:rPr>
          <w:color w:val="000000" w:themeColor="text1"/>
          <w:lang w:val="ru-RU"/>
        </w:rPr>
        <w:softHyphen/>
        <w:t>чило достаточно легкое управление машиной. Усилие на рычагах управления составляло око</w:t>
      </w:r>
      <w:r w:rsidRPr="007224C3">
        <w:rPr>
          <w:color w:val="000000" w:themeColor="text1"/>
          <w:lang w:val="ru-RU"/>
        </w:rPr>
        <w:softHyphen/>
        <w:t>ло 8 кгс и плавно увеличивалось до 30 кгс при полном торможении. Усилие на педали главно</w:t>
      </w:r>
      <w:r w:rsidRPr="007224C3">
        <w:rPr>
          <w:color w:val="000000" w:themeColor="text1"/>
          <w:lang w:val="ru-RU"/>
        </w:rPr>
        <w:softHyphen/>
        <w:t>го фрикциона - около 15 кгс (15748).</w:t>
      </w:r>
    </w:p>
    <w:p w14:paraId="615A7951" w14:textId="77777777" w:rsidR="00714AC7" w:rsidRPr="007224C3" w:rsidRDefault="00714AC7" w:rsidP="007224C3">
      <w:pPr>
        <w:pStyle w:val="a3"/>
        <w:rPr>
          <w:color w:val="000000" w:themeColor="text1"/>
          <w:lang w:val="ru-RU"/>
        </w:rPr>
      </w:pPr>
    </w:p>
    <w:p w14:paraId="66ECF183" w14:textId="77777777" w:rsidR="00822884" w:rsidRPr="007224C3" w:rsidRDefault="00822884"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2AFA2DAB" w14:textId="77777777" w:rsidR="00822884" w:rsidRPr="007224C3" w:rsidRDefault="00822884"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AB6D55B" w14:textId="77777777" w:rsidR="00822884" w:rsidRPr="007224C3" w:rsidRDefault="0082288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мае - июне 1944 года 14-й дивизион бронепоездов артиллерийским огнем поддерживал наступление 21-й армии на Сестрорецком направлении, затем до августа прикрывал восстановление станций и железной дороги от атак с воздуха (18626).</w:t>
      </w:r>
    </w:p>
    <w:p w14:paraId="3323F4E7" w14:textId="77777777" w:rsidR="00822884" w:rsidRPr="007224C3" w:rsidRDefault="00822884" w:rsidP="007224C3">
      <w:pPr>
        <w:spacing w:after="0" w:line="240" w:lineRule="auto"/>
        <w:jc w:val="both"/>
        <w:rPr>
          <w:rFonts w:ascii="Times New Roman" w:hAnsi="Times New Roman"/>
          <w:color w:val="000000" w:themeColor="text1"/>
          <w:sz w:val="16"/>
          <w:szCs w:val="16"/>
        </w:rPr>
      </w:pPr>
    </w:p>
    <w:p w14:paraId="05770A87"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Внешняя политика:</w:t>
      </w:r>
    </w:p>
    <w:p w14:paraId="42DB90E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C526F5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В мае-июне 1944 состоялись тайные советско-польские переговоры в Лондоне. Советская сторона настаивала на линии Керзона, а также на обновлении польского правительства за счет включения в него "демократических" сил. Польскому правительству предписывалось также взять обратно обвинения насчет Катыни (3871).</w:t>
      </w:r>
    </w:p>
    <w:p w14:paraId="018647C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7B875D"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7904C2D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6B499F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Весной 1944 г. с целью повышения боевой живуче</w:t>
      </w:r>
      <w:r w:rsidRPr="007224C3">
        <w:rPr>
          <w:rFonts w:ascii="Times New Roman" w:hAnsi="Times New Roman"/>
          <w:color w:val="000000" w:themeColor="text1"/>
          <w:sz w:val="16"/>
          <w:szCs w:val="16"/>
        </w:rPr>
        <w:softHyphen/>
        <w:t>сти Ил-2 и, в первую очередь, защиты стрелка в ОКБ С.В.Ильюшина был разработан удлиненный бронекорпус, включающий кабину стрелка с перераспределенной, в полном соот</w:t>
      </w:r>
      <w:r w:rsidRPr="007224C3">
        <w:rPr>
          <w:rFonts w:ascii="Times New Roman" w:hAnsi="Times New Roman"/>
          <w:color w:val="000000" w:themeColor="text1"/>
          <w:sz w:val="16"/>
          <w:szCs w:val="16"/>
        </w:rPr>
        <w:softHyphen/>
        <w:t>ветствии с опытом боевого применения штурмовика на фронте, толщиной бро</w:t>
      </w:r>
      <w:r w:rsidRPr="007224C3">
        <w:rPr>
          <w:rFonts w:ascii="Times New Roman" w:hAnsi="Times New Roman"/>
          <w:color w:val="000000" w:themeColor="text1"/>
          <w:sz w:val="16"/>
          <w:szCs w:val="16"/>
        </w:rPr>
        <w:softHyphen/>
        <w:t>ни. Вес бронедеталей самолета увели</w:t>
      </w:r>
      <w:r w:rsidRPr="007224C3">
        <w:rPr>
          <w:rFonts w:ascii="Times New Roman" w:hAnsi="Times New Roman"/>
          <w:color w:val="000000" w:themeColor="text1"/>
          <w:sz w:val="16"/>
          <w:szCs w:val="16"/>
        </w:rPr>
        <w:softHyphen/>
        <w:t>чился до 1015 кг. Кроме этого, был пред</w:t>
      </w:r>
      <w:r w:rsidRPr="007224C3">
        <w:rPr>
          <w:rFonts w:ascii="Times New Roman" w:hAnsi="Times New Roman"/>
          <w:color w:val="000000" w:themeColor="text1"/>
          <w:sz w:val="16"/>
          <w:szCs w:val="16"/>
        </w:rPr>
        <w:softHyphen/>
        <w:t>ложен и "ремонтный комплект" допол</w:t>
      </w:r>
      <w:r w:rsidRPr="007224C3">
        <w:rPr>
          <w:rFonts w:ascii="Times New Roman" w:hAnsi="Times New Roman"/>
          <w:color w:val="000000" w:themeColor="text1"/>
          <w:sz w:val="16"/>
          <w:szCs w:val="16"/>
        </w:rPr>
        <w:softHyphen/>
        <w:t>нительного бронирования Ил-2 (6467).</w:t>
      </w:r>
    </w:p>
    <w:p w14:paraId="1982D2A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D8F0B1" w14:textId="77777777" w:rsidR="00822884" w:rsidRPr="007224C3" w:rsidRDefault="0082288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Весной 1944 г. в ОКБ С. В. Ильюшина началась работа над проектом нового скоростного бомбардировщика Ил-14, способного превысить скорость 700 км/ч Исследования в аэродинамических трубах ЦАГИ подтвердили возможность достижения скорости 760 км/ч на высоте 9300 м и крейсерской скорости 500 км/ч. В начале 1945 г. выпустили рабочие чертежи и начали изготовление опытного самолета. Макетная комиссия состоялась в июне 1945 г., самолет получил положительное заключение военных, но работы все же решили прекратить (19727).</w:t>
      </w:r>
    </w:p>
    <w:p w14:paraId="7F9698D4" w14:textId="77777777" w:rsidR="00822884" w:rsidRPr="007224C3" w:rsidRDefault="00822884" w:rsidP="007224C3">
      <w:pPr>
        <w:spacing w:after="0" w:line="240" w:lineRule="auto"/>
        <w:jc w:val="both"/>
        <w:rPr>
          <w:rFonts w:ascii="Times New Roman" w:hAnsi="Times New Roman"/>
          <w:color w:val="000000" w:themeColor="text1"/>
          <w:sz w:val="16"/>
          <w:szCs w:val="16"/>
        </w:rPr>
      </w:pPr>
    </w:p>
    <w:p w14:paraId="694B01B8" w14:textId="77777777" w:rsidR="002B0823" w:rsidRPr="007224C3" w:rsidRDefault="002B0823" w:rsidP="007224C3">
      <w:pPr>
        <w:shd w:val="clear" w:color="auto" w:fill="FFFFFF"/>
        <w:spacing w:after="0" w:line="240" w:lineRule="auto"/>
        <w:jc w:val="both"/>
        <w:rPr>
          <w:rFonts w:ascii="Times New Roman" w:hAnsi="Times New Roman"/>
          <w:color w:val="0070C0"/>
          <w:sz w:val="16"/>
          <w:szCs w:val="16"/>
        </w:rPr>
      </w:pPr>
      <w:r w:rsidRPr="007224C3">
        <w:rPr>
          <w:rFonts w:ascii="Times New Roman" w:eastAsia="Times New Roman" w:hAnsi="Times New Roman"/>
          <w:color w:val="0070C0"/>
          <w:sz w:val="16"/>
          <w:szCs w:val="16"/>
        </w:rPr>
        <w:t>С целью повышения боевой живучести штурмовиков и, в первую очередь, защиты стрелка в ОКБ СВ. Ильюшина весной 1944 г. был разработан удлиненный бронекорпус, включающий кабину стрелка с перераспределенной, в полном соответствии с опытом боевого применения, толщиной брони.</w:t>
      </w:r>
    </w:p>
    <w:p w14:paraId="7D8DD3B8" w14:textId="77777777" w:rsidR="002B0823" w:rsidRPr="007224C3" w:rsidRDefault="002B0823" w:rsidP="007224C3">
      <w:pPr>
        <w:shd w:val="clear" w:color="auto" w:fill="FFFFFF"/>
        <w:spacing w:after="0" w:line="240" w:lineRule="auto"/>
        <w:jc w:val="both"/>
        <w:rPr>
          <w:rFonts w:ascii="Times New Roman" w:hAnsi="Times New Roman"/>
          <w:color w:val="0070C0"/>
          <w:sz w:val="16"/>
          <w:szCs w:val="16"/>
        </w:rPr>
      </w:pPr>
      <w:r w:rsidRPr="007224C3">
        <w:rPr>
          <w:rFonts w:ascii="Times New Roman" w:eastAsia="Times New Roman" w:hAnsi="Times New Roman"/>
          <w:color w:val="0070C0"/>
          <w:sz w:val="16"/>
          <w:szCs w:val="16"/>
        </w:rPr>
        <w:t>В связи с успешным окончанием государственных испытаний штурмовиков Ил-2 с улучшенным бронированием член Военного совета ВВС КА генерал Н.С. Шиманов 31 августа 1944 г. обратился к А.И. Шахурину с письмом, в котором просил дать все необходимые указания о внедрении в серийное производство модифицированного штурмовика с удлиненным бронекорпусом с перераспределенной толщиной брони, а также комплектов полевого варианта дополнительного бронирования кабины стрелка, как отве</w:t>
      </w:r>
      <w:r w:rsidRPr="007224C3">
        <w:rPr>
          <w:rFonts w:ascii="Times New Roman" w:eastAsia="Times New Roman" w:hAnsi="Times New Roman"/>
          <w:color w:val="0070C0"/>
          <w:sz w:val="16"/>
          <w:szCs w:val="16"/>
        </w:rPr>
        <w:softHyphen/>
        <w:t>чающих требованиям ВВС и опыту воздушной войны</w:t>
      </w:r>
      <w:r w:rsidRPr="007224C3">
        <w:rPr>
          <w:rFonts w:ascii="Times New Roman" w:eastAsia="Times New Roman" w:hAnsi="Times New Roman"/>
          <w:color w:val="0070C0"/>
          <w:sz w:val="16"/>
          <w:szCs w:val="16"/>
          <w:vertAlign w:val="superscript"/>
        </w:rPr>
        <w:t>2</w:t>
      </w:r>
      <w:r w:rsidRPr="007224C3">
        <w:rPr>
          <w:rFonts w:ascii="Times New Roman" w:eastAsia="Times New Roman" w:hAnsi="Times New Roman"/>
          <w:color w:val="0070C0"/>
          <w:sz w:val="16"/>
          <w:szCs w:val="16"/>
        </w:rPr>
        <w:t>.</w:t>
      </w:r>
    </w:p>
    <w:p w14:paraId="45003EEB" w14:textId="77777777" w:rsidR="002B0823" w:rsidRPr="007224C3" w:rsidRDefault="002B0823" w:rsidP="007224C3">
      <w:pPr>
        <w:shd w:val="clear" w:color="auto" w:fill="FFFFFF"/>
        <w:spacing w:after="0" w:line="240" w:lineRule="auto"/>
        <w:jc w:val="both"/>
        <w:rPr>
          <w:rFonts w:ascii="Times New Roman" w:hAnsi="Times New Roman"/>
          <w:color w:val="0070C0"/>
          <w:sz w:val="16"/>
          <w:szCs w:val="16"/>
        </w:rPr>
      </w:pPr>
      <w:r w:rsidRPr="007224C3">
        <w:rPr>
          <w:rFonts w:ascii="Times New Roman" w:eastAsia="Times New Roman" w:hAnsi="Times New Roman"/>
          <w:color w:val="0070C0"/>
          <w:sz w:val="16"/>
          <w:szCs w:val="16"/>
        </w:rPr>
        <w:t>Несмотря на требование ВВС, решение о запуске Ил-2 с улучшенным бронированием в серийное производство так и не последовало. Наркомат авиапромышленности ограничился лишь распоряжением о налаживании производства ремонтных комплектов бронирования кабины.</w:t>
      </w:r>
    </w:p>
    <w:p w14:paraId="357A87A0" w14:textId="77777777" w:rsidR="002B0823" w:rsidRPr="007224C3" w:rsidRDefault="002B0823" w:rsidP="007224C3">
      <w:pPr>
        <w:shd w:val="clear" w:color="auto" w:fill="FFFFFF"/>
        <w:spacing w:after="0" w:line="240" w:lineRule="auto"/>
        <w:jc w:val="both"/>
        <w:rPr>
          <w:rFonts w:ascii="Times New Roman" w:hAnsi="Times New Roman"/>
          <w:color w:val="0070C0"/>
          <w:sz w:val="16"/>
          <w:szCs w:val="16"/>
        </w:rPr>
      </w:pPr>
      <w:r w:rsidRPr="007224C3">
        <w:rPr>
          <w:rFonts w:ascii="Times New Roman" w:eastAsia="Times New Roman" w:hAnsi="Times New Roman"/>
          <w:color w:val="0070C0"/>
          <w:sz w:val="16"/>
          <w:szCs w:val="16"/>
        </w:rPr>
        <w:t>Штурмовики продолжали выпускаться без удлиненного бронекорпуса. При этом часть из них комплектовались съемным комплектом бронирования. Однако комплекты дополнительного бронирования отправлялись в строевые части железнодорожными эшелонами. Последние же находились в пути до 2-3-х месяцев.</w:t>
      </w:r>
    </w:p>
    <w:p w14:paraId="38B1DF31" w14:textId="77777777" w:rsidR="002B0823" w:rsidRPr="007224C3" w:rsidRDefault="002B0823" w:rsidP="007224C3">
      <w:pPr>
        <w:shd w:val="clear" w:color="auto" w:fill="FFFFFF"/>
        <w:spacing w:after="0" w:line="240" w:lineRule="auto"/>
        <w:jc w:val="both"/>
        <w:rPr>
          <w:rFonts w:ascii="Times New Roman" w:hAnsi="Times New Roman"/>
          <w:color w:val="0070C0"/>
          <w:sz w:val="16"/>
          <w:szCs w:val="16"/>
        </w:rPr>
      </w:pPr>
      <w:r w:rsidRPr="007224C3">
        <w:rPr>
          <w:rFonts w:ascii="Times New Roman" w:eastAsia="Times New Roman" w:hAnsi="Times New Roman"/>
          <w:color w:val="0070C0"/>
          <w:sz w:val="16"/>
          <w:szCs w:val="16"/>
        </w:rPr>
        <w:t>По этому поводу в феврале 1945 г. начальник ГУЗ ВВС КА генерал Н.П. Селезнев в письме на имя Н.С. Шиманова писал, что «массовый выпуск Ил-2 с удлиненным бронекорпусом задерживается исключительно из-за отсутствия соответствующего приказа по НКАП. Отправка ремонтного варианта бронекорпуса в части по железной дороге является недопустимой»</w:t>
      </w:r>
      <w:r w:rsidRPr="007224C3">
        <w:rPr>
          <w:rFonts w:ascii="Times New Roman" w:eastAsia="Times New Roman" w:hAnsi="Times New Roman"/>
          <w:color w:val="0070C0"/>
          <w:sz w:val="16"/>
          <w:szCs w:val="16"/>
          <w:vertAlign w:val="superscript"/>
        </w:rPr>
        <w:t>1</w:t>
      </w:r>
      <w:r w:rsidRPr="007224C3">
        <w:rPr>
          <w:rFonts w:ascii="Times New Roman" w:eastAsia="Times New Roman" w:hAnsi="Times New Roman"/>
          <w:color w:val="0070C0"/>
          <w:sz w:val="16"/>
          <w:szCs w:val="16"/>
        </w:rPr>
        <w:t>.</w:t>
      </w:r>
    </w:p>
    <w:p w14:paraId="1ACC1B04" w14:textId="77777777" w:rsidR="002B0823" w:rsidRPr="007224C3" w:rsidRDefault="002B0823" w:rsidP="007224C3">
      <w:pPr>
        <w:shd w:val="clear" w:color="auto" w:fill="FFFFFF"/>
        <w:spacing w:after="0" w:line="240" w:lineRule="auto"/>
        <w:jc w:val="both"/>
        <w:rPr>
          <w:rFonts w:ascii="Times New Roman" w:hAnsi="Times New Roman"/>
          <w:color w:val="0070C0"/>
          <w:sz w:val="16"/>
          <w:szCs w:val="16"/>
        </w:rPr>
      </w:pPr>
      <w:r w:rsidRPr="007224C3">
        <w:rPr>
          <w:rFonts w:ascii="Times New Roman" w:eastAsia="Times New Roman" w:hAnsi="Times New Roman"/>
          <w:color w:val="0070C0"/>
          <w:sz w:val="16"/>
          <w:szCs w:val="16"/>
        </w:rPr>
        <w:t>К февралю 1945 г. авиазаводами было выпущено всего 800 комплектов ремонтного варианта бронекорпуса. В частях штурмовой авиации полевой вариант дополнительного бронирования был встречен с воодушевлением. Первые же бои показали его высокую эффективность. Броня хорошо защищала воздушного стрелка. Например, в 311-й шад 1-й В А был случай, когда в кабину стрелка попали два 20-мм снаряда, при этом стрелок остался жив.</w:t>
      </w:r>
    </w:p>
    <w:p w14:paraId="2335357B" w14:textId="77777777" w:rsidR="002B0823" w:rsidRPr="007224C3" w:rsidRDefault="002B0823" w:rsidP="007224C3">
      <w:pPr>
        <w:shd w:val="clear" w:color="auto" w:fill="FFFFFF"/>
        <w:spacing w:after="0" w:line="240" w:lineRule="auto"/>
        <w:jc w:val="both"/>
        <w:rPr>
          <w:rFonts w:ascii="Times New Roman" w:hAnsi="Times New Roman"/>
          <w:color w:val="0070C0"/>
          <w:sz w:val="16"/>
          <w:szCs w:val="16"/>
        </w:rPr>
      </w:pPr>
      <w:r w:rsidRPr="007224C3">
        <w:rPr>
          <w:rFonts w:ascii="Times New Roman" w:eastAsia="Times New Roman" w:hAnsi="Times New Roman"/>
          <w:color w:val="0070C0"/>
          <w:sz w:val="16"/>
          <w:szCs w:val="16"/>
        </w:rPr>
        <w:t>Однако только весной 1945 г. авиазаводы приступили к серийному выпуску Ил-2 с удлиненным бронекорпусом и к концу года сумели поставить в ВВС 593 модифицированных штурмовика.</w:t>
      </w:r>
    </w:p>
    <w:p w14:paraId="4B517F08" w14:textId="77777777" w:rsidR="002B0823" w:rsidRPr="007224C3" w:rsidRDefault="002B0823" w:rsidP="007224C3">
      <w:pPr>
        <w:shd w:val="clear" w:color="auto" w:fill="FFFFFF"/>
        <w:spacing w:after="0" w:line="240" w:lineRule="auto"/>
        <w:jc w:val="both"/>
        <w:rPr>
          <w:rFonts w:ascii="Times New Roman" w:hAnsi="Times New Roman"/>
          <w:color w:val="0070C0"/>
          <w:sz w:val="16"/>
          <w:szCs w:val="16"/>
        </w:rPr>
      </w:pPr>
      <w:r w:rsidRPr="007224C3">
        <w:rPr>
          <w:rFonts w:ascii="Times New Roman" w:eastAsia="Times New Roman" w:hAnsi="Times New Roman"/>
          <w:color w:val="0070C0"/>
          <w:sz w:val="16"/>
          <w:szCs w:val="16"/>
        </w:rPr>
        <w:t>Таким образом, по состоянию на 10.05.1945 г. в составе воздушных армий фронтов насчитывалось 3075 штурмовиков Ил-2 и Ил-2У, 146 Ил-10 и 214 Ил-2КР. Кроме этого, в ВВС ВМФ имелось 197 Ил-2 и 12 Ил-10 (ЦАМО РФ, ф. 480, оп. 7106, д. 214, л. 48.) (20120).</w:t>
      </w:r>
    </w:p>
    <w:p w14:paraId="10833D76" w14:textId="77777777" w:rsidR="002B0823" w:rsidRPr="007224C3" w:rsidRDefault="002B0823" w:rsidP="007224C3">
      <w:pPr>
        <w:shd w:val="clear" w:color="auto" w:fill="FFFFFF"/>
        <w:spacing w:after="0" w:line="240" w:lineRule="auto"/>
        <w:jc w:val="both"/>
        <w:rPr>
          <w:rFonts w:ascii="Times New Roman" w:hAnsi="Times New Roman"/>
          <w:color w:val="0070C0"/>
          <w:sz w:val="16"/>
          <w:szCs w:val="16"/>
        </w:rPr>
      </w:pPr>
    </w:p>
    <w:p w14:paraId="4F71F7BF" w14:textId="77777777" w:rsidR="00443DE6" w:rsidRPr="007224C3" w:rsidRDefault="00443DE6"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Весной 1944 г. в ЛИИ НКАП в целом успешно завершились совместные с ННИ ВВС государственные испытания системь НГ 1-й зоны на самолете Р-39 «Аэрокобра (зав. №220484). Их целью являлись: «...Проверка работы системы нейтральных газов 1-й зоны самолета Аэрокобра с мотором Аллисоь V-1710 и определение возможности ее эксплоатации на данном типе самолета». Система НГ-1 для Р-39 была «выполнена по типу схем НГ 1 -й зоны применяемых на отечественных самолетах».</w:t>
      </w:r>
    </w:p>
    <w:p w14:paraId="623A489B" w14:textId="77777777" w:rsidR="00443DE6" w:rsidRPr="007224C3" w:rsidRDefault="00443DE6"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Суммарный налет самолета с работающей системой НГ-1 составил 3 ч 25 мин. Работа системы была проверена до высоты 7000 м на режимах скороподъемности, максимальной и крейсерской скоростей и на фигурах пилотажа. В ходе полетов определялись: давление газов в бензобаках, температуры газа в различных точках системы, количество конденсата воды, отбираемое системой из выхлопных газов, концентрация кислорода и углекислого газа в бензобаках.</w:t>
      </w:r>
    </w:p>
    <w:p w14:paraId="71004390" w14:textId="77777777" w:rsidR="00443DE6" w:rsidRPr="007224C3" w:rsidRDefault="00443DE6"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Было установлено, что концентрация газов в бензобаках на практических режимах полета самолета соответствует тактико-техническим требованиям ВВС и находится в пределах: С0</w:t>
      </w:r>
      <w:r w:rsidRPr="007224C3">
        <w:rPr>
          <w:rFonts w:ascii="Times New Roman" w:eastAsia="Times New Roman" w:hAnsi="Times New Roman"/>
          <w:color w:val="000000" w:themeColor="text1"/>
          <w:sz w:val="16"/>
          <w:szCs w:val="16"/>
          <w:shd w:val="clear" w:color="auto" w:fill="FFFFFF"/>
          <w:vertAlign w:val="subscript"/>
          <w:lang w:eastAsia="ru-RU"/>
        </w:rPr>
        <w:t>2</w:t>
      </w:r>
      <w:r w:rsidRPr="007224C3">
        <w:rPr>
          <w:rFonts w:ascii="Times New Roman" w:eastAsia="Times New Roman" w:hAnsi="Times New Roman"/>
          <w:color w:val="000000" w:themeColor="text1"/>
          <w:sz w:val="16"/>
          <w:szCs w:val="16"/>
          <w:lang w:eastAsia="ru-RU"/>
        </w:rPr>
        <w:t xml:space="preserve"> - от 2,3 до 4,8%, а 0</w:t>
      </w:r>
      <w:r w:rsidRPr="007224C3">
        <w:rPr>
          <w:rFonts w:ascii="Times New Roman" w:eastAsia="Times New Roman" w:hAnsi="Times New Roman"/>
          <w:color w:val="000000" w:themeColor="text1"/>
          <w:sz w:val="16"/>
          <w:szCs w:val="16"/>
          <w:shd w:val="clear" w:color="auto" w:fill="FFFFFF"/>
          <w:vertAlign w:val="subscript"/>
          <w:lang w:eastAsia="ru-RU"/>
        </w:rPr>
        <w:t>2</w:t>
      </w:r>
      <w:r w:rsidRPr="007224C3">
        <w:rPr>
          <w:rFonts w:ascii="Times New Roman" w:eastAsia="Times New Roman" w:hAnsi="Times New Roman"/>
          <w:color w:val="000000" w:themeColor="text1"/>
          <w:sz w:val="16"/>
          <w:szCs w:val="16"/>
          <w:lang w:eastAsia="ru-RU"/>
        </w:rPr>
        <w:t xml:space="preserve"> - от 11,5 до 7,2%. Избыточное давление отработанных газов в бензобаках, в зависимости о режима и высоты полета, колебалось от 6 до 60 мм.рт.ст. Такое давление являлось «неопасным для прочности мягких баков самолета Аэрокобра и достаточным для нормального их заполнения газами». Температура газа перед фильтром и после фильтра находилась «в нормальном для эксплоатации диапазоне» и в полетах на различных режимах при температуре наружного воздуха до 30' мороза не превышала 20-18'С.</w:t>
      </w:r>
    </w:p>
    <w:p w14:paraId="322CE2AD" w14:textId="77777777" w:rsidR="00443DE6" w:rsidRPr="007224C3" w:rsidRDefault="00443DE6"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Обезвоживание газов было также удовлетворительным. За 40-50 мин полета при температурах наружного воздуха до 30' мороза «в отстойнике фильтра откладывается 20-22 см</w:t>
      </w:r>
      <w:r w:rsidRPr="007224C3">
        <w:rPr>
          <w:rFonts w:ascii="Times New Roman" w:eastAsia="Times New Roman" w:hAnsi="Times New Roman"/>
          <w:color w:val="000000" w:themeColor="text1"/>
          <w:sz w:val="16"/>
          <w:szCs w:val="16"/>
          <w:shd w:val="clear" w:color="auto" w:fill="FFFFFF"/>
          <w:vertAlign w:val="superscript"/>
          <w:lang w:eastAsia="ru-RU"/>
        </w:rPr>
        <w:t>3</w:t>
      </w:r>
      <w:r w:rsidRPr="007224C3">
        <w:rPr>
          <w:rFonts w:ascii="Times New Roman" w:eastAsia="Times New Roman" w:hAnsi="Times New Roman"/>
          <w:color w:val="000000" w:themeColor="text1"/>
          <w:sz w:val="16"/>
          <w:szCs w:val="16"/>
          <w:lang w:eastAsia="ru-RU"/>
        </w:rPr>
        <w:t xml:space="preserve"> конденсата воды».</w:t>
      </w:r>
    </w:p>
    <w:p w14:paraId="7F00C7F5" w14:textId="77777777" w:rsidR="00443DE6" w:rsidRPr="007224C3" w:rsidRDefault="00443DE6"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При выполнении всех фигур пилотажа, включая и сложный пилотаж, попадания топлива в систему нейтрального газа не наблюдалось.</w:t>
      </w:r>
    </w:p>
    <w:p w14:paraId="5C03FC49" w14:textId="77777777" w:rsidR="00443DE6" w:rsidRPr="007224C3" w:rsidRDefault="00443DE6"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Отмечалось, что установка разработанной ЛИИ НКАП системы НГ-1 для самолета Р-39 «трудоемка и может быть выполнена в условиях ремонтных заводов, или, при условии поставки готовых комплектов системы, в частях ВВС Красной Армии специальными заводскими бригадами». Основной же вывод сводился к следующему: «Система НГ 1-й зоны /.../работает удовлетворительно и является приемлемой для эксплуатации» (17733).</w:t>
      </w:r>
    </w:p>
    <w:p w14:paraId="1FF26725" w14:textId="77777777" w:rsidR="00443DE6" w:rsidRPr="007224C3" w:rsidRDefault="00443DE6" w:rsidP="007224C3">
      <w:pPr>
        <w:spacing w:after="0" w:line="240" w:lineRule="auto"/>
        <w:jc w:val="both"/>
        <w:rPr>
          <w:rFonts w:ascii="Times New Roman" w:hAnsi="Times New Roman"/>
          <w:color w:val="000000" w:themeColor="text1"/>
          <w:sz w:val="16"/>
          <w:szCs w:val="16"/>
        </w:rPr>
      </w:pPr>
    </w:p>
    <w:p w14:paraId="316BBC2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Весной 1944 года свечи АС-130 прошли войсковые испытания в час</w:t>
      </w:r>
      <w:r w:rsidRPr="007224C3">
        <w:rPr>
          <w:rFonts w:ascii="Times New Roman" w:hAnsi="Times New Roman"/>
          <w:color w:val="000000" w:themeColor="text1"/>
          <w:sz w:val="16"/>
          <w:szCs w:val="16"/>
        </w:rPr>
        <w:softHyphen/>
        <w:t>тях 2-й ВА на семи самолетах Ла-5 с моторами АШ-82Ф и девяти самоле</w:t>
      </w:r>
      <w:r w:rsidRPr="007224C3">
        <w:rPr>
          <w:rFonts w:ascii="Times New Roman" w:hAnsi="Times New Roman"/>
          <w:color w:val="000000" w:themeColor="text1"/>
          <w:sz w:val="16"/>
          <w:szCs w:val="16"/>
        </w:rPr>
        <w:softHyphen/>
        <w:t>тах Ла-5 с АШ-82ФН. Свечи отрабо</w:t>
      </w:r>
      <w:r w:rsidRPr="007224C3">
        <w:rPr>
          <w:rFonts w:ascii="Times New Roman" w:hAnsi="Times New Roman"/>
          <w:color w:val="000000" w:themeColor="text1"/>
          <w:sz w:val="16"/>
          <w:szCs w:val="16"/>
        </w:rPr>
        <w:softHyphen/>
        <w:t>тали от 20 до 50 часов и в течение этого времени обеспечили нормаль</w:t>
      </w:r>
      <w:r w:rsidRPr="007224C3">
        <w:rPr>
          <w:rFonts w:ascii="Times New Roman" w:hAnsi="Times New Roman"/>
          <w:color w:val="000000" w:themeColor="text1"/>
          <w:sz w:val="16"/>
          <w:szCs w:val="16"/>
        </w:rPr>
        <w:softHyphen/>
        <w:t>ную работу моторов на всех режи</w:t>
      </w:r>
      <w:r w:rsidRPr="007224C3">
        <w:rPr>
          <w:rFonts w:ascii="Times New Roman" w:hAnsi="Times New Roman"/>
          <w:color w:val="000000" w:themeColor="text1"/>
          <w:sz w:val="16"/>
          <w:szCs w:val="16"/>
        </w:rPr>
        <w:softHyphen/>
        <w:t>мах. В результате было принято ре</w:t>
      </w:r>
      <w:r w:rsidRPr="007224C3">
        <w:rPr>
          <w:rFonts w:ascii="Times New Roman" w:hAnsi="Times New Roman"/>
          <w:color w:val="000000" w:themeColor="text1"/>
          <w:sz w:val="16"/>
          <w:szCs w:val="16"/>
        </w:rPr>
        <w:softHyphen/>
        <w:t>шение организовать серийное про</w:t>
      </w:r>
      <w:r w:rsidRPr="007224C3">
        <w:rPr>
          <w:rFonts w:ascii="Times New Roman" w:hAnsi="Times New Roman"/>
          <w:color w:val="000000" w:themeColor="text1"/>
          <w:sz w:val="16"/>
          <w:szCs w:val="16"/>
        </w:rPr>
        <w:softHyphen/>
        <w:t>изводство свечей АС-130. Таким образом, летом 1944 года острота про</w:t>
      </w:r>
      <w:r w:rsidRPr="007224C3">
        <w:rPr>
          <w:rFonts w:ascii="Times New Roman" w:hAnsi="Times New Roman"/>
          <w:color w:val="000000" w:themeColor="text1"/>
          <w:sz w:val="16"/>
          <w:szCs w:val="16"/>
        </w:rPr>
        <w:softHyphen/>
        <w:t>блемы со свечами для мотора АШ-82ФН была снята, хотя и в дальней</w:t>
      </w:r>
      <w:r w:rsidRPr="007224C3">
        <w:rPr>
          <w:rFonts w:ascii="Times New Roman" w:hAnsi="Times New Roman"/>
          <w:color w:val="000000" w:themeColor="text1"/>
          <w:sz w:val="16"/>
          <w:szCs w:val="16"/>
        </w:rPr>
        <w:softHyphen/>
        <w:t>шем срок службы свечей АС-130 вы</w:t>
      </w:r>
      <w:r w:rsidRPr="007224C3">
        <w:rPr>
          <w:rFonts w:ascii="Times New Roman" w:hAnsi="Times New Roman"/>
          <w:color w:val="000000" w:themeColor="text1"/>
          <w:sz w:val="16"/>
          <w:szCs w:val="16"/>
        </w:rPr>
        <w:softHyphen/>
        <w:t>зывал нарекания (10714).</w:t>
      </w:r>
    </w:p>
    <w:p w14:paraId="0D1CEE9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FAF8D2" w14:textId="77777777" w:rsidR="00222A2A" w:rsidRPr="007224C3" w:rsidRDefault="00222A2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Весной 1944 г. свечи АС-130 прошли войсковые испытания в частях 2-й ВА на 7 Ла-5 с АШ-82Ф и 9 Ла-5 с АШ-82ФН. Свечи отработали от 20 до 50 часов и в течение это</w:t>
      </w:r>
      <w:r w:rsidRPr="007224C3">
        <w:rPr>
          <w:rFonts w:ascii="Times New Roman" w:hAnsi="Times New Roman"/>
          <w:color w:val="000000" w:themeColor="text1"/>
          <w:sz w:val="16"/>
          <w:szCs w:val="16"/>
        </w:rPr>
        <w:softHyphen/>
        <w:t>го времени обеспечили нормальную работу моторов на всех режимах. В результате приняли решение организовать серийное производство свечей АС-130. Таким образом, летом 1944 г. остроту проблемы со свечами для АШ-82ФН сняли, хотя и в дальнейшем срок службы свечей АС-130 вызывал нарекания (15829).</w:t>
      </w:r>
    </w:p>
    <w:p w14:paraId="1C284677" w14:textId="77777777" w:rsidR="00222A2A" w:rsidRPr="007224C3" w:rsidRDefault="00222A2A" w:rsidP="007224C3">
      <w:pPr>
        <w:spacing w:after="0" w:line="240" w:lineRule="auto"/>
        <w:jc w:val="both"/>
        <w:rPr>
          <w:rFonts w:ascii="Times New Roman" w:hAnsi="Times New Roman"/>
          <w:color w:val="000000" w:themeColor="text1"/>
          <w:sz w:val="16"/>
          <w:szCs w:val="16"/>
        </w:rPr>
      </w:pPr>
    </w:p>
    <w:p w14:paraId="5024033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Весной 1944 года в ОКБ-115 предприняли попытку создания на базе Як-3 высотного истребителя-перехватчика. Практически одновременно велись работы по установке на самолет двигателей М-105ПВ и М-105ПД. К сожалению, точно сказать, чем отличался М-105П В от варианта "ПФ", не могу, но, судя по отрывочным архивным данным, - лишь опытным нагнетателем с большим наддувом. Но после установки нагнетателя Э-100 В.А. Доллежаля он превратился в М-105ПД. Видимо, поэтому в названии двигателя и появилась буква Д.</w:t>
      </w:r>
    </w:p>
    <w:p w14:paraId="109C59D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Поскольку главной целью установки на Як-3 новых моторов было повышение их высотности, спроектировали новой крыло увеличенного на 0,6 метра размаха. Его площадь при этом возросла на 0,5 м2. </w:t>
      </w:r>
    </w:p>
    <w:p w14:paraId="592EF5B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Двигатель М-105ПВ установили на доработанный серийный Як-3 №4419 (эталон 1945 г.) в сентябре 1944 года. Тогда же на самолете сократили вооружение, ограничившись одним орудием НС-23 (вес - 37 кг, вес снаряда - 0,2 кг, секундный залп - 1,85 кг, скорострельность - 550 выстрелов в минуту) с боезапасом 60 патронов. При этом машина полегчала по сравнению с предшественником на 7 кг, но ее центровка сместилась назад с 24,9 до 25,3% средней аэродинамической хорды. Сначала на машине стоял опытный винт ВИШ-105ТЛ-2, впоследствии замененный серийным ВИШ-105СВ-01.</w:t>
      </w:r>
    </w:p>
    <w:p w14:paraId="7995C6F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Заводские испытания (ведущие - инженер Н.И. Макеев и летчик ВЛ. Расторгуев), проведенные с 29 сентября по 7 октября, преследовали одну цель - определение высотно-скоростных характеристик машины. Но из-за неустойчивой работы двигателя выполнили лишь шесть полетов, ограничившись снятием максимальных скоростей. При этом была достигнута скорость 656 км/ч на высоте 5525 метров (12047).</w:t>
      </w:r>
    </w:p>
    <w:p w14:paraId="02000A1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68FEC1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 весны 1944 г. ТБ-7 дублер выполнил более 120 боевых вылетов (больше, чем любой другой), с него на головы немцев сбросили около 500 т бомб и почти миллион листовок. Летали на этой машине в глубокий тыл противника для выброса разведывательных и диверсионных групп. Апофеозом его карьеры стал пролёт в качестве флагмана парада над Москвой 1 мая 1945 г. Вскоре после войны "дублёр" списали и пустили на слом (11996).</w:t>
      </w:r>
    </w:p>
    <w:p w14:paraId="6A61497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14BFE33" w14:textId="77777777" w:rsidR="00D70979" w:rsidRPr="007224C3" w:rsidRDefault="00D7097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весны 1944 года официально производство Пе-8 прекратили и новые Пе-8 могли выпускать только за счет оставшегося на заводе №22 задела, то это количество, с учетом потерь, вскоре должно было резко сократиться (12726).</w:t>
      </w:r>
    </w:p>
    <w:p w14:paraId="4B63A532" w14:textId="77777777" w:rsidR="00D70979" w:rsidRPr="007224C3" w:rsidRDefault="00D70979" w:rsidP="007224C3">
      <w:pPr>
        <w:spacing w:after="0" w:line="240" w:lineRule="auto"/>
        <w:jc w:val="both"/>
        <w:rPr>
          <w:rFonts w:ascii="Times New Roman" w:hAnsi="Times New Roman"/>
          <w:color w:val="000000" w:themeColor="text1"/>
          <w:sz w:val="16"/>
          <w:szCs w:val="16"/>
        </w:rPr>
      </w:pPr>
    </w:p>
    <w:p w14:paraId="11B35D9F" w14:textId="77777777" w:rsidR="00711D17" w:rsidRPr="007224C3" w:rsidRDefault="00711D17"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lastRenderedPageBreak/>
        <w:t>Весной 1944 г. начались Поставки самолетов Пе-2 М-62 — по нескольку штук получили 48-й гвардейский ОДРАП Главного командования Красной Армии, 11-й ОРАП и 99-й гвардейский ОРАП ВВС, а также звено управления 4-й гвардейской БАД.</w:t>
      </w:r>
    </w:p>
    <w:p w14:paraId="291B4D3E" w14:textId="77777777" w:rsidR="00711D17" w:rsidRPr="007224C3" w:rsidRDefault="00711D17"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Всего было построено 32 «Пешки» с М-82Ф, из которых принято военной приемкой 24</w:t>
      </w:r>
    </w:p>
    <w:p w14:paraId="176F0B02" w14:textId="77777777" w:rsidR="00711D17" w:rsidRPr="007224C3" w:rsidRDefault="00711D17"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Эксплуатация показала низкое качество изготовления маслорадиаторов, снятие курсового пулемета ШКАС и бортовых огневых установок также не получило одобрения экипажей. Производство Пе-2 2М-82 на заводе № 22 было прекращено Постановлением ГКО № 4552 от 12 ноября 1943 г. и приказом по НКАП № 685сс от 16 ноября формально в связи с запуском в серию многоцелевых Пе-3, а на деле потому, что не был получен ожидаемый прирост скорости. Что касается ненадежности моторов М-82 на Пе-2, то на многих других самолетах, к примеру, истребителях Ла-5 и Ла-7, бомбардировщиках Ту-2, Ил-4 и Пе-8, они работали нормально, следовательно, причину надо искать в дефектах всей силовой установки, спроектированной Л. Л. Селяковым для Пе-2, а не в моторах (22828).</w:t>
      </w:r>
    </w:p>
    <w:p w14:paraId="1A060A25" w14:textId="77777777" w:rsidR="00711D17" w:rsidRPr="007224C3" w:rsidRDefault="00711D17" w:rsidP="007224C3">
      <w:pPr>
        <w:shd w:val="clear" w:color="auto" w:fill="FFFFFF"/>
        <w:spacing w:after="0" w:line="240" w:lineRule="auto"/>
        <w:jc w:val="both"/>
        <w:rPr>
          <w:rFonts w:ascii="Times New Roman" w:hAnsi="Times New Roman"/>
          <w:color w:val="0070C0"/>
          <w:sz w:val="16"/>
          <w:szCs w:val="16"/>
        </w:rPr>
      </w:pPr>
    </w:p>
    <w:p w14:paraId="48C5519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Весной 1944 г. Пе-2 № 14/226, на котором проводили опыты с впрыском воды на М-105 (результаты оказались не впечатляющими), снова переоборудовали, но уже с другой целью. Сущность модификации заключалась в следующем:</w:t>
      </w:r>
    </w:p>
    <w:p w14:paraId="54D90E2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носок консольной части крыла до 25 % хорды заменялся на профиль NACA-230;</w:t>
      </w:r>
    </w:p>
    <w:p w14:paraId="26012D1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переделывались законцовки консолей, в связи с чем размах крыла увеличивался на 0,92 м, а площадь - на 0,848 м2;</w:t>
      </w:r>
    </w:p>
    <w:p w14:paraId="162B77F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изменялся передний лонжерон, средние части нервюр и входная часть тоннелей водорадиаторов (4476).</w:t>
      </w:r>
    </w:p>
    <w:p w14:paraId="1CA50EF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3B552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Весной 1944 г. Пе-2 зав. № 14/226 снова переоборудовали, но уже с другой целью. Сущность модификации заключалась в следующем:</w:t>
      </w:r>
    </w:p>
    <w:p w14:paraId="163F4B1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носок консольной части крыла до 25% хорды заменялся профилем NACA 230;</w:t>
      </w:r>
    </w:p>
    <w:p w14:paraId="153127A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переделывались законцовки консолей, в связи с чем размах крыла возрастал на 0,92 м, а площадь на 0,848 м!;</w:t>
      </w:r>
    </w:p>
    <w:p w14:paraId="19CAD7C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изменялся передний лонжерон, средние части нервюр и входная часть тоннелей водорадиаторов.</w:t>
      </w:r>
    </w:p>
    <w:p w14:paraId="15C5E52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результате испытаний, законченных в мае 1944 г., установили, что модифицированное крыло заметно улучшало летно-техниче- ские свойства "пешки", особенно на малых скоростях. Упростилось поведение самолета при посадке, он перестал валиться на крыло, уверенно летал на одном моторе. Новый профиль консолей плюс усовершенствованная технология отделки крыла в совокупности "добавили" машине 100 км дальности, способствовали увеличению потолка на 500 м и уменьшению длины разбега на 40 м.</w:t>
      </w:r>
    </w:p>
    <w:p w14:paraId="63F4276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сожалению, и это техническое решение несмотря на положительную оценку НИИ ВВС, осталось не внедренным в серию. Причина все та же нежелание руководства наркомата авиапромышленности принимать назревшие, но "слишком радикальные" решения. Нарком А.И. Шахурин не отважился санкционировать переход на новое крыло, что неизбежно привело бы к замене части технологического оборудования и временному снижению темпов выпуска "пешек"...</w:t>
      </w:r>
    </w:p>
    <w:p w14:paraId="2897D93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Заметим, что нарком имел объективные причины опасаться за снабжение авиации КА фронтовыми бомбардировщиками. Летом 1943 г. правительство США в одностороннем порядке пересмотрело заказ фирме "Дуглас", поставлявшей для американских, английских и советских ВВС бомбардировщик-штурмовик А-20 (у нас его многочисленные варианты называли "Бостон", хотя сами американцы предпочитали другое наименование - "Хэвок"). Заокеанские предприятия перешли на выпуск преимущественно модификации A-20G, не соответствовавшей запросам ВВС КА в связи с отсутствием штурмана в составе экипажа. Накануне нового, 1944 г. в НКАП и ГКО оживленно обсуждалась возможность и целесообразность отказа от поставок "Бостонов" (12042).</w:t>
      </w:r>
    </w:p>
    <w:p w14:paraId="6475853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B84BEE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Весной 1944 г. "пешку" оснастили опытным прицелом ППП-1 с движущейся сеткой. Испытания, проведенные летчиком капитаном П.И.Толузаровым, прошли успешно. Единственным ограничением было требование не превышать угол пикирования в 55°, иначе приборная скорость на выходе превосходила 700 км/час. Но этот прицел, как и многие другие новшества, не был внедрен в серию. Основное внимание уделялось наращиванию выпуска бомбардировщиков и устранению производственных дефектов (3542).</w:t>
      </w:r>
    </w:p>
    <w:p w14:paraId="7E9CDD5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E5282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Весной 1944 г. небольшими партиями (по 3-5 самолетов) Пе-2 М-82 стали направлять в строевые части. Такие самолеты имела, например, одна из эскадрилий 99-го гв. орап, летом 1944 г. три машины получил 39-й орап, причем в этих полках с самолетов снимали тормозные решетки. Имелись Пе-2 с М-82 и в обычных бомбардировочных полках, но они также применялись по большей части в качестве разведчиков. На такой машине летал в конце войны командир 4-й гв. бад Герой Советского Союза генерал-майор Ф.Котляр (3542).</w:t>
      </w:r>
    </w:p>
    <w:p w14:paraId="0C4150D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C6C2DC" w14:textId="77777777" w:rsidR="00222A2A" w:rsidRPr="007224C3" w:rsidRDefault="00222A2A" w:rsidP="007224C3">
      <w:pPr>
        <w:shd w:val="clear" w:color="auto" w:fill="FFFFFF"/>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Весной 1944 года иркутские бомбардировщики Ер-2 стали поступать в строевые части. На бомбардировщиках начали применять «обниженные» кабины штурмана, что не только улучшило обзор на рулении и взлете, но ускорило и упростило технологию их изготовления. Поскольку была подготовлена оснастка для двух вариантов кабины, то и бомбардировщики выпускались двух видов. Гнутый фонарь пилота заменили на плоское переднее и боковое остекление. Вместо топливных баков, изготовленных с применением точечной сварки, стали устанавливать клепаные баки. Были внедрены и другие улучшения. Бомбардировщики окрашивались в трехцветный камуфляж из светло-коричневых, зеленых и черных пятен. Нижние поверхности покрывались черным цветом. Некоторые машины окрашивались в черный цвет полностью. Согласно приказу «об улучшении видимости опознавательных знаков на самолетах ВВС КА» от 3-го сентября 1943 года, на бомбардировщики наносили новые звезды с двумя окантовками: белого цвета – шириной 5 см и красного – шириной 1 см. На горизонтальном оперении красные звезды наносили по всей поверхности шайб (15223).</w:t>
      </w:r>
    </w:p>
    <w:p w14:paraId="242E56B4" w14:textId="77777777" w:rsidR="00222A2A" w:rsidRPr="007224C3" w:rsidRDefault="00222A2A" w:rsidP="007224C3">
      <w:pPr>
        <w:shd w:val="clear" w:color="auto" w:fill="FFFFFF"/>
        <w:spacing w:after="0" w:line="240" w:lineRule="auto"/>
        <w:jc w:val="both"/>
        <w:rPr>
          <w:rFonts w:ascii="Times New Roman" w:hAnsi="Times New Roman"/>
          <w:color w:val="000000" w:themeColor="text1"/>
          <w:sz w:val="16"/>
          <w:szCs w:val="16"/>
        </w:rPr>
      </w:pPr>
    </w:p>
    <w:p w14:paraId="20C0F6A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Весной 1944 г. сначала прорабатывался вариант установки воздушно-реактивных двигателей ПВРД-430 на самолет "120", а затем на истребитель "126", проводившаяся под руководством М.М. Бондарюка. Разработка новых прямоточных, затянулась почти на два года. Вариант самолета “126” с ПВРД-430 получил собственное обозначение - самолет "164". </w:t>
      </w:r>
    </w:p>
    <w:p w14:paraId="25C2640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Эта машина была построена. Ее летные испытания начались в июне 1946 г. За два месяца с небольшим летчики А.В. Давыдов и А.А. Попов совершили 34 полета; в 30 из них запускали ПВРД. Надежность усовершенствованных двигателей хоть и возросла, но они по-прежнему давали сбои в работе и требовали доводки. В то же время улучшение аэродинамики узлов сопряжения ПВРД с крылом в совокупности с возросшей тягой позволило довести прирост скорости (по сравнению с самолетом с отключенными ПВРД) до 104 - 109 км/ч - в зависимости от высоты полета. Но по отношению к самолету "126" без дополнительных двигателей этот прирост ограничивался 62 - 64 км/ч. Выигрыш оказался невелик, но подкупала простота эксплуатации машины, да и пилотажные характеристики с работающими ускорителями остались, как у самолета "126". Опыт работы над истребителем "164" позже использовали при проектировании других машин с ПВРД.</w:t>
      </w:r>
    </w:p>
    <w:p w14:paraId="2D83CC0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Сами самолеты "126" и "164", как и их предшественник "120", остались в разряде опытных. Однако старания коллектива Лавочкина не пропали даром. Технические решения, отработанные на этих истребителях, были востребованы при создании будущего Ла-9 или, как его еще сначала называли, "цельнометаллического Ла-7" (11990).</w:t>
      </w:r>
    </w:p>
    <w:p w14:paraId="343671C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7B774E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Весной 1944 г. началась разработка бомбардировщика Ил-14 (первого самолета под таким обозначением), предназначавшегося для замены самолета Ил-4 и способного превысить скорость 700 км/ч (9528).</w:t>
      </w:r>
    </w:p>
    <w:p w14:paraId="440B74D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8E302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Весной 1944 г. В. П. Соколов организовал в МАИ студенческую конструкторскую группу (староста А. Бадягин) по разработке проекта истребителя с горизонтальным размещением летчика. Такое положение летчика позволяло вдвое увеличить переносимые в полете перегрузки, резко сократить время выполнения фигур в воздушном бою (не случайно в Германии еще до войны и вплоть до ее окончания велись работы по этой тематике, завершившиеся созданием реактивного истребителя-штурмовика Хеншель-132 и ряда других самолетов с горизонтальным расположением летчика). Кроме проекта самолета, группой был спроектирован и построен стенд для исследования обзора и усилий на рычагах летчика в положении лежа на груди. С помощью стенда было показано, что летчик удовлетворительно видит прямо-вверх до углов 60° (пилот располагался с наклоном 12° к оси кабины — стенда) (12075).</w:t>
      </w:r>
    </w:p>
    <w:p w14:paraId="17DB008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7B0B84D" w14:textId="77777777" w:rsidR="00222A2A" w:rsidRPr="007224C3" w:rsidRDefault="00222A2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Весной 1944 г. В. П. Соколов в МАИ организовал студенческую конструкторскую группу (староста А. Бадягин) по разработке проекта истребителя с горизонтальным размещением летчика. Такое положение летчика позволяло вдвое увеличить переносимые в полете перегрузки, резко сократить время выполнения фигур в воздушном бою (не случайно в Германии еще до войны и вплоть до ее окончания велись работы по этой тематике, завершившиеся созданием реактивного истребителя-штурмовика Хеншель-132 и ряда других самолетов с горизонтальным расположением летчика). Кроме проекта самолета, группой был спроектирован и построен стенд для исследования обзора и усилий на рычагах летчика в положении лежа на груди. С помощью стенда было показано, что летчик удовлетворительно видит прямо-вверх до углов 60° (пилот располагался с наклоном 12° к оси кабины — стенда). Таким образом, в годы войны маевцы стояли не в последних рядах советских людей, кующих победу. Вся деятельность Московского авиационного института направлялась на оказание помощи фронту (15730).</w:t>
      </w:r>
    </w:p>
    <w:p w14:paraId="619B39B6" w14:textId="77777777" w:rsidR="00222A2A" w:rsidRPr="007224C3" w:rsidRDefault="00222A2A" w:rsidP="007224C3">
      <w:pPr>
        <w:spacing w:after="0" w:line="240" w:lineRule="auto"/>
        <w:jc w:val="both"/>
        <w:rPr>
          <w:rFonts w:ascii="Times New Roman" w:hAnsi="Times New Roman"/>
          <w:color w:val="000000" w:themeColor="text1"/>
          <w:sz w:val="16"/>
          <w:szCs w:val="16"/>
        </w:rPr>
      </w:pPr>
    </w:p>
    <w:p w14:paraId="1B01EFD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Весной 1944 г. был выполнен проект ГАМ-38Ф - катерного варианта АМ-38Ф. Имел измененные картер, коленвал, ПЦН. Введены реверс-муфта и дополнительный водяной насос. Опытный образец не из</w:t>
      </w:r>
      <w:r w:rsidRPr="007224C3">
        <w:rPr>
          <w:rFonts w:ascii="Times New Roman" w:hAnsi="Times New Roman"/>
          <w:color w:val="000000" w:themeColor="text1"/>
          <w:sz w:val="16"/>
          <w:szCs w:val="16"/>
        </w:rPr>
        <w:softHyphen/>
        <w:t>готавливался (11852).</w:t>
      </w:r>
    </w:p>
    <w:p w14:paraId="345B7E4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50720F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Весной 1944 года проходили испытания АКАБ на A-20G-1. Для штурмовых ударов в Советском Союзе одни из "Бостонов" оснастили оригинальной подфюзеляжной батареей АКАБ. В бомбоотсеке монтировались две пушки ШВАК и два пулемета УБК. Их боезапас (440 патронов и 340 снарядов) размещался в бывшей кабине стрелка-радиста. Экипаж самолета состоял из двух человек: пилота и штурмана. Электромеханические приводы отслеживали положение выбранной цели и позволяли эффективно поражать ее даже при быстром перемещении самолета (3457,110).</w:t>
      </w:r>
    </w:p>
    <w:p w14:paraId="6D89452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2FC33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Весной 1944 командование АДД заинтересовалось АКАБ - автоматической комбинированной артиллерийской установки Г.М.Можаровского, Веневидова и ГИ 266 завода в Казани А.А.Енгибаряна. Установка состояла из двух рам, со смонтированными ШВАК (170 снарядов) и УБК (220 патронов). АДД привлекалась к ударам во прифронтовой полосе по узлам обороны, коммуникациям и аэродромам. Использовали В-25 и А-20. АКАБ поставили на А-20G-1. Установка состояла из двух рам, со смонтированными ШВАК (250 снарядов) и УБК (300 патронов). На войсковые испытания машину передали в 27 гап ночных охотников-блокировщиков АДД пп М.П.Дедова-Дзядушинского (1726,4).</w:t>
      </w:r>
    </w:p>
    <w:p w14:paraId="315FDB6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701B5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Весной 1944 г. была сделана еще одна попытка внедрить АКАБ на вооружение ВВС. В качестве носителя АКАБ был выбран довольно прочный и достаточно хорошо бронированный для бомбардировщика (вес брони -183 кг) самолет A-20G-1, поставлявшийся в СССР по ленд-лизу.</w:t>
      </w:r>
    </w:p>
    <w:p w14:paraId="78D693A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Основным назначением A-20G-1 с АКАБ являлась блокировка аэродромов противника при действии по ним ночных бомбардировщиков авиации дальнего действия.</w:t>
      </w:r>
    </w:p>
    <w:p w14:paraId="5AEC4C5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По-видимому, штурмовые действия ночью были единственным способом применения бомбардировщиков с АКАБ на фронте.</w:t>
      </w:r>
    </w:p>
    <w:p w14:paraId="363935B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Однако и в этом случае встают такие трудноразрешимые проблемы, как точное прицеливание по огневым точкам МЗА и ЗА, а также самолетам на аэродроме.</w:t>
      </w:r>
    </w:p>
    <w:p w14:paraId="4BCE895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Батарея АКАБ A-20G-1, также как и на Пе-2, состояла из двух пушек ШВАК и двух пулеметов УБК. Шесть доработанных под установку АКАБ самолетов A-20G-1 прошли войсковые испытания в составе 27-го гвардейского бап АДД.</w:t>
      </w:r>
    </w:p>
    <w:p w14:paraId="4D77C2F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Как и следовало ожидать в первом же боевом вылете на блокировку аэродрома Барановичи в ночь на 28 июня 1944 г. A-20G-1 с АКАБ был настолько сильно поврежден огнем зенитной артиллерии, что дотянул до своего аэродрома только благодаря высокой живучести “американца”.</w:t>
      </w:r>
    </w:p>
    <w:p w14:paraId="067F814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докладам экипажей A-20G-1 с АКАБ в первой же атаке поджег два истребителя люфтваффе, стоявшие на старте. Однако второй атаки экипажу сделать уже не удалось.</w:t>
      </w:r>
    </w:p>
    <w:p w14:paraId="649065A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Справедливости ради,необходимо отметить, что оружие АКАБ не было оснащено пламегасителями и при ночной стрельбе машина хорошо подсвечивалась пламенем из стволов батареи представляя собой прекрасную мишень для зенитных расчетов. Кроме того, тактика боевого применения АКАБ была далека от совершенства.</w:t>
      </w:r>
    </w:p>
    <w:p w14:paraId="12997D9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Несмотря на то, что испытания были признаны вполне успешными, широкого распространения A-20G-1 с АКБ не получили, ввиду узости решаемых ими тактических задач (9649).</w:t>
      </w:r>
    </w:p>
    <w:p w14:paraId="2574826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BB236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Весной 1944 в НИИ ВВС прошли гос. испытания головного серийного Ще-2 N 03147, подтвердившего полученные ранее характеристики. В 1944 построили 222, в 1945 - 285, в 1946 - 60, а всего 567 (576,4).</w:t>
      </w:r>
    </w:p>
    <w:p w14:paraId="034AD20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694B8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Весной 1944 г. началось проектирова</w:t>
      </w:r>
      <w:r w:rsidRPr="007224C3">
        <w:rPr>
          <w:rFonts w:ascii="Times New Roman" w:hAnsi="Times New Roman"/>
          <w:color w:val="000000" w:themeColor="text1"/>
          <w:sz w:val="16"/>
          <w:szCs w:val="16"/>
        </w:rPr>
        <w:softHyphen/>
        <w:t>ние шсстиместного пассажирского самолета Н.Н.П. под таким названием «Лиму</w:t>
      </w:r>
      <w:r w:rsidRPr="007224C3">
        <w:rPr>
          <w:rFonts w:ascii="Times New Roman" w:hAnsi="Times New Roman"/>
          <w:color w:val="000000" w:themeColor="text1"/>
          <w:sz w:val="16"/>
          <w:szCs w:val="16"/>
        </w:rPr>
        <w:softHyphen/>
        <w:t>зин». Внутри КБ самолет имел шифр «Д». Во внешнем облике этой машины нетрудно раз</w:t>
      </w:r>
      <w:r w:rsidRPr="007224C3">
        <w:rPr>
          <w:rFonts w:ascii="Times New Roman" w:hAnsi="Times New Roman"/>
          <w:color w:val="000000" w:themeColor="text1"/>
          <w:sz w:val="16"/>
          <w:szCs w:val="16"/>
        </w:rPr>
        <w:softHyphen/>
        <w:t>глядеть сходство с последними многомест</w:t>
      </w:r>
      <w:r w:rsidRPr="007224C3">
        <w:rPr>
          <w:rFonts w:ascii="Times New Roman" w:hAnsi="Times New Roman"/>
          <w:color w:val="000000" w:themeColor="text1"/>
          <w:sz w:val="16"/>
          <w:szCs w:val="16"/>
        </w:rPr>
        <w:softHyphen/>
        <w:t>ными модификациями У-2, разработанными в КБ Поликарпова. Впрочем, в пояснитель</w:t>
      </w:r>
      <w:r w:rsidRPr="007224C3">
        <w:rPr>
          <w:rFonts w:ascii="Times New Roman" w:hAnsi="Times New Roman"/>
          <w:color w:val="000000" w:themeColor="text1"/>
          <w:sz w:val="16"/>
          <w:szCs w:val="16"/>
        </w:rPr>
        <w:softHyphen/>
        <w:t>ной записке к эскизному проекту прямо го</w:t>
      </w:r>
      <w:r w:rsidRPr="007224C3">
        <w:rPr>
          <w:rFonts w:ascii="Times New Roman" w:hAnsi="Times New Roman"/>
          <w:color w:val="000000" w:themeColor="text1"/>
          <w:sz w:val="16"/>
          <w:szCs w:val="16"/>
        </w:rPr>
        <w:softHyphen/>
        <w:t>ворилось, что данная работа является разви</w:t>
      </w:r>
      <w:r w:rsidRPr="007224C3">
        <w:rPr>
          <w:rFonts w:ascii="Times New Roman" w:hAnsi="Times New Roman"/>
          <w:color w:val="000000" w:themeColor="text1"/>
          <w:sz w:val="16"/>
          <w:szCs w:val="16"/>
        </w:rPr>
        <w:softHyphen/>
        <w:t>тием полученного задания на У-2ШС. Кон</w:t>
      </w:r>
      <w:r w:rsidRPr="007224C3">
        <w:rPr>
          <w:rFonts w:ascii="Times New Roman" w:hAnsi="Times New Roman"/>
          <w:color w:val="000000" w:themeColor="text1"/>
          <w:sz w:val="16"/>
          <w:szCs w:val="16"/>
        </w:rPr>
        <w:softHyphen/>
        <w:t>структор, как и все советские люди, жил в ожидании победы над врагом. Он предвидел послевоенные трудности, поэтому основным критерием целесообразности считал просто</w:t>
      </w:r>
      <w:r w:rsidRPr="007224C3">
        <w:rPr>
          <w:rFonts w:ascii="Times New Roman" w:hAnsi="Times New Roman"/>
          <w:color w:val="000000" w:themeColor="text1"/>
          <w:sz w:val="16"/>
          <w:szCs w:val="16"/>
        </w:rPr>
        <w:softHyphen/>
        <w:t>ту и дешевизну производства при соблюде</w:t>
      </w:r>
      <w:r w:rsidRPr="007224C3">
        <w:rPr>
          <w:rFonts w:ascii="Times New Roman" w:hAnsi="Times New Roman"/>
          <w:color w:val="000000" w:themeColor="text1"/>
          <w:sz w:val="16"/>
          <w:szCs w:val="16"/>
        </w:rPr>
        <w:softHyphen/>
        <w:t>нии необходимого уровня комфорта. «Лимузин», оснащенный двигателем М-11Ф 140 л.с. с винтом изменяемого шага, предполагался для использования в качест</w:t>
      </w:r>
      <w:r w:rsidRPr="007224C3">
        <w:rPr>
          <w:rFonts w:ascii="Times New Roman" w:hAnsi="Times New Roman"/>
          <w:color w:val="000000" w:themeColor="text1"/>
          <w:sz w:val="16"/>
          <w:szCs w:val="16"/>
        </w:rPr>
        <w:softHyphen/>
        <w:t>ве штабного, санитарного, транспортного и учебного. В последнем варианте монтирова</w:t>
      </w:r>
      <w:r w:rsidRPr="007224C3">
        <w:rPr>
          <w:rFonts w:ascii="Times New Roman" w:hAnsi="Times New Roman"/>
          <w:color w:val="000000" w:themeColor="text1"/>
          <w:sz w:val="16"/>
          <w:szCs w:val="16"/>
        </w:rPr>
        <w:softHyphen/>
        <w:t>лось второе управление. Основная компо</w:t>
      </w:r>
      <w:r w:rsidRPr="007224C3">
        <w:rPr>
          <w:rFonts w:ascii="Times New Roman" w:hAnsi="Times New Roman"/>
          <w:color w:val="000000" w:themeColor="text1"/>
          <w:sz w:val="16"/>
          <w:szCs w:val="16"/>
        </w:rPr>
        <w:softHyphen/>
        <w:t>новка позволяла разместить 5 пассажиров (один рядом с пилотом) или двух раненых на стандартных армейских носилках и одно</w:t>
      </w:r>
      <w:r w:rsidRPr="007224C3">
        <w:rPr>
          <w:rFonts w:ascii="Times New Roman" w:hAnsi="Times New Roman"/>
          <w:color w:val="000000" w:themeColor="text1"/>
          <w:sz w:val="16"/>
          <w:szCs w:val="16"/>
        </w:rPr>
        <w:softHyphen/>
        <w:t>го сопровождающего. При снятых креслах в образовавшемся грузовом отсеке устанав</w:t>
      </w:r>
      <w:r w:rsidRPr="007224C3">
        <w:rPr>
          <w:rFonts w:ascii="Times New Roman" w:hAnsi="Times New Roman"/>
          <w:color w:val="000000" w:themeColor="text1"/>
          <w:sz w:val="16"/>
          <w:szCs w:val="16"/>
        </w:rPr>
        <w:softHyphen/>
        <w:t>ливались две стандартные бочки или 4 стан</w:t>
      </w:r>
      <w:r w:rsidRPr="007224C3">
        <w:rPr>
          <w:rFonts w:ascii="Times New Roman" w:hAnsi="Times New Roman"/>
          <w:color w:val="000000" w:themeColor="text1"/>
          <w:sz w:val="16"/>
          <w:szCs w:val="16"/>
        </w:rPr>
        <w:softHyphen/>
        <w:t>дартных баллона - всего до 400 кг. Конструкция смешанная: фюзеляж де</w:t>
      </w:r>
      <w:r w:rsidRPr="007224C3">
        <w:rPr>
          <w:rFonts w:ascii="Times New Roman" w:hAnsi="Times New Roman"/>
          <w:color w:val="000000" w:themeColor="text1"/>
          <w:sz w:val="16"/>
          <w:szCs w:val="16"/>
        </w:rPr>
        <w:softHyphen/>
        <w:t>ревянный с фанерной обшивкой, крыло ме</w:t>
      </w:r>
      <w:r w:rsidRPr="007224C3">
        <w:rPr>
          <w:rFonts w:ascii="Times New Roman" w:hAnsi="Times New Roman"/>
          <w:color w:val="000000" w:themeColor="text1"/>
          <w:sz w:val="16"/>
          <w:szCs w:val="16"/>
        </w:rPr>
        <w:softHyphen/>
        <w:t>таллическое с полотняной обшивкой. В крыле два топливных бака емкостью по 120 литров. Шасси убираемое механическим приводом, колеса тормозные. Кабина пило</w:t>
      </w:r>
      <w:r w:rsidRPr="007224C3">
        <w:rPr>
          <w:rFonts w:ascii="Times New Roman" w:hAnsi="Times New Roman"/>
          <w:color w:val="000000" w:themeColor="text1"/>
          <w:sz w:val="16"/>
          <w:szCs w:val="16"/>
        </w:rPr>
        <w:softHyphen/>
        <w:t>та с полным комплектом навигационных приборов, позволяющих осуществлять по</w:t>
      </w:r>
      <w:r w:rsidRPr="007224C3">
        <w:rPr>
          <w:rFonts w:ascii="Times New Roman" w:hAnsi="Times New Roman"/>
          <w:color w:val="000000" w:themeColor="text1"/>
          <w:sz w:val="16"/>
          <w:szCs w:val="16"/>
        </w:rPr>
        <w:softHyphen/>
        <w:t>леты в условиях плохой видимости и но</w:t>
      </w:r>
      <w:r w:rsidRPr="007224C3">
        <w:rPr>
          <w:rFonts w:ascii="Times New Roman" w:hAnsi="Times New Roman"/>
          <w:color w:val="000000" w:themeColor="text1"/>
          <w:sz w:val="16"/>
          <w:szCs w:val="16"/>
        </w:rPr>
        <w:softHyphen/>
        <w:t>чью. Центровка при нормальной загрузке 22,1% САХ. Весовая отдача 42%.</w:t>
      </w:r>
    </w:p>
    <w:p w14:paraId="2A83BF8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Особо отмечалась подготовленность конструкции для массового производства. Весь самолет технологически делился на отдельные агрегаты, изготовление которых предполагалось осуществлять на предпри</w:t>
      </w:r>
      <w:r w:rsidRPr="007224C3">
        <w:rPr>
          <w:rFonts w:ascii="Times New Roman" w:hAnsi="Times New Roman"/>
          <w:color w:val="000000" w:themeColor="text1"/>
          <w:sz w:val="16"/>
          <w:szCs w:val="16"/>
        </w:rPr>
        <w:softHyphen/>
        <w:t>ятиях-смежниках.</w:t>
      </w:r>
    </w:p>
    <w:p w14:paraId="1B584EE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Расчетные характеристики моноплана «Лимузин»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5106D0" w:rsidRPr="007224C3" w14:paraId="155C48F5" w14:textId="77777777">
        <w:tc>
          <w:tcPr>
            <w:tcW w:w="4788" w:type="dxa"/>
            <w:tcBorders>
              <w:top w:val="single" w:sz="12" w:space="0" w:color="auto"/>
            </w:tcBorders>
            <w:shd w:val="clear" w:color="auto" w:fill="FFFFFF"/>
          </w:tcPr>
          <w:p w14:paraId="25D8B79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Длина в линии полета (м)</w:t>
            </w:r>
          </w:p>
        </w:tc>
        <w:tc>
          <w:tcPr>
            <w:tcW w:w="4788" w:type="dxa"/>
            <w:tcBorders>
              <w:top w:val="single" w:sz="12" w:space="0" w:color="auto"/>
            </w:tcBorders>
            <w:shd w:val="clear" w:color="auto" w:fill="FFFFFF"/>
          </w:tcPr>
          <w:p w14:paraId="0608A98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8,540</w:t>
            </w:r>
          </w:p>
        </w:tc>
      </w:tr>
      <w:tr w:rsidR="005106D0" w:rsidRPr="007224C3" w14:paraId="23D1989C" w14:textId="77777777">
        <w:tc>
          <w:tcPr>
            <w:tcW w:w="4788" w:type="dxa"/>
            <w:shd w:val="clear" w:color="auto" w:fill="FFFFFF"/>
          </w:tcPr>
          <w:p w14:paraId="1067993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Размах крыла (м)</w:t>
            </w:r>
          </w:p>
        </w:tc>
        <w:tc>
          <w:tcPr>
            <w:tcW w:w="4788" w:type="dxa"/>
            <w:shd w:val="clear" w:color="auto" w:fill="FFFFFF"/>
          </w:tcPr>
          <w:p w14:paraId="716DFEB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11,50</w:t>
            </w:r>
          </w:p>
        </w:tc>
      </w:tr>
      <w:tr w:rsidR="005106D0" w:rsidRPr="007224C3" w14:paraId="49A4D459" w14:textId="77777777">
        <w:tc>
          <w:tcPr>
            <w:tcW w:w="4788" w:type="dxa"/>
            <w:shd w:val="clear" w:color="auto" w:fill="FFFFFF"/>
          </w:tcPr>
          <w:p w14:paraId="3AD8625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Колея шасси (м)</w:t>
            </w:r>
          </w:p>
        </w:tc>
        <w:tc>
          <w:tcPr>
            <w:tcW w:w="4788" w:type="dxa"/>
            <w:shd w:val="clear" w:color="auto" w:fill="FFFFFF"/>
          </w:tcPr>
          <w:p w14:paraId="1A40F93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3,500</w:t>
            </w:r>
          </w:p>
        </w:tc>
      </w:tr>
      <w:tr w:rsidR="005106D0" w:rsidRPr="007224C3" w14:paraId="4D97B87E" w14:textId="77777777">
        <w:tc>
          <w:tcPr>
            <w:tcW w:w="4788" w:type="dxa"/>
            <w:shd w:val="clear" w:color="auto" w:fill="FFFFFF"/>
          </w:tcPr>
          <w:p w14:paraId="5373245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Размах стабилизатора (м)</w:t>
            </w:r>
          </w:p>
        </w:tc>
        <w:tc>
          <w:tcPr>
            <w:tcW w:w="4788" w:type="dxa"/>
            <w:shd w:val="clear" w:color="auto" w:fill="FFFFFF"/>
          </w:tcPr>
          <w:p w14:paraId="0346C8F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3,200</w:t>
            </w:r>
          </w:p>
        </w:tc>
      </w:tr>
      <w:tr w:rsidR="005106D0" w:rsidRPr="007224C3" w14:paraId="3264E4C7" w14:textId="77777777">
        <w:tc>
          <w:tcPr>
            <w:tcW w:w="4788" w:type="dxa"/>
            <w:shd w:val="clear" w:color="auto" w:fill="FFFFFF"/>
          </w:tcPr>
          <w:p w14:paraId="508D85A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 пустого (кг)</w:t>
            </w:r>
          </w:p>
        </w:tc>
        <w:tc>
          <w:tcPr>
            <w:tcW w:w="4788" w:type="dxa"/>
            <w:shd w:val="clear" w:color="auto" w:fill="FFFFFF"/>
          </w:tcPr>
          <w:p w14:paraId="604E2EC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798</w:t>
            </w:r>
          </w:p>
        </w:tc>
      </w:tr>
      <w:tr w:rsidR="005106D0" w:rsidRPr="007224C3" w14:paraId="73209308" w14:textId="77777777">
        <w:tc>
          <w:tcPr>
            <w:tcW w:w="4788" w:type="dxa"/>
            <w:shd w:val="clear" w:color="auto" w:fill="FFFFFF"/>
          </w:tcPr>
          <w:p w14:paraId="63A97C6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Полетный вес (кг)</w:t>
            </w:r>
          </w:p>
        </w:tc>
        <w:tc>
          <w:tcPr>
            <w:tcW w:w="4788" w:type="dxa"/>
            <w:shd w:val="clear" w:color="auto" w:fill="FFFFFF"/>
          </w:tcPr>
          <w:p w14:paraId="7815B07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1375</w:t>
            </w:r>
          </w:p>
        </w:tc>
      </w:tr>
      <w:tr w:rsidR="005106D0" w:rsidRPr="007224C3" w14:paraId="1ECCC4EC" w14:textId="77777777">
        <w:tc>
          <w:tcPr>
            <w:tcW w:w="4788" w:type="dxa"/>
            <w:shd w:val="clear" w:color="auto" w:fill="FFFFFF"/>
          </w:tcPr>
          <w:p w14:paraId="43B5A23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 скорость (км/ч)</w:t>
            </w:r>
          </w:p>
        </w:tc>
        <w:tc>
          <w:tcPr>
            <w:tcW w:w="4788" w:type="dxa"/>
            <w:shd w:val="clear" w:color="auto" w:fill="FFFFFF"/>
          </w:tcPr>
          <w:p w14:paraId="2A1C67F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248</w:t>
            </w:r>
          </w:p>
        </w:tc>
      </w:tr>
      <w:tr w:rsidR="005106D0" w:rsidRPr="007224C3" w14:paraId="56754231" w14:textId="77777777">
        <w:tc>
          <w:tcPr>
            <w:tcW w:w="4788" w:type="dxa"/>
            <w:shd w:val="clear" w:color="auto" w:fill="FFFFFF"/>
          </w:tcPr>
          <w:p w14:paraId="30AB5DF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Крейсерская скорость (км/ч)</w:t>
            </w:r>
          </w:p>
        </w:tc>
        <w:tc>
          <w:tcPr>
            <w:tcW w:w="4788" w:type="dxa"/>
            <w:shd w:val="clear" w:color="auto" w:fill="FFFFFF"/>
          </w:tcPr>
          <w:p w14:paraId="393F8F9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195</w:t>
            </w:r>
          </w:p>
        </w:tc>
      </w:tr>
      <w:tr w:rsidR="005106D0" w:rsidRPr="007224C3" w14:paraId="4744EF32" w14:textId="77777777">
        <w:tc>
          <w:tcPr>
            <w:tcW w:w="4788" w:type="dxa"/>
            <w:shd w:val="clear" w:color="auto" w:fill="FFFFFF"/>
          </w:tcPr>
          <w:p w14:paraId="6B79289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Посадочная скорость (км/ч)</w:t>
            </w:r>
          </w:p>
        </w:tc>
        <w:tc>
          <w:tcPr>
            <w:tcW w:w="4788" w:type="dxa"/>
            <w:shd w:val="clear" w:color="auto" w:fill="FFFFFF"/>
          </w:tcPr>
          <w:p w14:paraId="2216298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86</w:t>
            </w:r>
          </w:p>
        </w:tc>
      </w:tr>
      <w:tr w:rsidR="005106D0" w:rsidRPr="007224C3" w14:paraId="10F964E0" w14:textId="77777777">
        <w:tc>
          <w:tcPr>
            <w:tcW w:w="4788" w:type="dxa"/>
            <w:shd w:val="clear" w:color="auto" w:fill="FFFFFF"/>
          </w:tcPr>
          <w:p w14:paraId="3A993D5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Потолок (м)</w:t>
            </w:r>
          </w:p>
        </w:tc>
        <w:tc>
          <w:tcPr>
            <w:tcW w:w="4788" w:type="dxa"/>
            <w:shd w:val="clear" w:color="auto" w:fill="FFFFFF"/>
          </w:tcPr>
          <w:p w14:paraId="23D3D75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3750</w:t>
            </w:r>
          </w:p>
        </w:tc>
      </w:tr>
      <w:tr w:rsidR="005106D0" w:rsidRPr="007224C3" w14:paraId="5E498902" w14:textId="77777777">
        <w:tc>
          <w:tcPr>
            <w:tcW w:w="4788" w:type="dxa"/>
            <w:shd w:val="clear" w:color="auto" w:fill="FFFFFF"/>
          </w:tcPr>
          <w:p w14:paraId="4A9F9C4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Длина разбега (м)</w:t>
            </w:r>
          </w:p>
        </w:tc>
        <w:tc>
          <w:tcPr>
            <w:tcW w:w="4788" w:type="dxa"/>
            <w:shd w:val="clear" w:color="auto" w:fill="FFFFFF"/>
          </w:tcPr>
          <w:p w14:paraId="683BEEE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330</w:t>
            </w:r>
          </w:p>
        </w:tc>
      </w:tr>
      <w:tr w:rsidR="005106D0" w:rsidRPr="007224C3" w14:paraId="67E89485" w14:textId="77777777">
        <w:tc>
          <w:tcPr>
            <w:tcW w:w="4788" w:type="dxa"/>
            <w:shd w:val="clear" w:color="auto" w:fill="FFFFFF"/>
          </w:tcPr>
          <w:p w14:paraId="4619F12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Длина пробега (м)</w:t>
            </w:r>
          </w:p>
        </w:tc>
        <w:tc>
          <w:tcPr>
            <w:tcW w:w="4788" w:type="dxa"/>
            <w:shd w:val="clear" w:color="auto" w:fill="FFFFFF"/>
          </w:tcPr>
          <w:p w14:paraId="6C4681A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338</w:t>
            </w:r>
          </w:p>
        </w:tc>
      </w:tr>
      <w:tr w:rsidR="005106D0" w:rsidRPr="007224C3" w14:paraId="6FDD2039" w14:textId="77777777">
        <w:tc>
          <w:tcPr>
            <w:tcW w:w="4788" w:type="dxa"/>
            <w:shd w:val="clear" w:color="auto" w:fill="FFFFFF"/>
          </w:tcPr>
          <w:p w14:paraId="60969CA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Дальность нормальная (км)</w:t>
            </w:r>
          </w:p>
        </w:tc>
        <w:tc>
          <w:tcPr>
            <w:tcW w:w="4788" w:type="dxa"/>
            <w:shd w:val="clear" w:color="auto" w:fill="FFFFFF"/>
          </w:tcPr>
          <w:p w14:paraId="0D040FC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800</w:t>
            </w:r>
          </w:p>
        </w:tc>
      </w:tr>
      <w:tr w:rsidR="005106D0" w:rsidRPr="007224C3" w14:paraId="7ABA9573" w14:textId="77777777">
        <w:tc>
          <w:tcPr>
            <w:tcW w:w="4788" w:type="dxa"/>
            <w:tcBorders>
              <w:bottom w:val="single" w:sz="12" w:space="0" w:color="auto"/>
            </w:tcBorders>
            <w:shd w:val="clear" w:color="auto" w:fill="FFFFFF"/>
          </w:tcPr>
          <w:p w14:paraId="112A24F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Дальность максимальная (км)</w:t>
            </w:r>
          </w:p>
        </w:tc>
        <w:tc>
          <w:tcPr>
            <w:tcW w:w="4788" w:type="dxa"/>
            <w:tcBorders>
              <w:bottom w:val="single" w:sz="12" w:space="0" w:color="auto"/>
            </w:tcBorders>
            <w:shd w:val="clear" w:color="auto" w:fill="FFFFFF"/>
          </w:tcPr>
          <w:p w14:paraId="18D9E88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1700</w:t>
            </w:r>
          </w:p>
        </w:tc>
      </w:tr>
    </w:tbl>
    <w:p w14:paraId="63045A2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(11085).</w:t>
      </w:r>
    </w:p>
    <w:p w14:paraId="39029FD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BB04F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весны 1944 г. проходили испытания АЧ-30БФ. С августа того же года два АЧ-ЗОБФ испытывались на опытном бомбардировщике Ил-6. АЧ-30БФ, форсированный вариант АЧ-ЗОБ с впрыском бензина по</w:t>
      </w:r>
      <w:r w:rsidRPr="007224C3">
        <w:rPr>
          <w:rFonts w:ascii="Times New Roman" w:hAnsi="Times New Roman"/>
          <w:color w:val="000000" w:themeColor="text1"/>
          <w:sz w:val="16"/>
          <w:szCs w:val="16"/>
        </w:rPr>
        <w:softHyphen/>
        <w:t>сле турбонагнетателей. Проектировался с 1943 г. 100-часовые заводские испытания успешно завершили в марте 1945 г. В том же месяце начали госиспытания, на которых двигатель был забракован из-за плохой приемистости и сложной процедуры запу</w:t>
      </w:r>
      <w:r w:rsidRPr="007224C3">
        <w:rPr>
          <w:rFonts w:ascii="Times New Roman" w:hAnsi="Times New Roman"/>
          <w:color w:val="000000" w:themeColor="text1"/>
          <w:sz w:val="16"/>
          <w:szCs w:val="16"/>
        </w:rPr>
        <w:softHyphen/>
        <w:t>ска. После некоторой доводки АЧ-ЗОБФ испытывались на самолете Ту-2. Работа над двигателем продолжалась до 1947 г. Мощность 1250/1900 л.с., вес 1280 кг. Всего переделано из АЧ-ЗОБ 17 экз. (11852).</w:t>
      </w:r>
    </w:p>
    <w:p w14:paraId="05BAA6B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4998CC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Весной 1944 вышел приказ НКАП:</w:t>
      </w:r>
    </w:p>
    <w:p w14:paraId="71BB464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целях обеспечения опытных заводов НИИ и ОКБ 7-го гл. управления конструкторским оборудованием:</w:t>
      </w:r>
    </w:p>
    <w:p w14:paraId="3884C9C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Директору завода № 482 Каневскому Я.М. передать заводу № 134 помещение бывш. филиала завода № 482 “Коопящик” для организации на нем деревообделочного филиала завода № 134 (8937).</w:t>
      </w:r>
    </w:p>
    <w:p w14:paraId="593E581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C596E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Весной 1944 г. завод № 261 (ГС Завод № 261 НКАП /г. Москва ул. Фабричная, 11 (р-н ст. Ростокино) (1939 г.)/ / г. Березовск;  г. Верхний Нейвинск Свердловской обл./) в соответствиии приказом НКАП № 746с от 13 декабря 1943 г. во исполнение пост. ГКО № 4290 от 8.10.1943 г. для улучшения производственно-бытовых условий работы с был переведен из Березовска в  г. Верхний Нейвинск на площадку завода № 484 НКАП. Оба завода были объединены в ГС завод № 261 2ГУ НКАП. Все помещения в  г. Березовске были переданы в распоряжение НКЭС.</w:t>
      </w:r>
    </w:p>
    <w:p w14:paraId="023A4EF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приказу № 293с от 11.07.1945 г. завод передан из 2ГУ в 9ГУ для организации производства металлургической продукции из легких сплавов.</w:t>
      </w:r>
    </w:p>
    <w:p w14:paraId="11F4450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приказам № 483с/024с от 11.12.1945 г. и № 499с от 31.12.1945 г. завод № 261 расформирован, часть оборудования и личного состава передана заводу № 30 НКАП (цех шасси), часть - на новый завод № 268 НКАП. На тот момент завод состоял из одного действующего цеха и начатого строительства второго корпуса. Они в 1946 г. переданы в ПГУ СНК СССР, на их базе начато строительство комбината № 813.</w:t>
      </w:r>
    </w:p>
    <w:p w14:paraId="6308FB9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Производственные площади (1945 г.)- 14.200 м</w:t>
      </w:r>
      <w:r w:rsidRPr="007224C3">
        <w:rPr>
          <w:rFonts w:ascii="Times New Roman" w:hAnsi="Times New Roman"/>
          <w:color w:val="000000" w:themeColor="text1"/>
          <w:sz w:val="16"/>
          <w:szCs w:val="16"/>
          <w:vertAlign w:val="superscript"/>
        </w:rPr>
        <w:t>2</w:t>
      </w:r>
      <w:r w:rsidRPr="007224C3">
        <w:rPr>
          <w:rFonts w:ascii="Times New Roman" w:hAnsi="Times New Roman"/>
          <w:color w:val="000000" w:themeColor="text1"/>
          <w:sz w:val="16"/>
          <w:szCs w:val="16"/>
        </w:rPr>
        <w:t>.</w:t>
      </w:r>
    </w:p>
    <w:p w14:paraId="6AA84C0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(-1940-02.1942 г.-)- А.И. Пастер (одновременно директор завода № 120), (12.1943 г.)- Явиц.</w:t>
      </w:r>
    </w:p>
    <w:p w14:paraId="5579C4F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iCs/>
          <w:color w:val="000000" w:themeColor="text1"/>
          <w:sz w:val="16"/>
          <w:szCs w:val="16"/>
        </w:rPr>
        <w:t>Производство:</w:t>
      </w:r>
      <w:r w:rsidRPr="007224C3">
        <w:rPr>
          <w:rFonts w:ascii="Times New Roman" w:hAnsi="Times New Roman"/>
          <w:color w:val="000000" w:themeColor="text1"/>
          <w:sz w:val="16"/>
          <w:szCs w:val="16"/>
        </w:rPr>
        <w:t xml:space="preserve"> бензо-, водо-, маслозаправщики самолетов (АРС на шасси ЗиС-6), бензобаки, форсунки, фильтры, контейнеры (1939-); агрегаты химвооружения (УХАП-250, УХАП-500, разливочные станции для ампул, аэродромные тележки для ВАП-500) (1941-); агрегаты шасси (ВОВ) (11982).</w:t>
      </w:r>
    </w:p>
    <w:p w14:paraId="3B87284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B21FE9E"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lastRenderedPageBreak/>
        <w:t>Другие оборонные отрасли:</w:t>
      </w:r>
    </w:p>
    <w:p w14:paraId="7231DBC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DC915B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Весной 1944 года ЦАКБ предложило проект САУ СУ-С-34-1, вооруженную 85-мм орудием С-34-IB. Орудие отличалось необычными боеприпасами - 85-мм снаряды с гильзой от 100-мм орудия (3862).</w:t>
      </w:r>
    </w:p>
    <w:p w14:paraId="2653F98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99AD3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Весной 1944 года под Москвой в два этапа были проведены сравнительные войсковые испытания всех трех разработанных вариантов пушки 37-мм противотанковой пушки: ЧК; ЗИВ-2; ЧК-М1. Первый этап, включавший в себя летные испытания, проходил с 26 марта по 2 апреля на аэродроме у Медвежьих озер на базе отдельной испытательной эскадрильи. Второй этап - стрельбы - проходил на курсах им. Ворошилова с 3 по 18 апреля.</w:t>
      </w:r>
    </w:p>
    <w:p w14:paraId="68967DF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 три варианта пушки имели легкий подрессоренных ход, предназначенный только для перевозки вручную расчетом пушки. Буксировка пушки автомобилем могла привести к разрушению лафета. Поэтому транспортировку пушки предполагалось производить в автомобилях "Виллис" (1 пушка), ГАЗ-64 (1 пушка), "Додж" (2 пушки) и ГАЗ-А (2 пушки), а также в коляске мотоцикла "Харлей Давидсон". Кроме того, в нештатных ситуациях можно было возить пушку в одноконной тележке.</w:t>
      </w:r>
    </w:p>
    <w:p w14:paraId="706AE05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войсковых испытаниях от 37-мм пушки отделяли щит и колесный ход, и она ставилась на трубчатую сварную раму (установки "Пигмей"), с которой можно было вести огонь с автомобилей "Виллис" и ГАЗ-64 с углами вертикального наведения от -5° до +5° и углом горизонтального наведения 30°. Остальные автомобили и мотоциклы на войсковых испытаниях использовались лишь для перевозки пушки. Однако позже, в том же 1944 году, к стрельбе был приспособлен и мотоцикл "Харлей Давидсон". На каждую пушку положено два мотоцикла. На одном - пушка, наводчик, заряжающий и водитель. На втором - командир, подносчик и водитель.</w:t>
      </w:r>
    </w:p>
    <w:p w14:paraId="4F2E511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Стрельбу можно было вести с ходу с мотоциклетной установки со скоростью до 10 км/час по ровной дороге.</w:t>
      </w:r>
    </w:p>
    <w:p w14:paraId="3EEA8CC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ходе летных испытаний производилось десантирование пушек в планерах А-7, Г-11 и БДП-2. В каждый планер грузилась одна пушка, 4 человека расчета и боекомплект (в А-7 - 191 выстрел, в Г-11 и БДП-2 - 222 выстрела). Любопытно, что в отчете о летных испытаниях пушка ЧК именуется ЧК-37, ЧК-М1 именуется ЧК-37-М1, зато ЗИВ-2 оставалась под прежним наименованием.</w:t>
      </w:r>
    </w:p>
    <w:p w14:paraId="4728179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ходе летных испытаний для парашютирования в самолет ЛИ-2 грузилась пушка, расчет и боекомплект. Условия сброса - высота 600 м, скорость 200 км/час.</w:t>
      </w:r>
    </w:p>
    <w:p w14:paraId="681EFA5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доставке посадочным способом на летных испытаниях использовался бомбардировщик ТБ-3 с мотором М-17, под крылом которого подвешивалось два автомобиля "Виллис" или ГАЗ-64 с установленными на них 37-мм пушками.</w:t>
      </w:r>
    </w:p>
    <w:p w14:paraId="0777A63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Согласно "Временной инструкции по боевому применению 37-мм авиадесантной пушки", изданной в 1944 году, при транспортировке посадочным способом в самолет ЛИ-2 помещалось 2 мотоцикла, 1 пушка и 6 человек, всего 2227 кг, а в самолет С-47 все тоже, плюс еще пушка и патроны, всего 2894 кг.</w:t>
      </w:r>
    </w:p>
    <w:p w14:paraId="142F689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парашютировании пушка и мотоцикл размещались на внешней подвеске бомбардировщика ИЛ-4, а расчет и патроны - на ЛИ-2.</w:t>
      </w:r>
    </w:p>
    <w:p w14:paraId="79CB301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ходе стрельб выяснилось, что бронепробиваемость 37-мм пушки калиберным снарядом на дистанции до 300-500 м не уступает 45-мм ПТП обр. 1937 г.</w:t>
      </w:r>
    </w:p>
    <w:p w14:paraId="0300725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Кучность стрельбы по щиту бронебойными калиберными снарядами удовлетворительная, а осколочными по местности - неудовлетворительная (большое рассеивание). При стрельбе у пушки ЗИВ-2 разорвало ствол.</w:t>
      </w:r>
    </w:p>
    <w:p w14:paraId="432E5B6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результатам войсковых испытаний комиссия рекомендовала к принятию на вооружение пушку ЧК-М1, так как она проще в производстве и эксплуатации, легче, и не имеет гидравлического тормоза отката.</w:t>
      </w:r>
    </w:p>
    <w:p w14:paraId="647641C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Пушка ЧК-М1 получила официальное название "37-мм авиадесантная пушка обр. 1944 г.".</w:t>
      </w:r>
    </w:p>
    <w:p w14:paraId="27C7918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1944 году завод № 74 изготовил 290 пушек ЧК-М1, а завод № 79 - 25 пушек. В 1945 году завод № 79 изготовил 157 пушек, и на этом их производство завершилось. Всего было изготовлено 472 пушки ЧК-М1 (3861).</w:t>
      </w:r>
    </w:p>
    <w:p w14:paraId="2E27583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6F0959" w14:textId="77777777" w:rsidR="00822884" w:rsidRPr="007224C3" w:rsidRDefault="0082288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Весной 1944 года система Д-10С считалась едва ли не идеальным вооружением для тяжёлых танков и САУ на базе Т-34. Основывался этот вывод на теоретической бронепробиваемости, которая получалась даже чуть выше, чем у Д-25. Всерьёз предлагалось перевооружить на данное орудие танк </w:t>
      </w:r>
      <w:hyperlink r:id="rId154" w:history="1">
        <w:r w:rsidRPr="007224C3">
          <w:rPr>
            <w:rStyle w:val="a5"/>
            <w:rFonts w:ascii="Times New Roman" w:hAnsi="Times New Roman"/>
            <w:color w:val="000000" w:themeColor="text1"/>
            <w:sz w:val="16"/>
            <w:szCs w:val="16"/>
          </w:rPr>
          <w:t>ИС-2</w:t>
        </w:r>
      </w:hyperlink>
      <w:r w:rsidRPr="007224C3">
        <w:rPr>
          <w:rFonts w:ascii="Times New Roman" w:hAnsi="Times New Roman"/>
          <w:color w:val="000000" w:themeColor="text1"/>
          <w:sz w:val="16"/>
          <w:szCs w:val="16"/>
        </w:rPr>
        <w:t>. Правда, испытания показали, что на самом деле бронебойный снаряд Д-10 пробивал верхнюю лобовую деталь немецкого среднего танка Pz.Kpfw.Panther на дистанции 1300–1400 м, а бронебойный снаряд Д-25 делал то же самое на дистанции 2–2,5 км. Тем не менее для средней САУ Д-10С являлась оптимальной системой, обладавшей высокой скорострельностью и приличными данными по пробитию брони. Дело было за малым: доработать как само орудие, так и САУ для его установки (18252).</w:t>
      </w:r>
    </w:p>
    <w:p w14:paraId="5CC661FD" w14:textId="77777777" w:rsidR="00822884" w:rsidRPr="007224C3" w:rsidRDefault="00822884" w:rsidP="007224C3">
      <w:pPr>
        <w:spacing w:after="0" w:line="240" w:lineRule="auto"/>
        <w:jc w:val="both"/>
        <w:rPr>
          <w:rFonts w:ascii="Times New Roman" w:hAnsi="Times New Roman"/>
          <w:color w:val="000000" w:themeColor="text1"/>
          <w:sz w:val="16"/>
          <w:szCs w:val="16"/>
        </w:rPr>
      </w:pPr>
    </w:p>
    <w:p w14:paraId="41AA0BC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Весной 1944 года командирскую башенку с двухстворчатой крышкой люка перенесли ближе к корме танка и, кроме того, с этого времени все "тридцатьчетверки" оснащались новыми перископами МК-4. Радиостанцию перенесли из корпуса в башню танка. Эти изменения были введены еще до принятия на вооружение пушки ЗИС-С-53. На Т-34-85 самых ранних выпусков завода №112 еще сохранились четыре U-образных подъемных крюка башни, однако вскоре их заменили более простыми крюками нового типа, которые в дальнейшем использовались на всех заводах, производивших "тридцатьчетверки". Версии танков, вооруженные орудиями Д-5Т и ЗИС-С-53 легко отличить друг от друга по маске пушки. Орудие Д-5Т имело большую круглую маску такого же типа, что и самоходная установка СУ-85, а маска пушки ЗИС-С-53 отличалась небольшой броневой втулкой в месте соединения с орудием. Характеристики обеих пушек были примерно одинаковы; ЗИС-С-53 выбрали из-за лучшей технологичности и простоты обслуживания (3862).</w:t>
      </w:r>
    </w:p>
    <w:p w14:paraId="3392246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8BB18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Весной 1944 года к серийному выпуску Т-34/85 приступили еще два завода: №174 в Омске и №183 в Нижнем Тагиле. Крупнейшим производителем Т-34 стал завод №183, до мая 1945 года изготовивший 35000 "тридцатьчетверок"; на втором месте оказался завод №112 "Красное Сормово", который собрал за годы войны около 10000 этих средних танков (3862).</w:t>
      </w:r>
    </w:p>
    <w:p w14:paraId="72274D2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Т-34/85 разных заводов были, в основном, одинаковы и отличались лишь формами башен и расположением дополнительного оборудования. Так, из-за различий в технологии производства литых танковых башен, появилось три типа последних, которые однако официально не утверждались. Наиболее сильные отличия от этих трех версий имела так называемая "составная" башня; остальные две в основном различались расположением сварных швов и мелкими конструктивными изменениями (3862).</w:t>
      </w:r>
    </w:p>
    <w:p w14:paraId="68C7D6B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мере налаживания крупномасштабного производства Т-34/85 в конструкцию танка вносить многочисленные изменения и улучшения. Со временем изменился способ соединения передней и верхней плиты корпуса: переход стал более резким. Спереди и по бокам корпуса, около кольца башни стали приваривать броневые уголки, предохранявшие механизм поворота башни. "Тридцатьчетверки" поздних выпусков оснащались дымовым оборудованием, которое представляло собой два цилиндрических бака, установленных на корме танка и оборудованных электрозапалами. Для проводов к электрозапалам дымовой системы было сделано небольшое отверстие в кормовой плите танка. Несколько изменились поручни для пехотинцев, а на некоторых машинах, кроме того, старые грязеотбойники круглой формы, вызывавшие нарекания из-за постоянных повреждений при эксплуатации, заменили новыми, прямоугольной формы, которые при необходимости могли откидываться вверх. И наконец уже в 1945 году двухстворчатую крышку люка командирской башенки заменили одностворчатой, а также изменили расположение вентиляторов, что несколько улучшило условия работы экипажа танка (3862).</w:t>
      </w:r>
    </w:p>
    <w:p w14:paraId="5584122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Серийное производство Т-34, вооруженного 85-мм пушкой, продолжалось и после войны, а до мая 1945 года заводы изготовили около 21000 Т-34/85 (3862).</w:t>
      </w:r>
    </w:p>
    <w:p w14:paraId="46B9317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AA9CA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Весной 1944 года в составе 1-ой Гвардейской танковой армии Т-34-85 впервые принял участи в боях. Во время наступления в Белоруссии и на Украине эти новые танки успешно противостояли многочисленным "Тиграм" и "Пантерам" (3862).</w:t>
      </w:r>
    </w:p>
    <w:p w14:paraId="3147D1D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4ACB0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Весной 1944 г. завод № 183 по своей инициативе разработал и представил на испытания два модернизированных танка, получивших с чение Т-34-85М. Они отличались от серийных танков увеличенной толщиной броневых листов корпуса, а также конструктивными изменениями коробки передач и узлов ходовой части. На втором образце модернозированного танка топливные баки были перенесены в трансмиссионное отделение, что повлекло изменение конструкции броневого корпуса (10703).</w:t>
      </w:r>
    </w:p>
    <w:p w14:paraId="6F5C7B4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9F3210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Весной 1944 г. завод № 183 по своей инициативе разработал и представил на испытания два модернизированных танка, получивших обозначение Т-34-85М. Они отличались от серийных танков увеличенной толщиной броневых листов корпуса, а также конструктивными изменениями коробки передач и узлов ходовой части. На втором образце модернозированного танка топливные баки были перенесены в трансмиссионное отделение, что повлекло изменение конструкции броневого корпуса (10703).</w:t>
      </w:r>
    </w:p>
    <w:p w14:paraId="0F47AEB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07594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Весной 1944 г. СКБ НКСП был создан стабилизатор СТП-С-53 для 85-мм танковой пушки С-53, который получил условное наименование "Таран". В начале 1945 г. заводом № 112 для проведения полигонных ис</w:t>
      </w:r>
      <w:r w:rsidRPr="007224C3">
        <w:rPr>
          <w:rFonts w:ascii="Times New Roman" w:hAnsi="Times New Roman"/>
          <w:color w:val="000000" w:themeColor="text1"/>
          <w:sz w:val="16"/>
          <w:szCs w:val="16"/>
        </w:rPr>
        <w:softHyphen/>
        <w:t>пытаний была выпущена опытная партия из пяти танков Т-34-85, осна</w:t>
      </w:r>
      <w:r w:rsidRPr="007224C3">
        <w:rPr>
          <w:rFonts w:ascii="Times New Roman" w:hAnsi="Times New Roman"/>
          <w:color w:val="000000" w:themeColor="text1"/>
          <w:sz w:val="16"/>
          <w:szCs w:val="16"/>
        </w:rPr>
        <w:softHyphen/>
        <w:t>щенных этим одноплоскостным стабилизатором. Из-за больших разме</w:t>
      </w:r>
      <w:r w:rsidRPr="007224C3">
        <w:rPr>
          <w:rFonts w:ascii="Times New Roman" w:hAnsi="Times New Roman"/>
          <w:color w:val="000000" w:themeColor="text1"/>
          <w:sz w:val="16"/>
          <w:szCs w:val="16"/>
        </w:rPr>
        <w:softHyphen/>
        <w:t>ров узлов и механизмов силовые стабилизаторы не были установлены в серийных танках (10703).</w:t>
      </w:r>
    </w:p>
    <w:p w14:paraId="50F90A1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0482D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Весной 1944 г. СКБ НКСП был разработан новый стабилизатор для танковой пушки ЗИС-С-53 для танка Т-34-85 - СТП-С-53, получив</w:t>
      </w:r>
      <w:r w:rsidRPr="007224C3">
        <w:rPr>
          <w:rFonts w:ascii="Times New Roman" w:hAnsi="Times New Roman"/>
          <w:color w:val="000000" w:themeColor="text1"/>
          <w:sz w:val="16"/>
          <w:szCs w:val="16"/>
        </w:rPr>
        <w:softHyphen/>
        <w:t>ший наименование "Таран". На основании постановления ГКО от 7 ноября 1944 г. заводом № 112 и НИИ-627 в начале 1945 г. для проведения всесторонних испытаний были изготовлены 4 опытных танка Т-34-85 со стабилизатором "Таран". Результаты испытаний были использованы уже после окончания Великой Отечественной войны при создании однопплоскостного стабилизатора "Горизонт" для 100-мм пушки среднего танка Т-54 (10703).</w:t>
      </w:r>
    </w:p>
    <w:p w14:paraId="311B9F2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B5BEE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Весной 1944 г. был изготовлен опытный образец танка Т-34-85М (первый вариант), который был разработан в инициативном порядке в КБ-520 завода № 183 под руководством главного конструкто</w:t>
      </w:r>
      <w:r w:rsidRPr="007224C3">
        <w:rPr>
          <w:rFonts w:ascii="Times New Roman" w:hAnsi="Times New Roman"/>
          <w:color w:val="000000" w:themeColor="text1"/>
          <w:sz w:val="16"/>
          <w:szCs w:val="16"/>
        </w:rPr>
        <w:softHyphen/>
        <w:t>ра А.А. Морозова и в период с 24 мая по 10 июня прошел испытания на НИБТ полигоне. На вооружение танк не принимался и в серийном производстве не состоял (10703).</w:t>
      </w:r>
    </w:p>
    <w:p w14:paraId="5668DFE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061BDA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Весной 1944 г. был изготовлен опытный образец танка Т-34-85М (второй вариант), который был разработан в инициативном порядке в КБ-520 завода № 183 под руководством главного конструкто</w:t>
      </w:r>
      <w:r w:rsidRPr="007224C3">
        <w:rPr>
          <w:rFonts w:ascii="Times New Roman" w:hAnsi="Times New Roman"/>
          <w:color w:val="000000" w:themeColor="text1"/>
          <w:sz w:val="16"/>
          <w:szCs w:val="16"/>
        </w:rPr>
        <w:softHyphen/>
        <w:t>ра А.А. Морозова и в период с 24 мая по 10 июня прошел испытания на НИБТ полигоне. На вооружение танк не принимался и в серийном производстве не состоял (10703).</w:t>
      </w:r>
    </w:p>
    <w:p w14:paraId="10B4FC9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A4A252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Весной 1944 г. в КБ завода № 183 под руководством главного конструктора А.А. Морозова с учетом устранения недостатков присущих танку Т-44 первой модифи</w:t>
      </w:r>
      <w:r w:rsidRPr="007224C3">
        <w:rPr>
          <w:rFonts w:ascii="Times New Roman" w:hAnsi="Times New Roman"/>
          <w:color w:val="000000" w:themeColor="text1"/>
          <w:sz w:val="16"/>
          <w:szCs w:val="16"/>
        </w:rPr>
        <w:softHyphen/>
        <w:t>кации был разработан Танк Т-44 (второй модификации). Два опытных образца машины были изготовлены заводом № 183 в мае 1944 г., один из которых прошел заводские испытания. В июне-июле 1944 г. второй опытный образец танка успешно прошел испыта</w:t>
      </w:r>
      <w:r w:rsidRPr="007224C3">
        <w:rPr>
          <w:rFonts w:ascii="Times New Roman" w:hAnsi="Times New Roman"/>
          <w:color w:val="000000" w:themeColor="text1"/>
          <w:sz w:val="16"/>
          <w:szCs w:val="16"/>
        </w:rPr>
        <w:softHyphen/>
        <w:t>ния на НИБТ полигоне и был рекомендован для принятия на вооруже</w:t>
      </w:r>
      <w:r w:rsidRPr="007224C3">
        <w:rPr>
          <w:rFonts w:ascii="Times New Roman" w:hAnsi="Times New Roman"/>
          <w:color w:val="000000" w:themeColor="text1"/>
          <w:sz w:val="16"/>
          <w:szCs w:val="16"/>
        </w:rPr>
        <w:softHyphen/>
        <w:t>ние РККА после устранения выявленных дефектов и реализации всех предложений комиссии. На вооружение танк не принимался и в серий</w:t>
      </w:r>
      <w:r w:rsidRPr="007224C3">
        <w:rPr>
          <w:rFonts w:ascii="Times New Roman" w:hAnsi="Times New Roman"/>
          <w:color w:val="000000" w:themeColor="text1"/>
          <w:sz w:val="16"/>
          <w:szCs w:val="16"/>
        </w:rPr>
        <w:softHyphen/>
        <w:t>ном производстве не состоял. Явился прототипом предсерийного образ</w:t>
      </w:r>
      <w:r w:rsidRPr="007224C3">
        <w:rPr>
          <w:rFonts w:ascii="Times New Roman" w:hAnsi="Times New Roman"/>
          <w:color w:val="000000" w:themeColor="text1"/>
          <w:sz w:val="16"/>
          <w:szCs w:val="16"/>
        </w:rPr>
        <w:softHyphen/>
        <w:t>ца танка Т-44А (10703).</w:t>
      </w:r>
    </w:p>
    <w:p w14:paraId="5980719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9394B95" w14:textId="77777777" w:rsidR="002D2C83" w:rsidRPr="007224C3" w:rsidRDefault="002D2C83" w:rsidP="007224C3">
      <w:pPr>
        <w:spacing w:after="0" w:line="240" w:lineRule="auto"/>
        <w:jc w:val="both"/>
        <w:rPr>
          <w:rStyle w:val="670"/>
          <w:rFonts w:ascii="Times New Roman" w:hAnsi="Times New Roman" w:cs="Times New Roman"/>
          <w:color w:val="0070C0"/>
          <w:sz w:val="16"/>
          <w:szCs w:val="16"/>
        </w:rPr>
      </w:pPr>
      <w:r w:rsidRPr="007224C3">
        <w:rPr>
          <w:rStyle w:val="670"/>
          <w:rFonts w:ascii="Times New Roman" w:hAnsi="Times New Roman" w:cs="Times New Roman"/>
          <w:color w:val="0070C0"/>
          <w:sz w:val="16"/>
          <w:szCs w:val="16"/>
        </w:rPr>
        <w:t>Весной 1944 года объем изменений кон</w:t>
      </w:r>
      <w:r w:rsidRPr="007224C3">
        <w:rPr>
          <w:rStyle w:val="670"/>
          <w:rFonts w:ascii="Times New Roman" w:hAnsi="Times New Roman" w:cs="Times New Roman"/>
          <w:color w:val="0070C0"/>
          <w:sz w:val="16"/>
          <w:szCs w:val="16"/>
        </w:rPr>
        <w:softHyphen/>
        <w:t>струкции СУ-85 стал постепенно снижаться. В марте 1944 года кромки под амбразуру ору</w:t>
      </w:r>
      <w:r w:rsidRPr="007224C3">
        <w:rPr>
          <w:rStyle w:val="670"/>
          <w:rFonts w:ascii="Times New Roman" w:hAnsi="Times New Roman" w:cs="Times New Roman"/>
          <w:color w:val="0070C0"/>
          <w:sz w:val="16"/>
          <w:szCs w:val="16"/>
        </w:rPr>
        <w:softHyphen/>
        <w:t>дийной установки стали подрезать, а в отвер</w:t>
      </w:r>
      <w:r w:rsidRPr="007224C3">
        <w:rPr>
          <w:rStyle w:val="670"/>
          <w:rFonts w:ascii="Times New Roman" w:hAnsi="Times New Roman" w:cs="Times New Roman"/>
          <w:color w:val="0070C0"/>
          <w:sz w:val="16"/>
          <w:szCs w:val="16"/>
        </w:rPr>
        <w:softHyphen/>
        <w:t>стиях под пистолетные порты появились фаски. Также с 10 марта улучшили конструк</w:t>
      </w:r>
      <w:r w:rsidRPr="007224C3">
        <w:rPr>
          <w:rStyle w:val="670"/>
          <w:rFonts w:ascii="Times New Roman" w:hAnsi="Times New Roman" w:cs="Times New Roman"/>
          <w:color w:val="0070C0"/>
          <w:sz w:val="16"/>
          <w:szCs w:val="16"/>
        </w:rPr>
        <w:softHyphen/>
        <w:t>цию стопора люка механика-водителя. Более важным изменением стал переход от СУ-85 к СУ-85А. Причиной тому стало прекращение выпуска Д5-С-85. Помимо того, что выпуск сразу двух артиллерийских систем был лишен смысла, на заводе №9 наращивалось производство орудий Д-25 для тяжелых тан</w:t>
      </w:r>
      <w:r w:rsidRPr="007224C3">
        <w:rPr>
          <w:rStyle w:val="670"/>
          <w:rFonts w:ascii="Times New Roman" w:hAnsi="Times New Roman" w:cs="Times New Roman"/>
          <w:color w:val="0070C0"/>
          <w:sz w:val="16"/>
          <w:szCs w:val="16"/>
        </w:rPr>
        <w:softHyphen/>
        <w:t>ков ИС-2. В марте УЗТМ получил 102 Д-5С85 и 89 Д-5С85А. При этом из 191 машины, сдан</w:t>
      </w:r>
      <w:r w:rsidRPr="007224C3">
        <w:rPr>
          <w:rStyle w:val="670"/>
          <w:rFonts w:ascii="Times New Roman" w:hAnsi="Times New Roman" w:cs="Times New Roman"/>
          <w:color w:val="0070C0"/>
          <w:sz w:val="16"/>
          <w:szCs w:val="16"/>
        </w:rPr>
        <w:softHyphen/>
        <w:t>ных в марте 1944 года, 112 являлись СУ-85, а 79 - СУ-85А. Находящаяся в польском Джонуве самоходная установка с серийным номе</w:t>
      </w:r>
      <w:r w:rsidRPr="007224C3">
        <w:rPr>
          <w:rStyle w:val="670"/>
          <w:rFonts w:ascii="Times New Roman" w:hAnsi="Times New Roman" w:cs="Times New Roman"/>
          <w:color w:val="0070C0"/>
          <w:sz w:val="16"/>
          <w:szCs w:val="16"/>
        </w:rPr>
        <w:softHyphen/>
        <w:t>ром СУ403462А как раз является СУ-85А. Из 200 сданных в апреле СУ-85 175 штук относи</w:t>
      </w:r>
      <w:r w:rsidRPr="007224C3">
        <w:rPr>
          <w:rStyle w:val="670"/>
          <w:rFonts w:ascii="Times New Roman" w:hAnsi="Times New Roman" w:cs="Times New Roman"/>
          <w:color w:val="0070C0"/>
          <w:sz w:val="16"/>
          <w:szCs w:val="16"/>
        </w:rPr>
        <w:softHyphen/>
        <w:t>лись к версии СУ-85А, а уже с мая на УЗТМ выпускались исключительно СУ-85А. Что же касается других изменений, то они в апреле- мае 1944 года свелись к внутренним улучше</w:t>
      </w:r>
      <w:r w:rsidRPr="007224C3">
        <w:rPr>
          <w:rStyle w:val="670"/>
          <w:rFonts w:ascii="Times New Roman" w:hAnsi="Times New Roman" w:cs="Times New Roman"/>
          <w:color w:val="0070C0"/>
          <w:sz w:val="16"/>
          <w:szCs w:val="16"/>
        </w:rPr>
        <w:softHyphen/>
        <w:t>ниям. Также на некоторых машинах выпуска весны 1944 года можно видеть фары с удли</w:t>
      </w:r>
      <w:r w:rsidRPr="007224C3">
        <w:rPr>
          <w:rStyle w:val="670"/>
          <w:rFonts w:ascii="Times New Roman" w:hAnsi="Times New Roman" w:cs="Times New Roman"/>
          <w:color w:val="0070C0"/>
          <w:sz w:val="16"/>
          <w:szCs w:val="16"/>
        </w:rPr>
        <w:softHyphen/>
        <w:t>ненным корпусом и меньшего диаметра (192 мм вместо 230,6 у полусферических), по типу тех, что ставились на Т-34-85 выпуска завода №183. В июне 1944 г. ввели, наконец, элек</w:t>
      </w:r>
      <w:r w:rsidRPr="007224C3">
        <w:rPr>
          <w:rStyle w:val="670"/>
          <w:rFonts w:ascii="Times New Roman" w:hAnsi="Times New Roman" w:cs="Times New Roman"/>
          <w:color w:val="0070C0"/>
          <w:sz w:val="16"/>
          <w:szCs w:val="16"/>
        </w:rPr>
        <w:softHyphen/>
        <w:t>троспуск орудия - со 117-й машины. Последним же внешним изменением СУ- 85А стало долгожданное появление вытяж</w:t>
      </w:r>
      <w:r w:rsidRPr="007224C3">
        <w:rPr>
          <w:rStyle w:val="670"/>
          <w:rFonts w:ascii="Times New Roman" w:hAnsi="Times New Roman" w:cs="Times New Roman"/>
          <w:color w:val="0070C0"/>
          <w:sz w:val="16"/>
          <w:szCs w:val="16"/>
        </w:rPr>
        <w:softHyphen/>
        <w:t>ного вентилятора на крыше рубки. Нередко можно слышать версию о том, что он был на самых ранних машинах, но на самом деле их ставили, наоборот, на СУ-85А самого поздне</w:t>
      </w:r>
      <w:r w:rsidRPr="007224C3">
        <w:rPr>
          <w:rStyle w:val="670"/>
          <w:rFonts w:ascii="Times New Roman" w:hAnsi="Times New Roman" w:cs="Times New Roman"/>
          <w:color w:val="0070C0"/>
          <w:sz w:val="16"/>
          <w:szCs w:val="16"/>
        </w:rPr>
        <w:softHyphen/>
        <w:t>го периода выпуска. Когда именно ввели вентилятор, неизвестно, можно лишь гово</w:t>
      </w:r>
      <w:r w:rsidRPr="007224C3">
        <w:rPr>
          <w:rStyle w:val="670"/>
          <w:rFonts w:ascii="Times New Roman" w:hAnsi="Times New Roman" w:cs="Times New Roman"/>
          <w:color w:val="0070C0"/>
          <w:sz w:val="16"/>
          <w:szCs w:val="16"/>
        </w:rPr>
        <w:softHyphen/>
        <w:t>рить о том, что произошло это летом 1944 года. Попадаются машины с вытяжным вен</w:t>
      </w:r>
      <w:r w:rsidRPr="007224C3">
        <w:rPr>
          <w:rStyle w:val="670"/>
          <w:rFonts w:ascii="Times New Roman" w:hAnsi="Times New Roman" w:cs="Times New Roman"/>
          <w:color w:val="0070C0"/>
          <w:sz w:val="16"/>
          <w:szCs w:val="16"/>
        </w:rPr>
        <w:softHyphen/>
        <w:t>тилятором очень редко (19889).</w:t>
      </w:r>
    </w:p>
    <w:p w14:paraId="061579A2" w14:textId="77777777" w:rsidR="002D2C83" w:rsidRPr="007224C3" w:rsidRDefault="002D2C83" w:rsidP="007224C3">
      <w:pPr>
        <w:spacing w:after="0" w:line="240" w:lineRule="auto"/>
        <w:jc w:val="both"/>
        <w:rPr>
          <w:rFonts w:ascii="Times New Roman" w:hAnsi="Times New Roman"/>
          <w:color w:val="0070C0"/>
          <w:sz w:val="16"/>
          <w:szCs w:val="16"/>
        </w:rPr>
      </w:pPr>
    </w:p>
    <w:p w14:paraId="2F932DB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Весной 1944 г. началось восстановление ЛКЗ. В ходе блокады завод понес большие потери, были разрушены цеха, тысячи рабочих, которых не успели эвакуировать, умерли от голода и холода, погибли под бомба</w:t>
      </w:r>
      <w:r w:rsidRPr="007224C3">
        <w:rPr>
          <w:rFonts w:ascii="Times New Roman" w:hAnsi="Times New Roman"/>
          <w:color w:val="000000" w:themeColor="text1"/>
          <w:sz w:val="16"/>
          <w:szCs w:val="16"/>
        </w:rPr>
        <w:softHyphen/>
        <w:t>ми и снарядами. Несмотря на это, преодолевая неимоверные трудности, коллектив ЛКЗ все же смог до 9 мая 1945 г. выпустить 5 танков ИС-2. Всего же в годы Великой Отечественной войны было выпущено 107 танков ИС-1 и 3385 танков ИС-2 (10703).</w:t>
      </w:r>
    </w:p>
    <w:p w14:paraId="3C4E6AC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7621F58" w14:textId="77777777" w:rsidR="00D4630C" w:rsidRPr="007224C3" w:rsidRDefault="00D4630C" w:rsidP="007224C3">
      <w:pPr>
        <w:pStyle w:val="ae"/>
        <w:shd w:val="clear" w:color="auto" w:fill="FFFFFF"/>
        <w:spacing w:before="0" w:after="0"/>
        <w:jc w:val="both"/>
        <w:rPr>
          <w:color w:val="000000" w:themeColor="text1"/>
          <w:sz w:val="16"/>
          <w:szCs w:val="16"/>
        </w:rPr>
      </w:pPr>
      <w:r w:rsidRPr="007224C3">
        <w:rPr>
          <w:color w:val="000000" w:themeColor="text1"/>
          <w:sz w:val="16"/>
          <w:szCs w:val="16"/>
        </w:rPr>
        <w:t xml:space="preserve">Весной 1944 года коллектив завода №100 вместо того, чтобы работать над модернизацией ИС-2, начал разработку своего перспективного танка, позже получившего индекс ИС-6. Эта машина разрабатывалась в плотном взаимодействии с НИИ-48, который как раз и продвигал концепцию использования брони с рациональными углами наклона бронелистов. Чтобы информация по ИС-6 не «всплыла» раньше времени, работы шли в режиме строгой секретности. На заводе для них выделили специальную комнату, куда пускали только отдельных сотрудников КБ (Шашмурина, Нейдмана, Турчанинова, Мицкевича и других) и самого Котина. При этом туда не пускали, например, старшего военпреда завода №100 Вовка, который в апреле 1944 года поднял шум по этому поводу. Проект ИС-6 (Объект 252) с переработанным корпусом и башней, датирован концом ноября 1944 года. Именно он лег в основу будущего Объекта 257(17209). </w:t>
      </w:r>
    </w:p>
    <w:p w14:paraId="7A593367" w14:textId="77777777" w:rsidR="00D4630C" w:rsidRPr="007224C3" w:rsidRDefault="00D4630C" w:rsidP="007224C3">
      <w:pPr>
        <w:pStyle w:val="ae"/>
        <w:shd w:val="clear" w:color="auto" w:fill="FFFFFF"/>
        <w:spacing w:before="0" w:after="0"/>
        <w:jc w:val="both"/>
        <w:rPr>
          <w:color w:val="000000" w:themeColor="text1"/>
          <w:sz w:val="16"/>
          <w:szCs w:val="16"/>
        </w:rPr>
      </w:pPr>
    </w:p>
    <w:p w14:paraId="4B15FEB6" w14:textId="77777777" w:rsidR="00222A2A" w:rsidRPr="007224C3" w:rsidRDefault="00222A2A" w:rsidP="007224C3">
      <w:pPr>
        <w:pStyle w:val="27"/>
        <w:shd w:val="clear" w:color="auto" w:fill="auto"/>
        <w:spacing w:after="0" w:line="240" w:lineRule="auto"/>
        <w:ind w:firstLine="0"/>
        <w:rPr>
          <w:rFonts w:ascii="Times New Roman" w:cs="Times New Roman"/>
          <w:color w:val="000000" w:themeColor="text1"/>
          <w:spacing w:val="0"/>
        </w:rPr>
      </w:pPr>
      <w:r w:rsidRPr="007224C3">
        <w:rPr>
          <w:rFonts w:ascii="Times New Roman" w:cs="Times New Roman"/>
          <w:color w:val="000000" w:themeColor="text1"/>
          <w:spacing w:val="0"/>
        </w:rPr>
        <w:t>Весной 1944 года на Кировском заводе в башне одного КВ-85 установили 122-мм пушку Д-25. Изготовление этого образца было связано с изучением вопроса о пере</w:t>
      </w:r>
      <w:r w:rsidRPr="007224C3">
        <w:rPr>
          <w:rFonts w:ascii="Times New Roman" w:cs="Times New Roman"/>
          <w:color w:val="000000" w:themeColor="text1"/>
          <w:spacing w:val="0"/>
        </w:rPr>
        <w:softHyphen/>
        <w:t>вооружении танков КВ-85 более мощной артсистемой. Боекомплект этого танка, по</w:t>
      </w:r>
      <w:r w:rsidRPr="007224C3">
        <w:rPr>
          <w:rFonts w:ascii="Times New Roman" w:cs="Times New Roman"/>
          <w:color w:val="000000" w:themeColor="text1"/>
          <w:spacing w:val="0"/>
        </w:rPr>
        <w:softHyphen/>
        <w:t xml:space="preserve">лучившего обозначение </w:t>
      </w:r>
      <w:r w:rsidRPr="007224C3">
        <w:rPr>
          <w:rFonts w:ascii="Times New Roman" w:cs="Times New Roman"/>
          <w:color w:val="000000" w:themeColor="text1"/>
          <w:spacing w:val="0"/>
          <w:lang w:val="en-US"/>
        </w:rPr>
        <w:t>KB</w:t>
      </w:r>
      <w:r w:rsidRPr="007224C3">
        <w:rPr>
          <w:rFonts w:ascii="Times New Roman" w:cs="Times New Roman"/>
          <w:color w:val="000000" w:themeColor="text1"/>
          <w:spacing w:val="0"/>
        </w:rPr>
        <w:t>-122, составлял 28 выстрелов раздельно-гильзового заряжа</w:t>
      </w:r>
      <w:r w:rsidRPr="007224C3">
        <w:rPr>
          <w:rFonts w:ascii="Times New Roman" w:cs="Times New Roman"/>
          <w:color w:val="000000" w:themeColor="text1"/>
          <w:spacing w:val="0"/>
        </w:rPr>
        <w:softHyphen/>
        <w:t>ния, 37 дисков к пулемету ДТ (2331 патрон) и 25 гранат Ф-1. Углы обстрела артсистемы по вертикали составляли от -3 до +20 гра</w:t>
      </w:r>
      <w:r w:rsidRPr="007224C3">
        <w:rPr>
          <w:rFonts w:ascii="Times New Roman" w:cs="Times New Roman"/>
          <w:color w:val="000000" w:themeColor="text1"/>
          <w:spacing w:val="0"/>
        </w:rPr>
        <w:softHyphen/>
        <w:t>дусов. После испытаний был сделан вывод о не</w:t>
      </w:r>
      <w:r w:rsidRPr="007224C3">
        <w:rPr>
          <w:rFonts w:ascii="Times New Roman" w:cs="Times New Roman"/>
          <w:color w:val="000000" w:themeColor="text1"/>
          <w:spacing w:val="0"/>
        </w:rPr>
        <w:softHyphen/>
        <w:t>целесообразности перевооружения КВ-85 — для этого машины пришлось бы возвращать с фронта на завод. К тому же КВ-85 было из</w:t>
      </w:r>
      <w:r w:rsidRPr="007224C3">
        <w:rPr>
          <w:rFonts w:ascii="Times New Roman" w:cs="Times New Roman"/>
          <w:color w:val="000000" w:themeColor="text1"/>
          <w:spacing w:val="0"/>
        </w:rPr>
        <w:softHyphen/>
        <w:t>готовлено немного, а Кировский завод к это</w:t>
      </w:r>
      <w:r w:rsidRPr="007224C3">
        <w:rPr>
          <w:rFonts w:ascii="Times New Roman" w:cs="Times New Roman"/>
          <w:color w:val="000000" w:themeColor="text1"/>
          <w:spacing w:val="0"/>
        </w:rPr>
        <w:softHyphen/>
        <w:t>му времени серийно производил танки ИС-2 со 122-мм пушкой Д-25</w:t>
      </w:r>
    </w:p>
    <w:p w14:paraId="25D9758B" w14:textId="77777777" w:rsidR="00222A2A" w:rsidRPr="007224C3" w:rsidRDefault="00222A2A" w:rsidP="007224C3">
      <w:pPr>
        <w:spacing w:after="0" w:line="240" w:lineRule="auto"/>
        <w:jc w:val="both"/>
        <w:rPr>
          <w:rFonts w:ascii="Times New Roman" w:hAnsi="Times New Roman"/>
          <w:color w:val="000000" w:themeColor="text1"/>
          <w:sz w:val="16"/>
          <w:szCs w:val="16"/>
        </w:rPr>
      </w:pPr>
    </w:p>
    <w:p w14:paraId="227F1EC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весны 1944 г. даже в документах НКТП танки ИС-85 все чаще именовались ИС-1, а ИС-122 - ИС-2. Поэтому соз</w:t>
      </w:r>
      <w:r w:rsidRPr="007224C3">
        <w:rPr>
          <w:rFonts w:ascii="Times New Roman" w:hAnsi="Times New Roman"/>
          <w:color w:val="000000" w:themeColor="text1"/>
          <w:sz w:val="16"/>
          <w:szCs w:val="16"/>
        </w:rPr>
        <w:softHyphen/>
        <w:t>даваемые танки должны были получить индексы ИС-3 («Объект 244») и ИС-4 («Объект 245»). Однако ЦАКБ не подало в срок 100-мм танковую пушку С-34, поэтому по ини</w:t>
      </w:r>
      <w:r w:rsidRPr="007224C3">
        <w:rPr>
          <w:rFonts w:ascii="Times New Roman" w:hAnsi="Times New Roman"/>
          <w:color w:val="000000" w:themeColor="text1"/>
          <w:sz w:val="16"/>
          <w:szCs w:val="16"/>
        </w:rPr>
        <w:softHyphen/>
        <w:t>циативе ОКБ № 9 (Ф.Петров) Ж. Котин принял решение, что ИС-4 необходимо вооружить 100-мм танковой пушкой Д-10Т (которую в ОКБ завода № 9 уже переделали из само</w:t>
      </w:r>
      <w:r w:rsidRPr="007224C3">
        <w:rPr>
          <w:rFonts w:ascii="Times New Roman" w:hAnsi="Times New Roman"/>
          <w:color w:val="000000" w:themeColor="text1"/>
          <w:sz w:val="16"/>
          <w:szCs w:val="16"/>
        </w:rPr>
        <w:softHyphen/>
        <w:t>ходной Д-10С и испытали), и потому в планы опытных работ включил именно эту машину под номером «объект 245». Вскоре из наркомата поступил запрос о ходе работ по танку ИС-4* с орудием С-34, которые, естественно, не начинались. Но несмотря на то что С-34 значительно опаздывала в сроке изготовления, после неизменных выяснений отношений ЦАКБ и НКТП, для испытаний указанного орудия был так</w:t>
      </w:r>
      <w:r w:rsidRPr="007224C3">
        <w:rPr>
          <w:rFonts w:ascii="Times New Roman" w:hAnsi="Times New Roman"/>
          <w:color w:val="000000" w:themeColor="text1"/>
          <w:sz w:val="16"/>
          <w:szCs w:val="16"/>
        </w:rPr>
        <w:softHyphen/>
        <w:t>же выделен танк ИС, а работы по нему включены в план опытных работ, но уже под индексом ИС-5 («Объект 248»).</w:t>
      </w:r>
    </w:p>
    <w:p w14:paraId="01CC848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изготовлением ИС-3 («Объект 244») никаких проблем не было. Один из опытных танков ИС-85 был оснащен ору</w:t>
      </w:r>
      <w:r w:rsidRPr="007224C3">
        <w:rPr>
          <w:rFonts w:ascii="Times New Roman" w:hAnsi="Times New Roman"/>
          <w:color w:val="000000" w:themeColor="text1"/>
          <w:sz w:val="16"/>
          <w:szCs w:val="16"/>
        </w:rPr>
        <w:softHyphen/>
        <w:t>дием. Д-5Т-85БМ (по конструкции аналогичным Д-5С-85БМ) и отправлен на испытания. Но никаких практических преимуществ применение этого орудия в танке не дало, начальная скорость снаряда де-факто не превышала 900 м/с, и бронепробиваемость не достигла величины, указанной в за</w:t>
      </w:r>
      <w:r w:rsidRPr="007224C3">
        <w:rPr>
          <w:rFonts w:ascii="Times New Roman" w:hAnsi="Times New Roman"/>
          <w:color w:val="000000" w:themeColor="text1"/>
          <w:sz w:val="16"/>
          <w:szCs w:val="16"/>
        </w:rPr>
        <w:softHyphen/>
        <w:t>дании. При стрельбе наблюдался надрыв дульной части гильз, прорыв газов назад через отверстие в капсюльной втулке, чрезмерная длина отката, вытекание стеола из накат</w:t>
      </w:r>
      <w:r w:rsidRPr="007224C3">
        <w:rPr>
          <w:rFonts w:ascii="Times New Roman" w:hAnsi="Times New Roman"/>
          <w:color w:val="000000" w:themeColor="text1"/>
          <w:sz w:val="16"/>
          <w:szCs w:val="16"/>
        </w:rPr>
        <w:softHyphen/>
        <w:t>ника, резкий накат с ударом подвижной части орудия в его заключительной фазе. Танк был отвергнут.</w:t>
      </w:r>
    </w:p>
    <w:p w14:paraId="1E03CB9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Следующие два танка в переписке по наркомату разраба</w:t>
      </w:r>
      <w:r w:rsidRPr="007224C3">
        <w:rPr>
          <w:rFonts w:ascii="Times New Roman" w:hAnsi="Times New Roman"/>
          <w:color w:val="000000" w:themeColor="text1"/>
          <w:sz w:val="16"/>
          <w:szCs w:val="16"/>
        </w:rPr>
        <w:softHyphen/>
        <w:t>тывались под рабочим индексом ИС-100. Собственно перво</w:t>
      </w:r>
      <w:r w:rsidRPr="007224C3">
        <w:rPr>
          <w:rFonts w:ascii="Times New Roman" w:hAnsi="Times New Roman"/>
          <w:color w:val="000000" w:themeColor="text1"/>
          <w:sz w:val="16"/>
          <w:szCs w:val="16"/>
        </w:rPr>
        <w:softHyphen/>
        <w:t>начально ГКО предполагало изготовить ИС-100, вооружен</w:t>
      </w:r>
      <w:r w:rsidRPr="007224C3">
        <w:rPr>
          <w:rFonts w:ascii="Times New Roman" w:hAnsi="Times New Roman"/>
          <w:color w:val="000000" w:themeColor="text1"/>
          <w:sz w:val="16"/>
          <w:szCs w:val="16"/>
        </w:rPr>
        <w:softHyphen/>
        <w:t>ный орудием С-34 ЦАКБ, но В. Грабин, как обычно, увлекся улучшениями без предварительного согласования с танко</w:t>
      </w:r>
      <w:r w:rsidRPr="007224C3">
        <w:rPr>
          <w:rFonts w:ascii="Times New Roman" w:hAnsi="Times New Roman"/>
          <w:color w:val="000000" w:themeColor="text1"/>
          <w:sz w:val="16"/>
          <w:szCs w:val="16"/>
        </w:rPr>
        <w:softHyphen/>
        <w:t>строителями. Для удобства заряжания он предусмотрел раз</w:t>
      </w:r>
      <w:r w:rsidRPr="007224C3">
        <w:rPr>
          <w:rFonts w:ascii="Times New Roman" w:hAnsi="Times New Roman"/>
          <w:color w:val="000000" w:themeColor="text1"/>
          <w:sz w:val="16"/>
          <w:szCs w:val="16"/>
        </w:rPr>
        <w:softHyphen/>
        <w:t>мещение заряжающего слева от орудия, соответственно пе</w:t>
      </w:r>
      <w:r w:rsidRPr="007224C3">
        <w:rPr>
          <w:rFonts w:ascii="Times New Roman" w:hAnsi="Times New Roman"/>
          <w:color w:val="000000" w:themeColor="text1"/>
          <w:sz w:val="16"/>
          <w:szCs w:val="16"/>
        </w:rPr>
        <w:softHyphen/>
        <w:t>ренеся наводчика направо и таким образом установка С-34 в башне танка ИС вдруг потребовала перекомпоновать все боевое отделение, так как место командира танка также дол</w:t>
      </w:r>
      <w:r w:rsidRPr="007224C3">
        <w:rPr>
          <w:rFonts w:ascii="Times New Roman" w:hAnsi="Times New Roman"/>
          <w:color w:val="000000" w:themeColor="text1"/>
          <w:sz w:val="16"/>
          <w:szCs w:val="16"/>
        </w:rPr>
        <w:softHyphen/>
        <w:t>жно перекочевать с левого борта на правый. Для этого требовалось разработать новые приспособления и инструмент, из</w:t>
      </w:r>
      <w:r w:rsidRPr="007224C3">
        <w:rPr>
          <w:rFonts w:ascii="Times New Roman" w:hAnsi="Times New Roman"/>
          <w:color w:val="000000" w:themeColor="text1"/>
          <w:sz w:val="16"/>
          <w:szCs w:val="16"/>
        </w:rPr>
        <w:softHyphen/>
        <w:t>менить литейную форму, разработать новое ВКУ. Понятно, что в условиях цейтнота все это танкостроителям категори</w:t>
      </w:r>
      <w:r w:rsidRPr="007224C3">
        <w:rPr>
          <w:rFonts w:ascii="Times New Roman" w:hAnsi="Times New Roman"/>
          <w:color w:val="000000" w:themeColor="text1"/>
          <w:sz w:val="16"/>
          <w:szCs w:val="16"/>
        </w:rPr>
        <w:softHyphen/>
        <w:t>чески не нравилось. Тем более что доводка С-34 чрезмерно затянулась. Поэтому кировцы больше стояли за вооружение ИС-100 по предложению ОКБ завода № 9 100-мм уже испы</w:t>
      </w:r>
      <w:r w:rsidRPr="007224C3">
        <w:rPr>
          <w:rFonts w:ascii="Times New Roman" w:hAnsi="Times New Roman"/>
          <w:color w:val="000000" w:themeColor="text1"/>
          <w:sz w:val="16"/>
          <w:szCs w:val="16"/>
        </w:rPr>
        <w:softHyphen/>
        <w:t>танным орудием Д-10Т. Но после некоторой не вполне веж</w:t>
      </w:r>
      <w:r w:rsidRPr="007224C3">
        <w:rPr>
          <w:rFonts w:ascii="Times New Roman" w:hAnsi="Times New Roman"/>
          <w:color w:val="000000" w:themeColor="text1"/>
          <w:sz w:val="16"/>
          <w:szCs w:val="16"/>
        </w:rPr>
        <w:softHyphen/>
        <w:t>ливой переписки руководителя ЦАКБ с наркоматом, в кото</w:t>
      </w:r>
      <w:r w:rsidRPr="007224C3">
        <w:rPr>
          <w:rFonts w:ascii="Times New Roman" w:hAnsi="Times New Roman"/>
          <w:color w:val="000000" w:themeColor="text1"/>
          <w:sz w:val="16"/>
          <w:szCs w:val="16"/>
        </w:rPr>
        <w:softHyphen/>
        <w:t>рую были включены и «силовые факторы» в лице куратора НКВ Л. Берия, им пришлось изготавливать оба варианта.</w:t>
      </w:r>
    </w:p>
    <w:p w14:paraId="12A51B7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ИС-4 («Объект 245») представлял собой обычный серий</w:t>
      </w:r>
      <w:r w:rsidRPr="007224C3">
        <w:rPr>
          <w:rFonts w:ascii="Times New Roman" w:hAnsi="Times New Roman"/>
          <w:color w:val="000000" w:themeColor="text1"/>
          <w:sz w:val="16"/>
          <w:szCs w:val="16"/>
        </w:rPr>
        <w:softHyphen/>
        <w:t>ный ИС-122, оснащенный 100-мм пушкой Д-1 ОТ был похож на конкурента ИС-5 («Объект 248») со 100-сс орудием С-34, как зеркальное отражение, так как у последнего маск-уста-новка орудия была «перевернута» (спаренный пулемет и ору</w:t>
      </w:r>
      <w:r w:rsidRPr="007224C3">
        <w:rPr>
          <w:rFonts w:ascii="Times New Roman" w:hAnsi="Times New Roman"/>
          <w:color w:val="000000" w:themeColor="text1"/>
          <w:sz w:val="16"/>
          <w:szCs w:val="16"/>
        </w:rPr>
        <w:softHyphen/>
        <w:t>дийный прицел поменялись местами, так как наводчик раз</w:t>
      </w:r>
      <w:r w:rsidRPr="007224C3">
        <w:rPr>
          <w:rFonts w:ascii="Times New Roman" w:hAnsi="Times New Roman"/>
          <w:color w:val="000000" w:themeColor="text1"/>
          <w:sz w:val="16"/>
          <w:szCs w:val="16"/>
        </w:rPr>
        <w:softHyphen/>
        <w:t>мещался теперь справа от казенной части), а также коман</w:t>
      </w:r>
      <w:r w:rsidRPr="007224C3">
        <w:rPr>
          <w:rFonts w:ascii="Times New Roman" w:hAnsi="Times New Roman"/>
          <w:color w:val="000000" w:themeColor="text1"/>
          <w:sz w:val="16"/>
          <w:szCs w:val="16"/>
        </w:rPr>
        <w:softHyphen/>
        <w:t>дорская башенка с рабочим местом командира была тоже перенесена на правую сторону крыши башни. В башне помимо наводчика, командира и заряжающего, должен был размес</w:t>
      </w:r>
      <w:r w:rsidRPr="007224C3">
        <w:rPr>
          <w:rFonts w:ascii="Times New Roman" w:hAnsi="Times New Roman"/>
          <w:color w:val="000000" w:themeColor="text1"/>
          <w:sz w:val="16"/>
          <w:szCs w:val="16"/>
        </w:rPr>
        <w:softHyphen/>
        <w:t>титься также механический досылатель выстрела, а впослед</w:t>
      </w:r>
      <w:r w:rsidRPr="007224C3">
        <w:rPr>
          <w:rFonts w:ascii="Times New Roman" w:hAnsi="Times New Roman"/>
          <w:color w:val="000000" w:themeColor="text1"/>
          <w:sz w:val="16"/>
          <w:szCs w:val="16"/>
        </w:rPr>
        <w:softHyphen/>
        <w:t>ствии предполагалось установить и стабилизатор прицела. Но на испытания они поданы не были. Кроме того, выясни</w:t>
      </w:r>
      <w:r w:rsidRPr="007224C3">
        <w:rPr>
          <w:rFonts w:ascii="Times New Roman" w:hAnsi="Times New Roman"/>
          <w:color w:val="000000" w:themeColor="text1"/>
          <w:sz w:val="16"/>
          <w:szCs w:val="16"/>
        </w:rPr>
        <w:softHyphen/>
        <w:t>лось, что для нормальной работы досылателя требовалось увеличить длину башни на 200-300 мм, против чего возражал не только завод, но и наркомат в целом. И хоть В. Грабин, требуя, чтобы танкостроители изготовили башню, специаль</w:t>
      </w:r>
      <w:r w:rsidRPr="007224C3">
        <w:rPr>
          <w:rFonts w:ascii="Times New Roman" w:hAnsi="Times New Roman"/>
          <w:color w:val="000000" w:themeColor="text1"/>
          <w:sz w:val="16"/>
          <w:szCs w:val="16"/>
        </w:rPr>
        <w:softHyphen/>
        <w:t>но приспособленную для С-34, подключил «артиллерию» са</w:t>
      </w:r>
      <w:r w:rsidRPr="007224C3">
        <w:rPr>
          <w:rFonts w:ascii="Times New Roman" w:hAnsi="Times New Roman"/>
          <w:color w:val="000000" w:themeColor="text1"/>
          <w:sz w:val="16"/>
          <w:szCs w:val="16"/>
        </w:rPr>
        <w:softHyphen/>
        <w:t>мого высокого ранга, анализ габаритов изделия показал, что башня-получалась чрезмерно большой, что не позволяло от</w:t>
      </w:r>
      <w:r w:rsidRPr="007224C3">
        <w:rPr>
          <w:rFonts w:ascii="Times New Roman" w:hAnsi="Times New Roman"/>
          <w:color w:val="000000" w:themeColor="text1"/>
          <w:sz w:val="16"/>
          <w:szCs w:val="16"/>
        </w:rPr>
        <w:softHyphen/>
        <w:t>ливать ее без модернизации производства.</w:t>
      </w:r>
    </w:p>
    <w:p w14:paraId="631BB85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Тем не менее первые совместные испытания танков ИС-4 и ИС-5 оказались неудачными для обоих во всех от</w:t>
      </w:r>
      <w:r w:rsidRPr="007224C3">
        <w:rPr>
          <w:rFonts w:ascii="Times New Roman" w:hAnsi="Times New Roman"/>
          <w:color w:val="000000" w:themeColor="text1"/>
          <w:sz w:val="16"/>
          <w:szCs w:val="16"/>
        </w:rPr>
        <w:softHyphen/>
        <w:t>ношениях. Конструкция орудийной люльки была недоста</w:t>
      </w:r>
      <w:r w:rsidRPr="007224C3">
        <w:rPr>
          <w:rFonts w:ascii="Times New Roman" w:hAnsi="Times New Roman"/>
          <w:color w:val="000000" w:themeColor="text1"/>
          <w:sz w:val="16"/>
          <w:szCs w:val="16"/>
        </w:rPr>
        <w:softHyphen/>
        <w:t>точно прочной, «плакали» противооткатные приспособле</w:t>
      </w:r>
      <w:r w:rsidRPr="007224C3">
        <w:rPr>
          <w:rFonts w:ascii="Times New Roman" w:hAnsi="Times New Roman"/>
          <w:color w:val="000000" w:themeColor="text1"/>
          <w:sz w:val="16"/>
          <w:szCs w:val="16"/>
        </w:rPr>
        <w:softHyphen/>
        <w:t>ния. Танки были забракованы, но работникам полигона больше понравился ИС-5, как обеспечивший лучшие усло</w:t>
      </w:r>
      <w:r w:rsidRPr="007224C3">
        <w:rPr>
          <w:rFonts w:ascii="Times New Roman" w:hAnsi="Times New Roman"/>
          <w:color w:val="000000" w:themeColor="text1"/>
          <w:sz w:val="16"/>
          <w:szCs w:val="16"/>
        </w:rPr>
        <w:softHyphen/>
        <w:t>вия работы заряжающего (11135).</w:t>
      </w:r>
    </w:p>
    <w:p w14:paraId="397CA59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E9A1F0" w14:textId="77777777" w:rsidR="00443DE6" w:rsidRPr="007224C3" w:rsidRDefault="00443DE6" w:rsidP="007224C3">
      <w:pPr>
        <w:pStyle w:val="ae"/>
        <w:shd w:val="clear" w:color="auto" w:fill="FFFFFF"/>
        <w:spacing w:before="0" w:after="0"/>
        <w:jc w:val="both"/>
        <w:rPr>
          <w:color w:val="000000" w:themeColor="text1"/>
          <w:sz w:val="16"/>
          <w:szCs w:val="16"/>
        </w:rPr>
      </w:pPr>
      <w:r w:rsidRPr="007224C3">
        <w:rPr>
          <w:color w:val="000000" w:themeColor="text1"/>
          <w:sz w:val="16"/>
          <w:szCs w:val="16"/>
        </w:rPr>
        <w:t>Весной 1944 года в последний раз была предпринята попытка усиления огневой мощи КВ-85. Эта работа велась в инициативном порядке, причём неизвестно, кто именно являлся идейным вдохновителем проекта. Документы по этой теме очень немногочисленны. Получившаяся машина известна под условным наименованием КВ-122, но присваивалось ли оно ей в реальности — не ясно. Согласно имеющимся данным, ведущим инженером-конструктором этого танка являлся А.С. Шнейдман. Рецепт его изготовления оказался простым: на шасси опытного образца Объекта 239 была установлена серийная башня от ИС-2 с пушкой Д-25, оснащённой клиновым затвором. Такие башни ИС-2 стали получать не раньше февраля 1943 года.</w:t>
      </w:r>
    </w:p>
    <w:p w14:paraId="06F67FB5" w14:textId="77777777" w:rsidR="00443DE6" w:rsidRPr="007224C3" w:rsidRDefault="00443DE6" w:rsidP="007224C3">
      <w:pPr>
        <w:pStyle w:val="ae"/>
        <w:shd w:val="clear" w:color="auto" w:fill="FFFFFF"/>
        <w:spacing w:before="0" w:after="0"/>
        <w:jc w:val="both"/>
        <w:rPr>
          <w:color w:val="000000" w:themeColor="text1"/>
          <w:sz w:val="16"/>
          <w:szCs w:val="16"/>
        </w:rPr>
      </w:pPr>
      <w:r w:rsidRPr="007224C3">
        <w:rPr>
          <w:color w:val="000000" w:themeColor="text1"/>
          <w:sz w:val="16"/>
          <w:szCs w:val="16"/>
        </w:rPr>
        <w:t>Вызывает сомнения информация о массе перевооружённого КВ-85, согласно которой разница с Объектом 239 составляла всего полтонны. Если судить по разнице между ИС-1 и ИС-2, то в реальности боевая масса КВ-122 должна была составлять порядка 47 тонн.</w:t>
      </w:r>
    </w:p>
    <w:p w14:paraId="398DFE9F" w14:textId="77777777" w:rsidR="00443DE6" w:rsidRPr="007224C3" w:rsidRDefault="00443DE6" w:rsidP="007224C3">
      <w:pPr>
        <w:pStyle w:val="ae"/>
        <w:shd w:val="clear" w:color="auto" w:fill="FFFFFF"/>
        <w:spacing w:before="0" w:after="0"/>
        <w:jc w:val="both"/>
        <w:rPr>
          <w:color w:val="000000" w:themeColor="text1"/>
          <w:sz w:val="16"/>
          <w:szCs w:val="16"/>
        </w:rPr>
      </w:pPr>
      <w:r w:rsidRPr="007224C3">
        <w:rPr>
          <w:color w:val="000000" w:themeColor="text1"/>
          <w:sz w:val="16"/>
          <w:szCs w:val="16"/>
        </w:rPr>
        <w:t xml:space="preserve">Эта инициатива с самого начала была обречена на провал. После переделки танка существенно увеличивалась его боевая масса, что повлекло за собой снижение </w:t>
      </w:r>
      <w:r w:rsidRPr="007224C3">
        <w:rPr>
          <w:color w:val="000000" w:themeColor="text1"/>
          <w:sz w:val="16"/>
          <w:szCs w:val="16"/>
        </w:rPr>
        <w:lastRenderedPageBreak/>
        <w:t>подвижности и надёжности. Кроме того, особого смысла в таком перевооружении не было. К весне 1944 года было потеряно уже не менее половины построенных КВ-85, и начинать программу перевооружения небольшого числа оставшихся танков не имело никакого смысла. До Главного управления ремонта танков КА, которое обычно являлось заказчиком подобных переделок, КВ-122 даже не добрался.</w:t>
      </w:r>
    </w:p>
    <w:p w14:paraId="176DF8A0" w14:textId="77777777" w:rsidR="00443DE6" w:rsidRPr="007224C3" w:rsidRDefault="00443DE6" w:rsidP="007224C3">
      <w:pPr>
        <w:pStyle w:val="ae"/>
        <w:shd w:val="clear" w:color="auto" w:fill="FFFFFF"/>
        <w:spacing w:before="0" w:after="0"/>
        <w:jc w:val="both"/>
        <w:rPr>
          <w:color w:val="000000" w:themeColor="text1"/>
          <w:sz w:val="16"/>
          <w:szCs w:val="16"/>
        </w:rPr>
      </w:pPr>
      <w:r w:rsidRPr="007224C3">
        <w:rPr>
          <w:color w:val="000000" w:themeColor="text1"/>
          <w:sz w:val="16"/>
          <w:szCs w:val="16"/>
        </w:rPr>
        <w:t>В отличие от системы С-28, которой всерьёз планировалось перевооружать КВ-1с, о подобных планах в отношении инициативной разработки ЧКЗ нет ни строчки. Да и сколь-нибудь подробной информации о самой машине тоже не осталось. Согласно воспоминаниям Н.Ф, Шашмурина, Котин приказал изъять и уничтожить любую информацию по КВ-122.</w:t>
      </w:r>
    </w:p>
    <w:p w14:paraId="70E7C3F3" w14:textId="77777777" w:rsidR="00443DE6" w:rsidRPr="007224C3" w:rsidRDefault="00443DE6" w:rsidP="007224C3">
      <w:pPr>
        <w:pStyle w:val="ae"/>
        <w:shd w:val="clear" w:color="auto" w:fill="FFFFFF"/>
        <w:spacing w:before="0" w:after="0"/>
        <w:jc w:val="both"/>
        <w:rPr>
          <w:color w:val="000000" w:themeColor="text1"/>
          <w:sz w:val="16"/>
          <w:szCs w:val="16"/>
        </w:rPr>
      </w:pPr>
      <w:r w:rsidRPr="007224C3">
        <w:rPr>
          <w:color w:val="000000" w:themeColor="text1"/>
          <w:sz w:val="16"/>
          <w:szCs w:val="16"/>
        </w:rPr>
        <w:t xml:space="preserve">В результате до наших дней дожило всего несколько фото и обрывки информации. И, как ни странно, сам КВ-122. Нижняя его часть в виде шасси </w:t>
      </w:r>
      <w:hyperlink r:id="rId155" w:history="1">
        <w:r w:rsidRPr="007224C3">
          <w:rPr>
            <w:rStyle w:val="a5"/>
            <w:color w:val="000000" w:themeColor="text1"/>
            <w:sz w:val="16"/>
            <w:szCs w:val="16"/>
            <w:u w:val="none"/>
          </w:rPr>
          <w:t>Объекта 239</w:t>
        </w:r>
      </w:hyperlink>
      <w:r w:rsidRPr="007224C3">
        <w:rPr>
          <w:color w:val="000000" w:themeColor="text1"/>
          <w:sz w:val="16"/>
          <w:szCs w:val="16"/>
        </w:rPr>
        <w:t xml:space="preserve"> стоит в районе Автово. А верхняя часть, то есть башня с вооружением, красуется на территории Кировского завода. Её поставили на шасси одного из </w:t>
      </w:r>
      <w:hyperlink r:id="rId156" w:history="1">
        <w:r w:rsidRPr="007224C3">
          <w:rPr>
            <w:rStyle w:val="a5"/>
            <w:color w:val="000000" w:themeColor="text1"/>
            <w:sz w:val="16"/>
            <w:szCs w:val="16"/>
            <w:u w:val="none"/>
          </w:rPr>
          <w:t>Объектов 237</w:t>
        </w:r>
      </w:hyperlink>
      <w:r w:rsidRPr="007224C3">
        <w:rPr>
          <w:color w:val="000000" w:themeColor="text1"/>
          <w:sz w:val="16"/>
          <w:szCs w:val="16"/>
        </w:rPr>
        <w:t>. Знал ли Котин, что каждый раз, проходя мимо этого «ИС-2» на постаменте, он видел башню той самой машины, информацию о которой он приказал уничтожить, — неизвестно (17722).</w:t>
      </w:r>
    </w:p>
    <w:p w14:paraId="06553977" w14:textId="77777777" w:rsidR="00443DE6" w:rsidRPr="007224C3" w:rsidRDefault="00443DE6" w:rsidP="007224C3">
      <w:pPr>
        <w:pStyle w:val="123"/>
        <w:shd w:val="clear" w:color="auto" w:fill="auto"/>
        <w:spacing w:after="0" w:line="240" w:lineRule="auto"/>
        <w:jc w:val="both"/>
        <w:rPr>
          <w:color w:val="000000" w:themeColor="text1"/>
          <w:sz w:val="16"/>
          <w:szCs w:val="16"/>
        </w:rPr>
      </w:pPr>
    </w:p>
    <w:p w14:paraId="0E8A4B32" w14:textId="77777777" w:rsidR="00443DE6" w:rsidRPr="007224C3" w:rsidRDefault="00443DE6"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Весной 1944 года, коллектив завода №100, вместо того чтобы работать над модернизацией ИС-2, начал разработку своего перспективного танка, позже получившего индекс ИС-6. Эта машина разрабатывалась в плотном взаимодействии с НИИ-48, который как раз и продвигал концепцию использования брони с рациональными углами наклона бронелистов. Чтобы информация по ИС-6 не «всплыла» раньше времени, работы шли в режиме строгой секретности. На заводе для них выделили специальную комнату, куда пускали только отдельных сотрудников КБ (Шашмурина, Нейдмана, Турчанинова, Мицкевича и других) и самого Котина. При этом туда не пускали, например, старшего военпреда завода №100 Вовка, который в апреле 1944 года поднял шум по этому поводу (16735).</w:t>
      </w:r>
    </w:p>
    <w:p w14:paraId="6A738325" w14:textId="77777777" w:rsidR="00443DE6" w:rsidRPr="007224C3" w:rsidRDefault="00443DE6" w:rsidP="007224C3">
      <w:pPr>
        <w:pStyle w:val="123"/>
        <w:shd w:val="clear" w:color="auto" w:fill="auto"/>
        <w:spacing w:after="0" w:line="240" w:lineRule="auto"/>
        <w:jc w:val="both"/>
        <w:rPr>
          <w:color w:val="000000" w:themeColor="text1"/>
          <w:sz w:val="16"/>
          <w:szCs w:val="16"/>
        </w:rPr>
      </w:pPr>
    </w:p>
    <w:p w14:paraId="6C7B154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Весной 1944 г., когда в адрес ЧКЗ не шло из войск, каза</w:t>
      </w:r>
      <w:r w:rsidRPr="007224C3">
        <w:rPr>
          <w:rFonts w:ascii="Times New Roman" w:hAnsi="Times New Roman"/>
          <w:color w:val="000000" w:themeColor="text1"/>
          <w:sz w:val="16"/>
          <w:szCs w:val="16"/>
        </w:rPr>
        <w:softHyphen/>
        <w:t>лось бы, ни одного доброго слова, сам по себе всплыл во</w:t>
      </w:r>
      <w:r w:rsidRPr="007224C3">
        <w:rPr>
          <w:rFonts w:ascii="Times New Roman" w:hAnsi="Times New Roman"/>
          <w:color w:val="000000" w:themeColor="text1"/>
          <w:sz w:val="16"/>
          <w:szCs w:val="16"/>
        </w:rPr>
        <w:softHyphen/>
        <w:t>прос о необходимости модернизации ИС-2. Руководство Челябинского Кировского завода предложило вместо указанного танка проект своего танка «К». Но даже беглый взгляд на конструкцию и смету танка показывал, что он бу</w:t>
      </w:r>
      <w:r w:rsidRPr="007224C3">
        <w:rPr>
          <w:rFonts w:ascii="Times New Roman" w:hAnsi="Times New Roman"/>
          <w:color w:val="000000" w:themeColor="text1"/>
          <w:sz w:val="16"/>
          <w:szCs w:val="16"/>
        </w:rPr>
        <w:softHyphen/>
        <w:t>дет излишне дорогим и не сможет стать основой всех фор</w:t>
      </w:r>
      <w:r w:rsidRPr="007224C3">
        <w:rPr>
          <w:rFonts w:ascii="Times New Roman" w:hAnsi="Times New Roman"/>
          <w:color w:val="000000" w:themeColor="text1"/>
          <w:sz w:val="16"/>
          <w:szCs w:val="16"/>
        </w:rPr>
        <w:softHyphen/>
        <w:t>мируемых тяжелых танковых полков. Поэтому «модерниза</w:t>
      </w:r>
      <w:r w:rsidRPr="007224C3">
        <w:rPr>
          <w:rFonts w:ascii="Times New Roman" w:hAnsi="Times New Roman"/>
          <w:color w:val="000000" w:themeColor="text1"/>
          <w:sz w:val="16"/>
          <w:szCs w:val="16"/>
        </w:rPr>
        <w:softHyphen/>
        <w:t>ция танка ИС первого варианта» была отклонена...(11135).</w:t>
      </w:r>
    </w:p>
    <w:p w14:paraId="48ED3CA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3BF0E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Весной 1944 ОГК ЧКЗ под руководством главного конструк</w:t>
      </w:r>
      <w:r w:rsidRPr="007224C3">
        <w:rPr>
          <w:rFonts w:ascii="Times New Roman" w:hAnsi="Times New Roman"/>
          <w:color w:val="000000" w:themeColor="text1"/>
          <w:sz w:val="16"/>
          <w:szCs w:val="16"/>
        </w:rPr>
        <w:softHyphen/>
        <w:t>тора Духова предложило модернизировать танк ИС по вто</w:t>
      </w:r>
      <w:r w:rsidRPr="007224C3">
        <w:rPr>
          <w:rFonts w:ascii="Times New Roman" w:hAnsi="Times New Roman"/>
          <w:color w:val="000000" w:themeColor="text1"/>
          <w:sz w:val="16"/>
          <w:szCs w:val="16"/>
        </w:rPr>
        <w:softHyphen/>
        <w:t>рому варианту. В основу идеи этого варианта модерниза</w:t>
      </w:r>
      <w:r w:rsidRPr="007224C3">
        <w:rPr>
          <w:rFonts w:ascii="Times New Roman" w:hAnsi="Times New Roman"/>
          <w:color w:val="000000" w:themeColor="text1"/>
          <w:sz w:val="16"/>
          <w:szCs w:val="16"/>
        </w:rPr>
        <w:softHyphen/>
        <w:t>ции были заложены минимизация расходов при устране</w:t>
      </w:r>
      <w:r w:rsidRPr="007224C3">
        <w:rPr>
          <w:rFonts w:ascii="Times New Roman" w:hAnsi="Times New Roman"/>
          <w:color w:val="000000" w:themeColor="text1"/>
          <w:sz w:val="16"/>
          <w:szCs w:val="16"/>
        </w:rPr>
        <w:softHyphen/>
        <w:t>нии недостатков броневой защиты корпуса и башни.</w:t>
      </w:r>
    </w:p>
    <w:p w14:paraId="26950CB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Суть модернизации состояла в следующем:</w:t>
      </w:r>
    </w:p>
    <w:p w14:paraId="3F163AB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Резкое улучшение броневой защиты носовой части танка с курсовых углов +30° за счет введения носовой части корпуса сварной конструкции с большими углами наклона.</w:t>
      </w:r>
    </w:p>
    <w:p w14:paraId="52D7AE6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Введение новой конструкции башни танка с диффе</w:t>
      </w:r>
      <w:r w:rsidRPr="007224C3">
        <w:rPr>
          <w:rFonts w:ascii="Times New Roman" w:hAnsi="Times New Roman"/>
          <w:color w:val="000000" w:themeColor="text1"/>
          <w:sz w:val="16"/>
          <w:szCs w:val="16"/>
        </w:rPr>
        <w:softHyphen/>
        <w:t>ренцированным бронированием и надежно забронирован</w:t>
      </w:r>
      <w:r w:rsidRPr="007224C3">
        <w:rPr>
          <w:rFonts w:ascii="Times New Roman" w:hAnsi="Times New Roman"/>
          <w:color w:val="000000" w:themeColor="text1"/>
          <w:sz w:val="16"/>
          <w:szCs w:val="16"/>
        </w:rPr>
        <w:softHyphen/>
        <w:t>ной лобовой частью.</w:t>
      </w:r>
    </w:p>
    <w:p w14:paraId="374ADED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Вынос топливных баков из отделения управления в моторно-трансмиссионное отделение. ^</w:t>
      </w:r>
    </w:p>
    <w:p w14:paraId="4E54B3A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Применение двигателя мощностью 580-620 л.с.</w:t>
      </w:r>
    </w:p>
    <w:p w14:paraId="227BFE2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Добавление двух аккумуляторных батарей.</w:t>
      </w:r>
    </w:p>
    <w:p w14:paraId="09D30A9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Доработка конструкции главного фрикциона.</w:t>
      </w:r>
    </w:p>
    <w:p w14:paraId="004B3C6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Добавление вентилятора обдува трансмиссии.</w:t>
      </w:r>
    </w:p>
    <w:p w14:paraId="6159B9B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Бронирование танка предполагалось усилить за счет из</w:t>
      </w:r>
      <w:r w:rsidRPr="007224C3">
        <w:rPr>
          <w:rFonts w:ascii="Times New Roman" w:hAnsi="Times New Roman"/>
          <w:color w:val="000000" w:themeColor="text1"/>
          <w:sz w:val="16"/>
          <w:szCs w:val="16"/>
        </w:rPr>
        <w:softHyphen/>
        <w:t>готовления полностью сварного корпуса. Его лобовая часть состояла из двух листов, верхнего толщиной 120 мм с углом наклона 60° к вертикали и нижнего - толщиной 90 мм также с углом наклона 60°, что делало нос неуязвимым для обстре</w:t>
      </w:r>
      <w:r w:rsidRPr="007224C3">
        <w:rPr>
          <w:rFonts w:ascii="Times New Roman" w:hAnsi="Times New Roman"/>
          <w:color w:val="000000" w:themeColor="text1"/>
          <w:sz w:val="16"/>
          <w:szCs w:val="16"/>
        </w:rPr>
        <w:softHyphen/>
        <w:t>ла 88-мм орудия обр. 1943 г. Бортовая броня по конструкции также была подобна Т-34 с надкрылком толщиной 75 мм под углом 60° и экраном толщиной 15 мм. Нижняя же часть бор</w:t>
      </w:r>
      <w:r w:rsidRPr="007224C3">
        <w:rPr>
          <w:rFonts w:ascii="Times New Roman" w:hAnsi="Times New Roman"/>
          <w:color w:val="000000" w:themeColor="text1"/>
          <w:sz w:val="16"/>
          <w:szCs w:val="16"/>
        </w:rPr>
        <w:softHyphen/>
        <w:t>та изготавливалась из вертикального листа толщиной 100мм. Кроме того, танк получал корытообразное дно толщиной 20 мм с 30-мм экранами по бортам. Конструкция же кормо</w:t>
      </w:r>
      <w:r w:rsidRPr="007224C3">
        <w:rPr>
          <w:rFonts w:ascii="Times New Roman" w:hAnsi="Times New Roman"/>
          <w:color w:val="000000" w:themeColor="text1"/>
          <w:sz w:val="16"/>
          <w:szCs w:val="16"/>
        </w:rPr>
        <w:softHyphen/>
        <w:t>вой части предполагалась аналогичной ИС-122.</w:t>
      </w:r>
    </w:p>
    <w:p w14:paraId="4A36DAC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Башню предлагалось выполнить в виде шарового сег</w:t>
      </w:r>
      <w:r w:rsidRPr="007224C3">
        <w:rPr>
          <w:rFonts w:ascii="Times New Roman" w:hAnsi="Times New Roman"/>
          <w:color w:val="000000" w:themeColor="text1"/>
          <w:sz w:val="16"/>
          <w:szCs w:val="16"/>
        </w:rPr>
        <w:softHyphen/>
        <w:t>мента с диаметром у основания 3000 мм и высотой 755 мм. Толщина брони во всех горизонтальных сечениях предпо</w:t>
      </w:r>
      <w:r w:rsidRPr="007224C3">
        <w:rPr>
          <w:rFonts w:ascii="Times New Roman" w:hAnsi="Times New Roman"/>
          <w:color w:val="000000" w:themeColor="text1"/>
          <w:sz w:val="16"/>
          <w:szCs w:val="16"/>
        </w:rPr>
        <w:softHyphen/>
        <w:t>лагалась не менее 160 мм, а по оси, параллельной каналу ствола, - 360 мм. Крыша баши имела толщину 30 мм.</w:t>
      </w:r>
    </w:p>
    <w:p w14:paraId="3573F41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Однако изготовление опытного образца модернизиро</w:t>
      </w:r>
      <w:r w:rsidRPr="007224C3">
        <w:rPr>
          <w:rFonts w:ascii="Times New Roman" w:hAnsi="Times New Roman"/>
          <w:color w:val="000000" w:themeColor="text1"/>
          <w:sz w:val="16"/>
          <w:szCs w:val="16"/>
        </w:rPr>
        <w:softHyphen/>
        <w:t>ванного танка шло медленно. Завод всячески пытался заинтересовать заказчика своей новой машиной — танком «К», получившим заводской индекс «701» по номеру заказа. Лишь в июне 1944 г., поняв, что с «семьсот первым» выходит за</w:t>
      </w:r>
      <w:r w:rsidRPr="007224C3">
        <w:rPr>
          <w:rFonts w:ascii="Times New Roman" w:hAnsi="Times New Roman"/>
          <w:color w:val="000000" w:themeColor="text1"/>
          <w:sz w:val="16"/>
          <w:szCs w:val="16"/>
        </w:rPr>
        <w:softHyphen/>
        <w:t>держка, а опытный завод № 100 готовит свой вариант модер</w:t>
      </w:r>
      <w:r w:rsidRPr="007224C3">
        <w:rPr>
          <w:rFonts w:ascii="Times New Roman" w:hAnsi="Times New Roman"/>
          <w:color w:val="000000" w:themeColor="text1"/>
          <w:sz w:val="16"/>
          <w:szCs w:val="16"/>
        </w:rPr>
        <w:softHyphen/>
        <w:t>низации, интерес к модернизации ИС-2 возобновился (11135).</w:t>
      </w:r>
    </w:p>
    <w:p w14:paraId="3C67CA2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C2418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Весной 1944 г. был готов Технический проект нового танка, получившего обозначение "тяже</w:t>
      </w:r>
      <w:r w:rsidRPr="007224C3">
        <w:rPr>
          <w:rFonts w:ascii="Times New Roman" w:hAnsi="Times New Roman"/>
          <w:color w:val="000000" w:themeColor="text1"/>
          <w:sz w:val="16"/>
          <w:szCs w:val="16"/>
        </w:rPr>
        <w:softHyphen/>
        <w:t>лый танк типа "К" и для его рассмотрения ТУ ГБТУ была создана комиссия, которая пришла к заключению, что "по своим боевым качествам, вооружению, бронированию, узлам и агрега</w:t>
      </w:r>
      <w:r w:rsidRPr="007224C3">
        <w:rPr>
          <w:rFonts w:ascii="Times New Roman" w:hAnsi="Times New Roman"/>
          <w:color w:val="000000" w:themeColor="text1"/>
          <w:sz w:val="16"/>
          <w:szCs w:val="16"/>
        </w:rPr>
        <w:softHyphen/>
        <w:t>там силовой установки и трансмиссии, механизмам управления танком и огнем танк конструкции Кировского завода безусловно заслуживает того, чтобы в кратчайший срок дать разрешение Кировскому заводу на изготовление двух опытных образцов" (10703).</w:t>
      </w:r>
    </w:p>
    <w:p w14:paraId="5B58EDA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A2D5A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Весной 1944 г. группой Н.Ф. Шашмурина на основании ТТТ ГБТУ в НКТП был разработан проект тяжелого танка, получившего условное наименование ИС-2М. Эта машина отличалась от се</w:t>
      </w:r>
      <w:r w:rsidRPr="007224C3">
        <w:rPr>
          <w:rFonts w:ascii="Times New Roman" w:hAnsi="Times New Roman"/>
          <w:color w:val="000000" w:themeColor="text1"/>
          <w:sz w:val="16"/>
          <w:szCs w:val="16"/>
        </w:rPr>
        <w:softHyphen/>
        <w:t>рийного образца нетрадиционной схемой компоновки, улучшенной броневой защитой лобовой проекции корпуса и башни. Компоновочная схема танка предусматривала размещение боевого отделения с вращаю</w:t>
      </w:r>
      <w:r w:rsidRPr="007224C3">
        <w:rPr>
          <w:rFonts w:ascii="Times New Roman" w:hAnsi="Times New Roman"/>
          <w:color w:val="000000" w:themeColor="text1"/>
          <w:sz w:val="16"/>
          <w:szCs w:val="16"/>
        </w:rPr>
        <w:softHyphen/>
        <w:t>щейся башней и трансмиссионного отделения в кормовой части танка. Отделение управления располагалось в носовой части корпуса, мотор</w:t>
      </w:r>
      <w:r w:rsidRPr="007224C3">
        <w:rPr>
          <w:rFonts w:ascii="Times New Roman" w:hAnsi="Times New Roman"/>
          <w:color w:val="000000" w:themeColor="text1"/>
          <w:sz w:val="16"/>
          <w:szCs w:val="16"/>
        </w:rPr>
        <w:softHyphen/>
        <w:t>ное отделение - в средней. В ходовой части использовались опорные катки увеличенного диаметра без поддерживающих катков и ведущие колеса кормового расположения. Крутящий момент от коленчатого ва</w:t>
      </w:r>
      <w:r w:rsidRPr="007224C3">
        <w:rPr>
          <w:rFonts w:ascii="Times New Roman" w:hAnsi="Times New Roman"/>
          <w:color w:val="000000" w:themeColor="text1"/>
          <w:sz w:val="16"/>
          <w:szCs w:val="16"/>
        </w:rPr>
        <w:softHyphen/>
        <w:t>ла двигателя к агрегатам трансмиссии передавался с помощью кардан</w:t>
      </w:r>
      <w:r w:rsidRPr="007224C3">
        <w:rPr>
          <w:rFonts w:ascii="Times New Roman" w:hAnsi="Times New Roman"/>
          <w:color w:val="000000" w:themeColor="text1"/>
          <w:sz w:val="16"/>
          <w:szCs w:val="16"/>
        </w:rPr>
        <w:softHyphen/>
        <w:t>ного вала, проходившего под полом боевого отделения. Расположение боевого отделения в кормовой части корпуса исключало возможность утыкания длинноствольной 122-мм пушки в грунт при преодолении препятствий и облегчало маневрирование машины в ограниченных проходах. Ввиду того, что в начале лета 1944 г. усилия КБ завода № 100 были направлены на разработку нового тяжелого танка ИС-6 ("Объект 252" и "Объект 253"), дальнейшая проработка варианта танка ИС-2М была прекращена. Параллельно с разработкой проектов новых тяжелых танков на Опытном заводе № 100 непрерывно велись работы по улучшению кон</w:t>
      </w:r>
      <w:r w:rsidRPr="007224C3">
        <w:rPr>
          <w:rFonts w:ascii="Times New Roman" w:hAnsi="Times New Roman"/>
          <w:color w:val="000000" w:themeColor="text1"/>
          <w:sz w:val="16"/>
          <w:szCs w:val="16"/>
        </w:rPr>
        <w:softHyphen/>
        <w:t>струкции узлов и агрегатов серийно выпускавшихся танков ИС (10703).</w:t>
      </w:r>
    </w:p>
    <w:p w14:paraId="6AEB05F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54FB0B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Весной 1944 г. в конструк</w:t>
      </w:r>
      <w:r w:rsidRPr="007224C3">
        <w:rPr>
          <w:rFonts w:ascii="Times New Roman" w:hAnsi="Times New Roman"/>
          <w:color w:val="000000" w:themeColor="text1"/>
          <w:sz w:val="16"/>
          <w:szCs w:val="16"/>
        </w:rPr>
        <w:softHyphen/>
        <w:t>торском бюро ЧКЗ под общим руководством Ж.Я. Котина был создан Танк КВ-122 с пушкой Д-25. Ведущим инженером машины был А.С. Шнейдман. Изготовление опытного об</w:t>
      </w:r>
      <w:r w:rsidRPr="007224C3">
        <w:rPr>
          <w:rFonts w:ascii="Times New Roman" w:hAnsi="Times New Roman"/>
          <w:color w:val="000000" w:themeColor="text1"/>
          <w:sz w:val="16"/>
          <w:szCs w:val="16"/>
        </w:rPr>
        <w:softHyphen/>
        <w:t>разца было связано с проработкой вопроса о возможности установки на тяжелом серийном танке КВ-85 более мощного оружия. По результатам испытаний было сделано заключение о том, что замена на танках КВ-85 пушки Д-5Т-85 на более мощную 122-мм пушку Д-25 нецелесообразно так как для этого танки с фронта необходимо было бы возвращать на за</w:t>
      </w:r>
      <w:r w:rsidRPr="007224C3">
        <w:rPr>
          <w:rFonts w:ascii="Times New Roman" w:hAnsi="Times New Roman"/>
          <w:color w:val="000000" w:themeColor="text1"/>
          <w:sz w:val="16"/>
          <w:szCs w:val="16"/>
        </w:rPr>
        <w:softHyphen/>
        <w:t>вод (ЧКЗ), на котором в то время уже серийно изготавливались танки ИС-2. Опытный образец танка был создан на базе серийного танка КВ-85 и отличался от него установкой башни со 122-мм пушкой. Машина име</w:t>
      </w:r>
      <w:r w:rsidRPr="007224C3">
        <w:rPr>
          <w:rFonts w:ascii="Times New Roman" w:hAnsi="Times New Roman"/>
          <w:color w:val="000000" w:themeColor="text1"/>
          <w:sz w:val="16"/>
          <w:szCs w:val="16"/>
        </w:rPr>
        <w:softHyphen/>
        <w:t>ла классическую схему общей компоновки. Экипаж машины состоял из четырех человек. Башня была заимствована у танка ИС-2 обр. 1944 г. первого выпус</w:t>
      </w:r>
      <w:r w:rsidRPr="007224C3">
        <w:rPr>
          <w:rFonts w:ascii="Times New Roman" w:hAnsi="Times New Roman"/>
          <w:color w:val="000000" w:themeColor="text1"/>
          <w:sz w:val="16"/>
          <w:szCs w:val="16"/>
        </w:rPr>
        <w:softHyphen/>
        <w:t>ка. Вооружение танка состояло из 122-мм танковой пушки Д-25 конст</w:t>
      </w:r>
      <w:r w:rsidRPr="007224C3">
        <w:rPr>
          <w:rFonts w:ascii="Times New Roman" w:hAnsi="Times New Roman"/>
          <w:color w:val="000000" w:themeColor="text1"/>
          <w:sz w:val="16"/>
          <w:szCs w:val="16"/>
        </w:rPr>
        <w:softHyphen/>
        <w:t>рукции и производства завода № 9 НКВ и трех 7,62-мм пулеметов ДТ, один из которых был спарен с пушкой. Пушка Д-25 с длиной ствола 48 калибров имела полуавтоматический клиновой горизонтальный затвор. При стрельбе из спаренной установки использовались танковый теле</w:t>
      </w:r>
      <w:r w:rsidRPr="007224C3">
        <w:rPr>
          <w:rFonts w:ascii="Times New Roman" w:hAnsi="Times New Roman"/>
          <w:color w:val="000000" w:themeColor="text1"/>
          <w:sz w:val="16"/>
          <w:szCs w:val="16"/>
        </w:rPr>
        <w:softHyphen/>
        <w:t>скопический прицел ЮТ-17 и танковый перископический прицел ПТ4-17. При стрельбе с закрытых огневых позиций использовался бо</w:t>
      </w:r>
      <w:r w:rsidRPr="007224C3">
        <w:rPr>
          <w:rFonts w:ascii="Times New Roman" w:hAnsi="Times New Roman"/>
          <w:color w:val="000000" w:themeColor="text1"/>
          <w:sz w:val="16"/>
          <w:szCs w:val="16"/>
        </w:rPr>
        <w:softHyphen/>
        <w:t>ковой уровень, устанавливавшийся на ограждении пушки, и башенный угломер (10703).</w:t>
      </w:r>
    </w:p>
    <w:p w14:paraId="6D3B1EF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01EE1D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Весной 1944 проект 122-мм танкового орудия большой мощности С-34-И (или С-34-П) был выполнен в ЦАКБ для танка «К» на базе 100-мм танковой пушки С-34. Первоначально В: Грабин предлагал его на замену орудия Д-25Т в танке ИС. "Но поскольку баллистического решения для получения нач. скорости 1000 м/с летом 1944 г. получено не было, началь</w:t>
      </w:r>
      <w:r w:rsidRPr="007224C3">
        <w:rPr>
          <w:rFonts w:ascii="Times New Roman" w:hAnsi="Times New Roman"/>
          <w:color w:val="000000" w:themeColor="text1"/>
          <w:sz w:val="16"/>
          <w:szCs w:val="16"/>
        </w:rPr>
        <w:softHyphen/>
        <w:t>ник ЦАКБ распорядился провести весь цикл работ, остано</w:t>
      </w:r>
      <w:r w:rsidRPr="007224C3">
        <w:rPr>
          <w:rFonts w:ascii="Times New Roman" w:hAnsi="Times New Roman"/>
          <w:color w:val="000000" w:themeColor="text1"/>
          <w:sz w:val="16"/>
          <w:szCs w:val="16"/>
        </w:rPr>
        <w:softHyphen/>
        <w:t>вившись на баллистике 122-мм пушки А-19, или Д-25. Орудие С-34-П имело перед Д-25 ряд несомненных ; преимуществ. Его конструкция была более жесткой и пото</w:t>
      </w:r>
      <w:r w:rsidRPr="007224C3">
        <w:rPr>
          <w:rFonts w:ascii="Times New Roman" w:hAnsi="Times New Roman"/>
          <w:color w:val="000000" w:themeColor="text1"/>
          <w:sz w:val="16"/>
          <w:szCs w:val="16"/>
        </w:rPr>
        <w:softHyphen/>
        <w:t>му кучность стрельбы на испытаниях оказалась более вы-сокой, чем таковая у Д-25Т. Отсутствие дульного тормоза уменьшало демаскирующий эффект при стрельбе, а также уменьшало риск поражения собственной пехоты и танкового десанта дульными газами. Кроме того, для орудия был разработан очередной вариант досылателя и система продувки канала ствола сжатым воздухом (по типу примененной на танках «Тигр-Б» и «Пантера-Г»). Тогда же конкурент В. Грабина, начальник ОКБ завода N690. Петров, заключил с заводом № 100 договор о разра-р более своей 122-мм пушки большой мощности для перспек-|г тивного танка «Объект 252». Ф. Петров поступил также как и его визави, и решил отработать конструкцию своего орудия Д-30, основываясь на баллистике Д-25. Его орудие также от</w:t>
      </w:r>
      <w:r w:rsidRPr="007224C3">
        <w:rPr>
          <w:rFonts w:ascii="Times New Roman" w:hAnsi="Times New Roman"/>
          <w:color w:val="000000" w:themeColor="text1"/>
          <w:sz w:val="16"/>
          <w:szCs w:val="16"/>
        </w:rPr>
        <w:softHyphen/>
        <w:t>личалось наличием системы продувки канала ствола сжатым воздухом. При участии наркомата судостроения для орудия был разработан досылатель выстрела, увеличенную реакцию отдачи предполагалось скомпенсировать установкой дульно</w:t>
      </w:r>
      <w:r w:rsidRPr="007224C3">
        <w:rPr>
          <w:rFonts w:ascii="Times New Roman" w:hAnsi="Times New Roman"/>
          <w:color w:val="000000" w:themeColor="text1"/>
          <w:sz w:val="16"/>
          <w:szCs w:val="16"/>
        </w:rPr>
        <w:softHyphen/>
        <w:t>го тормоза повышенной эффективности...</w:t>
      </w:r>
    </w:p>
    <w:p w14:paraId="0BC9AF8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Кроме того, ЦАКБ и КБ завода № 9 занимались вопро</w:t>
      </w:r>
      <w:r w:rsidRPr="007224C3">
        <w:rPr>
          <w:rFonts w:ascii="Times New Roman" w:hAnsi="Times New Roman"/>
          <w:color w:val="000000" w:themeColor="text1"/>
          <w:sz w:val="16"/>
          <w:szCs w:val="16"/>
        </w:rPr>
        <w:softHyphen/>
        <w:t>сом создания 85-мм танковой и самоходной пушек высокой мощности. По переданным им весной 1944 г. тактико-техни</w:t>
      </w:r>
      <w:r w:rsidRPr="007224C3">
        <w:rPr>
          <w:rFonts w:ascii="Times New Roman" w:hAnsi="Times New Roman"/>
          <w:color w:val="000000" w:themeColor="text1"/>
          <w:sz w:val="16"/>
          <w:szCs w:val="16"/>
        </w:rPr>
        <w:softHyphen/>
        <w:t>ческим требованиям отечественные пушки должны были до</w:t>
      </w:r>
      <w:r w:rsidRPr="007224C3">
        <w:rPr>
          <w:rFonts w:ascii="Times New Roman" w:hAnsi="Times New Roman"/>
          <w:color w:val="000000" w:themeColor="text1"/>
          <w:sz w:val="16"/>
          <w:szCs w:val="16"/>
        </w:rPr>
        <w:softHyphen/>
        <w:t>гнать немецкую 88-мм РаК 43. В частности, начальная ско</w:t>
      </w:r>
      <w:r w:rsidRPr="007224C3">
        <w:rPr>
          <w:rFonts w:ascii="Times New Roman" w:hAnsi="Times New Roman"/>
          <w:color w:val="000000" w:themeColor="text1"/>
          <w:sz w:val="16"/>
          <w:szCs w:val="16"/>
        </w:rPr>
        <w:softHyphen/>
        <w:t>рость бронебойного снаряда орудия допускалась не ниже 1050 м/с (у немецкой РаК 43 по данным ГАУ, она составляла 1000 м/с). В феврале 1944 г. ЦАКБ предложило свое баллис</w:t>
      </w:r>
      <w:r w:rsidRPr="007224C3">
        <w:rPr>
          <w:rFonts w:ascii="Times New Roman" w:hAnsi="Times New Roman"/>
          <w:color w:val="000000" w:themeColor="text1"/>
          <w:sz w:val="16"/>
          <w:szCs w:val="16"/>
        </w:rPr>
        <w:softHyphen/>
        <w:t xml:space="preserve">тическое </w:t>
      </w:r>
      <w:r w:rsidRPr="007224C3">
        <w:rPr>
          <w:rFonts w:ascii="Times New Roman" w:hAnsi="Times New Roman"/>
          <w:color w:val="000000" w:themeColor="text1"/>
          <w:sz w:val="16"/>
          <w:szCs w:val="16"/>
        </w:rPr>
        <w:lastRenderedPageBreak/>
        <w:t>решение для такого орудия с учетом использования гильзы от 122-мм пушки А-19, но для удешевления выстрела распоряжением техуправления НКВ разрешалось использо</w:t>
      </w:r>
      <w:r w:rsidRPr="007224C3">
        <w:rPr>
          <w:rFonts w:ascii="Times New Roman" w:hAnsi="Times New Roman"/>
          <w:color w:val="000000" w:themeColor="text1"/>
          <w:sz w:val="16"/>
          <w:szCs w:val="16"/>
        </w:rPr>
        <w:softHyphen/>
        <w:t>вать только гильзу 100-мм орудия Б-34 с увеличенным «чис</w:t>
      </w:r>
      <w:r w:rsidRPr="007224C3">
        <w:rPr>
          <w:rFonts w:ascii="Times New Roman" w:hAnsi="Times New Roman"/>
          <w:color w:val="000000" w:themeColor="text1"/>
          <w:sz w:val="16"/>
          <w:szCs w:val="16"/>
        </w:rPr>
        <w:softHyphen/>
        <w:t>лом заряжания» (с большим пороховым зарядом).</w:t>
      </w:r>
    </w:p>
    <w:p w14:paraId="535F5BA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Предварительные расчеты показали, что применить в данной артсистеме существующий 85-мм бронебойный снаряд не удастся (требовалось, например, увеличение числа ведущих поясков). Поэтому нарком вооружения вре</w:t>
      </w:r>
      <w:r w:rsidRPr="007224C3">
        <w:rPr>
          <w:rFonts w:ascii="Times New Roman" w:hAnsi="Times New Roman"/>
          <w:color w:val="000000" w:themeColor="text1"/>
          <w:sz w:val="16"/>
          <w:szCs w:val="16"/>
        </w:rPr>
        <w:softHyphen/>
        <w:t>менно разрешил создание «орудия увеличенной мощнос</w:t>
      </w:r>
      <w:r w:rsidRPr="007224C3">
        <w:rPr>
          <w:rFonts w:ascii="Times New Roman" w:hAnsi="Times New Roman"/>
          <w:color w:val="000000" w:themeColor="text1"/>
          <w:sz w:val="16"/>
          <w:szCs w:val="16"/>
        </w:rPr>
        <w:softHyphen/>
        <w:t>ти» с начальной скоростью 950 м/с, если в нем можно будет использовать штатный бронебойный снаряд. Уже упоми</w:t>
      </w:r>
      <w:r w:rsidRPr="007224C3">
        <w:rPr>
          <w:rFonts w:ascii="Times New Roman" w:hAnsi="Times New Roman"/>
          <w:color w:val="000000" w:themeColor="text1"/>
          <w:sz w:val="16"/>
          <w:szCs w:val="16"/>
        </w:rPr>
        <w:softHyphen/>
        <w:t>налось, что подобное орудие было создано весной 1944 г. в ОКБ № 9, причем сразу в двух вариантах - для средней САУ и танка ИС-3 «Объект 244». Летом же ОКБ-92 предло</w:t>
      </w:r>
      <w:r w:rsidRPr="007224C3">
        <w:rPr>
          <w:rFonts w:ascii="Times New Roman" w:hAnsi="Times New Roman"/>
          <w:color w:val="000000" w:themeColor="text1"/>
          <w:sz w:val="16"/>
          <w:szCs w:val="16"/>
        </w:rPr>
        <w:softHyphen/>
        <w:t>жило свой вариант указанной пушки для танка Т-34-85. Орудие ЗИС-85ПМ, созданное на базе конструкции ЗИС-С-53, отличаясь от последнего, главным образом, увеличе</w:t>
      </w:r>
      <w:r w:rsidRPr="007224C3">
        <w:rPr>
          <w:rFonts w:ascii="Times New Roman" w:hAnsi="Times New Roman"/>
          <w:color w:val="000000" w:themeColor="text1"/>
          <w:sz w:val="16"/>
          <w:szCs w:val="16"/>
        </w:rPr>
        <w:softHyphen/>
        <w:t>нием крутизны нарезки ствола до 30 калибров; увеличе</w:t>
      </w:r>
      <w:r w:rsidRPr="007224C3">
        <w:rPr>
          <w:rFonts w:ascii="Times New Roman" w:hAnsi="Times New Roman"/>
          <w:color w:val="000000" w:themeColor="text1"/>
          <w:sz w:val="16"/>
          <w:szCs w:val="16"/>
        </w:rPr>
        <w:softHyphen/>
        <w:t>нием числа нарезов с 24 до 32; установкой на стволе глад</w:t>
      </w:r>
      <w:r w:rsidRPr="007224C3">
        <w:rPr>
          <w:rFonts w:ascii="Times New Roman" w:hAnsi="Times New Roman"/>
          <w:color w:val="000000" w:themeColor="text1"/>
          <w:sz w:val="16"/>
          <w:szCs w:val="16"/>
        </w:rPr>
        <w:softHyphen/>
        <w:t>коствольной надставки длиной 1620 мм. Длина пушки, пе</w:t>
      </w:r>
      <w:r w:rsidRPr="007224C3">
        <w:rPr>
          <w:rFonts w:ascii="Times New Roman" w:hAnsi="Times New Roman"/>
          <w:color w:val="000000" w:themeColor="text1"/>
          <w:sz w:val="16"/>
          <w:szCs w:val="16"/>
        </w:rPr>
        <w:softHyphen/>
        <w:t>реименованной перед испытаниями в ЗИС-1, с надставкой достигала 64 калибра, что вкупе с увеличением зарядного числа позволило достичь нач. скорость в 930-960 м/с. Но снаряд на стрельбах вел себя нестабильно. Время от време ни у него срывало ведущий поясок, происходило наруше</w:t>
      </w:r>
      <w:r w:rsidRPr="007224C3">
        <w:rPr>
          <w:rFonts w:ascii="Times New Roman" w:hAnsi="Times New Roman"/>
          <w:color w:val="000000" w:themeColor="text1"/>
          <w:sz w:val="16"/>
          <w:szCs w:val="16"/>
        </w:rPr>
        <w:softHyphen/>
        <w:t>ние кучности. Правда, вскоре удалось добиться более или менее стабильной стрельбы с нач. скоростью 920 м/с, но этот выигрыш, по мнению правления НКТП, не оправды</w:t>
      </w:r>
      <w:r w:rsidRPr="007224C3">
        <w:rPr>
          <w:rFonts w:ascii="Times New Roman" w:hAnsi="Times New Roman"/>
          <w:color w:val="000000" w:themeColor="text1"/>
          <w:sz w:val="16"/>
          <w:szCs w:val="16"/>
        </w:rPr>
        <w:softHyphen/>
        <w:t>вал применения указанных мероприятий.</w:t>
      </w:r>
    </w:p>
    <w:p w14:paraId="0C4CFE4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Также неудачно закончились и сходные изыскания ЦАКБ (11135).</w:t>
      </w:r>
    </w:p>
    <w:p w14:paraId="00C48C8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4F74C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Весной 1944 г. комиссия ТУ ГБТУ пришла к за</w:t>
      </w:r>
      <w:r w:rsidRPr="007224C3">
        <w:rPr>
          <w:rFonts w:ascii="Times New Roman" w:hAnsi="Times New Roman"/>
          <w:color w:val="000000" w:themeColor="text1"/>
          <w:sz w:val="16"/>
          <w:szCs w:val="16"/>
        </w:rPr>
        <w:softHyphen/>
        <w:t>ключению, что «по своим основным боевым качествам, воору</w:t>
      </w:r>
      <w:r w:rsidRPr="007224C3">
        <w:rPr>
          <w:rFonts w:ascii="Times New Roman" w:hAnsi="Times New Roman"/>
          <w:color w:val="000000" w:themeColor="text1"/>
          <w:sz w:val="16"/>
          <w:szCs w:val="16"/>
        </w:rPr>
        <w:softHyphen/>
        <w:t>жению, бронированию, узлам и агрегатам силовой установки и трансмиссии, механизмам управления танком и огнем, танк конструкции Кировского завода, безусловно, заслуживает то</w:t>
      </w:r>
      <w:r w:rsidRPr="007224C3">
        <w:rPr>
          <w:rFonts w:ascii="Times New Roman" w:hAnsi="Times New Roman"/>
          <w:color w:val="000000" w:themeColor="text1"/>
          <w:sz w:val="16"/>
          <w:szCs w:val="16"/>
        </w:rPr>
        <w:softHyphen/>
        <w:t>го, чтобы в кратчайший срок дать разрешение Кировскому за</w:t>
      </w:r>
      <w:r w:rsidRPr="007224C3">
        <w:rPr>
          <w:rFonts w:ascii="Times New Roman" w:hAnsi="Times New Roman"/>
          <w:color w:val="000000" w:themeColor="text1"/>
          <w:sz w:val="16"/>
          <w:szCs w:val="16"/>
        </w:rPr>
        <w:softHyphen/>
        <w:t>воду на изготовление двух опытных образцов (11135).</w:t>
      </w:r>
    </w:p>
    <w:p w14:paraId="7640B5E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B9098E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Весной 1941 г. была разверну</w:t>
      </w:r>
      <w:r w:rsidRPr="007224C3">
        <w:rPr>
          <w:rFonts w:ascii="Times New Roman" w:hAnsi="Times New Roman"/>
          <w:color w:val="000000" w:themeColor="text1"/>
          <w:sz w:val="16"/>
          <w:szCs w:val="16"/>
        </w:rPr>
        <w:softHyphen/>
        <w:t>та работа по установке электромеханической трансмиссии в тяжелый танк КВ-1 (ЭКВ). Проект установки электромеханической трансмис</w:t>
      </w:r>
      <w:r w:rsidRPr="007224C3">
        <w:rPr>
          <w:rFonts w:ascii="Times New Roman" w:hAnsi="Times New Roman"/>
          <w:color w:val="000000" w:themeColor="text1"/>
          <w:sz w:val="16"/>
          <w:szCs w:val="16"/>
        </w:rPr>
        <w:softHyphen/>
        <w:t>сии в танк КВ-1 являлся переработкой проекта электромеханической трансмиссии, ранее разработанной заводом "Динамо" для танка КВ-3. В обоих случаях требовалось установить электромеханическую трансмис</w:t>
      </w:r>
      <w:r w:rsidRPr="007224C3">
        <w:rPr>
          <w:rFonts w:ascii="Times New Roman" w:hAnsi="Times New Roman"/>
          <w:color w:val="000000" w:themeColor="text1"/>
          <w:sz w:val="16"/>
          <w:szCs w:val="16"/>
        </w:rPr>
        <w:softHyphen/>
        <w:t>сию в корпус серийного танка без существенных его переделок. Это тре</w:t>
      </w:r>
      <w:r w:rsidRPr="007224C3">
        <w:rPr>
          <w:rFonts w:ascii="Times New Roman" w:hAnsi="Times New Roman"/>
          <w:color w:val="000000" w:themeColor="text1"/>
          <w:sz w:val="16"/>
          <w:szCs w:val="16"/>
        </w:rPr>
        <w:softHyphen/>
        <w:t>бование было выполнено, однако доступ к электрооборудованию и его обслуживание были затруднены из-за малых размеров трансмиссион</w:t>
      </w:r>
      <w:r w:rsidRPr="007224C3">
        <w:rPr>
          <w:rFonts w:ascii="Times New Roman" w:hAnsi="Times New Roman"/>
          <w:color w:val="000000" w:themeColor="text1"/>
          <w:sz w:val="16"/>
          <w:szCs w:val="16"/>
        </w:rPr>
        <w:softHyphen/>
        <w:t>ного отделения танка КВ-1. В связи с передислокацией ВАММ им.Сталина и завода "Динамо", эта работа приняла затяжной характер и была возобновлена только в 1944 г. после издания 31 мая 1944 г. совместного приказа НКТП и НКЭП (народный комиссариат электропромышленнос</w:t>
      </w:r>
      <w:r w:rsidRPr="007224C3">
        <w:rPr>
          <w:rFonts w:ascii="Times New Roman" w:hAnsi="Times New Roman"/>
          <w:color w:val="000000" w:themeColor="text1"/>
          <w:sz w:val="16"/>
          <w:szCs w:val="16"/>
        </w:rPr>
        <w:softHyphen/>
        <w:t>ти) "О продолжении ОКР по созданию электротрансмиссии для тяже</w:t>
      </w:r>
      <w:r w:rsidRPr="007224C3">
        <w:rPr>
          <w:rFonts w:ascii="Times New Roman" w:hAnsi="Times New Roman"/>
          <w:color w:val="000000" w:themeColor="text1"/>
          <w:sz w:val="16"/>
          <w:szCs w:val="16"/>
        </w:rPr>
        <w:softHyphen/>
        <w:t>лых танков". Основным недостатком электромеханических трансмиссий явля</w:t>
      </w:r>
      <w:r w:rsidRPr="007224C3">
        <w:rPr>
          <w:rFonts w:ascii="Times New Roman" w:hAnsi="Times New Roman"/>
          <w:color w:val="000000" w:themeColor="text1"/>
          <w:sz w:val="16"/>
          <w:szCs w:val="16"/>
        </w:rPr>
        <w:softHyphen/>
        <w:t>лась их большая масса и размеры по сравнению с механическими транс</w:t>
      </w:r>
      <w:r w:rsidRPr="007224C3">
        <w:rPr>
          <w:rFonts w:ascii="Times New Roman" w:hAnsi="Times New Roman"/>
          <w:color w:val="000000" w:themeColor="text1"/>
          <w:sz w:val="16"/>
          <w:szCs w:val="16"/>
        </w:rPr>
        <w:softHyphen/>
        <w:t>миссиями. Масса электромеханической трансмиссии танка ИС-6 ("Объект 253") составляла 3850 кг в то время, как масса механической трансмиссии танка ИС-2 не превышала 980 кг (10703).</w:t>
      </w:r>
    </w:p>
    <w:p w14:paraId="6545EC7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8E882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C весны 1944 года тяжелые самоходно-артиллерийские полки СУ-152 стали перевооружаться установками ИСУ-152 и ИСУ-122. Их переводили на новые штаты и всем присваивали звание гвардейских. Всего до конца войны было сформировано 53 таких полка с 21 машиной ИСУ-152 или ИСУ-122 в каждом (часть полков имела смешанный состав). (3862).</w:t>
      </w:r>
    </w:p>
    <w:p w14:paraId="650AD72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EBC9F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Весной 1944 года опытный образец танка Объект 244 прошел заводские и поли</w:t>
      </w:r>
      <w:r w:rsidRPr="007224C3">
        <w:rPr>
          <w:rFonts w:ascii="Times New Roman" w:hAnsi="Times New Roman"/>
          <w:color w:val="000000" w:themeColor="text1"/>
          <w:sz w:val="16"/>
          <w:szCs w:val="16"/>
        </w:rPr>
        <w:softHyphen/>
        <w:t>гонные испытания на Гороховецком АНИОПе. На вооружение танк не принимался из-за недостаточной прочности ствола орудия. Опытный образец машины был создан на базе первого опытного об</w:t>
      </w:r>
      <w:r w:rsidRPr="007224C3">
        <w:rPr>
          <w:rFonts w:ascii="Times New Roman" w:hAnsi="Times New Roman"/>
          <w:color w:val="000000" w:themeColor="text1"/>
          <w:sz w:val="16"/>
          <w:szCs w:val="16"/>
        </w:rPr>
        <w:softHyphen/>
        <w:t>разца танка "Объект 237" и отличался от него установкой в башне вме</w:t>
      </w:r>
      <w:r w:rsidRPr="007224C3">
        <w:rPr>
          <w:rFonts w:ascii="Times New Roman" w:hAnsi="Times New Roman"/>
          <w:color w:val="000000" w:themeColor="text1"/>
          <w:sz w:val="16"/>
          <w:szCs w:val="16"/>
        </w:rPr>
        <w:softHyphen/>
        <w:t>сто 85-мм танковой пушки Д-5Т-85 опытной 85-мм пушки Д-5Т-85БМ, а также монтажом зенитной пулеметной установки. Экипаж машины состоял из четырех человек (10703).</w:t>
      </w:r>
    </w:p>
    <w:p w14:paraId="4FB0767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FBE0D7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Весной 1944 г. в конструкторском бюро УЗТМ были выполнены проектно-конструкторские работы по созданию средней САУ с электромеханической трансмиссии на создание такой установки предусматривали, что электроме-ческая трансмиссия должна обеспечивать: величину крутящего мо-I и скорость движения не меньшую, чем при механической транс-н, а также плавное изменение скорости от нуля до максимального ения. К выполнению этих работ совместно с УЗТМ был привлечен № 627. Проектными работами от конструкторского бюро УЗТМ Э.П. Страшинин, от завода № 627 - главный конструктор в. Летом 1944 г. проект САУ с электромеханической трансмиссии с кормовым расположением боевого отделения был закончен и ему был присвоен заводской индекс ЭСУ-100. На заводе приступили к из-лению деталей электрооборудования для новой машины (10703).</w:t>
      </w:r>
    </w:p>
    <w:p w14:paraId="79189F8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AD929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w:t>
      </w:r>
      <w:r w:rsidRPr="007224C3">
        <w:rPr>
          <w:rFonts w:ascii="Times New Roman" w:hAnsi="Times New Roman"/>
          <w:color w:val="000000" w:themeColor="text1"/>
          <w:sz w:val="16"/>
          <w:szCs w:val="16"/>
        </w:rPr>
        <w:softHyphen/>
        <w:t>ной 1944 г. ввиду дефицита кадров техотдел НКТП выдвинул КБ завода № 100 задание по усовершенствованию конструк</w:t>
      </w:r>
      <w:r w:rsidRPr="007224C3">
        <w:rPr>
          <w:rFonts w:ascii="Times New Roman" w:hAnsi="Times New Roman"/>
          <w:color w:val="000000" w:themeColor="text1"/>
          <w:sz w:val="16"/>
          <w:szCs w:val="16"/>
        </w:rPr>
        <w:softHyphen/>
        <w:t>ции ИСУ-122 с целью исключения из экипажа замкового. Работы по модернизации ИСУ-122 велись в КБ опыт</w:t>
      </w:r>
      <w:r w:rsidRPr="007224C3">
        <w:rPr>
          <w:rFonts w:ascii="Times New Roman" w:hAnsi="Times New Roman"/>
          <w:color w:val="000000" w:themeColor="text1"/>
          <w:sz w:val="16"/>
          <w:szCs w:val="16"/>
        </w:rPr>
        <w:softHyphen/>
        <w:t>ного завода № 100 под индексом «Объект 249» (11417).</w:t>
      </w:r>
    </w:p>
    <w:p w14:paraId="5DDE089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FB8EB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Весной 1944 г. заводом № 40 был выпущен второй опытный образец ЗСУ-37, который отличался от своего прототипа силовой установкой, размера</w:t>
      </w:r>
      <w:r w:rsidRPr="007224C3">
        <w:rPr>
          <w:rFonts w:ascii="Times New Roman" w:hAnsi="Times New Roman"/>
          <w:color w:val="000000" w:themeColor="text1"/>
          <w:sz w:val="16"/>
          <w:szCs w:val="16"/>
        </w:rPr>
        <w:softHyphen/>
        <w:t>ми и массой, а также конструкцией вращающейся башни. В июле 1944 г. этот образец прошел полигонные испытания на НИБТ полигоне. По ре</w:t>
      </w:r>
      <w:r w:rsidRPr="007224C3">
        <w:rPr>
          <w:rFonts w:ascii="Times New Roman" w:hAnsi="Times New Roman"/>
          <w:color w:val="000000" w:themeColor="text1"/>
          <w:sz w:val="16"/>
          <w:szCs w:val="16"/>
        </w:rPr>
        <w:softHyphen/>
        <w:t>зультатам испытаний летом того же года был выпущен третий опытный образец самоходной установки, на котором была вновь использована силовая установка СУ-76М. В октябре - ноябре 1944 г. этот опытный образец успешно прошел полигонные испытания и был рекомендован к принятию на вооружение РККА. В 1945 - 1948 гг. ЗСУ производилась на заводе № 40 в г. Мытищи Московской области. В 1945 г. было изго</w:t>
      </w:r>
      <w:r w:rsidRPr="007224C3">
        <w:rPr>
          <w:rFonts w:ascii="Times New Roman" w:hAnsi="Times New Roman"/>
          <w:color w:val="000000" w:themeColor="text1"/>
          <w:sz w:val="16"/>
          <w:szCs w:val="16"/>
        </w:rPr>
        <w:softHyphen/>
        <w:t>товлено 12 самоходных установок ЗСУ-37 (10703).</w:t>
      </w:r>
    </w:p>
    <w:p w14:paraId="329F263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E8947F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Весной 1944 г. за</w:t>
      </w:r>
      <w:r w:rsidRPr="007224C3">
        <w:rPr>
          <w:rFonts w:ascii="Times New Roman" w:hAnsi="Times New Roman"/>
          <w:color w:val="000000" w:themeColor="text1"/>
          <w:sz w:val="16"/>
          <w:szCs w:val="16"/>
        </w:rPr>
        <w:softHyphen/>
        <w:t>водом № 40 был выпущен второй опытный образец ЗСУ-37, который отличался от своего прототипа силовой установкой, размерами и массой, а также конструкцией вращающейся башни. В июле 1944 г. этот образец прошел полигонные испытания на НИБТ полигоне. По результатам испытаний летом того же года был выпущен третий опытный образец самоходной установки, на котором была вновь использована силовая установка СУ-76М. В октябре - ноябре 1944 г. этот опытный образец успешно прошел полигонные испытания и был рекомендован к принятию на во</w:t>
      </w:r>
      <w:r w:rsidRPr="007224C3">
        <w:rPr>
          <w:rFonts w:ascii="Times New Roman" w:hAnsi="Times New Roman"/>
          <w:color w:val="000000" w:themeColor="text1"/>
          <w:sz w:val="16"/>
          <w:szCs w:val="16"/>
        </w:rPr>
        <w:softHyphen/>
        <w:t>оружение РККА (10703).</w:t>
      </w:r>
    </w:p>
    <w:p w14:paraId="1399EB7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2EA812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Весной 1944 г. Горьковским автозаводом была начата разработка проекта безрамного бронеавтомобиля ГАЗ-69 с улучшенной компонов</w:t>
      </w:r>
      <w:r w:rsidRPr="007224C3">
        <w:rPr>
          <w:rFonts w:ascii="Times New Roman" w:hAnsi="Times New Roman"/>
          <w:color w:val="000000" w:themeColor="text1"/>
          <w:sz w:val="16"/>
          <w:szCs w:val="16"/>
        </w:rPr>
        <w:softHyphen/>
        <w:t>кой. В новой боевой машине конструкторы попытались снизить распо</w:t>
      </w:r>
      <w:r w:rsidRPr="007224C3">
        <w:rPr>
          <w:rFonts w:ascii="Times New Roman" w:hAnsi="Times New Roman"/>
          <w:color w:val="000000" w:themeColor="text1"/>
          <w:sz w:val="16"/>
          <w:szCs w:val="16"/>
        </w:rPr>
        <w:softHyphen/>
        <w:t>ложение центра тяжести с целью повышения устойчивости, уменьше</w:t>
      </w:r>
      <w:r w:rsidRPr="007224C3">
        <w:rPr>
          <w:rFonts w:ascii="Times New Roman" w:hAnsi="Times New Roman"/>
          <w:color w:val="000000" w:themeColor="text1"/>
          <w:sz w:val="16"/>
          <w:szCs w:val="16"/>
        </w:rPr>
        <w:softHyphen/>
        <w:t>ния массы, увеличения внутреннего объема и улучшения ее развесовки. Это было достигнуто за счет смещения вперед двигателя и мест распо</w:t>
      </w:r>
      <w:r w:rsidRPr="007224C3">
        <w:rPr>
          <w:rFonts w:ascii="Times New Roman" w:hAnsi="Times New Roman"/>
          <w:color w:val="000000" w:themeColor="text1"/>
          <w:sz w:val="16"/>
          <w:szCs w:val="16"/>
        </w:rPr>
        <w:softHyphen/>
        <w:t>ложения экипажа. В июне 1944 г. приступили к изготовлению посадоч</w:t>
      </w:r>
      <w:r w:rsidRPr="007224C3">
        <w:rPr>
          <w:rFonts w:ascii="Times New Roman" w:hAnsi="Times New Roman"/>
          <w:color w:val="000000" w:themeColor="text1"/>
          <w:sz w:val="16"/>
          <w:szCs w:val="16"/>
        </w:rPr>
        <w:softHyphen/>
        <w:t>ного макета бронеавтомобиля БА-69 (такое условное обозначение было присвоено ГАЗ-69), но затем эта работа была приостановлена и в даль</w:t>
      </w:r>
      <w:r w:rsidRPr="007224C3">
        <w:rPr>
          <w:rFonts w:ascii="Times New Roman" w:hAnsi="Times New Roman"/>
          <w:color w:val="000000" w:themeColor="text1"/>
          <w:sz w:val="16"/>
          <w:szCs w:val="16"/>
        </w:rPr>
        <w:softHyphen/>
        <w:t>нейшем не возобновлялась (10703).</w:t>
      </w:r>
    </w:p>
    <w:p w14:paraId="4968AD7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FD3D6A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Весной 1944 г. на Московском вагоно</w:t>
      </w:r>
      <w:r w:rsidRPr="007224C3">
        <w:rPr>
          <w:rFonts w:ascii="Times New Roman" w:hAnsi="Times New Roman"/>
          <w:color w:val="000000" w:themeColor="text1"/>
          <w:sz w:val="16"/>
          <w:szCs w:val="16"/>
        </w:rPr>
        <w:softHyphen/>
        <w:t>ремонтном заводе им. Войтовича НКПС был создан Бронеавтомобиль БА-64Б ж-д путем установ</w:t>
      </w:r>
      <w:r w:rsidRPr="007224C3">
        <w:rPr>
          <w:rFonts w:ascii="Times New Roman" w:hAnsi="Times New Roman"/>
          <w:color w:val="000000" w:themeColor="text1"/>
          <w:sz w:val="16"/>
          <w:szCs w:val="16"/>
        </w:rPr>
        <w:softHyphen/>
        <w:t>ки на серийные машины БА-64Б металлических дисков с бандажами и ребордами вместо колес. К 1 июня 1944 г. заводом было переоборудова</w:t>
      </w:r>
      <w:r w:rsidRPr="007224C3">
        <w:rPr>
          <w:rFonts w:ascii="Times New Roman" w:hAnsi="Times New Roman"/>
          <w:color w:val="000000" w:themeColor="text1"/>
          <w:sz w:val="16"/>
          <w:szCs w:val="16"/>
        </w:rPr>
        <w:softHyphen/>
        <w:t>но 15 бронеавтомобилей БА-64Б. В дальнейшем завод им. Войтовича осуществлял мелкосерийное переоборудование БА-64Б на железнодо</w:t>
      </w:r>
      <w:r w:rsidRPr="007224C3">
        <w:rPr>
          <w:rFonts w:ascii="Times New Roman" w:hAnsi="Times New Roman"/>
          <w:color w:val="000000" w:themeColor="text1"/>
          <w:sz w:val="16"/>
          <w:szCs w:val="16"/>
        </w:rPr>
        <w:softHyphen/>
        <w:t>рожный ход. Бронеавтомобили БА-64Б ж-д использовались на фронтах Великой Отечественной войны в составе бронепоездов в качестве бро</w:t>
      </w:r>
      <w:r w:rsidRPr="007224C3">
        <w:rPr>
          <w:rFonts w:ascii="Times New Roman" w:hAnsi="Times New Roman"/>
          <w:color w:val="000000" w:themeColor="text1"/>
          <w:sz w:val="16"/>
          <w:szCs w:val="16"/>
        </w:rPr>
        <w:softHyphen/>
        <w:t>недрезин для ведения разведки. Боевые и технические характеристики машины были сохранены на уровне характеристик серийного образца бронеавтомобиля БА-64Б (10703).</w:t>
      </w:r>
    </w:p>
    <w:p w14:paraId="0CDF448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C55944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Весной 1944 на восстановленном в Харькове на территории 183 заводе 75 начали изготавливать опытные образцы тягача АТ-45 для буксировки орудий массой до 22 т. Он был спроектирован на базе агрегатов Т-34-85 с В-2 с мощностью, уменьшенной до 350 нр. В 1944 сделали 6 и 2 отправили в войска для испытаний. Прекратили выпуск в августе 1944 в связи с подготовкой производства Т-44 (4390).</w:t>
      </w:r>
    </w:p>
    <w:p w14:paraId="2A2798A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18258B" w14:textId="77777777" w:rsidR="00443DE6" w:rsidRPr="007224C3" w:rsidRDefault="00443DE6" w:rsidP="007224C3">
      <w:pPr>
        <w:pStyle w:val="ae"/>
        <w:shd w:val="clear" w:color="auto" w:fill="FFFFFF"/>
        <w:spacing w:before="0" w:after="0"/>
        <w:jc w:val="both"/>
        <w:rPr>
          <w:color w:val="000000" w:themeColor="text1"/>
          <w:sz w:val="16"/>
          <w:szCs w:val="16"/>
        </w:rPr>
      </w:pPr>
      <w:r w:rsidRPr="007224C3">
        <w:rPr>
          <w:color w:val="000000" w:themeColor="text1"/>
          <w:sz w:val="16"/>
          <w:szCs w:val="16"/>
        </w:rPr>
        <w:t xml:space="preserve">Весной 1944 года ремзавод №8 оказался в Киеве. За июль 1944 года завод отремонтировал и сдал 4 танка Т-80, а за август — 12. Летом 1944 года состоялось последнее боевое применение этих машин, снова они воевали в составе танковых полков при кавалерийских дивизиях. Например, в 61-м танковом полку было 4 Т-80, а в 58-м танковом полку — 2. После Львовско-Сандомирской операции эти танки использовались как учебные. По состоянию на 1946 год сохранилось около двух десятков этих машин, которые находились в Харьковском танковом училище. Увы, до наших дней они не сохранились. </w:t>
      </w:r>
      <w:hyperlink r:id="rId157" w:history="1">
        <w:r w:rsidRPr="007224C3">
          <w:rPr>
            <w:rStyle w:val="a5"/>
            <w:color w:val="000000" w:themeColor="text1"/>
            <w:sz w:val="16"/>
            <w:szCs w:val="16"/>
            <w:u w:val="none"/>
          </w:rPr>
          <w:t>Зато сохранился один Т-80 в Кубинке, который можно увидеть в музейной экспозиции</w:t>
        </w:r>
      </w:hyperlink>
      <w:r w:rsidRPr="007224C3">
        <w:rPr>
          <w:color w:val="000000" w:themeColor="text1"/>
          <w:sz w:val="16"/>
          <w:szCs w:val="16"/>
        </w:rPr>
        <w:t xml:space="preserve"> (17712).</w:t>
      </w:r>
    </w:p>
    <w:p w14:paraId="55652E65" w14:textId="77777777" w:rsidR="00443DE6" w:rsidRPr="007224C3" w:rsidRDefault="00443DE6" w:rsidP="007224C3">
      <w:pPr>
        <w:pStyle w:val="ae"/>
        <w:shd w:val="clear" w:color="auto" w:fill="FFFFFF"/>
        <w:spacing w:before="0" w:after="0"/>
        <w:jc w:val="both"/>
        <w:rPr>
          <w:color w:val="000000" w:themeColor="text1"/>
          <w:sz w:val="16"/>
          <w:szCs w:val="16"/>
        </w:rPr>
      </w:pPr>
    </w:p>
    <w:p w14:paraId="25B1BDE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Весной 1944 года в счет доли при разделе трофейных итальянских кораблей американцы временно предоставили СССР легкий крейсер "Милуоки" (3457,127).</w:t>
      </w:r>
    </w:p>
    <w:p w14:paraId="2ECFC96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6F0108"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6187971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9BBA7D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Весной 1944 года личный состав 91-го иап (командир подполковник Ковалев) 256-й иад 5-го истребительного авиакорпуса (командир генерал-майор Галунов) 2-й воздушной армии переучился на Як-3 в 8-й запасном авиаполку (зап) в Багай-Баранов- ке и имел в своем составе 41 самолет (почти половина из числа построенных к июню 1944 года) производства завода №292. Командующий ВВС Красной Армии А.А. Новиков 12 июня подписал приказ о проведении в полку с 20 июля по 2 августа войсковых испытаний истребителя, совпавших с проведением Львовской наступательной операции.</w:t>
      </w:r>
    </w:p>
    <w:p w14:paraId="1F21D6B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Як-3 были укомплектованы двигателями ВК-105ПФ2, пушкой МП-20 и одним пулеметом БС.</w:t>
      </w:r>
    </w:p>
    <w:p w14:paraId="70360F0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Перед полком, базировавшимся на травяных аэродромах Тарнополь и Куровицк, стояла задача завоевания господства в воздухе. К началу боевых действий полк имел 38 исправных самолетов. Остальные машины были поломаны при перебазировании на новые аэродромы, а два из них ввели в строй к середине войсковых испытаний.</w:t>
      </w:r>
    </w:p>
    <w:p w14:paraId="64EA76D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Полк был полностью укомплектован летным и техническим составом, причем 41% летчиков участвовал в боях впервые. До начала боевых операций летный состав полка имел налет на Як-3 20-25 часов, что считалось хорошей подготовкой.</w:t>
      </w:r>
    </w:p>
    <w:p w14:paraId="11DF3D3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Технический состав ранее эксплуатировал истребители Як-1, Я к-7 Б и Як-9 и имел соответствующий опыт.</w:t>
      </w:r>
    </w:p>
    <w:p w14:paraId="3C3CA95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время войсковых испытаний полк выполнил 431 боевой самолето-вылет или 83 вылета группами от двух до восьми машин. Получается, что в среднем каждый летчик в день совершал не более одного вылета.</w:t>
      </w:r>
    </w:p>
    <w:p w14:paraId="7E39758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период войсковых испытаний, - говорилось в отчете, - встречи с самолетами противника происходили главным образом в случаях, когда Як-3 вызывались с командного пункта. В других случаях, когда &lt;...&gt; Як-3 вылетали на прикрытие наземных войск (или на свободную охоту) встреч с противником не происходило. Это можно было объяснить, с одной стороны, тем, что сразу же в начале операции противнику был нанесен достаточный удар в боях 14 - 15 июля, после которых активность его ВВС сразу сократилась. С другой стороны, применяя методы барражирования, &lt;... &gt; Як-3 могли находиться над объектом прикрытия не более 15-17 минут и при свободной охоте вести очень кратковременное выслеживание из-за малого запаса горючего, что в значительной степени сокращало вероятность встречи с противником".</w:t>
      </w:r>
    </w:p>
    <w:p w14:paraId="7D5F813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 числа 83 группо-вылетов по 11 произвели для перехвата противника в районе аэродрома и на свободную охоту, 22 - по вызову командира корпуса для уничтожения самолетов противника над линией фронта и наращивания сил, 35 - для прикрытия наземных войск и четыре - для прикрытия своего аэродрома.</w:t>
      </w:r>
    </w:p>
    <w:p w14:paraId="53ED9A8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время испытаний было семь встреч с самолетами противника Ju87, Bfl09 и FW190. В пяти из них имели место воздушные бои, причем в двух случаях - крупные. В итоге было сбито три Ju87, 14 Bfl 09 и шесть FW190, но места их падения и документы, подтверждавшие факт сбитая, в отчете по результатам войсковых испытаний не приведены. При этом два Як-3 не вернулись с задания, у одного было повреждено остекление задней части фонаря, и у трех отмечено попадание в заднее бронестекло. Три самолета получили повреждения от огня зенитной артиллерии и совершили посадки вне аэродрома. Из всех самолетов два восстановили и один списали. Таким образом, наши потери составили пять машин.</w:t>
      </w:r>
    </w:p>
    <w:p w14:paraId="5D4F4FF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Летчики отмечали, что Як-3 на высотах до 5000 метров превосходил Bfl09 и FW190 как на горизонталях (заходил в хвост истребителям противника на втором вираже), так и на вертикалях. Выше самолеты противника не поднимались. Догоняли противника и на пикировании, что раньше считалось невозможным.</w:t>
      </w:r>
    </w:p>
    <w:p w14:paraId="46BBA5C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"...Як-3, - говорилось в отчете - ввиду ограниченного запаса горючего наиболее целесообразно применять для борьбы с истребительной, а также бомбардировочной авиацией противника, по вызову станции наведения в район появления самолетов противника или по вызову для наращивания сил в воздушном бою.</w:t>
      </w:r>
    </w:p>
    <w:p w14:paraId="27D37E1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Выполнение других задач, как то: прикрытие наземных войск путем барражирования, сопровождение бомбардировщиков, ограничивается малым запасом горючего".</w:t>
      </w:r>
    </w:p>
    <w:p w14:paraId="7799E89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Воздушный бой 16 июля показал, что Як-3 могли успешно вести бой с численно превосходящим противником. Бой начался, когда десять наших истребителей встретились с восемью Bfl09 и четверкой FW190. Затем силы постепенно наращивались с обеих сторон. Под конец 18 Як-3 противостояли 24 самолетам противника. В итоге 18 "мессершмиттов" и "фокке- ров" остались лежать на нашей земле. Мы же потеряли одну машину, другой "як" получил повреждения.</w:t>
      </w:r>
    </w:p>
    <w:p w14:paraId="667BC7D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Лишь два примера. Майор Околелов встретился в бою с Bfl 09 на высоте 2700 метров. Немец, почувствовав опасность, стал уходить пикированием. Наш летчик, преследуя его на полном газу мотора, сократил дистанцию с 700-600 до 50 метров и, находясь на высоте 500 метров, когда пилот "мессершмитта" стал выходить в горизонтальный полет, одной очередью сбил противника.</w:t>
      </w:r>
    </w:p>
    <w:p w14:paraId="35AE296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тот же день старший лейтенант Чижиков догнал Bfl 09 на горке с высоты 1300 метров, но выпущенная пулеме гно-пушеч- ная очередь прошла мимо. Противник тем временем с переворота перешел в пикирование в надежде оторваться от преследования. Пикируя за неприятелем, Чижиков с дистанции 50 метров сбил его.</w:t>
      </w:r>
    </w:p>
    <w:p w14:paraId="7576DA8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Эксплуатация Як-3 не представляла трудностей для технического состава, и переход, например с Як-9 на Як-3, не требовал длительного переучивания.</w:t>
      </w:r>
    </w:p>
    <w:p w14:paraId="6BAB9C1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то же время был выявлен ряд конструктивных и производственных дефектов истребителя. В частности, зафиксировано 13 случаев поломки шасси. Тросов управления рулем поворота хватало лишь на 10- 15 часов налета, после чего их следовало менять. Сиденье пилота с трудом поддавалось регулировке по высоте. Пневмосисте- ма была недостаточно герметичной. Отмечались и другие дефекты, снижавшие боеготовность полка.</w:t>
      </w:r>
    </w:p>
    <w:p w14:paraId="319090E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Подготовка одиночного самолета и пары к повторному боевому вылету с участием механика, моториста и оружейника (с одним бензозаправщиком на эскадрилью) и полным обеспечением другими техническими средствами занимала 35 - 40 минут, звена (четыре машины) - 35 - 40 минут, а эскадрильи и полка - до часа.</w:t>
      </w:r>
    </w:p>
    <w:p w14:paraId="1213A05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Три самолета вышли из строя из-за недоброкачественного проклея обшивки крыла к лонжеронам и нервюрам. Причем на одном из них (№02-08) сорвало обшивку во время воздушного боя при выводе из пикирования после атаки на скорости 580- 600 км/ч по прибору. Обшивку сорвало с обеих консолей крыла площадью по 1,5 м2. Тем не менее летчик смог совершить благополучную посадку на своем аэродроме.</w:t>
      </w:r>
    </w:p>
    <w:p w14:paraId="15FB332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После осмотра самолетов полка на аэродроме отставание обшивки обнаружилось и на других машинах. Это был первый случай срыва обшивки на Як-3. Тогда же обнаружилось и растрескивание лакокрасочного покрытия на половине самолетов полка.</w:t>
      </w:r>
    </w:p>
    <w:p w14:paraId="60E70BB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Средняя продолжительность полета на Як-3 с учетом 20% остатка горючего составляла 40-45 минут.</w:t>
      </w:r>
    </w:p>
    <w:p w14:paraId="1AB8E7B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Отмечалось, что радиостанция PC И-4 на Як-3 работала лучше, чем на Як-1 и Як-9. При этом практическая дальность радиосвязи на высотах 3000 - 4000 метров с наземной радиостанцией РСБ составляла 50 - 60 км. В отдельных случаях она достигала ЮОкм.Связьмеждусамолетамиобеспечива- лась на расстоянии 15-20 км, а в отдельных случаях - 25-30 км. Но при работе автомата регулирования температуры двигателя АРТ-41 создавались сильные помехи, снижавшие слышимость почти в два раза.</w:t>
      </w:r>
    </w:p>
    <w:p w14:paraId="429EEDF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После завершения войсковых испытаний в 91-й иап прибыли Як-3 №03-10, 40- 12, 19-13 и 24-13. Их летные данные оказались хуже, чем у машин, проходивших испытания. Так, максимальная скорость у земли снизилась до 540 км/ч по прибору (вместо 562 км/ч), ухудшились скороподъемность и управляемость. Связано это было главным образом с установкой второго пулемета БС. Негативно сказалась и плохая подгонка зализов крыла и оперения, а также плохая герметизация фюзеляжа (12047).</w:t>
      </w:r>
    </w:p>
    <w:p w14:paraId="661CE2D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D3658F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Весной 1944 г. бывшие советские бомбардировщики атаковали советские же аэродромы Мергино и Кяху (10734,87).</w:t>
      </w:r>
    </w:p>
    <w:p w14:paraId="28FF20C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98EBEC" w14:textId="77777777" w:rsidR="00822884" w:rsidRPr="007224C3" w:rsidRDefault="0082288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Весной 1944 года, в связи с прекращением производства Пе-8, вооружение полка 562 25-го гв. АПДД и 890-го АПДД бомбардировщиками Пе-8 отменили, а пере</w:t>
      </w:r>
      <w:r w:rsidRPr="007224C3">
        <w:rPr>
          <w:rFonts w:ascii="Times New Roman" w:hAnsi="Times New Roman"/>
          <w:color w:val="000000" w:themeColor="text1"/>
          <w:sz w:val="16"/>
          <w:szCs w:val="16"/>
        </w:rPr>
        <w:softHyphen/>
        <w:t>данные бомбардировщики вернули прежним владельцам. Полк решили вооружить бомбардировщиками 8-25. На переданных четырех Пе-8 полк боевых вылетов не совершал (19559).</w:t>
      </w:r>
    </w:p>
    <w:p w14:paraId="2B9FAC14" w14:textId="77777777" w:rsidR="00822884" w:rsidRPr="007224C3" w:rsidRDefault="00822884" w:rsidP="007224C3">
      <w:pPr>
        <w:spacing w:after="0" w:line="240" w:lineRule="auto"/>
        <w:jc w:val="both"/>
        <w:rPr>
          <w:rFonts w:ascii="Times New Roman" w:hAnsi="Times New Roman"/>
          <w:color w:val="000000" w:themeColor="text1"/>
          <w:sz w:val="16"/>
          <w:szCs w:val="16"/>
        </w:rPr>
      </w:pPr>
    </w:p>
    <w:p w14:paraId="279951F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Весной 1944 г. “Чайки” с голубыми свастиками поменяли место дислокации и задачи боевого применения. Базируясь преимущественно на Вяртсиля, самолеты вошли в состав эскадрильи LeLv1 6 и совместно с подобными ветеранами (Аайсендер, Гладиатор, Фоккер С.Х) занимались обеспечением боевых действий в районе Онежского озера. Одним из последних боевых эпизодов стала встреча 29 июля 1944 г. пяти финских “Чаек” с двумя десятками советских “Аэрокобр”, при этом одна “Кобра” предположительно была сбита (6592).</w:t>
      </w:r>
    </w:p>
    <w:p w14:paraId="3FEA03E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A4EEA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Весной 1944 г. была сформирована авиационная эскадрилья, вскоре развернутая в 1-й истребительный авиационный полк ВВС Чехословакии. Полк получил на вооружение истребители Ла-5ФН, переучивание чешские и словацкие пилоты проходили в Кубинке. Подготовка к боям продолжилась на аэродроме Проскуров после того как в июле 1944 г. полк вошел в состав 2-й воздушной армии. Боевое крещение 16 наиболее подготовленных летчиков во главе с командиром полка майором Франтишеком Файтлом приняли в небе своей Родины (4707).</w:t>
      </w:r>
    </w:p>
    <w:p w14:paraId="4564D49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3D513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весны 1944 года начавшееся оснащение еще одного 362 полка в составе 45-й дивизии самолетами Пе-8 было приостановлено, и полк начал получать и осваивать В-25. Более того, Пе-8 начали выводить из состава 890-го полка и заменять их на "Митчеллы". Пе-8 производилось не так много, всего 1-2 машины в месяц, в январе в 45-й дивизии имелось 20 Пе-8, к лету их число довели до 30 машин. Учитывая, что с весны 1944 года официально производство Пе-8 прекратили и новые Пе-8 могли выпускать только за счет оставшегося на заводе №22 задела, то это количество, с учетом потерь, вскоре должно было резко сократиться (7685).</w:t>
      </w:r>
    </w:p>
    <w:p w14:paraId="736298E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91C16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весны 1944 г. оснащение Пе-8 третьего полка дивизии, 362-го, приостановили; он стал осваивать В-25. Начали выводить Пе-8 и из состава 890-го полка, заменяя теми же В-25. При этом тяжёлых бомбардировщиков имелось ещё довольно многа-в январе 1945 г. в дивизии насчитывалось 20 таких машин. Но они не летали. В 890-м полку практически все самолёты стояли на земле, в воздух поднимался только старенький "дублёр". К маю 1945 г. в строю имелось 32 Пе-8. Но 9 мая лишь одна машина из 890-го полка обеспечивала праздничный салют над Москвой (11996).</w:t>
      </w:r>
    </w:p>
    <w:p w14:paraId="7AB51EE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1703EC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Всего до весны 1944 г. на головы врага сбросили 13 ФАБ-5000. 1944 г. стал последним в боевой карьере Пе-8. Причин этому было несколько. Красная Армия стремительно приближалась к границам рейха. Теперь приходилось сталкиваться с мощной системой ПВО немцев, имевшей опыт борьбы с соединениями американских и английских бомбардировщиков. Командование решило сберечь на будущее немногочисленные советские "летающие крепости". Да и особой нужды </w:t>
      </w:r>
      <w:r w:rsidRPr="007224C3">
        <w:rPr>
          <w:rFonts w:ascii="Times New Roman" w:hAnsi="Times New Roman"/>
          <w:color w:val="000000" w:themeColor="text1"/>
          <w:sz w:val="16"/>
          <w:szCs w:val="16"/>
        </w:rPr>
        <w:lastRenderedPageBreak/>
        <w:t>в них не было - дальности Ил-4 и В-25 вполне хватало, чтобы "накрыть" остававшуюся у противника территорию. Кроме того, учли разрушения планёра Пе-8, описанные ранее (11996).</w:t>
      </w:r>
    </w:p>
    <w:p w14:paraId="1A24C8E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03D499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Весной 1944 г. поставки новых самолетов позволили сформировать в составе дивизии еще один полк - 362-й. В него поначалу передали 4 Пе-8, которые вместе с экипажами вывели из состава 25-го Гвардейского и 890- го авиаполков. Одновременно в дивизию стали поступать американские бомбардировщики Б-25, поэтому позднее 362-й дбап использовал эти самолеты, а четырехмоторные корабли вернул прежним владельцам. Американские Б-25 оказались надежными и вполне добротными самолетами. После того как 45-я дивизия начала перебазирование из Кратово на запад, их дальности вполне хватало практически для всех объектов бомбометания. Поставки Б-25 в Красную Армию продолжались, и ими впоследствии начали комплектовать и 890-й дбап (12025).</w:t>
      </w:r>
    </w:p>
    <w:p w14:paraId="1A3D451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B8FE99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Весной 1944 г. 105-й гвардейский и 13-й полки участвовали в операции "Звездочка" - вывозе детей из тыла противника. Воспитанников детских домов немцы использовали как принудительных доноров, выкачивая из них кровь. Партизаны разгромили созданные для детей лагеря и вывезли их в лес, откуда их начали забирать У-2 и Р-5. В ходе операции подвиг совершил лейтенант А. Мамкин. На борту его Р-5 находились девять детей, сопровождавшая их женщина и два раненых партизана. Немецкий ночной истребитель поджег самолет. На раненом Мамкине горела одежда, но он продолжал лететь через линию фронта. Выбрав площадку на замерзшем болоте, пилот пошел на посадку. При ударе о кочки его выбросило из кабины. Все пассажиры спаслись, Мамкин скончался от ран и ожогов (12034).</w:t>
      </w:r>
    </w:p>
    <w:p w14:paraId="1B00C06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6E165D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Весной 1944 года 36 полк ЧМФ полностью перевооружили с Б-3 на A-20G и превратили в мннно-торпедный полк, но в этом качестве в апреле тою же года перевели на Северный флот (3457,107).</w:t>
      </w:r>
    </w:p>
    <w:p w14:paraId="100CB4B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7D682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Весной 1944 г. вновь была увеличена численность личного состава полка СУ-85 до 318 чел. при численности машин 21 шт. (11417).</w:t>
      </w:r>
    </w:p>
    <w:p w14:paraId="3011AFA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8C93C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С весны 1944 года тяжелые самоходно-артиллерийские полки СУ-152 перевооружались установками ИСУ-152 и ИСУ-122. Их переводили на новые штаты и всем присваивали звание гвардейских. Всего до конца войны было сформировано 56 таких полков, в каждом имелась 21 машина ИСУ-152 или ИСУ-122 (часть из этих полков — смешанного состава). 1 марта 1945 года 143-я отдельная танковая Невельская бригада в Белорусско-литовском военном округе была переформирована в 66-ю гвардейскую Невельскую тяжелую самоходно-артиллерийскую бригаду РВГК трехполкового состава (1804 человека, 65 ИСУ-122, 3 СУ-76). </w:t>
      </w:r>
    </w:p>
    <w:p w14:paraId="790EFC2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Тяжелые самоходно-артиллерийские полки, приданные танковым и стрелковым частям и соединениям, в первую очередь использовались для поддержки пехоты и танков в наступлении. Следуя в их боевых порядках, САУ уничтожали огневые точки противника и обеспечивали пехоте и танкам успешное продвижение. В этой фазе наступления САУ становились одним из основных средств отражения танковых контратак. В ряде случаев им приходилось выдвигаться вперед боевых порядков своих войск и принимать удар на себя, обеспечивая тем самым свободу маневра поддерживаемых танков. </w:t>
      </w:r>
    </w:p>
    <w:p w14:paraId="4EEC7ED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Так, например, 15 января 1945 года в Восточной Пруссии, в районе Борове, немцы силою до одного полка мотопехоты при поддержке танков и самоходных орудий контратаковали боевые порядки нашей наступавшей пехоты, вместе с которой действовал 390-й гвардейский тяжелый самоходно-артиллерийский полк. </w:t>
      </w:r>
    </w:p>
    <w:p w14:paraId="61CA148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Пехота под давлением превосходящих сил противника отошла за боевые порядки самоходчиков, встретивших удар немцев сосредоточенным огнем и прикрывших поддерживаемые подразделения. Контратака была отбита, и пехота вновь получила возможность продолжать свое наступление (11638).</w:t>
      </w:r>
    </w:p>
    <w:p w14:paraId="208281D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9BD010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весне 1944 г. танк «Пантера» стал широко распространенной моделью на всех фронтах (11135).</w:t>
      </w:r>
    </w:p>
    <w:p w14:paraId="72DD728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7EE6EE"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Внешняя политика:</w:t>
      </w:r>
    </w:p>
    <w:p w14:paraId="036DFC2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D6E0BE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Весной 1944 г. ситуация в Синьцзяне обострилась еще больше. Попытка правительственных сил выселить казахское население из районов, приграничных с советским Казахстаном, привела к массовой миграции казахов на территорию Внешней Монголии. Преследуя их, китайские формирования продвинулись на монгольскую территорию. Произошло несколько вооруженных столкновений китайских сил с монгольскими формированиями. Советский Союз неофициально дал понять правительству Чан Кайши, что не остановится перед оказанием военной поддержки Монголии, если китайские войска окажутся на ее территории повторно. Попытки Чунцина повлиять на Москву через посредничество США ни к чему не привели. Американская администрация категорически отказалась вмешиваться в советско-китайские трения (3871).</w:t>
      </w:r>
    </w:p>
    <w:p w14:paraId="71CC54B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DA0316" w14:textId="77777777" w:rsidR="00172E22" w:rsidRPr="007224C3" w:rsidRDefault="00172E22"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Весной 1944 г. американские эксперты остановились на сумме 37 млрд долларов германских репараций с постепенной выплатой в течение 12 лет (в качестве альтернативы была предложена возможность выплаты 14 млрд долларов, но за более короткий срок). Осенью 1944 г. специалисты Управления по внешнеэкономической деятельности, опираясь на данные о немецких военных расходах в 1938 г., предположили, что Германия в состоянии заплатить более 200 млрд долларов в течение 12—15 лет (после покрытия расходов на оккупацию и финансирования импорта), однако это предложение было отвергнуто, как непомерно завышенное [Backer, 1981. S. 33ff.] 11 . Часть репараций предполагалось возместить за счет иностранных активов и демонтажа оборудования. Основной же объем обязательств мог быть покрыт за счет изъятий из действующего производства. В Вашингтоне думали о том, чтобы смягчить деструктивные для мировой экономики последствия репараций: германская промышленность должна была работать на послевоенное восстановление Европы [Karlsch, 1993(a). S. 18]. Другой неназываемой вслух причиной взимания репараций в виде поставок готовой продукции было стремление не допустить увеличения советского промышленного потенциала за счет немецкого, сохранить производство в Германии под межсоюзным (или американским) контролем (19850).</w:t>
      </w:r>
    </w:p>
    <w:p w14:paraId="34B53557" w14:textId="77777777" w:rsidR="00172E22" w:rsidRPr="007224C3" w:rsidRDefault="00172E22" w:rsidP="007224C3">
      <w:pPr>
        <w:spacing w:after="0" w:line="240" w:lineRule="auto"/>
        <w:jc w:val="both"/>
        <w:rPr>
          <w:rFonts w:ascii="Times New Roman" w:hAnsi="Times New Roman"/>
          <w:color w:val="000000" w:themeColor="text1"/>
          <w:sz w:val="16"/>
          <w:szCs w:val="16"/>
        </w:rPr>
      </w:pPr>
    </w:p>
    <w:p w14:paraId="26CC15FC" w14:textId="77777777" w:rsidR="00552857"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7E74340B" w14:textId="77777777" w:rsidR="00552857" w:rsidRPr="007224C3" w:rsidRDefault="00552857"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AFD7F7C" w14:textId="77777777" w:rsidR="00222A2A" w:rsidRPr="007224C3" w:rsidRDefault="00222A2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Весной 1944 года RLM опубликовало спецификацию на небольшой скоростной истребитель-перехватчик. Для участия в конкурсе были представлены самолеты Messerschmitt P.1104, Heinkel P1077 Julia и Junkers EF 126 Dolly. Практически сразу был отвергнут проект EF.126 с пульсирующим воздушно-реактивным двигателем Argus. Взамен EF.126 был предложен проект EF.127 с ракетным двигателем Walter HWK. EF.127 был предложен RLM в рамках программы "Jager-Notprogramm". Весной 1945 года на заводах Junkers в Дассау был изготовлена полномасштабная модель самолета и началось производство первого прототипа. Завершению работ помешало окончание Второй Мировой войны. В октябре 1945 года советские военные осмотрев производственные мощности в Дассау и предложили специалистам фирмы Junkers окончить работы над прототипом. В 1946 году после проведения исследований модели самолета было заказано строительство пяти прототипов самолета. В мае 1946 года был закончен первый бездвигательный прототип самолета EF.126 V1. Впервые он "полетел" прикрепленный к Ju.88G6 под присмотром конструктора Ханса Шрейбера. Но уже 21 мая первый прототип был потерян. В аварии погиб пилот-испытатель фирмы Маттекус. Не смотря на аварию работы продолжались, и в июне 1946 года состоялся первый полет самолета (15139).</w:t>
      </w:r>
    </w:p>
    <w:p w14:paraId="7A108AB1" w14:textId="77777777" w:rsidR="00222A2A" w:rsidRPr="007224C3" w:rsidRDefault="00222A2A" w:rsidP="007224C3">
      <w:pPr>
        <w:spacing w:after="0" w:line="240" w:lineRule="auto"/>
        <w:jc w:val="both"/>
        <w:rPr>
          <w:rFonts w:ascii="Times New Roman" w:hAnsi="Times New Roman"/>
          <w:color w:val="000000" w:themeColor="text1"/>
          <w:sz w:val="16"/>
          <w:szCs w:val="16"/>
        </w:rPr>
      </w:pPr>
    </w:p>
    <w:p w14:paraId="67A58F8D" w14:textId="77777777" w:rsidR="00222A2A" w:rsidRPr="007224C3" w:rsidRDefault="00222A2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Весной 1944г. были проведены первые успешные испытания безмоторного прототипа будущего Go.229. Начались работы над второй машиной. Из-за неготовности к этому времени турбореактивных двигателей ВМW-003 на втором опытном самолете было решено установить Jumo-004, что потребовало внести в конструкцию некоторые изменения. Но-IX-V2 был спроектирован из расчета на перегрузку 7, что с запасом прочности 1.8 давало разрушающую перегрузку 12.6. Центроплан сварной из стальных труб с фанерной обшивкой (за исключением района выхлопных сопел моторов, обшитого стальным листом). Консоли цельнодеревянной конструкции с металлическими законцовками. Передняя кромка выполнялась из так называемого литого дерева, представлявшего собой прессованый с резиной опилки. Остальная поверхность крыла обшивалась фанерой. Крыло с одним основным лонжероном и одним вспомогательным, к которому крепились рулевые поверхности. Баков в каждом крыле было четыре - по два за и перед лонжероном. Два ТРД Jumo-004В монтировались близко к линии симметрии. Шасси трехстоечное; носовое колесо убиралось назад, основные стойки - к линии симметрии. Для сокращения пробега был предусмотрен тормозной парашют. Продольная и поперечная управляемость обеспечивалась элевонами, которые вместе с закрылками занимали всю заднюю кромку крыла. Закрылки были связаны со спойлерами, расположенными сразу за стойками шасси. Управление по курсу осуществлялось спойлерами на консолях сразу за главным лонжероном. При этом использовалась пара спойлеров разной длины на верхней и нижней поверхности крыла. Таким образом обеспечивалось нормальное управление самолета на малых и больших скоростях. На стадии полного производства работ и подключилась "Готаер вагонфабрик", получившая задание довести конструкцию до серийного производства. Дальнейшие работы по самолету были переданы конструкторскому бюро ГВФ. Самолет получил обозначение Go.229, и в начале лета 1944г. был выдан контракт на семь опытных и 20 предсерийных самолетов. Конструктора "Готы" практически не изменили конструкции, но переделали кабину, оснастив ее простейшим катапультируемым сиденьем. Была введена система обдува холодным воздухом обшивки в районе сопел двигателей. Предусматривалась установка четырех пушек МК-103 или МК-108 рядом с двигателями. Под центроплан можно было подвесить две 1000кг бомбы или два 1250л бака. Была спроектирована и двухместная всепогодная версия Go.229b под локатор сантиметрового диапазона FuG-244 "Бремен" в удлиненном носовом обтекателе. Второй и третий самолеты постройки ГВФ - V4 и V5 были прототипами этой серии. Пока на ГВФ разворачивалось серийное производство, в Геттингене в январе 1945г. был закончен Но-IХ-V2, перевезенный в Ораниенберг для летных испытаний. На первые полеты носовая стойка шасси была заблокирована в выпущенном положении. При нормальном взлетном весе </w:t>
      </w:r>
      <w:r w:rsidRPr="007224C3">
        <w:rPr>
          <w:rFonts w:ascii="Times New Roman" w:hAnsi="Times New Roman"/>
          <w:color w:val="000000" w:themeColor="text1"/>
          <w:sz w:val="16"/>
          <w:szCs w:val="16"/>
        </w:rPr>
        <w:lastRenderedPageBreak/>
        <w:t>скорость отрыва была 150км/ч при разбеге в 500 м. Управляемость оправдала самые оптимистичные предположения. В марте носовое колесо стали убирать в полете. Была достигнута скорость 795км/ч, но во время посадки правый двигатель заглох. Пилот лейтенант Циллер катапультировался, самолет перевернулся, упал на землю и сгорел. Всего опытный самолет налетал два часа. Сборка следующего опытного самолета в Фридрихсроде уже заканчивалась. Go.229-VЗ должен был стать первым прототипом серийного Go.229a. V4 и V5 были прототипами Go.229b - двухместного всепогодного истребителя. V6 был вторым опытным самолетом серии А с пушками МК-103 вместо МК-108. V7 должен был стать учебным двухместным вариантом (15139).</w:t>
      </w:r>
    </w:p>
    <w:p w14:paraId="5580F9C0" w14:textId="77777777" w:rsidR="00222A2A" w:rsidRPr="007224C3" w:rsidRDefault="00222A2A" w:rsidP="007224C3">
      <w:pPr>
        <w:spacing w:after="0" w:line="240" w:lineRule="auto"/>
        <w:jc w:val="both"/>
        <w:rPr>
          <w:rFonts w:ascii="Times New Roman" w:hAnsi="Times New Roman"/>
          <w:color w:val="000000" w:themeColor="text1"/>
          <w:sz w:val="16"/>
          <w:szCs w:val="16"/>
        </w:rPr>
      </w:pPr>
    </w:p>
    <w:p w14:paraId="6723B6C5" w14:textId="77777777" w:rsidR="00497945" w:rsidRPr="007224C3" w:rsidRDefault="00497945" w:rsidP="007224C3">
      <w:pPr>
        <w:shd w:val="clear" w:color="auto" w:fill="FFFFFF"/>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Для весны 1944 года скорость He.111 в 480 км/ч была явно недостаточной. Фирма не оставляла попыток спасти безнадежно устаревший самолет, используя все возможности, но тщетно. Ни высотный He.111V32 с моторами DB 603U с турбокомпрессорами TK 9AC, ни фантастический сдвоенный He.111Z «Цвилинг», который проектировали для буксировки сверхтяжелых десантных планеров, но который в частях пытались использовать и как стратегический бомбардировщик, не смогли ничего изменить (22822).</w:t>
      </w:r>
    </w:p>
    <w:p w14:paraId="602796E1" w14:textId="77777777" w:rsidR="00497945" w:rsidRPr="007224C3" w:rsidRDefault="00497945" w:rsidP="007224C3">
      <w:pPr>
        <w:shd w:val="clear" w:color="auto" w:fill="FFFFFF"/>
        <w:spacing w:after="0" w:line="240" w:lineRule="auto"/>
        <w:jc w:val="both"/>
        <w:rPr>
          <w:rFonts w:ascii="Times New Roman" w:hAnsi="Times New Roman"/>
          <w:color w:val="0070C0"/>
          <w:sz w:val="16"/>
          <w:szCs w:val="16"/>
        </w:rPr>
      </w:pPr>
    </w:p>
    <w:p w14:paraId="69D4247B" w14:textId="77777777" w:rsidR="00497945" w:rsidRPr="007224C3" w:rsidRDefault="00497945" w:rsidP="007224C3">
      <w:pPr>
        <w:shd w:val="clear" w:color="auto" w:fill="FFFFFF"/>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Весной 1944 года первые постановщики помех были направлены в 199-ю эскадрилью, к лету на выполнение задач радиоэлектронной борьбы (РЭБ) была подготовлена вся 100-я авиагруппа Бомбардировочного Командования, а впервые новая тактика, получившая наименование «Виндоуз» (самолеты РЭБ должны были пробивать «окна» во вражеском радиолокационном поле), была использована в «день Д» пятого июня 1944, когда началась высадка Союзников в Нормандии и освобождение Северо-Западной Европы. Вслед за 199-й к «прорубанию окон» подключились 214-я, 223-я и другие эскадрильи «стирлингов», они обеспечивали проход соединений тяжелых бомбардировщиков В-17, В-24, «Ланкастер» и «Галифакс» сквозь рубежи ПВО.</w:t>
      </w:r>
    </w:p>
    <w:p w14:paraId="0A886E5C" w14:textId="77777777" w:rsidR="00497945" w:rsidRPr="007224C3" w:rsidRDefault="00497945" w:rsidP="007224C3">
      <w:pPr>
        <w:shd w:val="clear" w:color="auto" w:fill="FFFFFF"/>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Оборудование РЭБ «Мэндрил» было громоздким, и огромный бомбоотсек «Стирлинга» как нельзя лучше подходил для его размещения. Под фюзеляжем поставили 8 антенн приемников и патрубки для выброса фольги, а также антенны системы «свой — чужой» и системы наведения «Джи», а на хвостовой части смонтировали антенну РЛС заднего обзора «Моника», предназначенную для своевременного обнаружения атакующих ночных перехватчиков (22923).</w:t>
      </w:r>
    </w:p>
    <w:p w14:paraId="2EFE7393" w14:textId="77777777" w:rsidR="00497945" w:rsidRPr="007224C3" w:rsidRDefault="00497945" w:rsidP="007224C3">
      <w:pPr>
        <w:shd w:val="clear" w:color="auto" w:fill="FFFFFF"/>
        <w:spacing w:after="0" w:line="240" w:lineRule="auto"/>
        <w:jc w:val="both"/>
        <w:rPr>
          <w:rFonts w:ascii="Times New Roman" w:hAnsi="Times New Roman"/>
          <w:color w:val="0070C0"/>
          <w:sz w:val="16"/>
          <w:szCs w:val="16"/>
        </w:rPr>
      </w:pPr>
    </w:p>
    <w:p w14:paraId="72A4920F" w14:textId="77777777" w:rsidR="00497945" w:rsidRPr="007224C3" w:rsidRDefault="00497945" w:rsidP="007224C3">
      <w:pPr>
        <w:shd w:val="clear" w:color="auto" w:fill="FFFFFF"/>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Весной 1944 года благодаря усилиям Правительства США снабжение носовыми стрелковыми точками Эмерсон А-15 возобновилось и из стали ставить со 181-го серийного самолета В-24 в Сан-Диего и с 41-го в Форт-Уорсе. Тогда же было внедрено еще более важное улучшение — вместо старого автопилота А-5 стали ставить новый Хониуэлл С-1, который имел электрические рулевые машины с малым временем реакции и высокой точностью отработки команд. Автопилот С-1 позволял штурману-бомбардиру вносить поправки в курс в ходе прицеливания и дал возможность заменить устаревший бомбардировочный прицел Сперри S-1 высокоточным Норден М-1. Филиал «Консолидейтед Валти Модификейшн Сентер» на базе узлов спаренной установки Белл М-6 спроектировал для В-24 облегченную хвостовую турель М-6А «Стингер». Благодаря применению легких и конструктивно простых обратимых гидроусилителей вместо гидромоторов она была по сравнению со стандартной А-6А легче на 91 кг, а обзор для стрелка стал шире (22865).</w:t>
      </w:r>
    </w:p>
    <w:p w14:paraId="2E844A7A" w14:textId="77777777" w:rsidR="00497945" w:rsidRPr="007224C3" w:rsidRDefault="00497945" w:rsidP="007224C3">
      <w:pPr>
        <w:shd w:val="clear" w:color="auto" w:fill="FFFFFF"/>
        <w:spacing w:after="0" w:line="240" w:lineRule="auto"/>
        <w:jc w:val="both"/>
        <w:rPr>
          <w:rFonts w:ascii="Times New Roman" w:hAnsi="Times New Roman"/>
          <w:color w:val="0070C0"/>
          <w:sz w:val="16"/>
          <w:szCs w:val="16"/>
        </w:rPr>
      </w:pPr>
    </w:p>
    <w:p w14:paraId="34163731" w14:textId="77777777" w:rsidR="00497945" w:rsidRPr="007224C3" w:rsidRDefault="00497945" w:rsidP="007224C3">
      <w:pPr>
        <w:pStyle w:val="115"/>
        <w:shd w:val="clear" w:color="auto" w:fill="auto"/>
        <w:spacing w:after="0" w:line="240" w:lineRule="auto"/>
        <w:jc w:val="both"/>
        <w:rPr>
          <w:rFonts w:ascii="Times New Roman" w:hAnsi="Times New Roman" w:cs="Times New Roman"/>
          <w:color w:val="0070C0"/>
          <w:sz w:val="16"/>
          <w:szCs w:val="16"/>
        </w:rPr>
      </w:pPr>
      <w:r w:rsidRPr="007224C3">
        <w:rPr>
          <w:rFonts w:ascii="Times New Roman" w:hAnsi="Times New Roman" w:cs="Times New Roman"/>
          <w:color w:val="0070C0"/>
          <w:sz w:val="16"/>
          <w:szCs w:val="16"/>
        </w:rPr>
        <w:t>Весной 1944 г. «Толлбой» был готов к использованию. Первый налет с этими бомбами был совершен 8 июня на важный железнодорожный тоннель Сомюр во Франции. Германская танковая дивизия выдвигалась по железной дороге из Бордо к плацдарму союзников. Поезда с бронетехникой должны были проследовать через тоннель Сомюр, лежащий в сотне миль от берега. Надо было заблокировать тоннель, прежде чем поезда пройдут через него (22888).</w:t>
      </w:r>
    </w:p>
    <w:p w14:paraId="53501AF5" w14:textId="77777777" w:rsidR="00497945" w:rsidRPr="007224C3" w:rsidRDefault="00497945" w:rsidP="007224C3">
      <w:pPr>
        <w:pStyle w:val="115"/>
        <w:shd w:val="clear" w:color="auto" w:fill="auto"/>
        <w:spacing w:after="0" w:line="240" w:lineRule="auto"/>
        <w:jc w:val="both"/>
        <w:rPr>
          <w:rFonts w:ascii="Times New Roman" w:hAnsi="Times New Roman" w:cs="Times New Roman"/>
          <w:color w:val="0070C0"/>
          <w:sz w:val="16"/>
          <w:szCs w:val="16"/>
        </w:rPr>
      </w:pPr>
    </w:p>
    <w:p w14:paraId="4FFA194F" w14:textId="77777777" w:rsidR="00222A2A" w:rsidRPr="007224C3" w:rsidRDefault="00222A2A" w:rsidP="007224C3">
      <w:pPr>
        <w:pStyle w:val="ae"/>
        <w:shd w:val="clear" w:color="auto" w:fill="FFFFFF"/>
        <w:spacing w:before="0" w:after="0"/>
        <w:jc w:val="both"/>
        <w:rPr>
          <w:color w:val="000000" w:themeColor="text1"/>
          <w:sz w:val="16"/>
          <w:szCs w:val="16"/>
        </w:rPr>
      </w:pPr>
      <w:r w:rsidRPr="007224C3">
        <w:rPr>
          <w:color w:val="000000" w:themeColor="text1"/>
          <w:sz w:val="16"/>
          <w:szCs w:val="16"/>
        </w:rPr>
        <w:t>Весной 1944 года в следующий раз вспомнили о «Кромвелях» (15737).</w:t>
      </w:r>
    </w:p>
    <w:p w14:paraId="48A9CE61" w14:textId="77777777" w:rsidR="00222A2A" w:rsidRPr="007224C3" w:rsidRDefault="00222A2A" w:rsidP="007224C3">
      <w:pPr>
        <w:pStyle w:val="ae"/>
        <w:shd w:val="clear" w:color="auto" w:fill="FFFFFF"/>
        <w:spacing w:before="0" w:after="0"/>
        <w:jc w:val="both"/>
        <w:rPr>
          <w:color w:val="000000" w:themeColor="text1"/>
          <w:sz w:val="16"/>
          <w:szCs w:val="16"/>
        </w:rPr>
      </w:pPr>
    </w:p>
    <w:p w14:paraId="355F418C" w14:textId="77777777" w:rsidR="00552857" w:rsidRPr="007224C3" w:rsidRDefault="0055285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Весной 1944 г. на территорию Мон</w:t>
      </w:r>
      <w:r w:rsidRPr="007224C3">
        <w:rPr>
          <w:rFonts w:ascii="Times New Roman" w:hAnsi="Times New Roman"/>
          <w:color w:val="000000" w:themeColor="text1"/>
          <w:sz w:val="16"/>
          <w:szCs w:val="16"/>
        </w:rPr>
        <w:softHyphen/>
        <w:t>голии из Китая перебрались казахские повстанцы, возглавляемые Осман-Баатаром. Преследуя их, границу перешли китайские войска. Против них выступили монголы. Пехоту и кавалерию поддержи</w:t>
      </w:r>
      <w:r w:rsidRPr="007224C3">
        <w:rPr>
          <w:rFonts w:ascii="Times New Roman" w:hAnsi="Times New Roman"/>
          <w:color w:val="000000" w:themeColor="text1"/>
          <w:sz w:val="16"/>
          <w:szCs w:val="16"/>
        </w:rPr>
        <w:softHyphen/>
        <w:t>вали два авиационных подразделения, укомплектованных И-15бис, Р-5 и во</w:t>
      </w:r>
      <w:r w:rsidRPr="007224C3">
        <w:rPr>
          <w:rFonts w:ascii="Times New Roman" w:hAnsi="Times New Roman"/>
          <w:color w:val="000000" w:themeColor="text1"/>
          <w:sz w:val="16"/>
          <w:szCs w:val="16"/>
        </w:rPr>
        <w:softHyphen/>
        <w:t>оружёнными У-2. С утра 11 апреля они начали бомбить и обстреливать китай</w:t>
      </w:r>
      <w:r w:rsidRPr="007224C3">
        <w:rPr>
          <w:rFonts w:ascii="Times New Roman" w:hAnsi="Times New Roman"/>
          <w:color w:val="000000" w:themeColor="text1"/>
          <w:sz w:val="16"/>
          <w:szCs w:val="16"/>
        </w:rPr>
        <w:softHyphen/>
        <w:t>ские войска. Всего монгольские лётчики совершили 57 (по другим данным - 59) боевых вылетов. Китайские войска ото</w:t>
      </w:r>
      <w:r w:rsidRPr="007224C3">
        <w:rPr>
          <w:rFonts w:ascii="Times New Roman" w:hAnsi="Times New Roman"/>
          <w:color w:val="000000" w:themeColor="text1"/>
          <w:sz w:val="16"/>
          <w:szCs w:val="16"/>
        </w:rPr>
        <w:softHyphen/>
        <w:t>шли, а правительство Чан Кайши за</w:t>
      </w:r>
      <w:r w:rsidRPr="007224C3">
        <w:rPr>
          <w:rFonts w:ascii="Times New Roman" w:hAnsi="Times New Roman"/>
          <w:color w:val="000000" w:themeColor="text1"/>
          <w:sz w:val="16"/>
          <w:szCs w:val="16"/>
        </w:rPr>
        <w:softHyphen/>
        <w:t>явило протест, мотивируя это тем, что боевые действия, дескать, велись на китайской территории.</w:t>
      </w:r>
    </w:p>
    <w:p w14:paraId="22625753" w14:textId="77777777" w:rsidR="00552857" w:rsidRPr="007224C3" w:rsidRDefault="0055285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Одна эскадрилья монгольских «бисов» в августе 1945 г. участвовала в операциях против Квантунской армии японцев (12294).</w:t>
      </w:r>
    </w:p>
    <w:p w14:paraId="31BCDF39" w14:textId="77777777" w:rsidR="00552857" w:rsidRPr="007224C3" w:rsidRDefault="00552857" w:rsidP="007224C3">
      <w:pPr>
        <w:spacing w:after="0" w:line="240" w:lineRule="auto"/>
        <w:jc w:val="both"/>
        <w:rPr>
          <w:rFonts w:ascii="Times New Roman" w:hAnsi="Times New Roman"/>
          <w:color w:val="000000" w:themeColor="text1"/>
          <w:sz w:val="16"/>
          <w:szCs w:val="16"/>
        </w:rPr>
      </w:pPr>
    </w:p>
    <w:p w14:paraId="35CC5FE8"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7C8804B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92A04F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Весной-летом 1944 г. прошли испытания стабилизатора 85-мм танковой пушки в вертикальной плоскости. Этот стабилизатор был разработан специаль</w:t>
      </w:r>
      <w:r w:rsidRPr="007224C3">
        <w:rPr>
          <w:rFonts w:ascii="Times New Roman" w:hAnsi="Times New Roman"/>
          <w:color w:val="000000" w:themeColor="text1"/>
          <w:sz w:val="16"/>
          <w:szCs w:val="16"/>
        </w:rPr>
        <w:softHyphen/>
        <w:t>ным конструкторским бюро Наркомата судостроения под руководством А. Атовмьяна по теме «Таран». Особенностями его конструкции было то, что собственно гироскоп, раскручиваемый трехфазным асинхронным двигателем, не располагался на орудии, но управлял цепями питания пом</w:t>
      </w:r>
      <w:r w:rsidRPr="007224C3">
        <w:rPr>
          <w:rFonts w:ascii="Times New Roman" w:hAnsi="Times New Roman"/>
          <w:color w:val="000000" w:themeColor="text1"/>
          <w:sz w:val="16"/>
          <w:szCs w:val="16"/>
        </w:rPr>
        <w:softHyphen/>
        <w:t>пы гидравлического привода силовой части. Для питания ; гироскопа в танке устанавливался преобразователь посто-; янного тока ГКЗ-Т на основе электродвигателя постоянно-: го тока на 24 В и генератора трехфазной сети напряжением В и частотой 275 Гц. Потребляемая мощность стабилиза</w:t>
      </w:r>
      <w:r w:rsidRPr="007224C3">
        <w:rPr>
          <w:rFonts w:ascii="Times New Roman" w:hAnsi="Times New Roman"/>
          <w:color w:val="000000" w:themeColor="text1"/>
          <w:sz w:val="16"/>
          <w:szCs w:val="16"/>
        </w:rPr>
        <w:softHyphen/>
        <w:t>тора составляла 550 Вт, время запуска — 4,5 мин. Первые испытания макетного образца состоялись в марте-апреле 1944 г. в Кубинке, но закончились не вполне удачно, так как орудие ЗИС-С-53 имело больший вес, нежели С-53 (у С-53 бьши более тонкие стенки ствола) и потому больший момент инерции, что увеличивало время реакции испол</w:t>
      </w:r>
      <w:r w:rsidRPr="007224C3">
        <w:rPr>
          <w:rFonts w:ascii="Times New Roman" w:hAnsi="Times New Roman"/>
          <w:color w:val="000000" w:themeColor="text1"/>
          <w:sz w:val="16"/>
          <w:szCs w:val="16"/>
        </w:rPr>
        <w:softHyphen/>
        <w:t>нительных механизмов и ухудшало результаты стрельбы.</w:t>
      </w:r>
    </w:p>
    <w:p w14:paraId="2C0CACB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После этого стабилизатор СТП-С-53 «Таран» был дора</w:t>
      </w:r>
      <w:r w:rsidRPr="007224C3">
        <w:rPr>
          <w:rFonts w:ascii="Times New Roman" w:hAnsi="Times New Roman"/>
          <w:color w:val="000000" w:themeColor="text1"/>
          <w:sz w:val="16"/>
          <w:szCs w:val="16"/>
        </w:rPr>
        <w:softHyphen/>
        <w:t>ботан и в конце 1944 г. им бьши оснащены 4 специально пе</w:t>
      </w:r>
      <w:r w:rsidRPr="007224C3">
        <w:rPr>
          <w:rFonts w:ascii="Times New Roman" w:hAnsi="Times New Roman"/>
          <w:color w:val="000000" w:themeColor="text1"/>
          <w:sz w:val="16"/>
          <w:szCs w:val="16"/>
        </w:rPr>
        <w:softHyphen/>
        <w:t>реоборудованные танка (названные разработчиком Т-34-85-СТ), проходившие испытания в начале 1945 г. Испытания показали многообещающие результаты. Стабилизатор облег</w:t>
      </w:r>
      <w:r w:rsidRPr="007224C3">
        <w:rPr>
          <w:rFonts w:ascii="Times New Roman" w:hAnsi="Times New Roman"/>
          <w:color w:val="000000" w:themeColor="text1"/>
          <w:sz w:val="16"/>
          <w:szCs w:val="16"/>
        </w:rPr>
        <w:softHyphen/>
        <w:t>чал наводчику операцию вертикальной наводки орудия в движении по слабопересеченной местности, а условия про</w:t>
      </w:r>
      <w:r w:rsidRPr="007224C3">
        <w:rPr>
          <w:rFonts w:ascii="Times New Roman" w:hAnsi="Times New Roman"/>
          <w:color w:val="000000" w:themeColor="text1"/>
          <w:sz w:val="16"/>
          <w:szCs w:val="16"/>
        </w:rPr>
        <w:softHyphen/>
        <w:t>ведения стрельб на ходу приближались к таковым с места.</w:t>
      </w:r>
    </w:p>
    <w:p w14:paraId="7D4B3C3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Однако стабилизатор работал еще не вполне надежно, а его эксплуатация была под силу только подготовленному экипажу. Поэтому на вооружение он не принимался (11135).</w:t>
      </w:r>
    </w:p>
    <w:p w14:paraId="4A52630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5AEA57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Весной—осенью 1944 г. обе САУ - ОСА-76 и КСП-76 испытывались как раз</w:t>
      </w:r>
      <w:r w:rsidRPr="007224C3">
        <w:rPr>
          <w:rFonts w:ascii="Times New Roman" w:hAnsi="Times New Roman"/>
          <w:color w:val="000000" w:themeColor="text1"/>
          <w:sz w:val="16"/>
          <w:szCs w:val="16"/>
        </w:rPr>
        <w:softHyphen/>
        <w:t>дельно, так и совместно. Несмотря на то, что изначально артиллеристы отдавали большее предпочтение машине КСП, как более привычной в эксплуатации и ремонте (ко</w:t>
      </w:r>
      <w:r w:rsidRPr="007224C3">
        <w:rPr>
          <w:rFonts w:ascii="Times New Roman" w:hAnsi="Times New Roman"/>
          <w:color w:val="000000" w:themeColor="text1"/>
          <w:sz w:val="16"/>
          <w:szCs w:val="16"/>
        </w:rPr>
        <w:softHyphen/>
        <w:t>лесный движитель), в ходе испытаний их мнение измени</w:t>
      </w:r>
      <w:r w:rsidRPr="007224C3">
        <w:rPr>
          <w:rFonts w:ascii="Times New Roman" w:hAnsi="Times New Roman"/>
          <w:color w:val="000000" w:themeColor="text1"/>
          <w:sz w:val="16"/>
          <w:szCs w:val="16"/>
        </w:rPr>
        <w:softHyphen/>
        <w:t>лось, так как КСП-76 явно проигрывала машине завода 38 ввиду большой массы (более 5т.), больших габаритов, чем ОСА-76, при чрезвычайно слабой проходимости по пересе</w:t>
      </w:r>
      <w:r w:rsidRPr="007224C3">
        <w:rPr>
          <w:rFonts w:ascii="Times New Roman" w:hAnsi="Times New Roman"/>
          <w:color w:val="000000" w:themeColor="text1"/>
          <w:sz w:val="16"/>
          <w:szCs w:val="16"/>
        </w:rPr>
        <w:softHyphen/>
        <w:t>ченной местности. Более того, ее применение вне дорог бы</w:t>
      </w:r>
      <w:r w:rsidRPr="007224C3">
        <w:rPr>
          <w:rFonts w:ascii="Times New Roman" w:hAnsi="Times New Roman"/>
          <w:color w:val="000000" w:themeColor="text1"/>
          <w:sz w:val="16"/>
          <w:szCs w:val="16"/>
        </w:rPr>
        <w:softHyphen/>
        <w:t>ло признано невозможным. А проведение стрельб из орудия показало еще и лучшую устойчивость гусеничной версии.</w:t>
      </w:r>
    </w:p>
    <w:p w14:paraId="280DB0F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ОСА-76 завода № 38 была рекомендована для принятия на вооружение при условии ликвидации отмеченных в хо</w:t>
      </w:r>
      <w:r w:rsidRPr="007224C3">
        <w:rPr>
          <w:rFonts w:ascii="Times New Roman" w:hAnsi="Times New Roman"/>
          <w:color w:val="000000" w:themeColor="text1"/>
          <w:sz w:val="16"/>
          <w:szCs w:val="16"/>
        </w:rPr>
        <w:softHyphen/>
        <w:t>де испытаний недостатков.</w:t>
      </w:r>
    </w:p>
    <w:p w14:paraId="304B20E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Предполагалось использовать эту машину «своим хо</w:t>
      </w:r>
      <w:r w:rsidRPr="007224C3">
        <w:rPr>
          <w:rFonts w:ascii="Times New Roman" w:hAnsi="Times New Roman"/>
          <w:color w:val="000000" w:themeColor="text1"/>
          <w:sz w:val="16"/>
          <w:szCs w:val="16"/>
        </w:rPr>
        <w:softHyphen/>
        <w:t>дом» только на поле боя, но проведенные испытания дли</w:t>
      </w:r>
      <w:r w:rsidRPr="007224C3">
        <w:rPr>
          <w:rFonts w:ascii="Times New Roman" w:hAnsi="Times New Roman"/>
          <w:color w:val="000000" w:themeColor="text1"/>
          <w:sz w:val="16"/>
          <w:szCs w:val="16"/>
        </w:rPr>
        <w:softHyphen/>
        <w:t>тельным пробегом в составе колонны СУ-76 показали, что машина имеет очень неплохие ходовые качества не только на пересеченной местности, но и на шоссе. Ее запас хода превышал 220 км, что было достаточно даже для легких са</w:t>
      </w:r>
      <w:r w:rsidRPr="007224C3">
        <w:rPr>
          <w:rFonts w:ascii="Times New Roman" w:hAnsi="Times New Roman"/>
          <w:color w:val="000000" w:themeColor="text1"/>
          <w:sz w:val="16"/>
          <w:szCs w:val="16"/>
        </w:rPr>
        <w:softHyphen/>
        <w:t>моходных установок, а применение для питания «Осы» бензина второго сорта, в том числе и трофейного синтети</w:t>
      </w:r>
      <w:r w:rsidRPr="007224C3">
        <w:rPr>
          <w:rFonts w:ascii="Times New Roman" w:hAnsi="Times New Roman"/>
          <w:color w:val="000000" w:themeColor="text1"/>
          <w:sz w:val="16"/>
          <w:szCs w:val="16"/>
        </w:rPr>
        <w:softHyphen/>
        <w:t>ческого, трудно было переоценить (СУ-76 потребляла бен</w:t>
      </w:r>
      <w:r w:rsidRPr="007224C3">
        <w:rPr>
          <w:rFonts w:ascii="Times New Roman" w:hAnsi="Times New Roman"/>
          <w:color w:val="000000" w:themeColor="text1"/>
          <w:sz w:val="16"/>
          <w:szCs w:val="16"/>
        </w:rPr>
        <w:softHyphen/>
        <w:t>зин не хуже Грозненского). Малый вес САУ обеспечивал ей прекрасную проходимость и привлекал к ней внимание не только артиллеристов, но также танкистов и десантников (11417).</w:t>
      </w:r>
    </w:p>
    <w:p w14:paraId="4D399BE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12F7DC0" w14:textId="0DCF1FEF" w:rsidR="00497945" w:rsidRPr="007224C3" w:rsidRDefault="00497945" w:rsidP="007224C3">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7224C3">
        <w:rPr>
          <w:rFonts w:ascii="Times New Roman" w:hAnsi="Times New Roman"/>
          <w:i/>
          <w:iCs/>
          <w:color w:val="000000" w:themeColor="text1"/>
          <w:sz w:val="16"/>
          <w:szCs w:val="16"/>
        </w:rPr>
        <w:t>За рубежом:</w:t>
      </w:r>
    </w:p>
    <w:p w14:paraId="394B850F" w14:textId="77777777" w:rsidR="00497945" w:rsidRPr="007224C3" w:rsidRDefault="00497945" w:rsidP="007224C3">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5E08BDB5" w14:textId="77777777" w:rsidR="00497945" w:rsidRPr="007224C3" w:rsidRDefault="00497945" w:rsidP="007224C3">
      <w:pPr>
        <w:shd w:val="clear" w:color="auto" w:fill="FFFFFF"/>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С весны 1944 года по август 1945 года Бомбардировочное Командование Королевских ВВС Великобритании (RAF), которое ранее упорно не желали пускать закупаемые в США «либерейторы» на боевые операции над Европой и использовали их только в качестве морских патрульных и транспортных машин, приобрели 1600 «либерейторов» в двух больших партиях, которые разбивались на меньшие лоты. Первая партия, как и купленные ранее B-24G, получила общее наименование «Либерейтор» Mk. VI. Она включала 40 самолетов В-24Н, далее 411 машин B-24J поставил в Англию завод «Консолидейтед» в Сан-Диего, параллельно еще 500 изготовило предприятие в Форт-Уорсе. Они соответствовали самолетам B-24J первых серийных блоков, как и первые 239 «Либерейтор» Mk.VIII второй партии, экспортных вариантов B-24J производства завода «Консолидейтед» в городе ФортУорс. Лишь последние 441 экземпляр Mk.VIII были действительно новыми самолетами (22865).</w:t>
      </w:r>
    </w:p>
    <w:p w14:paraId="1062B734" w14:textId="77777777" w:rsidR="00497945" w:rsidRPr="007224C3" w:rsidRDefault="00497945" w:rsidP="007224C3">
      <w:pPr>
        <w:shd w:val="clear" w:color="auto" w:fill="FFFFFF"/>
        <w:spacing w:after="0" w:line="240" w:lineRule="auto"/>
        <w:jc w:val="both"/>
        <w:rPr>
          <w:rFonts w:ascii="Times New Roman" w:hAnsi="Times New Roman"/>
          <w:color w:val="0070C0"/>
          <w:sz w:val="16"/>
          <w:szCs w:val="16"/>
        </w:rPr>
      </w:pPr>
    </w:p>
    <w:p w14:paraId="361EB4ED" w14:textId="25F8150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530FB0E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C03633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лету 1944 г. на опытном заводе № 156из машины "103" был выполнен двухместный вариант СДБ. В декабре 1943 года командование ВВС предложило НКАП создать на базе машины "103" с двигателями АМ-37 скоростной дневной бомбардировщик СДБ (АНТ-63), но с моторами АМ-39.</w:t>
      </w:r>
    </w:p>
    <w:p w14:paraId="49021D2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этом сохранилась компоновка предшественника. В угоду скорости его стрелковое вооружение ограничили лишь двумя неподвижными орудиями ШBAK в центроплане крыла с боезапасом по 150 патронов на ствол.</w:t>
      </w:r>
    </w:p>
    <w:p w14:paraId="7124674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Первый полет "СДБ" выполнил летчик- испытатель А.Д. Перелет 21 мая 1944 года и спустя десять дней машину передали в НИИ ВВС. Государственные испытания (ведущий летчик М.А. Нюхтиков), начавшиеся 5 июня, заняли месяц. Хотя самолет и продемонстрировал высокую скорость (633 км/ч) и хорошую маневренность, </w:t>
      </w:r>
      <w:r w:rsidRPr="007224C3">
        <w:rPr>
          <w:rFonts w:ascii="Times New Roman" w:hAnsi="Times New Roman"/>
          <w:color w:val="000000" w:themeColor="text1"/>
          <w:sz w:val="16"/>
          <w:szCs w:val="16"/>
        </w:rPr>
        <w:lastRenderedPageBreak/>
        <w:t>испытания он не выдержал. Главные дефекты машины были связаны с плохой работой моторов и недостаточным запасом путевой устойчивости. Военные пожелали ввести в экипаж воздушного стрелка.</w:t>
      </w:r>
    </w:p>
    <w:p w14:paraId="1C9A3AE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Особенностями второго экземпляра машины "63" по сравнению с предшественником был не только экипаж, возросший до трех человек (дополнительно ввели стрелка в задней кабине), но и створки шасси закрывавшиеся как при убранном, так и выпущенном положении основных опор. Управление винтами было секторное, а моторы имели Скоростной дневной дополнительные контуры для охлаждения бомбардировщик ("СДБ") воздуха после нагнетателя перед поступле- на заводских испытаниях нием в двигатель.</w:t>
      </w:r>
    </w:p>
    <w:p w14:paraId="63D16C6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Вооружение помимо двух неподвижных пушек ШВАК с общим боезапасом 300 патронов для стрельбы вперед включало и два пулемета Березина для защиты задней полусферы. Нормальная бомбовая нагрузка - 1000 кг (при полной заправке топливом исходя из прочности колес) в грузовом отсеке, максимально допустимая - 4000 кг.</w:t>
      </w:r>
    </w:p>
    <w:p w14:paraId="7439959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Первый полет на трехместном "СДБ" также выполнил А.Д. Перелет, и в декабре 1944 года машину передали на государственные испытания. 30 декабря 1944 года А. Кузнецов (должность в документе не указана) докладывал наркому А.И. Шахурину:</w:t>
      </w:r>
    </w:p>
    <w:p w14:paraId="602DD08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СДБ с моторами АМ-39 является модификацией самолета "103" с АМ-37, построенного в 1941 г. Самолет испытан в НИИ ВВС в июле 1944 г.</w:t>
      </w:r>
    </w:p>
    <w:p w14:paraId="58A6785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результате установлено:</w:t>
      </w:r>
    </w:p>
    <w:p w14:paraId="056316D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Путевая устойчивость недостаточна.</w:t>
      </w:r>
    </w:p>
    <w:p w14:paraId="456F23C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На скорости менее 350 км/ч по прибору самолет неустойчив:</w:t>
      </w:r>
    </w:p>
    <w:p w14:paraId="53BC203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продольная устойчивость недостаточная, во время выдерживания заданной скорости набора высоты имеют место переменные нагрузки на штурвале от руля высоты.</w:t>
      </w:r>
    </w:p>
    <w:p w14:paraId="732CF48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изменение нагрузок на штурвале от руля высоты сопровождается значительным рысканием и появляются переменные нагрузки на педали.</w:t>
      </w:r>
    </w:p>
    <w:p w14:paraId="1EAD1C3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Поперечная устойчивость относительно путевой избыточна. Самолет имеет тенденцию к раскачиванию с крыла на крыло.</w:t>
      </w:r>
    </w:p>
    <w:p w14:paraId="721FF63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4. Управление рулем поворота слишком легкое, что может привести к передаче (большему отклонению педали - прим. авт.) ноги на виражах и разворотах. </w:t>
      </w:r>
    </w:p>
    <w:p w14:paraId="4F34A6F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Автоматы управления заслонками во- дорадиаторов при работе создают значительный аэродинамический момент &lt;...&gt; и усложняют технику пилотирования.</w:t>
      </w:r>
    </w:p>
    <w:p w14:paraId="31F5502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Пневматические тормоза не эффективны.</w:t>
      </w:r>
    </w:p>
    <w:p w14:paraId="2B11CC6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Винто-моторная группа не доведенная и имеет те же дефекты, что и на самолете "ЮЗ" с АМ-37.</w:t>
      </w:r>
    </w:p>
    <w:p w14:paraId="64DA6CA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Длительная (1,5 часа) и неудобная заправка бензином.</w:t>
      </w:r>
    </w:p>
    <w:p w14:paraId="2A86D3C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Попадание в кабину летчика горячего воздуха.</w:t>
      </w:r>
    </w:p>
    <w:p w14:paraId="1176567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Габариты кабины по высоте малы...</w:t>
      </w:r>
    </w:p>
    <w:p w14:paraId="03E0451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Моторы АМ-39 на 2-й скорости нагнетателя работали неудовлетворительно...</w:t>
      </w:r>
    </w:p>
    <w:p w14:paraId="4DC8254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Построен второй экземпляр СДБ, переданный в НИИ ВВС в октябре. Он имеет экипаж вместо двух - три человека. Новая носовая часть фюзеляжа с измененным обзором. Дополнительно установлены люковая и верхняя стрелковые установки. Объем бензина увеличен до 2400 л.</w:t>
      </w:r>
    </w:p>
    <w:p w14:paraId="1249FF8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Изменена маслосхема, предусмотрено новое бронирование экипажа. Взлетный вес возрос на 650 кг.</w:t>
      </w:r>
    </w:p>
    <w:p w14:paraId="3BDD0B3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самолете "63" на 27 декабря 1944 г. сделано два полета. Во втором полете на высоте 8000 м (15 декабря) вышел из строя мотор".</w:t>
      </w:r>
    </w:p>
    <w:p w14:paraId="2A039AF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Государственные испытания второго экземпляра "СДБ" завершились утверждением 28 июня 1945 года акта по их результатам. </w:t>
      </w:r>
    </w:p>
    <w:p w14:paraId="675CBDB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Основ'ными дефектами "СДБ" были: недостаточная прочность колес размером 1000x350 мм, малоэффективные и ненадежные пневматические тормоза, падение давления масла в двигателях на высотах 5000-7000 метров и отсутствие противо- пыльных фильтров на всасывающих патрубках моторов. Кроме этого, размещение рамки радиополукомпаса РПК-10 под металлической обшивкой самолета, снижало его чувствительность.</w:t>
      </w:r>
    </w:p>
    <w:p w14:paraId="6BE7C47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заключение же специалисты НИИ ВВС, в частности, отметили: "Самолет "63" &lt;...&gt; по своим летно-тактическим данным превосходит однотипные отечественные и иностранные самолеты, но недостаточность обзора штурмана вперед, что затрудняет для него ориентировки, отыскание цели и вывод самолета на цель при бомбометании, значительно снижает его качество как бомбардировщика.</w:t>
      </w:r>
    </w:p>
    <w:p w14:paraId="3569DE8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не может быть рекомендован на вооружение Красной Армии в качестве бомбардировщика".</w:t>
      </w:r>
    </w:p>
    <w:p w14:paraId="398AC94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Примерно в то же время в НИИ ВВС ис- пытывался другой скоростной бомбардировщик Пе-2М, представлявший собой второй экземпляр Пе-2И "Москито" с иным оборонительным вооружением. Государственные испытания Пе-2М с моторами жидкостного охлаждения М-107А, завершившиеся на два месяца позже "СДБ", показали, что максимальная скорость у земли при работе моторов на номинальном режиме на 21 км/ч больше, чем у "СДБ", но на второй границе высотности (5600 метров) она не превышала 630 км/ч, что на 10 км/ч было меньше чем у самолета "63". Правда, не надо забывать, что самолет Туполева имел более слабое оборонительное вооружение по сравнению с Пе-2М (три пушки Б-20 калибра 20 мм, одна из которых неподвижная для стрельбы вперед, другая - у штурмана и третья - люковая). При этом максимальная бомбовая нагрузка Пе-2М была вдвое ниже, чем у "СДБ".</w:t>
      </w:r>
    </w:p>
    <w:p w14:paraId="1C5828F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Сделать же вывод, какой из этих самолетов предпочтительней, должны были, прежде всего, военные. Но этого не произошло, поскольку обе машины государственные испытания не выдержали (12035).</w:t>
      </w:r>
    </w:p>
    <w:p w14:paraId="7D278D5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16598F1" w14:textId="77777777" w:rsidR="00222A2A" w:rsidRPr="007224C3" w:rsidRDefault="00222A2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лету нового 1944 г. снова ждали очередного повышения ЛТД наших истребителей. ОКБ С.А. Лавочкина не могло остаться в стороне. Весь опыт, накопленный в 1942-1943 гг., и ответы на новые требования воплотили в опытной машине «ЗБ», также называемой «эталон Ла-5 1944 года», вышедшей на аэро</w:t>
      </w:r>
      <w:r w:rsidRPr="007224C3">
        <w:rPr>
          <w:rFonts w:ascii="Times New Roman" w:hAnsi="Times New Roman"/>
          <w:color w:val="000000" w:themeColor="text1"/>
          <w:sz w:val="16"/>
          <w:szCs w:val="16"/>
        </w:rPr>
        <w:softHyphen/>
        <w:t>дром в январе 1944 г. Первоначально эту машину проектировали в двух вариантах: с се</w:t>
      </w:r>
      <w:r w:rsidRPr="007224C3">
        <w:rPr>
          <w:rFonts w:ascii="Times New Roman" w:hAnsi="Times New Roman"/>
          <w:color w:val="000000" w:themeColor="text1"/>
          <w:sz w:val="16"/>
          <w:szCs w:val="16"/>
        </w:rPr>
        <w:softHyphen/>
        <w:t>рийным М-82ФН и с улучшенным М-82ФНА (последний был длиннее на 30 мм). Но вскоре стало ясно, что рассчитывать можно лишь на серийный мотор.</w:t>
      </w:r>
    </w:p>
    <w:p w14:paraId="61A9560D" w14:textId="77777777" w:rsidR="00222A2A" w:rsidRPr="007224C3" w:rsidRDefault="00222A2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Принято считать, повышение лётных данных нового истребителя достигалось только за счёт изменения кон</w:t>
      </w:r>
      <w:r w:rsidRPr="007224C3">
        <w:rPr>
          <w:rFonts w:ascii="Times New Roman" w:hAnsi="Times New Roman"/>
          <w:color w:val="000000" w:themeColor="text1"/>
          <w:sz w:val="16"/>
          <w:szCs w:val="16"/>
        </w:rPr>
        <w:softHyphen/>
        <w:t>струкции самого само</w:t>
      </w:r>
      <w:r w:rsidRPr="007224C3">
        <w:rPr>
          <w:rFonts w:ascii="Times New Roman" w:hAnsi="Times New Roman"/>
          <w:color w:val="000000" w:themeColor="text1"/>
          <w:sz w:val="16"/>
          <w:szCs w:val="16"/>
        </w:rPr>
        <w:softHyphen/>
        <w:t>лёта, то есть улучшени</w:t>
      </w:r>
      <w:r w:rsidRPr="007224C3">
        <w:rPr>
          <w:rFonts w:ascii="Times New Roman" w:hAnsi="Times New Roman"/>
          <w:color w:val="000000" w:themeColor="text1"/>
          <w:sz w:val="16"/>
          <w:szCs w:val="16"/>
        </w:rPr>
        <w:softHyphen/>
        <w:t>ем аэродинамики и сни</w:t>
      </w:r>
      <w:r w:rsidRPr="007224C3">
        <w:rPr>
          <w:rFonts w:ascii="Times New Roman" w:hAnsi="Times New Roman"/>
          <w:color w:val="000000" w:themeColor="text1"/>
          <w:sz w:val="16"/>
          <w:szCs w:val="16"/>
        </w:rPr>
        <w:softHyphen/>
        <w:t>жением веса. Это так и не совсем так.</w:t>
      </w:r>
    </w:p>
    <w:p w14:paraId="38571E58" w14:textId="77777777" w:rsidR="00222A2A" w:rsidRPr="007224C3" w:rsidRDefault="00222A2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Как уже указывалось, снижение веса путём замены деревянных лон</w:t>
      </w:r>
      <w:r w:rsidRPr="007224C3">
        <w:rPr>
          <w:rFonts w:ascii="Times New Roman" w:hAnsi="Times New Roman"/>
          <w:color w:val="000000" w:themeColor="text1"/>
          <w:sz w:val="16"/>
          <w:szCs w:val="16"/>
        </w:rPr>
        <w:softHyphen/>
        <w:t>жеронов крыла на ме</w:t>
      </w:r>
      <w:r w:rsidRPr="007224C3">
        <w:rPr>
          <w:rFonts w:ascii="Times New Roman" w:hAnsi="Times New Roman"/>
          <w:color w:val="000000" w:themeColor="text1"/>
          <w:sz w:val="16"/>
          <w:szCs w:val="16"/>
        </w:rPr>
        <w:softHyphen/>
        <w:t>таллические ОКБ осу</w:t>
      </w:r>
      <w:r w:rsidRPr="007224C3">
        <w:rPr>
          <w:rFonts w:ascii="Times New Roman" w:hAnsi="Times New Roman"/>
          <w:color w:val="000000" w:themeColor="text1"/>
          <w:sz w:val="16"/>
          <w:szCs w:val="16"/>
        </w:rPr>
        <w:softHyphen/>
        <w:t>ществило ещё в начале 1943 г. на опытном Ла- 5ФН «Дублер». Но вне</w:t>
      </w:r>
      <w:r w:rsidRPr="007224C3">
        <w:rPr>
          <w:rFonts w:ascii="Times New Roman" w:hAnsi="Times New Roman"/>
          <w:color w:val="000000" w:themeColor="text1"/>
          <w:sz w:val="16"/>
          <w:szCs w:val="16"/>
        </w:rPr>
        <w:softHyphen/>
        <w:t>дрение в серию этого мероприятия отложили до весны 1944 г., так как только в это время завод № 21 полу</w:t>
      </w:r>
      <w:r w:rsidRPr="007224C3">
        <w:rPr>
          <w:rFonts w:ascii="Times New Roman" w:hAnsi="Times New Roman"/>
          <w:color w:val="000000" w:themeColor="text1"/>
          <w:sz w:val="16"/>
          <w:szCs w:val="16"/>
        </w:rPr>
        <w:softHyphen/>
        <w:t>чил необходимое металлорежущее оборудование. Металлические лонжероны пошли в серию в марте 1944 г. ещё на Ла-5ФН тип 41, их той весной построили 89 штук. Так что металлические лонжероны будущий Ла-7 получил, так сказать, по наследству.</w:t>
      </w:r>
    </w:p>
    <w:p w14:paraId="0133E5D9" w14:textId="77777777" w:rsidR="00222A2A" w:rsidRPr="007224C3" w:rsidRDefault="00222A2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вот на аэродинамических улучшениях следует остановиться поподробнее. Ещё в начале 1943 г., после проведения тщательных исследований Ла-5 в аэродинамических трубах, ЦАГИ выдал ОКБ Лавочкина целый ряд рекомендаций по неиспользованным резервам в области аэродинамики. Часть из них успели внедрить в серию тогда же на Ла-5ФН: это улучшенные всасывающий и выхлопные патрубки. Но на самом деле ре</w:t>
      </w:r>
      <w:r w:rsidRPr="007224C3">
        <w:rPr>
          <w:rFonts w:ascii="Times New Roman" w:hAnsi="Times New Roman"/>
          <w:color w:val="000000" w:themeColor="text1"/>
          <w:sz w:val="16"/>
          <w:szCs w:val="16"/>
        </w:rPr>
        <w:softHyphen/>
        <w:t>комендации ЦАГИ оказались гораздо шире. Так, учёные показали, что расположение маслорадиатора под фюзеляжем (за 5-м шпангоутом) в специально спрофилированном туннеле снижает его лобовое сопротивление в 2 раза и обеспечивает расход воздуха через радиатор на 25-30% больший, чем при серийном варианте.</w:t>
      </w:r>
    </w:p>
    <w:p w14:paraId="3F055B12" w14:textId="77777777" w:rsidR="00222A2A" w:rsidRPr="007224C3" w:rsidRDefault="00222A2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Кроме того, для устранения преждевременного срыва обтекания с центроплана и улучшения маневренных качеств самолёта ЦАГИ рекомендовал изменить конструкцию боковых створок капота, восстановить ранее принятый при проектировании профиль </w:t>
      </w:r>
      <w:r w:rsidRPr="007224C3">
        <w:rPr>
          <w:rFonts w:ascii="Times New Roman" w:hAnsi="Times New Roman"/>
          <w:color w:val="000000" w:themeColor="text1"/>
          <w:sz w:val="16"/>
          <w:szCs w:val="16"/>
          <w:lang w:val="en-US"/>
        </w:rPr>
        <w:t>NACA</w:t>
      </w:r>
      <w:r w:rsidRPr="007224C3">
        <w:rPr>
          <w:rFonts w:ascii="Times New Roman" w:hAnsi="Times New Roman"/>
          <w:color w:val="000000" w:themeColor="text1"/>
          <w:sz w:val="16"/>
          <w:szCs w:val="16"/>
        </w:rPr>
        <w:t>-230 в центроплане путём спрямления носка и улучшить сопряжение крыла с фю</w:t>
      </w:r>
      <w:r w:rsidRPr="007224C3">
        <w:rPr>
          <w:rFonts w:ascii="Times New Roman" w:hAnsi="Times New Roman"/>
          <w:color w:val="000000" w:themeColor="text1"/>
          <w:sz w:val="16"/>
          <w:szCs w:val="16"/>
        </w:rPr>
        <w:softHyphen/>
        <w:t>зеляжем увеличением зализа. При изменении створок капота требовалось увеличить расстояние между створками и верхней поверхностью крыла. Поскольку эти изменения вызывали большие переделки, весной 1943 г. их отложили на будущее (15829).</w:t>
      </w:r>
    </w:p>
    <w:p w14:paraId="4B83A5F2" w14:textId="77777777" w:rsidR="00222A2A" w:rsidRPr="007224C3" w:rsidRDefault="00222A2A" w:rsidP="007224C3">
      <w:pPr>
        <w:spacing w:after="0" w:line="240" w:lineRule="auto"/>
        <w:jc w:val="both"/>
        <w:rPr>
          <w:rFonts w:ascii="Times New Roman" w:hAnsi="Times New Roman"/>
          <w:color w:val="000000" w:themeColor="text1"/>
          <w:sz w:val="16"/>
          <w:szCs w:val="16"/>
        </w:rPr>
      </w:pPr>
    </w:p>
    <w:p w14:paraId="39D2D391" w14:textId="4CF58162" w:rsidR="00497945" w:rsidRPr="007224C3" w:rsidRDefault="00497945" w:rsidP="007224C3">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7224C3">
        <w:rPr>
          <w:rFonts w:ascii="Times New Roman" w:hAnsi="Times New Roman"/>
          <w:i/>
          <w:iCs/>
          <w:color w:val="000000" w:themeColor="text1"/>
          <w:sz w:val="16"/>
          <w:szCs w:val="16"/>
        </w:rPr>
        <w:t>Армия:</w:t>
      </w:r>
    </w:p>
    <w:p w14:paraId="0FE6206D" w14:textId="77777777" w:rsidR="00497945" w:rsidRPr="007224C3" w:rsidRDefault="00497945" w:rsidP="007224C3">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017167A5" w14:textId="77777777" w:rsidR="00497945" w:rsidRPr="007224C3" w:rsidRDefault="00497945" w:rsidP="007224C3">
      <w:pPr>
        <w:shd w:val="clear" w:color="auto" w:fill="FFFFFF"/>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К лету 1944 года в составе Люфтваффе на Восточном фронте числилось 440 самолетов Не.111, но лишь 260 из них были боеспособны. В 1944 году немецкая промышленность сдала только 714 самолетов Не.111, их выпуск был прекращен с принятием «чрезвычайной истребительной программы», ознаменовавшей конец наступательной стратегии Люфтваффе и переход к «глухой обороне». Всего было построено 7585 экземпляров Не.111, в том числе 6615 в вариантах Р и Н. В 1944 году, стремясь вовлечь старого союзника в Войну, Гитлер распорядился передать Испании лицензии на различное вооружение, в т.ч. и на Не.111Н, но в серию на Пиренеях этот самолет пошел уже после войны, мало того, испанский вариант CASA С. 2111 в конце концов получил английские моторы…(22822).</w:t>
      </w:r>
    </w:p>
    <w:p w14:paraId="76A1CCA7" w14:textId="77777777" w:rsidR="00497945" w:rsidRPr="007224C3" w:rsidRDefault="00497945" w:rsidP="007224C3">
      <w:pPr>
        <w:shd w:val="clear" w:color="auto" w:fill="FFFFFF"/>
        <w:spacing w:after="0" w:line="240" w:lineRule="auto"/>
        <w:jc w:val="both"/>
        <w:rPr>
          <w:rFonts w:ascii="Times New Roman" w:hAnsi="Times New Roman"/>
          <w:color w:val="0070C0"/>
          <w:sz w:val="16"/>
          <w:szCs w:val="16"/>
        </w:rPr>
      </w:pPr>
    </w:p>
    <w:p w14:paraId="14820324" w14:textId="680B2DBA" w:rsidR="00D60B5B" w:rsidRPr="007224C3" w:rsidRDefault="00D60B5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5ABF47D4" w14:textId="77777777" w:rsidR="00D60B5B" w:rsidRPr="007224C3" w:rsidRDefault="00D60B5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733825A" w14:textId="77777777" w:rsidR="00D60B5B" w:rsidRPr="007224C3" w:rsidRDefault="00D60B5B" w:rsidP="007224C3">
      <w:pPr>
        <w:pStyle w:val="ae"/>
        <w:shd w:val="clear" w:color="auto" w:fill="FFFFFF"/>
        <w:spacing w:before="0" w:after="0"/>
        <w:jc w:val="both"/>
        <w:rPr>
          <w:color w:val="000000" w:themeColor="text1"/>
          <w:sz w:val="16"/>
          <w:szCs w:val="16"/>
        </w:rPr>
      </w:pPr>
      <w:r w:rsidRPr="007224C3">
        <w:rPr>
          <w:color w:val="000000" w:themeColor="text1"/>
          <w:sz w:val="16"/>
          <w:szCs w:val="16"/>
        </w:rPr>
        <w:t xml:space="preserve">К лету 1944 года западные союзники перестали использовать Valentine с трёхместными башнями. Между тем на советско-германском фронте у них словно открылось второе дыхание. Некоторое количество этих танков использовалось в отдельных танковых полках при кавалерийских дивизиях. Например, 87-й ОТП получил 26 ноября 1944 года 5 Valentine V. В составе 3-го гвардейского кавалерийского корпуса по состоянию на 22 июня 1944 года находилось 30 Valentine III. 151-й отдельный танковый полк в феврале 1945 года получил 6 </w:t>
      </w:r>
      <w:r w:rsidRPr="007224C3">
        <w:rPr>
          <w:color w:val="000000" w:themeColor="text1"/>
          <w:sz w:val="16"/>
          <w:szCs w:val="16"/>
          <w:lang w:val="en-US"/>
        </w:rPr>
        <w:t>Valentine</w:t>
      </w:r>
      <w:r w:rsidRPr="007224C3">
        <w:rPr>
          <w:color w:val="000000" w:themeColor="text1"/>
          <w:sz w:val="16"/>
          <w:szCs w:val="16"/>
        </w:rPr>
        <w:t xml:space="preserve"> </w:t>
      </w:r>
      <w:r w:rsidRPr="007224C3">
        <w:rPr>
          <w:color w:val="000000" w:themeColor="text1"/>
          <w:sz w:val="16"/>
          <w:szCs w:val="16"/>
          <w:lang w:val="en-US"/>
        </w:rPr>
        <w:t>III</w:t>
      </w:r>
      <w:r w:rsidRPr="007224C3">
        <w:rPr>
          <w:color w:val="000000" w:themeColor="text1"/>
          <w:sz w:val="16"/>
          <w:szCs w:val="16"/>
        </w:rPr>
        <w:t xml:space="preserve"> и 4 </w:t>
      </w:r>
      <w:r w:rsidRPr="007224C3">
        <w:rPr>
          <w:color w:val="000000" w:themeColor="text1"/>
          <w:sz w:val="16"/>
          <w:szCs w:val="16"/>
          <w:lang w:val="en-US"/>
        </w:rPr>
        <w:t>Valentine</w:t>
      </w:r>
      <w:r w:rsidRPr="007224C3">
        <w:rPr>
          <w:color w:val="000000" w:themeColor="text1"/>
          <w:sz w:val="16"/>
          <w:szCs w:val="16"/>
        </w:rPr>
        <w:t xml:space="preserve"> </w:t>
      </w:r>
      <w:r w:rsidRPr="007224C3">
        <w:rPr>
          <w:color w:val="000000" w:themeColor="text1"/>
          <w:sz w:val="16"/>
          <w:szCs w:val="16"/>
          <w:lang w:val="en-US"/>
        </w:rPr>
        <w:t>IX</w:t>
      </w:r>
      <w:r w:rsidRPr="007224C3">
        <w:rPr>
          <w:color w:val="000000" w:themeColor="text1"/>
          <w:sz w:val="16"/>
          <w:szCs w:val="16"/>
        </w:rPr>
        <w:t>. Часть этих машин воевала до самого конца войны.</w:t>
      </w:r>
    </w:p>
    <w:p w14:paraId="0E1CBDF2" w14:textId="77777777" w:rsidR="00D60B5B" w:rsidRPr="007224C3" w:rsidRDefault="00D60B5B" w:rsidP="007224C3">
      <w:pPr>
        <w:pStyle w:val="ae"/>
        <w:shd w:val="clear" w:color="auto" w:fill="FFFFFF"/>
        <w:spacing w:before="0" w:after="0"/>
        <w:jc w:val="both"/>
        <w:rPr>
          <w:color w:val="000000" w:themeColor="text1"/>
          <w:sz w:val="16"/>
          <w:szCs w:val="16"/>
        </w:rPr>
      </w:pPr>
      <w:r w:rsidRPr="007224C3">
        <w:rPr>
          <w:color w:val="000000" w:themeColor="text1"/>
          <w:sz w:val="16"/>
          <w:szCs w:val="16"/>
        </w:rPr>
        <w:t>О том, что пушка «Валентайнов» очень слабая, говорилось неоднократно. Больше того, в адрес Центрального артиллерийского конструкторского бюро поступали утопические указания о перевооружении английских машин 76-мм пушками Ф-34 и даже 85-мм пушками С-53. Тем не менее машины эти умудрились повоевать даже против японцев. Например, Valentine III имелись в составе воевавшего на Дальнем Востоке 267-го танкового полка, который также взаимодействовал с кавалеристами (17702).</w:t>
      </w:r>
    </w:p>
    <w:p w14:paraId="7FAF9B24" w14:textId="77777777" w:rsidR="00D60B5B" w:rsidRPr="007224C3" w:rsidRDefault="00D60B5B" w:rsidP="007224C3">
      <w:pPr>
        <w:pStyle w:val="123"/>
        <w:shd w:val="clear" w:color="auto" w:fill="auto"/>
        <w:spacing w:after="0" w:line="240" w:lineRule="auto"/>
        <w:jc w:val="both"/>
        <w:rPr>
          <w:color w:val="000000" w:themeColor="text1"/>
          <w:sz w:val="16"/>
          <w:szCs w:val="16"/>
        </w:rPr>
      </w:pPr>
    </w:p>
    <w:p w14:paraId="68576B41" w14:textId="77777777" w:rsidR="00497945" w:rsidRPr="007224C3" w:rsidRDefault="00497945" w:rsidP="007224C3">
      <w:pPr>
        <w:shd w:val="clear" w:color="auto" w:fill="FFFFFF"/>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К лету 1944 года благодаря работа технологических служб по снижению трудоемкости и цены B-17G пул B.V.D. вышел на темп 16 машин в сутки, или одной в каждые полтора часа. Летом 1943 года B-17G выпуска завода «Боинг» в Сиэтле обходился налогоплательщику в 374000 долларов, в середине 1944-го — 238329, к рождеству — 204307, а весной цена была снижена до 187742$ (22893).</w:t>
      </w:r>
    </w:p>
    <w:p w14:paraId="7CBA8882" w14:textId="77777777" w:rsidR="00497945" w:rsidRPr="007224C3" w:rsidRDefault="00497945" w:rsidP="007224C3">
      <w:pPr>
        <w:shd w:val="clear" w:color="auto" w:fill="FFFFFF"/>
        <w:spacing w:after="0" w:line="240" w:lineRule="auto"/>
        <w:jc w:val="both"/>
        <w:rPr>
          <w:rFonts w:ascii="Times New Roman" w:hAnsi="Times New Roman"/>
          <w:color w:val="0070C0"/>
          <w:sz w:val="16"/>
          <w:szCs w:val="16"/>
        </w:rPr>
      </w:pPr>
    </w:p>
    <w:p w14:paraId="0EDFB70E"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377E5B0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5778F5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июню 1944 завод № 18 вышел на плановый уровень производства Ил-2 с металлическим крылом «со стрел</w:t>
      </w:r>
      <w:r w:rsidRPr="007224C3">
        <w:rPr>
          <w:rFonts w:ascii="Times New Roman" w:hAnsi="Times New Roman"/>
          <w:color w:val="000000" w:themeColor="text1"/>
          <w:sz w:val="16"/>
          <w:szCs w:val="16"/>
        </w:rPr>
        <w:softHyphen/>
        <w:t>кой», а 1-й и 30-й заводы — к сентябрю 1944 г. Всего к концу года в ВВС поступило 7377 Ил-2 «крыло со стрел</w:t>
      </w:r>
      <w:r w:rsidRPr="007224C3">
        <w:rPr>
          <w:rFonts w:ascii="Times New Roman" w:hAnsi="Times New Roman"/>
          <w:color w:val="000000" w:themeColor="text1"/>
          <w:sz w:val="16"/>
          <w:szCs w:val="16"/>
        </w:rPr>
        <w:softHyphen/>
        <w:t>кой». При этом авиазаводы № 1 и № 30 выпускали самолеты и с металлическим, и с деревянным крылом. Все самолеты имели «стандартное» для 1944 г. наступательное вооружение: пушки ВЯ, пулеметы ШКАС, «эрэсы» и бомбы. Пушки НС-37 на них никогда не устанавливались (11474,311).</w:t>
      </w:r>
    </w:p>
    <w:p w14:paraId="56C3988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8BE9622" w14:textId="77777777" w:rsidR="00822884" w:rsidRPr="007224C3" w:rsidRDefault="00822884" w:rsidP="007224C3">
      <w:pPr>
        <w:pStyle w:val="184"/>
        <w:shd w:val="clear" w:color="auto" w:fill="auto"/>
        <w:spacing w:before="0" w:after="0" w:line="240" w:lineRule="auto"/>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К июню 1944 завод №18 вышел на плановый уровень про</w:t>
      </w:r>
      <w:r w:rsidRPr="007224C3">
        <w:rPr>
          <w:rFonts w:ascii="Times New Roman" w:hAnsi="Times New Roman" w:cs="Times New Roman"/>
          <w:color w:val="000000" w:themeColor="text1"/>
          <w:sz w:val="16"/>
          <w:szCs w:val="16"/>
        </w:rPr>
        <w:softHyphen/>
        <w:t>изводства Ил-2 с металлическим кры</w:t>
      </w:r>
      <w:r w:rsidRPr="007224C3">
        <w:rPr>
          <w:rFonts w:ascii="Times New Roman" w:hAnsi="Times New Roman" w:cs="Times New Roman"/>
          <w:color w:val="000000" w:themeColor="text1"/>
          <w:sz w:val="16"/>
          <w:szCs w:val="16"/>
        </w:rPr>
        <w:softHyphen/>
        <w:t>лом «со стрелкой», а 1-й и 30-й заводы - к сентябрю 1944 г. Всего к концу года в ВВС поступило 7377 Ил-2 «крыло со стрелкой». При этом авиаза</w:t>
      </w:r>
      <w:r w:rsidRPr="007224C3">
        <w:rPr>
          <w:rFonts w:ascii="Times New Roman" w:hAnsi="Times New Roman" w:cs="Times New Roman"/>
          <w:color w:val="000000" w:themeColor="text1"/>
          <w:sz w:val="16"/>
          <w:szCs w:val="16"/>
        </w:rPr>
        <w:softHyphen/>
        <w:t>воды №1 и №30 выпускали самолеты и с металлическим, и с деревянным кры</w:t>
      </w:r>
      <w:r w:rsidRPr="007224C3">
        <w:rPr>
          <w:rFonts w:ascii="Times New Roman" w:hAnsi="Times New Roman" w:cs="Times New Roman"/>
          <w:color w:val="000000" w:themeColor="text1"/>
          <w:sz w:val="16"/>
          <w:szCs w:val="16"/>
        </w:rPr>
        <w:softHyphen/>
        <w:t>лом. Все самолеты имели «стандартное» для 1944 г. наступательное вооружение: пушки ВЯ, пулеметы ШКАС, «эрэсы» и бомбы. Пушки 11П калибра 37 мм на них никогда не устанавливались (19558).</w:t>
      </w:r>
    </w:p>
    <w:p w14:paraId="32926733" w14:textId="77777777" w:rsidR="00822884" w:rsidRPr="007224C3" w:rsidRDefault="00822884" w:rsidP="007224C3">
      <w:pPr>
        <w:pStyle w:val="184"/>
        <w:shd w:val="clear" w:color="auto" w:fill="auto"/>
        <w:spacing w:before="0" w:after="0" w:line="240" w:lineRule="auto"/>
        <w:rPr>
          <w:rFonts w:ascii="Times New Roman" w:hAnsi="Times New Roman" w:cs="Times New Roman"/>
          <w:color w:val="000000" w:themeColor="text1"/>
          <w:sz w:val="16"/>
          <w:szCs w:val="16"/>
        </w:rPr>
      </w:pPr>
    </w:p>
    <w:p w14:paraId="358DE8FE"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20302D7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34D1C39" w14:textId="77777777" w:rsidR="00222A2A" w:rsidRPr="007224C3" w:rsidRDefault="00222A2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июню 1944 г. (с 1942) в США было построено 10 каталитических установок термофорной системы и находилось в процессе строительства еще шесть. В январе 1943 г. впервые была введена в эксплу</w:t>
      </w:r>
      <w:r w:rsidRPr="007224C3">
        <w:rPr>
          <w:rFonts w:ascii="Times New Roman" w:hAnsi="Times New Roman"/>
          <w:color w:val="000000" w:themeColor="text1"/>
          <w:sz w:val="16"/>
          <w:szCs w:val="16"/>
        </w:rPr>
        <w:softHyphen/>
        <w:t>атацию установка каталитического кре</w:t>
      </w:r>
      <w:r w:rsidRPr="007224C3">
        <w:rPr>
          <w:rFonts w:ascii="Times New Roman" w:hAnsi="Times New Roman"/>
          <w:color w:val="000000" w:themeColor="text1"/>
          <w:sz w:val="16"/>
          <w:szCs w:val="16"/>
        </w:rPr>
        <w:softHyphen/>
        <w:t>кинга системы «Флюид» (с подвижным катализатором). До июня 1943 г. в США было введено в эксплуатацию 26 уста</w:t>
      </w:r>
      <w:r w:rsidRPr="007224C3">
        <w:rPr>
          <w:rFonts w:ascii="Times New Roman" w:hAnsi="Times New Roman"/>
          <w:color w:val="000000" w:themeColor="text1"/>
          <w:sz w:val="16"/>
          <w:szCs w:val="16"/>
        </w:rPr>
        <w:softHyphen/>
        <w:t>новок этого типа. Себестоимость одной установки «Флюид» в США составляла около 6 млн долл.Так что на момент начала строитель</w:t>
      </w:r>
      <w:r w:rsidRPr="007224C3">
        <w:rPr>
          <w:rFonts w:ascii="Times New Roman" w:hAnsi="Times New Roman"/>
          <w:color w:val="000000" w:themeColor="text1"/>
          <w:sz w:val="16"/>
          <w:szCs w:val="16"/>
        </w:rPr>
        <w:softHyphen/>
        <w:t>ства «Гудри» были технологией семи</w:t>
      </w:r>
      <w:r w:rsidRPr="007224C3">
        <w:rPr>
          <w:rFonts w:ascii="Times New Roman" w:hAnsi="Times New Roman"/>
          <w:color w:val="000000" w:themeColor="text1"/>
          <w:sz w:val="16"/>
          <w:szCs w:val="16"/>
        </w:rPr>
        <w:softHyphen/>
        <w:t>летней, а на момент окончания — деся</w:t>
      </w:r>
      <w:r w:rsidRPr="007224C3">
        <w:rPr>
          <w:rFonts w:ascii="Times New Roman" w:hAnsi="Times New Roman"/>
          <w:color w:val="000000" w:themeColor="text1"/>
          <w:sz w:val="16"/>
          <w:szCs w:val="16"/>
        </w:rPr>
        <w:softHyphen/>
        <w:t>тилетней давности.Финансирование разработки новых технологий в значительной мере взяло на себя правительство США. Руково</w:t>
      </w:r>
      <w:r w:rsidRPr="007224C3">
        <w:rPr>
          <w:rFonts w:ascii="Times New Roman" w:hAnsi="Times New Roman"/>
          <w:color w:val="000000" w:themeColor="text1"/>
          <w:sz w:val="16"/>
          <w:szCs w:val="16"/>
        </w:rPr>
        <w:softHyphen/>
        <w:t>дитель администрации по делам нефти г-н. Икес признал, что «с началом вой</w:t>
      </w:r>
      <w:r w:rsidRPr="007224C3">
        <w:rPr>
          <w:rFonts w:ascii="Times New Roman" w:hAnsi="Times New Roman"/>
          <w:color w:val="000000" w:themeColor="text1"/>
          <w:sz w:val="16"/>
          <w:szCs w:val="16"/>
        </w:rPr>
        <w:softHyphen/>
        <w:t>ны и до конца 1944 г. капиталовложе</w:t>
      </w:r>
      <w:r w:rsidRPr="007224C3">
        <w:rPr>
          <w:rFonts w:ascii="Times New Roman" w:hAnsi="Times New Roman"/>
          <w:color w:val="000000" w:themeColor="text1"/>
          <w:sz w:val="16"/>
          <w:szCs w:val="16"/>
        </w:rPr>
        <w:softHyphen/>
        <w:t>ния в производство стооктанового бензина составили 760 млн долл. Из этой суммы частные компании вложили 550 млн долл. и государство — 210 млн долл» (15488).</w:t>
      </w:r>
    </w:p>
    <w:p w14:paraId="7040A96B" w14:textId="77777777" w:rsidR="00222A2A" w:rsidRPr="007224C3" w:rsidRDefault="00222A2A" w:rsidP="007224C3">
      <w:pPr>
        <w:spacing w:after="0" w:line="240" w:lineRule="auto"/>
        <w:jc w:val="both"/>
        <w:rPr>
          <w:rFonts w:ascii="Times New Roman" w:hAnsi="Times New Roman"/>
          <w:color w:val="000000" w:themeColor="text1"/>
          <w:sz w:val="16"/>
          <w:szCs w:val="16"/>
        </w:rPr>
      </w:pPr>
    </w:p>
    <w:p w14:paraId="7BB071A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июню 1944 г. группа проектировщиков в Николаеве достиг</w:t>
      </w:r>
      <w:r w:rsidRPr="007224C3">
        <w:rPr>
          <w:rFonts w:ascii="Times New Roman" w:hAnsi="Times New Roman"/>
          <w:color w:val="000000" w:themeColor="text1"/>
          <w:sz w:val="16"/>
          <w:szCs w:val="16"/>
        </w:rPr>
        <w:softHyphen/>
        <w:t>ла 34 человек (в 1945 г. на ее основе бьш создан Николаевский филиал ГСПИ-2), и восстановительные работы развернулись широким фронтом (3898).</w:t>
      </w:r>
    </w:p>
    <w:p w14:paraId="3B059A7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02BB7D"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40DF8D7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B42ED0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июню 1944 г. в составе ВВС БВФ числилось 33 МБР-2, которые использовались достаточно интенсивно. В 1944 г. они выполнили 905, а в 1945 г. - 259 вылетов на воздушную разведку и поиск подводных лодок в Белом море. Одновременно начался закономерный процесс списания отработавшей своё техники. Но экипажи МБР-2 (имевшие к этому времени солидный боевой опыт), несмотря на все недостатки своих изрядно устаревших машин, при случае, могли преподнести неприятные "сюрпризы" немецким подводникам.</w:t>
      </w:r>
    </w:p>
    <w:p w14:paraId="318B83A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1943 - 1944 гг. накал борьбы на полярных коммуникациях всё усиливался. Немецкие подводные лодки от одиночных атак перешли к своей знаменитой тактике "волчьей стаи". Гидросамолёты BV 138 стали регулярно появляться в Карском море и вести воздушную разведку вплоть до пролива Вилькицкого. "U-боты" получили на вооружение новейшие акустические и маневрирующие торпеды, по опыту действий в Атлантике усиливалось и зенитное вооружение субмарин. Разница в боевых возможностях МБР-2 и его противников была очень велика, поэтому эффективным противолодочным самолётом ни на одном из наших флотов "амбарчик" так и не стал. Прежде всего, из-за отсутствия радиолокационной станции (что, впрочем, вообще являлось "больным местом" советского ВМФ в годы войны), к 1943 - 1944 гг. ставшей непременным атрибутом самолёта ПЛО. Тем не менее, основную тяжесть противолодочной борьбы в 1943 г. вынесли именно МБР-2. Из 130 боевых вылетов в интересах ПЛО, выполненных самолетами БВФ, - 73 (более половины!) на счету "амбарчиков".</w:t>
      </w:r>
    </w:p>
    <w:p w14:paraId="504759C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Учитывая сложившуюся обстановку, МБР-2 в Арктике и Баренцевом море заменялись ленд-лизовскими "Каталинами", а за бериевскими лодками оставалось Белое море. Там они вели воздушную и ледовую разведку, проводили конвои, продолжали поиск субмарин, особенно в районах мысов Святой Нос и Канин Нос (12003).</w:t>
      </w:r>
    </w:p>
    <w:p w14:paraId="5C4C815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E0A89BE"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7553457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69DDC3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1 июня 1944 г. были разработаны удли</w:t>
      </w:r>
      <w:r w:rsidRPr="007224C3">
        <w:rPr>
          <w:rFonts w:ascii="Times New Roman" w:hAnsi="Times New Roman"/>
          <w:color w:val="000000" w:themeColor="text1"/>
          <w:sz w:val="16"/>
          <w:szCs w:val="16"/>
        </w:rPr>
        <w:softHyphen/>
        <w:t>ненный бронекорпус Ил-2 с перераспределенной толщиной брони, включающий кабину стрелка, и ремонтный комплект дополнительной брони стрелка. Ремкомплект предполагалось устанавливать на уже выпущенные Ил-2 «крыло со стрелкой» с обычным бронекорпусом силами техсостава строевых частей.</w:t>
      </w:r>
    </w:p>
    <w:p w14:paraId="411559E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Верхняя передняя часть нового бронекорпуса выполнялась из дюра-люминовых листов, поскольку, как по</w:t>
      </w:r>
      <w:r w:rsidRPr="007224C3">
        <w:rPr>
          <w:rFonts w:ascii="Times New Roman" w:hAnsi="Times New Roman"/>
          <w:color w:val="000000" w:themeColor="text1"/>
          <w:sz w:val="16"/>
          <w:szCs w:val="16"/>
        </w:rPr>
        <w:softHyphen/>
        <w:t>казал боевой опыт, она практически не поражалась в воздушных боях. Вертикальная бронеплита под капотом и бронедиск за втулкой винта заменя</w:t>
      </w:r>
      <w:r w:rsidRPr="007224C3">
        <w:rPr>
          <w:rFonts w:ascii="Times New Roman" w:hAnsi="Times New Roman"/>
          <w:color w:val="000000" w:themeColor="text1"/>
          <w:sz w:val="16"/>
          <w:szCs w:val="16"/>
        </w:rPr>
        <w:softHyphen/>
        <w:t>лись дюралевыми. Толщина нижних боковых стенок капота мотора увели</w:t>
      </w:r>
      <w:r w:rsidRPr="007224C3">
        <w:rPr>
          <w:rFonts w:ascii="Times New Roman" w:hAnsi="Times New Roman"/>
          <w:color w:val="000000" w:themeColor="text1"/>
          <w:sz w:val="16"/>
          <w:szCs w:val="16"/>
        </w:rPr>
        <w:softHyphen/>
        <w:t>чивалась до 6 и 8 мм, а толщина боко</w:t>
      </w:r>
      <w:r w:rsidRPr="007224C3">
        <w:rPr>
          <w:rFonts w:ascii="Times New Roman" w:hAnsi="Times New Roman"/>
          <w:color w:val="000000" w:themeColor="text1"/>
          <w:sz w:val="16"/>
          <w:szCs w:val="16"/>
        </w:rPr>
        <w:softHyphen/>
        <w:t>вых стенок кабины пилота, наоборот, уменьшалась до 4 и 5 мм. Кабина стрел</w:t>
      </w:r>
      <w:r w:rsidRPr="007224C3">
        <w:rPr>
          <w:rFonts w:ascii="Times New Roman" w:hAnsi="Times New Roman"/>
          <w:color w:val="000000" w:themeColor="text1"/>
          <w:sz w:val="16"/>
          <w:szCs w:val="16"/>
        </w:rPr>
        <w:softHyphen/>
        <w:t>ка целиком имела 5-мм броню. Пере</w:t>
      </w:r>
      <w:r w:rsidRPr="007224C3">
        <w:rPr>
          <w:rFonts w:ascii="Times New Roman" w:hAnsi="Times New Roman"/>
          <w:color w:val="000000" w:themeColor="text1"/>
          <w:sz w:val="16"/>
          <w:szCs w:val="16"/>
        </w:rPr>
        <w:softHyphen/>
        <w:t>дняя и средняя части бронекорпуса, как и ранее, выполнялись из броневых ли</w:t>
      </w:r>
      <w:r w:rsidRPr="007224C3">
        <w:rPr>
          <w:rFonts w:ascii="Times New Roman" w:hAnsi="Times New Roman"/>
          <w:color w:val="000000" w:themeColor="text1"/>
          <w:sz w:val="16"/>
          <w:szCs w:val="16"/>
        </w:rPr>
        <w:softHyphen/>
        <w:t>стов толщиной от 4 до б мм. В сравне</w:t>
      </w:r>
      <w:r w:rsidRPr="007224C3">
        <w:rPr>
          <w:rFonts w:ascii="Times New Roman" w:hAnsi="Times New Roman"/>
          <w:color w:val="000000" w:themeColor="text1"/>
          <w:sz w:val="16"/>
          <w:szCs w:val="16"/>
        </w:rPr>
        <w:softHyphen/>
        <w:t>нии с серийным Ил-2 общий вес метал</w:t>
      </w:r>
      <w:r w:rsidRPr="007224C3">
        <w:rPr>
          <w:rFonts w:ascii="Times New Roman" w:hAnsi="Times New Roman"/>
          <w:color w:val="000000" w:themeColor="text1"/>
          <w:sz w:val="16"/>
          <w:szCs w:val="16"/>
        </w:rPr>
        <w:softHyphen/>
        <w:t>лической брони увеличился на 55 кг.</w:t>
      </w:r>
    </w:p>
    <w:p w14:paraId="6B26064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Ремкомплект включал в себя девять бронеплит толщиной по 5 мм каждая, соединенных между собой уголками и болтами. Их сборка проводилась по заранее просверленным отверстиям. Два подготовленных техника монтиро</w:t>
      </w:r>
      <w:r w:rsidRPr="007224C3">
        <w:rPr>
          <w:rFonts w:ascii="Times New Roman" w:hAnsi="Times New Roman"/>
          <w:color w:val="000000" w:themeColor="text1"/>
          <w:sz w:val="16"/>
          <w:szCs w:val="16"/>
        </w:rPr>
        <w:softHyphen/>
        <w:t>вали кабину стрелка за два дня. Вес бронедеталей с креплением не превы</w:t>
      </w:r>
      <w:r w:rsidRPr="007224C3">
        <w:rPr>
          <w:rFonts w:ascii="Times New Roman" w:hAnsi="Times New Roman"/>
          <w:color w:val="000000" w:themeColor="text1"/>
          <w:sz w:val="16"/>
          <w:szCs w:val="16"/>
        </w:rPr>
        <w:softHyphen/>
        <w:t>шал 41 кг.</w:t>
      </w:r>
    </w:p>
    <w:p w14:paraId="2CCB76B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Вооружение </w:t>
      </w:r>
      <w:r w:rsidRPr="007224C3">
        <w:rPr>
          <w:rFonts w:ascii="Times New Roman" w:hAnsi="Times New Roman"/>
          <w:iCs/>
          <w:color w:val="000000" w:themeColor="text1"/>
          <w:sz w:val="16"/>
          <w:szCs w:val="16"/>
        </w:rPr>
        <w:t xml:space="preserve">в </w:t>
      </w:r>
      <w:r w:rsidRPr="007224C3">
        <w:rPr>
          <w:rFonts w:ascii="Times New Roman" w:hAnsi="Times New Roman"/>
          <w:color w:val="000000" w:themeColor="text1"/>
          <w:sz w:val="16"/>
          <w:szCs w:val="16"/>
        </w:rPr>
        <w:t>целом соответство</w:t>
      </w:r>
      <w:r w:rsidRPr="007224C3">
        <w:rPr>
          <w:rFonts w:ascii="Times New Roman" w:hAnsi="Times New Roman"/>
          <w:color w:val="000000" w:themeColor="text1"/>
          <w:sz w:val="16"/>
          <w:szCs w:val="16"/>
        </w:rPr>
        <w:softHyphen/>
        <w:t>вало серийным вариантам Ил-2 с обыч</w:t>
      </w:r>
      <w:r w:rsidRPr="007224C3">
        <w:rPr>
          <w:rFonts w:ascii="Times New Roman" w:hAnsi="Times New Roman"/>
          <w:color w:val="000000" w:themeColor="text1"/>
          <w:sz w:val="16"/>
          <w:szCs w:val="16"/>
        </w:rPr>
        <w:softHyphen/>
        <w:t>ным бронекорпусом, но бомбовая на</w:t>
      </w:r>
      <w:r w:rsidRPr="007224C3">
        <w:rPr>
          <w:rFonts w:ascii="Times New Roman" w:hAnsi="Times New Roman"/>
          <w:color w:val="000000" w:themeColor="text1"/>
          <w:sz w:val="16"/>
          <w:szCs w:val="16"/>
        </w:rPr>
        <w:softHyphen/>
        <w:t>грузка ограничивалась 400 кг (11215).</w:t>
      </w:r>
    </w:p>
    <w:p w14:paraId="1496D2E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925C22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1 июня 1944 г., в связи с тем, что с появлением Ил-2 "крыло со стрелкой" появилась возможность улучшить защиту воздушного стрелка, были разработаны удлиненный бронекорпус с перераспределенной толщиной брони, включающий кабину стрелка, и ремонтный комплект дополнительной брони стрелка. Ремкомплект предполагалось устанавливать на все выпущенные Ил-2 "крыло со стрелкой" с обычным бронекорпусом силами тех- состава строевых частей.</w:t>
      </w:r>
    </w:p>
    <w:p w14:paraId="3895608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Верхняя передняя часть нового броне- корпуса выполнялась из дюралюминевых листов, поскольку, как показал боевой опыт, она практически не поражалась в воздушных боях. Вертикальная бронеплита под капотом и бронедиск за втулкой винта заменялись дюралевыми. Толщина нижних боковых стенок капота мотора увеличивалась до 6 и 8 мм, а толщина боковых стенок кабины пилота, наоборот, уменьшалась до 4 и 5 мм. Кабина стрелка целиком имела 5-мм броню. Передняя и средняя части бронекорпуса, как и ранее, выполнялись из броневых листов толщиной от 4 до 6 мм. В сравнении с серийным Ил-2 общий вес металлической брони увеличился на 55 кг.</w:t>
      </w:r>
    </w:p>
    <w:p w14:paraId="55A3F9B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Ремкомплект включал в себя девять бро- неплит толщиной по 5 мм каждая, соединенных между собой уголками и болтами. Их сборка проводилась по заранее просверленным отверстиям. Два подготовленных техника монтировали кабину стрелка за два дня. Вес бронедеталей с креплением не превышал 41 кг.</w:t>
      </w:r>
    </w:p>
    <w:p w14:paraId="0EB0054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установке удлиненного бронекорпуса деревянная часть фюзеляжа укорачивалась на 1135 мм. Монтаж дополнительной брони изменений в конструкции самолета не требовал.</w:t>
      </w:r>
    </w:p>
    <w:p w14:paraId="11C72AD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Вооружение в целом соответствовало серийным вариантам Ил-2 с обычным броне- корпусом, но бомбовая нагрузка ограничивалась 400 кг.</w:t>
      </w:r>
    </w:p>
    <w:p w14:paraId="20C26C5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Модифицированный самолет Ил-2 производства завода № 30 с "длинным" бронекорпусом успешно отлетал программу государственных испытаний в период с 14 по 28 августа, а серийный Ил-2 этого же завода с дополнительной броней стрелка - с 16 по 18 сентября 1944 г. Оба самолета испытывались одной и той же бригадой.</w:t>
      </w:r>
    </w:p>
    <w:p w14:paraId="5DC32C5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Самолеты показали хорошую управляемость и продольную устойчивость. Однако отмечалось, что более задняя центровка самолета Ил-2 с дополнительным бронированием кабины стрелка ухудшила его продольную устойчивость. Ведущий летчик-испытатель инженер-майор Синельников в разделе "Летная оценка самолета" указывал: "прогрессивное увеличение веса самолета Ил-2 до 6355 кг считаю ненормальным и крайне нежелательным, так как, в конце концов, это приведет к резкому ухудшению взлетных свойств и усложнению техники пилотирования". Тем не менее, в заключение отчета делался вывод: "эксплуатацию такого самолета считать возможным".</w:t>
      </w:r>
    </w:p>
    <w:p w14:paraId="238893D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отношении самолета с удлиненным бронекорпусом никаких недостатков в части управляемости не отмечалось, поскольку вследствие перераспределения толщины брони центровка самолета даже сместилась несколько вперед в сравнении с серийным самолетом.</w:t>
      </w:r>
    </w:p>
    <w:p w14:paraId="499C8C9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 дожидаясь окончания испытаний, генерал-полковник Шиманов обратился к Шахурину с просьбой ускорить внедрение в серийное производство штурмовиков Ил-2 с новым бронекорпусом, а также комплектов полевого варианта дополнительного бронирования кабины стрелка, "как отвечающих требованиям ВВС и опыту воздушной войны".</w:t>
      </w:r>
    </w:p>
    <w:p w14:paraId="15C9CBB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Несмотря на требование ВВС, решение о запуске Ил-2 с улучшенным бронированием в серийное производство так и не последовало. Наркомат авиапромышленности ограничился лишь распоряжением о налаживании производства полевых комплектов дополнительного бронирования стрелка. Надо полагать, ставка была сделана на быструю организацию массового выпуска скоростного штурмовика Ил-10 АМ-42, имевшего полностью бронированную кабину стрелка.</w:t>
      </w:r>
    </w:p>
    <w:p w14:paraId="79988C3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Самолеты Ил-2 продолжали выпускаться авиазаводами со старым вариантом бронекорпуса. При этом часть штурмовиков комплектовались дополнительной броней кабины стрелка. В общей сложности к февралю 1945 г. было выпущено 800 комплектов дополнительной брони.</w:t>
      </w:r>
    </w:p>
    <w:p w14:paraId="6C48BD7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Как это ни странно, но комплекты дополнительного бронирования отправлялись в действующую армию железнодорожными эшелонами, которые находились в пути до 2-3-х (!) месяцев...</w:t>
      </w:r>
    </w:p>
    <w:p w14:paraId="3D98D51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этому поводу генерал-лейтенант Селезнев докладывал Шиманову: "...массовый выпуск Ил-2 с удлиненным бронекорпусом задерживается исключительно из-за отсутствия соответствующего приказа по НКАП... отправка ремонтного варианта бронекорпуса в части по железной дороге является нетерпимой..." (12020).</w:t>
      </w:r>
    </w:p>
    <w:p w14:paraId="2B33DE5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FE5D3FF" w14:textId="77777777" w:rsidR="00DC6FB3" w:rsidRPr="007224C3" w:rsidRDefault="00DC6FB3" w:rsidP="007224C3">
      <w:pPr>
        <w:pStyle w:val="184"/>
        <w:shd w:val="clear" w:color="auto" w:fill="auto"/>
        <w:spacing w:before="0" w:after="0" w:line="240" w:lineRule="auto"/>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К 1 июня 1944 в связи с тем, что с появлением Ил-2 «крыло со стрел</w:t>
      </w:r>
      <w:r w:rsidRPr="007224C3">
        <w:rPr>
          <w:rFonts w:ascii="Times New Roman" w:hAnsi="Times New Roman" w:cs="Times New Roman"/>
          <w:color w:val="000000" w:themeColor="text1"/>
          <w:sz w:val="16"/>
          <w:szCs w:val="16"/>
        </w:rPr>
        <w:softHyphen/>
        <w:t>кой» появилась возможность улучшить за</w:t>
      </w:r>
      <w:r w:rsidRPr="007224C3">
        <w:rPr>
          <w:rFonts w:ascii="Times New Roman" w:hAnsi="Times New Roman" w:cs="Times New Roman"/>
          <w:color w:val="000000" w:themeColor="text1"/>
          <w:sz w:val="16"/>
          <w:szCs w:val="16"/>
        </w:rPr>
        <w:softHyphen/>
        <w:t>щиту воздушного стрелка, были разработаны удлиненный бронекорпус с кабиной стрелка, и ремонтный комплект дополнительной брони стрелка для уста</w:t>
      </w:r>
      <w:r w:rsidRPr="007224C3">
        <w:rPr>
          <w:rFonts w:ascii="Times New Roman" w:hAnsi="Times New Roman" w:cs="Times New Roman"/>
          <w:color w:val="000000" w:themeColor="text1"/>
          <w:sz w:val="16"/>
          <w:szCs w:val="16"/>
        </w:rPr>
        <w:softHyphen/>
        <w:t>новки в полках.</w:t>
      </w:r>
    </w:p>
    <w:p w14:paraId="2F02CB68" w14:textId="77777777" w:rsidR="00DC6FB3" w:rsidRPr="007224C3" w:rsidRDefault="00DC6FB3" w:rsidP="007224C3">
      <w:pPr>
        <w:pStyle w:val="184"/>
        <w:shd w:val="clear" w:color="auto" w:fill="auto"/>
        <w:spacing w:before="0" w:after="0" w:line="240" w:lineRule="auto"/>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Серийный Ил-2 зав. №304783 произ</w:t>
      </w:r>
      <w:r w:rsidRPr="007224C3">
        <w:rPr>
          <w:rFonts w:ascii="Times New Roman" w:hAnsi="Times New Roman" w:cs="Times New Roman"/>
          <w:color w:val="000000" w:themeColor="text1"/>
          <w:sz w:val="16"/>
          <w:szCs w:val="16"/>
        </w:rPr>
        <w:softHyphen/>
        <w:t>водства московского завода №30 с до</w:t>
      </w:r>
      <w:r w:rsidRPr="007224C3">
        <w:rPr>
          <w:rFonts w:ascii="Times New Roman" w:hAnsi="Times New Roman" w:cs="Times New Roman"/>
          <w:color w:val="000000" w:themeColor="text1"/>
          <w:sz w:val="16"/>
          <w:szCs w:val="16"/>
        </w:rPr>
        <w:softHyphen/>
        <w:t>полнительной броней стрелка успешно отлетал программу государственных ис</w:t>
      </w:r>
      <w:r w:rsidRPr="007224C3">
        <w:rPr>
          <w:rFonts w:ascii="Times New Roman" w:hAnsi="Times New Roman" w:cs="Times New Roman"/>
          <w:color w:val="000000" w:themeColor="text1"/>
          <w:sz w:val="16"/>
          <w:szCs w:val="16"/>
        </w:rPr>
        <w:softHyphen/>
        <w:t>пытаний в период с 29 по 30 июня, а Ил-2 зав. №305395 этого же завода с «длин</w:t>
      </w:r>
      <w:r w:rsidRPr="007224C3">
        <w:rPr>
          <w:rFonts w:ascii="Times New Roman" w:hAnsi="Times New Roman" w:cs="Times New Roman"/>
          <w:color w:val="000000" w:themeColor="text1"/>
          <w:sz w:val="16"/>
          <w:szCs w:val="16"/>
        </w:rPr>
        <w:softHyphen/>
        <w:t>ным» бронекорпусом - с 14 по 28 авгу</w:t>
      </w:r>
      <w:r w:rsidRPr="007224C3">
        <w:rPr>
          <w:rFonts w:ascii="Times New Roman" w:hAnsi="Times New Roman" w:cs="Times New Roman"/>
          <w:color w:val="000000" w:themeColor="text1"/>
          <w:sz w:val="16"/>
          <w:szCs w:val="16"/>
        </w:rPr>
        <w:softHyphen/>
        <w:t>ста 1944 г.</w:t>
      </w:r>
    </w:p>
    <w:p w14:paraId="194232AB" w14:textId="77777777" w:rsidR="00DC6FB3" w:rsidRPr="007224C3" w:rsidRDefault="00DC6FB3" w:rsidP="007224C3">
      <w:pPr>
        <w:pStyle w:val="184"/>
        <w:shd w:val="clear" w:color="auto" w:fill="auto"/>
        <w:spacing w:before="0" w:after="0" w:line="240" w:lineRule="auto"/>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Вооружение самолетов в целом соот</w:t>
      </w:r>
      <w:r w:rsidRPr="007224C3">
        <w:rPr>
          <w:rFonts w:ascii="Times New Roman" w:hAnsi="Times New Roman" w:cs="Times New Roman"/>
          <w:color w:val="000000" w:themeColor="text1"/>
          <w:sz w:val="16"/>
          <w:szCs w:val="16"/>
        </w:rPr>
        <w:softHyphen/>
        <w:t>ветствовало серийным вариантам Ил-2 с обычным бронекорпусом, но макси</w:t>
      </w:r>
      <w:r w:rsidRPr="007224C3">
        <w:rPr>
          <w:rFonts w:ascii="Times New Roman" w:hAnsi="Times New Roman" w:cs="Times New Roman"/>
          <w:color w:val="000000" w:themeColor="text1"/>
          <w:sz w:val="16"/>
          <w:szCs w:val="16"/>
        </w:rPr>
        <w:softHyphen/>
        <w:t>мальная бомбовая нагрузка ограничива</w:t>
      </w:r>
      <w:r w:rsidRPr="007224C3">
        <w:rPr>
          <w:rFonts w:ascii="Times New Roman" w:hAnsi="Times New Roman" w:cs="Times New Roman"/>
          <w:color w:val="000000" w:themeColor="text1"/>
          <w:sz w:val="16"/>
          <w:szCs w:val="16"/>
        </w:rPr>
        <w:softHyphen/>
        <w:t>лась 400 кг.</w:t>
      </w:r>
    </w:p>
    <w:p w14:paraId="1B9E9474" w14:textId="77777777" w:rsidR="00DC6FB3" w:rsidRPr="007224C3" w:rsidRDefault="00DC6FB3" w:rsidP="007224C3">
      <w:pPr>
        <w:pStyle w:val="184"/>
        <w:shd w:val="clear" w:color="auto" w:fill="auto"/>
        <w:spacing w:before="0" w:after="0" w:line="240" w:lineRule="auto"/>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По сравнению с серийным Ил-2 об</w:t>
      </w:r>
      <w:r w:rsidRPr="007224C3">
        <w:rPr>
          <w:rFonts w:ascii="Times New Roman" w:hAnsi="Times New Roman" w:cs="Times New Roman"/>
          <w:color w:val="000000" w:themeColor="text1"/>
          <w:sz w:val="16"/>
          <w:szCs w:val="16"/>
        </w:rPr>
        <w:softHyphen/>
        <w:t>щий вес металлической брони на само</w:t>
      </w:r>
      <w:r w:rsidRPr="007224C3">
        <w:rPr>
          <w:rFonts w:ascii="Times New Roman" w:hAnsi="Times New Roman" w:cs="Times New Roman"/>
          <w:color w:val="000000" w:themeColor="text1"/>
          <w:sz w:val="16"/>
          <w:szCs w:val="16"/>
        </w:rPr>
        <w:softHyphen/>
        <w:t>лете с удлиненным бронекорпусом уве</w:t>
      </w:r>
      <w:r w:rsidRPr="007224C3">
        <w:rPr>
          <w:rFonts w:ascii="Times New Roman" w:hAnsi="Times New Roman" w:cs="Times New Roman"/>
          <w:color w:val="000000" w:themeColor="text1"/>
          <w:sz w:val="16"/>
          <w:szCs w:val="16"/>
        </w:rPr>
        <w:softHyphen/>
        <w:t>личился на 58 кг (1015 кг вместо 957 кг), а деревянная часть фюзеляжа - укорачива</w:t>
      </w:r>
      <w:r w:rsidRPr="007224C3">
        <w:rPr>
          <w:rFonts w:ascii="Times New Roman" w:hAnsi="Times New Roman" w:cs="Times New Roman"/>
          <w:color w:val="000000" w:themeColor="text1"/>
          <w:sz w:val="16"/>
          <w:szCs w:val="16"/>
        </w:rPr>
        <w:softHyphen/>
        <w:t>лась на 1135 мм.</w:t>
      </w:r>
    </w:p>
    <w:p w14:paraId="2DB1E0D0" w14:textId="77777777" w:rsidR="00DC6FB3" w:rsidRPr="007224C3" w:rsidRDefault="00DC6FB3" w:rsidP="007224C3">
      <w:pPr>
        <w:pStyle w:val="184"/>
        <w:shd w:val="clear" w:color="auto" w:fill="auto"/>
        <w:spacing w:before="0" w:after="0" w:line="240" w:lineRule="auto"/>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Отметим, что в переписке Ил-2 с уд</w:t>
      </w:r>
      <w:r w:rsidRPr="007224C3">
        <w:rPr>
          <w:rFonts w:ascii="Times New Roman" w:hAnsi="Times New Roman" w:cs="Times New Roman"/>
          <w:color w:val="000000" w:themeColor="text1"/>
          <w:sz w:val="16"/>
          <w:szCs w:val="16"/>
        </w:rPr>
        <w:softHyphen/>
        <w:t>линенным бронекорпусом иногда обозна</w:t>
      </w:r>
      <w:r w:rsidRPr="007224C3">
        <w:rPr>
          <w:rFonts w:ascii="Times New Roman" w:hAnsi="Times New Roman" w:cs="Times New Roman"/>
          <w:color w:val="000000" w:themeColor="text1"/>
          <w:sz w:val="16"/>
          <w:szCs w:val="16"/>
        </w:rPr>
        <w:softHyphen/>
        <w:t>чался как Ил-2У,то есть улучшенный.</w:t>
      </w:r>
    </w:p>
    <w:p w14:paraId="1C0A47A8" w14:textId="77777777" w:rsidR="00DC6FB3" w:rsidRPr="007224C3" w:rsidRDefault="00DC6FB3" w:rsidP="007224C3">
      <w:pPr>
        <w:pStyle w:val="184"/>
        <w:shd w:val="clear" w:color="auto" w:fill="auto"/>
        <w:spacing w:before="0" w:after="0" w:line="240" w:lineRule="auto"/>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В ходе испытаний оба самолета по</w:t>
      </w:r>
      <w:r w:rsidRPr="007224C3">
        <w:rPr>
          <w:rFonts w:ascii="Times New Roman" w:hAnsi="Times New Roman" w:cs="Times New Roman"/>
          <w:color w:val="000000" w:themeColor="text1"/>
          <w:sz w:val="16"/>
          <w:szCs w:val="16"/>
        </w:rPr>
        <w:softHyphen/>
        <w:t>казали хорошую управляемость и про</w:t>
      </w:r>
      <w:r w:rsidRPr="007224C3">
        <w:rPr>
          <w:rFonts w:ascii="Times New Roman" w:hAnsi="Times New Roman" w:cs="Times New Roman"/>
          <w:color w:val="000000" w:themeColor="text1"/>
          <w:sz w:val="16"/>
          <w:szCs w:val="16"/>
        </w:rPr>
        <w:softHyphen/>
        <w:t>дольную устойчивость. Однако указы</w:t>
      </w:r>
      <w:r w:rsidRPr="007224C3">
        <w:rPr>
          <w:rFonts w:ascii="Times New Roman" w:hAnsi="Times New Roman" w:cs="Times New Roman"/>
          <w:color w:val="000000" w:themeColor="text1"/>
          <w:sz w:val="16"/>
          <w:szCs w:val="16"/>
        </w:rPr>
        <w:softHyphen/>
        <w:t>валось, что более задняя центровка са</w:t>
      </w:r>
      <w:r w:rsidRPr="007224C3">
        <w:rPr>
          <w:rFonts w:ascii="Times New Roman" w:hAnsi="Times New Roman" w:cs="Times New Roman"/>
          <w:color w:val="000000" w:themeColor="text1"/>
          <w:sz w:val="16"/>
          <w:szCs w:val="16"/>
        </w:rPr>
        <w:softHyphen/>
        <w:t>молета Ил-2 с дополнительным брони</w:t>
      </w:r>
      <w:r w:rsidRPr="007224C3">
        <w:rPr>
          <w:rFonts w:ascii="Times New Roman" w:hAnsi="Times New Roman" w:cs="Times New Roman"/>
          <w:color w:val="000000" w:themeColor="text1"/>
          <w:sz w:val="16"/>
          <w:szCs w:val="16"/>
        </w:rPr>
        <w:softHyphen/>
        <w:t>рованием кабины стрелка ухудшила его продольную устойчивость. На всем экс</w:t>
      </w:r>
      <w:r w:rsidRPr="007224C3">
        <w:rPr>
          <w:rFonts w:ascii="Times New Roman" w:hAnsi="Times New Roman" w:cs="Times New Roman"/>
          <w:color w:val="000000" w:themeColor="text1"/>
          <w:sz w:val="16"/>
          <w:szCs w:val="16"/>
        </w:rPr>
        <w:softHyphen/>
        <w:t>плуатационном диапазоне центровок и режимах полета «самолет имеет динами</w:t>
      </w:r>
      <w:r w:rsidRPr="007224C3">
        <w:rPr>
          <w:rFonts w:ascii="Times New Roman" w:hAnsi="Times New Roman" w:cs="Times New Roman"/>
          <w:color w:val="000000" w:themeColor="text1"/>
          <w:sz w:val="16"/>
          <w:szCs w:val="16"/>
        </w:rPr>
        <w:softHyphen/>
        <w:t>ческую устойчивость, близкую к нейтраль</w:t>
      </w:r>
      <w:r w:rsidRPr="007224C3">
        <w:rPr>
          <w:rFonts w:ascii="Times New Roman" w:hAnsi="Times New Roman" w:cs="Times New Roman"/>
          <w:color w:val="000000" w:themeColor="text1"/>
          <w:sz w:val="16"/>
          <w:szCs w:val="16"/>
        </w:rPr>
        <w:softHyphen/>
        <w:t>ной, в сторону отрицательной». Ведущий летчик-испытатель инженер-майор Сине</w:t>
      </w:r>
      <w:r w:rsidRPr="007224C3">
        <w:rPr>
          <w:rFonts w:ascii="Times New Roman" w:hAnsi="Times New Roman" w:cs="Times New Roman"/>
          <w:color w:val="000000" w:themeColor="text1"/>
          <w:sz w:val="16"/>
          <w:szCs w:val="16"/>
        </w:rPr>
        <w:softHyphen/>
        <w:t>льников в разделе «Летная оценка само</w:t>
      </w:r>
      <w:r w:rsidRPr="007224C3">
        <w:rPr>
          <w:rFonts w:ascii="Times New Roman" w:hAnsi="Times New Roman" w:cs="Times New Roman"/>
          <w:color w:val="000000" w:themeColor="text1"/>
          <w:sz w:val="16"/>
          <w:szCs w:val="16"/>
        </w:rPr>
        <w:softHyphen/>
        <w:t>лета» указывал: «прогрессивное увеличе</w:t>
      </w:r>
      <w:r w:rsidRPr="007224C3">
        <w:rPr>
          <w:rFonts w:ascii="Times New Roman" w:hAnsi="Times New Roman" w:cs="Times New Roman"/>
          <w:color w:val="000000" w:themeColor="text1"/>
          <w:sz w:val="16"/>
          <w:szCs w:val="16"/>
        </w:rPr>
        <w:softHyphen/>
        <w:t>ние веса самолета Ил-2 до 6355 кг счи</w:t>
      </w:r>
      <w:r w:rsidRPr="007224C3">
        <w:rPr>
          <w:rFonts w:ascii="Times New Roman" w:hAnsi="Times New Roman" w:cs="Times New Roman"/>
          <w:color w:val="000000" w:themeColor="text1"/>
          <w:sz w:val="16"/>
          <w:szCs w:val="16"/>
        </w:rPr>
        <w:softHyphen/>
        <w:t>таю ненормальным и крайне нежелатель</w:t>
      </w:r>
      <w:r w:rsidRPr="007224C3">
        <w:rPr>
          <w:rFonts w:ascii="Times New Roman" w:hAnsi="Times New Roman" w:cs="Times New Roman"/>
          <w:color w:val="000000" w:themeColor="text1"/>
          <w:sz w:val="16"/>
          <w:szCs w:val="16"/>
        </w:rPr>
        <w:softHyphen/>
        <w:t>ным, так как, в конце концов, это приведет к резкому ухудшению взлетных свойств и усложнением техники пилотирова</w:t>
      </w:r>
      <w:r w:rsidRPr="007224C3">
        <w:rPr>
          <w:rFonts w:ascii="Times New Roman" w:hAnsi="Times New Roman" w:cs="Times New Roman"/>
          <w:color w:val="000000" w:themeColor="text1"/>
          <w:sz w:val="16"/>
          <w:szCs w:val="16"/>
        </w:rPr>
        <w:softHyphen/>
        <w:t>ния». Тем не менее, был сделан вывод, что «установка дополнительной брони улуч</w:t>
      </w:r>
      <w:r w:rsidRPr="007224C3">
        <w:rPr>
          <w:rFonts w:ascii="Times New Roman" w:hAnsi="Times New Roman" w:cs="Times New Roman"/>
          <w:color w:val="000000" w:themeColor="text1"/>
          <w:sz w:val="16"/>
          <w:szCs w:val="16"/>
        </w:rPr>
        <w:softHyphen/>
        <w:t>шает защиту стрелка, является целесоо</w:t>
      </w:r>
      <w:r w:rsidRPr="007224C3">
        <w:rPr>
          <w:rFonts w:ascii="Times New Roman" w:hAnsi="Times New Roman" w:cs="Times New Roman"/>
          <w:color w:val="000000" w:themeColor="text1"/>
          <w:sz w:val="16"/>
          <w:szCs w:val="16"/>
        </w:rPr>
        <w:softHyphen/>
        <w:t>бразной и может быть рекомендована на самолетах с увеличенной стрельчатостью крыла для строевых частей ВВС КА».</w:t>
      </w:r>
    </w:p>
    <w:p w14:paraId="516BC56E" w14:textId="77777777" w:rsidR="00DC6FB3" w:rsidRPr="007224C3" w:rsidRDefault="00DC6FB3" w:rsidP="007224C3">
      <w:pPr>
        <w:pStyle w:val="184"/>
        <w:shd w:val="clear" w:color="auto" w:fill="auto"/>
        <w:spacing w:before="0" w:after="0" w:line="240" w:lineRule="auto"/>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В отношении самолета с удлиненным бронекорпусом никаких недостатков в части управляемости не отмечалось, по</w:t>
      </w:r>
      <w:r w:rsidRPr="007224C3">
        <w:rPr>
          <w:rFonts w:ascii="Times New Roman" w:hAnsi="Times New Roman" w:cs="Times New Roman"/>
          <w:color w:val="000000" w:themeColor="text1"/>
          <w:sz w:val="16"/>
          <w:szCs w:val="16"/>
        </w:rPr>
        <w:softHyphen/>
        <w:t>скольку вследствие перераспределения толщины брони центровка самолета даже сместилась несколько вперед в сравне</w:t>
      </w:r>
      <w:r w:rsidRPr="007224C3">
        <w:rPr>
          <w:rFonts w:ascii="Times New Roman" w:hAnsi="Times New Roman" w:cs="Times New Roman"/>
          <w:color w:val="000000" w:themeColor="text1"/>
          <w:sz w:val="16"/>
          <w:szCs w:val="16"/>
        </w:rPr>
        <w:softHyphen/>
        <w:t>нии с серийным самолетом (19558).</w:t>
      </w:r>
    </w:p>
    <w:p w14:paraId="2E81FF27" w14:textId="77777777" w:rsidR="00DC6FB3" w:rsidRPr="007224C3" w:rsidRDefault="00DC6FB3" w:rsidP="007224C3">
      <w:pPr>
        <w:spacing w:after="0" w:line="240" w:lineRule="auto"/>
        <w:jc w:val="both"/>
        <w:rPr>
          <w:rFonts w:ascii="Times New Roman" w:hAnsi="Times New Roman"/>
          <w:color w:val="000000" w:themeColor="text1"/>
          <w:sz w:val="16"/>
          <w:szCs w:val="16"/>
        </w:rPr>
      </w:pPr>
    </w:p>
    <w:p w14:paraId="4C264E1D" w14:textId="77777777" w:rsidR="006B3C37" w:rsidRPr="007224C3" w:rsidRDefault="006B3C37" w:rsidP="007224C3">
      <w:pPr>
        <w:pStyle w:val="ae"/>
        <w:spacing w:before="0" w:after="0"/>
        <w:jc w:val="both"/>
        <w:textAlignment w:val="baseline"/>
        <w:rPr>
          <w:color w:val="000000" w:themeColor="text1"/>
          <w:sz w:val="16"/>
          <w:szCs w:val="16"/>
        </w:rPr>
      </w:pPr>
      <w:r w:rsidRPr="007224C3">
        <w:rPr>
          <w:color w:val="000000" w:themeColor="text1"/>
          <w:sz w:val="16"/>
          <w:szCs w:val="16"/>
        </w:rPr>
        <w:t>К 1 июня 1944 г. общая численность штурмовиков Ил-2 на фронте достигла 3797, а по состоянию на 1 января 1945 г. вышла на максимальный за войну показатель: 4171 самолет. Тем не менее потери штурмовых полков по-прежнему оставались огромными и в предпоследний год войны достигли цифры 3344 машины (19522).</w:t>
      </w:r>
    </w:p>
    <w:p w14:paraId="748F8B4B" w14:textId="77777777" w:rsidR="006B3C37" w:rsidRPr="007224C3" w:rsidRDefault="006B3C37" w:rsidP="007224C3">
      <w:pPr>
        <w:pStyle w:val="ae"/>
        <w:spacing w:before="0" w:after="0"/>
        <w:jc w:val="both"/>
        <w:textAlignment w:val="baseline"/>
        <w:rPr>
          <w:color w:val="000000" w:themeColor="text1"/>
          <w:sz w:val="16"/>
          <w:szCs w:val="16"/>
        </w:rPr>
      </w:pPr>
    </w:p>
    <w:p w14:paraId="1E2E8F25" w14:textId="77777777" w:rsidR="00AC5DD0" w:rsidRPr="007224C3" w:rsidRDefault="00AC5DD0"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К 1 июня 1944 г. общая численность штурмовиков Ил</w:t>
      </w:r>
      <w:r w:rsidRPr="007224C3">
        <w:rPr>
          <w:rFonts w:ascii="Times New Roman" w:hAnsi="Times New Roman"/>
          <w:color w:val="0070C0"/>
          <w:sz w:val="16"/>
          <w:szCs w:val="16"/>
        </w:rPr>
        <w:noBreakHyphen/>
        <w:t>2 на фронте достигла 3797, а по состоянию на 1 января 1945 г. вышла на максимальный за войну показатель: 4171 самолет. Тем не менее потери штурмовых полков по</w:t>
      </w:r>
      <w:r w:rsidRPr="007224C3">
        <w:rPr>
          <w:rFonts w:ascii="Times New Roman" w:hAnsi="Times New Roman"/>
          <w:color w:val="0070C0"/>
          <w:sz w:val="16"/>
          <w:szCs w:val="16"/>
        </w:rPr>
        <w:noBreakHyphen/>
        <w:t>прежнему оставались огромными и в предпоследний год войны достигли цифры 3344 машины. Только в 1945 г., когда из</w:t>
      </w:r>
      <w:r w:rsidRPr="007224C3">
        <w:rPr>
          <w:rFonts w:ascii="Times New Roman" w:hAnsi="Times New Roman"/>
          <w:color w:val="0070C0"/>
          <w:sz w:val="16"/>
          <w:szCs w:val="16"/>
        </w:rPr>
        <w:noBreakHyphen/>
        <w:t>за значительного ослабления сил люфтваффе немецкие истребители в небе стали редкостью, а наземная противовоздушная оборона также значительно ослабла, «черная смерть» наконец смогла продемонстрировать все свои боевые возможности (23199).</w:t>
      </w:r>
    </w:p>
    <w:p w14:paraId="7B364C4A" w14:textId="77777777" w:rsidR="00AC5DD0" w:rsidRPr="007224C3" w:rsidRDefault="00AC5DD0" w:rsidP="007224C3">
      <w:pPr>
        <w:spacing w:after="0" w:line="240" w:lineRule="auto"/>
        <w:jc w:val="both"/>
        <w:rPr>
          <w:rFonts w:ascii="Times New Roman" w:hAnsi="Times New Roman"/>
          <w:color w:val="0070C0"/>
          <w:sz w:val="16"/>
          <w:szCs w:val="16"/>
        </w:rPr>
      </w:pPr>
    </w:p>
    <w:p w14:paraId="41DFB78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июня 1944 после завершения 31 мая 1944 л-и А.Д.Перелет и ви Б.Н.Гроздов заводских испытаний СДБ А.Н.Т. (63/1), сделанного на основе 103 2АМ-37, машина была передана на гос. испытания в НИИ ВВС (1835,56).</w:t>
      </w:r>
    </w:p>
    <w:p w14:paraId="3E8FA20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48FD4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 июня по 16 сентября 1944 г. самолет ТИС (МА) проходил летные испытания (9649).</w:t>
      </w:r>
    </w:p>
    <w:p w14:paraId="36287E5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Поскольку моторы АМ-39 к началу испытаний так и не были готовы, самолет испытывался с моторами АМ-38Ф. Полеты проходили вполне успешно. Серийные моторы АМ-38Ф работали нормально. Полученные летные данные практически не отличались от расчетных.</w:t>
      </w:r>
    </w:p>
    <w:p w14:paraId="4A84376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полетном весе 8280 кг максимальная скорость у земли составила 514 км/ч, а на высоте 7400 м - до 535 км/ч. Время набора высоты 5000 м -9,2 мин.</w:t>
      </w:r>
    </w:p>
    <w:p w14:paraId="4D4F770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выводах по испытаниям подчеркивалось, что по технике пилотирования и взлетно-посадочным свойствам самолет доступен для летчиков средней квалификации.</w:t>
      </w:r>
    </w:p>
    <w:p w14:paraId="7C95982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существу, можно считать, что с низковысотными моторами самолет ТИС (МА) испытывался именно в варианте воздушного истребителя танков.</w:t>
      </w:r>
    </w:p>
    <w:p w14:paraId="11FC4B1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Необходимо было лишь усилить бронирование, что вполне было возможно сделать, практически не изменяя взлетного веса, за счет снижения запаса топлива (дальность в 2000 км в этом варианте была излишней) и за счет облегчения конструкции (большие перегрузки - Акр=12 самолету в варианте ВИТ выдерживать было незачем).</w:t>
      </w:r>
    </w:p>
    <w:p w14:paraId="16D8BF1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Однако к этому времени проблема противотанкового самолета уже не рассматривалась столь остро. К тому же вскоре не стало и Поликарпова.</w:t>
      </w:r>
    </w:p>
    <w:p w14:paraId="1427AF1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сожалению, и на этот раз достаточно хорошо отработанный самолет так и не нашел практического воплощения в виде воздушного истребителя танков.</w:t>
      </w:r>
    </w:p>
    <w:p w14:paraId="517602F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Поскольку самолет ТИС AM был логическим развитием самолета ВИТ-1, и преемником самолетов ВИТ-2, СПБ 2М-105, и при его создании использовался опыт проектирования самолетов ПБ-1, ТИС А и СПБ с моторами АМ-37, М-120, М-81 и М-71, то при анализе степени соответствия самолетов ВИТ-1 и ТИС требованиям к противотанковому самолету периода Великой Отечественной войны воспользуемся соответствующими результатами проведенных испытаний и расчетов.</w:t>
      </w:r>
    </w:p>
    <w:p w14:paraId="375C9B3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Кроме того, воспользуемся результатами ориентировочных расчетов, связанных с введением дополнительного бронирования, некоторыми изменениями вооружения и с возможным использованием низковысотных моторов М-71Ф, АМ-42 и М-82ФН ИР.</w:t>
      </w:r>
    </w:p>
    <w:p w14:paraId="76BC675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После соответствующей доработки самолеты ТИС могли практически полностью удовлетворять требованиям к самолету поля боя: использование пушек калибра 37 и 45 мм, постановка дополнительного бронирования, за счет применения невысотного мотора, уменьшения запаса топлива и масла, а также уменьшения веса конструкции за счет существенного снижения требований к запасу прочности.</w:t>
      </w:r>
    </w:p>
    <w:p w14:paraId="34D69D2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этом случае, при использовании моторов АМ-38 вполне могла быть получена максимальная скорость у земли не менее 500 км/ч, с моторами АМ-38Ф реально была получена скорость 514 км/ч, с моторами АМ-42 скорость могла быть не менее 540 км/ч, с М-82ФН ИР - не менее 520 км/ч, а с моторами М-71ф - не менее 547 км/ч. Вертикальная скорость самолета у земли должна была быть, соответственно, не менее 12,17,17,4,16 и 19 м/с. Вполне приемлемыми были бы и взлетно-посадочные характеристики. Дальность полета в 1600 км могла быть гарантированно обеспечена.</w:t>
      </w:r>
    </w:p>
    <w:p w14:paraId="28579B8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Оценки показывают, что в типовых условиях боев летчик с хорошей летной и стрелковой подготовкой на самолете ТИС (МА) с противотанковым вариантом вооружения (две НС-45, 2 ШВАК) уже в первой атаке мог обеспечить вероятность поражения немецкого среднего танка типа Pz. IV Ausf G (атака сбоку, угол планирования 25-30°, дистанция открытия огня 300-400 м) порядка 0,18-0,25, а бронетранспортера типа Sd Kfz 250 - 0,9.</w:t>
      </w:r>
    </w:p>
    <w:p w14:paraId="43F6C3B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Если еще учесть 1000 кг авиабомб, то ТИС в каждом боевом вылете мог га-рантированно поражать один-два средних танков вермахта, конечно, при наличии таковых на поле боя.</w:t>
      </w:r>
    </w:p>
    <w:p w14:paraId="6CBF215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Мы уже упоминали, что при рассмотрении эскизного проекта ТИС (МА) специалисты НИИ ВВС КА указывали на необходимость использования его в качестве противотанкового самолета.</w:t>
      </w:r>
    </w:p>
    <w:p w14:paraId="7B6FDD7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Можно сожалеть, что после успешного испытания скоростного истребителя с низковысотными моторами АМ-38Ф, Поликарпов не вышел с инициативой о запуске противотанкового варианта самолета в серию (9649).</w:t>
      </w:r>
    </w:p>
    <w:p w14:paraId="0D90725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7FC93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 по 5 июня 1944 в Москве проходили наземные испытания ТИС (МА), но первый полет выполнил только 13 июня 1944 (10535,34).</w:t>
      </w:r>
    </w:p>
    <w:p w14:paraId="36578A7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66D8E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июня 1944 г. начались наземные испытания ТИС (МА). К 5 ию</w:t>
      </w:r>
      <w:r w:rsidRPr="007224C3">
        <w:rPr>
          <w:rFonts w:ascii="Times New Roman" w:hAnsi="Times New Roman"/>
          <w:color w:val="000000" w:themeColor="text1"/>
          <w:sz w:val="16"/>
          <w:szCs w:val="16"/>
        </w:rPr>
        <w:softHyphen/>
        <w:t>ня ТИС (МА) был готов к проведению летных испыта</w:t>
      </w:r>
      <w:r w:rsidRPr="007224C3">
        <w:rPr>
          <w:rFonts w:ascii="Times New Roman" w:hAnsi="Times New Roman"/>
          <w:color w:val="000000" w:themeColor="text1"/>
          <w:sz w:val="16"/>
          <w:szCs w:val="16"/>
        </w:rPr>
        <w:softHyphen/>
        <w:t>ний, но разрешение заместителя наркома А.С.Яковлева на первый вылет удалось получить только к 13 июня. В этот день летчик-испытатель полковник Н.В.Гаврилов поднял машину в воздух (10667).</w:t>
      </w:r>
    </w:p>
    <w:p w14:paraId="1F9C1D8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326082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C 1 июня 1944 по 16 сентября 1944 состоялись испытания ТИС (МА), построенного в конце 1943, с АМ-38 (228,157). Это были моторы АМ-38Ф, т.к. планировавшиеся АМ-39 достать не удалось (2349,27).</w:t>
      </w:r>
    </w:p>
    <w:p w14:paraId="2512C16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91E647" w14:textId="77777777" w:rsidR="001E5A47" w:rsidRPr="007224C3" w:rsidRDefault="001E5A47"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 июня</w:t>
      </w:r>
      <w:r w:rsidRPr="007224C3">
        <w:rPr>
          <w:rFonts w:ascii="Times New Roman" w:hAnsi="Times New Roman"/>
          <w:color w:val="000000" w:themeColor="text1"/>
          <w:sz w:val="16"/>
          <w:szCs w:val="16"/>
        </w:rPr>
        <w:t xml:space="preserve"> в 1944 году начались испытания тяжелого истребителя сопровождения </w:t>
      </w:r>
      <w:hyperlink r:id="rId158" w:tgtFrame="_blank" w:history="1">
        <w:r w:rsidRPr="007224C3">
          <w:rPr>
            <w:rFonts w:ascii="Times New Roman" w:hAnsi="Times New Roman"/>
            <w:color w:val="000000" w:themeColor="text1"/>
            <w:sz w:val="16"/>
            <w:szCs w:val="16"/>
          </w:rPr>
          <w:t xml:space="preserve">«ТИС». </w:t>
        </w:r>
      </w:hyperlink>
      <w:r w:rsidRPr="007224C3">
        <w:rPr>
          <w:rFonts w:ascii="Times New Roman" w:hAnsi="Times New Roman"/>
          <w:color w:val="000000" w:themeColor="text1"/>
          <w:sz w:val="16"/>
          <w:szCs w:val="16"/>
        </w:rPr>
        <w:t>К 5 июня «ТИС» («МА») был готов к проведению летных испытаний, но разрешение заместителя наркома А.С.Яковлева на первый вылет удалось получить только 13 июня. В тот же день летчик-испытатель полковник Н.В.Гаврилов поднял машину в воздух. Самолет потерпел аварию 29 июня 1944 г. - в конце пробега отказали тормоза. Ремонт продолжался целый месяц (с 30 июня по 30 июля), 14 августа летные испытания возобновились в ЛИИ и продолжались до 16 сентября (14909).</w:t>
      </w:r>
    </w:p>
    <w:p w14:paraId="073C208A" w14:textId="77777777" w:rsidR="001E5A47" w:rsidRPr="007224C3" w:rsidRDefault="001E5A47" w:rsidP="007224C3">
      <w:pPr>
        <w:spacing w:after="0" w:line="240" w:lineRule="auto"/>
        <w:jc w:val="both"/>
        <w:rPr>
          <w:rFonts w:ascii="Times New Roman" w:hAnsi="Times New Roman"/>
          <w:color w:val="000000" w:themeColor="text1"/>
          <w:sz w:val="16"/>
          <w:szCs w:val="16"/>
        </w:rPr>
      </w:pPr>
    </w:p>
    <w:p w14:paraId="28B91371" w14:textId="77777777" w:rsidR="00D54008" w:rsidRPr="007224C3" w:rsidRDefault="00D54008"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lastRenderedPageBreak/>
        <w:t>К 1 июня 1944 г. ТИС (МА) достиг летной готовности К этому дню выполнили рулежки и подлеты. Поведение самолета было вполне нормальным. По</w:t>
      </w:r>
      <w:r w:rsidRPr="007224C3">
        <w:rPr>
          <w:color w:val="000000" w:themeColor="text1"/>
          <w:sz w:val="16"/>
          <w:szCs w:val="16"/>
        </w:rPr>
        <w:softHyphen/>
        <w:t>сле регулировки моторов и устранения некоторых мелких производственных дефектов ОКБ офици</w:t>
      </w:r>
      <w:r w:rsidRPr="007224C3">
        <w:rPr>
          <w:color w:val="000000" w:themeColor="text1"/>
          <w:sz w:val="16"/>
          <w:szCs w:val="16"/>
        </w:rPr>
        <w:softHyphen/>
        <w:t>ально доложило о готовности самолета ТИС (МА) совершить первый испытательный полет 8 июня. Необходимые документы, подтверждающие готов</w:t>
      </w:r>
      <w:r w:rsidRPr="007224C3">
        <w:rPr>
          <w:color w:val="000000" w:themeColor="text1"/>
          <w:sz w:val="16"/>
          <w:szCs w:val="16"/>
        </w:rPr>
        <w:softHyphen/>
        <w:t>ность машины, вместе с запросом на полет бы</w:t>
      </w:r>
      <w:r w:rsidRPr="007224C3">
        <w:rPr>
          <w:color w:val="000000" w:themeColor="text1"/>
          <w:sz w:val="16"/>
          <w:szCs w:val="16"/>
        </w:rPr>
        <w:softHyphen/>
        <w:t>ли направлены в НКАП. Разрешение заместителя наркома А. С. Яковлева на первый вылет было по</w:t>
      </w:r>
      <w:r w:rsidRPr="007224C3">
        <w:rPr>
          <w:color w:val="000000" w:themeColor="text1"/>
          <w:sz w:val="16"/>
          <w:szCs w:val="16"/>
        </w:rPr>
        <w:softHyphen/>
        <w:t>лучено только 13 июня. В этот же день летчик-ис</w:t>
      </w:r>
      <w:r w:rsidRPr="007224C3">
        <w:rPr>
          <w:color w:val="000000" w:themeColor="text1"/>
          <w:sz w:val="16"/>
          <w:szCs w:val="16"/>
        </w:rPr>
        <w:softHyphen/>
        <w:t>пытатель Н. В. Гаврилов поднял машину в воздух. Полет прошел без происшествий, строго по плану. Температуры воды и масла в полете были в преде</w:t>
      </w:r>
      <w:r w:rsidRPr="007224C3">
        <w:rPr>
          <w:color w:val="000000" w:themeColor="text1"/>
          <w:sz w:val="16"/>
          <w:szCs w:val="16"/>
        </w:rPr>
        <w:softHyphen/>
        <w:t>лах нормы. Посадка была выполнена на повышен</w:t>
      </w:r>
      <w:r w:rsidRPr="007224C3">
        <w:rPr>
          <w:color w:val="000000" w:themeColor="text1"/>
          <w:sz w:val="16"/>
          <w:szCs w:val="16"/>
        </w:rPr>
        <w:softHyphen/>
        <w:t>ной скорости примерно 250—270 км/ч. По заявле</w:t>
      </w:r>
      <w:r w:rsidRPr="007224C3">
        <w:rPr>
          <w:color w:val="000000" w:themeColor="text1"/>
          <w:sz w:val="16"/>
          <w:szCs w:val="16"/>
        </w:rPr>
        <w:softHyphen/>
        <w:t>нию летчика, «рулей высоты на посадку хватило, но без запаса. Остальные рули эффективны. По</w:t>
      </w:r>
      <w:r w:rsidRPr="007224C3">
        <w:rPr>
          <w:color w:val="000000" w:themeColor="text1"/>
          <w:sz w:val="16"/>
          <w:szCs w:val="16"/>
        </w:rPr>
        <w:softHyphen/>
        <w:t>перечная устойчивость самолета больше продоль</w:t>
      </w:r>
      <w:r w:rsidRPr="007224C3">
        <w:rPr>
          <w:color w:val="000000" w:themeColor="text1"/>
          <w:sz w:val="16"/>
          <w:szCs w:val="16"/>
        </w:rPr>
        <w:softHyphen/>
        <w:t>ной, что делает самолет неприятным в пилотиро</w:t>
      </w:r>
      <w:r w:rsidRPr="007224C3">
        <w:rPr>
          <w:color w:val="000000" w:themeColor="text1"/>
          <w:sz w:val="16"/>
          <w:szCs w:val="16"/>
        </w:rPr>
        <w:softHyphen/>
        <w:t>вании».</w:t>
      </w:r>
    </w:p>
    <w:p w14:paraId="5F2BB090" w14:textId="77777777" w:rsidR="00D54008" w:rsidRPr="007224C3" w:rsidRDefault="00D54008"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В ходе очередного испытательного полета 21 июня не убралась левая стойка шасси. Как выяс</w:t>
      </w:r>
      <w:r w:rsidRPr="007224C3">
        <w:rPr>
          <w:color w:val="000000" w:themeColor="text1"/>
          <w:sz w:val="16"/>
          <w:szCs w:val="16"/>
        </w:rPr>
        <w:softHyphen/>
        <w:t>нилось, сработалась собачка замка шасси. Самолет встал в ремонт. 29 июня при посадке без щитков (Н. В. Гаврилов забыл выпустить их) в конце пробе</w:t>
      </w:r>
      <w:r w:rsidRPr="007224C3">
        <w:rPr>
          <w:color w:val="000000" w:themeColor="text1"/>
          <w:sz w:val="16"/>
          <w:szCs w:val="16"/>
        </w:rPr>
        <w:softHyphen/>
        <w:t>га отказали тормоза, самолет выкатился за пределы аэродрома, попал в канаву и подломал левую стой</w:t>
      </w:r>
      <w:r w:rsidRPr="007224C3">
        <w:rPr>
          <w:color w:val="000000" w:themeColor="text1"/>
          <w:sz w:val="16"/>
          <w:szCs w:val="16"/>
        </w:rPr>
        <w:softHyphen/>
        <w:t>ку основного шасси. Очередной ремонт самолета продолжался до 30 июля. Пришлось ремонтиро</w:t>
      </w:r>
      <w:r w:rsidRPr="007224C3">
        <w:rPr>
          <w:color w:val="000000" w:themeColor="text1"/>
          <w:sz w:val="16"/>
          <w:szCs w:val="16"/>
        </w:rPr>
        <w:softHyphen/>
        <w:t>вать фюзеляж, крыло, шасси и оперение. Заменили левую мотораму, оба мотора и винты. Одновремен</w:t>
      </w:r>
      <w:r w:rsidRPr="007224C3">
        <w:rPr>
          <w:color w:val="000000" w:themeColor="text1"/>
          <w:sz w:val="16"/>
          <w:szCs w:val="16"/>
        </w:rPr>
        <w:softHyphen/>
        <w:t>но для увеличения запаса рулей высоты на посадке изменили угол установки стабилизатора на —2°30'. При первых же пробежках после ремонта 30 июля обнаружилось, что тормоза колес шасси работают все так же недостаточно эффективно и посадка на Центральном аэродроме возможна лишь в од</w:t>
      </w:r>
      <w:r w:rsidRPr="007224C3">
        <w:rPr>
          <w:color w:val="000000" w:themeColor="text1"/>
          <w:sz w:val="16"/>
          <w:szCs w:val="16"/>
        </w:rPr>
        <w:softHyphen/>
        <w:t>ном направлении. По этой причине было приня</w:t>
      </w:r>
      <w:r w:rsidRPr="007224C3">
        <w:rPr>
          <w:color w:val="000000" w:themeColor="text1"/>
          <w:sz w:val="16"/>
          <w:szCs w:val="16"/>
        </w:rPr>
        <w:softHyphen/>
        <w:t>то решение продолжить испытания на аэродроме ЛИИ НКАП в Раменском, куда самолет перелетел 14 августа. Моторы АМ-38ф работали нормально, что позволило к 16 сентября в целом завершить программу заводских летных испытаний. К сожа</w:t>
      </w:r>
      <w:r w:rsidRPr="007224C3">
        <w:rPr>
          <w:color w:val="000000" w:themeColor="text1"/>
          <w:sz w:val="16"/>
          <w:szCs w:val="16"/>
        </w:rPr>
        <w:softHyphen/>
        <w:t>лению, в этот день при взлете произошел обрыв ушка крепления цилиндра подъема шасси с обры</w:t>
      </w:r>
      <w:r w:rsidRPr="007224C3">
        <w:rPr>
          <w:color w:val="000000" w:themeColor="text1"/>
          <w:sz w:val="16"/>
          <w:szCs w:val="16"/>
        </w:rPr>
        <w:softHyphen/>
        <w:t>вом воздушной проводки, в результате чего шасси осталось в незафиксированном положении. При посадке на аэродром Раменское шасси сложилось. Помялись нижние капоты моторов и маслорадиато- ры. Погнулись оба винта. Но главное, деформиро</w:t>
      </w:r>
      <w:r w:rsidRPr="007224C3">
        <w:rPr>
          <w:color w:val="000000" w:themeColor="text1"/>
          <w:sz w:val="16"/>
          <w:szCs w:val="16"/>
        </w:rPr>
        <w:softHyphen/>
        <w:t>вался фюзеляж. Самолету требовался длительный ремонт (17500).</w:t>
      </w:r>
    </w:p>
    <w:p w14:paraId="2A216E56" w14:textId="77777777" w:rsidR="00D54008" w:rsidRPr="007224C3" w:rsidRDefault="00D54008" w:rsidP="007224C3">
      <w:pPr>
        <w:spacing w:after="0" w:line="240" w:lineRule="auto"/>
        <w:jc w:val="both"/>
        <w:rPr>
          <w:rFonts w:ascii="Times New Roman" w:eastAsia="Times New Roman" w:hAnsi="Times New Roman"/>
          <w:color w:val="000000" w:themeColor="text1"/>
          <w:sz w:val="16"/>
          <w:szCs w:val="16"/>
          <w:lang w:eastAsia="ru-RU"/>
        </w:rPr>
      </w:pPr>
    </w:p>
    <w:p w14:paraId="5F92B3E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 июня по 12 июня 1944 продолжились гос. испытания модифицированного ЛаГГ-3 дублера с ВК-105ПФ-2 с винтом ВИШ-105СВ (N 105-2 производства 31 завода (февраль), ГК В.П.Горбунов с ВЯ-23 - 85 патр.), которые начались 10 мая (самолет поступил 4) и были остановлены 12 мая для смены двигателя. Отв. испытатель Ф.М.Шишкин, вед. л Дзюба. 15 полетов продолжительностью 8 час. 40 мин. (764,2).</w:t>
      </w:r>
    </w:p>
    <w:p w14:paraId="1A0C9CE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июня 1944 А.E.Репин утвердил акт по гос. испытаниям модифицированного ЛаГГ-3 дублера с ВК-105ПФ-2 с винтом ВИШ-105СВ (N 105-2 производства 31 завода (февраль), ГК В.П.Горбунов с ВЯ-23</w:t>
      </w:r>
    </w:p>
    <w:p w14:paraId="70EB362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Отв. исполнитель вед. инж. З-да ви п/п Ф.М.Шишкин</w:t>
      </w:r>
    </w:p>
    <w:p w14:paraId="0A89953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Вед. л 3 отд. НИИ ВВС гсс гм Дзюба</w:t>
      </w:r>
    </w:p>
    <w:p w14:paraId="5B2F36F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исп. Шишкин</w:t>
      </w:r>
    </w:p>
    <w:p w14:paraId="3D5CEB4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Цель испытаний:</w:t>
      </w:r>
    </w:p>
    <w:p w14:paraId="30BB40E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Определить ЛТД с-та</w:t>
      </w:r>
    </w:p>
    <w:p w14:paraId="1AB5177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Дать оценку эксплуатационным свойствам с-та, ВМГ, вооружения и спецоборудования</w:t>
      </w:r>
    </w:p>
    <w:p w14:paraId="3052D3C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Оценить производственное и конструктивное выполнение с-та</w:t>
      </w:r>
    </w:p>
    <w:p w14:paraId="74934A1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Объект испытаний: предъявленная на госиспытания машина завода № 31 выпуска февраля 1944</w:t>
      </w:r>
    </w:p>
    <w:p w14:paraId="518D40A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сравнению с ранее испытывавшимся ЛаГГ-3 с мотором ВК-105ПФ (первый экз. С-та № 105-1)с-т дублер № 105-2 имеет следующие отличия:</w:t>
      </w:r>
    </w:p>
    <w:p w14:paraId="32F6DFE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планеру - изменена конструкция 4 и 5 шпангоутов фюзеляжа. В нижней ферме 4-го шпангоута произведено два круглых отверстия под тоннуль маслорадиатора, в шп. 5 изменен нижний ... под установку фермы для крепления сидения пилота и качалки управления РВ</w:t>
      </w:r>
    </w:p>
    <w:p w14:paraId="43F7629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в нижней части фюзеляжа перед тоннелем водорадиатора установлено два заборника воздуха для охлаждения маслорадиатора</w:t>
      </w:r>
    </w:p>
    <w:p w14:paraId="048E79B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увеличено плечо качалки управления элеронами для уменьшения давления на ручку управления с-том</w:t>
      </w:r>
    </w:p>
    <w:p w14:paraId="68DF940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изменены форма и конструкция ручки управления с-том по типу ручки стандартной кабины</w:t>
      </w:r>
    </w:p>
    <w:p w14:paraId="643DCB3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установлен дополнительный кронштейн для крепления лафета пушки ВЯ-23</w:t>
      </w:r>
    </w:p>
    <w:p w14:paraId="31AB046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ВМГ: установлен мотор ВК-105ПФ-2, установлен винт типа ВИШ-105СВ с профилированной комлевой частью лопастей, маслорадиатор типа ОП-352 заменен двумя последовательно соединенными рядами типа ВМС-8 с трубкой К-4, толщиной 0,1 мм</w:t>
      </w:r>
    </w:p>
    <w:p w14:paraId="08D4DF6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изменен туннель маслорадиатора, который установлен в фюзеляже</w:t>
      </w:r>
    </w:p>
    <w:p w14:paraId="698C23A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изменена конструкция и перекомпоновыны ряд коробов и крышек капота мотора и управление заслонками маслорадиатора</w:t>
      </w:r>
    </w:p>
    <w:p w14:paraId="40417DD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общая емкость б/б уменьшена на 28 л с 405 до 377 л</w:t>
      </w:r>
    </w:p>
    <w:p w14:paraId="2B855A5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на носок вала редуктора установлен центробежный маслоотражатель типа ЛИИ НКАП</w:t>
      </w:r>
    </w:p>
    <w:p w14:paraId="35E7FFD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изменен дренаж трубки суфлера бака</w:t>
      </w:r>
    </w:p>
    <w:p w14:paraId="204ED07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выхлопные патрубки изготовлены по типу с-та Як-3 (рекомендация ЦАГИ)</w:t>
      </w:r>
    </w:p>
    <w:p w14:paraId="0A9F6A2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вооружению: установлена пушка ВЯ-23 с боезапасом 85 патронов вместо пушки МП-20 с б/з 160 патронов, пулемет УБС с б/з 185 патронов вместо 200 патронов</w:t>
      </w:r>
    </w:p>
    <w:p w14:paraId="20B716C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связи с установкой пушки ВЯ-23 изменено крепление пушки, форма и конструкция патронных коробок и гильзоотвода</w:t>
      </w:r>
    </w:p>
    <w:p w14:paraId="2AF0CEB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установлен звеньесборник для пушки ВЯ-23</w:t>
      </w:r>
    </w:p>
    <w:p w14:paraId="733826B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механизм управления оружием переведен на пневматику</w:t>
      </w:r>
    </w:p>
    <w:p w14:paraId="4C311BB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Спецприборы с-та 105-2 дублер такие же, как на с-те 105-1</w:t>
      </w:r>
    </w:p>
    <w:p w14:paraId="1300CCA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улучшения ЛТД проведены следующие мероприятия:</w:t>
      </w:r>
    </w:p>
    <w:p w14:paraId="20B779E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улучшена внешняя отделка и введена полировка передней кромки крыла</w:t>
      </w:r>
    </w:p>
    <w:p w14:paraId="39CC9A5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козырьку кабины пилота придана сферическая форма</w:t>
      </w:r>
    </w:p>
    <w:p w14:paraId="7948D18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улучшена герметизация противопожарной перегородки, крыла, кабины пилота и хвостовой части фюзеляжа</w:t>
      </w:r>
    </w:p>
    <w:p w14:paraId="799AA8B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Согласно данным завода прочность с-та 105-2 и его основных агрегатов: фюзеляжа, крыла, центроплана, шасси удовлетворяет действующим нормам прочности.</w:t>
      </w:r>
    </w:p>
    <w:p w14:paraId="3D4766B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Расчет завода по флаттеру крыла серийного с-та ЛаГГ-3 в облегченном варианте произведен в ЦАГИ и получено разрешение на эксплуатацию на скорости до 700 км/час по прибору</w:t>
      </w:r>
    </w:p>
    <w:p w14:paraId="773D875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Результаты испытаний:</w:t>
      </w:r>
    </w:p>
    <w:p w14:paraId="0E7F4D7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 пибыл в НИИ 4 мая. Испытания начаты 10 мая, приостановлены по просьбе ГК с-та В.П.Горбунова для осмотра с-та и мотора и доводки тепловых режимов ВМГ 12 мая. Возобновлены 1 июня и закончены 12 июня. Выполнено 15 полетов с налетом 8:40</w:t>
      </w:r>
    </w:p>
    <w:p w14:paraId="44CC5F3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 пустого 2285 22,5% САХ, угол капотирования 26:40</w:t>
      </w:r>
    </w:p>
    <w:p w14:paraId="6F6CD02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 полетный 2875 22.2% САХ, угол капотирования 28:40</w:t>
      </w:r>
    </w:p>
    <w:p w14:paraId="3C79B9C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Нормальная нагрузка:</w:t>
      </w:r>
    </w:p>
    <w:p w14:paraId="24D9439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экипаж - 90</w:t>
      </w:r>
    </w:p>
    <w:p w14:paraId="3E02BD1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горючее (074 г,см3) - 280</w:t>
      </w:r>
    </w:p>
    <w:p w14:paraId="0A1CEEE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масло - 27</w:t>
      </w:r>
    </w:p>
    <w:p w14:paraId="1305DBB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вооружение - пушка ВЯ-23 - 73, УБС - 21,5, б/з пушки (85) - 47, б/з пулемета (185) - 31,0</w:t>
      </w:r>
    </w:p>
    <w:p w14:paraId="62CA3C5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связное оборудование - 20,5</w:t>
      </w:r>
    </w:p>
    <w:p w14:paraId="0378C48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 - 590</w:t>
      </w:r>
    </w:p>
    <w:p w14:paraId="4B18EF8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Таблица изменения веса 105-2 по сравнению с 105-1, проходившим испытания в НИИ в октябре 1943: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708"/>
        <w:gridCol w:w="709"/>
        <w:gridCol w:w="709"/>
      </w:tblGrid>
      <w:tr w:rsidR="005106D0" w:rsidRPr="007224C3" w14:paraId="1C5EA628" w14:textId="77777777">
        <w:tc>
          <w:tcPr>
            <w:tcW w:w="2802" w:type="dxa"/>
            <w:tcBorders>
              <w:top w:val="single" w:sz="12" w:space="0" w:color="auto"/>
            </w:tcBorders>
          </w:tcPr>
          <w:p w14:paraId="16A9B82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Наименование</w:t>
            </w:r>
          </w:p>
        </w:tc>
        <w:tc>
          <w:tcPr>
            <w:tcW w:w="708" w:type="dxa"/>
            <w:tcBorders>
              <w:top w:val="single" w:sz="12" w:space="0" w:color="auto"/>
            </w:tcBorders>
          </w:tcPr>
          <w:p w14:paraId="080A8D2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105-2 дублер</w:t>
            </w:r>
          </w:p>
        </w:tc>
        <w:tc>
          <w:tcPr>
            <w:tcW w:w="709" w:type="dxa"/>
            <w:tcBorders>
              <w:top w:val="single" w:sz="12" w:space="0" w:color="auto"/>
            </w:tcBorders>
          </w:tcPr>
          <w:p w14:paraId="17D5FAF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105-1 первый</w:t>
            </w:r>
          </w:p>
        </w:tc>
        <w:tc>
          <w:tcPr>
            <w:tcW w:w="709" w:type="dxa"/>
            <w:tcBorders>
              <w:top w:val="single" w:sz="12" w:space="0" w:color="auto"/>
            </w:tcBorders>
          </w:tcPr>
          <w:p w14:paraId="0709C1D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Разница</w:t>
            </w:r>
          </w:p>
        </w:tc>
      </w:tr>
      <w:tr w:rsidR="005106D0" w:rsidRPr="007224C3" w14:paraId="190CF332" w14:textId="77777777">
        <w:tc>
          <w:tcPr>
            <w:tcW w:w="2802" w:type="dxa"/>
          </w:tcPr>
          <w:p w14:paraId="76191DD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Нормальный полетный вес</w:t>
            </w:r>
          </w:p>
        </w:tc>
        <w:tc>
          <w:tcPr>
            <w:tcW w:w="708" w:type="dxa"/>
          </w:tcPr>
          <w:p w14:paraId="3C9A2AE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2875</w:t>
            </w:r>
          </w:p>
        </w:tc>
        <w:tc>
          <w:tcPr>
            <w:tcW w:w="709" w:type="dxa"/>
          </w:tcPr>
          <w:p w14:paraId="016DA8E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2818</w:t>
            </w:r>
          </w:p>
        </w:tc>
        <w:tc>
          <w:tcPr>
            <w:tcW w:w="709" w:type="dxa"/>
          </w:tcPr>
          <w:p w14:paraId="66F67C5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+57</w:t>
            </w:r>
          </w:p>
        </w:tc>
      </w:tr>
      <w:tr w:rsidR="005106D0" w:rsidRPr="007224C3" w14:paraId="59C60231" w14:textId="77777777">
        <w:tc>
          <w:tcPr>
            <w:tcW w:w="2802" w:type="dxa"/>
          </w:tcPr>
          <w:p w14:paraId="20DA7F1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 пустого</w:t>
            </w:r>
          </w:p>
        </w:tc>
        <w:tc>
          <w:tcPr>
            <w:tcW w:w="708" w:type="dxa"/>
          </w:tcPr>
          <w:p w14:paraId="794A322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2285</w:t>
            </w:r>
          </w:p>
        </w:tc>
        <w:tc>
          <w:tcPr>
            <w:tcW w:w="709" w:type="dxa"/>
          </w:tcPr>
          <w:p w14:paraId="2E71EC3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2234</w:t>
            </w:r>
          </w:p>
        </w:tc>
        <w:tc>
          <w:tcPr>
            <w:tcW w:w="709" w:type="dxa"/>
          </w:tcPr>
          <w:p w14:paraId="6380A85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+51</w:t>
            </w:r>
          </w:p>
        </w:tc>
      </w:tr>
      <w:tr w:rsidR="005106D0" w:rsidRPr="007224C3" w14:paraId="25640DCC" w14:textId="77777777">
        <w:tc>
          <w:tcPr>
            <w:tcW w:w="2802" w:type="dxa"/>
          </w:tcPr>
          <w:p w14:paraId="1C4EF8A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 нагрузки</w:t>
            </w:r>
          </w:p>
        </w:tc>
        <w:tc>
          <w:tcPr>
            <w:tcW w:w="708" w:type="dxa"/>
          </w:tcPr>
          <w:p w14:paraId="1CA6EDC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590</w:t>
            </w:r>
          </w:p>
        </w:tc>
        <w:tc>
          <w:tcPr>
            <w:tcW w:w="709" w:type="dxa"/>
          </w:tcPr>
          <w:p w14:paraId="4AFB9D9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584</w:t>
            </w:r>
          </w:p>
        </w:tc>
        <w:tc>
          <w:tcPr>
            <w:tcW w:w="709" w:type="dxa"/>
          </w:tcPr>
          <w:p w14:paraId="31DA791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w:t>
            </w:r>
          </w:p>
        </w:tc>
      </w:tr>
      <w:tr w:rsidR="005106D0" w:rsidRPr="007224C3" w14:paraId="1B01BE7A" w14:textId="77777777">
        <w:tc>
          <w:tcPr>
            <w:tcW w:w="2802" w:type="dxa"/>
          </w:tcPr>
          <w:p w14:paraId="0A72058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Центровка при нормальном полетном весе</w:t>
            </w:r>
          </w:p>
        </w:tc>
        <w:tc>
          <w:tcPr>
            <w:tcW w:w="708" w:type="dxa"/>
          </w:tcPr>
          <w:p w14:paraId="534BE62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25,2</w:t>
            </w:r>
          </w:p>
        </w:tc>
        <w:tc>
          <w:tcPr>
            <w:tcW w:w="709" w:type="dxa"/>
          </w:tcPr>
          <w:p w14:paraId="21C8A67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23,7</w:t>
            </w:r>
          </w:p>
        </w:tc>
        <w:tc>
          <w:tcPr>
            <w:tcW w:w="709" w:type="dxa"/>
          </w:tcPr>
          <w:p w14:paraId="29A7876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w:t>
            </w:r>
          </w:p>
        </w:tc>
      </w:tr>
      <w:tr w:rsidR="005106D0" w:rsidRPr="007224C3" w14:paraId="44BBFC22" w14:textId="77777777">
        <w:tc>
          <w:tcPr>
            <w:tcW w:w="2802" w:type="dxa"/>
          </w:tcPr>
          <w:p w14:paraId="2CF51C2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Предельная передняя эксплуатационная центровка</w:t>
            </w:r>
          </w:p>
        </w:tc>
        <w:tc>
          <w:tcPr>
            <w:tcW w:w="708" w:type="dxa"/>
          </w:tcPr>
          <w:p w14:paraId="5246934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23,9</w:t>
            </w:r>
          </w:p>
        </w:tc>
        <w:tc>
          <w:tcPr>
            <w:tcW w:w="709" w:type="dxa"/>
          </w:tcPr>
          <w:p w14:paraId="788C2B8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22,3</w:t>
            </w:r>
          </w:p>
        </w:tc>
        <w:tc>
          <w:tcPr>
            <w:tcW w:w="709" w:type="dxa"/>
          </w:tcPr>
          <w:p w14:paraId="346FEBF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tc>
      </w:tr>
      <w:tr w:rsidR="005106D0" w:rsidRPr="007224C3" w14:paraId="3014E686" w14:textId="77777777">
        <w:tc>
          <w:tcPr>
            <w:tcW w:w="2802" w:type="dxa"/>
            <w:tcBorders>
              <w:bottom w:val="single" w:sz="12" w:space="0" w:color="auto"/>
            </w:tcBorders>
          </w:tcPr>
          <w:p w14:paraId="7AC46DE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Запас горючего 4Б-78</w:t>
            </w:r>
          </w:p>
        </w:tc>
        <w:tc>
          <w:tcPr>
            <w:tcW w:w="708" w:type="dxa"/>
            <w:tcBorders>
              <w:bottom w:val="single" w:sz="12" w:space="0" w:color="auto"/>
            </w:tcBorders>
          </w:tcPr>
          <w:p w14:paraId="5CBA2B8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280</w:t>
            </w:r>
          </w:p>
        </w:tc>
        <w:tc>
          <w:tcPr>
            <w:tcW w:w="709" w:type="dxa"/>
            <w:tcBorders>
              <w:bottom w:val="single" w:sz="12" w:space="0" w:color="auto"/>
            </w:tcBorders>
          </w:tcPr>
          <w:p w14:paraId="6D250C2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300</w:t>
            </w:r>
          </w:p>
        </w:tc>
        <w:tc>
          <w:tcPr>
            <w:tcW w:w="709" w:type="dxa"/>
            <w:tcBorders>
              <w:bottom w:val="single" w:sz="12" w:space="0" w:color="auto"/>
            </w:tcBorders>
          </w:tcPr>
          <w:p w14:paraId="414FDE6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w:t>
            </w:r>
          </w:p>
        </w:tc>
      </w:tr>
    </w:tbl>
    <w:p w14:paraId="2CDC5DE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Основные причины, вызвавшие увеличение веса - установка пушки ВЯ-23, усиления и конструкционные изменения</w:t>
      </w:r>
    </w:p>
    <w:p w14:paraId="1D0A20E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Основные ЛД</w:t>
      </w:r>
    </w:p>
    <w:p w14:paraId="289C550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Скорость макс. у земли - 554</w:t>
      </w:r>
    </w:p>
    <w:p w14:paraId="10766F4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Скорость макс. на 1-й гр. высотности (1400) - 590</w:t>
      </w:r>
    </w:p>
    <w:p w14:paraId="2A97645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Скорость макс. на 2-й гр. высотности (3400) - 618</w:t>
      </w:r>
    </w:p>
    <w:p w14:paraId="0CF2036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Скорость макс. на 5000 - 593</w:t>
      </w:r>
    </w:p>
    <w:p w14:paraId="3B79421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Скорость макс. на 6000 - 578</w:t>
      </w:r>
    </w:p>
    <w:p w14:paraId="35E829C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Время набора 5000 м - 4,8</w:t>
      </w:r>
    </w:p>
    <w:p w14:paraId="269728C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Потолок 10750</w:t>
      </w:r>
    </w:p>
    <w:p w14:paraId="10036B2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Граница переключения нагнетателя - 2000 на скорости 542</w:t>
      </w:r>
    </w:p>
    <w:p w14:paraId="6E3368D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Скорости вертикальные</w:t>
      </w:r>
    </w:p>
    <w:p w14:paraId="454B36D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 земли - 18,1</w:t>
      </w:r>
    </w:p>
    <w:p w14:paraId="7182908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1 гр. 650 - 18,9</w:t>
      </w:r>
    </w:p>
    <w:p w14:paraId="38EF18A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перекл. - 17,0</w:t>
      </w:r>
    </w:p>
    <w:p w14:paraId="4792A77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2 гр. (2500) - 19,2</w:t>
      </w:r>
    </w:p>
    <w:p w14:paraId="602EB14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5000 - 13,6</w:t>
      </w:r>
    </w:p>
    <w:p w14:paraId="7A52F99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6000 - 11,3</w:t>
      </w:r>
    </w:p>
    <w:p w14:paraId="5C3DA35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Мотор ВК-105ПФ-2 наработал с начала испытаний 44:02 и был снят из-за течи воды из блока через уплотнение гильзы</w:t>
      </w:r>
    </w:p>
    <w:p w14:paraId="43B0351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Производилось сравнение с 105-1, Як-3 дублер, Ла-7 (испытанном в апреле 1944), с Ме-109G (январь 1943) и ФВ-190 А-4 (июль 1943).</w:t>
      </w:r>
    </w:p>
    <w:p w14:paraId="59F2AB0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Выводы:</w:t>
      </w:r>
    </w:p>
    <w:p w14:paraId="4D98BB7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ВМГ работает неудовлетворительно</w:t>
      </w:r>
    </w:p>
    <w:p w14:paraId="775C580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наборе высоты с полностью отурытым туннелем водорадиатора температура воды 116 гр, в горизонтальном полете - 115 (макс. допустимо - 110)</w:t>
      </w:r>
    </w:p>
    <w:p w14:paraId="2CA9432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Установленное пулеметно-пушечное вооружение не доведено.</w:t>
      </w:r>
    </w:p>
    <w:p w14:paraId="7481334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Искажение видимости предметов через сферическую часть козырька кабины пилота</w:t>
      </w:r>
    </w:p>
    <w:p w14:paraId="1B9A543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с-те отсутствует аварийный сброс фонаря</w:t>
      </w:r>
    </w:p>
    <w:p w14:paraId="0A9E696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Заключение:</w:t>
      </w:r>
    </w:p>
    <w:p w14:paraId="7A3F361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Модифицированный с-т 1-5-2 дублер конструкции т. Горбунова постройки ОКБ завода № 31 госиспытания не выдержал по причине:</w:t>
      </w:r>
    </w:p>
    <w:p w14:paraId="660AF2B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низкие ЛТД для с-та большой модификации</w:t>
      </w:r>
    </w:p>
    <w:p w14:paraId="4D0F032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неудовлетворительная работа ВМГ и вооружения</w:t>
      </w:r>
    </w:p>
    <w:p w14:paraId="53F95F8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Считать нецелесообразной продолжение работы по дальнейшей модификации с-та ЛаГГ-3 с мотором ВК-105ПФ-2</w:t>
      </w:r>
    </w:p>
    <w:p w14:paraId="20D2FF9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 дублер подлежит сдаче на завод № 31</w:t>
      </w:r>
    </w:p>
    <w:p w14:paraId="59A3D7C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Подписали с 20 по 24 июня (764,2).</w:t>
      </w:r>
    </w:p>
    <w:p w14:paraId="7D9A1FF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4E6C1E" w14:textId="77777777" w:rsidR="00781F94" w:rsidRPr="007224C3" w:rsidRDefault="00781F94"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 июня 1944 удалось возобновить испытания самолета 105-2, который был построен 31-м заводом в феврале 1944 года, а 4 мая после непродолжительных заводских испытаний поступил в НИИ ВВС на госиспытания Больше сюрпризов 105-2 не подкидывал, и уже 12 июня программа испытаний была завершена. Всего было выполнено 15 полетов общей продолжительностью 8 часов 40 минут.</w:t>
      </w:r>
    </w:p>
    <w:p w14:paraId="0A96AC58" w14:textId="77777777" w:rsidR="00781F94" w:rsidRPr="007224C3" w:rsidRDefault="00781F94"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105-2 продемонстрировал неплохие результаты. У земли максимальная скорость составила 554 км/ч, на 1-й границе высотности (1400 метров) – 590 км/ч, на 2-й границе (3400 метров) – 618 км/ч, а на высотах в 5 и 6 километров самолет разгонялся, соответственно, до 593 и 578 километров в час. Время набора 5000 метров – 4,8 минуты. Потолок – 10750 метров. Оружие работало надежно. После отстрела в тире было выполнено три полета со стрельбой. Один – с ведением огня в горизонтальном полете на различных режимах работы двигателя и два – с прицельной стрельбой по наземным целям с пикирования. Было израсходовано два боекомплекта пулемета УБС и один – пушки ВЯ. Задержек не было. Помимо майора Дзюбы, самолет 105-2 облетали майоры Антипов и Прошаков.</w:t>
      </w:r>
    </w:p>
    <w:p w14:paraId="515E5FBE" w14:textId="77777777" w:rsidR="00781F94" w:rsidRPr="007224C3" w:rsidRDefault="00781F94"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Испытатели отмечали неплохое производственное исполнение машины, хорошую внешнюю отделку. Воздушная система уборки-выпуска шасси оказалась проще и надежнее гидравлической, работала безотказно и требовала меньшего ухода. Перенос маслорадиаторов сдвинул центр тяжести самолета назад, что привело к увеличению противокапотажного угла и повысило эффективность торможения. На рулении 105-2 был устойчив, на взлете прост, в полете имел хорошую управляемость. Однако на этом достоинства новой машины заканчивались.</w:t>
      </w:r>
    </w:p>
    <w:p w14:paraId="2C8BE992" w14:textId="77777777" w:rsidR="00781F94" w:rsidRPr="007224C3" w:rsidRDefault="00781F94"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Минусов у 105-2 оказалось больше. Главным, конечно, были худшие высотно-скоростные характеристики, причем, не только по сравнению с Як-3, но и с Як-9У с мотором М-105ПФ2, испытанного в НИИ ВВС в марте 1944 года. Тепловые режимы мотоустановки оставляли желать лучшего. Горизонтальный полет на максимальной скорости был возможен в течение 3-4 минут, после чего температура воды и масла выходила за установленные пределы. Летчики не очень одобряли перенос маслорадиаторов практически в кабину – при вынужденной посадке это грозило серьезными ожогами из-за разрыва трубопроводов. Не смотря на простую технику пилотирования 105-2, при резкой даче газа и энергичном подъеме хвоста самолет стремился к правому развороту. Усилия на элероны в полете по-прежнему оставались велики. Летчик имел плохой обзор вперед из-за искажений видимости сферическим козырьком – по заявлениям испытателей, при взгляде сквозь козырек предметы буквально двоились. Отсутствовал аварийный сброс створки фонаря. Качество радиосвязи оценивалось как отвратительное. Девиация магнитного компаса вдвое превышала установленные нормы. Компоновка приборного оборудования сохранилась практически без изменений с самолетов 60-й серии и не соответствовала требованиям на стандартную кабину истребителя, введенным в 1943 году. Несмотря на отсутствие отказов, пользоваться вооружением было неудобно – усилия на гашетках были слишком велики. Для УБС – 14-15 кг, а для пушки ВЯ и того больше – 20- 22 кг. При залповой стрельбе огонь можно было вести только двумя руками. Предохранитель гашеток работал ненадежно. При стрельбе могло произойти самопроизвольное стопорение гашеток, а при энергичном торможении рычаг тормоза заедал гашетки, что приводило к самопроизвольной стрельбе. Был зафиксирован один случай такой стрельбы из пушки очередью в 20 патронов. Выброс гильз пулемета за левый борт не обеспечивал безопасного ведения огня – стреляные гильзы царапали крыло и борт фюзеляжа. Для демонтажа пушки предварительно требовалось снять маслобак, звеньесборник пушки, звеньеотвод, патронный рукав и лючок противопожарной перегородки. При замене мотора снималась вся пушечная установка вместе с лафетом. Заключение к отчету было лаконичным:</w:t>
      </w:r>
    </w:p>
    <w:p w14:paraId="0E8C4EF3" w14:textId="77777777" w:rsidR="00781F94" w:rsidRPr="007224C3" w:rsidRDefault="00781F94"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 Модифицированный самолет 105-2 с мотором ВК-105ПФ2 «Дублер» конструкции тов. Горбунова В.П. постройки ОКБ завода № 31 государственные испытания НЕ ВЫДЕРЖАЛ по причине:</w:t>
      </w:r>
    </w:p>
    <w:p w14:paraId="37BD69A3" w14:textId="77777777" w:rsidR="00781F94" w:rsidRPr="007224C3" w:rsidRDefault="00781F94"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а) низких летно-технических данных для самолета большой модификации,</w:t>
      </w:r>
    </w:p>
    <w:p w14:paraId="788A763E" w14:textId="77777777" w:rsidR="00781F94" w:rsidRPr="007224C3" w:rsidRDefault="00781F94"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б) недоведенности винто-моторной группы и вооружения.</w:t>
      </w:r>
    </w:p>
    <w:p w14:paraId="72E7152B" w14:textId="77777777" w:rsidR="00781F94" w:rsidRPr="007224C3" w:rsidRDefault="00781F94"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 Считать нецелесообразной продолжение работы по дальнейшей модификации самолета ЛаГГ-3 с мотором ВК-105ПФ2</w:t>
      </w:r>
    </w:p>
    <w:p w14:paraId="2623FB26" w14:textId="77777777" w:rsidR="00781F94" w:rsidRPr="007224C3" w:rsidRDefault="00781F94"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3. Самолет 105-2 с мотором ВК-105ПФ2 «Дублер» подлежит сдаче на завод № 31» (23197).</w:t>
      </w:r>
    </w:p>
    <w:p w14:paraId="4D66A344" w14:textId="77777777" w:rsidR="00781F94" w:rsidRPr="007224C3" w:rsidRDefault="00781F94" w:rsidP="007224C3">
      <w:pPr>
        <w:spacing w:after="0" w:line="240" w:lineRule="auto"/>
        <w:jc w:val="both"/>
        <w:rPr>
          <w:rFonts w:ascii="Times New Roman" w:hAnsi="Times New Roman"/>
          <w:color w:val="0070C0"/>
          <w:sz w:val="16"/>
          <w:szCs w:val="16"/>
        </w:rPr>
      </w:pPr>
    </w:p>
    <w:p w14:paraId="1CCA5BA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1 июня 1944 состояние опытного строительства на 21 заводе было следующим:</w:t>
      </w:r>
    </w:p>
    <w:p w14:paraId="1A2A92E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Закончены испытания Ла-5ФН с автоматикой. С-т подготавлимвается для отправки в НИИ ВВС. Срок отправки - 3 июня.</w:t>
      </w:r>
    </w:p>
    <w:p w14:paraId="6E523FB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Продолжается проектирование облегчения Ла-7 (он будет именоваться № 113). Расчитывают получить облегчение на 130-150 кг. Фюзеляж с 1 до 7 шпангоута - металлический и деревянный - от 7. Кабина - стандартного типа. Вооружение - 3х23 Нудельмана с б/к 100-100 на каждую.Конструкционная схема - аналогична Ла-7 (738,23).</w:t>
      </w:r>
    </w:p>
    <w:p w14:paraId="6464531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D43E9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июня 1944 А.E.Репин утвердил акт по гос. испытаниям Ла-5 в двухместном варианте УТИ с АШ-82Ф и винтом ВИШ-105В (серийного N 37210813 21 завода, модифицированного ПАМ-30 1-й ВА, которые проводились с 5 мая по 14 июня 1944 - 17 полетов с налетом 3:50</w:t>
      </w:r>
    </w:p>
    <w:p w14:paraId="247231A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Ответственные исполнители: ик Алексеенко, м-р Кубышкин</w:t>
      </w:r>
    </w:p>
    <w:p w14:paraId="4BE689E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Летали Стефановский, Прошин, Дзюба, Антипов, Седов, Модестов</w:t>
      </w:r>
    </w:p>
    <w:p w14:paraId="66449D3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Заключение: С-т Ла-5ф, модифицированный ПАМ-30 1ВА в двухместный учебно-тренировочный и с двойным управлением, госиспытания не выдержал и не может быть рекомендован для вывозки и тренировки летного состава ВВС КА.</w:t>
      </w:r>
    </w:p>
    <w:p w14:paraId="7150E37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Запретить ремонтным организациям ВВС КА производить переделкуодноместных с-тов Ла-5 в двухместные.</w:t>
      </w:r>
    </w:p>
    <w:p w14:paraId="4733D9F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Наблюдались существенные вибрации хвостового оперения, пилотаж сложен, по производственному выполнению существенно уступает с-ту такого эе типа производства з-да № 163 (763,2).</w:t>
      </w:r>
    </w:p>
    <w:p w14:paraId="2B3DFBB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EDDE7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июня 1944 Зам. Нач. 7ГУ Алексеев подготовил сводку № 7211 о ходе испытаний высотных самолетов на 31 мая 1944 по Як-9 М-105ПД, Ла-5 АШ-82ФН и 2ТК-3, МиГ АМ-39А и 2ТК-2Б (1825).</w:t>
      </w:r>
    </w:p>
    <w:p w14:paraId="577D40C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ВЫСОТНЫЙ ИСТРЕБИТЕЛЬ ЯК-9 С ВК-105ПФ И ДВУХСТУПЕНЧАТЫМ НАГНЕТАТЕЛЕМ</w:t>
      </w:r>
    </w:p>
    <w:p w14:paraId="7B2B8E5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находится не в летном состоянии, из-за отсутствия мотора.</w:t>
      </w:r>
    </w:p>
    <w:p w14:paraId="5100EE0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2. ВЫСОТНЫЙ ИСТРЕБИТЕЛЬ ЛА-5 С АШ-82ФН и 2ТК-3.</w:t>
      </w:r>
    </w:p>
    <w:p w14:paraId="2BB892E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Сведений о ходе летных испытаний самолета с заво</w:t>
      </w:r>
      <w:r w:rsidRPr="007224C3">
        <w:rPr>
          <w:rFonts w:ascii="Times New Roman" w:hAnsi="Times New Roman"/>
          <w:color w:val="000000" w:themeColor="text1"/>
          <w:sz w:val="16"/>
          <w:szCs w:val="16"/>
        </w:rPr>
        <w:softHyphen/>
        <w:t>да № 21 не поступило. Главному конструктору тов. ЛАВОЧКИНУ послано указание об обязательности ежедневного представления сообщений по "ВЧ".</w:t>
      </w:r>
    </w:p>
    <w:p w14:paraId="62E98F1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ВЫСОТНЫЙ ИСТРЕБИТЕЛЬ МИГ С АМ-39Б И 2ТК-2Б.</w:t>
      </w:r>
    </w:p>
    <w:p w14:paraId="3524903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находится не в летном состоянии. Вшедшие из строя ТК еще находятся в ЦИАМе. По сообщению Заместителя Начальника ЦИАМ тов. ВЛАДИМИРОВА исправленные турбокомпрессоры будут поданы заводу № 155 1 июня с.г. (1825)</w:t>
      </w:r>
    </w:p>
    <w:p w14:paraId="56BDAD2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A79D5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июня 1944 г. вышел приказ НКАП №372, в котором для проведения заводских испытаний самолета И-222 были утверждены ведущий инженер К.П.Ковалевский и летчик-испытатель А.П.Якимов (5852,38).</w:t>
      </w:r>
    </w:p>
    <w:p w14:paraId="4A4BB79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D01E42" w14:textId="77777777" w:rsidR="001E5A47" w:rsidRPr="007224C3" w:rsidRDefault="001E5A47"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 июня</w:t>
      </w:r>
      <w:r w:rsidRPr="007224C3">
        <w:rPr>
          <w:rFonts w:ascii="Times New Roman" w:hAnsi="Times New Roman"/>
          <w:color w:val="000000" w:themeColor="text1"/>
          <w:sz w:val="16"/>
          <w:szCs w:val="16"/>
        </w:rPr>
        <w:t xml:space="preserve"> в 1944 году для проведения заводских испытаний самолета </w:t>
      </w:r>
      <w:hyperlink r:id="rId159" w:tgtFrame="_blank" w:history="1">
        <w:r w:rsidRPr="007224C3">
          <w:rPr>
            <w:rFonts w:ascii="Times New Roman" w:hAnsi="Times New Roman"/>
            <w:color w:val="000000" w:themeColor="text1"/>
            <w:sz w:val="16"/>
            <w:szCs w:val="16"/>
          </w:rPr>
          <w:t xml:space="preserve">«И-222», </w:t>
        </w:r>
      </w:hyperlink>
      <w:r w:rsidRPr="007224C3">
        <w:rPr>
          <w:rFonts w:ascii="Times New Roman" w:hAnsi="Times New Roman"/>
          <w:color w:val="000000" w:themeColor="text1"/>
          <w:sz w:val="16"/>
          <w:szCs w:val="16"/>
        </w:rPr>
        <w:t>в соответствии с приказом НКАП №372, были утверждены ведущий инженер К.П.Ковалевский и летчик-испытатель А.П.Якимов. Первоначально на «И-222» стоял трехлопастный винт серии «АВ-5Л», который в дальнейшем заменили на четырехлопастный «АВ-9Л-230». В ходе испытаний была выполнена продувка машины в натурной аэродинамической трубе ЦАГИ в период с 26 июля по 9 августа 1944 г. По результатам продувки произвели доработку самолета: установили новые предкрылки и увеличенный воздухо-воздушный радиатор. 1 сентября «И-222» выполнил контрольный полет с внесенными улучшениями (14909).</w:t>
      </w:r>
    </w:p>
    <w:p w14:paraId="2C25BF77" w14:textId="77777777" w:rsidR="001E5A47" w:rsidRPr="007224C3" w:rsidRDefault="001E5A47" w:rsidP="007224C3">
      <w:pPr>
        <w:spacing w:after="0" w:line="240" w:lineRule="auto"/>
        <w:jc w:val="both"/>
        <w:rPr>
          <w:rFonts w:ascii="Times New Roman" w:hAnsi="Times New Roman"/>
          <w:color w:val="000000" w:themeColor="text1"/>
          <w:sz w:val="16"/>
          <w:szCs w:val="16"/>
        </w:rPr>
      </w:pPr>
    </w:p>
    <w:p w14:paraId="3F2F0AE0" w14:textId="77777777" w:rsidR="001E5A47" w:rsidRPr="007224C3" w:rsidRDefault="001E5A4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1 июня 1944 г. в частяъ ПВО было 711 Харрикейнов. Они прослужили там всю войну, на их боевом счету 252 самолета врага (15129).</w:t>
      </w:r>
    </w:p>
    <w:p w14:paraId="0AC11AA1" w14:textId="77777777" w:rsidR="001E5A47" w:rsidRPr="007224C3" w:rsidRDefault="001E5A4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1944 г. часть "Харрикейнов" использовалась в ПВО как самолеты осветители при отражении ночных налетов. Обычно машина этого типа брала по две осветительных бомбы САБ100 и сбрасывала их, находясь на 2000-2500 м выше вражеских бомбардировщиков. Атаку выполняла ударная группа. В разных полках ПВО для этой цели держали по два-четыре "Харрикейна" (15129).</w:t>
      </w:r>
    </w:p>
    <w:p w14:paraId="2D275181" w14:textId="77777777" w:rsidR="001E5A47" w:rsidRPr="007224C3" w:rsidRDefault="001E5A47" w:rsidP="007224C3">
      <w:pPr>
        <w:spacing w:after="0" w:line="240" w:lineRule="auto"/>
        <w:jc w:val="both"/>
        <w:rPr>
          <w:rFonts w:ascii="Times New Roman" w:hAnsi="Times New Roman"/>
          <w:color w:val="000000" w:themeColor="text1"/>
          <w:sz w:val="16"/>
          <w:szCs w:val="16"/>
        </w:rPr>
      </w:pPr>
    </w:p>
    <w:p w14:paraId="586E927C" w14:textId="77777777" w:rsidR="006B3C37" w:rsidRPr="007224C3" w:rsidRDefault="006B3C37" w:rsidP="007224C3">
      <w:pPr>
        <w:pStyle w:val="rtejustify"/>
        <w:shd w:val="clear" w:color="auto" w:fill="FFFFFF"/>
        <w:spacing w:before="0" w:after="0"/>
        <w:rPr>
          <w:color w:val="000000" w:themeColor="text1"/>
          <w:sz w:val="16"/>
          <w:szCs w:val="16"/>
        </w:rPr>
      </w:pPr>
      <w:r w:rsidRPr="007224C3">
        <w:rPr>
          <w:color w:val="000000" w:themeColor="text1"/>
          <w:sz w:val="16"/>
          <w:szCs w:val="16"/>
        </w:rPr>
        <w:t>К 1 июня 1944 г. в строю осталось девять ПС-43, к концу года — восемь. Три самолета в январе 1945 г. базировались в Львове. Они перевозили почту на 1-й и 4-й Украинский, а также – на 1-й Белорусский фронты. По одной машине находилось в Каунасе и Минске. Они работали для 1-го Прибалтийского, 2-го и 3-го Белорусского фронтов (19199).</w:t>
      </w:r>
    </w:p>
    <w:p w14:paraId="24F689F9" w14:textId="77777777" w:rsidR="006B3C37" w:rsidRPr="007224C3" w:rsidRDefault="006B3C37" w:rsidP="007224C3">
      <w:pPr>
        <w:pStyle w:val="rtejustify"/>
        <w:shd w:val="clear" w:color="auto" w:fill="FFFFFF"/>
        <w:spacing w:before="0" w:after="0"/>
        <w:rPr>
          <w:color w:val="000000" w:themeColor="text1"/>
          <w:sz w:val="16"/>
          <w:szCs w:val="16"/>
        </w:rPr>
      </w:pPr>
    </w:p>
    <w:p w14:paraId="2117D0A7" w14:textId="77777777" w:rsidR="006B3C37" w:rsidRPr="007224C3" w:rsidRDefault="006B3C3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shd w:val="clear" w:color="auto" w:fill="FFFFFF"/>
        </w:rPr>
        <w:t>На 1 июня 1944 года имелось тридцать Ю-52, на 1 января 1945 года – тридцать один. Согласно постановлению Государственного комитета обороны от 12 декабря 1944 года все трофейные Ю-52 и запчасти к ним полагалось сдавать в распоряжение ГУ ГВФ (19686).</w:t>
      </w:r>
    </w:p>
    <w:p w14:paraId="29AC5D2D" w14:textId="77777777" w:rsidR="006B3C37" w:rsidRPr="007224C3" w:rsidRDefault="006B3C37" w:rsidP="007224C3">
      <w:pPr>
        <w:spacing w:after="0" w:line="240" w:lineRule="auto"/>
        <w:jc w:val="both"/>
        <w:rPr>
          <w:rFonts w:ascii="Times New Roman" w:hAnsi="Times New Roman"/>
          <w:color w:val="000000" w:themeColor="text1"/>
          <w:sz w:val="16"/>
          <w:szCs w:val="16"/>
        </w:rPr>
      </w:pPr>
    </w:p>
    <w:p w14:paraId="547F5E4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1 июня 1944 мелось 30 Ю-52 (6393).</w:t>
      </w:r>
    </w:p>
    <w:p w14:paraId="3550252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FC7F4E" w14:textId="77777777" w:rsidR="00781F94" w:rsidRPr="007224C3" w:rsidRDefault="00781F94" w:rsidP="007224C3">
      <w:pPr>
        <w:shd w:val="clear" w:color="auto" w:fill="FFFFFF"/>
        <w:spacing w:after="0" w:line="240" w:lineRule="auto"/>
        <w:jc w:val="both"/>
        <w:rPr>
          <w:rFonts w:ascii="Times New Roman" w:eastAsia="Times New Roman" w:hAnsi="Times New Roman"/>
          <w:color w:val="0070C0"/>
          <w:sz w:val="16"/>
          <w:szCs w:val="16"/>
          <w:lang w:eastAsia="ru-RU"/>
        </w:rPr>
      </w:pPr>
      <w:r w:rsidRPr="007224C3">
        <w:rPr>
          <w:rFonts w:ascii="Times New Roman" w:eastAsia="Times New Roman" w:hAnsi="Times New Roman"/>
          <w:color w:val="0070C0"/>
          <w:sz w:val="16"/>
          <w:szCs w:val="16"/>
          <w:lang w:eastAsia="ru-RU"/>
        </w:rPr>
        <w:t>На 1 июня 1944 г. в ГВФ имелось 30 Ю-52, на 1 января 1945 г. - 31.</w:t>
      </w:r>
    </w:p>
    <w:p w14:paraId="3EAC902E" w14:textId="77777777" w:rsidR="00781F94" w:rsidRPr="007224C3" w:rsidRDefault="00781F94" w:rsidP="007224C3">
      <w:pPr>
        <w:shd w:val="clear" w:color="auto" w:fill="FFFFFF"/>
        <w:spacing w:after="0" w:line="240" w:lineRule="auto"/>
        <w:jc w:val="both"/>
        <w:rPr>
          <w:rFonts w:ascii="Times New Roman" w:eastAsia="Times New Roman" w:hAnsi="Times New Roman"/>
          <w:color w:val="0070C0"/>
          <w:sz w:val="16"/>
          <w:szCs w:val="16"/>
          <w:lang w:eastAsia="ru-RU"/>
        </w:rPr>
      </w:pPr>
      <w:r w:rsidRPr="007224C3">
        <w:rPr>
          <w:rFonts w:ascii="Times New Roman" w:eastAsia="Times New Roman" w:hAnsi="Times New Roman"/>
          <w:color w:val="0070C0"/>
          <w:sz w:val="16"/>
          <w:szCs w:val="16"/>
          <w:lang w:eastAsia="ru-RU"/>
        </w:rPr>
        <w:t>Согласно постановлению ГКО от 12 декабря 1944 г. все трофейные Ю-52 подлежали сдаче в ГВФ. Но имелись и исключения. Один "юнкере" довольно долго служил в санитарном отряде ВВС Балтийского флота. Три летающих тральщика эксплуатировапись после войны на Черном море. Они уничтожали магнитные мины у побережья Крыма, в районе Одессы и в устье Дуная.</w:t>
      </w:r>
    </w:p>
    <w:p w14:paraId="7D23FB11" w14:textId="77777777" w:rsidR="00781F94" w:rsidRPr="007224C3" w:rsidRDefault="00781F94" w:rsidP="007224C3">
      <w:pPr>
        <w:shd w:val="clear" w:color="auto" w:fill="FFFFFF"/>
        <w:spacing w:after="0" w:line="240" w:lineRule="auto"/>
        <w:jc w:val="both"/>
        <w:rPr>
          <w:rFonts w:ascii="Times New Roman" w:eastAsia="Times New Roman" w:hAnsi="Times New Roman"/>
          <w:color w:val="0070C0"/>
          <w:sz w:val="16"/>
          <w:szCs w:val="16"/>
          <w:lang w:eastAsia="ru-RU"/>
        </w:rPr>
      </w:pPr>
      <w:r w:rsidRPr="007224C3">
        <w:rPr>
          <w:rFonts w:ascii="Times New Roman" w:eastAsia="Times New Roman" w:hAnsi="Times New Roman"/>
          <w:color w:val="0070C0"/>
          <w:sz w:val="16"/>
          <w:szCs w:val="16"/>
          <w:lang w:eastAsia="ru-RU"/>
        </w:rPr>
        <w:t>Но большая часть трофеев все-таки поступала в гражданскую авиацию. После капитуляции Германии в Советский Союз эшелонами погнали самолеты, моторы, различное оборудование и запасные части. К 1 октября 1945 г. парк ГВФ насчитывал уже 37 "юнкерсов". Из них пять совершенно исправных самолетов прибыли из Румынии - их изъяли по распоряжению союзной контрольной комиссии (21550).</w:t>
      </w:r>
    </w:p>
    <w:p w14:paraId="6863AA84" w14:textId="77777777" w:rsidR="00781F94" w:rsidRPr="007224C3" w:rsidRDefault="00781F94" w:rsidP="007224C3">
      <w:pPr>
        <w:shd w:val="clear" w:color="auto" w:fill="FFFFFF"/>
        <w:spacing w:after="0" w:line="240" w:lineRule="auto"/>
        <w:jc w:val="both"/>
        <w:rPr>
          <w:rFonts w:ascii="Times New Roman" w:hAnsi="Times New Roman"/>
          <w:color w:val="0070C0"/>
          <w:sz w:val="16"/>
          <w:szCs w:val="16"/>
        </w:rPr>
      </w:pPr>
    </w:p>
    <w:p w14:paraId="5EAE29D3" w14:textId="77777777" w:rsidR="001E5A47" w:rsidRPr="007224C3" w:rsidRDefault="001E5A4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июня 1944 г. Приказ директора завода № 16 М. М. Лукина о создании конструкторского бюро реактивных двигателей</w:t>
      </w:r>
    </w:p>
    <w:p w14:paraId="5A8769A1" w14:textId="77777777" w:rsidR="001E5A47" w:rsidRPr="007224C3" w:rsidRDefault="001E5A4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 исполнение приказа от 18 апреля 1944 г. по НКВД СССР и НКАП о передаче конструкторского бюро по реактивным двигателям приказываю:</w:t>
      </w:r>
    </w:p>
    <w:p w14:paraId="17EC277F" w14:textId="77777777" w:rsidR="001E5A47" w:rsidRPr="007224C3" w:rsidRDefault="001E5A4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1.</w:t>
      </w:r>
    </w:p>
    <w:p w14:paraId="59B3FD17" w14:textId="77777777" w:rsidR="001E5A47" w:rsidRPr="007224C3" w:rsidRDefault="001E5A4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Организовать на заводе № 16 конструкторское бюро реактивных двигателей (КБ-РД), с непосредственным подчинением директору завода № 16 и начальнику 4-го спецотдела НКВД СССР.</w:t>
      </w:r>
    </w:p>
    <w:p w14:paraId="69013FE8" w14:textId="77777777" w:rsidR="001E5A47" w:rsidRPr="007224C3" w:rsidRDefault="001E5A4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2.</w:t>
      </w:r>
    </w:p>
    <w:p w14:paraId="6FFD9E57" w14:textId="77777777" w:rsidR="001E5A47" w:rsidRPr="007224C3" w:rsidRDefault="001E5A4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Начальником опытного производства по реактивным двигателям и и. о. начальника КБ-РД назначить тов. Артамонова Н. Н.</w:t>
      </w:r>
    </w:p>
    <w:p w14:paraId="6FB0617E" w14:textId="77777777" w:rsidR="001E5A47" w:rsidRPr="007224C3" w:rsidRDefault="001E5A4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3.</w:t>
      </w:r>
    </w:p>
    <w:p w14:paraId="5C992292" w14:textId="77777777" w:rsidR="001E5A47" w:rsidRPr="007224C3" w:rsidRDefault="001E5A4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 о. помощника главного конструктора КБ-РД по административно-хозяйственным вопросам назначить тов. Костина С. А.</w:t>
      </w:r>
    </w:p>
    <w:p w14:paraId="79D0285B" w14:textId="77777777" w:rsidR="001E5A47" w:rsidRPr="007224C3" w:rsidRDefault="001E5A4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4.</w:t>
      </w:r>
    </w:p>
    <w:p w14:paraId="41A92BC9" w14:textId="77777777" w:rsidR="001E5A47" w:rsidRPr="007224C3" w:rsidRDefault="001E5A4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Главному конструктору КБ-РД инженеру Глушко В. П. и и. о. начальника КБ-РД тов. Артамонову Н. Н. произвести расстановку всего личного состава, в соответствии с данным приказом и утвержденной мною схемой, составить план работы по РД-1 и РД-3, а также мероприятия, обеспечивающие выполнение их, и представить мне на утверждение к 5 июня с. г.</w:t>
      </w:r>
    </w:p>
    <w:p w14:paraId="12019A42" w14:textId="77777777" w:rsidR="001E5A47" w:rsidRPr="007224C3" w:rsidRDefault="001E5A4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5.</w:t>
      </w:r>
    </w:p>
    <w:p w14:paraId="6287A074" w14:textId="77777777" w:rsidR="001E5A47" w:rsidRPr="007224C3" w:rsidRDefault="001E5A4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связи с особо напряженной работой КБ-РД по выполнению постановления ГОКО по двигателям РД-1 и РД-3, запрещаю переброску, командирование и т. п. работников КБ-РД без моего разрешения.</w:t>
      </w:r>
    </w:p>
    <w:p w14:paraId="0823711D" w14:textId="77777777" w:rsidR="001E5A47" w:rsidRPr="007224C3" w:rsidRDefault="001E5A4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6.</w:t>
      </w:r>
    </w:p>
    <w:p w14:paraId="52B71962" w14:textId="77777777" w:rsidR="001E5A47" w:rsidRPr="007224C3" w:rsidRDefault="001E5A4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связи с повышенной вредностью работы в лаборатории РД с азотной кислотой, начальнику ООТ тов. Шапиро с 31 июня 1944 г. обеспечить спецпитанием работников лаборатории РД, а также работников сборки РД, связанных с переборкой двигателей.</w:t>
      </w:r>
    </w:p>
    <w:p w14:paraId="5555B91D" w14:textId="77777777" w:rsidR="001E5A47" w:rsidRPr="007224C3" w:rsidRDefault="001E5A4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завода № 16 М. Лукин (15494).</w:t>
      </w:r>
    </w:p>
    <w:p w14:paraId="54AB78AF" w14:textId="77777777" w:rsidR="001E5A47" w:rsidRPr="007224C3" w:rsidRDefault="001E5A47" w:rsidP="007224C3">
      <w:pPr>
        <w:spacing w:after="0" w:line="240" w:lineRule="auto"/>
        <w:jc w:val="both"/>
        <w:rPr>
          <w:rFonts w:ascii="Times New Roman" w:hAnsi="Times New Roman"/>
          <w:color w:val="000000" w:themeColor="text1"/>
          <w:sz w:val="16"/>
          <w:szCs w:val="16"/>
        </w:rPr>
      </w:pPr>
    </w:p>
    <w:p w14:paraId="5141A1A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июня 1944 вышел приказ НКАП № 377:</w:t>
      </w:r>
    </w:p>
    <w:p w14:paraId="5DE423F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исполнение распоряжения СНК от 26 мая 1944 № 11410-рс:</w:t>
      </w:r>
    </w:p>
    <w:p w14:paraId="14459F5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Присвоить бывшим з-м треста Оргавиапром следующие номера: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5106D0" w:rsidRPr="007224C3" w14:paraId="7927844C" w14:textId="77777777">
        <w:tc>
          <w:tcPr>
            <w:tcW w:w="5636" w:type="dxa"/>
          </w:tcPr>
          <w:p w14:paraId="4DFDAA4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tc>
        <w:tc>
          <w:tcPr>
            <w:tcW w:w="5636" w:type="dxa"/>
          </w:tcPr>
          <w:p w14:paraId="177B884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491</w:t>
            </w:r>
          </w:p>
        </w:tc>
      </w:tr>
      <w:tr w:rsidR="005106D0" w:rsidRPr="007224C3" w14:paraId="7FA93050" w14:textId="77777777">
        <w:tc>
          <w:tcPr>
            <w:tcW w:w="5636" w:type="dxa"/>
          </w:tcPr>
          <w:p w14:paraId="7C0B518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tc>
        <w:tc>
          <w:tcPr>
            <w:tcW w:w="5636" w:type="dxa"/>
          </w:tcPr>
          <w:p w14:paraId="5943232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492</w:t>
            </w:r>
          </w:p>
        </w:tc>
      </w:tr>
      <w:tr w:rsidR="005106D0" w:rsidRPr="007224C3" w14:paraId="501DF3BD" w14:textId="77777777">
        <w:tc>
          <w:tcPr>
            <w:tcW w:w="5636" w:type="dxa"/>
          </w:tcPr>
          <w:p w14:paraId="18AF6B6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tc>
        <w:tc>
          <w:tcPr>
            <w:tcW w:w="5636" w:type="dxa"/>
          </w:tcPr>
          <w:p w14:paraId="1CB7BEC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495</w:t>
            </w:r>
          </w:p>
        </w:tc>
      </w:tr>
      <w:tr w:rsidR="005106D0" w:rsidRPr="007224C3" w14:paraId="0F7F330A" w14:textId="77777777">
        <w:tc>
          <w:tcPr>
            <w:tcW w:w="5636" w:type="dxa"/>
          </w:tcPr>
          <w:p w14:paraId="281C7CA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w:t>
            </w:r>
          </w:p>
        </w:tc>
        <w:tc>
          <w:tcPr>
            <w:tcW w:w="5636" w:type="dxa"/>
          </w:tcPr>
          <w:p w14:paraId="67E6776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493</w:t>
            </w:r>
          </w:p>
        </w:tc>
      </w:tr>
      <w:tr w:rsidR="005106D0" w:rsidRPr="007224C3" w14:paraId="6640C517" w14:textId="77777777">
        <w:tc>
          <w:tcPr>
            <w:tcW w:w="5636" w:type="dxa"/>
          </w:tcPr>
          <w:p w14:paraId="1DD5B5D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165</w:t>
            </w:r>
          </w:p>
        </w:tc>
        <w:tc>
          <w:tcPr>
            <w:tcW w:w="5636" w:type="dxa"/>
          </w:tcPr>
          <w:p w14:paraId="2AADBD3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165</w:t>
            </w:r>
          </w:p>
        </w:tc>
      </w:tr>
    </w:tbl>
    <w:p w14:paraId="5DD5E29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Подчинить указанные з-ды Управлению оборудования</w:t>
      </w:r>
    </w:p>
    <w:p w14:paraId="71628F8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Шахурин (1673, 93).</w:t>
      </w:r>
    </w:p>
    <w:p w14:paraId="6D28EB4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D62C4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июня 1944 года по решению Правительства приказом по НКАП за № 377 2-й инструментальный завод Оргавиапрома в Кимрах был передан в управление оборудования НКАП и стал именоваться завод № 491.</w:t>
      </w:r>
    </w:p>
    <w:p w14:paraId="146C750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 491 ГКАТ, в основном, имеет профиль мелкосерийного и индивидуального спецстанкостроения и притом завод имеет свое КБ, которое производит опытное конструирование новых видов станков и машин, необходимых авиапромышленности.</w:t>
      </w:r>
    </w:p>
    <w:p w14:paraId="1FD28F5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Директора: С июня 1943 года по 30 мая 1946 года – Поленов П.С. С 30 мая 1946 года – Панков И.А.</w:t>
      </w:r>
    </w:p>
    <w:p w14:paraId="6BD1075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 Панков</w:t>
      </w:r>
    </w:p>
    <w:p w14:paraId="4D138A8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Адрес: Кимры Калининской области, п/я 4 (9858).</w:t>
      </w:r>
    </w:p>
    <w:p w14:paraId="01B6CCB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D94B1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июня 1944 года Приказом по НКАП за № 377 завод № 3 Оргавиапрома был переименован в завод № 492.</w:t>
      </w:r>
    </w:p>
    <w:p w14:paraId="1723C3A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Поскольку завод № 492 организован лишь на территории ранее занимаемой 3-м инструментальным заводом и никакой организационной связи с этим заводом не имел, то официальной датой организации завода № 492 следует считать 17 декабря 1941 года. В 1951 году завод был реорганизован под выпуск пневматического инструмента.</w:t>
      </w:r>
    </w:p>
    <w:p w14:paraId="52158A8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Постановлением от 2 сентября 1957 года за № 5 завод № 492 был передан из Управления авиапромышленности Мосгорсовнархоза в Управление межотраслевых организаций и производств с сохранением производства пневматического инструмента.</w:t>
      </w:r>
    </w:p>
    <w:p w14:paraId="1F71157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Директор – А. Терехин</w:t>
      </w:r>
    </w:p>
    <w:p w14:paraId="50526D8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Адрес: Москва, Большой Трехгорный пер., д. 3 (9859).</w:t>
      </w:r>
    </w:p>
    <w:p w14:paraId="0541677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2BA86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июня 1944 г. по приказу № 377с завод № 3 ОАП НКАП переименован в завод № 492 ОАП НКАП (Завод № 492 НКАП, Завод № 3 ОАП НКАП, Московский завод пневмоинстументов, ОАО «Московский завод «Пневмоинструмент» (МЗПИ) /123007  г. Москва 4-я Магистральная ул., 13 тел. 256-75-10/).</w:t>
      </w:r>
    </w:p>
    <w:p w14:paraId="5AE9807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1951 г. освоен выпуск ручного пневматического инструмента, который поставлялся затем на все предприятия авиационно-космической промышленности. К 1968 г. выпускал пневмогайковерты, прессы, кусачки, машины: фрезерные, отрезные; ножницы: по металлу, дисковые; рубанки, дисковые пилы, сабельные ножовки, пылесосы, отвертки, стамески.</w:t>
      </w:r>
    </w:p>
    <w:p w14:paraId="4AF3374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Производство (2002 г.): ручной пневматический инструмент вращательного, ударного действия, пневматические прессы, вспомогательный инструмент для авиапрмышленности (клепальные многоударные молотки, сверлильные машины, резьбонарезные и резьбозавертывающие машины, шлифовальные и зачистные машины, инструмент для одностронней безударной клепки, отрезные и фрезерные машины, кусачки).</w:t>
      </w:r>
    </w:p>
    <w:p w14:paraId="6F9C0F3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ОАО МЗПИ - головное предприятие (2000-е  г.) авиакосмической отрасли по производству ручного пневмоинструмента.</w:t>
      </w:r>
    </w:p>
    <w:p w14:paraId="5100467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w:t>
      </w:r>
    </w:p>
    <w:p w14:paraId="129CE1F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Численность персонала (2002 г.)- около 100 чел.</w:t>
      </w:r>
    </w:p>
    <w:p w14:paraId="2796395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Гендиректор (-2000-02 г.-&gt; В.Н. Кузьмин.</w:t>
      </w:r>
    </w:p>
    <w:p w14:paraId="4922B2A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по производству и обеспечению (2002 г.)- В.И. Суворов.</w:t>
      </w:r>
    </w:p>
    <w:p w14:paraId="532D31D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отдела кадров (2002 г.)- Т.А. Зикрань.</w:t>
      </w:r>
      <w:r w:rsidRPr="007224C3">
        <w:rPr>
          <w:rFonts w:ascii="Times New Roman" w:hAnsi="Times New Roman"/>
          <w:color w:val="000000" w:themeColor="text1"/>
          <w:sz w:val="16"/>
          <w:szCs w:val="16"/>
          <w:vertAlign w:val="superscript"/>
        </w:rPr>
        <w:t>69</w:t>
      </w:r>
    </w:p>
    <w:p w14:paraId="07DD2E1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iCs/>
          <w:color w:val="000000" w:themeColor="text1"/>
          <w:sz w:val="16"/>
          <w:szCs w:val="16"/>
        </w:rPr>
        <w:t>Производство:</w:t>
      </w:r>
      <w:r w:rsidRPr="007224C3">
        <w:rPr>
          <w:rFonts w:ascii="Times New Roman" w:hAnsi="Times New Roman"/>
          <w:color w:val="000000" w:themeColor="text1"/>
          <w:sz w:val="16"/>
          <w:szCs w:val="16"/>
        </w:rPr>
        <w:t xml:space="preserve"> клепальные молотки: КМ1, КМ2, КМЗ (1952); шлифмашины ШР0,6, ШР2 (1952) (11982).</w:t>
      </w:r>
    </w:p>
    <w:p w14:paraId="4B3EECCB" w14:textId="77777777" w:rsidR="001E5A47" w:rsidRPr="007224C3" w:rsidRDefault="001E5A47" w:rsidP="007224C3">
      <w:pPr>
        <w:autoSpaceDE w:val="0"/>
        <w:autoSpaceDN w:val="0"/>
        <w:adjustRightInd w:val="0"/>
        <w:spacing w:after="0" w:line="240" w:lineRule="auto"/>
        <w:jc w:val="both"/>
        <w:rPr>
          <w:rFonts w:ascii="Times New Roman" w:hAnsi="Times New Roman"/>
          <w:color w:val="000000" w:themeColor="text1"/>
          <w:sz w:val="16"/>
          <w:szCs w:val="16"/>
        </w:rPr>
      </w:pPr>
    </w:p>
    <w:p w14:paraId="480F14E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июня 1944 г. по приказу № 377с завод № 5 ОАП НКАП переименован в завод № 495 НКАП (Завод № 495 НКАП, НКПС /г. Тавда Свердловской обл./). Инструментальное производство.</w:t>
      </w:r>
    </w:p>
    <w:p w14:paraId="05A247C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приказу № 847цз/459 от 3.12.1945 г. завод передан в НКПС (Свердловской ж/д) (11982).</w:t>
      </w:r>
    </w:p>
    <w:p w14:paraId="3DA9417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14047D9"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3A11015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96E02B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 июня 1944 заводу № 200 надлежало перейти на новую конструкцию броневого корпуса. Фактически же, производство танков со старой и но</w:t>
      </w:r>
      <w:r w:rsidRPr="007224C3">
        <w:rPr>
          <w:rFonts w:ascii="Times New Roman" w:hAnsi="Times New Roman"/>
          <w:color w:val="000000" w:themeColor="text1"/>
          <w:sz w:val="16"/>
          <w:szCs w:val="16"/>
        </w:rPr>
        <w:softHyphen/>
        <w:t>вой конструкцией корпуса продолжалось параллельно до полного ис</w:t>
      </w:r>
      <w:r w:rsidRPr="007224C3">
        <w:rPr>
          <w:rFonts w:ascii="Times New Roman" w:hAnsi="Times New Roman"/>
          <w:color w:val="000000" w:themeColor="text1"/>
          <w:sz w:val="16"/>
          <w:szCs w:val="16"/>
        </w:rPr>
        <w:softHyphen/>
        <w:t>пользования уже имевшегося задела. Окончательный переход на вы</w:t>
      </w:r>
      <w:r w:rsidRPr="007224C3">
        <w:rPr>
          <w:rFonts w:ascii="Times New Roman" w:hAnsi="Times New Roman"/>
          <w:color w:val="000000" w:themeColor="text1"/>
          <w:sz w:val="16"/>
          <w:szCs w:val="16"/>
        </w:rPr>
        <w:softHyphen/>
        <w:t>пуск новых корпусов был осуществлен в июле 1944 г. (10703).</w:t>
      </w:r>
    </w:p>
    <w:p w14:paraId="4C6BB7B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B74DED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июня 1944 г. был подготовлен ПРОЕКТ ПЛАНА ПОСТАВКИ ТАНКОВ И САМОХОДНЫХ АРТУСТАНОВОК НА III КВАРТАЛ 1944 г.</w:t>
      </w:r>
    </w:p>
    <w:tbl>
      <w:tblPr>
        <w:tblW w:w="0" w:type="auto"/>
        <w:tblInd w:w="40" w:type="dxa"/>
        <w:tblLayout w:type="fixed"/>
        <w:tblCellMar>
          <w:left w:w="40" w:type="dxa"/>
          <w:right w:w="40" w:type="dxa"/>
        </w:tblCellMar>
        <w:tblLook w:val="0000" w:firstRow="0" w:lastRow="0" w:firstColumn="0" w:lastColumn="0" w:noHBand="0" w:noVBand="0"/>
      </w:tblPr>
      <w:tblGrid>
        <w:gridCol w:w="1286"/>
        <w:gridCol w:w="1094"/>
        <w:gridCol w:w="2045"/>
        <w:gridCol w:w="1075"/>
        <w:gridCol w:w="624"/>
        <w:gridCol w:w="614"/>
        <w:gridCol w:w="710"/>
        <w:gridCol w:w="2189"/>
      </w:tblGrid>
      <w:tr w:rsidR="005106D0" w:rsidRPr="007224C3" w14:paraId="676BC616" w14:textId="77777777">
        <w:trPr>
          <w:trHeight w:val="326"/>
        </w:trPr>
        <w:tc>
          <w:tcPr>
            <w:tcW w:w="1286" w:type="dxa"/>
            <w:tcBorders>
              <w:top w:val="single" w:sz="6" w:space="0" w:color="auto"/>
              <w:left w:val="single" w:sz="6" w:space="0" w:color="auto"/>
              <w:bottom w:val="single" w:sz="6" w:space="0" w:color="auto"/>
              <w:right w:val="single" w:sz="6" w:space="0" w:color="auto"/>
            </w:tcBorders>
          </w:tcPr>
          <w:p w14:paraId="2D96EB9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1D93D9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single" w:sz="6" w:space="0" w:color="auto"/>
              <w:left w:val="single" w:sz="6" w:space="0" w:color="auto"/>
              <w:bottom w:val="nil"/>
              <w:right w:val="single" w:sz="6" w:space="0" w:color="auto"/>
            </w:tcBorders>
          </w:tcPr>
          <w:p w14:paraId="561C06F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4343E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45" w:type="dxa"/>
            <w:tcBorders>
              <w:top w:val="single" w:sz="6" w:space="0" w:color="auto"/>
              <w:left w:val="single" w:sz="6" w:space="0" w:color="auto"/>
              <w:bottom w:val="nil"/>
              <w:right w:val="single" w:sz="6" w:space="0" w:color="auto"/>
            </w:tcBorders>
          </w:tcPr>
          <w:p w14:paraId="0B902A5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Было во II кв. согл. Постанов.</w:t>
            </w:r>
          </w:p>
          <w:p w14:paraId="34B615E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nil"/>
              <w:right w:val="single" w:sz="6" w:space="0" w:color="auto"/>
            </w:tcBorders>
          </w:tcPr>
          <w:p w14:paraId="4872991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Проект плана на III кв.</w:t>
            </w:r>
          </w:p>
          <w:p w14:paraId="6F67788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48" w:type="dxa"/>
            <w:gridSpan w:val="3"/>
            <w:tcBorders>
              <w:top w:val="single" w:sz="6" w:space="0" w:color="auto"/>
              <w:left w:val="single" w:sz="6" w:space="0" w:color="auto"/>
              <w:bottom w:val="single" w:sz="6" w:space="0" w:color="auto"/>
              <w:right w:val="single" w:sz="6" w:space="0" w:color="auto"/>
            </w:tcBorders>
          </w:tcPr>
          <w:p w14:paraId="6F87618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т.ч. по месяцам</w:t>
            </w:r>
          </w:p>
          <w:p w14:paraId="37B46DF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tcBorders>
              <w:top w:val="single" w:sz="6" w:space="0" w:color="auto"/>
              <w:left w:val="single" w:sz="6" w:space="0" w:color="auto"/>
              <w:bottom w:val="nil"/>
              <w:right w:val="single" w:sz="6" w:space="0" w:color="auto"/>
            </w:tcBorders>
          </w:tcPr>
          <w:p w14:paraId="1FEAE64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19049C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3F7798E" w14:textId="77777777">
        <w:trPr>
          <w:trHeight w:val="269"/>
        </w:trPr>
        <w:tc>
          <w:tcPr>
            <w:tcW w:w="1286" w:type="dxa"/>
            <w:tcBorders>
              <w:top w:val="single" w:sz="6" w:space="0" w:color="auto"/>
              <w:left w:val="single" w:sz="6" w:space="0" w:color="auto"/>
              <w:bottom w:val="single" w:sz="6" w:space="0" w:color="auto"/>
              <w:right w:val="single" w:sz="6" w:space="0" w:color="auto"/>
            </w:tcBorders>
          </w:tcPr>
          <w:p w14:paraId="2C9B35E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изготовитель</w:t>
            </w:r>
          </w:p>
          <w:p w14:paraId="5970893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nil"/>
              <w:left w:val="single" w:sz="6" w:space="0" w:color="auto"/>
              <w:bottom w:val="single" w:sz="6" w:space="0" w:color="auto"/>
              <w:right w:val="single" w:sz="6" w:space="0" w:color="auto"/>
            </w:tcBorders>
          </w:tcPr>
          <w:p w14:paraId="4D4C945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E4930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45" w:type="dxa"/>
            <w:tcBorders>
              <w:top w:val="nil"/>
              <w:left w:val="single" w:sz="6" w:space="0" w:color="auto"/>
              <w:bottom w:val="single" w:sz="6" w:space="0" w:color="auto"/>
              <w:right w:val="single" w:sz="6" w:space="0" w:color="auto"/>
            </w:tcBorders>
          </w:tcPr>
          <w:p w14:paraId="14E8FB7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 9.04.44 г.</w:t>
            </w:r>
          </w:p>
          <w:p w14:paraId="4904A7A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single" w:sz="6" w:space="0" w:color="auto"/>
              <w:right w:val="single" w:sz="6" w:space="0" w:color="auto"/>
            </w:tcBorders>
          </w:tcPr>
          <w:p w14:paraId="529F8E5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1944 г.</w:t>
            </w:r>
          </w:p>
          <w:p w14:paraId="4E23E0E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5177636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июль</w:t>
            </w:r>
          </w:p>
          <w:p w14:paraId="6C2CE7F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11CCCDF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авщст</w:t>
            </w:r>
          </w:p>
          <w:p w14:paraId="7907777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2E7FFE0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сентябрь</w:t>
            </w:r>
          </w:p>
          <w:p w14:paraId="7F414A0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tcBorders>
              <w:top w:val="nil"/>
              <w:left w:val="single" w:sz="6" w:space="0" w:color="auto"/>
              <w:bottom w:val="single" w:sz="6" w:space="0" w:color="auto"/>
              <w:right w:val="single" w:sz="6" w:space="0" w:color="auto"/>
            </w:tcBorders>
          </w:tcPr>
          <w:p w14:paraId="06C2CA1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1римсчанш;</w:t>
            </w:r>
          </w:p>
          <w:p w14:paraId="79CE8CA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A959DDC" w14:textId="77777777">
        <w:trPr>
          <w:trHeight w:val="202"/>
        </w:trPr>
        <w:tc>
          <w:tcPr>
            <w:tcW w:w="1286" w:type="dxa"/>
            <w:tcBorders>
              <w:top w:val="single" w:sz="6" w:space="0" w:color="auto"/>
              <w:left w:val="single" w:sz="6" w:space="0" w:color="auto"/>
              <w:bottom w:val="nil"/>
              <w:right w:val="single" w:sz="6" w:space="0" w:color="auto"/>
            </w:tcBorders>
          </w:tcPr>
          <w:p w14:paraId="47FEF2C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Кировский завод</w:t>
            </w:r>
          </w:p>
          <w:p w14:paraId="1AB3E2D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single" w:sz="6" w:space="0" w:color="auto"/>
              <w:left w:val="single" w:sz="6" w:space="0" w:color="auto"/>
              <w:bottom w:val="nil"/>
              <w:right w:val="single" w:sz="6" w:space="0" w:color="auto"/>
            </w:tcBorders>
          </w:tcPr>
          <w:p w14:paraId="0211BD8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ИС-2</w:t>
            </w:r>
          </w:p>
          <w:p w14:paraId="7D9FB33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45" w:type="dxa"/>
            <w:tcBorders>
              <w:top w:val="single" w:sz="6" w:space="0" w:color="auto"/>
              <w:left w:val="single" w:sz="6" w:space="0" w:color="auto"/>
              <w:bottom w:val="nil"/>
              <w:right w:val="single" w:sz="6" w:space="0" w:color="auto"/>
            </w:tcBorders>
          </w:tcPr>
          <w:p w14:paraId="72AB050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525</w:t>
            </w:r>
          </w:p>
          <w:p w14:paraId="25ED737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nil"/>
              <w:right w:val="single" w:sz="6" w:space="0" w:color="auto"/>
            </w:tcBorders>
          </w:tcPr>
          <w:p w14:paraId="2172F7B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675</w:t>
            </w:r>
          </w:p>
          <w:p w14:paraId="5296FC4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nil"/>
              <w:right w:val="single" w:sz="6" w:space="0" w:color="auto"/>
            </w:tcBorders>
          </w:tcPr>
          <w:p w14:paraId="0558275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225</w:t>
            </w:r>
          </w:p>
          <w:p w14:paraId="21EA641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single" w:sz="6" w:space="0" w:color="auto"/>
              <w:left w:val="single" w:sz="6" w:space="0" w:color="auto"/>
              <w:bottom w:val="nil"/>
              <w:right w:val="single" w:sz="6" w:space="0" w:color="auto"/>
            </w:tcBorders>
          </w:tcPr>
          <w:p w14:paraId="380E894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225</w:t>
            </w:r>
          </w:p>
          <w:p w14:paraId="20B4D76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nil"/>
              <w:right w:val="single" w:sz="6" w:space="0" w:color="auto"/>
            </w:tcBorders>
          </w:tcPr>
          <w:p w14:paraId="54B8AB9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225</w:t>
            </w:r>
          </w:p>
          <w:p w14:paraId="4B9B8E8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tcBorders>
              <w:top w:val="single" w:sz="6" w:space="0" w:color="auto"/>
              <w:left w:val="single" w:sz="6" w:space="0" w:color="auto"/>
              <w:bottom w:val="nil"/>
              <w:right w:val="single" w:sz="6" w:space="0" w:color="auto"/>
            </w:tcBorders>
          </w:tcPr>
          <w:p w14:paraId="29B7C69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Согласно Постановлен*) ГОКО</w:t>
            </w:r>
          </w:p>
          <w:p w14:paraId="0A4B01E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40321AB" w14:textId="77777777">
        <w:trPr>
          <w:trHeight w:val="192"/>
        </w:trPr>
        <w:tc>
          <w:tcPr>
            <w:tcW w:w="1286" w:type="dxa"/>
            <w:tcBorders>
              <w:top w:val="nil"/>
              <w:left w:val="single" w:sz="6" w:space="0" w:color="auto"/>
              <w:bottom w:val="nil"/>
              <w:right w:val="single" w:sz="6" w:space="0" w:color="auto"/>
            </w:tcBorders>
          </w:tcPr>
          <w:p w14:paraId="58D60D0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Кировский завод</w:t>
            </w:r>
          </w:p>
          <w:p w14:paraId="26BF05E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nil"/>
              <w:left w:val="single" w:sz="6" w:space="0" w:color="auto"/>
              <w:bottom w:val="nil"/>
              <w:right w:val="single" w:sz="6" w:space="0" w:color="auto"/>
            </w:tcBorders>
          </w:tcPr>
          <w:p w14:paraId="0951935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ИСУ-152</w:t>
            </w:r>
          </w:p>
          <w:p w14:paraId="198EE54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45" w:type="dxa"/>
            <w:tcBorders>
              <w:top w:val="nil"/>
              <w:left w:val="single" w:sz="6" w:space="0" w:color="auto"/>
              <w:bottom w:val="nil"/>
              <w:right w:val="single" w:sz="6" w:space="0" w:color="auto"/>
            </w:tcBorders>
          </w:tcPr>
          <w:p w14:paraId="19FD7DE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385</w:t>
            </w:r>
          </w:p>
          <w:p w14:paraId="2CD3BC7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nil"/>
              <w:right w:val="single" w:sz="6" w:space="0" w:color="auto"/>
            </w:tcBorders>
          </w:tcPr>
          <w:p w14:paraId="51F302B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250</w:t>
            </w:r>
          </w:p>
          <w:p w14:paraId="72BD0C1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nil"/>
              <w:left w:val="single" w:sz="6" w:space="0" w:color="auto"/>
              <w:bottom w:val="nil"/>
              <w:right w:val="single" w:sz="6" w:space="0" w:color="auto"/>
            </w:tcBorders>
          </w:tcPr>
          <w:p w14:paraId="59868D4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w:t>
            </w:r>
          </w:p>
          <w:p w14:paraId="19E5AC7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nil"/>
              <w:left w:val="single" w:sz="6" w:space="0" w:color="auto"/>
              <w:bottom w:val="nil"/>
              <w:right w:val="single" w:sz="6" w:space="0" w:color="auto"/>
            </w:tcBorders>
          </w:tcPr>
          <w:p w14:paraId="1B1701E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75</w:t>
            </w:r>
          </w:p>
          <w:p w14:paraId="5CB0506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nil"/>
              <w:left w:val="single" w:sz="6" w:space="0" w:color="auto"/>
              <w:bottom w:val="nil"/>
              <w:right w:val="single" w:sz="6" w:space="0" w:color="auto"/>
            </w:tcBorders>
          </w:tcPr>
          <w:p w14:paraId="730A8C8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75</w:t>
            </w:r>
          </w:p>
          <w:p w14:paraId="76BE584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tcBorders>
              <w:top w:val="nil"/>
              <w:left w:val="single" w:sz="6" w:space="0" w:color="auto"/>
              <w:bottom w:val="nil"/>
              <w:right w:val="single" w:sz="6" w:space="0" w:color="auto"/>
            </w:tcBorders>
          </w:tcPr>
          <w:p w14:paraId="7F4DAD6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5378с от 12.03.1944 г.</w:t>
            </w:r>
          </w:p>
          <w:p w14:paraId="6201396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31905A5" w14:textId="77777777">
        <w:trPr>
          <w:trHeight w:val="211"/>
        </w:trPr>
        <w:tc>
          <w:tcPr>
            <w:tcW w:w="1286" w:type="dxa"/>
            <w:tcBorders>
              <w:top w:val="nil"/>
              <w:left w:val="single" w:sz="6" w:space="0" w:color="auto"/>
              <w:bottom w:val="single" w:sz="6" w:space="0" w:color="auto"/>
              <w:right w:val="single" w:sz="6" w:space="0" w:color="auto"/>
            </w:tcBorders>
          </w:tcPr>
          <w:p w14:paraId="672F786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Кировский завод</w:t>
            </w:r>
          </w:p>
          <w:p w14:paraId="232A2A9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nil"/>
              <w:left w:val="single" w:sz="6" w:space="0" w:color="auto"/>
              <w:bottom w:val="single" w:sz="6" w:space="0" w:color="auto"/>
              <w:right w:val="single" w:sz="6" w:space="0" w:color="auto"/>
            </w:tcBorders>
          </w:tcPr>
          <w:p w14:paraId="23B06DF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ИСУ-122</w:t>
            </w:r>
          </w:p>
          <w:p w14:paraId="4276B24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45" w:type="dxa"/>
            <w:tcBorders>
              <w:top w:val="nil"/>
              <w:left w:val="single" w:sz="6" w:space="0" w:color="auto"/>
              <w:bottom w:val="single" w:sz="6" w:space="0" w:color="auto"/>
              <w:right w:val="single" w:sz="6" w:space="0" w:color="auto"/>
            </w:tcBorders>
          </w:tcPr>
          <w:p w14:paraId="5EA1638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290</w:t>
            </w:r>
          </w:p>
          <w:p w14:paraId="7074B5F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single" w:sz="6" w:space="0" w:color="auto"/>
              <w:right w:val="single" w:sz="6" w:space="0" w:color="auto"/>
            </w:tcBorders>
          </w:tcPr>
          <w:p w14:paraId="4875C93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575</w:t>
            </w:r>
          </w:p>
          <w:p w14:paraId="69B4AF1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nil"/>
              <w:left w:val="single" w:sz="6" w:space="0" w:color="auto"/>
              <w:bottom w:val="single" w:sz="6" w:space="0" w:color="auto"/>
              <w:right w:val="single" w:sz="6" w:space="0" w:color="auto"/>
            </w:tcBorders>
          </w:tcPr>
          <w:p w14:paraId="53AF334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175</w:t>
            </w:r>
          </w:p>
          <w:p w14:paraId="034FA7D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nil"/>
              <w:left w:val="single" w:sz="6" w:space="0" w:color="auto"/>
              <w:bottom w:val="single" w:sz="6" w:space="0" w:color="auto"/>
              <w:right w:val="single" w:sz="6" w:space="0" w:color="auto"/>
            </w:tcBorders>
          </w:tcPr>
          <w:p w14:paraId="21E632D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200</w:t>
            </w:r>
          </w:p>
          <w:p w14:paraId="1739AFF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nil"/>
              <w:left w:val="single" w:sz="6" w:space="0" w:color="auto"/>
              <w:bottom w:val="single" w:sz="6" w:space="0" w:color="auto"/>
              <w:right w:val="single" w:sz="6" w:space="0" w:color="auto"/>
            </w:tcBorders>
          </w:tcPr>
          <w:p w14:paraId="1B1F536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200</w:t>
            </w:r>
          </w:p>
          <w:p w14:paraId="1BCF0EE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tcBorders>
              <w:top w:val="nil"/>
              <w:left w:val="single" w:sz="6" w:space="0" w:color="auto"/>
              <w:bottom w:val="nil"/>
              <w:right w:val="single" w:sz="6" w:space="0" w:color="auto"/>
            </w:tcBorders>
          </w:tcPr>
          <w:p w14:paraId="717C6DA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Тяжелые танки и СУ на июнь и</w:t>
            </w:r>
          </w:p>
          <w:p w14:paraId="4D871AB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8A0C317" w14:textId="77777777">
        <w:trPr>
          <w:trHeight w:val="192"/>
        </w:trPr>
        <w:tc>
          <w:tcPr>
            <w:tcW w:w="1286" w:type="dxa"/>
            <w:tcBorders>
              <w:top w:val="single" w:sz="6" w:space="0" w:color="auto"/>
              <w:left w:val="single" w:sz="6" w:space="0" w:color="auto"/>
              <w:bottom w:val="single" w:sz="6" w:space="0" w:color="auto"/>
              <w:right w:val="single" w:sz="6" w:space="0" w:color="auto"/>
            </w:tcBorders>
          </w:tcPr>
          <w:p w14:paraId="01FA6E0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w:t>
            </w:r>
          </w:p>
          <w:p w14:paraId="7F5AAE6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single" w:sz="6" w:space="0" w:color="auto"/>
              <w:left w:val="single" w:sz="6" w:space="0" w:color="auto"/>
              <w:bottom w:val="single" w:sz="6" w:space="0" w:color="auto"/>
              <w:right w:val="single" w:sz="6" w:space="0" w:color="auto"/>
            </w:tcBorders>
          </w:tcPr>
          <w:p w14:paraId="54E2367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ИСиИСУ</w:t>
            </w:r>
          </w:p>
          <w:p w14:paraId="0550138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45" w:type="dxa"/>
            <w:tcBorders>
              <w:top w:val="single" w:sz="6" w:space="0" w:color="auto"/>
              <w:left w:val="single" w:sz="6" w:space="0" w:color="auto"/>
              <w:bottom w:val="single" w:sz="6" w:space="0" w:color="auto"/>
              <w:right w:val="single" w:sz="6" w:space="0" w:color="auto"/>
            </w:tcBorders>
          </w:tcPr>
          <w:p w14:paraId="6C09E08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1200</w:t>
            </w:r>
          </w:p>
          <w:p w14:paraId="51F7ADF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25DA314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1500</w:t>
            </w:r>
          </w:p>
          <w:p w14:paraId="3EA23CE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7106386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500</w:t>
            </w:r>
          </w:p>
          <w:p w14:paraId="16AF089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53E9207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500</w:t>
            </w:r>
          </w:p>
          <w:p w14:paraId="318F0AA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5798CD4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500</w:t>
            </w:r>
          </w:p>
          <w:p w14:paraId="1C0845D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tcBorders>
              <w:top w:val="nil"/>
              <w:left w:val="single" w:sz="6" w:space="0" w:color="auto"/>
              <w:bottom w:val="single" w:sz="6" w:space="0" w:color="auto"/>
              <w:right w:val="single" w:sz="6" w:space="0" w:color="auto"/>
            </w:tcBorders>
          </w:tcPr>
          <w:p w14:paraId="046BCDD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август и средние танки и СУ на июль.</w:t>
            </w:r>
          </w:p>
          <w:p w14:paraId="36C4028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CF3C030" w14:textId="77777777">
        <w:trPr>
          <w:trHeight w:val="230"/>
        </w:trPr>
        <w:tc>
          <w:tcPr>
            <w:tcW w:w="1286" w:type="dxa"/>
            <w:tcBorders>
              <w:top w:val="single" w:sz="6" w:space="0" w:color="auto"/>
              <w:left w:val="single" w:sz="6" w:space="0" w:color="auto"/>
              <w:bottom w:val="nil"/>
              <w:right w:val="single" w:sz="6" w:space="0" w:color="auto"/>
            </w:tcBorders>
          </w:tcPr>
          <w:p w14:paraId="6A6913F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№183</w:t>
            </w:r>
          </w:p>
          <w:p w14:paraId="5C30811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single" w:sz="6" w:space="0" w:color="auto"/>
              <w:left w:val="single" w:sz="6" w:space="0" w:color="auto"/>
              <w:bottom w:val="nil"/>
              <w:right w:val="single" w:sz="6" w:space="0" w:color="auto"/>
            </w:tcBorders>
          </w:tcPr>
          <w:p w14:paraId="4BD5215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Т-34-85</w:t>
            </w:r>
          </w:p>
          <w:p w14:paraId="4A6C626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45" w:type="dxa"/>
            <w:tcBorders>
              <w:top w:val="single" w:sz="6" w:space="0" w:color="auto"/>
              <w:left w:val="single" w:sz="6" w:space="0" w:color="auto"/>
              <w:bottom w:val="nil"/>
              <w:right w:val="single" w:sz="6" w:space="0" w:color="auto"/>
            </w:tcBorders>
          </w:tcPr>
          <w:p w14:paraId="3B08609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2100</w:t>
            </w:r>
          </w:p>
          <w:p w14:paraId="4B6F344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nil"/>
              <w:right w:val="single" w:sz="6" w:space="0" w:color="auto"/>
            </w:tcBorders>
          </w:tcPr>
          <w:p w14:paraId="0435B8C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2160</w:t>
            </w:r>
          </w:p>
          <w:p w14:paraId="1BFE5F1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nil"/>
              <w:right w:val="single" w:sz="6" w:space="0" w:color="auto"/>
            </w:tcBorders>
          </w:tcPr>
          <w:p w14:paraId="0893DDE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715</w:t>
            </w:r>
          </w:p>
          <w:p w14:paraId="2BB50F9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single" w:sz="6" w:space="0" w:color="auto"/>
              <w:left w:val="single" w:sz="6" w:space="0" w:color="auto"/>
              <w:bottom w:val="nil"/>
              <w:right w:val="single" w:sz="6" w:space="0" w:color="auto"/>
            </w:tcBorders>
          </w:tcPr>
          <w:p w14:paraId="5C239C1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720</w:t>
            </w:r>
          </w:p>
          <w:p w14:paraId="5D28442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nil"/>
              <w:right w:val="single" w:sz="6" w:space="0" w:color="auto"/>
            </w:tcBorders>
          </w:tcPr>
          <w:p w14:paraId="6CCC24B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725</w:t>
            </w:r>
          </w:p>
          <w:p w14:paraId="6EA8C34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tcBorders>
              <w:top w:val="single" w:sz="6" w:space="0" w:color="auto"/>
              <w:left w:val="single" w:sz="6" w:space="0" w:color="auto"/>
              <w:bottom w:val="nil"/>
              <w:right w:val="single" w:sz="6" w:space="0" w:color="auto"/>
            </w:tcBorders>
          </w:tcPr>
          <w:p w14:paraId="5B57D24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329FDA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87BEC07" w14:textId="77777777">
        <w:trPr>
          <w:trHeight w:val="202"/>
        </w:trPr>
        <w:tc>
          <w:tcPr>
            <w:tcW w:w="1286" w:type="dxa"/>
            <w:tcBorders>
              <w:top w:val="nil"/>
              <w:left w:val="single" w:sz="6" w:space="0" w:color="auto"/>
              <w:bottom w:val="nil"/>
              <w:right w:val="single" w:sz="6" w:space="0" w:color="auto"/>
            </w:tcBorders>
          </w:tcPr>
          <w:p w14:paraId="7E20BBD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№112</w:t>
            </w:r>
          </w:p>
          <w:p w14:paraId="48D30F1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nil"/>
              <w:left w:val="single" w:sz="6" w:space="0" w:color="auto"/>
              <w:bottom w:val="nil"/>
              <w:right w:val="single" w:sz="6" w:space="0" w:color="auto"/>
            </w:tcBorders>
          </w:tcPr>
          <w:p w14:paraId="63F75D2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Т-34-85</w:t>
            </w:r>
          </w:p>
          <w:p w14:paraId="23BD223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45" w:type="dxa"/>
            <w:tcBorders>
              <w:top w:val="nil"/>
              <w:left w:val="single" w:sz="6" w:space="0" w:color="auto"/>
              <w:bottom w:val="nil"/>
              <w:right w:val="single" w:sz="6" w:space="0" w:color="auto"/>
            </w:tcBorders>
          </w:tcPr>
          <w:p w14:paraId="29D686A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910</w:t>
            </w:r>
          </w:p>
          <w:p w14:paraId="25F8730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nil"/>
              <w:right w:val="single" w:sz="6" w:space="0" w:color="auto"/>
            </w:tcBorders>
          </w:tcPr>
          <w:p w14:paraId="4760F25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1000</w:t>
            </w:r>
          </w:p>
          <w:p w14:paraId="6D3E9D1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nil"/>
              <w:left w:val="single" w:sz="6" w:space="0" w:color="auto"/>
              <w:bottom w:val="nil"/>
              <w:right w:val="single" w:sz="6" w:space="0" w:color="auto"/>
            </w:tcBorders>
          </w:tcPr>
          <w:p w14:paraId="161C99B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325</w:t>
            </w:r>
          </w:p>
          <w:p w14:paraId="6242347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nil"/>
              <w:left w:val="single" w:sz="6" w:space="0" w:color="auto"/>
              <w:bottom w:val="nil"/>
              <w:right w:val="single" w:sz="6" w:space="0" w:color="auto"/>
            </w:tcBorders>
          </w:tcPr>
          <w:p w14:paraId="20E4509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335</w:t>
            </w:r>
          </w:p>
          <w:p w14:paraId="71F3842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nil"/>
              <w:left w:val="single" w:sz="6" w:space="0" w:color="auto"/>
              <w:bottom w:val="nil"/>
              <w:right w:val="single" w:sz="6" w:space="0" w:color="auto"/>
            </w:tcBorders>
          </w:tcPr>
          <w:p w14:paraId="2621657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340</w:t>
            </w:r>
          </w:p>
          <w:p w14:paraId="6A3F7BE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tcBorders>
              <w:top w:val="nil"/>
              <w:left w:val="single" w:sz="6" w:space="0" w:color="auto"/>
              <w:bottom w:val="nil"/>
              <w:right w:val="single" w:sz="6" w:space="0" w:color="auto"/>
            </w:tcBorders>
          </w:tcPr>
          <w:p w14:paraId="2080FA5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101ED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C47E19B" w14:textId="77777777">
        <w:trPr>
          <w:trHeight w:val="182"/>
        </w:trPr>
        <w:tc>
          <w:tcPr>
            <w:tcW w:w="1286" w:type="dxa"/>
            <w:tcBorders>
              <w:top w:val="nil"/>
              <w:left w:val="single" w:sz="6" w:space="0" w:color="auto"/>
              <w:bottom w:val="nil"/>
              <w:right w:val="single" w:sz="6" w:space="0" w:color="auto"/>
            </w:tcBorders>
          </w:tcPr>
          <w:p w14:paraId="451AC52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том числе:</w:t>
            </w:r>
          </w:p>
          <w:p w14:paraId="2F0A1F5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nil"/>
              <w:left w:val="single" w:sz="6" w:space="0" w:color="auto"/>
              <w:bottom w:val="nil"/>
              <w:right w:val="single" w:sz="6" w:space="0" w:color="auto"/>
            </w:tcBorders>
          </w:tcPr>
          <w:p w14:paraId="326132F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Т-34-85 с РСБ</w:t>
            </w:r>
          </w:p>
          <w:p w14:paraId="55ECBF7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45" w:type="dxa"/>
            <w:tcBorders>
              <w:top w:val="nil"/>
              <w:left w:val="single" w:sz="6" w:space="0" w:color="auto"/>
              <w:bottom w:val="nil"/>
              <w:right w:val="single" w:sz="6" w:space="0" w:color="auto"/>
            </w:tcBorders>
          </w:tcPr>
          <w:p w14:paraId="767AFA1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w:t>
            </w:r>
          </w:p>
          <w:p w14:paraId="66DA5DB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nil"/>
              <w:right w:val="single" w:sz="6" w:space="0" w:color="auto"/>
            </w:tcBorders>
          </w:tcPr>
          <w:p w14:paraId="62490E7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w:t>
            </w:r>
          </w:p>
          <w:p w14:paraId="27BCC9C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nil"/>
              <w:left w:val="single" w:sz="6" w:space="0" w:color="auto"/>
              <w:bottom w:val="nil"/>
              <w:right w:val="single" w:sz="6" w:space="0" w:color="auto"/>
            </w:tcBorders>
          </w:tcPr>
          <w:p w14:paraId="10962D1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w:t>
            </w:r>
          </w:p>
          <w:p w14:paraId="6C4BA11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nil"/>
              <w:left w:val="single" w:sz="6" w:space="0" w:color="auto"/>
              <w:bottom w:val="nil"/>
              <w:right w:val="single" w:sz="6" w:space="0" w:color="auto"/>
            </w:tcBorders>
          </w:tcPr>
          <w:p w14:paraId="2C70E1B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w:t>
            </w:r>
          </w:p>
          <w:p w14:paraId="019070B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nil"/>
              <w:left w:val="single" w:sz="6" w:space="0" w:color="auto"/>
              <w:bottom w:val="nil"/>
              <w:right w:val="single" w:sz="6" w:space="0" w:color="auto"/>
            </w:tcBorders>
          </w:tcPr>
          <w:p w14:paraId="1D40F5A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w:t>
            </w:r>
          </w:p>
          <w:p w14:paraId="601C9AA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tcBorders>
              <w:top w:val="nil"/>
              <w:left w:val="single" w:sz="6" w:space="0" w:color="auto"/>
              <w:bottom w:val="nil"/>
              <w:right w:val="single" w:sz="6" w:space="0" w:color="auto"/>
            </w:tcBorders>
          </w:tcPr>
          <w:p w14:paraId="4464CFB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82857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B71325F" w14:textId="77777777">
        <w:trPr>
          <w:trHeight w:val="211"/>
        </w:trPr>
        <w:tc>
          <w:tcPr>
            <w:tcW w:w="1286" w:type="dxa"/>
            <w:tcBorders>
              <w:top w:val="nil"/>
              <w:left w:val="single" w:sz="6" w:space="0" w:color="auto"/>
              <w:bottom w:val="nil"/>
              <w:right w:val="single" w:sz="6" w:space="0" w:color="auto"/>
            </w:tcBorders>
          </w:tcPr>
          <w:p w14:paraId="5CA6BEF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№174</w:t>
            </w:r>
          </w:p>
          <w:p w14:paraId="03F7EFE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nil"/>
              <w:left w:val="single" w:sz="6" w:space="0" w:color="auto"/>
              <w:bottom w:val="nil"/>
              <w:right w:val="single" w:sz="6" w:space="0" w:color="auto"/>
            </w:tcBorders>
          </w:tcPr>
          <w:p w14:paraId="59BB4E4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Т-34</w:t>
            </w:r>
          </w:p>
          <w:p w14:paraId="01B6E01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45" w:type="dxa"/>
            <w:tcBorders>
              <w:top w:val="nil"/>
              <w:left w:val="single" w:sz="6" w:space="0" w:color="auto"/>
              <w:bottom w:val="nil"/>
              <w:right w:val="single" w:sz="6" w:space="0" w:color="auto"/>
            </w:tcBorders>
          </w:tcPr>
          <w:p w14:paraId="5FBEEA0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550</w:t>
            </w:r>
          </w:p>
          <w:p w14:paraId="3A25FAE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nil"/>
              <w:right w:val="single" w:sz="6" w:space="0" w:color="auto"/>
            </w:tcBorders>
          </w:tcPr>
          <w:p w14:paraId="5E18066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640</w:t>
            </w:r>
          </w:p>
          <w:p w14:paraId="5ABB638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nil"/>
              <w:left w:val="single" w:sz="6" w:space="0" w:color="auto"/>
              <w:bottom w:val="nil"/>
              <w:right w:val="single" w:sz="6" w:space="0" w:color="auto"/>
            </w:tcBorders>
          </w:tcPr>
          <w:p w14:paraId="61E538E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200</w:t>
            </w:r>
          </w:p>
          <w:p w14:paraId="31C41AF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nil"/>
              <w:left w:val="single" w:sz="6" w:space="0" w:color="auto"/>
              <w:bottom w:val="nil"/>
              <w:right w:val="single" w:sz="6" w:space="0" w:color="auto"/>
            </w:tcBorders>
          </w:tcPr>
          <w:p w14:paraId="4B4AEF3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210</w:t>
            </w:r>
          </w:p>
          <w:p w14:paraId="14C7CC0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nil"/>
              <w:left w:val="single" w:sz="6" w:space="0" w:color="auto"/>
              <w:bottom w:val="nil"/>
              <w:right w:val="single" w:sz="6" w:space="0" w:color="auto"/>
            </w:tcBorders>
          </w:tcPr>
          <w:p w14:paraId="4FEAE11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230</w:t>
            </w:r>
          </w:p>
          <w:p w14:paraId="00CAF4B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tcBorders>
              <w:top w:val="nil"/>
              <w:left w:val="single" w:sz="6" w:space="0" w:color="auto"/>
              <w:bottom w:val="nil"/>
              <w:right w:val="single" w:sz="6" w:space="0" w:color="auto"/>
            </w:tcBorders>
          </w:tcPr>
          <w:p w14:paraId="051A1E5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60BBD7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89E23B4" w14:textId="77777777">
        <w:trPr>
          <w:trHeight w:val="202"/>
        </w:trPr>
        <w:tc>
          <w:tcPr>
            <w:tcW w:w="1286" w:type="dxa"/>
            <w:tcBorders>
              <w:top w:val="nil"/>
              <w:left w:val="single" w:sz="6" w:space="0" w:color="auto"/>
              <w:bottom w:val="nil"/>
              <w:right w:val="single" w:sz="6" w:space="0" w:color="auto"/>
            </w:tcBorders>
          </w:tcPr>
          <w:p w14:paraId="60A6257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том числе:</w:t>
            </w:r>
          </w:p>
          <w:p w14:paraId="60F79CC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nil"/>
              <w:left w:val="single" w:sz="6" w:space="0" w:color="auto"/>
              <w:bottom w:val="nil"/>
              <w:right w:val="single" w:sz="6" w:space="0" w:color="auto"/>
            </w:tcBorders>
          </w:tcPr>
          <w:p w14:paraId="164706C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Т-034</w:t>
            </w:r>
          </w:p>
          <w:p w14:paraId="3DDC549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45" w:type="dxa"/>
            <w:tcBorders>
              <w:top w:val="nil"/>
              <w:left w:val="single" w:sz="6" w:space="0" w:color="auto"/>
              <w:bottom w:val="nil"/>
              <w:right w:val="single" w:sz="6" w:space="0" w:color="auto"/>
            </w:tcBorders>
          </w:tcPr>
          <w:p w14:paraId="48A508B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75+75</w:t>
            </w:r>
          </w:p>
          <w:p w14:paraId="7E4BCCE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nil"/>
              <w:right w:val="single" w:sz="6" w:space="0" w:color="auto"/>
            </w:tcBorders>
          </w:tcPr>
          <w:p w14:paraId="3D00F99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225</w:t>
            </w:r>
          </w:p>
          <w:p w14:paraId="6973BB8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nil"/>
              <w:left w:val="single" w:sz="6" w:space="0" w:color="auto"/>
              <w:bottom w:val="nil"/>
              <w:right w:val="single" w:sz="6" w:space="0" w:color="auto"/>
            </w:tcBorders>
          </w:tcPr>
          <w:p w14:paraId="17EEAB5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75</w:t>
            </w:r>
          </w:p>
          <w:p w14:paraId="3A3045B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nil"/>
              <w:left w:val="single" w:sz="6" w:space="0" w:color="auto"/>
              <w:bottom w:val="nil"/>
              <w:right w:val="single" w:sz="6" w:space="0" w:color="auto"/>
            </w:tcBorders>
          </w:tcPr>
          <w:p w14:paraId="68EFECF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75</w:t>
            </w:r>
          </w:p>
          <w:p w14:paraId="5762143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nil"/>
              <w:left w:val="single" w:sz="6" w:space="0" w:color="auto"/>
              <w:bottom w:val="nil"/>
              <w:right w:val="single" w:sz="6" w:space="0" w:color="auto"/>
            </w:tcBorders>
          </w:tcPr>
          <w:p w14:paraId="68ADADE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75</w:t>
            </w:r>
          </w:p>
          <w:p w14:paraId="69F5A52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tcBorders>
              <w:top w:val="nil"/>
              <w:left w:val="single" w:sz="6" w:space="0" w:color="auto"/>
              <w:bottom w:val="nil"/>
              <w:right w:val="single" w:sz="6" w:space="0" w:color="auto"/>
            </w:tcBorders>
          </w:tcPr>
          <w:p w14:paraId="0FCCA28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сентябре Т-034-85</w:t>
            </w:r>
          </w:p>
          <w:p w14:paraId="3883F01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4EF6285" w14:textId="77777777">
        <w:trPr>
          <w:trHeight w:val="202"/>
        </w:trPr>
        <w:tc>
          <w:tcPr>
            <w:tcW w:w="1286" w:type="dxa"/>
            <w:tcBorders>
              <w:top w:val="nil"/>
              <w:left w:val="single" w:sz="6" w:space="0" w:color="auto"/>
              <w:bottom w:val="nil"/>
              <w:right w:val="single" w:sz="6" w:space="0" w:color="auto"/>
            </w:tcBorders>
          </w:tcPr>
          <w:p w14:paraId="25CC949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6C794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nil"/>
              <w:left w:val="single" w:sz="6" w:space="0" w:color="auto"/>
              <w:bottom w:val="nil"/>
              <w:right w:val="single" w:sz="6" w:space="0" w:color="auto"/>
            </w:tcBorders>
          </w:tcPr>
          <w:p w14:paraId="4074B91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Т-34-85"</w:t>
            </w:r>
          </w:p>
          <w:p w14:paraId="58EE42B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45" w:type="dxa"/>
            <w:tcBorders>
              <w:top w:val="nil"/>
              <w:left w:val="single" w:sz="6" w:space="0" w:color="auto"/>
              <w:bottom w:val="nil"/>
              <w:right w:val="single" w:sz="6" w:space="0" w:color="auto"/>
            </w:tcBorders>
          </w:tcPr>
          <w:p w14:paraId="4782FEC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w:t>
            </w:r>
          </w:p>
          <w:p w14:paraId="077552B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nil"/>
              <w:right w:val="single" w:sz="6" w:space="0" w:color="auto"/>
            </w:tcBorders>
          </w:tcPr>
          <w:p w14:paraId="3AF30D5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355</w:t>
            </w:r>
          </w:p>
          <w:p w14:paraId="1952F0A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nil"/>
              <w:left w:val="single" w:sz="6" w:space="0" w:color="auto"/>
              <w:bottom w:val="nil"/>
              <w:right w:val="single" w:sz="6" w:space="0" w:color="auto"/>
            </w:tcBorders>
          </w:tcPr>
          <w:p w14:paraId="1DE65BA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75</w:t>
            </w:r>
          </w:p>
          <w:p w14:paraId="2956151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nil"/>
              <w:left w:val="single" w:sz="6" w:space="0" w:color="auto"/>
              <w:bottom w:val="nil"/>
              <w:right w:val="single" w:sz="6" w:space="0" w:color="auto"/>
            </w:tcBorders>
          </w:tcPr>
          <w:p w14:paraId="6673F8E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125</w:t>
            </w:r>
          </w:p>
          <w:p w14:paraId="0A1FD4A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nil"/>
              <w:left w:val="single" w:sz="6" w:space="0" w:color="auto"/>
              <w:bottom w:val="nil"/>
              <w:right w:val="single" w:sz="6" w:space="0" w:color="auto"/>
            </w:tcBorders>
          </w:tcPr>
          <w:p w14:paraId="022E3A1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155</w:t>
            </w:r>
          </w:p>
          <w:p w14:paraId="4276CD3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tcBorders>
              <w:top w:val="nil"/>
              <w:left w:val="single" w:sz="6" w:space="0" w:color="auto"/>
              <w:bottom w:val="nil"/>
              <w:right w:val="single" w:sz="6" w:space="0" w:color="auto"/>
            </w:tcBorders>
          </w:tcPr>
          <w:p w14:paraId="62AB501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приказу НКГП 236с</w:t>
            </w:r>
          </w:p>
          <w:p w14:paraId="612C20B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10B2EF3" w14:textId="77777777">
        <w:trPr>
          <w:trHeight w:val="250"/>
        </w:trPr>
        <w:tc>
          <w:tcPr>
            <w:tcW w:w="1286" w:type="dxa"/>
            <w:tcBorders>
              <w:top w:val="nil"/>
              <w:left w:val="single" w:sz="6" w:space="0" w:color="auto"/>
              <w:bottom w:val="single" w:sz="6" w:space="0" w:color="auto"/>
              <w:right w:val="single" w:sz="6" w:space="0" w:color="auto"/>
            </w:tcBorders>
          </w:tcPr>
          <w:p w14:paraId="1EA36CF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Уралмашзавод</w:t>
            </w:r>
          </w:p>
          <w:p w14:paraId="7E9757A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nil"/>
              <w:left w:val="single" w:sz="6" w:space="0" w:color="auto"/>
              <w:bottom w:val="single" w:sz="6" w:space="0" w:color="auto"/>
              <w:right w:val="single" w:sz="6" w:space="0" w:color="auto"/>
            </w:tcBorders>
          </w:tcPr>
          <w:p w14:paraId="0F0A966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СУ-85</w:t>
            </w:r>
          </w:p>
          <w:p w14:paraId="2438ED9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45" w:type="dxa"/>
            <w:tcBorders>
              <w:top w:val="nil"/>
              <w:left w:val="single" w:sz="6" w:space="0" w:color="auto"/>
              <w:bottom w:val="single" w:sz="6" w:space="0" w:color="auto"/>
              <w:right w:val="single" w:sz="6" w:space="0" w:color="auto"/>
            </w:tcBorders>
          </w:tcPr>
          <w:p w14:paraId="3700BE6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615</w:t>
            </w:r>
          </w:p>
          <w:p w14:paraId="329681B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single" w:sz="6" w:space="0" w:color="auto"/>
              <w:right w:val="single" w:sz="6" w:space="0" w:color="auto"/>
            </w:tcBorders>
          </w:tcPr>
          <w:p w14:paraId="52FB17B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645</w:t>
            </w:r>
          </w:p>
          <w:p w14:paraId="05C9468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nil"/>
              <w:left w:val="single" w:sz="6" w:space="0" w:color="auto"/>
              <w:bottom w:val="single" w:sz="6" w:space="0" w:color="auto"/>
              <w:right w:val="single" w:sz="6" w:space="0" w:color="auto"/>
            </w:tcBorders>
          </w:tcPr>
          <w:p w14:paraId="15A2B53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210</w:t>
            </w:r>
          </w:p>
          <w:p w14:paraId="1E0E6CC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nil"/>
              <w:left w:val="single" w:sz="6" w:space="0" w:color="auto"/>
              <w:bottom w:val="single" w:sz="6" w:space="0" w:color="auto"/>
              <w:right w:val="single" w:sz="6" w:space="0" w:color="auto"/>
            </w:tcBorders>
          </w:tcPr>
          <w:p w14:paraId="2A6FBC7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215</w:t>
            </w:r>
          </w:p>
          <w:p w14:paraId="1B9D5D6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nil"/>
              <w:left w:val="single" w:sz="6" w:space="0" w:color="auto"/>
              <w:bottom w:val="single" w:sz="6" w:space="0" w:color="auto"/>
              <w:right w:val="single" w:sz="6" w:space="0" w:color="auto"/>
            </w:tcBorders>
          </w:tcPr>
          <w:p w14:paraId="7F15C34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220</w:t>
            </w:r>
          </w:p>
          <w:p w14:paraId="00F2AE0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tcBorders>
              <w:top w:val="nil"/>
              <w:left w:val="single" w:sz="6" w:space="0" w:color="auto"/>
              <w:bottom w:val="single" w:sz="6" w:space="0" w:color="auto"/>
              <w:right w:val="single" w:sz="6" w:space="0" w:color="auto"/>
            </w:tcBorders>
          </w:tcPr>
          <w:p w14:paraId="790C086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 15.04. 1944 г.</w:t>
            </w:r>
          </w:p>
          <w:p w14:paraId="5DAB55E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203A892" w14:textId="77777777">
        <w:trPr>
          <w:trHeight w:val="240"/>
        </w:trPr>
        <w:tc>
          <w:tcPr>
            <w:tcW w:w="2380" w:type="dxa"/>
            <w:gridSpan w:val="2"/>
            <w:tcBorders>
              <w:top w:val="single" w:sz="6" w:space="0" w:color="auto"/>
              <w:left w:val="single" w:sz="6" w:space="0" w:color="auto"/>
              <w:bottom w:val="single" w:sz="6" w:space="0" w:color="auto"/>
              <w:right w:val="single" w:sz="6" w:space="0" w:color="auto"/>
            </w:tcBorders>
          </w:tcPr>
          <w:p w14:paraId="7514E44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 Средних танков и СУ</w:t>
            </w:r>
          </w:p>
          <w:p w14:paraId="3D87A83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45" w:type="dxa"/>
            <w:tcBorders>
              <w:top w:val="single" w:sz="6" w:space="0" w:color="auto"/>
              <w:left w:val="single" w:sz="6" w:space="0" w:color="auto"/>
              <w:bottom w:val="single" w:sz="6" w:space="0" w:color="auto"/>
              <w:right w:val="single" w:sz="6" w:space="0" w:color="auto"/>
            </w:tcBorders>
          </w:tcPr>
          <w:p w14:paraId="184CB65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4175</w:t>
            </w:r>
          </w:p>
          <w:p w14:paraId="51FB430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2F482CB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4445</w:t>
            </w:r>
          </w:p>
          <w:p w14:paraId="7EE7CD3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1DB83F9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1450</w:t>
            </w:r>
          </w:p>
          <w:p w14:paraId="406CA63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2331CA2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1480</w:t>
            </w:r>
          </w:p>
          <w:p w14:paraId="4824EDC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4BC3645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1515</w:t>
            </w:r>
          </w:p>
          <w:p w14:paraId="21EDC83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tcBorders>
              <w:top w:val="single" w:sz="6" w:space="0" w:color="auto"/>
              <w:left w:val="single" w:sz="6" w:space="0" w:color="auto"/>
              <w:bottom w:val="single" w:sz="6" w:space="0" w:color="auto"/>
              <w:right w:val="single" w:sz="6" w:space="0" w:color="auto"/>
            </w:tcBorders>
          </w:tcPr>
          <w:p w14:paraId="3A26683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E79642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C1AC1E2" w14:textId="77777777">
        <w:trPr>
          <w:trHeight w:val="202"/>
        </w:trPr>
        <w:tc>
          <w:tcPr>
            <w:tcW w:w="1286" w:type="dxa"/>
            <w:tcBorders>
              <w:top w:val="single" w:sz="6" w:space="0" w:color="auto"/>
              <w:left w:val="single" w:sz="6" w:space="0" w:color="auto"/>
              <w:bottom w:val="nil"/>
              <w:right w:val="single" w:sz="6" w:space="0" w:color="auto"/>
            </w:tcBorders>
          </w:tcPr>
          <w:p w14:paraId="2166CDA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№38</w:t>
            </w:r>
          </w:p>
          <w:p w14:paraId="7FECF0C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single" w:sz="6" w:space="0" w:color="auto"/>
              <w:left w:val="single" w:sz="6" w:space="0" w:color="auto"/>
              <w:bottom w:val="nil"/>
              <w:right w:val="single" w:sz="6" w:space="0" w:color="auto"/>
            </w:tcBorders>
          </w:tcPr>
          <w:p w14:paraId="3FDE3CC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СУ-76</w:t>
            </w:r>
          </w:p>
          <w:p w14:paraId="4BCEEF4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45" w:type="dxa"/>
            <w:tcBorders>
              <w:top w:val="single" w:sz="6" w:space="0" w:color="auto"/>
              <w:left w:val="single" w:sz="6" w:space="0" w:color="auto"/>
              <w:bottom w:val="nil"/>
              <w:right w:val="single" w:sz="6" w:space="0" w:color="auto"/>
            </w:tcBorders>
          </w:tcPr>
          <w:p w14:paraId="5CBDF46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525</w:t>
            </w:r>
          </w:p>
          <w:p w14:paraId="7E55A7B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nil"/>
              <w:right w:val="single" w:sz="6" w:space="0" w:color="auto"/>
            </w:tcBorders>
          </w:tcPr>
          <w:p w14:paraId="371046A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0673B55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nil"/>
              <w:right w:val="single" w:sz="6" w:space="0" w:color="auto"/>
            </w:tcBorders>
          </w:tcPr>
          <w:p w14:paraId="1FFF717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25B0ACF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single" w:sz="6" w:space="0" w:color="auto"/>
              <w:left w:val="single" w:sz="6" w:space="0" w:color="auto"/>
              <w:bottom w:val="nil"/>
              <w:right w:val="single" w:sz="6" w:space="0" w:color="auto"/>
            </w:tcBorders>
          </w:tcPr>
          <w:p w14:paraId="05E72A5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104FF31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nil"/>
              <w:right w:val="single" w:sz="6" w:space="0" w:color="auto"/>
            </w:tcBorders>
          </w:tcPr>
          <w:p w14:paraId="662DAEF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019F26D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tcBorders>
              <w:top w:val="single" w:sz="6" w:space="0" w:color="auto"/>
              <w:left w:val="single" w:sz="6" w:space="0" w:color="auto"/>
              <w:bottom w:val="nil"/>
              <w:right w:val="single" w:sz="6" w:space="0" w:color="auto"/>
            </w:tcBorders>
          </w:tcPr>
          <w:p w14:paraId="51A27E9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DE66C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8FF5F8D" w14:textId="77777777">
        <w:trPr>
          <w:trHeight w:val="192"/>
        </w:trPr>
        <w:tc>
          <w:tcPr>
            <w:tcW w:w="1286" w:type="dxa"/>
            <w:tcBorders>
              <w:top w:val="nil"/>
              <w:left w:val="single" w:sz="6" w:space="0" w:color="auto"/>
              <w:bottom w:val="nil"/>
              <w:right w:val="single" w:sz="6" w:space="0" w:color="auto"/>
            </w:tcBorders>
          </w:tcPr>
          <w:p w14:paraId="198CB4C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№40</w:t>
            </w:r>
          </w:p>
          <w:p w14:paraId="4600CAB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nil"/>
              <w:left w:val="single" w:sz="6" w:space="0" w:color="auto"/>
              <w:bottom w:val="nil"/>
              <w:right w:val="single" w:sz="6" w:space="0" w:color="auto"/>
            </w:tcBorders>
          </w:tcPr>
          <w:p w14:paraId="276D380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СУ-76</w:t>
            </w:r>
          </w:p>
          <w:p w14:paraId="240A455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45" w:type="dxa"/>
            <w:tcBorders>
              <w:top w:val="nil"/>
              <w:left w:val="single" w:sz="6" w:space="0" w:color="auto"/>
              <w:bottom w:val="nil"/>
              <w:right w:val="single" w:sz="6" w:space="0" w:color="auto"/>
            </w:tcBorders>
          </w:tcPr>
          <w:p w14:paraId="3912352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260</w:t>
            </w:r>
          </w:p>
          <w:p w14:paraId="0A8DF54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nil"/>
              <w:right w:val="single" w:sz="6" w:space="0" w:color="auto"/>
            </w:tcBorders>
          </w:tcPr>
          <w:p w14:paraId="0306A18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385</w:t>
            </w:r>
          </w:p>
          <w:p w14:paraId="306F3C2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nil"/>
              <w:left w:val="single" w:sz="6" w:space="0" w:color="auto"/>
              <w:bottom w:val="nil"/>
              <w:right w:val="single" w:sz="6" w:space="0" w:color="auto"/>
            </w:tcBorders>
          </w:tcPr>
          <w:p w14:paraId="3663F0B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125</w:t>
            </w:r>
          </w:p>
          <w:p w14:paraId="3316D56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nil"/>
              <w:left w:val="single" w:sz="6" w:space="0" w:color="auto"/>
              <w:bottom w:val="nil"/>
              <w:right w:val="single" w:sz="6" w:space="0" w:color="auto"/>
            </w:tcBorders>
          </w:tcPr>
          <w:p w14:paraId="0E05B55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130</w:t>
            </w:r>
          </w:p>
          <w:p w14:paraId="0C0AE48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nil"/>
              <w:left w:val="single" w:sz="6" w:space="0" w:color="auto"/>
              <w:bottom w:val="nil"/>
              <w:right w:val="single" w:sz="6" w:space="0" w:color="auto"/>
            </w:tcBorders>
          </w:tcPr>
          <w:p w14:paraId="18ED2C8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130</w:t>
            </w:r>
          </w:p>
          <w:p w14:paraId="5DD17CE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tcBorders>
              <w:top w:val="nil"/>
              <w:left w:val="single" w:sz="6" w:space="0" w:color="auto"/>
              <w:bottom w:val="nil"/>
              <w:right w:val="single" w:sz="6" w:space="0" w:color="auto"/>
            </w:tcBorders>
          </w:tcPr>
          <w:p w14:paraId="48B15F3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9DBA4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1EAAAD8" w14:textId="77777777">
        <w:trPr>
          <w:trHeight w:val="202"/>
        </w:trPr>
        <w:tc>
          <w:tcPr>
            <w:tcW w:w="1286" w:type="dxa"/>
            <w:tcBorders>
              <w:top w:val="nil"/>
              <w:left w:val="single" w:sz="6" w:space="0" w:color="auto"/>
              <w:bottom w:val="nil"/>
              <w:right w:val="single" w:sz="6" w:space="0" w:color="auto"/>
            </w:tcBorders>
          </w:tcPr>
          <w:p w14:paraId="58017B7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ГАЗ им. Молотоеа</w:t>
            </w:r>
          </w:p>
          <w:p w14:paraId="4BE9620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nil"/>
              <w:left w:val="single" w:sz="6" w:space="0" w:color="auto"/>
              <w:bottom w:val="nil"/>
              <w:right w:val="single" w:sz="6" w:space="0" w:color="auto"/>
            </w:tcBorders>
          </w:tcPr>
          <w:p w14:paraId="5361DD4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СУ-76</w:t>
            </w:r>
          </w:p>
          <w:p w14:paraId="6C723AD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45" w:type="dxa"/>
            <w:tcBorders>
              <w:top w:val="nil"/>
              <w:left w:val="single" w:sz="6" w:space="0" w:color="auto"/>
              <w:bottom w:val="nil"/>
              <w:right w:val="single" w:sz="6" w:space="0" w:color="auto"/>
            </w:tcBorders>
          </w:tcPr>
          <w:p w14:paraId="754737D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1100"</w:t>
            </w:r>
          </w:p>
          <w:p w14:paraId="4836441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nil"/>
              <w:right w:val="single" w:sz="6" w:space="0" w:color="auto"/>
            </w:tcBorders>
          </w:tcPr>
          <w:p w14:paraId="64DF127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1500</w:t>
            </w:r>
          </w:p>
          <w:p w14:paraId="5CD4B04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nil"/>
              <w:left w:val="single" w:sz="6" w:space="0" w:color="auto"/>
              <w:bottom w:val="nil"/>
              <w:right w:val="single" w:sz="6" w:space="0" w:color="auto"/>
            </w:tcBorders>
          </w:tcPr>
          <w:p w14:paraId="667B8B7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500</w:t>
            </w:r>
          </w:p>
          <w:p w14:paraId="2CA1BE0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nil"/>
              <w:left w:val="single" w:sz="6" w:space="0" w:color="auto"/>
              <w:bottom w:val="nil"/>
              <w:right w:val="single" w:sz="6" w:space="0" w:color="auto"/>
            </w:tcBorders>
          </w:tcPr>
          <w:p w14:paraId="5404DB8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500</w:t>
            </w:r>
          </w:p>
          <w:p w14:paraId="5967A07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nil"/>
              <w:left w:val="single" w:sz="6" w:space="0" w:color="auto"/>
              <w:bottom w:val="nil"/>
              <w:right w:val="single" w:sz="6" w:space="0" w:color="auto"/>
            </w:tcBorders>
          </w:tcPr>
          <w:p w14:paraId="7783D2D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500</w:t>
            </w:r>
          </w:p>
          <w:p w14:paraId="173B70B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tcBorders>
              <w:top w:val="nil"/>
              <w:left w:val="single" w:sz="6" w:space="0" w:color="auto"/>
              <w:bottom w:val="nil"/>
              <w:right w:val="single" w:sz="6" w:space="0" w:color="auto"/>
            </w:tcBorders>
          </w:tcPr>
          <w:p w14:paraId="5E611A8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Вт. ч. дляНКМВФ15шт.</w:t>
            </w:r>
          </w:p>
          <w:p w14:paraId="4E44011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37DA785" w14:textId="77777777">
        <w:trPr>
          <w:trHeight w:val="192"/>
        </w:trPr>
        <w:tc>
          <w:tcPr>
            <w:tcW w:w="1286" w:type="dxa"/>
            <w:tcBorders>
              <w:top w:val="nil"/>
              <w:left w:val="single" w:sz="6" w:space="0" w:color="auto"/>
              <w:bottom w:val="nil"/>
              <w:right w:val="single" w:sz="6" w:space="0" w:color="auto"/>
            </w:tcBorders>
          </w:tcPr>
          <w:p w14:paraId="42A8F1F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w:t>
            </w:r>
          </w:p>
          <w:p w14:paraId="665868B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nil"/>
              <w:left w:val="single" w:sz="6" w:space="0" w:color="auto"/>
              <w:bottom w:val="nil"/>
              <w:right w:val="single" w:sz="6" w:space="0" w:color="auto"/>
            </w:tcBorders>
          </w:tcPr>
          <w:p w14:paraId="68B67E0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СУ-76</w:t>
            </w:r>
          </w:p>
          <w:p w14:paraId="3C0E10A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45" w:type="dxa"/>
            <w:tcBorders>
              <w:top w:val="nil"/>
              <w:left w:val="single" w:sz="6" w:space="0" w:color="auto"/>
              <w:bottom w:val="nil"/>
              <w:right w:val="single" w:sz="6" w:space="0" w:color="auto"/>
            </w:tcBorders>
          </w:tcPr>
          <w:p w14:paraId="02A1103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1885</w:t>
            </w:r>
          </w:p>
          <w:p w14:paraId="77F8B18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nil"/>
              <w:right w:val="single" w:sz="6" w:space="0" w:color="auto"/>
            </w:tcBorders>
          </w:tcPr>
          <w:p w14:paraId="1ABF58D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1885</w:t>
            </w:r>
          </w:p>
          <w:p w14:paraId="39BF338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nil"/>
              <w:left w:val="single" w:sz="6" w:space="0" w:color="auto"/>
              <w:bottom w:val="nil"/>
              <w:right w:val="single" w:sz="6" w:space="0" w:color="auto"/>
            </w:tcBorders>
          </w:tcPr>
          <w:p w14:paraId="77278CB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625</w:t>
            </w:r>
          </w:p>
          <w:p w14:paraId="434E32C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nil"/>
              <w:left w:val="single" w:sz="6" w:space="0" w:color="auto"/>
              <w:bottom w:val="nil"/>
              <w:right w:val="single" w:sz="6" w:space="0" w:color="auto"/>
            </w:tcBorders>
          </w:tcPr>
          <w:p w14:paraId="29FFD91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630</w:t>
            </w:r>
          </w:p>
          <w:p w14:paraId="5737E91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nil"/>
              <w:left w:val="single" w:sz="6" w:space="0" w:color="auto"/>
              <w:bottom w:val="nil"/>
              <w:right w:val="single" w:sz="6" w:space="0" w:color="auto"/>
            </w:tcBorders>
          </w:tcPr>
          <w:p w14:paraId="16F54DB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630</w:t>
            </w:r>
          </w:p>
          <w:p w14:paraId="5BB2B70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tcBorders>
              <w:top w:val="nil"/>
              <w:left w:val="single" w:sz="6" w:space="0" w:color="auto"/>
              <w:bottom w:val="nil"/>
              <w:right w:val="single" w:sz="6" w:space="0" w:color="auto"/>
            </w:tcBorders>
          </w:tcPr>
          <w:p w14:paraId="722449B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52C672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05C23E6" w14:textId="77777777">
        <w:trPr>
          <w:trHeight w:val="192"/>
        </w:trPr>
        <w:tc>
          <w:tcPr>
            <w:tcW w:w="1286" w:type="dxa"/>
            <w:tcBorders>
              <w:top w:val="nil"/>
              <w:left w:val="single" w:sz="6" w:space="0" w:color="auto"/>
              <w:bottom w:val="nil"/>
              <w:right w:val="single" w:sz="6" w:space="0" w:color="auto"/>
            </w:tcBorders>
          </w:tcPr>
          <w:p w14:paraId="4690724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Итого танков</w:t>
            </w:r>
          </w:p>
          <w:p w14:paraId="2E7C18C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nil"/>
              <w:left w:val="single" w:sz="6" w:space="0" w:color="auto"/>
              <w:bottom w:val="nil"/>
              <w:right w:val="single" w:sz="6" w:space="0" w:color="auto"/>
            </w:tcBorders>
          </w:tcPr>
          <w:p w14:paraId="69CE889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5AF8F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45" w:type="dxa"/>
            <w:tcBorders>
              <w:top w:val="nil"/>
              <w:left w:val="single" w:sz="6" w:space="0" w:color="auto"/>
              <w:bottom w:val="nil"/>
              <w:right w:val="single" w:sz="6" w:space="0" w:color="auto"/>
            </w:tcBorders>
          </w:tcPr>
          <w:p w14:paraId="440D51E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4085</w:t>
            </w:r>
          </w:p>
          <w:p w14:paraId="4E0CCE2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nil"/>
              <w:right w:val="single" w:sz="6" w:space="0" w:color="auto"/>
            </w:tcBorders>
          </w:tcPr>
          <w:p w14:paraId="5C4DC54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4475</w:t>
            </w:r>
          </w:p>
          <w:p w14:paraId="2E96DC9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nil"/>
              <w:left w:val="single" w:sz="6" w:space="0" w:color="auto"/>
              <w:bottom w:val="nil"/>
              <w:right w:val="single" w:sz="6" w:space="0" w:color="auto"/>
            </w:tcBorders>
          </w:tcPr>
          <w:p w14:paraId="6C9A2B0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1465</w:t>
            </w:r>
          </w:p>
          <w:p w14:paraId="7170B98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nil"/>
              <w:left w:val="single" w:sz="6" w:space="0" w:color="auto"/>
              <w:bottom w:val="nil"/>
              <w:right w:val="single" w:sz="6" w:space="0" w:color="auto"/>
            </w:tcBorders>
          </w:tcPr>
          <w:p w14:paraId="0C89525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1490</w:t>
            </w:r>
          </w:p>
          <w:p w14:paraId="0B27E02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nil"/>
              <w:left w:val="single" w:sz="6" w:space="0" w:color="auto"/>
              <w:bottom w:val="nil"/>
              <w:right w:val="single" w:sz="6" w:space="0" w:color="auto"/>
            </w:tcBorders>
          </w:tcPr>
          <w:p w14:paraId="13CEA27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1520</w:t>
            </w:r>
          </w:p>
          <w:p w14:paraId="793A88F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tcBorders>
              <w:top w:val="nil"/>
              <w:left w:val="single" w:sz="6" w:space="0" w:color="auto"/>
              <w:bottom w:val="nil"/>
              <w:right w:val="single" w:sz="6" w:space="0" w:color="auto"/>
            </w:tcBorders>
          </w:tcPr>
          <w:p w14:paraId="55A5433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11A7B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AFE8974" w14:textId="77777777">
        <w:trPr>
          <w:trHeight w:val="202"/>
        </w:trPr>
        <w:tc>
          <w:tcPr>
            <w:tcW w:w="1286" w:type="dxa"/>
            <w:tcBorders>
              <w:top w:val="nil"/>
              <w:left w:val="single" w:sz="6" w:space="0" w:color="auto"/>
              <w:bottom w:val="single" w:sz="6" w:space="0" w:color="auto"/>
              <w:right w:val="single" w:sz="6" w:space="0" w:color="auto"/>
            </w:tcBorders>
          </w:tcPr>
          <w:p w14:paraId="69D9F12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Итого СУ</w:t>
            </w:r>
          </w:p>
          <w:p w14:paraId="6905C47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nil"/>
              <w:left w:val="single" w:sz="6" w:space="0" w:color="auto"/>
              <w:bottom w:val="single" w:sz="6" w:space="0" w:color="auto"/>
              <w:right w:val="single" w:sz="6" w:space="0" w:color="auto"/>
            </w:tcBorders>
          </w:tcPr>
          <w:p w14:paraId="1D4E897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FC15E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45" w:type="dxa"/>
            <w:tcBorders>
              <w:top w:val="nil"/>
              <w:left w:val="single" w:sz="6" w:space="0" w:color="auto"/>
              <w:bottom w:val="single" w:sz="6" w:space="0" w:color="auto"/>
              <w:right w:val="single" w:sz="6" w:space="0" w:color="auto"/>
            </w:tcBorders>
          </w:tcPr>
          <w:p w14:paraId="29E06AC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3175</w:t>
            </w:r>
          </w:p>
          <w:p w14:paraId="216D087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single" w:sz="6" w:space="0" w:color="auto"/>
              <w:right w:val="single" w:sz="6" w:space="0" w:color="auto"/>
            </w:tcBorders>
          </w:tcPr>
          <w:p w14:paraId="6EE9C11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3355</w:t>
            </w:r>
          </w:p>
          <w:p w14:paraId="18A0D09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nil"/>
              <w:left w:val="single" w:sz="6" w:space="0" w:color="auto"/>
              <w:bottom w:val="single" w:sz="6" w:space="0" w:color="auto"/>
              <w:right w:val="single" w:sz="6" w:space="0" w:color="auto"/>
            </w:tcBorders>
          </w:tcPr>
          <w:p w14:paraId="6C6E1C6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1110</w:t>
            </w:r>
          </w:p>
          <w:p w14:paraId="57453B9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nil"/>
              <w:left w:val="single" w:sz="6" w:space="0" w:color="auto"/>
              <w:bottom w:val="single" w:sz="6" w:space="0" w:color="auto"/>
              <w:right w:val="single" w:sz="6" w:space="0" w:color="auto"/>
            </w:tcBorders>
          </w:tcPr>
          <w:p w14:paraId="160C007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1120</w:t>
            </w:r>
          </w:p>
          <w:p w14:paraId="657AFC0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nil"/>
              <w:left w:val="single" w:sz="6" w:space="0" w:color="auto"/>
              <w:bottom w:val="single" w:sz="6" w:space="0" w:color="auto"/>
              <w:right w:val="single" w:sz="6" w:space="0" w:color="auto"/>
            </w:tcBorders>
          </w:tcPr>
          <w:p w14:paraId="3A23326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1125</w:t>
            </w:r>
          </w:p>
          <w:p w14:paraId="735119B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tcBorders>
              <w:top w:val="nil"/>
              <w:left w:val="single" w:sz="6" w:space="0" w:color="auto"/>
              <w:bottom w:val="single" w:sz="6" w:space="0" w:color="auto"/>
              <w:right w:val="single" w:sz="6" w:space="0" w:color="auto"/>
            </w:tcBorders>
          </w:tcPr>
          <w:p w14:paraId="0954773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86D7A6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8B01973" w14:textId="77777777">
        <w:trPr>
          <w:trHeight w:val="250"/>
        </w:trPr>
        <w:tc>
          <w:tcPr>
            <w:tcW w:w="2380" w:type="dxa"/>
            <w:gridSpan w:val="2"/>
            <w:tcBorders>
              <w:top w:val="single" w:sz="6" w:space="0" w:color="auto"/>
              <w:left w:val="single" w:sz="6" w:space="0" w:color="auto"/>
              <w:bottom w:val="single" w:sz="6" w:space="0" w:color="auto"/>
              <w:right w:val="single" w:sz="6" w:space="0" w:color="auto"/>
            </w:tcBorders>
          </w:tcPr>
          <w:p w14:paraId="41EC098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Итого танков и СУ</w:t>
            </w:r>
          </w:p>
          <w:p w14:paraId="1736203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45" w:type="dxa"/>
            <w:tcBorders>
              <w:top w:val="single" w:sz="6" w:space="0" w:color="auto"/>
              <w:left w:val="single" w:sz="6" w:space="0" w:color="auto"/>
              <w:bottom w:val="single" w:sz="6" w:space="0" w:color="auto"/>
              <w:right w:val="single" w:sz="6" w:space="0" w:color="auto"/>
            </w:tcBorders>
          </w:tcPr>
          <w:p w14:paraId="127DA85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7260</w:t>
            </w:r>
          </w:p>
          <w:p w14:paraId="79B0798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023250E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7830</w:t>
            </w:r>
          </w:p>
          <w:p w14:paraId="5F55D43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7ABBA50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2575</w:t>
            </w:r>
          </w:p>
          <w:p w14:paraId="0BB6632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6F0744D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2610</w:t>
            </w:r>
          </w:p>
          <w:p w14:paraId="04E9766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0B70162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2645</w:t>
            </w:r>
          </w:p>
          <w:p w14:paraId="660F7E2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tcBorders>
              <w:top w:val="single" w:sz="6" w:space="0" w:color="auto"/>
              <w:left w:val="single" w:sz="6" w:space="0" w:color="auto"/>
              <w:bottom w:val="single" w:sz="6" w:space="0" w:color="auto"/>
              <w:right w:val="single" w:sz="6" w:space="0" w:color="auto"/>
            </w:tcBorders>
          </w:tcPr>
          <w:p w14:paraId="7B66CA9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7821A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46CD2E7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1 отдела ТУ ГБТУ КА инженер-подполковник Егоров</w:t>
      </w:r>
    </w:p>
    <w:p w14:paraId="487B5A7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начальника 1 отдела УСА ГБТУ КА инженер-подполковник Лепендин</w:t>
      </w:r>
    </w:p>
    <w:p w14:paraId="3F4AC15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38. Оп. 11355а. Д. 361д. Л. 92. Подлинник (11420).</w:t>
      </w:r>
    </w:p>
    <w:p w14:paraId="31E87B0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EC4938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1 июня 1944 г. Московским вагоно</w:t>
      </w:r>
      <w:r w:rsidRPr="007224C3">
        <w:rPr>
          <w:rFonts w:ascii="Times New Roman" w:hAnsi="Times New Roman"/>
          <w:color w:val="000000" w:themeColor="text1"/>
          <w:sz w:val="16"/>
          <w:szCs w:val="16"/>
        </w:rPr>
        <w:softHyphen/>
        <w:t>ремонтном заводом им. Войтовича было переоборудова</w:t>
      </w:r>
      <w:r w:rsidRPr="007224C3">
        <w:rPr>
          <w:rFonts w:ascii="Times New Roman" w:hAnsi="Times New Roman"/>
          <w:color w:val="000000" w:themeColor="text1"/>
          <w:sz w:val="16"/>
          <w:szCs w:val="16"/>
        </w:rPr>
        <w:softHyphen/>
        <w:t>но 15 бронеавтомобилей БА-64Б. В дальнейшем завод им. Войтовича осуществлял мелкосерийное переоборудование БА-64Б на железнодо</w:t>
      </w:r>
      <w:r w:rsidRPr="007224C3">
        <w:rPr>
          <w:rFonts w:ascii="Times New Roman" w:hAnsi="Times New Roman"/>
          <w:color w:val="000000" w:themeColor="text1"/>
          <w:sz w:val="16"/>
          <w:szCs w:val="16"/>
        </w:rPr>
        <w:softHyphen/>
        <w:t xml:space="preserve">рожный ход. Бронеавтомобили БА-64Б ж-д использовались на фронтах Великой Отечественной </w:t>
      </w:r>
      <w:r w:rsidRPr="007224C3">
        <w:rPr>
          <w:rFonts w:ascii="Times New Roman" w:hAnsi="Times New Roman"/>
          <w:color w:val="000000" w:themeColor="text1"/>
          <w:sz w:val="16"/>
          <w:szCs w:val="16"/>
        </w:rPr>
        <w:lastRenderedPageBreak/>
        <w:t>войны в составе бронепоездов в качестве бро</w:t>
      </w:r>
      <w:r w:rsidRPr="007224C3">
        <w:rPr>
          <w:rFonts w:ascii="Times New Roman" w:hAnsi="Times New Roman"/>
          <w:color w:val="000000" w:themeColor="text1"/>
          <w:sz w:val="16"/>
          <w:szCs w:val="16"/>
        </w:rPr>
        <w:softHyphen/>
        <w:t>недрезин для ведения разведки. Боевые и технические характеристики машины были сохранены на уровне характеристик серийного образца бронеавтомобиля БА-64Б (10703).</w:t>
      </w:r>
    </w:p>
    <w:p w14:paraId="165BC58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9B4D98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1 июня 1944 года в резерве командующе</w:t>
      </w:r>
      <w:r w:rsidRPr="007224C3">
        <w:rPr>
          <w:rFonts w:ascii="Times New Roman" w:hAnsi="Times New Roman"/>
          <w:color w:val="000000" w:themeColor="text1"/>
          <w:sz w:val="16"/>
          <w:szCs w:val="16"/>
        </w:rPr>
        <w:softHyphen/>
        <w:t>го бронетанковыми и механизированными войсками Ле</w:t>
      </w:r>
      <w:r w:rsidRPr="007224C3">
        <w:rPr>
          <w:rFonts w:ascii="Times New Roman" w:hAnsi="Times New Roman"/>
          <w:color w:val="000000" w:themeColor="text1"/>
          <w:sz w:val="16"/>
          <w:szCs w:val="16"/>
        </w:rPr>
        <w:softHyphen/>
        <w:t>нинградского фронта числилось: «БА-10 — 6 (в командировке), БА-20 — 1, Т-50 — 1, БА-10 ЗИС-5 — 2 (в командировке)» (11284).</w:t>
      </w:r>
    </w:p>
    <w:p w14:paraId="0A0AE17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77A97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июня 1944 вышло Постановление ГКО № 5974 О восстановлении Перекопского и Сакского бромных заводов Наркомхимпрома. РГАНИР, Фонд ГКО, д. 257, лл. 176-178 (11012).</w:t>
      </w:r>
    </w:p>
    <w:p w14:paraId="2FADB01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5487AF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июня 1944 вышло Постановление ГКО № 5975 Об изготовлении опытного образца электромагнитного трала. РГАНИР, Фонд ГКО, д. 257, лл. 179-180 (11012).</w:t>
      </w:r>
    </w:p>
    <w:p w14:paraId="38A1C95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1B6F61D"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июня 1944 вышло Постановление ГКО № 5976 О фондах по автобензину на июнь 1944 г. (7236, 181,182-187).</w:t>
      </w:r>
    </w:p>
    <w:p w14:paraId="530C7DA4"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13CE4E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июня 1944 Закончены государственные сдаточные испытания головного стотонника, построенного на Петрозаводе. Спущен на воду 15-й МБК, в постройке находилось 7 МБК (10671).</w:t>
      </w:r>
    </w:p>
    <w:p w14:paraId="38255F9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CD0BAC9"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3E9A7AD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766C745" w14:textId="77777777" w:rsidR="001E5A47" w:rsidRPr="007224C3" w:rsidRDefault="001E5A47"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 июня</w:t>
      </w:r>
      <w:r w:rsidRPr="007224C3">
        <w:rPr>
          <w:rFonts w:ascii="Times New Roman" w:hAnsi="Times New Roman"/>
          <w:color w:val="000000" w:themeColor="text1"/>
          <w:sz w:val="16"/>
          <w:szCs w:val="16"/>
        </w:rPr>
        <w:t xml:space="preserve"> в 1944 году оперативная сводка Совинформбюро:</w:t>
      </w:r>
    </w:p>
    <w:p w14:paraId="4CF77B01" w14:textId="77777777" w:rsidR="001E5A47" w:rsidRPr="007224C3" w:rsidRDefault="001E5A4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 июня в районе севернее Яссы наши войска успешно отбили все атаки пехоты и танков противника. По предварительным данным, за день боя наши войска уничтожили 18 немецких танков и 15 самолётов.</w:t>
      </w:r>
    </w:p>
    <w:p w14:paraId="4D36C681" w14:textId="77777777" w:rsidR="001E5A47" w:rsidRPr="007224C3" w:rsidRDefault="001E5A4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уточнённым данным, в районе севернее Яссы за два дня боёв, 30 и 31 мая, наши войска подбили и уничтожили 148 немецких танков. В воздушных боях и огнём зенитной артиллерии сбито 197 самолётов противника.</w:t>
      </w:r>
    </w:p>
    <w:p w14:paraId="496A2758" w14:textId="77777777" w:rsidR="001E5A47" w:rsidRPr="007224C3" w:rsidRDefault="001E5A4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остальных участках фронта — без существенных изменений.</w:t>
      </w:r>
    </w:p>
    <w:p w14:paraId="087424B4" w14:textId="77777777" w:rsidR="001E5A47" w:rsidRPr="007224C3" w:rsidRDefault="001E5A4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31 мая наши войска на всех фронтах подбили и уничтожили 56 немецких танков. В воздушных боях и огнём зенитной артиллерии сбито 110 самолётов противника.</w:t>
      </w:r>
    </w:p>
    <w:p w14:paraId="6AB0B6AD" w14:textId="77777777" w:rsidR="001E5A47" w:rsidRPr="007224C3" w:rsidRDefault="001E5A4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Севернее города Яссы наши войска продолжали вести ожесточённые бои с крупными силами танков и пехоты противника. Советские части артиллерийско-миномётным и пулемётным огнём отбили все атаки немцев. На отдельных участках советские танки и пехота предприняли несколько успешных контратак. Бойцы Н-ской части отбили одну за другой три атаки гитлеровцев. На поле боя осталось до 800 вражеских трупов, 17 сгоревших танков и 5 бронетранспортёров противника. На другом участке полк румынской пехоты атаковал наши позиции. Советские бойцы, измотав наступавшего противника, перешли в контратаку. Румыны не выдержали удара и обратились в бегство. Их встретил огнём из автоматов и пулемётов немецкий заградительный отряд. Сотни румын погибли от немецких пуль.</w:t>
      </w:r>
    </w:p>
    <w:p w14:paraId="185CE7E9" w14:textId="77777777" w:rsidR="001E5A47" w:rsidRPr="007224C3" w:rsidRDefault="001E5A4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Юго-восточнее города Станислав батальон немецкой пехоты при поддержке танков атаковал наши позиции. После двухчасового боя, неоднократно переходившего в рукопашные схватки, противник был отброшен. Артиллерийским огнём подбито 6 немецких танков. На поле боя осталось более 100 трупов вражеских солдат и офицеров.</w:t>
      </w:r>
    </w:p>
    <w:p w14:paraId="3F39A00C" w14:textId="77777777" w:rsidR="001E5A47" w:rsidRPr="007224C3" w:rsidRDefault="001E5A4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Северо-западнее города Тирасполь артиллеристы и миномётчики Н-ского соединения вели огонь по обнаруженным целям в расположении противника. Уничтожено 5 немецких орудий и 8 пулемётных точек.</w:t>
      </w:r>
    </w:p>
    <w:p w14:paraId="20BDD45D" w14:textId="77777777" w:rsidR="001E5A47" w:rsidRPr="007224C3" w:rsidRDefault="001E5A4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Снайперы одного нашего подразделения за пять дней истребили 30 немецких солдат и офицеров. Рядовой Мельников убил 13 гитлеровцев, снайпер Левадный — 5, снайпер Зинаида Архипова уничтожила 4 немцев.</w:t>
      </w:r>
    </w:p>
    <w:p w14:paraId="2D88ABC2" w14:textId="77777777" w:rsidR="001E5A47" w:rsidRPr="007224C3" w:rsidRDefault="001E5A4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Северо-западнее города Витебск разведчики лейтенанта Рябова днём ворвались в траншеи противника. Ошеломлённые внезапным налётом, немцы не сумели оказать сопротивления. Наши бойцы огнём из автоматов уничтожили группу гитлеровцев и, захватив пленного, вернулись в свою часть. Группа снайперов во главе с гвардии старшиной Сметнёвым за три дня, находясь в засаде, истребила 14 немцев. Молодой снайпер т. Данилов убил 4 немецких солдата, снайперы тт. Камынин и Шеретнев уничтожили по два немца каждый.</w:t>
      </w:r>
    </w:p>
    <w:p w14:paraId="6F31FF40" w14:textId="77777777" w:rsidR="001E5A47" w:rsidRPr="007224C3" w:rsidRDefault="001E5A4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Группа латвийских партизан из отряда «Лачплесис» напала на автоколонну немцев, направлявшуюся к линии фронта. Огнём из автоматов и ручного пулемёта советские патриоты подожгли легковую автомашину и убили находившихся в ней трёх немецких офицеров. В завязавшейся затем перестрелке с противником уничтожено 15 немецких солдат. Латвийский партизанский отряд «Виестурс» за три дня пустил под откос 4 немецких воинских эшелона. В результате действий партизан движение поездов на важном участке железной дороги было прекращено на пять суток.</w:t>
      </w:r>
    </w:p>
    <w:p w14:paraId="6C1A28EB" w14:textId="77777777" w:rsidR="001E5A47" w:rsidRPr="007224C3" w:rsidRDefault="001E5A4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одном участке 2 Украинского фронта взят в плен унтер-офицер 512 полка 293 немецкой пехотной дивизии Вальтер Фатернамм. Пленный — фашист, матёрый головорез и палач с большим стажем. Как установлено, Фатернамм в 1937 году поступил на службу в гестапо и руководил отделением по выявлению неблагонадёжных в районе Александерплац (Берлин). По его доносам был замучен рабочий завода «Телефункен» Фриц Шульце, проживавший в Берлине — Целендорф, Паулюсштрассе 25, — рабочий Пауль Гизе, проживавший в Нойкельне по Иоганн-штрассе 23/3, и многие другие. Попав на советско-германский фронт, Фатернамм продолжал работать в гестапо, предавая солдат, которые высказывались против войны.</w:t>
      </w:r>
    </w:p>
    <w:p w14:paraId="42A0A426" w14:textId="77777777" w:rsidR="001E5A47" w:rsidRPr="007224C3" w:rsidRDefault="001E5A4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Фашистский мерзавец расстрелял многих советских граждан. Этот душегуб не щадил ни стариков, ни женщин, ни детей. На допросе он показал: «При отступлении из района Орла мы подожгли деревню Александровка и приказали всему населению эвакуироваться на запад. Три крестьянина заявили, что они останутся в сгоревшей деревне и никуда не пойдут. По приказу командира роты капитана Штейнмеца я их пристрелил. В другом месте при отступлении из деревни мы вывели всё гражданское население, включая стариков и детей. По дороге дети начали отставать и некоторые падали. Два малыша, лет четырёх, упали и уже не могли подняться. Капитан Штейнмец приказал пристрелить их, что и было выполнено унтер-офицером Леопольдом. Через некоторое время упало ещё трое ребят. Я получил приказ застрелить этих детей и тут же выполнил этот приказ». Далее Фатернамм припоминает убийства, совершённые им вместе с обер-фельдфебелем Шоерманом, обер-фельдфебелем Райманом, капитаном Райхгюльтом и другими в районе Брянска, в Софиевке, в Терновой Балке, в районе Бобринца и в других местах. Вальтер Фатернамм — это не солдат, а убийца женщин, стариков и детей. Таких мерзавцев мог породить только гитлеровский режим.» (14909).</w:t>
      </w:r>
    </w:p>
    <w:p w14:paraId="27C62B7C" w14:textId="77777777" w:rsidR="001E5A47" w:rsidRPr="007224C3" w:rsidRDefault="001E5A47" w:rsidP="007224C3">
      <w:pPr>
        <w:spacing w:after="0" w:line="240" w:lineRule="auto"/>
        <w:jc w:val="both"/>
        <w:rPr>
          <w:rFonts w:ascii="Times New Roman" w:hAnsi="Times New Roman"/>
          <w:color w:val="000000" w:themeColor="text1"/>
          <w:sz w:val="16"/>
          <w:szCs w:val="16"/>
        </w:rPr>
      </w:pPr>
    </w:p>
    <w:p w14:paraId="787EFA2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июня 1944 года в Феодосии 36-й полк на "Бостонах" уничтожил 11 судов), но иногда достигались успехи и в открытом море (3457,106).</w:t>
      </w:r>
    </w:p>
    <w:p w14:paraId="3A50912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DD41E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июня 1944 командир звена иап ст.л. И.М.Поляков вылетел на перехват разведчика, возвращавшегося из нашего тыла, нагнал его на 8000 м, вступил в бой. расстрелял боеприпасы и таранил, погибнув. Стал ГСС (438,905).</w:t>
      </w:r>
    </w:p>
    <w:p w14:paraId="2637539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8E21D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1 июня 1944 группировка “пешек” на ЧФ насчитывала 78 самолетов. Сюда перебросили с Севера 29-й бап, получил пополнение и 40-й бап. Эти полки вместе с 6-м иап на самолетах Як-9 и 43-м иап на "Аэрокобрах" свели в 13-ю Севастопольскую авиадивизию под командованием Героя Советского Союза полковника И.Е. Корзунова. Все они 20 августа 1944 г. приняли участие в массированном ударе по румынской военно-морской базе Констанца. В этот день по кораблям в порту и береговым сооружениям отработали 59 Пе-2; причем все удары выполнялись с пикирования. Основные цели - румынские боевые корабли - "пешки" атаковали шестерками, сбрасывая бомбы по командам ведущего или (когда гавань еще не скрыли клубы дыма и пыли от разрывов) одиночно. По официальным данным ВВС ЧФ, в этот день противник лишился миноносца, подлодки, двух десятков других кораблей и судов. Получили повреждения два эсминца, пять подлодок, вспомогательный крейсер, а также ряд транспортов.</w:t>
      </w:r>
    </w:p>
    <w:p w14:paraId="6EB617F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Удар, нанесенный по Констанце, замечателен тем, что в нем участвовала авиадивизия в полном составе из четырех авиаполков (два бап и два иап), следовавшая к цели компактной группой в общем боевом порядке. Над целью самолеты дивизии находились всего 20 мин. Этот удар стал первым опытом применения массированных групп авиации не только в ВВС ЧФ. но и в военно-воздушных силах ВМФ в целом (12042).</w:t>
      </w:r>
    </w:p>
    <w:p w14:paraId="5AC2422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970FA3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1 июня 1944 на флотах:</w:t>
      </w:r>
    </w:p>
    <w:p w14:paraId="2E3C936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Данные о числе И-16: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01"/>
        <w:gridCol w:w="1401"/>
        <w:gridCol w:w="1401"/>
        <w:gridCol w:w="1401"/>
        <w:gridCol w:w="1401"/>
        <w:gridCol w:w="1401"/>
        <w:gridCol w:w="1401"/>
        <w:gridCol w:w="1401"/>
      </w:tblGrid>
      <w:tr w:rsidR="005106D0" w:rsidRPr="007224C3" w14:paraId="7BB6B811" w14:textId="77777777">
        <w:tc>
          <w:tcPr>
            <w:tcW w:w="1401" w:type="dxa"/>
            <w:tcBorders>
              <w:top w:val="single" w:sz="12" w:space="0" w:color="auto"/>
            </w:tcBorders>
          </w:tcPr>
          <w:p w14:paraId="64EEEA4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Borders>
              <w:top w:val="single" w:sz="12" w:space="0" w:color="auto"/>
            </w:tcBorders>
          </w:tcPr>
          <w:p w14:paraId="3C9F3B5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1.05.42</w:t>
            </w:r>
          </w:p>
        </w:tc>
        <w:tc>
          <w:tcPr>
            <w:tcW w:w="1401" w:type="dxa"/>
            <w:tcBorders>
              <w:top w:val="single" w:sz="12" w:space="0" w:color="auto"/>
            </w:tcBorders>
          </w:tcPr>
          <w:p w14:paraId="43B3D79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1.07.42</w:t>
            </w:r>
          </w:p>
        </w:tc>
        <w:tc>
          <w:tcPr>
            <w:tcW w:w="1401" w:type="dxa"/>
            <w:tcBorders>
              <w:top w:val="single" w:sz="12" w:space="0" w:color="auto"/>
            </w:tcBorders>
          </w:tcPr>
          <w:p w14:paraId="6561852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18.11.42</w:t>
            </w:r>
          </w:p>
        </w:tc>
        <w:tc>
          <w:tcPr>
            <w:tcW w:w="1401" w:type="dxa"/>
            <w:tcBorders>
              <w:top w:val="single" w:sz="12" w:space="0" w:color="auto"/>
            </w:tcBorders>
          </w:tcPr>
          <w:p w14:paraId="693F15B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1.07.43</w:t>
            </w:r>
          </w:p>
        </w:tc>
        <w:tc>
          <w:tcPr>
            <w:tcW w:w="1401" w:type="dxa"/>
            <w:tcBorders>
              <w:top w:val="single" w:sz="12" w:space="0" w:color="auto"/>
            </w:tcBorders>
          </w:tcPr>
          <w:p w14:paraId="34301B4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1.01.44</w:t>
            </w:r>
          </w:p>
        </w:tc>
        <w:tc>
          <w:tcPr>
            <w:tcW w:w="1401" w:type="dxa"/>
            <w:tcBorders>
              <w:top w:val="single" w:sz="12" w:space="0" w:color="auto"/>
            </w:tcBorders>
          </w:tcPr>
          <w:p w14:paraId="3493C69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1.06.44</w:t>
            </w:r>
          </w:p>
        </w:tc>
        <w:tc>
          <w:tcPr>
            <w:tcW w:w="1401" w:type="dxa"/>
            <w:tcBorders>
              <w:top w:val="single" w:sz="12" w:space="0" w:color="auto"/>
            </w:tcBorders>
          </w:tcPr>
          <w:p w14:paraId="243761F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1.01.45</w:t>
            </w:r>
          </w:p>
        </w:tc>
      </w:tr>
      <w:tr w:rsidR="005106D0" w:rsidRPr="007224C3" w14:paraId="385CAD05" w14:textId="77777777">
        <w:tc>
          <w:tcPr>
            <w:tcW w:w="1401" w:type="dxa"/>
          </w:tcPr>
          <w:p w14:paraId="2BC054D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ВВС СФ</w:t>
            </w:r>
          </w:p>
        </w:tc>
        <w:tc>
          <w:tcPr>
            <w:tcW w:w="1401" w:type="dxa"/>
          </w:tcPr>
          <w:p w14:paraId="0C84A9A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12/3</w:t>
            </w:r>
          </w:p>
        </w:tc>
        <w:tc>
          <w:tcPr>
            <w:tcW w:w="1401" w:type="dxa"/>
          </w:tcPr>
          <w:p w14:paraId="586E5AA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8/3</w:t>
            </w:r>
          </w:p>
        </w:tc>
        <w:tc>
          <w:tcPr>
            <w:tcW w:w="1401" w:type="dxa"/>
          </w:tcPr>
          <w:p w14:paraId="1C991F8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10/6</w:t>
            </w:r>
          </w:p>
        </w:tc>
        <w:tc>
          <w:tcPr>
            <w:tcW w:w="1401" w:type="dxa"/>
          </w:tcPr>
          <w:p w14:paraId="395B238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w:t>
            </w:r>
          </w:p>
        </w:tc>
        <w:tc>
          <w:tcPr>
            <w:tcW w:w="1401" w:type="dxa"/>
          </w:tcPr>
          <w:p w14:paraId="786E052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w:t>
            </w:r>
          </w:p>
        </w:tc>
        <w:tc>
          <w:tcPr>
            <w:tcW w:w="1401" w:type="dxa"/>
          </w:tcPr>
          <w:p w14:paraId="2FC945B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w:t>
            </w:r>
          </w:p>
        </w:tc>
        <w:tc>
          <w:tcPr>
            <w:tcW w:w="1401" w:type="dxa"/>
          </w:tcPr>
          <w:p w14:paraId="5785856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w:t>
            </w:r>
          </w:p>
        </w:tc>
      </w:tr>
      <w:tr w:rsidR="005106D0" w:rsidRPr="007224C3" w14:paraId="2A064CE7" w14:textId="77777777">
        <w:tc>
          <w:tcPr>
            <w:tcW w:w="1401" w:type="dxa"/>
          </w:tcPr>
          <w:p w14:paraId="56666D6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ВВС КБФ</w:t>
            </w:r>
          </w:p>
        </w:tc>
        <w:tc>
          <w:tcPr>
            <w:tcW w:w="1401" w:type="dxa"/>
          </w:tcPr>
          <w:p w14:paraId="328031C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52/17</w:t>
            </w:r>
          </w:p>
        </w:tc>
        <w:tc>
          <w:tcPr>
            <w:tcW w:w="1401" w:type="dxa"/>
          </w:tcPr>
          <w:p w14:paraId="7B01A66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23/7</w:t>
            </w:r>
          </w:p>
        </w:tc>
        <w:tc>
          <w:tcPr>
            <w:tcW w:w="1401" w:type="dxa"/>
          </w:tcPr>
          <w:p w14:paraId="095ACAB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28/11</w:t>
            </w:r>
          </w:p>
        </w:tc>
        <w:tc>
          <w:tcPr>
            <w:tcW w:w="1401" w:type="dxa"/>
          </w:tcPr>
          <w:p w14:paraId="7B1E9E2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21/3</w:t>
            </w:r>
          </w:p>
        </w:tc>
        <w:tc>
          <w:tcPr>
            <w:tcW w:w="1401" w:type="dxa"/>
          </w:tcPr>
          <w:p w14:paraId="60A6EED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8/1</w:t>
            </w:r>
          </w:p>
        </w:tc>
        <w:tc>
          <w:tcPr>
            <w:tcW w:w="1401" w:type="dxa"/>
          </w:tcPr>
          <w:p w14:paraId="7F2503C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401" w:type="dxa"/>
          </w:tcPr>
          <w:p w14:paraId="4A0E84B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189C9EEA" w14:textId="77777777">
        <w:tc>
          <w:tcPr>
            <w:tcW w:w="1401" w:type="dxa"/>
          </w:tcPr>
          <w:p w14:paraId="4EC10D6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ВВС ЧФ</w:t>
            </w:r>
          </w:p>
        </w:tc>
        <w:tc>
          <w:tcPr>
            <w:tcW w:w="1401" w:type="dxa"/>
          </w:tcPr>
          <w:p w14:paraId="5F2B762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27/0</w:t>
            </w:r>
          </w:p>
        </w:tc>
        <w:tc>
          <w:tcPr>
            <w:tcW w:w="1401" w:type="dxa"/>
          </w:tcPr>
          <w:p w14:paraId="2160217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14/8</w:t>
            </w:r>
          </w:p>
        </w:tc>
        <w:tc>
          <w:tcPr>
            <w:tcW w:w="1401" w:type="dxa"/>
          </w:tcPr>
          <w:p w14:paraId="7FF18D2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8/2</w:t>
            </w:r>
          </w:p>
        </w:tc>
        <w:tc>
          <w:tcPr>
            <w:tcW w:w="1401" w:type="dxa"/>
          </w:tcPr>
          <w:p w14:paraId="70C0FBB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w:t>
            </w:r>
          </w:p>
        </w:tc>
        <w:tc>
          <w:tcPr>
            <w:tcW w:w="1401" w:type="dxa"/>
          </w:tcPr>
          <w:p w14:paraId="368580B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7/3</w:t>
            </w:r>
          </w:p>
        </w:tc>
        <w:tc>
          <w:tcPr>
            <w:tcW w:w="1401" w:type="dxa"/>
          </w:tcPr>
          <w:p w14:paraId="3AA788E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w:t>
            </w:r>
          </w:p>
        </w:tc>
        <w:tc>
          <w:tcPr>
            <w:tcW w:w="1401" w:type="dxa"/>
          </w:tcPr>
          <w:p w14:paraId="483AF38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1D2880DC" w14:textId="77777777">
        <w:tc>
          <w:tcPr>
            <w:tcW w:w="1401" w:type="dxa"/>
            <w:tcBorders>
              <w:bottom w:val="single" w:sz="12" w:space="0" w:color="auto"/>
            </w:tcBorders>
          </w:tcPr>
          <w:p w14:paraId="4B8944E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w:t>
            </w:r>
          </w:p>
        </w:tc>
        <w:tc>
          <w:tcPr>
            <w:tcW w:w="1401" w:type="dxa"/>
            <w:tcBorders>
              <w:bottom w:val="single" w:sz="12" w:space="0" w:color="auto"/>
            </w:tcBorders>
          </w:tcPr>
          <w:p w14:paraId="6C265B1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91/27</w:t>
            </w:r>
          </w:p>
        </w:tc>
        <w:tc>
          <w:tcPr>
            <w:tcW w:w="1401" w:type="dxa"/>
            <w:tcBorders>
              <w:bottom w:val="single" w:sz="12" w:space="0" w:color="auto"/>
            </w:tcBorders>
          </w:tcPr>
          <w:p w14:paraId="168077A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45/18</w:t>
            </w:r>
          </w:p>
        </w:tc>
        <w:tc>
          <w:tcPr>
            <w:tcW w:w="1401" w:type="dxa"/>
            <w:tcBorders>
              <w:bottom w:val="single" w:sz="12" w:space="0" w:color="auto"/>
            </w:tcBorders>
          </w:tcPr>
          <w:p w14:paraId="597A87B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46/19</w:t>
            </w:r>
          </w:p>
        </w:tc>
        <w:tc>
          <w:tcPr>
            <w:tcW w:w="1401" w:type="dxa"/>
            <w:tcBorders>
              <w:bottom w:val="single" w:sz="12" w:space="0" w:color="auto"/>
            </w:tcBorders>
          </w:tcPr>
          <w:p w14:paraId="4CB69AE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29/4 1</w:t>
            </w:r>
          </w:p>
        </w:tc>
        <w:tc>
          <w:tcPr>
            <w:tcW w:w="1401" w:type="dxa"/>
            <w:tcBorders>
              <w:bottom w:val="single" w:sz="12" w:space="0" w:color="auto"/>
            </w:tcBorders>
          </w:tcPr>
          <w:p w14:paraId="14626F8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9/4</w:t>
            </w:r>
          </w:p>
        </w:tc>
        <w:tc>
          <w:tcPr>
            <w:tcW w:w="1401" w:type="dxa"/>
            <w:tcBorders>
              <w:bottom w:val="single" w:sz="12" w:space="0" w:color="auto"/>
            </w:tcBorders>
          </w:tcPr>
          <w:p w14:paraId="1F5E854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15/1</w:t>
            </w:r>
          </w:p>
        </w:tc>
        <w:tc>
          <w:tcPr>
            <w:tcW w:w="1401" w:type="dxa"/>
            <w:tcBorders>
              <w:bottom w:val="single" w:sz="12" w:space="0" w:color="auto"/>
            </w:tcBorders>
          </w:tcPr>
          <w:p w14:paraId="082C0E2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w:t>
            </w:r>
          </w:p>
        </w:tc>
      </w:tr>
    </w:tbl>
    <w:p w14:paraId="35E4275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числителе - всего машин; в знаменателе - в том числе неисправных на данный момент (12015).</w:t>
      </w:r>
    </w:p>
    <w:p w14:paraId="0CC680B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64497D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К 1 июня 1944 г. в строю осталось девять ПС-43, к концу года - восемь. Три самолета в январе 1945 г. базировались в Львове. Они перевозили почту на 1 -й и 4-й Украинский, а также - на 1 -й Белорусский фронты. По одной машине находилось в Каунасе и Минске. Они работали для 1 -го Прибалтийского, 2-го и 3-го Белорусского фронтов. С начала 1945 г. в 3-ю дивизию связи стали поступать более современные самолеты А-20 и В-25. Это позволило списать старые и крайне изношенные ПС-43. К сентябрю ни одной такой машины в Советском Союзе уже не осталось (11470).</w:t>
      </w:r>
    </w:p>
    <w:p w14:paraId="0082D9A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6E4590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июня 1944 НК ВМФ приказал сформировать на ЧФ 24-ю отдельную эскадрилью корабельной авиации (24 оаэ). Помимо КОР-2 в нее вошли 10 Спитфайров MK.VB в разной степени исправности. Базировались на сухопутном аэродроме Альма-Токмак в 30 км от Севастополя (9079,37).</w:t>
      </w:r>
    </w:p>
    <w:p w14:paraId="7138ED7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FBA855"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июня 1944 г. народный комиссар Воен</w:t>
      </w:r>
      <w:r w:rsidRPr="007224C3">
        <w:rPr>
          <w:rFonts w:ascii="Times New Roman" w:hAnsi="Times New Roman"/>
          <w:color w:val="000000" w:themeColor="text1"/>
          <w:sz w:val="16"/>
          <w:szCs w:val="16"/>
        </w:rPr>
        <w:softHyphen/>
        <w:t>но-морского флота Советского Союза при</w:t>
      </w:r>
      <w:r w:rsidRPr="007224C3">
        <w:rPr>
          <w:rFonts w:ascii="Times New Roman" w:hAnsi="Times New Roman"/>
          <w:color w:val="000000" w:themeColor="text1"/>
          <w:sz w:val="16"/>
          <w:szCs w:val="16"/>
        </w:rPr>
        <w:softHyphen/>
        <w:t>казал сформировать на Черноморском фло</w:t>
      </w:r>
      <w:r w:rsidRPr="007224C3">
        <w:rPr>
          <w:rFonts w:ascii="Times New Roman" w:hAnsi="Times New Roman"/>
          <w:color w:val="000000" w:themeColor="text1"/>
          <w:sz w:val="16"/>
          <w:szCs w:val="16"/>
        </w:rPr>
        <w:softHyphen/>
        <w:t>те 24-ю отдельную эскадрилью корабельной авиации (24-я оаэ). Далее, по инициативе ко</w:t>
      </w:r>
      <w:r w:rsidRPr="007224C3">
        <w:rPr>
          <w:rFonts w:ascii="Times New Roman" w:hAnsi="Times New Roman"/>
          <w:color w:val="000000" w:themeColor="text1"/>
          <w:sz w:val="16"/>
          <w:szCs w:val="16"/>
        </w:rPr>
        <w:softHyphen/>
        <w:t>мандующего ВВС Черноморского флота ге</w:t>
      </w:r>
      <w:r w:rsidRPr="007224C3">
        <w:rPr>
          <w:rFonts w:ascii="Times New Roman" w:hAnsi="Times New Roman"/>
          <w:color w:val="000000" w:themeColor="text1"/>
          <w:sz w:val="16"/>
          <w:szCs w:val="16"/>
        </w:rPr>
        <w:softHyphen/>
        <w:t>нерал-полковника Ермаченкова начали фор</w:t>
      </w:r>
      <w:r w:rsidRPr="007224C3">
        <w:rPr>
          <w:rFonts w:ascii="Times New Roman" w:hAnsi="Times New Roman"/>
          <w:color w:val="000000" w:themeColor="text1"/>
          <w:sz w:val="16"/>
          <w:szCs w:val="16"/>
        </w:rPr>
        <w:softHyphen/>
        <w:t>мировать специальный отряд, в который во</w:t>
      </w:r>
      <w:r w:rsidRPr="007224C3">
        <w:rPr>
          <w:rFonts w:ascii="Times New Roman" w:hAnsi="Times New Roman"/>
          <w:color w:val="000000" w:themeColor="text1"/>
          <w:sz w:val="16"/>
          <w:szCs w:val="16"/>
        </w:rPr>
        <w:softHyphen/>
        <w:t>шли истребители «Спитфайр», звено «Бо</w:t>
      </w:r>
      <w:r w:rsidRPr="007224C3">
        <w:rPr>
          <w:rFonts w:ascii="Times New Roman" w:hAnsi="Times New Roman"/>
          <w:color w:val="000000" w:themeColor="text1"/>
          <w:sz w:val="16"/>
          <w:szCs w:val="16"/>
        </w:rPr>
        <w:softHyphen/>
        <w:t>стон» А-20Ж, два По-2 и один УТИ-4.</w:t>
      </w:r>
    </w:p>
    <w:p w14:paraId="64758923"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1945 г. на Черноморском флоте удалось набрать 10 самолетов «Спитфайр» МК.УВ в разной степени исправности со следующими серийными номерами: №№ ВМ -185, ВМ-450. ВМ-771. ЕР-185, ЕР-256, ЕР-307, ЕР-358, ЕР- 400. ЕР-502, ЕР-758. Девять из них вошли в со</w:t>
      </w:r>
      <w:r w:rsidRPr="007224C3">
        <w:rPr>
          <w:rFonts w:ascii="Times New Roman" w:hAnsi="Times New Roman"/>
          <w:color w:val="000000" w:themeColor="text1"/>
          <w:sz w:val="16"/>
          <w:szCs w:val="16"/>
        </w:rPr>
        <w:softHyphen/>
        <w:t>став 24-й оаэ, причем в начале 1945 г. в строю находилось 4 истребителя, 4 ремонтировались в 20 самолетных авиамастерских в Евпатории, и еще один имелся в ремонтном поезде в ме</w:t>
      </w:r>
      <w:r w:rsidRPr="007224C3">
        <w:rPr>
          <w:rFonts w:ascii="Times New Roman" w:hAnsi="Times New Roman"/>
          <w:color w:val="000000" w:themeColor="text1"/>
          <w:sz w:val="16"/>
          <w:szCs w:val="16"/>
        </w:rPr>
        <w:softHyphen/>
        <w:t>стечке Сарабуз. В процессе ремонта на истре</w:t>
      </w:r>
      <w:r w:rsidRPr="007224C3">
        <w:rPr>
          <w:rFonts w:ascii="Times New Roman" w:hAnsi="Times New Roman"/>
          <w:color w:val="000000" w:themeColor="text1"/>
          <w:sz w:val="16"/>
          <w:szCs w:val="16"/>
        </w:rPr>
        <w:softHyphen/>
        <w:t>бителях частично поменяли обшивку, перебра</w:t>
      </w:r>
      <w:r w:rsidRPr="007224C3">
        <w:rPr>
          <w:rFonts w:ascii="Times New Roman" w:hAnsi="Times New Roman"/>
          <w:color w:val="000000" w:themeColor="text1"/>
          <w:sz w:val="16"/>
          <w:szCs w:val="16"/>
        </w:rPr>
        <w:softHyphen/>
        <w:t>ли шасси и перекрасили. Кроме этого, устано</w:t>
      </w:r>
      <w:r w:rsidRPr="007224C3">
        <w:rPr>
          <w:rFonts w:ascii="Times New Roman" w:hAnsi="Times New Roman"/>
          <w:color w:val="000000" w:themeColor="text1"/>
          <w:sz w:val="16"/>
          <w:szCs w:val="16"/>
        </w:rPr>
        <w:softHyphen/>
        <w:t>вили некоторое советское оборудование и пи</w:t>
      </w:r>
      <w:r w:rsidRPr="007224C3">
        <w:rPr>
          <w:rFonts w:ascii="Times New Roman" w:hAnsi="Times New Roman"/>
          <w:color w:val="000000" w:themeColor="text1"/>
          <w:sz w:val="16"/>
          <w:szCs w:val="16"/>
        </w:rPr>
        <w:softHyphen/>
        <w:t>лотажные приборы. На нескольких машинах оборудовали узлы для крепления на катапуль</w:t>
      </w:r>
      <w:r w:rsidRPr="007224C3">
        <w:rPr>
          <w:rFonts w:ascii="Times New Roman" w:hAnsi="Times New Roman"/>
          <w:color w:val="000000" w:themeColor="text1"/>
          <w:sz w:val="16"/>
          <w:szCs w:val="16"/>
        </w:rPr>
        <w:softHyphen/>
        <w:t>те. Самолеты базировались на сухопутном аэ</w:t>
      </w:r>
      <w:r w:rsidRPr="007224C3">
        <w:rPr>
          <w:rFonts w:ascii="Times New Roman" w:hAnsi="Times New Roman"/>
          <w:color w:val="000000" w:themeColor="text1"/>
          <w:sz w:val="16"/>
          <w:szCs w:val="16"/>
        </w:rPr>
        <w:softHyphen/>
        <w:t>родроме Альма-Токмак в 30 км от Севастопо</w:t>
      </w:r>
      <w:r w:rsidRPr="007224C3">
        <w:rPr>
          <w:rFonts w:ascii="Times New Roman" w:hAnsi="Times New Roman"/>
          <w:color w:val="000000" w:themeColor="text1"/>
          <w:sz w:val="16"/>
          <w:szCs w:val="16"/>
        </w:rPr>
        <w:softHyphen/>
        <w:t>ля. Известно, что эксплуатация английских ис</w:t>
      </w:r>
      <w:r w:rsidRPr="007224C3">
        <w:rPr>
          <w:rFonts w:ascii="Times New Roman" w:hAnsi="Times New Roman"/>
          <w:color w:val="000000" w:themeColor="text1"/>
          <w:sz w:val="16"/>
          <w:szCs w:val="16"/>
        </w:rPr>
        <w:softHyphen/>
        <w:t>требителей осуществлялась в течение двух лет. за это время три самолета вышли из строя по причине аварий.</w:t>
      </w:r>
    </w:p>
    <w:p w14:paraId="0C1AEFC4"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1946 г., по крайней мере, один «Спитфайр» использовался совместно с КОР-2 для стартов с катапульты крейсера «Молотов». За проведе</w:t>
      </w:r>
      <w:r w:rsidRPr="007224C3">
        <w:rPr>
          <w:rFonts w:ascii="Times New Roman" w:hAnsi="Times New Roman"/>
          <w:color w:val="000000" w:themeColor="text1"/>
          <w:sz w:val="16"/>
          <w:szCs w:val="16"/>
        </w:rPr>
        <w:softHyphen/>
        <w:t>ние удачных испытаний летчики ст. лейтенант В.Ф.Соколов, ст. лейтенант А.А.Пилюк и мл. лейтенант И.И.Шевченко были награждены командованием флота часами «Лонжин» (12301).</w:t>
      </w:r>
    </w:p>
    <w:p w14:paraId="006CE2D6" w14:textId="77777777" w:rsidR="000340E9" w:rsidRPr="007224C3" w:rsidRDefault="000340E9" w:rsidP="007224C3">
      <w:pPr>
        <w:spacing w:after="0" w:line="240" w:lineRule="auto"/>
        <w:jc w:val="both"/>
        <w:rPr>
          <w:rFonts w:ascii="Times New Roman" w:hAnsi="Times New Roman"/>
          <w:color w:val="000000" w:themeColor="text1"/>
          <w:sz w:val="16"/>
          <w:szCs w:val="16"/>
        </w:rPr>
      </w:pPr>
    </w:p>
    <w:p w14:paraId="6C46DAC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1 июня 1944 в СА было 6500 тыс. чел., 83200 пушек и минометов, 8000 т и САУ и 11800 самолетов. В 1 полугодии сделали 14000 т и 16000 с</w:t>
      </w:r>
    </w:p>
    <w:p w14:paraId="7544A0A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 н было 4000 тыс., 49000, 5200 т, 2800 с (340,166).</w:t>
      </w:r>
    </w:p>
    <w:p w14:paraId="64D3CBE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4267C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июня 1944 г. была подготовлена ДОКЛАДНАЯ ЗАПИСКА ЗАМЕСТИТЕЛЯ НАЧАЛЬНИКА ТЫЛА КА ЗАМЕСТИТЕЛЮ НАРКОМА ОБОРОНЫ Г. К. ЖУКОВУ О НЕОБХОДИМОСТИ СОЗДАНИЯ НАУЧНО-ИСПЫТАТЕЛЬНОГО АВТОМОБИЛЬНОГО ИНСТИТУТА КРАСНОЙ АРМИИ №1202997</w:t>
      </w:r>
    </w:p>
    <w:p w14:paraId="0A936D9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Парк автомашин Красной Армии в период Отечественной войны возрос до 530 000 штук. На</w:t>
      </w:r>
      <w:r w:rsidRPr="007224C3">
        <w:rPr>
          <w:rFonts w:ascii="Times New Roman" w:hAnsi="Times New Roman"/>
          <w:color w:val="000000" w:themeColor="text1"/>
          <w:sz w:val="16"/>
          <w:szCs w:val="16"/>
        </w:rPr>
        <w:softHyphen/>
        <w:t>ряду с отечественными автомашинами в Красной Армии освоено большое количество иностранных марок.</w:t>
      </w:r>
    </w:p>
    <w:p w14:paraId="54DF49B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Части Красной Армии все время оснащаются новой техникой и, как правило, для монтажа и транспортировки ее используются автомашины.</w:t>
      </w:r>
    </w:p>
    <w:p w14:paraId="151AC20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 правильного использования зависит и сохранность автомашин. Это в свою очередь требует научного обоснования и расчетов. Опытную работу можно производить, с одной стороны, при экс</w:t>
      </w:r>
      <w:r w:rsidRPr="007224C3">
        <w:rPr>
          <w:rFonts w:ascii="Times New Roman" w:hAnsi="Times New Roman"/>
          <w:color w:val="000000" w:themeColor="text1"/>
          <w:sz w:val="16"/>
          <w:szCs w:val="16"/>
        </w:rPr>
        <w:softHyphen/>
        <w:t>плуатации автомашин на практической работе, а, с другой стороны, исключительно научно-опыт</w:t>
      </w:r>
      <w:r w:rsidRPr="007224C3">
        <w:rPr>
          <w:rFonts w:ascii="Times New Roman" w:hAnsi="Times New Roman"/>
          <w:color w:val="000000" w:themeColor="text1"/>
          <w:sz w:val="16"/>
          <w:szCs w:val="16"/>
        </w:rPr>
        <w:softHyphen/>
        <w:t>ным путем в соответствующих испытательных институтах.</w:t>
      </w:r>
    </w:p>
    <w:p w14:paraId="3E91446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Полагаю, что обобщения опыта эксплуатации автомашин на фронтах, испытания автомашин в полевых и лабораторных условиях и научного обоснования выгодности применения той или дру</w:t>
      </w:r>
      <w:r w:rsidRPr="007224C3">
        <w:rPr>
          <w:rFonts w:ascii="Times New Roman" w:hAnsi="Times New Roman"/>
          <w:color w:val="000000" w:themeColor="text1"/>
          <w:sz w:val="16"/>
          <w:szCs w:val="16"/>
        </w:rPr>
        <w:softHyphen/>
        <w:t>гой марки автомашин, а также сбора и обработки всех по эксплуатации автотранспорта в период Отечественной войны, необходимо при Главном автомобильном управлении создать научно-испы</w:t>
      </w:r>
      <w:r w:rsidRPr="007224C3">
        <w:rPr>
          <w:rFonts w:ascii="Times New Roman" w:hAnsi="Times New Roman"/>
          <w:color w:val="000000" w:themeColor="text1"/>
          <w:sz w:val="16"/>
          <w:szCs w:val="16"/>
        </w:rPr>
        <w:softHyphen/>
        <w:t>тательный автомобильный институт Красной Армии и специальную роту научно-испытательного автомобильного института Красной Армии.</w:t>
      </w:r>
    </w:p>
    <w:p w14:paraId="65FA0B6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Прошу Вашего распоряжения о сформировании:</w:t>
      </w:r>
    </w:p>
    <w:p w14:paraId="4494E63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Научно-испытательного автомобильного института Красной Армии по прилагаемому штату численностью 99 человек военнослужащих и 8 человек вольнонаемных.</w:t>
      </w:r>
    </w:p>
    <w:p w14:paraId="1F504D0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Специальной роты научно-испытательного автомобильного института Красной Армии по прилагаемому штату, численностью 207 человек.</w:t>
      </w:r>
    </w:p>
    <w:p w14:paraId="66A7F43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Формирование и укомплектование возложить на начальника Главного автомобильного управ</w:t>
      </w:r>
      <w:r w:rsidRPr="007224C3">
        <w:rPr>
          <w:rFonts w:ascii="Times New Roman" w:hAnsi="Times New Roman"/>
          <w:color w:val="000000" w:themeColor="text1"/>
          <w:sz w:val="16"/>
          <w:szCs w:val="16"/>
        </w:rPr>
        <w:softHyphen/>
        <w:t>ления Красной Армии, для чего использовать личный состав и материальную часть 203-го авто</w:t>
      </w:r>
      <w:r w:rsidRPr="007224C3">
        <w:rPr>
          <w:rFonts w:ascii="Times New Roman" w:hAnsi="Times New Roman"/>
          <w:color w:val="000000" w:themeColor="text1"/>
          <w:sz w:val="16"/>
          <w:szCs w:val="16"/>
        </w:rPr>
        <w:softHyphen/>
        <w:t>транспортного батальона. Батальон после сформирования института считать расформированным.</w:t>
      </w:r>
    </w:p>
    <w:p w14:paraId="5450A05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Заместитель начальника тыла КА генерал-полковник Белокосков</w:t>
      </w:r>
    </w:p>
    <w:p w14:paraId="3423486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ШТАТ №</w:t>
      </w:r>
    </w:p>
    <w:p w14:paraId="489E40E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Приложение</w:t>
      </w:r>
    </w:p>
    <w:p w14:paraId="7A2BFC4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Проект</w:t>
      </w:r>
    </w:p>
    <w:p w14:paraId="047A62B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Научно-испытательного автомобильного института Красной Армии</w:t>
      </w:r>
    </w:p>
    <w:p w14:paraId="662A23C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(военного времени)</w:t>
      </w:r>
    </w:p>
    <w:p w14:paraId="79AA871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I. Организация</w:t>
      </w:r>
    </w:p>
    <w:p w14:paraId="1E0C7CD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Управление:</w:t>
      </w:r>
    </w:p>
    <w:p w14:paraId="601EA3C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Командование</w:t>
      </w:r>
    </w:p>
    <w:p w14:paraId="127D779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Общий отдел</w:t>
      </w:r>
    </w:p>
    <w:p w14:paraId="72627A9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Секретная часть</w:t>
      </w:r>
    </w:p>
    <w:p w14:paraId="47066B7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Научно-испытательные отделы:</w:t>
      </w:r>
    </w:p>
    <w:p w14:paraId="5C55A87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Отдел автомобильных конструкций</w:t>
      </w:r>
    </w:p>
    <w:p w14:paraId="5D2BECB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Отдел ремонта автомобилей</w:t>
      </w:r>
    </w:p>
    <w:p w14:paraId="7923FC8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Отдел эксплуатации автомобилей</w:t>
      </w:r>
    </w:p>
    <w:p w14:paraId="749B595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Лабораторный отдел</w:t>
      </w:r>
    </w:p>
    <w:p w14:paraId="06BEAB4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Отдел изучения и обобщения опыта использования автотранспорта в Отечественной войне.</w:t>
      </w:r>
    </w:p>
    <w:p w14:paraId="5BBDB2C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Опытный автомобильный полигон</w:t>
      </w:r>
    </w:p>
    <w:p w14:paraId="17819E3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Опытные экспериментальные мастерские</w:t>
      </w:r>
    </w:p>
    <w:p w14:paraId="62A091B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Планово-финансовый отдел</w:t>
      </w:r>
    </w:p>
    <w:p w14:paraId="450296C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Отдел оформления работ</w:t>
      </w:r>
    </w:p>
    <w:p w14:paraId="0F5F622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Отдел материально-технического обеспечения</w:t>
      </w:r>
    </w:p>
    <w:p w14:paraId="59464B4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Гараж 9 Санчасть</w:t>
      </w:r>
    </w:p>
    <w:p w14:paraId="78C321C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Генерал — 1</w:t>
      </w:r>
    </w:p>
    <w:p w14:paraId="70F3F5E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Офицерский состав — 97 Всего военнослужащих — 98</w:t>
      </w:r>
    </w:p>
    <w:p w14:paraId="5A2EAA7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Легковых автомашин — 5 Грузовых автомашин — 20 Специальных автомашин — 10 Всего - 35</w:t>
      </w:r>
    </w:p>
    <w:p w14:paraId="4B4E6C9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II. Личный состав</w:t>
      </w:r>
    </w:p>
    <w:p w14:paraId="1AA818F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III. Автотранспорт</w:t>
      </w:r>
    </w:p>
    <w:p w14:paraId="3DD2CC9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ГАВТУ КА генерал-лейтенант технических войск Тягунов</w:t>
      </w:r>
    </w:p>
    <w:p w14:paraId="5AFEB4C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Врид начальника штаба ГАВТУ КА генерал-майор инженерной службы Мизонов</w:t>
      </w:r>
    </w:p>
    <w:p w14:paraId="786A624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41.Оп. 11584. Д. 568. Л. 76-79. Подлинник (11420).</w:t>
      </w:r>
    </w:p>
    <w:p w14:paraId="24482C4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FD7A9E2"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Жизнь и внутренняя политика:</w:t>
      </w:r>
    </w:p>
    <w:p w14:paraId="0F9D3A3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DD008C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1 июня 1944 года в составе ГУЛАГ имеется ИТЛ - 56, республиканских, краевых, областных Управлений и отделов ИТЛиК - 69, отдельных лагерных подразделений в составе ИТЛ - 910, ИТК - 424, штатная численность работников ГУЛАГ составляет 85.000 ед. (без ВОХР) (8983).</w:t>
      </w:r>
    </w:p>
    <w:p w14:paraId="50EEAE1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99675E"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6B1F782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1509B47" w14:textId="77777777" w:rsidR="00FE2608" w:rsidRPr="007224C3" w:rsidRDefault="00FE2608"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 июня</w:t>
      </w:r>
      <w:r w:rsidRPr="007224C3">
        <w:rPr>
          <w:rFonts w:ascii="Times New Roman" w:hAnsi="Times New Roman"/>
          <w:color w:val="000000" w:themeColor="text1"/>
          <w:sz w:val="16"/>
          <w:szCs w:val="16"/>
        </w:rPr>
        <w:t xml:space="preserve"> в 1944 году с ракетного полигона Пенемюнде (Германия) осуществлен испытательный пуск ракеты "Фау-2". Ракета сбилась с курса и упала на территории Швеции. Впоследствии фрагменты ракеты были вывезены в Великобританию для изучения (14909).</w:t>
      </w:r>
    </w:p>
    <w:p w14:paraId="7C61AE0F" w14:textId="77777777" w:rsidR="00FE2608" w:rsidRPr="007224C3" w:rsidRDefault="00FE2608" w:rsidP="007224C3">
      <w:pPr>
        <w:spacing w:after="0" w:line="240" w:lineRule="auto"/>
        <w:jc w:val="both"/>
        <w:rPr>
          <w:rFonts w:ascii="Times New Roman" w:hAnsi="Times New Roman"/>
          <w:color w:val="000000" w:themeColor="text1"/>
          <w:sz w:val="16"/>
          <w:szCs w:val="16"/>
        </w:rPr>
      </w:pPr>
    </w:p>
    <w:p w14:paraId="4A5F694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June 1 1944 Airships of ZP-14, assigned to antisubmarine operations around Gibraltar, completed the first crossing of the Atlantic by non-rigid airships. The flight began 29 May from South Weymouth, Mass., and ended at Port Lyautey, French Morocco, covering a distance of 3,145 nautical miles in 58 hours. Including time for stopovers at Argentia and the Azores, the airships moved their area of operations across the Atlantic in 80 hours (1090).</w:t>
      </w:r>
    </w:p>
    <w:p w14:paraId="49570ED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BE0B7C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rPr>
        <w:t xml:space="preserve">1 июня 1944 нежесткий дирижабль ZP-14, предназначенный для противолодочных операций в районе Гибралтара, впервые для нежестких дирижаблей пересек Атлантику. Полет начался 29 мая из South Weymouth, Mass. и закончился в Port Lyautey, French Marocco. Дальность составила 3145 морских миль и путь занял 58 час. Включая время на остановку в Аргентине и на Азорах путь занял 80 час. </w:t>
      </w:r>
      <w:r w:rsidRPr="007224C3">
        <w:rPr>
          <w:rFonts w:ascii="Times New Roman" w:hAnsi="Times New Roman"/>
          <w:color w:val="000000" w:themeColor="text1"/>
          <w:sz w:val="16"/>
          <w:szCs w:val="16"/>
          <w:lang w:val="en-US"/>
        </w:rPr>
        <w:t>(1090).</w:t>
      </w:r>
    </w:p>
    <w:p w14:paraId="66F7222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1E75D8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June 1st, 1944: In the West, Allied air forces continue to carry out heavy attacks against strategic bridges and rail lines in France. In Italy, the British Eighth Army (Alexander) captures Frosinone SE of Rome (3819).</w:t>
      </w:r>
    </w:p>
    <w:p w14:paraId="13FD13C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EECE1E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июня 1944 ВВС союзников продолжили удары по стратегическим мостам и ж/д во Франции. В Италии британская 8А заняла Фрозинон (3819).</w:t>
      </w:r>
    </w:p>
    <w:p w14:paraId="10A2691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8B5F8A" w14:textId="77777777" w:rsidR="00781F94" w:rsidRPr="007224C3" w:rsidRDefault="00781F94"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1–2 июня (ночь) 1944 167 британских бомбардировщиков совершили налет на немецкие цели во Франции, без потерь нанеся удар по радиостанции в Ферме д'Юрвиль и железнодорожному узлу в Сомюре. Атака д'Юрвиль безуспешна, но рейд на Сомюр наносит серьезный урон (20373).</w:t>
      </w:r>
    </w:p>
    <w:p w14:paraId="32DD0115" w14:textId="77777777" w:rsidR="00781F94" w:rsidRPr="007224C3" w:rsidRDefault="00781F94" w:rsidP="007224C3">
      <w:pPr>
        <w:spacing w:after="0" w:line="240" w:lineRule="auto"/>
        <w:jc w:val="both"/>
        <w:rPr>
          <w:rFonts w:ascii="Times New Roman" w:hAnsi="Times New Roman"/>
          <w:color w:val="0070C0"/>
          <w:sz w:val="16"/>
          <w:szCs w:val="16"/>
        </w:rPr>
      </w:pPr>
    </w:p>
    <w:p w14:paraId="219179E0" w14:textId="77777777" w:rsidR="00781F94" w:rsidRPr="007224C3" w:rsidRDefault="00781F94"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 июня 1944 два дирижабля ВМС США класса K из 14-й патрульной эскадрильи дирижаблей (ZP-14), K-123 и K-130 прибывают на поле Craw Field в Порт-Лиоти, Французское Марокко, чтобы совершить первый трансатлантический полет на нежестком. дирижабли. Вылетев из Южного Уэймута, штат Массачусетс, 28 мая 1944 года они пересекли границу военно-морской базы Арджентия в Доминионе Ньюфаундленда и Лагенс-Филд на Азорских островах (20373).</w:t>
      </w:r>
    </w:p>
    <w:p w14:paraId="64FD562C" w14:textId="77777777" w:rsidR="00781F94" w:rsidRPr="007224C3" w:rsidRDefault="00781F94" w:rsidP="007224C3">
      <w:pPr>
        <w:spacing w:after="0" w:line="240" w:lineRule="auto"/>
        <w:jc w:val="both"/>
        <w:rPr>
          <w:rFonts w:ascii="Times New Roman" w:hAnsi="Times New Roman"/>
          <w:color w:val="0070C0"/>
          <w:sz w:val="16"/>
          <w:szCs w:val="16"/>
        </w:rPr>
      </w:pPr>
    </w:p>
    <w:p w14:paraId="41A6E7BB" w14:textId="77777777" w:rsidR="00FE2608" w:rsidRPr="007224C3" w:rsidRDefault="00FE2608"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июня 1944 на Би-Би-Си передано четверостишие Верлена - знак французскому Сопротивлению о предстоящем вторжении в Нормандию (4962).</w:t>
      </w:r>
    </w:p>
    <w:p w14:paraId="3B14D03E" w14:textId="77777777" w:rsidR="00FE2608" w:rsidRPr="007224C3" w:rsidRDefault="00FE2608"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885B62A"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2CAA225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5F4C04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июня 1944 после опробования винтомоторной группы на земле, произведен контрольный полет МИГ С АМ-39Б И 2ТК-2Б после установки ТК. Продолжительность полета - 15 мин, высота - 1500 мт. Винтомоторная группа в полете работала нормально (1825).</w:t>
      </w:r>
    </w:p>
    <w:p w14:paraId="6980EE4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2422A7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июня 1944 Зам. Нач. 7ГУ Алексеев подготовил сводку г-7 № 7294 о ходе испытаний высотных самолетов на 1 июня 1944 по Як-9 М-105ПД, Ла-5 АШ-82ФН и 2ТК-3, МиГ АМ-39А и 2ТК-2Б (1825).</w:t>
      </w:r>
    </w:p>
    <w:p w14:paraId="0F6480D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ВЫСОТНЫЙ ИСТРЕБИТЕЛЬ ЯК-9 С ВК-105ПФ И ДВУХСТУПЕНЧАТЫМ НАГНЕТАТЕЛЕМ</w:t>
      </w:r>
    </w:p>
    <w:p w14:paraId="1DB0390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целях ускорения доводок системы схлаждения, на самолете будет временно установлен мотор с пониженной высотностью. После установки мотора, самолет будет передан ЦАГИ для продувки в трубе с работающим мотором. ЦИАМ предполагает подать мотор ЛИИ 3 июня с. г.</w:t>
      </w:r>
    </w:p>
    <w:p w14:paraId="0C88E23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ВЫСОТНЫЙ ИСТРЕБИТЕЛЬ ЛА-5 С АШ-82ФН и 2ТК-3.</w:t>
      </w:r>
    </w:p>
    <w:p w14:paraId="7A5A360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Полетов не производилось из-за неблаго</w:t>
      </w:r>
      <w:r w:rsidRPr="007224C3">
        <w:rPr>
          <w:rFonts w:ascii="Times New Roman" w:hAnsi="Times New Roman"/>
          <w:color w:val="000000" w:themeColor="text1"/>
          <w:sz w:val="16"/>
          <w:szCs w:val="16"/>
        </w:rPr>
        <w:softHyphen/>
        <w:t>приятных метеорологических-условий для высотных полетов.</w:t>
      </w:r>
    </w:p>
    <w:p w14:paraId="71D8C97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ВЫСОТНЫЙ ИСТРЕБИТЕЛЬ МИГ С АМ-39Б И 2ТК-2Б.</w:t>
      </w:r>
    </w:p>
    <w:p w14:paraId="24B6E44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Заводом № 155 получены из ЦИАМ исправленные турбскомпресссры и в течение дня производились работы по установке их на самолете. На 2 июня с.г. назначена отработка винтомоториой группы на земле (1825).</w:t>
      </w:r>
    </w:p>
    <w:p w14:paraId="17605B3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69874F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июня 1944 г. по приказу НКАП № 377с завод № 6 ОАП НКАП был переименован в ГС завод № 493 НКАП. 18 октября 1941 г. инструментальный завод № 6 (Завод № 6 Оргавиапрома НКАП /г. Москва; г. Кемерово/), созданный 4 ноября 1940 г. на базе экспериментальных сварочных мастерских, в совю очередь, созданных 19 августа 1939 г. на территории одного из цехов (№ 5) комбината «Дирижаблестрой», который размещался на ул. Большой Никитской с 1933 г., был эвакуирован в г. Киселевск Новосибирской обл. на территорию мастерских «Шахтстроя», однако уже на месте выяснилось, что площади не приспособлены для размещения, и принято решение об отправке завода в г. Кемерово. Эшелон с оборудованием завода прибыл в г. Кемерово на площадку недостроенного коксохимического завода в 11.1941 г. Предприятие размещено в части здания ВОХР: на первом этаже - производственные цеха, на втором и третьем - лаборатории и управление. Сюда же эвакуирован завод №307 НКАП. В годы войны - производство газовых горелок для сварки, сварочных трансформаторов, машин стыковой сварки. С 05.1941 г. завод получил статус Государственного Союзного завода.</w:t>
      </w:r>
    </w:p>
    <w:p w14:paraId="01CC311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Численность персонала (1941 г.)- 213 чел., (1942 г.)- 250-270 чел.</w:t>
      </w:r>
    </w:p>
    <w:p w14:paraId="11837DB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(1939-40 г.)- М.М. Сакаллы, (1940-42 г.)- А.Г. Иванов, (1942-46 г.)- В.В. Дьяченко (11982).</w:t>
      </w:r>
    </w:p>
    <w:p w14:paraId="7C7AD130" w14:textId="77777777" w:rsidR="00FE2608" w:rsidRPr="007224C3" w:rsidRDefault="00FE2608" w:rsidP="007224C3">
      <w:pPr>
        <w:autoSpaceDE w:val="0"/>
        <w:autoSpaceDN w:val="0"/>
        <w:adjustRightInd w:val="0"/>
        <w:spacing w:after="0" w:line="240" w:lineRule="auto"/>
        <w:jc w:val="both"/>
        <w:rPr>
          <w:rFonts w:ascii="Times New Roman" w:hAnsi="Times New Roman"/>
          <w:color w:val="000000" w:themeColor="text1"/>
          <w:sz w:val="16"/>
          <w:szCs w:val="16"/>
        </w:rPr>
      </w:pPr>
    </w:p>
    <w:p w14:paraId="0EB80B0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июня 1944 г. ГС по приказу № 377с завод № 6 ОАП НКАП переименован в ГС завод № 493 НКАП (ГС Завод № 493 НКАП, МАП, ГКАТ, н/я 80, РэДевский электромеханический завод МАП, Производственно-конструкторское объединение (ПКО) «Электромеханика», Ржевское ПО (РПО) «Электромеханика», ГП «РПО «Электромеханика», АООТ, ОАО «Электромеханика» /г. Кемерово;  г. Ржев Калининской обл./ /171250 (172386)  г. Ржев Тверской обл. Заводское ш., 2 тел. 08232) 20-606/).</w:t>
      </w:r>
    </w:p>
    <w:p w14:paraId="458B2D3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 493 НКАП по приказу № 297с от 12.07.1945 г. с оборудованием и личным составом перебазирован из Кемерово во Ржев на площадку эвакуированного завода № 307 НКАП (р-н Троицкого парка). Первый эшелон прибыл на новое место 20.09.1945 г. Площадка в Кемерово передана в НКХП.</w:t>
      </w:r>
    </w:p>
    <w:p w14:paraId="0752302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03.1946 г. завод № 493, предприятие «п/я 80» - в системе Управления оборудования МАП, затем- Техуправления ГКАТ.</w:t>
      </w:r>
    </w:p>
    <w:p w14:paraId="770E499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Производство оборудования для сварки, установок для плазменного напыления, термического и литейного оборудования, источников питания для них.</w:t>
      </w:r>
    </w:p>
    <w:p w14:paraId="7A29341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02.1953 г. на заводе создан СКО. В 11.1957 г. создано ОКБ (начальник- М.И. Баранов). С 11.1957 г. завод- в ведении Технического управления ГКАТ.</w:t>
      </w:r>
    </w:p>
    <w:p w14:paraId="19C120D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1.01.1967 г. завод переименован в Ржевский электромеханический завод МАП. Для объединения конструкторского и производственного циклов на одном предприятии 4.11.1974 г. на базе завода и НИО-62 НИАТ образовано Ржевское ПКО «Электромеханика», 16.03.1979 г. преобразованное в Ржевское ПО «Электромеханика». С начала 1993 г. преобразовано в ГП «РПО «Электромеханика». 22.02.1993 г. предприятие акционировано и преобразовано в АООТ, а с 4.10.1996 г.- ОАО «Электромеханика».</w:t>
      </w:r>
    </w:p>
    <w:p w14:paraId="2116A08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Разработка и производство (1990-е-2002 г.): технологическое, сварочное оборудование для авиапрома разработки НИАТ; оборудование для электрохимической обработки; универсальный гидравлический инструмент для ремонтных, строительно-монтажных и авиапредприятий.</w:t>
      </w:r>
    </w:p>
    <w:p w14:paraId="7C18C6C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(-1946 г.)- В.В. Дьяченко, (1946-49 г.)- И.А. Исаков, (1949-50 г.)- Н.И. Горьковенко, (1950-56 г.)- М. Г. Миронов, (1956-73 г.)- И.А. Верещагин. Гендиректор (1973-95 г.; 2002 г.)- М.П. Кулешов, (12.1995 г.-)- В.В. Константинов.</w:t>
      </w:r>
    </w:p>
    <w:p w14:paraId="5D8FF1C0" w14:textId="77777777" w:rsidR="00595BFB" w:rsidRPr="007224C3" w:rsidRDefault="00595BFB" w:rsidP="007224C3">
      <w:pPr>
        <w:tabs>
          <w:tab w:val="left" w:pos="8974"/>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конструктор (1990-е-2002 г.-)- В.Ф. Жуков.</w:t>
      </w:r>
      <w:r w:rsidRPr="007224C3">
        <w:rPr>
          <w:rFonts w:ascii="Times New Roman" w:hAnsi="Times New Roman"/>
          <w:color w:val="000000" w:themeColor="text1"/>
          <w:sz w:val="16"/>
          <w:szCs w:val="16"/>
        </w:rPr>
        <w:tab/>
        <w:t>i</w:t>
      </w:r>
    </w:p>
    <w:p w14:paraId="763A4B0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отдела зарубежных связей (2002 г.)- В.В. Константинов (11982).</w:t>
      </w:r>
    </w:p>
    <w:p w14:paraId="355C7A0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7C1FA0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июня 1944 года была подготовлена справка Вопросы гражданской авиации СССР:</w:t>
      </w:r>
    </w:p>
    <w:p w14:paraId="27A244E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Накануне Отечественной войны гражданский воздушный флот располагал самолетным парком, состоящим из 3000 самолетов, из этого количества 329 самолетов были многомоторными типа Ли-2, Г-2, Г-1, ПС-7 и им подобные.</w:t>
      </w:r>
    </w:p>
    <w:p w14:paraId="173906C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Протяженность воздушных линий союзного, местного и международного значения составляла 148217 км.</w:t>
      </w:r>
    </w:p>
    <w:p w14:paraId="01C63CD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подготовки инженерных, летных и технических кадров ГВФ располагал ВТУЗ"ами, летными и техническими школами.</w:t>
      </w:r>
    </w:p>
    <w:p w14:paraId="2D17D1B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ВТУЗ"ы выпускали специалистов по эксплуатации и ремонту материальной части, по проектированию, строительству и эксплуатации аэропортов и аэродромов, инженеров-экономистов.</w:t>
      </w:r>
    </w:p>
    <w:p w14:paraId="05D4AD9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Исследовательскую работу в области гражданской авиации проводил НИИ ГВФ, располагавший лабораторным корпусом, аэродромом с ангарами и моторо-испытательной станцией.</w:t>
      </w:r>
    </w:p>
    <w:p w14:paraId="4B13C04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системе ГВФ было 10 авиаремонтных заводов, 2 завода по изготовлению аэродромного и испытательного оборудования и большое количество авиаремонтных мастерских.</w:t>
      </w:r>
    </w:p>
    <w:p w14:paraId="4FC583B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Изыскание и проектирование новых воздушных линий, аэропортов и аэродромов и других сооружений проводила проектная организация при Гл. управлении ГВФ - Аэропроект.</w:t>
      </w:r>
    </w:p>
    <w:p w14:paraId="675B0EB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Накануне войны и в начале войны работа ГВФ, связанная обеспечением дальнейшего развития гражданской авиации, была свернута и выполнялась только работа, обеспечивающая текущие потребности Красной армии и народного хозяйства. Все летные школы нормального типа были переданы ВВС (Балашевская, Тамбовская, Батайская). В ВВС отошли ремонтные заводы N 86, N 87, N 88 и авиатехникумы в Москве, Харькове и Саратове. Ленинградский авиаинститут был преобразован в Воздушную академию ВВС.</w:t>
      </w:r>
    </w:p>
    <w:p w14:paraId="2B4FAF3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 площади, ангар и ангарные постройки научно-исследовательского института ГВФ были переданы заводам N 82 и N 500 НКАП. Наркомавиапрому отошли заводы ГВФ N 82, N 89, N 240, N 241 и крупные авиамастерские в Омске.</w:t>
      </w:r>
    </w:p>
    <w:p w14:paraId="2B02723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Площади завода N 243 в Ташкенте были переданы заводу N 84 НКАП.</w:t>
      </w:r>
    </w:p>
    <w:p w14:paraId="17E413D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После эвакуации был расформирован последний из оставшихся в системе ГВФ институт - Киевский.</w:t>
      </w:r>
    </w:p>
    <w:p w14:paraId="23D964D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Состояние ГВФ в настоящее время характеризуется следующим.</w:t>
      </w:r>
    </w:p>
    <w:p w14:paraId="65FD4D4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Самолетный парк состоит из 2514 машин, из которых 1134 самолета легкого типа. В числе 380 транспортных многомоторных самолетов - 116 шт. Ли-2, 95 шт. - Си-47, остальные..69 самолетов принадлежат к устаревшим типам, давно снятых с серийного производства (ТБ-3, ТБ-1, СБ и т.д.).</w:t>
      </w:r>
    </w:p>
    <w:p w14:paraId="4189EB0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Самолеты Ли-2 и СИ-47 смогут удовлетворительно обеспечить перелеты по воздушным линиям средних дистанций (800-1000 км), при полетах на более коротких линиях местного значения (внутри областей) смогут с успехом использоваться самолеты типа Ще-2. Для полетов по внутрисоюзным и международным авиамагистралям большой протяженности потребуются двух и четырехмоторные самолеты с большими скоростями, высотностью, комфортабельностью и полезной загрузкой. Следует решить вопрос о целесообразности использования в ГВФ гидросамолетов на трассах с наличием водных пространств. Учитывая, что Сов. Союз в основном континентальная страна, возможно, что следует ограничиться производством или закупкой только небольшого количества гидросамолетов. Задачи обслуживания сельского хозяйства(аэросев, борьба с вредителями с/х), патрулирования лесов и борьба с лесными пожарами, ледовой разведки, аэросъемки, полетов по коротким трассам, но с горным профилем, выдвигают задачи производства самолетов специального назначения. При конструировании транспортных и специальных самолетов любого применения должна быть предусмотрена возможность их эффективного применения в военных условиях.</w:t>
      </w:r>
    </w:p>
    <w:p w14:paraId="630AC77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НИИ ГВФ в настоящее время разрабатывает летно-технические требования на постройку для ГВФ транспортных самолетов. По их утверждении, конструирование и производство самолетов должны проводиться в соответствии с этими требованиями.</w:t>
      </w:r>
    </w:p>
    <w:p w14:paraId="2F92B1C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Должны быть также решены вопросы производства авиамоторов для транспортной авиации.</w:t>
      </w:r>
    </w:p>
    <w:p w14:paraId="29BA730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Требования к моторам для транспортной авиации отличаются от требований к моторам для военной. Для моторов ГВФ требуется большой межремонтный срок (600-700 часов) и небольшой расход горючего. помимо этого у нас отсутствуют моторы средних мощностей, базируясь на которых можно было бы создать скоростной и экономичный в эксплуатации самолет.</w:t>
      </w:r>
    </w:p>
    <w:p w14:paraId="70DB068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Наибольшие работы предстоят в области строительства и технического оснащения аэропортов, аэродромов и воздушных линий. Из 605 аэродромов ГВФ только 18 имеют взлетно-посадочные полосы с искусственным покрытием. Подавляющее большинство аэродромов представляют собой природные луга, могущие обеспечить взлет и посадку самолетов легкого типа. Самолеты Ли-2, Си-47 располагают приборами, обеспечивающими полеты в любое время суток, однако, при современном состоянии аэродромов ГВФ взлет и посадка этих же самолетов в ночное время и в дневное при плохой видимости, большинство аэродромов не может обеспечить. Только лишь единичные аэропорты (по линии Москва-Красноярск и Москва-Ташкент) имеют светооборудование для производства ночных посадок, причем это светооборудование не полное, устаревшее, могущее обеспечить ночные полеты при хорошей погоде. Ночной старт осуществляется при помощи примитивных "Летучих мышей".</w:t>
      </w:r>
    </w:p>
    <w:p w14:paraId="1D95DA4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сравнения укажем, что в США свыше 50000 км воздушных линий имеет световое оборудование, световые маяки расположены в среднем на расстоянии 23 км один от другого.</w:t>
      </w:r>
    </w:p>
    <w:p w14:paraId="18E3DE6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ночных полетов оборудованы более 900 аэропортов.</w:t>
      </w:r>
    </w:p>
    <w:p w14:paraId="78D75AD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Световое оборудование аэропортов состоит из вращающихся светомаяков, сигнального кодового маяка, пограничных огней, прожекторов для освещения старта, освещенного ветроуказателя, посадочных и заградительных огней.</w:t>
      </w:r>
    </w:p>
    <w:p w14:paraId="78C428D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Электропромышленность СССР до войны выпускала светооборудование для аэропортов и воздушных линий, необходимо на основе изучения усовершенствования в области светотехники Гражданской авиации США и Англии разработать наиболее совершенные образцы светового оборудования. В частности светотехники ГВФ (проф. Соколов) предлагают импортировать наиболее совершенное светооборудование из США, оборудовать им опытную трассу и на этой трассе отработать требования как к отдельным образцам светотехники, так и требования к светооборудованию в целом воздушных линий.</w:t>
      </w:r>
    </w:p>
    <w:p w14:paraId="185FB85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Более благополучным является радиооборудование воздушных трасс. Как и до войны, так и во время войны ГВФ сам конструировал и производил радиопеленгаторные станции. Так, например, вся Красноярская трасса была оборудована такими станциями. Однако, и здесь предстоит большая работа как по разработке и выпуску совершенных средств радиосвязи и радиопеленгации с тем, чтобы вся наиболее важная в экономическом отношении территория Советского Союза была перекрыта радионавигационными средствами, обеспечивающих уверенное вождение самолетов по воздушным трассам и вне их.</w:t>
      </w:r>
    </w:p>
    <w:p w14:paraId="2B30B62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Ремонтные базы и авиамастерские ГВФ удовлетворительно обеспечивают ремонт самолетомоторного парка, однако, они по своим площадям, оборудованию и дислокации не смогут обеспечить ремонт при предстоящем пополнении ГВФ транспортными самолетами.</w:t>
      </w:r>
    </w:p>
    <w:p w14:paraId="06C8E55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Решением этого вопроса будет новое строительство, отстройка разрушенного завода в Харькове и передача в систему ГВФ некоторых заводов и авиамастерских, отошедших в ВВС,... и НКАП.</w:t>
      </w:r>
    </w:p>
    <w:p w14:paraId="6413E98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Должны быть также решены вопросы подготовки летных, инженерных и технических кадров для гражданской авиации и строительства научно-исследовательского института ГВФ.</w:t>
      </w:r>
    </w:p>
    <w:p w14:paraId="6AF33B4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Считаем также, что учитывая задачи перспективного и оперативного планирования развития ГВФ и обеспечения этого развития материальными ресурсами, в Госплане СССР должен быть создан самостоятельный отдел Гражданской авиации. В настоящее время эти вопросы сосредоточены в отделе авиатранспорта и автодорожного хозяйства. Объединение вопросов автомобильного авиационного транспорта в одном отделе очень условно.</w:t>
      </w:r>
    </w:p>
    <w:p w14:paraId="1036256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Учитывая большое оборонное и народнохозяйственное значение развития ГВФ считаем целесообразным проведение следующих мероприятий:</w:t>
      </w:r>
    </w:p>
    <w:p w14:paraId="0846B29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Разработать перспективный план развития ГВФ.</w:t>
      </w:r>
    </w:p>
    <w:p w14:paraId="1B3D5B1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Закончить разработку летно-технических требований на постройку новых транспортных самолетов.</w:t>
      </w:r>
    </w:p>
    <w:p w14:paraId="1BDB4E5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Вновь сформировать при ГУГВФ Аэропроект.</w:t>
      </w:r>
    </w:p>
    <w:p w14:paraId="4759AED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Специализировать ГУАС НКВД на строительство, помимо аэродромов, всего комплекса сооружений аэропортов и воздушных линий.5. Командировать в США комиссию ГВФ, НКАП, ГУАС НКВД и... для изучения вопросов гражданской авиации, транспортного авиастроения, производства средств радио и светотехники, средств механизации обслуживания эксплуатации, строительства аэропортов и радио-светооборудования воздушных линий и аэропортов.</w:t>
      </w:r>
    </w:p>
    <w:p w14:paraId="5695F16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Включить в состав закупочной комиссии в США представителей ГВФ.</w:t>
      </w:r>
    </w:p>
    <w:p w14:paraId="515BFC0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Создать в НКАП Главк по транспортному авиастроению.</w:t>
      </w:r>
    </w:p>
    <w:p w14:paraId="50E1589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Создать одно-два опытных конструкторских бюро с опытными заводами по конструированию опытных транспортных самолетов.</w:t>
      </w:r>
    </w:p>
    <w:p w14:paraId="700F5DF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Решить вопрос о целесообразности и возможности покупки... лицензий лучших транспортных самолетов и моторов.</w:t>
      </w:r>
    </w:p>
    <w:p w14:paraId="189565F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Решить вопрос о строительстве для НИИ ГВФ.</w:t>
      </w:r>
    </w:p>
    <w:p w14:paraId="3674767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Передать обратно в систему ГВФ завод N....</w:t>
      </w:r>
    </w:p>
    <w:p w14:paraId="2CF26C2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Выпускать самолеты Ли-2 только в транспортном и пассажирском вариантах.</w:t>
      </w:r>
    </w:p>
    <w:p w14:paraId="6B2B1C3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Создать при факультетах Ленинградской Академии ВВС специализации по подготовке инженеров для служб ГВФ с перспективой передачи Академии обратно в систему ГВФ.</w:t>
      </w:r>
    </w:p>
    <w:p w14:paraId="6FE5FE8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Создать при электрофизическом факультете МЭИ НКЭП им. Молотова специализацию по светотехнике гражданской авиации.</w:t>
      </w:r>
    </w:p>
    <w:p w14:paraId="6561B8B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Просим под Вашим руководством созвать совещание по затронутым в докладе вопросам (1822,9).</w:t>
      </w:r>
    </w:p>
    <w:p w14:paraId="70F8F9B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9086C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июня 1944 ГРУ подготовило для Г.М.М. доклад по развитию ГА в США и Англии и 10 июня этот материал был расписан А.И.Ш. (1822).</w:t>
      </w:r>
    </w:p>
    <w:p w14:paraId="3590054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26F4A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2-го июня 1944 стало известно, что УВВС приняло на вооружение и НКБ поставило на производство новые авиабомбы: ФАБ-250М-43, ФАБ-500М-43, ФАБ-1000М-43 и ФАБ-2000М-43. Предварительная проверка по плазам бомбоотсека самолета Ту-2 показала, что бомбы ФАБ-500М-43 и ФАБ-1000М-43, из-за отличных размеров и очертаний носовой части от серийных бомб, входит в бомбоотсек Ту-2 с минимальными зазорами, недопустимыми для боевой эксплуатации. В ближайшее время будет проведена проверка подвески этих бомб на самолете Ту-2. Приведенные факты происходили потому, что УВВС не выполняли решение СНК N 1672-700сс от 19 июня 1941 г. о том, что утверждение технических проектов образцов авиационного оружия, боеприпасов и установок должно производиться Наркоматами вооружения, боеприпасов, авиационной промышленности и УВВС. Все изменения по подвесной системе авиабомб, а также ввод на вооружение новых бомб, производилось ВВС без согласования с НКАП (1825,110).</w:t>
      </w:r>
    </w:p>
    <w:p w14:paraId="7E8429D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461D75"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2FE4F13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D05968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июня 1944 вышло Постановление ГКО № 5977 Об обеспечении рабочей силой восстанавливаемых предприятий Наркомчермета. РГАНИР, Фонд ГКО, д. 257, лл. 188-189 (11012).</w:t>
      </w:r>
    </w:p>
    <w:p w14:paraId="5A6D907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84B043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июня 1944 вышло Постановление ГКО № 5978 О строительстве Сухумской гидроэлектростанции в Грузинской ССР. РГАНИР, Фонд ГКО, д. 257, лл. 190-193,194-198 (11012).</w:t>
      </w:r>
    </w:p>
    <w:p w14:paraId="30ED583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C5D4212"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2 июня 1944 вышло Постановление ГКО № 5979 Об общем плане перевозок грузов по железнодорожному и водному транспорту на июнь 1944 г. (7236, 199).</w:t>
      </w:r>
    </w:p>
    <w:p w14:paraId="40BC6017"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5BF2B00"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июня 1944 вышло Постановление ГКО № 5980 О плане перевозок народнохозяйственных грузов по железнодорожному и водному транспорту на июнь 1944 г. (7237, 1-7,8-289).</w:t>
      </w:r>
    </w:p>
    <w:p w14:paraId="61E14DE7"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B768BE2"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июня 1944 вышло Постановление ГКО № 5981 О мерах по усилению разведочных работ и вводу в эксплуатацию простаивающих скважин в Азнефтекомбинате. (7238, 1-14,15-22).</w:t>
      </w:r>
    </w:p>
    <w:p w14:paraId="2DE12555"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1620B9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июня 1944 вышло Постановление ГКО № 5982 О восстановлении электростанций и электросетей системы Ленэнерго Наркомата электростанций. РГАНИР, Фонд ГКО, д. 261, лл. 23-27,28-49 (11012).</w:t>
      </w:r>
    </w:p>
    <w:p w14:paraId="196468C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C14F6A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июня 1944 вышло Постановление ГКО № 5983 О мерах по обеспечению предприятий Наркомрезинпрома газовой сажей. РГАНИР, Фонд ГКО, д. 261, лл. 50-52,53-63 (11012).</w:t>
      </w:r>
    </w:p>
    <w:p w14:paraId="0B476CB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E23631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июня 1944 вышло Постановление ГКО № 5985 О частичном восстановлении Дубровской ГРЭС имени С.М.Кирова Наркомата электростанций. РГАНИР, Фонд ГКО, д. 261, лл. 69-72,73-98 (11012).</w:t>
      </w:r>
    </w:p>
    <w:p w14:paraId="3E9DD17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77A513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июня 1944 вышло Постановление ГКО № 5986 О восстановлении электростанций и электросетей для Криворожского железорудного бассейна и Никопольских марганцевых рудников. РГАНИР, Фонд ГКО, д. 261, лл. 99-101,102-121 (11012).</w:t>
      </w:r>
    </w:p>
    <w:p w14:paraId="3A8BB78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D0B8CA2"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июня 1944 вышло Постановление ГКО № 5987 О мерах помощи Наркомбумпрому в деле ликвидации отставания целлюлозной и бумажной промышленности. (7238, 122-123,124-153).</w:t>
      </w:r>
    </w:p>
    <w:p w14:paraId="5F1EE23D"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EDA31A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июня 1944 вышло Постановление ГКО № 5989 О работе генерал-лейтенанта тов. Бокова ф.Е. РГАНИР, Фонд ГКО, д. 261, лл. 155 (11012).</w:t>
      </w:r>
    </w:p>
    <w:p w14:paraId="53AE9D7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CDADB7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июня 1944 вышло Постановление ГКО № 5990 О т.т. Мжаванадзе В.П., Хмель А.Е., Коновалове П.Г., Шевякове М.В., Холостове. РГАНИР, Фонд ГКО, д. И. и Писклюкове В.Т. РГАНИР, Фонд ГКО, д. 261, лл. 156 (11012).</w:t>
      </w:r>
    </w:p>
    <w:p w14:paraId="2322D8F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AE99F0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июня 1944 вышло Распоряжение ГКО № 5991. О задании НКТП представить к 1 января 1945 г. предложения о проведении подготовительных работ по развитию станкостроения на заводах НКТП. РГАНИР, Фонд ГКО, д. 261, лл. 157 (11012).</w:t>
      </w:r>
    </w:p>
    <w:p w14:paraId="3F874EC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4E4E8DA"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июня 1944 вышло Постановление ГКО № 5992 Об обеспечении вывоза импортных грузов с Закавказской и Орджоникидзевской железных дорог в июне 1944 г. (7238, 158-159).</w:t>
      </w:r>
    </w:p>
    <w:p w14:paraId="1CC5C984"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AD08A04"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июня 1944 вышло Распоряжение ГКО № 5993 [О сдаче 200 лошадей НКО институтам эпидемиологии и микробиологии для производства лечебных сывороток для КА и населения.] (7238, 160).</w:t>
      </w:r>
    </w:p>
    <w:p w14:paraId="5D4BBD14"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A18B65"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июня 1944 вышло Распоряжение ГКО № 5994 [О мобилизации 50 возчиков с лошадьми в Чувашской АССР на вывозку дров для завода № 494 НКАП.] (7238, 161).</w:t>
      </w:r>
    </w:p>
    <w:p w14:paraId="796D8771"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9F1ED83"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июня 1944 вышло Распоряжение ГКО № 5995 [О мобилизации 600 возчиков с подводами в Смоленской обл. для работы на предприятиях треста "Запсплавлес" по вывозке пиловочника для заводов стандартного домостроения.] (7238, 162).</w:t>
      </w:r>
    </w:p>
    <w:p w14:paraId="5131B758"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B539570"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июня 1944 вышло Постановление ГКО № 5996 О завозе хлебопродуктов в Свердловскую область в июне 1944 г. (7238, 163-164,165-166).</w:t>
      </w:r>
    </w:p>
    <w:p w14:paraId="5098EE29"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5F57A2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июня 1944 года приказом НКБ за № 6020 Шосткинский капсюльный завод № 53 был введен в число действующих предприятий.</w:t>
      </w:r>
    </w:p>
    <w:p w14:paraId="055B18A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Адрес: Шостка Сумской области, п/я 13</w:t>
      </w:r>
    </w:p>
    <w:p w14:paraId="12CDC89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завода – П. Трошин (10026).</w:t>
      </w:r>
    </w:p>
    <w:p w14:paraId="7B95F1D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6CD2C0"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63DDE86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3291998" w14:textId="77777777" w:rsidR="00FE2608" w:rsidRPr="007224C3" w:rsidRDefault="00FE2608"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 июня</w:t>
      </w:r>
      <w:r w:rsidRPr="007224C3">
        <w:rPr>
          <w:rFonts w:ascii="Times New Roman" w:hAnsi="Times New Roman"/>
          <w:color w:val="000000" w:themeColor="text1"/>
          <w:sz w:val="16"/>
          <w:szCs w:val="16"/>
        </w:rPr>
        <w:t xml:space="preserve"> в 1944 году оперативная сводка Совинформбюро:</w:t>
      </w:r>
    </w:p>
    <w:p w14:paraId="6AC7D12E" w14:textId="77777777" w:rsidR="00FE2608" w:rsidRPr="007224C3" w:rsidRDefault="00FE260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2 июня в районе северо-западнее и севернее города Яссы наши войска отбивали атаки крупных сил пехоты и танков противника. Северо-западнее Яссы противнику, ценою больших потерь в живой силе и технике, удалось незначительно вклиниться в нашу оборону. Севернее Яссы наши войска успешно отбили все атаки пехоты и танков противника. По предварительным данным, за день боя уничтожено 25 немецких танков.</w:t>
      </w:r>
    </w:p>
    <w:p w14:paraId="0EB0C04F" w14:textId="77777777" w:rsidR="00FE2608" w:rsidRPr="007224C3" w:rsidRDefault="00FE260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остальных участках фронта — без существенных изменений.</w:t>
      </w:r>
    </w:p>
    <w:p w14:paraId="2DCE4E13" w14:textId="77777777" w:rsidR="00FE2608" w:rsidRPr="007224C3" w:rsidRDefault="00FE260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1 июня наши войска подбили и уничтожили 27 немецких танков. В воздушных боях и огнём зенитной артиллерии сбито 47 самолётов противника.</w:t>
      </w:r>
    </w:p>
    <w:p w14:paraId="5E95EB4B" w14:textId="77777777" w:rsidR="00FE2608" w:rsidRPr="007224C3" w:rsidRDefault="00FE260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районе города Яссы противник утром атаковал наши позиции, бросив в бой крупные силы пехоты и танков. Встреченные мощным огнём, немцы были вынуждены откатываться назад, не достигнув советских позиций. Лишь во второй половине дня северо-западнее Яссы противнику ценой тяжёлых потерь удалось незначительно вклиниться в нашу оборону. Севернее Яссы все атаки немцев отбиты. Подступы к нашим позициям усеяны вражескими трупами. Только на одном участке уничтожено 900 гитлеровцев, 7 танков и 3 самоходных орудия. Взята в плен значительная группа немецких солдат и офицеров.</w:t>
      </w:r>
    </w:p>
    <w:p w14:paraId="38708585" w14:textId="77777777" w:rsidR="00FE2608" w:rsidRPr="007224C3" w:rsidRDefault="00FE260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Юго-восточнее города Станислав противник четыре раза атаковал наши позиции. Не добившись никакого успеха, немцы отошли на исходный рубеж. На поле боя осталось более 200 вражеских трупов. Сожжены самоходное орудие и два бронетранспортёра противника.</w:t>
      </w:r>
    </w:p>
    <w:p w14:paraId="4FBF2106" w14:textId="77777777" w:rsidR="00FE2608" w:rsidRPr="007224C3" w:rsidRDefault="00FE260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Юго-восточнее города Витебск происходила перестрелка с противником. Группа снайперов под командованием лейтенанта Мусатова за последнее время истребила 147 немецких солдат и офицера. Снайпер Ислам Гайсин уничтожил 27, а снайпер Катков — 25 немцев.</w:t>
      </w:r>
    </w:p>
    <w:p w14:paraId="7262B79F" w14:textId="77777777" w:rsidR="00FE2608" w:rsidRPr="007224C3" w:rsidRDefault="00FE260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Севере бойцы подразделения капитана Юсупова в результате стремительной атаки разгромили до роты гитлеровцев. Захвачены пленные, 7 пулемётов, радиостанция и другие трофей. Группа бойцов во главе с лейтенантом Козловым ночью совершила вылазку в расположение белофиннов. Гранатами и огнём из автоматов разведчики уничтожили 36 солдат противника.</w:t>
      </w:r>
    </w:p>
    <w:p w14:paraId="502B43CD" w14:textId="77777777" w:rsidR="00FE2608" w:rsidRPr="007224C3" w:rsidRDefault="00FE260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Наши корабли, действующие на коммуникациях противника у северного побережья Норвегии, потопили немецкий транспорт водоизмещением в 4 тысячи тонн. Другому транспорту противника нанесены серьёзные повреждения.</w:t>
      </w:r>
    </w:p>
    <w:p w14:paraId="26D4DED3" w14:textId="77777777" w:rsidR="00FE2608" w:rsidRPr="007224C3" w:rsidRDefault="00FE260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Авиационная разведка Краснознамённого Балтийского флота вечером 30 мая обнаружила в Нарвском заливе группу немецких кораблей. Торпедные катера под командованием Героя Советского Союза капитана 3 ранга Осипова атаковали противника. Прорвавшись через завесу артиллерийского огня, торпедные катера потопили три сторожевых корабля и нанесли серьёзные повреждения двум быстроходным десантным судам. Все наши катера вернулись на свою базу.</w:t>
      </w:r>
    </w:p>
    <w:p w14:paraId="4F7505D7" w14:textId="77777777" w:rsidR="00FE2608" w:rsidRPr="007224C3" w:rsidRDefault="00FE260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Белорусский партизанский отряд напал на немецкий гарнизон, расположенный в одном населённом пункте Вилейской области. В ожесточённой рукопашной схватке партизаны истребили 40 немцев. Взяты пленные. Захвачены у немцев станковый пулемёт, 55 винтовок и много боеприпасов. Партизанский отряд «За Советскую Белоруссию» за месяц пустил под откос 18 немецких воинских эшелонов.</w:t>
      </w:r>
    </w:p>
    <w:p w14:paraId="576DE3FE" w14:textId="77777777" w:rsidR="00FE2608" w:rsidRPr="007224C3" w:rsidRDefault="00FE2608" w:rsidP="007224C3">
      <w:pPr>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rPr>
        <w:t>На сторону Красной Армии перешла группа солдат и офицеров 18 полка 18 румынской горнострелковой дивизии. Пленный лейтенант Георге Л. рассказал: «Нашей дивизией командует генерал Бэлдеску — отъявленный предатель родины. В угоду немцам он готов сжечь всю Румынию от края до края и уничтожить всё население от мала до велика. Особенно свирепствовал Бэлдеску на оккупированной советской территории. Офицеры рассказывают, что он активно участвовал в грабежах и расстрелах мирных жителей». Далее лейтенант заявил: «В Румынии царит паника. Многие видные чиновники, нажившие за время войны крупные состояния, переводят свои капиталы за границу. Так, например, Памфилий Шейкару продал своё имущество и акции газеты «Курентул» и купил фабрику в Лиссабоне. Некоторые чиновники уже бежали за границу. Правительство явно не справилось с эвакуацией населения из прифронтовой полосы. Потоки беженцев дезорганизовали железнодорожный транспорт. Правительство загоняет беженцев в уезды Аржеш, Дембовица и в Ольтенью. Из-за наплыва огромного числа беженцев в этих районах возникли продовольственные трудности. Многие живут под открытым небом. За последнее время имели место стихийные антинемецкие выступления. Правительство беспощадно расправляется с противниками гитлеровской Германии. Однако, несмотря на все драконовские меры, Антонеску не удалось подавить антифашистское движение. Встранерастётпартизанскоедвижение</w:t>
      </w:r>
      <w:r w:rsidRPr="007224C3">
        <w:rPr>
          <w:rFonts w:ascii="Times New Roman" w:hAnsi="Times New Roman"/>
          <w:color w:val="000000" w:themeColor="text1"/>
          <w:sz w:val="16"/>
          <w:szCs w:val="16"/>
          <w:lang w:val="en-US"/>
        </w:rPr>
        <w:t>» (14910).</w:t>
      </w:r>
    </w:p>
    <w:p w14:paraId="2DD06DC7" w14:textId="77777777" w:rsidR="00FE2608" w:rsidRPr="007224C3" w:rsidRDefault="00FE2608" w:rsidP="007224C3">
      <w:pPr>
        <w:spacing w:after="0" w:line="240" w:lineRule="auto"/>
        <w:jc w:val="both"/>
        <w:rPr>
          <w:rFonts w:ascii="Times New Roman" w:hAnsi="Times New Roman"/>
          <w:color w:val="000000" w:themeColor="text1"/>
          <w:sz w:val="16"/>
          <w:szCs w:val="16"/>
          <w:lang w:val="en-US"/>
        </w:rPr>
      </w:pPr>
    </w:p>
    <w:p w14:paraId="3010315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June 2nd, 1944: First shuttle raid (Operation Frantic) by 130 B-17s of the US 15th Air Force based at Tripoli that attack railyards at Debrecen&lt; Hungary, and then fly on to Soviet airfields at Poltava in the Ukraine. Beginning of secret negotiations between the Rumanian government of Marshal Antonescu and representatives of the Soviet Union at Stockholm, Sweden, while the Bulgarian government seeks terms of surrender rom the Western Allies (3819).</w:t>
      </w:r>
    </w:p>
    <w:p w14:paraId="78421D2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B65BB7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June 2 1944 United States Fifteenth Air Force begins shuttle bombing between Italian and Soviet bases (1037).</w:t>
      </w:r>
    </w:p>
    <w:p w14:paraId="28D46FC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8D233E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June 2, 1944. The first shuttle bombing mission using Russia as the eastern terminus is flown. Lt. Gen. Ira C. Eaker, head of Mediterranean Allied Air Forces, flies in one of the B-17s (1089).</w:t>
      </w:r>
    </w:p>
    <w:p w14:paraId="331E581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E25901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июня 1944 ВВС США начали челночные бомбардировки между Италией и СССР. На одном из В-17 в СССР прилетел Lt. Gen. Ira C. Eaker (1037;1089).</w:t>
      </w:r>
    </w:p>
    <w:p w14:paraId="7214BAB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4CA0F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июня 1944 была первая челночная операция, подготовка которых у нас началась с 4 февраля. Прилетело 128 В-17 и 64 Р-51 (340,188).</w:t>
      </w:r>
    </w:p>
    <w:p w14:paraId="36C8793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DE865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июня 1944 750 машин в 6:55 вылетели из Италии на бомбежку Венгрии и часть с посадкой в СССР. Сели 64 Б-17 в Полтаве, 65 - в Миргороде и 64 Мустанга в Пирятине. Операция Frantic I (1364,39).</w:t>
      </w:r>
    </w:p>
    <w:p w14:paraId="4AD3EE1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622E0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июня 1944 года провели первый "челночный" рейд. В тот день на Украине приземлились 128 В-17 О и 64 истребителя сопровождения (3457,112).</w:t>
      </w:r>
    </w:p>
    <w:p w14:paraId="348C2FB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AE1980" w14:textId="77777777" w:rsidR="00781F94" w:rsidRPr="007224C3" w:rsidRDefault="00781F94"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 июня 1944 - Открытие в Полтаве авиационной базы особого назначения для челночных полетов бомбардировщиков США, командир базы - А.Р.Перминов (22473).</w:t>
      </w:r>
    </w:p>
    <w:p w14:paraId="57154127" w14:textId="77777777" w:rsidR="00781F94" w:rsidRPr="007224C3" w:rsidRDefault="00781F94" w:rsidP="007224C3">
      <w:pPr>
        <w:spacing w:after="0" w:line="240" w:lineRule="auto"/>
        <w:jc w:val="both"/>
        <w:rPr>
          <w:rFonts w:ascii="Times New Roman" w:hAnsi="Times New Roman"/>
          <w:color w:val="0070C0"/>
          <w:sz w:val="16"/>
          <w:szCs w:val="16"/>
        </w:rPr>
      </w:pPr>
    </w:p>
    <w:p w14:paraId="011028C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июня 1944 года в Пирятине сели 64 P-51D из 325-й истребительной группы США, а последний раз Р-51D приземлялись в Пирятине 18 сентября 1944 - тогда их было 62. Всего в "челночных" операциях приняли участие 395 "Мустангов" ВВС армии США. При этом поврежденные по пути машины иногда совершали вынужденные посадки на нашей территории. Поэтому самолеты более поздних модификаций В, С, D с высотными английскими моторами "Мерлин", выпускавшимися в США по лицензии фирмой "Паккард", которые в СССР официально не поступали, в СССР имелись (3457,88).</w:t>
      </w:r>
    </w:p>
    <w:p w14:paraId="63F9EA5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A09382" w14:textId="77777777" w:rsidR="00FE2608" w:rsidRPr="007224C3" w:rsidRDefault="00FE2608"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 июня</w:t>
      </w:r>
      <w:r w:rsidRPr="007224C3">
        <w:rPr>
          <w:rFonts w:ascii="Times New Roman" w:hAnsi="Times New Roman"/>
          <w:color w:val="000000" w:themeColor="text1"/>
          <w:sz w:val="16"/>
          <w:szCs w:val="16"/>
        </w:rPr>
        <w:t xml:space="preserve"> в 1944 году американское командование начало операцию Frantic по "челночным" стратегическим бомбардировкам с использованием баз в Северной Италии и СССР (14910).</w:t>
      </w:r>
    </w:p>
    <w:p w14:paraId="7C47971F" w14:textId="77777777" w:rsidR="00FE2608" w:rsidRPr="007224C3" w:rsidRDefault="00FE2608" w:rsidP="007224C3">
      <w:pPr>
        <w:spacing w:after="0" w:line="240" w:lineRule="auto"/>
        <w:jc w:val="both"/>
        <w:rPr>
          <w:rFonts w:ascii="Times New Roman" w:hAnsi="Times New Roman"/>
          <w:color w:val="000000" w:themeColor="text1"/>
          <w:sz w:val="16"/>
          <w:szCs w:val="16"/>
        </w:rPr>
      </w:pPr>
    </w:p>
    <w:p w14:paraId="617D899B"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Жизнь и внутренняя политика:</w:t>
      </w:r>
    </w:p>
    <w:p w14:paraId="2814D73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2909BD7"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июня 1944 вышло Постановление ГКО № 5984 [О выселении с территории Крыма 37 тыс. болгар, греков и армян.] (7238, 64-66,67-68).</w:t>
      </w:r>
    </w:p>
    <w:p w14:paraId="40B7588E"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4CD0412"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июня 1944 Сталин распорядился депортировать из Крыма болгар, греков и армян (4962).</w:t>
      </w:r>
    </w:p>
    <w:p w14:paraId="58220120"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B92199E"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июня 1944 вышло Постановление ГКО № 5988 [Об объявлении благодарности коллективу Мосметростроя за успешную работу по строительству III очереди метрополитена.] (7238, 154).</w:t>
      </w:r>
    </w:p>
    <w:p w14:paraId="1EED98F1"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C112786"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59260E9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40A27DF" w14:textId="77777777" w:rsidR="00FE2608" w:rsidRPr="007224C3" w:rsidRDefault="00FE2608"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 июня</w:t>
      </w:r>
      <w:r w:rsidRPr="007224C3">
        <w:rPr>
          <w:rFonts w:ascii="Times New Roman" w:hAnsi="Times New Roman"/>
          <w:color w:val="000000" w:themeColor="text1"/>
          <w:sz w:val="16"/>
          <w:szCs w:val="16"/>
        </w:rPr>
        <w:t xml:space="preserve"> в 1944 году в Венцендорфе проведен второй полет планера-истребителя </w:t>
      </w:r>
      <w:hyperlink r:id="rId160" w:tgtFrame="_blank" w:history="1">
        <w:r w:rsidRPr="007224C3">
          <w:rPr>
            <w:rFonts w:ascii="Times New Roman" w:hAnsi="Times New Roman"/>
            <w:color w:val="000000" w:themeColor="text1"/>
            <w:sz w:val="16"/>
            <w:szCs w:val="16"/>
          </w:rPr>
          <w:t xml:space="preserve">«ВV.40-V1». </w:t>
        </w:r>
      </w:hyperlink>
      <w:r w:rsidRPr="007224C3">
        <w:rPr>
          <w:rFonts w:ascii="Times New Roman" w:hAnsi="Times New Roman"/>
          <w:color w:val="000000" w:themeColor="text1"/>
          <w:sz w:val="16"/>
          <w:szCs w:val="16"/>
        </w:rPr>
        <w:t>Отличительной чертой «ВV.40» было применение недефицитных материалов, которые обрабатывались плотниками, столярами, сварщиками и слесарями, не имевшими опыта авиастроителей. Кабина, в которой полулежа на подушке размещался пилот, была сварена из стальных листов. Передний лист толщиной 20мм, боковые и сбрасываемая верхняя панель - З мм, дно - 5мм. Лобовое бронестекло было толщиной 120 мм, а две сдвижные бронированные панели закрывали боковые окна. Hоги пилота были защищены 8 мм броней. Центральная секция фюзеляжа из клепаного металла скреплялась болтами с деревянным хвостом. Крыло и оперение также деревянной конструкции. Крыло с одним коробчатым главный лонжероном из фанеры и двумя вспомогательными сзади и спереди от главного. Оно обшивалось 4мм фанерой и крепилось к фюзеляжу четыремя болтами. Для взлета использовалась сбрасываемая двухколесная тележка, а для посадки полуубирающаяся лыжа. Точность посадки обеспечивалась закрылками, опускаемыми на 80°. Первоначально Фогт планировал ограничить вооружение одной пушкой «МК-108» с 70 снарядами. Он полагал, что если после первой атаки высота позволяла сделать второй заход, то должен был использоваться "Герат шлинге" (петлевой снаряд) - кабель, спущенный с планера с небольшим зарядом взрывчатки. Тем не менее, сошлись на мнении, что планер должен был вести атаку в лоб на скорости 400км/ч, сближаясь с целью на 800км/ч, так что пилот едва ли мог успеть сделать больше одной очереди, которая должна была быть максимально мощной. В результате было решено при том же боезапасе установить две пушки, а "петлевой снаряд" снять (14910).</w:t>
      </w:r>
    </w:p>
    <w:p w14:paraId="34A86344" w14:textId="77777777" w:rsidR="00FE2608" w:rsidRPr="007224C3" w:rsidRDefault="00FE2608" w:rsidP="007224C3">
      <w:pPr>
        <w:spacing w:after="0" w:line="240" w:lineRule="auto"/>
        <w:jc w:val="both"/>
        <w:rPr>
          <w:rFonts w:ascii="Times New Roman" w:hAnsi="Times New Roman"/>
          <w:color w:val="000000" w:themeColor="text1"/>
          <w:sz w:val="16"/>
          <w:szCs w:val="16"/>
        </w:rPr>
      </w:pPr>
    </w:p>
    <w:p w14:paraId="3AF4E598" w14:textId="77777777" w:rsidR="006B3C37" w:rsidRPr="007224C3" w:rsidRDefault="006B3C3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июня 1944 г. 130 В-17, сопровождаемые 70 истребителями Р-51, бомбили город Дебрецен. Конечно же, как обычно, аме</w:t>
      </w:r>
      <w:r w:rsidRPr="007224C3">
        <w:rPr>
          <w:rFonts w:ascii="Times New Roman" w:hAnsi="Times New Roman"/>
          <w:color w:val="000000" w:themeColor="text1"/>
          <w:sz w:val="16"/>
          <w:szCs w:val="16"/>
        </w:rPr>
        <w:softHyphen/>
        <w:t>риканцы бомбили не город, а только железнодорожные пути и вокзал... Ну а город сами венгры разрушили? В пропагандистских целях? После атаки В-17 сели на аэродроме в Миргороде, а Р-51 - в Пирятине. Это был челночный налет по программе «Фрэнтик» (19083).</w:t>
      </w:r>
    </w:p>
    <w:p w14:paraId="6018D368" w14:textId="77777777" w:rsidR="006B3C37" w:rsidRPr="007224C3" w:rsidRDefault="006B3C37" w:rsidP="007224C3">
      <w:pPr>
        <w:spacing w:after="0" w:line="240" w:lineRule="auto"/>
        <w:jc w:val="both"/>
        <w:rPr>
          <w:rFonts w:ascii="Times New Roman" w:hAnsi="Times New Roman"/>
          <w:color w:val="000000" w:themeColor="text1"/>
          <w:sz w:val="16"/>
          <w:szCs w:val="16"/>
        </w:rPr>
      </w:pPr>
    </w:p>
    <w:p w14:paraId="46282BBC" w14:textId="77777777" w:rsidR="00781F94" w:rsidRPr="007224C3" w:rsidRDefault="00781F94"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2–3 июня (с ночь) 1944 235 британских бомбардировщиков атакуют железнодорожные станции в Трапе, Франция, и немецкую станцию постановки радиолокационных помех в Бернваль-ле-Гран, Франция. Рейд на Трапп был успешным лишь частично и потери составили 16 бомбардировщиков (12,5 процента отправленных туда сил), в то время как удар Бернваль-ле-Гран очень точен и возвращается без потерь (20373).</w:t>
      </w:r>
    </w:p>
    <w:p w14:paraId="0E229DDF" w14:textId="77777777" w:rsidR="00781F94" w:rsidRPr="007224C3" w:rsidRDefault="00781F94" w:rsidP="007224C3">
      <w:pPr>
        <w:spacing w:after="0" w:line="240" w:lineRule="auto"/>
        <w:jc w:val="both"/>
        <w:rPr>
          <w:rFonts w:ascii="Times New Roman" w:hAnsi="Times New Roman"/>
          <w:color w:val="0070C0"/>
          <w:sz w:val="16"/>
          <w:szCs w:val="16"/>
        </w:rPr>
      </w:pPr>
    </w:p>
    <w:p w14:paraId="610F2DEE" w14:textId="77777777" w:rsidR="00781F94" w:rsidRPr="007224C3" w:rsidRDefault="00781F94"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2–3 июня (с ночь) 1944 чтобы отвлечь внимание немцев от побережья Нормандии, где состоится предстоящее вторжение, 271 британский бомбардировщик атакует четыре немецких береговых артиллерийских орудия в Па-де-Кале, при этом один из налетов точно поразил цель. Один бомбардировщик не возвращается (20373).</w:t>
      </w:r>
    </w:p>
    <w:p w14:paraId="1E61ECF6" w14:textId="77777777" w:rsidR="00781F94" w:rsidRPr="007224C3" w:rsidRDefault="00781F94" w:rsidP="007224C3">
      <w:pPr>
        <w:spacing w:after="0" w:line="240" w:lineRule="auto"/>
        <w:jc w:val="both"/>
        <w:rPr>
          <w:rFonts w:ascii="Times New Roman" w:hAnsi="Times New Roman"/>
          <w:color w:val="0070C0"/>
          <w:sz w:val="16"/>
          <w:szCs w:val="16"/>
        </w:rPr>
      </w:pPr>
    </w:p>
    <w:p w14:paraId="337318CB"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июня 1944 в Алжире генерал Шарль де Голль сформировал временное правительство Франции (4962).</w:t>
      </w:r>
    </w:p>
    <w:p w14:paraId="618AFFAE"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F4D00BC" w14:textId="77777777" w:rsidR="00781F94" w:rsidRPr="007224C3" w:rsidRDefault="00781F94"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 июня 1944 54 японских самолета атакуют десант США у берегов Биака, потеряв 12 из них и почти не нанеся повреждений (20373).</w:t>
      </w:r>
    </w:p>
    <w:p w14:paraId="7822150B" w14:textId="77777777" w:rsidR="00781F94" w:rsidRPr="007224C3" w:rsidRDefault="00781F94" w:rsidP="007224C3">
      <w:pPr>
        <w:spacing w:after="0" w:line="240" w:lineRule="auto"/>
        <w:jc w:val="both"/>
        <w:rPr>
          <w:rFonts w:ascii="Times New Roman" w:hAnsi="Times New Roman"/>
          <w:color w:val="0070C0"/>
          <w:sz w:val="16"/>
          <w:szCs w:val="16"/>
        </w:rPr>
      </w:pPr>
    </w:p>
    <w:p w14:paraId="2C7FB18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июня 1944 в Алжире на базе Комитета национального освобождения было создано Временное правительство Французской республики во главе с Ш. де Голем (3481).</w:t>
      </w:r>
    </w:p>
    <w:p w14:paraId="39CAFA9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FC2535"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762C3E7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A66324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июня 1944 г. вышел акт по результатам госиспытаний Ил-10, в котором отмечалось, что " Ил-10, по сравнению с Ил-2, несмотря на ухудшение взлет-но-посадочных свойств, имеет явное преимущество, в частности, максимальная скорость больше: у земли на 123 км/ч, на границе высотности на 147 км/ч Время набора высоты 3000 м меньше на 3 мин Дальность горизонтального полета на высоте 500 м возросла на 120 км Высокая скорость полета, хорошая устойчивость и управляемость при аналогичном с самолетом Ил-2 оружии активного нападения позволяют самолету Ил-10 более эффективно осуществлять штурмовые действия, а повышенная обороноспособность и лучшее бронирование способствуют большему эффекту при ведении воздушного боя с истребителями противника В эксплуатации самолет прост, его производство может базироваться на технологии серийного производства Ил-2. Самолет Ил-10 является классическим образцом самолета-штурмовика (7442).</w:t>
      </w:r>
    </w:p>
    <w:p w14:paraId="5DA2B05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54EE4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июня 1944 Зам. Нач. 12 ГУ НКАП Соколов писал письмо № Д-1/1466 Нач. ПГУ НКХП  С.Я.Файнштейну:</w:t>
      </w:r>
    </w:p>
    <w:p w14:paraId="6646C5E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Направляю чертежи на бронестекло самолета Ил-10. </w:t>
      </w:r>
    </w:p>
    <w:p w14:paraId="442234A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Прошу рассмотреть чертежи и дать к ним Ваши замечания.</w:t>
      </w:r>
    </w:p>
    <w:p w14:paraId="6F4A1A4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Приложение: чертежи №№ Б-0400-2, Б-0400-1 в 1 экз. (10532,11)</w:t>
      </w:r>
    </w:p>
    <w:p w14:paraId="08DEA6B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AF098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июня 1944 Зам. Нач. 7ГУ Алексеев подготовил сводку г-7 № 7331 о ходе испытаний высотных самолетов на 2 июня 1944 по Як-9 М-105ПД, Ла-5 АШ-82ФН и 2ТК-3, МиГ АМ-39А и 2ТК-2Б (1825).</w:t>
      </w:r>
    </w:p>
    <w:p w14:paraId="360C953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C4784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июня 1944 на Ла-5 АШ-82ФН + 2ТК-3 был выполнен полет на 8000 м с ТК, перегрелись головки и полет прекратили (1825).</w:t>
      </w:r>
    </w:p>
    <w:p w14:paraId="5B462E5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6C28C1" w14:textId="77777777" w:rsidR="00FE2608" w:rsidRPr="007224C3" w:rsidRDefault="00FE260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июня 1944 после нескольких дней нелётной погоды состоялся полёт Ла-5А до высоты 8000 м с работающими турбокомпрессорами. Вновь падение давление бензина и высокие темпе</w:t>
      </w:r>
      <w:r w:rsidRPr="007224C3">
        <w:rPr>
          <w:rFonts w:ascii="Times New Roman" w:hAnsi="Times New Roman"/>
          <w:color w:val="000000" w:themeColor="text1"/>
          <w:sz w:val="16"/>
          <w:szCs w:val="16"/>
        </w:rPr>
        <w:softHyphen/>
        <w:t>ратуры головок цилиндров мотора привели к прекращению полёта. На самолёте заме</w:t>
      </w:r>
      <w:r w:rsidRPr="007224C3">
        <w:rPr>
          <w:rFonts w:ascii="Times New Roman" w:hAnsi="Times New Roman"/>
          <w:color w:val="000000" w:themeColor="text1"/>
          <w:sz w:val="16"/>
          <w:szCs w:val="16"/>
        </w:rPr>
        <w:softHyphen/>
        <w:t>нили центральный бензобак и эжекторную помпу, улучшили дефлектирование головок цилиндров и изменили боковые крышки капотов. Однако 8 июня контрольный полёт при</w:t>
      </w:r>
      <w:r w:rsidRPr="007224C3">
        <w:rPr>
          <w:rFonts w:ascii="Times New Roman" w:hAnsi="Times New Roman"/>
          <w:color w:val="000000" w:themeColor="text1"/>
          <w:sz w:val="16"/>
          <w:szCs w:val="16"/>
        </w:rPr>
        <w:softHyphen/>
        <w:t>шлось прекратить из-за течи масла. Наконец, 11 июня 1944 г. в полёте на определение потолка на первой скорости нагнетателя с включенными турбокомпрессорами достигли высоты 11000 м. На высоте 3000 м включилась система впрыска воды, и температура го</w:t>
      </w:r>
      <w:r w:rsidRPr="007224C3">
        <w:rPr>
          <w:rFonts w:ascii="Times New Roman" w:hAnsi="Times New Roman"/>
          <w:color w:val="000000" w:themeColor="text1"/>
          <w:sz w:val="16"/>
          <w:szCs w:val="16"/>
        </w:rPr>
        <w:softHyphen/>
        <w:t>ловок цилиндров на протяжении полёта сохранялась нормальной, на высоте 7000 м сработала система нейтрального газа, обеспечившая поддержание нормального давления бензина. Однако течь масла в соединениях мотора и высокая температура масла на вы</w:t>
      </w:r>
      <w:r w:rsidRPr="007224C3">
        <w:rPr>
          <w:rFonts w:ascii="Times New Roman" w:hAnsi="Times New Roman"/>
          <w:color w:val="000000" w:themeColor="text1"/>
          <w:sz w:val="16"/>
          <w:szCs w:val="16"/>
        </w:rPr>
        <w:softHyphen/>
        <w:t>ходе — 90°С, привели к прекращению полёта. Для снижения температуры масла на са</w:t>
      </w:r>
      <w:r w:rsidRPr="007224C3">
        <w:rPr>
          <w:rFonts w:ascii="Times New Roman" w:hAnsi="Times New Roman"/>
          <w:color w:val="000000" w:themeColor="text1"/>
          <w:sz w:val="16"/>
          <w:szCs w:val="16"/>
        </w:rPr>
        <w:softHyphen/>
        <w:t>молёте установили радиатор с трубкой диаметром 4 мм, вместо прежнего радиатора с трубкой 5 мм, а также приспособление для защиты радиатора от попадания масла из за- моторного пространства. 13 июня 1944 г. произвели два полёта: первый до высоты 9500 м, второй — до 4500 м, и оба пришлось прекратить из-за выброса масла из мотора. Как по</w:t>
      </w:r>
      <w:r w:rsidRPr="007224C3">
        <w:rPr>
          <w:rFonts w:ascii="Times New Roman" w:hAnsi="Times New Roman"/>
          <w:color w:val="000000" w:themeColor="text1"/>
          <w:sz w:val="16"/>
          <w:szCs w:val="16"/>
        </w:rPr>
        <w:softHyphen/>
        <w:t>казали произведенные при участии представителя завода N9 19 испытания и осмотр, течь происходила из кольцевого уплотнения нагнетателя. Сделали однозначный вывод, что для проведения высотных полётов требуются моторы специальной сборки.</w:t>
      </w:r>
    </w:p>
    <w:p w14:paraId="06643E99" w14:textId="77777777" w:rsidR="00FE2608" w:rsidRPr="007224C3" w:rsidRDefault="00FE260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 как такие моторы завод № 19 мог изготовить лишь к 1 июля, ему дали указание отгрузить заводу № 21 два мотора обычной сборки, но с улучшенным дефлектирова- нием. К 25 июня, после установки на месте пушки дополнительного маслобака, само</w:t>
      </w:r>
      <w:r w:rsidRPr="007224C3">
        <w:rPr>
          <w:rFonts w:ascii="Times New Roman" w:hAnsi="Times New Roman"/>
          <w:color w:val="000000" w:themeColor="text1"/>
          <w:sz w:val="16"/>
          <w:szCs w:val="16"/>
        </w:rPr>
        <w:softHyphen/>
        <w:t>лёт снова подготовили к продолжению испытаний. Во время состоявшихся 3-4 июля полётов до высоты 7800 м температура масла на входе поднялась выше допустимого уровня, произошло затяжеление винта, и имел место выброс масла из дренажа, за все время полёта он составил 15 кг. После чего на самолёте установили высотную масло- помпу — агрегат № 180, и произвели отсос масла из суфлёрного бачка. Однако в кон</w:t>
      </w:r>
      <w:r w:rsidRPr="007224C3">
        <w:rPr>
          <w:rFonts w:ascii="Times New Roman" w:hAnsi="Times New Roman"/>
          <w:color w:val="000000" w:themeColor="text1"/>
          <w:sz w:val="16"/>
          <w:szCs w:val="16"/>
        </w:rPr>
        <w:softHyphen/>
        <w:t>трольном полёте 8 июля при наборе высоты 5000 м температура на входе снова поднялась выше допустимых пределов (87°С) и полёт опять пришлось прекратить. При осмотре самолёта на земле снова обнаружили выброс масла. 11 июля 1944 г. Ла-5А перегнали в Москву на завод № 81. По заключению представителя завода № 19, из-за попадания масла в нагнетатель мотора по причине дефектов маслоуплотнений валика нагнетателя, к дальнейшим полётам самолёт признали непригодным.</w:t>
      </w:r>
    </w:p>
    <w:p w14:paraId="4EC215D3" w14:textId="77777777" w:rsidR="00FE2608" w:rsidRPr="007224C3" w:rsidRDefault="00FE260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Новую винтомоторную группу на Ла-5А смонтировали только в 20-х числах августа, заодно в соответствии с рекомендациями ЦАГИ произвели доводки систем охлаждения. 12 сентября состоялся контрольный полёт, мотор снова работал с перебоями из-за не</w:t>
      </w:r>
      <w:r w:rsidRPr="007224C3">
        <w:rPr>
          <w:rFonts w:ascii="Times New Roman" w:hAnsi="Times New Roman"/>
          <w:color w:val="000000" w:themeColor="text1"/>
          <w:sz w:val="16"/>
          <w:szCs w:val="16"/>
        </w:rPr>
        <w:softHyphen/>
        <w:t>поладок регулятора смеси. На следующий день для скорейшей отработки винтомотор</w:t>
      </w:r>
      <w:r w:rsidRPr="007224C3">
        <w:rPr>
          <w:rFonts w:ascii="Times New Roman" w:hAnsi="Times New Roman"/>
          <w:color w:val="000000" w:themeColor="text1"/>
          <w:sz w:val="16"/>
          <w:szCs w:val="16"/>
        </w:rPr>
        <w:softHyphen/>
        <w:t>ной группы на больших высотах при участии сотрудников лаборатории ЛИИ самолёт перегнали на аэродром «Раменское». При перелёте мотор работал «богато», и на сред</w:t>
      </w:r>
      <w:r w:rsidRPr="007224C3">
        <w:rPr>
          <w:rFonts w:ascii="Times New Roman" w:hAnsi="Times New Roman"/>
          <w:color w:val="000000" w:themeColor="text1"/>
          <w:sz w:val="16"/>
          <w:szCs w:val="16"/>
        </w:rPr>
        <w:softHyphen/>
        <w:t>них режимах его трясло. В ЛИИ лётные испытания продолжили. 21 сентября в конт</w:t>
      </w:r>
      <w:r w:rsidRPr="007224C3">
        <w:rPr>
          <w:rFonts w:ascii="Times New Roman" w:hAnsi="Times New Roman"/>
          <w:color w:val="000000" w:themeColor="text1"/>
          <w:sz w:val="16"/>
          <w:szCs w:val="16"/>
        </w:rPr>
        <w:softHyphen/>
        <w:t>рольном полёте достигли высоты 5600 м, дальнейший набор высоты в связи с поломкой датчика оборотов турбокомпрессора пришлось прекратить. 26 сентября полёт до вы</w:t>
      </w:r>
      <w:r w:rsidRPr="007224C3">
        <w:rPr>
          <w:rFonts w:ascii="Times New Roman" w:hAnsi="Times New Roman"/>
          <w:color w:val="000000" w:themeColor="text1"/>
          <w:sz w:val="16"/>
          <w:szCs w:val="16"/>
        </w:rPr>
        <w:softHyphen/>
        <w:t>соты 9000 м прекратили вследствие обледенения фонаря, отказа в работе впрыска во</w:t>
      </w:r>
      <w:r w:rsidRPr="007224C3">
        <w:rPr>
          <w:rFonts w:ascii="Times New Roman" w:hAnsi="Times New Roman"/>
          <w:color w:val="000000" w:themeColor="text1"/>
          <w:sz w:val="16"/>
          <w:szCs w:val="16"/>
        </w:rPr>
        <w:softHyphen/>
        <w:t>ды в цилиндры мотора и высоких температур масла. Следующий полёт состоялся лишь 3 октября. На высоте 10000 м сильная тряска мотора при включении впрыска воды и низкое давление бензина в системе не позволили его продолжить. Ещё один день ушёл на устранение обнаруженных дефектов.</w:t>
      </w:r>
    </w:p>
    <w:p w14:paraId="06CC19DF" w14:textId="77777777" w:rsidR="00FE2608" w:rsidRPr="007224C3" w:rsidRDefault="00FE260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октября в полёте на замер расхода горючего на высотах 500 м и 4000 м и проверку работы мотора с включённым впрыском воды на Ла-5А, который пилотировал лётчик-ис</w:t>
      </w:r>
      <w:r w:rsidRPr="007224C3">
        <w:rPr>
          <w:rFonts w:ascii="Times New Roman" w:hAnsi="Times New Roman"/>
          <w:color w:val="000000" w:themeColor="text1"/>
          <w:sz w:val="16"/>
          <w:szCs w:val="16"/>
        </w:rPr>
        <w:softHyphen/>
        <w:t>пытатель С.Н. Анохин, на высоте 3400 м при нормальной работе мотора и при нормальных показаниях всех контрольных приборов на выхлопе возникло сильное факеление. Для его устранения лётчик обеднил смесь при помощи рычага остановки мотора. Факе</w:t>
      </w:r>
      <w:r w:rsidRPr="007224C3">
        <w:rPr>
          <w:rFonts w:ascii="Times New Roman" w:hAnsi="Times New Roman"/>
          <w:color w:val="000000" w:themeColor="text1"/>
          <w:sz w:val="16"/>
          <w:szCs w:val="16"/>
        </w:rPr>
        <w:softHyphen/>
        <w:t>ление привело к сильному нагреву бортов фюзеляжа, обгорела обшивка правого борта. Вследствие высокой температуры фанерная оболочка задымилась. Анохину удалось до</w:t>
      </w:r>
      <w:r w:rsidRPr="007224C3">
        <w:rPr>
          <w:rFonts w:ascii="Times New Roman" w:hAnsi="Times New Roman"/>
          <w:color w:val="000000" w:themeColor="text1"/>
          <w:sz w:val="16"/>
          <w:szCs w:val="16"/>
        </w:rPr>
        <w:softHyphen/>
        <w:t>вести загоревшийся самолёт до аэродрома и нормально сесть в пределах ВПП. Горение и обугливание деревянной конструкции фюзеляжа было вызвано перегревом металличе</w:t>
      </w:r>
      <w:r w:rsidRPr="007224C3">
        <w:rPr>
          <w:rFonts w:ascii="Times New Roman" w:hAnsi="Times New Roman"/>
          <w:color w:val="000000" w:themeColor="text1"/>
          <w:sz w:val="16"/>
          <w:szCs w:val="16"/>
        </w:rPr>
        <w:softHyphen/>
        <w:t>ской обшивки факелом, образующимся на выхлопе мотора, теплоизоляция между жаро</w:t>
      </w:r>
      <w:r w:rsidRPr="007224C3">
        <w:rPr>
          <w:rFonts w:ascii="Times New Roman" w:hAnsi="Times New Roman"/>
          <w:color w:val="000000" w:themeColor="text1"/>
          <w:sz w:val="16"/>
          <w:szCs w:val="16"/>
        </w:rPr>
        <w:softHyphen/>
        <w:t>упорными листами обшивки и деревянной конструкцией фюзеляжа оказалась недоста</w:t>
      </w:r>
      <w:r w:rsidRPr="007224C3">
        <w:rPr>
          <w:rFonts w:ascii="Times New Roman" w:hAnsi="Times New Roman"/>
          <w:color w:val="000000" w:themeColor="text1"/>
          <w:sz w:val="16"/>
          <w:szCs w:val="16"/>
        </w:rPr>
        <w:softHyphen/>
        <w:t>точной. Факел же появился в результате ненормального забогащения мотора при увели</w:t>
      </w:r>
      <w:r w:rsidRPr="007224C3">
        <w:rPr>
          <w:rFonts w:ascii="Times New Roman" w:hAnsi="Times New Roman"/>
          <w:color w:val="000000" w:themeColor="text1"/>
          <w:sz w:val="16"/>
          <w:szCs w:val="16"/>
        </w:rPr>
        <w:softHyphen/>
        <w:t>чении высоты полёта, тогда же расход горючего увеличился с 360 кг/ч до 459 кг/ч на вы</w:t>
      </w:r>
      <w:r w:rsidRPr="007224C3">
        <w:rPr>
          <w:rFonts w:ascii="Times New Roman" w:hAnsi="Times New Roman"/>
          <w:color w:val="000000" w:themeColor="text1"/>
          <w:sz w:val="16"/>
          <w:szCs w:val="16"/>
        </w:rPr>
        <w:softHyphen/>
        <w:t>соте 3400 м. Наиболее интенсивный факел образовался из ресивера правого турбо</w:t>
      </w:r>
      <w:r w:rsidRPr="007224C3">
        <w:rPr>
          <w:rFonts w:ascii="Times New Roman" w:hAnsi="Times New Roman"/>
          <w:color w:val="000000" w:themeColor="text1"/>
          <w:sz w:val="16"/>
          <w:szCs w:val="16"/>
        </w:rPr>
        <w:softHyphen/>
        <w:t>компрессора. Аварийная комиссия под председательством М.Д. Романовича, для безо</w:t>
      </w:r>
      <w:r w:rsidRPr="007224C3">
        <w:rPr>
          <w:rFonts w:ascii="Times New Roman" w:hAnsi="Times New Roman"/>
          <w:color w:val="000000" w:themeColor="text1"/>
          <w:sz w:val="16"/>
          <w:szCs w:val="16"/>
        </w:rPr>
        <w:softHyphen/>
        <w:t>пасности проведения дальнейших лётных испытаний, порекомендовала: установить для моторов АШ-82ФН с ТК нормы часового расхода горючего, насосы НБЗ-У проверять на равномерность подачи горючего, на стабильность его расходования по высотам, заводу № 81 улучшить теплоизоляцию деревянных частей фюзеляжа от металлической обшив</w:t>
      </w:r>
      <w:r w:rsidRPr="007224C3">
        <w:rPr>
          <w:rFonts w:ascii="Times New Roman" w:hAnsi="Times New Roman"/>
          <w:color w:val="000000" w:themeColor="text1"/>
          <w:sz w:val="16"/>
          <w:szCs w:val="16"/>
        </w:rPr>
        <w:softHyphen/>
        <w:t>ки, подверженной воздействию выхлопных газов. Самолёт нуждался в ремонте, и его от</w:t>
      </w:r>
      <w:r w:rsidRPr="007224C3">
        <w:rPr>
          <w:rFonts w:ascii="Times New Roman" w:hAnsi="Times New Roman"/>
          <w:color w:val="000000" w:themeColor="text1"/>
          <w:sz w:val="16"/>
          <w:szCs w:val="16"/>
        </w:rPr>
        <w:softHyphen/>
        <w:t>правили на завод № 81. Откуда назад он не вернулся, поскольку программу испытаний признали выполненной, а тему законченной.</w:t>
      </w:r>
    </w:p>
    <w:p w14:paraId="5F0927CC" w14:textId="77777777" w:rsidR="00FE2608" w:rsidRPr="007224C3" w:rsidRDefault="00FE260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обстоятельствах, аналогичных тем, в которых оказался С.Н. Анохин на Ла-5А, 7 февраля разбился И-221 ОКБ-155. Пилотировавший его летчик 12-го ГИАП П.А. Жу</w:t>
      </w:r>
      <w:r w:rsidRPr="007224C3">
        <w:rPr>
          <w:rFonts w:ascii="Times New Roman" w:hAnsi="Times New Roman"/>
          <w:color w:val="000000" w:themeColor="text1"/>
          <w:sz w:val="16"/>
          <w:szCs w:val="16"/>
        </w:rPr>
        <w:softHyphen/>
        <w:t>равлев принял факеление из выхлопных патрубков и дым в кабине за начавшийся по</w:t>
      </w:r>
      <w:r w:rsidRPr="007224C3">
        <w:rPr>
          <w:rFonts w:ascii="Times New Roman" w:hAnsi="Times New Roman"/>
          <w:color w:val="000000" w:themeColor="text1"/>
          <w:sz w:val="16"/>
          <w:szCs w:val="16"/>
        </w:rPr>
        <w:softHyphen/>
        <w:t>жар, и на высоте 9000 м покинул самолёт (15830).</w:t>
      </w:r>
    </w:p>
    <w:p w14:paraId="7D48A841" w14:textId="77777777" w:rsidR="00FE2608" w:rsidRPr="007224C3" w:rsidRDefault="00FE2608" w:rsidP="007224C3">
      <w:pPr>
        <w:spacing w:after="0" w:line="240" w:lineRule="auto"/>
        <w:jc w:val="both"/>
        <w:rPr>
          <w:rFonts w:ascii="Times New Roman" w:hAnsi="Times New Roman"/>
          <w:color w:val="000000" w:themeColor="text1"/>
          <w:sz w:val="16"/>
          <w:szCs w:val="16"/>
        </w:rPr>
      </w:pPr>
    </w:p>
    <w:p w14:paraId="676BBC1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3-го июня 1944 на ЛА-5 С АШ-82ФН и 2ТК-3 был произведен полет до высоты 8000 мт с работа</w:t>
      </w:r>
      <w:r w:rsidRPr="007224C3">
        <w:rPr>
          <w:rFonts w:ascii="Times New Roman" w:hAnsi="Times New Roman"/>
          <w:color w:val="000000" w:themeColor="text1"/>
          <w:sz w:val="16"/>
          <w:szCs w:val="16"/>
        </w:rPr>
        <w:softHyphen/>
        <w:t>ющим ТК; из-за падения давления бензина и высоких температур головок цилиндров мотора, полет был прекращен (1825).</w:t>
      </w:r>
    </w:p>
    <w:p w14:paraId="2B1B057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AE450E" w14:textId="77777777" w:rsidR="00FE2608" w:rsidRPr="007224C3" w:rsidRDefault="00FE260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июня 1944 г. Приказ директора завода № 16 М. М. Лукина о создании реактивного двигателя РД-3 и внедрении двигателя РД-1</w:t>
      </w:r>
    </w:p>
    <w:p w14:paraId="269C1037" w14:textId="77777777" w:rsidR="00FE2608" w:rsidRPr="007224C3" w:rsidRDefault="00FE260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Согласно постановления ГОКО важнейшей задачей Наркомавиапрома является создание реактивного двигателя РД-3 и внедрение в авиацию двигателя РД-1.</w:t>
      </w:r>
    </w:p>
    <w:p w14:paraId="4C26D78F" w14:textId="77777777" w:rsidR="00FE2608" w:rsidRPr="007224C3" w:rsidRDefault="00FE260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Выполнение этой задачи поручено заводу № 16. Для обеспечения выполнения этого постановления в части проведения доводочно-экспериментальных работ по насосным агрегатам, редукторам и форсункам двигателей РД-3 и серийным двигателям РД-1 приказываю:</w:t>
      </w:r>
    </w:p>
    <w:p w14:paraId="09287107" w14:textId="77777777" w:rsidR="00FE2608" w:rsidRPr="007224C3" w:rsidRDefault="00FE260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1.</w:t>
      </w:r>
    </w:p>
    <w:p w14:paraId="6F84D87B" w14:textId="77777777" w:rsidR="00FE2608" w:rsidRPr="007224C3" w:rsidRDefault="00FE260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Начальнику лаборатории тов. Клисанич Н. П. выполнять работы для КБ-РД по утвержденным мною планам доводочно-экспериментальных работ, ежемесячно спускаемым лаборатории.</w:t>
      </w:r>
    </w:p>
    <w:p w14:paraId="5671D6B3" w14:textId="77777777" w:rsidR="00FE2608" w:rsidRPr="007224C3" w:rsidRDefault="00FE260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Полную ответственность за обеспечение и проведение работ, предусматриваемых этими планами, возлагаю на тов. Клисанич.</w:t>
      </w:r>
    </w:p>
    <w:p w14:paraId="68468025" w14:textId="77777777" w:rsidR="00FE2608" w:rsidRPr="007224C3" w:rsidRDefault="00FE260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2.</w:t>
      </w:r>
    </w:p>
    <w:p w14:paraId="73AEF397" w14:textId="77777777" w:rsidR="00FE2608" w:rsidRPr="007224C3" w:rsidRDefault="00FE260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целью обеспечения своевременного технологического испытания серийных насосных агрегатов и форсунок двигателя РД-1, начальнику лаборатории тов. Клисанич Н. П. провести подготовительную работу и дооборудование водомасляного кабинета, а также подготовить и прикрепить к этому кабинету обслуживающий персонал к 20 июня с. г.</w:t>
      </w:r>
    </w:p>
    <w:p w14:paraId="19C3D421" w14:textId="77777777" w:rsidR="00FE2608" w:rsidRPr="007224C3" w:rsidRDefault="00FE260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3.</w:t>
      </w:r>
    </w:p>
    <w:p w14:paraId="08ADBB9A" w14:textId="77777777" w:rsidR="00FE2608" w:rsidRPr="007224C3" w:rsidRDefault="00FE260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Заместителю главного конструктора КБ РД по экспериментальной части инженеру Севрук Д. Д. к 5 июня с. г. выдать начальнику лаборатории технические условия и инструкции по испытанию агрегатов серийных двигателей РД-1, своевременно обеспечивать программами испытаний доводочные работы по РД-1 и РД-3.</w:t>
      </w:r>
    </w:p>
    <w:p w14:paraId="0C02AC9C" w14:textId="77777777" w:rsidR="00FE2608" w:rsidRPr="007224C3" w:rsidRDefault="00FE260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завода № 16 М. М. Лукин</w:t>
      </w:r>
    </w:p>
    <w:p w14:paraId="5DA48FD9" w14:textId="77777777" w:rsidR="00FE2608" w:rsidRPr="007224C3" w:rsidRDefault="00FE260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РТ. Ф. Р-5940. Оп. 1. Д. 159. Л. 43. Подлинник (15494).</w:t>
      </w:r>
    </w:p>
    <w:p w14:paraId="0D2F53FF" w14:textId="77777777" w:rsidR="00FE2608" w:rsidRPr="007224C3" w:rsidRDefault="00FE2608" w:rsidP="007224C3">
      <w:pPr>
        <w:spacing w:after="0" w:line="240" w:lineRule="auto"/>
        <w:jc w:val="both"/>
        <w:rPr>
          <w:rFonts w:ascii="Times New Roman" w:hAnsi="Times New Roman"/>
          <w:color w:val="000000" w:themeColor="text1"/>
          <w:sz w:val="16"/>
          <w:szCs w:val="16"/>
        </w:rPr>
      </w:pPr>
    </w:p>
    <w:p w14:paraId="6BB62125"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45227B8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6E9EA3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июня 1944 г. по приказу НКВ из состава завода (Завод № 711 НКВ, Климовский штамповочный завод (КШЗ), АООТ, ОАО «КШЗ» РАВ, ЗАО «Климовский специализированный патронный завод» (КСПЗ) РАВ /142181  г. Климовск Московской обл. ул. Заводская, 2/) бывшее отделение выделилось в самостоятельное ЦКБ-3 (КБАЛ им. Л.H. Кошкина) (11982).</w:t>
      </w:r>
    </w:p>
    <w:p w14:paraId="66CC448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ЦКБ-3 НКВ, КБ автоматических линий (КБАЛ) им. JI.H. Кошкина, ОАО «КБАЛ им. Л.Н. Кошкина» /142184  г. Климовск Московской обл. пр. 50-летия Октября, 21А/</w:t>
      </w:r>
    </w:p>
    <w:p w14:paraId="456EFB5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приказу НКВ от 3.06.1944 г. отделение Климовского завода № 711 выделилось в самостоятельное ЦКБ-3. Разработка роторных линий для производства патронов.</w:t>
      </w:r>
    </w:p>
    <w:p w14:paraId="4DAD06D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Являлось головной конструкторско-технологической организацией патронной промышленности.</w:t>
      </w:r>
    </w:p>
    <w:p w14:paraId="01EBE52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 (11982).</w:t>
      </w:r>
    </w:p>
    <w:p w14:paraId="51C2155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DB91867" w14:textId="77777777" w:rsidR="00FE2608" w:rsidRPr="007224C3" w:rsidRDefault="00FE2608"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3 июня</w:t>
      </w:r>
      <w:r w:rsidRPr="007224C3">
        <w:rPr>
          <w:rFonts w:ascii="Times New Roman" w:hAnsi="Times New Roman"/>
          <w:color w:val="000000" w:themeColor="text1"/>
          <w:sz w:val="16"/>
          <w:szCs w:val="16"/>
        </w:rPr>
        <w:t xml:space="preserve"> в 1944 году по Приказу Наркома вооружений Д.Ф.Устинова образовано Центральное конструкторское бюро №3 (переименованное в 1966 г. в КБАЛ) создано, являясь головной конструкторско-технологической организацией патронной промышленности. Проведенные Л.Н.Кошкиным работы патронной промышленности послужили весомым аргументом для создания КБ под его руководством, которое после преобразования в ОАО КБАЛ в 1994 г. стало носить его имя (ОАО "КБ автоматических линий имени Л.Н.Кошкина"). В период 1960-1980 гг. осуществленна полная реконструкция патронной промышленности, создано более 250 типов и изготовлено более 7000 АРЛ (14911).</w:t>
      </w:r>
    </w:p>
    <w:p w14:paraId="60E9EC93" w14:textId="77777777" w:rsidR="00FE2608" w:rsidRPr="007224C3" w:rsidRDefault="00FE2608" w:rsidP="007224C3">
      <w:pPr>
        <w:spacing w:after="0" w:line="240" w:lineRule="auto"/>
        <w:jc w:val="both"/>
        <w:rPr>
          <w:rFonts w:ascii="Times New Roman" w:hAnsi="Times New Roman"/>
          <w:color w:val="000000" w:themeColor="text1"/>
          <w:sz w:val="16"/>
          <w:szCs w:val="16"/>
        </w:rPr>
      </w:pPr>
    </w:p>
    <w:p w14:paraId="0925B65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3 июня 1944 вышло Постановление ГКО № 5997 Об изготовлении танковых противоминных тралов. РГАНИР, Фонд ГКО, д. 261, лл. 167-169,170-171 (11012).</w:t>
      </w:r>
    </w:p>
    <w:p w14:paraId="06D119E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EDA59EE"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июня 1944 вышло Распоряжение ГКО № 5998 [Об освобождении от призыва в КА студентов вузов и техникумов Наркомлеса СССР.] (7238, 172).</w:t>
      </w:r>
    </w:p>
    <w:p w14:paraId="39B8B1BD"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D8774ED"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июня 1944 вышло Распоряжение ГКО № 5999 [О порядке накладных расходов, авансирования работ, освобождении от мобилизации рабочих и ИТР, размерах зарплаты на строящихся гидроэлектростанциях в Туркменской ССР.] (7238, 173).</w:t>
      </w:r>
    </w:p>
    <w:p w14:paraId="509D9D0F"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99F371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июня 1944 года была подготовлена справка:</w:t>
      </w:r>
    </w:p>
    <w:p w14:paraId="7C125E9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основании объединенного приказа наркома минометного вооружения и Комитета по делам искусств при СНК от 5 мая 1944 года № 216/239 Ташкентский завод грампластинок передается Комитету по делам искусств при СНК (8660,1).</w:t>
      </w:r>
    </w:p>
    <w:p w14:paraId="67C4189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EFCF7D"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52F7D39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87C1D66" w14:textId="77777777" w:rsidR="00FE2608" w:rsidRPr="007224C3" w:rsidRDefault="00FE2608"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3 июня</w:t>
      </w:r>
      <w:r w:rsidRPr="007224C3">
        <w:rPr>
          <w:rFonts w:ascii="Times New Roman" w:hAnsi="Times New Roman"/>
          <w:color w:val="000000" w:themeColor="text1"/>
          <w:sz w:val="16"/>
          <w:szCs w:val="16"/>
        </w:rPr>
        <w:t xml:space="preserve"> в 1944 году оперативная сводка Совинформбюро:</w:t>
      </w:r>
    </w:p>
    <w:p w14:paraId="1C807C9E" w14:textId="77777777" w:rsidR="00FE2608" w:rsidRPr="007224C3" w:rsidRDefault="00FE260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3 июня северо-западнее и севернее города Яссы наши войска успешно отбивали атаки крупных сил пехоты и танков противника. По уточнённым данным, в боях за 2 июня в этом районе нашими войсками уничтожено 48 немецких танков. В воздушных боях и огнём зенитной артиллерии сбито 24 самолёта противника.</w:t>
      </w:r>
    </w:p>
    <w:p w14:paraId="08397379" w14:textId="77777777" w:rsidR="00FE2608" w:rsidRPr="007224C3" w:rsidRDefault="00FE260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 без перемен.</w:t>
      </w:r>
    </w:p>
    <w:p w14:paraId="1F0F93AB" w14:textId="77777777" w:rsidR="00FE2608" w:rsidRPr="007224C3" w:rsidRDefault="00FE260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2 июня на всех фронтах в воздушных боях и огнём зенитной артиллерии сбито 37 самолётов противника.</w:t>
      </w:r>
    </w:p>
    <w:p w14:paraId="33A0CF21" w14:textId="77777777" w:rsidR="00FE2608" w:rsidRPr="007224C3" w:rsidRDefault="00FE260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Северо-западнее и севернее города Яссы продолжались ожесточённые бои. Немцы усилили свою группировку танковыми частями и непрерывно атаковали наши позиции. Советские войска мощным огнём из всех видов оружия успешно отбивали атаки противника и нанесли ему большой урон в живой силе и технике. Части Н-ского соединения в течение дня уничтожили до полка немецкой пехоты, сожгли и подбили 17 танков и самоходных орудий, 8 бронетранспортеров и 3 бронемашины. В результате успешных контратак захвачены пленные и трофеи. Взятый в плен командир роты 103 немецкого моторизованного полка сообщил, что немецко-румынские войска в ходе боёв несут тяжёлые потери. В ротах 103 полка осталось по 10—15 человек. Остальные убиты или ранены.</w:t>
      </w:r>
    </w:p>
    <w:p w14:paraId="3B36EDD2" w14:textId="77777777" w:rsidR="00FE2608" w:rsidRPr="007224C3" w:rsidRDefault="00FE260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районе города Яссы происходят непрерывные воздушные схватки. На рассвете шесть наших истребителей под командованием Героя Советского Союза Гулаева встретили 30 немецких бомбардировщиков, шедших под прикрытием истребителей. Наши лётчики атаковали противника. Гулаев зашёл в хвост немецкому истребителю и первой же очередью сбил его. Выходя из атаки, тов. Гулаев сбил ещё один самолёт противника. В этом бою шесть советских лётчиков сбили 7 немецких самолётов. Всего за время войны Герой Советского Союза Гулаев уничтожил 50 самолётов противника.</w:t>
      </w:r>
    </w:p>
    <w:p w14:paraId="454E5A0B" w14:textId="77777777" w:rsidR="00FE2608" w:rsidRPr="007224C3" w:rsidRDefault="00FE260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Юго-восточнее города Станислав рота пехоты и 6 танков противника пытались разведать наши позиции. Впереди вражеских разведчиков двигались 7 танкеток-торпед, начинённых взрывчатыми материалами. Метким огнём бойцы Н-ского подразделения рассеяли немецких разведчиков. Все немецкие танкетки-торпеды подорвались на нашем минном поле.</w:t>
      </w:r>
    </w:p>
    <w:p w14:paraId="69E14025" w14:textId="77777777" w:rsidR="00FE2608" w:rsidRPr="007224C3" w:rsidRDefault="00FE260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Юго-восточнее города Витебск группа бойцов под командованием лейтенанта Кузнецова провела успешную разведку обороны противника. Под прикрытием артиллерийского и миномётного огня наши бойцы ворвались в немецкие траншеи. В рукопашной схватке уничтожено 40 гитлеровцев. Захватив пленного и трофеи, разведчики вернулись в свою часть.</w:t>
      </w:r>
    </w:p>
    <w:p w14:paraId="0166B7B8" w14:textId="77777777" w:rsidR="00FE2608" w:rsidRPr="007224C3" w:rsidRDefault="00FE260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Группа немецких самолётов в составе 30 бомбардировщиков и нескольких истребителей пыталась произвести налёт на наши военные объекты в Нарвском заливе. Советские истребители рассеяли самолёты противника и не допустили их к цели. В воздушных боях сбито 5 немецких самолётов.</w:t>
      </w:r>
    </w:p>
    <w:p w14:paraId="5CA2AD03" w14:textId="77777777" w:rsidR="00FE2608" w:rsidRPr="007224C3" w:rsidRDefault="00FE260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Партизанский отряд имени Котовского, действующий в Львовской области, за две недели пустил под откос 8 воинских эшелонов противника. За это же время партизаны уничтожили два немецких танка, 4 грузовые машины с боеприпасами, 5 повозок и истребили 30 гитлеровцев. Группа партизан из отряда, действующего в Станиславской области, 14 мая пулемётным огнём обстреляла следовавшее по шоссе подразделение противника. Убито и ранено 28 немецко-фашистских оккупантов.</w:t>
      </w:r>
    </w:p>
    <w:p w14:paraId="67D43B82" w14:textId="77777777" w:rsidR="00FE2608" w:rsidRPr="007224C3" w:rsidRDefault="00FE2608"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Перешедший на сторону Красной Армии немецкий обер-лейтенант Вильгельм Л. рассказал: «В первые годы войны немецкие офицеры и солдаты с нетерпением ожидали наступления весны. С ней мы связывали надежды на скорую и успешную развязку войны на Востоке. На весну нынешнего года, как и на дето, мы уже не возлагаем никаких надежд. Офицеры с тревогой думают о завтрашнем дне. Теперь уже многие убедились в том, что, начав войну против России, Гитлер толкнул немецкую армию в пропасть. Теперь нет даже надежды закончить войну «вничью». В России немецкая армия потеряла свои главные и лучшие силы. Чтобы восполнить эти потери, нужны многие годы. В прошлом немецкие офицеры тешили себя надеждой, что второго фронта на Западе не будет. Сегодня стало очевидно, что скоро, очень скоро Германии придётся воевать и на Востоке и на Западе. В некоторых офицерских кругах часто говорят о том, что, может быть, удастся поссорить Россию с ее союзниками. Однако здравомыслящие и трезвые люди понимают, что эти расчёты построены на песке. Немецкая армия катится навстречу своей гибели» (14911).</w:t>
      </w:r>
    </w:p>
    <w:p w14:paraId="53FBD35A" w14:textId="77777777" w:rsidR="00FE2608" w:rsidRPr="007224C3" w:rsidRDefault="00FE2608" w:rsidP="007224C3">
      <w:pPr>
        <w:spacing w:after="0" w:line="240" w:lineRule="auto"/>
        <w:jc w:val="both"/>
        <w:rPr>
          <w:rFonts w:ascii="Times New Roman" w:hAnsi="Times New Roman"/>
          <w:color w:val="000000" w:themeColor="text1"/>
          <w:sz w:val="16"/>
          <w:szCs w:val="16"/>
        </w:rPr>
      </w:pPr>
    </w:p>
    <w:p w14:paraId="7EE7F77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3 июня 1944 немцы задумали массированный удар по узловым пунктам советской обороны, со</w:t>
      </w:r>
      <w:r w:rsidRPr="007224C3">
        <w:rPr>
          <w:rFonts w:ascii="Times New Roman" w:hAnsi="Times New Roman"/>
          <w:color w:val="000000" w:themeColor="text1"/>
          <w:sz w:val="16"/>
          <w:szCs w:val="16"/>
        </w:rPr>
        <w:softHyphen/>
        <w:t>брав для этого 290 бомбардировщиков и штурмо</w:t>
      </w:r>
      <w:r w:rsidRPr="007224C3">
        <w:rPr>
          <w:rFonts w:ascii="Times New Roman" w:hAnsi="Times New Roman"/>
          <w:color w:val="000000" w:themeColor="text1"/>
          <w:sz w:val="16"/>
          <w:szCs w:val="16"/>
        </w:rPr>
        <w:softHyphen/>
        <w:t>виков. Но приближающуюся армаду засекла радио</w:t>
      </w:r>
      <w:r w:rsidRPr="007224C3">
        <w:rPr>
          <w:rFonts w:ascii="Times New Roman" w:hAnsi="Times New Roman"/>
          <w:color w:val="000000" w:themeColor="text1"/>
          <w:sz w:val="16"/>
          <w:szCs w:val="16"/>
        </w:rPr>
        <w:softHyphen/>
        <w:t>локационная станция «Редут», недавно поступив</w:t>
      </w:r>
      <w:r w:rsidRPr="007224C3">
        <w:rPr>
          <w:rFonts w:ascii="Times New Roman" w:hAnsi="Times New Roman"/>
          <w:color w:val="000000" w:themeColor="text1"/>
          <w:sz w:val="16"/>
          <w:szCs w:val="16"/>
        </w:rPr>
        <w:softHyphen/>
        <w:t>шая на КП 4-го ИАК. Ее расчет выполнил наведение 29 групп истребителей Ла-5 из 302-й ИАД, которые не допустили противника до пози</w:t>
      </w:r>
      <w:r w:rsidRPr="007224C3">
        <w:rPr>
          <w:rFonts w:ascii="Times New Roman" w:hAnsi="Times New Roman"/>
          <w:color w:val="000000" w:themeColor="text1"/>
          <w:sz w:val="16"/>
          <w:szCs w:val="16"/>
        </w:rPr>
        <w:softHyphen/>
        <w:t>ций своих войск. Особо отличился 240-й ИАП, в ко</w:t>
      </w:r>
      <w:r w:rsidRPr="007224C3">
        <w:rPr>
          <w:rFonts w:ascii="Times New Roman" w:hAnsi="Times New Roman"/>
          <w:color w:val="000000" w:themeColor="text1"/>
          <w:sz w:val="16"/>
          <w:szCs w:val="16"/>
        </w:rPr>
        <w:softHyphen/>
        <w:t xml:space="preserve">тором воевал И.Н. Кожедуб. Приказом НКО от 02.07.1944 г. 302-я ИАД была преобразована в 14-ю ГИАД, а 240-й ИАП стал 178-м гвардейским (11123). Советские летчики смогли к 5 июня захватить господство в воздухе, что помогло остановить наступающего врага. На следующий день он был вынужден перебросить часть своей авиации на другие участки Восточного фронта и на </w:t>
      </w:r>
      <w:r w:rsidRPr="007224C3">
        <w:rPr>
          <w:rFonts w:ascii="Times New Roman" w:hAnsi="Times New Roman"/>
          <w:iCs/>
          <w:color w:val="000000" w:themeColor="text1"/>
          <w:sz w:val="16"/>
          <w:szCs w:val="16"/>
        </w:rPr>
        <w:t xml:space="preserve">запад, </w:t>
      </w:r>
      <w:r w:rsidRPr="007224C3">
        <w:rPr>
          <w:rFonts w:ascii="Times New Roman" w:hAnsi="Times New Roman"/>
          <w:color w:val="000000" w:themeColor="text1"/>
          <w:sz w:val="16"/>
          <w:szCs w:val="16"/>
        </w:rPr>
        <w:t>где началась высадка союзников в Нормандии.. (11123).</w:t>
      </w:r>
    </w:p>
    <w:p w14:paraId="240D6CE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218415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3-4 июня 1944 А.С.Шорников на С-47 перелетел из Бари в Югославию и вывез Тито со штабом, а также начальников британской, американской и советской миссий. Потом повторил (438,906).</w:t>
      </w:r>
    </w:p>
    <w:p w14:paraId="6790B6B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BEAF8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июня 1944 в составе 43 машин 1-й иап "Варшава" перебазировался на аэродром Гостомель под Киевом. В ходе непосредственной подготовки к боевым действиям 7 июня полк получил еще 15 Як-1, а в конце июля сдал такое же количество выработавших ресурс самолетов.</w:t>
      </w:r>
    </w:p>
    <w:p w14:paraId="6F616D9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 июля 1944 г. полк выполнил первое задание: пара "Яков" сопровождала Л и-2. Чтобы помочь составу "Варшавы" освоиться в боевой обстановке 22 июля к ним прибыли 10 советских летчиков из 233-го иап "Минск", которые вылетали на задания вместе с поляками. Первый боевой вылет состоялся 23 августа 1944 г. Для сопровождения и прикрытия двух штурмовиков Ил-2 из польского 3-го шап вылетели две пары 1-го и одна пара 233-го иап. К этому времени 1-й иап Архив Л. Угрюмова "Варшава" состоял из трех эскадрилий по 12 самолетов, трех машин управления полка и двух запасных. Всего 41 самолет Як-1.</w:t>
      </w:r>
    </w:p>
    <w:p w14:paraId="07B7257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процессе боевых действий польские летчики выполняли задания по прикрытию штурмовиков, атаке наземных целей, ведению воздушной разведки. В связи с малой активностью немецкой авиации полку "Варшава" практически не приходилось вести воздушных боев. Единственным сбитым Як-1 немецким самолетом был FW. 189 (отличился капитан М. Конечный). До 22 января 1945 г. (когда полк начал переучиваться на Як-9) на истребителях Як-1 было выполнено 620 боевых вылетов, в том числе: на прикрытие штурмовиков - 275, на разведку - 125, на прикрытие войск и переправ - 139, на фоторазведку (для этого на некоторых самолетах установили АФА-1М) - 54, на другие задания - 27 вылетов. Свои потери составили шесть машин, из которых одна сгорела в учебном полете при пожаре в воздухе, две были сбиты зенитной артиллерией, а остальные подбиты ею и разбиты при вынужденных посадках. Последний боевой вылет на Як-1 зафиксирован 3 мая 1945 г. К этому времени в полку оставалось 23 самолета такого типа. После войны они постепенно списывались по износу или сдавались в ремонтные части. Во второй половине 1946 г. часть из них возвратилась из ремонта, но вскоре их заменили новыми Як-9М и Як-9Т.</w:t>
      </w:r>
    </w:p>
    <w:p w14:paraId="1825CCD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Непродолжительное время Як-1 находился на вооружении других польских авиационных частей. В конце сентября - начале октября 1944 г. такие самолеты получили сформированные на основе советских 248-го и 246-го иап польские 9-й и 10-й иап (13 и 25 самолетов соответственно). Но меньше чем через месяц эти полки перевооружили самолетами Як-9. С января по май 1945 г. один Як-1 числился в управлении польского 1-го смешанного авиационного корпуса и до 24 машин находилось в составе 15-го отдельного зап, сформированного на базе советского 18-го утап. От 10 до 15 машин было в октябре 1945 г. в военном авиационном училище. С октября 1945 г. по февраль 1946 г. один Як-1 находился в 1-м смешанном утап, а в 1946 г. по одному Як-1 было в управлениях польских авиационных дивизий: 1-й бад, 2-й шад, 3-й над. 4-й сад. Один из списанных в январе 1946 г. самолетов Як-1 (№ 01189) несколько лет экспонировался в Музее Войска Польского (12048).</w:t>
      </w:r>
    </w:p>
    <w:p w14:paraId="7D30B9F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15BDCE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мая 1944 ВД батальон СС в 7 час. утра был высажен в Дарвре с заданием уничтожить штаб И.Б.Тито. В 10 час. И.Б.Т. оставили базу и за ним гнались до 3 июня 1944, когда он был вывезен на Ли-2 вместе с советскими и английскими советниками в Москву (2112).</w:t>
      </w:r>
    </w:p>
    <w:p w14:paraId="4C355F9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A19C2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июня 1944 в ходе беседы Гарримана с В.М.М. зашла речь о том, что американская норма укладки - 10 ярдов металлического покрытия в день, а украинские женщины делают 12 м (1261,24).</w:t>
      </w:r>
    </w:p>
    <w:p w14:paraId="70F0F5C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12FE62"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Жизнь и внутренняя политика:</w:t>
      </w:r>
    </w:p>
    <w:p w14:paraId="5EB5DCE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1E95C73"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июня 1944 в Литве фашисты сожгли деревню Пирчюпис вместе с 119 жителями (4962).</w:t>
      </w:r>
    </w:p>
    <w:p w14:paraId="708C4DEA"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195F54F"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00F0A67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B2E5FF2" w14:textId="77777777" w:rsidR="005A7F17" w:rsidRPr="007224C3" w:rsidRDefault="005A7F17"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3 июня</w:t>
      </w:r>
      <w:r w:rsidRPr="007224C3">
        <w:rPr>
          <w:rFonts w:ascii="Times New Roman" w:hAnsi="Times New Roman"/>
          <w:color w:val="000000" w:themeColor="text1"/>
          <w:sz w:val="16"/>
          <w:szCs w:val="16"/>
        </w:rPr>
        <w:t xml:space="preserve"> в 1944 году завершена постройка прототипа </w:t>
      </w:r>
      <w:hyperlink r:id="rId161" w:tgtFrame="_blank" w:history="1">
        <w:r w:rsidRPr="007224C3">
          <w:rPr>
            <w:rFonts w:ascii="Times New Roman" w:hAnsi="Times New Roman"/>
            <w:color w:val="000000" w:themeColor="text1"/>
            <w:sz w:val="16"/>
            <w:szCs w:val="16"/>
          </w:rPr>
          <w:t xml:space="preserve">«ХР-80А» </w:t>
        </w:r>
      </w:hyperlink>
      <w:r w:rsidRPr="007224C3">
        <w:rPr>
          <w:rFonts w:ascii="Times New Roman" w:hAnsi="Times New Roman"/>
          <w:color w:val="000000" w:themeColor="text1"/>
          <w:sz w:val="16"/>
          <w:szCs w:val="16"/>
        </w:rPr>
        <w:t>американского истребителя-бомбардировщика «F-80A» «Shooting Star». Окрашенный серой краской, он получил собственное имя "Серое привидение". Самолет был доставлен на Мюрок через 138 дней после официального одобрения начала работ. Впервые «ХР-80А» № 44-83021 был поднят в воздух 10 июня 1944 года под управлением Тони Левьера (14911).</w:t>
      </w:r>
    </w:p>
    <w:p w14:paraId="2D239C69" w14:textId="77777777" w:rsidR="005A7F17" w:rsidRPr="007224C3" w:rsidRDefault="005A7F17" w:rsidP="007224C3">
      <w:pPr>
        <w:spacing w:after="0" w:line="240" w:lineRule="auto"/>
        <w:jc w:val="both"/>
        <w:rPr>
          <w:rFonts w:ascii="Times New Roman" w:hAnsi="Times New Roman"/>
          <w:color w:val="000000" w:themeColor="text1"/>
          <w:sz w:val="16"/>
          <w:szCs w:val="16"/>
        </w:rPr>
      </w:pPr>
    </w:p>
    <w:p w14:paraId="4A3430C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June 3rd, 1944: In Italy, German forces withdraw from Rome which has been declared an 'open city' (3819).</w:t>
      </w:r>
    </w:p>
    <w:p w14:paraId="4F407FE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87779D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июня 1944 немецкие войска были выведены из Рима и он был объявлен открытым городом (3819).</w:t>
      </w:r>
    </w:p>
    <w:p w14:paraId="1A8AEEE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7D5BA7" w14:textId="77777777" w:rsidR="00781F94" w:rsidRPr="007224C3" w:rsidRDefault="00781F94"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3–4 июня (ночь) 1944 100 британских бомбардировщиков уничтожили немецкую радиостанцию Ферме д'Юрвиль, Франция, при этом ни одного самолета не было потеряно (20373).</w:t>
      </w:r>
    </w:p>
    <w:p w14:paraId="13320CE2" w14:textId="77777777" w:rsidR="00781F94" w:rsidRPr="007224C3" w:rsidRDefault="00781F94" w:rsidP="007224C3">
      <w:pPr>
        <w:spacing w:after="0" w:line="240" w:lineRule="auto"/>
        <w:jc w:val="both"/>
        <w:rPr>
          <w:rFonts w:ascii="Times New Roman" w:hAnsi="Times New Roman"/>
          <w:color w:val="0070C0"/>
          <w:sz w:val="16"/>
          <w:szCs w:val="16"/>
        </w:rPr>
      </w:pPr>
    </w:p>
    <w:p w14:paraId="0224ED48" w14:textId="77777777" w:rsidR="00781F94" w:rsidRPr="007224C3" w:rsidRDefault="00781F94"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3–4 июня (ночь) 1944 135 британских бомбардировщиков совершают точные атаки на немецкие объекты береговой артиллерии в Па-де-Кале и Вимерё без потерь для себя (20373).</w:t>
      </w:r>
    </w:p>
    <w:p w14:paraId="5DAF98F4" w14:textId="77777777" w:rsidR="00781F94" w:rsidRPr="007224C3" w:rsidRDefault="00781F94" w:rsidP="007224C3">
      <w:pPr>
        <w:spacing w:after="0" w:line="240" w:lineRule="auto"/>
        <w:jc w:val="both"/>
        <w:rPr>
          <w:rFonts w:ascii="Times New Roman" w:hAnsi="Times New Roman"/>
          <w:color w:val="0070C0"/>
          <w:sz w:val="16"/>
          <w:szCs w:val="16"/>
        </w:rPr>
      </w:pPr>
    </w:p>
    <w:p w14:paraId="7E7A3F55" w14:textId="77777777" w:rsidR="00781F94" w:rsidRPr="007224C3" w:rsidRDefault="00781F94"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3 июня 1944 воздушные атаки в поддержку предстоящих высадок американских десантников на Марианских островах начинаются с налета наземных самолетов юго-западной части Тихого океана на Палау (20373).</w:t>
      </w:r>
    </w:p>
    <w:p w14:paraId="32DC88B4" w14:textId="77777777" w:rsidR="00781F94" w:rsidRPr="007224C3" w:rsidRDefault="00781F94" w:rsidP="007224C3">
      <w:pPr>
        <w:spacing w:after="0" w:line="240" w:lineRule="auto"/>
        <w:jc w:val="both"/>
        <w:rPr>
          <w:rFonts w:ascii="Times New Roman" w:hAnsi="Times New Roman"/>
          <w:color w:val="0070C0"/>
          <w:sz w:val="16"/>
          <w:szCs w:val="16"/>
        </w:rPr>
      </w:pPr>
    </w:p>
    <w:p w14:paraId="51753FB9" w14:textId="77777777" w:rsidR="00781F94" w:rsidRPr="007224C3" w:rsidRDefault="00781F94"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3 июня 1944 41 японский самолет атаковал американские десантные войска у побережья Биака, потеряв 11 из них, не причинив серьезного ущерба (20373).</w:t>
      </w:r>
    </w:p>
    <w:p w14:paraId="1A1A9059" w14:textId="77777777" w:rsidR="00781F94" w:rsidRPr="007224C3" w:rsidRDefault="00781F94" w:rsidP="007224C3">
      <w:pPr>
        <w:spacing w:after="0" w:line="240" w:lineRule="auto"/>
        <w:jc w:val="both"/>
        <w:rPr>
          <w:rFonts w:ascii="Times New Roman" w:hAnsi="Times New Roman"/>
          <w:color w:val="0070C0"/>
          <w:sz w:val="16"/>
          <w:szCs w:val="16"/>
        </w:rPr>
      </w:pPr>
    </w:p>
    <w:p w14:paraId="02E9CA47" w14:textId="77777777" w:rsidR="00781F94" w:rsidRPr="007224C3" w:rsidRDefault="00781F94"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3 - 4 июня 1944 японские самолеты атакуют оперативную группу союзников, состоящую из крейсеров и эсминцев, когда она приближается к Биаку, но наносят лишь небольшой урон. Еще четверо за ночь наносят торпедный удар, но промахиваются (20373).</w:t>
      </w:r>
    </w:p>
    <w:p w14:paraId="5E01C5A1" w14:textId="77777777" w:rsidR="00781F94" w:rsidRPr="007224C3" w:rsidRDefault="00781F94" w:rsidP="007224C3">
      <w:pPr>
        <w:spacing w:after="0" w:line="240" w:lineRule="auto"/>
        <w:jc w:val="both"/>
        <w:rPr>
          <w:rFonts w:ascii="Times New Roman" w:hAnsi="Times New Roman"/>
          <w:color w:val="0070C0"/>
          <w:sz w:val="16"/>
          <w:szCs w:val="16"/>
        </w:rPr>
      </w:pPr>
    </w:p>
    <w:p w14:paraId="5EFCB34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июня 1944 Французский комитет национального освобождения а Алжире провозгласил себя Временным правительством Французской Республики (3907,249).</w:t>
      </w:r>
    </w:p>
    <w:p w14:paraId="1F76283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F2CBFC"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078846E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21418C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июня 1944 Зам НКХП А.Касаткин писал письмо № К1852 Зам. НКАП т. П.В.Дементьеву</w:t>
      </w:r>
    </w:p>
    <w:p w14:paraId="280676F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Ваш № Н-38/2425 от 13 мая 1944 г.</w:t>
      </w:r>
    </w:p>
    <w:p w14:paraId="1B0F775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соответствии с § 5 технических условий 1944 г. на прозрачную авиаброню чертежи для изготовления и приемки комплектов авиаброни должны быть подписаны Главным конструктором самолета, согласованы с 1-м Главным Управлением НКХП, утверждены 12-м Главным Управлением НКАП и ГУЗ ВВС КА.</w:t>
      </w:r>
    </w:p>
    <w:p w14:paraId="3B621D9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Вашем письме № Д-2/517 ст 25/11-44 г., 1-м Главным Управлением НКХП действительно были получены для согласования в 2-х экземплярах чертежи бронестекол для самолетов ЯК-1 и Ла-5. В письме также было упомянуто, что чертежи на бронестекла для самолета ИЛ-2, действовавшие в 1943 года пролонгированы на 1944 год.</w:t>
      </w:r>
    </w:p>
    <w:p w14:paraId="3E172E8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Однако, вследствие, изменения технологии производства авиаброни на протяжении 1943 г. и отсутствия необходимых допусков на старых чертежах, последние /в том числе и прис</w:t>
      </w:r>
      <w:r w:rsidRPr="007224C3">
        <w:rPr>
          <w:rFonts w:ascii="Times New Roman" w:hAnsi="Times New Roman"/>
          <w:color w:val="000000" w:themeColor="text1"/>
          <w:sz w:val="16"/>
          <w:szCs w:val="16"/>
        </w:rPr>
        <w:softHyphen/>
        <w:t>ные для согласования чертежи брони ЯК-1 и Ла-5/ требовали внесения кероектив.</w:t>
      </w:r>
    </w:p>
    <w:p w14:paraId="1A60119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и марте чертежи были просмотрены совместно Главным Управлением НИИ и ГУЗ ВВС КА и разработаны были коррективы, с необходимостью внесения которых согласились и ГУЗ ВВС КА. Однако, до сего времени эти измения не сформлены и утверждениня чертежей НКХП не получены тогда, как переговоры по этому вопросу ведутся с февраля месяца с/г.</w:t>
      </w:r>
    </w:p>
    <w:p w14:paraId="728F719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Вторично прошу Вас обязать 12-е Гл. Упразление НКАП в кратчайший срок представить Наркомхимпрому чертежи прозрачной авиаброни, утвержденные ГУЗ ВВС КА в количестве не менее 5 экземпляров.</w:t>
      </w:r>
    </w:p>
    <w:p w14:paraId="0405C6B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Отсутствие окончательно отработанных чертежей авиаброни сдерживает составление чертежей на стекло "сталинит" и введение в действие технических условий 1944 года (10532).</w:t>
      </w:r>
    </w:p>
    <w:p w14:paraId="6CA4FC9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07A5FA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июня 1944 в Ступино Нач. парашютно-десантной службы м А.С.Гамрекегашвили сделал подряд 94 прыжка с парашютом с привязного аэростата с высоты 250 м за 9:40 для испытания организма на выносливость (438,906).</w:t>
      </w:r>
    </w:p>
    <w:p w14:paraId="41B56CC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19FA15"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479BECE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3DBCAE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июня 1944 года на пермском заводе № 172 приступили к изготовлению первых экземпляров 100-мм пушки обр.1944 года БС-3 (11268).</w:t>
      </w:r>
    </w:p>
    <w:p w14:paraId="6205001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4E0BD2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июня 1944 вышло Распоряжение ГКО № 6000. О мерах по обеспечению кислородом производства корпусов тяжелых танков и артсамоходов на УЗТМ НКТП. РГАНИР, Фонд ГКО, д. 261, лл. 174-175 (11012).</w:t>
      </w:r>
    </w:p>
    <w:p w14:paraId="6CC582B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034A8E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июня 1944 вышло Распоряжение ГКО № 6001. Об уменьшении числа буровых бригад и количества бурового оборудования, перебрасываемых из Казахстан- и Молотовнефтикомбинатов в другие комбинаты. РГАНИР, Фонд ГКО, д. 261, лл. 176-177 (11012).</w:t>
      </w:r>
    </w:p>
    <w:p w14:paraId="2F41957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20EE7F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июня 1944 На головном ТЩ типа МТ-1 Петрозавода поднят флаг ВМФ СССР (построен за 10 мес.). Продолжалась постройка 22 БМО (10671).</w:t>
      </w:r>
    </w:p>
    <w:p w14:paraId="10E4E4D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82CC3BC"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285DDEC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438968B" w14:textId="77777777" w:rsidR="005A7F17" w:rsidRPr="007224C3" w:rsidRDefault="005A7F17"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4 июня</w:t>
      </w:r>
      <w:r w:rsidRPr="007224C3">
        <w:rPr>
          <w:rFonts w:ascii="Times New Roman" w:hAnsi="Times New Roman"/>
          <w:color w:val="000000" w:themeColor="text1"/>
          <w:sz w:val="16"/>
          <w:szCs w:val="16"/>
        </w:rPr>
        <w:t xml:space="preserve"> в 1944 году оперативная сводка Совинформбюро:</w:t>
      </w:r>
    </w:p>
    <w:p w14:paraId="79F41DF2" w14:textId="77777777" w:rsidR="005A7F17" w:rsidRPr="007224C3" w:rsidRDefault="005A7F1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4 июня в районе северо-западнее и севернее города Яссы наши войска успешно отбили все атаки крупных сил пехоты и танков противника и нанесли ему большие потери в живой силе и технике. За 3 июня в этом районе нашими войсками подбито и уничтожено 29 немецких танков. В воздушных боях и огнём зенитной артиллерии сбито 44 самолёта противника.</w:t>
      </w:r>
    </w:p>
    <w:p w14:paraId="252DC9BF" w14:textId="77777777" w:rsidR="005A7F17" w:rsidRPr="007224C3" w:rsidRDefault="005A7F1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 без перемен.</w:t>
      </w:r>
    </w:p>
    <w:p w14:paraId="68A16F8A" w14:textId="77777777" w:rsidR="005A7F17" w:rsidRPr="007224C3" w:rsidRDefault="005A7F1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3 июня на всех фронтах в воздушных боях и огнём зенитной артиллерии сбито 53 немецких самолёта.</w:t>
      </w:r>
    </w:p>
    <w:p w14:paraId="1440E218" w14:textId="77777777" w:rsidR="005A7F17" w:rsidRPr="007224C3" w:rsidRDefault="005A7F1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Северо-западнее и севернее города Яссы крупные силы танков и пехоты противника продолжали атаковать наши позиции. В ожесточённых боях, переходивших в рукопашные схватки, советские войска нанесли врагу тяжёлый урон. Бойцы Н-ской части в течение дня уничтожили до батальона гитлеровцев, подбили 9 танков и 3 бронетранспортёра. Другая наша часть успешно отбила четыре атаки противника, истребив при этом свыше 1.000 немцев.</w:t>
      </w:r>
    </w:p>
    <w:p w14:paraId="182E67D8" w14:textId="77777777" w:rsidR="005A7F17" w:rsidRPr="007224C3" w:rsidRDefault="005A7F1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огневые позиции орудийных расчётов сержантов Сингаевского и Сухарева двигалась большая группа танков противника. Наши артиллеристы меткими выстрелами выводили из строя один немецкий танк за другим. Отважные бойцы бились с противником до тех пор, пока не вышли из строя оба орудия. В итоге боя два артиллерийских расчёта подбили и сожгли 20 немецких танков.</w:t>
      </w:r>
    </w:p>
    <w:p w14:paraId="47529AFE" w14:textId="77777777" w:rsidR="005A7F17" w:rsidRPr="007224C3" w:rsidRDefault="005A7F1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Лётчики-истребители во главе со старшим лейтенантом Егоровым на самолётах «Аэрокобра» атаковали группу немецких бомбардировщиков. В завязавшемся воздушном бою старший лейтенант Егоров сбил 4 немецких самолёта, Герой Советского Союза капитан Кожедуб и капитан Евстигнеев уничтожили по одному самолёту противника.</w:t>
      </w:r>
    </w:p>
    <w:p w14:paraId="4710CDBA" w14:textId="77777777" w:rsidR="005A7F17" w:rsidRPr="007224C3" w:rsidRDefault="005A7F1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Северо-западнее города Новоржев пятнадцать советских разведчиков во главе с гвардии старшиной Озерницковским выполняли боевое задание. В нейтральной зоне наши бойцы встретились с немецкой разведкой. Советские разведчики залегли и пропустили противника. Двигаясь вслед за немцами, разведчики смелым броском атаковали их с тыла. В результате боя убит 31 немецкий солдат. Захвачено 12 пленных. Наша разведывательная группа потерь не имела.</w:t>
      </w:r>
    </w:p>
    <w:p w14:paraId="6AB12F09" w14:textId="77777777" w:rsidR="005A7F17" w:rsidRPr="007224C3" w:rsidRDefault="005A7F1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Юго-восточнее города Витебск наши отряды в одном населённом пункте освободили 8 тысяч мирных жителей, согнанных гитлеровцами в концентрационный лагерь. Голодные и измученные в фашистской неволе советские граждане — старики, женщины и дети — со слезами радости на глазах встретили воинов Красной Армии.</w:t>
      </w:r>
    </w:p>
    <w:p w14:paraId="2A665DA3" w14:textId="77777777" w:rsidR="005A7F17" w:rsidRPr="007224C3" w:rsidRDefault="005A7F1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В Финском заливе наш самолёт-торпедоносец атаковал крупный немецкий транспорт. Лётчик старший лейтенант Большаков прямым попаданием торпеды потопил транспорт противника.</w:t>
      </w:r>
    </w:p>
    <w:p w14:paraId="3423093D" w14:textId="77777777" w:rsidR="005A7F17" w:rsidRPr="007224C3" w:rsidRDefault="005A7F1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Партизанский отряд, действующий в Волынской области, атаковал немецкое подразделение. В двухчасовом бою партизаны уничтожили 60 вражеских солдат и офицеров и взорвали 8 грузовых автомашин. Отряд партизан, действующий в Станиславской области, пустил под откос два немецких воинских эшелона. Разбиты два паровоза и 30 платформ с автомашинами. Немецкая охрана поездов уничтожена. Движение поездов на этом участке железной дороги было прервано на трое суток.</w:t>
      </w:r>
    </w:p>
    <w:p w14:paraId="3F262687" w14:textId="77777777" w:rsidR="005A7F17" w:rsidRPr="007224C3" w:rsidRDefault="005A7F1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2-м Украинском фронте на сторону Красной Армии перешли 14 солдат 1 румынской дивизии. Перебежчик Ион Т. рассказал: «С тех пор, как немцы вступили на нашу территорию, Румыния фактически стала германской колонией. Еще, будучи в тылу, я понял, что мы должны бороться не с русскими, а вместе с ними против немцев. В начале мая, когда меня послали на фронт, в пути я убеждал солдат моего отделения сдаться в плен русским. Пробыв несколько недель на передовых позициях, мы, наконец, наметили план перехода. В условленный день и час собралась вся группа. Вдруг неожиданно появился помощник командира взвода Виктор Вынке. Я заявил ему о нашем намерении и пригласил его пойти с нами. Он осыпал меня бранью, схватил автомат и начал угрожать расправой. Тогда один из солдат очередью из пулемёта уложил Вынке. Расправившись с предателем, мы захватили три пулемёта, винтовки, патроны и ушли к русским. Мы готовы сделать всё возможное, чтобы ускорить изгнание немцев из Румынии». В другом районе сдалась в плен группа солдат 14 румынской пехотной дивизии. Перебежчик солдат Василе С. сообщил: «Два месяца тому назад я дезертировал из части. В лесу я встретил старшего лейтенанта и сержанта. Вскоре к нам присоединились ещё четыре солдата. В середине мая сержант убил одного немецкого майора. Немцы подняли всех на ноги, но не могли напасть на наш след. Мы благополучно достигли русских позиций и сдались в плен» (14912).</w:t>
      </w:r>
    </w:p>
    <w:p w14:paraId="35A0D9D1" w14:textId="77777777" w:rsidR="005A7F17" w:rsidRPr="007224C3" w:rsidRDefault="005A7F17" w:rsidP="007224C3">
      <w:pPr>
        <w:spacing w:after="0" w:line="240" w:lineRule="auto"/>
        <w:jc w:val="both"/>
        <w:rPr>
          <w:rFonts w:ascii="Times New Roman" w:hAnsi="Times New Roman"/>
          <w:color w:val="000000" w:themeColor="text1"/>
          <w:sz w:val="16"/>
          <w:szCs w:val="16"/>
        </w:rPr>
      </w:pPr>
    </w:p>
    <w:p w14:paraId="76D0F96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июня 1944 экипаж А.С.Шорникова вывез на С-47 из района окруженного немцами города Дрвар Верховный штаб во главе с маршалом Тито (3457,135).</w:t>
      </w:r>
    </w:p>
    <w:p w14:paraId="49FD7D8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C6517B" w14:textId="77777777" w:rsidR="005A7F17" w:rsidRPr="007224C3" w:rsidRDefault="005A7F17"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4 июня</w:t>
      </w:r>
      <w:r w:rsidRPr="007224C3">
        <w:rPr>
          <w:rFonts w:ascii="Times New Roman" w:hAnsi="Times New Roman"/>
          <w:color w:val="000000" w:themeColor="text1"/>
          <w:sz w:val="16"/>
          <w:szCs w:val="16"/>
        </w:rPr>
        <w:t xml:space="preserve"> в 1944 году экипаж А.С.Шорникова на </w:t>
      </w:r>
      <w:hyperlink r:id="rId162" w:tgtFrame="_blank" w:history="1">
        <w:r w:rsidRPr="007224C3">
          <w:rPr>
            <w:rFonts w:ascii="Times New Roman" w:hAnsi="Times New Roman"/>
            <w:color w:val="000000" w:themeColor="text1"/>
            <w:sz w:val="16"/>
            <w:szCs w:val="16"/>
          </w:rPr>
          <w:t xml:space="preserve">«С-47» </w:t>
        </w:r>
      </w:hyperlink>
      <w:r w:rsidRPr="007224C3">
        <w:rPr>
          <w:rFonts w:ascii="Times New Roman" w:hAnsi="Times New Roman"/>
          <w:color w:val="000000" w:themeColor="text1"/>
          <w:sz w:val="16"/>
          <w:szCs w:val="16"/>
        </w:rPr>
        <w:t>вывез из района окруженного немцами города Дрвар Верховный штаб во главе с маршалом Тито. Летом 1944 г. двенадцать «С-47» перелетели с территории СССР в итальянский город Бари. Оттуда начала действовать авиагруппа под командованием генерал-майора В.И.Щелкунова. Ее самолеты обеспечивали боевую деятельность Народно-освободительной армии Югославии:туда везли боеприпасы, оружие, медикаменты, обратно - раненых. Из Советского Союза в Бари транспортники доставили четыре разобранных «У-2» - их потом передали югославам (14912).</w:t>
      </w:r>
    </w:p>
    <w:p w14:paraId="7F30AB8E" w14:textId="77777777" w:rsidR="005A7F17" w:rsidRPr="007224C3" w:rsidRDefault="005A7F17" w:rsidP="007224C3">
      <w:pPr>
        <w:spacing w:after="0" w:line="240" w:lineRule="auto"/>
        <w:jc w:val="both"/>
        <w:rPr>
          <w:rFonts w:ascii="Times New Roman" w:hAnsi="Times New Roman"/>
          <w:color w:val="000000" w:themeColor="text1"/>
          <w:sz w:val="16"/>
          <w:szCs w:val="16"/>
        </w:rPr>
      </w:pPr>
    </w:p>
    <w:p w14:paraId="0932588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июня 1944 года первые четыре PBN-1 сели в губе Грязной. На одном из самолетов в конце полета кончился спирт в бачках антиобледенителей. Скрепя сердце пришлось слить туда виски и ром, выданные на дорогу (3457,127).</w:t>
      </w:r>
    </w:p>
    <w:p w14:paraId="6B7BFDB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C0AC2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июня 1944 вышло Постановление ГКО № 6002 Об организации шести Суворовских военных училищ. РГАНИР, Фонд ГКО, д. 261, лл. 178-179 (11012).</w:t>
      </w:r>
    </w:p>
    <w:p w14:paraId="1097F0E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001F7B5"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5688A52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334D788"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июня 1944 войска союзников взяли Рим (4962).</w:t>
      </w:r>
    </w:p>
    <w:p w14:paraId="2D3D5ABE"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5CEF8C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4 June 1944 Allied liberation of Rome (270).</w:t>
      </w:r>
    </w:p>
    <w:p w14:paraId="102B98C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390EEF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июня 1944 союзники освободили Рим (270).</w:t>
      </w:r>
    </w:p>
    <w:p w14:paraId="1A2D8B4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44BFCA" w14:textId="77777777" w:rsidR="00A609E4" w:rsidRPr="007224C3" w:rsidRDefault="00A609E4"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4 июня</w:t>
      </w:r>
      <w:r w:rsidRPr="007224C3">
        <w:rPr>
          <w:rFonts w:ascii="Times New Roman" w:hAnsi="Times New Roman"/>
          <w:color w:val="000000" w:themeColor="text1"/>
          <w:sz w:val="16"/>
          <w:szCs w:val="16"/>
        </w:rPr>
        <w:t xml:space="preserve"> в 1944 году союзные войска вступили в столицу Италии — Рим, покинутый германскими войсками, которые организованно отступили за Тибр. Первоначальные англо-американские планы кампании на итальянском фронте в 1944 году предусматривали взятие Рима еще в январе (14912).</w:t>
      </w:r>
    </w:p>
    <w:p w14:paraId="487E8D89" w14:textId="77777777" w:rsidR="00A609E4" w:rsidRPr="007224C3" w:rsidRDefault="00A609E4" w:rsidP="007224C3">
      <w:pPr>
        <w:spacing w:after="0" w:line="240" w:lineRule="auto"/>
        <w:jc w:val="both"/>
        <w:rPr>
          <w:rFonts w:ascii="Times New Roman" w:hAnsi="Times New Roman"/>
          <w:color w:val="000000" w:themeColor="text1"/>
          <w:sz w:val="16"/>
          <w:szCs w:val="16"/>
        </w:rPr>
      </w:pPr>
    </w:p>
    <w:p w14:paraId="017FEB5A" w14:textId="77777777" w:rsidR="00781F94" w:rsidRPr="007224C3" w:rsidRDefault="00781F94"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4–5 июня (ночь) 1944 259 британских бомбардировщиков совершают налет на три немецкие береговые артиллерийские позиции в Па-де-Кале и одну на Мези в Нормандии в целях прямой поддержки неминуемого вторжения. Рейду Мези и двум из них в Па-де-Кале мешает облачный покров, но атака на огневую позицию в Кале точна. Все бомбардировщики благополучно возвращаются (20373).</w:t>
      </w:r>
    </w:p>
    <w:p w14:paraId="237487FB" w14:textId="77777777" w:rsidR="00781F94" w:rsidRPr="007224C3" w:rsidRDefault="00781F94" w:rsidP="007224C3">
      <w:pPr>
        <w:spacing w:after="0" w:line="240" w:lineRule="auto"/>
        <w:jc w:val="both"/>
        <w:rPr>
          <w:rFonts w:ascii="Times New Roman" w:hAnsi="Times New Roman"/>
          <w:color w:val="0070C0"/>
          <w:sz w:val="16"/>
          <w:szCs w:val="16"/>
        </w:rPr>
      </w:pPr>
    </w:p>
    <w:p w14:paraId="3A08A2DA"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июня 1944 союзниками впервые захвачена немецкая подводная лодка (4962).</w:t>
      </w:r>
    </w:p>
    <w:p w14:paraId="785C561D"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9609D5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June 4th, 1944: The US Fifth Army (Clark) enters Rome. U-505, patroling off Cape Blanco on the West African coast is forced to the surface by depth-charges from the US destroyer escort Chatelain, captured intact and towed to Bermuda by the escort carrier Guadalcanal (3819).</w:t>
      </w:r>
    </w:p>
    <w:p w14:paraId="5A80970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22EB68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июня 1944 американцы захватили первую немецкую подводную лодку - U-505 (2100).</w:t>
      </w:r>
    </w:p>
    <w:p w14:paraId="251CD10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8BC2AC" w14:textId="77777777" w:rsidR="00A609E4" w:rsidRPr="007224C3" w:rsidRDefault="00A609E4"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4 июня</w:t>
      </w:r>
      <w:r w:rsidRPr="007224C3">
        <w:rPr>
          <w:rFonts w:ascii="Times New Roman" w:hAnsi="Times New Roman"/>
          <w:color w:val="000000" w:themeColor="text1"/>
          <w:sz w:val="16"/>
          <w:szCs w:val="16"/>
        </w:rPr>
        <w:t xml:space="preserve"> в 1944 году Захват немецкой подводной лодки «U-505» кораблями и самолетами оперативно-тактической группы ВМС США во главе с авианосецем «Guadalcanal» (14912).</w:t>
      </w:r>
    </w:p>
    <w:p w14:paraId="55B8251D" w14:textId="77777777" w:rsidR="00A609E4" w:rsidRPr="007224C3" w:rsidRDefault="00A609E4" w:rsidP="007224C3">
      <w:pPr>
        <w:spacing w:after="0" w:line="240" w:lineRule="auto"/>
        <w:jc w:val="both"/>
        <w:rPr>
          <w:rFonts w:ascii="Times New Roman" w:hAnsi="Times New Roman"/>
          <w:color w:val="000000" w:themeColor="text1"/>
          <w:sz w:val="16"/>
          <w:szCs w:val="16"/>
        </w:rPr>
      </w:pPr>
    </w:p>
    <w:p w14:paraId="1474A134" w14:textId="77777777" w:rsidR="00A609E4" w:rsidRPr="007224C3" w:rsidRDefault="00A609E4"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4 июня</w:t>
      </w:r>
      <w:r w:rsidRPr="007224C3">
        <w:rPr>
          <w:rFonts w:ascii="Times New Roman" w:hAnsi="Times New Roman"/>
          <w:color w:val="000000" w:themeColor="text1"/>
          <w:sz w:val="16"/>
          <w:szCs w:val="16"/>
        </w:rPr>
        <w:t xml:space="preserve"> в 1944 году Иосип Броз Тито и другие руководители партизанского движения в Югославии переброшены советскими самолетами из Югославии в Бари (14912).</w:t>
      </w:r>
    </w:p>
    <w:p w14:paraId="59590F4C" w14:textId="77777777" w:rsidR="00A609E4" w:rsidRPr="007224C3" w:rsidRDefault="00A609E4" w:rsidP="007224C3">
      <w:pPr>
        <w:spacing w:after="0" w:line="240" w:lineRule="auto"/>
        <w:jc w:val="both"/>
        <w:rPr>
          <w:rFonts w:ascii="Times New Roman" w:hAnsi="Times New Roman"/>
          <w:color w:val="000000" w:themeColor="text1"/>
          <w:sz w:val="16"/>
          <w:szCs w:val="16"/>
        </w:rPr>
      </w:pPr>
    </w:p>
    <w:p w14:paraId="48ACB46B" w14:textId="77777777" w:rsidR="00A609E4" w:rsidRPr="007224C3" w:rsidRDefault="00A609E4"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4 июня</w:t>
      </w:r>
      <w:r w:rsidRPr="007224C3">
        <w:rPr>
          <w:rFonts w:ascii="Times New Roman" w:hAnsi="Times New Roman"/>
          <w:color w:val="000000" w:themeColor="text1"/>
          <w:sz w:val="16"/>
          <w:szCs w:val="16"/>
        </w:rPr>
        <w:t xml:space="preserve"> в 1944 году французский генерал Де Голль прибывает в Лондон (14912).</w:t>
      </w:r>
    </w:p>
    <w:p w14:paraId="24925699" w14:textId="77777777" w:rsidR="00A609E4" w:rsidRPr="007224C3" w:rsidRDefault="00A609E4" w:rsidP="007224C3">
      <w:pPr>
        <w:spacing w:after="0" w:line="240" w:lineRule="auto"/>
        <w:jc w:val="both"/>
        <w:rPr>
          <w:rFonts w:ascii="Times New Roman" w:hAnsi="Times New Roman"/>
          <w:color w:val="000000" w:themeColor="text1"/>
          <w:sz w:val="16"/>
          <w:szCs w:val="16"/>
        </w:rPr>
      </w:pPr>
    </w:p>
    <w:p w14:paraId="1D10EA60" w14:textId="77777777" w:rsidR="00A609E4" w:rsidRPr="007224C3" w:rsidRDefault="00A609E4"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4 июня</w:t>
      </w:r>
      <w:r w:rsidRPr="007224C3">
        <w:rPr>
          <w:rFonts w:ascii="Times New Roman" w:hAnsi="Times New Roman"/>
          <w:color w:val="000000" w:themeColor="text1"/>
          <w:sz w:val="16"/>
          <w:szCs w:val="16"/>
        </w:rPr>
        <w:t xml:space="preserve"> в 1944 году во время учебных торпедных стрельб вблизи Перл Харбора погибла американская подводная лодка «S-28». В 17.30 «S-28» погрузилась для выхода в атаку на сторожевой катер «Рилайенс». В 18.20, находясь па расстоянии около 23 кабельтовых от подводной лодки, катер потерял с ней гидролокационный контакт. После безуспешных попыток восстановить контакт была объявлена тревога, а затем развернуты поиски пропавшей лодки. На вторые сутки в полдень на поверхности моря обнаружили масляное пятно. Так как глубина океана в этом районе составляла 2600 м, спасательные операции были бессмысленны. Комиссия, расследовавшая катастрофу, к определенным выводам о ее причинах прийти не смогла. В ее заключении констатировалось лишь, что сообщения об аварии (по звукоподводной связи) с борта «S-28» не поступало, а акустики «Рилайенса» не зафиксировали подводного взрыва (14912).</w:t>
      </w:r>
    </w:p>
    <w:p w14:paraId="2CFC2098" w14:textId="77777777" w:rsidR="00A609E4" w:rsidRPr="007224C3" w:rsidRDefault="00A609E4" w:rsidP="007224C3">
      <w:pPr>
        <w:spacing w:after="0" w:line="240" w:lineRule="auto"/>
        <w:jc w:val="both"/>
        <w:rPr>
          <w:rFonts w:ascii="Times New Roman" w:hAnsi="Times New Roman"/>
          <w:color w:val="000000" w:themeColor="text1"/>
          <w:sz w:val="16"/>
          <w:szCs w:val="16"/>
        </w:rPr>
      </w:pPr>
    </w:p>
    <w:p w14:paraId="5F7B3824"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15259D8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F187BA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июня 1944 года директор ОКБ-15 НКВ Шпитальный писал письмо N 382с Шахурину.</w:t>
      </w:r>
    </w:p>
    <w:p w14:paraId="494CF0C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Универсальная облегченная 20 мм пушка ОКБ-15 идущая под литером "Ш-20" прошла положенные государственные испытания как на земле, так и в воздухе в вариантах: турельном, моторном и синхронном на самолетах ИЛ-10 и ЯК-9Т.</w:t>
      </w:r>
    </w:p>
    <w:p w14:paraId="27BD580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Ввиду того, что отдельные работники Наркомата вооружения желают убедиться в полной универсальности пушки "Ш-20", прошу Ваших указаний заводу N 381, в Москве, об установке двух пушек "Ш-20" на один из самолетов системы Лавочкина. При нашей производственной помощи завод N 381, очевидно, успеет эту установку закончить в те же самые сроки, в какие он устанавливает и другие аналогичные системы (1821).</w:t>
      </w:r>
    </w:p>
    <w:p w14:paraId="25E71A0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DE405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июня 1944 года директор ОКБ-15 НКВ Шпитальный писал письмо N 381с Шахурину.</w:t>
      </w:r>
    </w:p>
    <w:p w14:paraId="4256C2C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Коллектив ОКБ-15 НКВ разработал, путем переделки пушки "Ш-20" - универсальную пушку калибра 23х20х14,5 мм под литером "Ш-23" со следующими ориентировочными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5106D0" w:rsidRPr="007224C3" w14:paraId="25FBD743" w14:textId="77777777">
        <w:tc>
          <w:tcPr>
            <w:tcW w:w="5636" w:type="dxa"/>
          </w:tcPr>
          <w:p w14:paraId="157B84E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калибр</w:t>
            </w:r>
          </w:p>
        </w:tc>
        <w:tc>
          <w:tcPr>
            <w:tcW w:w="5636" w:type="dxa"/>
          </w:tcPr>
          <w:p w14:paraId="3EA6F46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23х20х14,5</w:t>
            </w:r>
          </w:p>
        </w:tc>
      </w:tr>
      <w:tr w:rsidR="005106D0" w:rsidRPr="007224C3" w14:paraId="7ECBD720" w14:textId="77777777">
        <w:tc>
          <w:tcPr>
            <w:tcW w:w="5636" w:type="dxa"/>
          </w:tcPr>
          <w:p w14:paraId="497DDAC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w:t>
            </w:r>
          </w:p>
        </w:tc>
        <w:tc>
          <w:tcPr>
            <w:tcW w:w="5636" w:type="dxa"/>
          </w:tcPr>
          <w:p w14:paraId="7C3E583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28-28,5-29 кг</w:t>
            </w:r>
          </w:p>
        </w:tc>
      </w:tr>
      <w:tr w:rsidR="005106D0" w:rsidRPr="007224C3" w14:paraId="09D13FE6" w14:textId="77777777">
        <w:tc>
          <w:tcPr>
            <w:tcW w:w="5636" w:type="dxa"/>
          </w:tcPr>
          <w:p w14:paraId="6D08E50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темп стрельбы</w:t>
            </w:r>
          </w:p>
        </w:tc>
        <w:tc>
          <w:tcPr>
            <w:tcW w:w="5636" w:type="dxa"/>
          </w:tcPr>
          <w:p w14:paraId="094727D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800-850-1000 выстр/мин.</w:t>
            </w:r>
          </w:p>
        </w:tc>
      </w:tr>
    </w:tbl>
    <w:p w14:paraId="3B8D22A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Основная задача, которую решает ОКБ-15 в этой пушке, это возможность стрельбы через винт снарядом калибра 23 мм.</w:t>
      </w:r>
    </w:p>
    <w:p w14:paraId="3076970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установившимся взаимоотношениям, чертежи этой пушки мы в первую очередь посылаем Яковлеву, для его самолетов.</w:t>
      </w:r>
    </w:p>
    <w:p w14:paraId="508C391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Кроме самолетов Яковлева, эта пушка может быть применена для самолетов Лавочкина, для стрельбы через винт. Установка пушки "Ш-23" значительно повышает огневую мощь самолета Лавочкина, не увеличивая в то же время общего веса самолета.</w:t>
      </w:r>
    </w:p>
    <w:p w14:paraId="2E76E98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связи с вышеизложенным и на основании договоренности с Вами, прошу Вашего указания заводу N 381 об установке, совместно с ОКБ-15, двух пушек "Ш-23" на один из самолетов системы Лавочкина (1821).</w:t>
      </w:r>
    </w:p>
    <w:p w14:paraId="22E955B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89B1A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5 июня по 18 июля 1944 г. проходили государственные испытания в НИИ ВВС ПТАБ-10-2,5. Легко пробивала танковую броню толщиной до 160 мм при углах встречи до 30 и обеспечивала пробитие 40-мм брони, расположенной на расстоянии 500 мм от 20-мм бронево</w:t>
      </w:r>
      <w:r w:rsidRPr="007224C3">
        <w:rPr>
          <w:rFonts w:ascii="Times New Roman" w:hAnsi="Times New Roman"/>
          <w:color w:val="000000" w:themeColor="text1"/>
          <w:sz w:val="16"/>
          <w:szCs w:val="16"/>
        </w:rPr>
        <w:softHyphen/>
        <w:t>го экрана. К сожалению, в силу конструктивных недостатков как самой бомбы, так и бомбоотсеков штурмовиков Ил-2 ПТАБ-10-2,5 не была принята на вооружение ВВС КА как не выдержавшая вой</w:t>
      </w:r>
      <w:r w:rsidRPr="007224C3">
        <w:rPr>
          <w:rFonts w:ascii="Times New Roman" w:hAnsi="Times New Roman"/>
          <w:color w:val="000000" w:themeColor="text1"/>
          <w:sz w:val="16"/>
          <w:szCs w:val="16"/>
        </w:rPr>
        <w:softHyphen/>
        <w:t>сковых испытаний. В акте по войсковым испытаниям от 28 сен</w:t>
      </w:r>
      <w:r w:rsidRPr="007224C3">
        <w:rPr>
          <w:rFonts w:ascii="Times New Roman" w:hAnsi="Times New Roman"/>
          <w:color w:val="000000" w:themeColor="text1"/>
          <w:sz w:val="16"/>
          <w:szCs w:val="16"/>
        </w:rPr>
        <w:softHyphen/>
        <w:t>тября 1945 г. указывалось: «Для принятия окончательного реше</w:t>
      </w:r>
      <w:r w:rsidRPr="007224C3">
        <w:rPr>
          <w:rFonts w:ascii="Times New Roman" w:hAnsi="Times New Roman"/>
          <w:color w:val="000000" w:themeColor="text1"/>
          <w:sz w:val="16"/>
          <w:szCs w:val="16"/>
        </w:rPr>
        <w:softHyphen/>
        <w:t>ния по авиабомбам ПТАБ-10-2, 5, показавшим на испытаниях высокую эффективность, считать необходимым доработать кон</w:t>
      </w:r>
      <w:r w:rsidRPr="007224C3">
        <w:rPr>
          <w:rFonts w:ascii="Times New Roman" w:hAnsi="Times New Roman"/>
          <w:color w:val="000000" w:themeColor="text1"/>
          <w:sz w:val="16"/>
          <w:szCs w:val="16"/>
        </w:rPr>
        <w:softHyphen/>
        <w:t>струкцию ПТАБ-10-2,5 в части увеличения жесткости стабилиза</w:t>
      </w:r>
      <w:r w:rsidRPr="007224C3">
        <w:rPr>
          <w:rFonts w:ascii="Times New Roman" w:hAnsi="Times New Roman"/>
          <w:color w:val="000000" w:themeColor="text1"/>
          <w:sz w:val="16"/>
          <w:szCs w:val="16"/>
        </w:rPr>
        <w:softHyphen/>
        <w:t>тора и его крепления к корпусу бомбы». Дальнейшая доработка и совершенствование противотан</w:t>
      </w:r>
      <w:r w:rsidRPr="007224C3">
        <w:rPr>
          <w:rFonts w:ascii="Times New Roman" w:hAnsi="Times New Roman"/>
          <w:color w:val="000000" w:themeColor="text1"/>
          <w:sz w:val="16"/>
          <w:szCs w:val="16"/>
        </w:rPr>
        <w:softHyphen/>
        <w:t>ковых авиабомб этого типа привело к принятию на вооруже</w:t>
      </w:r>
      <w:r w:rsidRPr="007224C3">
        <w:rPr>
          <w:rFonts w:ascii="Times New Roman" w:hAnsi="Times New Roman"/>
          <w:color w:val="000000" w:themeColor="text1"/>
          <w:sz w:val="16"/>
          <w:szCs w:val="16"/>
        </w:rPr>
        <w:softHyphen/>
        <w:t>ние ВВС КА авиабомбы ПТАБ-2,5 (в габаритах 2,5 кг весом 2,5 кг). Но это было уже после войны (11474,360).</w:t>
      </w:r>
    </w:p>
    <w:p w14:paraId="7972518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AD8DE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5 июня по 6 июля 1944 проводились совместные испытания первого СДБ А.Н.Т. (4,180) - 63/1, а по другим данным - гос. испытания (2397,54).</w:t>
      </w:r>
    </w:p>
    <w:p w14:paraId="6A2A31E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CA753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июня 1944 начались Государственные испытания (ведущий летчик М.А. Нюхтиков) "СДБ" и заняли месяц. Хотя самолет и продемонстрировал высокую скорость (633 км/ч) и хорошую маневренность, испытания он не выдержал. Главные дефекты машины были связаны с плохой работой моторов и недостаточным запасом путевой устойчивости. Военные пожелали ввести в экипаж воздушного стрелка.</w:t>
      </w:r>
    </w:p>
    <w:p w14:paraId="44FEAAB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 мая 1944 года, через 10 дней после того, как  летчик- испытатель А.Д. Перелет выполнил первый полет, "СДБ" передали в НИИ ВВС.</w:t>
      </w:r>
    </w:p>
    <w:p w14:paraId="78E75D0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лету 1944 г. на опытном заводе № 156 из машины "103" был выполнен двухместный вариант СДБ. В декабре 1943 года командование ВВС предложило НКАП создать на базе машины "103" с двигателями АМ-37 скоростной дневной бомбардировщик СДБ (АНТ-63), но с моторами АМ-39.</w:t>
      </w:r>
    </w:p>
    <w:p w14:paraId="5EE8EB1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этом сохранилась компоновка предшественника. В угоду скорости его стрелковое вооружение ограничили лишь двумя неподвижными орудиями ШBAK в центроплане крыла с боезапасом по 150 патронов на ствол.</w:t>
      </w:r>
    </w:p>
    <w:p w14:paraId="28900D3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Особенностями второго экземпляра машины "63" по сравнению с предшественником был не только экипаж, возросший до трех человек (дополнительно ввели стрелка в задней кабине), но и створки шасси закрывавшиеся как при убранном, так и выпущенном положении основных опор. Управление винтами было секторное, а моторы имели Скоростной дневной дополнительные контуры для охлаждения бомбардировщик ("СДБ") воздуха после нагнетателя перед поступле- на заводских испытаниях нием в двигатель.</w:t>
      </w:r>
    </w:p>
    <w:p w14:paraId="395745A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Вооружение помимо двух неподвижных пушек ШВАК с общим боезапасом 300 патронов для стрельбы вперед включало и два пулемета Березина для защиты задней полусферы. Нормальная бомбовая нагрузка - 1000 кг (при полной заправке топливом исходя из прочности колес) в грузовом отсеке, максимально допустимая - 4000 кг.</w:t>
      </w:r>
    </w:p>
    <w:p w14:paraId="6418EA1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Первый полет на трехместном "СДБ" также выполнил А.Д. Перелет, и в декабре 1944 года машину передали на государственные испытания. 30 декабря 1944 года А. Кузнецов (должность в документе не указана) докладывал наркому А.И. Шахурину:</w:t>
      </w:r>
    </w:p>
    <w:p w14:paraId="2ADA6CC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СДБ с моторами АМ-39 является модификацией самолета "103" с АМ-37, построенного в 1941 г. Самолет испытан в НИИ ВВС в июле 1944 г.</w:t>
      </w:r>
    </w:p>
    <w:p w14:paraId="188C972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результате установлено:</w:t>
      </w:r>
    </w:p>
    <w:p w14:paraId="649003E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Путевая устойчивость недостаточна.</w:t>
      </w:r>
    </w:p>
    <w:p w14:paraId="03F32A2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На скорости менее 350 км/ч по прибору самолет неустойчив:</w:t>
      </w:r>
    </w:p>
    <w:p w14:paraId="22A52DE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продольная устойчивость недостаточная, во время выдерживания заданной скорости набора высоты имеют место переменные нагрузки на штурвале от руля высоты.</w:t>
      </w:r>
    </w:p>
    <w:p w14:paraId="35DFBE6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изменение нагрузок на штурвале от руля высоты сопровождается значительным рысканием и появляются переменные нагрузки на педали.</w:t>
      </w:r>
    </w:p>
    <w:p w14:paraId="639959E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Поперечная устойчивость относительно путевой избыточна. Самолет имеет тенденцию к раскачиванию с крыла на крыло.</w:t>
      </w:r>
    </w:p>
    <w:p w14:paraId="0D1BBC6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4. Управление рулем поворота слишком легкое, что может привести к передаче (большему отклонению педали - прим. авт.) ноги на виражах и разворотах. </w:t>
      </w:r>
    </w:p>
    <w:p w14:paraId="7C16A29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Автоматы управления заслонками во- дорадиаторов при работе создают значительный аэродинамический момент &lt;...&gt; и усложняют технику пилотирования.</w:t>
      </w:r>
    </w:p>
    <w:p w14:paraId="0B67598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Пневматические тормоза не эффективны.</w:t>
      </w:r>
    </w:p>
    <w:p w14:paraId="16E2B3E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Винто-моторная группа не доведенная и имеет те же дефекты, что и на самолете "ЮЗ" с АМ-37.</w:t>
      </w:r>
    </w:p>
    <w:p w14:paraId="121CD50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Длительная (1,5 часа) и неудобная заправка бензином.</w:t>
      </w:r>
    </w:p>
    <w:p w14:paraId="7724354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Попадание в кабину летчика горячего воздуха.</w:t>
      </w:r>
    </w:p>
    <w:p w14:paraId="431D655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Габариты кабины по высоте малы...</w:t>
      </w:r>
    </w:p>
    <w:p w14:paraId="59C5DEC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Моторы АМ-39 на 2-й скорости нагнетателя работали неудовлетворительно...</w:t>
      </w:r>
    </w:p>
    <w:p w14:paraId="17002AC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Построен второй экземпляр СДБ, переданный в НИИ ВВС в октябре. Он имеет экипаж вместо двух - три человека. Новая носовая часть фюзеляжа с измененным обзором. Дополнительно установлены люковая и верхняя стрелковые установки. Объем бензина увеличен до 2400 л.</w:t>
      </w:r>
    </w:p>
    <w:p w14:paraId="7C7697E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Изменена маслосхема, предусмотрено новое бронирование экипажа. Взлетный вес возрос на 650 кг.</w:t>
      </w:r>
    </w:p>
    <w:p w14:paraId="6CAEFAF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самолете "63" на 27 декабря 1944 г. сделано два полета. Во втором полете на высоте 8000 м (15 декабря) вышел из строя мотор".</w:t>
      </w:r>
    </w:p>
    <w:p w14:paraId="0FDEEBD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Государственные испытания второго экземпляра "СДБ" завершились утверждением 28 июня 1945 года акта по их результатам. </w:t>
      </w:r>
    </w:p>
    <w:p w14:paraId="76095DC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Основ'ными дефектами "СДБ" были: недостаточная прочность колес размером 1000x350 мм, малоэффективные и ненадежные пневматические тормоза, падение давления масла в двигателях на высотах 5000-7000 метров и отсутствие противо- пыльных фильтров на всасывающих патрубках моторов. Кроме этого, размещение рамки радиополукомпаса РПК-10 под металлической обшивкой самолета, снижало его чувствительность.</w:t>
      </w:r>
    </w:p>
    <w:p w14:paraId="6060A07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заключение же специалисты НИИ ВВС, в частности, отметили: "Самолет "63" &lt;...&gt; по своим летно-тактическим данным превосходит однотипные отечественные и иностранные самолеты, но недостаточность обзора штурмана вперед, что затрудняет для него ориентировки, отыскание цели и вывод самолета на цель при бомбометании, значительно снижает его качество как бомбардировщика.</w:t>
      </w:r>
    </w:p>
    <w:p w14:paraId="75F9068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не может быть рекомендован на вооружение Красной Армии в качестве бомбардировщика".</w:t>
      </w:r>
    </w:p>
    <w:p w14:paraId="6D7BD78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Примерно в то же время в НИИ ВВС ис- пытывался другой скоростной бомбардировщик Пе-2М, представлявший собой второй экземпляр Пе-2И "Москито" с иным оборонительным вооружением. Государственные испытания Пе-2М с моторами жидкостного охлаждения М-107А, завершившиеся на два месяца позже "СДБ", показали, что максимальная скорость у земли при работе моторов на номинальном режиме на 21 км/ч больше, чем у "СДБ", но на второй границе высотности (5600 метров) она не превышала 630 км/ч, что на 10 км/ч было меньше чем у самолета "63". Правда, не надо забывать, что самолет Туполева имел более слабое оборонительное вооружение по сравнению с Пе-2М (три пушки Б-20 калибра 20 мм, одна из которых неподвижная для стрельбы вперед, другая - у штурмана и третья - люковая). При этом максимальная бомбовая нагрузка Пе-2М была вдвое ниже, чем у "СДБ".</w:t>
      </w:r>
    </w:p>
    <w:p w14:paraId="4307833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Сделать же вывод, какой из этих самолетов предпочтительней, должны были, прежде всего, военные. Но этого не произошло, поскольку обе машины государственные испытания не выдержали (12035).</w:t>
      </w:r>
    </w:p>
    <w:p w14:paraId="1242ECD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C83DB1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июня 1944 Зам. Нач. 7ГУ Алексеев подготовил сводку о ходе испытаний высотных самолетов на 3 июня 1944 по Як-9 М-105ПД, Ла-5 АШ-82ФН и 2ТК-3, МиГ АМ-39А и 2ТК-2Б (1825).</w:t>
      </w:r>
    </w:p>
    <w:p w14:paraId="597951B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ВЫСОТНЫЙ ИСТРЕБИТЕЛЬ ЯК-9 С ВК-105ПФ И ДВУХСТУПЕНЧАТЫМ НАГНЕТАТЕЛЕМ</w:t>
      </w:r>
    </w:p>
    <w:p w14:paraId="1E41523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самолете производились работы по установке мотора с пониженной высотностью, полученного из ЦИАМ вечером 3 июня с.г. После окончания работ самолет будет передан ЦАГИ для продувок в трубе.</w:t>
      </w:r>
    </w:p>
    <w:p w14:paraId="4AFCF02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ВЫСОТНЫЙ ИСТРЕБИТЕЛЬ ЛА-5 С АШ-82ФН и 2ТК-3.</w:t>
      </w:r>
    </w:p>
    <w:p w14:paraId="6496345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3-го июня произведен пслет до высоты 8000 мт с работа</w:t>
      </w:r>
      <w:r w:rsidRPr="007224C3">
        <w:rPr>
          <w:rFonts w:ascii="Times New Roman" w:hAnsi="Times New Roman"/>
          <w:color w:val="000000" w:themeColor="text1"/>
          <w:sz w:val="16"/>
          <w:szCs w:val="16"/>
        </w:rPr>
        <w:softHyphen/>
        <w:t>ющим ТК; из-за падения давления бензина и высоких температур головок цилиндров мотора, полет был прекращен.</w:t>
      </w:r>
    </w:p>
    <w:p w14:paraId="71634A4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самолете производятся следующие работы: смена центрального бензобака и эжекторной помпы, улучшение дефлектирования головок и изменение боковых крышек капотов. Окончание этих работ и продолжение испытаний предполагается 8-го июня с. г.</w:t>
      </w:r>
    </w:p>
    <w:p w14:paraId="0925104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оказания консультации по системе охлавдения в ОКБ ТОВ. ЛАВОЧКИНА командирован инженер ЦАГИ тов. ЗАК.</w:t>
      </w:r>
    </w:p>
    <w:p w14:paraId="6DEE847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ВЫСОТНЫЙ ИСТРЕБИТЕЛЬ МИГ С АМ-39Б И 2ТК-2Б.</w:t>
      </w:r>
    </w:p>
    <w:p w14:paraId="725D32D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Полеты не производились, из-за отсутствия метеороло</w:t>
      </w:r>
      <w:r w:rsidRPr="007224C3">
        <w:rPr>
          <w:rFonts w:ascii="Times New Roman" w:hAnsi="Times New Roman"/>
          <w:color w:val="000000" w:themeColor="text1"/>
          <w:sz w:val="16"/>
          <w:szCs w:val="16"/>
        </w:rPr>
        <w:softHyphen/>
        <w:t>гических условий для высотных полетов. Самолет в летнем состоянии (1825).</w:t>
      </w:r>
    </w:p>
    <w:p w14:paraId="7C74E32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B3C640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июня 1944 Нач. ЛИИ Чесалов писал А.С.Я. письмо N 379с:</w:t>
      </w:r>
    </w:p>
    <w:p w14:paraId="46D563C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"Направляю Вам список основных работ, выполняемых ЛИИ за январь-май 1944:</w:t>
      </w:r>
    </w:p>
    <w:p w14:paraId="036205A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 за период январь-май 1944 года ЛИИ выполнено 142 работы:</w:t>
      </w:r>
    </w:p>
    <w:p w14:paraId="628016F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Наиболее характерными из выполненных работ являются следующие: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495"/>
        <w:gridCol w:w="4961"/>
      </w:tblGrid>
      <w:tr w:rsidR="005106D0" w:rsidRPr="007224C3" w14:paraId="5D1F75AF" w14:textId="77777777">
        <w:tc>
          <w:tcPr>
            <w:tcW w:w="5495" w:type="dxa"/>
          </w:tcPr>
          <w:p w14:paraId="66FDAAC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961" w:type="dxa"/>
          </w:tcPr>
          <w:p w14:paraId="2C8DF5E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NN отчета</w:t>
            </w:r>
          </w:p>
        </w:tc>
      </w:tr>
      <w:tr w:rsidR="005106D0" w:rsidRPr="007224C3" w14:paraId="56CF4F13" w14:textId="77777777">
        <w:tc>
          <w:tcPr>
            <w:tcW w:w="5495" w:type="dxa"/>
          </w:tcPr>
          <w:p w14:paraId="1AF2A17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Руководство для конструкторов том N 2.</w:t>
            </w:r>
          </w:p>
        </w:tc>
        <w:tc>
          <w:tcPr>
            <w:tcW w:w="4961" w:type="dxa"/>
          </w:tcPr>
          <w:p w14:paraId="6928A1A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47AACDB" w14:textId="77777777">
        <w:tc>
          <w:tcPr>
            <w:tcW w:w="5495" w:type="dxa"/>
          </w:tcPr>
          <w:p w14:paraId="6A1974F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Исследование причин выхода из строя</w:t>
            </w:r>
          </w:p>
        </w:tc>
        <w:tc>
          <w:tcPr>
            <w:tcW w:w="4961" w:type="dxa"/>
          </w:tcPr>
          <w:p w14:paraId="6DA8817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BD49BC9" w14:textId="77777777">
        <w:tc>
          <w:tcPr>
            <w:tcW w:w="5495" w:type="dxa"/>
          </w:tcPr>
          <w:p w14:paraId="2146417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анероидов регулятора смеси РС-2 на моторе</w:t>
            </w:r>
          </w:p>
        </w:tc>
        <w:tc>
          <w:tcPr>
            <w:tcW w:w="4961" w:type="dxa"/>
          </w:tcPr>
          <w:p w14:paraId="1F4A98C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F35213E" w14:textId="77777777">
        <w:tc>
          <w:tcPr>
            <w:tcW w:w="5495" w:type="dxa"/>
          </w:tcPr>
          <w:p w14:paraId="7669210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М-82ФН</w:t>
            </w:r>
          </w:p>
        </w:tc>
        <w:tc>
          <w:tcPr>
            <w:tcW w:w="4961" w:type="dxa"/>
          </w:tcPr>
          <w:p w14:paraId="3A25979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44-63 с.</w:t>
            </w:r>
          </w:p>
        </w:tc>
      </w:tr>
      <w:tr w:rsidR="005106D0" w:rsidRPr="007224C3" w14:paraId="0235AA25" w14:textId="77777777">
        <w:tc>
          <w:tcPr>
            <w:tcW w:w="5495" w:type="dxa"/>
          </w:tcPr>
          <w:p w14:paraId="444939D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Исследование причин поломки пружины</w:t>
            </w:r>
          </w:p>
        </w:tc>
        <w:tc>
          <w:tcPr>
            <w:tcW w:w="4961" w:type="dxa"/>
          </w:tcPr>
          <w:p w14:paraId="483DB42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E65B184" w14:textId="77777777">
        <w:tc>
          <w:tcPr>
            <w:tcW w:w="5495" w:type="dxa"/>
          </w:tcPr>
          <w:p w14:paraId="5FCCFCB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редукционного клапана регулятора числа</w:t>
            </w:r>
          </w:p>
        </w:tc>
        <w:tc>
          <w:tcPr>
            <w:tcW w:w="4961" w:type="dxa"/>
          </w:tcPr>
          <w:p w14:paraId="5608104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3B1EE35" w14:textId="77777777">
        <w:tc>
          <w:tcPr>
            <w:tcW w:w="5495" w:type="dxa"/>
          </w:tcPr>
          <w:p w14:paraId="6E57C52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оборотов Р-7</w:t>
            </w:r>
          </w:p>
        </w:tc>
        <w:tc>
          <w:tcPr>
            <w:tcW w:w="4961" w:type="dxa"/>
          </w:tcPr>
          <w:p w14:paraId="38327B5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44-39</w:t>
            </w:r>
          </w:p>
        </w:tc>
      </w:tr>
      <w:tr w:rsidR="005106D0" w:rsidRPr="007224C3" w14:paraId="399A6B5D" w14:textId="77777777">
        <w:tc>
          <w:tcPr>
            <w:tcW w:w="5495" w:type="dxa"/>
          </w:tcPr>
          <w:p w14:paraId="5C0C0C9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Улучшение характеристик полета</w:t>
            </w:r>
          </w:p>
        </w:tc>
        <w:tc>
          <w:tcPr>
            <w:tcW w:w="4961" w:type="dxa"/>
          </w:tcPr>
          <w:p w14:paraId="554B020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ACCA2F6" w14:textId="77777777">
        <w:tc>
          <w:tcPr>
            <w:tcW w:w="5495" w:type="dxa"/>
          </w:tcPr>
          <w:p w14:paraId="7415A2E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самолетов Пе-2 и Ли-2 на одном моторе</w:t>
            </w:r>
          </w:p>
        </w:tc>
        <w:tc>
          <w:tcPr>
            <w:tcW w:w="4961" w:type="dxa"/>
          </w:tcPr>
          <w:p w14:paraId="7D185D9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081BE89" w14:textId="77777777">
        <w:tc>
          <w:tcPr>
            <w:tcW w:w="5495" w:type="dxa"/>
          </w:tcPr>
          <w:p w14:paraId="0794772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путем затяжеления винта на неработающем</w:t>
            </w:r>
          </w:p>
        </w:tc>
        <w:tc>
          <w:tcPr>
            <w:tcW w:w="4961" w:type="dxa"/>
          </w:tcPr>
          <w:p w14:paraId="65AB1CE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88C5BA1" w14:textId="77777777">
        <w:tc>
          <w:tcPr>
            <w:tcW w:w="5495" w:type="dxa"/>
          </w:tcPr>
          <w:p w14:paraId="3C77731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моторе</w:t>
            </w:r>
          </w:p>
        </w:tc>
        <w:tc>
          <w:tcPr>
            <w:tcW w:w="4961" w:type="dxa"/>
          </w:tcPr>
          <w:p w14:paraId="4D86698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44-40</w:t>
            </w:r>
          </w:p>
        </w:tc>
      </w:tr>
      <w:tr w:rsidR="005106D0" w:rsidRPr="007224C3" w14:paraId="55236D1C" w14:textId="77777777">
        <w:tc>
          <w:tcPr>
            <w:tcW w:w="5495" w:type="dxa"/>
          </w:tcPr>
          <w:p w14:paraId="7BA410A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Летные испытания самолета Ил-4 с</w:t>
            </w:r>
          </w:p>
        </w:tc>
        <w:tc>
          <w:tcPr>
            <w:tcW w:w="4961" w:type="dxa"/>
          </w:tcPr>
          <w:p w14:paraId="6020608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D4FE49A" w14:textId="77777777">
        <w:tc>
          <w:tcPr>
            <w:tcW w:w="5495" w:type="dxa"/>
          </w:tcPr>
          <w:p w14:paraId="4B1DBE1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2М-88Б в полете на одном моторе с</w:t>
            </w:r>
          </w:p>
        </w:tc>
        <w:tc>
          <w:tcPr>
            <w:tcW w:w="4961" w:type="dxa"/>
          </w:tcPr>
          <w:p w14:paraId="4F132A7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5D77A97" w14:textId="77777777">
        <w:tc>
          <w:tcPr>
            <w:tcW w:w="5495" w:type="dxa"/>
          </w:tcPr>
          <w:p w14:paraId="6D01C09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серийными винтами ВИШ-23 без упоров</w:t>
            </w:r>
          </w:p>
        </w:tc>
        <w:tc>
          <w:tcPr>
            <w:tcW w:w="4961" w:type="dxa"/>
          </w:tcPr>
          <w:p w14:paraId="77460FC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064D3E1" w14:textId="77777777">
        <w:tc>
          <w:tcPr>
            <w:tcW w:w="5495" w:type="dxa"/>
          </w:tcPr>
          <w:p w14:paraId="4686C91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большого шага на регуляторе постоянных</w:t>
            </w:r>
          </w:p>
        </w:tc>
        <w:tc>
          <w:tcPr>
            <w:tcW w:w="4961" w:type="dxa"/>
          </w:tcPr>
          <w:p w14:paraId="3BDDA08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649A25C" w14:textId="77777777">
        <w:tc>
          <w:tcPr>
            <w:tcW w:w="5495" w:type="dxa"/>
          </w:tcPr>
          <w:p w14:paraId="7721415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оборотов</w:t>
            </w:r>
          </w:p>
        </w:tc>
        <w:tc>
          <w:tcPr>
            <w:tcW w:w="4961" w:type="dxa"/>
          </w:tcPr>
          <w:p w14:paraId="51D4A84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44-143</w:t>
            </w:r>
          </w:p>
        </w:tc>
      </w:tr>
      <w:tr w:rsidR="005106D0" w:rsidRPr="007224C3" w14:paraId="2F4AEA47" w14:textId="77777777">
        <w:tc>
          <w:tcPr>
            <w:tcW w:w="5495" w:type="dxa"/>
          </w:tcPr>
          <w:p w14:paraId="31E67E1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Летные испытания самолетов Як-9 с</w:t>
            </w:r>
          </w:p>
        </w:tc>
        <w:tc>
          <w:tcPr>
            <w:tcW w:w="4961" w:type="dxa"/>
          </w:tcPr>
          <w:p w14:paraId="727FE39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6AA0001" w14:textId="77777777">
        <w:tc>
          <w:tcPr>
            <w:tcW w:w="5495" w:type="dxa"/>
          </w:tcPr>
          <w:p w14:paraId="680A782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мотором М-107А по исследованию характера</w:t>
            </w:r>
          </w:p>
        </w:tc>
        <w:tc>
          <w:tcPr>
            <w:tcW w:w="4961" w:type="dxa"/>
          </w:tcPr>
          <w:p w14:paraId="74AFC87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D3F5D3A" w14:textId="77777777">
        <w:tc>
          <w:tcPr>
            <w:tcW w:w="5495" w:type="dxa"/>
          </w:tcPr>
          <w:p w14:paraId="12CEF59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 причин вибрации моторной установки</w:t>
            </w:r>
          </w:p>
        </w:tc>
        <w:tc>
          <w:tcPr>
            <w:tcW w:w="4961" w:type="dxa"/>
          </w:tcPr>
          <w:p w14:paraId="28AF6EE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44-79</w:t>
            </w:r>
          </w:p>
        </w:tc>
      </w:tr>
      <w:tr w:rsidR="005106D0" w:rsidRPr="007224C3" w14:paraId="79C9F82B" w14:textId="77777777">
        <w:tc>
          <w:tcPr>
            <w:tcW w:w="5495" w:type="dxa"/>
          </w:tcPr>
          <w:p w14:paraId="32E85FD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7. Войсковые испытания и внедрение на </w:t>
            </w:r>
          </w:p>
        </w:tc>
        <w:tc>
          <w:tcPr>
            <w:tcW w:w="4961" w:type="dxa"/>
          </w:tcPr>
          <w:p w14:paraId="17B0EEE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236DC72" w14:textId="77777777">
        <w:tc>
          <w:tcPr>
            <w:tcW w:w="5495" w:type="dxa"/>
          </w:tcPr>
          <w:p w14:paraId="54428B2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заводах системы газового запуска</w:t>
            </w:r>
          </w:p>
        </w:tc>
        <w:tc>
          <w:tcPr>
            <w:tcW w:w="4961" w:type="dxa"/>
          </w:tcPr>
          <w:p w14:paraId="17E1F31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A680D08" w14:textId="77777777">
        <w:tc>
          <w:tcPr>
            <w:tcW w:w="5495" w:type="dxa"/>
          </w:tcPr>
          <w:p w14:paraId="1DB3D24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 подогретых авиационных моторов</w:t>
            </w:r>
          </w:p>
        </w:tc>
        <w:tc>
          <w:tcPr>
            <w:tcW w:w="4961" w:type="dxa"/>
          </w:tcPr>
          <w:p w14:paraId="16962DC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44-117</w:t>
            </w:r>
          </w:p>
        </w:tc>
      </w:tr>
      <w:tr w:rsidR="005106D0" w:rsidRPr="007224C3" w14:paraId="09204F69" w14:textId="77777777">
        <w:tc>
          <w:tcPr>
            <w:tcW w:w="5495" w:type="dxa"/>
          </w:tcPr>
          <w:p w14:paraId="24C8B38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Выявление резервов дальности</w:t>
            </w:r>
          </w:p>
        </w:tc>
        <w:tc>
          <w:tcPr>
            <w:tcW w:w="4961" w:type="dxa"/>
          </w:tcPr>
          <w:p w14:paraId="429C817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A33C891" w14:textId="77777777">
        <w:tc>
          <w:tcPr>
            <w:tcW w:w="5495" w:type="dxa"/>
          </w:tcPr>
          <w:p w14:paraId="37932F0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серийных самолетов</w:t>
            </w:r>
          </w:p>
        </w:tc>
        <w:tc>
          <w:tcPr>
            <w:tcW w:w="4961" w:type="dxa"/>
          </w:tcPr>
          <w:p w14:paraId="248129F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76128C0" w14:textId="77777777">
        <w:tc>
          <w:tcPr>
            <w:tcW w:w="5495" w:type="dxa"/>
          </w:tcPr>
          <w:p w14:paraId="7FA2225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Испытания на дальность транспортного</w:t>
            </w:r>
          </w:p>
        </w:tc>
        <w:tc>
          <w:tcPr>
            <w:tcW w:w="4961" w:type="dxa"/>
          </w:tcPr>
          <w:p w14:paraId="0A0D32C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09A0511" w14:textId="77777777">
        <w:tc>
          <w:tcPr>
            <w:tcW w:w="5495" w:type="dxa"/>
          </w:tcPr>
          <w:p w14:paraId="2565134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самолета Ли-2</w:t>
            </w:r>
          </w:p>
        </w:tc>
        <w:tc>
          <w:tcPr>
            <w:tcW w:w="4961" w:type="dxa"/>
          </w:tcPr>
          <w:p w14:paraId="31A1A09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44-54</w:t>
            </w:r>
          </w:p>
        </w:tc>
      </w:tr>
      <w:tr w:rsidR="005106D0" w:rsidRPr="007224C3" w14:paraId="6075AC27" w14:textId="77777777">
        <w:tc>
          <w:tcPr>
            <w:tcW w:w="5495" w:type="dxa"/>
          </w:tcPr>
          <w:p w14:paraId="4FC1129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Испытания на дальность самолета Пе-2</w:t>
            </w:r>
          </w:p>
        </w:tc>
        <w:tc>
          <w:tcPr>
            <w:tcW w:w="4961" w:type="dxa"/>
          </w:tcPr>
          <w:p w14:paraId="3CF364F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E37CF2E" w14:textId="77777777">
        <w:tc>
          <w:tcPr>
            <w:tcW w:w="5495" w:type="dxa"/>
          </w:tcPr>
          <w:p w14:paraId="1D5A2C2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N 12/275</w:t>
            </w:r>
          </w:p>
        </w:tc>
        <w:tc>
          <w:tcPr>
            <w:tcW w:w="4961" w:type="dxa"/>
          </w:tcPr>
          <w:p w14:paraId="275BF7A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44-128</w:t>
            </w:r>
          </w:p>
        </w:tc>
      </w:tr>
      <w:tr w:rsidR="005106D0" w:rsidRPr="007224C3" w14:paraId="79017C31" w14:textId="77777777">
        <w:tc>
          <w:tcPr>
            <w:tcW w:w="5495" w:type="dxa"/>
          </w:tcPr>
          <w:p w14:paraId="0E13DC9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Исследование возможностей уменьшения</w:t>
            </w:r>
          </w:p>
        </w:tc>
        <w:tc>
          <w:tcPr>
            <w:tcW w:w="4961" w:type="dxa"/>
          </w:tcPr>
          <w:p w14:paraId="2B01A41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632F2BC" w14:textId="77777777">
        <w:tc>
          <w:tcPr>
            <w:tcW w:w="5495" w:type="dxa"/>
          </w:tcPr>
          <w:p w14:paraId="4906629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силы отдачи пушки НС-37 конструкции</w:t>
            </w:r>
          </w:p>
        </w:tc>
        <w:tc>
          <w:tcPr>
            <w:tcW w:w="4961" w:type="dxa"/>
          </w:tcPr>
          <w:p w14:paraId="1500AE7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3CE4EB6" w14:textId="77777777">
        <w:tc>
          <w:tcPr>
            <w:tcW w:w="5495" w:type="dxa"/>
          </w:tcPr>
          <w:p w14:paraId="7B9703C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ОКБ-16</w:t>
            </w:r>
          </w:p>
        </w:tc>
        <w:tc>
          <w:tcPr>
            <w:tcW w:w="4961" w:type="dxa"/>
          </w:tcPr>
          <w:p w14:paraId="6B785E8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44-102с</w:t>
            </w:r>
          </w:p>
        </w:tc>
      </w:tr>
      <w:tr w:rsidR="005106D0" w:rsidRPr="007224C3" w14:paraId="422ADCC9" w14:textId="77777777">
        <w:tc>
          <w:tcPr>
            <w:tcW w:w="5495" w:type="dxa"/>
          </w:tcPr>
          <w:p w14:paraId="1CAE597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Сравнительные испытания системы</w:t>
            </w:r>
          </w:p>
        </w:tc>
        <w:tc>
          <w:tcPr>
            <w:tcW w:w="4961" w:type="dxa"/>
          </w:tcPr>
          <w:p w14:paraId="67ABBAD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339C45F" w14:textId="77777777">
        <w:tc>
          <w:tcPr>
            <w:tcW w:w="5495" w:type="dxa"/>
          </w:tcPr>
          <w:p w14:paraId="0164E45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заполнения бензобаков нейтральными газами</w:t>
            </w:r>
          </w:p>
        </w:tc>
        <w:tc>
          <w:tcPr>
            <w:tcW w:w="4961" w:type="dxa"/>
          </w:tcPr>
          <w:p w14:paraId="16987E8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DCE5E5B" w14:textId="77777777">
        <w:tc>
          <w:tcPr>
            <w:tcW w:w="5495" w:type="dxa"/>
          </w:tcPr>
          <w:p w14:paraId="0A2F6DF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самолетах Як-7, Як-9</w:t>
            </w:r>
          </w:p>
        </w:tc>
        <w:tc>
          <w:tcPr>
            <w:tcW w:w="4961" w:type="dxa"/>
          </w:tcPr>
          <w:p w14:paraId="589B02F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44-4с</w:t>
            </w:r>
          </w:p>
        </w:tc>
      </w:tr>
      <w:tr w:rsidR="005106D0" w:rsidRPr="007224C3" w14:paraId="6CCC6B64" w14:textId="77777777">
        <w:tc>
          <w:tcPr>
            <w:tcW w:w="5495" w:type="dxa"/>
          </w:tcPr>
          <w:p w14:paraId="0106969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Испытание системы НГ на самолете</w:t>
            </w:r>
          </w:p>
        </w:tc>
        <w:tc>
          <w:tcPr>
            <w:tcW w:w="4961" w:type="dxa"/>
          </w:tcPr>
          <w:p w14:paraId="74CCB86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197CC47" w14:textId="77777777">
        <w:tc>
          <w:tcPr>
            <w:tcW w:w="5495" w:type="dxa"/>
          </w:tcPr>
          <w:p w14:paraId="7940C47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Аэрокобра</w:t>
            </w:r>
          </w:p>
        </w:tc>
        <w:tc>
          <w:tcPr>
            <w:tcW w:w="4961" w:type="dxa"/>
          </w:tcPr>
          <w:p w14:paraId="44BD69F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44-138</w:t>
            </w:r>
          </w:p>
        </w:tc>
      </w:tr>
      <w:tr w:rsidR="005106D0" w:rsidRPr="007224C3" w14:paraId="6CF3BA4C" w14:textId="77777777">
        <w:tc>
          <w:tcPr>
            <w:tcW w:w="5495" w:type="dxa"/>
          </w:tcPr>
          <w:p w14:paraId="2784909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Выяснение условий необходимых для</w:t>
            </w:r>
          </w:p>
        </w:tc>
        <w:tc>
          <w:tcPr>
            <w:tcW w:w="4961" w:type="dxa"/>
          </w:tcPr>
          <w:p w14:paraId="23AADD2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9BA682D" w14:textId="77777777">
        <w:tc>
          <w:tcPr>
            <w:tcW w:w="5495" w:type="dxa"/>
          </w:tcPr>
          <w:p w14:paraId="5D3EE33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воспламенения и горения бензина на</w:t>
            </w:r>
          </w:p>
        </w:tc>
        <w:tc>
          <w:tcPr>
            <w:tcW w:w="4961" w:type="dxa"/>
          </w:tcPr>
          <w:p w14:paraId="50A01E6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41A4D24" w14:textId="77777777">
        <w:tc>
          <w:tcPr>
            <w:tcW w:w="5495" w:type="dxa"/>
          </w:tcPr>
          <w:p w14:paraId="6F3B404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больших высотах</w:t>
            </w:r>
          </w:p>
        </w:tc>
        <w:tc>
          <w:tcPr>
            <w:tcW w:w="4961" w:type="dxa"/>
          </w:tcPr>
          <w:p w14:paraId="4F1D5A3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44-132</w:t>
            </w:r>
          </w:p>
        </w:tc>
      </w:tr>
      <w:tr w:rsidR="005106D0" w:rsidRPr="007224C3" w14:paraId="086BEB61" w14:textId="77777777">
        <w:tc>
          <w:tcPr>
            <w:tcW w:w="5495" w:type="dxa"/>
          </w:tcPr>
          <w:p w14:paraId="700E262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Испытания модифицированных самолетов:</w:t>
            </w:r>
          </w:p>
        </w:tc>
        <w:tc>
          <w:tcPr>
            <w:tcW w:w="4961" w:type="dxa"/>
          </w:tcPr>
          <w:p w14:paraId="69DAC2B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4F0ACF1" w14:textId="77777777">
        <w:tc>
          <w:tcPr>
            <w:tcW w:w="5495" w:type="dxa"/>
          </w:tcPr>
          <w:p w14:paraId="2F318B0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а) Летные испытания самолета Ла-5 </w:t>
            </w:r>
          </w:p>
        </w:tc>
        <w:tc>
          <w:tcPr>
            <w:tcW w:w="4961" w:type="dxa"/>
          </w:tcPr>
          <w:p w14:paraId="1AAE89F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8F13949" w14:textId="77777777">
        <w:tc>
          <w:tcPr>
            <w:tcW w:w="5495" w:type="dxa"/>
          </w:tcPr>
          <w:p w14:paraId="102760F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модифицированного ЦАГИ</w:t>
            </w:r>
          </w:p>
        </w:tc>
        <w:tc>
          <w:tcPr>
            <w:tcW w:w="4961" w:type="dxa"/>
          </w:tcPr>
          <w:p w14:paraId="51BF74D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44-43с</w:t>
            </w:r>
          </w:p>
        </w:tc>
      </w:tr>
      <w:tr w:rsidR="005106D0" w:rsidRPr="007224C3" w14:paraId="0A52ED9A" w14:textId="77777777">
        <w:tc>
          <w:tcPr>
            <w:tcW w:w="5495" w:type="dxa"/>
          </w:tcPr>
          <w:p w14:paraId="192F8AA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Испытания самолета Пе-2 N 19/205</w:t>
            </w:r>
          </w:p>
        </w:tc>
        <w:tc>
          <w:tcPr>
            <w:tcW w:w="4961" w:type="dxa"/>
          </w:tcPr>
          <w:p w14:paraId="4FE7CA9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0B5E40D" w14:textId="77777777">
        <w:tc>
          <w:tcPr>
            <w:tcW w:w="5495" w:type="dxa"/>
          </w:tcPr>
          <w:p w14:paraId="2A71E70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модифицированного ЦАГИ</w:t>
            </w:r>
          </w:p>
        </w:tc>
        <w:tc>
          <w:tcPr>
            <w:tcW w:w="4961" w:type="dxa"/>
          </w:tcPr>
          <w:p w14:paraId="6EB8558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44-30</w:t>
            </w:r>
          </w:p>
        </w:tc>
      </w:tr>
      <w:tr w:rsidR="005106D0" w:rsidRPr="007224C3" w14:paraId="106D72A6" w14:textId="77777777">
        <w:tc>
          <w:tcPr>
            <w:tcW w:w="5495" w:type="dxa"/>
          </w:tcPr>
          <w:p w14:paraId="4CFA8FA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 Летные испытания самолета Ил-2 </w:t>
            </w:r>
          </w:p>
        </w:tc>
        <w:tc>
          <w:tcPr>
            <w:tcW w:w="4961" w:type="dxa"/>
          </w:tcPr>
          <w:p w14:paraId="4364E33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6E54975" w14:textId="77777777">
        <w:tc>
          <w:tcPr>
            <w:tcW w:w="5495" w:type="dxa"/>
          </w:tcPr>
          <w:p w14:paraId="51D4109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модифицированного заводом N 30 по</w:t>
            </w:r>
          </w:p>
        </w:tc>
        <w:tc>
          <w:tcPr>
            <w:tcW w:w="4961" w:type="dxa"/>
          </w:tcPr>
          <w:p w14:paraId="4F8D32D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F33408D" w14:textId="77777777">
        <w:tc>
          <w:tcPr>
            <w:tcW w:w="5495" w:type="dxa"/>
          </w:tcPr>
          <w:p w14:paraId="5540136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рекомендации ЦАГИ </w:t>
            </w:r>
          </w:p>
        </w:tc>
        <w:tc>
          <w:tcPr>
            <w:tcW w:w="4961" w:type="dxa"/>
          </w:tcPr>
          <w:p w14:paraId="163520A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44-46с</w:t>
            </w:r>
          </w:p>
        </w:tc>
      </w:tr>
      <w:tr w:rsidR="005106D0" w:rsidRPr="007224C3" w14:paraId="1EBC45D5" w14:textId="77777777">
        <w:tc>
          <w:tcPr>
            <w:tcW w:w="5495" w:type="dxa"/>
          </w:tcPr>
          <w:p w14:paraId="3C40217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 Испытания модифицированного самолета</w:t>
            </w:r>
          </w:p>
        </w:tc>
        <w:tc>
          <w:tcPr>
            <w:tcW w:w="4961" w:type="dxa"/>
          </w:tcPr>
          <w:p w14:paraId="034F92B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FE7791C" w14:textId="77777777">
        <w:tc>
          <w:tcPr>
            <w:tcW w:w="5495" w:type="dxa"/>
          </w:tcPr>
          <w:p w14:paraId="37CFBD9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Ил-2 N 3316 производства завода N 30</w:t>
            </w:r>
          </w:p>
        </w:tc>
        <w:tc>
          <w:tcPr>
            <w:tcW w:w="4961" w:type="dxa"/>
          </w:tcPr>
          <w:p w14:paraId="37A8559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39CB0FC" w14:textId="77777777">
        <w:tc>
          <w:tcPr>
            <w:tcW w:w="5495" w:type="dxa"/>
          </w:tcPr>
          <w:p w14:paraId="7E1E146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 стреловидными крыльями</w:t>
            </w:r>
          </w:p>
        </w:tc>
        <w:tc>
          <w:tcPr>
            <w:tcW w:w="4961" w:type="dxa"/>
          </w:tcPr>
          <w:p w14:paraId="6302204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44-116с</w:t>
            </w:r>
          </w:p>
        </w:tc>
      </w:tr>
      <w:tr w:rsidR="005106D0" w:rsidRPr="007224C3" w14:paraId="5DAD19C0" w14:textId="77777777">
        <w:tc>
          <w:tcPr>
            <w:tcW w:w="5495" w:type="dxa"/>
          </w:tcPr>
          <w:p w14:paraId="0D3E9D0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Испытания опытных объектов</w:t>
            </w:r>
          </w:p>
        </w:tc>
        <w:tc>
          <w:tcPr>
            <w:tcW w:w="4961" w:type="dxa"/>
          </w:tcPr>
          <w:p w14:paraId="361BA59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7E02D1A" w14:textId="77777777">
        <w:tc>
          <w:tcPr>
            <w:tcW w:w="5495" w:type="dxa"/>
          </w:tcPr>
          <w:p w14:paraId="54C1D0E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Совместные государственные и заводские</w:t>
            </w:r>
          </w:p>
        </w:tc>
        <w:tc>
          <w:tcPr>
            <w:tcW w:w="4961" w:type="dxa"/>
          </w:tcPr>
          <w:p w14:paraId="2A7865A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1EFD36F" w14:textId="77777777">
        <w:tc>
          <w:tcPr>
            <w:tcW w:w="5495" w:type="dxa"/>
          </w:tcPr>
          <w:p w14:paraId="1E2F273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испытания планера А-7М конструкции</w:t>
            </w:r>
          </w:p>
        </w:tc>
        <w:tc>
          <w:tcPr>
            <w:tcW w:w="4961" w:type="dxa"/>
          </w:tcPr>
          <w:p w14:paraId="11FF807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6E70EF8" w14:textId="77777777">
        <w:tc>
          <w:tcPr>
            <w:tcW w:w="5495" w:type="dxa"/>
          </w:tcPr>
          <w:p w14:paraId="388F156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Антонова</w:t>
            </w:r>
          </w:p>
        </w:tc>
        <w:tc>
          <w:tcPr>
            <w:tcW w:w="4961" w:type="dxa"/>
          </w:tcPr>
          <w:p w14:paraId="6433EBB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44-84с</w:t>
            </w:r>
          </w:p>
        </w:tc>
      </w:tr>
      <w:tr w:rsidR="005106D0" w:rsidRPr="007224C3" w14:paraId="5EBE441A" w14:textId="77777777">
        <w:tc>
          <w:tcPr>
            <w:tcW w:w="5495" w:type="dxa"/>
          </w:tcPr>
          <w:p w14:paraId="5936161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Летные испытания опытного самолета</w:t>
            </w:r>
          </w:p>
        </w:tc>
        <w:tc>
          <w:tcPr>
            <w:tcW w:w="4961" w:type="dxa"/>
          </w:tcPr>
          <w:p w14:paraId="0AFB1E1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290270A" w14:textId="77777777">
        <w:tc>
          <w:tcPr>
            <w:tcW w:w="5495" w:type="dxa"/>
          </w:tcPr>
          <w:p w14:paraId="44477AE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Ил-6 с двумя моторами АЧ-305 на</w:t>
            </w:r>
          </w:p>
        </w:tc>
        <w:tc>
          <w:tcPr>
            <w:tcW w:w="4961" w:type="dxa"/>
          </w:tcPr>
          <w:p w14:paraId="0543BC0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987F40B" w14:textId="77777777">
        <w:tc>
          <w:tcPr>
            <w:tcW w:w="5495" w:type="dxa"/>
          </w:tcPr>
          <w:p w14:paraId="3F3678B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устойчивость и управляемость</w:t>
            </w:r>
          </w:p>
        </w:tc>
        <w:tc>
          <w:tcPr>
            <w:tcW w:w="4961" w:type="dxa"/>
          </w:tcPr>
          <w:p w14:paraId="27C19BE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8A46CDD" w14:textId="77777777">
        <w:tc>
          <w:tcPr>
            <w:tcW w:w="5495" w:type="dxa"/>
          </w:tcPr>
          <w:p w14:paraId="7FAA2A2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Испытания самолета УТ-1 с закрылками</w:t>
            </w:r>
          </w:p>
        </w:tc>
        <w:tc>
          <w:tcPr>
            <w:tcW w:w="4961" w:type="dxa"/>
          </w:tcPr>
          <w:p w14:paraId="3E1F0F8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9CADEAA" w14:textId="77777777">
        <w:tc>
          <w:tcPr>
            <w:tcW w:w="5495" w:type="dxa"/>
          </w:tcPr>
          <w:p w14:paraId="66F12F8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ЦАГИ</w:t>
            </w:r>
          </w:p>
        </w:tc>
        <w:tc>
          <w:tcPr>
            <w:tcW w:w="4961" w:type="dxa"/>
          </w:tcPr>
          <w:p w14:paraId="4DBA292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A55A549" w14:textId="77777777">
        <w:tc>
          <w:tcPr>
            <w:tcW w:w="5495" w:type="dxa"/>
          </w:tcPr>
          <w:p w14:paraId="76CD23D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Испытания иностранных самолетов:</w:t>
            </w:r>
          </w:p>
        </w:tc>
        <w:tc>
          <w:tcPr>
            <w:tcW w:w="4961" w:type="dxa"/>
          </w:tcPr>
          <w:p w14:paraId="36E56B6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AA1F274" w14:textId="77777777">
        <w:tc>
          <w:tcPr>
            <w:tcW w:w="5495" w:type="dxa"/>
          </w:tcPr>
          <w:p w14:paraId="62B29FB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Испытание самолета Москито</w:t>
            </w:r>
          </w:p>
        </w:tc>
        <w:tc>
          <w:tcPr>
            <w:tcW w:w="4961" w:type="dxa"/>
          </w:tcPr>
          <w:p w14:paraId="79A5D9D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44-126</w:t>
            </w:r>
          </w:p>
        </w:tc>
      </w:tr>
      <w:tr w:rsidR="005106D0" w:rsidRPr="007224C3" w14:paraId="578C88B3" w14:textId="77777777">
        <w:tc>
          <w:tcPr>
            <w:tcW w:w="5495" w:type="dxa"/>
          </w:tcPr>
          <w:p w14:paraId="61DF299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Испытания самолета Тандерболт</w:t>
            </w:r>
          </w:p>
        </w:tc>
        <w:tc>
          <w:tcPr>
            <w:tcW w:w="4961" w:type="dxa"/>
          </w:tcPr>
          <w:p w14:paraId="494AD9A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44-121</w:t>
            </w:r>
          </w:p>
        </w:tc>
      </w:tr>
      <w:tr w:rsidR="005106D0" w:rsidRPr="007224C3" w14:paraId="779CFDE2" w14:textId="77777777">
        <w:tc>
          <w:tcPr>
            <w:tcW w:w="5495" w:type="dxa"/>
          </w:tcPr>
          <w:p w14:paraId="45651B3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Контрольные испытания серийных</w:t>
            </w:r>
          </w:p>
        </w:tc>
        <w:tc>
          <w:tcPr>
            <w:tcW w:w="4961" w:type="dxa"/>
          </w:tcPr>
          <w:p w14:paraId="52D2AF5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E1E6572" w14:textId="77777777">
        <w:tc>
          <w:tcPr>
            <w:tcW w:w="5495" w:type="dxa"/>
          </w:tcPr>
          <w:p w14:paraId="5CC4B52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самолетов за период январь-май 1944 г.</w:t>
            </w:r>
          </w:p>
        </w:tc>
        <w:tc>
          <w:tcPr>
            <w:tcW w:w="4961" w:type="dxa"/>
          </w:tcPr>
          <w:p w14:paraId="01672C6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E9CE42F" w14:textId="77777777">
        <w:tc>
          <w:tcPr>
            <w:tcW w:w="5495" w:type="dxa"/>
          </w:tcPr>
          <w:p w14:paraId="1F26A8F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Проведены контрольные испытания 16</w:t>
            </w:r>
          </w:p>
        </w:tc>
        <w:tc>
          <w:tcPr>
            <w:tcW w:w="4961" w:type="dxa"/>
          </w:tcPr>
          <w:p w14:paraId="292C2BE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0B4C485" w14:textId="77777777">
        <w:tc>
          <w:tcPr>
            <w:tcW w:w="5495" w:type="dxa"/>
          </w:tcPr>
          <w:p w14:paraId="03EA997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серийных самолетов завода N 21 - 3</w:t>
            </w:r>
          </w:p>
        </w:tc>
        <w:tc>
          <w:tcPr>
            <w:tcW w:w="4961" w:type="dxa"/>
          </w:tcPr>
          <w:p w14:paraId="5A0D70F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EBB38EF" w14:textId="77777777">
        <w:tc>
          <w:tcPr>
            <w:tcW w:w="5495" w:type="dxa"/>
          </w:tcPr>
          <w:p w14:paraId="41E4130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961" w:type="dxa"/>
          </w:tcPr>
          <w:p w14:paraId="65BA14C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N 153 - 5</w:t>
            </w:r>
          </w:p>
        </w:tc>
      </w:tr>
      <w:tr w:rsidR="005106D0" w:rsidRPr="007224C3" w14:paraId="179F7C81" w14:textId="77777777">
        <w:tc>
          <w:tcPr>
            <w:tcW w:w="5495" w:type="dxa"/>
          </w:tcPr>
          <w:p w14:paraId="5F83F63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961" w:type="dxa"/>
          </w:tcPr>
          <w:p w14:paraId="6489DAE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N 292 - 1</w:t>
            </w:r>
          </w:p>
        </w:tc>
      </w:tr>
      <w:tr w:rsidR="005106D0" w:rsidRPr="007224C3" w14:paraId="43C3E1EB" w14:textId="77777777">
        <w:tc>
          <w:tcPr>
            <w:tcW w:w="5495" w:type="dxa"/>
          </w:tcPr>
          <w:p w14:paraId="5C78174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961" w:type="dxa"/>
          </w:tcPr>
          <w:p w14:paraId="06213A3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N 166 - 1</w:t>
            </w:r>
          </w:p>
        </w:tc>
      </w:tr>
      <w:tr w:rsidR="005106D0" w:rsidRPr="007224C3" w14:paraId="192CDEE7" w14:textId="77777777">
        <w:tc>
          <w:tcPr>
            <w:tcW w:w="5495" w:type="dxa"/>
          </w:tcPr>
          <w:p w14:paraId="4CBED13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961" w:type="dxa"/>
          </w:tcPr>
          <w:p w14:paraId="4F6CBA1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N 31 - 2</w:t>
            </w:r>
          </w:p>
        </w:tc>
      </w:tr>
      <w:tr w:rsidR="005106D0" w:rsidRPr="007224C3" w14:paraId="381EF941" w14:textId="77777777">
        <w:tc>
          <w:tcPr>
            <w:tcW w:w="5495" w:type="dxa"/>
          </w:tcPr>
          <w:p w14:paraId="696FFAC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961" w:type="dxa"/>
          </w:tcPr>
          <w:p w14:paraId="07F4098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N 82 - 1</w:t>
            </w:r>
          </w:p>
        </w:tc>
      </w:tr>
      <w:tr w:rsidR="005106D0" w:rsidRPr="007224C3" w14:paraId="3951EC4D" w14:textId="77777777">
        <w:tc>
          <w:tcPr>
            <w:tcW w:w="5495" w:type="dxa"/>
          </w:tcPr>
          <w:p w14:paraId="174D11B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961" w:type="dxa"/>
          </w:tcPr>
          <w:p w14:paraId="02ACC6C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N 381 - 1</w:t>
            </w:r>
          </w:p>
        </w:tc>
      </w:tr>
      <w:tr w:rsidR="005106D0" w:rsidRPr="007224C3" w14:paraId="3F167025" w14:textId="77777777">
        <w:tc>
          <w:tcPr>
            <w:tcW w:w="5495" w:type="dxa"/>
          </w:tcPr>
          <w:p w14:paraId="16E3081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961" w:type="dxa"/>
          </w:tcPr>
          <w:p w14:paraId="1EB9203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N 22 - 1</w:t>
            </w:r>
          </w:p>
        </w:tc>
      </w:tr>
      <w:tr w:rsidR="005106D0" w:rsidRPr="007224C3" w14:paraId="149E9583" w14:textId="77777777">
        <w:tc>
          <w:tcPr>
            <w:tcW w:w="5495" w:type="dxa"/>
          </w:tcPr>
          <w:p w14:paraId="5AD906D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961" w:type="dxa"/>
          </w:tcPr>
          <w:p w14:paraId="52E775C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N 1 - 1</w:t>
            </w:r>
          </w:p>
        </w:tc>
      </w:tr>
      <w:tr w:rsidR="005106D0" w:rsidRPr="007224C3" w14:paraId="0DCD17B9" w14:textId="77777777">
        <w:tc>
          <w:tcPr>
            <w:tcW w:w="5495" w:type="dxa"/>
          </w:tcPr>
          <w:p w14:paraId="22DA6EE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Испытания флюгерных винтов</w:t>
            </w:r>
          </w:p>
        </w:tc>
        <w:tc>
          <w:tcPr>
            <w:tcW w:w="4961" w:type="dxa"/>
          </w:tcPr>
          <w:p w14:paraId="30DC484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A84A7B9" w14:textId="77777777">
        <w:tc>
          <w:tcPr>
            <w:tcW w:w="5495" w:type="dxa"/>
          </w:tcPr>
          <w:p w14:paraId="1013BE7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Летные испытания флюгерного винта</w:t>
            </w:r>
          </w:p>
        </w:tc>
        <w:tc>
          <w:tcPr>
            <w:tcW w:w="4961" w:type="dxa"/>
          </w:tcPr>
          <w:p w14:paraId="607EC62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5231066" w14:textId="77777777">
        <w:tc>
          <w:tcPr>
            <w:tcW w:w="5495" w:type="dxa"/>
          </w:tcPr>
          <w:p w14:paraId="4E23511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УФ-61 ИФ производства завода N 28 на</w:t>
            </w:r>
          </w:p>
        </w:tc>
        <w:tc>
          <w:tcPr>
            <w:tcW w:w="4961" w:type="dxa"/>
          </w:tcPr>
          <w:p w14:paraId="3BEA434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9CC6FB8" w14:textId="77777777">
        <w:tc>
          <w:tcPr>
            <w:tcW w:w="5495" w:type="dxa"/>
          </w:tcPr>
          <w:p w14:paraId="4D38CF3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самолете Ил-4 с 2М-88Б</w:t>
            </w:r>
          </w:p>
        </w:tc>
        <w:tc>
          <w:tcPr>
            <w:tcW w:w="4961" w:type="dxa"/>
          </w:tcPr>
          <w:p w14:paraId="1772CA6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44-130</w:t>
            </w:r>
          </w:p>
        </w:tc>
      </w:tr>
      <w:tr w:rsidR="005106D0" w:rsidRPr="007224C3" w14:paraId="4BF6978B" w14:textId="77777777">
        <w:tc>
          <w:tcPr>
            <w:tcW w:w="5495" w:type="dxa"/>
          </w:tcPr>
          <w:p w14:paraId="22E6C18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Наземные испытания флюгерного</w:t>
            </w:r>
          </w:p>
        </w:tc>
        <w:tc>
          <w:tcPr>
            <w:tcW w:w="4961" w:type="dxa"/>
          </w:tcPr>
          <w:p w14:paraId="099C4B0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BAE76AD" w14:textId="77777777">
        <w:tc>
          <w:tcPr>
            <w:tcW w:w="5495" w:type="dxa"/>
          </w:tcPr>
          <w:p w14:paraId="4E20871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винта УФ-61 ПФ на самолете Пе-2 после</w:t>
            </w:r>
          </w:p>
        </w:tc>
        <w:tc>
          <w:tcPr>
            <w:tcW w:w="4961" w:type="dxa"/>
          </w:tcPr>
          <w:p w14:paraId="50EB3DC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8D42A2B" w14:textId="77777777">
        <w:tc>
          <w:tcPr>
            <w:tcW w:w="5495" w:type="dxa"/>
          </w:tcPr>
          <w:p w14:paraId="1F0BB43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конструктивных изменений</w:t>
            </w:r>
          </w:p>
        </w:tc>
        <w:tc>
          <w:tcPr>
            <w:tcW w:w="4961" w:type="dxa"/>
          </w:tcPr>
          <w:p w14:paraId="1F0CCAF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44-81</w:t>
            </w:r>
          </w:p>
        </w:tc>
      </w:tr>
      <w:tr w:rsidR="005106D0" w:rsidRPr="007224C3" w14:paraId="5FA67450" w14:textId="77777777">
        <w:tc>
          <w:tcPr>
            <w:tcW w:w="5495" w:type="dxa"/>
          </w:tcPr>
          <w:p w14:paraId="0E62A0C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Испытание самолета Ту-2 с моторами</w:t>
            </w:r>
          </w:p>
        </w:tc>
        <w:tc>
          <w:tcPr>
            <w:tcW w:w="4961" w:type="dxa"/>
          </w:tcPr>
          <w:p w14:paraId="78BF582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0056B01" w14:textId="77777777">
        <w:tc>
          <w:tcPr>
            <w:tcW w:w="5495" w:type="dxa"/>
          </w:tcPr>
          <w:p w14:paraId="0FC9034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М-82ФН с винтами АВ-5В-21 и В5-5-167А</w:t>
            </w:r>
          </w:p>
        </w:tc>
        <w:tc>
          <w:tcPr>
            <w:tcW w:w="4961" w:type="dxa"/>
          </w:tcPr>
          <w:p w14:paraId="2D90331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44-58с</w:t>
            </w:r>
          </w:p>
        </w:tc>
      </w:tr>
      <w:tr w:rsidR="005106D0" w:rsidRPr="007224C3" w14:paraId="6F6D2661" w14:textId="77777777">
        <w:tc>
          <w:tcPr>
            <w:tcW w:w="5495" w:type="dxa"/>
          </w:tcPr>
          <w:p w14:paraId="3AE6B0D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Летные испытания фильтров</w:t>
            </w:r>
          </w:p>
        </w:tc>
        <w:tc>
          <w:tcPr>
            <w:tcW w:w="4961" w:type="dxa"/>
          </w:tcPr>
          <w:p w14:paraId="3F1A4F9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B19E0EE" w14:textId="77777777">
        <w:tc>
          <w:tcPr>
            <w:tcW w:w="5495" w:type="dxa"/>
          </w:tcPr>
          <w:p w14:paraId="49664A1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пылеуловителей конструкции ОКБ-115 на</w:t>
            </w:r>
          </w:p>
        </w:tc>
        <w:tc>
          <w:tcPr>
            <w:tcW w:w="4961" w:type="dxa"/>
          </w:tcPr>
          <w:p w14:paraId="7435B2D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8A636A4" w14:textId="77777777">
        <w:tc>
          <w:tcPr>
            <w:tcW w:w="5495" w:type="dxa"/>
          </w:tcPr>
          <w:p w14:paraId="3AD6DE9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самолетах Як-9Т N 1115 и N 1120</w:t>
            </w:r>
          </w:p>
        </w:tc>
        <w:tc>
          <w:tcPr>
            <w:tcW w:w="4961" w:type="dxa"/>
          </w:tcPr>
          <w:p w14:paraId="6026B97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0EFFF66" w14:textId="77777777">
        <w:tc>
          <w:tcPr>
            <w:tcW w:w="5495" w:type="dxa"/>
          </w:tcPr>
          <w:p w14:paraId="2B8B09B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производства завода 153</w:t>
            </w:r>
          </w:p>
        </w:tc>
        <w:tc>
          <w:tcPr>
            <w:tcW w:w="4961" w:type="dxa"/>
          </w:tcPr>
          <w:p w14:paraId="0FFFBC8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44-110</w:t>
            </w:r>
          </w:p>
        </w:tc>
      </w:tr>
      <w:tr w:rsidR="005106D0" w:rsidRPr="007224C3" w14:paraId="36021837" w14:textId="77777777">
        <w:tc>
          <w:tcPr>
            <w:tcW w:w="5495" w:type="dxa"/>
          </w:tcPr>
          <w:p w14:paraId="7225D80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Летные испытания карбюраторов</w:t>
            </w:r>
          </w:p>
        </w:tc>
        <w:tc>
          <w:tcPr>
            <w:tcW w:w="4961" w:type="dxa"/>
          </w:tcPr>
          <w:p w14:paraId="30DD549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EF9955E" w14:textId="77777777">
        <w:tc>
          <w:tcPr>
            <w:tcW w:w="5495" w:type="dxa"/>
          </w:tcPr>
          <w:p w14:paraId="0967D22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завода N 33 К-107А серии ОП-8 на</w:t>
            </w:r>
          </w:p>
        </w:tc>
        <w:tc>
          <w:tcPr>
            <w:tcW w:w="4961" w:type="dxa"/>
          </w:tcPr>
          <w:p w14:paraId="6EF598F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633AC85" w14:textId="77777777">
        <w:tc>
          <w:tcPr>
            <w:tcW w:w="5495" w:type="dxa"/>
          </w:tcPr>
          <w:p w14:paraId="27E410F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моторе ВК-107А N 337-29 на с-те Як-9</w:t>
            </w:r>
          </w:p>
        </w:tc>
        <w:tc>
          <w:tcPr>
            <w:tcW w:w="4961" w:type="dxa"/>
          </w:tcPr>
          <w:p w14:paraId="736C8B9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F35E51D" w14:textId="77777777">
        <w:tc>
          <w:tcPr>
            <w:tcW w:w="5495" w:type="dxa"/>
          </w:tcPr>
          <w:p w14:paraId="276E389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N 53</w:t>
            </w:r>
          </w:p>
        </w:tc>
        <w:tc>
          <w:tcPr>
            <w:tcW w:w="4961" w:type="dxa"/>
          </w:tcPr>
          <w:p w14:paraId="4A7ED81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44-124</w:t>
            </w:r>
          </w:p>
        </w:tc>
      </w:tr>
      <w:tr w:rsidR="005106D0" w:rsidRPr="007224C3" w14:paraId="462FEE2F" w14:textId="77777777">
        <w:tc>
          <w:tcPr>
            <w:tcW w:w="5495" w:type="dxa"/>
          </w:tcPr>
          <w:p w14:paraId="51A3912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 Летные испытания самолета Ил-4</w:t>
            </w:r>
          </w:p>
        </w:tc>
        <w:tc>
          <w:tcPr>
            <w:tcW w:w="4961" w:type="dxa"/>
          </w:tcPr>
          <w:p w14:paraId="0B047CA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32CD374" w14:textId="77777777">
        <w:tc>
          <w:tcPr>
            <w:tcW w:w="5495" w:type="dxa"/>
          </w:tcPr>
          <w:p w14:paraId="37D16C2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2М-88Б в полете на одном моторе с</w:t>
            </w:r>
          </w:p>
        </w:tc>
        <w:tc>
          <w:tcPr>
            <w:tcW w:w="4961" w:type="dxa"/>
          </w:tcPr>
          <w:p w14:paraId="782EB6E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8237E02" w14:textId="77777777">
        <w:tc>
          <w:tcPr>
            <w:tcW w:w="5495" w:type="dxa"/>
          </w:tcPr>
          <w:p w14:paraId="59B8E0E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серийными винтами ВИШ-23 без упоров</w:t>
            </w:r>
          </w:p>
        </w:tc>
        <w:tc>
          <w:tcPr>
            <w:tcW w:w="4961" w:type="dxa"/>
          </w:tcPr>
          <w:p w14:paraId="24980C7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AA119FF" w14:textId="77777777">
        <w:tc>
          <w:tcPr>
            <w:tcW w:w="5495" w:type="dxa"/>
          </w:tcPr>
          <w:p w14:paraId="04A5FCD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большого шага на регуляторе</w:t>
            </w:r>
          </w:p>
        </w:tc>
        <w:tc>
          <w:tcPr>
            <w:tcW w:w="4961" w:type="dxa"/>
          </w:tcPr>
          <w:p w14:paraId="6EE10C4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B7BFDB8" w14:textId="77777777">
        <w:tc>
          <w:tcPr>
            <w:tcW w:w="5495" w:type="dxa"/>
          </w:tcPr>
          <w:p w14:paraId="216F1E9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постоянных оборотов</w:t>
            </w:r>
          </w:p>
        </w:tc>
        <w:tc>
          <w:tcPr>
            <w:tcW w:w="4961" w:type="dxa"/>
          </w:tcPr>
          <w:p w14:paraId="3EF516E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44-124</w:t>
            </w:r>
          </w:p>
        </w:tc>
      </w:tr>
      <w:tr w:rsidR="005106D0" w:rsidRPr="007224C3" w14:paraId="5EF3338E" w14:textId="77777777">
        <w:tc>
          <w:tcPr>
            <w:tcW w:w="5495" w:type="dxa"/>
          </w:tcPr>
          <w:p w14:paraId="3EC1745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Испытания автокорректора АК-3М</w:t>
            </w:r>
          </w:p>
        </w:tc>
        <w:tc>
          <w:tcPr>
            <w:tcW w:w="4961" w:type="dxa"/>
          </w:tcPr>
          <w:p w14:paraId="1E98975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897B0C0" w14:textId="77777777">
        <w:tc>
          <w:tcPr>
            <w:tcW w:w="5495" w:type="dxa"/>
          </w:tcPr>
          <w:p w14:paraId="330DC2F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самолете ЯК-1</w:t>
            </w:r>
          </w:p>
        </w:tc>
        <w:tc>
          <w:tcPr>
            <w:tcW w:w="4961" w:type="dxa"/>
          </w:tcPr>
          <w:p w14:paraId="31FCC17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44-127 (1821)</w:t>
            </w:r>
          </w:p>
        </w:tc>
      </w:tr>
    </w:tbl>
    <w:p w14:paraId="7E64958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Летные испытания самолета Ил-4 с 2М-88Б в полете на одном моторе с серийными винтами ВИШ-23 без упоров большого шага на регуляторе постоянных оборотов.</w:t>
      </w:r>
    </w:p>
    <w:p w14:paraId="73C87B4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w:t>
      </w:r>
    </w:p>
    <w:p w14:paraId="6D2F72D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Летные испытания самолета Ил-2, модифицированного заводом 30 по рекомендациям ЦАГИ</w:t>
      </w:r>
    </w:p>
    <w:p w14:paraId="5056A18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 Испытания модифицированного самолета Ил-2 N 3316 производства завода 30 со стреловидным крылом.</w:t>
      </w:r>
    </w:p>
    <w:p w14:paraId="267F09F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w:t>
      </w:r>
    </w:p>
    <w:p w14:paraId="72AE075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Летные испытания опытного самолета Ил-6 с 2-мя моторами АЧ-30Б на устойчивость и управляемость.</w:t>
      </w:r>
    </w:p>
    <w:p w14:paraId="195D9BA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 Летные испытания самолета Ил-4 с 2М-88Б в полете на одном моторе с серийными винтами ВИШ-23 без упоров большого шага на регуляторе постоянных оборотов." (1821,233).</w:t>
      </w:r>
    </w:p>
    <w:p w14:paraId="3729554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B91EB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июня 1944 вышли донесения штурманов облета к Ковычева, к Васильева, п-п Цветкова (воздушный бой с Ла-5), к Горбунова по результатам облета в ходе испытаний пулеметно-пушечного и бомбардировочного вооружения самолета Ил-2 с мотором АМ-38Ф (самолет N 304128 производства завода 30 марта 1944), которые проходили с 17 по 31 мая 1944. Отв. исполнители: ви и-м А.Ф.Толпышкин, вл ст.л. Г.А.Тиняков, вш к Т.Ф.Горбунов. Испытывали характеристики задней ограниченно подвижной установки УБШ под УБТ-12.7 мм (завод 487 с 4 магазинами по 50 патронов) и целесообразность установки на Ил-2 взамен ВУБ-3. Решили, что обороноспособность понизилась (1861).</w:t>
      </w:r>
    </w:p>
    <w:p w14:paraId="23DC4CD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7C9F5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июня 1944 В.П.Кузнецов подготовил для А.И.Ш. сводку по выполнению постановления по повышению высотности самолетов по состоянию на 5 июня 1944 и были упомянуты МиГ-3 с АМ-39Б-01, Ла-5 М-82 с ТК-3 и Як-9 с ВК-105ПД (1824).</w:t>
      </w:r>
    </w:p>
    <w:p w14:paraId="28F967C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10213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июня 1944 ип Сидоренко подписал и 7 июня 1944 Нач. 5 отд. НИИ ВВС ип Князев утвердил Отчет о командировке в строевые части 4 ВА (обобщение опыта боевой эксплуатации матчасти ВВС КА)</w:t>
      </w:r>
    </w:p>
    <w:p w14:paraId="1CD699C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Анализ дефектов моторов типа ВК-105 (П, ПА, Р, РА и ПФ), поступивших для ремонта в 14 ПАМ за время с 1 октября 1941 по 1 октября 1943 показывает следующие причины съемки моторов с самолетов:</w:t>
      </w:r>
    </w:p>
    <w:p w14:paraId="6FD6A25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по вине эксплуатации - 291 (43,3%)</w:t>
      </w:r>
    </w:p>
    <w:p w14:paraId="181DD64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по вине производства - 131 (19,7%)</w:t>
      </w:r>
    </w:p>
    <w:p w14:paraId="4BB2BF3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боевые повреждения - 101 (15%)</w:t>
      </w:r>
    </w:p>
    <w:p w14:paraId="235E246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выработанный ресурс - 33 (4,9%)</w:t>
      </w:r>
    </w:p>
    <w:p w14:paraId="6DA8511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причины не установлены - 70 (10,4)</w:t>
      </w:r>
    </w:p>
    <w:p w14:paraId="6D3B19D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 - 671</w:t>
      </w:r>
    </w:p>
    <w:p w14:paraId="0F5A77E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АМ-38 (в 9 полках 4ВА) выработало свой ресурс 5,15%</w:t>
      </w:r>
    </w:p>
    <w:p w14:paraId="1CB711C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АШ-82Ф (2 ап 49 КИАП и 272 ИАП 309 иад)</w:t>
      </w:r>
    </w:p>
    <w:p w14:paraId="36316A2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Основные дефекты - задир цилиндров, прогар поршней и выбивание масла (за время 4-х месячной эксплуатации в 2-х полках в январе-апреле 1944).</w:t>
      </w:r>
    </w:p>
    <w:p w14:paraId="20C29E8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Живучесть матчасти в боевых условиях:</w:t>
      </w:r>
    </w:p>
    <w:p w14:paraId="65498A7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С-ты типа Як-1, Як-7, Як-9 - два истребительных полка имеющие эти с-ты с 1 февраля 1943 по 1 мая 1944 имели 4532 б/вылета с общим налетом 4294:03. Проведено 310 в/боев, сбито 213 с-то противника всех типов, свои потери (не вернулис с б/задания) - 52</w:t>
      </w:r>
    </w:p>
    <w:p w14:paraId="51530CF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Таким образом, на одну потерю своего с-та типа Як приходилось 187 с/вылетов или 178 часов налета. На 1 сбитый с-т проивника - 93 с/выдлета или 90 часлв налета. На одну б/потерю своего с-та от огня ЗА противника пришлось 4304 с/выдлета или 4050 часов налета. Средняя живучесть с-та по сроку его эксплуатации в частях в условиях напряженной боевой работы составляет: Як-1 - 54 часа, Як-7Б - 42 часа, Як-9 - 13 час.</w:t>
      </w:r>
    </w:p>
    <w:p w14:paraId="7A254FF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среднем же по всем с-там типа Як живучесть составила 36,3 час.</w:t>
      </w:r>
    </w:p>
    <w:p w14:paraId="0479E10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Наиболее частыми боевыми повреждениями с-тов типа Як являются:</w:t>
      </w:r>
    </w:p>
    <w:p w14:paraId="52BB37E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Повреждение плоскостей и консолей со срывом фанерного покрытия площадью до 1,5 м2 - 34</w:t>
      </w:r>
    </w:p>
    <w:p w14:paraId="735BF7F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Повреждение в/радиаторов - 13</w:t>
      </w:r>
    </w:p>
    <w:p w14:paraId="2A44021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Повреждения б/баков от пулевых пробоин и разрывов снарядов - 28</w:t>
      </w:r>
    </w:p>
    <w:p w14:paraId="0E11EE7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Повреждение мотора от пуль и снарядов - 14</w:t>
      </w:r>
    </w:p>
    <w:p w14:paraId="60F66CE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Повреждение фюзеляжа со срывом полотняного покрытия размером до 1 м2 - 22</w:t>
      </w:r>
    </w:p>
    <w:p w14:paraId="68BD992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Повреждение хвостового оперения - 25</w:t>
      </w:r>
    </w:p>
    <w:p w14:paraId="4CAA9F2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Повреждение лопастей винта и щшасси - 16</w:t>
      </w:r>
    </w:p>
    <w:p w14:paraId="48A8776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 всех отмеченных выше случаях с-ты возвращались с б/задания благополучно и производили посадки на своем аэродроме. Т.о. основными поражаемыми местами с-та Як являлись:</w:t>
      </w:r>
    </w:p>
    <w:p w14:paraId="01F99B4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центальная часть с-та</w:t>
      </w:r>
    </w:p>
    <w:p w14:paraId="5FC621F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фюзеляжное покрытие кабины л (особенно левая рука л) и другие места с-та, ведущего боевой разворот.</w:t>
      </w:r>
    </w:p>
    <w:p w14:paraId="4F111B2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с-тах тпа Як высказываются пожелания улучшить с-т за счет:</w:t>
      </w:r>
    </w:p>
    <w:p w14:paraId="5E4AA62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усиления обшивки верхней части крыла между 1 и 4 нервюрами за задним лонжероном</w:t>
      </w:r>
    </w:p>
    <w:p w14:paraId="70D4952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поставить указатели расхода б/припасов и работы вооружения</w:t>
      </w:r>
    </w:p>
    <w:p w14:paraId="266B16D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поставить перегородки между б/баками</w:t>
      </w:r>
    </w:p>
    <w:p w14:paraId="7557305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поставить автомат стопора костыля</w:t>
      </w:r>
    </w:p>
    <w:p w14:paraId="2CE70A7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плоскость сделать разъемной</w:t>
      </w:r>
    </w:p>
    <w:p w14:paraId="368A724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Живучесть с-та Ла-5</w:t>
      </w:r>
    </w:p>
    <w:p w14:paraId="784F7E0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Два истребительных полка, имеющих на вооружении с-ты Ла-5Ф и Ла-5ФН за время с 1 февраля 1943 по 1 мая 1944 имели 4161 боевых вылета с общим налетом 3723 час. За это время произведено 270 воздушных боев при которых сбито 177 с-тов противника различного типа. Свои потери (не вернулись с боевого задания) от ИА противника - 27 с-тов и от огня ЗА - 3.</w:t>
      </w:r>
    </w:p>
    <w:p w14:paraId="1CA21FF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одну боевую потерю своего с-та от ИА приходится 153 боевых вылета или 138 час. и на одну потерю от ЗА - 1378 или 1235 часов.</w:t>
      </w:r>
    </w:p>
    <w:p w14:paraId="12B12FB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Средняя живучесть Ла-5 - 69 часов</w:t>
      </w:r>
    </w:p>
    <w:p w14:paraId="327FF89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 боевых повареждений с-та имели место 410 случаев поврежджения деталей с-та и 164 случая повреждения мотора</w:t>
      </w:r>
    </w:p>
    <w:p w14:paraId="7270776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Наиболее часто повреждениям были подвержены:</w:t>
      </w:r>
    </w:p>
    <w:p w14:paraId="5FA2376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1. Нижние капоты мотора и капот радиатора, что приводит к повреждениям маслопроводов, м/отстойника и м/радиатора - 17</w:t>
      </w:r>
    </w:p>
    <w:p w14:paraId="6D34949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Бензобаки - 35</w:t>
      </w:r>
    </w:p>
    <w:p w14:paraId="1534DF0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Переднее и заднее бронестекла - 5</w:t>
      </w:r>
    </w:p>
    <w:p w14:paraId="285C49A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Центроплан и плоскости - 70</w:t>
      </w:r>
    </w:p>
    <w:p w14:paraId="7781B9F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Элероны, лонжероны, нервюры, стрингера, обшивка элеронов, управление элеронами и щитками - 55</w:t>
      </w:r>
    </w:p>
    <w:p w14:paraId="46C945E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востовое управление, тяги оперениягидросистема, воздухосистема, система н/газа, кимлородное оборудование, костыль - 10</w:t>
      </w:r>
    </w:p>
    <w:p w14:paraId="328C6A4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Лопасти винта - 2</w:t>
      </w:r>
    </w:p>
    <w:p w14:paraId="4FD686E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 всех перечисленных случаях поврежденные с-ты возвращались из боевых заданий и благополучно производили посадку на свой аэродром.</w:t>
      </w:r>
    </w:p>
    <w:p w14:paraId="7401321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 с-ты восстанавливались силами полков и ПАРМ-1 в течение 3-10 суток.</w:t>
      </w:r>
    </w:p>
    <w:p w14:paraId="6CEB79B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недостаткам конструкции с-та Ла-5 относятся:</w:t>
      </w:r>
    </w:p>
    <w:p w14:paraId="20A947E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Узкое переднее б/стекло</w:t>
      </w:r>
    </w:p>
    <w:p w14:paraId="193874D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Сзади-сверху голова л не защищена - нужен бронезаголовник</w:t>
      </w:r>
    </w:p>
    <w:p w14:paraId="25E607C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Низ с-та не защищен. Если попаждание в мотор не выводит его из строя, то попадание в фюзеляж или плоскотьв большинстве случаев выводит с-т из строя. Л в этих слукчаях покидает с-т. При попадании снаряда в плоскость плоскость вскрывается вся целиком и с-т становится неуправляемым. При попадании снаряда в фюзеляж в большинстве случаев отваливается хвост.</w:t>
      </w:r>
    </w:p>
    <w:p w14:paraId="04C4802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Летный и технический состав высказывает пожелания улучшить с-т Ла-5 за счет:</w:t>
      </w:r>
    </w:p>
    <w:p w14:paraId="017560D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Автоматизации ВМГ</w:t>
      </w:r>
    </w:p>
    <w:p w14:paraId="0F10D79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Полного закрытия уюбранных колес</w:t>
      </w:r>
    </w:p>
    <w:p w14:paraId="142AD01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Всасывающий патрубок перенести вниз для улучшения обзора. Патрубок закрывает нижнюю сетку прицела</w:t>
      </w:r>
    </w:p>
    <w:p w14:paraId="497E9FD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Перенести выше управление триммером РВ</w:t>
      </w:r>
    </w:p>
    <w:p w14:paraId="19C7FA1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Повысить эффективность руля глубины для посадки на 3 точки</w:t>
      </w:r>
    </w:p>
    <w:p w14:paraId="27D28F9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Основным эе недостатком с-та Ла-5 является его деревянная конструкция. При грубых посадках имеет место поломка фюзеляжа. Весьма жедлательно каркас фюзеляжа по кабину делать металлическим, что существенно повысит живучесть с-та.</w:t>
      </w:r>
    </w:p>
    <w:p w14:paraId="53DA522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Живучесть с-та Ил-2</w:t>
      </w:r>
    </w:p>
    <w:p w14:paraId="798F00B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время отчета, а именно с 1 сентября 1941 по 1 мая 1944 три полка 233 шад на самолетах Ил-2 выполнили 7472 самолетовылетов и налетали 7511 часов. За это время потеряли 220, что в среднем составляет на 1 потерю своего с-та 35 часов. Средняя живучесть за 7 месяцев наиболее напряженной работы составляла 30 часов.</w:t>
      </w:r>
    </w:p>
    <w:p w14:paraId="7E1AE55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Живучесть с-та Бостон Ш</w:t>
      </w:r>
    </w:p>
    <w:p w14:paraId="68DDF0E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время с 1 января 1943 по 1 декабря 1943 в 3-х бап количество вылетов составило 2995 с налетом 7506. Потеряно 33 с-та. Количество вылетов на 1 потерю - 84, налет - 177,6 или 1.1% от количества вылетов.</w:t>
      </w:r>
    </w:p>
    <w:p w14:paraId="256EEEB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Средняя живучесть с-та при выполнении боевых заданий ночью - 98 б/вылетов на 1 потерюи днем - 77.</w:t>
      </w:r>
    </w:p>
    <w:p w14:paraId="2BC78E9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каждые 100 час. средняя б/потеря достиганет 0,45 (11444).</w:t>
      </w:r>
    </w:p>
    <w:p w14:paraId="21B5D04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033D8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июня 1944 на МиГ АМ-39Б + 2ТК-2Б был произведен полет на определение границы высотности на 1-й скорости продолжительностью 0:35, но на 8000 м полет прекратили, т.к. плохо работала бензопомпа (1825,76).</w:t>
      </w:r>
    </w:p>
    <w:p w14:paraId="325D58A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1F30B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июня 1944 на МИГ С АМ-39Б И 2ТК-2Б был произведен полет на определенле границы вы</w:t>
      </w:r>
      <w:r w:rsidRPr="007224C3">
        <w:rPr>
          <w:rFonts w:ascii="Times New Roman" w:hAnsi="Times New Roman"/>
          <w:color w:val="000000" w:themeColor="text1"/>
          <w:sz w:val="16"/>
          <w:szCs w:val="16"/>
        </w:rPr>
        <w:softHyphen/>
        <w:t>сотности на 1-й скорости нагнетателя с включенным ТК. Продолжительность полета - 35 мин; высота-8000 мт. Начиная с высоты 4000 мт, давление бензина произвольно изменялось, то падало, то повышалось. После полета сменена бензопомпа и самолет подготовлен к очередному полету (1825).</w:t>
      </w:r>
    </w:p>
    <w:p w14:paraId="419C0CA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A9F5E42" w14:textId="77777777" w:rsidR="00D70979" w:rsidRPr="007224C3" w:rsidRDefault="00D70979" w:rsidP="007224C3">
      <w:pPr>
        <w:pStyle w:val="27"/>
        <w:shd w:val="clear" w:color="auto" w:fill="auto"/>
        <w:spacing w:after="0" w:line="240" w:lineRule="auto"/>
        <w:ind w:firstLine="0"/>
        <w:rPr>
          <w:rFonts w:ascii="Times New Roman" w:cs="Times New Roman"/>
          <w:color w:val="000000" w:themeColor="text1"/>
          <w:spacing w:val="0"/>
        </w:rPr>
      </w:pPr>
      <w:r w:rsidRPr="007224C3">
        <w:rPr>
          <w:rFonts w:ascii="Times New Roman" w:cs="Times New Roman"/>
          <w:color w:val="000000" w:themeColor="text1"/>
          <w:spacing w:val="0"/>
        </w:rPr>
        <w:t>С 5 июня по 18 июля 1944 г. проходили госу</w:t>
      </w:r>
      <w:r w:rsidRPr="007224C3">
        <w:rPr>
          <w:rFonts w:ascii="Times New Roman" w:cs="Times New Roman"/>
          <w:color w:val="000000" w:themeColor="text1"/>
          <w:spacing w:val="0"/>
        </w:rPr>
        <w:softHyphen/>
        <w:t>дарственные испытания в ГК НИИ ВВС ПТАБ-10-2,5. Бомба уверенно пробивала танковую броню толщиной до 160 мм при углах встречи до 30° и обеспечивала пробитие 40-мм брони, расположен</w:t>
      </w:r>
      <w:r w:rsidRPr="007224C3">
        <w:rPr>
          <w:rFonts w:ascii="Times New Roman" w:cs="Times New Roman"/>
          <w:color w:val="000000" w:themeColor="text1"/>
          <w:spacing w:val="0"/>
        </w:rPr>
        <w:softHyphen/>
        <w:t>ной на расстоянии 500 мм от броневого экрана тол</w:t>
      </w:r>
      <w:r w:rsidRPr="007224C3">
        <w:rPr>
          <w:rFonts w:ascii="Times New Roman" w:cs="Times New Roman"/>
          <w:color w:val="000000" w:themeColor="text1"/>
          <w:spacing w:val="0"/>
        </w:rPr>
        <w:softHyphen/>
        <w:t>щиной до 20 мм. Кроме того, был сделан вывод, что ПТАБ-10-2,5 способны с большой эффективностью поражать материальную часть артиллерии всех ка</w:t>
      </w:r>
      <w:r w:rsidRPr="007224C3">
        <w:rPr>
          <w:rFonts w:ascii="Times New Roman" w:cs="Times New Roman"/>
          <w:color w:val="000000" w:themeColor="text1"/>
          <w:spacing w:val="0"/>
        </w:rPr>
        <w:softHyphen/>
        <w:t>либров и самолеты на аэро</w:t>
      </w:r>
      <w:r w:rsidRPr="007224C3">
        <w:rPr>
          <w:rFonts w:ascii="Times New Roman" w:cs="Times New Roman"/>
          <w:color w:val="000000" w:themeColor="text1"/>
          <w:spacing w:val="0"/>
        </w:rPr>
        <w:softHyphen/>
        <w:t>дромах, железнодорожные объекты (ж.д. узлы, эшело</w:t>
      </w:r>
      <w:r w:rsidRPr="007224C3">
        <w:rPr>
          <w:rFonts w:ascii="Times New Roman" w:cs="Times New Roman"/>
          <w:color w:val="000000" w:themeColor="text1"/>
          <w:spacing w:val="0"/>
        </w:rPr>
        <w:softHyphen/>
        <w:t>ны, паровозы, цистерны), мотомехчасти и автотран</w:t>
      </w:r>
      <w:r w:rsidRPr="007224C3">
        <w:rPr>
          <w:rFonts w:ascii="Times New Roman" w:cs="Times New Roman"/>
          <w:color w:val="000000" w:themeColor="text1"/>
          <w:spacing w:val="0"/>
        </w:rPr>
        <w:softHyphen/>
        <w:t>спорт, а также надводные переправы, наземные ре</w:t>
      </w:r>
      <w:r w:rsidRPr="007224C3">
        <w:rPr>
          <w:rFonts w:ascii="Times New Roman" w:cs="Times New Roman"/>
          <w:color w:val="000000" w:themeColor="text1"/>
          <w:spacing w:val="0"/>
        </w:rPr>
        <w:softHyphen/>
        <w:t>зервуары с нефтепродукта</w:t>
      </w:r>
      <w:r w:rsidRPr="007224C3">
        <w:rPr>
          <w:rFonts w:ascii="Times New Roman" w:cs="Times New Roman"/>
          <w:color w:val="000000" w:themeColor="text1"/>
          <w:spacing w:val="0"/>
        </w:rPr>
        <w:softHyphen/>
        <w:t>ми и склады боеприпасов. Бомбу рекомендовали при</w:t>
      </w:r>
      <w:r w:rsidRPr="007224C3">
        <w:rPr>
          <w:rFonts w:ascii="Times New Roman" w:cs="Times New Roman"/>
          <w:color w:val="000000" w:themeColor="text1"/>
          <w:spacing w:val="0"/>
        </w:rPr>
        <w:softHyphen/>
        <w:t>нять на вооружение ВВС КА после устранения всех вы</w:t>
      </w:r>
      <w:r w:rsidRPr="007224C3">
        <w:rPr>
          <w:rFonts w:ascii="Times New Roman" w:cs="Times New Roman"/>
          <w:color w:val="000000" w:themeColor="text1"/>
          <w:spacing w:val="0"/>
        </w:rPr>
        <w:softHyphen/>
        <w:t>явленных в ходе испытаний недостатков и проведения войсковых испытаний (12739).</w:t>
      </w:r>
    </w:p>
    <w:p w14:paraId="6EEFC4CB" w14:textId="77777777" w:rsidR="00D70979" w:rsidRPr="007224C3" w:rsidRDefault="00D70979" w:rsidP="007224C3">
      <w:pPr>
        <w:spacing w:after="0" w:line="240" w:lineRule="auto"/>
        <w:jc w:val="both"/>
        <w:rPr>
          <w:rFonts w:ascii="Times New Roman" w:hAnsi="Times New Roman"/>
          <w:color w:val="000000" w:themeColor="text1"/>
          <w:sz w:val="16"/>
          <w:szCs w:val="16"/>
        </w:rPr>
      </w:pPr>
    </w:p>
    <w:p w14:paraId="7F5D9023" w14:textId="77777777" w:rsidR="00D54008" w:rsidRPr="007224C3" w:rsidRDefault="00D54008"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С 5 июня по 18 июля 1944 г. на государственных испытаниях в ГК НИИ ВВС ПТАБ-10-2,5 уверенно пробива</w:t>
      </w:r>
      <w:r w:rsidRPr="007224C3">
        <w:rPr>
          <w:color w:val="000000" w:themeColor="text1"/>
          <w:sz w:val="16"/>
          <w:szCs w:val="16"/>
        </w:rPr>
        <w:softHyphen/>
        <w:t>ла танковую броню толщиной до 160 мм при углах встречи до 30° и обеспечивала пробитие 40-мм брони, расположенной на расстоянии 500 мм от броневого экрана толщиной до 20 мм. Кроме то</w:t>
      </w:r>
      <w:r w:rsidRPr="007224C3">
        <w:rPr>
          <w:color w:val="000000" w:themeColor="text1"/>
          <w:sz w:val="16"/>
          <w:szCs w:val="16"/>
        </w:rPr>
        <w:softHyphen/>
        <w:t>го, был сделан вывод, что ПТАБ-10-2,5 способны с большой эффективностью поражать материаль</w:t>
      </w:r>
      <w:r w:rsidRPr="007224C3">
        <w:rPr>
          <w:color w:val="000000" w:themeColor="text1"/>
          <w:sz w:val="16"/>
          <w:szCs w:val="16"/>
        </w:rPr>
        <w:softHyphen/>
        <w:t>ную часть артиллерии всех калибров и самолеты на аэродромах, железнодорожные объекты (ж.-д. узлы, эшелоны, паровозы, цистерны), мотомехчасти и автотранспорт, а также надводные переправы, на</w:t>
      </w:r>
      <w:r w:rsidRPr="007224C3">
        <w:rPr>
          <w:color w:val="000000" w:themeColor="text1"/>
          <w:sz w:val="16"/>
          <w:szCs w:val="16"/>
        </w:rPr>
        <w:softHyphen/>
        <w:t>земные резервуары с нефтепродуктами и склады боеприпасов. Бомбу рекомендовали принять на во</w:t>
      </w:r>
      <w:r w:rsidRPr="007224C3">
        <w:rPr>
          <w:color w:val="000000" w:themeColor="text1"/>
          <w:sz w:val="16"/>
          <w:szCs w:val="16"/>
        </w:rPr>
        <w:softHyphen/>
        <w:t>оружение ВВС КА после устранения всех выявлен</w:t>
      </w:r>
      <w:r w:rsidRPr="007224C3">
        <w:rPr>
          <w:color w:val="000000" w:themeColor="text1"/>
          <w:sz w:val="16"/>
          <w:szCs w:val="16"/>
        </w:rPr>
        <w:softHyphen/>
        <w:t>ных в ходе испытаний недостатков и проведения войсковых испытаний.</w:t>
      </w:r>
    </w:p>
    <w:p w14:paraId="436F7A3D" w14:textId="77777777" w:rsidR="00D54008" w:rsidRPr="007224C3" w:rsidRDefault="00D54008"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Учитывая результаты государственных испыта</w:t>
      </w:r>
      <w:r w:rsidRPr="007224C3">
        <w:rPr>
          <w:color w:val="000000" w:themeColor="text1"/>
          <w:sz w:val="16"/>
          <w:szCs w:val="16"/>
        </w:rPr>
        <w:softHyphen/>
        <w:t>ний и крайнюю необходимость в мощном противо</w:t>
      </w:r>
      <w:r w:rsidRPr="007224C3">
        <w:rPr>
          <w:color w:val="000000" w:themeColor="text1"/>
          <w:sz w:val="16"/>
          <w:szCs w:val="16"/>
        </w:rPr>
        <w:softHyphen/>
        <w:t>танковом боеприпасе, Военный совет ВВС КА 5 ок</w:t>
      </w:r>
      <w:r w:rsidRPr="007224C3">
        <w:rPr>
          <w:color w:val="000000" w:themeColor="text1"/>
          <w:sz w:val="16"/>
          <w:szCs w:val="16"/>
        </w:rPr>
        <w:softHyphen/>
        <w:t>тября 1944 г. принял решение «произвести сроч ный заказ ПТАБ-10-2,5 в количестве 100—150 тысяч штук для проведения войсковых испытаний» (17500).</w:t>
      </w:r>
    </w:p>
    <w:p w14:paraId="26B142D0" w14:textId="77777777" w:rsidR="00D54008" w:rsidRPr="007224C3" w:rsidRDefault="00D54008" w:rsidP="007224C3">
      <w:pPr>
        <w:spacing w:after="0" w:line="240" w:lineRule="auto"/>
        <w:jc w:val="both"/>
        <w:rPr>
          <w:rFonts w:ascii="Times New Roman" w:eastAsia="Times New Roman" w:hAnsi="Times New Roman"/>
          <w:color w:val="000000" w:themeColor="text1"/>
          <w:sz w:val="16"/>
          <w:szCs w:val="16"/>
          <w:lang w:eastAsia="ru-RU"/>
        </w:rPr>
      </w:pPr>
    </w:p>
    <w:p w14:paraId="795CF86E"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7EB3901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9ACA7FD" w14:textId="77777777" w:rsidR="006B3C37" w:rsidRPr="007224C3" w:rsidRDefault="006B3C3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июня 1944</w:t>
      </w:r>
    </w:p>
    <w:p w14:paraId="7FB56DB2" w14:textId="77777777" w:rsidR="006B3C37" w:rsidRPr="007224C3" w:rsidRDefault="006B3C3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Справка на имя председателя КПК А.А.Андреева «О предоставлении директором завода № 60 очковтирательских сведений о выполнении плана за апрель месяц 1944 г. в НКВ СССР», подготовленная уполномоченным КПК по Киргизской ССР Сотсковым 05.06.1944 (18627).</w:t>
      </w:r>
    </w:p>
    <w:p w14:paraId="6E3E4F3B" w14:textId="77777777" w:rsidR="006B3C37" w:rsidRPr="007224C3" w:rsidRDefault="006B3C37" w:rsidP="007224C3">
      <w:pPr>
        <w:spacing w:after="0" w:line="240" w:lineRule="auto"/>
        <w:jc w:val="both"/>
        <w:rPr>
          <w:rFonts w:ascii="Times New Roman" w:hAnsi="Times New Roman"/>
          <w:color w:val="000000" w:themeColor="text1"/>
          <w:sz w:val="16"/>
          <w:szCs w:val="16"/>
        </w:rPr>
      </w:pPr>
    </w:p>
    <w:p w14:paraId="6772772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июня 1944 г. начались испытания опытного образца улучшенной ИСУ-122, которые показали, что он стал на 450 кг легче, чем Серийная САУ, что давало ему ряд эксплуа</w:t>
      </w:r>
      <w:r w:rsidRPr="007224C3">
        <w:rPr>
          <w:rFonts w:ascii="Times New Roman" w:hAnsi="Times New Roman"/>
          <w:color w:val="000000" w:themeColor="text1"/>
          <w:sz w:val="16"/>
          <w:szCs w:val="16"/>
        </w:rPr>
        <w:softHyphen/>
        <w:t>тационных преимуществ. Наличие клинового полуавтомати</w:t>
      </w:r>
      <w:r w:rsidRPr="007224C3">
        <w:rPr>
          <w:rFonts w:ascii="Times New Roman" w:hAnsi="Times New Roman"/>
          <w:color w:val="000000" w:themeColor="text1"/>
          <w:sz w:val="16"/>
          <w:szCs w:val="16"/>
        </w:rPr>
        <w:softHyphen/>
        <w:t>ческого затвора с электроспуском облегчало процесс стрель</w:t>
      </w:r>
      <w:r w:rsidRPr="007224C3">
        <w:rPr>
          <w:rFonts w:ascii="Times New Roman" w:hAnsi="Times New Roman"/>
          <w:color w:val="000000" w:themeColor="text1"/>
          <w:sz w:val="16"/>
          <w:szCs w:val="16"/>
        </w:rPr>
        <w:softHyphen/>
        <w:t>бы из орудия, так как механизированный спуск орудий А-19 был недостаточно надежным. Исключение из состава экипа</w:t>
      </w:r>
      <w:r w:rsidRPr="007224C3">
        <w:rPr>
          <w:rFonts w:ascii="Times New Roman" w:hAnsi="Times New Roman"/>
          <w:color w:val="000000" w:themeColor="text1"/>
          <w:sz w:val="16"/>
          <w:szCs w:val="16"/>
        </w:rPr>
        <w:softHyphen/>
        <w:t>жа замкового, несмотря на наличие полуавтоматического за</w:t>
      </w:r>
      <w:r w:rsidRPr="007224C3">
        <w:rPr>
          <w:rFonts w:ascii="Times New Roman" w:hAnsi="Times New Roman"/>
          <w:color w:val="000000" w:themeColor="text1"/>
          <w:sz w:val="16"/>
          <w:szCs w:val="16"/>
        </w:rPr>
        <w:softHyphen/>
        <w:t>твора, привело к тому, что реальная скорострельность САУ снизилась (с 4-5 выстр./мин до 3,5 выстр./мин), но выиг</w:t>
      </w:r>
      <w:r w:rsidRPr="007224C3">
        <w:rPr>
          <w:rFonts w:ascii="Times New Roman" w:hAnsi="Times New Roman"/>
          <w:color w:val="000000" w:themeColor="text1"/>
          <w:sz w:val="16"/>
          <w:szCs w:val="16"/>
        </w:rPr>
        <w:softHyphen/>
        <w:t>рыш в массе и сокращение экипажа были очень привлека</w:t>
      </w:r>
      <w:r w:rsidRPr="007224C3">
        <w:rPr>
          <w:rFonts w:ascii="Times New Roman" w:hAnsi="Times New Roman"/>
          <w:color w:val="000000" w:themeColor="text1"/>
          <w:sz w:val="16"/>
          <w:szCs w:val="16"/>
        </w:rPr>
        <w:softHyphen/>
        <w:t>тельными для тяжелых САП Красной Армии (11417).</w:t>
      </w:r>
    </w:p>
    <w:p w14:paraId="2D52029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E3A122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июня 1944 г. была подготовлена ДОКЛАДНАЯ ЗАПИСКА ЗАМЕСТИТЕЛЯ НАЧАЛЬНИКА ГБТУ КА ПРЕДСЕДАТЕЛЮ ТЕХСОВЕТА НКВ О РАЗРАБОТКЕ К 85, 100 И 1 22-мм ТАНКОВЫМ И САМОХОДНЫМ ПУШКАМ ПРИСПОСОБЛЕНИЯ ДЛЯ ПРОДУВКИ СТВОЛА № 586240</w:t>
      </w:r>
    </w:p>
    <w:p w14:paraId="54D73DF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интенсивной стрельбе из пушек в боевом отделении танков и самоходных артиллерийских установок накапливается большое количество пороховых газов, которые сильно утомляют экипаж и снижают эффективность стрельбы.</w:t>
      </w:r>
    </w:p>
    <w:p w14:paraId="6070A70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Установленные в машинах вентиляторы при неработающем моторе задачу устранения порохо</w:t>
      </w:r>
      <w:r w:rsidRPr="007224C3">
        <w:rPr>
          <w:rFonts w:ascii="Times New Roman" w:hAnsi="Times New Roman"/>
          <w:color w:val="000000" w:themeColor="text1"/>
          <w:sz w:val="16"/>
          <w:szCs w:val="16"/>
        </w:rPr>
        <w:softHyphen/>
        <w:t>вых газов из боевого отделения полностью не решают.</w:t>
      </w:r>
    </w:p>
    <w:p w14:paraId="5CC4E59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создания лучших условий работы экипажа прошу Вашего распоряжения КБ заводов разработать к 83, 100 и 122-мм танковым и самоходным пушкам приспособления для продувки ствола после выстрела.</w:t>
      </w:r>
    </w:p>
    <w:p w14:paraId="08A91CE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решении этого вопроса желательно спроектировать компрессор, использующий энергию отката и наката ствола.</w:t>
      </w:r>
    </w:p>
    <w:p w14:paraId="5AC6F9E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 Вапгем решении прошу сообщить.</w:t>
      </w:r>
    </w:p>
    <w:p w14:paraId="1E6EC66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Заместитель начальника ГБТУ КА генерал-лейтенант инженерно-танковой службы Лебедев</w:t>
      </w:r>
    </w:p>
    <w:p w14:paraId="1ABF087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УСА ГБТУ КА генерал-майор инженерно-танковой службы Алымов</w:t>
      </w:r>
    </w:p>
    <w:p w14:paraId="2DB4479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38. Оп. 11369. Д. 492. Л. 34. Копия (11420).</w:t>
      </w:r>
    </w:p>
    <w:p w14:paraId="782A886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2C09604"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июня 1944 вышло Постановление ГКО № 6003 [О разрешении НКВТ и НКМФ отправлять суда с грузами оборудования и металлов из США через пролив Лаперуза во Владивосток, а с грузом военной техники и оборудования нефтезаводов - через Татарский пролив.] (7238, 180).</w:t>
      </w:r>
    </w:p>
    <w:p w14:paraId="0147D7D2"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C2F47E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июня 1944 вышло Распоряжение ГКО № 6004. О поставках оборудования для судов с заводов № 718 НКМВ и № 112 НКТП. РГАНИР, Фонд ГКО, д. 261, лл. 181 (11012).</w:t>
      </w:r>
    </w:p>
    <w:p w14:paraId="7CE5BCE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48E1097" w14:textId="77777777" w:rsidR="00072A8C"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июня 1944 вышло Распоряжение ГКО № 6005. О подготовке восстановления производства на заводе № 232 НКВ корпусов морских бронебойных снарядов крупных калибров. РГАНИР, Фонд ГКО, д. 261, лл. 182 (11012).</w:t>
      </w:r>
    </w:p>
    <w:p w14:paraId="291F3CC2" w14:textId="77777777" w:rsidR="00072A8C" w:rsidRPr="007224C3" w:rsidRDefault="00072A8C" w:rsidP="007224C3">
      <w:pPr>
        <w:autoSpaceDE w:val="0"/>
        <w:autoSpaceDN w:val="0"/>
        <w:adjustRightInd w:val="0"/>
        <w:spacing w:after="0" w:line="240" w:lineRule="auto"/>
        <w:jc w:val="both"/>
        <w:rPr>
          <w:rFonts w:ascii="Times New Roman" w:hAnsi="Times New Roman"/>
          <w:color w:val="000000" w:themeColor="text1"/>
          <w:sz w:val="16"/>
          <w:szCs w:val="16"/>
        </w:rPr>
      </w:pPr>
    </w:p>
    <w:p w14:paraId="2E6AB864" w14:textId="77777777" w:rsidR="00072A8C"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июня 1944 г. вышло:</w:t>
      </w:r>
    </w:p>
    <w:p w14:paraId="4F30ACF8" w14:textId="77777777" w:rsidR="00072A8C"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ПОСТАНОВЛЕНИЕ ГОСУДАРСТВЕННОГО КОМИТЕТА ОБОРОНЫ № 6005сс</w:t>
      </w:r>
    </w:p>
    <w:p w14:paraId="19687B5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 восстановлении производства морских снарядов крупных калибров на заводе № 232 НКВооружения СССР.</w:t>
      </w:r>
    </w:p>
    <w:p w14:paraId="58516D6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РАСПОРЯЖЕНИЕ № 6005с</w:t>
      </w:r>
    </w:p>
    <w:p w14:paraId="46DE373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Москва,Кремль Обязать Наркомвооружения (тов. Устинова):</w:t>
      </w:r>
    </w:p>
    <w:p w14:paraId="55F856E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Прекратить с 8 июня производство корпусов 130мм осколочно-фугасных снарядов на заводе № 232, закончив и сдав имеющиеся заделы.</w:t>
      </w:r>
    </w:p>
    <w:p w14:paraId="332A985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Предусмотреть в плане восстановления завода № 232 восстановление производства корпусов морских бронебойных снарядов крупных калибров, обеспечив к 1.7.45 г. создание мощностей на следующий годовой выпуск:</w:t>
      </w:r>
    </w:p>
    <w:p w14:paraId="0421F7F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корпусов 406 мм бронебойных снарядов - 100 шт.</w:t>
      </w:r>
    </w:p>
    <w:p w14:paraId="2632ED2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корпусов 356 мм бронебойных снарядов - 250 шт.</w:t>
      </w:r>
    </w:p>
    <w:p w14:paraId="0AC138B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корпусов 305 мм бронебойных снарядов - 750 шт.</w:t>
      </w:r>
    </w:p>
    <w:p w14:paraId="31A9201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корпусов 180 мм бронебойных снарядов - 10000 шт.</w:t>
      </w:r>
    </w:p>
    <w:p w14:paraId="403FFB6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Председателя Государственного Комитета Обороны (Л.Берия)</w:t>
      </w:r>
    </w:p>
    <w:p w14:paraId="719B6B7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Молотову, Берия (2 экз.), Вознесенскому, Устинову, Кузнецову (НКВМФ), Борисову, Мафневу, Чадаеву </w:t>
      </w:r>
    </w:p>
    <w:p w14:paraId="72777D8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СЕКРИТАРИАТ ЗАМ. ПРЕДСЕДАТЕЛЯ СНК СОЮЗА ССР</w:t>
      </w:r>
    </w:p>
    <w:p w14:paraId="6D17FCF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ТОВ. Л. П. БЕРИЯ</w:t>
      </w:r>
    </w:p>
    <w:p w14:paraId="4C503D8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№2133 "5" июня 1944 г.</w:t>
      </w:r>
    </w:p>
    <w:p w14:paraId="3D54A3D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Товарищу ПОСКРЕБЫШЕВУ А.Н.</w:t>
      </w:r>
    </w:p>
    <w:p w14:paraId="731DE2A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Посылаю на выпуск подписанные товарищем БЕРИЯ Л.П. распоряжения ГОКО:</w:t>
      </w:r>
    </w:p>
    <w:p w14:paraId="5C8D8E1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Об изменении Постановления ГОКО № 5140 от 10.II -44 г. в части поставки НКСП и НКРФ коленчатых валов;</w:t>
      </w:r>
    </w:p>
    <w:p w14:paraId="3D91E03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О восстановлении производства морских снарядов крупных калибров на заводе № 232 НКВ;</w:t>
      </w:r>
    </w:p>
    <w:p w14:paraId="2052F36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Об изготовлении индивидуальных броневых щитков на заводе № 50 НКТП.</w:t>
      </w:r>
    </w:p>
    <w:p w14:paraId="2951497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 Ордынцев) (11813).</w:t>
      </w:r>
    </w:p>
    <w:p w14:paraId="2E7CC5F5" w14:textId="77777777" w:rsidR="00072A8C" w:rsidRPr="007224C3" w:rsidRDefault="00072A8C" w:rsidP="007224C3">
      <w:pPr>
        <w:autoSpaceDE w:val="0"/>
        <w:autoSpaceDN w:val="0"/>
        <w:adjustRightInd w:val="0"/>
        <w:spacing w:after="0" w:line="240" w:lineRule="auto"/>
        <w:jc w:val="both"/>
        <w:rPr>
          <w:rFonts w:ascii="Times New Roman" w:hAnsi="Times New Roman"/>
          <w:color w:val="000000" w:themeColor="text1"/>
          <w:sz w:val="16"/>
          <w:szCs w:val="16"/>
        </w:rPr>
      </w:pPr>
    </w:p>
    <w:p w14:paraId="03C30C6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июня 1944 вышло Распоряжение ГКО № 6006. Об испытании бронежилетов. РГАНИР, Фонд ГКО, д. 261, лл. 183 (11012).</w:t>
      </w:r>
    </w:p>
    <w:p w14:paraId="6CC0122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F844AB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июня 1944 года начальник 5-го гл. управления НКМВ Петухов писал письмо № 80-б-9/30 зам. наркома минометного вооружения Козлову</w:t>
      </w:r>
    </w:p>
    <w:p w14:paraId="31340AE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Докладываю, что объединенный приказ наркома и председателя Комитета по делам искусств при СНК от 5 мая 1944 года № 216/239 о передаче Дома звукозаписи, Апрелевского завода грампластинок и Ташкентского строит. завода грампластинок Комитету по делам искусств при СНК мною выполнен (8660,18).</w:t>
      </w:r>
    </w:p>
    <w:p w14:paraId="34931C6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B494A0"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4CB67A5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F81437D" w14:textId="77777777" w:rsidR="00072A8C" w:rsidRPr="007224C3" w:rsidRDefault="0007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5 июня</w:t>
      </w:r>
      <w:r w:rsidRPr="007224C3">
        <w:rPr>
          <w:rFonts w:ascii="Times New Roman" w:hAnsi="Times New Roman"/>
          <w:color w:val="000000" w:themeColor="text1"/>
          <w:sz w:val="16"/>
          <w:szCs w:val="16"/>
        </w:rPr>
        <w:t xml:space="preserve"> в 1944 году оперативная сводка Совинформбюро:</w:t>
      </w:r>
    </w:p>
    <w:p w14:paraId="6D06D5FE" w14:textId="77777777" w:rsidR="00072A8C" w:rsidRPr="007224C3" w:rsidRDefault="0007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5 июня в районе северо-западнее и севернее города ЯССЫ наши войска успешно отбивали атаки крупных сил пехоты и танков противника. За 4 июня в этом районе уничтожен 41 немецкий танк и сбито 33 самолёта противника.</w:t>
      </w:r>
    </w:p>
    <w:p w14:paraId="3A4C6B55" w14:textId="77777777" w:rsidR="00072A8C" w:rsidRPr="007224C3" w:rsidRDefault="0007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 без перемен.</w:t>
      </w:r>
    </w:p>
    <w:p w14:paraId="20BE71AD" w14:textId="77777777" w:rsidR="00072A8C" w:rsidRPr="007224C3" w:rsidRDefault="0007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4 июня на всех фронтах в воздушных боях и огнём зенитной артиллерии сбито 39 самолётов противника.»</w:t>
      </w:r>
    </w:p>
    <w:p w14:paraId="451BAC80" w14:textId="77777777" w:rsidR="00072A8C" w:rsidRPr="007224C3" w:rsidRDefault="0007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Массированный налёт нашей авиации на железнодорожный узел Кишинёв и военные объекты города Кишинёва:</w:t>
      </w:r>
    </w:p>
    <w:p w14:paraId="51B57C3F" w14:textId="77777777" w:rsidR="00072A8C" w:rsidRPr="007224C3" w:rsidRDefault="0007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ночь на 5 июня наша авиация произвела массированный налёт на железнодорожный узел Кишинёв и военные объекты города Кишинёва. В момент налёта на железнодорожном узле находилось много воинских эшелонов противника. В результате бомбардировки возникли десятки пожаров, сопровождавшихся взрывами. Горели паровозы, железнодорожные вагоны и платформы с военной техникой, цистерны с горючим, а также военные склады.</w:t>
      </w:r>
    </w:p>
    <w:p w14:paraId="3A6C5D3F" w14:textId="77777777" w:rsidR="00072A8C" w:rsidRPr="007224C3" w:rsidRDefault="0007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Один наш самолёт не вернулся на свой аэродром.»</w:t>
      </w:r>
    </w:p>
    <w:p w14:paraId="6A4203FD" w14:textId="77777777" w:rsidR="00072A8C" w:rsidRPr="007224C3" w:rsidRDefault="0007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«Северо-западнее и севернее города Яссы противник продолжал атаковать наши позиции. Особенно ожесточённые бои развернулись во второй половине дня, когда немцы ввели в бой свежие силы пехоты и танков. Гитлеровцам вначале удалось приблизиться к нашим позициям, но последовавшим затем контрударом советские танки и пехота отбросили противника. Успешно вели огонь советские артиллеристы, уничтожившие много танков и живой силы противника. Части Н-ского соединения за день истребили свыше 600 гитлеровцев, подбили и сожгли 21 немецкий танк.</w:t>
      </w:r>
    </w:p>
    <w:p w14:paraId="019FF368" w14:textId="77777777" w:rsidR="00072A8C" w:rsidRPr="007224C3" w:rsidRDefault="0007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воздушных боях снова отличился Герой Советского Союза Иван Кожедуб. За два дня т. Кожедуб сбил 5 немецких самолётов.</w:t>
      </w:r>
    </w:p>
    <w:p w14:paraId="70497EDF" w14:textId="77777777" w:rsidR="00072A8C" w:rsidRPr="007224C3" w:rsidRDefault="0007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Северо-западнее города Тирасполь отряд противника пытался на пяти лодках переправиться через Днестр. Наше боевое охранение обстреляло гитлеровцев пулемётным огнём. Многие немцы были убиты или утонули в реке. На одном участке противник направил к нашему переднему краю танкетку-торпеду. Младший лейтенант Донцов с группой смельчаков выдвинулся навстречу танкетке и перерезал тянувшиеся за ней провода. Немецкая танкетка была доставлена на командный пункт. Все другие попытки немцев применить танкетки-торпеды не дали никаких результатов. Наши артиллеристы расстреливают танкетки-торпеды, не давая им приблизиться к переднему краю советской обороны.</w:t>
      </w:r>
    </w:p>
    <w:p w14:paraId="4E9523A7" w14:textId="77777777" w:rsidR="00072A8C" w:rsidRPr="007224C3" w:rsidRDefault="0007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Северо-западнее города Витебск группы разведчиков старшего сержанта Васильева и младшего лейтенанта Дроздова ночью пробрались в расположение немцев. Советские бойцы внезапно ворвались в траншеи противника и в ожесточённой схватке истребили 30 гитлеровцев. Захватив пленных и трофеи, разведчики вернулись в свою часть.</w:t>
      </w:r>
    </w:p>
    <w:p w14:paraId="4A859F99" w14:textId="77777777" w:rsidR="00072A8C" w:rsidRPr="007224C3" w:rsidRDefault="0007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Шесть снайперов Н-ской части в мае истребили 53 немецких солдата и офицера. Младший сержант Скрылин и рядовой. Кабанов уничтожили по 12 немцев, рядовые Гоголев и Батурин — по 10, рядовые Русаков и Хотин уничтожили 9 немцев.</w:t>
      </w:r>
    </w:p>
    <w:p w14:paraId="034899EF" w14:textId="77777777" w:rsidR="00072A8C" w:rsidRPr="007224C3" w:rsidRDefault="0007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Литовский партизанский отряд «Вперёд» совершил налёт на немецкую тюрьму в большом населённом пункте. Советские патриоты уничтожили охрану и освободили 27 советских граждан, находившихся в немецком застенке. Партизанами захвачен в плен немецкий начальник тюрьмы. Партизанские отряды «Смерть оккупантам» и «Жальгирис» пустили под откос 4 воинских эшелона противника, следовавших к линии фронта. Разбиты 2 паровоза и 29. вагонов. Убито и ранено 80 вражеских солдат и офицеров.</w:t>
      </w:r>
    </w:p>
    <w:p w14:paraId="13462824" w14:textId="77777777" w:rsidR="00072A8C" w:rsidRPr="007224C3" w:rsidRDefault="0007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юге на сторону Красной Армии перелетел немецкий лётчик. Он заявил: «Для меня стало ясно, что война для Германии проиграна и скоро наступит позорный крах. Некоторые немецкие солдаты и офицеры ещё питают надежду на какое-то чудо. Я в чудеса не верю. Солдат без веры в победу, без надежды на успех — это не полноценный солдат, а только четверть солдата. Когда я понял, что немецкая армия обречена, я перелетел к русским и сдался в плен».</w:t>
      </w:r>
    </w:p>
    <w:p w14:paraId="057E970B" w14:textId="77777777" w:rsidR="00072A8C" w:rsidRPr="007224C3" w:rsidRDefault="0007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Пленный лейтенант дивизии СС «Великая Германия» Готфрид Кунце рассказал: «За истекший год настроение офицерского корпуса резко ухудшилось. Из тех офицеров, которых я близко знал, ни один не верит в благоприятный для Германии исход войны. Высшие офицеры выражают недовольство командованием немецкой армии и критикуют его действия. Например, полковник фон Нацмер заявил, что командиры дивизий и корпусов лишены самостоятельности, инициативы и вынуждены выполнять нелепые приказы. Гитлер предоставляет генералам только одно право— подставлять себя под удары русских. Кроме меня, при этом разговоре присутствовало ещё несколько офицеров. Никто не возразил полковнику. Мы все молча согласились с ним» (14913).</w:t>
      </w:r>
    </w:p>
    <w:p w14:paraId="647540AF" w14:textId="77777777" w:rsidR="00072A8C" w:rsidRPr="007224C3" w:rsidRDefault="00072A8C" w:rsidP="007224C3">
      <w:pPr>
        <w:spacing w:after="0" w:line="240" w:lineRule="auto"/>
        <w:jc w:val="both"/>
        <w:rPr>
          <w:rFonts w:ascii="Times New Roman" w:hAnsi="Times New Roman"/>
          <w:color w:val="000000" w:themeColor="text1"/>
          <w:sz w:val="16"/>
          <w:szCs w:val="16"/>
        </w:rPr>
      </w:pPr>
    </w:p>
    <w:p w14:paraId="013F628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5-11 июля 1944 была закончена Минская операция по окружению южной группировки (2438,406).</w:t>
      </w:r>
    </w:p>
    <w:p w14:paraId="77B4810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ходе Минской операции противник пытался с помощью авиации вывезти из окружения генеральский и офицерский состав и советская авиация использовала воздушную блокаду войск противника (518,174).</w:t>
      </w:r>
    </w:p>
    <w:p w14:paraId="62C7DB0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ходе операции на уничтожение окруженной группировки противника было затрачено 18-19% самолето-вылетов (518,181).</w:t>
      </w:r>
    </w:p>
    <w:p w14:paraId="282A013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Именно в ходе боев Минской операции появилось донесение Секр. ЦК КПБ П.К.Пономарева ВГ: "На днях мы обнаружили и осмотрели в лесах юго-восточнее Минска огромный укрепленный лагерь немцев, полностью уничтоженный нашей ш авиацией. Этот район оставляет потрясающее впечатление по масштабам разгрома и по демонстрации мощи нашего воздушного флота... В лагере на момент осмотра еще лежало более 5000 трупов немецких солдат и офицеров, сожженных и убитых, более 5 тыс. автомашин, большое количество боеприпасов... Весь лагерь представляет картину грандиозного побоища врага и его техники." (518,181).</w:t>
      </w:r>
    </w:p>
    <w:p w14:paraId="6E7E8AB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9CEE4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июня 1944 американцы отметили, что подготовка базы в Полтаве - лучше, чем в Италии и сделано все было быстрее (1261,35).</w:t>
      </w:r>
    </w:p>
    <w:p w14:paraId="2A6E7C4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A373A1"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lastRenderedPageBreak/>
        <w:t>Внешняя политика:</w:t>
      </w:r>
    </w:p>
    <w:p w14:paraId="7897E9A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6EAFFA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июня 1944 Американское посольство информировала нас, что поставок В-29 не будет (1103,141).</w:t>
      </w:r>
    </w:p>
    <w:p w14:paraId="305FC4F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13792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июня 1944 посол США А.Гарриман заявил, что В-17 не могут использоваться против Финляндии. И.В.С. ответил "В таком случае обойдемся без помощи союзников" (2200,26).</w:t>
      </w:r>
    </w:p>
    <w:p w14:paraId="371C26C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07CCE6"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1C4C670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A19385B" w14:textId="77777777" w:rsidR="00072A8C" w:rsidRPr="007224C3" w:rsidRDefault="0007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5 июня</w:t>
      </w:r>
      <w:r w:rsidRPr="007224C3">
        <w:rPr>
          <w:rFonts w:ascii="Times New Roman" w:hAnsi="Times New Roman"/>
          <w:color w:val="000000" w:themeColor="text1"/>
          <w:sz w:val="16"/>
          <w:szCs w:val="16"/>
        </w:rPr>
        <w:t xml:space="preserve"> в 1944 году первое применение бортовой системы РЭБ перед началом вторжения союзников во Францию. Сброс фольги (диполных отражателей) для подавления боковые лепестки разверток германских РЛС раннего оповещения. Но тогда, кроме германских РЛС, попутно оказались подавлены и собственные системы навигации и связи. Впоследствии для патрулирования "Стирлингов" с системами РЭБ отводили воздушное пространство над Северным морем, вдали от действий войск союзников (14913).</w:t>
      </w:r>
    </w:p>
    <w:p w14:paraId="7493D977" w14:textId="77777777" w:rsidR="00072A8C" w:rsidRPr="007224C3" w:rsidRDefault="00072A8C" w:rsidP="007224C3">
      <w:pPr>
        <w:spacing w:after="0" w:line="240" w:lineRule="auto"/>
        <w:jc w:val="both"/>
        <w:rPr>
          <w:rFonts w:ascii="Times New Roman" w:hAnsi="Times New Roman"/>
          <w:color w:val="000000" w:themeColor="text1"/>
          <w:sz w:val="16"/>
          <w:szCs w:val="16"/>
        </w:rPr>
      </w:pPr>
    </w:p>
    <w:p w14:paraId="468DEE0A" w14:textId="77777777" w:rsidR="00781F94" w:rsidRPr="007224C3" w:rsidRDefault="00781F94"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5–6 июня (ночь) 1944 Бомбардировочное командование отправляет 1012 британских бомбардировщиков для нанесения ударов по многочисленным позициям немецкой береговой артиллерии во Франции в прямую поддержку вторжения в Нормандию, запланированного на утро 6 июня. Из них 946 выполняют бомбардировки, сбросив 5 080 метрических тонн бомб, самый большой тоннаж бомб, который самолеты бомбардировочного командования сбросил за одну ночь во время Второй мировой войны. Самолетам приходится бомбить сквозь облака во всех местах, кроме двух. Еще 168 бомбардировщиков выполняют различные диверсионные и вспомогательные задачи. Общие потери бомбардировочного командования за ночь составляют восемь самолетов (20373).</w:t>
      </w:r>
    </w:p>
    <w:p w14:paraId="4DF1E13B" w14:textId="77777777" w:rsidR="00781F94" w:rsidRPr="007224C3" w:rsidRDefault="00781F94" w:rsidP="007224C3">
      <w:pPr>
        <w:spacing w:after="0" w:line="240" w:lineRule="auto"/>
        <w:jc w:val="both"/>
        <w:rPr>
          <w:rFonts w:ascii="Times New Roman" w:hAnsi="Times New Roman"/>
          <w:color w:val="0070C0"/>
          <w:sz w:val="16"/>
          <w:szCs w:val="16"/>
        </w:rPr>
      </w:pPr>
    </w:p>
    <w:p w14:paraId="670AA55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June 5th, 1944: Operation Overlord, the Allied invasion of France, is postponed for one day because of rough seas in the English Channel. The RAF carries out heavy night raids against German coastal batteries and fortifications in Normandy (3819).</w:t>
      </w:r>
    </w:p>
    <w:p w14:paraId="1E75BED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628105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июня 1944 операция Оверлорд была отложена на один день из-за волнения на море. Королевские ВВС совершили массированный налет на немецкие батареи и укрепления на побережье Нормандии (3819).</w:t>
      </w:r>
    </w:p>
    <w:p w14:paraId="6A0763D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8F376E"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июня 1944 немецкий фельдмаршал Роммель покинул свои части во Франции и самовольно поехал в Германию, чтобы отпраздновать день рождения своей жены (4962).</w:t>
      </w:r>
    </w:p>
    <w:p w14:paraId="694E537F"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CE6157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June 5 1944 Allies enter Rome (1050).</w:t>
      </w:r>
    </w:p>
    <w:p w14:paraId="21D33AE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873EF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июня 1944 союзники вошли в Рим (1050).</w:t>
      </w:r>
    </w:p>
    <w:p w14:paraId="4287EA3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C499D4" w14:textId="77777777" w:rsidR="00781F94" w:rsidRPr="007224C3" w:rsidRDefault="00781F94"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5 июня 1944 группа STAG-1 на борту эскортного авианосца «Маркус» с пятью десятками TDR прибыла на остров Banik. Через три недели после прибытия начались учебные полеты, итогом которых стала атака полузатопленного и покинутого экипажем японского транспортного судна Yamazuki Маru у мыса Эсперанс. Утром 30 июля четыре TDR и четыре Avenger приступили к сдаче экзамена. Первыми взлетели четыре Avenger, вслед за «аистами» начался подъем «собак». Два ТDR-1 взлетели удачно. У третьего подломилась передняя стойка шасси, и он скапотировал. Его быстро заменили на запасной борт, который отправили в полет. Четвертый также взлетел удачно. Ударная группа собралась в воздухе над островом, TDR сбросили шасси и отправились к цели. В семи милях от Yamazuki Маru операторы накрылись в своих кабинах черной тканью и включили телевизионные приемники, начав наведение. Один за другим «собаки» атаковали. Первый TDR прошел на 30 футов выше судна, упал в прибрежный участок джунглей и взорвался. Второй круто спикировал прямо в центр палубы и взорвался. Третий врезался в воду рядом с судном, но его бомба не взорвалась. Последняя «собака» также поразила цель прямым попаданием. Руководство было в восторге от 50 % вероятности поражения цели! Несмотря на успех, адмирал Нимиц относился к беспилотным самолетам скептически, и над программой «Вариант» нависла угроза закрытия. Только благодаря героическим усилиям капитана Смита расформирование STAG-1 было отложено и получено разрешение на проведение испытаний в боевых условиях по целям на Соломоновых островах. В период с 27 сентября по 26 октября 1944 г. группа провела серию атак — впервые в истории войн в бою использовались управляемые ударные беспилотные самолеты. В результате были уничтожены позиция зенитной артиллерии на затопленном торговом судне, огневые позиции, пещеры и укрытия на островах, а также маяк. Группа STAG-1 израсходовала 26 TDR-1 из 47. Пять из них по разным причинам до целей не долетели, шесть были сбиты зенитками, три попали в цель, но не взорвались. Остальные поразили цели. При этом была подтверждена вероятность прямых попаданий 50 %. Это был хороший результат. Тем более что группа не потеряла в боевых вылетах ни одного человека и ни одного из 30 «аистов», которые даже не подверглись обстрелу. Несмотря на хорошие результаты, решение о расформировании группы было принято, а 12 беспилотников сброшены в лагуну. Оставшиеся произведенные TDR-1 использовались как опытные и как летающие мишени для тренировки зенитчиков (22758).</w:t>
      </w:r>
    </w:p>
    <w:p w14:paraId="7B4E47EF" w14:textId="77777777" w:rsidR="00781F94" w:rsidRPr="007224C3" w:rsidRDefault="00781F94" w:rsidP="007224C3">
      <w:pPr>
        <w:spacing w:after="0" w:line="240" w:lineRule="auto"/>
        <w:jc w:val="both"/>
        <w:rPr>
          <w:rFonts w:ascii="Times New Roman" w:hAnsi="Times New Roman"/>
          <w:color w:val="0070C0"/>
          <w:sz w:val="16"/>
          <w:szCs w:val="16"/>
        </w:rPr>
      </w:pPr>
    </w:p>
    <w:p w14:paraId="7331214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июня 1944 78 В-29 впервые вылетели на боевое задание из Индии и летали бомбить Бангкок (1820 км). 14 вернулись из-за проблем с двигателями, а 5 - разбились при посадке, а 42 сели на запасных. Попало всего 18 бомб (1051,25).</w:t>
      </w:r>
    </w:p>
    <w:p w14:paraId="3ED7D20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2547C7" w14:textId="77777777" w:rsidR="00781F94" w:rsidRPr="007224C3" w:rsidRDefault="00781F94"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5 июня 1944 B-29 Superfortress вылетает свою первую боевую задачу; 98 B-29 взлетают с баз в Индии и атакуют железнодорожные депо в Бангкоке, Таиланд. Пять потеряны, ни одного из-за действий врага (20373).</w:t>
      </w:r>
    </w:p>
    <w:p w14:paraId="523F4FF2" w14:textId="77777777" w:rsidR="00781F94" w:rsidRPr="007224C3" w:rsidRDefault="00781F94" w:rsidP="007224C3">
      <w:pPr>
        <w:spacing w:after="0" w:line="240" w:lineRule="auto"/>
        <w:jc w:val="both"/>
        <w:rPr>
          <w:rFonts w:ascii="Times New Roman" w:hAnsi="Times New Roman"/>
          <w:color w:val="0070C0"/>
          <w:sz w:val="16"/>
          <w:szCs w:val="16"/>
        </w:rPr>
      </w:pPr>
    </w:p>
    <w:p w14:paraId="510C41A6" w14:textId="77777777" w:rsidR="00781F94" w:rsidRPr="007224C3" w:rsidRDefault="00781F94"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5 июня 1944 два японских бомбардировщика нанесли сокрушительный удар по примерно сотне самолетов союзников в Вакде, выведя базу из строя на несколько дней (20373).</w:t>
      </w:r>
    </w:p>
    <w:p w14:paraId="5E3F6FB8" w14:textId="77777777" w:rsidR="00781F94" w:rsidRPr="007224C3" w:rsidRDefault="00781F94" w:rsidP="007224C3">
      <w:pPr>
        <w:spacing w:after="0" w:line="240" w:lineRule="auto"/>
        <w:jc w:val="both"/>
        <w:rPr>
          <w:rFonts w:ascii="Times New Roman" w:hAnsi="Times New Roman"/>
          <w:color w:val="0070C0"/>
          <w:sz w:val="16"/>
          <w:szCs w:val="16"/>
        </w:rPr>
      </w:pPr>
    </w:p>
    <w:p w14:paraId="78A139F8"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5C39E0B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36ED5F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июня 1944 вышел приказ НКАП N 382сс "Об отработке высотных истребителей":</w:t>
      </w:r>
    </w:p>
    <w:p w14:paraId="3E13973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целях ускорения отработки высотных истребителей и обеспечения ими частей ПВО:</w:t>
      </w:r>
    </w:p>
    <w:p w14:paraId="109CBFB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По высотным истребителям Ла-5 и Ла-7:</w:t>
      </w:r>
    </w:p>
    <w:p w14:paraId="6873CC2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ГК завода 21 С.А.Л.:</w:t>
      </w:r>
    </w:p>
    <w:p w14:paraId="3D6C245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закончить заводские летные испытания высотного истребителя Ла-5 с увеличенной площадью крыла с АШ-82ФН и ТК-3 к 15 июля 1944, организовав их проведение на заводе 81</w:t>
      </w:r>
    </w:p>
    <w:p w14:paraId="78BA5F6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выпустить к 1 октября 1944 на летные испытания самолет Ла-7 с АШ-82ФН и ТК-3 с полетным весом 3100 кг</w:t>
      </w:r>
    </w:p>
    <w:p w14:paraId="20EB487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Директору завода 381 Журавлеву и ГК СА.А.Л. изготовить для эксплуатации в частях ПВО 10 самолетов ла-7, оборудованных АШ-82ФН с ТК-3:</w:t>
      </w:r>
    </w:p>
    <w:p w14:paraId="7D48BB4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 к 25 июля 1944</w:t>
      </w:r>
    </w:p>
    <w:p w14:paraId="6A46554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 к 10 августа 1944</w:t>
      </w:r>
    </w:p>
    <w:p w14:paraId="2742A2F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По высотному истребителю Як-9</w:t>
      </w:r>
    </w:p>
    <w:p w14:paraId="4272C89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p w14:paraId="4885B05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к 15 августа 1944 провести контрольные летные испытания высотного самолета Як-9 после проведения доводочных работ в ЦАГИ</w:t>
      </w:r>
    </w:p>
    <w:p w14:paraId="4BCB5DB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Нач ПГУ - зам. наркома Воронину и директору завода 82 Климовицкому выпустить 10 высотных истребителей Як-9 по образцу, прошедшему испытания в ЛИИ, из них:</w:t>
      </w:r>
    </w:p>
    <w:p w14:paraId="53D5FF7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 к 15 сентября 1944</w:t>
      </w:r>
    </w:p>
    <w:p w14:paraId="53B6E3A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к 1 ноября 1944</w:t>
      </w:r>
    </w:p>
    <w:p w14:paraId="2A4872E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По высотному истребителю МиГ</w:t>
      </w:r>
    </w:p>
    <w:p w14:paraId="386DF89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Директору и ГК завода 155 А.И.М. закончить к 15 июля 1944 заводские испытания самолета МиГ с АМ-39Б и 2ТК-2Б</w:t>
      </w:r>
    </w:p>
    <w:p w14:paraId="6DE59FE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w:t>
      </w:r>
    </w:p>
    <w:p w14:paraId="1D352B5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Зам. Наркома А.С.Я выдать задание ГК Н.Н.П., П.О.С. и А.М.Я. на составление эскизных проектов специального высотного истребителя с потолком и продолжительностью пребывания на больших высотах, большей, чем у существующих самолетов. Эскизные проекты разработать и представить на заключительную экспертизу комиссии НКАП в месячный срок (1672,16).</w:t>
      </w:r>
    </w:p>
    <w:p w14:paraId="1BCCF70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2DD7D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июня 1944 Зам. Нач. 7ГУ Алексеев подготовил сводку г-7 № 7465 о ходе испытаний высотных самолетов на 5 июня 1944 по Як-9 М-105ПД, Ла-5 АШ-82ФН и 2ТК-3, МиГ АМ-39А и 2ТК-2Б (1825).</w:t>
      </w:r>
    </w:p>
    <w:p w14:paraId="76BEC04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ВЫСОТНЫЙ ИСТРЕБИТЕЛЬ ЯК-9 С ВК-105ПФ И ДВУХСТУПЕНЧАТЫМ НАГНЕТАТЕЛЕМ</w:t>
      </w:r>
    </w:p>
    <w:p w14:paraId="0EE2535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Продолжались работы по установке штора с пошшенной высотностью. Окончание работы но уста</w:t>
      </w:r>
      <w:r w:rsidRPr="007224C3">
        <w:rPr>
          <w:rFonts w:ascii="Times New Roman" w:hAnsi="Times New Roman"/>
          <w:color w:val="000000" w:themeColor="text1"/>
          <w:sz w:val="16"/>
          <w:szCs w:val="16"/>
        </w:rPr>
        <w:softHyphen/>
        <w:t>новке шэтсра намечено на 10 июня 2. ВЫСОТНЫЙ ИСТРЕБИТЕЛЬ ЛА-5 С АШ-82ФН и 2ТК-3.</w:t>
      </w:r>
    </w:p>
    <w:p w14:paraId="1BA3B5E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Производились работы по улучшению дефлектирования мотора, замене центрального бенаобака и эжекторной бензопомпы.</w:t>
      </w:r>
    </w:p>
    <w:p w14:paraId="72871AF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ВЫСОТНЫЙ ИСТРЕБИТЕЛЬ МИГ С АМ-39Б И 2ТК-2Б.</w:t>
      </w:r>
    </w:p>
    <w:p w14:paraId="442255B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Произведен полет на определенле границы вы</w:t>
      </w:r>
      <w:r w:rsidRPr="007224C3">
        <w:rPr>
          <w:rFonts w:ascii="Times New Roman" w:hAnsi="Times New Roman"/>
          <w:color w:val="000000" w:themeColor="text1"/>
          <w:sz w:val="16"/>
          <w:szCs w:val="16"/>
        </w:rPr>
        <w:softHyphen/>
        <w:t>сотности на 1-й скорости нагнетателя с вкдюченным ТК.</w:t>
      </w:r>
    </w:p>
    <w:p w14:paraId="743F1B2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Продолжительность полета - 35 мин; высота-8000 мт.</w:t>
      </w:r>
    </w:p>
    <w:p w14:paraId="34029B6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Начиная с высоты 4000 мт, давление бензина произвольно изменялось, то падало, то повышалось.</w:t>
      </w:r>
    </w:p>
    <w:p w14:paraId="6310F3F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После полета сменена бензопомпа и самолет подготовлен к очередному полету (1825).</w:t>
      </w:r>
    </w:p>
    <w:p w14:paraId="1C6C4F5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2D1CD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июня 1944 г. НКАП издал приказ о постройке на заводе № 381 малой серии из десяти Ла-7 с улучшенными высотными характеристиками. Лавочкин продолжал работы над самолётами с турбонаддувом, начатые на Ла-5. Летом того же года начались лётные испытания первого Ла-7 (изделие "116") с турбокомпрессорами. На нём опять столкнулись практически со всеми дефектами, встреченными ранее на Ла-5 с турбонаддувом. Первый полёт самолёта "116" с включением турбокомпрессоров состоялся 25 июля. К 11 августа в Горьком удалось сделать четыре полёта и "снять площадки" до высоты 8000 м, а также выполнить километраж у земли. Выше 8500 м самолёту подняться не удавалось из-за масляного голодания мотора. Спустя одиннадцать дней лётчик Г.М. Шиянов перегнал машину в Москву, и по распоряжению Лавочкина её отправили в аэродинамическую трубу. Исследования в ЦАГИ и последующие доработки истребителя заняли ещё четыре месяца. В 1945 г. с высотным Ла-7 ещё немного повозились, но расчётных данных так и не достигли. Вдобавок, первый экземпляр в конце 1945 г. потерпел катастрофу. К тому времени построили вторую машину. Её успели облетать, но с наступлением следующего 1946 г. года все работы в этом направлении прекратили (11986).</w:t>
      </w:r>
    </w:p>
    <w:p w14:paraId="17B93D1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868E63C" w14:textId="77777777" w:rsidR="00072A8C" w:rsidRPr="007224C3" w:rsidRDefault="0007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6 июня</w:t>
      </w:r>
      <w:r w:rsidRPr="007224C3">
        <w:rPr>
          <w:rFonts w:ascii="Times New Roman" w:hAnsi="Times New Roman"/>
          <w:color w:val="000000" w:themeColor="text1"/>
          <w:sz w:val="16"/>
          <w:szCs w:val="16"/>
        </w:rPr>
        <w:t xml:space="preserve"> в 1944 году приказ НКАП в котором КБ Лавочкина поручили выпустить десять высотных </w:t>
      </w:r>
      <w:hyperlink r:id="rId163" w:tgtFrame="_blank" w:history="1">
        <w:r w:rsidRPr="007224C3">
          <w:rPr>
            <w:rFonts w:ascii="Times New Roman" w:hAnsi="Times New Roman"/>
            <w:color w:val="000000" w:themeColor="text1"/>
            <w:sz w:val="16"/>
            <w:szCs w:val="16"/>
          </w:rPr>
          <w:t xml:space="preserve">«Ла-7» </w:t>
        </w:r>
      </w:hyperlink>
      <w:r w:rsidRPr="007224C3">
        <w:rPr>
          <w:rFonts w:ascii="Times New Roman" w:hAnsi="Times New Roman"/>
          <w:color w:val="000000" w:themeColor="text1"/>
          <w:sz w:val="16"/>
          <w:szCs w:val="16"/>
        </w:rPr>
        <w:t>с двигателями «АШ-82ФН» и двумя турбокомпрессорами «ТК-3». Турбокомпрессор «ТК-3» был изготовлен в Центральном Авиамоторном Институте (ЦИАМ). В отличии от серийных истребителей с пропеллерами «ВИШ-105» «Ла-7ТК» был оборудован пропеллером «ВИШ-105В». Результаты испытаний обнадеживали - установка «ТК-3» на «Ла-7» обеспечила улучшение летных характеристик самолета - увеличение скорости истребителя до 676 км/ч на высоте 8 тысяч метров вместо 6 тысяч метров (без ТК) и увеличение практического потолка до 11800 метров, что на 1000 метров больше чем у серийного «Ла-7». Было построено всего 10 самолетов, вооруженных одной 20-мм пушкой. Они использовались для перехвата высотных немецких разведывательных самолетов (14914).</w:t>
      </w:r>
    </w:p>
    <w:p w14:paraId="2B555E98" w14:textId="77777777" w:rsidR="00072A8C" w:rsidRPr="007224C3" w:rsidRDefault="00072A8C" w:rsidP="007224C3">
      <w:pPr>
        <w:spacing w:after="0" w:line="240" w:lineRule="auto"/>
        <w:jc w:val="both"/>
        <w:rPr>
          <w:rFonts w:ascii="Times New Roman" w:hAnsi="Times New Roman"/>
          <w:color w:val="000000" w:themeColor="text1"/>
          <w:sz w:val="16"/>
          <w:szCs w:val="16"/>
        </w:rPr>
      </w:pPr>
    </w:p>
    <w:p w14:paraId="051ABC0C" w14:textId="77777777" w:rsidR="006B3C37" w:rsidRPr="007224C3" w:rsidRDefault="006B3C3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июня 1944 г. НКАП издал приказ о постройке малой серии из десяти истребителей Ла-7 с улучшенными высотными характеристиками. Летом того же года начались летные испытания первого самолета Ла-7 (изделие «116») с турбокомпрессорами. Первый полет с включением турбокомпрессоров состоялся 25 июля. К 11 августа в Горьком удалось сделать четыре полета, выше 8500 м самолету подняться не удавалось из-за масляного голодания мотора. Спустя одиннадцать дней летчик-испытатель Г. М. Шиянов перегнал машину в Москву, и по распоряжению С. А. Лавочкина отправили в аэродинамическую трубу. На основании продувок в трубе Т-101 выработали рекомендации по улучшению аэродинамики машины и выхлопной системы турбокомпрессора. Исследования и последующие доработки истребителя заняли еще четыре месяца. В 1945 г. с высотным Ла-7 еще немного повозились, но расчетных данных так и не достигли. Вдобавок, первый экземпляр в конце 1945 г. потерпел катастрофу. К тому времени построили вторую машину. Ее успели облетать, но с наступлением следующего 1946 г. года все работы в этом направлении прекратили (19727).</w:t>
      </w:r>
    </w:p>
    <w:p w14:paraId="6DACCF21" w14:textId="77777777" w:rsidR="006B3C37" w:rsidRPr="007224C3" w:rsidRDefault="006B3C37" w:rsidP="007224C3">
      <w:pPr>
        <w:spacing w:after="0" w:line="240" w:lineRule="auto"/>
        <w:jc w:val="both"/>
        <w:rPr>
          <w:rFonts w:ascii="Times New Roman" w:hAnsi="Times New Roman"/>
          <w:color w:val="000000" w:themeColor="text1"/>
          <w:sz w:val="16"/>
          <w:szCs w:val="16"/>
        </w:rPr>
      </w:pPr>
    </w:p>
    <w:p w14:paraId="19931CB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июня 1944 л А.Г.Кочеткову и и Ф.П.Супруну в США дали посидеть в ЭР-59 Эркомет (172,171).</w:t>
      </w:r>
    </w:p>
    <w:p w14:paraId="3BC1C93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51EF7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июня 1944 зам. наркома Авиапрома Дементьева за N Н-35/2762 дал быв. заводу N 89 указание изготовить и сдать ВЭИ НКЭП 20 штук летающих авиабомб со сроком сдачи 10 июля с.г. (2562,99).</w:t>
      </w:r>
    </w:p>
    <w:p w14:paraId="265BAA6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A5F26A"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6A5185A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4822E6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июня 1944 г. ТТЗ на технический проект танка ИС-6 было утверждено наркомом танковой промышленности В.А. Малышевым. Согласно ; этому заданию КБ завода № 100 необходимо было разработать танк с боевой массой до 50 т с электромеханической трансмиссией и до 48 т -с механической. Экипаж танка должен был состоять из пяти человек. ; Вооружение - 122-мм пушка с начальной скоростью бронебойного сна- ; ряда 850 - 900 м/с. Броневая защита литой башни и сварного корпуса должны были обеспечить надежную защиту экипажа от снарядов 88-мм пушки с начальной скоростью 1300 - 1400 м/с. Двигатель В-11У или В-12 мощностью 620 - 700 л.с. (456 - 515 кВт) должен был обеспечить максимальную скорость движения 42 км/ч. На первом этапе создания танка на Опытном заводе № 100, с целью ; сокращения времени, планировалось установить агрегаты и механизмы ; трансмиссии от серийного танка ИС-2. При этом была предусмотрена возможность монтажа электромеханической трансмиссии в корпус танка. Графиком работ по танку ИС-6 планировалось завершить сборку и монтаж двух танков ("Объект 253") к 1 ноября 1944 г. Заводские испы</w:t>
      </w:r>
      <w:r w:rsidRPr="007224C3">
        <w:rPr>
          <w:rFonts w:ascii="Times New Roman" w:hAnsi="Times New Roman"/>
          <w:color w:val="000000" w:themeColor="text1"/>
          <w:sz w:val="16"/>
          <w:szCs w:val="16"/>
        </w:rPr>
        <w:softHyphen/>
        <w:t>тания должны были начаться не позднее 1 декабря 1944 г. Корпус танка ИС-6, сваренный из катаных броневых листов из ста</w:t>
      </w:r>
      <w:r w:rsidRPr="007224C3">
        <w:rPr>
          <w:rFonts w:ascii="Times New Roman" w:hAnsi="Times New Roman"/>
          <w:color w:val="000000" w:themeColor="text1"/>
          <w:sz w:val="16"/>
          <w:szCs w:val="16"/>
        </w:rPr>
        <w:softHyphen/>
        <w:t>ли средней твердости, с опозданием на два месяца поступил на сборку 21 сентября 1944 г. Толщина броневых листов корпуса составляла: лобовой верхний лист - 100 мм/65", нижний - 120 мм/52°. Литая башня ; была изготовлена из броневой стали высокой твердости с толщиной стенок до 150 мм (10703).</w:t>
      </w:r>
    </w:p>
    <w:p w14:paraId="213A856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1D6AE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июня 1944 г. вышло уточненное тактико-техническое задание на танк ИС-6, согласно которому его масса ограничивалась на уровне 50 т (эскизное проектирование предлагало танк массой 52 т), при этом броневая защита должна была снимать подкалиберный снаряд 88-мм пушки обр. 1943 г. с дистанции от 500 м. Вооружение танка должно было состоять из 122-мм пушки с нач. скоростью бронебойного снаряда 900—950 (до 1000) м/с с досылателем выстрела с суммарной ско рострельностью не менее 6 выстр./мин с компрессором продувки канала ствола. Двигатель дизель-мотор типа В-11 или В-12 мощностью 620 или 700 л.с. В числе спец</w:t>
      </w:r>
      <w:r w:rsidRPr="007224C3">
        <w:rPr>
          <w:rFonts w:ascii="Times New Roman" w:hAnsi="Times New Roman"/>
          <w:color w:val="000000" w:themeColor="text1"/>
          <w:sz w:val="16"/>
          <w:szCs w:val="16"/>
        </w:rPr>
        <w:softHyphen/>
        <w:t>оборудования — система автоматизированного пожароту</w:t>
      </w:r>
      <w:r w:rsidRPr="007224C3">
        <w:rPr>
          <w:rFonts w:ascii="Times New Roman" w:hAnsi="Times New Roman"/>
          <w:color w:val="000000" w:themeColor="text1"/>
          <w:sz w:val="16"/>
          <w:szCs w:val="16"/>
        </w:rPr>
        <w:softHyphen/>
        <w:t>шения и оборудование для преодоления глубоких бродов по типу танка «Тигр».</w:t>
      </w:r>
    </w:p>
    <w:p w14:paraId="4C9C1F7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Согласно утвержденному плану проведения работ сборка двух опытных образцов ИС-6 должна была закон</w:t>
      </w:r>
      <w:r w:rsidRPr="007224C3">
        <w:rPr>
          <w:rFonts w:ascii="Times New Roman" w:hAnsi="Times New Roman"/>
          <w:color w:val="000000" w:themeColor="text1"/>
          <w:sz w:val="16"/>
          <w:szCs w:val="16"/>
        </w:rPr>
        <w:softHyphen/>
        <w:t>читься к 1 ноября 1944 г. Для ускорения работ разрешалось использовать в изготовлении машины узлы серийно про</w:t>
      </w:r>
      <w:r w:rsidRPr="007224C3">
        <w:rPr>
          <w:rFonts w:ascii="Times New Roman" w:hAnsi="Times New Roman"/>
          <w:color w:val="000000" w:themeColor="text1"/>
          <w:sz w:val="16"/>
          <w:szCs w:val="16"/>
        </w:rPr>
        <w:softHyphen/>
        <w:t>изводимых танков ИС-2.</w:t>
      </w:r>
    </w:p>
    <w:p w14:paraId="1C705E3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 корпус танка был подан на сборку с опозданием поч</w:t>
      </w:r>
      <w:r w:rsidRPr="007224C3">
        <w:rPr>
          <w:rFonts w:ascii="Times New Roman" w:hAnsi="Times New Roman"/>
          <w:color w:val="000000" w:themeColor="text1"/>
          <w:sz w:val="16"/>
          <w:szCs w:val="16"/>
        </w:rPr>
        <w:softHyphen/>
        <w:t>ти на два месяца. Он имел бронирование 100 мм в верхней части лба, 120-мм в нижней, литая башня с толщиной стенок до 150 мм была изготовлена из брони высокой твердости...</w:t>
      </w:r>
    </w:p>
    <w:p w14:paraId="1DDA539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Сварной макет корпуса танка ИС-6 был испытан об</w:t>
      </w:r>
      <w:r w:rsidRPr="007224C3">
        <w:rPr>
          <w:rFonts w:ascii="Times New Roman" w:hAnsi="Times New Roman"/>
          <w:color w:val="000000" w:themeColor="text1"/>
          <w:sz w:val="16"/>
          <w:szCs w:val="16"/>
        </w:rPr>
        <w:softHyphen/>
        <w:t>стрелом из немецкой противотанковой пушки обр. 1943 г. с начальной скоростью снаряда около 1000 м/с и 105-мм корпусной пушки обр. 18с начальной скоростью снаряда 877 м/с. В ходе многочисленных экспериментов было доказано, что с лобовой проекции указанные орудия брони корпуса не пробивают даже с дистанции 50 м. Пробоина была обнаружена лишь в месте расположения броневых де</w:t>
      </w:r>
      <w:r w:rsidRPr="007224C3">
        <w:rPr>
          <w:rFonts w:ascii="Times New Roman" w:hAnsi="Times New Roman"/>
          <w:color w:val="000000" w:themeColor="text1"/>
          <w:sz w:val="16"/>
          <w:szCs w:val="16"/>
        </w:rPr>
        <w:softHyphen/>
        <w:t>талей толщиной 120 мм, Под углом 45° (11135).</w:t>
      </w:r>
    </w:p>
    <w:p w14:paraId="5BC5C73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791A8B" w14:textId="77777777" w:rsidR="006B3C37" w:rsidRPr="007224C3" w:rsidRDefault="006B3C37" w:rsidP="007224C3">
      <w:pPr>
        <w:pStyle w:val="ae"/>
        <w:shd w:val="clear" w:color="auto" w:fill="FFFFFF"/>
        <w:spacing w:before="0" w:after="0"/>
        <w:jc w:val="both"/>
        <w:textAlignment w:val="baseline"/>
        <w:rPr>
          <w:color w:val="000000" w:themeColor="text1"/>
          <w:sz w:val="16"/>
          <w:szCs w:val="16"/>
        </w:rPr>
      </w:pPr>
      <w:r w:rsidRPr="007224C3">
        <w:rPr>
          <w:color w:val="000000" w:themeColor="text1"/>
          <w:sz w:val="16"/>
          <w:szCs w:val="16"/>
        </w:rPr>
        <w:t>6 июня 1944 года Малышев подписал приказ по НКТП №379сс. В нём новый танк ОКБ завода 100 получил обозначение ИС-6. Согласно приказу, к работам по опытному танку ИС-6 подключался УЗТМ, где изготовлялись корпуса и башни для данной машины. К 1 июля ожидалось изготовление рабочей документации по корпусам и башням танка с механической трансмиссии, а к 15 числу — чертежи оставшихся агрегатов. Два комплекта корпусов и башне УЗТМ сдавал к 25 июля, а сборка машин завершалась 25 августа. К 10 сентября ожидалось завершение заводских испытаний, к 20 числу составлялся отчёт по ним. Танк с электромеханической трансмиссией ожидался позже. Рабочую документацию выпускали к 25 августа, два комплекта корпусов и башен — к 10 октября, постройка двух образцов танка планировалась к 1 ноября, а испытания проводились до 1 декабря.</w:t>
      </w:r>
    </w:p>
    <w:p w14:paraId="39FC26DB" w14:textId="77777777" w:rsidR="006B3C37" w:rsidRPr="007224C3" w:rsidRDefault="006B3C37" w:rsidP="007224C3">
      <w:pPr>
        <w:pStyle w:val="ae"/>
        <w:shd w:val="clear" w:color="auto" w:fill="FFFFFF"/>
        <w:spacing w:before="0" w:after="0"/>
        <w:jc w:val="both"/>
        <w:textAlignment w:val="baseline"/>
        <w:rPr>
          <w:color w:val="000000" w:themeColor="text1"/>
          <w:sz w:val="16"/>
          <w:szCs w:val="16"/>
        </w:rPr>
      </w:pPr>
      <w:r w:rsidRPr="007224C3">
        <w:rPr>
          <w:color w:val="000000" w:themeColor="text1"/>
          <w:sz w:val="16"/>
          <w:szCs w:val="16"/>
        </w:rPr>
        <w:t>В ГБТУ КА по-своему оценили ИС-6. По мнению комиссии, которая рассматривала проект, данный танк по основным характеристикам не представлял собой шаг вперёд по сравнению с Объектом 701. С другой стороны, он существенно превосходил ИС-2 — особенно по броневой защите. Например, броневая защита корпуса за счёт рациональных углов наклона превосходила ИС-2, но при этом уступала Объекту 701. Примерно та же ситуация складывалась с броневой защитой башни — она явно превосходила ИС-2, имея максимальную толщину 150 мм. С другой стороны, башня Объекта 701 была не только толще (до 160 мм), но и имела меньший размер бронировки орудийной маски, а, значит, и меньшую уязвимость. Правда, в ходе испытаний выяснилось, что выступ под прицел справа от маски уязвим, поэтому финальный вариант танка имел более широкую бронировку орудийной маски. Установка вооружения также вызвала неоднозначную реакцию. На тот момент в ГБТУ КА считали 122-мм пушку С-34 лучшим вариантом. На ИС-6 предлагалось установить модернизированную версию Д-25 с увеличенной на 50 м/с начальной скоростью снаряда. Установку данного орудия подвергли критике. Также было предложено поставить полик для улучшения работы расчёта башни. Для орудия требовались досылатель и система продувки канала ствола. Не вызвала особого энтузиазма и ходовая часть с опорными катками большого диаметра (19150).</w:t>
      </w:r>
    </w:p>
    <w:p w14:paraId="196B69AA" w14:textId="77777777" w:rsidR="006B3C37" w:rsidRPr="007224C3" w:rsidRDefault="006B3C37" w:rsidP="007224C3">
      <w:pPr>
        <w:pStyle w:val="ae"/>
        <w:shd w:val="clear" w:color="auto" w:fill="FFFFFF"/>
        <w:spacing w:before="0" w:after="0"/>
        <w:jc w:val="both"/>
        <w:textAlignment w:val="baseline"/>
        <w:rPr>
          <w:color w:val="000000" w:themeColor="text1"/>
          <w:sz w:val="16"/>
          <w:szCs w:val="16"/>
        </w:rPr>
      </w:pPr>
    </w:p>
    <w:p w14:paraId="48C16AE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июня 1944 г. была подготовлена ДОКЛАДНАЯ ЗАПИСКА НАЧАЛЬНИКА ТУ ГБТУ КА ЗАМЕСТИТЕЛЮ НАРКОМА ТАНКОВОЙ ПРОМЫШЛЕННОСТИ СССР П.ЗЕРНОВУ О МЕРОПРИЯТИЯХ ПО УСТРАНЕНИЮ ДЕФЕКТА НАБЕГАНИЯ ЗУБЬЕВ ЗВЕЗДОЧКИ НА ТРАКИ ГУСЕНИЦЫ ТАНКА №522521</w:t>
      </w:r>
    </w:p>
    <w:p w14:paraId="3F2E4EE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тяжелых танках и артсамоходах продолжают иметь место набегание зубьев звездочки веду</w:t>
      </w:r>
      <w:r w:rsidRPr="007224C3">
        <w:rPr>
          <w:rFonts w:ascii="Times New Roman" w:hAnsi="Times New Roman"/>
          <w:color w:val="000000" w:themeColor="text1"/>
          <w:sz w:val="16"/>
          <w:szCs w:val="16"/>
        </w:rPr>
        <w:softHyphen/>
        <w:t>щего колеса на траки гусеницы и увод машины в сторону.</w:t>
      </w:r>
    </w:p>
    <w:p w14:paraId="6E96800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предотвращения дефекта набегания зубьев звездочки на траки Кировским заводом наря</w:t>
      </w:r>
      <w:r w:rsidRPr="007224C3">
        <w:rPr>
          <w:rFonts w:ascii="Times New Roman" w:hAnsi="Times New Roman"/>
          <w:color w:val="000000" w:themeColor="text1"/>
          <w:sz w:val="16"/>
          <w:szCs w:val="16"/>
        </w:rPr>
        <w:softHyphen/>
        <w:t>ду с технологическими мероприятиями изготовляется новая звездочка ведущего колеса с корреги-рованным зубом.</w:t>
      </w:r>
    </w:p>
    <w:p w14:paraId="1EB9C97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Прошу Вашего указания директору Кировского завода срочно испытать новую звездочку и внедрить ее в производство не позднее 15 июня с. г.</w:t>
      </w:r>
    </w:p>
    <w:p w14:paraId="58735E2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Одновременно высылаю Вам копии актов обмера корпуса танка ИС на заводе №200, в которых от</w:t>
      </w:r>
      <w:r w:rsidRPr="007224C3">
        <w:rPr>
          <w:rFonts w:ascii="Times New Roman" w:hAnsi="Times New Roman"/>
          <w:color w:val="000000" w:themeColor="text1"/>
          <w:sz w:val="16"/>
          <w:szCs w:val="16"/>
        </w:rPr>
        <w:softHyphen/>
        <w:t>мечается полное соответствие изготовляемых корпусов утвержденным чертежам и тех. условиям, и сни</w:t>
      </w:r>
      <w:r w:rsidRPr="007224C3">
        <w:rPr>
          <w:rFonts w:ascii="Times New Roman" w:hAnsi="Times New Roman"/>
          <w:color w:val="000000" w:themeColor="text1"/>
          <w:sz w:val="16"/>
          <w:szCs w:val="16"/>
        </w:rPr>
        <w:softHyphen/>
        <w:t>мается предположение, что увод машины в сторону обусловлен неправильной геометрией корпуса.</w:t>
      </w:r>
    </w:p>
    <w:p w14:paraId="5CF002A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Прошу Ваших соответствующих указаний директору Кировского завода.</w:t>
      </w:r>
    </w:p>
    <w:p w14:paraId="7EA22CC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Приложение': акты на 2 листах.</w:t>
      </w:r>
    </w:p>
    <w:p w14:paraId="2E9DFC3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 о. начальника ТУ ГБТУ КА инженер-подполковник Егоров</w:t>
      </w:r>
    </w:p>
    <w:p w14:paraId="7DE2472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Заместитель начальника 1 отдела ТУ ГБТУ КА инженер-майор Мирошников</w:t>
      </w:r>
    </w:p>
    <w:p w14:paraId="6CD0E70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38. Оп. 11355. Д. 2509. Л. 10. Копия (11420).</w:t>
      </w:r>
    </w:p>
    <w:p w14:paraId="253BF08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788388D"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июня 1944 вышло Распоряжение ГКО № 6007 [О мобилизации 2,9 тыс. рабочих и 600 возчиков с лошадьми в Кировской обл. для работ по строительству вторых путей на участке железной дороги Яр - Поздино ж.-д. линии Киров-Пермь.] (7238, 184).</w:t>
      </w:r>
    </w:p>
    <w:p w14:paraId="0FEE3F35"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1FBA0C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июня 1944 Адмиралтейцами спущен на воду 12-й МБК (10671).</w:t>
      </w:r>
    </w:p>
    <w:p w14:paraId="6D52F76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2EA552F"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12D29E0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506387B" w14:textId="77777777" w:rsidR="00072A8C" w:rsidRPr="007224C3" w:rsidRDefault="0007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6 июня</w:t>
      </w:r>
      <w:r w:rsidRPr="007224C3">
        <w:rPr>
          <w:rFonts w:ascii="Times New Roman" w:hAnsi="Times New Roman"/>
          <w:color w:val="000000" w:themeColor="text1"/>
          <w:sz w:val="16"/>
          <w:szCs w:val="16"/>
        </w:rPr>
        <w:t xml:space="preserve"> в 1944 году оперативная сводка Совинформбюро:</w:t>
      </w:r>
    </w:p>
    <w:p w14:paraId="4AB1A5C4" w14:textId="77777777" w:rsidR="00072A8C" w:rsidRPr="007224C3" w:rsidRDefault="0007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6 июня в районе северо-западнее и севернее города Яссы наши войска успешно отбили все атаки пехоты и танков противника. За 5 июня в этом районе подбито и уничтожено 49 немецких танков и сбито 42 самолёта. На других участках фронта — без перемен.</w:t>
      </w:r>
    </w:p>
    <w:p w14:paraId="1C313D4D" w14:textId="77777777" w:rsidR="00072A8C" w:rsidRPr="007224C3" w:rsidRDefault="0007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5 июня на всех фронтах в воздушных боях и огнём зенитной артиллерии сбито 48 самолётов противника.»</w:t>
      </w:r>
    </w:p>
    <w:p w14:paraId="2809786F" w14:textId="77777777" w:rsidR="00072A8C" w:rsidRPr="007224C3" w:rsidRDefault="0007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Массированный налёт нашей авиации на железнодорожный узел и военные объекты города Яссы:</w:t>
      </w:r>
    </w:p>
    <w:p w14:paraId="0E5DFC6A" w14:textId="77777777" w:rsidR="00072A8C" w:rsidRPr="007224C3" w:rsidRDefault="0007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ночь на 6 июня наша авиация дальнего действия произвела массированный налёт на железнодорожный узел и военные объекты города Яссы (Румыния). В результате бомбардировки возникло до 90 очагов пожара. Горели железнодорожные составы, станционные здания и военные склады противника. Пожары сопровождались сильными взрывами. Пулемётно-пушечным огнем обстреляно и подожжено несколько эшелонов на ближайших к городу Яссы железнодорожных станциях. Пламя пожаров наши летчики наблюдали при уходе от цели с расстояния более 100 километров.</w:t>
      </w:r>
    </w:p>
    <w:p w14:paraId="46A929ED" w14:textId="77777777" w:rsidR="00072A8C" w:rsidRPr="007224C3" w:rsidRDefault="0007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 наши самолеты вернулись на свои базы.»</w:t>
      </w:r>
    </w:p>
    <w:p w14:paraId="62BA4482" w14:textId="77777777" w:rsidR="00072A8C" w:rsidRPr="007224C3" w:rsidRDefault="0007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Северо-западнее и севернее города Яссы наши войска продолжали вести бои с противником. Немцы, понёсшие за последние дни большие потеря, сегодня ввели в бой сравнительно меньшие силы танков и пехоты. Советские части успешно отбили все атаки гитлеровцев. Ожесточённый бой произошёл лишь на участке, который обороняет Н-ское соединение. В течение дня немцы в этом районе дважды переходили в атаку, но не добились никаких результатов. Перед нашими позициями осталось несколько подбитых немецких, танков и бронетранспортёров и до 300 вражеских трупов.</w:t>
      </w:r>
    </w:p>
    <w:p w14:paraId="1EE32025" w14:textId="77777777" w:rsidR="00072A8C" w:rsidRPr="007224C3" w:rsidRDefault="0007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Северо-западнее города Тирасполь тридцать семь снайперов Н-ской части за последние пять дней истребили 158 немцев. Снайпер т. Никулин убил 13 немецких солдат, снайпер т. Лапин — 8, снайпер т. Рябушенко — 7, снайпер т. Климентьев уничтожил 5 немцев.</w:t>
      </w:r>
    </w:p>
    <w:p w14:paraId="0A54FB05" w14:textId="77777777" w:rsidR="00072A8C" w:rsidRPr="007224C3" w:rsidRDefault="0007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Северо-западнее города Витебск разведывательный отряд под командование капитана Герасименко рано утром ворвался в расположение противника. Советские бойцы взорвали три землянки, уничтожили 20 гитлеровцев и, захватив 6 пленных, вернулись в свою часть.</w:t>
      </w:r>
    </w:p>
    <w:p w14:paraId="792E9E8B" w14:textId="77777777" w:rsidR="00072A8C" w:rsidRPr="007224C3" w:rsidRDefault="0007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Авиацией Краснознамённого Балтийского флота в ночь на 5 июня потоплены в Балтийском море три немецких транспорта общим водоизмещением в 11 тысяч тонн.</w:t>
      </w:r>
    </w:p>
    <w:p w14:paraId="0C852F63" w14:textId="77777777" w:rsidR="00072A8C" w:rsidRPr="007224C3" w:rsidRDefault="0007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35 немецких самолётов вчера пытались произвести налёт на один из наших военных объектов в Финском заливе. Самолёты противника были встречены истребителями части подполковника Корешкова. В ожесточённых воздушных боях лётчики-балтийцы сбили 20 немецких самолётов. Ни один вражеский самолёт не был допущен к цели. В воздушных боях особенно отличились лётчики: старший лейтенант Черненко, старший лейтенант Камышников, лейтенант Жучков я лейтенант Шестопалов.</w:t>
      </w:r>
    </w:p>
    <w:p w14:paraId="6C77AA3A" w14:textId="77777777" w:rsidR="00072A8C" w:rsidRPr="007224C3" w:rsidRDefault="0007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Партизаны отряда, действующего в Минской области, узнали, что в одном населённом пункте немцы грабят мирных жителей. Советские патриоты устроили засаду и напали на гитлеровцев, возвращавшихся с разбойничьего набега. Партизаны убили 69 немецких солдат и офицеров и захватили в плен двух унтер-офицеров. Имущество, награбленное гитлеровцами у советских граждан, возвращено населению. Партизаны отряда имени Щорса пустили под откос воинский эшелон противника. Разбиты паровоз и 10 вагонов. Убито и ранено до 200 немецких солдат и офицеров.</w:t>
      </w:r>
    </w:p>
    <w:p w14:paraId="45CA54ED" w14:textId="77777777" w:rsidR="00072A8C" w:rsidRPr="007224C3" w:rsidRDefault="0007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Пленный командир 3 роты 12 полка 15 румынской пехотной дивизии капитан Николай Александреску рассказал: «Осенью 1941 года наша дивизия была разбита под Одессой. Её остатки были отведены в тыл на переформирование. Примерно через год дивизию перебросили в район Клетской, где она за два месяца потеряла 12 тысяч человек. Дивизия в третий раз была заново сформирована и опять направлена на фронт. Дивизией командует бригадный генерал Штефан Бардан. При штабе дивизии находятся немецкий майор Вендт, его помощник обер-лейтенант Грезе и несколько немецких писарей. Немец Вендт — фактический хозяин. Он бесцеремонно отменяет приказы командира дивизии и делает всё по своему усмотрению. Румынские солдаты не хотят воевать за Гитлера. В этом я ещё раз убедился в последнем бою. Небольшая группа русских солдат на трёх лодках незаметно переправилась через реку, вышла на берег и с криками «ура» бросилась к нашим позициям. Эти позиции обороняла румынская рота, имевшая несколько станковых пулемётов. Когда наши солдаты услышали крики «ура», они сразу же разбежались. Несколькими бросками русские достигли командного пункта. Увидев, что сопротивление бесполезно, я встал и поднял руки. Вместе со мной сдались в плен лейтенант Леху, старший лейтенант Рошка и лейтенант Рыжкану» (14914).</w:t>
      </w:r>
    </w:p>
    <w:p w14:paraId="7E28EAA0" w14:textId="77777777" w:rsidR="00072A8C" w:rsidRPr="007224C3" w:rsidRDefault="00072A8C" w:rsidP="007224C3">
      <w:pPr>
        <w:spacing w:after="0" w:line="240" w:lineRule="auto"/>
        <w:jc w:val="both"/>
        <w:rPr>
          <w:rFonts w:ascii="Times New Roman" w:hAnsi="Times New Roman"/>
          <w:color w:val="000000" w:themeColor="text1"/>
          <w:sz w:val="16"/>
          <w:szCs w:val="16"/>
        </w:rPr>
      </w:pPr>
    </w:p>
    <w:p w14:paraId="02BDF6DD" w14:textId="77777777" w:rsidR="006B3C37" w:rsidRPr="007224C3" w:rsidRDefault="006B3C3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июня 1944 года командующий артиллерией Красной Армии Главный маршал артиллерии Н.Н.Воронов утвердил инструкцию по организации и проведению огневого вала. Идея «огневого вала» появилась у советских артиллеристов еще в советско-финскую войну, а приняла четкие очертания в битве за Сталинград. Руководил этой работой тогда именно Николай Николаевич Воронов (19542).</w:t>
      </w:r>
    </w:p>
    <w:p w14:paraId="4CB41DC7" w14:textId="77777777" w:rsidR="006B3C37" w:rsidRPr="007224C3" w:rsidRDefault="006B3C37" w:rsidP="007224C3">
      <w:pPr>
        <w:spacing w:after="0" w:line="240" w:lineRule="auto"/>
        <w:jc w:val="both"/>
        <w:rPr>
          <w:rFonts w:ascii="Times New Roman" w:hAnsi="Times New Roman"/>
          <w:color w:val="000000" w:themeColor="text1"/>
          <w:sz w:val="16"/>
          <w:szCs w:val="16"/>
        </w:rPr>
      </w:pPr>
    </w:p>
    <w:p w14:paraId="34E73C8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июня 1944 имел место первый ночной поиск с использованием РЛС “Гнейс-2М”, установленной на Ил-4 5-го гв. мтап. Но нашли лишь несколь</w:t>
      </w:r>
      <w:r w:rsidRPr="007224C3">
        <w:rPr>
          <w:rFonts w:ascii="Times New Roman" w:hAnsi="Times New Roman"/>
          <w:color w:val="000000" w:themeColor="text1"/>
          <w:sz w:val="16"/>
          <w:szCs w:val="16"/>
        </w:rPr>
        <w:softHyphen/>
        <w:t>ко рыболовецких судов у румынского берега, на которые не стоило тратить торпеду. И все последующие боевые вылеты с РЛС закончились безрезультатно. На Балтике такие же радары ста</w:t>
      </w:r>
      <w:r w:rsidRPr="007224C3">
        <w:rPr>
          <w:rFonts w:ascii="Times New Roman" w:hAnsi="Times New Roman"/>
          <w:color w:val="000000" w:themeColor="text1"/>
          <w:sz w:val="16"/>
          <w:szCs w:val="16"/>
        </w:rPr>
        <w:softHyphen/>
        <w:t>вили на А-20, их применение было бо</w:t>
      </w:r>
      <w:r w:rsidRPr="007224C3">
        <w:rPr>
          <w:rFonts w:ascii="Times New Roman" w:hAnsi="Times New Roman"/>
          <w:color w:val="000000" w:themeColor="text1"/>
          <w:sz w:val="16"/>
          <w:szCs w:val="16"/>
        </w:rPr>
        <w:softHyphen/>
        <w:t>лее удачным (10734,85).</w:t>
      </w:r>
    </w:p>
    <w:p w14:paraId="260AD53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8A2CA0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июня 1944 в авиаполку Нормандия произошла трагедия: нови</w:t>
      </w:r>
      <w:r w:rsidRPr="007224C3">
        <w:rPr>
          <w:rFonts w:ascii="Times New Roman" w:hAnsi="Times New Roman"/>
          <w:color w:val="000000" w:themeColor="text1"/>
          <w:sz w:val="16"/>
          <w:szCs w:val="16"/>
        </w:rPr>
        <w:softHyphen/>
        <w:t>чок младший лейтенант Морис Шалль (это был его первый боевой вылет) по ошибке сбил одного из лучших пилотов 18-го гвардейского авиаполка старше</w:t>
      </w:r>
      <w:r w:rsidRPr="007224C3">
        <w:rPr>
          <w:rFonts w:ascii="Times New Roman" w:hAnsi="Times New Roman"/>
          <w:color w:val="000000" w:themeColor="text1"/>
          <w:sz w:val="16"/>
          <w:szCs w:val="16"/>
        </w:rPr>
        <w:softHyphen/>
        <w:t>го лейтенанта В.И.Архипова. Шалль тя</w:t>
      </w:r>
      <w:r w:rsidRPr="007224C3">
        <w:rPr>
          <w:rFonts w:ascii="Times New Roman" w:hAnsi="Times New Roman"/>
          <w:color w:val="000000" w:themeColor="text1"/>
          <w:sz w:val="16"/>
          <w:szCs w:val="16"/>
        </w:rPr>
        <w:softHyphen/>
        <w:t>жело переживал случившееся, ожидал отправки во Францию и даже трибуна</w:t>
      </w:r>
      <w:r w:rsidRPr="007224C3">
        <w:rPr>
          <w:rFonts w:ascii="Times New Roman" w:hAnsi="Times New Roman"/>
          <w:color w:val="000000" w:themeColor="text1"/>
          <w:sz w:val="16"/>
          <w:szCs w:val="16"/>
        </w:rPr>
        <w:softHyphen/>
        <w:t>ла, но инцидент замяли. Двадцать дней спустя Шалль, искупая вину, сбил сразу двух немцев: это были Bf109 и FW190 (3956).</w:t>
      </w:r>
    </w:p>
    <w:p w14:paraId="682DD5C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6ED53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июня 1944 112 Б-17 и 47 Р-51 первой челночной операции отправились из СССР на бомбежку Галаца в Румынии, хотя сначала хотели Минск, но потом отказались из-за плохой погоды. Опять вернулись в СССР (1364,42).</w:t>
      </w:r>
    </w:p>
    <w:p w14:paraId="53F7438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E5642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июня 1944 согласно сообщению Совинформбюро летчики АДД совершили массированный налет на ст. г Яссы и возникло 90 пожаров. Все вернулись (438,907).</w:t>
      </w:r>
    </w:p>
    <w:p w14:paraId="2E3F560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D31C2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6 июня 1944 финскую эскадрилью на ДБ-3 перевели в Риссалу, откуда самолеты стали летать на Вуосалми (10734,87).</w:t>
      </w:r>
    </w:p>
    <w:p w14:paraId="13ED1D4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A88FD58"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Жизнь и внутренняя политика:</w:t>
      </w:r>
    </w:p>
    <w:p w14:paraId="446BD68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81311A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июня 1944 Никишов направил туда еще одну телеграмму Берии:</w:t>
      </w:r>
    </w:p>
    <w:p w14:paraId="0E9813A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 Магадана Наркому внутренних дел СССР товарищу Берия. В дополнение моей телеграммы о пребывании Уоллеса в городе Магадан и на предприятиях Дальстроя, докладываю: на протяжении всех трех суток пребывания Уоллес, в основном, интересовался следующими вопросами:</w:t>
      </w:r>
    </w:p>
    <w:p w14:paraId="7B35953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1. При первой встрече со мной задал вопрос, как я считаю, целесообразно ли на территории Чукотки и Колымы иметь железную дорогу или же использовать авиацию. На что я ответил: при большом количестве перевозок грузов и движения людей одной авиацией обойтись нельзя, основную роль все же будет играть либо железнодорожный транспорт, либо автотранспорт, а на больших расстояниях, когда не везде является необходимость строить дорогу, целесообразно использовать </w:t>
      </w:r>
      <w:r w:rsidRPr="007224C3">
        <w:rPr>
          <w:rFonts w:ascii="Times New Roman" w:hAnsi="Times New Roman"/>
          <w:color w:val="000000" w:themeColor="text1"/>
          <w:sz w:val="16"/>
          <w:szCs w:val="16"/>
        </w:rPr>
        <w:lastRenderedPageBreak/>
        <w:t>авиацию (7560).</w:t>
      </w:r>
    </w:p>
    <w:p w14:paraId="51A9A89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Несколько раз задавался вопрос, какое количество людей работает в Дальстрое (7560).</w:t>
      </w:r>
    </w:p>
    <w:p w14:paraId="74B53B0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Считаю ли я необходимой добычу золота во время войны и нужно ли будет золото после войны. На это я ответил, что если этот вопрос относится к добыче золота в Дальстрое, то в работе Дальстроя золото является не основным. Основная деятельность Дальстроя - строительство аэродромов, дорог, геолого-поисковые работы, рыбная ловля, эксплуатация Колымского речного транспорта, эксплуатация Нагаевского торгового порта. Указания по добыче золота Дальстрой получает от правительства и, если правительство дает указание по добыче золота, то, стало быть, золото нужно. Что касается, нужно ли будет золото после войны, полагаю, что золото своего значения и своей роли не изживет еще долго, и оно нужно как во время войны, нужно будет и после войны не только СССР, но и всем странам (7560).</w:t>
      </w:r>
    </w:p>
    <w:p w14:paraId="67A7B3F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Упорно на протяжении двух суток во всевозможных вариантах задавались вопросы мне: сколько добывается золота Дальстроем. Первый вопрос был задан после пребывания на Колыме на прииске Фрунзе после того, как посмотрели съемку золота на промприборе. Сколько Дальстрой в сутки добывает золота? На это я ответил: вот с этого промприбора 3-4 килограмма. После поездки на Чай-Урьинскую долину был задан вопрос, а сколько промприборов в Дальстрое. Я ответил: на этой долине 50-60 промприборов. Затем был задан вопрос, а сколько было добыто золота Дальстроем в 1943 году, на что я ответил: так как химическая обработка золота в Дальстрое не производится, а производится на аффинажном заводе в Москве, поэтому я этих данных не имею, тогда задается вопрос, а все же, примерно сколько? На что я ответил: процентов на 7-8 больше, чем в 1942 году. Больше вопросов не задавалось. И, наконец, в гостинице аэропорта в Сеймчане при разговоре со мной и с тов. Гоглидзе в присутствии его спутников и наших товарищей выразился так: “О Дальстрое мы слышали в Америке и знали, что это большой трест. Здесь, побывав на территории треста Дальстроя, мы убедились в этом и должны заявить, что в Америке таких мощных трестов, охватывающих столь много работ и разностороннего характера, нет и, я думаю, что Дальстрой будет давать государству большую часть золота, чем остальные предприятия вашей страны”. На это ни тов. Гоглидзе, ни я ничего не ответили (7560).</w:t>
      </w:r>
    </w:p>
    <w:p w14:paraId="27B0254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Следующий вопрос, по моему мнению, который интересовал Уоллеса и спутников, это увидеть лагерь заключенных, но так как они нигде не видели не только лагерь, но даже и отдельных заключенных, то в этом вопросе они были разочарованы. Перед отлетом в Якутск утром 27 мая с. г. на аэродроме в Нижнем Сеймчане перед посадкой в самолет Уоллес на прощанье, пожимая мне руку, благодарил меня за то, что я ему показал в Дальстрое все, что он видел, ему понравилось, а также благодарил за теплый прием его и его спутников и снова заявил многократно, что мы в Америке знаем Дальстрой, много о нем слышали, но то, что я увидел лично сам, это превзошло все наши представления о Дальстрое. На это я ему ответил, что в Советском Союзе такая мощная и крупная хозяйственная организация, как Дальстрой, не единична. На это Уоллес сказал следующее: “Я надеюсь, что после войны Дальстрой будет еще больше развиваться, а это еще больше укрепит дружбу США и Советского Союза”. 25 июня вечером в городе Магадане Уоллес со своими сотрудниками и 4 офицерами в присутствии тов. Гоглидзе, представителя НКВД, начальника особой воздушной трассы генерала Семенова, полковника Мазурука осмотрели Магаданский дом культуры, осмотрели выставку изобразительного искусства и изобретательства. В книге посетителей сделал следующую надпись: “Выдающееся художественное выражение сильного народа, который первый начал освоение этого края. Генри Уоллес” (7560).</w:t>
      </w:r>
    </w:p>
    <w:p w14:paraId="2B9416F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После осмотра дома культуры присутствовали все на концерте. Концертом Уоллес остался доволен. Особенно большое впечатление концерт произвел на спутников Уоллеса и офицеров, сопровождавших его. При осмотре художественной выставки Уоллесу понравились две картины, он изъявил желание их купить. Посоветовавшись с тов. Гоглидзе, мы решили ему их подарить. Картины Уоллес принял с большой благодарностью. Больше каких-либо особых моментов за время пребывания Уоллеса в Магадане и на предприятиях Дальстроя не было” (7560).</w:t>
      </w:r>
    </w:p>
    <w:p w14:paraId="6B422F0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Обе телеграммы Никишова были доложены Сталину и Молотову (7560).</w:t>
      </w:r>
    </w:p>
    <w:p w14:paraId="651371A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FB86B5"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Жизнь и внутренняя политика:</w:t>
      </w:r>
    </w:p>
    <w:p w14:paraId="0D6B975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3997FF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июня 1944 на территорию совхоза «Красный партизан» Жирновского района Саратовской области были сброшены несколько тысяч листовок. Хотя шел 44-й год, Саратовский обком ВКП(б) был до того напуган этой вражеской пропагандистской акцией, что его секретарь П. Комаров написал по этому проводу письмо секретарю ЦК ВКП(б) Г. М. Маленкову, а в район были откомандированы два ответственных работника для «организации политической работы среди населения» (11742).</w:t>
      </w:r>
    </w:p>
    <w:p w14:paraId="62CE98F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CE4592"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464FBAB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BBB0606" w14:textId="77777777" w:rsidR="00C074FF" w:rsidRPr="007224C3" w:rsidRDefault="00C074FF"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6 июня</w:t>
      </w:r>
      <w:r w:rsidRPr="007224C3">
        <w:rPr>
          <w:rFonts w:ascii="Times New Roman" w:hAnsi="Times New Roman"/>
          <w:color w:val="000000" w:themeColor="text1"/>
          <w:sz w:val="16"/>
          <w:szCs w:val="16"/>
        </w:rPr>
        <w:t xml:space="preserve"> в 1944 году боевой реактивный истребитель (Messerschmitt) "Ме-163B-0 V18" "VA+SP" из состава ErpKdo-16 развил рекордную скорость для своего времени - 1130 км/ч, хотя руль управления был разрушен флаттером, пилот сумел посадить машину (14914).</w:t>
      </w:r>
    </w:p>
    <w:p w14:paraId="50E30492" w14:textId="77777777" w:rsidR="00C074FF" w:rsidRPr="007224C3" w:rsidRDefault="00C074FF" w:rsidP="007224C3">
      <w:pPr>
        <w:spacing w:after="0" w:line="240" w:lineRule="auto"/>
        <w:jc w:val="both"/>
        <w:rPr>
          <w:rFonts w:ascii="Times New Roman" w:hAnsi="Times New Roman"/>
          <w:color w:val="000000" w:themeColor="text1"/>
          <w:sz w:val="16"/>
          <w:szCs w:val="16"/>
        </w:rPr>
      </w:pPr>
    </w:p>
    <w:p w14:paraId="30334090" w14:textId="77777777" w:rsidR="00C074FF" w:rsidRPr="007224C3" w:rsidRDefault="00C074FF"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6 июня</w:t>
      </w:r>
      <w:r w:rsidRPr="007224C3">
        <w:rPr>
          <w:rFonts w:ascii="Times New Roman" w:hAnsi="Times New Roman"/>
          <w:color w:val="000000" w:themeColor="text1"/>
          <w:sz w:val="16"/>
          <w:szCs w:val="16"/>
        </w:rPr>
        <w:t xml:space="preserve"> в 1944 году с аэродрома Бербан на авиабазу Мурок в первый полет отправился </w:t>
      </w:r>
      <w:hyperlink r:id="rId164" w:tgtFrame="_blank" w:history="1">
        <w:r w:rsidRPr="007224C3">
          <w:rPr>
            <w:rFonts w:ascii="Times New Roman" w:hAnsi="Times New Roman"/>
            <w:color w:val="000000" w:themeColor="text1"/>
            <w:sz w:val="16"/>
            <w:szCs w:val="16"/>
          </w:rPr>
          <w:t xml:space="preserve">«ХР-58». </w:t>
        </w:r>
      </w:hyperlink>
      <w:r w:rsidRPr="007224C3">
        <w:rPr>
          <w:rFonts w:ascii="Times New Roman" w:hAnsi="Times New Roman"/>
          <w:color w:val="000000" w:themeColor="text1"/>
          <w:sz w:val="16"/>
          <w:szCs w:val="16"/>
        </w:rPr>
        <w:t>Управлял самолётом тест-пилот Джо Тоул. На самолете установили рядный 12-цилиндровый двигатель «Allison» «V-3420-11\13» с турбокомпрессорами, максимальной мощностью 3000 л.с. на высоте 9333 метров. Единственный прототип «ХР-58» (фирменное обозначение «Model 20-86», с\н 41-2670) был построен именно с ними и предъявлен на испытания в июне 1944 года. От Р-38 полученный истребитель сохранил только двухбалочную схему и взаимозаменяемую носовую часть с мощным вооружение. Все остальное было сделано заново. Самолёт вырос в геометрических размерах, были также увеличены воздухозаборники и установлены форкили для улучшения продольной устойчивости в полете. Поскольку масса истребителя поднялась до предельно допустимой пришлось, в дополнение ко всему, полностью переделывать шасси. На «ХР-58» установили усиленные стойки со спаренными колесами, что увеличило взлетный вес ещё на несколько десятков килограмм. Опытный образец был, в общем-то, полуготовым самолётом, мало похожим на боевой. Герметичные кабины отсутствовали, носовое вооружение не устанавливалось, а вместо оборонительных башен установили только их макеты (14914).</w:t>
      </w:r>
    </w:p>
    <w:p w14:paraId="3940A0E4" w14:textId="77777777" w:rsidR="00C074FF" w:rsidRPr="007224C3" w:rsidRDefault="00C074FF" w:rsidP="007224C3">
      <w:pPr>
        <w:spacing w:after="0" w:line="240" w:lineRule="auto"/>
        <w:jc w:val="both"/>
        <w:rPr>
          <w:rFonts w:ascii="Times New Roman" w:hAnsi="Times New Roman"/>
          <w:color w:val="000000" w:themeColor="text1"/>
          <w:sz w:val="16"/>
          <w:szCs w:val="16"/>
        </w:rPr>
      </w:pPr>
    </w:p>
    <w:p w14:paraId="4FED4E25" w14:textId="77777777" w:rsidR="006A61CD" w:rsidRPr="007224C3" w:rsidRDefault="006A61CD"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6 июня 1944 первый полет Lockheed XP-58 Chain Lightning (20373).</w:t>
      </w:r>
    </w:p>
    <w:p w14:paraId="5DDBBD01" w14:textId="77777777" w:rsidR="006A61CD" w:rsidRPr="007224C3" w:rsidRDefault="006A61CD" w:rsidP="007224C3">
      <w:pPr>
        <w:spacing w:after="0" w:line="240" w:lineRule="auto"/>
        <w:jc w:val="both"/>
        <w:rPr>
          <w:rFonts w:ascii="Times New Roman" w:hAnsi="Times New Roman"/>
          <w:color w:val="0070C0"/>
          <w:sz w:val="16"/>
          <w:szCs w:val="16"/>
        </w:rPr>
      </w:pPr>
    </w:p>
    <w:p w14:paraId="7F6916BA" w14:textId="77777777" w:rsidR="006B3C37" w:rsidRPr="007224C3" w:rsidRDefault="006B3C3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6 июня 1944 года состоялось применение авиадесантного танка </w:t>
      </w:r>
      <w:hyperlink r:id="rId165" w:history="1">
        <w:r w:rsidRPr="007224C3">
          <w:rPr>
            <w:rStyle w:val="a5"/>
            <w:rFonts w:ascii="Times New Roman" w:hAnsi="Times New Roman"/>
            <w:color w:val="000000" w:themeColor="text1"/>
            <w:sz w:val="16"/>
            <w:szCs w:val="16"/>
          </w:rPr>
          <w:t>Tetrarch I</w:t>
        </w:r>
      </w:hyperlink>
      <w:r w:rsidRPr="007224C3">
        <w:rPr>
          <w:rFonts w:ascii="Times New Roman" w:hAnsi="Times New Roman"/>
          <w:color w:val="000000" w:themeColor="text1"/>
          <w:sz w:val="16"/>
          <w:szCs w:val="16"/>
        </w:rPr>
        <w:t> , которое как и применение </w:t>
      </w:r>
      <w:hyperlink r:id="rId166" w:history="1">
        <w:r w:rsidRPr="007224C3">
          <w:rPr>
            <w:rStyle w:val="a5"/>
            <w:rFonts w:ascii="Times New Roman" w:hAnsi="Times New Roman"/>
            <w:color w:val="000000" w:themeColor="text1"/>
            <w:sz w:val="16"/>
            <w:szCs w:val="16"/>
          </w:rPr>
          <w:t>Locust I</w:t>
        </w:r>
      </w:hyperlink>
      <w:r w:rsidRPr="007224C3">
        <w:rPr>
          <w:rFonts w:ascii="Times New Roman" w:hAnsi="Times New Roman"/>
          <w:color w:val="000000" w:themeColor="text1"/>
          <w:sz w:val="16"/>
          <w:szCs w:val="16"/>
        </w:rPr>
        <w:t xml:space="preserve"> в марте 1945 года трудно назвать успехом. С точки зрения боевой эффективности авиадесантные танки безнадёжно устарели, что особенно показало боевое применение Locust 24 марта 1945 года. Фактически единственным случаем эффективного использования авиации для транспортировки бронетехники стало применение немцами военно-транспортных самолётов Messerschmitt Me 323 Gigant для снабжения Африканского корпуса. Эти могучие машины могли перевозить лёгкие танки и самоходные установки на их базе. Что же касается СССР, то там к концу 1943 года задумались о создании специализированных боевых машин для нужд воздушно-десантных частей. Первая такая машина (ОСУ-76) появилась в 1944 году (18244).</w:t>
      </w:r>
    </w:p>
    <w:p w14:paraId="7D99DDD8" w14:textId="77777777" w:rsidR="006B3C37" w:rsidRPr="007224C3" w:rsidRDefault="006B3C37" w:rsidP="007224C3">
      <w:pPr>
        <w:spacing w:after="0" w:line="240" w:lineRule="auto"/>
        <w:jc w:val="both"/>
        <w:rPr>
          <w:rFonts w:ascii="Times New Roman" w:hAnsi="Times New Roman"/>
          <w:color w:val="000000" w:themeColor="text1"/>
          <w:sz w:val="16"/>
          <w:szCs w:val="16"/>
        </w:rPr>
      </w:pPr>
    </w:p>
    <w:p w14:paraId="12E0A67A"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июня 1944 началась высадка войск союзников в Нормандии, открыт Второй фронт (День “Д”) (4962).</w:t>
      </w:r>
    </w:p>
    <w:p w14:paraId="4F5F454D"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4F2708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6 June 1944 D-Day landings on the Normandy beach-heads in France begin (270).</w:t>
      </w:r>
    </w:p>
    <w:p w14:paraId="33D4489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1F2406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июня 1944 началась высадка в Нормандии - день Д (270).</w:t>
      </w:r>
    </w:p>
    <w:p w14:paraId="759E281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713983" w14:textId="77777777" w:rsidR="006A61CD" w:rsidRPr="007224C3" w:rsidRDefault="006A61CD"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6 июня 1944 «День Д » - вторжение союзников во Францию начинается с высадки парашютистов и высадки десантных планеров. Люфтваффе не оказывает практически никакого сопротивления вторжению (20373).</w:t>
      </w:r>
    </w:p>
    <w:p w14:paraId="19B815D5" w14:textId="77777777" w:rsidR="006A61CD" w:rsidRPr="007224C3" w:rsidRDefault="006A61CD" w:rsidP="007224C3">
      <w:pPr>
        <w:spacing w:after="0" w:line="240" w:lineRule="auto"/>
        <w:jc w:val="both"/>
        <w:rPr>
          <w:rFonts w:ascii="Times New Roman" w:hAnsi="Times New Roman"/>
          <w:color w:val="0070C0"/>
          <w:sz w:val="16"/>
          <w:szCs w:val="16"/>
        </w:rPr>
      </w:pPr>
    </w:p>
    <w:p w14:paraId="462A4B8B" w14:textId="77777777" w:rsidR="006A61CD" w:rsidRPr="007224C3" w:rsidRDefault="006A61CD"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6–7 июня (ночь) 1944 1067 британских самолетов бомбардировочного командования атакуют немецкие линии связи за районом вторжения в Нормандию, потеряв 11 бомбардировщиков. Бомбардировщики совершают налеты на несколько французских городов, и большой ущерб нанесен железным дорогам и центрам городов, где дороги заблокированы завалами (20373).</w:t>
      </w:r>
    </w:p>
    <w:p w14:paraId="5FA0F20E" w14:textId="77777777" w:rsidR="006A61CD" w:rsidRPr="007224C3" w:rsidRDefault="006A61CD" w:rsidP="007224C3">
      <w:pPr>
        <w:spacing w:after="0" w:line="240" w:lineRule="auto"/>
        <w:jc w:val="both"/>
        <w:rPr>
          <w:rFonts w:ascii="Times New Roman" w:hAnsi="Times New Roman"/>
          <w:color w:val="0070C0"/>
          <w:sz w:val="16"/>
          <w:szCs w:val="16"/>
        </w:rPr>
      </w:pPr>
    </w:p>
    <w:p w14:paraId="4F75688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июня 1944 г., после длительных приготовлений, союзники высадились в Нормандии. Второй фронт был открыт. Началось освобождение Франции.</w:t>
      </w:r>
    </w:p>
    <w:p w14:paraId="6638D3D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Однако крупная политическая проблема, - кто возьмет власть в свои руки во Франции, - оставалась. К этому времени генерал де Голль окончательно испортил отношения с Лондоном; в Вашингтоне не переносили его уже давно. Тем не менее де Голль был самый авторитетный лидер в антифашистском движении Франции, и заполнить политический вакуум больше было некому. Однако Черчиль и в еще большей степени Рузвельт шли на официальное признание его роли крайне неохотно.</w:t>
      </w:r>
    </w:p>
    <w:p w14:paraId="2D23F18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тому же де Голль, обеспокоенный стремлением Сирии и Ливана воспользоваться войной и завоевать независимость, а также возможным проникновением Великобритании в эти страны, избрал путь не диалога, а конфронтации с местными национальными лидерами. Это вызывало дополнительные трения на Ближнем Востоке и создавало де Голлю заслуженный, но незавидный ореол французского националиста. И все же Франция, расколотая политическими противоречиями, озлобленная оккупацией и коллаборационизмом, с сильными правыми и левыми партиями, безусловно, нуждалась в эффективном переходном правительстве.</w:t>
      </w:r>
    </w:p>
    <w:p w14:paraId="56F52BF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Накануне высадки в Нормандии де Голля пригласили в Лондон. Черчиль информировал его о военных планах союзников и посоветовал отправиться в Вашингтон и </w:t>
      </w:r>
      <w:r w:rsidRPr="007224C3">
        <w:rPr>
          <w:rFonts w:ascii="Times New Roman" w:hAnsi="Times New Roman"/>
          <w:color w:val="000000" w:themeColor="text1"/>
          <w:sz w:val="16"/>
          <w:szCs w:val="16"/>
        </w:rPr>
        <w:lastRenderedPageBreak/>
        <w:t>просить встречи с президентом. Де Голль согласился с тем, чтобы отряды Сопротивления выполняли приказы Эйзенхауэра, он согласился выступить по радио перед соотечественниками, но он требовал, чтобы американцы присоединились к политическим переговорам о будущем Франции (3871).</w:t>
      </w:r>
    </w:p>
    <w:p w14:paraId="16A3B85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E3716B" w14:textId="77777777" w:rsidR="00072A8C" w:rsidRPr="007224C3" w:rsidRDefault="00072A8C"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6 июня</w:t>
      </w:r>
      <w:r w:rsidRPr="007224C3">
        <w:rPr>
          <w:rFonts w:ascii="Times New Roman" w:hAnsi="Times New Roman"/>
          <w:color w:val="000000" w:themeColor="text1"/>
          <w:sz w:val="16"/>
          <w:szCs w:val="16"/>
        </w:rPr>
        <w:t xml:space="preserve"> в 1944 году началась операция «Оверлорд» - открытие второго фронта в Западной Европе. Окончательно военные планы антигитлеровской коалиции были согласованы во время Тегеранской конференции глав правительств трех союзных во второй мировой войне держав - СССР, США и Великобритании. В принятой 1 декабря 1943 года участниками конференции «Декларации трех держав» говорилось о полном их согласии «относительно масштаба и сроков операций, которые будут предприняты с востока, запада и юга». К июню 1944 года союзное командование сосредоточило на британских островах 25 пехотных, 10 бронетанковых и 4 воздушно-десантных дивизий. Вся эта группировка предназначалась для высадки на побережье Франции с целью открытия второго фронта против немцев. Высадку обеспечивали 6000 кораблей и судов, 11000 боевых и 2400 транспортных самолетов, 850 десантных планеров. Общая численность экспедиционных сил достигла 2876000 человек. Немецкие войска во Франции насчитывали 60 дивизий с некомплектом в 20-30 процентов по людям и гораздо большим по технике. В танковых дивизиях было 90-100 танков. 6 июня 1944 года началось вторжение в Нормандию войск союзников по антигитлеровской коалиции (операция получила название «Оверлорд»). Несмотря на серьезные испытания, через которые прошел СССР к лету 1944 года, это было крупным успехом советской дипломатии. Открытие второго фронта оттянуло на себя часть немецких дивизий, снизило военный потенциал Германии, который мог быть направлен против СССР. Англо-американский десант в Нормандии стал одним из крупнейших в военной истории. Союзникам пришлось преодолеть отчаянные контратаки противника. Порой казалось, что операция «Оверлорд» просто обречена. Но в поддержку союзников 10 июня 1944 года советские войска начали гигантское наступление на Восточном фронте, которое гитлеровцам удалось приостановить только у Варшавы. Взаимодействие союзнических армий на Западе и Востоке стало важнейшим фактором окончательного изменения военно-стратегической ситуации в Европе и пользу антигитлеровской коалиции. В сентябре 1944 года против Германии выступили уже ее бывшие партнеры: Румыния, Финляндия, Болгария (14914).</w:t>
      </w:r>
    </w:p>
    <w:p w14:paraId="2D82D5DC" w14:textId="77777777" w:rsidR="00072A8C" w:rsidRPr="007224C3" w:rsidRDefault="00072A8C" w:rsidP="007224C3">
      <w:pPr>
        <w:spacing w:after="0" w:line="240" w:lineRule="auto"/>
        <w:jc w:val="both"/>
        <w:rPr>
          <w:rFonts w:ascii="Times New Roman" w:hAnsi="Times New Roman"/>
          <w:color w:val="000000" w:themeColor="text1"/>
          <w:sz w:val="16"/>
          <w:szCs w:val="16"/>
        </w:rPr>
      </w:pPr>
    </w:p>
    <w:p w14:paraId="0F533769" w14:textId="77777777" w:rsidR="00C074FF" w:rsidRPr="007224C3" w:rsidRDefault="00C074FF"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6 июня</w:t>
      </w:r>
      <w:r w:rsidRPr="007224C3">
        <w:rPr>
          <w:rFonts w:ascii="Times New Roman" w:hAnsi="Times New Roman"/>
          <w:color w:val="000000" w:themeColor="text1"/>
          <w:sz w:val="16"/>
          <w:szCs w:val="16"/>
        </w:rPr>
        <w:t xml:space="preserve"> в 1944 году (6–13 июня) атаки германских миноносцев, торпедных и быстроходных катеров, а также подводных лодок на район высадки у побережья Нормандии отбиты с большими потерями (14914).</w:t>
      </w:r>
    </w:p>
    <w:p w14:paraId="06816C7F" w14:textId="77777777" w:rsidR="00C074FF" w:rsidRPr="007224C3" w:rsidRDefault="00C074FF" w:rsidP="007224C3">
      <w:pPr>
        <w:spacing w:after="0" w:line="240" w:lineRule="auto"/>
        <w:jc w:val="both"/>
        <w:rPr>
          <w:rFonts w:ascii="Times New Roman" w:hAnsi="Times New Roman"/>
          <w:color w:val="000000" w:themeColor="text1"/>
          <w:sz w:val="16"/>
          <w:szCs w:val="16"/>
        </w:rPr>
      </w:pPr>
    </w:p>
    <w:p w14:paraId="2E2C043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June 6, 1944. Allied pilots fly approximately 15,000 sorties on D-Day. It is an effort unprecedented in concentration and size (1089).</w:t>
      </w:r>
    </w:p>
    <w:p w14:paraId="69A9FDF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9815DC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 xml:space="preserve">6 </w:t>
      </w:r>
      <w:r w:rsidRPr="007224C3">
        <w:rPr>
          <w:rFonts w:ascii="Times New Roman" w:hAnsi="Times New Roman"/>
          <w:color w:val="000000" w:themeColor="text1"/>
          <w:sz w:val="16"/>
          <w:szCs w:val="16"/>
        </w:rPr>
        <w:t>июня</w:t>
      </w:r>
      <w:r w:rsidRPr="007224C3">
        <w:rPr>
          <w:rFonts w:ascii="Times New Roman" w:hAnsi="Times New Roman"/>
          <w:color w:val="000000" w:themeColor="text1"/>
          <w:sz w:val="16"/>
          <w:szCs w:val="16"/>
          <w:lang w:val="en-US"/>
        </w:rPr>
        <w:t xml:space="preserve"> 1944 </w:t>
      </w:r>
      <w:r w:rsidRPr="007224C3">
        <w:rPr>
          <w:rFonts w:ascii="Times New Roman" w:hAnsi="Times New Roman"/>
          <w:color w:val="000000" w:themeColor="text1"/>
          <w:sz w:val="16"/>
          <w:szCs w:val="16"/>
        </w:rPr>
        <w:t>союзникивыполнилиоколо</w:t>
      </w:r>
      <w:r w:rsidRPr="007224C3">
        <w:rPr>
          <w:rFonts w:ascii="Times New Roman" w:hAnsi="Times New Roman"/>
          <w:color w:val="000000" w:themeColor="text1"/>
          <w:sz w:val="16"/>
          <w:szCs w:val="16"/>
          <w:lang w:val="en-US"/>
        </w:rPr>
        <w:t xml:space="preserve"> 15 </w:t>
      </w:r>
      <w:r w:rsidRPr="007224C3">
        <w:rPr>
          <w:rFonts w:ascii="Times New Roman" w:hAnsi="Times New Roman"/>
          <w:color w:val="000000" w:themeColor="text1"/>
          <w:sz w:val="16"/>
          <w:szCs w:val="16"/>
        </w:rPr>
        <w:t>тыс</w:t>
      </w:r>
      <w:r w:rsidRPr="007224C3">
        <w:rPr>
          <w:rFonts w:ascii="Times New Roman" w:hAnsi="Times New Roman"/>
          <w:color w:val="000000" w:themeColor="text1"/>
          <w:sz w:val="16"/>
          <w:szCs w:val="16"/>
          <w:lang w:val="en-US"/>
        </w:rPr>
        <w:t xml:space="preserve">. </w:t>
      </w:r>
      <w:r w:rsidRPr="007224C3">
        <w:rPr>
          <w:rFonts w:ascii="Times New Roman" w:hAnsi="Times New Roman"/>
          <w:color w:val="000000" w:themeColor="text1"/>
          <w:sz w:val="16"/>
          <w:szCs w:val="16"/>
        </w:rPr>
        <w:t>самолетовылетов</w:t>
      </w:r>
      <w:r w:rsidRPr="007224C3">
        <w:rPr>
          <w:rFonts w:ascii="Times New Roman" w:hAnsi="Times New Roman"/>
          <w:color w:val="000000" w:themeColor="text1"/>
          <w:sz w:val="16"/>
          <w:szCs w:val="16"/>
          <w:lang w:val="en-US"/>
        </w:rPr>
        <w:t xml:space="preserve"> (1089).</w:t>
      </w:r>
    </w:p>
    <w:p w14:paraId="32F75BB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686F6DD" w14:textId="77777777" w:rsidR="000340E9" w:rsidRPr="007224C3" w:rsidRDefault="000340E9" w:rsidP="007224C3">
      <w:pPr>
        <w:shd w:val="clear" w:color="auto" w:fill="FFFFFF"/>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июня 1944 г., в день начала вторжения в Нормандии, группа «Мустангов» из 334-й американской эскадрильи осуществляла патрулирование к востоку от Руана. При возвращении назад по неизвестной причине на аэродроме Камбрэ-Зюд совершил вынужденную посадку Р-51В, который пилотировал лейтенант Т. Фрэзер. Самолет привели в порядок, нанесли на него черные кресты и уже 7 июня переправили в испытательный центр в Рехлине. Это был первый исправный «Мустанг», доставшийся немцам.С 19 июня в Рехлине провели цикл испытаний, в ходе которых с трофейными «Мустангом» и «Тандерболтом» воздушные бои вели Bf 109G-6, Bf 109G-6/AS, FW 190А-8. Машины пилотировали опытные летчики: командир группы I/JG 52 майор И. Визе, командир эскадры JG 4 майор Г. Шепфель и начальник летного училища майор Г. Михальски. Меняясь, они пересаживались со своих истребителей на вражеские.</w:t>
      </w:r>
    </w:p>
    <w:p w14:paraId="12B965A3" w14:textId="77777777" w:rsidR="000340E9" w:rsidRPr="007224C3" w:rsidRDefault="000340E9" w:rsidP="007224C3">
      <w:pPr>
        <w:shd w:val="clear" w:color="auto" w:fill="FFFFFF"/>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 достоинств «Мустанга» они отметили просторную кабину, простоту и легкость управления, надежную работу нагнетателя. У земли Р-51В имел примерно ту же скорость, что и «фокке-вульф», но с подъемом на высоту начинал все больше отставать от него. Немецкие машины отличались лучшей маневренностью, но чем выше, тем более неповоротливыми становились. «Мустанг» же, наоборот, на высоте приходил в «пик формы».</w:t>
      </w:r>
    </w:p>
    <w:p w14:paraId="6D7CE086" w14:textId="77777777" w:rsidR="000340E9" w:rsidRPr="007224C3" w:rsidRDefault="000340E9" w:rsidP="007224C3">
      <w:pPr>
        <w:shd w:val="clear" w:color="auto" w:fill="FFFFFF"/>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 недостатков немецкие летчики указали на недостаточную боевую живучесть американского истребителя. Слабая броня фактически прикрывала только летчика. Двигатель и система охлаждения «Мустанга» были весьма уязвимы. Надо сказать, что с точки зрения немцев «Мерлин» вообще плохо переносил боевые повреждения, а в сочетании с длинными магистралями системы охлаждения и сосредоточением всех радиаторов в одном месте его уязвимость существенно возрастала.</w:t>
      </w:r>
    </w:p>
    <w:p w14:paraId="6ABE6B5D" w14:textId="77777777" w:rsidR="000340E9" w:rsidRPr="007224C3" w:rsidRDefault="000340E9" w:rsidP="007224C3">
      <w:pPr>
        <w:pStyle w:val="rtejustify"/>
        <w:shd w:val="clear" w:color="auto" w:fill="FFFFFF"/>
        <w:spacing w:before="0" w:after="0"/>
        <w:rPr>
          <w:color w:val="000000" w:themeColor="text1"/>
          <w:sz w:val="16"/>
          <w:szCs w:val="16"/>
        </w:rPr>
      </w:pPr>
      <w:r w:rsidRPr="007224C3">
        <w:rPr>
          <w:color w:val="000000" w:themeColor="text1"/>
          <w:sz w:val="16"/>
          <w:szCs w:val="16"/>
        </w:rPr>
        <w:t>http://alternathistory.org.ua/ispytano-v-germanii-istrebitel-north-american-p-51С другой стороны, очень высокую оценку получила аэродинамика американского самолета. Именно она позволяла ему одерживать верх над «фокке-вульфом» со значительно более мощным мотором. Проанализировав результаты, инженеры рехлинского центра сделали неутешительный вывод — достойного противника «Мустангу» Люфтваффе не имеет и в ближайшее время иметь не будет. Один из руководителей центра даже высказал предложение скопировать Р-51В и запустить его в производство в Германии.</w:t>
      </w:r>
    </w:p>
    <w:p w14:paraId="2629C433" w14:textId="77777777" w:rsidR="00072A8C" w:rsidRPr="007224C3" w:rsidRDefault="000340E9" w:rsidP="007224C3">
      <w:pPr>
        <w:shd w:val="clear" w:color="auto" w:fill="FFFFFF"/>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Эта идея в условиях постоянных поражений выглядела малореальной. А вот другое предложение: ознакомить немецких летчиков-истребителей с «Мустангом» и научить их с ним бороться, реализовали. В конце июля 1944 г. трофейный Р-51В передали «цирку Розариуса». Официально это подразделение именовалось 2-й эскадрильей экспериментального центра Верховного командования Люфтваффе, а командовал им капитан Т. Розариус, опытный летчик-испытатель. Дислоцировался «цирк» в Геттингене. В его составе имелись несколько «Спитфайров» разных модификаций, «Темпест», «Москито», два Р-47, два «Лайтнинга» (истребитель и фоторазведчик), Як-3 и Як-9. Теперь к ним добавился и «Мустанг». В августе 1944 г. «цирк» перевели на аэродром Бад-Верисхофен.</w:t>
      </w:r>
    </w:p>
    <w:p w14:paraId="2B58A435" w14:textId="77777777" w:rsidR="000340E9" w:rsidRPr="007224C3" w:rsidRDefault="000340E9" w:rsidP="007224C3">
      <w:pPr>
        <w:shd w:val="clear" w:color="auto" w:fill="FFFFFF"/>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Задача подразделения Розариуса сводилась к облету трофейных истребителей, изучению их достоинств и недостатков и выработке тактики борьбы с ними. Все самолеты перекрасили. У «Мустанга» верх трогать не стали, и даже оставили красной носовую часть фюзеляжа (эмблема 4-й истребительной группы), но низ и хвостовое оперение сделали ярко-желтыми, чтобы у летчиков и зенитчиков не сработал «условный рефлекс». На истребителях изобразили полный комплект обозначений Люфтваффе, включая свастики на вертикальном оперении.</w:t>
      </w:r>
    </w:p>
    <w:p w14:paraId="02A04A44" w14:textId="77777777" w:rsidR="000340E9" w:rsidRPr="007224C3" w:rsidRDefault="000340E9" w:rsidP="007224C3">
      <w:pPr>
        <w:shd w:val="clear" w:color="auto" w:fill="FFFFFF"/>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«Циркачи» перелетали на своих машинах в строевые части, демонстрировали их на земле и в воздухе, проводили учебные бои. Опытных летчиков инструктировали и давали самим полетать на истребителях противника. Интересно, что с американскими машинами немцы дали познакомиться и своим союзникам венграм.</w:t>
      </w:r>
    </w:p>
    <w:p w14:paraId="5A4DD158" w14:textId="77777777" w:rsidR="000340E9" w:rsidRPr="007224C3" w:rsidRDefault="000340E9" w:rsidP="007224C3">
      <w:pPr>
        <w:shd w:val="clear" w:color="auto" w:fill="FFFFFF"/>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декабря 1944 г. четверка «Мустангов» 318-й эскадрильи вылетела из Сан-Северо в Италии на сопровождение фоторазведчика, который должен был снять с высоты окрестности Праги. До цели добрались благополучно, но на обратном пути столкнулись с сильным встречным ветром. В облачности истребители разбрелись, горючее было на исходе. Капитан Т. Тодд на Р-51С и лейтенант Н. Уирс на P-51D приземлились возле Нойштадта у австрийско-венгерской границы. Эти машины тоже попали к Розариусу. Интересно, что Р-51С немцы перекрасили полностью (черно-зеленый верх — желтые низ и оперение), а Р-51D остался сверкать полированным металлом.</w:t>
      </w:r>
    </w:p>
    <w:p w14:paraId="7664F11D"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апреле 1945 г. американские войска подошли к Геттингену. «Цирк» перегнали подальше — на аэродром Швангау. К этому времени у Розариуса имелись четыре «Мустанга», три «Тандерболта», три «Спитфайра» (все разные), два «Тайфуна», два «Темпеста», два «Москито», учебный «Гарвард» и три советских истребителя — Як-3, Як-9 и ЛаГГ-3. Из этого парка один P-51D там же, в Швангау, разбили; другую такую же машину успели перегнать в Гослар, где она опять вернулась к американцам. Куда делись остальные «Мустанги» — неизвестно (12691).</w:t>
      </w:r>
    </w:p>
    <w:p w14:paraId="1982D5B5" w14:textId="77777777" w:rsidR="00072A8C" w:rsidRPr="007224C3" w:rsidRDefault="00072A8C"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B4D3115"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6B60D28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C79BEC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июня 1944 на самолете Су-6 установили новый мотор АМ-42 и после нескольких полетов испыта</w:t>
      </w:r>
      <w:r w:rsidRPr="007224C3">
        <w:rPr>
          <w:rFonts w:ascii="Times New Roman" w:hAnsi="Times New Roman"/>
          <w:color w:val="000000" w:themeColor="text1"/>
          <w:sz w:val="16"/>
          <w:szCs w:val="16"/>
        </w:rPr>
        <w:softHyphen/>
        <w:t>ния прекратили (11845).</w:t>
      </w:r>
    </w:p>
    <w:p w14:paraId="6599304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DF3A5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июня 1944 в КБ П.О.С. приступили к проектированию самолета, первона</w:t>
      </w:r>
      <w:r w:rsidRPr="007224C3">
        <w:rPr>
          <w:rFonts w:ascii="Times New Roman" w:hAnsi="Times New Roman"/>
          <w:color w:val="000000" w:themeColor="text1"/>
          <w:sz w:val="16"/>
          <w:szCs w:val="16"/>
        </w:rPr>
        <w:softHyphen/>
        <w:t>чально получившего обозначение И-107, или «Д», а уже в процессе за</w:t>
      </w:r>
      <w:r w:rsidRPr="007224C3">
        <w:rPr>
          <w:rFonts w:ascii="Times New Roman" w:hAnsi="Times New Roman"/>
          <w:color w:val="000000" w:themeColor="text1"/>
          <w:sz w:val="16"/>
          <w:szCs w:val="16"/>
        </w:rPr>
        <w:softHyphen/>
        <w:t>водских летных испытаний - Су-5. За основу приняли 2-й вариант эс</w:t>
      </w:r>
      <w:r w:rsidRPr="007224C3">
        <w:rPr>
          <w:rFonts w:ascii="Times New Roman" w:hAnsi="Times New Roman"/>
          <w:color w:val="000000" w:themeColor="text1"/>
          <w:sz w:val="16"/>
          <w:szCs w:val="16"/>
        </w:rPr>
        <w:softHyphen/>
        <w:t>кизного проекта одноместного истре</w:t>
      </w:r>
      <w:r w:rsidRPr="007224C3">
        <w:rPr>
          <w:rFonts w:ascii="Times New Roman" w:hAnsi="Times New Roman"/>
          <w:color w:val="000000" w:themeColor="text1"/>
          <w:sz w:val="16"/>
          <w:szCs w:val="16"/>
        </w:rPr>
        <w:softHyphen/>
        <w:t>бителя с М-107А и ВРДК ЦИАМ, кото</w:t>
      </w:r>
      <w:r w:rsidRPr="007224C3">
        <w:rPr>
          <w:rFonts w:ascii="Times New Roman" w:hAnsi="Times New Roman"/>
          <w:color w:val="000000" w:themeColor="text1"/>
          <w:sz w:val="16"/>
          <w:szCs w:val="16"/>
        </w:rPr>
        <w:softHyphen/>
        <w:t>рый после доработки предъявили на рассмотрение руководству НКАП СССР и ВВС КА. Параллельно с эскизным проекти</w:t>
      </w:r>
      <w:r w:rsidRPr="007224C3">
        <w:rPr>
          <w:rFonts w:ascii="Times New Roman" w:hAnsi="Times New Roman"/>
          <w:color w:val="000000" w:themeColor="text1"/>
          <w:sz w:val="16"/>
          <w:szCs w:val="16"/>
        </w:rPr>
        <w:softHyphen/>
        <w:t>рованием велись работы по техничес</w:t>
      </w:r>
      <w:r w:rsidRPr="007224C3">
        <w:rPr>
          <w:rFonts w:ascii="Times New Roman" w:hAnsi="Times New Roman"/>
          <w:color w:val="000000" w:themeColor="text1"/>
          <w:sz w:val="16"/>
          <w:szCs w:val="16"/>
        </w:rPr>
        <w:softHyphen/>
        <w:t>кому проекту и постройке макета. Что</w:t>
      </w:r>
      <w:r w:rsidRPr="007224C3">
        <w:rPr>
          <w:rFonts w:ascii="Times New Roman" w:hAnsi="Times New Roman"/>
          <w:color w:val="000000" w:themeColor="text1"/>
          <w:sz w:val="16"/>
          <w:szCs w:val="16"/>
        </w:rPr>
        <w:softHyphen/>
        <w:t>бы уложиться в установленные прави</w:t>
      </w:r>
      <w:r w:rsidRPr="007224C3">
        <w:rPr>
          <w:rFonts w:ascii="Times New Roman" w:hAnsi="Times New Roman"/>
          <w:color w:val="000000" w:themeColor="text1"/>
          <w:sz w:val="16"/>
          <w:szCs w:val="16"/>
        </w:rPr>
        <w:softHyphen/>
        <w:t>тельством сроки, в июле, еще до полно</w:t>
      </w:r>
      <w:r w:rsidRPr="007224C3">
        <w:rPr>
          <w:rFonts w:ascii="Times New Roman" w:hAnsi="Times New Roman"/>
          <w:color w:val="000000" w:themeColor="text1"/>
          <w:sz w:val="16"/>
          <w:szCs w:val="16"/>
        </w:rPr>
        <w:softHyphen/>
        <w:t>го изготовления чертежей, приступили к постройке экземпляра самолета для статических испытаний (10669).</w:t>
      </w:r>
    </w:p>
    <w:p w14:paraId="4ECCF35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79F459E" w14:textId="77777777" w:rsidR="006B3C37" w:rsidRPr="007224C3" w:rsidRDefault="006B3C37" w:rsidP="007224C3">
      <w:pPr>
        <w:pStyle w:val="ae"/>
        <w:shd w:val="clear" w:color="auto" w:fill="FFFFFF"/>
        <w:spacing w:before="0" w:after="0"/>
        <w:jc w:val="both"/>
        <w:rPr>
          <w:color w:val="000000" w:themeColor="text1"/>
          <w:sz w:val="16"/>
          <w:szCs w:val="16"/>
        </w:rPr>
      </w:pPr>
      <w:r w:rsidRPr="007224C3">
        <w:rPr>
          <w:color w:val="000000" w:themeColor="text1"/>
          <w:sz w:val="16"/>
          <w:szCs w:val="16"/>
        </w:rPr>
        <w:t>В начале июня 1944 в ОКБ Сухого приступили к проектированию са молета, первоначально получившего обозначение И-107, или «Д», а уже в процессе заводских летных испытаний ему было дано обозначение Су-5.</w:t>
      </w:r>
    </w:p>
    <w:p w14:paraId="243E740D" w14:textId="77777777" w:rsidR="006B3C37" w:rsidRPr="007224C3" w:rsidRDefault="006B3C37" w:rsidP="007224C3">
      <w:pPr>
        <w:pStyle w:val="ae"/>
        <w:shd w:val="clear" w:color="auto" w:fill="FFFFFF"/>
        <w:spacing w:before="0" w:after="0"/>
        <w:jc w:val="both"/>
        <w:rPr>
          <w:color w:val="000000" w:themeColor="text1"/>
          <w:sz w:val="16"/>
          <w:szCs w:val="16"/>
        </w:rPr>
      </w:pPr>
      <w:r w:rsidRPr="007224C3">
        <w:rPr>
          <w:color w:val="000000" w:themeColor="text1"/>
          <w:sz w:val="16"/>
          <w:szCs w:val="16"/>
        </w:rPr>
        <w:t>За основу был принят второй вариант эскизного проекта одноместного истребителя с М-107А и ВРДК ЦИАМ, который после доработки был предъявлен на рассмотрение руководству НКАП и ВВС.</w:t>
      </w:r>
    </w:p>
    <w:p w14:paraId="0AF6CC4D" w14:textId="77777777" w:rsidR="006B3C37" w:rsidRPr="007224C3" w:rsidRDefault="006B3C37" w:rsidP="007224C3">
      <w:pPr>
        <w:pStyle w:val="ae"/>
        <w:shd w:val="clear" w:color="auto" w:fill="FFFFFF"/>
        <w:spacing w:before="0" w:after="0"/>
        <w:jc w:val="both"/>
        <w:rPr>
          <w:color w:val="000000" w:themeColor="text1"/>
          <w:sz w:val="16"/>
          <w:szCs w:val="16"/>
        </w:rPr>
      </w:pPr>
      <w:r w:rsidRPr="007224C3">
        <w:rPr>
          <w:color w:val="000000" w:themeColor="text1"/>
          <w:sz w:val="16"/>
          <w:szCs w:val="16"/>
        </w:rPr>
        <w:t>Параллельно с эскизным проектированием велись работы по техническому проекту и постройке макета. В июле, еще до полного изготовления чертежей, приступили к постройке эк земпляра самолета для статических испытаний (19586).</w:t>
      </w:r>
    </w:p>
    <w:p w14:paraId="39085494" w14:textId="77777777" w:rsidR="006B3C37" w:rsidRPr="007224C3" w:rsidRDefault="006B3C37" w:rsidP="007224C3">
      <w:pPr>
        <w:pStyle w:val="ae"/>
        <w:shd w:val="clear" w:color="auto" w:fill="FFFFFF"/>
        <w:spacing w:before="0" w:after="0"/>
        <w:jc w:val="both"/>
        <w:rPr>
          <w:color w:val="000000" w:themeColor="text1"/>
          <w:sz w:val="16"/>
          <w:szCs w:val="16"/>
        </w:rPr>
      </w:pPr>
    </w:p>
    <w:p w14:paraId="0FA18ADC" w14:textId="77777777" w:rsidR="00D4630C"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4358CC46" w14:textId="77777777" w:rsidR="00D4630C" w:rsidRPr="007224C3" w:rsidRDefault="00D4630C"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0A175AB" w14:textId="77777777" w:rsidR="00D4630C" w:rsidRPr="007224C3" w:rsidRDefault="00D4630C" w:rsidP="007224C3">
      <w:pPr>
        <w:pStyle w:val="ae"/>
        <w:shd w:val="clear" w:color="auto" w:fill="FFFFFF"/>
        <w:spacing w:before="0" w:after="0"/>
        <w:jc w:val="both"/>
        <w:rPr>
          <w:color w:val="000000" w:themeColor="text1"/>
          <w:sz w:val="16"/>
          <w:szCs w:val="16"/>
        </w:rPr>
      </w:pPr>
      <w:r w:rsidRPr="007224C3">
        <w:rPr>
          <w:color w:val="000000" w:themeColor="text1"/>
          <w:sz w:val="16"/>
          <w:szCs w:val="16"/>
        </w:rPr>
        <w:t xml:space="preserve">В начале июня 1944 года был предложен технический проект ИС-6, который оказался крайне неоднозначным. Попытка сделать танк в весовой нише ИС-2 не удалась. Реально ИС-6 получался массой больше 50 тонн. При этом толщина его брони больше соответствовала не Объекту 701, а ИС-2. Постройку машины в двух вариантах (Объект 252 с механической и Объект 253 с электромеханической трансмиссиями) Котину все же удалось продавить, но итоги испытаний оказались противоречивыми. У танков имелись проблемы с ходовой частью, скорость их передвижения была даже чуть ниже, чем у более тяжелого конкурента. Крайне ненадежной показала себя </w:t>
      </w:r>
      <w:r w:rsidRPr="007224C3">
        <w:rPr>
          <w:color w:val="000000" w:themeColor="text1"/>
          <w:sz w:val="16"/>
          <w:szCs w:val="16"/>
        </w:rPr>
        <w:lastRenderedPageBreak/>
        <w:t>электромеханическая трансмиссия. И, что самое главное, преимуществ перед танком разработки СКБ-2 ЧКЗ эта машина не имела. Тем не менее, Котин смог добиться отправки ИС-6 в Москву для демонстрации, в которой также участвовал Объект 701. На судьбу ИС-6, впрочем, это уже особо повлиять не могло (17209).</w:t>
      </w:r>
    </w:p>
    <w:p w14:paraId="0D2BEB9A" w14:textId="77777777" w:rsidR="00D4630C" w:rsidRPr="007224C3" w:rsidRDefault="00D4630C" w:rsidP="007224C3">
      <w:pPr>
        <w:pStyle w:val="ae"/>
        <w:shd w:val="clear" w:color="auto" w:fill="FFFFFF"/>
        <w:spacing w:before="0" w:after="0"/>
        <w:jc w:val="both"/>
        <w:rPr>
          <w:color w:val="000000" w:themeColor="text1"/>
          <w:sz w:val="16"/>
          <w:szCs w:val="16"/>
        </w:rPr>
      </w:pPr>
    </w:p>
    <w:p w14:paraId="68FA3B8C" w14:textId="77777777" w:rsidR="0078764F" w:rsidRPr="007224C3" w:rsidRDefault="0078764F"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В начале июня 1944 года был представлен Технический проект ИС-6, который оказался крайне неоднозначным. Попытка сделать танк в весовой нише ИС-2 не удалась. Реально ИС-6 получался массой больше 50 тонн. При этом толщина его брони больше соответствовала не Объекту 701, а ИС-2. Постройку машины в двух вариантах (Объект 252 с механической и Объект 253 с электромеханической трансмиссиями) Котину всё же удалось продавить, но итоги испытаний оказались противоречивыми. У танков имелись проблемы с ходовой частью, скорость их передвижения была даже чуть ниже, чем у более тяжёлого конкурента. Крайне ненадёжной показала себя электромеханическая трансмиссия. И, что самое главное, преимуществ перед танком разработки СКБ-2 ЧКЗ эта машина не имела. Тем не менее, Котин смог добиться отправки ИС-6 в Москву для демонстрации, в которой также участвовал Объект 701. На судьбу ИС-6, впрочем, это уже особо повлиять не могло (16735).</w:t>
      </w:r>
    </w:p>
    <w:p w14:paraId="62CB6A6F" w14:textId="77777777" w:rsidR="0078764F" w:rsidRPr="007224C3" w:rsidRDefault="0078764F" w:rsidP="007224C3">
      <w:pPr>
        <w:spacing w:after="0" w:line="240" w:lineRule="auto"/>
        <w:jc w:val="both"/>
        <w:rPr>
          <w:rStyle w:val="77"/>
          <w:rFonts w:eastAsiaTheme="minorHAnsi"/>
          <w:color w:val="000000" w:themeColor="text1"/>
          <w:sz w:val="16"/>
          <w:szCs w:val="16"/>
        </w:rPr>
      </w:pPr>
    </w:p>
    <w:p w14:paraId="30BF18D7" w14:textId="77777777" w:rsidR="006B3C37" w:rsidRPr="007224C3" w:rsidRDefault="006B3C37" w:rsidP="007224C3">
      <w:pPr>
        <w:pStyle w:val="ae"/>
        <w:shd w:val="clear" w:color="auto" w:fill="FFFFFF"/>
        <w:spacing w:before="0" w:after="0"/>
        <w:jc w:val="both"/>
        <w:textAlignment w:val="baseline"/>
        <w:rPr>
          <w:color w:val="000000" w:themeColor="text1"/>
          <w:sz w:val="16"/>
          <w:szCs w:val="16"/>
        </w:rPr>
      </w:pPr>
      <w:r w:rsidRPr="007224C3">
        <w:rPr>
          <w:color w:val="000000" w:themeColor="text1"/>
          <w:sz w:val="16"/>
          <w:szCs w:val="16"/>
        </w:rPr>
        <w:t>В начале июня 1944 года в НКТП был прислан проект нового тяжёлого танка ОКБ завода 100. Благодаря довольно высокой степени проработки Малышев дал зелёный свет дальнейшим работам (19150).</w:t>
      </w:r>
    </w:p>
    <w:p w14:paraId="2E28B4E4" w14:textId="77777777" w:rsidR="006B3C37" w:rsidRPr="007224C3" w:rsidRDefault="006B3C37" w:rsidP="007224C3">
      <w:pPr>
        <w:pStyle w:val="ae"/>
        <w:shd w:val="clear" w:color="auto" w:fill="FFFFFF"/>
        <w:spacing w:before="0" w:after="0"/>
        <w:jc w:val="both"/>
        <w:textAlignment w:val="baseline"/>
        <w:rPr>
          <w:color w:val="000000" w:themeColor="text1"/>
          <w:sz w:val="16"/>
          <w:szCs w:val="16"/>
        </w:rPr>
      </w:pPr>
    </w:p>
    <w:p w14:paraId="6AB05EED"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0B368A9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670345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июня 1944 вышла директива командующего ВВС по итогам действия ВВС зимой-весной 1944 и задачах на лето. Проанализировали недостатки, вскрыли причины. Л поручили изучать объекты действий. Управление ш авиации на поле боя рекомендовали строить по принципам и авиации. Командующими ВА запретили управлять вылетами и действиями групп. Должны были ставить задачи ак и ад. Для борьбы с вражеской авиации в ВА д.б. выделен ак и поручено было не ограничиваться воздушными боями, а действовать и по аэродромам (340,167).</w:t>
      </w:r>
    </w:p>
    <w:p w14:paraId="5995249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A93155" w14:textId="77777777" w:rsidR="000340E9"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7AD67579" w14:textId="77777777" w:rsidR="000340E9" w:rsidRPr="007224C3" w:rsidRDefault="000340E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0659CDE" w14:textId="77777777" w:rsidR="000340E9" w:rsidRPr="007224C3" w:rsidRDefault="000340E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июня 1944 года в Лондоне было получено донесение о том, что на французское побережье Ла-Манша доставлены немецкие управляемые снаряды. Английские летчики сообщали, что вокруг двух сооружений, напоминавших лыжи, замечена большая активность противника. Вечером 12 июня немецкие дальнобойные пушки начали обстрел английской территории через Ла-Манш, вероятно, с целью отвлечь внимание англичан от подготовки к запуску самолетов-снарядов. В 4 часа ночи обстрел прекратился. Через несколько минут над наблюдательным пунктом в Кенте был замечен странный «самолет», издававший резкий свистящий звук и испускавший яркий свет из хвостовой части. Через 18 минут «самолет» с оглушительным взрывом упал на землю в Суонскоуме, близ Грейвсенда. В течение последующего часа еще три таких «самолета» упали в Какфилде, Бетнал-Грине и в Плэтте. В результате взрывов в Бетнал-Грине было убито шесть и ранено девять человек. Кроме того, был разрушен железнодорожный мост.</w:t>
      </w:r>
    </w:p>
    <w:p w14:paraId="253FB882" w14:textId="77777777" w:rsidR="000340E9" w:rsidRPr="007224C3" w:rsidRDefault="000340E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Это стало началом так называемого «Роботблица» – войны механизмов.</w:t>
      </w:r>
    </w:p>
    <w:p w14:paraId="18960E1F" w14:textId="77777777" w:rsidR="000340E9" w:rsidRPr="007224C3" w:rsidRDefault="000340E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ходе этой войны по Англии было выпущено 8070 (по другим источникам – 9017) самолетов-снарядов «V-1». Из этого количества 7488 штук были замечены службой наблюдения, а 2420 (по другим источникам – 2340) достигли района целей. Истребители английской ПВО уничтожили 1847 «V-1», расстреливая их бортовым оружием или сбивая спутным потоком. Зенитная артиллерия уничтожила 1878 самолетов-снарядов. Об аэростаты заграждения разбилось 232 снаряда. В целом было сбито почти 53% всех самолетов-снарядов «V-1», выпущенных по Лондону, и только 32% (по другим источникам – 25,9%) наблюдаемых самолетов-снарядов прорвалось к району целей.</w:t>
      </w:r>
    </w:p>
    <w:p w14:paraId="4FA88C42" w14:textId="77777777" w:rsidR="000340E9" w:rsidRPr="007224C3" w:rsidRDefault="000340E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 даже этим количеством самолетов-снарядов немцы нанесли Англии большой ущерб. Было уничтожено 24 491 жилое здание, 52 293 постройки стали непригодными для жилья. Погибли 5864 человека, 17 197 были тяжело ранены.</w:t>
      </w:r>
    </w:p>
    <w:p w14:paraId="1019A761" w14:textId="77777777" w:rsidR="000340E9" w:rsidRPr="007224C3" w:rsidRDefault="000340E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Общие данные о перехваченных самолетах-снарядах не могут дать полного представления о масштабах борьбы, развернувшейся против немецких реактивных снарядов. В течение первого периода «Роботблица» англичане фактически не знали, как защищаться от нового оружия, не было у них и соответствующей организации. Зенитной артиллерии и истребителям приходилось действовать против самолетов-снарядов осторожно, чтобы не мешать друг другу. В конце концов на артиллерию была возложена задача прикрытия внешнего оборонительного пояса, а на истребительную авиацию – внутреннего.</w:t>
      </w:r>
    </w:p>
    <w:p w14:paraId="43370131" w14:textId="77777777" w:rsidR="000340E9" w:rsidRPr="007224C3" w:rsidRDefault="000340E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Последний самолет-снаряд «V-1», запущенный с французской территории, упал на Англию 1 сентября 1944 года. Англо-американские войска, высадившись во Франции, уничтожили установки для запуска ракет (11688).</w:t>
      </w:r>
    </w:p>
    <w:p w14:paraId="30357D2F" w14:textId="77777777" w:rsidR="000340E9" w:rsidRPr="007224C3" w:rsidRDefault="000340E9" w:rsidP="007224C3">
      <w:pPr>
        <w:autoSpaceDE w:val="0"/>
        <w:autoSpaceDN w:val="0"/>
        <w:adjustRightInd w:val="0"/>
        <w:spacing w:after="0" w:line="240" w:lineRule="auto"/>
        <w:jc w:val="both"/>
        <w:rPr>
          <w:rFonts w:ascii="Times New Roman" w:hAnsi="Times New Roman"/>
          <w:color w:val="000000" w:themeColor="text1"/>
          <w:sz w:val="16"/>
          <w:szCs w:val="16"/>
        </w:rPr>
      </w:pPr>
    </w:p>
    <w:p w14:paraId="0F103963"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7C763F1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F60258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июня 1944 Нач. 5 отд. НИИ ВВС ип Князев утвердил Отчет о командировке в строевые части 4 ВА (обобщение опыта боевой эксплуатации матчасти ВВС КА), подготовленный Сидоренко. С 1 сентября 1941 по 1 мая 1944 три полка 233 шад на самолетах Ил-2 выполнили 7472 самолетовылетов и налетали 7511 часов. Потеряли 220, то есть 1 на 35 часов. Средняя живучесть за 7 месяцев наиболее напряженной работы составляла 30 часов.</w:t>
      </w:r>
    </w:p>
    <w:p w14:paraId="068DB9B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Ответственный исполнитель ип Сидоренко</w:t>
      </w:r>
    </w:p>
    <w:p w14:paraId="06196D8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Отпечатан и подписан 5 июня 1944</w:t>
      </w:r>
    </w:p>
    <w:p w14:paraId="188ABC2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Анализ дефектов моторов типа ВК-105 (П, ПА, Р, РА и ПФ), поступивших для ремонта в 14 ПАМ за время с 1 октября 1941 по 1 октября 1943 показывает следующие причины съемки моторов с самолетов:</w:t>
      </w:r>
    </w:p>
    <w:p w14:paraId="1D6169F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по вине эксплуатации - 291 (43,3%)</w:t>
      </w:r>
    </w:p>
    <w:p w14:paraId="3D2B8A0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по вине производства - 131 (19,7%)</w:t>
      </w:r>
    </w:p>
    <w:p w14:paraId="4A5B82E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боевые повреждения - 101 (15%)</w:t>
      </w:r>
    </w:p>
    <w:p w14:paraId="33B935D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выработанный ресурс - 33 (4,9%)</w:t>
      </w:r>
    </w:p>
    <w:p w14:paraId="6352C70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причины не установлены - 70 (10,4)</w:t>
      </w:r>
    </w:p>
    <w:p w14:paraId="79AB310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 - 671</w:t>
      </w:r>
    </w:p>
    <w:p w14:paraId="3785150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АМ-38 (в 9 полках 4ВА) выработало свой ресурс 5,15%</w:t>
      </w:r>
    </w:p>
    <w:p w14:paraId="0783FFE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АШ-82Ф (2 ап 49 КИАП и 272 ИАП 309 иад)</w:t>
      </w:r>
    </w:p>
    <w:p w14:paraId="6DFD761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Основные дефекты - задир цилиндров, прогар поршней и выбивание масла (за время 4-х месячной эксплуатации в 2-х полках в январе-апреле 1944).</w:t>
      </w:r>
    </w:p>
    <w:p w14:paraId="2FA8588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Живучесть матчасти в боевых условиях:</w:t>
      </w:r>
    </w:p>
    <w:p w14:paraId="685801F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С-ты типа Як-1, Як-7, Як-9 - два истребительных полка имеющие эти с-ты с 1 февраля 1943 по 1 мая 1944 имели 4532 б/вылета с общим налетом 4294:03. Проведено 310 в/боев, сбито 213 с-то противника всех типов, свои потери (не вернулис с б/задания) - 52</w:t>
      </w:r>
    </w:p>
    <w:p w14:paraId="1351186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Таким образом, на одну потерю своего с-та типа Як приходилось 187 с/вылетов или 178 часов налета. На 1 сбитый с-т проивника - 93 с/выдлета или 90 часлв налета. На одну б/потерю своего с-та от огня ЗА противника пришлось 4304 с/выдлета или 4050 часов налета. Средняя живучесть с-та по сроку его эксплуатации в частях в условиях напряженной боевой работы составляет: Як-1 - 54 часа, Як-7Б - 42 часа, Як-9 - 13 час.</w:t>
      </w:r>
    </w:p>
    <w:p w14:paraId="292325C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среднем же по всем с-там типа Як живучесть составила 36,3 час.</w:t>
      </w:r>
    </w:p>
    <w:p w14:paraId="446D19C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Наиболее частыми боевыми повреждениями с-тов типа Як являются:</w:t>
      </w:r>
    </w:p>
    <w:p w14:paraId="288218D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Повреждение плоскостей и консолей со срывом фанерного покрытия площадью до 1,5 м2 - 34</w:t>
      </w:r>
    </w:p>
    <w:p w14:paraId="21FFE97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Повреждение в/радиаторов - 13</w:t>
      </w:r>
    </w:p>
    <w:p w14:paraId="71AD442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Повреждения б/баков от пулевых пробоин и разрывов снарядов - 28</w:t>
      </w:r>
    </w:p>
    <w:p w14:paraId="1F1BE9D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Повреждение мотора от пуль и снарядов - 14</w:t>
      </w:r>
    </w:p>
    <w:p w14:paraId="0CE722D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Повреждение фюзеляжа со срывом полотняного покрытия размером до 1 м2 - 22</w:t>
      </w:r>
    </w:p>
    <w:p w14:paraId="1A30795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Повреждение хвостового оперения - 25</w:t>
      </w:r>
    </w:p>
    <w:p w14:paraId="50AC7D7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Повреждение лопастей винта и щшасси - 16</w:t>
      </w:r>
    </w:p>
    <w:p w14:paraId="0455025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 всех отмеченных выше случаях с-ты возвращались с б/задания благополучно и производили посадки на своем аэродроме. Т.о. основными поражаемыми местами с-та Як являлись:</w:t>
      </w:r>
    </w:p>
    <w:p w14:paraId="4C467B9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центальная часть с-та</w:t>
      </w:r>
    </w:p>
    <w:p w14:paraId="4701645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фюзеляжное покрытие кабины л (особенно левая рука л) и другие места с-та, ведущего боевой разворот.</w:t>
      </w:r>
    </w:p>
    <w:p w14:paraId="1B72644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с-тах тпа Як высказываются пожелания улучшить с-т за счет:</w:t>
      </w:r>
    </w:p>
    <w:p w14:paraId="0E7E8E8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усиления обшивки верхней части крыла между 1 и 4 нервюрами за задним лонжероном</w:t>
      </w:r>
    </w:p>
    <w:p w14:paraId="282E9F7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поставить указатели расхода б/припасов и работы вооружения</w:t>
      </w:r>
    </w:p>
    <w:p w14:paraId="1FA9856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поставить перегородки между б/баками</w:t>
      </w:r>
    </w:p>
    <w:p w14:paraId="4570B2F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4) поставить автомат стопора костыля</w:t>
      </w:r>
    </w:p>
    <w:p w14:paraId="0F8D833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плоскость сделать разъемной</w:t>
      </w:r>
    </w:p>
    <w:p w14:paraId="42EEDF1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Живучесть с-та Ла-5</w:t>
      </w:r>
    </w:p>
    <w:p w14:paraId="60F2667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Два истребительных полка, имеющих на вооружении с-ты Ла-5Ф и Ла-5ФН за время с 1 февраля 1943 по 1 мая 1944 имели 4161 боевых вылета с общим налетом 3723 час. За это время произведено 270 воздушных боев при которых сбито 177 с-тов противника различного типа. Свои потери (не вернулись с боевого задания) от ИА противника - 27 с-тов и от огня ЗА - 3.</w:t>
      </w:r>
    </w:p>
    <w:p w14:paraId="4E5140D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одну боевую потерю своего с-та от ИА приходится 153 боевых вылета или 138 час. и на одну потерю от ЗА - 1378 или 1235 часов.</w:t>
      </w:r>
    </w:p>
    <w:p w14:paraId="1E3143A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Средняя живучесть Ла-5 - 69 часов</w:t>
      </w:r>
    </w:p>
    <w:p w14:paraId="62FC7B4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 боевых повареждений с-та имели место 410 случаев поврежджения деталей с-та и 164 случая повреждения мотора</w:t>
      </w:r>
    </w:p>
    <w:p w14:paraId="0B128CC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Наиболее часто повреждениям были подвержены:</w:t>
      </w:r>
    </w:p>
    <w:p w14:paraId="61AF0E9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Нижние капоты мотора и капот радиатора, что приводит к повреждениям маслопроводов, м/отстойника и м/радиатора - 17</w:t>
      </w:r>
    </w:p>
    <w:p w14:paraId="13CFE3C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Бензобаки - 35</w:t>
      </w:r>
    </w:p>
    <w:p w14:paraId="29629EE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Переднее и заднее бронестекла - 5</w:t>
      </w:r>
    </w:p>
    <w:p w14:paraId="47774B6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Центроплан и плоскости - 70</w:t>
      </w:r>
    </w:p>
    <w:p w14:paraId="46938FF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Элероны, лонжероны, нервюры, стрингера, обшивка элеронов, управление элеронами и щитками - 55</w:t>
      </w:r>
    </w:p>
    <w:p w14:paraId="26060A3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востовое управление, тяги оперениягидросистема, воздухосистема, система н/газа, кимлородное оборудование, костыль - 10</w:t>
      </w:r>
    </w:p>
    <w:p w14:paraId="50C3790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Лопасти винта - 2</w:t>
      </w:r>
    </w:p>
    <w:p w14:paraId="760734E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 всех перечисленных случаях поврежденные с-ты возвращались из боевых заданий и благополучно производили посадку на свой аэродром.</w:t>
      </w:r>
    </w:p>
    <w:p w14:paraId="0D8615B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 с-ты восстанавливались силами полков и ПАРМ-1 в течение 3-10 суток.</w:t>
      </w:r>
    </w:p>
    <w:p w14:paraId="6BFC723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недостаткам конструкции с-та Ла-5 относятся:</w:t>
      </w:r>
    </w:p>
    <w:p w14:paraId="4EB756B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Узкое переднее б/стекло</w:t>
      </w:r>
    </w:p>
    <w:p w14:paraId="6A85978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Сзади-сверху голова л не защищена - нужен бронезаголовник</w:t>
      </w:r>
    </w:p>
    <w:p w14:paraId="2213A82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Низ с-та не защищен. Если попаждание в мотор не выводит его из строя, то попадание в фюзеляж или плоскотьв большинстве случаев выводит с-т из строя. Л в этих слукчаях покидает с-т. При попадании снаряда в плоскость плоскость вскрывается вся целиком и с-т становится неуправляемым. При попадании снаряда в фюзеляж в большинстве случаев отваливается хвост.</w:t>
      </w:r>
    </w:p>
    <w:p w14:paraId="6725E4C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Летный и технический состав высказывает пожелания улучшить с-т Ла-5 за счет:</w:t>
      </w:r>
    </w:p>
    <w:p w14:paraId="33C5E07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Автоматизации ВМГ</w:t>
      </w:r>
    </w:p>
    <w:p w14:paraId="4940DD9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Полного закрытия уюбранных колес</w:t>
      </w:r>
    </w:p>
    <w:p w14:paraId="5882CC9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Всасывающий патрубок перенести вниз для улучшения обзора. Патрубок закрывает нижнюю сетку прицела</w:t>
      </w:r>
    </w:p>
    <w:p w14:paraId="2CEEAC2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Перенести выше управление триммером РВ</w:t>
      </w:r>
    </w:p>
    <w:p w14:paraId="5B4FD12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Повысить эффективность руля глубины для посадки на 3 точки</w:t>
      </w:r>
    </w:p>
    <w:p w14:paraId="20169AD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Основным эе недостатком с-та Ла-5 является его деревянная конструкция. При грубых посадках имеет место поломка фюзеляжа. Весьма жедлательно каркас фюзеляжа по кабину делать металлическим, что существенно повысит живучесть с-та.</w:t>
      </w:r>
    </w:p>
    <w:p w14:paraId="1E3FA26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Живучесть с-та Ил-2</w:t>
      </w:r>
    </w:p>
    <w:p w14:paraId="0A46BB1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время отчета, а именно с 1 сентября 1941 по 1 мая 1944 три полка 233 шад на самолетах Ил-2 выполнили 7472 самолетовылетов и налетали 7511 часов. За это время потеряли 220, что в среднем составляет на 1 потерю своего с-та 35 часов. Средняя живучесть за 7 месяцев наиболее напряженной работы составляла 30 часов.</w:t>
      </w:r>
    </w:p>
    <w:p w14:paraId="568326A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Живучесть с-та Бостон Ш</w:t>
      </w:r>
    </w:p>
    <w:p w14:paraId="006DFC2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время с 1 января 1943 по 1 декабря 1943 в 3-х бап количество вылетов составило 2995 с налетом 7506. Потеряно 33 с-та. Количество вылетов на 1 потерю - 84, налет - 177,6 или 1.1% от количества вылетов.</w:t>
      </w:r>
    </w:p>
    <w:p w14:paraId="167036B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Средняя живучесть с-та при выполнении боевых заданий ночью - 98 б/вылетов на 1 потерюи днем - 77.</w:t>
      </w:r>
    </w:p>
    <w:p w14:paraId="69EF172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каждые 100 час. средняя б/потеря достиганет 0,45 (11444).</w:t>
      </w:r>
    </w:p>
    <w:p w14:paraId="14589D0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8E0EB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июня 1944 вышел приказ НКАП N 386сс во исполнение постановления ГКО N 5679с от 19 апреля 1944 о переходе в течение 1944 на выпуск самолетов Пе-2, Ил-2 и Як-9 с фибровыми протектированными баками.</w:t>
      </w:r>
    </w:p>
    <w:p w14:paraId="32D8044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Директору завода 153 Лисицину перейти с 15 июня 1944 на выпуск 75% самолетов Як-9 с М-105ПФ, оборудованных фибровыми протектированными баками</w:t>
      </w:r>
    </w:p>
    <w:p w14:paraId="242A258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Директору завода 18 Белянскому перейти с 15 июня 1944 на выпуск 60% самолетов Ил-2, оборудованных фибровыми протектированными баками</w:t>
      </w:r>
    </w:p>
    <w:p w14:paraId="7FEDF21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Директору завода 22 Окулову:</w:t>
      </w:r>
    </w:p>
    <w:p w14:paraId="666E7FC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обеспечить выпуск 50% самолетов Пе-2, оборудованных фибровыми протектированными баками N 2 и N 3 с 1 августа 1944 (1672,78).</w:t>
      </w:r>
    </w:p>
    <w:p w14:paraId="3829D51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E058E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июня 1944 закончились летные испытания НС-23 на Як-9 и 10 октября пушка и патрон на основе 14.5 мм ПТР были приняты на вооружение (3996, 136).</w:t>
      </w:r>
    </w:p>
    <w:p w14:paraId="34BF5A5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F91C2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июня 1944 в ходе испытаний Як-9ДД Ю.А. Антипов выполнил полет по маршруту Чкаловская - Сталинград - Чкаловская протяженностью по прямой 1800 км, следуя на высоте 1030 м со скоростью 351 км/ч.</w:t>
      </w:r>
    </w:p>
    <w:p w14:paraId="0EB9397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2DE606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июня 1944 г. были завершены и летные испытания НС-23 на Як-9 (10695).</w:t>
      </w:r>
    </w:p>
    <w:p w14:paraId="5824FE8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E462471" w14:textId="77777777" w:rsidR="00C074FF" w:rsidRPr="007224C3" w:rsidRDefault="00C074F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7 июня 1944 г. пушка НС-23 в моторном варианте с успехом прошла государственные летные испытания на самолете Як-9 и поста</w:t>
      </w:r>
      <w:r w:rsidRPr="007224C3">
        <w:rPr>
          <w:rFonts w:ascii="Times New Roman" w:hAnsi="Times New Roman"/>
          <w:color w:val="000000" w:themeColor="text1"/>
          <w:sz w:val="16"/>
          <w:szCs w:val="16"/>
        </w:rPr>
        <w:softHyphen/>
        <w:t>новлением ГОКО от 10 октября была запущена в серийное производство. В дальнейшем пуш</w:t>
      </w:r>
      <w:r w:rsidRPr="007224C3">
        <w:rPr>
          <w:rFonts w:ascii="Times New Roman" w:hAnsi="Times New Roman"/>
          <w:color w:val="000000" w:themeColor="text1"/>
          <w:sz w:val="16"/>
          <w:szCs w:val="16"/>
        </w:rPr>
        <w:softHyphen/>
        <w:t>ки этого типа в синхронном и крыльевом вари</w:t>
      </w:r>
      <w:r w:rsidRPr="007224C3">
        <w:rPr>
          <w:rFonts w:ascii="Times New Roman" w:hAnsi="Times New Roman"/>
          <w:color w:val="000000" w:themeColor="text1"/>
          <w:sz w:val="16"/>
          <w:szCs w:val="16"/>
        </w:rPr>
        <w:softHyphen/>
        <w:t>антах устанавливались на поршневых истреби</w:t>
      </w:r>
      <w:r w:rsidRPr="007224C3">
        <w:rPr>
          <w:rFonts w:ascii="Times New Roman" w:hAnsi="Times New Roman"/>
          <w:color w:val="000000" w:themeColor="text1"/>
          <w:sz w:val="16"/>
          <w:szCs w:val="16"/>
        </w:rPr>
        <w:softHyphen/>
        <w:t>телях Ла-9, Ла-11 и штурмовиках Ил-10, а так</w:t>
      </w:r>
      <w:r w:rsidRPr="007224C3">
        <w:rPr>
          <w:rFonts w:ascii="Times New Roman" w:hAnsi="Times New Roman"/>
          <w:color w:val="000000" w:themeColor="text1"/>
          <w:sz w:val="16"/>
          <w:szCs w:val="16"/>
        </w:rPr>
        <w:softHyphen/>
        <w:t>же на реактивных истребителях МиГ-9, Ла-15 и МиГ-15. За создание НС-23 коллективу раз</w:t>
      </w:r>
      <w:r w:rsidRPr="007224C3">
        <w:rPr>
          <w:rFonts w:ascii="Times New Roman" w:hAnsi="Times New Roman"/>
          <w:color w:val="000000" w:themeColor="text1"/>
          <w:sz w:val="16"/>
          <w:szCs w:val="16"/>
        </w:rPr>
        <w:softHyphen/>
        <w:t>работчиков во главе с А.Э. Нудельманом по</w:t>
      </w:r>
      <w:r w:rsidRPr="007224C3">
        <w:rPr>
          <w:rFonts w:ascii="Times New Roman" w:hAnsi="Times New Roman"/>
          <w:color w:val="000000" w:themeColor="text1"/>
          <w:sz w:val="16"/>
          <w:szCs w:val="16"/>
        </w:rPr>
        <w:softHyphen/>
        <w:t>становлением Совета Министров СССР от 26 июня 1946 г. была присуждена Сталинская премия второй степени (15763).</w:t>
      </w:r>
    </w:p>
    <w:p w14:paraId="03F0C5E4" w14:textId="77777777" w:rsidR="00C074FF" w:rsidRPr="007224C3" w:rsidRDefault="00C074FF" w:rsidP="007224C3">
      <w:pPr>
        <w:spacing w:after="0" w:line="240" w:lineRule="auto"/>
        <w:jc w:val="both"/>
        <w:rPr>
          <w:rFonts w:ascii="Times New Roman" w:hAnsi="Times New Roman"/>
          <w:color w:val="000000" w:themeColor="text1"/>
          <w:sz w:val="16"/>
          <w:szCs w:val="16"/>
        </w:rPr>
      </w:pPr>
    </w:p>
    <w:p w14:paraId="46E47034" w14:textId="77777777" w:rsidR="00C074FF" w:rsidRPr="007224C3" w:rsidRDefault="00C074FF" w:rsidP="007224C3">
      <w:pPr>
        <w:shd w:val="clear" w:color="auto" w:fill="FFFFFF"/>
        <w:spacing w:after="0" w:line="240" w:lineRule="auto"/>
        <w:jc w:val="both"/>
        <w:rPr>
          <w:rFonts w:ascii="Times New Roman" w:eastAsia="Times New Roman" w:hAnsi="Times New Roman"/>
          <w:color w:val="000000" w:themeColor="text1"/>
          <w:sz w:val="16"/>
          <w:szCs w:val="16"/>
        </w:rPr>
      </w:pPr>
      <w:r w:rsidRPr="007224C3">
        <w:rPr>
          <w:rFonts w:ascii="Times New Roman" w:eastAsia="Times New Roman" w:hAnsi="Times New Roman"/>
          <w:color w:val="000000" w:themeColor="text1"/>
          <w:sz w:val="16"/>
          <w:szCs w:val="16"/>
        </w:rPr>
        <w:t>7 июня 1944 г. были завершены летные испытания пушки НС-23 на истребителе Як-9. Пушка НС-23 с новым патроном получила поддержку командования ВВС (15979).</w:t>
      </w:r>
    </w:p>
    <w:p w14:paraId="44B15375" w14:textId="77777777" w:rsidR="00C074FF" w:rsidRPr="007224C3" w:rsidRDefault="00C074FF" w:rsidP="007224C3">
      <w:pPr>
        <w:shd w:val="clear" w:color="auto" w:fill="FFFFFF"/>
        <w:spacing w:after="0" w:line="240" w:lineRule="auto"/>
        <w:jc w:val="both"/>
        <w:rPr>
          <w:rFonts w:ascii="Times New Roman" w:eastAsia="Times New Roman" w:hAnsi="Times New Roman"/>
          <w:color w:val="000000" w:themeColor="text1"/>
          <w:sz w:val="16"/>
          <w:szCs w:val="16"/>
        </w:rPr>
      </w:pPr>
    </w:p>
    <w:p w14:paraId="61DB7DCD"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3C761A8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9E5A7C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июня 1944 вышло Постановление ГКО № 6008 О плане производства и поставок пистолетов-пулеметов Шпагина и ПП-43 в июне 1944 года. РГАНИР, Фонд ГКО, д. 262, лл. 1-5,6-11 (11012).</w:t>
      </w:r>
    </w:p>
    <w:p w14:paraId="1A636B1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31048B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июня 1944 вышло Постановление ГКО № 6009 О поставке НКО и НКВМФ боеприпасов в июне 1944 г. РГАНИР, Фонд ГКО, д. 262, лл. 12-23,24-60 (11012).</w:t>
      </w:r>
    </w:p>
    <w:p w14:paraId="52C27BE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A175A0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июня 1944 вышло Постановление ГКО № 6010 О плане производства и поставок НКО и НКВМФ артиллерийского, минометного и стрелкового вооружения и военных приборов на июнь 1944 года. РГАНИР, Фонд ГКО, д. 262, лл. 61-78,79-87 (11012).</w:t>
      </w:r>
    </w:p>
    <w:p w14:paraId="3CE6937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4B427E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июня 1944 вышло Постановление ГКО № 6011 О плане производства и ремонта танков, самоходных артиллерийских установок, дизелей и производства запасных частей к ним на июнь 1944 года. РГАНИР, Фонд ГКО, д. 262, лл. 88-92,93-111 (11012).</w:t>
      </w:r>
    </w:p>
    <w:p w14:paraId="3E6BA36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2699CF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июня 1944 вышло Постановление ГКО № 6012 О плане добычи угля и сланца на июнь 1944 года по Наркомуглю. РГАНИР, Фонд ГКО, д. 262, лл. 112-126,127-138 (11012).</w:t>
      </w:r>
    </w:p>
    <w:p w14:paraId="68B84A3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103CB3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июня 1944 вышло Постановление ГКО № 6013 О плане производства и поставок патронов Наркоматом вооружения в июне 1944 года. РГАНИР, Фонд ГКО, д. 262, лл. 139-144,145-149 (11012).</w:t>
      </w:r>
    </w:p>
    <w:p w14:paraId="0997CF6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FFC74C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июня 1944 вышло Постановление ГКО № 6014 О добыче нефти и выработке нефтепродуктов в июне 1944 года. РГАНИР, Фонд ГКО, д. 262, лл. 150-155,156-159 (11012).</w:t>
      </w:r>
    </w:p>
    <w:p w14:paraId="33185A1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844B5C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июня 1944 вышло Постановление ГКО № 6015 О плане производства синтетического каучука, автомобильных и специальных шин, а также других резинотехнических изделий в июне 1944 г. по Наркомрезинпрому. РГАНИР, Фонд ГКО, д. 262, лл. 160-166 (11012).</w:t>
      </w:r>
    </w:p>
    <w:p w14:paraId="0EFE62D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02244C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июня 1944 вышло Постановление ГКО № 6016 О плане производства Наркомбумпромом целлюлозы, бумаги и картона в июне 1944 г. РГАНИР, Фонд ГКО, д. 262, лл. 167-172,173-176 (11012).</w:t>
      </w:r>
    </w:p>
    <w:p w14:paraId="4DB506A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4CDA471"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июня 1944 вышло Постановление ГКО № 6017 О неотложных мерах по расширению и восстановлению производства средств пожаротушения. (7239, 177-183,184-197).</w:t>
      </w:r>
    </w:p>
    <w:p w14:paraId="502A401E"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FEA9A28"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июня 1944 вышло Распоряжение ГКО № 6018 Об организации Зуевского энергетического техникума Наркомата электростанций. (7239, 198-200).</w:t>
      </w:r>
    </w:p>
    <w:p w14:paraId="6628F9DF"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D06DE44"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июня 1944 вышло Распоряжение ГКО № 6019 [О закладке в госрезерв 250 дизелей В-2.] (7239, 201).</w:t>
      </w:r>
    </w:p>
    <w:p w14:paraId="1B89B304"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CA571E7"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июня 1944 вышло Постановление ГКО № 6020 Об обеспечении железных дорог углем в июне 1944 г. (7239, 202-205,206-207).</w:t>
      </w:r>
    </w:p>
    <w:p w14:paraId="420F6F67"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5319D0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июня 1944 вышло Постановление ГКО № 6021 Об использовании для производства спецукупорки всей пригодной древесины, поступающей водой в г.Москву. РГАНИР, Фонд ГКО, д. 262, лл. 208-209 (11012).</w:t>
      </w:r>
    </w:p>
    <w:p w14:paraId="3B61205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823199B"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июня 1944 вышло Постановление ГКО № 6022 О дноуглубительных работах Наркомморфлота и Наркомречфлота на Дальнем Востоке. (7239, 210-213,214-216).</w:t>
      </w:r>
    </w:p>
    <w:p w14:paraId="1599FAEB"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F3BD84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июня 1944 вышло Постановление ГКО № 6023 О восстановлении ленинградских заводов Наркомрезинпрома. РГАНИР, Фонд ГКО, д. 262, лл. 217-223,224-231 (11012).</w:t>
      </w:r>
    </w:p>
    <w:p w14:paraId="45E4B32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1BA6C3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июня 1944 Начаты государственные сдаточные испытания головного ТЩ типа МТ-1 ждановцев и 13-го МБК адмиралтейцев (10671).</w:t>
      </w:r>
    </w:p>
    <w:p w14:paraId="17D71E0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2A8B410"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0D108D6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F0D55C0" w14:textId="77777777" w:rsidR="00C074FF" w:rsidRPr="007224C3" w:rsidRDefault="00C074FF"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7 июня</w:t>
      </w:r>
      <w:r w:rsidRPr="007224C3">
        <w:rPr>
          <w:rFonts w:ascii="Times New Roman" w:hAnsi="Times New Roman"/>
          <w:color w:val="000000" w:themeColor="text1"/>
          <w:sz w:val="16"/>
          <w:szCs w:val="16"/>
        </w:rPr>
        <w:t xml:space="preserve"> в 1944 году оперативная сводка Совинформбюро:</w:t>
      </w:r>
    </w:p>
    <w:p w14:paraId="4D9F7C78" w14:textId="77777777" w:rsidR="00C074FF" w:rsidRPr="007224C3" w:rsidRDefault="00C074F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7 июня в районе северо-западнее и севернее города Яссы наши войска отбили атаки небольших сил пехоты и танков противника. По уточнённым данным, в результате боёв с 30 мая по 6 июня наши войска нанесли противнику следующие потери в живой силе и технике: подбито и сожжено 315 немецких танков и самоходных орудий, уничтожено 29 бронемашин и бронетранспортёров, 62 полевых орудия разного калибра, 240 пулемётов и до 400 автомашин. В воздушных боях и огнём зенитной артиллерии сбит 451 самолёт противника. Противник потерял только убитыми свыше 10.000 своих солдат и офицеров.</w:t>
      </w:r>
    </w:p>
    <w:p w14:paraId="7A76D9A3" w14:textId="77777777" w:rsidR="00C074FF" w:rsidRPr="007224C3" w:rsidRDefault="00C074F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 без перемен.</w:t>
      </w:r>
    </w:p>
    <w:p w14:paraId="3C883E72" w14:textId="77777777" w:rsidR="00C074FF" w:rsidRPr="007224C3" w:rsidRDefault="00C074F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6 июня на всех фронтах в воздушных боях и огнём зенитной артиллерии сбито 54 самолёта противника.»</w:t>
      </w:r>
    </w:p>
    <w:p w14:paraId="51D07B8C" w14:textId="77777777" w:rsidR="00C074FF" w:rsidRPr="007224C3" w:rsidRDefault="00C074F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Бомбардировка нашей авиацией железнодорожного узла и военных объектов города Яссы:</w:t>
      </w:r>
    </w:p>
    <w:p w14:paraId="4620856C" w14:textId="77777777" w:rsidR="00C074FF" w:rsidRPr="007224C3" w:rsidRDefault="00C074F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ночь на 7 июня наша авиация дальнего действия вновь произвела массированный налёт на железнодорожный узел и военные объекты города Яссы (Румыния). Прямыми попаданиями бомб разбито несколько железнодорожных эшелонов противника. В результате бомбардировки возникли пожары. Горели вагоны, платформы, цистерны и военные склады. Пожары сопровождались сильными взрывами.</w:t>
      </w:r>
    </w:p>
    <w:p w14:paraId="68AB58B9" w14:textId="77777777" w:rsidR="00C074FF" w:rsidRPr="007224C3" w:rsidRDefault="00C074F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Два наших самолёта не вернулись на свои аэродромы.»</w:t>
      </w:r>
    </w:p>
    <w:p w14:paraId="10779EE8" w14:textId="77777777" w:rsidR="00C074FF" w:rsidRPr="007224C3" w:rsidRDefault="00C074F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«Северо-западнее и севернее города Яссы активность противника значительно снизилась. Лишь на отдельных участках немецкая пехота, усиленная танками, предприняла несколько атак. Части Н-ского соединения, отбивая атаки противника, истребили более 200 немецких и румынских солдат и офицеров, сожгли 5 танков, самоходное орудие и 3 бронетранспортёра. Сегодня утром одна наша часть нанесла противнику контрудар и, продвигаясь вперёд, овладела двумя высотами. В этом районе сдалась в плен рота румынских солдат.</w:t>
      </w:r>
    </w:p>
    <w:p w14:paraId="5817DAC2" w14:textId="77777777" w:rsidR="00C074FF" w:rsidRPr="007224C3" w:rsidRDefault="00C074F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Северо-западнее города Тирасполь наши наблюдатели заметили два замаскированных танка противника. Орудийный расчёт сержанта Никольского выдвинулся на открытые позиции и метким огнём поджёг немецкие танки.</w:t>
      </w:r>
    </w:p>
    <w:p w14:paraId="26303253" w14:textId="77777777" w:rsidR="00C074FF" w:rsidRPr="007224C3" w:rsidRDefault="00C074F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Северо-западнее города Витебск три группы гитлеровцев атаковали наше боевое охранение. В результате ожесточённой схватки противник был отброшен. На поле боя осталось 60 вражеских трупов.</w:t>
      </w:r>
    </w:p>
    <w:p w14:paraId="22075892" w14:textId="77777777" w:rsidR="00C074FF" w:rsidRPr="007224C3" w:rsidRDefault="00C074F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Снайперы Н-ской части старшина Алексей Русаков и сержант Джуман Эсиркеев за день истребили 8 немцев. Снайпер красноармеец Шумбасов за шесть дней уничтожил 13 солдат противника.</w:t>
      </w:r>
    </w:p>
    <w:p w14:paraId="0EDD9848" w14:textId="77777777" w:rsidR="00C074FF" w:rsidRPr="007224C3" w:rsidRDefault="00C074F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Ночью 5 июня две группы торпедных катеров Краснознамённого Балтийского флота вышли на поиск кораблей противника. Группа катеров под командованием капитана 3 ранга т. Свердлова обнаружила и атаковала четыре немецких тральщика. Второй отряд катеров под командованием капитана 3 ранга т. Старого обнаружил другую группу кораблей противника и атаковал их с предельно короткой дистанции. В результате действий обеих групп торпедных катеров потоплены пять немецких тральщиков.</w:t>
      </w:r>
    </w:p>
    <w:p w14:paraId="6627C152" w14:textId="77777777" w:rsidR="00C074FF" w:rsidRPr="007224C3" w:rsidRDefault="00C074F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Партизанский отряд, действующий в Станиславской области, напал на пехотное подразделение противника, расположившееся на отдых в одном селе. Советские патриоты убили 22 немца и захватили 10 пленных. Другой партизанский отряд четыре дня вёл бои против карательной немецко-венгерской экспедиции. Гитлеровцы окружили отряд и пытались его уничтожить. Партизаны прорвали окружение и вышли из боя. Через несколько дней группа партизан этого отряда взорвала железнодорожный мост, когда по нему проходил немецкий воинский эшелон. Паровоз и 1 платформ с орудиями свалились в реку.</w:t>
      </w:r>
    </w:p>
    <w:p w14:paraId="1E30455A" w14:textId="77777777" w:rsidR="00C074FF" w:rsidRPr="007224C3" w:rsidRDefault="00C074F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юге советский истребитель принудил к посадке на нашей территории немецкий бомбардировщик «Юнкерс-88». Взятый в плен стрелок 1 отряда 100-группы дальних разведчиков Макс Дробиш рассказал: «На высоте 7 тысяч метров мы заметили, что к нам на полной скорости приближается русский истребитель. Мы уклонились от боя. Однако истребитель быстро настиг нас и вынудил совершить посадку. За одну неделю наш отряд потерял 3 самолёта. Два из них были сбиты русскими истребителями, а один — зенитной артиллерией. В последнее время немецкие лётчики крайне неохотно поднимаются в воздух. Дело в том, что мы опасаемся истребителей и огня русских зениток».</w:t>
      </w:r>
    </w:p>
    <w:p w14:paraId="3CE14A03" w14:textId="77777777" w:rsidR="00C074FF" w:rsidRPr="007224C3" w:rsidRDefault="00C074F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Пленный командир 2 взвода 5 роты 39 полка 14 румынской пехотной дивизии лейтенант Константин Лечинте рассказал: «В первой половине апреля наш полк был разгромлен. Многие солдаты, не желавшие драться за немцев, разбежались. Только остаткам 3 батальона удалось переправиться через реку Днестр. Командир полка полковник Маринеску был снят с должности и отдан под суд. Нашу дивизию пополнили и снова отправили на передний край. На днях 5 рота получила приказ захватить участок шоссейной дороги. Нас заверили, что мы без потерь захватим русские позиции, так как их обороняют всего лишь 60 солдат. Во время атаки всё перепуталось. Мы попали под перекрёстный ружейно-пулемётный огонь русских. Атака стоила нам многих жертв, но не дала никаких результатов. Я отбился от своих и был взят в плен» (14915).</w:t>
      </w:r>
    </w:p>
    <w:p w14:paraId="29E13766" w14:textId="77777777" w:rsidR="00C074FF" w:rsidRPr="007224C3" w:rsidRDefault="00C074FF" w:rsidP="007224C3">
      <w:pPr>
        <w:spacing w:after="0" w:line="240" w:lineRule="auto"/>
        <w:jc w:val="both"/>
        <w:rPr>
          <w:rFonts w:ascii="Times New Roman" w:hAnsi="Times New Roman"/>
          <w:color w:val="000000" w:themeColor="text1"/>
          <w:sz w:val="16"/>
          <w:szCs w:val="16"/>
        </w:rPr>
      </w:pPr>
    </w:p>
    <w:p w14:paraId="4017038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июня 1944 FW-200 Кондор взлетел с аэродрома в Банаке и взял курс на Землю Франца-Иосифа, где тайной немецкой радиостанции требовалась помощь. При посадке повредили шасси и потребовалась помощь лл BV-222V-2 Викинг, который вылетел 8 июня и 11 июня вернулся, доставив все необходимое для ремонта Кондора (3078,26).</w:t>
      </w:r>
    </w:p>
    <w:p w14:paraId="4DEED96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167D2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июня 1944 на третий день после посадки перегонщики PBN-1, отдохнув, совершили полет с инспектором по пилотированию ВВС Северного флота майором Макаровым. Три из четырех первых лодок перегнали затем в Лахту для авиации Беломорской флотилии. В тот же день на одном PBN-1 вылетел экипаж командира полка С.М. Рубана (3457,127).</w:t>
      </w:r>
    </w:p>
    <w:p w14:paraId="7CCC71B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32B7C5"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16C0CF0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B414CBB" w14:textId="77777777" w:rsidR="006A61CD" w:rsidRPr="007224C3" w:rsidRDefault="006A61CD"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7–8 июня (ночь) 1944 337 британских бомбардировщиков точно поражают французские железнодорожные станции в Ашере, Жювизи, Масси-Палезо и Версале. Немецкие ночные истребители перехватывают их, и 28 бомбардировщиков (8,3% сил) потеряны (20373).</w:t>
      </w:r>
    </w:p>
    <w:p w14:paraId="63295F73" w14:textId="77777777" w:rsidR="006A61CD" w:rsidRPr="007224C3" w:rsidRDefault="006A61CD" w:rsidP="007224C3">
      <w:pPr>
        <w:spacing w:after="0" w:line="240" w:lineRule="auto"/>
        <w:jc w:val="both"/>
        <w:rPr>
          <w:rFonts w:ascii="Times New Roman" w:hAnsi="Times New Roman"/>
          <w:color w:val="0070C0"/>
          <w:sz w:val="16"/>
          <w:szCs w:val="16"/>
        </w:rPr>
      </w:pPr>
    </w:p>
    <w:p w14:paraId="453F9D7D" w14:textId="77777777" w:rsidR="006A61CD" w:rsidRPr="007224C3" w:rsidRDefault="006A61CD"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7–8 июня (ночь) 1944 122 британских бомбардировщика совершили налет на транспортную развязку с шестью полосами движения в Нормандии, потеряв два самолета. Рейд точный (20373).</w:t>
      </w:r>
    </w:p>
    <w:p w14:paraId="34898EAA" w14:textId="77777777" w:rsidR="006A61CD" w:rsidRPr="007224C3" w:rsidRDefault="006A61CD" w:rsidP="007224C3">
      <w:pPr>
        <w:spacing w:after="0" w:line="240" w:lineRule="auto"/>
        <w:jc w:val="both"/>
        <w:rPr>
          <w:rFonts w:ascii="Times New Roman" w:hAnsi="Times New Roman"/>
          <w:color w:val="0070C0"/>
          <w:sz w:val="16"/>
          <w:szCs w:val="16"/>
        </w:rPr>
      </w:pPr>
    </w:p>
    <w:p w14:paraId="7DD2AD1B" w14:textId="77777777" w:rsidR="00C074FF" w:rsidRPr="007224C3" w:rsidRDefault="00C074FF"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7 июня</w:t>
      </w:r>
      <w:r w:rsidRPr="007224C3">
        <w:rPr>
          <w:rFonts w:ascii="Times New Roman" w:hAnsi="Times New Roman"/>
          <w:color w:val="000000" w:themeColor="text1"/>
          <w:sz w:val="16"/>
          <w:szCs w:val="16"/>
        </w:rPr>
        <w:t xml:space="preserve"> в 1944 году Й.Геббельс призвал немецкое гражданское население расправляться с американскими и британскими летчиками, чьи самолеты сбиты над Германией (14915).</w:t>
      </w:r>
    </w:p>
    <w:p w14:paraId="1647F127" w14:textId="77777777" w:rsidR="00C074FF" w:rsidRPr="007224C3" w:rsidRDefault="00C074FF" w:rsidP="007224C3">
      <w:pPr>
        <w:spacing w:after="0" w:line="240" w:lineRule="auto"/>
        <w:jc w:val="both"/>
        <w:rPr>
          <w:rFonts w:ascii="Times New Roman" w:hAnsi="Times New Roman"/>
          <w:color w:val="000000" w:themeColor="text1"/>
          <w:sz w:val="16"/>
          <w:szCs w:val="16"/>
        </w:rPr>
      </w:pPr>
    </w:p>
    <w:p w14:paraId="60FB20E2"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июня 1944 бельгийский король Леопольд III арестован нацистами и перевезен в Дрезден (4962).</w:t>
      </w:r>
    </w:p>
    <w:p w14:paraId="1D297564"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A893765"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июня 1944 в Нормандии солдатами дивизии СС “Гитлер-югенд” казнены 34 канадских пленных (4962).</w:t>
      </w:r>
    </w:p>
    <w:p w14:paraId="5D1F1520"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C7A5AFF"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июня 1944 во время высадки союзников в Нормандии совершена самая массовая спасательная операция без потери жизней - спасены все 2689 человек, находившихся на тонущем корабле “Сюзан Энтони” (4962).</w:t>
      </w:r>
    </w:p>
    <w:p w14:paraId="4D01B177"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502115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June 7th, 1944: In the West, US forces landed in Normandy link up with elements of the British 6th Airborne Division South of Caen (3819).</w:t>
      </w:r>
    </w:p>
    <w:p w14:paraId="4B606B7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D0839F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июня 1944 силы США соединились с британскими десантниками к югу от Кайена (3819).</w:t>
      </w:r>
    </w:p>
    <w:p w14:paraId="4FA4318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0D4430"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3CFDC31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E3271D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июня 1944 Зам. Нач. 7ГУ Алексеев подготовил сводку г-7 № 7591 о ходе испытаний высотных самолетов на 7 июня 1944 по Як-9 М-105ПД, Ла-5 АШ-82ФН и 2ТК-3, МиГ АМ-39А и 2ТК-2Б (1825).</w:t>
      </w:r>
    </w:p>
    <w:p w14:paraId="20473F0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ВЫСОТНЫЙ ИСТРЕБИТЕЛЬ ЯК-9 С ВК-105ПФ И ДВУХСТУПЕНЧАТЫМ НАГНЕТАТЕЛЕМ</w:t>
      </w:r>
    </w:p>
    <w:p w14:paraId="684A6A5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Производились работы по установке мотора с уменьшенной высотностью.</w:t>
      </w:r>
    </w:p>
    <w:p w14:paraId="09DDF07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ВЫСОТНЫЙ ИСТРЕБИТЕЛЬ ЛА-5 С АШ-82ФН и 2ТК-3.</w:t>
      </w:r>
    </w:p>
    <w:p w14:paraId="225F81F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Производились работы по замене центрального бензобака, эжекторной псмпы и улчшению дефлектирования.</w:t>
      </w:r>
    </w:p>
    <w:p w14:paraId="4509AE0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ВЫСОТНЫЙ ИСТРЕБИТЕЛЬ МИГ С АМ-39Б И 2ТК-2Б.</w:t>
      </w:r>
    </w:p>
    <w:p w14:paraId="1F673A5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Прсизводились работы по установке приборов и замеру давлений в бензосистеме самолета при работе винтомоторной группы на земле. По показа</w:t>
      </w:r>
      <w:r w:rsidRPr="007224C3">
        <w:rPr>
          <w:rFonts w:ascii="Times New Roman" w:hAnsi="Times New Roman"/>
          <w:color w:val="000000" w:themeColor="text1"/>
          <w:sz w:val="16"/>
          <w:szCs w:val="16"/>
        </w:rPr>
        <w:softHyphen/>
        <w:t>нию приборов давления бензина в бензосистеме - нориальное.</w:t>
      </w:r>
    </w:p>
    <w:p w14:paraId="5634BFC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подготовлен к полетам на 8 июня с. г. (1825).</w:t>
      </w:r>
    </w:p>
    <w:p w14:paraId="40AD9E9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FA9DF4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июня 1944 на Ла-5 АШ-82ФН + 2ТК-3 был выполнен контрольный полет до 4500 после замены центрального бензобака, а на МиГ АМ-39Б _ 2ТК-2Б был выполнен полет на замер давления в бензосистеме. летали 0:40 до 7000 м и начиная с 3000 м падало давление бензина (1825).</w:t>
      </w:r>
    </w:p>
    <w:p w14:paraId="12E740C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AD86B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июля 1944 был произведен полет МИГ С АМ-39Б И 2ТК-2Б на замер давлений в бензосистеме самолета. Продолжительность полета - 40 мин, высота - 7000 мт. Начиная с высоты - 3000 мт началось падение давле</w:t>
      </w:r>
      <w:r w:rsidRPr="007224C3">
        <w:rPr>
          <w:rFonts w:ascii="Times New Roman" w:hAnsi="Times New Roman"/>
          <w:color w:val="000000" w:themeColor="text1"/>
          <w:sz w:val="16"/>
          <w:szCs w:val="16"/>
        </w:rPr>
        <w:softHyphen/>
        <w:t>ния бензина и с высоты - 7000 мт давление бензина стало падать более резко. Причиной падения давле</w:t>
      </w:r>
      <w:r w:rsidRPr="007224C3">
        <w:rPr>
          <w:rFonts w:ascii="Times New Roman" w:hAnsi="Times New Roman"/>
          <w:color w:val="000000" w:themeColor="text1"/>
          <w:sz w:val="16"/>
          <w:szCs w:val="16"/>
        </w:rPr>
        <w:softHyphen/>
        <w:t>ния бензина на высоте является неудовлетворитель</w:t>
      </w:r>
      <w:r w:rsidRPr="007224C3">
        <w:rPr>
          <w:rFonts w:ascii="Times New Roman" w:hAnsi="Times New Roman"/>
          <w:color w:val="000000" w:themeColor="text1"/>
          <w:sz w:val="16"/>
          <w:szCs w:val="16"/>
        </w:rPr>
        <w:softHyphen/>
        <w:t>ная работа эжекторной помпы, которая по техничес</w:t>
      </w:r>
      <w:r w:rsidRPr="007224C3">
        <w:rPr>
          <w:rFonts w:ascii="Times New Roman" w:hAnsi="Times New Roman"/>
          <w:color w:val="000000" w:themeColor="text1"/>
          <w:sz w:val="16"/>
          <w:szCs w:val="16"/>
        </w:rPr>
        <w:softHyphen/>
        <w:t>ким условиям должна обеспечивать нормальное пита</w:t>
      </w:r>
      <w:r w:rsidRPr="007224C3">
        <w:rPr>
          <w:rFonts w:ascii="Times New Roman" w:hAnsi="Times New Roman"/>
          <w:color w:val="000000" w:themeColor="text1"/>
          <w:sz w:val="16"/>
          <w:szCs w:val="16"/>
        </w:rPr>
        <w:softHyphen/>
        <w:t>ние топливом до высоты 11000-12000 мт (1825).</w:t>
      </w:r>
    </w:p>
    <w:p w14:paraId="3815BB3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BC6202" w14:textId="77777777" w:rsidR="000340E9" w:rsidRPr="007224C3" w:rsidRDefault="000340E9" w:rsidP="007224C3">
      <w:pPr>
        <w:spacing w:after="0" w:line="240" w:lineRule="auto"/>
        <w:jc w:val="both"/>
        <w:rPr>
          <w:rFonts w:ascii="Times New Roman" w:hAnsi="Times New Roman"/>
          <w:color w:val="000000" w:themeColor="text1"/>
          <w:sz w:val="16"/>
          <w:szCs w:val="16"/>
        </w:rPr>
      </w:pPr>
      <w:bookmarkStart w:id="30" w:name="p7"/>
      <w:r w:rsidRPr="007224C3">
        <w:rPr>
          <w:rFonts w:ascii="Times New Roman" w:hAnsi="Times New Roman"/>
          <w:color w:val="000000" w:themeColor="text1"/>
          <w:sz w:val="16"/>
          <w:szCs w:val="16"/>
        </w:rPr>
        <w:t xml:space="preserve">8 июня 1944 г. Акт по испытаиям винтов </w:t>
      </w:r>
      <w:bookmarkEnd w:id="30"/>
      <w:r w:rsidRPr="007224C3">
        <w:rPr>
          <w:rFonts w:ascii="Times New Roman" w:hAnsi="Times New Roman"/>
          <w:color w:val="000000" w:themeColor="text1"/>
          <w:sz w:val="16"/>
          <w:szCs w:val="16"/>
        </w:rPr>
        <w:t xml:space="preserve">ВИШ-327-Д25 </w:t>
      </w:r>
    </w:p>
    <w:tbl>
      <w:tblPr>
        <w:tblW w:w="4800" w:type="pct"/>
        <w:jc w:val="center"/>
        <w:tblCellSpacing w:w="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30" w:type="dxa"/>
          <w:left w:w="30" w:type="dxa"/>
          <w:bottom w:w="30" w:type="dxa"/>
          <w:right w:w="30" w:type="dxa"/>
        </w:tblCellMar>
        <w:tblLook w:val="04A0" w:firstRow="1" w:lastRow="0" w:firstColumn="1" w:lastColumn="0" w:noHBand="0" w:noVBand="1"/>
      </w:tblPr>
      <w:tblGrid>
        <w:gridCol w:w="2630"/>
        <w:gridCol w:w="709"/>
        <w:gridCol w:w="1521"/>
        <w:gridCol w:w="6015"/>
      </w:tblGrid>
      <w:tr w:rsidR="005106D0" w:rsidRPr="007224C3" w14:paraId="7BEA56B1" w14:textId="77777777" w:rsidTr="004703C2">
        <w:trPr>
          <w:tblCellSpacing w:w="7" w:type="dxa"/>
          <w:jc w:val="center"/>
        </w:trPr>
        <w:tc>
          <w:tcPr>
            <w:tcW w:w="0" w:type="auto"/>
            <w:gridSpan w:val="4"/>
            <w:vAlign w:val="center"/>
            <w:hideMark/>
          </w:tcPr>
          <w:p w14:paraId="3A08BA92"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Винт ВИШ-327-Д25.    Производство завода № 27 и № 383.    Конструктор Заславский, Бас-Дубов и Гришин.</w:t>
            </w:r>
          </w:p>
        </w:tc>
      </w:tr>
      <w:tr w:rsidR="005106D0" w:rsidRPr="007224C3" w14:paraId="7CCDAAB1" w14:textId="77777777" w:rsidTr="004703C2">
        <w:trPr>
          <w:tblCellSpacing w:w="7" w:type="dxa"/>
          <w:jc w:val="center"/>
        </w:trPr>
        <w:tc>
          <w:tcPr>
            <w:tcW w:w="0" w:type="auto"/>
            <w:vAlign w:val="center"/>
            <w:hideMark/>
          </w:tcPr>
          <w:p w14:paraId="680CB477"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Тип винта</w:t>
            </w:r>
          </w:p>
        </w:tc>
        <w:tc>
          <w:tcPr>
            <w:tcW w:w="0" w:type="auto"/>
            <w:vAlign w:val="center"/>
            <w:hideMark/>
          </w:tcPr>
          <w:p w14:paraId="4A743649"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механич.</w:t>
            </w:r>
          </w:p>
        </w:tc>
        <w:tc>
          <w:tcPr>
            <w:tcW w:w="0" w:type="auto"/>
            <w:vMerge w:val="restart"/>
            <w:vAlign w:val="center"/>
            <w:hideMark/>
          </w:tcPr>
          <w:p w14:paraId="67536E6D"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Предназначен для</w:t>
            </w:r>
          </w:p>
          <w:p w14:paraId="06C0389F"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установки на самолетах</w:t>
            </w:r>
          </w:p>
        </w:tc>
        <w:tc>
          <w:tcPr>
            <w:tcW w:w="0" w:type="auto"/>
            <w:vMerge w:val="restart"/>
            <w:vAlign w:val="center"/>
            <w:hideMark/>
          </w:tcPr>
          <w:p w14:paraId="1748EA41"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Ще-2 с моторами М-11Д,</w:t>
            </w:r>
          </w:p>
          <w:p w14:paraId="634F85D2"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Як-6 с моторами М-11Д.</w:t>
            </w:r>
          </w:p>
        </w:tc>
      </w:tr>
      <w:tr w:rsidR="005106D0" w:rsidRPr="007224C3" w14:paraId="2EE161AA" w14:textId="77777777" w:rsidTr="004703C2">
        <w:trPr>
          <w:tblCellSpacing w:w="7" w:type="dxa"/>
          <w:jc w:val="center"/>
        </w:trPr>
        <w:tc>
          <w:tcPr>
            <w:tcW w:w="0" w:type="auto"/>
            <w:vAlign w:val="center"/>
            <w:hideMark/>
          </w:tcPr>
          <w:p w14:paraId="791A4D98"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Схема действия</w:t>
            </w:r>
          </w:p>
        </w:tc>
        <w:tc>
          <w:tcPr>
            <w:tcW w:w="0" w:type="auto"/>
            <w:vAlign w:val="center"/>
            <w:hideMark/>
          </w:tcPr>
          <w:p w14:paraId="011FC5D2"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0" w:type="auto"/>
            <w:vMerge/>
            <w:vAlign w:val="center"/>
            <w:hideMark/>
          </w:tcPr>
          <w:p w14:paraId="3AF4B7AC" w14:textId="77777777" w:rsidR="000340E9" w:rsidRPr="007224C3" w:rsidRDefault="000340E9" w:rsidP="007224C3">
            <w:pPr>
              <w:spacing w:after="0" w:line="240" w:lineRule="auto"/>
              <w:jc w:val="both"/>
              <w:rPr>
                <w:rFonts w:ascii="Times New Roman" w:hAnsi="Times New Roman"/>
                <w:color w:val="000000" w:themeColor="text1"/>
                <w:sz w:val="16"/>
                <w:szCs w:val="16"/>
              </w:rPr>
            </w:pPr>
          </w:p>
        </w:tc>
        <w:tc>
          <w:tcPr>
            <w:tcW w:w="0" w:type="auto"/>
            <w:vMerge/>
            <w:vAlign w:val="center"/>
            <w:hideMark/>
          </w:tcPr>
          <w:p w14:paraId="593705AB" w14:textId="77777777" w:rsidR="000340E9" w:rsidRPr="007224C3" w:rsidRDefault="000340E9" w:rsidP="007224C3">
            <w:pPr>
              <w:spacing w:after="0" w:line="240" w:lineRule="auto"/>
              <w:jc w:val="both"/>
              <w:rPr>
                <w:rFonts w:ascii="Times New Roman" w:hAnsi="Times New Roman"/>
                <w:color w:val="000000" w:themeColor="text1"/>
                <w:sz w:val="16"/>
                <w:szCs w:val="16"/>
              </w:rPr>
            </w:pPr>
          </w:p>
        </w:tc>
      </w:tr>
      <w:tr w:rsidR="005106D0" w:rsidRPr="007224C3" w14:paraId="4D8A6457" w14:textId="77777777" w:rsidTr="004703C2">
        <w:trPr>
          <w:tblCellSpacing w:w="7" w:type="dxa"/>
          <w:jc w:val="center"/>
        </w:trPr>
        <w:tc>
          <w:tcPr>
            <w:tcW w:w="0" w:type="auto"/>
            <w:vAlign w:val="center"/>
            <w:hideMark/>
          </w:tcPr>
          <w:p w14:paraId="176C89DB"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Число лопастей</w:t>
            </w:r>
          </w:p>
        </w:tc>
        <w:tc>
          <w:tcPr>
            <w:tcW w:w="0" w:type="auto"/>
            <w:vAlign w:val="center"/>
            <w:hideMark/>
          </w:tcPr>
          <w:p w14:paraId="39F15AE5"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tc>
        <w:tc>
          <w:tcPr>
            <w:tcW w:w="0" w:type="auto"/>
            <w:gridSpan w:val="2"/>
            <w:vMerge w:val="restart"/>
            <w:vAlign w:val="center"/>
            <w:hideMark/>
          </w:tcPr>
          <w:p w14:paraId="7B38CFD7" w14:textId="77777777" w:rsidR="000340E9" w:rsidRPr="007224C3" w:rsidRDefault="000340E9" w:rsidP="007224C3">
            <w:pPr>
              <w:spacing w:after="0" w:line="240" w:lineRule="auto"/>
              <w:jc w:val="both"/>
              <w:rPr>
                <w:rFonts w:ascii="Times New Roman" w:hAnsi="Times New Roman"/>
                <w:color w:val="000000" w:themeColor="text1"/>
                <w:sz w:val="16"/>
                <w:szCs w:val="16"/>
              </w:rPr>
            </w:pPr>
          </w:p>
        </w:tc>
      </w:tr>
      <w:tr w:rsidR="005106D0" w:rsidRPr="007224C3" w14:paraId="370D165C" w14:textId="77777777" w:rsidTr="004703C2">
        <w:trPr>
          <w:tblCellSpacing w:w="7" w:type="dxa"/>
          <w:jc w:val="center"/>
        </w:trPr>
        <w:tc>
          <w:tcPr>
            <w:tcW w:w="0" w:type="auto"/>
            <w:vAlign w:val="center"/>
            <w:hideMark/>
          </w:tcPr>
          <w:p w14:paraId="5138338C"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Материал лопастей</w:t>
            </w:r>
          </w:p>
        </w:tc>
        <w:tc>
          <w:tcPr>
            <w:tcW w:w="0" w:type="auto"/>
            <w:vAlign w:val="center"/>
            <w:hideMark/>
          </w:tcPr>
          <w:p w14:paraId="741E68CF"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дерево</w:t>
            </w:r>
          </w:p>
        </w:tc>
        <w:tc>
          <w:tcPr>
            <w:tcW w:w="0" w:type="auto"/>
            <w:gridSpan w:val="2"/>
            <w:vMerge/>
            <w:vAlign w:val="center"/>
            <w:hideMark/>
          </w:tcPr>
          <w:p w14:paraId="4DA7BD11" w14:textId="77777777" w:rsidR="000340E9" w:rsidRPr="007224C3" w:rsidRDefault="000340E9" w:rsidP="007224C3">
            <w:pPr>
              <w:spacing w:after="0" w:line="240" w:lineRule="auto"/>
              <w:jc w:val="both"/>
              <w:rPr>
                <w:rFonts w:ascii="Times New Roman" w:hAnsi="Times New Roman"/>
                <w:color w:val="000000" w:themeColor="text1"/>
                <w:sz w:val="16"/>
                <w:szCs w:val="16"/>
              </w:rPr>
            </w:pPr>
          </w:p>
        </w:tc>
      </w:tr>
      <w:tr w:rsidR="005106D0" w:rsidRPr="007224C3" w14:paraId="1F1A9F21" w14:textId="77777777" w:rsidTr="004703C2">
        <w:trPr>
          <w:tblCellSpacing w:w="7" w:type="dxa"/>
          <w:jc w:val="center"/>
        </w:trPr>
        <w:tc>
          <w:tcPr>
            <w:tcW w:w="0" w:type="auto"/>
            <w:vAlign w:val="center"/>
            <w:hideMark/>
          </w:tcPr>
          <w:p w14:paraId="0C1F9174"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Диаметр винта (м)</w:t>
            </w:r>
          </w:p>
        </w:tc>
        <w:tc>
          <w:tcPr>
            <w:tcW w:w="0" w:type="auto"/>
            <w:vAlign w:val="center"/>
            <w:hideMark/>
          </w:tcPr>
          <w:p w14:paraId="321BD44D"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w:t>
            </w:r>
          </w:p>
        </w:tc>
        <w:tc>
          <w:tcPr>
            <w:tcW w:w="0" w:type="auto"/>
            <w:gridSpan w:val="2"/>
            <w:vMerge/>
            <w:vAlign w:val="center"/>
            <w:hideMark/>
          </w:tcPr>
          <w:p w14:paraId="70AC5A8C" w14:textId="77777777" w:rsidR="000340E9" w:rsidRPr="007224C3" w:rsidRDefault="000340E9" w:rsidP="007224C3">
            <w:pPr>
              <w:spacing w:after="0" w:line="240" w:lineRule="auto"/>
              <w:jc w:val="both"/>
              <w:rPr>
                <w:rFonts w:ascii="Times New Roman" w:hAnsi="Times New Roman"/>
                <w:color w:val="000000" w:themeColor="text1"/>
                <w:sz w:val="16"/>
                <w:szCs w:val="16"/>
              </w:rPr>
            </w:pPr>
          </w:p>
        </w:tc>
      </w:tr>
      <w:tr w:rsidR="005106D0" w:rsidRPr="007224C3" w14:paraId="1D2CDE55" w14:textId="77777777" w:rsidTr="004703C2">
        <w:trPr>
          <w:tblCellSpacing w:w="7" w:type="dxa"/>
          <w:jc w:val="center"/>
        </w:trPr>
        <w:tc>
          <w:tcPr>
            <w:tcW w:w="0" w:type="auto"/>
            <w:vAlign w:val="center"/>
            <w:hideMark/>
          </w:tcPr>
          <w:p w14:paraId="5B57689D"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 ширина лопасти (мм)</w:t>
            </w:r>
          </w:p>
        </w:tc>
        <w:tc>
          <w:tcPr>
            <w:tcW w:w="0" w:type="auto"/>
            <w:vAlign w:val="center"/>
            <w:hideMark/>
          </w:tcPr>
          <w:p w14:paraId="43552EA5"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237</w:t>
            </w:r>
          </w:p>
        </w:tc>
        <w:tc>
          <w:tcPr>
            <w:tcW w:w="0" w:type="auto"/>
            <w:gridSpan w:val="2"/>
            <w:vMerge/>
            <w:vAlign w:val="center"/>
            <w:hideMark/>
          </w:tcPr>
          <w:p w14:paraId="35EB4117" w14:textId="77777777" w:rsidR="000340E9" w:rsidRPr="007224C3" w:rsidRDefault="000340E9" w:rsidP="007224C3">
            <w:pPr>
              <w:spacing w:after="0" w:line="240" w:lineRule="auto"/>
              <w:jc w:val="both"/>
              <w:rPr>
                <w:rFonts w:ascii="Times New Roman" w:hAnsi="Times New Roman"/>
                <w:color w:val="000000" w:themeColor="text1"/>
                <w:sz w:val="16"/>
                <w:szCs w:val="16"/>
              </w:rPr>
            </w:pPr>
          </w:p>
        </w:tc>
      </w:tr>
      <w:tr w:rsidR="005106D0" w:rsidRPr="007224C3" w14:paraId="31F7D204" w14:textId="77777777" w:rsidTr="004703C2">
        <w:trPr>
          <w:tblCellSpacing w:w="7" w:type="dxa"/>
          <w:jc w:val="center"/>
        </w:trPr>
        <w:tc>
          <w:tcPr>
            <w:tcW w:w="0" w:type="auto"/>
            <w:vAlign w:val="center"/>
            <w:hideMark/>
          </w:tcPr>
          <w:p w14:paraId="5D5A2796"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Относительная толщина лопасти на 0,9 r (%)</w:t>
            </w:r>
          </w:p>
        </w:tc>
        <w:tc>
          <w:tcPr>
            <w:tcW w:w="0" w:type="auto"/>
            <w:vAlign w:val="center"/>
            <w:hideMark/>
          </w:tcPr>
          <w:p w14:paraId="66AD94FC"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7,2</w:t>
            </w:r>
          </w:p>
        </w:tc>
        <w:tc>
          <w:tcPr>
            <w:tcW w:w="0" w:type="auto"/>
            <w:gridSpan w:val="2"/>
            <w:vMerge/>
            <w:vAlign w:val="center"/>
            <w:hideMark/>
          </w:tcPr>
          <w:p w14:paraId="2C396C2D" w14:textId="77777777" w:rsidR="000340E9" w:rsidRPr="007224C3" w:rsidRDefault="000340E9" w:rsidP="007224C3">
            <w:pPr>
              <w:spacing w:after="0" w:line="240" w:lineRule="auto"/>
              <w:jc w:val="both"/>
              <w:rPr>
                <w:rFonts w:ascii="Times New Roman" w:hAnsi="Times New Roman"/>
                <w:color w:val="000000" w:themeColor="text1"/>
                <w:sz w:val="16"/>
                <w:szCs w:val="16"/>
              </w:rPr>
            </w:pPr>
          </w:p>
        </w:tc>
      </w:tr>
      <w:tr w:rsidR="005106D0" w:rsidRPr="007224C3" w14:paraId="7FCF742E" w14:textId="77777777" w:rsidTr="004703C2">
        <w:trPr>
          <w:tblCellSpacing w:w="7" w:type="dxa"/>
          <w:jc w:val="center"/>
        </w:trPr>
        <w:tc>
          <w:tcPr>
            <w:tcW w:w="0" w:type="auto"/>
            <w:vAlign w:val="center"/>
            <w:hideMark/>
          </w:tcPr>
          <w:p w14:paraId="0B40AADD"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Профиль сечения лопасти</w:t>
            </w:r>
          </w:p>
        </w:tc>
        <w:tc>
          <w:tcPr>
            <w:tcW w:w="0" w:type="auto"/>
            <w:vAlign w:val="center"/>
            <w:hideMark/>
          </w:tcPr>
          <w:p w14:paraId="4AE797BB"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0" w:type="auto"/>
            <w:gridSpan w:val="2"/>
            <w:vMerge/>
            <w:vAlign w:val="center"/>
            <w:hideMark/>
          </w:tcPr>
          <w:p w14:paraId="31B4CAA9" w14:textId="77777777" w:rsidR="000340E9" w:rsidRPr="007224C3" w:rsidRDefault="000340E9" w:rsidP="007224C3">
            <w:pPr>
              <w:spacing w:after="0" w:line="240" w:lineRule="auto"/>
              <w:jc w:val="both"/>
              <w:rPr>
                <w:rFonts w:ascii="Times New Roman" w:hAnsi="Times New Roman"/>
                <w:color w:val="000000" w:themeColor="text1"/>
                <w:sz w:val="16"/>
                <w:szCs w:val="16"/>
              </w:rPr>
            </w:pPr>
          </w:p>
        </w:tc>
      </w:tr>
      <w:tr w:rsidR="005106D0" w:rsidRPr="007224C3" w14:paraId="3660185E" w14:textId="77777777" w:rsidTr="004703C2">
        <w:trPr>
          <w:tblCellSpacing w:w="7" w:type="dxa"/>
          <w:jc w:val="center"/>
        </w:trPr>
        <w:tc>
          <w:tcPr>
            <w:tcW w:w="0" w:type="auto"/>
            <w:vAlign w:val="center"/>
            <w:hideMark/>
          </w:tcPr>
          <w:p w14:paraId="54A91128"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Диапазон поворота лопастей (град.)</w:t>
            </w:r>
          </w:p>
        </w:tc>
        <w:tc>
          <w:tcPr>
            <w:tcW w:w="0" w:type="auto"/>
            <w:vAlign w:val="center"/>
            <w:hideMark/>
          </w:tcPr>
          <w:p w14:paraId="7503FC87"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w:t>
            </w:r>
          </w:p>
        </w:tc>
        <w:tc>
          <w:tcPr>
            <w:tcW w:w="0" w:type="auto"/>
            <w:gridSpan w:val="2"/>
            <w:vMerge/>
            <w:vAlign w:val="center"/>
            <w:hideMark/>
          </w:tcPr>
          <w:p w14:paraId="34FBAE72" w14:textId="77777777" w:rsidR="000340E9" w:rsidRPr="007224C3" w:rsidRDefault="000340E9" w:rsidP="007224C3">
            <w:pPr>
              <w:spacing w:after="0" w:line="240" w:lineRule="auto"/>
              <w:jc w:val="both"/>
              <w:rPr>
                <w:rFonts w:ascii="Times New Roman" w:hAnsi="Times New Roman"/>
                <w:color w:val="000000" w:themeColor="text1"/>
                <w:sz w:val="16"/>
                <w:szCs w:val="16"/>
              </w:rPr>
            </w:pPr>
          </w:p>
        </w:tc>
      </w:tr>
      <w:tr w:rsidR="005106D0" w:rsidRPr="007224C3" w14:paraId="7E333A45" w14:textId="77777777" w:rsidTr="004703C2">
        <w:trPr>
          <w:tblCellSpacing w:w="7" w:type="dxa"/>
          <w:jc w:val="center"/>
        </w:trPr>
        <w:tc>
          <w:tcPr>
            <w:tcW w:w="0" w:type="auto"/>
            <w:vAlign w:val="center"/>
            <w:hideMark/>
          </w:tcPr>
          <w:p w14:paraId="1F939688"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Минимальный установочный угол</w:t>
            </w:r>
          </w:p>
          <w:p w14:paraId="7C02A4B6"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лопастей (град.)</w:t>
            </w:r>
          </w:p>
        </w:tc>
        <w:tc>
          <w:tcPr>
            <w:tcW w:w="0" w:type="auto"/>
            <w:vAlign w:val="center"/>
            <w:hideMark/>
          </w:tcPr>
          <w:p w14:paraId="0C75DAFF"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w:t>
            </w:r>
          </w:p>
        </w:tc>
        <w:tc>
          <w:tcPr>
            <w:tcW w:w="0" w:type="auto"/>
            <w:gridSpan w:val="2"/>
            <w:vMerge/>
            <w:vAlign w:val="center"/>
            <w:hideMark/>
          </w:tcPr>
          <w:p w14:paraId="205F2C4D" w14:textId="77777777" w:rsidR="000340E9" w:rsidRPr="007224C3" w:rsidRDefault="000340E9" w:rsidP="007224C3">
            <w:pPr>
              <w:spacing w:after="0" w:line="240" w:lineRule="auto"/>
              <w:jc w:val="both"/>
              <w:rPr>
                <w:rFonts w:ascii="Times New Roman" w:hAnsi="Times New Roman"/>
                <w:color w:val="000000" w:themeColor="text1"/>
                <w:sz w:val="16"/>
                <w:szCs w:val="16"/>
              </w:rPr>
            </w:pPr>
          </w:p>
        </w:tc>
      </w:tr>
      <w:tr w:rsidR="005106D0" w:rsidRPr="007224C3" w14:paraId="2B532589" w14:textId="77777777" w:rsidTr="004703C2">
        <w:trPr>
          <w:tblCellSpacing w:w="7" w:type="dxa"/>
          <w:jc w:val="center"/>
        </w:trPr>
        <w:tc>
          <w:tcPr>
            <w:tcW w:w="0" w:type="auto"/>
            <w:vAlign w:val="center"/>
            <w:hideMark/>
          </w:tcPr>
          <w:p w14:paraId="0E4F6108"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 лопасти (кг)</w:t>
            </w:r>
          </w:p>
        </w:tc>
        <w:tc>
          <w:tcPr>
            <w:tcW w:w="0" w:type="auto"/>
            <w:vAlign w:val="center"/>
            <w:hideMark/>
          </w:tcPr>
          <w:p w14:paraId="164A1C0B"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0" w:type="auto"/>
            <w:gridSpan w:val="2"/>
            <w:vMerge/>
            <w:vAlign w:val="center"/>
            <w:hideMark/>
          </w:tcPr>
          <w:p w14:paraId="342284F3" w14:textId="77777777" w:rsidR="000340E9" w:rsidRPr="007224C3" w:rsidRDefault="000340E9" w:rsidP="007224C3">
            <w:pPr>
              <w:spacing w:after="0" w:line="240" w:lineRule="auto"/>
              <w:jc w:val="both"/>
              <w:rPr>
                <w:rFonts w:ascii="Times New Roman" w:hAnsi="Times New Roman"/>
                <w:color w:val="000000" w:themeColor="text1"/>
                <w:sz w:val="16"/>
                <w:szCs w:val="16"/>
              </w:rPr>
            </w:pPr>
          </w:p>
        </w:tc>
      </w:tr>
      <w:tr w:rsidR="005106D0" w:rsidRPr="007224C3" w14:paraId="71C88DAD" w14:textId="77777777" w:rsidTr="004703C2">
        <w:trPr>
          <w:tblCellSpacing w:w="7" w:type="dxa"/>
          <w:jc w:val="center"/>
        </w:trPr>
        <w:tc>
          <w:tcPr>
            <w:tcW w:w="0" w:type="auto"/>
            <w:vAlign w:val="center"/>
            <w:hideMark/>
          </w:tcPr>
          <w:p w14:paraId="2FD3C8A5"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 винта (кг)</w:t>
            </w:r>
          </w:p>
        </w:tc>
        <w:tc>
          <w:tcPr>
            <w:tcW w:w="0" w:type="auto"/>
            <w:vAlign w:val="center"/>
            <w:hideMark/>
          </w:tcPr>
          <w:p w14:paraId="6AC52D8B"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42,6</w:t>
            </w:r>
          </w:p>
        </w:tc>
        <w:tc>
          <w:tcPr>
            <w:tcW w:w="0" w:type="auto"/>
            <w:gridSpan w:val="2"/>
            <w:vMerge/>
            <w:vAlign w:val="center"/>
            <w:hideMark/>
          </w:tcPr>
          <w:p w14:paraId="297111E7" w14:textId="77777777" w:rsidR="000340E9" w:rsidRPr="007224C3" w:rsidRDefault="000340E9" w:rsidP="007224C3">
            <w:pPr>
              <w:spacing w:after="0" w:line="240" w:lineRule="auto"/>
              <w:jc w:val="both"/>
              <w:rPr>
                <w:rFonts w:ascii="Times New Roman" w:hAnsi="Times New Roman"/>
                <w:color w:val="000000" w:themeColor="text1"/>
                <w:sz w:val="16"/>
                <w:szCs w:val="16"/>
              </w:rPr>
            </w:pPr>
          </w:p>
        </w:tc>
      </w:tr>
      <w:tr w:rsidR="005106D0" w:rsidRPr="007224C3" w14:paraId="4BB69536" w14:textId="77777777" w:rsidTr="004703C2">
        <w:trPr>
          <w:tblCellSpacing w:w="7" w:type="dxa"/>
          <w:jc w:val="center"/>
        </w:trPr>
        <w:tc>
          <w:tcPr>
            <w:tcW w:w="0" w:type="auto"/>
            <w:vAlign w:val="center"/>
            <w:hideMark/>
          </w:tcPr>
          <w:p w14:paraId="35F01FFB"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Номинальное число оборотов мотора (об/мин)</w:t>
            </w:r>
          </w:p>
        </w:tc>
        <w:tc>
          <w:tcPr>
            <w:tcW w:w="0" w:type="auto"/>
            <w:vAlign w:val="center"/>
            <w:hideMark/>
          </w:tcPr>
          <w:p w14:paraId="5807BD05"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1700</w:t>
            </w:r>
          </w:p>
        </w:tc>
        <w:tc>
          <w:tcPr>
            <w:tcW w:w="0" w:type="auto"/>
            <w:gridSpan w:val="2"/>
            <w:vMerge/>
            <w:vAlign w:val="center"/>
            <w:hideMark/>
          </w:tcPr>
          <w:p w14:paraId="3BEB44AE" w14:textId="77777777" w:rsidR="000340E9" w:rsidRPr="007224C3" w:rsidRDefault="000340E9" w:rsidP="007224C3">
            <w:pPr>
              <w:spacing w:after="0" w:line="240" w:lineRule="auto"/>
              <w:jc w:val="both"/>
              <w:rPr>
                <w:rFonts w:ascii="Times New Roman" w:hAnsi="Times New Roman"/>
                <w:color w:val="000000" w:themeColor="text1"/>
                <w:sz w:val="16"/>
                <w:szCs w:val="16"/>
              </w:rPr>
            </w:pPr>
          </w:p>
        </w:tc>
      </w:tr>
      <w:tr w:rsidR="005106D0" w:rsidRPr="007224C3" w14:paraId="34151929" w14:textId="77777777" w:rsidTr="004703C2">
        <w:trPr>
          <w:tblCellSpacing w:w="7" w:type="dxa"/>
          <w:jc w:val="center"/>
        </w:trPr>
        <w:tc>
          <w:tcPr>
            <w:tcW w:w="0" w:type="auto"/>
            <w:vAlign w:val="center"/>
            <w:hideMark/>
          </w:tcPr>
          <w:p w14:paraId="368715D4"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Редукция мотора</w:t>
            </w:r>
          </w:p>
        </w:tc>
        <w:tc>
          <w:tcPr>
            <w:tcW w:w="0" w:type="auto"/>
            <w:vAlign w:val="center"/>
            <w:hideMark/>
          </w:tcPr>
          <w:p w14:paraId="775D3E5A"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0" w:type="auto"/>
            <w:gridSpan w:val="2"/>
            <w:vMerge/>
            <w:vAlign w:val="center"/>
            <w:hideMark/>
          </w:tcPr>
          <w:p w14:paraId="4F2E08D1" w14:textId="77777777" w:rsidR="000340E9" w:rsidRPr="007224C3" w:rsidRDefault="000340E9" w:rsidP="007224C3">
            <w:pPr>
              <w:spacing w:after="0" w:line="240" w:lineRule="auto"/>
              <w:jc w:val="both"/>
              <w:rPr>
                <w:rFonts w:ascii="Times New Roman" w:hAnsi="Times New Roman"/>
                <w:color w:val="000000" w:themeColor="text1"/>
                <w:sz w:val="16"/>
                <w:szCs w:val="16"/>
              </w:rPr>
            </w:pPr>
          </w:p>
        </w:tc>
      </w:tr>
      <w:tr w:rsidR="005106D0" w:rsidRPr="007224C3" w14:paraId="032CEAF4" w14:textId="77777777" w:rsidTr="004703C2">
        <w:trPr>
          <w:tblCellSpacing w:w="7" w:type="dxa"/>
          <w:jc w:val="center"/>
        </w:trPr>
        <w:tc>
          <w:tcPr>
            <w:tcW w:w="0" w:type="auto"/>
            <w:vAlign w:val="center"/>
            <w:hideMark/>
          </w:tcPr>
          <w:p w14:paraId="28730E91"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Направление вращения винта</w:t>
            </w:r>
          </w:p>
        </w:tc>
        <w:tc>
          <w:tcPr>
            <w:tcW w:w="0" w:type="auto"/>
            <w:vAlign w:val="center"/>
            <w:hideMark/>
          </w:tcPr>
          <w:p w14:paraId="61028DE4"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правое</w:t>
            </w:r>
          </w:p>
        </w:tc>
        <w:tc>
          <w:tcPr>
            <w:tcW w:w="0" w:type="auto"/>
            <w:vMerge w:val="restart"/>
            <w:vAlign w:val="center"/>
            <w:hideMark/>
          </w:tcPr>
          <w:p w14:paraId="3A0A4D07"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Состояние</w:t>
            </w:r>
          </w:p>
          <w:p w14:paraId="3839E048"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винта</w:t>
            </w:r>
          </w:p>
        </w:tc>
        <w:tc>
          <w:tcPr>
            <w:tcW w:w="0" w:type="auto"/>
            <w:vMerge w:val="restart"/>
            <w:vAlign w:val="center"/>
            <w:hideMark/>
          </w:tcPr>
          <w:p w14:paraId="1F5E02B9"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Винт испытания на с-те Ще-2 прошел удовлетворительно.</w:t>
            </w:r>
          </w:p>
          <w:p w14:paraId="749B4181"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Лопасти Д-25 увеличили летные данные незачительно и не могут бутьь признаны удачными для данного самолета.</w:t>
            </w:r>
          </w:p>
        </w:tc>
      </w:tr>
      <w:tr w:rsidR="005106D0" w:rsidRPr="007224C3" w14:paraId="770F1CF4" w14:textId="77777777" w:rsidTr="004703C2">
        <w:trPr>
          <w:tblCellSpacing w:w="7" w:type="dxa"/>
          <w:jc w:val="center"/>
        </w:trPr>
        <w:tc>
          <w:tcPr>
            <w:tcW w:w="0" w:type="auto"/>
            <w:vAlign w:val="center"/>
            <w:hideMark/>
          </w:tcPr>
          <w:p w14:paraId="6D3E3422"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Тип регулятора оборотов</w:t>
            </w:r>
          </w:p>
        </w:tc>
        <w:tc>
          <w:tcPr>
            <w:tcW w:w="0" w:type="auto"/>
            <w:vAlign w:val="center"/>
            <w:hideMark/>
          </w:tcPr>
          <w:p w14:paraId="0662DD9D"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0" w:type="auto"/>
            <w:vMerge/>
            <w:vAlign w:val="center"/>
            <w:hideMark/>
          </w:tcPr>
          <w:p w14:paraId="19DC91C0" w14:textId="77777777" w:rsidR="000340E9" w:rsidRPr="007224C3" w:rsidRDefault="000340E9" w:rsidP="007224C3">
            <w:pPr>
              <w:spacing w:after="0" w:line="240" w:lineRule="auto"/>
              <w:jc w:val="both"/>
              <w:rPr>
                <w:rFonts w:ascii="Times New Roman" w:hAnsi="Times New Roman"/>
                <w:color w:val="000000" w:themeColor="text1"/>
                <w:sz w:val="16"/>
                <w:szCs w:val="16"/>
              </w:rPr>
            </w:pPr>
          </w:p>
        </w:tc>
        <w:tc>
          <w:tcPr>
            <w:tcW w:w="0" w:type="auto"/>
            <w:vMerge/>
            <w:vAlign w:val="center"/>
            <w:hideMark/>
          </w:tcPr>
          <w:p w14:paraId="3DD031B1" w14:textId="77777777" w:rsidR="000340E9" w:rsidRPr="007224C3" w:rsidRDefault="000340E9" w:rsidP="007224C3">
            <w:pPr>
              <w:spacing w:after="0" w:line="240" w:lineRule="auto"/>
              <w:jc w:val="both"/>
              <w:rPr>
                <w:rFonts w:ascii="Times New Roman" w:hAnsi="Times New Roman"/>
                <w:color w:val="000000" w:themeColor="text1"/>
                <w:sz w:val="16"/>
                <w:szCs w:val="16"/>
              </w:rPr>
            </w:pPr>
          </w:p>
        </w:tc>
      </w:tr>
      <w:tr w:rsidR="005106D0" w:rsidRPr="007224C3" w14:paraId="7E575BF2" w14:textId="77777777" w:rsidTr="004703C2">
        <w:trPr>
          <w:tblCellSpacing w:w="7" w:type="dxa"/>
          <w:jc w:val="center"/>
        </w:trPr>
        <w:tc>
          <w:tcPr>
            <w:tcW w:w="0" w:type="auto"/>
            <w:vAlign w:val="center"/>
            <w:hideMark/>
          </w:tcPr>
          <w:p w14:paraId="19D6ABB0"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Носок вала редуктора мотора</w:t>
            </w:r>
          </w:p>
        </w:tc>
        <w:tc>
          <w:tcPr>
            <w:tcW w:w="0" w:type="auto"/>
            <w:vAlign w:val="center"/>
            <w:hideMark/>
          </w:tcPr>
          <w:p w14:paraId="5B8539E8"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0" w:type="auto"/>
            <w:vMerge/>
            <w:vAlign w:val="center"/>
            <w:hideMark/>
          </w:tcPr>
          <w:p w14:paraId="210B5140" w14:textId="77777777" w:rsidR="000340E9" w:rsidRPr="007224C3" w:rsidRDefault="000340E9" w:rsidP="007224C3">
            <w:pPr>
              <w:spacing w:after="0" w:line="240" w:lineRule="auto"/>
              <w:jc w:val="both"/>
              <w:rPr>
                <w:rFonts w:ascii="Times New Roman" w:hAnsi="Times New Roman"/>
                <w:color w:val="000000" w:themeColor="text1"/>
                <w:sz w:val="16"/>
                <w:szCs w:val="16"/>
              </w:rPr>
            </w:pPr>
          </w:p>
        </w:tc>
        <w:tc>
          <w:tcPr>
            <w:tcW w:w="0" w:type="auto"/>
            <w:vMerge/>
            <w:vAlign w:val="center"/>
            <w:hideMark/>
          </w:tcPr>
          <w:p w14:paraId="4A38C12B" w14:textId="77777777" w:rsidR="000340E9" w:rsidRPr="007224C3" w:rsidRDefault="000340E9" w:rsidP="007224C3">
            <w:pPr>
              <w:spacing w:after="0" w:line="240" w:lineRule="auto"/>
              <w:jc w:val="both"/>
              <w:rPr>
                <w:rFonts w:ascii="Times New Roman" w:hAnsi="Times New Roman"/>
                <w:color w:val="000000" w:themeColor="text1"/>
                <w:sz w:val="16"/>
                <w:szCs w:val="16"/>
              </w:rPr>
            </w:pPr>
          </w:p>
        </w:tc>
      </w:tr>
      <w:tr w:rsidR="005106D0" w:rsidRPr="007224C3" w14:paraId="65D4DC2C" w14:textId="77777777" w:rsidTr="004703C2">
        <w:trPr>
          <w:tblCellSpacing w:w="7" w:type="dxa"/>
          <w:jc w:val="center"/>
        </w:trPr>
        <w:tc>
          <w:tcPr>
            <w:tcW w:w="0" w:type="auto"/>
            <w:vAlign w:val="center"/>
            <w:hideMark/>
          </w:tcPr>
          <w:p w14:paraId="786F3E22" w14:textId="77777777" w:rsidR="000340E9" w:rsidRPr="007224C3" w:rsidRDefault="000340E9" w:rsidP="007224C3">
            <w:pPr>
              <w:spacing w:after="0" w:line="240" w:lineRule="auto"/>
              <w:jc w:val="both"/>
              <w:rPr>
                <w:rFonts w:ascii="Times New Roman" w:hAnsi="Times New Roman"/>
                <w:color w:val="000000" w:themeColor="text1"/>
                <w:sz w:val="16"/>
                <w:szCs w:val="16"/>
              </w:rPr>
            </w:pPr>
          </w:p>
        </w:tc>
        <w:tc>
          <w:tcPr>
            <w:tcW w:w="0" w:type="auto"/>
            <w:vAlign w:val="center"/>
            <w:hideMark/>
          </w:tcPr>
          <w:p w14:paraId="5EAF9BDB" w14:textId="77777777" w:rsidR="000340E9" w:rsidRPr="007224C3" w:rsidRDefault="000340E9" w:rsidP="007224C3">
            <w:pPr>
              <w:spacing w:after="0" w:line="240" w:lineRule="auto"/>
              <w:jc w:val="both"/>
              <w:rPr>
                <w:rFonts w:ascii="Times New Roman" w:hAnsi="Times New Roman"/>
                <w:color w:val="000000" w:themeColor="text1"/>
                <w:sz w:val="16"/>
                <w:szCs w:val="16"/>
              </w:rPr>
            </w:pPr>
          </w:p>
        </w:tc>
        <w:tc>
          <w:tcPr>
            <w:tcW w:w="0" w:type="auto"/>
            <w:gridSpan w:val="2"/>
            <w:vAlign w:val="center"/>
            <w:hideMark/>
          </w:tcPr>
          <w:p w14:paraId="11FB03FE"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Источник сведений: Акт по испытаиям винтов от 8.6.44 г.</w:t>
            </w:r>
          </w:p>
        </w:tc>
      </w:tr>
    </w:tbl>
    <w:p w14:paraId="320F66F7"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(12227).</w:t>
      </w:r>
    </w:p>
    <w:p w14:paraId="13EDE98D" w14:textId="77777777" w:rsidR="000340E9" w:rsidRPr="007224C3" w:rsidRDefault="000340E9" w:rsidP="007224C3">
      <w:pPr>
        <w:spacing w:after="0" w:line="240" w:lineRule="auto"/>
        <w:jc w:val="both"/>
        <w:rPr>
          <w:rFonts w:ascii="Times New Roman" w:hAnsi="Times New Roman"/>
          <w:color w:val="000000" w:themeColor="text1"/>
          <w:sz w:val="16"/>
          <w:szCs w:val="16"/>
        </w:rPr>
      </w:pPr>
    </w:p>
    <w:p w14:paraId="2925753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июня 1944 года вышел приказ НКАП</w:t>
      </w:r>
    </w:p>
    <w:p w14:paraId="1D0E217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Утвердить директором завода № 36 Григорьева Г.М., освободить Сова С.М. (8926).</w:t>
      </w:r>
    </w:p>
    <w:p w14:paraId="42266FF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7A2A7EE"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161134B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D1F6556" w14:textId="77777777" w:rsidR="00CD73D6" w:rsidRPr="007224C3" w:rsidRDefault="00CD73D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июня 1944 года В. Малышев подписал приказ по наркомату танковой промышленности № 379, в котором говорилось:</w:t>
      </w:r>
    </w:p>
    <w:p w14:paraId="287F5176" w14:textId="77777777" w:rsidR="00CD73D6" w:rsidRPr="007224C3" w:rsidRDefault="00CD73D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«Заводом № 100 (т.т. Котин, Ермолаев) совместно с ЦНИИ-48 (т.т. Завьялов, Копырин) разработан эскизный проект нового тяжелого танка ИС-6, имеющего значительное преимущество в мощности бронирования по сравнению с серийным ИС-2.</w:t>
      </w:r>
    </w:p>
    <w:p w14:paraId="3764DEB4" w14:textId="77777777" w:rsidR="00CD73D6" w:rsidRPr="007224C3" w:rsidRDefault="00CD73D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обеспечения своевременного изготовления и испытания опытных образцов новых танков ИС-6, приказываю:</w:t>
      </w:r>
    </w:p>
    <w:p w14:paraId="33C07A21" w14:textId="77777777" w:rsidR="00CD73D6" w:rsidRPr="007224C3" w:rsidRDefault="00CD73D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Утвердить тактико-технические требования на проектирование изготовление тяжелых танков ИС-6 с механической и электрической трансмиссией…</w:t>
      </w:r>
    </w:p>
    <w:p w14:paraId="7A1A1C8D" w14:textId="77777777" w:rsidR="00CD73D6" w:rsidRPr="007224C3" w:rsidRDefault="00CD73D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Главному конструктору НКТП тов. Котину обеспечить необходимое руководство проектированием опытных танков ИС-6.</w:t>
      </w:r>
    </w:p>
    <w:p w14:paraId="56C641E3" w14:textId="77777777" w:rsidR="00CD73D6" w:rsidRPr="007224C3" w:rsidRDefault="00CD73D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3. И.о. директора завода № 100 тов. Солодухину и главному конструктору завода № 100 тов. Ермолаеву, совместно с директором Уралмашзавода тов. Музруковым и главным конструктором тов. Горлицким обеспечить проектирование, изготовление и испытание опытных образцов танков ИС-6. Тов. Музрукову выделить для участия в проектировании и разработке технологического процесса необходимое количество конструкторов и технологов».</w:t>
      </w:r>
    </w:p>
    <w:p w14:paraId="0EDA7444" w14:textId="77777777" w:rsidR="00CD73D6" w:rsidRPr="007224C3" w:rsidRDefault="00CD73D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этом документе интересен момент привлечения к работам по ИС-6 Уралмашзавода. Дело в том, что опытный завод № 100, находившийся в Челябинске, имел очень слабую производственную базу. Это предприятие, созданное по инициативе Ж. Котина в 1942 году, фактически являлось своеобразным научно-исследовательским институтом по вопросам танкостроения. Естественно, имевшееся здесь оборудование не позволяло самостоятельно изготовить опытный образец танка. А вот Уралмаш являлся крупным предприятием, которое занималось выпуском танков и самоходных установок. Поэтому привлечение Малышевым этого завода в помощь заводу № 100 было вполне разумным шагом.</w:t>
      </w:r>
    </w:p>
    <w:p w14:paraId="6DAAFD29" w14:textId="77777777" w:rsidR="00CD73D6" w:rsidRPr="007224C3" w:rsidRDefault="00CD73D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Однако в связи с большой загрузкой обеих предприятий, работы по ИС-6 шли довольно медленно: чертежи танка были готовы лишь к осени 1944 года. Для проверки бронестойкости корпуса ИС-6, Уралмаш изготовил специальную броневую конструкцию, которая именовалась в документах как «макет № 15». Она представляла собой следующее: «Конструкция опытного макета № 15 при установке верхнего пояса на нижний представляет собой корпус особой конструкции, где кормовая часть верхнего пояса как по углам наклона, так и по соединениям, аналогична запроектированной конструкции носа корпуса ИС-6. Что касается нижней кормовой детали, то ее отличие от фактической конструкции корпуса заключается в увеличении угла наклона от вертикали на 8 град., а соединение вместо четверти сделано в шип.</w:t>
      </w:r>
    </w:p>
    <w:p w14:paraId="53BF1165" w14:textId="77777777" w:rsidR="00CD73D6" w:rsidRPr="007224C3" w:rsidRDefault="00CD73D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Конструкция подкрылков макета также аналогична конструкции корпуса ИС-6 с тем лишь дополнением, что с правой стороны днище было установлено под углом наклона 10 град, с целью уменьшения ширины подкрылка (уменьшение веса) при одновременном увеличении угла наклона подкрылка.</w:t>
      </w:r>
    </w:p>
    <w:p w14:paraId="640B2123" w14:textId="77777777" w:rsidR="00CD73D6" w:rsidRPr="007224C3" w:rsidRDefault="00CD73D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Конструкция лобовой части верхнего пояса опытного макета характерна тем, что расположение деталей между собой дало возможность выбрать оптимальные углы наклона брони, запроектировать простые и надежные соединения, удобные в изготовлении.</w:t>
      </w:r>
    </w:p>
    <w:p w14:paraId="1A032691" w14:textId="77777777" w:rsidR="00CD73D6" w:rsidRPr="007224C3" w:rsidRDefault="00CD73D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Такая конструкция лобовой части (корпуса) запроектирована впервые в танкостроении, и благодаря благоприятному расположению брони создала предпосылки полной его тактической неуязвимости при применении противником ПТА калибром до 105 мм включительно…</w:t>
      </w:r>
    </w:p>
    <w:p w14:paraId="05EB3CE8" w14:textId="77777777" w:rsidR="00CD73D6" w:rsidRPr="007224C3" w:rsidRDefault="00CD73D6" w:rsidP="007224C3">
      <w:pPr>
        <w:pStyle w:val="ae"/>
        <w:spacing w:before="0" w:after="0"/>
        <w:jc w:val="both"/>
        <w:rPr>
          <w:color w:val="000000" w:themeColor="text1"/>
          <w:sz w:val="16"/>
          <w:szCs w:val="16"/>
        </w:rPr>
      </w:pPr>
      <w:r w:rsidRPr="007224C3">
        <w:rPr>
          <w:color w:val="000000" w:themeColor="text1"/>
          <w:sz w:val="16"/>
          <w:szCs w:val="16"/>
        </w:rPr>
        <w:t>Опытный макет № 15 целиком изготовлен из катаной брони средней твердости, при этом основные детали толщиной 90 мм и тонколистовые 20 и 30 мм использовались серийной поставки листов ММК</w:t>
      </w:r>
      <w:hyperlink r:id="rId167" w:anchor="n_4" w:history="1">
        <w:r w:rsidRPr="007224C3">
          <w:rPr>
            <w:rStyle w:val="a5"/>
            <w:rFonts w:eastAsia="Times New Roman"/>
            <w:color w:val="000000" w:themeColor="text1"/>
            <w:sz w:val="16"/>
            <w:szCs w:val="16"/>
            <w:u w:val="none"/>
          </w:rPr>
          <w:t>[4]</w:t>
        </w:r>
      </w:hyperlink>
      <w:r w:rsidRPr="007224C3">
        <w:rPr>
          <w:color w:val="000000" w:themeColor="text1"/>
          <w:sz w:val="16"/>
          <w:szCs w:val="16"/>
        </w:rPr>
        <w:t xml:space="preserve"> Уралмашзаводу марок стали 42СМ и 2П, а детали толщиной 120 мм из листов ЦНИИ-48 поставки ММК, марка стали 66Л».</w:t>
      </w:r>
    </w:p>
    <w:p w14:paraId="2C8C348C" w14:textId="77777777" w:rsidR="00CD73D6" w:rsidRPr="007224C3" w:rsidRDefault="00CD73D6" w:rsidP="007224C3">
      <w:pPr>
        <w:pStyle w:val="ae"/>
        <w:spacing w:before="0" w:after="0"/>
        <w:jc w:val="both"/>
        <w:rPr>
          <w:color w:val="000000" w:themeColor="text1"/>
          <w:sz w:val="16"/>
          <w:szCs w:val="16"/>
        </w:rPr>
      </w:pPr>
      <w:r w:rsidRPr="007224C3">
        <w:rPr>
          <w:color w:val="000000" w:themeColor="text1"/>
          <w:sz w:val="16"/>
          <w:szCs w:val="16"/>
        </w:rPr>
        <w:t>Испытания макета № 15 обстрелом провели с 4 по 6 сентября 1944 года на полигоне в Свердловской области. Обстрел велся бронебойными снарядами 88 и 105-мм немецких пушек, а также 85-мм отечественными бронебойными и подкалиберными снарядами. Результаты были следующими:</w:t>
      </w:r>
    </w:p>
    <w:p w14:paraId="19C8B567" w14:textId="77777777" w:rsidR="00CD73D6" w:rsidRPr="007224C3" w:rsidRDefault="00CD73D6" w:rsidP="007224C3">
      <w:pPr>
        <w:pStyle w:val="ae"/>
        <w:spacing w:before="0" w:after="0"/>
        <w:jc w:val="both"/>
        <w:rPr>
          <w:color w:val="000000" w:themeColor="text1"/>
          <w:sz w:val="16"/>
          <w:szCs w:val="16"/>
        </w:rPr>
      </w:pPr>
      <w:r w:rsidRPr="007224C3">
        <w:rPr>
          <w:color w:val="000000" w:themeColor="text1"/>
          <w:sz w:val="16"/>
          <w:szCs w:val="16"/>
        </w:rPr>
        <w:t>«1. Кормовая проекция верхнего пояса макета № 15, изготовленная соответственно форме носовой проекции нового танка ИС-6 при толщине брони 90 мм полностью снимает:</w:t>
      </w:r>
    </w:p>
    <w:p w14:paraId="43E40264" w14:textId="77777777" w:rsidR="00CD73D6" w:rsidRPr="007224C3" w:rsidRDefault="00CD73D6" w:rsidP="007224C3">
      <w:pPr>
        <w:pStyle w:val="ae"/>
        <w:spacing w:before="0" w:after="0"/>
        <w:jc w:val="both"/>
        <w:rPr>
          <w:color w:val="000000" w:themeColor="text1"/>
          <w:sz w:val="16"/>
          <w:szCs w:val="16"/>
        </w:rPr>
      </w:pPr>
      <w:r w:rsidRPr="007224C3">
        <w:rPr>
          <w:color w:val="000000" w:themeColor="text1"/>
          <w:sz w:val="16"/>
          <w:szCs w:val="16"/>
        </w:rPr>
        <w:t>а) немецкие бронебойные снаряды калибра 105 мм с начальной скоростью 830 м/с;</w:t>
      </w:r>
    </w:p>
    <w:p w14:paraId="1D3C853B" w14:textId="77777777" w:rsidR="00CD73D6" w:rsidRPr="007224C3" w:rsidRDefault="00CD73D6" w:rsidP="007224C3">
      <w:pPr>
        <w:pStyle w:val="ae"/>
        <w:spacing w:before="0" w:after="0"/>
        <w:jc w:val="both"/>
        <w:rPr>
          <w:color w:val="000000" w:themeColor="text1"/>
          <w:sz w:val="16"/>
          <w:szCs w:val="16"/>
        </w:rPr>
      </w:pPr>
      <w:r w:rsidRPr="007224C3">
        <w:rPr>
          <w:color w:val="000000" w:themeColor="text1"/>
          <w:sz w:val="16"/>
          <w:szCs w:val="16"/>
        </w:rPr>
        <w:t>б) немецкие бронебойные снаряды калибра 88 мм с начальной скоростью 1000 м/с;</w:t>
      </w:r>
    </w:p>
    <w:p w14:paraId="35CFE62D" w14:textId="77777777" w:rsidR="00CD73D6" w:rsidRPr="007224C3" w:rsidRDefault="00CD73D6" w:rsidP="007224C3">
      <w:pPr>
        <w:pStyle w:val="ae"/>
        <w:spacing w:before="0" w:after="0"/>
        <w:jc w:val="both"/>
        <w:rPr>
          <w:color w:val="000000" w:themeColor="text1"/>
          <w:sz w:val="16"/>
          <w:szCs w:val="16"/>
        </w:rPr>
      </w:pPr>
      <w:r w:rsidRPr="007224C3">
        <w:rPr>
          <w:color w:val="000000" w:themeColor="text1"/>
          <w:sz w:val="16"/>
          <w:szCs w:val="16"/>
        </w:rPr>
        <w:t>в) отечественные подкалиберные снаряды калибра 85 мм с начальной скоростью 1020 м/с;</w:t>
      </w:r>
    </w:p>
    <w:p w14:paraId="03BE199A" w14:textId="77777777" w:rsidR="00CD73D6" w:rsidRPr="007224C3" w:rsidRDefault="00CD73D6" w:rsidP="007224C3">
      <w:pPr>
        <w:pStyle w:val="ae"/>
        <w:spacing w:before="0" w:after="0"/>
        <w:jc w:val="both"/>
        <w:rPr>
          <w:color w:val="000000" w:themeColor="text1"/>
          <w:sz w:val="16"/>
          <w:szCs w:val="16"/>
        </w:rPr>
      </w:pPr>
      <w:r w:rsidRPr="007224C3">
        <w:rPr>
          <w:color w:val="000000" w:themeColor="text1"/>
          <w:sz w:val="16"/>
          <w:szCs w:val="16"/>
        </w:rPr>
        <w:t>2. Носовая проекция верхнего пояса макета № 15 при толщине брони 90 мм полностью снимает:</w:t>
      </w:r>
    </w:p>
    <w:p w14:paraId="2EE8E6D6" w14:textId="77777777" w:rsidR="00CD73D6" w:rsidRPr="007224C3" w:rsidRDefault="00CD73D6" w:rsidP="007224C3">
      <w:pPr>
        <w:pStyle w:val="ae"/>
        <w:spacing w:before="0" w:after="0"/>
        <w:jc w:val="both"/>
        <w:rPr>
          <w:color w:val="000000" w:themeColor="text1"/>
          <w:sz w:val="16"/>
          <w:szCs w:val="16"/>
        </w:rPr>
      </w:pPr>
      <w:r w:rsidRPr="007224C3">
        <w:rPr>
          <w:color w:val="000000" w:themeColor="text1"/>
          <w:sz w:val="16"/>
          <w:szCs w:val="16"/>
        </w:rPr>
        <w:t>а) немецкие бронебойные снаряды калибра 105 мм с начальной скоростью 830 м/с;</w:t>
      </w:r>
    </w:p>
    <w:p w14:paraId="37EC7AEE" w14:textId="77777777" w:rsidR="00CD73D6" w:rsidRPr="007224C3" w:rsidRDefault="00CD73D6" w:rsidP="007224C3">
      <w:pPr>
        <w:pStyle w:val="ae"/>
        <w:spacing w:before="0" w:after="0"/>
        <w:jc w:val="both"/>
        <w:rPr>
          <w:color w:val="000000" w:themeColor="text1"/>
          <w:sz w:val="16"/>
          <w:szCs w:val="16"/>
        </w:rPr>
      </w:pPr>
      <w:r w:rsidRPr="007224C3">
        <w:rPr>
          <w:color w:val="000000" w:themeColor="text1"/>
          <w:sz w:val="16"/>
          <w:szCs w:val="16"/>
        </w:rPr>
        <w:t>б) немецкие бронебойные снаряды калибра 88 мм с начальной скоростью 1000 м/с;</w:t>
      </w:r>
    </w:p>
    <w:p w14:paraId="0634D87A" w14:textId="77777777" w:rsidR="00CD73D6" w:rsidRPr="007224C3" w:rsidRDefault="00CD73D6" w:rsidP="007224C3">
      <w:pPr>
        <w:pStyle w:val="ae"/>
        <w:spacing w:before="0" w:after="0"/>
        <w:jc w:val="both"/>
        <w:rPr>
          <w:color w:val="000000" w:themeColor="text1"/>
          <w:sz w:val="16"/>
          <w:szCs w:val="16"/>
        </w:rPr>
      </w:pPr>
      <w:r w:rsidRPr="007224C3">
        <w:rPr>
          <w:color w:val="000000" w:themeColor="text1"/>
          <w:sz w:val="16"/>
          <w:szCs w:val="16"/>
        </w:rPr>
        <w:t>в) отечественные бронебойные остроголовые снаряды калибра 85 мм с начальной скоростью 800 м/с;</w:t>
      </w:r>
    </w:p>
    <w:p w14:paraId="346175E5" w14:textId="77777777" w:rsidR="00CD73D6" w:rsidRPr="007224C3" w:rsidRDefault="00CD73D6" w:rsidP="007224C3">
      <w:pPr>
        <w:pStyle w:val="ae"/>
        <w:spacing w:before="0" w:after="0"/>
        <w:jc w:val="both"/>
        <w:rPr>
          <w:color w:val="000000" w:themeColor="text1"/>
          <w:sz w:val="16"/>
          <w:szCs w:val="16"/>
        </w:rPr>
      </w:pPr>
      <w:r w:rsidRPr="007224C3">
        <w:rPr>
          <w:color w:val="000000" w:themeColor="text1"/>
          <w:sz w:val="16"/>
          <w:szCs w:val="16"/>
        </w:rPr>
        <w:t>3. Носовая и кормовая проекция нижнего пояса макета № 15 полностью снимает:</w:t>
      </w:r>
    </w:p>
    <w:p w14:paraId="19F4A72A" w14:textId="77777777" w:rsidR="00CD73D6" w:rsidRPr="007224C3" w:rsidRDefault="00CD73D6" w:rsidP="007224C3">
      <w:pPr>
        <w:pStyle w:val="ae"/>
        <w:spacing w:before="0" w:after="0"/>
        <w:jc w:val="both"/>
        <w:rPr>
          <w:color w:val="000000" w:themeColor="text1"/>
          <w:sz w:val="16"/>
          <w:szCs w:val="16"/>
        </w:rPr>
      </w:pPr>
      <w:r w:rsidRPr="007224C3">
        <w:rPr>
          <w:color w:val="000000" w:themeColor="text1"/>
          <w:sz w:val="16"/>
          <w:szCs w:val="16"/>
        </w:rPr>
        <w:t>а) немецкие бронебойные снаряды калибра 105 мм с начальной скоростью 830 м/с;</w:t>
      </w:r>
    </w:p>
    <w:p w14:paraId="59BDA8FC" w14:textId="77777777" w:rsidR="00CD73D6" w:rsidRPr="007224C3" w:rsidRDefault="00CD73D6" w:rsidP="007224C3">
      <w:pPr>
        <w:pStyle w:val="ae"/>
        <w:spacing w:before="0" w:after="0"/>
        <w:jc w:val="both"/>
        <w:rPr>
          <w:color w:val="000000" w:themeColor="text1"/>
          <w:sz w:val="16"/>
          <w:szCs w:val="16"/>
        </w:rPr>
      </w:pPr>
      <w:r w:rsidRPr="007224C3">
        <w:rPr>
          <w:color w:val="000000" w:themeColor="text1"/>
          <w:sz w:val="16"/>
          <w:szCs w:val="16"/>
        </w:rPr>
        <w:t>б) отечественные подкалиберные снаряды калибра 85 мм с начальной скоростью 1020 м/с…</w:t>
      </w:r>
    </w:p>
    <w:p w14:paraId="5C08A443" w14:textId="77777777" w:rsidR="00CD73D6" w:rsidRPr="007224C3" w:rsidRDefault="00CD73D6" w:rsidP="007224C3">
      <w:pPr>
        <w:pStyle w:val="ae"/>
        <w:spacing w:before="0" w:after="0"/>
        <w:jc w:val="both"/>
        <w:rPr>
          <w:color w:val="000000" w:themeColor="text1"/>
          <w:sz w:val="16"/>
          <w:szCs w:val="16"/>
        </w:rPr>
      </w:pPr>
      <w:r w:rsidRPr="007224C3">
        <w:rPr>
          <w:color w:val="000000" w:themeColor="text1"/>
          <w:sz w:val="16"/>
          <w:szCs w:val="16"/>
        </w:rPr>
        <w:t>4. Бортовая проекция верхнего пояса макета № 15, изготовленная соответственно форме корпуса нового танка ИС-6 при толщине брони подкрылков 120 мм, угле наклона 45 град, и остальной броне толщиной 90 мм полностью снимает:</w:t>
      </w:r>
    </w:p>
    <w:p w14:paraId="52927A93" w14:textId="77777777" w:rsidR="00CD73D6" w:rsidRPr="007224C3" w:rsidRDefault="00CD73D6" w:rsidP="007224C3">
      <w:pPr>
        <w:pStyle w:val="ae"/>
        <w:spacing w:before="0" w:after="0"/>
        <w:jc w:val="both"/>
        <w:rPr>
          <w:color w:val="000000" w:themeColor="text1"/>
          <w:sz w:val="16"/>
          <w:szCs w:val="16"/>
        </w:rPr>
      </w:pPr>
      <w:r w:rsidRPr="007224C3">
        <w:rPr>
          <w:color w:val="000000" w:themeColor="text1"/>
          <w:sz w:val="16"/>
          <w:szCs w:val="16"/>
        </w:rPr>
        <w:t>а) немецкие бронебойные снаряды калибра 105 мм с начальной скоростью 830 м/с;</w:t>
      </w:r>
    </w:p>
    <w:p w14:paraId="58754A3E" w14:textId="77777777" w:rsidR="00CD73D6" w:rsidRPr="007224C3" w:rsidRDefault="00CD73D6" w:rsidP="007224C3">
      <w:pPr>
        <w:pStyle w:val="ae"/>
        <w:spacing w:before="0" w:after="0"/>
        <w:jc w:val="both"/>
        <w:rPr>
          <w:color w:val="000000" w:themeColor="text1"/>
          <w:sz w:val="16"/>
          <w:szCs w:val="16"/>
        </w:rPr>
      </w:pPr>
      <w:r w:rsidRPr="007224C3">
        <w:rPr>
          <w:color w:val="000000" w:themeColor="text1"/>
          <w:sz w:val="16"/>
          <w:szCs w:val="16"/>
        </w:rPr>
        <w:t>б) отечественные бронебойные остроголовые снаряды калибра 85 мм с начальной скоростью 800 м/с;</w:t>
      </w:r>
    </w:p>
    <w:p w14:paraId="26AE1B7E" w14:textId="77777777" w:rsidR="00CD73D6" w:rsidRPr="007224C3" w:rsidRDefault="00CD73D6" w:rsidP="007224C3">
      <w:pPr>
        <w:pStyle w:val="ae"/>
        <w:spacing w:before="0" w:after="0"/>
        <w:jc w:val="both"/>
        <w:rPr>
          <w:color w:val="000000" w:themeColor="text1"/>
          <w:sz w:val="16"/>
          <w:szCs w:val="16"/>
        </w:rPr>
      </w:pPr>
      <w:r w:rsidRPr="007224C3">
        <w:rPr>
          <w:color w:val="000000" w:themeColor="text1"/>
          <w:sz w:val="16"/>
          <w:szCs w:val="16"/>
        </w:rPr>
        <w:t>в) отечественные подкалиберные снаряды калибра 85 мм с начальной скоростью 1020 м/с…».</w:t>
      </w:r>
    </w:p>
    <w:p w14:paraId="00618AFE" w14:textId="77777777" w:rsidR="00CD73D6" w:rsidRPr="007224C3" w:rsidRDefault="00CD73D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Как видно из приведенных данных, советским конструкторам действительно удалось создать корпус, который оказался достаточно стойким при обстреле бронебойными снарядами немецких пушек 88 — 105-мм калибра.</w:t>
      </w:r>
    </w:p>
    <w:p w14:paraId="391DDA10" w14:textId="77777777" w:rsidR="00CD73D6" w:rsidRPr="007224C3" w:rsidRDefault="00CD73D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Первый корпус ИС-6 поступил на сборку 21 сентября 1944 года — по первоначальному плану это должно было произойти на два месяца раньше. 8 ноября первый ИС-6 («объект 252» с механической трансмиссией) вышел на заводские испытания.</w:t>
      </w:r>
    </w:p>
    <w:p w14:paraId="49435C99" w14:textId="77777777" w:rsidR="00CD73D6" w:rsidRPr="007224C3" w:rsidRDefault="00CD73D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Тяжелый танк ИС-6 имел классическую компоновку с формой корпуса и башни, близкой к танку ИС-4. Боевая масса танка составила 51,5 т, превысив заданную техзаданием на 3,5 тонны. Корпус ИС-6 собирался из катаных бронелистов толщиной 120, 100, 60, 50 и 20 мм, сваренных между собой. Лобовые, кормовые и верхние бортовые листы устанавливались под большими углами наклона к вертикали, что обеспечивало высокую снарядостойкость. Днище имело корытообразную форму.</w:t>
      </w:r>
    </w:p>
    <w:p w14:paraId="38443811" w14:textId="77777777" w:rsidR="00CD73D6" w:rsidRPr="007224C3" w:rsidRDefault="00CD73D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Башня танка — литая, закаленная на высокую твердость. Она имела толщину лобовой и бортовой частей 150 мм, кормовой 100 мм, крыши (вварные листы) — 30 мм.</w:t>
      </w:r>
    </w:p>
    <w:p w14:paraId="2C27BFE4" w14:textId="77777777" w:rsidR="00CD73D6" w:rsidRPr="007224C3" w:rsidRDefault="00CD73D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Отделение управления находилось в передней части корпуса. В нем размещалось место механика-водителя, рычаги и педали приводов управления танком, щитки контрольно-измерительных приборов, топливный распределительный кран, ручной топливоподкачивающий насос, баллоны со сжатым воздухом для запуска двигателя, аккумуляторные батареи и часть боекомплекта. Для посадки механика-водителя в лобовом листе корпуса имелся прямоугольный люк. Наблюдение за дорогой осуществлялось при помощи двух смотровых приборов МК-4. В днище за местом механика-водителя имелся аварийный люк-лаз.</w:t>
      </w:r>
    </w:p>
    <w:p w14:paraId="0BF94DE5" w14:textId="77777777" w:rsidR="00CD73D6" w:rsidRPr="007224C3" w:rsidRDefault="00CD73D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Боевое отделение находилось в средней части корпуса и башне.</w:t>
      </w:r>
    </w:p>
    <w:p w14:paraId="762E0947" w14:textId="77777777" w:rsidR="00CD73D6" w:rsidRPr="007224C3" w:rsidRDefault="00CD73D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Здесь размещались вооружение, приборы наблюдения и прицеливания, радиостанция, ТПУ, часть электрооборудования с вращающимся контактным устройством, рабочие места наводчика, заряжающего и командира танка. Для наблюдения за полем боя над местом командира имелось два прибора МК-4, и еще один — над местом заряжающего.</w:t>
      </w:r>
    </w:p>
    <w:p w14:paraId="5F26E6BF" w14:textId="77777777" w:rsidR="00CD73D6" w:rsidRPr="007224C3" w:rsidRDefault="00CD73D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Вооружение ИС-6 состояло из 122-мм танковой пушки Д-30, спаренной с 7,62-мм пулеметом Горюнова ГВТ. На крыше башни, на турели, размещенной над люком заряжающего, поместили зенитную турель с 12,7-мм пулеметом ДШК. Пушка Д-30 отличалась от Д-25 наличием досылателя и системой продувки канала ствола сжатым воздухом после выстрела. Для стрельбы использовался телескопический танковый прицел ТБШ, а при ведении огня с закрытых позиций — башенный угломер. Наведение установки на цель осуществлялось подъемным механизмом секторного типа и планетарным поворотным механизмом башни с ручным и электрическим приводами.</w:t>
      </w:r>
    </w:p>
    <w:p w14:paraId="726F1443" w14:textId="77777777" w:rsidR="00CD73D6" w:rsidRPr="007224C3" w:rsidRDefault="00CD73D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Боекомплект ИС-6 состоял из 30 выстрелов раздельного заряжания, 1200 патронов калибра 7,62-мм и 500 патронов калибра 12,7-мм к зенитному пулемету. Зенитный пулемет снабжался коллиматорным прицелом К8-Т.</w:t>
      </w:r>
    </w:p>
    <w:p w14:paraId="2A69373E" w14:textId="77777777" w:rsidR="00CD73D6" w:rsidRPr="007224C3" w:rsidRDefault="00CD73D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моторном отделении, расположенном за боевым и разделенным с ним перегородкой, находился дизельный двигатель В-12 мощностью 700 л.с. с центробежным нагнетателем, справа и слева от него — три топливных и масляный баки, а в бортовых нишах корпуса — четыре осевых вентилятора (по два с каждой стороны), водяной и масляный радиаторы.</w:t>
      </w:r>
    </w:p>
    <w:p w14:paraId="21790464" w14:textId="77777777" w:rsidR="00CD73D6" w:rsidRPr="007224C3" w:rsidRDefault="00CD73D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Пуск двигателя производился электростартером мощностью 15 л.с. или сжатым воздухом. Для облегчения пуска в зимнее время имелся пародинамический обогреватель, установленный в масляном баке. Емкость внутренних топливных баков составляла 640 л. Кроме того, на бортах корпуса предусматривалась установка еще четырех внешних баков.</w:t>
      </w:r>
    </w:p>
    <w:p w14:paraId="3AAA3304" w14:textId="77777777" w:rsidR="00CD73D6" w:rsidRPr="007224C3" w:rsidRDefault="00CD73D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системе очистки воздуха использовались два воздухоочистителя «Мультициклон» установленных по бортам у моторной перегородки.</w:t>
      </w:r>
    </w:p>
    <w:p w14:paraId="2E73ED42" w14:textId="77777777" w:rsidR="00CD73D6" w:rsidRPr="007224C3" w:rsidRDefault="00CD73D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трансмиссионном отделении, в корме машины, размещались элементы механической трансмиссии: многодисковый главный фрикцион, восьмиступенчатая коробка перемены передач с синхронизаторами, два планетарных механизма поворота с ленточными тормозами и два бортовых редуктора. Также в трансмиссионном отделении находился электрический стартер.</w:t>
      </w:r>
    </w:p>
    <w:p w14:paraId="3061B76C" w14:textId="77777777" w:rsidR="00CD73D6" w:rsidRPr="007224C3" w:rsidRDefault="00CD73D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Подвеска танка — индивидуальная торсионная. Она включала (применительно к одному борту) шесть опорных катков большого диаметра, ведущее и направляющее колеса.</w:t>
      </w:r>
    </w:p>
    <w:p w14:paraId="2FC677C9" w14:textId="77777777" w:rsidR="00CD73D6" w:rsidRPr="007224C3" w:rsidRDefault="00CD73D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Электрооборудование «объекта 252» выполнялось по однопроводной схеме, напряжение бортовой сети — 24 В. Источники электроэнергии — четыре аккумуляторные батареи и генератор мощностью 1,5 кВт.</w:t>
      </w:r>
    </w:p>
    <w:p w14:paraId="6BEE33C8" w14:textId="77777777" w:rsidR="00CD73D6" w:rsidRPr="007224C3" w:rsidRDefault="00CD73D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внешней связи ИС-6 оснащался радиостанцией ЮР (в нише башни), для внутренней — танковое переговорное устройство ТПУ-4-БИС.</w:t>
      </w:r>
    </w:p>
    <w:p w14:paraId="2C4570B9" w14:textId="77777777" w:rsidR="00CD73D6" w:rsidRPr="007224C3" w:rsidRDefault="00CD73D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 конца ноября 1944 года «объект 252» прошел заводские испытания в объеме 825 км. Максимальная скорость составила 35,4 км/ч, а средняя скорость движения от 115 до 22 км/ч, в зависимости от дорожных условий. Машина продемонстрировала хорошую управляемость и легко поворачивалась. Однако оказались слишком большими усилия для включения главного фрикциона — 65 кг, а также сильно грелась коробка перемены передач.</w:t>
      </w:r>
    </w:p>
    <w:p w14:paraId="7F0246CA" w14:textId="77777777" w:rsidR="00CD73D6" w:rsidRPr="007224C3" w:rsidRDefault="00CD73D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 больше всего дефектов выявилось в ходовой части — опорные катки большого диаметра оказались слабыми, их ресурс не превышал 200–300 км (за испытания пришлось сменить 14 штук). Поэтому пришлось дорабатывать их конструкцию и «переобувать» танк на усиленные катки.</w:t>
      </w:r>
    </w:p>
    <w:p w14:paraId="1562AE91" w14:textId="77777777" w:rsidR="00CD73D6" w:rsidRPr="007224C3" w:rsidRDefault="00CD73D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После заводских испытаний дальнейшие работы по танку «Объект 252» прекратили.</w:t>
      </w:r>
    </w:p>
    <w:p w14:paraId="05CFBBD5" w14:textId="77777777" w:rsidR="00CD73D6" w:rsidRPr="007224C3" w:rsidRDefault="00CD73D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Второй образец ИС-6 («объект 253» с электромеханической трансмиссией) был собран в ноябре 1944 года. От «объекта 252» он отличался использованием в ходовой части опорных катков малого диаметра (от ИС-2), а также трансмиссией. В состав последней входили главный генератор ДК-305А мощностью 385 кВт и массой 1740 кг, установленный соосно с двигателем В-12У. В одном блоке с главным генератором на общем валу находился синхронный генератор трехфазного тока СГ-1А, предназначенный для питания моторов-вентиляторов системы охлаждения тяговых двигателей и дизеля, а также для привода подзарядного агрегата АКБ. На дизеле были смонтированы два малых генератора постоянного тока Г-73, которые питали цепи возбуждения генераторов ДК-305А и СГ-1А. Тяговые электродвигатели ДК-302А и ДК-302Б реверсивного действия через бортовые передачи соединялись с ведущими колесами танка. Регулировка силы тяги производилась изменением возбуждения главного генератора. Рабочий ток достигал 960 А, при движении по шоссе он составлял 490 А, на местности — 740 А. Напряжение в цепи 500 В. Следует сказать, что масса трансмиссии составляла 3850 кг — в четыре раза тяжелее трансмиссии ИС-2 (980 кг). В результате, масса «объекта 253» составила 54 т, превысив проектную на четыре тонны.</w:t>
      </w:r>
    </w:p>
    <w:p w14:paraId="0D6594FA" w14:textId="77777777" w:rsidR="00CD73D6" w:rsidRPr="007224C3" w:rsidRDefault="00CD73D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Установкой электротрансмиссии конструкторы ИС-6 пытались улучшить управляемость тяжелого танка, а также повысить его маневренные качества.</w:t>
      </w:r>
    </w:p>
    <w:p w14:paraId="0D10EFF3" w14:textId="77777777" w:rsidR="00CD73D6" w:rsidRPr="007224C3" w:rsidRDefault="00CD73D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Однако выяснить так ли это, не удалось — при первом же выезде в трансмиссионном отделении «объекта 253» возник пожар, и машина вышла из строя. Дальнейшие работы по ней прекратили.</w:t>
      </w:r>
    </w:p>
    <w:p w14:paraId="5DD1E86F" w14:textId="77777777" w:rsidR="00CD73D6" w:rsidRPr="007224C3" w:rsidRDefault="00CD73D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Несмотря на то, что испытания танков ИС-6 оказались весьма кратковременными, полученный опыт (особенно, в части разработки бронекорпуса) пригодился конструкторам при проектировании нового тяжелого танка ИС-7 (17434).</w:t>
      </w:r>
    </w:p>
    <w:p w14:paraId="58CEDC24" w14:textId="77777777" w:rsidR="00CD73D6" w:rsidRPr="007224C3" w:rsidRDefault="00CD73D6" w:rsidP="007224C3">
      <w:pPr>
        <w:spacing w:after="0" w:line="240" w:lineRule="auto"/>
        <w:jc w:val="both"/>
        <w:rPr>
          <w:rFonts w:ascii="Times New Roman" w:hAnsi="Times New Roman"/>
          <w:color w:val="000000" w:themeColor="text1"/>
          <w:sz w:val="16"/>
          <w:szCs w:val="16"/>
        </w:rPr>
      </w:pPr>
    </w:p>
    <w:p w14:paraId="12E0278C"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июня 1944 вышло Постановление ГКО № 6024 О первоочередных мероприятиях по восстановлению речного флота в Северо-Западном бассейне. (7240, 1-8,9-24).</w:t>
      </w:r>
    </w:p>
    <w:p w14:paraId="3C59F0DD"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17A214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июня 1944 вышло Распоряжение ГКО № 6025. О поставках материалов и направлении 300 военнообязанных, не годных к строевой службе, на строительство метизного филиала СТЗ. РГАНИР, Фонд ГКО, д. 263, лл. 25-26 (11012).</w:t>
      </w:r>
    </w:p>
    <w:p w14:paraId="255C911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B3609F2"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июня 1944 вышло Постановление ГКО № 6026 О сооружении линии электропередач к тяговым подстанциям HКПС на участке Златоуст - Челябинск Южно-Уральской железной дороги. (7240, 27-29,30-31).</w:t>
      </w:r>
    </w:p>
    <w:p w14:paraId="132881C7"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407625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июня 1944 вышло Распоряжение ГКО № 6027. О поставках металла НКНП. РГАНИР, Фонд ГКО, д. 263, лл. 32 (11012).</w:t>
      </w:r>
    </w:p>
    <w:p w14:paraId="7A53B20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7E10F34"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1011304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E770842" w14:textId="77777777" w:rsidR="00C074FF" w:rsidRPr="007224C3" w:rsidRDefault="00C074FF"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8 июня</w:t>
      </w:r>
      <w:r w:rsidRPr="007224C3">
        <w:rPr>
          <w:rFonts w:ascii="Times New Roman" w:hAnsi="Times New Roman"/>
          <w:color w:val="000000" w:themeColor="text1"/>
          <w:sz w:val="16"/>
          <w:szCs w:val="16"/>
        </w:rPr>
        <w:t xml:space="preserve"> в 1944 году оперативная сводка Совинформбюро:</w:t>
      </w:r>
    </w:p>
    <w:p w14:paraId="3784C9B5" w14:textId="77777777" w:rsidR="00C074FF" w:rsidRPr="007224C3" w:rsidRDefault="00C074F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8 июня на фронтах существенных изменений не произошло. За 7 июня наши войска подбили и уничтожили 15 немецких танков. В воздушных боях и огнём зенитной артиллерии сбито 22 самолёта противника.</w:t>
      </w:r>
    </w:p>
    <w:p w14:paraId="7C3AF6CC" w14:textId="77777777" w:rsidR="00C074FF" w:rsidRPr="007224C3" w:rsidRDefault="00C074F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Северо-западнее и севернее города Яссы наши подразделения вели бои заулучшение своих позиций. Бойцы Н-ской части овладели одной высотой, имеющейважное значение. Попытки немцев восстановить положение успеха не имели.Уничтожено до 200 немецких солдат в офицеров и несколько танков противника.Взято в плен 150 гитлеровцев.</w:t>
      </w:r>
    </w:p>
    <w:p w14:paraId="7D1AEC56" w14:textId="77777777" w:rsidR="00C074FF" w:rsidRPr="007224C3" w:rsidRDefault="00C074F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Южнее города Тирасполь наши разведчики стремительно ворвались в траншеипротивника и овладели ими. В бою за эти позиция истреблено до роты немецкойпехоты. На другом участке сорок вражеских разведчиков форсировали реку Днестр.Бойцы Н-ской части подпустили гитлеровцев на близкое расстояние, а затем открылипулемётный и минометный огонь. 38 гитлеровцев убито. Два немца взяты в плен.</w:t>
      </w:r>
    </w:p>
    <w:p w14:paraId="0CE9A5BE" w14:textId="77777777" w:rsidR="00C074FF" w:rsidRPr="007224C3" w:rsidRDefault="00C074F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Юго-восточнее города Витебск происходила редкая артиллерийская иружейно-пулемётная перестрелка. Наши артиллеристы уничтожили 4 немецких орудия и7 пулемётных точек. Восемь снайперов Н-ской части за последние дни истребили 57гитлеровцев. Снайпер Фёдор Исаев уничтожил 12 немцев, снайпер Иван Пичугин — 9,снайпер Петр Чагин убил 7 солдат противника.</w:t>
      </w:r>
    </w:p>
    <w:p w14:paraId="7A881F4B" w14:textId="77777777" w:rsidR="00C074FF" w:rsidRPr="007224C3" w:rsidRDefault="00C074F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Наши штурмовики-«охотники» на одной из железнодорожных станций сожглинемецкий эшелон с горючим.</w:t>
      </w:r>
    </w:p>
    <w:p w14:paraId="53258611" w14:textId="77777777" w:rsidR="00C074FF" w:rsidRPr="007224C3" w:rsidRDefault="00C074F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Севере Н-ское подразделение атаковало опорный пункт противника. Немцы,ошеломлённые внезапностью нападения, не смогли оказать серьёзного сопротивления.Бойцы под командованием лейтенанта Калистратова уничтожили несколько десятковгитлеровцев и, захватив пленных, благополучно вернулись в своё расположение.</w:t>
      </w:r>
    </w:p>
    <w:p w14:paraId="619523E6" w14:textId="77777777" w:rsidR="00C074FF" w:rsidRPr="007224C3" w:rsidRDefault="00C074F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Партизанский отряд, действующий в Витебской области, в одном населённомпункте ночью истребил 20 гитлеровцев и уничтожил 27 автомашин. Ружейно-пулемётным огнём подбит немецкий бомбардировщик «Юнкерс-87». Самолётсовершил вынужденную посадку. Партизаны сожгли вражеский бомбардировщик,предварительно сняв с него пулемёты и радиостанцию. Отряд вилейских партизанорганизовал засаду у дороги, по которой следовала рота немцев. Советскиепатриоты пропустили вперёд разведку противника, а затем открыли сильныйружейно-пулемётный огонь. Убито и ранено 40 немецких солдат.</w:t>
      </w:r>
    </w:p>
    <w:p w14:paraId="318F13B6" w14:textId="77777777" w:rsidR="00C074FF" w:rsidRPr="007224C3" w:rsidRDefault="00C074F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Солдаты и офицеры противника, захваченные в плен в районе северо-западнее исевернее города Яссы, сообщают, что немецко-румынские войска в последних бояхпонесли чрезвычайно тяжёлые потери. Пленный командир 10 роты 2 мотополкатанковой дивизии СС «Великая Германия» лейтенант Ганс Эвид рассказал: «Немецкоекомандование сосредоточило на небольшом участке сильный кулак. Перед танковыми ипехотными соединениями была поставлена задача: внезапным, стремительным ударомпрорвать линию обороны русских, а затем отбросить их за реку Прут. Мы встретилиорганизованное и упорное сопротивление. Особенно мощной оказалась русскаяпротивотанковая оборона. Уже в первые дни стало ясно, что начатое в районе Ясснаступление обречено на провал. Попытки прорвать оборону русских стоили намочень дорого. Танковая дивизия СС «Великая Германия» потеряла почти половинусвоих танков. Большие потери понесла пехота. Например, второй батальон 3 полка11 дивизии полностью уничтожен. Его накрыл огонь русской артиллерии. Погиблооколо 600 солдат и офицеров; 4 пехотный полк 3 румынской пехотной дивизии заодин день потерял три четверти своего личного состава» (14916).</w:t>
      </w:r>
    </w:p>
    <w:p w14:paraId="58F3E8D5" w14:textId="77777777" w:rsidR="00C074FF" w:rsidRPr="007224C3" w:rsidRDefault="00C074FF" w:rsidP="007224C3">
      <w:pPr>
        <w:spacing w:after="0" w:line="240" w:lineRule="auto"/>
        <w:jc w:val="both"/>
        <w:rPr>
          <w:rFonts w:ascii="Times New Roman" w:hAnsi="Times New Roman"/>
          <w:color w:val="000000" w:themeColor="text1"/>
          <w:sz w:val="16"/>
          <w:szCs w:val="16"/>
        </w:rPr>
      </w:pPr>
    </w:p>
    <w:p w14:paraId="20382AA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июня 1944 г. начались действия авиации в Карелии. Самолеты нанесли удары по железнодорожным узлам, мостам, штабам и скоплениям войск противника. Летали группами по семь-девять машин. Прикрытие истребителями осуществлялось только у передовой. На маршруте защиту должны были обеспечить скорость и мощное оборонительное вооружение. Затем Ту-2 также начали работать по оборонительным сооружениям, включая бетонные форты. Летчик 12-го бап И.И. Ширкин вспоминал: "Бомбили скопления войск противника, танковые группировки, железнодорожные узлы, совершая в день по два, а то и по три вылета". Против укреплений использовали фугасные бомбы крупного калибра, а также специальные бетонобойные бомбы серии ДС с ракетными ускорителями, поступившие на вооружение перед самой войной. Их из-за большой длины (более 2 м) размещали на наружной подвеске; при этом еще четыре ФАБ-250 грузили в бомбоотсек. Такие боеприпасы, в частности, применяли в районе Лодейного Поля.</w:t>
      </w:r>
    </w:p>
    <w:p w14:paraId="25C99C3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Командующий ВВС маршал Новиков докладывал Сталину о первых днях боев: "334 БАД потерь не имела, летала днем и работала отлично". Ту-2 действовали днем, крупными группами. Так, в налете на железнодорожный узел в Выборге 15 июня участвовали 23 самолета, 17 июня - 59. Кроме бомбардировки сил противника, Ту-2 использовали и как разведчики. Советские ВВС достигли превосходства в воздухе, поэтому потери в этой операции были небольшими. Например, 12-й бап лишился всего одного самолета - командира 2-й эскадрильи А.А. Шумейко.</w:t>
      </w:r>
    </w:p>
    <w:p w14:paraId="4279D4E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Наступление было успешным. 21 июня советские войска взяли Выборг.</w:t>
      </w:r>
    </w:p>
    <w:p w14:paraId="56E85D6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Пребывание 334-й дивизии на Ленинградском фронте было кратковременным. В конце июня соединение перебросили на 3-й Белорусский фронт, в 4-ю воздушную армию, где оно приняло участие в операции "Багратион" по освобождению Белоруссии. Ту-2 использовались с большой интенсивностью, совершая до двух вылетов день. Они наносили удары по войскам на передовой и в ближнем тылу противника, по железнодорожным узлам и складам. Летая "на коротком плече", командир 12-го бап М.П. Васякин довел бомбовую нагрузку своего самолета до предела - 3000 кг. Он же применил групповой взлет - Ту-2 стартовали с аэродрома Улла звеньями, сокращая время на сбор группы в воздухе.</w:t>
      </w:r>
    </w:p>
    <w:p w14:paraId="2B53416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июле 334-я дивизия опять сменила место. По приказу командования она перешла в подчинение 3-й воздушной армии на 1-м Прибалтийском фронте. Ту-2 летали на бомбежку немецких войск в районах Митавы, Шяуляя, Тильзита, атаковали порты в Либаве и Клайпеде, вели воздушную разведку.</w:t>
      </w:r>
    </w:p>
    <w:p w14:paraId="3402081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Ту-2 применяли против наиболее важных узлов сопротивления немцев. Бомбили их днем, с горизонтального полета, действуя крупными группами до полка, а несколько вылетов совершили полным составом дивизии (около 100 самолетов). Летали с плотным прикрытием истребителями Як-9 и Р-39. Наиболее удаленные цели располагались в 300 - 500 км от аэродромов базирования, средняя бомбовая нагрузка составляла 1350 кг.</w:t>
      </w:r>
    </w:p>
    <w:p w14:paraId="4CFCCF6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участие в прорыве обороны противника на р. Западная Двина юго-восточнее Риги 132-й полк был удостоен ордена Кутузова 3-й степени. Но сопротивление немцев было упорным; дивизия понесла потери и от истребителей, и от зенитной артиллерии. За три месяца боев в Прибалтике только истребители сбили 10 и повредили еще 16 бомбардировщиков.</w:t>
      </w:r>
    </w:p>
    <w:p w14:paraId="19AE01C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июля в районе Тукумса в Латвии был сбит и погиб Васякин, который вел свой полк на бомбежку позиций немцев. Как правило, истребители противника атаковали ведомых, пользуясь фактором неожиданности. Еще семь Ту-2 уничтожили немецкие зенитчики.</w:t>
      </w:r>
    </w:p>
    <w:p w14:paraId="43871B3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Сменивший Васякина майор И.С. Полевой погиб 20 августа. Он повел 27 самолетов бомбить железнодорожный узел. Бомбардировщики столкнулись с сильным огнем зенитной артиллерии. Ту-2 Полевого был подбит, сам пилот - ранен. Но экипаж сбросил бомбы на цель. На обратном пути бомбардировщик совершил вынужденную посадку на лес. Стрелок вытащил командира из кабины, но тот вскоре скончался.</w:t>
      </w:r>
    </w:p>
    <w:p w14:paraId="312AEFD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Дивизия воевала в Прибалтике до конца 1944 г. В целом Ту-2 показал себя очень неплохо. Командир 132-го бап подполковник Бугай писал в своем рапорте: "Летный состав полка высоко ценит самолет Ту-2 и успешно ведет работу на этой новой материальной части". В среднем, на один утраченный бомбардировщик приходилось 465 самолето-вылетов. За 1944 г. советские ВВС лишились 77 самолетов этого типа; при этом около 60% машин - непосредственно боевые потери. Доля техники, потерянной в авариях и катастрофах, оказалась меньше, чем у всех других типов фронтовых бомбардировщиков (11988).</w:t>
      </w:r>
    </w:p>
    <w:p w14:paraId="5740823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0D07A21" w14:textId="77777777" w:rsidR="00C074FF"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38EA3162" w14:textId="77777777" w:rsidR="00C074FF" w:rsidRPr="007224C3" w:rsidRDefault="00C074FF"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B755DF0" w14:textId="77777777" w:rsidR="00C074FF" w:rsidRPr="007224C3" w:rsidRDefault="00C074FF"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8 июня</w:t>
      </w:r>
      <w:r w:rsidRPr="007224C3">
        <w:rPr>
          <w:rFonts w:ascii="Times New Roman" w:hAnsi="Times New Roman"/>
          <w:color w:val="000000" w:themeColor="text1"/>
          <w:sz w:val="16"/>
          <w:szCs w:val="16"/>
        </w:rPr>
        <w:t xml:space="preserve"> в 1944 году пеpвые 20 машин yстановочной сеpии </w:t>
      </w:r>
      <w:hyperlink r:id="rId168" w:tgtFrame="_blank" w:history="1">
        <w:r w:rsidRPr="007224C3">
          <w:rPr>
            <w:rFonts w:ascii="Times New Roman" w:hAnsi="Times New Roman"/>
            <w:color w:val="000000" w:themeColor="text1"/>
            <w:sz w:val="16"/>
            <w:szCs w:val="16"/>
          </w:rPr>
          <w:t xml:space="preserve">«Ar 234В-0», </w:t>
        </w:r>
      </w:hyperlink>
      <w:r w:rsidRPr="007224C3">
        <w:rPr>
          <w:rFonts w:ascii="Times New Roman" w:hAnsi="Times New Roman"/>
          <w:color w:val="000000" w:themeColor="text1"/>
          <w:sz w:val="16"/>
          <w:szCs w:val="16"/>
        </w:rPr>
        <w:t>покинyли сбоpочный завод в Альт-Леневиц на чешско-геpманской гpанице (14916).</w:t>
      </w:r>
    </w:p>
    <w:p w14:paraId="30A171CB" w14:textId="77777777" w:rsidR="00C074FF" w:rsidRPr="007224C3" w:rsidRDefault="00C074FF" w:rsidP="007224C3">
      <w:pPr>
        <w:spacing w:after="0" w:line="240" w:lineRule="auto"/>
        <w:jc w:val="both"/>
        <w:rPr>
          <w:rFonts w:ascii="Times New Roman" w:hAnsi="Times New Roman"/>
          <w:color w:val="000000" w:themeColor="text1"/>
          <w:sz w:val="16"/>
          <w:szCs w:val="16"/>
        </w:rPr>
      </w:pPr>
    </w:p>
    <w:p w14:paraId="1AD0EDC3" w14:textId="77777777" w:rsidR="006A61CD" w:rsidRPr="007224C3" w:rsidRDefault="006A61CD"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8 июня 1944 - Первый полёт первого серийного Ar 234В-0 Blitz (из установочной серии 20 машин) (22467).</w:t>
      </w:r>
    </w:p>
    <w:p w14:paraId="5C3E0EC1" w14:textId="77777777" w:rsidR="006A61CD" w:rsidRPr="007224C3" w:rsidRDefault="006A61CD" w:rsidP="007224C3">
      <w:pPr>
        <w:spacing w:after="0" w:line="240" w:lineRule="auto"/>
        <w:jc w:val="both"/>
        <w:rPr>
          <w:rFonts w:ascii="Times New Roman" w:hAnsi="Times New Roman"/>
          <w:color w:val="0070C0"/>
          <w:sz w:val="16"/>
          <w:szCs w:val="16"/>
        </w:rPr>
      </w:pPr>
    </w:p>
    <w:p w14:paraId="3C9735AA" w14:textId="77777777" w:rsidR="00C074FF" w:rsidRPr="007224C3" w:rsidRDefault="00C074FF"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8 июня</w:t>
      </w:r>
      <w:r w:rsidRPr="007224C3">
        <w:rPr>
          <w:rFonts w:ascii="Times New Roman" w:hAnsi="Times New Roman"/>
          <w:color w:val="000000" w:themeColor="text1"/>
          <w:sz w:val="16"/>
          <w:szCs w:val="16"/>
        </w:rPr>
        <w:t xml:space="preserve"> в 1944 году в Германии проведен испытательный полет турбореактивного самолета «Мессершмитт» (Messerschmitt) "Me-262" в варианте бомбардировщика (14916).</w:t>
      </w:r>
    </w:p>
    <w:p w14:paraId="0FF28816" w14:textId="77777777" w:rsidR="00C074FF" w:rsidRPr="007224C3" w:rsidRDefault="00C074FF" w:rsidP="007224C3">
      <w:pPr>
        <w:spacing w:after="0" w:line="240" w:lineRule="auto"/>
        <w:jc w:val="both"/>
        <w:rPr>
          <w:rFonts w:ascii="Times New Roman" w:hAnsi="Times New Roman"/>
          <w:color w:val="000000" w:themeColor="text1"/>
          <w:sz w:val="16"/>
          <w:szCs w:val="16"/>
        </w:rPr>
      </w:pPr>
    </w:p>
    <w:p w14:paraId="0497FCBF" w14:textId="77777777" w:rsidR="006A61CD" w:rsidRPr="007224C3" w:rsidRDefault="006A61CD" w:rsidP="007224C3">
      <w:pPr>
        <w:pStyle w:val="115"/>
        <w:shd w:val="clear" w:color="auto" w:fill="auto"/>
        <w:spacing w:after="0" w:line="240" w:lineRule="auto"/>
        <w:jc w:val="both"/>
        <w:rPr>
          <w:rFonts w:ascii="Times New Roman" w:hAnsi="Times New Roman" w:cs="Times New Roman"/>
          <w:color w:val="0070C0"/>
          <w:sz w:val="16"/>
          <w:szCs w:val="16"/>
        </w:rPr>
      </w:pPr>
      <w:r w:rsidRPr="007224C3">
        <w:rPr>
          <w:rFonts w:ascii="Times New Roman" w:hAnsi="Times New Roman" w:cs="Times New Roman"/>
          <w:color w:val="0070C0"/>
          <w:sz w:val="16"/>
          <w:szCs w:val="16"/>
        </w:rPr>
        <w:t>8 июня 1944 бомбы Толбой были впервые использованы для атаки на важный железнодорожный тоннель Сомюр во Франции. Германская танковая дивизия выдвигалась по железной дороге из Бордо к плацдарму союзников. Поезда с бронетехникой должны были проследовать через тоннель Сомюр, лежащий в сотне миль от берега. Надо было заблокировать тоннель, прежде чем поезда пройдут через него.</w:t>
      </w:r>
    </w:p>
    <w:p w14:paraId="55C7EDEC" w14:textId="77777777" w:rsidR="006A61CD" w:rsidRPr="007224C3" w:rsidRDefault="006A61CD" w:rsidP="007224C3">
      <w:pPr>
        <w:pStyle w:val="115"/>
        <w:shd w:val="clear" w:color="auto" w:fill="auto"/>
        <w:spacing w:after="0" w:line="240" w:lineRule="auto"/>
        <w:jc w:val="both"/>
        <w:rPr>
          <w:rFonts w:ascii="Times New Roman" w:hAnsi="Times New Roman" w:cs="Times New Roman"/>
          <w:color w:val="0070C0"/>
          <w:sz w:val="16"/>
          <w:szCs w:val="16"/>
        </w:rPr>
      </w:pPr>
      <w:r w:rsidRPr="007224C3">
        <w:rPr>
          <w:rFonts w:ascii="Times New Roman" w:hAnsi="Times New Roman" w:cs="Times New Roman"/>
          <w:color w:val="0070C0"/>
          <w:sz w:val="16"/>
          <w:szCs w:val="16"/>
        </w:rPr>
        <w:t>В полном составе 617-я эскадрилья поднялась в воздух сразу после заката, а чуть после полуночи летчики увидели место, где рельсы исчезают в тоннеле, уходящем вглубь холма Сомюр. Через 90 секунд «Ланкастеры» начали ложиться на боевой курс. А еще через пару минут впервые «бомбы-землетрясения» полетели на цель. В 6 км наверху экипажи испытали легкое разочарование. «Толлбои» не производили яркой вспышки при попадании. Появлялся только тусклый красный светлячок, когда бомба врезалась в землю, и взрыв происходил на глубине почти 30 м.</w:t>
      </w:r>
    </w:p>
    <w:p w14:paraId="71FF5BF6" w14:textId="77777777" w:rsidR="006A61CD" w:rsidRPr="007224C3" w:rsidRDefault="006A61CD" w:rsidP="007224C3">
      <w:pPr>
        <w:pStyle w:val="115"/>
        <w:shd w:val="clear" w:color="auto" w:fill="auto"/>
        <w:spacing w:after="0" w:line="240" w:lineRule="auto"/>
        <w:jc w:val="both"/>
        <w:rPr>
          <w:rFonts w:ascii="Times New Roman" w:hAnsi="Times New Roman" w:cs="Times New Roman"/>
          <w:color w:val="0070C0"/>
          <w:sz w:val="16"/>
          <w:szCs w:val="16"/>
        </w:rPr>
      </w:pPr>
      <w:r w:rsidRPr="007224C3">
        <w:rPr>
          <w:rFonts w:ascii="Times New Roman" w:hAnsi="Times New Roman" w:cs="Times New Roman"/>
          <w:color w:val="0070C0"/>
          <w:sz w:val="16"/>
          <w:szCs w:val="16"/>
        </w:rPr>
        <w:t>Утром прилетел фоторазведчик «Москито» с фотографиями, которые сами произвели эффект разорвавшейся бомбы, и разочарования у летчиков как не бывало. За одним исключением, огромные кратеры легли вокруг горла тоннеля. Причем две бомбы взорвались рядом прямо на рельсах. Железнодорожная насыпь была полностью уничтожена. Но особенно потрясла всех бомба, которая упала в 60 м от горла тоннеля. В том месте, где упала бомба, холм уже сформировался и 21 м плотного грунта и известняка прикрывали тоннель. Тяжелый «Толлбой» пробил свод и взорвался прямо в тоннеле. Около 10 000 т земли и мела взлетели в воздух, и гора обрушилась в тоннель. Это было одно из самых впечатляющих прямых попаданий за все время войны. Летчики могли гордиться результатом  — всего 617-я эскадрилья сбросила 19 грозных снарядов. Все они легли достаточно точно. Одна из бомб попала в вершину холма прямо над тоннелем, глубоко вошла в меловой массив и взорвалась, похоронив тоннель. Бомбы оставляли воронки диаметром около 24 м и глубиной 7,6 м (22888).</w:t>
      </w:r>
    </w:p>
    <w:p w14:paraId="6C77D56A" w14:textId="77777777" w:rsidR="006A61CD" w:rsidRPr="007224C3" w:rsidRDefault="006A61CD" w:rsidP="007224C3">
      <w:pPr>
        <w:spacing w:after="0" w:line="240" w:lineRule="auto"/>
        <w:jc w:val="both"/>
        <w:rPr>
          <w:rFonts w:ascii="Times New Roman" w:hAnsi="Times New Roman"/>
          <w:color w:val="0070C0"/>
          <w:sz w:val="16"/>
          <w:szCs w:val="16"/>
        </w:rPr>
      </w:pPr>
    </w:p>
    <w:p w14:paraId="08CD8B3D" w14:textId="77777777" w:rsidR="00841BB4" w:rsidRPr="007224C3" w:rsidRDefault="00841BB4"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8–9 июня (ночью) 1944 483 английских бомбардировщиков успешно громя французских железнодорожные станции на Alençon, Фужер, Майен, Pontabault и Ренне, чтобы остановить немецкие наземные подкреплений от приближения к зоне вторжения в Нормандии; потерял четыре самолета. Royal Air Force использует 12000 фунтов (5443 кг) бомбу«комод» впервые в наспех организованной атаке на 25 Ланкастеров бомбардировочной авиации No. 617 Squadron - поддерживаемых семью другими бомбардировщиками - по железнодорожному туннелю возле Сомюра, Франция, чтобы заблокировать его использование немецкими танковыми частями. Одна проникает через крышу туннеля, который на длительное время заблокирован. Tallboy отличается от более ранней бомбы RAF массой 12 000 фунтов (5 443 кг), представленной в 1943 году, тем, что она имеет гораздо более прочный корпус, который позволяет ей проникать в землю перед взрывом (29373).</w:t>
      </w:r>
    </w:p>
    <w:p w14:paraId="50635B35" w14:textId="77777777" w:rsidR="00841BB4" w:rsidRPr="007224C3" w:rsidRDefault="00841BB4" w:rsidP="007224C3">
      <w:pPr>
        <w:spacing w:after="0" w:line="240" w:lineRule="auto"/>
        <w:jc w:val="both"/>
        <w:rPr>
          <w:rFonts w:ascii="Times New Roman" w:hAnsi="Times New Roman"/>
          <w:color w:val="0070C0"/>
          <w:sz w:val="16"/>
          <w:szCs w:val="16"/>
        </w:rPr>
      </w:pPr>
    </w:p>
    <w:p w14:paraId="71FE68DE" w14:textId="77777777" w:rsidR="006A61CD" w:rsidRPr="007224C3" w:rsidRDefault="006A61CD"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8 июня 1944 десять самолетов B-25 Mitchells в сопровождении P-38 Lightnings атакуют силы из шести японских эсминцев к северо-западу от Маноквари, Новая Гвинея, потопив один и повредив три (20373).</w:t>
      </w:r>
    </w:p>
    <w:p w14:paraId="4809FEC4" w14:textId="77777777" w:rsidR="006A61CD" w:rsidRPr="007224C3" w:rsidRDefault="006A61CD" w:rsidP="007224C3">
      <w:pPr>
        <w:spacing w:after="0" w:line="240" w:lineRule="auto"/>
        <w:jc w:val="both"/>
        <w:rPr>
          <w:rFonts w:ascii="Times New Roman" w:hAnsi="Times New Roman"/>
          <w:color w:val="0070C0"/>
          <w:sz w:val="16"/>
          <w:szCs w:val="16"/>
        </w:rPr>
      </w:pPr>
    </w:p>
    <w:p w14:paraId="427F7141" w14:textId="77777777" w:rsidR="006A61CD" w:rsidRPr="007224C3" w:rsidRDefault="006A61CD"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8 июня 1944 в Нормандии немецкий Heinkel He 177 сильно повредил эсминец ВМС США USS Meredith (DD-726), который на следующий день раскололся пополам и затонул (20373).</w:t>
      </w:r>
    </w:p>
    <w:p w14:paraId="2E28B277" w14:textId="77777777" w:rsidR="006A61CD" w:rsidRPr="007224C3" w:rsidRDefault="006A61CD" w:rsidP="007224C3">
      <w:pPr>
        <w:spacing w:after="0" w:line="240" w:lineRule="auto"/>
        <w:jc w:val="both"/>
        <w:rPr>
          <w:rFonts w:ascii="Times New Roman" w:hAnsi="Times New Roman"/>
          <w:color w:val="0070C0"/>
          <w:sz w:val="16"/>
          <w:szCs w:val="16"/>
        </w:rPr>
      </w:pPr>
    </w:p>
    <w:p w14:paraId="6A534FA0" w14:textId="77777777" w:rsidR="006A61CD" w:rsidRPr="007224C3" w:rsidRDefault="006A61CD"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8 июня 1944 ас Люфтваффе Херберт Хапперц сбит и погиб над Нормандии близ Кана, Франция. Ему приписывают 68 воздушных побед (20373).</w:t>
      </w:r>
    </w:p>
    <w:p w14:paraId="1922A982" w14:textId="77777777" w:rsidR="006A61CD" w:rsidRPr="007224C3" w:rsidRDefault="006A61CD" w:rsidP="007224C3">
      <w:pPr>
        <w:spacing w:after="0" w:line="240" w:lineRule="auto"/>
        <w:jc w:val="both"/>
        <w:rPr>
          <w:rFonts w:ascii="Times New Roman" w:hAnsi="Times New Roman"/>
          <w:color w:val="0070C0"/>
          <w:sz w:val="16"/>
          <w:szCs w:val="16"/>
        </w:rPr>
      </w:pPr>
    </w:p>
    <w:p w14:paraId="665B78D9"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5E381A4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95458B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июня 1944 г Акт по государственным испытаниям Ил-10 АМ-42 был утвержден генералом А.И.Репиным (7489).</w:t>
      </w:r>
    </w:p>
    <w:p w14:paraId="23DCAFF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Машина была рекомендована для постановки серийного производства при условии устранения выявленных дефектов, связанных главным образом с ненадежной работой винтомоторной группы. В этой связи штурмовик был возвращен в ОКБ на завод № 240 для доводки (7489).</w:t>
      </w:r>
    </w:p>
    <w:p w14:paraId="64583D4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ходе доводочных работ на опытном Ил-10 подвижная установка стрелка ВУ-7 с пушкой Ш-20, ввиду задержки развертывания серийного выпуска последней, была заменена на установку ВУ-8 с пулеметом УБК, который уже давно устанавливался на боевых машинах (7489).</w:t>
      </w:r>
    </w:p>
    <w:p w14:paraId="2833816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F7C6CC" w14:textId="77777777" w:rsidR="00C074FF" w:rsidRPr="007224C3" w:rsidRDefault="00C074FF" w:rsidP="007224C3">
      <w:pPr>
        <w:spacing w:after="0" w:line="240" w:lineRule="auto"/>
        <w:jc w:val="both"/>
        <w:rPr>
          <w:rFonts w:ascii="Times New Roman" w:hAnsi="Times New Roman"/>
          <w:bCs/>
          <w:color w:val="000000" w:themeColor="text1"/>
          <w:sz w:val="16"/>
          <w:szCs w:val="16"/>
        </w:rPr>
      </w:pPr>
      <w:r w:rsidRPr="007224C3">
        <w:rPr>
          <w:rFonts w:ascii="Times New Roman" w:hAnsi="Times New Roman"/>
          <w:bCs/>
          <w:color w:val="000000" w:themeColor="text1"/>
          <w:sz w:val="16"/>
          <w:szCs w:val="16"/>
        </w:rPr>
        <w:t>9 июня</w:t>
      </w:r>
      <w:r w:rsidRPr="007224C3">
        <w:rPr>
          <w:rFonts w:ascii="Times New Roman" w:hAnsi="Times New Roman"/>
          <w:color w:val="000000" w:themeColor="text1"/>
          <w:sz w:val="16"/>
          <w:szCs w:val="16"/>
        </w:rPr>
        <w:t xml:space="preserve"> в 1944 году ГИ ВВС РККА генералом А.И.Репиным утвержден Акт по государственным испытаниям </w:t>
      </w:r>
      <w:hyperlink r:id="rId169" w:tgtFrame="_blank" w:history="1">
        <w:r w:rsidRPr="007224C3">
          <w:rPr>
            <w:rFonts w:ascii="Times New Roman" w:hAnsi="Times New Roman"/>
            <w:color w:val="000000" w:themeColor="text1"/>
            <w:sz w:val="16"/>
            <w:szCs w:val="16"/>
          </w:rPr>
          <w:t xml:space="preserve">«Ил-10» </w:t>
        </w:r>
      </w:hyperlink>
      <w:r w:rsidRPr="007224C3">
        <w:rPr>
          <w:rFonts w:ascii="Times New Roman" w:hAnsi="Times New Roman"/>
          <w:color w:val="000000" w:themeColor="text1"/>
          <w:sz w:val="16"/>
          <w:szCs w:val="16"/>
        </w:rPr>
        <w:t>«АМ-42». По мнению А.Долгова и летчиков облета ГК НИИ ВВС (А.Синельникова, М.Субботина, А.Живописцева и Г.Тинякова), новый штурмовик "по технике пилотирования прост и не требует специального переучивания для перехода на него летчиков, летающих на серийных самолетах «Ил-2». Устойчивость и управляемость хорошие. Путевая устойчивость несколько велика. Нагрузки от рулей нормальные по величине и направлению. Нагрузки от рулей высоты несколько велики. На рулежке устойчивость самолета недостаточна". В выводах акта по результатам госиспытаний Ил-10 от 03.06.44 г. отмечалось, что "самолёт «Ил-10», по сравнению с «Ил-2», несмотря на ухудшение взлетно-посадочных свойств, имеет явное преимущество, в частности, максимальная скорость больше: у земли на 123 км/ч, на границе высотности на 147 км/ч. Время набора высоты 3000 м меньше на 3 мин Дальность горизонтального полета на высоте 500 м возросла на 120 км Высокая скорость полета, хорошая устойчивость и управляемость при аналогичном с самолетом «Ил-2» оружии активного нападения позволяют самолету «Ил-10» более эффективно осуществлять штурмовые действия, а повышенная обороноспособность и лучшее бронирование способствуют большему эффекту при ведении воздушного боя с истребителями противника. В эксплуатации самолет прост, его производство может базироваться на технологии серийного производства «Ил-2». Самолет «Ил-10» является классическим образцом самолета-штурмовика"</w:t>
      </w:r>
    </w:p>
    <w:p w14:paraId="6E926868" w14:textId="77777777" w:rsidR="00C074FF" w:rsidRPr="007224C3" w:rsidRDefault="00C074FF" w:rsidP="007224C3">
      <w:pPr>
        <w:spacing w:after="0" w:line="240" w:lineRule="auto"/>
        <w:jc w:val="both"/>
        <w:rPr>
          <w:rFonts w:ascii="Times New Roman" w:hAnsi="Times New Roman"/>
          <w:bCs/>
          <w:color w:val="000000" w:themeColor="text1"/>
          <w:sz w:val="16"/>
          <w:szCs w:val="16"/>
        </w:rPr>
      </w:pPr>
    </w:p>
    <w:p w14:paraId="01BC57F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июня 1944 закончились гос. испытания и был запущен в серию Ил-10 (438,907).</w:t>
      </w:r>
    </w:p>
    <w:p w14:paraId="318868A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232C5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июня 1944 ГИ ВВС КА г-п ИАС А.Репин подписал "Акт по результатам гос. испытаний опытного двухместного бронированного штурмовика Ил-10 с мотором АМ-42 и винтом АВ-5Л-24 конструкции С.В.И." (производство завода 18, сборка завода 240) (Тема N 15 - 1944). Ви и-м П.Т.Аброщенко, Пом. ви и-к С.Г.Фролов, Вл пп А.К.Долгов (1866)</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5106D0" w:rsidRPr="007224C3" w14:paraId="5028F297" w14:textId="77777777">
        <w:tc>
          <w:tcPr>
            <w:tcW w:w="3757" w:type="dxa"/>
          </w:tcPr>
          <w:p w14:paraId="3569623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 скорость у земли</w:t>
            </w:r>
          </w:p>
        </w:tc>
        <w:tc>
          <w:tcPr>
            <w:tcW w:w="3757" w:type="dxa"/>
          </w:tcPr>
          <w:p w14:paraId="26E8E86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507 км/час</w:t>
            </w:r>
          </w:p>
        </w:tc>
      </w:tr>
      <w:tr w:rsidR="005106D0" w:rsidRPr="007224C3" w14:paraId="26149949" w14:textId="77777777">
        <w:tc>
          <w:tcPr>
            <w:tcW w:w="3757" w:type="dxa"/>
          </w:tcPr>
          <w:p w14:paraId="4DEF5AA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 скорость на 2800 м</w:t>
            </w:r>
          </w:p>
        </w:tc>
        <w:tc>
          <w:tcPr>
            <w:tcW w:w="3757" w:type="dxa"/>
          </w:tcPr>
          <w:p w14:paraId="7275A3A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551 км/час</w:t>
            </w:r>
          </w:p>
        </w:tc>
      </w:tr>
      <w:tr w:rsidR="005106D0" w:rsidRPr="007224C3" w14:paraId="7DAA4A5E" w14:textId="77777777">
        <w:tc>
          <w:tcPr>
            <w:tcW w:w="3757" w:type="dxa"/>
          </w:tcPr>
          <w:p w14:paraId="7F4947F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Время подъема на 3000 м</w:t>
            </w:r>
          </w:p>
        </w:tc>
        <w:tc>
          <w:tcPr>
            <w:tcW w:w="3757" w:type="dxa"/>
          </w:tcPr>
          <w:p w14:paraId="395B467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 м</w:t>
            </w:r>
          </w:p>
        </w:tc>
      </w:tr>
      <w:tr w:rsidR="005106D0" w:rsidRPr="007224C3" w14:paraId="0CD5A284" w14:textId="77777777">
        <w:tc>
          <w:tcPr>
            <w:tcW w:w="3757" w:type="dxa"/>
          </w:tcPr>
          <w:p w14:paraId="08F3F8E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Потолок</w:t>
            </w:r>
          </w:p>
        </w:tc>
        <w:tc>
          <w:tcPr>
            <w:tcW w:w="3757" w:type="dxa"/>
          </w:tcPr>
          <w:p w14:paraId="129F859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7480 м</w:t>
            </w:r>
          </w:p>
        </w:tc>
      </w:tr>
      <w:tr w:rsidR="005106D0" w:rsidRPr="007224C3" w14:paraId="00D47B6A" w14:textId="77777777">
        <w:tc>
          <w:tcPr>
            <w:tcW w:w="3757" w:type="dxa"/>
          </w:tcPr>
          <w:p w14:paraId="7AC86A8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Дальность полета с 400 кг</w:t>
            </w:r>
          </w:p>
        </w:tc>
        <w:tc>
          <w:tcPr>
            <w:tcW w:w="3757" w:type="dxa"/>
          </w:tcPr>
          <w:p w14:paraId="75ACCA2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53FFCE3" w14:textId="77777777">
        <w:tc>
          <w:tcPr>
            <w:tcW w:w="3757" w:type="dxa"/>
          </w:tcPr>
          <w:p w14:paraId="728F300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бомб на 0.62 макс.</w:t>
            </w:r>
          </w:p>
        </w:tc>
        <w:tc>
          <w:tcPr>
            <w:tcW w:w="3757" w:type="dxa"/>
          </w:tcPr>
          <w:p w14:paraId="7A316D6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800 км</w:t>
            </w:r>
          </w:p>
        </w:tc>
      </w:tr>
      <w:tr w:rsidR="005106D0" w:rsidRPr="007224C3" w14:paraId="3C455D9E" w14:textId="77777777">
        <w:tc>
          <w:tcPr>
            <w:tcW w:w="3757" w:type="dxa"/>
          </w:tcPr>
          <w:p w14:paraId="12D567E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Полетный вес с 400 кг бомб</w:t>
            </w:r>
          </w:p>
        </w:tc>
        <w:tc>
          <w:tcPr>
            <w:tcW w:w="3757" w:type="dxa"/>
          </w:tcPr>
          <w:p w14:paraId="2000082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6335 кг</w:t>
            </w:r>
          </w:p>
        </w:tc>
      </w:tr>
      <w:tr w:rsidR="005106D0" w:rsidRPr="007224C3" w14:paraId="093C4A37" w14:textId="77777777">
        <w:tc>
          <w:tcPr>
            <w:tcW w:w="3757" w:type="dxa"/>
          </w:tcPr>
          <w:p w14:paraId="4C2538A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600 кг</w:t>
            </w:r>
          </w:p>
        </w:tc>
        <w:tc>
          <w:tcPr>
            <w:tcW w:w="3757" w:type="dxa"/>
          </w:tcPr>
          <w:p w14:paraId="4AFA8E9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6535 кг</w:t>
            </w:r>
          </w:p>
        </w:tc>
      </w:tr>
      <w:tr w:rsidR="005106D0" w:rsidRPr="007224C3" w14:paraId="3375B5F3" w14:textId="77777777">
        <w:tc>
          <w:tcPr>
            <w:tcW w:w="3757" w:type="dxa"/>
          </w:tcPr>
          <w:p w14:paraId="68F7C4E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Экипаж</w:t>
            </w:r>
          </w:p>
        </w:tc>
        <w:tc>
          <w:tcPr>
            <w:tcW w:w="3757" w:type="dxa"/>
          </w:tcPr>
          <w:p w14:paraId="044A5A4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tc>
      </w:tr>
      <w:tr w:rsidR="005106D0" w:rsidRPr="007224C3" w14:paraId="1B1BF079" w14:textId="77777777">
        <w:tc>
          <w:tcPr>
            <w:tcW w:w="3757" w:type="dxa"/>
          </w:tcPr>
          <w:p w14:paraId="45D1FD8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Бомбовая нагрузка</w:t>
            </w:r>
          </w:p>
        </w:tc>
        <w:tc>
          <w:tcPr>
            <w:tcW w:w="3757" w:type="dxa"/>
          </w:tcPr>
          <w:p w14:paraId="23F8CEA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400/600</w:t>
            </w:r>
          </w:p>
        </w:tc>
      </w:tr>
      <w:tr w:rsidR="005106D0" w:rsidRPr="007224C3" w14:paraId="4498543A" w14:textId="77777777">
        <w:tc>
          <w:tcPr>
            <w:tcW w:w="3757" w:type="dxa"/>
          </w:tcPr>
          <w:p w14:paraId="19E520B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Вооружение:</w:t>
            </w:r>
          </w:p>
        </w:tc>
        <w:tc>
          <w:tcPr>
            <w:tcW w:w="3757" w:type="dxa"/>
          </w:tcPr>
          <w:p w14:paraId="062495E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838A2B6" w14:textId="77777777">
        <w:tc>
          <w:tcPr>
            <w:tcW w:w="3757" w:type="dxa"/>
          </w:tcPr>
          <w:p w14:paraId="22E4189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вперед</w:t>
            </w:r>
          </w:p>
        </w:tc>
        <w:tc>
          <w:tcPr>
            <w:tcW w:w="3757" w:type="dxa"/>
          </w:tcPr>
          <w:p w14:paraId="238FA1A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2х762 мм</w:t>
            </w:r>
          </w:p>
        </w:tc>
      </w:tr>
      <w:tr w:rsidR="005106D0" w:rsidRPr="007224C3" w14:paraId="6C5695A4" w14:textId="77777777">
        <w:tc>
          <w:tcPr>
            <w:tcW w:w="3757" w:type="dxa"/>
          </w:tcPr>
          <w:p w14:paraId="0FC6F85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5F30C08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2х23 мм</w:t>
            </w:r>
          </w:p>
        </w:tc>
      </w:tr>
      <w:tr w:rsidR="005106D0" w:rsidRPr="007224C3" w14:paraId="78E3489E" w14:textId="77777777">
        <w:tc>
          <w:tcPr>
            <w:tcW w:w="3757" w:type="dxa"/>
          </w:tcPr>
          <w:p w14:paraId="50B7A0E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назад</w:t>
            </w:r>
          </w:p>
        </w:tc>
        <w:tc>
          <w:tcPr>
            <w:tcW w:w="3757" w:type="dxa"/>
          </w:tcPr>
          <w:p w14:paraId="2FA570C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1х12.7 мм (1880,165)</w:t>
            </w:r>
          </w:p>
        </w:tc>
      </w:tr>
    </w:tbl>
    <w:p w14:paraId="4265D18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250DAD" w14:textId="77777777" w:rsidR="00D54008" w:rsidRPr="007224C3" w:rsidRDefault="00D54008"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 xml:space="preserve">9 июня 1944 года Акт по государственным испытаниям самолета Ил-10 был утвержден главным инженером ВВС генерал-полковником А. К. Репиным. Самолет был возвращен на завод № 240 для замены мотора, выработавшего ресурс, и устранения дефектов. После этого предлагалось вновь предъявить самолет в </w:t>
      </w:r>
      <w:r w:rsidRPr="007224C3">
        <w:rPr>
          <w:rStyle w:val="BodytextSpacing-1pt"/>
          <w:rFonts w:eastAsiaTheme="minorHAnsi"/>
          <w:color w:val="000000" w:themeColor="text1"/>
          <w:spacing w:val="0"/>
          <w:sz w:val="16"/>
          <w:szCs w:val="16"/>
        </w:rPr>
        <w:t>НИИ</w:t>
      </w:r>
      <w:r w:rsidRPr="007224C3">
        <w:rPr>
          <w:rStyle w:val="77"/>
          <w:rFonts w:eastAsiaTheme="minorHAnsi"/>
          <w:color w:val="000000" w:themeColor="text1"/>
          <w:sz w:val="16"/>
          <w:szCs w:val="16"/>
        </w:rPr>
        <w:t xml:space="preserve"> ВВС для производства дополнительных испытаний.</w:t>
      </w:r>
    </w:p>
    <w:p w14:paraId="438A7E90" w14:textId="77777777" w:rsidR="00D54008" w:rsidRPr="007224C3" w:rsidRDefault="00D54008"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В списке рассылки акта значились: А. И. Шахурин, генерал-полковник Н С. Шиманов - ЦК ВКП (б), генерал-полковник А. К. Репин, генерал-лейтенант Н П. Селезнев - начальник ГУЗ ВВС, начальники 7-го и 10-го ГУ НКАП, начальник ЛИИ НКАП профессор А. В. Чесалов и С. В. Ильюшин.</w:t>
      </w:r>
    </w:p>
    <w:p w14:paraId="3326368D" w14:textId="77777777" w:rsidR="00D54008" w:rsidRPr="007224C3" w:rsidRDefault="00D54008"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К этому времени уже завершились государственные испытания штурмовика Ил-8 АМ-42 и были получены основные летные данные опытного самолета Су-6 АМ-42.</w:t>
      </w:r>
    </w:p>
    <w:p w14:paraId="5C0789B3" w14:textId="77777777" w:rsidR="00D54008" w:rsidRPr="007224C3" w:rsidRDefault="00D54008"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Таким образом, и военным, и НКАП, и руководству страны было из чего выбирать. Поначалу сравнение опытных боевых самолетов проводилось между Ил-8 и Су-6, затем к ним «присоединили» Ил-10.</w:t>
      </w:r>
    </w:p>
    <w:p w14:paraId="283A86FF" w14:textId="77777777" w:rsidR="00D54008" w:rsidRPr="007224C3" w:rsidRDefault="00D54008"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Отмечалось, что Ил-8 при худших скоростных данных, маневренности и скороподъемности имеет существенное преимущество при использовании его в качестве дневного бомбардировщика. Самолет допускал подвеску под крылом двух бомб ФАБ -500. Для действий по хорошо укрепленным оборонительным районам и трудноуязвимым целям это было важно. По технике пилотирования Ил-8 уступал своим конкурентам, но незначительно.</w:t>
      </w:r>
    </w:p>
    <w:p w14:paraId="6859BED9" w14:textId="77777777" w:rsidR="00D54008" w:rsidRPr="007224C3" w:rsidRDefault="00D54008"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Необходимо подчеркнуть, что при одинаковой боевой нагрузке 600 кг взлетный вес Ил-8 получился на 1000 кг больше, чем у Су-6 с АМ-42, то есть весовая отдача самолета была существенно ниже. По этому показателю Су-6 превосходил и Ил-10, взлетный вес которого с 600 кг бомб составлял 6500 кг, на 300 кг превышая вес машины Сухого.</w:t>
      </w:r>
    </w:p>
    <w:p w14:paraId="55FB7F58" w14:textId="77777777" w:rsidR="00D54008" w:rsidRPr="007224C3" w:rsidRDefault="00D54008"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Дальность полета на высоте 1000 м при скорости 308 км/ч у Ил-8 составляла 980 км (с баком на 1020 л), а у Су-6 и Ил-10 - по 790 км, при скорости полета 339 и 330 км/ч соответственно. Причем дальность для Су-6 была получена путем расчета по замеренному при испытаниях расходу топлива.</w:t>
      </w:r>
    </w:p>
    <w:p w14:paraId="2C513E1E" w14:textId="77777777" w:rsidR="00D54008" w:rsidRPr="007224C3" w:rsidRDefault="00D54008"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Однако здесь следует учитывать, что установленный на Су -6 мотор имел невыгодную регулировку с точки зрения расхода топлива: топливная смесь была переобогащенной. С «нормальным» мотором результаты по дальности полета должны быть выше - сопоставимые с Ил-8.</w:t>
      </w:r>
    </w:p>
    <w:p w14:paraId="43C8D4FF" w14:textId="77777777" w:rsidR="00D54008" w:rsidRPr="007224C3" w:rsidRDefault="00D54008"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Согласно аэродинамическому расчету самолета Су-6 АМ-42, выполненному в ОКБ Сухого на основе фактических летных данных Су-6 с М-71ф, полученных в ходе государственных испытаний, максимальная дальность полета на высоте 1000 м оценивалась в 1025 км при скорости полета 341 км/ч.</w:t>
      </w:r>
    </w:p>
    <w:p w14:paraId="0AA01B26" w14:textId="77777777" w:rsidR="00D54008" w:rsidRPr="007224C3" w:rsidRDefault="00D54008"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Качество этих расчетов характеризуется следующими цифрами. Максимальная скорость полета Су-6 АМ-42 у земли, замеренная при испытании, составила 492 км/ч, а по расчету получилась равной 490 км/ч.</w:t>
      </w:r>
    </w:p>
    <w:p w14:paraId="3B3E327C" w14:textId="77777777" w:rsidR="00D54008" w:rsidRPr="007224C3" w:rsidRDefault="00D54008"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Сравнение летных свойств Су-6 и Ил-10 оказалось не в пользу первого. По большинству определяющих характеристик «сухой» уступал «десятке». При полетном весе 6300 кг Ил-10 превосходил Су-6 с полетным весом 6200 кг по горизонтальной скорости почти на всех высотах боевого применения на 10-20 км/ч (в зависимости от состава вооружения Су-6 - с пушками 11П или ВЯ). По скороподъемности на «рабочих» высотах Су-6 также проигрывал «десятке», хотя и незначительно. Маневренность самолетов в горизонтальной плоскости оценивалась примерно равной, но Ил-10 имел небольшое преимущество из-за несколько меньшей нагрузки на крыло.</w:t>
      </w:r>
    </w:p>
    <w:p w14:paraId="5C2382EE" w14:textId="77777777" w:rsidR="00D54008" w:rsidRPr="007224C3" w:rsidRDefault="00D54008"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Ведущий летчик по самолету генерал-майор А. И. Кабанов отмечал, что «по сравнению с однотипным самолетом Ил-10, в летном отношении самолет Су-6 преимуществ не имеет. Самолет Ил-10 более приятен и прост в пилотировании, чем самолет Су-6, а главное, прост на взлете и посадке».</w:t>
      </w:r>
    </w:p>
    <w:p w14:paraId="5962D407" w14:textId="77777777" w:rsidR="00D54008" w:rsidRPr="007224C3" w:rsidRDefault="00D54008"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По мнению второго ведущего летчика инженер -майора А. В. Синельникова, Су-6 в сравнении с Ил-10 «а) несколько сложней в технике пилотирования (главным образом на взлете и посадке); б) имеет худшую управляемость; в) обладает более низкими летными данными».</w:t>
      </w:r>
    </w:p>
    <w:p w14:paraId="3F6CFC24" w14:textId="77777777" w:rsidR="00D54008" w:rsidRPr="007224C3" w:rsidRDefault="00D54008"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Штурман-испытатель 5-го отдела 1-го управления института капитан Ковынев указывал: «Кабина стрелка, как по своим габаритам, бронированию, так же как и удобству работы в ней, является лучшей кабиной среди имеющихся штурмовиков».</w:t>
      </w:r>
    </w:p>
    <w:p w14:paraId="5311C49F" w14:textId="77777777" w:rsidR="00D54008" w:rsidRPr="007224C3" w:rsidRDefault="00D54008"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Итоговый вывод сводился к тому, что по своим летным данным, технике пилотирования и управляемости Су -6 уступает Ил-10. К тому же Су-6 АМ-42 формально государственных испытаний не прошел. Это обстоятельство сыграло далеко не последнюю роль в принятии решения о постановке Ил-10 АМ-42 на снабжение ВВС КА.</w:t>
      </w:r>
    </w:p>
    <w:p w14:paraId="6BB0F5E7" w14:textId="77777777" w:rsidR="00D54008" w:rsidRPr="007224C3" w:rsidRDefault="00D54008"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В отличие от Су-6 с мотором М-71ф на машине с АМ-42 отсутствовали автоматические предкрылки. Дело в том, что в ходе госиспытаний отмечался несколько неравномерный выход предкрылков, и военные потребовали их доработать либо снять. Поэтому с целью экономии времени решили ограничиться установкой на крыле только щитков Шренка, а предкрылки внедрить на втором экземпляре Су-6 с АМ-42. Учитывая, что ни Ил-8, ни Ил-10 автоматическими предкрылками не оснащались, это был явный «шаг назад», так как серьезно уменьшал главное преимущество Су-6 - отличные маневренность и управляемость на больших углах атаки. Это и произошло. При сопоставимых в целом летных данных преимущество Су-6 в управляемости и устойчивости было утеряно.</w:t>
      </w:r>
    </w:p>
    <w:p w14:paraId="7ED69F91" w14:textId="77777777" w:rsidR="00D54008" w:rsidRPr="007224C3" w:rsidRDefault="00D54008"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Здесь стоит указать на некоторую некорректность проведенного в НИИ ВВС сравнения летных данных опытных самолетов.</w:t>
      </w:r>
    </w:p>
    <w:p w14:paraId="0AB4793C" w14:textId="77777777" w:rsidR="00D54008" w:rsidRPr="007224C3" w:rsidRDefault="00D54008"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Не были приняты во внимание такие показатели самолетов, как средняя скорость установившегося пикирования и значение маневренной перегрузки, хотя к этому времени в НИИ ВВС уже были выполнены соответствующие теоретические и практические работы по обоснованию важности этих характеристик для боевых самолетов.</w:t>
      </w:r>
    </w:p>
    <w:p w14:paraId="489BBA81" w14:textId="77777777" w:rsidR="00D54008" w:rsidRPr="007224C3" w:rsidRDefault="00D54008" w:rsidP="007224C3">
      <w:pPr>
        <w:spacing w:after="0" w:line="240" w:lineRule="auto"/>
        <w:jc w:val="both"/>
        <w:rPr>
          <w:rStyle w:val="77"/>
          <w:rFonts w:eastAsiaTheme="minorHAnsi"/>
          <w:color w:val="000000" w:themeColor="text1"/>
          <w:sz w:val="16"/>
          <w:szCs w:val="16"/>
        </w:rPr>
      </w:pPr>
      <w:r w:rsidRPr="007224C3">
        <w:rPr>
          <w:rStyle w:val="77"/>
          <w:rFonts w:eastAsiaTheme="minorHAnsi"/>
          <w:color w:val="000000" w:themeColor="text1"/>
          <w:sz w:val="16"/>
          <w:szCs w:val="16"/>
        </w:rPr>
        <w:t>Как известно, чем меньше скорость самолета-штурмовика на пикировании, тем лучшие условия создаются при стрельбе из пушек и бомбометанию по наземным целям, а более высокие средние значения маневренной перегрузки позволяют выполнять боевое маневрирование с меньшей потерей энергии и с меньшим пространственным размахом, повысить эффективность противозенитного маневра и т. д.</w:t>
      </w:r>
    </w:p>
    <w:p w14:paraId="194EBA30" w14:textId="77777777" w:rsidR="00D54008" w:rsidRPr="007224C3" w:rsidRDefault="00D54008"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Если провести сравнение по этим показателям, то получается следующая картина: Су-6 незначительно (на 2-6 %) превосходил Ил-10 по маневренной перегрузке и скорости пикирования, а Ил-8 имел некоторое преимущество перед Су-6 и Ил-10 в скорости пикирования (на 11-17 %), но проигрывал им в значении маневренной перегрузки (на 13-15 %).</w:t>
      </w:r>
    </w:p>
    <w:p w14:paraId="7C49764F" w14:textId="77777777" w:rsidR="00D54008" w:rsidRPr="007224C3" w:rsidRDefault="00D54008"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 xml:space="preserve">В ходе государственных испытаний бомбовая нагрузка Су-6 и Ил-8 составляла 600 кг, а Ил-10 - 400 кг. С уменьшенной на 200 кг бомбовой нагрузкой удельные параметры Су-6 и Ил-8 становились заметно выше (нагрузка на крыло - 209,8 и 213,3 кг/м </w:t>
      </w:r>
      <w:r w:rsidRPr="007224C3">
        <w:rPr>
          <w:rStyle w:val="77"/>
          <w:rFonts w:eastAsiaTheme="minorHAnsi"/>
          <w:color w:val="000000" w:themeColor="text1"/>
          <w:sz w:val="16"/>
          <w:szCs w:val="16"/>
          <w:vertAlign w:val="superscript"/>
        </w:rPr>
        <w:t>2</w:t>
      </w:r>
      <w:r w:rsidRPr="007224C3">
        <w:rPr>
          <w:rStyle w:val="77"/>
          <w:rFonts w:eastAsiaTheme="minorHAnsi"/>
          <w:color w:val="000000" w:themeColor="text1"/>
          <w:sz w:val="16"/>
          <w:szCs w:val="16"/>
        </w:rPr>
        <w:t xml:space="preserve">, нагрузка на мощность - 3,0 и 3,53 кг/л. с. соответственно). Управляемость самолетов на взлете, посадке и при боевом маневрировании улучшалась. «Разрыв» между Су -6 и Ил-10 по маневренной перегрузке и скорости пикирования увеличивался еще более. «Восьмерка» получала дополнительное преимущество в скорости пикирования и несколько сокращала отставание от конкурентов по маневренной перегрузке. Если же «нагрузить» Ил-10 до отказа (600 кг), то сравнение с Су-6 по всем летным данным шло уже не в пользу первого - вертикальная и горизонтальная маневренность становилась хуже, равно как и управляемость (нагрузка на крыло - 212,3 кг/м </w:t>
      </w:r>
      <w:r w:rsidRPr="007224C3">
        <w:rPr>
          <w:rStyle w:val="77"/>
          <w:rFonts w:eastAsiaTheme="minorHAnsi"/>
          <w:color w:val="000000" w:themeColor="text1"/>
          <w:sz w:val="16"/>
          <w:szCs w:val="16"/>
          <w:vertAlign w:val="superscript"/>
        </w:rPr>
        <w:t>2</w:t>
      </w:r>
      <w:r w:rsidRPr="007224C3">
        <w:rPr>
          <w:rStyle w:val="77"/>
          <w:rFonts w:eastAsiaTheme="minorHAnsi"/>
          <w:color w:val="000000" w:themeColor="text1"/>
          <w:sz w:val="16"/>
          <w:szCs w:val="16"/>
        </w:rPr>
        <w:t>, нагрузка на мощность - 3,27 кг/л. с.). Резко усложнялась техника пилотирования, особенно на больших углах атаки. Не случайно при принятии решения о постановке Ил-10 на вооружение ВВС КА было особо оговорено ограничение нормального взлетного веса, который не должен был превышать 6300 кг.</w:t>
      </w:r>
    </w:p>
    <w:p w14:paraId="294CC1B7" w14:textId="77777777" w:rsidR="00D54008" w:rsidRPr="007224C3" w:rsidRDefault="00D54008"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Сегодня остается только догадываться, по каким причинам Су-6 с АМ-42 предъявили на государственные испытания в варианте с максимальной бомбовой нагрузкой (400 кг в варианте с пушками 11П и 600 кг - с пушками ВЯ). Удивляет другое, почему специалисты НИИ ВВС не провели дополнительные испытания Су-6 и в отчетные материалы не включили сравнительный анализ летных данных Су-6 и Ил-10 (как однотипных) с равной нагрузкой в 400 кг бомб (или 600 кг). Возможно, выводы отличались бы от тех, что появились в итоговом заключении.</w:t>
      </w:r>
    </w:p>
    <w:p w14:paraId="00B05DA1" w14:textId="77777777" w:rsidR="00D54008" w:rsidRPr="007224C3" w:rsidRDefault="00D54008"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Нет в документе и серьезного анализа боевых свойств Ил-8, Ил-10 и Су-6 (вооружение, прицельный комплекс, боевая живучесть, удобство и простота эксплуатации оружия и самолета). Хотя, казалось бы, именно возможности новых штурмовиков по поражению разнообразных целей на поле боя, их выживаемости в бою, а также подготовки к повторному вылету и должны были сравниваться в первую очередь.</w:t>
      </w:r>
    </w:p>
    <w:p w14:paraId="09049C4B" w14:textId="77777777" w:rsidR="00D54008" w:rsidRPr="007224C3" w:rsidRDefault="00D54008"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Действительно, с точки зрения общевойскового командира, важным является, ни с какой максимальной скоростью летает штурмовик, а какой ущерб штурмовик может нанести противнику при выполнении поставленной боевой задачи в интересах наземных войск. То есть ключевыми факторами являются состав и вес боевой нагрузки штурмовика (калибры и количество бомб, ракетных снарядов, пушечных и пулеметных стволов и боекомплекта к ним), эффективность применяемых боеприпасов при действии по конкретным целям, точность бомбометания и стрельбы.</w:t>
      </w:r>
    </w:p>
    <w:p w14:paraId="10ECA292" w14:textId="77777777" w:rsidR="00D54008" w:rsidRPr="007224C3" w:rsidRDefault="00D54008"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С другой стороны, штурмовик решает боевую задачу в условиях противодействия истребительной авиации и зенитной артиллерии противника. И с этих позиций приоритетными являются скорость, маневренность, эффективность оборонительного вооружения, боевая живучесть самолета и т. д.</w:t>
      </w:r>
    </w:p>
    <w:p w14:paraId="6125784B" w14:textId="77777777" w:rsidR="00D54008" w:rsidRPr="007224C3" w:rsidRDefault="00D54008" w:rsidP="007224C3">
      <w:pPr>
        <w:spacing w:after="0" w:line="240" w:lineRule="auto"/>
        <w:jc w:val="both"/>
        <w:rPr>
          <w:rStyle w:val="77"/>
          <w:rFonts w:eastAsiaTheme="minorHAnsi"/>
          <w:color w:val="000000" w:themeColor="text1"/>
          <w:sz w:val="16"/>
          <w:szCs w:val="16"/>
        </w:rPr>
      </w:pPr>
      <w:r w:rsidRPr="007224C3">
        <w:rPr>
          <w:rStyle w:val="77"/>
          <w:rFonts w:eastAsiaTheme="minorHAnsi"/>
          <w:color w:val="000000" w:themeColor="text1"/>
          <w:sz w:val="16"/>
          <w:szCs w:val="16"/>
        </w:rPr>
        <w:t>Если провести анализ эффективности системы вооружения самолетов, то оказывается, что вооружение Су -6 в большей степени соответствовало задачам непосредственной поддержки войск и распределению типовых наземных целей (артиллерия и минометы на позиции, автомашины, легкая бронетехника, пехота и т. д.), против которых приходилось действовать штурмовой авиации в ходе войны.</w:t>
      </w:r>
    </w:p>
    <w:p w14:paraId="7584AEBF" w14:textId="77777777" w:rsidR="00D54008" w:rsidRPr="007224C3" w:rsidRDefault="00D54008"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Боевой опыт показывал, что для обеспечения высокой вероятности поражения таких целей штурмовик должен нести максимально большое количество осколочных бомб калибра 25 и 50 кг, фугасных бомб калибра 50 кг, а также мелких осколочных и противотанковых бомб калибра 2,5 кг.</w:t>
      </w:r>
    </w:p>
    <w:p w14:paraId="7E30C148" w14:textId="77777777" w:rsidR="00D54008" w:rsidRPr="007224C3" w:rsidRDefault="00D54008"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С учетом этого бомбардировочное вооружение Ил-10 значительно уступало и Ил-8, и Су-6, возможности которых в этом отношении были примерно равными. «Восьмерка» и «сухой» несли больше мелких бомб: АО-2,5 сч - на 12 %, ПТАБ-2,5-1,5 - на 50 %, ПТАБ-10-2,5 - на 58 %, АО-25 сч - на 50 %, ФАБ-50 - на 33 %. Нормальная бомбовая нагрузка в 400 кг на Ил-10 обеспечивалась лишь при подвеске четырех бомб ФАБ-100. При том, что Су-6 и Ил-8 поднимали по шесть «соток».</w:t>
      </w:r>
    </w:p>
    <w:p w14:paraId="2F73D693" w14:textId="77777777" w:rsidR="00D54008" w:rsidRPr="007224C3" w:rsidRDefault="00D54008"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Заметным преимуществом бомбардировочного вооружения Ил-8 и Су-6 считалась загрузка бомб калибра до 100 кг прямо на створки бомбовых отсеков, что упрощало снаряжение самолета и сокращало время подготовки к боевому вылету.</w:t>
      </w:r>
    </w:p>
    <w:p w14:paraId="09FBA324" w14:textId="77777777" w:rsidR="00D54008" w:rsidRPr="007224C3" w:rsidRDefault="00D54008"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lastRenderedPageBreak/>
        <w:t>Поскольку специальным бомбардировочным прицелом ОПБ-1р, установленным на Ил-8, пользоваться все равно было нельзя (отсутствие обзора у штурмана и забрызгивание оптики прицела маслом), то возможности прицельных устройств на всех трех самолетах при бомбометании с горизонтального полета и пикирования можно считать равными (одинаково плохими).</w:t>
      </w:r>
    </w:p>
    <w:p w14:paraId="15AE5879" w14:textId="77777777" w:rsidR="00D54008" w:rsidRPr="007224C3" w:rsidRDefault="00D54008"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Стрелково-пушечное вооружение «десятки» и «восьмерки» было таким же, как и у Ил-2 последних серий и Су-6 с пушками ВЯ, но уступало тому же Су-6 с пушками 11П калибра 37 мм.</w:t>
      </w:r>
    </w:p>
    <w:p w14:paraId="5C84DCDE" w14:textId="77777777" w:rsidR="00D54008" w:rsidRPr="007224C3" w:rsidRDefault="00D54008"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Если к этому добавить, что на Ил-10 и Ил-8 не предусматривалось ракетное оружие, то эффективность «десятки» и «восьмерки» при действиях по типовым наземным целям была даже ниже, чем у двухместного Ил-2, имевшего четыре ракетных орудия РО-82, не говоря уже о Су-6, на котором устанавливались 6 РО-132.</w:t>
      </w:r>
    </w:p>
    <w:p w14:paraId="701A125A" w14:textId="77777777" w:rsidR="00D54008" w:rsidRPr="007224C3" w:rsidRDefault="00D54008"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Надо полагать, отсутствие ракетных орудий на «илах» явилось все же следствием не столько определенных «настроений» среди военных, сколько желанием ОКБ-240 получить максимальные летные данные самолетов, которые, безусловно, улучшались без подвески реактивных снарядов (выигрыш в скорости составлял как минимум 8-9 км/ч).</w:t>
      </w:r>
    </w:p>
    <w:p w14:paraId="333F0181" w14:textId="77777777" w:rsidR="00D54008" w:rsidRPr="007224C3" w:rsidRDefault="00D54008"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К достоинству систем вооружения Ил-10 и Ил-8 следует отнести оборонительные стрелковые установки ВУ-7 и ВУ-8, обеспечивавшие более широкий сектор стрельбы по сравнению с БЛУБ на Су-6. Кроме того, установка на ВУ-7 пушки Ш-20 заметно повышала ее эффективность в сравнении с ВУ-8 и БЛУБ, где стояли пулеметы УБК.</w:t>
      </w:r>
    </w:p>
    <w:p w14:paraId="1329809E" w14:textId="77777777" w:rsidR="00D54008" w:rsidRPr="007224C3" w:rsidRDefault="00D54008" w:rsidP="007224C3">
      <w:pPr>
        <w:spacing w:after="0" w:line="240" w:lineRule="auto"/>
        <w:jc w:val="both"/>
        <w:rPr>
          <w:rStyle w:val="77"/>
          <w:rFonts w:eastAsiaTheme="minorHAnsi"/>
          <w:color w:val="000000" w:themeColor="text1"/>
          <w:sz w:val="16"/>
          <w:szCs w:val="16"/>
        </w:rPr>
      </w:pPr>
      <w:r w:rsidRPr="007224C3">
        <w:rPr>
          <w:rStyle w:val="77"/>
          <w:rFonts w:eastAsiaTheme="minorHAnsi"/>
          <w:color w:val="000000" w:themeColor="text1"/>
          <w:sz w:val="16"/>
          <w:szCs w:val="16"/>
        </w:rPr>
        <w:t>Схемы бронирования самолетов в целом можно принять равноценными, но с некоторым преимуществом самолета Ил-10 в связи с применением на нем экранированной брони. Другое дело, что из-за недостатка времени в ОКБ Сухого спроектировали бронекапот с равной толщиной брони в 4 мм по всей поверхности. Специалисты НИИ ВВС вполне справедливо рекомендовали перераспределить броню более рационально. Однако стрелок на Су-6 был лучше защищен («за счет надголовника и прозрачной брони на блистерной установке») от огня со стороны верхней задней полусферы, чем на Ил-10 и Ил-8, на которых стрелки, несмотря почти на тонну брони, продолжали оставаться «голыми» по пояс.</w:t>
      </w:r>
    </w:p>
    <w:p w14:paraId="3A37DD34" w14:textId="77777777" w:rsidR="00D54008" w:rsidRPr="007224C3" w:rsidRDefault="00D54008"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 xml:space="preserve">Исходя из опыта боевого применения самолета Ил-2, крыло «восьмерки», где использовался тот же профиль, что и у «двойки», должно было обеспечить более высокие показатели живучести в бою в сравнении с Ил-10 и Су-6. В то же время выбранный для Ил-10 «истребительный» профиль крыла типа </w:t>
      </w:r>
      <w:r w:rsidRPr="007224C3">
        <w:rPr>
          <w:rStyle w:val="77"/>
          <w:rFonts w:eastAsiaTheme="minorHAnsi"/>
          <w:color w:val="000000" w:themeColor="text1"/>
          <w:sz w:val="16"/>
          <w:szCs w:val="16"/>
          <w:lang w:val="en-US"/>
        </w:rPr>
        <w:t>NACA</w:t>
      </w:r>
      <w:r w:rsidRPr="007224C3">
        <w:rPr>
          <w:rStyle w:val="77"/>
          <w:rFonts w:eastAsiaTheme="minorHAnsi"/>
          <w:color w:val="000000" w:themeColor="text1"/>
          <w:sz w:val="16"/>
          <w:szCs w:val="16"/>
        </w:rPr>
        <w:t xml:space="preserve"> оказался совершенно неудачным. Даже при небольших повреждениях крыла «десятка» теряла управляемость, и на вынужденных посадках самолеты бились. В ходе войсковых испытаний процент списанных штурмовиков Ил-10, поврежденных в бою и выполнивших вынужденные посадки, оказался в 2-2,5 раза выше, чем у Ил-2. Штурмовик Су-6 в боях не участвовал, но по аналогии с Ил-10 можно с уверенностью утверждать, что этот же недостаток - потеря крылом при повреждении обшивки своих несущих свойств - имел бы место и для «сухого».</w:t>
      </w:r>
    </w:p>
    <w:p w14:paraId="0C2DE963" w14:textId="77777777" w:rsidR="00D54008" w:rsidRPr="007224C3" w:rsidRDefault="00D54008"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Попутно отметим, что именно по этим причинам в 1951 году при создании штурмовика Ил-10М АМ-42, который представлял собой глубокую модернизацию «десятки», было разработано новое крыло, на котором вновь перешли к менее скоростному профилю крыла, как на само лете Ил-2. Живучесть оказалась превыше скорости.</w:t>
      </w:r>
    </w:p>
    <w:p w14:paraId="585F381B" w14:textId="77777777" w:rsidR="00D54008" w:rsidRPr="007224C3" w:rsidRDefault="00D54008"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Боевая живучесть ильюшинских машин оказывалась в значительной степени сниженной и по причине отсутствия на них системы заполнения бензобаков нейтральным газом. На Су-6 такая система имелась и работала нормально.</w:t>
      </w:r>
    </w:p>
    <w:p w14:paraId="57F8460A" w14:textId="77777777" w:rsidR="00D54008" w:rsidRPr="007224C3" w:rsidRDefault="00D54008"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Кроме этого, в отличие от Су-6 и Ил-8, на Ил-10 не было предусмотрено дублирование в системе управления самолетом, в первую очередь рулями высоты и направления. Это серьезно снижало боевую живучесть самолета.</w:t>
      </w:r>
    </w:p>
    <w:p w14:paraId="6AA3CC7D" w14:textId="77777777" w:rsidR="00D54008" w:rsidRPr="007224C3" w:rsidRDefault="00D54008"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К достоинству Ил-8 и Ил-10 следует отнести применение на них воздушной системы выпуска и уборки шасси, которая в пожарном отношении была лучше гидравлической системы, стоявшей на Су-6.</w:t>
      </w:r>
    </w:p>
    <w:p w14:paraId="28E8D5F7" w14:textId="77777777" w:rsidR="00D54008" w:rsidRPr="007224C3" w:rsidRDefault="00D54008"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Таким образом, получается так, что фактически единственное преимущество Ил-10 в бою перед Су-6 на тот момент заключалось в его более высокой подвижности и обороноспособности.</w:t>
      </w:r>
    </w:p>
    <w:p w14:paraId="0765368E" w14:textId="77777777" w:rsidR="00D54008" w:rsidRPr="007224C3" w:rsidRDefault="00D54008"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К сожалению, в то время задача достижения конкретных показателей боевой эффективности в требованиях к перспективным самолетам не ставилась, поскольку представление о них у большинства специалистов ВВС, НКАП и авиационных НИИ было весьма смутным. Если оценивать конкурировавшие машины по современным методикам, то можно сделать неутешительный вывод: на вооружение ВВС приняли далеко не с амую удачную из них. Лучшим по боевой эффективности из числа самолетов поля боя, прошедших испытания весной - летом 1944 года, при решении задач авиационной поддержки войск (в обороне и в наступлении) был штурмовик Су -6 АМ-42 с 37-мм пушками 11П. При сопоставимых с Ил-10 летных и маневренных данных «сухой» имел преимущества по своему вооружению и почти в 1,6 раза превосходил «десятку» по боевой эффективности.</w:t>
      </w:r>
    </w:p>
    <w:p w14:paraId="50EAA68C" w14:textId="77777777" w:rsidR="00D54008" w:rsidRPr="007224C3" w:rsidRDefault="00D54008"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Однако важным преимуществом Ил-10 перед Су-6 была относительная простота налаживания его массового производства - сказывалась преемственность по технологии и многим принципиальным решениям с Ил-2. Во всяком случае, так в то время считали. Скорее всего, это и оказалось решающим фактором.</w:t>
      </w:r>
    </w:p>
    <w:p w14:paraId="55043534" w14:textId="77777777" w:rsidR="00D54008" w:rsidRPr="007224C3" w:rsidRDefault="00D54008"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Кроме этого, на мнение ВВС определенную роль, несомненно, повлияла и вышеупомянутая позиция НКАП в отношении «удобства» запуска в серию самолета Ил-8 и мотора АМ-42. Военные все же пошли на некоторые уступки наркомату авиапромышленности. Как тогда казалось, из двух зол выбрали меньшее.</w:t>
      </w:r>
    </w:p>
    <w:p w14:paraId="1D79FEC2" w14:textId="77777777" w:rsidR="00D54008" w:rsidRPr="007224C3" w:rsidRDefault="00D54008"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Здесь необходимо иметь в виду, что взаимоотношения ВВС и НКАП на протяжении всей войны представляли собой весьма сложный сгусток противоречий и компромиссов практически по всем вопросам опытного и серийного самолето - и моторостроения.</w:t>
      </w:r>
    </w:p>
    <w:p w14:paraId="6C2F1D69" w14:textId="77777777" w:rsidR="00D54008" w:rsidRPr="007224C3" w:rsidRDefault="00D54008"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Действительно, требуя от НКАП подачи на вооружение хорошо доведенных самолетов, полностью отвечающих предъявляемым к ним требованиям, руководство ВВС и НИИ ВВС рисковали получить в свой адрес обвинения, будто бы они специально затягивают переоснащение ВВС современной авиационной техникой. Если же принимать все, что производилось НКАП, то в случае обнаружения в строевых частях серьезных недостатков или дефектов матчасти можно было с уверенностью ожидать обвинений в постановке на вооружение заведомо негодных боевых самолетов. Весной 1944 года еще были свежи в памяти события годичной давности, когда в авиачастях действующей армии выявился массовый дефект обшивки самолетов. Тогда удалось доказать, что основная вина лежит все же на промышленности - при расследовании были выявлены серьезные нарушения технологии на авиазаводах и отсутствие должного контроля качества на всех технологических этапах производства самолетов.</w:t>
      </w:r>
    </w:p>
    <w:p w14:paraId="6688232D" w14:textId="77777777" w:rsidR="00D54008" w:rsidRPr="007224C3" w:rsidRDefault="00D54008"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Вот и приходилось военным проявлять исключительную осторожность, дипломатичность и договариваться с НКАП по большинству вопросов. При этом старались «не выносить сор из избы», так как оба ведомства прекрасно понимали, что в их работе имеются серьезные упущения и в случае скандала все это может аукнуться вполне конкретными последствиями. К тому же некоторые специалисты попросту предпочитали «не высовываться».</w:t>
      </w:r>
    </w:p>
    <w:p w14:paraId="0FBA740E" w14:textId="77777777" w:rsidR="00D54008" w:rsidRPr="007224C3" w:rsidRDefault="00D54008"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Отметим, что в ходе доводки Ил-10 подвижную установку ВУ-7 с пушкой Ш-20 заменили на ВУ-8 с пулеметом УБК. Оборонительные возможности самолета понизились до уровня Ил-8 и Су-6.</w:t>
      </w:r>
    </w:p>
    <w:p w14:paraId="7F02F67A" w14:textId="77777777" w:rsidR="00D54008" w:rsidRPr="007224C3" w:rsidRDefault="00D54008" w:rsidP="007224C3">
      <w:pPr>
        <w:spacing w:after="0" w:line="240" w:lineRule="auto"/>
        <w:jc w:val="both"/>
        <w:rPr>
          <w:rFonts w:ascii="Times New Roman" w:hAnsi="Times New Roman"/>
          <w:color w:val="000000" w:themeColor="text1"/>
          <w:sz w:val="16"/>
          <w:szCs w:val="16"/>
        </w:rPr>
      </w:pPr>
      <w:r w:rsidRPr="007224C3">
        <w:rPr>
          <w:rStyle w:val="77"/>
          <w:rFonts w:eastAsiaTheme="minorHAnsi"/>
          <w:color w:val="000000" w:themeColor="text1"/>
          <w:sz w:val="16"/>
          <w:szCs w:val="16"/>
        </w:rPr>
        <w:t>Пушка Ш-20 была опытной и в плане постановки на вооружение конкурировала с пушками Б-20 (М Е. Березин) и В-20 (С. В. Владимиров). После сравнительных испытаний постановлением ГКО № 6681сс от 10 октября 1944 г. на снабжение ВВС КА приняли пушку Б-20. В дальнейшем в ОКБ-240 была сконструирована подвижная установка ВУ-9 с пушкой Б-20 и затем внедрена на Ил-10. Но это было уже после войны.</w:t>
      </w:r>
    </w:p>
    <w:p w14:paraId="2FB6ABC5" w14:textId="77777777" w:rsidR="00D54008" w:rsidRPr="007224C3" w:rsidRDefault="00D54008" w:rsidP="007224C3">
      <w:pPr>
        <w:spacing w:after="0" w:line="240" w:lineRule="auto"/>
        <w:jc w:val="both"/>
        <w:rPr>
          <w:rStyle w:val="77"/>
          <w:rFonts w:eastAsiaTheme="minorHAnsi"/>
          <w:color w:val="000000" w:themeColor="text1"/>
          <w:sz w:val="16"/>
          <w:szCs w:val="16"/>
        </w:rPr>
      </w:pPr>
      <w:r w:rsidRPr="007224C3">
        <w:rPr>
          <w:rStyle w:val="77"/>
          <w:rFonts w:eastAsiaTheme="minorHAnsi"/>
          <w:color w:val="000000" w:themeColor="text1"/>
          <w:sz w:val="16"/>
          <w:szCs w:val="16"/>
        </w:rPr>
        <w:t>Доработанный Ил-10 в июле - августе 1944 года успешно прошел государственные испытания по дополнительной программе. Вес пустой машины составил 4650 кг. Перегрузочный взлетный вес ограничили 6500 кг. Ракетное вооружение по-прежнему отсутствовало. Данные в целом соответствовали полученным ранее (17480).</w:t>
      </w:r>
    </w:p>
    <w:p w14:paraId="0DE86B61" w14:textId="77777777" w:rsidR="00D54008" w:rsidRPr="007224C3" w:rsidRDefault="00D54008" w:rsidP="007224C3">
      <w:pPr>
        <w:spacing w:after="0" w:line="240" w:lineRule="auto"/>
        <w:jc w:val="both"/>
        <w:rPr>
          <w:rFonts w:ascii="Times New Roman" w:hAnsi="Times New Roman"/>
          <w:color w:val="000000" w:themeColor="text1"/>
          <w:sz w:val="16"/>
          <w:szCs w:val="16"/>
        </w:rPr>
      </w:pPr>
    </w:p>
    <w:p w14:paraId="286C0E4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июня 1944 года зам. начальника 7-го гл. управления НКАП Залесский писал письмо Шахурину.</w:t>
      </w:r>
    </w:p>
    <w:p w14:paraId="546D844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вопросу об авиабомбах докладываю:</w:t>
      </w:r>
    </w:p>
    <w:p w14:paraId="0879602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последнее время ГУ ВВС совместно с Наркоматом минометного вооружения приняли решение о введении ушка из прутковой стали, привариваемого к бугелю взамен фрезерованного ушка, который прикрепляется к бугелю.</w:t>
      </w:r>
    </w:p>
    <w:p w14:paraId="3369A9E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Внедрение приварного ушка вызвано необходимостью упрощения технологии и сокращения станко-часов, необходимых для механической обработки ушков. Аналогичные конструкции ушков применяются на немецких и американских бомбах.</w:t>
      </w:r>
    </w:p>
    <w:p w14:paraId="77A6F90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Испытаниями в НИИ АВ и графической проверкой в ОКБ-43 установлено:</w:t>
      </w:r>
    </w:p>
    <w:p w14:paraId="5BAD392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Бомбы ФАБ-50 и ФАБ-100 с новыми ушками не подвешиваются на вертикальный кассетный держатель Дер-34 самолета СБ;</w:t>
      </w:r>
    </w:p>
    <w:p w14:paraId="1F77118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На замках Дер-6, Дер-7 самолета У-2 и на замках Дер-21 самолета ДБ-3 выпуска до 1938 г. для подвески бомб ФАБ-50 и ФАБ-100 требуется произвести распиловку окна бомбодержателя;</w:t>
      </w:r>
    </w:p>
    <w:p w14:paraId="35E8E30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 бомбодержателях Дер-13, 15, 16, Дер-23, 25 и 26 самолета ТБ-3 также необходимо произвести распиловку окна для обеспечения подвески бомб ФАБ-250, 500 и 1000;</w:t>
      </w:r>
    </w:p>
    <w:p w14:paraId="425B569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 На замках Дер-20 и Дер-20у самолетов Ту-2, Ил-4, Ер-2 и Пе-8 требуется произвести подпиловку крючка для того, чтобы гарантировать подвеску бомб ФАБ-1000 и 2000, так как толщина ушков этих бомб соответствует размеру зева крючка по не проходному калибру, так что бомбы подвешиваются только за счет наличия люфтов и натяга;</w:t>
      </w:r>
    </w:p>
    <w:p w14:paraId="4515DC2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 У бомбы ФАБ-2000 новое ушко по ширине плотно охватывает крючок замка без зазора, что может привести к заклинению и зависанию бомбы.</w:t>
      </w:r>
    </w:p>
    <w:p w14:paraId="72AAF92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всем этим вопросам издан бюллетень для частей ВВС.</w:t>
      </w:r>
    </w:p>
    <w:p w14:paraId="2425A0E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На бомбах ФАБ-250 и выше имеются 2 бугеля - основной (передний) и дополнительный (задний). На дополнительном бугеле ушко было шарнирное, откидывающееся, а приварное ушко может ударять по выступающим частям замков. Поэтому необходимо провести дополнительные испытания бомбометанием на пикировании с замков Дер-19 и 20 самолета Ту-2 и Д-3-40 самолета Пе-2.</w:t>
      </w:r>
    </w:p>
    <w:p w14:paraId="529B172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3. Наряду с введением ушков, привариваемых к бугелю, ГУ ВВС и НКБ приняли решение об аннулировании бугеля на бомбе ФАБ-100 сталистого чугуна. Ушко отливается вместе с корпусом бомбы на расстоянии 395-400 мм от головного среза, вследствие чего эти бомбы не подвешиваются в мотогондольных отсеках самолета Пе-2.</w:t>
      </w:r>
    </w:p>
    <w:p w14:paraId="22D3634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Наркоматом боеприпасов также поднимался вопрос об аннулировании бугелей на бомбах ФАБ-250 и выше; такие бомбы нельзя будет подвешивать на импортных самолетах Бостон Б-3 и Б-25, так как расстояние между ушками на наших бомбах равно 250+(-) 1 мм, а на американских замках расстояние между крючками равно 355 мм.</w:t>
      </w:r>
    </w:p>
    <w:p w14:paraId="22951C5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Дополнительно сообщаю:</w:t>
      </w:r>
    </w:p>
    <w:p w14:paraId="4D6C5B1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2-го июня с.г. стало известно, что УВВС приняло на вооружение и НКБ поставило на производство новые авиабомбы: ФАБ-250М-43, ФАБ-500М-43, ФАБ-1000М-43 и ФАБ-2000М-43. Предварительная проверка по плазам бомбоотсека самолета Ту-2 показала, что бомбы ФАБ-500М-43 и ФАБ-1000М-43, из-за отличных размеров и очертаний носовой части от серийных бомб, входит в бомбоотсек Ту-2 с минимальными зазорами, недопустимыми для боевой эксплуатации. В ближайшее время будет проведена проверка подвески этих бомб на самолете Ту-2.</w:t>
      </w:r>
    </w:p>
    <w:p w14:paraId="50EF715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Приведенные факты происходят потому, что УВВС не выполняют решение СНК N 1672-700сс от 19 июня 1941 г. о том, что утверждение технических проектов образцов авиационного оружия, боеприпасов и установок должно производиться Наркоматами вооружения, боеприпасов, авиационной промышленности и УВВС. Все изменения по подвесной системе авиабомб, а также ввод на вооружение новых бомб, производилось ВВС без согласования с НКАП (1825,110).</w:t>
      </w:r>
    </w:p>
    <w:p w14:paraId="0CDD388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09B376" w14:textId="77777777" w:rsidR="002D2C83" w:rsidRPr="007224C3" w:rsidRDefault="002D2C8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С 9 по 17 июня 1944 Су-6 с новым мотором АМ-42 зав. №4277 и крупнокалиберными пушками 11П, замененными пушками ВЯ (240 снарядов) было выполнено 6 полетов (3 ч 55 мин) по про</w:t>
      </w:r>
      <w:r w:rsidRPr="007224C3">
        <w:rPr>
          <w:rFonts w:ascii="Times New Roman" w:hAnsi="Times New Roman"/>
          <w:color w:val="0070C0"/>
          <w:sz w:val="16"/>
          <w:szCs w:val="16"/>
        </w:rPr>
        <w:softHyphen/>
        <w:t>грамме госиспытаний. Летали</w:t>
      </w:r>
      <w:r w:rsidRPr="007224C3">
        <w:rPr>
          <w:rStyle w:val="9pt80"/>
          <w:rFonts w:ascii="Times New Roman" w:hAnsi="Times New Roman" w:cs="Times New Roman"/>
          <w:i w:val="0"/>
          <w:iCs w:val="0"/>
          <w:color w:val="0070C0"/>
          <w:w w:val="100"/>
          <w:sz w:val="16"/>
          <w:szCs w:val="16"/>
        </w:rPr>
        <w:t xml:space="preserve"> «на про</w:t>
      </w:r>
      <w:r w:rsidRPr="007224C3">
        <w:rPr>
          <w:rStyle w:val="9pt80"/>
          <w:rFonts w:ascii="Times New Roman" w:hAnsi="Times New Roman" w:cs="Times New Roman"/>
          <w:i w:val="0"/>
          <w:iCs w:val="0"/>
          <w:color w:val="0070C0"/>
          <w:w w:val="100"/>
          <w:sz w:val="16"/>
          <w:szCs w:val="16"/>
        </w:rPr>
        <w:softHyphen/>
        <w:t>верку работы винтомоторной группы, ки</w:t>
      </w:r>
      <w:r w:rsidRPr="007224C3">
        <w:rPr>
          <w:rStyle w:val="9pt80"/>
          <w:rFonts w:ascii="Times New Roman" w:hAnsi="Times New Roman" w:cs="Times New Roman"/>
          <w:i w:val="0"/>
          <w:iCs w:val="0"/>
          <w:color w:val="0070C0"/>
          <w:w w:val="100"/>
          <w:sz w:val="16"/>
          <w:szCs w:val="16"/>
        </w:rPr>
        <w:softHyphen/>
        <w:t>лометраж, подбор границы высотности и определение дальности радиосвязи».</w:t>
      </w:r>
      <w:r w:rsidRPr="007224C3">
        <w:rPr>
          <w:rFonts w:ascii="Times New Roman" w:hAnsi="Times New Roman"/>
          <w:color w:val="0070C0"/>
          <w:sz w:val="16"/>
          <w:szCs w:val="16"/>
        </w:rPr>
        <w:t xml:space="preserve"> Сум</w:t>
      </w:r>
      <w:r w:rsidRPr="007224C3">
        <w:rPr>
          <w:rFonts w:ascii="Times New Roman" w:hAnsi="Times New Roman"/>
          <w:color w:val="0070C0"/>
          <w:sz w:val="16"/>
          <w:szCs w:val="16"/>
        </w:rPr>
        <w:softHyphen/>
        <w:t>марная наработка мотора составила 18 ч 10 мин, из них 12 ч 30 мин - на стенде на заводе №24.</w:t>
      </w:r>
    </w:p>
    <w:p w14:paraId="01368226" w14:textId="77777777" w:rsidR="002D2C83" w:rsidRPr="007224C3" w:rsidRDefault="002D2C8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Мотор «новой редакции» работал так же неважно, как и «старый» мотор зав. №4252. Имело место «</w:t>
      </w:r>
      <w:r w:rsidRPr="007224C3">
        <w:rPr>
          <w:rStyle w:val="9pt80"/>
          <w:rFonts w:ascii="Times New Roman" w:hAnsi="Times New Roman" w:cs="Times New Roman"/>
          <w:i w:val="0"/>
          <w:iCs w:val="0"/>
          <w:color w:val="0070C0"/>
          <w:w w:val="100"/>
          <w:sz w:val="16"/>
          <w:szCs w:val="16"/>
        </w:rPr>
        <w:t>выбрасывание боль</w:t>
      </w:r>
      <w:r w:rsidRPr="007224C3">
        <w:rPr>
          <w:rStyle w:val="9pt80"/>
          <w:rFonts w:ascii="Times New Roman" w:hAnsi="Times New Roman" w:cs="Times New Roman"/>
          <w:i w:val="0"/>
          <w:iCs w:val="0"/>
          <w:color w:val="0070C0"/>
          <w:w w:val="100"/>
          <w:sz w:val="16"/>
          <w:szCs w:val="16"/>
        </w:rPr>
        <w:softHyphen/>
        <w:t>шого количества масла»</w:t>
      </w:r>
      <w:r w:rsidRPr="007224C3">
        <w:rPr>
          <w:rFonts w:ascii="Times New Roman" w:hAnsi="Times New Roman"/>
          <w:color w:val="0070C0"/>
          <w:sz w:val="16"/>
          <w:szCs w:val="16"/>
        </w:rPr>
        <w:t xml:space="preserve"> из соединения колонки приводов передних агрегатов с картером мотора, из-под фланцев водомасляного агрегата и других соедине</w:t>
      </w:r>
      <w:r w:rsidRPr="007224C3">
        <w:rPr>
          <w:rFonts w:ascii="Times New Roman" w:hAnsi="Times New Roman"/>
          <w:color w:val="0070C0"/>
          <w:sz w:val="16"/>
          <w:szCs w:val="16"/>
        </w:rPr>
        <w:softHyphen/>
        <w:t>ний мотора, а также ненормальная работа бензопомпы БНК-10</w:t>
      </w:r>
      <w:r w:rsidRPr="007224C3">
        <w:rPr>
          <w:rStyle w:val="9pt80"/>
          <w:rFonts w:ascii="Times New Roman" w:hAnsi="Times New Roman" w:cs="Times New Roman"/>
          <w:i w:val="0"/>
          <w:iCs w:val="0"/>
          <w:color w:val="0070C0"/>
          <w:w w:val="100"/>
          <w:sz w:val="16"/>
          <w:szCs w:val="16"/>
        </w:rPr>
        <w:t xml:space="preserve"> («падение давления бензина при полном открытии дроссель</w:t>
      </w:r>
      <w:r w:rsidRPr="007224C3">
        <w:rPr>
          <w:rStyle w:val="9pt80"/>
          <w:rFonts w:ascii="Times New Roman" w:hAnsi="Times New Roman" w:cs="Times New Roman"/>
          <w:i w:val="0"/>
          <w:iCs w:val="0"/>
          <w:color w:val="0070C0"/>
          <w:w w:val="100"/>
          <w:sz w:val="16"/>
          <w:szCs w:val="16"/>
        </w:rPr>
        <w:softHyphen/>
        <w:t>ной заслонки карбюраторов»),</w:t>
      </w:r>
    </w:p>
    <w:p w14:paraId="232B9BD6" w14:textId="77777777" w:rsidR="002D2C83" w:rsidRPr="007224C3" w:rsidRDefault="002D2C8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12 и 17 июня вновь обнаружился опасный дефект - загорание топливной смеси во всасывающих патрубках.Только теперь в полете. В обоих случаях по</w:t>
      </w:r>
      <w:r w:rsidRPr="007224C3">
        <w:rPr>
          <w:rFonts w:ascii="Times New Roman" w:hAnsi="Times New Roman"/>
          <w:color w:val="0070C0"/>
          <w:sz w:val="16"/>
          <w:szCs w:val="16"/>
        </w:rPr>
        <w:softHyphen/>
        <w:t>жар не привел к аварии или катастрофе только потому, что произошел на плани</w:t>
      </w:r>
      <w:r w:rsidRPr="007224C3">
        <w:rPr>
          <w:rFonts w:ascii="Times New Roman" w:hAnsi="Times New Roman"/>
          <w:color w:val="0070C0"/>
          <w:sz w:val="16"/>
          <w:szCs w:val="16"/>
        </w:rPr>
        <w:softHyphen/>
        <w:t>ровании, при заходе самолета на посадку.</w:t>
      </w:r>
    </w:p>
    <w:p w14:paraId="5B0624C7" w14:textId="77777777" w:rsidR="002D2C83" w:rsidRPr="007224C3" w:rsidRDefault="002D2C83" w:rsidP="007224C3">
      <w:pPr>
        <w:pStyle w:val="121"/>
        <w:shd w:val="clear" w:color="auto" w:fill="auto"/>
        <w:spacing w:line="240" w:lineRule="auto"/>
        <w:jc w:val="both"/>
        <w:rPr>
          <w:rFonts w:ascii="Times New Roman" w:hAnsi="Times New Roman" w:cs="Times New Roman"/>
          <w:b w:val="0"/>
          <w:bCs w:val="0"/>
          <w:color w:val="0070C0"/>
          <w:sz w:val="16"/>
          <w:szCs w:val="16"/>
        </w:rPr>
      </w:pPr>
      <w:r w:rsidRPr="007224C3">
        <w:rPr>
          <w:rStyle w:val="128pt100"/>
          <w:rFonts w:ascii="Times New Roman" w:hAnsi="Times New Roman" w:cs="Times New Roman"/>
          <w:b w:val="0"/>
          <w:bCs w:val="0"/>
          <w:i w:val="0"/>
          <w:iCs w:val="0"/>
          <w:color w:val="0070C0"/>
        </w:rPr>
        <w:t>Как докладывал начальник ГК НИИ ВВС генерал-лейтенант Лосюков:</w:t>
      </w:r>
      <w:r w:rsidRPr="007224C3">
        <w:rPr>
          <w:rFonts w:ascii="Times New Roman" w:hAnsi="Times New Roman" w:cs="Times New Roman"/>
          <w:b w:val="0"/>
          <w:bCs w:val="0"/>
          <w:color w:val="0070C0"/>
          <w:sz w:val="16"/>
          <w:szCs w:val="16"/>
        </w:rPr>
        <w:t xml:space="preserve"> «При</w:t>
      </w:r>
      <w:r w:rsidRPr="007224C3">
        <w:rPr>
          <w:rFonts w:ascii="Times New Roman" w:hAnsi="Times New Roman" w:cs="Times New Roman"/>
          <w:b w:val="0"/>
          <w:bCs w:val="0"/>
          <w:color w:val="0070C0"/>
          <w:sz w:val="16"/>
          <w:szCs w:val="16"/>
        </w:rPr>
        <w:softHyphen/>
        <w:t>чиной пожара во всасывающих патруб</w:t>
      </w:r>
      <w:r w:rsidRPr="007224C3">
        <w:rPr>
          <w:rFonts w:ascii="Times New Roman" w:hAnsi="Times New Roman" w:cs="Times New Roman"/>
          <w:b w:val="0"/>
          <w:bCs w:val="0"/>
          <w:color w:val="0070C0"/>
          <w:sz w:val="16"/>
          <w:szCs w:val="16"/>
        </w:rPr>
        <w:softHyphen/>
        <w:t>ках мотора АМ-42 является наличие в них сборников конденсата, в которых при обратной вспышке в карбюраторе воспла</w:t>
      </w:r>
      <w:r w:rsidRPr="007224C3">
        <w:rPr>
          <w:rFonts w:ascii="Times New Roman" w:hAnsi="Times New Roman" w:cs="Times New Roman"/>
          <w:b w:val="0"/>
          <w:bCs w:val="0"/>
          <w:color w:val="0070C0"/>
          <w:sz w:val="16"/>
          <w:szCs w:val="16"/>
        </w:rPr>
        <w:softHyphen/>
        <w:t>меняется конденсат. При воспламенении смеси во всасывающем патрубке, он нака</w:t>
      </w:r>
      <w:r w:rsidRPr="007224C3">
        <w:rPr>
          <w:rFonts w:ascii="Times New Roman" w:hAnsi="Times New Roman" w:cs="Times New Roman"/>
          <w:b w:val="0"/>
          <w:bCs w:val="0"/>
          <w:color w:val="0070C0"/>
          <w:sz w:val="16"/>
          <w:szCs w:val="16"/>
        </w:rPr>
        <w:softHyphen/>
        <w:t>ляется до белого каления, вследствие чего обгорают проводники зажигания, что в свою очередь, может привести к отказу мотора или пожару самолета».</w:t>
      </w:r>
    </w:p>
    <w:p w14:paraId="15BDC8F0" w14:textId="77777777" w:rsidR="002D2C83" w:rsidRPr="007224C3" w:rsidRDefault="002D2C8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Главный инженер ВВС КА генерал- полковник Репин запретил полеты на Су-6 с этим мотором. Быстро заменить мотор не удалось, так как</w:t>
      </w:r>
      <w:r w:rsidRPr="007224C3">
        <w:rPr>
          <w:rStyle w:val="9pt80"/>
          <w:rFonts w:ascii="Times New Roman" w:hAnsi="Times New Roman" w:cs="Times New Roman"/>
          <w:i w:val="0"/>
          <w:iCs w:val="0"/>
          <w:color w:val="0070C0"/>
          <w:w w:val="100"/>
          <w:sz w:val="16"/>
          <w:szCs w:val="16"/>
        </w:rPr>
        <w:t xml:space="preserve"> «завод №24 за</w:t>
      </w:r>
      <w:r w:rsidRPr="007224C3">
        <w:rPr>
          <w:rStyle w:val="9pt80"/>
          <w:rFonts w:ascii="Times New Roman" w:hAnsi="Times New Roman" w:cs="Times New Roman"/>
          <w:i w:val="0"/>
          <w:iCs w:val="0"/>
          <w:color w:val="0070C0"/>
          <w:w w:val="100"/>
          <w:sz w:val="16"/>
          <w:szCs w:val="16"/>
        </w:rPr>
        <w:softHyphen/>
        <w:t>держивал его поставку».</w:t>
      </w:r>
      <w:r w:rsidRPr="007224C3">
        <w:rPr>
          <w:rFonts w:ascii="Times New Roman" w:hAnsi="Times New Roman"/>
          <w:color w:val="0070C0"/>
          <w:sz w:val="16"/>
          <w:szCs w:val="16"/>
        </w:rPr>
        <w:t xml:space="preserve"> Сухой обратился за помощью к наркому Шахурину. Но тот ничем не помог.</w:t>
      </w:r>
    </w:p>
    <w:p w14:paraId="2CD26ADE" w14:textId="77777777" w:rsidR="002D2C83" w:rsidRPr="007224C3" w:rsidRDefault="002D2C8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 общей сложности ко времени офи</w:t>
      </w:r>
      <w:r w:rsidRPr="007224C3">
        <w:rPr>
          <w:rFonts w:ascii="Times New Roman" w:hAnsi="Times New Roman"/>
          <w:color w:val="0070C0"/>
          <w:sz w:val="16"/>
          <w:szCs w:val="16"/>
        </w:rPr>
        <w:softHyphen/>
        <w:t>циального прекращения испытаний 2 июля опытный Су-6 выполнил 24 полёта с суммарным налетом 10 ч 25 мин.</w:t>
      </w:r>
    </w:p>
    <w:p w14:paraId="1F5A8BA9" w14:textId="77777777" w:rsidR="002D2C83" w:rsidRPr="007224C3" w:rsidRDefault="002D2C8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При полетном весе 6200 кг (600 кг бомб, боекомплект к пушкам ВЯ и пу</w:t>
      </w:r>
      <w:r w:rsidRPr="007224C3">
        <w:rPr>
          <w:rFonts w:ascii="Times New Roman" w:hAnsi="Times New Roman"/>
          <w:color w:val="0070C0"/>
          <w:sz w:val="16"/>
          <w:szCs w:val="16"/>
        </w:rPr>
        <w:softHyphen/>
        <w:t>леметам) скорость полета составила 492 км/ч - у земли, и 521 км/ч - на вы</w:t>
      </w:r>
      <w:r w:rsidRPr="007224C3">
        <w:rPr>
          <w:rFonts w:ascii="Times New Roman" w:hAnsi="Times New Roman"/>
          <w:color w:val="0070C0"/>
          <w:sz w:val="16"/>
          <w:szCs w:val="16"/>
        </w:rPr>
        <w:softHyphen/>
        <w:t>соте 1860 м. Максимальная дальность по</w:t>
      </w:r>
      <w:r w:rsidRPr="007224C3">
        <w:rPr>
          <w:rFonts w:ascii="Times New Roman" w:hAnsi="Times New Roman"/>
          <w:color w:val="0070C0"/>
          <w:sz w:val="16"/>
          <w:szCs w:val="16"/>
        </w:rPr>
        <w:softHyphen/>
        <w:t>лета оценивалась в 790 км.</w:t>
      </w:r>
    </w:p>
    <w:p w14:paraId="6FAC9108" w14:textId="77777777" w:rsidR="002D2C83" w:rsidRPr="007224C3" w:rsidRDefault="002D2C8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Следует обратить внимание на то, что летные данные Су-6 были получены при невыгодной регулировке мотора с точки зрения расхода топлива: он имел переобогащенную топливную смесь. При нормально работающем моторе даль</w:t>
      </w:r>
      <w:r w:rsidRPr="007224C3">
        <w:rPr>
          <w:rFonts w:ascii="Times New Roman" w:hAnsi="Times New Roman"/>
          <w:color w:val="0070C0"/>
          <w:sz w:val="16"/>
          <w:szCs w:val="16"/>
        </w:rPr>
        <w:softHyphen/>
        <w:t>ность должна была быть выше. С уче</w:t>
      </w:r>
      <w:r w:rsidRPr="007224C3">
        <w:rPr>
          <w:rFonts w:ascii="Times New Roman" w:hAnsi="Times New Roman"/>
          <w:color w:val="0070C0"/>
          <w:sz w:val="16"/>
          <w:szCs w:val="16"/>
        </w:rPr>
        <w:softHyphen/>
        <w:t>том этого специалисты ГК НИИ ВВС рас</w:t>
      </w:r>
      <w:r w:rsidRPr="007224C3">
        <w:rPr>
          <w:rFonts w:ascii="Times New Roman" w:hAnsi="Times New Roman"/>
          <w:color w:val="0070C0"/>
          <w:sz w:val="16"/>
          <w:szCs w:val="16"/>
        </w:rPr>
        <w:softHyphen/>
        <w:t>считали дальность полета Су-6 исходя из расходов топлива, взятых из матери</w:t>
      </w:r>
      <w:r w:rsidRPr="007224C3">
        <w:rPr>
          <w:rFonts w:ascii="Times New Roman" w:hAnsi="Times New Roman"/>
          <w:color w:val="0070C0"/>
          <w:sz w:val="16"/>
          <w:szCs w:val="16"/>
        </w:rPr>
        <w:softHyphen/>
        <w:t>алов по государственным испытаниям Ил-Юс АМ-42.</w:t>
      </w:r>
    </w:p>
    <w:p w14:paraId="4A44DA6A" w14:textId="77777777" w:rsidR="002D2C83" w:rsidRPr="007224C3" w:rsidRDefault="002D2C8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Между тем, согласно аэродинамиче</w:t>
      </w:r>
      <w:r w:rsidRPr="007224C3">
        <w:rPr>
          <w:rFonts w:ascii="Times New Roman" w:hAnsi="Times New Roman"/>
          <w:color w:val="0070C0"/>
          <w:sz w:val="16"/>
          <w:szCs w:val="16"/>
        </w:rPr>
        <w:softHyphen/>
        <w:t>скому расчету самолета Су-6 АМ-42, вы</w:t>
      </w:r>
      <w:r w:rsidRPr="007224C3">
        <w:rPr>
          <w:rFonts w:ascii="Times New Roman" w:hAnsi="Times New Roman"/>
          <w:color w:val="0070C0"/>
          <w:sz w:val="16"/>
          <w:szCs w:val="16"/>
        </w:rPr>
        <w:softHyphen/>
        <w:t>полненному в ОКБ Сухого на основе фак</w:t>
      </w:r>
      <w:r w:rsidRPr="007224C3">
        <w:rPr>
          <w:rFonts w:ascii="Times New Roman" w:hAnsi="Times New Roman"/>
          <w:color w:val="0070C0"/>
          <w:sz w:val="16"/>
          <w:szCs w:val="16"/>
        </w:rPr>
        <w:softHyphen/>
        <w:t>тических летных данных Су-6 с М-71ф, максимальная дальность полета на высоте 1000 м оценивалась в 1025 км при скоро</w:t>
      </w:r>
      <w:r w:rsidRPr="007224C3">
        <w:rPr>
          <w:rFonts w:ascii="Times New Roman" w:hAnsi="Times New Roman"/>
          <w:color w:val="0070C0"/>
          <w:sz w:val="16"/>
          <w:szCs w:val="16"/>
        </w:rPr>
        <w:softHyphen/>
        <w:t>сти полета 341 км/ч.</w:t>
      </w:r>
    </w:p>
    <w:p w14:paraId="4E7BEDBF" w14:textId="77777777" w:rsidR="002D2C83" w:rsidRPr="007224C3" w:rsidRDefault="002D2C8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О точности этих расчетов можно су</w:t>
      </w:r>
      <w:r w:rsidRPr="007224C3">
        <w:rPr>
          <w:rFonts w:ascii="Times New Roman" w:hAnsi="Times New Roman"/>
          <w:color w:val="0070C0"/>
          <w:sz w:val="16"/>
          <w:szCs w:val="16"/>
        </w:rPr>
        <w:softHyphen/>
        <w:t>дить, например, по значению максималь</w:t>
      </w:r>
      <w:r w:rsidRPr="007224C3">
        <w:rPr>
          <w:rFonts w:ascii="Times New Roman" w:hAnsi="Times New Roman"/>
          <w:color w:val="0070C0"/>
          <w:sz w:val="16"/>
          <w:szCs w:val="16"/>
        </w:rPr>
        <w:softHyphen/>
        <w:t>ной скорости у земли, которая согласно расчетов получалась равной 490 км/ч, а по факту - 492 км/ч.</w:t>
      </w:r>
    </w:p>
    <w:p w14:paraId="035C9F0B" w14:textId="77777777" w:rsidR="002D2C83" w:rsidRPr="007224C3" w:rsidRDefault="002D2C8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Все пулеметно-пушечное и бомбар</w:t>
      </w:r>
      <w:r w:rsidRPr="007224C3">
        <w:rPr>
          <w:rFonts w:ascii="Times New Roman" w:hAnsi="Times New Roman"/>
          <w:color w:val="0070C0"/>
          <w:sz w:val="16"/>
          <w:szCs w:val="16"/>
        </w:rPr>
        <w:softHyphen/>
        <w:t>дировочное вооружение было успешно проверено работой на земле и в воздухе, за исключением пушек ВЯ, которые от</w:t>
      </w:r>
      <w:r w:rsidRPr="007224C3">
        <w:rPr>
          <w:rFonts w:ascii="Times New Roman" w:hAnsi="Times New Roman"/>
          <w:color w:val="0070C0"/>
          <w:sz w:val="16"/>
          <w:szCs w:val="16"/>
        </w:rPr>
        <w:softHyphen/>
        <w:t>стреливались только на земле. Приняли во внимание, что такие же установки в 1942 г. прошли государственные испыта</w:t>
      </w:r>
      <w:r w:rsidRPr="007224C3">
        <w:rPr>
          <w:rFonts w:ascii="Times New Roman" w:hAnsi="Times New Roman"/>
          <w:color w:val="0070C0"/>
          <w:sz w:val="16"/>
          <w:szCs w:val="16"/>
        </w:rPr>
        <w:softHyphen/>
        <w:t>ния на одноместном Су-6 М-71.</w:t>
      </w:r>
    </w:p>
    <w:p w14:paraId="134E16A1" w14:textId="77777777" w:rsidR="002D2C83" w:rsidRPr="007224C3" w:rsidRDefault="002D2C83" w:rsidP="007224C3">
      <w:pPr>
        <w:pStyle w:val="121"/>
        <w:shd w:val="clear" w:color="auto" w:fill="auto"/>
        <w:spacing w:line="240" w:lineRule="auto"/>
        <w:jc w:val="both"/>
        <w:rPr>
          <w:rFonts w:ascii="Times New Roman" w:hAnsi="Times New Roman" w:cs="Times New Roman"/>
          <w:b w:val="0"/>
          <w:bCs w:val="0"/>
          <w:color w:val="0070C0"/>
          <w:sz w:val="16"/>
          <w:szCs w:val="16"/>
        </w:rPr>
      </w:pPr>
      <w:r w:rsidRPr="007224C3">
        <w:rPr>
          <w:rStyle w:val="128pt100"/>
          <w:rFonts w:ascii="Times New Roman" w:hAnsi="Times New Roman" w:cs="Times New Roman"/>
          <w:b w:val="0"/>
          <w:bCs w:val="0"/>
          <w:i w:val="0"/>
          <w:iCs w:val="0"/>
          <w:color w:val="0070C0"/>
        </w:rPr>
        <w:t>В летной оценке самолета Су-6 АМ-42 от 2 июля второй ведущий летчик инженер-майор Синельников указывал: «</w:t>
      </w:r>
      <w:r w:rsidRPr="007224C3">
        <w:rPr>
          <w:rFonts w:ascii="Times New Roman" w:hAnsi="Times New Roman" w:cs="Times New Roman"/>
          <w:b w:val="0"/>
          <w:bCs w:val="0"/>
          <w:color w:val="0070C0"/>
          <w:sz w:val="16"/>
          <w:szCs w:val="16"/>
        </w:rPr>
        <w:t>Уве</w:t>
      </w:r>
      <w:r w:rsidRPr="007224C3">
        <w:rPr>
          <w:rFonts w:ascii="Times New Roman" w:hAnsi="Times New Roman" w:cs="Times New Roman"/>
          <w:b w:val="0"/>
          <w:bCs w:val="0"/>
          <w:color w:val="0070C0"/>
          <w:sz w:val="16"/>
          <w:szCs w:val="16"/>
        </w:rPr>
        <w:softHyphen/>
        <w:t>личение площади крыла и снятие пред</w:t>
      </w:r>
      <w:r w:rsidRPr="007224C3">
        <w:rPr>
          <w:rFonts w:ascii="Times New Roman" w:hAnsi="Times New Roman" w:cs="Times New Roman"/>
          <w:b w:val="0"/>
          <w:bCs w:val="0"/>
          <w:color w:val="0070C0"/>
          <w:sz w:val="16"/>
          <w:szCs w:val="16"/>
        </w:rPr>
        <w:softHyphen/>
        <w:t>крылков значительно упростили технику пилотирования самолета на взлете и по</w:t>
      </w:r>
      <w:r w:rsidRPr="007224C3">
        <w:rPr>
          <w:rFonts w:ascii="Times New Roman" w:hAnsi="Times New Roman" w:cs="Times New Roman"/>
          <w:b w:val="0"/>
          <w:bCs w:val="0"/>
          <w:color w:val="0070C0"/>
          <w:sz w:val="16"/>
          <w:szCs w:val="16"/>
        </w:rPr>
        <w:softHyphen/>
        <w:t>садке по сравнению с самолетом Су-6 с мо</w:t>
      </w:r>
      <w:r w:rsidRPr="007224C3">
        <w:rPr>
          <w:rFonts w:ascii="Times New Roman" w:hAnsi="Times New Roman" w:cs="Times New Roman"/>
          <w:b w:val="0"/>
          <w:bCs w:val="0"/>
          <w:color w:val="0070C0"/>
          <w:sz w:val="16"/>
          <w:szCs w:val="16"/>
        </w:rPr>
        <w:softHyphen/>
        <w:t>тором М-71ф. В целом самолет Су-6 с мо</w:t>
      </w:r>
      <w:r w:rsidRPr="007224C3">
        <w:rPr>
          <w:rFonts w:ascii="Times New Roman" w:hAnsi="Times New Roman" w:cs="Times New Roman"/>
          <w:b w:val="0"/>
          <w:bCs w:val="0"/>
          <w:color w:val="0070C0"/>
          <w:sz w:val="16"/>
          <w:szCs w:val="16"/>
        </w:rPr>
        <w:softHyphen/>
        <w:t>тором АМ-42 доступен летчикам средней квалификации. Недостатками самолета, усложняющими технику пилотирования, являются:</w:t>
      </w:r>
    </w:p>
    <w:p w14:paraId="35C6E9B8" w14:textId="77777777" w:rsidR="002D2C83" w:rsidRPr="007224C3" w:rsidRDefault="002D2C83" w:rsidP="007224C3">
      <w:pPr>
        <w:pStyle w:val="121"/>
        <w:shd w:val="clear" w:color="auto" w:fill="auto"/>
        <w:tabs>
          <w:tab w:val="left" w:pos="486"/>
        </w:tabs>
        <w:spacing w:line="240" w:lineRule="auto"/>
        <w:jc w:val="both"/>
        <w:rPr>
          <w:rFonts w:ascii="Times New Roman" w:hAnsi="Times New Roman" w:cs="Times New Roman"/>
          <w:b w:val="0"/>
          <w:bCs w:val="0"/>
          <w:color w:val="0070C0"/>
          <w:sz w:val="16"/>
          <w:szCs w:val="16"/>
        </w:rPr>
      </w:pPr>
      <w:r w:rsidRPr="007224C3">
        <w:rPr>
          <w:rFonts w:ascii="Times New Roman" w:hAnsi="Times New Roman" w:cs="Times New Roman"/>
          <w:b w:val="0"/>
          <w:bCs w:val="0"/>
          <w:color w:val="0070C0"/>
          <w:sz w:val="16"/>
          <w:szCs w:val="16"/>
        </w:rPr>
        <w:t>а)</w:t>
      </w:r>
      <w:r w:rsidRPr="007224C3">
        <w:rPr>
          <w:rFonts w:ascii="Times New Roman" w:hAnsi="Times New Roman" w:cs="Times New Roman"/>
          <w:b w:val="0"/>
          <w:bCs w:val="0"/>
          <w:color w:val="0070C0"/>
          <w:sz w:val="16"/>
          <w:szCs w:val="16"/>
        </w:rPr>
        <w:tab/>
        <w:t>большая (сравнительно с аналогич</w:t>
      </w:r>
      <w:r w:rsidRPr="007224C3">
        <w:rPr>
          <w:rFonts w:ascii="Times New Roman" w:hAnsi="Times New Roman" w:cs="Times New Roman"/>
          <w:b w:val="0"/>
          <w:bCs w:val="0"/>
          <w:color w:val="0070C0"/>
          <w:sz w:val="16"/>
          <w:szCs w:val="16"/>
        </w:rPr>
        <w:softHyphen/>
        <w:t>ными типами самолетов) длина разбега и взлетной дистанции;</w:t>
      </w:r>
    </w:p>
    <w:p w14:paraId="2B00F968" w14:textId="77777777" w:rsidR="002D2C83" w:rsidRPr="007224C3" w:rsidRDefault="002D2C83" w:rsidP="007224C3">
      <w:pPr>
        <w:pStyle w:val="121"/>
        <w:shd w:val="clear" w:color="auto" w:fill="auto"/>
        <w:tabs>
          <w:tab w:val="left" w:pos="486"/>
        </w:tabs>
        <w:spacing w:line="240" w:lineRule="auto"/>
        <w:jc w:val="both"/>
        <w:rPr>
          <w:rFonts w:ascii="Times New Roman" w:hAnsi="Times New Roman" w:cs="Times New Roman"/>
          <w:b w:val="0"/>
          <w:bCs w:val="0"/>
          <w:color w:val="0070C0"/>
          <w:sz w:val="16"/>
          <w:szCs w:val="16"/>
        </w:rPr>
      </w:pPr>
      <w:r w:rsidRPr="007224C3">
        <w:rPr>
          <w:rFonts w:ascii="Times New Roman" w:hAnsi="Times New Roman" w:cs="Times New Roman"/>
          <w:b w:val="0"/>
          <w:bCs w:val="0"/>
          <w:color w:val="0070C0"/>
          <w:sz w:val="16"/>
          <w:szCs w:val="16"/>
        </w:rPr>
        <w:t>б)</w:t>
      </w:r>
      <w:r w:rsidRPr="007224C3">
        <w:rPr>
          <w:rFonts w:ascii="Times New Roman" w:hAnsi="Times New Roman" w:cs="Times New Roman"/>
          <w:b w:val="0"/>
          <w:bCs w:val="0"/>
          <w:color w:val="0070C0"/>
          <w:sz w:val="16"/>
          <w:szCs w:val="16"/>
        </w:rPr>
        <w:tab/>
        <w:t>большие нагрузки на элероны и руль высоты, особенно на максимальных скоро</w:t>
      </w:r>
      <w:r w:rsidRPr="007224C3">
        <w:rPr>
          <w:rFonts w:ascii="Times New Roman" w:hAnsi="Times New Roman" w:cs="Times New Roman"/>
          <w:b w:val="0"/>
          <w:bCs w:val="0"/>
          <w:color w:val="0070C0"/>
          <w:sz w:val="16"/>
          <w:szCs w:val="16"/>
        </w:rPr>
        <w:softHyphen/>
        <w:t>стях, вираже и при выводе из пикирования;</w:t>
      </w:r>
    </w:p>
    <w:p w14:paraId="5F6CE225" w14:textId="77777777" w:rsidR="002D2C83" w:rsidRPr="007224C3" w:rsidRDefault="002D2C83" w:rsidP="007224C3">
      <w:pPr>
        <w:pStyle w:val="121"/>
        <w:shd w:val="clear" w:color="auto" w:fill="auto"/>
        <w:tabs>
          <w:tab w:val="left" w:pos="473"/>
        </w:tabs>
        <w:spacing w:line="240" w:lineRule="auto"/>
        <w:jc w:val="both"/>
        <w:rPr>
          <w:rFonts w:ascii="Times New Roman" w:hAnsi="Times New Roman" w:cs="Times New Roman"/>
          <w:b w:val="0"/>
          <w:bCs w:val="0"/>
          <w:color w:val="0070C0"/>
          <w:sz w:val="16"/>
          <w:szCs w:val="16"/>
        </w:rPr>
      </w:pPr>
      <w:r w:rsidRPr="007224C3">
        <w:rPr>
          <w:rFonts w:ascii="Times New Roman" w:hAnsi="Times New Roman" w:cs="Times New Roman"/>
          <w:b w:val="0"/>
          <w:bCs w:val="0"/>
          <w:color w:val="0070C0"/>
          <w:sz w:val="16"/>
          <w:szCs w:val="16"/>
        </w:rPr>
        <w:t>в)</w:t>
      </w:r>
      <w:r w:rsidRPr="007224C3">
        <w:rPr>
          <w:rFonts w:ascii="Times New Roman" w:hAnsi="Times New Roman" w:cs="Times New Roman"/>
          <w:b w:val="0"/>
          <w:bCs w:val="0"/>
          <w:color w:val="0070C0"/>
          <w:sz w:val="16"/>
          <w:szCs w:val="16"/>
        </w:rPr>
        <w:tab/>
        <w:t>крутая глиссада планирования.</w:t>
      </w:r>
    </w:p>
    <w:p w14:paraId="6F2C9DB3" w14:textId="77777777" w:rsidR="002D2C83" w:rsidRPr="007224C3" w:rsidRDefault="002D2C83" w:rsidP="007224C3">
      <w:pPr>
        <w:pStyle w:val="121"/>
        <w:shd w:val="clear" w:color="auto" w:fill="auto"/>
        <w:spacing w:line="240" w:lineRule="auto"/>
        <w:jc w:val="both"/>
        <w:rPr>
          <w:rFonts w:ascii="Times New Roman" w:hAnsi="Times New Roman" w:cs="Times New Roman"/>
          <w:b w:val="0"/>
          <w:bCs w:val="0"/>
          <w:color w:val="0070C0"/>
          <w:sz w:val="16"/>
          <w:szCs w:val="16"/>
        </w:rPr>
      </w:pPr>
      <w:r w:rsidRPr="007224C3">
        <w:rPr>
          <w:rFonts w:ascii="Times New Roman" w:hAnsi="Times New Roman" w:cs="Times New Roman"/>
          <w:b w:val="0"/>
          <w:bCs w:val="0"/>
          <w:color w:val="0070C0"/>
          <w:sz w:val="16"/>
          <w:szCs w:val="16"/>
        </w:rPr>
        <w:t>По сравнению с однотипным опытным самолетом Ил-10 с АМ-42 самолет Су-6 с АМ-42:</w:t>
      </w:r>
    </w:p>
    <w:p w14:paraId="1DAACA53" w14:textId="77777777" w:rsidR="002D2C83" w:rsidRPr="007224C3" w:rsidRDefault="002D2C83" w:rsidP="007224C3">
      <w:pPr>
        <w:pStyle w:val="121"/>
        <w:shd w:val="clear" w:color="auto" w:fill="auto"/>
        <w:tabs>
          <w:tab w:val="left" w:pos="486"/>
        </w:tabs>
        <w:spacing w:line="240" w:lineRule="auto"/>
        <w:jc w:val="both"/>
        <w:rPr>
          <w:rFonts w:ascii="Times New Roman" w:hAnsi="Times New Roman" w:cs="Times New Roman"/>
          <w:b w:val="0"/>
          <w:bCs w:val="0"/>
          <w:color w:val="0070C0"/>
          <w:sz w:val="16"/>
          <w:szCs w:val="16"/>
        </w:rPr>
      </w:pPr>
      <w:r w:rsidRPr="007224C3">
        <w:rPr>
          <w:rFonts w:ascii="Times New Roman" w:hAnsi="Times New Roman" w:cs="Times New Roman"/>
          <w:b w:val="0"/>
          <w:bCs w:val="0"/>
          <w:color w:val="0070C0"/>
          <w:sz w:val="16"/>
          <w:szCs w:val="16"/>
        </w:rPr>
        <w:t>а)</w:t>
      </w:r>
      <w:r w:rsidRPr="007224C3">
        <w:rPr>
          <w:rFonts w:ascii="Times New Roman" w:hAnsi="Times New Roman" w:cs="Times New Roman"/>
          <w:b w:val="0"/>
          <w:bCs w:val="0"/>
          <w:color w:val="0070C0"/>
          <w:sz w:val="16"/>
          <w:szCs w:val="16"/>
        </w:rPr>
        <w:tab/>
        <w:t>несколько сложней в технике пило</w:t>
      </w:r>
      <w:r w:rsidRPr="007224C3">
        <w:rPr>
          <w:rFonts w:ascii="Times New Roman" w:hAnsi="Times New Roman" w:cs="Times New Roman"/>
          <w:b w:val="0"/>
          <w:bCs w:val="0"/>
          <w:color w:val="0070C0"/>
          <w:sz w:val="16"/>
          <w:szCs w:val="16"/>
        </w:rPr>
        <w:softHyphen/>
        <w:t>тирования (главным образом на взлете и посадке);</w:t>
      </w:r>
    </w:p>
    <w:p w14:paraId="3C209404" w14:textId="77777777" w:rsidR="002D2C83" w:rsidRPr="007224C3" w:rsidRDefault="002D2C83" w:rsidP="007224C3">
      <w:pPr>
        <w:pStyle w:val="121"/>
        <w:shd w:val="clear" w:color="auto" w:fill="auto"/>
        <w:tabs>
          <w:tab w:val="left" w:pos="502"/>
        </w:tabs>
        <w:spacing w:line="240" w:lineRule="auto"/>
        <w:jc w:val="both"/>
        <w:rPr>
          <w:rFonts w:ascii="Times New Roman" w:hAnsi="Times New Roman" w:cs="Times New Roman"/>
          <w:b w:val="0"/>
          <w:bCs w:val="0"/>
          <w:color w:val="0070C0"/>
          <w:sz w:val="16"/>
          <w:szCs w:val="16"/>
        </w:rPr>
      </w:pPr>
      <w:r w:rsidRPr="007224C3">
        <w:rPr>
          <w:rFonts w:ascii="Times New Roman" w:hAnsi="Times New Roman" w:cs="Times New Roman"/>
          <w:b w:val="0"/>
          <w:bCs w:val="0"/>
          <w:color w:val="0070C0"/>
          <w:sz w:val="16"/>
          <w:szCs w:val="16"/>
        </w:rPr>
        <w:t>б)</w:t>
      </w:r>
      <w:r w:rsidRPr="007224C3">
        <w:rPr>
          <w:rFonts w:ascii="Times New Roman" w:hAnsi="Times New Roman" w:cs="Times New Roman"/>
          <w:b w:val="0"/>
          <w:bCs w:val="0"/>
          <w:color w:val="0070C0"/>
          <w:sz w:val="16"/>
          <w:szCs w:val="16"/>
        </w:rPr>
        <w:tab/>
        <w:t>имеет худшую управляемость;</w:t>
      </w:r>
    </w:p>
    <w:p w14:paraId="48DB2A54" w14:textId="77777777" w:rsidR="002D2C83" w:rsidRPr="007224C3" w:rsidRDefault="002D2C83" w:rsidP="007224C3">
      <w:pPr>
        <w:pStyle w:val="121"/>
        <w:shd w:val="clear" w:color="auto" w:fill="auto"/>
        <w:tabs>
          <w:tab w:val="left" w:pos="481"/>
        </w:tabs>
        <w:spacing w:line="240" w:lineRule="auto"/>
        <w:jc w:val="both"/>
        <w:rPr>
          <w:rFonts w:ascii="Times New Roman" w:hAnsi="Times New Roman" w:cs="Times New Roman"/>
          <w:b w:val="0"/>
          <w:bCs w:val="0"/>
          <w:color w:val="0070C0"/>
          <w:sz w:val="16"/>
          <w:szCs w:val="16"/>
        </w:rPr>
      </w:pPr>
      <w:r w:rsidRPr="007224C3">
        <w:rPr>
          <w:rFonts w:ascii="Times New Roman" w:hAnsi="Times New Roman" w:cs="Times New Roman"/>
          <w:b w:val="0"/>
          <w:bCs w:val="0"/>
          <w:color w:val="0070C0"/>
          <w:sz w:val="16"/>
          <w:szCs w:val="16"/>
        </w:rPr>
        <w:t>в)</w:t>
      </w:r>
      <w:r w:rsidRPr="007224C3">
        <w:rPr>
          <w:rFonts w:ascii="Times New Roman" w:hAnsi="Times New Roman" w:cs="Times New Roman"/>
          <w:b w:val="0"/>
          <w:bCs w:val="0"/>
          <w:color w:val="0070C0"/>
          <w:sz w:val="16"/>
          <w:szCs w:val="16"/>
        </w:rPr>
        <w:tab/>
        <w:t>обладает более низкими летными данными».</w:t>
      </w:r>
    </w:p>
    <w:p w14:paraId="1AF3C04B" w14:textId="77777777" w:rsidR="002D2C83" w:rsidRPr="007224C3" w:rsidRDefault="002D2C83" w:rsidP="007224C3">
      <w:pPr>
        <w:spacing w:after="0" w:line="240" w:lineRule="auto"/>
        <w:jc w:val="both"/>
        <w:rPr>
          <w:rFonts w:ascii="Times New Roman" w:hAnsi="Times New Roman"/>
          <w:color w:val="0070C0"/>
          <w:sz w:val="16"/>
          <w:szCs w:val="16"/>
        </w:rPr>
      </w:pPr>
      <w:r w:rsidRPr="007224C3">
        <w:rPr>
          <w:rStyle w:val="128pt100"/>
          <w:rFonts w:ascii="Times New Roman" w:hAnsi="Times New Roman" w:cs="Times New Roman"/>
          <w:i w:val="0"/>
          <w:iCs w:val="0"/>
          <w:color w:val="0070C0"/>
        </w:rPr>
        <w:t>Примерно также оценил самолет и ве</w:t>
      </w:r>
      <w:r w:rsidRPr="007224C3">
        <w:rPr>
          <w:rStyle w:val="128pt100"/>
          <w:rFonts w:ascii="Times New Roman" w:hAnsi="Times New Roman" w:cs="Times New Roman"/>
          <w:i w:val="0"/>
          <w:iCs w:val="0"/>
          <w:color w:val="0070C0"/>
        </w:rPr>
        <w:softHyphen/>
        <w:t xml:space="preserve">дущий летчик генерал-майор Кабанов: </w:t>
      </w:r>
      <w:r w:rsidRPr="007224C3">
        <w:rPr>
          <w:rFonts w:ascii="Times New Roman" w:hAnsi="Times New Roman"/>
          <w:color w:val="0070C0"/>
          <w:sz w:val="16"/>
          <w:szCs w:val="16"/>
        </w:rPr>
        <w:t>«Замена мотора (АМ-42 вместо М-71ф) мало чем изменила впечатление от пове</w:t>
      </w:r>
      <w:r w:rsidRPr="007224C3">
        <w:rPr>
          <w:rFonts w:ascii="Times New Roman" w:hAnsi="Times New Roman"/>
          <w:color w:val="0070C0"/>
          <w:sz w:val="16"/>
          <w:szCs w:val="16"/>
        </w:rPr>
        <w:softHyphen/>
        <w:t>дения самолета в воздухе. По сравнению с однотипным самолетом Ил-10 в летном отношении самолет Су-6 преимуществ не имеет. Самолет Ил-10 более приятен в пилотировании, чем самолет Су-6, а глав</w:t>
      </w:r>
      <w:r w:rsidRPr="007224C3">
        <w:rPr>
          <w:rFonts w:ascii="Times New Roman" w:hAnsi="Times New Roman"/>
          <w:color w:val="0070C0"/>
          <w:sz w:val="16"/>
          <w:szCs w:val="16"/>
        </w:rPr>
        <w:softHyphen/>
        <w:t>ное более прост на взлете и посадке».</w:t>
      </w:r>
    </w:p>
    <w:p w14:paraId="1424C6AE" w14:textId="77777777" w:rsidR="002D2C83" w:rsidRPr="007224C3" w:rsidRDefault="002D2C83" w:rsidP="007224C3">
      <w:pPr>
        <w:pStyle w:val="121"/>
        <w:shd w:val="clear" w:color="auto" w:fill="auto"/>
        <w:spacing w:line="240" w:lineRule="auto"/>
        <w:jc w:val="both"/>
        <w:rPr>
          <w:rFonts w:ascii="Times New Roman" w:hAnsi="Times New Roman" w:cs="Times New Roman"/>
          <w:b w:val="0"/>
          <w:bCs w:val="0"/>
          <w:color w:val="0070C0"/>
          <w:sz w:val="16"/>
          <w:szCs w:val="16"/>
        </w:rPr>
      </w:pPr>
      <w:r w:rsidRPr="007224C3">
        <w:rPr>
          <w:rStyle w:val="128pt100"/>
          <w:rFonts w:ascii="Times New Roman" w:hAnsi="Times New Roman" w:cs="Times New Roman"/>
          <w:b w:val="0"/>
          <w:bCs w:val="0"/>
          <w:i w:val="0"/>
          <w:iCs w:val="0"/>
          <w:color w:val="0070C0"/>
        </w:rPr>
        <w:t>Мнение летчика облета подпол</w:t>
      </w:r>
      <w:r w:rsidRPr="007224C3">
        <w:rPr>
          <w:rStyle w:val="128pt100"/>
          <w:rFonts w:ascii="Times New Roman" w:hAnsi="Times New Roman" w:cs="Times New Roman"/>
          <w:b w:val="0"/>
          <w:bCs w:val="0"/>
          <w:i w:val="0"/>
          <w:iCs w:val="0"/>
          <w:color w:val="0070C0"/>
        </w:rPr>
        <w:softHyphen/>
        <w:t>ковника Долгова в целом было таким же:</w:t>
      </w:r>
      <w:r w:rsidRPr="007224C3">
        <w:rPr>
          <w:rFonts w:ascii="Times New Roman" w:hAnsi="Times New Roman" w:cs="Times New Roman"/>
          <w:b w:val="0"/>
          <w:bCs w:val="0"/>
          <w:color w:val="0070C0"/>
          <w:sz w:val="16"/>
          <w:szCs w:val="16"/>
        </w:rPr>
        <w:t xml:space="preserve"> «Опытный самолет Су-6 с мотором АМ-42, в отличие от самолета Су-6 с мо</w:t>
      </w:r>
      <w:r w:rsidRPr="007224C3">
        <w:rPr>
          <w:rFonts w:ascii="Times New Roman" w:hAnsi="Times New Roman" w:cs="Times New Roman"/>
          <w:b w:val="0"/>
          <w:bCs w:val="0"/>
          <w:color w:val="0070C0"/>
          <w:sz w:val="16"/>
          <w:szCs w:val="16"/>
        </w:rPr>
        <w:softHyphen/>
        <w:t>тором М-71ф, по технике пилотирова</w:t>
      </w:r>
      <w:r w:rsidRPr="007224C3">
        <w:rPr>
          <w:rFonts w:ascii="Times New Roman" w:hAnsi="Times New Roman" w:cs="Times New Roman"/>
          <w:b w:val="0"/>
          <w:bCs w:val="0"/>
          <w:color w:val="0070C0"/>
          <w:sz w:val="16"/>
          <w:szCs w:val="16"/>
        </w:rPr>
        <w:softHyphen/>
        <w:t>ния проще, особенно на посадке. Устой</w:t>
      </w:r>
      <w:r w:rsidRPr="007224C3">
        <w:rPr>
          <w:rFonts w:ascii="Times New Roman" w:hAnsi="Times New Roman" w:cs="Times New Roman"/>
          <w:b w:val="0"/>
          <w:bCs w:val="0"/>
          <w:color w:val="0070C0"/>
          <w:sz w:val="16"/>
          <w:szCs w:val="16"/>
        </w:rPr>
        <w:softHyphen/>
        <w:t>чивость самолета по всем осям хорошая, несколько велика путевая устойчивость, что сказывается на управляемости само</w:t>
      </w:r>
      <w:r w:rsidRPr="007224C3">
        <w:rPr>
          <w:rFonts w:ascii="Times New Roman" w:hAnsi="Times New Roman" w:cs="Times New Roman"/>
          <w:b w:val="0"/>
          <w:bCs w:val="0"/>
          <w:color w:val="0070C0"/>
          <w:sz w:val="16"/>
          <w:szCs w:val="16"/>
        </w:rPr>
        <w:softHyphen/>
        <w:t>лета. Нагрузки от руля высоты велики, особенно это чувствуется на взлете и виражах. Обзор на земле удовлетвори</w:t>
      </w:r>
      <w:r w:rsidRPr="007224C3">
        <w:rPr>
          <w:rFonts w:ascii="Times New Roman" w:hAnsi="Times New Roman" w:cs="Times New Roman"/>
          <w:b w:val="0"/>
          <w:bCs w:val="0"/>
          <w:color w:val="0070C0"/>
          <w:sz w:val="16"/>
          <w:szCs w:val="16"/>
        </w:rPr>
        <w:softHyphen/>
        <w:t>тельный, в воздухе хороший. По сравне</w:t>
      </w:r>
      <w:r w:rsidRPr="007224C3">
        <w:rPr>
          <w:rFonts w:ascii="Times New Roman" w:hAnsi="Times New Roman" w:cs="Times New Roman"/>
          <w:b w:val="0"/>
          <w:bCs w:val="0"/>
          <w:color w:val="0070C0"/>
          <w:sz w:val="16"/>
          <w:szCs w:val="16"/>
        </w:rPr>
        <w:softHyphen/>
        <w:t>нию с опытным самолетом Ил-10 с АМ- 42 самолет Су-6 с АМ-42 несколько слож</w:t>
      </w:r>
      <w:r w:rsidRPr="007224C3">
        <w:rPr>
          <w:rFonts w:ascii="Times New Roman" w:hAnsi="Times New Roman" w:cs="Times New Roman"/>
          <w:b w:val="0"/>
          <w:bCs w:val="0"/>
          <w:color w:val="0070C0"/>
          <w:sz w:val="16"/>
          <w:szCs w:val="16"/>
        </w:rPr>
        <w:softHyphen/>
        <w:t>нее в технике пилотирования, особенно на взлете и посадке, хуже по управляемо</w:t>
      </w:r>
      <w:r w:rsidRPr="007224C3">
        <w:rPr>
          <w:rFonts w:ascii="Times New Roman" w:hAnsi="Times New Roman" w:cs="Times New Roman"/>
          <w:b w:val="0"/>
          <w:bCs w:val="0"/>
          <w:color w:val="0070C0"/>
          <w:sz w:val="16"/>
          <w:szCs w:val="16"/>
        </w:rPr>
        <w:softHyphen/>
        <w:t>сти и отстает по максимальным скоро</w:t>
      </w:r>
      <w:r w:rsidRPr="007224C3">
        <w:rPr>
          <w:rFonts w:ascii="Times New Roman" w:hAnsi="Times New Roman" w:cs="Times New Roman"/>
          <w:b w:val="0"/>
          <w:bCs w:val="0"/>
          <w:color w:val="0070C0"/>
          <w:sz w:val="16"/>
          <w:szCs w:val="16"/>
        </w:rPr>
        <w:softHyphen/>
        <w:t>стям, в связи с этим постройка опытного самолета Су-6 с АМ-42 является нецеле</w:t>
      </w:r>
      <w:r w:rsidRPr="007224C3">
        <w:rPr>
          <w:rFonts w:ascii="Times New Roman" w:hAnsi="Times New Roman" w:cs="Times New Roman"/>
          <w:b w:val="0"/>
          <w:bCs w:val="0"/>
          <w:color w:val="0070C0"/>
          <w:sz w:val="16"/>
          <w:szCs w:val="16"/>
        </w:rPr>
        <w:softHyphen/>
        <w:t>сообразной».</w:t>
      </w:r>
    </w:p>
    <w:p w14:paraId="61E6B4FC" w14:textId="77777777" w:rsidR="002D2C83" w:rsidRPr="007224C3" w:rsidRDefault="002D2C8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Итоговый вывод сводился к тому, что по своим летным данным, технике пило</w:t>
      </w:r>
      <w:r w:rsidRPr="007224C3">
        <w:rPr>
          <w:rFonts w:ascii="Times New Roman" w:hAnsi="Times New Roman"/>
          <w:color w:val="0070C0"/>
          <w:sz w:val="16"/>
          <w:szCs w:val="16"/>
        </w:rPr>
        <w:softHyphen/>
        <w:t>тирования и управляемости Су-6 уступает Ил-10. К тому же государственные испы</w:t>
      </w:r>
      <w:r w:rsidRPr="007224C3">
        <w:rPr>
          <w:rFonts w:ascii="Times New Roman" w:hAnsi="Times New Roman"/>
          <w:color w:val="0070C0"/>
          <w:sz w:val="16"/>
          <w:szCs w:val="16"/>
        </w:rPr>
        <w:softHyphen/>
        <w:t>тания Су-6 АМ-42 еще не окончились, и официального акта НИИ ВВС подготов</w:t>
      </w:r>
      <w:r w:rsidRPr="007224C3">
        <w:rPr>
          <w:rFonts w:ascii="Times New Roman" w:hAnsi="Times New Roman"/>
          <w:color w:val="0070C0"/>
          <w:sz w:val="16"/>
          <w:szCs w:val="16"/>
        </w:rPr>
        <w:softHyphen/>
        <w:t>лено не было (19853).</w:t>
      </w:r>
    </w:p>
    <w:p w14:paraId="6ABA1517" w14:textId="77777777" w:rsidR="002D2C83" w:rsidRPr="007224C3" w:rsidRDefault="002D2C83" w:rsidP="007224C3">
      <w:pPr>
        <w:spacing w:after="0" w:line="240" w:lineRule="auto"/>
        <w:jc w:val="both"/>
        <w:rPr>
          <w:rFonts w:ascii="Times New Roman" w:hAnsi="Times New Roman"/>
          <w:color w:val="0070C0"/>
          <w:sz w:val="16"/>
          <w:szCs w:val="16"/>
        </w:rPr>
      </w:pPr>
    </w:p>
    <w:p w14:paraId="1DCF80C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июня 1944 Зам. Нач. 7ГУ Алексеев подготовил сводку г-7 № 7671 о ходе испытаний высотных самолетов на 8 июня 1944 по Як-9 М-105ПД, Ла-5 АШ-82ФН и 2ТК-3, МиГ АМ-39А и 2ТК-2Б (1825).</w:t>
      </w:r>
    </w:p>
    <w:p w14:paraId="3C8BCF9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ВЫСОТНЫЙ ИСТРЕБИТЕЛЬ ЯК-9 С ВК-105ПФ И ДВУХСТУПЕНЧАТЫМ НАГНЕТАТЕЛЕМ</w:t>
      </w:r>
    </w:p>
    <w:p w14:paraId="5AA7E5B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Продолжались работы по установке мотора с понижениой высотностью. Самолет будет передан в ЦАГИ для продувок в трубе 10 июня с.г.</w:t>
      </w:r>
    </w:p>
    <w:p w14:paraId="7625769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ВЫСОТНЫЙ ИСТРЕБИТЕЛЬ ЛА-5 С АШ-82ФН и 2ТК-3.</w:t>
      </w:r>
    </w:p>
    <w:p w14:paraId="1643BDD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Произведен контрсльный полет до 4000 мт после замены центрального бензобака, знжкторной помпы и улучшения дефлектирования головок цилиндров. Из-за течи масла, полет был прекращен. Причины течи масла выясняются.</w:t>
      </w:r>
    </w:p>
    <w:p w14:paraId="3FD707D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ВЫСОТНЫЙ ИСТРЕБИТЕЛЬ МИГ С АМ-39Б И 2ТК-2Б.</w:t>
      </w:r>
    </w:p>
    <w:p w14:paraId="3753E2E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Произведен полет на замер давлений в бензосистеме самолета.</w:t>
      </w:r>
    </w:p>
    <w:p w14:paraId="283462B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Продолжительность полета - 40 мин, высота - 7000 мт. Начиная с высоты - 3000 мт началось падение давле</w:t>
      </w:r>
      <w:r w:rsidRPr="007224C3">
        <w:rPr>
          <w:rFonts w:ascii="Times New Roman" w:hAnsi="Times New Roman"/>
          <w:color w:val="000000" w:themeColor="text1"/>
          <w:sz w:val="16"/>
          <w:szCs w:val="16"/>
        </w:rPr>
        <w:softHyphen/>
        <w:t>ния бензина и с высоты - 7000 мт давление бензина стало падать более резко. Причиной падения давле</w:t>
      </w:r>
      <w:r w:rsidRPr="007224C3">
        <w:rPr>
          <w:rFonts w:ascii="Times New Roman" w:hAnsi="Times New Roman"/>
          <w:color w:val="000000" w:themeColor="text1"/>
          <w:sz w:val="16"/>
          <w:szCs w:val="16"/>
        </w:rPr>
        <w:softHyphen/>
        <w:t>ния бензина на высоте является неудовлетворитель</w:t>
      </w:r>
      <w:r w:rsidRPr="007224C3">
        <w:rPr>
          <w:rFonts w:ascii="Times New Roman" w:hAnsi="Times New Roman"/>
          <w:color w:val="000000" w:themeColor="text1"/>
          <w:sz w:val="16"/>
          <w:szCs w:val="16"/>
        </w:rPr>
        <w:softHyphen/>
        <w:t>ная работа эжекторной помпы, которая по техничес</w:t>
      </w:r>
      <w:r w:rsidRPr="007224C3">
        <w:rPr>
          <w:rFonts w:ascii="Times New Roman" w:hAnsi="Times New Roman"/>
          <w:color w:val="000000" w:themeColor="text1"/>
          <w:sz w:val="16"/>
          <w:szCs w:val="16"/>
        </w:rPr>
        <w:softHyphen/>
        <w:t>ким условиям должна обеспечивать нормальное пита</w:t>
      </w:r>
      <w:r w:rsidRPr="007224C3">
        <w:rPr>
          <w:rFonts w:ascii="Times New Roman" w:hAnsi="Times New Roman"/>
          <w:color w:val="000000" w:themeColor="text1"/>
          <w:sz w:val="16"/>
          <w:szCs w:val="16"/>
        </w:rPr>
        <w:softHyphen/>
        <w:t>ние топливом до высоты 11000-12000 мт. Для сохранения давления бензина на высоте, на са</w:t>
      </w:r>
      <w:r w:rsidRPr="007224C3">
        <w:rPr>
          <w:rFonts w:ascii="Times New Roman" w:hAnsi="Times New Roman"/>
          <w:color w:val="000000" w:themeColor="text1"/>
          <w:sz w:val="16"/>
          <w:szCs w:val="16"/>
        </w:rPr>
        <w:softHyphen/>
        <w:t>молете монтируется система нейтрального газа для заполнения бензобаков, с давлением 0,1 атм (1825).</w:t>
      </w:r>
    </w:p>
    <w:p w14:paraId="7CBB625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B974D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июня 1944 состоялось заседание коллегии НКАП по вопросам о результатах работы заводов НКАП за май 1944 (1743).</w:t>
      </w:r>
    </w:p>
    <w:p w14:paraId="54C4E52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96E83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июня 1944 на вооружение СА была принята система залпового огня БМ-31-12, разработанная В.П.Барминым в СКБ Компрессор (2528).</w:t>
      </w:r>
    </w:p>
    <w:p w14:paraId="5857A64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91D365" w14:textId="77777777" w:rsidR="00C074FF" w:rsidRPr="007224C3" w:rsidRDefault="00C074F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9 июня 1944 года </w:t>
      </w:r>
      <w:r w:rsidRPr="007224C3">
        <w:rPr>
          <w:rFonts w:ascii="Times New Roman" w:eastAsia="Times New Roman" w:hAnsi="Times New Roman"/>
          <w:color w:val="000000" w:themeColor="text1"/>
          <w:sz w:val="16"/>
          <w:szCs w:val="16"/>
        </w:rPr>
        <w:t>Постановлением ГОКО</w:t>
      </w:r>
      <w:r w:rsidRPr="007224C3">
        <w:rPr>
          <w:rFonts w:ascii="Times New Roman" w:hAnsi="Times New Roman"/>
          <w:color w:val="000000" w:themeColor="text1"/>
          <w:sz w:val="16"/>
          <w:szCs w:val="16"/>
        </w:rPr>
        <w:t xml:space="preserve"> "О принятии на вооружение Красной Армии боевых установок М-31 и перевооружении 12-ти дивизионов М-31" на вооружение Гвардейских минометных частей Красной Армии была принята двенадцатизарядная установка М-31 конструкции Бармина, смонтированная на автошасси для стрельбы снарядами М-31 улучшенной кучности. Постановлением также устанавливался план производства боевых установок М-31 на 2-й квартал 1944 года в количестве 250 штук. В приложении к постановлению указывается ее марка - БМ-31-12.</w:t>
      </w:r>
    </w:p>
    <w:p w14:paraId="3667A3FB" w14:textId="77777777" w:rsidR="00C074FF" w:rsidRPr="007224C3" w:rsidRDefault="00C074FF" w:rsidP="007224C3">
      <w:pPr>
        <w:spacing w:after="0" w:line="240" w:lineRule="auto"/>
        <w:jc w:val="both"/>
        <w:rPr>
          <w:rFonts w:ascii="Times New Roman" w:eastAsia="Times New Roman" w:hAnsi="Times New Roman"/>
          <w:color w:val="000000" w:themeColor="text1"/>
          <w:sz w:val="16"/>
          <w:szCs w:val="16"/>
        </w:rPr>
      </w:pPr>
      <w:r w:rsidRPr="007224C3">
        <w:rPr>
          <w:rFonts w:ascii="Times New Roman" w:eastAsia="Times New Roman" w:hAnsi="Times New Roman"/>
          <w:color w:val="000000" w:themeColor="text1"/>
          <w:sz w:val="16"/>
          <w:szCs w:val="16"/>
        </w:rPr>
        <w:t>Преимуществами установки БМ-31-12 по сравнению со станками М30 и М31 были:</w:t>
      </w:r>
    </w:p>
    <w:p w14:paraId="410AA94D" w14:textId="77777777" w:rsidR="00C074FF" w:rsidRPr="007224C3" w:rsidRDefault="00C074FF" w:rsidP="007224C3">
      <w:pPr>
        <w:spacing w:after="0" w:line="240" w:lineRule="auto"/>
        <w:jc w:val="both"/>
        <w:rPr>
          <w:rFonts w:ascii="Times New Roman" w:eastAsia="Times New Roman" w:hAnsi="Times New Roman"/>
          <w:color w:val="000000" w:themeColor="text1"/>
          <w:sz w:val="16"/>
          <w:szCs w:val="16"/>
        </w:rPr>
      </w:pPr>
      <w:r w:rsidRPr="007224C3">
        <w:rPr>
          <w:rFonts w:ascii="Times New Roman" w:eastAsia="Times New Roman" w:hAnsi="Times New Roman"/>
          <w:color w:val="000000" w:themeColor="text1"/>
          <w:sz w:val="16"/>
          <w:szCs w:val="16"/>
        </w:rPr>
        <w:t>- маневренность (возможность пережвижения);</w:t>
      </w:r>
    </w:p>
    <w:p w14:paraId="510DD600" w14:textId="77777777" w:rsidR="00C074FF" w:rsidRPr="007224C3" w:rsidRDefault="00C074FF" w:rsidP="007224C3">
      <w:pPr>
        <w:spacing w:after="0" w:line="240" w:lineRule="auto"/>
        <w:jc w:val="both"/>
        <w:rPr>
          <w:rFonts w:ascii="Times New Roman" w:eastAsia="Times New Roman" w:hAnsi="Times New Roman"/>
          <w:color w:val="000000" w:themeColor="text1"/>
          <w:sz w:val="16"/>
          <w:szCs w:val="16"/>
        </w:rPr>
      </w:pPr>
      <w:r w:rsidRPr="007224C3">
        <w:rPr>
          <w:rFonts w:ascii="Times New Roman" w:eastAsia="Times New Roman" w:hAnsi="Times New Roman"/>
          <w:color w:val="000000" w:themeColor="text1"/>
          <w:sz w:val="16"/>
          <w:szCs w:val="16"/>
        </w:rPr>
        <w:lastRenderedPageBreak/>
        <w:t>- возможность стрельбы в диапазоне углов возвышения от +10 до +45°;</w:t>
      </w:r>
    </w:p>
    <w:p w14:paraId="1AD78E7A" w14:textId="77777777" w:rsidR="00C074FF" w:rsidRPr="007224C3" w:rsidRDefault="00C074FF" w:rsidP="007224C3">
      <w:pPr>
        <w:spacing w:after="0" w:line="240" w:lineRule="auto"/>
        <w:jc w:val="both"/>
        <w:rPr>
          <w:rFonts w:ascii="Times New Roman" w:eastAsia="Times New Roman" w:hAnsi="Times New Roman"/>
          <w:color w:val="000000" w:themeColor="text1"/>
          <w:sz w:val="16"/>
          <w:szCs w:val="16"/>
        </w:rPr>
      </w:pPr>
      <w:r w:rsidRPr="007224C3">
        <w:rPr>
          <w:rFonts w:ascii="Times New Roman" w:eastAsia="Times New Roman" w:hAnsi="Times New Roman"/>
          <w:color w:val="000000" w:themeColor="text1"/>
          <w:sz w:val="16"/>
          <w:szCs w:val="16"/>
        </w:rPr>
        <w:t>- лучшая кучность стрельбы;</w:t>
      </w:r>
    </w:p>
    <w:p w14:paraId="5A8194F1" w14:textId="77777777" w:rsidR="00C074FF" w:rsidRPr="007224C3" w:rsidRDefault="00C074FF" w:rsidP="007224C3">
      <w:pPr>
        <w:spacing w:after="0" w:line="240" w:lineRule="auto"/>
        <w:jc w:val="both"/>
        <w:rPr>
          <w:rFonts w:ascii="Times New Roman" w:eastAsia="Times New Roman" w:hAnsi="Times New Roman"/>
          <w:color w:val="000000" w:themeColor="text1"/>
          <w:sz w:val="16"/>
          <w:szCs w:val="16"/>
        </w:rPr>
      </w:pPr>
      <w:r w:rsidRPr="007224C3">
        <w:rPr>
          <w:rFonts w:ascii="Times New Roman" w:eastAsia="Times New Roman" w:hAnsi="Times New Roman"/>
          <w:color w:val="000000" w:themeColor="text1"/>
          <w:sz w:val="16"/>
          <w:szCs w:val="16"/>
        </w:rPr>
        <w:t>- возможность выезда на позицию заряженной;</w:t>
      </w:r>
    </w:p>
    <w:p w14:paraId="383BCB5A" w14:textId="77777777" w:rsidR="00C074FF" w:rsidRPr="007224C3" w:rsidRDefault="00C074FF" w:rsidP="007224C3">
      <w:pPr>
        <w:spacing w:after="0" w:line="240" w:lineRule="auto"/>
        <w:jc w:val="both"/>
        <w:rPr>
          <w:rFonts w:ascii="Times New Roman" w:eastAsia="Times New Roman" w:hAnsi="Times New Roman"/>
          <w:color w:val="000000" w:themeColor="text1"/>
          <w:sz w:val="16"/>
          <w:szCs w:val="16"/>
        </w:rPr>
      </w:pPr>
      <w:r w:rsidRPr="007224C3">
        <w:rPr>
          <w:rFonts w:ascii="Times New Roman" w:eastAsia="Times New Roman" w:hAnsi="Times New Roman"/>
          <w:color w:val="000000" w:themeColor="text1"/>
          <w:sz w:val="16"/>
          <w:szCs w:val="16"/>
        </w:rPr>
        <w:t>- более удобное и быстрое заряжание при меньшем числе номеров расчета;</w:t>
      </w:r>
    </w:p>
    <w:p w14:paraId="68F50174" w14:textId="77777777" w:rsidR="00C074FF" w:rsidRPr="007224C3" w:rsidRDefault="00C074FF" w:rsidP="007224C3">
      <w:pPr>
        <w:spacing w:after="0" w:line="240" w:lineRule="auto"/>
        <w:jc w:val="both"/>
        <w:rPr>
          <w:rFonts w:ascii="Times New Roman" w:eastAsia="Times New Roman" w:hAnsi="Times New Roman"/>
          <w:color w:val="000000" w:themeColor="text1"/>
          <w:sz w:val="16"/>
          <w:szCs w:val="16"/>
        </w:rPr>
      </w:pPr>
      <w:r w:rsidRPr="007224C3">
        <w:rPr>
          <w:rFonts w:ascii="Times New Roman" w:eastAsia="Times New Roman" w:hAnsi="Times New Roman"/>
          <w:color w:val="000000" w:themeColor="text1"/>
          <w:sz w:val="16"/>
          <w:szCs w:val="16"/>
        </w:rPr>
        <w:t>- исключение схода снаряда с увлечением за собой направляющих укупорок [102].</w:t>
      </w:r>
    </w:p>
    <w:p w14:paraId="1A459D1A" w14:textId="77777777" w:rsidR="00C074FF" w:rsidRPr="007224C3" w:rsidRDefault="00C074FF" w:rsidP="007224C3">
      <w:pPr>
        <w:spacing w:after="0" w:line="240" w:lineRule="auto"/>
        <w:jc w:val="both"/>
        <w:rPr>
          <w:rFonts w:ascii="Times New Roman" w:eastAsia="Times New Roman" w:hAnsi="Times New Roman"/>
          <w:color w:val="000000" w:themeColor="text1"/>
          <w:sz w:val="16"/>
          <w:szCs w:val="16"/>
        </w:rPr>
      </w:pPr>
      <w:r w:rsidRPr="007224C3">
        <w:rPr>
          <w:rFonts w:ascii="Times New Roman" w:eastAsia="Times New Roman" w:hAnsi="Times New Roman"/>
          <w:color w:val="000000" w:themeColor="text1"/>
          <w:sz w:val="16"/>
          <w:szCs w:val="16"/>
        </w:rPr>
        <w:t>В дальнейшем установка использовалась для пуска реактивных снарядов М-13УК калибра 132 мм (15981).</w:t>
      </w:r>
    </w:p>
    <w:p w14:paraId="7BA8BFBD" w14:textId="77777777" w:rsidR="00C074FF" w:rsidRPr="007224C3" w:rsidRDefault="00C074FF" w:rsidP="007224C3">
      <w:pPr>
        <w:spacing w:after="0" w:line="240" w:lineRule="auto"/>
        <w:jc w:val="both"/>
        <w:rPr>
          <w:rFonts w:ascii="Times New Roman" w:eastAsia="Times New Roman" w:hAnsi="Times New Roman"/>
          <w:color w:val="000000" w:themeColor="text1"/>
          <w:sz w:val="16"/>
          <w:szCs w:val="16"/>
        </w:rPr>
      </w:pPr>
    </w:p>
    <w:p w14:paraId="13D0B8F0" w14:textId="77777777" w:rsidR="00C074FF" w:rsidRPr="007224C3" w:rsidRDefault="00C074FF"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9 июня</w:t>
      </w:r>
      <w:r w:rsidRPr="007224C3">
        <w:rPr>
          <w:rFonts w:ascii="Times New Roman" w:hAnsi="Times New Roman"/>
          <w:color w:val="000000" w:themeColor="text1"/>
          <w:sz w:val="16"/>
          <w:szCs w:val="16"/>
        </w:rPr>
        <w:t xml:space="preserve"> в 1944 году на вооружение принята РСЗО «БМ-31-12» ("Катюша"), разработанная под руководством В.П.Бармина в СКБ "Компрессор". Ракеты «М-30» и «М-31калибра» 300 мм во время войны получили название "Андрюши" и "Ванюши". Это было мощное оружие. Прямое попадание «М-30» разрушало любые полевые укрепления, даже многонакатные блиндажи и ДЗОТы; железобетонные сооружения выдерживали, но землей забивало щели и амбразуры, а гарнизон тяжело контузило. Пусковые установки монтировались на шасси «Studebaker US6» («БМ-31-12») или «ЗИС-6». Практиковали также стрельбу с наземных станков ("сараев") (14917).</w:t>
      </w:r>
    </w:p>
    <w:p w14:paraId="49538BA8" w14:textId="77777777" w:rsidR="00C074FF" w:rsidRPr="007224C3" w:rsidRDefault="00C074FF" w:rsidP="007224C3">
      <w:pPr>
        <w:spacing w:after="0" w:line="240" w:lineRule="auto"/>
        <w:jc w:val="both"/>
        <w:rPr>
          <w:rFonts w:ascii="Times New Roman" w:hAnsi="Times New Roman"/>
          <w:color w:val="000000" w:themeColor="text1"/>
          <w:sz w:val="16"/>
          <w:szCs w:val="16"/>
        </w:rPr>
      </w:pPr>
    </w:p>
    <w:p w14:paraId="252175EA"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0FB5493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8C7314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июня 1944 вышло Распоряжение ГКО № 6028. О мобилизации 3 тыс. чел. на Украине на строительство полевого оборонительного рубежа в Ровенской обл. РГАНИР, Фонд ГКО, д. 263, лл. 33 (11012).</w:t>
      </w:r>
    </w:p>
    <w:p w14:paraId="4CB955C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D1C2128" w14:textId="77777777" w:rsidR="00C074FF"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июня 1944 вышло Постановление ГКО № 6029 О принятии на вооружение Красной Армии боевых установок М-31 и перевооружении 12 дивизионов М-31. РГАНИР, Фонд ГКО, д. 263, лл. 34,35-59 (11012).</w:t>
      </w:r>
    </w:p>
    <w:p w14:paraId="3B30FD62" w14:textId="77777777" w:rsidR="00C074FF" w:rsidRPr="007224C3" w:rsidRDefault="00C074FF" w:rsidP="007224C3">
      <w:pPr>
        <w:autoSpaceDE w:val="0"/>
        <w:autoSpaceDN w:val="0"/>
        <w:adjustRightInd w:val="0"/>
        <w:spacing w:after="0" w:line="240" w:lineRule="auto"/>
        <w:jc w:val="both"/>
        <w:rPr>
          <w:rFonts w:ascii="Times New Roman" w:hAnsi="Times New Roman"/>
          <w:color w:val="000000" w:themeColor="text1"/>
          <w:sz w:val="16"/>
          <w:szCs w:val="16"/>
        </w:rPr>
      </w:pPr>
    </w:p>
    <w:p w14:paraId="61756A32" w14:textId="77777777" w:rsidR="00C074FF" w:rsidRPr="007224C3" w:rsidRDefault="000340E9"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июня 1944 ГОСУДАРСТВЕННЫЙ КОМИТЕТ ОБОРОНЫ</w:t>
      </w:r>
    </w:p>
    <w:p w14:paraId="7077F8F2" w14:textId="77777777" w:rsidR="000340E9" w:rsidRPr="007224C3" w:rsidRDefault="000340E9" w:rsidP="007224C3">
      <w:pPr>
        <w:autoSpaceDE w:val="0"/>
        <w:autoSpaceDN w:val="0"/>
        <w:adjustRightInd w:val="0"/>
        <w:spacing w:after="0" w:line="240" w:lineRule="auto"/>
        <w:jc w:val="both"/>
        <w:rPr>
          <w:rFonts w:ascii="Times New Roman" w:hAnsi="Times New Roman"/>
          <w:b/>
          <w:color w:val="000000" w:themeColor="text1"/>
          <w:sz w:val="16"/>
          <w:szCs w:val="16"/>
        </w:rPr>
      </w:pPr>
      <w:r w:rsidRPr="007224C3">
        <w:rPr>
          <w:rFonts w:ascii="Times New Roman" w:hAnsi="Times New Roman"/>
          <w:color w:val="000000" w:themeColor="text1"/>
          <w:sz w:val="16"/>
          <w:szCs w:val="16"/>
        </w:rPr>
        <w:t>ПОСТАНОВЛЕНИЕ № ГКО-6029сс</w:t>
      </w:r>
    </w:p>
    <w:p w14:paraId="459654A0"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г. Москва, Кремль </w:t>
      </w:r>
    </w:p>
    <w:p w14:paraId="33394994"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 принятии на вооружение Красной Армии боевых установок М-31 и перевооружении 12 дивизионов М-31</w:t>
      </w:r>
    </w:p>
    <w:p w14:paraId="37C8893C"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1. Принять на вооружение Гвардейских минометных частей Красной Армии двенадцатизарядную установку М-31‚ конструкции Бармина, смонтированную на автошасси для стрельбы снарядами М-31 улучшенной кучности. </w:t>
      </w:r>
    </w:p>
    <w:p w14:paraId="23458DCD"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2. Установить план производства боевых установок М-31 на 2-ой квартал 1944 года в количестве 250 штук. </w:t>
      </w:r>
    </w:p>
    <w:p w14:paraId="3E5DC47E"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3. Обязать Командующего Гвардейскими минометными частями тов. Дегтярева в течение июня 1944 года вооружить в 12-ти бригадах М-31 по одному дивизиону боевыми установками     М-31. </w:t>
      </w:r>
    </w:p>
    <w:p w14:paraId="2E47F981"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4. Обязать НКО (т.т. Хрулева и Карпоносова) предусмотреть в плане распределения автомашин выделение на июнь 1944 года целевым назначением для доукомплектования перевооружаемых 12-ти дивизионов М-31 и под монтаж боевых установок М-31 400 автомашин грузоподъемностью 2.5 - 3 тонны. </w:t>
      </w:r>
    </w:p>
    <w:p w14:paraId="1A3B9AA3"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5. Утвердить мероприятия по производству во 2-м квартале 1944 года боевых установок     М-31, М-13 и М-8 и пусковых рам М-31. </w:t>
      </w:r>
    </w:p>
    <w:p w14:paraId="7BA831B5"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ПРЕДСЕДАТЕЛЬ ГОСУДАРСТВЕННОГО КОМИТЕТА ОБОРОНЫ И. СТАЛИН</w:t>
      </w:r>
    </w:p>
    <w:p w14:paraId="7E87EC6E"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Выписки посланы: </w:t>
      </w:r>
    </w:p>
    <w:p w14:paraId="3F862595"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т.т. Молотову, Маленкову, Берия, Дегтяреву, Гайдукову, Антонову - все; </w:t>
      </w:r>
    </w:p>
    <w:p w14:paraId="185C9515"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Хрулеву, Карпоносову - п. 4 (12641).</w:t>
      </w:r>
    </w:p>
    <w:p w14:paraId="32CFF2D6" w14:textId="77777777" w:rsidR="000340E9" w:rsidRPr="007224C3" w:rsidRDefault="000340E9" w:rsidP="007224C3">
      <w:pPr>
        <w:spacing w:after="0" w:line="240" w:lineRule="auto"/>
        <w:jc w:val="both"/>
        <w:rPr>
          <w:rFonts w:ascii="Times New Roman" w:hAnsi="Times New Roman"/>
          <w:color w:val="000000" w:themeColor="text1"/>
          <w:sz w:val="16"/>
          <w:szCs w:val="16"/>
        </w:rPr>
      </w:pPr>
    </w:p>
    <w:p w14:paraId="6EA3DC0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июня 1944 вышло Постановление ГКО № 6030 О мероприятиях по обеспечению базирования и ремонта вновь поступающих кораблей на Северный военно-морской флот. РГАНИР, Фонд ГКО, д. 263, лл. 60-73,74-96 (11012).</w:t>
      </w:r>
    </w:p>
    <w:p w14:paraId="1F3CBBA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7F8D275" w14:textId="77777777" w:rsidR="00C074FF" w:rsidRPr="007224C3" w:rsidRDefault="00C074F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июня 1944 г. Доклад директора завода № 237 А. Ф. Соловьева народному комиссару вооружения СССР Д. Ф. Устинову о выпускаемой заводом продукции для Военно-Морского Флота за три года Великой Отечественной войны</w:t>
      </w:r>
    </w:p>
    <w:p w14:paraId="1FAEC0F3" w14:textId="77777777" w:rsidR="00C074FF" w:rsidRPr="007224C3" w:rsidRDefault="00C074F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июня 1944 г. - День Военно-Морского Флота СССР, дата, позволяющая подвести итоги и оценить работу нашего завода, как основного предприятия по созданию, изготовлению и монтажу на объектах ВМФ морских оптических приборов.</w:t>
      </w:r>
    </w:p>
    <w:p w14:paraId="0E2CFA3B" w14:textId="77777777" w:rsidR="00C074FF" w:rsidRPr="007224C3" w:rsidRDefault="00C074F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годы сталинских пятилеток, предшествовавших второй Отечественной войне, заводом спроектированы, выполнены в образцах, испытаны, а затем выпущены в серийном порядке и смонтированы на кораблях и береговых укреплениях ВМФ СССР десятки наименований сложнейших оптических приборов.</w:t>
      </w:r>
    </w:p>
    <w:p w14:paraId="6E8855A4" w14:textId="77777777" w:rsidR="00C074FF" w:rsidRPr="007224C3" w:rsidRDefault="00C074F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Три года Отечественной войны показали, что продукция завода с честью выдержала этот ответственный экзамен, подтвердив ее высокие качества, прочность, безотказность действия, соответствие тактике современного морского боя. Успешно выдержала экзамен в период Отечественной войны и работа монтажных бригад завода на всех флотах ВМФ. Монтажные бригады завода наряду с установкой приборов на новых кораблях, обеспечили ремонт кораблей в холодных условиях, в условиях отсутствия мастерских и постоянных ремонтных баз и сложной боевой обстановки Мурманска, Севастополя, Ленинграда, Ладоги, Волги и других зон боевых операций ВМФ. На боевом посту в Мурманске погиб инженер-монтажник завода тов. Жданов О. В круг деятельности монтажных бригад вошел, помимо установочно-монтажных работ, ремонт приборов, поврежденных в боевых операциях, обучение личного состава кораблей обращению и ремонту приборов, организация оптических мастерских на новых базах, передача опыта ремонта личному составу этих мастерских. Деятельность монтажных бригад распространялась на приборы как нашего завода, так и других заводов Союза и иностранную технику, находящуюся на вооружении ВМФ СССР. Безукоризненная работа монтажных бригад многими приказами и награждениями высоко оценена командующими флотов и артотделов флотов.</w:t>
      </w:r>
    </w:p>
    <w:p w14:paraId="7F4A54DC" w14:textId="77777777" w:rsidR="00C074FF" w:rsidRPr="007224C3" w:rsidRDefault="00C074F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дает Военно-Морскому Флоту СССР приборы по всем разделам оптического приборостроения: дальномеры, перископы, визиры, прицелы, учебно-тренировочные приборы и ряд специальных приборов и установок. На боевых объектах ВМФ работают и непрерывно поставляются сотни дальномеров ДМ-0,7; ДМ-1,5; ДМ-3; ДМ-6; ДМ-8; ДМ-12 и к ним антивибрационные подцапфенники, тумбы и суппорта, АВТ-2, АТ-3, АПТ-3, А4-Б12, А6, АПБ-12, АПБ-20, АПБ-43, СД-12 и др. Сотни перископов – командирских ПА-7,6; ПА-8,5; ПА-9 и зенитных ПЗ-7, ПЗ-7,5, ПЗ-8,5, ПЗ-9; десятки визиров ВМЦ-2; ГО; ГГ; ГУ и др., никлинометров, компасов ГОН; машинок для осушки ТО-б; труб для осмотра каналов орудий РВП; сотни учебно-тренировочных приборов ДОР-3, ПУ-1, ДОД, ПОВ и др. Для улучшения качества и модернизации приборов заводом проведены десятки исследовательских работ с целью повышения их измерительных свойств, теплоустойчивости, герметичности, стойкости от вибраций и сотрясений, светопропускания и качества изображения, устранения отпотеваний и обледенений.</w:t>
      </w:r>
    </w:p>
    <w:p w14:paraId="61A6657E" w14:textId="77777777" w:rsidR="00C074FF" w:rsidRPr="007224C3" w:rsidRDefault="00C074F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настоящий момент, наряду с улучшением и модернизацией серийной продукции, в широких масштабах производится проектирование новых приборов, основанных на глубоком анализе опыта войны, изучении лучших образцов иностранных приборов и использовании творческих и изобретательских предложений работников завода. Эта работа уже дает реальные результаты выпуском образцов новых приборов – подцапфенников типа АПТ, перископов ПАО, ДМ-1,5 с конвертором, машинки для осушки ТО-б, модернизированных перископов ПЗ-ВАК и пр. и большого числа проектов новых сложных приборов по всем основным разделам морского оптического приборостроения – дальномерам, визирам и перископам.</w:t>
      </w:r>
    </w:p>
    <w:p w14:paraId="4790906E" w14:textId="77777777" w:rsidR="00C074FF" w:rsidRPr="007224C3" w:rsidRDefault="00C074F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создании этого огромного количества приборов на заводе выросли кадры квалифицированных инженерно-технических работников – конструкторов, исследователей, оптиков, монтажников и рабочих: сборщиков-монтажников и механиков. Их самоотверженным, настойчивым трудом созданы и смонтированы эти приборы.</w:t>
      </w:r>
    </w:p>
    <w:p w14:paraId="100196E4" w14:textId="77777777" w:rsidR="00C074FF" w:rsidRPr="007224C3" w:rsidRDefault="00C074F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Творческая инициатива, высокие знания, огромный напряженный труд, успешные результаты работы наиболее отличившихся инженеров, техников и рабочих, непосредственно создававших приборы, руководящих работой по их проектированию, устанавливавших приборы на кораблях и батареях ВМФ, заслуживают быть отмеченными и награжденными.</w:t>
      </w:r>
    </w:p>
    <w:p w14:paraId="280674E2" w14:textId="77777777" w:rsidR="00C074FF" w:rsidRPr="007224C3" w:rsidRDefault="00C074F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Ходатайствуем о награждении наиболее отличившихся работников завода, труд которых послужил созданию морского оптического приборостроения и которые своим производственным и общественным лицом наиболее достойны этого награждения.</w:t>
      </w:r>
    </w:p>
    <w:p w14:paraId="1ABEC397" w14:textId="77777777" w:rsidR="00C074FF" w:rsidRPr="007224C3" w:rsidRDefault="00C074F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завода № 237 Соловьев</w:t>
      </w:r>
    </w:p>
    <w:p w14:paraId="23624841" w14:textId="77777777" w:rsidR="00C074FF" w:rsidRPr="007224C3" w:rsidRDefault="00C074F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РТ. Ф. Р-6600. Оп. 1. Д. 70. Л. 3-3 об. Отпуск (15494).</w:t>
      </w:r>
    </w:p>
    <w:p w14:paraId="0C7ABBA2" w14:textId="77777777" w:rsidR="00C074FF" w:rsidRPr="007224C3" w:rsidRDefault="00C074FF" w:rsidP="007224C3">
      <w:pPr>
        <w:spacing w:after="0" w:line="240" w:lineRule="auto"/>
        <w:jc w:val="both"/>
        <w:rPr>
          <w:rFonts w:ascii="Times New Roman" w:hAnsi="Times New Roman"/>
          <w:color w:val="000000" w:themeColor="text1"/>
          <w:sz w:val="16"/>
          <w:szCs w:val="16"/>
        </w:rPr>
      </w:pPr>
    </w:p>
    <w:p w14:paraId="5B7CFD68"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65126A8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E8D9E87" w14:textId="77777777" w:rsidR="00C074FF" w:rsidRPr="007224C3" w:rsidRDefault="00C074FF"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9 июня</w:t>
      </w:r>
      <w:r w:rsidRPr="007224C3">
        <w:rPr>
          <w:rFonts w:ascii="Times New Roman" w:hAnsi="Times New Roman"/>
          <w:color w:val="000000" w:themeColor="text1"/>
          <w:sz w:val="16"/>
          <w:szCs w:val="16"/>
        </w:rPr>
        <w:t xml:space="preserve"> в 1944 году оперативная сводка Совинформбюро:</w:t>
      </w:r>
    </w:p>
    <w:p w14:paraId="6A076094" w14:textId="77777777" w:rsidR="00C074FF" w:rsidRPr="007224C3" w:rsidRDefault="00C074F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9 июня на фронтах существенных изменений не произошло.</w:t>
      </w:r>
    </w:p>
    <w:p w14:paraId="38110F2B" w14:textId="77777777" w:rsidR="00C074FF" w:rsidRPr="007224C3" w:rsidRDefault="00C074F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8 июня наши войска на всех фронтах подбили и уничтожили 25 немецких танков. В воздушных боях и огнём зенитной артиллерии сбито 27 самолётов противника.</w:t>
      </w:r>
    </w:p>
    <w:p w14:paraId="017FB2B3" w14:textId="77777777" w:rsidR="00C074FF" w:rsidRPr="007224C3" w:rsidRDefault="00C074F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Северо-западнее города Тарнополь полк немецкой пехоты, усиленный танками, атаковал позиции Н-ской части. Ценою больших потерь противнику удалось ворваться в населённый пункт. Ночью наши бойцы перешли в контратаку и выбили немцев из населённого пункта. Подбито и сожжено 10 немецких танков и 2 самоходных орудия. Захвачены трофеи и пленные.</w:t>
      </w:r>
    </w:p>
    <w:p w14:paraId="1AF73AD9" w14:textId="77777777" w:rsidR="00C074FF" w:rsidRPr="007224C3" w:rsidRDefault="00C074F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Северо-восточнее города Станислав над одним участком нашей обороны появилось 12 немецких истребителей «Фокке-Вульф-190». Зенитная батарея старшего лейтенанта Кузнецова открыла огонь и сбила 4 самолёта противника.</w:t>
      </w:r>
    </w:p>
    <w:p w14:paraId="199944B1" w14:textId="77777777" w:rsidR="00C074FF" w:rsidRPr="007224C3" w:rsidRDefault="00C074F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Севернее города Яссы подразделения Н-ской части в результате боя овладели одной высотой и улучшили свои позиции. Уничтожено более роты гитлеровцев. Взято 60 пленных. На другом участке разведывательный отряд противника просочился в тыл советских частей. Наши автоматчики отрезали немецкому отряду пути отхода и полностью его ликвидировали.</w:t>
      </w:r>
    </w:p>
    <w:p w14:paraId="27ECFF93" w14:textId="77777777" w:rsidR="00C074FF" w:rsidRPr="007224C3" w:rsidRDefault="00C074F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 северного побережья Норвегия лётчиками флота потоплены две самоходные баржи, шхуна и два мотобота противника.</w:t>
      </w:r>
    </w:p>
    <w:p w14:paraId="4A156E40" w14:textId="77777777" w:rsidR="00C074FF" w:rsidRPr="007224C3" w:rsidRDefault="00C074F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ночь на 8 июня группа сторожевых кораблей и катеров противника запала на наши тральщики, производившие траление в Нарвском заливе. На помощь тральщикам вышли торпедные катера. Атаковав противника, наши катера потопили 2 немецких сторожевых корабля.</w:t>
      </w:r>
    </w:p>
    <w:p w14:paraId="33336627" w14:textId="77777777" w:rsidR="00C074FF" w:rsidRPr="007224C3" w:rsidRDefault="00C074F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Партизанский отряд, действующий в Волынской области, в течение четырёх дней отбивал атаки батальона эсэсовцев. Партизаны убили и ранили до 100 гитлеровцев, уничтожили 2 бронемашины и 17 автомашин. В другом районе советские патриоты организовали крушение двух немецких железнодорожных эшелонов. В одном из этих эшелонов во время крушения произошло несколько сильных взрывов.</w:t>
      </w:r>
    </w:p>
    <w:p w14:paraId="55E2C0AE" w14:textId="77777777" w:rsidR="00C074FF" w:rsidRPr="007224C3" w:rsidRDefault="00C074F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сторону Красной Армии за последнее время переходят мелкими группами и в одиночку десятки солдат различных немецких штрафных батальонов. Перебежчик солдат 14 немецкого штрафного батальона Эвадьд Т. рассказал: «Я просидел полгода в военной тюрьме в крепости Торгау. Эта огромная тюрьма битком набита заключёнными. Военные тюрьмы в Гермерсгейме-на-Рейне, в Грауденце, Вене, Кельне, Анкламе и других городах также переполнены. Задолго до истечения срока заключения меня отправили на Восточный фронт в штрафной батальон. На фронте я вместе с другими солдатами бежал и перешёл на сторону русских».</w:t>
      </w:r>
    </w:p>
    <w:p w14:paraId="7706BD3B" w14:textId="77777777" w:rsidR="00C074FF" w:rsidRPr="007224C3" w:rsidRDefault="00C074F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Перебежчик солдат 9 штрафного батальона Альфред Л. рассказал: «Условия в батальоне невыносимые. Многие штрафники предпочитают умереть, чем оставаться в нём. Нередко происходят групповые побеги. Беглецы скрываются в лесах. Из 2 роты бежало больше 20 штрафников вместе с охранявшими их солдатами. Кроме того, 19 штрафников из этой же роты бежали в одиночку».</w:t>
      </w:r>
    </w:p>
    <w:p w14:paraId="58968175" w14:textId="77777777" w:rsidR="00C074FF" w:rsidRPr="007224C3" w:rsidRDefault="00C074F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Перебежчик солдат 561 штрафного батальона Курт Н. сообщил: «С последним пополнением в наш батальон прибыло много заключённых из различных тюрем. Многие из них отбывали наказание за неверие в победу Германии. В составе пополнения были разжалованные офицеры: майор, два обер-лейтенанта, несколько лейтенантов, два старших врача, интенданты и военные чиновники» (14917).</w:t>
      </w:r>
    </w:p>
    <w:p w14:paraId="20F15D9E" w14:textId="77777777" w:rsidR="00C074FF" w:rsidRPr="007224C3" w:rsidRDefault="00C074FF" w:rsidP="007224C3">
      <w:pPr>
        <w:spacing w:after="0" w:line="240" w:lineRule="auto"/>
        <w:jc w:val="both"/>
        <w:rPr>
          <w:rFonts w:ascii="Times New Roman" w:hAnsi="Times New Roman"/>
          <w:color w:val="000000" w:themeColor="text1"/>
          <w:sz w:val="16"/>
          <w:szCs w:val="16"/>
        </w:rPr>
      </w:pPr>
    </w:p>
    <w:p w14:paraId="66A1306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June 9th, 1944: The Red Army begins an offensive against Finnish positions in the Karelian Isthmus N of Leningrad. In Normandy, US forces advancing from Utah Beach capture St. Mere-Eglise (3819).</w:t>
      </w:r>
    </w:p>
    <w:p w14:paraId="50CA5CC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E56CA3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June 9 1944 Russians launch offensive against Finns on Karelian Isthmus (1037).</w:t>
      </w:r>
    </w:p>
    <w:p w14:paraId="62994E9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E69CFC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июня 1944 началась Выборгская операция и в ней приняла участие 334 БАД из трех полков 12, 132 и 454 на Ту-2. И.В.С. берег их (1835,30). Это был четвертый сталинский удар (2200,25).</w:t>
      </w:r>
    </w:p>
    <w:p w14:paraId="2C53D61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АДД нанесла удары по аэродромам (518,65).</w:t>
      </w:r>
    </w:p>
    <w:p w14:paraId="2749D67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Перед наступлением фронтовая авиация ударила по укреплениям и коммуникациям (430,202).</w:t>
      </w:r>
    </w:p>
    <w:p w14:paraId="56B4D14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 делали по 3-4 вылета в день. Ш А.И.Сухиненко уничтожили эшелон (430,203).</w:t>
      </w:r>
    </w:p>
    <w:p w14:paraId="71CE0A1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Комкор г М.Ф.Тихонов писал: "действия авиации на участке 108 ск проведены хорошо. Стрелковые части, наступающие в полосе корпуса, в лице авиации встретили хорошую поддержку." (518,142).</w:t>
      </w:r>
    </w:p>
    <w:p w14:paraId="0865875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преследовании отступающих войск авиация была перенацелена на дезорганизацию отхода и уничтожение войск и боевой техники в сотрудничестве фронтовой авиации и АДД (518,163).</w:t>
      </w:r>
    </w:p>
    <w:p w14:paraId="3A05178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Силы флота были временно оперативно подчинены командующему фронтом и он являлся организатором взаимодействия, ставя задачи не только флоту, но и авиации, авиации флота и АДД, а также определял районы их боевых действий (518,183).</w:t>
      </w:r>
    </w:p>
    <w:p w14:paraId="70654FF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ходе операции на поддержку и прикрытие сухопутных войск ВВС флота выделяли 42% самолетовылетов (518,183).</w:t>
      </w:r>
    </w:p>
    <w:p w14:paraId="79BA9FF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976E5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ночь с 9 на 10 июня 1944 почти половина всех полков АДД получили приказ разрушить жд узел в Выборге, но из-за погоды получили приказ вернуться и смогли это сделать (2200,26).</w:t>
      </w:r>
    </w:p>
    <w:p w14:paraId="5771E96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подготовке Выборгской операции на воздушную разведку ВА затрачивалось до 25-30% всех самолетовылетов (518,121).</w:t>
      </w:r>
    </w:p>
    <w:p w14:paraId="481526A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этой операции велась активная борьба авиации с подходящими резервами противника (518,165).</w:t>
      </w:r>
    </w:p>
    <w:p w14:paraId="6E77F07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51CAD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июня 1944 г. за сутки до перехода войск в наступление на Карельском перешейке (Выборгская операция) 13-я ВА силами 225 бомбардировщиков (бО-Ту-2, 85-Пе-2 и 80 Ил-2) и 148 штурмовиков Ил-2 под прикрытием истребителей нанесла массированные удары по опорным пунктам противника в районе Старый Белоостров (цель № 12), озеро Светлое (цель № 14) и станция Райяйоки (цель № 21). Штурмовики двумя группами, по 80 и 68 машин каждая, нанесли сосредоточенные удары по главным целям - № 12 и № 14.</w:t>
      </w:r>
    </w:p>
    <w:p w14:paraId="7EE0905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этим же целям действовали 85 Пе-2 (цель № 12) и 80 Ил-4 (цель № 14), которые "работали" в общей колонне полков, а полки - в колонне эскадрилий с интервалами 750-1000 м и 300-500 м, соответственно. Сбрасывание авиабомб бомбардировщиками (в основном ФАБ-250 и ОФАБ-250) производилось с высот 1800-2500 м по сигналу ведущего.</w:t>
      </w:r>
    </w:p>
    <w:p w14:paraId="080F71A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Штурмовые авиадивизии наносили удары в боевом порядке полков с одного захода через 5-10 минут после удара по этим целям бомбардировщиков. "Илами" в основном применялись АО-25 и ОФАБ-100.</w:t>
      </w:r>
    </w:p>
    <w:p w14:paraId="538868F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Плотность бомбовых ударов достигала 80-100 тонн на 1 км2 площади целей.</w:t>
      </w:r>
    </w:p>
    <w:p w14:paraId="333090C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 в течение 9 июня бомбардировщики 13-й ВА совершили 510 боевых вылетов, а Ил-2 воздушной армии и ВВС КБФ - 235 боевых самолетовылетов. В результате нанесенных ударов, как отмечается в донесениях наземных войск, "многие оборонительные сооружения и заграждения были уничтожены, а минные поля подорваны" (9887).</w:t>
      </w:r>
    </w:p>
    <w:p w14:paraId="692EADC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CCBD4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9 июня 1944 года началась Выборгская операция. Первый налет был совершен по целям в районах Старова Белоострова, озера Светлого и станции Райяйоки. В нем участвовало 215 бомбардировщиков Ту-2С и Ил-4. </w:t>
      </w:r>
    </w:p>
    <w:p w14:paraId="4F86F3E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 лета 1944 года, вспоминал А.А. Новиков, Ту-2 в боях использовался редко. В основном он выполнял функции воздушного разведчика и как таковой был незаменим. Иногда, как это было на Курской дуге, мы привлекали Ту-2, но в очень малом количестве, и к боевым действиям (18 Ту-2 воевали тогда в составе 285-й бад полковника В.А. Сандалова)... Действия по долговременной обороне противника на Карельском перешейке послужили бы для Ту-2 отличным экзаменом на зрелость.</w:t>
      </w:r>
    </w:p>
    <w:p w14:paraId="0749042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Однако Сталин вначале воспротивился этому. Он категорически не хотел, чтобы гитлеровцы до Белорусской операции узнали о том, что у нас имеется целое соединение Ту-2. Но, выслушав наши соображения относительно самого бомбардировщика и плана усиления 13-й воздушной армии, Верховный отменил свой запрет. Он предупредил только, чтобы мы берегли 334-ю дивизию как зеницу ока" (12035).</w:t>
      </w:r>
    </w:p>
    <w:p w14:paraId="1731D87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конце 1944 года в состав 3-й ВА вошла 336-я бад, в ней числилось 54 Ту-2С.</w:t>
      </w:r>
    </w:p>
    <w:p w14:paraId="6E4AF85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Освоение бомбардировщика сопровождалось выявлением все новых и новых дефектов. Штурманы жаловались на неудовлетворительный обзор, затруднявший детальную ориентировку, плохо просматривались цели при подходе к ним. Все это сказывалось на результатах бомбометания. Недостаточная путевая устойчивость (этот дефект сопровождал Ту-2 на протяжении всего периода его эксплуатации) усложняла пилотирование в сложных метеоусловиях и ночью.</w:t>
      </w:r>
    </w:p>
    <w:p w14:paraId="4D26260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Летчики отмечали неудачную конструкцию фонаря, переплеты которого ограничивали обзор и неудовлетворительное освещение приборов. Посадка экипажа в переднюю кабину по складной стремянке требовала остановки моторов и была сопряжена с опасностью. Отмечались раскрутка винтов АВ-5-167А обратной схемы с регулятором P-7, частые разрушения покрышек костыльного колеса и неудобная установка пулемета БС у штурмана. А медленная заправка машины горючим затягивала ее подготовку к повторному вылету.</w:t>
      </w:r>
    </w:p>
    <w:p w14:paraId="4B8CCCB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оперативно доработали. Достаточно сказать, что к маю 1944 года в строевые части передали пять машин с улучшенным обзором. С этого же месяца на них стали устанавливать воздушные винты прямой схемы АВ-5В-167А, а с четвертой серии завод № 23 сократил время заправки топливом до I часа 20 минут.</w:t>
      </w:r>
    </w:p>
    <w:p w14:paraId="7395F52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ходе контрольных испытаний Ту-2 № 18/11 и 24/32, а также при эксплуатации в строевых частях выявились разрушения выхлопных коллекторов двигателей, недостаточная прочность коков воздушных винтов и разрушение всасывающих патрубков (12035).</w:t>
      </w:r>
    </w:p>
    <w:p w14:paraId="5AEA91E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3EB9EA2" w14:textId="77777777" w:rsidR="00C074FF" w:rsidRPr="007224C3" w:rsidRDefault="00C074F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9-10 июня 1944 г. в Выборгской наступательной операции крупные калибры НИМАПа произвели Последнюю стрельбу. В его задачу входило разрушение важных оборонительных сооружении противника (15132).</w:t>
      </w:r>
    </w:p>
    <w:p w14:paraId="31319FA5" w14:textId="77777777" w:rsidR="00C074FF" w:rsidRPr="007224C3" w:rsidRDefault="00C074FF" w:rsidP="007224C3">
      <w:pPr>
        <w:spacing w:after="0" w:line="240" w:lineRule="auto"/>
        <w:jc w:val="both"/>
        <w:rPr>
          <w:rFonts w:ascii="Times New Roman" w:hAnsi="Times New Roman"/>
          <w:color w:val="000000" w:themeColor="text1"/>
          <w:sz w:val="16"/>
          <w:szCs w:val="16"/>
        </w:rPr>
      </w:pPr>
    </w:p>
    <w:p w14:paraId="57C63AE8"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6ACEB86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7867895" w14:textId="77777777" w:rsidR="00C074FF" w:rsidRPr="007224C3" w:rsidRDefault="00C074FF"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9 июня</w:t>
      </w:r>
      <w:r w:rsidRPr="007224C3">
        <w:rPr>
          <w:rFonts w:ascii="Times New Roman" w:hAnsi="Times New Roman"/>
          <w:color w:val="000000" w:themeColor="text1"/>
          <w:sz w:val="16"/>
          <w:szCs w:val="16"/>
        </w:rPr>
        <w:t xml:space="preserve"> в 1944 году с аэродрома "Рингуэй" близ Манчестера впервые поднялся в воздух первый прототип английского стратегического бомбардировщика </w:t>
      </w:r>
      <w:hyperlink r:id="rId170" w:tgtFrame="_blank" w:history="1">
        <w:r w:rsidRPr="007224C3">
          <w:rPr>
            <w:rFonts w:ascii="Times New Roman" w:hAnsi="Times New Roman"/>
            <w:color w:val="000000" w:themeColor="text1"/>
            <w:sz w:val="16"/>
            <w:szCs w:val="16"/>
          </w:rPr>
          <w:t xml:space="preserve">"Линкольна" </w:t>
        </w:r>
      </w:hyperlink>
      <w:r w:rsidRPr="007224C3">
        <w:rPr>
          <w:rFonts w:ascii="Times New Roman" w:hAnsi="Times New Roman"/>
          <w:color w:val="000000" w:themeColor="text1"/>
          <w:sz w:val="16"/>
          <w:szCs w:val="16"/>
        </w:rPr>
        <w:t>(с/н PW925), пилотируемый экипажем под управлением капитана Г.Брауна. Самолет вышел на испытания без вооружения и штатных пропеллеров (вместо предусмотренных проектом четырехлопастных винтов изменяемого шага "Ротол" или "Де Хэвилленд", на нем установили трехлопастные "Хэмилтон Хайдроматик"). С 15 по 23 июля самолет прошел в испытательном центре "Боскомб Даун" предварительные государственные испытания, показав хорошую управляемость и удовлетворительные летные характеристики. Единственным изменением, внесенным в конструкцию по результатам испытаний, стало некоторое увеличение площади рулей направления (14917).</w:t>
      </w:r>
    </w:p>
    <w:p w14:paraId="1CCCA228" w14:textId="77777777" w:rsidR="00C074FF" w:rsidRPr="007224C3" w:rsidRDefault="00C074FF" w:rsidP="007224C3">
      <w:pPr>
        <w:spacing w:after="0" w:line="240" w:lineRule="auto"/>
        <w:jc w:val="both"/>
        <w:rPr>
          <w:rFonts w:ascii="Times New Roman" w:hAnsi="Times New Roman"/>
          <w:color w:val="000000" w:themeColor="text1"/>
          <w:sz w:val="16"/>
          <w:szCs w:val="16"/>
        </w:rPr>
      </w:pPr>
    </w:p>
    <w:p w14:paraId="49C91BF1" w14:textId="77777777" w:rsidR="00212D83" w:rsidRPr="007224C3" w:rsidRDefault="00212D8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9 июня 1944 первый полет Авро Линкольн (20373).</w:t>
      </w:r>
    </w:p>
    <w:p w14:paraId="4341C99D" w14:textId="77777777" w:rsidR="00212D83" w:rsidRPr="007224C3" w:rsidRDefault="00212D83" w:rsidP="007224C3">
      <w:pPr>
        <w:spacing w:after="0" w:line="240" w:lineRule="auto"/>
        <w:jc w:val="both"/>
        <w:rPr>
          <w:rFonts w:ascii="Times New Roman" w:hAnsi="Times New Roman"/>
          <w:color w:val="0070C0"/>
          <w:sz w:val="16"/>
          <w:szCs w:val="16"/>
        </w:rPr>
      </w:pPr>
    </w:p>
    <w:p w14:paraId="3A916E87" w14:textId="77777777" w:rsidR="00212D83" w:rsidRPr="007224C3" w:rsidRDefault="00212D8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shd w:val="clear" w:color="auto" w:fill="FFFFFF"/>
        </w:rPr>
        <w:t xml:space="preserve">9 июня 1944 года — первый полёт тяжёлого бомбардировщика Avro Lincoln. </w:t>
      </w:r>
      <w:r w:rsidRPr="007224C3">
        <w:rPr>
          <w:rFonts w:ascii="Times New Roman" w:hAnsi="Times New Roman"/>
          <w:color w:val="0070C0"/>
          <w:sz w:val="16"/>
          <w:szCs w:val="16"/>
        </w:rPr>
        <w:t>/Великобритания/</w:t>
      </w:r>
    </w:p>
    <w:p w14:paraId="7849F1C7" w14:textId="77777777" w:rsidR="00212D83" w:rsidRPr="007224C3" w:rsidRDefault="00212D8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Ещё в 1942 году началось усовершенствование дальнего бомбардировщика Avro Lancaster для увеличения дальности полёта — готовились к боевым действиям на Дальнем Востоке. Сменив несколько имён — Type 694, Lancaster IV и V — новый самолёт получил обозначение "Lincoln".</w:t>
      </w:r>
    </w:p>
    <w:p w14:paraId="47CD5D19" w14:textId="77777777" w:rsidR="00212D83" w:rsidRPr="007224C3" w:rsidRDefault="00212D8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Как и его предшественник, Lincoln был четырёхмоторным цельнодюралевым среднепланом. Носовую часть сделали «двухэтажной» для улучшения обзора штурману-бомбардиру, фюзеляж удлинили и установили новое шасси. Много элементов взяли от «Ланкастера». Вооружение — по 2 × 12,7-мм пулемёта в 3 турелях + до 6350 кг бомб.</w:t>
      </w:r>
    </w:p>
    <w:p w14:paraId="2C796106" w14:textId="77777777" w:rsidR="00212D83" w:rsidRPr="007224C3" w:rsidRDefault="00212D8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Выпустили 604 единицы Avro Lincoln, которые стояли на вооружении Королевских ВВС Великобритании (до 1963 года) и Аргентины (до 1967). Самолёты никогда не применялись для дальних бомбардировочных рейдов, но повоевали в малых войнах. Использовались также для воздушной разведки, различных испытаний и дозаправки в воздухе (22300).</w:t>
      </w:r>
    </w:p>
    <w:p w14:paraId="478BEDF5" w14:textId="77777777" w:rsidR="00212D83" w:rsidRPr="007224C3" w:rsidRDefault="00212D83" w:rsidP="007224C3">
      <w:pPr>
        <w:spacing w:after="0" w:line="240" w:lineRule="auto"/>
        <w:jc w:val="both"/>
        <w:rPr>
          <w:rFonts w:ascii="Times New Roman" w:hAnsi="Times New Roman"/>
          <w:color w:val="0070C0"/>
          <w:sz w:val="16"/>
          <w:szCs w:val="16"/>
        </w:rPr>
      </w:pPr>
    </w:p>
    <w:p w14:paraId="71758A95" w14:textId="77777777" w:rsidR="00C074FF" w:rsidRPr="007224C3" w:rsidRDefault="00C074FF"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июня 1944 американцы получили обломки неразорвавшейся V-1 и сделали свой, который назвали В-2 и до конца войны сделали 1200 (1608,24).</w:t>
      </w:r>
    </w:p>
    <w:p w14:paraId="45525CDB" w14:textId="77777777" w:rsidR="00C074FF" w:rsidRPr="007224C3" w:rsidRDefault="00C074FF"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C1189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June 9, 1944. Allied units begin operations from bases in France (1089).</w:t>
      </w:r>
    </w:p>
    <w:p w14:paraId="21D973A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E36D83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июня 1944 союзники начали операции из баз, созданных во Франции (1089).</w:t>
      </w:r>
    </w:p>
    <w:p w14:paraId="091163D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2FE8D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июня 1944 экипажи 617 эскадрильи на Ланкастерах бросали сверхтяжелые бомбы Tallboy на железнодорожный туннель под Саумюром. Разбили. Потом их пытались бросать на Тирпиц (1144,28).</w:t>
      </w:r>
    </w:p>
    <w:p w14:paraId="7805B4E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FB33D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ночь на 9 июня 1944 г. специально подготовленные «Ланкастеры» 617-й эскадрильи сбросили несколько сверхтяжелых бомб «Таллбой» весом 5448 кг. на железнодорожный туннель под Саумюром, по которому немцы перебрасывали войска в Нормандию. Новое оружие оказалось очень эффективным - туннель после атаки был полностью заблокирован. В сентябре бомбы «Таллбой» понадобились для операции «Параван», проводимой совместно советским и английским командованием. Намечалось уничтожение немецкого линкора «Тирпиц», стоявшего в Альтен-фьорде у побережья Норвегии. Тридцать восемь «Ланкастеров» Мк1 и МкШ из 617-й и 9-й эскадрилий направились на аэродром Ягодник под Архангельском, откуда и намеревались атаковать линкор. Утром 12 сентября английские самолеты стали садится под Архангельском, однако по разным причинам 10 бомбардировщиков совершили вынужденные посадки в Онеге, Беломорске, Кегоострове, Молотовске и просто в тундре. Причем семь «авро» были серьезно повреждены и лишь один удалось отремонтировать. Атака на линкор состоялась 15 сентября. Бомбардировщики наводились советскими штурманами. На цель вышли 27 «Ланкастеров», из которых 21 нес бомбу «Таллбой», а в шесть машин загрузили обычные бомбы. «Тирпиц» потопить не удалось, англичане вернулись домой, а шесть поврежденных бомбардировщиков-один Мк1 и пять МкШ-остались под Архангельском. Два самолета советские специалисты восстановили до летного состояния. Они использовались в качестве грузовых в 16-ом транспортном отряде ВВС Беломорской флотилии и 70-ом транспортном полку ВВС Северного флота. Поврежденный, но уцелевший «Тирпиц» перебазировался к острову Хаак в районе Тромсе, где немцы использовали линкор как плавучую батарею. Бомбардировщики 9-й и 617-й эскадрилий с конца октября совершили две безуспешные атаки на стоянку немецкого рейдера. Наконец, в третьей и последней атаке с «Тирпицем» было покончено - в линейный корабль попали 3 сверхтяжелые бомбы и он затонул. Для того, чтобы «Ланкастеры» смогли долететь до Норвегии и вернуться обратно, на самолетах установили дополнительные баки, сняв верхнюю турель и доведя емкость топливной системы до 10938 литров. До конца войны экипажи 9-й и 617-й эскадрилий оставались главными специалистами по применению бомб «Таллбой», сбросив в общей сложности 854 «пятитонки». Когда английские конструкторы закончили разработку новой сверхмощной десятитонной «Грэнд Слэм» (9988 кг), первыми ее испытали летчики 617-й эскадрильи. Для самой большой бомбы второй мировой войны «Ланкастер» с двигателями «Мерлин» 24 специально доработали, и он получил обозначение В MkI (Special). Ненужные створки бомболюка сняли, а впереди и сзади выступающей бомбы ставились обтекатели, Для облегчения веса снималось все ненужное оборудование, включая верхнюю и нижнюю турели. Первый испытательный сброс супероружия состоялся 13 марта 1945 г. А уже на следующий день четырнадцать «Ланкастеров», из которых 13 несли «Таллбой» и один «Грэнд Слэм», отправились на атаку виадука у Билефель-да, по которому проходили основные коммуникации из Рура по всей Германии. «Де-сятитонка» разрушила два пролета моста, а тринадцать «Таллбоев» разметали обходной путь, который немцы построили еще после первых налетов на виадук. До конца войны прогремело 40 разрушительных взрывов «Большого шлема», наводящих самый настоящий ужас на немецкие войска (11860).</w:t>
      </w:r>
    </w:p>
    <w:p w14:paraId="7900215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47716AA" w14:textId="77777777" w:rsidR="00EC51C4" w:rsidRPr="007224C3" w:rsidRDefault="00EC51C4"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9 июня 1944 - С аэродрома "Рингуэй" близ Манчестера впервые поднялся в воздух первый прототип английского стратегического бомбардировщика "Линкольн" (с/н PW925), пилотируемый экипажем под управлением капитана Г. Брауна. Самолет вышел на испытания без вооружения и штатных пропеллеров (вместо предусмотренных проектом четырехлопастных винтов изменяемого шага "Ротол" или "Де Хэвилленд", на нем установили трехлопастные "Хэмилтон Хайдроматик"). С 15 по 23 июля самолет прошел в испытательном центре "Боскомб Даун" предварительные государственные испытания, показав хорошую управляемость и удовлетворительные летные характеристики. Единственным изменением, внесенным в конструкцию по результатам испытаний, стало некоторое увеличение площади рулей направления (22466).</w:t>
      </w:r>
    </w:p>
    <w:p w14:paraId="07AD3B92" w14:textId="77777777" w:rsidR="00EC51C4" w:rsidRPr="007224C3" w:rsidRDefault="00EC51C4" w:rsidP="007224C3">
      <w:pPr>
        <w:spacing w:after="0" w:line="240" w:lineRule="auto"/>
        <w:jc w:val="both"/>
        <w:rPr>
          <w:rFonts w:ascii="Times New Roman" w:hAnsi="Times New Roman"/>
          <w:color w:val="0070C0"/>
          <w:sz w:val="16"/>
          <w:szCs w:val="16"/>
        </w:rPr>
      </w:pPr>
    </w:p>
    <w:p w14:paraId="1BD31247" w14:textId="77777777" w:rsidR="00EC51C4" w:rsidRPr="007224C3" w:rsidRDefault="00EC51C4"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9 июня 1944 - Железнодорожный туннель Сомюр, через который немецкие подкрепления перебрасывались на фронт в Нормандию, был успешно заблокирован бомбардировщиками «Ланкастеры» применившими обтекаемую 5448-кг бомбу "Тэллбой", сконструированную Бэйрнсом Уоллисом (Barnes Wallis). Одна из этих бомб проломила свод тоннеля и разорвалась внутри него (22466).</w:t>
      </w:r>
    </w:p>
    <w:p w14:paraId="0B70F727" w14:textId="77777777" w:rsidR="00EC51C4" w:rsidRPr="007224C3" w:rsidRDefault="00EC51C4" w:rsidP="007224C3">
      <w:pPr>
        <w:spacing w:after="0" w:line="240" w:lineRule="auto"/>
        <w:jc w:val="both"/>
        <w:rPr>
          <w:rFonts w:ascii="Times New Roman" w:hAnsi="Times New Roman"/>
          <w:color w:val="0070C0"/>
          <w:sz w:val="16"/>
          <w:szCs w:val="16"/>
        </w:rPr>
      </w:pPr>
    </w:p>
    <w:p w14:paraId="07C63FFB" w14:textId="77777777" w:rsidR="00EC51C4" w:rsidRPr="007224C3" w:rsidRDefault="00EC51C4"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9–10 июня (ночь) 1944 410 британских бомбардировщиков наносят точные удары по немецким аэродромам в Флерсе, Ле-Мане, Лавале и Ренне, Франция, потеряв два самолета. Еще 112 бомбардировщиков совершают налет на железнодорожный узел в Этампе, Франция, но безуспешно, потому что их бомбы падают на город. Шесть бомбардировщиков потеряны во время налета на Этамп (20373).</w:t>
      </w:r>
    </w:p>
    <w:p w14:paraId="5B91251F" w14:textId="77777777" w:rsidR="00EC51C4" w:rsidRPr="007224C3" w:rsidRDefault="00EC51C4" w:rsidP="007224C3">
      <w:pPr>
        <w:spacing w:after="0" w:line="240" w:lineRule="auto"/>
        <w:jc w:val="both"/>
        <w:rPr>
          <w:rFonts w:ascii="Times New Roman" w:hAnsi="Times New Roman"/>
          <w:color w:val="0070C0"/>
          <w:sz w:val="16"/>
          <w:szCs w:val="16"/>
        </w:rPr>
      </w:pPr>
    </w:p>
    <w:p w14:paraId="4BB1B446" w14:textId="77777777" w:rsidR="00212D83" w:rsidRPr="007224C3" w:rsidRDefault="00212D8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9 июня 1944 авиация союзников наносит удары по японским аэродромам на Пелелиу, Волеи и Япе (20373).</w:t>
      </w:r>
    </w:p>
    <w:p w14:paraId="7B5DAF34" w14:textId="77777777" w:rsidR="00212D83" w:rsidRPr="007224C3" w:rsidRDefault="00212D83" w:rsidP="007224C3">
      <w:pPr>
        <w:spacing w:after="0" w:line="240" w:lineRule="auto"/>
        <w:jc w:val="both"/>
        <w:rPr>
          <w:rFonts w:ascii="Times New Roman" w:hAnsi="Times New Roman"/>
          <w:color w:val="0070C0"/>
          <w:sz w:val="16"/>
          <w:szCs w:val="16"/>
        </w:rPr>
      </w:pPr>
    </w:p>
    <w:p w14:paraId="150C9BFE"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1FC9238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265047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июня 1944 В.П.Кузнецов подготовил для А.И.Ш. сводку по выполнению постановления по повышению высотности самолетов по состоянию на 10 июня 1944 и были упомянуты МиГ-3 с АМ-39Б-01, Ла-5 М-82 с ТК-3 и Як-9 с ВК-105ПД (1824).</w:t>
      </w:r>
    </w:p>
    <w:p w14:paraId="7868AD2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C6C6C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10 июня 1944 состояние опытного строительства на 21 заводе было следующим:</w:t>
      </w:r>
    </w:p>
    <w:p w14:paraId="7EC4672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После смены мотора произведен полет Ла-5 АШ-83</w:t>
      </w:r>
    </w:p>
    <w:p w14:paraId="4FB733F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Ла-7 АШ-71 - произведено взвешивание - 3508 кг. Произведен первый полет. Чувствуется передняя центровка. Сильно греется мотор (738,23).</w:t>
      </w:r>
    </w:p>
    <w:p w14:paraId="4251661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C5842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июня 1944 МиГ АМ-39Б + 2ТК-2Б выполнил полет на проверку давления бензина после установки системы нейтрального газа. летали 0:35 до 7000 м (1825).</w:t>
      </w:r>
    </w:p>
    <w:p w14:paraId="7F6A935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A2868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10 июня 1944 на МИГ С АМ-39Б И 2ТК-2Б был произведен полет на проверку давле</w:t>
      </w:r>
      <w:r w:rsidRPr="007224C3">
        <w:rPr>
          <w:rFonts w:ascii="Times New Roman" w:hAnsi="Times New Roman"/>
          <w:color w:val="000000" w:themeColor="text1"/>
          <w:sz w:val="16"/>
          <w:szCs w:val="16"/>
        </w:rPr>
        <w:softHyphen/>
        <w:t>ния бензина после установки системы нейтрального газа. Продолжительность полета - 35 мин., высота -7000 мт. Полет прекращен из-за падения давления бензина, которое началось с высоты 4000 мт. Причиной падения давления бензина, как устано</w:t>
      </w:r>
      <w:r w:rsidRPr="007224C3">
        <w:rPr>
          <w:rFonts w:ascii="Times New Roman" w:hAnsi="Times New Roman"/>
          <w:color w:val="000000" w:themeColor="text1"/>
          <w:sz w:val="16"/>
          <w:szCs w:val="16"/>
        </w:rPr>
        <w:softHyphen/>
        <w:t>вили представители ЛИИ и ЦИАМа, является неудов</w:t>
      </w:r>
      <w:r w:rsidRPr="007224C3">
        <w:rPr>
          <w:rFonts w:ascii="Times New Roman" w:hAnsi="Times New Roman"/>
          <w:color w:val="000000" w:themeColor="text1"/>
          <w:sz w:val="16"/>
          <w:szCs w:val="16"/>
        </w:rPr>
        <w:softHyphen/>
        <w:t>летворительная работа эжекторной помпы № 178 (1825).</w:t>
      </w:r>
    </w:p>
    <w:p w14:paraId="140EFB4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DCA824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10 июня по 28 июля 1944 в 118 отд. Кор.-разв. Эскадрилье 1УФ ы 100 км восточнее Львова прошли войсковые испытания пяти экз. У-2НАК (ночного арткорректировщика), разработанного ОКБ Н.Н.П. на основе У-2ВС ЛНБ. 20 октября 1943 ГК НИИ ВВС утвердил образец У-2НАК (ночного арткорректировщика). Добавили РСИ-4, СПУ, генератор, УФО, кольцевой коллектор с плямягасителями, сделали металлизацию. Леталми с аэродрома подскока Зарубище и с площадки у с Старо-Алексеевка. Потеряли все, но не в результате боя. Прошел (4542, 16).</w:t>
      </w:r>
    </w:p>
    <w:p w14:paraId="7CF57D9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DFFDD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июня 1944 года вышел приказ НКАП</w:t>
      </w:r>
    </w:p>
    <w:p w14:paraId="5C1A283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Утвердить директором завода № 119 Аржакова М.П. (директора завода № 34) (8926)</w:t>
      </w:r>
    </w:p>
    <w:p w14:paraId="7285198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июня 1944 года вышел приказ НКАП</w:t>
      </w:r>
    </w:p>
    <w:p w14:paraId="7731F4B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Утвердить директором завода № 34 Муромцева М.И. (8926)</w:t>
      </w:r>
    </w:p>
    <w:p w14:paraId="5285D6D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38FBF28"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6CA5658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035D48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июня 1944 вышло Распоряжение ГКО № 6031. О замене пришедших в аварийное состояние деревянных ферм перекрытий кузнечно-прессового цеха и заготовительного отделения завода № 78 НКБ. РГАНИР, Фонд ГКО, д. 263, лл. 97-98,99 (11012).</w:t>
      </w:r>
    </w:p>
    <w:p w14:paraId="4C26EDB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C7AB24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июня 1944 вышло Постановление ГКО № 6032 О мероприятиях по обеспечению заводов Наркомрезинпрома негашеной известью для производства антифриза. РГАНИР, Фонд ГКО, д. 263, лл. 100-101 (11012).</w:t>
      </w:r>
    </w:p>
    <w:p w14:paraId="5A15AF4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CF2D33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июня 1944 вышло Распоряжение ГКО № 6033. О поставках импортного оборудования Главвоенпромстрою при СНК СССР. РГАНИР, Фонд ГКО, д. 263, лл. 102 (11012).</w:t>
      </w:r>
    </w:p>
    <w:p w14:paraId="5A9DF8A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9596C1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июня 1944 вышло Постановление ГКО № 6035 О строительстве цеха по переработке "кислых вод" газогенераторной станции завода № 71 Наркомвооружения на Ижевском лесохимическом заводе Наркомлеса СССР. РГАНИР, Фонд ГКО, д. 263, лл. 104-107,108-111 (11012).</w:t>
      </w:r>
    </w:p>
    <w:p w14:paraId="7695BD5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98DE24F"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032FEEF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0EEE2F3" w14:textId="77777777" w:rsidR="00C074FF" w:rsidRPr="007224C3" w:rsidRDefault="00C074FF"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10 июня</w:t>
      </w:r>
      <w:r w:rsidRPr="007224C3">
        <w:rPr>
          <w:rFonts w:ascii="Times New Roman" w:hAnsi="Times New Roman"/>
          <w:color w:val="000000" w:themeColor="text1"/>
          <w:sz w:val="16"/>
          <w:szCs w:val="16"/>
        </w:rPr>
        <w:t xml:space="preserve"> в 1944 году оперативная сводка Совинформбюро:</w:t>
      </w:r>
    </w:p>
    <w:p w14:paraId="47857C17" w14:textId="77777777" w:rsidR="00C074FF" w:rsidRPr="007224C3" w:rsidRDefault="00C074F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10 июня на фронтах существенных изменений не произошло. За 9 июня в воздушных боях и огнём зенитной артиллерии сбито 14 самолётов противника.</w:t>
      </w:r>
    </w:p>
    <w:p w14:paraId="66F659D7" w14:textId="77777777" w:rsidR="00C074FF" w:rsidRPr="007224C3" w:rsidRDefault="00C074F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Юго-восточнее города Станислав батальон пехоты и танки противника вчера атаковали позиции Н-ской части. Бойцы роты старшего лейтенанта Буцынова фланговым огнём отсекли вражеских пехотинцев от танков. Советские артиллеристы подбили три немецких танка. Два других танка противника подорвались на нашем минном поле. Немецкая пехота, оставшаяся без танкового прикрытия, с большими потерями была отброшена на исходный рубеж.</w:t>
      </w:r>
    </w:p>
    <w:p w14:paraId="13E184FE" w14:textId="77777777" w:rsidR="00C074FF" w:rsidRPr="007224C3" w:rsidRDefault="00C074F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Севернее города Яссы наши подразделения в результате атаки улучшили свои позиции. В течение дня уничтожено 4 немецких орудия и 18 пулемётов. Противник потерял убитыми и ранеными 150 солдат и офицеров. На одном участке расчёт противотанкового орудия подразделения старшего лейтенанта Юркова, находясь в боевых порядках пехоты; вступил в бой с танками противника. Вскоре весь расчёт, за исключением командира орудия сержанта Афанасьева, выбыл из строя. Немецкие автоматчики пытались окружить сержанта и взять его в плен. На помощь Афанасьеву пришла оказавшаяся поблизости телефонистка тов. Мирошниченко. Она стала подносить снаряды. Метким огнём тов. Афанасьев рассеял немецких автоматчиков, подбил два танка и один бронетранспортёр противника.</w:t>
      </w:r>
    </w:p>
    <w:p w14:paraId="4DB7CFBA" w14:textId="77777777" w:rsidR="00C074FF" w:rsidRPr="007224C3" w:rsidRDefault="00C074F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Северо-западнее города Тирасполь группа наших разведчиков проникла в расположение немцев. Разведчики захватили в плен находившихся в боевом охранении гитлеровцев и вернулись в свою часть. Бронебойщик рядовой Андроников выследил на переднем крае обороны немцев искусно замаскированный танк. Несколькими выстрелами из противотанкового ружья Андроников поджёг немецкий танк.</w:t>
      </w:r>
    </w:p>
    <w:p w14:paraId="1FA8E90A" w14:textId="77777777" w:rsidR="00C074FF" w:rsidRPr="007224C3" w:rsidRDefault="00C074F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Юго-восточнее города Витебск снайперы Н-ского соединения за месяц уничтожили много немецких солдат и офицеров. Снайпер ефрейтор Малыш за это время убил 17 немцев, сержант Лычко — 17, старший сержант Танина — 15, сержант Коспырев уничтожил 13 гитлеровцев. Немцы, взятые в плен на этом участке, сообщили: «От снайперского огня наш полк ежедневно терял нескольких солдат и офицеров. Русские снайперы всё время держат нас в постоянном страхе. Мы боимся высунуть голову из траншеи».</w:t>
      </w:r>
    </w:p>
    <w:p w14:paraId="2E00EFA3" w14:textId="77777777" w:rsidR="00C074FF" w:rsidRPr="007224C3" w:rsidRDefault="00C074F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Партизанский отряд имени Суворова, действующий в Дрогобычской области, внезапно напал на немцев, охранявших железнодорожную станцию. Гитлеровцы укрылись в каменных зданиях и оказывали ожесточённое сопротивление. В результате упорной схватки советские патриоты истребили 40 вражеских солдат и овладели станцией. Партизаны взорвали железнодорожные пути, сожгли два военных склада и отошли на свою базу. Партизаны другого дрогобычского отряда с 20 по 26 мая пустили под откос 4 немецких воинских эшелона, в том числе один состав с горючим.</w:t>
      </w:r>
    </w:p>
    <w:p w14:paraId="74F6133C" w14:textId="77777777" w:rsidR="00C074FF" w:rsidRPr="007224C3" w:rsidRDefault="00C074F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Перешедший на сторону Красной Армии ефрейтор 164 полка Пауль Т. рассказал: «В конце января меня в составе маршевого батальона послали на фронт на пополнение 57 дивизии. Почти 20 дней мы находились в пути, не вылезая из вагонов. Но дивизия так и не дождалась пополнения. В феврале она попала в окружение в районе Корсунь-Шевченковский и была целиком уничтожена. После этого батальон отправили в гор. Мелец (Польша). Здесь началось формирование новой дивизии, которой присвоили номер 57. В конце апреля заново сформированная 57 пехотная дивизия выехала на фронт по маршруту Брест-Литовск — Минск — Орша».</w:t>
      </w:r>
    </w:p>
    <w:p w14:paraId="1F4CC887" w14:textId="77777777" w:rsidR="00C074FF" w:rsidRPr="007224C3" w:rsidRDefault="00C074F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Пленный ефрейтор 217 полка той же дивизии Лео Кламбер сообщил: «С первого же дня пребывания на фронте мы чувствовали себя очень неуверенно. Солдаты говорили: «Русские уже уничтожили одну 57 дивизию в районе Корсунь-Шевченковский, они доберутся и до нас». Дело дошло до того, что офицеры запретили нам говорить о прошлом дивизии и упоминать название Корсунь-Шевченковский. Русские разведчики часто незаметно проникали в расположение нашего батальона, захватывали солдат в плен и уносили наши пулемёты. На днях нам приказали привязать все пулемёты, чтобы русские не могли их утащить. Солдаты смеялись над этим приказом и говорили: «Если русские доберутся до пулемёта, то верёвки их не задержат». Ночью два русских разведчика подкрались к нам, ранили командира опорного пункта унтер-офицера Тормейера, а меня и пулемёт уволокли с собой» (14918).</w:t>
      </w:r>
    </w:p>
    <w:p w14:paraId="5FB5B3E4" w14:textId="77777777" w:rsidR="00C074FF" w:rsidRPr="007224C3" w:rsidRDefault="00C074FF" w:rsidP="007224C3">
      <w:pPr>
        <w:spacing w:after="0" w:line="240" w:lineRule="auto"/>
        <w:jc w:val="both"/>
        <w:rPr>
          <w:rFonts w:ascii="Times New Roman" w:hAnsi="Times New Roman"/>
          <w:color w:val="000000" w:themeColor="text1"/>
          <w:sz w:val="16"/>
          <w:szCs w:val="16"/>
        </w:rPr>
      </w:pPr>
    </w:p>
    <w:p w14:paraId="58C30B4B"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июня 1944 советские войска начали Выборгско-Петрозаводскую наступательную операцию против финских войск (4962).</w:t>
      </w:r>
    </w:p>
    <w:p w14:paraId="4D951170"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ACAE3A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10 по 20 июня 1944 состоялась Выборгская операция против финнов (2438,157).</w:t>
      </w:r>
    </w:p>
    <w:p w14:paraId="048D7CE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FE6D8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C 10 июня по 9 августа 1944 состоялась Выборгско-Петрозаводская операция против финнов (2438,159).</w:t>
      </w:r>
    </w:p>
    <w:p w14:paraId="35BCE7A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0FC51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июня 1944 Ленинградский фронт начал наступление в направлении Линии Маннергейма (271,220).</w:t>
      </w:r>
    </w:p>
    <w:p w14:paraId="1707D70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D0BD5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июня 1944 началась атака финских укреплений на Карельском перешейке и 20 июня освободили Выборг (2079,180).</w:t>
      </w:r>
    </w:p>
    <w:p w14:paraId="3CFCD3B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52681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июня 1944, в период артиллерийской подготовки атаки наземных войск за 30 минут до начала атаки 13-я ВА совместно с авиацией Балтфлота вновь нанесла мощный массированный удар силами трех бомбардировочных авиадивизий (202 Ил-4, Ту-2 и Пе-2) по сооружениям трех ОП (цели №№ 12, 14 и 21), а вслед за ними силами двух штурмовых авиадивизий (138 Ил-2) по двум ОП в полосе главного удара (цель № 12 атаковали 76 "Илов", а цель № 14-62 "ильюшина").</w:t>
      </w:r>
    </w:p>
    <w:p w14:paraId="56705A6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данным фоторазведки и донесениям сухопутных войск в результате этих ударов до 70% полевых укреплений противника (траншея, деревоземляные ДОТ - 3-4 наката, плотность 6,3 ДЗОТ на 1 км фронта, всего 30 ДЗОТ) были полностью разрушены. В то же время практически вся огневая система обороны противника была полностью дезорганизована и подавлена штурмовиками,</w:t>
      </w:r>
    </w:p>
    <w:p w14:paraId="2F48FAA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Эффективность бомбоштурмовых ударов и максимальное приближение их по времени к моменту перехода войск в атаку в значительной степени содействовали прорыву обороны противника.</w:t>
      </w:r>
    </w:p>
    <w:p w14:paraId="1DC4E5A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Как показал опыт дальнейших боев (например, 1-я и 2-я Восточно-Прусские, Кенигсбергская и Берлинская операции), чтобы добиться такой же эффективности при прорыве УР с оборонительными сооружениями большей прочности (примерно в 2 раза), необходимо было увеличить плотность бомбовых ударов до 200 тонн/км фронта...</w:t>
      </w:r>
    </w:p>
    <w:p w14:paraId="25AC3E9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По окончании артиллерийской и авиационной подготовки прорыва УР "Илы" часто обеспечивали постановку дымовой завесы перед фронтом наступления наземных войск. Сложность и опасность этой задачи заключалась в том, что дым-завеса должна быть поставлена своевременно и точно в назначенном месте, чтобы ослепить </w:t>
      </w:r>
      <w:r w:rsidRPr="007224C3">
        <w:rPr>
          <w:rFonts w:ascii="Times New Roman" w:hAnsi="Times New Roman"/>
          <w:color w:val="000000" w:themeColor="text1"/>
          <w:sz w:val="16"/>
          <w:szCs w:val="16"/>
        </w:rPr>
        <w:lastRenderedPageBreak/>
        <w:t>противника на время, необходимое пехоте для захвата траншей Главной полосы. При постановке же последней штурмовикам нельзя было маневрировать. Ил-2 должны были лететь без маневра по прямой и на предельно малой высоте. В противном случае завеса получалась рваной, не сплошной, а значит - большие потери в наступающих частях.</w:t>
      </w:r>
    </w:p>
    <w:p w14:paraId="5BE9324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выполнения таких заданий, ввиду их исключительной сложности и опасности, группы штурмовиков формировались, как правило, на добровольных началах и только из летчиков, имеющих большой боевой опыт...(8687).</w:t>
      </w:r>
    </w:p>
    <w:p w14:paraId="1C3A42A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1AF1DC" w14:textId="77777777" w:rsidR="004421A7" w:rsidRPr="007224C3" w:rsidRDefault="004421A7"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10 июня</w:t>
      </w:r>
      <w:r w:rsidRPr="007224C3">
        <w:rPr>
          <w:rFonts w:ascii="Times New Roman" w:hAnsi="Times New Roman"/>
          <w:color w:val="000000" w:themeColor="text1"/>
          <w:sz w:val="16"/>
          <w:szCs w:val="16"/>
        </w:rPr>
        <w:t xml:space="preserve"> в 1944 году началась очередная операция авиации и подводных лодок Северного флота на морских. коммуникациях противника. Началась Выборгско-Петрозаводская стратегическая наступательная операция войск правого крыла Ленинградского и левого крыла Карельского фронтов во взаимодействии с Балтийским флотом, Ладожской и Онежской флотилиями, продолжавшаяся до 9 августа. Войска 21-й Армии при поддержке Балтийского флота перешли в наступление на главном направлении (на Выборг), прорвали первую полосу обороны и форсировали реку Сестру (14918).</w:t>
      </w:r>
    </w:p>
    <w:p w14:paraId="5EBD3074" w14:textId="77777777" w:rsidR="004421A7" w:rsidRPr="007224C3" w:rsidRDefault="004421A7" w:rsidP="007224C3">
      <w:pPr>
        <w:spacing w:after="0" w:line="240" w:lineRule="auto"/>
        <w:jc w:val="both"/>
        <w:rPr>
          <w:rFonts w:ascii="Times New Roman" w:hAnsi="Times New Roman"/>
          <w:color w:val="000000" w:themeColor="text1"/>
          <w:sz w:val="16"/>
          <w:szCs w:val="16"/>
        </w:rPr>
      </w:pPr>
    </w:p>
    <w:p w14:paraId="1AF8C07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июня 1944 вышло Постановление ГКО № 6034 О возвращении из Самарканда в Москву Артиллерийской академии им. Дзержинского. РГАНИР, Фонд ГКО, д. 263, лл. 103 (11012).</w:t>
      </w:r>
    </w:p>
    <w:p w14:paraId="53FB618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DDA4865"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6A18334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D748D9A" w14:textId="77777777" w:rsidR="00F4385E" w:rsidRPr="007224C3" w:rsidRDefault="00F4385E"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10 июня</w:t>
      </w:r>
      <w:r w:rsidRPr="007224C3">
        <w:rPr>
          <w:rFonts w:ascii="Times New Roman" w:hAnsi="Times New Roman"/>
          <w:color w:val="000000" w:themeColor="text1"/>
          <w:sz w:val="16"/>
          <w:szCs w:val="16"/>
        </w:rPr>
        <w:t xml:space="preserve"> в 1944 году впервые поднят в воздух под управлением Тони Левьера прототип истребителя-бомбардировщика </w:t>
      </w:r>
      <w:hyperlink r:id="rId171" w:tgtFrame="_blank" w:history="1">
        <w:r w:rsidRPr="007224C3">
          <w:rPr>
            <w:rFonts w:ascii="Times New Roman" w:hAnsi="Times New Roman"/>
            <w:color w:val="000000" w:themeColor="text1"/>
            <w:sz w:val="16"/>
            <w:szCs w:val="16"/>
          </w:rPr>
          <w:t xml:space="preserve">«ХР-80А» </w:t>
        </w:r>
      </w:hyperlink>
      <w:r w:rsidRPr="007224C3">
        <w:rPr>
          <w:rFonts w:ascii="Times New Roman" w:hAnsi="Times New Roman"/>
          <w:color w:val="000000" w:themeColor="text1"/>
          <w:sz w:val="16"/>
          <w:szCs w:val="16"/>
        </w:rPr>
        <w:t>№ 44-83021 с двигателем «I-40» фирмы «Дженерал электрик». После 35 минут полета самолет сел с одним выпущенным закрылком! Левьер также отметил продольную неустойчивость самолета. Система кондиционирования гнала в кабину воздух, нагретый до 120 гр., как в сауне! Двигатель был все еще не доведен - максимальный режим разрешался только на разбеге. Серьезной проблемой оказалась тряска элеронов, начинавшаяся на скорости М=0,8 - сказывался эффект сжимаемости воздуха. Дальнейшее увеличение скорости грозило разрушением элеронов (14918).</w:t>
      </w:r>
    </w:p>
    <w:p w14:paraId="3B69201E" w14:textId="77777777" w:rsidR="00F4385E" w:rsidRPr="007224C3" w:rsidRDefault="00F4385E" w:rsidP="007224C3">
      <w:pPr>
        <w:spacing w:after="0" w:line="240" w:lineRule="auto"/>
        <w:jc w:val="both"/>
        <w:rPr>
          <w:rFonts w:ascii="Times New Roman" w:hAnsi="Times New Roman"/>
          <w:color w:val="000000" w:themeColor="text1"/>
          <w:sz w:val="16"/>
          <w:szCs w:val="16"/>
        </w:rPr>
      </w:pPr>
    </w:p>
    <w:p w14:paraId="50EB1727" w14:textId="77777777" w:rsidR="001F1AD3" w:rsidRPr="007224C3" w:rsidRDefault="001F1AD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10 июня 1944 года к первому самолету XР-80 присоединяется второй опытный образец. Испытания шли довольно успешно, и фирма Lockheed готовилась к серийному производству. Единственным серьезным препятствием являлся двигатель. Allis Chalmers затягивала сроки поставки партии двигателей — и вся программа оказалась под угрозой срыва. Lockheed принимает решение ставить на серийные самолеты двигатели I-40 фирмы General Electric. Впоследствии их производство передадут на фирму Allison и они будут известны под обозначением J-33.</w:t>
      </w:r>
    </w:p>
    <w:p w14:paraId="65E40E0E" w14:textId="77777777" w:rsidR="001F1AD3" w:rsidRPr="007224C3" w:rsidRDefault="001F1AD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А пока один из опытных образцов начали переделывать под новую силовую установку. Длину фюзеляжа увеличили на 51 см, изменили форму воздухозаборников и перед входом в него поставили отсекатель пограничного слоя. Размах крыла увеличили на 60 см. По требованию военных в состав вооружения добавили еще один пулемет. До этого на XР-80 стояло пять пулеметов М2 калибром 12,7 мм. Для увеличения дальности полета на концах крыла предусмотрели подвеску дополнительных топливных баков. Новый двигатель обладал более высокими характеристиками. Его максимальная тяга составляла 1750 кг, что на 580 кг больше, чем у Н.1В. Первый полет модернизированного самолета состоялся 16 февраля 1944 года. Взлетный вес машины возрос на 25% и составил 5000 кг. По образцу модернизированного опытного самолета построили заказанные тринадцать предсерийных самолетов YP-80A. Первый из них поднялся в воздух 13 сентября 1944 года. Испытания проходили успешно, а на фронте пилоты все чаще стали встречаться с немецкими реактивными самолетами. ВВС начали торопить фирму с серийным производством необходимого для фронта самолета, получившего название Shooting Star (22848).</w:t>
      </w:r>
    </w:p>
    <w:p w14:paraId="78FC1596" w14:textId="77777777" w:rsidR="001F1AD3" w:rsidRPr="007224C3" w:rsidRDefault="001F1AD3" w:rsidP="007224C3">
      <w:pPr>
        <w:spacing w:after="0" w:line="240" w:lineRule="auto"/>
        <w:jc w:val="both"/>
        <w:rPr>
          <w:rFonts w:ascii="Times New Roman" w:hAnsi="Times New Roman"/>
          <w:color w:val="0070C0"/>
          <w:sz w:val="16"/>
          <w:szCs w:val="16"/>
        </w:rPr>
      </w:pPr>
    </w:p>
    <w:p w14:paraId="4B01EA33" w14:textId="77777777" w:rsidR="00F4385E" w:rsidRPr="007224C3" w:rsidRDefault="00F4385E"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10 июня</w:t>
      </w:r>
      <w:r w:rsidRPr="007224C3">
        <w:rPr>
          <w:rFonts w:ascii="Times New Roman" w:hAnsi="Times New Roman"/>
          <w:color w:val="000000" w:themeColor="text1"/>
          <w:sz w:val="16"/>
          <w:szCs w:val="16"/>
        </w:rPr>
        <w:t xml:space="preserve"> в 1944 году руководством «RLM» было принято решение, что транспортный самолет «Ar-432» будет серийно строиться с октября 1944 года. К сожалению, не известно, были ли два первых прототипа закончены. По крайней мере, несколько отдельных собранных агрегатов «Ar-432» были обнаружены в конце войны в Егере. Между тем, «Ar-432» был официально занесен в список экспонатов последней немецкой авиационной крупномасштабной выставки в Лярце, проходившей 12 -13 июня 1944-го. Но, скорее всего, там выставлялся «Ar-232В-020», которому возможно дали временное обозначение «Ar-232С-01» или «Ar-432V1» (14918).</w:t>
      </w:r>
    </w:p>
    <w:p w14:paraId="2382956C" w14:textId="77777777" w:rsidR="00F4385E" w:rsidRPr="007224C3" w:rsidRDefault="00F4385E" w:rsidP="007224C3">
      <w:pPr>
        <w:spacing w:after="0" w:line="240" w:lineRule="auto"/>
        <w:jc w:val="both"/>
        <w:rPr>
          <w:rFonts w:ascii="Times New Roman" w:hAnsi="Times New Roman"/>
          <w:color w:val="000000" w:themeColor="text1"/>
          <w:sz w:val="16"/>
          <w:szCs w:val="16"/>
        </w:rPr>
      </w:pPr>
    </w:p>
    <w:p w14:paraId="63AB237A" w14:textId="77777777" w:rsidR="00F4385E" w:rsidRPr="007224C3" w:rsidRDefault="00F4385E" w:rsidP="007224C3">
      <w:pPr>
        <w:spacing w:after="0" w:line="240" w:lineRule="auto"/>
        <w:jc w:val="both"/>
        <w:rPr>
          <w:rFonts w:ascii="Times New Roman" w:hAnsi="Times New Roman"/>
          <w:bCs/>
          <w:color w:val="000000" w:themeColor="text1"/>
          <w:sz w:val="16"/>
          <w:szCs w:val="16"/>
        </w:rPr>
      </w:pPr>
      <w:r w:rsidRPr="007224C3">
        <w:rPr>
          <w:rFonts w:ascii="Times New Roman" w:hAnsi="Times New Roman"/>
          <w:bCs/>
          <w:color w:val="000000" w:themeColor="text1"/>
          <w:sz w:val="16"/>
          <w:szCs w:val="16"/>
        </w:rPr>
        <w:t>10 июня</w:t>
      </w:r>
      <w:r w:rsidRPr="007224C3">
        <w:rPr>
          <w:rFonts w:ascii="Times New Roman" w:hAnsi="Times New Roman"/>
          <w:color w:val="000000" w:themeColor="text1"/>
          <w:sz w:val="16"/>
          <w:szCs w:val="16"/>
        </w:rPr>
        <w:t xml:space="preserve"> в 1944 году первый полет шведского опытного пикирующего бомбардировщика </w:t>
      </w:r>
      <w:hyperlink r:id="rId172" w:tgtFrame="_blank" w:history="1">
        <w:r w:rsidRPr="007224C3">
          <w:rPr>
            <w:rFonts w:ascii="Times New Roman" w:hAnsi="Times New Roman"/>
            <w:color w:val="000000" w:themeColor="text1"/>
            <w:sz w:val="16"/>
            <w:szCs w:val="16"/>
          </w:rPr>
          <w:t>«SAAB» «18В».</w:t>
        </w:r>
      </w:hyperlink>
    </w:p>
    <w:p w14:paraId="377CF7F5" w14:textId="77777777" w:rsidR="00F4385E" w:rsidRPr="007224C3" w:rsidRDefault="00F4385E" w:rsidP="007224C3">
      <w:pPr>
        <w:spacing w:after="0" w:line="240" w:lineRule="auto"/>
        <w:jc w:val="both"/>
        <w:rPr>
          <w:rFonts w:ascii="Times New Roman" w:hAnsi="Times New Roman"/>
          <w:bCs/>
          <w:color w:val="000000" w:themeColor="text1"/>
          <w:sz w:val="16"/>
          <w:szCs w:val="16"/>
        </w:rPr>
      </w:pPr>
    </w:p>
    <w:p w14:paraId="1ED20FF0" w14:textId="77777777" w:rsidR="001F1AD3" w:rsidRPr="007224C3" w:rsidRDefault="001F1AD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10 июня 1944 - Первый полёт реактивного F-80A Shooting Star с двигателем I-40 фирмы "Дженерал электрик". После 35 минут полёта самолёт сел с одним выпущенным закрылком! Лётчик также отметил продольную неустойчивость машины. Система кондиционирования гнала в кабину воздух, нагретый до 120 гр., как в сауне! Двигатель был ещё не доведен - максимальный режим разрешался только на разбеге. Серьезной проблемой оказалась тряска элеронов, начинавшаяся на скорости М=0,8 - сказывался эффект сжимаемости воздуха. Дальнейшее увеличение скорости грозило разрушением элеронов (22465).</w:t>
      </w:r>
    </w:p>
    <w:p w14:paraId="7BBA357D" w14:textId="77777777" w:rsidR="001F1AD3" w:rsidRPr="007224C3" w:rsidRDefault="001F1AD3" w:rsidP="007224C3">
      <w:pPr>
        <w:spacing w:after="0" w:line="240" w:lineRule="auto"/>
        <w:jc w:val="both"/>
        <w:rPr>
          <w:rFonts w:ascii="Times New Roman" w:hAnsi="Times New Roman"/>
          <w:color w:val="0070C0"/>
          <w:sz w:val="16"/>
          <w:szCs w:val="16"/>
        </w:rPr>
      </w:pPr>
    </w:p>
    <w:p w14:paraId="31A2EB4E" w14:textId="77777777" w:rsidR="001F1AD3" w:rsidRPr="007224C3" w:rsidRDefault="001F1AD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10 июня 1944 46 истребителей P-38 Lightning 82-й истребительной группы ВВС США, вылетевшие из Италии, неся по одной 454-килограммовой бомбе каждый, нанесли очень дальний удар для истребителей-бомбардировщиков по румыно-американскому нефтеперерабатывающкму заводу в Плоешти, Румыния . Они уничтожили 23 немецких самолета в обмен на потерю 22 P-38 (20373).</w:t>
      </w:r>
    </w:p>
    <w:p w14:paraId="5229E295" w14:textId="77777777" w:rsidR="001F1AD3" w:rsidRPr="007224C3" w:rsidRDefault="001F1AD3" w:rsidP="007224C3">
      <w:pPr>
        <w:spacing w:after="0" w:line="240" w:lineRule="auto"/>
        <w:jc w:val="both"/>
        <w:rPr>
          <w:rFonts w:ascii="Times New Roman" w:hAnsi="Times New Roman"/>
          <w:color w:val="0070C0"/>
          <w:sz w:val="16"/>
          <w:szCs w:val="16"/>
        </w:rPr>
      </w:pPr>
    </w:p>
    <w:p w14:paraId="2BE64067" w14:textId="77777777" w:rsidR="001F1AD3" w:rsidRPr="007224C3" w:rsidRDefault="001F1AD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10 июня 1944 вторая тактическая атака Королевских ВВС с использованием от 40 до 42 тайфунов Hawker и 61 североамериканских Mitchells на штаб западной танковой группы немецкой армии в Ла-Каине, Нормандия , ранила командира, генерала танковой группы Лео Гейра фон Швеппенбурга, и убивает своего начальника штаба генерал - майора Сигизмунда-Гельмута фон Даванса и 17 других штабных офицеров. Тридцать три Spitfire сопровождают атакующие самолеты (20373).</w:t>
      </w:r>
    </w:p>
    <w:p w14:paraId="3B4173D4" w14:textId="77777777" w:rsidR="001F1AD3" w:rsidRPr="007224C3" w:rsidRDefault="001F1AD3" w:rsidP="007224C3">
      <w:pPr>
        <w:spacing w:after="0" w:line="240" w:lineRule="auto"/>
        <w:jc w:val="both"/>
        <w:rPr>
          <w:rFonts w:ascii="Times New Roman" w:hAnsi="Times New Roman"/>
          <w:color w:val="0070C0"/>
          <w:sz w:val="16"/>
          <w:szCs w:val="16"/>
        </w:rPr>
      </w:pPr>
    </w:p>
    <w:p w14:paraId="59055FA2" w14:textId="77777777" w:rsidR="001F1AD3" w:rsidRPr="007224C3" w:rsidRDefault="001F1AD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10–11 июня 1944 432 британских бомбардировщика атакуют французские железнодорожные объекты в Ашере, Дре, Орлеане и Версале, Франция, потеряв 18 самолетов (20373).</w:t>
      </w:r>
    </w:p>
    <w:p w14:paraId="3E32BEF7" w14:textId="77777777" w:rsidR="001F1AD3" w:rsidRPr="007224C3" w:rsidRDefault="001F1AD3" w:rsidP="007224C3">
      <w:pPr>
        <w:spacing w:after="0" w:line="240" w:lineRule="auto"/>
        <w:jc w:val="both"/>
        <w:rPr>
          <w:rFonts w:ascii="Times New Roman" w:hAnsi="Times New Roman"/>
          <w:color w:val="0070C0"/>
          <w:sz w:val="16"/>
          <w:szCs w:val="16"/>
        </w:rPr>
      </w:pPr>
    </w:p>
    <w:p w14:paraId="5041366A" w14:textId="77777777" w:rsidR="006B3C37" w:rsidRPr="007224C3" w:rsidRDefault="006B3C37" w:rsidP="007224C3">
      <w:pPr>
        <w:pStyle w:val="101"/>
        <w:shd w:val="clear" w:color="auto" w:fill="auto"/>
        <w:spacing w:after="0" w:line="240" w:lineRule="auto"/>
        <w:jc w:val="both"/>
        <w:rPr>
          <w:rFonts w:ascii="Times New Roman" w:hAnsi="Times New Roman" w:cs="Times New Roman"/>
          <w:color w:val="000000" w:themeColor="text1"/>
          <w:spacing w:val="0"/>
          <w:sz w:val="16"/>
          <w:szCs w:val="16"/>
        </w:rPr>
      </w:pPr>
      <w:r w:rsidRPr="007224C3">
        <w:rPr>
          <w:rFonts w:ascii="Times New Roman" w:hAnsi="Times New Roman" w:cs="Times New Roman"/>
          <w:color w:val="000000" w:themeColor="text1"/>
          <w:spacing w:val="0"/>
          <w:sz w:val="16"/>
          <w:szCs w:val="16"/>
        </w:rPr>
        <w:t>Утром 10 июня 1944 г. с аэродрома Винченцо (Северная Италия) на Плоешти вылетели 46 истребителей Р-38. Каж</w:t>
      </w:r>
      <w:r w:rsidRPr="007224C3">
        <w:rPr>
          <w:rFonts w:ascii="Times New Roman" w:hAnsi="Times New Roman" w:cs="Times New Roman"/>
          <w:color w:val="000000" w:themeColor="text1"/>
          <w:spacing w:val="0"/>
          <w:sz w:val="16"/>
          <w:szCs w:val="16"/>
        </w:rPr>
        <w:softHyphen/>
        <w:t>дый из них нес по одной 1000-фунтовой (454-кг) бомбе и дополнительный топливный бак. Их сопровождали 48 «Лайт- нингов» в истребительном варианте. В перелете через Адри</w:t>
      </w:r>
      <w:r w:rsidRPr="007224C3">
        <w:rPr>
          <w:rFonts w:ascii="Times New Roman" w:hAnsi="Times New Roman" w:cs="Times New Roman"/>
          <w:color w:val="000000" w:themeColor="text1"/>
          <w:spacing w:val="0"/>
          <w:sz w:val="16"/>
          <w:szCs w:val="16"/>
        </w:rPr>
        <w:softHyphen/>
        <w:t>атическое море 12 самолетов из-за технических неполадок повернули обратно. «Лайтнинги» летели на высоте всего 50 метров, но, тем не менее, на подходе к Бухаресту были об</w:t>
      </w:r>
      <w:r w:rsidRPr="007224C3">
        <w:rPr>
          <w:rFonts w:ascii="Times New Roman" w:hAnsi="Times New Roman" w:cs="Times New Roman"/>
          <w:color w:val="000000" w:themeColor="text1"/>
          <w:spacing w:val="0"/>
          <w:sz w:val="16"/>
          <w:szCs w:val="16"/>
        </w:rPr>
        <w:softHyphen/>
        <w:t>наружены германскими РЛС. В ходе упорного боя с герман</w:t>
      </w:r>
      <w:r w:rsidRPr="007224C3">
        <w:rPr>
          <w:rFonts w:ascii="Times New Roman" w:hAnsi="Times New Roman" w:cs="Times New Roman"/>
          <w:color w:val="000000" w:themeColor="text1"/>
          <w:spacing w:val="0"/>
          <w:sz w:val="16"/>
          <w:szCs w:val="16"/>
        </w:rPr>
        <w:softHyphen/>
        <w:t>скими и румынскими истребителями американцы потеряли 24 Р-38. В свою очередь им удалось сбить 5 румынских и один германский истребитель. Кроме того, американцы «по пути» сбили Ме-410 и бомбардировщик Хе-111 (19080).</w:t>
      </w:r>
    </w:p>
    <w:p w14:paraId="70D15420" w14:textId="77777777" w:rsidR="006B3C37" w:rsidRPr="007224C3" w:rsidRDefault="006B3C37" w:rsidP="007224C3">
      <w:pPr>
        <w:pStyle w:val="101"/>
        <w:shd w:val="clear" w:color="auto" w:fill="auto"/>
        <w:spacing w:after="0" w:line="240" w:lineRule="auto"/>
        <w:jc w:val="both"/>
        <w:rPr>
          <w:rFonts w:ascii="Times New Roman" w:hAnsi="Times New Roman" w:cs="Times New Roman"/>
          <w:color w:val="000000" w:themeColor="text1"/>
          <w:spacing w:val="0"/>
          <w:sz w:val="16"/>
          <w:szCs w:val="16"/>
        </w:rPr>
      </w:pPr>
    </w:p>
    <w:p w14:paraId="299544BD" w14:textId="77777777" w:rsidR="00F4385E" w:rsidRPr="007224C3" w:rsidRDefault="00F4385E"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10 июня</w:t>
      </w:r>
      <w:r w:rsidRPr="007224C3">
        <w:rPr>
          <w:rFonts w:ascii="Times New Roman" w:hAnsi="Times New Roman"/>
          <w:color w:val="000000" w:themeColor="text1"/>
          <w:sz w:val="16"/>
          <w:szCs w:val="16"/>
        </w:rPr>
        <w:t xml:space="preserve"> в 1944 году четверка "Москито" «FB.XVIII» вооруженных 57-мм пушками удачно атаковала вражескую подлодку «U-821», в результате чего ее покинул экипаж. Лодку добил "Либерейтор" из 206-й эскадрильи, однако именно два попадания 57-мм снарядов с «FB.XVIII» (заводской номер NT225) воспрепятствовали ее срочному погружению. Продолжались исследования, направленные на повышение эффективности боевого применения "Мосси" по морским целям. На одном из «FB.VI», принадлежавшем 248-й эскадрилье, проверялась возможность подвески, транспортировки и сбрасывания авиационных мин «А.VIII» и глубинных бомб «Mk.XI». Впервые 25-фунтовые (11,2-килограммовые) глубинные бомбы в боевых условиях "Москито" применили 22 июня 1944 года по объекту, принятому за перископ вражеской подлодки (14918).</w:t>
      </w:r>
    </w:p>
    <w:p w14:paraId="5E7ADCE7" w14:textId="77777777" w:rsidR="00F4385E" w:rsidRPr="007224C3" w:rsidRDefault="00F4385E" w:rsidP="007224C3">
      <w:pPr>
        <w:spacing w:after="0" w:line="240" w:lineRule="auto"/>
        <w:jc w:val="both"/>
        <w:rPr>
          <w:rFonts w:ascii="Times New Roman" w:hAnsi="Times New Roman"/>
          <w:color w:val="000000" w:themeColor="text1"/>
          <w:sz w:val="16"/>
          <w:szCs w:val="16"/>
        </w:rPr>
      </w:pPr>
    </w:p>
    <w:p w14:paraId="2A796662"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июня 1944 фашистами уничтожен французский городок Орадур (4962).</w:t>
      </w:r>
    </w:p>
    <w:p w14:paraId="0E5976A0"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928945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June 10 1944 Nazis liquidate the town of Oradour-sur-Glane in France (1050).</w:t>
      </w:r>
    </w:p>
    <w:p w14:paraId="44D0B57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5CF400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июня 1944 нацисты уничтожили французский город Oradour-sur-Glane (1050).</w:t>
      </w:r>
    </w:p>
    <w:p w14:paraId="4AD6ED5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5BAB99" w14:textId="77777777" w:rsidR="00F4385E" w:rsidRPr="007224C3" w:rsidRDefault="00F4385E"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10 июня</w:t>
      </w:r>
      <w:r w:rsidRPr="007224C3">
        <w:rPr>
          <w:rFonts w:ascii="Times New Roman" w:hAnsi="Times New Roman"/>
          <w:color w:val="000000" w:themeColor="text1"/>
          <w:sz w:val="16"/>
          <w:szCs w:val="16"/>
        </w:rPr>
        <w:t xml:space="preserve"> в 1944 году гитлеровские оккупанты уничтожили поселок Орадур-сюр-Глан (департамент Верхняя Вольта, Франция). 642 человека из 648 жителей, в том числе 207 детей, были расстреляны. 16 июля 1999 г. на месте трагедии был открыт мемориал жертвам фашизма (14918).</w:t>
      </w:r>
    </w:p>
    <w:p w14:paraId="01D2DEA2" w14:textId="77777777" w:rsidR="00F4385E" w:rsidRPr="007224C3" w:rsidRDefault="00F4385E" w:rsidP="007224C3">
      <w:pPr>
        <w:spacing w:after="0" w:line="240" w:lineRule="auto"/>
        <w:jc w:val="both"/>
        <w:rPr>
          <w:rFonts w:ascii="Times New Roman" w:hAnsi="Times New Roman"/>
          <w:color w:val="000000" w:themeColor="text1"/>
          <w:sz w:val="16"/>
          <w:szCs w:val="16"/>
        </w:rPr>
      </w:pPr>
    </w:p>
    <w:p w14:paraId="11B39C5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June 10th, 1944: In the West, German counterattacks against Allied invasion forces are unsuccessful for lack of armored reserves in the area (3819).</w:t>
      </w:r>
    </w:p>
    <w:p w14:paraId="32822F0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7539DA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июня 1944 германские контратаки против высадившихся союзников окончились неудачей из-за недостатка танков (3819).</w:t>
      </w:r>
    </w:p>
    <w:p w14:paraId="6DD2DAC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20652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С 10 по 8 июля 1944 состоялась битва при Кане в Нормандии. Англичане сконцентрировали 6 пехотных и 7 танковых дивизий (670 танков) и шесть бронетанковых </w:t>
      </w:r>
      <w:r w:rsidRPr="007224C3">
        <w:rPr>
          <w:rFonts w:ascii="Times New Roman" w:hAnsi="Times New Roman"/>
          <w:color w:val="000000" w:themeColor="text1"/>
          <w:sz w:val="16"/>
          <w:szCs w:val="16"/>
        </w:rPr>
        <w:lastRenderedPageBreak/>
        <w:t>бригад (1350 танков) (2438,273).</w:t>
      </w:r>
    </w:p>
    <w:p w14:paraId="6ED5670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DF4E6B"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10D0198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A70A59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июня 1944 актом НИИ ВВС N 066 самолет Ил-10 АМ-42 был рекомендован в серию (2217).</w:t>
      </w:r>
    </w:p>
    <w:p w14:paraId="6E8D5F4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8C32C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июня 1944 Нач. НИИ ВВС г-л ИАС Лосюков и Зам. нач. штаба НИИ ВВС и-пп Понуров направили А.И.Ш. с письмом N 066 (вход. 7742-52 от 11 июня 1944) "Акт по результатам гос. испытаний опытного двухместного бронированного штурмовика Ил-10 с мотором АМ-42 и винтом АВ-5Л-24 конструкции С.В.И. (производство завода 18, сборка завода 240) (1866).</w:t>
      </w:r>
    </w:p>
    <w:p w14:paraId="5D85DBC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4D646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июня 1944 на Ла-5 АШ-82ФН + 2ТК-3 был выполнен полет на определение потолка на 1-й скорости нагнетателя с ТК. Достигли 11000 м и летали 0:35. Прекратили из-за течи масла (1825).</w:t>
      </w:r>
    </w:p>
    <w:p w14:paraId="7B1231C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0BFE6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июня 1944 на ЛА-5 С АШ-82ФН и 2ТК-3 был произведен-полет на спределение потолка на первой скорости нагнетателя с включенными ТК. Достигнута высота 11000 мт по прибору, продолжительность полета - 35 мин. Полет прекращен из-за течи масла в соединениях мотора и высокой температуры масла на входе (90 гр.). На высоте 9000 мт наблюдалась тряска мотора из-за плохой работы свечей ВГ-25. С высоты 7000 мт включалась система нейтрального газа, что поддерживало давление бензина нормальным (1825).</w:t>
      </w:r>
    </w:p>
    <w:p w14:paraId="5B2B72E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E51989" w14:textId="77777777" w:rsidR="004421A7" w:rsidRPr="007224C3" w:rsidRDefault="004421A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июня 1944 г. в полёте на определение потолка на первой скорости нагнетателя с включенными турбокомпрессорами на Ла-5Ф достигли высоты 11000 м. На высоте 3000 м включилась система впрыска воды, и температура го</w:t>
      </w:r>
      <w:r w:rsidRPr="007224C3">
        <w:rPr>
          <w:rFonts w:ascii="Times New Roman" w:hAnsi="Times New Roman"/>
          <w:color w:val="000000" w:themeColor="text1"/>
          <w:sz w:val="16"/>
          <w:szCs w:val="16"/>
        </w:rPr>
        <w:softHyphen/>
        <w:t>ловок цилиндров на протяжении полёта сохранялась нормальной, на высоте 7000 м сработала система нейтрального газа, обеспечившая поддержание нормального давления бензина. Однако течь масла в соединениях мотора и высокая температура масла на вы</w:t>
      </w:r>
      <w:r w:rsidRPr="007224C3">
        <w:rPr>
          <w:rFonts w:ascii="Times New Roman" w:hAnsi="Times New Roman"/>
          <w:color w:val="000000" w:themeColor="text1"/>
          <w:sz w:val="16"/>
          <w:szCs w:val="16"/>
        </w:rPr>
        <w:softHyphen/>
        <w:t>ходе — 90°С, привели к прекращению полёта. Для снижения температуры масла на са</w:t>
      </w:r>
      <w:r w:rsidRPr="007224C3">
        <w:rPr>
          <w:rFonts w:ascii="Times New Roman" w:hAnsi="Times New Roman"/>
          <w:color w:val="000000" w:themeColor="text1"/>
          <w:sz w:val="16"/>
          <w:szCs w:val="16"/>
        </w:rPr>
        <w:softHyphen/>
        <w:t>молёте установили радиатор с трубкой диаметром 4 мм, вместо прежнего радиатора с трубкой 5 мм, а также приспособление для защиты радиатора от попадания масла из за- моторного пространства. 13 июня 1944 г. произвели два полёта: первый до высоты 9500 м, второй — до 4500 м, и оба пришлось прекратить из-за выброса масла из мотора. Как по</w:t>
      </w:r>
      <w:r w:rsidRPr="007224C3">
        <w:rPr>
          <w:rFonts w:ascii="Times New Roman" w:hAnsi="Times New Roman"/>
          <w:color w:val="000000" w:themeColor="text1"/>
          <w:sz w:val="16"/>
          <w:szCs w:val="16"/>
        </w:rPr>
        <w:softHyphen/>
        <w:t>казали произведенные при участии представителя завода N9 19 испытания и осмотр, течь происходила из кольцевого уплотнения нагнетателя. Сделали однозначный вывод, что для проведения высотных полётов требуются моторы специальной сборки.</w:t>
      </w:r>
    </w:p>
    <w:p w14:paraId="6C116705" w14:textId="77777777" w:rsidR="004421A7" w:rsidRPr="007224C3" w:rsidRDefault="004421A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 как такие моторы завод № 19 мог изготовить лишь к 1 июля, ему дали указание отгрузить заводу № 21 два мотора обычной сборки, но с улучшенным дефлектирова- нием. К 25 июня, после установки на месте пушки дополнительного маслобака, само</w:t>
      </w:r>
      <w:r w:rsidRPr="007224C3">
        <w:rPr>
          <w:rFonts w:ascii="Times New Roman" w:hAnsi="Times New Roman"/>
          <w:color w:val="000000" w:themeColor="text1"/>
          <w:sz w:val="16"/>
          <w:szCs w:val="16"/>
        </w:rPr>
        <w:softHyphen/>
        <w:t>лёт снова подготовили к продолжению испытаний. Во время состоявшихся 3-4 июля полётов до высоты 7800 м температура масла на входе поднялась выше допустимого уровня, произошло затяжеление винта, и имел место выброс масла из дренажа, за все время полёта он составил 15 кг. После чего на самолёте установили высотную масло- помпу — агрегат № 180, и произвели отсос масла из суфлёрного бачка. Однако в кон</w:t>
      </w:r>
      <w:r w:rsidRPr="007224C3">
        <w:rPr>
          <w:rFonts w:ascii="Times New Roman" w:hAnsi="Times New Roman"/>
          <w:color w:val="000000" w:themeColor="text1"/>
          <w:sz w:val="16"/>
          <w:szCs w:val="16"/>
        </w:rPr>
        <w:softHyphen/>
        <w:t>трольном полёте 8 июля при наборе высоты 5000 м температура на входе снова поднялась выше допустимых пределов (87°С) и полёт опять пришлось прекратить. При осмотре самолёта на земле снова обнаружили выброс масла. 11 июля 1944 г. Ла-5А перегнали в Москву на завод № 81. По заключению представителя завода № 19, из-за попадания масла в нагнетатель мотора по причине дефектов маслоуплотнений валика нагнетателя, к дальнейшим полётам самолёт признали непригодным.</w:t>
      </w:r>
    </w:p>
    <w:p w14:paraId="72AA2B3E" w14:textId="77777777" w:rsidR="004421A7" w:rsidRPr="007224C3" w:rsidRDefault="004421A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Новую винтомоторную группу на Ла-5А смонтировали только в 20-х числах августа, заодно в соответствии с рекомендациями ЦАГИ произвели доводки систем охлаждения. 12 сентября состоялся контрольный полёт, мотор снова работал с перебоями из-за не</w:t>
      </w:r>
      <w:r w:rsidRPr="007224C3">
        <w:rPr>
          <w:rFonts w:ascii="Times New Roman" w:hAnsi="Times New Roman"/>
          <w:color w:val="000000" w:themeColor="text1"/>
          <w:sz w:val="16"/>
          <w:szCs w:val="16"/>
        </w:rPr>
        <w:softHyphen/>
        <w:t>поладок регулятора смеси. На следующий день для скорейшей отработки винтомотор</w:t>
      </w:r>
      <w:r w:rsidRPr="007224C3">
        <w:rPr>
          <w:rFonts w:ascii="Times New Roman" w:hAnsi="Times New Roman"/>
          <w:color w:val="000000" w:themeColor="text1"/>
          <w:sz w:val="16"/>
          <w:szCs w:val="16"/>
        </w:rPr>
        <w:softHyphen/>
        <w:t>ной группы на больших высотах при участии сотрудников лаборатории ЛИИ самолёт перегнали на аэродром «Раменское». При перелёте мотор работал «богато», и на сред</w:t>
      </w:r>
      <w:r w:rsidRPr="007224C3">
        <w:rPr>
          <w:rFonts w:ascii="Times New Roman" w:hAnsi="Times New Roman"/>
          <w:color w:val="000000" w:themeColor="text1"/>
          <w:sz w:val="16"/>
          <w:szCs w:val="16"/>
        </w:rPr>
        <w:softHyphen/>
        <w:t>них режимах его трясло. В ЛИИ лётные испытания продолжили. 21 сентября в конт</w:t>
      </w:r>
      <w:r w:rsidRPr="007224C3">
        <w:rPr>
          <w:rFonts w:ascii="Times New Roman" w:hAnsi="Times New Roman"/>
          <w:color w:val="000000" w:themeColor="text1"/>
          <w:sz w:val="16"/>
          <w:szCs w:val="16"/>
        </w:rPr>
        <w:softHyphen/>
        <w:t>рольном полёте достигли высоты 5600 м, дальнейший набор высоты в связи с поломкой датчика оборотов турбокомпрессора пришлось прекратить. 26 сентября полёт до вы</w:t>
      </w:r>
      <w:r w:rsidRPr="007224C3">
        <w:rPr>
          <w:rFonts w:ascii="Times New Roman" w:hAnsi="Times New Roman"/>
          <w:color w:val="000000" w:themeColor="text1"/>
          <w:sz w:val="16"/>
          <w:szCs w:val="16"/>
        </w:rPr>
        <w:softHyphen/>
        <w:t>соты 9000 м прекратили вследствие обледенения фонаря, отказа в работе впрыска во</w:t>
      </w:r>
      <w:r w:rsidRPr="007224C3">
        <w:rPr>
          <w:rFonts w:ascii="Times New Roman" w:hAnsi="Times New Roman"/>
          <w:color w:val="000000" w:themeColor="text1"/>
          <w:sz w:val="16"/>
          <w:szCs w:val="16"/>
        </w:rPr>
        <w:softHyphen/>
        <w:t>ды в цилиндры мотора и высоких температур масла. Следующий полёт состоялся лишь 3 октября. На высоте 10000 м сильная тряска мотора при включении впрыска воды и низкое давление бензина в системе не позволили его продолжить. Ещё один день ушёл на устранение обнаруженных дефектов.</w:t>
      </w:r>
    </w:p>
    <w:p w14:paraId="0549D041" w14:textId="77777777" w:rsidR="004421A7" w:rsidRPr="007224C3" w:rsidRDefault="004421A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октября в полёте на замер расхода горючего на высотах 500 м и 4000 м и проверку работы мотора с включённым впрыском воды на Ла-5А, который пилотировал лётчик-ис</w:t>
      </w:r>
      <w:r w:rsidRPr="007224C3">
        <w:rPr>
          <w:rFonts w:ascii="Times New Roman" w:hAnsi="Times New Roman"/>
          <w:color w:val="000000" w:themeColor="text1"/>
          <w:sz w:val="16"/>
          <w:szCs w:val="16"/>
        </w:rPr>
        <w:softHyphen/>
        <w:t>пытатель С.Н. Анохин, на высоте 3400 м при нормальной работе мотора и при нормальных показаниях всех контрольных приборов на выхлопе возникло сильное факеление. Для его устранения лётчик обеднил смесь при помощи рычага остановки мотора. Факе</w:t>
      </w:r>
      <w:r w:rsidRPr="007224C3">
        <w:rPr>
          <w:rFonts w:ascii="Times New Roman" w:hAnsi="Times New Roman"/>
          <w:color w:val="000000" w:themeColor="text1"/>
          <w:sz w:val="16"/>
          <w:szCs w:val="16"/>
        </w:rPr>
        <w:softHyphen/>
        <w:t>ление привело к сильному нагреву бортов фюзеляжа, обгорела обшивка правого борта. Вследствие высокой температуры фанерная оболочка задымилась. Анохину удалось до</w:t>
      </w:r>
      <w:r w:rsidRPr="007224C3">
        <w:rPr>
          <w:rFonts w:ascii="Times New Roman" w:hAnsi="Times New Roman"/>
          <w:color w:val="000000" w:themeColor="text1"/>
          <w:sz w:val="16"/>
          <w:szCs w:val="16"/>
        </w:rPr>
        <w:softHyphen/>
        <w:t>вести загоревшийся самолёт до аэродрома и нормально сесть в пределах ВПП. Горение и обугливание деревянной конструкции фюзеляжа было вызвано перегревом металличе</w:t>
      </w:r>
      <w:r w:rsidRPr="007224C3">
        <w:rPr>
          <w:rFonts w:ascii="Times New Roman" w:hAnsi="Times New Roman"/>
          <w:color w:val="000000" w:themeColor="text1"/>
          <w:sz w:val="16"/>
          <w:szCs w:val="16"/>
        </w:rPr>
        <w:softHyphen/>
        <w:t>ской обшивки факелом, образующимся на выхлопе мотора, теплоизоляция между жаро</w:t>
      </w:r>
      <w:r w:rsidRPr="007224C3">
        <w:rPr>
          <w:rFonts w:ascii="Times New Roman" w:hAnsi="Times New Roman"/>
          <w:color w:val="000000" w:themeColor="text1"/>
          <w:sz w:val="16"/>
          <w:szCs w:val="16"/>
        </w:rPr>
        <w:softHyphen/>
        <w:t>упорными листами обшивки и деревянной конструкцией фюзеляжа оказалась недоста</w:t>
      </w:r>
      <w:r w:rsidRPr="007224C3">
        <w:rPr>
          <w:rFonts w:ascii="Times New Roman" w:hAnsi="Times New Roman"/>
          <w:color w:val="000000" w:themeColor="text1"/>
          <w:sz w:val="16"/>
          <w:szCs w:val="16"/>
        </w:rPr>
        <w:softHyphen/>
        <w:t>точной. Факел же появился в результате ненормального забогащения мотора при увели</w:t>
      </w:r>
      <w:r w:rsidRPr="007224C3">
        <w:rPr>
          <w:rFonts w:ascii="Times New Roman" w:hAnsi="Times New Roman"/>
          <w:color w:val="000000" w:themeColor="text1"/>
          <w:sz w:val="16"/>
          <w:szCs w:val="16"/>
        </w:rPr>
        <w:softHyphen/>
        <w:t>чении высоты полёта, тогда же расход горючего увеличился с 360 кг/ч до 459 кг/ч на вы</w:t>
      </w:r>
      <w:r w:rsidRPr="007224C3">
        <w:rPr>
          <w:rFonts w:ascii="Times New Roman" w:hAnsi="Times New Roman"/>
          <w:color w:val="000000" w:themeColor="text1"/>
          <w:sz w:val="16"/>
          <w:szCs w:val="16"/>
        </w:rPr>
        <w:softHyphen/>
        <w:t>соте 3400 м. Наиболее интенсивный факел образовался из ресивера правого турбо</w:t>
      </w:r>
      <w:r w:rsidRPr="007224C3">
        <w:rPr>
          <w:rFonts w:ascii="Times New Roman" w:hAnsi="Times New Roman"/>
          <w:color w:val="000000" w:themeColor="text1"/>
          <w:sz w:val="16"/>
          <w:szCs w:val="16"/>
        </w:rPr>
        <w:softHyphen/>
        <w:t>компрессора. Аварийная комиссия под председательством М.Д. Романовича, для безо</w:t>
      </w:r>
      <w:r w:rsidRPr="007224C3">
        <w:rPr>
          <w:rFonts w:ascii="Times New Roman" w:hAnsi="Times New Roman"/>
          <w:color w:val="000000" w:themeColor="text1"/>
          <w:sz w:val="16"/>
          <w:szCs w:val="16"/>
        </w:rPr>
        <w:softHyphen/>
        <w:t>пасности проведения дальнейших лётных испытаний, порекомендовала: установить для моторов АШ-82ФН с ТК нормы часового расхода горючего, насосы НБЗ-У проверять на равномерность подачи горючего, на стабильность его расходования по высотам, заводу № 81 улучшить теплоизоляцию деревянных частей фюзеляжа от металлической обшив</w:t>
      </w:r>
      <w:r w:rsidRPr="007224C3">
        <w:rPr>
          <w:rFonts w:ascii="Times New Roman" w:hAnsi="Times New Roman"/>
          <w:color w:val="000000" w:themeColor="text1"/>
          <w:sz w:val="16"/>
          <w:szCs w:val="16"/>
        </w:rPr>
        <w:softHyphen/>
        <w:t>ки, подверженной воздействию выхлопных газов. Самолёт нуждался в ремонте, и его от</w:t>
      </w:r>
      <w:r w:rsidRPr="007224C3">
        <w:rPr>
          <w:rFonts w:ascii="Times New Roman" w:hAnsi="Times New Roman"/>
          <w:color w:val="000000" w:themeColor="text1"/>
          <w:sz w:val="16"/>
          <w:szCs w:val="16"/>
        </w:rPr>
        <w:softHyphen/>
        <w:t>правили на завод № 81. Откуда назад он не вернулся, поскольку программу испытаний признали выполненной, а тему законченной.</w:t>
      </w:r>
    </w:p>
    <w:p w14:paraId="7BC70249" w14:textId="77777777" w:rsidR="004421A7" w:rsidRPr="007224C3" w:rsidRDefault="004421A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обстоятельствах, аналогичных тем, в которых оказался С.Н. Анохин на Ла-5А, 7 февраля разбился И-221 ОКБ-155. Пилотировавший его летчик 12-го ГИАП П.А. Жу</w:t>
      </w:r>
      <w:r w:rsidRPr="007224C3">
        <w:rPr>
          <w:rFonts w:ascii="Times New Roman" w:hAnsi="Times New Roman"/>
          <w:color w:val="000000" w:themeColor="text1"/>
          <w:sz w:val="16"/>
          <w:szCs w:val="16"/>
        </w:rPr>
        <w:softHyphen/>
        <w:t>равлев принял факеление из выхлопных патрубков и дым в кабине за начавшийся по</w:t>
      </w:r>
      <w:r w:rsidRPr="007224C3">
        <w:rPr>
          <w:rFonts w:ascii="Times New Roman" w:hAnsi="Times New Roman"/>
          <w:color w:val="000000" w:themeColor="text1"/>
          <w:sz w:val="16"/>
          <w:szCs w:val="16"/>
        </w:rPr>
        <w:softHyphen/>
        <w:t>жар, и на высоте 9000 м покинул самолёт (15830).</w:t>
      </w:r>
    </w:p>
    <w:p w14:paraId="1CAF9EF6" w14:textId="77777777" w:rsidR="004421A7" w:rsidRPr="007224C3" w:rsidRDefault="004421A7" w:rsidP="007224C3">
      <w:pPr>
        <w:spacing w:after="0" w:line="240" w:lineRule="auto"/>
        <w:jc w:val="both"/>
        <w:rPr>
          <w:rFonts w:ascii="Times New Roman" w:hAnsi="Times New Roman"/>
          <w:color w:val="000000" w:themeColor="text1"/>
          <w:sz w:val="16"/>
          <w:szCs w:val="16"/>
        </w:rPr>
      </w:pPr>
    </w:p>
    <w:p w14:paraId="18720156"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68A9FC0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C36BD2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июня 1944 г. вышел ПРИКАЗ КОМАНДУЮЩЕГО БТ и МВ КА ОБ ОТПРАВКЕ В ГБТУ КА МАКЕТОВ ОТЕЧЕСТВЕННОЙ БРОНЕТЕХНИКИ №0112</w:t>
      </w:r>
    </w:p>
    <w:p w14:paraId="3B03AA3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сосредоточения моделей отечественных танков в ГБТУ КА ПРИКАЗЫВАЮ: Начальнику Военной ордена Ленина академии бронетанковых и механизированных войск Красной Армии им. Сталина, начальникам танковых и танкотехнических училищ БТ и МВ КА, ко</w:t>
      </w:r>
      <w:r w:rsidRPr="007224C3">
        <w:rPr>
          <w:rFonts w:ascii="Times New Roman" w:hAnsi="Times New Roman"/>
          <w:color w:val="000000" w:themeColor="text1"/>
          <w:sz w:val="16"/>
          <w:szCs w:val="16"/>
        </w:rPr>
        <w:softHyphen/>
        <w:t>мандирам учебных танковых полков к 1 июля 1944 года выслать с нарочным в Главное бронетанко</w:t>
      </w:r>
      <w:r w:rsidRPr="007224C3">
        <w:rPr>
          <w:rFonts w:ascii="Times New Roman" w:hAnsi="Times New Roman"/>
          <w:color w:val="000000" w:themeColor="text1"/>
          <w:sz w:val="16"/>
          <w:szCs w:val="16"/>
        </w:rPr>
        <w:softHyphen/>
        <w:t>вое управление Красной Армии по одному экземпляру имеющихся в академии, училищах и учеб</w:t>
      </w:r>
      <w:r w:rsidRPr="007224C3">
        <w:rPr>
          <w:rFonts w:ascii="Times New Roman" w:hAnsi="Times New Roman"/>
          <w:color w:val="000000" w:themeColor="text1"/>
          <w:sz w:val="16"/>
          <w:szCs w:val="16"/>
        </w:rPr>
        <w:softHyphen/>
        <w:t>ных танковых полках моделей (деревянных и металлических) отечественных танков, самоходных артиллерийских установок всех типов, исполненных в масштабе не более 1:10 натуры. Исполнение доложить по телеграфу.</w:t>
      </w:r>
    </w:p>
    <w:p w14:paraId="16A584B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Заместитель командующего БТ и МВ КА генерал-полковник танковых войск Коробков</w:t>
      </w:r>
    </w:p>
    <w:p w14:paraId="66E0B1D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Член военного совета БТ и МВ КА генерал-полковник танковых войск Бирюков</w:t>
      </w:r>
    </w:p>
    <w:p w14:paraId="5514B8F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штаба БТ и МВ КА генерал-майор танковых войск Марков</w:t>
      </w:r>
    </w:p>
    <w:p w14:paraId="1708A65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38. Оп. 11369. Д. 257. Л. 74. Копия (11420).</w:t>
      </w:r>
    </w:p>
    <w:p w14:paraId="41E2EDF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9CFEEB4" w14:textId="77777777" w:rsidR="006B3776" w:rsidRPr="007224C3" w:rsidRDefault="006B3776" w:rsidP="007224C3">
      <w:pPr>
        <w:spacing w:after="0" w:line="240" w:lineRule="auto"/>
        <w:jc w:val="both"/>
        <w:rPr>
          <w:rFonts w:ascii="Times New Roman" w:hAnsi="Times New Roman"/>
          <w:color w:val="000000" w:themeColor="text1"/>
          <w:sz w:val="16"/>
          <w:szCs w:val="16"/>
          <w:shd w:val="clear" w:color="auto" w:fill="FFFFFF"/>
        </w:rPr>
      </w:pPr>
      <w:r w:rsidRPr="007224C3">
        <w:rPr>
          <w:rFonts w:ascii="Times New Roman" w:hAnsi="Times New Roman"/>
          <w:color w:val="000000" w:themeColor="text1"/>
          <w:sz w:val="16"/>
          <w:szCs w:val="16"/>
          <w:shd w:val="clear" w:color="auto" w:fill="FFFFFF"/>
        </w:rPr>
        <w:t>11 июня 1944 года газета Правда поместила знаменательный материал на всю полосу: «О поставках Советскому Союзу вооружения, стратегического сырья, промышленного оборудования и продовольствия Соединенными Штатами Америки, Великобританией и Канадой.</w:t>
      </w:r>
    </w:p>
    <w:p w14:paraId="79053E49" w14:textId="77777777" w:rsidR="006B3776" w:rsidRPr="007224C3" w:rsidRDefault="006B3776" w:rsidP="007224C3">
      <w:pPr>
        <w:spacing w:after="0" w:line="240" w:lineRule="auto"/>
        <w:jc w:val="both"/>
        <w:rPr>
          <w:rFonts w:ascii="Times New Roman" w:hAnsi="Times New Roman"/>
          <w:color w:val="000000" w:themeColor="text1"/>
          <w:sz w:val="16"/>
          <w:szCs w:val="16"/>
          <w:shd w:val="clear" w:color="auto" w:fill="FFFFFF"/>
        </w:rPr>
      </w:pPr>
      <w:r w:rsidRPr="007224C3">
        <w:rPr>
          <w:rFonts w:ascii="Times New Roman" w:hAnsi="Times New Roman"/>
          <w:color w:val="000000" w:themeColor="text1"/>
          <w:sz w:val="16"/>
          <w:szCs w:val="16"/>
          <w:shd w:val="clear" w:color="auto" w:fill="FFFFFF"/>
        </w:rPr>
        <w:t>В нем подробно сообщалось, сколько всего нам было послано и сколько грузов в тоннах плывет морем на момент выхода газеты. Перечислялись не только танки, пушки и самолеты, но и каучук, медь, цинк, рельсы, мука, электромоторы и прессы, портальные краны и технические алмазы! Армейской обуви – 15 млн. пар, 6491 металлорежущий станок и много чего еще. Интересно, что в сообщении делалось точное разделение, сколько куплено за наличный расчет, то есть до принятия программы ленд-лиза, и сколько прислано уже после.. Многое оплачивалось «обратным ленд-лизом» – сырьем, однако расчет был отложен до конца войны, поскольку все, что уничтожалось в ходе военных действий, оплате не подлежало! (19832).</w:t>
      </w:r>
    </w:p>
    <w:p w14:paraId="593380FC" w14:textId="77777777" w:rsidR="006B3776" w:rsidRPr="007224C3" w:rsidRDefault="006B3776" w:rsidP="007224C3">
      <w:pPr>
        <w:spacing w:after="0" w:line="240" w:lineRule="auto"/>
        <w:jc w:val="both"/>
        <w:rPr>
          <w:rFonts w:ascii="Times New Roman" w:hAnsi="Times New Roman"/>
          <w:color w:val="000000" w:themeColor="text1"/>
          <w:sz w:val="16"/>
          <w:szCs w:val="16"/>
          <w:shd w:val="clear" w:color="auto" w:fill="FFFFFF"/>
        </w:rPr>
      </w:pPr>
    </w:p>
    <w:p w14:paraId="27E8372A"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1299042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34100FF" w14:textId="77777777" w:rsidR="004421A7" w:rsidRPr="007224C3" w:rsidRDefault="004421A7"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11 июня</w:t>
      </w:r>
      <w:r w:rsidRPr="007224C3">
        <w:rPr>
          <w:rFonts w:ascii="Times New Roman" w:hAnsi="Times New Roman"/>
          <w:color w:val="000000" w:themeColor="text1"/>
          <w:sz w:val="16"/>
          <w:szCs w:val="16"/>
        </w:rPr>
        <w:t xml:space="preserve"> в 1944 году оперативная сводка Совинформбюро:</w:t>
      </w:r>
    </w:p>
    <w:p w14:paraId="3FCFEC49" w14:textId="77777777" w:rsidR="004421A7" w:rsidRPr="007224C3" w:rsidRDefault="004421A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«Войска Ленинградского фронта вчера, 10 июня, перешли в наступление на Карельском перешейке севернее Ленинграда и при поддержке массированных ударов артиллерии и авиации прорвали сильно укреплённую, развитую в глубину долговременную оборону финнов и за два дня наступательных боёв продвинулись вперёд до 24 километров, расширив прорыв до 40 километров по фронту. В ходе наступления войска фронта овладели городом и крупной железнодорожной станцией Терийоки, важным опорным пунктом обороны противника Яппиля и с боями заняли более 80 других населённых пунктов, в том числе крупные населённые пункты </w:t>
      </w:r>
      <w:r w:rsidRPr="007224C3">
        <w:rPr>
          <w:rFonts w:ascii="Times New Roman" w:hAnsi="Times New Roman"/>
          <w:color w:val="000000" w:themeColor="text1"/>
          <w:sz w:val="16"/>
          <w:szCs w:val="16"/>
        </w:rPr>
        <w:lastRenderedPageBreak/>
        <w:t>Камешки, Старый Белоостров, Александровна, Раяйоки, Каллелово, Старый и Новый Алакуль, Куоккала, Хиреля, Нарвала, Иоут-Сельня, Хапала, Келломяки, Пухтола и железнодорожные станции Раяйоки, Оллила, Куоккала, Келломяки.</w:t>
      </w:r>
    </w:p>
    <w:p w14:paraId="26A88875" w14:textId="77777777" w:rsidR="004421A7" w:rsidRPr="007224C3" w:rsidRDefault="004421A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в течение 11 июня существенных изменений не произошло.</w:t>
      </w:r>
    </w:p>
    <w:p w14:paraId="2A87C579" w14:textId="77777777" w:rsidR="004421A7" w:rsidRPr="007224C3" w:rsidRDefault="004421A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10 июня на всех фронтах в воздушных боях и огнём зенитной артиллерии сбито 15 самолётов противника.</w:t>
      </w:r>
    </w:p>
    <w:p w14:paraId="35AF8C0C" w14:textId="77777777" w:rsidR="004421A7" w:rsidRPr="007224C3" w:rsidRDefault="004421A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Карельском перешейке, севернее Ленинграда, наши войска перешли в наступление. Свыше трёх часов советские артиллеристы разрушали многочисленные оборонительные сооружения. Наша авиация наносила массированные удары по позициям противника. Только на одном участке уничтожено 270 дотов, дзотов, бетонированных блиндажей и других сооружений белофиннов. Вслед за огневым валом в атаку двинулись пехота и танки. Мощным ударом наши бойцы прорвали сильно укреплённую долговременную оборону финнов. Ломая сопротивление противника, наши войска успешно продвигаются вперёд. Части Н-ского соединения с хода переправились через реку Сестра и стремительным обходным ударом овладели городом и крупной железнодорожной станцией Терийоки. Нашими войсками занято более 80 других населённых пунктов. Противник несёт большие потери в живой силе и технике. В траншеях, окопах и блиндажах остались тысячи трупов вражеских солдат, убитых в результате бомбардировки и артиллерийского обстрела. Захвачены пленные и много трофеев. Корабли Краснознамённого Балтийского флота своим огнём содействуют наступлению наших войск.</w:t>
      </w:r>
    </w:p>
    <w:p w14:paraId="2A9C8113" w14:textId="77777777" w:rsidR="004421A7" w:rsidRPr="007224C3" w:rsidRDefault="004421A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Юго-восточнее города Витебск наши разведывательные отряды переправились через водный рубеж и атаковали противника. Преодолев сильный огонь артиллерии и пехоты, разведчики ворвались в населённый пункт и в результате ожесточённого уличного боя овладели им. Уничтожено свыше роты гитлеровцев. Захвачены трофеи и пленные.</w:t>
      </w:r>
    </w:p>
    <w:p w14:paraId="51109223" w14:textId="77777777" w:rsidR="004421A7" w:rsidRPr="007224C3" w:rsidRDefault="004421A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Юго-восточнее города Станислав немцы атаковали взвод младшего лейтенанта Анисимова, находившийся в боевом охранении. После артиллерийского налёта гитлеровцы кинулись к нашим траншеям. Завязалась рукопашная схватка. Наши бойцы убили 20 немцев и вынудили противника отступить. На другом участке группа бойцов во главе с лейтенантом Лаврентьевым ночью пробралась в тыл противника и заминировала дороги, ведущие к линии фронта. Утром на одной дороге подорвался тяжёлый немецкий танк. На другой дороге на минах подорвалось пять вражеских автомашин с грузами.</w:t>
      </w:r>
    </w:p>
    <w:p w14:paraId="03C33990" w14:textId="77777777" w:rsidR="004421A7" w:rsidRPr="007224C3" w:rsidRDefault="004421A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Разведчики-партизаны отряда, действующего в Калининской области, установили местонахождение крупного немецкого артиллерийского склада. Ночью партизанский отряд, бесшумно сняв часовых, поджёг артиллерийский склад. Пожар продолжался несколько часов. Взрывами уничтожено несколько штабелей и до 500 ящиков снарядов. За две недели калининские партизаны пустили под откос 18 воинских эшелонов противника и один бронепоезд.</w:t>
      </w:r>
    </w:p>
    <w:p w14:paraId="7383EB8D" w14:textId="77777777" w:rsidR="004421A7" w:rsidRPr="007224C3" w:rsidRDefault="004421A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Пленный лётчик 7 отряда 3 группы 5 немецкой истребительной эскадры фельдфебель Артур Бет рассказал: «В своё время лётчики 7 отряда — лейтенант Бодо Хельме и унтер-офицеры Курт Филипп и Вернер Шумахер на трёх самолётах перелетели на сторону русских. Это событие всполошило всё начальство. Расследование производили тогдашний заместитель командующего воздушным флотом «Норд» полковник Холле и личный представитель Геринга. Немецкая авиация на Восточном фронте понесла огромные потери. За год 3 группа потеряла более 90 самолётов. Это значит, что она была трижды полностью уничтожена. В военных кругах говорят о нехватке лётных кадров. Когда выяснилось, что существующие лётные школы не могут восполнить огромные потери в людях, началась ускоренная подготовка лётчиков. Однако нехватка лётчиков-всё время даёт себя чувствовать. Вот почему в качестве пополнения нам присылают теперь ефрейторов, т. е. людей, прослуживших в армии непродолжительное время. Раньше ефрейторы не могли быть пилотами в истребительной авиации. Теперь же это ограничение отменено. Недавно наш аэродром инспектировал командующий воздушным флотом «Норд» генерал авиации Шульц. В беседе с лётчиками он заявил, что Германия переживает серьёзный кризис. Его заявление произвело на нас угнетающее впечатление» (14919).</w:t>
      </w:r>
    </w:p>
    <w:p w14:paraId="26F080CD" w14:textId="77777777" w:rsidR="004421A7" w:rsidRPr="007224C3" w:rsidRDefault="004421A7" w:rsidP="007224C3">
      <w:pPr>
        <w:spacing w:after="0" w:line="240" w:lineRule="auto"/>
        <w:jc w:val="both"/>
        <w:rPr>
          <w:rFonts w:ascii="Times New Roman" w:hAnsi="Times New Roman"/>
          <w:color w:val="000000" w:themeColor="text1"/>
          <w:sz w:val="16"/>
          <w:szCs w:val="16"/>
        </w:rPr>
      </w:pPr>
    </w:p>
    <w:p w14:paraId="738A069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июня 1944 был взят в плен Генерал-майор Инзель Иоахим - командир 65-й пехотной дивизии, который в своих показаниях дал следующую оценку действиям штурмовой авиации Красной Армии: "В настоящих ('терапиях русских войск и в их успехе авиация сыграла первостепенную роль. Она повлияла на ход всей компании на данном участке фронта. Применяемые в большом количестве самолеты-штурмовики являлись эффективным средством, нарушившим планомерный отход наших войск по дороге на новые оборонительные рубежи. Расстроив нормальное движение отходящих колонн и вызвав панику, русская авиация не дала возможности нашим войскам оказать организованное сопротивление на таком мощном и естественном рубеже, как Березина. Моральное действие авиации исключительно большое. Наше командование было бессильно бороться с таким превосходством в воздухе " (8687).</w:t>
      </w:r>
    </w:p>
    <w:p w14:paraId="112CECE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8976E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июня 1944 американцы на 129 Б-17 и 61 Мустанге вновь летали бомбить аэродромы немцев в Фокшанах из СССР и опять вернулись. В одном из сбитых Б-17 немцы нашли 500 фото и опознали базы (1364,42).</w:t>
      </w:r>
    </w:p>
    <w:p w14:paraId="4BA2F74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F5083A"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7224C3">
        <w:rPr>
          <w:rFonts w:ascii="Times New Roman" w:hAnsi="Times New Roman"/>
          <w:i/>
          <w:iCs/>
          <w:color w:val="000000" w:themeColor="text1"/>
          <w:sz w:val="16"/>
          <w:szCs w:val="16"/>
        </w:rPr>
        <w:t>За</w:t>
      </w:r>
      <w:r w:rsidRPr="007224C3">
        <w:rPr>
          <w:rFonts w:ascii="Times New Roman" w:hAnsi="Times New Roman"/>
          <w:i/>
          <w:iCs/>
          <w:color w:val="000000" w:themeColor="text1"/>
          <w:sz w:val="16"/>
          <w:szCs w:val="16"/>
          <w:lang w:val="en-US"/>
        </w:rPr>
        <w:t xml:space="preserve"> </w:t>
      </w:r>
      <w:r w:rsidRPr="007224C3">
        <w:rPr>
          <w:rFonts w:ascii="Times New Roman" w:hAnsi="Times New Roman"/>
          <w:i/>
          <w:iCs/>
          <w:color w:val="000000" w:themeColor="text1"/>
          <w:sz w:val="16"/>
          <w:szCs w:val="16"/>
        </w:rPr>
        <w:t>рубежом</w:t>
      </w:r>
      <w:r w:rsidRPr="007224C3">
        <w:rPr>
          <w:rFonts w:ascii="Times New Roman" w:hAnsi="Times New Roman"/>
          <w:i/>
          <w:iCs/>
          <w:color w:val="000000" w:themeColor="text1"/>
          <w:sz w:val="16"/>
          <w:szCs w:val="16"/>
          <w:lang w:val="en-US"/>
        </w:rPr>
        <w:t>:</w:t>
      </w:r>
    </w:p>
    <w:p w14:paraId="6449841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735C68B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June 11 - 10 August 1944 Occupation of the Marianas 1944 Task Force 58 (Vice Admiral M. A. Mitscher), built around seven heavy and eight light carriers, opened the campaign to occupy the Marianas Islands with a late afternoon fighter sweep (11 June) that destroyed one-third of the defending air force. In bombing and strafing attacks on shore installations and on shipping in the immediate area on succeeding days, this force prepared the way for the amphibious assault of Saipan (15 June), supported operations ashore with daily offensive missions, kept the area isolated with attacks on airfields and shipping in the Bonin and Volcano Islands to the north (15-16, 24 June, 3-4 July, 4-5 Aug), and successfully defended the operation against an attack by major fleet forces in the Battle of the Philippine Sea (19-20 June). On the first day (19 June) TF 58 repelled a day-long air attack from carriers and shore bases, destroying 402 enemy planes, and the next day (20 June) launched an air attack late in the afternoon on the retreating Japanese Fleet, sinking the carrier Hiyo and two fleet oilers. Air cover for assault and close air support for operations ashore was provided by aircraft from an initial force of 11 escort carriers attached to Attack Forces. A Navy seaplane squadron VP-16, moved into the area (16 June) and began operations from the open sea. Garrison aircraft were ferried in by escort carriers to operate from captured airfields. First to arrive were Marine observation planes of VMO-4 (17 June), AAF P-47's (22 June), and Marine Corps Night Fighter Squadron 532 (12 July). After organized resistance ended on Saipan (9 July), troops landed on Guam (21 July) and on Tinian (24 July). As the campaign neared successful completion, three groups of Task Force 58 left the area temporarily for Strikes on the Western Carolines (25-28 July). Palau, Yap, Ulithi and other islands were taken under attack while photographic planes obtained intelligence of enemy defenses. This done, the groups steamed north for the fourth side of the campaign on the Bonins and Volcanoes. When Guam was secure (10 Aug), carrier aircraft had accounted for 110,000 tons of enemy shipping sunk and 1,223 aircraft destroyed. In this campaign, groups of the fast carrier force retired in turn to advanced fleet bases for brief periods of rest and replenishment, thus initiating a practice that became standard operating procedure during all future extended periods of action (1090).</w:t>
      </w:r>
    </w:p>
    <w:p w14:paraId="3B2983C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2B140B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11 июня по 10 августа 1944 американцы оккупировали Марианские острова (1090).</w:t>
      </w:r>
    </w:p>
    <w:p w14:paraId="250D452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FCF4FD" w14:textId="77777777" w:rsidR="00F51797" w:rsidRPr="007224C3" w:rsidRDefault="00F51797"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11 июня 1944 216 самолетов с 15 авианосцев 58-й оперативной группы ВМС США атакуют японские базы на Гуаме, Сайпане и Тиниане, уничтожив 36 японских самолетов. В течение следующих шести недель Тиниан будет почти ежедневно подвергаться воздушным атакам США (20373).</w:t>
      </w:r>
    </w:p>
    <w:p w14:paraId="514F5432" w14:textId="77777777" w:rsidR="00F51797" w:rsidRPr="007224C3" w:rsidRDefault="00F51797" w:rsidP="007224C3">
      <w:pPr>
        <w:spacing w:after="0" w:line="240" w:lineRule="auto"/>
        <w:jc w:val="both"/>
        <w:rPr>
          <w:rFonts w:ascii="Times New Roman" w:hAnsi="Times New Roman"/>
          <w:color w:val="0070C0"/>
          <w:sz w:val="16"/>
          <w:szCs w:val="16"/>
        </w:rPr>
      </w:pPr>
    </w:p>
    <w:p w14:paraId="6B5DDB2D" w14:textId="77777777" w:rsidR="00F51797" w:rsidRPr="007224C3" w:rsidRDefault="00F51797"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11–12 июня (ночь) 1933 329 британских бомбардировщиков атакуют французские железнодорожные объекты в Эвре, Масси-Палезо, Нанте и Туре, Франция, потеряв четыре самолета (20373).</w:t>
      </w:r>
    </w:p>
    <w:p w14:paraId="0AAE4576" w14:textId="77777777" w:rsidR="00F51797" w:rsidRPr="007224C3" w:rsidRDefault="00F51797" w:rsidP="007224C3">
      <w:pPr>
        <w:spacing w:after="0" w:line="240" w:lineRule="auto"/>
        <w:jc w:val="both"/>
        <w:rPr>
          <w:rFonts w:ascii="Times New Roman" w:hAnsi="Times New Roman"/>
          <w:color w:val="0070C0"/>
          <w:sz w:val="16"/>
          <w:szCs w:val="16"/>
        </w:rPr>
      </w:pPr>
    </w:p>
    <w:p w14:paraId="0923201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June 11th, 1944: US forces landed at Utah Beach capture Carentan (3819).</w:t>
      </w:r>
    </w:p>
    <w:p w14:paraId="239214C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633DFA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июня 1944 высадившиеся американские части заняли Карентан (3819).</w:t>
      </w:r>
    </w:p>
    <w:p w14:paraId="7F17B67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C0319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июня 1944 Рузвельт предложил Черчилю некий консультационный механизм, который бы предотвратил тенденцию к установлению в мире сфер исключительного влияния какой-то одной державы.</w:t>
      </w:r>
    </w:p>
    <w:p w14:paraId="273C8FB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Черчиль отвечал Рузвельту, что прямые договоренности были гораздо эффективнее любого консультационного комитета (3871).</w:t>
      </w:r>
    </w:p>
    <w:p w14:paraId="5962D32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4B26F5"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412249C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B759A7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июня 1944 на совещании у Заместителя наркома АП тов. Кузнецова с представителями ВВС КА от были приняты следующие решения:</w:t>
      </w:r>
    </w:p>
    <w:p w14:paraId="49B4413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Обязать директора завода 125 тов. Свет подать заводу 240 N 30 три удлиненных бронекорпуса с перераспределенной броней по чертежам ГК С.В.И. к 1 июля 1944.</w:t>
      </w:r>
    </w:p>
    <w:p w14:paraId="2335CCD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Директору завода 30 тов. Смирнову:</w:t>
      </w:r>
    </w:p>
    <w:p w14:paraId="62003E5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передать заводу 125 до 16 июня с.г. три комплекта всех новых деталей (стальных и дюралевых) для изготовления первых трех удлиненных корпусов Ил-2</w:t>
      </w:r>
    </w:p>
    <w:p w14:paraId="3E64F24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изготовить 3 самолета Ил-2 с новым удлиненным бронекорпусом с перераспределенной броней по чертежам ГК С.В.И. и передать первый самолет на гос. испытания в НИИ ВВС к 15 июля 1944.</w:t>
      </w:r>
    </w:p>
    <w:p w14:paraId="41AEDFF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в процессе сборки первых 3-х самолетов отработать чертежи, оснастку и установить объем работ для внедрения в серию.</w:t>
      </w:r>
    </w:p>
    <w:p w14:paraId="6CD1CDB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3. ГК С.В.И. в двухдневный срок передать чертежи на удлиненный бронекорпус с перераспределенной броней заводу 125 и 30.</w:t>
      </w:r>
    </w:p>
    <w:p w14:paraId="47CE6D1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Кроме того, с целью улучшения бронезащиты стрелка на серийно выпускаемых заводами НКАП самолетах Ил-2 эти же совещанием директор завода 30 тов. Смирнов был обязан к 18 июня с7 г. передать на гос. испытания в НИИ ВВС один самолет Ил-2 с дополнительным съемным бронированием кабины стрелка, выполненным по чертежам ГК С.В.И. (1817,248).</w:t>
      </w:r>
    </w:p>
    <w:p w14:paraId="553B72B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AC467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июня 1944 г. на совещании у за</w:t>
      </w:r>
      <w:r w:rsidRPr="007224C3">
        <w:rPr>
          <w:rFonts w:ascii="Times New Roman" w:hAnsi="Times New Roman"/>
          <w:color w:val="000000" w:themeColor="text1"/>
          <w:sz w:val="16"/>
          <w:szCs w:val="16"/>
        </w:rPr>
        <w:softHyphen/>
        <w:t>местителя наркома авиапромышленно</w:t>
      </w:r>
      <w:r w:rsidRPr="007224C3">
        <w:rPr>
          <w:rFonts w:ascii="Times New Roman" w:hAnsi="Times New Roman"/>
          <w:color w:val="000000" w:themeColor="text1"/>
          <w:sz w:val="16"/>
          <w:szCs w:val="16"/>
        </w:rPr>
        <w:softHyphen/>
        <w:t>сти Кузнецова совместно с представи</w:t>
      </w:r>
      <w:r w:rsidRPr="007224C3">
        <w:rPr>
          <w:rFonts w:ascii="Times New Roman" w:hAnsi="Times New Roman"/>
          <w:color w:val="000000" w:themeColor="text1"/>
          <w:sz w:val="16"/>
          <w:szCs w:val="16"/>
        </w:rPr>
        <w:softHyphen/>
        <w:t xml:space="preserve">телями ВВС КА было принято решение, согласно которому директор завода № 125 </w:t>
      </w:r>
      <w:r w:rsidRPr="007224C3">
        <w:rPr>
          <w:rFonts w:ascii="Times New Roman" w:hAnsi="Times New Roman"/>
          <w:iCs/>
          <w:color w:val="000000" w:themeColor="text1"/>
          <w:sz w:val="16"/>
          <w:szCs w:val="16"/>
        </w:rPr>
        <w:t>"тов. Свет"</w:t>
      </w:r>
      <w:r w:rsidRPr="007224C3">
        <w:rPr>
          <w:rFonts w:ascii="Times New Roman" w:hAnsi="Times New Roman"/>
          <w:color w:val="000000" w:themeColor="text1"/>
          <w:sz w:val="16"/>
          <w:szCs w:val="16"/>
        </w:rPr>
        <w:t xml:space="preserve"> обязывался </w:t>
      </w:r>
      <w:r w:rsidRPr="007224C3">
        <w:rPr>
          <w:rFonts w:ascii="Times New Roman" w:hAnsi="Times New Roman"/>
          <w:iCs/>
          <w:color w:val="000000" w:themeColor="text1"/>
          <w:sz w:val="16"/>
          <w:szCs w:val="16"/>
        </w:rPr>
        <w:t>"...подать заводу № 30 три удлиненных бронекорпуса с перераспределенной броней по чертежам Главного конструктора тов. Ильюшина к 1.7.44 г."</w:t>
      </w:r>
      <w:r w:rsidRPr="007224C3">
        <w:rPr>
          <w:rFonts w:ascii="Times New Roman" w:hAnsi="Times New Roman"/>
          <w:color w:val="000000" w:themeColor="text1"/>
          <w:sz w:val="16"/>
          <w:szCs w:val="16"/>
        </w:rPr>
        <w:t xml:space="preserve"> В свою очередь, директор 30-го авиазавода должен был </w:t>
      </w:r>
      <w:r w:rsidRPr="007224C3">
        <w:rPr>
          <w:rFonts w:ascii="Times New Roman" w:hAnsi="Times New Roman"/>
          <w:iCs/>
          <w:color w:val="000000" w:themeColor="text1"/>
          <w:sz w:val="16"/>
          <w:szCs w:val="16"/>
        </w:rPr>
        <w:t>"...подать заводу No 125до 16.06 с.г. три комплекта всех новых деталей (сталь</w:t>
      </w:r>
      <w:r w:rsidRPr="007224C3">
        <w:rPr>
          <w:rFonts w:ascii="Times New Roman" w:hAnsi="Times New Roman"/>
          <w:iCs/>
          <w:color w:val="000000" w:themeColor="text1"/>
          <w:sz w:val="16"/>
          <w:szCs w:val="16"/>
        </w:rPr>
        <w:softHyphen/>
        <w:t>ных и дюралевых) для изготовления первых трех удлиненных корпусов Ил-2; изготовить 3 самолета Ил-2 с новым удлиненным бронекорпусом с перерас</w:t>
      </w:r>
      <w:r w:rsidRPr="007224C3">
        <w:rPr>
          <w:rFonts w:ascii="Times New Roman" w:hAnsi="Times New Roman"/>
          <w:iCs/>
          <w:color w:val="000000" w:themeColor="text1"/>
          <w:sz w:val="16"/>
          <w:szCs w:val="16"/>
        </w:rPr>
        <w:softHyphen/>
        <w:t>пределенной броней по чертежам Глав</w:t>
      </w:r>
      <w:r w:rsidRPr="007224C3">
        <w:rPr>
          <w:rFonts w:ascii="Times New Roman" w:hAnsi="Times New Roman"/>
          <w:iCs/>
          <w:color w:val="000000" w:themeColor="text1"/>
          <w:sz w:val="16"/>
          <w:szCs w:val="16"/>
        </w:rPr>
        <w:softHyphen/>
        <w:t>ного конструктора тов. Ильюшина и пе</w:t>
      </w:r>
      <w:r w:rsidRPr="007224C3">
        <w:rPr>
          <w:rFonts w:ascii="Times New Roman" w:hAnsi="Times New Roman"/>
          <w:iCs/>
          <w:color w:val="000000" w:themeColor="text1"/>
          <w:sz w:val="16"/>
          <w:szCs w:val="16"/>
        </w:rPr>
        <w:softHyphen/>
        <w:t>редать первый самолет на гос. испытания в НИИ ВВС КА к 15.7.44 г... "</w:t>
      </w:r>
      <w:r w:rsidRPr="007224C3">
        <w:rPr>
          <w:rFonts w:ascii="Times New Roman" w:hAnsi="Times New Roman"/>
          <w:color w:val="000000" w:themeColor="text1"/>
          <w:sz w:val="16"/>
          <w:szCs w:val="16"/>
        </w:rPr>
        <w:t xml:space="preserve"> Кроме того, этим же решением </w:t>
      </w:r>
      <w:r w:rsidRPr="007224C3">
        <w:rPr>
          <w:rFonts w:ascii="Times New Roman" w:hAnsi="Times New Roman"/>
          <w:iCs/>
          <w:color w:val="000000" w:themeColor="text1"/>
          <w:sz w:val="16"/>
          <w:szCs w:val="16"/>
        </w:rPr>
        <w:t>"с целью улуч</w:t>
      </w:r>
      <w:r w:rsidRPr="007224C3">
        <w:rPr>
          <w:rFonts w:ascii="Times New Roman" w:hAnsi="Times New Roman"/>
          <w:iCs/>
          <w:color w:val="000000" w:themeColor="text1"/>
          <w:sz w:val="16"/>
          <w:szCs w:val="16"/>
        </w:rPr>
        <w:softHyphen/>
        <w:t>шения бронезащиты стрелка на серий</w:t>
      </w:r>
      <w:r w:rsidRPr="007224C3">
        <w:rPr>
          <w:rFonts w:ascii="Times New Roman" w:hAnsi="Times New Roman"/>
          <w:iCs/>
          <w:color w:val="000000" w:themeColor="text1"/>
          <w:sz w:val="16"/>
          <w:szCs w:val="16"/>
        </w:rPr>
        <w:softHyphen/>
        <w:t>но выпускаемых заводами НКАП само</w:t>
      </w:r>
      <w:r w:rsidRPr="007224C3">
        <w:rPr>
          <w:rFonts w:ascii="Times New Roman" w:hAnsi="Times New Roman"/>
          <w:iCs/>
          <w:color w:val="000000" w:themeColor="text1"/>
          <w:sz w:val="16"/>
          <w:szCs w:val="16"/>
        </w:rPr>
        <w:softHyphen/>
        <w:t>летах Ил-2... директор завода № 30 тов. Смирнов был обязан к 18.6.44 г. пе</w:t>
      </w:r>
      <w:r w:rsidRPr="007224C3">
        <w:rPr>
          <w:rFonts w:ascii="Times New Roman" w:hAnsi="Times New Roman"/>
          <w:iCs/>
          <w:color w:val="000000" w:themeColor="text1"/>
          <w:sz w:val="16"/>
          <w:szCs w:val="16"/>
        </w:rPr>
        <w:softHyphen/>
        <w:t>редать на гос. испытания в НИИ ВВС КА один самолет Ил-2 с дополнительным съемным бронированием кабины стрел</w:t>
      </w:r>
      <w:r w:rsidRPr="007224C3">
        <w:rPr>
          <w:rFonts w:ascii="Times New Roman" w:hAnsi="Times New Roman"/>
          <w:iCs/>
          <w:color w:val="000000" w:themeColor="text1"/>
          <w:sz w:val="16"/>
          <w:szCs w:val="16"/>
        </w:rPr>
        <w:softHyphen/>
        <w:t>ка, выполненным по чертежам Главного конструктора тов. Ильюшина".</w:t>
      </w:r>
    </w:p>
    <w:p w14:paraId="4017623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1F0FC0" w14:textId="77777777" w:rsidR="002E135C" w:rsidRPr="007224C3" w:rsidRDefault="002E135C" w:rsidP="007224C3">
      <w:pPr>
        <w:pStyle w:val="27"/>
        <w:shd w:val="clear" w:color="auto" w:fill="auto"/>
        <w:spacing w:after="0" w:line="240" w:lineRule="auto"/>
        <w:ind w:firstLine="0"/>
        <w:rPr>
          <w:rStyle w:val="aff7"/>
          <w:rFonts w:ascii="Times New Roman" w:hAnsi="Times New Roman" w:cs="Times New Roman"/>
          <w:i w:val="0"/>
          <w:color w:val="000000" w:themeColor="text1"/>
          <w:spacing w:val="0"/>
        </w:rPr>
      </w:pPr>
      <w:r w:rsidRPr="007224C3">
        <w:rPr>
          <w:rFonts w:ascii="Times New Roman" w:cs="Times New Roman"/>
          <w:color w:val="000000" w:themeColor="text1"/>
          <w:spacing w:val="0"/>
        </w:rPr>
        <w:t>12 июня 1944 г. у заместителя наркома авиапромышленности А.И. Кузнецова состо</w:t>
      </w:r>
      <w:r w:rsidRPr="007224C3">
        <w:rPr>
          <w:rFonts w:ascii="Times New Roman" w:cs="Times New Roman"/>
          <w:color w:val="000000" w:themeColor="text1"/>
          <w:spacing w:val="0"/>
        </w:rPr>
        <w:softHyphen/>
        <w:t>ялось совещание по вопросу перераспреде</w:t>
      </w:r>
      <w:r w:rsidRPr="007224C3">
        <w:rPr>
          <w:rFonts w:ascii="Times New Roman" w:cs="Times New Roman"/>
          <w:color w:val="000000" w:themeColor="text1"/>
          <w:spacing w:val="0"/>
        </w:rPr>
        <w:softHyphen/>
        <w:t>ления брони Ил-2. Было принято решение строить два варианта самолета с улучшенным бронированием - серийный Ил-2 с дополни</w:t>
      </w:r>
      <w:r w:rsidRPr="007224C3">
        <w:rPr>
          <w:rFonts w:ascii="Times New Roman" w:cs="Times New Roman"/>
          <w:color w:val="000000" w:themeColor="text1"/>
          <w:spacing w:val="0"/>
        </w:rPr>
        <w:softHyphen/>
        <w:t>тельной броней, установленной внутри кабины стрелка, и новый штурмовик</w:t>
      </w:r>
      <w:r w:rsidRPr="007224C3">
        <w:rPr>
          <w:rStyle w:val="aff7"/>
          <w:rFonts w:ascii="Times New Roman" w:hAnsi="Times New Roman" w:cs="Times New Roman"/>
          <w:i w:val="0"/>
          <w:color w:val="000000" w:themeColor="text1"/>
          <w:spacing w:val="0"/>
        </w:rPr>
        <w:t xml:space="preserve"> «с удлинением су</w:t>
      </w:r>
      <w:r w:rsidRPr="007224C3">
        <w:rPr>
          <w:rStyle w:val="aff7"/>
          <w:rFonts w:ascii="Times New Roman" w:hAnsi="Times New Roman" w:cs="Times New Roman"/>
          <w:i w:val="0"/>
          <w:color w:val="000000" w:themeColor="text1"/>
          <w:spacing w:val="0"/>
        </w:rPr>
        <w:softHyphen/>
        <w:t xml:space="preserve">ществующего бронекорпуса». </w:t>
      </w:r>
    </w:p>
    <w:p w14:paraId="2EAC0EB2" w14:textId="77777777" w:rsidR="002E135C" w:rsidRPr="007224C3" w:rsidRDefault="002E135C" w:rsidP="007224C3">
      <w:pPr>
        <w:pStyle w:val="27"/>
        <w:shd w:val="clear" w:color="auto" w:fill="auto"/>
        <w:spacing w:after="0" w:line="240" w:lineRule="auto"/>
        <w:ind w:firstLine="0"/>
        <w:rPr>
          <w:rFonts w:ascii="Times New Roman" w:cs="Times New Roman"/>
          <w:color w:val="000000" w:themeColor="text1"/>
          <w:spacing w:val="0"/>
        </w:rPr>
      </w:pPr>
      <w:r w:rsidRPr="007224C3">
        <w:rPr>
          <w:rFonts w:ascii="Times New Roman" w:cs="Times New Roman"/>
          <w:color w:val="000000" w:themeColor="text1"/>
          <w:spacing w:val="0"/>
        </w:rPr>
        <w:t>Завод №30 обязывался к 18 июня 1944 г. передать на государственные испытания в НИИ ВВС</w:t>
      </w:r>
      <w:r w:rsidRPr="007224C3">
        <w:rPr>
          <w:rStyle w:val="aff7"/>
          <w:rFonts w:ascii="Times New Roman" w:hAnsi="Times New Roman" w:cs="Times New Roman"/>
          <w:i w:val="0"/>
          <w:color w:val="000000" w:themeColor="text1"/>
          <w:spacing w:val="0"/>
        </w:rPr>
        <w:t xml:space="preserve"> «один серийный самолет Ил-2, оформленный по бою, с постановкой внутри кабины съемных плит по чертежам Главного конструктора т. Ильюшина»,</w:t>
      </w:r>
      <w:r w:rsidRPr="007224C3">
        <w:rPr>
          <w:rFonts w:ascii="Times New Roman" w:cs="Times New Roman"/>
          <w:color w:val="000000" w:themeColor="text1"/>
          <w:spacing w:val="0"/>
        </w:rPr>
        <w:t xml:space="preserve"> а НИИ ВВС - в пя</w:t>
      </w:r>
      <w:r w:rsidRPr="007224C3">
        <w:rPr>
          <w:rFonts w:ascii="Times New Roman" w:cs="Times New Roman"/>
          <w:color w:val="000000" w:themeColor="text1"/>
          <w:spacing w:val="0"/>
        </w:rPr>
        <w:softHyphen/>
        <w:t>тидневный срок дать заключение о его внедре</w:t>
      </w:r>
      <w:r w:rsidRPr="007224C3">
        <w:rPr>
          <w:rFonts w:ascii="Times New Roman" w:cs="Times New Roman"/>
          <w:color w:val="000000" w:themeColor="text1"/>
          <w:spacing w:val="0"/>
        </w:rPr>
        <w:softHyphen/>
        <w:t>нии в серию.</w:t>
      </w:r>
    </w:p>
    <w:p w14:paraId="19BC8341" w14:textId="77777777" w:rsidR="002E135C" w:rsidRPr="007224C3" w:rsidRDefault="002E135C" w:rsidP="007224C3">
      <w:pPr>
        <w:pStyle w:val="27"/>
        <w:shd w:val="clear" w:color="auto" w:fill="auto"/>
        <w:spacing w:after="0" w:line="240" w:lineRule="auto"/>
        <w:ind w:firstLine="0"/>
        <w:rPr>
          <w:rStyle w:val="aff7"/>
          <w:rFonts w:ascii="Times New Roman" w:hAnsi="Times New Roman" w:cs="Times New Roman"/>
          <w:i w:val="0"/>
          <w:color w:val="000000" w:themeColor="text1"/>
          <w:spacing w:val="0"/>
        </w:rPr>
      </w:pPr>
      <w:r w:rsidRPr="007224C3">
        <w:rPr>
          <w:rFonts w:ascii="Times New Roman" w:cs="Times New Roman"/>
          <w:color w:val="000000" w:themeColor="text1"/>
          <w:spacing w:val="0"/>
        </w:rPr>
        <w:t>От завода N9125 требовалось подать заво</w:t>
      </w:r>
      <w:r w:rsidRPr="007224C3">
        <w:rPr>
          <w:rFonts w:ascii="Times New Roman" w:cs="Times New Roman"/>
          <w:color w:val="000000" w:themeColor="text1"/>
          <w:spacing w:val="0"/>
        </w:rPr>
        <w:softHyphen/>
        <w:t>ду №30 три удлиненных бронекфпуса к 1 июля 1944 г. При этом разрешалось</w:t>
      </w:r>
      <w:r w:rsidRPr="007224C3">
        <w:rPr>
          <w:rStyle w:val="aff7"/>
          <w:rFonts w:ascii="Times New Roman" w:hAnsi="Times New Roman" w:cs="Times New Roman"/>
          <w:i w:val="0"/>
          <w:color w:val="000000" w:themeColor="text1"/>
          <w:spacing w:val="0"/>
        </w:rPr>
        <w:t xml:space="preserve"> «изготовить эти три корпуса с применением железа на новые детали».</w:t>
      </w:r>
      <w:r w:rsidRPr="007224C3">
        <w:rPr>
          <w:rFonts w:ascii="Times New Roman" w:cs="Times New Roman"/>
          <w:color w:val="000000" w:themeColor="text1"/>
          <w:spacing w:val="0"/>
        </w:rPr>
        <w:t xml:space="preserve"> Одновременно завод №30 должен был передать заводу №125 до 16 июня три комплекта всех новых деталей (стальных и дюралевых) для изготовления первых трех уд</w:t>
      </w:r>
      <w:r w:rsidRPr="007224C3">
        <w:rPr>
          <w:rFonts w:ascii="Times New Roman" w:cs="Times New Roman"/>
          <w:color w:val="000000" w:themeColor="text1"/>
          <w:spacing w:val="0"/>
        </w:rPr>
        <w:softHyphen/>
        <w:t>линенных корпусов Ил-2, а также собрать три самолета с новыми бронекорпусами, из кото</w:t>
      </w:r>
      <w:r w:rsidRPr="007224C3">
        <w:rPr>
          <w:rFonts w:ascii="Times New Roman" w:cs="Times New Roman"/>
          <w:color w:val="000000" w:themeColor="text1"/>
          <w:spacing w:val="0"/>
        </w:rPr>
        <w:softHyphen/>
        <w:t>рых один к 15 июля предъявить в НИИ ВВС на государственные испытания. Предполагалось, что в процессе подготовки первых трех машин будут отработаны чертежи, оснастка и уста</w:t>
      </w:r>
      <w:r w:rsidRPr="007224C3">
        <w:rPr>
          <w:rFonts w:ascii="Times New Roman" w:cs="Times New Roman"/>
          <w:color w:val="000000" w:themeColor="text1"/>
          <w:spacing w:val="0"/>
        </w:rPr>
        <w:softHyphen/>
        <w:t>новлен объем работ для внедрения в серию. В свою очередь, Ильюшину необходимо было «в</w:t>
      </w:r>
      <w:r w:rsidRPr="007224C3">
        <w:rPr>
          <w:rStyle w:val="aff7"/>
          <w:rFonts w:ascii="Times New Roman" w:hAnsi="Times New Roman" w:cs="Times New Roman"/>
          <w:i w:val="0"/>
          <w:color w:val="000000" w:themeColor="text1"/>
          <w:spacing w:val="0"/>
        </w:rPr>
        <w:t xml:space="preserve"> двухдневный срок передать чертежи на уд</w:t>
      </w:r>
      <w:r w:rsidRPr="007224C3">
        <w:rPr>
          <w:rStyle w:val="aff7"/>
          <w:rFonts w:ascii="Times New Roman" w:hAnsi="Times New Roman" w:cs="Times New Roman"/>
          <w:i w:val="0"/>
          <w:color w:val="000000" w:themeColor="text1"/>
          <w:spacing w:val="0"/>
        </w:rPr>
        <w:softHyphen/>
        <w:t>линенный бронекорпус с перераспределенной броней заводу № 125 и №30» (17478).</w:t>
      </w:r>
    </w:p>
    <w:p w14:paraId="70041E1E" w14:textId="77777777" w:rsidR="002E135C" w:rsidRPr="007224C3" w:rsidRDefault="002E135C" w:rsidP="007224C3">
      <w:pPr>
        <w:pStyle w:val="27"/>
        <w:shd w:val="clear" w:color="auto" w:fill="auto"/>
        <w:spacing w:after="0" w:line="240" w:lineRule="auto"/>
        <w:ind w:firstLine="0"/>
        <w:rPr>
          <w:rFonts w:ascii="Times New Roman" w:cs="Times New Roman"/>
          <w:color w:val="000000" w:themeColor="text1"/>
          <w:spacing w:val="0"/>
        </w:rPr>
      </w:pPr>
    </w:p>
    <w:p w14:paraId="69044601" w14:textId="77777777" w:rsidR="00262E37" w:rsidRPr="007224C3" w:rsidRDefault="00262E3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и 17 июня 1944 в полетах Су-6 обнаружился опасный дефект вновь установленного на самолет мотора АМ-42 зав. № 4277 – загорание топливной смеси во всасывающих патрубках в полете. Главный инженер ВВС КА генерал-полковник Репин запретил полеты на Су-6 с этим мотором. Быстро заменить мотор не удалось, так как завод № 24 задерживал его поставку. Сухой обратился за помощью к наркому Шахурину в получении кондиционного мотора АМ-42. Но тот ничем не помог. Ко времени официального прекращения испытаний 2 июля опытный Су-6 выполнил 24 полета с суммарным налетом 10 ч 25 мин. (17490)</w:t>
      </w:r>
    </w:p>
    <w:p w14:paraId="63FE7DC9" w14:textId="77777777" w:rsidR="00262E37" w:rsidRPr="007224C3" w:rsidRDefault="00262E37" w:rsidP="007224C3">
      <w:pPr>
        <w:spacing w:after="0" w:line="240" w:lineRule="auto"/>
        <w:jc w:val="both"/>
        <w:rPr>
          <w:rFonts w:ascii="Times New Roman" w:hAnsi="Times New Roman"/>
          <w:color w:val="000000" w:themeColor="text1"/>
          <w:sz w:val="16"/>
          <w:szCs w:val="16"/>
        </w:rPr>
      </w:pPr>
    </w:p>
    <w:p w14:paraId="352C77A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июня 1944 закончились гос. испытания модифицированного ЛаГГ-3 дублера с ВК-105ПФ-2 с винтом ВИШ-105СВ (N 105-2 производства 31 завода (февраль), которые начались 10 мая (самолет поступил 4), 12 мая были прерваны и с 1 июня 1944 продолжены (764,2).</w:t>
      </w:r>
    </w:p>
    <w:p w14:paraId="05F780F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июня 1944 А.E.Репин утвердил акт по гос. испытаниям модифицированного ЛаГГ-3 дублера с ВК-105ПФ-2 с винтом ВИШ-105СВ (N 105-2 производства 31 завода (февраль), ГК В.П.Горбунов с ВЯ-23</w:t>
      </w:r>
    </w:p>
    <w:p w14:paraId="031B2CC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Отв. исполнитель вед. инж. З-да ви п/п Ф.М.Шишкин</w:t>
      </w:r>
    </w:p>
    <w:p w14:paraId="44922FE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Вед. л 3 отд. НИИ ВВС гсс гм Дзюба</w:t>
      </w:r>
    </w:p>
    <w:p w14:paraId="374487B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исп. Шишкин</w:t>
      </w:r>
    </w:p>
    <w:p w14:paraId="5B16427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Цель испытаний:</w:t>
      </w:r>
    </w:p>
    <w:p w14:paraId="00003BF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Определить ЛТД с-та</w:t>
      </w:r>
    </w:p>
    <w:p w14:paraId="2409A58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Дать оценку эксплуатационным свойствам с-та, ВМГ, вооружения и спецоборудования</w:t>
      </w:r>
    </w:p>
    <w:p w14:paraId="211F553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Оценить производственное и конструктивное выполнение с-та</w:t>
      </w:r>
    </w:p>
    <w:p w14:paraId="4A147F8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Объект испытаний: предъявленная на госиспытания машина завода № 31 выпуска февраля 1944</w:t>
      </w:r>
    </w:p>
    <w:p w14:paraId="0F6C935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сравнению с ранее испытывавшимся ЛаГГ-3 с мотором ВК-105ПФ (первый экз. С-та № 105-1)с-т дублер № 105-2 имеет следующие отличия:</w:t>
      </w:r>
    </w:p>
    <w:p w14:paraId="535D46C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планеру - изменена конструкция 4 и 5 шпангоутов фюзеляжа. В нижней ферме 4-го шпангоута произведено два круглых отверстия под тоннуль маслорадиатора, в шп. 5 изменен нижний ... под установку фермы для крепления сидения пилота и качалки управления РВ</w:t>
      </w:r>
    </w:p>
    <w:p w14:paraId="3C70EF6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в нижней части фюзеляжа перед тоннелем водорадиатора установлено два заборника воздуха для охлаждения маслорадиатора</w:t>
      </w:r>
    </w:p>
    <w:p w14:paraId="539DE5B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увеличено плечо качалки управления элеронами для уменьшения давления на ручку управления с-том</w:t>
      </w:r>
    </w:p>
    <w:p w14:paraId="6B8365E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изменены форма и конструкция ручки управления с-том по типу ручки стандартной кабины</w:t>
      </w:r>
    </w:p>
    <w:p w14:paraId="2AE8BAB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установлен дополнительный кронштейн для крепления лафета пушки ВЯ-23</w:t>
      </w:r>
    </w:p>
    <w:p w14:paraId="3D4ECA4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ВМГ: установлен мотор ВК-105ПФ-2, установлен винт типа ВИШ-105СВ с профилированной комлевой частью лопастей, маслорадиатор типа ОП-352 заменен двумя последовательно соединенными рядами типа ВМС-8 с трубкой К-4, толщиной 0,1 мм</w:t>
      </w:r>
    </w:p>
    <w:p w14:paraId="12B2E58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изменен туннель маслорадиатора, который установлен в фюзеляже</w:t>
      </w:r>
    </w:p>
    <w:p w14:paraId="741D314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изменена конструкция и перекомпоновыны ряд коробов и крышек капота мотора и управление заслонками маслорадиатора</w:t>
      </w:r>
    </w:p>
    <w:p w14:paraId="1EF96A6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общая емкость б/б уменьшена на 28 л с 405 до 377 л</w:t>
      </w:r>
    </w:p>
    <w:p w14:paraId="6174E9C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на носок вала редуктора установлен центробежный маслоотражатель типа ЛИИ НКАП</w:t>
      </w:r>
    </w:p>
    <w:p w14:paraId="5D39861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изменен дренаж трубки суфлера бака</w:t>
      </w:r>
    </w:p>
    <w:p w14:paraId="02DA9B9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выхлопные патрубки изготовлены по типу с-та Як-3 (рекомендация ЦАГИ)</w:t>
      </w:r>
    </w:p>
    <w:p w14:paraId="178FCB4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вооружению: установлена пушка ВЯ-23 с боезапасом 85 патронов вместо пушки МП-20 с б/з 160 патронов, пулемет УБС с б/з 185 патронов вместо 200 патронов</w:t>
      </w:r>
    </w:p>
    <w:p w14:paraId="0275E0A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связи с установкой пушки ВЯ-23 изменено крепление пушки, форма и конструкция патронных коробок и гильзоотвода</w:t>
      </w:r>
    </w:p>
    <w:p w14:paraId="7F371A5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установлен звеньесборник для пушки ВЯ-23</w:t>
      </w:r>
    </w:p>
    <w:p w14:paraId="7FFA48A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механизм управления оружием переведен на пневматику</w:t>
      </w:r>
    </w:p>
    <w:p w14:paraId="3FC1554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Спецприборы с-та 105-2 дублер такие же, как на с-те 105-1</w:t>
      </w:r>
    </w:p>
    <w:p w14:paraId="76F16A5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улучшения ЛТД проведены следующие мероприятия:</w:t>
      </w:r>
    </w:p>
    <w:p w14:paraId="2688AA5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улучшена внешняя отделка и введена полировка передней кромки крыла</w:t>
      </w:r>
    </w:p>
    <w:p w14:paraId="63FBFB2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козырьку кабины пилота придана сферическая форма</w:t>
      </w:r>
    </w:p>
    <w:p w14:paraId="54DF442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улучшена герметизация противопожарной перегородки, крыла, кабины пилота и хвостовой части фюзеляжа</w:t>
      </w:r>
    </w:p>
    <w:p w14:paraId="1445D04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Согласно данным завода прочность с-та 105-2 и его основных агрегатов: фюзеляжа, крыла, центроплана, шасси удовлетворяет действующим нормам прочности.</w:t>
      </w:r>
    </w:p>
    <w:p w14:paraId="5554EEC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Расчет завода по флаттеру крыла серийного с-та ЛаГГ-3 в облегченном варианте произведен в ЦАГИ и получено разрешение на эксплуатацию на скорости до 700 км/час по прибору</w:t>
      </w:r>
    </w:p>
    <w:p w14:paraId="3659ACE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Результаты испытаний:</w:t>
      </w:r>
    </w:p>
    <w:p w14:paraId="294AD48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 пибыл в НИИ 4 мая. Испытания начаты 10 мая, приостановлены по просьбе ГК с-та В.П.Горбунова для осмотра с-та и мотора и доводки тепловых режимов ВМГ 12 мая. Возобновлены 1 июня и закончены 12 июня. Выполнено 15 полетов с налетом 8:40</w:t>
      </w:r>
    </w:p>
    <w:p w14:paraId="36C7811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 пустого 2285 22,5% САХ, угол капотирования 26:40</w:t>
      </w:r>
    </w:p>
    <w:p w14:paraId="1EAFADC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 полетный 2875 22.2% САХ, угол капотирования 28:40</w:t>
      </w:r>
    </w:p>
    <w:p w14:paraId="54AAE9D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Нормальная нагрузка:</w:t>
      </w:r>
    </w:p>
    <w:p w14:paraId="3BD98D3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экипаж - 90</w:t>
      </w:r>
    </w:p>
    <w:p w14:paraId="240B1B9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горючее (074 г,см3) - 280</w:t>
      </w:r>
    </w:p>
    <w:p w14:paraId="592F75C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масло - 27</w:t>
      </w:r>
    </w:p>
    <w:p w14:paraId="0CC65D6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вооружение - пушка ВЯ-23 - 73, УБС - 21,5, б/з пушки (85) - 47, б/з пулемета (185) - 31,0</w:t>
      </w:r>
    </w:p>
    <w:p w14:paraId="30F96FB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связное оборудование - 20,5</w:t>
      </w:r>
    </w:p>
    <w:p w14:paraId="6C40782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 - 590</w:t>
      </w:r>
    </w:p>
    <w:p w14:paraId="004E6FD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Таблица изменения веса 105-2 по сравнению с 105-1, проходившим испытания в НИИ в октябре 1943: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708"/>
        <w:gridCol w:w="709"/>
        <w:gridCol w:w="709"/>
      </w:tblGrid>
      <w:tr w:rsidR="005106D0" w:rsidRPr="007224C3" w14:paraId="7A15579D" w14:textId="77777777">
        <w:tc>
          <w:tcPr>
            <w:tcW w:w="2802" w:type="dxa"/>
            <w:tcBorders>
              <w:top w:val="single" w:sz="12" w:space="0" w:color="auto"/>
            </w:tcBorders>
          </w:tcPr>
          <w:p w14:paraId="5C259F1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Наименование</w:t>
            </w:r>
          </w:p>
        </w:tc>
        <w:tc>
          <w:tcPr>
            <w:tcW w:w="708" w:type="dxa"/>
            <w:tcBorders>
              <w:top w:val="single" w:sz="12" w:space="0" w:color="auto"/>
            </w:tcBorders>
          </w:tcPr>
          <w:p w14:paraId="2A55053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105-2 дублер</w:t>
            </w:r>
          </w:p>
        </w:tc>
        <w:tc>
          <w:tcPr>
            <w:tcW w:w="709" w:type="dxa"/>
            <w:tcBorders>
              <w:top w:val="single" w:sz="12" w:space="0" w:color="auto"/>
            </w:tcBorders>
          </w:tcPr>
          <w:p w14:paraId="1AB6826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105-1 первы</w:t>
            </w:r>
            <w:r w:rsidRPr="007224C3">
              <w:rPr>
                <w:rFonts w:ascii="Times New Roman" w:hAnsi="Times New Roman"/>
                <w:color w:val="000000" w:themeColor="text1"/>
                <w:sz w:val="16"/>
                <w:szCs w:val="16"/>
              </w:rPr>
              <w:lastRenderedPageBreak/>
              <w:t>й</w:t>
            </w:r>
          </w:p>
        </w:tc>
        <w:tc>
          <w:tcPr>
            <w:tcW w:w="709" w:type="dxa"/>
            <w:tcBorders>
              <w:top w:val="single" w:sz="12" w:space="0" w:color="auto"/>
            </w:tcBorders>
          </w:tcPr>
          <w:p w14:paraId="66B648D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Разница</w:t>
            </w:r>
          </w:p>
        </w:tc>
      </w:tr>
      <w:tr w:rsidR="005106D0" w:rsidRPr="007224C3" w14:paraId="52D47167" w14:textId="77777777">
        <w:tc>
          <w:tcPr>
            <w:tcW w:w="2802" w:type="dxa"/>
          </w:tcPr>
          <w:p w14:paraId="1FCF176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Нормальный полетный вес</w:t>
            </w:r>
          </w:p>
        </w:tc>
        <w:tc>
          <w:tcPr>
            <w:tcW w:w="708" w:type="dxa"/>
          </w:tcPr>
          <w:p w14:paraId="66C082B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2875</w:t>
            </w:r>
          </w:p>
        </w:tc>
        <w:tc>
          <w:tcPr>
            <w:tcW w:w="709" w:type="dxa"/>
          </w:tcPr>
          <w:p w14:paraId="02643D5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2818</w:t>
            </w:r>
          </w:p>
        </w:tc>
        <w:tc>
          <w:tcPr>
            <w:tcW w:w="709" w:type="dxa"/>
          </w:tcPr>
          <w:p w14:paraId="5A92F52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+57</w:t>
            </w:r>
          </w:p>
        </w:tc>
      </w:tr>
      <w:tr w:rsidR="005106D0" w:rsidRPr="007224C3" w14:paraId="4212857B" w14:textId="77777777">
        <w:tc>
          <w:tcPr>
            <w:tcW w:w="2802" w:type="dxa"/>
          </w:tcPr>
          <w:p w14:paraId="3B0F53C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 пустого</w:t>
            </w:r>
          </w:p>
        </w:tc>
        <w:tc>
          <w:tcPr>
            <w:tcW w:w="708" w:type="dxa"/>
          </w:tcPr>
          <w:p w14:paraId="560E17E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2285</w:t>
            </w:r>
          </w:p>
        </w:tc>
        <w:tc>
          <w:tcPr>
            <w:tcW w:w="709" w:type="dxa"/>
          </w:tcPr>
          <w:p w14:paraId="75B85A4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2234</w:t>
            </w:r>
          </w:p>
        </w:tc>
        <w:tc>
          <w:tcPr>
            <w:tcW w:w="709" w:type="dxa"/>
          </w:tcPr>
          <w:p w14:paraId="3C6D243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+51</w:t>
            </w:r>
          </w:p>
        </w:tc>
      </w:tr>
      <w:tr w:rsidR="005106D0" w:rsidRPr="007224C3" w14:paraId="61398A32" w14:textId="77777777">
        <w:tc>
          <w:tcPr>
            <w:tcW w:w="2802" w:type="dxa"/>
          </w:tcPr>
          <w:p w14:paraId="5B97881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 нагрузки</w:t>
            </w:r>
          </w:p>
        </w:tc>
        <w:tc>
          <w:tcPr>
            <w:tcW w:w="708" w:type="dxa"/>
          </w:tcPr>
          <w:p w14:paraId="5F4BB97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590</w:t>
            </w:r>
          </w:p>
        </w:tc>
        <w:tc>
          <w:tcPr>
            <w:tcW w:w="709" w:type="dxa"/>
          </w:tcPr>
          <w:p w14:paraId="7717A48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584</w:t>
            </w:r>
          </w:p>
        </w:tc>
        <w:tc>
          <w:tcPr>
            <w:tcW w:w="709" w:type="dxa"/>
          </w:tcPr>
          <w:p w14:paraId="6110EBF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w:t>
            </w:r>
          </w:p>
        </w:tc>
      </w:tr>
      <w:tr w:rsidR="005106D0" w:rsidRPr="007224C3" w14:paraId="112D6D23" w14:textId="77777777">
        <w:tc>
          <w:tcPr>
            <w:tcW w:w="2802" w:type="dxa"/>
          </w:tcPr>
          <w:p w14:paraId="777778B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Центровка при нормальном полетном весе</w:t>
            </w:r>
          </w:p>
        </w:tc>
        <w:tc>
          <w:tcPr>
            <w:tcW w:w="708" w:type="dxa"/>
          </w:tcPr>
          <w:p w14:paraId="3D5F6C3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25,2</w:t>
            </w:r>
          </w:p>
        </w:tc>
        <w:tc>
          <w:tcPr>
            <w:tcW w:w="709" w:type="dxa"/>
          </w:tcPr>
          <w:p w14:paraId="10C80C9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23,7</w:t>
            </w:r>
          </w:p>
        </w:tc>
        <w:tc>
          <w:tcPr>
            <w:tcW w:w="709" w:type="dxa"/>
          </w:tcPr>
          <w:p w14:paraId="6597F20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w:t>
            </w:r>
          </w:p>
        </w:tc>
      </w:tr>
      <w:tr w:rsidR="005106D0" w:rsidRPr="007224C3" w14:paraId="55279814" w14:textId="77777777">
        <w:tc>
          <w:tcPr>
            <w:tcW w:w="2802" w:type="dxa"/>
          </w:tcPr>
          <w:p w14:paraId="16C082B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Предельная передняя эксплуатационная центровка</w:t>
            </w:r>
          </w:p>
        </w:tc>
        <w:tc>
          <w:tcPr>
            <w:tcW w:w="708" w:type="dxa"/>
          </w:tcPr>
          <w:p w14:paraId="7263D71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23,9</w:t>
            </w:r>
          </w:p>
        </w:tc>
        <w:tc>
          <w:tcPr>
            <w:tcW w:w="709" w:type="dxa"/>
          </w:tcPr>
          <w:p w14:paraId="7B3F45B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22,3</w:t>
            </w:r>
          </w:p>
        </w:tc>
        <w:tc>
          <w:tcPr>
            <w:tcW w:w="709" w:type="dxa"/>
          </w:tcPr>
          <w:p w14:paraId="4561D4A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tc>
      </w:tr>
      <w:tr w:rsidR="005106D0" w:rsidRPr="007224C3" w14:paraId="4849CEAD" w14:textId="77777777">
        <w:tc>
          <w:tcPr>
            <w:tcW w:w="2802" w:type="dxa"/>
            <w:tcBorders>
              <w:bottom w:val="single" w:sz="12" w:space="0" w:color="auto"/>
            </w:tcBorders>
          </w:tcPr>
          <w:p w14:paraId="6B0224C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Запас горючего 4Б-78</w:t>
            </w:r>
          </w:p>
        </w:tc>
        <w:tc>
          <w:tcPr>
            <w:tcW w:w="708" w:type="dxa"/>
            <w:tcBorders>
              <w:bottom w:val="single" w:sz="12" w:space="0" w:color="auto"/>
            </w:tcBorders>
          </w:tcPr>
          <w:p w14:paraId="4C4B087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280</w:t>
            </w:r>
          </w:p>
        </w:tc>
        <w:tc>
          <w:tcPr>
            <w:tcW w:w="709" w:type="dxa"/>
            <w:tcBorders>
              <w:bottom w:val="single" w:sz="12" w:space="0" w:color="auto"/>
            </w:tcBorders>
          </w:tcPr>
          <w:p w14:paraId="7590B36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300</w:t>
            </w:r>
          </w:p>
        </w:tc>
        <w:tc>
          <w:tcPr>
            <w:tcW w:w="709" w:type="dxa"/>
            <w:tcBorders>
              <w:bottom w:val="single" w:sz="12" w:space="0" w:color="auto"/>
            </w:tcBorders>
          </w:tcPr>
          <w:p w14:paraId="4B3EEE5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w:t>
            </w:r>
          </w:p>
        </w:tc>
      </w:tr>
    </w:tbl>
    <w:p w14:paraId="528AAB9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Основные причины, вызвавшие увеличение веса - установка пушки ВЯ-23, усиления и конструкционные изменения</w:t>
      </w:r>
    </w:p>
    <w:p w14:paraId="2CE5E3E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Основные ЛД</w:t>
      </w:r>
    </w:p>
    <w:p w14:paraId="0A63D34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Скорость макс. у земли - 554</w:t>
      </w:r>
    </w:p>
    <w:p w14:paraId="32AE236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Скорость макс. на 1-й гр. высотности (1400) - 590</w:t>
      </w:r>
    </w:p>
    <w:p w14:paraId="5D9074D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Скорость макс. на 2-й гр. высотности (3400) - 618</w:t>
      </w:r>
    </w:p>
    <w:p w14:paraId="09DE465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Скорость макс. на 5000 - 593</w:t>
      </w:r>
    </w:p>
    <w:p w14:paraId="2F3CB42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Скорость макс. на 6000 - 578</w:t>
      </w:r>
    </w:p>
    <w:p w14:paraId="46D8C38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Время набора 5000 м - 4,8</w:t>
      </w:r>
    </w:p>
    <w:p w14:paraId="04D270E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Потолок 10750</w:t>
      </w:r>
    </w:p>
    <w:p w14:paraId="1841493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Граница переключения нагнетателя - 2000 на скорости 542</w:t>
      </w:r>
    </w:p>
    <w:p w14:paraId="1BA2CF4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Скорости вертикальные</w:t>
      </w:r>
    </w:p>
    <w:p w14:paraId="4FF57EE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 земли - 18,1</w:t>
      </w:r>
    </w:p>
    <w:p w14:paraId="1813182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1 гр. 650 - 18,9</w:t>
      </w:r>
    </w:p>
    <w:p w14:paraId="2F93342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перекл. - 17,0</w:t>
      </w:r>
    </w:p>
    <w:p w14:paraId="3D45037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2 гр. (2500) - 19,2</w:t>
      </w:r>
    </w:p>
    <w:p w14:paraId="1BA33F7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5000 - 13,6</w:t>
      </w:r>
    </w:p>
    <w:p w14:paraId="60C620B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6000 - 11,3</w:t>
      </w:r>
    </w:p>
    <w:p w14:paraId="2BE171E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Мотор ВК-105ПФ-2 наработал с начала испытаний 44:02 и был снят из-за течи воды из блока через уплотнение гильзы</w:t>
      </w:r>
    </w:p>
    <w:p w14:paraId="02DAB27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Производилось сравнение с 105-1, Як-3 дублер, Ла-7 (испытанном в апреле 1944), с Ме-109G (январь 1943) и ФВ-190 А-4 (июль 1943).</w:t>
      </w:r>
    </w:p>
    <w:p w14:paraId="1AFC232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Выводы:</w:t>
      </w:r>
    </w:p>
    <w:p w14:paraId="55DDF01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ВМГ работает неудовлетворительно</w:t>
      </w:r>
    </w:p>
    <w:p w14:paraId="3E51113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наборе высоты с полностью отурытым туннелем водорадиатора температура воды 116 гр, в горизонтальном полете - 115 (макс. допустимо - 110)</w:t>
      </w:r>
    </w:p>
    <w:p w14:paraId="470EBA9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Установленное пулеметно-пушечное вооружение не доведено.</w:t>
      </w:r>
    </w:p>
    <w:p w14:paraId="1B19B2A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Искажение видимости предметов через сферическую часть козырька кабины пилота</w:t>
      </w:r>
    </w:p>
    <w:p w14:paraId="43E7DBE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с-те отсутствует аварийный сброс фонаря</w:t>
      </w:r>
    </w:p>
    <w:p w14:paraId="30EB227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Заключение:</w:t>
      </w:r>
    </w:p>
    <w:p w14:paraId="47957C3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Модифицированный с-т 1-5-2 дублер конструкции т. Горбунова постройки ОКБ завода № 31 госиспытания не выдержал по причине:</w:t>
      </w:r>
    </w:p>
    <w:p w14:paraId="4CCABC5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низкие ЛТД для с-та большой модификации</w:t>
      </w:r>
    </w:p>
    <w:p w14:paraId="18A8539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неудовлетворительная работа ВМГ и вооружения</w:t>
      </w:r>
    </w:p>
    <w:p w14:paraId="0C9A7BC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Считать нецелесообразной продолжение работы по дальнейшей модификации с-та ЛаГГ-3 с мотором ВК-105ПФ-2</w:t>
      </w:r>
    </w:p>
    <w:p w14:paraId="1D8A56A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 дублер подлежит сдаче на завод № 31</w:t>
      </w:r>
    </w:p>
    <w:p w14:paraId="5F2C3A8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Подписали с 20 по 24 июня (764,2).</w:t>
      </w:r>
    </w:p>
    <w:p w14:paraId="3ECF68A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ED927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июня 1944 года закончились государственные испытания ЛаГГ-3 «105-2», которые начались 10 мая. Машина с двигателем М-105ПФ-2 стартовой мощностью 1290 л.с. и рабочей мощностью 1310 л.с. на высоте 2000 м. Емкость топливных баков сократили с 405 до 377 л, пушку ШВАК заменили пушкой ВЯ-23 с боекомплектом 85 выстрелов. Пулемет БС имел боекомплект 185 выстрелов. Закончились они отрицательно. У самолета отметили недоработки в конструкции винтомоторной группы, слабое вооружение и низкие летные параметры. Самолет «105-2» значительно уступал по возможностям немецким истребителям Bf-109G-6 и Fw-190D-9. В результате в НИИ ВВС признали бесперспективным дальнейшее совершенствование ЛаГГа-3 и подняли вопрос о прекращении его серийного выпуска. Дальнейшие планы тбилисских конструкторов так и не были реализованы. В частности они предполагали оснастить самолет эластичными самогерметизирующимися баками. В отличие от жестких баков с резиновой обшивкой, у мягких баков сами стенки были сделаны из самозатягивающейся резины (11749).</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749"/>
        <w:gridCol w:w="850"/>
        <w:gridCol w:w="850"/>
        <w:gridCol w:w="850"/>
        <w:gridCol w:w="756"/>
        <w:gridCol w:w="850"/>
        <w:gridCol w:w="850"/>
        <w:gridCol w:w="856"/>
      </w:tblGrid>
      <w:tr w:rsidR="005106D0" w:rsidRPr="007224C3" w14:paraId="14E3D4B2" w14:textId="77777777" w:rsidTr="00595BFB">
        <w:tc>
          <w:tcPr>
            <w:tcW w:w="1749" w:type="dxa"/>
            <w:gridSpan w:val="8"/>
            <w:tcBorders>
              <w:top w:val="single" w:sz="12" w:space="0" w:color="auto"/>
            </w:tcBorders>
          </w:tcPr>
          <w:p w14:paraId="761814D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Характеристики</w:t>
            </w:r>
          </w:p>
        </w:tc>
      </w:tr>
      <w:tr w:rsidR="005106D0" w:rsidRPr="007224C3" w14:paraId="2A37385D" w14:textId="77777777" w:rsidTr="00595BFB">
        <w:tc>
          <w:tcPr>
            <w:tcW w:w="1749" w:type="dxa"/>
          </w:tcPr>
          <w:p w14:paraId="036375D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9ABEC3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И-301</w:t>
            </w:r>
          </w:p>
        </w:tc>
        <w:tc>
          <w:tcPr>
            <w:tcW w:w="850" w:type="dxa"/>
          </w:tcPr>
          <w:p w14:paraId="73925F5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ЛаГГ-3</w:t>
            </w:r>
          </w:p>
          <w:p w14:paraId="5160402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3121715</w:t>
            </w:r>
          </w:p>
        </w:tc>
        <w:tc>
          <w:tcPr>
            <w:tcW w:w="850" w:type="dxa"/>
          </w:tcPr>
          <w:p w14:paraId="748A172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ЛаГГ-3</w:t>
            </w:r>
          </w:p>
          <w:p w14:paraId="70A7C84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3121855</w:t>
            </w:r>
          </w:p>
        </w:tc>
        <w:tc>
          <w:tcPr>
            <w:tcW w:w="756" w:type="dxa"/>
          </w:tcPr>
          <w:p w14:paraId="6FBA345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ЛаГГ-3</w:t>
            </w:r>
          </w:p>
          <w:p w14:paraId="5577AA0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31212912</w:t>
            </w:r>
          </w:p>
        </w:tc>
        <w:tc>
          <w:tcPr>
            <w:tcW w:w="850" w:type="dxa"/>
          </w:tcPr>
          <w:p w14:paraId="6AC2AB1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ЛаГГ-3</w:t>
            </w:r>
          </w:p>
          <w:p w14:paraId="492A049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6011</w:t>
            </w:r>
          </w:p>
        </w:tc>
        <w:tc>
          <w:tcPr>
            <w:tcW w:w="850" w:type="dxa"/>
          </w:tcPr>
          <w:p w14:paraId="6BFFFFE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ЛаГГ-3</w:t>
            </w:r>
          </w:p>
          <w:p w14:paraId="57085CD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7166</w:t>
            </w:r>
          </w:p>
        </w:tc>
        <w:tc>
          <w:tcPr>
            <w:tcW w:w="856" w:type="dxa"/>
          </w:tcPr>
          <w:p w14:paraId="76DD7DF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105-2</w:t>
            </w:r>
          </w:p>
        </w:tc>
      </w:tr>
      <w:tr w:rsidR="005106D0" w:rsidRPr="007224C3" w14:paraId="2533F5F6" w14:textId="77777777" w:rsidTr="00595BFB">
        <w:tc>
          <w:tcPr>
            <w:tcW w:w="1749" w:type="dxa"/>
          </w:tcPr>
          <w:p w14:paraId="237A1F8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Размах крыла (мм)</w:t>
            </w:r>
          </w:p>
        </w:tc>
        <w:tc>
          <w:tcPr>
            <w:tcW w:w="850" w:type="dxa"/>
          </w:tcPr>
          <w:p w14:paraId="1F184C6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9810</w:t>
            </w:r>
          </w:p>
        </w:tc>
        <w:tc>
          <w:tcPr>
            <w:tcW w:w="850" w:type="dxa"/>
          </w:tcPr>
          <w:p w14:paraId="02387E9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9810</w:t>
            </w:r>
          </w:p>
        </w:tc>
        <w:tc>
          <w:tcPr>
            <w:tcW w:w="850" w:type="dxa"/>
          </w:tcPr>
          <w:p w14:paraId="4C5C1E0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9810</w:t>
            </w:r>
          </w:p>
        </w:tc>
        <w:tc>
          <w:tcPr>
            <w:tcW w:w="756" w:type="dxa"/>
          </w:tcPr>
          <w:p w14:paraId="04F993F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9810</w:t>
            </w:r>
          </w:p>
        </w:tc>
        <w:tc>
          <w:tcPr>
            <w:tcW w:w="850" w:type="dxa"/>
          </w:tcPr>
          <w:p w14:paraId="75AF5BC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9810</w:t>
            </w:r>
          </w:p>
        </w:tc>
        <w:tc>
          <w:tcPr>
            <w:tcW w:w="850" w:type="dxa"/>
          </w:tcPr>
          <w:p w14:paraId="635FC4D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9810</w:t>
            </w:r>
          </w:p>
        </w:tc>
        <w:tc>
          <w:tcPr>
            <w:tcW w:w="856" w:type="dxa"/>
          </w:tcPr>
          <w:p w14:paraId="6C0F621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9810</w:t>
            </w:r>
          </w:p>
        </w:tc>
      </w:tr>
      <w:tr w:rsidR="005106D0" w:rsidRPr="007224C3" w14:paraId="7B7246F1" w14:textId="77777777" w:rsidTr="00595BFB">
        <w:tc>
          <w:tcPr>
            <w:tcW w:w="1749" w:type="dxa"/>
          </w:tcPr>
          <w:p w14:paraId="556FA8E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Длина(мм)</w:t>
            </w:r>
          </w:p>
        </w:tc>
        <w:tc>
          <w:tcPr>
            <w:tcW w:w="850" w:type="dxa"/>
          </w:tcPr>
          <w:p w14:paraId="37B0354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8810</w:t>
            </w:r>
          </w:p>
        </w:tc>
        <w:tc>
          <w:tcPr>
            <w:tcW w:w="850" w:type="dxa"/>
          </w:tcPr>
          <w:p w14:paraId="7DF9EDC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8810</w:t>
            </w:r>
          </w:p>
        </w:tc>
        <w:tc>
          <w:tcPr>
            <w:tcW w:w="850" w:type="dxa"/>
          </w:tcPr>
          <w:p w14:paraId="7824534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8810</w:t>
            </w:r>
          </w:p>
        </w:tc>
        <w:tc>
          <w:tcPr>
            <w:tcW w:w="756" w:type="dxa"/>
          </w:tcPr>
          <w:p w14:paraId="249B65B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8810</w:t>
            </w:r>
          </w:p>
        </w:tc>
        <w:tc>
          <w:tcPr>
            <w:tcW w:w="850" w:type="dxa"/>
          </w:tcPr>
          <w:p w14:paraId="7899193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8810</w:t>
            </w:r>
          </w:p>
        </w:tc>
        <w:tc>
          <w:tcPr>
            <w:tcW w:w="850" w:type="dxa"/>
          </w:tcPr>
          <w:p w14:paraId="2469D5C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8810</w:t>
            </w:r>
          </w:p>
        </w:tc>
        <w:tc>
          <w:tcPr>
            <w:tcW w:w="856" w:type="dxa"/>
          </w:tcPr>
          <w:p w14:paraId="0B3B427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8950</w:t>
            </w:r>
          </w:p>
        </w:tc>
      </w:tr>
      <w:tr w:rsidR="005106D0" w:rsidRPr="007224C3" w14:paraId="6641375F" w14:textId="77777777" w:rsidTr="00595BFB">
        <w:tc>
          <w:tcPr>
            <w:tcW w:w="1749" w:type="dxa"/>
          </w:tcPr>
          <w:p w14:paraId="6A1878B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Высота(мм)</w:t>
            </w:r>
          </w:p>
        </w:tc>
        <w:tc>
          <w:tcPr>
            <w:tcW w:w="850" w:type="dxa"/>
          </w:tcPr>
          <w:p w14:paraId="47DC1DB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4400</w:t>
            </w:r>
          </w:p>
        </w:tc>
        <w:tc>
          <w:tcPr>
            <w:tcW w:w="850" w:type="dxa"/>
          </w:tcPr>
          <w:p w14:paraId="626C940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4400</w:t>
            </w:r>
          </w:p>
        </w:tc>
        <w:tc>
          <w:tcPr>
            <w:tcW w:w="850" w:type="dxa"/>
          </w:tcPr>
          <w:p w14:paraId="7A7894C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4400</w:t>
            </w:r>
          </w:p>
        </w:tc>
        <w:tc>
          <w:tcPr>
            <w:tcW w:w="756" w:type="dxa"/>
          </w:tcPr>
          <w:p w14:paraId="7EEFAEB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4400</w:t>
            </w:r>
          </w:p>
        </w:tc>
        <w:tc>
          <w:tcPr>
            <w:tcW w:w="850" w:type="dxa"/>
          </w:tcPr>
          <w:p w14:paraId="4C0F87F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4400</w:t>
            </w:r>
          </w:p>
        </w:tc>
        <w:tc>
          <w:tcPr>
            <w:tcW w:w="850" w:type="dxa"/>
          </w:tcPr>
          <w:p w14:paraId="0ADFD99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4400</w:t>
            </w:r>
          </w:p>
        </w:tc>
        <w:tc>
          <w:tcPr>
            <w:tcW w:w="856" w:type="dxa"/>
          </w:tcPr>
          <w:p w14:paraId="48AB149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4400</w:t>
            </w:r>
          </w:p>
        </w:tc>
      </w:tr>
      <w:tr w:rsidR="005106D0" w:rsidRPr="007224C3" w14:paraId="5017796E" w14:textId="77777777" w:rsidTr="00595BFB">
        <w:tc>
          <w:tcPr>
            <w:tcW w:w="1749" w:type="dxa"/>
          </w:tcPr>
          <w:p w14:paraId="6EF62DE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Двигатель</w:t>
            </w:r>
          </w:p>
        </w:tc>
        <w:tc>
          <w:tcPr>
            <w:tcW w:w="850" w:type="dxa"/>
          </w:tcPr>
          <w:p w14:paraId="754BAA1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М-105П</w:t>
            </w:r>
          </w:p>
        </w:tc>
        <w:tc>
          <w:tcPr>
            <w:tcW w:w="850" w:type="dxa"/>
          </w:tcPr>
          <w:p w14:paraId="72C936F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М-105П</w:t>
            </w:r>
          </w:p>
        </w:tc>
        <w:tc>
          <w:tcPr>
            <w:tcW w:w="850" w:type="dxa"/>
          </w:tcPr>
          <w:p w14:paraId="2C4E1F8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М-105П</w:t>
            </w:r>
          </w:p>
        </w:tc>
        <w:tc>
          <w:tcPr>
            <w:tcW w:w="756" w:type="dxa"/>
          </w:tcPr>
          <w:p w14:paraId="4C1D809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М-105ПФ</w:t>
            </w:r>
          </w:p>
        </w:tc>
        <w:tc>
          <w:tcPr>
            <w:tcW w:w="850" w:type="dxa"/>
          </w:tcPr>
          <w:p w14:paraId="22DB4AA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М-105ПФ</w:t>
            </w:r>
          </w:p>
        </w:tc>
        <w:tc>
          <w:tcPr>
            <w:tcW w:w="850" w:type="dxa"/>
          </w:tcPr>
          <w:p w14:paraId="51CB665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М-105ПФ</w:t>
            </w:r>
          </w:p>
        </w:tc>
        <w:tc>
          <w:tcPr>
            <w:tcW w:w="856" w:type="dxa"/>
          </w:tcPr>
          <w:p w14:paraId="032225F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М-105ПФ-2</w:t>
            </w:r>
          </w:p>
        </w:tc>
      </w:tr>
      <w:tr w:rsidR="005106D0" w:rsidRPr="007224C3" w14:paraId="12D5A14C" w14:textId="77777777" w:rsidTr="00595BFB">
        <w:tc>
          <w:tcPr>
            <w:tcW w:w="1749" w:type="dxa"/>
          </w:tcPr>
          <w:p w14:paraId="2F9A3EB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Мощность взлетная, л.с.</w:t>
            </w:r>
          </w:p>
        </w:tc>
        <w:tc>
          <w:tcPr>
            <w:tcW w:w="850" w:type="dxa"/>
          </w:tcPr>
          <w:p w14:paraId="4B65B7F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1020</w:t>
            </w:r>
          </w:p>
        </w:tc>
        <w:tc>
          <w:tcPr>
            <w:tcW w:w="850" w:type="dxa"/>
          </w:tcPr>
          <w:p w14:paraId="184F80B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1020</w:t>
            </w:r>
          </w:p>
        </w:tc>
        <w:tc>
          <w:tcPr>
            <w:tcW w:w="850" w:type="dxa"/>
          </w:tcPr>
          <w:p w14:paraId="3D0A656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1020</w:t>
            </w:r>
          </w:p>
        </w:tc>
        <w:tc>
          <w:tcPr>
            <w:tcW w:w="756" w:type="dxa"/>
          </w:tcPr>
          <w:p w14:paraId="52E096E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1210</w:t>
            </w:r>
          </w:p>
        </w:tc>
        <w:tc>
          <w:tcPr>
            <w:tcW w:w="850" w:type="dxa"/>
          </w:tcPr>
          <w:p w14:paraId="0D09F32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1210</w:t>
            </w:r>
          </w:p>
        </w:tc>
        <w:tc>
          <w:tcPr>
            <w:tcW w:w="850" w:type="dxa"/>
          </w:tcPr>
          <w:p w14:paraId="51C149A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1210</w:t>
            </w:r>
          </w:p>
        </w:tc>
        <w:tc>
          <w:tcPr>
            <w:tcW w:w="856" w:type="dxa"/>
          </w:tcPr>
          <w:p w14:paraId="7F34420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1290</w:t>
            </w:r>
          </w:p>
        </w:tc>
      </w:tr>
      <w:tr w:rsidR="005106D0" w:rsidRPr="007224C3" w14:paraId="17826657" w14:textId="77777777" w:rsidTr="00595BFB">
        <w:tc>
          <w:tcPr>
            <w:tcW w:w="1749" w:type="dxa"/>
          </w:tcPr>
          <w:p w14:paraId="28998E3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Мощность на высоте, л.с./м</w:t>
            </w:r>
          </w:p>
          <w:p w14:paraId="25F2ABC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1-я скорость нагнетателя</w:t>
            </w:r>
          </w:p>
        </w:tc>
        <w:tc>
          <w:tcPr>
            <w:tcW w:w="850" w:type="dxa"/>
          </w:tcPr>
          <w:p w14:paraId="69B3CCA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1100/2000</w:t>
            </w:r>
          </w:p>
        </w:tc>
        <w:tc>
          <w:tcPr>
            <w:tcW w:w="850" w:type="dxa"/>
          </w:tcPr>
          <w:p w14:paraId="31BFE03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1100/2000</w:t>
            </w:r>
          </w:p>
        </w:tc>
        <w:tc>
          <w:tcPr>
            <w:tcW w:w="850" w:type="dxa"/>
          </w:tcPr>
          <w:p w14:paraId="29096FE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1100/2000</w:t>
            </w:r>
          </w:p>
        </w:tc>
        <w:tc>
          <w:tcPr>
            <w:tcW w:w="756" w:type="dxa"/>
          </w:tcPr>
          <w:p w14:paraId="6A15D2A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1260/700</w:t>
            </w:r>
          </w:p>
        </w:tc>
        <w:tc>
          <w:tcPr>
            <w:tcW w:w="850" w:type="dxa"/>
          </w:tcPr>
          <w:p w14:paraId="623FD25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1260/700</w:t>
            </w:r>
          </w:p>
        </w:tc>
        <w:tc>
          <w:tcPr>
            <w:tcW w:w="850" w:type="dxa"/>
          </w:tcPr>
          <w:p w14:paraId="45756D3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1260/700</w:t>
            </w:r>
          </w:p>
        </w:tc>
        <w:tc>
          <w:tcPr>
            <w:tcW w:w="856" w:type="dxa"/>
          </w:tcPr>
          <w:p w14:paraId="44EB720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1310/2000</w:t>
            </w:r>
          </w:p>
        </w:tc>
      </w:tr>
      <w:tr w:rsidR="005106D0" w:rsidRPr="007224C3" w14:paraId="02163E17" w14:textId="77777777" w:rsidTr="00595BFB">
        <w:tc>
          <w:tcPr>
            <w:tcW w:w="1749" w:type="dxa"/>
          </w:tcPr>
          <w:p w14:paraId="009CCB6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Мощность на высоте, л.с./м</w:t>
            </w:r>
          </w:p>
          <w:p w14:paraId="1A3335C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2-я скорость нагнетателя</w:t>
            </w:r>
          </w:p>
        </w:tc>
        <w:tc>
          <w:tcPr>
            <w:tcW w:w="850" w:type="dxa"/>
          </w:tcPr>
          <w:p w14:paraId="39A328E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1050/4000</w:t>
            </w:r>
          </w:p>
        </w:tc>
        <w:tc>
          <w:tcPr>
            <w:tcW w:w="850" w:type="dxa"/>
          </w:tcPr>
          <w:p w14:paraId="4365E75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1050/4000</w:t>
            </w:r>
          </w:p>
        </w:tc>
        <w:tc>
          <w:tcPr>
            <w:tcW w:w="850" w:type="dxa"/>
          </w:tcPr>
          <w:p w14:paraId="3768276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1050/4000</w:t>
            </w:r>
          </w:p>
        </w:tc>
        <w:tc>
          <w:tcPr>
            <w:tcW w:w="756" w:type="dxa"/>
          </w:tcPr>
          <w:p w14:paraId="31BD7D5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1180/700</w:t>
            </w:r>
          </w:p>
        </w:tc>
        <w:tc>
          <w:tcPr>
            <w:tcW w:w="850" w:type="dxa"/>
          </w:tcPr>
          <w:p w14:paraId="4D7ED01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1180/2700</w:t>
            </w:r>
          </w:p>
        </w:tc>
        <w:tc>
          <w:tcPr>
            <w:tcW w:w="850" w:type="dxa"/>
          </w:tcPr>
          <w:p w14:paraId="1501FFD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1170/2700</w:t>
            </w:r>
          </w:p>
        </w:tc>
        <w:tc>
          <w:tcPr>
            <w:tcW w:w="856" w:type="dxa"/>
          </w:tcPr>
          <w:p w14:paraId="08C17E4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1240/2100</w:t>
            </w:r>
          </w:p>
        </w:tc>
      </w:tr>
      <w:tr w:rsidR="005106D0" w:rsidRPr="007224C3" w14:paraId="5AF4DF04" w14:textId="77777777" w:rsidTr="00595BFB">
        <w:tc>
          <w:tcPr>
            <w:tcW w:w="1749" w:type="dxa"/>
          </w:tcPr>
          <w:p w14:paraId="2A58B91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Масса боевая, кг</w:t>
            </w:r>
          </w:p>
        </w:tc>
        <w:tc>
          <w:tcPr>
            <w:tcW w:w="850" w:type="dxa"/>
          </w:tcPr>
          <w:p w14:paraId="28C1A52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2968</w:t>
            </w:r>
          </w:p>
        </w:tc>
        <w:tc>
          <w:tcPr>
            <w:tcW w:w="850" w:type="dxa"/>
          </w:tcPr>
          <w:p w14:paraId="27EA05C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3280</w:t>
            </w:r>
          </w:p>
        </w:tc>
        <w:tc>
          <w:tcPr>
            <w:tcW w:w="850" w:type="dxa"/>
          </w:tcPr>
          <w:p w14:paraId="57EBEAF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3380</w:t>
            </w:r>
          </w:p>
        </w:tc>
        <w:tc>
          <w:tcPr>
            <w:tcW w:w="756" w:type="dxa"/>
          </w:tcPr>
          <w:p w14:paraId="10A12F5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3160</w:t>
            </w:r>
          </w:p>
        </w:tc>
        <w:tc>
          <w:tcPr>
            <w:tcW w:w="850" w:type="dxa"/>
          </w:tcPr>
          <w:p w14:paraId="12A1E5E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3006</w:t>
            </w:r>
          </w:p>
        </w:tc>
        <w:tc>
          <w:tcPr>
            <w:tcW w:w="850" w:type="dxa"/>
          </w:tcPr>
          <w:p w14:paraId="67FD01A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2983</w:t>
            </w:r>
          </w:p>
        </w:tc>
        <w:tc>
          <w:tcPr>
            <w:tcW w:w="856" w:type="dxa"/>
          </w:tcPr>
          <w:p w14:paraId="7035CC8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2875</w:t>
            </w:r>
          </w:p>
        </w:tc>
      </w:tr>
      <w:tr w:rsidR="005106D0" w:rsidRPr="007224C3" w14:paraId="38EA2D18" w14:textId="77777777" w:rsidTr="00595BFB">
        <w:tc>
          <w:tcPr>
            <w:tcW w:w="1749" w:type="dxa"/>
          </w:tcPr>
          <w:p w14:paraId="7F1C734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Масса пустого, кг</w:t>
            </w:r>
          </w:p>
        </w:tc>
        <w:tc>
          <w:tcPr>
            <w:tcW w:w="850" w:type="dxa"/>
          </w:tcPr>
          <w:p w14:paraId="017FF21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2380</w:t>
            </w:r>
          </w:p>
        </w:tc>
        <w:tc>
          <w:tcPr>
            <w:tcW w:w="850" w:type="dxa"/>
          </w:tcPr>
          <w:p w14:paraId="2477414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2610</w:t>
            </w:r>
          </w:p>
        </w:tc>
        <w:tc>
          <w:tcPr>
            <w:tcW w:w="850" w:type="dxa"/>
          </w:tcPr>
          <w:p w14:paraId="0E105AB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756" w:type="dxa"/>
          </w:tcPr>
          <w:p w14:paraId="2474477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0" w:type="dxa"/>
          </w:tcPr>
          <w:p w14:paraId="1BE5F4B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0" w:type="dxa"/>
          </w:tcPr>
          <w:p w14:paraId="5FEAAC5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6" w:type="dxa"/>
          </w:tcPr>
          <w:p w14:paraId="48E29E9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2285</w:t>
            </w:r>
          </w:p>
        </w:tc>
      </w:tr>
      <w:tr w:rsidR="005106D0" w:rsidRPr="007224C3" w14:paraId="7C542C07" w14:textId="77777777" w:rsidTr="00595BFB">
        <w:tc>
          <w:tcPr>
            <w:tcW w:w="1749" w:type="dxa"/>
          </w:tcPr>
          <w:p w14:paraId="0AD0B45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Масса топлива, кг</w:t>
            </w:r>
          </w:p>
        </w:tc>
        <w:tc>
          <w:tcPr>
            <w:tcW w:w="850" w:type="dxa"/>
          </w:tcPr>
          <w:p w14:paraId="03A2E6B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250</w:t>
            </w:r>
          </w:p>
        </w:tc>
        <w:tc>
          <w:tcPr>
            <w:tcW w:w="850" w:type="dxa"/>
          </w:tcPr>
          <w:p w14:paraId="1B79B90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340</w:t>
            </w:r>
          </w:p>
        </w:tc>
        <w:tc>
          <w:tcPr>
            <w:tcW w:w="850" w:type="dxa"/>
          </w:tcPr>
          <w:p w14:paraId="27BCCE8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756" w:type="dxa"/>
          </w:tcPr>
          <w:p w14:paraId="114C3B0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350</w:t>
            </w:r>
          </w:p>
        </w:tc>
        <w:tc>
          <w:tcPr>
            <w:tcW w:w="850" w:type="dxa"/>
          </w:tcPr>
          <w:p w14:paraId="3482676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0" w:type="dxa"/>
          </w:tcPr>
          <w:p w14:paraId="09C5695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6" w:type="dxa"/>
          </w:tcPr>
          <w:p w14:paraId="75669AF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280</w:t>
            </w:r>
          </w:p>
        </w:tc>
      </w:tr>
      <w:tr w:rsidR="005106D0" w:rsidRPr="007224C3" w14:paraId="049C6BB7" w14:textId="77777777" w:rsidTr="00595BFB">
        <w:tc>
          <w:tcPr>
            <w:tcW w:w="1749" w:type="dxa"/>
          </w:tcPr>
          <w:p w14:paraId="442A063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Скорость макс у земли, км/ч</w:t>
            </w:r>
          </w:p>
        </w:tc>
        <w:tc>
          <w:tcPr>
            <w:tcW w:w="850" w:type="dxa"/>
          </w:tcPr>
          <w:p w14:paraId="1B3C9D8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515</w:t>
            </w:r>
          </w:p>
        </w:tc>
        <w:tc>
          <w:tcPr>
            <w:tcW w:w="850" w:type="dxa"/>
          </w:tcPr>
          <w:p w14:paraId="7F743D6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474</w:t>
            </w:r>
          </w:p>
        </w:tc>
        <w:tc>
          <w:tcPr>
            <w:tcW w:w="850" w:type="dxa"/>
          </w:tcPr>
          <w:p w14:paraId="2965625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462</w:t>
            </w:r>
          </w:p>
        </w:tc>
        <w:tc>
          <w:tcPr>
            <w:tcW w:w="756" w:type="dxa"/>
          </w:tcPr>
          <w:p w14:paraId="317A015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507</w:t>
            </w:r>
          </w:p>
        </w:tc>
        <w:tc>
          <w:tcPr>
            <w:tcW w:w="850" w:type="dxa"/>
          </w:tcPr>
          <w:p w14:paraId="3093264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545</w:t>
            </w:r>
          </w:p>
        </w:tc>
        <w:tc>
          <w:tcPr>
            <w:tcW w:w="850" w:type="dxa"/>
          </w:tcPr>
          <w:p w14:paraId="182F3A7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532</w:t>
            </w:r>
          </w:p>
        </w:tc>
        <w:tc>
          <w:tcPr>
            <w:tcW w:w="856" w:type="dxa"/>
          </w:tcPr>
          <w:p w14:paraId="66E1EF0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554</w:t>
            </w:r>
          </w:p>
        </w:tc>
      </w:tr>
      <w:tr w:rsidR="005106D0" w:rsidRPr="007224C3" w14:paraId="1175C529" w14:textId="77777777" w:rsidTr="00595BFB">
        <w:tc>
          <w:tcPr>
            <w:tcW w:w="1749" w:type="dxa"/>
          </w:tcPr>
          <w:p w14:paraId="7FDD027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Скорость макс на высоте, км/ч/м</w:t>
            </w:r>
          </w:p>
        </w:tc>
        <w:tc>
          <w:tcPr>
            <w:tcW w:w="850" w:type="dxa"/>
          </w:tcPr>
          <w:p w14:paraId="5CB4E89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605/4950</w:t>
            </w:r>
          </w:p>
        </w:tc>
        <w:tc>
          <w:tcPr>
            <w:tcW w:w="850" w:type="dxa"/>
          </w:tcPr>
          <w:p w14:paraId="234C0D2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549/5000</w:t>
            </w:r>
          </w:p>
        </w:tc>
        <w:tc>
          <w:tcPr>
            <w:tcW w:w="850" w:type="dxa"/>
          </w:tcPr>
          <w:p w14:paraId="37A237C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554/4850</w:t>
            </w:r>
          </w:p>
        </w:tc>
        <w:tc>
          <w:tcPr>
            <w:tcW w:w="756" w:type="dxa"/>
          </w:tcPr>
          <w:p w14:paraId="6542FBF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566/3850</w:t>
            </w:r>
          </w:p>
        </w:tc>
        <w:tc>
          <w:tcPr>
            <w:tcW w:w="850" w:type="dxa"/>
          </w:tcPr>
          <w:p w14:paraId="55C882A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595/3400</w:t>
            </w:r>
          </w:p>
        </w:tc>
        <w:tc>
          <w:tcPr>
            <w:tcW w:w="850" w:type="dxa"/>
          </w:tcPr>
          <w:p w14:paraId="08481CC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586/3600</w:t>
            </w:r>
          </w:p>
        </w:tc>
        <w:tc>
          <w:tcPr>
            <w:tcW w:w="856" w:type="dxa"/>
          </w:tcPr>
          <w:p w14:paraId="5185B4C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618/3400</w:t>
            </w:r>
          </w:p>
        </w:tc>
      </w:tr>
      <w:tr w:rsidR="005106D0" w:rsidRPr="007224C3" w14:paraId="783FE205" w14:textId="77777777" w:rsidTr="00595BFB">
        <w:tc>
          <w:tcPr>
            <w:tcW w:w="1749" w:type="dxa"/>
          </w:tcPr>
          <w:p w14:paraId="6E19819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Скороподъемность у земли, м/с</w:t>
            </w:r>
          </w:p>
        </w:tc>
        <w:tc>
          <w:tcPr>
            <w:tcW w:w="850" w:type="dxa"/>
          </w:tcPr>
          <w:p w14:paraId="638CA96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0" w:type="dxa"/>
          </w:tcPr>
          <w:p w14:paraId="264C063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8,5</w:t>
            </w:r>
          </w:p>
        </w:tc>
        <w:tc>
          <w:tcPr>
            <w:tcW w:w="850" w:type="dxa"/>
          </w:tcPr>
          <w:p w14:paraId="4D9793D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756" w:type="dxa"/>
          </w:tcPr>
          <w:p w14:paraId="4B0EB45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0" w:type="dxa"/>
          </w:tcPr>
          <w:p w14:paraId="0E2900F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0" w:type="dxa"/>
          </w:tcPr>
          <w:p w14:paraId="5615CBC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5,5</w:t>
            </w:r>
          </w:p>
        </w:tc>
        <w:tc>
          <w:tcPr>
            <w:tcW w:w="856" w:type="dxa"/>
          </w:tcPr>
          <w:p w14:paraId="1D37944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4,8</w:t>
            </w:r>
          </w:p>
        </w:tc>
      </w:tr>
      <w:tr w:rsidR="005106D0" w:rsidRPr="007224C3" w14:paraId="047CBC01" w14:textId="77777777" w:rsidTr="00595BFB">
        <w:tc>
          <w:tcPr>
            <w:tcW w:w="1749" w:type="dxa"/>
          </w:tcPr>
          <w:p w14:paraId="45CEDA8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Скороподъемность на высоте 5000м, м/с</w:t>
            </w:r>
          </w:p>
        </w:tc>
        <w:tc>
          <w:tcPr>
            <w:tcW w:w="850" w:type="dxa"/>
          </w:tcPr>
          <w:p w14:paraId="2BA2E2B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5,85</w:t>
            </w:r>
          </w:p>
        </w:tc>
        <w:tc>
          <w:tcPr>
            <w:tcW w:w="850" w:type="dxa"/>
          </w:tcPr>
          <w:p w14:paraId="22E110C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8,6</w:t>
            </w:r>
          </w:p>
        </w:tc>
        <w:tc>
          <w:tcPr>
            <w:tcW w:w="850" w:type="dxa"/>
          </w:tcPr>
          <w:p w14:paraId="2F4D6AE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9,1</w:t>
            </w:r>
          </w:p>
        </w:tc>
        <w:tc>
          <w:tcPr>
            <w:tcW w:w="756" w:type="dxa"/>
          </w:tcPr>
          <w:p w14:paraId="480AD3C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6,4</w:t>
            </w:r>
          </w:p>
        </w:tc>
        <w:tc>
          <w:tcPr>
            <w:tcW w:w="850" w:type="dxa"/>
          </w:tcPr>
          <w:p w14:paraId="626AFAB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0" w:type="dxa"/>
          </w:tcPr>
          <w:p w14:paraId="3D2129A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6" w:type="dxa"/>
          </w:tcPr>
          <w:p w14:paraId="3C46D59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197E6D7E" w14:textId="77777777" w:rsidTr="00595BFB">
        <w:tc>
          <w:tcPr>
            <w:tcW w:w="1749" w:type="dxa"/>
          </w:tcPr>
          <w:p w14:paraId="4045240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Потолок, м</w:t>
            </w:r>
          </w:p>
        </w:tc>
        <w:tc>
          <w:tcPr>
            <w:tcW w:w="850" w:type="dxa"/>
          </w:tcPr>
          <w:p w14:paraId="37847DE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9600</w:t>
            </w:r>
          </w:p>
        </w:tc>
        <w:tc>
          <w:tcPr>
            <w:tcW w:w="850" w:type="dxa"/>
          </w:tcPr>
          <w:p w14:paraId="70DE104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9300</w:t>
            </w:r>
          </w:p>
        </w:tc>
        <w:tc>
          <w:tcPr>
            <w:tcW w:w="850" w:type="dxa"/>
          </w:tcPr>
          <w:p w14:paraId="12246BF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756" w:type="dxa"/>
          </w:tcPr>
          <w:p w14:paraId="1A4D835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10 000</w:t>
            </w:r>
          </w:p>
        </w:tc>
        <w:tc>
          <w:tcPr>
            <w:tcW w:w="850" w:type="dxa"/>
          </w:tcPr>
          <w:p w14:paraId="2AB59B4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9400</w:t>
            </w:r>
          </w:p>
        </w:tc>
        <w:tc>
          <w:tcPr>
            <w:tcW w:w="850" w:type="dxa"/>
          </w:tcPr>
          <w:p w14:paraId="1413668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6" w:type="dxa"/>
          </w:tcPr>
          <w:p w14:paraId="47516AE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10750</w:t>
            </w:r>
          </w:p>
        </w:tc>
      </w:tr>
      <w:tr w:rsidR="005106D0" w:rsidRPr="007224C3" w14:paraId="0CF83E70" w14:textId="77777777" w:rsidTr="00595BFB">
        <w:tc>
          <w:tcPr>
            <w:tcW w:w="1749" w:type="dxa"/>
          </w:tcPr>
          <w:p w14:paraId="223B4B4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Время выполнения виража, сек</w:t>
            </w:r>
          </w:p>
        </w:tc>
        <w:tc>
          <w:tcPr>
            <w:tcW w:w="850" w:type="dxa"/>
          </w:tcPr>
          <w:p w14:paraId="57C28CD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w:t>
            </w:r>
          </w:p>
        </w:tc>
        <w:tc>
          <w:tcPr>
            <w:tcW w:w="850" w:type="dxa"/>
          </w:tcPr>
          <w:p w14:paraId="5DA330C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20-21</w:t>
            </w:r>
          </w:p>
        </w:tc>
        <w:tc>
          <w:tcPr>
            <w:tcW w:w="850" w:type="dxa"/>
          </w:tcPr>
          <w:p w14:paraId="5894615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756" w:type="dxa"/>
          </w:tcPr>
          <w:p w14:paraId="4F6664C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w:t>
            </w:r>
          </w:p>
        </w:tc>
        <w:tc>
          <w:tcPr>
            <w:tcW w:w="850" w:type="dxa"/>
          </w:tcPr>
          <w:p w14:paraId="2633EB0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0" w:type="dxa"/>
          </w:tcPr>
          <w:p w14:paraId="30CD084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6" w:type="dxa"/>
          </w:tcPr>
          <w:p w14:paraId="44C321E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432152AD" w14:textId="77777777" w:rsidTr="00595BFB">
        <w:tc>
          <w:tcPr>
            <w:tcW w:w="1749" w:type="dxa"/>
          </w:tcPr>
          <w:p w14:paraId="2A8005E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Дальность макс, км</w:t>
            </w:r>
          </w:p>
        </w:tc>
        <w:tc>
          <w:tcPr>
            <w:tcW w:w="850" w:type="dxa"/>
          </w:tcPr>
          <w:p w14:paraId="0C6F907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556</w:t>
            </w:r>
          </w:p>
        </w:tc>
        <w:tc>
          <w:tcPr>
            <w:tcW w:w="850" w:type="dxa"/>
          </w:tcPr>
          <w:p w14:paraId="2F05F06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705</w:t>
            </w:r>
          </w:p>
        </w:tc>
        <w:tc>
          <w:tcPr>
            <w:tcW w:w="850" w:type="dxa"/>
          </w:tcPr>
          <w:p w14:paraId="11E3C09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756" w:type="dxa"/>
          </w:tcPr>
          <w:p w14:paraId="695F096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0" w:type="dxa"/>
          </w:tcPr>
          <w:p w14:paraId="7DF9DF3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537-832</w:t>
            </w:r>
          </w:p>
        </w:tc>
        <w:tc>
          <w:tcPr>
            <w:tcW w:w="850" w:type="dxa"/>
          </w:tcPr>
          <w:p w14:paraId="75F4E61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6" w:type="dxa"/>
          </w:tcPr>
          <w:p w14:paraId="4F2B171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13A609F3" w14:textId="77777777" w:rsidTr="00595BFB">
        <w:tc>
          <w:tcPr>
            <w:tcW w:w="1749" w:type="dxa"/>
          </w:tcPr>
          <w:p w14:paraId="706D8CB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Разбег, м</w:t>
            </w:r>
          </w:p>
        </w:tc>
        <w:tc>
          <w:tcPr>
            <w:tcW w:w="850" w:type="dxa"/>
          </w:tcPr>
          <w:p w14:paraId="35BC287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355</w:t>
            </w:r>
          </w:p>
        </w:tc>
        <w:tc>
          <w:tcPr>
            <w:tcW w:w="850" w:type="dxa"/>
          </w:tcPr>
          <w:p w14:paraId="0E692AE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480-543</w:t>
            </w:r>
          </w:p>
        </w:tc>
        <w:tc>
          <w:tcPr>
            <w:tcW w:w="850" w:type="dxa"/>
          </w:tcPr>
          <w:p w14:paraId="73A0D42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450</w:t>
            </w:r>
          </w:p>
        </w:tc>
        <w:tc>
          <w:tcPr>
            <w:tcW w:w="756" w:type="dxa"/>
          </w:tcPr>
          <w:p w14:paraId="7BF811B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370</w:t>
            </w:r>
          </w:p>
        </w:tc>
        <w:tc>
          <w:tcPr>
            <w:tcW w:w="850" w:type="dxa"/>
          </w:tcPr>
          <w:p w14:paraId="76CC9E2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0" w:type="dxa"/>
          </w:tcPr>
          <w:p w14:paraId="22DD189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6" w:type="dxa"/>
          </w:tcPr>
          <w:p w14:paraId="17041BA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27F4B375" w14:textId="77777777" w:rsidTr="00595BFB">
        <w:tc>
          <w:tcPr>
            <w:tcW w:w="1749" w:type="dxa"/>
          </w:tcPr>
          <w:p w14:paraId="63D863C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Пробег, м</w:t>
            </w:r>
          </w:p>
        </w:tc>
        <w:tc>
          <w:tcPr>
            <w:tcW w:w="850" w:type="dxa"/>
          </w:tcPr>
          <w:p w14:paraId="7F7995F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400</w:t>
            </w:r>
          </w:p>
        </w:tc>
        <w:tc>
          <w:tcPr>
            <w:tcW w:w="850" w:type="dxa"/>
          </w:tcPr>
          <w:p w14:paraId="767B5DE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450-460</w:t>
            </w:r>
          </w:p>
        </w:tc>
        <w:tc>
          <w:tcPr>
            <w:tcW w:w="850" w:type="dxa"/>
          </w:tcPr>
          <w:p w14:paraId="75CD544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756" w:type="dxa"/>
          </w:tcPr>
          <w:p w14:paraId="61273C6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0" w:type="dxa"/>
          </w:tcPr>
          <w:p w14:paraId="3944103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0" w:type="dxa"/>
          </w:tcPr>
          <w:p w14:paraId="032E993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856" w:type="dxa"/>
          </w:tcPr>
          <w:p w14:paraId="2DB8DCA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37BB2A8B" w14:textId="77777777" w:rsidTr="00595BFB">
        <w:tc>
          <w:tcPr>
            <w:tcW w:w="1749" w:type="dxa"/>
            <w:tcBorders>
              <w:bottom w:val="single" w:sz="12" w:space="0" w:color="auto"/>
            </w:tcBorders>
          </w:tcPr>
          <w:p w14:paraId="7195450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Вооружение</w:t>
            </w:r>
          </w:p>
        </w:tc>
        <w:tc>
          <w:tcPr>
            <w:tcW w:w="850" w:type="dxa"/>
            <w:tcBorders>
              <w:bottom w:val="single" w:sz="12" w:space="0" w:color="auto"/>
            </w:tcBorders>
          </w:tcPr>
          <w:p w14:paraId="0685055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1х23</w:t>
            </w:r>
          </w:p>
          <w:p w14:paraId="382B9E1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2х12,7</w:t>
            </w:r>
          </w:p>
        </w:tc>
        <w:tc>
          <w:tcPr>
            <w:tcW w:w="850" w:type="dxa"/>
            <w:tcBorders>
              <w:bottom w:val="single" w:sz="12" w:space="0" w:color="auto"/>
            </w:tcBorders>
          </w:tcPr>
          <w:p w14:paraId="7C5BF7D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1х20</w:t>
            </w:r>
          </w:p>
          <w:p w14:paraId="6F401B7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2х12,7</w:t>
            </w:r>
          </w:p>
          <w:p w14:paraId="096AAA2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2х7,62</w:t>
            </w:r>
          </w:p>
        </w:tc>
        <w:tc>
          <w:tcPr>
            <w:tcW w:w="850" w:type="dxa"/>
            <w:tcBorders>
              <w:bottom w:val="single" w:sz="12" w:space="0" w:color="auto"/>
            </w:tcBorders>
          </w:tcPr>
          <w:p w14:paraId="5C0D7E3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1х20</w:t>
            </w:r>
          </w:p>
          <w:p w14:paraId="0CB0EA9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2х12,7</w:t>
            </w:r>
          </w:p>
          <w:p w14:paraId="7A24631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2х7,62</w:t>
            </w:r>
          </w:p>
          <w:p w14:paraId="60F9769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8хРС-82</w:t>
            </w:r>
          </w:p>
        </w:tc>
        <w:tc>
          <w:tcPr>
            <w:tcW w:w="756" w:type="dxa"/>
            <w:tcBorders>
              <w:bottom w:val="single" w:sz="12" w:space="0" w:color="auto"/>
            </w:tcBorders>
          </w:tcPr>
          <w:p w14:paraId="5D46680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1х20</w:t>
            </w:r>
          </w:p>
          <w:p w14:paraId="711195B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2х12,7</w:t>
            </w:r>
          </w:p>
        </w:tc>
        <w:tc>
          <w:tcPr>
            <w:tcW w:w="850" w:type="dxa"/>
            <w:tcBorders>
              <w:bottom w:val="single" w:sz="12" w:space="0" w:color="auto"/>
            </w:tcBorders>
          </w:tcPr>
          <w:p w14:paraId="4AAA01D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1х20</w:t>
            </w:r>
          </w:p>
          <w:p w14:paraId="7714BBD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2х12,7</w:t>
            </w:r>
          </w:p>
        </w:tc>
        <w:tc>
          <w:tcPr>
            <w:tcW w:w="850" w:type="dxa"/>
            <w:tcBorders>
              <w:bottom w:val="single" w:sz="12" w:space="0" w:color="auto"/>
            </w:tcBorders>
          </w:tcPr>
          <w:p w14:paraId="717800A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1х20</w:t>
            </w:r>
          </w:p>
          <w:p w14:paraId="23BEBC3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2х12,7</w:t>
            </w:r>
          </w:p>
        </w:tc>
        <w:tc>
          <w:tcPr>
            <w:tcW w:w="856" w:type="dxa"/>
            <w:tcBorders>
              <w:bottom w:val="single" w:sz="12" w:space="0" w:color="auto"/>
            </w:tcBorders>
          </w:tcPr>
          <w:p w14:paraId="6746B1C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1х23</w:t>
            </w:r>
          </w:p>
          <w:p w14:paraId="1E1F743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2х12,7</w:t>
            </w:r>
          </w:p>
        </w:tc>
      </w:tr>
    </w:tbl>
    <w:p w14:paraId="225BDCE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(11749)</w:t>
      </w:r>
    </w:p>
    <w:p w14:paraId="39376669" w14:textId="77777777" w:rsidR="00595BFB" w:rsidRPr="007224C3" w:rsidRDefault="00595BFB" w:rsidP="007224C3">
      <w:pPr>
        <w:autoSpaceDE w:val="0"/>
        <w:autoSpaceDN w:val="0"/>
        <w:adjustRightInd w:val="0"/>
        <w:spacing w:after="0" w:line="240" w:lineRule="auto"/>
        <w:jc w:val="both"/>
        <w:rPr>
          <w:rFonts w:ascii="Times New Roman" w:hAnsi="Times New Roman"/>
          <w:iCs/>
          <w:color w:val="000000" w:themeColor="text1"/>
          <w:sz w:val="16"/>
          <w:szCs w:val="16"/>
        </w:rPr>
      </w:pPr>
    </w:p>
    <w:p w14:paraId="6DB4E9CA" w14:textId="77777777" w:rsidR="00F51797" w:rsidRPr="007224C3" w:rsidRDefault="00F51797"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12 июня 1941 была завершена программа госиспытаний самолета 105-2, который был построен 31-м заводом в феврале 1944 года, а 4 мая после непродолжительных заводских испытаний поступил в НИИ ВВС на госиспытания. Всего было выполнено 15 полетов общей продолжительностью 8 часов 40 минут.</w:t>
      </w:r>
    </w:p>
    <w:p w14:paraId="5079E45E" w14:textId="77777777" w:rsidR="00F51797" w:rsidRPr="007224C3" w:rsidRDefault="00F51797"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105-2 продемонстрировал неплохие результаты. У земли максимальная скорость составила 554 км/ч, на 1-й границе высотности (1400 метров) – 590 км/ч, на 2-й границе (3400 метров) – 618 км/ч, а на высотах в 5 и 6 километров самолет разгонялся, соответственно, до 593 и 578 километров в час. Время набора 5000 метров – 4,8 минуты. Потолок – 10750 метров. Оружие работало надежно. После отстрела в тире было выполнено три полета со стрельбой. Один – с ведением огня в горизонтальном полете на различных режимах работы двигателя и два – с прицельной стрельбой по наземным целям с пикирования. Было израсходовано два боекомплекта пулемета УБС и один – пушки ВЯ. Задержек не было. Помимо майора Дзюбы, самолет 105-2 облетали майоры Антипов и Прошаков.</w:t>
      </w:r>
    </w:p>
    <w:p w14:paraId="6F3AB8E5" w14:textId="77777777" w:rsidR="00F51797" w:rsidRPr="007224C3" w:rsidRDefault="00F51797"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Испытатели отмечали неплохое производственное исполнение машины, хорошую внешнюю отделку. Воздушная система уборки-выпуска шасси оказалась проще и надежнее гидравлической, работала безотказно и требовала меньшего ухода. Перенос маслорадиаторов сдвинул центр тяжести самолета назад, что привело к увеличению противокапотажного угла и повысило эффективность торможения. На рулении 105-2 был устойчив, на взлете прост, в полете имел хорошую управляемость. Однако на этом достоинства новой машины заканчивались.</w:t>
      </w:r>
    </w:p>
    <w:p w14:paraId="3AD425B9" w14:textId="77777777" w:rsidR="00F51797" w:rsidRPr="007224C3" w:rsidRDefault="00F51797"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Минусов у 105-2 оказалось больше. Главным, конечно, были худшие высотно-скоростные характеристики, причем, не только по сравнению с Як-3, но и с Як-9У с мотором М-105ПФ2, испытанного в НИИ ВВС в марте 1944 года. Тепловые режимы мотоустановки оставляли желать лучшего. Горизонтальный полет на максимальной скорости был возможен в течение 3-4 минут, после чего температура воды и масла выходила за установленные пределы. Летчики не очень одобряли перенос маслорадиаторов практически в кабину – при вынужденной посадке это грозило серьезными ожогами из-за разрыва трубопроводов. Не смотря на простую технику пилотирования 105-2, при резкой даче газа и энергичном подъеме хвоста самолет стремился к правому развороту. Усилия на элероны в полете по-прежнему оставались велики. Летчик имел плохой обзор вперед из-за искажений видимости сферическим козырьком – по заявлениям испытателей, при взгляде сквозь козырек предметы буквально двоились. Отсутствовал аварийный сброс створки фонаря. Качество радиосвязи оценивалось как отвратительное. Девиация магнитного компаса вдвое превышала установленные нормы. Компоновка приборного оборудования сохранилась практически без изменений с самолетов 60-й серии и не соответствовала требованиям на стандартную кабину истребителя, введенным в 1943 году. Несмотря на отсутствие отказов, пользоваться вооружением было неудобно – усилия на гашетках были слишком велики. Для УБС – 14-15 кг, а для пушки ВЯ и того больше – 20- 22 кг. При залповой стрельбе огонь можно было вести только двумя руками. Предохранитель гашеток работал ненадежно. При стрельбе могло произойти самопроизвольное стопорение гашеток, а при энергичном торможении рычаг тормоза заедал гашетки, что приводило к самопроизвольной стрельбе. Был зафиксирован один случай такой стрельбы из пушки очередью в 20 патронов. Выброс гильз пулемета за левый борт не обеспечивал безопасного ведения огня – стреляные гильзы царапали крыло и борт фюзеляжа. Для демонтажа пушки предварительно требовалось снять маслобак, звеньесборник пушки, звеньеотвод, патронный рукав и лючек противопожарной перегородки. При замене мотора снималась вся пушечная установка вместе с лафетом. Заключение к отчету было лаконичным:</w:t>
      </w:r>
    </w:p>
    <w:p w14:paraId="77B7FFD9" w14:textId="77777777" w:rsidR="00F51797" w:rsidRPr="007224C3" w:rsidRDefault="00F51797"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 Модифицированный самолет 105-2 с мотором ВК-105ПФ2 «Дублер» конструкции тов. Горбунова В.П. постройки ОКБ завода № 31 государственные испытания НЕ ВЫДЕРЖАЛ по причине:</w:t>
      </w:r>
    </w:p>
    <w:p w14:paraId="68DF1945" w14:textId="77777777" w:rsidR="00F51797" w:rsidRPr="007224C3" w:rsidRDefault="00F51797"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а) низких летно-технических данных для самолета большой модификации,</w:t>
      </w:r>
    </w:p>
    <w:p w14:paraId="51D96C91" w14:textId="77777777" w:rsidR="00F51797" w:rsidRPr="007224C3" w:rsidRDefault="00F51797"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б) недоведенности винто-моторной группы и вооружения.</w:t>
      </w:r>
    </w:p>
    <w:p w14:paraId="1D26E439" w14:textId="77777777" w:rsidR="00F51797" w:rsidRPr="007224C3" w:rsidRDefault="00F51797"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 Считать нецелесообразной продолжение работы по дальнейшей модификации самолета ЛаГГ-3 с мотором ВК-105ПФ2</w:t>
      </w:r>
    </w:p>
    <w:p w14:paraId="780E279C" w14:textId="77777777" w:rsidR="00F51797" w:rsidRPr="007224C3" w:rsidRDefault="00F51797"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3. Самолет 105-2 с мотором ВК-105ПФ2 «Дублер» подлежит сдаче на завод № 31» (23197).</w:t>
      </w:r>
    </w:p>
    <w:p w14:paraId="521281C2" w14:textId="77777777" w:rsidR="00F51797" w:rsidRPr="007224C3" w:rsidRDefault="00F51797" w:rsidP="007224C3">
      <w:pPr>
        <w:spacing w:after="0" w:line="240" w:lineRule="auto"/>
        <w:jc w:val="both"/>
        <w:rPr>
          <w:rFonts w:ascii="Times New Roman" w:hAnsi="Times New Roman"/>
          <w:color w:val="0070C0"/>
          <w:sz w:val="16"/>
          <w:szCs w:val="16"/>
        </w:rPr>
      </w:pPr>
    </w:p>
    <w:p w14:paraId="1D609CB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июня 1944 Командующий ВВС Красной Армии А.А. Новиков подписал приказ о проведении в 91-го иап (командир подполковник Ковалев) 256-й иад 5-го истребительного авиакорпуса (командир генерал-майор Галунов) 2-й воздушной армии с 20 июля по 2 августа войсковых испытаний истребителя Як-3, совпавших с проведением Львовской наступательной операции.</w:t>
      </w:r>
    </w:p>
    <w:p w14:paraId="1E68F8C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Весной 1944 года личный состав переучился на Як-3 в 8-й запасном авиаполку (зап) в Багай-Баранов- ке и имел в своем составе 41 самолет (почти половина из числа построенных к июню 1944 года) производства завода №292.</w:t>
      </w:r>
    </w:p>
    <w:p w14:paraId="3C1C3A5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Як-3 были укомплектованы двигателями ВК-105ПФ2, пушкой МП-20 и одним пулеметом БС.</w:t>
      </w:r>
    </w:p>
    <w:p w14:paraId="21F6EBD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Перед полком, базировавшимся на травяных аэродромах Тарнополь и Куровицк, стояла задача завоевания господства в воздухе. К началу боевых действий полк имел 38 исправных самолетов. Остальные машины были поломаны при перебазировании на новые аэродромы, а два из них ввели в строй к середине войсковых испытаний.</w:t>
      </w:r>
    </w:p>
    <w:p w14:paraId="18C2F8A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Полк был полностью укомплектован летным и техническим составом, причем 41% летчиков участвовал в боях впервые. До начала боевых операций летный состав полка имел налет на Як-3 20-25 часов, что считалось хорошей подготовкой.</w:t>
      </w:r>
    </w:p>
    <w:p w14:paraId="0AC97B6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Технический состав ранее эксплуатировал истребители Як-1, Я к-7 Б и Як-9 и имел соответствующий опыт.</w:t>
      </w:r>
    </w:p>
    <w:p w14:paraId="6E8EFCD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время войсковых испытаний полк выполнил 431 боевой самолето-вылет или 83 вылета группами от двух до восьми машин. Получается, что в среднем каждый летчик в день совершал не более одного вылета.</w:t>
      </w:r>
    </w:p>
    <w:p w14:paraId="7E87DF8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период войсковых испытаний, - говорилось в отчете, - встречи с самолетами противника происходили главным образом в случаях, когда Як-3 вызывались с командного пункта. В других случаях, когда &lt;...&gt; Як-3 вылетали на прикрытие наземных войск (или на свободную охоту) встреч с противником не происходило. Это можно было объяснить, с одной стороны, тем, что сразу же в начале операции противнику был нанесен достаточный удар в боях 14 - 15 июля, после которых активность его ВВС сразу сократилась. С другой стороны, применяя методы барражирования, &lt;... &gt; Як-3 могли находиться над объектом прикрытия не более 15-17 минут и при свободной охоте вести очень кратковременное выслеживание из-за малого запаса горючего, что в значительной степени сокращало вероятность встречи с противником".</w:t>
      </w:r>
    </w:p>
    <w:p w14:paraId="3D97739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 числа 83 группо-вылетов по 11 произвели для перехвата противника в районе аэродрома и на свободную охоту, 22 - по вызову командира корпуса для уничтожения самолетов противника над линией фронта и наращивания сил, 35 - для прикрытия наземных войск и четыре - для прикрытия своего аэродрома.</w:t>
      </w:r>
    </w:p>
    <w:p w14:paraId="763A6C8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время испытаний было семь встреч с самолетами противника Ju87, Bfl09 и FW190. В пяти из них имели место воздушные бои, причем в двух случаях - крупные. В итоге было сбито три Ju87, 14 Bfl 09 и шесть FW190, но места их падения и документы, подтверждавшие факт сбитая, в отчете по результатам войсковых испытаний не приведены. При этом два Як-3 не вернулись с задания, у одного было повреждено остекление задней части фонаря, и у трех отмечено попадание в заднее бронестекло. Три самолета получили повреждения от огня зенитной артиллерии и совершили посадки вне аэродрома. Из всех самолетов два восстановили и один списали. Таким образом, наши потери составили пять машин.</w:t>
      </w:r>
    </w:p>
    <w:p w14:paraId="3A63515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Летчики отмечали, что Як-3 на высотах до 5000 метров превосходил Bfl09 и FW190 как на горизонталях (заходил в хвост истребителям противника на втором вираже), так и на вертикалях. Выше самолеты противника не поднимались. Догоняли противника и на пикировании, что раньше считалось невозможным.</w:t>
      </w:r>
    </w:p>
    <w:p w14:paraId="0F35253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"...Як-3, - говорилось в отчете - ввиду ограниченного запаса горючего наиболее целесообразно применять для борьбы с истребительной, а также бомбардировочной авиацией противника, по вызову станции наведения в район появления самолетов противника или по вызову для наращивания сил в воздушном бою.</w:t>
      </w:r>
    </w:p>
    <w:p w14:paraId="04E287C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Выполнение других задач, как то: прикрытие наземных войск путем барражирования, сопровождение бомбардировщиков, ограничивается малым запасом горючего".</w:t>
      </w:r>
    </w:p>
    <w:p w14:paraId="018099D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Воздушный бой 16 июля показал, что Як-3 могли успешно вести бой с численно превосходящим противником. Бой начался, когда десять наших истребителей встретились с восемью Bfl09 и четверкой FW190. Затем силы постепенно наращивались с обеих сторон. Под конец 18 Як-3 противостояли 24 самолетам противника. В итоге 18 "мессершмиттов" и "фокке- ров" остались лежать на нашей земле. Мы же потеряли одну машину, другой "як" получил повреждения.</w:t>
      </w:r>
    </w:p>
    <w:p w14:paraId="3D9B9DA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Лишь два примера. Майор Околелов встретился в бою с Bfl 09 на высоте 2700 метров. Немец, почувствовав опасность, стал уходить пикированием. Наш летчик, преследуя его на полном газу мотора, сократил дистанцию с 700-600 до 50 метров и, находясь на высоте 500 метров, когда пилот "мессершмитта" стал выходить в горизонтальный полет, одной очередью сбил противника.</w:t>
      </w:r>
    </w:p>
    <w:p w14:paraId="15FD19B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тот же день старший лейтенант Чижиков догнал Bfl 09 на горке с высоты 1300 метров, но выпущенная пулеме гно-пушеч- ная очередь прошла мимо. Противник тем временем с переворота перешел в пикирование в надежде оторваться от преследования. Пикируя за неприятелем, Чижиков с дистанции 50 метров сбил его.</w:t>
      </w:r>
    </w:p>
    <w:p w14:paraId="29D0704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Эксплуатация Як-3 не представляла трудностей для технического состава, и переход, например с Як-9 на Як-3, не требовал длительного переучивания.</w:t>
      </w:r>
    </w:p>
    <w:p w14:paraId="3C71064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то же время был выявлен ряд конструктивных и производственных дефектов истребителя. В частности, зафиксировано 13 случаев поломки шасси. Тросов управления рулем поворота хватало лишь на 10- 15 часов налета, после чего их следовало менять. Сиденье пилота с трудом поддавалось регулировке по высоте. Пневмосисте- ма была недостаточно герметичной. Отмечались и другие дефекты, снижавшие боеготовность полка.</w:t>
      </w:r>
    </w:p>
    <w:p w14:paraId="57099BA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Подготовка одиночного самолета и пары к повторному боевому вылету с участием механика, моториста и оружейника (с одним бензозаправщиком на эскадрилью) и полным обеспечением другими техническими средствами занимала 35 - 40 минут, звена (четыре машины) - 35 - 40 минут, а эскадрильи и полка - до часа.</w:t>
      </w:r>
    </w:p>
    <w:p w14:paraId="26A4CCF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Три самолета вышли из строя из-за недоброкачественного проклея обшивки крыла к лонжеронам и нервюрам. Причем на одном из них (№02-08) сорвало обшивку во время воздушного боя при выводе из пикирования после атаки на скорости 580- 600 км/ч по прибору. Обшивку сорвало с обеих консолей крыла площадью по 1,5 м2. Тем не менее летчик смог совершить благополучную посадку на своем аэродроме.</w:t>
      </w:r>
    </w:p>
    <w:p w14:paraId="1B5869F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После осмотра самолетов полка на аэродроме отставание обшивки обнаружилось и на других машинах. Это был первый случай срыва обшивки на Як-3. Тогда же обнаружилось и растрескивание лакокрасочного покрытия на половине самолетов полка.</w:t>
      </w:r>
    </w:p>
    <w:p w14:paraId="29E5E5B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Средняя продолжительность полета на Як-3 с учетом 20% остатка горючего составляла 40-45 минут.</w:t>
      </w:r>
    </w:p>
    <w:p w14:paraId="73AABE8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Отмечалось, что радиостанция PC И-4 на Як-3 работала лучше, чем на Як-1 и Як-9. При этом практическая дальность радиосвязи на высотах 3000 - 4000 метров с наземной радиостанцией РСБ составляла 50 - 60 км. В отдельных случаях она достигала ЮОкм.Связьмеждусамолетамиобеспечива- лась на расстоянии 15-20 км, а в отдельных случаях - 25-30 км. Но при работе автомата регулирования температуры двигателя АРТ-41 создавались сильные помехи, снижавшие слышимость почти в два раза.</w:t>
      </w:r>
    </w:p>
    <w:p w14:paraId="785B1B9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После завершения войсковых испытаний в 91-й иап прибыли Як-3 №03-10, 40- 12, 19-13 и 24-13. Их летные данные оказались хуже, чем у машин, проходивших испытания. Так, максимальная скорость у земли снизилась до 540 км/ч по прибору (вместо 562 км/ч), ухудшились скороподъемность и управляемость. Связано это было главным образом с установкой второго пулемета БС. Негативно сказалась и плохая подгонка зализов крыла и оперения, а также плохая герметизация фюзеляжа (12047).</w:t>
      </w:r>
    </w:p>
    <w:p w14:paraId="5A3EBA6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38140E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июня 1944 Зам. Нач. 7ГУ Алексеев подготовил сводку г-7 № 7804 о ходе испытаний высотных самолетов на 10 и 11 июня 1944 по Як-9 М-105ПД, Ла-5 АШ-82ФН и 2ТК-3, МиГ АМ-39А и 2ТК-2Б (1825).</w:t>
      </w:r>
    </w:p>
    <w:p w14:paraId="00A3CF1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ВЫСОТНЫЙ ИСТРЕБИТЕЛЬ ЯК-9 С ВК-105ПФ И ДВУХСТУПЕНЧАТЫМ НАГНЕТАТЕЛЕМ</w:t>
      </w:r>
    </w:p>
    <w:p w14:paraId="274B56E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передан в ЦАГИ для отработки системы охлаждения воды и масла в аэродинамической трубе.</w:t>
      </w:r>
    </w:p>
    <w:p w14:paraId="1052B23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ВЫСОТНЫЙ ИСТРЕБИТЕЛЬ ЛА-5 С АШ-82ФН и 2ТК-3.</w:t>
      </w:r>
    </w:p>
    <w:p w14:paraId="4F8ADCF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июня нелетная погода</w:t>
      </w:r>
    </w:p>
    <w:p w14:paraId="1D4B41F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июня произведен-полет на спределение потолка на первой скорости нагнетателя с включенными ТК.</w:t>
      </w:r>
    </w:p>
    <w:p w14:paraId="6B2F51B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Достигнута высота 11000 мт по прибору, продолжительность полета - 35 мин.</w:t>
      </w:r>
    </w:p>
    <w:p w14:paraId="115DB16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Полет прекращен из-за течи масла в соединениях мотора и высокой температуры масла на входе (90 гр.)</w:t>
      </w:r>
    </w:p>
    <w:p w14:paraId="526C1FA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высоте 9000 мт наблюдалась тряска мотора из-за плохой работы свечей ВГ-25.</w:t>
      </w:r>
    </w:p>
    <w:p w14:paraId="1908067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высоты 7000 мт включалась система нейтрального газа, что поддерживало давление бензина нормальным.</w:t>
      </w:r>
    </w:p>
    <w:p w14:paraId="63ECDC2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Температура головок цилиндров в полете сохраня</w:t>
      </w:r>
      <w:r w:rsidRPr="007224C3">
        <w:rPr>
          <w:rFonts w:ascii="Times New Roman" w:hAnsi="Times New Roman"/>
          <w:color w:val="000000" w:themeColor="text1"/>
          <w:sz w:val="16"/>
          <w:szCs w:val="16"/>
        </w:rPr>
        <w:softHyphen/>
        <w:t>лась нормальнои.при этом система впрыска воды вклю</w:t>
      </w:r>
      <w:r w:rsidRPr="007224C3">
        <w:rPr>
          <w:rFonts w:ascii="Times New Roman" w:hAnsi="Times New Roman"/>
          <w:color w:val="000000" w:themeColor="text1"/>
          <w:sz w:val="16"/>
          <w:szCs w:val="16"/>
        </w:rPr>
        <w:softHyphen/>
        <w:t>чалась с высоты 3000 мт.</w:t>
      </w:r>
    </w:p>
    <w:p w14:paraId="10C74EC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снижения температуры масла на самолете произ</w:t>
      </w:r>
      <w:r w:rsidRPr="007224C3">
        <w:rPr>
          <w:rFonts w:ascii="Times New Roman" w:hAnsi="Times New Roman"/>
          <w:color w:val="000000" w:themeColor="text1"/>
          <w:sz w:val="16"/>
          <w:szCs w:val="16"/>
        </w:rPr>
        <w:softHyphen/>
        <w:t>водятся работы по установке радиатора с трубкой диа</w:t>
      </w:r>
      <w:r w:rsidRPr="007224C3">
        <w:rPr>
          <w:rFonts w:ascii="Times New Roman" w:hAnsi="Times New Roman"/>
          <w:color w:val="000000" w:themeColor="text1"/>
          <w:sz w:val="16"/>
          <w:szCs w:val="16"/>
        </w:rPr>
        <w:softHyphen/>
        <w:t>метром 4 мм, вместо ранее стоявшего радиатора с труб</w:t>
      </w:r>
      <w:r w:rsidRPr="007224C3">
        <w:rPr>
          <w:rFonts w:ascii="Times New Roman" w:hAnsi="Times New Roman"/>
          <w:color w:val="000000" w:themeColor="text1"/>
          <w:sz w:val="16"/>
          <w:szCs w:val="16"/>
        </w:rPr>
        <w:softHyphen/>
        <w:t>кой 5 мм и устанавливается приспособление для защиты радиатора от попадания масла из замоторного пространства.</w:t>
      </w:r>
    </w:p>
    <w:p w14:paraId="4925735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Полет намечен на 12 июня с.г.</w:t>
      </w:r>
    </w:p>
    <w:p w14:paraId="3CC5DA8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ВЫСОТНЫЙ ИСТРЕБИТЕЛЬ МИГ С АМ-39Б И 2ТК-2Б.</w:t>
      </w:r>
    </w:p>
    <w:p w14:paraId="0D5CEFF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июня с.г. произведен полет на проверку давле</w:t>
      </w:r>
      <w:r w:rsidRPr="007224C3">
        <w:rPr>
          <w:rFonts w:ascii="Times New Roman" w:hAnsi="Times New Roman"/>
          <w:color w:val="000000" w:themeColor="text1"/>
          <w:sz w:val="16"/>
          <w:szCs w:val="16"/>
        </w:rPr>
        <w:softHyphen/>
        <w:t>ния бензина после установки системы нейтрального газа. Продолжительность полета - 35 мин., высота -7000 мт.</w:t>
      </w:r>
    </w:p>
    <w:p w14:paraId="416EB3C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Полет прекращен из-за падения давления бензина, которое началось с высоты 4000 мт.</w:t>
      </w:r>
    </w:p>
    <w:p w14:paraId="4EF43D2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Причиной падения давления бензина, как устано</w:t>
      </w:r>
      <w:r w:rsidRPr="007224C3">
        <w:rPr>
          <w:rFonts w:ascii="Times New Roman" w:hAnsi="Times New Roman"/>
          <w:color w:val="000000" w:themeColor="text1"/>
          <w:sz w:val="16"/>
          <w:szCs w:val="16"/>
        </w:rPr>
        <w:softHyphen/>
        <w:t>вили представители ЛИИ и ЦИАМа, является неудов</w:t>
      </w:r>
      <w:r w:rsidRPr="007224C3">
        <w:rPr>
          <w:rFonts w:ascii="Times New Roman" w:hAnsi="Times New Roman"/>
          <w:color w:val="000000" w:themeColor="text1"/>
          <w:sz w:val="16"/>
          <w:szCs w:val="16"/>
        </w:rPr>
        <w:softHyphen/>
        <w:t>летворительная работа эжекторной помпы № 178.</w:t>
      </w:r>
    </w:p>
    <w:p w14:paraId="0ADAC2C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Принято решение заменить бензопомпу и ввести дополнительный подпор путей включения-добавочного давления сжатым воздуха (1825).</w:t>
      </w:r>
    </w:p>
    <w:p w14:paraId="0570372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0160C3"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78E9E12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F6F2D25" w14:textId="77777777" w:rsidR="00A3754D" w:rsidRPr="007224C3" w:rsidRDefault="00A3754D" w:rsidP="007224C3">
      <w:pPr>
        <w:pStyle w:val="ae"/>
        <w:shd w:val="clear" w:color="auto" w:fill="FFFFFF"/>
        <w:spacing w:before="0" w:after="0"/>
        <w:jc w:val="both"/>
        <w:textAlignment w:val="baseline"/>
        <w:rPr>
          <w:color w:val="000000" w:themeColor="text1"/>
          <w:sz w:val="16"/>
          <w:szCs w:val="16"/>
        </w:rPr>
      </w:pPr>
      <w:r w:rsidRPr="007224C3">
        <w:rPr>
          <w:color w:val="000000" w:themeColor="text1"/>
          <w:sz w:val="16"/>
          <w:szCs w:val="16"/>
        </w:rPr>
        <w:t>12 июня 1944 в адрес Малышева было направлено письмо от маршала Федоренко, в котором он предлагал доработать проект танка ИС-6 по прилагавшимся к письму тактико-техническим требованиям. Как раз к этим тактико-техническим требованиям возникла масса вопросов. В ГБТУ КА идеалом тяжёлого танка нового поколения была машина с боевой массой 50-55 т, корпус и башня которой не пробивались бы в лоб 105-мм пушкой с начальной скоростью снаряда 1200 м/с. Такой пушки не было ни в одном немецком танке или самоходке, но в ГАБТУ решили действовать на опережение, и это только начало. 105-мм пушка с начальной скоростью 1000 м/с не должна была пробивать новый танк в борта. Также в танк устанавливалась 122-мм пушка с начальной скоростью 1000-1100 м/с и скорострельностью 4-6 выстрелов в минуту. Максимальная скорость машины оценивалась в 40 км/ч, а средняя — в 24 км/ч. В качестве силовой установки предлагался двигатель с мощностью 1000 л.с., который работал в спарке с электромеханической трансмиссией.</w:t>
      </w:r>
    </w:p>
    <w:p w14:paraId="2723C314" w14:textId="77777777" w:rsidR="00A3754D" w:rsidRPr="007224C3" w:rsidRDefault="00A3754D" w:rsidP="007224C3">
      <w:pPr>
        <w:pStyle w:val="ae"/>
        <w:shd w:val="clear" w:color="auto" w:fill="FFFFFF"/>
        <w:spacing w:before="0" w:after="0"/>
        <w:jc w:val="both"/>
        <w:textAlignment w:val="baseline"/>
        <w:rPr>
          <w:color w:val="000000" w:themeColor="text1"/>
          <w:sz w:val="16"/>
          <w:szCs w:val="16"/>
        </w:rPr>
      </w:pPr>
      <w:r w:rsidRPr="007224C3">
        <w:rPr>
          <w:color w:val="000000" w:themeColor="text1"/>
          <w:sz w:val="16"/>
          <w:szCs w:val="16"/>
        </w:rPr>
        <w:t>В НКТП подсчитали желания «танкистов» по броне, выдав неоднозначный результат. Исходя из того, что хотели военные, и из углов наклона листов корпуса и башни ИС-6, получалось, что толщина лба корпуса вырастала до 130 мм, а бортов — до 170-207 мм. В результате боевая масса танка составила бы 75-80 т. Также в НКТП с недоумением отмечали, что ни столь мощной пушки, ни столь мощного мотора нет даже в проекте. Идею с унитарным заряжанием там также приняли с недоумением — такой выстрел имел бы массу 45 кг, не говоря уже о длине сильно больше метра. Пикировка по данному вопросу шла не один месяц, в итоге ИС-6 всё же удалось отстоять в том виде, как его спроектировали изначально. (19150).</w:t>
      </w:r>
    </w:p>
    <w:p w14:paraId="21FF998E" w14:textId="77777777" w:rsidR="00A3754D" w:rsidRPr="007224C3" w:rsidRDefault="00A3754D" w:rsidP="007224C3">
      <w:pPr>
        <w:pStyle w:val="ae"/>
        <w:shd w:val="clear" w:color="auto" w:fill="FFFFFF"/>
        <w:spacing w:before="0" w:after="0"/>
        <w:jc w:val="both"/>
        <w:textAlignment w:val="baseline"/>
        <w:rPr>
          <w:color w:val="000000" w:themeColor="text1"/>
          <w:sz w:val="16"/>
          <w:szCs w:val="16"/>
        </w:rPr>
      </w:pPr>
    </w:p>
    <w:p w14:paraId="65B29468"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июня 1944 года вышел приказ № 280с НКВ</w:t>
      </w:r>
    </w:p>
    <w:p w14:paraId="0EF43FFD"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соответствии с распоряжением СНК за № 11504рс от 27 мая 1944 года:</w:t>
      </w:r>
    </w:p>
    <w:p w14:paraId="4B477718"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Организовать в Ленинграде филиал Центрального артиллерийского КБ НКВ (Л.Ф. ЦАКБ НКВ), возложив на него конструирование и научно-исследовательские работы по морской и береговой артиллерии (6423, 33).</w:t>
      </w:r>
    </w:p>
    <w:p w14:paraId="0FB0B7AD"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983272A"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июня 1944 вышло Постановление ГКО № 6036 Об обеспечении буксирными средствами перевода крейсера "Каганович" из Комсомольска во Владивосток. (7240, 112).</w:t>
      </w:r>
    </w:p>
    <w:p w14:paraId="07823C65"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A53A2C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июня 1944 вышло Распоряжение ГКО № 6037. Об освобождении Главвоенпромстроя от изготовления и ремонта оборудования для Доргомиловского завода НКХП. РГАНИР, Фонд ГКО, д. 263, лл. 113 (11012).</w:t>
      </w:r>
    </w:p>
    <w:p w14:paraId="65981C4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780EEC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июня 1944 вышло Распоряжение ГКО № 6038. О поставках для НКСП 30 комплектов танковых башен Т-34 сверх плана. РГАНИР, Фонд ГКО, д. 263, лл. 114 (11012).</w:t>
      </w:r>
    </w:p>
    <w:p w14:paraId="4854801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CC1BBC1"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июня 1944 вышло Распоряжение ГКО № 6039 [О мерах по электрификации участка Москва - Нахабино Калининской ж.д.] (7240, 115-116,117-120).</w:t>
      </w:r>
    </w:p>
    <w:p w14:paraId="5F4CC210"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EBDCFD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июня 1944 вышло Распоряжение ГКО № 6040. О поставке НКО 152 мм снарядов и производстве корпусов для них в июне 1944 г. РГАНИР, Фонд ГКО, д. 263, лл. 121-123,124-126 (11012).</w:t>
      </w:r>
    </w:p>
    <w:p w14:paraId="72DAE70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2DF0BA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июня 1944 Начат аварийно-боевой ремонт БМО (бортовой номер 518) (10671).</w:t>
      </w:r>
    </w:p>
    <w:p w14:paraId="51CE0FF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946F621"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625D3EC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E3F577A" w14:textId="77777777" w:rsidR="004421A7" w:rsidRPr="007224C3" w:rsidRDefault="004421A7"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12 июня</w:t>
      </w:r>
      <w:r w:rsidRPr="007224C3">
        <w:rPr>
          <w:rFonts w:ascii="Times New Roman" w:hAnsi="Times New Roman"/>
          <w:color w:val="000000" w:themeColor="text1"/>
          <w:sz w:val="16"/>
          <w:szCs w:val="16"/>
        </w:rPr>
        <w:t xml:space="preserve"> в 1944 году оперативная сводка Совинформбюро:</w:t>
      </w:r>
    </w:p>
    <w:p w14:paraId="4F0BB9B6" w14:textId="77777777" w:rsidR="004421A7" w:rsidRPr="007224C3" w:rsidRDefault="004421A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12 июня на Карельском перешейке севернее города Ленинграда наши войска, преодолевая сопротивление и инженерные заграждения противника на лесных дорогах и межозёрных дефиле, продолжали вести наступательные бои, в ходе которых овладели важными узлами обороны финнов Кивеннапа, Райвола, а также заняли более 30 других населённых пунктов и среди них Термолово, Хартонен, Мултала, Тирттула, Икола, Тюрисевя, Ваммелсу и железнодорожные станции Тюрисевя, Райвола.</w:t>
      </w:r>
    </w:p>
    <w:p w14:paraId="0FE06585" w14:textId="77777777" w:rsidR="004421A7" w:rsidRPr="007224C3" w:rsidRDefault="004421A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 без перемен.</w:t>
      </w:r>
    </w:p>
    <w:p w14:paraId="2EA35019" w14:textId="77777777" w:rsidR="004421A7" w:rsidRPr="007224C3" w:rsidRDefault="004421A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11 июня на всех фронтах в воздушных боях и огнём зенитной артиллерии: сбито 20 самолётов противника.</w:t>
      </w:r>
    </w:p>
    <w:p w14:paraId="4A448C13" w14:textId="77777777" w:rsidR="004421A7" w:rsidRPr="007224C3" w:rsidRDefault="004421A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Карельском перешейке, севернее Ленинграда, наши войска продолжали наступление. Противник спешно подводит свежие резервы и, опираясь на многочисленные долговременные оборонительные сооружения, оказывает упорное сопротивление. Пересечённая лесистая местность, болота и многочисленные озёра представляют собой чрезвычайно удобный для обороны плацдарм. Советская пехота и танки, преодолевая различные преграды, успешно продвигаются вперёд, громя и уничтожая вражеские войска. В результате ожесточённых боёв наши войска сегодня овладели важными узлами обороны финнов Кивеннапа и Райвола и заняли свыше 30 других населённых пунктов. Советские артиллеристы непрерывно поддерживают своим огнём пехоту и танки. Н-ский гвардейский самоходный артиллерийский полк за день разбил 34 дзота, уничтожил 28 орудий, 30 пулемётных точек и истребил до батальона белофиннов. Паши лётчики разрушали коммуникации противника и наносили удары по его подходящим резервам.</w:t>
      </w:r>
    </w:p>
    <w:p w14:paraId="42BE8932" w14:textId="77777777" w:rsidR="004421A7" w:rsidRPr="007224C3" w:rsidRDefault="004421A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Советские воины сражаются с беззаветной храбростью и мужеством. Гвардии красноармеец т. Дмуха первым ворвался в траншеи противника, уничтожил трёх финнов, а одного взял в плен. Разведчики гвардии красноармейцы тт. Примак и Артёмов гранатами уничтожили несколько вражеских солдат и взяли в плен пять финнов, в том числе одного финского офицера. Группа бойцов во главе с сержантом т. Горбатневым штурмом овладела железобетонным дотом и захватила в плен 11 финских солдат.</w:t>
      </w:r>
    </w:p>
    <w:p w14:paraId="22A22A44" w14:textId="77777777" w:rsidR="004421A7" w:rsidRPr="007224C3" w:rsidRDefault="004421A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Северо-западнее Новосокольников рота советской пехоты в целях разведки внезапно атаковала противника. Преодолевая ожесточённое сопротивление немцев, наши бойцы выбили их из траншей. Гитлеровцы пытались восстановить положение и предприняли одну за другой несколько контратак. Пехотный батальон немцев, усиленный танками, не сумел потеснить нашу роту. Советские бойцы отбили все атаки противника и прочно удерживают занятый рубеж. За день уничтожено 200 гитлеровцев. Захвачено у немцев 8 пулемётов, 40 автоматов, 60 винтовок и радиостанция. Взято в плен 10 немцев.</w:t>
      </w:r>
    </w:p>
    <w:p w14:paraId="423C4A25" w14:textId="77777777" w:rsidR="004421A7" w:rsidRPr="007224C3" w:rsidRDefault="004421A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Севернее города Яссы подразделения противника атаковали позиции Н-ской части. Советские бойцы не подпустили немцев к своим окопам. Метким огнём и штыковым ударом они отбросили их на исходный рубеж. На поле боя осталось до-100 вражеских трупов. На другом участке артиллеристы, которыми командует т. Романенко, подбили танк, уничтожили 3 орудия и 7 пулемётов противника.</w:t>
      </w:r>
    </w:p>
    <w:p w14:paraId="1DF5464F" w14:textId="77777777" w:rsidR="004421A7" w:rsidRPr="007224C3" w:rsidRDefault="004421A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Несколько могилёвских партизанских отрядов совершили налёт на гарнизон, противника, расположенный в крупном населённом пункте. В результате стремительной атаки партизаны разгромили запасный учебный батальон 134 немецкой, пехотной дивизии. Убито более 200 и взято в плен 25 гитлеровцев. Партизанский отряд, действующий в Белостокской области, напал на немцев, грабивших мирных жителей. В ожесточённой схватке советские патриоты уничтожили 60 бандитов-эсэсовцев, отбили 80 голов скота и 10 повозок с награбленным немцами добром. Имущество и скот возвращены населению.</w:t>
      </w:r>
    </w:p>
    <w:p w14:paraId="65970882" w14:textId="77777777" w:rsidR="004421A7" w:rsidRPr="007224C3" w:rsidRDefault="004421A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первый день боёв на Карельском участке Ленинградского фронта захвачено в плен много финских солдат и офицеров. Пленный капрал 2 роты 1 полка 10 финской пехотной дивизии Салонен рассказал: «На нашем фронте очень долгое время царило полное затишье. Многие думали, что исход войны решится где-то в других районах, без нашего участия. И вдруг мы снова увидели войну со всеми её ужасами. Русская артиллерия вела бешеный огонь. Кругом творилось что-то ужасное. Если ад существует, то и в нём не может быть хуже того, что мы пережили. Снаряды сравнивали укрепления с землёй, опустошали наши ряды. Целые подразделения были уничтожены. Всё пошло вверх дном. Два отделения нашего взвода бросили оружие и побежали, куда глаза глядят. Мы остались в блиндаже, вывесили белый флаг, дождались прихода русских и сдались в плен». Пленный солдат того же 1 пехотного полка Лаури Юлёнен сообщил: «В самом начале боя первый батальон полка понёс огромные потери, а второй батальон полностью уничтожен».</w:t>
      </w:r>
    </w:p>
    <w:p w14:paraId="6E2E4BD3" w14:textId="77777777" w:rsidR="004421A7" w:rsidRPr="007224C3" w:rsidRDefault="004421A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Перешедший на сторону Красной Армии солдат Юхо М. заявил: «Огонь русской артиллерии был убийственный. Когда все блиндажи были разрушены, мы кое-как добрались до командного пункта роты и укрылись в офицерской землянке. В землянке набилось много солдат. Капитан Юссила приказал нам покинуть землянку, но все остались на месте. Никто не хотел идти на верную гибель. Нечего было и думать, что нам удастся удержать свои позиции. Вскоре русские начали забрасывать землянку гранатами. Я заметил, что вокруг меня больше убитых солдат, чем живых, выскочил из землянки и с поднятыми руками побежал к русским» (14920).</w:t>
      </w:r>
    </w:p>
    <w:p w14:paraId="011FCD60" w14:textId="77777777" w:rsidR="004421A7" w:rsidRPr="007224C3" w:rsidRDefault="004421A7" w:rsidP="007224C3">
      <w:pPr>
        <w:spacing w:after="0" w:line="240" w:lineRule="auto"/>
        <w:jc w:val="both"/>
        <w:rPr>
          <w:rFonts w:ascii="Times New Roman" w:hAnsi="Times New Roman"/>
          <w:color w:val="000000" w:themeColor="text1"/>
          <w:sz w:val="16"/>
          <w:szCs w:val="16"/>
        </w:rPr>
      </w:pPr>
    </w:p>
    <w:p w14:paraId="3C1688C2" w14:textId="77777777" w:rsidR="004421A7" w:rsidRPr="007224C3" w:rsidRDefault="004421A7"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12 июня</w:t>
      </w:r>
      <w:r w:rsidRPr="007224C3">
        <w:rPr>
          <w:rFonts w:ascii="Times New Roman" w:hAnsi="Times New Roman"/>
          <w:color w:val="000000" w:themeColor="text1"/>
          <w:sz w:val="16"/>
          <w:szCs w:val="16"/>
        </w:rPr>
        <w:t xml:space="preserve"> в 1944 году на Карельском перешейке севернее города Ленинграда наши войска, преодолевая сопротивление и инженерные заграждения противника на лесных дорогах и межозерных дефиле, продолжали вести наступательные бои, в ходе которых овладели важными узлами обороны финнов Кивеннапа, Райвола, а также заняли более 30 других населенных пунктов и среди них Термолово, Хартонен, Мултала, Тирттула, Икола, Тюрисевя, Ваммелсу и железнодорожные станции Тюрисевя, Райвола. На других участках фронта - без перемен (14920).</w:t>
      </w:r>
    </w:p>
    <w:p w14:paraId="47894CC0" w14:textId="77777777" w:rsidR="004421A7" w:rsidRPr="007224C3" w:rsidRDefault="004421A7" w:rsidP="007224C3">
      <w:pPr>
        <w:spacing w:after="0" w:line="240" w:lineRule="auto"/>
        <w:jc w:val="both"/>
        <w:rPr>
          <w:rFonts w:ascii="Times New Roman" w:hAnsi="Times New Roman"/>
          <w:color w:val="000000" w:themeColor="text1"/>
          <w:sz w:val="16"/>
          <w:szCs w:val="16"/>
        </w:rPr>
      </w:pPr>
    </w:p>
    <w:p w14:paraId="7952319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июня 1944 в небе Астраханской области появился еще один Ju-290. Сначала с самолета была выброшена группа парашютистов и 20 тюков с грузами, а затем 50-тонный транспортник сел около поселка Яшкуль. Опергруппы НКВД начали захват «Юнкерса». Однако контрразведчики опять сработали плоховато. В результате боя двое пилотов погибли, один застрелился, остальным летчикам удалось убежать! Тем не менее в результате этой авантюры KG200 потеряла сразу два четырехмоторных самолета, и о секретной эскадре стало известно органам НКГБ. Весной 1944 г. немецких агентов выловили на территории Саратовской и Куйбышевской областей. Задачу по формированию бандитских групп для совершения диверсий и актов террора имели участники разведгруппы, обезвреженной в апреле на территории Сенглиеевского района Ульяновской области. В их экипировку входили оружие, взрывчатка и запас продовольствия. Группа была быстро поймана и практических действий совершить не успела. Летом немецкая авиация вела усиленную заброску агентов-парашютистов на территорию Сталинградской области. Органам контрразведки удалось арестовать здесь в общей сложности 50 человек. Все они имели похожие задания: сколачивать бандгруппы из числа уголовных элементов, дезертиров и лиц, уклоняющихся от призыва в Красную Армию (11744).</w:t>
      </w:r>
    </w:p>
    <w:p w14:paraId="614692B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B77CE0C"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6E28927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5873BCB" w14:textId="77777777" w:rsidR="004421A7" w:rsidRPr="007224C3" w:rsidRDefault="004421A7" w:rsidP="007224C3">
      <w:pPr>
        <w:pStyle w:val="book"/>
        <w:ind w:firstLine="0"/>
        <w:jc w:val="both"/>
        <w:rPr>
          <w:color w:val="000000" w:themeColor="text1"/>
          <w:sz w:val="16"/>
          <w:szCs w:val="16"/>
        </w:rPr>
      </w:pPr>
      <w:r w:rsidRPr="007224C3">
        <w:rPr>
          <w:color w:val="000000" w:themeColor="text1"/>
          <w:sz w:val="16"/>
          <w:szCs w:val="16"/>
        </w:rPr>
        <w:t>12—13 июня 1944 г. после первого боевого применения в добавление к фабричной марке Fi-103 самолету-снаряду было дано обозначение ФАУ-1 (V-1, где V (фау) — первая буква слова Vergeltung — расплата, возмездие). Крылатая управляемая ракета (самолет-снаряд) ФАУ-1 была спроектирована для пуска с наземных установок. В ходе войны подавляющее большинство ракет ФАУ-1 было запущено с наземных пусковых установок. Поэтому о ней я расскажу вкратце, сделав упор на применение ракет с воздушного носителя. Самолет-снаряд Fi-103 был создан за очень короткое время в 1942 г. самолетостроительной фирмой «Физелер» в Касселе под руководством Управления германских ВВС и испытан на опытном полигоне Пенемюнде-Вест. Для сохранения в тайне всех работ по его созданию он был условно назван «Киршкерн» и получил кодовое наименование FZG 76. Боевая часть ракеты имела три контактных взрывателя. Ракета была оснащена пульсирующим двигателем Argus 109—014, развивавшим тягу 2,35—3,29 кН. В качестве топлива использовался низкосортный бензин. Маршевая скорость полета около 160 м/с (580 км/час). Дальность стрельбы около 250 км. У нескольких поздних серийных ракет дальность стрельбы была увеличена до 370 км. Ракеты ФАУ-1 оснащались инерциальной системой наведения. Для большей части снарядов курс задавался направлением старта и оставался на все время полета неизменным. Но к концу войны отдельные образцы стали снабжаться устройствами разворота, так что ракеты после старта могли выполнять вираж по программе. Высота полета могла устанавливаться по барометрическому высотомеру в диапазоне 200—3000 м. Для определения расстояния до цели в носовой части объекта размещался приводимый в движение небольшим воздушным винтом счетчик пути («воздушный лаг»). По достижении предварительно рассчитанного расстояния от места старта счетчик пути отключал двигатель, одновременно подавал команду на руль высоты, и ракета переводилась в пикирующий полет. Часть ракет ФАУ-1 снабжалась радиопередающими устройствами, так что с помощью перекрестной пеленгации можно было проследить за траекторией полета и определить место падения снаряда (по прекращению работы передатчика). Точность попадания по проекту 4 x 4 км при дальности полета 250 км. Таким образом, ракета могла эффективно действовать по крупным городам. В июне—августе 1944 г. ракеты ФАУ-1 запускались только по Лондону и только с наземных стационарных катапульт. Для защиты Лондона союзники бросили против нового немецкого оружия огромные силы. Сотни тяжелых бомбардировщиков чуть ли не ежедневно бомбили стартовые позиции ФАУ-1. Только за первую неделю августа на них было сброшено 15 000 тонн бомб. С учетом небольшой дальности стрельбы ФАУ-1 при стрельбе по Лондону ракеты могли пересекать побережье Англии на очень узком участке — менее 100 км. К середине августа в этом секторе англичане сосредоточили 596 тяжелых и 922 легких зенитных орудий, около 600 пусковых установок зенитных неуправляемых ракет, а также 2015 аэростатов заграждения. Вблизи английского побережья над морем непрерывно патрулировали истребители (15 эскадрилий ночных и 6 эскадрилий дневных истребителей). Все эти меры привели к тому, что число сбитых ракет к сентябрю достигло 50 процентов. Наконец, к 5 сентября большая часть немецких стартовых площадок была захвачена союзными войсками, и запуск ракет ФАУ-1 на Англию временно прекратился. В связи с этим немцы переоборудовали несколько десятков бомбардировщиков Не 111, Ju 88, Me 111 и FW 200 «Кондор». Проблема переоборудования самолетов для немцев была облегчена тем, что еще в период испытаний Fi-ЮЗ часть из них запускалась с самолета Me 111 (15225).</w:t>
      </w:r>
    </w:p>
    <w:p w14:paraId="500D9185" w14:textId="77777777" w:rsidR="004421A7" w:rsidRPr="007224C3" w:rsidRDefault="004421A7" w:rsidP="007224C3">
      <w:pPr>
        <w:pStyle w:val="book"/>
        <w:ind w:firstLine="0"/>
        <w:jc w:val="both"/>
        <w:rPr>
          <w:color w:val="000000" w:themeColor="text1"/>
          <w:sz w:val="16"/>
          <w:szCs w:val="16"/>
        </w:rPr>
      </w:pPr>
    </w:p>
    <w:p w14:paraId="33946CB1" w14:textId="77777777" w:rsidR="004421A7" w:rsidRPr="007224C3" w:rsidRDefault="004421A7"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июня 1944 состоялся первый налет V-1 Fi-103 (647,161).</w:t>
      </w:r>
    </w:p>
    <w:p w14:paraId="601A7FD1" w14:textId="77777777" w:rsidR="004421A7" w:rsidRPr="007224C3" w:rsidRDefault="004421A7"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A653A2" w14:textId="77777777" w:rsidR="004421A7" w:rsidRPr="007224C3" w:rsidRDefault="004421A7"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другим данным вечером 12 июня немцы из пушек, расположенных в районе Кале, начали обстреливать Англию через Ла-Манш чтобы отвлечь внимание от пуска V-1. в 4 ночи обстрел прекратился и пошли V-1 - начало Robotblitz (1227,21).</w:t>
      </w:r>
    </w:p>
    <w:p w14:paraId="4EE35E78" w14:textId="77777777" w:rsidR="004421A7" w:rsidRPr="007224C3" w:rsidRDefault="004421A7"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Да, не полет, а начало использования и до 20 июня выпустили 8 тыс. (2247,5).</w:t>
      </w:r>
    </w:p>
    <w:p w14:paraId="03ABFBBD" w14:textId="77777777" w:rsidR="004421A7" w:rsidRPr="007224C3" w:rsidRDefault="004421A7"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E5227A" w14:textId="77777777" w:rsidR="004421A7" w:rsidRPr="007224C3" w:rsidRDefault="004421A7"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Вечером 12 июня 1944 немецкие дальнобойные пушки начали обстрел английской территории через Ла-Манш, вероятно, с целью отвлечь внимание англичан от подготовки к запуску самолетов-снарядов. В 4 часа ночи обстрел прекратился. Через несколько минут над наблюдательным пунктом в Кенте был замечен странный «самолет», издававший резкий свистящий звук и испускавший яркий свет из хвостовой части. Через 18 минут «самолет» с оглушительным взрывом упал на землю в Суонскоуме, близ Грейвсенда. В течение последующего часа еще три таких «самолета» упали в Какфилде, Бетнал-Грине и в Плэтте. В результате взрывов в Бетнал-Грине было убито шесть и ранено девять человек. Кроме того, был разрушен железнодорожный мост.</w:t>
      </w:r>
    </w:p>
    <w:p w14:paraId="2C689197" w14:textId="77777777" w:rsidR="004421A7" w:rsidRPr="007224C3" w:rsidRDefault="004421A7"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Это стало началом так называемого «Роботблица» – войны механизмов.</w:t>
      </w:r>
    </w:p>
    <w:p w14:paraId="42A61DA7" w14:textId="77777777" w:rsidR="004421A7" w:rsidRPr="007224C3" w:rsidRDefault="004421A7"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 ходе этой войны по Англии было выпущено 8070 (по другим источникам – 9017) самолетов-снарядов «V-1». Из этого количества 7488 штук были замечены службой наблюдения, а 2420 (по другим источникам – 2340) достигли района целей. Истребители английской ПВО уничтожили 1847 «V-1», расстреливая их бортовым оружием или сбивая спутным потоком. Зенитная артиллерия уничтожила 1878 самолетов-снарядов. Об аэростаты заграждения разбилось 232 снаряда. В целом было сбито </w:t>
      </w:r>
      <w:r w:rsidRPr="007224C3">
        <w:rPr>
          <w:rFonts w:ascii="Times New Roman" w:hAnsi="Times New Roman"/>
          <w:color w:val="000000" w:themeColor="text1"/>
          <w:sz w:val="16"/>
          <w:szCs w:val="16"/>
        </w:rPr>
        <w:lastRenderedPageBreak/>
        <w:t>почти 53% всех самолетов-снарядов «V-1», выпущенных по Лондону, и только 32% (по другим источникам – 25,9%) наблюдаемых самолетов-снарядов прорвалось к району целей.</w:t>
      </w:r>
    </w:p>
    <w:p w14:paraId="79CC7AAA" w14:textId="77777777" w:rsidR="004421A7" w:rsidRPr="007224C3" w:rsidRDefault="004421A7"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 даже этим количеством самолетов-снарядов немцы нанесли Англии большой ущерб. Было уничтожено 24 491 жилое здание, 52 293 постройки стали непригодными для жилья. Погибли 5864 человека, 17 197 были тяжело ранены.</w:t>
      </w:r>
    </w:p>
    <w:p w14:paraId="348AB449" w14:textId="77777777" w:rsidR="004421A7" w:rsidRPr="007224C3" w:rsidRDefault="004421A7"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Общие данные о перехваченных самолетах-снарядах не могут дать полного представления о масштабах борьбы, развернувшейся против немецких реактивных снарядов. В течение первого периода «Роботблица» англичане фактически не знали, как защищаться от нового оружия, не было у них и соответствующей организации. Зенитной артиллерии и истребителям приходилось действовать против самолетов-снарядов осторожно, чтобы не мешать друг другу. В конце концов на артиллерию была возложена задача прикрытия внешнего оборонительного пояса, а на истребительную авиацию – внутреннего.</w:t>
      </w:r>
    </w:p>
    <w:p w14:paraId="483316FB" w14:textId="77777777" w:rsidR="004421A7" w:rsidRPr="007224C3" w:rsidRDefault="004421A7"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Последний самолет-снаряд «V-1», запущенный с французской территории, упал на Англию 1 сентября 1944 года. Англо-американские войска, высадившись во Франции, уничтожили установки для запуска ракет (11688).</w:t>
      </w:r>
    </w:p>
    <w:p w14:paraId="6B057971" w14:textId="77777777" w:rsidR="004421A7" w:rsidRPr="007224C3" w:rsidRDefault="004421A7" w:rsidP="007224C3">
      <w:pPr>
        <w:autoSpaceDE w:val="0"/>
        <w:autoSpaceDN w:val="0"/>
        <w:adjustRightInd w:val="0"/>
        <w:spacing w:after="0" w:line="240" w:lineRule="auto"/>
        <w:jc w:val="both"/>
        <w:rPr>
          <w:rFonts w:ascii="Times New Roman" w:hAnsi="Times New Roman"/>
          <w:color w:val="000000" w:themeColor="text1"/>
          <w:sz w:val="16"/>
          <w:szCs w:val="16"/>
        </w:rPr>
      </w:pPr>
    </w:p>
    <w:p w14:paraId="4C10D13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июня 1944 5 плацдармов высадки союзников соединились и всего было высажено 326 тыс. чел. и 54 тыс. транспортных средств (3819).</w:t>
      </w:r>
    </w:p>
    <w:p w14:paraId="3C37443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05B404" w14:textId="77777777" w:rsidR="007133A1" w:rsidRPr="007224C3" w:rsidRDefault="007133A1"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12–13 июня (ночь) 1944 671 британский бомбардировщик совершили налет на линии связи в Амьене, Аррасе, Кане, Камбре и Пуатье, Франция, потеряв 23 самолета. Рейды против Амьена, Арраса и особенно Пуатье являются точными, рейд на Камбре ошибочно поражает город в дополнение к цели, а рейд в Кан - неэффективен. В рейде на Камбре, канадский пилот сотрудник Минарски, Эндрю из Королевской канадской ВВС страдает от фатальных ожогов во время неудачной попытки освободить наводчик их хвоста его Ланкастера после атаки немецкого ночного истребителя Юнкерс Ju 88C и посмертно награжден Крестом Виктории (20373).</w:t>
      </w:r>
    </w:p>
    <w:p w14:paraId="7ED7CED2" w14:textId="77777777" w:rsidR="007133A1" w:rsidRPr="007224C3" w:rsidRDefault="007133A1" w:rsidP="007224C3">
      <w:pPr>
        <w:spacing w:after="0" w:line="240" w:lineRule="auto"/>
        <w:jc w:val="both"/>
        <w:rPr>
          <w:rFonts w:ascii="Times New Roman" w:hAnsi="Times New Roman"/>
          <w:color w:val="0070C0"/>
          <w:sz w:val="16"/>
          <w:szCs w:val="16"/>
        </w:rPr>
      </w:pPr>
    </w:p>
    <w:p w14:paraId="38265888" w14:textId="77777777" w:rsidR="007133A1" w:rsidRPr="007224C3" w:rsidRDefault="007133A1"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12–13 июня (ночь) 1944 Командование бомбардировщиков Королевских ВВС совершает свой первый налет в рамках новой кампании союзников по стратегическим бомбардировкам нефтяной промышленности Германии, когда 303 бомбардировщика наносят удар по заводу синтетического горючего Nordstern в Гельзенкирхене, Германия, в результате чего производство на заводе прекращается на несколько недель. Семнадцать бомбардировщиков (6,1 процента сил) потеряны (29373).</w:t>
      </w:r>
    </w:p>
    <w:p w14:paraId="321F3831" w14:textId="77777777" w:rsidR="007133A1" w:rsidRPr="007224C3" w:rsidRDefault="007133A1" w:rsidP="007224C3">
      <w:pPr>
        <w:spacing w:after="0" w:line="240" w:lineRule="auto"/>
        <w:jc w:val="both"/>
        <w:rPr>
          <w:rFonts w:ascii="Times New Roman" w:hAnsi="Times New Roman"/>
          <w:color w:val="0070C0"/>
          <w:sz w:val="16"/>
          <w:szCs w:val="16"/>
        </w:rPr>
      </w:pPr>
    </w:p>
    <w:p w14:paraId="4A852B1C" w14:textId="77777777" w:rsidR="007133A1" w:rsidRPr="007224C3" w:rsidRDefault="007133A1"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12 июня 1944 японские самолеты повредили американский эсминец в районе Биака. Американские авианосные самолеты из оперативной группы 58 атаковали японский конвой к северо-северо-западу от Сайпана, потопив 10 из 12 торговых судов, торпедный катер, лхльгтка за подводными лодками и несколько рыболовецких судов (20373).</w:t>
      </w:r>
    </w:p>
    <w:p w14:paraId="71D3A4CA" w14:textId="77777777" w:rsidR="007133A1" w:rsidRPr="007224C3" w:rsidRDefault="007133A1" w:rsidP="007224C3">
      <w:pPr>
        <w:spacing w:after="0" w:line="240" w:lineRule="auto"/>
        <w:jc w:val="both"/>
        <w:rPr>
          <w:rFonts w:ascii="Times New Roman" w:hAnsi="Times New Roman"/>
          <w:color w:val="0070C0"/>
          <w:sz w:val="16"/>
          <w:szCs w:val="16"/>
        </w:rPr>
      </w:pPr>
    </w:p>
    <w:p w14:paraId="5F65CE7F" w14:textId="77777777" w:rsidR="007133A1" w:rsidRPr="007224C3" w:rsidRDefault="007133A1"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12 июня 1944 Японская подводная лодка I-10 использует гидросамолет Йокосука E14Y (в отчетности Allied название «Глен»), хранящийся в разобранном виде в контейнерах на ее палубе. Он ничего не находит и брошен после крушения при возвращении на I-10 (20373).</w:t>
      </w:r>
    </w:p>
    <w:p w14:paraId="5FAFB461" w14:textId="77777777" w:rsidR="007133A1" w:rsidRPr="007224C3" w:rsidRDefault="007133A1" w:rsidP="007224C3">
      <w:pPr>
        <w:spacing w:after="0" w:line="240" w:lineRule="auto"/>
        <w:jc w:val="both"/>
        <w:rPr>
          <w:rFonts w:ascii="Times New Roman" w:hAnsi="Times New Roman"/>
          <w:color w:val="0070C0"/>
          <w:sz w:val="16"/>
          <w:szCs w:val="16"/>
        </w:rPr>
      </w:pPr>
    </w:p>
    <w:p w14:paraId="72A7C9B2" w14:textId="77777777" w:rsidR="007133A1" w:rsidRPr="007224C3" w:rsidRDefault="007133A1"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12 июня 1944 Англия страдает от первых атак летающих бомб V-1 (20373).</w:t>
      </w:r>
    </w:p>
    <w:p w14:paraId="29F1B76A" w14:textId="77777777" w:rsidR="007133A1" w:rsidRPr="007224C3" w:rsidRDefault="007133A1" w:rsidP="007224C3">
      <w:pPr>
        <w:spacing w:after="0" w:line="240" w:lineRule="auto"/>
        <w:jc w:val="both"/>
        <w:rPr>
          <w:rFonts w:ascii="Times New Roman" w:hAnsi="Times New Roman"/>
          <w:color w:val="0070C0"/>
          <w:sz w:val="16"/>
          <w:szCs w:val="16"/>
        </w:rPr>
      </w:pPr>
    </w:p>
    <w:p w14:paraId="391619D3" w14:textId="77777777" w:rsidR="007133A1" w:rsidRPr="007224C3" w:rsidRDefault="007133A1"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12 июня 1944 немецкий генерал Артиллерии Эрих Маркс, командующий LXXXIV корпусом немецкой армии , смертельно ранен в результате атаки истребителей-бомбардировщиков союзников во Франции. Он умирает позже в тот же день (20373).</w:t>
      </w:r>
    </w:p>
    <w:p w14:paraId="1FE995F6" w14:textId="77777777" w:rsidR="007133A1" w:rsidRPr="007224C3" w:rsidRDefault="007133A1" w:rsidP="007224C3">
      <w:pPr>
        <w:spacing w:after="0" w:line="240" w:lineRule="auto"/>
        <w:jc w:val="both"/>
        <w:rPr>
          <w:rFonts w:ascii="Times New Roman" w:hAnsi="Times New Roman"/>
          <w:color w:val="0070C0"/>
          <w:sz w:val="16"/>
          <w:szCs w:val="16"/>
        </w:rPr>
      </w:pPr>
    </w:p>
    <w:p w14:paraId="5F2ABDD4" w14:textId="77777777" w:rsidR="007133A1" w:rsidRPr="007224C3" w:rsidRDefault="007133A1"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12–13 июня 1944 самолеты вианосной оперативной группы 58 атаковали Гуам, Сайпан и Тиниан, уничтожив там почти все японские самолеты, потопив вспомогательное военно-морское судно и целую флотилию сампанов и повредив грузовой корабль (20373).</w:t>
      </w:r>
    </w:p>
    <w:p w14:paraId="05C16874" w14:textId="77777777" w:rsidR="007133A1" w:rsidRPr="007224C3" w:rsidRDefault="007133A1" w:rsidP="007224C3">
      <w:pPr>
        <w:spacing w:after="0" w:line="240" w:lineRule="auto"/>
        <w:jc w:val="both"/>
        <w:rPr>
          <w:rFonts w:ascii="Times New Roman" w:hAnsi="Times New Roman"/>
          <w:color w:val="0070C0"/>
          <w:sz w:val="16"/>
          <w:szCs w:val="16"/>
        </w:rPr>
      </w:pPr>
    </w:p>
    <w:p w14:paraId="2F40908D"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июня 1944 лидер коммунистов Китая Мао Цзедун неожиданно заявил о своей поддержки правительства Чан Кайши в борьбе против Японии (4962).</w:t>
      </w:r>
    </w:p>
    <w:p w14:paraId="5AF64F42"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64B6F3E" w14:textId="77777777" w:rsidR="004421A7" w:rsidRPr="007224C3" w:rsidRDefault="004421A7"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12 июня</w:t>
      </w:r>
      <w:r w:rsidRPr="007224C3">
        <w:rPr>
          <w:rFonts w:ascii="Times New Roman" w:hAnsi="Times New Roman"/>
          <w:color w:val="000000" w:themeColor="text1"/>
          <w:sz w:val="16"/>
          <w:szCs w:val="16"/>
        </w:rPr>
        <w:t xml:space="preserve"> в 1944 году лидер коммунистов Китая Мао Цзедун неожиданно заявил о своей поддержки правительства Чан Кайши в борьбе против Японии (14920).</w:t>
      </w:r>
    </w:p>
    <w:p w14:paraId="06F77651" w14:textId="77777777" w:rsidR="004421A7" w:rsidRPr="007224C3" w:rsidRDefault="004421A7" w:rsidP="007224C3">
      <w:pPr>
        <w:spacing w:after="0" w:line="240" w:lineRule="auto"/>
        <w:jc w:val="both"/>
        <w:rPr>
          <w:rFonts w:ascii="Times New Roman" w:hAnsi="Times New Roman"/>
          <w:color w:val="000000" w:themeColor="text1"/>
          <w:sz w:val="16"/>
          <w:szCs w:val="16"/>
        </w:rPr>
      </w:pPr>
    </w:p>
    <w:p w14:paraId="5E82BE4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июня 1944 И-16 отбили от японцев американскую Вентуру и посадили ее на свой аэродром (1808,42).</w:t>
      </w:r>
    </w:p>
    <w:p w14:paraId="58CA236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BDD59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June 12 (13 - 2100) 1944 In the first deployment of a guided missile unit into a combat theater, elements of Special Task Air Group 1 arrived in the Russell Islands in the South Pacific (1090).</w:t>
      </w:r>
    </w:p>
    <w:p w14:paraId="56B7657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4BC196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12-13 июня 1944 американцы впервые применили управляемые ракеты (1090).</w:t>
      </w:r>
    </w:p>
    <w:p w14:paraId="4F27BE2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B7361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June 12th, 1944: The five Allied beachheads in Normandy link up together; thus far, 326,000 men and 54,000 vehicles have been landed (3819).</w:t>
      </w:r>
    </w:p>
    <w:p w14:paraId="09A3BCB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98CA66E"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53D9A8E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031385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июня 1944 года Сандлер писал письмо N Н-10/2881 зам. начальника 10 гл. управления НКАП Вахтель.</w:t>
      </w:r>
    </w:p>
    <w:p w14:paraId="5B4BA26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Распоряжением СНК N 11058рс от 20 мая 1944 года разрешено списать с балансов заводов NN 18, 39, 126 ценности, потерявшие производственное значение всего на сумму - руб. 6240591-07, в т.ч.:</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7780"/>
      </w:tblGrid>
      <w:tr w:rsidR="005106D0" w:rsidRPr="007224C3" w14:paraId="6FA2EB80" w14:textId="77777777">
        <w:tc>
          <w:tcPr>
            <w:tcW w:w="2818" w:type="dxa"/>
          </w:tcPr>
          <w:p w14:paraId="7FA1E46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заводу N 18</w:t>
            </w:r>
          </w:p>
        </w:tc>
        <w:tc>
          <w:tcPr>
            <w:tcW w:w="7780" w:type="dxa"/>
          </w:tcPr>
          <w:p w14:paraId="00C3B92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Лыжи к самолету ИЛ-2 руб. 41381359</w:t>
            </w:r>
          </w:p>
        </w:tc>
      </w:tr>
      <w:tr w:rsidR="005106D0" w:rsidRPr="007224C3" w14:paraId="0F18C6E4" w14:textId="77777777">
        <w:tc>
          <w:tcPr>
            <w:tcW w:w="2818" w:type="dxa"/>
          </w:tcPr>
          <w:p w14:paraId="583181A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N 39</w:t>
            </w:r>
          </w:p>
        </w:tc>
        <w:tc>
          <w:tcPr>
            <w:tcW w:w="7780" w:type="dxa"/>
          </w:tcPr>
          <w:p w14:paraId="7E47446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Заделы и агрегаты деревянного</w:t>
            </w:r>
          </w:p>
        </w:tc>
      </w:tr>
      <w:tr w:rsidR="005106D0" w:rsidRPr="007224C3" w14:paraId="3CA2A351" w14:textId="77777777">
        <w:tc>
          <w:tcPr>
            <w:tcW w:w="2818" w:type="dxa"/>
          </w:tcPr>
          <w:p w14:paraId="4492E2C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780" w:type="dxa"/>
          </w:tcPr>
          <w:p w14:paraId="5212F73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варианта ИЛ-4 руб. 125699871</w:t>
            </w:r>
          </w:p>
        </w:tc>
      </w:tr>
      <w:tr w:rsidR="005106D0" w:rsidRPr="007224C3" w14:paraId="2A26C926" w14:textId="77777777">
        <w:tc>
          <w:tcPr>
            <w:tcW w:w="2818" w:type="dxa"/>
          </w:tcPr>
          <w:p w14:paraId="466025F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N 126</w:t>
            </w:r>
          </w:p>
        </w:tc>
        <w:tc>
          <w:tcPr>
            <w:tcW w:w="7780" w:type="dxa"/>
          </w:tcPr>
          <w:p w14:paraId="719CDF1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Деревянные носки и хвостовые коки</w:t>
            </w:r>
          </w:p>
        </w:tc>
      </w:tr>
      <w:tr w:rsidR="005106D0" w:rsidRPr="007224C3" w14:paraId="4D47309C" w14:textId="77777777">
        <w:tc>
          <w:tcPr>
            <w:tcW w:w="2818" w:type="dxa"/>
          </w:tcPr>
          <w:p w14:paraId="2CFF8A5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780" w:type="dxa"/>
          </w:tcPr>
          <w:p w14:paraId="626B667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фюзеляжа руб. 4111280</w:t>
            </w:r>
          </w:p>
        </w:tc>
      </w:tr>
      <w:tr w:rsidR="005106D0" w:rsidRPr="007224C3" w14:paraId="27C6159F" w14:textId="77777777">
        <w:tc>
          <w:tcPr>
            <w:tcW w:w="2818" w:type="dxa"/>
          </w:tcPr>
          <w:p w14:paraId="3F20A5C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780" w:type="dxa"/>
          </w:tcPr>
          <w:p w14:paraId="62851D6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Инструмент, штампы и приспособления</w:t>
            </w:r>
          </w:p>
        </w:tc>
      </w:tr>
      <w:tr w:rsidR="005106D0" w:rsidRPr="007224C3" w14:paraId="22B18D2E" w14:textId="77777777">
        <w:tc>
          <w:tcPr>
            <w:tcW w:w="2818" w:type="dxa"/>
          </w:tcPr>
          <w:p w14:paraId="75382B6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780" w:type="dxa"/>
          </w:tcPr>
          <w:p w14:paraId="06E5386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руб. 45849877</w:t>
            </w:r>
          </w:p>
        </w:tc>
      </w:tr>
      <w:tr w:rsidR="005106D0" w:rsidRPr="007224C3" w14:paraId="5722FB8C" w14:textId="77777777">
        <w:tc>
          <w:tcPr>
            <w:tcW w:w="2818" w:type="dxa"/>
          </w:tcPr>
          <w:p w14:paraId="1081D55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Итого:</w:t>
            </w:r>
          </w:p>
        </w:tc>
        <w:tc>
          <w:tcPr>
            <w:tcW w:w="7780" w:type="dxa"/>
          </w:tcPr>
          <w:p w14:paraId="5FE108F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руб. 624059107</w:t>
            </w:r>
          </w:p>
        </w:tc>
      </w:tr>
    </w:tbl>
    <w:p w14:paraId="74190CB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Предлагаю оформить указанное списание и проверить дополнительно возможность использования отдельных частей и деталей, списываемых изделий в любой оценке, вплоть до цены лома (1823,41).</w:t>
      </w:r>
    </w:p>
    <w:p w14:paraId="0008AC2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C23E7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июня 1944 тов. Малышев писал письмо тов. Г.М.М. о том, что не хочет заниматься удлиненными бронекорпусами для Ил-2 (1817,248).</w:t>
      </w:r>
    </w:p>
    <w:p w14:paraId="21E27E2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0F2E8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июня 1944 на Ла-5 АШ-82ФН + 2ТК-3 было выполнено 2 полета. Первый до 9500 м и второй до 4500 м. Опять выбрасывало масло (1825).</w:t>
      </w:r>
    </w:p>
    <w:p w14:paraId="2678FB5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4FDE1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июня 1944 на ЛА-5 С АШ-82ФН и 2ТК-3 были произведены два полета: первый полет до выесоты 9500 мт и второй полет до высоты 4500 мт. Как и впредыдущих полетах, имело месте выбрасывание масла из мото</w:t>
      </w:r>
      <w:r w:rsidRPr="007224C3">
        <w:rPr>
          <w:rFonts w:ascii="Times New Roman" w:hAnsi="Times New Roman"/>
          <w:color w:val="000000" w:themeColor="text1"/>
          <w:sz w:val="16"/>
          <w:szCs w:val="16"/>
        </w:rPr>
        <w:softHyphen/>
        <w:t>ра и по этой причине полеты прекращались и задания оставалась невыполненными. Испытаниями и осмотром с участием представителя завода № 19 установлено, что течь масла происходит из суфлера кольцевого уплотнения нагнетателя и что для высотных полетов необходимы моторы специальной сборки, предусмотренные приказом № 382сс от 6 июня с. г.Так как эти моторы могут быть изготовлены заводом № 19 лишь к 1 июля с. г., то для. продолжения летных испытаний по просьбе 7 Главного Управления, Замнаркома тов. КУЗНЕЦОВЫМ В.П. дано указание заводу № 19 о срочной отгрузке тов. ЛАВОЧКИНЫМ двух моторов АШ-82ФН обычной сборки, но с улучшенным дефлектированием цилиндров (1825).</w:t>
      </w:r>
    </w:p>
    <w:p w14:paraId="3508519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2E7535" w14:textId="77777777" w:rsidR="001F06C5" w:rsidRPr="007224C3" w:rsidRDefault="001F06C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июня 1944 г. на Ла-5А произвели два полёта: первый до высоты 9500 м, второй — до 4500 м, и оба пришлось прекратить из-за выброса масла из мотора. Как по</w:t>
      </w:r>
      <w:r w:rsidRPr="007224C3">
        <w:rPr>
          <w:rFonts w:ascii="Times New Roman" w:hAnsi="Times New Roman"/>
          <w:color w:val="000000" w:themeColor="text1"/>
          <w:sz w:val="16"/>
          <w:szCs w:val="16"/>
        </w:rPr>
        <w:softHyphen/>
        <w:t>казали произведенные при участии представителя завода N9 19 испытания и осмотр, течь происходила из кольцевого уплотнения нагнетателя. Сделали однозначный вывод, что для проведения высотных полётов требуются моторы специальной сборки.</w:t>
      </w:r>
    </w:p>
    <w:p w14:paraId="60532EF2" w14:textId="77777777" w:rsidR="001F06C5" w:rsidRPr="007224C3" w:rsidRDefault="001F06C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 как такие моторы завод № 19 мог изготовить лишь к 1 июля, ему дали указание отгрузить заводу № 21 два мотора обычной сборки, но с улучшенным дефлектированием. К 25 июня, после установки на месте пушки дополнительного маслобака, само</w:t>
      </w:r>
      <w:r w:rsidRPr="007224C3">
        <w:rPr>
          <w:rFonts w:ascii="Times New Roman" w:hAnsi="Times New Roman"/>
          <w:color w:val="000000" w:themeColor="text1"/>
          <w:sz w:val="16"/>
          <w:szCs w:val="16"/>
        </w:rPr>
        <w:softHyphen/>
        <w:t xml:space="preserve">лёт снова подготовили к продолжению испытаний. Во время состоявшихся 3-4 июля полётов до высоты 7800 м температура масла на входе поднялась выше допустимого уровня, произошло затяжеление винта, и имел место выброс масла из дренажа, за все время полёта он составил 15 кг. После чего на самолёте установили высотную масло- помпу — агрегат № 180, и произвели отсос </w:t>
      </w:r>
      <w:r w:rsidRPr="007224C3">
        <w:rPr>
          <w:rFonts w:ascii="Times New Roman" w:hAnsi="Times New Roman"/>
          <w:color w:val="000000" w:themeColor="text1"/>
          <w:sz w:val="16"/>
          <w:szCs w:val="16"/>
        </w:rPr>
        <w:lastRenderedPageBreak/>
        <w:t>масла из суфлёрного бачка. Однако в кон</w:t>
      </w:r>
      <w:r w:rsidRPr="007224C3">
        <w:rPr>
          <w:rFonts w:ascii="Times New Roman" w:hAnsi="Times New Roman"/>
          <w:color w:val="000000" w:themeColor="text1"/>
          <w:sz w:val="16"/>
          <w:szCs w:val="16"/>
        </w:rPr>
        <w:softHyphen/>
        <w:t>трольном полёте 8 июля при наборе высоты 5000 м температура на входе снова поднялась выше допустимых пределов (87°С) и полёт опять пришлось прекратить. При осмотре самолёта на земле снова обнаружили выброс масла. 11 июля 1944 г. Ла-5А перегнали в Москву на завод № 81. По заключению представителя завода № 19, из-за попадания масла в нагнетатель мотора по причине дефектов маслоуплотнений валика нагнетателя, к дальнейшим полётам самолёт признали непригодным.</w:t>
      </w:r>
    </w:p>
    <w:p w14:paraId="723CD8B2" w14:textId="77777777" w:rsidR="001F06C5" w:rsidRPr="007224C3" w:rsidRDefault="001F06C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Новую винтомоторную группу на Ла-5А смонтировали только в 20-х числах августа, заодно в соответствии с рекомендациями ЦАГИ произвели доводки систем охлаждения. 12 сентября состоялся контрольный полёт, мотор снова работал с перебоями из-за не</w:t>
      </w:r>
      <w:r w:rsidRPr="007224C3">
        <w:rPr>
          <w:rFonts w:ascii="Times New Roman" w:hAnsi="Times New Roman"/>
          <w:color w:val="000000" w:themeColor="text1"/>
          <w:sz w:val="16"/>
          <w:szCs w:val="16"/>
        </w:rPr>
        <w:softHyphen/>
        <w:t>поладок регулятора смеси. На следующий день для скорейшей отработки винтомотор</w:t>
      </w:r>
      <w:r w:rsidRPr="007224C3">
        <w:rPr>
          <w:rFonts w:ascii="Times New Roman" w:hAnsi="Times New Roman"/>
          <w:color w:val="000000" w:themeColor="text1"/>
          <w:sz w:val="16"/>
          <w:szCs w:val="16"/>
        </w:rPr>
        <w:softHyphen/>
        <w:t>ной группы на больших высотах при участии сотрудников лаборатории ЛИИ самолёт перегнали на аэродром «Раменское». При перелёте мотор работал «богато», и на сред</w:t>
      </w:r>
      <w:r w:rsidRPr="007224C3">
        <w:rPr>
          <w:rFonts w:ascii="Times New Roman" w:hAnsi="Times New Roman"/>
          <w:color w:val="000000" w:themeColor="text1"/>
          <w:sz w:val="16"/>
          <w:szCs w:val="16"/>
        </w:rPr>
        <w:softHyphen/>
        <w:t>них режимах его трясло. В ЛИИ лётные испытания продолжили. 21 сентября в конт</w:t>
      </w:r>
      <w:r w:rsidRPr="007224C3">
        <w:rPr>
          <w:rFonts w:ascii="Times New Roman" w:hAnsi="Times New Roman"/>
          <w:color w:val="000000" w:themeColor="text1"/>
          <w:sz w:val="16"/>
          <w:szCs w:val="16"/>
        </w:rPr>
        <w:softHyphen/>
        <w:t>рольном полёте достигли высоты 5600 м, дальнейший набор высоты в связи с поломкой датчика оборотов турбокомпрессора пришлось прекратить. 26 сентября полёт до вы</w:t>
      </w:r>
      <w:r w:rsidRPr="007224C3">
        <w:rPr>
          <w:rFonts w:ascii="Times New Roman" w:hAnsi="Times New Roman"/>
          <w:color w:val="000000" w:themeColor="text1"/>
          <w:sz w:val="16"/>
          <w:szCs w:val="16"/>
        </w:rPr>
        <w:softHyphen/>
        <w:t>соты 9000 м прекратили вследствие обледенения фонаря, отказа в работе впрыска во</w:t>
      </w:r>
      <w:r w:rsidRPr="007224C3">
        <w:rPr>
          <w:rFonts w:ascii="Times New Roman" w:hAnsi="Times New Roman"/>
          <w:color w:val="000000" w:themeColor="text1"/>
          <w:sz w:val="16"/>
          <w:szCs w:val="16"/>
        </w:rPr>
        <w:softHyphen/>
        <w:t>ды в цилиндры мотора и высоких температур масла. Следующий полёт состоялся лишь 3 октября. На высоте 10000 м сильная тряска мотора при включении впрыска воды и низкое давление бензина в системе не позволили его продолжить. Ещё один день ушёл на устранение обнаруженных дефектов.</w:t>
      </w:r>
    </w:p>
    <w:p w14:paraId="23521C40" w14:textId="77777777" w:rsidR="001F06C5" w:rsidRPr="007224C3" w:rsidRDefault="001F06C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октября в полёте на замер расхода горючего на высотах 500 м и 4000 м и проверку работы мотора с включённым впрыском воды на Ла-5А, который пилотировал лётчик-ис</w:t>
      </w:r>
      <w:r w:rsidRPr="007224C3">
        <w:rPr>
          <w:rFonts w:ascii="Times New Roman" w:hAnsi="Times New Roman"/>
          <w:color w:val="000000" w:themeColor="text1"/>
          <w:sz w:val="16"/>
          <w:szCs w:val="16"/>
        </w:rPr>
        <w:softHyphen/>
        <w:t>пытатель С.Н. Анохин, на высоте 3400 м при нормальной работе мотора и при нормальных показаниях всех контрольных приборов на выхлопе возникло сильное факеление. Для его устранения лётчик обеднил смесь при помощи рычага остановки мотора. Факе</w:t>
      </w:r>
      <w:r w:rsidRPr="007224C3">
        <w:rPr>
          <w:rFonts w:ascii="Times New Roman" w:hAnsi="Times New Roman"/>
          <w:color w:val="000000" w:themeColor="text1"/>
          <w:sz w:val="16"/>
          <w:szCs w:val="16"/>
        </w:rPr>
        <w:softHyphen/>
        <w:t>ление привело к сильному нагреву бортов фюзеляжа, обгорела обшивка правого борта. Вследствие высокой температуры фанерная оболочка задымилась. Анохину удалось до</w:t>
      </w:r>
      <w:r w:rsidRPr="007224C3">
        <w:rPr>
          <w:rFonts w:ascii="Times New Roman" w:hAnsi="Times New Roman"/>
          <w:color w:val="000000" w:themeColor="text1"/>
          <w:sz w:val="16"/>
          <w:szCs w:val="16"/>
        </w:rPr>
        <w:softHyphen/>
        <w:t>вести загоревшийся самолёт до аэродрома и нормально сесть в пределах ВПП. Горение и обугливание деревянной конструкции фюзеляжа было вызвано перегревом металличе</w:t>
      </w:r>
      <w:r w:rsidRPr="007224C3">
        <w:rPr>
          <w:rFonts w:ascii="Times New Roman" w:hAnsi="Times New Roman"/>
          <w:color w:val="000000" w:themeColor="text1"/>
          <w:sz w:val="16"/>
          <w:szCs w:val="16"/>
        </w:rPr>
        <w:softHyphen/>
        <w:t>ской обшивки факелом, образующимся на выхлопе мотора, теплоизоляция между жаро</w:t>
      </w:r>
      <w:r w:rsidRPr="007224C3">
        <w:rPr>
          <w:rFonts w:ascii="Times New Roman" w:hAnsi="Times New Roman"/>
          <w:color w:val="000000" w:themeColor="text1"/>
          <w:sz w:val="16"/>
          <w:szCs w:val="16"/>
        </w:rPr>
        <w:softHyphen/>
        <w:t>упорными листами обшивки и деревянной конструкцией фюзеляжа оказалась недоста</w:t>
      </w:r>
      <w:r w:rsidRPr="007224C3">
        <w:rPr>
          <w:rFonts w:ascii="Times New Roman" w:hAnsi="Times New Roman"/>
          <w:color w:val="000000" w:themeColor="text1"/>
          <w:sz w:val="16"/>
          <w:szCs w:val="16"/>
        </w:rPr>
        <w:softHyphen/>
        <w:t>точной. Факел же появился в результате ненормального забогащения мотора при увели</w:t>
      </w:r>
      <w:r w:rsidRPr="007224C3">
        <w:rPr>
          <w:rFonts w:ascii="Times New Roman" w:hAnsi="Times New Roman"/>
          <w:color w:val="000000" w:themeColor="text1"/>
          <w:sz w:val="16"/>
          <w:szCs w:val="16"/>
        </w:rPr>
        <w:softHyphen/>
        <w:t>чении высоты полёта, тогда же расход горючего увеличился с 360 кг/ч до 459 кг/ч на вы</w:t>
      </w:r>
      <w:r w:rsidRPr="007224C3">
        <w:rPr>
          <w:rFonts w:ascii="Times New Roman" w:hAnsi="Times New Roman"/>
          <w:color w:val="000000" w:themeColor="text1"/>
          <w:sz w:val="16"/>
          <w:szCs w:val="16"/>
        </w:rPr>
        <w:softHyphen/>
        <w:t>соте 3400 м. Наиболее интенсивный факел образовался из ресивера правого турбо</w:t>
      </w:r>
      <w:r w:rsidRPr="007224C3">
        <w:rPr>
          <w:rFonts w:ascii="Times New Roman" w:hAnsi="Times New Roman"/>
          <w:color w:val="000000" w:themeColor="text1"/>
          <w:sz w:val="16"/>
          <w:szCs w:val="16"/>
        </w:rPr>
        <w:softHyphen/>
        <w:t>компрессора. Аварийная комиссия под председательством М.Д. Романовича, для безо</w:t>
      </w:r>
      <w:r w:rsidRPr="007224C3">
        <w:rPr>
          <w:rFonts w:ascii="Times New Roman" w:hAnsi="Times New Roman"/>
          <w:color w:val="000000" w:themeColor="text1"/>
          <w:sz w:val="16"/>
          <w:szCs w:val="16"/>
        </w:rPr>
        <w:softHyphen/>
        <w:t>пасности проведения дальнейших лётных испытаний, порекомендовала: установить для моторов АШ-82ФН с ТК нормы часового расхода горючего, насосы НБЗ-У проверять на равномерность подачи горючего, на стабильность его расходования по высотам, заводу № 81 улучшить теплоизоляцию деревянных частей фюзеляжа от металлической обшив</w:t>
      </w:r>
      <w:r w:rsidRPr="007224C3">
        <w:rPr>
          <w:rFonts w:ascii="Times New Roman" w:hAnsi="Times New Roman"/>
          <w:color w:val="000000" w:themeColor="text1"/>
          <w:sz w:val="16"/>
          <w:szCs w:val="16"/>
        </w:rPr>
        <w:softHyphen/>
        <w:t>ки, подверженной воздействию выхлопных газов. Самолёт нуждался в ремонте, и его от</w:t>
      </w:r>
      <w:r w:rsidRPr="007224C3">
        <w:rPr>
          <w:rFonts w:ascii="Times New Roman" w:hAnsi="Times New Roman"/>
          <w:color w:val="000000" w:themeColor="text1"/>
          <w:sz w:val="16"/>
          <w:szCs w:val="16"/>
        </w:rPr>
        <w:softHyphen/>
        <w:t>правили на завод № 81. Откуда назад он не вернулся, поскольку программу испытаний признали выполненной, а тему законченной.</w:t>
      </w:r>
    </w:p>
    <w:p w14:paraId="20129932" w14:textId="77777777" w:rsidR="001F06C5" w:rsidRPr="007224C3" w:rsidRDefault="001F06C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обстоятельствах, аналогичных тем, в которых оказался С.Н. Анохин на Ла-5А, 7 февраля разбился И-221 ОКБ-155. Пилотировавший его летчик 12-го ГИАП П.А. Жу</w:t>
      </w:r>
      <w:r w:rsidRPr="007224C3">
        <w:rPr>
          <w:rFonts w:ascii="Times New Roman" w:hAnsi="Times New Roman"/>
          <w:color w:val="000000" w:themeColor="text1"/>
          <w:sz w:val="16"/>
          <w:szCs w:val="16"/>
        </w:rPr>
        <w:softHyphen/>
        <w:t>равлев принял факеление из выхлопных патрубков и дым в кабине за начавшийся по</w:t>
      </w:r>
      <w:r w:rsidRPr="007224C3">
        <w:rPr>
          <w:rFonts w:ascii="Times New Roman" w:hAnsi="Times New Roman"/>
          <w:color w:val="000000" w:themeColor="text1"/>
          <w:sz w:val="16"/>
          <w:szCs w:val="16"/>
        </w:rPr>
        <w:softHyphen/>
        <w:t>жар, и на высоте 9000 м покинул самолёт (15830).</w:t>
      </w:r>
    </w:p>
    <w:p w14:paraId="048BD3C2" w14:textId="77777777" w:rsidR="001F06C5" w:rsidRPr="007224C3" w:rsidRDefault="001F06C5" w:rsidP="007224C3">
      <w:pPr>
        <w:spacing w:after="0" w:line="240" w:lineRule="auto"/>
        <w:jc w:val="both"/>
        <w:rPr>
          <w:rFonts w:ascii="Times New Roman" w:hAnsi="Times New Roman"/>
          <w:color w:val="000000" w:themeColor="text1"/>
          <w:sz w:val="16"/>
          <w:szCs w:val="16"/>
        </w:rPr>
      </w:pPr>
    </w:p>
    <w:p w14:paraId="03475C9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июня 1944 на летном поле завода 301 в Химках состоялась передача 12 самолетов Як-9Л для эскадрильи Москва 130 иад. Машины Як-9Б были изготовлены в Новосибирске на 153 заводе и на 301 были переделаны в Як-9Л. Снимали. Потом перелетели на аэродром в Старой Торопе. В мае 1944 для освоения и войсковых испытаний Як-9Л (люкового или Як-9Б с бомбоотсеком на 4 ФАБ-100) создали 130 иад (п, ГСС Ф.И.Шинкаренко) в составе 168 иап, выведенного из 303 иад, и не имевшего боевого опыта 409 и 909 иап. 168 иап была подарена эскадрилья Москва (3950,38).</w:t>
      </w:r>
    </w:p>
    <w:p w14:paraId="63B8FA8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6F104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июня 1944 года начальник самолетного отдела 7-го гл. управления НКАП Бендерский писал письмо N 1275 в Секретариат наркома Гильзину.</w:t>
      </w:r>
    </w:p>
    <w:p w14:paraId="21D0C72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связи с получением на заводских испытаниях данных по дальности, направляю статкарту самолета Як-9ТД-ВК105ПФ маш. N 2992, исх. N 369, фото N 2900 взамен ранее посланной статкарты N 2409, которую прошу вернуть в 7 гл. управление (1825).</w:t>
      </w:r>
    </w:p>
    <w:p w14:paraId="61757FC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B305B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июня 1944 Зам. Нач. 7ГУ Алексеев подготовил сводку г-7 № 7877 о ходе испытаний высотных самолетов на 12 июня 1944 по Як-9 М-105ПД, Ла-5 АШ-82ФН и 2ТК-3, МиГ АМ-39А и 2ТК-2Б (1825).</w:t>
      </w:r>
    </w:p>
    <w:p w14:paraId="35EF78A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ВЫСОТНЫЙ ИСТРЕБИТЕЛЬ ЯК-9 С ВК-105ПФ И ДВУХСТУПЕНЧАТЫМ НАГНЕТАТЕЛЕМ</w:t>
      </w:r>
    </w:p>
    <w:p w14:paraId="3EF46E9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находится в ЦИГИ. Производилась подготовка самолета к установке в аэродинамическую трубу.</w:t>
      </w:r>
    </w:p>
    <w:p w14:paraId="424475F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ВЫСОТНЫЙ ИСТРЕБИТЕЛЬ ЛА-5 С АШ-82ФН и 2ТК-3.</w:t>
      </w:r>
    </w:p>
    <w:p w14:paraId="576E8B6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Полетов не производилось из-за течи нового маслора-диатора при гонке мотора на земле. Ремонт радиато</w:t>
      </w:r>
      <w:r w:rsidRPr="007224C3">
        <w:rPr>
          <w:rFonts w:ascii="Times New Roman" w:hAnsi="Times New Roman"/>
          <w:color w:val="000000" w:themeColor="text1"/>
          <w:sz w:val="16"/>
          <w:szCs w:val="16"/>
        </w:rPr>
        <w:softHyphen/>
        <w:t>ра производится на заводе № 469 и будет окончен 13 июня.</w:t>
      </w:r>
    </w:p>
    <w:p w14:paraId="46E5CB6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ВЫСОТНЫЙ ИСТРЕБИТЕЛЬ МИГ С АМ-39Б И 2ТК-2Б.</w:t>
      </w:r>
    </w:p>
    <w:p w14:paraId="78B7F21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Полетов не производилось. Проведено совещание по бензосистеме самолета с представителями ЛИИ, завода № 300 и ЦИАМ, на котором принято решение провести отработку бензосистемы самолета с помпой “173” на стенде ЦИАМа. До стендовой отработки на самолете будут временно производиться полеты с бензопомпой БНК-10 и с установкой системы нейтрального газа от выхлопа, что должно обеспечить нормальные полеты до высоты 11000-12000 мт. Очередной полет намечен на 14 июня с.г. (1825).</w:t>
      </w:r>
    </w:p>
    <w:p w14:paraId="43D07DB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7358B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июня 1944 г. состоялся первый полет ТИС-МА, на котором из-за отсутствия АМ-39 поставили АМ-38Ф В ходе испытаний были получены высокие летные данные, подтвердившие правильность предварительных расчетов. После переоснащения моторами АМ-39А ожидалось получение максимальной скорости у земли на форсированном режиме 564 км/ч, а на высоте 8500 м - 677 км/ч. (9032).</w:t>
      </w:r>
    </w:p>
    <w:p w14:paraId="541EC3F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5094A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июня 1944 летчик-испытатель полковник Н.В.Гаврилов поднял машину ТИС (МА) в воздух (10667).</w:t>
      </w:r>
    </w:p>
    <w:p w14:paraId="1D638DC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F43E816" w14:textId="77777777" w:rsidR="00941A2A" w:rsidRPr="007224C3" w:rsidRDefault="00941A2A"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13 июня</w:t>
      </w:r>
      <w:r w:rsidRPr="007224C3">
        <w:rPr>
          <w:rFonts w:ascii="Times New Roman" w:hAnsi="Times New Roman"/>
          <w:color w:val="000000" w:themeColor="text1"/>
          <w:sz w:val="16"/>
          <w:szCs w:val="16"/>
        </w:rPr>
        <w:t xml:space="preserve"> в 1944 году летчик-испытатель полковник Н.В.Гаврилов впервые поднял </w:t>
      </w:r>
      <w:hyperlink r:id="rId173" w:tgtFrame="_blank" w:history="1">
        <w:r w:rsidRPr="007224C3">
          <w:rPr>
            <w:rFonts w:ascii="Times New Roman" w:hAnsi="Times New Roman"/>
            <w:color w:val="000000" w:themeColor="text1"/>
            <w:sz w:val="16"/>
            <w:szCs w:val="16"/>
          </w:rPr>
          <w:t xml:space="preserve">«ТИС» («МА») </w:t>
        </w:r>
      </w:hyperlink>
      <w:r w:rsidRPr="007224C3">
        <w:rPr>
          <w:rFonts w:ascii="Times New Roman" w:hAnsi="Times New Roman"/>
          <w:color w:val="000000" w:themeColor="text1"/>
          <w:sz w:val="16"/>
          <w:szCs w:val="16"/>
        </w:rPr>
        <w:t>в воздух для летных испытаний (14921).</w:t>
      </w:r>
    </w:p>
    <w:p w14:paraId="3B2B5C13" w14:textId="77777777" w:rsidR="00941A2A" w:rsidRPr="007224C3" w:rsidRDefault="00941A2A" w:rsidP="007224C3">
      <w:pPr>
        <w:spacing w:after="0" w:line="240" w:lineRule="auto"/>
        <w:jc w:val="both"/>
        <w:rPr>
          <w:rFonts w:ascii="Times New Roman" w:hAnsi="Times New Roman"/>
          <w:color w:val="000000" w:themeColor="text1"/>
          <w:sz w:val="16"/>
          <w:szCs w:val="16"/>
        </w:rPr>
      </w:pPr>
    </w:p>
    <w:p w14:paraId="097814B4" w14:textId="77777777" w:rsidR="004421A7" w:rsidRPr="007224C3" w:rsidRDefault="004421A7" w:rsidP="007224C3">
      <w:pPr>
        <w:pStyle w:val="27"/>
        <w:shd w:val="clear" w:color="auto" w:fill="auto"/>
        <w:spacing w:after="0" w:line="240" w:lineRule="auto"/>
        <w:ind w:firstLine="0"/>
        <w:rPr>
          <w:rFonts w:ascii="Times New Roman" w:cs="Times New Roman"/>
          <w:color w:val="000000" w:themeColor="text1"/>
          <w:spacing w:val="0"/>
        </w:rPr>
      </w:pPr>
      <w:r w:rsidRPr="007224C3">
        <w:rPr>
          <w:rFonts w:ascii="Times New Roman" w:cs="Times New Roman"/>
          <w:color w:val="000000" w:themeColor="text1"/>
          <w:spacing w:val="0"/>
        </w:rPr>
        <w:t>13 июня 1944 было получено разрешение заместителя наркома А.С. Яковлева на первый вылет ТИС (МА). В этот же день летчик-испытатель Н.В. Гаврилов поднял машину в воздух. Полет про</w:t>
      </w:r>
      <w:r w:rsidRPr="007224C3">
        <w:rPr>
          <w:rFonts w:ascii="Times New Roman" w:cs="Times New Roman"/>
          <w:color w:val="000000" w:themeColor="text1"/>
          <w:spacing w:val="0"/>
        </w:rPr>
        <w:softHyphen/>
        <w:t>шел без происшествий, строго по пла</w:t>
      </w:r>
      <w:r w:rsidRPr="007224C3">
        <w:rPr>
          <w:rFonts w:ascii="Times New Roman" w:cs="Times New Roman"/>
          <w:color w:val="000000" w:themeColor="text1"/>
          <w:spacing w:val="0"/>
        </w:rPr>
        <w:softHyphen/>
        <w:t>ну. В ходе очередного испытательного полета 21 июня не убралась левая стой</w:t>
      </w:r>
      <w:r w:rsidRPr="007224C3">
        <w:rPr>
          <w:rFonts w:ascii="Times New Roman" w:cs="Times New Roman"/>
          <w:color w:val="000000" w:themeColor="text1"/>
          <w:spacing w:val="0"/>
        </w:rPr>
        <w:softHyphen/>
        <w:t>ка шасси. Как выяснилось, сработалась собачка замка шасси. Самолет встал в ремонт. 29 июня при посадке без щит</w:t>
      </w:r>
      <w:r w:rsidRPr="007224C3">
        <w:rPr>
          <w:rFonts w:ascii="Times New Roman" w:cs="Times New Roman"/>
          <w:color w:val="000000" w:themeColor="text1"/>
          <w:spacing w:val="0"/>
        </w:rPr>
        <w:softHyphen/>
        <w:t>ков (Н.В. Гаврилов забыл их выпустить) в конце пробега отказали тормоза, са</w:t>
      </w:r>
      <w:r w:rsidRPr="007224C3">
        <w:rPr>
          <w:rFonts w:ascii="Times New Roman" w:cs="Times New Roman"/>
          <w:color w:val="000000" w:themeColor="text1"/>
          <w:spacing w:val="0"/>
        </w:rPr>
        <w:softHyphen/>
        <w:t>молет выкатился за пределы аэродро</w:t>
      </w:r>
      <w:r w:rsidRPr="007224C3">
        <w:rPr>
          <w:rFonts w:ascii="Times New Roman" w:cs="Times New Roman"/>
          <w:color w:val="000000" w:themeColor="text1"/>
          <w:spacing w:val="0"/>
        </w:rPr>
        <w:softHyphen/>
        <w:t>ма, попал в канаву и подломал левую стойку шасси. Очередной ремонт са</w:t>
      </w:r>
      <w:r w:rsidRPr="007224C3">
        <w:rPr>
          <w:rFonts w:ascii="Times New Roman" w:cs="Times New Roman"/>
          <w:color w:val="000000" w:themeColor="text1"/>
          <w:spacing w:val="0"/>
        </w:rPr>
        <w:softHyphen/>
        <w:t>молета продолжался до 30 июля. При</w:t>
      </w:r>
      <w:r w:rsidRPr="007224C3">
        <w:rPr>
          <w:rFonts w:ascii="Times New Roman" w:cs="Times New Roman"/>
          <w:color w:val="000000" w:themeColor="text1"/>
          <w:spacing w:val="0"/>
        </w:rPr>
        <w:softHyphen/>
        <w:t>шлось ремонтировать фюзеляж, крыло, шасси и оперение. Заменили моторы и винты. Одновременно для увеличения запаса рулей высоты на посадке изме</w:t>
      </w:r>
      <w:r w:rsidRPr="007224C3">
        <w:rPr>
          <w:rFonts w:ascii="Times New Roman" w:cs="Times New Roman"/>
          <w:color w:val="000000" w:themeColor="text1"/>
          <w:spacing w:val="0"/>
        </w:rPr>
        <w:softHyphen/>
        <w:t>нили угол установки стабилизатора на -2°30'. При первых же пробежках после ремонта обнаружилось, что тормоза ко</w:t>
      </w:r>
      <w:r w:rsidRPr="007224C3">
        <w:rPr>
          <w:rFonts w:ascii="Times New Roman" w:cs="Times New Roman"/>
          <w:color w:val="000000" w:themeColor="text1"/>
          <w:spacing w:val="0"/>
        </w:rPr>
        <w:softHyphen/>
        <w:t>лес шасси работают все так же недо</w:t>
      </w:r>
      <w:r w:rsidRPr="007224C3">
        <w:rPr>
          <w:rFonts w:ascii="Times New Roman" w:cs="Times New Roman"/>
          <w:color w:val="000000" w:themeColor="text1"/>
          <w:spacing w:val="0"/>
        </w:rPr>
        <w:softHyphen/>
        <w:t>статочно эффективно</w:t>
      </w:r>
      <w:r w:rsidRPr="007224C3">
        <w:rPr>
          <w:rStyle w:val="aff7"/>
          <w:rFonts w:ascii="Times New Roman" w:eastAsia="Arial Narrow" w:hAnsi="Times New Roman" w:cs="Times New Roman"/>
          <w:i w:val="0"/>
          <w:color w:val="000000" w:themeColor="text1"/>
          <w:spacing w:val="0"/>
        </w:rPr>
        <w:t xml:space="preserve"> и</w:t>
      </w:r>
      <w:r w:rsidRPr="007224C3">
        <w:rPr>
          <w:rFonts w:ascii="Times New Roman" w:cs="Times New Roman"/>
          <w:color w:val="000000" w:themeColor="text1"/>
          <w:spacing w:val="0"/>
        </w:rPr>
        <w:t xml:space="preserve"> посадка на Цен</w:t>
      </w:r>
      <w:r w:rsidRPr="007224C3">
        <w:rPr>
          <w:rFonts w:ascii="Times New Roman" w:cs="Times New Roman"/>
          <w:color w:val="000000" w:themeColor="text1"/>
          <w:spacing w:val="0"/>
        </w:rPr>
        <w:softHyphen/>
        <w:t>тральном аэродроме возможна лишь в одном направлении. По этой причи</w:t>
      </w:r>
      <w:r w:rsidRPr="007224C3">
        <w:rPr>
          <w:rFonts w:ascii="Times New Roman" w:cs="Times New Roman"/>
          <w:color w:val="000000" w:themeColor="text1"/>
          <w:spacing w:val="0"/>
        </w:rPr>
        <w:softHyphen/>
        <w:t>не было принято решение продолжить испытания на аэродроме ЛИИ НКАП в Раменском, куда самолет перелетел 14 августа. Моторы АМ-38ф работали нормально, что позволило к 16 сентября завершить программу заводских летных испытаний (15758).</w:t>
      </w:r>
    </w:p>
    <w:p w14:paraId="5EBF0206" w14:textId="77777777" w:rsidR="004421A7" w:rsidRPr="007224C3" w:rsidRDefault="004421A7" w:rsidP="007224C3">
      <w:pPr>
        <w:spacing w:after="0" w:line="240" w:lineRule="auto"/>
        <w:jc w:val="both"/>
        <w:rPr>
          <w:rFonts w:ascii="Times New Roman" w:hAnsi="Times New Roman"/>
          <w:color w:val="000000" w:themeColor="text1"/>
          <w:sz w:val="16"/>
          <w:szCs w:val="16"/>
        </w:rPr>
      </w:pPr>
    </w:p>
    <w:p w14:paraId="60BD88B4" w14:textId="77777777" w:rsidR="00262E37" w:rsidRPr="007224C3" w:rsidRDefault="00262E37"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13 июня 1944 летчик-ис</w:t>
      </w:r>
      <w:r w:rsidRPr="007224C3">
        <w:rPr>
          <w:color w:val="000000" w:themeColor="text1"/>
          <w:sz w:val="16"/>
          <w:szCs w:val="16"/>
        </w:rPr>
        <w:softHyphen/>
        <w:t>пытатель Н. В. Гаврилов поднял машину ТИС (МА) в воздух. Полет прошел без происшествий, строго по плану. Температуры воды и масла в полете были в преде</w:t>
      </w:r>
      <w:r w:rsidRPr="007224C3">
        <w:rPr>
          <w:color w:val="000000" w:themeColor="text1"/>
          <w:sz w:val="16"/>
          <w:szCs w:val="16"/>
        </w:rPr>
        <w:softHyphen/>
        <w:t>лах нормы. Посадка была выполнена на повышен</w:t>
      </w:r>
      <w:r w:rsidRPr="007224C3">
        <w:rPr>
          <w:color w:val="000000" w:themeColor="text1"/>
          <w:sz w:val="16"/>
          <w:szCs w:val="16"/>
        </w:rPr>
        <w:softHyphen/>
        <w:t>ной скорости примерно 250—270 км/ч. По заявле</w:t>
      </w:r>
      <w:r w:rsidRPr="007224C3">
        <w:rPr>
          <w:color w:val="000000" w:themeColor="text1"/>
          <w:sz w:val="16"/>
          <w:szCs w:val="16"/>
        </w:rPr>
        <w:softHyphen/>
        <w:t>нию летчика, «рулей высоты на посадку хватило, но без запаса. Остальные рули эффективны. По</w:t>
      </w:r>
      <w:r w:rsidRPr="007224C3">
        <w:rPr>
          <w:color w:val="000000" w:themeColor="text1"/>
          <w:sz w:val="16"/>
          <w:szCs w:val="16"/>
        </w:rPr>
        <w:softHyphen/>
        <w:t>перечная устойчивость самолета больше продоль</w:t>
      </w:r>
      <w:r w:rsidRPr="007224C3">
        <w:rPr>
          <w:color w:val="000000" w:themeColor="text1"/>
          <w:sz w:val="16"/>
          <w:szCs w:val="16"/>
        </w:rPr>
        <w:softHyphen/>
        <w:t>ной, что делает самолет неприятным в пилотиро</w:t>
      </w:r>
      <w:r w:rsidRPr="007224C3">
        <w:rPr>
          <w:color w:val="000000" w:themeColor="text1"/>
          <w:sz w:val="16"/>
          <w:szCs w:val="16"/>
        </w:rPr>
        <w:softHyphen/>
        <w:t>вании».</w:t>
      </w:r>
    </w:p>
    <w:p w14:paraId="62324A23" w14:textId="77777777" w:rsidR="00262E37" w:rsidRPr="007224C3" w:rsidRDefault="00262E37"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В ходе очередного испытательного полета 21 июня не убралась левая стойка шасси. Как выяс</w:t>
      </w:r>
      <w:r w:rsidRPr="007224C3">
        <w:rPr>
          <w:color w:val="000000" w:themeColor="text1"/>
          <w:sz w:val="16"/>
          <w:szCs w:val="16"/>
        </w:rPr>
        <w:softHyphen/>
        <w:t>нилось, сработалась собачка замка шасси. Самолет встал в ремонт. 29 июня при посадке без щитков (Н. В. Гаврилов забыл выпустить их) в конце пробе</w:t>
      </w:r>
      <w:r w:rsidRPr="007224C3">
        <w:rPr>
          <w:color w:val="000000" w:themeColor="text1"/>
          <w:sz w:val="16"/>
          <w:szCs w:val="16"/>
        </w:rPr>
        <w:softHyphen/>
        <w:t>га отказали тормоза, самолет выкатился за пределы аэродрома, попал в канаву и подломал левую стой</w:t>
      </w:r>
      <w:r w:rsidRPr="007224C3">
        <w:rPr>
          <w:color w:val="000000" w:themeColor="text1"/>
          <w:sz w:val="16"/>
          <w:szCs w:val="16"/>
        </w:rPr>
        <w:softHyphen/>
        <w:t>ку основного шасси. Очередной ремонт самолета продолжался до 30 июля. Пришлось ремонтиро</w:t>
      </w:r>
      <w:r w:rsidRPr="007224C3">
        <w:rPr>
          <w:color w:val="000000" w:themeColor="text1"/>
          <w:sz w:val="16"/>
          <w:szCs w:val="16"/>
        </w:rPr>
        <w:softHyphen/>
        <w:t>вать фюзеляж, крыло, шасси и оперение. Заменили левую мотораму, оба мотора и винты. Одновремен</w:t>
      </w:r>
      <w:r w:rsidRPr="007224C3">
        <w:rPr>
          <w:color w:val="000000" w:themeColor="text1"/>
          <w:sz w:val="16"/>
          <w:szCs w:val="16"/>
        </w:rPr>
        <w:softHyphen/>
        <w:t>но для увеличения запаса рулей высоты на посадке изменили угол установки стабилизатора на —2°30'. При первых же пробежках после ремонта 30 июля обнаружилось, что тормоза колес шасси работают все так же недостаточно эффективно и посадка на Центральном аэродроме возможна лишь в од</w:t>
      </w:r>
      <w:r w:rsidRPr="007224C3">
        <w:rPr>
          <w:color w:val="000000" w:themeColor="text1"/>
          <w:sz w:val="16"/>
          <w:szCs w:val="16"/>
        </w:rPr>
        <w:softHyphen/>
        <w:t>ном направлении. По этой причине было приня</w:t>
      </w:r>
      <w:r w:rsidRPr="007224C3">
        <w:rPr>
          <w:color w:val="000000" w:themeColor="text1"/>
          <w:sz w:val="16"/>
          <w:szCs w:val="16"/>
        </w:rPr>
        <w:softHyphen/>
        <w:t>то решение продолжить испытания на аэродроме ЛИИ НКАП в Раменском, куда самолет перелетел 14 августа. Моторы АМ-38ф работали нормально, что позволило к 16 сентября в целом завершить программу заводских летных испытаний. К сожа</w:t>
      </w:r>
      <w:r w:rsidRPr="007224C3">
        <w:rPr>
          <w:color w:val="000000" w:themeColor="text1"/>
          <w:sz w:val="16"/>
          <w:szCs w:val="16"/>
        </w:rPr>
        <w:softHyphen/>
        <w:t>лению, в этот день при взлете произошел обрыв ушка крепления цилиндра подъема шасси с обры</w:t>
      </w:r>
      <w:r w:rsidRPr="007224C3">
        <w:rPr>
          <w:color w:val="000000" w:themeColor="text1"/>
          <w:sz w:val="16"/>
          <w:szCs w:val="16"/>
        </w:rPr>
        <w:softHyphen/>
        <w:t>вом воздушной проводки, в результате чего шасси осталось в незафиксированном положении. При посадке на аэродром Раменское шасси сложилось. Помялись нижние капоты моторов и маслорадиато- ры. Погнулись оба винта. Но главное, деформиро</w:t>
      </w:r>
      <w:r w:rsidRPr="007224C3">
        <w:rPr>
          <w:color w:val="000000" w:themeColor="text1"/>
          <w:sz w:val="16"/>
          <w:szCs w:val="16"/>
        </w:rPr>
        <w:softHyphen/>
        <w:t>вался фюзеляж. Самолету требовался длительный ремонт (17500).</w:t>
      </w:r>
    </w:p>
    <w:p w14:paraId="3E531E5F" w14:textId="77777777" w:rsidR="00262E37" w:rsidRPr="007224C3" w:rsidRDefault="00262E37" w:rsidP="007224C3">
      <w:pPr>
        <w:spacing w:after="0" w:line="240" w:lineRule="auto"/>
        <w:jc w:val="both"/>
        <w:rPr>
          <w:rFonts w:ascii="Times New Roman" w:eastAsia="Times New Roman" w:hAnsi="Times New Roman"/>
          <w:color w:val="000000" w:themeColor="text1"/>
          <w:sz w:val="16"/>
          <w:szCs w:val="16"/>
          <w:lang w:eastAsia="ru-RU"/>
        </w:rPr>
      </w:pPr>
    </w:p>
    <w:p w14:paraId="1A064F79" w14:textId="77777777" w:rsidR="00D244E0" w:rsidRPr="007224C3" w:rsidRDefault="00D244E0"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июня 1944 состоялся первый вылет ТИС (МА) (4,200). Л Н.В.Гаврилов (10535,34).</w:t>
      </w:r>
    </w:p>
    <w:p w14:paraId="7F239D42" w14:textId="77777777" w:rsidR="00D244E0" w:rsidRPr="007224C3" w:rsidRDefault="00D244E0"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12F3B6" w14:textId="77777777" w:rsidR="00D564FE" w:rsidRPr="007224C3" w:rsidRDefault="00D564FE"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 xml:space="preserve">13 июня 1944 г. Начальник 7-го ГУ НКАП Шишкин в письме на имя наркома Шахурина сообщил, что предложенный Прокофьевым и Бабулиным проект газогенераторного самолёта не имеет серьёзного практического значения и реализация его нецелесообразна». [РГАЭ Ф. 8044 оп. 1 д. 1196 лл. 164-1652] Практически дословно пересказав содержание Заключения, Шишкин заканчивал своё письмо словами: «Из вышеизложенного следует, что предложенный т.т ПРОКОФЬЕВЫМ и </w:t>
      </w:r>
      <w:r w:rsidRPr="007224C3">
        <w:rPr>
          <w:rFonts w:ascii="Times New Roman" w:hAnsi="Times New Roman"/>
          <w:color w:val="0070C0"/>
          <w:sz w:val="16"/>
          <w:szCs w:val="16"/>
        </w:rPr>
        <w:lastRenderedPageBreak/>
        <w:t>БАБУЛИНЫМ проект газогенераторного самолёта не имеет серьёзного практического значения и реализация его нецелесообразна». Он добавлял к этому: «Для экономии бензина, на данном этапе видимо было бы целесообразнее перевести на газогенераторное топливо весь автотранспорт». Как следует понимать, нарком с такой позицией согласился. Основания для отклонения проекта выглядели достаточно серьёзно, однако авторы идеи попытались оспорить полученный отказ. (23190).</w:t>
      </w:r>
    </w:p>
    <w:p w14:paraId="2F1C82C2" w14:textId="77777777" w:rsidR="00D564FE" w:rsidRPr="007224C3" w:rsidRDefault="00D564FE" w:rsidP="007224C3">
      <w:pPr>
        <w:spacing w:after="0" w:line="240" w:lineRule="auto"/>
        <w:jc w:val="both"/>
        <w:rPr>
          <w:rFonts w:ascii="Times New Roman" w:hAnsi="Times New Roman"/>
          <w:color w:val="0070C0"/>
          <w:sz w:val="16"/>
          <w:szCs w:val="16"/>
        </w:rPr>
      </w:pPr>
    </w:p>
    <w:p w14:paraId="15C0ED7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июня 1944 А.И.Шахурина, А.А.Новикова и В.Н.Челомея вызвали в ГКО и поставили задачу создания беспилотной техники. Вышло решение ГКО. В декабре 1944 десятки снарядов 10Х были испытаны на Пе-8 (ТБ-7), позднее - на Ту-2 и Ту-4. В начале 1945 были готовы применить их (6,197), но ЦК и правительство приняли специальное решение не делать этого, так как стрельба по площадям не требовалась.</w:t>
      </w:r>
    </w:p>
    <w:p w14:paraId="73B6CBF5" w14:textId="77777777" w:rsidR="00D244E0" w:rsidRPr="007224C3" w:rsidRDefault="00D244E0"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7BE174" w14:textId="77777777" w:rsidR="00D244E0" w:rsidRPr="007224C3" w:rsidRDefault="00D244E0"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 ночь с 13 на 14 июня 1944г. Народный комиссар авиационной промышленности СССР А.И.Шахурин, командующий ВВС А.А.Новиков и начальник 6-го отдела Центрального института авиационного моторостроения (ЦИАМ) В.Н.Челомей были вызваны на заседание Государственного комитета обороны. На нем В.Н.Челомей доложил о результатах разработок пульсирующих воздушно-реактивных двигателей (ПуВРД), которые он проводил в ЦИАМ с 1941г. Результатом заседания явилось поручение Наркомату авиационной промышленности СССР приступить к созданию беспилотного самолета-снаряда с ПуВРД (19823).</w:t>
      </w:r>
    </w:p>
    <w:p w14:paraId="0684DA30" w14:textId="77777777" w:rsidR="00D244E0" w:rsidRPr="007224C3" w:rsidRDefault="00D244E0" w:rsidP="007224C3">
      <w:pPr>
        <w:spacing w:after="0" w:line="240" w:lineRule="auto"/>
        <w:jc w:val="both"/>
        <w:rPr>
          <w:rFonts w:ascii="Times New Roman" w:hAnsi="Times New Roman"/>
          <w:color w:val="0070C0"/>
          <w:sz w:val="16"/>
          <w:szCs w:val="16"/>
        </w:rPr>
      </w:pPr>
    </w:p>
    <w:p w14:paraId="2DF42102" w14:textId="77777777" w:rsidR="001F06C5" w:rsidRPr="007224C3" w:rsidRDefault="001F06C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июня 1944 года В. Н. Челомей, который работая начальником 6-го отдела Центрального института авиационного моторостроения — ЦИАМа и занимался разработкой пульсирующего воздушно-реактивного двигателя (ПуВРД), делал доклад на заседании ГКО о результатах своих работ и это послужило принятию решения об его назначении главным конструктором по разработке у нас самолетов-снарядов с ПуВРД, аналогичных применявшимся Германией для обстрела Англии. Немцы успели запустить в сторону Англии более восьми тысяч Фау-1, из которых около двух с половиной тысяч долетели до Лондона и его окрестностей, произведя большие разрушения и вызвав жертвы среди мирного населения (15134).</w:t>
      </w:r>
    </w:p>
    <w:p w14:paraId="09A31FBF" w14:textId="77777777" w:rsidR="001F06C5" w:rsidRPr="007224C3" w:rsidRDefault="001F06C5" w:rsidP="007224C3">
      <w:pPr>
        <w:pStyle w:val="heading3"/>
        <w:spacing w:before="0" w:after="0"/>
        <w:jc w:val="both"/>
        <w:rPr>
          <w:rFonts w:ascii="Times New Roman" w:hAnsi="Times New Roman" w:cs="Times New Roman"/>
          <w:b w:val="0"/>
          <w:color w:val="000000" w:themeColor="text1"/>
          <w:sz w:val="16"/>
          <w:szCs w:val="16"/>
        </w:rPr>
      </w:pPr>
    </w:p>
    <w:p w14:paraId="5205A9F1" w14:textId="77777777" w:rsidR="001F06C5" w:rsidRPr="007224C3" w:rsidRDefault="001F06C5" w:rsidP="007224C3">
      <w:pPr>
        <w:pStyle w:val="36"/>
        <w:shd w:val="clear" w:color="auto" w:fill="auto"/>
        <w:tabs>
          <w:tab w:val="left" w:pos="3098"/>
        </w:tabs>
        <w:spacing w:after="0"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13 июня 1944 года, Шахурина, А.А. Новикова и В.Н. Челомея вызвали в Государ</w:t>
      </w:r>
      <w:r w:rsidRPr="007224C3">
        <w:rPr>
          <w:rFonts w:ascii="Times New Roman" w:cs="Times New Roman"/>
          <w:color w:val="000000" w:themeColor="text1"/>
          <w:spacing w:val="0"/>
          <w:sz w:val="16"/>
          <w:szCs w:val="16"/>
        </w:rPr>
        <w:softHyphen/>
        <w:t>ственный Комитет Обороны и поставили задачу: создать новое оружие — беспилотную боевую технику. Появилось соответствующее решение ГКО. Владимир Николаевич Челомей был назна</w:t>
      </w:r>
      <w:r w:rsidRPr="007224C3">
        <w:rPr>
          <w:rFonts w:ascii="Times New Roman" w:cs="Times New Roman"/>
          <w:color w:val="000000" w:themeColor="text1"/>
          <w:spacing w:val="0"/>
          <w:sz w:val="16"/>
          <w:szCs w:val="16"/>
        </w:rPr>
        <w:softHyphen/>
        <w:t>чен главным конструктором и директором соот</w:t>
      </w:r>
      <w:r w:rsidRPr="007224C3">
        <w:rPr>
          <w:rFonts w:ascii="Times New Roman" w:cs="Times New Roman"/>
          <w:color w:val="000000" w:themeColor="text1"/>
          <w:spacing w:val="0"/>
          <w:sz w:val="16"/>
          <w:szCs w:val="16"/>
        </w:rPr>
        <w:softHyphen/>
        <w:t>ветствующего завода. Уже в декабре 1944 года десятки отечественных самолётов-снарядов были испытаны с помо</w:t>
      </w:r>
      <w:r w:rsidRPr="007224C3">
        <w:rPr>
          <w:rFonts w:ascii="Times New Roman" w:cs="Times New Roman"/>
          <w:color w:val="000000" w:themeColor="text1"/>
          <w:spacing w:val="0"/>
          <w:sz w:val="16"/>
          <w:szCs w:val="16"/>
        </w:rPr>
        <w:softHyphen/>
        <w:t>щью самолётов Пе-8, а позже на самолётах Ту-2 и Ту-4. Эффект их применения оказался чрезвычайно сильным. Если учесть, что при ударе по противнику сохранялись дорогостоящие самолёты и первоклассные лётчики, а также то, что стоимость изготовления подобных снарядов была весьма невелика, и мо</w:t>
      </w:r>
      <w:r w:rsidRPr="007224C3">
        <w:rPr>
          <w:rFonts w:ascii="Times New Roman" w:cs="Times New Roman"/>
          <w:color w:val="000000" w:themeColor="text1"/>
          <w:spacing w:val="0"/>
          <w:sz w:val="16"/>
          <w:szCs w:val="16"/>
        </w:rPr>
        <w:softHyphen/>
        <w:t>жно было наладить их массовое производство, то понятно, какое дополнительное ору</w:t>
      </w:r>
      <w:r w:rsidRPr="007224C3">
        <w:rPr>
          <w:rFonts w:ascii="Times New Roman" w:cs="Times New Roman"/>
          <w:color w:val="000000" w:themeColor="text1"/>
          <w:spacing w:val="0"/>
          <w:sz w:val="16"/>
          <w:szCs w:val="16"/>
        </w:rPr>
        <w:softHyphen/>
        <w:t>жие получали Вооруженные Силы для скорейшего разгрома врага. В начале 1945 года мы были уже готовы применить его.</w:t>
      </w:r>
    </w:p>
    <w:p w14:paraId="3E556E4C" w14:textId="77777777" w:rsidR="001F06C5" w:rsidRPr="007224C3" w:rsidRDefault="001F06C5" w:rsidP="007224C3">
      <w:pPr>
        <w:pStyle w:val="36"/>
        <w:shd w:val="clear" w:color="auto" w:fill="auto"/>
        <w:spacing w:after="0"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Но ЦК ВКП(б), Советское правительство приняли решение отказаться от применения этого оружия. Не менее сильное и, пожалуй, более эффективное, чем у врага, оружие у нас было, и гитлеровцы знали о нем. Но мы не стали уподобляться фашистским варва</w:t>
      </w:r>
      <w:r w:rsidRPr="007224C3">
        <w:rPr>
          <w:rFonts w:ascii="Times New Roman" w:cs="Times New Roman"/>
          <w:color w:val="000000" w:themeColor="text1"/>
          <w:spacing w:val="0"/>
          <w:sz w:val="16"/>
          <w:szCs w:val="16"/>
        </w:rPr>
        <w:softHyphen/>
        <w:t>рам, «воевавшим» с помощью своих ФАУ с мирными жителями Британских островов. Ведь наибольший эффект приносило применение самолётов-снарядов по городам, где было много мирного населения. А советский народ сражался только с гитлеровской ар</w:t>
      </w:r>
      <w:r w:rsidRPr="007224C3">
        <w:rPr>
          <w:rFonts w:ascii="Times New Roman" w:cs="Times New Roman"/>
          <w:color w:val="000000" w:themeColor="text1"/>
          <w:spacing w:val="0"/>
          <w:sz w:val="16"/>
          <w:szCs w:val="16"/>
        </w:rPr>
        <w:softHyphen/>
        <w:t>мией, а не с мирными жителями Германии. Поэтому готовые к бою эскадрильи тяжелых бомбардировщиков с подвешенными к ним снарядами, получившими наименование «10Х10Х» (десятая модификация неизвестного оружия), так и не взлетели со своих аэ</w:t>
      </w:r>
      <w:r w:rsidRPr="007224C3">
        <w:rPr>
          <w:rFonts w:ascii="Times New Roman" w:cs="Times New Roman"/>
          <w:color w:val="000000" w:themeColor="text1"/>
          <w:spacing w:val="0"/>
          <w:sz w:val="16"/>
          <w:szCs w:val="16"/>
        </w:rPr>
        <w:softHyphen/>
        <w:t>родромов для нанесения боевых ударов (15790).</w:t>
      </w:r>
    </w:p>
    <w:p w14:paraId="6E753B17" w14:textId="77777777" w:rsidR="001F06C5" w:rsidRPr="007224C3" w:rsidRDefault="001F06C5" w:rsidP="007224C3">
      <w:pPr>
        <w:pStyle w:val="36"/>
        <w:shd w:val="clear" w:color="auto" w:fill="auto"/>
        <w:spacing w:after="0" w:line="240" w:lineRule="auto"/>
        <w:jc w:val="both"/>
        <w:rPr>
          <w:rFonts w:ascii="Times New Roman" w:cs="Times New Roman"/>
          <w:color w:val="000000" w:themeColor="text1"/>
          <w:spacing w:val="0"/>
          <w:sz w:val="16"/>
          <w:szCs w:val="16"/>
        </w:rPr>
      </w:pPr>
    </w:p>
    <w:p w14:paraId="2268C743"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28B10A0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ADA098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июня 1944 г. во время проведения испытаний на танке "Объект 701" № 1 вышли из строя бортовые редукторы и его испытания были прекращены. Средняя скорость машины за время испытаний составила 21 км/ч. Вторая машина продолжала ходовые испытания, во время ко</w:t>
      </w:r>
      <w:r w:rsidRPr="007224C3">
        <w:rPr>
          <w:rFonts w:ascii="Times New Roman" w:hAnsi="Times New Roman"/>
          <w:color w:val="000000" w:themeColor="text1"/>
          <w:sz w:val="16"/>
          <w:szCs w:val="16"/>
        </w:rPr>
        <w:softHyphen/>
        <w:t>торых трансмиссия танка работала удовлетворительно, но был зафик</w:t>
      </w:r>
      <w:r w:rsidRPr="007224C3">
        <w:rPr>
          <w:rFonts w:ascii="Times New Roman" w:hAnsi="Times New Roman"/>
          <w:color w:val="000000" w:themeColor="text1"/>
          <w:sz w:val="16"/>
          <w:szCs w:val="16"/>
        </w:rPr>
        <w:softHyphen/>
        <w:t>сирован повышенный тепловой режим работы двигателя, затруднен де</w:t>
      </w:r>
      <w:r w:rsidRPr="007224C3">
        <w:rPr>
          <w:rFonts w:ascii="Times New Roman" w:hAnsi="Times New Roman"/>
          <w:color w:val="000000" w:themeColor="text1"/>
          <w:sz w:val="16"/>
          <w:szCs w:val="16"/>
        </w:rPr>
        <w:softHyphen/>
        <w:t>монтаж крыши трансмиссии и смотровые приборы механика-водителя не обеспечивали хорошей обзорности. В ходовой части было необходи</w:t>
      </w:r>
      <w:r w:rsidRPr="007224C3">
        <w:rPr>
          <w:rFonts w:ascii="Times New Roman" w:hAnsi="Times New Roman"/>
          <w:color w:val="000000" w:themeColor="text1"/>
          <w:sz w:val="16"/>
          <w:szCs w:val="16"/>
        </w:rPr>
        <w:softHyphen/>
        <w:t>мо усилить диски опорных и поддерживающих катков. Средняя ско</w:t>
      </w:r>
      <w:r w:rsidRPr="007224C3">
        <w:rPr>
          <w:rFonts w:ascii="Times New Roman" w:hAnsi="Times New Roman"/>
          <w:color w:val="000000" w:themeColor="text1"/>
          <w:sz w:val="16"/>
          <w:szCs w:val="16"/>
        </w:rPr>
        <w:softHyphen/>
        <w:t>рость движения машины составила 24 км/ч. По завершении испытаний башню с танка "Объект 701" № 1 устано</w:t>
      </w:r>
      <w:r w:rsidRPr="007224C3">
        <w:rPr>
          <w:rFonts w:ascii="Times New Roman" w:hAnsi="Times New Roman"/>
          <w:color w:val="000000" w:themeColor="text1"/>
          <w:sz w:val="16"/>
          <w:szCs w:val="16"/>
        </w:rPr>
        <w:softHyphen/>
        <w:t>вили на образец № 0 и отправили его на Гороховецкий АНИОП для проведения артиллерийских испытаний, а башню с танка "Объект 701" № 0 установили на танк "Объект 701" № 1 (10703).</w:t>
      </w:r>
    </w:p>
    <w:p w14:paraId="09AC643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58DB2ED"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18160E3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12CC900" w14:textId="77777777" w:rsidR="00941A2A" w:rsidRPr="007224C3" w:rsidRDefault="00941A2A"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13 июня</w:t>
      </w:r>
      <w:r w:rsidRPr="007224C3">
        <w:rPr>
          <w:rFonts w:ascii="Times New Roman" w:hAnsi="Times New Roman"/>
          <w:color w:val="000000" w:themeColor="text1"/>
          <w:sz w:val="16"/>
          <w:szCs w:val="16"/>
        </w:rPr>
        <w:t xml:space="preserve"> в 1944 году оперативная сводка Совинформбюро:</w:t>
      </w:r>
    </w:p>
    <w:p w14:paraId="4E27B720" w14:textId="77777777" w:rsidR="00941A2A" w:rsidRPr="007224C3" w:rsidRDefault="00941A2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13 июня на Карельском перешейке наши войска продолжали вести наступательные бои, в ходе которых овладели несколькими опорными пунктами противника и среди них Стеклянная, Кекрола, Роннукюля, Вехмаинен, Сийранмяки.</w:t>
      </w:r>
    </w:p>
    <w:p w14:paraId="64A93451" w14:textId="77777777" w:rsidR="00941A2A" w:rsidRPr="007224C3" w:rsidRDefault="00941A2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остальных участках фронта — без перемен.</w:t>
      </w:r>
    </w:p>
    <w:p w14:paraId="4A4904A1" w14:textId="77777777" w:rsidR="00941A2A" w:rsidRPr="007224C3" w:rsidRDefault="00941A2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12 июня на всех фронтах в воздушных боях и огнём зенитной артиллерии сбито 12 самолётов противника.</w:t>
      </w:r>
    </w:p>
    <w:p w14:paraId="6E438255" w14:textId="77777777" w:rsidR="00941A2A" w:rsidRPr="007224C3" w:rsidRDefault="00941A2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Карельском перешейке наши войска продолжали наступление. Советские части, подавляя сопротивление финнов, засевших в долговременных оборонительных сооружениях и широко развитых полевых укреплениях, с боями продвигались вперёд. Части Н-ского соединения, овладев несколькими опорными пунктами, захватили 34 орудия, 48 миномётов, 44 пулемёта, 500 винтовок, 11 складов с боеприпасами и продовольствием и другие трофеи. Рассеяно и частью уничтожено до полка пехоты противника. На другом участке подразделение старшего лейтенанта Мартынова обошло сильно укреплённые позиции. Ударами с фланга и с фронта эти позиции очищены от финнов.</w:t>
      </w:r>
    </w:p>
    <w:p w14:paraId="2EEBDBA9" w14:textId="77777777" w:rsidR="00941A2A" w:rsidRPr="007224C3" w:rsidRDefault="00941A2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Наша авиация в неблагоприятных метеорологических условиях продолжала наносить удары по коммуникациям и подходящим к линии фронта резервам финнов. В течение дня советские лётчики разбили 2 паровоза, 70 вагонов, уничтожили более 80 автомашин и подавили огонь 12 артиллерийских батарей противника.</w:t>
      </w:r>
    </w:p>
    <w:p w14:paraId="2956A1B6" w14:textId="77777777" w:rsidR="00941A2A" w:rsidRPr="007224C3" w:rsidRDefault="00941A2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Северо-западнее города Новосокольники разведывательный отряд под командованием капитана Климчука после короткого артиллерийского налёта ворвался в расположение немцев. В ожесточённом бою советские разведчики истребили более роты гитлеровцев, уничтожили 2 орудия, взорвали два блиндажа и наблюдательный пункт. Разведчики захватили в плен 12 немцев и вернулись в своё расположение.</w:t>
      </w:r>
    </w:p>
    <w:p w14:paraId="7B86893F" w14:textId="77777777" w:rsidR="00941A2A" w:rsidRPr="007224C3" w:rsidRDefault="00941A2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Как теперь стало известно, в боях в районе севернее города Яссы отличился красноармеец Смищук Роман Семёнович. 4 июня на одном участке наше подразделение атаковали 25 танков противника. Создалось очень трудное положение. Тов. Смищук под огнём противника выбежал из траншеи навстречу немецким танкам. Метко бросив одну за другой несколько противотанковых гранат, он подбил три немецких танка. Остальные вражеские танки отошли, но затем вторично атаковали позиции подразделения. Красноармеец Смищук во время этой атаки гранатами подбил ещё три танка. Таким образом, всего в ходе боя т. Смищук уничтожил 6 немецких танков.</w:t>
      </w:r>
    </w:p>
    <w:p w14:paraId="734C36B0" w14:textId="77777777" w:rsidR="00941A2A" w:rsidRPr="007224C3" w:rsidRDefault="00941A2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Авиация нашего флота обнаружила и потопила у северного побережья Норвегии три немецких мотобота.</w:t>
      </w:r>
    </w:p>
    <w:p w14:paraId="4DDAE111" w14:textId="77777777" w:rsidR="00941A2A" w:rsidRPr="007224C3" w:rsidRDefault="00941A2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Группа партизанских отрядов, действующих в Львовской области, в течение недели пустила под откос 9 воинских эшелонов противника. Разбито много вагонов и платформ. Отряд волынских партизан на днях вёл ожесточённый бой против батальона немецкой пехоты. Советские патриоты нанесли противнику большой урон, а затем умелым манёвром вышли из боя.</w:t>
      </w:r>
    </w:p>
    <w:p w14:paraId="60F92F00" w14:textId="77777777" w:rsidR="00941A2A" w:rsidRPr="007224C3" w:rsidRDefault="00941A2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Пленный солдат 10 финской пехотной дивизии Олави Тийхонен рассказал: «Правительство Финляндии завело страну в тупик. Начав преступную войну против Советского Союза на стороне Германии, господа из Хельсинки много шумели о создании «Великой Финляндии». Нам говорили, что после победы каждый участник войны, который этого пожелает, получит большой участок земли и леса в Карелии. С прошлого года об этом перестали говорить. Всем уже стало ясно, что Германия войну проиграла. Солдаты считают дальнейшее сопротивление бесполезным и бессмысленным. Мирные условия, предложенные советским правительством правительству Финляндии, широко обсуждались в солдатской среде. Большинство солдат нашего батальона считало, что эти условия вполне приемлемы. Мы надеялись, что финское правительство воспользуется удобным случаем, порвет с Германией и заключит мир. Однако наши надежды не оправдались. Господа из Хельсинки предали свою страну и финский народ. Отклонение советских условий мира вызвало глухое недовольство солдат» (14921).</w:t>
      </w:r>
    </w:p>
    <w:p w14:paraId="528D0D6F" w14:textId="77777777" w:rsidR="00941A2A" w:rsidRPr="007224C3" w:rsidRDefault="00941A2A" w:rsidP="007224C3">
      <w:pPr>
        <w:spacing w:after="0" w:line="240" w:lineRule="auto"/>
        <w:jc w:val="both"/>
        <w:rPr>
          <w:rFonts w:ascii="Times New Roman" w:hAnsi="Times New Roman"/>
          <w:color w:val="000000" w:themeColor="text1"/>
          <w:sz w:val="16"/>
          <w:szCs w:val="16"/>
        </w:rPr>
      </w:pPr>
    </w:p>
    <w:p w14:paraId="08492D8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13-18 июня 1944 АДД в рамках подготовки к Белорусской операции бомбила 7 аэродромов: в Бресте, Белостоке, Орше, Минске, Барановичах, Бобруйске, Лунинце, где базировалось до 60% самолетов 6ВФ. выполнили 1472 (340,170).</w:t>
      </w:r>
    </w:p>
    <w:p w14:paraId="7A642B1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D71C00"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2A5A20D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F0C0E64" w14:textId="77777777" w:rsidR="00D564FE" w:rsidRPr="007224C3" w:rsidRDefault="00D564FE"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13 июня 1944 - Немецкий Ju-88G-l (W.Nr.712273, 4R+UR) совершавший патрулирование над Северным морем по ошибке приземлился на английском аэродроме Вудбридж. Самолет был оснащен радаром SN-2. По немецкой версии имела место ошибка навигации, но, скорее всего пилот самолета был завербован английской разведкой. Испытания радара позволили англичанам разработать более эффективную систему постановки помех Window.</w:t>
      </w:r>
    </w:p>
    <w:p w14:paraId="2C90E2A7" w14:textId="77777777" w:rsidR="00D564FE" w:rsidRPr="007224C3" w:rsidRDefault="00D564FE"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Радар FuG200 "Hohentwiel" работал на частоте 490 МГц (0,5 м). Это был морской радар импульсного типа.</w:t>
      </w:r>
    </w:p>
    <w:p w14:paraId="4D53EFB8" w14:textId="77777777" w:rsidR="00D564FE" w:rsidRPr="007224C3" w:rsidRDefault="00D564FE"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lastRenderedPageBreak/>
        <w:t>Радары FuG 220 SN2 и FuG 212 C1 использовали одновременно, поэтому ночные истребители несли антенны двух типов. Для FuG 220 SN2 требовались более большие антенны "Hirschgeweih" ("оленьи рога"), а для FuG 212 С-1 меньшие антенны "Matratzen" ("матрас"). Для постановки помех немецким радарам, англичане сбрасывали полоски станиоли. Впрочем это оказалось малоэффективным (22462).</w:t>
      </w:r>
    </w:p>
    <w:p w14:paraId="28203186" w14:textId="77777777" w:rsidR="00D564FE" w:rsidRPr="007224C3" w:rsidRDefault="00D564FE" w:rsidP="007224C3">
      <w:pPr>
        <w:spacing w:after="0" w:line="240" w:lineRule="auto"/>
        <w:jc w:val="both"/>
        <w:rPr>
          <w:rFonts w:ascii="Times New Roman" w:hAnsi="Times New Roman"/>
          <w:color w:val="0070C0"/>
          <w:sz w:val="16"/>
          <w:szCs w:val="16"/>
        </w:rPr>
      </w:pPr>
    </w:p>
    <w:p w14:paraId="5EA9AC4B"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июня 1944 начался обстрел Лондона первыми немецкими ракетами "ФАУ-1" (4962).</w:t>
      </w:r>
    </w:p>
    <w:p w14:paraId="2E43A631"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44B83AF" w14:textId="77777777" w:rsidR="00A3754D" w:rsidRPr="007224C3" w:rsidRDefault="00A3754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июня 1944 года были запущены пятнадцать крылатых ракет Фау-1 — их целью был Лондон. Пуски продолжались ежедневно, и за две недели число погибших от «оружия возмездия» достигло 2400 человек.</w:t>
      </w:r>
    </w:p>
    <w:p w14:paraId="1007C145" w14:textId="77777777" w:rsidR="00A3754D" w:rsidRPr="007224C3" w:rsidRDefault="00A3754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 изготовленных 30000 самолетов-снарядов около 9500 были запущены в Англию, и только 2500 из них долетели до столицы Великобритании. 3800 были сбиты истребителями и артиллерией противовоздушной обороны, а 2700 Фау-1 упали в Ла-Манш. Немецкие крылатые ракеты уничтожили порядка 20000 домов, около 18000 человек было ранено и 6400 убито (19627).</w:t>
      </w:r>
    </w:p>
    <w:p w14:paraId="148E2EBD" w14:textId="77777777" w:rsidR="00A3754D" w:rsidRPr="007224C3" w:rsidRDefault="00A3754D" w:rsidP="007224C3">
      <w:pPr>
        <w:spacing w:after="0" w:line="240" w:lineRule="auto"/>
        <w:jc w:val="both"/>
        <w:rPr>
          <w:rFonts w:ascii="Times New Roman" w:hAnsi="Times New Roman"/>
          <w:color w:val="000000" w:themeColor="text1"/>
          <w:sz w:val="16"/>
          <w:szCs w:val="16"/>
        </w:rPr>
      </w:pPr>
    </w:p>
    <w:p w14:paraId="45E5C336" w14:textId="77777777" w:rsidR="00D564FE" w:rsidRPr="007224C3" w:rsidRDefault="00D564FE"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13 июня 1944 - Первый обстрел Лондона немецкими самолетами-снарядами Фау-1.</w:t>
      </w:r>
    </w:p>
    <w:p w14:paraId="1A7EB6ED" w14:textId="77777777" w:rsidR="00D564FE" w:rsidRPr="007224C3" w:rsidRDefault="00D564FE"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Начался первый этап "Роботблица"- обстрела Англии крылатыми ракетам "Фау-1"/V-1. В течение ночи с семи стартовых позиций было пущено 10 ракет, из которых лишь 4 достигли Англии. Первая крылатая ракета "Фау-1" взорвалась на территории Англии вблизи города Грейвсенд. В результате взрывами четырёх ракет было убито шесть и ранено девять человек, кроме того, был разрушен железнодорожный мост. Начиная с ночи 12-13 июня 1944 года немцы запустили на Великобританию более чем 6700 самолетов-снарядов V-1 (22462).</w:t>
      </w:r>
    </w:p>
    <w:p w14:paraId="0A3C6BE8" w14:textId="77777777" w:rsidR="00D564FE" w:rsidRPr="007224C3" w:rsidRDefault="00D564FE" w:rsidP="007224C3">
      <w:pPr>
        <w:spacing w:after="0" w:line="240" w:lineRule="auto"/>
        <w:jc w:val="both"/>
        <w:rPr>
          <w:rFonts w:ascii="Times New Roman" w:hAnsi="Times New Roman"/>
          <w:color w:val="0070C0"/>
          <w:sz w:val="16"/>
          <w:szCs w:val="16"/>
        </w:rPr>
      </w:pPr>
    </w:p>
    <w:p w14:paraId="4B045389" w14:textId="77777777" w:rsidR="00D564FE" w:rsidRPr="007224C3" w:rsidRDefault="00D564FE"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13 июня 1944 при испытании радиокомандной системы на «Агрегате А-4» в результате ошибки опе</w:t>
      </w:r>
      <w:r w:rsidRPr="007224C3">
        <w:rPr>
          <w:rFonts w:ascii="Times New Roman" w:hAnsi="Times New Roman"/>
          <w:color w:val="0070C0"/>
          <w:sz w:val="16"/>
          <w:szCs w:val="16"/>
        </w:rPr>
        <w:softHyphen/>
        <w:t>ратора ракета изменила траекторию и через 5 минут взорвалась в воздухе над юго-за</w:t>
      </w:r>
      <w:r w:rsidRPr="007224C3">
        <w:rPr>
          <w:rFonts w:ascii="Times New Roman" w:hAnsi="Times New Roman"/>
          <w:color w:val="0070C0"/>
          <w:sz w:val="16"/>
          <w:szCs w:val="16"/>
        </w:rPr>
        <w:softHyphen/>
        <w:t>падной частью Швеции, вблизи города Кальмара. 31 июля англичане обменяли 12 контейнеров с обломками упавшей ракеты на несколько передвижных радиолокато</w:t>
      </w:r>
      <w:r w:rsidRPr="007224C3">
        <w:rPr>
          <w:rFonts w:ascii="Times New Roman" w:hAnsi="Times New Roman"/>
          <w:color w:val="0070C0"/>
          <w:sz w:val="16"/>
          <w:szCs w:val="16"/>
        </w:rPr>
        <w:softHyphen/>
        <w:t>ров. Примерно через месяц в Лондон до</w:t>
      </w:r>
      <w:r w:rsidRPr="007224C3">
        <w:rPr>
          <w:rFonts w:ascii="Times New Roman" w:hAnsi="Times New Roman"/>
          <w:color w:val="0070C0"/>
          <w:sz w:val="16"/>
          <w:szCs w:val="16"/>
        </w:rPr>
        <w:softHyphen/>
        <w:t>ставили и фрагменты одной из серийных ракет, добытых польскими партизанами (22798).</w:t>
      </w:r>
    </w:p>
    <w:p w14:paraId="000587B7" w14:textId="77777777" w:rsidR="00D564FE" w:rsidRPr="007224C3" w:rsidRDefault="00D564FE" w:rsidP="007224C3">
      <w:pPr>
        <w:spacing w:after="0" w:line="240" w:lineRule="auto"/>
        <w:jc w:val="both"/>
        <w:rPr>
          <w:rFonts w:ascii="Times New Roman" w:hAnsi="Times New Roman"/>
          <w:color w:val="0070C0"/>
          <w:sz w:val="16"/>
          <w:szCs w:val="16"/>
        </w:rPr>
      </w:pPr>
    </w:p>
    <w:p w14:paraId="2DA3C4C1"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июня 1944 при испытании над Швецией разбилась немецкая ракета “ФАУ-2”, останки которой вскоре попали союзникам (4962).</w:t>
      </w:r>
    </w:p>
    <w:p w14:paraId="7EBFED83"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407ACC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June 13th, 1944: Launching of the first V-1 robot bombs from the Pas de Calais against London causing shock and near-panick among the civilian population. In the battle for Caen, a single Tiger tank from 12.SS-Panzerdivision (Obstuf. Wittmann) destroys 25 tanks and other vehicles of the British 7th Armoured Division near Villers-Bocage (3819).</w:t>
      </w:r>
    </w:p>
    <w:p w14:paraId="557C479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BD3BBB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13 June 1944 (13-14-June) Start of German V1 flying bomb offensive against Britain (270), launched from France against England with 4 of the 11 striking London (1038).</w:t>
      </w:r>
    </w:p>
    <w:p w14:paraId="24D4E3A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V - Vergeltungwaffe (1087,28).</w:t>
      </w:r>
    </w:p>
    <w:p w14:paraId="162E296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F8177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13-14 июня 1944 началось массовое применение снарядов Фау-1 против Англии (270). 4 из 11, выпущенных из Франции, поражали Лондон (1038).</w:t>
      </w:r>
    </w:p>
    <w:p w14:paraId="5FA7D92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43D47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13 июня по 5 сентября 1944 выпустили 9017 V-1 (1608,21).</w:t>
      </w:r>
    </w:p>
    <w:p w14:paraId="5639A9E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37B4E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Утром 13 июня 1944 г. на территории Англии разорвалась первая V1. К этому времени из 80 построенных стартовых позиций крылатых ракет только 55 были подготовлены и только 18 из них опробованы к пуску V1. Общий боекомплект, имевшийся на стартовых позициях, составлял 873 ракеты. За 15 минут до боевых пусков выяснилось, что ни одна позиция не оборудована средствами техники безопасности. Телефонная связь с командным пунктом работала с перебоями, радио в целях обеспечения внезапности удара не использовали, солдаты были измотаны круглосуточной работой по разгрузке ракет и оборудованию позиций.</w:t>
      </w:r>
    </w:p>
    <w:p w14:paraId="5D2394F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Стартовые команды не прошли тренинг в пусках боевых ракет.</w:t>
      </w:r>
    </w:p>
    <w:p w14:paraId="39160D8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итоге первый пуск состоялся не 12 июня в 23 часа 40 минут, как говорилось в приказе, а 13 июня в 3 часа 30 минут. В течение ночи из семи пусковых установок было выпущено всего 10 ракет (планировалось 500 шт.). Из 10 ракет только четыре достигло Англии. Перед ракетным ударом сверхдальнобойная артиллерия произвела артиллерийский налет по английскому побережью.</w:t>
      </w:r>
    </w:p>
    <w:p w14:paraId="1E112F4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Цель поразили только 33 снаряда. Авиация участия в массированном ударе не приняла, так как наносила удары по войскам союзников во Франции. Таким образом, 65-й армейский корпус не смог выполнить приказ от 16 мая 1944 г. по организации внезапного ракетного массированного удара по Лондону во взаимодействии с дальнобойной артиллерией и бомбардировочной авиацией.</w:t>
      </w:r>
    </w:p>
    <w:p w14:paraId="144EDA8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Была назначена комиссия для расследования причин первого неудачного ракетного удара. За двое суток расследования были определены главные причины провала: необеспеченность ракетных подразделений горючим и транспортом, недостаток времени на приведение пусковых установок в боевую готовность, отсутствие вспомогательного персонала для сборки катапульт, разгрузки ракет и подвоза их на позиции. Полковник Вахтель, которому грозил военно-полевой суд, был оправдан (11686).</w:t>
      </w:r>
    </w:p>
    <w:p w14:paraId="302362C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89193C2" w14:textId="77777777" w:rsidR="002F0C11" w:rsidRPr="007224C3" w:rsidRDefault="002F0C11"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13 июня</w:t>
      </w:r>
      <w:r w:rsidRPr="007224C3">
        <w:rPr>
          <w:rFonts w:ascii="Times New Roman" w:hAnsi="Times New Roman"/>
          <w:color w:val="000000" w:themeColor="text1"/>
          <w:sz w:val="16"/>
          <w:szCs w:val="16"/>
        </w:rPr>
        <w:t xml:space="preserve"> в 1944 году германские ракетные части приступили к началу первого этапа так называемого "Роботблица"- обстрела Англии крылатыми ракетам "Фау-1"/V-1. В течение ночи с семи стартовых позиций было пущено 10 ракет, из которых лишь 4 достигли Англии. Первая крылатая ракета "Фау-1" взорвалась на территории Англии вблизи города Грейвсенд. В течение первого периода англичане фактически не знали, как защищаться от нового оружия. Обстрелы будут продолжаться с перерывами до марта 1945. С 8 сентября 1944 авиацией начнут использоваться баллистические ракеты «Фау-2» (14921).</w:t>
      </w:r>
    </w:p>
    <w:p w14:paraId="63DE520A" w14:textId="77777777" w:rsidR="002F0C11" w:rsidRPr="007224C3" w:rsidRDefault="002F0C11" w:rsidP="007224C3">
      <w:pPr>
        <w:spacing w:after="0" w:line="240" w:lineRule="auto"/>
        <w:jc w:val="both"/>
        <w:rPr>
          <w:rFonts w:ascii="Times New Roman" w:hAnsi="Times New Roman"/>
          <w:color w:val="000000" w:themeColor="text1"/>
          <w:sz w:val="16"/>
          <w:szCs w:val="16"/>
        </w:rPr>
      </w:pPr>
    </w:p>
    <w:p w14:paraId="62FE3E4B" w14:textId="77777777" w:rsidR="002F0C11" w:rsidRPr="007224C3" w:rsidRDefault="002F0C11"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13 июня</w:t>
      </w:r>
      <w:r w:rsidRPr="007224C3">
        <w:rPr>
          <w:rFonts w:ascii="Times New Roman" w:hAnsi="Times New Roman"/>
          <w:color w:val="000000" w:themeColor="text1"/>
          <w:sz w:val="16"/>
          <w:szCs w:val="16"/>
        </w:rPr>
        <w:t xml:space="preserve"> в 1944 году первый обстрел Лондона немецкими самолетами-снарядами «Фау-1». Начался первый этап "Роботблица"- обстрела Англии крылатыми ракетам "Фау-1"/V-1. В течение ночи с семи стартовых позиций было пущено 10 ракет, из которых лишь 4 достигли Англии. Первая крылатая ракета "Фау-1" взорвалась на территории Англии вблизи города Грейвсенд. В результате взрывами четырёх ракет было убито шесть и ранено девять человек, кроме того, был разрушен железнодорожный мост. Начиная с ночи 12-13 июня 1944 года немцы запустили на Великобританию более чем 6700 самолетов-снарядов «V-1» (14921).</w:t>
      </w:r>
    </w:p>
    <w:p w14:paraId="4EA8BC54" w14:textId="77777777" w:rsidR="002F0C11" w:rsidRPr="007224C3" w:rsidRDefault="002F0C11" w:rsidP="007224C3">
      <w:pPr>
        <w:spacing w:after="0" w:line="240" w:lineRule="auto"/>
        <w:jc w:val="both"/>
        <w:rPr>
          <w:rFonts w:ascii="Times New Roman" w:hAnsi="Times New Roman"/>
          <w:color w:val="000000" w:themeColor="text1"/>
          <w:sz w:val="16"/>
          <w:szCs w:val="16"/>
        </w:rPr>
      </w:pPr>
    </w:p>
    <w:p w14:paraId="3A4DD0BC" w14:textId="77777777" w:rsidR="002F0C11" w:rsidRPr="007224C3" w:rsidRDefault="002F0C11"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13 июня</w:t>
      </w:r>
      <w:r w:rsidRPr="007224C3">
        <w:rPr>
          <w:rFonts w:ascii="Times New Roman" w:hAnsi="Times New Roman"/>
          <w:color w:val="000000" w:themeColor="text1"/>
          <w:sz w:val="16"/>
          <w:szCs w:val="16"/>
        </w:rPr>
        <w:t xml:space="preserve"> в 1944 году немецкий </w:t>
      </w:r>
      <w:hyperlink r:id="rId174" w:tgtFrame="_blank" w:history="1">
        <w:r w:rsidRPr="007224C3">
          <w:rPr>
            <w:rFonts w:ascii="Times New Roman" w:hAnsi="Times New Roman"/>
            <w:color w:val="000000" w:themeColor="text1"/>
            <w:sz w:val="16"/>
            <w:szCs w:val="16"/>
          </w:rPr>
          <w:t xml:space="preserve">«Ju-88G-l» </w:t>
        </w:r>
      </w:hyperlink>
      <w:r w:rsidRPr="007224C3">
        <w:rPr>
          <w:rFonts w:ascii="Times New Roman" w:hAnsi="Times New Roman"/>
          <w:color w:val="000000" w:themeColor="text1"/>
          <w:sz w:val="16"/>
          <w:szCs w:val="16"/>
        </w:rPr>
        <w:t>(W.Nr.712273, 4R+UR) совершавший патрулирование над Северным морем по ошибке приземлился на английском аэродроме Вудбридж. Самолет был оснащен радаром «SN-2». По немецкой версии имела место ошибка навигации, но, скорее всего пилот самолета был завербован английской разведкой. Испытания радара позволили англичанам разработать более эффективную систему постановки помех «Window». Радар «FuG200» "Hohentwiel" работал на частоте 490 МГц (0,5 м). Это был морской радар импульсного типа. Радары «FuG 220» «SN2» и «FuG 212» «C1» использовали одновременно, поэтому ночные истребители несли антенны двух типов. Для «FuG 220» «SN2» требовались более большие антенны "Hirschgeweih" ("оленьи рога"), а для «FuG 212» «С-1» меньшие антенны "Matratzen" ("матрас"). Для постановки помех немецким радарам, англичане сбрасывали полоски станиоли. Впрочем это оказалось малоэффективным (14921).</w:t>
      </w:r>
    </w:p>
    <w:p w14:paraId="564D9D8E" w14:textId="77777777" w:rsidR="002F0C11" w:rsidRPr="007224C3" w:rsidRDefault="002F0C11" w:rsidP="007224C3">
      <w:pPr>
        <w:spacing w:after="0" w:line="240" w:lineRule="auto"/>
        <w:jc w:val="both"/>
        <w:rPr>
          <w:rFonts w:ascii="Times New Roman" w:hAnsi="Times New Roman"/>
          <w:color w:val="000000" w:themeColor="text1"/>
          <w:sz w:val="16"/>
          <w:szCs w:val="16"/>
        </w:rPr>
      </w:pPr>
    </w:p>
    <w:p w14:paraId="7AA2219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июня 1944 при испытании видеокомандной системы А-4 в результате ошибки оператора ракета изменила траекторию и взорвалась над Швецией. 31 июня англичане обменяли 12 контейнеров обломков на РЛС. Через месяц получили еще из Польши (2469,18).</w:t>
      </w:r>
    </w:p>
    <w:p w14:paraId="38EF388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58865B" w14:textId="77777777" w:rsidR="002F0C11" w:rsidRPr="007224C3" w:rsidRDefault="002F0C11"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13 июня</w:t>
      </w:r>
      <w:r w:rsidRPr="007224C3">
        <w:rPr>
          <w:rFonts w:ascii="Times New Roman" w:hAnsi="Times New Roman"/>
          <w:color w:val="000000" w:themeColor="text1"/>
          <w:sz w:val="16"/>
          <w:szCs w:val="16"/>
        </w:rPr>
        <w:t xml:space="preserve"> в 1944 году при испытании над Швецией разбилась немецкая ракета «ФАУ-2», останки которой вскоре попали союзникам (14921).</w:t>
      </w:r>
    </w:p>
    <w:p w14:paraId="7B273FCD" w14:textId="77777777" w:rsidR="002F0C11" w:rsidRPr="007224C3" w:rsidRDefault="002F0C11" w:rsidP="007224C3">
      <w:pPr>
        <w:spacing w:after="0" w:line="240" w:lineRule="auto"/>
        <w:jc w:val="both"/>
        <w:rPr>
          <w:rFonts w:ascii="Times New Roman" w:hAnsi="Times New Roman"/>
          <w:color w:val="000000" w:themeColor="text1"/>
          <w:sz w:val="16"/>
          <w:szCs w:val="16"/>
        </w:rPr>
      </w:pPr>
    </w:p>
    <w:p w14:paraId="2BC7872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июня 1944 в СЗФ американские войска заняли п/о Котантен и 27 июня освободили Шербур (3907,249).</w:t>
      </w:r>
    </w:p>
    <w:p w14:paraId="2098710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350A8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июня 1944 в битве у Кайена один Тигр 12ТД СС уничтожил 25 танков британской 7ТД (3819).</w:t>
      </w:r>
    </w:p>
    <w:p w14:paraId="74E2004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32CF09"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июня 1944 президент Американской медицинской ассоциации Г. Кретчмер осудил повсеместно использование витаминов как дорогое и бесполезное занятие (4962).</w:t>
      </w:r>
    </w:p>
    <w:p w14:paraId="413D5B52"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9E52477"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16B4D49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24CFCF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июня 1944 закончились гос. испытания Ла-5 в двухместном варианте УТИ с АШ-82Ф и винтом ВИШ-105В (серийного N 37210813 21 завода, модифицированного ПАМ-30 1-й ВА, которые начались 5 мая 1944 (763,2).</w:t>
      </w:r>
    </w:p>
    <w:p w14:paraId="4E90CA6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B26A6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14 июня 1944 на МиГ АМ-39Б + 2ТК-2Б было выполнено 2 полета после установки системы нейтрального газа и бензопомпы БНК-10. Первый - 0:40 до 8000 м, 2-й - </w:t>
      </w:r>
      <w:r w:rsidRPr="007224C3">
        <w:rPr>
          <w:rFonts w:ascii="Times New Roman" w:hAnsi="Times New Roman"/>
          <w:color w:val="000000" w:themeColor="text1"/>
          <w:sz w:val="16"/>
          <w:szCs w:val="16"/>
        </w:rPr>
        <w:lastRenderedPageBreak/>
        <w:t>0:30 до 8000 м (1825).</w:t>
      </w:r>
    </w:p>
    <w:p w14:paraId="0EA8AAB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AAECC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июня 1944 на МИГ С АМ-39Б И 2ТК-2Б были произведены два полета после установки системы нейтрального газа и бензопомпы взамен инжекторной помпы "178”.</w:t>
      </w:r>
    </w:p>
    <w:p w14:paraId="734A592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1-й полет - продолжительностью 40 мин. до высоты 3000 мт, на 1-й скорости нагнетателя.</w:t>
      </w:r>
    </w:p>
    <w:p w14:paraId="064ACBF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полете давление бензина у земли - 0.3 атм и на высоте 3000 мт - 0,23 атм, обороты ТК при переходе на горизонтальный полет - 17000 об/мин, давление нейтрального газа в бензобаке - 0,15 атм. Винтомотор</w:t>
      </w:r>
      <w:r w:rsidRPr="007224C3">
        <w:rPr>
          <w:rFonts w:ascii="Times New Roman" w:hAnsi="Times New Roman"/>
          <w:color w:val="000000" w:themeColor="text1"/>
          <w:sz w:val="16"/>
          <w:szCs w:val="16"/>
        </w:rPr>
        <w:softHyphen/>
        <w:t>ная группа работала удовлетворительно. После полета произведено увеличение диаметров отверстий в дозиру</w:t>
      </w:r>
      <w:r w:rsidRPr="007224C3">
        <w:rPr>
          <w:rFonts w:ascii="Times New Roman" w:hAnsi="Times New Roman"/>
          <w:color w:val="000000" w:themeColor="text1"/>
          <w:sz w:val="16"/>
          <w:szCs w:val="16"/>
        </w:rPr>
        <w:softHyphen/>
        <w:t>ющей шайбе клапана нейтрального газа для увеличения давления нейтрального газа в бензобаке и изменена регулировка давления бензина.</w:t>
      </w:r>
    </w:p>
    <w:p w14:paraId="7E7F8F6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2-й полет - продолжительностью 30 мин, высота 3000 мт. на 1-й скорости нагнетахеля.</w:t>
      </w:r>
    </w:p>
    <w:p w14:paraId="7EAC757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полете давление бензина на высоте 3000 мт - 0,25 атм, давление нейтрального газа в бензобаке - 0,2 атм, обоорты ТК при переходе на горизонтальный полет - 17500об/мин. Винтомоторная группа работала удовлетворительно. После полета на самолете проводятся рабо</w:t>
      </w:r>
      <w:r w:rsidRPr="007224C3">
        <w:rPr>
          <w:rFonts w:ascii="Times New Roman" w:hAnsi="Times New Roman"/>
          <w:color w:val="000000" w:themeColor="text1"/>
          <w:sz w:val="16"/>
          <w:szCs w:val="16"/>
        </w:rPr>
        <w:softHyphen/>
        <w:t>ты по увеличению давления нейтрального газа в бензо</w:t>
      </w:r>
      <w:r w:rsidRPr="007224C3">
        <w:rPr>
          <w:rFonts w:ascii="Times New Roman" w:hAnsi="Times New Roman"/>
          <w:color w:val="000000" w:themeColor="text1"/>
          <w:sz w:val="16"/>
          <w:szCs w:val="16"/>
        </w:rPr>
        <w:softHyphen/>
        <w:t>баке (1825).</w:t>
      </w:r>
    </w:p>
    <w:p w14:paraId="392378E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E1F69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14 по 24 июня 1944 проводились гос. испытания И-220 МиГ с АМ-39, но прекратились из за выхода из строя двигателя (4,249).</w:t>
      </w:r>
    </w:p>
    <w:p w14:paraId="17BD829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июля 1944 л-и А.П.Якимов подписал отчет по результатам заводских летных испытаний с-та И-220 с мотором АМ-39, редукция 0,732 и винтом АВ5Л126А</w:t>
      </w:r>
    </w:p>
    <w:p w14:paraId="5C482AE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июля 1944 Зам. ГК Гуревич и ст. в/п на заводе 155 Савин утвердили Акт по результатам заводских летных испытаний с-та И-220 с мотором АМ-39, редукция 0,732 и винтом АВ5Л126А</w:t>
      </w:r>
    </w:p>
    <w:p w14:paraId="57A3D64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Отв. испытатель ви с-та Брунов</w:t>
      </w:r>
    </w:p>
    <w:p w14:paraId="435F8E1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л-и Якимов</w:t>
      </w:r>
    </w:p>
    <w:p w14:paraId="43DB330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Цель испытаний: контрольные испытания для проверки лд с серийным мотором АМ-39, проверка и доводка матчасти и ВМГ. На с-те установлено 4хШВАК 20 мм с б/з по 100 патронов на каждую.</w:t>
      </w:r>
    </w:p>
    <w:p w14:paraId="4B41FE4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Длина с-та 9,5, размах - 11,0, площадь крыла 20,38, профиль NACA-230, угол установки 1 гр.</w:t>
      </w:r>
    </w:p>
    <w:p w14:paraId="3DC5602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 скорость на 2 гр в боевом режжииме при 2150 и Рк 1175 на 7000 - 695, на номинальном на 7200 - 690</w:t>
      </w:r>
    </w:p>
    <w:p w14:paraId="5806C15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 скорость на 1 гр. на боевом Рк 1200 на 2700 - 625, на номинальном на 2400 - 624</w:t>
      </w:r>
    </w:p>
    <w:p w14:paraId="1634D6A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 скорость пикирования - 685 по рибору.</w:t>
      </w:r>
    </w:p>
    <w:p w14:paraId="041C155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Это - 2-й</w:t>
      </w:r>
    </w:p>
    <w:p w14:paraId="446BA5C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первом в консоли крыла были поставлены противофлаттерные грузы общим весом 28 кг</w:t>
      </w:r>
    </w:p>
    <w:p w14:paraId="70C4018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Полетный вес - 3845, в т.ч.</w:t>
      </w:r>
    </w:p>
    <w:p w14:paraId="2A7BC5B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экипаж - 90</w:t>
      </w:r>
    </w:p>
    <w:p w14:paraId="695D4C3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горючее - 350</w:t>
      </w:r>
    </w:p>
    <w:p w14:paraId="3B416CB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масло - 45</w:t>
      </w:r>
    </w:p>
    <w:p w14:paraId="57F46BB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оружие - 156</w:t>
      </w:r>
    </w:p>
    <w:p w14:paraId="56D43C8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б/з - 93</w:t>
      </w:r>
    </w:p>
    <w:p w14:paraId="27227E4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Съемное оборудование - 16</w:t>
      </w:r>
    </w:p>
    <w:p w14:paraId="715339F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 750</w:t>
      </w:r>
    </w:p>
    <w:p w14:paraId="20E3A03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Отзывы л</w:t>
      </w:r>
    </w:p>
    <w:p w14:paraId="5785E53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Мотор АМ-39 с беспоплавковым карбюратором на форсаже работает плохо. На номинале - хорошо.</w:t>
      </w:r>
    </w:p>
    <w:p w14:paraId="46B8937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Значительной помехой в полете является обильный выброс масла из носка мотора. Масло нагоняет на козырек и затрудняет полет</w:t>
      </w:r>
    </w:p>
    <w:p w14:paraId="31FE973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Бензоочистеители козырька не в состоянии справиться с натекающим маслом из носка мотора</w:t>
      </w:r>
    </w:p>
    <w:p w14:paraId="0EFD234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Велики нагрузки на элероны и РВ, особенно на большой скорости</w:t>
      </w:r>
    </w:p>
    <w:p w14:paraId="203E468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Слабый обзор назад</w:t>
      </w:r>
    </w:p>
    <w:p w14:paraId="1023D78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Крайне передняя центровка, особенно у машины, заправленной горючим</w:t>
      </w:r>
    </w:p>
    <w:p w14:paraId="4A0FF18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устранении недостатков с-т может быть принят на вооружение. Несомненно будет легко освоен л</w:t>
      </w:r>
    </w:p>
    <w:p w14:paraId="60B22E5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 А.П.Якимов 5 июля 1944</w:t>
      </w:r>
    </w:p>
    <w:p w14:paraId="2EA9DA4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 подлежит передаче в НИИ ВВС для продолжения испытаний</w:t>
      </w:r>
    </w:p>
    <w:p w14:paraId="4528125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Брунов (11472,2).</w:t>
      </w:r>
    </w:p>
    <w:p w14:paraId="2D53613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C4CF1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июня (сентября) 1944 г. по приказу № 0152 ГУ ГВФ основан Завод № 411 МГА, Авиаремонтные мастерскне № 38, АООТ, ОАО «Завод № 411 ГА», ООО «АвиаЦентр-411» /357310  г. Минеральные Воды Ставропольского кр., Авиагородок-2; ул. Кнышевского, 69 тел. 3-03-44/ как АРМ-38. Приказом № 0178 от 12.10.1946 г. преобразованы в АРБ № 411 ГВФ. Приказом МГА № 124 от 3.03.1962 г. переименована в завод № 411 ГА. В 2008 г. ОАО «Завод № 411 ГА» являлось банкротом. Численность персонала (2002 г.)- 1350 чел.</w:t>
      </w:r>
    </w:p>
    <w:p w14:paraId="0348D4D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(1944 г.-)-  Г.Ф. Карнаухов, Н.А. Бессарабов, С.А. Коцарь. Гендиректор (1990-е)-  Г. Г. Игнатьев, Н.Н. Гридин, (-1998-2002 Г.-)-  Г.В. Рой.</w:t>
      </w:r>
      <w:r w:rsidRPr="007224C3">
        <w:rPr>
          <w:rFonts w:ascii="Times New Roman" w:hAnsi="Times New Roman"/>
          <w:color w:val="000000" w:themeColor="text1"/>
          <w:sz w:val="16"/>
          <w:szCs w:val="16"/>
          <w:vertAlign w:val="superscript"/>
        </w:rPr>
        <w:t xml:space="preserve">49 </w:t>
      </w:r>
      <w:r w:rsidRPr="007224C3">
        <w:rPr>
          <w:rFonts w:ascii="Times New Roman" w:hAnsi="Times New Roman"/>
          <w:color w:val="000000" w:themeColor="text1"/>
          <w:sz w:val="16"/>
          <w:szCs w:val="16"/>
        </w:rPr>
        <w:t>Гл. инженер (2002 г.)- В.М. Русанов.</w:t>
      </w:r>
    </w:p>
    <w:p w14:paraId="1C18D90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Технический директор (2002 г.)- В.М. Русанов. Директор по экономике (2002 г.)- Е.В. Науменко. </w:t>
      </w:r>
      <w:r w:rsidRPr="007224C3">
        <w:rPr>
          <w:rFonts w:ascii="Times New Roman" w:hAnsi="Times New Roman"/>
          <w:iCs/>
          <w:color w:val="000000" w:themeColor="text1"/>
          <w:sz w:val="16"/>
          <w:szCs w:val="16"/>
        </w:rPr>
        <w:t>Ремонт: самолеты:</w:t>
      </w:r>
      <w:r w:rsidRPr="007224C3">
        <w:rPr>
          <w:rFonts w:ascii="Times New Roman" w:hAnsi="Times New Roman"/>
          <w:color w:val="000000" w:themeColor="text1"/>
          <w:sz w:val="16"/>
          <w:szCs w:val="16"/>
        </w:rPr>
        <w:t xml:space="preserve"> Ли-2 (1950-76)- 3771, Як-40 (1972-84)- 1240, Ан-2 (1959-60; -2000-04-), Ту-154, Ту-154-М (1980-2000-04-)- более 600, Ту-204 (1993-2002-); вертолеты: Ми-1 (1957-73)- 1655, Ми-2 (1970-87)- 3428; </w:t>
      </w:r>
      <w:r w:rsidRPr="007224C3">
        <w:rPr>
          <w:rFonts w:ascii="Times New Roman" w:hAnsi="Times New Roman"/>
          <w:iCs/>
          <w:color w:val="000000" w:themeColor="text1"/>
          <w:sz w:val="16"/>
          <w:szCs w:val="16"/>
        </w:rPr>
        <w:t>двигатели:</w:t>
      </w:r>
      <w:r w:rsidRPr="007224C3">
        <w:rPr>
          <w:rFonts w:ascii="Times New Roman" w:hAnsi="Times New Roman"/>
          <w:color w:val="000000" w:themeColor="text1"/>
          <w:sz w:val="16"/>
          <w:szCs w:val="16"/>
        </w:rPr>
        <w:t xml:space="preserve"> М-11 (1946-48)- 333, АШ-62ИР (1948-2004-)- более 63000, АИ-26В (1958-79)- 9573, М-14П (1979-89)- 1547, ТА-12 (1994-2004-), ТА-6А (-2000-04-); в/винт АВ-2 (11982).</w:t>
      </w:r>
    </w:p>
    <w:p w14:paraId="004999A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297DB62"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36C7F7E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07EFF3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июня 1944 г. вышел ПРИКАЗ НАЧАЛЬНИКА ГБТУ КА ОБ ИСПЫТАНИИ ОПЫТНЫХ ОБРАЗЦОВ МОТОЦИКЛОВ ПОВЫШЕННОЙ ПРОХОДИМОСТИ В ЛЕТНИХ УСЛОВИЯХ №034</w:t>
      </w:r>
    </w:p>
    <w:p w14:paraId="13128D3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целью установления возможности использования в Красной Армии представленных Главмо-товелопромом опытных образцов мотоциклов повышенной проходимости модели ТМЗ-53 ПРИКАЗЫВАЮ:</w:t>
      </w:r>
    </w:p>
    <w:p w14:paraId="49C070D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p w14:paraId="76B4C2B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период с 20 июня по 10 июля 1944 г. провести дорожные испытания опытных образцов мото</w:t>
      </w:r>
      <w:r w:rsidRPr="007224C3">
        <w:rPr>
          <w:rFonts w:ascii="Times New Roman" w:hAnsi="Times New Roman"/>
          <w:color w:val="000000" w:themeColor="text1"/>
          <w:sz w:val="16"/>
          <w:szCs w:val="16"/>
        </w:rPr>
        <w:softHyphen/>
        <w:t>циклов ТМЗ-53 в летних условиях.</w:t>
      </w:r>
    </w:p>
    <w:p w14:paraId="0F9FAB1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p w14:paraId="7B72A64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проведения испытания назначить комиссию:</w:t>
      </w:r>
    </w:p>
    <w:p w14:paraId="786202B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Члены: 1. Председатель управления бронепоездов и бронемашин ГБТУ КА ст. техник-лейте</w:t>
      </w:r>
      <w:r w:rsidRPr="007224C3">
        <w:rPr>
          <w:rFonts w:ascii="Times New Roman" w:hAnsi="Times New Roman"/>
          <w:color w:val="000000" w:themeColor="text1"/>
          <w:sz w:val="16"/>
          <w:szCs w:val="16"/>
        </w:rPr>
        <w:softHyphen/>
        <w:t>нант Силантьев В. Н.</w:t>
      </w:r>
    </w:p>
    <w:p w14:paraId="630E989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Начальник технического отдела Главмотовелопрома инженер Карибов И. X.</w:t>
      </w:r>
    </w:p>
    <w:p w14:paraId="4201CE8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Главный конструктор ВКБ Главмотовелопрома инженер Коганов.</w:t>
      </w:r>
    </w:p>
    <w:p w14:paraId="5A5CBE7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От управления эксплуатации танков майор Смирнов.</w:t>
      </w:r>
    </w:p>
    <w:p w14:paraId="33031E7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p w14:paraId="19B4892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Испытания мотоциклов провести по специальной программе, утвержденной ГБТУ КА.</w:t>
      </w:r>
    </w:p>
    <w:p w14:paraId="3DFE99C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w:t>
      </w:r>
    </w:p>
    <w:p w14:paraId="6B5E1D6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Материально-техническое обеспечение испытаний, размещение и обеспечение питанием комис</w:t>
      </w:r>
      <w:r w:rsidRPr="007224C3">
        <w:rPr>
          <w:rFonts w:ascii="Times New Roman" w:hAnsi="Times New Roman"/>
          <w:color w:val="000000" w:themeColor="text1"/>
          <w:sz w:val="16"/>
          <w:szCs w:val="16"/>
        </w:rPr>
        <w:softHyphen/>
        <w:t>сии и водителей возлагаю на начальника НИБТ полигона генерал-майора танковых войск т. Романова.</w:t>
      </w:r>
    </w:p>
    <w:p w14:paraId="149A64B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p w14:paraId="02167CC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Заключение по испытанию опытных образцов представить в ГБТУ КА 15 июля 1944 г. и полный отчет к 20 июля 1944 г.</w:t>
      </w:r>
    </w:p>
    <w:p w14:paraId="33BE806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ГБТУ КА генерал-лейтенант танковых войск Вершинин</w:t>
      </w:r>
    </w:p>
    <w:p w14:paraId="2E51485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38. Оп. 1 1 362. Д. 77. Л. 79. Копия (11420).</w:t>
      </w:r>
    </w:p>
    <w:p w14:paraId="7F50F65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064A8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июня 1944 г. было подготовлено СООБЩЕНИЕ НАЧАЛЬНИКА ТАНКОВОГО УПРАВЛЕНИЯ ГБТУ КА ЗАМЕСТИТЕЛЮ НАРОДНОГО КОМИССАРА ТАНКОВОЙ ПРОМЫШЛЕННОСТИ П. ЗЕРНОВУ ОБ ИСПЫТАНИЯХ АМЕРИКАНСКОЙ САМОХОДНОЙ УСТАНОВКИ Т-70 №1522636</w:t>
      </w:r>
    </w:p>
    <w:p w14:paraId="6C670E3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адрес народного комиссара танковой промышленности НИБТ полигоном ГБТУ КА послан от</w:t>
      </w:r>
      <w:r w:rsidRPr="007224C3">
        <w:rPr>
          <w:rFonts w:ascii="Times New Roman" w:hAnsi="Times New Roman"/>
          <w:color w:val="000000" w:themeColor="text1"/>
          <w:sz w:val="16"/>
          <w:szCs w:val="16"/>
        </w:rPr>
        <w:softHyphen/>
        <w:t>чет по испытаниям американской самоходной установки Т-70.</w:t>
      </w:r>
    </w:p>
    <w:p w14:paraId="48992BA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 отчета видно, что отдельные агрегаты и узлы СУ-Т-70 представляют технически оригиналь</w:t>
      </w:r>
      <w:r w:rsidRPr="007224C3">
        <w:rPr>
          <w:rFonts w:ascii="Times New Roman" w:hAnsi="Times New Roman"/>
          <w:color w:val="000000" w:themeColor="text1"/>
          <w:sz w:val="16"/>
          <w:szCs w:val="16"/>
        </w:rPr>
        <w:softHyphen/>
        <w:t>ные конструкции.</w:t>
      </w:r>
    </w:p>
    <w:p w14:paraId="372C46D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Считаю целесообразным ознакомить отдельных работников (из числа инженерно-техническо</w:t>
      </w:r>
      <w:r w:rsidRPr="007224C3">
        <w:rPr>
          <w:rFonts w:ascii="Times New Roman" w:hAnsi="Times New Roman"/>
          <w:color w:val="000000" w:themeColor="text1"/>
          <w:sz w:val="16"/>
          <w:szCs w:val="16"/>
        </w:rPr>
        <w:softHyphen/>
        <w:t>го состава) НКТП и заводов.</w:t>
      </w:r>
    </w:p>
    <w:p w14:paraId="38A751A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Ваше решение прошу сообщить с тем, чтобы можно было предупредить НИБТ полигон ГБТУ КА о подготовке и ознакомлении с СУ-Т-70 и другими импортными СУ и трофейными.</w:t>
      </w:r>
    </w:p>
    <w:p w14:paraId="05F4EE9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ТУ ГБТУ КА генерал-майор инженерно-танковой службы Афонин</w:t>
      </w:r>
    </w:p>
    <w:p w14:paraId="20726FD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38. Оп. 11355. Д. 2190. Л. 100. Копия (11420).</w:t>
      </w:r>
    </w:p>
    <w:p w14:paraId="6139B2D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8FE31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июня 1944 г. была подготовлена ДОКЛАДНАЯ ЗАПИСКА КОМАНДУЮЩЕГО БТ и МВ КА ЗАМЕСТИТЕЛЮ ПРЕДСЕДАТЕЛЯ ГКО СССР Л.П. БЕРИИ О РАБОТЕ ГОРЬКОВСКОГО АВТОЗАВОДА ПО ПРОИЗВОДСТВУ САМОХОДНЫХ АРТУСТАНОВОК СУ-76</w:t>
      </w:r>
    </w:p>
    <w:p w14:paraId="1407A72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Докладываю о неудовлетворительной работе Горьковского автозавода им. Молотова по произ</w:t>
      </w:r>
      <w:r w:rsidRPr="007224C3">
        <w:rPr>
          <w:rFonts w:ascii="Times New Roman" w:hAnsi="Times New Roman"/>
          <w:color w:val="000000" w:themeColor="text1"/>
          <w:sz w:val="16"/>
          <w:szCs w:val="16"/>
        </w:rPr>
        <w:softHyphen/>
        <w:t>водству самоходных артиллерийских установок СУ-76.</w:t>
      </w:r>
    </w:p>
    <w:p w14:paraId="04A5174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Начиная с февраля месяца с. г. завод работает с большими перебоями; вся основная работа по производству СУ-76 происходит в последние две декады месяца, так как в течение 1-й декады время уходит на завершение программы прошедшего месяца и заготовку заделов на текущий ме</w:t>
      </w:r>
      <w:r w:rsidRPr="007224C3">
        <w:rPr>
          <w:rFonts w:ascii="Times New Roman" w:hAnsi="Times New Roman"/>
          <w:color w:val="000000" w:themeColor="text1"/>
          <w:sz w:val="16"/>
          <w:szCs w:val="16"/>
        </w:rPr>
        <w:softHyphen/>
        <w:t>сяц.</w:t>
      </w:r>
    </w:p>
    <w:p w14:paraId="4C7AE5E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Штурмовщина к концу каждого месяца вошла в систему работы завода, а это отражается на ка</w:t>
      </w:r>
      <w:r w:rsidRPr="007224C3">
        <w:rPr>
          <w:rFonts w:ascii="Times New Roman" w:hAnsi="Times New Roman"/>
          <w:color w:val="000000" w:themeColor="text1"/>
          <w:sz w:val="16"/>
          <w:szCs w:val="16"/>
        </w:rPr>
        <w:softHyphen/>
        <w:t>честве СУ-76, о чем свидетельствуют проводимые ежемесячно гарантийные испытания машин на 1000км.</w:t>
      </w:r>
    </w:p>
    <w:p w14:paraId="21D259A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 6 штук СУ-76, подвергнутых испытанию на гарантийный километраж, в течение 5 месяцев 1944 г. только 2 штуки СУ-76 выдержали испытания.</w:t>
      </w:r>
    </w:p>
    <w:p w14:paraId="1DC574B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 состоянии производства СУ-76 на ГАЗ им. Молотова подробно изложено в докладе старшего военпреда ГБТУ КА инженер-подполковника т. Окунева, копию которого прилагаю.</w:t>
      </w:r>
    </w:p>
    <w:p w14:paraId="3B1B7AA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Прошу Ваших указаний народному комиссару среднего машиностроения т. Акопову о приня</w:t>
      </w:r>
      <w:r w:rsidRPr="007224C3">
        <w:rPr>
          <w:rFonts w:ascii="Times New Roman" w:hAnsi="Times New Roman"/>
          <w:color w:val="000000" w:themeColor="text1"/>
          <w:sz w:val="16"/>
          <w:szCs w:val="16"/>
        </w:rPr>
        <w:softHyphen/>
        <w:t>тии срочных мер по устранению указанных недостатков.</w:t>
      </w:r>
    </w:p>
    <w:p w14:paraId="283D414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Приложение: копия доклада старшего военпреда на ГАЗе им. Молотова на 5 листах'.</w:t>
      </w:r>
    </w:p>
    <w:p w14:paraId="50FDBD6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Командующий БТ и МВ КА маршал бронетанковых войск Я. Федоренко</w:t>
      </w:r>
    </w:p>
    <w:p w14:paraId="3158AB6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Член военного совета генерал-полковник танковых войск Н. Бирюков</w:t>
      </w:r>
    </w:p>
    <w:p w14:paraId="31B4801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38. Оп. 11369. Д. 404. Л. 28-29. Подлинник (11420).</w:t>
      </w:r>
    </w:p>
    <w:p w14:paraId="74A2948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C28ABED"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июня 1944 вышло Постановление ГКО № 6041 О мерах по дальнейшему увеличению добычи угля в Подмосковном бассейне. (7240, 127-151,152-191).</w:t>
      </w:r>
    </w:p>
    <w:p w14:paraId="5F587571"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F9E61C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июня 1944 вышло Постановление ГКО № 6042 Об организации производства 100 мм снарядов к пушкам БС-3 и артсамоходам СУ-100 и поставке их НКО в июне-декабре 1944 года. РГАНИР, Фонд ГКО, д. 263, лл. 192-197,198-200 (11012).</w:t>
      </w:r>
    </w:p>
    <w:p w14:paraId="5A1A783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483D80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июня 1944 вышло Постановление ГКО № 6043 Об организации производства коробчатых магазинов к пистолетам-пулеметам Шпагина из стального листа толщиною 1 мм. РГАНИР, Фонд ГКО, д. 263, лл. 201-203,204 (11012).</w:t>
      </w:r>
    </w:p>
    <w:p w14:paraId="1102BDB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135BC8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июня 1944 вышло Постановление ГКО № 6044 Об установлении дополнительного переходящего Красного знамени ЦК ВКП(б) и трех премий для заводов Наркомата вооружения, участников Всесоюзного социалистического соревнования. РГАНИР, Фонд ГКО, д. 263, лл. 205 (11012).</w:t>
      </w:r>
    </w:p>
    <w:p w14:paraId="758F2C3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0A0F0C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июня 1944 вышло Постановление ГКО № 6045 О мероприятиях по восстановлению производства тротила на заводах № 64 (г. Горловка ) и № 20 (г. Рубежная) Наркомбоеприпасов. РГАНИР, Фонд ГКО, д. 263, лл. 206-209,210-217 (11012).</w:t>
      </w:r>
    </w:p>
    <w:p w14:paraId="0942139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6F5F65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июня 1944 вышло Постановление ГКО № 6046 О принятии на вооружение Красной Армии 37 мм авиадесантной пушки. РГАНИР, Фонд ГКО, д. 263, лл. 218-221 (11012).</w:t>
      </w:r>
    </w:p>
    <w:p w14:paraId="64F794A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90EEE51"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июня 1944 вышло Распоряжение ГКО № 6047 [О мобилизации в Тульской и Калининской обл. возчиков с лошадьми на вывозку дров для госпиталей, школ, больниц и детских учреждений.] (7240, 222).</w:t>
      </w:r>
    </w:p>
    <w:p w14:paraId="1CD94184"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5B31F3F" w14:textId="77777777" w:rsidR="002F0C11"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июня 1944 вышло Постановление ГКО № 6048 О мероприятиях по обеспечению восстановления первоочередных объектов главной военно-морской базы Черноморского флота в г. Севастополь. РГАНИР, Фонд ГКО, д. 263, лл. 223-224,225-243 (11012).</w:t>
      </w:r>
    </w:p>
    <w:p w14:paraId="53C299DD" w14:textId="77777777" w:rsidR="002F0C11"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июня 1944 г. вышло ПОСТАНОВЛЕНИЕ ГОСУДАРСТВЕННОГО КОМИТЕТА ОБОРОНЫ № 6048сс</w:t>
      </w:r>
    </w:p>
    <w:p w14:paraId="6B95954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 мероприятиях по обеспечению восстановления первоочередных объектов главной военно-морской базы Черноморского флота в г. Севастополе.</w:t>
      </w:r>
    </w:p>
    <w:p w14:paraId="648D283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дополнение к Постановлению ГСКО от 26 апреля 1944 г. № 5744сс о восстановлении главной военно-морской базы Черноморского флота в г. Севастополе, Государственный Комитат Обороны ПОСТАНОВЛЯЕТ:</w:t>
      </w:r>
    </w:p>
    <w:p w14:paraId="164C112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Утвердить на 1944 год объем первоочередных капитальных работ и сроки ввода в действие восстанавливаемых Наркомстроем и Наркомвоенморфлотом объектов по главной военно-морской базе Черноморского флота в г. Севастополе, согласно приложениям №№ 1 и 2</w:t>
      </w:r>
    </w:p>
    <w:p w14:paraId="7F3B033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Утвердить на 1944 год объём первоочередных капитальных работ: сроки ввода в действие восстанавливаемых Наркомасудпромом и Наркомстроем объектов по судоремонтному заводу Наркомасудпрома согласно приложению №3.</w:t>
      </w:r>
    </w:p>
    <w:p w14:paraId="15F682F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Обязать Наркомвоенморфлот (т. Кузнецова), до окончания восстановления Севастопольской военно-морской базы, оборудовать бухту Балаклава для базирования кореблей черноморского флота.</w:t>
      </w:r>
    </w:p>
    <w:p w14:paraId="2D09E8B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Обязать Наркомстрой (т.Гинзбурга) выполнить в 1944 толу капитальные работы по оборудованию бухты Балаклава в объёме в сроки, согласно приложений № 4.</w:t>
      </w:r>
    </w:p>
    <w:p w14:paraId="7031587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Установить на 1944 год дополнительный объем капитальных работ:</w:t>
      </w:r>
    </w:p>
    <w:p w14:paraId="301AEE7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по Наркомвоенморфлоту для восстановления Севастопольской военно-морской базы и оборудования бухт, Балаклава в сумме 55,0 млн. рублей, в том числе на объекты, выполняемые Наркомстроем согласно приложениям №№ 1 и 4 в сумме 28,2 или .рублей., и на объекты, выполняемые Наркомвоенморфлотом по обеспечению береговой обороны, проектирование и изыскательские работы, согласно приложению № 2 в сумме 4 млн. рублей;</w:t>
      </w:r>
    </w:p>
    <w:p w14:paraId="143A6DF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по Наркомсудпрому для восстановления Севастопольского судоремонтного завода в сумме 18,6 млн. рублей, в том числе на объекты наполняемые Наркомстроем, согласно приложению № 3, в сумме 10,0 млн. рублей.</w:t>
      </w:r>
    </w:p>
    <w:p w14:paraId="2098B14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Утвердить дополнительные мероприятия по обеспечению восстановления главной военно-морской база Наркомфлота и судоремонтного завода Наркомсудпрома г.Севастополе, согласно приложению № 5.</w:t>
      </w:r>
    </w:p>
    <w:p w14:paraId="1CD6053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ПРЕДСЕДАТЕЛЬ ГОСУДАРСТВЕННОГО КОМИТЕТА ОБОРОНЫ (И. Сталин) (11813).</w:t>
      </w:r>
    </w:p>
    <w:p w14:paraId="5993556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Верно </w:t>
      </w:r>
    </w:p>
    <w:p w14:paraId="043FB69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Приложение №1</w:t>
      </w:r>
    </w:p>
    <w:p w14:paraId="1B4BBF5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постановлению № 6048сс от "14" июня 1944 г.</w:t>
      </w:r>
    </w:p>
    <w:p w14:paraId="43F7CD8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ПЕРЕЧЕНЬ</w:t>
      </w:r>
    </w:p>
    <w:p w14:paraId="1493E5D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объектов Главной Военно-морской базы Черноморского флота в Севастополе, восстанавливаемых Наркомстроем в 1944 г. </w:t>
      </w:r>
    </w:p>
    <w:p w14:paraId="08E46AD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тыс. руб.)</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795"/>
        <w:gridCol w:w="3525"/>
        <w:gridCol w:w="1080"/>
        <w:gridCol w:w="2220"/>
        <w:gridCol w:w="2280"/>
        <w:gridCol w:w="1080"/>
      </w:tblGrid>
      <w:tr w:rsidR="005106D0" w:rsidRPr="007224C3" w14:paraId="5A93545E" w14:textId="77777777" w:rsidTr="00595BFB">
        <w:trPr>
          <w:jc w:val="center"/>
        </w:trPr>
        <w:tc>
          <w:tcPr>
            <w:tcW w:w="795" w:type="dxa"/>
            <w:tcBorders>
              <w:top w:val="single" w:sz="12" w:space="0" w:color="auto"/>
            </w:tcBorders>
          </w:tcPr>
          <w:p w14:paraId="3DE4049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пп</w:t>
            </w:r>
          </w:p>
        </w:tc>
        <w:tc>
          <w:tcPr>
            <w:tcW w:w="3525" w:type="dxa"/>
            <w:tcBorders>
              <w:top w:val="single" w:sz="12" w:space="0" w:color="auto"/>
            </w:tcBorders>
          </w:tcPr>
          <w:p w14:paraId="6F8FDA3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Наименование объектов</w:t>
            </w:r>
          </w:p>
        </w:tc>
        <w:tc>
          <w:tcPr>
            <w:tcW w:w="1080" w:type="dxa"/>
            <w:tcBorders>
              <w:top w:val="single" w:sz="12" w:space="0" w:color="auto"/>
            </w:tcBorders>
          </w:tcPr>
          <w:p w14:paraId="7CB3118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объем</w:t>
            </w:r>
          </w:p>
        </w:tc>
        <w:tc>
          <w:tcPr>
            <w:tcW w:w="2220" w:type="dxa"/>
            <w:gridSpan w:val="2"/>
            <w:tcBorders>
              <w:top w:val="single" w:sz="12" w:space="0" w:color="auto"/>
            </w:tcBorders>
          </w:tcPr>
          <w:p w14:paraId="7CB5101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том числе</w:t>
            </w:r>
          </w:p>
        </w:tc>
        <w:tc>
          <w:tcPr>
            <w:tcW w:w="1080" w:type="dxa"/>
            <w:tcBorders>
              <w:top w:val="single" w:sz="12" w:space="0" w:color="auto"/>
            </w:tcBorders>
          </w:tcPr>
          <w:p w14:paraId="4936E8F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Срок ввода в действие</w:t>
            </w:r>
          </w:p>
        </w:tc>
      </w:tr>
      <w:tr w:rsidR="005106D0" w:rsidRPr="007224C3" w14:paraId="07B95F15" w14:textId="77777777">
        <w:trPr>
          <w:jc w:val="center"/>
        </w:trPr>
        <w:tc>
          <w:tcPr>
            <w:tcW w:w="795" w:type="dxa"/>
          </w:tcPr>
          <w:p w14:paraId="61188CC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3525" w:type="dxa"/>
          </w:tcPr>
          <w:p w14:paraId="05DDF7C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2F77515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2220" w:type="dxa"/>
          </w:tcPr>
          <w:p w14:paraId="0F77DAA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строительно-монтажных работ</w:t>
            </w:r>
          </w:p>
        </w:tc>
        <w:tc>
          <w:tcPr>
            <w:tcW w:w="2280" w:type="dxa"/>
          </w:tcPr>
          <w:p w14:paraId="040C426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оборудование</w:t>
            </w:r>
          </w:p>
        </w:tc>
        <w:tc>
          <w:tcPr>
            <w:tcW w:w="1080" w:type="dxa"/>
          </w:tcPr>
          <w:p w14:paraId="655BA44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04FF8E5" w14:textId="77777777">
        <w:trPr>
          <w:jc w:val="center"/>
        </w:trPr>
        <w:tc>
          <w:tcPr>
            <w:tcW w:w="795" w:type="dxa"/>
          </w:tcPr>
          <w:p w14:paraId="6D8159B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tc>
        <w:tc>
          <w:tcPr>
            <w:tcW w:w="3525" w:type="dxa"/>
          </w:tcPr>
          <w:p w14:paraId="165B4D9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База охраны водного района бухта Стрелецкая</w:t>
            </w:r>
          </w:p>
          <w:p w14:paraId="47BD90B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Восстановление оградительного мола, причальной набережной механических мастерских, складов горючего с насосной и коммуникациями, служебных и жилых зданий, дорог и инженерных сетей. Постройка причала механической мастерской, склада технического имущества и столовой-камбуза</w:t>
            </w:r>
          </w:p>
        </w:tc>
        <w:tc>
          <w:tcPr>
            <w:tcW w:w="1080" w:type="dxa"/>
          </w:tcPr>
          <w:p w14:paraId="4E65D96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2240</w:t>
            </w:r>
          </w:p>
        </w:tc>
        <w:tc>
          <w:tcPr>
            <w:tcW w:w="2220" w:type="dxa"/>
          </w:tcPr>
          <w:p w14:paraId="345145B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1820</w:t>
            </w:r>
          </w:p>
        </w:tc>
        <w:tc>
          <w:tcPr>
            <w:tcW w:w="2280" w:type="dxa"/>
          </w:tcPr>
          <w:p w14:paraId="2CEC516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420</w:t>
            </w:r>
          </w:p>
        </w:tc>
        <w:tc>
          <w:tcPr>
            <w:tcW w:w="1080" w:type="dxa"/>
          </w:tcPr>
          <w:p w14:paraId="00FBA0A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Ноябрь</w:t>
            </w:r>
          </w:p>
        </w:tc>
      </w:tr>
      <w:tr w:rsidR="005106D0" w:rsidRPr="007224C3" w14:paraId="0DB4519F" w14:textId="77777777">
        <w:trPr>
          <w:jc w:val="center"/>
        </w:trPr>
        <w:tc>
          <w:tcPr>
            <w:tcW w:w="795" w:type="dxa"/>
          </w:tcPr>
          <w:p w14:paraId="270C403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tc>
        <w:tc>
          <w:tcPr>
            <w:tcW w:w="3525" w:type="dxa"/>
          </w:tcPr>
          <w:p w14:paraId="1C072BF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База торпедных катеров бухта Карантинная</w:t>
            </w:r>
          </w:p>
          <w:p w14:paraId="5A2E2A8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Восстановление набережной, причала, эллинга, дизельной, аккумуляторной, судоремонтных </w:t>
            </w:r>
            <w:r w:rsidRPr="007224C3">
              <w:rPr>
                <w:rFonts w:ascii="Times New Roman" w:hAnsi="Times New Roman"/>
                <w:color w:val="000000" w:themeColor="text1"/>
                <w:sz w:val="16"/>
                <w:szCs w:val="16"/>
              </w:rPr>
              <w:lastRenderedPageBreak/>
              <w:t>мастерских, склада горючего с коммуникациями, складских, служебных и жилых зданий, дорог и инженерных сетей, Постройка компрессорной и радиостанции</w:t>
            </w:r>
          </w:p>
        </w:tc>
        <w:tc>
          <w:tcPr>
            <w:tcW w:w="1080" w:type="dxa"/>
          </w:tcPr>
          <w:p w14:paraId="38222C5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2620</w:t>
            </w:r>
          </w:p>
        </w:tc>
        <w:tc>
          <w:tcPr>
            <w:tcW w:w="2220" w:type="dxa"/>
          </w:tcPr>
          <w:p w14:paraId="120B373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2670</w:t>
            </w:r>
          </w:p>
        </w:tc>
        <w:tc>
          <w:tcPr>
            <w:tcW w:w="2280" w:type="dxa"/>
          </w:tcPr>
          <w:p w14:paraId="5352AC6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950</w:t>
            </w:r>
          </w:p>
        </w:tc>
        <w:tc>
          <w:tcPr>
            <w:tcW w:w="1080" w:type="dxa"/>
          </w:tcPr>
          <w:p w14:paraId="25AD8AD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Декабрь</w:t>
            </w:r>
          </w:p>
        </w:tc>
      </w:tr>
      <w:tr w:rsidR="005106D0" w:rsidRPr="007224C3" w14:paraId="25091790" w14:textId="77777777">
        <w:trPr>
          <w:jc w:val="center"/>
        </w:trPr>
        <w:tc>
          <w:tcPr>
            <w:tcW w:w="795" w:type="dxa"/>
          </w:tcPr>
          <w:p w14:paraId="59ABE95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tc>
        <w:tc>
          <w:tcPr>
            <w:tcW w:w="3525" w:type="dxa"/>
          </w:tcPr>
          <w:p w14:paraId="3324CC9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База эсминцев в Южной бухте</w:t>
            </w:r>
          </w:p>
          <w:p w14:paraId="25C95FA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Восстановление причального фронта, расходных складов, инженерных сетей и дорог</w:t>
            </w:r>
          </w:p>
        </w:tc>
        <w:tc>
          <w:tcPr>
            <w:tcW w:w="1080" w:type="dxa"/>
          </w:tcPr>
          <w:p w14:paraId="39663B6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686</w:t>
            </w:r>
          </w:p>
        </w:tc>
        <w:tc>
          <w:tcPr>
            <w:tcW w:w="2220" w:type="dxa"/>
          </w:tcPr>
          <w:p w14:paraId="220142F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646</w:t>
            </w:r>
          </w:p>
        </w:tc>
        <w:tc>
          <w:tcPr>
            <w:tcW w:w="2280" w:type="dxa"/>
          </w:tcPr>
          <w:p w14:paraId="2573F80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w:t>
            </w:r>
          </w:p>
        </w:tc>
        <w:tc>
          <w:tcPr>
            <w:tcW w:w="1080" w:type="dxa"/>
          </w:tcPr>
          <w:p w14:paraId="6CFF9BC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Декабрь</w:t>
            </w:r>
          </w:p>
        </w:tc>
      </w:tr>
      <w:tr w:rsidR="005106D0" w:rsidRPr="007224C3" w14:paraId="78894D03" w14:textId="77777777">
        <w:trPr>
          <w:jc w:val="center"/>
        </w:trPr>
        <w:tc>
          <w:tcPr>
            <w:tcW w:w="795" w:type="dxa"/>
          </w:tcPr>
          <w:p w14:paraId="68D9AE2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w:t>
            </w:r>
          </w:p>
        </w:tc>
        <w:tc>
          <w:tcPr>
            <w:tcW w:w="3525" w:type="dxa"/>
          </w:tcPr>
          <w:p w14:paraId="01FBDD6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База подводных лодок – Восточная сторона Южной бухты</w:t>
            </w:r>
          </w:p>
          <w:p w14:paraId="36695ED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Восстановление причалов, судоремонтной мастерской, аккумуляторной, опреснительной, дистиляторной и котельной, компрессорной, складов БЗО, артбоезапаса, горючего, служебных и жилых зданий,</w:t>
            </w:r>
          </w:p>
          <w:p w14:paraId="0368D85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инженерных сетей, дорог й связи, постройка мастерской приготовленья торпед к зарядовой станции</w:t>
            </w:r>
          </w:p>
        </w:tc>
        <w:tc>
          <w:tcPr>
            <w:tcW w:w="1080" w:type="dxa"/>
          </w:tcPr>
          <w:p w14:paraId="684172B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2358</w:t>
            </w:r>
          </w:p>
        </w:tc>
        <w:tc>
          <w:tcPr>
            <w:tcW w:w="2220" w:type="dxa"/>
          </w:tcPr>
          <w:p w14:paraId="31DA341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1727</w:t>
            </w:r>
          </w:p>
        </w:tc>
        <w:tc>
          <w:tcPr>
            <w:tcW w:w="2280" w:type="dxa"/>
          </w:tcPr>
          <w:p w14:paraId="1B0D21E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631</w:t>
            </w:r>
          </w:p>
        </w:tc>
        <w:tc>
          <w:tcPr>
            <w:tcW w:w="1080" w:type="dxa"/>
          </w:tcPr>
          <w:p w14:paraId="61D9B88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Ноябрь</w:t>
            </w:r>
          </w:p>
        </w:tc>
      </w:tr>
      <w:tr w:rsidR="005106D0" w:rsidRPr="007224C3" w14:paraId="14B355A0" w14:textId="77777777">
        <w:trPr>
          <w:jc w:val="center"/>
        </w:trPr>
        <w:tc>
          <w:tcPr>
            <w:tcW w:w="795" w:type="dxa"/>
          </w:tcPr>
          <w:p w14:paraId="465C65D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tc>
        <w:tc>
          <w:tcPr>
            <w:tcW w:w="3525" w:type="dxa"/>
          </w:tcPr>
          <w:p w14:paraId="61BC161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Причалы для вспомогательных плавсредств в Южной бухте</w:t>
            </w:r>
          </w:p>
          <w:p w14:paraId="07A9400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Восстановление причалов, пирсов и ремонт набережной и подъездных путей</w:t>
            </w:r>
          </w:p>
        </w:tc>
        <w:tc>
          <w:tcPr>
            <w:tcW w:w="1080" w:type="dxa"/>
          </w:tcPr>
          <w:p w14:paraId="030A698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290</w:t>
            </w:r>
          </w:p>
        </w:tc>
        <w:tc>
          <w:tcPr>
            <w:tcW w:w="2220" w:type="dxa"/>
          </w:tcPr>
          <w:p w14:paraId="417EDB6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290</w:t>
            </w:r>
          </w:p>
        </w:tc>
        <w:tc>
          <w:tcPr>
            <w:tcW w:w="2280" w:type="dxa"/>
          </w:tcPr>
          <w:p w14:paraId="3AB3A7D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080" w:type="dxa"/>
          </w:tcPr>
          <w:p w14:paraId="193B583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Ноябрь</w:t>
            </w:r>
          </w:p>
        </w:tc>
      </w:tr>
      <w:tr w:rsidR="005106D0" w:rsidRPr="007224C3" w14:paraId="57821742" w14:textId="77777777">
        <w:trPr>
          <w:jc w:val="center"/>
        </w:trPr>
        <w:tc>
          <w:tcPr>
            <w:tcW w:w="795" w:type="dxa"/>
          </w:tcPr>
          <w:p w14:paraId="3EE89E5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w:t>
            </w:r>
          </w:p>
        </w:tc>
        <w:tc>
          <w:tcPr>
            <w:tcW w:w="3525" w:type="dxa"/>
          </w:tcPr>
          <w:p w14:paraId="7D0F207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Базовые мастерские Технического отдела в Южной бухте</w:t>
            </w:r>
          </w:p>
          <w:p w14:paraId="485D12D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Восстановление цехов: электромеханического, электро-моторного, измерительных приборов, литейного, кузницы, котельной, Устройство высоковольтных сетей и трансформаторных киосков</w:t>
            </w:r>
          </w:p>
        </w:tc>
        <w:tc>
          <w:tcPr>
            <w:tcW w:w="1080" w:type="dxa"/>
          </w:tcPr>
          <w:p w14:paraId="35A81F4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1080</w:t>
            </w:r>
          </w:p>
        </w:tc>
        <w:tc>
          <w:tcPr>
            <w:tcW w:w="2220" w:type="dxa"/>
          </w:tcPr>
          <w:p w14:paraId="0DC43BC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1030</w:t>
            </w:r>
          </w:p>
        </w:tc>
        <w:tc>
          <w:tcPr>
            <w:tcW w:w="2280" w:type="dxa"/>
          </w:tcPr>
          <w:p w14:paraId="3C365DD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w:t>
            </w:r>
          </w:p>
        </w:tc>
        <w:tc>
          <w:tcPr>
            <w:tcW w:w="1080" w:type="dxa"/>
          </w:tcPr>
          <w:p w14:paraId="0CBA05E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Декабрь</w:t>
            </w:r>
          </w:p>
        </w:tc>
      </w:tr>
      <w:tr w:rsidR="005106D0" w:rsidRPr="007224C3" w14:paraId="1D4C011F" w14:textId="77777777">
        <w:trPr>
          <w:jc w:val="center"/>
        </w:trPr>
        <w:tc>
          <w:tcPr>
            <w:tcW w:w="795" w:type="dxa"/>
          </w:tcPr>
          <w:p w14:paraId="34C327B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w:t>
            </w:r>
          </w:p>
        </w:tc>
        <w:tc>
          <w:tcPr>
            <w:tcW w:w="3525" w:type="dxa"/>
          </w:tcPr>
          <w:p w14:paraId="3DD7E1D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Судоремонтные мастерские технического отдела в Килен – бухте</w:t>
            </w:r>
          </w:p>
          <w:p w14:paraId="1E00A63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Восстановление причала, кислородной станции, кузницы и цехов: корпусного, литейного, медницкого, механосборочного и прокладка инженерных сетей</w:t>
            </w:r>
          </w:p>
        </w:tc>
        <w:tc>
          <w:tcPr>
            <w:tcW w:w="1080" w:type="dxa"/>
          </w:tcPr>
          <w:p w14:paraId="19F5580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1805</w:t>
            </w:r>
          </w:p>
        </w:tc>
        <w:tc>
          <w:tcPr>
            <w:tcW w:w="2220" w:type="dxa"/>
          </w:tcPr>
          <w:p w14:paraId="743F12C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1345</w:t>
            </w:r>
          </w:p>
        </w:tc>
        <w:tc>
          <w:tcPr>
            <w:tcW w:w="2280" w:type="dxa"/>
          </w:tcPr>
          <w:p w14:paraId="32BF6CE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460</w:t>
            </w:r>
          </w:p>
        </w:tc>
        <w:tc>
          <w:tcPr>
            <w:tcW w:w="1080" w:type="dxa"/>
          </w:tcPr>
          <w:p w14:paraId="74C0A37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Декабрь</w:t>
            </w:r>
          </w:p>
        </w:tc>
      </w:tr>
      <w:tr w:rsidR="005106D0" w:rsidRPr="007224C3" w14:paraId="6A27B2C2" w14:textId="77777777">
        <w:trPr>
          <w:jc w:val="center"/>
        </w:trPr>
        <w:tc>
          <w:tcPr>
            <w:tcW w:w="795" w:type="dxa"/>
          </w:tcPr>
          <w:p w14:paraId="07D3C38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w:t>
            </w:r>
          </w:p>
        </w:tc>
        <w:tc>
          <w:tcPr>
            <w:tcW w:w="3525" w:type="dxa"/>
          </w:tcPr>
          <w:p w14:paraId="6200CD8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Мастерские и склады минно-торпедного отдела в Троицкой балке</w:t>
            </w:r>
          </w:p>
          <w:p w14:paraId="53D9E32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Восстановление причалов, торпедной мастерской с компрессорной, тоннельных складов торпед и БЗО, кузницы, служебного здания, инженерных сетей, дорог. Устройство связи и сигнализации.</w:t>
            </w:r>
          </w:p>
        </w:tc>
        <w:tc>
          <w:tcPr>
            <w:tcW w:w="1080" w:type="dxa"/>
          </w:tcPr>
          <w:p w14:paraId="68EC159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795</w:t>
            </w:r>
          </w:p>
        </w:tc>
        <w:tc>
          <w:tcPr>
            <w:tcW w:w="2220" w:type="dxa"/>
          </w:tcPr>
          <w:p w14:paraId="440584E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510</w:t>
            </w:r>
          </w:p>
        </w:tc>
        <w:tc>
          <w:tcPr>
            <w:tcW w:w="2280" w:type="dxa"/>
          </w:tcPr>
          <w:p w14:paraId="22C817C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285</w:t>
            </w:r>
          </w:p>
        </w:tc>
        <w:tc>
          <w:tcPr>
            <w:tcW w:w="1080" w:type="dxa"/>
          </w:tcPr>
          <w:p w14:paraId="7144741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Декабрь</w:t>
            </w:r>
          </w:p>
        </w:tc>
      </w:tr>
      <w:tr w:rsidR="005106D0" w:rsidRPr="007224C3" w14:paraId="6077E385" w14:textId="77777777">
        <w:trPr>
          <w:jc w:val="center"/>
        </w:trPr>
        <w:tc>
          <w:tcPr>
            <w:tcW w:w="795" w:type="dxa"/>
          </w:tcPr>
          <w:p w14:paraId="1001B31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w:t>
            </w:r>
          </w:p>
        </w:tc>
        <w:tc>
          <w:tcPr>
            <w:tcW w:w="3525" w:type="dxa"/>
          </w:tcPr>
          <w:p w14:paraId="2C40417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Склады жидкого топлива Клеопиной балке</w:t>
            </w:r>
          </w:p>
          <w:p w14:paraId="381B357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Восстановление штолен для мазута, соляра, бензина, цистерн для бензина и масел, насосных для нефте продуктов и масла с коммуникациями, котельной, сливных и приемных устройств, пирсов, инженерных сетей и связи</w:t>
            </w:r>
          </w:p>
        </w:tc>
        <w:tc>
          <w:tcPr>
            <w:tcW w:w="1080" w:type="dxa"/>
          </w:tcPr>
          <w:p w14:paraId="06DFC10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4355</w:t>
            </w:r>
          </w:p>
        </w:tc>
        <w:tc>
          <w:tcPr>
            <w:tcW w:w="2220" w:type="dxa"/>
          </w:tcPr>
          <w:p w14:paraId="50FDAB8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2925</w:t>
            </w:r>
          </w:p>
        </w:tc>
        <w:tc>
          <w:tcPr>
            <w:tcW w:w="2280" w:type="dxa"/>
          </w:tcPr>
          <w:p w14:paraId="2EA9F61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1430</w:t>
            </w:r>
          </w:p>
        </w:tc>
        <w:tc>
          <w:tcPr>
            <w:tcW w:w="1080" w:type="dxa"/>
          </w:tcPr>
          <w:p w14:paraId="4951C17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Декабрь</w:t>
            </w:r>
          </w:p>
        </w:tc>
      </w:tr>
      <w:tr w:rsidR="005106D0" w:rsidRPr="007224C3" w14:paraId="0B62736F" w14:textId="77777777">
        <w:trPr>
          <w:jc w:val="center"/>
        </w:trPr>
        <w:tc>
          <w:tcPr>
            <w:tcW w:w="795" w:type="dxa"/>
          </w:tcPr>
          <w:p w14:paraId="726057B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w:t>
            </w:r>
          </w:p>
        </w:tc>
        <w:tc>
          <w:tcPr>
            <w:tcW w:w="3525" w:type="dxa"/>
          </w:tcPr>
          <w:p w14:paraId="751288C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Склады минно-торпедного отдела в Сухарной балке</w:t>
            </w:r>
          </w:p>
          <w:p w14:paraId="6316579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Восстановление причала, тоннельных складов мин, минной мастерской, и жилых зданий</w:t>
            </w:r>
          </w:p>
        </w:tc>
        <w:tc>
          <w:tcPr>
            <w:tcW w:w="1080" w:type="dxa"/>
          </w:tcPr>
          <w:p w14:paraId="6B2A39B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1045</w:t>
            </w:r>
          </w:p>
        </w:tc>
        <w:tc>
          <w:tcPr>
            <w:tcW w:w="2220" w:type="dxa"/>
          </w:tcPr>
          <w:p w14:paraId="4DF49B0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958</w:t>
            </w:r>
          </w:p>
        </w:tc>
        <w:tc>
          <w:tcPr>
            <w:tcW w:w="2280" w:type="dxa"/>
          </w:tcPr>
          <w:p w14:paraId="3BEC90C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87</w:t>
            </w:r>
          </w:p>
        </w:tc>
        <w:tc>
          <w:tcPr>
            <w:tcW w:w="1080" w:type="dxa"/>
          </w:tcPr>
          <w:p w14:paraId="7D7BA47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Декабрь</w:t>
            </w:r>
          </w:p>
        </w:tc>
      </w:tr>
      <w:tr w:rsidR="005106D0" w:rsidRPr="007224C3" w14:paraId="09BDAEDB" w14:textId="77777777">
        <w:trPr>
          <w:jc w:val="center"/>
        </w:trPr>
        <w:tc>
          <w:tcPr>
            <w:tcW w:w="795" w:type="dxa"/>
          </w:tcPr>
          <w:p w14:paraId="5AF30DF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w:t>
            </w:r>
          </w:p>
        </w:tc>
        <w:tc>
          <w:tcPr>
            <w:tcW w:w="3525" w:type="dxa"/>
          </w:tcPr>
          <w:p w14:paraId="396B8FC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Мастерские артиллеристского отдела в Сухарной балке</w:t>
            </w:r>
          </w:p>
          <w:p w14:paraId="6E769C7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Восстановление цеха №1, снаряжательной, зарядной и патронной мастерских, хранилищ боезапаса химлаборатории, котельной, столовой, инженерных сетей, дорог, связи и постройка пирса для катеров</w:t>
            </w:r>
          </w:p>
        </w:tc>
        <w:tc>
          <w:tcPr>
            <w:tcW w:w="1080" w:type="dxa"/>
          </w:tcPr>
          <w:p w14:paraId="575DEB7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829</w:t>
            </w:r>
          </w:p>
        </w:tc>
        <w:tc>
          <w:tcPr>
            <w:tcW w:w="2220" w:type="dxa"/>
          </w:tcPr>
          <w:p w14:paraId="491EBA2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699</w:t>
            </w:r>
          </w:p>
        </w:tc>
        <w:tc>
          <w:tcPr>
            <w:tcW w:w="2280" w:type="dxa"/>
          </w:tcPr>
          <w:p w14:paraId="3AD82B0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130</w:t>
            </w:r>
          </w:p>
        </w:tc>
        <w:tc>
          <w:tcPr>
            <w:tcW w:w="1080" w:type="dxa"/>
          </w:tcPr>
          <w:p w14:paraId="11F89D7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Декабрь</w:t>
            </w:r>
          </w:p>
        </w:tc>
      </w:tr>
      <w:tr w:rsidR="005106D0" w:rsidRPr="007224C3" w14:paraId="0790B882" w14:textId="77777777">
        <w:trPr>
          <w:jc w:val="center"/>
        </w:trPr>
        <w:tc>
          <w:tcPr>
            <w:tcW w:w="795" w:type="dxa"/>
          </w:tcPr>
          <w:p w14:paraId="4CE9CC1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w:t>
            </w:r>
          </w:p>
        </w:tc>
        <w:tc>
          <w:tcPr>
            <w:tcW w:w="3525" w:type="dxa"/>
          </w:tcPr>
          <w:p w14:paraId="40487C7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Склады минно-торпедного отдела в маячной бухте</w:t>
            </w:r>
          </w:p>
          <w:p w14:paraId="37DB5B0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Восстановление набережной, тоннельных хранилищ, жилого дома, дорог, инженерных сетей и устройство связи и сигнализации</w:t>
            </w:r>
          </w:p>
        </w:tc>
        <w:tc>
          <w:tcPr>
            <w:tcW w:w="1080" w:type="dxa"/>
          </w:tcPr>
          <w:p w14:paraId="753F590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474</w:t>
            </w:r>
          </w:p>
        </w:tc>
        <w:tc>
          <w:tcPr>
            <w:tcW w:w="2220" w:type="dxa"/>
          </w:tcPr>
          <w:p w14:paraId="1A46702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410</w:t>
            </w:r>
          </w:p>
        </w:tc>
        <w:tc>
          <w:tcPr>
            <w:tcW w:w="2280" w:type="dxa"/>
          </w:tcPr>
          <w:p w14:paraId="1B4A4F1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64</w:t>
            </w:r>
          </w:p>
        </w:tc>
        <w:tc>
          <w:tcPr>
            <w:tcW w:w="1080" w:type="dxa"/>
          </w:tcPr>
          <w:p w14:paraId="0CC89F3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Декабрь</w:t>
            </w:r>
          </w:p>
        </w:tc>
      </w:tr>
      <w:tr w:rsidR="005106D0" w:rsidRPr="007224C3" w14:paraId="56E0C35E" w14:textId="77777777">
        <w:trPr>
          <w:jc w:val="center"/>
        </w:trPr>
        <w:tc>
          <w:tcPr>
            <w:tcW w:w="795" w:type="dxa"/>
          </w:tcPr>
          <w:p w14:paraId="5602F73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w:t>
            </w:r>
          </w:p>
        </w:tc>
        <w:tc>
          <w:tcPr>
            <w:tcW w:w="3525" w:type="dxa"/>
          </w:tcPr>
          <w:p w14:paraId="4AD1F3D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Склады и мастерские № 12 минно-торпедного отдела в инженерной балке</w:t>
            </w:r>
          </w:p>
          <w:p w14:paraId="738414D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Восстановление причала, подъездных путей, складов тралов, мастерских, котельной, инженерных сетей и связи и ремонт служебных помещений </w:t>
            </w:r>
          </w:p>
        </w:tc>
        <w:tc>
          <w:tcPr>
            <w:tcW w:w="1080" w:type="dxa"/>
          </w:tcPr>
          <w:p w14:paraId="2D20232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1040</w:t>
            </w:r>
          </w:p>
        </w:tc>
        <w:tc>
          <w:tcPr>
            <w:tcW w:w="2220" w:type="dxa"/>
          </w:tcPr>
          <w:p w14:paraId="44F10E5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705</w:t>
            </w:r>
          </w:p>
        </w:tc>
        <w:tc>
          <w:tcPr>
            <w:tcW w:w="2280" w:type="dxa"/>
          </w:tcPr>
          <w:p w14:paraId="6EC01FE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335</w:t>
            </w:r>
          </w:p>
        </w:tc>
        <w:tc>
          <w:tcPr>
            <w:tcW w:w="1080" w:type="dxa"/>
          </w:tcPr>
          <w:p w14:paraId="5B93F9B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Декабрь</w:t>
            </w:r>
          </w:p>
        </w:tc>
      </w:tr>
      <w:tr w:rsidR="005106D0" w:rsidRPr="007224C3" w14:paraId="466662BF" w14:textId="77777777">
        <w:trPr>
          <w:jc w:val="center"/>
        </w:trPr>
        <w:tc>
          <w:tcPr>
            <w:tcW w:w="795" w:type="dxa"/>
          </w:tcPr>
          <w:p w14:paraId="07B3C2B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w:t>
            </w:r>
          </w:p>
        </w:tc>
        <w:tc>
          <w:tcPr>
            <w:tcW w:w="3525" w:type="dxa"/>
          </w:tcPr>
          <w:p w14:paraId="1641D0F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Оптические мастерские артиллерийского отдела в инженерной балке</w:t>
            </w:r>
          </w:p>
          <w:p w14:paraId="75F9FEB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Восстановление железо-бетонного пирса, оптической и перископной мастерских, хранилищ материальной части, инженерных сетей и постройка щитовой мастерской</w:t>
            </w:r>
          </w:p>
        </w:tc>
        <w:tc>
          <w:tcPr>
            <w:tcW w:w="1080" w:type="dxa"/>
          </w:tcPr>
          <w:p w14:paraId="12AEEAF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425</w:t>
            </w:r>
          </w:p>
        </w:tc>
        <w:tc>
          <w:tcPr>
            <w:tcW w:w="2220" w:type="dxa"/>
          </w:tcPr>
          <w:p w14:paraId="5B799A4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340</w:t>
            </w:r>
          </w:p>
        </w:tc>
        <w:tc>
          <w:tcPr>
            <w:tcW w:w="2280" w:type="dxa"/>
          </w:tcPr>
          <w:p w14:paraId="6320F36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85</w:t>
            </w:r>
          </w:p>
        </w:tc>
        <w:tc>
          <w:tcPr>
            <w:tcW w:w="1080" w:type="dxa"/>
          </w:tcPr>
          <w:p w14:paraId="0227A80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Декабрь</w:t>
            </w:r>
          </w:p>
        </w:tc>
      </w:tr>
      <w:tr w:rsidR="005106D0" w:rsidRPr="007224C3" w14:paraId="5C1CEB72" w14:textId="77777777">
        <w:trPr>
          <w:jc w:val="center"/>
        </w:trPr>
        <w:tc>
          <w:tcPr>
            <w:tcW w:w="795" w:type="dxa"/>
            <w:tcBorders>
              <w:bottom w:val="single" w:sz="12" w:space="0" w:color="auto"/>
            </w:tcBorders>
          </w:tcPr>
          <w:p w14:paraId="60E70E6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15 </w:t>
            </w:r>
          </w:p>
        </w:tc>
        <w:tc>
          <w:tcPr>
            <w:tcW w:w="3525" w:type="dxa"/>
            <w:tcBorders>
              <w:bottom w:val="single" w:sz="12" w:space="0" w:color="auto"/>
            </w:tcBorders>
          </w:tcPr>
          <w:p w14:paraId="1B21890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Артиллерийский ремонтный завод № 1127 – Южная бухта (Западная сторона)</w:t>
            </w:r>
          </w:p>
          <w:p w14:paraId="709276B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Восстановление причала, мастерских вооружения, инженерных сетей и постройка кузницы</w:t>
            </w:r>
          </w:p>
        </w:tc>
        <w:tc>
          <w:tcPr>
            <w:tcW w:w="1080" w:type="dxa"/>
            <w:tcBorders>
              <w:bottom w:val="single" w:sz="12" w:space="0" w:color="auto"/>
            </w:tcBorders>
          </w:tcPr>
          <w:p w14:paraId="3DE0DB3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1110</w:t>
            </w:r>
          </w:p>
        </w:tc>
        <w:tc>
          <w:tcPr>
            <w:tcW w:w="2220" w:type="dxa"/>
            <w:tcBorders>
              <w:bottom w:val="single" w:sz="12" w:space="0" w:color="auto"/>
            </w:tcBorders>
          </w:tcPr>
          <w:p w14:paraId="7645ADC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690</w:t>
            </w:r>
          </w:p>
        </w:tc>
        <w:tc>
          <w:tcPr>
            <w:tcW w:w="2280" w:type="dxa"/>
            <w:tcBorders>
              <w:bottom w:val="single" w:sz="12" w:space="0" w:color="auto"/>
            </w:tcBorders>
          </w:tcPr>
          <w:p w14:paraId="6A27C5D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420</w:t>
            </w:r>
          </w:p>
        </w:tc>
        <w:tc>
          <w:tcPr>
            <w:tcW w:w="1080" w:type="dxa"/>
            <w:tcBorders>
              <w:bottom w:val="single" w:sz="12" w:space="0" w:color="auto"/>
            </w:tcBorders>
          </w:tcPr>
          <w:p w14:paraId="12DDA55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Декабрь</w:t>
            </w:r>
          </w:p>
        </w:tc>
      </w:tr>
    </w:tbl>
    <w:p w14:paraId="5C81636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Сов. Секретно</w:t>
      </w:r>
    </w:p>
    <w:p w14:paraId="6ACE80D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Приложение № 3</w:t>
      </w:r>
    </w:p>
    <w:p w14:paraId="0F30A01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Постановлению ГОКО № 6048 сс От "14" июня 1944 г.</w:t>
      </w:r>
    </w:p>
    <w:p w14:paraId="5779E42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ТИТУЛЬНЫЙ СПИСОК</w:t>
      </w:r>
    </w:p>
    <w:p w14:paraId="7A3176B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работ, выполняемых Наркомстроем в 1944 г. По Севастопольскому судоремонтному заводу Наркомсудпрома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645"/>
        <w:gridCol w:w="3180"/>
        <w:gridCol w:w="1920"/>
        <w:gridCol w:w="1920"/>
        <w:gridCol w:w="1920"/>
      </w:tblGrid>
      <w:tr w:rsidR="005106D0" w:rsidRPr="007224C3" w14:paraId="5E1D21EB" w14:textId="77777777">
        <w:trPr>
          <w:jc w:val="center"/>
        </w:trPr>
        <w:tc>
          <w:tcPr>
            <w:tcW w:w="645" w:type="dxa"/>
            <w:tcBorders>
              <w:top w:val="single" w:sz="12" w:space="0" w:color="auto"/>
            </w:tcBorders>
          </w:tcPr>
          <w:p w14:paraId="56A340B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w:t>
            </w:r>
          </w:p>
          <w:p w14:paraId="4FF5786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ПП</w:t>
            </w:r>
          </w:p>
        </w:tc>
        <w:tc>
          <w:tcPr>
            <w:tcW w:w="3180" w:type="dxa"/>
            <w:tcBorders>
              <w:top w:val="single" w:sz="12" w:space="0" w:color="auto"/>
            </w:tcBorders>
          </w:tcPr>
          <w:p w14:paraId="1719DB4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Наименование объектов</w:t>
            </w:r>
          </w:p>
        </w:tc>
        <w:tc>
          <w:tcPr>
            <w:tcW w:w="1920" w:type="dxa"/>
            <w:tcBorders>
              <w:top w:val="single" w:sz="12" w:space="0" w:color="auto"/>
            </w:tcBorders>
          </w:tcPr>
          <w:p w14:paraId="55FEA31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Полная стоимость стр. монтажных работ в тыс. руб.</w:t>
            </w:r>
          </w:p>
        </w:tc>
        <w:tc>
          <w:tcPr>
            <w:tcW w:w="1920" w:type="dxa"/>
            <w:tcBorders>
              <w:top w:val="single" w:sz="12" w:space="0" w:color="auto"/>
            </w:tcBorders>
          </w:tcPr>
          <w:p w14:paraId="24C370D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 ч. на 1944 г. В т. руб.</w:t>
            </w:r>
          </w:p>
        </w:tc>
        <w:tc>
          <w:tcPr>
            <w:tcW w:w="1920" w:type="dxa"/>
            <w:tcBorders>
              <w:top w:val="single" w:sz="12" w:space="0" w:color="auto"/>
            </w:tcBorders>
          </w:tcPr>
          <w:p w14:paraId="78CCA68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Срок выполнения</w:t>
            </w:r>
          </w:p>
        </w:tc>
      </w:tr>
      <w:tr w:rsidR="005106D0" w:rsidRPr="007224C3" w14:paraId="250D6B1E" w14:textId="77777777" w:rsidTr="00595BFB">
        <w:trPr>
          <w:jc w:val="center"/>
        </w:trPr>
        <w:tc>
          <w:tcPr>
            <w:tcW w:w="645" w:type="dxa"/>
            <w:gridSpan w:val="5"/>
          </w:tcPr>
          <w:p w14:paraId="1EAB19E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Гидротехнические сооружения</w:t>
            </w:r>
          </w:p>
        </w:tc>
      </w:tr>
      <w:tr w:rsidR="005106D0" w:rsidRPr="007224C3" w14:paraId="25EE2195" w14:textId="77777777">
        <w:trPr>
          <w:jc w:val="center"/>
        </w:trPr>
        <w:tc>
          <w:tcPr>
            <w:tcW w:w="645" w:type="dxa"/>
          </w:tcPr>
          <w:p w14:paraId="0ED31A3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tc>
        <w:tc>
          <w:tcPr>
            <w:tcW w:w="3180" w:type="dxa"/>
          </w:tcPr>
          <w:p w14:paraId="53A1924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Северный док с насосной станцией</w:t>
            </w:r>
          </w:p>
        </w:tc>
        <w:tc>
          <w:tcPr>
            <w:tcW w:w="1920" w:type="dxa"/>
          </w:tcPr>
          <w:p w14:paraId="7875E05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2250</w:t>
            </w:r>
          </w:p>
        </w:tc>
        <w:tc>
          <w:tcPr>
            <w:tcW w:w="1920" w:type="dxa"/>
          </w:tcPr>
          <w:p w14:paraId="5D2C8A6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2250</w:t>
            </w:r>
          </w:p>
        </w:tc>
        <w:tc>
          <w:tcPr>
            <w:tcW w:w="1920" w:type="dxa"/>
          </w:tcPr>
          <w:p w14:paraId="10C663C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Декабрь</w:t>
            </w:r>
          </w:p>
        </w:tc>
      </w:tr>
      <w:tr w:rsidR="005106D0" w:rsidRPr="007224C3" w14:paraId="5630CB95" w14:textId="77777777">
        <w:trPr>
          <w:jc w:val="center"/>
        </w:trPr>
        <w:tc>
          <w:tcPr>
            <w:tcW w:w="645" w:type="dxa"/>
          </w:tcPr>
          <w:p w14:paraId="3B8B20A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tc>
        <w:tc>
          <w:tcPr>
            <w:tcW w:w="3180" w:type="dxa"/>
          </w:tcPr>
          <w:p w14:paraId="636F8F9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Набережные Северного дока</w:t>
            </w:r>
          </w:p>
        </w:tc>
        <w:tc>
          <w:tcPr>
            <w:tcW w:w="1920" w:type="dxa"/>
          </w:tcPr>
          <w:p w14:paraId="49E54CA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450</w:t>
            </w:r>
          </w:p>
        </w:tc>
        <w:tc>
          <w:tcPr>
            <w:tcW w:w="1920" w:type="dxa"/>
          </w:tcPr>
          <w:p w14:paraId="7CBB967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450</w:t>
            </w:r>
          </w:p>
        </w:tc>
        <w:tc>
          <w:tcPr>
            <w:tcW w:w="1920" w:type="dxa"/>
          </w:tcPr>
          <w:p w14:paraId="4388123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1944 г.</w:t>
            </w:r>
          </w:p>
        </w:tc>
      </w:tr>
      <w:tr w:rsidR="005106D0" w:rsidRPr="007224C3" w14:paraId="582D5B91" w14:textId="77777777">
        <w:trPr>
          <w:jc w:val="center"/>
        </w:trPr>
        <w:tc>
          <w:tcPr>
            <w:tcW w:w="645" w:type="dxa"/>
          </w:tcPr>
          <w:p w14:paraId="28FF050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3180" w:type="dxa"/>
          </w:tcPr>
          <w:p w14:paraId="5A706E4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Итого:</w:t>
            </w:r>
          </w:p>
        </w:tc>
        <w:tc>
          <w:tcPr>
            <w:tcW w:w="1920" w:type="dxa"/>
          </w:tcPr>
          <w:p w14:paraId="26427A7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2700</w:t>
            </w:r>
          </w:p>
        </w:tc>
        <w:tc>
          <w:tcPr>
            <w:tcW w:w="1920" w:type="dxa"/>
          </w:tcPr>
          <w:p w14:paraId="5F622D8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2700</w:t>
            </w:r>
          </w:p>
        </w:tc>
        <w:tc>
          <w:tcPr>
            <w:tcW w:w="1920" w:type="dxa"/>
          </w:tcPr>
          <w:p w14:paraId="54799A9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4A1FA11" w14:textId="77777777" w:rsidTr="00595BFB">
        <w:trPr>
          <w:jc w:val="center"/>
        </w:trPr>
        <w:tc>
          <w:tcPr>
            <w:tcW w:w="645" w:type="dxa"/>
            <w:gridSpan w:val="5"/>
          </w:tcPr>
          <w:p w14:paraId="5F1E9E0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Промышленные здания</w:t>
            </w:r>
          </w:p>
        </w:tc>
      </w:tr>
      <w:tr w:rsidR="005106D0" w:rsidRPr="007224C3" w14:paraId="1A7103DA" w14:textId="77777777">
        <w:trPr>
          <w:jc w:val="center"/>
        </w:trPr>
        <w:tc>
          <w:tcPr>
            <w:tcW w:w="645" w:type="dxa"/>
          </w:tcPr>
          <w:p w14:paraId="4503317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tc>
        <w:tc>
          <w:tcPr>
            <w:tcW w:w="3180" w:type="dxa"/>
          </w:tcPr>
          <w:p w14:paraId="268EAE6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Механический цех</w:t>
            </w:r>
          </w:p>
        </w:tc>
        <w:tc>
          <w:tcPr>
            <w:tcW w:w="1920" w:type="dxa"/>
          </w:tcPr>
          <w:p w14:paraId="4AC47F8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800</w:t>
            </w:r>
          </w:p>
        </w:tc>
        <w:tc>
          <w:tcPr>
            <w:tcW w:w="1920" w:type="dxa"/>
          </w:tcPr>
          <w:p w14:paraId="6F5D320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800</w:t>
            </w:r>
          </w:p>
        </w:tc>
        <w:tc>
          <w:tcPr>
            <w:tcW w:w="1920" w:type="dxa"/>
          </w:tcPr>
          <w:p w14:paraId="655574D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0161E589" w14:textId="77777777">
        <w:trPr>
          <w:jc w:val="center"/>
        </w:trPr>
        <w:tc>
          <w:tcPr>
            <w:tcW w:w="645" w:type="dxa"/>
          </w:tcPr>
          <w:p w14:paraId="7CAD733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tc>
        <w:tc>
          <w:tcPr>
            <w:tcW w:w="3180" w:type="dxa"/>
          </w:tcPr>
          <w:p w14:paraId="25293D6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Чугунно-литейный цех</w:t>
            </w:r>
          </w:p>
        </w:tc>
        <w:tc>
          <w:tcPr>
            <w:tcW w:w="1920" w:type="dxa"/>
          </w:tcPr>
          <w:p w14:paraId="3A26469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600</w:t>
            </w:r>
          </w:p>
        </w:tc>
        <w:tc>
          <w:tcPr>
            <w:tcW w:w="1920" w:type="dxa"/>
          </w:tcPr>
          <w:p w14:paraId="696F712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600</w:t>
            </w:r>
          </w:p>
        </w:tc>
        <w:tc>
          <w:tcPr>
            <w:tcW w:w="1920" w:type="dxa"/>
          </w:tcPr>
          <w:p w14:paraId="73543AD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5CE08730" w14:textId="77777777">
        <w:trPr>
          <w:jc w:val="center"/>
        </w:trPr>
        <w:tc>
          <w:tcPr>
            <w:tcW w:w="645" w:type="dxa"/>
          </w:tcPr>
          <w:p w14:paraId="23AF587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tc>
        <w:tc>
          <w:tcPr>
            <w:tcW w:w="3180" w:type="dxa"/>
          </w:tcPr>
          <w:p w14:paraId="18E1A0B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Бронзолитейных " "</w:t>
            </w:r>
          </w:p>
        </w:tc>
        <w:tc>
          <w:tcPr>
            <w:tcW w:w="1920" w:type="dxa"/>
          </w:tcPr>
          <w:p w14:paraId="22DEE5B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200</w:t>
            </w:r>
          </w:p>
        </w:tc>
        <w:tc>
          <w:tcPr>
            <w:tcW w:w="1920" w:type="dxa"/>
          </w:tcPr>
          <w:p w14:paraId="5C1F177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200</w:t>
            </w:r>
          </w:p>
        </w:tc>
        <w:tc>
          <w:tcPr>
            <w:tcW w:w="1920" w:type="dxa"/>
          </w:tcPr>
          <w:p w14:paraId="2FD36BE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4D3FD4C0" w14:textId="77777777">
        <w:trPr>
          <w:jc w:val="center"/>
        </w:trPr>
        <w:tc>
          <w:tcPr>
            <w:tcW w:w="645" w:type="dxa"/>
          </w:tcPr>
          <w:p w14:paraId="2CAF34B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w:t>
            </w:r>
          </w:p>
        </w:tc>
        <w:tc>
          <w:tcPr>
            <w:tcW w:w="3180" w:type="dxa"/>
          </w:tcPr>
          <w:p w14:paraId="58857EF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Деревообделочный "</w:t>
            </w:r>
          </w:p>
        </w:tc>
        <w:tc>
          <w:tcPr>
            <w:tcW w:w="1920" w:type="dxa"/>
          </w:tcPr>
          <w:p w14:paraId="1464653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150</w:t>
            </w:r>
          </w:p>
        </w:tc>
        <w:tc>
          <w:tcPr>
            <w:tcW w:w="1920" w:type="dxa"/>
          </w:tcPr>
          <w:p w14:paraId="6A8C554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150</w:t>
            </w:r>
          </w:p>
        </w:tc>
        <w:tc>
          <w:tcPr>
            <w:tcW w:w="1920" w:type="dxa"/>
          </w:tcPr>
          <w:p w14:paraId="24B19F7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10CE576D" w14:textId="77777777">
        <w:trPr>
          <w:jc w:val="center"/>
        </w:trPr>
        <w:tc>
          <w:tcPr>
            <w:tcW w:w="645" w:type="dxa"/>
          </w:tcPr>
          <w:p w14:paraId="24D1A3E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tc>
        <w:tc>
          <w:tcPr>
            <w:tcW w:w="3180" w:type="dxa"/>
          </w:tcPr>
          <w:p w14:paraId="1989290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Цех …МТ "а</w:t>
            </w:r>
          </w:p>
        </w:tc>
        <w:tc>
          <w:tcPr>
            <w:tcW w:w="1920" w:type="dxa"/>
          </w:tcPr>
          <w:p w14:paraId="3DF720F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600</w:t>
            </w:r>
          </w:p>
        </w:tc>
        <w:tc>
          <w:tcPr>
            <w:tcW w:w="1920" w:type="dxa"/>
          </w:tcPr>
          <w:p w14:paraId="4CB9A65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600</w:t>
            </w:r>
          </w:p>
        </w:tc>
        <w:tc>
          <w:tcPr>
            <w:tcW w:w="1920" w:type="dxa"/>
          </w:tcPr>
          <w:p w14:paraId="092FFB7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23269971" w14:textId="77777777">
        <w:trPr>
          <w:jc w:val="center"/>
        </w:trPr>
        <w:tc>
          <w:tcPr>
            <w:tcW w:w="645" w:type="dxa"/>
          </w:tcPr>
          <w:p w14:paraId="56FCB29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w:t>
            </w:r>
          </w:p>
        </w:tc>
        <w:tc>
          <w:tcPr>
            <w:tcW w:w="3180" w:type="dxa"/>
          </w:tcPr>
          <w:p w14:paraId="375CE57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Административные здания</w:t>
            </w:r>
          </w:p>
        </w:tc>
        <w:tc>
          <w:tcPr>
            <w:tcW w:w="1920" w:type="dxa"/>
          </w:tcPr>
          <w:p w14:paraId="01DCA59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550</w:t>
            </w:r>
          </w:p>
        </w:tc>
        <w:tc>
          <w:tcPr>
            <w:tcW w:w="1920" w:type="dxa"/>
          </w:tcPr>
          <w:p w14:paraId="08C90F5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250</w:t>
            </w:r>
          </w:p>
        </w:tc>
        <w:tc>
          <w:tcPr>
            <w:tcW w:w="1920" w:type="dxa"/>
          </w:tcPr>
          <w:p w14:paraId="245D1CC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0294127A" w14:textId="77777777">
        <w:trPr>
          <w:jc w:val="center"/>
        </w:trPr>
        <w:tc>
          <w:tcPr>
            <w:tcW w:w="645" w:type="dxa"/>
          </w:tcPr>
          <w:p w14:paraId="1AD9386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w:t>
            </w:r>
          </w:p>
        </w:tc>
        <w:tc>
          <w:tcPr>
            <w:tcW w:w="3180" w:type="dxa"/>
          </w:tcPr>
          <w:p w14:paraId="1A55163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Лесосушилка</w:t>
            </w:r>
          </w:p>
        </w:tc>
        <w:tc>
          <w:tcPr>
            <w:tcW w:w="1920" w:type="dxa"/>
          </w:tcPr>
          <w:p w14:paraId="4D42929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w:t>
            </w:r>
          </w:p>
        </w:tc>
        <w:tc>
          <w:tcPr>
            <w:tcW w:w="1920" w:type="dxa"/>
          </w:tcPr>
          <w:p w14:paraId="0DFF639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w:t>
            </w:r>
          </w:p>
        </w:tc>
        <w:tc>
          <w:tcPr>
            <w:tcW w:w="1920" w:type="dxa"/>
          </w:tcPr>
          <w:p w14:paraId="199BA19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5390DC10" w14:textId="77777777">
        <w:trPr>
          <w:jc w:val="center"/>
        </w:trPr>
        <w:tc>
          <w:tcPr>
            <w:tcW w:w="645" w:type="dxa"/>
          </w:tcPr>
          <w:p w14:paraId="0595914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w:t>
            </w:r>
          </w:p>
        </w:tc>
        <w:tc>
          <w:tcPr>
            <w:tcW w:w="3180" w:type="dxa"/>
          </w:tcPr>
          <w:p w14:paraId="55F280F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Турбо-дизельный цех</w:t>
            </w:r>
          </w:p>
        </w:tc>
        <w:tc>
          <w:tcPr>
            <w:tcW w:w="1920" w:type="dxa"/>
          </w:tcPr>
          <w:p w14:paraId="534B964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1500</w:t>
            </w:r>
          </w:p>
        </w:tc>
        <w:tc>
          <w:tcPr>
            <w:tcW w:w="1920" w:type="dxa"/>
          </w:tcPr>
          <w:p w14:paraId="15D243E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450</w:t>
            </w:r>
          </w:p>
        </w:tc>
        <w:tc>
          <w:tcPr>
            <w:tcW w:w="1920" w:type="dxa"/>
          </w:tcPr>
          <w:p w14:paraId="3E8370F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2E81A18D" w14:textId="77777777">
        <w:trPr>
          <w:jc w:val="center"/>
        </w:trPr>
        <w:tc>
          <w:tcPr>
            <w:tcW w:w="645" w:type="dxa"/>
          </w:tcPr>
          <w:p w14:paraId="77573E1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w:t>
            </w:r>
          </w:p>
        </w:tc>
        <w:tc>
          <w:tcPr>
            <w:tcW w:w="3180" w:type="dxa"/>
          </w:tcPr>
          <w:p w14:paraId="68F5978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Медницкий и монтажный цехи</w:t>
            </w:r>
          </w:p>
          <w:p w14:paraId="30C2DF1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Северного дока</w:t>
            </w:r>
          </w:p>
        </w:tc>
        <w:tc>
          <w:tcPr>
            <w:tcW w:w="1920" w:type="dxa"/>
          </w:tcPr>
          <w:p w14:paraId="3EF59FB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260</w:t>
            </w:r>
          </w:p>
        </w:tc>
        <w:tc>
          <w:tcPr>
            <w:tcW w:w="1920" w:type="dxa"/>
          </w:tcPr>
          <w:p w14:paraId="6FFE17C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260</w:t>
            </w:r>
          </w:p>
        </w:tc>
        <w:tc>
          <w:tcPr>
            <w:tcW w:w="1920" w:type="dxa"/>
          </w:tcPr>
          <w:p w14:paraId="01E44D9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0875592F" w14:textId="77777777">
        <w:trPr>
          <w:jc w:val="center"/>
        </w:trPr>
        <w:tc>
          <w:tcPr>
            <w:tcW w:w="645" w:type="dxa"/>
          </w:tcPr>
          <w:p w14:paraId="3E1F763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w:t>
            </w:r>
          </w:p>
        </w:tc>
        <w:tc>
          <w:tcPr>
            <w:tcW w:w="3180" w:type="dxa"/>
          </w:tcPr>
          <w:p w14:paraId="580609B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Столовая Северного дока</w:t>
            </w:r>
          </w:p>
        </w:tc>
        <w:tc>
          <w:tcPr>
            <w:tcW w:w="1920" w:type="dxa"/>
          </w:tcPr>
          <w:p w14:paraId="7AAFC27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220</w:t>
            </w:r>
          </w:p>
        </w:tc>
        <w:tc>
          <w:tcPr>
            <w:tcW w:w="1920" w:type="dxa"/>
          </w:tcPr>
          <w:p w14:paraId="43C43B4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220</w:t>
            </w:r>
          </w:p>
        </w:tc>
        <w:tc>
          <w:tcPr>
            <w:tcW w:w="1920" w:type="dxa"/>
          </w:tcPr>
          <w:p w14:paraId="5A22E9E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3A9F4377" w14:textId="77777777">
        <w:trPr>
          <w:jc w:val="center"/>
        </w:trPr>
        <w:tc>
          <w:tcPr>
            <w:tcW w:w="645" w:type="dxa"/>
          </w:tcPr>
          <w:p w14:paraId="18EB0E0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3180" w:type="dxa"/>
          </w:tcPr>
          <w:p w14:paraId="0C85237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Итого:</w:t>
            </w:r>
          </w:p>
        </w:tc>
        <w:tc>
          <w:tcPr>
            <w:tcW w:w="1920" w:type="dxa"/>
          </w:tcPr>
          <w:p w14:paraId="6AAE63A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4940</w:t>
            </w:r>
          </w:p>
        </w:tc>
        <w:tc>
          <w:tcPr>
            <w:tcW w:w="1920" w:type="dxa"/>
          </w:tcPr>
          <w:p w14:paraId="3F32965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3590</w:t>
            </w:r>
          </w:p>
        </w:tc>
        <w:tc>
          <w:tcPr>
            <w:tcW w:w="1920" w:type="dxa"/>
          </w:tcPr>
          <w:p w14:paraId="12BEBE8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9394EAA" w14:textId="77777777" w:rsidTr="00595BFB">
        <w:trPr>
          <w:jc w:val="center"/>
        </w:trPr>
        <w:tc>
          <w:tcPr>
            <w:tcW w:w="645" w:type="dxa"/>
            <w:gridSpan w:val="5"/>
          </w:tcPr>
          <w:p w14:paraId="0AEBF59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Энергетические объекты</w:t>
            </w:r>
          </w:p>
        </w:tc>
      </w:tr>
      <w:tr w:rsidR="005106D0" w:rsidRPr="007224C3" w14:paraId="2EFB1A3F" w14:textId="77777777">
        <w:trPr>
          <w:jc w:val="center"/>
        </w:trPr>
        <w:tc>
          <w:tcPr>
            <w:tcW w:w="645" w:type="dxa"/>
          </w:tcPr>
          <w:p w14:paraId="468B9B1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tc>
        <w:tc>
          <w:tcPr>
            <w:tcW w:w="3180" w:type="dxa"/>
          </w:tcPr>
          <w:p w14:paraId="74C87D5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Подстанция № 1,2 с сетями</w:t>
            </w:r>
          </w:p>
          <w:p w14:paraId="4A7D6C3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Низкого и высокого напряжения </w:t>
            </w:r>
          </w:p>
        </w:tc>
        <w:tc>
          <w:tcPr>
            <w:tcW w:w="1920" w:type="dxa"/>
          </w:tcPr>
          <w:p w14:paraId="48AD4C5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520</w:t>
            </w:r>
          </w:p>
        </w:tc>
        <w:tc>
          <w:tcPr>
            <w:tcW w:w="1920" w:type="dxa"/>
          </w:tcPr>
          <w:p w14:paraId="3B55FDE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300</w:t>
            </w:r>
          </w:p>
        </w:tc>
        <w:tc>
          <w:tcPr>
            <w:tcW w:w="1920" w:type="dxa"/>
          </w:tcPr>
          <w:p w14:paraId="6CFA09B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Ноябрь</w:t>
            </w:r>
          </w:p>
          <w:p w14:paraId="4F529A6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1944 г.</w:t>
            </w:r>
          </w:p>
        </w:tc>
      </w:tr>
      <w:tr w:rsidR="005106D0" w:rsidRPr="007224C3" w14:paraId="3C9E5A37" w14:textId="77777777">
        <w:trPr>
          <w:jc w:val="center"/>
        </w:trPr>
        <w:tc>
          <w:tcPr>
            <w:tcW w:w="645" w:type="dxa"/>
          </w:tcPr>
          <w:p w14:paraId="722AA3C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tc>
        <w:tc>
          <w:tcPr>
            <w:tcW w:w="3180" w:type="dxa"/>
          </w:tcPr>
          <w:p w14:paraId="68D9C84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Подстанция Северного дока</w:t>
            </w:r>
          </w:p>
          <w:p w14:paraId="05E64F6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цехе № 18 и при котельной с электросетями.</w:t>
            </w:r>
          </w:p>
        </w:tc>
        <w:tc>
          <w:tcPr>
            <w:tcW w:w="1920" w:type="dxa"/>
          </w:tcPr>
          <w:p w14:paraId="6F80C79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335</w:t>
            </w:r>
          </w:p>
        </w:tc>
        <w:tc>
          <w:tcPr>
            <w:tcW w:w="1920" w:type="dxa"/>
          </w:tcPr>
          <w:p w14:paraId="3A757C9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335</w:t>
            </w:r>
          </w:p>
        </w:tc>
        <w:tc>
          <w:tcPr>
            <w:tcW w:w="1920" w:type="dxa"/>
          </w:tcPr>
          <w:p w14:paraId="48388DA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633E464B" w14:textId="77777777">
        <w:trPr>
          <w:jc w:val="center"/>
        </w:trPr>
        <w:tc>
          <w:tcPr>
            <w:tcW w:w="645" w:type="dxa"/>
          </w:tcPr>
          <w:p w14:paraId="21F7CC1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tc>
        <w:tc>
          <w:tcPr>
            <w:tcW w:w="3180" w:type="dxa"/>
          </w:tcPr>
          <w:p w14:paraId="3A5C8B1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Компрессорная станция и сети:</w:t>
            </w:r>
          </w:p>
          <w:p w14:paraId="0B50757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по основной площадке</w:t>
            </w:r>
          </w:p>
          <w:p w14:paraId="28B7A2C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Северного дока</w:t>
            </w:r>
          </w:p>
        </w:tc>
        <w:tc>
          <w:tcPr>
            <w:tcW w:w="1920" w:type="dxa"/>
          </w:tcPr>
          <w:p w14:paraId="27ECCE3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330</w:t>
            </w:r>
          </w:p>
          <w:p w14:paraId="42AFDB9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w:t>
            </w:r>
          </w:p>
        </w:tc>
        <w:tc>
          <w:tcPr>
            <w:tcW w:w="1920" w:type="dxa"/>
          </w:tcPr>
          <w:p w14:paraId="6F88E26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330</w:t>
            </w:r>
          </w:p>
          <w:p w14:paraId="7161CD5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w:t>
            </w:r>
          </w:p>
        </w:tc>
        <w:tc>
          <w:tcPr>
            <w:tcW w:w="1920" w:type="dxa"/>
          </w:tcPr>
          <w:p w14:paraId="500ECF9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63B3A959" w14:textId="77777777">
        <w:trPr>
          <w:jc w:val="center"/>
        </w:trPr>
        <w:tc>
          <w:tcPr>
            <w:tcW w:w="645" w:type="dxa"/>
          </w:tcPr>
          <w:p w14:paraId="671B89C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w:t>
            </w:r>
          </w:p>
        </w:tc>
        <w:tc>
          <w:tcPr>
            <w:tcW w:w="3180" w:type="dxa"/>
          </w:tcPr>
          <w:p w14:paraId="2682868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Кислородная станция</w:t>
            </w:r>
          </w:p>
        </w:tc>
        <w:tc>
          <w:tcPr>
            <w:tcW w:w="1920" w:type="dxa"/>
          </w:tcPr>
          <w:p w14:paraId="786F584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200</w:t>
            </w:r>
          </w:p>
        </w:tc>
        <w:tc>
          <w:tcPr>
            <w:tcW w:w="1920" w:type="dxa"/>
          </w:tcPr>
          <w:p w14:paraId="6299C1C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200</w:t>
            </w:r>
          </w:p>
        </w:tc>
        <w:tc>
          <w:tcPr>
            <w:tcW w:w="1920" w:type="dxa"/>
          </w:tcPr>
          <w:p w14:paraId="3FACCFF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2BEC812F" w14:textId="77777777">
        <w:trPr>
          <w:jc w:val="center"/>
        </w:trPr>
        <w:tc>
          <w:tcPr>
            <w:tcW w:w="645" w:type="dxa"/>
          </w:tcPr>
          <w:p w14:paraId="7E749B0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tc>
        <w:tc>
          <w:tcPr>
            <w:tcW w:w="3180" w:type="dxa"/>
          </w:tcPr>
          <w:p w14:paraId="5A6BC09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Ацетиленовая " </w:t>
            </w:r>
          </w:p>
        </w:tc>
        <w:tc>
          <w:tcPr>
            <w:tcW w:w="1920" w:type="dxa"/>
          </w:tcPr>
          <w:p w14:paraId="72C76BE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75</w:t>
            </w:r>
          </w:p>
        </w:tc>
        <w:tc>
          <w:tcPr>
            <w:tcW w:w="1920" w:type="dxa"/>
          </w:tcPr>
          <w:p w14:paraId="6782F54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75</w:t>
            </w:r>
          </w:p>
        </w:tc>
        <w:tc>
          <w:tcPr>
            <w:tcW w:w="1920" w:type="dxa"/>
          </w:tcPr>
          <w:p w14:paraId="26086A8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09AD6B8E" w14:textId="77777777">
        <w:trPr>
          <w:jc w:val="center"/>
        </w:trPr>
        <w:tc>
          <w:tcPr>
            <w:tcW w:w="645" w:type="dxa"/>
          </w:tcPr>
          <w:p w14:paraId="2B24B95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w:t>
            </w:r>
          </w:p>
        </w:tc>
        <w:tc>
          <w:tcPr>
            <w:tcW w:w="3180" w:type="dxa"/>
          </w:tcPr>
          <w:p w14:paraId="3AE84E6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Водопровод морской воды:</w:t>
            </w:r>
          </w:p>
          <w:p w14:paraId="7D15681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основной площадки</w:t>
            </w:r>
          </w:p>
          <w:p w14:paraId="39461E0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северного дока</w:t>
            </w:r>
          </w:p>
        </w:tc>
        <w:tc>
          <w:tcPr>
            <w:tcW w:w="1920" w:type="dxa"/>
          </w:tcPr>
          <w:p w14:paraId="51FBDCD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210</w:t>
            </w:r>
          </w:p>
          <w:p w14:paraId="4653470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w:t>
            </w:r>
          </w:p>
        </w:tc>
        <w:tc>
          <w:tcPr>
            <w:tcW w:w="1920" w:type="dxa"/>
          </w:tcPr>
          <w:p w14:paraId="03D95A4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210</w:t>
            </w:r>
          </w:p>
          <w:p w14:paraId="4468EAC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w:t>
            </w:r>
          </w:p>
        </w:tc>
        <w:tc>
          <w:tcPr>
            <w:tcW w:w="1920" w:type="dxa"/>
          </w:tcPr>
          <w:p w14:paraId="0803826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7452A322" w14:textId="77777777">
        <w:trPr>
          <w:jc w:val="center"/>
        </w:trPr>
        <w:tc>
          <w:tcPr>
            <w:tcW w:w="645" w:type="dxa"/>
          </w:tcPr>
          <w:p w14:paraId="5D03CF6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w:t>
            </w:r>
          </w:p>
        </w:tc>
        <w:tc>
          <w:tcPr>
            <w:tcW w:w="3180" w:type="dxa"/>
          </w:tcPr>
          <w:p w14:paraId="76393BD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Водопровод пресной воды:</w:t>
            </w:r>
          </w:p>
          <w:p w14:paraId="0CB9D6F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основной площадки</w:t>
            </w:r>
          </w:p>
          <w:p w14:paraId="5078813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б) северного дока </w:t>
            </w:r>
          </w:p>
        </w:tc>
        <w:tc>
          <w:tcPr>
            <w:tcW w:w="1920" w:type="dxa"/>
          </w:tcPr>
          <w:p w14:paraId="3A012F3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200</w:t>
            </w:r>
          </w:p>
          <w:p w14:paraId="5A7DE2F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200</w:t>
            </w:r>
          </w:p>
        </w:tc>
        <w:tc>
          <w:tcPr>
            <w:tcW w:w="1920" w:type="dxa"/>
          </w:tcPr>
          <w:p w14:paraId="2A7A0E1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200</w:t>
            </w:r>
          </w:p>
          <w:p w14:paraId="277AED0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200</w:t>
            </w:r>
          </w:p>
        </w:tc>
        <w:tc>
          <w:tcPr>
            <w:tcW w:w="1920" w:type="dxa"/>
          </w:tcPr>
          <w:p w14:paraId="31E3341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3753CA11" w14:textId="77777777">
        <w:trPr>
          <w:jc w:val="center"/>
        </w:trPr>
        <w:tc>
          <w:tcPr>
            <w:tcW w:w="645" w:type="dxa"/>
          </w:tcPr>
          <w:p w14:paraId="2149397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w:t>
            </w:r>
          </w:p>
        </w:tc>
        <w:tc>
          <w:tcPr>
            <w:tcW w:w="3180" w:type="dxa"/>
          </w:tcPr>
          <w:p w14:paraId="112DD26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Фекальная канализация Северного дока </w:t>
            </w:r>
          </w:p>
        </w:tc>
        <w:tc>
          <w:tcPr>
            <w:tcW w:w="1920" w:type="dxa"/>
          </w:tcPr>
          <w:p w14:paraId="25EDD39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130</w:t>
            </w:r>
          </w:p>
        </w:tc>
        <w:tc>
          <w:tcPr>
            <w:tcW w:w="1920" w:type="dxa"/>
          </w:tcPr>
          <w:p w14:paraId="2FDC4D8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130</w:t>
            </w:r>
          </w:p>
        </w:tc>
        <w:tc>
          <w:tcPr>
            <w:tcW w:w="1920" w:type="dxa"/>
          </w:tcPr>
          <w:p w14:paraId="319835C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70DE76D0" w14:textId="77777777">
        <w:trPr>
          <w:jc w:val="center"/>
        </w:trPr>
        <w:tc>
          <w:tcPr>
            <w:tcW w:w="645" w:type="dxa"/>
          </w:tcPr>
          <w:p w14:paraId="247BBF8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w:t>
            </w:r>
          </w:p>
        </w:tc>
        <w:tc>
          <w:tcPr>
            <w:tcW w:w="3180" w:type="dxa"/>
          </w:tcPr>
          <w:p w14:paraId="3A7041B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Котельная с водоочисткой и сетями:</w:t>
            </w:r>
          </w:p>
          <w:p w14:paraId="7F96CE5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основной площадки</w:t>
            </w:r>
          </w:p>
          <w:p w14:paraId="5777DCC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б) северного дока </w:t>
            </w:r>
          </w:p>
        </w:tc>
        <w:tc>
          <w:tcPr>
            <w:tcW w:w="1920" w:type="dxa"/>
          </w:tcPr>
          <w:p w14:paraId="2C5D255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…00</w:t>
            </w:r>
          </w:p>
          <w:p w14:paraId="0C6E682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320</w:t>
            </w:r>
          </w:p>
        </w:tc>
        <w:tc>
          <w:tcPr>
            <w:tcW w:w="1920" w:type="dxa"/>
          </w:tcPr>
          <w:p w14:paraId="029E691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500</w:t>
            </w:r>
          </w:p>
          <w:p w14:paraId="1231CDA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320</w:t>
            </w:r>
          </w:p>
        </w:tc>
        <w:tc>
          <w:tcPr>
            <w:tcW w:w="1920" w:type="dxa"/>
          </w:tcPr>
          <w:p w14:paraId="1BAA572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0DEEB75C" w14:textId="77777777">
        <w:trPr>
          <w:jc w:val="center"/>
        </w:trPr>
        <w:tc>
          <w:tcPr>
            <w:tcW w:w="645" w:type="dxa"/>
          </w:tcPr>
          <w:p w14:paraId="21810F3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3180" w:type="dxa"/>
          </w:tcPr>
          <w:p w14:paraId="6F324C6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Итого: </w:t>
            </w:r>
          </w:p>
        </w:tc>
        <w:tc>
          <w:tcPr>
            <w:tcW w:w="1920" w:type="dxa"/>
          </w:tcPr>
          <w:p w14:paraId="77AB1DC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3180</w:t>
            </w:r>
          </w:p>
        </w:tc>
        <w:tc>
          <w:tcPr>
            <w:tcW w:w="1920" w:type="dxa"/>
          </w:tcPr>
          <w:p w14:paraId="7AA26B6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2960</w:t>
            </w:r>
          </w:p>
        </w:tc>
        <w:tc>
          <w:tcPr>
            <w:tcW w:w="1920" w:type="dxa"/>
          </w:tcPr>
          <w:p w14:paraId="43FE4D7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7D62EB4" w14:textId="77777777" w:rsidTr="00595BFB">
        <w:trPr>
          <w:jc w:val="center"/>
        </w:trPr>
        <w:tc>
          <w:tcPr>
            <w:tcW w:w="645" w:type="dxa"/>
            <w:gridSpan w:val="5"/>
          </w:tcPr>
          <w:p w14:paraId="19FCF1D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 Транспорт</w:t>
            </w:r>
          </w:p>
        </w:tc>
      </w:tr>
      <w:tr w:rsidR="005106D0" w:rsidRPr="007224C3" w14:paraId="153AC681" w14:textId="77777777">
        <w:trPr>
          <w:jc w:val="center"/>
        </w:trPr>
        <w:tc>
          <w:tcPr>
            <w:tcW w:w="645" w:type="dxa"/>
          </w:tcPr>
          <w:p w14:paraId="0ECA7D5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tc>
        <w:tc>
          <w:tcPr>
            <w:tcW w:w="3180" w:type="dxa"/>
          </w:tcPr>
          <w:p w14:paraId="093662A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Железнодорожные пути по двум площадкам </w:t>
            </w:r>
          </w:p>
        </w:tc>
        <w:tc>
          <w:tcPr>
            <w:tcW w:w="1920" w:type="dxa"/>
          </w:tcPr>
          <w:p w14:paraId="0674169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300</w:t>
            </w:r>
          </w:p>
        </w:tc>
        <w:tc>
          <w:tcPr>
            <w:tcW w:w="1920" w:type="dxa"/>
          </w:tcPr>
          <w:p w14:paraId="2E93318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150</w:t>
            </w:r>
          </w:p>
        </w:tc>
        <w:tc>
          <w:tcPr>
            <w:tcW w:w="1920" w:type="dxa"/>
          </w:tcPr>
          <w:p w14:paraId="5FDF513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Декабрь</w:t>
            </w:r>
          </w:p>
        </w:tc>
      </w:tr>
      <w:tr w:rsidR="005106D0" w:rsidRPr="007224C3" w14:paraId="453790BB" w14:textId="77777777">
        <w:trPr>
          <w:jc w:val="center"/>
        </w:trPr>
        <w:tc>
          <w:tcPr>
            <w:tcW w:w="645" w:type="dxa"/>
          </w:tcPr>
          <w:p w14:paraId="0ADE067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tc>
        <w:tc>
          <w:tcPr>
            <w:tcW w:w="3180" w:type="dxa"/>
          </w:tcPr>
          <w:p w14:paraId="02AA3D7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Автогужевые дороги </w:t>
            </w:r>
          </w:p>
        </w:tc>
        <w:tc>
          <w:tcPr>
            <w:tcW w:w="1920" w:type="dxa"/>
          </w:tcPr>
          <w:p w14:paraId="580520A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200</w:t>
            </w:r>
          </w:p>
        </w:tc>
        <w:tc>
          <w:tcPr>
            <w:tcW w:w="1920" w:type="dxa"/>
          </w:tcPr>
          <w:p w14:paraId="57C35EE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w:t>
            </w:r>
          </w:p>
        </w:tc>
        <w:tc>
          <w:tcPr>
            <w:tcW w:w="1920" w:type="dxa"/>
          </w:tcPr>
          <w:p w14:paraId="7D1C640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1944 г.</w:t>
            </w:r>
          </w:p>
        </w:tc>
      </w:tr>
      <w:tr w:rsidR="005106D0" w:rsidRPr="007224C3" w14:paraId="5658A442" w14:textId="77777777" w:rsidTr="00595BFB">
        <w:trPr>
          <w:jc w:val="center"/>
        </w:trPr>
        <w:tc>
          <w:tcPr>
            <w:tcW w:w="645" w:type="dxa"/>
            <w:gridSpan w:val="5"/>
          </w:tcPr>
          <w:p w14:paraId="7FB8246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 Жилстроительство</w:t>
            </w:r>
          </w:p>
        </w:tc>
      </w:tr>
      <w:tr w:rsidR="005106D0" w:rsidRPr="007224C3" w14:paraId="318E760B" w14:textId="77777777">
        <w:trPr>
          <w:jc w:val="center"/>
        </w:trPr>
        <w:tc>
          <w:tcPr>
            <w:tcW w:w="645" w:type="dxa"/>
          </w:tcPr>
          <w:p w14:paraId="21A25E1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tc>
        <w:tc>
          <w:tcPr>
            <w:tcW w:w="3180" w:type="dxa"/>
          </w:tcPr>
          <w:p w14:paraId="6D00FB6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Жилые дома </w:t>
            </w:r>
          </w:p>
        </w:tc>
        <w:tc>
          <w:tcPr>
            <w:tcW w:w="1920" w:type="dxa"/>
          </w:tcPr>
          <w:p w14:paraId="59B8ED0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2000</w:t>
            </w:r>
          </w:p>
        </w:tc>
        <w:tc>
          <w:tcPr>
            <w:tcW w:w="1920" w:type="dxa"/>
          </w:tcPr>
          <w:p w14:paraId="266A7E0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500</w:t>
            </w:r>
          </w:p>
        </w:tc>
        <w:tc>
          <w:tcPr>
            <w:tcW w:w="1920" w:type="dxa"/>
          </w:tcPr>
          <w:p w14:paraId="5E7109B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02861764" w14:textId="77777777">
        <w:trPr>
          <w:jc w:val="center"/>
        </w:trPr>
        <w:tc>
          <w:tcPr>
            <w:tcW w:w="645" w:type="dxa"/>
            <w:tcBorders>
              <w:bottom w:val="single" w:sz="12" w:space="0" w:color="auto"/>
            </w:tcBorders>
          </w:tcPr>
          <w:p w14:paraId="41533F3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3180" w:type="dxa"/>
            <w:tcBorders>
              <w:bottom w:val="single" w:sz="12" w:space="0" w:color="auto"/>
            </w:tcBorders>
          </w:tcPr>
          <w:p w14:paraId="31AC014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w:t>
            </w:r>
          </w:p>
        </w:tc>
        <w:tc>
          <w:tcPr>
            <w:tcW w:w="1920" w:type="dxa"/>
            <w:tcBorders>
              <w:bottom w:val="single" w:sz="12" w:space="0" w:color="auto"/>
            </w:tcBorders>
          </w:tcPr>
          <w:p w14:paraId="2EBB0A9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14320</w:t>
            </w:r>
          </w:p>
        </w:tc>
        <w:tc>
          <w:tcPr>
            <w:tcW w:w="1920" w:type="dxa"/>
            <w:tcBorders>
              <w:bottom w:val="single" w:sz="12" w:space="0" w:color="auto"/>
            </w:tcBorders>
          </w:tcPr>
          <w:p w14:paraId="58931DD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10000</w:t>
            </w:r>
          </w:p>
        </w:tc>
        <w:tc>
          <w:tcPr>
            <w:tcW w:w="1920" w:type="dxa"/>
            <w:tcBorders>
              <w:bottom w:val="single" w:sz="12" w:space="0" w:color="auto"/>
            </w:tcBorders>
          </w:tcPr>
          <w:p w14:paraId="1EECEE7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r>
    </w:tbl>
    <w:p w14:paraId="6D3C12F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Сов. Секретно</w:t>
      </w:r>
    </w:p>
    <w:p w14:paraId="34B0A46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Приложение № 4 </w:t>
      </w:r>
    </w:p>
    <w:p w14:paraId="77A04BB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Постановлению ГОКО № 6048сс от "14" июня 1944 г.</w:t>
      </w:r>
    </w:p>
    <w:p w14:paraId="5B85000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ПЕРЕЧЕНЬ</w:t>
      </w:r>
    </w:p>
    <w:p w14:paraId="185EB28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Объектов, выполняемых Наркомстроем в 1944 году по бухте Балаклава</w:t>
      </w:r>
    </w:p>
    <w:p w14:paraId="03F3E8C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 тыс. рублей) </w:t>
      </w:r>
    </w:p>
    <w:tbl>
      <w:tblPr>
        <w:tblW w:w="0" w:type="auto"/>
        <w:jc w:val="center"/>
        <w:tblLayout w:type="fixed"/>
        <w:tblCellMar>
          <w:left w:w="0" w:type="dxa"/>
          <w:right w:w="0" w:type="dxa"/>
        </w:tblCellMar>
        <w:tblLook w:val="0000" w:firstRow="0" w:lastRow="0" w:firstColumn="0" w:lastColumn="0" w:noHBand="0" w:noVBand="0"/>
      </w:tblPr>
      <w:tblGrid>
        <w:gridCol w:w="645"/>
        <w:gridCol w:w="3180"/>
        <w:gridCol w:w="1920"/>
        <w:gridCol w:w="1920"/>
        <w:gridCol w:w="1920"/>
      </w:tblGrid>
      <w:tr w:rsidR="005106D0" w:rsidRPr="007224C3" w14:paraId="4B9DFFBE" w14:textId="77777777">
        <w:trPr>
          <w:jc w:val="center"/>
        </w:trPr>
        <w:tc>
          <w:tcPr>
            <w:tcW w:w="645" w:type="dxa"/>
            <w:tcBorders>
              <w:top w:val="single" w:sz="12" w:space="0" w:color="auto"/>
              <w:left w:val="single" w:sz="12" w:space="0" w:color="auto"/>
              <w:bottom w:val="single" w:sz="6" w:space="0" w:color="auto"/>
              <w:right w:val="single" w:sz="6" w:space="0" w:color="auto"/>
            </w:tcBorders>
          </w:tcPr>
          <w:p w14:paraId="3F358D7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04817F3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ПП</w:t>
            </w:r>
          </w:p>
        </w:tc>
        <w:tc>
          <w:tcPr>
            <w:tcW w:w="3180" w:type="dxa"/>
            <w:tcBorders>
              <w:top w:val="single" w:sz="12" w:space="0" w:color="auto"/>
              <w:left w:val="single" w:sz="6" w:space="0" w:color="auto"/>
              <w:bottom w:val="single" w:sz="6" w:space="0" w:color="auto"/>
              <w:right w:val="single" w:sz="6" w:space="0" w:color="auto"/>
            </w:tcBorders>
          </w:tcPr>
          <w:p w14:paraId="76F9A75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Наименование объектов</w:t>
            </w:r>
          </w:p>
        </w:tc>
        <w:tc>
          <w:tcPr>
            <w:tcW w:w="1920" w:type="dxa"/>
            <w:tcBorders>
              <w:top w:val="single" w:sz="12" w:space="0" w:color="auto"/>
              <w:left w:val="single" w:sz="6" w:space="0" w:color="auto"/>
              <w:bottom w:val="single" w:sz="6" w:space="0" w:color="auto"/>
              <w:right w:val="single" w:sz="6" w:space="0" w:color="auto"/>
            </w:tcBorders>
          </w:tcPr>
          <w:p w14:paraId="62965A7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Полная стоимость стр. монтажных работ в тыс. руб.</w:t>
            </w:r>
          </w:p>
        </w:tc>
        <w:tc>
          <w:tcPr>
            <w:tcW w:w="1920" w:type="dxa"/>
            <w:tcBorders>
              <w:top w:val="single" w:sz="12" w:space="0" w:color="auto"/>
              <w:left w:val="single" w:sz="6" w:space="0" w:color="auto"/>
              <w:bottom w:val="single" w:sz="6" w:space="0" w:color="auto"/>
              <w:right w:val="single" w:sz="6" w:space="0" w:color="auto"/>
            </w:tcBorders>
          </w:tcPr>
          <w:p w14:paraId="3D19BD1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 ч. на 1944 г. В т. руб.</w:t>
            </w:r>
          </w:p>
        </w:tc>
        <w:tc>
          <w:tcPr>
            <w:tcW w:w="1920" w:type="dxa"/>
            <w:tcBorders>
              <w:top w:val="single" w:sz="12" w:space="0" w:color="auto"/>
              <w:left w:val="single" w:sz="6" w:space="0" w:color="auto"/>
              <w:bottom w:val="single" w:sz="6" w:space="0" w:color="auto"/>
              <w:right w:val="single" w:sz="12" w:space="0" w:color="auto"/>
            </w:tcBorders>
          </w:tcPr>
          <w:p w14:paraId="1F77A26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Срок выполнения</w:t>
            </w:r>
          </w:p>
        </w:tc>
      </w:tr>
      <w:tr w:rsidR="005106D0" w:rsidRPr="007224C3" w14:paraId="5EE3E585" w14:textId="77777777" w:rsidTr="00595BFB">
        <w:trPr>
          <w:jc w:val="center"/>
        </w:trPr>
        <w:tc>
          <w:tcPr>
            <w:tcW w:w="645" w:type="dxa"/>
            <w:gridSpan w:val="5"/>
            <w:tcBorders>
              <w:top w:val="single" w:sz="6" w:space="0" w:color="auto"/>
              <w:left w:val="single" w:sz="12" w:space="0" w:color="auto"/>
              <w:bottom w:val="single" w:sz="6" w:space="0" w:color="auto"/>
              <w:right w:val="single" w:sz="12" w:space="0" w:color="auto"/>
            </w:tcBorders>
          </w:tcPr>
          <w:p w14:paraId="0768E9F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Гидротехнические сооружения</w:t>
            </w:r>
          </w:p>
        </w:tc>
      </w:tr>
      <w:tr w:rsidR="005106D0" w:rsidRPr="007224C3" w14:paraId="0E2F24C4" w14:textId="77777777">
        <w:trPr>
          <w:jc w:val="center"/>
        </w:trPr>
        <w:tc>
          <w:tcPr>
            <w:tcW w:w="645" w:type="dxa"/>
            <w:tcBorders>
              <w:top w:val="single" w:sz="6" w:space="0" w:color="auto"/>
              <w:left w:val="single" w:sz="12" w:space="0" w:color="auto"/>
              <w:bottom w:val="single" w:sz="6" w:space="0" w:color="auto"/>
              <w:right w:val="single" w:sz="6" w:space="0" w:color="auto"/>
            </w:tcBorders>
          </w:tcPr>
          <w:p w14:paraId="67E8FBC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tc>
        <w:tc>
          <w:tcPr>
            <w:tcW w:w="3180" w:type="dxa"/>
            <w:tcBorders>
              <w:top w:val="single" w:sz="6" w:space="0" w:color="auto"/>
              <w:left w:val="single" w:sz="6" w:space="0" w:color="auto"/>
              <w:bottom w:val="single" w:sz="6" w:space="0" w:color="auto"/>
              <w:right w:val="single" w:sz="6" w:space="0" w:color="auto"/>
            </w:tcBorders>
          </w:tcPr>
          <w:p w14:paraId="700FE0A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Северный док с насосной станцией</w:t>
            </w:r>
          </w:p>
        </w:tc>
        <w:tc>
          <w:tcPr>
            <w:tcW w:w="1920" w:type="dxa"/>
            <w:tcBorders>
              <w:top w:val="single" w:sz="6" w:space="0" w:color="auto"/>
              <w:left w:val="single" w:sz="6" w:space="0" w:color="auto"/>
              <w:bottom w:val="single" w:sz="6" w:space="0" w:color="auto"/>
              <w:right w:val="single" w:sz="6" w:space="0" w:color="auto"/>
            </w:tcBorders>
          </w:tcPr>
          <w:p w14:paraId="2C2B2F7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2250</w:t>
            </w:r>
          </w:p>
        </w:tc>
        <w:tc>
          <w:tcPr>
            <w:tcW w:w="1920" w:type="dxa"/>
            <w:tcBorders>
              <w:top w:val="single" w:sz="6" w:space="0" w:color="auto"/>
              <w:left w:val="single" w:sz="6" w:space="0" w:color="auto"/>
              <w:bottom w:val="single" w:sz="6" w:space="0" w:color="auto"/>
              <w:right w:val="single" w:sz="6" w:space="0" w:color="auto"/>
            </w:tcBorders>
          </w:tcPr>
          <w:p w14:paraId="0FC8507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2250</w:t>
            </w:r>
          </w:p>
        </w:tc>
        <w:tc>
          <w:tcPr>
            <w:tcW w:w="1920" w:type="dxa"/>
            <w:tcBorders>
              <w:top w:val="single" w:sz="6" w:space="0" w:color="auto"/>
              <w:left w:val="single" w:sz="6" w:space="0" w:color="auto"/>
              <w:bottom w:val="single" w:sz="6" w:space="0" w:color="auto"/>
              <w:right w:val="single" w:sz="12" w:space="0" w:color="auto"/>
            </w:tcBorders>
          </w:tcPr>
          <w:p w14:paraId="12C4424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Декабрь</w:t>
            </w:r>
          </w:p>
        </w:tc>
      </w:tr>
      <w:tr w:rsidR="005106D0" w:rsidRPr="007224C3" w14:paraId="1F2D2C3D" w14:textId="77777777">
        <w:trPr>
          <w:jc w:val="center"/>
        </w:trPr>
        <w:tc>
          <w:tcPr>
            <w:tcW w:w="645" w:type="dxa"/>
            <w:tcBorders>
              <w:top w:val="single" w:sz="6" w:space="0" w:color="auto"/>
              <w:left w:val="single" w:sz="12" w:space="0" w:color="auto"/>
              <w:bottom w:val="single" w:sz="6" w:space="0" w:color="auto"/>
              <w:right w:val="single" w:sz="6" w:space="0" w:color="auto"/>
            </w:tcBorders>
          </w:tcPr>
          <w:p w14:paraId="41A2228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tc>
        <w:tc>
          <w:tcPr>
            <w:tcW w:w="3180" w:type="dxa"/>
            <w:tcBorders>
              <w:top w:val="single" w:sz="6" w:space="0" w:color="auto"/>
              <w:left w:val="single" w:sz="6" w:space="0" w:color="auto"/>
              <w:bottom w:val="single" w:sz="6" w:space="0" w:color="auto"/>
              <w:right w:val="single" w:sz="6" w:space="0" w:color="auto"/>
            </w:tcBorders>
          </w:tcPr>
          <w:p w14:paraId="04149A0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Набережные Северного дока</w:t>
            </w:r>
          </w:p>
        </w:tc>
        <w:tc>
          <w:tcPr>
            <w:tcW w:w="1920" w:type="dxa"/>
            <w:tcBorders>
              <w:top w:val="single" w:sz="6" w:space="0" w:color="auto"/>
              <w:left w:val="single" w:sz="6" w:space="0" w:color="auto"/>
              <w:bottom w:val="single" w:sz="6" w:space="0" w:color="auto"/>
              <w:right w:val="single" w:sz="6" w:space="0" w:color="auto"/>
            </w:tcBorders>
          </w:tcPr>
          <w:p w14:paraId="2564A18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450</w:t>
            </w:r>
          </w:p>
        </w:tc>
        <w:tc>
          <w:tcPr>
            <w:tcW w:w="1920" w:type="dxa"/>
            <w:tcBorders>
              <w:top w:val="single" w:sz="6" w:space="0" w:color="auto"/>
              <w:left w:val="single" w:sz="6" w:space="0" w:color="auto"/>
              <w:bottom w:val="single" w:sz="6" w:space="0" w:color="auto"/>
              <w:right w:val="single" w:sz="6" w:space="0" w:color="auto"/>
            </w:tcBorders>
          </w:tcPr>
          <w:p w14:paraId="2094B1D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450</w:t>
            </w:r>
          </w:p>
        </w:tc>
        <w:tc>
          <w:tcPr>
            <w:tcW w:w="1920" w:type="dxa"/>
            <w:tcBorders>
              <w:top w:val="single" w:sz="6" w:space="0" w:color="auto"/>
              <w:left w:val="single" w:sz="6" w:space="0" w:color="auto"/>
              <w:bottom w:val="single" w:sz="6" w:space="0" w:color="auto"/>
              <w:right w:val="single" w:sz="12" w:space="0" w:color="auto"/>
            </w:tcBorders>
          </w:tcPr>
          <w:p w14:paraId="03779F7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1944 г.</w:t>
            </w:r>
          </w:p>
        </w:tc>
      </w:tr>
      <w:tr w:rsidR="005106D0" w:rsidRPr="007224C3" w14:paraId="27C03C0D" w14:textId="77777777">
        <w:trPr>
          <w:jc w:val="center"/>
        </w:trPr>
        <w:tc>
          <w:tcPr>
            <w:tcW w:w="645" w:type="dxa"/>
            <w:tcBorders>
              <w:top w:val="single" w:sz="6" w:space="0" w:color="auto"/>
              <w:left w:val="single" w:sz="12" w:space="0" w:color="auto"/>
              <w:bottom w:val="single" w:sz="6" w:space="0" w:color="auto"/>
              <w:right w:val="single" w:sz="6" w:space="0" w:color="auto"/>
            </w:tcBorders>
          </w:tcPr>
          <w:p w14:paraId="2306E6B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3180" w:type="dxa"/>
            <w:tcBorders>
              <w:top w:val="single" w:sz="6" w:space="0" w:color="auto"/>
              <w:left w:val="single" w:sz="6" w:space="0" w:color="auto"/>
              <w:bottom w:val="single" w:sz="6" w:space="0" w:color="auto"/>
              <w:right w:val="single" w:sz="6" w:space="0" w:color="auto"/>
            </w:tcBorders>
          </w:tcPr>
          <w:p w14:paraId="5ACEE4E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Итого:</w:t>
            </w:r>
          </w:p>
        </w:tc>
        <w:tc>
          <w:tcPr>
            <w:tcW w:w="1920" w:type="dxa"/>
            <w:tcBorders>
              <w:top w:val="single" w:sz="6" w:space="0" w:color="auto"/>
              <w:left w:val="single" w:sz="6" w:space="0" w:color="auto"/>
              <w:bottom w:val="single" w:sz="6" w:space="0" w:color="auto"/>
              <w:right w:val="single" w:sz="6" w:space="0" w:color="auto"/>
            </w:tcBorders>
          </w:tcPr>
          <w:p w14:paraId="4E3088F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2700</w:t>
            </w:r>
          </w:p>
        </w:tc>
        <w:tc>
          <w:tcPr>
            <w:tcW w:w="1920" w:type="dxa"/>
            <w:tcBorders>
              <w:top w:val="single" w:sz="6" w:space="0" w:color="auto"/>
              <w:left w:val="single" w:sz="6" w:space="0" w:color="auto"/>
              <w:bottom w:val="single" w:sz="6" w:space="0" w:color="auto"/>
              <w:right w:val="single" w:sz="6" w:space="0" w:color="auto"/>
            </w:tcBorders>
          </w:tcPr>
          <w:p w14:paraId="3703997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2700</w:t>
            </w:r>
          </w:p>
        </w:tc>
        <w:tc>
          <w:tcPr>
            <w:tcW w:w="1920" w:type="dxa"/>
            <w:tcBorders>
              <w:top w:val="single" w:sz="6" w:space="0" w:color="auto"/>
              <w:left w:val="single" w:sz="6" w:space="0" w:color="auto"/>
              <w:bottom w:val="single" w:sz="6" w:space="0" w:color="auto"/>
              <w:right w:val="single" w:sz="12" w:space="0" w:color="auto"/>
            </w:tcBorders>
          </w:tcPr>
          <w:p w14:paraId="202432D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5EC162C" w14:textId="77777777" w:rsidTr="00595BFB">
        <w:trPr>
          <w:jc w:val="center"/>
        </w:trPr>
        <w:tc>
          <w:tcPr>
            <w:tcW w:w="645" w:type="dxa"/>
            <w:gridSpan w:val="5"/>
            <w:tcBorders>
              <w:top w:val="single" w:sz="6" w:space="0" w:color="auto"/>
              <w:left w:val="single" w:sz="12" w:space="0" w:color="auto"/>
              <w:bottom w:val="single" w:sz="6" w:space="0" w:color="auto"/>
              <w:right w:val="single" w:sz="12" w:space="0" w:color="auto"/>
            </w:tcBorders>
          </w:tcPr>
          <w:p w14:paraId="14CC8A8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Промышленные здания</w:t>
            </w:r>
          </w:p>
        </w:tc>
      </w:tr>
      <w:tr w:rsidR="005106D0" w:rsidRPr="007224C3" w14:paraId="355CB078" w14:textId="77777777">
        <w:trPr>
          <w:jc w:val="center"/>
        </w:trPr>
        <w:tc>
          <w:tcPr>
            <w:tcW w:w="645" w:type="dxa"/>
            <w:tcBorders>
              <w:top w:val="single" w:sz="6" w:space="0" w:color="auto"/>
              <w:left w:val="single" w:sz="12" w:space="0" w:color="auto"/>
              <w:bottom w:val="single" w:sz="6" w:space="0" w:color="auto"/>
              <w:right w:val="single" w:sz="6" w:space="0" w:color="auto"/>
            </w:tcBorders>
          </w:tcPr>
          <w:p w14:paraId="4D1B4C6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tc>
        <w:tc>
          <w:tcPr>
            <w:tcW w:w="3180" w:type="dxa"/>
            <w:tcBorders>
              <w:top w:val="single" w:sz="6" w:space="0" w:color="auto"/>
              <w:left w:val="single" w:sz="6" w:space="0" w:color="auto"/>
              <w:bottom w:val="single" w:sz="6" w:space="0" w:color="auto"/>
              <w:right w:val="single" w:sz="6" w:space="0" w:color="auto"/>
            </w:tcBorders>
          </w:tcPr>
          <w:p w14:paraId="2B4E207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Механический цех</w:t>
            </w:r>
          </w:p>
        </w:tc>
        <w:tc>
          <w:tcPr>
            <w:tcW w:w="1920" w:type="dxa"/>
            <w:tcBorders>
              <w:top w:val="single" w:sz="6" w:space="0" w:color="auto"/>
              <w:left w:val="single" w:sz="6" w:space="0" w:color="auto"/>
              <w:bottom w:val="single" w:sz="6" w:space="0" w:color="auto"/>
              <w:right w:val="single" w:sz="6" w:space="0" w:color="auto"/>
            </w:tcBorders>
          </w:tcPr>
          <w:p w14:paraId="6F417A4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800</w:t>
            </w:r>
          </w:p>
        </w:tc>
        <w:tc>
          <w:tcPr>
            <w:tcW w:w="1920" w:type="dxa"/>
            <w:tcBorders>
              <w:top w:val="single" w:sz="6" w:space="0" w:color="auto"/>
              <w:left w:val="single" w:sz="6" w:space="0" w:color="auto"/>
              <w:bottom w:val="single" w:sz="6" w:space="0" w:color="auto"/>
              <w:right w:val="single" w:sz="6" w:space="0" w:color="auto"/>
            </w:tcBorders>
          </w:tcPr>
          <w:p w14:paraId="3DFC12D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800</w:t>
            </w:r>
          </w:p>
        </w:tc>
        <w:tc>
          <w:tcPr>
            <w:tcW w:w="1920" w:type="dxa"/>
            <w:tcBorders>
              <w:top w:val="single" w:sz="6" w:space="0" w:color="auto"/>
              <w:left w:val="single" w:sz="6" w:space="0" w:color="auto"/>
              <w:bottom w:val="single" w:sz="6" w:space="0" w:color="auto"/>
              <w:right w:val="single" w:sz="12" w:space="0" w:color="auto"/>
            </w:tcBorders>
          </w:tcPr>
          <w:p w14:paraId="0A6A918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7F25BAB4" w14:textId="77777777">
        <w:trPr>
          <w:jc w:val="center"/>
        </w:trPr>
        <w:tc>
          <w:tcPr>
            <w:tcW w:w="645" w:type="dxa"/>
            <w:tcBorders>
              <w:top w:val="single" w:sz="6" w:space="0" w:color="auto"/>
              <w:left w:val="single" w:sz="12" w:space="0" w:color="auto"/>
              <w:bottom w:val="single" w:sz="6" w:space="0" w:color="auto"/>
              <w:right w:val="single" w:sz="6" w:space="0" w:color="auto"/>
            </w:tcBorders>
          </w:tcPr>
          <w:p w14:paraId="3FEAC4A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tc>
        <w:tc>
          <w:tcPr>
            <w:tcW w:w="3180" w:type="dxa"/>
            <w:tcBorders>
              <w:top w:val="single" w:sz="6" w:space="0" w:color="auto"/>
              <w:left w:val="single" w:sz="6" w:space="0" w:color="auto"/>
              <w:bottom w:val="single" w:sz="6" w:space="0" w:color="auto"/>
              <w:right w:val="single" w:sz="6" w:space="0" w:color="auto"/>
            </w:tcBorders>
          </w:tcPr>
          <w:p w14:paraId="2C88464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Чугунно-литейный цех</w:t>
            </w:r>
          </w:p>
        </w:tc>
        <w:tc>
          <w:tcPr>
            <w:tcW w:w="1920" w:type="dxa"/>
            <w:tcBorders>
              <w:top w:val="single" w:sz="6" w:space="0" w:color="auto"/>
              <w:left w:val="single" w:sz="6" w:space="0" w:color="auto"/>
              <w:bottom w:val="single" w:sz="6" w:space="0" w:color="auto"/>
              <w:right w:val="single" w:sz="6" w:space="0" w:color="auto"/>
            </w:tcBorders>
          </w:tcPr>
          <w:p w14:paraId="02FD612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600</w:t>
            </w:r>
          </w:p>
        </w:tc>
        <w:tc>
          <w:tcPr>
            <w:tcW w:w="1920" w:type="dxa"/>
            <w:tcBorders>
              <w:top w:val="single" w:sz="6" w:space="0" w:color="auto"/>
              <w:left w:val="single" w:sz="6" w:space="0" w:color="auto"/>
              <w:bottom w:val="single" w:sz="6" w:space="0" w:color="auto"/>
              <w:right w:val="single" w:sz="6" w:space="0" w:color="auto"/>
            </w:tcBorders>
          </w:tcPr>
          <w:p w14:paraId="4D83ACB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600</w:t>
            </w:r>
          </w:p>
        </w:tc>
        <w:tc>
          <w:tcPr>
            <w:tcW w:w="1920" w:type="dxa"/>
            <w:tcBorders>
              <w:top w:val="single" w:sz="6" w:space="0" w:color="auto"/>
              <w:left w:val="single" w:sz="6" w:space="0" w:color="auto"/>
              <w:bottom w:val="single" w:sz="6" w:space="0" w:color="auto"/>
              <w:right w:val="single" w:sz="12" w:space="0" w:color="auto"/>
            </w:tcBorders>
          </w:tcPr>
          <w:p w14:paraId="4F86BDA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04641A62" w14:textId="77777777">
        <w:trPr>
          <w:jc w:val="center"/>
        </w:trPr>
        <w:tc>
          <w:tcPr>
            <w:tcW w:w="645" w:type="dxa"/>
            <w:tcBorders>
              <w:top w:val="single" w:sz="6" w:space="0" w:color="auto"/>
              <w:left w:val="single" w:sz="12" w:space="0" w:color="auto"/>
              <w:bottom w:val="single" w:sz="6" w:space="0" w:color="auto"/>
              <w:right w:val="single" w:sz="6" w:space="0" w:color="auto"/>
            </w:tcBorders>
          </w:tcPr>
          <w:p w14:paraId="657876D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tc>
        <w:tc>
          <w:tcPr>
            <w:tcW w:w="3180" w:type="dxa"/>
            <w:tcBorders>
              <w:top w:val="single" w:sz="6" w:space="0" w:color="auto"/>
              <w:left w:val="single" w:sz="6" w:space="0" w:color="auto"/>
              <w:bottom w:val="single" w:sz="6" w:space="0" w:color="auto"/>
              <w:right w:val="single" w:sz="6" w:space="0" w:color="auto"/>
            </w:tcBorders>
          </w:tcPr>
          <w:p w14:paraId="5973DBD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Бронзолитейных " "</w:t>
            </w:r>
          </w:p>
        </w:tc>
        <w:tc>
          <w:tcPr>
            <w:tcW w:w="1920" w:type="dxa"/>
            <w:tcBorders>
              <w:top w:val="single" w:sz="6" w:space="0" w:color="auto"/>
              <w:left w:val="single" w:sz="6" w:space="0" w:color="auto"/>
              <w:bottom w:val="single" w:sz="6" w:space="0" w:color="auto"/>
              <w:right w:val="single" w:sz="6" w:space="0" w:color="auto"/>
            </w:tcBorders>
          </w:tcPr>
          <w:p w14:paraId="4CC68B3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200</w:t>
            </w:r>
          </w:p>
        </w:tc>
        <w:tc>
          <w:tcPr>
            <w:tcW w:w="1920" w:type="dxa"/>
            <w:tcBorders>
              <w:top w:val="single" w:sz="6" w:space="0" w:color="auto"/>
              <w:left w:val="single" w:sz="6" w:space="0" w:color="auto"/>
              <w:bottom w:val="single" w:sz="6" w:space="0" w:color="auto"/>
              <w:right w:val="single" w:sz="6" w:space="0" w:color="auto"/>
            </w:tcBorders>
          </w:tcPr>
          <w:p w14:paraId="77D8C12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200</w:t>
            </w:r>
          </w:p>
        </w:tc>
        <w:tc>
          <w:tcPr>
            <w:tcW w:w="1920" w:type="dxa"/>
            <w:tcBorders>
              <w:top w:val="single" w:sz="6" w:space="0" w:color="auto"/>
              <w:left w:val="single" w:sz="6" w:space="0" w:color="auto"/>
              <w:bottom w:val="single" w:sz="6" w:space="0" w:color="auto"/>
              <w:right w:val="single" w:sz="12" w:space="0" w:color="auto"/>
            </w:tcBorders>
          </w:tcPr>
          <w:p w14:paraId="517804F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05E23D74" w14:textId="77777777">
        <w:trPr>
          <w:jc w:val="center"/>
        </w:trPr>
        <w:tc>
          <w:tcPr>
            <w:tcW w:w="645" w:type="dxa"/>
            <w:tcBorders>
              <w:top w:val="single" w:sz="6" w:space="0" w:color="auto"/>
              <w:left w:val="single" w:sz="12" w:space="0" w:color="auto"/>
              <w:bottom w:val="single" w:sz="6" w:space="0" w:color="auto"/>
              <w:right w:val="single" w:sz="6" w:space="0" w:color="auto"/>
            </w:tcBorders>
          </w:tcPr>
          <w:p w14:paraId="0F54C51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w:t>
            </w:r>
          </w:p>
        </w:tc>
        <w:tc>
          <w:tcPr>
            <w:tcW w:w="3180" w:type="dxa"/>
            <w:tcBorders>
              <w:top w:val="single" w:sz="6" w:space="0" w:color="auto"/>
              <w:left w:val="single" w:sz="6" w:space="0" w:color="auto"/>
              <w:bottom w:val="single" w:sz="6" w:space="0" w:color="auto"/>
              <w:right w:val="single" w:sz="6" w:space="0" w:color="auto"/>
            </w:tcBorders>
          </w:tcPr>
          <w:p w14:paraId="421AED7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Деревообделочный "</w:t>
            </w:r>
          </w:p>
        </w:tc>
        <w:tc>
          <w:tcPr>
            <w:tcW w:w="1920" w:type="dxa"/>
            <w:tcBorders>
              <w:top w:val="single" w:sz="6" w:space="0" w:color="auto"/>
              <w:left w:val="single" w:sz="6" w:space="0" w:color="auto"/>
              <w:bottom w:val="single" w:sz="6" w:space="0" w:color="auto"/>
              <w:right w:val="single" w:sz="6" w:space="0" w:color="auto"/>
            </w:tcBorders>
          </w:tcPr>
          <w:p w14:paraId="1E1582D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150</w:t>
            </w:r>
          </w:p>
        </w:tc>
        <w:tc>
          <w:tcPr>
            <w:tcW w:w="1920" w:type="dxa"/>
            <w:tcBorders>
              <w:top w:val="single" w:sz="6" w:space="0" w:color="auto"/>
              <w:left w:val="single" w:sz="6" w:space="0" w:color="auto"/>
              <w:bottom w:val="single" w:sz="6" w:space="0" w:color="auto"/>
              <w:right w:val="single" w:sz="6" w:space="0" w:color="auto"/>
            </w:tcBorders>
          </w:tcPr>
          <w:p w14:paraId="3A4A49C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150</w:t>
            </w:r>
          </w:p>
        </w:tc>
        <w:tc>
          <w:tcPr>
            <w:tcW w:w="1920" w:type="dxa"/>
            <w:tcBorders>
              <w:top w:val="single" w:sz="6" w:space="0" w:color="auto"/>
              <w:left w:val="single" w:sz="6" w:space="0" w:color="auto"/>
              <w:bottom w:val="single" w:sz="6" w:space="0" w:color="auto"/>
              <w:right w:val="single" w:sz="12" w:space="0" w:color="auto"/>
            </w:tcBorders>
          </w:tcPr>
          <w:p w14:paraId="4EFE1E6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10CAF2AB" w14:textId="77777777">
        <w:trPr>
          <w:jc w:val="center"/>
        </w:trPr>
        <w:tc>
          <w:tcPr>
            <w:tcW w:w="645" w:type="dxa"/>
            <w:tcBorders>
              <w:top w:val="single" w:sz="6" w:space="0" w:color="auto"/>
              <w:left w:val="single" w:sz="12" w:space="0" w:color="auto"/>
              <w:bottom w:val="single" w:sz="6" w:space="0" w:color="auto"/>
              <w:right w:val="single" w:sz="6" w:space="0" w:color="auto"/>
            </w:tcBorders>
          </w:tcPr>
          <w:p w14:paraId="535C364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tc>
        <w:tc>
          <w:tcPr>
            <w:tcW w:w="3180" w:type="dxa"/>
            <w:tcBorders>
              <w:top w:val="single" w:sz="6" w:space="0" w:color="auto"/>
              <w:left w:val="single" w:sz="6" w:space="0" w:color="auto"/>
              <w:bottom w:val="single" w:sz="6" w:space="0" w:color="auto"/>
              <w:right w:val="single" w:sz="6" w:space="0" w:color="auto"/>
            </w:tcBorders>
          </w:tcPr>
          <w:p w14:paraId="139BF36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Цех …МТ "а</w:t>
            </w:r>
          </w:p>
        </w:tc>
        <w:tc>
          <w:tcPr>
            <w:tcW w:w="1920" w:type="dxa"/>
            <w:tcBorders>
              <w:top w:val="single" w:sz="6" w:space="0" w:color="auto"/>
              <w:left w:val="single" w:sz="6" w:space="0" w:color="auto"/>
              <w:bottom w:val="single" w:sz="6" w:space="0" w:color="auto"/>
              <w:right w:val="single" w:sz="6" w:space="0" w:color="auto"/>
            </w:tcBorders>
          </w:tcPr>
          <w:p w14:paraId="60D6731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600</w:t>
            </w:r>
          </w:p>
        </w:tc>
        <w:tc>
          <w:tcPr>
            <w:tcW w:w="1920" w:type="dxa"/>
            <w:tcBorders>
              <w:top w:val="single" w:sz="6" w:space="0" w:color="auto"/>
              <w:left w:val="single" w:sz="6" w:space="0" w:color="auto"/>
              <w:bottom w:val="single" w:sz="6" w:space="0" w:color="auto"/>
              <w:right w:val="single" w:sz="6" w:space="0" w:color="auto"/>
            </w:tcBorders>
          </w:tcPr>
          <w:p w14:paraId="1E091E2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600</w:t>
            </w:r>
          </w:p>
        </w:tc>
        <w:tc>
          <w:tcPr>
            <w:tcW w:w="1920" w:type="dxa"/>
            <w:tcBorders>
              <w:top w:val="single" w:sz="6" w:space="0" w:color="auto"/>
              <w:left w:val="single" w:sz="6" w:space="0" w:color="auto"/>
              <w:bottom w:val="single" w:sz="6" w:space="0" w:color="auto"/>
              <w:right w:val="single" w:sz="12" w:space="0" w:color="auto"/>
            </w:tcBorders>
          </w:tcPr>
          <w:p w14:paraId="5ED79DB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5A55B81E" w14:textId="77777777">
        <w:trPr>
          <w:jc w:val="center"/>
        </w:trPr>
        <w:tc>
          <w:tcPr>
            <w:tcW w:w="645" w:type="dxa"/>
            <w:tcBorders>
              <w:top w:val="single" w:sz="6" w:space="0" w:color="auto"/>
              <w:left w:val="single" w:sz="12" w:space="0" w:color="auto"/>
              <w:bottom w:val="single" w:sz="6" w:space="0" w:color="auto"/>
              <w:right w:val="single" w:sz="6" w:space="0" w:color="auto"/>
            </w:tcBorders>
          </w:tcPr>
          <w:p w14:paraId="54CC348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w:t>
            </w:r>
          </w:p>
        </w:tc>
        <w:tc>
          <w:tcPr>
            <w:tcW w:w="3180" w:type="dxa"/>
            <w:tcBorders>
              <w:top w:val="single" w:sz="6" w:space="0" w:color="auto"/>
              <w:left w:val="single" w:sz="6" w:space="0" w:color="auto"/>
              <w:bottom w:val="single" w:sz="6" w:space="0" w:color="auto"/>
              <w:right w:val="single" w:sz="6" w:space="0" w:color="auto"/>
            </w:tcBorders>
          </w:tcPr>
          <w:p w14:paraId="390817E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Административные здания</w:t>
            </w:r>
          </w:p>
        </w:tc>
        <w:tc>
          <w:tcPr>
            <w:tcW w:w="1920" w:type="dxa"/>
            <w:tcBorders>
              <w:top w:val="single" w:sz="6" w:space="0" w:color="auto"/>
              <w:left w:val="single" w:sz="6" w:space="0" w:color="auto"/>
              <w:bottom w:val="single" w:sz="6" w:space="0" w:color="auto"/>
              <w:right w:val="single" w:sz="6" w:space="0" w:color="auto"/>
            </w:tcBorders>
          </w:tcPr>
          <w:p w14:paraId="0689D23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550</w:t>
            </w:r>
          </w:p>
        </w:tc>
        <w:tc>
          <w:tcPr>
            <w:tcW w:w="1920" w:type="dxa"/>
            <w:tcBorders>
              <w:top w:val="single" w:sz="6" w:space="0" w:color="auto"/>
              <w:left w:val="single" w:sz="6" w:space="0" w:color="auto"/>
              <w:bottom w:val="single" w:sz="6" w:space="0" w:color="auto"/>
              <w:right w:val="single" w:sz="6" w:space="0" w:color="auto"/>
            </w:tcBorders>
          </w:tcPr>
          <w:p w14:paraId="70530F0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250</w:t>
            </w:r>
          </w:p>
        </w:tc>
        <w:tc>
          <w:tcPr>
            <w:tcW w:w="1920" w:type="dxa"/>
            <w:tcBorders>
              <w:top w:val="single" w:sz="6" w:space="0" w:color="auto"/>
              <w:left w:val="single" w:sz="6" w:space="0" w:color="auto"/>
              <w:bottom w:val="single" w:sz="6" w:space="0" w:color="auto"/>
              <w:right w:val="single" w:sz="12" w:space="0" w:color="auto"/>
            </w:tcBorders>
          </w:tcPr>
          <w:p w14:paraId="3D755BF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018A5663" w14:textId="77777777">
        <w:trPr>
          <w:jc w:val="center"/>
        </w:trPr>
        <w:tc>
          <w:tcPr>
            <w:tcW w:w="645" w:type="dxa"/>
            <w:tcBorders>
              <w:top w:val="single" w:sz="6" w:space="0" w:color="auto"/>
              <w:left w:val="single" w:sz="12" w:space="0" w:color="auto"/>
              <w:bottom w:val="single" w:sz="6" w:space="0" w:color="auto"/>
              <w:right w:val="single" w:sz="6" w:space="0" w:color="auto"/>
            </w:tcBorders>
          </w:tcPr>
          <w:p w14:paraId="2585493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w:t>
            </w:r>
          </w:p>
        </w:tc>
        <w:tc>
          <w:tcPr>
            <w:tcW w:w="3180" w:type="dxa"/>
            <w:tcBorders>
              <w:top w:val="single" w:sz="6" w:space="0" w:color="auto"/>
              <w:left w:val="single" w:sz="6" w:space="0" w:color="auto"/>
              <w:bottom w:val="single" w:sz="6" w:space="0" w:color="auto"/>
              <w:right w:val="single" w:sz="6" w:space="0" w:color="auto"/>
            </w:tcBorders>
          </w:tcPr>
          <w:p w14:paraId="05578A0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Лесосушилка</w:t>
            </w:r>
          </w:p>
        </w:tc>
        <w:tc>
          <w:tcPr>
            <w:tcW w:w="1920" w:type="dxa"/>
            <w:tcBorders>
              <w:top w:val="single" w:sz="6" w:space="0" w:color="auto"/>
              <w:left w:val="single" w:sz="6" w:space="0" w:color="auto"/>
              <w:bottom w:val="single" w:sz="6" w:space="0" w:color="auto"/>
              <w:right w:val="single" w:sz="6" w:space="0" w:color="auto"/>
            </w:tcBorders>
          </w:tcPr>
          <w:p w14:paraId="0A579C8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w:t>
            </w:r>
          </w:p>
        </w:tc>
        <w:tc>
          <w:tcPr>
            <w:tcW w:w="1920" w:type="dxa"/>
            <w:tcBorders>
              <w:top w:val="single" w:sz="6" w:space="0" w:color="auto"/>
              <w:left w:val="single" w:sz="6" w:space="0" w:color="auto"/>
              <w:bottom w:val="single" w:sz="6" w:space="0" w:color="auto"/>
              <w:right w:val="single" w:sz="6" w:space="0" w:color="auto"/>
            </w:tcBorders>
          </w:tcPr>
          <w:p w14:paraId="5E1C499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w:t>
            </w:r>
          </w:p>
        </w:tc>
        <w:tc>
          <w:tcPr>
            <w:tcW w:w="1920" w:type="dxa"/>
            <w:tcBorders>
              <w:top w:val="single" w:sz="6" w:space="0" w:color="auto"/>
              <w:left w:val="single" w:sz="6" w:space="0" w:color="auto"/>
              <w:bottom w:val="single" w:sz="6" w:space="0" w:color="auto"/>
              <w:right w:val="single" w:sz="12" w:space="0" w:color="auto"/>
            </w:tcBorders>
          </w:tcPr>
          <w:p w14:paraId="7E403DA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4E629E82" w14:textId="77777777">
        <w:trPr>
          <w:jc w:val="center"/>
        </w:trPr>
        <w:tc>
          <w:tcPr>
            <w:tcW w:w="645" w:type="dxa"/>
            <w:tcBorders>
              <w:top w:val="single" w:sz="6" w:space="0" w:color="auto"/>
              <w:left w:val="single" w:sz="12" w:space="0" w:color="auto"/>
              <w:bottom w:val="single" w:sz="6" w:space="0" w:color="auto"/>
              <w:right w:val="single" w:sz="6" w:space="0" w:color="auto"/>
            </w:tcBorders>
          </w:tcPr>
          <w:p w14:paraId="3320CD4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w:t>
            </w:r>
          </w:p>
        </w:tc>
        <w:tc>
          <w:tcPr>
            <w:tcW w:w="3180" w:type="dxa"/>
            <w:tcBorders>
              <w:top w:val="single" w:sz="6" w:space="0" w:color="auto"/>
              <w:left w:val="single" w:sz="6" w:space="0" w:color="auto"/>
              <w:bottom w:val="single" w:sz="6" w:space="0" w:color="auto"/>
              <w:right w:val="single" w:sz="6" w:space="0" w:color="auto"/>
            </w:tcBorders>
          </w:tcPr>
          <w:p w14:paraId="0C7041A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Турбо-дизельный цех</w:t>
            </w:r>
          </w:p>
        </w:tc>
        <w:tc>
          <w:tcPr>
            <w:tcW w:w="1920" w:type="dxa"/>
            <w:tcBorders>
              <w:top w:val="single" w:sz="6" w:space="0" w:color="auto"/>
              <w:left w:val="single" w:sz="6" w:space="0" w:color="auto"/>
              <w:bottom w:val="single" w:sz="6" w:space="0" w:color="auto"/>
              <w:right w:val="single" w:sz="6" w:space="0" w:color="auto"/>
            </w:tcBorders>
          </w:tcPr>
          <w:p w14:paraId="4992E09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1500</w:t>
            </w:r>
          </w:p>
        </w:tc>
        <w:tc>
          <w:tcPr>
            <w:tcW w:w="1920" w:type="dxa"/>
            <w:tcBorders>
              <w:top w:val="single" w:sz="6" w:space="0" w:color="auto"/>
              <w:left w:val="single" w:sz="6" w:space="0" w:color="auto"/>
              <w:bottom w:val="single" w:sz="6" w:space="0" w:color="auto"/>
              <w:right w:val="single" w:sz="6" w:space="0" w:color="auto"/>
            </w:tcBorders>
          </w:tcPr>
          <w:p w14:paraId="22BE14C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450</w:t>
            </w:r>
          </w:p>
        </w:tc>
        <w:tc>
          <w:tcPr>
            <w:tcW w:w="1920" w:type="dxa"/>
            <w:tcBorders>
              <w:top w:val="single" w:sz="6" w:space="0" w:color="auto"/>
              <w:left w:val="single" w:sz="6" w:space="0" w:color="auto"/>
              <w:bottom w:val="single" w:sz="6" w:space="0" w:color="auto"/>
              <w:right w:val="single" w:sz="12" w:space="0" w:color="auto"/>
            </w:tcBorders>
          </w:tcPr>
          <w:p w14:paraId="712FB5E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1AD9CA24" w14:textId="77777777">
        <w:trPr>
          <w:jc w:val="center"/>
        </w:trPr>
        <w:tc>
          <w:tcPr>
            <w:tcW w:w="645" w:type="dxa"/>
            <w:tcBorders>
              <w:top w:val="single" w:sz="6" w:space="0" w:color="auto"/>
              <w:left w:val="single" w:sz="12" w:space="0" w:color="auto"/>
              <w:bottom w:val="single" w:sz="6" w:space="0" w:color="auto"/>
              <w:right w:val="single" w:sz="6" w:space="0" w:color="auto"/>
            </w:tcBorders>
          </w:tcPr>
          <w:p w14:paraId="3867CC9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w:t>
            </w:r>
          </w:p>
        </w:tc>
        <w:tc>
          <w:tcPr>
            <w:tcW w:w="3180" w:type="dxa"/>
            <w:tcBorders>
              <w:top w:val="single" w:sz="6" w:space="0" w:color="auto"/>
              <w:left w:val="single" w:sz="6" w:space="0" w:color="auto"/>
              <w:bottom w:val="single" w:sz="6" w:space="0" w:color="auto"/>
              <w:right w:val="single" w:sz="6" w:space="0" w:color="auto"/>
            </w:tcBorders>
          </w:tcPr>
          <w:p w14:paraId="0120EE9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Медницкий и монтажный цехи</w:t>
            </w:r>
          </w:p>
          <w:p w14:paraId="676DC4A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Северного дока</w:t>
            </w:r>
          </w:p>
        </w:tc>
        <w:tc>
          <w:tcPr>
            <w:tcW w:w="1920" w:type="dxa"/>
            <w:tcBorders>
              <w:top w:val="single" w:sz="6" w:space="0" w:color="auto"/>
              <w:left w:val="single" w:sz="6" w:space="0" w:color="auto"/>
              <w:bottom w:val="single" w:sz="6" w:space="0" w:color="auto"/>
              <w:right w:val="single" w:sz="6" w:space="0" w:color="auto"/>
            </w:tcBorders>
          </w:tcPr>
          <w:p w14:paraId="791D7A6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260</w:t>
            </w:r>
          </w:p>
        </w:tc>
        <w:tc>
          <w:tcPr>
            <w:tcW w:w="1920" w:type="dxa"/>
            <w:tcBorders>
              <w:top w:val="single" w:sz="6" w:space="0" w:color="auto"/>
              <w:left w:val="single" w:sz="6" w:space="0" w:color="auto"/>
              <w:bottom w:val="single" w:sz="6" w:space="0" w:color="auto"/>
              <w:right w:val="single" w:sz="6" w:space="0" w:color="auto"/>
            </w:tcBorders>
          </w:tcPr>
          <w:p w14:paraId="7AECC66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260</w:t>
            </w:r>
          </w:p>
        </w:tc>
        <w:tc>
          <w:tcPr>
            <w:tcW w:w="1920" w:type="dxa"/>
            <w:tcBorders>
              <w:top w:val="single" w:sz="6" w:space="0" w:color="auto"/>
              <w:left w:val="single" w:sz="6" w:space="0" w:color="auto"/>
              <w:bottom w:val="single" w:sz="6" w:space="0" w:color="auto"/>
              <w:right w:val="single" w:sz="12" w:space="0" w:color="auto"/>
            </w:tcBorders>
          </w:tcPr>
          <w:p w14:paraId="6883943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62ACFB4D" w14:textId="77777777">
        <w:trPr>
          <w:jc w:val="center"/>
        </w:trPr>
        <w:tc>
          <w:tcPr>
            <w:tcW w:w="645" w:type="dxa"/>
            <w:tcBorders>
              <w:top w:val="single" w:sz="6" w:space="0" w:color="auto"/>
              <w:left w:val="single" w:sz="12" w:space="0" w:color="auto"/>
              <w:bottom w:val="single" w:sz="6" w:space="0" w:color="auto"/>
              <w:right w:val="single" w:sz="6" w:space="0" w:color="auto"/>
            </w:tcBorders>
          </w:tcPr>
          <w:p w14:paraId="302C777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w:t>
            </w:r>
          </w:p>
        </w:tc>
        <w:tc>
          <w:tcPr>
            <w:tcW w:w="3180" w:type="dxa"/>
            <w:tcBorders>
              <w:top w:val="single" w:sz="6" w:space="0" w:color="auto"/>
              <w:left w:val="single" w:sz="6" w:space="0" w:color="auto"/>
              <w:bottom w:val="single" w:sz="6" w:space="0" w:color="auto"/>
              <w:right w:val="single" w:sz="6" w:space="0" w:color="auto"/>
            </w:tcBorders>
          </w:tcPr>
          <w:p w14:paraId="34F0909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Столовая Северного дока</w:t>
            </w:r>
          </w:p>
        </w:tc>
        <w:tc>
          <w:tcPr>
            <w:tcW w:w="1920" w:type="dxa"/>
            <w:tcBorders>
              <w:top w:val="single" w:sz="6" w:space="0" w:color="auto"/>
              <w:left w:val="single" w:sz="6" w:space="0" w:color="auto"/>
              <w:bottom w:val="single" w:sz="6" w:space="0" w:color="auto"/>
              <w:right w:val="single" w:sz="6" w:space="0" w:color="auto"/>
            </w:tcBorders>
          </w:tcPr>
          <w:p w14:paraId="0BE6A6D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220</w:t>
            </w:r>
          </w:p>
        </w:tc>
        <w:tc>
          <w:tcPr>
            <w:tcW w:w="1920" w:type="dxa"/>
            <w:tcBorders>
              <w:top w:val="single" w:sz="6" w:space="0" w:color="auto"/>
              <w:left w:val="single" w:sz="6" w:space="0" w:color="auto"/>
              <w:bottom w:val="single" w:sz="6" w:space="0" w:color="auto"/>
              <w:right w:val="single" w:sz="6" w:space="0" w:color="auto"/>
            </w:tcBorders>
          </w:tcPr>
          <w:p w14:paraId="2A9BB81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220</w:t>
            </w:r>
          </w:p>
        </w:tc>
        <w:tc>
          <w:tcPr>
            <w:tcW w:w="1920" w:type="dxa"/>
            <w:tcBorders>
              <w:top w:val="single" w:sz="6" w:space="0" w:color="auto"/>
              <w:left w:val="single" w:sz="6" w:space="0" w:color="auto"/>
              <w:bottom w:val="single" w:sz="6" w:space="0" w:color="auto"/>
              <w:right w:val="single" w:sz="12" w:space="0" w:color="auto"/>
            </w:tcBorders>
          </w:tcPr>
          <w:p w14:paraId="32F1008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6697EDDD" w14:textId="77777777">
        <w:trPr>
          <w:jc w:val="center"/>
        </w:trPr>
        <w:tc>
          <w:tcPr>
            <w:tcW w:w="645" w:type="dxa"/>
            <w:tcBorders>
              <w:top w:val="single" w:sz="6" w:space="0" w:color="auto"/>
              <w:left w:val="single" w:sz="12" w:space="0" w:color="auto"/>
              <w:bottom w:val="single" w:sz="6" w:space="0" w:color="auto"/>
              <w:right w:val="single" w:sz="6" w:space="0" w:color="auto"/>
            </w:tcBorders>
          </w:tcPr>
          <w:p w14:paraId="213199C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3180" w:type="dxa"/>
            <w:tcBorders>
              <w:top w:val="single" w:sz="6" w:space="0" w:color="auto"/>
              <w:left w:val="single" w:sz="6" w:space="0" w:color="auto"/>
              <w:bottom w:val="single" w:sz="6" w:space="0" w:color="auto"/>
              <w:right w:val="single" w:sz="6" w:space="0" w:color="auto"/>
            </w:tcBorders>
          </w:tcPr>
          <w:p w14:paraId="06E55B3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Итого:</w:t>
            </w:r>
          </w:p>
        </w:tc>
        <w:tc>
          <w:tcPr>
            <w:tcW w:w="1920" w:type="dxa"/>
            <w:tcBorders>
              <w:top w:val="single" w:sz="6" w:space="0" w:color="auto"/>
              <w:left w:val="single" w:sz="6" w:space="0" w:color="auto"/>
              <w:bottom w:val="single" w:sz="6" w:space="0" w:color="auto"/>
              <w:right w:val="single" w:sz="6" w:space="0" w:color="auto"/>
            </w:tcBorders>
          </w:tcPr>
          <w:p w14:paraId="27E8DA0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4940</w:t>
            </w:r>
          </w:p>
        </w:tc>
        <w:tc>
          <w:tcPr>
            <w:tcW w:w="1920" w:type="dxa"/>
            <w:tcBorders>
              <w:top w:val="single" w:sz="6" w:space="0" w:color="auto"/>
              <w:left w:val="single" w:sz="6" w:space="0" w:color="auto"/>
              <w:bottom w:val="single" w:sz="6" w:space="0" w:color="auto"/>
              <w:right w:val="single" w:sz="6" w:space="0" w:color="auto"/>
            </w:tcBorders>
          </w:tcPr>
          <w:p w14:paraId="2B00BC8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3590</w:t>
            </w:r>
          </w:p>
        </w:tc>
        <w:tc>
          <w:tcPr>
            <w:tcW w:w="1920" w:type="dxa"/>
            <w:tcBorders>
              <w:top w:val="single" w:sz="6" w:space="0" w:color="auto"/>
              <w:left w:val="single" w:sz="6" w:space="0" w:color="auto"/>
              <w:bottom w:val="single" w:sz="6" w:space="0" w:color="auto"/>
              <w:right w:val="single" w:sz="12" w:space="0" w:color="auto"/>
            </w:tcBorders>
          </w:tcPr>
          <w:p w14:paraId="564D17D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C013A51" w14:textId="77777777" w:rsidTr="00595BFB">
        <w:trPr>
          <w:jc w:val="center"/>
        </w:trPr>
        <w:tc>
          <w:tcPr>
            <w:tcW w:w="645" w:type="dxa"/>
            <w:gridSpan w:val="5"/>
            <w:tcBorders>
              <w:top w:val="single" w:sz="6" w:space="0" w:color="auto"/>
              <w:left w:val="single" w:sz="12" w:space="0" w:color="auto"/>
              <w:bottom w:val="single" w:sz="6" w:space="0" w:color="auto"/>
              <w:right w:val="single" w:sz="12" w:space="0" w:color="auto"/>
            </w:tcBorders>
          </w:tcPr>
          <w:p w14:paraId="6D8D2CE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Энергетические объекты</w:t>
            </w:r>
          </w:p>
        </w:tc>
      </w:tr>
      <w:tr w:rsidR="005106D0" w:rsidRPr="007224C3" w14:paraId="6523B299" w14:textId="77777777">
        <w:trPr>
          <w:jc w:val="center"/>
        </w:trPr>
        <w:tc>
          <w:tcPr>
            <w:tcW w:w="645" w:type="dxa"/>
            <w:tcBorders>
              <w:top w:val="single" w:sz="6" w:space="0" w:color="auto"/>
              <w:left w:val="single" w:sz="12" w:space="0" w:color="auto"/>
              <w:bottom w:val="single" w:sz="6" w:space="0" w:color="auto"/>
              <w:right w:val="single" w:sz="6" w:space="0" w:color="auto"/>
            </w:tcBorders>
          </w:tcPr>
          <w:p w14:paraId="3627148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tc>
        <w:tc>
          <w:tcPr>
            <w:tcW w:w="3180" w:type="dxa"/>
            <w:tcBorders>
              <w:top w:val="single" w:sz="6" w:space="0" w:color="auto"/>
              <w:left w:val="single" w:sz="6" w:space="0" w:color="auto"/>
              <w:bottom w:val="single" w:sz="6" w:space="0" w:color="auto"/>
              <w:right w:val="single" w:sz="6" w:space="0" w:color="auto"/>
            </w:tcBorders>
          </w:tcPr>
          <w:p w14:paraId="144AAC5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Подстанция № 1,2 с сетями</w:t>
            </w:r>
          </w:p>
          <w:p w14:paraId="0FC1B19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Низкого и высокого напряжения </w:t>
            </w:r>
          </w:p>
        </w:tc>
        <w:tc>
          <w:tcPr>
            <w:tcW w:w="1920" w:type="dxa"/>
            <w:tcBorders>
              <w:top w:val="single" w:sz="6" w:space="0" w:color="auto"/>
              <w:left w:val="single" w:sz="6" w:space="0" w:color="auto"/>
              <w:bottom w:val="single" w:sz="6" w:space="0" w:color="auto"/>
              <w:right w:val="single" w:sz="6" w:space="0" w:color="auto"/>
            </w:tcBorders>
          </w:tcPr>
          <w:p w14:paraId="14C7962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520</w:t>
            </w:r>
          </w:p>
        </w:tc>
        <w:tc>
          <w:tcPr>
            <w:tcW w:w="1920" w:type="dxa"/>
            <w:tcBorders>
              <w:top w:val="single" w:sz="6" w:space="0" w:color="auto"/>
              <w:left w:val="single" w:sz="6" w:space="0" w:color="auto"/>
              <w:bottom w:val="single" w:sz="6" w:space="0" w:color="auto"/>
              <w:right w:val="single" w:sz="6" w:space="0" w:color="auto"/>
            </w:tcBorders>
          </w:tcPr>
          <w:p w14:paraId="47D7050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300</w:t>
            </w:r>
          </w:p>
        </w:tc>
        <w:tc>
          <w:tcPr>
            <w:tcW w:w="1920" w:type="dxa"/>
            <w:tcBorders>
              <w:top w:val="single" w:sz="6" w:space="0" w:color="auto"/>
              <w:left w:val="single" w:sz="6" w:space="0" w:color="auto"/>
              <w:bottom w:val="single" w:sz="6" w:space="0" w:color="auto"/>
              <w:right w:val="single" w:sz="12" w:space="0" w:color="auto"/>
            </w:tcBorders>
          </w:tcPr>
          <w:p w14:paraId="1EE9526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Ноябрь</w:t>
            </w:r>
          </w:p>
          <w:p w14:paraId="780B50B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1944 г.</w:t>
            </w:r>
          </w:p>
        </w:tc>
      </w:tr>
      <w:tr w:rsidR="005106D0" w:rsidRPr="007224C3" w14:paraId="74ED2375" w14:textId="77777777">
        <w:trPr>
          <w:jc w:val="center"/>
        </w:trPr>
        <w:tc>
          <w:tcPr>
            <w:tcW w:w="645" w:type="dxa"/>
            <w:tcBorders>
              <w:top w:val="single" w:sz="6" w:space="0" w:color="auto"/>
              <w:left w:val="single" w:sz="12" w:space="0" w:color="auto"/>
              <w:bottom w:val="single" w:sz="6" w:space="0" w:color="auto"/>
              <w:right w:val="single" w:sz="6" w:space="0" w:color="auto"/>
            </w:tcBorders>
          </w:tcPr>
          <w:p w14:paraId="2587943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tc>
        <w:tc>
          <w:tcPr>
            <w:tcW w:w="3180" w:type="dxa"/>
            <w:tcBorders>
              <w:top w:val="single" w:sz="6" w:space="0" w:color="auto"/>
              <w:left w:val="single" w:sz="6" w:space="0" w:color="auto"/>
              <w:bottom w:val="single" w:sz="6" w:space="0" w:color="auto"/>
              <w:right w:val="single" w:sz="6" w:space="0" w:color="auto"/>
            </w:tcBorders>
          </w:tcPr>
          <w:p w14:paraId="5D4CD1E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Подстанция Северного дока</w:t>
            </w:r>
          </w:p>
          <w:p w14:paraId="671D43F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цехе № 18 и при котельной с электросетями.</w:t>
            </w:r>
          </w:p>
        </w:tc>
        <w:tc>
          <w:tcPr>
            <w:tcW w:w="1920" w:type="dxa"/>
            <w:tcBorders>
              <w:top w:val="single" w:sz="6" w:space="0" w:color="auto"/>
              <w:left w:val="single" w:sz="6" w:space="0" w:color="auto"/>
              <w:bottom w:val="single" w:sz="6" w:space="0" w:color="auto"/>
              <w:right w:val="single" w:sz="6" w:space="0" w:color="auto"/>
            </w:tcBorders>
          </w:tcPr>
          <w:p w14:paraId="68C430C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335</w:t>
            </w:r>
          </w:p>
        </w:tc>
        <w:tc>
          <w:tcPr>
            <w:tcW w:w="1920" w:type="dxa"/>
            <w:tcBorders>
              <w:top w:val="single" w:sz="6" w:space="0" w:color="auto"/>
              <w:left w:val="single" w:sz="6" w:space="0" w:color="auto"/>
              <w:bottom w:val="single" w:sz="6" w:space="0" w:color="auto"/>
              <w:right w:val="single" w:sz="6" w:space="0" w:color="auto"/>
            </w:tcBorders>
          </w:tcPr>
          <w:p w14:paraId="4990B71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335</w:t>
            </w:r>
          </w:p>
        </w:tc>
        <w:tc>
          <w:tcPr>
            <w:tcW w:w="1920" w:type="dxa"/>
            <w:tcBorders>
              <w:top w:val="single" w:sz="6" w:space="0" w:color="auto"/>
              <w:left w:val="single" w:sz="6" w:space="0" w:color="auto"/>
              <w:bottom w:val="single" w:sz="6" w:space="0" w:color="auto"/>
              <w:right w:val="single" w:sz="12" w:space="0" w:color="auto"/>
            </w:tcBorders>
          </w:tcPr>
          <w:p w14:paraId="4FCC8A9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666828F4" w14:textId="77777777">
        <w:trPr>
          <w:jc w:val="center"/>
        </w:trPr>
        <w:tc>
          <w:tcPr>
            <w:tcW w:w="645" w:type="dxa"/>
            <w:tcBorders>
              <w:top w:val="single" w:sz="6" w:space="0" w:color="auto"/>
              <w:left w:val="single" w:sz="12" w:space="0" w:color="auto"/>
              <w:bottom w:val="single" w:sz="6" w:space="0" w:color="auto"/>
              <w:right w:val="single" w:sz="6" w:space="0" w:color="auto"/>
            </w:tcBorders>
          </w:tcPr>
          <w:p w14:paraId="48763B9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tc>
        <w:tc>
          <w:tcPr>
            <w:tcW w:w="3180" w:type="dxa"/>
            <w:tcBorders>
              <w:top w:val="single" w:sz="6" w:space="0" w:color="auto"/>
              <w:left w:val="single" w:sz="6" w:space="0" w:color="auto"/>
              <w:bottom w:val="single" w:sz="6" w:space="0" w:color="auto"/>
              <w:right w:val="single" w:sz="6" w:space="0" w:color="auto"/>
            </w:tcBorders>
          </w:tcPr>
          <w:p w14:paraId="7AD8BB8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Компрессорная станция и сети:</w:t>
            </w:r>
          </w:p>
          <w:p w14:paraId="679F730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по основной площадке</w:t>
            </w:r>
          </w:p>
          <w:p w14:paraId="6B0BA72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б) Северного дока</w:t>
            </w:r>
          </w:p>
        </w:tc>
        <w:tc>
          <w:tcPr>
            <w:tcW w:w="1920" w:type="dxa"/>
            <w:tcBorders>
              <w:top w:val="single" w:sz="6" w:space="0" w:color="auto"/>
              <w:left w:val="single" w:sz="6" w:space="0" w:color="auto"/>
              <w:bottom w:val="single" w:sz="6" w:space="0" w:color="auto"/>
              <w:right w:val="single" w:sz="6" w:space="0" w:color="auto"/>
            </w:tcBorders>
          </w:tcPr>
          <w:p w14:paraId="39179EE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330</w:t>
            </w:r>
          </w:p>
          <w:p w14:paraId="5A384FA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w:t>
            </w:r>
          </w:p>
        </w:tc>
        <w:tc>
          <w:tcPr>
            <w:tcW w:w="1920" w:type="dxa"/>
            <w:tcBorders>
              <w:top w:val="single" w:sz="6" w:space="0" w:color="auto"/>
              <w:left w:val="single" w:sz="6" w:space="0" w:color="auto"/>
              <w:bottom w:val="single" w:sz="6" w:space="0" w:color="auto"/>
              <w:right w:val="single" w:sz="6" w:space="0" w:color="auto"/>
            </w:tcBorders>
          </w:tcPr>
          <w:p w14:paraId="3D54689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330</w:t>
            </w:r>
          </w:p>
          <w:p w14:paraId="6A3C9E0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w:t>
            </w:r>
          </w:p>
        </w:tc>
        <w:tc>
          <w:tcPr>
            <w:tcW w:w="1920" w:type="dxa"/>
            <w:tcBorders>
              <w:top w:val="single" w:sz="6" w:space="0" w:color="auto"/>
              <w:left w:val="single" w:sz="6" w:space="0" w:color="auto"/>
              <w:bottom w:val="single" w:sz="6" w:space="0" w:color="auto"/>
              <w:right w:val="single" w:sz="12" w:space="0" w:color="auto"/>
            </w:tcBorders>
          </w:tcPr>
          <w:p w14:paraId="3286549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7F1CDEBD" w14:textId="77777777">
        <w:trPr>
          <w:jc w:val="center"/>
        </w:trPr>
        <w:tc>
          <w:tcPr>
            <w:tcW w:w="645" w:type="dxa"/>
            <w:tcBorders>
              <w:top w:val="single" w:sz="6" w:space="0" w:color="auto"/>
              <w:left w:val="single" w:sz="12" w:space="0" w:color="auto"/>
              <w:bottom w:val="single" w:sz="6" w:space="0" w:color="auto"/>
              <w:right w:val="single" w:sz="6" w:space="0" w:color="auto"/>
            </w:tcBorders>
          </w:tcPr>
          <w:p w14:paraId="44F7FB6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w:t>
            </w:r>
          </w:p>
        </w:tc>
        <w:tc>
          <w:tcPr>
            <w:tcW w:w="3180" w:type="dxa"/>
            <w:tcBorders>
              <w:top w:val="single" w:sz="6" w:space="0" w:color="auto"/>
              <w:left w:val="single" w:sz="6" w:space="0" w:color="auto"/>
              <w:bottom w:val="single" w:sz="6" w:space="0" w:color="auto"/>
              <w:right w:val="single" w:sz="6" w:space="0" w:color="auto"/>
            </w:tcBorders>
          </w:tcPr>
          <w:p w14:paraId="78743AF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Кислородная станция</w:t>
            </w:r>
          </w:p>
        </w:tc>
        <w:tc>
          <w:tcPr>
            <w:tcW w:w="1920" w:type="dxa"/>
            <w:tcBorders>
              <w:top w:val="single" w:sz="6" w:space="0" w:color="auto"/>
              <w:left w:val="single" w:sz="6" w:space="0" w:color="auto"/>
              <w:bottom w:val="single" w:sz="6" w:space="0" w:color="auto"/>
              <w:right w:val="single" w:sz="6" w:space="0" w:color="auto"/>
            </w:tcBorders>
          </w:tcPr>
          <w:p w14:paraId="1E06F77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200</w:t>
            </w:r>
          </w:p>
        </w:tc>
        <w:tc>
          <w:tcPr>
            <w:tcW w:w="1920" w:type="dxa"/>
            <w:tcBorders>
              <w:top w:val="single" w:sz="6" w:space="0" w:color="auto"/>
              <w:left w:val="single" w:sz="6" w:space="0" w:color="auto"/>
              <w:bottom w:val="single" w:sz="6" w:space="0" w:color="auto"/>
              <w:right w:val="single" w:sz="6" w:space="0" w:color="auto"/>
            </w:tcBorders>
          </w:tcPr>
          <w:p w14:paraId="0C4F582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200</w:t>
            </w:r>
          </w:p>
        </w:tc>
        <w:tc>
          <w:tcPr>
            <w:tcW w:w="1920" w:type="dxa"/>
            <w:tcBorders>
              <w:top w:val="single" w:sz="6" w:space="0" w:color="auto"/>
              <w:left w:val="single" w:sz="6" w:space="0" w:color="auto"/>
              <w:bottom w:val="single" w:sz="6" w:space="0" w:color="auto"/>
              <w:right w:val="single" w:sz="12" w:space="0" w:color="auto"/>
            </w:tcBorders>
          </w:tcPr>
          <w:p w14:paraId="5AF4DF0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25ACDCE3" w14:textId="77777777">
        <w:trPr>
          <w:jc w:val="center"/>
        </w:trPr>
        <w:tc>
          <w:tcPr>
            <w:tcW w:w="645" w:type="dxa"/>
            <w:tcBorders>
              <w:top w:val="single" w:sz="6" w:space="0" w:color="auto"/>
              <w:left w:val="single" w:sz="12" w:space="0" w:color="auto"/>
              <w:bottom w:val="single" w:sz="6" w:space="0" w:color="auto"/>
              <w:right w:val="single" w:sz="6" w:space="0" w:color="auto"/>
            </w:tcBorders>
          </w:tcPr>
          <w:p w14:paraId="1199F8A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tc>
        <w:tc>
          <w:tcPr>
            <w:tcW w:w="3180" w:type="dxa"/>
            <w:tcBorders>
              <w:top w:val="single" w:sz="6" w:space="0" w:color="auto"/>
              <w:left w:val="single" w:sz="6" w:space="0" w:color="auto"/>
              <w:bottom w:val="single" w:sz="6" w:space="0" w:color="auto"/>
              <w:right w:val="single" w:sz="6" w:space="0" w:color="auto"/>
            </w:tcBorders>
          </w:tcPr>
          <w:p w14:paraId="5AE4685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Ацетиленовая " </w:t>
            </w:r>
          </w:p>
        </w:tc>
        <w:tc>
          <w:tcPr>
            <w:tcW w:w="1920" w:type="dxa"/>
            <w:tcBorders>
              <w:top w:val="single" w:sz="6" w:space="0" w:color="auto"/>
              <w:left w:val="single" w:sz="6" w:space="0" w:color="auto"/>
              <w:bottom w:val="single" w:sz="6" w:space="0" w:color="auto"/>
              <w:right w:val="single" w:sz="6" w:space="0" w:color="auto"/>
            </w:tcBorders>
          </w:tcPr>
          <w:p w14:paraId="0783DDB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75</w:t>
            </w:r>
          </w:p>
        </w:tc>
        <w:tc>
          <w:tcPr>
            <w:tcW w:w="1920" w:type="dxa"/>
            <w:tcBorders>
              <w:top w:val="single" w:sz="6" w:space="0" w:color="auto"/>
              <w:left w:val="single" w:sz="6" w:space="0" w:color="auto"/>
              <w:bottom w:val="single" w:sz="6" w:space="0" w:color="auto"/>
              <w:right w:val="single" w:sz="6" w:space="0" w:color="auto"/>
            </w:tcBorders>
          </w:tcPr>
          <w:p w14:paraId="68DDCF4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75</w:t>
            </w:r>
          </w:p>
        </w:tc>
        <w:tc>
          <w:tcPr>
            <w:tcW w:w="1920" w:type="dxa"/>
            <w:tcBorders>
              <w:top w:val="single" w:sz="6" w:space="0" w:color="auto"/>
              <w:left w:val="single" w:sz="6" w:space="0" w:color="auto"/>
              <w:bottom w:val="single" w:sz="6" w:space="0" w:color="auto"/>
              <w:right w:val="single" w:sz="12" w:space="0" w:color="auto"/>
            </w:tcBorders>
          </w:tcPr>
          <w:p w14:paraId="2066E00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59F8B387" w14:textId="77777777">
        <w:trPr>
          <w:jc w:val="center"/>
        </w:trPr>
        <w:tc>
          <w:tcPr>
            <w:tcW w:w="645" w:type="dxa"/>
            <w:tcBorders>
              <w:top w:val="single" w:sz="6" w:space="0" w:color="auto"/>
              <w:left w:val="single" w:sz="12" w:space="0" w:color="auto"/>
              <w:bottom w:val="single" w:sz="6" w:space="0" w:color="auto"/>
              <w:right w:val="single" w:sz="6" w:space="0" w:color="auto"/>
            </w:tcBorders>
          </w:tcPr>
          <w:p w14:paraId="73A2A55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w:t>
            </w:r>
          </w:p>
        </w:tc>
        <w:tc>
          <w:tcPr>
            <w:tcW w:w="3180" w:type="dxa"/>
            <w:tcBorders>
              <w:top w:val="single" w:sz="6" w:space="0" w:color="auto"/>
              <w:left w:val="single" w:sz="6" w:space="0" w:color="auto"/>
              <w:bottom w:val="single" w:sz="6" w:space="0" w:color="auto"/>
              <w:right w:val="single" w:sz="6" w:space="0" w:color="auto"/>
            </w:tcBorders>
          </w:tcPr>
          <w:p w14:paraId="41AEC3C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Водопровод морской воды:</w:t>
            </w:r>
          </w:p>
          <w:p w14:paraId="68990E1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основной площадки</w:t>
            </w:r>
          </w:p>
          <w:p w14:paraId="52BE8B0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северного дока</w:t>
            </w:r>
          </w:p>
        </w:tc>
        <w:tc>
          <w:tcPr>
            <w:tcW w:w="1920" w:type="dxa"/>
            <w:tcBorders>
              <w:top w:val="single" w:sz="6" w:space="0" w:color="auto"/>
              <w:left w:val="single" w:sz="6" w:space="0" w:color="auto"/>
              <w:bottom w:val="single" w:sz="6" w:space="0" w:color="auto"/>
              <w:right w:val="single" w:sz="6" w:space="0" w:color="auto"/>
            </w:tcBorders>
          </w:tcPr>
          <w:p w14:paraId="72E8835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210</w:t>
            </w:r>
          </w:p>
          <w:p w14:paraId="5D03FE8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w:t>
            </w:r>
          </w:p>
        </w:tc>
        <w:tc>
          <w:tcPr>
            <w:tcW w:w="1920" w:type="dxa"/>
            <w:tcBorders>
              <w:top w:val="single" w:sz="6" w:space="0" w:color="auto"/>
              <w:left w:val="single" w:sz="6" w:space="0" w:color="auto"/>
              <w:bottom w:val="single" w:sz="6" w:space="0" w:color="auto"/>
              <w:right w:val="single" w:sz="6" w:space="0" w:color="auto"/>
            </w:tcBorders>
          </w:tcPr>
          <w:p w14:paraId="7D48F53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210</w:t>
            </w:r>
          </w:p>
          <w:p w14:paraId="72F4D75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w:t>
            </w:r>
          </w:p>
        </w:tc>
        <w:tc>
          <w:tcPr>
            <w:tcW w:w="1920" w:type="dxa"/>
            <w:tcBorders>
              <w:top w:val="single" w:sz="6" w:space="0" w:color="auto"/>
              <w:left w:val="single" w:sz="6" w:space="0" w:color="auto"/>
              <w:bottom w:val="single" w:sz="6" w:space="0" w:color="auto"/>
              <w:right w:val="single" w:sz="12" w:space="0" w:color="auto"/>
            </w:tcBorders>
          </w:tcPr>
          <w:p w14:paraId="35F6D93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3423122A" w14:textId="77777777">
        <w:trPr>
          <w:jc w:val="center"/>
        </w:trPr>
        <w:tc>
          <w:tcPr>
            <w:tcW w:w="645" w:type="dxa"/>
            <w:tcBorders>
              <w:top w:val="single" w:sz="6" w:space="0" w:color="auto"/>
              <w:left w:val="single" w:sz="12" w:space="0" w:color="auto"/>
              <w:bottom w:val="single" w:sz="6" w:space="0" w:color="auto"/>
              <w:right w:val="single" w:sz="6" w:space="0" w:color="auto"/>
            </w:tcBorders>
          </w:tcPr>
          <w:p w14:paraId="350C2EF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w:t>
            </w:r>
          </w:p>
        </w:tc>
        <w:tc>
          <w:tcPr>
            <w:tcW w:w="3180" w:type="dxa"/>
            <w:tcBorders>
              <w:top w:val="single" w:sz="6" w:space="0" w:color="auto"/>
              <w:left w:val="single" w:sz="6" w:space="0" w:color="auto"/>
              <w:bottom w:val="single" w:sz="6" w:space="0" w:color="auto"/>
              <w:right w:val="single" w:sz="6" w:space="0" w:color="auto"/>
            </w:tcBorders>
          </w:tcPr>
          <w:p w14:paraId="2F737DC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Водопровод пресной воды:</w:t>
            </w:r>
          </w:p>
          <w:p w14:paraId="7CADC56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основной площадки</w:t>
            </w:r>
          </w:p>
          <w:p w14:paraId="317C3AB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б) северного дока </w:t>
            </w:r>
          </w:p>
        </w:tc>
        <w:tc>
          <w:tcPr>
            <w:tcW w:w="1920" w:type="dxa"/>
            <w:tcBorders>
              <w:top w:val="single" w:sz="6" w:space="0" w:color="auto"/>
              <w:left w:val="single" w:sz="6" w:space="0" w:color="auto"/>
              <w:bottom w:val="single" w:sz="6" w:space="0" w:color="auto"/>
              <w:right w:val="single" w:sz="6" w:space="0" w:color="auto"/>
            </w:tcBorders>
          </w:tcPr>
          <w:p w14:paraId="05E5876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200</w:t>
            </w:r>
          </w:p>
          <w:p w14:paraId="5187423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200</w:t>
            </w:r>
          </w:p>
        </w:tc>
        <w:tc>
          <w:tcPr>
            <w:tcW w:w="1920" w:type="dxa"/>
            <w:tcBorders>
              <w:top w:val="single" w:sz="6" w:space="0" w:color="auto"/>
              <w:left w:val="single" w:sz="6" w:space="0" w:color="auto"/>
              <w:bottom w:val="single" w:sz="6" w:space="0" w:color="auto"/>
              <w:right w:val="single" w:sz="6" w:space="0" w:color="auto"/>
            </w:tcBorders>
          </w:tcPr>
          <w:p w14:paraId="4D05329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200</w:t>
            </w:r>
          </w:p>
          <w:p w14:paraId="5B72C48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200</w:t>
            </w:r>
          </w:p>
        </w:tc>
        <w:tc>
          <w:tcPr>
            <w:tcW w:w="1920" w:type="dxa"/>
            <w:tcBorders>
              <w:top w:val="single" w:sz="6" w:space="0" w:color="auto"/>
              <w:left w:val="single" w:sz="6" w:space="0" w:color="auto"/>
              <w:bottom w:val="single" w:sz="6" w:space="0" w:color="auto"/>
              <w:right w:val="single" w:sz="12" w:space="0" w:color="auto"/>
            </w:tcBorders>
          </w:tcPr>
          <w:p w14:paraId="5CEABB5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6E360885" w14:textId="77777777">
        <w:trPr>
          <w:jc w:val="center"/>
        </w:trPr>
        <w:tc>
          <w:tcPr>
            <w:tcW w:w="645" w:type="dxa"/>
            <w:tcBorders>
              <w:top w:val="single" w:sz="6" w:space="0" w:color="auto"/>
              <w:left w:val="single" w:sz="12" w:space="0" w:color="auto"/>
              <w:bottom w:val="single" w:sz="6" w:space="0" w:color="auto"/>
              <w:right w:val="single" w:sz="6" w:space="0" w:color="auto"/>
            </w:tcBorders>
          </w:tcPr>
          <w:p w14:paraId="407CA94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w:t>
            </w:r>
          </w:p>
        </w:tc>
        <w:tc>
          <w:tcPr>
            <w:tcW w:w="3180" w:type="dxa"/>
            <w:tcBorders>
              <w:top w:val="single" w:sz="6" w:space="0" w:color="auto"/>
              <w:left w:val="single" w:sz="6" w:space="0" w:color="auto"/>
              <w:bottom w:val="single" w:sz="6" w:space="0" w:color="auto"/>
              <w:right w:val="single" w:sz="6" w:space="0" w:color="auto"/>
            </w:tcBorders>
          </w:tcPr>
          <w:p w14:paraId="0975EDD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Фекальная канализация Северного дока </w:t>
            </w:r>
          </w:p>
        </w:tc>
        <w:tc>
          <w:tcPr>
            <w:tcW w:w="1920" w:type="dxa"/>
            <w:tcBorders>
              <w:top w:val="single" w:sz="6" w:space="0" w:color="auto"/>
              <w:left w:val="single" w:sz="6" w:space="0" w:color="auto"/>
              <w:bottom w:val="single" w:sz="6" w:space="0" w:color="auto"/>
              <w:right w:val="single" w:sz="6" w:space="0" w:color="auto"/>
            </w:tcBorders>
          </w:tcPr>
          <w:p w14:paraId="0C32390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130</w:t>
            </w:r>
          </w:p>
        </w:tc>
        <w:tc>
          <w:tcPr>
            <w:tcW w:w="1920" w:type="dxa"/>
            <w:tcBorders>
              <w:top w:val="single" w:sz="6" w:space="0" w:color="auto"/>
              <w:left w:val="single" w:sz="6" w:space="0" w:color="auto"/>
              <w:bottom w:val="single" w:sz="6" w:space="0" w:color="auto"/>
              <w:right w:val="single" w:sz="6" w:space="0" w:color="auto"/>
            </w:tcBorders>
          </w:tcPr>
          <w:p w14:paraId="7DC2BF4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130</w:t>
            </w:r>
          </w:p>
        </w:tc>
        <w:tc>
          <w:tcPr>
            <w:tcW w:w="1920" w:type="dxa"/>
            <w:tcBorders>
              <w:top w:val="single" w:sz="6" w:space="0" w:color="auto"/>
              <w:left w:val="single" w:sz="6" w:space="0" w:color="auto"/>
              <w:bottom w:val="single" w:sz="6" w:space="0" w:color="auto"/>
              <w:right w:val="single" w:sz="12" w:space="0" w:color="auto"/>
            </w:tcBorders>
          </w:tcPr>
          <w:p w14:paraId="3330B25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2D23BBB3" w14:textId="77777777">
        <w:trPr>
          <w:jc w:val="center"/>
        </w:trPr>
        <w:tc>
          <w:tcPr>
            <w:tcW w:w="645" w:type="dxa"/>
            <w:tcBorders>
              <w:top w:val="single" w:sz="6" w:space="0" w:color="auto"/>
              <w:left w:val="single" w:sz="12" w:space="0" w:color="auto"/>
              <w:bottom w:val="single" w:sz="6" w:space="0" w:color="auto"/>
              <w:right w:val="single" w:sz="6" w:space="0" w:color="auto"/>
            </w:tcBorders>
          </w:tcPr>
          <w:p w14:paraId="29F1C58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w:t>
            </w:r>
          </w:p>
        </w:tc>
        <w:tc>
          <w:tcPr>
            <w:tcW w:w="3180" w:type="dxa"/>
            <w:tcBorders>
              <w:top w:val="single" w:sz="6" w:space="0" w:color="auto"/>
              <w:left w:val="single" w:sz="6" w:space="0" w:color="auto"/>
              <w:bottom w:val="single" w:sz="6" w:space="0" w:color="auto"/>
              <w:right w:val="single" w:sz="6" w:space="0" w:color="auto"/>
            </w:tcBorders>
          </w:tcPr>
          <w:p w14:paraId="3B32FB5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Котельная с водоочисткой и сетями:</w:t>
            </w:r>
          </w:p>
          <w:p w14:paraId="2DE1471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основной площадки</w:t>
            </w:r>
          </w:p>
          <w:p w14:paraId="3672362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б) северного дока </w:t>
            </w:r>
          </w:p>
        </w:tc>
        <w:tc>
          <w:tcPr>
            <w:tcW w:w="1920" w:type="dxa"/>
            <w:tcBorders>
              <w:top w:val="single" w:sz="6" w:space="0" w:color="auto"/>
              <w:left w:val="single" w:sz="6" w:space="0" w:color="auto"/>
              <w:bottom w:val="single" w:sz="6" w:space="0" w:color="auto"/>
              <w:right w:val="single" w:sz="6" w:space="0" w:color="auto"/>
            </w:tcBorders>
          </w:tcPr>
          <w:p w14:paraId="5694FB8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…00</w:t>
            </w:r>
          </w:p>
          <w:p w14:paraId="2C81E65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320</w:t>
            </w:r>
          </w:p>
        </w:tc>
        <w:tc>
          <w:tcPr>
            <w:tcW w:w="1920" w:type="dxa"/>
            <w:tcBorders>
              <w:top w:val="single" w:sz="6" w:space="0" w:color="auto"/>
              <w:left w:val="single" w:sz="6" w:space="0" w:color="auto"/>
              <w:bottom w:val="single" w:sz="6" w:space="0" w:color="auto"/>
              <w:right w:val="single" w:sz="6" w:space="0" w:color="auto"/>
            </w:tcBorders>
          </w:tcPr>
          <w:p w14:paraId="0E6FA82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500</w:t>
            </w:r>
          </w:p>
          <w:p w14:paraId="6C937BC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320</w:t>
            </w:r>
          </w:p>
        </w:tc>
        <w:tc>
          <w:tcPr>
            <w:tcW w:w="1920" w:type="dxa"/>
            <w:tcBorders>
              <w:top w:val="single" w:sz="6" w:space="0" w:color="auto"/>
              <w:left w:val="single" w:sz="6" w:space="0" w:color="auto"/>
              <w:bottom w:val="single" w:sz="6" w:space="0" w:color="auto"/>
              <w:right w:val="single" w:sz="12" w:space="0" w:color="auto"/>
            </w:tcBorders>
          </w:tcPr>
          <w:p w14:paraId="710021F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4EC503C6" w14:textId="77777777">
        <w:trPr>
          <w:jc w:val="center"/>
        </w:trPr>
        <w:tc>
          <w:tcPr>
            <w:tcW w:w="645" w:type="dxa"/>
            <w:tcBorders>
              <w:top w:val="single" w:sz="6" w:space="0" w:color="auto"/>
              <w:left w:val="single" w:sz="12" w:space="0" w:color="auto"/>
              <w:bottom w:val="nil"/>
              <w:right w:val="single" w:sz="6" w:space="0" w:color="auto"/>
            </w:tcBorders>
          </w:tcPr>
          <w:p w14:paraId="4EE49A1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3180" w:type="dxa"/>
            <w:tcBorders>
              <w:top w:val="single" w:sz="6" w:space="0" w:color="auto"/>
              <w:left w:val="single" w:sz="6" w:space="0" w:color="auto"/>
              <w:bottom w:val="nil"/>
              <w:right w:val="single" w:sz="6" w:space="0" w:color="auto"/>
            </w:tcBorders>
          </w:tcPr>
          <w:p w14:paraId="32F7686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Итого: </w:t>
            </w:r>
          </w:p>
        </w:tc>
        <w:tc>
          <w:tcPr>
            <w:tcW w:w="1920" w:type="dxa"/>
            <w:tcBorders>
              <w:top w:val="single" w:sz="6" w:space="0" w:color="auto"/>
              <w:left w:val="single" w:sz="6" w:space="0" w:color="auto"/>
              <w:bottom w:val="nil"/>
              <w:right w:val="single" w:sz="6" w:space="0" w:color="auto"/>
            </w:tcBorders>
          </w:tcPr>
          <w:p w14:paraId="586DE6C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3180</w:t>
            </w:r>
          </w:p>
        </w:tc>
        <w:tc>
          <w:tcPr>
            <w:tcW w:w="1920" w:type="dxa"/>
            <w:tcBorders>
              <w:top w:val="single" w:sz="6" w:space="0" w:color="auto"/>
              <w:left w:val="single" w:sz="6" w:space="0" w:color="auto"/>
              <w:bottom w:val="nil"/>
              <w:right w:val="single" w:sz="6" w:space="0" w:color="auto"/>
            </w:tcBorders>
          </w:tcPr>
          <w:p w14:paraId="0B3C321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2960</w:t>
            </w:r>
          </w:p>
        </w:tc>
        <w:tc>
          <w:tcPr>
            <w:tcW w:w="1920" w:type="dxa"/>
            <w:tcBorders>
              <w:top w:val="single" w:sz="6" w:space="0" w:color="auto"/>
              <w:left w:val="single" w:sz="6" w:space="0" w:color="auto"/>
              <w:bottom w:val="nil"/>
              <w:right w:val="single" w:sz="12" w:space="0" w:color="auto"/>
            </w:tcBorders>
          </w:tcPr>
          <w:p w14:paraId="1F59B01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2524276" w14:textId="77777777" w:rsidTr="00595BFB">
        <w:trPr>
          <w:jc w:val="center"/>
        </w:trPr>
        <w:tc>
          <w:tcPr>
            <w:tcW w:w="645" w:type="dxa"/>
            <w:gridSpan w:val="5"/>
            <w:tcBorders>
              <w:top w:val="single" w:sz="12" w:space="0" w:color="auto"/>
              <w:left w:val="single" w:sz="12" w:space="0" w:color="auto"/>
              <w:bottom w:val="single" w:sz="6" w:space="0" w:color="auto"/>
              <w:right w:val="single" w:sz="12" w:space="0" w:color="auto"/>
            </w:tcBorders>
          </w:tcPr>
          <w:p w14:paraId="772E9D3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 Транспорт</w:t>
            </w:r>
          </w:p>
        </w:tc>
      </w:tr>
      <w:tr w:rsidR="005106D0" w:rsidRPr="007224C3" w14:paraId="3501E21B" w14:textId="77777777">
        <w:trPr>
          <w:jc w:val="center"/>
        </w:trPr>
        <w:tc>
          <w:tcPr>
            <w:tcW w:w="645" w:type="dxa"/>
            <w:tcBorders>
              <w:top w:val="single" w:sz="6" w:space="0" w:color="auto"/>
              <w:left w:val="single" w:sz="12" w:space="0" w:color="auto"/>
              <w:bottom w:val="single" w:sz="6" w:space="0" w:color="auto"/>
              <w:right w:val="single" w:sz="6" w:space="0" w:color="auto"/>
            </w:tcBorders>
          </w:tcPr>
          <w:p w14:paraId="38CC8FE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tc>
        <w:tc>
          <w:tcPr>
            <w:tcW w:w="3180" w:type="dxa"/>
            <w:tcBorders>
              <w:top w:val="single" w:sz="6" w:space="0" w:color="auto"/>
              <w:left w:val="single" w:sz="6" w:space="0" w:color="auto"/>
              <w:bottom w:val="single" w:sz="6" w:space="0" w:color="auto"/>
              <w:right w:val="single" w:sz="6" w:space="0" w:color="auto"/>
            </w:tcBorders>
          </w:tcPr>
          <w:p w14:paraId="1AB914A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Железнодорожные пути по двум площадкам </w:t>
            </w:r>
          </w:p>
        </w:tc>
        <w:tc>
          <w:tcPr>
            <w:tcW w:w="1920" w:type="dxa"/>
            <w:tcBorders>
              <w:top w:val="single" w:sz="6" w:space="0" w:color="auto"/>
              <w:left w:val="single" w:sz="6" w:space="0" w:color="auto"/>
              <w:bottom w:val="single" w:sz="6" w:space="0" w:color="auto"/>
              <w:right w:val="single" w:sz="6" w:space="0" w:color="auto"/>
            </w:tcBorders>
          </w:tcPr>
          <w:p w14:paraId="495A9AB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300</w:t>
            </w:r>
          </w:p>
        </w:tc>
        <w:tc>
          <w:tcPr>
            <w:tcW w:w="1920" w:type="dxa"/>
            <w:tcBorders>
              <w:top w:val="single" w:sz="6" w:space="0" w:color="auto"/>
              <w:left w:val="single" w:sz="6" w:space="0" w:color="auto"/>
              <w:bottom w:val="single" w:sz="6" w:space="0" w:color="auto"/>
              <w:right w:val="single" w:sz="6" w:space="0" w:color="auto"/>
            </w:tcBorders>
          </w:tcPr>
          <w:p w14:paraId="33EF54D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150</w:t>
            </w:r>
          </w:p>
        </w:tc>
        <w:tc>
          <w:tcPr>
            <w:tcW w:w="1920" w:type="dxa"/>
            <w:tcBorders>
              <w:top w:val="single" w:sz="6" w:space="0" w:color="auto"/>
              <w:left w:val="single" w:sz="6" w:space="0" w:color="auto"/>
              <w:bottom w:val="single" w:sz="6" w:space="0" w:color="auto"/>
              <w:right w:val="single" w:sz="12" w:space="0" w:color="auto"/>
            </w:tcBorders>
          </w:tcPr>
          <w:p w14:paraId="7F95E86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Декабрь</w:t>
            </w:r>
          </w:p>
        </w:tc>
      </w:tr>
      <w:tr w:rsidR="005106D0" w:rsidRPr="007224C3" w14:paraId="038C443E" w14:textId="77777777">
        <w:trPr>
          <w:jc w:val="center"/>
        </w:trPr>
        <w:tc>
          <w:tcPr>
            <w:tcW w:w="645" w:type="dxa"/>
            <w:tcBorders>
              <w:top w:val="single" w:sz="6" w:space="0" w:color="auto"/>
              <w:left w:val="single" w:sz="12" w:space="0" w:color="auto"/>
              <w:bottom w:val="single" w:sz="6" w:space="0" w:color="auto"/>
              <w:right w:val="single" w:sz="6" w:space="0" w:color="auto"/>
            </w:tcBorders>
          </w:tcPr>
          <w:p w14:paraId="244BF74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tc>
        <w:tc>
          <w:tcPr>
            <w:tcW w:w="3180" w:type="dxa"/>
            <w:tcBorders>
              <w:top w:val="single" w:sz="6" w:space="0" w:color="auto"/>
              <w:left w:val="single" w:sz="6" w:space="0" w:color="auto"/>
              <w:bottom w:val="single" w:sz="6" w:space="0" w:color="auto"/>
              <w:right w:val="single" w:sz="6" w:space="0" w:color="auto"/>
            </w:tcBorders>
          </w:tcPr>
          <w:p w14:paraId="1159637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Автогужевые дороги </w:t>
            </w:r>
          </w:p>
        </w:tc>
        <w:tc>
          <w:tcPr>
            <w:tcW w:w="1920" w:type="dxa"/>
            <w:tcBorders>
              <w:top w:val="single" w:sz="6" w:space="0" w:color="auto"/>
              <w:left w:val="single" w:sz="6" w:space="0" w:color="auto"/>
              <w:bottom w:val="single" w:sz="6" w:space="0" w:color="auto"/>
              <w:right w:val="single" w:sz="6" w:space="0" w:color="auto"/>
            </w:tcBorders>
          </w:tcPr>
          <w:p w14:paraId="2D49807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200</w:t>
            </w:r>
          </w:p>
        </w:tc>
        <w:tc>
          <w:tcPr>
            <w:tcW w:w="1920" w:type="dxa"/>
            <w:tcBorders>
              <w:top w:val="single" w:sz="6" w:space="0" w:color="auto"/>
              <w:left w:val="single" w:sz="6" w:space="0" w:color="auto"/>
              <w:bottom w:val="single" w:sz="6" w:space="0" w:color="auto"/>
              <w:right w:val="single" w:sz="6" w:space="0" w:color="auto"/>
            </w:tcBorders>
          </w:tcPr>
          <w:p w14:paraId="77D1D32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w:t>
            </w:r>
          </w:p>
        </w:tc>
        <w:tc>
          <w:tcPr>
            <w:tcW w:w="1920" w:type="dxa"/>
            <w:tcBorders>
              <w:top w:val="single" w:sz="6" w:space="0" w:color="auto"/>
              <w:left w:val="single" w:sz="6" w:space="0" w:color="auto"/>
              <w:bottom w:val="single" w:sz="6" w:space="0" w:color="auto"/>
              <w:right w:val="single" w:sz="12" w:space="0" w:color="auto"/>
            </w:tcBorders>
          </w:tcPr>
          <w:p w14:paraId="479D95E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1944 г.</w:t>
            </w:r>
          </w:p>
        </w:tc>
      </w:tr>
      <w:tr w:rsidR="005106D0" w:rsidRPr="007224C3" w14:paraId="487B2287" w14:textId="77777777" w:rsidTr="00595BFB">
        <w:trPr>
          <w:jc w:val="center"/>
        </w:trPr>
        <w:tc>
          <w:tcPr>
            <w:tcW w:w="645" w:type="dxa"/>
            <w:gridSpan w:val="5"/>
            <w:tcBorders>
              <w:top w:val="single" w:sz="6" w:space="0" w:color="auto"/>
              <w:left w:val="single" w:sz="12" w:space="0" w:color="auto"/>
              <w:bottom w:val="single" w:sz="6" w:space="0" w:color="auto"/>
              <w:right w:val="single" w:sz="12" w:space="0" w:color="auto"/>
            </w:tcBorders>
          </w:tcPr>
          <w:p w14:paraId="3722AE0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 Жилстроительство</w:t>
            </w:r>
          </w:p>
        </w:tc>
      </w:tr>
      <w:tr w:rsidR="005106D0" w:rsidRPr="007224C3" w14:paraId="0A7ADA5B" w14:textId="77777777">
        <w:trPr>
          <w:jc w:val="center"/>
        </w:trPr>
        <w:tc>
          <w:tcPr>
            <w:tcW w:w="645" w:type="dxa"/>
            <w:tcBorders>
              <w:top w:val="single" w:sz="6" w:space="0" w:color="auto"/>
              <w:left w:val="single" w:sz="12" w:space="0" w:color="auto"/>
              <w:bottom w:val="single" w:sz="6" w:space="0" w:color="auto"/>
              <w:right w:val="single" w:sz="6" w:space="0" w:color="auto"/>
            </w:tcBorders>
          </w:tcPr>
          <w:p w14:paraId="36E862A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tc>
        <w:tc>
          <w:tcPr>
            <w:tcW w:w="3180" w:type="dxa"/>
            <w:tcBorders>
              <w:top w:val="single" w:sz="6" w:space="0" w:color="auto"/>
              <w:left w:val="single" w:sz="6" w:space="0" w:color="auto"/>
              <w:bottom w:val="single" w:sz="6" w:space="0" w:color="auto"/>
              <w:right w:val="single" w:sz="6" w:space="0" w:color="auto"/>
            </w:tcBorders>
          </w:tcPr>
          <w:p w14:paraId="0C1E1AD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Жилые дома </w:t>
            </w:r>
          </w:p>
        </w:tc>
        <w:tc>
          <w:tcPr>
            <w:tcW w:w="1920" w:type="dxa"/>
            <w:tcBorders>
              <w:top w:val="single" w:sz="6" w:space="0" w:color="auto"/>
              <w:left w:val="single" w:sz="6" w:space="0" w:color="auto"/>
              <w:bottom w:val="single" w:sz="6" w:space="0" w:color="auto"/>
              <w:right w:val="single" w:sz="6" w:space="0" w:color="auto"/>
            </w:tcBorders>
          </w:tcPr>
          <w:p w14:paraId="79F90A2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2000</w:t>
            </w:r>
          </w:p>
        </w:tc>
        <w:tc>
          <w:tcPr>
            <w:tcW w:w="1920" w:type="dxa"/>
            <w:tcBorders>
              <w:top w:val="single" w:sz="6" w:space="0" w:color="auto"/>
              <w:left w:val="single" w:sz="6" w:space="0" w:color="auto"/>
              <w:bottom w:val="single" w:sz="6" w:space="0" w:color="auto"/>
              <w:right w:val="single" w:sz="6" w:space="0" w:color="auto"/>
            </w:tcBorders>
          </w:tcPr>
          <w:p w14:paraId="6206E4F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500</w:t>
            </w:r>
          </w:p>
        </w:tc>
        <w:tc>
          <w:tcPr>
            <w:tcW w:w="1920" w:type="dxa"/>
            <w:tcBorders>
              <w:top w:val="single" w:sz="6" w:space="0" w:color="auto"/>
              <w:left w:val="single" w:sz="6" w:space="0" w:color="auto"/>
              <w:bottom w:val="single" w:sz="6" w:space="0" w:color="auto"/>
              <w:right w:val="single" w:sz="12" w:space="0" w:color="auto"/>
            </w:tcBorders>
          </w:tcPr>
          <w:p w14:paraId="3D8AA22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65C6271D" w14:textId="77777777">
        <w:trPr>
          <w:jc w:val="center"/>
        </w:trPr>
        <w:tc>
          <w:tcPr>
            <w:tcW w:w="645" w:type="dxa"/>
            <w:tcBorders>
              <w:top w:val="single" w:sz="6" w:space="0" w:color="auto"/>
              <w:left w:val="single" w:sz="12" w:space="0" w:color="auto"/>
              <w:bottom w:val="single" w:sz="12" w:space="0" w:color="auto"/>
              <w:right w:val="single" w:sz="6" w:space="0" w:color="auto"/>
            </w:tcBorders>
          </w:tcPr>
          <w:p w14:paraId="26178D0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3180" w:type="dxa"/>
            <w:tcBorders>
              <w:top w:val="single" w:sz="6" w:space="0" w:color="auto"/>
              <w:left w:val="single" w:sz="6" w:space="0" w:color="auto"/>
              <w:bottom w:val="single" w:sz="12" w:space="0" w:color="auto"/>
              <w:right w:val="single" w:sz="6" w:space="0" w:color="auto"/>
            </w:tcBorders>
          </w:tcPr>
          <w:p w14:paraId="708A39A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w:t>
            </w:r>
          </w:p>
        </w:tc>
        <w:tc>
          <w:tcPr>
            <w:tcW w:w="1920" w:type="dxa"/>
            <w:tcBorders>
              <w:top w:val="single" w:sz="6" w:space="0" w:color="auto"/>
              <w:left w:val="single" w:sz="6" w:space="0" w:color="auto"/>
              <w:bottom w:val="single" w:sz="12" w:space="0" w:color="auto"/>
              <w:right w:val="single" w:sz="6" w:space="0" w:color="auto"/>
            </w:tcBorders>
          </w:tcPr>
          <w:p w14:paraId="01D3B6E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14320</w:t>
            </w:r>
          </w:p>
        </w:tc>
        <w:tc>
          <w:tcPr>
            <w:tcW w:w="1920" w:type="dxa"/>
            <w:tcBorders>
              <w:top w:val="single" w:sz="6" w:space="0" w:color="auto"/>
              <w:left w:val="single" w:sz="6" w:space="0" w:color="auto"/>
              <w:bottom w:val="single" w:sz="12" w:space="0" w:color="auto"/>
              <w:right w:val="single" w:sz="6" w:space="0" w:color="auto"/>
            </w:tcBorders>
          </w:tcPr>
          <w:p w14:paraId="321BBA8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10000</w:t>
            </w:r>
          </w:p>
        </w:tc>
        <w:tc>
          <w:tcPr>
            <w:tcW w:w="1920" w:type="dxa"/>
            <w:tcBorders>
              <w:top w:val="single" w:sz="6" w:space="0" w:color="auto"/>
              <w:left w:val="single" w:sz="6" w:space="0" w:color="auto"/>
              <w:bottom w:val="single" w:sz="12" w:space="0" w:color="auto"/>
              <w:right w:val="single" w:sz="12" w:space="0" w:color="auto"/>
            </w:tcBorders>
          </w:tcPr>
          <w:p w14:paraId="6CCF3F8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r>
    </w:tbl>
    <w:p w14:paraId="7DD77F8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Приложение № 5</w:t>
      </w:r>
    </w:p>
    <w:p w14:paraId="4F44C29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Постановлению ГОКО № 6048сс от "14" июня 1944 года</w:t>
      </w:r>
    </w:p>
    <w:p w14:paraId="1BE95B8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МЕРОПРИЯТИЯ</w:t>
      </w:r>
    </w:p>
    <w:p w14:paraId="6269AAA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 дополнительном обеспечении восстановления Севастопольской военно-морской базы и судоремонтного завода Наркомсудпрома</w:t>
      </w:r>
    </w:p>
    <w:p w14:paraId="0AC59E1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Обязать Наркомсудпром (т. Носенко) немедленно приступить к проектированию восстановления Севастопольского судоремонтного завода с учетом подготовки завода к судоремонту всех классов кораблей военно-морского флота.</w:t>
      </w:r>
    </w:p>
    <w:p w14:paraId="5A4FB49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Обязать НКПС (т. Кагановича):</w:t>
      </w:r>
    </w:p>
    <w:p w14:paraId="3ED11BC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своими силами и средствами восстановить в июне с.г. железнодорожную ветку от ст. Инкерман до Балаклавы и закончить к 15 июля с.г. восстановление железнодорожной линии от ст. Бельбек до ст. Севастополь;</w:t>
      </w:r>
    </w:p>
    <w:p w14:paraId="7724010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передать с июня 1944 г. в арендное пользование Севастопольскому судоремонтному заводу Наркомсудпрома паровоз типа 0-3-0, мотовоз № 14-3/2 и 9 железнодорожных платформ.</w:t>
      </w:r>
    </w:p>
    <w:p w14:paraId="3B4851E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Обязать Наркомавиапром (т. Вахурина) передать Наркомвоенморфлоту территорию и здания завода № 45.</w:t>
      </w:r>
    </w:p>
    <w:p w14:paraId="607B7F4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Обязать Главнефтеснаб при Совнаркоме СССР (т. Широкова) передать Наркомвоенморфлоту разрушенные нефтебазы в Клеопиной балке и Стрелецкой бухте для использования их при восстановлении складов топлива Севастопольской военно-морской базы.</w:t>
      </w:r>
    </w:p>
    <w:p w14:paraId="7CCDED7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Обязать Наркомчермет (т. Тевосяна) и Главметаллосбыт (т. Цырень) до утверждения на III квартал 1944 г. плана распределения металла занарядить:</w:t>
      </w:r>
    </w:p>
    <w:p w14:paraId="031C4DB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Наркомстрою для работ по восстановлению главной военно-морской базы и судоремонтного завода в Севастополе:</w:t>
      </w:r>
    </w:p>
    <w:p w14:paraId="6FDF459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рядового проката - 1000 тонн</w:t>
      </w:r>
    </w:p>
    <w:p w14:paraId="637CB9D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труб разных - 150 "</w:t>
      </w:r>
    </w:p>
    <w:p w14:paraId="42F19EA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труб чугунных - 100 "</w:t>
      </w:r>
    </w:p>
    <w:p w14:paraId="4A60660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старогодних рельс норм. колеи - 300 "</w:t>
      </w:r>
    </w:p>
    <w:p w14:paraId="6F37E47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рельс узкой колеи - 50 "</w:t>
      </w:r>
    </w:p>
    <w:p w14:paraId="4E4406E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б) для изготовления судоподъемных понтонов сортового металла - </w:t>
      </w:r>
    </w:p>
    <w:p w14:paraId="22CA11A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Наркомсудпрому - 60 тонн</w:t>
      </w:r>
    </w:p>
    <w:p w14:paraId="3D141AE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Наркомморфлоту - 20 "</w:t>
      </w:r>
    </w:p>
    <w:p w14:paraId="47598EC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Заводу аварийно-спасательного управления НКВМФ - 20 "</w:t>
      </w:r>
    </w:p>
    <w:p w14:paraId="51C62C5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Указанный металл отгрузить в течение июля-августа 1944 г. за счет фондов на III квартал 1944 г. Наркомстроя, Наркомсудпрома, Наркомморфлота и НКВМФ.</w:t>
      </w:r>
    </w:p>
    <w:p w14:paraId="3AA1236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Разрешить Наркомсудпрому (т. Носенко) расходовать на работы по восстановлению Севастопольского судоремонтного завода металл, имеющийся в наличии на заводе.</w:t>
      </w:r>
    </w:p>
    <w:p w14:paraId="52D93AE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7. Обязать Главснаблес при Совнаркоме СССР (т. Лопухова) отгрузить в III кв. 1944 г. для ОСМЧ Севастопольстрой Наркомстроя в счет фондов Наркомстроя 200 вагонов круглого леса, 60 вагонов пиломатериалов и 5 вагонов фанеры. Отгрузку производить впереди других потребителей равными партиями по месяцам до 20 числа каждого месяца. </w:t>
      </w:r>
    </w:p>
    <w:p w14:paraId="72B4B69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Обязать Главлесоохрану при Совнаркоме СССР (т. Мотовилова) выделить Наркомстрою и закрепить сроком на 5 лет в Овручском лесхозе Житомирской обл. УССР лесосечный фонд для ежегодной заготовки 24 тыс. куб. мет. деловой древесины и 6 тыс. куб. мт. дров.</w:t>
      </w:r>
    </w:p>
    <w:p w14:paraId="19CE559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Отвод лесосек произвести за счет лесосечного фонда, выделяемого Наркострою по постановлению ГОКО от 7 мая 1944 г. № 5843с.</w:t>
      </w:r>
    </w:p>
    <w:p w14:paraId="1BB6504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Обязать уполномоченного Госплана СССР (т. Иванова) передать ОСМЧ Севастопольстроя весь сваленный груглый лес, находящийся в Ялте и на склонах горы Ай-Петри, из них до 20% Наркомвоенморфлоту.</w:t>
      </w:r>
    </w:p>
    <w:p w14:paraId="3C33A0F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Обязать Наркомсредмаш (т. Акопова) поставить в июле и августе 1944 года:</w:t>
      </w:r>
    </w:p>
    <w:p w14:paraId="23B4164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Норкомстрою для ОСМЧ Севастопольстроя 25 грузовых автомобилей ЗИС-5 и 10 автоприцепов 1-АП-3;</w:t>
      </w:r>
    </w:p>
    <w:p w14:paraId="4EC6774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Наркомсудпрому для судоремонтного завода в г. Севастополе 10 грузовых автомобилей и 3 автоприцепа 1-АП-3.</w:t>
      </w:r>
    </w:p>
    <w:p w14:paraId="2ED9E8E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Обязать НКО СССР (т. Хрулева) передать в 10-дневный срок из числа трофеев:</w:t>
      </w:r>
    </w:p>
    <w:p w14:paraId="78C9D70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Наркомстрою дополнительно 200 повозок со сбруей;</w:t>
      </w:r>
    </w:p>
    <w:p w14:paraId="724A852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Наркосудпрому грузовых автомашин 50 шт., тракторов 5 шт.</w:t>
      </w:r>
    </w:p>
    <w:p w14:paraId="2FE2F4C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Обязать НКО СССР (т. Буденного) передать в 10-дневный срок обозных лошадей для использования в г. Севастополе на работах по восстановлению военно-морской базы и судоремотного завода, Наркомстрою 200 лошадей и Наркомсудпрому 50 лошадей.</w:t>
      </w:r>
    </w:p>
    <w:p w14:paraId="30D50E0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Обязать Главнефтеснаб при Совнаркоме СССР (т. Широкова) поставлять:</w:t>
      </w:r>
    </w:p>
    <w:p w14:paraId="7888AC1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Черноморскому техническому флоту Наркомстроя для работ по восстановлению Севастопольской военно-морской базы ежемесячно, начиная с июня 1944 года, 70 тонн флотского мазута, 70 тонн моторной нефти, произведя поставку в июне с.г. за счет уменьшения остатков на базах Главнефтеснаба при Совнаркоме СССР;</w:t>
      </w:r>
    </w:p>
    <w:p w14:paraId="2E3EBE0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Севастопольскому судоремонтному заводу Наркомсудпрома ежемесячно во втором полугодии 1944 года солярового масла 35 тонн, бензина 15 тонн и керосина 12 тонн.</w:t>
      </w:r>
    </w:p>
    <w:p w14:paraId="380C098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Обязать Комитет по учеты и распределению рабочей силы при Совнаркоме СССР (т. Погребного) мобилизовать в III квартале 1944 г. 800 рабочих и направить их для работ на Севастопольский судоремонтный завод Наркомсудпрома.</w:t>
      </w:r>
    </w:p>
    <w:p w14:paraId="40D544D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Обязать Наркомсудпром изготовить в III квартале 1944 г. для Черноморского технического флота Наркомстроя, занятого на восстановлении Севастопольской военно-морской базы и судоремонтного завода 30 штук 9-метровых понтонов, 15 паровых баб весом от 3 до 6 тонн каждая и 4 понтона (размером 20х20 метров) для свайных копров.</w:t>
      </w:r>
    </w:p>
    <w:p w14:paraId="50C002E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Обязать Наркомвнешторг (т. Микояна) поставить в июне-июле 1944 г. из импортных поступлений целевым назначением для изготовления в III квартале 1944 г. судоподъемных понтонов строительству Севастопольской военно-морской базы и судоремонтного завода Наркомсудпрома для аварийно-спасательного управления Наркомвоенморфлота в счет предусмотренных постановлением ГОКО от 9 февраля 1944 г. № 5133. листового металла: Наркомсудпрому 400 тонн, Наркомморфлоту 100 тонн; заводу аварийно-спасательного управления Наркомвоенморфлота 100 тонн.</w:t>
      </w:r>
    </w:p>
    <w:p w14:paraId="713BC38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Обязать Наркомтяжмаш (т. Казакова) поставить аварийно-спасательное управление Накомвоенморфлота в III квартале 1944 г. одну передвижную кислородную станцию типа АК-05.</w:t>
      </w:r>
    </w:p>
    <w:p w14:paraId="1CC94F6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18. Обязать Наркострой (т. Гинзбурга) выделить в III квартале 1944 г. ОСМЧ СЕвастопольстрой 5 вертикальных паровых котлов из фондов Наркомстроя за счет передвижки поставок указанного количества котлов по ранее вынесенным решениям правительства. </w:t>
      </w:r>
    </w:p>
    <w:p w14:paraId="71F7631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Обязать нижеуказанные наркоматы изготовить и поставить в III квартале 1944 г. литье для ОСМЧ Севастопольстрой по его спецификации:</w:t>
      </w:r>
    </w:p>
    <w:p w14:paraId="3AA1C9F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а) Наркомстанкостроения (т. Евремова) с завода "ЦЕнтролит" в г. Тбилиси 16 тонн стального литья развесок отливок по до 1 тонны;</w:t>
      </w:r>
    </w:p>
    <w:p w14:paraId="6BCEDE5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Наркомнефть (т. Седина) с завода им. Шмидта в г. Баку 16 тонн стального литья развесок отливок свыше 1,% тонны;</w:t>
      </w:r>
    </w:p>
    <w:p w14:paraId="7A341A2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Норкомсудпром (т. Носенко) с завода № 201 чугунного литья 50 тонн.</w:t>
      </w:r>
    </w:p>
    <w:p w14:paraId="3BDD0C4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Обязать Наркомчермет (т. Тевосяна) и Главметаллосбыт (т. Цырень) отгрузить до 1 июля 1944 г. заводу № 201 Наркомсудпрома 20 тонн литейного чугуна.</w:t>
      </w:r>
    </w:p>
    <w:p w14:paraId="2A2D219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 Обязать Наркомчермет (т. Тевосяна) изготовить из материала заказчика до 15 июля 1944 г. отгрузить ОСМЧ Севастопольстрой Наркомстроя 10 тыс. железных кроватей с сетками.</w:t>
      </w:r>
    </w:p>
    <w:p w14:paraId="206D715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22. Обязать Наркомместпром РСФСР (т. Смиряева) изготовить из материала заказчика и поставить в июле и августе 1944 г. Гаркомстрою для ОСМЧ Севастопольстрою 20 тыс. штук армейских котелков. </w:t>
      </w:r>
    </w:p>
    <w:p w14:paraId="21A31E1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Обязать Наркомэлектропром (т. Кабанова) поставить в июне 1944 года Севастопольскому судоремонтного заводу Наркомсудпрома один телефонный коммутатор МБ и телефонные аппараты МБ в количестве 25 штук. За счет фонда Наркомсудпрома.</w:t>
      </w:r>
    </w:p>
    <w:p w14:paraId="09C6CE6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Обязать Наркомтекстиль СССР (т. Акимова) и Наркомлегпром СССР (т. Лукина) отгрузить до 25 июля 1944.%</w:t>
      </w:r>
    </w:p>
    <w:p w14:paraId="2AE9CC3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ОСМЧ Севастопольстрой за счет фондов Наркомстроя хлопчатобумажных тканей для постельных принадлежностей (включая одеяла) на 500 тыс. рублей, хлопчатобумажных тканей для пошива спецодежды 50 тыс. метров и обуви кожаной 3000 пар;</w:t>
      </w:r>
    </w:p>
    <w:p w14:paraId="664B4E2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Севастопольскому заводу Наркомсудпрома за счет фондов Наркомсудпрома хлопчатобумажных тканей для постельных принадлежностей (включая одеяла) на 50 тыс. рублей, хлопчатобумажных тканей для пошива спецодежды 5 тыс. метров и обуви кожаной 500 пар;</w:t>
      </w:r>
    </w:p>
    <w:p w14:paraId="72027D5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Обязать Наркомторг СССР (т. Любимова):</w:t>
      </w:r>
    </w:p>
    <w:p w14:paraId="648F7BD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выделять НКО СССР и Наркомфоенморфлоту фонды на питание прикомандированных к ОСМЧ Севастопольстрой строительных отрядов и строительных батальонов по Постановлению ГОКО от 26 апреля 1944 г. № 5744сс по нормам, установленным Постановлением Совнаркома СССР от 19 октября 1941 г. № 2148 для предприятий особого списка на 4 тыс. человек.</w:t>
      </w:r>
    </w:p>
    <w:p w14:paraId="6F90113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Отпускать с июня 1944 года второе горячее питание без вырезки талонов из продкарточек для рабочих, выполняющих и перевыполняющих нормы выработки, строительных отрядов и строительных батальонов прикомандированных к ОСМЧ Севастопольстрой;</w:t>
      </w:r>
    </w:p>
    <w:p w14:paraId="04F1912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снабжать продовольственными товарами рабочих и инженерно-технических работников, занятых на восстановлении Севастопольского судоремонтного завода и южных предприятий Электромортреста Наркомсудпром по нормам, установленным Постановлением Совнаркома СССР от 19 октября 1941 г. № 2148 для предприятий особого списка.</w:t>
      </w:r>
    </w:p>
    <w:p w14:paraId="425B1A5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отпускать с июня 1944 года второе горячее питание без вырезки талонов из продовольственных карточек для рабочих, выполняющих и перевыполняющих нормы выработки и инженерно-технических работников, занятых на восстановлении Севастопольского судоремонтного завода и южных предприятиях Электромортреста Наркомсудпрома в количестве 1000 человек.</w:t>
      </w:r>
    </w:p>
    <w:p w14:paraId="3C0DDE1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 Выделить Наркомсудпромом для руководящих инженерно-технических работников, указанных предприятий в г. Севастополе дополнительно 75 обедов по специальным обеденным карточкам, установленным</w:t>
      </w:r>
    </w:p>
    <w:p w14:paraId="7B0DB61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Постановлением Совнаркома СССР от 17 сентября 1942 г. № 1548-724с, а также литерное питание на 20 человек с сухими пайками.</w:t>
      </w:r>
    </w:p>
    <w:p w14:paraId="580FE18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Обязать Наркомторг СССР (т. Любимова) выделить в III квартале 1944 г. Севастопольскому судоремонтному заводу Наркомсудпрома:</w:t>
      </w:r>
    </w:p>
    <w:p w14:paraId="744CE3D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табачных изделий на 30 тыс. рублей, хозяйственного мыла 2 тонны, а также различных промтоваров на 90 тыс. рублей, за счет рыночных фондов Наркомсудпрома по плану III квартала 1944 г.;</w:t>
      </w:r>
    </w:p>
    <w:p w14:paraId="44CCC3F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водочных изделий 200 дкл за счет рыночных фондов.</w:t>
      </w:r>
    </w:p>
    <w:p w14:paraId="7E8671B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Обязать НКО СССР (т. Хрулева) передать Наркомстрою из числа трофеев, находящихся в Севастополе, сухого картофеля и капусты 20 тонн и круп 15 тонн.</w:t>
      </w:r>
    </w:p>
    <w:p w14:paraId="06C60A1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Обязать Наркомзаг (т. Субботина) отпускать Наркомстрою целевым назначением для лошадей, занятых на работах по восстановлению главной военно-морской базы и судоремонтного завода в г. Севастополе, зернофураж из расчета 3 килограмм в сутки.</w:t>
      </w:r>
    </w:p>
    <w:p w14:paraId="767D272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Разрешить:</w:t>
      </w:r>
    </w:p>
    <w:p w14:paraId="3A551D5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Наркомсудпрому организовать при Севастопольском судоремонтном заводе отдел рабочего снабжения (ОРС);</w:t>
      </w:r>
    </w:p>
    <w:p w14:paraId="6E52DEA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Наркомстрою организовать отдел рабочего снабжения при ОСМЧ № 5 с филиалами при его управлениях.</w:t>
      </w:r>
    </w:p>
    <w:p w14:paraId="7C3597C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Обязать Крымский обком ВКП (б) и местные советские организации:</w:t>
      </w:r>
    </w:p>
    <w:p w14:paraId="2F0C436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передать ОСМЧ Севастопольстроя, для заселения ИТР и служащих, 400 квартир с обстановкой, в том числе: в г. Севастополе и его окрестностях 300 квартир, Симферополе - 50 квартир, Евпатории - 20 квартир, Феодосии - 30 квартир, а также 4-этажный дом в г. Севастополе по ул. Ленина, 86, закрепив эти помещения за Норкостроем на время строительства;</w:t>
      </w:r>
    </w:p>
    <w:p w14:paraId="04826A0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закрепить за Севастопольским судоремонтным заводом и южными предприятиями Электромортреста Наркомсудпрома все жилые дома, культурно-бытовые и служебные помещения (клуб, ясли, детсады и др.), ранее принадлежащие им и запретить кому бы то ни было занимать их;</w:t>
      </w:r>
    </w:p>
    <w:p w14:paraId="1A29B34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возвратить на Севастопольской судоремонтный завод и южные предприятия Электромортреста всех рабочих и ИТР, работавших до войны на этих предприятиях и в настоящее время работающих в других предприятиях и организациях Крыма;</w:t>
      </w:r>
    </w:p>
    <w:p w14:paraId="4CCFA1D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 выделить Наркомсудпрому районы для проведения децентрализованных заготовок незерновых сельхозпродуктов.</w:t>
      </w:r>
    </w:p>
    <w:p w14:paraId="54811A1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 Обязать Крымский обком ВКП (б) и местные советские организации совместно с Наркомсудпромом в 10-дневный срок представить на утверждение Совнаркома СССР предложения о выделении одного совхоза орсу Севастопольского судоремонтного завода.</w:t>
      </w:r>
    </w:p>
    <w:p w14:paraId="77D29B6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32. Обязать Совнарком УССР отгружать, начиная с июля 1944 года, ОСМЧ Севастопольстрой ежемесячно по 300 тонн алебастра и 80 тонн мела.</w:t>
      </w:r>
    </w:p>
    <w:p w14:paraId="65A191D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33. Разрешить Наркомстрою на строительстве главной военно-морской базы и судоремонтного завода в г. Севастополе применять тарифы на автогужевые перевозки, производимые собственным транспортом по производственным калькуляциям, согласованным Наркомстроем с Наркомвоенморфлотом и Наркомсудпромом по принадлежности, а также с Промбанком.</w:t>
      </w:r>
    </w:p>
    <w:p w14:paraId="0264DF0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34. Обязать Наркомвоенморфлот (т. Кузнецова) и Наркомсудпром (т. Носенко) предусмотреть в сметно-финансовых расчетах по восстановлению главной военно-морской базы и судоремонтного завода средства на покрытие Наркомстрою дополнительных расходов по переброске стройуправлений, материалов и оборудования с других строек Наркомстроя.</w:t>
      </w:r>
    </w:p>
    <w:p w14:paraId="72CC643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35. Установить для ОСМЧ Севастопольстрой Наркомстроя собственные оборотные средства в размере 18%.</w:t>
      </w:r>
    </w:p>
    <w:p w14:paraId="262E2C1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36. Распространить пп.40 и 42 Постановления ГОКО от 26 апреля 1944 г. № 5744сс на работы Наркомстроя по восстановлению судоремонтного завода Наркомсудпрома в Севастополе.</w:t>
      </w:r>
    </w:p>
    <w:p w14:paraId="545E341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37. Разрешить Наркомстрою (т. Гинзбургу) распространить условия оплаты за обучение рабочих, установленные Постановлением ГОКО от 13 мая 1943 г. № 3361, на рабочих, занятых на строительстве осуществляемом Наркомстроем в г. Севастополе.</w:t>
      </w:r>
    </w:p>
    <w:p w14:paraId="3D021A7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38. Разрешить Наркомстрою, дополнительно к утвержденному количеству персональных окладов Постановлением ГОКО от 26 апреля 1944 г. № 5744сс, установить для работников, занятых на восстановлении главной военно-морской базы и судоремонтного завода 5 персональных окладов до 3 тыс. рублей.</w:t>
      </w:r>
    </w:p>
    <w:p w14:paraId="14BF4B7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39. Обязать Цекомбанк (т. Добровольского) выделить Наркомсудпрому за счет резерва по кредитному плану на 1944 год 3 млн. рублей для кредитования на индивидуальное жилищное строительство и восстановление жилищ рабочих, ИТР и служащих Севастопольского завода и Электромортреста. </w:t>
      </w:r>
    </w:p>
    <w:p w14:paraId="09BDBE3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 Разрешить Наркомсудпрому и Наркомстрою выдавать наиболее нуждающимся застройщикам отходы строительных материалов и оказывать помощь транспортом с оплатой по себестоимости.</w:t>
      </w:r>
    </w:p>
    <w:p w14:paraId="4F37E6A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41. Разрешить Наркомсудпрому израсходовать на премирование наиболее отличившихся рабочих, ИТР и служащих Севастопольского завода, занятых на восстановительных работах, до 1,5% от объема выполненных работ, включив в расходы по премированию в сметно-финансовые расчеты по восстановлению.</w:t>
      </w:r>
    </w:p>
    <w:p w14:paraId="2E97785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42. Обязать Наркомбумпром (т. Орлова) отгружать ОСМЧ Севастопольстрой Наркомстроя ежемесячно, начиная с июля месяца по 3 тонны оберточной бумаги для кирпичного производства за счет фондов Наркомстроя. </w:t>
      </w:r>
    </w:p>
    <w:p w14:paraId="03F18BB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43. Обязать Наркомвоенморфлот (т. Кузнецова) организовать работы по привидению районов строительства Севастопольской главной военно-морской базы, а также города в надлежащее санитарное состояние (уборка трупов и другие мероприятия).</w:t>
      </w:r>
    </w:p>
    <w:p w14:paraId="648A801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Командующему Отдельной Приморской Армией (т. Мельник) оказать всемерную помощь Наркомвоенморфлоту в проведении этого мероприятия. </w:t>
      </w:r>
    </w:p>
    <w:p w14:paraId="3061CA0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44. Обязать Наркомхимпром (т. Первухина) отгрузить в июне 1944 года Наркомвоенморфлоту 200 тонн хлорной извести, в том числе 150 тонн за счет поставок ГВХУ КА и 50 тонн за счет поставок Химуправлению Наркомвоенморфлота.</w:t>
      </w:r>
    </w:p>
    <w:p w14:paraId="329135A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 Обязать Наркомздрав СССР (т. Митерева) на позднее июля 1944 года организовать при ОСМЧ Севастопольстрой сеть медико-санитарных учреждений укомплектовав указанную сеть необходимым количеством медперсонала, медикаментами, инструментом и медсанимуществом.</w:t>
      </w:r>
    </w:p>
    <w:p w14:paraId="07C52FB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Наркомстрою (т. Гинзбургу) предоставить для этой цели необходимые помещения.</w:t>
      </w:r>
    </w:p>
    <w:p w14:paraId="32C3B78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46. Разрешить Наркомстрою сохранить на 1944 год первую категорию для ОСМЧ № 5 и увеличить штаты Спецстройснаба Главспецстроя Наркомстроя на 10 человек.</w:t>
      </w:r>
    </w:p>
    <w:p w14:paraId="196567A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47. Распространить Постановление ГОКО от 10 февраля 1944 г. № 5140 о бронировании рабочих, ИТР и служащих Наркомсудпрома на Севастопольский судоремонтный завод и южные предприятия Электромортреста. </w:t>
      </w:r>
    </w:p>
    <w:p w14:paraId="62472E5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48. Контроль за выполнением настоящего Постановления возложить на Наркомат Государственного Контроля, лично на т. Попова.</w:t>
      </w:r>
    </w:p>
    <w:p w14:paraId="5FC8A46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Председатель Государственного Комитета Обороны И. СТАЛИН (11813).</w:t>
      </w:r>
    </w:p>
    <w:p w14:paraId="2F58E2FC" w14:textId="77777777" w:rsidR="002F0C11" w:rsidRPr="007224C3" w:rsidRDefault="002F0C11" w:rsidP="007224C3">
      <w:pPr>
        <w:autoSpaceDE w:val="0"/>
        <w:autoSpaceDN w:val="0"/>
        <w:adjustRightInd w:val="0"/>
        <w:spacing w:after="0" w:line="240" w:lineRule="auto"/>
        <w:jc w:val="both"/>
        <w:rPr>
          <w:rFonts w:ascii="Times New Roman" w:hAnsi="Times New Roman"/>
          <w:color w:val="000000" w:themeColor="text1"/>
          <w:sz w:val="16"/>
          <w:szCs w:val="16"/>
        </w:rPr>
      </w:pPr>
    </w:p>
    <w:p w14:paraId="00089AE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июня 1944 вышло Постановление ГКО № 6049 О восстановлении Грозненского завода авиамасел № 3 Наркомнефти. РГАНИР, Фонд ГКО, д. 264, лл. 1-6,7-9 (11012).</w:t>
      </w:r>
    </w:p>
    <w:p w14:paraId="652BD3C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D68722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июня 1944 вышло Постановление ГКО № 6050 О неотложных мероприятиях по восстановлению производства боеприпасов на заводах НКБ в гор. Ленинграде. РГАНИР, Фонд ГКО, д. 264, лл. 10-24,25-50 (11012).</w:t>
      </w:r>
    </w:p>
    <w:p w14:paraId="0AF0291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A6653C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июня 1944 вышло Постановление ГКО № 6051 О строительстве II очереди производства тротила на заводе № 15 Наркомбоеприпасов. РГАНИР, Фонд ГКО, д. 264, лл. 51-57,58-68 (11012).</w:t>
      </w:r>
    </w:p>
    <w:p w14:paraId="02A8675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1902B2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июня 1944 Поднят флаг ВМФ СССР на 24-м и 26-м БМО (10671).</w:t>
      </w:r>
    </w:p>
    <w:p w14:paraId="62D333E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B7B2E7C"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1FB337C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96F498C" w14:textId="77777777" w:rsidR="002F0C11" w:rsidRPr="007224C3" w:rsidRDefault="002F0C11"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14 июня</w:t>
      </w:r>
      <w:r w:rsidRPr="007224C3">
        <w:rPr>
          <w:rFonts w:ascii="Times New Roman" w:hAnsi="Times New Roman"/>
          <w:color w:val="000000" w:themeColor="text1"/>
          <w:sz w:val="16"/>
          <w:szCs w:val="16"/>
        </w:rPr>
        <w:t xml:space="preserve"> в 1944 году оперативная сводка Совинформбюро:</w:t>
      </w:r>
    </w:p>
    <w:p w14:paraId="7D65568C" w14:textId="77777777" w:rsidR="002F0C11" w:rsidRPr="007224C3" w:rsidRDefault="002F0C1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14 июня на Карельском перешейке наши войска, преодолевая сопротивление противника, продолжали вести наступательные бои, в ходе которых овладели сильно укреплёнными опорными пунктами обороны финнов Кутерселькя, Ярви, Мусталово, Ривалимяки, Мюллюмяки, Маселька, Корпикюля.</w:t>
      </w:r>
    </w:p>
    <w:p w14:paraId="33B63F22" w14:textId="77777777" w:rsidR="002F0C11" w:rsidRPr="007224C3" w:rsidRDefault="002F0C1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 без перемен.</w:t>
      </w:r>
    </w:p>
    <w:p w14:paraId="71A0C202" w14:textId="77777777" w:rsidR="002F0C11" w:rsidRPr="007224C3" w:rsidRDefault="002F0C1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13 июня на всех фронтах в воздушных боях и огнём зенитной артиллерии, сбито 13 самолётов противника.»</w:t>
      </w:r>
    </w:p>
    <w:p w14:paraId="3F3FAB95" w14:textId="77777777" w:rsidR="002F0C11" w:rsidRPr="007224C3" w:rsidRDefault="002F0C1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Удары нашей авиации по аэродромам противника:</w:t>
      </w:r>
    </w:p>
    <w:p w14:paraId="08A6397E" w14:textId="77777777" w:rsidR="002F0C11" w:rsidRPr="007224C3" w:rsidRDefault="002F0C1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ночь на 13 и в ночь на 14 июня наша авиация дальнего действия наносила массированные удары по аэродромам противника. Бомбардировке были подвергнуты аэродромы немцев в районах Бреста, Белостока, Баранович, Пинска, Минска, Бобруйска, Орши. В момент налёта нашей авиации на аэродромах находилось много немецких самолётов. В результате бомбардировки возникли многочисленные пожары. Горели самолёты, склады горючего и боеприпасов. Пожары сопровождались сильными взрывами. В результате налётов нашей авиации уничтожено большое число самолётов противника.</w:t>
      </w:r>
    </w:p>
    <w:p w14:paraId="6BF83963" w14:textId="77777777" w:rsidR="002F0C11" w:rsidRPr="007224C3" w:rsidRDefault="002F0C1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Восемь наших самолётов не вернулись на свои базы.»</w:t>
      </w:r>
    </w:p>
    <w:p w14:paraId="2CBE8806" w14:textId="77777777" w:rsidR="002F0C11" w:rsidRPr="007224C3" w:rsidRDefault="002F0C1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Карельском перешейке наши войска продолжали наступление. Противник ввёл в бой свежие силы и оказывал сопротивление, опираясь на многочисленные оборонительные сооружения, расположенные между озёрами. Наши пехотные и танковые части, поддержанные артиллерией и авиацией, сломили сопротивление противника и овладели несколькими опорными пунктами обороны финнов. Особенно ожесточённые бои происходили сегодня в районе Кутерселькя и Ярви. К исходу дня наши войска овладели этими сильно укреплёнными опорными пунктами. Н-ское соединение за три дня уничтожило свыше трёх тысяч вражеских солдат и офицеров, 30 орудий, 25 миномётов и 80 пулемётов. По неполным данным, бойцы этого соединения захватили у финнов 70 орудий, 40 миномётов, 126 пулемётов и 10 складов с боеприпасами, продовольствием и военным имуществом. Взято много пленных.</w:t>
      </w:r>
    </w:p>
    <w:p w14:paraId="247507CD" w14:textId="77777777" w:rsidR="002F0C11" w:rsidRPr="007224C3" w:rsidRDefault="002F0C1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Наша авиация наносила бомбово-штурмовые удары по опорным пунктам и коммуникациям противника. Советские лётчики сожгли железнодорожный эшелон, разгромили автоколонну, уничтожили 6 артиллерийских батарей и взорвали 3 крупных склада с боеприпасами.</w:t>
      </w:r>
    </w:p>
    <w:p w14:paraId="38B91119" w14:textId="77777777" w:rsidR="002F0C11" w:rsidRPr="007224C3" w:rsidRDefault="002F0C1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Севернее города Яссы ненецкое самоходное орудие «Фердинанд» приблизилось к нашим позициям и открыло огонь. Рядовые Тындерында и Волошин незаметно подползли к орудию и бросили несколько гранат и бутылок с горючей смесью. «Фердинанд» остановился. На нём загорелся брезент. Три немца выскочили из машины и пытались загасить пламя, но тут же были убиты нашими бойцами. Тем временем к орудию подоспели красноармейцы Черных и Антропченко. Антропченко быстро забрался в машину, сел на место водителя и завёл мотор. Трофейный «Фердинанд» доставлен в. наше расположение.</w:t>
      </w:r>
    </w:p>
    <w:p w14:paraId="2ED1CCD1" w14:textId="77777777" w:rsidR="002F0C11" w:rsidRPr="007224C3" w:rsidRDefault="002F0C1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Юго-восточнее города Станислав противник предпринял разведку боем. К советскому переднему краю обороны устремились две роты немецкой пехоты, 4 танка и 6 танкеток-торпед. Наши бойцы отбили атаку немцев, не подпустив их к своим укреплениям. На поле боя осталось 80 вражеских трупов. Уничтожены 2 немецких танка и все 6 танкеток-торпед.</w:t>
      </w:r>
    </w:p>
    <w:p w14:paraId="41AB3482" w14:textId="77777777" w:rsidR="002F0C11" w:rsidRPr="007224C3" w:rsidRDefault="002F0C1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Партизанский отряд, действующий в Вилейской области, заминировал участок шоссе и расположился в засаде, неподалёку от дороги. По этому шоссе двигалась немецкая автоколонна. Как только передняя автомашина налетела на мину и взорвалась, советские патриоты открыли огонь из винтовок, автоматов и пулемётов. Охваченные паникой, гитлеровцы обратились в бегство. Партизаны уничтожили 6 автомашин с грузами и истребили 49 немцев, в том числе трёх офицеров.</w:t>
      </w:r>
    </w:p>
    <w:p w14:paraId="600A3D1C" w14:textId="77777777" w:rsidR="002F0C11" w:rsidRPr="007224C3" w:rsidRDefault="002F0C1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Группа разведчиков Витебского партизанского отряда проникла в крупный населённый пункт и бросила две гранаты в автобус, переполненный немцами. Убито 9 и ранено 13 гитлеровцев.</w:t>
      </w:r>
    </w:p>
    <w:p w14:paraId="03D74BDE" w14:textId="77777777" w:rsidR="002F0C11" w:rsidRPr="007224C3" w:rsidRDefault="002F0C1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Дезертирство из румынской армии принимает всё более широкие размеры. Даже в самых отборных румынских войсках, как, например, в румынской гвардии, отмечается рост дезертирства. В захваченном нашими войсками приказе по 1 румынской гвардейской дивизии за № 2265 от 23 апреля 1944 года перечисляется много фактов дезертирства, а также перехода солдат на сторону Красной Армии. Обращаясь к командирам частей и подразделений, командир дивизии указывает: «В последний раз предупреждаю, что пойманные дезертиры будут приговорены к смертной казни. Настоящий приказ довести до сведения всех солдат». В другом приказе командира 1 румынской гвардейской дивизии от 29 апреля 1944 года говорится: «В последнее время наблюдаются многочисленные случаи членовредительства. Виновные будут приговорены к смертной казни. Приговоры военного суда приводить в исполнение немедленно». Эти документы заслуживают внимания. Они свидетельствуют о том, что даже румынская гвардия не хочет воевать и умирать за Гитлера. Перебежчики показывают, что часть румынских солдат открыто выражает своё желание расправиться с немцами, поработившими их родину (14922).</w:t>
      </w:r>
    </w:p>
    <w:p w14:paraId="75863E50" w14:textId="77777777" w:rsidR="002F0C11" w:rsidRPr="007224C3" w:rsidRDefault="002F0C11" w:rsidP="007224C3">
      <w:pPr>
        <w:spacing w:after="0" w:line="240" w:lineRule="auto"/>
        <w:jc w:val="both"/>
        <w:rPr>
          <w:rFonts w:ascii="Times New Roman" w:hAnsi="Times New Roman"/>
          <w:color w:val="000000" w:themeColor="text1"/>
          <w:sz w:val="16"/>
          <w:szCs w:val="16"/>
        </w:rPr>
      </w:pPr>
    </w:p>
    <w:p w14:paraId="3A118BE2" w14:textId="77777777" w:rsidR="002F0C11" w:rsidRPr="007224C3" w:rsidRDefault="002F0C11"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14 июня</w:t>
      </w:r>
      <w:r w:rsidRPr="007224C3">
        <w:rPr>
          <w:rFonts w:ascii="Times New Roman" w:hAnsi="Times New Roman"/>
          <w:color w:val="000000" w:themeColor="text1"/>
          <w:sz w:val="16"/>
          <w:szCs w:val="16"/>
        </w:rPr>
        <w:t xml:space="preserve"> в 1944 году на Карельском перешейке наши войска продолжали вести наступательные бои, в ходе которых овладели сильно укрепленными опорными пунктами финнов Кутерселькя, Ярви, Мусталово, Ривалимяки, Мюллюмяки, Маселька, Корпикюля. На других участках фронта — без перемен (14922).</w:t>
      </w:r>
    </w:p>
    <w:p w14:paraId="4E302AA7" w14:textId="77777777" w:rsidR="002F0C11" w:rsidRPr="007224C3" w:rsidRDefault="002F0C11" w:rsidP="007224C3">
      <w:pPr>
        <w:spacing w:after="0" w:line="240" w:lineRule="auto"/>
        <w:jc w:val="both"/>
        <w:rPr>
          <w:rFonts w:ascii="Times New Roman" w:hAnsi="Times New Roman"/>
          <w:color w:val="000000" w:themeColor="text1"/>
          <w:sz w:val="16"/>
          <w:szCs w:val="16"/>
        </w:rPr>
      </w:pPr>
    </w:p>
    <w:p w14:paraId="28E1226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и 15 июня 1944 командующие 1БФ в присутствии Г.К.Ж. разыграли операцию 65 и 28А (340,171).</w:t>
      </w:r>
    </w:p>
    <w:p w14:paraId="5FF2C70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CA350D" w14:textId="77777777" w:rsidR="009B6D3A" w:rsidRPr="007224C3" w:rsidRDefault="009B6D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14 июня</w:t>
      </w:r>
      <w:r w:rsidRPr="007224C3">
        <w:rPr>
          <w:rFonts w:ascii="Times New Roman" w:hAnsi="Times New Roman"/>
          <w:color w:val="000000" w:themeColor="text1"/>
          <w:sz w:val="16"/>
          <w:szCs w:val="16"/>
        </w:rPr>
        <w:t xml:space="preserve"> в 1944 году опубликовано сообщение ЧГК об истреблении немецко-румынскими захватчиками в Одесской области более 200 тысяч советских граждан (14922).</w:t>
      </w:r>
    </w:p>
    <w:p w14:paraId="0B6227F1" w14:textId="77777777" w:rsidR="009B6D3A" w:rsidRPr="007224C3" w:rsidRDefault="009B6D3A" w:rsidP="007224C3">
      <w:pPr>
        <w:spacing w:after="0" w:line="240" w:lineRule="auto"/>
        <w:jc w:val="both"/>
        <w:rPr>
          <w:rFonts w:ascii="Times New Roman" w:hAnsi="Times New Roman"/>
          <w:color w:val="000000" w:themeColor="text1"/>
          <w:sz w:val="16"/>
          <w:szCs w:val="16"/>
        </w:rPr>
      </w:pPr>
    </w:p>
    <w:p w14:paraId="4FA2F189" w14:textId="77777777" w:rsidR="009B6D3A"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Жизнь и внутренняя политика:</w:t>
      </w:r>
    </w:p>
    <w:p w14:paraId="3918FC52" w14:textId="77777777" w:rsidR="009B6D3A" w:rsidRPr="007224C3" w:rsidRDefault="009B6D3A"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E94B0AE" w14:textId="77777777" w:rsidR="009B6D3A" w:rsidRPr="007224C3" w:rsidRDefault="009B6D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14 июня</w:t>
      </w:r>
      <w:r w:rsidRPr="007224C3">
        <w:rPr>
          <w:rFonts w:ascii="Times New Roman" w:hAnsi="Times New Roman"/>
          <w:color w:val="000000" w:themeColor="text1"/>
          <w:sz w:val="16"/>
          <w:szCs w:val="16"/>
        </w:rPr>
        <w:t xml:space="preserve"> в 1944 году состоялось открытие православного Богословского института и Богословско-пастырских курсов (с 31 августа 1946 году переименованы в Московскую духовную академию и духовную семинарию) (14922).</w:t>
      </w:r>
    </w:p>
    <w:p w14:paraId="794AC359" w14:textId="77777777" w:rsidR="009B6D3A" w:rsidRPr="007224C3" w:rsidRDefault="009B6D3A" w:rsidP="007224C3">
      <w:pPr>
        <w:spacing w:after="0" w:line="240" w:lineRule="auto"/>
        <w:jc w:val="both"/>
        <w:rPr>
          <w:rFonts w:ascii="Times New Roman" w:hAnsi="Times New Roman"/>
          <w:color w:val="000000" w:themeColor="text1"/>
          <w:sz w:val="16"/>
          <w:szCs w:val="16"/>
        </w:rPr>
      </w:pPr>
    </w:p>
    <w:p w14:paraId="443519C1" w14:textId="77777777" w:rsidR="009B6D3A" w:rsidRPr="007224C3" w:rsidRDefault="009B6D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14 июня</w:t>
      </w:r>
      <w:r w:rsidRPr="007224C3">
        <w:rPr>
          <w:rFonts w:ascii="Times New Roman" w:hAnsi="Times New Roman"/>
          <w:color w:val="000000" w:themeColor="text1"/>
          <w:sz w:val="16"/>
          <w:szCs w:val="16"/>
        </w:rPr>
        <w:t xml:space="preserve"> в 1944 году СНК СССР предложил всем государственным учреждениям отметить 14 июня как день демонстрации солидарности Объединенных Наций и поднять на своих зданиях Государственный флаг СССР (14922).</w:t>
      </w:r>
    </w:p>
    <w:p w14:paraId="4429D4A9" w14:textId="77777777" w:rsidR="009B6D3A" w:rsidRPr="007224C3" w:rsidRDefault="009B6D3A" w:rsidP="007224C3">
      <w:pPr>
        <w:spacing w:after="0" w:line="240" w:lineRule="auto"/>
        <w:jc w:val="both"/>
        <w:rPr>
          <w:rFonts w:ascii="Times New Roman" w:hAnsi="Times New Roman"/>
          <w:color w:val="000000" w:themeColor="text1"/>
          <w:sz w:val="16"/>
          <w:szCs w:val="16"/>
        </w:rPr>
      </w:pPr>
    </w:p>
    <w:p w14:paraId="13D01F2E"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Внешняя политика:</w:t>
      </w:r>
    </w:p>
    <w:p w14:paraId="3248DBA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01ED156"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июня 1944 в СССР всенародно отмечен День демонстрации солидарности Объединенных Наций (4962).</w:t>
      </w:r>
    </w:p>
    <w:p w14:paraId="295190E8"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930E4C1"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23C49D1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8CBB1E1" w14:textId="77777777" w:rsidR="009B6D3A" w:rsidRPr="007224C3" w:rsidRDefault="009B6D3A" w:rsidP="007224C3">
      <w:pPr>
        <w:pStyle w:val="36"/>
        <w:shd w:val="clear" w:color="auto" w:fill="auto"/>
        <w:spacing w:after="0" w:line="240" w:lineRule="auto"/>
        <w:jc w:val="both"/>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14 июня 1944 г. первый самолёт-снаряд, получивший от министра пропаганды Геббельса третье, наиболее известное наимено</w:t>
      </w:r>
      <w:r w:rsidRPr="007224C3">
        <w:rPr>
          <w:rFonts w:ascii="Times New Roman" w:cs="Times New Roman"/>
          <w:color w:val="000000" w:themeColor="text1"/>
          <w:spacing w:val="0"/>
          <w:sz w:val="16"/>
          <w:szCs w:val="16"/>
        </w:rPr>
        <w:softHyphen/>
        <w:t xml:space="preserve">вание — </w:t>
      </w:r>
      <w:r w:rsidRPr="007224C3">
        <w:rPr>
          <w:rFonts w:ascii="Times New Roman" w:cs="Times New Roman"/>
          <w:color w:val="000000" w:themeColor="text1"/>
          <w:spacing w:val="0"/>
          <w:sz w:val="16"/>
          <w:szCs w:val="16"/>
          <w:lang w:val="en-US"/>
        </w:rPr>
        <w:t>V</w:t>
      </w:r>
      <w:r w:rsidRPr="007224C3">
        <w:rPr>
          <w:rFonts w:ascii="Times New Roman" w:cs="Times New Roman"/>
          <w:color w:val="000000" w:themeColor="text1"/>
          <w:spacing w:val="0"/>
          <w:sz w:val="16"/>
          <w:szCs w:val="16"/>
        </w:rPr>
        <w:t>-1 (от «</w:t>
      </w:r>
      <w:r w:rsidRPr="007224C3">
        <w:rPr>
          <w:rFonts w:ascii="Times New Roman" w:cs="Times New Roman"/>
          <w:color w:val="000000" w:themeColor="text1"/>
          <w:spacing w:val="0"/>
          <w:sz w:val="16"/>
          <w:szCs w:val="16"/>
          <w:lang w:val="en-US"/>
        </w:rPr>
        <w:t>Vergeltungwaffe</w:t>
      </w:r>
      <w:r w:rsidRPr="007224C3">
        <w:rPr>
          <w:rFonts w:ascii="Times New Roman" w:cs="Times New Roman"/>
          <w:color w:val="000000" w:themeColor="text1"/>
          <w:spacing w:val="0"/>
          <w:sz w:val="16"/>
          <w:szCs w:val="16"/>
        </w:rPr>
        <w:t>» — оружие возмездия, в русской транскрипции — Фау-1), спикировал на английскую столицу. Интенсивность воздушных ударов достигла максимума 2 августа 1944 г,, когда с 38 катапультных установок запу</w:t>
      </w:r>
      <w:r w:rsidRPr="007224C3">
        <w:rPr>
          <w:rFonts w:ascii="Times New Roman" w:cs="Times New Roman"/>
          <w:color w:val="000000" w:themeColor="text1"/>
          <w:spacing w:val="0"/>
          <w:sz w:val="16"/>
          <w:szCs w:val="16"/>
        </w:rPr>
        <w:softHyphen/>
        <w:t>стили 316 самолётов-снарядов (15790).</w:t>
      </w:r>
    </w:p>
    <w:p w14:paraId="4973F0DC" w14:textId="77777777" w:rsidR="009B6D3A" w:rsidRPr="007224C3" w:rsidRDefault="009B6D3A" w:rsidP="007224C3">
      <w:pPr>
        <w:pStyle w:val="36"/>
        <w:shd w:val="clear" w:color="auto" w:fill="auto"/>
        <w:spacing w:after="0" w:line="240" w:lineRule="auto"/>
        <w:jc w:val="both"/>
        <w:rPr>
          <w:rFonts w:ascii="Times New Roman" w:cs="Times New Roman"/>
          <w:color w:val="000000" w:themeColor="text1"/>
          <w:spacing w:val="0"/>
          <w:sz w:val="16"/>
          <w:szCs w:val="16"/>
        </w:rPr>
      </w:pPr>
    </w:p>
    <w:p w14:paraId="22797A9E" w14:textId="77777777" w:rsidR="00741660" w:rsidRPr="007224C3" w:rsidRDefault="00741660"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 xml:space="preserve">14 июня 1944 в качестве эксперимента бомбардировочное командование Королевских ВВС пытается совершить свой первый дневной налет с мая 1943 года, когда 234 бомбардировщика совершат вечернюю атаку на гавань в Гавре, Франция, имея 1250 метрических тонн бомб, включая 22 12 000-фунтовые (5 443 кг) бомбы Tallboy, сброшенные 617-й эскадрильей на стоянки подлодок - для предотвращения атак малых немецких военно-морских судов на силы вторжения в Нормандию. В ходе </w:t>
      </w:r>
      <w:r w:rsidRPr="007224C3">
        <w:rPr>
          <w:rFonts w:ascii="Times New Roman" w:hAnsi="Times New Roman"/>
          <w:color w:val="0070C0"/>
          <w:sz w:val="16"/>
          <w:szCs w:val="16"/>
        </w:rPr>
        <w:lastRenderedPageBreak/>
        <w:t>рейда потоплены немецкие торпедные катера Falke, Jaguar и Möwe, 10 S-катеров, 15 R-катеров , несколько патрульных и портовых судов и 11 других малых судов, а также нанесен серьезный ущерб другим судам. Истребители Spitfire сопровождают бомбардировщики, и сбит только один бомбардировщик (20373).</w:t>
      </w:r>
    </w:p>
    <w:p w14:paraId="2961CDC6" w14:textId="77777777" w:rsidR="00741660" w:rsidRPr="007224C3" w:rsidRDefault="00741660" w:rsidP="007224C3">
      <w:pPr>
        <w:spacing w:after="0" w:line="240" w:lineRule="auto"/>
        <w:jc w:val="both"/>
        <w:rPr>
          <w:rFonts w:ascii="Times New Roman" w:hAnsi="Times New Roman"/>
          <w:color w:val="0070C0"/>
          <w:sz w:val="16"/>
          <w:szCs w:val="16"/>
        </w:rPr>
      </w:pPr>
    </w:p>
    <w:p w14:paraId="077932C6" w14:textId="77777777" w:rsidR="00741660" w:rsidRPr="007224C3" w:rsidRDefault="00741660"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14–15 июня (ночь) 1944, управляя Москитом из 605-й эскадрильи, лейтенант Королевских ВВС Дж. Г. Масгрейв становится первым пилотом, сбившим летающую бомбу Фау-1 (20373).</w:t>
      </w:r>
    </w:p>
    <w:p w14:paraId="4F9D7D1E" w14:textId="77777777" w:rsidR="00741660" w:rsidRPr="007224C3" w:rsidRDefault="00741660" w:rsidP="007224C3">
      <w:pPr>
        <w:spacing w:after="0" w:line="240" w:lineRule="auto"/>
        <w:jc w:val="both"/>
        <w:rPr>
          <w:rFonts w:ascii="Times New Roman" w:hAnsi="Times New Roman"/>
          <w:color w:val="0070C0"/>
          <w:sz w:val="16"/>
          <w:szCs w:val="16"/>
        </w:rPr>
      </w:pPr>
    </w:p>
    <w:p w14:paraId="67D5C1A9" w14:textId="77777777" w:rsidR="00741660" w:rsidRPr="007224C3" w:rsidRDefault="00741660"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14–15 июня (ночь) 1944 337 британских бомбардировщиков атаковали французские железнодорожные станции в Камбре, Дуэ и Сен-Поль, потеряв четыре самолета, а еще 330 без потерь наносят наспех подготовленный удар по скоплениям немецких войск и технике в Оне-сюр-Одон и Эвреси в Нормандии. Облачность и дымка мешают атакам железных дорог, но атаки против немецких войск успешны (20373).</w:t>
      </w:r>
    </w:p>
    <w:p w14:paraId="0E736177" w14:textId="77777777" w:rsidR="00741660" w:rsidRPr="007224C3" w:rsidRDefault="00741660" w:rsidP="007224C3">
      <w:pPr>
        <w:spacing w:after="0" w:line="240" w:lineRule="auto"/>
        <w:jc w:val="both"/>
        <w:rPr>
          <w:rFonts w:ascii="Times New Roman" w:hAnsi="Times New Roman"/>
          <w:color w:val="0070C0"/>
          <w:sz w:val="16"/>
          <w:szCs w:val="16"/>
        </w:rPr>
      </w:pPr>
    </w:p>
    <w:p w14:paraId="7FEC05E1" w14:textId="77777777" w:rsidR="00A3754D" w:rsidRPr="007224C3" w:rsidRDefault="00A3754D" w:rsidP="007224C3">
      <w:pPr>
        <w:pStyle w:val="115"/>
        <w:shd w:val="clear" w:color="auto" w:fill="auto"/>
        <w:spacing w:after="0" w:line="240" w:lineRule="auto"/>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14 июня 1944 660 американских стратегических бомбардиров</w:t>
      </w:r>
      <w:r w:rsidRPr="007224C3">
        <w:rPr>
          <w:rFonts w:ascii="Times New Roman" w:hAnsi="Times New Roman" w:cs="Times New Roman"/>
          <w:color w:val="000000" w:themeColor="text1"/>
          <w:sz w:val="16"/>
          <w:szCs w:val="16"/>
        </w:rPr>
        <w:softHyphen/>
        <w:t xml:space="preserve">щиков бомбили Венгрию и Чехословакию - Будапешт, Комарно, Сисак. Соединение истребителей Р-38 атаковало венгерский аэродром Кешкемет. На перехват врага поднялись 38 венгерских истребителей </w:t>
      </w:r>
      <w:r w:rsidRPr="007224C3">
        <w:rPr>
          <w:rFonts w:ascii="Times New Roman" w:hAnsi="Times New Roman" w:cs="Times New Roman"/>
          <w:color w:val="000000" w:themeColor="text1"/>
          <w:sz w:val="16"/>
          <w:szCs w:val="16"/>
          <w:lang w:val="en-US"/>
        </w:rPr>
        <w:t>Bf</w:t>
      </w:r>
      <w:r w:rsidRPr="007224C3">
        <w:rPr>
          <w:rFonts w:ascii="Times New Roman" w:hAnsi="Times New Roman" w:cs="Times New Roman"/>
          <w:color w:val="000000" w:themeColor="text1"/>
          <w:sz w:val="16"/>
          <w:szCs w:val="16"/>
        </w:rPr>
        <w:t xml:space="preserve"> 109 и 80 немецких </w:t>
      </w:r>
      <w:r w:rsidRPr="007224C3">
        <w:rPr>
          <w:rFonts w:ascii="Times New Roman" w:hAnsi="Times New Roman" w:cs="Times New Roman"/>
          <w:color w:val="000000" w:themeColor="text1"/>
          <w:sz w:val="16"/>
          <w:szCs w:val="16"/>
          <w:lang w:val="en-US"/>
        </w:rPr>
        <w:t>Bf</w:t>
      </w:r>
      <w:r w:rsidRPr="007224C3">
        <w:rPr>
          <w:rFonts w:ascii="Times New Roman" w:hAnsi="Times New Roman" w:cs="Times New Roman"/>
          <w:color w:val="000000" w:themeColor="text1"/>
          <w:sz w:val="16"/>
          <w:szCs w:val="16"/>
        </w:rPr>
        <w:t xml:space="preserve"> 109 и </w:t>
      </w:r>
      <w:r w:rsidRPr="007224C3">
        <w:rPr>
          <w:rFonts w:ascii="Times New Roman" w:hAnsi="Times New Roman" w:cs="Times New Roman"/>
          <w:color w:val="000000" w:themeColor="text1"/>
          <w:sz w:val="16"/>
          <w:szCs w:val="16"/>
          <w:lang w:val="en-US"/>
        </w:rPr>
        <w:t>Fw</w:t>
      </w:r>
      <w:r w:rsidRPr="007224C3">
        <w:rPr>
          <w:rFonts w:ascii="Times New Roman" w:hAnsi="Times New Roman" w:cs="Times New Roman"/>
          <w:color w:val="000000" w:themeColor="text1"/>
          <w:sz w:val="16"/>
          <w:szCs w:val="16"/>
        </w:rPr>
        <w:t xml:space="preserve"> 190. Всего было сбито 20 американских истребителей и бомбардировщиков. Из них венгры сбили 8, потеряв два своих (по другим данным потери составили 3 машины) (19083).</w:t>
      </w:r>
    </w:p>
    <w:p w14:paraId="1CAA8067" w14:textId="77777777" w:rsidR="00A3754D" w:rsidRPr="007224C3" w:rsidRDefault="00A3754D" w:rsidP="007224C3">
      <w:pPr>
        <w:pStyle w:val="115"/>
        <w:shd w:val="clear" w:color="auto" w:fill="auto"/>
        <w:spacing w:after="0" w:line="240" w:lineRule="auto"/>
        <w:jc w:val="both"/>
        <w:rPr>
          <w:rFonts w:ascii="Times New Roman" w:hAnsi="Times New Roman" w:cs="Times New Roman"/>
          <w:color w:val="000000" w:themeColor="text1"/>
          <w:sz w:val="16"/>
          <w:szCs w:val="16"/>
        </w:rPr>
      </w:pPr>
    </w:p>
    <w:p w14:paraId="540CA60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июня 1944 Приказ командования НОАА о переходе армии в решительное наступление против немецких оккупантов (7594).</w:t>
      </w:r>
    </w:p>
    <w:p w14:paraId="044AB76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6BE31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июня 1944 Де Голь вернулся во Францию (2247,5).</w:t>
      </w:r>
    </w:p>
    <w:p w14:paraId="62F37A9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B2C427"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июня 1944 французский генерал Шарль де Голль высадился в Нормандии с тем, чтобы возглавить французские военные подразделения, двигающиеся на Париж (4962).</w:t>
      </w:r>
    </w:p>
    <w:p w14:paraId="321BE915"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3C9871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June 14th, 1944: The RAF launches heavy attacks (600 bombers) against Le Havre and Boulogne (3819).</w:t>
      </w:r>
    </w:p>
    <w:p w14:paraId="155093F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F49221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июня 1944 Королевские ВВС выполнили массовый (600 бомбардировщиков) налет на Гавр и Болонь (3819).</w:t>
      </w:r>
    </w:p>
    <w:p w14:paraId="43AE223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62E7CE" w14:textId="77777777" w:rsidR="009B6D3A" w:rsidRPr="007224C3" w:rsidRDefault="009B6D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14 июня</w:t>
      </w:r>
      <w:r w:rsidRPr="007224C3">
        <w:rPr>
          <w:rFonts w:ascii="Times New Roman" w:hAnsi="Times New Roman"/>
          <w:color w:val="000000" w:themeColor="text1"/>
          <w:sz w:val="16"/>
          <w:szCs w:val="16"/>
        </w:rPr>
        <w:t xml:space="preserve"> в 1944 году американские бомбардировщики «Б-29» совершили первый налет на Японию (14922).</w:t>
      </w:r>
    </w:p>
    <w:p w14:paraId="0F63852F" w14:textId="77777777" w:rsidR="009B6D3A" w:rsidRPr="007224C3" w:rsidRDefault="009B6D3A" w:rsidP="007224C3">
      <w:pPr>
        <w:spacing w:after="0" w:line="240" w:lineRule="auto"/>
        <w:jc w:val="both"/>
        <w:rPr>
          <w:rFonts w:ascii="Times New Roman" w:hAnsi="Times New Roman"/>
          <w:color w:val="000000" w:themeColor="text1"/>
          <w:sz w:val="16"/>
          <w:szCs w:val="16"/>
        </w:rPr>
      </w:pPr>
    </w:p>
    <w:p w14:paraId="337F2D71" w14:textId="77777777" w:rsidR="00741660" w:rsidRPr="007224C3" w:rsidRDefault="00741660"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14–15 июня 1944 авианосец оперативной группы 58 наносит удар по вулканическим островам - Гуаму, Сайпану и Тиниану (20373).</w:t>
      </w:r>
    </w:p>
    <w:p w14:paraId="30FF0831" w14:textId="77777777" w:rsidR="00741660" w:rsidRPr="007224C3" w:rsidRDefault="00741660" w:rsidP="007224C3">
      <w:pPr>
        <w:spacing w:after="0" w:line="240" w:lineRule="auto"/>
        <w:jc w:val="both"/>
        <w:rPr>
          <w:rFonts w:ascii="Times New Roman" w:hAnsi="Times New Roman"/>
          <w:color w:val="0070C0"/>
          <w:sz w:val="16"/>
          <w:szCs w:val="16"/>
        </w:rPr>
      </w:pPr>
    </w:p>
    <w:p w14:paraId="77F90A27"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 июня 1944 по иску Свидетелей Иеговы Верховный суд США признал незаконной обязательную процедуру отдания салюта американскому флагу (4962).</w:t>
      </w:r>
    </w:p>
    <w:p w14:paraId="28076F35"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042139A"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41F6E27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75BFD0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июня 1944 Зам. Нач. 7ГУ Алексеев подготовил сводку г-7 № 7923 о ходе испытаний высотных самолетов на 13 июня 1944 по Як-9 М-105ПД, Ла-5 АШ-82ФН и 2ТК-3, МиГ АМ-39А и 2ТК-2Б (1825).</w:t>
      </w:r>
    </w:p>
    <w:p w14:paraId="5F06B5A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ВЫСОТНЫЙ ИСТРЕБИТЕЛЬ ЯК-9 С ВК-105ПФ И ДВУХСТУПЕНЧАТЫМ НАГНЕТАТЕЛЕМ</w:t>
      </w:r>
    </w:p>
    <w:p w14:paraId="1F74C0A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Производилась подготовка самолета для установки в аэродинамическую трубу.</w:t>
      </w:r>
    </w:p>
    <w:p w14:paraId="5D0EDA5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ВЫСОТНЫЙ ИСТРЕБИТЕЛЬ ЛА-5 С АШ-82ФН и 2ТК-3.</w:t>
      </w:r>
    </w:p>
    <w:p w14:paraId="1DDA62F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Произведены два полета: первый полет до выесоты 9500 мт и второй полет до высоты 4500 мт. Как и впредыдущих полетах, имело месте выбрасывание масла из мото</w:t>
      </w:r>
      <w:r w:rsidRPr="007224C3">
        <w:rPr>
          <w:rFonts w:ascii="Times New Roman" w:hAnsi="Times New Roman"/>
          <w:color w:val="000000" w:themeColor="text1"/>
          <w:sz w:val="16"/>
          <w:szCs w:val="16"/>
        </w:rPr>
        <w:softHyphen/>
        <w:t>ра и по этой причине полеты прекращались и задания оставалась невыполненными.</w:t>
      </w:r>
    </w:p>
    <w:p w14:paraId="5E137C2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Испытаниями и осмотром с участием представителя завода № 19 установлено, что течь масла происходит из суфлера кольцевого уплотнения нагнетателя и что для высотных полетов необходимы моторы специальной сборки, предусмотренные приказом № 382сс от 6 июня с. г.Так как эти моторы могут быть изготовлены заводом № 19 лишь к 1 июля с. г., то для. продолжения летных испытаний по просьбе 7 Главного Управления, Замнаркома тов. КУЗНЕЦОВЫМ В.П. дано указание заводу № 19 о срочной отгрузке тов. ЛАВОЧКИНЫМ двух моторов АШ-82ФН обычной сборки, но с улучшенным дефлектированием цилиндров.</w:t>
      </w:r>
    </w:p>
    <w:p w14:paraId="2C8E45D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ВЫСОТНЫЙ ИСТРЕБИТЕЛЬ МИГ С АМ-39Б И 2ТК-2Б.</w:t>
      </w:r>
    </w:p>
    <w:p w14:paraId="691973D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Выполнялись работы по установке на самолет бензопомпы БНК-10.</w:t>
      </w:r>
    </w:p>
    <w:p w14:paraId="107DBDD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Полет назначен на 14 июня с. г. (1825).</w:t>
      </w:r>
    </w:p>
    <w:p w14:paraId="42E7FC6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8CAD07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июня 1944 на МиГ АМ-39А и 2ТК-2Б было выполнено 2 полета после доводки бензопомпы: 1-й 0:40 до 9000 м, 2-й - 0:40 до 11000 м (1825).</w:t>
      </w:r>
    </w:p>
    <w:p w14:paraId="77AC1EE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2B3EB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июня 1944 В.П.Кузнецов подготовил для А.И.Ш. сводку по выполнению постановления по повышению высотности самолетов по состоянию на 15 июня 1944 и были упомянуты МиГ-3 с АМ-39Б-01, Ла-5 М-82 с ТК-3 и Як-9 с ВК-105ПД (1824).</w:t>
      </w:r>
    </w:p>
    <w:p w14:paraId="1310E8F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C6FFD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июня и 3 июля 1944 прошли заседания макетных комиссий по самолету Д Н.Н.П (шестиместный лимузин - под М-11Ф) и макет моноплана был утвержден. С 7 июля работы остановили в связи с подготовкой серийных чертежей У-2ШС. С 15 мая после заверения эскизного проектирования, начатого в апреле 1944, вели техническое проектирование (4542, 21).</w:t>
      </w:r>
    </w:p>
    <w:p w14:paraId="0F518AF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4DC20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июня 1944 г. за</w:t>
      </w:r>
      <w:r w:rsidRPr="007224C3">
        <w:rPr>
          <w:rFonts w:ascii="Times New Roman" w:hAnsi="Times New Roman"/>
          <w:color w:val="000000" w:themeColor="text1"/>
          <w:sz w:val="16"/>
          <w:szCs w:val="16"/>
        </w:rPr>
        <w:softHyphen/>
        <w:t>седала макетная комиссия по «Лимузину» Признавалось, что с двигателем М-11Ф скороподъемность и взлетно-посадочные характеристики само</w:t>
      </w:r>
      <w:r w:rsidRPr="007224C3">
        <w:rPr>
          <w:rFonts w:ascii="Times New Roman" w:hAnsi="Times New Roman"/>
          <w:color w:val="000000" w:themeColor="text1"/>
          <w:sz w:val="16"/>
          <w:szCs w:val="16"/>
        </w:rPr>
        <w:softHyphen/>
        <w:t>лета не соответствуют современным требо</w:t>
      </w:r>
      <w:r w:rsidRPr="007224C3">
        <w:rPr>
          <w:rFonts w:ascii="Times New Roman" w:hAnsi="Times New Roman"/>
          <w:color w:val="000000" w:themeColor="text1"/>
          <w:sz w:val="16"/>
          <w:szCs w:val="16"/>
        </w:rPr>
        <w:softHyphen/>
        <w:t>ваниям. Предлагалось рассмотреть воз</w:t>
      </w:r>
      <w:r w:rsidRPr="007224C3">
        <w:rPr>
          <w:rFonts w:ascii="Times New Roman" w:hAnsi="Times New Roman"/>
          <w:color w:val="000000" w:themeColor="text1"/>
          <w:sz w:val="16"/>
          <w:szCs w:val="16"/>
        </w:rPr>
        <w:softHyphen/>
        <w:t>можность замены на двигатель М-12 или МГ-31Ф, предусмотреть пневмо- или гид</w:t>
      </w:r>
      <w:r w:rsidRPr="007224C3">
        <w:rPr>
          <w:rFonts w:ascii="Times New Roman" w:hAnsi="Times New Roman"/>
          <w:color w:val="000000" w:themeColor="text1"/>
          <w:sz w:val="16"/>
          <w:szCs w:val="16"/>
        </w:rPr>
        <w:softHyphen/>
        <w:t>роуборку шасси, увеличить габариты каби</w:t>
      </w:r>
      <w:r w:rsidRPr="007224C3">
        <w:rPr>
          <w:rFonts w:ascii="Times New Roman" w:hAnsi="Times New Roman"/>
          <w:color w:val="000000" w:themeColor="text1"/>
          <w:sz w:val="16"/>
          <w:szCs w:val="16"/>
        </w:rPr>
        <w:softHyphen/>
        <w:t>ны но высоте на 50 мм. Далее предлагалось утвердить задание на «Лимузин», постро</w:t>
      </w:r>
      <w:r w:rsidRPr="007224C3">
        <w:rPr>
          <w:rFonts w:ascii="Times New Roman" w:hAnsi="Times New Roman"/>
          <w:color w:val="000000" w:themeColor="text1"/>
          <w:sz w:val="16"/>
          <w:szCs w:val="16"/>
        </w:rPr>
        <w:softHyphen/>
        <w:t>ить его в короткие сроки и к 15 сентября 1944 г. провести испытания. К сожалению, развития событий в отно</w:t>
      </w:r>
      <w:r w:rsidRPr="007224C3">
        <w:rPr>
          <w:rFonts w:ascii="Times New Roman" w:hAnsi="Times New Roman"/>
          <w:color w:val="000000" w:themeColor="text1"/>
          <w:sz w:val="16"/>
          <w:szCs w:val="16"/>
        </w:rPr>
        <w:softHyphen/>
        <w:t>шении «Лимузина» не последовало. Вес</w:t>
      </w:r>
      <w:r w:rsidRPr="007224C3">
        <w:rPr>
          <w:rFonts w:ascii="Times New Roman" w:hAnsi="Times New Roman"/>
          <w:color w:val="000000" w:themeColor="text1"/>
          <w:sz w:val="16"/>
          <w:szCs w:val="16"/>
        </w:rPr>
        <w:softHyphen/>
        <w:t>ной 1944 г. Н. Н. Поликарпов впервые по</w:t>
      </w:r>
      <w:r w:rsidRPr="007224C3">
        <w:rPr>
          <w:rFonts w:ascii="Times New Roman" w:hAnsi="Times New Roman"/>
          <w:color w:val="000000" w:themeColor="text1"/>
          <w:sz w:val="16"/>
          <w:szCs w:val="16"/>
        </w:rPr>
        <w:softHyphen/>
        <w:t>чувствовал себя плохо. Врачи диагности</w:t>
      </w:r>
      <w:r w:rsidRPr="007224C3">
        <w:rPr>
          <w:rFonts w:ascii="Times New Roman" w:hAnsi="Times New Roman"/>
          <w:color w:val="000000" w:themeColor="text1"/>
          <w:sz w:val="16"/>
          <w:szCs w:val="16"/>
        </w:rPr>
        <w:softHyphen/>
        <w:t>ровали рак; болезнь прогрессировала, и 30 июля 1944 г. великий русский конструктор скончался. На следующий день после его смерти решением правительства с целью увековечивания памяти Н. Н. Поликарпо</w:t>
      </w:r>
      <w:r w:rsidRPr="007224C3">
        <w:rPr>
          <w:rFonts w:ascii="Times New Roman" w:hAnsi="Times New Roman"/>
          <w:color w:val="000000" w:themeColor="text1"/>
          <w:sz w:val="16"/>
          <w:szCs w:val="16"/>
        </w:rPr>
        <w:softHyphen/>
        <w:t>ва самолет У-2 решено было далее имено</w:t>
      </w:r>
      <w:r w:rsidRPr="007224C3">
        <w:rPr>
          <w:rFonts w:ascii="Times New Roman" w:hAnsi="Times New Roman"/>
          <w:color w:val="000000" w:themeColor="text1"/>
          <w:sz w:val="16"/>
          <w:szCs w:val="16"/>
        </w:rPr>
        <w:softHyphen/>
        <w:t>вать По-2 - «Поликарпов-2» (11085).</w:t>
      </w:r>
    </w:p>
    <w:p w14:paraId="3018A61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A962C7"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493F47A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BABD570"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[15-16 июня] 1944 г. из СПРАВКИ ПРЕДСЕДАТЕЛЯ КОМИССИИ ПО ОХРАНЕ ТРУДА СТАРЦЕВА О СОСТОЯНИИ ТЕХНИКИ БЕЗОПАСНОСТИ И ОХРАНЫ ТРУДА НА ОРДЕНА ЛЕНИНА КОМБИНАТЕ № 179»</w:t>
      </w:r>
    </w:p>
    <w:p w14:paraId="2A27FD62"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Состояние техники безопасности и охраны труда продолжает оставаться явно неудовлетворительным: травматизм увеличивается. За 12 месяцев 1943 года было зарегистрировано 7 смертельных случаев. За 5,5 месяца 1944 года имеем 6 случаев, за пять месяцев 1943 года было зарегистрировано 295 случаев с-потерей 6 152 рабочих дней, за этот же период в 1944 году имелся 671 случай с потерей 8 043 рабочих дней. Особенно рост травматизма имеет место в цехах, где начальники Чалый, Бовтручук, Шмелев, Багаев и Яковлев. Показатели травматизма по месяцам за 5 месяцев по комбинату и по цехам см. таблицы № 1, 2 и списки смертельных и тяжелых случаев. Причина роста травматизма - грубое нарушение и несоблюдение существующих правил техники безопасности и норм по охране труда, несмотря на неоднократные предписания главным инженерам: тов. Ка-кунину — 3 марта 1943 г., тов. Лаврентьеву — 26 ноября 1943 г., тов. Ярополову - 15 мая 1944 г. и 11 июня 1944 г., а также директору комбината тов. Саханицкому, первое - 20 августа 1943 г., второе - 6 июня 1944 г., третье - 7 июня 1944 г. Ацетиленовые установки не испытаны, к сдаче не предъявлены, и до сего времени временные ацетиленовые установки не испробованы, аппараты применяются на постоянных работах, от последствий которых имели место взрывы в 8, 12-м цехах в 1943 г. и 28 апреля 1944 г. взрыв со смертельным исходом — см. акт комиссии от 28 апреля с.г. и 7 июня с.г., см. объяснение мастера цеха № 8 тов. Высоцкого. Подъемные механизмы, их приспособления и сосуды под давлением по цехам № 1, 8, 12, 18, 58 и другим в большинстве не испытаны и к сдаче инспектору котлонадзора не предъявлены, несмотря на тяжелый случай в цехе № 18 15 июня 1944 г. с рабочим ...", которого, вследствие обрыва троса, придавило кузовом вагонетки, нагруженной землей, все же в цехе № 18 продолжают работать на этих механизмах без испытаний и надлежащего оформления через инспектора котлонадзора. Штат работников ОТБ не укомплектован, тот, далеко недостающий штат, используется не по назначению: в большинстве заняты на производственных работах. Кабинет техбезопасности не организован, инструкции, плакаты в цехах отсутствуют, вводный инструктаж по ТБ с рабочими проводится формально, а инструктаж на рабочем месте проводится от случая к случаю; по цехам № 17, 27 рабочие не проинструктированы и учет охвата инструктажем не организован. Ременные, цепные передачи и опасные части механизмов, в частности по цехам № 3, 4, 5, 6, 17, 18, 27, в большинстве не ограждены, а имеющиеся ограждения сняты, часть используется вместо подставок на рабочих местах, а большинство выброшены. Рабочие места и проходы по цехам </w:t>
      </w:r>
      <w:r w:rsidRPr="007224C3">
        <w:rPr>
          <w:rFonts w:ascii="Times New Roman" w:hAnsi="Times New Roman"/>
          <w:color w:val="000000" w:themeColor="text1"/>
          <w:sz w:val="16"/>
          <w:szCs w:val="16"/>
        </w:rPr>
        <w:lastRenderedPageBreak/>
        <w:t>первого объекта сильно захламлены разными отходами, браком, стружка убирается нерегулярно, подставки-решетки на рабочих местах в большинстве поломаны, и пригодных можно встретить как исключение. Начальники цехов к вопросам профилактики, к своевременному оформлению актами несчастных случаев в надлежащей форме уделяют внимание недостаточно, акты составляются небрежно, безграмотно и несвоевременно, имеет место непредставление актов на случаи, происшедшие в марте месяце. Вентустановки в цехе № 18 и заточных отделениях цехов № 51, 59, 12 не работают, а в ряде других неисправны, и рабочие повседневно работают в пыли и газе. Рабочие цеха № 18, занятые на горячих работах, лишены пользования газированной водой, а рабочие цехов № 1-2 и 8 снабжаются нерегулярно. Начальник отдела снабжения тов. Мовенко доставку углекислоты обещал вначале к 1 июня, потом к 15-20 июня, и до сего времени таковой цеха в необходимой мере не имеют, а цех № 18 не получал за 3 мес. ни одного салона. Рабочие спецодеждой обеспечиваются нерегулярно, спецодежда низкого качества, в частности ботинки: при норме износа 1—2 года выдерживают не более 2-3 месяцев, а рукавицы вместо 1-2 месяцев -3-4 дня. И еще хуже обстоит дело с получением последней, пример: рабочим 25-го цеха отделом охраны труда была завизирована спецодежда - 36 костюмов и 30 пар ботинок в апреле месяце, на этом же списке имеется виза зам. директора тов. Горюнова принять на обеспечение, что считается предварительной визой, а окончательной визы на выдачу цех, добиваясь до июня месяца, пока не добился. Такие факты не единичны, и вследствие этого рабочие ходят голые и босые. Открытие поликлиники было намечено к 1 мая 1944 г., на 70 % провели ремонт помещения, и на этом дело заглохло и перспектив на открытие в ближайшее время не видно. Крайне затянулось открытие дома отдыха, так что потеряна всякая надежда открыть на летний сезон. Руководство комбината, зная обо всех перечисленных безобразиях, совершенно не реагирует, от вопросов сохранения кадров и создания безопасных, здоровых условий труда самоустранилось и поставило работу далеко недостаточных имеющихся кадров на износ. Вопросы тех-безопасности и охраны труда на данный момент пущены руководством на произвол. При наличии чрезвычайно большого роста травматизма и участившихся смертельных и тяжелых несчастных случаев руководством комбината ни один из виновников не наказан, что послужило причиной окончательного ослабления дисциплины по вопросам техбезопасности и охраны труда. По несчастным случаям, происшедшим по вине администрации цехов, за время нетрудоспособности рабочих выплачено соцстрахом по больничным листкам 52 934 рубля. Кроме того, за невыполнение предписаний и нарушение трудового законодательства техническим инспектором ЦК союза РПБ СССР были подвергнуты административным взысканиям и штрафу 26 человек. Для привлечения к уголовной ответственности передано 9 дел прокурору Кировского района (см. приложение «Список дел, переданных прокурору»), но переданные дела как за 1943 год, так и за 1944 год, в прокуратуре лежат, и ни по одному делу виновники до сего времени не наказаны, что также способствует расхолаживанию руководства и администрации цехов, потворствует росту травматизма. Такое положение завком дальше считает нетерпимым и просит райком ВКП(б) обратить серьезное внимание на все перечисленные выше безобразия и принять срочные меры по предотвращению травматизма, созданию безопасных здоровых условий работ, обеспечивающих высокий рост производительности труда и выпуск максимального количества боеприпасов.</w:t>
      </w:r>
    </w:p>
    <w:p w14:paraId="5B306E51"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Предзавкома ордена Ленина комбината Котляревский</w:t>
      </w:r>
    </w:p>
    <w:p w14:paraId="6C0511D5"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Председатель комиссии охраны труда Старцев</w:t>
      </w:r>
    </w:p>
    <w:p w14:paraId="198A149D"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ГАНО. Ф. П-4. Оп. 8. Д. 491. Л. 68-70. Подлинник.</w:t>
      </w:r>
    </w:p>
    <w:p w14:paraId="614584CE"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Подпись-автограф Старцева красным карандашом, подпись Котляревского в документе отсутствует. Таблица 2 опушена (Там. Л. 74).</w:t>
      </w:r>
    </w:p>
    <w:p w14:paraId="4304AE66"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Приложение</w:t>
      </w:r>
    </w:p>
    <w:p w14:paraId="25A3578C"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Список дел, переданных прокурору в 1944 году, для привлечения конкретных виновников, нарушивших трудовое законодательство и правила по технике безопасности</w:t>
      </w:r>
    </w:p>
    <w:p w14:paraId="06625D32"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Тов. Смирнова — энергетика цеха № 18 и электромастера Марти-ненко, по вине которых произошел смертельный случай со смазчиком Юриным, дело было передано в прокуратуру 25 января 1944 г., виновники не привлечены.</w:t>
      </w:r>
    </w:p>
    <w:p w14:paraId="069DF7A6"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Тов. Вайнгрута - начальника погрузочного бюро комбината, по вине которого произошел смертельный случай с грузчиком Альясовым. Дело передано в прокуратуру 31 февраля 1944 г., виновник не привлечен.</w:t>
      </w:r>
    </w:p>
    <w:p w14:paraId="75323C6C"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Тов. Тасьвы - начальника цеха № 2 комбината и Гончарова -начальника смены, по вине которых произошел смертельный случай со шлаковщиком Богдановым, дело передано в прокуратуру 11 апреля 1944 г., виновники не привлечены.</w:t>
      </w:r>
    </w:p>
    <w:p w14:paraId="2344E004"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Второй раз тов. Тасьву — начальника цеха № 21 , по вине которого произошел несчастный случай со смертельным исходом с угляр-щиком Воробьевым, дело передано в прокуратуру 16 мая 1944 г. (дело не рассматривалось).</w:t>
      </w:r>
    </w:p>
    <w:p w14:paraId="2452B8C5"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Тов. Лаврентьева — главного инженера комбината и начальника участка Акулинич, по вине которых произошел смертельный случай с заправщицей ацетиленового аппарата Новгородцевой, дело передано в прокуратуру 16 мая 1944 года. Дело не рассмотрено.</w:t>
      </w:r>
    </w:p>
    <w:p w14:paraId="148723B4"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Тов. Карелина - энергетика цеха № 12, по вине которого произошел тяжелый случай с крановщицей Лецман, дело передано в прокуратуру 16 мая 1944 г., дело не рассмотрено.</w:t>
      </w:r>
    </w:p>
    <w:p w14:paraId="1F716478"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Тов. Ендовицкого - мастера цеха М 51, по вине которого произошел тяжелый случай с переломом рук токарю Ермаковой, дело передано в прокуратуру 16 мая 1944 г. (дело не рассмотрено).</w:t>
      </w:r>
    </w:p>
    <w:p w14:paraId="5C280C49"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Тов. Сатонина - начальника участка 28-го цеха и тов. Молчанова - начальника цеха № 28, по вине которых произошел смертельный случай с формовщиком Соколовым, дело передано в прокуратуру 15 июня 1944 г. (дело не рассмотрено) (12194).</w:t>
      </w:r>
    </w:p>
    <w:p w14:paraId="076C2B4F" w14:textId="77777777" w:rsidR="000340E9" w:rsidRPr="007224C3" w:rsidRDefault="000340E9" w:rsidP="007224C3">
      <w:pPr>
        <w:spacing w:after="0" w:line="240" w:lineRule="auto"/>
        <w:jc w:val="both"/>
        <w:rPr>
          <w:rFonts w:ascii="Times New Roman" w:hAnsi="Times New Roman"/>
          <w:color w:val="000000" w:themeColor="text1"/>
          <w:sz w:val="16"/>
          <w:szCs w:val="16"/>
        </w:rPr>
      </w:pPr>
    </w:p>
    <w:p w14:paraId="5BC6208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 15 июня 1944 г. танк Объект-701 был подвергнут длительным заводским испытаниям. В апреле - мае 1944 г. ЧКЗ изготовил два новых образца танка (№ 1 и 2) и к 1 июля предъявил их на полигонные испытания, ко</w:t>
      </w:r>
      <w:r w:rsidRPr="007224C3">
        <w:rPr>
          <w:rFonts w:ascii="Times New Roman" w:hAnsi="Times New Roman"/>
          <w:color w:val="000000" w:themeColor="text1"/>
          <w:sz w:val="16"/>
          <w:szCs w:val="16"/>
        </w:rPr>
        <w:softHyphen/>
        <w:t>торые проходили в районе Челябинска с 1 июля по 15 августа 1944 г. под председательством начальника ГБТУ генерал-лейтенанта танковых войск Б.Г. Вершинина (10703).</w:t>
      </w:r>
    </w:p>
    <w:p w14:paraId="5ADBE3E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C288C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15 ию</w:t>
      </w:r>
      <w:r w:rsidRPr="007224C3">
        <w:rPr>
          <w:rFonts w:ascii="Times New Roman" w:hAnsi="Times New Roman"/>
          <w:color w:val="000000" w:themeColor="text1"/>
          <w:sz w:val="16"/>
          <w:szCs w:val="16"/>
        </w:rPr>
        <w:softHyphen/>
        <w:t>ня 1944 г. с целью повышения бронестойкости нижнего лобового листа корпу</w:t>
      </w:r>
      <w:r w:rsidRPr="007224C3">
        <w:rPr>
          <w:rFonts w:ascii="Times New Roman" w:hAnsi="Times New Roman"/>
          <w:color w:val="000000" w:themeColor="text1"/>
          <w:sz w:val="16"/>
          <w:szCs w:val="16"/>
        </w:rPr>
        <w:softHyphen/>
        <w:t>са (толщиной 90 мм для катаной или 130 мм для литой) на нем стали устанавливаться шесть запасных траков. У корпусов со спрямленной носовой частью в левом борту располагался круглый люк для загрузки боеприпасов, закрывавшийся броневой крышкой на петле (10703).</w:t>
      </w:r>
    </w:p>
    <w:p w14:paraId="02062A2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8C480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июня 1944 г. была подготовлена СПРАВКА ЗАМЕСТИТЕЛЯ НАЧАЛЬНИКА ГБТУ КА ПО КАЧЕСТВУ ТАНКОВ, ВЫПУЩЕННЫХ ЗАВОДАМИ № 522656</w:t>
      </w:r>
    </w:p>
    <w:p w14:paraId="3DB3116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апрель-декабрь месяцы 1943 г.</w:t>
      </w:r>
    </w:p>
    <w:p w14:paraId="19B062E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С апреля по декабрь 1943 г. танки, подвергнутые приемо-сдаточным пробеговым испытани</w:t>
      </w:r>
      <w:r w:rsidRPr="007224C3">
        <w:rPr>
          <w:rFonts w:ascii="Times New Roman" w:hAnsi="Times New Roman"/>
          <w:color w:val="000000" w:themeColor="text1"/>
          <w:sz w:val="16"/>
          <w:szCs w:val="16"/>
        </w:rPr>
        <w:softHyphen/>
        <w:t>ям на 50 км, дали следующие результаты:</w:t>
      </w:r>
    </w:p>
    <w:tbl>
      <w:tblPr>
        <w:tblW w:w="0" w:type="auto"/>
        <w:tblInd w:w="40" w:type="dxa"/>
        <w:tblLayout w:type="fixed"/>
        <w:tblCellMar>
          <w:left w:w="40" w:type="dxa"/>
          <w:right w:w="40" w:type="dxa"/>
        </w:tblCellMar>
        <w:tblLook w:val="0000" w:firstRow="0" w:lastRow="0" w:firstColumn="0" w:lastColumn="0" w:noHBand="0" w:noVBand="0"/>
      </w:tblPr>
      <w:tblGrid>
        <w:gridCol w:w="1123"/>
        <w:gridCol w:w="960"/>
        <w:gridCol w:w="1661"/>
        <w:gridCol w:w="1757"/>
        <w:gridCol w:w="1930"/>
        <w:gridCol w:w="2093"/>
      </w:tblGrid>
      <w:tr w:rsidR="005106D0" w:rsidRPr="007224C3" w14:paraId="3FFE42A5" w14:textId="77777777">
        <w:trPr>
          <w:trHeight w:val="240"/>
        </w:trPr>
        <w:tc>
          <w:tcPr>
            <w:tcW w:w="1123" w:type="dxa"/>
            <w:tcBorders>
              <w:top w:val="single" w:sz="6" w:space="0" w:color="auto"/>
              <w:left w:val="single" w:sz="6" w:space="0" w:color="auto"/>
              <w:bottom w:val="nil"/>
              <w:right w:val="single" w:sz="6" w:space="0" w:color="auto"/>
            </w:tcBorders>
          </w:tcPr>
          <w:p w14:paraId="1ECE3B3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Тип танка</w:t>
            </w:r>
          </w:p>
          <w:p w14:paraId="68C3636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01" w:type="dxa"/>
            <w:gridSpan w:val="5"/>
            <w:tcBorders>
              <w:top w:val="single" w:sz="6" w:space="0" w:color="auto"/>
              <w:left w:val="single" w:sz="6" w:space="0" w:color="auto"/>
              <w:bottom w:val="single" w:sz="6" w:space="0" w:color="auto"/>
              <w:right w:val="single" w:sz="6" w:space="0" w:color="auto"/>
            </w:tcBorders>
          </w:tcPr>
          <w:p w14:paraId="2AC97B3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танков принятых после:</w:t>
            </w:r>
          </w:p>
          <w:p w14:paraId="0E892FD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4FE5823" w14:textId="77777777">
        <w:trPr>
          <w:trHeight w:val="365"/>
        </w:trPr>
        <w:tc>
          <w:tcPr>
            <w:tcW w:w="1123" w:type="dxa"/>
            <w:tcBorders>
              <w:top w:val="nil"/>
              <w:left w:val="single" w:sz="6" w:space="0" w:color="auto"/>
              <w:bottom w:val="single" w:sz="6" w:space="0" w:color="auto"/>
              <w:right w:val="single" w:sz="6" w:space="0" w:color="auto"/>
            </w:tcBorders>
          </w:tcPr>
          <w:p w14:paraId="184F9C7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13269F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618997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Первого пробега</w:t>
            </w:r>
          </w:p>
          <w:p w14:paraId="38C4A84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61" w:type="dxa"/>
            <w:tcBorders>
              <w:top w:val="single" w:sz="6" w:space="0" w:color="auto"/>
              <w:left w:val="single" w:sz="6" w:space="0" w:color="auto"/>
              <w:bottom w:val="single" w:sz="6" w:space="0" w:color="auto"/>
              <w:right w:val="single" w:sz="6" w:space="0" w:color="auto"/>
            </w:tcBorders>
          </w:tcPr>
          <w:p w14:paraId="6B776B4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Одного контрольного пробега</w:t>
            </w:r>
          </w:p>
          <w:p w14:paraId="5F5C50D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57" w:type="dxa"/>
            <w:tcBorders>
              <w:top w:val="single" w:sz="6" w:space="0" w:color="auto"/>
              <w:left w:val="single" w:sz="6" w:space="0" w:color="auto"/>
              <w:bottom w:val="single" w:sz="6" w:space="0" w:color="auto"/>
              <w:right w:val="single" w:sz="6" w:space="0" w:color="auto"/>
            </w:tcBorders>
          </w:tcPr>
          <w:p w14:paraId="73957F3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Двух контрольных пробегов</w:t>
            </w:r>
          </w:p>
          <w:p w14:paraId="493DAB7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30" w:type="dxa"/>
            <w:tcBorders>
              <w:top w:val="single" w:sz="6" w:space="0" w:color="auto"/>
              <w:left w:val="single" w:sz="6" w:space="0" w:color="auto"/>
              <w:bottom w:val="single" w:sz="6" w:space="0" w:color="auto"/>
              <w:right w:val="single" w:sz="6" w:space="0" w:color="auto"/>
            </w:tcBorders>
          </w:tcPr>
          <w:p w14:paraId="5DE8738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Трех и более контрольных пробегов</w:t>
            </w:r>
          </w:p>
          <w:p w14:paraId="39A43CA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93" w:type="dxa"/>
            <w:tcBorders>
              <w:top w:val="single" w:sz="6" w:space="0" w:color="auto"/>
              <w:left w:val="single" w:sz="6" w:space="0" w:color="auto"/>
              <w:bottom w:val="single" w:sz="6" w:space="0" w:color="auto"/>
              <w:right w:val="single" w:sz="6" w:space="0" w:color="auto"/>
            </w:tcBorders>
          </w:tcPr>
          <w:p w14:paraId="6CB7F19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танков, назначенных в контрольный пробег</w:t>
            </w:r>
          </w:p>
          <w:p w14:paraId="67BC11A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BF77EF2" w14:textId="77777777">
        <w:trPr>
          <w:trHeight w:val="682"/>
        </w:trPr>
        <w:tc>
          <w:tcPr>
            <w:tcW w:w="1123" w:type="dxa"/>
            <w:tcBorders>
              <w:top w:val="single" w:sz="6" w:space="0" w:color="auto"/>
              <w:left w:val="single" w:sz="6" w:space="0" w:color="auto"/>
              <w:bottom w:val="single" w:sz="6" w:space="0" w:color="auto"/>
              <w:right w:val="single" w:sz="6" w:space="0" w:color="auto"/>
            </w:tcBorders>
          </w:tcPr>
          <w:p w14:paraId="1C88051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КВ Т-34 Т-70</w:t>
            </w:r>
          </w:p>
          <w:p w14:paraId="29381D0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8BF191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70,0 87,6 54,7</w:t>
            </w:r>
          </w:p>
          <w:p w14:paraId="06328F5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61" w:type="dxa"/>
            <w:tcBorders>
              <w:top w:val="single" w:sz="6" w:space="0" w:color="auto"/>
              <w:left w:val="single" w:sz="6" w:space="0" w:color="auto"/>
              <w:bottom w:val="single" w:sz="6" w:space="0" w:color="auto"/>
              <w:right w:val="single" w:sz="6" w:space="0" w:color="auto"/>
            </w:tcBorders>
          </w:tcPr>
          <w:p w14:paraId="5CB23D2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23,4 10,5 31,5</w:t>
            </w:r>
          </w:p>
          <w:p w14:paraId="3CE193C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57" w:type="dxa"/>
            <w:tcBorders>
              <w:top w:val="single" w:sz="6" w:space="0" w:color="auto"/>
              <w:left w:val="single" w:sz="6" w:space="0" w:color="auto"/>
              <w:bottom w:val="single" w:sz="6" w:space="0" w:color="auto"/>
              <w:right w:val="single" w:sz="6" w:space="0" w:color="auto"/>
            </w:tcBorders>
          </w:tcPr>
          <w:p w14:paraId="34EF2E7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5,6 1,3 9,5</w:t>
            </w:r>
          </w:p>
          <w:p w14:paraId="56D701D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30" w:type="dxa"/>
            <w:tcBorders>
              <w:top w:val="single" w:sz="6" w:space="0" w:color="auto"/>
              <w:left w:val="single" w:sz="6" w:space="0" w:color="auto"/>
              <w:bottom w:val="single" w:sz="6" w:space="0" w:color="auto"/>
              <w:right w:val="single" w:sz="6" w:space="0" w:color="auto"/>
            </w:tcBorders>
          </w:tcPr>
          <w:p w14:paraId="116DA6A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1,0 0,6 4,3</w:t>
            </w:r>
          </w:p>
          <w:p w14:paraId="369F854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93" w:type="dxa"/>
            <w:tcBorders>
              <w:top w:val="single" w:sz="6" w:space="0" w:color="auto"/>
              <w:left w:val="single" w:sz="6" w:space="0" w:color="auto"/>
              <w:bottom w:val="single" w:sz="6" w:space="0" w:color="auto"/>
              <w:right w:val="single" w:sz="6" w:space="0" w:color="auto"/>
            </w:tcBorders>
          </w:tcPr>
          <w:p w14:paraId="20C8AD2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30,0 12,4 45,3</w:t>
            </w:r>
          </w:p>
          <w:p w14:paraId="4DA7085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00CDCA2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танков Т-34, назначенных в повторные контрольные пробеги, по заводам изготовителям со</w:t>
      </w:r>
      <w:r w:rsidRPr="007224C3">
        <w:rPr>
          <w:rFonts w:ascii="Times New Roman" w:hAnsi="Times New Roman"/>
          <w:color w:val="000000" w:themeColor="text1"/>
          <w:sz w:val="16"/>
          <w:szCs w:val="16"/>
        </w:rPr>
        <w:softHyphen/>
        <w:t>ставил: Кировский завод - 11,7%, завод №183-10,8%, завод №112-17,7%, завод №174-11,8% и Уралмашзавод — 18,5%.</w:t>
      </w:r>
    </w:p>
    <w:p w14:paraId="71D0210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приемо-сдаточных пробеговых испытаниях было обнаружено большое количество следую</w:t>
      </w:r>
      <w:r w:rsidRPr="007224C3">
        <w:rPr>
          <w:rFonts w:ascii="Times New Roman" w:hAnsi="Times New Roman"/>
          <w:color w:val="000000" w:themeColor="text1"/>
          <w:sz w:val="16"/>
          <w:szCs w:val="16"/>
        </w:rPr>
        <w:softHyphen/>
        <w:t>щих основных дефектов:</w:t>
      </w:r>
    </w:p>
    <w:p w14:paraId="588F65C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Течь через сальниковые уплотнения.</w:t>
      </w:r>
    </w:p>
    <w:p w14:paraId="10415CA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Частые разрегулировки приводов управления.</w:t>
      </w:r>
    </w:p>
    <w:p w14:paraId="368BBA0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Выход из строя контрольных приборов.</w:t>
      </w:r>
    </w:p>
    <w:p w14:paraId="296C45B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 Разрушение шестерен коробки перемены передач (особенно на танках завода №174) и дру</w:t>
      </w:r>
      <w:r w:rsidRPr="007224C3">
        <w:rPr>
          <w:rFonts w:ascii="Times New Roman" w:hAnsi="Times New Roman"/>
          <w:color w:val="000000" w:themeColor="text1"/>
          <w:sz w:val="16"/>
          <w:szCs w:val="16"/>
        </w:rPr>
        <w:softHyphen/>
        <w:t>гие.</w:t>
      </w:r>
    </w:p>
    <w:p w14:paraId="39BBF0B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Испытания танков пробегом на 300 км за период апрель-декабрь 1943 года дали следующие результаты:</w:t>
      </w:r>
    </w:p>
    <w:tbl>
      <w:tblPr>
        <w:tblW w:w="0" w:type="auto"/>
        <w:tblInd w:w="40" w:type="dxa"/>
        <w:tblLayout w:type="fixed"/>
        <w:tblCellMar>
          <w:left w:w="40" w:type="dxa"/>
          <w:right w:w="40" w:type="dxa"/>
        </w:tblCellMar>
        <w:tblLook w:val="0000" w:firstRow="0" w:lastRow="0" w:firstColumn="0" w:lastColumn="0" w:noHBand="0" w:noVBand="0"/>
      </w:tblPr>
      <w:tblGrid>
        <w:gridCol w:w="1987"/>
        <w:gridCol w:w="1430"/>
        <w:gridCol w:w="1440"/>
        <w:gridCol w:w="1200"/>
        <w:gridCol w:w="1286"/>
        <w:gridCol w:w="2198"/>
      </w:tblGrid>
      <w:tr w:rsidR="005106D0" w:rsidRPr="007224C3" w14:paraId="19F749DB" w14:textId="77777777">
        <w:trPr>
          <w:trHeight w:val="240"/>
        </w:trPr>
        <w:tc>
          <w:tcPr>
            <w:tcW w:w="1987" w:type="dxa"/>
            <w:tcBorders>
              <w:top w:val="single" w:sz="6" w:space="0" w:color="auto"/>
              <w:left w:val="single" w:sz="6" w:space="0" w:color="auto"/>
              <w:bottom w:val="nil"/>
              <w:right w:val="single" w:sz="6" w:space="0" w:color="auto"/>
            </w:tcBorders>
          </w:tcPr>
          <w:p w14:paraId="7A0DCDB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изготовитель</w:t>
            </w:r>
          </w:p>
          <w:p w14:paraId="7E9A5C7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30" w:type="dxa"/>
            <w:tcBorders>
              <w:top w:val="single" w:sz="6" w:space="0" w:color="auto"/>
              <w:left w:val="single" w:sz="6" w:space="0" w:color="auto"/>
              <w:bottom w:val="nil"/>
              <w:right w:val="single" w:sz="6" w:space="0" w:color="auto"/>
            </w:tcBorders>
          </w:tcPr>
          <w:p w14:paraId="02D94F4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Тип танка</w:t>
            </w:r>
          </w:p>
          <w:p w14:paraId="65C2B30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nil"/>
              <w:right w:val="single" w:sz="6" w:space="0" w:color="auto"/>
            </w:tcBorders>
          </w:tcPr>
          <w:p w14:paraId="795BE14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Количество испытанных танков</w:t>
            </w:r>
          </w:p>
          <w:p w14:paraId="54DE2C5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86" w:type="dxa"/>
            <w:gridSpan w:val="2"/>
            <w:tcBorders>
              <w:top w:val="single" w:sz="6" w:space="0" w:color="auto"/>
              <w:left w:val="single" w:sz="6" w:space="0" w:color="auto"/>
              <w:bottom w:val="single" w:sz="6" w:space="0" w:color="auto"/>
              <w:right w:val="single" w:sz="6" w:space="0" w:color="auto"/>
            </w:tcBorders>
          </w:tcPr>
          <w:p w14:paraId="6A57233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 них испытания:</w:t>
            </w:r>
          </w:p>
          <w:p w14:paraId="2BEF2EF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98" w:type="dxa"/>
            <w:tcBorders>
              <w:top w:val="single" w:sz="6" w:space="0" w:color="auto"/>
              <w:left w:val="single" w:sz="6" w:space="0" w:color="auto"/>
              <w:bottom w:val="nil"/>
              <w:right w:val="single" w:sz="6" w:space="0" w:color="auto"/>
            </w:tcBorders>
          </w:tcPr>
          <w:p w14:paraId="11E91A0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танков, не выдержавших испытания</w:t>
            </w:r>
          </w:p>
          <w:p w14:paraId="3698AB7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AF6DBAC" w14:textId="77777777">
        <w:trPr>
          <w:trHeight w:val="182"/>
        </w:trPr>
        <w:tc>
          <w:tcPr>
            <w:tcW w:w="1987" w:type="dxa"/>
            <w:tcBorders>
              <w:top w:val="nil"/>
              <w:left w:val="single" w:sz="6" w:space="0" w:color="auto"/>
              <w:bottom w:val="single" w:sz="6" w:space="0" w:color="auto"/>
              <w:right w:val="single" w:sz="6" w:space="0" w:color="auto"/>
            </w:tcBorders>
          </w:tcPr>
          <w:p w14:paraId="3ED9049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690F66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430" w:type="dxa"/>
            <w:tcBorders>
              <w:top w:val="nil"/>
              <w:left w:val="single" w:sz="6" w:space="0" w:color="auto"/>
              <w:bottom w:val="single" w:sz="6" w:space="0" w:color="auto"/>
              <w:right w:val="single" w:sz="6" w:space="0" w:color="auto"/>
            </w:tcBorders>
          </w:tcPr>
          <w:p w14:paraId="2248E0E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0E996F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single" w:sz="6" w:space="0" w:color="auto"/>
              <w:right w:val="single" w:sz="6" w:space="0" w:color="auto"/>
            </w:tcBorders>
          </w:tcPr>
          <w:p w14:paraId="7C51B51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59DC72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single" w:sz="6" w:space="0" w:color="auto"/>
              <w:left w:val="single" w:sz="6" w:space="0" w:color="auto"/>
              <w:bottom w:val="single" w:sz="6" w:space="0" w:color="auto"/>
              <w:right w:val="single" w:sz="6" w:space="0" w:color="auto"/>
            </w:tcBorders>
          </w:tcPr>
          <w:p w14:paraId="70EE87E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Выдержали</w:t>
            </w:r>
          </w:p>
          <w:p w14:paraId="09E157A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24EB8EB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 выдержали</w:t>
            </w:r>
          </w:p>
          <w:p w14:paraId="7BCF949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98" w:type="dxa"/>
            <w:tcBorders>
              <w:top w:val="nil"/>
              <w:left w:val="single" w:sz="6" w:space="0" w:color="auto"/>
              <w:bottom w:val="single" w:sz="6" w:space="0" w:color="auto"/>
              <w:right w:val="single" w:sz="6" w:space="0" w:color="auto"/>
            </w:tcBorders>
          </w:tcPr>
          <w:p w14:paraId="6583697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71347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91AC09C" w14:textId="77777777">
        <w:trPr>
          <w:trHeight w:val="202"/>
        </w:trPr>
        <w:tc>
          <w:tcPr>
            <w:tcW w:w="1987" w:type="dxa"/>
            <w:tcBorders>
              <w:top w:val="single" w:sz="6" w:space="0" w:color="auto"/>
              <w:left w:val="single" w:sz="6" w:space="0" w:color="auto"/>
              <w:bottom w:val="nil"/>
              <w:right w:val="single" w:sz="6" w:space="0" w:color="auto"/>
            </w:tcBorders>
          </w:tcPr>
          <w:p w14:paraId="6B564DE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Кировский завод апрель-август</w:t>
            </w:r>
          </w:p>
          <w:p w14:paraId="68F7202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30" w:type="dxa"/>
            <w:tcBorders>
              <w:top w:val="single" w:sz="6" w:space="0" w:color="auto"/>
              <w:left w:val="single" w:sz="6" w:space="0" w:color="auto"/>
              <w:bottom w:val="nil"/>
              <w:right w:val="single" w:sz="6" w:space="0" w:color="auto"/>
            </w:tcBorders>
          </w:tcPr>
          <w:p w14:paraId="6B989F6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КВ-1с</w:t>
            </w:r>
          </w:p>
          <w:p w14:paraId="59271CB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nil"/>
              <w:right w:val="single" w:sz="6" w:space="0" w:color="auto"/>
            </w:tcBorders>
          </w:tcPr>
          <w:p w14:paraId="4C854F4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w:t>
            </w:r>
          </w:p>
          <w:p w14:paraId="313E41F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single" w:sz="6" w:space="0" w:color="auto"/>
              <w:left w:val="single" w:sz="6" w:space="0" w:color="auto"/>
              <w:bottom w:val="nil"/>
              <w:right w:val="single" w:sz="6" w:space="0" w:color="auto"/>
            </w:tcBorders>
          </w:tcPr>
          <w:p w14:paraId="3C76446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w:t>
            </w:r>
          </w:p>
          <w:p w14:paraId="202BE84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nil"/>
              <w:right w:val="single" w:sz="6" w:space="0" w:color="auto"/>
            </w:tcBorders>
          </w:tcPr>
          <w:p w14:paraId="4F7BE8F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w:t>
            </w:r>
          </w:p>
          <w:p w14:paraId="5FA4B2B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98" w:type="dxa"/>
            <w:tcBorders>
              <w:top w:val="single" w:sz="6" w:space="0" w:color="auto"/>
              <w:left w:val="single" w:sz="6" w:space="0" w:color="auto"/>
              <w:bottom w:val="nil"/>
              <w:right w:val="single" w:sz="6" w:space="0" w:color="auto"/>
            </w:tcBorders>
          </w:tcPr>
          <w:p w14:paraId="4C6889F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100,0</w:t>
            </w:r>
          </w:p>
          <w:p w14:paraId="6181BC1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F1BDAA3" w14:textId="77777777">
        <w:trPr>
          <w:trHeight w:val="202"/>
        </w:trPr>
        <w:tc>
          <w:tcPr>
            <w:tcW w:w="1987" w:type="dxa"/>
            <w:tcBorders>
              <w:top w:val="nil"/>
              <w:left w:val="single" w:sz="6" w:space="0" w:color="auto"/>
              <w:bottom w:val="nil"/>
              <w:right w:val="single" w:sz="6" w:space="0" w:color="auto"/>
            </w:tcBorders>
          </w:tcPr>
          <w:p w14:paraId="225C083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Кировский завод апрель-август</w:t>
            </w:r>
          </w:p>
          <w:p w14:paraId="3FB44D9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30" w:type="dxa"/>
            <w:tcBorders>
              <w:top w:val="nil"/>
              <w:left w:val="single" w:sz="6" w:space="0" w:color="auto"/>
              <w:bottom w:val="nil"/>
              <w:right w:val="single" w:sz="6" w:space="0" w:color="auto"/>
            </w:tcBorders>
          </w:tcPr>
          <w:p w14:paraId="0311A6B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Т-34</w:t>
            </w:r>
          </w:p>
          <w:p w14:paraId="5735CD4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nil"/>
              <w:right w:val="single" w:sz="6" w:space="0" w:color="auto"/>
            </w:tcBorders>
          </w:tcPr>
          <w:p w14:paraId="46107D2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w:t>
            </w:r>
          </w:p>
          <w:p w14:paraId="019EFF2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nil"/>
              <w:left w:val="single" w:sz="6" w:space="0" w:color="auto"/>
              <w:bottom w:val="nil"/>
              <w:right w:val="single" w:sz="6" w:space="0" w:color="auto"/>
            </w:tcBorders>
          </w:tcPr>
          <w:p w14:paraId="4BAFC39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w:t>
            </w:r>
          </w:p>
          <w:p w14:paraId="30EFC08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nil"/>
              <w:left w:val="single" w:sz="6" w:space="0" w:color="auto"/>
              <w:bottom w:val="nil"/>
              <w:right w:val="single" w:sz="6" w:space="0" w:color="auto"/>
            </w:tcBorders>
          </w:tcPr>
          <w:p w14:paraId="78B9578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w:t>
            </w:r>
          </w:p>
          <w:p w14:paraId="795FAC2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98" w:type="dxa"/>
            <w:tcBorders>
              <w:top w:val="nil"/>
              <w:left w:val="single" w:sz="6" w:space="0" w:color="auto"/>
              <w:bottom w:val="nil"/>
              <w:right w:val="single" w:sz="6" w:space="0" w:color="auto"/>
            </w:tcBorders>
          </w:tcPr>
          <w:p w14:paraId="665B895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65,0</w:t>
            </w:r>
          </w:p>
          <w:p w14:paraId="60AFB0B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C74B0C6" w14:textId="77777777">
        <w:trPr>
          <w:trHeight w:val="182"/>
        </w:trPr>
        <w:tc>
          <w:tcPr>
            <w:tcW w:w="1987" w:type="dxa"/>
            <w:tcBorders>
              <w:top w:val="nil"/>
              <w:left w:val="single" w:sz="6" w:space="0" w:color="auto"/>
              <w:bottom w:val="nil"/>
              <w:right w:val="single" w:sz="6" w:space="0" w:color="auto"/>
            </w:tcBorders>
          </w:tcPr>
          <w:p w14:paraId="7A9F7DD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№183</w:t>
            </w:r>
          </w:p>
          <w:p w14:paraId="53ABD77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30" w:type="dxa"/>
            <w:tcBorders>
              <w:top w:val="nil"/>
              <w:left w:val="single" w:sz="6" w:space="0" w:color="auto"/>
              <w:bottom w:val="nil"/>
              <w:right w:val="single" w:sz="6" w:space="0" w:color="auto"/>
            </w:tcBorders>
          </w:tcPr>
          <w:p w14:paraId="0276680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Т-34</w:t>
            </w:r>
          </w:p>
          <w:p w14:paraId="1381559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nil"/>
              <w:right w:val="single" w:sz="6" w:space="0" w:color="auto"/>
            </w:tcBorders>
          </w:tcPr>
          <w:p w14:paraId="63BD708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58</w:t>
            </w:r>
          </w:p>
          <w:p w14:paraId="7592C06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nil"/>
              <w:left w:val="single" w:sz="6" w:space="0" w:color="auto"/>
              <w:bottom w:val="nil"/>
              <w:right w:val="single" w:sz="6" w:space="0" w:color="auto"/>
            </w:tcBorders>
          </w:tcPr>
          <w:p w14:paraId="19EB6B8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w:t>
            </w:r>
          </w:p>
          <w:p w14:paraId="77892B0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nil"/>
              <w:left w:val="single" w:sz="6" w:space="0" w:color="auto"/>
              <w:bottom w:val="nil"/>
              <w:right w:val="single" w:sz="6" w:space="0" w:color="auto"/>
            </w:tcBorders>
          </w:tcPr>
          <w:p w14:paraId="6444979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33</w:t>
            </w:r>
          </w:p>
          <w:p w14:paraId="367852F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98" w:type="dxa"/>
            <w:tcBorders>
              <w:top w:val="nil"/>
              <w:left w:val="single" w:sz="6" w:space="0" w:color="auto"/>
              <w:bottom w:val="nil"/>
              <w:right w:val="single" w:sz="6" w:space="0" w:color="auto"/>
            </w:tcBorders>
          </w:tcPr>
          <w:p w14:paraId="4114E3F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57,0</w:t>
            </w:r>
          </w:p>
          <w:p w14:paraId="597B5B9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A09718D" w14:textId="77777777">
        <w:trPr>
          <w:trHeight w:val="202"/>
        </w:trPr>
        <w:tc>
          <w:tcPr>
            <w:tcW w:w="1987" w:type="dxa"/>
            <w:tcBorders>
              <w:top w:val="nil"/>
              <w:left w:val="single" w:sz="6" w:space="0" w:color="auto"/>
              <w:bottom w:val="nil"/>
              <w:right w:val="single" w:sz="6" w:space="0" w:color="auto"/>
            </w:tcBorders>
          </w:tcPr>
          <w:p w14:paraId="53AE99B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№112</w:t>
            </w:r>
          </w:p>
          <w:p w14:paraId="6C4C9A3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30" w:type="dxa"/>
            <w:tcBorders>
              <w:top w:val="nil"/>
              <w:left w:val="single" w:sz="6" w:space="0" w:color="auto"/>
              <w:bottom w:val="nil"/>
              <w:right w:val="single" w:sz="6" w:space="0" w:color="auto"/>
            </w:tcBorders>
          </w:tcPr>
          <w:p w14:paraId="51C5E0F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Т-34</w:t>
            </w:r>
          </w:p>
          <w:p w14:paraId="2F533BD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nil"/>
              <w:right w:val="single" w:sz="6" w:space="0" w:color="auto"/>
            </w:tcBorders>
          </w:tcPr>
          <w:p w14:paraId="272A989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w:t>
            </w:r>
          </w:p>
          <w:p w14:paraId="282CC6A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nil"/>
              <w:left w:val="single" w:sz="6" w:space="0" w:color="auto"/>
              <w:bottom w:val="nil"/>
              <w:right w:val="single" w:sz="6" w:space="0" w:color="auto"/>
            </w:tcBorders>
          </w:tcPr>
          <w:p w14:paraId="58CCC5E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w:t>
            </w:r>
          </w:p>
          <w:p w14:paraId="42D24B8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nil"/>
              <w:left w:val="single" w:sz="6" w:space="0" w:color="auto"/>
              <w:bottom w:val="nil"/>
              <w:right w:val="single" w:sz="6" w:space="0" w:color="auto"/>
            </w:tcBorders>
          </w:tcPr>
          <w:p w14:paraId="18A91F0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w:t>
            </w:r>
          </w:p>
          <w:p w14:paraId="2B17982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98" w:type="dxa"/>
            <w:tcBorders>
              <w:top w:val="nil"/>
              <w:left w:val="single" w:sz="6" w:space="0" w:color="auto"/>
              <w:bottom w:val="nil"/>
              <w:right w:val="single" w:sz="6" w:space="0" w:color="auto"/>
            </w:tcBorders>
          </w:tcPr>
          <w:p w14:paraId="4335A0E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41,6</w:t>
            </w:r>
          </w:p>
          <w:p w14:paraId="7B6AC4B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B3046C3" w14:textId="77777777">
        <w:trPr>
          <w:trHeight w:val="202"/>
        </w:trPr>
        <w:tc>
          <w:tcPr>
            <w:tcW w:w="1987" w:type="dxa"/>
            <w:tcBorders>
              <w:top w:val="nil"/>
              <w:left w:val="single" w:sz="6" w:space="0" w:color="auto"/>
              <w:bottom w:val="nil"/>
              <w:right w:val="single" w:sz="6" w:space="0" w:color="auto"/>
            </w:tcBorders>
          </w:tcPr>
          <w:p w14:paraId="67561CB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№174</w:t>
            </w:r>
          </w:p>
          <w:p w14:paraId="6D997BC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30" w:type="dxa"/>
            <w:tcBorders>
              <w:top w:val="nil"/>
              <w:left w:val="single" w:sz="6" w:space="0" w:color="auto"/>
              <w:bottom w:val="nil"/>
              <w:right w:val="single" w:sz="6" w:space="0" w:color="auto"/>
            </w:tcBorders>
          </w:tcPr>
          <w:p w14:paraId="342EDB4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Т-34</w:t>
            </w:r>
          </w:p>
          <w:p w14:paraId="049E5BF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nil"/>
              <w:right w:val="single" w:sz="6" w:space="0" w:color="auto"/>
            </w:tcBorders>
          </w:tcPr>
          <w:p w14:paraId="4A3A657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w:t>
            </w:r>
          </w:p>
          <w:p w14:paraId="3D53B7E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nil"/>
              <w:left w:val="single" w:sz="6" w:space="0" w:color="auto"/>
              <w:bottom w:val="nil"/>
              <w:right w:val="single" w:sz="6" w:space="0" w:color="auto"/>
            </w:tcBorders>
          </w:tcPr>
          <w:p w14:paraId="4FC24CA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w:t>
            </w:r>
          </w:p>
          <w:p w14:paraId="6C030CD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nil"/>
              <w:left w:val="single" w:sz="6" w:space="0" w:color="auto"/>
              <w:bottom w:val="nil"/>
              <w:right w:val="single" w:sz="6" w:space="0" w:color="auto"/>
            </w:tcBorders>
          </w:tcPr>
          <w:p w14:paraId="4C11599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w:t>
            </w:r>
          </w:p>
          <w:p w14:paraId="50A6F7D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98" w:type="dxa"/>
            <w:tcBorders>
              <w:top w:val="nil"/>
              <w:left w:val="single" w:sz="6" w:space="0" w:color="auto"/>
              <w:bottom w:val="nil"/>
              <w:right w:val="single" w:sz="6" w:space="0" w:color="auto"/>
            </w:tcBorders>
          </w:tcPr>
          <w:p w14:paraId="307F6C0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69,2</w:t>
            </w:r>
          </w:p>
          <w:p w14:paraId="235FBF0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4B0AE80" w14:textId="77777777">
        <w:trPr>
          <w:trHeight w:val="192"/>
        </w:trPr>
        <w:tc>
          <w:tcPr>
            <w:tcW w:w="1987" w:type="dxa"/>
            <w:tcBorders>
              <w:top w:val="nil"/>
              <w:left w:val="single" w:sz="6" w:space="0" w:color="auto"/>
              <w:bottom w:val="nil"/>
              <w:right w:val="single" w:sz="6" w:space="0" w:color="auto"/>
            </w:tcBorders>
          </w:tcPr>
          <w:p w14:paraId="76176AC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w:t>
            </w:r>
          </w:p>
          <w:p w14:paraId="7B690AA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30" w:type="dxa"/>
            <w:tcBorders>
              <w:top w:val="nil"/>
              <w:left w:val="single" w:sz="6" w:space="0" w:color="auto"/>
              <w:bottom w:val="nil"/>
              <w:right w:val="single" w:sz="6" w:space="0" w:color="auto"/>
            </w:tcBorders>
          </w:tcPr>
          <w:p w14:paraId="07CA439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Т-34</w:t>
            </w:r>
          </w:p>
          <w:p w14:paraId="758EF39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nil"/>
              <w:right w:val="single" w:sz="6" w:space="0" w:color="auto"/>
            </w:tcBorders>
          </w:tcPr>
          <w:p w14:paraId="08246AA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115</w:t>
            </w:r>
          </w:p>
          <w:p w14:paraId="781C97D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nil"/>
              <w:left w:val="single" w:sz="6" w:space="0" w:color="auto"/>
              <w:bottom w:val="nil"/>
              <w:right w:val="single" w:sz="6" w:space="0" w:color="auto"/>
            </w:tcBorders>
          </w:tcPr>
          <w:p w14:paraId="7BFA8AD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w:t>
            </w:r>
          </w:p>
          <w:p w14:paraId="55AC613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nil"/>
              <w:left w:val="single" w:sz="6" w:space="0" w:color="auto"/>
              <w:bottom w:val="nil"/>
              <w:right w:val="single" w:sz="6" w:space="0" w:color="auto"/>
            </w:tcBorders>
          </w:tcPr>
          <w:p w14:paraId="511B885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65</w:t>
            </w:r>
          </w:p>
          <w:p w14:paraId="2849BB3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98" w:type="dxa"/>
            <w:tcBorders>
              <w:top w:val="nil"/>
              <w:left w:val="single" w:sz="6" w:space="0" w:color="auto"/>
              <w:bottom w:val="nil"/>
              <w:right w:val="single" w:sz="6" w:space="0" w:color="auto"/>
            </w:tcBorders>
          </w:tcPr>
          <w:p w14:paraId="2F9FBF0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43,0</w:t>
            </w:r>
          </w:p>
          <w:p w14:paraId="1E70B3D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3CCB143" w14:textId="77777777">
        <w:trPr>
          <w:trHeight w:val="240"/>
        </w:trPr>
        <w:tc>
          <w:tcPr>
            <w:tcW w:w="1987" w:type="dxa"/>
            <w:tcBorders>
              <w:top w:val="nil"/>
              <w:left w:val="single" w:sz="6" w:space="0" w:color="auto"/>
              <w:bottom w:val="single" w:sz="6" w:space="0" w:color="auto"/>
              <w:right w:val="single" w:sz="6" w:space="0" w:color="auto"/>
            </w:tcBorders>
          </w:tcPr>
          <w:p w14:paraId="69234B7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ГАЗ им. Молотова апрель-август</w:t>
            </w:r>
          </w:p>
          <w:p w14:paraId="0A126AA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30" w:type="dxa"/>
            <w:tcBorders>
              <w:top w:val="nil"/>
              <w:left w:val="single" w:sz="6" w:space="0" w:color="auto"/>
              <w:bottom w:val="single" w:sz="6" w:space="0" w:color="auto"/>
              <w:right w:val="single" w:sz="6" w:space="0" w:color="auto"/>
            </w:tcBorders>
          </w:tcPr>
          <w:p w14:paraId="7F921D0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Т-70</w:t>
            </w:r>
          </w:p>
          <w:p w14:paraId="23713EC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single" w:sz="6" w:space="0" w:color="auto"/>
              <w:right w:val="single" w:sz="6" w:space="0" w:color="auto"/>
            </w:tcBorders>
          </w:tcPr>
          <w:p w14:paraId="4A826E6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w:t>
            </w:r>
          </w:p>
          <w:p w14:paraId="08D12C0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nil"/>
              <w:left w:val="single" w:sz="6" w:space="0" w:color="auto"/>
              <w:bottom w:val="single" w:sz="6" w:space="0" w:color="auto"/>
              <w:right w:val="single" w:sz="6" w:space="0" w:color="auto"/>
            </w:tcBorders>
          </w:tcPr>
          <w:p w14:paraId="5B9393A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w:t>
            </w:r>
          </w:p>
          <w:p w14:paraId="4794A94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nil"/>
              <w:left w:val="single" w:sz="6" w:space="0" w:color="auto"/>
              <w:bottom w:val="single" w:sz="6" w:space="0" w:color="auto"/>
              <w:right w:val="single" w:sz="6" w:space="0" w:color="auto"/>
            </w:tcBorders>
          </w:tcPr>
          <w:p w14:paraId="2D2F4F2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w:t>
            </w:r>
          </w:p>
          <w:p w14:paraId="0AFB774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98" w:type="dxa"/>
            <w:tcBorders>
              <w:top w:val="nil"/>
              <w:left w:val="single" w:sz="6" w:space="0" w:color="auto"/>
              <w:bottom w:val="single" w:sz="6" w:space="0" w:color="auto"/>
              <w:right w:val="single" w:sz="6" w:space="0" w:color="auto"/>
            </w:tcBorders>
          </w:tcPr>
          <w:p w14:paraId="6C1B09B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33,3</w:t>
            </w:r>
          </w:p>
          <w:p w14:paraId="6451DE5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4EB92D8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 результатов испытаний танков пробегами на 300 км видно, что большая часть танков испы</w:t>
      </w:r>
      <w:r w:rsidRPr="007224C3">
        <w:rPr>
          <w:rFonts w:ascii="Times New Roman" w:hAnsi="Times New Roman"/>
          <w:color w:val="000000" w:themeColor="text1"/>
          <w:sz w:val="16"/>
          <w:szCs w:val="16"/>
        </w:rPr>
        <w:softHyphen/>
        <w:t>таний не выдержала.</w:t>
      </w:r>
    </w:p>
    <w:p w14:paraId="3113A9B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этих испытаниях имели место как дефекты, обнаруженные в приемо-сдаточных пробегах на 50 км, так и более серьезные дефекты узлов агрегатов: выход из строя главных фрикционов, ко</w:t>
      </w:r>
      <w:r w:rsidRPr="007224C3">
        <w:rPr>
          <w:rFonts w:ascii="Times New Roman" w:hAnsi="Times New Roman"/>
          <w:color w:val="000000" w:themeColor="text1"/>
          <w:sz w:val="16"/>
          <w:szCs w:val="16"/>
        </w:rPr>
        <w:softHyphen/>
        <w:t>робок перемены передач (особенно на танках изготовления завода №174), осей роликов ведущих колес и другие.</w:t>
      </w:r>
    </w:p>
    <w:p w14:paraId="5A62DB5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Испытания танков на гарантийный километраж за период апрель-декабрь 1943 года дали сле</w:t>
      </w:r>
      <w:r w:rsidRPr="007224C3">
        <w:rPr>
          <w:rFonts w:ascii="Times New Roman" w:hAnsi="Times New Roman"/>
          <w:color w:val="000000" w:themeColor="text1"/>
          <w:sz w:val="16"/>
          <w:szCs w:val="16"/>
        </w:rPr>
        <w:softHyphen/>
        <w:t>дующие результаты:</w:t>
      </w:r>
    </w:p>
    <w:tbl>
      <w:tblPr>
        <w:tblW w:w="0" w:type="auto"/>
        <w:tblInd w:w="40" w:type="dxa"/>
        <w:tblLayout w:type="fixed"/>
        <w:tblCellMar>
          <w:left w:w="40" w:type="dxa"/>
          <w:right w:w="40" w:type="dxa"/>
        </w:tblCellMar>
        <w:tblLook w:val="0000" w:firstRow="0" w:lastRow="0" w:firstColumn="0" w:lastColumn="0" w:noHBand="0" w:noVBand="0"/>
      </w:tblPr>
      <w:tblGrid>
        <w:gridCol w:w="2102"/>
        <w:gridCol w:w="1440"/>
        <w:gridCol w:w="1440"/>
        <w:gridCol w:w="1171"/>
        <w:gridCol w:w="1325"/>
        <w:gridCol w:w="2160"/>
      </w:tblGrid>
      <w:tr w:rsidR="005106D0" w:rsidRPr="007224C3" w14:paraId="403BF53D" w14:textId="77777777">
        <w:trPr>
          <w:trHeight w:val="250"/>
        </w:trPr>
        <w:tc>
          <w:tcPr>
            <w:tcW w:w="2102" w:type="dxa"/>
            <w:tcBorders>
              <w:top w:val="single" w:sz="6" w:space="0" w:color="auto"/>
              <w:left w:val="single" w:sz="6" w:space="0" w:color="auto"/>
              <w:bottom w:val="nil"/>
              <w:right w:val="single" w:sz="6" w:space="0" w:color="auto"/>
            </w:tcBorders>
          </w:tcPr>
          <w:p w14:paraId="1D85C79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изготовитель</w:t>
            </w:r>
          </w:p>
          <w:p w14:paraId="3045BE2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nil"/>
              <w:right w:val="single" w:sz="6" w:space="0" w:color="auto"/>
            </w:tcBorders>
          </w:tcPr>
          <w:p w14:paraId="7E9D762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Тип танка</w:t>
            </w:r>
          </w:p>
          <w:p w14:paraId="79CB6E2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nil"/>
              <w:right w:val="single" w:sz="6" w:space="0" w:color="auto"/>
            </w:tcBorders>
          </w:tcPr>
          <w:p w14:paraId="0C4E4EF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Количество испытанных танков</w:t>
            </w:r>
          </w:p>
          <w:p w14:paraId="3337865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96" w:type="dxa"/>
            <w:gridSpan w:val="2"/>
            <w:tcBorders>
              <w:top w:val="single" w:sz="6" w:space="0" w:color="auto"/>
              <w:left w:val="single" w:sz="6" w:space="0" w:color="auto"/>
              <w:bottom w:val="single" w:sz="6" w:space="0" w:color="auto"/>
              <w:right w:val="single" w:sz="6" w:space="0" w:color="auto"/>
            </w:tcBorders>
          </w:tcPr>
          <w:p w14:paraId="742964B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 них испытания:</w:t>
            </w:r>
          </w:p>
          <w:p w14:paraId="7309814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single" w:sz="6" w:space="0" w:color="auto"/>
              <w:left w:val="single" w:sz="6" w:space="0" w:color="auto"/>
              <w:bottom w:val="nil"/>
              <w:right w:val="single" w:sz="6" w:space="0" w:color="auto"/>
            </w:tcBorders>
          </w:tcPr>
          <w:p w14:paraId="4EB1F8B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танков, не выдержавших испытания</w:t>
            </w:r>
          </w:p>
          <w:p w14:paraId="1C9FF9B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30D3FF0" w14:textId="77777777">
        <w:trPr>
          <w:trHeight w:val="182"/>
        </w:trPr>
        <w:tc>
          <w:tcPr>
            <w:tcW w:w="2102" w:type="dxa"/>
            <w:tcBorders>
              <w:top w:val="nil"/>
              <w:left w:val="single" w:sz="6" w:space="0" w:color="auto"/>
              <w:bottom w:val="single" w:sz="6" w:space="0" w:color="auto"/>
              <w:right w:val="single" w:sz="6" w:space="0" w:color="auto"/>
            </w:tcBorders>
          </w:tcPr>
          <w:p w14:paraId="573C067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4D1E7B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single" w:sz="6" w:space="0" w:color="auto"/>
              <w:right w:val="single" w:sz="6" w:space="0" w:color="auto"/>
            </w:tcBorders>
          </w:tcPr>
          <w:p w14:paraId="73B420F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0608AE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single" w:sz="6" w:space="0" w:color="auto"/>
              <w:right w:val="single" w:sz="6" w:space="0" w:color="auto"/>
            </w:tcBorders>
          </w:tcPr>
          <w:p w14:paraId="72BC9E9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91D2AA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7EF9FED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Выдержали</w:t>
            </w:r>
          </w:p>
          <w:p w14:paraId="57B2647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71C4BB2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 выдержали</w:t>
            </w:r>
          </w:p>
          <w:p w14:paraId="234C175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nil"/>
              <w:left w:val="single" w:sz="6" w:space="0" w:color="auto"/>
              <w:bottom w:val="single" w:sz="6" w:space="0" w:color="auto"/>
              <w:right w:val="single" w:sz="6" w:space="0" w:color="auto"/>
            </w:tcBorders>
          </w:tcPr>
          <w:p w14:paraId="3929291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B1B580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444DC78" w14:textId="77777777">
        <w:trPr>
          <w:trHeight w:val="192"/>
        </w:trPr>
        <w:tc>
          <w:tcPr>
            <w:tcW w:w="2102" w:type="dxa"/>
            <w:tcBorders>
              <w:top w:val="single" w:sz="6" w:space="0" w:color="auto"/>
              <w:left w:val="single" w:sz="6" w:space="0" w:color="auto"/>
              <w:bottom w:val="nil"/>
              <w:right w:val="single" w:sz="6" w:space="0" w:color="auto"/>
            </w:tcBorders>
          </w:tcPr>
          <w:p w14:paraId="0E5ABEF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Кировский завод</w:t>
            </w:r>
          </w:p>
          <w:p w14:paraId="4A5CEF5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nil"/>
              <w:right w:val="single" w:sz="6" w:space="0" w:color="auto"/>
            </w:tcBorders>
          </w:tcPr>
          <w:p w14:paraId="6A56756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КВ-1с</w:t>
            </w:r>
          </w:p>
          <w:p w14:paraId="11E2F55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nil"/>
              <w:right w:val="single" w:sz="6" w:space="0" w:color="auto"/>
            </w:tcBorders>
          </w:tcPr>
          <w:p w14:paraId="4AEAED4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p w14:paraId="319DEBD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nil"/>
              <w:right w:val="single" w:sz="6" w:space="0" w:color="auto"/>
            </w:tcBorders>
          </w:tcPr>
          <w:p w14:paraId="126CE37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w:t>
            </w:r>
          </w:p>
          <w:p w14:paraId="765FB9C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nil"/>
              <w:right w:val="single" w:sz="6" w:space="0" w:color="auto"/>
            </w:tcBorders>
          </w:tcPr>
          <w:p w14:paraId="5165F34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p w14:paraId="4F34019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single" w:sz="6" w:space="0" w:color="auto"/>
              <w:left w:val="single" w:sz="6" w:space="0" w:color="auto"/>
              <w:bottom w:val="nil"/>
              <w:right w:val="single" w:sz="6" w:space="0" w:color="auto"/>
            </w:tcBorders>
          </w:tcPr>
          <w:p w14:paraId="192D697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100,0</w:t>
            </w:r>
          </w:p>
          <w:p w14:paraId="7E34379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EA76533" w14:textId="77777777">
        <w:trPr>
          <w:trHeight w:val="202"/>
        </w:trPr>
        <w:tc>
          <w:tcPr>
            <w:tcW w:w="2102" w:type="dxa"/>
            <w:tcBorders>
              <w:top w:val="nil"/>
              <w:left w:val="single" w:sz="6" w:space="0" w:color="auto"/>
              <w:bottom w:val="nil"/>
              <w:right w:val="single" w:sz="6" w:space="0" w:color="auto"/>
            </w:tcBorders>
          </w:tcPr>
          <w:p w14:paraId="50CAA7F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Кировский завод</w:t>
            </w:r>
          </w:p>
          <w:p w14:paraId="099A3CF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nil"/>
              <w:right w:val="single" w:sz="6" w:space="0" w:color="auto"/>
            </w:tcBorders>
          </w:tcPr>
          <w:p w14:paraId="7D21BD3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Т-34</w:t>
            </w:r>
          </w:p>
          <w:p w14:paraId="126435D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nil"/>
              <w:right w:val="single" w:sz="6" w:space="0" w:color="auto"/>
            </w:tcBorders>
          </w:tcPr>
          <w:p w14:paraId="2971D9D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p w14:paraId="0FBFB09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nil"/>
              <w:left w:val="single" w:sz="6" w:space="0" w:color="auto"/>
              <w:bottom w:val="nil"/>
              <w:right w:val="single" w:sz="6" w:space="0" w:color="auto"/>
            </w:tcBorders>
          </w:tcPr>
          <w:p w14:paraId="47E5E79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p w14:paraId="59F1A2A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nil"/>
              <w:left w:val="single" w:sz="6" w:space="0" w:color="auto"/>
              <w:bottom w:val="nil"/>
              <w:right w:val="single" w:sz="6" w:space="0" w:color="auto"/>
            </w:tcBorders>
          </w:tcPr>
          <w:p w14:paraId="25F9DFF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w:t>
            </w:r>
          </w:p>
          <w:p w14:paraId="7E121E3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nil"/>
              <w:left w:val="single" w:sz="6" w:space="0" w:color="auto"/>
              <w:bottom w:val="nil"/>
              <w:right w:val="single" w:sz="6" w:space="0" w:color="auto"/>
            </w:tcBorders>
          </w:tcPr>
          <w:p w14:paraId="181EC84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80,0</w:t>
            </w:r>
          </w:p>
          <w:p w14:paraId="6FF6159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38B21D5" w14:textId="77777777">
        <w:trPr>
          <w:trHeight w:val="192"/>
        </w:trPr>
        <w:tc>
          <w:tcPr>
            <w:tcW w:w="2102" w:type="dxa"/>
            <w:tcBorders>
              <w:top w:val="nil"/>
              <w:left w:val="single" w:sz="6" w:space="0" w:color="auto"/>
              <w:bottom w:val="nil"/>
              <w:right w:val="single" w:sz="6" w:space="0" w:color="auto"/>
            </w:tcBorders>
          </w:tcPr>
          <w:p w14:paraId="06E22E7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№183</w:t>
            </w:r>
          </w:p>
          <w:p w14:paraId="2E1D7C6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nil"/>
              <w:right w:val="single" w:sz="6" w:space="0" w:color="auto"/>
            </w:tcBorders>
          </w:tcPr>
          <w:p w14:paraId="3C392CF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Т-34</w:t>
            </w:r>
          </w:p>
          <w:p w14:paraId="787FD60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nil"/>
              <w:right w:val="single" w:sz="6" w:space="0" w:color="auto"/>
            </w:tcBorders>
          </w:tcPr>
          <w:p w14:paraId="5B41B40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w:t>
            </w:r>
          </w:p>
          <w:p w14:paraId="02A3B43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nil"/>
              <w:left w:val="single" w:sz="6" w:space="0" w:color="auto"/>
              <w:bottom w:val="nil"/>
              <w:right w:val="single" w:sz="6" w:space="0" w:color="auto"/>
            </w:tcBorders>
          </w:tcPr>
          <w:p w14:paraId="5D45E67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w:t>
            </w:r>
          </w:p>
          <w:p w14:paraId="5DA660E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nil"/>
              <w:left w:val="single" w:sz="6" w:space="0" w:color="auto"/>
              <w:bottom w:val="nil"/>
              <w:right w:val="single" w:sz="6" w:space="0" w:color="auto"/>
            </w:tcBorders>
          </w:tcPr>
          <w:p w14:paraId="52E1802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p w14:paraId="2FFEFF8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nil"/>
              <w:left w:val="single" w:sz="6" w:space="0" w:color="auto"/>
              <w:bottom w:val="nil"/>
              <w:right w:val="single" w:sz="6" w:space="0" w:color="auto"/>
            </w:tcBorders>
          </w:tcPr>
          <w:p w14:paraId="649E05A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55,6</w:t>
            </w:r>
          </w:p>
          <w:p w14:paraId="1D4BE48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0B12A01" w14:textId="77777777">
        <w:trPr>
          <w:trHeight w:val="202"/>
        </w:trPr>
        <w:tc>
          <w:tcPr>
            <w:tcW w:w="2102" w:type="dxa"/>
            <w:tcBorders>
              <w:top w:val="nil"/>
              <w:left w:val="single" w:sz="6" w:space="0" w:color="auto"/>
              <w:bottom w:val="nil"/>
              <w:right w:val="single" w:sz="6" w:space="0" w:color="auto"/>
            </w:tcBorders>
          </w:tcPr>
          <w:p w14:paraId="0B9D957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№112</w:t>
            </w:r>
          </w:p>
          <w:p w14:paraId="377C9D3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nil"/>
              <w:right w:val="single" w:sz="6" w:space="0" w:color="auto"/>
            </w:tcBorders>
          </w:tcPr>
          <w:p w14:paraId="42A8721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Т-34</w:t>
            </w:r>
          </w:p>
          <w:p w14:paraId="532EBDA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nil"/>
              <w:right w:val="single" w:sz="6" w:space="0" w:color="auto"/>
            </w:tcBorders>
          </w:tcPr>
          <w:p w14:paraId="432E272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p w14:paraId="5C9FDBB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nil"/>
              <w:left w:val="single" w:sz="6" w:space="0" w:color="auto"/>
              <w:bottom w:val="nil"/>
              <w:right w:val="single" w:sz="6" w:space="0" w:color="auto"/>
            </w:tcBorders>
          </w:tcPr>
          <w:p w14:paraId="7BBC638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p w14:paraId="054220E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nil"/>
              <w:left w:val="single" w:sz="6" w:space="0" w:color="auto"/>
              <w:bottom w:val="nil"/>
              <w:right w:val="single" w:sz="6" w:space="0" w:color="auto"/>
            </w:tcBorders>
          </w:tcPr>
          <w:p w14:paraId="54F5446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p w14:paraId="604E721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nil"/>
              <w:left w:val="single" w:sz="6" w:space="0" w:color="auto"/>
              <w:bottom w:val="nil"/>
              <w:right w:val="single" w:sz="6" w:space="0" w:color="auto"/>
            </w:tcBorders>
          </w:tcPr>
          <w:p w14:paraId="3C7AF50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60,0</w:t>
            </w:r>
          </w:p>
          <w:p w14:paraId="5416FB3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8D2DC19" w14:textId="77777777">
        <w:trPr>
          <w:trHeight w:val="202"/>
        </w:trPr>
        <w:tc>
          <w:tcPr>
            <w:tcW w:w="2102" w:type="dxa"/>
            <w:tcBorders>
              <w:top w:val="nil"/>
              <w:left w:val="single" w:sz="6" w:space="0" w:color="auto"/>
              <w:bottom w:val="nil"/>
              <w:right w:val="single" w:sz="6" w:space="0" w:color="auto"/>
            </w:tcBorders>
          </w:tcPr>
          <w:p w14:paraId="77A52FD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№174</w:t>
            </w:r>
          </w:p>
          <w:p w14:paraId="1729564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nil"/>
              <w:right w:val="single" w:sz="6" w:space="0" w:color="auto"/>
            </w:tcBorders>
          </w:tcPr>
          <w:p w14:paraId="27DE949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Т-34</w:t>
            </w:r>
          </w:p>
          <w:p w14:paraId="20F644D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nil"/>
              <w:right w:val="single" w:sz="6" w:space="0" w:color="auto"/>
            </w:tcBorders>
          </w:tcPr>
          <w:p w14:paraId="22BA93A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p w14:paraId="6ABEB74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nil"/>
              <w:left w:val="single" w:sz="6" w:space="0" w:color="auto"/>
              <w:bottom w:val="nil"/>
              <w:right w:val="single" w:sz="6" w:space="0" w:color="auto"/>
            </w:tcBorders>
          </w:tcPr>
          <w:p w14:paraId="3189B0D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p w14:paraId="0A526C6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nil"/>
              <w:left w:val="single" w:sz="6" w:space="0" w:color="auto"/>
              <w:bottom w:val="nil"/>
              <w:right w:val="single" w:sz="6" w:space="0" w:color="auto"/>
            </w:tcBorders>
          </w:tcPr>
          <w:p w14:paraId="17161AD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w:t>
            </w:r>
          </w:p>
          <w:p w14:paraId="460F848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nil"/>
              <w:left w:val="single" w:sz="6" w:space="0" w:color="auto"/>
              <w:bottom w:val="nil"/>
              <w:right w:val="single" w:sz="6" w:space="0" w:color="auto"/>
            </w:tcBorders>
          </w:tcPr>
          <w:p w14:paraId="5C5B857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80,0</w:t>
            </w:r>
          </w:p>
          <w:p w14:paraId="3E1BBA9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C3EBBBB" w14:textId="77777777">
        <w:trPr>
          <w:trHeight w:val="192"/>
        </w:trPr>
        <w:tc>
          <w:tcPr>
            <w:tcW w:w="2102" w:type="dxa"/>
            <w:tcBorders>
              <w:top w:val="nil"/>
              <w:left w:val="single" w:sz="6" w:space="0" w:color="auto"/>
              <w:bottom w:val="nil"/>
              <w:right w:val="single" w:sz="6" w:space="0" w:color="auto"/>
            </w:tcBorders>
          </w:tcPr>
          <w:p w14:paraId="5C52745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Уралмашзавод апрель-июль</w:t>
            </w:r>
          </w:p>
          <w:p w14:paraId="6246DFF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nil"/>
              <w:right w:val="single" w:sz="6" w:space="0" w:color="auto"/>
            </w:tcBorders>
          </w:tcPr>
          <w:p w14:paraId="540BBC5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Т-34</w:t>
            </w:r>
          </w:p>
          <w:p w14:paraId="6144F76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nil"/>
              <w:right w:val="single" w:sz="6" w:space="0" w:color="auto"/>
            </w:tcBorders>
          </w:tcPr>
          <w:p w14:paraId="2DD3DAD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p w14:paraId="337E912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nil"/>
              <w:left w:val="single" w:sz="6" w:space="0" w:color="auto"/>
              <w:bottom w:val="nil"/>
              <w:right w:val="single" w:sz="6" w:space="0" w:color="auto"/>
            </w:tcBorders>
          </w:tcPr>
          <w:p w14:paraId="1993E12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p w14:paraId="5931A0C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nil"/>
              <w:left w:val="single" w:sz="6" w:space="0" w:color="auto"/>
              <w:bottom w:val="nil"/>
              <w:right w:val="single" w:sz="6" w:space="0" w:color="auto"/>
            </w:tcBorders>
          </w:tcPr>
          <w:p w14:paraId="5FF11B8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p w14:paraId="3FB9D6D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nil"/>
              <w:left w:val="single" w:sz="6" w:space="0" w:color="auto"/>
              <w:bottom w:val="nil"/>
              <w:right w:val="single" w:sz="6" w:space="0" w:color="auto"/>
            </w:tcBorders>
          </w:tcPr>
          <w:p w14:paraId="5773FD4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50,0</w:t>
            </w:r>
          </w:p>
          <w:p w14:paraId="17C85A5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2CDED82" w14:textId="77777777">
        <w:trPr>
          <w:trHeight w:val="202"/>
        </w:trPr>
        <w:tc>
          <w:tcPr>
            <w:tcW w:w="2102" w:type="dxa"/>
            <w:tcBorders>
              <w:top w:val="nil"/>
              <w:left w:val="single" w:sz="6" w:space="0" w:color="auto"/>
              <w:bottom w:val="nil"/>
              <w:right w:val="single" w:sz="6" w:space="0" w:color="auto"/>
            </w:tcBorders>
          </w:tcPr>
          <w:p w14:paraId="0DB4E60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w:t>
            </w:r>
          </w:p>
          <w:p w14:paraId="6FE86B9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nil"/>
              <w:right w:val="single" w:sz="6" w:space="0" w:color="auto"/>
            </w:tcBorders>
          </w:tcPr>
          <w:p w14:paraId="42742E5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Т-34</w:t>
            </w:r>
          </w:p>
          <w:p w14:paraId="7E217E3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nil"/>
              <w:right w:val="single" w:sz="6" w:space="0" w:color="auto"/>
            </w:tcBorders>
          </w:tcPr>
          <w:p w14:paraId="65F3E4F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w:t>
            </w:r>
          </w:p>
          <w:p w14:paraId="58A2A6D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nil"/>
              <w:left w:val="single" w:sz="6" w:space="0" w:color="auto"/>
              <w:bottom w:val="nil"/>
              <w:right w:val="single" w:sz="6" w:space="0" w:color="auto"/>
            </w:tcBorders>
          </w:tcPr>
          <w:p w14:paraId="72E6CC1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w:t>
            </w:r>
          </w:p>
          <w:p w14:paraId="1B3137C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nil"/>
              <w:left w:val="single" w:sz="6" w:space="0" w:color="auto"/>
              <w:bottom w:val="nil"/>
              <w:right w:val="single" w:sz="6" w:space="0" w:color="auto"/>
            </w:tcBorders>
          </w:tcPr>
          <w:p w14:paraId="4A3471A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w:t>
            </w:r>
          </w:p>
          <w:p w14:paraId="58F9EB2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nil"/>
              <w:left w:val="single" w:sz="6" w:space="0" w:color="auto"/>
              <w:bottom w:val="nil"/>
              <w:right w:val="single" w:sz="6" w:space="0" w:color="auto"/>
            </w:tcBorders>
          </w:tcPr>
          <w:p w14:paraId="06BE902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65,4</w:t>
            </w:r>
          </w:p>
          <w:p w14:paraId="57AC29D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E3DC4E5" w14:textId="77777777">
        <w:trPr>
          <w:trHeight w:val="240"/>
        </w:trPr>
        <w:tc>
          <w:tcPr>
            <w:tcW w:w="2102" w:type="dxa"/>
            <w:tcBorders>
              <w:top w:val="nil"/>
              <w:left w:val="single" w:sz="6" w:space="0" w:color="auto"/>
              <w:bottom w:val="single" w:sz="6" w:space="0" w:color="auto"/>
              <w:right w:val="single" w:sz="6" w:space="0" w:color="auto"/>
            </w:tcBorders>
          </w:tcPr>
          <w:p w14:paraId="311D43E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ГАЗ им. Молотова</w:t>
            </w:r>
          </w:p>
          <w:p w14:paraId="4AC1FCA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single" w:sz="6" w:space="0" w:color="auto"/>
              <w:right w:val="single" w:sz="6" w:space="0" w:color="auto"/>
            </w:tcBorders>
          </w:tcPr>
          <w:p w14:paraId="0F06BBC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Т-70</w:t>
            </w:r>
          </w:p>
          <w:p w14:paraId="105EC01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single" w:sz="6" w:space="0" w:color="auto"/>
              <w:right w:val="single" w:sz="6" w:space="0" w:color="auto"/>
            </w:tcBorders>
          </w:tcPr>
          <w:p w14:paraId="1DFB594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p w14:paraId="4E9C60A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nil"/>
              <w:left w:val="single" w:sz="6" w:space="0" w:color="auto"/>
              <w:bottom w:val="single" w:sz="6" w:space="0" w:color="auto"/>
              <w:right w:val="single" w:sz="6" w:space="0" w:color="auto"/>
            </w:tcBorders>
          </w:tcPr>
          <w:p w14:paraId="6035473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w:t>
            </w:r>
          </w:p>
          <w:p w14:paraId="76FA645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nil"/>
              <w:left w:val="single" w:sz="6" w:space="0" w:color="auto"/>
              <w:bottom w:val="single" w:sz="6" w:space="0" w:color="auto"/>
              <w:right w:val="single" w:sz="6" w:space="0" w:color="auto"/>
            </w:tcBorders>
          </w:tcPr>
          <w:p w14:paraId="7EE9645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p w14:paraId="5ABBDAC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nil"/>
              <w:left w:val="single" w:sz="6" w:space="0" w:color="auto"/>
              <w:bottom w:val="single" w:sz="6" w:space="0" w:color="auto"/>
              <w:right w:val="single" w:sz="6" w:space="0" w:color="auto"/>
            </w:tcBorders>
          </w:tcPr>
          <w:p w14:paraId="73C5483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100,0</w:t>
            </w:r>
          </w:p>
          <w:p w14:paraId="7270D8E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2B7813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 танков КВ и Т-70, 65% танков Т-34 не выдержало испытаний на гарантийный километраж, вследствие выхода из строя основных агрегатов.</w:t>
      </w:r>
    </w:p>
    <w:p w14:paraId="64E44CA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Рекламация качества танков из войск</w:t>
      </w:r>
    </w:p>
    <w:p w14:paraId="255E902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1943 год из танковых частей получено актов-рекламаций по танкам КВ-1с, КВ-85 -109 шт., по танкам Т-34-2563 и по танкам Т-70 -144 шт.</w:t>
      </w:r>
    </w:p>
    <w:p w14:paraId="37CD9D1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заводам изготовителям рекламации распределяются:</w:t>
      </w:r>
    </w:p>
    <w:tbl>
      <w:tblPr>
        <w:tblW w:w="0" w:type="auto"/>
        <w:tblInd w:w="40" w:type="dxa"/>
        <w:tblLayout w:type="fixed"/>
        <w:tblCellMar>
          <w:left w:w="40" w:type="dxa"/>
          <w:right w:w="40" w:type="dxa"/>
        </w:tblCellMar>
        <w:tblLook w:val="0000" w:firstRow="0" w:lastRow="0" w:firstColumn="0" w:lastColumn="0" w:noHBand="0" w:noVBand="0"/>
      </w:tblPr>
      <w:tblGrid>
        <w:gridCol w:w="1056"/>
        <w:gridCol w:w="538"/>
        <w:gridCol w:w="816"/>
        <w:gridCol w:w="605"/>
        <w:gridCol w:w="797"/>
        <w:gridCol w:w="557"/>
        <w:gridCol w:w="739"/>
        <w:gridCol w:w="624"/>
        <w:gridCol w:w="758"/>
        <w:gridCol w:w="739"/>
        <w:gridCol w:w="854"/>
        <w:gridCol w:w="739"/>
        <w:gridCol w:w="826"/>
      </w:tblGrid>
      <w:tr w:rsidR="005106D0" w:rsidRPr="007224C3" w14:paraId="5DDD4930" w14:textId="77777777">
        <w:trPr>
          <w:trHeight w:val="250"/>
        </w:trPr>
        <w:tc>
          <w:tcPr>
            <w:tcW w:w="1056" w:type="dxa"/>
            <w:tcBorders>
              <w:top w:val="single" w:sz="6" w:space="0" w:color="auto"/>
              <w:left w:val="single" w:sz="6" w:space="0" w:color="auto"/>
              <w:bottom w:val="nil"/>
              <w:right w:val="single" w:sz="6" w:space="0" w:color="auto"/>
            </w:tcBorders>
          </w:tcPr>
          <w:p w14:paraId="66110CB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Тип танка</w:t>
            </w:r>
          </w:p>
          <w:p w14:paraId="3720D41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92" w:type="dxa"/>
            <w:gridSpan w:val="12"/>
            <w:tcBorders>
              <w:top w:val="single" w:sz="6" w:space="0" w:color="auto"/>
              <w:left w:val="single" w:sz="6" w:space="0" w:color="auto"/>
              <w:bottom w:val="single" w:sz="6" w:space="0" w:color="auto"/>
              <w:right w:val="single" w:sz="6" w:space="0" w:color="auto"/>
            </w:tcBorders>
          </w:tcPr>
          <w:p w14:paraId="0176595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Заводы изготовители</w:t>
            </w:r>
          </w:p>
          <w:p w14:paraId="344F362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3F68CE9" w14:textId="77777777">
        <w:trPr>
          <w:trHeight w:val="182"/>
        </w:trPr>
        <w:tc>
          <w:tcPr>
            <w:tcW w:w="1056" w:type="dxa"/>
            <w:tcBorders>
              <w:top w:val="nil"/>
              <w:left w:val="single" w:sz="6" w:space="0" w:color="auto"/>
              <w:bottom w:val="nil"/>
              <w:right w:val="single" w:sz="6" w:space="0" w:color="auto"/>
            </w:tcBorders>
          </w:tcPr>
          <w:p w14:paraId="0D4DA5A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6D9709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0EC0C75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Кировский</w:t>
            </w:r>
          </w:p>
          <w:p w14:paraId="14AC2BE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gridSpan w:val="2"/>
            <w:tcBorders>
              <w:top w:val="single" w:sz="6" w:space="0" w:color="auto"/>
              <w:left w:val="single" w:sz="6" w:space="0" w:color="auto"/>
              <w:bottom w:val="single" w:sz="6" w:space="0" w:color="auto"/>
              <w:right w:val="single" w:sz="6" w:space="0" w:color="auto"/>
            </w:tcBorders>
          </w:tcPr>
          <w:p w14:paraId="2C1CE17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№183</w:t>
            </w:r>
          </w:p>
          <w:p w14:paraId="6B031E1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gridSpan w:val="2"/>
            <w:tcBorders>
              <w:top w:val="single" w:sz="6" w:space="0" w:color="auto"/>
              <w:left w:val="single" w:sz="6" w:space="0" w:color="auto"/>
              <w:bottom w:val="single" w:sz="6" w:space="0" w:color="auto"/>
              <w:right w:val="single" w:sz="6" w:space="0" w:color="auto"/>
            </w:tcBorders>
          </w:tcPr>
          <w:p w14:paraId="71A68CE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№112</w:t>
            </w:r>
          </w:p>
          <w:p w14:paraId="1D797D6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82" w:type="dxa"/>
            <w:gridSpan w:val="2"/>
            <w:tcBorders>
              <w:top w:val="single" w:sz="6" w:space="0" w:color="auto"/>
              <w:left w:val="single" w:sz="6" w:space="0" w:color="auto"/>
              <w:bottom w:val="single" w:sz="6" w:space="0" w:color="auto"/>
              <w:right w:val="single" w:sz="6" w:space="0" w:color="auto"/>
            </w:tcBorders>
          </w:tcPr>
          <w:p w14:paraId="58CB898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№174</w:t>
            </w:r>
          </w:p>
          <w:p w14:paraId="13685FC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3" w:type="dxa"/>
            <w:gridSpan w:val="2"/>
            <w:tcBorders>
              <w:top w:val="single" w:sz="6" w:space="0" w:color="auto"/>
              <w:left w:val="single" w:sz="6" w:space="0" w:color="auto"/>
              <w:bottom w:val="single" w:sz="6" w:space="0" w:color="auto"/>
              <w:right w:val="single" w:sz="6" w:space="0" w:color="auto"/>
            </w:tcBorders>
          </w:tcPr>
          <w:p w14:paraId="262F3DA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Уралмаш завод</w:t>
            </w:r>
          </w:p>
          <w:p w14:paraId="7D5DA3E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5" w:type="dxa"/>
            <w:gridSpan w:val="2"/>
            <w:tcBorders>
              <w:top w:val="single" w:sz="6" w:space="0" w:color="auto"/>
              <w:left w:val="single" w:sz="6" w:space="0" w:color="auto"/>
              <w:bottom w:val="single" w:sz="6" w:space="0" w:color="auto"/>
              <w:right w:val="single" w:sz="6" w:space="0" w:color="auto"/>
            </w:tcBorders>
          </w:tcPr>
          <w:p w14:paraId="0C66E75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ГАЗ им. Молотова</w:t>
            </w:r>
          </w:p>
          <w:p w14:paraId="62C67EA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4CB7EC0" w14:textId="77777777">
        <w:trPr>
          <w:trHeight w:val="432"/>
        </w:trPr>
        <w:tc>
          <w:tcPr>
            <w:tcW w:w="1056" w:type="dxa"/>
            <w:tcBorders>
              <w:top w:val="nil"/>
              <w:left w:val="single" w:sz="6" w:space="0" w:color="auto"/>
              <w:bottom w:val="single" w:sz="6" w:space="0" w:color="auto"/>
              <w:right w:val="single" w:sz="6" w:space="0" w:color="auto"/>
            </w:tcBorders>
          </w:tcPr>
          <w:p w14:paraId="5488AD3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A6A30D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538" w:type="dxa"/>
            <w:tcBorders>
              <w:top w:val="single" w:sz="6" w:space="0" w:color="auto"/>
              <w:left w:val="single" w:sz="6" w:space="0" w:color="auto"/>
              <w:bottom w:val="single" w:sz="6" w:space="0" w:color="auto"/>
              <w:right w:val="single" w:sz="6" w:space="0" w:color="auto"/>
            </w:tcBorders>
          </w:tcPr>
          <w:p w14:paraId="76DF4B8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кол-во</w:t>
            </w:r>
          </w:p>
          <w:p w14:paraId="6F60EA6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740C8CF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к выпуску</w:t>
            </w:r>
          </w:p>
          <w:p w14:paraId="2087BD3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12729B5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кол-во</w:t>
            </w:r>
          </w:p>
          <w:p w14:paraId="51BECAA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1F702A6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к выпуску</w:t>
            </w:r>
          </w:p>
          <w:p w14:paraId="2D186A5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1CB393A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кол-во</w:t>
            </w:r>
          </w:p>
          <w:p w14:paraId="3034023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56452F8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к выпуску</w:t>
            </w:r>
          </w:p>
          <w:p w14:paraId="373D0F1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3C78659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кол-во</w:t>
            </w:r>
          </w:p>
          <w:p w14:paraId="71DDCD8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6521DFE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к выпуску</w:t>
            </w:r>
          </w:p>
          <w:p w14:paraId="5F97552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4BAA371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кол-во</w:t>
            </w:r>
          </w:p>
          <w:p w14:paraId="5C0F841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5A4AEB9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к выпуску</w:t>
            </w:r>
          </w:p>
          <w:p w14:paraId="073D41D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5413DF9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кол-во</w:t>
            </w:r>
          </w:p>
          <w:p w14:paraId="1974D7A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328205E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к выпуску</w:t>
            </w:r>
          </w:p>
          <w:p w14:paraId="412A09E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BE7A24D" w14:textId="77777777">
        <w:trPr>
          <w:trHeight w:val="614"/>
        </w:trPr>
        <w:tc>
          <w:tcPr>
            <w:tcW w:w="1056" w:type="dxa"/>
            <w:tcBorders>
              <w:top w:val="single" w:sz="6" w:space="0" w:color="auto"/>
              <w:left w:val="single" w:sz="6" w:space="0" w:color="auto"/>
              <w:bottom w:val="single" w:sz="6" w:space="0" w:color="auto"/>
              <w:right w:val="single" w:sz="6" w:space="0" w:color="auto"/>
            </w:tcBorders>
          </w:tcPr>
          <w:p w14:paraId="0DCA415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КВ-1сиКВ-85 Т-34 Т-70</w:t>
            </w:r>
          </w:p>
          <w:p w14:paraId="2338E22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38" w:type="dxa"/>
            <w:tcBorders>
              <w:top w:val="single" w:sz="6" w:space="0" w:color="auto"/>
              <w:left w:val="single" w:sz="6" w:space="0" w:color="auto"/>
              <w:bottom w:val="single" w:sz="6" w:space="0" w:color="auto"/>
              <w:right w:val="single" w:sz="6" w:space="0" w:color="auto"/>
            </w:tcBorders>
          </w:tcPr>
          <w:p w14:paraId="5847985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109 579</w:t>
            </w:r>
          </w:p>
          <w:p w14:paraId="4DAC8D6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6FB9D16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17,6 16,1</w:t>
            </w:r>
          </w:p>
          <w:p w14:paraId="46A2671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5F59596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1033</w:t>
            </w:r>
          </w:p>
          <w:p w14:paraId="01C6ECC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47756E0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13,9</w:t>
            </w:r>
          </w:p>
          <w:p w14:paraId="7F0AA1B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55EAC98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511</w:t>
            </w:r>
          </w:p>
          <w:p w14:paraId="2B4287E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326386E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18,0</w:t>
            </w:r>
          </w:p>
          <w:p w14:paraId="2F3BF0D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299236A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307</w:t>
            </w:r>
          </w:p>
          <w:p w14:paraId="69485FE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18938DE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22,8</w:t>
            </w:r>
          </w:p>
          <w:p w14:paraId="6FB7120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5D3CA60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133</w:t>
            </w:r>
          </w:p>
          <w:p w14:paraId="7ABB7AC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0561B1E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30,4</w:t>
            </w:r>
          </w:p>
          <w:p w14:paraId="0FF3D3B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180D448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144</w:t>
            </w:r>
          </w:p>
          <w:p w14:paraId="5009F7D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2975809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w:t>
            </w:r>
          </w:p>
          <w:p w14:paraId="1BD3155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04A0DB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Т-70.</w:t>
      </w:r>
    </w:p>
    <w:p w14:paraId="43FCB94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1943 г. были рекламированы войсками 17,6% танков КВ-1с и КВ-85, 6,4% - Т-34 и 4,5% танков</w:t>
      </w:r>
    </w:p>
    <w:p w14:paraId="515C176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I.</w:t>
      </w:r>
    </w:p>
    <w:p w14:paraId="54F9CE7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Танки рекламировались по следующим дефектам:</w:t>
      </w:r>
    </w:p>
    <w:tbl>
      <w:tblPr>
        <w:tblW w:w="0" w:type="auto"/>
        <w:tblInd w:w="40" w:type="dxa"/>
        <w:tblLayout w:type="fixed"/>
        <w:tblCellMar>
          <w:left w:w="40" w:type="dxa"/>
          <w:right w:w="40" w:type="dxa"/>
        </w:tblCellMar>
        <w:tblLook w:val="0000" w:firstRow="0" w:lastRow="0" w:firstColumn="0" w:lastColumn="0" w:noHBand="0" w:noVBand="0"/>
      </w:tblPr>
      <w:tblGrid>
        <w:gridCol w:w="1248"/>
        <w:gridCol w:w="1699"/>
        <w:gridCol w:w="1795"/>
        <w:gridCol w:w="1363"/>
        <w:gridCol w:w="1958"/>
        <w:gridCol w:w="1584"/>
      </w:tblGrid>
      <w:tr w:rsidR="005106D0" w:rsidRPr="007224C3" w14:paraId="253DB9E7" w14:textId="77777777">
        <w:trPr>
          <w:trHeight w:val="240"/>
        </w:trPr>
        <w:tc>
          <w:tcPr>
            <w:tcW w:w="1248" w:type="dxa"/>
            <w:tcBorders>
              <w:top w:val="single" w:sz="6" w:space="0" w:color="auto"/>
              <w:left w:val="single" w:sz="6" w:space="0" w:color="auto"/>
              <w:bottom w:val="nil"/>
              <w:right w:val="single" w:sz="6" w:space="0" w:color="auto"/>
            </w:tcBorders>
          </w:tcPr>
          <w:p w14:paraId="0E735A9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Тип танка</w:t>
            </w:r>
          </w:p>
          <w:p w14:paraId="7A6824A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99" w:type="dxa"/>
            <w:gridSpan w:val="5"/>
            <w:tcBorders>
              <w:top w:val="single" w:sz="6" w:space="0" w:color="auto"/>
              <w:left w:val="single" w:sz="6" w:space="0" w:color="auto"/>
              <w:bottom w:val="single" w:sz="6" w:space="0" w:color="auto"/>
              <w:right w:val="single" w:sz="6" w:space="0" w:color="auto"/>
            </w:tcBorders>
          </w:tcPr>
          <w:p w14:paraId="08522E6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Дефекты (количество танков)</w:t>
            </w:r>
          </w:p>
          <w:p w14:paraId="53CAC6E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F58B5DF" w14:textId="77777777">
        <w:trPr>
          <w:trHeight w:val="355"/>
        </w:trPr>
        <w:tc>
          <w:tcPr>
            <w:tcW w:w="1248" w:type="dxa"/>
            <w:tcBorders>
              <w:top w:val="nil"/>
              <w:left w:val="single" w:sz="6" w:space="0" w:color="auto"/>
              <w:bottom w:val="single" w:sz="6" w:space="0" w:color="auto"/>
              <w:right w:val="single" w:sz="6" w:space="0" w:color="auto"/>
            </w:tcBorders>
          </w:tcPr>
          <w:p w14:paraId="4C11A3E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BCA2F6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76899C1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Коробки перемены передачи</w:t>
            </w:r>
          </w:p>
          <w:p w14:paraId="1836337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95" w:type="dxa"/>
            <w:tcBorders>
              <w:top w:val="single" w:sz="6" w:space="0" w:color="auto"/>
              <w:left w:val="single" w:sz="6" w:space="0" w:color="auto"/>
              <w:bottom w:val="single" w:sz="6" w:space="0" w:color="auto"/>
              <w:right w:val="single" w:sz="6" w:space="0" w:color="auto"/>
            </w:tcBorders>
          </w:tcPr>
          <w:p w14:paraId="726121B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Главного фрикциона</w:t>
            </w:r>
          </w:p>
          <w:p w14:paraId="1356456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6FB0C8E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Ходовой части</w:t>
            </w:r>
          </w:p>
          <w:p w14:paraId="6C17E28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58" w:type="dxa"/>
            <w:tcBorders>
              <w:top w:val="single" w:sz="6" w:space="0" w:color="auto"/>
              <w:left w:val="single" w:sz="6" w:space="0" w:color="auto"/>
              <w:bottom w:val="single" w:sz="6" w:space="0" w:color="auto"/>
              <w:right w:val="single" w:sz="6" w:space="0" w:color="auto"/>
            </w:tcBorders>
          </w:tcPr>
          <w:p w14:paraId="6B5AB0F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Электрооборудования контрольных приборов</w:t>
            </w:r>
          </w:p>
          <w:p w14:paraId="1143855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84" w:type="dxa"/>
            <w:tcBorders>
              <w:top w:val="single" w:sz="6" w:space="0" w:color="auto"/>
              <w:left w:val="single" w:sz="6" w:space="0" w:color="auto"/>
              <w:bottom w:val="single" w:sz="6" w:space="0" w:color="auto"/>
              <w:right w:val="single" w:sz="6" w:space="0" w:color="auto"/>
            </w:tcBorders>
          </w:tcPr>
          <w:p w14:paraId="665F287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Остальных узлов и агрегатов</w:t>
            </w:r>
          </w:p>
          <w:p w14:paraId="6B9FDFC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38026EE" w14:textId="77777777">
        <w:trPr>
          <w:trHeight w:val="605"/>
        </w:trPr>
        <w:tc>
          <w:tcPr>
            <w:tcW w:w="1248" w:type="dxa"/>
            <w:tcBorders>
              <w:top w:val="single" w:sz="6" w:space="0" w:color="auto"/>
              <w:left w:val="single" w:sz="6" w:space="0" w:color="auto"/>
              <w:bottom w:val="single" w:sz="6" w:space="0" w:color="auto"/>
              <w:right w:val="single" w:sz="6" w:space="0" w:color="auto"/>
            </w:tcBorders>
          </w:tcPr>
          <w:p w14:paraId="3946317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КВ- 1с и КВ-85 Т-34 Т-70</w:t>
            </w:r>
          </w:p>
          <w:p w14:paraId="54E442A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53DEB34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37 402 107</w:t>
            </w:r>
          </w:p>
          <w:p w14:paraId="219068C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95" w:type="dxa"/>
            <w:tcBorders>
              <w:top w:val="single" w:sz="6" w:space="0" w:color="auto"/>
              <w:left w:val="single" w:sz="6" w:space="0" w:color="auto"/>
              <w:bottom w:val="single" w:sz="6" w:space="0" w:color="auto"/>
              <w:right w:val="single" w:sz="6" w:space="0" w:color="auto"/>
            </w:tcBorders>
          </w:tcPr>
          <w:p w14:paraId="3C0FBCA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6 97 8</w:t>
            </w:r>
          </w:p>
          <w:p w14:paraId="42C46AB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043FD75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16 650 11</w:t>
            </w:r>
          </w:p>
          <w:p w14:paraId="2034CFB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58" w:type="dxa"/>
            <w:tcBorders>
              <w:top w:val="single" w:sz="6" w:space="0" w:color="auto"/>
              <w:left w:val="single" w:sz="6" w:space="0" w:color="auto"/>
              <w:bottom w:val="single" w:sz="6" w:space="0" w:color="auto"/>
              <w:right w:val="single" w:sz="6" w:space="0" w:color="auto"/>
            </w:tcBorders>
          </w:tcPr>
          <w:p w14:paraId="25107DC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5 848 7</w:t>
            </w:r>
          </w:p>
          <w:p w14:paraId="04B6629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84" w:type="dxa"/>
            <w:tcBorders>
              <w:top w:val="single" w:sz="6" w:space="0" w:color="auto"/>
              <w:left w:val="single" w:sz="6" w:space="0" w:color="auto"/>
              <w:bottom w:val="single" w:sz="6" w:space="0" w:color="auto"/>
              <w:right w:val="single" w:sz="6" w:space="0" w:color="auto"/>
            </w:tcBorders>
          </w:tcPr>
          <w:p w14:paraId="63F1C54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45 566 11</w:t>
            </w:r>
          </w:p>
          <w:p w14:paraId="4D2AF18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666220F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Основными дефектами танков КВ-1с, Т-34 и Т-70, повторяющимися при испытаниях и при экс</w:t>
      </w:r>
      <w:r w:rsidRPr="007224C3">
        <w:rPr>
          <w:rFonts w:ascii="Times New Roman" w:hAnsi="Times New Roman"/>
          <w:color w:val="000000" w:themeColor="text1"/>
          <w:sz w:val="16"/>
          <w:szCs w:val="16"/>
        </w:rPr>
        <w:softHyphen/>
        <w:t>плуатации их в войсках, являлись:</w:t>
      </w:r>
    </w:p>
    <w:tbl>
      <w:tblPr>
        <w:tblW w:w="0" w:type="auto"/>
        <w:tblInd w:w="40" w:type="dxa"/>
        <w:tblLayout w:type="fixed"/>
        <w:tblCellMar>
          <w:left w:w="40" w:type="dxa"/>
          <w:right w:w="40" w:type="dxa"/>
        </w:tblCellMar>
        <w:tblLook w:val="0000" w:firstRow="0" w:lastRow="0" w:firstColumn="0" w:lastColumn="0" w:noHBand="0" w:noVBand="0"/>
      </w:tblPr>
      <w:tblGrid>
        <w:gridCol w:w="3850"/>
        <w:gridCol w:w="5798"/>
      </w:tblGrid>
      <w:tr w:rsidR="005106D0" w:rsidRPr="007224C3" w14:paraId="4150B9DA" w14:textId="77777777">
        <w:trPr>
          <w:trHeight w:val="269"/>
        </w:trPr>
        <w:tc>
          <w:tcPr>
            <w:tcW w:w="3850" w:type="dxa"/>
            <w:tcBorders>
              <w:top w:val="single" w:sz="6" w:space="0" w:color="auto"/>
              <w:left w:val="single" w:sz="6" w:space="0" w:color="auto"/>
              <w:bottom w:val="single" w:sz="6" w:space="0" w:color="auto"/>
              <w:right w:val="single" w:sz="6" w:space="0" w:color="auto"/>
            </w:tcBorders>
          </w:tcPr>
          <w:p w14:paraId="5D98BAB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Узел</w:t>
            </w:r>
          </w:p>
          <w:p w14:paraId="4740D84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98" w:type="dxa"/>
            <w:tcBorders>
              <w:top w:val="single" w:sz="6" w:space="0" w:color="auto"/>
              <w:left w:val="single" w:sz="6" w:space="0" w:color="auto"/>
              <w:bottom w:val="single" w:sz="6" w:space="0" w:color="auto"/>
              <w:right w:val="single" w:sz="6" w:space="0" w:color="auto"/>
            </w:tcBorders>
          </w:tcPr>
          <w:p w14:paraId="1DB5D9B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Дефекты</w:t>
            </w:r>
          </w:p>
          <w:p w14:paraId="646CE9C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8B21CB8" w14:textId="77777777">
        <w:trPr>
          <w:trHeight w:val="624"/>
        </w:trPr>
        <w:tc>
          <w:tcPr>
            <w:tcW w:w="3850" w:type="dxa"/>
            <w:tcBorders>
              <w:top w:val="single" w:sz="6" w:space="0" w:color="auto"/>
              <w:left w:val="single" w:sz="6" w:space="0" w:color="auto"/>
              <w:bottom w:val="single" w:sz="6" w:space="0" w:color="auto"/>
              <w:right w:val="single" w:sz="6" w:space="0" w:color="auto"/>
            </w:tcBorders>
          </w:tcPr>
          <w:p w14:paraId="50F6BC2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танку КВ- 1с</w:t>
            </w:r>
          </w:p>
          <w:p w14:paraId="249C395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Коробка перемены передач Ходовая часть</w:t>
            </w:r>
          </w:p>
          <w:p w14:paraId="184FD7E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98" w:type="dxa"/>
            <w:tcBorders>
              <w:top w:val="single" w:sz="6" w:space="0" w:color="auto"/>
              <w:left w:val="single" w:sz="6" w:space="0" w:color="auto"/>
              <w:bottom w:val="single" w:sz="6" w:space="0" w:color="auto"/>
              <w:right w:val="single" w:sz="6" w:space="0" w:color="auto"/>
            </w:tcBorders>
          </w:tcPr>
          <w:p w14:paraId="4A19AB7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Заедание шестерен на шпицах валов 2. Сколы, поломки зубьев шестерен</w:t>
            </w:r>
          </w:p>
          <w:p w14:paraId="55D35D6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404877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танку Т-34</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43"/>
        <w:gridCol w:w="6804"/>
      </w:tblGrid>
      <w:tr w:rsidR="005106D0" w:rsidRPr="007224C3" w14:paraId="2FD57647" w14:textId="77777777">
        <w:tc>
          <w:tcPr>
            <w:tcW w:w="2943" w:type="dxa"/>
            <w:tcBorders>
              <w:top w:val="single" w:sz="12" w:space="0" w:color="auto"/>
            </w:tcBorders>
          </w:tcPr>
          <w:p w14:paraId="4CCD20F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Главный фрикцион</w:t>
            </w:r>
          </w:p>
        </w:tc>
        <w:tc>
          <w:tcPr>
            <w:tcW w:w="6804" w:type="dxa"/>
            <w:tcBorders>
              <w:top w:val="single" w:sz="12" w:space="0" w:color="auto"/>
            </w:tcBorders>
          </w:tcPr>
          <w:p w14:paraId="74777E6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Коробление дисков.</w:t>
            </w:r>
          </w:p>
          <w:p w14:paraId="2739E06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Износ лунок колец выключения.</w:t>
            </w:r>
          </w:p>
          <w:p w14:paraId="7261DFD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BA53F40" w14:textId="77777777">
        <w:tc>
          <w:tcPr>
            <w:tcW w:w="2943" w:type="dxa"/>
          </w:tcPr>
          <w:p w14:paraId="2B2751B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Коробка перемены передач</w:t>
            </w:r>
          </w:p>
        </w:tc>
        <w:tc>
          <w:tcPr>
            <w:tcW w:w="6804" w:type="dxa"/>
          </w:tcPr>
          <w:p w14:paraId="1E77B89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Сколы и поломка зубьев цилиндрических шестерен.</w:t>
            </w:r>
          </w:p>
          <w:p w14:paraId="71F17F8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Разрушение конических шестерен.</w:t>
            </w:r>
          </w:p>
          <w:p w14:paraId="58B53AF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Разрушение подшипников №567 блока шестерен заднего хода.</w:t>
            </w:r>
          </w:p>
        </w:tc>
      </w:tr>
      <w:tr w:rsidR="005106D0" w:rsidRPr="007224C3" w14:paraId="185C85D9" w14:textId="77777777">
        <w:tc>
          <w:tcPr>
            <w:tcW w:w="2943" w:type="dxa"/>
          </w:tcPr>
          <w:p w14:paraId="4D78425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Бортовая передача</w:t>
            </w:r>
          </w:p>
        </w:tc>
        <w:tc>
          <w:tcPr>
            <w:tcW w:w="6804" w:type="dxa"/>
          </w:tcPr>
          <w:p w14:paraId="199586A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Разрушение подшипника №7526.</w:t>
            </w:r>
          </w:p>
        </w:tc>
      </w:tr>
      <w:tr w:rsidR="005106D0" w:rsidRPr="007224C3" w14:paraId="6EEE36D0" w14:textId="77777777">
        <w:tc>
          <w:tcPr>
            <w:tcW w:w="2943" w:type="dxa"/>
          </w:tcPr>
          <w:p w14:paraId="308797F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Ходовая часть</w:t>
            </w:r>
          </w:p>
        </w:tc>
        <w:tc>
          <w:tcPr>
            <w:tcW w:w="6804" w:type="dxa"/>
          </w:tcPr>
          <w:p w14:paraId="5CDED40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Разрушение осей роликов и самих роликов ведущих колес.</w:t>
            </w:r>
          </w:p>
          <w:p w14:paraId="6B78C17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Разрушение резины опорных катков.</w:t>
            </w:r>
          </w:p>
          <w:p w14:paraId="12A309E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Разрушение подшипника №317 ленивца.</w:t>
            </w:r>
          </w:p>
          <w:p w14:paraId="13BF158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4. Заедание кривошипов ленивцев в кронштейне.</w:t>
            </w:r>
          </w:p>
          <w:p w14:paraId="24A950C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Поломка траков и износ пальцев траков.</w:t>
            </w:r>
          </w:p>
          <w:p w14:paraId="0E8DBF3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48544D9" w14:textId="77777777">
        <w:tc>
          <w:tcPr>
            <w:tcW w:w="2943" w:type="dxa"/>
          </w:tcPr>
          <w:p w14:paraId="43B9B77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Система охлаждения, питания и смазки</w:t>
            </w:r>
          </w:p>
        </w:tc>
        <w:tc>
          <w:tcPr>
            <w:tcW w:w="6804" w:type="dxa"/>
          </w:tcPr>
          <w:p w14:paraId="46C0D58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Течи масла, топлива и воды через соединения трубопроводов и в местах пайки.</w:t>
            </w:r>
          </w:p>
          <w:p w14:paraId="6ECB9E5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6E175AD" w14:textId="77777777">
        <w:tc>
          <w:tcPr>
            <w:tcW w:w="2943" w:type="dxa"/>
          </w:tcPr>
          <w:p w14:paraId="57AEEDF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Электрооборудование</w:t>
            </w:r>
          </w:p>
        </w:tc>
        <w:tc>
          <w:tcPr>
            <w:tcW w:w="6804" w:type="dxa"/>
          </w:tcPr>
          <w:p w14:paraId="6CEBA18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Преждевременный выход из строя стартеров и пригорание контактов пускового реле.</w:t>
            </w:r>
          </w:p>
          <w:p w14:paraId="26A0837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C0DDF4E" w14:textId="77777777">
        <w:tc>
          <w:tcPr>
            <w:tcW w:w="2943" w:type="dxa"/>
          </w:tcPr>
          <w:p w14:paraId="426C662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танку Т-70</w:t>
            </w:r>
          </w:p>
        </w:tc>
        <w:tc>
          <w:tcPr>
            <w:tcW w:w="6804" w:type="dxa"/>
          </w:tcPr>
          <w:p w14:paraId="5398E81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FDF0D1C" w14:textId="77777777">
        <w:tc>
          <w:tcPr>
            <w:tcW w:w="2943" w:type="dxa"/>
          </w:tcPr>
          <w:p w14:paraId="2B3C785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Коробка перемены передач</w:t>
            </w:r>
          </w:p>
        </w:tc>
        <w:tc>
          <w:tcPr>
            <w:tcW w:w="6804" w:type="dxa"/>
          </w:tcPr>
          <w:p w14:paraId="49E1ACF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Скручивание первичного валика.</w:t>
            </w:r>
          </w:p>
          <w:p w14:paraId="71B5A09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48B7CE1" w14:textId="77777777">
        <w:tc>
          <w:tcPr>
            <w:tcW w:w="2943" w:type="dxa"/>
          </w:tcPr>
          <w:p w14:paraId="0B06CB0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Ходовая часть</w:t>
            </w:r>
          </w:p>
        </w:tc>
        <w:tc>
          <w:tcPr>
            <w:tcW w:w="6804" w:type="dxa"/>
          </w:tcPr>
          <w:p w14:paraId="1EA6CB6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Разрушение подшипников опорных катков.</w:t>
            </w:r>
          </w:p>
          <w:p w14:paraId="7FD68A7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9B04D80" w14:textId="77777777">
        <w:tc>
          <w:tcPr>
            <w:tcW w:w="2943" w:type="dxa"/>
          </w:tcPr>
          <w:p w14:paraId="5642A8A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Система охлаждения, питания и смазка.</w:t>
            </w:r>
          </w:p>
        </w:tc>
        <w:tc>
          <w:tcPr>
            <w:tcW w:w="6804" w:type="dxa"/>
          </w:tcPr>
          <w:p w14:paraId="564D754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Течи масла, топлива и воды через соединения трубопроводов.</w:t>
            </w:r>
          </w:p>
          <w:p w14:paraId="7499C1E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D0D9895" w14:textId="77777777">
        <w:tc>
          <w:tcPr>
            <w:tcW w:w="2943" w:type="dxa"/>
            <w:tcBorders>
              <w:bottom w:val="single" w:sz="12" w:space="0" w:color="auto"/>
            </w:tcBorders>
          </w:tcPr>
          <w:p w14:paraId="0B9A032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Электрооборудование</w:t>
            </w:r>
          </w:p>
        </w:tc>
        <w:tc>
          <w:tcPr>
            <w:tcW w:w="6804" w:type="dxa"/>
            <w:tcBorders>
              <w:bottom w:val="single" w:sz="12" w:space="0" w:color="auto"/>
            </w:tcBorders>
          </w:tcPr>
          <w:p w14:paraId="2E77352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Пробой изоляции проводов высокого напряжения и сгорание обмоток бобин.</w:t>
            </w:r>
          </w:p>
          <w:p w14:paraId="2E3FC28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Разрушение изоляторов запальных свечей.</w:t>
            </w:r>
          </w:p>
          <w:p w14:paraId="5F17BF2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7DA35C4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Характерными для всех типов танков являлись:</w:t>
      </w:r>
    </w:p>
    <w:p w14:paraId="7F18DD7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Большое количество дефектов контрольных приборов.</w:t>
      </w:r>
    </w:p>
    <w:p w14:paraId="77F458C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Ненадежность регулировок приводов управления.</w:t>
      </w:r>
    </w:p>
    <w:p w14:paraId="73FE6F3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Ослабление крепежных деталей.</w:t>
      </w:r>
    </w:p>
    <w:p w14:paraId="02FE196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Наличие этих дефектов в значительной мере снижало километраж безостановочного движе</w:t>
      </w:r>
      <w:r w:rsidRPr="007224C3">
        <w:rPr>
          <w:rFonts w:ascii="Times New Roman" w:hAnsi="Times New Roman"/>
          <w:color w:val="000000" w:themeColor="text1"/>
          <w:sz w:val="16"/>
          <w:szCs w:val="16"/>
        </w:rPr>
        <w:softHyphen/>
        <w:t>ния и маршевую скорость танков.</w:t>
      </w:r>
    </w:p>
    <w:p w14:paraId="69215EB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 танков Т-34 имеются серьезные недостатки в установке вооружения, а именно:</w:t>
      </w:r>
    </w:p>
    <w:p w14:paraId="403B1AE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Большие люфты в механизмах наведения, доходящие: люфт башни до 20 тысячных и люфт пушки до 5 тысячных.</w:t>
      </w:r>
    </w:p>
    <w:p w14:paraId="3682DB0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Большие усилия на педали ножного спуска пушки, доходящие до 30 — 40 кг вместо положен</w:t>
      </w:r>
      <w:r w:rsidRPr="007224C3">
        <w:rPr>
          <w:rFonts w:ascii="Times New Roman" w:hAnsi="Times New Roman"/>
          <w:color w:val="000000" w:themeColor="text1"/>
          <w:sz w:val="16"/>
          <w:szCs w:val="16"/>
        </w:rPr>
        <w:softHyphen/>
        <w:t>ных по тех. условиям 8 кг.</w:t>
      </w:r>
    </w:p>
    <w:p w14:paraId="5519FC6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Большие усилия на рукоятке подъемного механизма пушки, доходящие до 15 — 20 кг вместо положенных по тех. условиям 4 — 7 кг.</w:t>
      </w:r>
    </w:p>
    <w:p w14:paraId="60F4D93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 Недопустимо большое усилие на рукоятке поворотного механизма башни, доходящее до 15 кг при крене танка 5°, до 25 — 30 кг при крене танка 10°.</w:t>
      </w:r>
    </w:p>
    <w:p w14:paraId="2C3E6FC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Большие люфты башен и большие усилия на рукоятках подъемного и поворотного механизмов и на педалях ножного спуска затрудняют наводку пушки, снижают скорострельность, а на ходу и особен</w:t>
      </w:r>
      <w:r w:rsidRPr="007224C3">
        <w:rPr>
          <w:rFonts w:ascii="Times New Roman" w:hAnsi="Times New Roman"/>
          <w:color w:val="000000" w:themeColor="text1"/>
          <w:sz w:val="16"/>
          <w:szCs w:val="16"/>
        </w:rPr>
        <w:softHyphen/>
        <w:t>но при крене более 5° делают почти невозможным наводку оружия и ведение из него прицельного огня.</w:t>
      </w:r>
    </w:p>
    <w:p w14:paraId="7253A3E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Основными причинами большого количества дефектов являются: нарушение технологии изго</w:t>
      </w:r>
      <w:r w:rsidRPr="007224C3">
        <w:rPr>
          <w:rFonts w:ascii="Times New Roman" w:hAnsi="Times New Roman"/>
          <w:color w:val="000000" w:themeColor="text1"/>
          <w:sz w:val="16"/>
          <w:szCs w:val="16"/>
        </w:rPr>
        <w:softHyphen/>
        <w:t>товления деталей, перепутывание материалов при их изготовлении, пропуск на сборку деталей с от</w:t>
      </w:r>
      <w:r w:rsidRPr="007224C3">
        <w:rPr>
          <w:rFonts w:ascii="Times New Roman" w:hAnsi="Times New Roman"/>
          <w:color w:val="000000" w:themeColor="text1"/>
          <w:sz w:val="16"/>
          <w:szCs w:val="16"/>
        </w:rPr>
        <w:softHyphen/>
        <w:t>клонением от чертежей и технических условий и низкая культура монтажа узлов и танков в целом.</w:t>
      </w:r>
    </w:p>
    <w:p w14:paraId="0DC390A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Заместитель начальника ГБТУ КА генерал-лейтенант инженерно-танковой службы Лебедев</w:t>
      </w:r>
    </w:p>
    <w:p w14:paraId="22908E3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Заместитель начальника ТУ ГБТУ КА инженер-полковник Муравич</w:t>
      </w:r>
    </w:p>
    <w:p w14:paraId="1EAC950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38. Оп. 11355. Д. 2515. Л. 231 -238. Копия (11420).</w:t>
      </w:r>
    </w:p>
    <w:p w14:paraId="5DDDADC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28E7A70" w14:textId="77777777" w:rsidR="00741660" w:rsidRPr="007224C3" w:rsidRDefault="00741660"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С 15 июня по 17 июля 1944 года в НИИБТ (другой Т-44 второго варианта, окон</w:t>
      </w:r>
      <w:r w:rsidRPr="007224C3">
        <w:rPr>
          <w:rFonts w:ascii="Times New Roman" w:hAnsi="Times New Roman"/>
          <w:color w:val="0070C0"/>
          <w:sz w:val="16"/>
          <w:szCs w:val="16"/>
        </w:rPr>
        <w:softHyphen/>
        <w:t>ченный позже, испытывался на заводе №183) провели Полигонные испытания Т-44 второго вари</w:t>
      </w:r>
      <w:r w:rsidRPr="007224C3">
        <w:rPr>
          <w:rFonts w:ascii="Times New Roman" w:hAnsi="Times New Roman"/>
          <w:color w:val="0070C0"/>
          <w:sz w:val="16"/>
          <w:szCs w:val="16"/>
        </w:rPr>
        <w:softHyphen/>
        <w:t xml:space="preserve">анта. Заключение комиссии по их результатам было негативным </w:t>
      </w:r>
      <w:r w:rsidRPr="007224C3">
        <w:rPr>
          <w:rStyle w:val="344"/>
          <w:rFonts w:ascii="Times New Roman" w:hAnsi="Times New Roman" w:cs="Times New Roman"/>
          <w:color w:val="0070C0"/>
          <w:sz w:val="16"/>
          <w:szCs w:val="16"/>
        </w:rPr>
        <w:t xml:space="preserve">- </w:t>
      </w:r>
      <w:r w:rsidRPr="007224C3">
        <w:rPr>
          <w:rFonts w:ascii="Times New Roman" w:hAnsi="Times New Roman"/>
          <w:color w:val="0070C0"/>
          <w:sz w:val="16"/>
          <w:szCs w:val="16"/>
        </w:rPr>
        <w:t>танк испытаний не выдержал из-за низкой надежности работы механизмов и большого количества дефектов. Принимать на вооружение Красной Армии и запускать в производство Т-44 рекомендовалось только после доработки: «... считать необходимым срочно изготовить и предъявить на государст</w:t>
      </w:r>
      <w:r w:rsidRPr="007224C3">
        <w:rPr>
          <w:rFonts w:ascii="Times New Roman" w:hAnsi="Times New Roman"/>
          <w:color w:val="0070C0"/>
          <w:sz w:val="16"/>
          <w:szCs w:val="16"/>
        </w:rPr>
        <w:softHyphen/>
        <w:t>венные испытания образец танка Т-44А, изго</w:t>
      </w:r>
      <w:r w:rsidRPr="007224C3">
        <w:rPr>
          <w:rFonts w:ascii="Times New Roman" w:hAnsi="Times New Roman"/>
          <w:color w:val="0070C0"/>
          <w:sz w:val="16"/>
          <w:szCs w:val="16"/>
        </w:rPr>
        <w:softHyphen/>
        <w:t>товленный в соответствии с замечаниями комиссии». Наиболее существенным требова</w:t>
      </w:r>
      <w:r w:rsidRPr="007224C3">
        <w:rPr>
          <w:rFonts w:ascii="Times New Roman" w:hAnsi="Times New Roman"/>
          <w:color w:val="0070C0"/>
          <w:sz w:val="16"/>
          <w:szCs w:val="16"/>
        </w:rPr>
        <w:softHyphen/>
        <w:t>нием военных было усиление лобовой брони корпуса до 90 мм для обеспечения защиты от поражения снарядами противника калибра 75 и 88 мм (19935).</w:t>
      </w:r>
    </w:p>
    <w:p w14:paraId="7EFBD9B3" w14:textId="77777777" w:rsidR="00741660" w:rsidRPr="007224C3" w:rsidRDefault="00741660" w:rsidP="007224C3">
      <w:pPr>
        <w:spacing w:after="0" w:line="240" w:lineRule="auto"/>
        <w:jc w:val="both"/>
        <w:rPr>
          <w:rFonts w:ascii="Times New Roman" w:hAnsi="Times New Roman"/>
          <w:color w:val="0070C0"/>
          <w:sz w:val="16"/>
          <w:szCs w:val="16"/>
        </w:rPr>
      </w:pPr>
    </w:p>
    <w:p w14:paraId="1C6026F3"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15 июня по 17 июля 1944 г. в соответствии с приказом Народного Комиссара Танковой Промышленности Союза ССР и Командующего БТ и МВ Красной Армии № 366/098были проведены полигонные испытания второго опытного образца танка Т-44, конструкции завода № 183 НКТП от 31 января 1944.</w:t>
      </w:r>
    </w:p>
    <w:p w14:paraId="2FC2FD96"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Представленный на испытания опытный образец танка Т-44 выполнен с учетом замечаний комиссии по полигонным испытаниям первого опытного образца, проведенным в феврале-марте 1944 года.</w:t>
      </w:r>
    </w:p>
    <w:p w14:paraId="66873E01"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Испытания проведены по программе, утвержденной Заместителем Народного Комиссара Танковой Промышленности и Начальником ГБТУ Красной Армии.</w:t>
      </w:r>
    </w:p>
    <w:p w14:paraId="6D629662"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Испытания проводились на НИБТ Полигоне ГБТУ КА, в районе ст.Кубинка, Западной ж.д. (18276)</w:t>
      </w:r>
    </w:p>
    <w:p w14:paraId="7A302EA0"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СРАВНИТЕЛЬНАЯ</w:t>
      </w:r>
      <w:r w:rsidRPr="007224C3">
        <w:rPr>
          <w:rFonts w:ascii="Times New Roman" w:hAnsi="Times New Roman"/>
          <w:color w:val="000000" w:themeColor="text1"/>
          <w:sz w:val="16"/>
          <w:szCs w:val="16"/>
        </w:rPr>
        <w:t> </w:t>
      </w:r>
      <w:r w:rsidRPr="007224C3">
        <w:rPr>
          <w:rFonts w:ascii="Times New Roman" w:hAnsi="Times New Roman"/>
          <w:color w:val="000000" w:themeColor="text1"/>
          <w:sz w:val="16"/>
          <w:szCs w:val="16"/>
        </w:rPr>
        <w:t>ТАКТИКО-ТЕХНИЧЕСКАЯ</w:t>
      </w:r>
      <w:r w:rsidRPr="007224C3">
        <w:rPr>
          <w:rFonts w:ascii="Times New Roman" w:hAnsi="Times New Roman"/>
          <w:color w:val="000000" w:themeColor="text1"/>
          <w:sz w:val="16"/>
          <w:szCs w:val="16"/>
        </w:rPr>
        <w:t> </w:t>
      </w:r>
      <w:r w:rsidRPr="007224C3">
        <w:rPr>
          <w:rFonts w:ascii="Times New Roman" w:hAnsi="Times New Roman"/>
          <w:color w:val="000000" w:themeColor="text1"/>
          <w:sz w:val="16"/>
          <w:szCs w:val="16"/>
        </w:rPr>
        <w:t>ХАРАКТЕРИСТИКА</w:t>
      </w:r>
      <w:r w:rsidRPr="007224C3">
        <w:rPr>
          <w:rFonts w:ascii="Times New Roman" w:hAnsi="Times New Roman"/>
          <w:color w:val="000000" w:themeColor="text1"/>
          <w:sz w:val="16"/>
          <w:szCs w:val="16"/>
        </w:rPr>
        <w:t> </w:t>
      </w:r>
      <w:r w:rsidRPr="007224C3">
        <w:rPr>
          <w:rFonts w:ascii="Times New Roman" w:hAnsi="Times New Roman"/>
          <w:color w:val="000000" w:themeColor="text1"/>
          <w:sz w:val="16"/>
          <w:szCs w:val="16"/>
        </w:rPr>
        <w:t>ТАНКОВ</w:t>
      </w:r>
      <w:r w:rsidRPr="007224C3">
        <w:rPr>
          <w:rFonts w:ascii="Times New Roman" w:hAnsi="Times New Roman"/>
          <w:color w:val="000000" w:themeColor="text1"/>
          <w:sz w:val="16"/>
          <w:szCs w:val="16"/>
        </w:rPr>
        <w:t> </w:t>
      </w:r>
      <w:r w:rsidRPr="007224C3">
        <w:rPr>
          <w:rFonts w:ascii="Times New Roman" w:hAnsi="Times New Roman"/>
          <w:color w:val="000000" w:themeColor="text1"/>
          <w:sz w:val="16"/>
          <w:szCs w:val="16"/>
        </w:rPr>
        <w:t>Т-44</w:t>
      </w:r>
      <w:r w:rsidRPr="007224C3">
        <w:rPr>
          <w:rFonts w:ascii="Times New Roman" w:hAnsi="Times New Roman"/>
          <w:color w:val="000000" w:themeColor="text1"/>
          <w:sz w:val="16"/>
          <w:szCs w:val="16"/>
        </w:rPr>
        <w:t> </w:t>
      </w:r>
      <w:r w:rsidRPr="007224C3">
        <w:rPr>
          <w:rFonts w:ascii="Times New Roman" w:hAnsi="Times New Roman"/>
          <w:color w:val="000000" w:themeColor="text1"/>
          <w:sz w:val="16"/>
          <w:szCs w:val="16"/>
        </w:rPr>
        <w:t>и</w:t>
      </w:r>
      <w:r w:rsidRPr="007224C3">
        <w:rPr>
          <w:rFonts w:ascii="Times New Roman" w:hAnsi="Times New Roman"/>
          <w:color w:val="000000" w:themeColor="text1"/>
          <w:sz w:val="16"/>
          <w:szCs w:val="16"/>
        </w:rPr>
        <w:t> </w:t>
      </w:r>
      <w:r w:rsidRPr="007224C3">
        <w:rPr>
          <w:rFonts w:ascii="Times New Roman" w:hAnsi="Times New Roman"/>
          <w:color w:val="000000" w:themeColor="text1"/>
          <w:sz w:val="16"/>
          <w:szCs w:val="16"/>
        </w:rPr>
        <w:t>Т-34 – 85.</w:t>
      </w:r>
    </w:p>
    <w:p w14:paraId="2579A83D"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ОБЩИЕ ДАННЫЕ.</w:t>
      </w:r>
    </w:p>
    <w:tbl>
      <w:tblPr>
        <w:tblW w:w="4750" w:type="pct"/>
        <w:jc w:val="center"/>
        <w:tblCellMar>
          <w:left w:w="0" w:type="dxa"/>
          <w:right w:w="0" w:type="dxa"/>
        </w:tblCellMar>
        <w:tblLook w:val="04A0" w:firstRow="1" w:lastRow="0" w:firstColumn="1" w:lastColumn="0" w:noHBand="0" w:noVBand="1"/>
      </w:tblPr>
      <w:tblGrid>
        <w:gridCol w:w="948"/>
        <w:gridCol w:w="4290"/>
        <w:gridCol w:w="2772"/>
        <w:gridCol w:w="6"/>
        <w:gridCol w:w="2736"/>
      </w:tblGrid>
      <w:tr w:rsidR="005106D0" w:rsidRPr="007224C3" w14:paraId="7A9083A0" w14:textId="77777777" w:rsidTr="00C54063">
        <w:trPr>
          <w:trHeight w:val="430"/>
          <w:jc w:val="center"/>
        </w:trPr>
        <w:tc>
          <w:tcPr>
            <w:tcW w:w="953" w:type="dxa"/>
            <w:vMerge w:val="restart"/>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hideMark/>
          </w:tcPr>
          <w:p w14:paraId="4737E63B"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п/п</w:t>
            </w:r>
          </w:p>
        </w:tc>
        <w:tc>
          <w:tcPr>
            <w:tcW w:w="4394" w:type="dxa"/>
            <w:vMerge w:val="restart"/>
            <w:tcBorders>
              <w:top w:val="single" w:sz="8" w:space="0" w:color="000000"/>
              <w:left w:val="nil"/>
              <w:bottom w:val="single" w:sz="8" w:space="0" w:color="000000"/>
              <w:right w:val="single" w:sz="8" w:space="0" w:color="000000"/>
            </w:tcBorders>
            <w:tcMar>
              <w:top w:w="0" w:type="dxa"/>
              <w:left w:w="108" w:type="dxa"/>
              <w:bottom w:w="0" w:type="dxa"/>
              <w:right w:w="108" w:type="dxa"/>
            </w:tcMar>
            <w:hideMark/>
          </w:tcPr>
          <w:p w14:paraId="46883682"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Наименование</w:t>
            </w:r>
          </w:p>
        </w:tc>
        <w:tc>
          <w:tcPr>
            <w:tcW w:w="5629" w:type="dxa"/>
            <w:gridSpan w:val="3"/>
            <w:tcBorders>
              <w:top w:val="single" w:sz="8" w:space="0" w:color="000000"/>
              <w:left w:val="nil"/>
              <w:bottom w:val="single" w:sz="8" w:space="0" w:color="000000"/>
              <w:right w:val="single" w:sz="8" w:space="0" w:color="000000"/>
            </w:tcBorders>
            <w:tcMar>
              <w:top w:w="0" w:type="dxa"/>
              <w:left w:w="108" w:type="dxa"/>
              <w:bottom w:w="0" w:type="dxa"/>
              <w:right w:w="108" w:type="dxa"/>
            </w:tcMar>
            <w:hideMark/>
          </w:tcPr>
          <w:p w14:paraId="729FE13B"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Марка танка</w:t>
            </w:r>
          </w:p>
        </w:tc>
      </w:tr>
      <w:tr w:rsidR="005106D0" w:rsidRPr="007224C3" w14:paraId="3CC64059" w14:textId="77777777" w:rsidTr="00C54063">
        <w:trPr>
          <w:trHeight w:val="430"/>
          <w:jc w:val="center"/>
        </w:trPr>
        <w:tc>
          <w:tcPr>
            <w:tcW w:w="953" w:type="dxa"/>
            <w:vMerge/>
            <w:tcBorders>
              <w:top w:val="single" w:sz="8" w:space="0" w:color="000000"/>
              <w:left w:val="single" w:sz="8" w:space="0" w:color="000000"/>
              <w:bottom w:val="single" w:sz="8" w:space="0" w:color="000000"/>
              <w:right w:val="single" w:sz="8" w:space="0" w:color="000000"/>
            </w:tcBorders>
            <w:vAlign w:val="center"/>
            <w:hideMark/>
          </w:tcPr>
          <w:p w14:paraId="1516803F" w14:textId="77777777" w:rsidR="00811C95" w:rsidRPr="007224C3" w:rsidRDefault="00811C95" w:rsidP="007224C3">
            <w:pPr>
              <w:spacing w:after="0" w:line="240" w:lineRule="auto"/>
              <w:jc w:val="both"/>
              <w:rPr>
                <w:rFonts w:ascii="Times New Roman" w:hAnsi="Times New Roman"/>
                <w:color w:val="000000" w:themeColor="text1"/>
                <w:sz w:val="16"/>
                <w:szCs w:val="16"/>
              </w:rPr>
            </w:pPr>
          </w:p>
        </w:tc>
        <w:tc>
          <w:tcPr>
            <w:tcW w:w="4394" w:type="dxa"/>
            <w:vMerge/>
            <w:tcBorders>
              <w:top w:val="single" w:sz="8" w:space="0" w:color="000000"/>
              <w:left w:val="nil"/>
              <w:bottom w:val="single" w:sz="8" w:space="0" w:color="000000"/>
              <w:right w:val="single" w:sz="8" w:space="0" w:color="000000"/>
            </w:tcBorders>
            <w:vAlign w:val="center"/>
            <w:hideMark/>
          </w:tcPr>
          <w:p w14:paraId="1B42B2C0" w14:textId="77777777" w:rsidR="00811C95" w:rsidRPr="007224C3" w:rsidRDefault="00811C95" w:rsidP="007224C3">
            <w:pPr>
              <w:spacing w:after="0" w:line="240" w:lineRule="auto"/>
              <w:jc w:val="both"/>
              <w:rPr>
                <w:rFonts w:ascii="Times New Roman" w:hAnsi="Times New Roman"/>
                <w:color w:val="000000" w:themeColor="text1"/>
                <w:sz w:val="16"/>
                <w:szCs w:val="16"/>
              </w:rPr>
            </w:pPr>
          </w:p>
        </w:tc>
        <w:tc>
          <w:tcPr>
            <w:tcW w:w="2830" w:type="dxa"/>
            <w:tcBorders>
              <w:top w:val="nil"/>
              <w:left w:val="nil"/>
              <w:bottom w:val="single" w:sz="8" w:space="0" w:color="000000"/>
              <w:right w:val="single" w:sz="8" w:space="0" w:color="000000"/>
            </w:tcBorders>
            <w:tcMar>
              <w:top w:w="0" w:type="dxa"/>
              <w:left w:w="108" w:type="dxa"/>
              <w:bottom w:w="0" w:type="dxa"/>
              <w:right w:w="108" w:type="dxa"/>
            </w:tcMar>
            <w:hideMark/>
          </w:tcPr>
          <w:p w14:paraId="68D03CA0"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Т-44</w:t>
            </w:r>
          </w:p>
        </w:tc>
        <w:tc>
          <w:tcPr>
            <w:tcW w:w="2799" w:type="dxa"/>
            <w:gridSpan w:val="2"/>
            <w:tcBorders>
              <w:top w:val="nil"/>
              <w:left w:val="nil"/>
              <w:bottom w:val="single" w:sz="8" w:space="0" w:color="000000"/>
              <w:right w:val="single" w:sz="8" w:space="0" w:color="000000"/>
            </w:tcBorders>
            <w:tcMar>
              <w:top w:w="0" w:type="dxa"/>
              <w:left w:w="108" w:type="dxa"/>
              <w:bottom w:w="0" w:type="dxa"/>
              <w:right w:w="108" w:type="dxa"/>
            </w:tcMar>
            <w:hideMark/>
          </w:tcPr>
          <w:p w14:paraId="17B2ADE7"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Т-34-85</w:t>
            </w:r>
          </w:p>
        </w:tc>
      </w:tr>
      <w:tr w:rsidR="005106D0" w:rsidRPr="007224C3" w14:paraId="7AA3F418" w14:textId="77777777" w:rsidTr="00C54063">
        <w:trPr>
          <w:jc w:val="center"/>
        </w:trPr>
        <w:tc>
          <w:tcPr>
            <w:tcW w:w="953" w:type="dxa"/>
            <w:tcBorders>
              <w:top w:val="nil"/>
              <w:left w:val="single" w:sz="8" w:space="0" w:color="000000"/>
              <w:bottom w:val="single" w:sz="8" w:space="0" w:color="auto"/>
              <w:right w:val="single" w:sz="8" w:space="0" w:color="000000"/>
            </w:tcBorders>
            <w:tcMar>
              <w:top w:w="0" w:type="dxa"/>
              <w:left w:w="108" w:type="dxa"/>
              <w:bottom w:w="0" w:type="dxa"/>
              <w:right w:w="108" w:type="dxa"/>
            </w:tcMar>
            <w:vAlign w:val="center"/>
            <w:hideMark/>
          </w:tcPr>
          <w:p w14:paraId="1C9F7079"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tc>
        <w:tc>
          <w:tcPr>
            <w:tcW w:w="4394"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2BAA9924"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tc>
        <w:tc>
          <w:tcPr>
            <w:tcW w:w="2830"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4AC1C2FC"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tc>
        <w:tc>
          <w:tcPr>
            <w:tcW w:w="2799" w:type="dxa"/>
            <w:gridSpan w:val="2"/>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06620D46"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w:t>
            </w:r>
          </w:p>
        </w:tc>
      </w:tr>
      <w:tr w:rsidR="005106D0" w:rsidRPr="007224C3" w14:paraId="15C4765C" w14:textId="77777777" w:rsidTr="00C54063">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7ED8295C"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tc>
        <w:tc>
          <w:tcPr>
            <w:tcW w:w="4394" w:type="dxa"/>
            <w:tcBorders>
              <w:top w:val="nil"/>
              <w:left w:val="nil"/>
              <w:bottom w:val="nil"/>
              <w:right w:val="single" w:sz="8" w:space="0" w:color="000000"/>
            </w:tcBorders>
            <w:tcMar>
              <w:top w:w="0" w:type="dxa"/>
              <w:left w:w="108" w:type="dxa"/>
              <w:bottom w:w="0" w:type="dxa"/>
              <w:right w:w="108" w:type="dxa"/>
            </w:tcMar>
            <w:hideMark/>
          </w:tcPr>
          <w:p w14:paraId="45B7BD4F"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Тип танка</w:t>
            </w:r>
          </w:p>
        </w:tc>
        <w:tc>
          <w:tcPr>
            <w:tcW w:w="2830" w:type="dxa"/>
            <w:tcBorders>
              <w:top w:val="nil"/>
              <w:left w:val="nil"/>
              <w:bottom w:val="nil"/>
              <w:right w:val="single" w:sz="8" w:space="0" w:color="000000"/>
            </w:tcBorders>
            <w:tcMar>
              <w:top w:w="0" w:type="dxa"/>
              <w:left w:w="108" w:type="dxa"/>
              <w:bottom w:w="0" w:type="dxa"/>
              <w:right w:w="108" w:type="dxa"/>
            </w:tcMar>
            <w:vAlign w:val="center"/>
            <w:hideMark/>
          </w:tcPr>
          <w:p w14:paraId="34E66886"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Гусеничный</w:t>
            </w:r>
          </w:p>
        </w:tc>
        <w:tc>
          <w:tcPr>
            <w:tcW w:w="2799" w:type="dxa"/>
            <w:gridSpan w:val="2"/>
            <w:tcBorders>
              <w:top w:val="nil"/>
              <w:left w:val="nil"/>
              <w:bottom w:val="nil"/>
              <w:right w:val="single" w:sz="8" w:space="0" w:color="000000"/>
            </w:tcBorders>
            <w:tcMar>
              <w:top w:w="0" w:type="dxa"/>
              <w:left w:w="108" w:type="dxa"/>
              <w:bottom w:w="0" w:type="dxa"/>
              <w:right w:w="108" w:type="dxa"/>
            </w:tcMar>
            <w:vAlign w:val="center"/>
            <w:hideMark/>
          </w:tcPr>
          <w:p w14:paraId="0644BAF1"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Гусеничный</w:t>
            </w:r>
          </w:p>
        </w:tc>
      </w:tr>
      <w:tr w:rsidR="005106D0" w:rsidRPr="007224C3" w14:paraId="49B6346C" w14:textId="77777777" w:rsidTr="00C54063">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2CFD73DA"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tc>
        <w:tc>
          <w:tcPr>
            <w:tcW w:w="4394" w:type="dxa"/>
            <w:tcBorders>
              <w:top w:val="nil"/>
              <w:left w:val="nil"/>
              <w:bottom w:val="nil"/>
              <w:right w:val="single" w:sz="8" w:space="0" w:color="000000"/>
            </w:tcBorders>
            <w:tcMar>
              <w:top w:w="0" w:type="dxa"/>
              <w:left w:w="108" w:type="dxa"/>
              <w:bottom w:w="0" w:type="dxa"/>
              <w:right w:w="108" w:type="dxa"/>
            </w:tcMar>
            <w:hideMark/>
          </w:tcPr>
          <w:p w14:paraId="1252302A"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Марка двигателя</w:t>
            </w:r>
          </w:p>
        </w:tc>
        <w:tc>
          <w:tcPr>
            <w:tcW w:w="2830" w:type="dxa"/>
            <w:tcBorders>
              <w:top w:val="nil"/>
              <w:left w:val="nil"/>
              <w:bottom w:val="nil"/>
              <w:right w:val="single" w:sz="8" w:space="0" w:color="000000"/>
            </w:tcBorders>
            <w:tcMar>
              <w:top w:w="0" w:type="dxa"/>
              <w:left w:w="108" w:type="dxa"/>
              <w:bottom w:w="0" w:type="dxa"/>
              <w:right w:w="108" w:type="dxa"/>
            </w:tcMar>
            <w:vAlign w:val="center"/>
            <w:hideMark/>
          </w:tcPr>
          <w:p w14:paraId="760E770C"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Дизель В2-ИС</w:t>
            </w:r>
          </w:p>
        </w:tc>
        <w:tc>
          <w:tcPr>
            <w:tcW w:w="2799" w:type="dxa"/>
            <w:gridSpan w:val="2"/>
            <w:tcBorders>
              <w:top w:val="nil"/>
              <w:left w:val="nil"/>
              <w:bottom w:val="nil"/>
              <w:right w:val="single" w:sz="8" w:space="0" w:color="000000"/>
            </w:tcBorders>
            <w:tcMar>
              <w:top w:w="0" w:type="dxa"/>
              <w:left w:w="108" w:type="dxa"/>
              <w:bottom w:w="0" w:type="dxa"/>
              <w:right w:w="108" w:type="dxa"/>
            </w:tcMar>
            <w:vAlign w:val="center"/>
            <w:hideMark/>
          </w:tcPr>
          <w:p w14:paraId="23FA059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Дизель В2-34</w:t>
            </w:r>
          </w:p>
        </w:tc>
      </w:tr>
      <w:tr w:rsidR="005106D0" w:rsidRPr="007224C3" w14:paraId="1AD82678" w14:textId="77777777" w:rsidTr="00C54063">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6E05EBA6"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w:t>
            </w:r>
          </w:p>
        </w:tc>
        <w:tc>
          <w:tcPr>
            <w:tcW w:w="4394" w:type="dxa"/>
            <w:tcBorders>
              <w:top w:val="nil"/>
              <w:left w:val="nil"/>
              <w:bottom w:val="nil"/>
              <w:right w:val="single" w:sz="8" w:space="0" w:color="000000"/>
            </w:tcBorders>
            <w:tcMar>
              <w:top w:w="0" w:type="dxa"/>
              <w:left w:w="108" w:type="dxa"/>
              <w:bottom w:w="0" w:type="dxa"/>
              <w:right w:w="108" w:type="dxa"/>
            </w:tcMar>
            <w:hideMark/>
          </w:tcPr>
          <w:p w14:paraId="742E2607"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Боевой вес с экипажем</w:t>
            </w:r>
          </w:p>
          <w:p w14:paraId="2975DBF2"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кг.</w:t>
            </w:r>
          </w:p>
        </w:tc>
        <w:tc>
          <w:tcPr>
            <w:tcW w:w="2830" w:type="dxa"/>
            <w:tcBorders>
              <w:top w:val="nil"/>
              <w:left w:val="nil"/>
              <w:bottom w:val="nil"/>
              <w:right w:val="single" w:sz="8" w:space="0" w:color="000000"/>
            </w:tcBorders>
            <w:tcMar>
              <w:top w:w="0" w:type="dxa"/>
              <w:left w:w="108" w:type="dxa"/>
              <w:bottom w:w="0" w:type="dxa"/>
              <w:right w:w="108" w:type="dxa"/>
            </w:tcMar>
            <w:vAlign w:val="center"/>
            <w:hideMark/>
          </w:tcPr>
          <w:p w14:paraId="2983A111"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31300</w:t>
            </w:r>
          </w:p>
        </w:tc>
        <w:tc>
          <w:tcPr>
            <w:tcW w:w="2799" w:type="dxa"/>
            <w:gridSpan w:val="2"/>
            <w:tcBorders>
              <w:top w:val="nil"/>
              <w:left w:val="nil"/>
              <w:bottom w:val="nil"/>
              <w:right w:val="single" w:sz="8" w:space="0" w:color="000000"/>
            </w:tcBorders>
            <w:tcMar>
              <w:top w:w="0" w:type="dxa"/>
              <w:left w:w="108" w:type="dxa"/>
              <w:bottom w:w="0" w:type="dxa"/>
              <w:right w:w="108" w:type="dxa"/>
            </w:tcMar>
            <w:vAlign w:val="center"/>
            <w:hideMark/>
          </w:tcPr>
          <w:p w14:paraId="39C6CDF6"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32200</w:t>
            </w:r>
          </w:p>
        </w:tc>
      </w:tr>
      <w:tr w:rsidR="005106D0" w:rsidRPr="007224C3" w14:paraId="3C66898C" w14:textId="77777777" w:rsidTr="00C54063">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714883BC"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tc>
        <w:tc>
          <w:tcPr>
            <w:tcW w:w="4394" w:type="dxa"/>
            <w:tcBorders>
              <w:top w:val="nil"/>
              <w:left w:val="nil"/>
              <w:bottom w:val="nil"/>
              <w:right w:val="single" w:sz="8" w:space="0" w:color="000000"/>
            </w:tcBorders>
            <w:tcMar>
              <w:top w:w="0" w:type="dxa"/>
              <w:left w:w="108" w:type="dxa"/>
              <w:bottom w:w="0" w:type="dxa"/>
              <w:right w:w="108" w:type="dxa"/>
            </w:tcMar>
            <w:hideMark/>
          </w:tcPr>
          <w:p w14:paraId="05F2C1B4"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Мощность на 1 тонну ве-</w:t>
            </w:r>
          </w:p>
          <w:p w14:paraId="4CFDDA5A"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 танка в л.с.</w:t>
            </w:r>
          </w:p>
        </w:tc>
        <w:tc>
          <w:tcPr>
            <w:tcW w:w="2830" w:type="dxa"/>
            <w:tcBorders>
              <w:top w:val="nil"/>
              <w:left w:val="nil"/>
              <w:bottom w:val="nil"/>
              <w:right w:val="single" w:sz="8" w:space="0" w:color="000000"/>
            </w:tcBorders>
            <w:tcMar>
              <w:top w:w="0" w:type="dxa"/>
              <w:left w:w="108" w:type="dxa"/>
              <w:bottom w:w="0" w:type="dxa"/>
              <w:right w:w="108" w:type="dxa"/>
            </w:tcMar>
            <w:vAlign w:val="center"/>
            <w:hideMark/>
          </w:tcPr>
          <w:p w14:paraId="41AE7ED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16,10</w:t>
            </w:r>
          </w:p>
        </w:tc>
        <w:tc>
          <w:tcPr>
            <w:tcW w:w="2799" w:type="dxa"/>
            <w:gridSpan w:val="2"/>
            <w:tcBorders>
              <w:top w:val="nil"/>
              <w:left w:val="nil"/>
              <w:bottom w:val="nil"/>
              <w:right w:val="single" w:sz="8" w:space="0" w:color="000000"/>
            </w:tcBorders>
            <w:tcMar>
              <w:top w:w="0" w:type="dxa"/>
              <w:left w:w="108" w:type="dxa"/>
              <w:bottom w:w="0" w:type="dxa"/>
              <w:right w:w="108" w:type="dxa"/>
            </w:tcMar>
            <w:vAlign w:val="center"/>
            <w:hideMark/>
          </w:tcPr>
          <w:p w14:paraId="5E45F21F"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15,52</w:t>
            </w:r>
          </w:p>
        </w:tc>
      </w:tr>
      <w:tr w:rsidR="005106D0" w:rsidRPr="007224C3" w14:paraId="154C2E31" w14:textId="77777777" w:rsidTr="00C54063">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44B7841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w:t>
            </w:r>
          </w:p>
        </w:tc>
        <w:tc>
          <w:tcPr>
            <w:tcW w:w="4394" w:type="dxa"/>
            <w:tcBorders>
              <w:top w:val="nil"/>
              <w:left w:val="nil"/>
              <w:bottom w:val="nil"/>
              <w:right w:val="single" w:sz="8" w:space="0" w:color="000000"/>
            </w:tcBorders>
            <w:tcMar>
              <w:top w:w="0" w:type="dxa"/>
              <w:left w:w="108" w:type="dxa"/>
              <w:bottom w:w="0" w:type="dxa"/>
              <w:right w:w="108" w:type="dxa"/>
            </w:tcMar>
            <w:hideMark/>
          </w:tcPr>
          <w:p w14:paraId="4F545EF2"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Удельное давление на</w:t>
            </w:r>
          </w:p>
          <w:p w14:paraId="72CB40E7"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грунт без погружения</w:t>
            </w:r>
          </w:p>
          <w:p w14:paraId="7A85D9B2"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гусениц в кг/см²</w:t>
            </w:r>
          </w:p>
        </w:tc>
        <w:tc>
          <w:tcPr>
            <w:tcW w:w="2830" w:type="dxa"/>
            <w:tcBorders>
              <w:top w:val="nil"/>
              <w:left w:val="nil"/>
              <w:bottom w:val="nil"/>
              <w:right w:val="single" w:sz="8" w:space="0" w:color="000000"/>
            </w:tcBorders>
            <w:tcMar>
              <w:top w:w="0" w:type="dxa"/>
              <w:left w:w="108" w:type="dxa"/>
              <w:bottom w:w="0" w:type="dxa"/>
              <w:right w:w="108" w:type="dxa"/>
            </w:tcMar>
            <w:vAlign w:val="center"/>
            <w:hideMark/>
          </w:tcPr>
          <w:p w14:paraId="7BFD848F"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0,840</w:t>
            </w:r>
          </w:p>
        </w:tc>
        <w:tc>
          <w:tcPr>
            <w:tcW w:w="2799" w:type="dxa"/>
            <w:gridSpan w:val="2"/>
            <w:tcBorders>
              <w:top w:val="nil"/>
              <w:left w:val="nil"/>
              <w:bottom w:val="nil"/>
              <w:right w:val="single" w:sz="8" w:space="0" w:color="000000"/>
            </w:tcBorders>
            <w:tcMar>
              <w:top w:w="0" w:type="dxa"/>
              <w:left w:w="108" w:type="dxa"/>
              <w:bottom w:w="0" w:type="dxa"/>
              <w:right w:w="108" w:type="dxa"/>
            </w:tcMar>
            <w:vAlign w:val="center"/>
            <w:hideMark/>
          </w:tcPr>
          <w:p w14:paraId="47D36EBD"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0,836</w:t>
            </w:r>
          </w:p>
        </w:tc>
      </w:tr>
      <w:tr w:rsidR="005106D0" w:rsidRPr="007224C3" w14:paraId="0F7EAAEA" w14:textId="77777777" w:rsidTr="00C54063">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2694C600"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w:t>
            </w:r>
          </w:p>
        </w:tc>
        <w:tc>
          <w:tcPr>
            <w:tcW w:w="4394" w:type="dxa"/>
            <w:tcBorders>
              <w:top w:val="nil"/>
              <w:left w:val="nil"/>
              <w:bottom w:val="nil"/>
              <w:right w:val="single" w:sz="8" w:space="0" w:color="000000"/>
            </w:tcBorders>
            <w:tcMar>
              <w:top w:w="0" w:type="dxa"/>
              <w:left w:w="108" w:type="dxa"/>
              <w:bottom w:w="0" w:type="dxa"/>
              <w:right w:w="108" w:type="dxa"/>
            </w:tcMar>
            <w:hideMark/>
          </w:tcPr>
          <w:p w14:paraId="347CAA51"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Экипаж</w:t>
            </w:r>
          </w:p>
        </w:tc>
        <w:tc>
          <w:tcPr>
            <w:tcW w:w="2830" w:type="dxa"/>
            <w:tcBorders>
              <w:top w:val="nil"/>
              <w:left w:val="nil"/>
              <w:bottom w:val="nil"/>
              <w:right w:val="single" w:sz="8" w:space="0" w:color="000000"/>
            </w:tcBorders>
            <w:tcMar>
              <w:top w:w="0" w:type="dxa"/>
              <w:left w:w="108" w:type="dxa"/>
              <w:bottom w:w="0" w:type="dxa"/>
              <w:right w:w="108" w:type="dxa"/>
            </w:tcMar>
            <w:vAlign w:val="center"/>
            <w:hideMark/>
          </w:tcPr>
          <w:p w14:paraId="2D9EC7BC"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чел.</w:t>
            </w:r>
          </w:p>
        </w:tc>
        <w:tc>
          <w:tcPr>
            <w:tcW w:w="2799" w:type="dxa"/>
            <w:gridSpan w:val="2"/>
            <w:tcBorders>
              <w:top w:val="nil"/>
              <w:left w:val="nil"/>
              <w:bottom w:val="nil"/>
              <w:right w:val="single" w:sz="8" w:space="0" w:color="000000"/>
            </w:tcBorders>
            <w:tcMar>
              <w:top w:w="0" w:type="dxa"/>
              <w:left w:w="108" w:type="dxa"/>
              <w:bottom w:w="0" w:type="dxa"/>
              <w:right w:w="108" w:type="dxa"/>
            </w:tcMar>
            <w:vAlign w:val="center"/>
            <w:hideMark/>
          </w:tcPr>
          <w:p w14:paraId="3F6136C3"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чел.</w:t>
            </w:r>
          </w:p>
        </w:tc>
      </w:tr>
      <w:tr w:rsidR="005106D0" w:rsidRPr="007224C3" w14:paraId="1561E1EA" w14:textId="77777777" w:rsidTr="00811C95">
        <w:trPr>
          <w:trHeight w:val="746"/>
          <w:jc w:val="center"/>
        </w:trPr>
        <w:tc>
          <w:tcPr>
            <w:tcW w:w="10976" w:type="dxa"/>
            <w:gridSpan w:val="5"/>
            <w:tcBorders>
              <w:top w:val="nil"/>
              <w:left w:val="single" w:sz="8" w:space="0" w:color="000000"/>
              <w:bottom w:val="nil"/>
              <w:right w:val="single" w:sz="8" w:space="0" w:color="000000"/>
            </w:tcBorders>
            <w:tcMar>
              <w:top w:w="0" w:type="dxa"/>
              <w:left w:w="108" w:type="dxa"/>
              <w:bottom w:w="0" w:type="dxa"/>
              <w:right w:w="108" w:type="dxa"/>
            </w:tcMar>
            <w:vAlign w:val="center"/>
            <w:hideMark/>
          </w:tcPr>
          <w:p w14:paraId="096F7ED8"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ГАБАРИТЫ:</w:t>
            </w:r>
          </w:p>
        </w:tc>
      </w:tr>
      <w:tr w:rsidR="005106D0" w:rsidRPr="007224C3" w14:paraId="59263A78" w14:textId="77777777" w:rsidTr="00C54063">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67247F62"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tc>
        <w:tc>
          <w:tcPr>
            <w:tcW w:w="4394" w:type="dxa"/>
            <w:tcBorders>
              <w:top w:val="nil"/>
              <w:left w:val="nil"/>
              <w:bottom w:val="nil"/>
              <w:right w:val="single" w:sz="8" w:space="0" w:color="000000"/>
            </w:tcBorders>
            <w:tcMar>
              <w:top w:w="0" w:type="dxa"/>
              <w:left w:w="108" w:type="dxa"/>
              <w:bottom w:w="0" w:type="dxa"/>
              <w:right w:w="108" w:type="dxa"/>
            </w:tcMar>
            <w:hideMark/>
          </w:tcPr>
          <w:p w14:paraId="7E37C756"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Длина с пушкой вперед в мм</w:t>
            </w:r>
          </w:p>
        </w:tc>
        <w:tc>
          <w:tcPr>
            <w:tcW w:w="2830" w:type="dxa"/>
            <w:tcBorders>
              <w:top w:val="nil"/>
              <w:left w:val="nil"/>
              <w:bottom w:val="nil"/>
              <w:right w:val="single" w:sz="8" w:space="0" w:color="000000"/>
            </w:tcBorders>
            <w:tcMar>
              <w:top w:w="0" w:type="dxa"/>
              <w:left w:w="108" w:type="dxa"/>
              <w:bottom w:w="0" w:type="dxa"/>
              <w:right w:w="108" w:type="dxa"/>
            </w:tcMar>
            <w:vAlign w:val="center"/>
            <w:hideMark/>
          </w:tcPr>
          <w:p w14:paraId="3CE72E4C"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7900</w:t>
            </w:r>
          </w:p>
        </w:tc>
        <w:tc>
          <w:tcPr>
            <w:tcW w:w="2799" w:type="dxa"/>
            <w:gridSpan w:val="2"/>
            <w:tcBorders>
              <w:top w:val="nil"/>
              <w:left w:val="nil"/>
              <w:bottom w:val="nil"/>
              <w:right w:val="single" w:sz="8" w:space="0" w:color="000000"/>
            </w:tcBorders>
            <w:tcMar>
              <w:top w:w="0" w:type="dxa"/>
              <w:left w:w="108" w:type="dxa"/>
              <w:bottom w:w="0" w:type="dxa"/>
              <w:right w:w="108" w:type="dxa"/>
            </w:tcMar>
            <w:vAlign w:val="center"/>
            <w:hideMark/>
          </w:tcPr>
          <w:p w14:paraId="0BE7DD6C"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8100</w:t>
            </w:r>
          </w:p>
        </w:tc>
      </w:tr>
      <w:tr w:rsidR="005106D0" w:rsidRPr="007224C3" w14:paraId="10319112" w14:textId="77777777" w:rsidTr="00C54063">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2A9DFD50"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tc>
        <w:tc>
          <w:tcPr>
            <w:tcW w:w="4394" w:type="dxa"/>
            <w:tcBorders>
              <w:top w:val="nil"/>
              <w:left w:val="nil"/>
              <w:bottom w:val="nil"/>
              <w:right w:val="single" w:sz="8" w:space="0" w:color="000000"/>
            </w:tcBorders>
            <w:tcMar>
              <w:top w:w="0" w:type="dxa"/>
              <w:left w:w="108" w:type="dxa"/>
              <w:bottom w:w="0" w:type="dxa"/>
              <w:right w:w="108" w:type="dxa"/>
            </w:tcMar>
            <w:hideMark/>
          </w:tcPr>
          <w:p w14:paraId="0A0BB93D"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Длина с пушкой назад в мм</w:t>
            </w:r>
          </w:p>
        </w:tc>
        <w:tc>
          <w:tcPr>
            <w:tcW w:w="2830" w:type="dxa"/>
            <w:tcBorders>
              <w:top w:val="nil"/>
              <w:left w:val="nil"/>
              <w:bottom w:val="nil"/>
              <w:right w:val="single" w:sz="8" w:space="0" w:color="000000"/>
            </w:tcBorders>
            <w:tcMar>
              <w:top w:w="0" w:type="dxa"/>
              <w:left w:w="108" w:type="dxa"/>
              <w:bottom w:w="0" w:type="dxa"/>
              <w:right w:w="108" w:type="dxa"/>
            </w:tcMar>
            <w:vAlign w:val="center"/>
            <w:hideMark/>
          </w:tcPr>
          <w:p w14:paraId="7ECDFE19"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7400</w:t>
            </w:r>
          </w:p>
        </w:tc>
        <w:tc>
          <w:tcPr>
            <w:tcW w:w="2799" w:type="dxa"/>
            <w:gridSpan w:val="2"/>
            <w:tcBorders>
              <w:top w:val="nil"/>
              <w:left w:val="nil"/>
              <w:bottom w:val="nil"/>
              <w:right w:val="single" w:sz="8" w:space="0" w:color="000000"/>
            </w:tcBorders>
            <w:tcMar>
              <w:top w:w="0" w:type="dxa"/>
              <w:left w:w="108" w:type="dxa"/>
              <w:bottom w:w="0" w:type="dxa"/>
              <w:right w:w="108" w:type="dxa"/>
            </w:tcMar>
            <w:vAlign w:val="center"/>
            <w:hideMark/>
          </w:tcPr>
          <w:p w14:paraId="3F99F3FA"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615C78B1" w14:textId="77777777" w:rsidTr="00C54063">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58970B72"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tc>
        <w:tc>
          <w:tcPr>
            <w:tcW w:w="4394" w:type="dxa"/>
            <w:tcBorders>
              <w:top w:val="nil"/>
              <w:left w:val="nil"/>
              <w:bottom w:val="nil"/>
              <w:right w:val="single" w:sz="8" w:space="0" w:color="000000"/>
            </w:tcBorders>
            <w:tcMar>
              <w:top w:w="0" w:type="dxa"/>
              <w:left w:w="108" w:type="dxa"/>
              <w:bottom w:w="0" w:type="dxa"/>
              <w:right w:w="108" w:type="dxa"/>
            </w:tcMar>
            <w:hideMark/>
          </w:tcPr>
          <w:p w14:paraId="359EFF30"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Длина по корпусу в мм</w:t>
            </w:r>
          </w:p>
        </w:tc>
        <w:tc>
          <w:tcPr>
            <w:tcW w:w="2830" w:type="dxa"/>
            <w:tcBorders>
              <w:top w:val="nil"/>
              <w:left w:val="nil"/>
              <w:bottom w:val="nil"/>
              <w:right w:val="single" w:sz="8" w:space="0" w:color="000000"/>
            </w:tcBorders>
            <w:tcMar>
              <w:top w:w="0" w:type="dxa"/>
              <w:left w:w="108" w:type="dxa"/>
              <w:bottom w:w="0" w:type="dxa"/>
              <w:right w:w="108" w:type="dxa"/>
            </w:tcMar>
            <w:vAlign w:val="center"/>
            <w:hideMark/>
          </w:tcPr>
          <w:p w14:paraId="2FB0A80F"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5870</w:t>
            </w:r>
          </w:p>
        </w:tc>
        <w:tc>
          <w:tcPr>
            <w:tcW w:w="2799" w:type="dxa"/>
            <w:gridSpan w:val="2"/>
            <w:tcBorders>
              <w:top w:val="nil"/>
              <w:left w:val="nil"/>
              <w:bottom w:val="nil"/>
              <w:right w:val="single" w:sz="8" w:space="0" w:color="000000"/>
            </w:tcBorders>
            <w:tcMar>
              <w:top w:w="0" w:type="dxa"/>
              <w:left w:w="108" w:type="dxa"/>
              <w:bottom w:w="0" w:type="dxa"/>
              <w:right w:w="108" w:type="dxa"/>
            </w:tcMar>
            <w:vAlign w:val="center"/>
            <w:hideMark/>
          </w:tcPr>
          <w:p w14:paraId="272C1633"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6100</w:t>
            </w:r>
          </w:p>
        </w:tc>
      </w:tr>
      <w:tr w:rsidR="005106D0" w:rsidRPr="007224C3" w14:paraId="75A1519C" w14:textId="77777777" w:rsidTr="00C54063">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338F1A29"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w:t>
            </w:r>
          </w:p>
        </w:tc>
        <w:tc>
          <w:tcPr>
            <w:tcW w:w="4394" w:type="dxa"/>
            <w:tcBorders>
              <w:top w:val="nil"/>
              <w:left w:val="nil"/>
              <w:bottom w:val="nil"/>
              <w:right w:val="single" w:sz="8" w:space="0" w:color="000000"/>
            </w:tcBorders>
            <w:tcMar>
              <w:top w:w="0" w:type="dxa"/>
              <w:left w:w="108" w:type="dxa"/>
              <w:bottom w:w="0" w:type="dxa"/>
              <w:right w:w="108" w:type="dxa"/>
            </w:tcMar>
            <w:hideMark/>
          </w:tcPr>
          <w:p w14:paraId="13EB540A"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Ширина в мм</w:t>
            </w:r>
          </w:p>
        </w:tc>
        <w:tc>
          <w:tcPr>
            <w:tcW w:w="2830" w:type="dxa"/>
            <w:tcBorders>
              <w:top w:val="nil"/>
              <w:left w:val="nil"/>
              <w:bottom w:val="nil"/>
              <w:right w:val="single" w:sz="8" w:space="0" w:color="000000"/>
            </w:tcBorders>
            <w:tcMar>
              <w:top w:w="0" w:type="dxa"/>
              <w:left w:w="108" w:type="dxa"/>
              <w:bottom w:w="0" w:type="dxa"/>
              <w:right w:w="108" w:type="dxa"/>
            </w:tcMar>
            <w:vAlign w:val="center"/>
            <w:hideMark/>
          </w:tcPr>
          <w:p w14:paraId="4603BF80"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3130</w:t>
            </w:r>
          </w:p>
        </w:tc>
        <w:tc>
          <w:tcPr>
            <w:tcW w:w="2799" w:type="dxa"/>
            <w:gridSpan w:val="2"/>
            <w:tcBorders>
              <w:top w:val="nil"/>
              <w:left w:val="nil"/>
              <w:bottom w:val="nil"/>
              <w:right w:val="single" w:sz="8" w:space="0" w:color="000000"/>
            </w:tcBorders>
            <w:tcMar>
              <w:top w:w="0" w:type="dxa"/>
              <w:left w:w="108" w:type="dxa"/>
              <w:bottom w:w="0" w:type="dxa"/>
              <w:right w:w="108" w:type="dxa"/>
            </w:tcMar>
            <w:vAlign w:val="center"/>
            <w:hideMark/>
          </w:tcPr>
          <w:p w14:paraId="18D6705D"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3000</w:t>
            </w:r>
          </w:p>
        </w:tc>
      </w:tr>
      <w:tr w:rsidR="005106D0" w:rsidRPr="007224C3" w14:paraId="1E9B7E18" w14:textId="77777777" w:rsidTr="00C54063">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48C4C5DB"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tc>
        <w:tc>
          <w:tcPr>
            <w:tcW w:w="4394" w:type="dxa"/>
            <w:tcBorders>
              <w:top w:val="nil"/>
              <w:left w:val="nil"/>
              <w:bottom w:val="nil"/>
              <w:right w:val="single" w:sz="8" w:space="0" w:color="000000"/>
            </w:tcBorders>
            <w:tcMar>
              <w:top w:w="0" w:type="dxa"/>
              <w:left w:w="108" w:type="dxa"/>
              <w:bottom w:w="0" w:type="dxa"/>
              <w:right w:w="108" w:type="dxa"/>
            </w:tcMar>
            <w:hideMark/>
          </w:tcPr>
          <w:p w14:paraId="3FE749E3"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Общая высота в мм</w:t>
            </w:r>
          </w:p>
        </w:tc>
        <w:tc>
          <w:tcPr>
            <w:tcW w:w="2830" w:type="dxa"/>
            <w:tcBorders>
              <w:top w:val="nil"/>
              <w:left w:val="nil"/>
              <w:bottom w:val="nil"/>
              <w:right w:val="single" w:sz="8" w:space="0" w:color="000000"/>
            </w:tcBorders>
            <w:tcMar>
              <w:top w:w="0" w:type="dxa"/>
              <w:left w:w="108" w:type="dxa"/>
              <w:bottom w:w="0" w:type="dxa"/>
              <w:right w:w="108" w:type="dxa"/>
            </w:tcMar>
            <w:vAlign w:val="center"/>
            <w:hideMark/>
          </w:tcPr>
          <w:p w14:paraId="270A4F73"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2290</w:t>
            </w:r>
          </w:p>
        </w:tc>
        <w:tc>
          <w:tcPr>
            <w:tcW w:w="2799" w:type="dxa"/>
            <w:gridSpan w:val="2"/>
            <w:tcBorders>
              <w:top w:val="nil"/>
              <w:left w:val="nil"/>
              <w:bottom w:val="nil"/>
              <w:right w:val="single" w:sz="8" w:space="0" w:color="000000"/>
            </w:tcBorders>
            <w:tcMar>
              <w:top w:w="0" w:type="dxa"/>
              <w:left w:w="108" w:type="dxa"/>
              <w:bottom w:w="0" w:type="dxa"/>
              <w:right w:w="108" w:type="dxa"/>
            </w:tcMar>
            <w:vAlign w:val="center"/>
            <w:hideMark/>
          </w:tcPr>
          <w:p w14:paraId="5196BB47"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2700</w:t>
            </w:r>
          </w:p>
        </w:tc>
      </w:tr>
      <w:tr w:rsidR="005106D0" w:rsidRPr="007224C3" w14:paraId="7BF5ABB6" w14:textId="77777777" w:rsidTr="00C54063">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4E411664"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w:t>
            </w:r>
          </w:p>
        </w:tc>
        <w:tc>
          <w:tcPr>
            <w:tcW w:w="4394" w:type="dxa"/>
            <w:tcBorders>
              <w:top w:val="nil"/>
              <w:left w:val="nil"/>
              <w:bottom w:val="nil"/>
              <w:right w:val="single" w:sz="8" w:space="0" w:color="000000"/>
            </w:tcBorders>
            <w:tcMar>
              <w:top w:w="0" w:type="dxa"/>
              <w:left w:w="108" w:type="dxa"/>
              <w:bottom w:w="0" w:type="dxa"/>
              <w:right w:w="108" w:type="dxa"/>
            </w:tcMar>
            <w:hideMark/>
          </w:tcPr>
          <w:p w14:paraId="3204D298"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Высота корпуса (от полот-</w:t>
            </w:r>
          </w:p>
          <w:p w14:paraId="7E0FEA01"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дороги) в мм</w:t>
            </w:r>
          </w:p>
        </w:tc>
        <w:tc>
          <w:tcPr>
            <w:tcW w:w="2830" w:type="dxa"/>
            <w:tcBorders>
              <w:top w:val="nil"/>
              <w:left w:val="nil"/>
              <w:bottom w:val="nil"/>
              <w:right w:val="single" w:sz="8" w:space="0" w:color="000000"/>
            </w:tcBorders>
            <w:tcMar>
              <w:top w:w="0" w:type="dxa"/>
              <w:left w:w="108" w:type="dxa"/>
              <w:bottom w:w="0" w:type="dxa"/>
              <w:right w:w="108" w:type="dxa"/>
            </w:tcMar>
            <w:vAlign w:val="center"/>
            <w:hideMark/>
          </w:tcPr>
          <w:p w14:paraId="439131EF"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передней</w:t>
            </w:r>
          </w:p>
          <w:p w14:paraId="3435642F"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части 1280.</w:t>
            </w:r>
          </w:p>
          <w:p w14:paraId="7F51280D"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задней час-</w:t>
            </w:r>
          </w:p>
          <w:p w14:paraId="677A77C7"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ти 1420.</w:t>
            </w:r>
          </w:p>
        </w:tc>
        <w:tc>
          <w:tcPr>
            <w:tcW w:w="2799" w:type="dxa"/>
            <w:gridSpan w:val="2"/>
            <w:tcBorders>
              <w:top w:val="nil"/>
              <w:left w:val="nil"/>
              <w:bottom w:val="nil"/>
              <w:right w:val="single" w:sz="8" w:space="0" w:color="000000"/>
            </w:tcBorders>
            <w:tcMar>
              <w:top w:w="0" w:type="dxa"/>
              <w:left w:w="108" w:type="dxa"/>
              <w:bottom w:w="0" w:type="dxa"/>
              <w:right w:w="108" w:type="dxa"/>
            </w:tcMar>
            <w:vAlign w:val="center"/>
            <w:hideMark/>
          </w:tcPr>
          <w:p w14:paraId="6051ED46"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передней</w:t>
            </w:r>
          </w:p>
          <w:p w14:paraId="42088A6B"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части 1558.</w:t>
            </w:r>
          </w:p>
          <w:p w14:paraId="5CB30B9A"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задней час-</w:t>
            </w:r>
          </w:p>
          <w:p w14:paraId="5BD0FFE4"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ти 1683.</w:t>
            </w:r>
          </w:p>
        </w:tc>
      </w:tr>
      <w:tr w:rsidR="005106D0" w:rsidRPr="007224C3" w14:paraId="3542E049" w14:textId="77777777" w:rsidTr="00C54063">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1AC955D0"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w:t>
            </w:r>
          </w:p>
        </w:tc>
        <w:tc>
          <w:tcPr>
            <w:tcW w:w="4394" w:type="dxa"/>
            <w:tcBorders>
              <w:top w:val="nil"/>
              <w:left w:val="nil"/>
              <w:bottom w:val="nil"/>
              <w:right w:val="single" w:sz="8" w:space="0" w:color="000000"/>
            </w:tcBorders>
            <w:tcMar>
              <w:top w:w="0" w:type="dxa"/>
              <w:left w:w="108" w:type="dxa"/>
              <w:bottom w:w="0" w:type="dxa"/>
              <w:right w:w="108" w:type="dxa"/>
            </w:tcMar>
            <w:hideMark/>
          </w:tcPr>
          <w:p w14:paraId="38EDC73B"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Ширина колеи (расстояние между серединами гусениц)</w:t>
            </w:r>
          </w:p>
          <w:p w14:paraId="150104E4"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мм</w:t>
            </w:r>
          </w:p>
        </w:tc>
        <w:tc>
          <w:tcPr>
            <w:tcW w:w="2830" w:type="dxa"/>
            <w:tcBorders>
              <w:top w:val="nil"/>
              <w:left w:val="nil"/>
              <w:bottom w:val="nil"/>
              <w:right w:val="single" w:sz="8" w:space="0" w:color="000000"/>
            </w:tcBorders>
            <w:tcMar>
              <w:top w:w="0" w:type="dxa"/>
              <w:left w:w="108" w:type="dxa"/>
              <w:bottom w:w="0" w:type="dxa"/>
              <w:right w:w="108" w:type="dxa"/>
            </w:tcMar>
            <w:vAlign w:val="center"/>
            <w:hideMark/>
          </w:tcPr>
          <w:p w14:paraId="63256C3A"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2610</w:t>
            </w:r>
          </w:p>
        </w:tc>
        <w:tc>
          <w:tcPr>
            <w:tcW w:w="2799" w:type="dxa"/>
            <w:gridSpan w:val="2"/>
            <w:tcBorders>
              <w:top w:val="nil"/>
              <w:left w:val="nil"/>
              <w:bottom w:val="nil"/>
              <w:right w:val="single" w:sz="8" w:space="0" w:color="000000"/>
            </w:tcBorders>
            <w:tcMar>
              <w:top w:w="0" w:type="dxa"/>
              <w:left w:w="108" w:type="dxa"/>
              <w:bottom w:w="0" w:type="dxa"/>
              <w:right w:w="108" w:type="dxa"/>
            </w:tcMar>
            <w:vAlign w:val="center"/>
            <w:hideMark/>
          </w:tcPr>
          <w:p w14:paraId="2DB5DF43"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2460</w:t>
            </w:r>
          </w:p>
        </w:tc>
      </w:tr>
      <w:tr w:rsidR="005106D0" w:rsidRPr="007224C3" w14:paraId="1895B733" w14:textId="77777777" w:rsidTr="00C54063">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61A32D47"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w:t>
            </w:r>
          </w:p>
        </w:tc>
        <w:tc>
          <w:tcPr>
            <w:tcW w:w="4394" w:type="dxa"/>
            <w:tcBorders>
              <w:top w:val="nil"/>
              <w:left w:val="nil"/>
              <w:bottom w:val="nil"/>
              <w:right w:val="single" w:sz="8" w:space="0" w:color="000000"/>
            </w:tcBorders>
            <w:tcMar>
              <w:top w:w="0" w:type="dxa"/>
              <w:left w:w="108" w:type="dxa"/>
              <w:bottom w:w="0" w:type="dxa"/>
              <w:right w:w="108" w:type="dxa"/>
            </w:tcMar>
            <w:hideMark/>
          </w:tcPr>
          <w:p w14:paraId="4C0CF80D"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Клиренс на твердом грунте</w:t>
            </w:r>
          </w:p>
        </w:tc>
        <w:tc>
          <w:tcPr>
            <w:tcW w:w="2830" w:type="dxa"/>
            <w:tcBorders>
              <w:top w:val="nil"/>
              <w:left w:val="nil"/>
              <w:bottom w:val="nil"/>
              <w:right w:val="single" w:sz="8" w:space="0" w:color="000000"/>
            </w:tcBorders>
            <w:tcMar>
              <w:top w:w="0" w:type="dxa"/>
              <w:left w:w="108" w:type="dxa"/>
              <w:bottom w:w="0" w:type="dxa"/>
              <w:right w:w="108" w:type="dxa"/>
            </w:tcMar>
            <w:vAlign w:val="center"/>
            <w:hideMark/>
          </w:tcPr>
          <w:p w14:paraId="2894DCD9"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450/368</w:t>
            </w:r>
          </w:p>
        </w:tc>
        <w:tc>
          <w:tcPr>
            <w:tcW w:w="2799" w:type="dxa"/>
            <w:gridSpan w:val="2"/>
            <w:tcBorders>
              <w:top w:val="nil"/>
              <w:left w:val="nil"/>
              <w:bottom w:val="nil"/>
              <w:right w:val="single" w:sz="8" w:space="0" w:color="000000"/>
            </w:tcBorders>
            <w:tcMar>
              <w:top w:w="0" w:type="dxa"/>
              <w:left w:w="108" w:type="dxa"/>
              <w:bottom w:w="0" w:type="dxa"/>
              <w:right w:w="108" w:type="dxa"/>
            </w:tcMar>
            <w:vAlign w:val="center"/>
            <w:hideMark/>
          </w:tcPr>
          <w:p w14:paraId="71E9274D"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380-410</w:t>
            </w:r>
          </w:p>
        </w:tc>
      </w:tr>
      <w:tr w:rsidR="005106D0" w:rsidRPr="007224C3" w14:paraId="3E0413A0" w14:textId="77777777" w:rsidTr="00C54063">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vAlign w:val="center"/>
            <w:hideMark/>
          </w:tcPr>
          <w:p w14:paraId="42A1EDAD"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9.</w:t>
            </w:r>
          </w:p>
        </w:tc>
        <w:tc>
          <w:tcPr>
            <w:tcW w:w="4394" w:type="dxa"/>
            <w:tcBorders>
              <w:top w:val="nil"/>
              <w:left w:val="nil"/>
              <w:bottom w:val="nil"/>
              <w:right w:val="single" w:sz="8" w:space="0" w:color="000000"/>
            </w:tcBorders>
            <w:tcMar>
              <w:top w:w="0" w:type="dxa"/>
              <w:left w:w="108" w:type="dxa"/>
              <w:bottom w:w="0" w:type="dxa"/>
              <w:right w:w="108" w:type="dxa"/>
            </w:tcMar>
            <w:hideMark/>
          </w:tcPr>
          <w:p w14:paraId="5927F0F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Длина опорной поверхности</w:t>
            </w:r>
          </w:p>
          <w:p w14:paraId="6C5536BC"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без погружения в мм</w:t>
            </w:r>
          </w:p>
        </w:tc>
        <w:tc>
          <w:tcPr>
            <w:tcW w:w="2836" w:type="dxa"/>
            <w:gridSpan w:val="2"/>
            <w:tcBorders>
              <w:top w:val="nil"/>
              <w:left w:val="nil"/>
              <w:bottom w:val="nil"/>
              <w:right w:val="single" w:sz="8" w:space="0" w:color="000000"/>
            </w:tcBorders>
            <w:tcMar>
              <w:top w:w="0" w:type="dxa"/>
              <w:left w:w="108" w:type="dxa"/>
              <w:bottom w:w="0" w:type="dxa"/>
              <w:right w:w="108" w:type="dxa"/>
            </w:tcMar>
            <w:vAlign w:val="center"/>
            <w:hideMark/>
          </w:tcPr>
          <w:p w14:paraId="1C21AACF"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3840</w:t>
            </w:r>
          </w:p>
        </w:tc>
        <w:tc>
          <w:tcPr>
            <w:tcW w:w="2793" w:type="dxa"/>
            <w:tcBorders>
              <w:top w:val="nil"/>
              <w:left w:val="nil"/>
              <w:bottom w:val="nil"/>
              <w:right w:val="single" w:sz="8" w:space="0" w:color="000000"/>
            </w:tcBorders>
            <w:tcMar>
              <w:top w:w="0" w:type="dxa"/>
              <w:left w:w="108" w:type="dxa"/>
              <w:bottom w:w="0" w:type="dxa"/>
              <w:right w:w="108" w:type="dxa"/>
            </w:tcMar>
            <w:vAlign w:val="center"/>
            <w:hideMark/>
          </w:tcPr>
          <w:p w14:paraId="52A278E0"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3850</w:t>
            </w:r>
          </w:p>
        </w:tc>
      </w:tr>
      <w:tr w:rsidR="005106D0" w:rsidRPr="007224C3" w14:paraId="4F4C8F6F" w14:textId="77777777" w:rsidTr="00C54063">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3D71AA55"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10.</w:t>
            </w:r>
          </w:p>
        </w:tc>
        <w:tc>
          <w:tcPr>
            <w:tcW w:w="4394" w:type="dxa"/>
            <w:tcBorders>
              <w:top w:val="nil"/>
              <w:left w:val="nil"/>
              <w:bottom w:val="nil"/>
              <w:right w:val="single" w:sz="8" w:space="0" w:color="000000"/>
            </w:tcBorders>
            <w:tcMar>
              <w:top w:w="0" w:type="dxa"/>
              <w:left w:w="108" w:type="dxa"/>
              <w:bottom w:w="0" w:type="dxa"/>
              <w:right w:w="108" w:type="dxa"/>
            </w:tcMar>
            <w:hideMark/>
          </w:tcPr>
          <w:p w14:paraId="4CA0441D"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Диаметр погона в свету в мм</w:t>
            </w:r>
          </w:p>
        </w:tc>
        <w:tc>
          <w:tcPr>
            <w:tcW w:w="2836" w:type="dxa"/>
            <w:gridSpan w:val="2"/>
            <w:tcBorders>
              <w:top w:val="nil"/>
              <w:left w:val="nil"/>
              <w:bottom w:val="nil"/>
              <w:right w:val="single" w:sz="8" w:space="0" w:color="000000"/>
            </w:tcBorders>
            <w:tcMar>
              <w:top w:w="0" w:type="dxa"/>
              <w:left w:w="108" w:type="dxa"/>
              <w:bottom w:w="0" w:type="dxa"/>
              <w:right w:w="108" w:type="dxa"/>
            </w:tcMar>
            <w:vAlign w:val="center"/>
            <w:hideMark/>
          </w:tcPr>
          <w:p w14:paraId="3B61E015"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1600</w:t>
            </w:r>
          </w:p>
        </w:tc>
        <w:tc>
          <w:tcPr>
            <w:tcW w:w="2793" w:type="dxa"/>
            <w:tcBorders>
              <w:top w:val="nil"/>
              <w:left w:val="nil"/>
              <w:bottom w:val="nil"/>
              <w:right w:val="single" w:sz="8" w:space="0" w:color="000000"/>
            </w:tcBorders>
            <w:tcMar>
              <w:top w:w="0" w:type="dxa"/>
              <w:left w:w="108" w:type="dxa"/>
              <w:bottom w:w="0" w:type="dxa"/>
              <w:right w:w="108" w:type="dxa"/>
            </w:tcMar>
            <w:vAlign w:val="center"/>
            <w:hideMark/>
          </w:tcPr>
          <w:p w14:paraId="34DE4D69"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1600</w:t>
            </w:r>
          </w:p>
        </w:tc>
      </w:tr>
      <w:tr w:rsidR="005106D0" w:rsidRPr="007224C3" w14:paraId="19E51FA8" w14:textId="77777777" w:rsidTr="00C54063">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47276A71"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w:t>
            </w:r>
          </w:p>
        </w:tc>
        <w:tc>
          <w:tcPr>
            <w:tcW w:w="4394" w:type="dxa"/>
            <w:tcBorders>
              <w:top w:val="nil"/>
              <w:left w:val="nil"/>
              <w:bottom w:val="nil"/>
              <w:right w:val="single" w:sz="8" w:space="0" w:color="000000"/>
            </w:tcBorders>
            <w:tcMar>
              <w:top w:w="0" w:type="dxa"/>
              <w:left w:w="108" w:type="dxa"/>
              <w:bottom w:w="0" w:type="dxa"/>
              <w:right w:w="108" w:type="dxa"/>
            </w:tcMar>
            <w:hideMark/>
          </w:tcPr>
          <w:p w14:paraId="4E2B5814"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Ширина боевого отделения</w:t>
            </w:r>
          </w:p>
          <w:p w14:paraId="6FDEC7BC"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корпусе) в мм</w:t>
            </w:r>
          </w:p>
        </w:tc>
        <w:tc>
          <w:tcPr>
            <w:tcW w:w="2836" w:type="dxa"/>
            <w:gridSpan w:val="2"/>
            <w:tcBorders>
              <w:top w:val="nil"/>
              <w:left w:val="nil"/>
              <w:bottom w:val="nil"/>
              <w:right w:val="single" w:sz="8" w:space="0" w:color="000000"/>
            </w:tcBorders>
            <w:tcMar>
              <w:top w:w="0" w:type="dxa"/>
              <w:left w:w="108" w:type="dxa"/>
              <w:bottom w:w="0" w:type="dxa"/>
              <w:right w:w="108" w:type="dxa"/>
            </w:tcMar>
            <w:vAlign w:val="center"/>
            <w:hideMark/>
          </w:tcPr>
          <w:p w14:paraId="50A17AA5"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1850</w:t>
            </w:r>
          </w:p>
        </w:tc>
        <w:tc>
          <w:tcPr>
            <w:tcW w:w="2793" w:type="dxa"/>
            <w:tcBorders>
              <w:top w:val="nil"/>
              <w:left w:val="nil"/>
              <w:bottom w:val="nil"/>
              <w:right w:val="single" w:sz="8" w:space="0" w:color="000000"/>
            </w:tcBorders>
            <w:tcMar>
              <w:top w:w="0" w:type="dxa"/>
              <w:left w:w="108" w:type="dxa"/>
              <w:bottom w:w="0" w:type="dxa"/>
              <w:right w:w="108" w:type="dxa"/>
            </w:tcMar>
            <w:vAlign w:val="center"/>
            <w:hideMark/>
          </w:tcPr>
          <w:p w14:paraId="5DEAF5D0"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1420</w:t>
            </w:r>
          </w:p>
        </w:tc>
      </w:tr>
      <w:tr w:rsidR="005106D0" w:rsidRPr="007224C3" w14:paraId="28D61FF1" w14:textId="77777777" w:rsidTr="00C54063">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05FC2383"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w:t>
            </w:r>
          </w:p>
        </w:tc>
        <w:tc>
          <w:tcPr>
            <w:tcW w:w="4394" w:type="dxa"/>
            <w:tcBorders>
              <w:top w:val="nil"/>
              <w:left w:val="nil"/>
              <w:bottom w:val="nil"/>
              <w:right w:val="single" w:sz="8" w:space="0" w:color="000000"/>
            </w:tcBorders>
            <w:tcMar>
              <w:top w:w="0" w:type="dxa"/>
              <w:left w:w="108" w:type="dxa"/>
              <w:bottom w:w="0" w:type="dxa"/>
              <w:right w:w="108" w:type="dxa"/>
            </w:tcMar>
            <w:hideMark/>
          </w:tcPr>
          <w:p w14:paraId="34EB03E6"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Длина боевого отделения (от</w:t>
            </w:r>
          </w:p>
          <w:p w14:paraId="370167F2"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спинки сидения водителя до</w:t>
            </w:r>
          </w:p>
          <w:p w14:paraId="4BFD7D24"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перегородки моторного отделения) в мм</w:t>
            </w:r>
          </w:p>
        </w:tc>
        <w:tc>
          <w:tcPr>
            <w:tcW w:w="2836" w:type="dxa"/>
            <w:gridSpan w:val="2"/>
            <w:tcBorders>
              <w:top w:val="nil"/>
              <w:left w:val="nil"/>
              <w:bottom w:val="nil"/>
              <w:right w:val="single" w:sz="8" w:space="0" w:color="000000"/>
            </w:tcBorders>
            <w:tcMar>
              <w:top w:w="0" w:type="dxa"/>
              <w:left w:w="108" w:type="dxa"/>
              <w:bottom w:w="0" w:type="dxa"/>
              <w:right w:w="108" w:type="dxa"/>
            </w:tcMar>
            <w:vAlign w:val="center"/>
            <w:hideMark/>
          </w:tcPr>
          <w:p w14:paraId="56B699D4"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1550</w:t>
            </w:r>
          </w:p>
        </w:tc>
        <w:tc>
          <w:tcPr>
            <w:tcW w:w="2793" w:type="dxa"/>
            <w:tcBorders>
              <w:top w:val="nil"/>
              <w:left w:val="nil"/>
              <w:bottom w:val="nil"/>
              <w:right w:val="single" w:sz="8" w:space="0" w:color="000000"/>
            </w:tcBorders>
            <w:tcMar>
              <w:top w:w="0" w:type="dxa"/>
              <w:left w:w="108" w:type="dxa"/>
              <w:bottom w:w="0" w:type="dxa"/>
              <w:right w:w="108" w:type="dxa"/>
            </w:tcMar>
            <w:vAlign w:val="center"/>
            <w:hideMark/>
          </w:tcPr>
          <w:p w14:paraId="36384C5B"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1450</w:t>
            </w:r>
          </w:p>
        </w:tc>
      </w:tr>
      <w:tr w:rsidR="005106D0" w:rsidRPr="007224C3" w14:paraId="4DBA7B24" w14:textId="77777777" w:rsidTr="00C54063">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39943512" w14:textId="77777777" w:rsidR="00811C95" w:rsidRPr="007224C3" w:rsidRDefault="00811C95" w:rsidP="007224C3">
            <w:pPr>
              <w:spacing w:after="0" w:line="240" w:lineRule="auto"/>
              <w:jc w:val="both"/>
              <w:rPr>
                <w:rFonts w:ascii="Times New Roman" w:hAnsi="Times New Roman"/>
                <w:color w:val="000000" w:themeColor="text1"/>
                <w:sz w:val="16"/>
                <w:szCs w:val="16"/>
              </w:rPr>
            </w:pPr>
            <w:bookmarkStart w:id="31" w:name="_Hlk536816680"/>
            <w:r w:rsidRPr="007224C3">
              <w:rPr>
                <w:rFonts w:ascii="Times New Roman" w:hAnsi="Times New Roman"/>
                <w:color w:val="000000" w:themeColor="text1"/>
                <w:sz w:val="16"/>
                <w:szCs w:val="16"/>
              </w:rPr>
              <w:t>13.</w:t>
            </w:r>
            <w:bookmarkEnd w:id="31"/>
          </w:p>
        </w:tc>
        <w:tc>
          <w:tcPr>
            <w:tcW w:w="4394" w:type="dxa"/>
            <w:tcBorders>
              <w:top w:val="nil"/>
              <w:left w:val="nil"/>
              <w:bottom w:val="nil"/>
              <w:right w:val="single" w:sz="8" w:space="0" w:color="000000"/>
            </w:tcBorders>
            <w:tcMar>
              <w:top w:w="0" w:type="dxa"/>
              <w:left w:w="108" w:type="dxa"/>
              <w:bottom w:w="0" w:type="dxa"/>
              <w:right w:w="108" w:type="dxa"/>
            </w:tcMar>
            <w:hideMark/>
          </w:tcPr>
          <w:p w14:paraId="05C4C930"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Высота боевого отделения в мм</w:t>
            </w:r>
          </w:p>
        </w:tc>
        <w:tc>
          <w:tcPr>
            <w:tcW w:w="2836" w:type="dxa"/>
            <w:gridSpan w:val="2"/>
            <w:tcBorders>
              <w:top w:val="nil"/>
              <w:left w:val="nil"/>
              <w:bottom w:val="nil"/>
              <w:right w:val="single" w:sz="8" w:space="0" w:color="000000"/>
            </w:tcBorders>
            <w:tcMar>
              <w:top w:w="0" w:type="dxa"/>
              <w:left w:w="108" w:type="dxa"/>
              <w:bottom w:w="0" w:type="dxa"/>
              <w:right w:w="108" w:type="dxa"/>
            </w:tcMar>
            <w:vAlign w:val="center"/>
            <w:hideMark/>
          </w:tcPr>
          <w:p w14:paraId="6966DB26"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1555</w:t>
            </w:r>
          </w:p>
        </w:tc>
        <w:tc>
          <w:tcPr>
            <w:tcW w:w="2793" w:type="dxa"/>
            <w:tcBorders>
              <w:top w:val="nil"/>
              <w:left w:val="nil"/>
              <w:bottom w:val="nil"/>
              <w:right w:val="single" w:sz="8" w:space="0" w:color="000000"/>
            </w:tcBorders>
            <w:tcMar>
              <w:top w:w="0" w:type="dxa"/>
              <w:left w:w="108" w:type="dxa"/>
              <w:bottom w:w="0" w:type="dxa"/>
              <w:right w:w="108" w:type="dxa"/>
            </w:tcMar>
            <w:vAlign w:val="center"/>
            <w:hideMark/>
          </w:tcPr>
          <w:p w14:paraId="29F24129"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1585</w:t>
            </w:r>
          </w:p>
        </w:tc>
      </w:tr>
    </w:tbl>
    <w:p w14:paraId="0612E53B"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ТОЛЩИНА И НАКЛОНЫ БРОНЕВЫХ ЛИСТОВ КОРПУСА И БАШНИ.</w:t>
      </w:r>
    </w:p>
    <w:tbl>
      <w:tblPr>
        <w:tblW w:w="4750" w:type="pct"/>
        <w:jc w:val="center"/>
        <w:tblCellMar>
          <w:left w:w="0" w:type="dxa"/>
          <w:right w:w="0" w:type="dxa"/>
        </w:tblCellMar>
        <w:tblLook w:val="04A0" w:firstRow="1" w:lastRow="0" w:firstColumn="1" w:lastColumn="0" w:noHBand="0" w:noVBand="1"/>
      </w:tblPr>
      <w:tblGrid>
        <w:gridCol w:w="665"/>
        <w:gridCol w:w="3799"/>
        <w:gridCol w:w="1575"/>
        <w:gridCol w:w="1574"/>
        <w:gridCol w:w="1575"/>
        <w:gridCol w:w="1574"/>
      </w:tblGrid>
      <w:tr w:rsidR="005106D0" w:rsidRPr="007224C3" w14:paraId="500FD586" w14:textId="77777777" w:rsidTr="00C54063">
        <w:trPr>
          <w:jc w:val="center"/>
        </w:trPr>
        <w:tc>
          <w:tcPr>
            <w:tcW w:w="4515" w:type="dxa"/>
            <w:gridSpan w:val="2"/>
            <w:tcBorders>
              <w:top w:val="nil"/>
              <w:left w:val="nil"/>
              <w:bottom w:val="single" w:sz="8" w:space="0" w:color="auto"/>
              <w:right w:val="single" w:sz="8" w:space="0" w:color="000000"/>
            </w:tcBorders>
            <w:hideMark/>
          </w:tcPr>
          <w:p w14:paraId="1DF0B10C"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w:t>
            </w:r>
            <w:bookmarkStart w:id="32" w:name="_Hlk536816719"/>
            <w:bookmarkStart w:id="33" w:name="_Hlk536817029"/>
            <w:bookmarkEnd w:id="32"/>
            <w:bookmarkEnd w:id="33"/>
            <w:r w:rsidRPr="007224C3">
              <w:rPr>
                <w:rFonts w:ascii="Times New Roman" w:hAnsi="Times New Roman"/>
                <w:color w:val="000000" w:themeColor="text1"/>
                <w:sz w:val="16"/>
                <w:szCs w:val="16"/>
              </w:rPr>
              <w:t> </w:t>
            </w:r>
          </w:p>
          <w:p w14:paraId="35C4DE12"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w:t>
            </w:r>
          </w:p>
        </w:tc>
        <w:tc>
          <w:tcPr>
            <w:tcW w:w="1589" w:type="dxa"/>
            <w:tcBorders>
              <w:top w:val="single" w:sz="8" w:space="0" w:color="auto"/>
              <w:left w:val="nil"/>
              <w:bottom w:val="single" w:sz="8" w:space="0" w:color="auto"/>
              <w:right w:val="single" w:sz="8" w:space="0" w:color="000000"/>
            </w:tcBorders>
            <w:tcMar>
              <w:top w:w="0" w:type="dxa"/>
              <w:left w:w="108" w:type="dxa"/>
              <w:bottom w:w="0" w:type="dxa"/>
              <w:right w:w="108" w:type="dxa"/>
            </w:tcMar>
            <w:hideMark/>
          </w:tcPr>
          <w:p w14:paraId="5C8821AB"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Толщи-</w:t>
            </w:r>
          </w:p>
          <w:p w14:paraId="6D8081BF"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в </w:t>
            </w:r>
          </w:p>
          <w:p w14:paraId="75FE7A6A"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мм</w:t>
            </w:r>
          </w:p>
        </w:tc>
        <w:tc>
          <w:tcPr>
            <w:tcW w:w="1590" w:type="dxa"/>
            <w:tcBorders>
              <w:top w:val="single" w:sz="8" w:space="0" w:color="auto"/>
              <w:left w:val="nil"/>
              <w:bottom w:val="single" w:sz="8" w:space="0" w:color="000000"/>
              <w:right w:val="single" w:sz="8" w:space="0" w:color="000000"/>
            </w:tcBorders>
            <w:tcMar>
              <w:top w:w="0" w:type="dxa"/>
              <w:left w:w="108" w:type="dxa"/>
              <w:bottom w:w="0" w:type="dxa"/>
              <w:right w:w="108" w:type="dxa"/>
            </w:tcMar>
            <w:vAlign w:val="center"/>
            <w:hideMark/>
          </w:tcPr>
          <w:p w14:paraId="3EAB226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Угол</w:t>
            </w:r>
          </w:p>
          <w:p w14:paraId="46549B6B"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накло-</w:t>
            </w:r>
          </w:p>
          <w:p w14:paraId="36DB4052"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к</w:t>
            </w:r>
          </w:p>
          <w:p w14:paraId="143F6B93"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верти-</w:t>
            </w:r>
          </w:p>
          <w:p w14:paraId="600E9B73"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кали</w:t>
            </w:r>
          </w:p>
        </w:tc>
        <w:tc>
          <w:tcPr>
            <w:tcW w:w="1590" w:type="dxa"/>
            <w:tcBorders>
              <w:top w:val="single" w:sz="8" w:space="0" w:color="auto"/>
              <w:left w:val="nil"/>
              <w:bottom w:val="single" w:sz="8" w:space="0" w:color="000000"/>
              <w:right w:val="single" w:sz="8" w:space="0" w:color="000000"/>
            </w:tcBorders>
            <w:tcMar>
              <w:top w:w="0" w:type="dxa"/>
              <w:left w:w="108" w:type="dxa"/>
              <w:bottom w:w="0" w:type="dxa"/>
              <w:right w:w="108" w:type="dxa"/>
            </w:tcMar>
            <w:hideMark/>
          </w:tcPr>
          <w:p w14:paraId="2B6E7BB2"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Толщи-</w:t>
            </w:r>
          </w:p>
          <w:p w14:paraId="488C2B3D"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в </w:t>
            </w:r>
          </w:p>
          <w:p w14:paraId="44639941"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мм</w:t>
            </w:r>
          </w:p>
        </w:tc>
        <w:tc>
          <w:tcPr>
            <w:tcW w:w="1590" w:type="dxa"/>
            <w:tcBorders>
              <w:top w:val="single" w:sz="8" w:space="0" w:color="auto"/>
              <w:left w:val="nil"/>
              <w:bottom w:val="single" w:sz="8" w:space="0" w:color="000000"/>
              <w:right w:val="single" w:sz="8" w:space="0" w:color="000000"/>
            </w:tcBorders>
            <w:tcMar>
              <w:top w:w="0" w:type="dxa"/>
              <w:left w:w="108" w:type="dxa"/>
              <w:bottom w:w="0" w:type="dxa"/>
              <w:right w:w="108" w:type="dxa"/>
            </w:tcMar>
            <w:vAlign w:val="center"/>
            <w:hideMark/>
          </w:tcPr>
          <w:p w14:paraId="3BFB2124"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Угол</w:t>
            </w:r>
          </w:p>
          <w:p w14:paraId="2C332358"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накло-</w:t>
            </w:r>
          </w:p>
          <w:p w14:paraId="40DFA276"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к</w:t>
            </w:r>
          </w:p>
          <w:p w14:paraId="5E686B3F"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верти-</w:t>
            </w:r>
          </w:p>
          <w:p w14:paraId="66E73CA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кали</w:t>
            </w:r>
          </w:p>
        </w:tc>
      </w:tr>
      <w:tr w:rsidR="005106D0" w:rsidRPr="007224C3" w14:paraId="4C1A0D40" w14:textId="77777777" w:rsidTr="00C54063">
        <w:trPr>
          <w:jc w:val="center"/>
        </w:trPr>
        <w:tc>
          <w:tcPr>
            <w:tcW w:w="670" w:type="dxa"/>
            <w:tcBorders>
              <w:top w:val="nil"/>
              <w:left w:val="single" w:sz="8" w:space="0" w:color="000000"/>
              <w:bottom w:val="nil"/>
              <w:right w:val="single" w:sz="8" w:space="0" w:color="000000"/>
            </w:tcBorders>
            <w:tcMar>
              <w:top w:w="0" w:type="dxa"/>
              <w:left w:w="108" w:type="dxa"/>
              <w:bottom w:w="0" w:type="dxa"/>
              <w:right w:w="108" w:type="dxa"/>
            </w:tcMar>
            <w:hideMark/>
          </w:tcPr>
          <w:p w14:paraId="0A7F4841"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tc>
        <w:tc>
          <w:tcPr>
            <w:tcW w:w="3845" w:type="dxa"/>
            <w:tcBorders>
              <w:top w:val="nil"/>
              <w:left w:val="nil"/>
              <w:bottom w:val="nil"/>
              <w:right w:val="single" w:sz="8" w:space="0" w:color="000000"/>
            </w:tcBorders>
            <w:tcMar>
              <w:top w:w="0" w:type="dxa"/>
              <w:left w:w="108" w:type="dxa"/>
              <w:bottom w:w="0" w:type="dxa"/>
              <w:right w:w="108" w:type="dxa"/>
            </w:tcMar>
            <w:hideMark/>
          </w:tcPr>
          <w:p w14:paraId="50039F88"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Носовой лист верхний</w:t>
            </w:r>
          </w:p>
        </w:tc>
        <w:tc>
          <w:tcPr>
            <w:tcW w:w="1589" w:type="dxa"/>
            <w:tcBorders>
              <w:top w:val="nil"/>
              <w:left w:val="nil"/>
              <w:bottom w:val="nil"/>
              <w:right w:val="single" w:sz="8" w:space="0" w:color="000000"/>
            </w:tcBorders>
            <w:tcMar>
              <w:top w:w="0" w:type="dxa"/>
              <w:left w:w="108" w:type="dxa"/>
              <w:bottom w:w="0" w:type="dxa"/>
              <w:right w:w="108" w:type="dxa"/>
            </w:tcMar>
            <w:vAlign w:val="center"/>
            <w:hideMark/>
          </w:tcPr>
          <w:p w14:paraId="360C0DE8"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75</w:t>
            </w:r>
          </w:p>
        </w:tc>
        <w:tc>
          <w:tcPr>
            <w:tcW w:w="1590" w:type="dxa"/>
            <w:tcBorders>
              <w:top w:val="nil"/>
              <w:left w:val="nil"/>
              <w:bottom w:val="nil"/>
              <w:right w:val="single" w:sz="8" w:space="0" w:color="000000"/>
            </w:tcBorders>
            <w:tcMar>
              <w:top w:w="0" w:type="dxa"/>
              <w:left w:w="108" w:type="dxa"/>
              <w:bottom w:w="0" w:type="dxa"/>
              <w:right w:w="108" w:type="dxa"/>
            </w:tcMar>
            <w:vAlign w:val="center"/>
            <w:hideMark/>
          </w:tcPr>
          <w:p w14:paraId="077E4D89"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w:t>
            </w:r>
          </w:p>
        </w:tc>
        <w:tc>
          <w:tcPr>
            <w:tcW w:w="1590" w:type="dxa"/>
            <w:tcBorders>
              <w:top w:val="nil"/>
              <w:left w:val="nil"/>
              <w:bottom w:val="nil"/>
              <w:right w:val="single" w:sz="8" w:space="0" w:color="000000"/>
            </w:tcBorders>
            <w:tcMar>
              <w:top w:w="0" w:type="dxa"/>
              <w:left w:w="108" w:type="dxa"/>
              <w:bottom w:w="0" w:type="dxa"/>
              <w:right w:w="108" w:type="dxa"/>
            </w:tcMar>
            <w:vAlign w:val="center"/>
            <w:hideMark/>
          </w:tcPr>
          <w:p w14:paraId="1371227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w:t>
            </w:r>
          </w:p>
        </w:tc>
        <w:tc>
          <w:tcPr>
            <w:tcW w:w="1590" w:type="dxa"/>
            <w:tcBorders>
              <w:top w:val="nil"/>
              <w:left w:val="nil"/>
              <w:bottom w:val="nil"/>
              <w:right w:val="single" w:sz="8" w:space="0" w:color="000000"/>
            </w:tcBorders>
            <w:tcMar>
              <w:top w:w="0" w:type="dxa"/>
              <w:left w:w="108" w:type="dxa"/>
              <w:bottom w:w="0" w:type="dxa"/>
              <w:right w:w="108" w:type="dxa"/>
            </w:tcMar>
            <w:vAlign w:val="center"/>
            <w:hideMark/>
          </w:tcPr>
          <w:p w14:paraId="7644E535"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w:t>
            </w:r>
          </w:p>
        </w:tc>
      </w:tr>
      <w:tr w:rsidR="005106D0" w:rsidRPr="007224C3" w14:paraId="17788CBB" w14:textId="77777777" w:rsidTr="00C54063">
        <w:trPr>
          <w:jc w:val="center"/>
        </w:trPr>
        <w:tc>
          <w:tcPr>
            <w:tcW w:w="670" w:type="dxa"/>
            <w:tcBorders>
              <w:top w:val="nil"/>
              <w:left w:val="single" w:sz="8" w:space="0" w:color="000000"/>
              <w:bottom w:val="nil"/>
              <w:right w:val="single" w:sz="8" w:space="0" w:color="000000"/>
            </w:tcBorders>
            <w:tcMar>
              <w:top w:w="0" w:type="dxa"/>
              <w:left w:w="108" w:type="dxa"/>
              <w:bottom w:w="0" w:type="dxa"/>
              <w:right w:w="108" w:type="dxa"/>
            </w:tcMar>
            <w:hideMark/>
          </w:tcPr>
          <w:p w14:paraId="1E7B38C7"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tc>
        <w:tc>
          <w:tcPr>
            <w:tcW w:w="3845" w:type="dxa"/>
            <w:tcBorders>
              <w:top w:val="nil"/>
              <w:left w:val="nil"/>
              <w:bottom w:val="nil"/>
              <w:right w:val="single" w:sz="8" w:space="0" w:color="000000"/>
            </w:tcBorders>
            <w:tcMar>
              <w:top w:w="0" w:type="dxa"/>
              <w:left w:w="108" w:type="dxa"/>
              <w:bottom w:w="0" w:type="dxa"/>
              <w:right w:w="108" w:type="dxa"/>
            </w:tcMar>
            <w:hideMark/>
          </w:tcPr>
          <w:p w14:paraId="783DECAD"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Носовой лист нижний</w:t>
            </w:r>
          </w:p>
        </w:tc>
        <w:tc>
          <w:tcPr>
            <w:tcW w:w="1589" w:type="dxa"/>
            <w:tcBorders>
              <w:top w:val="nil"/>
              <w:left w:val="nil"/>
              <w:bottom w:val="nil"/>
              <w:right w:val="single" w:sz="8" w:space="0" w:color="000000"/>
            </w:tcBorders>
            <w:tcMar>
              <w:top w:w="0" w:type="dxa"/>
              <w:left w:w="108" w:type="dxa"/>
              <w:bottom w:w="0" w:type="dxa"/>
              <w:right w:w="108" w:type="dxa"/>
            </w:tcMar>
            <w:vAlign w:val="center"/>
            <w:hideMark/>
          </w:tcPr>
          <w:p w14:paraId="7AADA680"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75</w:t>
            </w:r>
          </w:p>
        </w:tc>
        <w:tc>
          <w:tcPr>
            <w:tcW w:w="1590" w:type="dxa"/>
            <w:tcBorders>
              <w:top w:val="nil"/>
              <w:left w:val="nil"/>
              <w:bottom w:val="nil"/>
              <w:right w:val="single" w:sz="8" w:space="0" w:color="000000"/>
            </w:tcBorders>
            <w:tcMar>
              <w:top w:w="0" w:type="dxa"/>
              <w:left w:w="108" w:type="dxa"/>
              <w:bottom w:w="0" w:type="dxa"/>
              <w:right w:w="108" w:type="dxa"/>
            </w:tcMar>
            <w:vAlign w:val="center"/>
            <w:hideMark/>
          </w:tcPr>
          <w:p w14:paraId="72D96DDD"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w:t>
            </w:r>
          </w:p>
        </w:tc>
        <w:tc>
          <w:tcPr>
            <w:tcW w:w="1590" w:type="dxa"/>
            <w:tcBorders>
              <w:top w:val="nil"/>
              <w:left w:val="nil"/>
              <w:bottom w:val="nil"/>
              <w:right w:val="single" w:sz="8" w:space="0" w:color="000000"/>
            </w:tcBorders>
            <w:tcMar>
              <w:top w:w="0" w:type="dxa"/>
              <w:left w:w="108" w:type="dxa"/>
              <w:bottom w:w="0" w:type="dxa"/>
              <w:right w:w="108" w:type="dxa"/>
            </w:tcMar>
            <w:vAlign w:val="center"/>
            <w:hideMark/>
          </w:tcPr>
          <w:p w14:paraId="1A58B0BF"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w:t>
            </w:r>
          </w:p>
        </w:tc>
        <w:tc>
          <w:tcPr>
            <w:tcW w:w="1590" w:type="dxa"/>
            <w:tcBorders>
              <w:top w:val="nil"/>
              <w:left w:val="nil"/>
              <w:bottom w:val="nil"/>
              <w:right w:val="single" w:sz="8" w:space="0" w:color="000000"/>
            </w:tcBorders>
            <w:tcMar>
              <w:top w:w="0" w:type="dxa"/>
              <w:left w:w="108" w:type="dxa"/>
              <w:bottom w:w="0" w:type="dxa"/>
              <w:right w:w="108" w:type="dxa"/>
            </w:tcMar>
            <w:vAlign w:val="center"/>
            <w:hideMark/>
          </w:tcPr>
          <w:p w14:paraId="578153CC"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w:t>
            </w:r>
          </w:p>
        </w:tc>
      </w:tr>
      <w:tr w:rsidR="005106D0" w:rsidRPr="007224C3" w14:paraId="0A38B609" w14:textId="77777777" w:rsidTr="00C54063">
        <w:trPr>
          <w:jc w:val="center"/>
        </w:trPr>
        <w:tc>
          <w:tcPr>
            <w:tcW w:w="670" w:type="dxa"/>
            <w:tcBorders>
              <w:top w:val="nil"/>
              <w:left w:val="single" w:sz="8" w:space="0" w:color="000000"/>
              <w:bottom w:val="nil"/>
              <w:right w:val="single" w:sz="8" w:space="0" w:color="000000"/>
            </w:tcBorders>
            <w:tcMar>
              <w:top w:w="0" w:type="dxa"/>
              <w:left w:w="108" w:type="dxa"/>
              <w:bottom w:w="0" w:type="dxa"/>
              <w:right w:w="108" w:type="dxa"/>
            </w:tcMar>
            <w:hideMark/>
          </w:tcPr>
          <w:p w14:paraId="06BBB0B0"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tc>
        <w:tc>
          <w:tcPr>
            <w:tcW w:w="3845" w:type="dxa"/>
            <w:tcBorders>
              <w:top w:val="nil"/>
              <w:left w:val="nil"/>
              <w:bottom w:val="nil"/>
              <w:right w:val="single" w:sz="8" w:space="0" w:color="000000"/>
            </w:tcBorders>
            <w:tcMar>
              <w:top w:w="0" w:type="dxa"/>
              <w:left w:w="108" w:type="dxa"/>
              <w:bottom w:w="0" w:type="dxa"/>
              <w:right w:w="108" w:type="dxa"/>
            </w:tcMar>
            <w:hideMark/>
          </w:tcPr>
          <w:p w14:paraId="6975FFBD"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Бортовые листы нижней</w:t>
            </w:r>
          </w:p>
          <w:p w14:paraId="6EE0F184"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части корпуса</w:t>
            </w:r>
          </w:p>
        </w:tc>
        <w:tc>
          <w:tcPr>
            <w:tcW w:w="1589" w:type="dxa"/>
            <w:tcBorders>
              <w:top w:val="nil"/>
              <w:left w:val="nil"/>
              <w:bottom w:val="nil"/>
              <w:right w:val="single" w:sz="8" w:space="0" w:color="000000"/>
            </w:tcBorders>
            <w:tcMar>
              <w:top w:w="0" w:type="dxa"/>
              <w:left w:w="108" w:type="dxa"/>
              <w:bottom w:w="0" w:type="dxa"/>
              <w:right w:w="108" w:type="dxa"/>
            </w:tcMar>
            <w:vAlign w:val="center"/>
            <w:hideMark/>
          </w:tcPr>
          <w:p w14:paraId="469E3875"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75</w:t>
            </w:r>
          </w:p>
        </w:tc>
        <w:tc>
          <w:tcPr>
            <w:tcW w:w="1590" w:type="dxa"/>
            <w:tcBorders>
              <w:top w:val="nil"/>
              <w:left w:val="nil"/>
              <w:bottom w:val="nil"/>
              <w:right w:val="single" w:sz="8" w:space="0" w:color="000000"/>
            </w:tcBorders>
            <w:tcMar>
              <w:top w:w="0" w:type="dxa"/>
              <w:left w:w="108" w:type="dxa"/>
              <w:bottom w:w="0" w:type="dxa"/>
              <w:right w:w="108" w:type="dxa"/>
            </w:tcMar>
            <w:vAlign w:val="center"/>
            <w:hideMark/>
          </w:tcPr>
          <w:p w14:paraId="3EE8C2BC"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w:t>
            </w:r>
          </w:p>
        </w:tc>
        <w:tc>
          <w:tcPr>
            <w:tcW w:w="1590" w:type="dxa"/>
            <w:tcBorders>
              <w:top w:val="nil"/>
              <w:left w:val="nil"/>
              <w:bottom w:val="nil"/>
              <w:right w:val="single" w:sz="8" w:space="0" w:color="000000"/>
            </w:tcBorders>
            <w:tcMar>
              <w:top w:w="0" w:type="dxa"/>
              <w:left w:w="108" w:type="dxa"/>
              <w:bottom w:w="0" w:type="dxa"/>
              <w:right w:w="108" w:type="dxa"/>
            </w:tcMar>
            <w:vAlign w:val="center"/>
            <w:hideMark/>
          </w:tcPr>
          <w:p w14:paraId="02838529"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w:t>
            </w:r>
          </w:p>
        </w:tc>
        <w:tc>
          <w:tcPr>
            <w:tcW w:w="1590" w:type="dxa"/>
            <w:tcBorders>
              <w:top w:val="nil"/>
              <w:left w:val="nil"/>
              <w:bottom w:val="nil"/>
              <w:right w:val="single" w:sz="8" w:space="0" w:color="000000"/>
            </w:tcBorders>
            <w:tcMar>
              <w:top w:w="0" w:type="dxa"/>
              <w:left w:w="108" w:type="dxa"/>
              <w:bottom w:w="0" w:type="dxa"/>
              <w:right w:w="108" w:type="dxa"/>
            </w:tcMar>
            <w:vAlign w:val="center"/>
            <w:hideMark/>
          </w:tcPr>
          <w:p w14:paraId="0A9827BA"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w:t>
            </w:r>
          </w:p>
        </w:tc>
      </w:tr>
      <w:tr w:rsidR="005106D0" w:rsidRPr="007224C3" w14:paraId="46E38FBE" w14:textId="77777777" w:rsidTr="00C54063">
        <w:trPr>
          <w:jc w:val="center"/>
        </w:trPr>
        <w:tc>
          <w:tcPr>
            <w:tcW w:w="670" w:type="dxa"/>
            <w:tcBorders>
              <w:top w:val="nil"/>
              <w:left w:val="single" w:sz="8" w:space="0" w:color="000000"/>
              <w:bottom w:val="nil"/>
              <w:right w:val="single" w:sz="8" w:space="0" w:color="000000"/>
            </w:tcBorders>
            <w:tcMar>
              <w:top w:w="0" w:type="dxa"/>
              <w:left w:w="108" w:type="dxa"/>
              <w:bottom w:w="0" w:type="dxa"/>
              <w:right w:w="108" w:type="dxa"/>
            </w:tcMar>
            <w:hideMark/>
          </w:tcPr>
          <w:p w14:paraId="3CAC28DD"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w:t>
            </w:r>
          </w:p>
        </w:tc>
        <w:tc>
          <w:tcPr>
            <w:tcW w:w="3845" w:type="dxa"/>
            <w:tcBorders>
              <w:top w:val="nil"/>
              <w:left w:val="nil"/>
              <w:bottom w:val="nil"/>
              <w:right w:val="single" w:sz="8" w:space="0" w:color="000000"/>
            </w:tcBorders>
            <w:tcMar>
              <w:top w:w="0" w:type="dxa"/>
              <w:left w:w="108" w:type="dxa"/>
              <w:bottom w:w="0" w:type="dxa"/>
              <w:right w:w="108" w:type="dxa"/>
            </w:tcMar>
            <w:hideMark/>
          </w:tcPr>
          <w:p w14:paraId="33A87A4F"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Бортовые листы верхней</w:t>
            </w:r>
          </w:p>
          <w:p w14:paraId="6168FB58"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части корпуса</w:t>
            </w:r>
          </w:p>
        </w:tc>
        <w:tc>
          <w:tcPr>
            <w:tcW w:w="1589" w:type="dxa"/>
            <w:tcBorders>
              <w:top w:val="nil"/>
              <w:left w:val="nil"/>
              <w:bottom w:val="nil"/>
              <w:right w:val="single" w:sz="8" w:space="0" w:color="000000"/>
            </w:tcBorders>
            <w:tcMar>
              <w:top w:w="0" w:type="dxa"/>
              <w:left w:w="108" w:type="dxa"/>
              <w:bottom w:w="0" w:type="dxa"/>
              <w:right w:w="108" w:type="dxa"/>
            </w:tcMar>
            <w:vAlign w:val="center"/>
            <w:hideMark/>
          </w:tcPr>
          <w:p w14:paraId="137F4639"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75</w:t>
            </w:r>
          </w:p>
        </w:tc>
        <w:tc>
          <w:tcPr>
            <w:tcW w:w="1590" w:type="dxa"/>
            <w:tcBorders>
              <w:top w:val="nil"/>
              <w:left w:val="nil"/>
              <w:bottom w:val="nil"/>
              <w:right w:val="single" w:sz="8" w:space="0" w:color="000000"/>
            </w:tcBorders>
            <w:tcMar>
              <w:top w:w="0" w:type="dxa"/>
              <w:left w:w="108" w:type="dxa"/>
              <w:bottom w:w="0" w:type="dxa"/>
              <w:right w:w="108" w:type="dxa"/>
            </w:tcMar>
            <w:vAlign w:val="center"/>
            <w:hideMark/>
          </w:tcPr>
          <w:p w14:paraId="14B5B7BA"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w:t>
            </w:r>
          </w:p>
        </w:tc>
        <w:tc>
          <w:tcPr>
            <w:tcW w:w="1590" w:type="dxa"/>
            <w:tcBorders>
              <w:top w:val="nil"/>
              <w:left w:val="nil"/>
              <w:bottom w:val="nil"/>
              <w:right w:val="single" w:sz="8" w:space="0" w:color="000000"/>
            </w:tcBorders>
            <w:tcMar>
              <w:top w:w="0" w:type="dxa"/>
              <w:left w:w="108" w:type="dxa"/>
              <w:bottom w:w="0" w:type="dxa"/>
              <w:right w:w="108" w:type="dxa"/>
            </w:tcMar>
            <w:vAlign w:val="center"/>
            <w:hideMark/>
          </w:tcPr>
          <w:p w14:paraId="1A5604D5"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w:t>
            </w:r>
          </w:p>
        </w:tc>
        <w:tc>
          <w:tcPr>
            <w:tcW w:w="1590" w:type="dxa"/>
            <w:tcBorders>
              <w:top w:val="nil"/>
              <w:left w:val="nil"/>
              <w:bottom w:val="nil"/>
              <w:right w:val="single" w:sz="8" w:space="0" w:color="000000"/>
            </w:tcBorders>
            <w:tcMar>
              <w:top w:w="0" w:type="dxa"/>
              <w:left w:w="108" w:type="dxa"/>
              <w:bottom w:w="0" w:type="dxa"/>
              <w:right w:w="108" w:type="dxa"/>
            </w:tcMar>
            <w:vAlign w:val="center"/>
            <w:hideMark/>
          </w:tcPr>
          <w:p w14:paraId="710423F0"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w:t>
            </w:r>
          </w:p>
        </w:tc>
      </w:tr>
      <w:tr w:rsidR="005106D0" w:rsidRPr="007224C3" w14:paraId="30D8E293" w14:textId="77777777" w:rsidTr="00C54063">
        <w:trPr>
          <w:jc w:val="center"/>
        </w:trPr>
        <w:tc>
          <w:tcPr>
            <w:tcW w:w="670" w:type="dxa"/>
            <w:tcBorders>
              <w:top w:val="nil"/>
              <w:left w:val="single" w:sz="8" w:space="0" w:color="000000"/>
              <w:bottom w:val="nil"/>
              <w:right w:val="single" w:sz="8" w:space="0" w:color="000000"/>
            </w:tcBorders>
            <w:tcMar>
              <w:top w:w="0" w:type="dxa"/>
              <w:left w:w="108" w:type="dxa"/>
              <w:bottom w:w="0" w:type="dxa"/>
              <w:right w:w="108" w:type="dxa"/>
            </w:tcMar>
            <w:hideMark/>
          </w:tcPr>
          <w:p w14:paraId="230E590C"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tc>
        <w:tc>
          <w:tcPr>
            <w:tcW w:w="3845" w:type="dxa"/>
            <w:tcBorders>
              <w:top w:val="nil"/>
              <w:left w:val="nil"/>
              <w:bottom w:val="nil"/>
              <w:right w:val="single" w:sz="8" w:space="0" w:color="000000"/>
            </w:tcBorders>
            <w:tcMar>
              <w:top w:w="0" w:type="dxa"/>
              <w:left w:w="108" w:type="dxa"/>
              <w:bottom w:w="0" w:type="dxa"/>
              <w:right w:w="108" w:type="dxa"/>
            </w:tcMar>
            <w:hideMark/>
          </w:tcPr>
          <w:p w14:paraId="787ADFD9"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Верхний лист кормы</w:t>
            </w:r>
          </w:p>
        </w:tc>
        <w:tc>
          <w:tcPr>
            <w:tcW w:w="1589" w:type="dxa"/>
            <w:tcBorders>
              <w:top w:val="nil"/>
              <w:left w:val="nil"/>
              <w:bottom w:val="nil"/>
              <w:right w:val="single" w:sz="8" w:space="0" w:color="000000"/>
            </w:tcBorders>
            <w:tcMar>
              <w:top w:w="0" w:type="dxa"/>
              <w:left w:w="108" w:type="dxa"/>
              <w:bottom w:w="0" w:type="dxa"/>
              <w:right w:w="108" w:type="dxa"/>
            </w:tcMar>
            <w:vAlign w:val="center"/>
            <w:hideMark/>
          </w:tcPr>
          <w:p w14:paraId="1CEA7468"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w:t>
            </w:r>
          </w:p>
        </w:tc>
        <w:tc>
          <w:tcPr>
            <w:tcW w:w="1590" w:type="dxa"/>
            <w:tcBorders>
              <w:top w:val="nil"/>
              <w:left w:val="nil"/>
              <w:bottom w:val="nil"/>
              <w:right w:val="single" w:sz="8" w:space="0" w:color="000000"/>
            </w:tcBorders>
            <w:tcMar>
              <w:top w:w="0" w:type="dxa"/>
              <w:left w:w="108" w:type="dxa"/>
              <w:bottom w:w="0" w:type="dxa"/>
              <w:right w:w="108" w:type="dxa"/>
            </w:tcMar>
            <w:vAlign w:val="center"/>
            <w:hideMark/>
          </w:tcPr>
          <w:p w14:paraId="698074E6"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w:t>
            </w:r>
          </w:p>
        </w:tc>
        <w:tc>
          <w:tcPr>
            <w:tcW w:w="1590" w:type="dxa"/>
            <w:tcBorders>
              <w:top w:val="nil"/>
              <w:left w:val="nil"/>
              <w:bottom w:val="nil"/>
              <w:right w:val="single" w:sz="8" w:space="0" w:color="000000"/>
            </w:tcBorders>
            <w:tcMar>
              <w:top w:w="0" w:type="dxa"/>
              <w:left w:w="108" w:type="dxa"/>
              <w:bottom w:w="0" w:type="dxa"/>
              <w:right w:w="108" w:type="dxa"/>
            </w:tcMar>
            <w:vAlign w:val="center"/>
            <w:hideMark/>
          </w:tcPr>
          <w:p w14:paraId="00118176"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w:t>
            </w:r>
          </w:p>
        </w:tc>
        <w:tc>
          <w:tcPr>
            <w:tcW w:w="1590" w:type="dxa"/>
            <w:tcBorders>
              <w:top w:val="nil"/>
              <w:left w:val="nil"/>
              <w:bottom w:val="nil"/>
              <w:right w:val="single" w:sz="8" w:space="0" w:color="000000"/>
            </w:tcBorders>
            <w:tcMar>
              <w:top w:w="0" w:type="dxa"/>
              <w:left w:w="108" w:type="dxa"/>
              <w:bottom w:w="0" w:type="dxa"/>
              <w:right w:w="108" w:type="dxa"/>
            </w:tcMar>
            <w:vAlign w:val="center"/>
            <w:hideMark/>
          </w:tcPr>
          <w:p w14:paraId="3AA0408B"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47°40´</w:t>
            </w:r>
          </w:p>
        </w:tc>
      </w:tr>
      <w:tr w:rsidR="005106D0" w:rsidRPr="007224C3" w14:paraId="366BD3A5" w14:textId="77777777" w:rsidTr="00C54063">
        <w:trPr>
          <w:jc w:val="center"/>
        </w:trPr>
        <w:tc>
          <w:tcPr>
            <w:tcW w:w="670" w:type="dxa"/>
            <w:tcBorders>
              <w:top w:val="nil"/>
              <w:left w:val="single" w:sz="8" w:space="0" w:color="000000"/>
              <w:bottom w:val="nil"/>
              <w:right w:val="single" w:sz="8" w:space="0" w:color="000000"/>
            </w:tcBorders>
            <w:tcMar>
              <w:top w:w="0" w:type="dxa"/>
              <w:left w:w="108" w:type="dxa"/>
              <w:bottom w:w="0" w:type="dxa"/>
              <w:right w:w="108" w:type="dxa"/>
            </w:tcMar>
            <w:hideMark/>
          </w:tcPr>
          <w:p w14:paraId="0B78ECDC"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w:t>
            </w:r>
          </w:p>
        </w:tc>
        <w:tc>
          <w:tcPr>
            <w:tcW w:w="3845" w:type="dxa"/>
            <w:tcBorders>
              <w:top w:val="nil"/>
              <w:left w:val="nil"/>
              <w:bottom w:val="nil"/>
              <w:right w:val="single" w:sz="8" w:space="0" w:color="000000"/>
            </w:tcBorders>
            <w:tcMar>
              <w:top w:w="0" w:type="dxa"/>
              <w:left w:w="108" w:type="dxa"/>
              <w:bottom w:w="0" w:type="dxa"/>
              <w:right w:w="108" w:type="dxa"/>
            </w:tcMar>
            <w:hideMark/>
          </w:tcPr>
          <w:p w14:paraId="39236407"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Нижняя часть кормы</w:t>
            </w:r>
          </w:p>
        </w:tc>
        <w:tc>
          <w:tcPr>
            <w:tcW w:w="1589" w:type="dxa"/>
            <w:tcBorders>
              <w:top w:val="nil"/>
              <w:left w:val="nil"/>
              <w:bottom w:val="nil"/>
              <w:right w:val="single" w:sz="8" w:space="0" w:color="000000"/>
            </w:tcBorders>
            <w:tcMar>
              <w:top w:w="0" w:type="dxa"/>
              <w:left w:w="108" w:type="dxa"/>
              <w:bottom w:w="0" w:type="dxa"/>
              <w:right w:w="108" w:type="dxa"/>
            </w:tcMar>
            <w:vAlign w:val="center"/>
            <w:hideMark/>
          </w:tcPr>
          <w:p w14:paraId="1DC12B8C"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w:t>
            </w:r>
          </w:p>
        </w:tc>
        <w:tc>
          <w:tcPr>
            <w:tcW w:w="1590" w:type="dxa"/>
            <w:tcBorders>
              <w:top w:val="nil"/>
              <w:left w:val="nil"/>
              <w:bottom w:val="nil"/>
              <w:right w:val="single" w:sz="8" w:space="0" w:color="000000"/>
            </w:tcBorders>
            <w:tcMar>
              <w:top w:w="0" w:type="dxa"/>
              <w:left w:w="108" w:type="dxa"/>
              <w:bottom w:w="0" w:type="dxa"/>
              <w:right w:w="108" w:type="dxa"/>
            </w:tcMar>
            <w:vAlign w:val="center"/>
            <w:hideMark/>
          </w:tcPr>
          <w:p w14:paraId="16B06CE2"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71°</w:t>
            </w:r>
          </w:p>
        </w:tc>
        <w:tc>
          <w:tcPr>
            <w:tcW w:w="1590" w:type="dxa"/>
            <w:tcBorders>
              <w:top w:val="nil"/>
              <w:left w:val="nil"/>
              <w:bottom w:val="nil"/>
              <w:right w:val="single" w:sz="8" w:space="0" w:color="000000"/>
            </w:tcBorders>
            <w:tcMar>
              <w:top w:w="0" w:type="dxa"/>
              <w:left w:w="108" w:type="dxa"/>
              <w:bottom w:w="0" w:type="dxa"/>
              <w:right w:w="108" w:type="dxa"/>
            </w:tcMar>
            <w:vAlign w:val="center"/>
            <w:hideMark/>
          </w:tcPr>
          <w:p w14:paraId="094DD779"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w:t>
            </w:r>
          </w:p>
        </w:tc>
        <w:tc>
          <w:tcPr>
            <w:tcW w:w="1590" w:type="dxa"/>
            <w:tcBorders>
              <w:top w:val="nil"/>
              <w:left w:val="nil"/>
              <w:bottom w:val="nil"/>
              <w:right w:val="single" w:sz="8" w:space="0" w:color="000000"/>
            </w:tcBorders>
            <w:tcMar>
              <w:top w:w="0" w:type="dxa"/>
              <w:left w:w="108" w:type="dxa"/>
              <w:bottom w:w="0" w:type="dxa"/>
              <w:right w:w="108" w:type="dxa"/>
            </w:tcMar>
            <w:vAlign w:val="center"/>
            <w:hideMark/>
          </w:tcPr>
          <w:p w14:paraId="0A4FE75F"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w:t>
            </w:r>
          </w:p>
        </w:tc>
      </w:tr>
      <w:tr w:rsidR="005106D0" w:rsidRPr="007224C3" w14:paraId="60DD1255" w14:textId="77777777" w:rsidTr="00C54063">
        <w:trPr>
          <w:jc w:val="center"/>
        </w:trPr>
        <w:tc>
          <w:tcPr>
            <w:tcW w:w="670" w:type="dxa"/>
            <w:tcBorders>
              <w:top w:val="nil"/>
              <w:left w:val="single" w:sz="8" w:space="0" w:color="000000"/>
              <w:bottom w:val="nil"/>
              <w:right w:val="single" w:sz="8" w:space="0" w:color="000000"/>
            </w:tcBorders>
            <w:tcMar>
              <w:top w:w="0" w:type="dxa"/>
              <w:left w:w="108" w:type="dxa"/>
              <w:bottom w:w="0" w:type="dxa"/>
              <w:right w:w="108" w:type="dxa"/>
            </w:tcMar>
            <w:hideMark/>
          </w:tcPr>
          <w:p w14:paraId="61A33A41"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w:t>
            </w:r>
          </w:p>
        </w:tc>
        <w:tc>
          <w:tcPr>
            <w:tcW w:w="3845" w:type="dxa"/>
            <w:tcBorders>
              <w:top w:val="nil"/>
              <w:left w:val="nil"/>
              <w:bottom w:val="nil"/>
              <w:right w:val="single" w:sz="8" w:space="0" w:color="000000"/>
            </w:tcBorders>
            <w:tcMar>
              <w:top w:w="0" w:type="dxa"/>
              <w:left w:w="108" w:type="dxa"/>
              <w:bottom w:w="0" w:type="dxa"/>
              <w:right w:w="108" w:type="dxa"/>
            </w:tcMar>
            <w:hideMark/>
          </w:tcPr>
          <w:p w14:paraId="4DFEBD3C"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Листы крыши</w:t>
            </w:r>
          </w:p>
        </w:tc>
        <w:tc>
          <w:tcPr>
            <w:tcW w:w="1589" w:type="dxa"/>
            <w:tcBorders>
              <w:top w:val="nil"/>
              <w:left w:val="nil"/>
              <w:bottom w:val="nil"/>
              <w:right w:val="single" w:sz="8" w:space="0" w:color="000000"/>
            </w:tcBorders>
            <w:tcMar>
              <w:top w:w="0" w:type="dxa"/>
              <w:left w:w="108" w:type="dxa"/>
              <w:bottom w:w="0" w:type="dxa"/>
              <w:right w:w="108" w:type="dxa"/>
            </w:tcMar>
            <w:vAlign w:val="center"/>
            <w:hideMark/>
          </w:tcPr>
          <w:p w14:paraId="40AE76AC"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и 20</w:t>
            </w:r>
          </w:p>
        </w:tc>
        <w:tc>
          <w:tcPr>
            <w:tcW w:w="1590" w:type="dxa"/>
            <w:tcBorders>
              <w:top w:val="nil"/>
              <w:left w:val="nil"/>
              <w:bottom w:val="nil"/>
              <w:right w:val="single" w:sz="8" w:space="0" w:color="000000"/>
            </w:tcBorders>
            <w:tcMar>
              <w:top w:w="0" w:type="dxa"/>
              <w:left w:w="108" w:type="dxa"/>
              <w:bottom w:w="0" w:type="dxa"/>
              <w:right w:w="108" w:type="dxa"/>
            </w:tcMar>
            <w:vAlign w:val="center"/>
            <w:hideMark/>
          </w:tcPr>
          <w:p w14:paraId="000B7017"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90°</w:t>
            </w:r>
          </w:p>
        </w:tc>
        <w:tc>
          <w:tcPr>
            <w:tcW w:w="1590" w:type="dxa"/>
            <w:tcBorders>
              <w:top w:val="nil"/>
              <w:left w:val="nil"/>
              <w:bottom w:val="nil"/>
              <w:right w:val="single" w:sz="8" w:space="0" w:color="000000"/>
            </w:tcBorders>
            <w:tcMar>
              <w:top w:w="0" w:type="dxa"/>
              <w:left w:w="108" w:type="dxa"/>
              <w:bottom w:w="0" w:type="dxa"/>
              <w:right w:w="108" w:type="dxa"/>
            </w:tcMar>
            <w:vAlign w:val="center"/>
            <w:hideMark/>
          </w:tcPr>
          <w:p w14:paraId="51D7E065"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w:t>
            </w:r>
          </w:p>
        </w:tc>
        <w:tc>
          <w:tcPr>
            <w:tcW w:w="1590" w:type="dxa"/>
            <w:tcBorders>
              <w:top w:val="nil"/>
              <w:left w:val="nil"/>
              <w:bottom w:val="nil"/>
              <w:right w:val="single" w:sz="8" w:space="0" w:color="000000"/>
            </w:tcBorders>
            <w:tcMar>
              <w:top w:w="0" w:type="dxa"/>
              <w:left w:w="108" w:type="dxa"/>
              <w:bottom w:w="0" w:type="dxa"/>
              <w:right w:w="108" w:type="dxa"/>
            </w:tcMar>
            <w:vAlign w:val="center"/>
            <w:hideMark/>
          </w:tcPr>
          <w:p w14:paraId="61C86BD1"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90°</w:t>
            </w:r>
          </w:p>
        </w:tc>
      </w:tr>
      <w:tr w:rsidR="005106D0" w:rsidRPr="007224C3" w14:paraId="68E014EB" w14:textId="77777777" w:rsidTr="00C54063">
        <w:trPr>
          <w:jc w:val="center"/>
        </w:trPr>
        <w:tc>
          <w:tcPr>
            <w:tcW w:w="670" w:type="dxa"/>
            <w:tcBorders>
              <w:top w:val="nil"/>
              <w:left w:val="single" w:sz="8" w:space="0" w:color="000000"/>
              <w:bottom w:val="nil"/>
              <w:right w:val="single" w:sz="8" w:space="0" w:color="000000"/>
            </w:tcBorders>
            <w:tcMar>
              <w:top w:w="0" w:type="dxa"/>
              <w:left w:w="108" w:type="dxa"/>
              <w:bottom w:w="0" w:type="dxa"/>
              <w:right w:w="108" w:type="dxa"/>
            </w:tcMar>
            <w:hideMark/>
          </w:tcPr>
          <w:p w14:paraId="1C1525D1"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w:t>
            </w:r>
          </w:p>
        </w:tc>
        <w:tc>
          <w:tcPr>
            <w:tcW w:w="3845" w:type="dxa"/>
            <w:tcBorders>
              <w:top w:val="nil"/>
              <w:left w:val="nil"/>
              <w:bottom w:val="nil"/>
              <w:right w:val="single" w:sz="8" w:space="0" w:color="000000"/>
            </w:tcBorders>
            <w:tcMar>
              <w:top w:w="0" w:type="dxa"/>
              <w:left w:w="108" w:type="dxa"/>
              <w:bottom w:w="0" w:type="dxa"/>
              <w:right w:w="108" w:type="dxa"/>
            </w:tcMar>
            <w:hideMark/>
          </w:tcPr>
          <w:p w14:paraId="72587BB8"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Днище</w:t>
            </w:r>
          </w:p>
        </w:tc>
        <w:tc>
          <w:tcPr>
            <w:tcW w:w="1589" w:type="dxa"/>
            <w:tcBorders>
              <w:top w:val="nil"/>
              <w:left w:val="nil"/>
              <w:bottom w:val="nil"/>
              <w:right w:val="single" w:sz="8" w:space="0" w:color="000000"/>
            </w:tcBorders>
            <w:tcMar>
              <w:top w:w="0" w:type="dxa"/>
              <w:left w:w="108" w:type="dxa"/>
              <w:bottom w:w="0" w:type="dxa"/>
              <w:right w:w="108" w:type="dxa"/>
            </w:tcMar>
            <w:vAlign w:val="center"/>
            <w:hideMark/>
          </w:tcPr>
          <w:p w14:paraId="478F35E8"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w:t>
            </w:r>
          </w:p>
        </w:tc>
        <w:tc>
          <w:tcPr>
            <w:tcW w:w="1590" w:type="dxa"/>
            <w:tcBorders>
              <w:top w:val="nil"/>
              <w:left w:val="nil"/>
              <w:bottom w:val="nil"/>
              <w:right w:val="single" w:sz="8" w:space="0" w:color="000000"/>
            </w:tcBorders>
            <w:tcMar>
              <w:top w:w="0" w:type="dxa"/>
              <w:left w:w="108" w:type="dxa"/>
              <w:bottom w:w="0" w:type="dxa"/>
              <w:right w:w="108" w:type="dxa"/>
            </w:tcMar>
            <w:vAlign w:val="center"/>
            <w:hideMark/>
          </w:tcPr>
          <w:p w14:paraId="5C13ED0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90°</w:t>
            </w:r>
          </w:p>
        </w:tc>
        <w:tc>
          <w:tcPr>
            <w:tcW w:w="1590" w:type="dxa"/>
            <w:tcBorders>
              <w:top w:val="nil"/>
              <w:left w:val="nil"/>
              <w:bottom w:val="nil"/>
              <w:right w:val="single" w:sz="8" w:space="0" w:color="000000"/>
            </w:tcBorders>
            <w:tcMar>
              <w:top w:w="0" w:type="dxa"/>
              <w:left w:w="108" w:type="dxa"/>
              <w:bottom w:w="0" w:type="dxa"/>
              <w:right w:w="108" w:type="dxa"/>
            </w:tcMar>
            <w:vAlign w:val="center"/>
            <w:hideMark/>
          </w:tcPr>
          <w:p w14:paraId="037A21E2"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w:t>
            </w:r>
          </w:p>
        </w:tc>
        <w:tc>
          <w:tcPr>
            <w:tcW w:w="1590" w:type="dxa"/>
            <w:tcBorders>
              <w:top w:val="nil"/>
              <w:left w:val="nil"/>
              <w:bottom w:val="nil"/>
              <w:right w:val="single" w:sz="8" w:space="0" w:color="000000"/>
            </w:tcBorders>
            <w:tcMar>
              <w:top w:w="0" w:type="dxa"/>
              <w:left w:w="108" w:type="dxa"/>
              <w:bottom w:w="0" w:type="dxa"/>
              <w:right w:w="108" w:type="dxa"/>
            </w:tcMar>
            <w:vAlign w:val="center"/>
            <w:hideMark/>
          </w:tcPr>
          <w:p w14:paraId="7F728EE0"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90°</w:t>
            </w:r>
          </w:p>
        </w:tc>
      </w:tr>
      <w:tr w:rsidR="005106D0" w:rsidRPr="007224C3" w14:paraId="1786F179" w14:textId="77777777" w:rsidTr="00C54063">
        <w:trPr>
          <w:jc w:val="center"/>
        </w:trPr>
        <w:tc>
          <w:tcPr>
            <w:tcW w:w="670" w:type="dxa"/>
            <w:tcBorders>
              <w:top w:val="nil"/>
              <w:left w:val="single" w:sz="8" w:space="0" w:color="000000"/>
              <w:bottom w:val="nil"/>
              <w:right w:val="single" w:sz="8" w:space="0" w:color="000000"/>
            </w:tcBorders>
            <w:tcMar>
              <w:top w:w="0" w:type="dxa"/>
              <w:left w:w="108" w:type="dxa"/>
              <w:bottom w:w="0" w:type="dxa"/>
              <w:right w:w="108" w:type="dxa"/>
            </w:tcMar>
            <w:hideMark/>
          </w:tcPr>
          <w:p w14:paraId="778F6AC9"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w:t>
            </w:r>
          </w:p>
        </w:tc>
        <w:tc>
          <w:tcPr>
            <w:tcW w:w="3845" w:type="dxa"/>
            <w:tcBorders>
              <w:top w:val="nil"/>
              <w:left w:val="nil"/>
              <w:bottom w:val="nil"/>
              <w:right w:val="single" w:sz="8" w:space="0" w:color="000000"/>
            </w:tcBorders>
            <w:tcMar>
              <w:top w:w="0" w:type="dxa"/>
              <w:left w:w="108" w:type="dxa"/>
              <w:bottom w:w="0" w:type="dxa"/>
              <w:right w:w="108" w:type="dxa"/>
            </w:tcMar>
            <w:hideMark/>
          </w:tcPr>
          <w:p w14:paraId="5400A50B"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Корпус башни литой</w:t>
            </w:r>
          </w:p>
        </w:tc>
        <w:tc>
          <w:tcPr>
            <w:tcW w:w="1589" w:type="dxa"/>
            <w:tcBorders>
              <w:top w:val="nil"/>
              <w:left w:val="nil"/>
              <w:bottom w:val="nil"/>
              <w:right w:val="single" w:sz="8" w:space="0" w:color="000000"/>
            </w:tcBorders>
            <w:tcMar>
              <w:top w:w="0" w:type="dxa"/>
              <w:left w:w="108" w:type="dxa"/>
              <w:bottom w:w="0" w:type="dxa"/>
              <w:right w:w="108" w:type="dxa"/>
            </w:tcMar>
            <w:vAlign w:val="center"/>
            <w:hideMark/>
          </w:tcPr>
          <w:p w14:paraId="37C872EF"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Лоб.115</w:t>
            </w:r>
          </w:p>
          <w:p w14:paraId="1FEE0FCC"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Борт.90</w:t>
            </w:r>
          </w:p>
        </w:tc>
        <w:tc>
          <w:tcPr>
            <w:tcW w:w="1590" w:type="dxa"/>
            <w:tcBorders>
              <w:top w:val="nil"/>
              <w:left w:val="nil"/>
              <w:bottom w:val="nil"/>
              <w:right w:val="single" w:sz="8" w:space="0" w:color="000000"/>
            </w:tcBorders>
            <w:tcMar>
              <w:top w:w="0" w:type="dxa"/>
              <w:left w:w="108" w:type="dxa"/>
              <w:bottom w:w="0" w:type="dxa"/>
              <w:right w:w="108" w:type="dxa"/>
            </w:tcMar>
            <w:vAlign w:val="center"/>
            <w:hideMark/>
          </w:tcPr>
          <w:p w14:paraId="0AE0B7D7"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w:t>
            </w:r>
          </w:p>
        </w:tc>
        <w:tc>
          <w:tcPr>
            <w:tcW w:w="1590" w:type="dxa"/>
            <w:tcBorders>
              <w:top w:val="nil"/>
              <w:left w:val="nil"/>
              <w:bottom w:val="nil"/>
              <w:right w:val="single" w:sz="8" w:space="0" w:color="000000"/>
            </w:tcBorders>
            <w:tcMar>
              <w:top w:w="0" w:type="dxa"/>
              <w:left w:w="108" w:type="dxa"/>
              <w:bottom w:w="0" w:type="dxa"/>
              <w:right w:w="108" w:type="dxa"/>
            </w:tcMar>
            <w:vAlign w:val="center"/>
            <w:hideMark/>
          </w:tcPr>
          <w:p w14:paraId="69F96574"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Лоб.90</w:t>
            </w:r>
          </w:p>
          <w:p w14:paraId="1FB615B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Борт.52</w:t>
            </w:r>
          </w:p>
        </w:tc>
        <w:tc>
          <w:tcPr>
            <w:tcW w:w="1590" w:type="dxa"/>
            <w:tcBorders>
              <w:top w:val="nil"/>
              <w:left w:val="nil"/>
              <w:bottom w:val="nil"/>
              <w:right w:val="single" w:sz="8" w:space="0" w:color="000000"/>
            </w:tcBorders>
            <w:tcMar>
              <w:top w:w="0" w:type="dxa"/>
              <w:left w:w="108" w:type="dxa"/>
              <w:bottom w:w="0" w:type="dxa"/>
              <w:right w:w="108" w:type="dxa"/>
            </w:tcMar>
            <w:vAlign w:val="center"/>
            <w:hideMark/>
          </w:tcPr>
          <w:p w14:paraId="276CE481"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w:t>
            </w:r>
          </w:p>
        </w:tc>
      </w:tr>
      <w:tr w:rsidR="005106D0" w:rsidRPr="007224C3" w14:paraId="24A2A028" w14:textId="77777777" w:rsidTr="00C54063">
        <w:trPr>
          <w:jc w:val="center"/>
        </w:trPr>
        <w:tc>
          <w:tcPr>
            <w:tcW w:w="670" w:type="dxa"/>
            <w:tcBorders>
              <w:top w:val="nil"/>
              <w:left w:val="single" w:sz="8" w:space="0" w:color="000000"/>
              <w:bottom w:val="nil"/>
              <w:right w:val="single" w:sz="8" w:space="0" w:color="000000"/>
            </w:tcBorders>
            <w:tcMar>
              <w:top w:w="0" w:type="dxa"/>
              <w:left w:w="108" w:type="dxa"/>
              <w:bottom w:w="0" w:type="dxa"/>
              <w:right w:w="108" w:type="dxa"/>
            </w:tcMar>
            <w:hideMark/>
          </w:tcPr>
          <w:p w14:paraId="2EEA62CF"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w:t>
            </w:r>
          </w:p>
        </w:tc>
        <w:tc>
          <w:tcPr>
            <w:tcW w:w="3845" w:type="dxa"/>
            <w:tcBorders>
              <w:top w:val="nil"/>
              <w:left w:val="nil"/>
              <w:bottom w:val="nil"/>
              <w:right w:val="single" w:sz="8" w:space="0" w:color="000000"/>
            </w:tcBorders>
            <w:tcMar>
              <w:top w:w="0" w:type="dxa"/>
              <w:left w:w="108" w:type="dxa"/>
              <w:bottom w:w="0" w:type="dxa"/>
              <w:right w:w="108" w:type="dxa"/>
            </w:tcMar>
            <w:hideMark/>
          </w:tcPr>
          <w:p w14:paraId="70DD6D59"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Крыша башни</w:t>
            </w:r>
          </w:p>
        </w:tc>
        <w:tc>
          <w:tcPr>
            <w:tcW w:w="1589" w:type="dxa"/>
            <w:tcBorders>
              <w:top w:val="nil"/>
              <w:left w:val="nil"/>
              <w:bottom w:val="nil"/>
              <w:right w:val="single" w:sz="8" w:space="0" w:color="000000"/>
            </w:tcBorders>
            <w:tcMar>
              <w:top w:w="0" w:type="dxa"/>
              <w:left w:w="108" w:type="dxa"/>
              <w:bottom w:w="0" w:type="dxa"/>
              <w:right w:w="108" w:type="dxa"/>
            </w:tcMar>
            <w:vAlign w:val="center"/>
            <w:hideMark/>
          </w:tcPr>
          <w:p w14:paraId="79B8DA7A"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w:t>
            </w:r>
          </w:p>
        </w:tc>
        <w:tc>
          <w:tcPr>
            <w:tcW w:w="1590" w:type="dxa"/>
            <w:tcBorders>
              <w:top w:val="nil"/>
              <w:left w:val="nil"/>
              <w:bottom w:val="nil"/>
              <w:right w:val="single" w:sz="8" w:space="0" w:color="000000"/>
            </w:tcBorders>
            <w:tcMar>
              <w:top w:w="0" w:type="dxa"/>
              <w:left w:w="108" w:type="dxa"/>
              <w:bottom w:w="0" w:type="dxa"/>
              <w:right w:w="108" w:type="dxa"/>
            </w:tcMar>
            <w:vAlign w:val="center"/>
            <w:hideMark/>
          </w:tcPr>
          <w:p w14:paraId="43A270EF"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w:t>
            </w:r>
          </w:p>
        </w:tc>
        <w:tc>
          <w:tcPr>
            <w:tcW w:w="1590" w:type="dxa"/>
            <w:tcBorders>
              <w:top w:val="nil"/>
              <w:left w:val="nil"/>
              <w:bottom w:val="nil"/>
              <w:right w:val="single" w:sz="8" w:space="0" w:color="000000"/>
            </w:tcBorders>
            <w:tcMar>
              <w:top w:w="0" w:type="dxa"/>
              <w:left w:w="108" w:type="dxa"/>
              <w:bottom w:w="0" w:type="dxa"/>
              <w:right w:w="108" w:type="dxa"/>
            </w:tcMar>
            <w:vAlign w:val="center"/>
            <w:hideMark/>
          </w:tcPr>
          <w:p w14:paraId="49D348FB"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w:t>
            </w:r>
          </w:p>
        </w:tc>
        <w:tc>
          <w:tcPr>
            <w:tcW w:w="1590" w:type="dxa"/>
            <w:tcBorders>
              <w:top w:val="nil"/>
              <w:left w:val="nil"/>
              <w:bottom w:val="nil"/>
              <w:right w:val="single" w:sz="8" w:space="0" w:color="000000"/>
            </w:tcBorders>
            <w:tcMar>
              <w:top w:w="0" w:type="dxa"/>
              <w:left w:w="108" w:type="dxa"/>
              <w:bottom w:w="0" w:type="dxa"/>
              <w:right w:w="108" w:type="dxa"/>
            </w:tcMar>
            <w:vAlign w:val="center"/>
            <w:hideMark/>
          </w:tcPr>
          <w:p w14:paraId="49A39BF3"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90°</w:t>
            </w:r>
          </w:p>
        </w:tc>
      </w:tr>
      <w:tr w:rsidR="005106D0" w:rsidRPr="007224C3" w14:paraId="0B9089CD" w14:textId="77777777" w:rsidTr="00C54063">
        <w:trPr>
          <w:jc w:val="center"/>
        </w:trPr>
        <w:tc>
          <w:tcPr>
            <w:tcW w:w="670" w:type="dxa"/>
            <w:tcBorders>
              <w:top w:val="nil"/>
              <w:left w:val="single" w:sz="8" w:space="0" w:color="000000"/>
              <w:bottom w:val="nil"/>
              <w:right w:val="single" w:sz="8" w:space="0" w:color="000000"/>
            </w:tcBorders>
            <w:tcMar>
              <w:top w:w="0" w:type="dxa"/>
              <w:left w:w="108" w:type="dxa"/>
              <w:bottom w:w="0" w:type="dxa"/>
              <w:right w:w="108" w:type="dxa"/>
            </w:tcMar>
            <w:hideMark/>
          </w:tcPr>
          <w:p w14:paraId="0DE6E112"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w:t>
            </w:r>
          </w:p>
        </w:tc>
        <w:tc>
          <w:tcPr>
            <w:tcW w:w="3845" w:type="dxa"/>
            <w:tcBorders>
              <w:top w:val="nil"/>
              <w:left w:val="nil"/>
              <w:bottom w:val="nil"/>
              <w:right w:val="single" w:sz="8" w:space="0" w:color="000000"/>
            </w:tcBorders>
            <w:tcMar>
              <w:top w:w="0" w:type="dxa"/>
              <w:left w:w="108" w:type="dxa"/>
              <w:bottom w:w="0" w:type="dxa"/>
              <w:right w:w="108" w:type="dxa"/>
            </w:tcMar>
            <w:hideMark/>
          </w:tcPr>
          <w:p w14:paraId="6D552E67"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Командирская башенка</w:t>
            </w:r>
          </w:p>
          <w:p w14:paraId="77E20E77"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(литая)</w:t>
            </w:r>
          </w:p>
        </w:tc>
        <w:tc>
          <w:tcPr>
            <w:tcW w:w="1589" w:type="dxa"/>
            <w:tcBorders>
              <w:top w:val="nil"/>
              <w:left w:val="nil"/>
              <w:bottom w:val="nil"/>
              <w:right w:val="single" w:sz="8" w:space="0" w:color="000000"/>
            </w:tcBorders>
            <w:tcMar>
              <w:top w:w="0" w:type="dxa"/>
              <w:left w:w="108" w:type="dxa"/>
              <w:bottom w:w="0" w:type="dxa"/>
              <w:right w:w="108" w:type="dxa"/>
            </w:tcMar>
            <w:vAlign w:val="center"/>
            <w:hideMark/>
          </w:tcPr>
          <w:p w14:paraId="3651DE8C"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90</w:t>
            </w:r>
          </w:p>
        </w:tc>
        <w:tc>
          <w:tcPr>
            <w:tcW w:w="1590" w:type="dxa"/>
            <w:tcBorders>
              <w:top w:val="nil"/>
              <w:left w:val="nil"/>
              <w:bottom w:val="nil"/>
              <w:right w:val="single" w:sz="8" w:space="0" w:color="000000"/>
            </w:tcBorders>
            <w:tcMar>
              <w:top w:w="0" w:type="dxa"/>
              <w:left w:w="108" w:type="dxa"/>
              <w:bottom w:w="0" w:type="dxa"/>
              <w:right w:w="108" w:type="dxa"/>
            </w:tcMar>
            <w:vAlign w:val="center"/>
            <w:hideMark/>
          </w:tcPr>
          <w:p w14:paraId="7DD36950"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w:t>
            </w:r>
            <w:bookmarkStart w:id="34" w:name="OLE_LINK117"/>
            <w:bookmarkStart w:id="35" w:name="OLE_LINK116"/>
            <w:bookmarkEnd w:id="34"/>
            <w:bookmarkEnd w:id="35"/>
            <w:r w:rsidRPr="007224C3">
              <w:rPr>
                <w:rFonts w:ascii="Times New Roman" w:hAnsi="Times New Roman"/>
                <w:color w:val="000000" w:themeColor="text1"/>
                <w:sz w:val="16"/>
                <w:szCs w:val="16"/>
              </w:rPr>
              <w:t>°</w:t>
            </w:r>
          </w:p>
        </w:tc>
        <w:tc>
          <w:tcPr>
            <w:tcW w:w="1590" w:type="dxa"/>
            <w:tcBorders>
              <w:top w:val="nil"/>
              <w:left w:val="nil"/>
              <w:bottom w:val="nil"/>
              <w:right w:val="single" w:sz="8" w:space="0" w:color="000000"/>
            </w:tcBorders>
            <w:tcMar>
              <w:top w:w="0" w:type="dxa"/>
              <w:left w:w="108" w:type="dxa"/>
              <w:bottom w:w="0" w:type="dxa"/>
              <w:right w:w="108" w:type="dxa"/>
            </w:tcMar>
            <w:vAlign w:val="center"/>
            <w:hideMark/>
          </w:tcPr>
          <w:p w14:paraId="327C14B4"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52</w:t>
            </w:r>
          </w:p>
        </w:tc>
        <w:tc>
          <w:tcPr>
            <w:tcW w:w="1590" w:type="dxa"/>
            <w:tcBorders>
              <w:top w:val="nil"/>
              <w:left w:val="nil"/>
              <w:bottom w:val="nil"/>
              <w:right w:val="single" w:sz="8" w:space="0" w:color="000000"/>
            </w:tcBorders>
            <w:tcMar>
              <w:top w:w="0" w:type="dxa"/>
              <w:left w:w="108" w:type="dxa"/>
              <w:bottom w:w="0" w:type="dxa"/>
              <w:right w:w="108" w:type="dxa"/>
            </w:tcMar>
            <w:vAlign w:val="center"/>
            <w:hideMark/>
          </w:tcPr>
          <w:p w14:paraId="5D3313E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w:t>
            </w:r>
          </w:p>
        </w:tc>
      </w:tr>
    </w:tbl>
    <w:p w14:paraId="43032602"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w:t>
      </w:r>
    </w:p>
    <w:tbl>
      <w:tblPr>
        <w:tblW w:w="4750" w:type="pct"/>
        <w:jc w:val="center"/>
        <w:tblCellMar>
          <w:left w:w="0" w:type="dxa"/>
          <w:right w:w="0" w:type="dxa"/>
        </w:tblCellMar>
        <w:tblLook w:val="04A0" w:firstRow="1" w:lastRow="0" w:firstColumn="1" w:lastColumn="0" w:noHBand="0" w:noVBand="1"/>
      </w:tblPr>
      <w:tblGrid>
        <w:gridCol w:w="1223"/>
        <w:gridCol w:w="4026"/>
        <w:gridCol w:w="2908"/>
        <w:gridCol w:w="2595"/>
      </w:tblGrid>
      <w:tr w:rsidR="005106D0" w:rsidRPr="007224C3" w14:paraId="36C91615" w14:textId="77777777" w:rsidTr="00C54063">
        <w:trPr>
          <w:trHeight w:val="430"/>
          <w:jc w:val="center"/>
        </w:trPr>
        <w:tc>
          <w:tcPr>
            <w:tcW w:w="1237" w:type="dxa"/>
            <w:vMerge w:val="restart"/>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hideMark/>
          </w:tcPr>
          <w:p w14:paraId="6AD5FED4"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п/п</w:t>
            </w:r>
          </w:p>
        </w:tc>
        <w:tc>
          <w:tcPr>
            <w:tcW w:w="4111" w:type="dxa"/>
            <w:vMerge w:val="restart"/>
            <w:tcBorders>
              <w:top w:val="single" w:sz="8" w:space="0" w:color="000000"/>
              <w:left w:val="nil"/>
              <w:bottom w:val="single" w:sz="8" w:space="0" w:color="000000"/>
              <w:right w:val="single" w:sz="8" w:space="0" w:color="000000"/>
            </w:tcBorders>
            <w:tcMar>
              <w:top w:w="0" w:type="dxa"/>
              <w:left w:w="108" w:type="dxa"/>
              <w:bottom w:w="0" w:type="dxa"/>
              <w:right w:w="108" w:type="dxa"/>
            </w:tcMar>
            <w:hideMark/>
          </w:tcPr>
          <w:p w14:paraId="2E9DFEA2"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Наименование</w:t>
            </w:r>
          </w:p>
        </w:tc>
        <w:tc>
          <w:tcPr>
            <w:tcW w:w="5628" w:type="dxa"/>
            <w:gridSpan w:val="2"/>
            <w:tcBorders>
              <w:top w:val="single" w:sz="8" w:space="0" w:color="000000"/>
              <w:left w:val="nil"/>
              <w:bottom w:val="single" w:sz="8" w:space="0" w:color="000000"/>
              <w:right w:val="single" w:sz="8" w:space="0" w:color="000000"/>
            </w:tcBorders>
            <w:tcMar>
              <w:top w:w="0" w:type="dxa"/>
              <w:left w:w="108" w:type="dxa"/>
              <w:bottom w:w="0" w:type="dxa"/>
              <w:right w:w="108" w:type="dxa"/>
            </w:tcMar>
            <w:hideMark/>
          </w:tcPr>
          <w:p w14:paraId="7E3E4AD0"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Марка танка</w:t>
            </w:r>
          </w:p>
        </w:tc>
      </w:tr>
      <w:tr w:rsidR="005106D0" w:rsidRPr="007224C3" w14:paraId="4C6A54CF" w14:textId="77777777" w:rsidTr="00C54063">
        <w:trPr>
          <w:trHeight w:val="430"/>
          <w:jc w:val="center"/>
        </w:trPr>
        <w:tc>
          <w:tcPr>
            <w:tcW w:w="1237" w:type="dxa"/>
            <w:vMerge/>
            <w:tcBorders>
              <w:top w:val="single" w:sz="8" w:space="0" w:color="000000"/>
              <w:left w:val="single" w:sz="8" w:space="0" w:color="000000"/>
              <w:bottom w:val="single" w:sz="8" w:space="0" w:color="000000"/>
              <w:right w:val="single" w:sz="8" w:space="0" w:color="000000"/>
            </w:tcBorders>
            <w:vAlign w:val="center"/>
            <w:hideMark/>
          </w:tcPr>
          <w:p w14:paraId="5B60FBAB" w14:textId="77777777" w:rsidR="00811C95" w:rsidRPr="007224C3" w:rsidRDefault="00811C95" w:rsidP="007224C3">
            <w:pPr>
              <w:spacing w:after="0" w:line="240" w:lineRule="auto"/>
              <w:jc w:val="both"/>
              <w:rPr>
                <w:rFonts w:ascii="Times New Roman" w:hAnsi="Times New Roman"/>
                <w:color w:val="000000" w:themeColor="text1"/>
                <w:sz w:val="16"/>
                <w:szCs w:val="16"/>
              </w:rPr>
            </w:pPr>
          </w:p>
        </w:tc>
        <w:tc>
          <w:tcPr>
            <w:tcW w:w="4111" w:type="dxa"/>
            <w:vMerge/>
            <w:tcBorders>
              <w:top w:val="single" w:sz="8" w:space="0" w:color="000000"/>
              <w:left w:val="nil"/>
              <w:bottom w:val="single" w:sz="8" w:space="0" w:color="000000"/>
              <w:right w:val="single" w:sz="8" w:space="0" w:color="000000"/>
            </w:tcBorders>
            <w:vAlign w:val="center"/>
            <w:hideMark/>
          </w:tcPr>
          <w:p w14:paraId="32A3B95F" w14:textId="77777777" w:rsidR="00811C95" w:rsidRPr="007224C3" w:rsidRDefault="00811C95" w:rsidP="007224C3">
            <w:pPr>
              <w:spacing w:after="0" w:line="240" w:lineRule="auto"/>
              <w:jc w:val="both"/>
              <w:rPr>
                <w:rFonts w:ascii="Times New Roman" w:hAnsi="Times New Roman"/>
                <w:color w:val="000000" w:themeColor="text1"/>
                <w:sz w:val="16"/>
                <w:szCs w:val="16"/>
              </w:rPr>
            </w:pPr>
          </w:p>
        </w:tc>
        <w:tc>
          <w:tcPr>
            <w:tcW w:w="2976" w:type="dxa"/>
            <w:tcBorders>
              <w:top w:val="nil"/>
              <w:left w:val="nil"/>
              <w:bottom w:val="single" w:sz="8" w:space="0" w:color="000000"/>
              <w:right w:val="single" w:sz="8" w:space="0" w:color="000000"/>
            </w:tcBorders>
            <w:tcMar>
              <w:top w:w="0" w:type="dxa"/>
              <w:left w:w="108" w:type="dxa"/>
              <w:bottom w:w="0" w:type="dxa"/>
              <w:right w:w="108" w:type="dxa"/>
            </w:tcMar>
            <w:hideMark/>
          </w:tcPr>
          <w:p w14:paraId="4E0B3AB7"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Т-44</w:t>
            </w:r>
          </w:p>
        </w:tc>
        <w:tc>
          <w:tcPr>
            <w:tcW w:w="2652" w:type="dxa"/>
            <w:tcBorders>
              <w:top w:val="nil"/>
              <w:left w:val="nil"/>
              <w:bottom w:val="single" w:sz="8" w:space="0" w:color="000000"/>
              <w:right w:val="single" w:sz="8" w:space="0" w:color="000000"/>
            </w:tcBorders>
            <w:tcMar>
              <w:top w:w="0" w:type="dxa"/>
              <w:left w:w="108" w:type="dxa"/>
              <w:bottom w:w="0" w:type="dxa"/>
              <w:right w:w="108" w:type="dxa"/>
            </w:tcMar>
            <w:hideMark/>
          </w:tcPr>
          <w:p w14:paraId="1FD86A14"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Т-34-85</w:t>
            </w:r>
          </w:p>
        </w:tc>
      </w:tr>
      <w:tr w:rsidR="005106D0" w:rsidRPr="007224C3" w14:paraId="3C862CDC" w14:textId="77777777" w:rsidTr="00C54063">
        <w:trPr>
          <w:jc w:val="center"/>
        </w:trPr>
        <w:tc>
          <w:tcPr>
            <w:tcW w:w="1237" w:type="dxa"/>
            <w:tcBorders>
              <w:top w:val="nil"/>
              <w:left w:val="single" w:sz="8" w:space="0" w:color="000000"/>
              <w:bottom w:val="single" w:sz="8" w:space="0" w:color="auto"/>
              <w:right w:val="single" w:sz="8" w:space="0" w:color="000000"/>
            </w:tcBorders>
            <w:tcMar>
              <w:top w:w="0" w:type="dxa"/>
              <w:left w:w="108" w:type="dxa"/>
              <w:bottom w:w="0" w:type="dxa"/>
              <w:right w:w="108" w:type="dxa"/>
            </w:tcMar>
            <w:vAlign w:val="center"/>
            <w:hideMark/>
          </w:tcPr>
          <w:p w14:paraId="26447758"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tc>
        <w:tc>
          <w:tcPr>
            <w:tcW w:w="4111"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2BA34542"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tc>
        <w:tc>
          <w:tcPr>
            <w:tcW w:w="2976"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31A4CA19"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tc>
        <w:tc>
          <w:tcPr>
            <w:tcW w:w="265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19E9E1BF"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w:t>
            </w:r>
          </w:p>
        </w:tc>
      </w:tr>
      <w:tr w:rsidR="005106D0" w:rsidRPr="007224C3" w14:paraId="30223E15" w14:textId="77777777" w:rsidTr="00C54063">
        <w:trPr>
          <w:trHeight w:val="746"/>
          <w:jc w:val="center"/>
        </w:trPr>
        <w:tc>
          <w:tcPr>
            <w:tcW w:w="10976" w:type="dxa"/>
            <w:gridSpan w:val="4"/>
            <w:tcBorders>
              <w:top w:val="nil"/>
              <w:left w:val="single" w:sz="8" w:space="0" w:color="000000"/>
              <w:bottom w:val="nil"/>
              <w:right w:val="single" w:sz="8" w:space="0" w:color="000000"/>
            </w:tcBorders>
            <w:tcMar>
              <w:top w:w="0" w:type="dxa"/>
              <w:left w:w="108" w:type="dxa"/>
              <w:bottom w:w="0" w:type="dxa"/>
              <w:right w:w="108" w:type="dxa"/>
            </w:tcMar>
            <w:vAlign w:val="center"/>
            <w:hideMark/>
          </w:tcPr>
          <w:p w14:paraId="0273D0E9"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ВООРУЖЕНИЕ.</w:t>
            </w:r>
          </w:p>
        </w:tc>
      </w:tr>
      <w:tr w:rsidR="005106D0" w:rsidRPr="007224C3" w14:paraId="708B4506" w14:textId="77777777" w:rsidTr="00C54063">
        <w:trPr>
          <w:jc w:val="center"/>
        </w:trPr>
        <w:tc>
          <w:tcPr>
            <w:tcW w:w="1237" w:type="dxa"/>
            <w:tcBorders>
              <w:top w:val="nil"/>
              <w:left w:val="single" w:sz="8" w:space="0" w:color="000000"/>
              <w:bottom w:val="nil"/>
              <w:right w:val="single" w:sz="8" w:space="0" w:color="000000"/>
            </w:tcBorders>
            <w:tcMar>
              <w:top w:w="0" w:type="dxa"/>
              <w:left w:w="108" w:type="dxa"/>
              <w:bottom w:w="0" w:type="dxa"/>
              <w:right w:w="108" w:type="dxa"/>
            </w:tcMar>
            <w:hideMark/>
          </w:tcPr>
          <w:p w14:paraId="2CB47164"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tc>
        <w:tc>
          <w:tcPr>
            <w:tcW w:w="4111" w:type="dxa"/>
            <w:tcBorders>
              <w:top w:val="nil"/>
              <w:left w:val="nil"/>
              <w:bottom w:val="nil"/>
              <w:right w:val="single" w:sz="8" w:space="0" w:color="000000"/>
            </w:tcBorders>
            <w:tcMar>
              <w:top w:w="0" w:type="dxa"/>
              <w:left w:w="108" w:type="dxa"/>
              <w:bottom w:w="0" w:type="dxa"/>
              <w:right w:w="108" w:type="dxa"/>
            </w:tcMar>
            <w:hideMark/>
          </w:tcPr>
          <w:p w14:paraId="216ED7E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пушка:</w:t>
            </w:r>
            <w:r w:rsidRPr="007224C3">
              <w:rPr>
                <w:rFonts w:ascii="Times New Roman" w:hAnsi="Times New Roman"/>
                <w:color w:val="000000" w:themeColor="text1"/>
                <w:sz w:val="16"/>
                <w:szCs w:val="16"/>
              </w:rPr>
              <w:t> </w:t>
            </w:r>
            <w:r w:rsidRPr="007224C3">
              <w:rPr>
                <w:rFonts w:ascii="Times New Roman" w:hAnsi="Times New Roman"/>
                <w:color w:val="000000" w:themeColor="text1"/>
                <w:sz w:val="16"/>
                <w:szCs w:val="16"/>
              </w:rPr>
              <w:t>(марка)</w:t>
            </w:r>
          </w:p>
        </w:tc>
        <w:tc>
          <w:tcPr>
            <w:tcW w:w="2976" w:type="dxa"/>
            <w:tcBorders>
              <w:top w:val="nil"/>
              <w:left w:val="nil"/>
              <w:bottom w:val="nil"/>
              <w:right w:val="single" w:sz="8" w:space="0" w:color="000000"/>
            </w:tcBorders>
            <w:tcMar>
              <w:top w:w="0" w:type="dxa"/>
              <w:left w:w="108" w:type="dxa"/>
              <w:bottom w:w="0" w:type="dxa"/>
              <w:right w:w="108" w:type="dxa"/>
            </w:tcMar>
            <w:vAlign w:val="center"/>
            <w:hideMark/>
          </w:tcPr>
          <w:p w14:paraId="345E8DB1"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ЗИС-С-53</w:t>
            </w:r>
          </w:p>
        </w:tc>
        <w:tc>
          <w:tcPr>
            <w:tcW w:w="2652" w:type="dxa"/>
            <w:tcBorders>
              <w:top w:val="nil"/>
              <w:left w:val="nil"/>
              <w:bottom w:val="nil"/>
              <w:right w:val="single" w:sz="8" w:space="0" w:color="000000"/>
            </w:tcBorders>
            <w:tcMar>
              <w:top w:w="0" w:type="dxa"/>
              <w:left w:w="108" w:type="dxa"/>
              <w:bottom w:w="0" w:type="dxa"/>
              <w:right w:w="108" w:type="dxa"/>
            </w:tcMar>
            <w:vAlign w:val="center"/>
            <w:hideMark/>
          </w:tcPr>
          <w:p w14:paraId="2A6E9D0A"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ЗИС-С-53</w:t>
            </w:r>
          </w:p>
        </w:tc>
      </w:tr>
      <w:tr w:rsidR="005106D0" w:rsidRPr="007224C3" w14:paraId="704494FE" w14:textId="77777777" w:rsidTr="00C54063">
        <w:trPr>
          <w:jc w:val="center"/>
        </w:trPr>
        <w:tc>
          <w:tcPr>
            <w:tcW w:w="1237" w:type="dxa"/>
            <w:tcBorders>
              <w:top w:val="nil"/>
              <w:left w:val="single" w:sz="8" w:space="0" w:color="000000"/>
              <w:bottom w:val="nil"/>
              <w:right w:val="single" w:sz="8" w:space="0" w:color="000000"/>
            </w:tcBorders>
            <w:tcMar>
              <w:top w:w="0" w:type="dxa"/>
              <w:left w:w="108" w:type="dxa"/>
              <w:bottom w:w="0" w:type="dxa"/>
              <w:right w:w="108" w:type="dxa"/>
            </w:tcMar>
            <w:hideMark/>
          </w:tcPr>
          <w:p w14:paraId="29E3E075"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w:t>
            </w:r>
          </w:p>
        </w:tc>
        <w:tc>
          <w:tcPr>
            <w:tcW w:w="4111" w:type="dxa"/>
            <w:tcBorders>
              <w:top w:val="nil"/>
              <w:left w:val="nil"/>
              <w:bottom w:val="nil"/>
              <w:right w:val="single" w:sz="8" w:space="0" w:color="000000"/>
            </w:tcBorders>
            <w:tcMar>
              <w:top w:w="0" w:type="dxa"/>
              <w:left w:w="108" w:type="dxa"/>
              <w:bottom w:w="0" w:type="dxa"/>
              <w:right w:w="108" w:type="dxa"/>
            </w:tcMar>
            <w:hideMark/>
          </w:tcPr>
          <w:p w14:paraId="2626A3ED"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калибр в мм</w:t>
            </w:r>
          </w:p>
        </w:tc>
        <w:tc>
          <w:tcPr>
            <w:tcW w:w="2976" w:type="dxa"/>
            <w:tcBorders>
              <w:top w:val="nil"/>
              <w:left w:val="nil"/>
              <w:bottom w:val="nil"/>
              <w:right w:val="single" w:sz="8" w:space="0" w:color="000000"/>
            </w:tcBorders>
            <w:tcMar>
              <w:top w:w="0" w:type="dxa"/>
              <w:left w:w="108" w:type="dxa"/>
              <w:bottom w:w="0" w:type="dxa"/>
              <w:right w:w="108" w:type="dxa"/>
            </w:tcMar>
            <w:vAlign w:val="center"/>
            <w:hideMark/>
          </w:tcPr>
          <w:p w14:paraId="336B7026"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85</w:t>
            </w:r>
          </w:p>
        </w:tc>
        <w:tc>
          <w:tcPr>
            <w:tcW w:w="2652" w:type="dxa"/>
            <w:tcBorders>
              <w:top w:val="nil"/>
              <w:left w:val="nil"/>
              <w:bottom w:val="nil"/>
              <w:right w:val="single" w:sz="8" w:space="0" w:color="000000"/>
            </w:tcBorders>
            <w:tcMar>
              <w:top w:w="0" w:type="dxa"/>
              <w:left w:w="108" w:type="dxa"/>
              <w:bottom w:w="0" w:type="dxa"/>
              <w:right w:w="108" w:type="dxa"/>
            </w:tcMar>
            <w:vAlign w:val="center"/>
            <w:hideMark/>
          </w:tcPr>
          <w:p w14:paraId="3BBA2C5C"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85</w:t>
            </w:r>
          </w:p>
        </w:tc>
      </w:tr>
      <w:tr w:rsidR="005106D0" w:rsidRPr="007224C3" w14:paraId="2E420800" w14:textId="77777777" w:rsidTr="00C54063">
        <w:trPr>
          <w:jc w:val="center"/>
        </w:trPr>
        <w:tc>
          <w:tcPr>
            <w:tcW w:w="1237" w:type="dxa"/>
            <w:tcBorders>
              <w:top w:val="nil"/>
              <w:left w:val="single" w:sz="8" w:space="0" w:color="000000"/>
              <w:bottom w:val="nil"/>
              <w:right w:val="single" w:sz="8" w:space="0" w:color="000000"/>
            </w:tcBorders>
            <w:tcMar>
              <w:top w:w="0" w:type="dxa"/>
              <w:left w:w="108" w:type="dxa"/>
              <w:bottom w:w="0" w:type="dxa"/>
              <w:right w:w="108" w:type="dxa"/>
            </w:tcMar>
            <w:hideMark/>
          </w:tcPr>
          <w:p w14:paraId="1214D0BC"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w:t>
            </w:r>
          </w:p>
        </w:tc>
        <w:tc>
          <w:tcPr>
            <w:tcW w:w="4111" w:type="dxa"/>
            <w:tcBorders>
              <w:top w:val="nil"/>
              <w:left w:val="nil"/>
              <w:bottom w:val="nil"/>
              <w:right w:val="single" w:sz="8" w:space="0" w:color="000000"/>
            </w:tcBorders>
            <w:tcMar>
              <w:top w:w="0" w:type="dxa"/>
              <w:left w:w="108" w:type="dxa"/>
              <w:bottom w:w="0" w:type="dxa"/>
              <w:right w:w="108" w:type="dxa"/>
            </w:tcMar>
            <w:hideMark/>
          </w:tcPr>
          <w:p w14:paraId="43986489"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горизонтальный угол</w:t>
            </w:r>
          </w:p>
          <w:p w14:paraId="4855A400"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обстрела</w:t>
            </w:r>
          </w:p>
        </w:tc>
        <w:tc>
          <w:tcPr>
            <w:tcW w:w="2976" w:type="dxa"/>
            <w:tcBorders>
              <w:top w:val="nil"/>
              <w:left w:val="nil"/>
              <w:bottom w:val="nil"/>
              <w:right w:val="single" w:sz="8" w:space="0" w:color="000000"/>
            </w:tcBorders>
            <w:tcMar>
              <w:top w:w="0" w:type="dxa"/>
              <w:left w:w="108" w:type="dxa"/>
              <w:bottom w:w="0" w:type="dxa"/>
              <w:right w:w="108" w:type="dxa"/>
            </w:tcMar>
            <w:vAlign w:val="center"/>
            <w:hideMark/>
          </w:tcPr>
          <w:p w14:paraId="188171BD"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360°</w:t>
            </w:r>
          </w:p>
        </w:tc>
        <w:tc>
          <w:tcPr>
            <w:tcW w:w="2652" w:type="dxa"/>
            <w:tcBorders>
              <w:top w:val="nil"/>
              <w:left w:val="nil"/>
              <w:bottom w:val="nil"/>
              <w:right w:val="single" w:sz="8" w:space="0" w:color="000000"/>
            </w:tcBorders>
            <w:tcMar>
              <w:top w:w="0" w:type="dxa"/>
              <w:left w:w="108" w:type="dxa"/>
              <w:bottom w:w="0" w:type="dxa"/>
              <w:right w:w="108" w:type="dxa"/>
            </w:tcMar>
            <w:vAlign w:val="center"/>
            <w:hideMark/>
          </w:tcPr>
          <w:p w14:paraId="38F51C0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360°</w:t>
            </w:r>
          </w:p>
        </w:tc>
      </w:tr>
      <w:tr w:rsidR="005106D0" w:rsidRPr="007224C3" w14:paraId="6722A90B" w14:textId="77777777" w:rsidTr="00C54063">
        <w:trPr>
          <w:jc w:val="center"/>
        </w:trPr>
        <w:tc>
          <w:tcPr>
            <w:tcW w:w="1237" w:type="dxa"/>
            <w:tcBorders>
              <w:top w:val="nil"/>
              <w:left w:val="single" w:sz="8" w:space="0" w:color="000000"/>
              <w:bottom w:val="nil"/>
              <w:right w:val="single" w:sz="8" w:space="0" w:color="000000"/>
            </w:tcBorders>
            <w:tcMar>
              <w:top w:w="0" w:type="dxa"/>
              <w:left w:w="108" w:type="dxa"/>
              <w:bottom w:w="0" w:type="dxa"/>
              <w:right w:w="108" w:type="dxa"/>
            </w:tcMar>
            <w:hideMark/>
          </w:tcPr>
          <w:p w14:paraId="3639A358"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w:t>
            </w:r>
          </w:p>
        </w:tc>
        <w:tc>
          <w:tcPr>
            <w:tcW w:w="4111" w:type="dxa"/>
            <w:tcBorders>
              <w:top w:val="nil"/>
              <w:left w:val="nil"/>
              <w:bottom w:val="nil"/>
              <w:right w:val="single" w:sz="8" w:space="0" w:color="000000"/>
            </w:tcBorders>
            <w:tcMar>
              <w:top w:w="0" w:type="dxa"/>
              <w:left w:w="108" w:type="dxa"/>
              <w:bottom w:w="0" w:type="dxa"/>
              <w:right w:w="108" w:type="dxa"/>
            </w:tcMar>
            <w:hideMark/>
          </w:tcPr>
          <w:p w14:paraId="5C3C3B69"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максимальный угол возвышения</w:t>
            </w:r>
          </w:p>
        </w:tc>
        <w:tc>
          <w:tcPr>
            <w:tcW w:w="2976" w:type="dxa"/>
            <w:tcBorders>
              <w:top w:val="nil"/>
              <w:left w:val="nil"/>
              <w:bottom w:val="nil"/>
              <w:right w:val="single" w:sz="8" w:space="0" w:color="000000"/>
            </w:tcBorders>
            <w:tcMar>
              <w:top w:w="0" w:type="dxa"/>
              <w:left w:w="108" w:type="dxa"/>
              <w:bottom w:w="0" w:type="dxa"/>
              <w:right w:w="108" w:type="dxa"/>
            </w:tcMar>
            <w:vAlign w:val="center"/>
            <w:hideMark/>
          </w:tcPr>
          <w:p w14:paraId="0DC02030"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w:t>
            </w:r>
          </w:p>
        </w:tc>
        <w:tc>
          <w:tcPr>
            <w:tcW w:w="2652" w:type="dxa"/>
            <w:tcBorders>
              <w:top w:val="nil"/>
              <w:left w:val="nil"/>
              <w:bottom w:val="nil"/>
              <w:right w:val="single" w:sz="8" w:space="0" w:color="000000"/>
            </w:tcBorders>
            <w:tcMar>
              <w:top w:w="0" w:type="dxa"/>
              <w:left w:w="108" w:type="dxa"/>
              <w:bottom w:w="0" w:type="dxa"/>
              <w:right w:w="108" w:type="dxa"/>
            </w:tcMar>
            <w:vAlign w:val="center"/>
            <w:hideMark/>
          </w:tcPr>
          <w:p w14:paraId="1E9F7A47"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w:t>
            </w:r>
          </w:p>
        </w:tc>
      </w:tr>
      <w:tr w:rsidR="005106D0" w:rsidRPr="007224C3" w14:paraId="63585F98" w14:textId="77777777" w:rsidTr="00C54063">
        <w:trPr>
          <w:jc w:val="center"/>
        </w:trPr>
        <w:tc>
          <w:tcPr>
            <w:tcW w:w="1237" w:type="dxa"/>
            <w:tcBorders>
              <w:top w:val="nil"/>
              <w:left w:val="single" w:sz="8" w:space="0" w:color="000000"/>
              <w:bottom w:val="nil"/>
              <w:right w:val="single" w:sz="8" w:space="0" w:color="000000"/>
            </w:tcBorders>
            <w:tcMar>
              <w:top w:w="0" w:type="dxa"/>
              <w:left w:w="108" w:type="dxa"/>
              <w:bottom w:w="0" w:type="dxa"/>
              <w:right w:w="108" w:type="dxa"/>
            </w:tcMar>
            <w:hideMark/>
          </w:tcPr>
          <w:p w14:paraId="37BBEE21"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w:t>
            </w:r>
          </w:p>
        </w:tc>
        <w:tc>
          <w:tcPr>
            <w:tcW w:w="4111" w:type="dxa"/>
            <w:tcBorders>
              <w:top w:val="nil"/>
              <w:left w:val="nil"/>
              <w:bottom w:val="nil"/>
              <w:right w:val="single" w:sz="8" w:space="0" w:color="000000"/>
            </w:tcBorders>
            <w:tcMar>
              <w:top w:w="0" w:type="dxa"/>
              <w:left w:w="108" w:type="dxa"/>
              <w:bottom w:w="0" w:type="dxa"/>
              <w:right w:w="108" w:type="dxa"/>
            </w:tcMar>
            <w:hideMark/>
          </w:tcPr>
          <w:p w14:paraId="3FAB2761"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 максимальный угол сни-</w:t>
            </w:r>
          </w:p>
          <w:p w14:paraId="24128157"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жения</w:t>
            </w:r>
          </w:p>
        </w:tc>
        <w:tc>
          <w:tcPr>
            <w:tcW w:w="2976" w:type="dxa"/>
            <w:tcBorders>
              <w:top w:val="nil"/>
              <w:left w:val="nil"/>
              <w:bottom w:val="nil"/>
              <w:right w:val="single" w:sz="8" w:space="0" w:color="000000"/>
            </w:tcBorders>
            <w:tcMar>
              <w:top w:w="0" w:type="dxa"/>
              <w:left w:w="108" w:type="dxa"/>
              <w:bottom w:w="0" w:type="dxa"/>
              <w:right w:w="108" w:type="dxa"/>
            </w:tcMar>
            <w:vAlign w:val="center"/>
            <w:hideMark/>
          </w:tcPr>
          <w:p w14:paraId="74F8BCEC"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w:t>
            </w:r>
          </w:p>
        </w:tc>
        <w:tc>
          <w:tcPr>
            <w:tcW w:w="2652" w:type="dxa"/>
            <w:tcBorders>
              <w:top w:val="nil"/>
              <w:left w:val="nil"/>
              <w:bottom w:val="nil"/>
              <w:right w:val="single" w:sz="8" w:space="0" w:color="000000"/>
            </w:tcBorders>
            <w:tcMar>
              <w:top w:w="0" w:type="dxa"/>
              <w:left w:w="108" w:type="dxa"/>
              <w:bottom w:w="0" w:type="dxa"/>
              <w:right w:w="108" w:type="dxa"/>
            </w:tcMar>
            <w:vAlign w:val="center"/>
            <w:hideMark/>
          </w:tcPr>
          <w:p w14:paraId="05748D2B"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tc>
      </w:tr>
      <w:tr w:rsidR="005106D0" w:rsidRPr="007224C3" w14:paraId="18848BEE" w14:textId="77777777" w:rsidTr="00C54063">
        <w:trPr>
          <w:jc w:val="center"/>
        </w:trPr>
        <w:tc>
          <w:tcPr>
            <w:tcW w:w="1237" w:type="dxa"/>
            <w:tcBorders>
              <w:top w:val="nil"/>
              <w:left w:val="single" w:sz="8" w:space="0" w:color="000000"/>
              <w:bottom w:val="nil"/>
              <w:right w:val="single" w:sz="8" w:space="0" w:color="000000"/>
            </w:tcBorders>
            <w:tcMar>
              <w:top w:w="0" w:type="dxa"/>
              <w:left w:w="108" w:type="dxa"/>
              <w:bottom w:w="0" w:type="dxa"/>
              <w:right w:w="108" w:type="dxa"/>
            </w:tcMar>
            <w:hideMark/>
          </w:tcPr>
          <w:p w14:paraId="5058342B"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w:t>
            </w:r>
          </w:p>
        </w:tc>
        <w:tc>
          <w:tcPr>
            <w:tcW w:w="4111" w:type="dxa"/>
            <w:tcBorders>
              <w:top w:val="nil"/>
              <w:left w:val="nil"/>
              <w:bottom w:val="nil"/>
              <w:right w:val="single" w:sz="8" w:space="0" w:color="000000"/>
            </w:tcBorders>
            <w:tcMar>
              <w:top w:w="0" w:type="dxa"/>
              <w:left w:w="108" w:type="dxa"/>
              <w:bottom w:w="0" w:type="dxa"/>
              <w:right w:w="108" w:type="dxa"/>
            </w:tcMar>
            <w:hideMark/>
          </w:tcPr>
          <w:p w14:paraId="62D62950"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 возимый запас снарядов</w:t>
            </w:r>
          </w:p>
          <w:p w14:paraId="4CFBDE25"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w:t>
            </w:r>
          </w:p>
        </w:tc>
        <w:tc>
          <w:tcPr>
            <w:tcW w:w="2976" w:type="dxa"/>
            <w:tcBorders>
              <w:top w:val="nil"/>
              <w:left w:val="nil"/>
              <w:bottom w:val="nil"/>
              <w:right w:val="single" w:sz="8" w:space="0" w:color="000000"/>
            </w:tcBorders>
            <w:tcMar>
              <w:top w:w="0" w:type="dxa"/>
              <w:left w:w="108" w:type="dxa"/>
              <w:bottom w:w="0" w:type="dxa"/>
              <w:right w:w="108" w:type="dxa"/>
            </w:tcMar>
            <w:hideMark/>
          </w:tcPr>
          <w:p w14:paraId="7586037C"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51 шт</w:t>
            </w:r>
          </w:p>
        </w:tc>
        <w:tc>
          <w:tcPr>
            <w:tcW w:w="2652" w:type="dxa"/>
            <w:tcBorders>
              <w:top w:val="nil"/>
              <w:left w:val="nil"/>
              <w:bottom w:val="nil"/>
              <w:right w:val="single" w:sz="8" w:space="0" w:color="000000"/>
            </w:tcBorders>
            <w:tcMar>
              <w:top w:w="0" w:type="dxa"/>
              <w:left w:w="108" w:type="dxa"/>
              <w:bottom w:w="0" w:type="dxa"/>
              <w:right w:w="108" w:type="dxa"/>
            </w:tcMar>
            <w:hideMark/>
          </w:tcPr>
          <w:p w14:paraId="3140A847"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56 шт</w:t>
            </w:r>
          </w:p>
        </w:tc>
      </w:tr>
      <w:tr w:rsidR="005106D0" w:rsidRPr="007224C3" w14:paraId="19D89820" w14:textId="77777777" w:rsidTr="00C54063">
        <w:trPr>
          <w:jc w:val="center"/>
        </w:trPr>
        <w:tc>
          <w:tcPr>
            <w:tcW w:w="1237" w:type="dxa"/>
            <w:tcBorders>
              <w:top w:val="nil"/>
              <w:left w:val="single" w:sz="8" w:space="0" w:color="000000"/>
              <w:bottom w:val="nil"/>
              <w:right w:val="single" w:sz="8" w:space="0" w:color="000000"/>
            </w:tcBorders>
            <w:tcMar>
              <w:top w:w="0" w:type="dxa"/>
              <w:left w:w="108" w:type="dxa"/>
              <w:bottom w:w="0" w:type="dxa"/>
              <w:right w:w="108" w:type="dxa"/>
            </w:tcMar>
            <w:hideMark/>
          </w:tcPr>
          <w:p w14:paraId="2FF8DEA9"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tc>
        <w:tc>
          <w:tcPr>
            <w:tcW w:w="4111" w:type="dxa"/>
            <w:tcBorders>
              <w:top w:val="nil"/>
              <w:left w:val="nil"/>
              <w:bottom w:val="nil"/>
              <w:right w:val="single" w:sz="8" w:space="0" w:color="000000"/>
            </w:tcBorders>
            <w:tcMar>
              <w:top w:w="0" w:type="dxa"/>
              <w:left w:w="108" w:type="dxa"/>
              <w:bottom w:w="0" w:type="dxa"/>
              <w:right w:w="108" w:type="dxa"/>
            </w:tcMar>
            <w:hideMark/>
          </w:tcPr>
          <w:p w14:paraId="7982D1E2"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пулеметы</w:t>
            </w:r>
            <w:r w:rsidRPr="007224C3">
              <w:rPr>
                <w:rFonts w:ascii="Times New Roman" w:hAnsi="Times New Roman"/>
                <w:color w:val="000000" w:themeColor="text1"/>
                <w:sz w:val="16"/>
                <w:szCs w:val="16"/>
              </w:rPr>
              <w:t> </w:t>
            </w:r>
            <w:r w:rsidRPr="007224C3">
              <w:rPr>
                <w:rFonts w:ascii="Times New Roman" w:hAnsi="Times New Roman"/>
                <w:color w:val="000000" w:themeColor="text1"/>
                <w:sz w:val="16"/>
                <w:szCs w:val="16"/>
              </w:rPr>
              <w:t>(марка)</w:t>
            </w:r>
          </w:p>
        </w:tc>
        <w:tc>
          <w:tcPr>
            <w:tcW w:w="2976" w:type="dxa"/>
            <w:tcBorders>
              <w:top w:val="nil"/>
              <w:left w:val="nil"/>
              <w:bottom w:val="nil"/>
              <w:right w:val="single" w:sz="8" w:space="0" w:color="000000"/>
            </w:tcBorders>
            <w:tcMar>
              <w:top w:w="0" w:type="dxa"/>
              <w:left w:w="108" w:type="dxa"/>
              <w:bottom w:w="0" w:type="dxa"/>
              <w:right w:w="108" w:type="dxa"/>
            </w:tcMar>
            <w:vAlign w:val="center"/>
            <w:hideMark/>
          </w:tcPr>
          <w:p w14:paraId="2ABAB8CC"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ДТ</w:t>
            </w:r>
          </w:p>
        </w:tc>
        <w:tc>
          <w:tcPr>
            <w:tcW w:w="2652" w:type="dxa"/>
            <w:tcBorders>
              <w:top w:val="nil"/>
              <w:left w:val="nil"/>
              <w:bottom w:val="nil"/>
              <w:right w:val="single" w:sz="8" w:space="0" w:color="000000"/>
            </w:tcBorders>
            <w:tcMar>
              <w:top w:w="0" w:type="dxa"/>
              <w:left w:w="108" w:type="dxa"/>
              <w:bottom w:w="0" w:type="dxa"/>
              <w:right w:w="108" w:type="dxa"/>
            </w:tcMar>
            <w:vAlign w:val="center"/>
            <w:hideMark/>
          </w:tcPr>
          <w:p w14:paraId="585040F3"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ДТ</w:t>
            </w:r>
          </w:p>
        </w:tc>
      </w:tr>
      <w:tr w:rsidR="005106D0" w:rsidRPr="007224C3" w14:paraId="38E014CC" w14:textId="77777777" w:rsidTr="00C54063">
        <w:trPr>
          <w:jc w:val="center"/>
        </w:trPr>
        <w:tc>
          <w:tcPr>
            <w:tcW w:w="1237" w:type="dxa"/>
            <w:tcBorders>
              <w:top w:val="nil"/>
              <w:left w:val="single" w:sz="8" w:space="0" w:color="000000"/>
              <w:bottom w:val="nil"/>
              <w:right w:val="single" w:sz="8" w:space="0" w:color="000000"/>
            </w:tcBorders>
            <w:tcMar>
              <w:top w:w="0" w:type="dxa"/>
              <w:left w:w="108" w:type="dxa"/>
              <w:bottom w:w="0" w:type="dxa"/>
              <w:right w:w="108" w:type="dxa"/>
            </w:tcMar>
            <w:hideMark/>
          </w:tcPr>
          <w:p w14:paraId="2550C20B"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w:t>
            </w:r>
          </w:p>
        </w:tc>
        <w:tc>
          <w:tcPr>
            <w:tcW w:w="4111" w:type="dxa"/>
            <w:tcBorders>
              <w:top w:val="nil"/>
              <w:left w:val="nil"/>
              <w:bottom w:val="nil"/>
              <w:right w:val="single" w:sz="8" w:space="0" w:color="000000"/>
            </w:tcBorders>
            <w:tcMar>
              <w:top w:w="0" w:type="dxa"/>
              <w:left w:w="108" w:type="dxa"/>
              <w:bottom w:w="0" w:type="dxa"/>
              <w:right w:w="108" w:type="dxa"/>
            </w:tcMar>
            <w:hideMark/>
          </w:tcPr>
          <w:p w14:paraId="2630DF3D"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количество</w:t>
            </w:r>
          </w:p>
        </w:tc>
        <w:tc>
          <w:tcPr>
            <w:tcW w:w="2976" w:type="dxa"/>
            <w:tcBorders>
              <w:top w:val="nil"/>
              <w:left w:val="nil"/>
              <w:bottom w:val="nil"/>
              <w:right w:val="single" w:sz="8" w:space="0" w:color="000000"/>
            </w:tcBorders>
            <w:tcMar>
              <w:top w:w="0" w:type="dxa"/>
              <w:left w:w="108" w:type="dxa"/>
              <w:bottom w:w="0" w:type="dxa"/>
              <w:right w:w="108" w:type="dxa"/>
            </w:tcMar>
            <w:vAlign w:val="center"/>
            <w:hideMark/>
          </w:tcPr>
          <w:p w14:paraId="3BF0E653"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tc>
        <w:tc>
          <w:tcPr>
            <w:tcW w:w="2652" w:type="dxa"/>
            <w:tcBorders>
              <w:top w:val="nil"/>
              <w:left w:val="nil"/>
              <w:bottom w:val="nil"/>
              <w:right w:val="single" w:sz="8" w:space="0" w:color="000000"/>
            </w:tcBorders>
            <w:tcMar>
              <w:top w:w="0" w:type="dxa"/>
              <w:left w:w="108" w:type="dxa"/>
              <w:bottom w:w="0" w:type="dxa"/>
              <w:right w:w="108" w:type="dxa"/>
            </w:tcMar>
            <w:vAlign w:val="center"/>
            <w:hideMark/>
          </w:tcPr>
          <w:p w14:paraId="23C0DCB7"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tc>
      </w:tr>
      <w:tr w:rsidR="005106D0" w:rsidRPr="007224C3" w14:paraId="1B01694B" w14:textId="77777777" w:rsidTr="00C54063">
        <w:trPr>
          <w:jc w:val="center"/>
        </w:trPr>
        <w:tc>
          <w:tcPr>
            <w:tcW w:w="1237" w:type="dxa"/>
            <w:tcBorders>
              <w:top w:val="nil"/>
              <w:left w:val="single" w:sz="8" w:space="0" w:color="000000"/>
              <w:bottom w:val="nil"/>
              <w:right w:val="single" w:sz="8" w:space="0" w:color="000000"/>
            </w:tcBorders>
            <w:tcMar>
              <w:top w:w="0" w:type="dxa"/>
              <w:left w:w="108" w:type="dxa"/>
              <w:bottom w:w="0" w:type="dxa"/>
              <w:right w:w="108" w:type="dxa"/>
            </w:tcMar>
            <w:hideMark/>
          </w:tcPr>
          <w:p w14:paraId="078AB86B"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w:t>
            </w:r>
          </w:p>
        </w:tc>
        <w:tc>
          <w:tcPr>
            <w:tcW w:w="4111" w:type="dxa"/>
            <w:tcBorders>
              <w:top w:val="nil"/>
              <w:left w:val="nil"/>
              <w:bottom w:val="nil"/>
              <w:right w:val="single" w:sz="8" w:space="0" w:color="000000"/>
            </w:tcBorders>
            <w:tcMar>
              <w:top w:w="0" w:type="dxa"/>
              <w:left w:w="108" w:type="dxa"/>
              <w:bottom w:w="0" w:type="dxa"/>
              <w:right w:w="108" w:type="dxa"/>
            </w:tcMar>
            <w:hideMark/>
          </w:tcPr>
          <w:p w14:paraId="6FD1A055"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размещение</w:t>
            </w:r>
          </w:p>
        </w:tc>
        <w:tc>
          <w:tcPr>
            <w:tcW w:w="2976" w:type="dxa"/>
            <w:tcBorders>
              <w:top w:val="nil"/>
              <w:left w:val="nil"/>
              <w:bottom w:val="nil"/>
              <w:right w:val="single" w:sz="8" w:space="0" w:color="000000"/>
            </w:tcBorders>
            <w:tcMar>
              <w:top w:w="0" w:type="dxa"/>
              <w:left w:w="108" w:type="dxa"/>
              <w:bottom w:w="0" w:type="dxa"/>
              <w:right w:w="108" w:type="dxa"/>
            </w:tcMar>
            <w:vAlign w:val="center"/>
            <w:hideMark/>
          </w:tcPr>
          <w:p w14:paraId="5800D750"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Один в башне,</w:t>
            </w:r>
          </w:p>
          <w:p w14:paraId="3350EA69"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один у води-</w:t>
            </w:r>
          </w:p>
          <w:p w14:paraId="423D8986"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теля</w:t>
            </w:r>
          </w:p>
        </w:tc>
        <w:tc>
          <w:tcPr>
            <w:tcW w:w="2652" w:type="dxa"/>
            <w:tcBorders>
              <w:top w:val="nil"/>
              <w:left w:val="nil"/>
              <w:bottom w:val="nil"/>
              <w:right w:val="single" w:sz="8" w:space="0" w:color="000000"/>
            </w:tcBorders>
            <w:tcMar>
              <w:top w:w="0" w:type="dxa"/>
              <w:left w:w="108" w:type="dxa"/>
              <w:bottom w:w="0" w:type="dxa"/>
              <w:right w:w="108" w:type="dxa"/>
            </w:tcMar>
            <w:vAlign w:val="center"/>
            <w:hideMark/>
          </w:tcPr>
          <w:p w14:paraId="4DD1A92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Один в башне,</w:t>
            </w:r>
          </w:p>
          <w:p w14:paraId="7F5418D5"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один в носу</w:t>
            </w:r>
          </w:p>
          <w:p w14:paraId="58499C63"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корпуса.</w:t>
            </w:r>
          </w:p>
        </w:tc>
      </w:tr>
      <w:tr w:rsidR="005106D0" w:rsidRPr="007224C3" w14:paraId="2866DD8A" w14:textId="77777777" w:rsidTr="00C54063">
        <w:trPr>
          <w:jc w:val="center"/>
        </w:trPr>
        <w:tc>
          <w:tcPr>
            <w:tcW w:w="1237" w:type="dxa"/>
            <w:tcBorders>
              <w:top w:val="nil"/>
              <w:left w:val="single" w:sz="8" w:space="0" w:color="000000"/>
              <w:bottom w:val="nil"/>
              <w:right w:val="single" w:sz="8" w:space="0" w:color="000000"/>
            </w:tcBorders>
            <w:tcMar>
              <w:top w:w="0" w:type="dxa"/>
              <w:left w:w="108" w:type="dxa"/>
              <w:bottom w:w="0" w:type="dxa"/>
              <w:right w:w="108" w:type="dxa"/>
            </w:tcMar>
            <w:hideMark/>
          </w:tcPr>
          <w:p w14:paraId="2031283B"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w:t>
            </w:r>
          </w:p>
        </w:tc>
        <w:tc>
          <w:tcPr>
            <w:tcW w:w="4111" w:type="dxa"/>
            <w:tcBorders>
              <w:top w:val="nil"/>
              <w:left w:val="nil"/>
              <w:bottom w:val="nil"/>
              <w:right w:val="single" w:sz="8" w:space="0" w:color="000000"/>
            </w:tcBorders>
            <w:tcMar>
              <w:top w:w="0" w:type="dxa"/>
              <w:left w:w="108" w:type="dxa"/>
              <w:bottom w:w="0" w:type="dxa"/>
              <w:right w:w="108" w:type="dxa"/>
            </w:tcMar>
            <w:hideMark/>
          </w:tcPr>
          <w:p w14:paraId="18E12BF0"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возимый запас пулемет-</w:t>
            </w:r>
          </w:p>
          <w:p w14:paraId="115F5B20"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ных дисков</w:t>
            </w:r>
          </w:p>
          <w:p w14:paraId="1237924D"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w:t>
            </w:r>
          </w:p>
        </w:tc>
        <w:tc>
          <w:tcPr>
            <w:tcW w:w="2976" w:type="dxa"/>
            <w:tcBorders>
              <w:top w:val="nil"/>
              <w:left w:val="nil"/>
              <w:bottom w:val="nil"/>
              <w:right w:val="single" w:sz="8" w:space="0" w:color="000000"/>
            </w:tcBorders>
            <w:tcMar>
              <w:top w:w="0" w:type="dxa"/>
              <w:left w:w="108" w:type="dxa"/>
              <w:bottom w:w="0" w:type="dxa"/>
              <w:right w:w="108" w:type="dxa"/>
            </w:tcMar>
            <w:vAlign w:val="center"/>
            <w:hideMark/>
          </w:tcPr>
          <w:p w14:paraId="78F445DF"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 шт</w:t>
            </w:r>
          </w:p>
        </w:tc>
        <w:tc>
          <w:tcPr>
            <w:tcW w:w="2652" w:type="dxa"/>
            <w:tcBorders>
              <w:top w:val="nil"/>
              <w:left w:val="nil"/>
              <w:bottom w:val="nil"/>
              <w:right w:val="single" w:sz="8" w:space="0" w:color="000000"/>
            </w:tcBorders>
            <w:tcMar>
              <w:top w:w="0" w:type="dxa"/>
              <w:left w:w="108" w:type="dxa"/>
              <w:bottom w:w="0" w:type="dxa"/>
              <w:right w:w="108" w:type="dxa"/>
            </w:tcMar>
            <w:vAlign w:val="center"/>
            <w:hideMark/>
          </w:tcPr>
          <w:p w14:paraId="4E297B2A"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 шт</w:t>
            </w:r>
          </w:p>
        </w:tc>
      </w:tr>
      <w:tr w:rsidR="005106D0" w:rsidRPr="007224C3" w14:paraId="6CA95A1A" w14:textId="77777777" w:rsidTr="00C54063">
        <w:trPr>
          <w:jc w:val="center"/>
        </w:trPr>
        <w:tc>
          <w:tcPr>
            <w:tcW w:w="1237" w:type="dxa"/>
            <w:tcBorders>
              <w:top w:val="nil"/>
              <w:left w:val="single" w:sz="8" w:space="0" w:color="000000"/>
              <w:bottom w:val="nil"/>
              <w:right w:val="single" w:sz="8" w:space="0" w:color="000000"/>
            </w:tcBorders>
            <w:tcMar>
              <w:top w:w="0" w:type="dxa"/>
              <w:left w:w="108" w:type="dxa"/>
              <w:bottom w:w="0" w:type="dxa"/>
              <w:right w:w="108" w:type="dxa"/>
            </w:tcMar>
            <w:hideMark/>
          </w:tcPr>
          <w:p w14:paraId="0D4DC476"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tc>
        <w:tc>
          <w:tcPr>
            <w:tcW w:w="4111" w:type="dxa"/>
            <w:tcBorders>
              <w:top w:val="nil"/>
              <w:left w:val="nil"/>
              <w:bottom w:val="nil"/>
              <w:right w:val="single" w:sz="8" w:space="0" w:color="000000"/>
            </w:tcBorders>
            <w:tcMar>
              <w:top w:w="0" w:type="dxa"/>
              <w:left w:w="108" w:type="dxa"/>
              <w:bottom w:w="0" w:type="dxa"/>
              <w:right w:w="108" w:type="dxa"/>
            </w:tcMar>
            <w:hideMark/>
          </w:tcPr>
          <w:p w14:paraId="7B76A7B9"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количество гранат (Ф-1)</w:t>
            </w:r>
          </w:p>
        </w:tc>
        <w:tc>
          <w:tcPr>
            <w:tcW w:w="2976" w:type="dxa"/>
            <w:tcBorders>
              <w:top w:val="nil"/>
              <w:left w:val="nil"/>
              <w:bottom w:val="nil"/>
              <w:right w:val="single" w:sz="8" w:space="0" w:color="000000"/>
            </w:tcBorders>
            <w:tcMar>
              <w:top w:w="0" w:type="dxa"/>
              <w:left w:w="108" w:type="dxa"/>
              <w:bottom w:w="0" w:type="dxa"/>
              <w:right w:w="108" w:type="dxa"/>
            </w:tcMar>
            <w:vAlign w:val="center"/>
            <w:hideMark/>
          </w:tcPr>
          <w:p w14:paraId="120D61A4"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шт</w:t>
            </w:r>
          </w:p>
        </w:tc>
        <w:tc>
          <w:tcPr>
            <w:tcW w:w="2652" w:type="dxa"/>
            <w:tcBorders>
              <w:top w:val="nil"/>
              <w:left w:val="nil"/>
              <w:bottom w:val="nil"/>
              <w:right w:val="single" w:sz="8" w:space="0" w:color="000000"/>
            </w:tcBorders>
            <w:tcMar>
              <w:top w:w="0" w:type="dxa"/>
              <w:left w:w="108" w:type="dxa"/>
              <w:bottom w:w="0" w:type="dxa"/>
              <w:right w:w="108" w:type="dxa"/>
            </w:tcMar>
            <w:vAlign w:val="center"/>
            <w:hideMark/>
          </w:tcPr>
          <w:p w14:paraId="266786C1"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шт</w:t>
            </w:r>
          </w:p>
        </w:tc>
      </w:tr>
      <w:tr w:rsidR="005106D0" w:rsidRPr="007224C3" w14:paraId="6BA3073F" w14:textId="77777777" w:rsidTr="00C54063">
        <w:trPr>
          <w:trHeight w:val="736"/>
          <w:jc w:val="center"/>
        </w:trPr>
        <w:tc>
          <w:tcPr>
            <w:tcW w:w="10976" w:type="dxa"/>
            <w:gridSpan w:val="4"/>
            <w:tcBorders>
              <w:top w:val="nil"/>
              <w:left w:val="single" w:sz="8" w:space="0" w:color="000000"/>
              <w:bottom w:val="nil"/>
              <w:right w:val="single" w:sz="8" w:space="0" w:color="000000"/>
            </w:tcBorders>
            <w:tcMar>
              <w:top w:w="0" w:type="dxa"/>
              <w:left w:w="108" w:type="dxa"/>
              <w:bottom w:w="0" w:type="dxa"/>
              <w:right w:w="108" w:type="dxa"/>
            </w:tcMar>
            <w:vAlign w:val="center"/>
            <w:hideMark/>
          </w:tcPr>
          <w:p w14:paraId="37F275E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СКОРОСТИ ДВИЖЕНИЯ.</w:t>
            </w:r>
          </w:p>
        </w:tc>
      </w:tr>
      <w:tr w:rsidR="005106D0" w:rsidRPr="007224C3" w14:paraId="4029A0C8" w14:textId="77777777" w:rsidTr="00C54063">
        <w:trPr>
          <w:jc w:val="center"/>
        </w:trPr>
        <w:tc>
          <w:tcPr>
            <w:tcW w:w="1237" w:type="dxa"/>
            <w:tcBorders>
              <w:top w:val="nil"/>
              <w:left w:val="single" w:sz="8" w:space="0" w:color="000000"/>
              <w:bottom w:val="nil"/>
              <w:right w:val="single" w:sz="8" w:space="0" w:color="000000"/>
            </w:tcBorders>
            <w:tcMar>
              <w:top w:w="0" w:type="dxa"/>
              <w:left w:w="108" w:type="dxa"/>
              <w:bottom w:w="0" w:type="dxa"/>
              <w:right w:w="108" w:type="dxa"/>
            </w:tcMar>
            <w:hideMark/>
          </w:tcPr>
          <w:p w14:paraId="6859E948"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tc>
        <w:tc>
          <w:tcPr>
            <w:tcW w:w="4111" w:type="dxa"/>
            <w:tcBorders>
              <w:top w:val="nil"/>
              <w:left w:val="nil"/>
              <w:bottom w:val="nil"/>
              <w:right w:val="single" w:sz="8" w:space="0" w:color="000000"/>
            </w:tcBorders>
            <w:tcMar>
              <w:top w:w="0" w:type="dxa"/>
              <w:left w:w="108" w:type="dxa"/>
              <w:bottom w:w="0" w:type="dxa"/>
              <w:right w:w="108" w:type="dxa"/>
            </w:tcMar>
            <w:hideMark/>
          </w:tcPr>
          <w:p w14:paraId="5C57507D"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 скорость</w:t>
            </w:r>
          </w:p>
          <w:p w14:paraId="1CB7A361"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км/час</w:t>
            </w:r>
          </w:p>
        </w:tc>
        <w:tc>
          <w:tcPr>
            <w:tcW w:w="2976" w:type="dxa"/>
            <w:tcBorders>
              <w:top w:val="nil"/>
              <w:left w:val="nil"/>
              <w:bottom w:val="nil"/>
              <w:right w:val="single" w:sz="8" w:space="0" w:color="000000"/>
            </w:tcBorders>
            <w:tcMar>
              <w:top w:w="0" w:type="dxa"/>
              <w:left w:w="108" w:type="dxa"/>
              <w:bottom w:w="0" w:type="dxa"/>
              <w:right w:w="108" w:type="dxa"/>
            </w:tcMar>
            <w:vAlign w:val="center"/>
            <w:hideMark/>
          </w:tcPr>
          <w:p w14:paraId="4C037D28"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51,6</w:t>
            </w:r>
          </w:p>
        </w:tc>
        <w:tc>
          <w:tcPr>
            <w:tcW w:w="2652" w:type="dxa"/>
            <w:tcBorders>
              <w:top w:val="nil"/>
              <w:left w:val="nil"/>
              <w:bottom w:val="nil"/>
              <w:right w:val="single" w:sz="8" w:space="0" w:color="000000"/>
            </w:tcBorders>
            <w:tcMar>
              <w:top w:w="0" w:type="dxa"/>
              <w:left w:w="108" w:type="dxa"/>
              <w:bottom w:w="0" w:type="dxa"/>
              <w:right w:w="108" w:type="dxa"/>
            </w:tcMar>
            <w:vAlign w:val="center"/>
            <w:hideMark/>
          </w:tcPr>
          <w:p w14:paraId="3CE534DC"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55,0</w:t>
            </w:r>
          </w:p>
        </w:tc>
      </w:tr>
      <w:tr w:rsidR="005106D0" w:rsidRPr="007224C3" w14:paraId="07310D32" w14:textId="77777777" w:rsidTr="00C54063">
        <w:trPr>
          <w:jc w:val="center"/>
        </w:trPr>
        <w:tc>
          <w:tcPr>
            <w:tcW w:w="1237" w:type="dxa"/>
            <w:tcBorders>
              <w:top w:val="nil"/>
              <w:left w:val="single" w:sz="8" w:space="0" w:color="000000"/>
              <w:bottom w:val="nil"/>
              <w:right w:val="single" w:sz="8" w:space="0" w:color="000000"/>
            </w:tcBorders>
            <w:tcMar>
              <w:top w:w="0" w:type="dxa"/>
              <w:left w:w="108" w:type="dxa"/>
              <w:bottom w:w="0" w:type="dxa"/>
              <w:right w:w="108" w:type="dxa"/>
            </w:tcMar>
            <w:hideMark/>
          </w:tcPr>
          <w:p w14:paraId="1809EFBA"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tc>
        <w:tc>
          <w:tcPr>
            <w:tcW w:w="4111" w:type="dxa"/>
            <w:tcBorders>
              <w:top w:val="nil"/>
              <w:left w:val="nil"/>
              <w:bottom w:val="nil"/>
              <w:right w:val="single" w:sz="8" w:space="0" w:color="000000"/>
            </w:tcBorders>
            <w:tcMar>
              <w:top w:w="0" w:type="dxa"/>
              <w:left w:w="108" w:type="dxa"/>
              <w:bottom w:w="0" w:type="dxa"/>
              <w:right w:w="108" w:type="dxa"/>
            </w:tcMar>
            <w:hideMark/>
          </w:tcPr>
          <w:p w14:paraId="503E6898"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Средние скорости движения </w:t>
            </w:r>
          </w:p>
          <w:p w14:paraId="053F67A3"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км/час:</w:t>
            </w:r>
          </w:p>
        </w:tc>
        <w:tc>
          <w:tcPr>
            <w:tcW w:w="2976" w:type="dxa"/>
            <w:tcBorders>
              <w:top w:val="nil"/>
              <w:left w:val="nil"/>
              <w:bottom w:val="nil"/>
              <w:right w:val="single" w:sz="8" w:space="0" w:color="000000"/>
            </w:tcBorders>
            <w:tcMar>
              <w:top w:w="0" w:type="dxa"/>
              <w:left w:w="108" w:type="dxa"/>
              <w:bottom w:w="0" w:type="dxa"/>
              <w:right w:w="108" w:type="dxa"/>
            </w:tcMar>
            <w:vAlign w:val="center"/>
            <w:hideMark/>
          </w:tcPr>
          <w:p w14:paraId="6C779893"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w:t>
            </w:r>
          </w:p>
        </w:tc>
        <w:tc>
          <w:tcPr>
            <w:tcW w:w="2652" w:type="dxa"/>
            <w:tcBorders>
              <w:top w:val="nil"/>
              <w:left w:val="nil"/>
              <w:bottom w:val="nil"/>
              <w:right w:val="single" w:sz="8" w:space="0" w:color="000000"/>
            </w:tcBorders>
            <w:tcMar>
              <w:top w:w="0" w:type="dxa"/>
              <w:left w:w="108" w:type="dxa"/>
              <w:bottom w:w="0" w:type="dxa"/>
              <w:right w:w="108" w:type="dxa"/>
            </w:tcMar>
            <w:vAlign w:val="center"/>
            <w:hideMark/>
          </w:tcPr>
          <w:p w14:paraId="432540BB"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w:t>
            </w:r>
          </w:p>
        </w:tc>
      </w:tr>
      <w:tr w:rsidR="005106D0" w:rsidRPr="007224C3" w14:paraId="42F84046" w14:textId="77777777" w:rsidTr="00C54063">
        <w:trPr>
          <w:jc w:val="center"/>
        </w:trPr>
        <w:tc>
          <w:tcPr>
            <w:tcW w:w="1237" w:type="dxa"/>
            <w:tcBorders>
              <w:top w:val="nil"/>
              <w:left w:val="single" w:sz="8" w:space="0" w:color="000000"/>
              <w:bottom w:val="nil"/>
              <w:right w:val="single" w:sz="8" w:space="0" w:color="000000"/>
            </w:tcBorders>
            <w:tcMar>
              <w:top w:w="0" w:type="dxa"/>
              <w:left w:w="108" w:type="dxa"/>
              <w:bottom w:w="0" w:type="dxa"/>
              <w:right w:w="108" w:type="dxa"/>
            </w:tcMar>
            <w:hideMark/>
          </w:tcPr>
          <w:p w14:paraId="7FD3E0AC"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w:t>
            </w:r>
          </w:p>
        </w:tc>
        <w:tc>
          <w:tcPr>
            <w:tcW w:w="4111" w:type="dxa"/>
            <w:tcBorders>
              <w:top w:val="nil"/>
              <w:left w:val="nil"/>
              <w:bottom w:val="nil"/>
              <w:right w:val="single" w:sz="8" w:space="0" w:color="000000"/>
            </w:tcBorders>
            <w:tcMar>
              <w:top w:w="0" w:type="dxa"/>
              <w:left w:w="108" w:type="dxa"/>
              <w:bottom w:w="0" w:type="dxa"/>
              <w:right w:w="108" w:type="dxa"/>
            </w:tcMar>
            <w:hideMark/>
          </w:tcPr>
          <w:p w14:paraId="7E5F1872"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по шоссе</w:t>
            </w:r>
          </w:p>
        </w:tc>
        <w:tc>
          <w:tcPr>
            <w:tcW w:w="2976" w:type="dxa"/>
            <w:tcBorders>
              <w:top w:val="nil"/>
              <w:left w:val="nil"/>
              <w:bottom w:val="nil"/>
              <w:right w:val="single" w:sz="8" w:space="0" w:color="000000"/>
            </w:tcBorders>
            <w:tcMar>
              <w:top w:w="0" w:type="dxa"/>
              <w:left w:w="108" w:type="dxa"/>
              <w:bottom w:w="0" w:type="dxa"/>
              <w:right w:w="108" w:type="dxa"/>
            </w:tcMar>
            <w:vAlign w:val="center"/>
            <w:hideMark/>
          </w:tcPr>
          <w:p w14:paraId="2139D842"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35,0</w:t>
            </w:r>
          </w:p>
        </w:tc>
        <w:tc>
          <w:tcPr>
            <w:tcW w:w="2652" w:type="dxa"/>
            <w:tcBorders>
              <w:top w:val="nil"/>
              <w:left w:val="nil"/>
              <w:bottom w:val="nil"/>
              <w:right w:val="single" w:sz="8" w:space="0" w:color="000000"/>
            </w:tcBorders>
            <w:tcMar>
              <w:top w:w="0" w:type="dxa"/>
              <w:left w:w="108" w:type="dxa"/>
              <w:bottom w:w="0" w:type="dxa"/>
              <w:right w:w="108" w:type="dxa"/>
            </w:tcMar>
            <w:vAlign w:val="center"/>
            <w:hideMark/>
          </w:tcPr>
          <w:p w14:paraId="432A25C8"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33,0</w:t>
            </w:r>
          </w:p>
        </w:tc>
      </w:tr>
      <w:tr w:rsidR="005106D0" w:rsidRPr="007224C3" w14:paraId="24E8789B" w14:textId="77777777" w:rsidTr="00C54063">
        <w:trPr>
          <w:jc w:val="center"/>
        </w:trPr>
        <w:tc>
          <w:tcPr>
            <w:tcW w:w="1237" w:type="dxa"/>
            <w:tcBorders>
              <w:top w:val="nil"/>
              <w:left w:val="single" w:sz="8" w:space="0" w:color="000000"/>
              <w:bottom w:val="nil"/>
              <w:right w:val="single" w:sz="8" w:space="0" w:color="000000"/>
            </w:tcBorders>
            <w:tcMar>
              <w:top w:w="0" w:type="dxa"/>
              <w:left w:w="108" w:type="dxa"/>
              <w:bottom w:w="0" w:type="dxa"/>
              <w:right w:w="108" w:type="dxa"/>
            </w:tcMar>
            <w:hideMark/>
          </w:tcPr>
          <w:p w14:paraId="48C6965F"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w:t>
            </w:r>
          </w:p>
        </w:tc>
        <w:tc>
          <w:tcPr>
            <w:tcW w:w="4111" w:type="dxa"/>
            <w:tcBorders>
              <w:top w:val="nil"/>
              <w:left w:val="nil"/>
              <w:bottom w:val="nil"/>
              <w:right w:val="single" w:sz="8" w:space="0" w:color="000000"/>
            </w:tcBorders>
            <w:tcMar>
              <w:top w:w="0" w:type="dxa"/>
              <w:left w:w="108" w:type="dxa"/>
              <w:bottom w:w="0" w:type="dxa"/>
              <w:right w:w="108" w:type="dxa"/>
            </w:tcMar>
            <w:hideMark/>
          </w:tcPr>
          <w:p w14:paraId="0583854B"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по проселочной дороге</w:t>
            </w:r>
          </w:p>
        </w:tc>
        <w:tc>
          <w:tcPr>
            <w:tcW w:w="2976" w:type="dxa"/>
            <w:tcBorders>
              <w:top w:val="nil"/>
              <w:left w:val="nil"/>
              <w:bottom w:val="nil"/>
              <w:right w:val="single" w:sz="8" w:space="0" w:color="000000"/>
            </w:tcBorders>
            <w:tcMar>
              <w:top w:w="0" w:type="dxa"/>
              <w:left w:w="108" w:type="dxa"/>
              <w:bottom w:w="0" w:type="dxa"/>
              <w:right w:w="108" w:type="dxa"/>
            </w:tcMar>
            <w:vAlign w:val="center"/>
            <w:hideMark/>
          </w:tcPr>
          <w:p w14:paraId="219D4C5D"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13,8</w:t>
            </w:r>
          </w:p>
        </w:tc>
        <w:tc>
          <w:tcPr>
            <w:tcW w:w="2652" w:type="dxa"/>
            <w:tcBorders>
              <w:top w:val="nil"/>
              <w:left w:val="nil"/>
              <w:bottom w:val="nil"/>
              <w:right w:val="single" w:sz="8" w:space="0" w:color="000000"/>
            </w:tcBorders>
            <w:tcMar>
              <w:top w:w="0" w:type="dxa"/>
              <w:left w:w="108" w:type="dxa"/>
              <w:bottom w:w="0" w:type="dxa"/>
              <w:right w:w="108" w:type="dxa"/>
            </w:tcMar>
            <w:vAlign w:val="center"/>
            <w:hideMark/>
          </w:tcPr>
          <w:p w14:paraId="2A875584"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17,5</w:t>
            </w:r>
          </w:p>
        </w:tc>
      </w:tr>
      <w:tr w:rsidR="005106D0" w:rsidRPr="007224C3" w14:paraId="435093AA" w14:textId="77777777" w:rsidTr="00C54063">
        <w:trPr>
          <w:jc w:val="center"/>
        </w:trPr>
        <w:tc>
          <w:tcPr>
            <w:tcW w:w="1237" w:type="dxa"/>
            <w:tcBorders>
              <w:top w:val="nil"/>
              <w:left w:val="single" w:sz="8" w:space="0" w:color="000000"/>
              <w:bottom w:val="nil"/>
              <w:right w:val="single" w:sz="8" w:space="0" w:color="000000"/>
            </w:tcBorders>
            <w:tcMar>
              <w:top w:w="0" w:type="dxa"/>
              <w:left w:w="108" w:type="dxa"/>
              <w:bottom w:w="0" w:type="dxa"/>
              <w:right w:w="108" w:type="dxa"/>
            </w:tcMar>
            <w:hideMark/>
          </w:tcPr>
          <w:p w14:paraId="05678903"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w:t>
            </w:r>
          </w:p>
        </w:tc>
        <w:tc>
          <w:tcPr>
            <w:tcW w:w="4111" w:type="dxa"/>
            <w:tcBorders>
              <w:top w:val="nil"/>
              <w:left w:val="nil"/>
              <w:bottom w:val="nil"/>
              <w:right w:val="single" w:sz="8" w:space="0" w:color="000000"/>
            </w:tcBorders>
            <w:tcMar>
              <w:top w:w="0" w:type="dxa"/>
              <w:left w:w="108" w:type="dxa"/>
              <w:bottom w:w="0" w:type="dxa"/>
              <w:right w:w="108" w:type="dxa"/>
            </w:tcMar>
            <w:hideMark/>
          </w:tcPr>
          <w:p w14:paraId="6FFFDC21"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по целине</w:t>
            </w:r>
          </w:p>
        </w:tc>
        <w:tc>
          <w:tcPr>
            <w:tcW w:w="2976" w:type="dxa"/>
            <w:tcBorders>
              <w:top w:val="nil"/>
              <w:left w:val="nil"/>
              <w:bottom w:val="nil"/>
              <w:right w:val="single" w:sz="8" w:space="0" w:color="000000"/>
            </w:tcBorders>
            <w:tcMar>
              <w:top w:w="0" w:type="dxa"/>
              <w:left w:w="108" w:type="dxa"/>
              <w:bottom w:w="0" w:type="dxa"/>
              <w:right w:w="108" w:type="dxa"/>
            </w:tcMar>
            <w:vAlign w:val="center"/>
            <w:hideMark/>
          </w:tcPr>
          <w:p w14:paraId="45ACC5FD"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15,0</w:t>
            </w:r>
          </w:p>
        </w:tc>
        <w:tc>
          <w:tcPr>
            <w:tcW w:w="2652" w:type="dxa"/>
            <w:tcBorders>
              <w:top w:val="nil"/>
              <w:left w:val="nil"/>
              <w:bottom w:val="nil"/>
              <w:right w:val="single" w:sz="8" w:space="0" w:color="000000"/>
            </w:tcBorders>
            <w:tcMar>
              <w:top w:w="0" w:type="dxa"/>
              <w:left w:w="108" w:type="dxa"/>
              <w:bottom w:w="0" w:type="dxa"/>
              <w:right w:w="108" w:type="dxa"/>
            </w:tcMar>
            <w:vAlign w:val="center"/>
            <w:hideMark/>
          </w:tcPr>
          <w:p w14:paraId="10345940"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0C5A435C" w14:textId="77777777" w:rsidTr="00C54063">
        <w:trPr>
          <w:jc w:val="center"/>
        </w:trPr>
        <w:tc>
          <w:tcPr>
            <w:tcW w:w="1237" w:type="dxa"/>
            <w:tcBorders>
              <w:top w:val="nil"/>
              <w:left w:val="single" w:sz="8" w:space="0" w:color="000000"/>
              <w:bottom w:val="nil"/>
              <w:right w:val="single" w:sz="8" w:space="0" w:color="000000"/>
            </w:tcBorders>
            <w:tcMar>
              <w:top w:w="0" w:type="dxa"/>
              <w:left w:w="108" w:type="dxa"/>
              <w:bottom w:w="0" w:type="dxa"/>
              <w:right w:w="108" w:type="dxa"/>
            </w:tcMar>
            <w:hideMark/>
          </w:tcPr>
          <w:p w14:paraId="053DA911"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tc>
        <w:tc>
          <w:tcPr>
            <w:tcW w:w="4111" w:type="dxa"/>
            <w:tcBorders>
              <w:top w:val="nil"/>
              <w:left w:val="nil"/>
              <w:bottom w:val="nil"/>
              <w:right w:val="single" w:sz="8" w:space="0" w:color="000000"/>
            </w:tcBorders>
            <w:tcMar>
              <w:top w:w="0" w:type="dxa"/>
              <w:left w:w="108" w:type="dxa"/>
              <w:bottom w:w="0" w:type="dxa"/>
              <w:right w:w="108" w:type="dxa"/>
            </w:tcMar>
            <w:hideMark/>
          </w:tcPr>
          <w:p w14:paraId="298BAF85"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Зачетная максимальная </w:t>
            </w:r>
          </w:p>
          <w:p w14:paraId="6ED93996"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скорость движения, при</w:t>
            </w:r>
          </w:p>
          <w:p w14:paraId="1E831925"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максимальных оборотах дви-</w:t>
            </w:r>
          </w:p>
          <w:p w14:paraId="2668586A"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гателя</w:t>
            </w:r>
          </w:p>
        </w:tc>
        <w:tc>
          <w:tcPr>
            <w:tcW w:w="2976" w:type="dxa"/>
            <w:tcBorders>
              <w:top w:val="nil"/>
              <w:left w:val="nil"/>
              <w:bottom w:val="nil"/>
              <w:right w:val="single" w:sz="8" w:space="0" w:color="000000"/>
            </w:tcBorders>
            <w:tcMar>
              <w:top w:w="0" w:type="dxa"/>
              <w:left w:w="108" w:type="dxa"/>
              <w:bottom w:w="0" w:type="dxa"/>
              <w:right w:w="108" w:type="dxa"/>
            </w:tcMar>
            <w:vAlign w:val="bottom"/>
            <w:hideMark/>
          </w:tcPr>
          <w:p w14:paraId="0C14A849"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60,5</w:t>
            </w:r>
          </w:p>
        </w:tc>
        <w:tc>
          <w:tcPr>
            <w:tcW w:w="2652" w:type="dxa"/>
            <w:tcBorders>
              <w:top w:val="nil"/>
              <w:left w:val="nil"/>
              <w:bottom w:val="nil"/>
              <w:right w:val="single" w:sz="8" w:space="0" w:color="000000"/>
            </w:tcBorders>
            <w:tcMar>
              <w:top w:w="0" w:type="dxa"/>
              <w:left w:w="108" w:type="dxa"/>
              <w:bottom w:w="0" w:type="dxa"/>
              <w:right w:w="108" w:type="dxa"/>
            </w:tcMar>
            <w:vAlign w:val="bottom"/>
            <w:hideMark/>
          </w:tcPr>
          <w:p w14:paraId="0F88C0D4"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58,2</w:t>
            </w:r>
          </w:p>
        </w:tc>
      </w:tr>
      <w:tr w:rsidR="005106D0" w:rsidRPr="007224C3" w14:paraId="32E85255" w14:textId="77777777" w:rsidTr="00C54063">
        <w:trPr>
          <w:jc w:val="center"/>
        </w:trPr>
        <w:tc>
          <w:tcPr>
            <w:tcW w:w="1237" w:type="dxa"/>
            <w:tcBorders>
              <w:top w:val="nil"/>
              <w:left w:val="single" w:sz="8" w:space="0" w:color="000000"/>
              <w:bottom w:val="nil"/>
              <w:right w:val="single" w:sz="8" w:space="0" w:color="000000"/>
            </w:tcBorders>
            <w:tcMar>
              <w:top w:w="0" w:type="dxa"/>
              <w:left w:w="108" w:type="dxa"/>
              <w:bottom w:w="0" w:type="dxa"/>
              <w:right w:w="108" w:type="dxa"/>
            </w:tcMar>
            <w:hideMark/>
          </w:tcPr>
          <w:p w14:paraId="7DD6D8B1"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4.</w:t>
            </w:r>
          </w:p>
        </w:tc>
        <w:tc>
          <w:tcPr>
            <w:tcW w:w="4111" w:type="dxa"/>
            <w:tcBorders>
              <w:top w:val="nil"/>
              <w:left w:val="nil"/>
              <w:bottom w:val="nil"/>
              <w:right w:val="single" w:sz="8" w:space="0" w:color="000000"/>
            </w:tcBorders>
            <w:tcMar>
              <w:top w:w="0" w:type="dxa"/>
              <w:left w:w="108" w:type="dxa"/>
              <w:bottom w:w="0" w:type="dxa"/>
              <w:right w:w="108" w:type="dxa"/>
            </w:tcMar>
            <w:hideMark/>
          </w:tcPr>
          <w:p w14:paraId="3643E7F3"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Расчетные скорости движе-</w:t>
            </w:r>
          </w:p>
          <w:p w14:paraId="6626339C"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ния при 1700 об/мин. вала</w:t>
            </w:r>
          </w:p>
          <w:p w14:paraId="6296DBCF"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мотора:</w:t>
            </w:r>
          </w:p>
        </w:tc>
        <w:tc>
          <w:tcPr>
            <w:tcW w:w="2976" w:type="dxa"/>
            <w:tcBorders>
              <w:top w:val="nil"/>
              <w:left w:val="nil"/>
              <w:bottom w:val="nil"/>
              <w:right w:val="single" w:sz="8" w:space="0" w:color="000000"/>
            </w:tcBorders>
            <w:tcMar>
              <w:top w:w="0" w:type="dxa"/>
              <w:left w:w="108" w:type="dxa"/>
              <w:bottom w:w="0" w:type="dxa"/>
              <w:right w:w="108" w:type="dxa"/>
            </w:tcMar>
            <w:vAlign w:val="center"/>
            <w:hideMark/>
          </w:tcPr>
          <w:p w14:paraId="507B82D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w:t>
            </w:r>
          </w:p>
        </w:tc>
        <w:tc>
          <w:tcPr>
            <w:tcW w:w="2652" w:type="dxa"/>
            <w:tcBorders>
              <w:top w:val="nil"/>
              <w:left w:val="nil"/>
              <w:bottom w:val="nil"/>
              <w:right w:val="single" w:sz="8" w:space="0" w:color="000000"/>
            </w:tcBorders>
            <w:tcMar>
              <w:top w:w="0" w:type="dxa"/>
              <w:left w:w="108" w:type="dxa"/>
              <w:bottom w:w="0" w:type="dxa"/>
              <w:right w:w="108" w:type="dxa"/>
            </w:tcMar>
            <w:vAlign w:val="center"/>
            <w:hideMark/>
          </w:tcPr>
          <w:p w14:paraId="2D58635B"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w:t>
            </w:r>
          </w:p>
        </w:tc>
      </w:tr>
      <w:tr w:rsidR="005106D0" w:rsidRPr="007224C3" w14:paraId="2D0B12ED" w14:textId="77777777" w:rsidTr="00C54063">
        <w:trPr>
          <w:jc w:val="center"/>
        </w:trPr>
        <w:tc>
          <w:tcPr>
            <w:tcW w:w="1237" w:type="dxa"/>
            <w:tcBorders>
              <w:top w:val="nil"/>
              <w:left w:val="single" w:sz="8" w:space="0" w:color="000000"/>
              <w:bottom w:val="nil"/>
              <w:right w:val="single" w:sz="8" w:space="0" w:color="000000"/>
            </w:tcBorders>
            <w:tcMar>
              <w:top w:w="0" w:type="dxa"/>
              <w:left w:w="108" w:type="dxa"/>
              <w:bottom w:w="0" w:type="dxa"/>
              <w:right w:w="108" w:type="dxa"/>
            </w:tcMar>
            <w:hideMark/>
          </w:tcPr>
          <w:p w14:paraId="15AB4A2B"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w:t>
            </w:r>
          </w:p>
        </w:tc>
        <w:tc>
          <w:tcPr>
            <w:tcW w:w="4111" w:type="dxa"/>
            <w:tcBorders>
              <w:top w:val="nil"/>
              <w:left w:val="nil"/>
              <w:bottom w:val="nil"/>
              <w:right w:val="single" w:sz="8" w:space="0" w:color="000000"/>
            </w:tcBorders>
            <w:tcMar>
              <w:top w:w="0" w:type="dxa"/>
              <w:left w:w="108" w:type="dxa"/>
              <w:bottom w:w="0" w:type="dxa"/>
              <w:right w:w="108" w:type="dxa"/>
            </w:tcMar>
            <w:hideMark/>
          </w:tcPr>
          <w:p w14:paraId="67490B71"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на первой передаче</w:t>
            </w:r>
          </w:p>
        </w:tc>
        <w:tc>
          <w:tcPr>
            <w:tcW w:w="2976" w:type="dxa"/>
            <w:tcBorders>
              <w:top w:val="nil"/>
              <w:left w:val="nil"/>
              <w:bottom w:val="nil"/>
              <w:right w:val="single" w:sz="8" w:space="0" w:color="000000"/>
            </w:tcBorders>
            <w:tcMar>
              <w:top w:w="0" w:type="dxa"/>
              <w:left w:w="108" w:type="dxa"/>
              <w:bottom w:w="0" w:type="dxa"/>
              <w:right w:w="108" w:type="dxa"/>
            </w:tcMar>
            <w:vAlign w:val="center"/>
            <w:hideMark/>
          </w:tcPr>
          <w:p w14:paraId="7848D440"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7,01 км/час</w:t>
            </w:r>
          </w:p>
        </w:tc>
        <w:tc>
          <w:tcPr>
            <w:tcW w:w="2652" w:type="dxa"/>
            <w:tcBorders>
              <w:top w:val="nil"/>
              <w:left w:val="nil"/>
              <w:bottom w:val="nil"/>
              <w:right w:val="single" w:sz="8" w:space="0" w:color="000000"/>
            </w:tcBorders>
            <w:tcMar>
              <w:top w:w="0" w:type="dxa"/>
              <w:left w:w="108" w:type="dxa"/>
              <w:bottom w:w="0" w:type="dxa"/>
              <w:right w:w="108" w:type="dxa"/>
            </w:tcMar>
            <w:vAlign w:val="center"/>
            <w:hideMark/>
          </w:tcPr>
          <w:p w14:paraId="1D03922A"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6,63 км/час</w:t>
            </w:r>
          </w:p>
        </w:tc>
      </w:tr>
      <w:tr w:rsidR="005106D0" w:rsidRPr="007224C3" w14:paraId="4D18A654" w14:textId="77777777" w:rsidTr="00C54063">
        <w:trPr>
          <w:trHeight w:val="430"/>
          <w:jc w:val="center"/>
        </w:trPr>
        <w:tc>
          <w:tcPr>
            <w:tcW w:w="1237" w:type="dxa"/>
            <w:vMerge w:val="restart"/>
            <w:tcBorders>
              <w:top w:val="nil"/>
              <w:left w:val="single" w:sz="8" w:space="0" w:color="000000"/>
              <w:bottom w:val="nil"/>
              <w:right w:val="single" w:sz="8" w:space="0" w:color="000000"/>
            </w:tcBorders>
            <w:tcMar>
              <w:top w:w="0" w:type="dxa"/>
              <w:left w:w="108" w:type="dxa"/>
              <w:bottom w:w="0" w:type="dxa"/>
              <w:right w:w="108" w:type="dxa"/>
            </w:tcMar>
            <w:hideMark/>
          </w:tcPr>
          <w:p w14:paraId="1CE1D462"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w:t>
            </w:r>
          </w:p>
        </w:tc>
        <w:tc>
          <w:tcPr>
            <w:tcW w:w="4111" w:type="dxa"/>
            <w:tcBorders>
              <w:top w:val="nil"/>
              <w:left w:val="nil"/>
              <w:bottom w:val="nil"/>
              <w:right w:val="single" w:sz="8" w:space="0" w:color="000000"/>
            </w:tcBorders>
            <w:tcMar>
              <w:top w:w="0" w:type="dxa"/>
              <w:left w:w="108" w:type="dxa"/>
              <w:bottom w:w="0" w:type="dxa"/>
              <w:right w:w="108" w:type="dxa"/>
            </w:tcMar>
            <w:hideMark/>
          </w:tcPr>
          <w:p w14:paraId="1E9D759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на второй передаче</w:t>
            </w:r>
          </w:p>
        </w:tc>
        <w:tc>
          <w:tcPr>
            <w:tcW w:w="2976" w:type="dxa"/>
            <w:tcBorders>
              <w:top w:val="nil"/>
              <w:left w:val="nil"/>
              <w:bottom w:val="nil"/>
              <w:right w:val="single" w:sz="8" w:space="0" w:color="000000"/>
            </w:tcBorders>
            <w:tcMar>
              <w:top w:w="0" w:type="dxa"/>
              <w:left w:w="108" w:type="dxa"/>
              <w:bottom w:w="0" w:type="dxa"/>
              <w:right w:w="108" w:type="dxa"/>
            </w:tcMar>
            <w:vAlign w:val="center"/>
            <w:hideMark/>
          </w:tcPr>
          <w:p w14:paraId="19B5E2DA"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15,16 </w:t>
            </w:r>
            <w:bookmarkStart w:id="36" w:name="OLE_LINK125"/>
            <w:bookmarkStart w:id="37" w:name="OLE_LINK124"/>
            <w:bookmarkEnd w:id="36"/>
            <w:bookmarkEnd w:id="37"/>
            <w:r w:rsidRPr="007224C3">
              <w:rPr>
                <w:rFonts w:ascii="Times New Roman" w:hAnsi="Times New Roman"/>
                <w:color w:val="000000" w:themeColor="text1"/>
                <w:sz w:val="16"/>
                <w:szCs w:val="16"/>
              </w:rPr>
              <w:t>-"-</w:t>
            </w:r>
          </w:p>
        </w:tc>
        <w:tc>
          <w:tcPr>
            <w:tcW w:w="2652" w:type="dxa"/>
            <w:tcBorders>
              <w:top w:val="nil"/>
              <w:left w:val="nil"/>
              <w:bottom w:val="nil"/>
              <w:right w:val="single" w:sz="8" w:space="0" w:color="000000"/>
            </w:tcBorders>
            <w:tcMar>
              <w:top w:w="0" w:type="dxa"/>
              <w:left w:w="108" w:type="dxa"/>
              <w:bottom w:w="0" w:type="dxa"/>
              <w:right w:w="108" w:type="dxa"/>
            </w:tcMar>
            <w:vAlign w:val="center"/>
            <w:hideMark/>
          </w:tcPr>
          <w:p w14:paraId="71CC7E5D"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14,20</w:t>
            </w:r>
            <w:bookmarkStart w:id="38" w:name="OLE_LINK127"/>
            <w:bookmarkStart w:id="39" w:name="OLE_LINK126"/>
            <w:bookmarkEnd w:id="38"/>
            <w:bookmarkEnd w:id="39"/>
            <w:r w:rsidRPr="007224C3">
              <w:rPr>
                <w:rFonts w:ascii="Times New Roman" w:hAnsi="Times New Roman"/>
                <w:color w:val="000000" w:themeColor="text1"/>
                <w:sz w:val="16"/>
                <w:szCs w:val="16"/>
              </w:rPr>
              <w:t> -"-</w:t>
            </w:r>
          </w:p>
        </w:tc>
      </w:tr>
      <w:tr w:rsidR="005106D0" w:rsidRPr="007224C3" w14:paraId="439D4B85" w14:textId="77777777" w:rsidTr="00C54063">
        <w:trPr>
          <w:trHeight w:val="430"/>
          <w:jc w:val="center"/>
        </w:trPr>
        <w:tc>
          <w:tcPr>
            <w:tcW w:w="1237" w:type="dxa"/>
            <w:vMerge/>
            <w:tcBorders>
              <w:top w:val="nil"/>
              <w:left w:val="single" w:sz="8" w:space="0" w:color="000000"/>
              <w:bottom w:val="nil"/>
              <w:right w:val="single" w:sz="8" w:space="0" w:color="000000"/>
            </w:tcBorders>
            <w:vAlign w:val="center"/>
            <w:hideMark/>
          </w:tcPr>
          <w:p w14:paraId="45B1B7C3" w14:textId="77777777" w:rsidR="00811C95" w:rsidRPr="007224C3" w:rsidRDefault="00811C95" w:rsidP="007224C3">
            <w:pPr>
              <w:spacing w:after="0" w:line="240" w:lineRule="auto"/>
              <w:jc w:val="both"/>
              <w:rPr>
                <w:rFonts w:ascii="Times New Roman" w:hAnsi="Times New Roman"/>
                <w:color w:val="000000" w:themeColor="text1"/>
                <w:sz w:val="16"/>
                <w:szCs w:val="16"/>
              </w:rPr>
            </w:pPr>
          </w:p>
        </w:tc>
        <w:tc>
          <w:tcPr>
            <w:tcW w:w="4111" w:type="dxa"/>
            <w:tcBorders>
              <w:top w:val="nil"/>
              <w:left w:val="nil"/>
              <w:bottom w:val="nil"/>
              <w:right w:val="single" w:sz="8" w:space="0" w:color="000000"/>
            </w:tcBorders>
            <w:tcMar>
              <w:top w:w="0" w:type="dxa"/>
              <w:left w:w="108" w:type="dxa"/>
              <w:bottom w:w="0" w:type="dxa"/>
              <w:right w:w="108" w:type="dxa"/>
            </w:tcMar>
            <w:hideMark/>
          </w:tcPr>
          <w:p w14:paraId="4DE3861C"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 третьей передаче</w:t>
            </w:r>
          </w:p>
        </w:tc>
        <w:tc>
          <w:tcPr>
            <w:tcW w:w="2976" w:type="dxa"/>
            <w:tcBorders>
              <w:top w:val="nil"/>
              <w:left w:val="nil"/>
              <w:bottom w:val="nil"/>
              <w:right w:val="single" w:sz="8" w:space="0" w:color="000000"/>
            </w:tcBorders>
            <w:tcMar>
              <w:top w:w="0" w:type="dxa"/>
              <w:left w:w="108" w:type="dxa"/>
              <w:bottom w:w="0" w:type="dxa"/>
              <w:right w:w="108" w:type="dxa"/>
            </w:tcMar>
            <w:vAlign w:val="center"/>
            <w:hideMark/>
          </w:tcPr>
          <w:p w14:paraId="2C9CCAF2"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21,25 -"-</w:t>
            </w:r>
          </w:p>
        </w:tc>
        <w:tc>
          <w:tcPr>
            <w:tcW w:w="2652" w:type="dxa"/>
            <w:tcBorders>
              <w:top w:val="nil"/>
              <w:left w:val="nil"/>
              <w:bottom w:val="nil"/>
              <w:right w:val="single" w:sz="8" w:space="0" w:color="000000"/>
            </w:tcBorders>
            <w:tcMar>
              <w:top w:w="0" w:type="dxa"/>
              <w:left w:w="108" w:type="dxa"/>
              <w:bottom w:w="0" w:type="dxa"/>
              <w:right w:w="108" w:type="dxa"/>
            </w:tcMar>
            <w:vAlign w:val="center"/>
            <w:hideMark/>
          </w:tcPr>
          <w:p w14:paraId="16227989"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19,89 -"-</w:t>
            </w:r>
          </w:p>
        </w:tc>
      </w:tr>
      <w:tr w:rsidR="005106D0" w:rsidRPr="007224C3" w14:paraId="20890547" w14:textId="77777777" w:rsidTr="00C54063">
        <w:trPr>
          <w:jc w:val="center"/>
        </w:trPr>
        <w:tc>
          <w:tcPr>
            <w:tcW w:w="1237" w:type="dxa"/>
            <w:tcBorders>
              <w:top w:val="nil"/>
              <w:left w:val="single" w:sz="8" w:space="0" w:color="000000"/>
              <w:bottom w:val="nil"/>
              <w:right w:val="single" w:sz="8" w:space="0" w:color="000000"/>
            </w:tcBorders>
            <w:tcMar>
              <w:top w:w="0" w:type="dxa"/>
              <w:left w:w="108" w:type="dxa"/>
              <w:bottom w:w="0" w:type="dxa"/>
              <w:right w:w="108" w:type="dxa"/>
            </w:tcMar>
            <w:hideMark/>
          </w:tcPr>
          <w:p w14:paraId="0467037D"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w:t>
            </w:r>
          </w:p>
        </w:tc>
        <w:tc>
          <w:tcPr>
            <w:tcW w:w="4111" w:type="dxa"/>
            <w:tcBorders>
              <w:top w:val="nil"/>
              <w:left w:val="nil"/>
              <w:bottom w:val="nil"/>
              <w:right w:val="single" w:sz="8" w:space="0" w:color="000000"/>
            </w:tcBorders>
            <w:tcMar>
              <w:top w:w="0" w:type="dxa"/>
              <w:left w:w="108" w:type="dxa"/>
              <w:bottom w:w="0" w:type="dxa"/>
              <w:right w:w="108" w:type="dxa"/>
            </w:tcMar>
            <w:hideMark/>
          </w:tcPr>
          <w:p w14:paraId="7EFD8189"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 на четвертой передаче</w:t>
            </w:r>
          </w:p>
        </w:tc>
        <w:tc>
          <w:tcPr>
            <w:tcW w:w="2976" w:type="dxa"/>
            <w:tcBorders>
              <w:top w:val="nil"/>
              <w:left w:val="nil"/>
              <w:bottom w:val="nil"/>
              <w:right w:val="single" w:sz="8" w:space="0" w:color="000000"/>
            </w:tcBorders>
            <w:tcMar>
              <w:top w:w="0" w:type="dxa"/>
              <w:left w:w="108" w:type="dxa"/>
              <w:bottom w:w="0" w:type="dxa"/>
              <w:right w:w="108" w:type="dxa"/>
            </w:tcMar>
            <w:vAlign w:val="center"/>
            <w:hideMark/>
          </w:tcPr>
          <w:p w14:paraId="5E5F6EA3"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29,79 </w:t>
            </w:r>
            <w:bookmarkStart w:id="40" w:name="OLE_LINK129"/>
            <w:bookmarkStart w:id="41" w:name="OLE_LINK128"/>
            <w:bookmarkEnd w:id="40"/>
            <w:bookmarkEnd w:id="41"/>
            <w:r w:rsidRPr="007224C3">
              <w:rPr>
                <w:rFonts w:ascii="Times New Roman" w:hAnsi="Times New Roman"/>
                <w:color w:val="000000" w:themeColor="text1"/>
                <w:sz w:val="16"/>
                <w:szCs w:val="16"/>
              </w:rPr>
              <w:t>-"-</w:t>
            </w:r>
          </w:p>
        </w:tc>
        <w:tc>
          <w:tcPr>
            <w:tcW w:w="2652" w:type="dxa"/>
            <w:tcBorders>
              <w:top w:val="nil"/>
              <w:left w:val="nil"/>
              <w:bottom w:val="nil"/>
              <w:right w:val="single" w:sz="8" w:space="0" w:color="000000"/>
            </w:tcBorders>
            <w:tcMar>
              <w:top w:w="0" w:type="dxa"/>
              <w:left w:w="108" w:type="dxa"/>
              <w:bottom w:w="0" w:type="dxa"/>
              <w:right w:w="108" w:type="dxa"/>
            </w:tcMar>
            <w:vAlign w:val="center"/>
            <w:hideMark/>
          </w:tcPr>
          <w:p w14:paraId="0E244573"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30,35 -"-</w:t>
            </w:r>
          </w:p>
        </w:tc>
      </w:tr>
      <w:tr w:rsidR="005106D0" w:rsidRPr="007224C3" w14:paraId="38526FEA" w14:textId="77777777" w:rsidTr="00C54063">
        <w:trPr>
          <w:jc w:val="center"/>
        </w:trPr>
        <w:tc>
          <w:tcPr>
            <w:tcW w:w="1237" w:type="dxa"/>
            <w:tcBorders>
              <w:top w:val="nil"/>
              <w:left w:val="single" w:sz="8" w:space="0" w:color="000000"/>
              <w:bottom w:val="nil"/>
              <w:right w:val="single" w:sz="8" w:space="0" w:color="000000"/>
            </w:tcBorders>
            <w:tcMar>
              <w:top w:w="0" w:type="dxa"/>
              <w:left w:w="108" w:type="dxa"/>
              <w:bottom w:w="0" w:type="dxa"/>
              <w:right w:w="108" w:type="dxa"/>
            </w:tcMar>
            <w:hideMark/>
          </w:tcPr>
          <w:p w14:paraId="439C269F"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w:t>
            </w:r>
          </w:p>
        </w:tc>
        <w:tc>
          <w:tcPr>
            <w:tcW w:w="4111" w:type="dxa"/>
            <w:tcBorders>
              <w:top w:val="nil"/>
              <w:left w:val="nil"/>
              <w:bottom w:val="nil"/>
              <w:right w:val="single" w:sz="8" w:space="0" w:color="000000"/>
            </w:tcBorders>
            <w:tcMar>
              <w:top w:w="0" w:type="dxa"/>
              <w:left w:w="108" w:type="dxa"/>
              <w:bottom w:w="0" w:type="dxa"/>
              <w:right w:w="108" w:type="dxa"/>
            </w:tcMar>
            <w:hideMark/>
          </w:tcPr>
          <w:p w14:paraId="58827395"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 на пятой передаче</w:t>
            </w:r>
          </w:p>
        </w:tc>
        <w:tc>
          <w:tcPr>
            <w:tcW w:w="2976" w:type="dxa"/>
            <w:tcBorders>
              <w:top w:val="nil"/>
              <w:left w:val="nil"/>
              <w:bottom w:val="nil"/>
              <w:right w:val="single" w:sz="8" w:space="0" w:color="000000"/>
            </w:tcBorders>
            <w:tcMar>
              <w:top w:w="0" w:type="dxa"/>
              <w:left w:w="108" w:type="dxa"/>
              <w:bottom w:w="0" w:type="dxa"/>
              <w:right w:w="108" w:type="dxa"/>
            </w:tcMar>
            <w:vAlign w:val="center"/>
            <w:hideMark/>
          </w:tcPr>
          <w:p w14:paraId="1F990275"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46,75 -"-</w:t>
            </w:r>
          </w:p>
        </w:tc>
        <w:tc>
          <w:tcPr>
            <w:tcW w:w="2652" w:type="dxa"/>
            <w:tcBorders>
              <w:top w:val="nil"/>
              <w:left w:val="nil"/>
              <w:bottom w:val="nil"/>
              <w:right w:val="single" w:sz="8" w:space="0" w:color="000000"/>
            </w:tcBorders>
            <w:tcMar>
              <w:top w:w="0" w:type="dxa"/>
              <w:left w:w="108" w:type="dxa"/>
              <w:bottom w:w="0" w:type="dxa"/>
              <w:right w:w="108" w:type="dxa"/>
            </w:tcMar>
            <w:vAlign w:val="center"/>
            <w:hideMark/>
          </w:tcPr>
          <w:p w14:paraId="4C00087D"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48,30</w:t>
            </w:r>
            <w:bookmarkStart w:id="42" w:name="OLE_LINK131"/>
            <w:bookmarkStart w:id="43" w:name="OLE_LINK130"/>
            <w:bookmarkEnd w:id="42"/>
            <w:bookmarkEnd w:id="43"/>
            <w:r w:rsidRPr="007224C3">
              <w:rPr>
                <w:rFonts w:ascii="Times New Roman" w:hAnsi="Times New Roman"/>
                <w:color w:val="000000" w:themeColor="text1"/>
                <w:sz w:val="16"/>
                <w:szCs w:val="16"/>
              </w:rPr>
              <w:t> -"-</w:t>
            </w:r>
          </w:p>
        </w:tc>
      </w:tr>
      <w:tr w:rsidR="005106D0" w:rsidRPr="007224C3" w14:paraId="202023A7" w14:textId="77777777" w:rsidTr="00C54063">
        <w:trPr>
          <w:jc w:val="center"/>
        </w:trPr>
        <w:tc>
          <w:tcPr>
            <w:tcW w:w="1237" w:type="dxa"/>
            <w:tcBorders>
              <w:top w:val="nil"/>
              <w:left w:val="single" w:sz="8" w:space="0" w:color="000000"/>
              <w:bottom w:val="nil"/>
              <w:right w:val="single" w:sz="8" w:space="0" w:color="000000"/>
            </w:tcBorders>
            <w:tcMar>
              <w:top w:w="0" w:type="dxa"/>
              <w:left w:w="108" w:type="dxa"/>
              <w:bottom w:w="0" w:type="dxa"/>
              <w:right w:w="108" w:type="dxa"/>
            </w:tcMar>
            <w:hideMark/>
          </w:tcPr>
          <w:p w14:paraId="4D9C28F1"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w:t>
            </w:r>
          </w:p>
        </w:tc>
        <w:tc>
          <w:tcPr>
            <w:tcW w:w="4111" w:type="dxa"/>
            <w:tcBorders>
              <w:top w:val="nil"/>
              <w:left w:val="nil"/>
              <w:bottom w:val="nil"/>
              <w:right w:val="single" w:sz="8" w:space="0" w:color="000000"/>
            </w:tcBorders>
            <w:tcMar>
              <w:top w:w="0" w:type="dxa"/>
              <w:left w:w="108" w:type="dxa"/>
              <w:bottom w:w="0" w:type="dxa"/>
              <w:right w:w="108" w:type="dxa"/>
            </w:tcMar>
            <w:hideMark/>
          </w:tcPr>
          <w:p w14:paraId="7ADB8395"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е) на передаче заднего хода</w:t>
            </w:r>
          </w:p>
        </w:tc>
        <w:tc>
          <w:tcPr>
            <w:tcW w:w="2976" w:type="dxa"/>
            <w:tcBorders>
              <w:top w:val="nil"/>
              <w:left w:val="nil"/>
              <w:bottom w:val="nil"/>
              <w:right w:val="single" w:sz="8" w:space="0" w:color="000000"/>
            </w:tcBorders>
            <w:tcMar>
              <w:top w:w="0" w:type="dxa"/>
              <w:left w:w="108" w:type="dxa"/>
              <w:bottom w:w="0" w:type="dxa"/>
              <w:right w:w="108" w:type="dxa"/>
            </w:tcMar>
            <w:vAlign w:val="center"/>
            <w:hideMark/>
          </w:tcPr>
          <w:p w14:paraId="5253E9C2"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7,01 -"-</w:t>
            </w:r>
          </w:p>
        </w:tc>
        <w:tc>
          <w:tcPr>
            <w:tcW w:w="2652" w:type="dxa"/>
            <w:tcBorders>
              <w:top w:val="nil"/>
              <w:left w:val="nil"/>
              <w:bottom w:val="nil"/>
              <w:right w:val="single" w:sz="8" w:space="0" w:color="000000"/>
            </w:tcBorders>
            <w:tcMar>
              <w:top w:w="0" w:type="dxa"/>
              <w:left w:w="108" w:type="dxa"/>
              <w:bottom w:w="0" w:type="dxa"/>
              <w:right w:w="108" w:type="dxa"/>
            </w:tcMar>
            <w:vAlign w:val="center"/>
            <w:hideMark/>
          </w:tcPr>
          <w:p w14:paraId="783B906A"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7,45  -"-</w:t>
            </w:r>
          </w:p>
        </w:tc>
      </w:tr>
      <w:tr w:rsidR="005106D0" w:rsidRPr="007224C3" w14:paraId="2313577E" w14:textId="77777777" w:rsidTr="00C54063">
        <w:trPr>
          <w:trHeight w:val="736"/>
          <w:jc w:val="center"/>
        </w:trPr>
        <w:tc>
          <w:tcPr>
            <w:tcW w:w="10976" w:type="dxa"/>
            <w:gridSpan w:val="4"/>
            <w:tcBorders>
              <w:top w:val="nil"/>
              <w:left w:val="single" w:sz="8" w:space="0" w:color="000000"/>
              <w:bottom w:val="nil"/>
              <w:right w:val="single" w:sz="8" w:space="0" w:color="000000"/>
            </w:tcBorders>
            <w:tcMar>
              <w:top w:w="0" w:type="dxa"/>
              <w:left w:w="108" w:type="dxa"/>
              <w:bottom w:w="0" w:type="dxa"/>
              <w:right w:w="108" w:type="dxa"/>
            </w:tcMar>
            <w:vAlign w:val="center"/>
            <w:hideMark/>
          </w:tcPr>
          <w:p w14:paraId="0C047BF0"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6. РАСХОД ТОПЛИВА СМАЗКИ И ЗАПАС ХОДА.</w:t>
            </w:r>
          </w:p>
        </w:tc>
      </w:tr>
      <w:tr w:rsidR="005106D0" w:rsidRPr="007224C3" w14:paraId="6D89255E" w14:textId="77777777" w:rsidTr="00C54063">
        <w:trPr>
          <w:jc w:val="center"/>
        </w:trPr>
        <w:tc>
          <w:tcPr>
            <w:tcW w:w="1237" w:type="dxa"/>
            <w:tcBorders>
              <w:top w:val="nil"/>
              <w:left w:val="single" w:sz="8" w:space="0" w:color="000000"/>
              <w:bottom w:val="nil"/>
              <w:right w:val="single" w:sz="8" w:space="0" w:color="000000"/>
            </w:tcBorders>
            <w:tcMar>
              <w:top w:w="0" w:type="dxa"/>
              <w:left w:w="108" w:type="dxa"/>
              <w:bottom w:w="0" w:type="dxa"/>
              <w:right w:w="108" w:type="dxa"/>
            </w:tcMar>
            <w:hideMark/>
          </w:tcPr>
          <w:p w14:paraId="3810442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tc>
        <w:tc>
          <w:tcPr>
            <w:tcW w:w="4111" w:type="dxa"/>
            <w:tcBorders>
              <w:top w:val="nil"/>
              <w:left w:val="nil"/>
              <w:bottom w:val="nil"/>
              <w:right w:val="single" w:sz="8" w:space="0" w:color="000000"/>
            </w:tcBorders>
            <w:tcMar>
              <w:top w:w="0" w:type="dxa"/>
              <w:left w:w="108" w:type="dxa"/>
              <w:bottom w:w="0" w:type="dxa"/>
              <w:right w:w="108" w:type="dxa"/>
            </w:tcMar>
            <w:hideMark/>
          </w:tcPr>
          <w:p w14:paraId="63147685"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Расход топлива в литрах</w:t>
            </w:r>
          </w:p>
          <w:p w14:paraId="2313B60B"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100 км пути:</w:t>
            </w:r>
          </w:p>
        </w:tc>
        <w:tc>
          <w:tcPr>
            <w:tcW w:w="2976" w:type="dxa"/>
            <w:tcBorders>
              <w:top w:val="nil"/>
              <w:left w:val="nil"/>
              <w:bottom w:val="nil"/>
              <w:right w:val="single" w:sz="8" w:space="0" w:color="000000"/>
            </w:tcBorders>
            <w:tcMar>
              <w:top w:w="0" w:type="dxa"/>
              <w:left w:w="108" w:type="dxa"/>
              <w:bottom w:w="0" w:type="dxa"/>
              <w:right w:w="108" w:type="dxa"/>
            </w:tcMar>
            <w:vAlign w:val="center"/>
            <w:hideMark/>
          </w:tcPr>
          <w:p w14:paraId="463B82C9"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w:t>
            </w:r>
          </w:p>
        </w:tc>
        <w:tc>
          <w:tcPr>
            <w:tcW w:w="2652" w:type="dxa"/>
            <w:tcBorders>
              <w:top w:val="nil"/>
              <w:left w:val="nil"/>
              <w:bottom w:val="nil"/>
              <w:right w:val="single" w:sz="8" w:space="0" w:color="000000"/>
            </w:tcBorders>
            <w:tcMar>
              <w:top w:w="0" w:type="dxa"/>
              <w:left w:w="108" w:type="dxa"/>
              <w:bottom w:w="0" w:type="dxa"/>
              <w:right w:w="108" w:type="dxa"/>
            </w:tcMar>
            <w:vAlign w:val="center"/>
            <w:hideMark/>
          </w:tcPr>
          <w:p w14:paraId="74153B19"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w:t>
            </w:r>
          </w:p>
        </w:tc>
      </w:tr>
      <w:tr w:rsidR="005106D0" w:rsidRPr="007224C3" w14:paraId="5DBAA0EC" w14:textId="77777777" w:rsidTr="00C54063">
        <w:trPr>
          <w:jc w:val="center"/>
        </w:trPr>
        <w:tc>
          <w:tcPr>
            <w:tcW w:w="1237" w:type="dxa"/>
            <w:tcBorders>
              <w:top w:val="nil"/>
              <w:left w:val="single" w:sz="8" w:space="0" w:color="000000"/>
              <w:bottom w:val="nil"/>
              <w:right w:val="single" w:sz="8" w:space="0" w:color="000000"/>
            </w:tcBorders>
            <w:tcMar>
              <w:top w:w="0" w:type="dxa"/>
              <w:left w:w="108" w:type="dxa"/>
              <w:bottom w:w="0" w:type="dxa"/>
              <w:right w:w="108" w:type="dxa"/>
            </w:tcMar>
            <w:hideMark/>
          </w:tcPr>
          <w:p w14:paraId="416B6795"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w:t>
            </w:r>
          </w:p>
        </w:tc>
        <w:tc>
          <w:tcPr>
            <w:tcW w:w="4111" w:type="dxa"/>
            <w:tcBorders>
              <w:top w:val="nil"/>
              <w:left w:val="nil"/>
              <w:bottom w:val="nil"/>
              <w:right w:val="single" w:sz="8" w:space="0" w:color="000000"/>
            </w:tcBorders>
            <w:tcMar>
              <w:top w:w="0" w:type="dxa"/>
              <w:left w:w="108" w:type="dxa"/>
              <w:bottom w:w="0" w:type="dxa"/>
              <w:right w:w="108" w:type="dxa"/>
            </w:tcMar>
            <w:hideMark/>
          </w:tcPr>
          <w:p w14:paraId="50719047"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по шоссе</w:t>
            </w:r>
          </w:p>
        </w:tc>
        <w:tc>
          <w:tcPr>
            <w:tcW w:w="2976" w:type="dxa"/>
            <w:tcBorders>
              <w:top w:val="nil"/>
              <w:left w:val="nil"/>
              <w:bottom w:val="nil"/>
              <w:right w:val="single" w:sz="8" w:space="0" w:color="000000"/>
            </w:tcBorders>
            <w:tcMar>
              <w:top w:w="0" w:type="dxa"/>
              <w:left w:w="108" w:type="dxa"/>
              <w:bottom w:w="0" w:type="dxa"/>
              <w:right w:w="108" w:type="dxa"/>
            </w:tcMar>
            <w:vAlign w:val="center"/>
            <w:hideMark/>
          </w:tcPr>
          <w:p w14:paraId="2FB8C2C5"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158</w:t>
            </w:r>
          </w:p>
        </w:tc>
        <w:tc>
          <w:tcPr>
            <w:tcW w:w="2652" w:type="dxa"/>
            <w:tcBorders>
              <w:top w:val="nil"/>
              <w:left w:val="nil"/>
              <w:bottom w:val="nil"/>
              <w:right w:val="single" w:sz="8" w:space="0" w:color="000000"/>
            </w:tcBorders>
            <w:tcMar>
              <w:top w:w="0" w:type="dxa"/>
              <w:left w:w="108" w:type="dxa"/>
              <w:bottom w:w="0" w:type="dxa"/>
              <w:right w:w="108" w:type="dxa"/>
            </w:tcMar>
            <w:vAlign w:val="center"/>
            <w:hideMark/>
          </w:tcPr>
          <w:p w14:paraId="5E14C446"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136</w:t>
            </w:r>
          </w:p>
        </w:tc>
      </w:tr>
      <w:tr w:rsidR="005106D0" w:rsidRPr="007224C3" w14:paraId="0AAD17D9" w14:textId="77777777" w:rsidTr="00C54063">
        <w:trPr>
          <w:jc w:val="center"/>
        </w:trPr>
        <w:tc>
          <w:tcPr>
            <w:tcW w:w="1237" w:type="dxa"/>
            <w:tcBorders>
              <w:top w:val="nil"/>
              <w:left w:val="single" w:sz="8" w:space="0" w:color="000000"/>
              <w:bottom w:val="nil"/>
              <w:right w:val="single" w:sz="8" w:space="0" w:color="000000"/>
            </w:tcBorders>
            <w:tcMar>
              <w:top w:w="0" w:type="dxa"/>
              <w:left w:w="108" w:type="dxa"/>
              <w:bottom w:w="0" w:type="dxa"/>
              <w:right w:w="108" w:type="dxa"/>
            </w:tcMar>
            <w:hideMark/>
          </w:tcPr>
          <w:p w14:paraId="5BBC625D"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w:t>
            </w:r>
          </w:p>
        </w:tc>
        <w:tc>
          <w:tcPr>
            <w:tcW w:w="4111" w:type="dxa"/>
            <w:tcBorders>
              <w:top w:val="nil"/>
              <w:left w:val="nil"/>
              <w:bottom w:val="nil"/>
              <w:right w:val="single" w:sz="8" w:space="0" w:color="000000"/>
            </w:tcBorders>
            <w:tcMar>
              <w:top w:w="0" w:type="dxa"/>
              <w:left w:w="108" w:type="dxa"/>
              <w:bottom w:w="0" w:type="dxa"/>
              <w:right w:w="108" w:type="dxa"/>
            </w:tcMar>
            <w:hideMark/>
          </w:tcPr>
          <w:p w14:paraId="65166173"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по проселочной дороге</w:t>
            </w:r>
          </w:p>
        </w:tc>
        <w:tc>
          <w:tcPr>
            <w:tcW w:w="2976" w:type="dxa"/>
            <w:tcBorders>
              <w:top w:val="nil"/>
              <w:left w:val="nil"/>
              <w:bottom w:val="nil"/>
              <w:right w:val="single" w:sz="8" w:space="0" w:color="000000"/>
            </w:tcBorders>
            <w:tcMar>
              <w:top w:w="0" w:type="dxa"/>
              <w:left w:w="108" w:type="dxa"/>
              <w:bottom w:w="0" w:type="dxa"/>
              <w:right w:w="108" w:type="dxa"/>
            </w:tcMar>
            <w:vAlign w:val="center"/>
            <w:hideMark/>
          </w:tcPr>
          <w:p w14:paraId="26A5668D"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310</w:t>
            </w:r>
          </w:p>
        </w:tc>
        <w:tc>
          <w:tcPr>
            <w:tcW w:w="2652" w:type="dxa"/>
            <w:tcBorders>
              <w:top w:val="nil"/>
              <w:left w:val="nil"/>
              <w:bottom w:val="nil"/>
              <w:right w:val="single" w:sz="8" w:space="0" w:color="000000"/>
            </w:tcBorders>
            <w:tcMar>
              <w:top w:w="0" w:type="dxa"/>
              <w:left w:w="108" w:type="dxa"/>
              <w:bottom w:w="0" w:type="dxa"/>
              <w:right w:w="108" w:type="dxa"/>
            </w:tcMar>
            <w:vAlign w:val="center"/>
            <w:hideMark/>
          </w:tcPr>
          <w:p w14:paraId="325BE6AC"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326</w:t>
            </w:r>
          </w:p>
        </w:tc>
      </w:tr>
      <w:tr w:rsidR="005106D0" w:rsidRPr="007224C3" w14:paraId="254863EA" w14:textId="77777777" w:rsidTr="00C54063">
        <w:trPr>
          <w:jc w:val="center"/>
        </w:trPr>
        <w:tc>
          <w:tcPr>
            <w:tcW w:w="1237" w:type="dxa"/>
            <w:tcBorders>
              <w:top w:val="nil"/>
              <w:left w:val="single" w:sz="8" w:space="0" w:color="000000"/>
              <w:bottom w:val="nil"/>
              <w:right w:val="single" w:sz="8" w:space="0" w:color="000000"/>
            </w:tcBorders>
            <w:tcMar>
              <w:top w:w="0" w:type="dxa"/>
              <w:left w:w="108" w:type="dxa"/>
              <w:bottom w:w="0" w:type="dxa"/>
              <w:right w:w="108" w:type="dxa"/>
            </w:tcMar>
            <w:hideMark/>
          </w:tcPr>
          <w:p w14:paraId="2D789EA0"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w:t>
            </w:r>
          </w:p>
        </w:tc>
        <w:tc>
          <w:tcPr>
            <w:tcW w:w="4111" w:type="dxa"/>
            <w:tcBorders>
              <w:top w:val="nil"/>
              <w:left w:val="nil"/>
              <w:bottom w:val="nil"/>
              <w:right w:val="single" w:sz="8" w:space="0" w:color="000000"/>
            </w:tcBorders>
            <w:tcMar>
              <w:top w:w="0" w:type="dxa"/>
              <w:left w:w="108" w:type="dxa"/>
              <w:bottom w:w="0" w:type="dxa"/>
              <w:right w:w="108" w:type="dxa"/>
            </w:tcMar>
            <w:hideMark/>
          </w:tcPr>
          <w:p w14:paraId="076A1BD9"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по целине</w:t>
            </w:r>
          </w:p>
        </w:tc>
        <w:tc>
          <w:tcPr>
            <w:tcW w:w="2976" w:type="dxa"/>
            <w:tcBorders>
              <w:top w:val="nil"/>
              <w:left w:val="nil"/>
              <w:bottom w:val="nil"/>
              <w:right w:val="single" w:sz="8" w:space="0" w:color="000000"/>
            </w:tcBorders>
            <w:tcMar>
              <w:top w:w="0" w:type="dxa"/>
              <w:left w:w="108" w:type="dxa"/>
              <w:bottom w:w="0" w:type="dxa"/>
              <w:right w:w="108" w:type="dxa"/>
            </w:tcMar>
            <w:vAlign w:val="center"/>
            <w:hideMark/>
          </w:tcPr>
          <w:p w14:paraId="0CBAFE65"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295</w:t>
            </w:r>
          </w:p>
        </w:tc>
        <w:tc>
          <w:tcPr>
            <w:tcW w:w="2652" w:type="dxa"/>
            <w:tcBorders>
              <w:top w:val="nil"/>
              <w:left w:val="nil"/>
              <w:bottom w:val="nil"/>
              <w:right w:val="single" w:sz="8" w:space="0" w:color="000000"/>
            </w:tcBorders>
            <w:tcMar>
              <w:top w:w="0" w:type="dxa"/>
              <w:left w:w="108" w:type="dxa"/>
              <w:bottom w:w="0" w:type="dxa"/>
              <w:right w:w="108" w:type="dxa"/>
            </w:tcMar>
            <w:vAlign w:val="center"/>
            <w:hideMark/>
          </w:tcPr>
          <w:p w14:paraId="7CBE22C2"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16E9B90F" w14:textId="77777777" w:rsidTr="00C54063">
        <w:trPr>
          <w:jc w:val="center"/>
        </w:trPr>
        <w:tc>
          <w:tcPr>
            <w:tcW w:w="1237" w:type="dxa"/>
            <w:tcBorders>
              <w:top w:val="nil"/>
              <w:left w:val="single" w:sz="8" w:space="0" w:color="000000"/>
              <w:bottom w:val="nil"/>
              <w:right w:val="single" w:sz="8" w:space="0" w:color="000000"/>
            </w:tcBorders>
            <w:tcMar>
              <w:top w:w="0" w:type="dxa"/>
              <w:left w:w="108" w:type="dxa"/>
              <w:bottom w:w="0" w:type="dxa"/>
              <w:right w:w="108" w:type="dxa"/>
            </w:tcMar>
            <w:hideMark/>
          </w:tcPr>
          <w:p w14:paraId="652DD029"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tc>
        <w:tc>
          <w:tcPr>
            <w:tcW w:w="4111" w:type="dxa"/>
            <w:tcBorders>
              <w:top w:val="nil"/>
              <w:left w:val="nil"/>
              <w:bottom w:val="nil"/>
              <w:right w:val="single" w:sz="8" w:space="0" w:color="000000"/>
            </w:tcBorders>
            <w:tcMar>
              <w:top w:w="0" w:type="dxa"/>
              <w:left w:w="108" w:type="dxa"/>
              <w:bottom w:w="0" w:type="dxa"/>
              <w:right w:w="108" w:type="dxa"/>
            </w:tcMar>
            <w:hideMark/>
          </w:tcPr>
          <w:p w14:paraId="2997B207"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Расход топлива в литрах</w:t>
            </w:r>
          </w:p>
          <w:p w14:paraId="3B95770F"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1 час работы двигателя:</w:t>
            </w:r>
          </w:p>
        </w:tc>
        <w:tc>
          <w:tcPr>
            <w:tcW w:w="2976" w:type="dxa"/>
            <w:tcBorders>
              <w:top w:val="nil"/>
              <w:left w:val="nil"/>
              <w:bottom w:val="nil"/>
              <w:right w:val="single" w:sz="8" w:space="0" w:color="000000"/>
            </w:tcBorders>
            <w:tcMar>
              <w:top w:w="0" w:type="dxa"/>
              <w:left w:w="108" w:type="dxa"/>
              <w:bottom w:w="0" w:type="dxa"/>
              <w:right w:w="108" w:type="dxa"/>
            </w:tcMar>
            <w:vAlign w:val="center"/>
            <w:hideMark/>
          </w:tcPr>
          <w:p w14:paraId="70053CFC"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w:t>
            </w:r>
          </w:p>
        </w:tc>
        <w:tc>
          <w:tcPr>
            <w:tcW w:w="2652" w:type="dxa"/>
            <w:tcBorders>
              <w:top w:val="nil"/>
              <w:left w:val="nil"/>
              <w:bottom w:val="nil"/>
              <w:right w:val="single" w:sz="8" w:space="0" w:color="000000"/>
            </w:tcBorders>
            <w:tcMar>
              <w:top w:w="0" w:type="dxa"/>
              <w:left w:w="108" w:type="dxa"/>
              <w:bottom w:w="0" w:type="dxa"/>
              <w:right w:w="108" w:type="dxa"/>
            </w:tcMar>
            <w:vAlign w:val="center"/>
            <w:hideMark/>
          </w:tcPr>
          <w:p w14:paraId="140174C7"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w:t>
            </w:r>
          </w:p>
        </w:tc>
      </w:tr>
      <w:tr w:rsidR="005106D0" w:rsidRPr="007224C3" w14:paraId="46BE1D4C" w14:textId="77777777" w:rsidTr="00C54063">
        <w:trPr>
          <w:jc w:val="center"/>
        </w:trPr>
        <w:tc>
          <w:tcPr>
            <w:tcW w:w="1237" w:type="dxa"/>
            <w:tcBorders>
              <w:top w:val="nil"/>
              <w:left w:val="single" w:sz="8" w:space="0" w:color="000000"/>
              <w:bottom w:val="nil"/>
              <w:right w:val="single" w:sz="8" w:space="0" w:color="000000"/>
            </w:tcBorders>
            <w:tcMar>
              <w:top w:w="0" w:type="dxa"/>
              <w:left w:w="108" w:type="dxa"/>
              <w:bottom w:w="0" w:type="dxa"/>
              <w:right w:w="108" w:type="dxa"/>
            </w:tcMar>
            <w:hideMark/>
          </w:tcPr>
          <w:p w14:paraId="1F6D21DC"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w:t>
            </w:r>
          </w:p>
        </w:tc>
        <w:tc>
          <w:tcPr>
            <w:tcW w:w="4111" w:type="dxa"/>
            <w:tcBorders>
              <w:top w:val="nil"/>
              <w:left w:val="nil"/>
              <w:bottom w:val="nil"/>
              <w:right w:val="single" w:sz="8" w:space="0" w:color="000000"/>
            </w:tcBorders>
            <w:tcMar>
              <w:top w:w="0" w:type="dxa"/>
              <w:left w:w="108" w:type="dxa"/>
              <w:bottom w:w="0" w:type="dxa"/>
              <w:right w:w="108" w:type="dxa"/>
            </w:tcMar>
            <w:hideMark/>
          </w:tcPr>
          <w:p w14:paraId="38B8AB3F"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по шоссе</w:t>
            </w:r>
          </w:p>
        </w:tc>
        <w:tc>
          <w:tcPr>
            <w:tcW w:w="2976" w:type="dxa"/>
            <w:tcBorders>
              <w:top w:val="nil"/>
              <w:left w:val="nil"/>
              <w:bottom w:val="nil"/>
              <w:right w:val="single" w:sz="8" w:space="0" w:color="000000"/>
            </w:tcBorders>
            <w:tcMar>
              <w:top w:w="0" w:type="dxa"/>
              <w:left w:w="108" w:type="dxa"/>
              <w:bottom w:w="0" w:type="dxa"/>
              <w:right w:w="108" w:type="dxa"/>
            </w:tcMar>
            <w:vAlign w:val="center"/>
            <w:hideMark/>
          </w:tcPr>
          <w:p w14:paraId="1F8E5DD0"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55,5</w:t>
            </w:r>
          </w:p>
        </w:tc>
        <w:tc>
          <w:tcPr>
            <w:tcW w:w="2652" w:type="dxa"/>
            <w:tcBorders>
              <w:top w:val="nil"/>
              <w:left w:val="nil"/>
              <w:bottom w:val="nil"/>
              <w:right w:val="single" w:sz="8" w:space="0" w:color="000000"/>
            </w:tcBorders>
            <w:tcMar>
              <w:top w:w="0" w:type="dxa"/>
              <w:left w:w="108" w:type="dxa"/>
              <w:bottom w:w="0" w:type="dxa"/>
              <w:right w:w="108" w:type="dxa"/>
            </w:tcMar>
            <w:vAlign w:val="center"/>
            <w:hideMark/>
          </w:tcPr>
          <w:p w14:paraId="33B1CAC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44,4</w:t>
            </w:r>
          </w:p>
        </w:tc>
      </w:tr>
      <w:tr w:rsidR="005106D0" w:rsidRPr="007224C3" w14:paraId="6B82D8E3" w14:textId="77777777" w:rsidTr="00C54063">
        <w:trPr>
          <w:jc w:val="center"/>
        </w:trPr>
        <w:tc>
          <w:tcPr>
            <w:tcW w:w="1237" w:type="dxa"/>
            <w:tcBorders>
              <w:top w:val="nil"/>
              <w:left w:val="single" w:sz="8" w:space="0" w:color="000000"/>
              <w:bottom w:val="nil"/>
              <w:right w:val="single" w:sz="8" w:space="0" w:color="000000"/>
            </w:tcBorders>
            <w:tcMar>
              <w:top w:w="0" w:type="dxa"/>
              <w:left w:w="108" w:type="dxa"/>
              <w:bottom w:w="0" w:type="dxa"/>
              <w:right w:w="108" w:type="dxa"/>
            </w:tcMar>
            <w:hideMark/>
          </w:tcPr>
          <w:p w14:paraId="0676CBFF"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w:t>
            </w:r>
          </w:p>
        </w:tc>
        <w:tc>
          <w:tcPr>
            <w:tcW w:w="4111" w:type="dxa"/>
            <w:tcBorders>
              <w:top w:val="nil"/>
              <w:left w:val="nil"/>
              <w:bottom w:val="nil"/>
              <w:right w:val="single" w:sz="8" w:space="0" w:color="000000"/>
            </w:tcBorders>
            <w:tcMar>
              <w:top w:w="0" w:type="dxa"/>
              <w:left w:w="108" w:type="dxa"/>
              <w:bottom w:w="0" w:type="dxa"/>
              <w:right w:w="108" w:type="dxa"/>
            </w:tcMar>
            <w:hideMark/>
          </w:tcPr>
          <w:p w14:paraId="167CB1E2"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по проселочной дороге</w:t>
            </w:r>
          </w:p>
        </w:tc>
        <w:tc>
          <w:tcPr>
            <w:tcW w:w="2976" w:type="dxa"/>
            <w:tcBorders>
              <w:top w:val="nil"/>
              <w:left w:val="nil"/>
              <w:bottom w:val="nil"/>
              <w:right w:val="single" w:sz="8" w:space="0" w:color="000000"/>
            </w:tcBorders>
            <w:tcMar>
              <w:top w:w="0" w:type="dxa"/>
              <w:left w:w="108" w:type="dxa"/>
              <w:bottom w:w="0" w:type="dxa"/>
              <w:right w:w="108" w:type="dxa"/>
            </w:tcMar>
            <w:vAlign w:val="center"/>
            <w:hideMark/>
          </w:tcPr>
          <w:p w14:paraId="48C0E013"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49,5</w:t>
            </w:r>
          </w:p>
        </w:tc>
        <w:tc>
          <w:tcPr>
            <w:tcW w:w="2652" w:type="dxa"/>
            <w:tcBorders>
              <w:top w:val="nil"/>
              <w:left w:val="nil"/>
              <w:bottom w:val="nil"/>
              <w:right w:val="single" w:sz="8" w:space="0" w:color="000000"/>
            </w:tcBorders>
            <w:tcMar>
              <w:top w:w="0" w:type="dxa"/>
              <w:left w:w="108" w:type="dxa"/>
              <w:bottom w:w="0" w:type="dxa"/>
              <w:right w:w="108" w:type="dxa"/>
            </w:tcMar>
            <w:vAlign w:val="center"/>
            <w:hideMark/>
          </w:tcPr>
          <w:p w14:paraId="2A6122DA"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56,9</w:t>
            </w:r>
          </w:p>
        </w:tc>
      </w:tr>
      <w:tr w:rsidR="005106D0" w:rsidRPr="007224C3" w14:paraId="31AB9E02" w14:textId="77777777" w:rsidTr="00C54063">
        <w:trPr>
          <w:jc w:val="center"/>
        </w:trPr>
        <w:tc>
          <w:tcPr>
            <w:tcW w:w="1237" w:type="dxa"/>
            <w:tcBorders>
              <w:top w:val="nil"/>
              <w:left w:val="single" w:sz="8" w:space="0" w:color="000000"/>
              <w:bottom w:val="nil"/>
              <w:right w:val="single" w:sz="8" w:space="0" w:color="000000"/>
            </w:tcBorders>
            <w:tcMar>
              <w:top w:w="0" w:type="dxa"/>
              <w:left w:w="108" w:type="dxa"/>
              <w:bottom w:w="0" w:type="dxa"/>
              <w:right w:w="108" w:type="dxa"/>
            </w:tcMar>
            <w:hideMark/>
          </w:tcPr>
          <w:p w14:paraId="15C7788D"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w:t>
            </w:r>
          </w:p>
        </w:tc>
        <w:tc>
          <w:tcPr>
            <w:tcW w:w="4111" w:type="dxa"/>
            <w:tcBorders>
              <w:top w:val="nil"/>
              <w:left w:val="nil"/>
              <w:bottom w:val="nil"/>
              <w:right w:val="single" w:sz="8" w:space="0" w:color="000000"/>
            </w:tcBorders>
            <w:tcMar>
              <w:top w:w="0" w:type="dxa"/>
              <w:left w:w="108" w:type="dxa"/>
              <w:bottom w:w="0" w:type="dxa"/>
              <w:right w:w="108" w:type="dxa"/>
            </w:tcMar>
            <w:hideMark/>
          </w:tcPr>
          <w:p w14:paraId="206864E8"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по целине</w:t>
            </w:r>
          </w:p>
        </w:tc>
        <w:tc>
          <w:tcPr>
            <w:tcW w:w="2976" w:type="dxa"/>
            <w:tcBorders>
              <w:top w:val="nil"/>
              <w:left w:val="nil"/>
              <w:bottom w:val="nil"/>
              <w:right w:val="single" w:sz="8" w:space="0" w:color="000000"/>
            </w:tcBorders>
            <w:tcMar>
              <w:top w:w="0" w:type="dxa"/>
              <w:left w:w="108" w:type="dxa"/>
              <w:bottom w:w="0" w:type="dxa"/>
              <w:right w:w="108" w:type="dxa"/>
            </w:tcMar>
            <w:vAlign w:val="center"/>
            <w:hideMark/>
          </w:tcPr>
          <w:p w14:paraId="5FF3EE26"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44,0</w:t>
            </w:r>
          </w:p>
        </w:tc>
        <w:tc>
          <w:tcPr>
            <w:tcW w:w="2652" w:type="dxa"/>
            <w:tcBorders>
              <w:top w:val="nil"/>
              <w:left w:val="nil"/>
              <w:bottom w:val="nil"/>
              <w:right w:val="single" w:sz="8" w:space="0" w:color="000000"/>
            </w:tcBorders>
            <w:tcMar>
              <w:top w:w="0" w:type="dxa"/>
              <w:left w:w="108" w:type="dxa"/>
              <w:bottom w:w="0" w:type="dxa"/>
              <w:right w:w="108" w:type="dxa"/>
            </w:tcMar>
            <w:vAlign w:val="center"/>
            <w:hideMark/>
          </w:tcPr>
          <w:p w14:paraId="2C0407CA"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6B920886" w14:textId="77777777" w:rsidTr="00C54063">
        <w:trPr>
          <w:jc w:val="center"/>
        </w:trPr>
        <w:tc>
          <w:tcPr>
            <w:tcW w:w="1237" w:type="dxa"/>
            <w:tcBorders>
              <w:top w:val="nil"/>
              <w:left w:val="single" w:sz="8" w:space="0" w:color="000000"/>
              <w:bottom w:val="nil"/>
              <w:right w:val="single" w:sz="8" w:space="0" w:color="000000"/>
            </w:tcBorders>
            <w:tcMar>
              <w:top w:w="0" w:type="dxa"/>
              <w:left w:w="108" w:type="dxa"/>
              <w:bottom w:w="0" w:type="dxa"/>
              <w:right w:w="108" w:type="dxa"/>
            </w:tcMar>
            <w:hideMark/>
          </w:tcPr>
          <w:p w14:paraId="1FD99376"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tc>
        <w:tc>
          <w:tcPr>
            <w:tcW w:w="4111" w:type="dxa"/>
            <w:tcBorders>
              <w:top w:val="nil"/>
              <w:left w:val="nil"/>
              <w:bottom w:val="nil"/>
              <w:right w:val="single" w:sz="8" w:space="0" w:color="000000"/>
            </w:tcBorders>
            <w:tcMar>
              <w:top w:w="0" w:type="dxa"/>
              <w:left w:w="108" w:type="dxa"/>
              <w:bottom w:w="0" w:type="dxa"/>
              <w:right w:w="108" w:type="dxa"/>
            </w:tcMar>
            <w:hideMark/>
          </w:tcPr>
          <w:p w14:paraId="78FADC72"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Запас хода в км. по основ-</w:t>
            </w:r>
          </w:p>
          <w:p w14:paraId="4AE805AA"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ным топливным бакам:</w:t>
            </w:r>
          </w:p>
        </w:tc>
        <w:tc>
          <w:tcPr>
            <w:tcW w:w="2976" w:type="dxa"/>
            <w:tcBorders>
              <w:top w:val="nil"/>
              <w:left w:val="nil"/>
              <w:bottom w:val="nil"/>
              <w:right w:val="single" w:sz="8" w:space="0" w:color="000000"/>
            </w:tcBorders>
            <w:tcMar>
              <w:top w:w="0" w:type="dxa"/>
              <w:left w:w="108" w:type="dxa"/>
              <w:bottom w:w="0" w:type="dxa"/>
              <w:right w:w="108" w:type="dxa"/>
            </w:tcMar>
            <w:vAlign w:val="center"/>
            <w:hideMark/>
          </w:tcPr>
          <w:p w14:paraId="422E1529"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w:t>
            </w:r>
          </w:p>
        </w:tc>
        <w:tc>
          <w:tcPr>
            <w:tcW w:w="2652" w:type="dxa"/>
            <w:tcBorders>
              <w:top w:val="nil"/>
              <w:left w:val="nil"/>
              <w:bottom w:val="nil"/>
              <w:right w:val="single" w:sz="8" w:space="0" w:color="000000"/>
            </w:tcBorders>
            <w:tcMar>
              <w:top w:w="0" w:type="dxa"/>
              <w:left w:w="108" w:type="dxa"/>
              <w:bottom w:w="0" w:type="dxa"/>
              <w:right w:w="108" w:type="dxa"/>
            </w:tcMar>
            <w:vAlign w:val="center"/>
            <w:hideMark/>
          </w:tcPr>
          <w:p w14:paraId="7CEEADE4"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w:t>
            </w:r>
          </w:p>
        </w:tc>
      </w:tr>
      <w:tr w:rsidR="005106D0" w:rsidRPr="007224C3" w14:paraId="75D4665E" w14:textId="77777777" w:rsidTr="00C54063">
        <w:trPr>
          <w:jc w:val="center"/>
        </w:trPr>
        <w:tc>
          <w:tcPr>
            <w:tcW w:w="1237" w:type="dxa"/>
            <w:tcBorders>
              <w:top w:val="nil"/>
              <w:left w:val="single" w:sz="8" w:space="0" w:color="000000"/>
              <w:bottom w:val="nil"/>
              <w:right w:val="single" w:sz="8" w:space="0" w:color="000000"/>
            </w:tcBorders>
            <w:tcMar>
              <w:top w:w="0" w:type="dxa"/>
              <w:left w:w="108" w:type="dxa"/>
              <w:bottom w:w="0" w:type="dxa"/>
              <w:right w:w="108" w:type="dxa"/>
            </w:tcMar>
            <w:hideMark/>
          </w:tcPr>
          <w:p w14:paraId="5C5DF0E4"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w:t>
            </w:r>
          </w:p>
        </w:tc>
        <w:tc>
          <w:tcPr>
            <w:tcW w:w="4111" w:type="dxa"/>
            <w:tcBorders>
              <w:top w:val="nil"/>
              <w:left w:val="nil"/>
              <w:bottom w:val="nil"/>
              <w:right w:val="single" w:sz="8" w:space="0" w:color="000000"/>
            </w:tcBorders>
            <w:tcMar>
              <w:top w:w="0" w:type="dxa"/>
              <w:left w:w="108" w:type="dxa"/>
              <w:bottom w:w="0" w:type="dxa"/>
              <w:right w:w="108" w:type="dxa"/>
            </w:tcMar>
            <w:hideMark/>
          </w:tcPr>
          <w:p w14:paraId="1AEF508B"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по шоссе</w:t>
            </w:r>
          </w:p>
        </w:tc>
        <w:tc>
          <w:tcPr>
            <w:tcW w:w="2976" w:type="dxa"/>
            <w:tcBorders>
              <w:top w:val="nil"/>
              <w:left w:val="nil"/>
              <w:bottom w:val="nil"/>
              <w:right w:val="single" w:sz="8" w:space="0" w:color="000000"/>
            </w:tcBorders>
            <w:tcMar>
              <w:top w:w="0" w:type="dxa"/>
              <w:left w:w="108" w:type="dxa"/>
              <w:bottom w:w="0" w:type="dxa"/>
              <w:right w:w="108" w:type="dxa"/>
            </w:tcMar>
            <w:vAlign w:val="center"/>
            <w:hideMark/>
          </w:tcPr>
          <w:p w14:paraId="69F1A5A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280÷300</w:t>
            </w:r>
          </w:p>
        </w:tc>
        <w:tc>
          <w:tcPr>
            <w:tcW w:w="2652" w:type="dxa"/>
            <w:tcBorders>
              <w:top w:val="nil"/>
              <w:left w:val="nil"/>
              <w:bottom w:val="nil"/>
              <w:right w:val="single" w:sz="8" w:space="0" w:color="000000"/>
            </w:tcBorders>
            <w:tcMar>
              <w:top w:w="0" w:type="dxa"/>
              <w:left w:w="108" w:type="dxa"/>
              <w:bottom w:w="0" w:type="dxa"/>
              <w:right w:w="108" w:type="dxa"/>
            </w:tcMar>
            <w:vAlign w:val="center"/>
            <w:hideMark/>
          </w:tcPr>
          <w:p w14:paraId="766E0576"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380</w:t>
            </w:r>
          </w:p>
        </w:tc>
      </w:tr>
      <w:tr w:rsidR="005106D0" w:rsidRPr="007224C3" w14:paraId="0FEED2DB" w14:textId="77777777" w:rsidTr="00C54063">
        <w:trPr>
          <w:jc w:val="center"/>
        </w:trPr>
        <w:tc>
          <w:tcPr>
            <w:tcW w:w="1237" w:type="dxa"/>
            <w:tcBorders>
              <w:top w:val="nil"/>
              <w:left w:val="single" w:sz="8" w:space="0" w:color="000000"/>
              <w:bottom w:val="nil"/>
              <w:right w:val="single" w:sz="8" w:space="0" w:color="000000"/>
            </w:tcBorders>
            <w:tcMar>
              <w:top w:w="0" w:type="dxa"/>
              <w:left w:w="108" w:type="dxa"/>
              <w:bottom w:w="0" w:type="dxa"/>
              <w:right w:w="108" w:type="dxa"/>
            </w:tcMar>
            <w:hideMark/>
          </w:tcPr>
          <w:p w14:paraId="70681091"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w:t>
            </w:r>
          </w:p>
        </w:tc>
        <w:tc>
          <w:tcPr>
            <w:tcW w:w="4111" w:type="dxa"/>
            <w:tcBorders>
              <w:top w:val="nil"/>
              <w:left w:val="nil"/>
              <w:bottom w:val="nil"/>
              <w:right w:val="single" w:sz="8" w:space="0" w:color="000000"/>
            </w:tcBorders>
            <w:tcMar>
              <w:top w:w="0" w:type="dxa"/>
              <w:left w:w="108" w:type="dxa"/>
              <w:bottom w:w="0" w:type="dxa"/>
              <w:right w:w="108" w:type="dxa"/>
            </w:tcMar>
            <w:hideMark/>
          </w:tcPr>
          <w:p w14:paraId="63508495"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по проселочной дороге</w:t>
            </w:r>
          </w:p>
        </w:tc>
        <w:tc>
          <w:tcPr>
            <w:tcW w:w="2976" w:type="dxa"/>
            <w:tcBorders>
              <w:top w:val="nil"/>
              <w:left w:val="nil"/>
              <w:bottom w:val="nil"/>
              <w:right w:val="single" w:sz="8" w:space="0" w:color="000000"/>
            </w:tcBorders>
            <w:tcMar>
              <w:top w:w="0" w:type="dxa"/>
              <w:left w:w="108" w:type="dxa"/>
              <w:bottom w:w="0" w:type="dxa"/>
              <w:right w:w="108" w:type="dxa"/>
            </w:tcMar>
            <w:vAlign w:val="center"/>
            <w:hideMark/>
          </w:tcPr>
          <w:p w14:paraId="22FB365A"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140÷150</w:t>
            </w:r>
          </w:p>
        </w:tc>
        <w:tc>
          <w:tcPr>
            <w:tcW w:w="2652" w:type="dxa"/>
            <w:tcBorders>
              <w:top w:val="nil"/>
              <w:left w:val="nil"/>
              <w:bottom w:val="nil"/>
              <w:right w:val="single" w:sz="8" w:space="0" w:color="000000"/>
            </w:tcBorders>
            <w:tcMar>
              <w:top w:w="0" w:type="dxa"/>
              <w:left w:w="108" w:type="dxa"/>
              <w:bottom w:w="0" w:type="dxa"/>
              <w:right w:w="108" w:type="dxa"/>
            </w:tcMar>
            <w:vAlign w:val="center"/>
            <w:hideMark/>
          </w:tcPr>
          <w:p w14:paraId="1A60D597"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160</w:t>
            </w:r>
          </w:p>
        </w:tc>
      </w:tr>
      <w:tr w:rsidR="005106D0" w:rsidRPr="007224C3" w14:paraId="2CAD39D6" w14:textId="77777777" w:rsidTr="00C54063">
        <w:trPr>
          <w:jc w:val="center"/>
        </w:trPr>
        <w:tc>
          <w:tcPr>
            <w:tcW w:w="1237" w:type="dxa"/>
            <w:tcBorders>
              <w:top w:val="nil"/>
              <w:left w:val="single" w:sz="8" w:space="0" w:color="000000"/>
              <w:bottom w:val="nil"/>
              <w:right w:val="single" w:sz="8" w:space="0" w:color="000000"/>
            </w:tcBorders>
            <w:tcMar>
              <w:top w:w="0" w:type="dxa"/>
              <w:left w:w="108" w:type="dxa"/>
              <w:bottom w:w="0" w:type="dxa"/>
              <w:right w:w="108" w:type="dxa"/>
            </w:tcMar>
            <w:hideMark/>
          </w:tcPr>
          <w:p w14:paraId="581BDC98"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w:t>
            </w:r>
          </w:p>
        </w:tc>
        <w:tc>
          <w:tcPr>
            <w:tcW w:w="4111" w:type="dxa"/>
            <w:tcBorders>
              <w:top w:val="nil"/>
              <w:left w:val="nil"/>
              <w:bottom w:val="nil"/>
              <w:right w:val="single" w:sz="8" w:space="0" w:color="000000"/>
            </w:tcBorders>
            <w:tcMar>
              <w:top w:w="0" w:type="dxa"/>
              <w:left w:w="108" w:type="dxa"/>
              <w:bottom w:w="0" w:type="dxa"/>
              <w:right w:w="108" w:type="dxa"/>
            </w:tcMar>
            <w:hideMark/>
          </w:tcPr>
          <w:p w14:paraId="3FEAA689"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по целине</w:t>
            </w:r>
          </w:p>
        </w:tc>
        <w:tc>
          <w:tcPr>
            <w:tcW w:w="2976" w:type="dxa"/>
            <w:tcBorders>
              <w:top w:val="nil"/>
              <w:left w:val="nil"/>
              <w:bottom w:val="nil"/>
              <w:right w:val="single" w:sz="8" w:space="0" w:color="000000"/>
            </w:tcBorders>
            <w:tcMar>
              <w:top w:w="0" w:type="dxa"/>
              <w:left w:w="108" w:type="dxa"/>
              <w:bottom w:w="0" w:type="dxa"/>
              <w:right w:w="108" w:type="dxa"/>
            </w:tcMar>
            <w:vAlign w:val="center"/>
            <w:hideMark/>
          </w:tcPr>
          <w:p w14:paraId="28039E27"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155</w:t>
            </w:r>
          </w:p>
        </w:tc>
        <w:tc>
          <w:tcPr>
            <w:tcW w:w="2652" w:type="dxa"/>
            <w:tcBorders>
              <w:top w:val="nil"/>
              <w:left w:val="nil"/>
              <w:bottom w:val="nil"/>
              <w:right w:val="single" w:sz="8" w:space="0" w:color="000000"/>
            </w:tcBorders>
            <w:tcMar>
              <w:top w:w="0" w:type="dxa"/>
              <w:left w:w="108" w:type="dxa"/>
              <w:bottom w:w="0" w:type="dxa"/>
              <w:right w:w="108" w:type="dxa"/>
            </w:tcMar>
            <w:vAlign w:val="center"/>
            <w:hideMark/>
          </w:tcPr>
          <w:p w14:paraId="2DD7037A"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bl>
    <w:p w14:paraId="0C908A68"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ПРИМЕЧАНИЕ:- Расход масла не определен, вследствие течи </w:t>
      </w:r>
    </w:p>
    <w:p w14:paraId="201A6C15"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масла из системы смазки двигателя и гитары </w:t>
      </w:r>
    </w:p>
    <w:p w14:paraId="30B1333A"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каждом пробеге</w:t>
      </w:r>
    </w:p>
    <w:tbl>
      <w:tblPr>
        <w:tblW w:w="4750" w:type="pct"/>
        <w:jc w:val="center"/>
        <w:tblCellMar>
          <w:left w:w="0" w:type="dxa"/>
          <w:right w:w="0" w:type="dxa"/>
        </w:tblCellMar>
        <w:tblLook w:val="04A0" w:firstRow="1" w:lastRow="0" w:firstColumn="1" w:lastColumn="0" w:noHBand="0" w:noVBand="1"/>
      </w:tblPr>
      <w:tblGrid>
        <w:gridCol w:w="941"/>
        <w:gridCol w:w="4086"/>
        <w:gridCol w:w="10"/>
        <w:gridCol w:w="14"/>
        <w:gridCol w:w="2819"/>
        <w:gridCol w:w="2882"/>
      </w:tblGrid>
      <w:tr w:rsidR="005106D0" w:rsidRPr="007224C3" w14:paraId="41D69914" w14:textId="77777777" w:rsidTr="008053EA">
        <w:trPr>
          <w:trHeight w:val="430"/>
          <w:jc w:val="center"/>
        </w:trPr>
        <w:tc>
          <w:tcPr>
            <w:tcW w:w="953" w:type="dxa"/>
            <w:vMerge w:val="restart"/>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hideMark/>
          </w:tcPr>
          <w:p w14:paraId="19070A7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п/п</w:t>
            </w:r>
          </w:p>
        </w:tc>
        <w:tc>
          <w:tcPr>
            <w:tcW w:w="4252" w:type="dxa"/>
            <w:gridSpan w:val="3"/>
            <w:vMerge w:val="restart"/>
            <w:tcBorders>
              <w:top w:val="single" w:sz="8" w:space="0" w:color="000000"/>
              <w:left w:val="nil"/>
              <w:bottom w:val="single" w:sz="8" w:space="0" w:color="000000"/>
              <w:right w:val="single" w:sz="8" w:space="0" w:color="000000"/>
            </w:tcBorders>
            <w:tcMar>
              <w:top w:w="0" w:type="dxa"/>
              <w:left w:w="108" w:type="dxa"/>
              <w:bottom w:w="0" w:type="dxa"/>
              <w:right w:w="108" w:type="dxa"/>
            </w:tcMar>
            <w:hideMark/>
          </w:tcPr>
          <w:p w14:paraId="3E2A561F"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Наименование</w:t>
            </w:r>
          </w:p>
        </w:tc>
        <w:tc>
          <w:tcPr>
            <w:tcW w:w="5771" w:type="dxa"/>
            <w:gridSpan w:val="2"/>
            <w:tcBorders>
              <w:top w:val="single" w:sz="8" w:space="0" w:color="000000"/>
              <w:left w:val="nil"/>
              <w:bottom w:val="single" w:sz="8" w:space="0" w:color="000000"/>
              <w:right w:val="single" w:sz="8" w:space="0" w:color="000000"/>
            </w:tcBorders>
            <w:tcMar>
              <w:top w:w="0" w:type="dxa"/>
              <w:left w:w="108" w:type="dxa"/>
              <w:bottom w:w="0" w:type="dxa"/>
              <w:right w:w="108" w:type="dxa"/>
            </w:tcMar>
            <w:hideMark/>
          </w:tcPr>
          <w:p w14:paraId="7936AEA3"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Марка танка</w:t>
            </w:r>
          </w:p>
        </w:tc>
      </w:tr>
      <w:tr w:rsidR="005106D0" w:rsidRPr="007224C3" w14:paraId="2E4E9958" w14:textId="77777777" w:rsidTr="008053EA">
        <w:trPr>
          <w:trHeight w:val="430"/>
          <w:jc w:val="center"/>
        </w:trPr>
        <w:tc>
          <w:tcPr>
            <w:tcW w:w="953" w:type="dxa"/>
            <w:vMerge/>
            <w:tcBorders>
              <w:top w:val="single" w:sz="8" w:space="0" w:color="000000"/>
              <w:left w:val="single" w:sz="8" w:space="0" w:color="000000"/>
              <w:bottom w:val="single" w:sz="8" w:space="0" w:color="000000"/>
              <w:right w:val="single" w:sz="8" w:space="0" w:color="000000"/>
            </w:tcBorders>
            <w:vAlign w:val="center"/>
            <w:hideMark/>
          </w:tcPr>
          <w:p w14:paraId="60BB6377" w14:textId="77777777" w:rsidR="00811C95" w:rsidRPr="007224C3" w:rsidRDefault="00811C95" w:rsidP="007224C3">
            <w:pPr>
              <w:spacing w:after="0" w:line="240" w:lineRule="auto"/>
              <w:jc w:val="both"/>
              <w:rPr>
                <w:rFonts w:ascii="Times New Roman" w:hAnsi="Times New Roman"/>
                <w:color w:val="000000" w:themeColor="text1"/>
                <w:sz w:val="16"/>
                <w:szCs w:val="16"/>
              </w:rPr>
            </w:pPr>
          </w:p>
        </w:tc>
        <w:tc>
          <w:tcPr>
            <w:tcW w:w="4252" w:type="dxa"/>
            <w:gridSpan w:val="3"/>
            <w:vMerge/>
            <w:tcBorders>
              <w:top w:val="single" w:sz="8" w:space="0" w:color="000000"/>
              <w:left w:val="nil"/>
              <w:bottom w:val="single" w:sz="8" w:space="0" w:color="000000"/>
              <w:right w:val="single" w:sz="8" w:space="0" w:color="000000"/>
            </w:tcBorders>
            <w:vAlign w:val="center"/>
            <w:hideMark/>
          </w:tcPr>
          <w:p w14:paraId="0FE3A5D9" w14:textId="77777777" w:rsidR="00811C95" w:rsidRPr="007224C3" w:rsidRDefault="00811C95" w:rsidP="007224C3">
            <w:pPr>
              <w:spacing w:after="0" w:line="240" w:lineRule="auto"/>
              <w:jc w:val="both"/>
              <w:rPr>
                <w:rFonts w:ascii="Times New Roman" w:hAnsi="Times New Roman"/>
                <w:color w:val="000000" w:themeColor="text1"/>
                <w:sz w:val="16"/>
                <w:szCs w:val="16"/>
              </w:rPr>
            </w:pPr>
          </w:p>
        </w:tc>
        <w:tc>
          <w:tcPr>
            <w:tcW w:w="2836" w:type="dxa"/>
            <w:tcBorders>
              <w:top w:val="nil"/>
              <w:left w:val="nil"/>
              <w:bottom w:val="single" w:sz="8" w:space="0" w:color="000000"/>
              <w:right w:val="single" w:sz="8" w:space="0" w:color="000000"/>
            </w:tcBorders>
            <w:tcMar>
              <w:top w:w="0" w:type="dxa"/>
              <w:left w:w="108" w:type="dxa"/>
              <w:bottom w:w="0" w:type="dxa"/>
              <w:right w:w="108" w:type="dxa"/>
            </w:tcMar>
            <w:hideMark/>
          </w:tcPr>
          <w:p w14:paraId="2B5E329A"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Т-44</w:t>
            </w:r>
          </w:p>
        </w:tc>
        <w:tc>
          <w:tcPr>
            <w:tcW w:w="2935" w:type="dxa"/>
            <w:tcBorders>
              <w:top w:val="nil"/>
              <w:left w:val="nil"/>
              <w:bottom w:val="single" w:sz="8" w:space="0" w:color="000000"/>
              <w:right w:val="single" w:sz="8" w:space="0" w:color="000000"/>
            </w:tcBorders>
            <w:tcMar>
              <w:top w:w="0" w:type="dxa"/>
              <w:left w:w="108" w:type="dxa"/>
              <w:bottom w:w="0" w:type="dxa"/>
              <w:right w:w="108" w:type="dxa"/>
            </w:tcMar>
            <w:hideMark/>
          </w:tcPr>
          <w:p w14:paraId="57C7FD55"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Т-34-85</w:t>
            </w:r>
          </w:p>
        </w:tc>
      </w:tr>
      <w:tr w:rsidR="005106D0" w:rsidRPr="007224C3" w14:paraId="2180B45A" w14:textId="77777777" w:rsidTr="008053EA">
        <w:trPr>
          <w:jc w:val="center"/>
        </w:trPr>
        <w:tc>
          <w:tcPr>
            <w:tcW w:w="953" w:type="dxa"/>
            <w:tcBorders>
              <w:top w:val="nil"/>
              <w:left w:val="single" w:sz="8" w:space="0" w:color="000000"/>
              <w:bottom w:val="single" w:sz="8" w:space="0" w:color="auto"/>
              <w:right w:val="single" w:sz="8" w:space="0" w:color="000000"/>
            </w:tcBorders>
            <w:tcMar>
              <w:top w:w="0" w:type="dxa"/>
              <w:left w:w="108" w:type="dxa"/>
              <w:bottom w:w="0" w:type="dxa"/>
              <w:right w:w="108" w:type="dxa"/>
            </w:tcMar>
            <w:vAlign w:val="center"/>
            <w:hideMark/>
          </w:tcPr>
          <w:p w14:paraId="185D9B4A"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tc>
        <w:tc>
          <w:tcPr>
            <w:tcW w:w="4252" w:type="dxa"/>
            <w:gridSpan w:val="3"/>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5A1B22F3"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tc>
        <w:tc>
          <w:tcPr>
            <w:tcW w:w="2836"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5E189F8A"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tc>
        <w:tc>
          <w:tcPr>
            <w:tcW w:w="2935"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71AD541C"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w:t>
            </w:r>
          </w:p>
        </w:tc>
      </w:tr>
      <w:tr w:rsidR="005106D0" w:rsidRPr="007224C3" w14:paraId="043F5601" w14:textId="77777777" w:rsidTr="008053EA">
        <w:trPr>
          <w:trHeight w:val="746"/>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vAlign w:val="center"/>
            <w:hideMark/>
          </w:tcPr>
          <w:p w14:paraId="6193B609"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w:t>
            </w:r>
          </w:p>
        </w:tc>
        <w:tc>
          <w:tcPr>
            <w:tcW w:w="10023" w:type="dxa"/>
            <w:gridSpan w:val="5"/>
            <w:tcBorders>
              <w:top w:val="nil"/>
              <w:left w:val="nil"/>
              <w:bottom w:val="nil"/>
              <w:right w:val="single" w:sz="8" w:space="0" w:color="000000"/>
            </w:tcBorders>
            <w:tcMar>
              <w:top w:w="0" w:type="dxa"/>
              <w:left w:w="108" w:type="dxa"/>
              <w:bottom w:w="0" w:type="dxa"/>
              <w:right w:w="108" w:type="dxa"/>
            </w:tcMar>
            <w:vAlign w:val="center"/>
            <w:hideMark/>
          </w:tcPr>
          <w:p w14:paraId="7ABB7333"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w:t>
            </w:r>
            <w:r w:rsidRPr="007224C3">
              <w:rPr>
                <w:rFonts w:ascii="Times New Roman" w:hAnsi="Times New Roman"/>
                <w:color w:val="000000" w:themeColor="text1"/>
                <w:sz w:val="16"/>
                <w:szCs w:val="16"/>
              </w:rPr>
              <w:t> </w:t>
            </w:r>
            <w:r w:rsidRPr="007224C3">
              <w:rPr>
                <w:rFonts w:ascii="Times New Roman" w:hAnsi="Times New Roman"/>
                <w:color w:val="000000" w:themeColor="text1"/>
                <w:sz w:val="16"/>
                <w:szCs w:val="16"/>
              </w:rPr>
              <w:t>Преодолеваемые</w:t>
            </w:r>
            <w:r w:rsidRPr="007224C3">
              <w:rPr>
                <w:rFonts w:ascii="Times New Roman" w:hAnsi="Times New Roman"/>
                <w:color w:val="000000" w:themeColor="text1"/>
                <w:sz w:val="16"/>
                <w:szCs w:val="16"/>
              </w:rPr>
              <w:t> </w:t>
            </w:r>
            <w:r w:rsidRPr="007224C3">
              <w:rPr>
                <w:rFonts w:ascii="Times New Roman" w:hAnsi="Times New Roman"/>
                <w:color w:val="000000" w:themeColor="text1"/>
                <w:sz w:val="16"/>
                <w:szCs w:val="16"/>
              </w:rPr>
              <w:t>препятствия.</w:t>
            </w:r>
          </w:p>
        </w:tc>
      </w:tr>
      <w:tr w:rsidR="005106D0" w:rsidRPr="007224C3" w14:paraId="55F01279"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0CD31C30"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19ED1D47"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Максимально - преодолева-</w:t>
            </w:r>
          </w:p>
          <w:p w14:paraId="3888FD57"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емый подъем (в градусах)</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7A6BD68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 длиной</w:t>
            </w:r>
          </w:p>
          <w:p w14:paraId="161311A1"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м, преодо-</w:t>
            </w:r>
          </w:p>
          <w:p w14:paraId="749813B1"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лен без шпор.</w:t>
            </w:r>
          </w:p>
        </w:tc>
        <w:tc>
          <w:tcPr>
            <w:tcW w:w="2935" w:type="dxa"/>
            <w:tcBorders>
              <w:top w:val="nil"/>
              <w:left w:val="nil"/>
              <w:bottom w:val="nil"/>
              <w:right w:val="single" w:sz="8" w:space="0" w:color="000000"/>
            </w:tcBorders>
            <w:tcMar>
              <w:top w:w="0" w:type="dxa"/>
              <w:left w:w="108" w:type="dxa"/>
              <w:bottom w:w="0" w:type="dxa"/>
              <w:right w:w="108" w:type="dxa"/>
            </w:tcMar>
            <w:hideMark/>
          </w:tcPr>
          <w:p w14:paraId="09387513"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w:t>
            </w:r>
          </w:p>
        </w:tc>
      </w:tr>
      <w:tr w:rsidR="005106D0" w:rsidRPr="007224C3" w14:paraId="0F578CEE"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76018B1D"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3442CB9A"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Спуск (в градусах)</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0189945D"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 преодолен</w:t>
            </w:r>
          </w:p>
          <w:p w14:paraId="160D56DB"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без шпор.</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18C9C357"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w:t>
            </w:r>
          </w:p>
        </w:tc>
      </w:tr>
      <w:tr w:rsidR="005106D0" w:rsidRPr="007224C3" w14:paraId="4B801491"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2CC637A7"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4B51D1C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Косогор (в градусах)</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1CEA9CA6"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32°, преодолен</w:t>
            </w:r>
          </w:p>
          <w:p w14:paraId="6F884F23"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без шпор.</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5B50F2D1"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32°</w:t>
            </w:r>
          </w:p>
        </w:tc>
      </w:tr>
      <w:tr w:rsidR="005106D0" w:rsidRPr="007224C3" w14:paraId="5A4CB983" w14:textId="77777777" w:rsidTr="00D03418">
        <w:trPr>
          <w:trHeight w:val="736"/>
          <w:jc w:val="center"/>
        </w:trPr>
        <w:tc>
          <w:tcPr>
            <w:tcW w:w="10976" w:type="dxa"/>
            <w:gridSpan w:val="6"/>
            <w:tcBorders>
              <w:top w:val="nil"/>
              <w:left w:val="single" w:sz="8" w:space="0" w:color="000000"/>
              <w:bottom w:val="nil"/>
              <w:right w:val="single" w:sz="8" w:space="0" w:color="000000"/>
            </w:tcBorders>
            <w:tcMar>
              <w:top w:w="0" w:type="dxa"/>
              <w:left w:w="108" w:type="dxa"/>
              <w:bottom w:w="0" w:type="dxa"/>
              <w:right w:w="108" w:type="dxa"/>
            </w:tcMar>
            <w:vAlign w:val="center"/>
            <w:hideMark/>
          </w:tcPr>
          <w:p w14:paraId="0BA1D3F3"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ДВИГАТЕЛЬ.</w:t>
            </w:r>
          </w:p>
        </w:tc>
      </w:tr>
      <w:tr w:rsidR="005106D0" w:rsidRPr="007224C3" w14:paraId="41448DC6"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4C75C52F"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5D1A79CF"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Расположение двигателя</w:t>
            </w:r>
          </w:p>
          <w:p w14:paraId="5BBFDCF4"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корпусе</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6A8C65EA"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Перпендикулярно к продольной оси корпуса</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272EA3B7"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Параллельно продольной</w:t>
            </w:r>
          </w:p>
          <w:p w14:paraId="434B77ED"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оси корпуса.</w:t>
            </w:r>
          </w:p>
        </w:tc>
      </w:tr>
      <w:tr w:rsidR="005106D0" w:rsidRPr="007224C3" w14:paraId="17A3238E"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7DFFB420"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55AE2F9A"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 мощность</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16650A14"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520 л.с. при</w:t>
            </w:r>
          </w:p>
          <w:p w14:paraId="3D4060A8"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2000 об/мин.</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69C8DA21"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500 л.с. при</w:t>
            </w:r>
          </w:p>
          <w:p w14:paraId="596520AB"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1800 об/мин.</w:t>
            </w:r>
          </w:p>
        </w:tc>
      </w:tr>
      <w:tr w:rsidR="005106D0" w:rsidRPr="007224C3" w14:paraId="0F06850B"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6897B37C"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1ECD7F08"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Максимальное число оборо-</w:t>
            </w:r>
          </w:p>
          <w:p w14:paraId="4C8F075C"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тов</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261A29C4"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2200 об/мин.</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54C119C5"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2050 об/мин.</w:t>
            </w:r>
          </w:p>
        </w:tc>
      </w:tr>
      <w:tr w:rsidR="005106D0" w:rsidRPr="007224C3" w14:paraId="780F88B0"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082AAEBF"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687E8E41"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Минимальные устойчивые</w:t>
            </w:r>
          </w:p>
          <w:p w14:paraId="5A244EA5"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обороты</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3DE9F386"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500 об/мин.</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53301E84"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600 об/мин.</w:t>
            </w:r>
          </w:p>
        </w:tc>
      </w:tr>
      <w:tr w:rsidR="005106D0" w:rsidRPr="007224C3" w14:paraId="6F79B8F9"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06FBC6DF"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0409011A"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Максимальный крутящий</w:t>
            </w:r>
          </w:p>
          <w:p w14:paraId="687BFCBD"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момент в кг.м.</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779BC4A2"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230</w:t>
            </w:r>
          </w:p>
          <w:p w14:paraId="2DD38339"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1150 об/мин.</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265DEBAA"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220</w:t>
            </w:r>
          </w:p>
          <w:p w14:paraId="7C2696F2"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1150 об/мин.</w:t>
            </w:r>
          </w:p>
        </w:tc>
      </w:tr>
      <w:tr w:rsidR="005106D0" w:rsidRPr="007224C3" w14:paraId="6CD6F64F"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2BBA1A6D"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1D9485B7"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Удельный расход топлива</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65DA8735"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160 ÷ 185 гр.</w:t>
            </w:r>
          </w:p>
          <w:p w14:paraId="0B81F245"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л.с./час.</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1337F7C4"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160 ÷ 170 гр.</w:t>
            </w:r>
          </w:p>
          <w:p w14:paraId="6528E49B"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л.с./час.</w:t>
            </w:r>
          </w:p>
        </w:tc>
      </w:tr>
      <w:tr w:rsidR="005106D0" w:rsidRPr="007224C3" w14:paraId="596C7DB4"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0DB4130A"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504B0E1F"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Число цилиндров</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6A698A89"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6DF48A5A"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w:t>
            </w:r>
          </w:p>
        </w:tc>
      </w:tr>
      <w:tr w:rsidR="005106D0" w:rsidRPr="007224C3" w14:paraId="437B3067"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321F4885"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752DDFE5"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Направление вращения ва-</w:t>
            </w:r>
          </w:p>
          <w:p w14:paraId="7BF33C43"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ла, если смотреть со</w:t>
            </w:r>
          </w:p>
          <w:p w14:paraId="3D5BE215"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стороны передачи на рас-</w:t>
            </w:r>
          </w:p>
          <w:p w14:paraId="08FD1055"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пределительный валик</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6F68320A"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часовой</w:t>
            </w:r>
          </w:p>
          <w:p w14:paraId="0B54AD6F"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стрелке.</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4A8E4248"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часовой</w:t>
            </w:r>
          </w:p>
          <w:p w14:paraId="4E919E85"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стрелке.</w:t>
            </w:r>
          </w:p>
        </w:tc>
      </w:tr>
      <w:tr w:rsidR="005106D0" w:rsidRPr="007224C3" w14:paraId="1F918ECA"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67FCC252"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66B7BAFF"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Рабочий объем всех </w:t>
            </w:r>
          </w:p>
          <w:p w14:paraId="318DC877"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цилиндров</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2750526D"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36,8 л.</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4F76E73A"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36,8 л.</w:t>
            </w:r>
          </w:p>
        </w:tc>
      </w:tr>
      <w:tr w:rsidR="005106D0" w:rsidRPr="007224C3" w14:paraId="605C6CE1"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2E1F9262"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0C3F7985"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 сухого двигателя с </w:t>
            </w:r>
          </w:p>
          <w:p w14:paraId="7A259477"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электрогенератором, без</w:t>
            </w:r>
          </w:p>
          <w:p w14:paraId="0EBD9F6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выхлопных коллекторов</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1B99FEBA"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750 кг.</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7DCDEF25"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750 кг.</w:t>
            </w:r>
          </w:p>
        </w:tc>
      </w:tr>
      <w:tr w:rsidR="005106D0" w:rsidRPr="007224C3" w14:paraId="5E9B2485" w14:textId="77777777" w:rsidTr="00D03418">
        <w:trPr>
          <w:trHeight w:val="736"/>
          <w:jc w:val="center"/>
        </w:trPr>
        <w:tc>
          <w:tcPr>
            <w:tcW w:w="10976" w:type="dxa"/>
            <w:gridSpan w:val="6"/>
            <w:tcBorders>
              <w:top w:val="nil"/>
              <w:left w:val="single" w:sz="8" w:space="0" w:color="000000"/>
              <w:bottom w:val="nil"/>
              <w:right w:val="single" w:sz="8" w:space="0" w:color="000000"/>
            </w:tcBorders>
            <w:tcMar>
              <w:top w:w="0" w:type="dxa"/>
              <w:left w:w="108" w:type="dxa"/>
              <w:bottom w:w="0" w:type="dxa"/>
              <w:right w:w="108" w:type="dxa"/>
            </w:tcMar>
            <w:vAlign w:val="center"/>
            <w:hideMark/>
          </w:tcPr>
          <w:p w14:paraId="54C9D91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9.</w:t>
            </w:r>
            <w:r w:rsidRPr="007224C3">
              <w:rPr>
                <w:rFonts w:ascii="Times New Roman" w:hAnsi="Times New Roman"/>
                <w:color w:val="000000" w:themeColor="text1"/>
                <w:sz w:val="16"/>
                <w:szCs w:val="16"/>
              </w:rPr>
              <w:t> </w:t>
            </w:r>
            <w:r w:rsidRPr="007224C3">
              <w:rPr>
                <w:rFonts w:ascii="Times New Roman" w:hAnsi="Times New Roman"/>
                <w:color w:val="000000" w:themeColor="text1"/>
                <w:sz w:val="16"/>
                <w:szCs w:val="16"/>
              </w:rPr>
              <w:t>СИСТЕМАДВИГАТЕЛЯ.</w:t>
            </w:r>
            <w:r w:rsidRPr="007224C3">
              <w:rPr>
                <w:rFonts w:ascii="Times New Roman" w:hAnsi="Times New Roman"/>
                <w:color w:val="000000" w:themeColor="text1"/>
                <w:sz w:val="16"/>
                <w:szCs w:val="16"/>
              </w:rPr>
              <w:t> </w:t>
            </w:r>
            <w:r w:rsidRPr="007224C3">
              <w:rPr>
                <w:rFonts w:ascii="Times New Roman" w:hAnsi="Times New Roman"/>
                <w:color w:val="000000" w:themeColor="text1"/>
                <w:sz w:val="16"/>
                <w:szCs w:val="16"/>
              </w:rPr>
              <w:t>ПУСКА</w:t>
            </w:r>
            <w:r w:rsidRPr="007224C3">
              <w:rPr>
                <w:rFonts w:ascii="Times New Roman" w:hAnsi="Times New Roman"/>
                <w:color w:val="000000" w:themeColor="text1"/>
                <w:sz w:val="16"/>
                <w:szCs w:val="16"/>
              </w:rPr>
              <w:t> </w:t>
            </w:r>
          </w:p>
        </w:tc>
      </w:tr>
      <w:tr w:rsidR="005106D0" w:rsidRPr="007224C3" w14:paraId="31A1EFCA"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00D4ED3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039E1EB9"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Электрическая</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640D3F5A"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 электро-</w:t>
            </w:r>
          </w:p>
          <w:p w14:paraId="6B44421B"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стартера</w:t>
            </w:r>
          </w:p>
          <w:p w14:paraId="34A901AB"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СТ-15</w:t>
            </w:r>
          </w:p>
        </w:tc>
        <w:tc>
          <w:tcPr>
            <w:tcW w:w="2935" w:type="dxa"/>
            <w:tcBorders>
              <w:top w:val="nil"/>
              <w:left w:val="nil"/>
              <w:bottom w:val="nil"/>
              <w:right w:val="single" w:sz="8" w:space="0" w:color="000000"/>
            </w:tcBorders>
            <w:tcMar>
              <w:top w:w="0" w:type="dxa"/>
              <w:left w:w="108" w:type="dxa"/>
              <w:bottom w:w="0" w:type="dxa"/>
              <w:right w:w="108" w:type="dxa"/>
            </w:tcMar>
            <w:hideMark/>
          </w:tcPr>
          <w:p w14:paraId="52B1BA56"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 электростар-</w:t>
            </w:r>
          </w:p>
          <w:p w14:paraId="07465E72"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тера СТ-700</w:t>
            </w:r>
          </w:p>
        </w:tc>
      </w:tr>
      <w:tr w:rsidR="005106D0" w:rsidRPr="007224C3" w14:paraId="5E99D62F"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2C78F0F3"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36C06894"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Пневматическая</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0E78C87D"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 баллонов</w:t>
            </w:r>
          </w:p>
          <w:p w14:paraId="4AB02B44"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отработан-</w:t>
            </w:r>
          </w:p>
          <w:p w14:paraId="6378B0F5"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ными газами</w:t>
            </w:r>
          </w:p>
          <w:p w14:paraId="28299E5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зарядкой</w:t>
            </w:r>
          </w:p>
          <w:p w14:paraId="5FAD3D2F"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 двигателя.</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14112764"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 баллонов с</w:t>
            </w:r>
          </w:p>
          <w:p w14:paraId="7120EFB5"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сжатыми возду-</w:t>
            </w:r>
          </w:p>
          <w:p w14:paraId="1798DE6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хом без доза-рядки</w:t>
            </w:r>
          </w:p>
        </w:tc>
      </w:tr>
      <w:tr w:rsidR="005106D0" w:rsidRPr="007224C3" w14:paraId="40A92A80"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4EBABA11"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6C80F4B7"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Число баллонов</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2A3908D1"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691408F9"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tc>
      </w:tr>
      <w:tr w:rsidR="005106D0" w:rsidRPr="007224C3" w14:paraId="7800204B"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34D03583"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32A1A13B"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Емкость баллонов</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7DB32893"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л</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5D288EE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л</w:t>
            </w:r>
          </w:p>
        </w:tc>
      </w:tr>
      <w:tr w:rsidR="005106D0" w:rsidRPr="007224C3" w14:paraId="37C823BC" w14:textId="77777777" w:rsidTr="00D03418">
        <w:trPr>
          <w:trHeight w:val="736"/>
          <w:jc w:val="center"/>
        </w:trPr>
        <w:tc>
          <w:tcPr>
            <w:tcW w:w="10976" w:type="dxa"/>
            <w:gridSpan w:val="6"/>
            <w:tcBorders>
              <w:top w:val="nil"/>
              <w:left w:val="single" w:sz="8" w:space="0" w:color="000000"/>
              <w:bottom w:val="nil"/>
              <w:right w:val="single" w:sz="8" w:space="0" w:color="000000"/>
            </w:tcBorders>
            <w:tcMar>
              <w:top w:w="0" w:type="dxa"/>
              <w:left w:w="108" w:type="dxa"/>
              <w:bottom w:w="0" w:type="dxa"/>
              <w:right w:w="108" w:type="dxa"/>
            </w:tcMar>
            <w:vAlign w:val="center"/>
            <w:hideMark/>
          </w:tcPr>
          <w:p w14:paraId="37E3C34D"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w:t>
            </w:r>
            <w:r w:rsidRPr="007224C3">
              <w:rPr>
                <w:rFonts w:ascii="Times New Roman" w:hAnsi="Times New Roman"/>
                <w:color w:val="000000" w:themeColor="text1"/>
                <w:sz w:val="16"/>
                <w:szCs w:val="16"/>
              </w:rPr>
              <w:t> </w:t>
            </w:r>
            <w:r w:rsidRPr="007224C3">
              <w:rPr>
                <w:rFonts w:ascii="Times New Roman" w:hAnsi="Times New Roman"/>
                <w:color w:val="000000" w:themeColor="text1"/>
                <w:sz w:val="16"/>
                <w:szCs w:val="16"/>
              </w:rPr>
              <w:t>ТОПЛИВНАЯ</w:t>
            </w:r>
            <w:r w:rsidRPr="007224C3">
              <w:rPr>
                <w:rFonts w:ascii="Times New Roman" w:hAnsi="Times New Roman"/>
                <w:color w:val="000000" w:themeColor="text1"/>
                <w:sz w:val="16"/>
                <w:szCs w:val="16"/>
              </w:rPr>
              <w:t> </w:t>
            </w:r>
            <w:r w:rsidRPr="007224C3">
              <w:rPr>
                <w:rFonts w:ascii="Times New Roman" w:hAnsi="Times New Roman"/>
                <w:color w:val="000000" w:themeColor="text1"/>
                <w:sz w:val="16"/>
                <w:szCs w:val="16"/>
              </w:rPr>
              <w:t>СИСТЕМА.</w:t>
            </w:r>
          </w:p>
        </w:tc>
      </w:tr>
      <w:tr w:rsidR="005106D0" w:rsidRPr="007224C3" w14:paraId="20A73B28"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140FB712"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39EEE3DD"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Сорт топлива</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1CA86337"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Дизельное</w:t>
            </w:r>
          </w:p>
          <w:p w14:paraId="02F2E4DD"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"ДТ" или</w:t>
            </w:r>
          </w:p>
          <w:p w14:paraId="3B42A862"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газойль "Э"</w:t>
            </w:r>
          </w:p>
        </w:tc>
        <w:tc>
          <w:tcPr>
            <w:tcW w:w="2935" w:type="dxa"/>
            <w:tcBorders>
              <w:top w:val="nil"/>
              <w:left w:val="nil"/>
              <w:bottom w:val="nil"/>
              <w:right w:val="single" w:sz="8" w:space="0" w:color="000000"/>
            </w:tcBorders>
            <w:tcMar>
              <w:top w:w="0" w:type="dxa"/>
              <w:left w:w="108" w:type="dxa"/>
              <w:bottom w:w="0" w:type="dxa"/>
              <w:right w:w="108" w:type="dxa"/>
            </w:tcMar>
            <w:hideMark/>
          </w:tcPr>
          <w:p w14:paraId="074296F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Дизельное "ДТ" или газойль "Э"</w:t>
            </w:r>
          </w:p>
        </w:tc>
      </w:tr>
      <w:tr w:rsidR="005106D0" w:rsidRPr="007224C3" w14:paraId="1B326668"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4A953FCD"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5ABD863F"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Количество основных</w:t>
            </w:r>
          </w:p>
          <w:p w14:paraId="33D3F282"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топливных баков</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650B33F9"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шт</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79D5D3FC"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шт</w:t>
            </w:r>
          </w:p>
        </w:tc>
      </w:tr>
      <w:tr w:rsidR="005106D0" w:rsidRPr="007224C3" w14:paraId="25F3EEB0"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778F60FF"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5288FFD6"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Количество запасных</w:t>
            </w:r>
          </w:p>
          <w:p w14:paraId="6CCB8F7A"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топливных баков</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584C3A3F"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шт</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7F6377B2"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шт</w:t>
            </w:r>
          </w:p>
        </w:tc>
      </w:tr>
      <w:tr w:rsidR="005106D0" w:rsidRPr="007224C3" w14:paraId="3C8BE0CB"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1A1895B4"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3C33E3F9"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Общая емкость основных</w:t>
            </w:r>
          </w:p>
          <w:p w14:paraId="2DBD892C"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топливных баков</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5B441BEC"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460 л</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5EF01CC0"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550 л</w:t>
            </w:r>
          </w:p>
        </w:tc>
      </w:tr>
      <w:tr w:rsidR="005106D0" w:rsidRPr="007224C3" w14:paraId="544805B4"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5D3BACED"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5565F07D"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Общая емкость запасных</w:t>
            </w:r>
          </w:p>
          <w:p w14:paraId="42C7D6EF"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топливных баков</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078D5B68"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180 л</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54F84A52"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270 л</w:t>
            </w:r>
          </w:p>
        </w:tc>
      </w:tr>
      <w:tr w:rsidR="005106D0" w:rsidRPr="007224C3" w14:paraId="4A59340C"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6A0FA307"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74EE3F2C"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Первоначальная подача</w:t>
            </w:r>
          </w:p>
          <w:p w14:paraId="72FA6FF2"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топлива из баков к под-</w:t>
            </w:r>
          </w:p>
          <w:p w14:paraId="0CA58596"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качивающей помпе</w:t>
            </w:r>
          </w:p>
        </w:tc>
        <w:tc>
          <w:tcPr>
            <w:tcW w:w="2836" w:type="dxa"/>
            <w:tcBorders>
              <w:top w:val="nil"/>
              <w:left w:val="nil"/>
              <w:bottom w:val="nil"/>
              <w:right w:val="single" w:sz="8" w:space="0" w:color="000000"/>
            </w:tcBorders>
            <w:tcMar>
              <w:top w:w="0" w:type="dxa"/>
              <w:left w:w="108" w:type="dxa"/>
              <w:bottom w:w="0" w:type="dxa"/>
              <w:right w:w="108" w:type="dxa"/>
            </w:tcMar>
            <w:vAlign w:val="bottom"/>
            <w:hideMark/>
          </w:tcPr>
          <w:p w14:paraId="450289E8"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Ручным насосом "Альвейер"</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0D716EE3"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Давлением в баке, создаваемым</w:t>
            </w:r>
          </w:p>
          <w:p w14:paraId="53B7B9A1"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воздушным насосом</w:t>
            </w:r>
          </w:p>
        </w:tc>
      </w:tr>
      <w:tr w:rsidR="005106D0" w:rsidRPr="007224C3" w14:paraId="0F2100FC"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5B2E930A"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24CBC8F1"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Топливоподкачивающая</w:t>
            </w:r>
          </w:p>
          <w:p w14:paraId="38E88504"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помпа – тип</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4B43BE86"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Коловратная</w:t>
            </w:r>
          </w:p>
          <w:p w14:paraId="00F0ECE1"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БНК-12</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35BC312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Коловратная</w:t>
            </w:r>
          </w:p>
          <w:p w14:paraId="0FB78975"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БНК-12</w:t>
            </w:r>
          </w:p>
        </w:tc>
      </w:tr>
      <w:tr w:rsidR="005106D0" w:rsidRPr="007224C3" w14:paraId="5EF547D1"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002F6EDC"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36BCA0F3"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Давление топлива по-</w:t>
            </w:r>
          </w:p>
          <w:p w14:paraId="7D775880"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сле фильтра – в атмос-</w:t>
            </w:r>
          </w:p>
          <w:p w14:paraId="668B2700"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ферах</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036418A0" w14:textId="77777777" w:rsidR="00811C95" w:rsidRPr="007224C3" w:rsidRDefault="00811C95" w:rsidP="007224C3">
            <w:pPr>
              <w:spacing w:after="0" w:line="240" w:lineRule="auto"/>
              <w:jc w:val="both"/>
              <w:rPr>
                <w:rFonts w:ascii="Times New Roman" w:hAnsi="Times New Roman"/>
                <w:color w:val="000000" w:themeColor="text1"/>
                <w:sz w:val="16"/>
                <w:szCs w:val="16"/>
              </w:rPr>
            </w:pPr>
            <w:bookmarkStart w:id="44" w:name="OLE_LINK54"/>
            <w:bookmarkStart w:id="45" w:name="OLE_LINK53"/>
            <w:bookmarkEnd w:id="44"/>
            <w:bookmarkEnd w:id="45"/>
            <w:r w:rsidRPr="007224C3">
              <w:rPr>
                <w:rFonts w:ascii="Times New Roman" w:hAnsi="Times New Roman"/>
                <w:color w:val="000000" w:themeColor="text1"/>
                <w:sz w:val="16"/>
                <w:szCs w:val="16"/>
              </w:rPr>
              <w:t>0,5÷0,7</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32115BA3"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0,5÷0,7</w:t>
            </w:r>
          </w:p>
        </w:tc>
      </w:tr>
      <w:tr w:rsidR="005106D0" w:rsidRPr="007224C3" w14:paraId="0A042EB4"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02D10155"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272CDCA4"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Тип топливного</w:t>
            </w:r>
          </w:p>
          <w:p w14:paraId="7F195359"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фильтра.</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099F7106"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Войлочный</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44BFB80A"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Войлочный</w:t>
            </w:r>
          </w:p>
        </w:tc>
      </w:tr>
      <w:tr w:rsidR="005106D0" w:rsidRPr="007224C3" w14:paraId="37DDE330"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5D80656A"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21BF6BED"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Топливный насос</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479C2376"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НК-1</w:t>
            </w:r>
          </w:p>
          <w:p w14:paraId="4C0940D4"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всережимным</w:t>
            </w:r>
          </w:p>
          <w:p w14:paraId="1A08F27D"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регулятором и</w:t>
            </w:r>
          </w:p>
          <w:p w14:paraId="644B6758"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корректором</w:t>
            </w:r>
          </w:p>
          <w:p w14:paraId="3BC8952D"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подачи.</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190FC301"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НК-1</w:t>
            </w:r>
          </w:p>
          <w:p w14:paraId="0CB8C72C"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регулято-</w:t>
            </w:r>
          </w:p>
          <w:p w14:paraId="27BD933D"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ром макси-</w:t>
            </w:r>
          </w:p>
          <w:p w14:paraId="2EC6641A"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мальных обо-</w:t>
            </w:r>
          </w:p>
          <w:p w14:paraId="0BFB043A"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ротов.</w:t>
            </w:r>
          </w:p>
        </w:tc>
      </w:tr>
      <w:tr w:rsidR="005106D0" w:rsidRPr="007224C3" w14:paraId="4040B060"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5661722A"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7365AB44"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Тип топливного насоса</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1E685321"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12-ти плун-</w:t>
            </w:r>
          </w:p>
          <w:p w14:paraId="2349E38B"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жерный.</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64AB1B11"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12-ти плун-</w:t>
            </w:r>
          </w:p>
          <w:p w14:paraId="133A57A2"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жерный.</w:t>
            </w:r>
          </w:p>
        </w:tc>
      </w:tr>
      <w:tr w:rsidR="005106D0" w:rsidRPr="007224C3" w14:paraId="05C0225C" w14:textId="77777777" w:rsidTr="00D03418">
        <w:trPr>
          <w:trHeight w:val="736"/>
          <w:jc w:val="center"/>
        </w:trPr>
        <w:tc>
          <w:tcPr>
            <w:tcW w:w="10976" w:type="dxa"/>
            <w:gridSpan w:val="6"/>
            <w:tcBorders>
              <w:top w:val="nil"/>
              <w:left w:val="single" w:sz="8" w:space="0" w:color="000000"/>
              <w:bottom w:val="nil"/>
              <w:right w:val="single" w:sz="8" w:space="0" w:color="000000"/>
            </w:tcBorders>
            <w:tcMar>
              <w:top w:w="0" w:type="dxa"/>
              <w:left w:w="108" w:type="dxa"/>
              <w:bottom w:w="0" w:type="dxa"/>
              <w:right w:w="108" w:type="dxa"/>
            </w:tcMar>
            <w:vAlign w:val="center"/>
            <w:hideMark/>
          </w:tcPr>
          <w:p w14:paraId="0CBB3A81"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w:t>
            </w:r>
            <w:r w:rsidRPr="007224C3">
              <w:rPr>
                <w:rFonts w:ascii="Times New Roman" w:hAnsi="Times New Roman"/>
                <w:color w:val="000000" w:themeColor="text1"/>
                <w:sz w:val="16"/>
                <w:szCs w:val="16"/>
              </w:rPr>
              <w:t> </w:t>
            </w:r>
            <w:r w:rsidRPr="007224C3">
              <w:rPr>
                <w:rFonts w:ascii="Times New Roman" w:hAnsi="Times New Roman"/>
                <w:color w:val="000000" w:themeColor="text1"/>
                <w:sz w:val="16"/>
                <w:szCs w:val="16"/>
              </w:rPr>
              <w:t>СИСТЕМАСМАЗКИ.</w:t>
            </w:r>
            <w:r w:rsidRPr="007224C3">
              <w:rPr>
                <w:rFonts w:ascii="Times New Roman" w:hAnsi="Times New Roman"/>
                <w:color w:val="000000" w:themeColor="text1"/>
                <w:sz w:val="16"/>
                <w:szCs w:val="16"/>
              </w:rPr>
              <w:t> </w:t>
            </w:r>
          </w:p>
        </w:tc>
      </w:tr>
      <w:tr w:rsidR="005106D0" w:rsidRPr="007224C3" w14:paraId="6B8DC91E"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36F2DF71"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1E72B87C"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Тип системы смазки</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321C3CFF"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Циркуляцион-</w:t>
            </w:r>
          </w:p>
          <w:p w14:paraId="005CD536"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ная под</w:t>
            </w:r>
          </w:p>
          <w:p w14:paraId="046C328A"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давлением</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45DB9B45"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Циркуляцион-</w:t>
            </w:r>
          </w:p>
          <w:p w14:paraId="14E084B1"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ная под дав-</w:t>
            </w:r>
          </w:p>
          <w:p w14:paraId="044F26BD"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лением</w:t>
            </w:r>
          </w:p>
        </w:tc>
      </w:tr>
      <w:tr w:rsidR="005106D0" w:rsidRPr="007224C3" w14:paraId="1EEDF4CE"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39698766"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207C2581"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Сорт масла</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55B78A59"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Авиамасло</w:t>
            </w:r>
          </w:p>
          <w:p w14:paraId="7D4352EB"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МК, МС, МЗС,</w:t>
            </w:r>
          </w:p>
          <w:p w14:paraId="1AD0F25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МСГ.</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5CEEB053"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Авиамасло</w:t>
            </w:r>
          </w:p>
          <w:p w14:paraId="4BEF587D"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МК, МС, МЗС,</w:t>
            </w:r>
          </w:p>
          <w:p w14:paraId="3822824F"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МСГ.</w:t>
            </w:r>
          </w:p>
        </w:tc>
      </w:tr>
      <w:tr w:rsidR="005106D0" w:rsidRPr="007224C3" w14:paraId="1DB24EC7"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29D55017"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776E403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Количество масляных</w:t>
            </w:r>
          </w:p>
          <w:p w14:paraId="5BA38C13"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баков</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2C4190F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шт.</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6A641CD0"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шт.</w:t>
            </w:r>
          </w:p>
        </w:tc>
      </w:tr>
      <w:tr w:rsidR="005106D0" w:rsidRPr="007224C3" w14:paraId="10A6C7DB"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5C84DB65"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6FE186E2"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Заправочная емкость мас-</w:t>
            </w:r>
          </w:p>
          <w:p w14:paraId="3A007A19"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ляных баков</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3F58DD6F"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 л</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4F33C8AF"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80 л</w:t>
            </w:r>
          </w:p>
        </w:tc>
      </w:tr>
      <w:tr w:rsidR="005106D0" w:rsidRPr="007224C3" w14:paraId="69EAEF1B"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694DCDB6"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68D99EF3"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Способ охлаждения масла</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7FB3B653"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Трубчатым радиатором.</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2C669D7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Трубчатым ра-</w:t>
            </w:r>
          </w:p>
          <w:p w14:paraId="77B4B0A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диатором.</w:t>
            </w:r>
          </w:p>
        </w:tc>
      </w:tr>
      <w:tr w:rsidR="005106D0" w:rsidRPr="007224C3" w14:paraId="703FB424"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74E3CE39"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626B64BB"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Емкость масляного радиа-</w:t>
            </w:r>
          </w:p>
          <w:p w14:paraId="4D0435DF"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тора</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359380FB"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2,82 л.</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76C7F645"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w:t>
            </w:r>
          </w:p>
        </w:tc>
      </w:tr>
      <w:tr w:rsidR="005106D0" w:rsidRPr="007224C3" w14:paraId="5E966109"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56EECBAD"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22089CC4"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Поверхность радиатора,</w:t>
            </w:r>
          </w:p>
          <w:p w14:paraId="3F72DAC7"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омываемая маслом</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343FDA63"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1,807 м²</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10A9D67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2,104 м²</w:t>
            </w:r>
          </w:p>
        </w:tc>
      </w:tr>
      <w:tr w:rsidR="005106D0" w:rsidRPr="007224C3" w14:paraId="434F45EA"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4A157820"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34AE4602"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Поверхность радиатора,</w:t>
            </w:r>
          </w:p>
          <w:p w14:paraId="1CC08129"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омываемая воздухом</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2027D1D8"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8,024 м²</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32AA1E0A"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7,374 м²</w:t>
            </w:r>
          </w:p>
        </w:tc>
      </w:tr>
      <w:tr w:rsidR="005106D0" w:rsidRPr="007224C3" w14:paraId="14F7A8E0"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533A0B82"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74D84A79"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Заполнение маслом нера-</w:t>
            </w:r>
          </w:p>
          <w:p w14:paraId="28ADF267"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ботающего двигателя</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3439295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Ручным подкачивающим насосом.</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0FF4CDB9"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Ручным под-</w:t>
            </w:r>
          </w:p>
          <w:p w14:paraId="3D84EC21"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качивающим</w:t>
            </w:r>
          </w:p>
          <w:p w14:paraId="2F637120"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насосом.</w:t>
            </w:r>
          </w:p>
        </w:tc>
      </w:tr>
      <w:tr w:rsidR="005106D0" w:rsidRPr="007224C3" w14:paraId="7F7B2E82"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7C166174"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01A5954F"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Температура выходящего</w:t>
            </w:r>
          </w:p>
          <w:p w14:paraId="485D960C"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масла</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4952137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 100°С</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6CC29280"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 100°С</w:t>
            </w:r>
          </w:p>
        </w:tc>
      </w:tr>
      <w:tr w:rsidR="005106D0" w:rsidRPr="007224C3" w14:paraId="7EF8ADFF"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33B434BA"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23579505"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Удельный расход масла</w:t>
            </w:r>
          </w:p>
          <w:p w14:paraId="71FCA54C"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эксплоатационных ре-</w:t>
            </w:r>
          </w:p>
          <w:p w14:paraId="045E5591"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жимах работы двигателя</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32054004"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гр/л.с </w:t>
            </w:r>
          </w:p>
          <w:p w14:paraId="0E75B6F8"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час.</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54F8EF94"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гр/л.с. </w:t>
            </w:r>
          </w:p>
          <w:p w14:paraId="6D0BF667"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час.</w:t>
            </w:r>
          </w:p>
        </w:tc>
      </w:tr>
      <w:tr w:rsidR="005106D0" w:rsidRPr="007224C3" w14:paraId="59F11209"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25381516"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738DB3CC"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Давление масла при мини-</w:t>
            </w:r>
          </w:p>
          <w:p w14:paraId="1E378BE7"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мальных оборотах двигате-</w:t>
            </w:r>
          </w:p>
          <w:p w14:paraId="53FEDAE2"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ля</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731FF241"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кг/см²</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2B9DA5D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кг/см²</w:t>
            </w:r>
          </w:p>
        </w:tc>
      </w:tr>
      <w:tr w:rsidR="005106D0" w:rsidRPr="007224C3" w14:paraId="51A88093"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vAlign w:val="center"/>
            <w:hideMark/>
          </w:tcPr>
          <w:p w14:paraId="104DBBB0"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13.</w:t>
            </w:r>
          </w:p>
        </w:tc>
        <w:tc>
          <w:tcPr>
            <w:tcW w:w="4252" w:type="dxa"/>
            <w:gridSpan w:val="3"/>
            <w:tcBorders>
              <w:top w:val="nil"/>
              <w:left w:val="nil"/>
              <w:bottom w:val="nil"/>
              <w:right w:val="single" w:sz="8" w:space="0" w:color="000000"/>
            </w:tcBorders>
            <w:tcMar>
              <w:top w:w="0" w:type="dxa"/>
              <w:left w:w="108" w:type="dxa"/>
              <w:bottom w:w="0" w:type="dxa"/>
              <w:right w:w="108" w:type="dxa"/>
            </w:tcMar>
            <w:vAlign w:val="center"/>
            <w:hideMark/>
          </w:tcPr>
          <w:p w14:paraId="11260F4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Давление масла на эксплоа-</w:t>
            </w:r>
          </w:p>
          <w:p w14:paraId="7C25D7EF"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тационных режимах</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52D9D94B"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 9  кг/см²</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0A71FAA0"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 9  кг/см²</w:t>
            </w:r>
          </w:p>
        </w:tc>
      </w:tr>
      <w:tr w:rsidR="005106D0" w:rsidRPr="007224C3" w14:paraId="5004604B"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vAlign w:val="center"/>
            <w:hideMark/>
          </w:tcPr>
          <w:p w14:paraId="485966F0"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w:t>
            </w:r>
          </w:p>
        </w:tc>
        <w:tc>
          <w:tcPr>
            <w:tcW w:w="4252" w:type="dxa"/>
            <w:gridSpan w:val="3"/>
            <w:tcBorders>
              <w:top w:val="nil"/>
              <w:left w:val="nil"/>
              <w:bottom w:val="nil"/>
              <w:right w:val="single" w:sz="8" w:space="0" w:color="000000"/>
            </w:tcBorders>
            <w:tcMar>
              <w:top w:w="0" w:type="dxa"/>
              <w:left w:w="108" w:type="dxa"/>
              <w:bottom w:w="0" w:type="dxa"/>
              <w:right w:w="108" w:type="dxa"/>
            </w:tcMar>
            <w:vAlign w:val="center"/>
            <w:hideMark/>
          </w:tcPr>
          <w:p w14:paraId="28CECF5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Производительность масля-</w:t>
            </w:r>
          </w:p>
          <w:p w14:paraId="20F61C3F"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ного насоса при 1600 об/мин.</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1CA66139" w14:textId="77777777" w:rsidR="00811C95" w:rsidRPr="007224C3" w:rsidRDefault="00811C95" w:rsidP="007224C3">
            <w:pPr>
              <w:spacing w:after="0" w:line="240" w:lineRule="auto"/>
              <w:jc w:val="both"/>
              <w:rPr>
                <w:rFonts w:ascii="Times New Roman" w:hAnsi="Times New Roman"/>
                <w:color w:val="000000" w:themeColor="text1"/>
                <w:sz w:val="16"/>
                <w:szCs w:val="16"/>
              </w:rPr>
            </w:pPr>
            <w:bookmarkStart w:id="46" w:name="OLE_LINK146"/>
            <w:bookmarkStart w:id="47" w:name="OLE_LINK145"/>
            <w:bookmarkEnd w:id="46"/>
            <w:bookmarkEnd w:id="47"/>
            <w:r w:rsidRPr="007224C3">
              <w:rPr>
                <w:rFonts w:ascii="Times New Roman" w:hAnsi="Times New Roman"/>
                <w:color w:val="000000" w:themeColor="text1"/>
                <w:sz w:val="16"/>
                <w:szCs w:val="16"/>
              </w:rPr>
              <w:t>3750 л/час.</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35EC945C"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3750 л/час.</w:t>
            </w:r>
          </w:p>
        </w:tc>
      </w:tr>
      <w:tr w:rsidR="005106D0" w:rsidRPr="007224C3" w14:paraId="33EE9FA6" w14:textId="77777777" w:rsidTr="00D03418">
        <w:trPr>
          <w:trHeight w:val="736"/>
          <w:jc w:val="center"/>
        </w:trPr>
        <w:tc>
          <w:tcPr>
            <w:tcW w:w="10976" w:type="dxa"/>
            <w:gridSpan w:val="6"/>
            <w:tcBorders>
              <w:top w:val="nil"/>
              <w:left w:val="single" w:sz="8" w:space="0" w:color="000000"/>
              <w:bottom w:val="nil"/>
              <w:right w:val="single" w:sz="8" w:space="0" w:color="000000"/>
            </w:tcBorders>
            <w:tcMar>
              <w:top w:w="0" w:type="dxa"/>
              <w:left w:w="108" w:type="dxa"/>
              <w:bottom w:w="0" w:type="dxa"/>
              <w:right w:w="108" w:type="dxa"/>
            </w:tcMar>
            <w:vAlign w:val="center"/>
            <w:hideMark/>
          </w:tcPr>
          <w:p w14:paraId="52EEF30A"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w:t>
            </w:r>
            <w:r w:rsidRPr="007224C3">
              <w:rPr>
                <w:rFonts w:ascii="Times New Roman" w:hAnsi="Times New Roman"/>
                <w:color w:val="000000" w:themeColor="text1"/>
                <w:sz w:val="16"/>
                <w:szCs w:val="16"/>
              </w:rPr>
              <w:t> </w:t>
            </w:r>
            <w:r w:rsidRPr="007224C3">
              <w:rPr>
                <w:rFonts w:ascii="Times New Roman" w:hAnsi="Times New Roman"/>
                <w:color w:val="000000" w:themeColor="text1"/>
                <w:sz w:val="16"/>
                <w:szCs w:val="16"/>
              </w:rPr>
              <w:t>СИСТЕМАОХЛАЖДЕНИЯ.</w:t>
            </w:r>
            <w:r w:rsidRPr="007224C3">
              <w:rPr>
                <w:rFonts w:ascii="Times New Roman" w:hAnsi="Times New Roman"/>
                <w:color w:val="000000" w:themeColor="text1"/>
                <w:sz w:val="16"/>
                <w:szCs w:val="16"/>
              </w:rPr>
              <w:t> </w:t>
            </w:r>
          </w:p>
        </w:tc>
      </w:tr>
      <w:tr w:rsidR="005106D0" w:rsidRPr="007224C3" w14:paraId="1976315A"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646F750D"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22EA5415"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Тип охлаждения</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12A873BC"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Водяное при-</w:t>
            </w:r>
          </w:p>
          <w:p w14:paraId="636CBF6C"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нудительное,</w:t>
            </w:r>
          </w:p>
          <w:p w14:paraId="5DF8810D"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закрытого</w:t>
            </w:r>
          </w:p>
          <w:p w14:paraId="217BC25D"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типа.</w:t>
            </w:r>
          </w:p>
        </w:tc>
        <w:tc>
          <w:tcPr>
            <w:tcW w:w="2935" w:type="dxa"/>
            <w:tcBorders>
              <w:top w:val="nil"/>
              <w:left w:val="nil"/>
              <w:bottom w:val="nil"/>
              <w:right w:val="single" w:sz="8" w:space="0" w:color="000000"/>
            </w:tcBorders>
            <w:tcMar>
              <w:top w:w="0" w:type="dxa"/>
              <w:left w:w="108" w:type="dxa"/>
              <w:bottom w:w="0" w:type="dxa"/>
              <w:right w:w="108" w:type="dxa"/>
            </w:tcMar>
            <w:hideMark/>
          </w:tcPr>
          <w:p w14:paraId="23DC402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Водяное - </w:t>
            </w:r>
          </w:p>
          <w:p w14:paraId="5396E8BF"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принудитель-</w:t>
            </w:r>
          </w:p>
          <w:p w14:paraId="5F6BBE87"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ное, закры-</w:t>
            </w:r>
          </w:p>
          <w:p w14:paraId="43792466"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того типа.</w:t>
            </w:r>
          </w:p>
        </w:tc>
      </w:tr>
      <w:tr w:rsidR="005106D0" w:rsidRPr="007224C3" w14:paraId="47339BEF"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66500A6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tc>
        <w:tc>
          <w:tcPr>
            <w:tcW w:w="4252" w:type="dxa"/>
            <w:gridSpan w:val="3"/>
            <w:tcBorders>
              <w:top w:val="nil"/>
              <w:left w:val="nil"/>
              <w:bottom w:val="nil"/>
              <w:right w:val="single" w:sz="8" w:space="0" w:color="000000"/>
            </w:tcBorders>
            <w:tcMar>
              <w:top w:w="0" w:type="dxa"/>
              <w:left w:w="108" w:type="dxa"/>
              <w:bottom w:w="0" w:type="dxa"/>
              <w:right w:w="108" w:type="dxa"/>
            </w:tcMar>
            <w:vAlign w:val="center"/>
            <w:hideMark/>
          </w:tcPr>
          <w:p w14:paraId="27AD1BC4"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Емкость системы охлаждения</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370F0712"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 л.</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568F0159"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75 л.</w:t>
            </w:r>
          </w:p>
        </w:tc>
      </w:tr>
      <w:tr w:rsidR="005106D0" w:rsidRPr="007224C3" w14:paraId="7A5B734E"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21F1E92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tc>
        <w:tc>
          <w:tcPr>
            <w:tcW w:w="4252" w:type="dxa"/>
            <w:gridSpan w:val="3"/>
            <w:tcBorders>
              <w:top w:val="nil"/>
              <w:left w:val="nil"/>
              <w:bottom w:val="nil"/>
              <w:right w:val="single" w:sz="8" w:space="0" w:color="000000"/>
            </w:tcBorders>
            <w:tcMar>
              <w:top w:w="0" w:type="dxa"/>
              <w:left w:w="108" w:type="dxa"/>
              <w:bottom w:w="0" w:type="dxa"/>
              <w:right w:w="108" w:type="dxa"/>
            </w:tcMar>
            <w:vAlign w:val="center"/>
            <w:hideMark/>
          </w:tcPr>
          <w:p w14:paraId="588B5CE1"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Температура выходящей воды</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75771567"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 105°</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747CFF4F"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 105°</w:t>
            </w:r>
          </w:p>
        </w:tc>
      </w:tr>
      <w:tr w:rsidR="005106D0" w:rsidRPr="007224C3" w14:paraId="37428045"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2163700C"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w:t>
            </w:r>
          </w:p>
        </w:tc>
        <w:tc>
          <w:tcPr>
            <w:tcW w:w="4252" w:type="dxa"/>
            <w:gridSpan w:val="3"/>
            <w:tcBorders>
              <w:top w:val="nil"/>
              <w:left w:val="nil"/>
              <w:bottom w:val="nil"/>
              <w:right w:val="single" w:sz="8" w:space="0" w:color="000000"/>
            </w:tcBorders>
            <w:tcMar>
              <w:top w:w="0" w:type="dxa"/>
              <w:left w:w="108" w:type="dxa"/>
              <w:bottom w:w="0" w:type="dxa"/>
              <w:right w:w="108" w:type="dxa"/>
            </w:tcMar>
            <w:vAlign w:val="center"/>
            <w:hideMark/>
          </w:tcPr>
          <w:p w14:paraId="7ECE47CF"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Производительность насоса</w:t>
            </w:r>
          </w:p>
          <w:p w14:paraId="4AA5CD08"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1500 об/мин</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55B7770F"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500 л/мин.</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7A5F5B67"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500 л/мин.</w:t>
            </w:r>
          </w:p>
        </w:tc>
      </w:tr>
      <w:tr w:rsidR="005106D0" w:rsidRPr="007224C3" w14:paraId="09648985"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0D3FA8AB" w14:textId="77777777" w:rsidR="00811C95" w:rsidRPr="007224C3" w:rsidRDefault="00811C95" w:rsidP="007224C3">
            <w:pPr>
              <w:spacing w:after="0" w:line="240" w:lineRule="auto"/>
              <w:jc w:val="both"/>
              <w:rPr>
                <w:rFonts w:ascii="Times New Roman" w:hAnsi="Times New Roman"/>
                <w:color w:val="000000" w:themeColor="text1"/>
                <w:sz w:val="16"/>
                <w:szCs w:val="16"/>
              </w:rPr>
            </w:pPr>
            <w:bookmarkStart w:id="48" w:name="_Hlk66402"/>
            <w:r w:rsidRPr="007224C3">
              <w:rPr>
                <w:rFonts w:ascii="Times New Roman" w:hAnsi="Times New Roman"/>
                <w:color w:val="000000" w:themeColor="text1"/>
                <w:sz w:val="16"/>
                <w:szCs w:val="16"/>
              </w:rPr>
              <w:t>5.</w:t>
            </w:r>
            <w:bookmarkEnd w:id="48"/>
          </w:p>
        </w:tc>
        <w:tc>
          <w:tcPr>
            <w:tcW w:w="4252" w:type="dxa"/>
            <w:gridSpan w:val="3"/>
            <w:tcBorders>
              <w:top w:val="nil"/>
              <w:left w:val="nil"/>
              <w:bottom w:val="nil"/>
              <w:right w:val="single" w:sz="8" w:space="0" w:color="000000"/>
            </w:tcBorders>
            <w:tcMar>
              <w:top w:w="0" w:type="dxa"/>
              <w:left w:w="108" w:type="dxa"/>
              <w:bottom w:w="0" w:type="dxa"/>
              <w:right w:w="108" w:type="dxa"/>
            </w:tcMar>
            <w:vAlign w:val="center"/>
            <w:hideMark/>
          </w:tcPr>
          <w:p w14:paraId="5E36542D"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Тип радиатора</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65483B0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Трубчатый</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1F0E79D4"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Трубчатый</w:t>
            </w:r>
          </w:p>
        </w:tc>
      </w:tr>
      <w:tr w:rsidR="005106D0" w:rsidRPr="007224C3" w14:paraId="6D0E03B3"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70FC5C13"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w:t>
            </w:r>
          </w:p>
        </w:tc>
        <w:tc>
          <w:tcPr>
            <w:tcW w:w="4252" w:type="dxa"/>
            <w:gridSpan w:val="3"/>
            <w:tcBorders>
              <w:top w:val="nil"/>
              <w:left w:val="nil"/>
              <w:bottom w:val="nil"/>
              <w:right w:val="single" w:sz="8" w:space="0" w:color="000000"/>
            </w:tcBorders>
            <w:tcMar>
              <w:top w:w="0" w:type="dxa"/>
              <w:left w:w="108" w:type="dxa"/>
              <w:bottom w:w="0" w:type="dxa"/>
              <w:right w:w="108" w:type="dxa"/>
            </w:tcMar>
            <w:vAlign w:val="center"/>
            <w:hideMark/>
          </w:tcPr>
          <w:p w14:paraId="1C653DEA"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Количество радиаторов</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7304FAF8"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шт.</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211CE871"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шт.</w:t>
            </w:r>
          </w:p>
        </w:tc>
      </w:tr>
      <w:tr w:rsidR="005106D0" w:rsidRPr="007224C3" w14:paraId="5FD2BA2D"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4DB0E343"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w:t>
            </w:r>
          </w:p>
        </w:tc>
        <w:tc>
          <w:tcPr>
            <w:tcW w:w="4252" w:type="dxa"/>
            <w:gridSpan w:val="3"/>
            <w:tcBorders>
              <w:top w:val="nil"/>
              <w:left w:val="nil"/>
              <w:bottom w:val="nil"/>
              <w:right w:val="single" w:sz="8" w:space="0" w:color="000000"/>
            </w:tcBorders>
            <w:tcMar>
              <w:top w:w="0" w:type="dxa"/>
              <w:left w:w="108" w:type="dxa"/>
              <w:bottom w:w="0" w:type="dxa"/>
              <w:right w:w="108" w:type="dxa"/>
            </w:tcMar>
            <w:vAlign w:val="center"/>
            <w:hideMark/>
          </w:tcPr>
          <w:p w14:paraId="160B5749"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Расположение радиаторов</w:t>
            </w:r>
          </w:p>
          <w:p w14:paraId="4C204C1B"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корпусе</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0E1497A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кормовой</w:t>
            </w:r>
          </w:p>
          <w:p w14:paraId="470BA8F4"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части кор-</w:t>
            </w:r>
          </w:p>
          <w:p w14:paraId="255D8211"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пуса.</w:t>
            </w:r>
          </w:p>
        </w:tc>
        <w:tc>
          <w:tcPr>
            <w:tcW w:w="2935" w:type="dxa"/>
            <w:tcBorders>
              <w:top w:val="nil"/>
              <w:left w:val="nil"/>
              <w:bottom w:val="nil"/>
              <w:right w:val="single" w:sz="8" w:space="0" w:color="000000"/>
            </w:tcBorders>
            <w:tcMar>
              <w:top w:w="0" w:type="dxa"/>
              <w:left w:w="108" w:type="dxa"/>
              <w:bottom w:w="0" w:type="dxa"/>
              <w:right w:w="108" w:type="dxa"/>
            </w:tcMar>
            <w:hideMark/>
          </w:tcPr>
          <w:p w14:paraId="0F538F75"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моторном</w:t>
            </w:r>
          </w:p>
          <w:p w14:paraId="13B347B6"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отделении</w:t>
            </w:r>
          </w:p>
        </w:tc>
      </w:tr>
      <w:tr w:rsidR="005106D0" w:rsidRPr="007224C3" w14:paraId="241DCF83"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323D3ED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w:t>
            </w:r>
          </w:p>
        </w:tc>
        <w:tc>
          <w:tcPr>
            <w:tcW w:w="4252" w:type="dxa"/>
            <w:gridSpan w:val="3"/>
            <w:tcBorders>
              <w:top w:val="nil"/>
              <w:left w:val="nil"/>
              <w:bottom w:val="nil"/>
              <w:right w:val="single" w:sz="8" w:space="0" w:color="000000"/>
            </w:tcBorders>
            <w:tcMar>
              <w:top w:w="0" w:type="dxa"/>
              <w:left w:w="108" w:type="dxa"/>
              <w:bottom w:w="0" w:type="dxa"/>
              <w:right w:w="108" w:type="dxa"/>
            </w:tcMar>
            <w:vAlign w:val="center"/>
            <w:hideMark/>
          </w:tcPr>
          <w:p w14:paraId="72A1A16A"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Поверхность охлаждения</w:t>
            </w:r>
          </w:p>
          <w:p w14:paraId="3DBA4663"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радиатора</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2E2B0694"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57 м²</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43A82199"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107,36 м²</w:t>
            </w:r>
          </w:p>
        </w:tc>
      </w:tr>
      <w:tr w:rsidR="005106D0" w:rsidRPr="007224C3" w14:paraId="670E96F5"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26AEA1C5"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w:t>
            </w:r>
          </w:p>
        </w:tc>
        <w:tc>
          <w:tcPr>
            <w:tcW w:w="4252" w:type="dxa"/>
            <w:gridSpan w:val="3"/>
            <w:tcBorders>
              <w:top w:val="nil"/>
              <w:left w:val="nil"/>
              <w:bottom w:val="nil"/>
              <w:right w:val="single" w:sz="8" w:space="0" w:color="000000"/>
            </w:tcBorders>
            <w:tcMar>
              <w:top w:w="0" w:type="dxa"/>
              <w:left w:w="108" w:type="dxa"/>
              <w:bottom w:w="0" w:type="dxa"/>
              <w:right w:w="108" w:type="dxa"/>
            </w:tcMar>
            <w:vAlign w:val="center"/>
            <w:hideMark/>
          </w:tcPr>
          <w:p w14:paraId="1480B97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Тип вентилятора</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2958CFB8"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Центробеж-</w:t>
            </w:r>
          </w:p>
          <w:p w14:paraId="4F25A17B"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ный</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71B0CB24"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Центробеж-</w:t>
            </w:r>
          </w:p>
          <w:p w14:paraId="266E0DA7"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ный</w:t>
            </w:r>
          </w:p>
        </w:tc>
      </w:tr>
      <w:tr w:rsidR="005106D0" w:rsidRPr="007224C3" w14:paraId="00287913"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35C2264C"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7443FDA9"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Расположение вентилятора</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6F67243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кормовой</w:t>
            </w:r>
          </w:p>
          <w:p w14:paraId="62E6556F"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части корпу-</w:t>
            </w:r>
          </w:p>
          <w:p w14:paraId="3968675B"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w:t>
            </w:r>
          </w:p>
        </w:tc>
        <w:tc>
          <w:tcPr>
            <w:tcW w:w="2935" w:type="dxa"/>
            <w:tcBorders>
              <w:top w:val="nil"/>
              <w:left w:val="nil"/>
              <w:bottom w:val="nil"/>
              <w:right w:val="single" w:sz="8" w:space="0" w:color="000000"/>
            </w:tcBorders>
            <w:tcMar>
              <w:top w:w="0" w:type="dxa"/>
              <w:left w:w="108" w:type="dxa"/>
              <w:bottom w:w="0" w:type="dxa"/>
              <w:right w:w="108" w:type="dxa"/>
            </w:tcMar>
            <w:hideMark/>
          </w:tcPr>
          <w:p w14:paraId="7551D457"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В моторном</w:t>
            </w:r>
          </w:p>
          <w:p w14:paraId="5F4BF5FB"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отделении.</w:t>
            </w:r>
          </w:p>
        </w:tc>
      </w:tr>
      <w:tr w:rsidR="005106D0" w:rsidRPr="007224C3" w14:paraId="4CF5F194"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2BB98E0B"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11.</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088B020F"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Тип привода вентилятора</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57DAB4F1"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Системой</w:t>
            </w:r>
          </w:p>
          <w:p w14:paraId="7C5C63E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шестерен и</w:t>
            </w:r>
          </w:p>
          <w:p w14:paraId="7F728E41"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карданным</w:t>
            </w:r>
          </w:p>
          <w:p w14:paraId="68C849EC"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валом, от</w:t>
            </w:r>
          </w:p>
          <w:p w14:paraId="66C8DBB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гитары с</w:t>
            </w:r>
          </w:p>
          <w:p w14:paraId="42A2EF46"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передаточ-</w:t>
            </w:r>
          </w:p>
          <w:p w14:paraId="7FC235C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ным числом</w:t>
            </w:r>
          </w:p>
          <w:p w14:paraId="589716D2"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 двигате-</w:t>
            </w:r>
          </w:p>
          <w:p w14:paraId="37536136"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ля =1,193.</w:t>
            </w:r>
          </w:p>
        </w:tc>
        <w:tc>
          <w:tcPr>
            <w:tcW w:w="2935" w:type="dxa"/>
            <w:tcBorders>
              <w:top w:val="nil"/>
              <w:left w:val="nil"/>
              <w:bottom w:val="nil"/>
              <w:right w:val="single" w:sz="8" w:space="0" w:color="000000"/>
            </w:tcBorders>
            <w:tcMar>
              <w:top w:w="0" w:type="dxa"/>
              <w:left w:w="108" w:type="dxa"/>
              <w:bottom w:w="0" w:type="dxa"/>
              <w:right w:w="108" w:type="dxa"/>
            </w:tcMar>
            <w:hideMark/>
          </w:tcPr>
          <w:p w14:paraId="14C5362D"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Вентилятор</w:t>
            </w:r>
          </w:p>
          <w:p w14:paraId="6CBC22DA"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установлен</w:t>
            </w:r>
          </w:p>
          <w:p w14:paraId="0892027B"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непосредст-</w:t>
            </w:r>
          </w:p>
          <w:p w14:paraId="6475D0C5"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венно на</w:t>
            </w:r>
          </w:p>
          <w:p w14:paraId="16D6F63A"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носке двига-</w:t>
            </w:r>
          </w:p>
          <w:p w14:paraId="4FB0CEAF"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теля.</w:t>
            </w:r>
          </w:p>
        </w:tc>
      </w:tr>
      <w:tr w:rsidR="005106D0" w:rsidRPr="007224C3" w14:paraId="3731C0C6" w14:textId="77777777" w:rsidTr="008053EA">
        <w:trPr>
          <w:trHeight w:val="736"/>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1241AB16"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w:t>
            </w:r>
          </w:p>
        </w:tc>
        <w:tc>
          <w:tcPr>
            <w:tcW w:w="10023" w:type="dxa"/>
            <w:gridSpan w:val="5"/>
            <w:tcBorders>
              <w:top w:val="nil"/>
              <w:left w:val="nil"/>
              <w:bottom w:val="nil"/>
              <w:right w:val="single" w:sz="8" w:space="0" w:color="000000"/>
            </w:tcBorders>
            <w:tcMar>
              <w:top w:w="0" w:type="dxa"/>
              <w:left w:w="108" w:type="dxa"/>
              <w:bottom w:w="0" w:type="dxa"/>
              <w:right w:w="108" w:type="dxa"/>
            </w:tcMar>
            <w:vAlign w:val="center"/>
            <w:hideMark/>
          </w:tcPr>
          <w:p w14:paraId="7C4D292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w:t>
            </w:r>
            <w:bookmarkStart w:id="49" w:name="OLE_LINK183"/>
            <w:bookmarkStart w:id="50" w:name="OLE_LINK182"/>
            <w:bookmarkEnd w:id="49"/>
            <w:bookmarkEnd w:id="50"/>
            <w:r w:rsidRPr="007224C3">
              <w:rPr>
                <w:rFonts w:ascii="Times New Roman" w:hAnsi="Times New Roman"/>
                <w:color w:val="000000" w:themeColor="text1"/>
                <w:sz w:val="16"/>
                <w:szCs w:val="16"/>
              </w:rPr>
              <w:t> </w:t>
            </w:r>
            <w:r w:rsidRPr="007224C3">
              <w:rPr>
                <w:rFonts w:ascii="Times New Roman" w:hAnsi="Times New Roman"/>
                <w:color w:val="000000" w:themeColor="text1"/>
                <w:sz w:val="16"/>
                <w:szCs w:val="16"/>
              </w:rPr>
              <w:t>ТОРМОЗЫ.</w:t>
            </w:r>
            <w:r w:rsidRPr="007224C3">
              <w:rPr>
                <w:rFonts w:ascii="Times New Roman" w:hAnsi="Times New Roman"/>
                <w:color w:val="000000" w:themeColor="text1"/>
                <w:sz w:val="16"/>
                <w:szCs w:val="16"/>
              </w:rPr>
              <w:t> </w:t>
            </w:r>
            <w:r w:rsidRPr="007224C3">
              <w:rPr>
                <w:rFonts w:ascii="Times New Roman" w:hAnsi="Times New Roman"/>
                <w:color w:val="000000" w:themeColor="text1"/>
                <w:sz w:val="16"/>
                <w:szCs w:val="16"/>
              </w:rPr>
              <w:t>И</w:t>
            </w:r>
            <w:r w:rsidRPr="007224C3">
              <w:rPr>
                <w:rFonts w:ascii="Times New Roman" w:hAnsi="Times New Roman"/>
                <w:color w:val="000000" w:themeColor="text1"/>
                <w:sz w:val="16"/>
                <w:szCs w:val="16"/>
              </w:rPr>
              <w:t> </w:t>
            </w:r>
            <w:r w:rsidRPr="007224C3">
              <w:rPr>
                <w:rFonts w:ascii="Times New Roman" w:hAnsi="Times New Roman"/>
                <w:color w:val="000000" w:themeColor="text1"/>
                <w:sz w:val="16"/>
                <w:szCs w:val="16"/>
              </w:rPr>
              <w:t>ФРИКЦИОНЫ</w:t>
            </w:r>
            <w:r w:rsidRPr="007224C3">
              <w:rPr>
                <w:rFonts w:ascii="Times New Roman" w:hAnsi="Times New Roman"/>
                <w:color w:val="000000" w:themeColor="text1"/>
                <w:sz w:val="16"/>
                <w:szCs w:val="16"/>
              </w:rPr>
              <w:t> </w:t>
            </w:r>
            <w:r w:rsidRPr="007224C3">
              <w:rPr>
                <w:rFonts w:ascii="Times New Roman" w:hAnsi="Times New Roman"/>
                <w:color w:val="000000" w:themeColor="text1"/>
                <w:sz w:val="16"/>
                <w:szCs w:val="16"/>
              </w:rPr>
              <w:t>БОРТОВЫЕ</w:t>
            </w:r>
          </w:p>
        </w:tc>
      </w:tr>
      <w:tr w:rsidR="005106D0" w:rsidRPr="007224C3" w14:paraId="697C66BB"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0ABD3789"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180840D0"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Расположение</w:t>
            </w:r>
          </w:p>
        </w:tc>
        <w:tc>
          <w:tcPr>
            <w:tcW w:w="2836" w:type="dxa"/>
            <w:tcBorders>
              <w:top w:val="nil"/>
              <w:left w:val="nil"/>
              <w:bottom w:val="nil"/>
              <w:right w:val="single" w:sz="8" w:space="0" w:color="000000"/>
            </w:tcBorders>
            <w:tcMar>
              <w:top w:w="0" w:type="dxa"/>
              <w:left w:w="108" w:type="dxa"/>
              <w:bottom w:w="0" w:type="dxa"/>
              <w:right w:w="108" w:type="dxa"/>
            </w:tcMar>
            <w:hideMark/>
          </w:tcPr>
          <w:p w14:paraId="0FAB2E54"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хвостовике</w:t>
            </w:r>
          </w:p>
          <w:p w14:paraId="351CF9EC"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ведущей шес-</w:t>
            </w:r>
          </w:p>
          <w:p w14:paraId="33ACAF6C"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терни борто-</w:t>
            </w:r>
          </w:p>
          <w:p w14:paraId="02D2902A"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 передачи.</w:t>
            </w:r>
          </w:p>
        </w:tc>
        <w:tc>
          <w:tcPr>
            <w:tcW w:w="2935" w:type="dxa"/>
            <w:tcBorders>
              <w:top w:val="nil"/>
              <w:left w:val="nil"/>
              <w:bottom w:val="nil"/>
              <w:right w:val="single" w:sz="8" w:space="0" w:color="000000"/>
            </w:tcBorders>
            <w:tcMar>
              <w:top w:w="0" w:type="dxa"/>
              <w:left w:w="108" w:type="dxa"/>
              <w:bottom w:w="0" w:type="dxa"/>
              <w:right w:w="108" w:type="dxa"/>
            </w:tcMar>
            <w:hideMark/>
          </w:tcPr>
          <w:p w14:paraId="62F14B23"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главном</w:t>
            </w:r>
          </w:p>
          <w:p w14:paraId="5DDC5A2D"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валу КПП.</w:t>
            </w:r>
          </w:p>
        </w:tc>
      </w:tr>
      <w:tr w:rsidR="005106D0" w:rsidRPr="007224C3" w14:paraId="5A5E4EEA"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647E13D6"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53CBD4E7"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Тип</w:t>
            </w:r>
          </w:p>
        </w:tc>
        <w:tc>
          <w:tcPr>
            <w:tcW w:w="2836" w:type="dxa"/>
            <w:tcBorders>
              <w:top w:val="nil"/>
              <w:left w:val="nil"/>
              <w:bottom w:val="nil"/>
              <w:right w:val="single" w:sz="8" w:space="0" w:color="000000"/>
            </w:tcBorders>
            <w:tcMar>
              <w:top w:w="0" w:type="dxa"/>
              <w:left w:w="108" w:type="dxa"/>
              <w:bottom w:w="0" w:type="dxa"/>
              <w:right w:w="108" w:type="dxa"/>
            </w:tcMar>
            <w:hideMark/>
          </w:tcPr>
          <w:p w14:paraId="4DB38BCB"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Многодисковый</w:t>
            </w:r>
          </w:p>
          <w:p w14:paraId="7C06B778"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сухой</w:t>
            </w:r>
          </w:p>
        </w:tc>
        <w:tc>
          <w:tcPr>
            <w:tcW w:w="2935" w:type="dxa"/>
            <w:tcBorders>
              <w:top w:val="nil"/>
              <w:left w:val="nil"/>
              <w:bottom w:val="nil"/>
              <w:right w:val="single" w:sz="8" w:space="0" w:color="000000"/>
            </w:tcBorders>
            <w:tcMar>
              <w:top w:w="0" w:type="dxa"/>
              <w:left w:w="108" w:type="dxa"/>
              <w:bottom w:w="0" w:type="dxa"/>
              <w:right w:w="108" w:type="dxa"/>
            </w:tcMar>
            <w:hideMark/>
          </w:tcPr>
          <w:p w14:paraId="28B976CC"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Многодиско-</w:t>
            </w:r>
          </w:p>
          <w:p w14:paraId="6E0F41DB"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вый сухой.</w:t>
            </w:r>
          </w:p>
        </w:tc>
      </w:tr>
      <w:tr w:rsidR="005106D0" w:rsidRPr="007224C3" w14:paraId="6AC56B00"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6F06579F"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615C6F30"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Материал трущихся</w:t>
            </w:r>
          </w:p>
          <w:p w14:paraId="32226B2A"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поверхностей</w:t>
            </w:r>
          </w:p>
        </w:tc>
        <w:tc>
          <w:tcPr>
            <w:tcW w:w="2836" w:type="dxa"/>
            <w:tcBorders>
              <w:top w:val="nil"/>
              <w:left w:val="nil"/>
              <w:bottom w:val="nil"/>
              <w:right w:val="single" w:sz="8" w:space="0" w:color="000000"/>
            </w:tcBorders>
            <w:tcMar>
              <w:top w:w="0" w:type="dxa"/>
              <w:left w:w="108" w:type="dxa"/>
              <w:bottom w:w="0" w:type="dxa"/>
              <w:right w:w="108" w:type="dxa"/>
            </w:tcMar>
            <w:hideMark/>
          </w:tcPr>
          <w:p w14:paraId="6D760538"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Сталь по стали</w:t>
            </w:r>
          </w:p>
        </w:tc>
        <w:tc>
          <w:tcPr>
            <w:tcW w:w="2935" w:type="dxa"/>
            <w:tcBorders>
              <w:top w:val="nil"/>
              <w:left w:val="nil"/>
              <w:bottom w:val="nil"/>
              <w:right w:val="single" w:sz="8" w:space="0" w:color="000000"/>
            </w:tcBorders>
            <w:tcMar>
              <w:top w:w="0" w:type="dxa"/>
              <w:left w:w="108" w:type="dxa"/>
              <w:bottom w:w="0" w:type="dxa"/>
              <w:right w:w="108" w:type="dxa"/>
            </w:tcMar>
            <w:hideMark/>
          </w:tcPr>
          <w:p w14:paraId="63B322D0"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Сталь по</w:t>
            </w:r>
          </w:p>
          <w:p w14:paraId="6A4B6DEF"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стали.</w:t>
            </w:r>
          </w:p>
        </w:tc>
      </w:tr>
      <w:tr w:rsidR="005106D0" w:rsidRPr="007224C3" w14:paraId="22D4095F"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32A6BE89"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41E85806"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Количество ведущих</w:t>
            </w:r>
          </w:p>
          <w:p w14:paraId="0985B83F"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дисков</w:t>
            </w:r>
          </w:p>
        </w:tc>
        <w:tc>
          <w:tcPr>
            <w:tcW w:w="2836" w:type="dxa"/>
            <w:tcBorders>
              <w:top w:val="nil"/>
              <w:left w:val="nil"/>
              <w:bottom w:val="nil"/>
              <w:right w:val="single" w:sz="8" w:space="0" w:color="000000"/>
            </w:tcBorders>
            <w:tcMar>
              <w:top w:w="0" w:type="dxa"/>
              <w:left w:w="108" w:type="dxa"/>
              <w:bottom w:w="0" w:type="dxa"/>
              <w:right w:w="108" w:type="dxa"/>
            </w:tcMar>
            <w:hideMark/>
          </w:tcPr>
          <w:p w14:paraId="69FA0919" w14:textId="77777777" w:rsidR="00811C95" w:rsidRPr="007224C3" w:rsidRDefault="00811C95" w:rsidP="007224C3">
            <w:pPr>
              <w:spacing w:after="0" w:line="240" w:lineRule="auto"/>
              <w:jc w:val="both"/>
              <w:rPr>
                <w:rFonts w:ascii="Times New Roman" w:hAnsi="Times New Roman"/>
                <w:color w:val="000000" w:themeColor="text1"/>
                <w:sz w:val="16"/>
                <w:szCs w:val="16"/>
              </w:rPr>
            </w:pPr>
            <w:bookmarkStart w:id="51" w:name="OLE_LINK185"/>
            <w:bookmarkStart w:id="52" w:name="OLE_LINK184"/>
            <w:bookmarkEnd w:id="51"/>
            <w:bookmarkEnd w:id="52"/>
            <w:r w:rsidRPr="007224C3">
              <w:rPr>
                <w:rFonts w:ascii="Times New Roman" w:hAnsi="Times New Roman"/>
                <w:color w:val="000000" w:themeColor="text1"/>
                <w:sz w:val="16"/>
                <w:szCs w:val="16"/>
              </w:rPr>
              <w:t>14÷17 шт</w:t>
            </w:r>
          </w:p>
          <w:p w14:paraId="383BF779"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зависимости</w:t>
            </w:r>
          </w:p>
          <w:p w14:paraId="6F91AC4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 толщины.</w:t>
            </w:r>
          </w:p>
        </w:tc>
        <w:tc>
          <w:tcPr>
            <w:tcW w:w="2935" w:type="dxa"/>
            <w:tcBorders>
              <w:top w:val="nil"/>
              <w:left w:val="nil"/>
              <w:bottom w:val="nil"/>
              <w:right w:val="single" w:sz="8" w:space="0" w:color="000000"/>
            </w:tcBorders>
            <w:tcMar>
              <w:top w:w="0" w:type="dxa"/>
              <w:left w:w="108" w:type="dxa"/>
              <w:bottom w:w="0" w:type="dxa"/>
              <w:right w:w="108" w:type="dxa"/>
            </w:tcMar>
            <w:hideMark/>
          </w:tcPr>
          <w:p w14:paraId="428C13E3" w14:textId="77777777" w:rsidR="00811C95" w:rsidRPr="007224C3" w:rsidRDefault="00811C95" w:rsidP="007224C3">
            <w:pPr>
              <w:spacing w:after="0" w:line="240" w:lineRule="auto"/>
              <w:jc w:val="both"/>
              <w:rPr>
                <w:rFonts w:ascii="Times New Roman" w:hAnsi="Times New Roman"/>
                <w:color w:val="000000" w:themeColor="text1"/>
                <w:sz w:val="16"/>
                <w:szCs w:val="16"/>
              </w:rPr>
            </w:pPr>
            <w:bookmarkStart w:id="53" w:name="OLE_LINK187"/>
            <w:bookmarkStart w:id="54" w:name="OLE_LINK186"/>
            <w:bookmarkEnd w:id="53"/>
            <w:bookmarkEnd w:id="54"/>
            <w:r w:rsidRPr="007224C3">
              <w:rPr>
                <w:rFonts w:ascii="Times New Roman" w:hAnsi="Times New Roman"/>
                <w:color w:val="000000" w:themeColor="text1"/>
                <w:sz w:val="16"/>
                <w:szCs w:val="16"/>
              </w:rPr>
              <w:t>17÷21 шт</w:t>
            </w:r>
          </w:p>
          <w:p w14:paraId="12E3C681"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зависимос-</w:t>
            </w:r>
          </w:p>
          <w:p w14:paraId="474310F0"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ти от толщи-</w:t>
            </w:r>
          </w:p>
          <w:p w14:paraId="72EDAB5D"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ны.</w:t>
            </w:r>
          </w:p>
        </w:tc>
      </w:tr>
      <w:tr w:rsidR="005106D0" w:rsidRPr="007224C3" w14:paraId="095141FF"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3B783B48"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0E8714B9"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Количество ведомых</w:t>
            </w:r>
          </w:p>
          <w:p w14:paraId="6F32AF55"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дисков</w:t>
            </w:r>
          </w:p>
        </w:tc>
        <w:tc>
          <w:tcPr>
            <w:tcW w:w="2836" w:type="dxa"/>
            <w:tcBorders>
              <w:top w:val="nil"/>
              <w:left w:val="nil"/>
              <w:bottom w:val="nil"/>
              <w:right w:val="single" w:sz="8" w:space="0" w:color="000000"/>
            </w:tcBorders>
            <w:tcMar>
              <w:top w:w="0" w:type="dxa"/>
              <w:left w:w="108" w:type="dxa"/>
              <w:bottom w:w="0" w:type="dxa"/>
              <w:right w:w="108" w:type="dxa"/>
            </w:tcMar>
            <w:hideMark/>
          </w:tcPr>
          <w:p w14:paraId="067D3D94"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w:t>
            </w:r>
            <w:bookmarkStart w:id="55" w:name="OLE_LINK188"/>
            <w:r w:rsidRPr="007224C3">
              <w:rPr>
                <w:rFonts w:ascii="Times New Roman" w:hAnsi="Times New Roman"/>
                <w:color w:val="000000" w:themeColor="text1"/>
                <w:sz w:val="16"/>
                <w:szCs w:val="16"/>
              </w:rPr>
              <w:t>÷</w:t>
            </w:r>
            <w:bookmarkEnd w:id="55"/>
            <w:r w:rsidRPr="007224C3">
              <w:rPr>
                <w:rFonts w:ascii="Times New Roman" w:hAnsi="Times New Roman"/>
                <w:color w:val="000000" w:themeColor="text1"/>
                <w:sz w:val="16"/>
                <w:szCs w:val="16"/>
              </w:rPr>
              <w:t>16 шт</w:t>
            </w:r>
          </w:p>
          <w:p w14:paraId="0DB0073F"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зависимости</w:t>
            </w:r>
          </w:p>
          <w:p w14:paraId="3512C35F"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 толщины.</w:t>
            </w:r>
          </w:p>
        </w:tc>
        <w:tc>
          <w:tcPr>
            <w:tcW w:w="2935" w:type="dxa"/>
            <w:tcBorders>
              <w:top w:val="nil"/>
              <w:left w:val="nil"/>
              <w:bottom w:val="nil"/>
              <w:right w:val="single" w:sz="8" w:space="0" w:color="000000"/>
            </w:tcBorders>
            <w:tcMar>
              <w:top w:w="0" w:type="dxa"/>
              <w:left w:w="108" w:type="dxa"/>
              <w:bottom w:w="0" w:type="dxa"/>
              <w:right w:w="108" w:type="dxa"/>
            </w:tcMar>
            <w:hideMark/>
          </w:tcPr>
          <w:p w14:paraId="2BDDD1E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18÷22 шт.</w:t>
            </w:r>
          </w:p>
          <w:p w14:paraId="77CB56B3"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зависимос-</w:t>
            </w:r>
          </w:p>
          <w:p w14:paraId="4EC9F68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ти от толщи-</w:t>
            </w:r>
          </w:p>
          <w:p w14:paraId="35048439"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ны.</w:t>
            </w:r>
          </w:p>
        </w:tc>
      </w:tr>
      <w:tr w:rsidR="005106D0" w:rsidRPr="007224C3" w14:paraId="559D13C6"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0D5D8B76" w14:textId="77777777" w:rsidR="00811C95" w:rsidRPr="007224C3" w:rsidRDefault="00811C95" w:rsidP="007224C3">
            <w:pPr>
              <w:spacing w:after="0" w:line="240" w:lineRule="auto"/>
              <w:jc w:val="both"/>
              <w:rPr>
                <w:rFonts w:ascii="Times New Roman" w:hAnsi="Times New Roman"/>
                <w:color w:val="000000" w:themeColor="text1"/>
                <w:sz w:val="16"/>
                <w:szCs w:val="16"/>
              </w:rPr>
            </w:pPr>
            <w:bookmarkStart w:id="56" w:name="_Hlk86396"/>
            <w:r w:rsidRPr="007224C3">
              <w:rPr>
                <w:rFonts w:ascii="Times New Roman" w:hAnsi="Times New Roman"/>
                <w:color w:val="000000" w:themeColor="text1"/>
                <w:sz w:val="16"/>
                <w:szCs w:val="16"/>
              </w:rPr>
              <w:t>6.</w:t>
            </w:r>
            <w:bookmarkEnd w:id="56"/>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58BBEDB4"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Толщина диска</w:t>
            </w:r>
          </w:p>
        </w:tc>
        <w:tc>
          <w:tcPr>
            <w:tcW w:w="2836" w:type="dxa"/>
            <w:tcBorders>
              <w:top w:val="nil"/>
              <w:left w:val="nil"/>
              <w:bottom w:val="nil"/>
              <w:right w:val="single" w:sz="8" w:space="0" w:color="000000"/>
            </w:tcBorders>
            <w:tcMar>
              <w:top w:w="0" w:type="dxa"/>
              <w:left w:w="108" w:type="dxa"/>
              <w:bottom w:w="0" w:type="dxa"/>
              <w:right w:w="108" w:type="dxa"/>
            </w:tcMar>
            <w:hideMark/>
          </w:tcPr>
          <w:p w14:paraId="3C9B094D"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3,2 ÷ 4,0 мм</w:t>
            </w:r>
          </w:p>
        </w:tc>
        <w:tc>
          <w:tcPr>
            <w:tcW w:w="2935" w:type="dxa"/>
            <w:tcBorders>
              <w:top w:val="nil"/>
              <w:left w:val="nil"/>
              <w:bottom w:val="nil"/>
              <w:right w:val="single" w:sz="8" w:space="0" w:color="000000"/>
            </w:tcBorders>
            <w:tcMar>
              <w:top w:w="0" w:type="dxa"/>
              <w:left w:w="108" w:type="dxa"/>
              <w:bottom w:w="0" w:type="dxa"/>
              <w:right w:w="108" w:type="dxa"/>
            </w:tcMar>
            <w:hideMark/>
          </w:tcPr>
          <w:p w14:paraId="22C0B2E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3,2 ÷ 4,0 мм</w:t>
            </w:r>
          </w:p>
        </w:tc>
      </w:tr>
      <w:tr w:rsidR="005106D0" w:rsidRPr="007224C3" w14:paraId="75CDD968"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060C7F6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2881530A"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Количество пружин</w:t>
            </w:r>
          </w:p>
        </w:tc>
        <w:tc>
          <w:tcPr>
            <w:tcW w:w="2836" w:type="dxa"/>
            <w:tcBorders>
              <w:top w:val="nil"/>
              <w:left w:val="nil"/>
              <w:bottom w:val="nil"/>
              <w:right w:val="single" w:sz="8" w:space="0" w:color="000000"/>
            </w:tcBorders>
            <w:tcMar>
              <w:top w:w="0" w:type="dxa"/>
              <w:left w:w="108" w:type="dxa"/>
              <w:bottom w:w="0" w:type="dxa"/>
              <w:right w:w="108" w:type="dxa"/>
            </w:tcMar>
            <w:hideMark/>
          </w:tcPr>
          <w:p w14:paraId="045B6354"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шт.</w:t>
            </w:r>
          </w:p>
        </w:tc>
        <w:tc>
          <w:tcPr>
            <w:tcW w:w="2935" w:type="dxa"/>
            <w:tcBorders>
              <w:top w:val="nil"/>
              <w:left w:val="nil"/>
              <w:bottom w:val="nil"/>
              <w:right w:val="single" w:sz="8" w:space="0" w:color="000000"/>
            </w:tcBorders>
            <w:tcMar>
              <w:top w:w="0" w:type="dxa"/>
              <w:left w:w="108" w:type="dxa"/>
              <w:bottom w:w="0" w:type="dxa"/>
              <w:right w:w="108" w:type="dxa"/>
            </w:tcMar>
            <w:hideMark/>
          </w:tcPr>
          <w:p w14:paraId="40FE45F0"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шт.</w:t>
            </w:r>
          </w:p>
        </w:tc>
      </w:tr>
      <w:tr w:rsidR="005106D0" w:rsidRPr="007224C3" w14:paraId="46104D19"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751A6716"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10F19E06"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Тип выключения</w:t>
            </w:r>
          </w:p>
        </w:tc>
        <w:tc>
          <w:tcPr>
            <w:tcW w:w="2836" w:type="dxa"/>
            <w:tcBorders>
              <w:top w:val="nil"/>
              <w:left w:val="nil"/>
              <w:bottom w:val="nil"/>
              <w:right w:val="single" w:sz="8" w:space="0" w:color="000000"/>
            </w:tcBorders>
            <w:tcMar>
              <w:top w:w="0" w:type="dxa"/>
              <w:left w:w="108" w:type="dxa"/>
              <w:bottom w:w="0" w:type="dxa"/>
              <w:right w:w="108" w:type="dxa"/>
            </w:tcMar>
            <w:hideMark/>
          </w:tcPr>
          <w:p w14:paraId="2047F65E" w14:textId="77777777" w:rsidR="00811C95" w:rsidRPr="007224C3" w:rsidRDefault="00811C95" w:rsidP="007224C3">
            <w:pPr>
              <w:spacing w:after="0" w:line="240" w:lineRule="auto"/>
              <w:jc w:val="both"/>
              <w:rPr>
                <w:rFonts w:ascii="Times New Roman" w:hAnsi="Times New Roman"/>
                <w:color w:val="000000" w:themeColor="text1"/>
                <w:sz w:val="16"/>
                <w:szCs w:val="16"/>
              </w:rPr>
            </w:pPr>
            <w:bookmarkStart w:id="57" w:name="OLE_LINK192"/>
            <w:bookmarkStart w:id="58" w:name="OLE_LINK191"/>
            <w:bookmarkEnd w:id="57"/>
            <w:bookmarkEnd w:id="58"/>
            <w:r w:rsidRPr="007224C3">
              <w:rPr>
                <w:rFonts w:ascii="Times New Roman" w:hAnsi="Times New Roman"/>
                <w:color w:val="000000" w:themeColor="text1"/>
                <w:sz w:val="16"/>
                <w:szCs w:val="16"/>
              </w:rPr>
              <w:t>Шариковый, хра-</w:t>
            </w:r>
          </w:p>
          <w:p w14:paraId="03C331B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повиковый, замк-</w:t>
            </w:r>
          </w:p>
          <w:p w14:paraId="72580556"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нутый.</w:t>
            </w:r>
          </w:p>
        </w:tc>
        <w:tc>
          <w:tcPr>
            <w:tcW w:w="2935" w:type="dxa"/>
            <w:tcBorders>
              <w:top w:val="nil"/>
              <w:left w:val="nil"/>
              <w:bottom w:val="nil"/>
              <w:right w:val="single" w:sz="8" w:space="0" w:color="000000"/>
            </w:tcBorders>
            <w:tcMar>
              <w:top w:w="0" w:type="dxa"/>
              <w:left w:w="108" w:type="dxa"/>
              <w:bottom w:w="0" w:type="dxa"/>
              <w:right w:w="108" w:type="dxa"/>
            </w:tcMar>
            <w:hideMark/>
          </w:tcPr>
          <w:p w14:paraId="35D1A0BD"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Шариковый, храповиковый, замкнутый.</w:t>
            </w:r>
          </w:p>
        </w:tc>
      </w:tr>
      <w:tr w:rsidR="005106D0" w:rsidRPr="007224C3" w14:paraId="5C04D22F"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7A6A9B22"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66CE6C7F"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Коэфициент запаса</w:t>
            </w:r>
          </w:p>
          <w:p w14:paraId="18253BCD"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фрикциона</w:t>
            </w:r>
          </w:p>
        </w:tc>
        <w:tc>
          <w:tcPr>
            <w:tcW w:w="2836" w:type="dxa"/>
            <w:tcBorders>
              <w:top w:val="nil"/>
              <w:left w:val="nil"/>
              <w:bottom w:val="nil"/>
              <w:right w:val="single" w:sz="8" w:space="0" w:color="000000"/>
            </w:tcBorders>
            <w:tcMar>
              <w:top w:w="0" w:type="dxa"/>
              <w:left w:w="108" w:type="dxa"/>
              <w:bottom w:w="0" w:type="dxa"/>
              <w:right w:w="108" w:type="dxa"/>
            </w:tcMar>
            <w:hideMark/>
          </w:tcPr>
          <w:p w14:paraId="6773DE05"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0,83</w:t>
            </w:r>
          </w:p>
        </w:tc>
        <w:tc>
          <w:tcPr>
            <w:tcW w:w="2935" w:type="dxa"/>
            <w:tcBorders>
              <w:top w:val="nil"/>
              <w:left w:val="nil"/>
              <w:bottom w:val="nil"/>
              <w:right w:val="single" w:sz="8" w:space="0" w:color="000000"/>
            </w:tcBorders>
            <w:tcMar>
              <w:top w:w="0" w:type="dxa"/>
              <w:left w:w="108" w:type="dxa"/>
              <w:bottom w:w="0" w:type="dxa"/>
              <w:right w:w="108" w:type="dxa"/>
            </w:tcMar>
            <w:hideMark/>
          </w:tcPr>
          <w:p w14:paraId="631948A5"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0,80</w:t>
            </w:r>
          </w:p>
        </w:tc>
      </w:tr>
      <w:tr w:rsidR="005106D0" w:rsidRPr="007224C3" w14:paraId="31004CF7"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400032A9"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62A45236"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Удельное давление на</w:t>
            </w:r>
          </w:p>
          <w:p w14:paraId="54F2D322"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диски трения в кг/см²</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029AA050"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3,00</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0104D231"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3,17</w:t>
            </w:r>
          </w:p>
        </w:tc>
      </w:tr>
      <w:tr w:rsidR="005106D0" w:rsidRPr="007224C3" w14:paraId="2D9372D1"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73955BD0" w14:textId="77777777" w:rsidR="00811C95" w:rsidRPr="007224C3" w:rsidRDefault="00811C95" w:rsidP="007224C3">
            <w:pPr>
              <w:spacing w:after="0" w:line="240" w:lineRule="auto"/>
              <w:jc w:val="both"/>
              <w:rPr>
                <w:rFonts w:ascii="Times New Roman" w:hAnsi="Times New Roman"/>
                <w:color w:val="000000" w:themeColor="text1"/>
                <w:sz w:val="16"/>
                <w:szCs w:val="16"/>
              </w:rPr>
            </w:pPr>
            <w:bookmarkStart w:id="59" w:name="_Hlk86527"/>
            <w:r w:rsidRPr="007224C3">
              <w:rPr>
                <w:rFonts w:ascii="Times New Roman" w:hAnsi="Times New Roman"/>
                <w:color w:val="000000" w:themeColor="text1"/>
                <w:sz w:val="16"/>
                <w:szCs w:val="16"/>
              </w:rPr>
              <w:t>11.</w:t>
            </w:r>
            <w:bookmarkEnd w:id="59"/>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43F0418C"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Тип тормозов</w:t>
            </w:r>
          </w:p>
        </w:tc>
        <w:tc>
          <w:tcPr>
            <w:tcW w:w="2836" w:type="dxa"/>
            <w:tcBorders>
              <w:top w:val="nil"/>
              <w:left w:val="nil"/>
              <w:bottom w:val="nil"/>
              <w:right w:val="single" w:sz="8" w:space="0" w:color="000000"/>
            </w:tcBorders>
            <w:tcMar>
              <w:top w:w="0" w:type="dxa"/>
              <w:left w:w="108" w:type="dxa"/>
              <w:bottom w:w="0" w:type="dxa"/>
              <w:right w:w="108" w:type="dxa"/>
            </w:tcMar>
            <w:hideMark/>
          </w:tcPr>
          <w:p w14:paraId="730F6735"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Плавающие -</w:t>
            </w:r>
          </w:p>
          <w:p w14:paraId="30F743C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ленточные с</w:t>
            </w:r>
          </w:p>
          <w:p w14:paraId="18F110E0"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чугунными</w:t>
            </w:r>
          </w:p>
          <w:p w14:paraId="73212F73"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колодками.</w:t>
            </w:r>
          </w:p>
        </w:tc>
        <w:tc>
          <w:tcPr>
            <w:tcW w:w="2935" w:type="dxa"/>
            <w:tcBorders>
              <w:top w:val="nil"/>
              <w:left w:val="nil"/>
              <w:bottom w:val="nil"/>
              <w:right w:val="single" w:sz="8" w:space="0" w:color="000000"/>
            </w:tcBorders>
            <w:tcMar>
              <w:top w:w="0" w:type="dxa"/>
              <w:left w:w="108" w:type="dxa"/>
              <w:bottom w:w="0" w:type="dxa"/>
              <w:right w:w="108" w:type="dxa"/>
            </w:tcMar>
            <w:hideMark/>
          </w:tcPr>
          <w:p w14:paraId="5B2632F5"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Плавающие -</w:t>
            </w:r>
          </w:p>
          <w:p w14:paraId="637DB54C"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ленточные с</w:t>
            </w:r>
          </w:p>
          <w:p w14:paraId="68A10BB5"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чугунными</w:t>
            </w:r>
          </w:p>
          <w:p w14:paraId="054B1C90"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колодками.</w:t>
            </w:r>
          </w:p>
        </w:tc>
      </w:tr>
      <w:tr w:rsidR="005106D0" w:rsidRPr="007224C3" w14:paraId="175C6C5F"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0CA87FBD"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373937E6"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Поверхность действия</w:t>
            </w:r>
          </w:p>
          <w:p w14:paraId="29223BE9"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тормозных лент</w:t>
            </w:r>
          </w:p>
        </w:tc>
        <w:tc>
          <w:tcPr>
            <w:tcW w:w="2836" w:type="dxa"/>
            <w:tcBorders>
              <w:top w:val="nil"/>
              <w:left w:val="nil"/>
              <w:bottom w:val="nil"/>
              <w:right w:val="single" w:sz="8" w:space="0" w:color="000000"/>
            </w:tcBorders>
            <w:tcMar>
              <w:top w:w="0" w:type="dxa"/>
              <w:left w:w="108" w:type="dxa"/>
              <w:bottom w:w="0" w:type="dxa"/>
              <w:right w:w="108" w:type="dxa"/>
            </w:tcMar>
            <w:hideMark/>
          </w:tcPr>
          <w:p w14:paraId="21612CD1"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Наружные бара-</w:t>
            </w:r>
          </w:p>
          <w:p w14:paraId="2801193B"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баны бортовых</w:t>
            </w:r>
          </w:p>
          <w:p w14:paraId="4D31B4F7"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фикционов</w:t>
            </w:r>
          </w:p>
        </w:tc>
        <w:tc>
          <w:tcPr>
            <w:tcW w:w="2935" w:type="dxa"/>
            <w:tcBorders>
              <w:top w:val="nil"/>
              <w:left w:val="nil"/>
              <w:bottom w:val="nil"/>
              <w:right w:val="single" w:sz="8" w:space="0" w:color="000000"/>
            </w:tcBorders>
            <w:tcMar>
              <w:top w:w="0" w:type="dxa"/>
              <w:left w:w="108" w:type="dxa"/>
              <w:bottom w:w="0" w:type="dxa"/>
              <w:right w:w="108" w:type="dxa"/>
            </w:tcMar>
            <w:hideMark/>
          </w:tcPr>
          <w:p w14:paraId="06F83AFB"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Наружные ба-</w:t>
            </w:r>
          </w:p>
          <w:p w14:paraId="7BFB5B17"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рабаны бор-</w:t>
            </w:r>
          </w:p>
          <w:p w14:paraId="74E26C20"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товых фикцио-</w:t>
            </w:r>
          </w:p>
          <w:p w14:paraId="2D5B01AF"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нов</w:t>
            </w:r>
          </w:p>
        </w:tc>
      </w:tr>
      <w:tr w:rsidR="005106D0" w:rsidRPr="007224C3" w14:paraId="77E47A20"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4FB62B2A"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1AA2BC02"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Диаметр тормозного</w:t>
            </w:r>
          </w:p>
          <w:p w14:paraId="701352B8"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барабана</w:t>
            </w:r>
          </w:p>
        </w:tc>
        <w:tc>
          <w:tcPr>
            <w:tcW w:w="2836" w:type="dxa"/>
            <w:tcBorders>
              <w:top w:val="nil"/>
              <w:left w:val="nil"/>
              <w:bottom w:val="nil"/>
              <w:right w:val="single" w:sz="8" w:space="0" w:color="000000"/>
            </w:tcBorders>
            <w:tcMar>
              <w:top w:w="0" w:type="dxa"/>
              <w:left w:w="108" w:type="dxa"/>
              <w:bottom w:w="0" w:type="dxa"/>
              <w:right w:w="108" w:type="dxa"/>
            </w:tcMar>
            <w:hideMark/>
          </w:tcPr>
          <w:p w14:paraId="30594D50"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500 мм</w:t>
            </w:r>
          </w:p>
        </w:tc>
        <w:tc>
          <w:tcPr>
            <w:tcW w:w="2935" w:type="dxa"/>
            <w:tcBorders>
              <w:top w:val="nil"/>
              <w:left w:val="nil"/>
              <w:bottom w:val="nil"/>
              <w:right w:val="single" w:sz="8" w:space="0" w:color="000000"/>
            </w:tcBorders>
            <w:tcMar>
              <w:top w:w="0" w:type="dxa"/>
              <w:left w:w="108" w:type="dxa"/>
              <w:bottom w:w="0" w:type="dxa"/>
              <w:right w:w="108" w:type="dxa"/>
            </w:tcMar>
            <w:hideMark/>
          </w:tcPr>
          <w:p w14:paraId="6CF7C243"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500 мм</w:t>
            </w:r>
          </w:p>
        </w:tc>
      </w:tr>
      <w:tr w:rsidR="005106D0" w:rsidRPr="007224C3" w14:paraId="4280B9E5"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132E0C26"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6894BE48"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Ширина ленты</w:t>
            </w:r>
          </w:p>
        </w:tc>
        <w:tc>
          <w:tcPr>
            <w:tcW w:w="2836" w:type="dxa"/>
            <w:tcBorders>
              <w:top w:val="nil"/>
              <w:left w:val="nil"/>
              <w:bottom w:val="nil"/>
              <w:right w:val="single" w:sz="8" w:space="0" w:color="000000"/>
            </w:tcBorders>
            <w:tcMar>
              <w:top w:w="0" w:type="dxa"/>
              <w:left w:w="108" w:type="dxa"/>
              <w:bottom w:w="0" w:type="dxa"/>
              <w:right w:w="108" w:type="dxa"/>
            </w:tcMar>
            <w:hideMark/>
          </w:tcPr>
          <w:p w14:paraId="2D54BE01"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200 мм</w:t>
            </w:r>
          </w:p>
        </w:tc>
        <w:tc>
          <w:tcPr>
            <w:tcW w:w="2935" w:type="dxa"/>
            <w:tcBorders>
              <w:top w:val="nil"/>
              <w:left w:val="nil"/>
              <w:bottom w:val="nil"/>
              <w:right w:val="single" w:sz="8" w:space="0" w:color="000000"/>
            </w:tcBorders>
            <w:tcMar>
              <w:top w:w="0" w:type="dxa"/>
              <w:left w:w="108" w:type="dxa"/>
              <w:bottom w:w="0" w:type="dxa"/>
              <w:right w:w="108" w:type="dxa"/>
            </w:tcMar>
            <w:hideMark/>
          </w:tcPr>
          <w:p w14:paraId="2709EAC8"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200 мм</w:t>
            </w:r>
          </w:p>
        </w:tc>
      </w:tr>
      <w:tr w:rsidR="005106D0" w:rsidRPr="007224C3" w14:paraId="43F95067" w14:textId="77777777" w:rsidTr="008053EA">
        <w:trPr>
          <w:trHeight w:val="736"/>
          <w:jc w:val="center"/>
        </w:trPr>
        <w:tc>
          <w:tcPr>
            <w:tcW w:w="10976" w:type="dxa"/>
            <w:gridSpan w:val="6"/>
            <w:tcBorders>
              <w:top w:val="nil"/>
              <w:left w:val="single" w:sz="8" w:space="0" w:color="000000"/>
              <w:bottom w:val="nil"/>
              <w:right w:val="single" w:sz="8" w:space="0" w:color="000000"/>
            </w:tcBorders>
            <w:tcMar>
              <w:top w:w="0" w:type="dxa"/>
              <w:left w:w="108" w:type="dxa"/>
              <w:bottom w:w="0" w:type="dxa"/>
              <w:right w:w="108" w:type="dxa"/>
            </w:tcMar>
            <w:vAlign w:val="center"/>
            <w:hideMark/>
          </w:tcPr>
          <w:p w14:paraId="5F686BB8"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w:t>
            </w:r>
            <w:bookmarkStart w:id="60" w:name="OLE_LINK205"/>
            <w:bookmarkStart w:id="61" w:name="OLE_LINK204"/>
            <w:bookmarkEnd w:id="60"/>
            <w:bookmarkEnd w:id="61"/>
            <w:r w:rsidRPr="007224C3">
              <w:rPr>
                <w:rFonts w:ascii="Times New Roman" w:hAnsi="Times New Roman"/>
                <w:color w:val="000000" w:themeColor="text1"/>
                <w:sz w:val="16"/>
                <w:szCs w:val="16"/>
              </w:rPr>
              <w:t>17.ПЕРЕДАЧИ.</w:t>
            </w:r>
            <w:r w:rsidRPr="007224C3">
              <w:rPr>
                <w:rFonts w:ascii="Times New Roman" w:hAnsi="Times New Roman"/>
                <w:color w:val="000000" w:themeColor="text1"/>
                <w:sz w:val="16"/>
                <w:szCs w:val="16"/>
              </w:rPr>
              <w:t> </w:t>
            </w:r>
            <w:r w:rsidRPr="007224C3">
              <w:rPr>
                <w:rFonts w:ascii="Times New Roman" w:hAnsi="Times New Roman"/>
                <w:color w:val="000000" w:themeColor="text1"/>
                <w:sz w:val="16"/>
                <w:szCs w:val="16"/>
              </w:rPr>
              <w:t>БОРТОВЫЕ</w:t>
            </w:r>
            <w:r w:rsidRPr="007224C3">
              <w:rPr>
                <w:rFonts w:ascii="Times New Roman" w:hAnsi="Times New Roman"/>
                <w:color w:val="000000" w:themeColor="text1"/>
                <w:sz w:val="16"/>
                <w:szCs w:val="16"/>
              </w:rPr>
              <w:t> </w:t>
            </w:r>
          </w:p>
        </w:tc>
      </w:tr>
      <w:tr w:rsidR="005106D0" w:rsidRPr="007224C3" w14:paraId="31A762F3"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4E8E6219"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tc>
        <w:tc>
          <w:tcPr>
            <w:tcW w:w="4229" w:type="dxa"/>
            <w:tcBorders>
              <w:top w:val="nil"/>
              <w:left w:val="nil"/>
              <w:bottom w:val="nil"/>
              <w:right w:val="single" w:sz="8" w:space="0" w:color="000000"/>
            </w:tcBorders>
            <w:tcMar>
              <w:top w:w="0" w:type="dxa"/>
              <w:left w:w="108" w:type="dxa"/>
              <w:bottom w:w="0" w:type="dxa"/>
              <w:right w:w="108" w:type="dxa"/>
            </w:tcMar>
            <w:hideMark/>
          </w:tcPr>
          <w:p w14:paraId="47563B63" w14:textId="77777777" w:rsidR="00811C95" w:rsidRPr="007224C3" w:rsidRDefault="00811C95" w:rsidP="007224C3">
            <w:pPr>
              <w:spacing w:after="0" w:line="240" w:lineRule="auto"/>
              <w:jc w:val="both"/>
              <w:rPr>
                <w:rFonts w:ascii="Times New Roman" w:hAnsi="Times New Roman"/>
                <w:color w:val="000000" w:themeColor="text1"/>
                <w:sz w:val="16"/>
                <w:szCs w:val="16"/>
              </w:rPr>
            </w:pPr>
            <w:bookmarkStart w:id="62" w:name="OLE_LINK221"/>
            <w:bookmarkStart w:id="63" w:name="OLE_LINK220"/>
            <w:bookmarkEnd w:id="62"/>
            <w:bookmarkEnd w:id="63"/>
            <w:r w:rsidRPr="007224C3">
              <w:rPr>
                <w:rFonts w:ascii="Times New Roman" w:hAnsi="Times New Roman"/>
                <w:color w:val="000000" w:themeColor="text1"/>
                <w:sz w:val="16"/>
                <w:szCs w:val="16"/>
              </w:rPr>
              <w:t>Тип</w:t>
            </w:r>
          </w:p>
        </w:tc>
        <w:tc>
          <w:tcPr>
            <w:tcW w:w="2859" w:type="dxa"/>
            <w:gridSpan w:val="3"/>
            <w:tcBorders>
              <w:top w:val="nil"/>
              <w:left w:val="nil"/>
              <w:bottom w:val="nil"/>
              <w:right w:val="single" w:sz="8" w:space="0" w:color="000000"/>
            </w:tcBorders>
            <w:tcMar>
              <w:top w:w="0" w:type="dxa"/>
              <w:left w:w="108" w:type="dxa"/>
              <w:bottom w:w="0" w:type="dxa"/>
              <w:right w:w="108" w:type="dxa"/>
            </w:tcMar>
            <w:hideMark/>
          </w:tcPr>
          <w:p w14:paraId="52312ACB" w14:textId="77777777" w:rsidR="00811C95" w:rsidRPr="007224C3" w:rsidRDefault="00811C95" w:rsidP="007224C3">
            <w:pPr>
              <w:spacing w:after="0" w:line="240" w:lineRule="auto"/>
              <w:jc w:val="both"/>
              <w:rPr>
                <w:rFonts w:ascii="Times New Roman" w:hAnsi="Times New Roman"/>
                <w:color w:val="000000" w:themeColor="text1"/>
                <w:sz w:val="16"/>
                <w:szCs w:val="16"/>
              </w:rPr>
            </w:pPr>
            <w:bookmarkStart w:id="64" w:name="OLE_LINK200"/>
            <w:bookmarkStart w:id="65" w:name="OLE_LINK199"/>
            <w:bookmarkEnd w:id="64"/>
            <w:bookmarkEnd w:id="65"/>
            <w:r w:rsidRPr="007224C3">
              <w:rPr>
                <w:rFonts w:ascii="Times New Roman" w:hAnsi="Times New Roman"/>
                <w:color w:val="000000" w:themeColor="text1"/>
                <w:sz w:val="16"/>
                <w:szCs w:val="16"/>
              </w:rPr>
              <w:t>Одноступенча-</w:t>
            </w:r>
          </w:p>
          <w:p w14:paraId="434381D1"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тый понижаю-</w:t>
            </w:r>
          </w:p>
          <w:p w14:paraId="0FD80120"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щий редуктор</w:t>
            </w:r>
          </w:p>
        </w:tc>
        <w:tc>
          <w:tcPr>
            <w:tcW w:w="2935" w:type="dxa"/>
            <w:tcBorders>
              <w:top w:val="nil"/>
              <w:left w:val="nil"/>
              <w:bottom w:val="nil"/>
              <w:right w:val="single" w:sz="8" w:space="0" w:color="000000"/>
            </w:tcBorders>
            <w:tcMar>
              <w:top w:w="0" w:type="dxa"/>
              <w:left w:w="108" w:type="dxa"/>
              <w:bottom w:w="0" w:type="dxa"/>
              <w:right w:w="108" w:type="dxa"/>
            </w:tcMar>
            <w:hideMark/>
          </w:tcPr>
          <w:p w14:paraId="6CAFE610"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Одноступенча-</w:t>
            </w:r>
          </w:p>
          <w:p w14:paraId="3319F1EB"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тый понижаю-</w:t>
            </w:r>
          </w:p>
          <w:p w14:paraId="056292D3"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щий редуктор</w:t>
            </w:r>
          </w:p>
        </w:tc>
      </w:tr>
      <w:tr w:rsidR="005106D0" w:rsidRPr="007224C3" w14:paraId="57D18F6A"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7D8BC3E3"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tc>
        <w:tc>
          <w:tcPr>
            <w:tcW w:w="4229" w:type="dxa"/>
            <w:tcBorders>
              <w:top w:val="nil"/>
              <w:left w:val="nil"/>
              <w:bottom w:val="nil"/>
              <w:right w:val="single" w:sz="8" w:space="0" w:color="000000"/>
            </w:tcBorders>
            <w:tcMar>
              <w:top w:w="0" w:type="dxa"/>
              <w:left w:w="108" w:type="dxa"/>
              <w:bottom w:w="0" w:type="dxa"/>
              <w:right w:w="108" w:type="dxa"/>
            </w:tcMar>
            <w:hideMark/>
          </w:tcPr>
          <w:p w14:paraId="75E6E3D5"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Передаточное отноше-</w:t>
            </w:r>
          </w:p>
          <w:p w14:paraId="35BF52B3"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ние</w:t>
            </w:r>
          </w:p>
        </w:tc>
        <w:tc>
          <w:tcPr>
            <w:tcW w:w="2859" w:type="dxa"/>
            <w:gridSpan w:val="3"/>
            <w:tcBorders>
              <w:top w:val="nil"/>
              <w:left w:val="nil"/>
              <w:bottom w:val="nil"/>
              <w:right w:val="single" w:sz="8" w:space="0" w:color="000000"/>
            </w:tcBorders>
            <w:tcMar>
              <w:top w:w="0" w:type="dxa"/>
              <w:left w:w="108" w:type="dxa"/>
              <w:bottom w:w="0" w:type="dxa"/>
              <w:right w:w="108" w:type="dxa"/>
            </w:tcMar>
            <w:hideMark/>
          </w:tcPr>
          <w:p w14:paraId="07D45B4C"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7,11</w:t>
            </w:r>
          </w:p>
        </w:tc>
        <w:tc>
          <w:tcPr>
            <w:tcW w:w="2935" w:type="dxa"/>
            <w:tcBorders>
              <w:top w:val="nil"/>
              <w:left w:val="nil"/>
              <w:bottom w:val="nil"/>
              <w:right w:val="single" w:sz="8" w:space="0" w:color="000000"/>
            </w:tcBorders>
            <w:tcMar>
              <w:top w:w="0" w:type="dxa"/>
              <w:left w:w="108" w:type="dxa"/>
              <w:bottom w:w="0" w:type="dxa"/>
              <w:right w:w="108" w:type="dxa"/>
            </w:tcMar>
            <w:hideMark/>
          </w:tcPr>
          <w:p w14:paraId="78BF23E9"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5,70</w:t>
            </w:r>
          </w:p>
        </w:tc>
      </w:tr>
      <w:tr w:rsidR="005106D0" w:rsidRPr="007224C3" w14:paraId="16FEC35A"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1D77B365"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tc>
        <w:tc>
          <w:tcPr>
            <w:tcW w:w="4229" w:type="dxa"/>
            <w:tcBorders>
              <w:top w:val="nil"/>
              <w:left w:val="nil"/>
              <w:bottom w:val="nil"/>
              <w:right w:val="single" w:sz="8" w:space="0" w:color="000000"/>
            </w:tcBorders>
            <w:tcMar>
              <w:top w:w="0" w:type="dxa"/>
              <w:left w:w="108" w:type="dxa"/>
              <w:bottom w:w="0" w:type="dxa"/>
              <w:right w:w="108" w:type="dxa"/>
            </w:tcMar>
            <w:hideMark/>
          </w:tcPr>
          <w:p w14:paraId="1429F406"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Тип смазки</w:t>
            </w:r>
          </w:p>
        </w:tc>
        <w:tc>
          <w:tcPr>
            <w:tcW w:w="2859" w:type="dxa"/>
            <w:gridSpan w:val="3"/>
            <w:tcBorders>
              <w:top w:val="nil"/>
              <w:left w:val="nil"/>
              <w:bottom w:val="nil"/>
              <w:right w:val="single" w:sz="8" w:space="0" w:color="000000"/>
            </w:tcBorders>
            <w:tcMar>
              <w:top w:w="0" w:type="dxa"/>
              <w:left w:w="108" w:type="dxa"/>
              <w:bottom w:w="0" w:type="dxa"/>
              <w:right w:w="108" w:type="dxa"/>
            </w:tcMar>
            <w:hideMark/>
          </w:tcPr>
          <w:p w14:paraId="288344DA"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Разбрызгива-</w:t>
            </w:r>
          </w:p>
          <w:p w14:paraId="4EF51B4A"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нием.</w:t>
            </w:r>
          </w:p>
        </w:tc>
        <w:tc>
          <w:tcPr>
            <w:tcW w:w="2935" w:type="dxa"/>
            <w:tcBorders>
              <w:top w:val="nil"/>
              <w:left w:val="nil"/>
              <w:bottom w:val="nil"/>
              <w:right w:val="single" w:sz="8" w:space="0" w:color="000000"/>
            </w:tcBorders>
            <w:tcMar>
              <w:top w:w="0" w:type="dxa"/>
              <w:left w:w="108" w:type="dxa"/>
              <w:bottom w:w="0" w:type="dxa"/>
              <w:right w:w="108" w:type="dxa"/>
            </w:tcMar>
            <w:hideMark/>
          </w:tcPr>
          <w:p w14:paraId="2C24B349"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Разбрызгива-нием</w:t>
            </w:r>
          </w:p>
        </w:tc>
      </w:tr>
      <w:tr w:rsidR="005106D0" w:rsidRPr="007224C3" w14:paraId="784BBD88"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46990047"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w:t>
            </w:r>
          </w:p>
        </w:tc>
        <w:tc>
          <w:tcPr>
            <w:tcW w:w="4229" w:type="dxa"/>
            <w:tcBorders>
              <w:top w:val="nil"/>
              <w:left w:val="nil"/>
              <w:bottom w:val="nil"/>
              <w:right w:val="single" w:sz="8" w:space="0" w:color="000000"/>
            </w:tcBorders>
            <w:tcMar>
              <w:top w:w="0" w:type="dxa"/>
              <w:left w:w="108" w:type="dxa"/>
              <w:bottom w:w="0" w:type="dxa"/>
              <w:right w:w="108" w:type="dxa"/>
            </w:tcMar>
            <w:hideMark/>
          </w:tcPr>
          <w:p w14:paraId="76AC808D"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Сорт смазки (смесь)</w:t>
            </w:r>
          </w:p>
        </w:tc>
        <w:tc>
          <w:tcPr>
            <w:tcW w:w="2859" w:type="dxa"/>
            <w:gridSpan w:val="3"/>
            <w:tcBorders>
              <w:top w:val="nil"/>
              <w:left w:val="nil"/>
              <w:bottom w:val="nil"/>
              <w:right w:val="single" w:sz="8" w:space="0" w:color="000000"/>
            </w:tcBorders>
            <w:tcMar>
              <w:top w:w="0" w:type="dxa"/>
              <w:left w:w="108" w:type="dxa"/>
              <w:bottom w:w="0" w:type="dxa"/>
              <w:right w:w="108" w:type="dxa"/>
            </w:tcMar>
            <w:hideMark/>
          </w:tcPr>
          <w:p w14:paraId="52CC9C7B" w14:textId="77777777" w:rsidR="00811C95" w:rsidRPr="007224C3" w:rsidRDefault="00811C95" w:rsidP="007224C3">
            <w:pPr>
              <w:spacing w:after="0" w:line="240" w:lineRule="auto"/>
              <w:jc w:val="both"/>
              <w:rPr>
                <w:rFonts w:ascii="Times New Roman" w:hAnsi="Times New Roman"/>
                <w:color w:val="000000" w:themeColor="text1"/>
                <w:sz w:val="16"/>
                <w:szCs w:val="16"/>
              </w:rPr>
            </w:pPr>
            <w:bookmarkStart w:id="66" w:name="OLE_LINK203"/>
            <w:bookmarkStart w:id="67" w:name="OLE_LINK202"/>
            <w:bookmarkStart w:id="68" w:name="OLE_LINK201"/>
            <w:bookmarkEnd w:id="66"/>
            <w:bookmarkEnd w:id="67"/>
            <w:bookmarkEnd w:id="68"/>
            <w:r w:rsidRPr="007224C3">
              <w:rPr>
                <w:rFonts w:ascii="Times New Roman" w:hAnsi="Times New Roman"/>
                <w:color w:val="000000" w:themeColor="text1"/>
                <w:sz w:val="16"/>
                <w:szCs w:val="16"/>
              </w:rPr>
              <w:t>Констал. - 30%</w:t>
            </w:r>
          </w:p>
          <w:p w14:paraId="0E9BECE2"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Авиамасло - 70%</w:t>
            </w:r>
          </w:p>
        </w:tc>
        <w:tc>
          <w:tcPr>
            <w:tcW w:w="2935" w:type="dxa"/>
            <w:tcBorders>
              <w:top w:val="nil"/>
              <w:left w:val="nil"/>
              <w:bottom w:val="nil"/>
              <w:right w:val="single" w:sz="8" w:space="0" w:color="000000"/>
            </w:tcBorders>
            <w:tcMar>
              <w:top w:w="0" w:type="dxa"/>
              <w:left w:w="108" w:type="dxa"/>
              <w:bottom w:w="0" w:type="dxa"/>
              <w:right w:w="108" w:type="dxa"/>
            </w:tcMar>
            <w:hideMark/>
          </w:tcPr>
          <w:p w14:paraId="0EDB578C"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Констал. - 30%</w:t>
            </w:r>
          </w:p>
          <w:p w14:paraId="0FBA473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Авиамасло-70%</w:t>
            </w:r>
          </w:p>
        </w:tc>
      </w:tr>
      <w:tr w:rsidR="005106D0" w:rsidRPr="007224C3" w14:paraId="3F4F5D86"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0CB30A76"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tc>
        <w:tc>
          <w:tcPr>
            <w:tcW w:w="4229" w:type="dxa"/>
            <w:tcBorders>
              <w:top w:val="nil"/>
              <w:left w:val="nil"/>
              <w:bottom w:val="nil"/>
              <w:right w:val="single" w:sz="8" w:space="0" w:color="000000"/>
            </w:tcBorders>
            <w:tcMar>
              <w:top w:w="0" w:type="dxa"/>
              <w:left w:w="108" w:type="dxa"/>
              <w:bottom w:w="0" w:type="dxa"/>
              <w:right w:w="108" w:type="dxa"/>
            </w:tcMar>
            <w:hideMark/>
          </w:tcPr>
          <w:p w14:paraId="4BA514AD"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Количество смазки</w:t>
            </w:r>
          </w:p>
        </w:tc>
        <w:tc>
          <w:tcPr>
            <w:tcW w:w="2859" w:type="dxa"/>
            <w:gridSpan w:val="3"/>
            <w:tcBorders>
              <w:top w:val="nil"/>
              <w:left w:val="nil"/>
              <w:bottom w:val="nil"/>
              <w:right w:val="single" w:sz="8" w:space="0" w:color="000000"/>
            </w:tcBorders>
            <w:tcMar>
              <w:top w:w="0" w:type="dxa"/>
              <w:left w:w="108" w:type="dxa"/>
              <w:bottom w:w="0" w:type="dxa"/>
              <w:right w:w="108" w:type="dxa"/>
            </w:tcMar>
            <w:hideMark/>
          </w:tcPr>
          <w:p w14:paraId="17171973"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кг.</w:t>
            </w:r>
          </w:p>
        </w:tc>
        <w:tc>
          <w:tcPr>
            <w:tcW w:w="2935" w:type="dxa"/>
            <w:tcBorders>
              <w:top w:val="nil"/>
              <w:left w:val="nil"/>
              <w:bottom w:val="nil"/>
              <w:right w:val="single" w:sz="8" w:space="0" w:color="000000"/>
            </w:tcBorders>
            <w:tcMar>
              <w:top w:w="0" w:type="dxa"/>
              <w:left w:w="108" w:type="dxa"/>
              <w:bottom w:w="0" w:type="dxa"/>
              <w:right w:w="108" w:type="dxa"/>
            </w:tcMar>
            <w:hideMark/>
          </w:tcPr>
          <w:p w14:paraId="6C381A21"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3,6 кг.</w:t>
            </w:r>
          </w:p>
        </w:tc>
      </w:tr>
      <w:tr w:rsidR="005106D0" w:rsidRPr="007224C3" w14:paraId="073C53D3" w14:textId="77777777" w:rsidTr="008053EA">
        <w:trPr>
          <w:trHeight w:val="736"/>
          <w:jc w:val="center"/>
        </w:trPr>
        <w:tc>
          <w:tcPr>
            <w:tcW w:w="10976" w:type="dxa"/>
            <w:gridSpan w:val="6"/>
            <w:tcBorders>
              <w:top w:val="nil"/>
              <w:left w:val="single" w:sz="8" w:space="0" w:color="000000"/>
              <w:bottom w:val="nil"/>
              <w:right w:val="single" w:sz="8" w:space="0" w:color="000000"/>
            </w:tcBorders>
            <w:tcMar>
              <w:top w:w="0" w:type="dxa"/>
              <w:left w:w="108" w:type="dxa"/>
              <w:bottom w:w="0" w:type="dxa"/>
              <w:right w:w="108" w:type="dxa"/>
            </w:tcMar>
            <w:vAlign w:val="center"/>
            <w:hideMark/>
          </w:tcPr>
          <w:p w14:paraId="62C3A921"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18.КОЛЕСА:</w:t>
            </w:r>
            <w:r w:rsidRPr="007224C3">
              <w:rPr>
                <w:rFonts w:ascii="Times New Roman" w:hAnsi="Times New Roman"/>
                <w:color w:val="000000" w:themeColor="text1"/>
                <w:sz w:val="16"/>
                <w:szCs w:val="16"/>
              </w:rPr>
              <w:t> </w:t>
            </w:r>
            <w:r w:rsidRPr="007224C3">
              <w:rPr>
                <w:rFonts w:ascii="Times New Roman" w:hAnsi="Times New Roman"/>
                <w:color w:val="000000" w:themeColor="text1"/>
                <w:sz w:val="16"/>
                <w:szCs w:val="16"/>
              </w:rPr>
              <w:t>ВЕДУЩИЕ</w:t>
            </w:r>
            <w:r w:rsidRPr="007224C3">
              <w:rPr>
                <w:rFonts w:ascii="Times New Roman" w:hAnsi="Times New Roman"/>
                <w:color w:val="000000" w:themeColor="text1"/>
                <w:sz w:val="16"/>
                <w:szCs w:val="16"/>
              </w:rPr>
              <w:t> </w:t>
            </w:r>
          </w:p>
        </w:tc>
      </w:tr>
      <w:tr w:rsidR="005106D0" w:rsidRPr="007224C3" w14:paraId="49920E35"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30686A4B"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tc>
        <w:tc>
          <w:tcPr>
            <w:tcW w:w="4229" w:type="dxa"/>
            <w:tcBorders>
              <w:top w:val="nil"/>
              <w:left w:val="nil"/>
              <w:bottom w:val="nil"/>
              <w:right w:val="single" w:sz="8" w:space="0" w:color="000000"/>
            </w:tcBorders>
            <w:tcMar>
              <w:top w:w="0" w:type="dxa"/>
              <w:left w:w="108" w:type="dxa"/>
              <w:bottom w:w="0" w:type="dxa"/>
              <w:right w:w="108" w:type="dxa"/>
            </w:tcMar>
            <w:hideMark/>
          </w:tcPr>
          <w:p w14:paraId="30C29245"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Тип зацепления</w:t>
            </w:r>
          </w:p>
        </w:tc>
        <w:tc>
          <w:tcPr>
            <w:tcW w:w="2859" w:type="dxa"/>
            <w:gridSpan w:val="3"/>
            <w:tcBorders>
              <w:top w:val="nil"/>
              <w:left w:val="nil"/>
              <w:bottom w:val="nil"/>
              <w:right w:val="single" w:sz="8" w:space="0" w:color="000000"/>
            </w:tcBorders>
            <w:tcMar>
              <w:top w:w="0" w:type="dxa"/>
              <w:left w:w="108" w:type="dxa"/>
              <w:bottom w:w="0" w:type="dxa"/>
              <w:right w:w="108" w:type="dxa"/>
            </w:tcMar>
            <w:hideMark/>
          </w:tcPr>
          <w:p w14:paraId="33721E6F"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Гребневое с</w:t>
            </w:r>
          </w:p>
          <w:p w14:paraId="3C065919"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помощью роли-</w:t>
            </w:r>
          </w:p>
          <w:p w14:paraId="5A94E694"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ков.</w:t>
            </w:r>
          </w:p>
        </w:tc>
        <w:tc>
          <w:tcPr>
            <w:tcW w:w="2935" w:type="dxa"/>
            <w:tcBorders>
              <w:top w:val="nil"/>
              <w:left w:val="nil"/>
              <w:bottom w:val="nil"/>
              <w:right w:val="single" w:sz="8" w:space="0" w:color="000000"/>
            </w:tcBorders>
            <w:tcMar>
              <w:top w:w="0" w:type="dxa"/>
              <w:left w:w="108" w:type="dxa"/>
              <w:bottom w:w="0" w:type="dxa"/>
              <w:right w:w="108" w:type="dxa"/>
            </w:tcMar>
            <w:hideMark/>
          </w:tcPr>
          <w:p w14:paraId="1D5E9515"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Гребневое с</w:t>
            </w:r>
          </w:p>
          <w:p w14:paraId="508A0DE3"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помощью роли-</w:t>
            </w:r>
          </w:p>
          <w:p w14:paraId="5B438D56"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ков.</w:t>
            </w:r>
          </w:p>
        </w:tc>
      </w:tr>
      <w:tr w:rsidR="005106D0" w:rsidRPr="007224C3" w14:paraId="0140624B"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0337EBA9"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tc>
        <w:tc>
          <w:tcPr>
            <w:tcW w:w="4229" w:type="dxa"/>
            <w:tcBorders>
              <w:top w:val="nil"/>
              <w:left w:val="nil"/>
              <w:bottom w:val="nil"/>
              <w:right w:val="single" w:sz="8" w:space="0" w:color="000000"/>
            </w:tcBorders>
            <w:tcMar>
              <w:top w:w="0" w:type="dxa"/>
              <w:left w:w="108" w:type="dxa"/>
              <w:bottom w:w="0" w:type="dxa"/>
              <w:right w:w="108" w:type="dxa"/>
            </w:tcMar>
            <w:hideMark/>
          </w:tcPr>
          <w:p w14:paraId="13587529"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Расположение</w:t>
            </w:r>
          </w:p>
        </w:tc>
        <w:tc>
          <w:tcPr>
            <w:tcW w:w="2859" w:type="dxa"/>
            <w:gridSpan w:val="3"/>
            <w:tcBorders>
              <w:top w:val="nil"/>
              <w:left w:val="nil"/>
              <w:bottom w:val="nil"/>
              <w:right w:val="single" w:sz="8" w:space="0" w:color="000000"/>
            </w:tcBorders>
            <w:tcMar>
              <w:top w:w="0" w:type="dxa"/>
              <w:left w:w="108" w:type="dxa"/>
              <w:bottom w:w="0" w:type="dxa"/>
              <w:right w:w="108" w:type="dxa"/>
            </w:tcMar>
            <w:hideMark/>
          </w:tcPr>
          <w:p w14:paraId="4393534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шлицах ва-</w:t>
            </w:r>
          </w:p>
          <w:p w14:paraId="05EFA4AA"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ла без пере-</w:t>
            </w:r>
          </w:p>
          <w:p w14:paraId="558CD29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дач.</w:t>
            </w:r>
          </w:p>
        </w:tc>
        <w:tc>
          <w:tcPr>
            <w:tcW w:w="2935" w:type="dxa"/>
            <w:tcBorders>
              <w:top w:val="nil"/>
              <w:left w:val="nil"/>
              <w:bottom w:val="nil"/>
              <w:right w:val="single" w:sz="8" w:space="0" w:color="000000"/>
            </w:tcBorders>
            <w:tcMar>
              <w:top w:w="0" w:type="dxa"/>
              <w:left w:w="108" w:type="dxa"/>
              <w:bottom w:w="0" w:type="dxa"/>
              <w:right w:w="108" w:type="dxa"/>
            </w:tcMar>
            <w:hideMark/>
          </w:tcPr>
          <w:p w14:paraId="1678CE78"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шлицах ва-</w:t>
            </w:r>
          </w:p>
          <w:p w14:paraId="3395879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ла без пере-</w:t>
            </w:r>
          </w:p>
          <w:p w14:paraId="0A8090D1"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дач.</w:t>
            </w:r>
          </w:p>
        </w:tc>
      </w:tr>
      <w:tr w:rsidR="005106D0" w:rsidRPr="007224C3" w14:paraId="3B921B7C"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1E078BD9"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tc>
        <w:tc>
          <w:tcPr>
            <w:tcW w:w="4229" w:type="dxa"/>
            <w:tcBorders>
              <w:top w:val="nil"/>
              <w:left w:val="nil"/>
              <w:bottom w:val="nil"/>
              <w:right w:val="single" w:sz="8" w:space="0" w:color="000000"/>
            </w:tcBorders>
            <w:tcMar>
              <w:top w:w="0" w:type="dxa"/>
              <w:left w:w="108" w:type="dxa"/>
              <w:bottom w:w="0" w:type="dxa"/>
              <w:right w:w="108" w:type="dxa"/>
            </w:tcMar>
            <w:hideMark/>
          </w:tcPr>
          <w:p w14:paraId="228CCAF1"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Наружный диаметр</w:t>
            </w:r>
          </w:p>
        </w:tc>
        <w:tc>
          <w:tcPr>
            <w:tcW w:w="2859" w:type="dxa"/>
            <w:gridSpan w:val="3"/>
            <w:tcBorders>
              <w:top w:val="nil"/>
              <w:left w:val="nil"/>
              <w:bottom w:val="nil"/>
              <w:right w:val="single" w:sz="8" w:space="0" w:color="000000"/>
            </w:tcBorders>
            <w:tcMar>
              <w:top w:w="0" w:type="dxa"/>
              <w:left w:w="108" w:type="dxa"/>
              <w:bottom w:w="0" w:type="dxa"/>
              <w:right w:w="108" w:type="dxa"/>
            </w:tcMar>
            <w:hideMark/>
          </w:tcPr>
          <w:p w14:paraId="0E524CF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650 мм</w:t>
            </w:r>
          </w:p>
        </w:tc>
        <w:tc>
          <w:tcPr>
            <w:tcW w:w="2935" w:type="dxa"/>
            <w:tcBorders>
              <w:top w:val="nil"/>
              <w:left w:val="nil"/>
              <w:bottom w:val="nil"/>
              <w:right w:val="single" w:sz="8" w:space="0" w:color="000000"/>
            </w:tcBorders>
            <w:tcMar>
              <w:top w:w="0" w:type="dxa"/>
              <w:left w:w="108" w:type="dxa"/>
              <w:bottom w:w="0" w:type="dxa"/>
              <w:right w:w="108" w:type="dxa"/>
            </w:tcMar>
            <w:hideMark/>
          </w:tcPr>
          <w:p w14:paraId="06606868"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634 мм</w:t>
            </w:r>
          </w:p>
        </w:tc>
      </w:tr>
      <w:tr w:rsidR="005106D0" w:rsidRPr="007224C3" w14:paraId="7DD80FDD"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6F3540F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w:t>
            </w:r>
          </w:p>
        </w:tc>
        <w:tc>
          <w:tcPr>
            <w:tcW w:w="4229" w:type="dxa"/>
            <w:tcBorders>
              <w:top w:val="nil"/>
              <w:left w:val="nil"/>
              <w:bottom w:val="nil"/>
              <w:right w:val="single" w:sz="8" w:space="0" w:color="000000"/>
            </w:tcBorders>
            <w:tcMar>
              <w:top w:w="0" w:type="dxa"/>
              <w:left w:w="108" w:type="dxa"/>
              <w:bottom w:w="0" w:type="dxa"/>
              <w:right w:w="108" w:type="dxa"/>
            </w:tcMar>
            <w:hideMark/>
          </w:tcPr>
          <w:p w14:paraId="690B49C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Количество роликов</w:t>
            </w:r>
          </w:p>
        </w:tc>
        <w:tc>
          <w:tcPr>
            <w:tcW w:w="2859" w:type="dxa"/>
            <w:gridSpan w:val="3"/>
            <w:tcBorders>
              <w:top w:val="nil"/>
              <w:left w:val="nil"/>
              <w:bottom w:val="nil"/>
              <w:right w:val="single" w:sz="8" w:space="0" w:color="000000"/>
            </w:tcBorders>
            <w:tcMar>
              <w:top w:w="0" w:type="dxa"/>
              <w:left w:w="108" w:type="dxa"/>
              <w:bottom w:w="0" w:type="dxa"/>
              <w:right w:w="108" w:type="dxa"/>
            </w:tcMar>
            <w:hideMark/>
          </w:tcPr>
          <w:p w14:paraId="711B55A6"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шт.</w:t>
            </w:r>
          </w:p>
        </w:tc>
        <w:tc>
          <w:tcPr>
            <w:tcW w:w="2935" w:type="dxa"/>
            <w:tcBorders>
              <w:top w:val="nil"/>
              <w:left w:val="nil"/>
              <w:bottom w:val="nil"/>
              <w:right w:val="single" w:sz="8" w:space="0" w:color="000000"/>
            </w:tcBorders>
            <w:tcMar>
              <w:top w:w="0" w:type="dxa"/>
              <w:left w:w="108" w:type="dxa"/>
              <w:bottom w:w="0" w:type="dxa"/>
              <w:right w:w="108" w:type="dxa"/>
            </w:tcMar>
            <w:hideMark/>
          </w:tcPr>
          <w:p w14:paraId="40B1BE23"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шт.</w:t>
            </w:r>
          </w:p>
        </w:tc>
      </w:tr>
      <w:tr w:rsidR="005106D0" w:rsidRPr="007224C3" w14:paraId="571C4DF2" w14:textId="77777777" w:rsidTr="008053EA">
        <w:trPr>
          <w:trHeight w:val="736"/>
          <w:jc w:val="center"/>
        </w:trPr>
        <w:tc>
          <w:tcPr>
            <w:tcW w:w="10976" w:type="dxa"/>
            <w:gridSpan w:val="6"/>
            <w:tcBorders>
              <w:top w:val="nil"/>
              <w:left w:val="single" w:sz="8" w:space="0" w:color="000000"/>
              <w:bottom w:val="nil"/>
              <w:right w:val="single" w:sz="8" w:space="0" w:color="000000"/>
            </w:tcBorders>
            <w:tcMar>
              <w:top w:w="0" w:type="dxa"/>
              <w:left w:w="108" w:type="dxa"/>
              <w:bottom w:w="0" w:type="dxa"/>
              <w:right w:w="108" w:type="dxa"/>
            </w:tcMar>
            <w:vAlign w:val="center"/>
            <w:hideMark/>
          </w:tcPr>
          <w:p w14:paraId="64E5989B"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НАПРАВЛЯЮЩЕЕ КОЛЕСО И НАТЯЖНОЙ МЕХАНИЗМ.</w:t>
            </w:r>
          </w:p>
        </w:tc>
      </w:tr>
      <w:tr w:rsidR="005106D0" w:rsidRPr="007224C3" w14:paraId="73DB340B"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73E71C5F"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tc>
        <w:tc>
          <w:tcPr>
            <w:tcW w:w="4229" w:type="dxa"/>
            <w:tcBorders>
              <w:top w:val="nil"/>
              <w:left w:val="nil"/>
              <w:bottom w:val="nil"/>
              <w:right w:val="single" w:sz="8" w:space="0" w:color="000000"/>
            </w:tcBorders>
            <w:tcMar>
              <w:top w:w="0" w:type="dxa"/>
              <w:left w:w="108" w:type="dxa"/>
              <w:bottom w:w="0" w:type="dxa"/>
              <w:right w:w="108" w:type="dxa"/>
            </w:tcMar>
            <w:hideMark/>
          </w:tcPr>
          <w:p w14:paraId="04385217"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Обод колеса</w:t>
            </w:r>
          </w:p>
        </w:tc>
        <w:tc>
          <w:tcPr>
            <w:tcW w:w="2859" w:type="dxa"/>
            <w:gridSpan w:val="3"/>
            <w:tcBorders>
              <w:top w:val="nil"/>
              <w:left w:val="nil"/>
              <w:bottom w:val="nil"/>
              <w:right w:val="single" w:sz="8" w:space="0" w:color="000000"/>
            </w:tcBorders>
            <w:tcMar>
              <w:top w:w="0" w:type="dxa"/>
              <w:left w:w="108" w:type="dxa"/>
              <w:bottom w:w="0" w:type="dxa"/>
              <w:right w:w="108" w:type="dxa"/>
            </w:tcMar>
            <w:hideMark/>
          </w:tcPr>
          <w:p w14:paraId="7FB1ED48"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Металличес-</w:t>
            </w:r>
          </w:p>
          <w:p w14:paraId="67E8D472"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кий</w:t>
            </w:r>
          </w:p>
        </w:tc>
        <w:tc>
          <w:tcPr>
            <w:tcW w:w="2935" w:type="dxa"/>
            <w:tcBorders>
              <w:top w:val="nil"/>
              <w:left w:val="nil"/>
              <w:bottom w:val="nil"/>
              <w:right w:val="single" w:sz="8" w:space="0" w:color="000000"/>
            </w:tcBorders>
            <w:tcMar>
              <w:top w:w="0" w:type="dxa"/>
              <w:left w:w="108" w:type="dxa"/>
              <w:bottom w:w="0" w:type="dxa"/>
              <w:right w:w="108" w:type="dxa"/>
            </w:tcMar>
            <w:hideMark/>
          </w:tcPr>
          <w:p w14:paraId="6A2B0BD4"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Металличес-</w:t>
            </w:r>
          </w:p>
          <w:p w14:paraId="1071ABDF"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кий</w:t>
            </w:r>
          </w:p>
        </w:tc>
      </w:tr>
      <w:tr w:rsidR="005106D0" w:rsidRPr="007224C3" w14:paraId="061CBF85"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3B688661"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tc>
        <w:tc>
          <w:tcPr>
            <w:tcW w:w="4229" w:type="dxa"/>
            <w:tcBorders>
              <w:top w:val="nil"/>
              <w:left w:val="nil"/>
              <w:bottom w:val="nil"/>
              <w:right w:val="single" w:sz="8" w:space="0" w:color="000000"/>
            </w:tcBorders>
            <w:tcMar>
              <w:top w:w="0" w:type="dxa"/>
              <w:left w:w="108" w:type="dxa"/>
              <w:bottom w:w="0" w:type="dxa"/>
              <w:right w:w="108" w:type="dxa"/>
            </w:tcMar>
            <w:hideMark/>
          </w:tcPr>
          <w:p w14:paraId="33F7FECC"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Наружный диаметр</w:t>
            </w:r>
          </w:p>
        </w:tc>
        <w:tc>
          <w:tcPr>
            <w:tcW w:w="2859" w:type="dxa"/>
            <w:gridSpan w:val="3"/>
            <w:tcBorders>
              <w:top w:val="nil"/>
              <w:left w:val="nil"/>
              <w:bottom w:val="nil"/>
              <w:right w:val="single" w:sz="8" w:space="0" w:color="000000"/>
            </w:tcBorders>
            <w:tcMar>
              <w:top w:w="0" w:type="dxa"/>
              <w:left w:w="108" w:type="dxa"/>
              <w:bottom w:w="0" w:type="dxa"/>
              <w:right w:w="108" w:type="dxa"/>
            </w:tcMar>
            <w:hideMark/>
          </w:tcPr>
          <w:p w14:paraId="4BF69D7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500 мм</w:t>
            </w:r>
          </w:p>
        </w:tc>
        <w:tc>
          <w:tcPr>
            <w:tcW w:w="2935" w:type="dxa"/>
            <w:tcBorders>
              <w:top w:val="nil"/>
              <w:left w:val="nil"/>
              <w:bottom w:val="nil"/>
              <w:right w:val="single" w:sz="8" w:space="0" w:color="000000"/>
            </w:tcBorders>
            <w:tcMar>
              <w:top w:w="0" w:type="dxa"/>
              <w:left w:w="108" w:type="dxa"/>
              <w:bottom w:w="0" w:type="dxa"/>
              <w:right w:w="108" w:type="dxa"/>
            </w:tcMar>
            <w:hideMark/>
          </w:tcPr>
          <w:p w14:paraId="4F04CC41"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500 мм</w:t>
            </w:r>
          </w:p>
        </w:tc>
      </w:tr>
      <w:tr w:rsidR="005106D0" w:rsidRPr="007224C3" w14:paraId="3887728B"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17EC05F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tc>
        <w:tc>
          <w:tcPr>
            <w:tcW w:w="4229" w:type="dxa"/>
            <w:tcBorders>
              <w:top w:val="nil"/>
              <w:left w:val="nil"/>
              <w:bottom w:val="nil"/>
              <w:right w:val="single" w:sz="8" w:space="0" w:color="000000"/>
            </w:tcBorders>
            <w:tcMar>
              <w:top w:w="0" w:type="dxa"/>
              <w:left w:w="108" w:type="dxa"/>
              <w:bottom w:w="0" w:type="dxa"/>
              <w:right w:w="108" w:type="dxa"/>
            </w:tcMar>
            <w:hideMark/>
          </w:tcPr>
          <w:p w14:paraId="54AEAF59"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Способ поворота криво-</w:t>
            </w:r>
          </w:p>
          <w:p w14:paraId="4C89CD83"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шипа для натяжения гу-</w:t>
            </w:r>
          </w:p>
          <w:p w14:paraId="5D9DEECF"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сеничной цепи</w:t>
            </w:r>
          </w:p>
        </w:tc>
        <w:tc>
          <w:tcPr>
            <w:tcW w:w="2859" w:type="dxa"/>
            <w:gridSpan w:val="3"/>
            <w:tcBorders>
              <w:top w:val="nil"/>
              <w:left w:val="nil"/>
              <w:bottom w:val="nil"/>
              <w:right w:val="single" w:sz="8" w:space="0" w:color="000000"/>
            </w:tcBorders>
            <w:tcMar>
              <w:top w:w="0" w:type="dxa"/>
              <w:left w:w="108" w:type="dxa"/>
              <w:bottom w:w="0" w:type="dxa"/>
              <w:right w:w="108" w:type="dxa"/>
            </w:tcMar>
            <w:hideMark/>
          </w:tcPr>
          <w:p w14:paraId="0EDF5B56"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Червячная пара</w:t>
            </w:r>
          </w:p>
        </w:tc>
        <w:tc>
          <w:tcPr>
            <w:tcW w:w="2935" w:type="dxa"/>
            <w:tcBorders>
              <w:top w:val="nil"/>
              <w:left w:val="nil"/>
              <w:bottom w:val="nil"/>
              <w:right w:val="single" w:sz="8" w:space="0" w:color="000000"/>
            </w:tcBorders>
            <w:tcMar>
              <w:top w:w="0" w:type="dxa"/>
              <w:left w:w="108" w:type="dxa"/>
              <w:bottom w:w="0" w:type="dxa"/>
              <w:right w:w="108" w:type="dxa"/>
            </w:tcMar>
            <w:hideMark/>
          </w:tcPr>
          <w:p w14:paraId="29BFA771"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Червячная пара</w:t>
            </w:r>
          </w:p>
        </w:tc>
      </w:tr>
      <w:tr w:rsidR="005106D0" w:rsidRPr="007224C3" w14:paraId="596EAA43"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3F4205D4"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w:t>
            </w:r>
          </w:p>
        </w:tc>
        <w:tc>
          <w:tcPr>
            <w:tcW w:w="4229" w:type="dxa"/>
            <w:tcBorders>
              <w:top w:val="nil"/>
              <w:left w:val="nil"/>
              <w:bottom w:val="nil"/>
              <w:right w:val="single" w:sz="8" w:space="0" w:color="000000"/>
            </w:tcBorders>
            <w:tcMar>
              <w:top w:w="0" w:type="dxa"/>
              <w:left w:w="108" w:type="dxa"/>
              <w:bottom w:w="0" w:type="dxa"/>
              <w:right w:w="108" w:type="dxa"/>
            </w:tcMar>
            <w:hideMark/>
          </w:tcPr>
          <w:p w14:paraId="62E66CDB"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Способ закрепления </w:t>
            </w:r>
          </w:p>
          <w:p w14:paraId="3CEAFB67"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кривошипа на корпусе</w:t>
            </w:r>
          </w:p>
        </w:tc>
        <w:tc>
          <w:tcPr>
            <w:tcW w:w="2859" w:type="dxa"/>
            <w:gridSpan w:val="3"/>
            <w:tcBorders>
              <w:top w:val="nil"/>
              <w:left w:val="nil"/>
              <w:bottom w:val="nil"/>
              <w:right w:val="single" w:sz="8" w:space="0" w:color="000000"/>
            </w:tcBorders>
            <w:tcMar>
              <w:top w:w="0" w:type="dxa"/>
              <w:left w:w="108" w:type="dxa"/>
              <w:bottom w:w="0" w:type="dxa"/>
              <w:right w:w="108" w:type="dxa"/>
            </w:tcMar>
            <w:hideMark/>
          </w:tcPr>
          <w:p w14:paraId="1DBB8333"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Гайкой сна-</w:t>
            </w:r>
          </w:p>
          <w:p w14:paraId="3DA4FAC4"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ружи корпуса</w:t>
            </w:r>
          </w:p>
        </w:tc>
        <w:tc>
          <w:tcPr>
            <w:tcW w:w="2935" w:type="dxa"/>
            <w:tcBorders>
              <w:top w:val="nil"/>
              <w:left w:val="nil"/>
              <w:bottom w:val="nil"/>
              <w:right w:val="single" w:sz="8" w:space="0" w:color="000000"/>
            </w:tcBorders>
            <w:tcMar>
              <w:top w:w="0" w:type="dxa"/>
              <w:left w:w="108" w:type="dxa"/>
              <w:bottom w:w="0" w:type="dxa"/>
              <w:right w:w="108" w:type="dxa"/>
            </w:tcMar>
            <w:hideMark/>
          </w:tcPr>
          <w:p w14:paraId="7D3516BA"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Гайкой из-</w:t>
            </w:r>
          </w:p>
          <w:p w14:paraId="78B5E27D"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нутри корпу-</w:t>
            </w:r>
          </w:p>
          <w:p w14:paraId="74BEDE9A"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w:t>
            </w:r>
          </w:p>
        </w:tc>
      </w:tr>
      <w:tr w:rsidR="005106D0" w:rsidRPr="007224C3" w14:paraId="1B3FF1C3" w14:textId="77777777" w:rsidTr="008053EA">
        <w:trPr>
          <w:trHeight w:val="736"/>
          <w:jc w:val="center"/>
        </w:trPr>
        <w:tc>
          <w:tcPr>
            <w:tcW w:w="10976" w:type="dxa"/>
            <w:gridSpan w:val="6"/>
            <w:tcBorders>
              <w:top w:val="nil"/>
              <w:left w:val="single" w:sz="8" w:space="0" w:color="000000"/>
              <w:bottom w:val="nil"/>
              <w:right w:val="single" w:sz="8" w:space="0" w:color="000000"/>
            </w:tcBorders>
            <w:tcMar>
              <w:top w:w="0" w:type="dxa"/>
              <w:left w:w="108" w:type="dxa"/>
              <w:bottom w:w="0" w:type="dxa"/>
              <w:right w:w="108" w:type="dxa"/>
            </w:tcMar>
            <w:vAlign w:val="center"/>
            <w:hideMark/>
          </w:tcPr>
          <w:p w14:paraId="0586B0F9"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w:t>
            </w:r>
            <w:bookmarkStart w:id="69" w:name="OLE_LINK219"/>
            <w:bookmarkStart w:id="70" w:name="OLE_LINK218"/>
            <w:bookmarkEnd w:id="69"/>
            <w:bookmarkEnd w:id="70"/>
            <w:r w:rsidRPr="007224C3">
              <w:rPr>
                <w:rFonts w:ascii="Times New Roman" w:hAnsi="Times New Roman"/>
                <w:color w:val="000000" w:themeColor="text1"/>
                <w:sz w:val="16"/>
                <w:szCs w:val="16"/>
              </w:rPr>
              <w:t>20.</w:t>
            </w:r>
            <w:bookmarkStart w:id="71" w:name="OLE_LINK217"/>
            <w:bookmarkStart w:id="72" w:name="OLE_LINK216"/>
            <w:bookmarkEnd w:id="71"/>
            <w:bookmarkEnd w:id="72"/>
            <w:r w:rsidRPr="007224C3">
              <w:rPr>
                <w:rFonts w:ascii="Times New Roman" w:hAnsi="Times New Roman"/>
                <w:color w:val="000000" w:themeColor="text1"/>
                <w:sz w:val="16"/>
                <w:szCs w:val="16"/>
              </w:rPr>
              <w:t> </w:t>
            </w:r>
            <w:r w:rsidRPr="007224C3">
              <w:rPr>
                <w:rFonts w:ascii="Times New Roman" w:hAnsi="Times New Roman"/>
                <w:color w:val="000000" w:themeColor="text1"/>
                <w:sz w:val="16"/>
                <w:szCs w:val="16"/>
              </w:rPr>
              <w:t>ПОДВЕСКА:</w:t>
            </w:r>
            <w:r w:rsidRPr="007224C3">
              <w:rPr>
                <w:rFonts w:ascii="Times New Roman" w:hAnsi="Times New Roman"/>
                <w:color w:val="000000" w:themeColor="text1"/>
                <w:sz w:val="16"/>
                <w:szCs w:val="16"/>
              </w:rPr>
              <w:t> </w:t>
            </w:r>
            <w:r w:rsidRPr="007224C3">
              <w:rPr>
                <w:rFonts w:ascii="Times New Roman" w:hAnsi="Times New Roman"/>
                <w:color w:val="000000" w:themeColor="text1"/>
                <w:sz w:val="16"/>
                <w:szCs w:val="16"/>
              </w:rPr>
              <w:t>И</w:t>
            </w:r>
            <w:r w:rsidRPr="007224C3">
              <w:rPr>
                <w:rFonts w:ascii="Times New Roman" w:hAnsi="Times New Roman"/>
                <w:color w:val="000000" w:themeColor="text1"/>
                <w:sz w:val="16"/>
                <w:szCs w:val="16"/>
              </w:rPr>
              <w:t> </w:t>
            </w:r>
            <w:r w:rsidRPr="007224C3">
              <w:rPr>
                <w:rFonts w:ascii="Times New Roman" w:hAnsi="Times New Roman"/>
                <w:color w:val="000000" w:themeColor="text1"/>
                <w:sz w:val="16"/>
                <w:szCs w:val="16"/>
              </w:rPr>
              <w:t>КАТКИ</w:t>
            </w:r>
            <w:r w:rsidRPr="007224C3">
              <w:rPr>
                <w:rFonts w:ascii="Times New Roman" w:hAnsi="Times New Roman"/>
                <w:color w:val="000000" w:themeColor="text1"/>
                <w:sz w:val="16"/>
                <w:szCs w:val="16"/>
              </w:rPr>
              <w:t> </w:t>
            </w:r>
            <w:r w:rsidRPr="007224C3">
              <w:rPr>
                <w:rFonts w:ascii="Times New Roman" w:hAnsi="Times New Roman"/>
                <w:color w:val="000000" w:themeColor="text1"/>
                <w:sz w:val="16"/>
                <w:szCs w:val="16"/>
              </w:rPr>
              <w:t>ОПОРНЫЕ</w:t>
            </w:r>
          </w:p>
        </w:tc>
      </w:tr>
      <w:tr w:rsidR="005106D0" w:rsidRPr="007224C3" w14:paraId="0ACD2E97"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7F2A8D3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p w14:paraId="1E7987B3"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w:t>
            </w:r>
          </w:p>
          <w:p w14:paraId="3757A164"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w:t>
            </w:r>
          </w:p>
        </w:tc>
        <w:tc>
          <w:tcPr>
            <w:tcW w:w="4239" w:type="dxa"/>
            <w:gridSpan w:val="2"/>
            <w:tcBorders>
              <w:top w:val="nil"/>
              <w:left w:val="nil"/>
              <w:bottom w:val="nil"/>
              <w:right w:val="single" w:sz="8" w:space="0" w:color="000000"/>
            </w:tcBorders>
            <w:tcMar>
              <w:top w:w="0" w:type="dxa"/>
              <w:left w:w="108" w:type="dxa"/>
              <w:bottom w:w="0" w:type="dxa"/>
              <w:right w:w="108" w:type="dxa"/>
            </w:tcMar>
            <w:hideMark/>
          </w:tcPr>
          <w:p w14:paraId="37D7381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Тип катков</w:t>
            </w:r>
          </w:p>
        </w:tc>
        <w:tc>
          <w:tcPr>
            <w:tcW w:w="2849" w:type="dxa"/>
            <w:gridSpan w:val="2"/>
            <w:tcBorders>
              <w:top w:val="nil"/>
              <w:left w:val="nil"/>
              <w:bottom w:val="nil"/>
              <w:right w:val="single" w:sz="8" w:space="0" w:color="000000"/>
            </w:tcBorders>
            <w:tcMar>
              <w:top w:w="0" w:type="dxa"/>
              <w:left w:w="108" w:type="dxa"/>
              <w:bottom w:w="0" w:type="dxa"/>
              <w:right w:w="108" w:type="dxa"/>
            </w:tcMar>
            <w:hideMark/>
          </w:tcPr>
          <w:p w14:paraId="5690B8FB" w14:textId="77777777" w:rsidR="00811C95" w:rsidRPr="007224C3" w:rsidRDefault="00811C95" w:rsidP="007224C3">
            <w:pPr>
              <w:spacing w:after="0" w:line="240" w:lineRule="auto"/>
              <w:jc w:val="both"/>
              <w:rPr>
                <w:rFonts w:ascii="Times New Roman" w:hAnsi="Times New Roman"/>
                <w:color w:val="000000" w:themeColor="text1"/>
                <w:sz w:val="16"/>
                <w:szCs w:val="16"/>
              </w:rPr>
            </w:pPr>
            <w:bookmarkStart w:id="73" w:name="OLE_LINK223"/>
            <w:bookmarkStart w:id="74" w:name="OLE_LINK222"/>
            <w:bookmarkEnd w:id="73"/>
            <w:bookmarkEnd w:id="74"/>
            <w:r w:rsidRPr="007224C3">
              <w:rPr>
                <w:rFonts w:ascii="Times New Roman" w:hAnsi="Times New Roman"/>
                <w:color w:val="000000" w:themeColor="text1"/>
                <w:sz w:val="16"/>
                <w:szCs w:val="16"/>
              </w:rPr>
              <w:t>С наружной</w:t>
            </w:r>
          </w:p>
          <w:p w14:paraId="0915461C"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амортизаций</w:t>
            </w:r>
          </w:p>
        </w:tc>
        <w:tc>
          <w:tcPr>
            <w:tcW w:w="2935" w:type="dxa"/>
            <w:tcBorders>
              <w:top w:val="nil"/>
              <w:left w:val="nil"/>
              <w:bottom w:val="nil"/>
              <w:right w:val="single" w:sz="8" w:space="0" w:color="000000"/>
            </w:tcBorders>
            <w:tcMar>
              <w:top w:w="0" w:type="dxa"/>
              <w:left w:w="108" w:type="dxa"/>
              <w:bottom w:w="0" w:type="dxa"/>
              <w:right w:w="108" w:type="dxa"/>
            </w:tcMar>
            <w:hideMark/>
          </w:tcPr>
          <w:p w14:paraId="102F5A3F"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наружной</w:t>
            </w:r>
          </w:p>
          <w:p w14:paraId="03A5CD9A"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амортизаций</w:t>
            </w:r>
          </w:p>
        </w:tc>
      </w:tr>
      <w:tr w:rsidR="005106D0" w:rsidRPr="007224C3" w14:paraId="6D4C2AAF"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7C811FAF"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tc>
        <w:tc>
          <w:tcPr>
            <w:tcW w:w="4239" w:type="dxa"/>
            <w:gridSpan w:val="2"/>
            <w:tcBorders>
              <w:top w:val="nil"/>
              <w:left w:val="nil"/>
              <w:bottom w:val="nil"/>
              <w:right w:val="single" w:sz="8" w:space="0" w:color="000000"/>
            </w:tcBorders>
            <w:tcMar>
              <w:top w:w="0" w:type="dxa"/>
              <w:left w:w="108" w:type="dxa"/>
              <w:bottom w:w="0" w:type="dxa"/>
              <w:right w:w="108" w:type="dxa"/>
            </w:tcMar>
            <w:hideMark/>
          </w:tcPr>
          <w:p w14:paraId="00A96BB2"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Наружный диаметр катков</w:t>
            </w:r>
          </w:p>
        </w:tc>
        <w:tc>
          <w:tcPr>
            <w:tcW w:w="2849" w:type="dxa"/>
            <w:gridSpan w:val="2"/>
            <w:tcBorders>
              <w:top w:val="nil"/>
              <w:left w:val="nil"/>
              <w:bottom w:val="nil"/>
              <w:right w:val="single" w:sz="8" w:space="0" w:color="000000"/>
            </w:tcBorders>
            <w:tcMar>
              <w:top w:w="0" w:type="dxa"/>
              <w:left w:w="108" w:type="dxa"/>
              <w:bottom w:w="0" w:type="dxa"/>
              <w:right w:w="108" w:type="dxa"/>
            </w:tcMar>
            <w:hideMark/>
          </w:tcPr>
          <w:p w14:paraId="7E954D86"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790 мм</w:t>
            </w:r>
          </w:p>
        </w:tc>
        <w:tc>
          <w:tcPr>
            <w:tcW w:w="2935" w:type="dxa"/>
            <w:tcBorders>
              <w:top w:val="nil"/>
              <w:left w:val="nil"/>
              <w:bottom w:val="nil"/>
              <w:right w:val="single" w:sz="8" w:space="0" w:color="000000"/>
            </w:tcBorders>
            <w:tcMar>
              <w:top w:w="0" w:type="dxa"/>
              <w:left w:w="108" w:type="dxa"/>
              <w:bottom w:w="0" w:type="dxa"/>
              <w:right w:w="108" w:type="dxa"/>
            </w:tcMar>
            <w:hideMark/>
          </w:tcPr>
          <w:p w14:paraId="40CC00EC"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830 мм</w:t>
            </w:r>
          </w:p>
        </w:tc>
      </w:tr>
      <w:tr w:rsidR="005106D0" w:rsidRPr="007224C3" w14:paraId="008908AC"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1E0E6A52"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tc>
        <w:tc>
          <w:tcPr>
            <w:tcW w:w="4239" w:type="dxa"/>
            <w:gridSpan w:val="2"/>
            <w:tcBorders>
              <w:top w:val="nil"/>
              <w:left w:val="nil"/>
              <w:bottom w:val="nil"/>
              <w:right w:val="single" w:sz="8" w:space="0" w:color="000000"/>
            </w:tcBorders>
            <w:tcMar>
              <w:top w:w="0" w:type="dxa"/>
              <w:left w:w="108" w:type="dxa"/>
              <w:bottom w:w="0" w:type="dxa"/>
              <w:right w:w="108" w:type="dxa"/>
            </w:tcMar>
            <w:hideMark/>
          </w:tcPr>
          <w:p w14:paraId="2A119140"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Ширина одного обода</w:t>
            </w:r>
          </w:p>
        </w:tc>
        <w:tc>
          <w:tcPr>
            <w:tcW w:w="2849" w:type="dxa"/>
            <w:gridSpan w:val="2"/>
            <w:tcBorders>
              <w:top w:val="nil"/>
              <w:left w:val="nil"/>
              <w:bottom w:val="nil"/>
              <w:right w:val="single" w:sz="8" w:space="0" w:color="000000"/>
            </w:tcBorders>
            <w:tcMar>
              <w:top w:w="0" w:type="dxa"/>
              <w:left w:w="108" w:type="dxa"/>
              <w:bottom w:w="0" w:type="dxa"/>
              <w:right w:w="108" w:type="dxa"/>
            </w:tcMar>
            <w:hideMark/>
          </w:tcPr>
          <w:p w14:paraId="7EFE0655"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150 мм</w:t>
            </w:r>
          </w:p>
        </w:tc>
        <w:tc>
          <w:tcPr>
            <w:tcW w:w="2935" w:type="dxa"/>
            <w:tcBorders>
              <w:top w:val="nil"/>
              <w:left w:val="nil"/>
              <w:bottom w:val="nil"/>
              <w:right w:val="single" w:sz="8" w:space="0" w:color="000000"/>
            </w:tcBorders>
            <w:tcMar>
              <w:top w:w="0" w:type="dxa"/>
              <w:left w:w="108" w:type="dxa"/>
              <w:bottom w:w="0" w:type="dxa"/>
              <w:right w:w="108" w:type="dxa"/>
            </w:tcMar>
            <w:hideMark/>
          </w:tcPr>
          <w:p w14:paraId="7245F305"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150 мм</w:t>
            </w:r>
          </w:p>
        </w:tc>
      </w:tr>
      <w:tr w:rsidR="005106D0" w:rsidRPr="007224C3" w14:paraId="7E15DA1B"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241E59B8"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w:t>
            </w:r>
          </w:p>
          <w:p w14:paraId="3B64BA44"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w:t>
            </w:r>
          </w:p>
        </w:tc>
        <w:tc>
          <w:tcPr>
            <w:tcW w:w="4239" w:type="dxa"/>
            <w:gridSpan w:val="2"/>
            <w:tcBorders>
              <w:top w:val="nil"/>
              <w:left w:val="nil"/>
              <w:bottom w:val="nil"/>
              <w:right w:val="single" w:sz="8" w:space="0" w:color="000000"/>
            </w:tcBorders>
            <w:tcMar>
              <w:top w:w="0" w:type="dxa"/>
              <w:left w:w="108" w:type="dxa"/>
              <w:bottom w:w="0" w:type="dxa"/>
              <w:right w:w="108" w:type="dxa"/>
            </w:tcMar>
            <w:hideMark/>
          </w:tcPr>
          <w:p w14:paraId="224AA08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Количество опорных катков</w:t>
            </w:r>
          </w:p>
        </w:tc>
        <w:tc>
          <w:tcPr>
            <w:tcW w:w="2849" w:type="dxa"/>
            <w:gridSpan w:val="2"/>
            <w:tcBorders>
              <w:top w:val="nil"/>
              <w:left w:val="nil"/>
              <w:bottom w:val="nil"/>
              <w:right w:val="single" w:sz="8" w:space="0" w:color="000000"/>
            </w:tcBorders>
            <w:tcMar>
              <w:top w:w="0" w:type="dxa"/>
              <w:left w:w="108" w:type="dxa"/>
              <w:bottom w:w="0" w:type="dxa"/>
              <w:right w:w="108" w:type="dxa"/>
            </w:tcMar>
            <w:hideMark/>
          </w:tcPr>
          <w:p w14:paraId="23FE1B4A"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шт</w:t>
            </w:r>
          </w:p>
        </w:tc>
        <w:tc>
          <w:tcPr>
            <w:tcW w:w="2935" w:type="dxa"/>
            <w:tcBorders>
              <w:top w:val="nil"/>
              <w:left w:val="nil"/>
              <w:bottom w:val="nil"/>
              <w:right w:val="single" w:sz="8" w:space="0" w:color="000000"/>
            </w:tcBorders>
            <w:tcMar>
              <w:top w:w="0" w:type="dxa"/>
              <w:left w:w="108" w:type="dxa"/>
              <w:bottom w:w="0" w:type="dxa"/>
              <w:right w:w="108" w:type="dxa"/>
            </w:tcMar>
            <w:hideMark/>
          </w:tcPr>
          <w:p w14:paraId="6669A618"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шт</w:t>
            </w:r>
          </w:p>
        </w:tc>
      </w:tr>
      <w:tr w:rsidR="005106D0" w:rsidRPr="007224C3" w14:paraId="404E4D8A"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275D3386"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tc>
        <w:tc>
          <w:tcPr>
            <w:tcW w:w="4239" w:type="dxa"/>
            <w:gridSpan w:val="2"/>
            <w:tcBorders>
              <w:top w:val="nil"/>
              <w:left w:val="nil"/>
              <w:bottom w:val="nil"/>
              <w:right w:val="single" w:sz="8" w:space="0" w:color="000000"/>
            </w:tcBorders>
            <w:tcMar>
              <w:top w:w="0" w:type="dxa"/>
              <w:left w:w="108" w:type="dxa"/>
              <w:bottom w:w="0" w:type="dxa"/>
              <w:right w:w="108" w:type="dxa"/>
            </w:tcMar>
            <w:hideMark/>
          </w:tcPr>
          <w:p w14:paraId="3D8E5CF1"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Тип подвески</w:t>
            </w:r>
          </w:p>
        </w:tc>
        <w:tc>
          <w:tcPr>
            <w:tcW w:w="2849" w:type="dxa"/>
            <w:gridSpan w:val="2"/>
            <w:tcBorders>
              <w:top w:val="nil"/>
              <w:left w:val="nil"/>
              <w:bottom w:val="nil"/>
              <w:right w:val="single" w:sz="8" w:space="0" w:color="000000"/>
            </w:tcBorders>
            <w:tcMar>
              <w:top w:w="0" w:type="dxa"/>
              <w:left w:w="108" w:type="dxa"/>
              <w:bottom w:w="0" w:type="dxa"/>
              <w:right w:w="108" w:type="dxa"/>
            </w:tcMar>
            <w:hideMark/>
          </w:tcPr>
          <w:p w14:paraId="19906B69"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Индивидуаль-</w:t>
            </w:r>
          </w:p>
          <w:p w14:paraId="54755729"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ная торсион-</w:t>
            </w:r>
          </w:p>
          <w:p w14:paraId="349DACB1"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ная.</w:t>
            </w:r>
          </w:p>
        </w:tc>
        <w:tc>
          <w:tcPr>
            <w:tcW w:w="2935" w:type="dxa"/>
            <w:tcBorders>
              <w:top w:val="nil"/>
              <w:left w:val="nil"/>
              <w:bottom w:val="nil"/>
              <w:right w:val="single" w:sz="8" w:space="0" w:color="000000"/>
            </w:tcBorders>
            <w:tcMar>
              <w:top w:w="0" w:type="dxa"/>
              <w:left w:w="108" w:type="dxa"/>
              <w:bottom w:w="0" w:type="dxa"/>
              <w:right w:w="108" w:type="dxa"/>
            </w:tcMar>
            <w:hideMark/>
          </w:tcPr>
          <w:p w14:paraId="1FF6D240"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Индивидуаль-</w:t>
            </w:r>
          </w:p>
          <w:p w14:paraId="5AECB3D2"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ная пружин-</w:t>
            </w:r>
          </w:p>
          <w:p w14:paraId="45BB5F92"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ная</w:t>
            </w:r>
          </w:p>
        </w:tc>
      </w:tr>
      <w:tr w:rsidR="005106D0" w:rsidRPr="007224C3" w14:paraId="26A719C1"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17017762"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w:t>
            </w:r>
          </w:p>
        </w:tc>
        <w:tc>
          <w:tcPr>
            <w:tcW w:w="4239" w:type="dxa"/>
            <w:gridSpan w:val="2"/>
            <w:tcBorders>
              <w:top w:val="nil"/>
              <w:left w:val="nil"/>
              <w:bottom w:val="nil"/>
              <w:right w:val="single" w:sz="8" w:space="0" w:color="000000"/>
            </w:tcBorders>
            <w:tcMar>
              <w:top w:w="0" w:type="dxa"/>
              <w:left w:w="108" w:type="dxa"/>
              <w:bottom w:w="0" w:type="dxa"/>
              <w:right w:w="108" w:type="dxa"/>
            </w:tcMar>
            <w:hideMark/>
          </w:tcPr>
          <w:p w14:paraId="2E4DB2AF"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Ход опорных катков вверх</w:t>
            </w:r>
          </w:p>
        </w:tc>
        <w:tc>
          <w:tcPr>
            <w:tcW w:w="2849" w:type="dxa"/>
            <w:gridSpan w:val="2"/>
            <w:tcBorders>
              <w:top w:val="nil"/>
              <w:left w:val="nil"/>
              <w:bottom w:val="nil"/>
              <w:right w:val="single" w:sz="8" w:space="0" w:color="000000"/>
            </w:tcBorders>
            <w:tcMar>
              <w:top w:w="0" w:type="dxa"/>
              <w:left w:w="108" w:type="dxa"/>
              <w:bottom w:w="0" w:type="dxa"/>
              <w:right w:w="108" w:type="dxa"/>
            </w:tcMar>
            <w:hideMark/>
          </w:tcPr>
          <w:p w14:paraId="75CCB35F"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160 мм</w:t>
            </w:r>
          </w:p>
        </w:tc>
        <w:tc>
          <w:tcPr>
            <w:tcW w:w="2935" w:type="dxa"/>
            <w:tcBorders>
              <w:top w:val="nil"/>
              <w:left w:val="nil"/>
              <w:bottom w:val="nil"/>
              <w:right w:val="single" w:sz="8" w:space="0" w:color="000000"/>
            </w:tcBorders>
            <w:tcMar>
              <w:top w:w="0" w:type="dxa"/>
              <w:left w:w="108" w:type="dxa"/>
              <w:bottom w:w="0" w:type="dxa"/>
              <w:right w:w="108" w:type="dxa"/>
            </w:tcMar>
            <w:hideMark/>
          </w:tcPr>
          <w:p w14:paraId="490A2E82"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140 мм</w:t>
            </w:r>
          </w:p>
        </w:tc>
      </w:tr>
      <w:tr w:rsidR="005106D0" w:rsidRPr="007224C3" w14:paraId="0541534D"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7393C37F"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w:t>
            </w:r>
          </w:p>
        </w:tc>
        <w:tc>
          <w:tcPr>
            <w:tcW w:w="4239" w:type="dxa"/>
            <w:gridSpan w:val="2"/>
            <w:tcBorders>
              <w:top w:val="nil"/>
              <w:left w:val="nil"/>
              <w:bottom w:val="nil"/>
              <w:right w:val="single" w:sz="8" w:space="0" w:color="000000"/>
            </w:tcBorders>
            <w:tcMar>
              <w:top w:w="0" w:type="dxa"/>
              <w:left w:w="108" w:type="dxa"/>
              <w:bottom w:w="0" w:type="dxa"/>
              <w:right w:w="108" w:type="dxa"/>
            </w:tcMar>
            <w:hideMark/>
          </w:tcPr>
          <w:p w14:paraId="06BFDCCC"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Ход опорных катков вниз</w:t>
            </w:r>
          </w:p>
        </w:tc>
        <w:tc>
          <w:tcPr>
            <w:tcW w:w="2849" w:type="dxa"/>
            <w:gridSpan w:val="2"/>
            <w:tcBorders>
              <w:top w:val="nil"/>
              <w:left w:val="nil"/>
              <w:bottom w:val="nil"/>
              <w:right w:val="single" w:sz="8" w:space="0" w:color="000000"/>
            </w:tcBorders>
            <w:tcMar>
              <w:top w:w="0" w:type="dxa"/>
              <w:left w:w="108" w:type="dxa"/>
              <w:bottom w:w="0" w:type="dxa"/>
              <w:right w:w="108" w:type="dxa"/>
            </w:tcMar>
            <w:hideMark/>
          </w:tcPr>
          <w:p w14:paraId="098622C1"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110 мм</w:t>
            </w:r>
          </w:p>
        </w:tc>
        <w:tc>
          <w:tcPr>
            <w:tcW w:w="2935" w:type="dxa"/>
            <w:tcBorders>
              <w:top w:val="nil"/>
              <w:left w:val="nil"/>
              <w:bottom w:val="nil"/>
              <w:right w:val="single" w:sz="8" w:space="0" w:color="000000"/>
            </w:tcBorders>
            <w:tcMar>
              <w:top w:w="0" w:type="dxa"/>
              <w:left w:w="108" w:type="dxa"/>
              <w:bottom w:w="0" w:type="dxa"/>
              <w:right w:w="108" w:type="dxa"/>
            </w:tcMar>
            <w:hideMark/>
          </w:tcPr>
          <w:p w14:paraId="79EFF2C4"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75 ÷ 110 мм</w:t>
            </w:r>
          </w:p>
        </w:tc>
      </w:tr>
      <w:tr w:rsidR="005106D0" w:rsidRPr="007224C3" w14:paraId="523270F8" w14:textId="77777777" w:rsidTr="008053EA">
        <w:trPr>
          <w:trHeight w:val="736"/>
          <w:jc w:val="center"/>
        </w:trPr>
        <w:tc>
          <w:tcPr>
            <w:tcW w:w="10976" w:type="dxa"/>
            <w:gridSpan w:val="6"/>
            <w:tcBorders>
              <w:top w:val="nil"/>
              <w:left w:val="single" w:sz="8" w:space="0" w:color="000000"/>
              <w:bottom w:val="nil"/>
              <w:right w:val="single" w:sz="8" w:space="0" w:color="000000"/>
            </w:tcBorders>
            <w:tcMar>
              <w:top w:w="0" w:type="dxa"/>
              <w:left w:w="108" w:type="dxa"/>
              <w:bottom w:w="0" w:type="dxa"/>
              <w:right w:w="108" w:type="dxa"/>
            </w:tcMar>
            <w:vAlign w:val="center"/>
            <w:hideMark/>
          </w:tcPr>
          <w:p w14:paraId="36255B75"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21.ЦЕПЬ.</w:t>
            </w:r>
            <w:r w:rsidRPr="007224C3">
              <w:rPr>
                <w:rFonts w:ascii="Times New Roman" w:hAnsi="Times New Roman"/>
                <w:color w:val="000000" w:themeColor="text1"/>
                <w:sz w:val="16"/>
                <w:szCs w:val="16"/>
              </w:rPr>
              <w:t> </w:t>
            </w:r>
            <w:r w:rsidRPr="007224C3">
              <w:rPr>
                <w:rFonts w:ascii="Times New Roman" w:hAnsi="Times New Roman"/>
                <w:color w:val="000000" w:themeColor="text1"/>
                <w:sz w:val="16"/>
                <w:szCs w:val="16"/>
              </w:rPr>
              <w:t>ГУСЕНИЧНАЯ</w:t>
            </w:r>
            <w:r w:rsidRPr="007224C3">
              <w:rPr>
                <w:rFonts w:ascii="Times New Roman" w:hAnsi="Times New Roman"/>
                <w:color w:val="000000" w:themeColor="text1"/>
                <w:sz w:val="16"/>
                <w:szCs w:val="16"/>
              </w:rPr>
              <w:t> </w:t>
            </w:r>
          </w:p>
        </w:tc>
      </w:tr>
      <w:tr w:rsidR="005106D0" w:rsidRPr="007224C3" w14:paraId="75C220F4"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7424AF49" w14:textId="77777777" w:rsidR="00811C95" w:rsidRPr="007224C3" w:rsidRDefault="00811C95" w:rsidP="007224C3">
            <w:pPr>
              <w:spacing w:after="0" w:line="240" w:lineRule="auto"/>
              <w:jc w:val="both"/>
              <w:rPr>
                <w:rFonts w:ascii="Times New Roman" w:hAnsi="Times New Roman"/>
                <w:color w:val="000000" w:themeColor="text1"/>
                <w:sz w:val="16"/>
                <w:szCs w:val="16"/>
              </w:rPr>
            </w:pPr>
            <w:bookmarkStart w:id="75" w:name="_Hlk92744"/>
            <w:r w:rsidRPr="007224C3">
              <w:rPr>
                <w:rFonts w:ascii="Times New Roman" w:hAnsi="Times New Roman"/>
                <w:color w:val="000000" w:themeColor="text1"/>
                <w:sz w:val="16"/>
                <w:szCs w:val="16"/>
              </w:rPr>
              <w:t>1.</w:t>
            </w:r>
            <w:bookmarkEnd w:id="75"/>
          </w:p>
        </w:tc>
        <w:tc>
          <w:tcPr>
            <w:tcW w:w="4239" w:type="dxa"/>
            <w:gridSpan w:val="2"/>
            <w:tcBorders>
              <w:top w:val="nil"/>
              <w:left w:val="nil"/>
              <w:bottom w:val="nil"/>
              <w:right w:val="single" w:sz="8" w:space="0" w:color="000000"/>
            </w:tcBorders>
            <w:tcMar>
              <w:top w:w="0" w:type="dxa"/>
              <w:left w:w="108" w:type="dxa"/>
              <w:bottom w:w="0" w:type="dxa"/>
              <w:right w:w="108" w:type="dxa"/>
            </w:tcMar>
            <w:hideMark/>
          </w:tcPr>
          <w:p w14:paraId="3E657184"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Тип</w:t>
            </w:r>
          </w:p>
        </w:tc>
        <w:tc>
          <w:tcPr>
            <w:tcW w:w="2849" w:type="dxa"/>
            <w:gridSpan w:val="2"/>
            <w:tcBorders>
              <w:top w:val="nil"/>
              <w:left w:val="nil"/>
              <w:bottom w:val="nil"/>
              <w:right w:val="single" w:sz="8" w:space="0" w:color="000000"/>
            </w:tcBorders>
            <w:tcMar>
              <w:top w:w="0" w:type="dxa"/>
              <w:left w:w="108" w:type="dxa"/>
              <w:bottom w:w="0" w:type="dxa"/>
              <w:right w:w="108" w:type="dxa"/>
            </w:tcMar>
            <w:hideMark/>
          </w:tcPr>
          <w:p w14:paraId="54C0A14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Мелкозвенча-</w:t>
            </w:r>
          </w:p>
          <w:p w14:paraId="7CF90AB1"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тая –литая</w:t>
            </w:r>
          </w:p>
        </w:tc>
        <w:tc>
          <w:tcPr>
            <w:tcW w:w="2935" w:type="dxa"/>
            <w:tcBorders>
              <w:top w:val="nil"/>
              <w:left w:val="nil"/>
              <w:bottom w:val="nil"/>
              <w:right w:val="single" w:sz="8" w:space="0" w:color="000000"/>
            </w:tcBorders>
            <w:tcMar>
              <w:top w:w="0" w:type="dxa"/>
              <w:left w:w="108" w:type="dxa"/>
              <w:bottom w:w="0" w:type="dxa"/>
              <w:right w:w="108" w:type="dxa"/>
            </w:tcMar>
            <w:hideMark/>
          </w:tcPr>
          <w:p w14:paraId="791C34F0"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Мелкозвенча-</w:t>
            </w:r>
          </w:p>
          <w:p w14:paraId="4A27D924"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тая –литая.</w:t>
            </w:r>
          </w:p>
        </w:tc>
      </w:tr>
      <w:tr w:rsidR="005106D0" w:rsidRPr="007224C3" w14:paraId="7DB738B8"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3377198B"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p w14:paraId="7B1BA85C"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w:t>
            </w:r>
          </w:p>
        </w:tc>
        <w:tc>
          <w:tcPr>
            <w:tcW w:w="4239" w:type="dxa"/>
            <w:gridSpan w:val="2"/>
            <w:tcBorders>
              <w:top w:val="nil"/>
              <w:left w:val="nil"/>
              <w:bottom w:val="nil"/>
              <w:right w:val="single" w:sz="8" w:space="0" w:color="000000"/>
            </w:tcBorders>
            <w:tcMar>
              <w:top w:w="0" w:type="dxa"/>
              <w:left w:w="108" w:type="dxa"/>
              <w:bottom w:w="0" w:type="dxa"/>
              <w:right w:w="108" w:type="dxa"/>
            </w:tcMar>
            <w:hideMark/>
          </w:tcPr>
          <w:p w14:paraId="6F16BA78"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Тип зацепления</w:t>
            </w:r>
          </w:p>
        </w:tc>
        <w:tc>
          <w:tcPr>
            <w:tcW w:w="2849" w:type="dxa"/>
            <w:gridSpan w:val="2"/>
            <w:tcBorders>
              <w:top w:val="nil"/>
              <w:left w:val="nil"/>
              <w:bottom w:val="nil"/>
              <w:right w:val="single" w:sz="8" w:space="0" w:color="000000"/>
            </w:tcBorders>
            <w:tcMar>
              <w:top w:w="0" w:type="dxa"/>
              <w:left w:w="108" w:type="dxa"/>
              <w:bottom w:w="0" w:type="dxa"/>
              <w:right w:w="108" w:type="dxa"/>
            </w:tcMar>
            <w:hideMark/>
          </w:tcPr>
          <w:p w14:paraId="55FC80E8"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Гребневое</w:t>
            </w:r>
          </w:p>
        </w:tc>
        <w:tc>
          <w:tcPr>
            <w:tcW w:w="2935" w:type="dxa"/>
            <w:tcBorders>
              <w:top w:val="nil"/>
              <w:left w:val="nil"/>
              <w:bottom w:val="nil"/>
              <w:right w:val="single" w:sz="8" w:space="0" w:color="000000"/>
            </w:tcBorders>
            <w:tcMar>
              <w:top w:w="0" w:type="dxa"/>
              <w:left w:w="108" w:type="dxa"/>
              <w:bottom w:w="0" w:type="dxa"/>
              <w:right w:w="108" w:type="dxa"/>
            </w:tcMar>
            <w:hideMark/>
          </w:tcPr>
          <w:p w14:paraId="52EA3319"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Гребневое</w:t>
            </w:r>
          </w:p>
        </w:tc>
      </w:tr>
      <w:tr w:rsidR="005106D0" w:rsidRPr="007224C3" w14:paraId="516F178B"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7907E799"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p w14:paraId="3F4CC30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w:t>
            </w:r>
          </w:p>
          <w:p w14:paraId="7EE3CE44"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w:t>
            </w:r>
          </w:p>
          <w:p w14:paraId="046D1346"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w:t>
            </w:r>
          </w:p>
          <w:p w14:paraId="67890E9D"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w:t>
            </w:r>
          </w:p>
        </w:tc>
        <w:tc>
          <w:tcPr>
            <w:tcW w:w="4239" w:type="dxa"/>
            <w:gridSpan w:val="2"/>
            <w:tcBorders>
              <w:top w:val="nil"/>
              <w:left w:val="nil"/>
              <w:bottom w:val="nil"/>
              <w:right w:val="single" w:sz="8" w:space="0" w:color="000000"/>
            </w:tcBorders>
            <w:tcMar>
              <w:top w:w="0" w:type="dxa"/>
              <w:left w:w="108" w:type="dxa"/>
              <w:bottom w:w="0" w:type="dxa"/>
              <w:right w:w="108" w:type="dxa"/>
            </w:tcMar>
            <w:hideMark/>
          </w:tcPr>
          <w:p w14:paraId="100280F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Количество траков в ленте</w:t>
            </w:r>
          </w:p>
        </w:tc>
        <w:tc>
          <w:tcPr>
            <w:tcW w:w="2849" w:type="dxa"/>
            <w:gridSpan w:val="2"/>
            <w:tcBorders>
              <w:top w:val="nil"/>
              <w:left w:val="nil"/>
              <w:bottom w:val="nil"/>
              <w:right w:val="single" w:sz="8" w:space="0" w:color="000000"/>
            </w:tcBorders>
            <w:tcMar>
              <w:top w:w="0" w:type="dxa"/>
              <w:left w:w="108" w:type="dxa"/>
              <w:bottom w:w="0" w:type="dxa"/>
              <w:right w:w="108" w:type="dxa"/>
            </w:tcMar>
            <w:hideMark/>
          </w:tcPr>
          <w:p w14:paraId="4B1B4F96"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37 шт греб-</w:t>
            </w:r>
          </w:p>
          <w:p w14:paraId="71C919FC"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невых, 37 шт</w:t>
            </w:r>
          </w:p>
          <w:p w14:paraId="4AF6D959"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без гребне-</w:t>
            </w:r>
          </w:p>
          <w:p w14:paraId="7AFD0E75"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вых</w:t>
            </w:r>
          </w:p>
        </w:tc>
        <w:tc>
          <w:tcPr>
            <w:tcW w:w="2935" w:type="dxa"/>
            <w:tcBorders>
              <w:top w:val="nil"/>
              <w:left w:val="nil"/>
              <w:bottom w:val="nil"/>
              <w:right w:val="single" w:sz="8" w:space="0" w:color="000000"/>
            </w:tcBorders>
            <w:tcMar>
              <w:top w:w="0" w:type="dxa"/>
              <w:left w:w="108" w:type="dxa"/>
              <w:bottom w:w="0" w:type="dxa"/>
              <w:right w:w="108" w:type="dxa"/>
            </w:tcMar>
            <w:hideMark/>
          </w:tcPr>
          <w:p w14:paraId="5920AA9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36 шт греб-</w:t>
            </w:r>
          </w:p>
          <w:p w14:paraId="553E6303"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невых, 35 шт</w:t>
            </w:r>
          </w:p>
          <w:p w14:paraId="55694E58"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без гребне-</w:t>
            </w:r>
          </w:p>
          <w:p w14:paraId="43EF6128"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вых</w:t>
            </w:r>
          </w:p>
        </w:tc>
      </w:tr>
      <w:tr w:rsidR="005106D0" w:rsidRPr="007224C3" w14:paraId="4CF07D48"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2DE70B6F" w14:textId="77777777" w:rsidR="00811C95" w:rsidRPr="007224C3" w:rsidRDefault="00811C95" w:rsidP="007224C3">
            <w:pPr>
              <w:spacing w:after="0" w:line="240" w:lineRule="auto"/>
              <w:jc w:val="both"/>
              <w:rPr>
                <w:rFonts w:ascii="Times New Roman" w:hAnsi="Times New Roman"/>
                <w:color w:val="000000" w:themeColor="text1"/>
                <w:sz w:val="16"/>
                <w:szCs w:val="16"/>
              </w:rPr>
            </w:pPr>
            <w:bookmarkStart w:id="76" w:name="_Hlk92715"/>
            <w:r w:rsidRPr="007224C3">
              <w:rPr>
                <w:rFonts w:ascii="Times New Roman" w:hAnsi="Times New Roman"/>
                <w:color w:val="000000" w:themeColor="text1"/>
                <w:sz w:val="16"/>
                <w:szCs w:val="16"/>
              </w:rPr>
              <w:t>4.</w:t>
            </w:r>
            <w:bookmarkEnd w:id="76"/>
          </w:p>
        </w:tc>
        <w:tc>
          <w:tcPr>
            <w:tcW w:w="4239" w:type="dxa"/>
            <w:gridSpan w:val="2"/>
            <w:tcBorders>
              <w:top w:val="nil"/>
              <w:left w:val="nil"/>
              <w:bottom w:val="nil"/>
              <w:right w:val="single" w:sz="8" w:space="0" w:color="000000"/>
            </w:tcBorders>
            <w:tcMar>
              <w:top w:w="0" w:type="dxa"/>
              <w:left w:w="108" w:type="dxa"/>
              <w:bottom w:w="0" w:type="dxa"/>
              <w:right w:w="108" w:type="dxa"/>
            </w:tcMar>
            <w:hideMark/>
          </w:tcPr>
          <w:p w14:paraId="13AE764C"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Тип соединения</w:t>
            </w:r>
          </w:p>
        </w:tc>
        <w:tc>
          <w:tcPr>
            <w:tcW w:w="2849" w:type="dxa"/>
            <w:gridSpan w:val="2"/>
            <w:tcBorders>
              <w:top w:val="nil"/>
              <w:left w:val="nil"/>
              <w:bottom w:val="nil"/>
              <w:right w:val="single" w:sz="8" w:space="0" w:color="000000"/>
            </w:tcBorders>
            <w:tcMar>
              <w:top w:w="0" w:type="dxa"/>
              <w:left w:w="108" w:type="dxa"/>
              <w:bottom w:w="0" w:type="dxa"/>
              <w:right w:w="108" w:type="dxa"/>
            </w:tcMar>
            <w:hideMark/>
          </w:tcPr>
          <w:p w14:paraId="26FCF456"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Шарнирное - </w:t>
            </w:r>
          </w:p>
          <w:p w14:paraId="51365FF5"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пальцами с</w:t>
            </w:r>
          </w:p>
          <w:p w14:paraId="2E0C163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головками</w:t>
            </w:r>
          </w:p>
          <w:p w14:paraId="20BE1301"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б/шпл.</w:t>
            </w:r>
          </w:p>
        </w:tc>
        <w:tc>
          <w:tcPr>
            <w:tcW w:w="2935" w:type="dxa"/>
            <w:tcBorders>
              <w:top w:val="nil"/>
              <w:left w:val="nil"/>
              <w:bottom w:val="nil"/>
              <w:right w:val="single" w:sz="8" w:space="0" w:color="000000"/>
            </w:tcBorders>
            <w:tcMar>
              <w:top w:w="0" w:type="dxa"/>
              <w:left w:w="108" w:type="dxa"/>
              <w:bottom w:w="0" w:type="dxa"/>
              <w:right w:w="108" w:type="dxa"/>
            </w:tcMar>
            <w:hideMark/>
          </w:tcPr>
          <w:p w14:paraId="36EBD5F8"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Шарнирное - </w:t>
            </w:r>
          </w:p>
          <w:p w14:paraId="107C6550"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пальцами с</w:t>
            </w:r>
          </w:p>
          <w:p w14:paraId="0F4755DA"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головками</w:t>
            </w:r>
          </w:p>
          <w:p w14:paraId="3EB550FB"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б/шпл.</w:t>
            </w:r>
          </w:p>
        </w:tc>
      </w:tr>
      <w:tr w:rsidR="005106D0" w:rsidRPr="007224C3" w14:paraId="435763B9"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410313AA"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tc>
        <w:tc>
          <w:tcPr>
            <w:tcW w:w="4239" w:type="dxa"/>
            <w:gridSpan w:val="2"/>
            <w:tcBorders>
              <w:top w:val="nil"/>
              <w:left w:val="nil"/>
              <w:bottom w:val="nil"/>
              <w:right w:val="single" w:sz="8" w:space="0" w:color="000000"/>
            </w:tcBorders>
            <w:tcMar>
              <w:top w:w="0" w:type="dxa"/>
              <w:left w:w="108" w:type="dxa"/>
              <w:bottom w:w="0" w:type="dxa"/>
              <w:right w:w="108" w:type="dxa"/>
            </w:tcMar>
            <w:hideMark/>
          </w:tcPr>
          <w:p w14:paraId="2E1638CD"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Шаг</w:t>
            </w:r>
          </w:p>
        </w:tc>
        <w:tc>
          <w:tcPr>
            <w:tcW w:w="2849" w:type="dxa"/>
            <w:gridSpan w:val="2"/>
            <w:tcBorders>
              <w:top w:val="nil"/>
              <w:left w:val="nil"/>
              <w:bottom w:val="nil"/>
              <w:right w:val="single" w:sz="8" w:space="0" w:color="000000"/>
            </w:tcBorders>
            <w:tcMar>
              <w:top w:w="0" w:type="dxa"/>
              <w:left w:w="108" w:type="dxa"/>
              <w:bottom w:w="0" w:type="dxa"/>
              <w:right w:w="108" w:type="dxa"/>
            </w:tcMar>
            <w:hideMark/>
          </w:tcPr>
          <w:p w14:paraId="258DD45C"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172 мм</w:t>
            </w:r>
          </w:p>
        </w:tc>
        <w:tc>
          <w:tcPr>
            <w:tcW w:w="2935" w:type="dxa"/>
            <w:tcBorders>
              <w:top w:val="nil"/>
              <w:left w:val="nil"/>
              <w:bottom w:val="nil"/>
              <w:right w:val="single" w:sz="8" w:space="0" w:color="000000"/>
            </w:tcBorders>
            <w:tcMar>
              <w:top w:w="0" w:type="dxa"/>
              <w:left w:w="108" w:type="dxa"/>
              <w:bottom w:w="0" w:type="dxa"/>
              <w:right w:w="108" w:type="dxa"/>
            </w:tcMar>
            <w:hideMark/>
          </w:tcPr>
          <w:p w14:paraId="4D1896A0"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172 мм</w:t>
            </w:r>
          </w:p>
        </w:tc>
      </w:tr>
      <w:tr w:rsidR="005106D0" w:rsidRPr="007224C3" w14:paraId="48F22B80"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0A9983C1"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w:t>
            </w:r>
          </w:p>
        </w:tc>
        <w:tc>
          <w:tcPr>
            <w:tcW w:w="4239" w:type="dxa"/>
            <w:gridSpan w:val="2"/>
            <w:tcBorders>
              <w:top w:val="nil"/>
              <w:left w:val="nil"/>
              <w:bottom w:val="nil"/>
              <w:right w:val="single" w:sz="8" w:space="0" w:color="000000"/>
            </w:tcBorders>
            <w:tcMar>
              <w:top w:w="0" w:type="dxa"/>
              <w:left w:w="108" w:type="dxa"/>
              <w:bottom w:w="0" w:type="dxa"/>
              <w:right w:w="108" w:type="dxa"/>
            </w:tcMar>
            <w:hideMark/>
          </w:tcPr>
          <w:p w14:paraId="3E604AE5"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Ширина трака</w:t>
            </w:r>
          </w:p>
        </w:tc>
        <w:tc>
          <w:tcPr>
            <w:tcW w:w="2849" w:type="dxa"/>
            <w:gridSpan w:val="2"/>
            <w:tcBorders>
              <w:top w:val="nil"/>
              <w:left w:val="nil"/>
              <w:bottom w:val="nil"/>
              <w:right w:val="single" w:sz="8" w:space="0" w:color="000000"/>
            </w:tcBorders>
            <w:tcMar>
              <w:top w:w="0" w:type="dxa"/>
              <w:left w:w="108" w:type="dxa"/>
              <w:bottom w:w="0" w:type="dxa"/>
              <w:right w:w="108" w:type="dxa"/>
            </w:tcMar>
            <w:hideMark/>
          </w:tcPr>
          <w:p w14:paraId="0F260D7C"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500 мм</w:t>
            </w:r>
          </w:p>
        </w:tc>
        <w:tc>
          <w:tcPr>
            <w:tcW w:w="2935" w:type="dxa"/>
            <w:tcBorders>
              <w:top w:val="nil"/>
              <w:left w:val="nil"/>
              <w:bottom w:val="nil"/>
              <w:right w:val="single" w:sz="8" w:space="0" w:color="000000"/>
            </w:tcBorders>
            <w:tcMar>
              <w:top w:w="0" w:type="dxa"/>
              <w:left w:w="108" w:type="dxa"/>
              <w:bottom w:w="0" w:type="dxa"/>
              <w:right w:w="108" w:type="dxa"/>
            </w:tcMar>
            <w:hideMark/>
          </w:tcPr>
          <w:p w14:paraId="41DFFCCD"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500 мм</w:t>
            </w:r>
          </w:p>
        </w:tc>
      </w:tr>
      <w:tr w:rsidR="005106D0" w:rsidRPr="007224C3" w14:paraId="21EFF91E"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0D7B9DFA"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w:t>
            </w:r>
          </w:p>
        </w:tc>
        <w:tc>
          <w:tcPr>
            <w:tcW w:w="4239" w:type="dxa"/>
            <w:gridSpan w:val="2"/>
            <w:tcBorders>
              <w:top w:val="nil"/>
              <w:left w:val="nil"/>
              <w:bottom w:val="nil"/>
              <w:right w:val="single" w:sz="8" w:space="0" w:color="000000"/>
            </w:tcBorders>
            <w:tcMar>
              <w:top w:w="0" w:type="dxa"/>
              <w:left w:w="108" w:type="dxa"/>
              <w:bottom w:w="0" w:type="dxa"/>
              <w:right w:w="108" w:type="dxa"/>
            </w:tcMar>
            <w:hideMark/>
          </w:tcPr>
          <w:p w14:paraId="5A683671"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Высота гребня по беговой</w:t>
            </w:r>
          </w:p>
          <w:p w14:paraId="6AFD76D9"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дорожке</w:t>
            </w:r>
          </w:p>
        </w:tc>
        <w:tc>
          <w:tcPr>
            <w:tcW w:w="2849" w:type="dxa"/>
            <w:gridSpan w:val="2"/>
            <w:tcBorders>
              <w:top w:val="nil"/>
              <w:left w:val="nil"/>
              <w:bottom w:val="nil"/>
              <w:right w:val="single" w:sz="8" w:space="0" w:color="000000"/>
            </w:tcBorders>
            <w:tcMar>
              <w:top w:w="0" w:type="dxa"/>
              <w:left w:w="108" w:type="dxa"/>
              <w:bottom w:w="0" w:type="dxa"/>
              <w:right w:w="108" w:type="dxa"/>
            </w:tcMar>
            <w:vAlign w:val="bottom"/>
            <w:hideMark/>
          </w:tcPr>
          <w:p w14:paraId="18C54EF5"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136 мм</w:t>
            </w:r>
          </w:p>
        </w:tc>
        <w:tc>
          <w:tcPr>
            <w:tcW w:w="2935" w:type="dxa"/>
            <w:tcBorders>
              <w:top w:val="nil"/>
              <w:left w:val="nil"/>
              <w:bottom w:val="nil"/>
              <w:right w:val="single" w:sz="8" w:space="0" w:color="000000"/>
            </w:tcBorders>
            <w:tcMar>
              <w:top w:w="0" w:type="dxa"/>
              <w:left w:w="108" w:type="dxa"/>
              <w:bottom w:w="0" w:type="dxa"/>
              <w:right w:w="108" w:type="dxa"/>
            </w:tcMar>
            <w:vAlign w:val="bottom"/>
            <w:hideMark/>
          </w:tcPr>
          <w:p w14:paraId="6472C4AC"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136 мм</w:t>
            </w:r>
          </w:p>
        </w:tc>
      </w:tr>
      <w:tr w:rsidR="005106D0" w:rsidRPr="007224C3" w14:paraId="14DDA15C" w14:textId="77777777" w:rsidTr="008053EA">
        <w:trPr>
          <w:trHeight w:val="736"/>
          <w:jc w:val="center"/>
        </w:trPr>
        <w:tc>
          <w:tcPr>
            <w:tcW w:w="10976" w:type="dxa"/>
            <w:gridSpan w:val="6"/>
            <w:tcBorders>
              <w:top w:val="nil"/>
              <w:left w:val="single" w:sz="8" w:space="0" w:color="000000"/>
              <w:bottom w:val="nil"/>
              <w:right w:val="single" w:sz="8" w:space="0" w:color="000000"/>
            </w:tcBorders>
            <w:tcMar>
              <w:top w:w="0" w:type="dxa"/>
              <w:left w:w="108" w:type="dxa"/>
              <w:bottom w:w="0" w:type="dxa"/>
              <w:right w:w="108" w:type="dxa"/>
            </w:tcMar>
            <w:vAlign w:val="center"/>
            <w:hideMark/>
          </w:tcPr>
          <w:p w14:paraId="0E34A654"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w:t>
            </w:r>
            <w:bookmarkStart w:id="77" w:name="OLE_LINK239"/>
            <w:bookmarkStart w:id="78" w:name="OLE_LINK238"/>
            <w:bookmarkEnd w:id="77"/>
            <w:bookmarkEnd w:id="78"/>
            <w:r w:rsidRPr="007224C3">
              <w:rPr>
                <w:rFonts w:ascii="Times New Roman" w:hAnsi="Times New Roman"/>
                <w:color w:val="000000" w:themeColor="text1"/>
                <w:sz w:val="16"/>
                <w:szCs w:val="16"/>
              </w:rPr>
              <w:t>22.ЭЛЕКТРООБОРУДОВАНИЕ.</w:t>
            </w:r>
            <w:r w:rsidRPr="007224C3">
              <w:rPr>
                <w:rFonts w:ascii="Times New Roman" w:hAnsi="Times New Roman"/>
                <w:color w:val="000000" w:themeColor="text1"/>
                <w:sz w:val="16"/>
                <w:szCs w:val="16"/>
              </w:rPr>
              <w:t> </w:t>
            </w:r>
          </w:p>
        </w:tc>
      </w:tr>
      <w:tr w:rsidR="005106D0" w:rsidRPr="007224C3" w14:paraId="10B2DE76"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15840CC8" w14:textId="77777777" w:rsidR="00811C95" w:rsidRPr="007224C3" w:rsidRDefault="00811C95" w:rsidP="007224C3">
            <w:pPr>
              <w:spacing w:after="0" w:line="240" w:lineRule="auto"/>
              <w:jc w:val="both"/>
              <w:rPr>
                <w:rFonts w:ascii="Times New Roman" w:hAnsi="Times New Roman"/>
                <w:color w:val="000000" w:themeColor="text1"/>
                <w:sz w:val="16"/>
                <w:szCs w:val="16"/>
              </w:rPr>
            </w:pPr>
            <w:bookmarkStart w:id="79" w:name="_Hlk93375"/>
            <w:r w:rsidRPr="007224C3">
              <w:rPr>
                <w:rFonts w:ascii="Times New Roman" w:hAnsi="Times New Roman"/>
                <w:color w:val="000000" w:themeColor="text1"/>
                <w:sz w:val="16"/>
                <w:szCs w:val="16"/>
              </w:rPr>
              <w:t>1.</w:t>
            </w:r>
            <w:bookmarkEnd w:id="79"/>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05EB1DA4"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Система проводки</w:t>
            </w:r>
          </w:p>
        </w:tc>
        <w:tc>
          <w:tcPr>
            <w:tcW w:w="2836" w:type="dxa"/>
            <w:tcBorders>
              <w:top w:val="nil"/>
              <w:left w:val="nil"/>
              <w:bottom w:val="nil"/>
              <w:right w:val="single" w:sz="8" w:space="0" w:color="000000"/>
            </w:tcBorders>
            <w:tcMar>
              <w:top w:w="0" w:type="dxa"/>
              <w:left w:w="108" w:type="dxa"/>
              <w:bottom w:w="0" w:type="dxa"/>
              <w:right w:w="108" w:type="dxa"/>
            </w:tcMar>
            <w:hideMark/>
          </w:tcPr>
          <w:p w14:paraId="27DCCCE9"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Однопроводная</w:t>
            </w:r>
          </w:p>
        </w:tc>
        <w:tc>
          <w:tcPr>
            <w:tcW w:w="2935" w:type="dxa"/>
            <w:tcBorders>
              <w:top w:val="nil"/>
              <w:left w:val="nil"/>
              <w:bottom w:val="nil"/>
              <w:right w:val="single" w:sz="8" w:space="0" w:color="000000"/>
            </w:tcBorders>
            <w:tcMar>
              <w:top w:w="0" w:type="dxa"/>
              <w:left w:w="108" w:type="dxa"/>
              <w:bottom w:w="0" w:type="dxa"/>
              <w:right w:w="108" w:type="dxa"/>
            </w:tcMar>
            <w:hideMark/>
          </w:tcPr>
          <w:p w14:paraId="5CADC030"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Однопроводная</w:t>
            </w:r>
          </w:p>
        </w:tc>
      </w:tr>
      <w:tr w:rsidR="005106D0" w:rsidRPr="007224C3" w14:paraId="37AF31C9"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390D135C"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45AC76A1"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Напряжение в сети</w:t>
            </w:r>
          </w:p>
        </w:tc>
        <w:tc>
          <w:tcPr>
            <w:tcW w:w="2836" w:type="dxa"/>
            <w:tcBorders>
              <w:top w:val="nil"/>
              <w:left w:val="nil"/>
              <w:bottom w:val="nil"/>
              <w:right w:val="single" w:sz="8" w:space="0" w:color="000000"/>
            </w:tcBorders>
            <w:tcMar>
              <w:top w:w="0" w:type="dxa"/>
              <w:left w:w="108" w:type="dxa"/>
              <w:bottom w:w="0" w:type="dxa"/>
              <w:right w:w="108" w:type="dxa"/>
            </w:tcMar>
            <w:hideMark/>
          </w:tcPr>
          <w:p w14:paraId="044FDFE6"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и 24 V</w:t>
            </w:r>
          </w:p>
        </w:tc>
        <w:tc>
          <w:tcPr>
            <w:tcW w:w="2935" w:type="dxa"/>
            <w:tcBorders>
              <w:top w:val="nil"/>
              <w:left w:val="nil"/>
              <w:bottom w:val="nil"/>
              <w:right w:val="single" w:sz="8" w:space="0" w:color="000000"/>
            </w:tcBorders>
            <w:tcMar>
              <w:top w:w="0" w:type="dxa"/>
              <w:left w:w="108" w:type="dxa"/>
              <w:bottom w:w="0" w:type="dxa"/>
              <w:right w:w="108" w:type="dxa"/>
            </w:tcMar>
            <w:hideMark/>
          </w:tcPr>
          <w:p w14:paraId="074D3321"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и 24 V</w:t>
            </w:r>
          </w:p>
        </w:tc>
      </w:tr>
      <w:tr w:rsidR="005106D0" w:rsidRPr="007224C3" w14:paraId="1370F17B" w14:textId="77777777" w:rsidTr="008053EA">
        <w:trPr>
          <w:jc w:val="center"/>
        </w:trPr>
        <w:tc>
          <w:tcPr>
            <w:tcW w:w="953" w:type="dxa"/>
            <w:vMerge w:val="restart"/>
            <w:tcBorders>
              <w:top w:val="nil"/>
              <w:left w:val="single" w:sz="8" w:space="0" w:color="000000"/>
              <w:bottom w:val="nil"/>
              <w:right w:val="single" w:sz="8" w:space="0" w:color="000000"/>
            </w:tcBorders>
            <w:tcMar>
              <w:top w:w="0" w:type="dxa"/>
              <w:left w:w="108" w:type="dxa"/>
              <w:bottom w:w="0" w:type="dxa"/>
              <w:right w:w="108" w:type="dxa"/>
            </w:tcMar>
            <w:hideMark/>
          </w:tcPr>
          <w:p w14:paraId="5715B9B8"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7782AF8B"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Электрогенератор – марка</w:t>
            </w:r>
          </w:p>
        </w:tc>
        <w:tc>
          <w:tcPr>
            <w:tcW w:w="2836" w:type="dxa"/>
            <w:tcBorders>
              <w:top w:val="nil"/>
              <w:left w:val="nil"/>
              <w:bottom w:val="nil"/>
              <w:right w:val="single" w:sz="8" w:space="0" w:color="000000"/>
            </w:tcBorders>
            <w:tcMar>
              <w:top w:w="0" w:type="dxa"/>
              <w:left w:w="108" w:type="dxa"/>
              <w:bottom w:w="0" w:type="dxa"/>
              <w:right w:w="108" w:type="dxa"/>
            </w:tcMar>
            <w:hideMark/>
          </w:tcPr>
          <w:p w14:paraId="6B955052"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ГТ-4563 А</w:t>
            </w:r>
          </w:p>
        </w:tc>
        <w:tc>
          <w:tcPr>
            <w:tcW w:w="2935" w:type="dxa"/>
            <w:tcBorders>
              <w:top w:val="nil"/>
              <w:left w:val="nil"/>
              <w:bottom w:val="nil"/>
              <w:right w:val="single" w:sz="8" w:space="0" w:color="000000"/>
            </w:tcBorders>
            <w:tcMar>
              <w:top w:w="0" w:type="dxa"/>
              <w:left w:w="108" w:type="dxa"/>
              <w:bottom w:w="0" w:type="dxa"/>
              <w:right w:w="108" w:type="dxa"/>
            </w:tcMar>
            <w:hideMark/>
          </w:tcPr>
          <w:p w14:paraId="5A37381F"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ГТ-4563 А</w:t>
            </w:r>
          </w:p>
        </w:tc>
      </w:tr>
      <w:tr w:rsidR="005106D0" w:rsidRPr="007224C3" w14:paraId="03589909" w14:textId="77777777" w:rsidTr="008053EA">
        <w:trPr>
          <w:jc w:val="center"/>
        </w:trPr>
        <w:tc>
          <w:tcPr>
            <w:tcW w:w="953" w:type="dxa"/>
            <w:vMerge/>
            <w:tcBorders>
              <w:top w:val="nil"/>
              <w:left w:val="single" w:sz="8" w:space="0" w:color="000000"/>
              <w:bottom w:val="nil"/>
              <w:right w:val="single" w:sz="8" w:space="0" w:color="000000"/>
            </w:tcBorders>
            <w:vAlign w:val="center"/>
            <w:hideMark/>
          </w:tcPr>
          <w:p w14:paraId="6EECA498" w14:textId="77777777" w:rsidR="00811C95" w:rsidRPr="007224C3" w:rsidRDefault="00811C95" w:rsidP="007224C3">
            <w:pPr>
              <w:spacing w:after="0" w:line="240" w:lineRule="auto"/>
              <w:jc w:val="both"/>
              <w:rPr>
                <w:rFonts w:ascii="Times New Roman" w:hAnsi="Times New Roman"/>
                <w:color w:val="000000" w:themeColor="text1"/>
                <w:sz w:val="16"/>
                <w:szCs w:val="16"/>
              </w:rPr>
            </w:pP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07733BC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мощность</w:t>
            </w:r>
          </w:p>
        </w:tc>
        <w:tc>
          <w:tcPr>
            <w:tcW w:w="2836" w:type="dxa"/>
            <w:tcBorders>
              <w:top w:val="nil"/>
              <w:left w:val="nil"/>
              <w:bottom w:val="nil"/>
              <w:right w:val="single" w:sz="8" w:space="0" w:color="000000"/>
            </w:tcBorders>
            <w:tcMar>
              <w:top w:w="0" w:type="dxa"/>
              <w:left w:w="108" w:type="dxa"/>
              <w:bottom w:w="0" w:type="dxa"/>
              <w:right w:w="108" w:type="dxa"/>
            </w:tcMar>
            <w:hideMark/>
          </w:tcPr>
          <w:p w14:paraId="6ACA068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1000 W</w:t>
            </w:r>
          </w:p>
        </w:tc>
        <w:tc>
          <w:tcPr>
            <w:tcW w:w="2935" w:type="dxa"/>
            <w:tcBorders>
              <w:top w:val="nil"/>
              <w:left w:val="nil"/>
              <w:bottom w:val="nil"/>
              <w:right w:val="single" w:sz="8" w:space="0" w:color="000000"/>
            </w:tcBorders>
            <w:tcMar>
              <w:top w:w="0" w:type="dxa"/>
              <w:left w:w="108" w:type="dxa"/>
              <w:bottom w:w="0" w:type="dxa"/>
              <w:right w:w="108" w:type="dxa"/>
            </w:tcMar>
            <w:hideMark/>
          </w:tcPr>
          <w:p w14:paraId="636A62A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1000 W</w:t>
            </w:r>
          </w:p>
        </w:tc>
      </w:tr>
      <w:tr w:rsidR="005106D0" w:rsidRPr="007224C3" w14:paraId="5F79AB7A" w14:textId="77777777" w:rsidTr="008053EA">
        <w:trPr>
          <w:jc w:val="center"/>
        </w:trPr>
        <w:tc>
          <w:tcPr>
            <w:tcW w:w="953" w:type="dxa"/>
            <w:vMerge/>
            <w:tcBorders>
              <w:top w:val="nil"/>
              <w:left w:val="single" w:sz="8" w:space="0" w:color="000000"/>
              <w:bottom w:val="nil"/>
              <w:right w:val="single" w:sz="8" w:space="0" w:color="000000"/>
            </w:tcBorders>
            <w:vAlign w:val="center"/>
            <w:hideMark/>
          </w:tcPr>
          <w:p w14:paraId="78F3B05A" w14:textId="77777777" w:rsidR="00811C95" w:rsidRPr="007224C3" w:rsidRDefault="00811C95" w:rsidP="007224C3">
            <w:pPr>
              <w:spacing w:after="0" w:line="240" w:lineRule="auto"/>
              <w:jc w:val="both"/>
              <w:rPr>
                <w:rFonts w:ascii="Times New Roman" w:hAnsi="Times New Roman"/>
                <w:color w:val="000000" w:themeColor="text1"/>
                <w:sz w:val="16"/>
                <w:szCs w:val="16"/>
              </w:rPr>
            </w:pP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37C174D7"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напряжение</w:t>
            </w:r>
          </w:p>
        </w:tc>
        <w:tc>
          <w:tcPr>
            <w:tcW w:w="2836" w:type="dxa"/>
            <w:tcBorders>
              <w:top w:val="nil"/>
              <w:left w:val="nil"/>
              <w:bottom w:val="nil"/>
              <w:right w:val="single" w:sz="8" w:space="0" w:color="000000"/>
            </w:tcBorders>
            <w:tcMar>
              <w:top w:w="0" w:type="dxa"/>
              <w:left w:w="108" w:type="dxa"/>
              <w:bottom w:w="0" w:type="dxa"/>
              <w:right w:w="108" w:type="dxa"/>
            </w:tcMar>
            <w:hideMark/>
          </w:tcPr>
          <w:p w14:paraId="13AC3799"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V</w:t>
            </w:r>
          </w:p>
        </w:tc>
        <w:tc>
          <w:tcPr>
            <w:tcW w:w="2935" w:type="dxa"/>
            <w:tcBorders>
              <w:top w:val="nil"/>
              <w:left w:val="nil"/>
              <w:bottom w:val="nil"/>
              <w:right w:val="single" w:sz="8" w:space="0" w:color="000000"/>
            </w:tcBorders>
            <w:tcMar>
              <w:top w:w="0" w:type="dxa"/>
              <w:left w:w="108" w:type="dxa"/>
              <w:bottom w:w="0" w:type="dxa"/>
              <w:right w:w="108" w:type="dxa"/>
            </w:tcMar>
            <w:hideMark/>
          </w:tcPr>
          <w:p w14:paraId="50DD93BD"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V</w:t>
            </w:r>
          </w:p>
        </w:tc>
      </w:tr>
      <w:tr w:rsidR="005106D0" w:rsidRPr="007224C3" w14:paraId="26209B03" w14:textId="77777777" w:rsidTr="008053EA">
        <w:trPr>
          <w:jc w:val="center"/>
        </w:trPr>
        <w:tc>
          <w:tcPr>
            <w:tcW w:w="953" w:type="dxa"/>
            <w:vMerge w:val="restart"/>
            <w:tcBorders>
              <w:top w:val="nil"/>
              <w:left w:val="single" w:sz="8" w:space="0" w:color="000000"/>
              <w:bottom w:val="nil"/>
              <w:right w:val="single" w:sz="8" w:space="0" w:color="000000"/>
            </w:tcBorders>
            <w:tcMar>
              <w:top w:w="0" w:type="dxa"/>
              <w:left w:w="108" w:type="dxa"/>
              <w:bottom w:w="0" w:type="dxa"/>
              <w:right w:w="108" w:type="dxa"/>
            </w:tcMar>
            <w:hideMark/>
          </w:tcPr>
          <w:p w14:paraId="59B43DC9"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72B33962"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Аккумуляторные батареи</w:t>
            </w:r>
          </w:p>
          <w:p w14:paraId="60AD5DFC"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тип</w:t>
            </w:r>
          </w:p>
        </w:tc>
        <w:tc>
          <w:tcPr>
            <w:tcW w:w="2836" w:type="dxa"/>
            <w:tcBorders>
              <w:top w:val="nil"/>
              <w:left w:val="nil"/>
              <w:bottom w:val="nil"/>
              <w:right w:val="single" w:sz="8" w:space="0" w:color="000000"/>
            </w:tcBorders>
            <w:tcMar>
              <w:top w:w="0" w:type="dxa"/>
              <w:left w:w="108" w:type="dxa"/>
              <w:bottom w:w="0" w:type="dxa"/>
              <w:right w:w="108" w:type="dxa"/>
            </w:tcMar>
            <w:hideMark/>
          </w:tcPr>
          <w:p w14:paraId="75FB7046"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6СТЭ-12</w:t>
            </w:r>
          </w:p>
          <w:p w14:paraId="4A0F2491"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(свинц.)</w:t>
            </w:r>
          </w:p>
        </w:tc>
        <w:tc>
          <w:tcPr>
            <w:tcW w:w="2935" w:type="dxa"/>
            <w:tcBorders>
              <w:top w:val="nil"/>
              <w:left w:val="nil"/>
              <w:bottom w:val="nil"/>
              <w:right w:val="single" w:sz="8" w:space="0" w:color="000000"/>
            </w:tcBorders>
            <w:tcMar>
              <w:top w:w="0" w:type="dxa"/>
              <w:left w:w="108" w:type="dxa"/>
              <w:bottom w:w="0" w:type="dxa"/>
              <w:right w:w="108" w:type="dxa"/>
            </w:tcMar>
            <w:hideMark/>
          </w:tcPr>
          <w:p w14:paraId="41FAA152"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6СТЭ-12</w:t>
            </w:r>
          </w:p>
          <w:p w14:paraId="470BAE0A"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(свинц.)</w:t>
            </w:r>
          </w:p>
        </w:tc>
      </w:tr>
      <w:tr w:rsidR="005106D0" w:rsidRPr="007224C3" w14:paraId="5D9FE3B1" w14:textId="77777777" w:rsidTr="008053EA">
        <w:trPr>
          <w:jc w:val="center"/>
        </w:trPr>
        <w:tc>
          <w:tcPr>
            <w:tcW w:w="953" w:type="dxa"/>
            <w:vMerge/>
            <w:tcBorders>
              <w:top w:val="nil"/>
              <w:left w:val="single" w:sz="8" w:space="0" w:color="000000"/>
              <w:bottom w:val="nil"/>
              <w:right w:val="single" w:sz="8" w:space="0" w:color="000000"/>
            </w:tcBorders>
            <w:vAlign w:val="center"/>
            <w:hideMark/>
          </w:tcPr>
          <w:p w14:paraId="4BE792B6" w14:textId="77777777" w:rsidR="00811C95" w:rsidRPr="007224C3" w:rsidRDefault="00811C95" w:rsidP="007224C3">
            <w:pPr>
              <w:spacing w:after="0" w:line="240" w:lineRule="auto"/>
              <w:jc w:val="both"/>
              <w:rPr>
                <w:rFonts w:ascii="Times New Roman" w:hAnsi="Times New Roman"/>
                <w:color w:val="000000" w:themeColor="text1"/>
                <w:sz w:val="16"/>
                <w:szCs w:val="16"/>
              </w:rPr>
            </w:pP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0DF43B0B"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емкость</w:t>
            </w:r>
          </w:p>
        </w:tc>
        <w:tc>
          <w:tcPr>
            <w:tcW w:w="2836" w:type="dxa"/>
            <w:tcBorders>
              <w:top w:val="nil"/>
              <w:left w:val="nil"/>
              <w:bottom w:val="nil"/>
              <w:right w:val="single" w:sz="8" w:space="0" w:color="000000"/>
            </w:tcBorders>
            <w:tcMar>
              <w:top w:w="0" w:type="dxa"/>
              <w:left w:w="108" w:type="dxa"/>
              <w:bottom w:w="0" w:type="dxa"/>
              <w:right w:w="108" w:type="dxa"/>
            </w:tcMar>
            <w:hideMark/>
          </w:tcPr>
          <w:p w14:paraId="6D89D030"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128 А/час</w:t>
            </w:r>
          </w:p>
        </w:tc>
        <w:tc>
          <w:tcPr>
            <w:tcW w:w="2935" w:type="dxa"/>
            <w:tcBorders>
              <w:top w:val="nil"/>
              <w:left w:val="nil"/>
              <w:bottom w:val="nil"/>
              <w:right w:val="single" w:sz="8" w:space="0" w:color="000000"/>
            </w:tcBorders>
            <w:tcMar>
              <w:top w:w="0" w:type="dxa"/>
              <w:left w:w="108" w:type="dxa"/>
              <w:bottom w:w="0" w:type="dxa"/>
              <w:right w:w="108" w:type="dxa"/>
            </w:tcMar>
            <w:hideMark/>
          </w:tcPr>
          <w:p w14:paraId="5B04AE4F"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128 А/час</w:t>
            </w:r>
          </w:p>
        </w:tc>
      </w:tr>
      <w:tr w:rsidR="005106D0" w:rsidRPr="007224C3" w14:paraId="744FCC51" w14:textId="77777777" w:rsidTr="008053EA">
        <w:trPr>
          <w:jc w:val="center"/>
        </w:trPr>
        <w:tc>
          <w:tcPr>
            <w:tcW w:w="953" w:type="dxa"/>
            <w:vMerge/>
            <w:tcBorders>
              <w:top w:val="nil"/>
              <w:left w:val="single" w:sz="8" w:space="0" w:color="000000"/>
              <w:bottom w:val="nil"/>
              <w:right w:val="single" w:sz="8" w:space="0" w:color="000000"/>
            </w:tcBorders>
            <w:vAlign w:val="center"/>
            <w:hideMark/>
          </w:tcPr>
          <w:p w14:paraId="59EED2B8" w14:textId="77777777" w:rsidR="00811C95" w:rsidRPr="007224C3" w:rsidRDefault="00811C95" w:rsidP="007224C3">
            <w:pPr>
              <w:spacing w:after="0" w:line="240" w:lineRule="auto"/>
              <w:jc w:val="both"/>
              <w:rPr>
                <w:rFonts w:ascii="Times New Roman" w:hAnsi="Times New Roman"/>
                <w:color w:val="000000" w:themeColor="text1"/>
                <w:sz w:val="16"/>
                <w:szCs w:val="16"/>
              </w:rPr>
            </w:pP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3A16B962"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напряжение</w:t>
            </w:r>
          </w:p>
        </w:tc>
        <w:tc>
          <w:tcPr>
            <w:tcW w:w="2836" w:type="dxa"/>
            <w:tcBorders>
              <w:top w:val="nil"/>
              <w:left w:val="nil"/>
              <w:bottom w:val="nil"/>
              <w:right w:val="single" w:sz="8" w:space="0" w:color="000000"/>
            </w:tcBorders>
            <w:tcMar>
              <w:top w:w="0" w:type="dxa"/>
              <w:left w:w="108" w:type="dxa"/>
              <w:bottom w:w="0" w:type="dxa"/>
              <w:right w:w="108" w:type="dxa"/>
            </w:tcMar>
            <w:hideMark/>
          </w:tcPr>
          <w:p w14:paraId="14D2A498"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12V</w:t>
            </w:r>
          </w:p>
        </w:tc>
        <w:tc>
          <w:tcPr>
            <w:tcW w:w="2935" w:type="dxa"/>
            <w:tcBorders>
              <w:top w:val="nil"/>
              <w:left w:val="nil"/>
              <w:bottom w:val="nil"/>
              <w:right w:val="single" w:sz="8" w:space="0" w:color="000000"/>
            </w:tcBorders>
            <w:tcMar>
              <w:top w:w="0" w:type="dxa"/>
              <w:left w:w="108" w:type="dxa"/>
              <w:bottom w:w="0" w:type="dxa"/>
              <w:right w:w="108" w:type="dxa"/>
            </w:tcMar>
            <w:hideMark/>
          </w:tcPr>
          <w:p w14:paraId="70011356"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12V</w:t>
            </w:r>
          </w:p>
        </w:tc>
      </w:tr>
      <w:tr w:rsidR="005106D0" w:rsidRPr="007224C3" w14:paraId="44AAF17C" w14:textId="77777777" w:rsidTr="008053EA">
        <w:trPr>
          <w:jc w:val="center"/>
        </w:trPr>
        <w:tc>
          <w:tcPr>
            <w:tcW w:w="953" w:type="dxa"/>
            <w:vMerge/>
            <w:tcBorders>
              <w:top w:val="nil"/>
              <w:left w:val="single" w:sz="8" w:space="0" w:color="000000"/>
              <w:bottom w:val="nil"/>
              <w:right w:val="single" w:sz="8" w:space="0" w:color="000000"/>
            </w:tcBorders>
            <w:vAlign w:val="center"/>
            <w:hideMark/>
          </w:tcPr>
          <w:p w14:paraId="345E25DB" w14:textId="77777777" w:rsidR="00811C95" w:rsidRPr="007224C3" w:rsidRDefault="00811C95" w:rsidP="007224C3">
            <w:pPr>
              <w:spacing w:after="0" w:line="240" w:lineRule="auto"/>
              <w:jc w:val="both"/>
              <w:rPr>
                <w:rFonts w:ascii="Times New Roman" w:hAnsi="Times New Roman"/>
                <w:color w:val="000000" w:themeColor="text1"/>
                <w:sz w:val="16"/>
                <w:szCs w:val="16"/>
              </w:rPr>
            </w:pP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1ADF01BA"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количество</w:t>
            </w:r>
          </w:p>
        </w:tc>
        <w:tc>
          <w:tcPr>
            <w:tcW w:w="2836" w:type="dxa"/>
            <w:tcBorders>
              <w:top w:val="nil"/>
              <w:left w:val="nil"/>
              <w:bottom w:val="nil"/>
              <w:right w:val="single" w:sz="8" w:space="0" w:color="000000"/>
            </w:tcBorders>
            <w:tcMar>
              <w:top w:w="0" w:type="dxa"/>
              <w:left w:w="108" w:type="dxa"/>
              <w:bottom w:w="0" w:type="dxa"/>
              <w:right w:w="108" w:type="dxa"/>
            </w:tcMar>
            <w:hideMark/>
          </w:tcPr>
          <w:p w14:paraId="7851F4C3"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шт</w:t>
            </w:r>
          </w:p>
        </w:tc>
        <w:tc>
          <w:tcPr>
            <w:tcW w:w="2935" w:type="dxa"/>
            <w:tcBorders>
              <w:top w:val="nil"/>
              <w:left w:val="nil"/>
              <w:bottom w:val="nil"/>
              <w:right w:val="single" w:sz="8" w:space="0" w:color="000000"/>
            </w:tcBorders>
            <w:tcMar>
              <w:top w:w="0" w:type="dxa"/>
              <w:left w:w="108" w:type="dxa"/>
              <w:bottom w:w="0" w:type="dxa"/>
              <w:right w:w="108" w:type="dxa"/>
            </w:tcMar>
            <w:hideMark/>
          </w:tcPr>
          <w:p w14:paraId="7B27E5E1"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шт</w:t>
            </w:r>
          </w:p>
        </w:tc>
      </w:tr>
      <w:tr w:rsidR="005106D0" w:rsidRPr="007224C3" w14:paraId="70AB07DB" w14:textId="77777777" w:rsidTr="008053EA">
        <w:trPr>
          <w:jc w:val="center"/>
        </w:trPr>
        <w:tc>
          <w:tcPr>
            <w:tcW w:w="953" w:type="dxa"/>
            <w:vMerge/>
            <w:tcBorders>
              <w:top w:val="nil"/>
              <w:left w:val="single" w:sz="8" w:space="0" w:color="000000"/>
              <w:bottom w:val="nil"/>
              <w:right w:val="single" w:sz="8" w:space="0" w:color="000000"/>
            </w:tcBorders>
            <w:vAlign w:val="center"/>
            <w:hideMark/>
          </w:tcPr>
          <w:p w14:paraId="6CFEE88D" w14:textId="77777777" w:rsidR="00811C95" w:rsidRPr="007224C3" w:rsidRDefault="00811C95" w:rsidP="007224C3">
            <w:pPr>
              <w:spacing w:after="0" w:line="240" w:lineRule="auto"/>
              <w:jc w:val="both"/>
              <w:rPr>
                <w:rFonts w:ascii="Times New Roman" w:hAnsi="Times New Roman"/>
                <w:color w:val="000000" w:themeColor="text1"/>
                <w:sz w:val="16"/>
                <w:szCs w:val="16"/>
              </w:rPr>
            </w:pP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0A2C6682"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 начало зарядки</w:t>
            </w:r>
          </w:p>
        </w:tc>
        <w:tc>
          <w:tcPr>
            <w:tcW w:w="2836" w:type="dxa"/>
            <w:tcBorders>
              <w:top w:val="nil"/>
              <w:left w:val="nil"/>
              <w:bottom w:val="nil"/>
              <w:right w:val="single" w:sz="8" w:space="0" w:color="000000"/>
            </w:tcBorders>
            <w:tcMar>
              <w:top w:w="0" w:type="dxa"/>
              <w:left w:w="108" w:type="dxa"/>
              <w:bottom w:w="0" w:type="dxa"/>
              <w:right w:w="108" w:type="dxa"/>
            </w:tcMar>
            <w:hideMark/>
          </w:tcPr>
          <w:p w14:paraId="64653150"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600-650</w:t>
            </w:r>
          </w:p>
          <w:p w14:paraId="1921AAB9"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об/мин. вала</w:t>
            </w:r>
          </w:p>
          <w:p w14:paraId="3B9F3AD2"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двигателя</w:t>
            </w:r>
          </w:p>
        </w:tc>
        <w:tc>
          <w:tcPr>
            <w:tcW w:w="2935" w:type="dxa"/>
            <w:tcBorders>
              <w:top w:val="nil"/>
              <w:left w:val="nil"/>
              <w:bottom w:val="nil"/>
              <w:right w:val="single" w:sz="8" w:space="0" w:color="000000"/>
            </w:tcBorders>
            <w:tcMar>
              <w:top w:w="0" w:type="dxa"/>
              <w:left w:w="108" w:type="dxa"/>
              <w:bottom w:w="0" w:type="dxa"/>
              <w:right w:w="108" w:type="dxa"/>
            </w:tcMar>
            <w:hideMark/>
          </w:tcPr>
          <w:p w14:paraId="66A06C4B"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600-650</w:t>
            </w:r>
          </w:p>
          <w:p w14:paraId="33676991"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об/мин. </w:t>
            </w:r>
          </w:p>
          <w:p w14:paraId="21499DD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вала дви-</w:t>
            </w:r>
          </w:p>
          <w:p w14:paraId="203A1E59"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гателя.</w:t>
            </w:r>
          </w:p>
        </w:tc>
      </w:tr>
      <w:tr w:rsidR="005106D0" w:rsidRPr="007224C3" w14:paraId="2CE0064E" w14:textId="77777777" w:rsidTr="008053EA">
        <w:trPr>
          <w:jc w:val="center"/>
        </w:trPr>
        <w:tc>
          <w:tcPr>
            <w:tcW w:w="953" w:type="dxa"/>
            <w:vMerge/>
            <w:tcBorders>
              <w:top w:val="nil"/>
              <w:left w:val="single" w:sz="8" w:space="0" w:color="000000"/>
              <w:bottom w:val="nil"/>
              <w:right w:val="single" w:sz="8" w:space="0" w:color="000000"/>
            </w:tcBorders>
            <w:vAlign w:val="center"/>
            <w:hideMark/>
          </w:tcPr>
          <w:p w14:paraId="6C59605B" w14:textId="77777777" w:rsidR="00811C95" w:rsidRPr="007224C3" w:rsidRDefault="00811C95" w:rsidP="007224C3">
            <w:pPr>
              <w:spacing w:after="0" w:line="240" w:lineRule="auto"/>
              <w:jc w:val="both"/>
              <w:rPr>
                <w:rFonts w:ascii="Times New Roman" w:hAnsi="Times New Roman"/>
                <w:color w:val="000000" w:themeColor="text1"/>
                <w:sz w:val="16"/>
                <w:szCs w:val="16"/>
              </w:rPr>
            </w:pP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3BD27061"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 размещение</w:t>
            </w:r>
          </w:p>
        </w:tc>
        <w:tc>
          <w:tcPr>
            <w:tcW w:w="2836" w:type="dxa"/>
            <w:tcBorders>
              <w:top w:val="nil"/>
              <w:left w:val="nil"/>
              <w:bottom w:val="nil"/>
              <w:right w:val="single" w:sz="8" w:space="0" w:color="000000"/>
            </w:tcBorders>
            <w:tcMar>
              <w:top w:w="0" w:type="dxa"/>
              <w:left w:w="108" w:type="dxa"/>
              <w:bottom w:w="0" w:type="dxa"/>
              <w:right w:w="108" w:type="dxa"/>
            </w:tcMar>
            <w:hideMark/>
          </w:tcPr>
          <w:p w14:paraId="132E13A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отделении</w:t>
            </w:r>
          </w:p>
          <w:p w14:paraId="69B5B6E7"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водителя - </w:t>
            </w:r>
          </w:p>
          <w:p w14:paraId="7B369AB3"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справа.</w:t>
            </w:r>
          </w:p>
        </w:tc>
        <w:tc>
          <w:tcPr>
            <w:tcW w:w="2935" w:type="dxa"/>
            <w:tcBorders>
              <w:top w:val="nil"/>
              <w:left w:val="nil"/>
              <w:bottom w:val="nil"/>
              <w:right w:val="single" w:sz="8" w:space="0" w:color="000000"/>
            </w:tcBorders>
            <w:tcMar>
              <w:top w:w="0" w:type="dxa"/>
              <w:left w:w="108" w:type="dxa"/>
              <w:bottom w:w="0" w:type="dxa"/>
              <w:right w:w="108" w:type="dxa"/>
            </w:tcMar>
            <w:hideMark/>
          </w:tcPr>
          <w:p w14:paraId="78D9BC9C"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моторном</w:t>
            </w:r>
          </w:p>
          <w:p w14:paraId="5425A8FA"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отделении</w:t>
            </w:r>
          </w:p>
          <w:p w14:paraId="43D065D9"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обеих сторон двигателя.</w:t>
            </w:r>
          </w:p>
        </w:tc>
      </w:tr>
      <w:tr w:rsidR="005106D0" w:rsidRPr="007224C3" w14:paraId="6D461BEE" w14:textId="77777777" w:rsidTr="008053EA">
        <w:trPr>
          <w:jc w:val="center"/>
        </w:trPr>
        <w:tc>
          <w:tcPr>
            <w:tcW w:w="953" w:type="dxa"/>
            <w:vMerge w:val="restart"/>
            <w:tcBorders>
              <w:top w:val="nil"/>
              <w:left w:val="single" w:sz="8" w:space="0" w:color="000000"/>
              <w:bottom w:val="nil"/>
              <w:right w:val="single" w:sz="8" w:space="0" w:color="000000"/>
            </w:tcBorders>
            <w:tcMar>
              <w:top w:w="0" w:type="dxa"/>
              <w:left w:w="108" w:type="dxa"/>
              <w:bottom w:w="0" w:type="dxa"/>
              <w:right w:w="108" w:type="dxa"/>
            </w:tcMar>
            <w:hideMark/>
          </w:tcPr>
          <w:p w14:paraId="295EBB53"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32452297"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Электростартер – тип</w:t>
            </w:r>
          </w:p>
        </w:tc>
        <w:tc>
          <w:tcPr>
            <w:tcW w:w="2836" w:type="dxa"/>
            <w:tcBorders>
              <w:top w:val="nil"/>
              <w:left w:val="nil"/>
              <w:bottom w:val="nil"/>
              <w:right w:val="single" w:sz="8" w:space="0" w:color="000000"/>
            </w:tcBorders>
            <w:tcMar>
              <w:top w:w="0" w:type="dxa"/>
              <w:left w:w="108" w:type="dxa"/>
              <w:bottom w:w="0" w:type="dxa"/>
              <w:right w:w="108" w:type="dxa"/>
            </w:tcMar>
            <w:hideMark/>
          </w:tcPr>
          <w:p w14:paraId="214CC09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СТ-15</w:t>
            </w:r>
          </w:p>
        </w:tc>
        <w:tc>
          <w:tcPr>
            <w:tcW w:w="2935" w:type="dxa"/>
            <w:tcBorders>
              <w:top w:val="nil"/>
              <w:left w:val="nil"/>
              <w:bottom w:val="nil"/>
              <w:right w:val="single" w:sz="8" w:space="0" w:color="000000"/>
            </w:tcBorders>
            <w:tcMar>
              <w:top w:w="0" w:type="dxa"/>
              <w:left w:w="108" w:type="dxa"/>
              <w:bottom w:w="0" w:type="dxa"/>
              <w:right w:w="108" w:type="dxa"/>
            </w:tcMar>
            <w:hideMark/>
          </w:tcPr>
          <w:p w14:paraId="188624FF"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СТ-700</w:t>
            </w:r>
          </w:p>
        </w:tc>
      </w:tr>
      <w:tr w:rsidR="005106D0" w:rsidRPr="007224C3" w14:paraId="1177869E" w14:textId="77777777" w:rsidTr="008053EA">
        <w:trPr>
          <w:jc w:val="center"/>
        </w:trPr>
        <w:tc>
          <w:tcPr>
            <w:tcW w:w="953" w:type="dxa"/>
            <w:vMerge/>
            <w:tcBorders>
              <w:top w:val="nil"/>
              <w:left w:val="single" w:sz="8" w:space="0" w:color="000000"/>
              <w:bottom w:val="nil"/>
              <w:right w:val="single" w:sz="8" w:space="0" w:color="000000"/>
            </w:tcBorders>
            <w:vAlign w:val="center"/>
            <w:hideMark/>
          </w:tcPr>
          <w:p w14:paraId="35AA7CBC" w14:textId="77777777" w:rsidR="00811C95" w:rsidRPr="007224C3" w:rsidRDefault="00811C95" w:rsidP="007224C3">
            <w:pPr>
              <w:spacing w:after="0" w:line="240" w:lineRule="auto"/>
              <w:jc w:val="both"/>
              <w:rPr>
                <w:rFonts w:ascii="Times New Roman" w:hAnsi="Times New Roman"/>
                <w:color w:val="000000" w:themeColor="text1"/>
                <w:sz w:val="16"/>
                <w:szCs w:val="16"/>
              </w:rPr>
            </w:pP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68801B20" w14:textId="77777777" w:rsidR="00811C95" w:rsidRPr="007224C3" w:rsidRDefault="00811C95" w:rsidP="007224C3">
            <w:pPr>
              <w:spacing w:after="0" w:line="240" w:lineRule="auto"/>
              <w:jc w:val="both"/>
              <w:rPr>
                <w:rFonts w:ascii="Times New Roman" w:hAnsi="Times New Roman"/>
                <w:color w:val="000000" w:themeColor="text1"/>
                <w:sz w:val="16"/>
                <w:szCs w:val="16"/>
              </w:rPr>
            </w:pPr>
            <w:bookmarkStart w:id="80" w:name="_Hlk93538"/>
            <w:bookmarkEnd w:id="80"/>
            <w:r w:rsidRPr="007224C3">
              <w:rPr>
                <w:rFonts w:ascii="Times New Roman" w:hAnsi="Times New Roman"/>
                <w:color w:val="000000" w:themeColor="text1"/>
                <w:sz w:val="16"/>
                <w:szCs w:val="16"/>
              </w:rPr>
              <w:t>а) мощность</w:t>
            </w:r>
          </w:p>
        </w:tc>
        <w:tc>
          <w:tcPr>
            <w:tcW w:w="2836" w:type="dxa"/>
            <w:tcBorders>
              <w:top w:val="nil"/>
              <w:left w:val="nil"/>
              <w:bottom w:val="nil"/>
              <w:right w:val="single" w:sz="8" w:space="0" w:color="000000"/>
            </w:tcBorders>
            <w:tcMar>
              <w:top w:w="0" w:type="dxa"/>
              <w:left w:w="108" w:type="dxa"/>
              <w:bottom w:w="0" w:type="dxa"/>
              <w:right w:w="108" w:type="dxa"/>
            </w:tcMar>
            <w:hideMark/>
          </w:tcPr>
          <w:p w14:paraId="159D8ADF"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л.с.</w:t>
            </w:r>
          </w:p>
        </w:tc>
        <w:tc>
          <w:tcPr>
            <w:tcW w:w="2935" w:type="dxa"/>
            <w:tcBorders>
              <w:top w:val="nil"/>
              <w:left w:val="nil"/>
              <w:bottom w:val="nil"/>
              <w:right w:val="single" w:sz="8" w:space="0" w:color="000000"/>
            </w:tcBorders>
            <w:tcMar>
              <w:top w:w="0" w:type="dxa"/>
              <w:left w:w="108" w:type="dxa"/>
              <w:bottom w:w="0" w:type="dxa"/>
              <w:right w:w="108" w:type="dxa"/>
            </w:tcMar>
            <w:hideMark/>
          </w:tcPr>
          <w:p w14:paraId="57E5443C"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л.с.</w:t>
            </w:r>
          </w:p>
        </w:tc>
      </w:tr>
      <w:tr w:rsidR="005106D0" w:rsidRPr="007224C3" w14:paraId="2C9A6C2D" w14:textId="77777777" w:rsidTr="008053EA">
        <w:trPr>
          <w:jc w:val="center"/>
        </w:trPr>
        <w:tc>
          <w:tcPr>
            <w:tcW w:w="953" w:type="dxa"/>
            <w:vMerge/>
            <w:tcBorders>
              <w:top w:val="nil"/>
              <w:left w:val="single" w:sz="8" w:space="0" w:color="000000"/>
              <w:bottom w:val="nil"/>
              <w:right w:val="single" w:sz="8" w:space="0" w:color="000000"/>
            </w:tcBorders>
            <w:vAlign w:val="center"/>
            <w:hideMark/>
          </w:tcPr>
          <w:p w14:paraId="3174268D" w14:textId="77777777" w:rsidR="00811C95" w:rsidRPr="007224C3" w:rsidRDefault="00811C95" w:rsidP="007224C3">
            <w:pPr>
              <w:spacing w:after="0" w:line="240" w:lineRule="auto"/>
              <w:jc w:val="both"/>
              <w:rPr>
                <w:rFonts w:ascii="Times New Roman" w:hAnsi="Times New Roman"/>
                <w:color w:val="000000" w:themeColor="text1"/>
                <w:sz w:val="16"/>
                <w:szCs w:val="16"/>
              </w:rPr>
            </w:pP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4FF7D02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напряжение</w:t>
            </w:r>
          </w:p>
        </w:tc>
        <w:tc>
          <w:tcPr>
            <w:tcW w:w="2836" w:type="dxa"/>
            <w:tcBorders>
              <w:top w:val="nil"/>
              <w:left w:val="nil"/>
              <w:bottom w:val="nil"/>
              <w:right w:val="single" w:sz="8" w:space="0" w:color="000000"/>
            </w:tcBorders>
            <w:tcMar>
              <w:top w:w="0" w:type="dxa"/>
              <w:left w:w="108" w:type="dxa"/>
              <w:bottom w:w="0" w:type="dxa"/>
              <w:right w:w="108" w:type="dxa"/>
            </w:tcMar>
            <w:hideMark/>
          </w:tcPr>
          <w:p w14:paraId="70FA5032"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V</w:t>
            </w:r>
          </w:p>
        </w:tc>
        <w:tc>
          <w:tcPr>
            <w:tcW w:w="2935" w:type="dxa"/>
            <w:tcBorders>
              <w:top w:val="nil"/>
              <w:left w:val="nil"/>
              <w:bottom w:val="nil"/>
              <w:right w:val="single" w:sz="8" w:space="0" w:color="000000"/>
            </w:tcBorders>
            <w:tcMar>
              <w:top w:w="0" w:type="dxa"/>
              <w:left w:w="108" w:type="dxa"/>
              <w:bottom w:w="0" w:type="dxa"/>
              <w:right w:w="108" w:type="dxa"/>
            </w:tcMar>
            <w:hideMark/>
          </w:tcPr>
          <w:p w14:paraId="4DE3860C"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V</w:t>
            </w:r>
          </w:p>
        </w:tc>
      </w:tr>
      <w:tr w:rsidR="005106D0" w:rsidRPr="007224C3" w14:paraId="24513796" w14:textId="77777777" w:rsidTr="008053EA">
        <w:trPr>
          <w:jc w:val="center"/>
        </w:trPr>
        <w:tc>
          <w:tcPr>
            <w:tcW w:w="953" w:type="dxa"/>
            <w:vMerge/>
            <w:tcBorders>
              <w:top w:val="nil"/>
              <w:left w:val="single" w:sz="8" w:space="0" w:color="000000"/>
              <w:bottom w:val="nil"/>
              <w:right w:val="single" w:sz="8" w:space="0" w:color="000000"/>
            </w:tcBorders>
            <w:vAlign w:val="center"/>
            <w:hideMark/>
          </w:tcPr>
          <w:p w14:paraId="3B34D0D1" w14:textId="77777777" w:rsidR="00811C95" w:rsidRPr="007224C3" w:rsidRDefault="00811C95" w:rsidP="007224C3">
            <w:pPr>
              <w:spacing w:after="0" w:line="240" w:lineRule="auto"/>
              <w:jc w:val="both"/>
              <w:rPr>
                <w:rFonts w:ascii="Times New Roman" w:hAnsi="Times New Roman"/>
                <w:color w:val="000000" w:themeColor="text1"/>
                <w:sz w:val="16"/>
                <w:szCs w:val="16"/>
              </w:rPr>
            </w:pP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743BACED"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расположение</w:t>
            </w:r>
          </w:p>
        </w:tc>
        <w:tc>
          <w:tcPr>
            <w:tcW w:w="2836" w:type="dxa"/>
            <w:tcBorders>
              <w:top w:val="nil"/>
              <w:left w:val="nil"/>
              <w:bottom w:val="nil"/>
              <w:right w:val="single" w:sz="8" w:space="0" w:color="000000"/>
            </w:tcBorders>
            <w:tcMar>
              <w:top w:w="0" w:type="dxa"/>
              <w:left w:w="108" w:type="dxa"/>
              <w:bottom w:w="0" w:type="dxa"/>
              <w:right w:w="108" w:type="dxa"/>
            </w:tcMar>
            <w:hideMark/>
          </w:tcPr>
          <w:p w14:paraId="3065F97C"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Укреплен на</w:t>
            </w:r>
          </w:p>
          <w:p w14:paraId="5320C76A"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гитаре.</w:t>
            </w:r>
          </w:p>
          <w:p w14:paraId="2B8EFE48"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Действует на</w:t>
            </w:r>
          </w:p>
          <w:p w14:paraId="27BDE2A7"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коленчатый</w:t>
            </w:r>
          </w:p>
          <w:p w14:paraId="3AACF9FC"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вал двигате-</w:t>
            </w:r>
          </w:p>
          <w:p w14:paraId="18FEFFC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ля через</w:t>
            </w:r>
          </w:p>
          <w:p w14:paraId="09A851B7"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венец на</w:t>
            </w:r>
          </w:p>
          <w:p w14:paraId="19537EB9"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фрикцион и</w:t>
            </w:r>
          </w:p>
          <w:p w14:paraId="33313D40"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гитару.</w:t>
            </w:r>
          </w:p>
        </w:tc>
        <w:tc>
          <w:tcPr>
            <w:tcW w:w="2935" w:type="dxa"/>
            <w:tcBorders>
              <w:top w:val="nil"/>
              <w:left w:val="nil"/>
              <w:bottom w:val="nil"/>
              <w:right w:val="single" w:sz="8" w:space="0" w:color="000000"/>
            </w:tcBorders>
            <w:tcMar>
              <w:top w:w="0" w:type="dxa"/>
              <w:left w:w="108" w:type="dxa"/>
              <w:bottom w:w="0" w:type="dxa"/>
              <w:right w:w="108" w:type="dxa"/>
            </w:tcMar>
            <w:hideMark/>
          </w:tcPr>
          <w:p w14:paraId="03078304"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Укреплен</w:t>
            </w:r>
          </w:p>
          <w:p w14:paraId="5239DDDC"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КПП.</w:t>
            </w:r>
          </w:p>
          <w:p w14:paraId="11011D9D"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Действует</w:t>
            </w:r>
          </w:p>
          <w:p w14:paraId="72D9CE99"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коленча-</w:t>
            </w:r>
          </w:p>
          <w:p w14:paraId="28D7B720"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тый вал</w:t>
            </w:r>
          </w:p>
          <w:p w14:paraId="7698FDB2"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двигателя</w:t>
            </w:r>
          </w:p>
          <w:p w14:paraId="664982E8"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через ве-</w:t>
            </w:r>
          </w:p>
          <w:p w14:paraId="2D2FF831"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нец.</w:t>
            </w:r>
          </w:p>
        </w:tc>
      </w:tr>
      <w:tr w:rsidR="005106D0" w:rsidRPr="007224C3" w14:paraId="57439409" w14:textId="77777777" w:rsidTr="008053EA">
        <w:trPr>
          <w:jc w:val="center"/>
        </w:trPr>
        <w:tc>
          <w:tcPr>
            <w:tcW w:w="953" w:type="dxa"/>
            <w:vMerge w:val="restart"/>
            <w:tcBorders>
              <w:top w:val="nil"/>
              <w:left w:val="single" w:sz="8" w:space="0" w:color="000000"/>
              <w:bottom w:val="nil"/>
              <w:right w:val="single" w:sz="8" w:space="0" w:color="000000"/>
            </w:tcBorders>
            <w:tcMar>
              <w:top w:w="0" w:type="dxa"/>
              <w:left w:w="108" w:type="dxa"/>
              <w:bottom w:w="0" w:type="dxa"/>
              <w:right w:w="108" w:type="dxa"/>
            </w:tcMar>
            <w:hideMark/>
          </w:tcPr>
          <w:p w14:paraId="5ACE296B"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3217C2F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Электромотор поворотного</w:t>
            </w:r>
          </w:p>
          <w:p w14:paraId="54A04AF0"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механизма башни – тип</w:t>
            </w:r>
          </w:p>
        </w:tc>
        <w:tc>
          <w:tcPr>
            <w:tcW w:w="2836" w:type="dxa"/>
            <w:tcBorders>
              <w:top w:val="nil"/>
              <w:left w:val="nil"/>
              <w:bottom w:val="nil"/>
              <w:right w:val="single" w:sz="8" w:space="0" w:color="000000"/>
            </w:tcBorders>
            <w:tcMar>
              <w:top w:w="0" w:type="dxa"/>
              <w:left w:w="108" w:type="dxa"/>
              <w:bottom w:w="0" w:type="dxa"/>
              <w:right w:w="108" w:type="dxa"/>
            </w:tcMar>
            <w:vAlign w:val="bottom"/>
            <w:hideMark/>
          </w:tcPr>
          <w:p w14:paraId="2467A9AA"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МБ-20 К</w:t>
            </w:r>
          </w:p>
        </w:tc>
        <w:tc>
          <w:tcPr>
            <w:tcW w:w="2935" w:type="dxa"/>
            <w:tcBorders>
              <w:top w:val="nil"/>
              <w:left w:val="nil"/>
              <w:bottom w:val="nil"/>
              <w:right w:val="single" w:sz="8" w:space="0" w:color="000000"/>
            </w:tcBorders>
            <w:tcMar>
              <w:top w:w="0" w:type="dxa"/>
              <w:left w:w="108" w:type="dxa"/>
              <w:bottom w:w="0" w:type="dxa"/>
              <w:right w:w="108" w:type="dxa"/>
            </w:tcMar>
            <w:vAlign w:val="bottom"/>
            <w:hideMark/>
          </w:tcPr>
          <w:p w14:paraId="37E49562"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БМ-20 К</w:t>
            </w:r>
          </w:p>
        </w:tc>
      </w:tr>
      <w:tr w:rsidR="005106D0" w:rsidRPr="007224C3" w14:paraId="52899697" w14:textId="77777777" w:rsidTr="008053EA">
        <w:trPr>
          <w:jc w:val="center"/>
        </w:trPr>
        <w:tc>
          <w:tcPr>
            <w:tcW w:w="953" w:type="dxa"/>
            <w:vMerge/>
            <w:tcBorders>
              <w:top w:val="nil"/>
              <w:left w:val="single" w:sz="8" w:space="0" w:color="000000"/>
              <w:bottom w:val="nil"/>
              <w:right w:val="single" w:sz="8" w:space="0" w:color="000000"/>
            </w:tcBorders>
            <w:vAlign w:val="center"/>
            <w:hideMark/>
          </w:tcPr>
          <w:p w14:paraId="56930964" w14:textId="77777777" w:rsidR="00811C95" w:rsidRPr="007224C3" w:rsidRDefault="00811C95" w:rsidP="007224C3">
            <w:pPr>
              <w:spacing w:after="0" w:line="240" w:lineRule="auto"/>
              <w:jc w:val="both"/>
              <w:rPr>
                <w:rFonts w:ascii="Times New Roman" w:hAnsi="Times New Roman"/>
                <w:color w:val="000000" w:themeColor="text1"/>
                <w:sz w:val="16"/>
                <w:szCs w:val="16"/>
              </w:rPr>
            </w:pP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61DC1F49"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мощность</w:t>
            </w:r>
          </w:p>
        </w:tc>
        <w:tc>
          <w:tcPr>
            <w:tcW w:w="2836" w:type="dxa"/>
            <w:tcBorders>
              <w:top w:val="nil"/>
              <w:left w:val="nil"/>
              <w:bottom w:val="nil"/>
              <w:right w:val="single" w:sz="8" w:space="0" w:color="000000"/>
            </w:tcBorders>
            <w:tcMar>
              <w:top w:w="0" w:type="dxa"/>
              <w:left w:w="108" w:type="dxa"/>
              <w:bottom w:w="0" w:type="dxa"/>
              <w:right w:w="108" w:type="dxa"/>
            </w:tcMar>
            <w:hideMark/>
          </w:tcPr>
          <w:p w14:paraId="54A92B2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1350 W</w:t>
            </w:r>
          </w:p>
        </w:tc>
        <w:tc>
          <w:tcPr>
            <w:tcW w:w="2935" w:type="dxa"/>
            <w:tcBorders>
              <w:top w:val="nil"/>
              <w:left w:val="nil"/>
              <w:bottom w:val="nil"/>
              <w:right w:val="single" w:sz="8" w:space="0" w:color="000000"/>
            </w:tcBorders>
            <w:tcMar>
              <w:top w:w="0" w:type="dxa"/>
              <w:left w:w="108" w:type="dxa"/>
              <w:bottom w:w="0" w:type="dxa"/>
              <w:right w:w="108" w:type="dxa"/>
            </w:tcMar>
            <w:hideMark/>
          </w:tcPr>
          <w:p w14:paraId="78EA609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1350 W</w:t>
            </w:r>
          </w:p>
        </w:tc>
      </w:tr>
      <w:tr w:rsidR="005106D0" w:rsidRPr="007224C3" w14:paraId="19ED58B8" w14:textId="77777777" w:rsidTr="008053EA">
        <w:trPr>
          <w:jc w:val="center"/>
        </w:trPr>
        <w:tc>
          <w:tcPr>
            <w:tcW w:w="953" w:type="dxa"/>
            <w:vMerge/>
            <w:tcBorders>
              <w:top w:val="nil"/>
              <w:left w:val="single" w:sz="8" w:space="0" w:color="000000"/>
              <w:bottom w:val="nil"/>
              <w:right w:val="single" w:sz="8" w:space="0" w:color="000000"/>
            </w:tcBorders>
            <w:vAlign w:val="center"/>
            <w:hideMark/>
          </w:tcPr>
          <w:p w14:paraId="03630F2D" w14:textId="77777777" w:rsidR="00811C95" w:rsidRPr="007224C3" w:rsidRDefault="00811C95" w:rsidP="007224C3">
            <w:pPr>
              <w:spacing w:after="0" w:line="240" w:lineRule="auto"/>
              <w:jc w:val="both"/>
              <w:rPr>
                <w:rFonts w:ascii="Times New Roman" w:hAnsi="Times New Roman"/>
                <w:color w:val="000000" w:themeColor="text1"/>
                <w:sz w:val="16"/>
                <w:szCs w:val="16"/>
              </w:rPr>
            </w:pP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0A49EF8B" w14:textId="77777777" w:rsidR="00811C95" w:rsidRPr="007224C3" w:rsidRDefault="00811C95" w:rsidP="007224C3">
            <w:pPr>
              <w:spacing w:after="0" w:line="240" w:lineRule="auto"/>
              <w:jc w:val="both"/>
              <w:rPr>
                <w:rFonts w:ascii="Times New Roman" w:hAnsi="Times New Roman"/>
                <w:color w:val="000000" w:themeColor="text1"/>
                <w:sz w:val="16"/>
                <w:szCs w:val="16"/>
              </w:rPr>
            </w:pPr>
            <w:bookmarkStart w:id="81" w:name="_Hlk93237"/>
            <w:bookmarkEnd w:id="81"/>
            <w:r w:rsidRPr="007224C3">
              <w:rPr>
                <w:rFonts w:ascii="Times New Roman" w:hAnsi="Times New Roman"/>
                <w:color w:val="000000" w:themeColor="text1"/>
                <w:sz w:val="16"/>
                <w:szCs w:val="16"/>
              </w:rPr>
              <w:t>б) напряжение</w:t>
            </w:r>
          </w:p>
        </w:tc>
        <w:tc>
          <w:tcPr>
            <w:tcW w:w="2836" w:type="dxa"/>
            <w:tcBorders>
              <w:top w:val="nil"/>
              <w:left w:val="nil"/>
              <w:bottom w:val="nil"/>
              <w:right w:val="single" w:sz="8" w:space="0" w:color="000000"/>
            </w:tcBorders>
            <w:tcMar>
              <w:top w:w="0" w:type="dxa"/>
              <w:left w:w="108" w:type="dxa"/>
              <w:bottom w:w="0" w:type="dxa"/>
              <w:right w:w="108" w:type="dxa"/>
            </w:tcMar>
            <w:hideMark/>
          </w:tcPr>
          <w:p w14:paraId="517751D4"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V</w:t>
            </w:r>
          </w:p>
        </w:tc>
        <w:tc>
          <w:tcPr>
            <w:tcW w:w="2935" w:type="dxa"/>
            <w:tcBorders>
              <w:top w:val="nil"/>
              <w:left w:val="nil"/>
              <w:bottom w:val="nil"/>
              <w:right w:val="single" w:sz="8" w:space="0" w:color="000000"/>
            </w:tcBorders>
            <w:tcMar>
              <w:top w:w="0" w:type="dxa"/>
              <w:left w:w="108" w:type="dxa"/>
              <w:bottom w:w="0" w:type="dxa"/>
              <w:right w:w="108" w:type="dxa"/>
            </w:tcMar>
            <w:hideMark/>
          </w:tcPr>
          <w:p w14:paraId="698B23E8"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V</w:t>
            </w:r>
          </w:p>
        </w:tc>
      </w:tr>
      <w:tr w:rsidR="005106D0" w:rsidRPr="007224C3" w14:paraId="75D51249" w14:textId="77777777" w:rsidTr="008053EA">
        <w:trPr>
          <w:jc w:val="center"/>
        </w:trPr>
        <w:tc>
          <w:tcPr>
            <w:tcW w:w="953" w:type="dxa"/>
            <w:vMerge/>
            <w:tcBorders>
              <w:top w:val="nil"/>
              <w:left w:val="single" w:sz="8" w:space="0" w:color="000000"/>
              <w:bottom w:val="nil"/>
              <w:right w:val="single" w:sz="8" w:space="0" w:color="000000"/>
            </w:tcBorders>
            <w:vAlign w:val="center"/>
            <w:hideMark/>
          </w:tcPr>
          <w:p w14:paraId="417151BA" w14:textId="77777777" w:rsidR="00811C95" w:rsidRPr="007224C3" w:rsidRDefault="00811C95" w:rsidP="007224C3">
            <w:pPr>
              <w:spacing w:after="0" w:line="240" w:lineRule="auto"/>
              <w:jc w:val="both"/>
              <w:rPr>
                <w:rFonts w:ascii="Times New Roman" w:hAnsi="Times New Roman"/>
                <w:color w:val="000000" w:themeColor="text1"/>
                <w:sz w:val="16"/>
                <w:szCs w:val="16"/>
              </w:rPr>
            </w:pP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33591FF7"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количество</w:t>
            </w:r>
          </w:p>
        </w:tc>
        <w:tc>
          <w:tcPr>
            <w:tcW w:w="2836" w:type="dxa"/>
            <w:tcBorders>
              <w:top w:val="nil"/>
              <w:left w:val="nil"/>
              <w:bottom w:val="nil"/>
              <w:right w:val="single" w:sz="8" w:space="0" w:color="000000"/>
            </w:tcBorders>
            <w:tcMar>
              <w:top w:w="0" w:type="dxa"/>
              <w:left w:w="108" w:type="dxa"/>
              <w:bottom w:w="0" w:type="dxa"/>
              <w:right w:w="108" w:type="dxa"/>
            </w:tcMar>
            <w:hideMark/>
          </w:tcPr>
          <w:p w14:paraId="7D2C26EF"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шт.</w:t>
            </w:r>
          </w:p>
        </w:tc>
        <w:tc>
          <w:tcPr>
            <w:tcW w:w="2935" w:type="dxa"/>
            <w:tcBorders>
              <w:top w:val="nil"/>
              <w:left w:val="nil"/>
              <w:bottom w:val="nil"/>
              <w:right w:val="single" w:sz="8" w:space="0" w:color="000000"/>
            </w:tcBorders>
            <w:tcMar>
              <w:top w:w="0" w:type="dxa"/>
              <w:left w:w="108" w:type="dxa"/>
              <w:bottom w:w="0" w:type="dxa"/>
              <w:right w:w="108" w:type="dxa"/>
            </w:tcMar>
            <w:hideMark/>
          </w:tcPr>
          <w:p w14:paraId="21DEA7B8"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шт.</w:t>
            </w:r>
          </w:p>
        </w:tc>
      </w:tr>
      <w:tr w:rsidR="005106D0" w:rsidRPr="007224C3" w14:paraId="02372BF5" w14:textId="77777777" w:rsidTr="008053EA">
        <w:trPr>
          <w:jc w:val="center"/>
        </w:trPr>
        <w:tc>
          <w:tcPr>
            <w:tcW w:w="953" w:type="dxa"/>
            <w:vMerge w:val="restart"/>
            <w:tcBorders>
              <w:top w:val="nil"/>
              <w:left w:val="single" w:sz="8" w:space="0" w:color="000000"/>
              <w:bottom w:val="nil"/>
              <w:right w:val="single" w:sz="8" w:space="0" w:color="000000"/>
            </w:tcBorders>
            <w:tcMar>
              <w:top w:w="0" w:type="dxa"/>
              <w:left w:w="108" w:type="dxa"/>
              <w:bottom w:w="0" w:type="dxa"/>
              <w:right w:w="108" w:type="dxa"/>
            </w:tcMar>
            <w:hideMark/>
          </w:tcPr>
          <w:p w14:paraId="0A2B6F90"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7.</w:t>
            </w:r>
          </w:p>
        </w:tc>
        <w:tc>
          <w:tcPr>
            <w:tcW w:w="4253" w:type="dxa"/>
            <w:gridSpan w:val="3"/>
            <w:tcBorders>
              <w:top w:val="nil"/>
              <w:left w:val="nil"/>
              <w:bottom w:val="nil"/>
              <w:right w:val="single" w:sz="8" w:space="0" w:color="000000"/>
            </w:tcBorders>
            <w:tcMar>
              <w:top w:w="0" w:type="dxa"/>
              <w:left w:w="108" w:type="dxa"/>
              <w:bottom w:w="0" w:type="dxa"/>
              <w:right w:w="108" w:type="dxa"/>
            </w:tcMar>
            <w:hideMark/>
          </w:tcPr>
          <w:p w14:paraId="3F63904C"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Электромотор вентилято-</w:t>
            </w:r>
          </w:p>
          <w:p w14:paraId="69A39B28"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 башни – тип</w:t>
            </w:r>
          </w:p>
        </w:tc>
        <w:tc>
          <w:tcPr>
            <w:tcW w:w="2835" w:type="dxa"/>
            <w:tcBorders>
              <w:top w:val="nil"/>
              <w:left w:val="nil"/>
              <w:bottom w:val="nil"/>
              <w:right w:val="single" w:sz="8" w:space="0" w:color="000000"/>
            </w:tcBorders>
            <w:tcMar>
              <w:top w:w="0" w:type="dxa"/>
              <w:left w:w="108" w:type="dxa"/>
              <w:bottom w:w="0" w:type="dxa"/>
              <w:right w:w="108" w:type="dxa"/>
            </w:tcMar>
            <w:vAlign w:val="center"/>
            <w:hideMark/>
          </w:tcPr>
          <w:p w14:paraId="44844EC8"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МВ-12</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22CF3529"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МВ-12</w:t>
            </w:r>
          </w:p>
        </w:tc>
      </w:tr>
      <w:tr w:rsidR="005106D0" w:rsidRPr="007224C3" w14:paraId="20140356" w14:textId="77777777" w:rsidTr="008053EA">
        <w:trPr>
          <w:jc w:val="center"/>
        </w:trPr>
        <w:tc>
          <w:tcPr>
            <w:tcW w:w="953" w:type="dxa"/>
            <w:vMerge/>
            <w:tcBorders>
              <w:top w:val="nil"/>
              <w:left w:val="single" w:sz="8" w:space="0" w:color="000000"/>
              <w:bottom w:val="nil"/>
              <w:right w:val="single" w:sz="8" w:space="0" w:color="000000"/>
            </w:tcBorders>
            <w:vAlign w:val="center"/>
            <w:hideMark/>
          </w:tcPr>
          <w:p w14:paraId="199E031D" w14:textId="77777777" w:rsidR="00811C95" w:rsidRPr="007224C3" w:rsidRDefault="00811C95" w:rsidP="007224C3">
            <w:pPr>
              <w:spacing w:after="0" w:line="240" w:lineRule="auto"/>
              <w:jc w:val="both"/>
              <w:rPr>
                <w:rFonts w:ascii="Times New Roman" w:hAnsi="Times New Roman"/>
                <w:color w:val="000000" w:themeColor="text1"/>
                <w:sz w:val="16"/>
                <w:szCs w:val="16"/>
              </w:rPr>
            </w:pPr>
          </w:p>
        </w:tc>
        <w:tc>
          <w:tcPr>
            <w:tcW w:w="4253" w:type="dxa"/>
            <w:gridSpan w:val="3"/>
            <w:tcBorders>
              <w:top w:val="nil"/>
              <w:left w:val="nil"/>
              <w:bottom w:val="nil"/>
              <w:right w:val="single" w:sz="8" w:space="0" w:color="000000"/>
            </w:tcBorders>
            <w:tcMar>
              <w:top w:w="0" w:type="dxa"/>
              <w:left w:w="108" w:type="dxa"/>
              <w:bottom w:w="0" w:type="dxa"/>
              <w:right w:w="108" w:type="dxa"/>
            </w:tcMar>
            <w:hideMark/>
          </w:tcPr>
          <w:p w14:paraId="5DEA3059" w14:textId="77777777" w:rsidR="00811C95" w:rsidRPr="007224C3" w:rsidRDefault="00811C95" w:rsidP="007224C3">
            <w:pPr>
              <w:spacing w:after="0" w:line="240" w:lineRule="auto"/>
              <w:jc w:val="both"/>
              <w:rPr>
                <w:rFonts w:ascii="Times New Roman" w:hAnsi="Times New Roman"/>
                <w:color w:val="000000" w:themeColor="text1"/>
                <w:sz w:val="16"/>
                <w:szCs w:val="16"/>
              </w:rPr>
            </w:pPr>
            <w:bookmarkStart w:id="82" w:name="_Hlk93910"/>
            <w:bookmarkEnd w:id="82"/>
            <w:r w:rsidRPr="007224C3">
              <w:rPr>
                <w:rFonts w:ascii="Times New Roman" w:hAnsi="Times New Roman"/>
                <w:color w:val="000000" w:themeColor="text1"/>
                <w:sz w:val="16"/>
                <w:szCs w:val="16"/>
              </w:rPr>
              <w:t>а) мощность</w:t>
            </w:r>
          </w:p>
        </w:tc>
        <w:tc>
          <w:tcPr>
            <w:tcW w:w="2835" w:type="dxa"/>
            <w:tcBorders>
              <w:top w:val="nil"/>
              <w:left w:val="nil"/>
              <w:bottom w:val="nil"/>
              <w:right w:val="single" w:sz="8" w:space="0" w:color="000000"/>
            </w:tcBorders>
            <w:tcMar>
              <w:top w:w="0" w:type="dxa"/>
              <w:left w:w="108" w:type="dxa"/>
              <w:bottom w:w="0" w:type="dxa"/>
              <w:right w:w="108" w:type="dxa"/>
            </w:tcMar>
            <w:hideMark/>
          </w:tcPr>
          <w:p w14:paraId="7C4DBBB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W</w:t>
            </w:r>
          </w:p>
        </w:tc>
        <w:tc>
          <w:tcPr>
            <w:tcW w:w="2935" w:type="dxa"/>
            <w:tcBorders>
              <w:top w:val="nil"/>
              <w:left w:val="nil"/>
              <w:bottom w:val="nil"/>
              <w:right w:val="single" w:sz="8" w:space="0" w:color="000000"/>
            </w:tcBorders>
            <w:tcMar>
              <w:top w:w="0" w:type="dxa"/>
              <w:left w:w="108" w:type="dxa"/>
              <w:bottom w:w="0" w:type="dxa"/>
              <w:right w:w="108" w:type="dxa"/>
            </w:tcMar>
            <w:hideMark/>
          </w:tcPr>
          <w:p w14:paraId="4D285A10"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W</w:t>
            </w:r>
          </w:p>
        </w:tc>
      </w:tr>
      <w:tr w:rsidR="005106D0" w:rsidRPr="007224C3" w14:paraId="1A10FE88" w14:textId="77777777" w:rsidTr="008053EA">
        <w:trPr>
          <w:jc w:val="center"/>
        </w:trPr>
        <w:tc>
          <w:tcPr>
            <w:tcW w:w="953" w:type="dxa"/>
            <w:vMerge/>
            <w:tcBorders>
              <w:top w:val="nil"/>
              <w:left w:val="single" w:sz="8" w:space="0" w:color="000000"/>
              <w:bottom w:val="nil"/>
              <w:right w:val="single" w:sz="8" w:space="0" w:color="000000"/>
            </w:tcBorders>
            <w:vAlign w:val="center"/>
            <w:hideMark/>
          </w:tcPr>
          <w:p w14:paraId="3AD0C6D2" w14:textId="77777777" w:rsidR="00811C95" w:rsidRPr="007224C3" w:rsidRDefault="00811C95" w:rsidP="007224C3">
            <w:pPr>
              <w:spacing w:after="0" w:line="240" w:lineRule="auto"/>
              <w:jc w:val="both"/>
              <w:rPr>
                <w:rFonts w:ascii="Times New Roman" w:hAnsi="Times New Roman"/>
                <w:color w:val="000000" w:themeColor="text1"/>
                <w:sz w:val="16"/>
                <w:szCs w:val="16"/>
              </w:rPr>
            </w:pPr>
          </w:p>
        </w:tc>
        <w:tc>
          <w:tcPr>
            <w:tcW w:w="4253" w:type="dxa"/>
            <w:gridSpan w:val="3"/>
            <w:tcBorders>
              <w:top w:val="nil"/>
              <w:left w:val="nil"/>
              <w:bottom w:val="nil"/>
              <w:right w:val="single" w:sz="8" w:space="0" w:color="000000"/>
            </w:tcBorders>
            <w:tcMar>
              <w:top w:w="0" w:type="dxa"/>
              <w:left w:w="108" w:type="dxa"/>
              <w:bottom w:w="0" w:type="dxa"/>
              <w:right w:w="108" w:type="dxa"/>
            </w:tcMar>
            <w:hideMark/>
          </w:tcPr>
          <w:p w14:paraId="76683230"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напряжение</w:t>
            </w:r>
          </w:p>
        </w:tc>
        <w:tc>
          <w:tcPr>
            <w:tcW w:w="2835" w:type="dxa"/>
            <w:tcBorders>
              <w:top w:val="nil"/>
              <w:left w:val="nil"/>
              <w:bottom w:val="nil"/>
              <w:right w:val="single" w:sz="8" w:space="0" w:color="000000"/>
            </w:tcBorders>
            <w:tcMar>
              <w:top w:w="0" w:type="dxa"/>
              <w:left w:w="108" w:type="dxa"/>
              <w:bottom w:w="0" w:type="dxa"/>
              <w:right w:w="108" w:type="dxa"/>
            </w:tcMar>
            <w:hideMark/>
          </w:tcPr>
          <w:p w14:paraId="165A5BB8"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V</w:t>
            </w:r>
          </w:p>
        </w:tc>
        <w:tc>
          <w:tcPr>
            <w:tcW w:w="2935" w:type="dxa"/>
            <w:tcBorders>
              <w:top w:val="nil"/>
              <w:left w:val="nil"/>
              <w:bottom w:val="nil"/>
              <w:right w:val="single" w:sz="8" w:space="0" w:color="000000"/>
            </w:tcBorders>
            <w:tcMar>
              <w:top w:w="0" w:type="dxa"/>
              <w:left w:w="108" w:type="dxa"/>
              <w:bottom w:w="0" w:type="dxa"/>
              <w:right w:w="108" w:type="dxa"/>
            </w:tcMar>
            <w:hideMark/>
          </w:tcPr>
          <w:p w14:paraId="237D541F"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V</w:t>
            </w:r>
          </w:p>
        </w:tc>
      </w:tr>
      <w:tr w:rsidR="005106D0" w:rsidRPr="007224C3" w14:paraId="72B0FAC7" w14:textId="77777777" w:rsidTr="008053EA">
        <w:trPr>
          <w:jc w:val="center"/>
        </w:trPr>
        <w:tc>
          <w:tcPr>
            <w:tcW w:w="953" w:type="dxa"/>
            <w:vMerge/>
            <w:tcBorders>
              <w:top w:val="nil"/>
              <w:left w:val="single" w:sz="8" w:space="0" w:color="000000"/>
              <w:bottom w:val="nil"/>
              <w:right w:val="single" w:sz="8" w:space="0" w:color="000000"/>
            </w:tcBorders>
            <w:vAlign w:val="center"/>
            <w:hideMark/>
          </w:tcPr>
          <w:p w14:paraId="19017602" w14:textId="77777777" w:rsidR="00811C95" w:rsidRPr="007224C3" w:rsidRDefault="00811C95" w:rsidP="007224C3">
            <w:pPr>
              <w:spacing w:after="0" w:line="240" w:lineRule="auto"/>
              <w:jc w:val="both"/>
              <w:rPr>
                <w:rFonts w:ascii="Times New Roman" w:hAnsi="Times New Roman"/>
                <w:color w:val="000000" w:themeColor="text1"/>
                <w:sz w:val="16"/>
                <w:szCs w:val="16"/>
              </w:rPr>
            </w:pPr>
          </w:p>
        </w:tc>
        <w:tc>
          <w:tcPr>
            <w:tcW w:w="4253" w:type="dxa"/>
            <w:gridSpan w:val="3"/>
            <w:tcBorders>
              <w:top w:val="nil"/>
              <w:left w:val="nil"/>
              <w:bottom w:val="nil"/>
              <w:right w:val="single" w:sz="8" w:space="0" w:color="000000"/>
            </w:tcBorders>
            <w:tcMar>
              <w:top w:w="0" w:type="dxa"/>
              <w:left w:w="108" w:type="dxa"/>
              <w:bottom w:w="0" w:type="dxa"/>
              <w:right w:w="108" w:type="dxa"/>
            </w:tcMar>
            <w:hideMark/>
          </w:tcPr>
          <w:p w14:paraId="6818F2F5"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число оборотов</w:t>
            </w:r>
          </w:p>
        </w:tc>
        <w:tc>
          <w:tcPr>
            <w:tcW w:w="2835" w:type="dxa"/>
            <w:tcBorders>
              <w:top w:val="nil"/>
              <w:left w:val="nil"/>
              <w:bottom w:val="nil"/>
              <w:right w:val="single" w:sz="8" w:space="0" w:color="000000"/>
            </w:tcBorders>
            <w:tcMar>
              <w:top w:w="0" w:type="dxa"/>
              <w:left w:w="108" w:type="dxa"/>
              <w:bottom w:w="0" w:type="dxa"/>
              <w:right w:w="108" w:type="dxa"/>
            </w:tcMar>
            <w:hideMark/>
          </w:tcPr>
          <w:p w14:paraId="202D7EB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2300 об/мин.</w:t>
            </w:r>
          </w:p>
        </w:tc>
        <w:tc>
          <w:tcPr>
            <w:tcW w:w="2935" w:type="dxa"/>
            <w:tcBorders>
              <w:top w:val="nil"/>
              <w:left w:val="nil"/>
              <w:bottom w:val="nil"/>
              <w:right w:val="single" w:sz="8" w:space="0" w:color="000000"/>
            </w:tcBorders>
            <w:tcMar>
              <w:top w:w="0" w:type="dxa"/>
              <w:left w:w="108" w:type="dxa"/>
              <w:bottom w:w="0" w:type="dxa"/>
              <w:right w:w="108" w:type="dxa"/>
            </w:tcMar>
            <w:hideMark/>
          </w:tcPr>
          <w:p w14:paraId="0C63FB6B"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2300 об/мин.</w:t>
            </w:r>
          </w:p>
        </w:tc>
      </w:tr>
      <w:tr w:rsidR="005106D0" w:rsidRPr="007224C3" w14:paraId="5A41F3C1" w14:textId="77777777" w:rsidTr="008053EA">
        <w:trPr>
          <w:jc w:val="center"/>
        </w:trPr>
        <w:tc>
          <w:tcPr>
            <w:tcW w:w="953" w:type="dxa"/>
            <w:vMerge/>
            <w:tcBorders>
              <w:top w:val="nil"/>
              <w:left w:val="single" w:sz="8" w:space="0" w:color="000000"/>
              <w:bottom w:val="nil"/>
              <w:right w:val="single" w:sz="8" w:space="0" w:color="000000"/>
            </w:tcBorders>
            <w:vAlign w:val="center"/>
            <w:hideMark/>
          </w:tcPr>
          <w:p w14:paraId="0A91AC5E" w14:textId="77777777" w:rsidR="00811C95" w:rsidRPr="007224C3" w:rsidRDefault="00811C95" w:rsidP="007224C3">
            <w:pPr>
              <w:spacing w:after="0" w:line="240" w:lineRule="auto"/>
              <w:jc w:val="both"/>
              <w:rPr>
                <w:rFonts w:ascii="Times New Roman" w:hAnsi="Times New Roman"/>
                <w:color w:val="000000" w:themeColor="text1"/>
                <w:sz w:val="16"/>
                <w:szCs w:val="16"/>
              </w:rPr>
            </w:pPr>
          </w:p>
        </w:tc>
        <w:tc>
          <w:tcPr>
            <w:tcW w:w="4253" w:type="dxa"/>
            <w:gridSpan w:val="3"/>
            <w:tcBorders>
              <w:top w:val="nil"/>
              <w:left w:val="nil"/>
              <w:bottom w:val="nil"/>
              <w:right w:val="single" w:sz="8" w:space="0" w:color="000000"/>
            </w:tcBorders>
            <w:tcMar>
              <w:top w:w="0" w:type="dxa"/>
              <w:left w:w="108" w:type="dxa"/>
              <w:bottom w:w="0" w:type="dxa"/>
              <w:right w:w="108" w:type="dxa"/>
            </w:tcMar>
            <w:hideMark/>
          </w:tcPr>
          <w:p w14:paraId="118E403C"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 потребляемая сила</w:t>
            </w:r>
          </w:p>
          <w:p w14:paraId="1942E61C"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тока</w:t>
            </w:r>
          </w:p>
        </w:tc>
        <w:tc>
          <w:tcPr>
            <w:tcW w:w="2835" w:type="dxa"/>
            <w:tcBorders>
              <w:top w:val="nil"/>
              <w:left w:val="nil"/>
              <w:bottom w:val="nil"/>
              <w:right w:val="single" w:sz="8" w:space="0" w:color="000000"/>
            </w:tcBorders>
            <w:tcMar>
              <w:top w:w="0" w:type="dxa"/>
              <w:left w:w="108" w:type="dxa"/>
              <w:bottom w:w="0" w:type="dxa"/>
              <w:right w:w="108" w:type="dxa"/>
            </w:tcMar>
            <w:vAlign w:val="center"/>
            <w:hideMark/>
          </w:tcPr>
          <w:p w14:paraId="36828F5F"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49C30920"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r>
      <w:tr w:rsidR="005106D0" w:rsidRPr="007224C3" w14:paraId="79FBD191"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2F3118D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w:t>
            </w:r>
          </w:p>
        </w:tc>
        <w:tc>
          <w:tcPr>
            <w:tcW w:w="4253" w:type="dxa"/>
            <w:gridSpan w:val="3"/>
            <w:tcBorders>
              <w:top w:val="nil"/>
              <w:left w:val="nil"/>
              <w:bottom w:val="nil"/>
              <w:right w:val="single" w:sz="8" w:space="0" w:color="000000"/>
            </w:tcBorders>
            <w:tcMar>
              <w:top w:w="0" w:type="dxa"/>
              <w:left w:w="108" w:type="dxa"/>
              <w:bottom w:w="0" w:type="dxa"/>
              <w:right w:w="108" w:type="dxa"/>
            </w:tcMar>
            <w:hideMark/>
          </w:tcPr>
          <w:p w14:paraId="0993C9C1"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Электросигнал</w:t>
            </w:r>
          </w:p>
        </w:tc>
        <w:tc>
          <w:tcPr>
            <w:tcW w:w="2835" w:type="dxa"/>
            <w:tcBorders>
              <w:top w:val="nil"/>
              <w:left w:val="nil"/>
              <w:bottom w:val="nil"/>
              <w:right w:val="single" w:sz="8" w:space="0" w:color="000000"/>
            </w:tcBorders>
            <w:tcMar>
              <w:top w:w="0" w:type="dxa"/>
              <w:left w:w="108" w:type="dxa"/>
              <w:bottom w:w="0" w:type="dxa"/>
              <w:right w:w="108" w:type="dxa"/>
            </w:tcMar>
            <w:vAlign w:val="center"/>
            <w:hideMark/>
          </w:tcPr>
          <w:p w14:paraId="05AFA112"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СМ-06</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3DC2EC9B"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ГФ-12Т</w:t>
            </w:r>
          </w:p>
        </w:tc>
      </w:tr>
      <w:tr w:rsidR="005106D0" w:rsidRPr="007224C3" w14:paraId="1B9EEDA0" w14:textId="77777777" w:rsidTr="00811C95">
        <w:trPr>
          <w:trHeight w:val="736"/>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4CA3B105"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w:t>
            </w:r>
          </w:p>
        </w:tc>
        <w:tc>
          <w:tcPr>
            <w:tcW w:w="7088" w:type="dxa"/>
            <w:gridSpan w:val="4"/>
            <w:tcBorders>
              <w:top w:val="nil"/>
              <w:left w:val="nil"/>
              <w:bottom w:val="nil"/>
              <w:right w:val="single" w:sz="8" w:space="0" w:color="000000"/>
            </w:tcBorders>
            <w:tcMar>
              <w:top w:w="0" w:type="dxa"/>
              <w:left w:w="108" w:type="dxa"/>
              <w:bottom w:w="0" w:type="dxa"/>
              <w:right w:w="108" w:type="dxa"/>
            </w:tcMar>
            <w:vAlign w:val="center"/>
            <w:hideMark/>
          </w:tcPr>
          <w:p w14:paraId="3ECAE4B5" w14:textId="77777777" w:rsidR="00811C95" w:rsidRPr="007224C3" w:rsidRDefault="00811C95" w:rsidP="007224C3">
            <w:pPr>
              <w:spacing w:after="0" w:line="240" w:lineRule="auto"/>
              <w:jc w:val="both"/>
              <w:rPr>
                <w:rFonts w:ascii="Times New Roman" w:hAnsi="Times New Roman"/>
                <w:color w:val="000000" w:themeColor="text1"/>
                <w:sz w:val="16"/>
                <w:szCs w:val="16"/>
              </w:rPr>
            </w:pPr>
            <w:bookmarkStart w:id="83" w:name="OLE_LINK245"/>
            <w:bookmarkStart w:id="84" w:name="OLE_LINK244"/>
            <w:bookmarkEnd w:id="83"/>
            <w:bookmarkEnd w:id="84"/>
            <w:r w:rsidRPr="007224C3">
              <w:rPr>
                <w:rFonts w:ascii="Times New Roman" w:hAnsi="Times New Roman"/>
                <w:color w:val="000000" w:themeColor="text1"/>
                <w:sz w:val="16"/>
                <w:szCs w:val="16"/>
              </w:rPr>
              <w:t>  23.</w:t>
            </w:r>
            <w:bookmarkStart w:id="85" w:name="OLE_LINK241"/>
            <w:bookmarkStart w:id="86" w:name="OLE_LINK240"/>
            <w:bookmarkEnd w:id="85"/>
            <w:bookmarkEnd w:id="86"/>
            <w:r w:rsidRPr="007224C3">
              <w:rPr>
                <w:rFonts w:ascii="Times New Roman" w:hAnsi="Times New Roman"/>
                <w:color w:val="000000" w:themeColor="text1"/>
                <w:sz w:val="16"/>
                <w:szCs w:val="16"/>
              </w:rPr>
              <w:t> </w:t>
            </w:r>
            <w:r w:rsidRPr="007224C3">
              <w:rPr>
                <w:rFonts w:ascii="Times New Roman" w:hAnsi="Times New Roman"/>
                <w:color w:val="000000" w:themeColor="text1"/>
                <w:sz w:val="16"/>
                <w:szCs w:val="16"/>
              </w:rPr>
              <w:t>СВЯЗИ:</w:t>
            </w:r>
            <w:r w:rsidRPr="007224C3">
              <w:rPr>
                <w:rFonts w:ascii="Times New Roman" w:hAnsi="Times New Roman"/>
                <w:color w:val="000000" w:themeColor="text1"/>
                <w:sz w:val="16"/>
                <w:szCs w:val="16"/>
              </w:rPr>
              <w:t> </w:t>
            </w:r>
            <w:r w:rsidRPr="007224C3">
              <w:rPr>
                <w:rFonts w:ascii="Times New Roman" w:hAnsi="Times New Roman"/>
                <w:color w:val="000000" w:themeColor="text1"/>
                <w:sz w:val="16"/>
                <w:szCs w:val="16"/>
              </w:rPr>
              <w:t>СРЕДСТВА</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08B4D012"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w:t>
            </w:r>
          </w:p>
        </w:tc>
      </w:tr>
      <w:tr w:rsidR="005106D0" w:rsidRPr="007224C3" w14:paraId="3A2B6130" w14:textId="77777777" w:rsidTr="008053EA">
        <w:trPr>
          <w:jc w:val="center"/>
        </w:trPr>
        <w:tc>
          <w:tcPr>
            <w:tcW w:w="953" w:type="dxa"/>
            <w:vMerge w:val="restart"/>
            <w:tcBorders>
              <w:top w:val="nil"/>
              <w:left w:val="single" w:sz="8" w:space="0" w:color="000000"/>
              <w:bottom w:val="nil"/>
              <w:right w:val="single" w:sz="8" w:space="0" w:color="000000"/>
            </w:tcBorders>
            <w:tcMar>
              <w:top w:w="0" w:type="dxa"/>
              <w:left w:w="108" w:type="dxa"/>
              <w:bottom w:w="0" w:type="dxa"/>
              <w:right w:w="108" w:type="dxa"/>
            </w:tcMar>
            <w:hideMark/>
          </w:tcPr>
          <w:p w14:paraId="3B0ED79C"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tc>
        <w:tc>
          <w:tcPr>
            <w:tcW w:w="4253" w:type="dxa"/>
            <w:gridSpan w:val="3"/>
            <w:tcBorders>
              <w:top w:val="nil"/>
              <w:left w:val="nil"/>
              <w:bottom w:val="nil"/>
              <w:right w:val="single" w:sz="8" w:space="0" w:color="000000"/>
            </w:tcBorders>
            <w:tcMar>
              <w:top w:w="0" w:type="dxa"/>
              <w:left w:w="108" w:type="dxa"/>
              <w:bottom w:w="0" w:type="dxa"/>
              <w:right w:w="108" w:type="dxa"/>
            </w:tcMar>
            <w:hideMark/>
          </w:tcPr>
          <w:p w14:paraId="43725643"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Внешняя связь:</w:t>
            </w:r>
          </w:p>
        </w:tc>
        <w:tc>
          <w:tcPr>
            <w:tcW w:w="2835" w:type="dxa"/>
            <w:tcBorders>
              <w:top w:val="nil"/>
              <w:left w:val="nil"/>
              <w:bottom w:val="nil"/>
              <w:right w:val="single" w:sz="8" w:space="0" w:color="000000"/>
            </w:tcBorders>
            <w:tcMar>
              <w:top w:w="0" w:type="dxa"/>
              <w:left w:w="108" w:type="dxa"/>
              <w:bottom w:w="0" w:type="dxa"/>
              <w:right w:w="108" w:type="dxa"/>
            </w:tcMar>
            <w:hideMark/>
          </w:tcPr>
          <w:p w14:paraId="146412F9"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Радиостанция</w:t>
            </w:r>
          </w:p>
        </w:tc>
        <w:tc>
          <w:tcPr>
            <w:tcW w:w="2935" w:type="dxa"/>
            <w:tcBorders>
              <w:top w:val="nil"/>
              <w:left w:val="nil"/>
              <w:bottom w:val="nil"/>
              <w:right w:val="single" w:sz="8" w:space="0" w:color="000000"/>
            </w:tcBorders>
            <w:tcMar>
              <w:top w:w="0" w:type="dxa"/>
              <w:left w:w="108" w:type="dxa"/>
              <w:bottom w:w="0" w:type="dxa"/>
              <w:right w:w="108" w:type="dxa"/>
            </w:tcMar>
            <w:hideMark/>
          </w:tcPr>
          <w:p w14:paraId="5E388AA2"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Радиостанция</w:t>
            </w:r>
          </w:p>
        </w:tc>
      </w:tr>
      <w:tr w:rsidR="005106D0" w:rsidRPr="007224C3" w14:paraId="5C47EDA9" w14:textId="77777777" w:rsidTr="008053EA">
        <w:trPr>
          <w:jc w:val="center"/>
        </w:trPr>
        <w:tc>
          <w:tcPr>
            <w:tcW w:w="953" w:type="dxa"/>
            <w:vMerge/>
            <w:tcBorders>
              <w:top w:val="nil"/>
              <w:left w:val="single" w:sz="8" w:space="0" w:color="000000"/>
              <w:bottom w:val="nil"/>
              <w:right w:val="single" w:sz="8" w:space="0" w:color="000000"/>
            </w:tcBorders>
            <w:vAlign w:val="center"/>
            <w:hideMark/>
          </w:tcPr>
          <w:p w14:paraId="2D3C3D57" w14:textId="77777777" w:rsidR="00811C95" w:rsidRPr="007224C3" w:rsidRDefault="00811C95" w:rsidP="007224C3">
            <w:pPr>
              <w:spacing w:after="0" w:line="240" w:lineRule="auto"/>
              <w:jc w:val="both"/>
              <w:rPr>
                <w:rFonts w:ascii="Times New Roman" w:hAnsi="Times New Roman"/>
                <w:color w:val="000000" w:themeColor="text1"/>
                <w:sz w:val="16"/>
                <w:szCs w:val="16"/>
              </w:rPr>
            </w:pPr>
          </w:p>
        </w:tc>
        <w:tc>
          <w:tcPr>
            <w:tcW w:w="4253" w:type="dxa"/>
            <w:gridSpan w:val="3"/>
            <w:tcBorders>
              <w:top w:val="nil"/>
              <w:left w:val="nil"/>
              <w:bottom w:val="nil"/>
              <w:right w:val="single" w:sz="8" w:space="0" w:color="000000"/>
            </w:tcBorders>
            <w:tcMar>
              <w:top w:w="0" w:type="dxa"/>
              <w:left w:w="108" w:type="dxa"/>
              <w:bottom w:w="0" w:type="dxa"/>
              <w:right w:w="108" w:type="dxa"/>
            </w:tcMar>
            <w:hideMark/>
          </w:tcPr>
          <w:p w14:paraId="7B09F058"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тип радиостанции</w:t>
            </w:r>
          </w:p>
        </w:tc>
        <w:tc>
          <w:tcPr>
            <w:tcW w:w="2835" w:type="dxa"/>
            <w:tcBorders>
              <w:top w:val="nil"/>
              <w:left w:val="nil"/>
              <w:bottom w:val="nil"/>
              <w:right w:val="single" w:sz="8" w:space="0" w:color="000000"/>
            </w:tcBorders>
            <w:tcMar>
              <w:top w:w="0" w:type="dxa"/>
              <w:left w:w="108" w:type="dxa"/>
              <w:bottom w:w="0" w:type="dxa"/>
              <w:right w:w="108" w:type="dxa"/>
            </w:tcMar>
            <w:hideMark/>
          </w:tcPr>
          <w:p w14:paraId="47565395"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9РУ</w:t>
            </w:r>
          </w:p>
        </w:tc>
        <w:tc>
          <w:tcPr>
            <w:tcW w:w="2935" w:type="dxa"/>
            <w:tcBorders>
              <w:top w:val="nil"/>
              <w:left w:val="nil"/>
              <w:bottom w:val="nil"/>
              <w:right w:val="single" w:sz="8" w:space="0" w:color="000000"/>
            </w:tcBorders>
            <w:tcMar>
              <w:top w:w="0" w:type="dxa"/>
              <w:left w:w="108" w:type="dxa"/>
              <w:bottom w:w="0" w:type="dxa"/>
              <w:right w:w="108" w:type="dxa"/>
            </w:tcMar>
            <w:hideMark/>
          </w:tcPr>
          <w:p w14:paraId="55D15F75"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9РМ</w:t>
            </w:r>
          </w:p>
        </w:tc>
      </w:tr>
      <w:tr w:rsidR="005106D0" w:rsidRPr="007224C3" w14:paraId="367EEA17" w14:textId="77777777" w:rsidTr="008053EA">
        <w:trPr>
          <w:jc w:val="center"/>
        </w:trPr>
        <w:tc>
          <w:tcPr>
            <w:tcW w:w="953" w:type="dxa"/>
            <w:vMerge/>
            <w:tcBorders>
              <w:top w:val="nil"/>
              <w:left w:val="single" w:sz="8" w:space="0" w:color="000000"/>
              <w:bottom w:val="nil"/>
              <w:right w:val="single" w:sz="8" w:space="0" w:color="000000"/>
            </w:tcBorders>
            <w:vAlign w:val="center"/>
            <w:hideMark/>
          </w:tcPr>
          <w:p w14:paraId="4E754449" w14:textId="77777777" w:rsidR="00811C95" w:rsidRPr="007224C3" w:rsidRDefault="00811C95" w:rsidP="007224C3">
            <w:pPr>
              <w:spacing w:after="0" w:line="240" w:lineRule="auto"/>
              <w:jc w:val="both"/>
              <w:rPr>
                <w:rFonts w:ascii="Times New Roman" w:hAnsi="Times New Roman"/>
                <w:color w:val="000000" w:themeColor="text1"/>
                <w:sz w:val="16"/>
                <w:szCs w:val="16"/>
              </w:rPr>
            </w:pPr>
          </w:p>
        </w:tc>
        <w:tc>
          <w:tcPr>
            <w:tcW w:w="4253" w:type="dxa"/>
            <w:gridSpan w:val="3"/>
            <w:tcBorders>
              <w:top w:val="nil"/>
              <w:left w:val="nil"/>
              <w:bottom w:val="nil"/>
              <w:right w:val="single" w:sz="8" w:space="0" w:color="000000"/>
            </w:tcBorders>
            <w:tcMar>
              <w:top w:w="0" w:type="dxa"/>
              <w:left w:w="108" w:type="dxa"/>
              <w:bottom w:w="0" w:type="dxa"/>
              <w:right w:w="108" w:type="dxa"/>
            </w:tcMar>
            <w:hideMark/>
          </w:tcPr>
          <w:p w14:paraId="03C980D6"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радиус действия</w:t>
            </w:r>
          </w:p>
        </w:tc>
        <w:tc>
          <w:tcPr>
            <w:tcW w:w="2835" w:type="dxa"/>
            <w:tcBorders>
              <w:top w:val="nil"/>
              <w:left w:val="nil"/>
              <w:bottom w:val="nil"/>
              <w:right w:val="single" w:sz="8" w:space="0" w:color="000000"/>
            </w:tcBorders>
            <w:tcMar>
              <w:top w:w="0" w:type="dxa"/>
              <w:left w:w="108" w:type="dxa"/>
              <w:bottom w:w="0" w:type="dxa"/>
              <w:right w:w="108" w:type="dxa"/>
            </w:tcMar>
            <w:hideMark/>
          </w:tcPr>
          <w:p w14:paraId="64603CD3"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w:t>
            </w:r>
            <w:bookmarkStart w:id="87" w:name="OLE_LINK247"/>
            <w:bookmarkStart w:id="88" w:name="OLE_LINK246"/>
            <w:bookmarkEnd w:id="87"/>
            <w:bookmarkEnd w:id="88"/>
            <w:r w:rsidRPr="007224C3">
              <w:rPr>
                <w:rFonts w:ascii="Times New Roman" w:hAnsi="Times New Roman"/>
                <w:color w:val="000000" w:themeColor="text1"/>
                <w:sz w:val="16"/>
                <w:szCs w:val="16"/>
              </w:rPr>
              <w:t>÷22 км</w:t>
            </w:r>
          </w:p>
        </w:tc>
        <w:tc>
          <w:tcPr>
            <w:tcW w:w="2935" w:type="dxa"/>
            <w:tcBorders>
              <w:top w:val="nil"/>
              <w:left w:val="nil"/>
              <w:bottom w:val="nil"/>
              <w:right w:val="single" w:sz="8" w:space="0" w:color="000000"/>
            </w:tcBorders>
            <w:tcMar>
              <w:top w:w="0" w:type="dxa"/>
              <w:left w:w="108" w:type="dxa"/>
              <w:bottom w:w="0" w:type="dxa"/>
              <w:right w:w="108" w:type="dxa"/>
            </w:tcMar>
            <w:hideMark/>
          </w:tcPr>
          <w:p w14:paraId="5B0A5580"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 17 км.</w:t>
            </w:r>
          </w:p>
        </w:tc>
      </w:tr>
      <w:tr w:rsidR="005106D0" w:rsidRPr="007224C3" w14:paraId="099A0F22" w14:textId="77777777" w:rsidTr="008053EA">
        <w:trPr>
          <w:jc w:val="center"/>
        </w:trPr>
        <w:tc>
          <w:tcPr>
            <w:tcW w:w="953" w:type="dxa"/>
            <w:vMerge/>
            <w:tcBorders>
              <w:top w:val="nil"/>
              <w:left w:val="single" w:sz="8" w:space="0" w:color="000000"/>
              <w:bottom w:val="nil"/>
              <w:right w:val="single" w:sz="8" w:space="0" w:color="000000"/>
            </w:tcBorders>
            <w:vAlign w:val="center"/>
            <w:hideMark/>
          </w:tcPr>
          <w:p w14:paraId="3DE73EFC" w14:textId="77777777" w:rsidR="00811C95" w:rsidRPr="007224C3" w:rsidRDefault="00811C95" w:rsidP="007224C3">
            <w:pPr>
              <w:spacing w:after="0" w:line="240" w:lineRule="auto"/>
              <w:jc w:val="both"/>
              <w:rPr>
                <w:rFonts w:ascii="Times New Roman" w:hAnsi="Times New Roman"/>
                <w:color w:val="000000" w:themeColor="text1"/>
                <w:sz w:val="16"/>
                <w:szCs w:val="16"/>
              </w:rPr>
            </w:pPr>
          </w:p>
        </w:tc>
        <w:tc>
          <w:tcPr>
            <w:tcW w:w="4253" w:type="dxa"/>
            <w:gridSpan w:val="3"/>
            <w:tcBorders>
              <w:top w:val="nil"/>
              <w:left w:val="nil"/>
              <w:bottom w:val="nil"/>
              <w:right w:val="single" w:sz="8" w:space="0" w:color="000000"/>
            </w:tcBorders>
            <w:tcMar>
              <w:top w:w="0" w:type="dxa"/>
              <w:left w:w="108" w:type="dxa"/>
              <w:bottom w:w="0" w:type="dxa"/>
              <w:right w:w="108" w:type="dxa"/>
            </w:tcMar>
            <w:hideMark/>
          </w:tcPr>
          <w:p w14:paraId="6B682016"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размещение</w:t>
            </w:r>
          </w:p>
        </w:tc>
        <w:tc>
          <w:tcPr>
            <w:tcW w:w="2835" w:type="dxa"/>
            <w:tcBorders>
              <w:top w:val="nil"/>
              <w:left w:val="nil"/>
              <w:bottom w:val="nil"/>
              <w:right w:val="single" w:sz="8" w:space="0" w:color="000000"/>
            </w:tcBorders>
            <w:tcMar>
              <w:top w:w="0" w:type="dxa"/>
              <w:left w:w="108" w:type="dxa"/>
              <w:bottom w:w="0" w:type="dxa"/>
              <w:right w:w="108" w:type="dxa"/>
            </w:tcMar>
            <w:hideMark/>
          </w:tcPr>
          <w:p w14:paraId="14A3E454"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башне с ле-</w:t>
            </w:r>
          </w:p>
          <w:p w14:paraId="6E7B3990"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 стороны</w:t>
            </w:r>
          </w:p>
          <w:p w14:paraId="085C3B5B"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 командира.</w:t>
            </w:r>
          </w:p>
        </w:tc>
        <w:tc>
          <w:tcPr>
            <w:tcW w:w="2935" w:type="dxa"/>
            <w:tcBorders>
              <w:top w:val="nil"/>
              <w:left w:val="nil"/>
              <w:bottom w:val="nil"/>
              <w:right w:val="single" w:sz="8" w:space="0" w:color="000000"/>
            </w:tcBorders>
            <w:tcMar>
              <w:top w:w="0" w:type="dxa"/>
              <w:left w:w="108" w:type="dxa"/>
              <w:bottom w:w="0" w:type="dxa"/>
              <w:right w:w="108" w:type="dxa"/>
            </w:tcMar>
            <w:hideMark/>
          </w:tcPr>
          <w:p w14:paraId="555DD737"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башне с</w:t>
            </w:r>
          </w:p>
          <w:p w14:paraId="0C164BED"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левой стороны</w:t>
            </w:r>
          </w:p>
          <w:p w14:paraId="4E6B68A3"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 командира.</w:t>
            </w:r>
          </w:p>
        </w:tc>
      </w:tr>
      <w:tr w:rsidR="005106D0" w:rsidRPr="007224C3" w14:paraId="40690799"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76433DA0"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tc>
        <w:tc>
          <w:tcPr>
            <w:tcW w:w="4253" w:type="dxa"/>
            <w:gridSpan w:val="3"/>
            <w:tcBorders>
              <w:top w:val="nil"/>
              <w:left w:val="nil"/>
              <w:bottom w:val="nil"/>
              <w:right w:val="single" w:sz="8" w:space="0" w:color="000000"/>
            </w:tcBorders>
            <w:tcMar>
              <w:top w:w="0" w:type="dxa"/>
              <w:left w:w="108" w:type="dxa"/>
              <w:bottom w:w="0" w:type="dxa"/>
              <w:right w:w="108" w:type="dxa"/>
            </w:tcMar>
            <w:hideMark/>
          </w:tcPr>
          <w:p w14:paraId="0CA01EC3"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Внутренняя связь</w:t>
            </w:r>
          </w:p>
        </w:tc>
        <w:tc>
          <w:tcPr>
            <w:tcW w:w="2835" w:type="dxa"/>
            <w:tcBorders>
              <w:top w:val="nil"/>
              <w:left w:val="nil"/>
              <w:bottom w:val="nil"/>
              <w:right w:val="single" w:sz="8" w:space="0" w:color="000000"/>
            </w:tcBorders>
            <w:tcMar>
              <w:top w:w="0" w:type="dxa"/>
              <w:left w:w="108" w:type="dxa"/>
              <w:bottom w:w="0" w:type="dxa"/>
              <w:right w:w="108" w:type="dxa"/>
            </w:tcMar>
            <w:hideMark/>
          </w:tcPr>
          <w:p w14:paraId="75C8C739" w14:textId="77777777" w:rsidR="00811C95" w:rsidRPr="007224C3" w:rsidRDefault="00811C95" w:rsidP="007224C3">
            <w:pPr>
              <w:spacing w:after="0" w:line="240" w:lineRule="auto"/>
              <w:jc w:val="both"/>
              <w:rPr>
                <w:rFonts w:ascii="Times New Roman" w:hAnsi="Times New Roman"/>
                <w:color w:val="000000" w:themeColor="text1"/>
                <w:sz w:val="16"/>
                <w:szCs w:val="16"/>
              </w:rPr>
            </w:pPr>
            <w:bookmarkStart w:id="89" w:name="OLE_LINK249"/>
            <w:bookmarkStart w:id="90" w:name="OLE_LINK248"/>
            <w:bookmarkEnd w:id="89"/>
            <w:bookmarkEnd w:id="90"/>
            <w:r w:rsidRPr="007224C3">
              <w:rPr>
                <w:rFonts w:ascii="Times New Roman" w:hAnsi="Times New Roman"/>
                <w:color w:val="000000" w:themeColor="text1"/>
                <w:sz w:val="16"/>
                <w:szCs w:val="16"/>
              </w:rPr>
              <w:t>ТПУ-3-БИС-Ф</w:t>
            </w:r>
          </w:p>
          <w:p w14:paraId="328FD23D"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1-у стреляющ.</w:t>
            </w:r>
          </w:p>
          <w:p w14:paraId="528143CD"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2-у командира.</w:t>
            </w:r>
          </w:p>
          <w:p w14:paraId="441300EA"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3-у водителя.</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2816EB00"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ТПУ-3-БИС-Ф</w:t>
            </w:r>
          </w:p>
          <w:p w14:paraId="12421840"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1-у стреляю-щего.</w:t>
            </w:r>
          </w:p>
          <w:p w14:paraId="0CA8FA0A"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2-укомандира.</w:t>
            </w:r>
          </w:p>
          <w:p w14:paraId="498CFA3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3-у водителя.</w:t>
            </w:r>
          </w:p>
        </w:tc>
      </w:tr>
      <w:tr w:rsidR="005106D0" w:rsidRPr="007224C3" w14:paraId="19C6C7C0" w14:textId="77777777" w:rsidTr="00811C95">
        <w:trPr>
          <w:trHeight w:val="736"/>
          <w:jc w:val="center"/>
        </w:trPr>
        <w:tc>
          <w:tcPr>
            <w:tcW w:w="10976" w:type="dxa"/>
            <w:gridSpan w:val="6"/>
            <w:tcBorders>
              <w:top w:val="nil"/>
              <w:left w:val="single" w:sz="8" w:space="0" w:color="000000"/>
              <w:bottom w:val="nil"/>
              <w:right w:val="single" w:sz="8" w:space="0" w:color="000000"/>
            </w:tcBorders>
            <w:tcMar>
              <w:top w:w="0" w:type="dxa"/>
              <w:left w:w="108" w:type="dxa"/>
              <w:bottom w:w="0" w:type="dxa"/>
              <w:right w:w="108" w:type="dxa"/>
            </w:tcMar>
            <w:vAlign w:val="center"/>
            <w:hideMark/>
          </w:tcPr>
          <w:p w14:paraId="185541B7"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24.НАБЛЮДЕНИЯ.</w:t>
            </w:r>
            <w:r w:rsidRPr="007224C3">
              <w:rPr>
                <w:rFonts w:ascii="Times New Roman" w:hAnsi="Times New Roman"/>
                <w:color w:val="000000" w:themeColor="text1"/>
                <w:sz w:val="16"/>
                <w:szCs w:val="16"/>
              </w:rPr>
              <w:t> </w:t>
            </w:r>
            <w:r w:rsidRPr="007224C3">
              <w:rPr>
                <w:rFonts w:ascii="Times New Roman" w:hAnsi="Times New Roman"/>
                <w:color w:val="000000" w:themeColor="text1"/>
                <w:sz w:val="16"/>
                <w:szCs w:val="16"/>
              </w:rPr>
              <w:t>СРЕДСТВА</w:t>
            </w:r>
            <w:r w:rsidRPr="007224C3">
              <w:rPr>
                <w:rFonts w:ascii="Times New Roman" w:hAnsi="Times New Roman"/>
                <w:color w:val="000000" w:themeColor="text1"/>
                <w:sz w:val="16"/>
                <w:szCs w:val="16"/>
              </w:rPr>
              <w:t> </w:t>
            </w:r>
          </w:p>
        </w:tc>
      </w:tr>
      <w:tr w:rsidR="005106D0" w:rsidRPr="007224C3" w14:paraId="4A223712"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79E9C20D"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tc>
        <w:tc>
          <w:tcPr>
            <w:tcW w:w="4253" w:type="dxa"/>
            <w:gridSpan w:val="3"/>
            <w:tcBorders>
              <w:top w:val="nil"/>
              <w:left w:val="nil"/>
              <w:bottom w:val="nil"/>
              <w:right w:val="single" w:sz="8" w:space="0" w:color="000000"/>
            </w:tcBorders>
            <w:tcMar>
              <w:top w:w="0" w:type="dxa"/>
              <w:left w:w="108" w:type="dxa"/>
              <w:bottom w:w="0" w:type="dxa"/>
              <w:right w:w="108" w:type="dxa"/>
            </w:tcMar>
            <w:hideMark/>
          </w:tcPr>
          <w:p w14:paraId="17C65A7F"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Водителя</w:t>
            </w:r>
          </w:p>
        </w:tc>
        <w:tc>
          <w:tcPr>
            <w:tcW w:w="2835" w:type="dxa"/>
            <w:tcBorders>
              <w:top w:val="nil"/>
              <w:left w:val="nil"/>
              <w:bottom w:val="nil"/>
              <w:right w:val="single" w:sz="8" w:space="0" w:color="000000"/>
            </w:tcBorders>
            <w:tcMar>
              <w:top w:w="0" w:type="dxa"/>
              <w:left w:w="108" w:type="dxa"/>
              <w:bottom w:w="0" w:type="dxa"/>
              <w:right w:w="108" w:type="dxa"/>
            </w:tcMar>
            <w:hideMark/>
          </w:tcPr>
          <w:p w14:paraId="2F8A71A9"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Смотровой люк</w:t>
            </w:r>
          </w:p>
          <w:p w14:paraId="6D372AB9"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392-75 в носовом листе, снабжен щелью и триплек-сом. Вращающая башенка с смот-ровым прибором</w:t>
            </w:r>
          </w:p>
          <w:p w14:paraId="786EDC3C"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типа "МК-IV".</w:t>
            </w:r>
          </w:p>
          <w:p w14:paraId="5003F2B1"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Щелевой смотро-вой прибор в ле-вом борту с приз-моймногократ-ного отражения</w:t>
            </w:r>
          </w:p>
        </w:tc>
        <w:tc>
          <w:tcPr>
            <w:tcW w:w="2935" w:type="dxa"/>
            <w:tcBorders>
              <w:top w:val="nil"/>
              <w:left w:val="nil"/>
              <w:bottom w:val="nil"/>
              <w:right w:val="single" w:sz="8" w:space="0" w:color="000000"/>
            </w:tcBorders>
            <w:tcMar>
              <w:top w:w="0" w:type="dxa"/>
              <w:left w:w="108" w:type="dxa"/>
              <w:bottom w:w="0" w:type="dxa"/>
              <w:right w:w="108" w:type="dxa"/>
            </w:tcMar>
            <w:hideMark/>
          </w:tcPr>
          <w:p w14:paraId="428244BF"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Смотровой</w:t>
            </w:r>
          </w:p>
          <w:p w14:paraId="1A942210"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люк лаз с</w:t>
            </w:r>
          </w:p>
          <w:p w14:paraId="3FEB8F03"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дублирующим</w:t>
            </w:r>
          </w:p>
          <w:p w14:paraId="4ADA3FB4"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примененным</w:t>
            </w:r>
          </w:p>
          <w:p w14:paraId="31CABF86"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прибором.</w:t>
            </w:r>
          </w:p>
        </w:tc>
      </w:tr>
      <w:tr w:rsidR="005106D0" w:rsidRPr="007224C3" w14:paraId="59C702FF"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1DA77AA5"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tc>
        <w:tc>
          <w:tcPr>
            <w:tcW w:w="4253" w:type="dxa"/>
            <w:gridSpan w:val="3"/>
            <w:tcBorders>
              <w:top w:val="nil"/>
              <w:left w:val="nil"/>
              <w:bottom w:val="nil"/>
              <w:right w:val="single" w:sz="8" w:space="0" w:color="000000"/>
            </w:tcBorders>
            <w:tcMar>
              <w:top w:w="0" w:type="dxa"/>
              <w:left w:w="108" w:type="dxa"/>
              <w:bottom w:w="0" w:type="dxa"/>
              <w:right w:w="108" w:type="dxa"/>
            </w:tcMar>
            <w:hideMark/>
          </w:tcPr>
          <w:p w14:paraId="3D18BBE5" w14:textId="77777777" w:rsidR="00811C95" w:rsidRPr="007224C3" w:rsidRDefault="00811C95" w:rsidP="007224C3">
            <w:pPr>
              <w:spacing w:after="0" w:line="240" w:lineRule="auto"/>
              <w:jc w:val="both"/>
              <w:rPr>
                <w:rFonts w:ascii="Times New Roman" w:hAnsi="Times New Roman"/>
                <w:color w:val="000000" w:themeColor="text1"/>
                <w:sz w:val="16"/>
                <w:szCs w:val="16"/>
              </w:rPr>
            </w:pPr>
            <w:bookmarkStart w:id="91" w:name="OLE_LINK253"/>
            <w:bookmarkStart w:id="92" w:name="OLE_LINK252"/>
            <w:bookmarkEnd w:id="91"/>
            <w:bookmarkEnd w:id="92"/>
            <w:r w:rsidRPr="007224C3">
              <w:rPr>
                <w:rFonts w:ascii="Times New Roman" w:hAnsi="Times New Roman"/>
                <w:color w:val="000000" w:themeColor="text1"/>
                <w:sz w:val="16"/>
                <w:szCs w:val="16"/>
              </w:rPr>
              <w:t>Командира</w:t>
            </w:r>
          </w:p>
        </w:tc>
        <w:tc>
          <w:tcPr>
            <w:tcW w:w="2835" w:type="dxa"/>
            <w:tcBorders>
              <w:top w:val="nil"/>
              <w:left w:val="nil"/>
              <w:bottom w:val="nil"/>
              <w:right w:val="single" w:sz="8" w:space="0" w:color="000000"/>
            </w:tcBorders>
            <w:tcMar>
              <w:top w:w="0" w:type="dxa"/>
              <w:left w:w="108" w:type="dxa"/>
              <w:bottom w:w="0" w:type="dxa"/>
              <w:right w:w="108" w:type="dxa"/>
            </w:tcMar>
            <w:hideMark/>
          </w:tcPr>
          <w:p w14:paraId="78ED239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Командирская башен-</w:t>
            </w:r>
          </w:p>
          <w:p w14:paraId="3C7C6606"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 с смотровым</w:t>
            </w:r>
          </w:p>
          <w:p w14:paraId="0B62D750"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прибором типа</w:t>
            </w:r>
          </w:p>
          <w:p w14:paraId="69EAD773"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МК-IV на вращаю-</w:t>
            </w:r>
          </w:p>
          <w:p w14:paraId="71584A3D"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щемся люке и 5 ще-</w:t>
            </w:r>
          </w:p>
          <w:p w14:paraId="632502D7"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левыми приборами,</w:t>
            </w:r>
          </w:p>
          <w:p w14:paraId="1DEAD58A"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оборудованными приз-</w:t>
            </w:r>
          </w:p>
          <w:p w14:paraId="550EC408"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мами многократного</w:t>
            </w:r>
          </w:p>
          <w:p w14:paraId="328349E3"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отражения.</w:t>
            </w:r>
          </w:p>
        </w:tc>
        <w:tc>
          <w:tcPr>
            <w:tcW w:w="2935" w:type="dxa"/>
            <w:tcBorders>
              <w:top w:val="nil"/>
              <w:left w:val="nil"/>
              <w:bottom w:val="nil"/>
              <w:right w:val="single" w:sz="8" w:space="0" w:color="000000"/>
            </w:tcBorders>
            <w:tcMar>
              <w:top w:w="0" w:type="dxa"/>
              <w:left w:w="108" w:type="dxa"/>
              <w:bottom w:w="0" w:type="dxa"/>
              <w:right w:w="108" w:type="dxa"/>
            </w:tcMar>
            <w:hideMark/>
          </w:tcPr>
          <w:p w14:paraId="71B66147"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Командирская </w:t>
            </w:r>
          </w:p>
          <w:p w14:paraId="7CBEDC7F"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башенка с смотровым при-</w:t>
            </w:r>
          </w:p>
          <w:p w14:paraId="411DF025"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бором типа</w:t>
            </w:r>
          </w:p>
          <w:p w14:paraId="34928698"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МК-IV и 5 ще-</w:t>
            </w:r>
          </w:p>
          <w:p w14:paraId="7442562C"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левыми прибора-</w:t>
            </w:r>
          </w:p>
          <w:p w14:paraId="2FF0D7D6"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ми. Призменный</w:t>
            </w:r>
          </w:p>
          <w:p w14:paraId="4594FE57"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вращающийся</w:t>
            </w:r>
          </w:p>
          <w:p w14:paraId="7FEE2206"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прибор и телес-</w:t>
            </w:r>
          </w:p>
          <w:p w14:paraId="6D9C38E3"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копический шар-</w:t>
            </w:r>
          </w:p>
          <w:p w14:paraId="1D3F4E49"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нирный прицел</w:t>
            </w:r>
          </w:p>
          <w:p w14:paraId="20AAF6B3"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ТШ-13.</w:t>
            </w:r>
          </w:p>
        </w:tc>
      </w:tr>
      <w:tr w:rsidR="005106D0" w:rsidRPr="007224C3" w14:paraId="071880A4"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42CAE5E6"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w:t>
            </w:r>
          </w:p>
        </w:tc>
        <w:tc>
          <w:tcPr>
            <w:tcW w:w="4253" w:type="dxa"/>
            <w:gridSpan w:val="3"/>
            <w:tcBorders>
              <w:top w:val="nil"/>
              <w:left w:val="nil"/>
              <w:bottom w:val="nil"/>
              <w:right w:val="single" w:sz="8" w:space="0" w:color="000000"/>
            </w:tcBorders>
            <w:tcMar>
              <w:top w:w="0" w:type="dxa"/>
              <w:left w:w="108" w:type="dxa"/>
              <w:bottom w:w="0" w:type="dxa"/>
              <w:right w:w="108" w:type="dxa"/>
            </w:tcMar>
            <w:hideMark/>
          </w:tcPr>
          <w:p w14:paraId="7CE28CA8"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Стреляющего</w:t>
            </w:r>
          </w:p>
        </w:tc>
        <w:tc>
          <w:tcPr>
            <w:tcW w:w="2835" w:type="dxa"/>
            <w:tcBorders>
              <w:top w:val="nil"/>
              <w:left w:val="nil"/>
              <w:bottom w:val="nil"/>
              <w:right w:val="single" w:sz="8" w:space="0" w:color="000000"/>
            </w:tcBorders>
            <w:tcMar>
              <w:top w:w="0" w:type="dxa"/>
              <w:left w:w="108" w:type="dxa"/>
              <w:bottom w:w="0" w:type="dxa"/>
              <w:right w:w="108" w:type="dxa"/>
            </w:tcMar>
            <w:hideMark/>
          </w:tcPr>
          <w:p w14:paraId="1A3AFCA6"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Смотровой прибор</w:t>
            </w:r>
          </w:p>
          <w:p w14:paraId="63FB2A45"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типа МК-IV и телес-</w:t>
            </w:r>
          </w:p>
          <w:p w14:paraId="35917B39"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копический шарнир-</w:t>
            </w:r>
          </w:p>
          <w:p w14:paraId="2931119A"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ный прицел.</w:t>
            </w:r>
          </w:p>
        </w:tc>
        <w:tc>
          <w:tcPr>
            <w:tcW w:w="2935" w:type="dxa"/>
            <w:tcBorders>
              <w:top w:val="nil"/>
              <w:left w:val="nil"/>
              <w:bottom w:val="nil"/>
              <w:right w:val="single" w:sz="8" w:space="0" w:color="000000"/>
            </w:tcBorders>
            <w:tcMar>
              <w:top w:w="0" w:type="dxa"/>
              <w:left w:w="108" w:type="dxa"/>
              <w:bottom w:w="0" w:type="dxa"/>
              <w:right w:w="108" w:type="dxa"/>
            </w:tcMar>
            <w:hideMark/>
          </w:tcPr>
          <w:p w14:paraId="5A7CF6E4"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w:t>
            </w:r>
          </w:p>
        </w:tc>
      </w:tr>
      <w:tr w:rsidR="005106D0" w:rsidRPr="007224C3" w14:paraId="65EAF23A" w14:textId="77777777" w:rsidTr="008053EA">
        <w:trPr>
          <w:jc w:val="center"/>
        </w:trPr>
        <w:tc>
          <w:tcPr>
            <w:tcW w:w="953" w:type="dxa"/>
            <w:tcBorders>
              <w:top w:val="nil"/>
              <w:left w:val="single" w:sz="8" w:space="0" w:color="000000"/>
              <w:bottom w:val="single" w:sz="8" w:space="0" w:color="auto"/>
              <w:right w:val="single" w:sz="8" w:space="0" w:color="000000"/>
            </w:tcBorders>
            <w:tcMar>
              <w:top w:w="0" w:type="dxa"/>
              <w:left w:w="108" w:type="dxa"/>
              <w:bottom w:w="0" w:type="dxa"/>
              <w:right w:w="108" w:type="dxa"/>
            </w:tcMar>
            <w:hideMark/>
          </w:tcPr>
          <w:p w14:paraId="520BD810"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w:t>
            </w:r>
          </w:p>
        </w:tc>
        <w:tc>
          <w:tcPr>
            <w:tcW w:w="4253" w:type="dxa"/>
            <w:gridSpan w:val="3"/>
            <w:tcBorders>
              <w:top w:val="nil"/>
              <w:left w:val="nil"/>
              <w:bottom w:val="single" w:sz="8" w:space="0" w:color="auto"/>
              <w:right w:val="single" w:sz="8" w:space="0" w:color="000000"/>
            </w:tcBorders>
            <w:tcMar>
              <w:top w:w="0" w:type="dxa"/>
              <w:left w:w="108" w:type="dxa"/>
              <w:bottom w:w="0" w:type="dxa"/>
              <w:right w:w="108" w:type="dxa"/>
            </w:tcMar>
            <w:hideMark/>
          </w:tcPr>
          <w:p w14:paraId="2B6CB867"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Заряжающего</w:t>
            </w:r>
          </w:p>
        </w:tc>
        <w:tc>
          <w:tcPr>
            <w:tcW w:w="2835" w:type="dxa"/>
            <w:tcBorders>
              <w:top w:val="nil"/>
              <w:left w:val="nil"/>
              <w:bottom w:val="single" w:sz="8" w:space="0" w:color="auto"/>
              <w:right w:val="single" w:sz="8" w:space="0" w:color="000000"/>
            </w:tcBorders>
            <w:tcMar>
              <w:top w:w="0" w:type="dxa"/>
              <w:left w:w="108" w:type="dxa"/>
              <w:bottom w:w="0" w:type="dxa"/>
              <w:right w:w="108" w:type="dxa"/>
            </w:tcMar>
            <w:hideMark/>
          </w:tcPr>
          <w:p w14:paraId="04EB120D"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Смотровой прибор</w:t>
            </w:r>
          </w:p>
          <w:p w14:paraId="49202CE7"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типа МК-IV.</w:t>
            </w:r>
          </w:p>
        </w:tc>
        <w:tc>
          <w:tcPr>
            <w:tcW w:w="2935" w:type="dxa"/>
            <w:tcBorders>
              <w:top w:val="nil"/>
              <w:left w:val="nil"/>
              <w:bottom w:val="single" w:sz="8" w:space="0" w:color="auto"/>
              <w:right w:val="single" w:sz="8" w:space="0" w:color="000000"/>
            </w:tcBorders>
            <w:tcMar>
              <w:top w:w="0" w:type="dxa"/>
              <w:left w:w="108" w:type="dxa"/>
              <w:bottom w:w="0" w:type="dxa"/>
              <w:right w:w="108" w:type="dxa"/>
            </w:tcMar>
            <w:hideMark/>
          </w:tcPr>
          <w:p w14:paraId="72676BE3"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Вращающийся</w:t>
            </w:r>
          </w:p>
          <w:p w14:paraId="04A2D8BB"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призменный</w:t>
            </w:r>
          </w:p>
          <w:p w14:paraId="76613BBF"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прибор и щеле-</w:t>
            </w:r>
          </w:p>
          <w:p w14:paraId="0B3E08F9"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 прибор.</w:t>
            </w:r>
          </w:p>
        </w:tc>
      </w:tr>
    </w:tbl>
    <w:p w14:paraId="015B76A3"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УСЛОВИЯ ИСПЫТАНИЙ.</w:t>
      </w:r>
    </w:p>
    <w:p w14:paraId="2CE2FD58"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Как ходовые, так и специальные испытания танк проходил с полным боевым комплектом снарядов и патронов, а также возимым комплектом инструмента и запасных частей.</w:t>
      </w:r>
    </w:p>
    <w:p w14:paraId="1B1DE04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Двигатель танка эксплоатировался на дизельном топливе и авиамасле МК.</w:t>
      </w:r>
    </w:p>
    <w:p w14:paraId="6432CC50"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Смазка агрегатов трансмиссии и ходовой части производилась маслами рекомендуемыми заводом.</w:t>
      </w:r>
    </w:p>
    <w:p w14:paraId="0BD5158F"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Ходовые испытания проводились:</w:t>
      </w:r>
    </w:p>
    <w:p w14:paraId="08A8CDB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асфальтовому шоссе – Москва-Минск:</w:t>
      </w:r>
    </w:p>
    <w:p w14:paraId="4EE9ADB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разбитой танками проселочной дороге (колонный танковый путь) с глубокими выбоинами и ухабами, подъемами и спусками до 10°, крутыми поворотами.</w:t>
      </w:r>
    </w:p>
    <w:p w14:paraId="75BB22F1"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Испытательный участок проходил по пересеченной местности - перерезанной тремя речками, глубиной 0,5-1,0 м шириной 4-5 м. Маршрут, на 30-35% проходит по лесным участкам:</w:t>
      </w:r>
    </w:p>
    <w:p w14:paraId="27387E59"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Испытания проходили при температуре окружающего воздуха от ÷ 15°С до ÷  40°С.</w:t>
      </w:r>
    </w:p>
    <w:p w14:paraId="3D53ED7B"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 пробеги проведены на максимально возможных, по дорожным условиям и тепловому режиму работы двигателя, скоростях.</w:t>
      </w:r>
    </w:p>
    <w:p w14:paraId="57CA56A8"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испытании управление танком производилось заводскими водителями.</w:t>
      </w:r>
    </w:p>
    <w:p w14:paraId="086B561C"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Испытание вооружения отстрелом производилось инженером-артиллеристом НИБТ Полигона.</w:t>
      </w:r>
    </w:p>
    <w:p w14:paraId="18D312F1"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Периодичность технических осмотров и обслуживание проводилось в соответствии с указаниями заводских представителей.</w:t>
      </w:r>
    </w:p>
    <w:p w14:paraId="748A65D0"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Ремонт танка производился мастерскими НИБТ Полигона и экипажем танка.</w:t>
      </w:r>
    </w:p>
    <w:p w14:paraId="7C70DA97"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VIII. ВЫВОДЫ.</w:t>
      </w:r>
    </w:p>
    <w:p w14:paraId="107EC0C7"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основании проведенных испытании второго опытного образца танка Т-44, комиссия пришла к следующим выводам:</w:t>
      </w:r>
    </w:p>
    <w:p w14:paraId="69B657C0"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Танк Т-44, по сравнению с танком Т-34-35 имеет следующие преимущества:</w:t>
      </w:r>
    </w:p>
    <w:p w14:paraId="13514934"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усиленную броневую защиту, при сохранении веса серийного танка Т-34-85;</w:t>
      </w:r>
    </w:p>
    <w:p w14:paraId="30720B4F"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более просторное и удобное боевое отделение;</w:t>
      </w:r>
    </w:p>
    <w:p w14:paraId="2228B11D"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меньшую высоту наиболее поражаемой части танка;</w:t>
      </w:r>
    </w:p>
    <w:p w14:paraId="0E1F7018"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 более совершенную подвеску.</w:t>
      </w:r>
    </w:p>
    <w:p w14:paraId="671BF1ED"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Конструкция танка Т-44 позволяет осуществить усиление его броневой защиты и разместить более мощное вооружение.</w:t>
      </w:r>
    </w:p>
    <w:p w14:paraId="361D0D8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За время полигонных испытаний выявлены следующие основное дефекты снизившие надежность работы механизмов танка:</w:t>
      </w:r>
    </w:p>
    <w:p w14:paraId="139DCF1D"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гитаре:</w:t>
      </w:r>
    </w:p>
    <w:p w14:paraId="281F4CCD"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неправильная посадка наружных обойм подшипников шестерен, вызвавшая двухкратное разрушение подшипников ведомой шестерни.</w:t>
      </w:r>
    </w:p>
    <w:p w14:paraId="53D20FF7"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После вторичной замены подшипников, и изменения их посадки, гитара отработала без дефектов стороны подшипников 1061 км.</w:t>
      </w:r>
    </w:p>
    <w:p w14:paraId="3CBB591D"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повышенный нагрев масла в гитаре, из-за недостаточной производительности масляного насоса.</w:t>
      </w:r>
    </w:p>
    <w:p w14:paraId="7A5673F7"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неудовлетворительная устойчивость при вибрации трубок масляной системы гитары, послужившая причиной пятикратного разрушения их;</w:t>
      </w:r>
    </w:p>
    <w:p w14:paraId="61ABC10A"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 недостаточная надежность текстолитовых прокладок в муфте между гитарой и двигателем, вызвавшая двухкратное продавливание болтами тонкой текстолитовой прокладки и смятие концов болтов;</w:t>
      </w:r>
    </w:p>
    <w:p w14:paraId="151995A5"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 недостаточная надежность болтов в муфте между гитарой и КПП, вызвавшая обрывы головок на 4-х болтах.</w:t>
      </w:r>
    </w:p>
    <w:p w14:paraId="118E9BD5"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главному фрикциону.</w:t>
      </w:r>
    </w:p>
    <w:p w14:paraId="26FCF965"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Эллиптичность дисков главного фрикциона, вызвавшая их заедание на внутреннем барабане. После зачистки дисков, заедание их было устранено и в дальнейшем не повторялось.</w:t>
      </w:r>
    </w:p>
    <w:p w14:paraId="51F86850"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коробке перемены передач:</w:t>
      </w:r>
    </w:p>
    <w:p w14:paraId="41C6AFFC"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а) под&lt;резка&gt; вертикального валика вилки переключения 2 и 3 передач, в месте перехода с большего диаметра к меньшему, вызвавшая излом валика в этом месте;</w:t>
      </w:r>
    </w:p>
    <w:p w14:paraId="7E5A381A"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прослабление посадочного места под подшипник средней опоры главного вала, вызвавшее разрушение подшипника и прогиб вала.</w:t>
      </w:r>
    </w:p>
    <w:p w14:paraId="66272A50"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После замены валика, с галтелью в месте перехода и установки нового подшипника на нахромированную шейку вала, КПП проработала без поломок 1097 км.</w:t>
      </w:r>
    </w:p>
    <w:p w14:paraId="078F3C6C"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поломка сухарика и повышенный износ гнезд и стопоров фиксаторов 2 и 3 передач, вызвавшие случаи неполного включения передач.</w:t>
      </w:r>
    </w:p>
    <w:p w14:paraId="1D0DAA4B"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приводу вентилятора:</w:t>
      </w:r>
    </w:p>
    <w:p w14:paraId="304AB56C"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недостаточная износоустойчивость чугунных дисков фрикциона вентилятора и плохое его уплотнение, вызвавшее чрезмерный износ чугунных дисков. В результате этого, вентилятор дважды работал с большими пробуксовками, что приводило к перегреву двигателя.</w:t>
      </w:r>
    </w:p>
    <w:p w14:paraId="3D1EB039"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кулисе:</w:t>
      </w:r>
    </w:p>
    <w:p w14:paraId="5D5B5931"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отсутствие уплотнения кулисы, приводившее к однократному заеданию валиков из-за попадания в кулису грязи и пыли.</w:t>
      </w:r>
    </w:p>
    <w:p w14:paraId="14798884"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ведущим колесам:</w:t>
      </w:r>
    </w:p>
    <w:p w14:paraId="1576F005"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разрушение 2-х роликов ведущих колес.</w:t>
      </w:r>
    </w:p>
    <w:p w14:paraId="0EE2AEE9"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натяжным механизмам ленивцев:</w:t>
      </w:r>
    </w:p>
    <w:p w14:paraId="295CD1E0"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заедание и тугое проворачивание по резьбе опорной гайки ленивца.</w:t>
      </w:r>
    </w:p>
    <w:p w14:paraId="68EC3ED0"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опорным каткам:    </w:t>
      </w:r>
    </w:p>
    <w:p w14:paraId="4A32937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несоответствие качества резины нагрузкам на катки, вызвавшее массовое разрушение резинового массива, в ряде случаев, с последующим разрушением подшипников при движении без обрезинки.</w:t>
      </w:r>
    </w:p>
    <w:p w14:paraId="11513220"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электрооборудованию:</w:t>
      </w:r>
    </w:p>
    <w:p w14:paraId="72FCB7EF"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недостаточная длина собачки реле стартера СТ-15, вызвавшая неоднократные ее заскакивания.</w:t>
      </w:r>
    </w:p>
    <w:p w14:paraId="64294282"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произведенным дефектам, особенно отразившимся на режиме испытаний и надежности работы танка вцелом, следует, кроме того, отнести недоброкачественный монтаж системы смазки двигателя, как по вине моторостроительного, так и по вине танкового заводов.</w:t>
      </w:r>
    </w:p>
    <w:p w14:paraId="1DE96AA4"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Помимо указанных выше дефектов в работе механизмов танка имеется ряд недостатков по корпусу и. установке отдельных агрегатов танка, непосредственно не сразившихся на работоспособности механизмов при испытаниях, но резко снижающих его боевые качества.</w:t>
      </w:r>
    </w:p>
    <w:p w14:paraId="1EACE142"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этим недостаткам, в первую очередь, относятся следующие:</w:t>
      </w:r>
    </w:p>
    <w:p w14:paraId="694A65FC"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плохое качество соединений броневых листов корпуса;</w:t>
      </w:r>
    </w:p>
    <w:p w14:paraId="6637598C"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неудовлетворительная конструкция крепления гитары к борту танка, а вентилятора к корме, приводящая к выходу танка из строя при первом же попадании в борт или корму осколочно-фугасного снаряда;</w:t>
      </w:r>
    </w:p>
    <w:p w14:paraId="74734A5D"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неудачная конструкция кормы.</w:t>
      </w:r>
    </w:p>
    <w:p w14:paraId="05F8D151"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Для повышения надежности работы механизмов танка Т-44 и улучшения его боевых и эксплоатационных качества, комиссия считает необходимым реализацию следующих мероприятий:</w:t>
      </w:r>
    </w:p>
    <w:p w14:paraId="3582C9E6"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моторной установке:</w:t>
      </w:r>
    </w:p>
    <w:p w14:paraId="75883C3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воизбежание выхода из строя вентилятора при попадании в корму танка осколочно-фугасного снаряда, снять крепление вентилятора с кормового листа корпуса.</w:t>
      </w:r>
    </w:p>
    <w:p w14:paraId="067BFF80"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защитить радиатор от попадания на него масла и  топлива из трансмиссионного отделения;</w:t>
      </w:r>
    </w:p>
    <w:p w14:paraId="5E059768"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защитить фрикцион вентилятора от попадания в него пыли и повысить износоустойчивость дисков фрикциона;</w:t>
      </w:r>
    </w:p>
    <w:p w14:paraId="178E5CA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 увеличить емкость основных топливных баков, минимум до 550 л;</w:t>
      </w:r>
    </w:p>
    <w:p w14:paraId="4B864844"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 оборудовать машину средствами зимнего запуска, рекомендовав установку термосифонного подогревателя типа "Пантера'" и маслоразжижающего устройства с ложным бачком;   .</w:t>
      </w:r>
    </w:p>
    <w:p w14:paraId="798F365C"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е) устранить возможность замерзания смазки в трубопроводах, размещенных на днище танка.</w:t>
      </w:r>
    </w:p>
    <w:p w14:paraId="06256994"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главному фрикциону.</w:t>
      </w:r>
    </w:p>
    <w:p w14:paraId="644FF382"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исключить возможность заедания дисков главного фрикциона;</w:t>
      </w:r>
    </w:p>
    <w:p w14:paraId="6A3DAA86"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обеспечить возможность более легкой разборки и замены дисков главного фрикциона в танке.</w:t>
      </w:r>
    </w:p>
    <w:p w14:paraId="5AC3D0E3"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гитаре:</w:t>
      </w:r>
    </w:p>
    <w:p w14:paraId="2531781F"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воизбежание выхода из строя гитары при попадании в борт танка осколочно-фугасного снаряда, снять крепление гитары с борта танка;</w:t>
      </w:r>
    </w:p>
    <w:p w14:paraId="75DA0710"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усилить подшипники гитары и изменить их посадку;</w:t>
      </w:r>
    </w:p>
    <w:p w14:paraId="484DEDCB"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для обеспечения нормального температурного режима гитары, увеличить производительность ее масляного насоса в 2-2,5 раза;</w:t>
      </w:r>
    </w:p>
    <w:p w14:paraId="70A85DAF"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 обеспечить надежную работу системы смазки гитары, рекомендовав замену масляных трубок гитары сверлениями в картере;</w:t>
      </w:r>
    </w:p>
    <w:p w14:paraId="061EF3B8"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 устранить продавливание текстолитовых прокладок муфт полужесткого соединения гитары с двигателем и усилить болты муфты соединения гитары с КПП.</w:t>
      </w:r>
    </w:p>
    <w:p w14:paraId="6C78981B"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коробке перемены передач:</w:t>
      </w:r>
    </w:p>
    <w:p w14:paraId="697041D6"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усилить вертикальные валики переключения передач;</w:t>
      </w:r>
    </w:p>
    <w:p w14:paraId="129A9CAA"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исключить возможность поломки и выпадания сухарей. Повысить износоустойчивость сухарей, гнезд и стопоров фиксаторов КПП;</w:t>
      </w:r>
    </w:p>
    <w:p w14:paraId="5078EB24"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облегчить доступ к масленке привода спидометра.</w:t>
      </w:r>
    </w:p>
    <w:p w14:paraId="49E1A58F"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приводам управления.</w:t>
      </w:r>
    </w:p>
    <w:p w14:paraId="709944D9"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защитить кулису от попадания пыли и грязи и усилить фиксацию включения передач в кулисе;</w:t>
      </w:r>
    </w:p>
    <w:p w14:paraId="42F33A3C"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на тягах бортовых и главного фрикционов установить стрелки - указатели, а на борту метки для упрощенной проверки регулировки приводов.</w:t>
      </w:r>
    </w:p>
    <w:p w14:paraId="080DDDF3"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опорным каткам:</w:t>
      </w:r>
    </w:p>
    <w:p w14:paraId="17087810"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повысить качество резинового массива опорных катков;</w:t>
      </w:r>
    </w:p>
    <w:p w14:paraId="3AF2CDE9"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разработать мероприятия по снижению удельных давлений на катки, за счет их уширения и по перераспределению нагрузок, за счет разгрузки задних катков;</w:t>
      </w:r>
    </w:p>
    <w:p w14:paraId="0FD24428"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ленивцу:</w:t>
      </w:r>
    </w:p>
    <w:p w14:paraId="108D6436"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повысить износоустойчивость втулок дисков ленивцев и увеличить плотность сальников;</w:t>
      </w:r>
    </w:p>
    <w:p w14:paraId="1B4A2F81"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исключить смятие и заедание резьбы гайки натяжного механизма ленивца и предотвратить проникновение грязи и пыли к стопорной гайке;</w:t>
      </w:r>
    </w:p>
    <w:p w14:paraId="080D3112"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предотвратить образование наминов на шейках кривошипов ленивцев.</w:t>
      </w:r>
    </w:p>
    <w:p w14:paraId="7D2044C5"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корпусу и башне:</w:t>
      </w:r>
    </w:p>
    <w:p w14:paraId="59FB3379"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для защиты лобового листа корпуса от поражений артиллерией калибра 75 мм и 88 мм, со всех дистанций, увеличить толщину лобового листа до 90 мм;</w:t>
      </w:r>
    </w:p>
    <w:p w14:paraId="14F2972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усилить броневую защиту бортов;</w:t>
      </w:r>
    </w:p>
    <w:p w14:paraId="399E7A9B"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корму танка сделать наклонной;</w:t>
      </w:r>
    </w:p>
    <w:p w14:paraId="0FD25D4F"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 улучшить качество соединении броневых листов корпуса;</w:t>
      </w:r>
    </w:p>
    <w:p w14:paraId="145260BD"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 защитить шариковую опору люка командира танка и водителя от попадания пыли;</w:t>
      </w:r>
    </w:p>
    <w:p w14:paraId="3755FF9D"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е) изменить конструкцию люка водителя, обеспечив возможность выхода водителя при любом положении башни;</w:t>
      </w:r>
    </w:p>
    <w:p w14:paraId="793BF26A"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ж) облегчить снятие и установку надмоторного люка;</w:t>
      </w:r>
    </w:p>
    <w:p w14:paraId="0BCFB82F"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 уплотнить люки башни и места установки смотровых приборов, защитив экипаж от попадания внутрь танка дождевой воды;</w:t>
      </w:r>
    </w:p>
    <w:p w14:paraId="3AD9974D"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 уплотнить отверстия под торсионы и погон башни, для увеличения преодолеваемого брода;</w:t>
      </w:r>
    </w:p>
    <w:p w14:paraId="488E2F9A"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изменить конструкцию лобовой части башни, обеспечив перекрытие бронировкой артсистемы щек баши;</w:t>
      </w:r>
    </w:p>
    <w:p w14:paraId="11C4FD7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 переднюю часть крыши башни сделать жесткой, исключив возможность прогиба ее;</w:t>
      </w:r>
    </w:p>
    <w:p w14:paraId="4D3D7662"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 уменьшить люфт башни, доведя его до 4-х тысячных;</w:t>
      </w:r>
    </w:p>
    <w:p w14:paraId="49F35C80"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 улучшить конструкцию замков люков башни и корпуса;</w:t>
      </w:r>
    </w:p>
    <w:p w14:paraId="18307E9B"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 усилить болты крепления погона башни;</w:t>
      </w:r>
    </w:p>
    <w:p w14:paraId="1775CD90"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 в носовой части днища танка сделать спускную пробку для слива грязи;</w:t>
      </w:r>
    </w:p>
    <w:p w14:paraId="1D5BCB35"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 над воздухопритоками танка сделать козырьки защиты воздухопритоков от проникновения горючей жидкости и уменьшения проникновения воды при преодолении брода;</w:t>
      </w:r>
    </w:p>
    <w:p w14:paraId="658F6514"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на корпусе танка предусмотреть ящики для личных вещей экипажа и места для крепления бревен самовытаскивания, а внутри корпуса – места для укладки одного ППШ с четырьмя дисками и 4-х противогазов;</w:t>
      </w:r>
    </w:p>
    <w:p w14:paraId="49258C47"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 командиру танка обеспечить возможность сигнализации флажками, не выходя из танка, при закрытых люках.</w:t>
      </w:r>
    </w:p>
    <w:p w14:paraId="40835BBB"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электрооборудованию:</w:t>
      </w:r>
    </w:p>
    <w:p w14:paraId="0A62E9E8"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повысить надежность работы стартера СТ-15, исключив заскакивание собачки привода;</w:t>
      </w:r>
    </w:p>
    <w:p w14:paraId="0FB41C03"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проработать вопрос о возможности уменьшения длины стартера на 40 мм;</w:t>
      </w:r>
    </w:p>
    <w:p w14:paraId="0BA35172"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предусмотреть устройство для световой сигнализации из танка.</w:t>
      </w:r>
    </w:p>
    <w:p w14:paraId="1378384A"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По рабочим местам экипажа.</w:t>
      </w:r>
    </w:p>
    <w:p w14:paraId="0614395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сидение водителя сделать подымающимся для возможности вождения танка на маршах, с наблюдением через открытый люк (по типу танка M5A1);</w:t>
      </w:r>
    </w:p>
    <w:p w14:paraId="50E96D64"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тахометр, манометр, аэротермометры и спидометр расположить на общем щитке;</w:t>
      </w:r>
    </w:p>
    <w:p w14:paraId="26166F8B"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устранить уклон сидения стреляющего влево и сделать его поворачивающимся (по типу танка "ИС"); </w:t>
      </w:r>
    </w:p>
    <w:p w14:paraId="45C1F5A5"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 увеличить высоту рабочего места водителя;</w:t>
      </w:r>
    </w:p>
    <w:p w14:paraId="3CF9A617"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 сидение командира танка сместить влево на 5-6 см и назад на 4-5 см;</w:t>
      </w:r>
    </w:p>
    <w:p w14:paraId="50659074"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е) увеличить высоту командирской башенки на 3-4 см для удобного расположения головы командира танка, при наблюдении через щели.</w:t>
      </w:r>
    </w:p>
    <w:p w14:paraId="636392A5"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установке вооружения:</w:t>
      </w:r>
    </w:p>
    <w:p w14:paraId="7DFDC258"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увеличить боекомплект 85 мм выстрелов, доведя его, минимум до 65 выстрелов;</w:t>
      </w:r>
    </w:p>
    <w:p w14:paraId="0B159438"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установить дублирующий ножной электроспуск у командира орудия;</w:t>
      </w:r>
    </w:p>
    <w:p w14:paraId="55E3F1B3"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улучшить вентиляцию боевого отделения;</w:t>
      </w:r>
    </w:p>
    <w:p w14:paraId="24BC3333"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 изменить конструкцию рукоятки включения механического и электрического приводов механизма поворота башни, т.к.существующая конструкция неудобна в пользовании, из-за необходимости затраты большого времени на переключение;</w:t>
      </w:r>
    </w:p>
    <w:p w14:paraId="6304F6D4"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 усилить крепление патронов в нише башни и крепление укладки патронов в носу корпуса танка.</w:t>
      </w:r>
    </w:p>
    <w:p w14:paraId="507E11E9"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дальнейшего повышения боевых качеств танка Т-44, комиссия считает необходимым разработать:</w:t>
      </w:r>
    </w:p>
    <w:p w14:paraId="0F81EAE5"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Установку более мощной пушки.</w:t>
      </w:r>
    </w:p>
    <w:p w14:paraId="061CFF1A"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Усиленную лобовую защиту корпуса с толщиной брони 120 мм.</w:t>
      </w:r>
    </w:p>
    <w:p w14:paraId="21734CDB"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Установку поворотного механизма башни, с электроприводом, обеспечивающим плавное наведение пушки и с дублирующим переключателем у командира танка.</w:t>
      </w:r>
    </w:p>
    <w:p w14:paraId="5F58412D"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Установку стабилизатора пушки.</w:t>
      </w:r>
    </w:p>
    <w:p w14:paraId="57C95076"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Конструкцию коробки перемены передач с синхронизаторами.</w:t>
      </w:r>
    </w:p>
    <w:p w14:paraId="61209508"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Особое мнение членов комиссии от НКТП и завода № 183 к выводам по результатам испытаний танка Т-44 в период Июнь - Июль 1944 г.</w:t>
      </w:r>
    </w:p>
    <w:p w14:paraId="3A024FC3"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Вопросы отмеченные Комиссией в выводах:</w:t>
      </w:r>
    </w:p>
    <w:p w14:paraId="05BACF59"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Увеличить емкость основных топливных баков до 550 литров;</w:t>
      </w:r>
    </w:p>
    <w:p w14:paraId="6AB14533"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Оборудовать танк средствами зимнего запуска;</w:t>
      </w:r>
    </w:p>
    <w:p w14:paraId="2DB89463"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Увеличить боекомплект до 65 снарядов;</w:t>
      </w:r>
    </w:p>
    <w:p w14:paraId="1D217228"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Изменить конструкцию лобовины башни в части перекрытия бронировкой артсистемы щек башни;</w:t>
      </w:r>
    </w:p>
    <w:p w14:paraId="27253A5B"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Усилить броневую защиту бортов;</w:t>
      </w:r>
    </w:p>
    <w:p w14:paraId="5A3C7605"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Требуют предварительной глубокой конструктивной проработки и не могут быть реализованы до запуска танка Т-44 в серийное производство.</w:t>
      </w:r>
    </w:p>
    <w:p w14:paraId="5C888A29"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Практически указанные вопросы могут быть реализованы в январе-феврале 1945 г.</w:t>
      </w:r>
    </w:p>
    <w:p w14:paraId="7D2939C2"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Приведенные доводы в поверочном расчете полигона  о недостаточной работоспособности подшипников гитары не соответствуют истинному положению, что подтверждается надежной работой подшипников /после проведения правильного монтажа/ на протяжении 1060 клм. и их осмотром по окончании испытаний.</w:t>
      </w:r>
    </w:p>
    <w:p w14:paraId="3199B2C6"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 НКТП –</w:t>
      </w:r>
    </w:p>
    <w:p w14:paraId="706C33F6"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Ст.ВЕДУЩИЙ ИНЖЕНЕР ОГК -                                                                                                               (ЮРАСОВ)</w:t>
      </w:r>
    </w:p>
    <w:p w14:paraId="02126300"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 з-да № 183 –</w:t>
      </w:r>
    </w:p>
    <w:p w14:paraId="166CA994"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ГЛ. КОНСТРУКТОРА -                                                                                                               (КУЧЕРЕНКО)</w:t>
      </w:r>
    </w:p>
    <w:p w14:paraId="61B25D8B"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Зам.Н-КА ОТДЕЛА 540 -                                                                                                               (ФЕДОТОВ)</w:t>
      </w:r>
    </w:p>
    <w:p w14:paraId="12BB98FB"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ЗАКЛЮЧЕНИЕ.</w:t>
      </w:r>
    </w:p>
    <w:p w14:paraId="41E895D9"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Учитывая преимущества танка Т-44, по сравнению с танком Т-34-85, считать целесообразным, рекомендовать средний танк Т-44 на вооружение Красной Армии.</w:t>
      </w:r>
    </w:p>
    <w:p w14:paraId="12C9764F"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Считать необходимым, до начала серийного производства танков Т-44 устранить все дефекты и реализовать предложения, отмеченные в выводах комиссии, после чего образец предъявить на государственные испытания.</w:t>
      </w:r>
    </w:p>
    <w:p w14:paraId="55CC6B52"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ПРЕДСЕДАТЕЛЬ КОМИССИИ</w:t>
      </w:r>
    </w:p>
    <w:p w14:paraId="1E3E1297"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ГЕНЕРАЛ-МАЙОР ИНЖЕРЕНО-ТАНКОВОЙ</w:t>
      </w:r>
    </w:p>
    <w:p w14:paraId="4E5BF09D"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СЛУЖБЫ:-    (ПАВЛОВСКИЙ)</w:t>
      </w:r>
    </w:p>
    <w:p w14:paraId="382A94FF"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ЗАМ.ПРЕДСЕДАТЕЛЯ</w:t>
      </w:r>
    </w:p>
    <w:p w14:paraId="54A2CBEF"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ИНЖЕНЕР-ПОЛКОВНИК:-      (СЫЧ)</w:t>
      </w:r>
    </w:p>
    <w:p w14:paraId="04766CBD"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ЧЛЕНЫ:</w:t>
      </w:r>
    </w:p>
    <w:p w14:paraId="4E364B20"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 ГБТУ КА</w:t>
      </w:r>
    </w:p>
    <w:p w14:paraId="13ECFADF"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ИНЖЕНЕР - КАПИТАН:-   (РОЗЕНГАРТ)</w:t>
      </w:r>
    </w:p>
    <w:p w14:paraId="0560F43D"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ИНЖЕНЕР - КАПИТАН:-           (ПАРФЕНОВ)</w:t>
      </w:r>
    </w:p>
    <w:p w14:paraId="7386769D"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ИНЖЕНЕР - ПОДПОЛКОВНИК:-  (ИВАНОВ А.Ф.)</w:t>
      </w:r>
    </w:p>
    <w:p w14:paraId="0881568E"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ИНЖЕНЕР - МАЙОР:-              (БАВЫКИН)</w:t>
      </w:r>
    </w:p>
    <w:p w14:paraId="64E24041"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 ТЕХНИК - ЛЕЙТЕНАНТ:-       (ПОДДУЕВ)</w:t>
      </w:r>
    </w:p>
    <w:p w14:paraId="56C7E011"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ИНЖЕНЕР - ПОДПОЛКОВНИК:-  (БУМШТЕЙН)</w:t>
      </w:r>
    </w:p>
    <w:p w14:paraId="4CEBDFF1"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ГВ. ИНЖЕНЕР - КАПИТАН:-    (РЯБЦЕВ)</w:t>
      </w:r>
    </w:p>
    <w:p w14:paraId="0FFAEC62"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 ГУФ И БП БТ И МВ КА</w:t>
      </w:r>
    </w:p>
    <w:p w14:paraId="284B1830"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ПОДПОЛКОВНИК:- (КОЛПАКОВ)</w:t>
      </w:r>
    </w:p>
    <w:p w14:paraId="63EB9FD5"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 АКАДЕМИИ БТ И МВ КА</w:t>
      </w:r>
    </w:p>
    <w:p w14:paraId="615FA9A2"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ИНЖЕНЕР - ПОДПОЛКОВНИК:-   (АНТОНОВ)</w:t>
      </w:r>
    </w:p>
    <w:p w14:paraId="2DFBA456"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ВЕДУЩИЙ</w:t>
      </w:r>
      <w:r w:rsidRPr="007224C3">
        <w:rPr>
          <w:rFonts w:ascii="Times New Roman" w:hAnsi="Times New Roman"/>
          <w:color w:val="000000" w:themeColor="text1"/>
          <w:sz w:val="16"/>
          <w:szCs w:val="16"/>
        </w:rPr>
        <w:t> </w:t>
      </w:r>
      <w:r w:rsidRPr="007224C3">
        <w:rPr>
          <w:rFonts w:ascii="Times New Roman" w:hAnsi="Times New Roman"/>
          <w:color w:val="000000" w:themeColor="text1"/>
          <w:sz w:val="16"/>
          <w:szCs w:val="16"/>
        </w:rPr>
        <w:t xml:space="preserve">СТ. </w:t>
      </w:r>
      <w:r w:rsidRPr="007224C3">
        <w:rPr>
          <w:rFonts w:ascii="Times New Roman" w:hAnsi="Times New Roman"/>
          <w:color w:val="000000" w:themeColor="text1"/>
          <w:sz w:val="16"/>
          <w:szCs w:val="16"/>
        </w:rPr>
        <w:t> </w:t>
      </w:r>
      <w:r w:rsidRPr="007224C3">
        <w:rPr>
          <w:rFonts w:ascii="Times New Roman" w:hAnsi="Times New Roman"/>
          <w:color w:val="000000" w:themeColor="text1"/>
          <w:sz w:val="16"/>
          <w:szCs w:val="16"/>
        </w:rPr>
        <w:t>НКТП</w:t>
      </w:r>
      <w:r w:rsidRPr="007224C3">
        <w:rPr>
          <w:rFonts w:ascii="Times New Roman" w:hAnsi="Times New Roman"/>
          <w:color w:val="000000" w:themeColor="text1"/>
          <w:sz w:val="16"/>
          <w:szCs w:val="16"/>
        </w:rPr>
        <w:t> </w:t>
      </w:r>
      <w:r w:rsidRPr="007224C3">
        <w:rPr>
          <w:rFonts w:ascii="Times New Roman" w:hAnsi="Times New Roman"/>
          <w:color w:val="000000" w:themeColor="text1"/>
          <w:sz w:val="16"/>
          <w:szCs w:val="16"/>
        </w:rPr>
        <w:t>ОТ</w:t>
      </w:r>
    </w:p>
    <w:p w14:paraId="29DC5414"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ОГК:-    (ЮРАСОВ)</w:t>
      </w:r>
      <w:r w:rsidRPr="007224C3">
        <w:rPr>
          <w:rFonts w:ascii="Times New Roman" w:hAnsi="Times New Roman"/>
          <w:color w:val="000000" w:themeColor="text1"/>
          <w:sz w:val="16"/>
          <w:szCs w:val="16"/>
        </w:rPr>
        <w:t> </w:t>
      </w:r>
      <w:r w:rsidRPr="007224C3">
        <w:rPr>
          <w:rFonts w:ascii="Times New Roman" w:hAnsi="Times New Roman"/>
          <w:color w:val="000000" w:themeColor="text1"/>
          <w:sz w:val="16"/>
          <w:szCs w:val="16"/>
        </w:rPr>
        <w:t>ИНЖЕНЕР</w:t>
      </w:r>
    </w:p>
    <w:p w14:paraId="04925F22"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183</w:t>
      </w:r>
      <w:r w:rsidRPr="007224C3">
        <w:rPr>
          <w:rFonts w:ascii="Times New Roman" w:hAnsi="Times New Roman"/>
          <w:color w:val="000000" w:themeColor="text1"/>
          <w:sz w:val="16"/>
          <w:szCs w:val="16"/>
        </w:rPr>
        <w:t> </w:t>
      </w:r>
      <w:r w:rsidRPr="007224C3">
        <w:rPr>
          <w:rFonts w:ascii="Times New Roman" w:hAnsi="Times New Roman"/>
          <w:color w:val="000000" w:themeColor="text1"/>
          <w:sz w:val="16"/>
          <w:szCs w:val="16"/>
        </w:rPr>
        <w:t>ЗАВОДА</w:t>
      </w:r>
      <w:r w:rsidRPr="007224C3">
        <w:rPr>
          <w:rFonts w:ascii="Times New Roman" w:hAnsi="Times New Roman"/>
          <w:color w:val="000000" w:themeColor="text1"/>
          <w:sz w:val="16"/>
          <w:szCs w:val="16"/>
        </w:rPr>
        <w:t> </w:t>
      </w:r>
      <w:r w:rsidRPr="007224C3">
        <w:rPr>
          <w:rFonts w:ascii="Times New Roman" w:hAnsi="Times New Roman"/>
          <w:color w:val="000000" w:themeColor="text1"/>
          <w:sz w:val="16"/>
          <w:szCs w:val="16"/>
        </w:rPr>
        <w:t>ОТ</w:t>
      </w:r>
    </w:p>
    <w:p w14:paraId="7E5842FC"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ЗАМ.ГЛАВНОГО КОНСТРУКТОРА:-     (КУЧЕРЕНКО)</w:t>
      </w:r>
    </w:p>
    <w:p w14:paraId="1B0EC120"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НАЧАЛЬНИКА ОПЫТНОГО</w:t>
      </w:r>
    </w:p>
    <w:p w14:paraId="20139A9B"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ОТДЕЛА:-   (ФЕДОТОВ)</w:t>
      </w:r>
    </w:p>
    <w:p w14:paraId="2B1EE5B5"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&lt;...&gt; 6-ти экз.</w:t>
      </w:r>
    </w:p>
    <w:p w14:paraId="5B5F0979"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Малышеву.</w:t>
      </w:r>
    </w:p>
    <w:p w14:paraId="67FB540D"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Федоренко.</w:t>
      </w:r>
    </w:p>
    <w:p w14:paraId="2FD4628C"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Вершинину.</w:t>
      </w:r>
    </w:p>
    <w:p w14:paraId="01D556F3"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- 183</w:t>
      </w:r>
    </w:p>
    <w:p w14:paraId="707563B1"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- 75</w:t>
      </w:r>
    </w:p>
    <w:p w14:paraId="627E7F14"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НИБТ Полигону.</w:t>
      </w:r>
    </w:p>
    <w:p w14:paraId="29DE03E6"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&lt;...&gt;.44 г.</w:t>
      </w:r>
    </w:p>
    <w:p w14:paraId="45485C08"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&lt;...&gt;А.С.</w:t>
      </w:r>
    </w:p>
    <w:p w14:paraId="03FF71B5" w14:textId="77777777" w:rsidR="00811C95" w:rsidRPr="007224C3" w:rsidRDefault="00811C9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(18276).</w:t>
      </w:r>
    </w:p>
    <w:p w14:paraId="79B9D536" w14:textId="77777777" w:rsidR="00811C95" w:rsidRPr="007224C3" w:rsidRDefault="00811C95" w:rsidP="007224C3">
      <w:pPr>
        <w:spacing w:after="0" w:line="240" w:lineRule="auto"/>
        <w:jc w:val="both"/>
        <w:rPr>
          <w:rFonts w:ascii="Times New Roman" w:hAnsi="Times New Roman"/>
          <w:color w:val="000000" w:themeColor="text1"/>
          <w:sz w:val="16"/>
          <w:szCs w:val="16"/>
        </w:rPr>
      </w:pPr>
    </w:p>
    <w:p w14:paraId="69357C1D"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июня 1944 вышло Распоряжение ГКО № 6052 [О мерах по доставке материалов на важнейшие стройки НКЧМ, НКЦМ, НКТП, НКБ, НКВ, НКТМ, НКСМ и заводских электростанций.] (7241, 69,70-72).</w:t>
      </w:r>
    </w:p>
    <w:p w14:paraId="43E75C58"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DCE86D2"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июня 1944 вышло Распоряжение ГКО № 6053 [Об обеспечении поставки балансов и дров Камскому и Соликамскому бумкомбинатам водным путем.] (7241, 73).</w:t>
      </w:r>
    </w:p>
    <w:p w14:paraId="1716DA84"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2C9C49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июня 1944 Адмиралтейцы отремонтировали и передали флоту шесть МБК (10671).</w:t>
      </w:r>
    </w:p>
    <w:p w14:paraId="71875EA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147BE74"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68625D8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0ABDC57" w14:textId="77777777" w:rsidR="009B6D3A" w:rsidRPr="007224C3" w:rsidRDefault="009B6D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15 июня</w:t>
      </w:r>
      <w:r w:rsidRPr="007224C3">
        <w:rPr>
          <w:rFonts w:ascii="Times New Roman" w:hAnsi="Times New Roman"/>
          <w:color w:val="000000" w:themeColor="text1"/>
          <w:sz w:val="16"/>
          <w:szCs w:val="16"/>
        </w:rPr>
        <w:t xml:space="preserve"> в 1944 году оперативная сводка Совинформбюро:</w:t>
      </w:r>
    </w:p>
    <w:p w14:paraId="7C30C194" w14:textId="77777777" w:rsidR="009B6D3A" w:rsidRPr="007224C3" w:rsidRDefault="009B6D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«На Карельском перешейке войска Ленинградского фронта, продолжая развивать наступление, прорвали в районе Мустамяки—Кутерселькя вторую сильно укреплённую долговременную оборонительную полосу финнов. В течение 15 июня войска фронта овладели сильно укреплёнными опорными пунктами обороны противника Мустамяки, Каннелярви, Сюкияля, Неувола, Ваммелярви, Расватту, Мятсякюля, Лаутаранта, фортом Ино, Инонкюля, Марттиланмяки, Хиекканиеми, Сиркиянсари, Леппясенмяки, Троицкое, Ристолово, Малое Кайдалово и железнодорожными станциями Мустамяки и Ино.</w:t>
      </w:r>
    </w:p>
    <w:p w14:paraId="757F5202" w14:textId="77777777" w:rsidR="009B6D3A" w:rsidRPr="007224C3" w:rsidRDefault="009B6D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итоге шестидневных наступательных боёв войска Ленинградского фронта прорвали две сильно укреплённые долговременные оборонительные полосы финнов, продвинулись вперёд до 40 километров, расширив прорыв до 75 километров по фронту. В ходе прорыва первой и второй оборонительных полос противника войсками фронта уничтожено и захвачено более 500 долговременных оборонительных сооружений, преодолены три мощных полосы противотанковых и противопехотных заграждений (эскарпы, рвы, надолбы) и глубоко эшелонированные минные поля. Только в трёх узлах сопротивления второй оборонительной полосы противника Мустамяки, Кутерселькя, Сахакюля захвачено более 50 железобетонных и броневых артиллерийских и пулемётных сооружений.</w:t>
      </w:r>
    </w:p>
    <w:p w14:paraId="307A11AF" w14:textId="77777777" w:rsidR="009B6D3A" w:rsidRPr="007224C3" w:rsidRDefault="009B6D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предварительным данным, за пять дней наступательных боёв, с 10 по 14 июня, войска фронта захватили следующие трофеи: орудий разного калибра — 235, миномётов — 180, пулемётов — 400. Кроме того, уничтожено орудий разного калибра более 200 и пулемётов более 450. Противник понёс огромные потери в живой силе. На других участках фронта — без перемен.</w:t>
      </w:r>
    </w:p>
    <w:p w14:paraId="56054342" w14:textId="77777777" w:rsidR="009B6D3A" w:rsidRPr="007224C3" w:rsidRDefault="009B6D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14 июня на всех фронтах в воздушных боях и огнём зенитной артиллерии сбито 12 самолётов противника.»</w:t>
      </w:r>
    </w:p>
    <w:p w14:paraId="22F22F44" w14:textId="77777777" w:rsidR="009B6D3A" w:rsidRPr="007224C3" w:rsidRDefault="009B6D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Бомбардировка нашей авиацией аэродромов противника:</w:t>
      </w:r>
    </w:p>
    <w:p w14:paraId="400C19F2" w14:textId="77777777" w:rsidR="009B6D3A" w:rsidRPr="007224C3" w:rsidRDefault="009B6D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ночь на 15 июня наша авиация дальнего действия продолжала наносить массированные удары по аэродромам противника. Бомбардировке были подвергнуты аэродромы немцев в районах Белостока, Баранович, Лунинца. В результате бомбардировки возникли большие пожары, сопровождавшиеся взрывами. Горели немецкие самолёты и склады с горючим.</w:t>
      </w:r>
    </w:p>
    <w:p w14:paraId="2B4C3561" w14:textId="77777777" w:rsidR="009B6D3A" w:rsidRPr="007224C3" w:rsidRDefault="009B6D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Три наших самолёта не вернулись на свои базы.»</w:t>
      </w:r>
    </w:p>
    <w:p w14:paraId="25A88343" w14:textId="77777777" w:rsidR="009B6D3A" w:rsidRPr="007224C3" w:rsidRDefault="009B6D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Карельском перешейке наши войска прорвали в районе Мустамяки — Кутерселькя вторую сильно укреплённую полосу обороны финнов, до предела насыщенную долговременными сооружениями. Части Н-ского соединения только в боях за один мощный опорный пункт разгромили до полка финской пехоты. Захвачено много пленных.</w:t>
      </w:r>
    </w:p>
    <w:p w14:paraId="4CC05D95" w14:textId="77777777" w:rsidR="009B6D3A" w:rsidRPr="007224C3" w:rsidRDefault="009B6D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Бойцы и офицеры Красной Армии в боях на Карельском перешейке показывают примеры доблести и героизма. Шесть гвардейцев во главе с гвардии старшиной Дубновым обнаружили гаубичную батарею, которая вела огонь по нашим боевым порядкам. Гвардейцы пробрались в тыл противника и внезапно напали на финских артиллеристов. Огнём из автоматов и гранатами наши бойцы истребили несколько десятков финнов и захватили 4 исправных орудия и оклад боеприпасов. Отбивая вражескую контратаку, пулемётчики гвардии рядовой Белоножкин и гвардии старший сержант Шилов истребили 40 белофиннов. Снайпер Изосимов, прочёсывая лес, встретился с пятью финнами. Двух из них Изосимов застрелил, а трёх взял в плен. Танкист старший лейтенант Струченков уничтожил два финских дзота, 4 пулемётные точки и истребил более взвода солдат противника. Сапёр старшина Каналов за два дня обезвредил свыше тысячи мин.</w:t>
      </w:r>
    </w:p>
    <w:p w14:paraId="0AD2F878" w14:textId="77777777" w:rsidR="009B6D3A" w:rsidRPr="007224C3" w:rsidRDefault="009B6D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Наша авиация, поддерживал наступление войск Ленинградского фронта, наносила массированные удары по оборонительным сооружениям, артиллерийским позициям и коммуникациям финнов. В течение дня наши лётчики взорвали железнодорожный эшелон, разрушили десятки дзотов, уничтожили до 80 автомашин и подавили огонь 24 артиллерийских и миномётных батарей противника.</w:t>
      </w:r>
    </w:p>
    <w:p w14:paraId="5A92D72E" w14:textId="77777777" w:rsidR="009B6D3A" w:rsidRPr="007224C3" w:rsidRDefault="009B6D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Северо-западнее города Витебск разведгруппа под командованием лейтенанта Богачёва атаковала позиции противника. Наши бойцы ворвались в траншеи и в рукопашной схватке истребили 25 немцев. Разведчики взорвали блиндаж, уничтожили орудие и, захватив пленного, вернулись в свою часть.</w:t>
      </w:r>
    </w:p>
    <w:p w14:paraId="4E55D368" w14:textId="77777777" w:rsidR="009B6D3A" w:rsidRPr="007224C3" w:rsidRDefault="009B6D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Юго-восточнее города Станислав противник при поддержке артиллерийского огня пытался вести разведку боем. Впереди наступавших немцев двигалось 18 танкеток-торпед. Наши подразделения не допустили врага до переднего края. Большинство танкеток-торпед подбито огнём нашей артиллерии. Пехота противника, встреченная ружейно-пулемётным и миномётным огнём, откатилась на исходные позиции.</w:t>
      </w:r>
    </w:p>
    <w:p w14:paraId="4D9C1280" w14:textId="77777777" w:rsidR="009B6D3A" w:rsidRPr="007224C3" w:rsidRDefault="009B6D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Наш самолёт-торпедоносец потопил в Финском заливе немецкий транспорт водоизмещением в 1.500 тонн.</w:t>
      </w:r>
    </w:p>
    <w:p w14:paraId="777E8A8B" w14:textId="77777777" w:rsidR="009B6D3A" w:rsidRPr="007224C3" w:rsidRDefault="009B6D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Партизаны, действующие в Дрогобычской области, в конце мая сожгли несколько нефтяных вышек и 16 резервуаров, в которых находилось около трёх тысяч тонн нефти. Пожар на нефтепромыслах продолжался два дня. Группа партизан, действующая на железнодорожных коммуникациях, с 28 по 31 мая пустила под откос 6 немецких воинских эшелонов. Во время крушений убито и ранено много солдат противника.</w:t>
      </w:r>
    </w:p>
    <w:p w14:paraId="4C95F2BA" w14:textId="77777777" w:rsidR="009B6D3A" w:rsidRPr="007224C3" w:rsidRDefault="009B6D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сторону Красной Армии перешла группа солдат отдельного румынского батальона охраны железных дорог. Перебежчик Павел Л. рассказал: «Немцы, по-видимому, понимают, что им недолго осталось хозяйничать в Румынии. Они стараются вывезти из Румынии как можно больше продовольствия, сырья и нефти. Население очень озлоблено против немцев и открыто называет их грабителями. Патрулируя вдоль железнодорожного полотна, мы часто обнаруживали на рельсах завалы из брёвен и камней. Эхо делали жители окрестных сёл с целью вызвать крушения поездов и помешать немца» увозить награбленное. В ряде районов действуют партизанские отряды, известные под названием «Зелёных батальонов». Впервые эти батальоны появились в 1942 году. Спасаясь от верной гибели, солдаты убегали с фронта и уходили в леса и горы Ардяла и Баната. Некоторые батальоны хорошо вооружены и причиняют немцам большие неприятности. Мелкие отряды полиции и жандармерий совершенно бессильны против партизан» (14923).</w:t>
      </w:r>
    </w:p>
    <w:p w14:paraId="2F8DA9B4" w14:textId="77777777" w:rsidR="009B6D3A" w:rsidRPr="007224C3" w:rsidRDefault="009B6D3A" w:rsidP="007224C3">
      <w:pPr>
        <w:spacing w:after="0" w:line="240" w:lineRule="auto"/>
        <w:jc w:val="both"/>
        <w:rPr>
          <w:rFonts w:ascii="Times New Roman" w:hAnsi="Times New Roman"/>
          <w:color w:val="000000" w:themeColor="text1"/>
          <w:sz w:val="16"/>
          <w:szCs w:val="16"/>
        </w:rPr>
      </w:pPr>
    </w:p>
    <w:p w14:paraId="68B439F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июня 1944 советские войска вышли к Линии Маннергейма (2247,5).</w:t>
      </w:r>
    </w:p>
    <w:p w14:paraId="65201E2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30C5B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июня 1944 объекты полтавского аэроузла принимала специальная американская комиссия (1261,35).</w:t>
      </w:r>
    </w:p>
    <w:p w14:paraId="161CA16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694D5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июня 1944 г. генерал-майор И.С.Полбин лично возглавил группу из 25 бомбардировщиков, получивших во время Львовско-Сандомирской операции задание уничтожить скопление танков и артиллерии противника. Механизм "полбинской вертушки" был отлажен очень четко. Когда ведущий выходил из пикирования, следующий за ним самолет заходил на цель, строго выдерживая дистанцию. Выйдя из пикирования, первый бомбардировщик боевым разворотом пристраивался к замыкающему и образовывал кольцо. По докладам летчиков, за пять заходов группа Полбина уничтожила 180 автомашин, 9 танков, десятки полевых орудий, другую технику. При этом истребители прикрытия непрерывно барражировали выше и ниже группы "петляковых", отгоняя FW190 и ВП09. По результатам этого и других подобных ударов было установлено, что оптимальным составом "вертушки" были 12-15 Пе-2. За время Львовско-Сандомирской операции при бомбежке из замкнутого круга бомбардировщики не потеряли ни одного экипажа. Зенитчикам было трудно вести прицельный огонь по самолетам, у которых постоянно менялся курс, высота и скорость. В дальнейшем экипажи корпуса стали использовать усложненный тактический прием, проводя атаки не с одного, а с различных направлений (3542).</w:t>
      </w:r>
    </w:p>
    <w:p w14:paraId="59C95A7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A0B990"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5CFB887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7C2EA28" w14:textId="77777777" w:rsidR="00741660" w:rsidRPr="007224C3" w:rsidRDefault="00741660"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15 июня 1944 во время дневного налета 297 самолетов бомбардировочного командования Королевских ВВС в сумерках нанесли удар по гавани в Булони, Франция, в результате чего один бомбардировщик был поттеряно, но потоплено 25 немецких R-катеров и малых судов и повреждено 10 других, что завершило разрушение немецких надводных военно-морских сил, угрожающие высадке союзников в Нормандии. Сообщается, что гавань и прилегающие районы сильно пострадали в результате того, что французы называют самым разрушительным рейдом на Булонь во время Второй мировой войны (20373).</w:t>
      </w:r>
    </w:p>
    <w:p w14:paraId="0B9DECBB" w14:textId="77777777" w:rsidR="00741660" w:rsidRPr="007224C3" w:rsidRDefault="00741660" w:rsidP="007224C3">
      <w:pPr>
        <w:spacing w:after="0" w:line="240" w:lineRule="auto"/>
        <w:jc w:val="both"/>
        <w:rPr>
          <w:rFonts w:ascii="Times New Roman" w:hAnsi="Times New Roman"/>
          <w:color w:val="0070C0"/>
          <w:sz w:val="16"/>
          <w:szCs w:val="16"/>
        </w:rPr>
      </w:pPr>
    </w:p>
    <w:p w14:paraId="448F8080" w14:textId="77777777" w:rsidR="00741660" w:rsidRPr="007224C3" w:rsidRDefault="00741660"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15–16 июня (ночь) 1944 451 британский бомбардировщик атакует немецкие склады снабжения в Фуйяре и Шательро, Франция, и железнодорожные станции в Лансе и Валансьене, Франция, потеряв 11 самолетов. Рейды поражают все или часть их целей, и два рейда на железных дорогах особенно успешны (20373).</w:t>
      </w:r>
    </w:p>
    <w:p w14:paraId="50417BAD" w14:textId="77777777" w:rsidR="00741660" w:rsidRPr="007224C3" w:rsidRDefault="00741660" w:rsidP="007224C3">
      <w:pPr>
        <w:spacing w:after="0" w:line="240" w:lineRule="auto"/>
        <w:jc w:val="both"/>
        <w:rPr>
          <w:rFonts w:ascii="Times New Roman" w:hAnsi="Times New Roman"/>
          <w:color w:val="0070C0"/>
          <w:sz w:val="16"/>
          <w:szCs w:val="16"/>
        </w:rPr>
      </w:pPr>
    </w:p>
    <w:p w14:paraId="604CEB08" w14:textId="77777777" w:rsidR="00741660" w:rsidRPr="007224C3" w:rsidRDefault="00741660"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15 июня 1944 - Германские ракетные части провели первый массированный ракетный удар по Лондону. В течение 14-ти часов с 55-ти стартовых позиций было пущено 294 крылатых ракет "Фау-1"/V-1, из них 244 по Лондону и 50 по Саутгемптону. На этот раз 73 ракеты взорвались в черте Большого Лондона, 100 ракет разрушились в воздухе, 22 ракеты были сбиты системой ПВО Англии (22460).</w:t>
      </w:r>
    </w:p>
    <w:p w14:paraId="01E1715E" w14:textId="77777777" w:rsidR="00741660" w:rsidRPr="007224C3" w:rsidRDefault="00741660" w:rsidP="007224C3">
      <w:pPr>
        <w:spacing w:after="0" w:line="240" w:lineRule="auto"/>
        <w:jc w:val="both"/>
        <w:rPr>
          <w:rFonts w:ascii="Times New Roman" w:hAnsi="Times New Roman"/>
          <w:color w:val="0070C0"/>
          <w:sz w:val="16"/>
          <w:szCs w:val="16"/>
        </w:rPr>
      </w:pPr>
    </w:p>
    <w:p w14:paraId="40C6E65C" w14:textId="77777777" w:rsidR="00741660" w:rsidRPr="007224C3" w:rsidRDefault="00741660"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15 июня 1944 штаб ХХ ВС запланировал первый удар по Японии — 94 «сверхкрепости» направились к городу Явата, где размещался металлургический комбинат. В августе 1944 г. командующим ХХ ВС был назначен генералмайор Кертисс Ле-Мей, и 8-го числа он лично возглавил удар по металлургическому заводу «Сьова» в г. Аньшань в Маньчжурии. Из ста В-29 девяносто пять прицельно отбомбились по цели, и выпуск продукции заводом сократился на треть. Потери составили 4 машины. Экипажи ХХ ВС выполняли с индийских баз удары по целям в Китае, Бирме, Малайе, Сингапуре, Таиланде, во Французском Индокитае (23005).</w:t>
      </w:r>
    </w:p>
    <w:p w14:paraId="29802EA4" w14:textId="77777777" w:rsidR="00741660" w:rsidRPr="007224C3" w:rsidRDefault="00741660" w:rsidP="007224C3">
      <w:pPr>
        <w:spacing w:after="0" w:line="240" w:lineRule="auto"/>
        <w:jc w:val="both"/>
        <w:rPr>
          <w:rFonts w:ascii="Times New Roman" w:hAnsi="Times New Roman"/>
          <w:color w:val="0070C0"/>
          <w:sz w:val="16"/>
          <w:szCs w:val="16"/>
        </w:rPr>
      </w:pPr>
    </w:p>
    <w:p w14:paraId="38AF8EE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исходу 15 июня 1944 подразделения 155-го полка получили в достаточном количестве все необходимое для ведения боевых действий. В ночь на 16 июня немцы возобновили ракетные удары по Англии. На этот раз с 55 пусковых установок в течение 14 часов было запущено 294 V1. Из них 244 ракеты было направлено на Лондон и 50 – на Саутгемптон. 100 ракет разрушилось в воздухе, не долетев до побережья, остальные упали в различных местах Англии, 73 V1 разорвались в черте Большого Лондона. Немецкое командование оценило второй ракетный удар как успех.</w:t>
      </w:r>
    </w:p>
    <w:p w14:paraId="4209306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«…Речь идет не об одноактной демонстрации, а о непрерывном и продолжительном применении “оружия возмездия”», – было объявлено по радио и напечатано во многих германских газетах и средствах массовой информации некоторых нейтральных стран (Орлов А.С. «Чудо-оружие»: обманутые надежды фюрера. Смоленск: Русич, 1999.) (11686).</w:t>
      </w:r>
    </w:p>
    <w:p w14:paraId="75935B2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11DB32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июня 1944 г. началось масштабное использование V1. Самолеты-снаряды наземного базирования наносили удары по Лондону, южной Англии, Антверпену и Льежу. Так продолжалось до 29 марта 1945 г. Ведомство Геббельса через листовки распространило заявление среди солдат союзников, сражающихся в Северной Франции (Ненахов Ю.Ю. Чудо-оружие Третьего рейха. Минск: ХАРВЕСТ, 1999.): «Солдаты союзных войск! Вы угодили в западню... Вы сражаетесь на узкой полоске суши, площадь которой была заранее установлена нами. Тем временем наши самолеты-роботы сеют смерть и опустошение в городах и гаванях, откуда вы получаете продовольствие и снабжение. Ваши коммуникации перерезаны...» Налеты ракет вызывали у англичан большой страх. Немецкие крылатые и баллистические ракеты воспринимались союзниками как самая большая угроза Великобритании (Запольскис А.А. Реактивные самолеты люфтваффе. Минск: ХАРВЕСТ, 1999.). Но еще сильнее было их психологическое воздействие. V1 приближался к цели в горизонтальном полете с оглушительным ревом, напоминающим рев современных реактивных истребителей, который вкупе с бесконечными воздушными тревогами сильно действовал на лондонцев (11686).</w:t>
      </w:r>
    </w:p>
    <w:p w14:paraId="5B6F997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3604FF0" w14:textId="77777777" w:rsidR="009B6D3A" w:rsidRPr="007224C3" w:rsidRDefault="009B6D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15 июня</w:t>
      </w:r>
      <w:r w:rsidRPr="007224C3">
        <w:rPr>
          <w:rFonts w:ascii="Times New Roman" w:hAnsi="Times New Roman"/>
          <w:color w:val="000000" w:themeColor="text1"/>
          <w:sz w:val="16"/>
          <w:szCs w:val="16"/>
        </w:rPr>
        <w:t xml:space="preserve"> в 1944 году германские ракетные части провели первый массированный ракетный удар по Лондону. В течение 14-ти часов с 55-ти стартовых позиций было пущено 294 крылатых ракет "Фау-1"/V-1, из них 244 по Лондону и 50 по Саутгемптону. На этот раз 73 ракеты взорвались в черте Большого Лондона, 100 ракет разрушились в воздухе, 22 ракеты были сбиты системой ПВО Англии (14923).</w:t>
      </w:r>
    </w:p>
    <w:p w14:paraId="00E789E0" w14:textId="77777777" w:rsidR="009B6D3A" w:rsidRPr="007224C3" w:rsidRDefault="009B6D3A" w:rsidP="007224C3">
      <w:pPr>
        <w:spacing w:after="0" w:line="240" w:lineRule="auto"/>
        <w:jc w:val="both"/>
        <w:rPr>
          <w:rFonts w:ascii="Times New Roman" w:hAnsi="Times New Roman"/>
          <w:color w:val="000000" w:themeColor="text1"/>
          <w:sz w:val="16"/>
          <w:szCs w:val="16"/>
        </w:rPr>
      </w:pPr>
    </w:p>
    <w:p w14:paraId="4DA10820" w14:textId="77777777" w:rsidR="009B6D3A" w:rsidRPr="007224C3" w:rsidRDefault="009B6D3A"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June 15th, 1944: Heavy V-1 attacks on London (3819).</w:t>
      </w:r>
    </w:p>
    <w:p w14:paraId="35C1A4D8" w14:textId="77777777" w:rsidR="009B6D3A" w:rsidRPr="007224C3" w:rsidRDefault="009B6D3A"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0DDC304" w14:textId="77777777" w:rsidR="009B6D3A" w:rsidRPr="007224C3" w:rsidRDefault="009B6D3A"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июня 1944 был массовый налет Фау-1 на Лондон (3819).</w:t>
      </w:r>
    </w:p>
    <w:p w14:paraId="368F5469" w14:textId="77777777" w:rsidR="009B6D3A" w:rsidRPr="007224C3" w:rsidRDefault="009B6D3A"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A5FF7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июня 1944 британским истребителем был сбит первый Fi-103 (2703,5).</w:t>
      </w:r>
    </w:p>
    <w:p w14:paraId="0246180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13927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15 (14 - 2100) June 1944 First B-29 bomber raid on Japan (270).</w:t>
      </w:r>
    </w:p>
    <w:p w14:paraId="47E5B5B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27A2FC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июня 1944 американцы высадились на Сайпане, Марианские острова (2247,5).</w:t>
      </w:r>
    </w:p>
    <w:p w14:paraId="348906B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E33948" w14:textId="77777777" w:rsidR="00741660" w:rsidRPr="007224C3" w:rsidRDefault="00741660"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15 июня 1944 самолеты Объединенной двадцатой армии ВВС начинает стратегические бомбардировки в рамках наступления против Японии их Китая используя B-29 СуперФортреса и атакуют Yawata (теперь Китакюсюйский ) на Kyūshū. Это второй воздушный налет на Японские острова в истории и первый после рейда Дулиттла в апреле 1942 года (20373).</w:t>
      </w:r>
    </w:p>
    <w:p w14:paraId="3C195181" w14:textId="77777777" w:rsidR="00741660" w:rsidRPr="007224C3" w:rsidRDefault="00741660" w:rsidP="007224C3">
      <w:pPr>
        <w:spacing w:after="0" w:line="240" w:lineRule="auto"/>
        <w:jc w:val="both"/>
        <w:rPr>
          <w:rFonts w:ascii="Times New Roman" w:hAnsi="Times New Roman"/>
          <w:color w:val="0070C0"/>
          <w:sz w:val="16"/>
          <w:szCs w:val="16"/>
        </w:rPr>
      </w:pPr>
    </w:p>
    <w:p w14:paraId="32588D3E" w14:textId="77777777" w:rsidR="00741660" w:rsidRPr="007224C3" w:rsidRDefault="00741660"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15 июня 1944 американские войска высадились на Сайпане . Самолеты авианорсцев оперативных групп ВМС США 58.1 и 58.4 нанесли удар по Чичи-Дзиме, Хаха-Джиме и Иводзиме, сбив 10 японских самолетов, уничтожив семь на земле и 21 гидросамолет на воде, и подожгли три небольших грузовых корабля и ангар. Три американских самолета потеряны. Японские бомбардировщики-торпедоносцы атакуют Task Force 58, не нанеся повреждений и неся большие потери (20373).</w:t>
      </w:r>
    </w:p>
    <w:p w14:paraId="0A2F5307" w14:textId="77777777" w:rsidR="00741660" w:rsidRPr="007224C3" w:rsidRDefault="00741660" w:rsidP="007224C3">
      <w:pPr>
        <w:spacing w:after="0" w:line="240" w:lineRule="auto"/>
        <w:jc w:val="both"/>
        <w:rPr>
          <w:rFonts w:ascii="Times New Roman" w:hAnsi="Times New Roman"/>
          <w:color w:val="0070C0"/>
          <w:sz w:val="16"/>
          <w:szCs w:val="16"/>
        </w:rPr>
      </w:pPr>
    </w:p>
    <w:p w14:paraId="07D3979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June 15, 1944. Forty-seven B-29 crews based in India and staging through Chengdu, China, attack steel mills at Yawata in the first B-29 strike against Japan (1089).</w:t>
      </w:r>
    </w:p>
    <w:p w14:paraId="5B6C228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E763DC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(14) июня 1944 В-29 впервые совершили налет на Японию (270) из Китая (2247,5), вернее из Индии через Китай и бомбили сталелитейные заводы в Явате (1089).</w:t>
      </w:r>
    </w:p>
    <w:p w14:paraId="792C20B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75 В-29 вылетели 14 июня и 18 сошли с задания, а один разбился на старте. В районе цели упала 1 бомба в 1.2 км от точки прицеливания (1051,25).</w:t>
      </w:r>
    </w:p>
    <w:p w14:paraId="2CEF827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6BF600"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77C94CB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09200D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середине июня 1944 года зам. начальника 7-го гл. управления НКАП Залесский писал письмо Шахурину.</w:t>
      </w:r>
    </w:p>
    <w:p w14:paraId="7C3746F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Докладываю:</w:t>
      </w:r>
    </w:p>
    <w:p w14:paraId="6FAB670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предварительным данным, выявленным в процессе испытаний новых облегченных систем авиационных пушек калибра 20 мм можно уже сделать выводы о том, какая конструкция из предъявленных систем является наиболее пригодной в качестве авиационного оружия.</w:t>
      </w:r>
    </w:p>
    <w:p w14:paraId="1D9C340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ряду весьма важных для авиационного оружия показателей пушка ША-20 конструкции Шпитального выгодно отличается от пушки УБ-20 конструкции Березина, а именно:</w:t>
      </w:r>
    </w:p>
    <w:p w14:paraId="0C84210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Усилие перезарядки в 2 раза меньше (45-50 кг вместо 110-120 кг).</w:t>
      </w:r>
    </w:p>
    <w:p w14:paraId="43F4878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Усилие тяги ленты почти в 2 раза больше (50 патронов вместо 30 патронов), что очень важно для турельных установок, так как исключает необходимость в механизме подтяга</w:t>
      </w:r>
    </w:p>
    <w:p w14:paraId="1700FCE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Способ питания и подвод ленты у УБ-20 одностороннее - у ША-20 двухстороннее питание, что значительно облегчает компоновку нескольких пушек на самолете</w:t>
      </w:r>
    </w:p>
    <w:p w14:paraId="1BF3B54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Отвод стреляных гильз у ША-20 возможен в 3-х направлениях (вперед, вниз и в сторону), у УБ-20 только в сторону</w:t>
      </w:r>
    </w:p>
    <w:p w14:paraId="6F7DA8C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Живучесть у ША-20 - 6000 выстрелов, у УБ-20 только 4000 выстрелов</w:t>
      </w:r>
    </w:p>
    <w:p w14:paraId="42C0A12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Процент задержек у ША-20 составляет 0,15%, у УБ-20 - 0,025%</w:t>
      </w:r>
    </w:p>
    <w:p w14:paraId="72F40EE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Для ША-20 применяется штатный патрон, для УБ-20 требуется вторая обжимка гильзы. Штатные звенья, также работают неудовлетворительно на УБ-20 (звенья разгибаются и патроны выпадают из ленты).</w:t>
      </w:r>
    </w:p>
    <w:p w14:paraId="17EC2EF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Пушка ША-20 отработана в турельном варианте на самолете Ил-10, а пушка УБ-20 в турельном варианте еще не испытывалась.</w:t>
      </w:r>
    </w:p>
    <w:p w14:paraId="5AD2E0E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Недостатками пушки ША-20 являются:</w:t>
      </w:r>
    </w:p>
    <w:p w14:paraId="670A943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Расположение цапф крепления ниже оси ствола на 33 мм, что может вызвать некоторое увеличение рассеивания, а у УБ-20 цапфы крепления расположены по оси канала ствола</w:t>
      </w:r>
    </w:p>
    <w:p w14:paraId="1BE613A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Наличие вертикальной силы отдачи порядка 600 кг.</w:t>
      </w:r>
    </w:p>
    <w:p w14:paraId="648D7EB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Однако влияние этих 2 недостатков на стрельбу конструкцией современных установок может быть значительно ослаблено.</w:t>
      </w:r>
    </w:p>
    <w:p w14:paraId="2342BBB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Что касается пушки конструкции Владимирова, то по расстоянию от цапф крепления от затыльника пушка слишком длинна (741 мм вместо 544 мм у ША-20) и на ряде самолетов может упираться в приборную доску. В турельном варианте этой пушки пока нет, но по этой же причине кабина стрелка будет значительно сужена. Кроме того темп стрельбы у пушки Владимирова самый низкий - 600 выстрелов в минуту, на 100-150 выстрелов меньше, чем у серийной пушки ШВАК-20.</w:t>
      </w:r>
    </w:p>
    <w:p w14:paraId="5227829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Следует отметить, что немцы в новой пушке МГ-151 по сравнению с прежней МГ получили увеличение начальной скорости на 100-200 м/сек. и увеличение темпа на 150 выстрелов в минуту при полной электрификации спуска и перезарядки, наличии контактов для счетчика оставшихся патронов и затвора для патронов с электрическим запалом капсюля.</w:t>
      </w:r>
    </w:p>
    <w:p w14:paraId="50CAB0E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Возражение НКВ, что пушка ША-20 сложна в производстве не является основательным, так как по конструкции пушка аналогична пулемету Максим, массовое производство которого не встречало особых затруднений. Следует также учесть, что пушка ША-20 может заменить как серийную пушку ШВАК-20, так и пулемет УБ-12,7.</w:t>
      </w:r>
    </w:p>
    <w:p w14:paraId="0AF16F0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Необходимо:</w:t>
      </w:r>
    </w:p>
    <w:p w14:paraId="6B3D229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Принять на вооружение авиации пушку ША-20 и обязать НКВ внедрить в производство сначала для самолета Ил-10, а затем для самолетов Ла-7, Як-3 и Як-9.</w:t>
      </w:r>
    </w:p>
    <w:p w14:paraId="23655D9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Обязать Шпитального обеспечить темп стрельбы пушки не ниже, чем у серийной пушки ШВАК-20, порядка 800-850 выстрелов в минуту, даже за счет снижения живучести до 5000 выстрелов, а также обеспечить установку электроспуска на пушке и контакты для счетчика оставшихся патронов.</w:t>
      </w:r>
    </w:p>
    <w:p w14:paraId="02C4363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Прилагаю таблицу основных характеристик пушек калибра 20 мм, как отечественных так и заграничных.</w:t>
      </w:r>
    </w:p>
    <w:p w14:paraId="3C606C9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Основные характеристики авиационных пушек калибра 20 мм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84"/>
        <w:gridCol w:w="894"/>
        <w:gridCol w:w="894"/>
        <w:gridCol w:w="894"/>
        <w:gridCol w:w="894"/>
        <w:gridCol w:w="894"/>
        <w:gridCol w:w="894"/>
        <w:gridCol w:w="894"/>
        <w:gridCol w:w="894"/>
        <w:gridCol w:w="624"/>
        <w:gridCol w:w="1440"/>
      </w:tblGrid>
      <w:tr w:rsidR="005106D0" w:rsidRPr="007224C3" w14:paraId="31C71747" w14:textId="77777777">
        <w:tc>
          <w:tcPr>
            <w:tcW w:w="1384" w:type="dxa"/>
          </w:tcPr>
          <w:p w14:paraId="5A33A95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Назван., системы/</w:t>
            </w:r>
          </w:p>
        </w:tc>
        <w:tc>
          <w:tcPr>
            <w:tcW w:w="894" w:type="dxa"/>
          </w:tcPr>
          <w:p w14:paraId="0AF3509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ШВАК-20</w:t>
            </w:r>
          </w:p>
        </w:tc>
        <w:tc>
          <w:tcPr>
            <w:tcW w:w="894" w:type="dxa"/>
          </w:tcPr>
          <w:p w14:paraId="33673AE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УБ-20</w:t>
            </w:r>
          </w:p>
        </w:tc>
        <w:tc>
          <w:tcPr>
            <w:tcW w:w="894" w:type="dxa"/>
          </w:tcPr>
          <w:p w14:paraId="1A4B4A1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Ш-20</w:t>
            </w:r>
          </w:p>
        </w:tc>
        <w:tc>
          <w:tcPr>
            <w:tcW w:w="894" w:type="dxa"/>
          </w:tcPr>
          <w:p w14:paraId="5565571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В-20</w:t>
            </w:r>
          </w:p>
        </w:tc>
        <w:tc>
          <w:tcPr>
            <w:tcW w:w="894" w:type="dxa"/>
          </w:tcPr>
          <w:p w14:paraId="2BCA592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МГ-ff</w:t>
            </w:r>
          </w:p>
        </w:tc>
        <w:tc>
          <w:tcPr>
            <w:tcW w:w="894" w:type="dxa"/>
          </w:tcPr>
          <w:p w14:paraId="0CCA300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МГ-151</w:t>
            </w:r>
          </w:p>
        </w:tc>
        <w:tc>
          <w:tcPr>
            <w:tcW w:w="894" w:type="dxa"/>
          </w:tcPr>
          <w:p w14:paraId="43A1BC6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Испано</w:t>
            </w:r>
          </w:p>
        </w:tc>
        <w:tc>
          <w:tcPr>
            <w:tcW w:w="894" w:type="dxa"/>
          </w:tcPr>
          <w:p w14:paraId="2EC6CF2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Испано</w:t>
            </w:r>
          </w:p>
        </w:tc>
        <w:tc>
          <w:tcPr>
            <w:tcW w:w="624" w:type="dxa"/>
          </w:tcPr>
          <w:p w14:paraId="1C0518E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Един.</w:t>
            </w:r>
          </w:p>
        </w:tc>
        <w:tc>
          <w:tcPr>
            <w:tcW w:w="1440" w:type="dxa"/>
          </w:tcPr>
          <w:p w14:paraId="0A992FB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Примечание</w:t>
            </w:r>
          </w:p>
        </w:tc>
      </w:tr>
      <w:tr w:rsidR="005106D0" w:rsidRPr="007224C3" w14:paraId="2BE4863C" w14:textId="77777777">
        <w:tc>
          <w:tcPr>
            <w:tcW w:w="1384" w:type="dxa"/>
          </w:tcPr>
          <w:p w14:paraId="3DD4DC4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характеристики</w:t>
            </w:r>
          </w:p>
        </w:tc>
        <w:tc>
          <w:tcPr>
            <w:tcW w:w="894" w:type="dxa"/>
          </w:tcPr>
          <w:p w14:paraId="2A146A3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серийная</w:t>
            </w:r>
          </w:p>
        </w:tc>
        <w:tc>
          <w:tcPr>
            <w:tcW w:w="894" w:type="dxa"/>
          </w:tcPr>
          <w:p w14:paraId="6C3A82B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констр.</w:t>
            </w:r>
          </w:p>
        </w:tc>
        <w:tc>
          <w:tcPr>
            <w:tcW w:w="894" w:type="dxa"/>
          </w:tcPr>
          <w:p w14:paraId="1BB560B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констр.</w:t>
            </w:r>
          </w:p>
        </w:tc>
        <w:tc>
          <w:tcPr>
            <w:tcW w:w="894" w:type="dxa"/>
          </w:tcPr>
          <w:p w14:paraId="184B921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констр.</w:t>
            </w:r>
          </w:p>
        </w:tc>
        <w:tc>
          <w:tcPr>
            <w:tcW w:w="894" w:type="dxa"/>
          </w:tcPr>
          <w:p w14:paraId="2631294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Герма</w:t>
            </w:r>
          </w:p>
        </w:tc>
        <w:tc>
          <w:tcPr>
            <w:tcW w:w="894" w:type="dxa"/>
          </w:tcPr>
          <w:p w14:paraId="4709018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Герма</w:t>
            </w:r>
          </w:p>
        </w:tc>
        <w:tc>
          <w:tcPr>
            <w:tcW w:w="894" w:type="dxa"/>
          </w:tcPr>
          <w:p w14:paraId="3F8C5A2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М-2</w:t>
            </w:r>
          </w:p>
        </w:tc>
        <w:tc>
          <w:tcPr>
            <w:tcW w:w="894" w:type="dxa"/>
          </w:tcPr>
          <w:p w14:paraId="066A85C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М-2</w:t>
            </w:r>
          </w:p>
        </w:tc>
        <w:tc>
          <w:tcPr>
            <w:tcW w:w="624" w:type="dxa"/>
          </w:tcPr>
          <w:p w14:paraId="3F9AB1F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измер.</w:t>
            </w:r>
          </w:p>
        </w:tc>
        <w:tc>
          <w:tcPr>
            <w:tcW w:w="1440" w:type="dxa"/>
          </w:tcPr>
          <w:p w14:paraId="2CAAB4B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1E4AB0C" w14:textId="77777777">
        <w:tc>
          <w:tcPr>
            <w:tcW w:w="1384" w:type="dxa"/>
          </w:tcPr>
          <w:p w14:paraId="78FE81E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4" w:type="dxa"/>
          </w:tcPr>
          <w:p w14:paraId="56C9D65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4" w:type="dxa"/>
          </w:tcPr>
          <w:p w14:paraId="1831225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Бере</w:t>
            </w:r>
          </w:p>
        </w:tc>
        <w:tc>
          <w:tcPr>
            <w:tcW w:w="894" w:type="dxa"/>
          </w:tcPr>
          <w:p w14:paraId="2FFE85A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Шпита</w:t>
            </w:r>
          </w:p>
        </w:tc>
        <w:tc>
          <w:tcPr>
            <w:tcW w:w="894" w:type="dxa"/>
          </w:tcPr>
          <w:p w14:paraId="5259ED5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Влади</w:t>
            </w:r>
          </w:p>
        </w:tc>
        <w:tc>
          <w:tcPr>
            <w:tcW w:w="894" w:type="dxa"/>
          </w:tcPr>
          <w:p w14:paraId="5EF24F9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ния</w:t>
            </w:r>
          </w:p>
        </w:tc>
        <w:tc>
          <w:tcPr>
            <w:tcW w:w="894" w:type="dxa"/>
          </w:tcPr>
          <w:p w14:paraId="10E3FD7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ния</w:t>
            </w:r>
          </w:p>
        </w:tc>
        <w:tc>
          <w:tcPr>
            <w:tcW w:w="894" w:type="dxa"/>
          </w:tcPr>
          <w:p w14:paraId="157EAAA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США</w:t>
            </w:r>
          </w:p>
        </w:tc>
        <w:tc>
          <w:tcPr>
            <w:tcW w:w="894" w:type="dxa"/>
          </w:tcPr>
          <w:p w14:paraId="3764760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Англия</w:t>
            </w:r>
          </w:p>
        </w:tc>
        <w:tc>
          <w:tcPr>
            <w:tcW w:w="624" w:type="dxa"/>
          </w:tcPr>
          <w:p w14:paraId="24116D7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4BA2716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0C57C9D" w14:textId="77777777">
        <w:tc>
          <w:tcPr>
            <w:tcW w:w="1384" w:type="dxa"/>
          </w:tcPr>
          <w:p w14:paraId="2C82BB2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4" w:type="dxa"/>
          </w:tcPr>
          <w:p w14:paraId="2E52D88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4" w:type="dxa"/>
          </w:tcPr>
          <w:p w14:paraId="3B499B9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зина</w:t>
            </w:r>
          </w:p>
        </w:tc>
        <w:tc>
          <w:tcPr>
            <w:tcW w:w="894" w:type="dxa"/>
          </w:tcPr>
          <w:p w14:paraId="11E1F26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льного</w:t>
            </w:r>
          </w:p>
        </w:tc>
        <w:tc>
          <w:tcPr>
            <w:tcW w:w="894" w:type="dxa"/>
          </w:tcPr>
          <w:p w14:paraId="241E16E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мирова</w:t>
            </w:r>
          </w:p>
        </w:tc>
        <w:tc>
          <w:tcPr>
            <w:tcW w:w="894" w:type="dxa"/>
          </w:tcPr>
          <w:p w14:paraId="3160F3C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4" w:type="dxa"/>
          </w:tcPr>
          <w:p w14:paraId="6F74258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4" w:type="dxa"/>
          </w:tcPr>
          <w:p w14:paraId="55D093E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4" w:type="dxa"/>
          </w:tcPr>
          <w:p w14:paraId="3DC688B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Pr>
          <w:p w14:paraId="04789E9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2269D2B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9D091C8" w14:textId="77777777">
        <w:tc>
          <w:tcPr>
            <w:tcW w:w="1384" w:type="dxa"/>
          </w:tcPr>
          <w:p w14:paraId="434A6D7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Макс. скор. Vо</w:t>
            </w:r>
          </w:p>
        </w:tc>
        <w:tc>
          <w:tcPr>
            <w:tcW w:w="894" w:type="dxa"/>
          </w:tcPr>
          <w:p w14:paraId="19569E0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750-815</w:t>
            </w:r>
          </w:p>
        </w:tc>
        <w:tc>
          <w:tcPr>
            <w:tcW w:w="894" w:type="dxa"/>
          </w:tcPr>
          <w:p w14:paraId="2AF8B7E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750-815</w:t>
            </w:r>
          </w:p>
        </w:tc>
        <w:tc>
          <w:tcPr>
            <w:tcW w:w="894" w:type="dxa"/>
          </w:tcPr>
          <w:p w14:paraId="22B2DD9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750-815</w:t>
            </w:r>
          </w:p>
        </w:tc>
        <w:tc>
          <w:tcPr>
            <w:tcW w:w="894" w:type="dxa"/>
          </w:tcPr>
          <w:p w14:paraId="42EC0C8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750-815</w:t>
            </w:r>
          </w:p>
        </w:tc>
        <w:tc>
          <w:tcPr>
            <w:tcW w:w="894" w:type="dxa"/>
          </w:tcPr>
          <w:p w14:paraId="74A957A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600</w:t>
            </w:r>
          </w:p>
        </w:tc>
        <w:tc>
          <w:tcPr>
            <w:tcW w:w="894" w:type="dxa"/>
          </w:tcPr>
          <w:p w14:paraId="1F93AB5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705-805</w:t>
            </w:r>
          </w:p>
        </w:tc>
        <w:tc>
          <w:tcPr>
            <w:tcW w:w="894" w:type="dxa"/>
          </w:tcPr>
          <w:p w14:paraId="7F21A33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870</w:t>
            </w:r>
          </w:p>
        </w:tc>
        <w:tc>
          <w:tcPr>
            <w:tcW w:w="894" w:type="dxa"/>
          </w:tcPr>
          <w:p w14:paraId="48804B8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877</w:t>
            </w:r>
          </w:p>
        </w:tc>
        <w:tc>
          <w:tcPr>
            <w:tcW w:w="624" w:type="dxa"/>
          </w:tcPr>
          <w:p w14:paraId="7CDF4BB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м/сек</w:t>
            </w:r>
          </w:p>
        </w:tc>
        <w:tc>
          <w:tcPr>
            <w:tcW w:w="1440" w:type="dxa"/>
          </w:tcPr>
          <w:p w14:paraId="1D69AAF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8F3928E" w14:textId="77777777">
        <w:tc>
          <w:tcPr>
            <w:tcW w:w="1384" w:type="dxa"/>
          </w:tcPr>
          <w:p w14:paraId="51758D8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 заряда</w:t>
            </w:r>
          </w:p>
        </w:tc>
        <w:tc>
          <w:tcPr>
            <w:tcW w:w="894" w:type="dxa"/>
          </w:tcPr>
          <w:p w14:paraId="25C284C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19,2</w:t>
            </w:r>
          </w:p>
        </w:tc>
        <w:tc>
          <w:tcPr>
            <w:tcW w:w="894" w:type="dxa"/>
          </w:tcPr>
          <w:p w14:paraId="326C83E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19,2</w:t>
            </w:r>
          </w:p>
        </w:tc>
        <w:tc>
          <w:tcPr>
            <w:tcW w:w="894" w:type="dxa"/>
          </w:tcPr>
          <w:p w14:paraId="080C5AC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19,2</w:t>
            </w:r>
          </w:p>
        </w:tc>
        <w:tc>
          <w:tcPr>
            <w:tcW w:w="894" w:type="dxa"/>
          </w:tcPr>
          <w:p w14:paraId="5D0370C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19,2</w:t>
            </w:r>
          </w:p>
        </w:tc>
        <w:tc>
          <w:tcPr>
            <w:tcW w:w="894" w:type="dxa"/>
          </w:tcPr>
          <w:p w14:paraId="680ACFD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15,0</w:t>
            </w:r>
          </w:p>
        </w:tc>
        <w:tc>
          <w:tcPr>
            <w:tcW w:w="894" w:type="dxa"/>
          </w:tcPr>
          <w:p w14:paraId="01D38E5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4" w:type="dxa"/>
          </w:tcPr>
          <w:p w14:paraId="2C08A4C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34,3</w:t>
            </w:r>
          </w:p>
        </w:tc>
        <w:tc>
          <w:tcPr>
            <w:tcW w:w="894" w:type="dxa"/>
          </w:tcPr>
          <w:p w14:paraId="62A5515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32,0</w:t>
            </w:r>
          </w:p>
        </w:tc>
        <w:tc>
          <w:tcPr>
            <w:tcW w:w="624" w:type="dxa"/>
          </w:tcPr>
          <w:p w14:paraId="7B2E3D2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гр</w:t>
            </w:r>
          </w:p>
        </w:tc>
        <w:tc>
          <w:tcPr>
            <w:tcW w:w="1440" w:type="dxa"/>
          </w:tcPr>
          <w:p w14:paraId="37EE385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713AA11" w14:textId="77777777">
        <w:tc>
          <w:tcPr>
            <w:tcW w:w="1384" w:type="dxa"/>
          </w:tcPr>
          <w:p w14:paraId="434A399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Длина нарезн. ч.</w:t>
            </w:r>
          </w:p>
        </w:tc>
        <w:tc>
          <w:tcPr>
            <w:tcW w:w="894" w:type="dxa"/>
          </w:tcPr>
          <w:p w14:paraId="11900DD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4" w:type="dxa"/>
          </w:tcPr>
          <w:p w14:paraId="5E6F4BC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4" w:type="dxa"/>
          </w:tcPr>
          <w:p w14:paraId="6EBB730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4" w:type="dxa"/>
          </w:tcPr>
          <w:p w14:paraId="28399E6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4" w:type="dxa"/>
          </w:tcPr>
          <w:p w14:paraId="457F9A3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4" w:type="dxa"/>
          </w:tcPr>
          <w:p w14:paraId="4B4CB31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4" w:type="dxa"/>
          </w:tcPr>
          <w:p w14:paraId="587F0AD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4" w:type="dxa"/>
          </w:tcPr>
          <w:p w14:paraId="1CCEB3C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Pr>
          <w:p w14:paraId="40D336C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01E847B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Длина ствола, а не длина</w:t>
            </w:r>
          </w:p>
        </w:tc>
      </w:tr>
      <w:tr w:rsidR="005106D0" w:rsidRPr="007224C3" w14:paraId="474D26B4" w14:textId="77777777">
        <w:tc>
          <w:tcPr>
            <w:tcW w:w="1384" w:type="dxa"/>
          </w:tcPr>
          <w:p w14:paraId="58703AA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ствола</w:t>
            </w:r>
          </w:p>
        </w:tc>
        <w:tc>
          <w:tcPr>
            <w:tcW w:w="894" w:type="dxa"/>
          </w:tcPr>
          <w:p w14:paraId="6487C9E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1145</w:t>
            </w:r>
          </w:p>
        </w:tc>
        <w:tc>
          <w:tcPr>
            <w:tcW w:w="894" w:type="dxa"/>
          </w:tcPr>
          <w:p w14:paraId="485A631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1144</w:t>
            </w:r>
          </w:p>
        </w:tc>
        <w:tc>
          <w:tcPr>
            <w:tcW w:w="894" w:type="dxa"/>
          </w:tcPr>
          <w:p w14:paraId="4E98229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1146</w:t>
            </w:r>
          </w:p>
        </w:tc>
        <w:tc>
          <w:tcPr>
            <w:tcW w:w="894" w:type="dxa"/>
          </w:tcPr>
          <w:p w14:paraId="3D743F1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4" w:type="dxa"/>
          </w:tcPr>
          <w:p w14:paraId="2FA54AB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653</w:t>
            </w:r>
          </w:p>
        </w:tc>
        <w:tc>
          <w:tcPr>
            <w:tcW w:w="894" w:type="dxa"/>
          </w:tcPr>
          <w:p w14:paraId="732F535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1104*</w:t>
            </w:r>
          </w:p>
        </w:tc>
        <w:tc>
          <w:tcPr>
            <w:tcW w:w="894" w:type="dxa"/>
          </w:tcPr>
          <w:p w14:paraId="799E530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1715*</w:t>
            </w:r>
          </w:p>
        </w:tc>
        <w:tc>
          <w:tcPr>
            <w:tcW w:w="894" w:type="dxa"/>
          </w:tcPr>
          <w:p w14:paraId="49E331F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1710*</w:t>
            </w:r>
          </w:p>
        </w:tc>
        <w:tc>
          <w:tcPr>
            <w:tcW w:w="624" w:type="dxa"/>
          </w:tcPr>
          <w:p w14:paraId="2C01B50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мм</w:t>
            </w:r>
          </w:p>
        </w:tc>
        <w:tc>
          <w:tcPr>
            <w:tcW w:w="1440" w:type="dxa"/>
          </w:tcPr>
          <w:p w14:paraId="588A28D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нарезн. части</w:t>
            </w:r>
          </w:p>
        </w:tc>
      </w:tr>
      <w:tr w:rsidR="005106D0" w:rsidRPr="007224C3" w14:paraId="6C60D6A5" w14:textId="77777777">
        <w:tc>
          <w:tcPr>
            <w:tcW w:w="1384" w:type="dxa"/>
          </w:tcPr>
          <w:p w14:paraId="75D2B17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Темп - m</w:t>
            </w:r>
          </w:p>
        </w:tc>
        <w:tc>
          <w:tcPr>
            <w:tcW w:w="894" w:type="dxa"/>
          </w:tcPr>
          <w:p w14:paraId="2EEFEA0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700-850</w:t>
            </w:r>
          </w:p>
        </w:tc>
        <w:tc>
          <w:tcPr>
            <w:tcW w:w="894" w:type="dxa"/>
          </w:tcPr>
          <w:p w14:paraId="44F2758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697</w:t>
            </w:r>
          </w:p>
        </w:tc>
        <w:tc>
          <w:tcPr>
            <w:tcW w:w="894" w:type="dxa"/>
          </w:tcPr>
          <w:p w14:paraId="249455A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659</w:t>
            </w:r>
          </w:p>
        </w:tc>
        <w:tc>
          <w:tcPr>
            <w:tcW w:w="894" w:type="dxa"/>
          </w:tcPr>
          <w:p w14:paraId="69A5A5D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600</w:t>
            </w:r>
          </w:p>
        </w:tc>
        <w:tc>
          <w:tcPr>
            <w:tcW w:w="894" w:type="dxa"/>
          </w:tcPr>
          <w:p w14:paraId="12D7938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550</w:t>
            </w:r>
          </w:p>
        </w:tc>
        <w:tc>
          <w:tcPr>
            <w:tcW w:w="894" w:type="dxa"/>
          </w:tcPr>
          <w:p w14:paraId="73436FE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700</w:t>
            </w:r>
          </w:p>
        </w:tc>
        <w:tc>
          <w:tcPr>
            <w:tcW w:w="894" w:type="dxa"/>
          </w:tcPr>
          <w:p w14:paraId="7D28737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600-700</w:t>
            </w:r>
          </w:p>
        </w:tc>
        <w:tc>
          <w:tcPr>
            <w:tcW w:w="894" w:type="dxa"/>
          </w:tcPr>
          <w:p w14:paraId="13E27CF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650</w:t>
            </w:r>
          </w:p>
        </w:tc>
        <w:tc>
          <w:tcPr>
            <w:tcW w:w="624" w:type="dxa"/>
          </w:tcPr>
          <w:p w14:paraId="72E0D66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выст./</w:t>
            </w:r>
          </w:p>
        </w:tc>
        <w:tc>
          <w:tcPr>
            <w:tcW w:w="1440" w:type="dxa"/>
          </w:tcPr>
          <w:p w14:paraId="368D78D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C7A1BD9" w14:textId="77777777">
        <w:tc>
          <w:tcPr>
            <w:tcW w:w="1384" w:type="dxa"/>
          </w:tcPr>
          <w:p w14:paraId="5A17674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4" w:type="dxa"/>
          </w:tcPr>
          <w:p w14:paraId="4EE2325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4" w:type="dxa"/>
          </w:tcPr>
          <w:p w14:paraId="56B2E14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4" w:type="dxa"/>
          </w:tcPr>
          <w:p w14:paraId="2778D27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4" w:type="dxa"/>
          </w:tcPr>
          <w:p w14:paraId="612F9E4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4" w:type="dxa"/>
          </w:tcPr>
          <w:p w14:paraId="7AD83C0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4" w:type="dxa"/>
          </w:tcPr>
          <w:p w14:paraId="548476E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4" w:type="dxa"/>
          </w:tcPr>
          <w:p w14:paraId="78D2F83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4" w:type="dxa"/>
          </w:tcPr>
          <w:p w14:paraId="5088ACC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Pr>
          <w:p w14:paraId="2658DF4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мин.</w:t>
            </w:r>
          </w:p>
        </w:tc>
        <w:tc>
          <w:tcPr>
            <w:tcW w:w="1440" w:type="dxa"/>
          </w:tcPr>
          <w:p w14:paraId="3A7B6FB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97A4907" w14:textId="77777777">
        <w:tc>
          <w:tcPr>
            <w:tcW w:w="1384" w:type="dxa"/>
          </w:tcPr>
          <w:p w14:paraId="638B0F2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Масса патрона</w:t>
            </w:r>
          </w:p>
        </w:tc>
        <w:tc>
          <w:tcPr>
            <w:tcW w:w="894" w:type="dxa"/>
          </w:tcPr>
          <w:p w14:paraId="68D205C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147</w:t>
            </w:r>
          </w:p>
        </w:tc>
        <w:tc>
          <w:tcPr>
            <w:tcW w:w="894" w:type="dxa"/>
          </w:tcPr>
          <w:p w14:paraId="5C350B6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147</w:t>
            </w:r>
          </w:p>
        </w:tc>
        <w:tc>
          <w:tcPr>
            <w:tcW w:w="894" w:type="dxa"/>
          </w:tcPr>
          <w:p w14:paraId="7A03FD6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147</w:t>
            </w:r>
          </w:p>
        </w:tc>
        <w:tc>
          <w:tcPr>
            <w:tcW w:w="894" w:type="dxa"/>
          </w:tcPr>
          <w:p w14:paraId="061E64F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147</w:t>
            </w:r>
          </w:p>
        </w:tc>
        <w:tc>
          <w:tcPr>
            <w:tcW w:w="894" w:type="dxa"/>
          </w:tcPr>
          <w:p w14:paraId="57132E5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4" w:type="dxa"/>
          </w:tcPr>
          <w:p w14:paraId="15E4BF2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4" w:type="dxa"/>
          </w:tcPr>
          <w:p w14:paraId="038714D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4" w:type="dxa"/>
          </w:tcPr>
          <w:p w14:paraId="703645E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Pr>
          <w:p w14:paraId="6D23AC2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мм (1825)</w:t>
            </w:r>
          </w:p>
        </w:tc>
        <w:tc>
          <w:tcPr>
            <w:tcW w:w="1440" w:type="dxa"/>
          </w:tcPr>
          <w:p w14:paraId="0C90C8F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F089CE0" w14:textId="77777777">
        <w:tc>
          <w:tcPr>
            <w:tcW w:w="1384" w:type="dxa"/>
          </w:tcPr>
          <w:p w14:paraId="53506C3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Масса системы</w:t>
            </w:r>
          </w:p>
        </w:tc>
        <w:tc>
          <w:tcPr>
            <w:tcW w:w="894" w:type="dxa"/>
          </w:tcPr>
          <w:p w14:paraId="4F53FED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40-44.5</w:t>
            </w:r>
          </w:p>
        </w:tc>
        <w:tc>
          <w:tcPr>
            <w:tcW w:w="894" w:type="dxa"/>
          </w:tcPr>
          <w:p w14:paraId="6464C39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24.9</w:t>
            </w:r>
          </w:p>
        </w:tc>
        <w:tc>
          <w:tcPr>
            <w:tcW w:w="894" w:type="dxa"/>
          </w:tcPr>
          <w:p w14:paraId="08B156C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26.7</w:t>
            </w:r>
          </w:p>
        </w:tc>
        <w:tc>
          <w:tcPr>
            <w:tcW w:w="894" w:type="dxa"/>
          </w:tcPr>
          <w:p w14:paraId="1659A8C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w:t>
            </w:r>
          </w:p>
        </w:tc>
        <w:tc>
          <w:tcPr>
            <w:tcW w:w="894" w:type="dxa"/>
          </w:tcPr>
          <w:p w14:paraId="08AC36B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28-33.5</w:t>
            </w:r>
          </w:p>
        </w:tc>
        <w:tc>
          <w:tcPr>
            <w:tcW w:w="894" w:type="dxa"/>
          </w:tcPr>
          <w:p w14:paraId="51BB668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42.0</w:t>
            </w:r>
          </w:p>
        </w:tc>
        <w:tc>
          <w:tcPr>
            <w:tcW w:w="894" w:type="dxa"/>
          </w:tcPr>
          <w:p w14:paraId="1D58A89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52.0</w:t>
            </w:r>
          </w:p>
        </w:tc>
        <w:tc>
          <w:tcPr>
            <w:tcW w:w="894" w:type="dxa"/>
          </w:tcPr>
          <w:p w14:paraId="6D48DCD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49.5</w:t>
            </w:r>
          </w:p>
        </w:tc>
        <w:tc>
          <w:tcPr>
            <w:tcW w:w="624" w:type="dxa"/>
          </w:tcPr>
          <w:p w14:paraId="1F4CBCC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кг</w:t>
            </w:r>
          </w:p>
        </w:tc>
        <w:tc>
          <w:tcPr>
            <w:tcW w:w="1440" w:type="dxa"/>
          </w:tcPr>
          <w:p w14:paraId="5DF22F2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D77AB7C" w14:textId="77777777">
        <w:tc>
          <w:tcPr>
            <w:tcW w:w="1384" w:type="dxa"/>
          </w:tcPr>
          <w:p w14:paraId="78771AC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Способ питания</w:t>
            </w:r>
          </w:p>
        </w:tc>
        <w:tc>
          <w:tcPr>
            <w:tcW w:w="894" w:type="dxa"/>
          </w:tcPr>
          <w:p w14:paraId="0C4C647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ленточное одностороннее</w:t>
            </w:r>
          </w:p>
        </w:tc>
        <w:tc>
          <w:tcPr>
            <w:tcW w:w="894" w:type="dxa"/>
          </w:tcPr>
          <w:p w14:paraId="69B63CF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ленточное одностороннее</w:t>
            </w:r>
          </w:p>
        </w:tc>
        <w:tc>
          <w:tcPr>
            <w:tcW w:w="894" w:type="dxa"/>
          </w:tcPr>
          <w:p w14:paraId="0F4D712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ленточное двустороннее</w:t>
            </w:r>
          </w:p>
        </w:tc>
        <w:tc>
          <w:tcPr>
            <w:tcW w:w="894" w:type="dxa"/>
          </w:tcPr>
          <w:p w14:paraId="28FA991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ленточное двустороннее</w:t>
            </w:r>
          </w:p>
        </w:tc>
        <w:tc>
          <w:tcPr>
            <w:tcW w:w="894" w:type="dxa"/>
          </w:tcPr>
          <w:p w14:paraId="30D002D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Магазина на 15 и 60 п.</w:t>
            </w:r>
          </w:p>
        </w:tc>
        <w:tc>
          <w:tcPr>
            <w:tcW w:w="894" w:type="dxa"/>
          </w:tcPr>
          <w:p w14:paraId="3709B2C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ленточное двустороннее</w:t>
            </w:r>
          </w:p>
        </w:tc>
        <w:tc>
          <w:tcPr>
            <w:tcW w:w="894" w:type="dxa"/>
          </w:tcPr>
          <w:p w14:paraId="0A1C000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Магазина на 60 п.</w:t>
            </w:r>
          </w:p>
        </w:tc>
        <w:tc>
          <w:tcPr>
            <w:tcW w:w="894" w:type="dxa"/>
          </w:tcPr>
          <w:p w14:paraId="6F3A5C9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Магазина на 60 п.</w:t>
            </w:r>
          </w:p>
        </w:tc>
        <w:tc>
          <w:tcPr>
            <w:tcW w:w="624" w:type="dxa"/>
          </w:tcPr>
          <w:p w14:paraId="2D00033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7487814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1C77666" w14:textId="77777777">
        <w:tc>
          <w:tcPr>
            <w:tcW w:w="1384" w:type="dxa"/>
          </w:tcPr>
          <w:p w14:paraId="42FA5F2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Длинна</w:t>
            </w:r>
          </w:p>
        </w:tc>
        <w:tc>
          <w:tcPr>
            <w:tcW w:w="894" w:type="dxa"/>
          </w:tcPr>
          <w:p w14:paraId="1A205FD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1679</w:t>
            </w:r>
          </w:p>
        </w:tc>
        <w:tc>
          <w:tcPr>
            <w:tcW w:w="894" w:type="dxa"/>
          </w:tcPr>
          <w:p w14:paraId="67096F5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4" w:type="dxa"/>
          </w:tcPr>
          <w:p w14:paraId="7000DA8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1612</w:t>
            </w:r>
          </w:p>
        </w:tc>
        <w:tc>
          <w:tcPr>
            <w:tcW w:w="894" w:type="dxa"/>
          </w:tcPr>
          <w:p w14:paraId="6BCB83C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4" w:type="dxa"/>
          </w:tcPr>
          <w:p w14:paraId="798AEE9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1370</w:t>
            </w:r>
          </w:p>
        </w:tc>
        <w:tc>
          <w:tcPr>
            <w:tcW w:w="894" w:type="dxa"/>
          </w:tcPr>
          <w:p w14:paraId="61F0D2F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1766</w:t>
            </w:r>
          </w:p>
        </w:tc>
        <w:tc>
          <w:tcPr>
            <w:tcW w:w="894" w:type="dxa"/>
          </w:tcPr>
          <w:p w14:paraId="6EDAA7D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2702</w:t>
            </w:r>
          </w:p>
        </w:tc>
        <w:tc>
          <w:tcPr>
            <w:tcW w:w="894" w:type="dxa"/>
          </w:tcPr>
          <w:p w14:paraId="5566004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2500</w:t>
            </w:r>
          </w:p>
        </w:tc>
        <w:tc>
          <w:tcPr>
            <w:tcW w:w="624" w:type="dxa"/>
          </w:tcPr>
          <w:p w14:paraId="45268D7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мм</w:t>
            </w:r>
          </w:p>
        </w:tc>
        <w:tc>
          <w:tcPr>
            <w:tcW w:w="1440" w:type="dxa"/>
          </w:tcPr>
          <w:p w14:paraId="730E2C5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2E9AA68" w14:textId="77777777">
        <w:tc>
          <w:tcPr>
            <w:tcW w:w="1384" w:type="dxa"/>
          </w:tcPr>
          <w:p w14:paraId="5C15DF7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Дульная энергия</w:t>
            </w:r>
          </w:p>
        </w:tc>
        <w:tc>
          <w:tcPr>
            <w:tcW w:w="894" w:type="dxa"/>
          </w:tcPr>
          <w:p w14:paraId="4E2B1C8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2820-3320</w:t>
            </w:r>
          </w:p>
        </w:tc>
        <w:tc>
          <w:tcPr>
            <w:tcW w:w="894" w:type="dxa"/>
          </w:tcPr>
          <w:p w14:paraId="66F2ED7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2820-3320</w:t>
            </w:r>
          </w:p>
        </w:tc>
        <w:tc>
          <w:tcPr>
            <w:tcW w:w="894" w:type="dxa"/>
          </w:tcPr>
          <w:p w14:paraId="108BE5F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2820-3320</w:t>
            </w:r>
          </w:p>
        </w:tc>
        <w:tc>
          <w:tcPr>
            <w:tcW w:w="894" w:type="dxa"/>
          </w:tcPr>
          <w:p w14:paraId="6200F28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4" w:type="dxa"/>
          </w:tcPr>
          <w:p w14:paraId="596492F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2460</w:t>
            </w:r>
          </w:p>
        </w:tc>
        <w:tc>
          <w:tcPr>
            <w:tcW w:w="894" w:type="dxa"/>
          </w:tcPr>
          <w:p w14:paraId="0267B00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2860-3060</w:t>
            </w:r>
          </w:p>
        </w:tc>
        <w:tc>
          <w:tcPr>
            <w:tcW w:w="894" w:type="dxa"/>
          </w:tcPr>
          <w:p w14:paraId="5ED7E3C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4680</w:t>
            </w:r>
          </w:p>
        </w:tc>
        <w:tc>
          <w:tcPr>
            <w:tcW w:w="894" w:type="dxa"/>
          </w:tcPr>
          <w:p w14:paraId="1B49A20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5060</w:t>
            </w:r>
          </w:p>
        </w:tc>
        <w:tc>
          <w:tcPr>
            <w:tcW w:w="624" w:type="dxa"/>
          </w:tcPr>
          <w:p w14:paraId="72D9F6D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2EE0034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3A69DFD" w14:textId="77777777">
        <w:tc>
          <w:tcPr>
            <w:tcW w:w="1384" w:type="dxa"/>
          </w:tcPr>
          <w:p w14:paraId="393B30C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Дульная мощность</w:t>
            </w:r>
          </w:p>
        </w:tc>
        <w:tc>
          <w:tcPr>
            <w:tcW w:w="894" w:type="dxa"/>
          </w:tcPr>
          <w:p w14:paraId="2ECBD3D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32800</w:t>
            </w:r>
          </w:p>
        </w:tc>
        <w:tc>
          <w:tcPr>
            <w:tcW w:w="894" w:type="dxa"/>
          </w:tcPr>
          <w:p w14:paraId="5C8B58E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32800</w:t>
            </w:r>
          </w:p>
        </w:tc>
        <w:tc>
          <w:tcPr>
            <w:tcW w:w="894" w:type="dxa"/>
          </w:tcPr>
          <w:p w14:paraId="68DEF97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31000</w:t>
            </w:r>
          </w:p>
        </w:tc>
        <w:tc>
          <w:tcPr>
            <w:tcW w:w="894" w:type="dxa"/>
          </w:tcPr>
          <w:p w14:paraId="4D15897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4" w:type="dxa"/>
          </w:tcPr>
          <w:p w14:paraId="4E46C93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21400</w:t>
            </w:r>
          </w:p>
        </w:tc>
        <w:tc>
          <w:tcPr>
            <w:tcW w:w="894" w:type="dxa"/>
          </w:tcPr>
          <w:p w14:paraId="0CA2CF1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4" w:type="dxa"/>
          </w:tcPr>
          <w:p w14:paraId="5CEEE24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46800-54600</w:t>
            </w:r>
          </w:p>
        </w:tc>
        <w:tc>
          <w:tcPr>
            <w:tcW w:w="894" w:type="dxa"/>
          </w:tcPr>
          <w:p w14:paraId="536C41A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54800</w:t>
            </w:r>
          </w:p>
        </w:tc>
        <w:tc>
          <w:tcPr>
            <w:tcW w:w="624" w:type="dxa"/>
          </w:tcPr>
          <w:p w14:paraId="7B1F2E1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кгм/сек</w:t>
            </w:r>
          </w:p>
        </w:tc>
        <w:tc>
          <w:tcPr>
            <w:tcW w:w="1440" w:type="dxa"/>
          </w:tcPr>
          <w:p w14:paraId="7637BEF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3A07E80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(1825).</w:t>
      </w:r>
    </w:p>
    <w:p w14:paraId="5C5D045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77C9FD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середине июня 1944 г. на ИТП (М-2) были достигнуты следу</w:t>
      </w:r>
      <w:r w:rsidRPr="007224C3">
        <w:rPr>
          <w:rFonts w:ascii="Times New Roman" w:hAnsi="Times New Roman"/>
          <w:color w:val="000000" w:themeColor="text1"/>
          <w:sz w:val="16"/>
          <w:szCs w:val="16"/>
        </w:rPr>
        <w:softHyphen/>
        <w:t>ющие летные характеристики: максимальная скорость у земли 540 км/ч и 600 км/ч на форсаже, на высоте 2500 м - 570 км/ч (650 км/ч на форсаже), на 5000 м - 560 км/ч, время набора высоты 6000 м составляло 6 мин, потолок -11500 м. В целом это был хороший и мощно вооруженный истребитель. Но к этому времени уже летали, хотя и с более слабым вооружением, модификации «Яков» и ИТП не стали запускать в производство (10667).</w:t>
      </w:r>
    </w:p>
    <w:p w14:paraId="030C452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E4E83D" w14:textId="6E9CBB9E" w:rsidR="00FB3A90" w:rsidRPr="007224C3" w:rsidRDefault="00FB3A90" w:rsidP="007224C3">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7224C3">
        <w:rPr>
          <w:rFonts w:ascii="Times New Roman" w:hAnsi="Times New Roman"/>
          <w:i/>
          <w:iCs/>
          <w:color w:val="000000" w:themeColor="text1"/>
          <w:sz w:val="16"/>
          <w:szCs w:val="16"/>
        </w:rPr>
        <w:t>За рубежом:</w:t>
      </w:r>
    </w:p>
    <w:p w14:paraId="55A1A627" w14:textId="77777777" w:rsidR="00FB3A90" w:rsidRPr="007224C3" w:rsidRDefault="00FB3A90" w:rsidP="007224C3">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0DD69EDA" w14:textId="77777777" w:rsidR="00FB3A90" w:rsidRPr="007224C3" w:rsidRDefault="00FB3A90"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 середине июня 1944 японские п/л авианосцы 1-400 и 1-401, предназначенные для разрушения шлюзов Панамского канала в июле-августе 1945, были отправлены в поход в китайский Дайрен, чтобы получить необходимое горючее и про</w:t>
      </w:r>
      <w:r w:rsidRPr="007224C3">
        <w:rPr>
          <w:rFonts w:ascii="Times New Roman" w:hAnsi="Times New Roman"/>
          <w:color w:val="0070C0"/>
          <w:sz w:val="16"/>
          <w:szCs w:val="16"/>
        </w:rPr>
        <w:softHyphen/>
        <w:t>довольствие. Однако в Японском море 1-401 наткнулась на американскую магнитную мину и получила серьез</w:t>
      </w:r>
      <w:r w:rsidRPr="007224C3">
        <w:rPr>
          <w:rFonts w:ascii="Times New Roman" w:hAnsi="Times New Roman"/>
          <w:color w:val="0070C0"/>
          <w:sz w:val="16"/>
          <w:szCs w:val="16"/>
        </w:rPr>
        <w:softHyphen/>
        <w:t>ные повреждения, после чего ей при</w:t>
      </w:r>
      <w:r w:rsidRPr="007224C3">
        <w:rPr>
          <w:rFonts w:ascii="Times New Roman" w:hAnsi="Times New Roman"/>
          <w:color w:val="0070C0"/>
          <w:sz w:val="16"/>
          <w:szCs w:val="16"/>
        </w:rPr>
        <w:softHyphen/>
        <w:t>шлось возвратиться на базу (22807).</w:t>
      </w:r>
    </w:p>
    <w:p w14:paraId="7D98CDCF" w14:textId="77777777" w:rsidR="00FB3A90" w:rsidRPr="007224C3" w:rsidRDefault="00FB3A90" w:rsidP="007224C3">
      <w:pPr>
        <w:spacing w:after="0" w:line="240" w:lineRule="auto"/>
        <w:jc w:val="both"/>
        <w:rPr>
          <w:rFonts w:ascii="Times New Roman" w:hAnsi="Times New Roman"/>
          <w:color w:val="0070C0"/>
          <w:sz w:val="16"/>
          <w:szCs w:val="16"/>
        </w:rPr>
      </w:pPr>
    </w:p>
    <w:p w14:paraId="08C5F1C4" w14:textId="7FAE1D29" w:rsidR="009C5E2F"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2CD8A4B4" w14:textId="77777777" w:rsidR="009C5E2F" w:rsidRPr="007224C3" w:rsidRDefault="009C5E2F"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E335637" w14:textId="77777777" w:rsidR="009C5E2F" w:rsidRPr="007224C3" w:rsidRDefault="009C5E2F" w:rsidP="007224C3">
      <w:pPr>
        <w:shd w:val="clear" w:color="auto" w:fill="FFFFFF"/>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первой половине июня 1944 года завод № 39 начинает получать чертежи на постройку четырех Ер-2ОН. В приказе директора завода В.И. Абрамова говориться, что первый Ер-2ОН должен быть изготовлен 1-го августа, а последний, четвертый – 1-го сентября. Приказом А.И. Шахурина завод № 500 обязывался поставить заводу № 39 дизель-моторы АЧ-30Б специальной сборки в количестве 10 штук в течение июля. Поскольку самолеты предназначались для полетов высшего руководства страны, изготавливали их с особой тщательностью вне поточных линий. Все отрабатывалось на специальных натурных стендах и подвергалось строжайшему контролю. Вместе с тем некоторые чертежи по фюзеляжу самолета, в конструкцию которого были внесены значительные изменения, поступили на завод с опозданием. Это не могло не отразиться на сроках. К тому же на двигателях АЧ-30Б выявились опасные дефекты, требовавшие немедленного устранения. В планы постройки самолетов пришлось вносить коррективы. 7-го октября директор завода В.И. Абрамов в своем приказе № 171 определяет следующий порядок работы подразделений и служб завода (223):</w:t>
      </w:r>
    </w:p>
    <w:p w14:paraId="627F357C" w14:textId="77777777" w:rsidR="009C5E2F" w:rsidRPr="007224C3" w:rsidRDefault="009C5E2F" w:rsidP="007224C3">
      <w:pPr>
        <w:pStyle w:val="rteindent11"/>
        <w:shd w:val="clear" w:color="auto" w:fill="FFFFFF"/>
        <w:spacing w:before="0" w:beforeAutospacing="0" w:after="0"/>
        <w:ind w:left="0" w:firstLine="0"/>
        <w:rPr>
          <w:color w:val="000000" w:themeColor="text1"/>
          <w:sz w:val="16"/>
          <w:szCs w:val="16"/>
        </w:rPr>
      </w:pPr>
      <w:r w:rsidRPr="007224C3">
        <w:rPr>
          <w:rStyle w:val="af0"/>
          <w:i w:val="0"/>
          <w:color w:val="000000" w:themeColor="text1"/>
          <w:sz w:val="16"/>
          <w:szCs w:val="16"/>
        </w:rPr>
        <w:t>– начальнику цеха № 4 М.Г. Лукьянцеву сдать фюзеляж головного самолета в цех предварительной сборки 12 октября 1944 г;</w:t>
      </w:r>
    </w:p>
    <w:p w14:paraId="4533D2C4" w14:textId="77777777" w:rsidR="009C5E2F" w:rsidRPr="007224C3" w:rsidRDefault="009C5E2F" w:rsidP="007224C3">
      <w:pPr>
        <w:pStyle w:val="rteindent11"/>
        <w:shd w:val="clear" w:color="auto" w:fill="FFFFFF"/>
        <w:spacing w:before="0" w:beforeAutospacing="0" w:after="0"/>
        <w:ind w:left="0" w:firstLine="0"/>
        <w:rPr>
          <w:color w:val="000000" w:themeColor="text1"/>
          <w:sz w:val="16"/>
          <w:szCs w:val="16"/>
        </w:rPr>
      </w:pPr>
      <w:r w:rsidRPr="007224C3">
        <w:rPr>
          <w:rStyle w:val="af0"/>
          <w:i w:val="0"/>
          <w:color w:val="000000" w:themeColor="text1"/>
          <w:sz w:val="16"/>
          <w:szCs w:val="16"/>
        </w:rPr>
        <w:t>– начальнику цеха предварительной сборки № 22 А.К. Филлипову обеспечить сборку и передачу головного самолета в цех окончательной сборки до 26 октября 1944 г;</w:t>
      </w:r>
    </w:p>
    <w:p w14:paraId="70297CF8" w14:textId="77777777" w:rsidR="009C5E2F" w:rsidRPr="007224C3" w:rsidRDefault="009C5E2F" w:rsidP="007224C3">
      <w:pPr>
        <w:pStyle w:val="rteindent11"/>
        <w:shd w:val="clear" w:color="auto" w:fill="FFFFFF"/>
        <w:spacing w:before="0" w:beforeAutospacing="0" w:after="0"/>
        <w:ind w:left="0" w:firstLine="0"/>
        <w:rPr>
          <w:color w:val="000000" w:themeColor="text1"/>
          <w:sz w:val="16"/>
          <w:szCs w:val="16"/>
        </w:rPr>
      </w:pPr>
      <w:r w:rsidRPr="007224C3">
        <w:rPr>
          <w:rStyle w:val="af0"/>
          <w:i w:val="0"/>
          <w:color w:val="000000" w:themeColor="text1"/>
          <w:sz w:val="16"/>
          <w:szCs w:val="16"/>
        </w:rPr>
        <w:t>– начальнику цеха окончательной сборки № 7 Д.М. Чумаченко передать первый самолет Ер-2ОН в аэродромный цех 6 ноября 1944 г;</w:t>
      </w:r>
    </w:p>
    <w:p w14:paraId="02AC3926" w14:textId="77777777" w:rsidR="009C5E2F" w:rsidRPr="007224C3" w:rsidRDefault="009C5E2F" w:rsidP="007224C3">
      <w:pPr>
        <w:pStyle w:val="rteindent11"/>
        <w:shd w:val="clear" w:color="auto" w:fill="FFFFFF"/>
        <w:spacing w:before="0" w:beforeAutospacing="0" w:after="0"/>
        <w:ind w:left="0" w:firstLine="0"/>
        <w:rPr>
          <w:color w:val="000000" w:themeColor="text1"/>
          <w:sz w:val="16"/>
          <w:szCs w:val="16"/>
        </w:rPr>
      </w:pPr>
      <w:r w:rsidRPr="007224C3">
        <w:rPr>
          <w:rStyle w:val="af0"/>
          <w:i w:val="0"/>
          <w:color w:val="000000" w:themeColor="text1"/>
          <w:sz w:val="16"/>
          <w:szCs w:val="16"/>
        </w:rPr>
        <w:t>– начальнику аэродромного цеха № 16 А.Г. Ивченко провести отработку головного самолета Ер-2ОН по Программе, утвержденной главным конструктором самолета В.Г. Ермолаевым до 12 ноября 1944 года, которая предусматривает:</w:t>
      </w:r>
    </w:p>
    <w:p w14:paraId="24190E72" w14:textId="77777777" w:rsidR="009C5E2F" w:rsidRPr="007224C3" w:rsidRDefault="009C5E2F" w:rsidP="007224C3">
      <w:pPr>
        <w:pStyle w:val="rteindent11"/>
        <w:shd w:val="clear" w:color="auto" w:fill="FFFFFF"/>
        <w:spacing w:before="0" w:beforeAutospacing="0" w:after="0"/>
        <w:ind w:left="0" w:firstLine="0"/>
        <w:rPr>
          <w:color w:val="000000" w:themeColor="text1"/>
          <w:sz w:val="16"/>
          <w:szCs w:val="16"/>
        </w:rPr>
      </w:pPr>
      <w:r w:rsidRPr="007224C3">
        <w:rPr>
          <w:rStyle w:val="af0"/>
          <w:i w:val="0"/>
          <w:color w:val="000000" w:themeColor="text1"/>
          <w:sz w:val="16"/>
          <w:szCs w:val="16"/>
        </w:rPr>
        <w:t>– наземную отработку всех систем и винтомоторной группы. По результатам наземных отработок оформляется и утверждается Акт о готовности самолета к проведению следующих летных испытаний;</w:t>
      </w:r>
    </w:p>
    <w:p w14:paraId="704BE243" w14:textId="77777777" w:rsidR="009C5E2F" w:rsidRPr="007224C3" w:rsidRDefault="009C5E2F" w:rsidP="007224C3">
      <w:pPr>
        <w:pStyle w:val="rteindent11"/>
        <w:shd w:val="clear" w:color="auto" w:fill="FFFFFF"/>
        <w:spacing w:before="0" w:beforeAutospacing="0" w:after="0"/>
        <w:ind w:left="0" w:firstLine="0"/>
        <w:rPr>
          <w:color w:val="000000" w:themeColor="text1"/>
          <w:sz w:val="16"/>
          <w:szCs w:val="16"/>
        </w:rPr>
      </w:pPr>
      <w:r w:rsidRPr="007224C3">
        <w:rPr>
          <w:rStyle w:val="af0"/>
          <w:i w:val="0"/>
          <w:color w:val="000000" w:themeColor="text1"/>
          <w:sz w:val="16"/>
          <w:szCs w:val="16"/>
        </w:rPr>
        <w:t>– летные испытания с различными вариантами загрузки самолета;</w:t>
      </w:r>
    </w:p>
    <w:p w14:paraId="2A3413AF" w14:textId="77777777" w:rsidR="009C5E2F" w:rsidRPr="007224C3" w:rsidRDefault="009C5E2F" w:rsidP="007224C3">
      <w:pPr>
        <w:pStyle w:val="rteindent11"/>
        <w:shd w:val="clear" w:color="auto" w:fill="FFFFFF"/>
        <w:spacing w:before="0" w:beforeAutospacing="0" w:after="0"/>
        <w:ind w:left="0" w:firstLine="0"/>
        <w:rPr>
          <w:color w:val="000000" w:themeColor="text1"/>
          <w:sz w:val="16"/>
          <w:szCs w:val="16"/>
        </w:rPr>
      </w:pPr>
      <w:r w:rsidRPr="007224C3">
        <w:rPr>
          <w:rStyle w:val="af0"/>
          <w:i w:val="0"/>
          <w:color w:val="000000" w:themeColor="text1"/>
          <w:sz w:val="16"/>
          <w:szCs w:val="16"/>
        </w:rPr>
        <w:t>– проверку работы винтомоторного оборудования;</w:t>
      </w:r>
    </w:p>
    <w:p w14:paraId="2AE3F76B" w14:textId="77777777" w:rsidR="009C5E2F" w:rsidRPr="007224C3" w:rsidRDefault="009C5E2F" w:rsidP="007224C3">
      <w:pPr>
        <w:pStyle w:val="rteindent11"/>
        <w:shd w:val="clear" w:color="auto" w:fill="FFFFFF"/>
        <w:spacing w:before="0" w:beforeAutospacing="0" w:after="0"/>
        <w:ind w:left="0" w:firstLine="0"/>
        <w:rPr>
          <w:color w:val="000000" w:themeColor="text1"/>
          <w:sz w:val="16"/>
          <w:szCs w:val="16"/>
        </w:rPr>
      </w:pPr>
      <w:r w:rsidRPr="007224C3">
        <w:rPr>
          <w:rStyle w:val="af0"/>
          <w:i w:val="0"/>
          <w:color w:val="000000" w:themeColor="text1"/>
          <w:sz w:val="16"/>
          <w:szCs w:val="16"/>
        </w:rPr>
        <w:t>– облет самолета на всех скоростях, включая и максимальную на разных высотах;</w:t>
      </w:r>
    </w:p>
    <w:p w14:paraId="06978B5B" w14:textId="77777777" w:rsidR="009C5E2F" w:rsidRPr="007224C3" w:rsidRDefault="009C5E2F" w:rsidP="007224C3">
      <w:pPr>
        <w:pStyle w:val="rteindent11"/>
        <w:shd w:val="clear" w:color="auto" w:fill="FFFFFF"/>
        <w:spacing w:before="0" w:beforeAutospacing="0" w:after="0"/>
        <w:ind w:left="0" w:firstLine="0"/>
        <w:rPr>
          <w:color w:val="000000" w:themeColor="text1"/>
          <w:sz w:val="16"/>
          <w:szCs w:val="16"/>
        </w:rPr>
      </w:pPr>
      <w:r w:rsidRPr="007224C3">
        <w:rPr>
          <w:rStyle w:val="af0"/>
          <w:i w:val="0"/>
          <w:color w:val="000000" w:themeColor="text1"/>
          <w:sz w:val="16"/>
          <w:szCs w:val="16"/>
        </w:rPr>
        <w:t>– оценку устойчивости и управляемости на всех режимах полета;</w:t>
      </w:r>
    </w:p>
    <w:p w14:paraId="7EC9E078" w14:textId="77777777" w:rsidR="009C5E2F" w:rsidRPr="007224C3" w:rsidRDefault="009C5E2F" w:rsidP="007224C3">
      <w:pPr>
        <w:pStyle w:val="rteindent11"/>
        <w:shd w:val="clear" w:color="auto" w:fill="FFFFFF"/>
        <w:spacing w:before="0" w:beforeAutospacing="0" w:after="0"/>
        <w:ind w:left="0" w:firstLine="0"/>
        <w:rPr>
          <w:rStyle w:val="af0"/>
          <w:i w:val="0"/>
          <w:color w:val="000000" w:themeColor="text1"/>
          <w:sz w:val="16"/>
          <w:szCs w:val="16"/>
        </w:rPr>
      </w:pPr>
      <w:r w:rsidRPr="007224C3">
        <w:rPr>
          <w:rStyle w:val="af0"/>
          <w:i w:val="0"/>
          <w:color w:val="000000" w:themeColor="text1"/>
          <w:sz w:val="16"/>
          <w:szCs w:val="16"/>
        </w:rPr>
        <w:t>– полет на дальность и другие режимы, предусмотренные при испытании самолета в воздухе (15223).</w:t>
      </w:r>
    </w:p>
    <w:p w14:paraId="21B56790" w14:textId="77777777" w:rsidR="009C5E2F" w:rsidRPr="007224C3" w:rsidRDefault="009C5E2F" w:rsidP="007224C3">
      <w:pPr>
        <w:pStyle w:val="rteindent11"/>
        <w:shd w:val="clear" w:color="auto" w:fill="FFFFFF"/>
        <w:spacing w:before="0" w:beforeAutospacing="0" w:after="0"/>
        <w:ind w:left="0" w:firstLine="0"/>
        <w:rPr>
          <w:rStyle w:val="af0"/>
          <w:i w:val="0"/>
          <w:color w:val="000000" w:themeColor="text1"/>
          <w:sz w:val="16"/>
          <w:szCs w:val="16"/>
        </w:rPr>
      </w:pPr>
    </w:p>
    <w:p w14:paraId="4752BE7A"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4C622CE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D60966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июня 1944 Зам. Нач. 7ГУ Алексеев подготовил сводку г-7 № 7979 о ходе испытаний высотных самолетов на 14 июня 1944 по Як-9 М-105ПД, Ла-5 АШ-82ФН и 2ТК-3, МиГ АМ-39А и 2ТК-2Б (1825).</w:t>
      </w:r>
    </w:p>
    <w:p w14:paraId="2D77692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ВЫСОТНЫЙ ИСТРЕБИТЕЛЬ МИГ С АМ-39Б И 2ТК-2Б.</w:t>
      </w:r>
    </w:p>
    <w:p w14:paraId="590AC92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Произведены два полета после установки системы нейтрального газа и бензопомпы взамен инжекторной помпы "178”.</w:t>
      </w:r>
    </w:p>
    <w:p w14:paraId="0DD4976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1-й полет - продолжительностью 40 миню до высоты 3000 мт, на 1-й скорости нагнетателя.</w:t>
      </w:r>
    </w:p>
    <w:p w14:paraId="2FC1B61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полете давление бензина у земли - 0.3 атм и на высоте 3000 мт - 0,23 атм, обороты ТК при переходе на горизонтальный полет - 17000 об/мин, давление нейтрального газа в бензобаке - 0,15 атм. Винтомотор</w:t>
      </w:r>
      <w:r w:rsidRPr="007224C3">
        <w:rPr>
          <w:rFonts w:ascii="Times New Roman" w:hAnsi="Times New Roman"/>
          <w:color w:val="000000" w:themeColor="text1"/>
          <w:sz w:val="16"/>
          <w:szCs w:val="16"/>
        </w:rPr>
        <w:softHyphen/>
        <w:t>ная группа работала удовлетворительно. После полета произведено увеличение диаметров отверстий в дозиру</w:t>
      </w:r>
      <w:r w:rsidRPr="007224C3">
        <w:rPr>
          <w:rFonts w:ascii="Times New Roman" w:hAnsi="Times New Roman"/>
          <w:color w:val="000000" w:themeColor="text1"/>
          <w:sz w:val="16"/>
          <w:szCs w:val="16"/>
        </w:rPr>
        <w:softHyphen/>
        <w:t>ющей шайбе клапана нейтрального газа для увеличения давления нейтрального газа в бензобаке и изменена регулировка давления бензина.</w:t>
      </w:r>
    </w:p>
    <w:p w14:paraId="35728DF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2-й полет - продолжительностью 30 мин, высота 3000 мт. на 1-й скорости нагнетахеля.</w:t>
      </w:r>
    </w:p>
    <w:p w14:paraId="06BDADE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полете давление бензина на высоте 3000 мт - 0,25 атм, давление нейтрального газа в бензобаке - 0,2 атм, обоорты ТК при переходе на горизонтальный полет - 17500об/мин. Винтомоторная группа работала удовлетворительно. После полета на самолете проводятся рабо</w:t>
      </w:r>
      <w:r w:rsidRPr="007224C3">
        <w:rPr>
          <w:rFonts w:ascii="Times New Roman" w:hAnsi="Times New Roman"/>
          <w:color w:val="000000" w:themeColor="text1"/>
          <w:sz w:val="16"/>
          <w:szCs w:val="16"/>
        </w:rPr>
        <w:softHyphen/>
        <w:t>ты по увеличению давления нейтрального газа в бензо</w:t>
      </w:r>
      <w:r w:rsidRPr="007224C3">
        <w:rPr>
          <w:rFonts w:ascii="Times New Roman" w:hAnsi="Times New Roman"/>
          <w:color w:val="000000" w:themeColor="text1"/>
          <w:sz w:val="16"/>
          <w:szCs w:val="16"/>
        </w:rPr>
        <w:softHyphen/>
        <w:t>баке.</w:t>
      </w:r>
    </w:p>
    <w:p w14:paraId="35C62B7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готовится к очередному полету на 15.У1 с.г.</w:t>
      </w:r>
    </w:p>
    <w:p w14:paraId="0E7E9AA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Высотный самолет ЯК-9 С ВК-105ПФ И ДВУХСТУПЕНЧАТЫМ НАГНЕТАТЕЛЕМ находится в ЦАГИ на отработке винтомоторной группы.</w:t>
      </w:r>
    </w:p>
    <w:p w14:paraId="29FF960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самолете Ла-5 с АШ-82ФН и 2ТК-3 полеты не производились из-за отсутствия кондиционного мотора (1825).</w:t>
      </w:r>
    </w:p>
    <w:p w14:paraId="4D2BDF4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21012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июня 1944 на МИГ С АМ-39Б И 2ТК-2Б были произведены два полета после доводки бензосистемы самолета с бензопомпой БНК-10:</w:t>
      </w:r>
    </w:p>
    <w:p w14:paraId="3837148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1-й полет - продолжительностью 40 мин, до высоты 9000 мт с включением второй скорости нагнетателя. В полете определена граница высотности на наборе вы</w:t>
      </w:r>
      <w:r w:rsidRPr="007224C3">
        <w:rPr>
          <w:rFonts w:ascii="Times New Roman" w:hAnsi="Times New Roman"/>
          <w:color w:val="000000" w:themeColor="text1"/>
          <w:sz w:val="16"/>
          <w:szCs w:val="16"/>
        </w:rPr>
        <w:softHyphen/>
        <w:t>соты на первой скорости нагнетателя - 8100 мт по прибору, 2-й полет - продолжительностью 40 мин, до высоты 11000 мт с включением второй скорости нагнетателя на высоте 9000 мт. В обоих полетах винтомоторная группа работала удовлет</w:t>
      </w:r>
      <w:r w:rsidRPr="007224C3">
        <w:rPr>
          <w:rFonts w:ascii="Times New Roman" w:hAnsi="Times New Roman"/>
          <w:color w:val="000000" w:themeColor="text1"/>
          <w:sz w:val="16"/>
          <w:szCs w:val="16"/>
        </w:rPr>
        <w:softHyphen/>
        <w:t>ьно и давление бензина от земли до высоты 11000 оставалось 0,35 атм (1825).</w:t>
      </w:r>
    </w:p>
    <w:p w14:paraId="341A8E0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9C865D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июня 1944 в ЦИАМ создали отдел ПД-6 под руководством В.Н.Челомея для изучения Фау-1, полученного из Англии в июне (1566,229).</w:t>
      </w:r>
    </w:p>
    <w:p w14:paraId="17F87A4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787347"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51EB311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6C68E47"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июня - август 1944 г. из ДОКЛАДА ПОМОЩНИКА ДИРЕКТОРА КОМБИНАТА № 179 М.В. БЫЧКОВА «О СОСТОЯНИИ ТРУДОВОЙ ДИСЦИПЛИНЫ НА ПРЕДПРИЯТИИ»</w:t>
      </w:r>
    </w:p>
    <w:p w14:paraId="4A4D149B"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Мне кажется, что некоторые начальники цехов, упоенные успехами работы в целом комбината по обеспечению Красной Армии боеприпасами и успехами Красной Армии на фронтах Отечественной войны, совсем забросили заниматься вопросами быта рабочих, не прислушиваются и не решают вопросы, связанные с их работой, не оказывают необходимой материальной помощи остро нуждающимся рабочим. Я думаю, что настало время, когда можно потребовать от начальников цехов тт. Зильберга, Семаева, Рафаловича, Яковлева, Золотарева, Бовтручука и некоторых других ответственности за такое положение с текучестью рабочей силы. Пусть эти начальники цехов сегодня скажут, почему у них такая большая текучесть рабочей силы, составляющая более 100 % к вновь принятым рабочим в 1944 году. В подтверждение мною вышесказанного, бездушного и преступного отношения к разрешению насущных вопросов со стороны отдельных начальников цехов, могу привести такие факты. Вот, работница цеха № 18 поступила на комбинат 18 февраля 1944 г. из Сиблага, проработав два месяца, обувь износила. С 18 апреля из-за отсутствия обуви не работала по 28 апреля 1944 г. Вместо того, чтобы ей оказать необходимую помощь, обуть ее и привести в завод на работу, ее начальник лишил хлебной карточки — она была вынуждена в чужой обуви собирать по полю гнилую картошку и питаться. Или вот, работница цеха № 9 т. Константинова 4 июня 1944 г. получила из больницы похоронную. Обратилась к начальнику цеха и его помощнику насчет отпуска — они даже с ней не разговаривали. Она была вынуждена уехать самовольно, 12 июня 1944 г. она возвратилась, а на нее дело оформили в суд, как на дезертира. А сколько у нас, товарищи, таких рабочих, которые ведут бродячий образ жизни вследствие того, что у них украли хлебные карточки, нет жилья, — не один десяток, и это все проходит на глазах у начальников цехов, их помощников, но мер они к этому достаточных не принимают. У нас очень часто начальники цехов, как тт. Семаев, Яковлев, да и некоторые другие, в оправдание своей плохой работы с кадрами, вместо того чтобы помочь руководству комбината и партийной организации вскрыть истинные причины текучести рабочей силы, в своих выступлениях неправильно информируют о том, что оставляют производство исключительно инвалиды Отечественной войны, которые неправильно направляются в цеха на непосильную работу для них. ... Всегда ссылаются на то, что уходят исключительно только рабочие, которые пришли на завод и отработали 5-10 дней и дезертируют. Это далеко не так, на самом деле уходят рабочие и которые уже на заводе проработали 6 месяцев, год, два, три и более 3 лет. Конкретными фактами о неудовлетворительном обслуживании рабочих и жилищно-бытовых условиях являются: по кварталу 125, домоуправления 18, барак 1-1. Проживают рабочие цеха № 27. Крыша барака протекает во время дождей, внутренняя штукатурка обвалилась, постельные принадлежности находятся в грязном состоянии, много матрацев изношенных, с перетертой набивкой. Вещи находятся под кроватями и в тамбуре, откуда в ночь с 18 на 19 мая сего года были похищены вещи некоторых рабочих. В деревянных кроватях обнаружена масса клопов. По кварталу 125, д/у 18, барак 15 — недостатки аналогичные. По кварталу 145, д/у 18, барак 2-34. Бараки 145 квартала каркасно-засыпные. В этих бараках, кроме грязных матрацев, никакой постельной принадлежности нет. Отсутствует питьевая вода, топливо, печи неисправны, имеется много клопов, и борьбы с ними никакой не ведется. По кварталу 128, д/у 18, землянка 17. Бывают частые перебои с кипятком, так как неисправный куб и рабочие вынуждены возле землянки сами кипятить себе воду в котелках. Постельная принадлежность не дезинфицируется ... По 24 д/упр., барак 6-8/34. Некоторые рабочие, не имея постельного белья, вынуждены спать в грязных, засаленных, порой в стеженых брюках. Рабочий цеха № 1 Авдеев (34-й барак) за 2,5 года работы в цехе ни разу не получал нательного белья. Около месяца тому назад была организована прачечная, которая из-за отсутствия мыла и дров работает нерегулярно, отмечен ряд случаев кражи белья рабочих в прачечных. Во всех бараках имеется много клопов, не дающих возможности нормально отдыхать, мер борьбы с клопами проводится недостаточно. В бараках совершенно недостаточно скамеек и табуреток, а также и электрических лампочек. В бараках 6 и 8 часто происходит хищение вещей друг у друга. К ремонту указанных трех бараков для зимнего периода еще не приступали. Торговый отдел УРСа, практиковавший в течение января, февраля и марта месяцев продажу товаров по общежитиям из лотков, с апреля месяца прекратил. Отоваривание карточек солью, мылом, спичками — почти не производится. Рабочий-одиночка вынужден все покупать с рынка, тогда как на складах УРСа имеется соль, мыло, спички и другие товары ежедневного обихода. Работники УРСа, начальник отдела общественного питания т. Панфилова и начальник торгового отдела т. Заспицкий не борются за улучшение снабжения рабочих товарами первой необходимости, в результате чего они вынуждены все эти товары, как соль, спички, мыло, покупать на рынке у спекулянтов. Плохо у нас обстоит дело и с выполнением постановлений СНК Союза ССР по части оформления материалов в суд на дезертиров. Согласно директивных указаний мы дела должны оформлять на 3-й день, а мы с вами затягиваем 10, 15, 30 дней и больше. Из всех переданных дел прокурору за 1944 год — 1 449 дел, в срок оформлено только 144 дела, остальные с опозданием на 5 дней - 230 дел, десять дней - 476 дел и от 15 дней и больше месяца - 579 дел.</w:t>
      </w:r>
    </w:p>
    <w:p w14:paraId="0A1C5DD9"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Пом. директора ордена Ленина комбината № 179 по Н/У Бычков</w:t>
      </w:r>
    </w:p>
    <w:p w14:paraId="7D48F1A5"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ГАНО. Ф. П-4. On. 8. Д. 491. Л. 59-67. Подлинник. Подпись-автограф Бычкова. Экземпляр, правленный автором (12194).</w:t>
      </w:r>
    </w:p>
    <w:p w14:paraId="726B4066" w14:textId="77777777" w:rsidR="000340E9" w:rsidRPr="007224C3" w:rsidRDefault="000340E9" w:rsidP="007224C3">
      <w:pPr>
        <w:spacing w:after="0" w:line="240" w:lineRule="auto"/>
        <w:jc w:val="both"/>
        <w:rPr>
          <w:rFonts w:ascii="Times New Roman" w:hAnsi="Times New Roman"/>
          <w:color w:val="000000" w:themeColor="text1"/>
          <w:sz w:val="16"/>
          <w:szCs w:val="16"/>
        </w:rPr>
      </w:pPr>
    </w:p>
    <w:p w14:paraId="179273D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июня 1944 вышло Постановление ГКО № 6054 Об обеспечении электроэнергией предприятий Грозненского района. РГАНИР, Фонд ГКО, д. 264, лл. 74 (11012).</w:t>
      </w:r>
    </w:p>
    <w:p w14:paraId="68725FB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6CE9ED7"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июня 1944 вышло Постановление ГКО № 6055 О мероприятиях по подготовке командных кадров речного флота. (7241, 75-79).</w:t>
      </w:r>
    </w:p>
    <w:p w14:paraId="3FB049CA"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90BA04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июня 1944 вышло Распоряжение ГКО № 6056. О поставках металла для производства боеприпасов, танков и вооружения в июне 1944 г. РГАНИР, Фонд ГКО, д. 264, лл. 80-83,84-96 (11012).</w:t>
      </w:r>
    </w:p>
    <w:p w14:paraId="7E0F973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729A66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июня 1944 вышло Распоряжение ГКО № 6070. О направлении на Кировский завод НКТП в Челябинске 3250 рабочих из военнообязанных, освобождаемых заключенных, выпускников РУ, а также выделении отечественных и импортных станков. РГАНИР, Фонд ГКО, д. 265, лл. 73-74,75-78 (11012).</w:t>
      </w:r>
    </w:p>
    <w:p w14:paraId="53E25DF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E3BB9A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июня 1944 года была подготовлена справка:</w:t>
      </w:r>
    </w:p>
    <w:p w14:paraId="444EFFB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восстановления подмосковного артиллерийского завода № 79 НКВ ………..(9283).</w:t>
      </w:r>
    </w:p>
    <w:p w14:paraId="25B599A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D37028"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Жизнь и внутренняя политика:</w:t>
      </w:r>
    </w:p>
    <w:p w14:paraId="448290F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001074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июня 1944 расчеты одной из батарей, находящихся в заречной части Горького, производя в нетрезвом состоянии «учебные стрельбы» из американских зениток, добились нескольких прямых попаданий в нижегородский Кремль, в результате чего получили повреждения здания школы радиоспециалистов (ныне здание Областного законодательного собрания) и обкома ВКП(б), погибли семь человек. Нерадивых стрелков отдали под трибунал (11742).</w:t>
      </w:r>
    </w:p>
    <w:p w14:paraId="228253E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D924C5"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31649CB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BDC0757" w14:textId="77777777" w:rsidR="009C5E2F" w:rsidRPr="007224C3" w:rsidRDefault="009C5E2F"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16 июня</w:t>
      </w:r>
      <w:r w:rsidRPr="007224C3">
        <w:rPr>
          <w:rFonts w:ascii="Times New Roman" w:hAnsi="Times New Roman"/>
          <w:color w:val="000000" w:themeColor="text1"/>
          <w:sz w:val="16"/>
          <w:szCs w:val="16"/>
        </w:rPr>
        <w:t xml:space="preserve"> в 1944 году оперативная сводка Совинформбюро:</w:t>
      </w:r>
    </w:p>
    <w:p w14:paraId="43129B07" w14:textId="77777777" w:rsidR="009C5E2F" w:rsidRPr="007224C3" w:rsidRDefault="009C5E2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16 июня на Карельском перешейке наши войска, продолжая развивать наступление, с боями заняли более 100 населённых пунктов, в том числе Юккола, Иорола, Мастерярви, Пийспала, Путрола, Лейслиля, Усикирско, Харью, Лоунатйоки, Хетселя, Лийкола, Большие и Малые Киркиамяки, Большое Кайдалово, Алиска, Корле, Хатаккала, Иоентаус, Саройнен, Таппари и железнодорожные станции Каннельярви, Лоунатйоки, Мастерярви, Япиля.</w:t>
      </w:r>
    </w:p>
    <w:p w14:paraId="3BD2304A" w14:textId="77777777" w:rsidR="009C5E2F" w:rsidRPr="007224C3" w:rsidRDefault="009C5E2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 без перемен.</w:t>
      </w:r>
    </w:p>
    <w:p w14:paraId="09934B12" w14:textId="77777777" w:rsidR="009C5E2F" w:rsidRPr="007224C3" w:rsidRDefault="009C5E2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15 июня на всех фронтах в воздушных боях и огнём зенитной артиллерии сбито 18 самолётов противника.</w:t>
      </w:r>
    </w:p>
    <w:p w14:paraId="72B3B040" w14:textId="77777777" w:rsidR="009C5E2F" w:rsidRPr="007224C3" w:rsidRDefault="009C5E2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Карельском перешейке наши войска, прорвав вчера вторую полосу обороны финноз, продолжали наступление. Преодолевая сопротивление противника, наши части заняли более ста населённых пунктов. Многие из этих пунктов были превращены финнами в сильно укреплённые узлы обороны. Советские артиллеристы, поддерживая наступающую пехоту, мощным огнём разрушают оборонительные сооружения противника. Артиллерия Н-ского соединения за день подавила более 150 огневых точек. Финны, отступая под ударами советских войск, несут тяжёлые потери в людях и технике. Бойцы Н-ской части, разгромив вражеский опорный пункт, истребили 700 финских солдат и офицеров и захватили 2 танка, 40 орудий, 12 миномётов, несколько складов с боеприпасами и другие трофеи.</w:t>
      </w:r>
    </w:p>
    <w:p w14:paraId="727D88B9" w14:textId="77777777" w:rsidR="009C5E2F" w:rsidRPr="007224C3" w:rsidRDefault="009C5E2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Советские воины проявляют самоотверженность и героизм в борьбе с противником. Гвардии сержант Кайжанов под огнём финнов подполз к вражескому дзоту и гранатами подорвал его. В этот же день т. Кайжанов заменил выбывшего из строя командира взвода и, командуя взводом, успешно выполнил поставленную перед ним задачу. Сапёр-разведчик ефрейтор Никита Ефимов обнаружил в одной землянке трёх финских солдат, обезоружил их и захватил в плен. Сержанты Фирсов, Михайлов и рядовой Ковальчук внезапно напали на группу вражеских автоматчиков. Три советских разведчика уничтожили 15 финнов, а двух захватили в плен.</w:t>
      </w:r>
    </w:p>
    <w:p w14:paraId="54F31C9D" w14:textId="77777777" w:rsidR="009C5E2F" w:rsidRPr="007224C3" w:rsidRDefault="009C5E2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Юго-восточнее города Витебск активно действуют снайперы Н-ской части. Снайперы Петр Данилов и Сергей Тимофеев заняли позицию недалеко от участка, где немцы ночью строили укрепления. Рано утром, закончив работу, гитлеровцы стали по одному пробираться в блиндаж, расположенный за высотой. Пересекая лощину, они попали под огонь советских бойцов. Снайперы т.т. Данилов в Тимофеев в это утро уничтожили 10 немцев.</w:t>
      </w:r>
    </w:p>
    <w:p w14:paraId="0D9D932C" w14:textId="77777777" w:rsidR="009C5E2F" w:rsidRPr="007224C3" w:rsidRDefault="009C5E2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Красноармеец т. Буланов огнём из винтовки сбил немецкий самолёт «Хеншель-126».</w:t>
      </w:r>
    </w:p>
    <w:p w14:paraId="7123B42E" w14:textId="77777777" w:rsidR="009C5E2F" w:rsidRPr="007224C3" w:rsidRDefault="009C5E2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Два наших бронекатера под командованием лейтенанта Смирнова и лейтенанта Волкотруба, находясь в дозоре на Чудском озере, обнаружили четыре немецких катера. Советские моряки атаковали противника. Бронекатер лейтенанта Смирнова нанёс катеру противника таранный удар и потопил его. Другому немецкому катеру причинены серьёзные повреждения. Наши катера без потерь и повреждений вернулись на свою базу.</w:t>
      </w:r>
    </w:p>
    <w:p w14:paraId="01C44792" w14:textId="77777777" w:rsidR="009C5E2F" w:rsidRPr="007224C3" w:rsidRDefault="009C5E2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В Рижском заливе самолётом-торпедоносцем Балтийского флота потоплен немецкий транспорт водоизмещением в две тысячи тонн.</w:t>
      </w:r>
    </w:p>
    <w:p w14:paraId="61FA4D15" w14:textId="77777777" w:rsidR="009C5E2F" w:rsidRPr="007224C3" w:rsidRDefault="009C5E2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Несколько литовских партизанских отрядов за две недели пустили под откос 8 немецких эшелонов с войсками и вооружением. Кроме того, советские патриоты в боях с немцами истребили 160 вражеских солдат и офицеров. Партизанские отряды «Дайнавос партизанас» и имени Костаса Калинаускаса разгромили два немецких гарнизона и захватали трофеи.</w:t>
      </w:r>
    </w:p>
    <w:p w14:paraId="5A6BFC71" w14:textId="77777777" w:rsidR="009C5E2F" w:rsidRPr="007224C3" w:rsidRDefault="009C5E2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Взятые за последнее время в плен немецкие солдаты сообщают об упадке дисциплины в немецко-фашистской армии. Пленный солдат сапёрного батальона 206 немецкой пехотной дивизии Алберт Биниас рассказал: «Командир 3 батальона 301 полка Фехтнер выслал разведывательную группу и приказал ей захватить в плен русского наблюдателя и взорвать блиндаж. Два раза разведчики возвращались назад ни с чем. В третий раз они наткнулись на русское минное поле. Несколько человек было убито. Остальные побоялись идти дальше. Чтобы не навлечь на себя гнев начальства, разведчики сложили в кучу свои мины и подорвали их. Возвратившись в часть, они доложили, что блиндаж взорван, а русский наблюдатель, оказавший сопротивление, якобы убит. Командир полка наградил железными крестами II степени командира разведывательной группы унтер-офицера Шварца, ефрейтора Птака и старшего ефрейтора Дрейера. Вскоре, однако, обман был обнаружен, и унтер-офицера Шварца арестовали».</w:t>
      </w:r>
    </w:p>
    <w:p w14:paraId="7BC05569" w14:textId="77777777" w:rsidR="009C5E2F" w:rsidRPr="007224C3" w:rsidRDefault="009C5E2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Перебежчик из 23 танкового полка Карл Н. показал: «Прежде солдаты добровольно шли в разведку, а теперь таких охотников нет. Недавно за отказ идти в разведку были расстреляны солдаты 4 роты Георг Дан и Антон Гуммель».</w:t>
      </w:r>
    </w:p>
    <w:p w14:paraId="1C999F99" w14:textId="77777777" w:rsidR="009C5E2F" w:rsidRPr="007224C3" w:rsidRDefault="009C5E2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Пленный ефрейтор 6 роты 105 немецкого полка Вальтер Кальц сообщил: «Две группы солдат нашей роты получили приказ захватить пленных. Меня назначили в группу унтер-офицера Шафрада. На полдороге русские обстреляли нас, и мы вернулись назад. Командир роты пригрозил унтер-офицеру, что отдаст его под суд за трусость, если он в следующую ночь не захватит пленного. Вторая вылазка кончилась для нас ещё печальнее, чем первая. Унтер-офицер Шафрад подорвался на мине, обер-ефрейтор Венцель был убит, несколько солдат получило ранения, а солдат Крайз пропал бег вести. Когда мы вернулись, командир роты осыпал нас грубой бранью и заявил: «Пока вы не приведёте мне пленного, я вас буду каждый день гонять в разведку». В конце концов русские уничтожили всю нашу разведгруппу, а меня и моего товарища взяли в плен» (14924).</w:t>
      </w:r>
    </w:p>
    <w:p w14:paraId="4C8C6D33" w14:textId="77777777" w:rsidR="009C5E2F" w:rsidRPr="007224C3" w:rsidRDefault="009C5E2F" w:rsidP="007224C3">
      <w:pPr>
        <w:spacing w:after="0" w:line="240" w:lineRule="auto"/>
        <w:jc w:val="both"/>
        <w:rPr>
          <w:rFonts w:ascii="Times New Roman" w:hAnsi="Times New Roman"/>
          <w:color w:val="000000" w:themeColor="text1"/>
          <w:sz w:val="16"/>
          <w:szCs w:val="16"/>
        </w:rPr>
      </w:pPr>
    </w:p>
    <w:p w14:paraId="42461558" w14:textId="77777777" w:rsidR="00A3754D" w:rsidRPr="007224C3" w:rsidRDefault="00A3754D" w:rsidP="007224C3">
      <w:pPr>
        <w:pStyle w:val="ae"/>
        <w:spacing w:before="0" w:after="0"/>
        <w:jc w:val="both"/>
        <w:textAlignment w:val="baseline"/>
        <w:rPr>
          <w:color w:val="000000" w:themeColor="text1"/>
          <w:sz w:val="16"/>
          <w:szCs w:val="16"/>
        </w:rPr>
      </w:pPr>
      <w:r w:rsidRPr="007224C3">
        <w:rPr>
          <w:color w:val="000000" w:themeColor="text1"/>
          <w:sz w:val="16"/>
          <w:szCs w:val="16"/>
        </w:rPr>
        <w:t>16 июня 1944 г. советский самолет-разведчик в 22.00 в районе мыса Нордкин засек очередной крупный немецкий конвой. Ночь была белой, и уже в 1.40 17 июня поступило повторное донесение о его обнаружении. Сначала транспорты безуспешно атаковали подводные лодки М-200 и М-201, а потом за это неблагодарное дело принялась авиация.</w:t>
      </w:r>
    </w:p>
    <w:p w14:paraId="15ADA651" w14:textId="77777777" w:rsidR="00A3754D" w:rsidRPr="007224C3" w:rsidRDefault="00A3754D" w:rsidP="007224C3">
      <w:pPr>
        <w:pStyle w:val="ae"/>
        <w:spacing w:before="0" w:after="0"/>
        <w:jc w:val="both"/>
        <w:textAlignment w:val="baseline"/>
        <w:rPr>
          <w:color w:val="000000" w:themeColor="text1"/>
          <w:sz w:val="16"/>
          <w:szCs w:val="16"/>
        </w:rPr>
      </w:pPr>
      <w:r w:rsidRPr="007224C3">
        <w:rPr>
          <w:color w:val="000000" w:themeColor="text1"/>
          <w:sz w:val="16"/>
          <w:szCs w:val="16"/>
        </w:rPr>
        <w:t>Первыми в 8.54 на корабли сбросили 100-кг бомбы самолеты Р-40 из 27-го иап, потом — шестерка Ил-2 из 46-го шап. Затем в 9.04 южнее мыса Кибергнес появились еще шесть штурмовиков, а последняя атака «горбатых» на конвой была зафиксирована в 9.07. По возвращении на базу пилоты доложили о потопленном тральщике, но на самом деле все удары снова завершились ничем. Лишь торпедоносцам A-20J из 9-го гв. мтап удалось потопить транспорт «Дихси» тоннажем 1670 брт.]</w:t>
      </w:r>
    </w:p>
    <w:p w14:paraId="41D220A1" w14:textId="77777777" w:rsidR="00A3754D" w:rsidRPr="007224C3" w:rsidRDefault="00A3754D" w:rsidP="007224C3">
      <w:pPr>
        <w:pStyle w:val="ae"/>
        <w:spacing w:before="0" w:after="0"/>
        <w:jc w:val="both"/>
        <w:textAlignment w:val="baseline"/>
        <w:rPr>
          <w:color w:val="000000" w:themeColor="text1"/>
          <w:sz w:val="16"/>
          <w:szCs w:val="16"/>
        </w:rPr>
      </w:pPr>
      <w:r w:rsidRPr="007224C3">
        <w:rPr>
          <w:color w:val="000000" w:themeColor="text1"/>
          <w:sz w:val="16"/>
          <w:szCs w:val="16"/>
        </w:rPr>
        <w:t>Это была последняя крупная операция ВВС Северного флота с привлечением штурмовиков Ил-2. Таким образом, пилотам Илов и на Баренцевом море не удалось потопить ни одного более или менее крупного вражеского судна.</w:t>
      </w:r>
    </w:p>
    <w:p w14:paraId="353AAAF6" w14:textId="77777777" w:rsidR="00A3754D" w:rsidRPr="007224C3" w:rsidRDefault="00A3754D" w:rsidP="007224C3">
      <w:pPr>
        <w:pStyle w:val="ae"/>
        <w:spacing w:before="0" w:after="0"/>
        <w:jc w:val="both"/>
        <w:textAlignment w:val="baseline"/>
        <w:rPr>
          <w:color w:val="000000" w:themeColor="text1"/>
          <w:sz w:val="16"/>
          <w:szCs w:val="16"/>
        </w:rPr>
      </w:pPr>
      <w:r w:rsidRPr="007224C3">
        <w:rPr>
          <w:color w:val="000000" w:themeColor="text1"/>
          <w:sz w:val="16"/>
          <w:szCs w:val="16"/>
        </w:rPr>
        <w:t>Так в чем же были общие причины неэффективного использования Ил-2 против морских целей? Ведь корабли, действительно потопленные флотскими штурмовиками за все время войны, можно пересчитать по пальцам.</w:t>
      </w:r>
    </w:p>
    <w:p w14:paraId="26BD7D7B" w14:textId="77777777" w:rsidR="00A3754D" w:rsidRPr="007224C3" w:rsidRDefault="00A3754D" w:rsidP="007224C3">
      <w:pPr>
        <w:pStyle w:val="ae"/>
        <w:spacing w:before="0" w:after="0"/>
        <w:jc w:val="both"/>
        <w:textAlignment w:val="baseline"/>
        <w:rPr>
          <w:color w:val="000000" w:themeColor="text1"/>
          <w:sz w:val="16"/>
          <w:szCs w:val="16"/>
        </w:rPr>
      </w:pPr>
      <w:r w:rsidRPr="007224C3">
        <w:rPr>
          <w:color w:val="000000" w:themeColor="text1"/>
          <w:sz w:val="16"/>
          <w:szCs w:val="16"/>
        </w:rPr>
        <w:t>Главная из них проста и банальна. Штурмовик имел слишком маленькую бомбовую нагрузку. В лучшем случае самолет мог поднять 250-кг бомбу, которой возможно было потопить только сравнительно небольшое небронированное судно, да и то при большой удаче.</w:t>
      </w:r>
    </w:p>
    <w:p w14:paraId="4E83908E" w14:textId="77777777" w:rsidR="00A3754D" w:rsidRPr="007224C3" w:rsidRDefault="00A3754D" w:rsidP="007224C3">
      <w:pPr>
        <w:pStyle w:val="ae"/>
        <w:spacing w:before="0" w:after="0"/>
        <w:jc w:val="both"/>
        <w:textAlignment w:val="baseline"/>
        <w:rPr>
          <w:color w:val="000000" w:themeColor="text1"/>
          <w:sz w:val="16"/>
          <w:szCs w:val="16"/>
        </w:rPr>
      </w:pPr>
      <w:r w:rsidRPr="007224C3">
        <w:rPr>
          <w:color w:val="000000" w:themeColor="text1"/>
          <w:sz w:val="16"/>
          <w:szCs w:val="16"/>
        </w:rPr>
        <w:t>Во-вторых, как тоже уже было указано, «черная смерть» не могла пикировать под большими углами, что было необходимым условием для успешных атак таких точечных и движущихся целей, каковыми являлись корабли.</w:t>
      </w:r>
    </w:p>
    <w:p w14:paraId="284D6C42" w14:textId="77777777" w:rsidR="00A3754D" w:rsidRPr="007224C3" w:rsidRDefault="00A3754D" w:rsidP="007224C3">
      <w:pPr>
        <w:pStyle w:val="ae"/>
        <w:spacing w:before="0" w:after="0"/>
        <w:jc w:val="both"/>
        <w:textAlignment w:val="baseline"/>
        <w:rPr>
          <w:color w:val="000000" w:themeColor="text1"/>
          <w:sz w:val="16"/>
          <w:szCs w:val="16"/>
        </w:rPr>
      </w:pPr>
      <w:r w:rsidRPr="007224C3">
        <w:rPr>
          <w:color w:val="000000" w:themeColor="text1"/>
          <w:sz w:val="16"/>
          <w:szCs w:val="16"/>
        </w:rPr>
        <w:t>В-третьих, невозможность пикирования под большими углами, в свою очередь, приводила к тому, что при атаке конвоев с малой высоты и пологого пикирования штурмовики уже на подходе к цели попадали под сосредоточенный огонь корабельной зенитной артиллерии и несли большие потери.</w:t>
      </w:r>
    </w:p>
    <w:p w14:paraId="3D3EDD32" w14:textId="77777777" w:rsidR="00A3754D" w:rsidRPr="007224C3" w:rsidRDefault="00A3754D" w:rsidP="007224C3">
      <w:pPr>
        <w:pStyle w:val="ae"/>
        <w:spacing w:before="0" w:after="0"/>
        <w:jc w:val="both"/>
        <w:textAlignment w:val="baseline"/>
        <w:rPr>
          <w:color w:val="000000" w:themeColor="text1"/>
          <w:sz w:val="16"/>
          <w:szCs w:val="16"/>
        </w:rPr>
      </w:pPr>
      <w:r w:rsidRPr="007224C3">
        <w:rPr>
          <w:color w:val="000000" w:themeColor="text1"/>
          <w:sz w:val="16"/>
          <w:szCs w:val="16"/>
        </w:rPr>
        <w:t>В-четвертых, Ил-2 из-за недостаточного радиуса действий с полной боевой нагрузкой могли атаковать цели фактически только в прибрежных водах. Для поиска же кораблей в открытом море им требовался дополнительный запас топлива. Лишь в сентябре 1944 г. в 11-й шад ВВС КБФ впервые начали использовать дополнительные топливные баки, подвешивавшиеся под центропланом.</w:t>
      </w:r>
    </w:p>
    <w:p w14:paraId="2FB88A00" w14:textId="77777777" w:rsidR="00A3754D" w:rsidRPr="007224C3" w:rsidRDefault="00A3754D" w:rsidP="007224C3">
      <w:pPr>
        <w:pStyle w:val="ae"/>
        <w:spacing w:before="0" w:after="0"/>
        <w:jc w:val="both"/>
        <w:textAlignment w:val="baseline"/>
        <w:rPr>
          <w:color w:val="000000" w:themeColor="text1"/>
          <w:sz w:val="16"/>
          <w:szCs w:val="16"/>
        </w:rPr>
      </w:pPr>
      <w:r w:rsidRPr="007224C3">
        <w:rPr>
          <w:color w:val="000000" w:themeColor="text1"/>
          <w:sz w:val="16"/>
          <w:szCs w:val="16"/>
        </w:rPr>
        <w:t>Ну и, в-пятых, на общей результативности воздушных атак Ил-2 сказывалась элементарная нехватка целей, так как военный и транспортный флот Третьего рейха использовался в весьма ограниченных масштабах в войне против СССР (19522).</w:t>
      </w:r>
    </w:p>
    <w:p w14:paraId="5592FCBD" w14:textId="77777777" w:rsidR="00A3754D" w:rsidRPr="007224C3" w:rsidRDefault="00A3754D" w:rsidP="007224C3">
      <w:pPr>
        <w:pStyle w:val="ae"/>
        <w:spacing w:before="0" w:after="0"/>
        <w:jc w:val="both"/>
        <w:textAlignment w:val="baseline"/>
        <w:rPr>
          <w:b/>
          <w:bCs/>
          <w:color w:val="000000" w:themeColor="text1"/>
          <w:sz w:val="16"/>
          <w:szCs w:val="16"/>
        </w:rPr>
      </w:pPr>
    </w:p>
    <w:p w14:paraId="3CDA0D81" w14:textId="77777777" w:rsidR="00AC5DD0" w:rsidRPr="007224C3" w:rsidRDefault="00AC5DD0"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16 июня 1944 г. советский самолет</w:t>
      </w:r>
      <w:r w:rsidRPr="007224C3">
        <w:rPr>
          <w:rFonts w:ascii="Times New Roman" w:hAnsi="Times New Roman"/>
          <w:color w:val="0070C0"/>
          <w:sz w:val="16"/>
          <w:szCs w:val="16"/>
        </w:rPr>
        <w:noBreakHyphen/>
        <w:t>разведчик в 22.00 в районе мыса Нордкин засек очередной крупный немецкий конвой. Ночь была белой, и уже в 1.40 17 июня поступило повторное донесение о его обнаружении. Сначала транспорты безуспешно атаковали подводные лодки М</w:t>
      </w:r>
      <w:r w:rsidRPr="007224C3">
        <w:rPr>
          <w:rFonts w:ascii="Times New Roman" w:hAnsi="Times New Roman"/>
          <w:color w:val="0070C0"/>
          <w:sz w:val="16"/>
          <w:szCs w:val="16"/>
        </w:rPr>
        <w:noBreakHyphen/>
        <w:t>200 и М</w:t>
      </w:r>
      <w:r w:rsidRPr="007224C3">
        <w:rPr>
          <w:rFonts w:ascii="Times New Roman" w:hAnsi="Times New Roman"/>
          <w:color w:val="0070C0"/>
          <w:sz w:val="16"/>
          <w:szCs w:val="16"/>
        </w:rPr>
        <w:noBreakHyphen/>
        <w:t>201, а потом за это неблагодарное дело принялась авиация.</w:t>
      </w:r>
    </w:p>
    <w:p w14:paraId="1444ECCD" w14:textId="77777777" w:rsidR="00AC5DD0" w:rsidRPr="007224C3" w:rsidRDefault="00AC5DD0"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Первыми в 8.54 на корабли сбросили 100</w:t>
      </w:r>
      <w:r w:rsidRPr="007224C3">
        <w:rPr>
          <w:rFonts w:ascii="Times New Roman" w:hAnsi="Times New Roman"/>
          <w:color w:val="0070C0"/>
          <w:sz w:val="16"/>
          <w:szCs w:val="16"/>
        </w:rPr>
        <w:noBreakHyphen/>
        <w:t>кг бомбы самолеты Р</w:t>
      </w:r>
      <w:r w:rsidRPr="007224C3">
        <w:rPr>
          <w:rFonts w:ascii="Times New Roman" w:hAnsi="Times New Roman"/>
          <w:color w:val="0070C0"/>
          <w:sz w:val="16"/>
          <w:szCs w:val="16"/>
        </w:rPr>
        <w:noBreakHyphen/>
        <w:t>40 из 27</w:t>
      </w:r>
      <w:r w:rsidRPr="007224C3">
        <w:rPr>
          <w:rFonts w:ascii="Times New Roman" w:hAnsi="Times New Roman"/>
          <w:color w:val="0070C0"/>
          <w:sz w:val="16"/>
          <w:szCs w:val="16"/>
        </w:rPr>
        <w:noBreakHyphen/>
        <w:t>го иап, потом – шестерка Ил</w:t>
      </w:r>
      <w:r w:rsidRPr="007224C3">
        <w:rPr>
          <w:rFonts w:ascii="Times New Roman" w:hAnsi="Times New Roman"/>
          <w:color w:val="0070C0"/>
          <w:sz w:val="16"/>
          <w:szCs w:val="16"/>
        </w:rPr>
        <w:noBreakHyphen/>
        <w:t>2 из 46</w:t>
      </w:r>
      <w:r w:rsidRPr="007224C3">
        <w:rPr>
          <w:rFonts w:ascii="Times New Roman" w:hAnsi="Times New Roman"/>
          <w:color w:val="0070C0"/>
          <w:sz w:val="16"/>
          <w:szCs w:val="16"/>
        </w:rPr>
        <w:noBreakHyphen/>
        <w:t>го шап. Затем в 9.04 южнее мыса Кибергнес появились еще шесть штурмовиков, а последняя атака «горбатых» на конвой была зафиксирована в 9.07. По возвращении на базу пилоты доложили о потопленном тральщике, но на самом деле все удары снова завершились ничем. Лишь торпедоносцам A</w:t>
      </w:r>
      <w:r w:rsidRPr="007224C3">
        <w:rPr>
          <w:rFonts w:ascii="Times New Roman" w:hAnsi="Times New Roman"/>
          <w:color w:val="0070C0"/>
          <w:sz w:val="16"/>
          <w:szCs w:val="16"/>
        </w:rPr>
        <w:noBreakHyphen/>
        <w:t>20J из 9</w:t>
      </w:r>
      <w:r w:rsidRPr="007224C3">
        <w:rPr>
          <w:rFonts w:ascii="Times New Roman" w:hAnsi="Times New Roman"/>
          <w:color w:val="0070C0"/>
          <w:sz w:val="16"/>
          <w:szCs w:val="16"/>
        </w:rPr>
        <w:noBreakHyphen/>
        <w:t>го гв. мтап удалось потопить транспорт «Дихси» тоннажем 1670 брт (23199).</w:t>
      </w:r>
    </w:p>
    <w:p w14:paraId="333D2D45" w14:textId="77777777" w:rsidR="00AC5DD0" w:rsidRPr="007224C3" w:rsidRDefault="00AC5DD0" w:rsidP="007224C3">
      <w:pPr>
        <w:spacing w:after="0" w:line="240" w:lineRule="auto"/>
        <w:jc w:val="both"/>
        <w:rPr>
          <w:rFonts w:ascii="Times New Roman" w:hAnsi="Times New Roman"/>
          <w:color w:val="0070C0"/>
          <w:sz w:val="16"/>
          <w:szCs w:val="16"/>
        </w:rPr>
      </w:pPr>
    </w:p>
    <w:p w14:paraId="02F6B73B" w14:textId="77777777" w:rsidR="009C5E2F" w:rsidRPr="007224C3" w:rsidRDefault="009C5E2F"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16 июня</w:t>
      </w:r>
      <w:r w:rsidRPr="007224C3">
        <w:rPr>
          <w:rFonts w:ascii="Times New Roman" w:hAnsi="Times New Roman"/>
          <w:color w:val="000000" w:themeColor="text1"/>
          <w:sz w:val="16"/>
          <w:szCs w:val="16"/>
        </w:rPr>
        <w:t xml:space="preserve"> в 1944 году самая крупная победа советской морской авиации во второй мировой войне. Потоплен крейсер ПВО «Ниобе» (бывший «Gelderland») (14924).</w:t>
      </w:r>
    </w:p>
    <w:p w14:paraId="4DDFFA5F" w14:textId="77777777" w:rsidR="009C5E2F" w:rsidRPr="007224C3" w:rsidRDefault="009C5E2F" w:rsidP="007224C3">
      <w:pPr>
        <w:spacing w:after="0" w:line="240" w:lineRule="auto"/>
        <w:jc w:val="both"/>
        <w:rPr>
          <w:rFonts w:ascii="Times New Roman" w:hAnsi="Times New Roman"/>
          <w:color w:val="000000" w:themeColor="text1"/>
          <w:sz w:val="16"/>
          <w:szCs w:val="16"/>
        </w:rPr>
      </w:pPr>
    </w:p>
    <w:p w14:paraId="3D59D415" w14:textId="77777777" w:rsidR="00AC5DD0" w:rsidRPr="007224C3" w:rsidRDefault="00AC5DD0"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16 июля 1944 у финского побережья с южного направления на малой высоте появились 23 Ил</w:t>
      </w:r>
      <w:r w:rsidRPr="007224C3">
        <w:rPr>
          <w:rFonts w:ascii="Times New Roman" w:hAnsi="Times New Roman"/>
          <w:color w:val="0070C0"/>
          <w:sz w:val="16"/>
          <w:szCs w:val="16"/>
        </w:rPr>
        <w:noBreakHyphen/>
        <w:t>2 из 47</w:t>
      </w:r>
      <w:r w:rsidRPr="007224C3">
        <w:rPr>
          <w:rFonts w:ascii="Times New Roman" w:hAnsi="Times New Roman"/>
          <w:color w:val="0070C0"/>
          <w:sz w:val="16"/>
          <w:szCs w:val="16"/>
        </w:rPr>
        <w:noBreakHyphen/>
        <w:t>го пшап во главе с командиром полка подполковником Степаняном, которые летели в сопровождении такого же числа истребителей. Пройдя западнее острова Кутсало, самолеты направились прямо на гавань Котки. За несколько километров до цели «горбатые» разделились на четыре группы, которые в период с 16.52 до 17.00 нанесли удары по зенитным батареям на территории порта. Всего ими было сброшено около тысячи осколочных бомб всех калибров и выпущено 92 «эрэса». При этом одна бомба АО</w:t>
      </w:r>
      <w:r w:rsidRPr="007224C3">
        <w:rPr>
          <w:rFonts w:ascii="Times New Roman" w:hAnsi="Times New Roman"/>
          <w:color w:val="0070C0"/>
          <w:sz w:val="16"/>
          <w:szCs w:val="16"/>
        </w:rPr>
        <w:noBreakHyphen/>
        <w:t>10, видимо, случайно попала в «Ниобе», выведя из строя 105</w:t>
      </w:r>
      <w:r w:rsidRPr="007224C3">
        <w:rPr>
          <w:rFonts w:ascii="Times New Roman" w:hAnsi="Times New Roman"/>
          <w:color w:val="0070C0"/>
          <w:sz w:val="16"/>
          <w:szCs w:val="16"/>
        </w:rPr>
        <w:noBreakHyphen/>
        <w:t>мм орудие.</w:t>
      </w:r>
    </w:p>
    <w:p w14:paraId="3A2A05F1" w14:textId="77777777" w:rsidR="00AC5DD0" w:rsidRPr="007224C3" w:rsidRDefault="00AC5DD0"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Затем корабль атаковали 28 Пе</w:t>
      </w:r>
      <w:r w:rsidRPr="007224C3">
        <w:rPr>
          <w:rFonts w:ascii="Times New Roman" w:hAnsi="Times New Roman"/>
          <w:color w:val="0070C0"/>
          <w:sz w:val="16"/>
          <w:szCs w:val="16"/>
        </w:rPr>
        <w:noBreakHyphen/>
        <w:t>2 из 12</w:t>
      </w:r>
      <w:r w:rsidRPr="007224C3">
        <w:rPr>
          <w:rFonts w:ascii="Times New Roman" w:hAnsi="Times New Roman"/>
          <w:color w:val="0070C0"/>
          <w:sz w:val="16"/>
          <w:szCs w:val="16"/>
        </w:rPr>
        <w:noBreakHyphen/>
        <w:t>го гв. пбап во главе все с тем же подполковником В.И. Раковым. Им удалось добиться четырех прямых попаданий, а еще 12 бомб разорвались в непосредственной близости у бортов. Потом на цель на высоте около тридцати метров вышли четыре A</w:t>
      </w:r>
      <w:r w:rsidRPr="007224C3">
        <w:rPr>
          <w:rFonts w:ascii="Times New Roman" w:hAnsi="Times New Roman"/>
          <w:color w:val="0070C0"/>
          <w:sz w:val="16"/>
          <w:szCs w:val="16"/>
        </w:rPr>
        <w:noBreakHyphen/>
        <w:t>20J, которые вел заместитель командира 51</w:t>
      </w:r>
      <w:r w:rsidRPr="007224C3">
        <w:rPr>
          <w:rFonts w:ascii="Times New Roman" w:hAnsi="Times New Roman"/>
          <w:color w:val="0070C0"/>
          <w:sz w:val="16"/>
          <w:szCs w:val="16"/>
        </w:rPr>
        <w:noBreakHyphen/>
        <w:t>го мтап подполковник И.П. Пономаренко. Обе 1000</w:t>
      </w:r>
      <w:r w:rsidRPr="007224C3">
        <w:rPr>
          <w:rFonts w:ascii="Times New Roman" w:hAnsi="Times New Roman"/>
          <w:color w:val="0070C0"/>
          <w:sz w:val="16"/>
          <w:szCs w:val="16"/>
        </w:rPr>
        <w:noBreakHyphen/>
        <w:t>кг бомбы, сброшенные первой парой, поразили корабль, который после этого начал заваливаться на борт.</w:t>
      </w:r>
    </w:p>
    <w:p w14:paraId="7932BFFF" w14:textId="77777777" w:rsidR="00AC5DD0" w:rsidRPr="007224C3" w:rsidRDefault="00AC5DD0"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 18.08 по московскому времени командир «Ниобе» отдал команде приказ покинуть корабль, и через полтора часа тот затонул. На поверхности остались только часть надстроек и дымовая труба. В ходе бомбежки погибли 63 моряка, еще 83 получили ранения. Собственные потери нападавших составили четыре самолета, в том числе один Ил</w:t>
      </w:r>
      <w:r w:rsidRPr="007224C3">
        <w:rPr>
          <w:rFonts w:ascii="Times New Roman" w:hAnsi="Times New Roman"/>
          <w:color w:val="0070C0"/>
          <w:sz w:val="16"/>
          <w:szCs w:val="16"/>
        </w:rPr>
        <w:noBreakHyphen/>
        <w:t>2, один Пе</w:t>
      </w:r>
      <w:r w:rsidRPr="007224C3">
        <w:rPr>
          <w:rFonts w:ascii="Times New Roman" w:hAnsi="Times New Roman"/>
          <w:color w:val="0070C0"/>
          <w:sz w:val="16"/>
          <w:szCs w:val="16"/>
        </w:rPr>
        <w:noBreakHyphen/>
        <w:t>2 и два А</w:t>
      </w:r>
      <w:r w:rsidRPr="007224C3">
        <w:rPr>
          <w:rFonts w:ascii="Times New Roman" w:hAnsi="Times New Roman"/>
          <w:color w:val="0070C0"/>
          <w:sz w:val="16"/>
          <w:szCs w:val="16"/>
        </w:rPr>
        <w:noBreakHyphen/>
        <w:t>20.</w:t>
      </w:r>
    </w:p>
    <w:p w14:paraId="2AFC847C" w14:textId="77777777" w:rsidR="00AC5DD0" w:rsidRPr="007224C3" w:rsidRDefault="00AC5DD0"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 Москву же ушел победный рапорт о потоплении доселе неуловимого «Вяйнемяйнена». Четырем участникам операции «Ураган» было присвоено звание Героев Советского Союза, а подполковник Раков получил за нее вторую «Золотую Звезду». Однако после того как в сентябре 1944 г. между Финляндией и СССР было подписано перемирие, неожиданно выяснилось, что злополучный броненосец цел и невредим и благополучно стоит в шхерах под надежной маскировкой. Это лишний раз наглядно показывает, как обстояло дело с авиаразведкой в советской авиации.</w:t>
      </w:r>
    </w:p>
    <w:p w14:paraId="347363C9" w14:textId="77777777" w:rsidR="00AC5DD0" w:rsidRPr="007224C3" w:rsidRDefault="00AC5DD0"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Тогда же выяснилось, что в порту Котки была потоплена немецкая плавучая зенитная батарея «Ниобе». О «потоплении» флагмана финского флота мгновенно позабыли, а целью операции «Ураган» было отныне приказано считать именно уничтожение плавбатареи, которую при этом для большей солидности стали именовать крейсером ПВО. Это старое корыто, спущенное на воду еще в XIX веке, стало самым крупным боевым кораблем кригсмарине, потопленным советской авиацией за все годы войны. Но и тут вклад «черных смертей» оказался минимальным (23199).</w:t>
      </w:r>
    </w:p>
    <w:p w14:paraId="49C7EE96" w14:textId="77777777" w:rsidR="00AC5DD0" w:rsidRPr="007224C3" w:rsidRDefault="00AC5DD0" w:rsidP="007224C3">
      <w:pPr>
        <w:spacing w:after="0" w:line="240" w:lineRule="auto"/>
        <w:jc w:val="both"/>
        <w:rPr>
          <w:rFonts w:ascii="Times New Roman" w:hAnsi="Times New Roman"/>
          <w:color w:val="0070C0"/>
          <w:sz w:val="16"/>
          <w:szCs w:val="16"/>
        </w:rPr>
      </w:pPr>
    </w:p>
    <w:p w14:paraId="2494E13D" w14:textId="77777777" w:rsidR="009C5E2F" w:rsidRPr="007224C3" w:rsidRDefault="009C5E2F"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16 июня</w:t>
      </w:r>
      <w:r w:rsidRPr="007224C3">
        <w:rPr>
          <w:rFonts w:ascii="Times New Roman" w:hAnsi="Times New Roman"/>
          <w:color w:val="000000" w:themeColor="text1"/>
          <w:sz w:val="16"/>
          <w:szCs w:val="16"/>
        </w:rPr>
        <w:t xml:space="preserve"> в 1944 году на Карельском перешейке наши войска с боями заняли более 100 населенных пунктов, в том числе Юккола, Иорола, Мастерярви, Пийспала, Путрола, Лейслиля, Усикиркко, Харью, Лоунатйоки, Хетселя, Лийкола, Большие и Малые Киркиамяки, Большое Кайдалово, Алиска, Корле, Хатаккала, Иоентаус, Саройнен, Таппари и железнодорожные станции Каннельярви, Лоунатйоки, Мастерярви, Япиля. На других участках фронта — без перемен (14924).</w:t>
      </w:r>
    </w:p>
    <w:p w14:paraId="7E9199A7" w14:textId="77777777" w:rsidR="009C5E2F" w:rsidRPr="007224C3" w:rsidRDefault="009C5E2F" w:rsidP="007224C3">
      <w:pPr>
        <w:spacing w:after="0" w:line="240" w:lineRule="auto"/>
        <w:jc w:val="both"/>
        <w:rPr>
          <w:rFonts w:ascii="Times New Roman" w:hAnsi="Times New Roman"/>
          <w:color w:val="000000" w:themeColor="text1"/>
          <w:sz w:val="16"/>
          <w:szCs w:val="16"/>
        </w:rPr>
      </w:pPr>
    </w:p>
    <w:p w14:paraId="32C09A3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июня 1944 Ворожейкин докладывал И.В.С, что 15 июня было сбито два Лайтнинга, которые опробовали челночный маршрут, заблудились и были повреждены - один истребителями, а второй - зенитками. Сели на вынужденную, а 16 и 17 перелетели в Полтаву (1364,41).</w:t>
      </w:r>
    </w:p>
    <w:p w14:paraId="21E94E9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79583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16 июня 1944 в Советский Союз прилетели 24 л/лодки PBI-1 Номад из 25. Один "Номад", подполковника Н.В.Романова, на борту которого находились Васильев и флаг-штурман Мосцепан, пропал без вести. До 28 июня советские и английские самолеты искали эту машину, но безуспешно. После гибели Васильева группу перегонщиков возглавил полковник М.Н. Чибисов, а непосредственно перегонкой руководил Н.Ф.Пискарев (3457,127).</w:t>
      </w:r>
    </w:p>
    <w:p w14:paraId="603B046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2416D7" w14:textId="77777777" w:rsidR="00262E37" w:rsidRPr="007224C3" w:rsidRDefault="00262E37"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 xml:space="preserve">16 июня 1944 года 260-й гвардейский тяжелый танковый полк получил 6 «Черчиллей», которые использовал в ходе боев за Выборг. В сентябре 1944 года 82-й танковый полк, имевший в своем составе 10 «Черчиллей» и 11 КВ-1с, участвовал в освобождении Таллина. К 1 января 1945 года в войсках еще имелось 63 танка </w:t>
      </w:r>
      <w:r w:rsidRPr="007224C3">
        <w:rPr>
          <w:rFonts w:ascii="Times New Roman" w:eastAsia="Times New Roman" w:hAnsi="Times New Roman"/>
          <w:color w:val="000000" w:themeColor="text1"/>
          <w:sz w:val="16"/>
          <w:szCs w:val="16"/>
          <w:lang w:eastAsia="ru-RU"/>
        </w:rPr>
        <w:lastRenderedPageBreak/>
        <w:t>данного типа, из которых 9 было потеряно в течение оставшихся месяцев войны. К 1 июня в Красной армии оставалось 54 «Черчилля», но в действующих частях их было всего 3 штуки (17691).</w:t>
      </w:r>
    </w:p>
    <w:p w14:paraId="2A8D1DE2" w14:textId="77777777" w:rsidR="00262E37" w:rsidRPr="007224C3" w:rsidRDefault="00262E37" w:rsidP="007224C3">
      <w:pPr>
        <w:spacing w:after="0" w:line="240" w:lineRule="auto"/>
        <w:jc w:val="both"/>
        <w:rPr>
          <w:rFonts w:ascii="Times New Roman" w:eastAsia="Times New Roman" w:hAnsi="Times New Roman"/>
          <w:color w:val="000000" w:themeColor="text1"/>
          <w:sz w:val="16"/>
          <w:szCs w:val="16"/>
          <w:lang w:eastAsia="ru-RU"/>
        </w:rPr>
      </w:pPr>
    </w:p>
    <w:p w14:paraId="02C03089"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2212AB8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14BE10B" w14:textId="77777777" w:rsidR="009C5E2F" w:rsidRPr="007224C3" w:rsidRDefault="009C5E2F"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16 июня</w:t>
      </w:r>
      <w:r w:rsidRPr="007224C3">
        <w:rPr>
          <w:rFonts w:ascii="Times New Roman" w:hAnsi="Times New Roman"/>
          <w:color w:val="000000" w:themeColor="text1"/>
          <w:sz w:val="16"/>
          <w:szCs w:val="16"/>
        </w:rPr>
        <w:t xml:space="preserve"> в 1944 году на Лондон был выпущен первый самолет-снаряд «Фау-1» (14924).</w:t>
      </w:r>
    </w:p>
    <w:p w14:paraId="170542E8" w14:textId="77777777" w:rsidR="009C5E2F" w:rsidRPr="007224C3" w:rsidRDefault="009C5E2F" w:rsidP="007224C3">
      <w:pPr>
        <w:spacing w:after="0" w:line="240" w:lineRule="auto"/>
        <w:jc w:val="both"/>
        <w:rPr>
          <w:rFonts w:ascii="Times New Roman" w:hAnsi="Times New Roman"/>
          <w:color w:val="000000" w:themeColor="text1"/>
          <w:sz w:val="16"/>
          <w:szCs w:val="16"/>
        </w:rPr>
      </w:pPr>
    </w:p>
    <w:p w14:paraId="3FE484F0" w14:textId="77777777" w:rsidR="00C26F43" w:rsidRPr="007224C3" w:rsidRDefault="00C26F43"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июня 1944 года 294 самолета- снаряда вылетели в Лондон. Эффект применения этих ракет, тут же на</w:t>
      </w:r>
      <w:r w:rsidRPr="007224C3">
        <w:rPr>
          <w:rFonts w:ascii="Times New Roman" w:hAnsi="Times New Roman"/>
          <w:color w:val="000000" w:themeColor="text1"/>
          <w:sz w:val="16"/>
          <w:szCs w:val="16"/>
        </w:rPr>
        <w:softHyphen/>
        <w:t>званных “Фау-1”, был невелик: они редко попадали в цель, их было лег</w:t>
      </w:r>
      <w:r w:rsidRPr="007224C3">
        <w:rPr>
          <w:rFonts w:ascii="Times New Roman" w:hAnsi="Times New Roman"/>
          <w:color w:val="000000" w:themeColor="text1"/>
          <w:sz w:val="16"/>
          <w:szCs w:val="16"/>
        </w:rPr>
        <w:softHyphen/>
        <w:t>ко сбить. Сильнее оказалось психо</w:t>
      </w:r>
      <w:r w:rsidRPr="007224C3">
        <w:rPr>
          <w:rFonts w:ascii="Times New Roman" w:hAnsi="Times New Roman"/>
          <w:color w:val="000000" w:themeColor="text1"/>
          <w:sz w:val="16"/>
          <w:szCs w:val="16"/>
        </w:rPr>
        <w:softHyphen/>
        <w:t>логическое воздействие: ведь теперь о бомбардировке нельзя было узнать заранее, и от нее не спасали ни об</w:t>
      </w:r>
      <w:r w:rsidRPr="007224C3">
        <w:rPr>
          <w:rFonts w:ascii="Times New Roman" w:hAnsi="Times New Roman"/>
          <w:color w:val="000000" w:themeColor="text1"/>
          <w:sz w:val="16"/>
          <w:szCs w:val="16"/>
        </w:rPr>
        <w:softHyphen/>
        <w:t>лачность, ни маскировка. Скоро, од</w:t>
      </w:r>
      <w:r w:rsidRPr="007224C3">
        <w:rPr>
          <w:rFonts w:ascii="Times New Roman" w:hAnsi="Times New Roman"/>
          <w:color w:val="000000" w:themeColor="text1"/>
          <w:sz w:val="16"/>
          <w:szCs w:val="16"/>
        </w:rPr>
        <w:softHyphen/>
        <w:t>нако, английские ученые научились при помощи радиоволн выводить из строя пилотный механизм ракет и за</w:t>
      </w:r>
      <w:r w:rsidRPr="007224C3">
        <w:rPr>
          <w:rFonts w:ascii="Times New Roman" w:hAnsi="Times New Roman"/>
          <w:color w:val="000000" w:themeColor="text1"/>
          <w:sz w:val="16"/>
          <w:szCs w:val="16"/>
        </w:rPr>
        <w:softHyphen/>
        <w:t>ставлять их падать в море (19630).</w:t>
      </w:r>
    </w:p>
    <w:p w14:paraId="3CCCD00B" w14:textId="77777777" w:rsidR="00C26F43" w:rsidRPr="007224C3" w:rsidRDefault="00C26F43" w:rsidP="007224C3">
      <w:pPr>
        <w:spacing w:after="0" w:line="240" w:lineRule="auto"/>
        <w:jc w:val="both"/>
        <w:rPr>
          <w:rFonts w:ascii="Times New Roman" w:hAnsi="Times New Roman"/>
          <w:color w:val="000000" w:themeColor="text1"/>
          <w:sz w:val="16"/>
          <w:szCs w:val="16"/>
        </w:rPr>
      </w:pPr>
    </w:p>
    <w:p w14:paraId="1855FC35" w14:textId="77777777" w:rsidR="009C5E2F" w:rsidRPr="007224C3" w:rsidRDefault="009C5E2F"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June 16th, 1944: Another 244 V-1s are launched against London. In Italy, the British Eighth Army (Alexander) approaches Perugia (3819).</w:t>
      </w:r>
    </w:p>
    <w:p w14:paraId="35B9384C" w14:textId="77777777" w:rsidR="009C5E2F" w:rsidRPr="007224C3" w:rsidRDefault="009C5E2F"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DB19A8C" w14:textId="77777777" w:rsidR="009C5E2F" w:rsidRPr="007224C3" w:rsidRDefault="009C5E2F"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июня 1944 по Лондону было выпущено 244 Фау-1 (3819).</w:t>
      </w:r>
    </w:p>
    <w:p w14:paraId="4182A5A8" w14:textId="77777777" w:rsidR="009C5E2F" w:rsidRPr="007224C3" w:rsidRDefault="009C5E2F"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0B6B63" w14:textId="77777777" w:rsidR="00FB3A90" w:rsidRPr="007224C3" w:rsidRDefault="00FB3A90"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16 июня 1944 незавершенный итальянский авианосец Aquila поврежден в результате авианалета союзников на Геную (20373).</w:t>
      </w:r>
    </w:p>
    <w:p w14:paraId="6E239253" w14:textId="77777777" w:rsidR="00FB3A90" w:rsidRPr="007224C3" w:rsidRDefault="00FB3A90" w:rsidP="007224C3">
      <w:pPr>
        <w:spacing w:after="0" w:line="240" w:lineRule="auto"/>
        <w:jc w:val="both"/>
        <w:rPr>
          <w:rFonts w:ascii="Times New Roman" w:hAnsi="Times New Roman"/>
          <w:color w:val="0070C0"/>
          <w:sz w:val="16"/>
          <w:szCs w:val="16"/>
        </w:rPr>
      </w:pPr>
    </w:p>
    <w:p w14:paraId="65B1606D" w14:textId="77777777" w:rsidR="00FB3A90" w:rsidRPr="007224C3" w:rsidRDefault="00FB3A90"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16 июня 1944 ас Люфтваффе Гауптман Йозеф «Зепп» Wurmheller утверждает о последних трех победах, повысив их число до в общей сложности 102 воздушных побед. Он становится 80-м пилотом Люфтваффе, одержавшим 100 побед (20373).</w:t>
      </w:r>
    </w:p>
    <w:p w14:paraId="60CD338D" w14:textId="77777777" w:rsidR="00FB3A90" w:rsidRPr="007224C3" w:rsidRDefault="00FB3A90" w:rsidP="007224C3">
      <w:pPr>
        <w:spacing w:after="0" w:line="240" w:lineRule="auto"/>
        <w:jc w:val="both"/>
        <w:rPr>
          <w:rFonts w:ascii="Times New Roman" w:hAnsi="Times New Roman"/>
          <w:color w:val="0070C0"/>
          <w:sz w:val="16"/>
          <w:szCs w:val="16"/>
        </w:rPr>
      </w:pPr>
    </w:p>
    <w:p w14:paraId="3B3F8F06" w14:textId="77777777" w:rsidR="00FB3A90" w:rsidRPr="007224C3" w:rsidRDefault="00FB3A90"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16–17 июня (ночь) 1944 405 британских бомбардировщиков начали кампанию бомбардировочного командования Королевских ВВС против немецких пусковых площадок летающих бомб Фау-1 с успешных атак на четыре объекта в Па-де-Кале, не потеряв ни одного самолета. Еще 321 бомбардировщики продолжают бомбардировку кампанию против немецкой нефтяной промышленности, нападая на завод синтетического горючего в Оберхаузене, Германия, но сбрасывая бомбы не точно и потеряв 21 бомбардировщик, сбитый немецкими ночных истребителями и 10 от зенитного огня (20373).</w:t>
      </w:r>
    </w:p>
    <w:p w14:paraId="105EBB1D" w14:textId="77777777" w:rsidR="00FB3A90" w:rsidRPr="007224C3" w:rsidRDefault="00FB3A90" w:rsidP="007224C3">
      <w:pPr>
        <w:spacing w:after="0" w:line="240" w:lineRule="auto"/>
        <w:jc w:val="both"/>
        <w:rPr>
          <w:rFonts w:ascii="Times New Roman" w:hAnsi="Times New Roman"/>
          <w:color w:val="0070C0"/>
          <w:sz w:val="16"/>
          <w:szCs w:val="16"/>
        </w:rPr>
      </w:pPr>
    </w:p>
    <w:p w14:paraId="4C19EBBB" w14:textId="77777777" w:rsidR="00C26F43" w:rsidRPr="007224C3" w:rsidRDefault="00C26F43" w:rsidP="007224C3">
      <w:pPr>
        <w:pStyle w:val="115"/>
        <w:shd w:val="clear" w:color="auto" w:fill="auto"/>
        <w:spacing w:after="0" w:line="240" w:lineRule="auto"/>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16 июня 1944 в венгерское воздушное пространство вторглись 658 бомбардировщиков В-24 и В-17 под прикрытием 290 истребите</w:t>
      </w:r>
      <w:r w:rsidRPr="007224C3">
        <w:rPr>
          <w:rFonts w:ascii="Times New Roman" w:hAnsi="Times New Roman" w:cs="Times New Roman"/>
          <w:color w:val="000000" w:themeColor="text1"/>
          <w:sz w:val="16"/>
          <w:szCs w:val="16"/>
        </w:rPr>
        <w:softHyphen/>
        <w:t>лей. Их цели находились в Австрии и в Чехословакии, но наме</w:t>
      </w:r>
      <w:r w:rsidRPr="007224C3">
        <w:rPr>
          <w:rFonts w:ascii="Times New Roman" w:hAnsi="Times New Roman" w:cs="Times New Roman"/>
          <w:color w:val="000000" w:themeColor="text1"/>
          <w:sz w:val="16"/>
          <w:szCs w:val="16"/>
        </w:rPr>
        <w:softHyphen/>
        <w:t>рения янки не были известны венгерскому командованию.</w:t>
      </w:r>
    </w:p>
    <w:p w14:paraId="19754CA3" w14:textId="77777777" w:rsidR="00C26F43" w:rsidRPr="007224C3" w:rsidRDefault="00C26F43" w:rsidP="007224C3">
      <w:pPr>
        <w:pStyle w:val="115"/>
        <w:shd w:val="clear" w:color="auto" w:fill="auto"/>
        <w:spacing w:after="0" w:line="240" w:lineRule="auto"/>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 xml:space="preserve">В ходе воздушного боя венгерские и немецкие летчики сбили десять В-24, четыре Р-38, один Р-47 и один Р-51. В свою очередь венгры потеряли шесть </w:t>
      </w:r>
      <w:r w:rsidRPr="007224C3">
        <w:rPr>
          <w:rFonts w:ascii="Times New Roman" w:hAnsi="Times New Roman" w:cs="Times New Roman"/>
          <w:color w:val="000000" w:themeColor="text1"/>
          <w:sz w:val="16"/>
          <w:szCs w:val="16"/>
          <w:lang w:val="en-US"/>
        </w:rPr>
        <w:t>Bf</w:t>
      </w:r>
      <w:r w:rsidRPr="007224C3">
        <w:rPr>
          <w:rFonts w:ascii="Times New Roman" w:hAnsi="Times New Roman" w:cs="Times New Roman"/>
          <w:color w:val="000000" w:themeColor="text1"/>
          <w:sz w:val="16"/>
          <w:szCs w:val="16"/>
        </w:rPr>
        <w:t xml:space="preserve"> 109. Немецкие потери неизвестны (19083).</w:t>
      </w:r>
    </w:p>
    <w:p w14:paraId="4409CBAD" w14:textId="77777777" w:rsidR="00C26F43" w:rsidRPr="007224C3" w:rsidRDefault="00C26F43" w:rsidP="007224C3">
      <w:pPr>
        <w:pStyle w:val="115"/>
        <w:shd w:val="clear" w:color="auto" w:fill="auto"/>
        <w:spacing w:after="0" w:line="240" w:lineRule="auto"/>
        <w:jc w:val="both"/>
        <w:rPr>
          <w:rFonts w:ascii="Times New Roman" w:hAnsi="Times New Roman" w:cs="Times New Roman"/>
          <w:color w:val="000000" w:themeColor="text1"/>
          <w:sz w:val="16"/>
          <w:szCs w:val="16"/>
        </w:rPr>
      </w:pPr>
    </w:p>
    <w:p w14:paraId="46D78A1B" w14:textId="77777777" w:rsidR="00C26F43" w:rsidRPr="007224C3" w:rsidRDefault="00C26F43" w:rsidP="007224C3">
      <w:pPr>
        <w:pStyle w:val="115"/>
        <w:shd w:val="clear" w:color="auto" w:fill="auto"/>
        <w:tabs>
          <w:tab w:val="left" w:pos="5074"/>
        </w:tabs>
        <w:spacing w:after="0" w:line="240" w:lineRule="auto"/>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 xml:space="preserve">Утром 16 июня 1944 169 бомбардировщиков В-17 и 489 В-24 из - 15-й воздушной армии, сопровождаемые 290 истребителями, : пересекли венгерскую границу и приблизились к словацкой : границе. Им навстречу поднялись 80 истребителей, в том числе шесть </w:t>
      </w:r>
      <w:r w:rsidRPr="007224C3">
        <w:rPr>
          <w:rFonts w:ascii="Times New Roman" w:hAnsi="Times New Roman" w:cs="Times New Roman"/>
          <w:color w:val="000000" w:themeColor="text1"/>
          <w:sz w:val="16"/>
          <w:szCs w:val="16"/>
          <w:lang w:val="en-US"/>
        </w:rPr>
        <w:t>Bf</w:t>
      </w:r>
      <w:r w:rsidRPr="007224C3">
        <w:rPr>
          <w:rFonts w:ascii="Times New Roman" w:hAnsi="Times New Roman" w:cs="Times New Roman"/>
          <w:color w:val="000000" w:themeColor="text1"/>
          <w:sz w:val="16"/>
          <w:szCs w:val="16"/>
        </w:rPr>
        <w:t xml:space="preserve"> 109</w:t>
      </w:r>
      <w:r w:rsidRPr="007224C3">
        <w:rPr>
          <w:rFonts w:ascii="Times New Roman" w:hAnsi="Times New Roman" w:cs="Times New Roman"/>
          <w:color w:val="000000" w:themeColor="text1"/>
          <w:sz w:val="16"/>
          <w:szCs w:val="16"/>
          <w:lang w:val="en-US"/>
        </w:rPr>
        <w:t>G</w:t>
      </w:r>
      <w:r w:rsidRPr="007224C3">
        <w:rPr>
          <w:rFonts w:ascii="Times New Roman" w:hAnsi="Times New Roman" w:cs="Times New Roman"/>
          <w:color w:val="000000" w:themeColor="text1"/>
          <w:sz w:val="16"/>
          <w:szCs w:val="16"/>
        </w:rPr>
        <w:t xml:space="preserve"> из 13-й словацкой эскадрильи, вылетевших в 9 ч. 20 мин. с аэродрома Пьештяни, 28 </w:t>
      </w:r>
      <w:r w:rsidRPr="007224C3">
        <w:rPr>
          <w:rFonts w:ascii="Times New Roman" w:hAnsi="Times New Roman" w:cs="Times New Roman"/>
          <w:color w:val="000000" w:themeColor="text1"/>
          <w:sz w:val="16"/>
          <w:szCs w:val="16"/>
          <w:lang w:val="en-US"/>
        </w:rPr>
        <w:t>Bf</w:t>
      </w:r>
      <w:r w:rsidRPr="007224C3">
        <w:rPr>
          <w:rFonts w:ascii="Times New Roman" w:hAnsi="Times New Roman" w:cs="Times New Roman"/>
          <w:color w:val="000000" w:themeColor="text1"/>
          <w:sz w:val="16"/>
          <w:szCs w:val="16"/>
        </w:rPr>
        <w:t xml:space="preserve"> 109</w:t>
      </w:r>
      <w:r w:rsidRPr="007224C3">
        <w:rPr>
          <w:rFonts w:ascii="Times New Roman" w:hAnsi="Times New Roman" w:cs="Times New Roman"/>
          <w:color w:val="000000" w:themeColor="text1"/>
          <w:sz w:val="16"/>
          <w:szCs w:val="16"/>
          <w:lang w:val="en-US"/>
        </w:rPr>
        <w:t>G</w:t>
      </w:r>
      <w:r w:rsidRPr="007224C3">
        <w:rPr>
          <w:rFonts w:ascii="Times New Roman" w:hAnsi="Times New Roman" w:cs="Times New Roman"/>
          <w:color w:val="000000" w:themeColor="text1"/>
          <w:sz w:val="16"/>
          <w:szCs w:val="16"/>
        </w:rPr>
        <w:t xml:space="preserve"> из венгерской 101-й эскадрильи с аэродрома Веспрем и 46 немецких </w:t>
      </w:r>
      <w:r w:rsidRPr="007224C3">
        <w:rPr>
          <w:rFonts w:ascii="Times New Roman" w:hAnsi="Times New Roman" w:cs="Times New Roman"/>
          <w:color w:val="000000" w:themeColor="text1"/>
          <w:sz w:val="16"/>
          <w:szCs w:val="16"/>
          <w:lang w:val="en-US"/>
        </w:rPr>
        <w:t>Bf</w:t>
      </w:r>
      <w:r w:rsidRPr="007224C3">
        <w:rPr>
          <w:rFonts w:ascii="Times New Roman" w:hAnsi="Times New Roman" w:cs="Times New Roman"/>
          <w:color w:val="000000" w:themeColor="text1"/>
          <w:sz w:val="16"/>
          <w:szCs w:val="16"/>
        </w:rPr>
        <w:t xml:space="preserve"> 109</w:t>
      </w:r>
      <w:r w:rsidRPr="007224C3">
        <w:rPr>
          <w:rFonts w:ascii="Times New Roman" w:hAnsi="Times New Roman" w:cs="Times New Roman"/>
          <w:color w:val="000000" w:themeColor="text1"/>
          <w:sz w:val="16"/>
          <w:szCs w:val="16"/>
          <w:lang w:val="en-US"/>
        </w:rPr>
        <w:t>G</w:t>
      </w:r>
      <w:r w:rsidRPr="007224C3">
        <w:rPr>
          <w:rFonts w:ascii="Times New Roman" w:hAnsi="Times New Roman" w:cs="Times New Roman"/>
          <w:color w:val="000000" w:themeColor="text1"/>
          <w:sz w:val="16"/>
          <w:szCs w:val="16"/>
        </w:rPr>
        <w:t xml:space="preserve">, </w:t>
      </w:r>
      <w:r w:rsidRPr="007224C3">
        <w:rPr>
          <w:rFonts w:ascii="Times New Roman" w:hAnsi="Times New Roman" w:cs="Times New Roman"/>
          <w:color w:val="000000" w:themeColor="text1"/>
          <w:sz w:val="16"/>
          <w:szCs w:val="16"/>
          <w:lang w:val="en-US"/>
        </w:rPr>
        <w:t>Fw</w:t>
      </w:r>
      <w:r w:rsidRPr="007224C3">
        <w:rPr>
          <w:rFonts w:ascii="Times New Roman" w:hAnsi="Times New Roman" w:cs="Times New Roman"/>
          <w:color w:val="000000" w:themeColor="text1"/>
          <w:sz w:val="16"/>
          <w:szCs w:val="16"/>
        </w:rPr>
        <w:t xml:space="preserve"> 190А и </w:t>
      </w:r>
      <w:r w:rsidRPr="007224C3">
        <w:rPr>
          <w:rFonts w:ascii="Times New Roman" w:hAnsi="Times New Roman" w:cs="Times New Roman"/>
          <w:color w:val="000000" w:themeColor="text1"/>
          <w:sz w:val="16"/>
          <w:szCs w:val="16"/>
          <w:lang w:val="en-US"/>
        </w:rPr>
        <w:t>Me</w:t>
      </w:r>
      <w:r w:rsidRPr="007224C3">
        <w:rPr>
          <w:rFonts w:ascii="Times New Roman" w:hAnsi="Times New Roman" w:cs="Times New Roman"/>
          <w:color w:val="000000" w:themeColor="text1"/>
          <w:sz w:val="16"/>
          <w:szCs w:val="16"/>
        </w:rPr>
        <w:t xml:space="preserve"> 410, поднявшихся с аэродрома в районе Вены. Между озером Балатон и Братиславой завязался жестокий воздушный бой, в ходе которого венгерские и немецкие истребители сбили 14 «Либерейторов», шесть Р-38, один Р-47 и один Р-51, а сами потеряли 38 самолетов (19083).</w:t>
      </w:r>
    </w:p>
    <w:p w14:paraId="55DA1AFA" w14:textId="77777777" w:rsidR="00C26F43" w:rsidRPr="007224C3" w:rsidRDefault="00C26F43" w:rsidP="007224C3">
      <w:pPr>
        <w:pStyle w:val="115"/>
        <w:shd w:val="clear" w:color="auto" w:fill="auto"/>
        <w:spacing w:after="0" w:line="240" w:lineRule="auto"/>
        <w:jc w:val="both"/>
        <w:rPr>
          <w:rFonts w:ascii="Times New Roman" w:hAnsi="Times New Roman" w:cs="Times New Roman"/>
          <w:color w:val="000000" w:themeColor="text1"/>
          <w:sz w:val="16"/>
          <w:szCs w:val="16"/>
        </w:rPr>
      </w:pPr>
    </w:p>
    <w:p w14:paraId="2B49DB9D"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июня 1944 английский король Георг высадился на берегу Нормандии (4962).</w:t>
      </w:r>
    </w:p>
    <w:p w14:paraId="4B7AD400"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223E628"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июня 1944 во время обстрела союзниками в Нормандии погиб командир дивизии СС “Гитлер-югенд” (4962).</w:t>
      </w:r>
    </w:p>
    <w:p w14:paraId="7641646B"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5B65F8C"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 июня 1944 у Лиона гестаповцами за участие в Сопротивлении убит французский историк Марк Блох (4962).</w:t>
      </w:r>
    </w:p>
    <w:p w14:paraId="007C4F50"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E099688" w14:textId="77777777" w:rsidR="00FB3A90" w:rsidRPr="007224C3" w:rsidRDefault="00FB3A90"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16 июня 1944 54 самолета оперативных групп 58.1 и 58.4 нанесли удар по Иводзиме, заявив, что 63 японских самолета были уничтожены на земле, а один самолет США был потерян. Самолеты другой оперативной группы 58 наносят удары по японским аэродромам на Гуаме и Тиниане, пытаясь нейтрализовать их, но безуспешно из-за сильной противовоздушной обороны (20373).</w:t>
      </w:r>
    </w:p>
    <w:p w14:paraId="20E0A46B" w14:textId="77777777" w:rsidR="00FB3A90" w:rsidRPr="007224C3" w:rsidRDefault="00FB3A90" w:rsidP="007224C3">
      <w:pPr>
        <w:spacing w:after="0" w:line="240" w:lineRule="auto"/>
        <w:jc w:val="both"/>
        <w:rPr>
          <w:rFonts w:ascii="Times New Roman" w:hAnsi="Times New Roman"/>
          <w:color w:val="0070C0"/>
          <w:sz w:val="16"/>
          <w:szCs w:val="16"/>
        </w:rPr>
      </w:pPr>
    </w:p>
    <w:p w14:paraId="3BFB4E2F"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32F33BA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844BED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июня 1944 Нач. ТО НКАП, нач. ВИАМ Туманов и Зам. нач. ВИАМ, проф. д.т.н. Кишкин писали письмо N 502с Зам. наркома Дементьеву по вопросу о недостаточной живучести броневых корпусов Ил-2:</w:t>
      </w:r>
    </w:p>
    <w:p w14:paraId="405A7FB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"Заместитель ГИ ВВС КА г-л тов. Лапин в своем письме от 18 мая N 921607 поставил вопрос о недостаточной живучести броневых корпусов самолета Ил-2. Это заключение опирается на испытания, проведенные в НИИ ВВС КА обстрелом снарядами 15-20 мм одного из бронекорпусов Ил-2.</w:t>
      </w:r>
    </w:p>
    <w:p w14:paraId="6AE29D7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своих выводах НИИ ВВС КА оценил живучесть брони Ил-2 как недостаточную и предложил повысить вязкость брони. Сделанные НИИ ВВС КА на основании единичного испытания выводы находятся в противоречии с результатами обследования работы бронекорпусов в боевых условиях.</w:t>
      </w:r>
    </w:p>
    <w:p w14:paraId="12BFE67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текущем году и-м ВВС КА Фридманом совместно со ст. и завода 125 Немчинским, на основе изучения 120 аварийных машин и личного ознакомления с работой Ил-2 в действующей армии, составлен, утвержденный г-м Алексеевым "Отчет о командировке в 17 ВА оперирующую на 3 УФ"</w:t>
      </w:r>
    </w:p>
    <w:p w14:paraId="66F8AC4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пар. 2 раздела 3 отчета указывается: "Не отмечено ни одного случая хрупкого разрушения брони в виде осколков, трещин и т.п. в том числе от попадания снарядов". Хотя, как заявляется в отчете, "последние составляли подавляющее большинство" - в выводах отчета говорится: "живучесть брони в отношении хрупких разрушений, трещин, проломов и отколов и т.п. - хорошая". Отсюда следует, что испытания, проведенные в НИИ ВВС КА, не могут считаться исчерпывающими. Заключение о живучести брони должно быть сделано не на основе искусственных условий испытания, а по материалам боевой работы самолетов. В противном случае имеется опасность, что предлагаемое НИИ ВВС КА снижение твердости вызовет ухудшение стойкости против меньших калибров.</w:t>
      </w:r>
    </w:p>
    <w:p w14:paraId="6CF7271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Вопрос о взаимодействии бронекорпуса Ил-2 с германскими снарядами калибра 20 мм ВИАМом изучается. Предварительные результаты показывают, что наиболее эффективным средством против снарядов МГ-151 калибра 20 мм является экранированная броня с гомогенным экраном, обеспечивающая как более высокую стойкость, так и лучшую живучесть.</w:t>
      </w:r>
    </w:p>
    <w:p w14:paraId="60A2A53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окончанию работ ее результаты ВИАМом будут Вам немедленно представлены." (1818,10).</w:t>
      </w:r>
    </w:p>
    <w:p w14:paraId="5AAA354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CAEB5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июня 1944 Зам. Нач. 12 ГУ НКАП Соколов писал письмо № Д-2/1581 Нач. Главстройстекло НКПСМ т. Емельянову</w:t>
      </w:r>
    </w:p>
    <w:p w14:paraId="59B4315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Копия: Нач. ПГУ НКХП т. Файнштейн:</w:t>
      </w:r>
    </w:p>
    <w:p w14:paraId="70D4C4C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соответствии с проектом постановления ГОКО прошу Ваших указаний директору Стеклозавода им. Горького об изготовлении в июне с.г. по заявке ПГУ НКХП стекол фонаря самолета Ил-10.</w:t>
      </w:r>
    </w:p>
    <w:p w14:paraId="2D8E8DD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Чертежи на изготовление стекла будут Вам переданы ПГУ НКХП, разработанные в соответствии с основными чертежами на стекла фонаря №№ Б0430-0, Б0431-0, Б0432-0, Б-044-0, Б-0441-0 и Б-0442-0.</w:t>
      </w:r>
    </w:p>
    <w:p w14:paraId="50E35E5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 принятых решениях прошу поставить в известность (19532,21).</w:t>
      </w:r>
    </w:p>
    <w:p w14:paraId="3DA64FF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965FF65" w14:textId="77777777" w:rsidR="00FB3A90" w:rsidRPr="007224C3" w:rsidRDefault="00FB3A90"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К 17 июня 1944 Су-6 с новым мотором АМ-42 зав. №4277 и крупнокалиберными пушками 11П, замененными пушками ВЯ (240 снарядов) с 9 июня было выполнено 6 полетов (3 ч 55 мин) по про</w:t>
      </w:r>
      <w:r w:rsidRPr="007224C3">
        <w:rPr>
          <w:rFonts w:ascii="Times New Roman" w:hAnsi="Times New Roman"/>
          <w:color w:val="0070C0"/>
          <w:sz w:val="16"/>
          <w:szCs w:val="16"/>
        </w:rPr>
        <w:softHyphen/>
        <w:t>грамме госиспытаний. Летали</w:t>
      </w:r>
      <w:r w:rsidRPr="007224C3">
        <w:rPr>
          <w:rStyle w:val="9pt80"/>
          <w:rFonts w:ascii="Times New Roman" w:hAnsi="Times New Roman" w:cs="Times New Roman"/>
          <w:i w:val="0"/>
          <w:iCs w:val="0"/>
          <w:color w:val="0070C0"/>
          <w:w w:val="100"/>
          <w:sz w:val="16"/>
          <w:szCs w:val="16"/>
        </w:rPr>
        <w:t xml:space="preserve"> «на про</w:t>
      </w:r>
      <w:r w:rsidRPr="007224C3">
        <w:rPr>
          <w:rStyle w:val="9pt80"/>
          <w:rFonts w:ascii="Times New Roman" w:hAnsi="Times New Roman" w:cs="Times New Roman"/>
          <w:i w:val="0"/>
          <w:iCs w:val="0"/>
          <w:color w:val="0070C0"/>
          <w:w w:val="100"/>
          <w:sz w:val="16"/>
          <w:szCs w:val="16"/>
        </w:rPr>
        <w:softHyphen/>
        <w:t>верку работы винтомоторной группы, ки</w:t>
      </w:r>
      <w:r w:rsidRPr="007224C3">
        <w:rPr>
          <w:rStyle w:val="9pt80"/>
          <w:rFonts w:ascii="Times New Roman" w:hAnsi="Times New Roman" w:cs="Times New Roman"/>
          <w:i w:val="0"/>
          <w:iCs w:val="0"/>
          <w:color w:val="0070C0"/>
          <w:w w:val="100"/>
          <w:sz w:val="16"/>
          <w:szCs w:val="16"/>
        </w:rPr>
        <w:softHyphen/>
        <w:t>лометраж, подбор границы высотности и определение дальности радиосвязи».</w:t>
      </w:r>
      <w:r w:rsidRPr="007224C3">
        <w:rPr>
          <w:rFonts w:ascii="Times New Roman" w:hAnsi="Times New Roman"/>
          <w:color w:val="0070C0"/>
          <w:sz w:val="16"/>
          <w:szCs w:val="16"/>
        </w:rPr>
        <w:t xml:space="preserve"> Сум</w:t>
      </w:r>
      <w:r w:rsidRPr="007224C3">
        <w:rPr>
          <w:rFonts w:ascii="Times New Roman" w:hAnsi="Times New Roman"/>
          <w:color w:val="0070C0"/>
          <w:sz w:val="16"/>
          <w:szCs w:val="16"/>
        </w:rPr>
        <w:softHyphen/>
        <w:t>марная наработка мотора составила 18 ч 10 мин, из них 12 ч 30 мин - на стенде на заводе №24.</w:t>
      </w:r>
    </w:p>
    <w:p w14:paraId="6903ADEA" w14:textId="77777777" w:rsidR="00FB3A90" w:rsidRPr="007224C3" w:rsidRDefault="00FB3A90"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Мотор «новой редакции» работал так же неважно, как и «старый» мотор зав. №4252. Имело место «</w:t>
      </w:r>
      <w:r w:rsidRPr="007224C3">
        <w:rPr>
          <w:rStyle w:val="9pt80"/>
          <w:rFonts w:ascii="Times New Roman" w:hAnsi="Times New Roman" w:cs="Times New Roman"/>
          <w:i w:val="0"/>
          <w:iCs w:val="0"/>
          <w:color w:val="0070C0"/>
          <w:w w:val="100"/>
          <w:sz w:val="16"/>
          <w:szCs w:val="16"/>
        </w:rPr>
        <w:t>выбрасывание боль</w:t>
      </w:r>
      <w:r w:rsidRPr="007224C3">
        <w:rPr>
          <w:rStyle w:val="9pt80"/>
          <w:rFonts w:ascii="Times New Roman" w:hAnsi="Times New Roman" w:cs="Times New Roman"/>
          <w:i w:val="0"/>
          <w:iCs w:val="0"/>
          <w:color w:val="0070C0"/>
          <w:w w:val="100"/>
          <w:sz w:val="16"/>
          <w:szCs w:val="16"/>
        </w:rPr>
        <w:softHyphen/>
        <w:t>шого количества масла»</w:t>
      </w:r>
      <w:r w:rsidRPr="007224C3">
        <w:rPr>
          <w:rFonts w:ascii="Times New Roman" w:hAnsi="Times New Roman"/>
          <w:color w:val="0070C0"/>
          <w:sz w:val="16"/>
          <w:szCs w:val="16"/>
        </w:rPr>
        <w:t xml:space="preserve"> из соединения колонки приводов передних агрегатов с картером мотора, из-под фланцев водомасляного агрегата и других соедине</w:t>
      </w:r>
      <w:r w:rsidRPr="007224C3">
        <w:rPr>
          <w:rFonts w:ascii="Times New Roman" w:hAnsi="Times New Roman"/>
          <w:color w:val="0070C0"/>
          <w:sz w:val="16"/>
          <w:szCs w:val="16"/>
        </w:rPr>
        <w:softHyphen/>
        <w:t>ний мотора, а также ненормальная работа бензопомпы БНК-10</w:t>
      </w:r>
      <w:r w:rsidRPr="007224C3">
        <w:rPr>
          <w:rStyle w:val="9pt80"/>
          <w:rFonts w:ascii="Times New Roman" w:hAnsi="Times New Roman" w:cs="Times New Roman"/>
          <w:i w:val="0"/>
          <w:iCs w:val="0"/>
          <w:color w:val="0070C0"/>
          <w:w w:val="100"/>
          <w:sz w:val="16"/>
          <w:szCs w:val="16"/>
        </w:rPr>
        <w:t xml:space="preserve"> («падение давления бензина при полном открытии дроссель</w:t>
      </w:r>
      <w:r w:rsidRPr="007224C3">
        <w:rPr>
          <w:rStyle w:val="9pt80"/>
          <w:rFonts w:ascii="Times New Roman" w:hAnsi="Times New Roman" w:cs="Times New Roman"/>
          <w:i w:val="0"/>
          <w:iCs w:val="0"/>
          <w:color w:val="0070C0"/>
          <w:w w:val="100"/>
          <w:sz w:val="16"/>
          <w:szCs w:val="16"/>
        </w:rPr>
        <w:softHyphen/>
        <w:t>ной заслонки карбюраторов»),</w:t>
      </w:r>
    </w:p>
    <w:p w14:paraId="4D33DD3F" w14:textId="5AC35D98" w:rsidR="00FB3A90" w:rsidRPr="007224C3" w:rsidRDefault="00FB3A90"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12 и 17 июня вновь обнаружился опасный дефект - загорание топливной смеси во всасывающих патрубках. Только теперь в полете. В обоих случаях по</w:t>
      </w:r>
      <w:r w:rsidRPr="007224C3">
        <w:rPr>
          <w:rFonts w:ascii="Times New Roman" w:hAnsi="Times New Roman"/>
          <w:color w:val="0070C0"/>
          <w:sz w:val="16"/>
          <w:szCs w:val="16"/>
        </w:rPr>
        <w:softHyphen/>
        <w:t>жар не привел к аварии или катастрофе только потому, что произошел на плани</w:t>
      </w:r>
      <w:r w:rsidRPr="007224C3">
        <w:rPr>
          <w:rFonts w:ascii="Times New Roman" w:hAnsi="Times New Roman"/>
          <w:color w:val="0070C0"/>
          <w:sz w:val="16"/>
          <w:szCs w:val="16"/>
        </w:rPr>
        <w:softHyphen/>
        <w:t>ровании, при заходе самолета на посадку.</w:t>
      </w:r>
    </w:p>
    <w:p w14:paraId="59BBA1A9" w14:textId="77777777" w:rsidR="00FB3A90" w:rsidRPr="007224C3" w:rsidRDefault="00FB3A90" w:rsidP="007224C3">
      <w:pPr>
        <w:pStyle w:val="121"/>
        <w:shd w:val="clear" w:color="auto" w:fill="auto"/>
        <w:spacing w:line="240" w:lineRule="auto"/>
        <w:jc w:val="both"/>
        <w:rPr>
          <w:rFonts w:ascii="Times New Roman" w:hAnsi="Times New Roman" w:cs="Times New Roman"/>
          <w:b w:val="0"/>
          <w:bCs w:val="0"/>
          <w:color w:val="0070C0"/>
          <w:sz w:val="16"/>
          <w:szCs w:val="16"/>
        </w:rPr>
      </w:pPr>
      <w:r w:rsidRPr="007224C3">
        <w:rPr>
          <w:rStyle w:val="128pt100"/>
          <w:rFonts w:ascii="Times New Roman" w:hAnsi="Times New Roman" w:cs="Times New Roman"/>
          <w:b w:val="0"/>
          <w:bCs w:val="0"/>
          <w:i w:val="0"/>
          <w:iCs w:val="0"/>
          <w:color w:val="0070C0"/>
        </w:rPr>
        <w:t>Как докладывал начальник ГК НИИ ВВС генерал-лейтенант Лосюков:</w:t>
      </w:r>
      <w:r w:rsidRPr="007224C3">
        <w:rPr>
          <w:rFonts w:ascii="Times New Roman" w:hAnsi="Times New Roman" w:cs="Times New Roman"/>
          <w:b w:val="0"/>
          <w:bCs w:val="0"/>
          <w:color w:val="0070C0"/>
          <w:sz w:val="16"/>
          <w:szCs w:val="16"/>
        </w:rPr>
        <w:t xml:space="preserve"> «При</w:t>
      </w:r>
      <w:r w:rsidRPr="007224C3">
        <w:rPr>
          <w:rFonts w:ascii="Times New Roman" w:hAnsi="Times New Roman" w:cs="Times New Roman"/>
          <w:b w:val="0"/>
          <w:bCs w:val="0"/>
          <w:color w:val="0070C0"/>
          <w:sz w:val="16"/>
          <w:szCs w:val="16"/>
        </w:rPr>
        <w:softHyphen/>
        <w:t>чиной пожара во всасывающих патруб</w:t>
      </w:r>
      <w:r w:rsidRPr="007224C3">
        <w:rPr>
          <w:rFonts w:ascii="Times New Roman" w:hAnsi="Times New Roman" w:cs="Times New Roman"/>
          <w:b w:val="0"/>
          <w:bCs w:val="0"/>
          <w:color w:val="0070C0"/>
          <w:sz w:val="16"/>
          <w:szCs w:val="16"/>
        </w:rPr>
        <w:softHyphen/>
        <w:t>ках мотора АМ-42 является наличие в них сборников конденсата, в которых при обратной вспышке в карбюраторе воспла</w:t>
      </w:r>
      <w:r w:rsidRPr="007224C3">
        <w:rPr>
          <w:rFonts w:ascii="Times New Roman" w:hAnsi="Times New Roman" w:cs="Times New Roman"/>
          <w:b w:val="0"/>
          <w:bCs w:val="0"/>
          <w:color w:val="0070C0"/>
          <w:sz w:val="16"/>
          <w:szCs w:val="16"/>
        </w:rPr>
        <w:softHyphen/>
        <w:t>меняется конденсат. При воспламенении смеси во всасывающем патрубке, он нака</w:t>
      </w:r>
      <w:r w:rsidRPr="007224C3">
        <w:rPr>
          <w:rFonts w:ascii="Times New Roman" w:hAnsi="Times New Roman" w:cs="Times New Roman"/>
          <w:b w:val="0"/>
          <w:bCs w:val="0"/>
          <w:color w:val="0070C0"/>
          <w:sz w:val="16"/>
          <w:szCs w:val="16"/>
        </w:rPr>
        <w:softHyphen/>
        <w:t>ляется до белого каления, вследствие чего обгорают проводники зажигания, что в свою очередь, может привести к отказу мотора или пожару самолета».</w:t>
      </w:r>
    </w:p>
    <w:p w14:paraId="0E35C031" w14:textId="77777777" w:rsidR="00FB3A90" w:rsidRPr="007224C3" w:rsidRDefault="00FB3A90"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lastRenderedPageBreak/>
        <w:t>Главный инженер ВВС КА генерал- полковник Репин запретил полеты на Су-6 с этим мотором. Быстро заменить мотор не удалось, так как</w:t>
      </w:r>
      <w:r w:rsidRPr="007224C3">
        <w:rPr>
          <w:rStyle w:val="9pt80"/>
          <w:rFonts w:ascii="Times New Roman" w:hAnsi="Times New Roman" w:cs="Times New Roman"/>
          <w:i w:val="0"/>
          <w:iCs w:val="0"/>
          <w:color w:val="0070C0"/>
          <w:w w:val="100"/>
          <w:sz w:val="16"/>
          <w:szCs w:val="16"/>
        </w:rPr>
        <w:t xml:space="preserve"> «завод №24 за</w:t>
      </w:r>
      <w:r w:rsidRPr="007224C3">
        <w:rPr>
          <w:rStyle w:val="9pt80"/>
          <w:rFonts w:ascii="Times New Roman" w:hAnsi="Times New Roman" w:cs="Times New Roman"/>
          <w:i w:val="0"/>
          <w:iCs w:val="0"/>
          <w:color w:val="0070C0"/>
          <w:w w:val="100"/>
          <w:sz w:val="16"/>
          <w:szCs w:val="16"/>
        </w:rPr>
        <w:softHyphen/>
        <w:t>держивал его поставку».</w:t>
      </w:r>
      <w:r w:rsidRPr="007224C3">
        <w:rPr>
          <w:rFonts w:ascii="Times New Roman" w:hAnsi="Times New Roman"/>
          <w:color w:val="0070C0"/>
          <w:sz w:val="16"/>
          <w:szCs w:val="16"/>
        </w:rPr>
        <w:t xml:space="preserve"> Сухой обратился за помощью к наркому Шахурину. Но тот ничем не помог.</w:t>
      </w:r>
    </w:p>
    <w:p w14:paraId="3F1ACB94" w14:textId="77777777" w:rsidR="00FB3A90" w:rsidRPr="007224C3" w:rsidRDefault="00FB3A90"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 общей сложности ко времени офи</w:t>
      </w:r>
      <w:r w:rsidRPr="007224C3">
        <w:rPr>
          <w:rFonts w:ascii="Times New Roman" w:hAnsi="Times New Roman"/>
          <w:color w:val="0070C0"/>
          <w:sz w:val="16"/>
          <w:szCs w:val="16"/>
        </w:rPr>
        <w:softHyphen/>
        <w:t>циального прекращения испытаний 2 июля опытный Су-6 выполнил 24 полёта с суммарным налетом 10 ч 25 мин.</w:t>
      </w:r>
    </w:p>
    <w:p w14:paraId="0200B3F4" w14:textId="77777777" w:rsidR="00FB3A90" w:rsidRPr="007224C3" w:rsidRDefault="00FB3A90"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При полетном весе 6200 кг (600 кг бомб, боекомплект к пушкам ВЯ и пу</w:t>
      </w:r>
      <w:r w:rsidRPr="007224C3">
        <w:rPr>
          <w:rFonts w:ascii="Times New Roman" w:hAnsi="Times New Roman"/>
          <w:color w:val="0070C0"/>
          <w:sz w:val="16"/>
          <w:szCs w:val="16"/>
        </w:rPr>
        <w:softHyphen/>
        <w:t>леметам) скорость полета составила 492 км/ч - у земли, и 521 км/ч - на вы</w:t>
      </w:r>
      <w:r w:rsidRPr="007224C3">
        <w:rPr>
          <w:rFonts w:ascii="Times New Roman" w:hAnsi="Times New Roman"/>
          <w:color w:val="0070C0"/>
          <w:sz w:val="16"/>
          <w:szCs w:val="16"/>
        </w:rPr>
        <w:softHyphen/>
        <w:t>соте 1860 м. Максимальная дальность по</w:t>
      </w:r>
      <w:r w:rsidRPr="007224C3">
        <w:rPr>
          <w:rFonts w:ascii="Times New Roman" w:hAnsi="Times New Roman"/>
          <w:color w:val="0070C0"/>
          <w:sz w:val="16"/>
          <w:szCs w:val="16"/>
        </w:rPr>
        <w:softHyphen/>
        <w:t>лета оценивалась в 790 км.</w:t>
      </w:r>
    </w:p>
    <w:p w14:paraId="70043A2E" w14:textId="77777777" w:rsidR="00FB3A90" w:rsidRPr="007224C3" w:rsidRDefault="00FB3A90"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Следует обратить внимание на то, что летные данные Су-6 были получены при невыгодной регулировке мотора с точки зрения расхода топлива: он имел переобогащенную топливную смесь. При нормально работающем моторе даль</w:t>
      </w:r>
      <w:r w:rsidRPr="007224C3">
        <w:rPr>
          <w:rFonts w:ascii="Times New Roman" w:hAnsi="Times New Roman"/>
          <w:color w:val="0070C0"/>
          <w:sz w:val="16"/>
          <w:szCs w:val="16"/>
        </w:rPr>
        <w:softHyphen/>
        <w:t>ность должна была быть выше. С уче</w:t>
      </w:r>
      <w:r w:rsidRPr="007224C3">
        <w:rPr>
          <w:rFonts w:ascii="Times New Roman" w:hAnsi="Times New Roman"/>
          <w:color w:val="0070C0"/>
          <w:sz w:val="16"/>
          <w:szCs w:val="16"/>
        </w:rPr>
        <w:softHyphen/>
        <w:t>том этого специалисты ГК НИИ ВВС рас</w:t>
      </w:r>
      <w:r w:rsidRPr="007224C3">
        <w:rPr>
          <w:rFonts w:ascii="Times New Roman" w:hAnsi="Times New Roman"/>
          <w:color w:val="0070C0"/>
          <w:sz w:val="16"/>
          <w:szCs w:val="16"/>
        </w:rPr>
        <w:softHyphen/>
        <w:t>считали дальность полета Су-6 исходя из расходов топлива, взятых из матери</w:t>
      </w:r>
      <w:r w:rsidRPr="007224C3">
        <w:rPr>
          <w:rFonts w:ascii="Times New Roman" w:hAnsi="Times New Roman"/>
          <w:color w:val="0070C0"/>
          <w:sz w:val="16"/>
          <w:szCs w:val="16"/>
        </w:rPr>
        <w:softHyphen/>
        <w:t>алов по государственным испытаниям Ил-Юс АМ-42.</w:t>
      </w:r>
    </w:p>
    <w:p w14:paraId="6D38ECCC" w14:textId="77777777" w:rsidR="00FB3A90" w:rsidRPr="007224C3" w:rsidRDefault="00FB3A90"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Между тем, согласно аэродинамиче</w:t>
      </w:r>
      <w:r w:rsidRPr="007224C3">
        <w:rPr>
          <w:rFonts w:ascii="Times New Roman" w:hAnsi="Times New Roman"/>
          <w:color w:val="0070C0"/>
          <w:sz w:val="16"/>
          <w:szCs w:val="16"/>
        </w:rPr>
        <w:softHyphen/>
        <w:t>скому расчету самолета Су-6 АМ-42, вы</w:t>
      </w:r>
      <w:r w:rsidRPr="007224C3">
        <w:rPr>
          <w:rFonts w:ascii="Times New Roman" w:hAnsi="Times New Roman"/>
          <w:color w:val="0070C0"/>
          <w:sz w:val="16"/>
          <w:szCs w:val="16"/>
        </w:rPr>
        <w:softHyphen/>
        <w:t>полненному в ОКБ Сухого на основе фак</w:t>
      </w:r>
      <w:r w:rsidRPr="007224C3">
        <w:rPr>
          <w:rFonts w:ascii="Times New Roman" w:hAnsi="Times New Roman"/>
          <w:color w:val="0070C0"/>
          <w:sz w:val="16"/>
          <w:szCs w:val="16"/>
        </w:rPr>
        <w:softHyphen/>
        <w:t>тических летных данных Су-6 с М-71ф, максимальная дальность полета на высоте 1000 м оценивалась в 1025 км при скоро</w:t>
      </w:r>
      <w:r w:rsidRPr="007224C3">
        <w:rPr>
          <w:rFonts w:ascii="Times New Roman" w:hAnsi="Times New Roman"/>
          <w:color w:val="0070C0"/>
          <w:sz w:val="16"/>
          <w:szCs w:val="16"/>
        </w:rPr>
        <w:softHyphen/>
        <w:t>сти полета 341 км/ч.</w:t>
      </w:r>
    </w:p>
    <w:p w14:paraId="3BE14938" w14:textId="77777777" w:rsidR="00FB3A90" w:rsidRPr="007224C3" w:rsidRDefault="00FB3A90"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О точности этих расчетов можно су</w:t>
      </w:r>
      <w:r w:rsidRPr="007224C3">
        <w:rPr>
          <w:rFonts w:ascii="Times New Roman" w:hAnsi="Times New Roman"/>
          <w:color w:val="0070C0"/>
          <w:sz w:val="16"/>
          <w:szCs w:val="16"/>
        </w:rPr>
        <w:softHyphen/>
        <w:t>дить, например, по значению максималь</w:t>
      </w:r>
      <w:r w:rsidRPr="007224C3">
        <w:rPr>
          <w:rFonts w:ascii="Times New Roman" w:hAnsi="Times New Roman"/>
          <w:color w:val="0070C0"/>
          <w:sz w:val="16"/>
          <w:szCs w:val="16"/>
        </w:rPr>
        <w:softHyphen/>
        <w:t>ной скорости у земли, которая согласно расчетов получалась равной 490 км/ч, а по факту - 492 км/ч.</w:t>
      </w:r>
    </w:p>
    <w:p w14:paraId="4CC2AD9A" w14:textId="77777777" w:rsidR="00FB3A90" w:rsidRPr="007224C3" w:rsidRDefault="00FB3A90"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Все пулеметно-пушечное и бомбар</w:t>
      </w:r>
      <w:r w:rsidRPr="007224C3">
        <w:rPr>
          <w:rFonts w:ascii="Times New Roman" w:hAnsi="Times New Roman"/>
          <w:color w:val="0070C0"/>
          <w:sz w:val="16"/>
          <w:szCs w:val="16"/>
        </w:rPr>
        <w:softHyphen/>
        <w:t>дировочное вооружение было успешно проверено работой на земле и в воздухе, за исключением пушек ВЯ, которые от</w:t>
      </w:r>
      <w:r w:rsidRPr="007224C3">
        <w:rPr>
          <w:rFonts w:ascii="Times New Roman" w:hAnsi="Times New Roman"/>
          <w:color w:val="0070C0"/>
          <w:sz w:val="16"/>
          <w:szCs w:val="16"/>
        </w:rPr>
        <w:softHyphen/>
        <w:t>стреливались только на земле. Приняли во внимание, что такие же установки в 1942 г. прошли государственные испыта</w:t>
      </w:r>
      <w:r w:rsidRPr="007224C3">
        <w:rPr>
          <w:rFonts w:ascii="Times New Roman" w:hAnsi="Times New Roman"/>
          <w:color w:val="0070C0"/>
          <w:sz w:val="16"/>
          <w:szCs w:val="16"/>
        </w:rPr>
        <w:softHyphen/>
        <w:t>ния на одноместном Су-6 М-71.</w:t>
      </w:r>
    </w:p>
    <w:p w14:paraId="638AD8FD" w14:textId="77777777" w:rsidR="00FB3A90" w:rsidRPr="007224C3" w:rsidRDefault="00FB3A90" w:rsidP="007224C3">
      <w:pPr>
        <w:pStyle w:val="121"/>
        <w:shd w:val="clear" w:color="auto" w:fill="auto"/>
        <w:spacing w:line="240" w:lineRule="auto"/>
        <w:jc w:val="both"/>
        <w:rPr>
          <w:rFonts w:ascii="Times New Roman" w:hAnsi="Times New Roman" w:cs="Times New Roman"/>
          <w:b w:val="0"/>
          <w:bCs w:val="0"/>
          <w:color w:val="0070C0"/>
          <w:sz w:val="16"/>
          <w:szCs w:val="16"/>
        </w:rPr>
      </w:pPr>
      <w:r w:rsidRPr="007224C3">
        <w:rPr>
          <w:rStyle w:val="128pt100"/>
          <w:rFonts w:ascii="Times New Roman" w:hAnsi="Times New Roman" w:cs="Times New Roman"/>
          <w:b w:val="0"/>
          <w:bCs w:val="0"/>
          <w:i w:val="0"/>
          <w:iCs w:val="0"/>
          <w:color w:val="0070C0"/>
        </w:rPr>
        <w:t>В летной оценке самолета Су-6 АМ-42 от 2 июля второй ведущий летчик инженер-майор Синельников указывал: «</w:t>
      </w:r>
      <w:r w:rsidRPr="007224C3">
        <w:rPr>
          <w:rFonts w:ascii="Times New Roman" w:hAnsi="Times New Roman" w:cs="Times New Roman"/>
          <w:b w:val="0"/>
          <w:bCs w:val="0"/>
          <w:color w:val="0070C0"/>
          <w:sz w:val="16"/>
          <w:szCs w:val="16"/>
        </w:rPr>
        <w:t>Уве</w:t>
      </w:r>
      <w:r w:rsidRPr="007224C3">
        <w:rPr>
          <w:rFonts w:ascii="Times New Roman" w:hAnsi="Times New Roman" w:cs="Times New Roman"/>
          <w:b w:val="0"/>
          <w:bCs w:val="0"/>
          <w:color w:val="0070C0"/>
          <w:sz w:val="16"/>
          <w:szCs w:val="16"/>
        </w:rPr>
        <w:softHyphen/>
        <w:t>личение площади крыла и снятие пред</w:t>
      </w:r>
      <w:r w:rsidRPr="007224C3">
        <w:rPr>
          <w:rFonts w:ascii="Times New Roman" w:hAnsi="Times New Roman" w:cs="Times New Roman"/>
          <w:b w:val="0"/>
          <w:bCs w:val="0"/>
          <w:color w:val="0070C0"/>
          <w:sz w:val="16"/>
          <w:szCs w:val="16"/>
        </w:rPr>
        <w:softHyphen/>
        <w:t>крылков значительно упростили технику пилотирования самолета на взлете и по</w:t>
      </w:r>
      <w:r w:rsidRPr="007224C3">
        <w:rPr>
          <w:rFonts w:ascii="Times New Roman" w:hAnsi="Times New Roman" w:cs="Times New Roman"/>
          <w:b w:val="0"/>
          <w:bCs w:val="0"/>
          <w:color w:val="0070C0"/>
          <w:sz w:val="16"/>
          <w:szCs w:val="16"/>
        </w:rPr>
        <w:softHyphen/>
        <w:t>садке по сравнению с самолетом Су-6 с мо</w:t>
      </w:r>
      <w:r w:rsidRPr="007224C3">
        <w:rPr>
          <w:rFonts w:ascii="Times New Roman" w:hAnsi="Times New Roman" w:cs="Times New Roman"/>
          <w:b w:val="0"/>
          <w:bCs w:val="0"/>
          <w:color w:val="0070C0"/>
          <w:sz w:val="16"/>
          <w:szCs w:val="16"/>
        </w:rPr>
        <w:softHyphen/>
        <w:t>тором М-71ф. В целом самолет Су-6 с мо</w:t>
      </w:r>
      <w:r w:rsidRPr="007224C3">
        <w:rPr>
          <w:rFonts w:ascii="Times New Roman" w:hAnsi="Times New Roman" w:cs="Times New Roman"/>
          <w:b w:val="0"/>
          <w:bCs w:val="0"/>
          <w:color w:val="0070C0"/>
          <w:sz w:val="16"/>
          <w:szCs w:val="16"/>
        </w:rPr>
        <w:softHyphen/>
        <w:t>тором АМ-42 доступен летчикам средней квалификации. Недостатками самолета, усложняющими технику пилотирования, являются:</w:t>
      </w:r>
    </w:p>
    <w:p w14:paraId="60B35F43" w14:textId="77777777" w:rsidR="00FB3A90" w:rsidRPr="007224C3" w:rsidRDefault="00FB3A90" w:rsidP="007224C3">
      <w:pPr>
        <w:pStyle w:val="121"/>
        <w:shd w:val="clear" w:color="auto" w:fill="auto"/>
        <w:tabs>
          <w:tab w:val="left" w:pos="486"/>
        </w:tabs>
        <w:spacing w:line="240" w:lineRule="auto"/>
        <w:jc w:val="both"/>
        <w:rPr>
          <w:rFonts w:ascii="Times New Roman" w:hAnsi="Times New Roman" w:cs="Times New Roman"/>
          <w:b w:val="0"/>
          <w:bCs w:val="0"/>
          <w:color w:val="0070C0"/>
          <w:sz w:val="16"/>
          <w:szCs w:val="16"/>
        </w:rPr>
      </w:pPr>
      <w:r w:rsidRPr="007224C3">
        <w:rPr>
          <w:rFonts w:ascii="Times New Roman" w:hAnsi="Times New Roman" w:cs="Times New Roman"/>
          <w:b w:val="0"/>
          <w:bCs w:val="0"/>
          <w:color w:val="0070C0"/>
          <w:sz w:val="16"/>
          <w:szCs w:val="16"/>
        </w:rPr>
        <w:t>а)</w:t>
      </w:r>
      <w:r w:rsidRPr="007224C3">
        <w:rPr>
          <w:rFonts w:ascii="Times New Roman" w:hAnsi="Times New Roman" w:cs="Times New Roman"/>
          <w:b w:val="0"/>
          <w:bCs w:val="0"/>
          <w:color w:val="0070C0"/>
          <w:sz w:val="16"/>
          <w:szCs w:val="16"/>
        </w:rPr>
        <w:tab/>
        <w:t>большая (сравнительно с аналогич</w:t>
      </w:r>
      <w:r w:rsidRPr="007224C3">
        <w:rPr>
          <w:rFonts w:ascii="Times New Roman" w:hAnsi="Times New Roman" w:cs="Times New Roman"/>
          <w:b w:val="0"/>
          <w:bCs w:val="0"/>
          <w:color w:val="0070C0"/>
          <w:sz w:val="16"/>
          <w:szCs w:val="16"/>
        </w:rPr>
        <w:softHyphen/>
        <w:t>ными типами самолетов) длина разбега и взлетной дистанции;</w:t>
      </w:r>
    </w:p>
    <w:p w14:paraId="5C5A891F" w14:textId="77777777" w:rsidR="00FB3A90" w:rsidRPr="007224C3" w:rsidRDefault="00FB3A90" w:rsidP="007224C3">
      <w:pPr>
        <w:pStyle w:val="121"/>
        <w:shd w:val="clear" w:color="auto" w:fill="auto"/>
        <w:tabs>
          <w:tab w:val="left" w:pos="486"/>
        </w:tabs>
        <w:spacing w:line="240" w:lineRule="auto"/>
        <w:jc w:val="both"/>
        <w:rPr>
          <w:rFonts w:ascii="Times New Roman" w:hAnsi="Times New Roman" w:cs="Times New Roman"/>
          <w:b w:val="0"/>
          <w:bCs w:val="0"/>
          <w:color w:val="0070C0"/>
          <w:sz w:val="16"/>
          <w:szCs w:val="16"/>
        </w:rPr>
      </w:pPr>
      <w:r w:rsidRPr="007224C3">
        <w:rPr>
          <w:rFonts w:ascii="Times New Roman" w:hAnsi="Times New Roman" w:cs="Times New Roman"/>
          <w:b w:val="0"/>
          <w:bCs w:val="0"/>
          <w:color w:val="0070C0"/>
          <w:sz w:val="16"/>
          <w:szCs w:val="16"/>
        </w:rPr>
        <w:t>б)</w:t>
      </w:r>
      <w:r w:rsidRPr="007224C3">
        <w:rPr>
          <w:rFonts w:ascii="Times New Roman" w:hAnsi="Times New Roman" w:cs="Times New Roman"/>
          <w:b w:val="0"/>
          <w:bCs w:val="0"/>
          <w:color w:val="0070C0"/>
          <w:sz w:val="16"/>
          <w:szCs w:val="16"/>
        </w:rPr>
        <w:tab/>
        <w:t>большие нагрузки на элероны и руль высоты, особенно на максимальных скоро</w:t>
      </w:r>
      <w:r w:rsidRPr="007224C3">
        <w:rPr>
          <w:rFonts w:ascii="Times New Roman" w:hAnsi="Times New Roman" w:cs="Times New Roman"/>
          <w:b w:val="0"/>
          <w:bCs w:val="0"/>
          <w:color w:val="0070C0"/>
          <w:sz w:val="16"/>
          <w:szCs w:val="16"/>
        </w:rPr>
        <w:softHyphen/>
        <w:t>стях, вираже и при выводе из пикирования;</w:t>
      </w:r>
    </w:p>
    <w:p w14:paraId="184B46CD" w14:textId="77777777" w:rsidR="00FB3A90" w:rsidRPr="007224C3" w:rsidRDefault="00FB3A90" w:rsidP="007224C3">
      <w:pPr>
        <w:pStyle w:val="121"/>
        <w:shd w:val="clear" w:color="auto" w:fill="auto"/>
        <w:tabs>
          <w:tab w:val="left" w:pos="473"/>
        </w:tabs>
        <w:spacing w:line="240" w:lineRule="auto"/>
        <w:jc w:val="both"/>
        <w:rPr>
          <w:rFonts w:ascii="Times New Roman" w:hAnsi="Times New Roman" w:cs="Times New Roman"/>
          <w:b w:val="0"/>
          <w:bCs w:val="0"/>
          <w:color w:val="0070C0"/>
          <w:sz w:val="16"/>
          <w:szCs w:val="16"/>
        </w:rPr>
      </w:pPr>
      <w:r w:rsidRPr="007224C3">
        <w:rPr>
          <w:rFonts w:ascii="Times New Roman" w:hAnsi="Times New Roman" w:cs="Times New Roman"/>
          <w:b w:val="0"/>
          <w:bCs w:val="0"/>
          <w:color w:val="0070C0"/>
          <w:sz w:val="16"/>
          <w:szCs w:val="16"/>
        </w:rPr>
        <w:t>в)</w:t>
      </w:r>
      <w:r w:rsidRPr="007224C3">
        <w:rPr>
          <w:rFonts w:ascii="Times New Roman" w:hAnsi="Times New Roman" w:cs="Times New Roman"/>
          <w:b w:val="0"/>
          <w:bCs w:val="0"/>
          <w:color w:val="0070C0"/>
          <w:sz w:val="16"/>
          <w:szCs w:val="16"/>
        </w:rPr>
        <w:tab/>
        <w:t>крутая глиссада планирования.</w:t>
      </w:r>
    </w:p>
    <w:p w14:paraId="1AE7E677" w14:textId="77777777" w:rsidR="00FB3A90" w:rsidRPr="007224C3" w:rsidRDefault="00FB3A90" w:rsidP="007224C3">
      <w:pPr>
        <w:pStyle w:val="121"/>
        <w:shd w:val="clear" w:color="auto" w:fill="auto"/>
        <w:spacing w:line="240" w:lineRule="auto"/>
        <w:jc w:val="both"/>
        <w:rPr>
          <w:rFonts w:ascii="Times New Roman" w:hAnsi="Times New Roman" w:cs="Times New Roman"/>
          <w:b w:val="0"/>
          <w:bCs w:val="0"/>
          <w:color w:val="0070C0"/>
          <w:sz w:val="16"/>
          <w:szCs w:val="16"/>
        </w:rPr>
      </w:pPr>
      <w:r w:rsidRPr="007224C3">
        <w:rPr>
          <w:rFonts w:ascii="Times New Roman" w:hAnsi="Times New Roman" w:cs="Times New Roman"/>
          <w:b w:val="0"/>
          <w:bCs w:val="0"/>
          <w:color w:val="0070C0"/>
          <w:sz w:val="16"/>
          <w:szCs w:val="16"/>
        </w:rPr>
        <w:t>По сравнению с однотипным опытным самолетом Ил-10 с АМ-42 самолет Су-6 с АМ-42:</w:t>
      </w:r>
    </w:p>
    <w:p w14:paraId="4D811B5A" w14:textId="77777777" w:rsidR="00FB3A90" w:rsidRPr="007224C3" w:rsidRDefault="00FB3A90" w:rsidP="007224C3">
      <w:pPr>
        <w:pStyle w:val="121"/>
        <w:shd w:val="clear" w:color="auto" w:fill="auto"/>
        <w:tabs>
          <w:tab w:val="left" w:pos="486"/>
        </w:tabs>
        <w:spacing w:line="240" w:lineRule="auto"/>
        <w:jc w:val="both"/>
        <w:rPr>
          <w:rFonts w:ascii="Times New Roman" w:hAnsi="Times New Roman" w:cs="Times New Roman"/>
          <w:b w:val="0"/>
          <w:bCs w:val="0"/>
          <w:color w:val="0070C0"/>
          <w:sz w:val="16"/>
          <w:szCs w:val="16"/>
        </w:rPr>
      </w:pPr>
      <w:r w:rsidRPr="007224C3">
        <w:rPr>
          <w:rFonts w:ascii="Times New Roman" w:hAnsi="Times New Roman" w:cs="Times New Roman"/>
          <w:b w:val="0"/>
          <w:bCs w:val="0"/>
          <w:color w:val="0070C0"/>
          <w:sz w:val="16"/>
          <w:szCs w:val="16"/>
        </w:rPr>
        <w:t>а)</w:t>
      </w:r>
      <w:r w:rsidRPr="007224C3">
        <w:rPr>
          <w:rFonts w:ascii="Times New Roman" w:hAnsi="Times New Roman" w:cs="Times New Roman"/>
          <w:b w:val="0"/>
          <w:bCs w:val="0"/>
          <w:color w:val="0070C0"/>
          <w:sz w:val="16"/>
          <w:szCs w:val="16"/>
        </w:rPr>
        <w:tab/>
        <w:t>несколько сложней в технике пило</w:t>
      </w:r>
      <w:r w:rsidRPr="007224C3">
        <w:rPr>
          <w:rFonts w:ascii="Times New Roman" w:hAnsi="Times New Roman" w:cs="Times New Roman"/>
          <w:b w:val="0"/>
          <w:bCs w:val="0"/>
          <w:color w:val="0070C0"/>
          <w:sz w:val="16"/>
          <w:szCs w:val="16"/>
        </w:rPr>
        <w:softHyphen/>
        <w:t>тирования (главным образом на взлете и посадке);</w:t>
      </w:r>
    </w:p>
    <w:p w14:paraId="6D032768" w14:textId="77777777" w:rsidR="00FB3A90" w:rsidRPr="007224C3" w:rsidRDefault="00FB3A90" w:rsidP="007224C3">
      <w:pPr>
        <w:pStyle w:val="121"/>
        <w:shd w:val="clear" w:color="auto" w:fill="auto"/>
        <w:tabs>
          <w:tab w:val="left" w:pos="502"/>
        </w:tabs>
        <w:spacing w:line="240" w:lineRule="auto"/>
        <w:jc w:val="both"/>
        <w:rPr>
          <w:rFonts w:ascii="Times New Roman" w:hAnsi="Times New Roman" w:cs="Times New Roman"/>
          <w:b w:val="0"/>
          <w:bCs w:val="0"/>
          <w:color w:val="0070C0"/>
          <w:sz w:val="16"/>
          <w:szCs w:val="16"/>
        </w:rPr>
      </w:pPr>
      <w:r w:rsidRPr="007224C3">
        <w:rPr>
          <w:rFonts w:ascii="Times New Roman" w:hAnsi="Times New Roman" w:cs="Times New Roman"/>
          <w:b w:val="0"/>
          <w:bCs w:val="0"/>
          <w:color w:val="0070C0"/>
          <w:sz w:val="16"/>
          <w:szCs w:val="16"/>
        </w:rPr>
        <w:t>б)</w:t>
      </w:r>
      <w:r w:rsidRPr="007224C3">
        <w:rPr>
          <w:rFonts w:ascii="Times New Roman" w:hAnsi="Times New Roman" w:cs="Times New Roman"/>
          <w:b w:val="0"/>
          <w:bCs w:val="0"/>
          <w:color w:val="0070C0"/>
          <w:sz w:val="16"/>
          <w:szCs w:val="16"/>
        </w:rPr>
        <w:tab/>
        <w:t>имеет худшую управляемость;</w:t>
      </w:r>
    </w:p>
    <w:p w14:paraId="2D0BA736" w14:textId="77777777" w:rsidR="00FB3A90" w:rsidRPr="007224C3" w:rsidRDefault="00FB3A90" w:rsidP="007224C3">
      <w:pPr>
        <w:pStyle w:val="121"/>
        <w:shd w:val="clear" w:color="auto" w:fill="auto"/>
        <w:tabs>
          <w:tab w:val="left" w:pos="481"/>
        </w:tabs>
        <w:spacing w:line="240" w:lineRule="auto"/>
        <w:jc w:val="both"/>
        <w:rPr>
          <w:rFonts w:ascii="Times New Roman" w:hAnsi="Times New Roman" w:cs="Times New Roman"/>
          <w:b w:val="0"/>
          <w:bCs w:val="0"/>
          <w:color w:val="0070C0"/>
          <w:sz w:val="16"/>
          <w:szCs w:val="16"/>
        </w:rPr>
      </w:pPr>
      <w:r w:rsidRPr="007224C3">
        <w:rPr>
          <w:rFonts w:ascii="Times New Roman" w:hAnsi="Times New Roman" w:cs="Times New Roman"/>
          <w:b w:val="0"/>
          <w:bCs w:val="0"/>
          <w:color w:val="0070C0"/>
          <w:sz w:val="16"/>
          <w:szCs w:val="16"/>
        </w:rPr>
        <w:t>в)</w:t>
      </w:r>
      <w:r w:rsidRPr="007224C3">
        <w:rPr>
          <w:rFonts w:ascii="Times New Roman" w:hAnsi="Times New Roman" w:cs="Times New Roman"/>
          <w:b w:val="0"/>
          <w:bCs w:val="0"/>
          <w:color w:val="0070C0"/>
          <w:sz w:val="16"/>
          <w:szCs w:val="16"/>
        </w:rPr>
        <w:tab/>
        <w:t>обладает более низкими летными данными».</w:t>
      </w:r>
    </w:p>
    <w:p w14:paraId="331A81C8" w14:textId="77777777" w:rsidR="00FB3A90" w:rsidRPr="007224C3" w:rsidRDefault="00FB3A90" w:rsidP="007224C3">
      <w:pPr>
        <w:spacing w:after="0" w:line="240" w:lineRule="auto"/>
        <w:jc w:val="both"/>
        <w:rPr>
          <w:rFonts w:ascii="Times New Roman" w:hAnsi="Times New Roman"/>
          <w:color w:val="0070C0"/>
          <w:sz w:val="16"/>
          <w:szCs w:val="16"/>
        </w:rPr>
      </w:pPr>
      <w:r w:rsidRPr="007224C3">
        <w:rPr>
          <w:rStyle w:val="128pt100"/>
          <w:rFonts w:ascii="Times New Roman" w:hAnsi="Times New Roman" w:cs="Times New Roman"/>
          <w:i w:val="0"/>
          <w:iCs w:val="0"/>
          <w:color w:val="0070C0"/>
        </w:rPr>
        <w:t>Примерно также оценил самолет и ве</w:t>
      </w:r>
      <w:r w:rsidRPr="007224C3">
        <w:rPr>
          <w:rStyle w:val="128pt100"/>
          <w:rFonts w:ascii="Times New Roman" w:hAnsi="Times New Roman" w:cs="Times New Roman"/>
          <w:i w:val="0"/>
          <w:iCs w:val="0"/>
          <w:color w:val="0070C0"/>
        </w:rPr>
        <w:softHyphen/>
        <w:t xml:space="preserve">дущий летчик генерал-майор Кабанов: </w:t>
      </w:r>
      <w:r w:rsidRPr="007224C3">
        <w:rPr>
          <w:rFonts w:ascii="Times New Roman" w:hAnsi="Times New Roman"/>
          <w:color w:val="0070C0"/>
          <w:sz w:val="16"/>
          <w:szCs w:val="16"/>
        </w:rPr>
        <w:t>«Замена мотора (АМ-42 вместо М-71ф) мало чем изменила впечатление от пове</w:t>
      </w:r>
      <w:r w:rsidRPr="007224C3">
        <w:rPr>
          <w:rFonts w:ascii="Times New Roman" w:hAnsi="Times New Roman"/>
          <w:color w:val="0070C0"/>
          <w:sz w:val="16"/>
          <w:szCs w:val="16"/>
        </w:rPr>
        <w:softHyphen/>
        <w:t>дения самолета в воздухе. По сравнению с однотипным самолетом Ил-10 в летном отношении самолет Су-6 преимуществ не имеет. Самолет Ил-10 более приятен в пилотировании, чем самолет Су-6, а глав</w:t>
      </w:r>
      <w:r w:rsidRPr="007224C3">
        <w:rPr>
          <w:rFonts w:ascii="Times New Roman" w:hAnsi="Times New Roman"/>
          <w:color w:val="0070C0"/>
          <w:sz w:val="16"/>
          <w:szCs w:val="16"/>
        </w:rPr>
        <w:softHyphen/>
        <w:t>ное более прост на взлете и посадке».</w:t>
      </w:r>
    </w:p>
    <w:p w14:paraId="1AF1B438" w14:textId="77777777" w:rsidR="00FB3A90" w:rsidRPr="007224C3" w:rsidRDefault="00FB3A90" w:rsidP="007224C3">
      <w:pPr>
        <w:pStyle w:val="121"/>
        <w:shd w:val="clear" w:color="auto" w:fill="auto"/>
        <w:spacing w:line="240" w:lineRule="auto"/>
        <w:jc w:val="both"/>
        <w:rPr>
          <w:rFonts w:ascii="Times New Roman" w:hAnsi="Times New Roman" w:cs="Times New Roman"/>
          <w:b w:val="0"/>
          <w:bCs w:val="0"/>
          <w:color w:val="0070C0"/>
          <w:sz w:val="16"/>
          <w:szCs w:val="16"/>
        </w:rPr>
      </w:pPr>
      <w:r w:rsidRPr="007224C3">
        <w:rPr>
          <w:rStyle w:val="128pt100"/>
          <w:rFonts w:ascii="Times New Roman" w:hAnsi="Times New Roman" w:cs="Times New Roman"/>
          <w:b w:val="0"/>
          <w:bCs w:val="0"/>
          <w:i w:val="0"/>
          <w:iCs w:val="0"/>
          <w:color w:val="0070C0"/>
        </w:rPr>
        <w:t>Мнение летчика облета подпол</w:t>
      </w:r>
      <w:r w:rsidRPr="007224C3">
        <w:rPr>
          <w:rStyle w:val="128pt100"/>
          <w:rFonts w:ascii="Times New Roman" w:hAnsi="Times New Roman" w:cs="Times New Roman"/>
          <w:b w:val="0"/>
          <w:bCs w:val="0"/>
          <w:i w:val="0"/>
          <w:iCs w:val="0"/>
          <w:color w:val="0070C0"/>
        </w:rPr>
        <w:softHyphen/>
        <w:t>ковника Долгова в целом было таким же:</w:t>
      </w:r>
      <w:r w:rsidRPr="007224C3">
        <w:rPr>
          <w:rFonts w:ascii="Times New Roman" w:hAnsi="Times New Roman" w:cs="Times New Roman"/>
          <w:b w:val="0"/>
          <w:bCs w:val="0"/>
          <w:color w:val="0070C0"/>
          <w:sz w:val="16"/>
          <w:szCs w:val="16"/>
        </w:rPr>
        <w:t xml:space="preserve"> «Опытный самолет Су-6 с мотором АМ-42, в отличие от самолета Су-6 с мо</w:t>
      </w:r>
      <w:r w:rsidRPr="007224C3">
        <w:rPr>
          <w:rFonts w:ascii="Times New Roman" w:hAnsi="Times New Roman" w:cs="Times New Roman"/>
          <w:b w:val="0"/>
          <w:bCs w:val="0"/>
          <w:color w:val="0070C0"/>
          <w:sz w:val="16"/>
          <w:szCs w:val="16"/>
        </w:rPr>
        <w:softHyphen/>
        <w:t>тором М-71ф, по технике пилотирова</w:t>
      </w:r>
      <w:r w:rsidRPr="007224C3">
        <w:rPr>
          <w:rFonts w:ascii="Times New Roman" w:hAnsi="Times New Roman" w:cs="Times New Roman"/>
          <w:b w:val="0"/>
          <w:bCs w:val="0"/>
          <w:color w:val="0070C0"/>
          <w:sz w:val="16"/>
          <w:szCs w:val="16"/>
        </w:rPr>
        <w:softHyphen/>
        <w:t>ния проще, особенно на посадке. Устой</w:t>
      </w:r>
      <w:r w:rsidRPr="007224C3">
        <w:rPr>
          <w:rFonts w:ascii="Times New Roman" w:hAnsi="Times New Roman" w:cs="Times New Roman"/>
          <w:b w:val="0"/>
          <w:bCs w:val="0"/>
          <w:color w:val="0070C0"/>
          <w:sz w:val="16"/>
          <w:szCs w:val="16"/>
        </w:rPr>
        <w:softHyphen/>
        <w:t>чивость самолета по всем осям хорошая, несколько велика путевая устойчивость, что сказывается на управляемости само</w:t>
      </w:r>
      <w:r w:rsidRPr="007224C3">
        <w:rPr>
          <w:rFonts w:ascii="Times New Roman" w:hAnsi="Times New Roman" w:cs="Times New Roman"/>
          <w:b w:val="0"/>
          <w:bCs w:val="0"/>
          <w:color w:val="0070C0"/>
          <w:sz w:val="16"/>
          <w:szCs w:val="16"/>
        </w:rPr>
        <w:softHyphen/>
        <w:t>лета. Нагрузки от руля высоты велики, особенно это чувствуется на взлете и виражах. Обзор на земле удовлетвори</w:t>
      </w:r>
      <w:r w:rsidRPr="007224C3">
        <w:rPr>
          <w:rFonts w:ascii="Times New Roman" w:hAnsi="Times New Roman" w:cs="Times New Roman"/>
          <w:b w:val="0"/>
          <w:bCs w:val="0"/>
          <w:color w:val="0070C0"/>
          <w:sz w:val="16"/>
          <w:szCs w:val="16"/>
        </w:rPr>
        <w:softHyphen/>
        <w:t>тельный, в воздухе хороший. По сравне</w:t>
      </w:r>
      <w:r w:rsidRPr="007224C3">
        <w:rPr>
          <w:rFonts w:ascii="Times New Roman" w:hAnsi="Times New Roman" w:cs="Times New Roman"/>
          <w:b w:val="0"/>
          <w:bCs w:val="0"/>
          <w:color w:val="0070C0"/>
          <w:sz w:val="16"/>
          <w:szCs w:val="16"/>
        </w:rPr>
        <w:softHyphen/>
        <w:t>нию с опытным самолетом Ил-10 с АМ- 42 самолет Су-6 с АМ-42 несколько слож</w:t>
      </w:r>
      <w:r w:rsidRPr="007224C3">
        <w:rPr>
          <w:rFonts w:ascii="Times New Roman" w:hAnsi="Times New Roman" w:cs="Times New Roman"/>
          <w:b w:val="0"/>
          <w:bCs w:val="0"/>
          <w:color w:val="0070C0"/>
          <w:sz w:val="16"/>
          <w:szCs w:val="16"/>
        </w:rPr>
        <w:softHyphen/>
        <w:t>нее в технике пилотирования, особенно на взлете и посадке, хуже по управляемо</w:t>
      </w:r>
      <w:r w:rsidRPr="007224C3">
        <w:rPr>
          <w:rFonts w:ascii="Times New Roman" w:hAnsi="Times New Roman" w:cs="Times New Roman"/>
          <w:b w:val="0"/>
          <w:bCs w:val="0"/>
          <w:color w:val="0070C0"/>
          <w:sz w:val="16"/>
          <w:szCs w:val="16"/>
        </w:rPr>
        <w:softHyphen/>
        <w:t>сти и отстает по максимальным скоро</w:t>
      </w:r>
      <w:r w:rsidRPr="007224C3">
        <w:rPr>
          <w:rFonts w:ascii="Times New Roman" w:hAnsi="Times New Roman" w:cs="Times New Roman"/>
          <w:b w:val="0"/>
          <w:bCs w:val="0"/>
          <w:color w:val="0070C0"/>
          <w:sz w:val="16"/>
          <w:szCs w:val="16"/>
        </w:rPr>
        <w:softHyphen/>
        <w:t>стям, в связи с этим постройка опытного самолета Су-6 с АМ-42 является нецеле</w:t>
      </w:r>
      <w:r w:rsidRPr="007224C3">
        <w:rPr>
          <w:rFonts w:ascii="Times New Roman" w:hAnsi="Times New Roman" w:cs="Times New Roman"/>
          <w:b w:val="0"/>
          <w:bCs w:val="0"/>
          <w:color w:val="0070C0"/>
          <w:sz w:val="16"/>
          <w:szCs w:val="16"/>
        </w:rPr>
        <w:softHyphen/>
        <w:t>сообразной».</w:t>
      </w:r>
    </w:p>
    <w:p w14:paraId="459B84A9" w14:textId="77777777" w:rsidR="00FB3A90" w:rsidRPr="007224C3" w:rsidRDefault="00FB3A90"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Итоговый вывод сводился к тому, что по своим летным данным, технике пило</w:t>
      </w:r>
      <w:r w:rsidRPr="007224C3">
        <w:rPr>
          <w:rFonts w:ascii="Times New Roman" w:hAnsi="Times New Roman"/>
          <w:color w:val="0070C0"/>
          <w:sz w:val="16"/>
          <w:szCs w:val="16"/>
        </w:rPr>
        <w:softHyphen/>
        <w:t>тирования и управляемости Су-6 уступает Ил-10. К тому же государственные испы</w:t>
      </w:r>
      <w:r w:rsidRPr="007224C3">
        <w:rPr>
          <w:rFonts w:ascii="Times New Roman" w:hAnsi="Times New Roman"/>
          <w:color w:val="0070C0"/>
          <w:sz w:val="16"/>
          <w:szCs w:val="16"/>
        </w:rPr>
        <w:softHyphen/>
        <w:t>тания Су-6 АМ-42 еще не окончились, и официального акта НИИ ВВС подготов</w:t>
      </w:r>
      <w:r w:rsidRPr="007224C3">
        <w:rPr>
          <w:rFonts w:ascii="Times New Roman" w:hAnsi="Times New Roman"/>
          <w:color w:val="0070C0"/>
          <w:sz w:val="16"/>
          <w:szCs w:val="16"/>
        </w:rPr>
        <w:softHyphen/>
        <w:t>лено не было (19853).</w:t>
      </w:r>
    </w:p>
    <w:p w14:paraId="7A3D29B2" w14:textId="77777777" w:rsidR="00FB3A90" w:rsidRPr="007224C3" w:rsidRDefault="00FB3A90" w:rsidP="007224C3">
      <w:pPr>
        <w:spacing w:after="0" w:line="240" w:lineRule="auto"/>
        <w:jc w:val="both"/>
        <w:rPr>
          <w:rFonts w:ascii="Times New Roman" w:hAnsi="Times New Roman"/>
          <w:color w:val="0070C0"/>
          <w:sz w:val="16"/>
          <w:szCs w:val="16"/>
        </w:rPr>
      </w:pPr>
    </w:p>
    <w:p w14:paraId="3057CC2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июня 1944 Нач. 3 отдела НИИ ВВС ип Сафонов и Нач. штаба 3 отдела НИИ ВВС Авакимян письмом N 17/1834 дали справку:</w:t>
      </w:r>
    </w:p>
    <w:p w14:paraId="334061F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"Настоящим удостоверяем, что завод 156 предъявил в 3-й отдел НИИ ВВС самолет Ту-2 N 103 с 2хАМ-39 на совместные испытания 31 мая 1944.</w:t>
      </w:r>
    </w:p>
    <w:p w14:paraId="47FC14F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этот день в НИИ была передана вся техдокументация по самолету и был выполнен 1-й этап совместных испытаний по опробованию гидравлической системы и шасси.</w:t>
      </w:r>
    </w:p>
    <w:p w14:paraId="2CBDB48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 июня машина перелетела на аэродром НИИ." (2562,101).</w:t>
      </w:r>
    </w:p>
    <w:p w14:paraId="04C2921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6BD61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июня 1944 Зам. Нач. 7ГУ Алексеев подготовил сводку г-7 № 8034 о ходе испытаний высотных самолетов на 15 июня 1944 по Як-9 М-105ПД, Ла-5 АШ-82ФН и 2ТК-3, МиГ АМ-39А и 2ТК-2Б (1825).</w:t>
      </w:r>
    </w:p>
    <w:p w14:paraId="3F01511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ВЫСОТНЫЙ ИСТРЕБИТЕЛЬ МИГ С АМ-39Б И 2ТК-2Б.</w:t>
      </w:r>
    </w:p>
    <w:p w14:paraId="3090377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Полеты не производились из-за течи бензина в бензобаке.</w:t>
      </w:r>
    </w:p>
    <w:p w14:paraId="27ADC4B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самолет устанавливался новый бензобак. Очередной полет назначен на 16 июня с.г.</w:t>
      </w:r>
    </w:p>
    <w:p w14:paraId="505FDE6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ВЫСОТНЫЙ ИСТРЕБИТЕЛЬ ЯК-9 С ВК-105ПФ И ДВУХСТУПЕНЧАТЫМ НАГНЕТАТЕЛЕМ находится в ЦАГИ на отработке винто</w:t>
      </w:r>
      <w:r w:rsidRPr="007224C3">
        <w:rPr>
          <w:rFonts w:ascii="Times New Roman" w:hAnsi="Times New Roman"/>
          <w:color w:val="000000" w:themeColor="text1"/>
          <w:sz w:val="16"/>
          <w:szCs w:val="16"/>
        </w:rPr>
        <w:softHyphen/>
        <w:t>моторной группы.</w:t>
      </w:r>
    </w:p>
    <w:p w14:paraId="08E39A9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ВЫСОТНЫЙ ИСТРЕБИТЕЛЬ ЛА-5 С АШ-82ФН и 2ТК-3 производились отдельные работы по удучшешш винтоиторной группы. Самолет не обеспечен кондиционным мотором (1825).</w:t>
      </w:r>
    </w:p>
    <w:p w14:paraId="1EAE5AC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DDB93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июня 1944 Зам. Нач. 7ГУ Алексеев подготовил сводку г-7 № 8109 о ходе испытаний высотных самолетов на 16 июня 1944 по Як-9 М-105ПД, Ла-5 АШ-82ФН и 2ТК-3, МиГ АМ-39А и 2ТК-2Б (1825).</w:t>
      </w:r>
    </w:p>
    <w:p w14:paraId="521872C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ВЫСОТНЫЙ ИСТРЕБИТЕЛЬ МИГ С АМ-39Б И 2ТК-2Б.</w:t>
      </w:r>
    </w:p>
    <w:p w14:paraId="0EF78A9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Произведены два полета после доводки бензосистемы самолета с бензопомпой БНК-10</w:t>
      </w:r>
    </w:p>
    <w:p w14:paraId="498D98D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1-й полет - продолжительностью 40 мин, до высоты 9000 мт с включением второй скорости нагнетателя. В полете определена граница высотности на наборе вы</w:t>
      </w:r>
      <w:r w:rsidRPr="007224C3">
        <w:rPr>
          <w:rFonts w:ascii="Times New Roman" w:hAnsi="Times New Roman"/>
          <w:color w:val="000000" w:themeColor="text1"/>
          <w:sz w:val="16"/>
          <w:szCs w:val="16"/>
        </w:rPr>
        <w:softHyphen/>
        <w:t>соты на первой скорости нагнетателя - 8100 мт по прибору,</w:t>
      </w:r>
    </w:p>
    <w:p w14:paraId="582CD72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2-й полет - продолжительностью 40 мин, до высоты 11000 мт с включением второй скорости нагнетателя на высоте 9000 мт.</w:t>
      </w:r>
    </w:p>
    <w:p w14:paraId="4B46E0B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обоих полетах винтомоторная группа работала удовлет</w:t>
      </w:r>
      <w:r w:rsidRPr="007224C3">
        <w:rPr>
          <w:rFonts w:ascii="Times New Roman" w:hAnsi="Times New Roman"/>
          <w:color w:val="000000" w:themeColor="text1"/>
          <w:sz w:val="16"/>
          <w:szCs w:val="16"/>
        </w:rPr>
        <w:softHyphen/>
        <w:t>ьно и давление бензина от земли до высоты 11000 оставалось 0,35 атм.</w:t>
      </w:r>
    </w:p>
    <w:p w14:paraId="7927956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находится в летном состоянии и подготовлен к очередному полету.</w:t>
      </w:r>
    </w:p>
    <w:p w14:paraId="7E9AC6A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ВЫСОТНЫЙ ИСТРЕБИТЕЛЬ ЯК-9 С ВК-105ПФ И ДВУХСТУПЕНЧАТЫМ НАГНЕТАТЕЛЕМ</w:t>
      </w:r>
    </w:p>
    <w:p w14:paraId="12C531F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находится в ЦАГИ. Отработка винтомоторной группы закончена и производилась установка аппарату</w:t>
      </w:r>
      <w:r w:rsidRPr="007224C3">
        <w:rPr>
          <w:rFonts w:ascii="Times New Roman" w:hAnsi="Times New Roman"/>
          <w:color w:val="000000" w:themeColor="text1"/>
          <w:sz w:val="16"/>
          <w:szCs w:val="16"/>
        </w:rPr>
        <w:softHyphen/>
        <w:t>ры для замеров давлений, температуры и других харак</w:t>
      </w:r>
      <w:r w:rsidRPr="007224C3">
        <w:rPr>
          <w:rFonts w:ascii="Times New Roman" w:hAnsi="Times New Roman"/>
          <w:color w:val="000000" w:themeColor="text1"/>
          <w:sz w:val="16"/>
          <w:szCs w:val="16"/>
        </w:rPr>
        <w:softHyphen/>
        <w:t>теристик по охлаждению.</w:t>
      </w:r>
    </w:p>
    <w:p w14:paraId="321ABD7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ВЫСОТНЫЙ ИСТРЕБИТЕЛЬ ЛА-5 С АШ-82ФН и 2ТК-3.</w:t>
      </w:r>
    </w:p>
    <w:p w14:paraId="46E2D41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Производились отдельные работы по улучшению винтомотор</w:t>
      </w:r>
      <w:r w:rsidRPr="007224C3">
        <w:rPr>
          <w:rFonts w:ascii="Times New Roman" w:hAnsi="Times New Roman"/>
          <w:color w:val="000000" w:themeColor="text1"/>
          <w:sz w:val="16"/>
          <w:szCs w:val="16"/>
        </w:rPr>
        <w:softHyphen/>
        <w:t>ной группы. Самолет не обеспечен кондиционным мотором (1825).</w:t>
      </w:r>
    </w:p>
    <w:p w14:paraId="06F07FF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69938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17 июня по 12 августа 1944 на Як-9У с М-107А № 25-021 в ходе гос. испытания было произведено 54 полета общей продолжительностью более 40 часов. Бригада работала практически без перерыва два месяца над одним объектом - редкий случай в истории института! Но и задачи стояли непростые. Предстояло не только дать оценку летно-тактических данных нового самолета, но и подобрать режимы набора высоты и горизонтального полета, чтобы температура ВМГ находилась в пределах технических условий.</w:t>
      </w:r>
    </w:p>
    <w:p w14:paraId="144E4EE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Прежде всего приведу несколько цифр, которые характеризовали основные летно-тактические данные Як-9У № 25-021. При полетном весе 3194 кг истребитель развивал максимальную скорость 562 км/ч у земли и 554 км/ч на второй границе высотности 5150 м. Высоту 5000 м Як-9У набирал за 5,24 мин. Эти данные были получены при использовании боевого режима (3200 об/м) для горизонтального полета и номинального режима (3000 об/м) при наборе высоты. Однако, при теплой летней погоде, которая стояла в июне-июле очень быстро перегревались вода и масло. Так, при наборе высоты летчику приходилось увеличить скорость относительно наивыгоднейшей и сократить обороты до 2800 в минуту - иначе, чтобы охладить воду и масло приходилось постоянно выполнять так называемые “площадки”, даже при полностью открытых заслонках радиаторов. При номинальном режиме в горизонтальном полете истребитель развил максимальную скорость 545 км/ч у земли и 629 км/ч на высоте 4900 м, а на набор потолка в 5000 м он тратил 6,11 мин.</w:t>
      </w:r>
    </w:p>
    <w:p w14:paraId="1B34F29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Летчик-испытатель В.И.Хомяков считал, что в целом мотор работал удовлетворительно. Его основными претензиями были: жара и отсутствие вентиляции в кабине, быстро утомлявшие пилота, а также сильная вибрация всех приборов, установленных на приборной доске, из-за тряски мотора. Совершенно недостаточной оказалась дальность радиосвязи самолета с землей. При полете на высоте 1000 м можно было разобрать передаваемую информацию лишь на расстоянии 35-40 км, а то время как по техническим условиям эта величина должна была составлять не менее 80-100 км.</w:t>
      </w:r>
    </w:p>
    <w:p w14:paraId="594B776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заключении говорилось, что головной серийный самолет Як-9У прошел государственные испытания неудовлетворительно. На нескольких листах военные инженеры и летчики НИИ ВВС изложили перечень основных претензий к самолету, особо подчеркнув те, которые необходимо было устранить а сроч-чом порядке, до поступления серийных самолетов в действующую армию (4842).</w:t>
      </w:r>
    </w:p>
    <w:p w14:paraId="3F31720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EF6F4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июня 1944 вышел приказ НКАП N 395с:</w:t>
      </w:r>
    </w:p>
    <w:p w14:paraId="0A8D95C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"В развитие приказа N 478с от 6 августа 1943 о постройке модификации самолета Ли-2 с 2хАШ-82ФН:</w:t>
      </w:r>
    </w:p>
    <w:p w14:paraId="74B7744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Директору завода 84 Ярунину и ГК Мосолову:</w:t>
      </w:r>
    </w:p>
    <w:p w14:paraId="3CF43C6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оборудовать построенный самолет Ли-2 с АШ-82ФН в пассажирском варианте под 21 место и передать на гос. испытания к 1 августа 1944.</w:t>
      </w:r>
    </w:p>
    <w:p w14:paraId="00BE243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спроектировать и изготовить комплект крыльев с доп. баками к 15 августа 1944 в целях увеличения дальности самолета (1671,110).</w:t>
      </w:r>
    </w:p>
    <w:p w14:paraId="19813CC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05B1D5"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0B83E9F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1578634" w14:textId="77777777" w:rsidR="004F0E23" w:rsidRPr="007224C3" w:rsidRDefault="004F0E2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17 июня 1944, в 14-ю годовщину своего основания, Сталинградский тракторный выпустил первый трак</w:t>
      </w:r>
      <w:r w:rsidRPr="007224C3">
        <w:rPr>
          <w:rFonts w:ascii="Times New Roman" w:hAnsi="Times New Roman"/>
          <w:color w:val="0070C0"/>
          <w:sz w:val="16"/>
          <w:szCs w:val="16"/>
        </w:rPr>
        <w:softHyphen/>
        <w:t>тор СХТЗ-НАТИ военного времени (22518).</w:t>
      </w:r>
    </w:p>
    <w:p w14:paraId="65C436A1" w14:textId="77777777" w:rsidR="004F0E23" w:rsidRPr="007224C3" w:rsidRDefault="004F0E23" w:rsidP="007224C3">
      <w:pPr>
        <w:spacing w:after="0" w:line="240" w:lineRule="auto"/>
        <w:jc w:val="both"/>
        <w:rPr>
          <w:rFonts w:ascii="Times New Roman" w:hAnsi="Times New Roman"/>
          <w:color w:val="0070C0"/>
          <w:sz w:val="16"/>
          <w:szCs w:val="16"/>
        </w:rPr>
      </w:pPr>
    </w:p>
    <w:p w14:paraId="5EB2B587"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июня 1944 вышло Постановление ГКО № 6057 Об ускорении погрузочно-разгрузочных работ и сокращении простоев вагонов на подъездных путях промышленных предприятий. (7241, 97-105,106-148).</w:t>
      </w:r>
    </w:p>
    <w:p w14:paraId="08EADE9D"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56AF1A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июня 1944 вышло Постановление ГКО № 6058 О мероприятиях по обеспечению добычи сульфата натрия на комбинате "Карабогазсульфат" Наркомхимпрома. РГАНИР, Фонд ГКО, д. 264, лл. 149-155,156-159 (11012).</w:t>
      </w:r>
    </w:p>
    <w:p w14:paraId="62C615A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43943B0"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июня 1944 вышло Постановление ГКО № 6059 Об обеспечении погрузки продукции заводов Наркомбоеприпасов и сокращении простоев вагонов на этих заводах. (7241, 160-163,164-167).</w:t>
      </w:r>
    </w:p>
    <w:p w14:paraId="03E6B499"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4AAF62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июня 1944 вышло Постановление ГКО № 6060 Об организации производства электроторпед ЭТ-80 на заводе № 181 НКсудпрома. РГАНИР, Фонд ГКО, д. 264, лл. 168-175,176-184 (11012).</w:t>
      </w:r>
    </w:p>
    <w:p w14:paraId="6DB1DBD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B4C4868"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июня 1944 вышло Постановление ГКО № 6061 О мероприятиях по восстановлению хозяйства войск НКВД и органов НКВД - НКГБ в освобожденных районах. (7241, 185-187,188-195).</w:t>
      </w:r>
    </w:p>
    <w:p w14:paraId="1882B4B2"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95ACE4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июня 1944 вышло Постановление ГКО № 6062 О дополнительных мероприятиях по материально-техническому обеспечению в 1944 г. восстановительных работ на заводах Наркомсудпрома в г. Ленинграде. РГАНИР, Фонд ГКО, д. 264, лл. 196-200,201-202 (11012).</w:t>
      </w:r>
    </w:p>
    <w:p w14:paraId="5BA7794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2E4F86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июня 1944 вышло Постановление ГКО № 6063 О восстановлении производства приборов для морских мин, измерительных гидравлических приборов и манометров на площадях завода № 336 Наркомсудпрома в г. Киеве. РГАНИР, Фонд ГКО, д. 264, лл. 203-206,207 (11012).</w:t>
      </w:r>
    </w:p>
    <w:p w14:paraId="65197BA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DAA7EE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июня 1944 вышло Постановление ГКО № 6064 О первоочередных мероприятиях по восстановлению электростанций г. Одессы. РГАНИР, Фонд ГКО, д. 265, лл. 1-4,5-7 (11012).</w:t>
      </w:r>
    </w:p>
    <w:p w14:paraId="30D342B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3B2C49D"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июня 1944 вышло Постановление ГКО № 6065 О первоочередных мероприятиях по восстановлению речного флота Нижнего Днепра и Южного Буга Днепровского бассейна. (7242, 8-12,13-23).</w:t>
      </w:r>
    </w:p>
    <w:p w14:paraId="6C2D90FA"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B1FADC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июня 1944 вышло Постановление ГКО № 6066 О мероприятиях по окончанию восстановления предприятий Донбассводтреста Наркомчермета. РГАНИР, Фонд ГКО, д. 265, лл. 24-29,30-31 (11012).</w:t>
      </w:r>
    </w:p>
    <w:p w14:paraId="795A4E9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885992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июня 1944 вышло Постановление ГКО № 6067 О восстановлении электростанций и электросетей гор. Новороссийска. РГАНИР, Фонд ГКО, д. 265, лл. 32-36,37-43 (11012).</w:t>
      </w:r>
    </w:p>
    <w:p w14:paraId="58520E5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EFC116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июня 1944 вышло Постановление ГКО № 6068 О мероприятиях по обеспечению строительства Бакинского трубопрокатного завода Наркомчермета. РГАНИР, Фонд ГКО, д. 265, лл. 44-53,54-64 (11012).</w:t>
      </w:r>
    </w:p>
    <w:p w14:paraId="07340C9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2D489F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июня 1944 вышло Постановление ГКО № 6069 О частичном восстановлении электростанций г. Николаева. РГАНИР, Фонд ГКО, д. 265, лл. 65-69,70-72 (11012).</w:t>
      </w:r>
    </w:p>
    <w:p w14:paraId="5EBEE6D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CAB5D1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июня 1944 вышло Распоряжение ГКО № 6072. О поставке НКВМФ аппаратуры по тралению мин. РГАНИР, Фонд ГКО, д. 265, лл. 92 (11012).</w:t>
      </w:r>
    </w:p>
    <w:p w14:paraId="351E122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DABCFE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июня 1944 вышло Постановление ГКО № 6073 Об обеспечении электроэнергией угольных шахт и промышленных предприятий Карагандинского района. РГАНИР, Фонд ГКО, д. 265, лл. 93-95 (11012).</w:t>
      </w:r>
    </w:p>
    <w:p w14:paraId="23542B1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F06A89C"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июня 1944 вышло Постановление ГКО № 6074 О выделении автомашин, автоприцепов, самосвалов и тракторов для восстановления электростанций, промышленных предприятий и морских портов. (7242, 96,97-98).</w:t>
      </w:r>
    </w:p>
    <w:p w14:paraId="6D7F67E6"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BC1CCE1"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июня 1944 вышло Распоряжение ГКО № 6075 [О мерах по доставке лесоматериалов на важнейшие стройки НКЧМ, НКЦМ, НКТП, НКБ, НКВ, НКТМ, НКСМ, НКХП и заводские электростанции.] (7242, 99-100,101-112).</w:t>
      </w:r>
    </w:p>
    <w:p w14:paraId="64DDA3FC"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5E8E8FE"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июня 1944 вышло Распоряжение ГКО № 6076 [О дополнительной поставке НКПС горюче-смазочных материалов.] (7242, 113).</w:t>
      </w:r>
    </w:p>
    <w:p w14:paraId="733F2812"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8F1258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июня 1944 вышло Постановление ГКО № 6080 О строительстве деревянных речных барж и расширении производственной базы деревянного судостроения в Енисейском бассейне. РГАНИР, Фонд ГКО, д. 265, лл. 119-123,124-127 (11012).</w:t>
      </w:r>
    </w:p>
    <w:p w14:paraId="3639E14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584E2FE"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июня 1944 восстановлена работа Сталинградского тракторного завода (4962).</w:t>
      </w:r>
    </w:p>
    <w:p w14:paraId="360527EE"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ED9A06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июня 1944 г. вышло постановление ГКО № 6060 об организации на заводе (Государственный завод «Двигатель» № 181 НКОП, НКСП, МСП, МТиТМ, «Заведение типографских принадлежностей», «Механический чугунолитейный завод « Г.А. Лесснер», Завод «Старый Лесснер», Механический завод № 1 Русского АО соединенных механических заводов, Петроградский государственный завод № 4 среднего машиностроения, Государственный механический завод № 29 «Торпедо», Ленинградский государственный минный завод «Торпедо» ВСНХ, Завод «Двигатель» ВСНХ, НКТП, НКОП, ФГУП СКБ «Завод «Двигатель», ОАО «Завод «Двигатель» /г. Санкт-Петербург,  г. Петроград,  г. Ленинград «Сдвиг»/ /194044  г. Санкт-Петербург Пироговская наб., 13 тел. 542-01-21, 292-27-14/) производства электроторпед ЭТ-80.</w:t>
      </w:r>
    </w:p>
    <w:p w14:paraId="7DEAE86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1946 г. завод № 181 - в ведении МСП, в 03.1953-05.1954 г. - МТиТМ, затем - снова в МСП, в 1957-65 г. - в ведении Управления судостроительной промышленности ЛенСНХ. В 1966 г. завод присоединен к НИИ-400 в качестве опытного производства.</w:t>
      </w:r>
    </w:p>
    <w:p w14:paraId="37E1B92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Кроме работ по основному профилю, завод изготавливал системы автоматического управления и регулирования ЯЭУ АПЛ и ледоколов «Ленин», «Арктика», «Сибирь», «Россия».</w:t>
      </w:r>
    </w:p>
    <w:p w14:paraId="698957B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Производство (2003-07 г.): самонаводящиеся, телеуправляемые электрические торпеды; донные и самотранспортирующиеся мины; приборы гидроакустического противодействия; подводные самотранспортирующиеся средства доставки водолазов; подготовка производства торпед: универсальной глубоководной самонаводящейся УГСТ и электрической ТЭ-2.</w:t>
      </w:r>
    </w:p>
    <w:p w14:paraId="54F646E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1973 г. завод входил в состав НПО «Уран». В 2003 г. имел форму ФГУП. По Указу Президента РФ № 1009 от 4.08.2004 г. ОАО вошло в число стратегических оборонных предприятий. Входило в состав концерна «Морское подводное оружие» (2007 г.).</w:t>
      </w:r>
    </w:p>
    <w:p w14:paraId="070A830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Располагался на одной территории с ЦНИИ «Гидроприбор».</w:t>
      </w:r>
    </w:p>
    <w:p w14:paraId="39507F9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(-1911-07.1917 г.-)- М.С. Плотников, (1926-3 lr!)- Н.К. Чеснов, (1931-34; 7.09.1937-07.1938 г.-)- Д.Н. Никаноров, (-10.1936 г.)- Абрамов (репрессирован); и.о. (1936 г.)- Ф.М. Ломанов; (1.02-16.05.1937 г.)- Ф.М. Ломанов; и.о. (29.05-7.09.1937 г.)- Б.А. Хазанов; (10.1938 г.)- Никаноров, (1939-41 г.)- М.Б. Розенштейн, (1941- 50 г.)- Б.П. Румянцев, (1950-62 г.)- Е.Т. Николаев, (1962-70 г.)-  Г.Д. Кортажев, (1970-83 г.)- ГЛ. Корсаков, "(1983- 90 г.)-  Г.Н. Худин, (1991-2005 г.-)- В.А. Иванов.</w:t>
      </w:r>
      <w:r w:rsidRPr="007224C3">
        <w:rPr>
          <w:rFonts w:ascii="Times New Roman" w:hAnsi="Times New Roman"/>
          <w:color w:val="000000" w:themeColor="text1"/>
          <w:sz w:val="16"/>
          <w:szCs w:val="16"/>
          <w:vertAlign w:val="superscript"/>
        </w:rPr>
        <w:t>101</w:t>
      </w:r>
      <w:r w:rsidRPr="007224C3">
        <w:rPr>
          <w:rFonts w:ascii="Times New Roman" w:hAnsi="Times New Roman"/>
          <w:color w:val="000000" w:themeColor="text1"/>
          <w:sz w:val="16"/>
          <w:szCs w:val="16"/>
        </w:rPr>
        <w:t xml:space="preserve"> Гендиректор (2007 г.)- П.В. Черепанов.</w:t>
      </w:r>
    </w:p>
    <w:p w14:paraId="603C004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Начальник строительства- Лидванов, (1937 г.)- Иванов. Зам. директора: по ПВО и охране (19.07.1938 г.-)- П.П. Владиславов; (-06-7.09.1937; 25.09.1937 г.-)- П.М. Кнышев; и.о. 2-го зам. директора (20.08.1937 г.-)- А.П. Сальковский. Помощник директора: и.о. (-20.08.1937 г.)-  Г.В. Галкин; по найму и увольнению (06.1937 г.)- А.Ф. Тимофеев; по коммерческой части (1937 г.)- Андреев.</w:t>
      </w:r>
    </w:p>
    <w:p w14:paraId="78E45D2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технический (-1936 г.)- Виленский, (7.09.1937 г.-)- И.К. Германович, (23.11.1938 г.-)- Ф.И. Горбатов; коммерческий (-10.1936 г.)- Лисичкин (репрессирован).</w:t>
      </w:r>
    </w:p>
    <w:p w14:paraId="6BD61FB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директора: коммерческого (-10.1936 г.)- Белов (репрессирован).</w:t>
      </w:r>
    </w:p>
    <w:p w14:paraId="108CAAF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инженер (08.1936 г.)- Виленский (репрессирован); и.о. (1936 г.)- Ф.М. Ломанов; (-06-7.09.1937; 25.09.1937 г.- )- П.М. Кнышев, (-02-09.1938 г.-)- Ф.И. Горбатов, (-21.11.1938 г.)- И.К. Германович (снят); и.о (-23.11.1938 г.)- Ф.И. Горбатов; (23.11.1938 г.-)- Б.П. Румянцев.</w:t>
      </w:r>
    </w:p>
    <w:p w14:paraId="7F88AC8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конструктор (02.1937 г.)- Волков.</w:t>
      </w:r>
    </w:p>
    <w:p w14:paraId="3950E56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технолог (-23.11.1938 г.)- Б.П. Румянцев.</w:t>
      </w:r>
    </w:p>
    <w:p w14:paraId="6F7E93F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производства (23.11.1938 г.-)- Б.П. Румянцев.</w:t>
      </w:r>
    </w:p>
    <w:p w14:paraId="6600216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Начальники цехов: сборочного (02.1937 г.)- Осокин; литейного (01.1937 г.)- Лебедев.</w:t>
      </w:r>
    </w:p>
    <w:p w14:paraId="2E0D89B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начальника цеха: № 3 (08.1937 г.)- Сердцев; сборочного (02.1937 г.)- Сердцев.</w:t>
      </w:r>
    </w:p>
    <w:p w14:paraId="5869E90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Начальники отделов: КО (09.1938 г.)- Тимофеев; технического (02.1938 г.)- Зиновьев; ОТК (02.1937 г.)- Кнышев; ППО (-10.1936 г.)- Морозов (репрессирован); планового (1937 г.)- Шемаханов; снабжения (1930-е)- Жестянников (репрессирован); ОКС (1936 г.)- Соловьев; внешних связей и маркетинга (2006 г.)- Ю.А. Мельников.</w:t>
      </w:r>
    </w:p>
    <w:p w14:paraId="721DBBC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начальника отдела: ППО (10.1936 г.)- Клюйко (репрессирован).</w:t>
      </w:r>
    </w:p>
    <w:p w14:paraId="79B9ECB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Производство: ПЛ С.К. Джевецкого (1882-83)- 50 (вместе с Невским заводом), полуподводная лодка «Кета» пр. С.А. Яновича (1904-05), сборка ПЛ Лэка «Осетр» (1905); холодильные машины Вестингауз-Леблан и артиллерийские элеваторы для линкоров и крейсеров (1910-14), воздухонагнетательные насосы торпедных аппаратов для крейсеров (1910-е); торпеды: мина Уайтхеда (1883-89)- 176; парогазовые Т-53-27 (1937), Т-53-38 (- 1938-40-), Т-53-39, Т-45-36; электрические Т-53-36 (Д-4, 1935-38)- 117, ЭТ-80 (1942-), ЭТ-46 (1946-); радиоуправляемая «Акула-1» (1937), самонаводящиеся САЭТ-50 (1950-), САЭТ-50М (1954-), СЭТ-53 (1950-), СЭТ-53М (1960-е), СЭТ-65 (1970-е), СЭТ-65А для АПЛ, телеуправляемые ТЭСТ-68 (1968-), ТЭСТ-71 (1970-е), ТЭСТ-71МЭ-НК (2001-); Д-5, Д-10 (опытные, 1937); мины; автомобили: почтовый фургон (1904)- 14, легковые, грузовики на 1,2 т и 2 т, пожарные машины, фургоны, автобусы (1904-09), автомобиль для Предсовмина России (1906); катерный электромагнитный караван-трал КЭМПТ; пистолет-пулемет ППД-40, пистолет «Балтиец», детали к авиабомбам, PC М-13 (ВОВ); аппаратура самонаведения «Сапфир» (1980-е), средство акустического противодействия МГ-74; минно-ракетный и минно-торпедный ПЖ МРПК-1, МТПК-1, МТПК-2, авиационная противодесантная донная мина АПДМ (1980-е); самоходное средство для водолазов «Сирена» (1959-), «Сирена- УМЭ» (2000-е); аппарат «Марина», буксировщики аквалангиста «Нептун», «Протон-У», СОМ-1;</w:t>
      </w:r>
      <w:r w:rsidRPr="007224C3">
        <w:rPr>
          <w:rFonts w:ascii="Times New Roman" w:hAnsi="Times New Roman"/>
          <w:color w:val="000000" w:themeColor="text1"/>
          <w:sz w:val="16"/>
          <w:szCs w:val="16"/>
          <w:vertAlign w:val="superscript"/>
        </w:rPr>
        <w:t xml:space="preserve">23 </w:t>
      </w:r>
      <w:r w:rsidRPr="007224C3">
        <w:rPr>
          <w:rFonts w:ascii="Times New Roman" w:hAnsi="Times New Roman"/>
          <w:color w:val="000000" w:themeColor="text1"/>
          <w:sz w:val="16"/>
          <w:szCs w:val="16"/>
        </w:rPr>
        <w:t>транспортировочно-спасательная система «Акья» (2000-е); электрофон УРГ, электропроигрыватель «Аврора»; бытовой газовый комплекс НГБ.</w:t>
      </w:r>
    </w:p>
    <w:p w14:paraId="6CBB8C2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Опытно-конструкторский отдел (ОКО) завода «Двигатель», ЦКБ-39 НКОП, НКСП</w:t>
      </w:r>
    </w:p>
    <w:p w14:paraId="71FDE79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Велась разработка новых образцов торпед: Д-5 (1935-36 г.), Д-6 (проект), ПБ-7 (авторы Перля, Брун, в 1936 г.- опытный образец), Д-10 (проектировалась в 1936 г.), ДД-9 (с кислородным двигателем), ПБ-9.</w:t>
      </w:r>
    </w:p>
    <w:p w14:paraId="34A9E00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ОКО имел свою производственную базу (30 станков) (1936 г.). По пр. № 0214 от 26.09.1937 г. на базе КО завода и соответствующего отдела Остехупра организовано ЦКБ-39 в ведении вновь созданного 17ГУ. ЦКБ предан в качестве опытно-экспериментального завод им. Ворошилова (с мастерскими «Красный изобретатель» при нем). По пр. № 0238 от 5.11.1937 г. ЦКБ-39 размещено вместе с ЦКБ-36 в здании бывшего КБ-21. В 02.1939 г. из 17ГУ передано в ведение НКСП.</w:t>
      </w:r>
    </w:p>
    <w:p w14:paraId="7404162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 № 415сс от 28/29.10.1938 г. ЦКБ совместно с заводом № 231 требовалось к 1.12.1938 г. изготовить две опытные торпеды «53-39». Для форсирования работ по торпеде ACT требовалось к 25.12.1938 г. закончить проект переоборудования бывшего газового завода в Ленинграде под спецлабораторию ЦКБ-39.</w:t>
      </w:r>
    </w:p>
    <w:p w14:paraId="5BD1C28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1941 г. ЦКБ-39 ликвидировано, образовав вместе с ЦКБ-36 ОКБ завода № 231 НКСП.</w:t>
      </w:r>
      <w:r w:rsidRPr="007224C3">
        <w:rPr>
          <w:rFonts w:ascii="Times New Roman" w:hAnsi="Times New Roman"/>
          <w:color w:val="000000" w:themeColor="text1"/>
          <w:sz w:val="16"/>
          <w:szCs w:val="16"/>
          <w:vertAlign w:val="superscript"/>
        </w:rPr>
        <w:t>61</w:t>
      </w:r>
    </w:p>
    <w:p w14:paraId="1921C86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(2.02-5.11.1938 г.)- П.Я. Кононов, (5.11.1938 г.-)- М.П. Максимов.</w:t>
      </w:r>
    </w:p>
    <w:p w14:paraId="401128A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 конструктор группы № 4 (12.1938 г.)-  Г. Диллон.</w:t>
      </w:r>
      <w:r w:rsidRPr="007224C3">
        <w:rPr>
          <w:rFonts w:ascii="Times New Roman" w:hAnsi="Times New Roman"/>
          <w:color w:val="000000" w:themeColor="text1"/>
          <w:sz w:val="16"/>
          <w:szCs w:val="16"/>
          <w:vertAlign w:val="superscript"/>
        </w:rPr>
        <w:t>139</w:t>
      </w:r>
    </w:p>
    <w:p w14:paraId="6D523CD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СКВ завода № 181</w:t>
      </w:r>
    </w:p>
    <w:p w14:paraId="06F5666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соответствии с пост. ГКО № 2318 от 17.09.1942 г. торпеда ЭТ-80 и глубоководный минный защитник ГМЗ пнв. В соответствии с ПСМ № 1120-583 от 15.08.1956 г. торпеда ЭТ-56 пнв.</w:t>
      </w:r>
    </w:p>
    <w:p w14:paraId="0F65D31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1961-63 г. велись работы по первой отечественной телеуправляемой по проводам торпеде ТЭСТ-68 (разработка РКД и изготовление опытных образцов).</w:t>
      </w:r>
    </w:p>
    <w:p w14:paraId="505FB4C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Проведена модернизация самоходного носителя водолазов «Сирена» в «Сирена-УМ». Затем были разработаны собственные модели буксировщиков водолазов.</w:t>
      </w:r>
    </w:p>
    <w:p w14:paraId="02A7229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Ведущие конструкторы: (1950-е)-  Г.Д. Карташев, (1950-е)- В.А. Косарев, (1950-е)- Д.А. Петров, (-1943-50-е)- Н.Н. Шамарин, (1950-е)- И.П. Яковлев.</w:t>
      </w:r>
    </w:p>
    <w:p w14:paraId="60E5DA3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Создано: электроторпеды: ЭТ-80 (пнв 17.09.1942 г.), ЭТ-46 (1945, на базе трофейной G-7E),</w:t>
      </w:r>
      <w:r w:rsidRPr="007224C3">
        <w:rPr>
          <w:rFonts w:ascii="Times New Roman" w:hAnsi="Times New Roman"/>
          <w:color w:val="000000" w:themeColor="text1"/>
          <w:sz w:val="16"/>
          <w:szCs w:val="16"/>
          <w:vertAlign w:val="superscript"/>
        </w:rPr>
        <w:t>61</w:t>
      </w:r>
      <w:r w:rsidRPr="007224C3">
        <w:rPr>
          <w:rFonts w:ascii="Times New Roman" w:hAnsi="Times New Roman"/>
          <w:color w:val="000000" w:themeColor="text1"/>
          <w:sz w:val="16"/>
          <w:szCs w:val="16"/>
        </w:rPr>
        <w:t xml:space="preserve"> ЭТ-56 (пнв 15.08.1956 г.); самонаводящаяся САЭТ-60 (1950-е), СЭТ-65КЭ; телеуправляемая по проводам ТЭСТ-68 (пнв в 1968 г.), ТЭСТ-71МК (с аппаратурой самонаведения «Керамика»), универсальная ТЭСТ-71МЭ-НК (2000-е); буксировщики водолазов «Сирена», «Сирена-К, -М», «Гроздь», «Анемона-АК», «Нептун», «Протон-У», «Сом-1» (1970-2001) (11982).</w:t>
      </w:r>
    </w:p>
    <w:p w14:paraId="6CF112A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7664525"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2977959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BB303D8" w14:textId="77777777" w:rsidR="009C5E2F" w:rsidRPr="007224C3" w:rsidRDefault="009C5E2F"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17 июня</w:t>
      </w:r>
      <w:r w:rsidRPr="007224C3">
        <w:rPr>
          <w:rFonts w:ascii="Times New Roman" w:hAnsi="Times New Roman"/>
          <w:color w:val="000000" w:themeColor="text1"/>
          <w:sz w:val="16"/>
          <w:szCs w:val="16"/>
        </w:rPr>
        <w:t xml:space="preserve"> в 1944 году оперативная сводка Совинформбюро:</w:t>
      </w:r>
    </w:p>
    <w:p w14:paraId="4DA75993" w14:textId="77777777" w:rsidR="009C5E2F" w:rsidRPr="007224C3" w:rsidRDefault="009C5E2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17 июня на Карельском перешейке наши войска, продолжая успешно развивать наступление, с боями заняли более 120 населённых пунктов, в том числе Маяканмяки, Этукюля, Тарккала, Карьялайнен, Томмила, Халила, Варпулила, Каукярванкюля, Перкярви, Рихисюрья, Вуотта, Расули, Палкевала, Рикола, Косела и железнодорожные станции Коулемаярви, Перкярви, Расули.</w:t>
      </w:r>
    </w:p>
    <w:p w14:paraId="282429A8" w14:textId="77777777" w:rsidR="009C5E2F" w:rsidRPr="007224C3" w:rsidRDefault="009C5E2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 без перемен.</w:t>
      </w:r>
    </w:p>
    <w:p w14:paraId="0E5ECFED" w14:textId="77777777" w:rsidR="009C5E2F" w:rsidRPr="007224C3" w:rsidRDefault="009C5E2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16 июня на всех фронтах в воздушных боях и огнём зенитной артиллерии сбито 17 самолётов противника.</w:t>
      </w:r>
    </w:p>
    <w:p w14:paraId="665B6BEC" w14:textId="77777777" w:rsidR="009C5E2F" w:rsidRPr="007224C3" w:rsidRDefault="009C5E2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Карельском перешейке наши войска продолжали успешное наступление и заняли более 120 населённых пунктов. Продвижение наших частей было настолько стремительным, что финны не успели взорвать заминированный мост через один водный рубеж. Противник несёт огромные потери. За один день части Н-ского соединения вывели из строя до 2 тысяч финских солдат и офицеров и взяли много пленных. Захвачено 17 орудий, 20 миномётов и 67 пулемётов. Успешно действуют советские танкисты. Экипаж танка лейтенанта Жахова в одном бою разгромил два дзота и уничтожил 50 финнов. Экипаж танка старшего лейтенанта Власюка в течение дня участвовал в семи атаках. Танкисты уничтожили несколько дзотов и истребили роту финских автоматчиков. Танковый экипаж гвардии младшего лейтенанта Иванского с тыла напал на финскую противотанковую артиллерийскую батарею, уничтожил орудийные расчёты и захватил 3 исправных орудия. Наши штурмовики и истребители активно поддерживали наземные войска. Советские летчики наносили удары по подходящим резервам противника и уничтожили до 60 автомашин с вражеской пехотой и несколько десятков повозок с боеприпасами. Пушечно-пулемётным огнем наши штурмовики рассеяли и частью уничтожили несколько колонн финской пехоты на подходах к району боевых действий. В воздушных боях сбито 15 финских самолётов.</w:t>
      </w:r>
    </w:p>
    <w:p w14:paraId="5C4818BF" w14:textId="77777777" w:rsidR="009C5E2F" w:rsidRPr="007224C3" w:rsidRDefault="009C5E2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Юго-восточнее города Витебск пехота противника предприняла ночью разведку боем. Ружейно-пулемётным огнём гитлеровцы были рассеяны. Перед нашими позициями немцы оставили 40 трупов своих солдат и офицеров.</w:t>
      </w:r>
    </w:p>
    <w:p w14:paraId="54EA3353" w14:textId="77777777" w:rsidR="009C5E2F" w:rsidRPr="007224C3" w:rsidRDefault="009C5E2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2 Украинском фронте подразделение под командованием капитана Романова прорвалось в тыл противника. В течение 12 дней наши бойцы действовали в тылу врага. За это время они разбили румынский батальон и взяли в плен командира батальона капитана Михалеску. Захватив трофеи, в том числе 12 пулемётов, подразделение вернулось в свою часть.</w:t>
      </w:r>
    </w:p>
    <w:p w14:paraId="37BFCC1F" w14:textId="77777777" w:rsidR="009C5E2F" w:rsidRPr="007224C3" w:rsidRDefault="009C5E2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ночь на 16 июня группа торпедных катеров Краснознамённого Балтийского флота нанесла удар по кораблям противника в Нарвском заливе. Нашими катерами потоплены три немецких тральщика.</w:t>
      </w:r>
    </w:p>
    <w:p w14:paraId="54069A5A" w14:textId="77777777" w:rsidR="009C5E2F" w:rsidRPr="007224C3" w:rsidRDefault="009C5E2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Несколько белорусских партизанских отрядов, действующих в Минской области, за месяц пустили под откос 24 немецких воинских эшелона. Нападая на врага из засад у шоссейных и грунтовых дорог, партизаны уничтожили 43-автомашины и истребили более 200 гитлеровцев.</w:t>
      </w:r>
    </w:p>
    <w:p w14:paraId="1C5C476A" w14:textId="77777777" w:rsidR="009C5E2F" w:rsidRPr="007224C3" w:rsidRDefault="009C5E2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Немецкие солдаты, захваченные в плен на различных участках советско-германского фронта, сообщают, что известие о высадке войск союзников в Северной Франции произвело на них ошеломляющее впечатление. Пленный батальонный врач 930 немецкого охранного полка Халенд заявил: «Нам всё время говорили, что на побережье построены неприступные укрепления. Немецкие газеты, ссылаясь на официальные источники, писали, что никакая человеческая сила не в состоянии преодолеть эти укрепления. Это повторялось изо дня в день на всевозможные лады. В конце концов солдаты и офицеры на фронте поверили, что атлантический вал действительно неуязвим. Англо-американские войска, высадившиеся на побережье, опровергли все эти хвастливые утверждения. Успех англо-американских войск в Северной Франции ещё более подорвал веру немецких солдат в своё военное руководство. Многие солдаты и офицеры убедились, что Гитлер их дурачил и обманывал».</w:t>
      </w:r>
    </w:p>
    <w:p w14:paraId="1B2C6362" w14:textId="77777777" w:rsidR="009C5E2F" w:rsidRPr="007224C3" w:rsidRDefault="009C5E2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Пленный солдат штабной роты 545 немецкого полка Иоганн Фелингер рассказал: «Солдаты были подавлены известием о высадке англо-американских войск во Франции. Мнение многих солдат сводится к тому, что в скором времени война будет перенесена на территорию Германии».</w:t>
      </w:r>
    </w:p>
    <w:p w14:paraId="10ED7115" w14:textId="77777777" w:rsidR="009C5E2F" w:rsidRPr="007224C3" w:rsidRDefault="009C5E2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Перешедший на сторону Красной Армии солдат 546 немецкого полка Вильгельм Р. сообщил: «Сообщение о высадке англо-американских войск во Франции вызвало большое возбуждение в полку. В тесном кругу солдаты оживлённо обсуждают создавшееся положение. Почти все считают начавшееся вторжение во Францию </w:t>
      </w:r>
      <w:r w:rsidRPr="007224C3">
        <w:rPr>
          <w:rFonts w:ascii="Times New Roman" w:hAnsi="Times New Roman"/>
          <w:color w:val="000000" w:themeColor="text1"/>
          <w:sz w:val="16"/>
          <w:szCs w:val="16"/>
        </w:rPr>
        <w:lastRenderedPageBreak/>
        <w:t>предвестником разгрома Германии. Даже офицеры пади духом. С тех пор, как стало известно о высадке во Франции, солдаты живут в нервном напряжении. Все со страхом ожидают наступления русских» (14925).</w:t>
      </w:r>
    </w:p>
    <w:p w14:paraId="0017FB3D" w14:textId="77777777" w:rsidR="009C5E2F" w:rsidRPr="007224C3" w:rsidRDefault="009C5E2F" w:rsidP="007224C3">
      <w:pPr>
        <w:spacing w:after="0" w:line="240" w:lineRule="auto"/>
        <w:jc w:val="both"/>
        <w:rPr>
          <w:rFonts w:ascii="Times New Roman" w:hAnsi="Times New Roman"/>
          <w:color w:val="000000" w:themeColor="text1"/>
          <w:sz w:val="16"/>
          <w:szCs w:val="16"/>
        </w:rPr>
      </w:pPr>
    </w:p>
    <w:p w14:paraId="330E0703"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июня 1944 вышло Постановление ГКО № 6071 О создании в Бари (Италия) базы и авиагруппы по транспортировке грузов в Югославию. (7242, 79-80,81-91).</w:t>
      </w:r>
    </w:p>
    <w:p w14:paraId="3C2FCC3E"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0BB38F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июня 1944 года советская авиация атаковала немецкий конвой, шедший в районе мыса Нордкин. Первый удар в 08:45 нанесли 18 истребителей-бомбардировщиков Р40 в сопровождении 10 истребителей. Конвой прикрывало 14 Вf109 из которых советские пилоты сбили 8, что, впрочем, не подтверждено документами противоположной стороны. В 09:04 шесть Ил-2 совершили второй, также безрезультатный налет, после чего в бой вступили основные силы. В основном налете участвовали две группы: 4 Ил-4 из 9-го ГМТАП и 6 Ил2 (командиры, майор А.Н. Волошин и лейтенант Беляшов), а также 6 А-20Г из того же полка и 2 Ил-2 (командиры, майор С.К. Литвинов и капитан А.Н. Синицын). Кроме того, в налете участвовали 10 торпедоносцев и 46 истребителей прикрытия. Советская сторона потеряла 4 Ил-2, в то время как пилоты заявили 40 побед при потере двух собственных машин. Вот еще один пример того, насколько осторожно следует относиться к цифрам заявленных побед (2691).</w:t>
      </w:r>
    </w:p>
    <w:p w14:paraId="79846E4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Торпеды, пущенные с Бостонов, отправили на дно лесовоз (2691).</w:t>
      </w:r>
    </w:p>
    <w:p w14:paraId="6886CBB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42217F"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Внешняя политика:</w:t>
      </w:r>
    </w:p>
    <w:p w14:paraId="020BBBD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731CB26"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июня 1944 ЦК КП(б)У принял постановление о предоставлении помощи чешским коммунистам для организации партизанского движения в Чехословакии (4962).</w:t>
      </w:r>
    </w:p>
    <w:p w14:paraId="6C4B3271"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BDB0E64"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3DC3D73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D23238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июня 1944 Гитлер прибыл во Францию на совещание с командующим немецкими войсками на Западе. Он поздравил Хейнемана и Вахтеля с успехом и запретил наносить ракетные удары по каким-либо другим объектам кроме Лондона.</w:t>
      </w:r>
    </w:p>
    <w:p w14:paraId="6815E83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Начались систематические удары V1 по столице Великобритании, а вскоре, с разрешения Гитлера, и по некоторым другим английским городам. Всего в ходе первого этапа (13 июня – 1 сентября) было запущено 9017 крылатых ракет всех модификаций.</w:t>
      </w:r>
    </w:p>
    <w:p w14:paraId="2B7BB7A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Однако техническая надежность всей системы подготовки и применения V1 составляла всего 0,65–0,75. Так, из первых запущенных 9000 ракет около 2000 (22%) взорвалось сразу после старта или в полете. Из всех нормально стартовавших ракет Лондона достигло 80–85%. Это было вызвано и тактикой применения V1, затруднявшей борьбу с ракетами средствами ПВО.</w:t>
      </w:r>
    </w:p>
    <w:p w14:paraId="4441DB7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Немцы по возможности запускали крылатые ракеты одновременно со всех действующих стартовых позиций через неравные промежутки времени. Таким образом достигалась массированность и тактическая внезапность удара. Другой вариант предусматривал интенсивный огневой налет продолжительностью 75 минут, затем после паузы методический обстрел, снова пауза и затем огневой налет. И так с часу ночи до рассвета.</w:t>
      </w:r>
    </w:p>
    <w:p w14:paraId="2D8DFF0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Полет на малых высотах не позволял РЛС своевременно обнаруживать ракеты. Это приводило к сокращенному времени воздействия на них активными средствами ПВО. Следует сказать, что максимальное время предупреждения до подлета цели к побережью составляло всего 6 минут, а подлетное время от побережья к зоне зенитной артиллерии – 5 минут. Кроме того, V1, как низколетящая цель с большой угловой скоростью, являлась очень трудной целью для зенитной артиллерии, в связи с чем англичанам приходилось наводить свои орудия на цель ручным способом, а не с помощью станций орудийной наводки.</w:t>
      </w:r>
    </w:p>
    <w:p w14:paraId="3B7CDD3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Высота полета ракеты – 900–1000 м немцами также была выбрана не случайно. На таких высотах V1 летела ниже зоны поражения тяжелых зенитных орудий, но выше эффективной зоны зенитной артиллерии малого калибра. У летчика истребительной авиации, чтобы уничтожить V1 в воздухе, также было время только для одного захода. К тому же немцы умело использовали погоду, чтобы затруднить действия истребительной авиации.</w:t>
      </w:r>
    </w:p>
    <w:p w14:paraId="403EAF7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Ракеты запускались, как правило, в облачные и дождливые дни.</w:t>
      </w:r>
    </w:p>
    <w:p w14:paraId="3FDE3C1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Первостепенное значение немцы придавали точности попадания ракет. Для оценки результатов ракетных ударов использовалась многочисленная агентурная разведка. Много полезных сведений содержалось в сообщениях английской прессы о пострадавших районах и характере разрушений. Особо ценные сведения содержались в некрологах и списках погибших при взрывах ракет. Благодаря таким сведениям немцы вносили необходимые коррективы для нанесения последующих ракетных ударов (11686).</w:t>
      </w:r>
    </w:p>
    <w:p w14:paraId="4BB3888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18A9FC1"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июня 1944 во время совещания в бункере Суассан (Франция) немецкие фельдмаршалы Роммель и Рундштедт призвали Гитлера прекратить войну (4962).</w:t>
      </w:r>
    </w:p>
    <w:p w14:paraId="7E1F85BA"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A5A2FE0" w14:textId="77777777" w:rsidR="009C5E2F" w:rsidRPr="007224C3" w:rsidRDefault="009C5E2F"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17 июня</w:t>
      </w:r>
      <w:r w:rsidRPr="007224C3">
        <w:rPr>
          <w:rFonts w:ascii="Times New Roman" w:hAnsi="Times New Roman"/>
          <w:color w:val="000000" w:themeColor="text1"/>
          <w:sz w:val="16"/>
          <w:szCs w:val="16"/>
        </w:rPr>
        <w:t xml:space="preserve"> в 1944 году во время совещания в бункере Суассан (Франция) немецкие фельдмаршалы Эрвин Роммель и Герд фон Рундштедт призвали Адольфа Гитлера прекратить войну (14925).</w:t>
      </w:r>
    </w:p>
    <w:p w14:paraId="10EB6F3B" w14:textId="77777777" w:rsidR="009C5E2F" w:rsidRPr="007224C3" w:rsidRDefault="009C5E2F" w:rsidP="007224C3">
      <w:pPr>
        <w:spacing w:after="0" w:line="240" w:lineRule="auto"/>
        <w:jc w:val="both"/>
        <w:rPr>
          <w:rFonts w:ascii="Times New Roman" w:hAnsi="Times New Roman"/>
          <w:color w:val="000000" w:themeColor="text1"/>
          <w:sz w:val="16"/>
          <w:szCs w:val="16"/>
        </w:rPr>
      </w:pPr>
    </w:p>
    <w:p w14:paraId="266A3BB5" w14:textId="77777777" w:rsidR="004F0E23" w:rsidRPr="007224C3" w:rsidRDefault="004F0E2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17–18 июня (ночь) 1944 317 британских бомбардировщиков атаковали французские железнодорожные станции в Ольное, Мондидье и Сен-Мартен-л'Ортье, потеряв один самолет, а еще 114 нанесли удар по Уазмону. Облачный покров делает налеты безуспешными. Плохая погода и облачность делают невозможными успешные рейды в течение ближайших трех дней (20373).</w:t>
      </w:r>
    </w:p>
    <w:p w14:paraId="5481593B" w14:textId="77777777" w:rsidR="004F0E23" w:rsidRPr="007224C3" w:rsidRDefault="004F0E23" w:rsidP="007224C3">
      <w:pPr>
        <w:spacing w:after="0" w:line="240" w:lineRule="auto"/>
        <w:jc w:val="both"/>
        <w:rPr>
          <w:rFonts w:ascii="Times New Roman" w:hAnsi="Times New Roman"/>
          <w:color w:val="0070C0"/>
          <w:sz w:val="16"/>
          <w:szCs w:val="16"/>
        </w:rPr>
      </w:pPr>
    </w:p>
    <w:p w14:paraId="4796CD01" w14:textId="77777777" w:rsidR="004F0E23" w:rsidRPr="007224C3" w:rsidRDefault="004F0E2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17 июня 1944 Генерал-лейтенант Хайнц Хельмих, командующий 243-й пехотной дивизией немецкой армии, убит выстрелом из 20-мм орудия во время авиаудара союзников в Шербурге, Франция (20373).</w:t>
      </w:r>
    </w:p>
    <w:p w14:paraId="7F436FC2" w14:textId="77777777" w:rsidR="004F0E23" w:rsidRPr="007224C3" w:rsidRDefault="004F0E23" w:rsidP="007224C3">
      <w:pPr>
        <w:spacing w:after="0" w:line="240" w:lineRule="auto"/>
        <w:jc w:val="both"/>
        <w:rPr>
          <w:rFonts w:ascii="Times New Roman" w:hAnsi="Times New Roman"/>
          <w:color w:val="0070C0"/>
          <w:sz w:val="16"/>
          <w:szCs w:val="16"/>
        </w:rPr>
      </w:pPr>
    </w:p>
    <w:p w14:paraId="3316EF85"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июня 1944 войска союзников высадились на острове Эльба (Средиземное море) (4962).</w:t>
      </w:r>
    </w:p>
    <w:p w14:paraId="11EF86EE"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D18021F"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июня 1944у войска союзников высадились на острове Эльба в Средиземном море (4963 ).</w:t>
      </w:r>
    </w:p>
    <w:p w14:paraId="0D1638CE"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88DECA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June 17th, 1944: German troops evacuate the island of Elba off the west coast of Italy (3819).</w:t>
      </w:r>
    </w:p>
    <w:p w14:paraId="67BBECB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F75684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июня 1944 французские войска высадились на о Эльба в Средиземном море (2100).</w:t>
      </w:r>
    </w:p>
    <w:p w14:paraId="462F057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D86BEF" w14:textId="77777777" w:rsidR="004F0E23" w:rsidRPr="007224C3" w:rsidRDefault="004F0E2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17 июня 1944 35 самолетов авианосцев оперативной группы 58.4 нанесли удар по японскому аэродрому на острове Паган, не обнаружив самолетов, но повредив несколько зданий. Японские самолеты атакуют американские военные корабли у побережья Сайпана, повредив авианосец сопровождения USS Fanshaw Bay (CVE-70) (20373).</w:t>
      </w:r>
    </w:p>
    <w:p w14:paraId="3FB18ADD" w14:textId="77777777" w:rsidR="004F0E23" w:rsidRPr="007224C3" w:rsidRDefault="004F0E23" w:rsidP="007224C3">
      <w:pPr>
        <w:spacing w:after="0" w:line="240" w:lineRule="auto"/>
        <w:jc w:val="both"/>
        <w:rPr>
          <w:rFonts w:ascii="Times New Roman" w:hAnsi="Times New Roman"/>
          <w:color w:val="0070C0"/>
          <w:sz w:val="16"/>
          <w:szCs w:val="16"/>
        </w:rPr>
      </w:pPr>
    </w:p>
    <w:p w14:paraId="14F0DE74"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июня 1944 на референдуме жители Исландии проголосовали за отделение от Дании (4962).</w:t>
      </w:r>
    </w:p>
    <w:p w14:paraId="7792BB2A"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3232ED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июня 1944 Исландия была объявлена республикой (2247,5).</w:t>
      </w:r>
    </w:p>
    <w:p w14:paraId="07C9069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0E747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 июня 1944 была расторгнута датско-исландская уния (3186).</w:t>
      </w:r>
    </w:p>
    <w:p w14:paraId="3397007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FA1CD7" w14:textId="77777777" w:rsidR="009C5E2F" w:rsidRPr="007224C3" w:rsidRDefault="009C5E2F"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17 июня</w:t>
      </w:r>
      <w:r w:rsidRPr="007224C3">
        <w:rPr>
          <w:rFonts w:ascii="Times New Roman" w:hAnsi="Times New Roman"/>
          <w:color w:val="000000" w:themeColor="text1"/>
          <w:sz w:val="16"/>
          <w:szCs w:val="16"/>
        </w:rPr>
        <w:t xml:space="preserve"> в 1944 году на основании всенародного референдума Исландия, с 1380 года являвшаяся фактически владением Дании, а с 1918 года государством, объединенным с ней на началах унии, провозгласила себя независимой республикой. Торжественная церемония, проведенная в долине Тинг, где в 930 году собрался самый старый в мире парламент — исландский альтинг, была приурочена к 133-летию со дня рождения Йоуна Сигурдссона (1811–1879), виднейшего борца за независимость Исландии, автора ее конституции и на протяжении многих лет спикера альтинга (14925).</w:t>
      </w:r>
    </w:p>
    <w:p w14:paraId="103139C0" w14:textId="77777777" w:rsidR="009C5E2F" w:rsidRPr="007224C3" w:rsidRDefault="009C5E2F" w:rsidP="007224C3">
      <w:pPr>
        <w:spacing w:after="0" w:line="240" w:lineRule="auto"/>
        <w:jc w:val="both"/>
        <w:rPr>
          <w:rFonts w:ascii="Times New Roman" w:hAnsi="Times New Roman"/>
          <w:color w:val="000000" w:themeColor="text1"/>
          <w:sz w:val="16"/>
          <w:szCs w:val="16"/>
        </w:rPr>
      </w:pPr>
    </w:p>
    <w:p w14:paraId="4B8145D4" w14:textId="77777777" w:rsidR="009C5E2F" w:rsidRPr="007224C3" w:rsidRDefault="009C5E2F"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17 июня</w:t>
      </w:r>
      <w:r w:rsidRPr="007224C3">
        <w:rPr>
          <w:rFonts w:ascii="Times New Roman" w:hAnsi="Times New Roman"/>
          <w:color w:val="000000" w:themeColor="text1"/>
          <w:sz w:val="16"/>
          <w:szCs w:val="16"/>
        </w:rPr>
        <w:t xml:space="preserve"> в 1944 году Исландия объявляет независимость от Дании. В Thingvallir, Исландия, провозглашается Республика Исландия, президентом Республики Исландия избран С.Бьернсон (14925).</w:t>
      </w:r>
    </w:p>
    <w:p w14:paraId="3960B001" w14:textId="77777777" w:rsidR="009C5E2F" w:rsidRPr="007224C3" w:rsidRDefault="009C5E2F" w:rsidP="007224C3">
      <w:pPr>
        <w:spacing w:after="0" w:line="240" w:lineRule="auto"/>
        <w:jc w:val="both"/>
        <w:rPr>
          <w:rFonts w:ascii="Times New Roman" w:hAnsi="Times New Roman"/>
          <w:color w:val="000000" w:themeColor="text1"/>
          <w:sz w:val="16"/>
          <w:szCs w:val="16"/>
        </w:rPr>
      </w:pPr>
    </w:p>
    <w:p w14:paraId="4D4CF5F9"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1C85229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A8D634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18 июня 1944 г. приказом по НКАП № 00446/262от начальник ОКБ 4-го Спецотдела НКВД СССР на заводе № 16 Бекетов В. А. передал директору завода № 16 Лукину М. М.: </w:t>
      </w:r>
    </w:p>
    <w:p w14:paraId="5D26AC3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 xml:space="preserve">1. Группу работников реактивных двигателей в количестве 85 человек, завершивших впервые в СССР плановое задание по созданию опытных образцов нового типа авиационных двигателей - реактивного двигателя РД-1 с тягой 300 кг. </w:t>
      </w:r>
    </w:p>
    <w:p w14:paraId="2FAA1C9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2. Группу работников в количестве 150 человек по созданию опытных образцов, 24-цилиндровый бензиновый двигателей мощностью 2200 л. с. МБ-100 и МБ-102. Двигатели требовали дальнейшей доводки. </w:t>
      </w:r>
    </w:p>
    <w:p w14:paraId="2C16A4F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3. Группа работников по созданию дизельных двигателей изъята из структуры завода № 16 и направлена на Тушинский авиамоторный завод № 82. </w:t>
      </w:r>
    </w:p>
    <w:p w14:paraId="7BC2893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Директором завода № 16 М. М. Лукиным были продолжены работы, начатые под руководством ОКБ 4-го Спецотдела НКВД СССР. </w:t>
      </w:r>
    </w:p>
    <w:p w14:paraId="7116F0B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 декабре 1944 г. на заводе № 16 была проведена реорганизация. На базе группы реактивных двигателей было создано ОКБ специальных двигателей - ОКБ СД. В секретных документах его называли ОКБ реактивных двигателей - ОКБ РД. Главным конструктором назначили Глушко, а Королев стал его заместителем. </w:t>
      </w:r>
    </w:p>
    <w:p w14:paraId="181ED3A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Первоначально Королев работал по отработке и испытанию двигателей РД-1ХЗ. Его группа состояла из четырех бригад, включавших 16 человек. Пять человек были специалисты 4-го Спецотдела НКВД Тушинского ОТБ-82, а остальные одиннадцать - вольнонаемные. </w:t>
      </w:r>
    </w:p>
    <w:p w14:paraId="71A9DE9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достигнутые успехи Глушко включил Королева в сталинский приказ об освобождении и награждении орденом "Знак Почета" (12107).</w:t>
      </w:r>
    </w:p>
    <w:p w14:paraId="1CCE3B6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EC99664" w14:textId="77777777" w:rsidR="008D055A" w:rsidRPr="007224C3" w:rsidRDefault="008D055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июня 1944 г. вышел приказ МАП № 00446/262, на основании которого начальник ОКБ 4-го Спецотдела НКВД СССР на заводе № 16 Бекетов В. А. передал директору завода № 16 Лукину М. М.:</w:t>
      </w:r>
    </w:p>
    <w:p w14:paraId="069B481C" w14:textId="77777777" w:rsidR="008D055A" w:rsidRPr="007224C3" w:rsidRDefault="008D055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1. Группу работников реактивных двигателей в количестве 85 человек, завершивших впервые в СССР плановое задание по созданию опытных образцов нового типа авиационных двигателей — реактивного двигателя РД-1 с тягой 300 кг. </w:t>
      </w:r>
    </w:p>
    <w:p w14:paraId="0E29FC1E" w14:textId="77777777" w:rsidR="008D055A" w:rsidRPr="007224C3" w:rsidRDefault="008D055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2. Группу работников в количестве 150 человек по созданию опытных образцов, 24-цилиндровый бензиновый двигателей мощностью 2200 л. с. МБ-100 и МБ-102. Двигатели требовали дальнейшей доводки. </w:t>
      </w:r>
    </w:p>
    <w:p w14:paraId="7BB9C93C" w14:textId="77777777" w:rsidR="008D055A" w:rsidRPr="007224C3" w:rsidRDefault="008D055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Группа работников по созданию дизельных двигателей изъята из структуры завода № 16 и направлена на Тушинский авиамоторный завод № 82.</w:t>
      </w:r>
    </w:p>
    <w:p w14:paraId="216A07CC" w14:textId="77777777" w:rsidR="008D055A" w:rsidRPr="007224C3" w:rsidRDefault="008D055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Директором завода № 16 М. М. Лукиным были продолжены работы, начатые под руководством ОКБ 4-го Спецотдела НКВД СССР (18668).</w:t>
      </w:r>
    </w:p>
    <w:p w14:paraId="7BB9E077" w14:textId="77777777" w:rsidR="008D055A" w:rsidRPr="007224C3" w:rsidRDefault="008D055A" w:rsidP="007224C3">
      <w:pPr>
        <w:spacing w:after="0" w:line="240" w:lineRule="auto"/>
        <w:jc w:val="both"/>
        <w:rPr>
          <w:rFonts w:ascii="Times New Roman" w:hAnsi="Times New Roman"/>
          <w:color w:val="000000" w:themeColor="text1"/>
          <w:sz w:val="16"/>
          <w:szCs w:val="16"/>
        </w:rPr>
      </w:pPr>
    </w:p>
    <w:p w14:paraId="24E540C0"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09F1C19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A9DA94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июня 1944 вышло Распоряжение ГКО № 6078. О продлении до 1 сентября 1944 г. срока децентрализованного производства запчастей к с.х. технике в Ульяновской обл. РГАНИР, Фонд ГКО, д. 265, лл. 116 (11012).</w:t>
      </w:r>
    </w:p>
    <w:p w14:paraId="2D73212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4CC407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июня 1944 вышло Распоряжение ГКО № 6079. О направлении 5 офицеров-экономистов по образованию - в Распоряжение Госплана СССР. РГАНИР, Фонд ГКО, д. 265, лл. 117,118 (11012).</w:t>
      </w:r>
    </w:p>
    <w:p w14:paraId="1AD1166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2544D38"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июня 1944 вышло Распоряжение ГКО № 6079 [О направлении 5 офицеров-экономистов по образованию в Распоряжение ГКО Госплана СССР.] (7242, 117,118).</w:t>
      </w:r>
    </w:p>
    <w:p w14:paraId="57235035"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0C8EC8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июня 1944 закончили постройку и после государственных ходовых испытаний передали флоту буксир типа "Ижорец". Проводился аварийно-боевой ремонт шести БМО (10671).</w:t>
      </w:r>
    </w:p>
    <w:p w14:paraId="3727BB4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A47AB3F"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7A814DC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D91A67B" w14:textId="77777777" w:rsidR="009C5E2F" w:rsidRPr="007224C3" w:rsidRDefault="009C5E2F"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18 июня</w:t>
      </w:r>
      <w:r w:rsidRPr="007224C3">
        <w:rPr>
          <w:rFonts w:ascii="Times New Roman" w:hAnsi="Times New Roman"/>
          <w:color w:val="000000" w:themeColor="text1"/>
          <w:sz w:val="16"/>
          <w:szCs w:val="16"/>
        </w:rPr>
        <w:t xml:space="preserve"> в 1944 году оперативная сводка Совинформбюро:</w:t>
      </w:r>
    </w:p>
    <w:p w14:paraId="67AC98C5" w14:textId="77777777" w:rsidR="009C5E2F" w:rsidRPr="007224C3" w:rsidRDefault="009C5E2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18 июня на Карельском перешейке войска Ленинградского фронта в результате стремительного наступления пехоты и танков, поддержанных мощными ударами артиллерии и авиации, прорвали третью линию обороны финнов — Линию Маннергейма — в районе Мурила, Илякирйола и, развивая наступление на Выборгском направлении, овладели районным центром Ленинградской области городом и портом Бьеркэ (Койвисто).</w:t>
      </w:r>
    </w:p>
    <w:p w14:paraId="636DA078" w14:textId="77777777" w:rsidR="009C5E2F" w:rsidRPr="007224C3" w:rsidRDefault="009C5E2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ходе наступления войска фронта с боями заняли более 100 населенных пунктов, в том числе районный центр Ленинградской области Рауту, крупные населённые пункты Пенттиля, Коттерлахти, Лахтенмяки, Макслахденкюля (28 километров южнее города Выборг), Колккала, Хиетанен, Пихнала, Сипрола, Парккила, Пихлайнен, Телккяля, Валкярви, Ноусиала, Ораваниеми, Липола, Нурмиярви, Васкела и железнодорожные станции Хумалйоки, Лахтенмяки, Валкярви, Рауту.</w:t>
      </w:r>
    </w:p>
    <w:p w14:paraId="7FB212CD" w14:textId="77777777" w:rsidR="009C5E2F" w:rsidRPr="007224C3" w:rsidRDefault="009C5E2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 без перемен.</w:t>
      </w:r>
    </w:p>
    <w:p w14:paraId="6D88424C" w14:textId="77777777" w:rsidR="009C5E2F" w:rsidRPr="007224C3" w:rsidRDefault="009C5E2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17 июня в воздушных боях и огнём зенитной артиллерии сбито 24 самолёта противника.»</w:t>
      </w:r>
    </w:p>
    <w:p w14:paraId="1F645951" w14:textId="77777777" w:rsidR="009C5E2F" w:rsidRPr="007224C3" w:rsidRDefault="009C5E2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Удары нашей авиации по аэродромам противника:</w:t>
      </w:r>
    </w:p>
    <w:p w14:paraId="67C34E11" w14:textId="77777777" w:rsidR="009C5E2F" w:rsidRPr="007224C3" w:rsidRDefault="009C5E2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ночь на 18 июня наша авиация дальнего действия наносила массированные удары по аэродромам противника в районе Баранович, Пинска, Минска. В результате бомбардировки на аэродромах возникли многочисленные пожары, сопровождавшиеся взрывами. Горели самолёты, склады боеприпасов и резервуары с горючим. Уничтожено и повреждено большое число немецких самолётов.</w:t>
      </w:r>
    </w:p>
    <w:p w14:paraId="4A96D39E" w14:textId="77777777" w:rsidR="009C5E2F" w:rsidRPr="007224C3" w:rsidRDefault="009C5E2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Один наш самолёт не вернулся на свою базу.»</w:t>
      </w:r>
    </w:p>
    <w:p w14:paraId="17412E64" w14:textId="77777777" w:rsidR="009C5E2F" w:rsidRPr="007224C3" w:rsidRDefault="009C5E2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Карельском перешейке войска Ленинградского фронта стремительным ударом прорвали третью линию обороны финнов—линию Маннергейма—в районе Журила, Илякирйола. штурмом занят город и порт Бьеркэ (Койвисто). Развивая наступление, наши войска овладели районным центром Ленинградской области Рауту, а также заняли более ста других населённых пунктов. Наступление наших войск непрерывно поддерживается артиллерией и авиацией, которые мощными Ударами расчищают пути пехоте и танкам, Разбитые части противника, отступая под ударами советских войск, несут огромные потери в людях и технике. Бойцы Н-ской части уничтожили два батальона финнов и захватили железнодорожный эшелон с военными грузами. Взято много пленных. На другом участке Н-ское соединение разгромило полк финской пехоты и захватило 36 орудий, 80 пулемётов и другие трофеи.</w:t>
      </w:r>
    </w:p>
    <w:p w14:paraId="3A9D6B93" w14:textId="77777777" w:rsidR="009C5E2F" w:rsidRPr="007224C3" w:rsidRDefault="009C5E2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Бойцы и офицеры Красной Армии в боях на Карельском перешейке показывают примеры доблести и героизма. Экипаж самоходного орудия гвардии старшего лейтенанта Дрюченко, расчищая путь пехоте, уничтожил три дзота, батарею тяжёлых миномётов и истребил два взвода вражеской пехоты. Пять наших разведчиков проникли в тыл противника и захватили в плен четырёх солдат и одного офицера — майора финской армии. Младшие сержанты Лисицын и Мищенко подорвали трёхамбразурный дзот противника и полностью ликвидировали его гарнизон, оказавший сопротивление.</w:t>
      </w:r>
    </w:p>
    <w:p w14:paraId="4434B78D" w14:textId="77777777" w:rsidR="009C5E2F" w:rsidRPr="007224C3" w:rsidRDefault="009C5E2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Наша авиация нанесла два массированных удара по железнодорожному узлу Выборг. В результате бомбардировки разбито три паровоза, до 200 вагонов и платформ, взорвало 6 складов и на большом протяжении разрушены железнодорожные пути. На территории узла возникли пожары, сопровождавшиеся сильными взрывами.</w:t>
      </w:r>
    </w:p>
    <w:p w14:paraId="35726B33" w14:textId="77777777" w:rsidR="009C5E2F" w:rsidRPr="007224C3" w:rsidRDefault="009C5E2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воздушных боях советские лётчики обили 19 самолётов противника.</w:t>
      </w:r>
    </w:p>
    <w:p w14:paraId="0187483E" w14:textId="77777777" w:rsidR="009C5E2F" w:rsidRPr="007224C3" w:rsidRDefault="009C5E2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Северо-западнее города Витебск рота немецкой пехоты атаковала наше боевое охранение. Восемь бойцов под командованием лейтенанта Сараева встретили противника огнём из пулемёта и автоматов. Оставив на поле боя 30 трупов своих солдат, гитлеровцы поспешно отступили.</w:t>
      </w:r>
    </w:p>
    <w:p w14:paraId="3DEB154A" w14:textId="77777777" w:rsidR="009C5E2F" w:rsidRPr="007224C3" w:rsidRDefault="009C5E2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Наша авиация нанесла удар по кораблям противника у северного побережья Норвегии. В результате удара наши лётчики потопили немецкий транспорт водоизмещением в 10 тысяч тонн и сторожевой корабль противника. Нескольким другим судам нанесены серьёзные повреждения, В воздушных боях сбито 12 немецких самолётов. Наша авиация потеряла 4 самолёта.</w:t>
      </w:r>
    </w:p>
    <w:p w14:paraId="7E9C9C82" w14:textId="77777777" w:rsidR="009C5E2F" w:rsidRPr="007224C3" w:rsidRDefault="009C5E2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Торпедные катера Краснознамённого Балтийского флота в ночь на 17 июня обнаружили у побережья Финляндии караван вражеских судов. Несмотря на сильный артиллерийский огонь кораблей охранения, наши катера «близились с противником и атаковали его. Торпедами потоплены два транспорта общим водоизмещением в 14 тысяч тонн и сторожевой корабль. Пулемётным огнём подожжены четыре сторожевых катера противника.</w:t>
      </w:r>
    </w:p>
    <w:p w14:paraId="592D30B8" w14:textId="77777777" w:rsidR="009C5E2F" w:rsidRPr="007224C3" w:rsidRDefault="009C5E2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Авиация Краснознамённого Балтийского флота атаковала корабли противника, обнаруженные воздушной разведкой в Выборгском заливе. В результате бомбово-штурмового удара потоплены два финских транспорта, быстроходная десантная баржа, тральщик, буксир, торпедный катер и четыре шлюпки.</w:t>
      </w:r>
    </w:p>
    <w:p w14:paraId="35B2E8AC" w14:textId="77777777" w:rsidR="009C5E2F" w:rsidRPr="007224C3" w:rsidRDefault="009C5E2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Партизанский отряд, действующий в Витебской области, внезапно напал на немецкий обоз, следовавший к линии фронта. Уничтожив несколько десятков гитлеровцев, партизаны захватили 142 автомата, 20 винтовок, 2 мотоцикла и различное военное имущество.</w:t>
      </w:r>
    </w:p>
    <w:p w14:paraId="2B94E28E" w14:textId="77777777" w:rsidR="009C5E2F" w:rsidRPr="007224C3" w:rsidRDefault="009C5E2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Перешедший на сторону Красной Армии капрал 10 финской пехотной дивизии Рейно М. рассказал: «Вторая линия финской обороны в районе Мустамяки — Кутерселькя строилась свыше двух лет, С начала 1942 года эшелоны из Хельсинки, Тампере и Выборга непрерывно доставляли в этот район строительные материалы. Из разных городов и сёл Финляндии прибывали потоки людей, мобилизованных на строительство. К работам было привлечено не только гражданское население; но и резервные воинские части. Днём и ночью они возводили оборонительные рубежи. И вот эту мощную линию обороны, которую мы строили и совершенствовали в течение двух дет, русские войска прорвали за один день» (14926).</w:t>
      </w:r>
    </w:p>
    <w:p w14:paraId="09C433C9" w14:textId="77777777" w:rsidR="009C5E2F" w:rsidRPr="007224C3" w:rsidRDefault="009C5E2F" w:rsidP="007224C3">
      <w:pPr>
        <w:spacing w:after="0" w:line="240" w:lineRule="auto"/>
        <w:jc w:val="both"/>
        <w:rPr>
          <w:rFonts w:ascii="Times New Roman" w:hAnsi="Times New Roman"/>
          <w:color w:val="000000" w:themeColor="text1"/>
          <w:sz w:val="16"/>
          <w:szCs w:val="16"/>
        </w:rPr>
      </w:pPr>
    </w:p>
    <w:p w14:paraId="47036376" w14:textId="77777777" w:rsidR="009C5E2F" w:rsidRPr="007224C3" w:rsidRDefault="009C5E2F"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18 июня</w:t>
      </w:r>
      <w:r w:rsidRPr="007224C3">
        <w:rPr>
          <w:rFonts w:ascii="Times New Roman" w:hAnsi="Times New Roman"/>
          <w:color w:val="000000" w:themeColor="text1"/>
          <w:sz w:val="16"/>
          <w:szCs w:val="16"/>
        </w:rPr>
        <w:t xml:space="preserve"> в 1944 году войска Ленинградского фронта под командованием генерала армии Леонида Говорова прорывают третью оборонительную линию противника (так называемую "линию Маннергейма") и овладевают городом Койвисто, Финляндия (14926).</w:t>
      </w:r>
    </w:p>
    <w:p w14:paraId="680B7D9B" w14:textId="77777777" w:rsidR="009C5E2F" w:rsidRPr="007224C3" w:rsidRDefault="009C5E2F" w:rsidP="007224C3">
      <w:pPr>
        <w:spacing w:after="0" w:line="240" w:lineRule="auto"/>
        <w:jc w:val="both"/>
        <w:rPr>
          <w:rFonts w:ascii="Times New Roman" w:hAnsi="Times New Roman"/>
          <w:color w:val="000000" w:themeColor="text1"/>
          <w:sz w:val="16"/>
          <w:szCs w:val="16"/>
        </w:rPr>
      </w:pPr>
    </w:p>
    <w:p w14:paraId="1BDE980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18 июня 1944 войска ЛФ с хода прорвали третью оборонительную линию противника в Карелии в районе Мурила и в тот же день овладели Койвисто. На следующий </w:t>
      </w:r>
      <w:r w:rsidRPr="007224C3">
        <w:rPr>
          <w:rFonts w:ascii="Times New Roman" w:hAnsi="Times New Roman"/>
          <w:color w:val="000000" w:themeColor="text1"/>
          <w:sz w:val="16"/>
          <w:szCs w:val="16"/>
        </w:rPr>
        <w:lastRenderedPageBreak/>
        <w:t>день Линия Маннергейма была прорвана в районах Муола и Сумма (430,205).</w:t>
      </w:r>
    </w:p>
    <w:p w14:paraId="457BDE0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025C75"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июня 1944 советскими войсками прорвана “Линия Маннергейма” в Финляндии (4962).</w:t>
      </w:r>
    </w:p>
    <w:p w14:paraId="41A1D623"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8A0CA30"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Жизнь и внутренняя политика:</w:t>
      </w:r>
    </w:p>
    <w:p w14:paraId="4B798C9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113987C"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июня 1944 вышло Распоряжение ГКО № 6077 [О мерах по быстрейшей ликвидации пожаров в лесах Бурят-Монгольской АССР.] (7242, 114-115).</w:t>
      </w:r>
    </w:p>
    <w:p w14:paraId="37CD8ACA"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35234A2"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63BA0F1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3E259FE"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 июня 1944 немецкие войска начали масштабную операцию против польских партизан у Люблина (4962).</w:t>
      </w:r>
    </w:p>
    <w:p w14:paraId="4DA367A6"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0CC273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June 18th, 1944: In Normandy, the US First Army (Bradley) cuts off and isolates the German forces defending Cherbourg. In Italy, the US Fifth Army (Clark) captures Prugia (3819).</w:t>
      </w:r>
    </w:p>
    <w:p w14:paraId="030A4A7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CD89CD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lang w:val="en-US"/>
        </w:rPr>
        <w:t xml:space="preserve">18 </w:t>
      </w:r>
      <w:r w:rsidRPr="007224C3">
        <w:rPr>
          <w:rFonts w:ascii="Times New Roman" w:hAnsi="Times New Roman"/>
          <w:color w:val="000000" w:themeColor="text1"/>
          <w:sz w:val="16"/>
          <w:szCs w:val="16"/>
        </w:rPr>
        <w:t>июня</w:t>
      </w:r>
      <w:r w:rsidRPr="007224C3">
        <w:rPr>
          <w:rFonts w:ascii="Times New Roman" w:hAnsi="Times New Roman"/>
          <w:color w:val="000000" w:themeColor="text1"/>
          <w:sz w:val="16"/>
          <w:szCs w:val="16"/>
          <w:lang w:val="en-US"/>
        </w:rPr>
        <w:t xml:space="preserve"> 1944 </w:t>
      </w:r>
      <w:r w:rsidRPr="007224C3">
        <w:rPr>
          <w:rFonts w:ascii="Times New Roman" w:hAnsi="Times New Roman"/>
          <w:color w:val="000000" w:themeColor="text1"/>
          <w:sz w:val="16"/>
          <w:szCs w:val="16"/>
        </w:rPr>
        <w:t>вНормандии</w:t>
      </w:r>
      <w:r w:rsidRPr="007224C3">
        <w:rPr>
          <w:rFonts w:ascii="Times New Roman" w:hAnsi="Times New Roman"/>
          <w:color w:val="000000" w:themeColor="text1"/>
          <w:sz w:val="16"/>
          <w:szCs w:val="16"/>
          <w:lang w:val="en-US"/>
        </w:rPr>
        <w:t xml:space="preserve"> 1</w:t>
      </w:r>
      <w:r w:rsidRPr="007224C3">
        <w:rPr>
          <w:rFonts w:ascii="Times New Roman" w:hAnsi="Times New Roman"/>
          <w:color w:val="000000" w:themeColor="text1"/>
          <w:sz w:val="16"/>
          <w:szCs w:val="16"/>
        </w:rPr>
        <w:t>АСША</w:t>
      </w:r>
      <w:r w:rsidRPr="007224C3">
        <w:rPr>
          <w:rFonts w:ascii="Times New Roman" w:hAnsi="Times New Roman"/>
          <w:color w:val="000000" w:themeColor="text1"/>
          <w:sz w:val="16"/>
          <w:szCs w:val="16"/>
          <w:lang w:val="en-US"/>
        </w:rPr>
        <w:t xml:space="preserve"> (</w:t>
      </w:r>
      <w:r w:rsidRPr="007224C3">
        <w:rPr>
          <w:rFonts w:ascii="Times New Roman" w:hAnsi="Times New Roman"/>
          <w:color w:val="000000" w:themeColor="text1"/>
          <w:sz w:val="16"/>
          <w:szCs w:val="16"/>
        </w:rPr>
        <w:t>Брадлей</w:t>
      </w:r>
      <w:r w:rsidRPr="007224C3">
        <w:rPr>
          <w:rFonts w:ascii="Times New Roman" w:hAnsi="Times New Roman"/>
          <w:color w:val="000000" w:themeColor="text1"/>
          <w:sz w:val="16"/>
          <w:szCs w:val="16"/>
          <w:lang w:val="en-US"/>
        </w:rPr>
        <w:t xml:space="preserve">) </w:t>
      </w:r>
      <w:r w:rsidRPr="007224C3">
        <w:rPr>
          <w:rFonts w:ascii="Times New Roman" w:hAnsi="Times New Roman"/>
          <w:color w:val="000000" w:themeColor="text1"/>
          <w:sz w:val="16"/>
          <w:szCs w:val="16"/>
        </w:rPr>
        <w:t>отрезаланемецкиечасти</w:t>
      </w:r>
      <w:r w:rsidRPr="007224C3">
        <w:rPr>
          <w:rFonts w:ascii="Times New Roman" w:hAnsi="Times New Roman"/>
          <w:color w:val="000000" w:themeColor="text1"/>
          <w:sz w:val="16"/>
          <w:szCs w:val="16"/>
          <w:lang w:val="en-US"/>
        </w:rPr>
        <w:t xml:space="preserve">, </w:t>
      </w:r>
      <w:r w:rsidRPr="007224C3">
        <w:rPr>
          <w:rFonts w:ascii="Times New Roman" w:hAnsi="Times New Roman"/>
          <w:color w:val="000000" w:themeColor="text1"/>
          <w:sz w:val="16"/>
          <w:szCs w:val="16"/>
        </w:rPr>
        <w:t>оборонявшиеШербург</w:t>
      </w:r>
      <w:r w:rsidRPr="007224C3">
        <w:rPr>
          <w:rFonts w:ascii="Times New Roman" w:hAnsi="Times New Roman"/>
          <w:color w:val="000000" w:themeColor="text1"/>
          <w:sz w:val="16"/>
          <w:szCs w:val="16"/>
          <w:lang w:val="en-US"/>
        </w:rPr>
        <w:t xml:space="preserve">. </w:t>
      </w:r>
      <w:r w:rsidRPr="007224C3">
        <w:rPr>
          <w:rFonts w:ascii="Times New Roman" w:hAnsi="Times New Roman"/>
          <w:color w:val="000000" w:themeColor="text1"/>
          <w:sz w:val="16"/>
          <w:szCs w:val="16"/>
        </w:rPr>
        <w:t>Британская 8А (Кларк) захватила Пругиа (3819).</w:t>
      </w:r>
    </w:p>
    <w:p w14:paraId="5D06A30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A82A3D"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68694DE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ADFB99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июня 1944 был отпечатан Технический Отчет ВИАМ по теме: Изыскание новых материалов для производства прозрачной брони за 1943 г. № 396</w:t>
      </w:r>
    </w:p>
    <w:p w14:paraId="63E0BC8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Подписан: Начю Лаб. № 16 проф. Ерофеев</w:t>
      </w:r>
    </w:p>
    <w:p w14:paraId="3FADC15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Нач. Лаб. № 16 сти М.М.Гудимов</w:t>
      </w:r>
    </w:p>
    <w:p w14:paraId="07DE095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 Е.С.Осикина</w:t>
      </w:r>
    </w:p>
    <w:p w14:paraId="6C18D19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 Е.С.Лазарева</w:t>
      </w:r>
    </w:p>
    <w:p w14:paraId="0F2DE4F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 Техник Л.Ф.Тарасьева</w:t>
      </w:r>
    </w:p>
    <w:p w14:paraId="6EB6112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ВВЕДЕНИЕ</w:t>
      </w:r>
    </w:p>
    <w:p w14:paraId="59BDDAB1" w14:textId="77777777" w:rsidR="00595BFB" w:rsidRPr="007224C3" w:rsidRDefault="00595BFB" w:rsidP="007224C3">
      <w:pPr>
        <w:tabs>
          <w:tab w:val="left" w:pos="6918"/>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Вопросы изыскания новых материалов для прозрачной брони разделяются на  три группы:</w:t>
      </w:r>
    </w:p>
    <w:p w14:paraId="637B8F24" w14:textId="77777777" w:rsidR="00595BFB" w:rsidRPr="007224C3" w:rsidRDefault="00595BFB" w:rsidP="007224C3">
      <w:pPr>
        <w:tabs>
          <w:tab w:val="left" w:pos="6914"/>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Исследование применимости для прозрачной брони, получение сравнительных характеристик по пулестойкости иных типов силикатных и других неорганических стекол, кроме применяемого в настоящее время закаленного силикатного стекла, /сталинита/ входящегося в существующую конструкцию отечественной прозрачная брони.</w:t>
      </w:r>
    </w:p>
    <w:p w14:paraId="162F45ED" w14:textId="77777777" w:rsidR="00595BFB" w:rsidRPr="007224C3" w:rsidRDefault="00595BFB" w:rsidP="007224C3">
      <w:pPr>
        <w:tabs>
          <w:tab w:val="left" w:pos="6914"/>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Изыскание и исследование пригодности для применения в прозрачной броне новых видов прозрачных органических материалов /органических стекол/.</w:t>
      </w:r>
    </w:p>
    <w:p w14:paraId="2E9A538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Изыскание новых пленок и других клеющих материалов для соединения отдельных слоев в прозрачной броне мзжду собою.</w:t>
      </w:r>
    </w:p>
    <w:p w14:paraId="7182AE3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1943 году нами исследовались в той или иной мере вопросы, заносящиеся ко всем трем группам.</w:t>
      </w:r>
    </w:p>
    <w:p w14:paraId="3D617354" w14:textId="77777777" w:rsidR="00595BFB" w:rsidRPr="007224C3" w:rsidRDefault="00595BFB" w:rsidP="007224C3">
      <w:pPr>
        <w:tabs>
          <w:tab w:val="left" w:pos="6395"/>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По новым типас силикатных и других неорганических стекол были исследованы (1) состав и характер напряженного состояния стекла, применяемого в немецкой прозрачной броне.</w:t>
      </w:r>
    </w:p>
    <w:p w14:paraId="5E923C2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возможность применения в отечественной прозрачной броне гетерогенного типа сырого силикатного стекла вместо закаленного /т.е. вместо сталинита/</w:t>
      </w:r>
    </w:p>
    <w:p w14:paraId="2B1A677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Проведение ориентировочных опытов по приготовле</w:t>
      </w:r>
      <w:r w:rsidRPr="007224C3">
        <w:rPr>
          <w:rFonts w:ascii="Times New Roman" w:hAnsi="Times New Roman"/>
          <w:color w:val="000000" w:themeColor="text1"/>
          <w:sz w:val="16"/>
          <w:szCs w:val="16"/>
        </w:rPr>
        <w:softHyphen/>
        <w:t>нию и иссследованию механических свойств фосфатных стекол в сравнеии с силикатными</w:t>
      </w:r>
    </w:p>
    <w:p w14:paraId="2EFFAB5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 По повым органическим прозрачным материалам исследовались следующие вопросы:</w:t>
      </w:r>
    </w:p>
    <w:p w14:paraId="215C755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Синтезированы эфиры ортокремноевой кислоты и гли</w:t>
      </w:r>
      <w:r w:rsidRPr="007224C3">
        <w:rPr>
          <w:rFonts w:ascii="Times New Roman" w:hAnsi="Times New Roman"/>
          <w:color w:val="000000" w:themeColor="text1"/>
          <w:sz w:val="16"/>
          <w:szCs w:val="16"/>
        </w:rPr>
        <w:softHyphen/>
        <w:t>церина.</w:t>
      </w:r>
    </w:p>
    <w:p w14:paraId="730EF49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Иссдедовались механические свойства органических стекол, полученных из матилакрилата с добав</w:t>
      </w:r>
      <w:r w:rsidRPr="007224C3">
        <w:rPr>
          <w:rFonts w:ascii="Times New Roman" w:hAnsi="Times New Roman"/>
          <w:color w:val="000000" w:themeColor="text1"/>
          <w:sz w:val="16"/>
          <w:szCs w:val="16"/>
        </w:rPr>
        <w:softHyphen/>
        <w:t>ками глико-диметилакрилата</w:t>
      </w:r>
    </w:p>
    <w:p w14:paraId="1FCAC24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 По новым клеющим материалам исследовались:</w:t>
      </w:r>
    </w:p>
    <w:p w14:paraId="408B6A2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Возможность применения карбонольного клея для склеивания органического и силикатного стекла между собою.</w:t>
      </w:r>
    </w:p>
    <w:p w14:paraId="3F74C7B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Исследование состава пленки и пластификатора, применяемых при изготовлении немецких бронестекол</w:t>
      </w:r>
    </w:p>
    <w:p w14:paraId="7E1DA37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Возможности применения полимаракрилатной пленки.</w:t>
      </w:r>
    </w:p>
    <w:p w14:paraId="521622F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Ниже излагаются основам результаты, полученные в результа</w:t>
      </w:r>
      <w:r w:rsidRPr="007224C3">
        <w:rPr>
          <w:rFonts w:ascii="Times New Roman" w:hAnsi="Times New Roman"/>
          <w:color w:val="000000" w:themeColor="text1"/>
          <w:sz w:val="16"/>
          <w:szCs w:val="16"/>
        </w:rPr>
        <w:softHyphen/>
        <w:t>те исследования по перечисленным пунктам, кроме пункта 1, результаты по которому мы нашли целесообразным перенести в отчет следующего года.</w:t>
      </w:r>
    </w:p>
    <w:p w14:paraId="36474F4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Химический состав и характер напряженного состояния и другие свойства немецких бронестекол</w:t>
      </w:r>
    </w:p>
    <w:p w14:paraId="68B9BE9E" w14:textId="77777777" w:rsidR="00595BFB" w:rsidRPr="007224C3" w:rsidRDefault="00595BFB" w:rsidP="007224C3">
      <w:pPr>
        <w:tabs>
          <w:tab w:val="left" w:pos="2722"/>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исследования было занято бронестекло с передней пулеметной установки самолета Юнкер 88...</w:t>
      </w:r>
    </w:p>
    <w:p w14:paraId="38D2B37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1-б. Исследование возможности применения для производства отечественной прозрачной брони сырого стекла вместо сталинита</w:t>
      </w:r>
    </w:p>
    <w:p w14:paraId="063B2CE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Применяемому в производстве отечественной проврачной брони закаленному силикатному стеклу или "сталиниту" до доследнаго времени было свойственно большое оптическое искажение, в частности обусловленное режимом закалки.</w:t>
      </w:r>
    </w:p>
    <w:p w14:paraId="27356F0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 называемая “игра изображения" и искажение перефериными полями возникают именно при закадне стекла. Хотя в настоящее время и ведутся работы по уменьшение этих оптических дефектов путем разных технологических мероприя</w:t>
      </w:r>
      <w:r w:rsidRPr="007224C3">
        <w:rPr>
          <w:rFonts w:ascii="Times New Roman" w:hAnsi="Times New Roman"/>
          <w:color w:val="000000" w:themeColor="text1"/>
          <w:sz w:val="16"/>
          <w:szCs w:val="16"/>
        </w:rPr>
        <w:softHyphen/>
        <w:t>тий, все же наиболее радянальным способом преодоления этих недостатков явился бы переход ох закаленного стекла к отожженному или хотя бы к сырому. Результаты выше приведенных исследования силикатного стекла из немецкой проз</w:t>
      </w:r>
      <w:r w:rsidRPr="007224C3">
        <w:rPr>
          <w:rFonts w:ascii="Times New Roman" w:hAnsi="Times New Roman"/>
          <w:color w:val="000000" w:themeColor="text1"/>
          <w:sz w:val="16"/>
          <w:szCs w:val="16"/>
        </w:rPr>
        <w:softHyphen/>
        <w:t>рачной брони, показывают, что в этих типах бронестекол применяется отожженное силикатное стекло. Таяким образом подтверждается принципиальная возможность применения сырого силикатного стекла в прозрачной броне вместо закаленного.</w:t>
      </w:r>
    </w:p>
    <w:p w14:paraId="47F06D3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Однако, немецкая и английская прозрачная б р о н я представляют собой чисто силикатную броню, в то время как отечественная прозрачная броня явдявтся гетерогенной. Поэтому представлялось необходимым додолнительно исследовать воп</w:t>
      </w:r>
      <w:r w:rsidRPr="007224C3">
        <w:rPr>
          <w:rFonts w:ascii="Times New Roman" w:hAnsi="Times New Roman"/>
          <w:color w:val="000000" w:themeColor="text1"/>
          <w:sz w:val="16"/>
          <w:szCs w:val="16"/>
        </w:rPr>
        <w:softHyphen/>
        <w:t>рос о возможности применения сырого стекла в гетерогенном типе прозрачной брони. Это представлялось том более необхтодимым, что по даным лаборатории завода К-4 комбинация сталинита с органическим стеклом дает более высокую пулестойкость в сравнения с сырым стеклом в той же комбинации.</w:t>
      </w:r>
    </w:p>
    <w:p w14:paraId="6D9A36A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Поскольку, однако, данные завода К-4 с методической стороны на являются безукоризненными /несравнимость раз</w:t>
      </w:r>
      <w:r w:rsidRPr="007224C3">
        <w:rPr>
          <w:rFonts w:ascii="Times New Roman" w:hAnsi="Times New Roman"/>
          <w:color w:val="000000" w:themeColor="text1"/>
          <w:sz w:val="16"/>
          <w:szCs w:val="16"/>
        </w:rPr>
        <w:softHyphen/>
        <w:t>меров обстреливавшихся образцов размерами экесплоатируемых деталей/, представлялось необходимым вновь исследовать этот водоос.</w:t>
      </w:r>
    </w:p>
    <w:p w14:paraId="5030CCC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этой цели были изготовлены и испытаны на пулестойкость комплекты бронекозырьков Ил-2, Як-1 и Да-5 на осно сырого таблетированного силикатного стекла. Отстрел производился из винтовки образца 1891-30 г. бронебойно- зажигательными пулями калабра 7.62 м/м с дистанции 100 метров. Результаты испытаний сведены в нижа следую</w:t>
      </w:r>
      <w:r w:rsidRPr="007224C3">
        <w:rPr>
          <w:rFonts w:ascii="Times New Roman" w:hAnsi="Times New Roman"/>
          <w:color w:val="000000" w:themeColor="text1"/>
          <w:sz w:val="16"/>
          <w:szCs w:val="16"/>
        </w:rPr>
        <w:softHyphen/>
        <w:t>щей таблице.</w:t>
      </w:r>
    </w:p>
    <w:p w14:paraId="7B2C31F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Результаты испытания на пулестойкость деталей прозрачной брони, изготовленных на основе таблеток сырого силикатного стекла вместо сталинита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3511"/>
        <w:gridCol w:w="884"/>
        <w:gridCol w:w="6138"/>
      </w:tblGrid>
      <w:tr w:rsidR="005106D0" w:rsidRPr="007224C3" w14:paraId="37FB1475" w14:textId="77777777">
        <w:tc>
          <w:tcPr>
            <w:tcW w:w="675" w:type="dxa"/>
            <w:tcBorders>
              <w:top w:val="single" w:sz="12" w:space="0" w:color="auto"/>
            </w:tcBorders>
          </w:tcPr>
          <w:p w14:paraId="6986153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п/п</w:t>
            </w:r>
          </w:p>
        </w:tc>
        <w:tc>
          <w:tcPr>
            <w:tcW w:w="3511" w:type="dxa"/>
            <w:tcBorders>
              <w:top w:val="single" w:sz="12" w:space="0" w:color="auto"/>
            </w:tcBorders>
          </w:tcPr>
          <w:p w14:paraId="57E7DCD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Нименование детали</w:t>
            </w:r>
          </w:p>
        </w:tc>
        <w:tc>
          <w:tcPr>
            <w:tcW w:w="884" w:type="dxa"/>
            <w:tcBorders>
              <w:top w:val="single" w:sz="12" w:space="0" w:color="auto"/>
            </w:tcBorders>
          </w:tcPr>
          <w:p w14:paraId="750F9DA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угол отстрела</w:t>
            </w:r>
          </w:p>
        </w:tc>
        <w:tc>
          <w:tcPr>
            <w:tcW w:w="6138" w:type="dxa"/>
            <w:tcBorders>
              <w:top w:val="single" w:sz="12" w:space="0" w:color="auto"/>
            </w:tcBorders>
          </w:tcPr>
          <w:p w14:paraId="732044C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результаты исппытания</w:t>
            </w:r>
          </w:p>
        </w:tc>
      </w:tr>
      <w:tr w:rsidR="005106D0" w:rsidRPr="007224C3" w14:paraId="27F5CC59" w14:textId="77777777">
        <w:tc>
          <w:tcPr>
            <w:tcW w:w="675" w:type="dxa"/>
          </w:tcPr>
          <w:p w14:paraId="364C8CB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3511" w:type="dxa"/>
          </w:tcPr>
          <w:p w14:paraId="31BF3BD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Боковая деталь Ил-2 № 3</w:t>
            </w:r>
          </w:p>
        </w:tc>
        <w:tc>
          <w:tcPr>
            <w:tcW w:w="884" w:type="dxa"/>
          </w:tcPr>
          <w:p w14:paraId="1068A95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 гр</w:t>
            </w:r>
          </w:p>
        </w:tc>
        <w:tc>
          <w:tcPr>
            <w:tcW w:w="6138" w:type="dxa"/>
          </w:tcPr>
          <w:p w14:paraId="1A3615F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ПТП попадание в нижнюю левую таб</w:t>
            </w:r>
            <w:r w:rsidRPr="007224C3">
              <w:rPr>
                <w:rFonts w:ascii="Times New Roman" w:hAnsi="Times New Roman"/>
                <w:color w:val="000000" w:themeColor="text1"/>
                <w:sz w:val="16"/>
                <w:szCs w:val="16"/>
              </w:rPr>
              <w:softHyphen/>
              <w:t>летку, разрушилась -также верхнля ле</w:t>
            </w:r>
            <w:r w:rsidRPr="007224C3">
              <w:rPr>
                <w:rFonts w:ascii="Times New Roman" w:hAnsi="Times New Roman"/>
                <w:color w:val="000000" w:themeColor="text1"/>
                <w:sz w:val="16"/>
                <w:szCs w:val="16"/>
              </w:rPr>
              <w:softHyphen/>
              <w:t>вая таблетка.</w:t>
            </w:r>
          </w:p>
        </w:tc>
      </w:tr>
      <w:tr w:rsidR="005106D0" w:rsidRPr="007224C3" w14:paraId="4C74A321" w14:textId="77777777">
        <w:tc>
          <w:tcPr>
            <w:tcW w:w="675" w:type="dxa"/>
          </w:tcPr>
          <w:p w14:paraId="1BAD327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3511" w:type="dxa"/>
          </w:tcPr>
          <w:p w14:paraId="5E76120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Боковая деталь Ил-2 № 1</w:t>
            </w:r>
          </w:p>
        </w:tc>
        <w:tc>
          <w:tcPr>
            <w:tcW w:w="884" w:type="dxa"/>
          </w:tcPr>
          <w:p w14:paraId="729DF6E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 гр</w:t>
            </w:r>
          </w:p>
        </w:tc>
        <w:tc>
          <w:tcPr>
            <w:tcW w:w="6138" w:type="dxa"/>
          </w:tcPr>
          <w:p w14:paraId="3116A2E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ПТП попадание в верхнюю левую таблетку, разрушилист также две со</w:t>
            </w:r>
            <w:r w:rsidRPr="007224C3">
              <w:rPr>
                <w:rFonts w:ascii="Times New Roman" w:hAnsi="Times New Roman"/>
                <w:color w:val="000000" w:themeColor="text1"/>
                <w:sz w:val="16"/>
                <w:szCs w:val="16"/>
              </w:rPr>
              <w:softHyphen/>
              <w:t>седние таблетки.</w:t>
            </w:r>
          </w:p>
        </w:tc>
      </w:tr>
      <w:tr w:rsidR="005106D0" w:rsidRPr="007224C3" w14:paraId="06C1F201" w14:textId="77777777">
        <w:tc>
          <w:tcPr>
            <w:tcW w:w="675" w:type="dxa"/>
          </w:tcPr>
          <w:p w14:paraId="31A304B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3511" w:type="dxa"/>
          </w:tcPr>
          <w:p w14:paraId="55F82D7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Боковая-деталь Ил-2 № 3</w:t>
            </w:r>
          </w:p>
        </w:tc>
        <w:tc>
          <w:tcPr>
            <w:tcW w:w="884" w:type="dxa"/>
          </w:tcPr>
          <w:p w14:paraId="2CF4A09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 гр</w:t>
            </w:r>
          </w:p>
        </w:tc>
        <w:tc>
          <w:tcPr>
            <w:tcW w:w="6138" w:type="dxa"/>
          </w:tcPr>
          <w:p w14:paraId="3FC1BEC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ПТП разрушена одна таблетка.</w:t>
            </w:r>
          </w:p>
        </w:tc>
      </w:tr>
      <w:tr w:rsidR="005106D0" w:rsidRPr="007224C3" w14:paraId="26F78E14" w14:textId="77777777">
        <w:tc>
          <w:tcPr>
            <w:tcW w:w="675" w:type="dxa"/>
          </w:tcPr>
          <w:p w14:paraId="596DCBE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3511" w:type="dxa"/>
          </w:tcPr>
          <w:p w14:paraId="643552C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Боковая деталь Ил-2 № 1</w:t>
            </w:r>
          </w:p>
        </w:tc>
        <w:tc>
          <w:tcPr>
            <w:tcW w:w="884" w:type="dxa"/>
          </w:tcPr>
          <w:p w14:paraId="6CB6B7D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 гр</w:t>
            </w:r>
          </w:p>
        </w:tc>
        <w:tc>
          <w:tcPr>
            <w:tcW w:w="6138" w:type="dxa"/>
          </w:tcPr>
          <w:p w14:paraId="38B8DCB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Сквозное пораже</w:t>
            </w:r>
            <w:r w:rsidRPr="007224C3">
              <w:rPr>
                <w:rFonts w:ascii="Times New Roman" w:hAnsi="Times New Roman"/>
                <w:color w:val="000000" w:themeColor="text1"/>
                <w:sz w:val="16"/>
                <w:szCs w:val="16"/>
              </w:rPr>
              <w:softHyphen/>
              <w:t>ние, разрушены 4 таблетки.</w:t>
            </w:r>
          </w:p>
        </w:tc>
      </w:tr>
      <w:tr w:rsidR="005106D0" w:rsidRPr="007224C3" w14:paraId="53A8584C" w14:textId="77777777">
        <w:tc>
          <w:tcPr>
            <w:tcW w:w="675" w:type="dxa"/>
          </w:tcPr>
          <w:p w14:paraId="021260F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3511" w:type="dxa"/>
          </w:tcPr>
          <w:p w14:paraId="161DE8E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Передняя деталь Ил-2 № 2</w:t>
            </w:r>
          </w:p>
        </w:tc>
        <w:tc>
          <w:tcPr>
            <w:tcW w:w="884" w:type="dxa"/>
          </w:tcPr>
          <w:p w14:paraId="147D8AB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 гр</w:t>
            </w:r>
          </w:p>
        </w:tc>
        <w:tc>
          <w:tcPr>
            <w:tcW w:w="6138" w:type="dxa"/>
          </w:tcPr>
          <w:p w14:paraId="2F405FC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ПТП попадание в центр. таблетку</w:t>
            </w:r>
          </w:p>
        </w:tc>
      </w:tr>
      <w:tr w:rsidR="005106D0" w:rsidRPr="007224C3" w14:paraId="4F628051" w14:textId="77777777">
        <w:tc>
          <w:tcPr>
            <w:tcW w:w="675" w:type="dxa"/>
          </w:tcPr>
          <w:p w14:paraId="7C503C1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3511" w:type="dxa"/>
          </w:tcPr>
          <w:p w14:paraId="2D1F22F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Передняя деталь Ил-2 № 2</w:t>
            </w:r>
          </w:p>
        </w:tc>
        <w:tc>
          <w:tcPr>
            <w:tcW w:w="884" w:type="dxa"/>
          </w:tcPr>
          <w:p w14:paraId="1E8C3B8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 гр</w:t>
            </w:r>
          </w:p>
        </w:tc>
        <w:tc>
          <w:tcPr>
            <w:tcW w:w="6138" w:type="dxa"/>
          </w:tcPr>
          <w:p w14:paraId="04D3E0C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ПТП, попадание в центр. таблет</w:t>
            </w:r>
            <w:r w:rsidRPr="007224C3">
              <w:rPr>
                <w:rFonts w:ascii="Times New Roman" w:hAnsi="Times New Roman"/>
                <w:color w:val="000000" w:themeColor="text1"/>
                <w:sz w:val="16"/>
                <w:szCs w:val="16"/>
              </w:rPr>
              <w:softHyphen/>
              <w:t>ки, разрушена две соседние.</w:t>
            </w:r>
          </w:p>
        </w:tc>
      </w:tr>
      <w:tr w:rsidR="005106D0" w:rsidRPr="007224C3" w14:paraId="40AF7910" w14:textId="77777777">
        <w:tc>
          <w:tcPr>
            <w:tcW w:w="675" w:type="dxa"/>
          </w:tcPr>
          <w:p w14:paraId="10E1775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3511" w:type="dxa"/>
          </w:tcPr>
          <w:p w14:paraId="34AC559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Передняя деталь Ил-2 № 2</w:t>
            </w:r>
          </w:p>
        </w:tc>
        <w:tc>
          <w:tcPr>
            <w:tcW w:w="884" w:type="dxa"/>
          </w:tcPr>
          <w:p w14:paraId="525C6DE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 гр</w:t>
            </w:r>
          </w:p>
        </w:tc>
        <w:tc>
          <w:tcPr>
            <w:tcW w:w="6138" w:type="dxa"/>
          </w:tcPr>
          <w:p w14:paraId="3EF10DE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Попадание в стык двух таблеток, сквозное поражение, разрушены обе таблетки.</w:t>
            </w:r>
          </w:p>
        </w:tc>
      </w:tr>
      <w:tr w:rsidR="005106D0" w:rsidRPr="007224C3" w14:paraId="36B0C553" w14:textId="77777777">
        <w:tc>
          <w:tcPr>
            <w:tcW w:w="675" w:type="dxa"/>
          </w:tcPr>
          <w:p w14:paraId="26C4375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3511" w:type="dxa"/>
          </w:tcPr>
          <w:p w14:paraId="508C37A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Передняя деталь Ил-2 № 2</w:t>
            </w:r>
          </w:p>
        </w:tc>
        <w:tc>
          <w:tcPr>
            <w:tcW w:w="884" w:type="dxa"/>
          </w:tcPr>
          <w:p w14:paraId="2E41130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гр.</w:t>
            </w:r>
          </w:p>
        </w:tc>
        <w:tc>
          <w:tcPr>
            <w:tcW w:w="6138" w:type="dxa"/>
          </w:tcPr>
          <w:p w14:paraId="1185022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Сплошное поражение</w:t>
            </w:r>
          </w:p>
        </w:tc>
      </w:tr>
      <w:tr w:rsidR="005106D0" w:rsidRPr="007224C3" w14:paraId="1584F356" w14:textId="77777777">
        <w:tc>
          <w:tcPr>
            <w:tcW w:w="675" w:type="dxa"/>
          </w:tcPr>
          <w:p w14:paraId="368EC03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3511" w:type="dxa"/>
          </w:tcPr>
          <w:p w14:paraId="1D71E21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Боковая деталь Ил-2</w:t>
            </w:r>
          </w:p>
        </w:tc>
        <w:tc>
          <w:tcPr>
            <w:tcW w:w="884" w:type="dxa"/>
          </w:tcPr>
          <w:p w14:paraId="34FC595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 гр</w:t>
            </w:r>
          </w:p>
        </w:tc>
        <w:tc>
          <w:tcPr>
            <w:tcW w:w="6138" w:type="dxa"/>
          </w:tcPr>
          <w:p w14:paraId="4FFC1A2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ПТП</w:t>
            </w:r>
          </w:p>
        </w:tc>
      </w:tr>
      <w:tr w:rsidR="005106D0" w:rsidRPr="007224C3" w14:paraId="57CBECFA" w14:textId="77777777">
        <w:tc>
          <w:tcPr>
            <w:tcW w:w="675" w:type="dxa"/>
          </w:tcPr>
          <w:p w14:paraId="2877EC8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3511" w:type="dxa"/>
          </w:tcPr>
          <w:p w14:paraId="1BBAD3E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Боковая деталь Ил-2 № 2</w:t>
            </w:r>
          </w:p>
        </w:tc>
        <w:tc>
          <w:tcPr>
            <w:tcW w:w="884" w:type="dxa"/>
          </w:tcPr>
          <w:p w14:paraId="696060B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 гр</w:t>
            </w:r>
          </w:p>
        </w:tc>
        <w:tc>
          <w:tcPr>
            <w:tcW w:w="6138" w:type="dxa"/>
          </w:tcPr>
          <w:p w14:paraId="316A585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ИТП, попадание в стык двух таблеток, разрушены обе таблетки</w:t>
            </w:r>
          </w:p>
        </w:tc>
      </w:tr>
      <w:tr w:rsidR="005106D0" w:rsidRPr="007224C3" w14:paraId="2132FDA7" w14:textId="77777777">
        <w:tc>
          <w:tcPr>
            <w:tcW w:w="675" w:type="dxa"/>
          </w:tcPr>
          <w:p w14:paraId="454F17D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3511" w:type="dxa"/>
          </w:tcPr>
          <w:p w14:paraId="0651CDC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Боковая деталь Ил-2 № 2</w:t>
            </w:r>
          </w:p>
        </w:tc>
        <w:tc>
          <w:tcPr>
            <w:tcW w:w="884" w:type="dxa"/>
          </w:tcPr>
          <w:p w14:paraId="0B50E44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 гр</w:t>
            </w:r>
          </w:p>
        </w:tc>
        <w:tc>
          <w:tcPr>
            <w:tcW w:w="6138" w:type="dxa"/>
          </w:tcPr>
          <w:p w14:paraId="3952311D" w14:textId="77777777" w:rsidR="00595BFB" w:rsidRPr="007224C3" w:rsidRDefault="00595BFB" w:rsidP="007224C3">
            <w:pPr>
              <w:tabs>
                <w:tab w:val="right" w:pos="2693"/>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ПТП разрушены соседние таблетки</w:t>
            </w:r>
          </w:p>
        </w:tc>
      </w:tr>
      <w:tr w:rsidR="005106D0" w:rsidRPr="007224C3" w14:paraId="7F2CDE07" w14:textId="77777777">
        <w:tc>
          <w:tcPr>
            <w:tcW w:w="675" w:type="dxa"/>
          </w:tcPr>
          <w:p w14:paraId="3C39BA8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3511" w:type="dxa"/>
          </w:tcPr>
          <w:p w14:paraId="0DB56BC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Боковая деталь Ил-2 № 2</w:t>
            </w:r>
          </w:p>
        </w:tc>
        <w:tc>
          <w:tcPr>
            <w:tcW w:w="884" w:type="dxa"/>
          </w:tcPr>
          <w:p w14:paraId="03F403D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 гр</w:t>
            </w:r>
          </w:p>
        </w:tc>
        <w:tc>
          <w:tcPr>
            <w:tcW w:w="6138" w:type="dxa"/>
          </w:tcPr>
          <w:p w14:paraId="4343129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Раскол подушки, пудя не прошлаа, разрушены соседние таблетки</w:t>
            </w:r>
          </w:p>
        </w:tc>
      </w:tr>
      <w:tr w:rsidR="005106D0" w:rsidRPr="007224C3" w14:paraId="1338345F" w14:textId="77777777">
        <w:tc>
          <w:tcPr>
            <w:tcW w:w="675" w:type="dxa"/>
          </w:tcPr>
          <w:p w14:paraId="774EB51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3511" w:type="dxa"/>
          </w:tcPr>
          <w:p w14:paraId="2185373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Боковая деталь Ил-2 № 2</w:t>
            </w:r>
          </w:p>
        </w:tc>
        <w:tc>
          <w:tcPr>
            <w:tcW w:w="884" w:type="dxa"/>
          </w:tcPr>
          <w:p w14:paraId="0EA37A4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 гр</w:t>
            </w:r>
          </w:p>
        </w:tc>
        <w:tc>
          <w:tcPr>
            <w:tcW w:w="6138" w:type="dxa"/>
          </w:tcPr>
          <w:p w14:paraId="30965B45" w14:textId="77777777" w:rsidR="00595BFB" w:rsidRPr="007224C3" w:rsidRDefault="00595BFB" w:rsidP="007224C3">
            <w:pPr>
              <w:tabs>
                <w:tab w:val="right" w:pos="2693"/>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П.Т.П.</w:t>
            </w:r>
          </w:p>
        </w:tc>
      </w:tr>
      <w:tr w:rsidR="005106D0" w:rsidRPr="007224C3" w14:paraId="2FCFA916" w14:textId="77777777">
        <w:tc>
          <w:tcPr>
            <w:tcW w:w="675" w:type="dxa"/>
          </w:tcPr>
          <w:p w14:paraId="6E3DCCD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3511" w:type="dxa"/>
          </w:tcPr>
          <w:p w14:paraId="53E94ED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Лобовая деталь Ла-5</w:t>
            </w:r>
          </w:p>
        </w:tc>
        <w:tc>
          <w:tcPr>
            <w:tcW w:w="884" w:type="dxa"/>
          </w:tcPr>
          <w:p w14:paraId="38837BF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 гр</w:t>
            </w:r>
          </w:p>
        </w:tc>
        <w:tc>
          <w:tcPr>
            <w:tcW w:w="6138" w:type="dxa"/>
          </w:tcPr>
          <w:p w14:paraId="27382427" w14:textId="77777777" w:rsidR="00595BFB" w:rsidRPr="007224C3" w:rsidRDefault="00595BFB" w:rsidP="007224C3">
            <w:pPr>
              <w:tabs>
                <w:tab w:val="right" w:pos="2693"/>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П.Т.П.</w:t>
            </w:r>
          </w:p>
        </w:tc>
      </w:tr>
      <w:tr w:rsidR="005106D0" w:rsidRPr="007224C3" w14:paraId="234ADAF9" w14:textId="77777777">
        <w:tc>
          <w:tcPr>
            <w:tcW w:w="675" w:type="dxa"/>
          </w:tcPr>
          <w:p w14:paraId="4C967E5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3511" w:type="dxa"/>
          </w:tcPr>
          <w:p w14:paraId="4478D4A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Лобовая деталь Ла-5</w:t>
            </w:r>
          </w:p>
        </w:tc>
        <w:tc>
          <w:tcPr>
            <w:tcW w:w="884" w:type="dxa"/>
          </w:tcPr>
          <w:p w14:paraId="6A82BB5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 гр</w:t>
            </w:r>
          </w:p>
        </w:tc>
        <w:tc>
          <w:tcPr>
            <w:tcW w:w="6138" w:type="dxa"/>
          </w:tcPr>
          <w:p w14:paraId="345B07E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ПТП, подушка дала трещину.</w:t>
            </w:r>
          </w:p>
        </w:tc>
      </w:tr>
      <w:tr w:rsidR="005106D0" w:rsidRPr="007224C3" w14:paraId="1593334A" w14:textId="77777777">
        <w:tc>
          <w:tcPr>
            <w:tcW w:w="675" w:type="dxa"/>
          </w:tcPr>
          <w:p w14:paraId="09BF42D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3511" w:type="dxa"/>
          </w:tcPr>
          <w:p w14:paraId="09734D4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Лобовая деталь Ла-5</w:t>
            </w:r>
          </w:p>
        </w:tc>
        <w:tc>
          <w:tcPr>
            <w:tcW w:w="884" w:type="dxa"/>
          </w:tcPr>
          <w:p w14:paraId="27677DB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 гр</w:t>
            </w:r>
          </w:p>
        </w:tc>
        <w:tc>
          <w:tcPr>
            <w:tcW w:w="6138" w:type="dxa"/>
          </w:tcPr>
          <w:p w14:paraId="484EE42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Сквозное попадание, попадание в стык таблеток, разрушены обе таблетки</w:t>
            </w:r>
          </w:p>
        </w:tc>
      </w:tr>
      <w:tr w:rsidR="005106D0" w:rsidRPr="007224C3" w14:paraId="0BB3F426" w14:textId="77777777">
        <w:tc>
          <w:tcPr>
            <w:tcW w:w="675" w:type="dxa"/>
          </w:tcPr>
          <w:p w14:paraId="4B235B2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3511" w:type="dxa"/>
          </w:tcPr>
          <w:p w14:paraId="266D972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Лобовая деталь Ла-5</w:t>
            </w:r>
          </w:p>
        </w:tc>
        <w:tc>
          <w:tcPr>
            <w:tcW w:w="884" w:type="dxa"/>
          </w:tcPr>
          <w:p w14:paraId="554C89C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 гр</w:t>
            </w:r>
          </w:p>
        </w:tc>
        <w:tc>
          <w:tcPr>
            <w:tcW w:w="6138" w:type="dxa"/>
          </w:tcPr>
          <w:p w14:paraId="744EBCF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П.Т.П.</w:t>
            </w:r>
          </w:p>
        </w:tc>
      </w:tr>
      <w:tr w:rsidR="005106D0" w:rsidRPr="007224C3" w14:paraId="3D5AFF9D" w14:textId="77777777">
        <w:tc>
          <w:tcPr>
            <w:tcW w:w="675" w:type="dxa"/>
          </w:tcPr>
          <w:p w14:paraId="11AA141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3511" w:type="dxa"/>
          </w:tcPr>
          <w:p w14:paraId="44D0CE3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Лобовая деталь Ла-5</w:t>
            </w:r>
          </w:p>
        </w:tc>
        <w:tc>
          <w:tcPr>
            <w:tcW w:w="884" w:type="dxa"/>
          </w:tcPr>
          <w:p w14:paraId="19838EA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 гр</w:t>
            </w:r>
          </w:p>
        </w:tc>
        <w:tc>
          <w:tcPr>
            <w:tcW w:w="6138" w:type="dxa"/>
          </w:tcPr>
          <w:p w14:paraId="6704C73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ПТП, подушка дала небольшую трещину*</w:t>
            </w:r>
          </w:p>
        </w:tc>
      </w:tr>
      <w:tr w:rsidR="005106D0" w:rsidRPr="007224C3" w14:paraId="5362A14A" w14:textId="77777777">
        <w:tc>
          <w:tcPr>
            <w:tcW w:w="675" w:type="dxa"/>
          </w:tcPr>
          <w:p w14:paraId="670D0F3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3511" w:type="dxa"/>
          </w:tcPr>
          <w:p w14:paraId="7B0C868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Лобовая деталь Як-1</w:t>
            </w:r>
          </w:p>
        </w:tc>
        <w:tc>
          <w:tcPr>
            <w:tcW w:w="884" w:type="dxa"/>
          </w:tcPr>
          <w:p w14:paraId="2A916D3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 гр</w:t>
            </w:r>
          </w:p>
        </w:tc>
        <w:tc>
          <w:tcPr>
            <w:tcW w:w="6138" w:type="dxa"/>
          </w:tcPr>
          <w:p w14:paraId="28189D9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П.Т.П.</w:t>
            </w:r>
          </w:p>
        </w:tc>
      </w:tr>
      <w:tr w:rsidR="005106D0" w:rsidRPr="007224C3" w14:paraId="530EB4B5" w14:textId="77777777">
        <w:tc>
          <w:tcPr>
            <w:tcW w:w="675" w:type="dxa"/>
          </w:tcPr>
          <w:p w14:paraId="09D2824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3511" w:type="dxa"/>
          </w:tcPr>
          <w:p w14:paraId="6BDBC07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Лобовая деталь Як-1</w:t>
            </w:r>
          </w:p>
        </w:tc>
        <w:tc>
          <w:tcPr>
            <w:tcW w:w="884" w:type="dxa"/>
          </w:tcPr>
          <w:p w14:paraId="68729E2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 гр</w:t>
            </w:r>
          </w:p>
        </w:tc>
        <w:tc>
          <w:tcPr>
            <w:tcW w:w="6138" w:type="dxa"/>
          </w:tcPr>
          <w:p w14:paraId="102ABFD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Сквозное поражение.</w:t>
            </w:r>
          </w:p>
        </w:tc>
      </w:tr>
      <w:tr w:rsidR="005106D0" w:rsidRPr="007224C3" w14:paraId="7A0C5A92" w14:textId="77777777">
        <w:tc>
          <w:tcPr>
            <w:tcW w:w="675" w:type="dxa"/>
          </w:tcPr>
          <w:p w14:paraId="76376B8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3511" w:type="dxa"/>
          </w:tcPr>
          <w:p w14:paraId="472509D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Лобовая деталь Як-1</w:t>
            </w:r>
          </w:p>
        </w:tc>
        <w:tc>
          <w:tcPr>
            <w:tcW w:w="884" w:type="dxa"/>
          </w:tcPr>
          <w:p w14:paraId="72F730E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 гр</w:t>
            </w:r>
          </w:p>
        </w:tc>
        <w:tc>
          <w:tcPr>
            <w:tcW w:w="6138" w:type="dxa"/>
          </w:tcPr>
          <w:p w14:paraId="101B154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ПТП, подушка дада не</w:t>
            </w:r>
            <w:r w:rsidRPr="007224C3">
              <w:rPr>
                <w:rFonts w:ascii="Times New Roman" w:hAnsi="Times New Roman"/>
                <w:color w:val="000000" w:themeColor="text1"/>
                <w:sz w:val="16"/>
                <w:szCs w:val="16"/>
              </w:rPr>
              <w:softHyphen/>
              <w:t>большую трещину</w:t>
            </w:r>
          </w:p>
        </w:tc>
      </w:tr>
      <w:tr w:rsidR="005106D0" w:rsidRPr="007224C3" w14:paraId="7B58FE89" w14:textId="77777777">
        <w:tc>
          <w:tcPr>
            <w:tcW w:w="675" w:type="dxa"/>
          </w:tcPr>
          <w:p w14:paraId="46FB971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3511" w:type="dxa"/>
          </w:tcPr>
          <w:p w14:paraId="3CDF1CC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Лобовая деталь Як-1</w:t>
            </w:r>
          </w:p>
        </w:tc>
        <w:tc>
          <w:tcPr>
            <w:tcW w:w="884" w:type="dxa"/>
          </w:tcPr>
          <w:p w14:paraId="565EC6B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 гр</w:t>
            </w:r>
          </w:p>
        </w:tc>
        <w:tc>
          <w:tcPr>
            <w:tcW w:w="6138" w:type="dxa"/>
          </w:tcPr>
          <w:p w14:paraId="0CFA59F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Сквозное поражение</w:t>
            </w:r>
          </w:p>
        </w:tc>
      </w:tr>
      <w:tr w:rsidR="005106D0" w:rsidRPr="007224C3" w14:paraId="1F61A1BD" w14:textId="77777777">
        <w:tc>
          <w:tcPr>
            <w:tcW w:w="675" w:type="dxa"/>
            <w:tcBorders>
              <w:bottom w:val="single" w:sz="12" w:space="0" w:color="auto"/>
            </w:tcBorders>
          </w:tcPr>
          <w:p w14:paraId="2029D05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3511" w:type="dxa"/>
            <w:tcBorders>
              <w:bottom w:val="single" w:sz="12" w:space="0" w:color="auto"/>
            </w:tcBorders>
          </w:tcPr>
          <w:p w14:paraId="7F2B971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Лобовая деталь Як-1</w:t>
            </w:r>
          </w:p>
        </w:tc>
        <w:tc>
          <w:tcPr>
            <w:tcW w:w="884" w:type="dxa"/>
            <w:tcBorders>
              <w:bottom w:val="single" w:sz="12" w:space="0" w:color="auto"/>
            </w:tcBorders>
          </w:tcPr>
          <w:p w14:paraId="464F36C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 гр</w:t>
            </w:r>
          </w:p>
        </w:tc>
        <w:tc>
          <w:tcPr>
            <w:tcW w:w="6138" w:type="dxa"/>
            <w:tcBorders>
              <w:bottom w:val="single" w:sz="12" w:space="0" w:color="auto"/>
            </w:tcBorders>
          </w:tcPr>
          <w:p w14:paraId="67F439F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Сквозное поражение</w:t>
            </w:r>
          </w:p>
        </w:tc>
      </w:tr>
    </w:tbl>
    <w:p w14:paraId="7F8688A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оснований данных отстрела следует, что применение сырого таблетированного силикатного стекла той же толдщины, не во всех случаях обеспечиваент ПТП.</w:t>
      </w:r>
    </w:p>
    <w:p w14:paraId="67365DD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Одновременно проведенные испытания серийных деталей дали приблизительно такие же результаты по пулестойкости.</w:t>
      </w:r>
    </w:p>
    <w:p w14:paraId="2BB9F64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По-видимому испытания дали в обоих случаях пониженную пулестойкооть вследствие усиленных зарядов боеприпасов.</w:t>
      </w:r>
    </w:p>
    <w:p w14:paraId="1829524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 как скорость пули не измерялась, то окончательные вы</w:t>
      </w:r>
      <w:r w:rsidRPr="007224C3">
        <w:rPr>
          <w:rFonts w:ascii="Times New Roman" w:hAnsi="Times New Roman"/>
          <w:color w:val="000000" w:themeColor="text1"/>
          <w:sz w:val="16"/>
          <w:szCs w:val="16"/>
        </w:rPr>
        <w:softHyphen/>
        <w:t>воды могут быть сделаны только на основании новых исследо</w:t>
      </w:r>
      <w:r w:rsidRPr="007224C3">
        <w:rPr>
          <w:rFonts w:ascii="Times New Roman" w:hAnsi="Times New Roman"/>
          <w:color w:val="000000" w:themeColor="text1"/>
          <w:sz w:val="16"/>
          <w:szCs w:val="16"/>
        </w:rPr>
        <w:softHyphen/>
        <w:t>ваний. Однако, мы считаем, что полученные результаты тре</w:t>
      </w:r>
      <w:r w:rsidRPr="007224C3">
        <w:rPr>
          <w:rFonts w:ascii="Times New Roman" w:hAnsi="Times New Roman"/>
          <w:color w:val="000000" w:themeColor="text1"/>
          <w:sz w:val="16"/>
          <w:szCs w:val="16"/>
        </w:rPr>
        <w:softHyphen/>
        <w:t>буют пересмотра вопроса о преимуществах сталинита в гете</w:t>
      </w:r>
      <w:r w:rsidRPr="007224C3">
        <w:rPr>
          <w:rFonts w:ascii="Times New Roman" w:hAnsi="Times New Roman"/>
          <w:color w:val="000000" w:themeColor="text1"/>
          <w:sz w:val="16"/>
          <w:szCs w:val="16"/>
        </w:rPr>
        <w:softHyphen/>
        <w:t>рогенной броне перед сырым силикатным стеклом и проведения более систематических исследований по этому вопросу.</w:t>
      </w:r>
    </w:p>
    <w:p w14:paraId="0446B49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 Синтез сложных эфиров ортокремниевой кислоты и глицерина</w:t>
      </w:r>
    </w:p>
    <w:p w14:paraId="278A677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последние годы внимание многих исследователей обращалось на сложные эфиры ортокремниевой кислоты с целью применения последних для получения лаковых пленок, искусст</w:t>
      </w:r>
      <w:r w:rsidRPr="007224C3">
        <w:rPr>
          <w:rFonts w:ascii="Times New Roman" w:hAnsi="Times New Roman"/>
          <w:color w:val="000000" w:themeColor="text1"/>
          <w:sz w:val="16"/>
          <w:szCs w:val="16"/>
        </w:rPr>
        <w:softHyphen/>
        <w:t>венных смол и т.д.</w:t>
      </w:r>
    </w:p>
    <w:p w14:paraId="03B0D21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целью выяснения возможностей применения эфиров ортокремниевой кислоты</w:t>
      </w:r>
      <w:r w:rsidRPr="007224C3">
        <w:rPr>
          <w:rFonts w:ascii="Times New Roman" w:hAnsi="Times New Roman"/>
          <w:smallCaps/>
          <w:color w:val="000000" w:themeColor="text1"/>
          <w:sz w:val="16"/>
          <w:szCs w:val="16"/>
        </w:rPr>
        <w:t xml:space="preserve"> в</w:t>
      </w:r>
      <w:r w:rsidRPr="007224C3">
        <w:rPr>
          <w:rFonts w:ascii="Times New Roman" w:hAnsi="Times New Roman"/>
          <w:color w:val="000000" w:themeColor="text1"/>
          <w:sz w:val="16"/>
          <w:szCs w:val="16"/>
        </w:rPr>
        <w:t xml:space="preserve"> качестве заменителей органического стекла мы предприняли работу до синтезу и изучению свойств эфиров ортокремниевлой кислоты и глицерина. Эти эфиры бы</w:t>
      </w:r>
      <w:r w:rsidRPr="007224C3">
        <w:rPr>
          <w:rFonts w:ascii="Times New Roman" w:hAnsi="Times New Roman"/>
          <w:color w:val="000000" w:themeColor="text1"/>
          <w:sz w:val="16"/>
          <w:szCs w:val="16"/>
        </w:rPr>
        <w:softHyphen/>
        <w:t>ли выбраны на основании существующих указаний в патентной литературе.</w:t>
      </w:r>
    </w:p>
    <w:p w14:paraId="3178B89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Получение глицериновых эфиров ортокремневой кислоты в данной работе было проведено двумя методами: 1) Вытеснение алкидного остатка из тетраэтидсиликата бо</w:t>
      </w:r>
      <w:r w:rsidRPr="007224C3">
        <w:rPr>
          <w:rFonts w:ascii="Times New Roman" w:hAnsi="Times New Roman"/>
          <w:color w:val="000000" w:themeColor="text1"/>
          <w:sz w:val="16"/>
          <w:szCs w:val="16"/>
        </w:rPr>
        <w:softHyphen/>
        <w:t>лее высокомолекулярным спиртом,</w:t>
      </w:r>
    </w:p>
    <w:p w14:paraId="7F4E3279" w14:textId="77777777" w:rsidR="00595BFB" w:rsidRPr="007224C3" w:rsidRDefault="00595BFB" w:rsidP="007224C3">
      <w:pPr>
        <w:tabs>
          <w:tab w:val="left" w:pos="48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Получение эфиров непосредственно из четыреххлористого кремния...</w:t>
      </w:r>
    </w:p>
    <w:p w14:paraId="75F33FF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ВЫВОДЫ</w:t>
      </w:r>
    </w:p>
    <w:p w14:paraId="0FE907A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Силикатное стекло, применяемое для изготовления немецкой прозрачной брони представляет собою натрий-кальциевое силикатное е.тенло, прошедшее хороший отжиг.</w:t>
      </w:r>
    </w:p>
    <w:p w14:paraId="79D731F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Исследования о преимуществах закаленного стекла в комбинации с органическим в отношении пулестойкости перед сырым стеклом в такой же комбинации показывают, что этот вопрос требует пересмотра и дальнейших исследований.</w:t>
      </w:r>
    </w:p>
    <w:p w14:paraId="4FA48F38" w14:textId="77777777" w:rsidR="00595BFB" w:rsidRPr="007224C3" w:rsidRDefault="00595BFB" w:rsidP="007224C3">
      <w:pPr>
        <w:tabs>
          <w:tab w:val="left" w:pos="3760"/>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Синтез сложных эфиров ортокремниевой кислоты и глицерина доказал, что эти эфиры могут быть подучены в виде прозрачных полимеров студнеобразного характера.</w:t>
      </w:r>
    </w:p>
    <w:p w14:paraId="77174410" w14:textId="77777777" w:rsidR="00595BFB" w:rsidRPr="007224C3" w:rsidRDefault="00595BFB" w:rsidP="007224C3">
      <w:pPr>
        <w:tabs>
          <w:tab w:val="left" w:leader="dot" w:pos="5206"/>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Получить эти эфиры со свойствами, приближающимися к свойствам органического стекла не удалось.</w:t>
      </w:r>
    </w:p>
    <w:p w14:paraId="529B0928" w14:textId="77777777" w:rsidR="00595BFB" w:rsidRPr="007224C3" w:rsidRDefault="00595BFB" w:rsidP="007224C3">
      <w:pPr>
        <w:tabs>
          <w:tab w:val="left" w:pos="1258"/>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Исследование механических свойств /твердость по Бринелю и ударной вязкости/ органического стекла, полу</w:t>
      </w:r>
      <w:r w:rsidRPr="007224C3">
        <w:rPr>
          <w:rFonts w:ascii="Times New Roman" w:hAnsi="Times New Roman"/>
          <w:color w:val="000000" w:themeColor="text1"/>
          <w:sz w:val="16"/>
          <w:szCs w:val="16"/>
        </w:rPr>
        <w:softHyphen/>
        <w:t>ченного из метилметакрилата с добавками гликольдиматакрилата, показали, что добавки последнего не влияют практически на твердость по Бринелю, но сильно добавляют ударную вязкость.</w:t>
      </w:r>
    </w:p>
    <w:p w14:paraId="20BB1A60" w14:textId="77777777" w:rsidR="00595BFB" w:rsidRPr="007224C3" w:rsidRDefault="00595BFB" w:rsidP="007224C3">
      <w:pPr>
        <w:tabs>
          <w:tab w:val="left" w:pos="1251"/>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Опыты по применение карбинольеого клея для склей</w:t>
      </w:r>
      <w:r w:rsidRPr="007224C3">
        <w:rPr>
          <w:rFonts w:ascii="Times New Roman" w:hAnsi="Times New Roman"/>
          <w:color w:val="000000" w:themeColor="text1"/>
          <w:sz w:val="16"/>
          <w:szCs w:val="16"/>
        </w:rPr>
        <w:softHyphen/>
        <w:t>ки органического и силикатного стекла показали непри</w:t>
      </w:r>
      <w:r w:rsidRPr="007224C3">
        <w:rPr>
          <w:rFonts w:ascii="Times New Roman" w:hAnsi="Times New Roman"/>
          <w:color w:val="000000" w:themeColor="text1"/>
          <w:sz w:val="16"/>
          <w:szCs w:val="16"/>
        </w:rPr>
        <w:softHyphen/>
        <w:t>годность карбинольного клея для этой цели из-ва низкой прочности склейки при механических воздействиях.</w:t>
      </w:r>
    </w:p>
    <w:p w14:paraId="44EF9C5B" w14:textId="77777777" w:rsidR="00595BFB" w:rsidRPr="007224C3" w:rsidRDefault="00595BFB" w:rsidP="007224C3">
      <w:pPr>
        <w:tabs>
          <w:tab w:val="left" w:pos="682"/>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Исследование пленки, применяемой при изготовлении немецкой прозрачной брони, показало, что она представляет собою полимер производных акриловой кислоты.</w:t>
      </w:r>
    </w:p>
    <w:p w14:paraId="374E33D7" w14:textId="77777777" w:rsidR="00595BFB" w:rsidRPr="007224C3" w:rsidRDefault="00595BFB" w:rsidP="007224C3">
      <w:pPr>
        <w:tabs>
          <w:tab w:val="left" w:pos="1254"/>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Испытания серийных деталей прозрачной брони серийной конструкции, изготовленной на пленке из полиметилакрилата показаяи, что технология изготовления этой пленки и технология склейки на этой пленке требуют доработки, так как испытанные детали доказали образование гороховых пузырей при испытании на термоводостойкость (10523,170).</w:t>
      </w:r>
    </w:p>
    <w:p w14:paraId="4E277E5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C26DB7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июня 1944 Зам. Нач. 7ГУ Алексеев подготовил сводку г-7 № 8183 о ходе испытаний высотных самолетов на 17 и 18 июня 1944 по Як-9 М-105ПД, Ла-5 АШ-82ФН и 2ТК-3, МиГ АМ-39А и 2ТК-2Б (1825,87).</w:t>
      </w:r>
    </w:p>
    <w:p w14:paraId="59BF75B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ВЫСОТНЫЙ ИСТРЕБИТЕЛЬ ЯК-9 С ВК-105ПФ И ДВУХСТУПЕНЧАТЫМ НАГНЕТАТЕЛЕМ</w:t>
      </w:r>
    </w:p>
    <w:p w14:paraId="2113105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Производилась подготовка самолета для установки в трубу для продувок.</w:t>
      </w:r>
    </w:p>
    <w:p w14:paraId="7366E24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ВЫСОТНЫЙ ИСТРЕБИТЕЛЬ МИГ С АМ-39Б И 2ТК-2Б.</w:t>
      </w:r>
    </w:p>
    <w:p w14:paraId="4D037D4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Полетов не производилось, т.к. летчик-испытатель тов. ЯКИМОВ болен;</w:t>
      </w:r>
    </w:p>
    <w:p w14:paraId="19E9212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находится в летном состоянии.</w:t>
      </w:r>
    </w:p>
    <w:p w14:paraId="1FA87B6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ВЫСОТНЫЙ ИСТРЕБИТЕЛЬ ЛА-5 С АШ-82ФН и 2ТК-3.</w:t>
      </w:r>
    </w:p>
    <w:p w14:paraId="1D93E44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не обеспечен кондиционным мотором. Мотор :АШ-82ФН с улучшенным дефлектированием отправлен с за</w:t>
      </w:r>
      <w:r w:rsidRPr="007224C3">
        <w:rPr>
          <w:rFonts w:ascii="Times New Roman" w:hAnsi="Times New Roman"/>
          <w:color w:val="000000" w:themeColor="text1"/>
          <w:sz w:val="16"/>
          <w:szCs w:val="16"/>
        </w:rPr>
        <w:softHyphen/>
        <w:t>вода № 19 14 июня с.г. Начальнику Транспортного Отдела тов. СУПРУН сообщено о необходимости взять под особый контроль передвижение мотора по нелеаной дороге (1825).</w:t>
      </w:r>
    </w:p>
    <w:p w14:paraId="4DA9764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2B264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июня 1944 состоялось заседание коллегии НКАП и обсудили:</w:t>
      </w:r>
    </w:p>
    <w:p w14:paraId="0768839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О состоянии производительности труда и снижении себестоимости</w:t>
      </w:r>
    </w:p>
    <w:p w14:paraId="4F8D971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Об отоваривании фондов на продовольственные и промышленные товары во 2 кв. 1944 (1740).</w:t>
      </w:r>
    </w:p>
    <w:p w14:paraId="05E9452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0E2103"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76154CF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A37DBD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июня 1944 г. на полигоне Юргинского завода прозвучал первый орудийный испытательный выстрел 122мм Д-25. В июле завод выдал первые пять пушек Д-25 калибра 122 миллиметра. Начался выпуск законченной артиллерийской продукции. За 1944 г. завод изготовил 120 пушек и выполнил план на 109%. Себестоимость одной пушки сократилась на 38%. В конце 1945 г. завершилось строительство мартеновского, а затем прессового цехов. На второе полугодие и на 1946 г. завод получил дополнительное задание освоить производство стволов двух видов (Б-24-Иц и Б-34-У). Он стал крупным предприятием, поставлявшим вооруженным силам мощные артиллерийские системы и их отдельные элементы. За январь завод выпустил 112 орудий, за февраль - 108 и за каждый последующий месяц по 100 штук. Итого за год 1220 пуше (11511).</w:t>
      </w:r>
    </w:p>
    <w:p w14:paraId="3BF9445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4BF556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июня 1945 в Кремле проходил показ новых ГАЗ-М-20 и ГАЗ-51 и Сталиным был поднят вопрос о новом автомобиле. Присутствовавший там главный конструктор А.А.Липгарт пообещал сделать тягач. В 1946 году было получено официальное техническое задание на проектирование полноприводного легкового автомобиля высокой проходимости под индексом "69" (второй в истории завода), а позднее под названием "Труженик" (имелось в виду его не только армейское, но и народнохозяйственное значение) - будущий ГАЗ-69 (9639).</w:t>
      </w:r>
    </w:p>
    <w:p w14:paraId="1B3D540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ACD35B6"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4D923E3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E68A4AE" w14:textId="77777777" w:rsidR="009C5E2F" w:rsidRPr="007224C3" w:rsidRDefault="009C5E2F"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 xml:space="preserve">19 июня </w:t>
      </w:r>
      <w:r w:rsidRPr="007224C3">
        <w:rPr>
          <w:rFonts w:ascii="Times New Roman" w:hAnsi="Times New Roman"/>
          <w:color w:val="000000" w:themeColor="text1"/>
          <w:sz w:val="16"/>
          <w:szCs w:val="16"/>
        </w:rPr>
        <w:t>в 1944 году оперативная сводка Совинформбюро:</w:t>
      </w:r>
    </w:p>
    <w:p w14:paraId="0F82A0F9" w14:textId="77777777" w:rsidR="009C5E2F" w:rsidRPr="007224C3" w:rsidRDefault="009C5E2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Карельском перешейке войска Ленинградского фронта, продолжая стремительное наступление, расширили прорыв Линии Маннергеима до 50 километров по фронту — от Муола до побережья Финского залива. В течение 19 июня войска фронта овладели крупными узлами сопротивления противника Сумма, Лейпясуо, Муола, а также с боями заняли более 70 населённых пунктов и среди них Ремпетти, Ватнуори, Иоханнес, Роккала (16 километров южнее Выборга), Липпола, Илякюля. Хумола, Кямяря, Куса, Иокису, Кивиниеми, Лапинлахти и железнодорожные станции Иоханнес, Лейпясуо, Кямяря, Петяярви. Наши войска полностью очистили от противника южное побережье озёр Суванто-Ярви и Вуокси-Ярви. На других фронтах — без перемен.</w:t>
      </w:r>
    </w:p>
    <w:p w14:paraId="21662A61" w14:textId="77777777" w:rsidR="009C5E2F" w:rsidRPr="007224C3" w:rsidRDefault="009C5E2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18 июня в воздушных боях и огнём зенитной артиллерии сбито 36 самолётов противника.</w:t>
      </w:r>
    </w:p>
    <w:p w14:paraId="67748E5F" w14:textId="77777777" w:rsidR="009C5E2F" w:rsidRPr="007224C3" w:rsidRDefault="009C5E2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На Карельском перешейке войска Ленинградского фронта продолжали успешное наступление. Наши войска расширили прорыв линии Маннергейма до 50 километров по фронту — от Муола (севернее озера Муолан-ярви) до побережья Финского залива. Советские танкисты и пехотинцы стремительными ударами овладели долговременными, сильно укреплёнными узлами сопротивления финнов: Сумма, Лейпясуо, Муола, а также заняли более 70 населённых пунктов. Части Н-ского стрелкового соединения совершили умелый манёвр и нанесли мощный удар противнику. Советские бойцы уничтожили свыше тысячи финнов и захватили знамёна двух финских полков, 3 танка, 19 орудий, много автомашин и повозок с грузами. Танкисты Н-ской части прорвались в тыл противника и разгромили несколько </w:t>
      </w:r>
      <w:r w:rsidRPr="007224C3">
        <w:rPr>
          <w:rFonts w:ascii="Times New Roman" w:hAnsi="Times New Roman"/>
          <w:color w:val="000000" w:themeColor="text1"/>
          <w:sz w:val="16"/>
          <w:szCs w:val="16"/>
        </w:rPr>
        <w:lastRenderedPageBreak/>
        <w:t>финских батальонов и штаб дивизии. Захвачено 4 склада с продовольствием и боеприпасами, 78 автомашин, 600 велосипедов, 200 лошадей и различное военное имущество. В другом районе танкисты, ликвидировав узел обороты финнов, захватили 15 противотанковых орудий и большое количество боеприпасов.</w:t>
      </w:r>
    </w:p>
    <w:p w14:paraId="7D86C91F" w14:textId="77777777" w:rsidR="009C5E2F" w:rsidRPr="007224C3" w:rsidRDefault="009C5E2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Наша авиация, поддерживая наступающие войска фронта, наносила массированные удары по опорным пунктам и коммуникациям противника. Лётчики Краснознамённого Балтийского флота днём и ночью бомбардировали финские суда в. Выборгском заливе. Прямыми попаданиями бомб потоплены 6 транспортов противника. Кроме того, авиацией флота потоплены четыре десантных баржи, три буксира и три сторожевых катера. Многим другим плавучим средствам финнов, нанесены повреждения. Противник пытался вывести свои суда из Выборгского залива. Наша авиация активно противодействовала этим попыткам финнов. Сегодня с одного из полуостровов наши артиллеристы расстреливают суда противника, пытающиеся вырваться из Выборгского залива.</w:t>
      </w:r>
    </w:p>
    <w:p w14:paraId="36DE98B5" w14:textId="77777777" w:rsidR="009C5E2F" w:rsidRPr="007224C3" w:rsidRDefault="009C5E2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дня в воздушных боях советские лётчики сбили 22 немецко-финских самолёта.</w:t>
      </w:r>
    </w:p>
    <w:p w14:paraId="149527B5" w14:textId="77777777" w:rsidR="009C5E2F" w:rsidRPr="007224C3" w:rsidRDefault="009C5E2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Северо-западнее города Мозырь группа наших разведчиков под командованием лейтенанта Лейзина ночью пробралась к укреплённому пункту немцев. Советские бойцы внезапно напали на противника и уничтожили 38 гитлеровцев. Разведчики захватили в плен немецкого унтер-офицера и благополучно возвратились в свою часть.</w:t>
      </w:r>
    </w:p>
    <w:p w14:paraId="3920F6F6" w14:textId="77777777" w:rsidR="009C5E2F" w:rsidRPr="007224C3" w:rsidRDefault="009C5E2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2 Украинском фронте группа разведчиков во главе со старшим сержантом Учаевым внезапным броском ворвалась в траншеи противника, уничтожила 4 немцев и захватила 20 пленных. Отправив пленных в штаб, разведчики атаковали позиции артиллерийской батареи. Румынские артиллеристы не приняли боя и разбежались, бросив свои орудия. Наши разведчики захватили и доставили в своё подразделение три исправных противотанковых орудия.</w:t>
      </w:r>
    </w:p>
    <w:p w14:paraId="40AF1BA6" w14:textId="77777777" w:rsidR="009C5E2F" w:rsidRPr="007224C3" w:rsidRDefault="009C5E2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Наша авиация в ночь на 18 июня совершила налёт на порт и город Киркенес (Северная Норвегия). В результате бомбардировки возникло десять очагов пожара. В порту уничтожены танкер и три каботажных судна. В воздушных боях «бито 7 немецких самолётов.</w:t>
      </w:r>
    </w:p>
    <w:p w14:paraId="18C498CE" w14:textId="77777777" w:rsidR="009C5E2F" w:rsidRPr="007224C3" w:rsidRDefault="009C5E2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Самолёт-торпедоносец Краснознамённого Балтийского флота потопил в Рижском заливе немецкий транспорт водоизмещением в 6.000 тонн.</w:t>
      </w:r>
    </w:p>
    <w:p w14:paraId="4926E715" w14:textId="77777777" w:rsidR="009C5E2F" w:rsidRPr="007224C3" w:rsidRDefault="009C5E2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Перешедший на сторону Красной Армии сержант 14 румынской пехотной дивизии Думитру Т. рассказал: «В 1941 году я служил в 21 румынской пехотной дивизии и участвовал в боях под Одессой. В районе Одессы состав дивизии обновлялся по меньшей мере четыре раза. После я попал в 14 румынскую пехотную дивизию и через некоторое время снова очутился на фронте. Мне пришлось пройти длинный и тяжёлый путь отступления. Ненавидя немцев, я покинул свою часть и скрывался в деревнях. На днях мы группой в количестве 27 человек перешли на сторону Красной Армии».</w:t>
      </w:r>
    </w:p>
    <w:p w14:paraId="747BFF12" w14:textId="77777777" w:rsidR="009C5E2F" w:rsidRPr="007224C3" w:rsidRDefault="009C5E2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районе Тирасполя на сторону Красной Армии перешла группа солдат 4 горнострелковой румынской дивизии. Перебежчик Ион Р. сообщил: «Немцы грабят румынское население, забирают хлеб, скот, птицу и ценные вещи. В одном селе я был свидетелем вооружённой схватки между солдатами 15 румынской пехотной дивизии и солдатами какой-то немецкой тыловой части. Немцы отбирали скот у румынских крестьян. Один немецкий солдат избил женщину, которая не хотела отдавать свою единственную корову. Румынский ефрейтор ударил немца и предложил ему уйти прочь. Тогда немец выхватил пистолет и выстрелом в упор убил ефрейтора. Возмущённые румынские солдаты начали стрелять в немцев из автоматов. В этой схватке было убито и ранено 20 немецких солдат» (14927).</w:t>
      </w:r>
    </w:p>
    <w:p w14:paraId="53F54BB3" w14:textId="77777777" w:rsidR="009C5E2F" w:rsidRPr="007224C3" w:rsidRDefault="009C5E2F" w:rsidP="007224C3">
      <w:pPr>
        <w:spacing w:after="0" w:line="240" w:lineRule="auto"/>
        <w:jc w:val="both"/>
        <w:rPr>
          <w:rFonts w:ascii="Times New Roman" w:hAnsi="Times New Roman"/>
          <w:color w:val="000000" w:themeColor="text1"/>
          <w:sz w:val="16"/>
          <w:szCs w:val="16"/>
        </w:rPr>
      </w:pPr>
    </w:p>
    <w:p w14:paraId="0465FD1B" w14:textId="77777777" w:rsidR="009C5E2F" w:rsidRPr="007224C3" w:rsidRDefault="009C5E2F"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 xml:space="preserve">19 июня </w:t>
      </w:r>
      <w:r w:rsidRPr="007224C3">
        <w:rPr>
          <w:rFonts w:ascii="Times New Roman" w:hAnsi="Times New Roman"/>
          <w:color w:val="000000" w:themeColor="text1"/>
          <w:sz w:val="16"/>
          <w:szCs w:val="16"/>
        </w:rPr>
        <w:t>в 1944 году незадолго до освобождения Белоруссии деревня Дальва (Минская область) сожжена фашистами. В огне погибли 44 человека, среди них 29 детей. Дальва стала последней из 619 белорусских «огненных деревень», разделивших судьбу Хатыни. На месте погибшей деревни возведен мемориальный комплекс. Ныне – филиал Государственного мемориального комплекса «Хатынь»; в 2002 г. включен в государственный список историко-культурных ценностей Белоруссии (14927).</w:t>
      </w:r>
    </w:p>
    <w:p w14:paraId="57AB9793" w14:textId="77777777" w:rsidR="009C5E2F" w:rsidRPr="007224C3" w:rsidRDefault="009C5E2F" w:rsidP="007224C3">
      <w:pPr>
        <w:spacing w:after="0" w:line="240" w:lineRule="auto"/>
        <w:jc w:val="both"/>
        <w:rPr>
          <w:rFonts w:ascii="Times New Roman" w:hAnsi="Times New Roman"/>
          <w:color w:val="000000" w:themeColor="text1"/>
          <w:sz w:val="16"/>
          <w:szCs w:val="16"/>
        </w:rPr>
      </w:pPr>
    </w:p>
    <w:p w14:paraId="6CE2C707" w14:textId="77777777" w:rsidR="009C5E2F" w:rsidRPr="007224C3" w:rsidRDefault="009C5E2F"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 xml:space="preserve">19 июня </w:t>
      </w:r>
      <w:r w:rsidRPr="007224C3">
        <w:rPr>
          <w:rFonts w:ascii="Times New Roman" w:hAnsi="Times New Roman"/>
          <w:color w:val="000000" w:themeColor="text1"/>
          <w:sz w:val="16"/>
          <w:szCs w:val="16"/>
        </w:rPr>
        <w:t>в 1944 году на Карельском перешейке войска Ленинградского фронта расширили прорыв линии Маннергейма до 50 километров по фронту — от Муола до побережья Финского залива. В течение 19 июня войска фронта овладели крупными узлами сопротивления противника Сумма, Лейпясуо, Муола, а также с боями заняли более 70 населенных пунктов и среди них Ремпетти, Ватнуори, Иоханнес, Роккала (16 километров южнее Выборга), Липпола, Илякюля, Хумола, Кямяря, Куса, Иокису, Кивиниеми, Лапинлахти и железнодорожные станции Иоханнес, Лейпясуо, Кямяря, Петяярви. Наши войска полностью очистили от противника южное побережье озер Суванто-ярви и Вуокси-ярви. На других фронтах — без перемен (14927).</w:t>
      </w:r>
    </w:p>
    <w:p w14:paraId="52FA5592" w14:textId="77777777" w:rsidR="009C5E2F" w:rsidRPr="007224C3" w:rsidRDefault="009C5E2F" w:rsidP="007224C3">
      <w:pPr>
        <w:spacing w:after="0" w:line="240" w:lineRule="auto"/>
        <w:jc w:val="both"/>
        <w:rPr>
          <w:rFonts w:ascii="Times New Roman" w:hAnsi="Times New Roman"/>
          <w:color w:val="000000" w:themeColor="text1"/>
          <w:sz w:val="16"/>
          <w:szCs w:val="16"/>
        </w:rPr>
      </w:pPr>
    </w:p>
    <w:p w14:paraId="68B1AFF5" w14:textId="77777777" w:rsidR="009C5E2F" w:rsidRPr="007224C3" w:rsidRDefault="009C5E2F"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 xml:space="preserve">19 июня </w:t>
      </w:r>
      <w:r w:rsidRPr="007224C3">
        <w:rPr>
          <w:rFonts w:ascii="Times New Roman" w:hAnsi="Times New Roman"/>
          <w:color w:val="000000" w:themeColor="text1"/>
          <w:sz w:val="16"/>
          <w:szCs w:val="16"/>
        </w:rPr>
        <w:t>в 1944 году на рассвете 180-мм железнодорожные батареи № 18 и № 19 открыли огонь по Выборгу (14927).</w:t>
      </w:r>
    </w:p>
    <w:p w14:paraId="03B835C1" w14:textId="77777777" w:rsidR="009C5E2F" w:rsidRPr="007224C3" w:rsidRDefault="009C5E2F" w:rsidP="007224C3">
      <w:pPr>
        <w:spacing w:after="0" w:line="240" w:lineRule="auto"/>
        <w:jc w:val="both"/>
        <w:rPr>
          <w:rFonts w:ascii="Times New Roman" w:hAnsi="Times New Roman"/>
          <w:color w:val="000000" w:themeColor="text1"/>
          <w:sz w:val="16"/>
          <w:szCs w:val="16"/>
        </w:rPr>
      </w:pPr>
    </w:p>
    <w:p w14:paraId="4CF2E83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июня 1944 года в тренировочном полете разбилась одна из л/лодок PBI-1 Номад Северного флота. Но в целом освоение новой техники проходило гладко. Интересно, что знакомство с ГСТ почти не давало преимуществ - настолько по своему поведению в воздухе PBN-1 отличался от своего далекого "предка". На Северном флоте американские лодки получил 118-й разведывательный полк (к 1 сентября 1944 года он имел 8 PBN-1), в ВВС Беломорской флотилии по несколько машин досталось 44-му, 53-му и 54-му смешанным авиаполкам, 20-й отдельной морской разведывательной эскадрилье. Самолеты осуществляли противолодочное' патрулирование н ледовую разведку. Часть полученных из США PBN-1 имела радиолокаторы, что значительно повышало эффективность поиска. Вооружались они бомбами ПЛАБ-100, сбрасывавшимися с парашютом. Для борьбы с подводными лодками в годы Великой Отечественной войны пробовали применять чуть ли не все тины самолетов, имевшихся в авиапарке ВВС ВМФ: Ил-4 и МБР-2, "Бостоны" и "Киттихауки", Пе-3 и Ил-2... Вес они показали себя неудовлетворительно-то плох обзор, то слишком велика скорость (рвутся парашюты ПЛАБ-100), то мал радиус действия. И только PBN-1 угодил всем - его многочисленный экипаж имел хороший обзор, достаточно большой диапазон рабочих скоростей, мощное вооружение, прочный планер, возможность при необходимости садиться в открытом море, оборудование, значительно превосходящее по уровню отечественное. Соответственно изменилась и эффективность патрулирования. На одну обнаруженную субмарину у североморских МБР-2 приходилось 170 самолетовылетов, у PBN-1-только 40. Появление новых гидропланов позволило осматривать и те зоны, до которых МБР-2 просто "не дотягивались" (3457,129).</w:t>
      </w:r>
    </w:p>
    <w:p w14:paraId="1DC4055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0D8F4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ночь с 19 на 20 июня 1944 для захвата Нервы - маленького островка (финское название - Нарви), расположенного в восточной части Финского залива и с зимы 1941 г. остававшегося “ничейным” и никому не нужным была выделена усиленная рота с трехорудийной 45-мм батареей. Доставить десант предполагалось на СКА типов МО и Д-3, а также катерах-тральщиках. Для прикрытия “сей грозной армады” предназначались 14 торпедных катеров (Д-3, Г-5 и даже Ш-4), сведенных в четыре отряда. Ими командовали гвардии капитан-лейтенанты Б.П.Ущев и И.С.Иванов, капитан 3 ранга В.И.Тихонов и капитан 2 ранга С.А.Осипов, на которого возлагалось общее руководство группами в море. Немецкое командование, со своей стороны, решило провести в том же районе так называемую операцию “Дроссельфанг”, целью которой был разгром предполагавшегося советского десанта на острова Бьерке и Пийсари. Для реализации замысла были использованы два новых больших миноносца (Flotten-torpedoboote), вышедших вечером 19 июня от острова Муссало. Около полуночи они встретились с балтийцами в районе банки Средняя. Германские корабли имели явное преимущество над советскими катерами в артиллерийском бою - без ущерба для себя они нанесли повреждения МБК-503, МБК-505, МО-106. Неизвестно, чем бы все закончилось, но тут вступили в дело торпедные катера. Первой вступила в бой группа Ущева - ТК-53, 63 и 153. Но ее атака провалилась, выпущенные торпеды прошли мимо цели а огонь миноносцев был точен. Все три ТКА получили повреждения, особенно досталось 63-му, в который попало три снаряда. “Бедолага” получил пробоину ниже ватерлинии, на нем затопило моторный отсек, повредило моторы и бензобаки. Катер потерял ход и впоследствии его прибуксировали к пирсу острова Сескар.</w:t>
      </w:r>
    </w:p>
    <w:p w14:paraId="173E8B3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Следующей атаковала группа Иванова (ТК-41, 101, 103 и 111), и вновь неудачно: 101-й и 103-й получили повреждения. Немцы, хотя вновь избежали торпедных попаданий, не могли игнорировать угрозу. Они оставили в покое сторожевые и бронекатера и отошли, но не надолго. Около часа ночи “Т-30” и “Т-31” вернулись намереваясь окончательно разгромить десант. Но теперь их ждала по-настоящему “горячая” встреча. Учтя прежние неудачи, Осипов собрал все свои не пострадавшие в двух первых попытках катера. Дымовые завесы сделали видимость совсем отвратительной и миноносцы потеряли друг друга. В этих условиях в 1:02 ТКА старшего лейтенанта Тороненко и лейтенанта Бушуева (37-й и 60-й) смогли торпедировать “Т-31”. Две “рыбины” быстро отправили “фрица” на дно, вместе с ним погибло 76 моряков. Еще шестерых наши катерники взяли в плен. “Т-30” быстро отошел в шхеры, покинули район боя и балтийцы. Они честно выполнили свой долг, позволив десантникам без помех высадиться на Нерве и уничтожив крупный боевой корабль Кригсмарине. Воспользовавшись уходом советских сил к месту боя подошли финские торпедные катера, спасшие 86 уцелевших немцев.</w:t>
      </w:r>
    </w:p>
    <w:p w14:paraId="55703A9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Хотя в бою пострадало 10 наших ТКА (кроме вышеперечисленных, еще и ТК-9, 10, 33, 37 и 163), потери в людях оказались минимальными - всего несколько раненых, а уничтоженный “Т-31” стал самым большим кораблем, потопленным надводными силами КБФ (6002).</w:t>
      </w:r>
    </w:p>
    <w:p w14:paraId="4D856D4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BD36C0"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7FEA18F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2CBFAC4"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июня 1944 французские войска захватили остров Эльба (Средиземное море) (4962).</w:t>
      </w:r>
    </w:p>
    <w:p w14:paraId="76601EF8"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091144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June 19th, 1944: A violent storm in the English Channel wrecks the Allied artificial 'Mulberry' harbors at Omaha Beach and Arromanches (3819).</w:t>
      </w:r>
    </w:p>
    <w:p w14:paraId="38C35E6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A0A60C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июня 1944 шторм разрушил временную пристань в месте высадки на Омаха бич и Арроманчес (3819).</w:t>
      </w:r>
    </w:p>
    <w:p w14:paraId="3B2E87D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1DC74E"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июня 1944 началась битва в Филиппинском море между американским и японским флотами (4962).</w:t>
      </w:r>
    </w:p>
    <w:p w14:paraId="2873B568"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A0327DA" w14:textId="77777777" w:rsidR="009C5E2F" w:rsidRPr="007224C3" w:rsidRDefault="009C5E2F"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lastRenderedPageBreak/>
        <w:t xml:space="preserve">19 июня </w:t>
      </w:r>
      <w:r w:rsidRPr="007224C3">
        <w:rPr>
          <w:rFonts w:ascii="Times New Roman" w:hAnsi="Times New Roman"/>
          <w:color w:val="000000" w:themeColor="text1"/>
          <w:sz w:val="16"/>
          <w:szCs w:val="16"/>
        </w:rPr>
        <w:t>в 1944 году (19-20 июня) воздушно-морское сражение в Филиппинском море у Марианских островов между японским (9 торпедоносцев и морская авиация наземного базирования) и американским (15 торпедоносцев) флотами. В результате действий подводных лодок и самолетов-торпедоносителей японцы потеряли 3 авианосца и свыше 400 самолетов (14927).</w:t>
      </w:r>
    </w:p>
    <w:p w14:paraId="661CDB91" w14:textId="77777777" w:rsidR="009C5E2F" w:rsidRPr="007224C3" w:rsidRDefault="009C5E2F" w:rsidP="007224C3">
      <w:pPr>
        <w:spacing w:after="0" w:line="240" w:lineRule="auto"/>
        <w:jc w:val="both"/>
        <w:rPr>
          <w:rFonts w:ascii="Times New Roman" w:hAnsi="Times New Roman"/>
          <w:color w:val="000000" w:themeColor="text1"/>
          <w:sz w:val="16"/>
          <w:szCs w:val="16"/>
        </w:rPr>
      </w:pPr>
    </w:p>
    <w:p w14:paraId="7C202FC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lang w:val="en-US"/>
        </w:rPr>
        <w:t xml:space="preserve">June 19-20, 1944. "The Marianas Turkey Shoot", in two days of fighting, the Japanese lose 476 aircraft. </w:t>
      </w:r>
      <w:r w:rsidRPr="007224C3">
        <w:rPr>
          <w:rFonts w:ascii="Times New Roman" w:hAnsi="Times New Roman"/>
          <w:color w:val="000000" w:themeColor="text1"/>
          <w:sz w:val="16"/>
          <w:szCs w:val="16"/>
        </w:rPr>
        <w:t>American losses are 130 planes (1089).</w:t>
      </w:r>
    </w:p>
    <w:p w14:paraId="79D6BB6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E0B9B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19 по 22 июня состоялся Марианский расстрел индюшек и за 2 дня было сбито 476 японских машин при потерях ВВС США в 130 самолетов (1089).</w:t>
      </w:r>
    </w:p>
    <w:p w14:paraId="71422E3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F515A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June 19 1944 US Submarine Albacore sinks Japanese carrier Taiho (1242).</w:t>
      </w:r>
    </w:p>
    <w:p w14:paraId="5F4BAD4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544982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июня 1944 американская подлодка потопила японский авианосец Тайго (1242).</w:t>
      </w:r>
    </w:p>
    <w:p w14:paraId="638DCB9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C814FB" w14:textId="77777777" w:rsidR="009C5E2F" w:rsidRPr="007224C3" w:rsidRDefault="009C5E2F"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 xml:space="preserve">19 июня </w:t>
      </w:r>
      <w:r w:rsidRPr="007224C3">
        <w:rPr>
          <w:rFonts w:ascii="Times New Roman" w:hAnsi="Times New Roman"/>
          <w:color w:val="000000" w:themeColor="text1"/>
          <w:sz w:val="16"/>
          <w:szCs w:val="16"/>
        </w:rPr>
        <w:t>в 1944 году авианосец «Shokaku» потоплен тремя торпедами американской ПЛ “Cavalla”. Погибло 1263 человек (14927).</w:t>
      </w:r>
    </w:p>
    <w:p w14:paraId="03D9B2B6" w14:textId="77777777" w:rsidR="009C5E2F" w:rsidRPr="007224C3" w:rsidRDefault="009C5E2F" w:rsidP="007224C3">
      <w:pPr>
        <w:spacing w:after="0" w:line="240" w:lineRule="auto"/>
        <w:jc w:val="both"/>
        <w:rPr>
          <w:rFonts w:ascii="Times New Roman" w:hAnsi="Times New Roman"/>
          <w:color w:val="000000" w:themeColor="text1"/>
          <w:sz w:val="16"/>
          <w:szCs w:val="16"/>
        </w:rPr>
      </w:pPr>
    </w:p>
    <w:p w14:paraId="51A99535" w14:textId="77777777" w:rsidR="009C5E2F" w:rsidRPr="007224C3" w:rsidRDefault="009C5E2F"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 xml:space="preserve">19 июня </w:t>
      </w:r>
      <w:r w:rsidRPr="007224C3">
        <w:rPr>
          <w:rFonts w:ascii="Times New Roman" w:hAnsi="Times New Roman"/>
          <w:color w:val="000000" w:themeColor="text1"/>
          <w:sz w:val="16"/>
          <w:szCs w:val="16"/>
        </w:rPr>
        <w:t xml:space="preserve">в 1944 году когда самолет </w:t>
      </w:r>
      <w:hyperlink r:id="rId175" w:tgtFrame="_blank" w:history="1">
        <w:r w:rsidRPr="007224C3">
          <w:rPr>
            <w:rFonts w:ascii="Times New Roman" w:hAnsi="Times New Roman"/>
            <w:color w:val="000000" w:themeColor="text1"/>
            <w:sz w:val="16"/>
            <w:szCs w:val="16"/>
          </w:rPr>
          <w:t xml:space="preserve">«TBF» («TBM») «Avenger», </w:t>
        </w:r>
      </w:hyperlink>
      <w:r w:rsidRPr="007224C3">
        <w:rPr>
          <w:rFonts w:ascii="Times New Roman" w:hAnsi="Times New Roman"/>
          <w:color w:val="000000" w:themeColor="text1"/>
          <w:sz w:val="16"/>
          <w:szCs w:val="16"/>
        </w:rPr>
        <w:t>пилотируемый Г.Е.Сабином из VT-60 (авианосец USS «Suwannee») потопил недалеко от Гуама подводную лодку «1-184». В 1944 году Эвенджеры потопили на Тихом океане всего две подводные лодки. Пять месяцев спустя, 18 ноября, самолет с авианосца «Anzio» потопил в 300 милях к востоку от острова Самар подводную лодку «1-41» (14927).</w:t>
      </w:r>
    </w:p>
    <w:p w14:paraId="71CDE8B8" w14:textId="77777777" w:rsidR="009C5E2F" w:rsidRPr="007224C3" w:rsidRDefault="009C5E2F" w:rsidP="007224C3">
      <w:pPr>
        <w:spacing w:after="0" w:line="240" w:lineRule="auto"/>
        <w:jc w:val="both"/>
        <w:rPr>
          <w:rFonts w:ascii="Times New Roman" w:hAnsi="Times New Roman"/>
          <w:color w:val="000000" w:themeColor="text1"/>
          <w:sz w:val="16"/>
          <w:szCs w:val="16"/>
        </w:rPr>
      </w:pPr>
    </w:p>
    <w:p w14:paraId="062EB07F" w14:textId="77777777" w:rsidR="00EA7435" w:rsidRPr="007224C3" w:rsidRDefault="00EA7435"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19–23 июня 1944 с базы ВВС США B-24 Liberators, базирующаяся в Кваджалейне, совершает ежедневные высотные бомбардировки атолла Трук (20373).</w:t>
      </w:r>
    </w:p>
    <w:p w14:paraId="4835A804" w14:textId="77777777" w:rsidR="00EA7435" w:rsidRPr="007224C3" w:rsidRDefault="00EA7435" w:rsidP="007224C3">
      <w:pPr>
        <w:spacing w:after="0" w:line="240" w:lineRule="auto"/>
        <w:jc w:val="both"/>
        <w:rPr>
          <w:rFonts w:ascii="Times New Roman" w:hAnsi="Times New Roman"/>
          <w:color w:val="0070C0"/>
          <w:sz w:val="16"/>
          <w:szCs w:val="16"/>
        </w:rPr>
      </w:pPr>
    </w:p>
    <w:p w14:paraId="4D7B7DEA" w14:textId="77777777" w:rsidR="00EA7435" w:rsidRPr="007224C3" w:rsidRDefault="00EA7435"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19 июня 1944 в Филиппинском море к западу от Гуама начинается крупнейшая авианосная битва в истории и первая с октября 1942 года Битва в Филиппинском море, в которой участвуют 15 американских авианосцев из группы 58 с 891 самолетом и 65 линкоров и крейсеров против девяти японских авианосцев с 430 самолетами и 43 battleship и крейсеров, при поддержке японских самолетами наземного базирования на Марианских островах и на более удаленных базах. Во время неэффективных ударов японской авиации по американским авианосным силам в течение дня, во время воздушных атак США на японские базы на Марианских островах и в результате потерь по другим причинам японцы теряют около 315 самолетов в результате того, что американские пилоты называют «охотой за индейками». Японская авианосная авиация так и не оправится от катастрофы. Управляя F6F Hellcat из Fighter Squadron 16 (VF-16) с авианосца USS Lexington (CV-16) , летчик-истребитель ВМС США Александр Врачу сбивает шесть японских самолетов за восемь минут. Американцы теряют всего 29 самолетов. Также в течение дня американская подводная лодка USS Albacore (SS-218) потопила японский авианосец Taihō, а подводная лодка USS Cavalla (SS-244) потопила авианосец Shōkaku (20373).</w:t>
      </w:r>
    </w:p>
    <w:p w14:paraId="159A5965" w14:textId="77777777" w:rsidR="00EA7435" w:rsidRPr="007224C3" w:rsidRDefault="00EA7435" w:rsidP="007224C3">
      <w:pPr>
        <w:spacing w:after="0" w:line="240" w:lineRule="auto"/>
        <w:jc w:val="both"/>
        <w:rPr>
          <w:rFonts w:ascii="Times New Roman" w:hAnsi="Times New Roman"/>
          <w:color w:val="0070C0"/>
          <w:sz w:val="16"/>
          <w:szCs w:val="16"/>
        </w:rPr>
      </w:pPr>
    </w:p>
    <w:p w14:paraId="0365CC37" w14:textId="77777777" w:rsidR="009C5E2F" w:rsidRPr="007224C3" w:rsidRDefault="009C5E2F"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 xml:space="preserve">19 июня </w:t>
      </w:r>
      <w:r w:rsidRPr="007224C3">
        <w:rPr>
          <w:rFonts w:ascii="Times New Roman" w:hAnsi="Times New Roman"/>
          <w:color w:val="000000" w:themeColor="text1"/>
          <w:sz w:val="16"/>
          <w:szCs w:val="16"/>
        </w:rPr>
        <w:t>в 1944 году финское правительство обратилось к Гитлеру с просьбой срочно направить в Финляндию шесть германских дивизий и авиацию. Немцы 19-20 июня из под Нарвы морем переправили финнам 122-ю пехотную дивизию под командованием генерал-майора Брюсинга и 303-ю бригаду штурмовых орудий (14927).</w:t>
      </w:r>
    </w:p>
    <w:p w14:paraId="735806B6" w14:textId="77777777" w:rsidR="009C5E2F" w:rsidRPr="007224C3" w:rsidRDefault="009C5E2F" w:rsidP="007224C3">
      <w:pPr>
        <w:spacing w:after="0" w:line="240" w:lineRule="auto"/>
        <w:jc w:val="both"/>
        <w:rPr>
          <w:rFonts w:ascii="Times New Roman" w:hAnsi="Times New Roman"/>
          <w:color w:val="000000" w:themeColor="text1"/>
          <w:sz w:val="16"/>
          <w:szCs w:val="16"/>
        </w:rPr>
      </w:pPr>
    </w:p>
    <w:p w14:paraId="13065ED1"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7670449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C03B4A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июня 1944 года П. Дементьев писал письмо N Н-35/3022 гл. конструктору завода N 240 С.В.И.</w:t>
      </w:r>
    </w:p>
    <w:p w14:paraId="4535A72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конструктивной и технологической увязки взаимозаменяемости сопрягаемых элементов прицела с верхней стрелковой установкой самолета Ил-10, в серийном производстве на заводах НКАП и НКВ необходимо:</w:t>
      </w:r>
    </w:p>
    <w:p w14:paraId="365A907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Выслать заводу N 357 НКВ полный комплект рабочих чертежей верхней стрелковой установки (с деталями и общими видами).</w:t>
      </w:r>
    </w:p>
    <w:p w14:paraId="4B65AE8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Командировать на завод N 357 НКВ Вашего ведущего конструктора, уполномоченного для решения всех технических вопросов, возникших у завода при освоении этого прицела (2562,75).</w:t>
      </w:r>
    </w:p>
    <w:p w14:paraId="16E6385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0BD7F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июня 1944 ГИ ВВС г-п Репин писал письмо N 921784 НКАП А.И.Ш.:</w:t>
      </w:r>
    </w:p>
    <w:p w14:paraId="766801D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"Направляю для Вашего сведения копию доклада, представленного мною тов. Г.М.М. по письму тов. Малышева от 13 июня 1944." (1817,248).</w:t>
      </w:r>
    </w:p>
    <w:p w14:paraId="0F1B149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"Товарищу Маленкову Г.М.</w:t>
      </w:r>
    </w:p>
    <w:p w14:paraId="1CF167A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Докладываю по письму тов. Малышева о перераспределении брони на серийном самолете Ил-2.</w:t>
      </w:r>
    </w:p>
    <w:p w14:paraId="74215A9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требованию ВВС КА ГК С.В.И. была пересмотрена схема бронирования серийного самолета Ил-2 с целью лучшей защиты ВМГ и, особенно, усиления бронезащиты стрелка.</w:t>
      </w:r>
    </w:p>
    <w:p w14:paraId="3E9E0BA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Предложенная ГК новая схема бронирования самолета Ил-2 была рассмотрена и одобрена НИИ ВВС КА.</w:t>
      </w:r>
    </w:p>
    <w:p w14:paraId="5032F98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совещании у Заместителя наркома АП тов. Кузнецова с представителями ВВС КА от 12 июня 1944 были приняты следующие решения:</w:t>
      </w:r>
    </w:p>
    <w:p w14:paraId="4E9BE91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Обязать директора завода 125 тов. Свет подать заводу 240 N 30 три удлиненных бронекорпуса с перераспределенной броней по чертежам ГК С.В.И. к 1 июля 1944.</w:t>
      </w:r>
    </w:p>
    <w:p w14:paraId="4E4AF06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Директору завода 30 тов. Смирнову:</w:t>
      </w:r>
    </w:p>
    <w:p w14:paraId="2BF5645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передать заводу 125 до 16 июня с.г. три комплекта всех новых деталей (стальных и дюралевых) для изготовления первых трех удлиненных корпусов Ил-2</w:t>
      </w:r>
    </w:p>
    <w:p w14:paraId="0017AEB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изготовить 3 самолета Ил-2 с новым удлиненным бронекорпусом с перераспределенной броней по чертежам ГК С.В.И. и передать первый самолет на гос. испытания в НИИ ВВС к 15 июля 1944.</w:t>
      </w:r>
    </w:p>
    <w:p w14:paraId="2797143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в процессе сборки первых 3-х самолетов отработать чертежи, оснастку и установить объем работ для внедрения в серию.</w:t>
      </w:r>
    </w:p>
    <w:p w14:paraId="69EEC15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ГК С.В.И. в двухдневный срок передать чертежи на удлиненный бронекорпус с перераспределенной броней заводу 125 и 30.</w:t>
      </w:r>
    </w:p>
    <w:p w14:paraId="077B314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Кроме того, с целью улучшения бронезащиты стрелка на серийно выпускаемых заводами НКАП самолетах Ил-2 эти же совещанием директор завода 30 тов. Смирнов был обязан к 18 июня с7 г. передать на гос. испытания в НИИ ВВС один самолет Ил-2 с дополнительным съемным бронированием кабины стрелка, выполненным по чертежам ГК С.В.И.</w:t>
      </w:r>
    </w:p>
    <w:p w14:paraId="1C1DECA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 результатах испытаний самолета Ил-2 с дополнительным бронированием кабины стрелка и самолета с удлиненным бронекорпусом и перераспределенной броней мною будет доложено Вам немедленно по их окончанию." (1817,248).</w:t>
      </w:r>
    </w:p>
    <w:p w14:paraId="430D5CB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AA0D2D" w14:textId="249BA077" w:rsidR="002E135C" w:rsidRPr="007224C3" w:rsidRDefault="002E135C" w:rsidP="007224C3">
      <w:pPr>
        <w:pStyle w:val="45"/>
        <w:shd w:val="clear" w:color="auto" w:fill="auto"/>
        <w:spacing w:before="0" w:line="240" w:lineRule="auto"/>
        <w:jc w:val="both"/>
        <w:rPr>
          <w:rFonts w:ascii="Times New Roman" w:cs="Times New Roman"/>
          <w:color w:val="000000" w:themeColor="text1"/>
          <w:sz w:val="16"/>
          <w:szCs w:val="16"/>
        </w:rPr>
      </w:pPr>
      <w:r w:rsidRPr="007224C3">
        <w:rPr>
          <w:rStyle w:val="4c"/>
          <w:rFonts w:ascii="Times New Roman" w:hAnsi="Times New Roman" w:cs="Times New Roman"/>
          <w:i w:val="0"/>
          <w:color w:val="000000" w:themeColor="text1"/>
          <w:sz w:val="16"/>
          <w:szCs w:val="16"/>
        </w:rPr>
        <w:t>20 июня 1944 по результатам совещания генерал-полковник А.К. Репин доложил Г.М. Ма</w:t>
      </w:r>
      <w:r w:rsidRPr="007224C3">
        <w:rPr>
          <w:rStyle w:val="4c"/>
          <w:rFonts w:ascii="Times New Roman" w:hAnsi="Times New Roman" w:cs="Times New Roman"/>
          <w:i w:val="0"/>
          <w:color w:val="000000" w:themeColor="text1"/>
          <w:sz w:val="16"/>
          <w:szCs w:val="16"/>
        </w:rPr>
        <w:softHyphen/>
        <w:t>ленкову:</w:t>
      </w:r>
      <w:r w:rsidRPr="007224C3">
        <w:rPr>
          <w:rFonts w:ascii="Times New Roman" w:cs="Times New Roman"/>
          <w:color w:val="000000" w:themeColor="text1"/>
          <w:sz w:val="16"/>
          <w:szCs w:val="16"/>
        </w:rPr>
        <w:t xml:space="preserve"> «По требованию ВВС КА Главным кон</w:t>
      </w:r>
      <w:r w:rsidRPr="007224C3">
        <w:rPr>
          <w:rFonts w:ascii="Times New Roman" w:cs="Times New Roman"/>
          <w:color w:val="000000" w:themeColor="text1"/>
          <w:sz w:val="16"/>
          <w:szCs w:val="16"/>
        </w:rPr>
        <w:softHyphen/>
        <w:t>структором самолета тов. Ильюшиным была пересмотрена схема бронирования серий</w:t>
      </w:r>
      <w:r w:rsidRPr="007224C3">
        <w:rPr>
          <w:rFonts w:ascii="Times New Roman" w:cs="Times New Roman"/>
          <w:color w:val="000000" w:themeColor="text1"/>
          <w:sz w:val="16"/>
          <w:szCs w:val="16"/>
        </w:rPr>
        <w:softHyphen/>
        <w:t>ного самолета Ил-2 с целью лучшей защиты винтомоторной группы самолета и, особенно, усиления бронезащщы стрелка. Предложен</w:t>
      </w:r>
      <w:r w:rsidRPr="007224C3">
        <w:rPr>
          <w:rFonts w:ascii="Times New Roman" w:cs="Times New Roman"/>
          <w:color w:val="000000" w:themeColor="text1"/>
          <w:sz w:val="16"/>
          <w:szCs w:val="16"/>
        </w:rPr>
        <w:softHyphen/>
        <w:t>ная Главным конструктором новая схема бро</w:t>
      </w:r>
      <w:r w:rsidRPr="007224C3">
        <w:rPr>
          <w:rFonts w:ascii="Times New Roman" w:cs="Times New Roman"/>
          <w:color w:val="000000" w:themeColor="text1"/>
          <w:sz w:val="16"/>
          <w:szCs w:val="16"/>
        </w:rPr>
        <w:softHyphen/>
        <w:t>нирования самолета Ил-2 была рассмотрена и одобрена НИИ ВВС КА. /.../О результатах испытаний самолета Ил-2 с дополнительным бронированием кабины стрелка и самолета с удлиненным бронекорпусом и перераспреде</w:t>
      </w:r>
      <w:r w:rsidRPr="007224C3">
        <w:rPr>
          <w:rFonts w:ascii="Times New Roman" w:cs="Times New Roman"/>
          <w:color w:val="000000" w:themeColor="text1"/>
          <w:sz w:val="16"/>
          <w:szCs w:val="16"/>
        </w:rPr>
        <w:softHyphen/>
        <w:t>ленной броней мною будет доложено Вам не</w:t>
      </w:r>
      <w:r w:rsidRPr="007224C3">
        <w:rPr>
          <w:rFonts w:ascii="Times New Roman" w:cs="Times New Roman"/>
          <w:color w:val="000000" w:themeColor="text1"/>
          <w:sz w:val="16"/>
          <w:szCs w:val="16"/>
        </w:rPr>
        <w:softHyphen/>
        <w:t>медленно по их окончании» (17478).</w:t>
      </w:r>
    </w:p>
    <w:p w14:paraId="00C86280" w14:textId="77777777" w:rsidR="002E135C" w:rsidRPr="007224C3" w:rsidRDefault="002E135C" w:rsidP="007224C3">
      <w:pPr>
        <w:pStyle w:val="45"/>
        <w:shd w:val="clear" w:color="auto" w:fill="auto"/>
        <w:spacing w:before="0" w:line="240" w:lineRule="auto"/>
        <w:jc w:val="both"/>
        <w:rPr>
          <w:rFonts w:ascii="Times New Roman" w:cs="Times New Roman"/>
          <w:color w:val="000000" w:themeColor="text1"/>
          <w:sz w:val="16"/>
          <w:szCs w:val="16"/>
        </w:rPr>
      </w:pPr>
    </w:p>
    <w:p w14:paraId="2277726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июня 1944 года гл. конструктор завода N 22 по самолету Пе-8 Незваль писал письмо Шахурину.</w:t>
      </w:r>
    </w:p>
    <w:p w14:paraId="5B6C080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Докладная записка</w:t>
      </w:r>
    </w:p>
    <w:p w14:paraId="5A7D8FA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 дальнейшем пребывании опытно-конструкторского</w:t>
      </w:r>
    </w:p>
    <w:p w14:paraId="1DFD19B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бюро по тяжелым самолетам на заводе N 22</w:t>
      </w:r>
    </w:p>
    <w:p w14:paraId="11D05AB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Как известно, в настоящей войне четырехмоторные тяжелые бомбардировщики получили чрезвычайно широкое применение в воздушных армиях США и Англии.</w:t>
      </w:r>
    </w:p>
    <w:p w14:paraId="01352B8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Дальнейшему развитию этого типа самолетов союзники уделяют исключительное внимание, постоянно увеличивая выпуск самолетов и совершенствуя их летно-тактические свойства.</w:t>
      </w:r>
    </w:p>
    <w:p w14:paraId="6FD27B2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настоящее время в боевых операциях принимают участие новейшие 4-х моторные бомбардировщики В-29 фирмы Боинг, по своим летным качествам значительно перекрывающие ранее выпущенные самолеты этого назначения.</w:t>
      </w:r>
    </w:p>
    <w:p w14:paraId="78CA929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Одновременно в этих же странах чрезвычайно интенсивно работают над созданием тяжелых транспортных самолетов для послевоенного времени.</w:t>
      </w:r>
    </w:p>
    <w:p w14:paraId="0E662B3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то же время производство единственного самолета этого класса - тяжелого бомбардировщика Пе-8 - совершенно прекращено. Созданную в течение шести лет культуру производства тяжелых самолетов можно считать потерянной, а выросшие за этот период кадры квалифицированных рабочих и инженеров в значительной степени распылены.</w:t>
      </w:r>
    </w:p>
    <w:p w14:paraId="00954CD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Оставшееся на заводе N 22, после прекращения производства самолетов Пе-8, конструкторское бюро по тяжелым самолетам, не имеющее своей собственной производственной базы и существующее параллельно с мощным конструкторским бюро по самолету Пе-2, не может эффективно работать над дальнейшим развитием тяжелой авиации.</w:t>
      </w:r>
    </w:p>
    <w:p w14:paraId="7AB1250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Решение ГОКО о продолжении работ по модификации самолета Пе-8, очевидно предусматривает не только проектирование, но и постройку одного опытного самолета </w:t>
      </w:r>
      <w:r w:rsidRPr="007224C3">
        <w:rPr>
          <w:rFonts w:ascii="Times New Roman" w:hAnsi="Times New Roman"/>
          <w:color w:val="000000" w:themeColor="text1"/>
          <w:sz w:val="16"/>
          <w:szCs w:val="16"/>
        </w:rPr>
        <w:lastRenderedPageBreak/>
        <w:t>со значительно повышенными летно-тактическими данными, ставящими его на один уровень с современными серийными американскими тяжелыми бомбардировщиками.</w:t>
      </w:r>
    </w:p>
    <w:p w14:paraId="78E73AD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Однако, несмотря на постановление ГОКО и приказ НКАП, а также готовность и наличие в производстве чертежей, постройка этой машины серийными цехами завода N 22, в условиях увеличенной программы самолетов Пе-2, когда завод, проведя ряд мероприятий по перепланированию цехов и оборудованию их конвейерами и поточными линиями, стал окончательно приспособлен для серийного выпуска двухмоторных машин, является невозможной.</w:t>
      </w:r>
    </w:p>
    <w:p w14:paraId="59CA1F4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Это положение еще более усугубляется предстоящей постановкой на производство модифицированного самолета Пе-2И.</w:t>
      </w:r>
    </w:p>
    <w:p w14:paraId="3A1DDAE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Учитывая развитие тяжелой авиации за границей, ОКБ по тяжелым машинам в настоящее время разработало проект модифицированного самолета Пе-8 на трехколесном шасси, обеспечивающем более надежные взлет и посадку, а также проект 44-х местного транспортного самолета на базе самолета Пе-8. Однако, проектирование этих машин требует проведения ряда экспериментальных работ, выполнение которых в теперешних условиях на заводе N 22, считаю совершенно невозможным.</w:t>
      </w:r>
    </w:p>
    <w:p w14:paraId="2663A50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своей стороны считаю, что тяжелая авиация Советскому Союзу совершенно необходима и что Наркомат Авиапрома должен принять все меры к обеспечению ее развития. Одним из мероприятий должно быть создание необходимых для эффективной работы условий для ОКБ завода N 22, заключающихся в первую очередь в выделении его из завода N 22 в самостоятельную опытно-производственную организацию.</w:t>
      </w:r>
    </w:p>
    <w:p w14:paraId="57BF314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Наиболее подходящей базой для такого производства, как по имеющимся площадям и размерам пролетов, так и по наличию и расположению достаточного аэродрома, считаю завод N 456.</w:t>
      </w:r>
    </w:p>
    <w:p w14:paraId="5CD3011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Если же в настоящее время вопрос самостоятельного существования производственной базы для моего ОКБ наркоматом считается не достаточно актуальным, то единственным правильным и целесообразным мероприятием, позволяющим рационально использовать квалифицированные кадры, считаю слияние его с другим более мощным ОКБ, работающим над тем же типом самолета, например с ОКБ Туполева.</w:t>
      </w:r>
    </w:p>
    <w:p w14:paraId="25DD5F9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переговоров по данному вопросу прошу меня принять (1825,62).</w:t>
      </w:r>
    </w:p>
    <w:p w14:paraId="38A9F3D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FC1E8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июня 1944 Зам. Нач. 7ГУ Алексеев подготовил сводку г-7 № 8218 о ходе испытаний высотных самолетов на 19 июня 1944 по Як-9 М-105ПД, Ла-5 АШ-82ФН и 2ТК-3, МиГ АМ-39А и 2ТК-2Б (1825,88).</w:t>
      </w:r>
    </w:p>
    <w:p w14:paraId="652AF27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ВЫСОТНЫЙ ИСТРЕБИТЕЛЬ МИГ С АМ-39Б И 2ТК-2Б.</w:t>
      </w:r>
    </w:p>
    <w:p w14:paraId="3BA46A5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находится в летной состоянии .Летчик тов. ЯКИМОВ выздоровел.Полеты не производились из-за низкой облачности.</w:t>
      </w:r>
    </w:p>
    <w:p w14:paraId="2D8F69E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ВЫСОТНЫЙ ИСТРЕБИТЕЛЬ ЯК-9 С ВК-105ПФ И ДВУХСТУПЕНЧАТЫМ НАГНЕТАТЕЛЕМ</w:t>
      </w:r>
    </w:p>
    <w:p w14:paraId="71DEEA3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подготовлен для продувок-в трубе.</w:t>
      </w:r>
    </w:p>
    <w:p w14:paraId="0FCCCA6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После скончания продувок самолета Як-9 с ВК-107А, высотный самолет Як-9 будет установлен в трубу.</w:t>
      </w:r>
    </w:p>
    <w:p w14:paraId="3E7E8E2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ВЫСОТНЫЙ ИСТРЕБИТЕЛЬ ЛА-5 С АШ-82ФН и 2ТК-3.</w:t>
      </w:r>
    </w:p>
    <w:p w14:paraId="181FCD0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Отгруженный 14 июня с.г. мотор АШ-82ФН с улучшенным дефлектированием находятся в пути.</w:t>
      </w:r>
    </w:p>
    <w:p w14:paraId="170A3AA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самолете производятся отдельные работы по винтомоторной группе (1825).</w:t>
      </w:r>
    </w:p>
    <w:p w14:paraId="7E77C9D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8816E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C 20 июня по 2 августа 1944 в 91иап 2ВА (командир Ковалев) проводились войсковые испытания 41 Як-3 с ВК-105ПФ2 в ходе Львовской операции (65,173).</w:t>
      </w:r>
    </w:p>
    <w:p w14:paraId="03E359E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FC154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20 июня 1944 состояние опытного строительства на 21 заводе было следующим:</w:t>
      </w:r>
    </w:p>
    <w:p w14:paraId="38C85CD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Ла-7 АШ-83 - на скоростном режиме вышел из строя мотор (опять) - разрушился привод к магнето и привод к маслопомпе.</w:t>
      </w:r>
    </w:p>
    <w:p w14:paraId="799F8CF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Доводка серийных с-тов</w:t>
      </w:r>
    </w:p>
    <w:p w14:paraId="78EF8AD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26 серии устанавливается противокапотажная рама.</w:t>
      </w:r>
    </w:p>
    <w:p w14:paraId="18AD387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26 серии устанавливаются элероны с увеличенной жесткостью (со змейкой) (738,25).</w:t>
      </w:r>
    </w:p>
    <w:p w14:paraId="485CCEA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71B6B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июня 1944 вышел приказ НКАП N 405с:</w:t>
      </w:r>
    </w:p>
    <w:p w14:paraId="447A50B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соответствии с требованиями ВВС о постройке самолетов У2-ШС конструкции Н.Н.П.:</w:t>
      </w:r>
    </w:p>
    <w:p w14:paraId="23780B2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Нач. 11 ГУ И.В.Куликову и директору завода 494 Ю.Б.Эскину организовать на заводе 494, параллельно с выпуском самолетов С-2, производство головной серии самолетов У2-ШС в соответствии с актом и письмом НИИ ВВС от 9 апреля 1944 в количестве 10 самолетов в след. сроки:</w:t>
      </w:r>
    </w:p>
    <w:p w14:paraId="4F4F816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август 1944 - 1 (эталон).</w:t>
      </w:r>
    </w:p>
    <w:p w14:paraId="3823F76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сентябрь - 3</w:t>
      </w:r>
    </w:p>
    <w:p w14:paraId="56D7F47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октябрь - 6 (1671,288).</w:t>
      </w:r>
    </w:p>
    <w:p w14:paraId="35CACB0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67C542" w14:textId="77777777" w:rsidR="00AC004A" w:rsidRPr="007224C3" w:rsidRDefault="00AC004A"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20 июня 1944 г.</w:t>
      </w:r>
    </w:p>
    <w:p w14:paraId="05072828" w14:textId="77777777" w:rsidR="00AC004A" w:rsidRPr="007224C3" w:rsidRDefault="00AC004A"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ИЗ ПОСТАНОВЛЕНИЯ ЦК КП(б) АРМЕНИИ</w:t>
      </w:r>
    </w:p>
    <w:p w14:paraId="7E9C3C54" w14:textId="77777777" w:rsidR="00AC004A" w:rsidRPr="007224C3" w:rsidRDefault="00AC004A"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О работе завода Наркомата авиационной промышленности</w:t>
      </w:r>
    </w:p>
    <w:p w14:paraId="4AC357E3" w14:textId="77777777" w:rsidR="00AC004A" w:rsidRPr="007224C3" w:rsidRDefault="00AC004A"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20 июня 1944 г.</w:t>
      </w:r>
    </w:p>
    <w:p w14:paraId="430F734F" w14:textId="77777777" w:rsidR="00AC004A" w:rsidRPr="007224C3" w:rsidRDefault="00AC004A"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 целях обеспечения организации производства по выпуску полного комплекта крыльев и шасси машин ЯК-3 в 1944 г. и подготовки завода к постановке на производство в I квартале 1945 г. машины в целом, Бюро ЦК постановляет:</w:t>
      </w:r>
    </w:p>
    <w:p w14:paraId="42C7815B" w14:textId="77777777" w:rsidR="00AC004A" w:rsidRPr="007224C3" w:rsidRDefault="00AC004A"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 Обязать директора завода т. Наджаряна и главного инженера т. Литвиненко организовать во II полугодии с. г. производство шасси и крыла самолета ЯК-3...</w:t>
      </w:r>
    </w:p>
    <w:p w14:paraId="7ABA49DC" w14:textId="77777777" w:rsidR="00AC004A" w:rsidRPr="007224C3" w:rsidRDefault="00AC004A"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 Закончить организацию новых цехов: инструментов и приспособлений — 1 августа, механического—35 сентября, заготовительно-штамповочного,— 15 октября, слесарно-сварочного—ЛЬ августа, дерево-обделочного— 1 октября и кузнечно-прессового—1 ноября с. г.</w:t>
      </w:r>
    </w:p>
    <w:p w14:paraId="57B079E7" w14:textId="77777777" w:rsidR="00AC004A" w:rsidRPr="007224C3" w:rsidRDefault="00AC004A"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3. Довести к концу 1944 г. наличие рабсилы до 1650 чел. и ИТР до 300 чел.</w:t>
      </w:r>
    </w:p>
    <w:p w14:paraId="28416BDC" w14:textId="77777777" w:rsidR="00AC004A" w:rsidRPr="007224C3" w:rsidRDefault="00AC004A"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Обеспечить подготовку в течение 111 квартала 1944 г. квалифицированных рабочих путем бригадно-индивидуального обучения в количестве 300 чел., в том числе 150 чел. из учеников завода и 150 чел. из контингента окончивших средние школы.</w:t>
      </w:r>
    </w:p>
    <w:p w14:paraId="70D3A1B3" w14:textId="77777777" w:rsidR="00AC004A" w:rsidRPr="007224C3" w:rsidRDefault="00AC004A"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4 Организовать прием выпускников в iIII квартале из школы ФЗО 300 чел., ремесленного училища 210 чел. и 100 чел. Квалифицированных рабочих с других заводов авиапромышленности...</w:t>
      </w:r>
    </w:p>
    <w:p w14:paraId="01EF3483" w14:textId="77777777" w:rsidR="00AC004A" w:rsidRPr="007224C3" w:rsidRDefault="00AC004A"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Партархив Армфилиала НМЛ, ф. 1, оп. 33, д. 19, лл. 14—16.</w:t>
      </w:r>
    </w:p>
    <w:p w14:paraId="50BE2908" w14:textId="77777777" w:rsidR="00AC004A" w:rsidRPr="007224C3" w:rsidRDefault="00AC004A"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Подлинник (21083).</w:t>
      </w:r>
    </w:p>
    <w:p w14:paraId="2A38EE87" w14:textId="77777777" w:rsidR="00AC004A" w:rsidRPr="007224C3" w:rsidRDefault="00AC004A" w:rsidP="007224C3">
      <w:pPr>
        <w:spacing w:after="0" w:line="240" w:lineRule="auto"/>
        <w:jc w:val="both"/>
        <w:rPr>
          <w:rFonts w:ascii="Times New Roman" w:hAnsi="Times New Roman"/>
          <w:color w:val="0070C0"/>
          <w:sz w:val="16"/>
          <w:szCs w:val="16"/>
        </w:rPr>
      </w:pPr>
    </w:p>
    <w:p w14:paraId="3FDBBC2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июня 1944 года вышел приказ НКАП</w:t>
      </w:r>
    </w:p>
    <w:p w14:paraId="6BCE4AF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Утвердить директором завода № 119 Солонина В.А. (8926)</w:t>
      </w:r>
    </w:p>
    <w:p w14:paraId="641E7F9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111443C"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0E7361C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B79E62D"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июня 1944 года вышел приказ № 346с НКБ</w:t>
      </w:r>
    </w:p>
    <w:p w14:paraId="0E80597A"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Передать завод № 7 “Большевик” и Чемский лесозаготовительный участок Главтопа НКБ комбинату № 179 (5819, 76).</w:t>
      </w:r>
    </w:p>
    <w:p w14:paraId="6CF5689F"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DBB8AA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июня 1944 Адмиралтейцы завершили слесарно-монтажные работы на 14-м МБК, начали швартовные испытания катера.</w:t>
      </w:r>
    </w:p>
    <w:p w14:paraId="3EC3224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F06D010"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2368E09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97CAE1E" w14:textId="77777777" w:rsidR="009C5E2F" w:rsidRPr="007224C3" w:rsidRDefault="009C5E2F"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20 июня</w:t>
      </w:r>
      <w:r w:rsidRPr="007224C3">
        <w:rPr>
          <w:rFonts w:ascii="Times New Roman" w:hAnsi="Times New Roman"/>
          <w:color w:val="000000" w:themeColor="text1"/>
          <w:sz w:val="16"/>
          <w:szCs w:val="16"/>
        </w:rPr>
        <w:t xml:space="preserve"> в 1944 году вечернее сообщение Совинформбюро:</w:t>
      </w:r>
    </w:p>
    <w:p w14:paraId="0F305D4A" w14:textId="77777777" w:rsidR="009C5E2F" w:rsidRPr="007224C3" w:rsidRDefault="009C5E2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июня на Карельском перешейке войска Ленинградского фронта, развивая прорыв линии Маннергейма, преодолели сопротивление противника на внешнем и внутреннем обводах Выборгского укрепленного района финнов и штурмом овладели городом и крепостью Выборг. Кроме того, в ходе наступления войска фронта с боями заняли более 60 населенных пунктов, в том числе Нуора, Юлясоммес, Юлясяйние. Манникала, Луккюля, Нириккомяни, Копрала, Каунила, Пелляккяля и железнодорожные станции Кайслахти, Сомме, Сяйние, Суурперо, Пелляккяля, Ристсеппяля, Хейниоки.</w:t>
      </w:r>
    </w:p>
    <w:p w14:paraId="4D778FB0" w14:textId="77777777" w:rsidR="009C5E2F" w:rsidRPr="007224C3" w:rsidRDefault="009C5E2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фронтах — без перемен.</w:t>
      </w:r>
    </w:p>
    <w:p w14:paraId="7ED0286D" w14:textId="77777777" w:rsidR="009C5E2F" w:rsidRPr="007224C3" w:rsidRDefault="009C5E2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19 июня на всех фронтах в воздушных боях и огнём зенитной артиллерии, сбито 38 самолётов противника.</w:t>
      </w:r>
    </w:p>
    <w:p w14:paraId="12ABE778" w14:textId="77777777" w:rsidR="009C5E2F" w:rsidRPr="007224C3" w:rsidRDefault="009C5E2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На Карельском перешейке наши войска, развивая прорыв линии Маннергейма, вышли к Выборгскому украшенному району финнов. Противник, опираясь на широко развитую полову обороны и сильные укрепления, пытался задержать здесь наступление советских войск. Наши пехотинцы и танкисты при поддержке артиллерии и </w:t>
      </w:r>
      <w:r w:rsidRPr="007224C3">
        <w:rPr>
          <w:rFonts w:ascii="Times New Roman" w:hAnsi="Times New Roman"/>
          <w:color w:val="000000" w:themeColor="text1"/>
          <w:sz w:val="16"/>
          <w:szCs w:val="16"/>
        </w:rPr>
        <w:lastRenderedPageBreak/>
        <w:t>авиации прорвали внешний, а затем внутренний обводы Выборгского укреплённого района финнов, ворвались в город Выборг и завязали в нём уличные бои. К исходу дня войска Ленинградского фронта штурмом овладели городом и крепостью Выборг. Захвачено много пленных и трофея, в том числе большое число орудий, подвижной железнодорожный состав, много автомашин, склады боеприпасов и различных военных материалов.</w:t>
      </w:r>
    </w:p>
    <w:p w14:paraId="67DBA276" w14:textId="77777777" w:rsidR="009C5E2F" w:rsidRPr="007224C3" w:rsidRDefault="009C5E2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Наши бомбардировщики, штурмовики и истребители непрерывно поддерживали действия наземных войск. Нанося удары по отступающим колоннам противника, советские лётчики уничтожили 80 автомашин с пехотой, разгромили несколько обозов с военными грузами и взорвали 4 склада боеприпасов. Лётчики Н-ской авиачасти совершили налёт на узловые железнодорожные станции в тылу противника и разбили три железнодорожных эшелона.</w:t>
      </w:r>
    </w:p>
    <w:p w14:paraId="6FF467B9" w14:textId="77777777" w:rsidR="009C5E2F" w:rsidRPr="007224C3" w:rsidRDefault="009C5E2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Авиация Краснознамённого Балтийского флота наносила удары по кораблям противника в Выборгском заливе. В результате бомбардировки потоплены три финских транспорта, две десантных баржи, сторожевой катер, два буксира и четыре баржи. Два транспорта и несколько других судов противника повреждены.</w:t>
      </w:r>
    </w:p>
    <w:p w14:paraId="0E3C22C4" w14:textId="77777777" w:rsidR="009C5E2F" w:rsidRPr="007224C3" w:rsidRDefault="009C5E2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дня в воздушных боях сбито 36 немецко-финских самолётов.</w:t>
      </w:r>
    </w:p>
    <w:p w14:paraId="340E64BD" w14:textId="77777777" w:rsidR="009C5E2F" w:rsidRPr="007224C3" w:rsidRDefault="009C5E2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Южнее города Новоржев разведывательная группа под командованием старшего лейтенанта Исакова внезапно ворвалась в траншеи противника. Советские бойцы уничтожили 25 гитлеровцев. Захватив 2 радиостанции, 4 ручных пулемёта и пленного, разведчики вернулись в свою часть.</w:t>
      </w:r>
    </w:p>
    <w:p w14:paraId="273B6E98" w14:textId="77777777" w:rsidR="009C5E2F" w:rsidRPr="007224C3" w:rsidRDefault="009C5E2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Южнее города Тирасполь рота пехоты противника пыталась проникнуть в расположение нашей обороны. Бойцы Н-ской части встретили немцев миномётным и пулемётным огнём. Гитлеровцы в беспорядке отступили, оставив перед нашими позициями 40 трупов своих солдат.</w:t>
      </w:r>
    </w:p>
    <w:p w14:paraId="2E0E7F15" w14:textId="77777777" w:rsidR="009C5E2F" w:rsidRPr="007224C3" w:rsidRDefault="009C5E2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Несколько партизанских отрядов, действующих в Могилёвской области, вступили в бой с немецким охранным батальоном. В ходе боя группа партизан обошла противника и атаковала его с тыла.</w:t>
      </w:r>
    </w:p>
    <w:p w14:paraId="7D2E1580" w14:textId="77777777" w:rsidR="009C5E2F" w:rsidRPr="007224C3" w:rsidRDefault="009C5E2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Уничтожено до роты немцев. Советскими патриотами захвачены трофеи — 4 пулемёта, 35 винтовок и много винтовочных патронов.</w:t>
      </w:r>
    </w:p>
    <w:p w14:paraId="6BFBDDA3" w14:textId="77777777" w:rsidR="009C5E2F" w:rsidRPr="007224C3" w:rsidRDefault="009C5E2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одном участке Белорусского фронта захвачена в плен группа солдат немецкой пехотной дивизии «Бранденбург», одетая в красноармейскую форму. В числе пленных оказался командир 2 взвода 9 роты 3 егерского полка фельдфебель Губерт Керстгес. На допросе пленный фельдфебель рассказал следующее: «На днях меня назначили командиром разведгруппы и послали в расположение русских с заданием захватить пленного. По приказу командира батальона капитана Вассерфаля, меня и остальных разведчиков одели в красноармейское обмундирование и вооружили русскими автоматами. Более суток мы бродили в указанном нам месте, но пленного не захватили и решили вернуться. На обратном пути я и сопровождавшие меня солдаты наткнулись на засаду русских. Буквально в один миг они окружили нас. Когда я опомнился, было уже поздно думать о каком бы то ни было сопротивлении: нас обезоружили и взяли в плен».</w:t>
      </w:r>
    </w:p>
    <w:p w14:paraId="3872A615" w14:textId="77777777" w:rsidR="009C5E2F" w:rsidRPr="007224C3" w:rsidRDefault="009C5E2F"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самого начала войны гитлеровцы пользуются коварными, бандитскими методами. Советское Информбюро неоднократно разоблачало подлые и гнусные уловки немецкого командования. Показания пленного немецкого фельдфебеля, захваченного в расположении нашей обороны в красноармейской форме, лишний раз свидетельствуют о том, что немецкое командование нагло попирает общепринятые обычаи и законы ведения войны. Однако подлости, которые применяют немецко-фашистские мерзавцы, не спасут их от гибели.» (14928).</w:t>
      </w:r>
    </w:p>
    <w:p w14:paraId="215A54D0" w14:textId="77777777" w:rsidR="009C5E2F" w:rsidRPr="007224C3" w:rsidRDefault="009C5E2F" w:rsidP="007224C3">
      <w:pPr>
        <w:spacing w:after="0" w:line="240" w:lineRule="auto"/>
        <w:jc w:val="both"/>
        <w:rPr>
          <w:rFonts w:ascii="Times New Roman" w:hAnsi="Times New Roman"/>
          <w:color w:val="000000" w:themeColor="text1"/>
          <w:sz w:val="16"/>
          <w:szCs w:val="16"/>
        </w:rPr>
      </w:pPr>
    </w:p>
    <w:p w14:paraId="21747998" w14:textId="77777777" w:rsidR="009C5E2F" w:rsidRPr="007224C3" w:rsidRDefault="009C5E2F"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20 июня</w:t>
      </w:r>
      <w:r w:rsidRPr="007224C3">
        <w:rPr>
          <w:rFonts w:ascii="Times New Roman" w:hAnsi="Times New Roman"/>
          <w:color w:val="000000" w:themeColor="text1"/>
          <w:sz w:val="16"/>
          <w:szCs w:val="16"/>
        </w:rPr>
        <w:t xml:space="preserve"> в 1944 году завершилась Выборгская операция: войска Ленинградского фронта разгромили крупную группировку финских войск, частью сил овладели городом Виипури; другая часть войск вышла к озерам Вуоксинской системы. За отличия в боях 48 частей и соединений получили почетные наименования, 27 воинов удостоены звания Героя Советского Союза (14928).</w:t>
      </w:r>
    </w:p>
    <w:p w14:paraId="0C698162" w14:textId="77777777" w:rsidR="009C5E2F" w:rsidRPr="007224C3" w:rsidRDefault="009C5E2F" w:rsidP="007224C3">
      <w:pPr>
        <w:spacing w:after="0" w:line="240" w:lineRule="auto"/>
        <w:jc w:val="both"/>
        <w:rPr>
          <w:rFonts w:ascii="Times New Roman" w:hAnsi="Times New Roman"/>
          <w:color w:val="000000" w:themeColor="text1"/>
          <w:sz w:val="16"/>
          <w:szCs w:val="16"/>
        </w:rPr>
      </w:pPr>
    </w:p>
    <w:p w14:paraId="469532D1" w14:textId="77777777" w:rsidR="009C5E2F" w:rsidRPr="007224C3" w:rsidRDefault="009C5E2F"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июня 1944 войска Ленинградского фронта взяли Выборг (4963 ).</w:t>
      </w:r>
    </w:p>
    <w:p w14:paraId="64CB47D4" w14:textId="77777777" w:rsidR="009C5E2F" w:rsidRPr="007224C3" w:rsidRDefault="009C5E2F"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58F69ED" w14:textId="77777777" w:rsidR="009C5E2F" w:rsidRPr="007224C3" w:rsidRDefault="009C5E2F"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June 20th, 1944: In the East, the Red Army captures Viipuri on the Soviet-Finnish border (3819).</w:t>
      </w:r>
    </w:p>
    <w:p w14:paraId="49DFA81A" w14:textId="77777777" w:rsidR="009C5E2F" w:rsidRPr="007224C3" w:rsidRDefault="009C5E2F"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440C2B7" w14:textId="77777777" w:rsidR="009C5E2F" w:rsidRPr="007224C3" w:rsidRDefault="009C5E2F"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июня 1944 был взят Выборг (1348,224).</w:t>
      </w:r>
    </w:p>
    <w:p w14:paraId="637AB514" w14:textId="77777777" w:rsidR="009C5E2F" w:rsidRPr="007224C3" w:rsidRDefault="009C5E2F"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81AEDB" w14:textId="77777777" w:rsidR="009C5E2F" w:rsidRPr="007224C3" w:rsidRDefault="009C5E2F"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20 июня</w:t>
      </w:r>
      <w:r w:rsidRPr="007224C3">
        <w:rPr>
          <w:rFonts w:ascii="Times New Roman" w:hAnsi="Times New Roman"/>
          <w:color w:val="000000" w:themeColor="text1"/>
          <w:sz w:val="16"/>
          <w:szCs w:val="16"/>
        </w:rPr>
        <w:t xml:space="preserve"> в 1944 году советские войска прорывают линию Маннергейма и освобождают Выборг (14928).</w:t>
      </w:r>
    </w:p>
    <w:p w14:paraId="0B1E0BA9" w14:textId="77777777" w:rsidR="009C5E2F" w:rsidRPr="007224C3" w:rsidRDefault="009C5E2F" w:rsidP="007224C3">
      <w:pPr>
        <w:spacing w:after="0" w:line="240" w:lineRule="auto"/>
        <w:jc w:val="both"/>
        <w:rPr>
          <w:rFonts w:ascii="Times New Roman" w:hAnsi="Times New Roman"/>
          <w:color w:val="000000" w:themeColor="text1"/>
          <w:sz w:val="16"/>
          <w:szCs w:val="16"/>
        </w:rPr>
      </w:pPr>
    </w:p>
    <w:p w14:paraId="1AB20ED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июня 1944 года Красная Армия начала очередное наступление - Свирско-Петрозаводскую операцию. Командование опасалось, что при форсировании войсками Карельского фронта реку Свирь, немцы взорвут плотину, сооруженную на этой реке. Поэтому было решено уничтожить плотину до начала наступления, чтобы вода успела сойти. Эту операцию могли провести только морские летчики, которые умели сбрасывать бомбы так, чтобы они рикошетировали от поверхности воды. Для осуществления задуманного направили группу опытных летчиков, возглавляемых генералом М.И. Самохиным. Экипажи проходили подготовку на морском полигоне, где был сооружен макет плотины. После непродолжительного учения, 20 июня 1944 года самолеты вылетели на боевое задание. Начали атаку "топмачтовики", сбросившие ФАБ-500 и ФАБ-1000. Затем другие самолеты выбросили плавучие мины. Летчикам удалось повредить дамбу на столько, чтобы вода начала уходить. Опасность для наступающих войск была устранена (2691).</w:t>
      </w:r>
    </w:p>
    <w:p w14:paraId="3BF0FE2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Силы флота были временно оперативно подчинены командующему фронтом и он являлся организатором взаимодействия, ставя задачи не только флоту, но и авиации, авиации флота и АДД, а также определял районы их боевых действий (518,183).</w:t>
      </w:r>
    </w:p>
    <w:p w14:paraId="27536ED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прикрывала 7ВА - 875 самолетов и в основном использовали на юге Карелии. В боях под Поросозером участвовал 668 шап и прикрывавшие его 20 иап. Несмотря на трехкратное преимущества в воздухе потеряли много машин (около 40) от огня с земли - 23 мм и 88 мм орудий. 10 июля 1944 сбили Ил-2 М.Сафонова - прямым попаданием снаряда на 400 м. Стрелок остался жив и похоронил л. Потом проводили эксгумацию, чтобы подтвердить, что это л (3205).</w:t>
      </w:r>
    </w:p>
    <w:p w14:paraId="46D0294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CCC70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июня 1944 группа ш под командованием В.И.Фндосова перед началом свирской операции разрушили переправы немцев через Свирь. Специально выделенная пара П.А.Сорокина и Я.М.Имаева подавляла зенитную артиллерию. По другим переправам действовали группы С.В.Мунтяна, Г.И.Андреева, П.Н.Ефанова (430,207).</w:t>
      </w:r>
    </w:p>
    <w:p w14:paraId="5CFC853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8FDD8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20-21 июня 1944 ВВС БФ с использованием топмачтового бомбометания разрушили плотину ГРЭС Свирь-3. Применяли ФАБ-250 и ФАБ-1000 (4414,14).</w:t>
      </w:r>
    </w:p>
    <w:p w14:paraId="5033887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07556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июня 1944 в 10:05 первый удар по плотине нанесли топмачтовики A-20G. Вылет и бомбометание выполнялись парами. Четыре пары самолетов сбросили по одной ФАБ-1000, столько же ФАБ-500 и 16 ФАБ-250. Однако цель не была поражена. Часть бомб (примерно 40%) упала с перелетом. В 14:40, после подробного разбора первого полета, был нанесен второй удар. Четвёрка A-20G сбросила по цели с учетом необходимого выноса четыре ФАБ-1000 и четыре ФАБ-500. Удару топмачтовиков предшествовало подавление зенитной артиллерии штурмовиками Ил-2. Выполненная в 17:50 контрольная фотосъемка обмеления верхнего водохранилища не показала. Для решения задачи пришлось задействовать резервное средство, для применения которого, собственно, и готовились экипажи «ильюшиных»...В 19:20 четыре «Бостона» нанесли третий удар топмачтовым способом, сбросив четыре ФАБ-1000, столько же ФАБ-500 и восемь ФАБ-250. Одновременно два Ил-4 под прикрытием семи Як-9 сбросили две АМГ-1, переоборудованные в плавающие мины с часовым взрывателем. Бомбы упали у самой цели. Не дожидаясь контрольных снимков, спустя час для сброса мин вылетела еще одна тройка «Илов». Всем им удалось выполнить задание. Мины сбрасывали с высоты 1 100-200 м. Три из их числа взорвались при приводнении на расстоянии 50 - 70 м от плотины, одна - спустя час после сбрасывания, и, по-видимому, именно её взрыв нанес конструкции наибольшие разрушения. В результате повреждения плотины началось обмеление водохранилища. Последний удар последовал в 21:06, за шесть часов до начала наступления наземных войск. На этот раз Ил-4 вылетели пятеркой. Спустившийся к этому времени туман помешал двум экипажам сбросить мины в намеченном места. Кроме того, одна машина оторвалась от общего боевого порядка, после чего вернулась на базу. К цели вышло два Ил-4, но на этот раз финские зенитчики не дремали и сбили на боевом курсе один из миноносцев. Впрочем, и без этого удара цель операции оказалась достигнутой - уровень воды выше разрушенной плотины стал резко падать, открывая ранее затопленные берега. Войска Карельского фронта форсировали реку на неожиданном для противника участке и вскоре добились решающих успехов (9965).</w:t>
      </w:r>
    </w:p>
    <w:p w14:paraId="0864739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0B4190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20 июня 1944 завершили работу по подготовке авианаступления в Белорусской операции. Задачи: прочно удерживать господство в воздухе; поддерживать войска при прорыве обороны, окружении и разгроме витебской и бобруйской группировок и группы Центр восточнее Минска; воспрепятствовать подходу резервов к полю боя и дезорганизовать отход; вести разведку. С учетом того, что 1БФ наносил 2 удара (на рогачевско-бобруйском и паричевском направлениях) 16ВА разделили на С (13 ад) и Ю (7 ад). 1ВА 3БФ также разделили на 2 группы - по 6 и 11 ад. В 3 и 4ВА авиацию хотели использовать на направлении главного удара 1ПрФ и 2БФ. Для последовательного сосредоточения АДД срок наступления 1БФ перенесли на один день. Т.е. начинали 1ПрФ, 3 и 2БФ, а затем - 1БФ (340,170).</w:t>
      </w:r>
    </w:p>
    <w:p w14:paraId="683167A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62556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20 августа 1944 г. Пе-2 приняли участие в массированном ударе по румынской военно-морской базе Констанца. В этот день по кораблям в порту и береговым сооружениям отработали 59 Пе-2; причем все удары выполнялись с пикирования. Основные цели - румынские боевые корабли - "пешки" атаковали шестерками, сбрасывая бомбы по командам ведущего или (когда гавань еще не скрыли клубы дыма и пыли от разрывов) одиночно. По официальным данным ВВС ЧФ, в этот день противник лишился миноносца, подлодки, двух десятков других кораблей и судов. Получили повреждения два эсминца, пять подлодок, вспомогательный крейсер, а также ряд транспортов. Удар, нанесенный по Констанце, замечателен тем, что в нем участвовала авиадивизия в полном составе из четырех авиаполков (два бап и два </w:t>
      </w:r>
      <w:r w:rsidRPr="007224C3">
        <w:rPr>
          <w:rFonts w:ascii="Times New Roman" w:hAnsi="Times New Roman"/>
          <w:color w:val="000000" w:themeColor="text1"/>
          <w:sz w:val="16"/>
          <w:szCs w:val="16"/>
        </w:rPr>
        <w:lastRenderedPageBreak/>
        <w:t>иап), следовавшая к цели компактной группой в общем боевом порядке. Над целью самолеты дивизии находились всего 20 мин. Этот удар стал первым опытом применения массированных групп авиации не только в ВВС ЧФ. но и в военно-воздушных силах ВМФ в целом (12042).</w:t>
      </w:r>
    </w:p>
    <w:p w14:paraId="3972FAD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B0D6984"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Жизнь и внутренняя политика:</w:t>
      </w:r>
    </w:p>
    <w:p w14:paraId="1C959FE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3244E8A"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июня 1944 вышло Распоряжение ГКО № 6081 [О ставках зарплаты работникам милиции Куйбышева.] (7242, 128).</w:t>
      </w:r>
    </w:p>
    <w:p w14:paraId="12E5D402"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6031C55"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1062A6E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3AA6E7F" w14:textId="77777777" w:rsidR="009C5E2F" w:rsidRPr="007224C3" w:rsidRDefault="009C5E2F"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20 июня</w:t>
      </w:r>
      <w:r w:rsidRPr="007224C3">
        <w:rPr>
          <w:rFonts w:ascii="Times New Roman" w:hAnsi="Times New Roman"/>
          <w:color w:val="000000" w:themeColor="text1"/>
          <w:sz w:val="16"/>
          <w:szCs w:val="16"/>
        </w:rPr>
        <w:t xml:space="preserve"> в 1944 году был выдан заказ на изготовление 1900 </w:t>
      </w:r>
      <w:hyperlink r:id="rId176" w:tgtFrame="_blank" w:history="1">
        <w:r w:rsidRPr="007224C3">
          <w:rPr>
            <w:rFonts w:ascii="Times New Roman" w:hAnsi="Times New Roman"/>
            <w:color w:val="000000" w:themeColor="text1"/>
            <w:sz w:val="16"/>
            <w:szCs w:val="16"/>
          </w:rPr>
          <w:t xml:space="preserve">«P-47N». </w:t>
        </w:r>
      </w:hyperlink>
      <w:r w:rsidRPr="007224C3">
        <w:rPr>
          <w:rFonts w:ascii="Times New Roman" w:hAnsi="Times New Roman"/>
          <w:color w:val="000000" w:themeColor="text1"/>
          <w:sz w:val="16"/>
          <w:szCs w:val="16"/>
        </w:rPr>
        <w:t>Ранние оценочные испытания проводились с «P-47D-30-RE». К удивлению многих присутствовавших, «XP-47N» с большим размахом крыла и большим весом имел лучшую скорость по крену, чем модель «D2. При TAS (true airspeed - истинная скорость полета самолета) 250 миль в час, максимальная угловая скорость крена модели «N» составляла более 100 градусов/секунду. На той же самой скорости стандартный «D-30-RE» смог показать всего 85 градусов/секунду. На более высоких скоростях преимущество модели N возрастало еще сильнее. В проведенном "воздушном бою", «D-30-RE» проиграл новому варианту истребителя по всем пунктам. Основной причиной улучшении характеристик было новое крыло, применение элеронов и закрылков большей площади, но свою роль сыграл и более мощный двигатель ряда «C» (14928).</w:t>
      </w:r>
    </w:p>
    <w:p w14:paraId="2C5DD1E8" w14:textId="77777777" w:rsidR="009C5E2F" w:rsidRPr="007224C3" w:rsidRDefault="009C5E2F" w:rsidP="007224C3">
      <w:pPr>
        <w:spacing w:after="0" w:line="240" w:lineRule="auto"/>
        <w:jc w:val="both"/>
        <w:rPr>
          <w:rFonts w:ascii="Times New Roman" w:hAnsi="Times New Roman"/>
          <w:color w:val="000000" w:themeColor="text1"/>
          <w:sz w:val="16"/>
          <w:szCs w:val="16"/>
        </w:rPr>
      </w:pPr>
    </w:p>
    <w:p w14:paraId="264A8DF8" w14:textId="77777777" w:rsidR="009C5E2F" w:rsidRPr="007224C3" w:rsidRDefault="009C5E2F"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20 июня</w:t>
      </w:r>
      <w:r w:rsidRPr="007224C3">
        <w:rPr>
          <w:rFonts w:ascii="Times New Roman" w:hAnsi="Times New Roman"/>
          <w:color w:val="000000" w:themeColor="text1"/>
          <w:sz w:val="16"/>
          <w:szCs w:val="16"/>
        </w:rPr>
        <w:t xml:space="preserve"> в 1944 году потерпел катастрофу второй «Та-154» польской сборки. Самолет, пилотируемый летчиком-испытателем Бартшом, вошел в штопор и при ударе о землю полностью разрушился. Первая машина польской сборки была потеряна в первом же полете при посадке из-за отказа привода закрылка одной из консолей. До закрытия производства было выпущено 10 серийных «Та-154»: два в Эрфурте и восемь на польских заводах (14928).</w:t>
      </w:r>
    </w:p>
    <w:p w14:paraId="15353106" w14:textId="77777777" w:rsidR="009C5E2F" w:rsidRPr="007224C3" w:rsidRDefault="009C5E2F" w:rsidP="007224C3">
      <w:pPr>
        <w:spacing w:after="0" w:line="240" w:lineRule="auto"/>
        <w:jc w:val="both"/>
        <w:rPr>
          <w:rFonts w:ascii="Times New Roman" w:hAnsi="Times New Roman"/>
          <w:color w:val="000000" w:themeColor="text1"/>
          <w:sz w:val="16"/>
          <w:szCs w:val="16"/>
        </w:rPr>
      </w:pPr>
    </w:p>
    <w:p w14:paraId="34A6630F"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июня 1944 английские войска захватили Перуджу (Италия) (4962).</w:t>
      </w:r>
    </w:p>
    <w:p w14:paraId="6E3312E9"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8695407"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июня 1944 немецкий заговорщик-антифашист полковник Клаус фон Штауффенберг назначен начальником штаба генерала Фридриха Фромма, получив доступ в бункер Гитлера (4962).</w:t>
      </w:r>
    </w:p>
    <w:p w14:paraId="3BC97339"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A563403" w14:textId="77777777" w:rsidR="009C5E2F" w:rsidRPr="007224C3" w:rsidRDefault="009C5E2F"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20 июня</w:t>
      </w:r>
      <w:r w:rsidRPr="007224C3">
        <w:rPr>
          <w:rFonts w:ascii="Times New Roman" w:hAnsi="Times New Roman"/>
          <w:color w:val="000000" w:themeColor="text1"/>
          <w:sz w:val="16"/>
          <w:szCs w:val="16"/>
        </w:rPr>
        <w:t xml:space="preserve"> в 1944 году немецкий заговорщик полковник Клаус фон Штауффенберг назначен начальником штаба генерала Фридриха Фромма, получив доступ в бункер Гитлера (14928).</w:t>
      </w:r>
    </w:p>
    <w:p w14:paraId="18163CEC" w14:textId="77777777" w:rsidR="009C5E2F" w:rsidRPr="007224C3" w:rsidRDefault="009C5E2F" w:rsidP="007224C3">
      <w:pPr>
        <w:spacing w:after="0" w:line="240" w:lineRule="auto"/>
        <w:jc w:val="both"/>
        <w:rPr>
          <w:rFonts w:ascii="Times New Roman" w:hAnsi="Times New Roman"/>
          <w:color w:val="000000" w:themeColor="text1"/>
          <w:sz w:val="16"/>
          <w:szCs w:val="16"/>
        </w:rPr>
      </w:pPr>
    </w:p>
    <w:p w14:paraId="282BD77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июня 1944 Черчиль написал Рузвельту, что де Голль и Комитет Национального Освобождения жизненно нужны союзникам, потому что больше во Франции опереться не на кого (3871).</w:t>
      </w:r>
    </w:p>
    <w:p w14:paraId="34F4DC4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B240B1" w14:textId="77777777" w:rsidR="009C5E2F" w:rsidRPr="007224C3" w:rsidRDefault="009C5E2F"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20 июня</w:t>
      </w:r>
      <w:r w:rsidRPr="007224C3">
        <w:rPr>
          <w:rFonts w:ascii="Times New Roman" w:hAnsi="Times New Roman"/>
          <w:color w:val="000000" w:themeColor="text1"/>
          <w:sz w:val="16"/>
          <w:szCs w:val="16"/>
        </w:rPr>
        <w:t xml:space="preserve"> в 1944 году завершение сражения у Марианских островов. 216 самолетов палубной авиации 58-го оперативного соединения американцев, сравнительно поздно обнаружившего противника, вынуждены были взлетать для атаки в 16.30. Несколько японских кораблей получили попадания, авианосец "Хийе" вскоре после этого погиб от взрыва авиатоплива. В бою американцы потеряли 20 самолетов. Еще 80 было разбито при посадке в темноте на палубы или приводнились рядом с авианосцами. При этом погибло или пропало без вести 38 летчиков (14928).</w:t>
      </w:r>
    </w:p>
    <w:p w14:paraId="41689E0B" w14:textId="77777777" w:rsidR="009C5E2F" w:rsidRPr="007224C3" w:rsidRDefault="009C5E2F" w:rsidP="007224C3">
      <w:pPr>
        <w:spacing w:after="0" w:line="240" w:lineRule="auto"/>
        <w:jc w:val="both"/>
        <w:rPr>
          <w:rFonts w:ascii="Times New Roman" w:hAnsi="Times New Roman"/>
          <w:color w:val="000000" w:themeColor="text1"/>
          <w:sz w:val="16"/>
          <w:szCs w:val="16"/>
        </w:rPr>
      </w:pPr>
    </w:p>
    <w:p w14:paraId="6583DA5E" w14:textId="77777777" w:rsidR="005112A0" w:rsidRPr="007224C3" w:rsidRDefault="005112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20 июня</w:t>
      </w:r>
      <w:r w:rsidRPr="007224C3">
        <w:rPr>
          <w:rFonts w:ascii="Times New Roman" w:hAnsi="Times New Roman"/>
          <w:color w:val="000000" w:themeColor="text1"/>
          <w:sz w:val="16"/>
          <w:szCs w:val="16"/>
        </w:rPr>
        <w:t xml:space="preserve"> в 1944 году потоплен авианосец «Хиё» («Hiy») (14928).</w:t>
      </w:r>
    </w:p>
    <w:p w14:paraId="0E5D4834" w14:textId="77777777" w:rsidR="005112A0" w:rsidRPr="007224C3" w:rsidRDefault="005112A0" w:rsidP="007224C3">
      <w:pPr>
        <w:spacing w:after="0" w:line="240" w:lineRule="auto"/>
        <w:jc w:val="both"/>
        <w:rPr>
          <w:rFonts w:ascii="Times New Roman" w:hAnsi="Times New Roman"/>
          <w:color w:val="000000" w:themeColor="text1"/>
          <w:sz w:val="16"/>
          <w:szCs w:val="16"/>
        </w:rPr>
      </w:pPr>
    </w:p>
    <w:p w14:paraId="1F810185" w14:textId="77777777" w:rsidR="00EA7435" w:rsidRPr="007224C3" w:rsidRDefault="00EA7435"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20 июня 1944 на второй и последний день битвы в Филиппинском море, 216 самолетов Целевой группы 58 выполняют рейд битвы против японского флота на очень большом расстоянии на закате, потопив авианосец Hiyo и повреждив авианосцы Дзуйкаку и Тиёда, линкор "Харуна" и тяжелый крейсер "Майя" . Помимо 20 пропавших без вести и предположительно сбитых самолетов, Целевая группа 58 потеряла 80 самолетов, которые упали из-за истощения топлива или авариях при попытке ночной посадки на авианосцы США. В течение дня японцы теряют еще 65 самолетов авианосцев, у них остается только 35; за два дня боев они потеряли 476 самолетов авианосного и наземного базирования, а также гидросамолётов линейного и крейсерского базирования. На F6F Hellcat из истребительной эскадрильи 16 (VF-16) с авианосца USS Lexington (CV-16) летчик-истребитель ВМС США Александр Врачу сбивает еще один японский самолет. Эта победа довела его общее количество побед до 19, что сделало его ведущим асом ВМС США в то время (20373).</w:t>
      </w:r>
    </w:p>
    <w:p w14:paraId="332404F0" w14:textId="77777777" w:rsidR="00EA7435" w:rsidRPr="007224C3" w:rsidRDefault="00EA7435" w:rsidP="007224C3">
      <w:pPr>
        <w:spacing w:after="0" w:line="240" w:lineRule="auto"/>
        <w:jc w:val="both"/>
        <w:rPr>
          <w:rFonts w:ascii="Times New Roman" w:hAnsi="Times New Roman"/>
          <w:color w:val="0070C0"/>
          <w:sz w:val="16"/>
          <w:szCs w:val="16"/>
        </w:rPr>
      </w:pPr>
    </w:p>
    <w:p w14:paraId="07DE38D1" w14:textId="77777777" w:rsidR="00EA7435" w:rsidRPr="007224C3" w:rsidRDefault="00EA7435"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20 июня 1944 B-24 тринадцатой армии ВВС США бомбят Улеай. Самолеты союзников начинают сосредоточенные атаки на японские силы на Ноэмфур. К 1 июля они сбросят на остров около 800 тонн (725 755 кг) бомб (20373).</w:t>
      </w:r>
    </w:p>
    <w:p w14:paraId="7336644B" w14:textId="77777777" w:rsidR="00EA7435" w:rsidRPr="007224C3" w:rsidRDefault="00EA7435" w:rsidP="007224C3">
      <w:pPr>
        <w:spacing w:after="0" w:line="240" w:lineRule="auto"/>
        <w:jc w:val="both"/>
        <w:rPr>
          <w:rFonts w:ascii="Times New Roman" w:hAnsi="Times New Roman"/>
          <w:color w:val="0070C0"/>
          <w:sz w:val="16"/>
          <w:szCs w:val="16"/>
        </w:rPr>
      </w:pPr>
    </w:p>
    <w:p w14:paraId="2BA7B6A1" w14:textId="77777777" w:rsidR="009C5E2F" w:rsidRPr="007224C3" w:rsidRDefault="009C5E2F"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20 июня</w:t>
      </w:r>
      <w:r w:rsidRPr="007224C3">
        <w:rPr>
          <w:rFonts w:ascii="Times New Roman" w:hAnsi="Times New Roman"/>
          <w:color w:val="000000" w:themeColor="text1"/>
          <w:sz w:val="16"/>
          <w:szCs w:val="16"/>
        </w:rPr>
        <w:t xml:space="preserve"> в 1944 году Конгресс США принял устав Центрального разведывательного управления США ЦРУ (14928).</w:t>
      </w:r>
    </w:p>
    <w:p w14:paraId="5C15F9C1" w14:textId="77777777" w:rsidR="009C5E2F" w:rsidRPr="007224C3" w:rsidRDefault="009C5E2F" w:rsidP="007224C3">
      <w:pPr>
        <w:spacing w:after="0" w:line="240" w:lineRule="auto"/>
        <w:jc w:val="both"/>
        <w:rPr>
          <w:rFonts w:ascii="Times New Roman" w:hAnsi="Times New Roman"/>
          <w:color w:val="000000" w:themeColor="text1"/>
          <w:sz w:val="16"/>
          <w:szCs w:val="16"/>
        </w:rPr>
      </w:pPr>
    </w:p>
    <w:p w14:paraId="521B54F4"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июня 1944 в США создано Центральное Разведывательное Управление (4962).</w:t>
      </w:r>
    </w:p>
    <w:p w14:paraId="7D96E76F"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1398284"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3650B8B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1CB88F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 июня 1944 п.п. Зам. ГИ ВВС КА г-л ИАС А.Лапин утвердил акт по результатам специальных гос. испытаний пулеметно-пушечного и бомбардировочного вооружения самолета Ил-2 с мотором АМ-38Ф" (самолет N 304128 производства завода 30 марта 1944). Отв. исполнители: ви и-м А.Ф.Толпышкин, вл ст.л. Г.А.Тиняков, вш к Т.Ф.Горбунов. Испытывали:</w:t>
      </w:r>
    </w:p>
    <w:p w14:paraId="0851696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Характеристики задней ограниченно подвижной установки УБШ под УБТ-12.7 мм (завод 487 с 4 магазинами по 50 патронов) и целесообразность установки на Ил-2 взамен ВУБ-3</w:t>
      </w:r>
    </w:p>
    <w:p w14:paraId="36467FA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Удобство прицеливания и жесткость крепления прицела ПБП-1Б и возможность его съемки в случае вынужденной посадки</w:t>
      </w:r>
    </w:p>
    <w:p w14:paraId="499CB3B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Надежность работы и удобство эксплуатации измененной проводки пневмоперезарядки пушек ВЯ-23 мм</w:t>
      </w:r>
    </w:p>
    <w:p w14:paraId="1BA833B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Возможность контроля стрельбы из неподвижного оружия при помощи фотокинопулемета ПАУ-22 (качественность снимков) на земле и в воздухе, а также жесткость и удобство эксплуатации установки</w:t>
      </w:r>
    </w:p>
    <w:p w14:paraId="1ED526C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Удобство пользования прицельными приспособлениями для бомбометания с прибором ВМШ-2, нанесенными согласно рекомендации НТЖ НИИ АВ и письма ГШ ВВС КА</w:t>
      </w:r>
    </w:p>
    <w:p w14:paraId="723DBA0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Целесообразность переноса усилителя СПУФ из хвостовой части фюзеляжа в броневую (1861).</w:t>
      </w:r>
    </w:p>
    <w:p w14:paraId="45172DB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41606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 июня 1944 Дементьев писал письмо № Д-2/3027 Нач. 2ГУ НКАП Киселевскому:</w:t>
      </w:r>
    </w:p>
    <w:p w14:paraId="581B4B1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Обяжите завод № 469 изготовить рамки для бронестекол самолета И-10 и поставить их заводу № 148 НКАП в следующие сроки:</w:t>
      </w:r>
    </w:p>
    <w:p w14:paraId="2A1CBA1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июня с.г. - 30 комплектов</w:t>
      </w:r>
    </w:p>
    <w:p w14:paraId="2B1C3DE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июля с.г. - 70 комплектов</w:t>
      </w:r>
    </w:p>
    <w:p w14:paraId="757EB0A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Приложение: чертежи Б0440-0, Б0442-0, Б0432-0, Б0430-0 в 2-х экз. (10532,34).</w:t>
      </w:r>
    </w:p>
    <w:p w14:paraId="184D228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31B5A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 июня 1944 В.П.Кузнецов подготовил для А.И.Ш. сводку по выполнению постановления по повышению высотности самолетов по состоянию на 21 июня 1944 и были упомянуты МиГ-3 с АМ-39Б-01, Ла-5 М-82 с ТК-3 и Як-9 с ВК-105ПД (1824).</w:t>
      </w:r>
    </w:p>
    <w:p w14:paraId="2812E57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F9F49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 июня 1944 представители 45 АД ДД приняли на 22 заводе последний Пе-8 N 42512 (1793,12).</w:t>
      </w:r>
    </w:p>
    <w:p w14:paraId="4B2980C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3E1B0D" w14:textId="77777777" w:rsidR="005112A0" w:rsidRPr="007224C3" w:rsidRDefault="005112A0" w:rsidP="007224C3">
      <w:pPr>
        <w:pStyle w:val="27"/>
        <w:shd w:val="clear" w:color="auto" w:fill="auto"/>
        <w:spacing w:after="0" w:line="240" w:lineRule="auto"/>
        <w:ind w:firstLine="0"/>
        <w:rPr>
          <w:rFonts w:ascii="Times New Roman" w:cs="Times New Roman"/>
          <w:color w:val="000000" w:themeColor="text1"/>
          <w:spacing w:val="0"/>
        </w:rPr>
      </w:pPr>
      <w:r w:rsidRPr="007224C3">
        <w:rPr>
          <w:rFonts w:ascii="Times New Roman" w:cs="Times New Roman"/>
          <w:color w:val="000000" w:themeColor="text1"/>
          <w:spacing w:val="0"/>
        </w:rPr>
        <w:t>21 июня 1944 в ходе очередного испытательного полета не убралась левая стой</w:t>
      </w:r>
      <w:r w:rsidRPr="007224C3">
        <w:rPr>
          <w:rFonts w:ascii="Times New Roman" w:cs="Times New Roman"/>
          <w:color w:val="000000" w:themeColor="text1"/>
          <w:spacing w:val="0"/>
        </w:rPr>
        <w:softHyphen/>
        <w:t>ка шасси. Как выяснилось, сработалась собачка замка шасси. Самолет встал в ремонт. 29 июня при посадке без щит</w:t>
      </w:r>
      <w:r w:rsidRPr="007224C3">
        <w:rPr>
          <w:rFonts w:ascii="Times New Roman" w:cs="Times New Roman"/>
          <w:color w:val="000000" w:themeColor="text1"/>
          <w:spacing w:val="0"/>
        </w:rPr>
        <w:softHyphen/>
        <w:t>ков (Н.В. Гаврилов забыл их выпустить) в конце пробега отказали тормоза, са</w:t>
      </w:r>
      <w:r w:rsidRPr="007224C3">
        <w:rPr>
          <w:rFonts w:ascii="Times New Roman" w:cs="Times New Roman"/>
          <w:color w:val="000000" w:themeColor="text1"/>
          <w:spacing w:val="0"/>
        </w:rPr>
        <w:softHyphen/>
        <w:t>молет выкатился за пределы аэродро</w:t>
      </w:r>
      <w:r w:rsidRPr="007224C3">
        <w:rPr>
          <w:rFonts w:ascii="Times New Roman" w:cs="Times New Roman"/>
          <w:color w:val="000000" w:themeColor="text1"/>
          <w:spacing w:val="0"/>
        </w:rPr>
        <w:softHyphen/>
        <w:t>ма, попал в канаву и подломал левую стойку шасси. Очередной ремонт са</w:t>
      </w:r>
      <w:r w:rsidRPr="007224C3">
        <w:rPr>
          <w:rFonts w:ascii="Times New Roman" w:cs="Times New Roman"/>
          <w:color w:val="000000" w:themeColor="text1"/>
          <w:spacing w:val="0"/>
        </w:rPr>
        <w:softHyphen/>
        <w:t>молета продолжался до 30 июля. При</w:t>
      </w:r>
      <w:r w:rsidRPr="007224C3">
        <w:rPr>
          <w:rFonts w:ascii="Times New Roman" w:cs="Times New Roman"/>
          <w:color w:val="000000" w:themeColor="text1"/>
          <w:spacing w:val="0"/>
        </w:rPr>
        <w:softHyphen/>
        <w:t>шлось ремонтировать фюзеляж, крыло, шасси и оперение. Заменили моторы и винты. Одновременно для увеличения запаса рулей высоты на посадке изме</w:t>
      </w:r>
      <w:r w:rsidRPr="007224C3">
        <w:rPr>
          <w:rFonts w:ascii="Times New Roman" w:cs="Times New Roman"/>
          <w:color w:val="000000" w:themeColor="text1"/>
          <w:spacing w:val="0"/>
        </w:rPr>
        <w:softHyphen/>
        <w:t>нили угол установки стабилизатора на -2°30'. При первых же пробежках после ремонта обнаружилось, что тормоза ко</w:t>
      </w:r>
      <w:r w:rsidRPr="007224C3">
        <w:rPr>
          <w:rFonts w:ascii="Times New Roman" w:cs="Times New Roman"/>
          <w:color w:val="000000" w:themeColor="text1"/>
          <w:spacing w:val="0"/>
        </w:rPr>
        <w:softHyphen/>
        <w:t>лес шасси работают все так же недо</w:t>
      </w:r>
      <w:r w:rsidRPr="007224C3">
        <w:rPr>
          <w:rFonts w:ascii="Times New Roman" w:cs="Times New Roman"/>
          <w:color w:val="000000" w:themeColor="text1"/>
          <w:spacing w:val="0"/>
        </w:rPr>
        <w:softHyphen/>
        <w:t>статочно эффективно</w:t>
      </w:r>
      <w:r w:rsidRPr="007224C3">
        <w:rPr>
          <w:rStyle w:val="aff7"/>
          <w:rFonts w:ascii="Times New Roman" w:eastAsia="Arial Narrow" w:hAnsi="Times New Roman" w:cs="Times New Roman"/>
          <w:i w:val="0"/>
          <w:color w:val="000000" w:themeColor="text1"/>
          <w:spacing w:val="0"/>
        </w:rPr>
        <w:t xml:space="preserve"> и</w:t>
      </w:r>
      <w:r w:rsidRPr="007224C3">
        <w:rPr>
          <w:rFonts w:ascii="Times New Roman" w:cs="Times New Roman"/>
          <w:color w:val="000000" w:themeColor="text1"/>
          <w:spacing w:val="0"/>
        </w:rPr>
        <w:t xml:space="preserve"> посадка на Цен</w:t>
      </w:r>
      <w:r w:rsidRPr="007224C3">
        <w:rPr>
          <w:rFonts w:ascii="Times New Roman" w:cs="Times New Roman"/>
          <w:color w:val="000000" w:themeColor="text1"/>
          <w:spacing w:val="0"/>
        </w:rPr>
        <w:softHyphen/>
        <w:t xml:space="preserve">тральном аэродроме возможна лишь в одном направлении. </w:t>
      </w:r>
      <w:r w:rsidRPr="007224C3">
        <w:rPr>
          <w:rFonts w:ascii="Times New Roman" w:cs="Times New Roman"/>
          <w:color w:val="000000" w:themeColor="text1"/>
          <w:spacing w:val="0"/>
        </w:rPr>
        <w:lastRenderedPageBreak/>
        <w:t>По этой причи</w:t>
      </w:r>
      <w:r w:rsidRPr="007224C3">
        <w:rPr>
          <w:rFonts w:ascii="Times New Roman" w:cs="Times New Roman"/>
          <w:color w:val="000000" w:themeColor="text1"/>
          <w:spacing w:val="0"/>
        </w:rPr>
        <w:softHyphen/>
        <w:t>не было принято решение продолжить испытания на аэродроме ЛИИ НКАП в Раменском, куда самолет перелетел 14 августа. Моторы АМ-38ф работали нормально, что позволило к 16 сентября завершить программу заводских летных испытаний (15758).</w:t>
      </w:r>
    </w:p>
    <w:p w14:paraId="73A08382" w14:textId="77777777" w:rsidR="005112A0" w:rsidRPr="007224C3" w:rsidRDefault="005112A0" w:rsidP="007224C3">
      <w:pPr>
        <w:spacing w:after="0" w:line="240" w:lineRule="auto"/>
        <w:jc w:val="both"/>
        <w:rPr>
          <w:rFonts w:ascii="Times New Roman" w:hAnsi="Times New Roman"/>
          <w:color w:val="000000" w:themeColor="text1"/>
          <w:sz w:val="16"/>
          <w:szCs w:val="16"/>
        </w:rPr>
      </w:pPr>
    </w:p>
    <w:p w14:paraId="6FE1FE7F" w14:textId="77777777" w:rsidR="00262E37" w:rsidRPr="007224C3" w:rsidRDefault="00262E37"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21 июня 1944 в ходе очередного испытательного полета на ТИС (МА) не убралась левая стойка шасси. Как выяс</w:t>
      </w:r>
      <w:r w:rsidRPr="007224C3">
        <w:rPr>
          <w:color w:val="000000" w:themeColor="text1"/>
          <w:sz w:val="16"/>
          <w:szCs w:val="16"/>
        </w:rPr>
        <w:softHyphen/>
        <w:t>нилось, сработалась собачка замка шасси. Самолет встал в ремонт. 29 июня при посадке без щитков (Н. В. Гаврилов забыл выпустить их) в конце пробе</w:t>
      </w:r>
      <w:r w:rsidRPr="007224C3">
        <w:rPr>
          <w:color w:val="000000" w:themeColor="text1"/>
          <w:sz w:val="16"/>
          <w:szCs w:val="16"/>
        </w:rPr>
        <w:softHyphen/>
        <w:t>га отказали тормоза, самолет выкатился за пределы аэродрома, попал в канаву и подломал левую стой</w:t>
      </w:r>
      <w:r w:rsidRPr="007224C3">
        <w:rPr>
          <w:color w:val="000000" w:themeColor="text1"/>
          <w:sz w:val="16"/>
          <w:szCs w:val="16"/>
        </w:rPr>
        <w:softHyphen/>
        <w:t>ку основного шасси. Очередной ремонт самолета продолжался до 30 июля. Пришлось ремонтиро</w:t>
      </w:r>
      <w:r w:rsidRPr="007224C3">
        <w:rPr>
          <w:color w:val="000000" w:themeColor="text1"/>
          <w:sz w:val="16"/>
          <w:szCs w:val="16"/>
        </w:rPr>
        <w:softHyphen/>
        <w:t>вать фюзеляж, крыло, шасси и оперение. Заменили левую мотораму, оба мотора и винты. Одновремен</w:t>
      </w:r>
      <w:r w:rsidRPr="007224C3">
        <w:rPr>
          <w:color w:val="000000" w:themeColor="text1"/>
          <w:sz w:val="16"/>
          <w:szCs w:val="16"/>
        </w:rPr>
        <w:softHyphen/>
        <w:t>но для увеличения запаса рулей высоты на посадке изменили угол установки стабилизатора на —2°30'. При первых же пробежках после ремонта 30 июля обнаружилось, что тормоза колес шасси работают все так же недостаточно эффективно и посадка на Центральном аэродроме возможна лишь в од</w:t>
      </w:r>
      <w:r w:rsidRPr="007224C3">
        <w:rPr>
          <w:color w:val="000000" w:themeColor="text1"/>
          <w:sz w:val="16"/>
          <w:szCs w:val="16"/>
        </w:rPr>
        <w:softHyphen/>
        <w:t>ном направлении. По этой причине было приня</w:t>
      </w:r>
      <w:r w:rsidRPr="007224C3">
        <w:rPr>
          <w:color w:val="000000" w:themeColor="text1"/>
          <w:sz w:val="16"/>
          <w:szCs w:val="16"/>
        </w:rPr>
        <w:softHyphen/>
        <w:t>то решение продолжить испытания на аэродроме ЛИИ НКАП в Раменском, куда самолет перелетел 14 августа. Моторы АМ-38ф работали нормально, что позволило к 16 сентября в целом завершить программу заводских летных испытаний. К сожа</w:t>
      </w:r>
      <w:r w:rsidRPr="007224C3">
        <w:rPr>
          <w:color w:val="000000" w:themeColor="text1"/>
          <w:sz w:val="16"/>
          <w:szCs w:val="16"/>
        </w:rPr>
        <w:softHyphen/>
        <w:t>лению, в этот день при взлете произошел обрыв ушка крепления цилиндра подъема шасси с обры</w:t>
      </w:r>
      <w:r w:rsidRPr="007224C3">
        <w:rPr>
          <w:color w:val="000000" w:themeColor="text1"/>
          <w:sz w:val="16"/>
          <w:szCs w:val="16"/>
        </w:rPr>
        <w:softHyphen/>
        <w:t>вом воздушной проводки, в результате чего шасси осталось в незафиксированном положении. При посадке на аэродром Раменское шасси сложилось. Помялись нижние капоты моторов и маслорадиато- ры. Погнулись оба винта. Но главное, деформиро</w:t>
      </w:r>
      <w:r w:rsidRPr="007224C3">
        <w:rPr>
          <w:color w:val="000000" w:themeColor="text1"/>
          <w:sz w:val="16"/>
          <w:szCs w:val="16"/>
        </w:rPr>
        <w:softHyphen/>
        <w:t>вался фюзеляж. Самолету требовался длительный ремонт (17500).</w:t>
      </w:r>
    </w:p>
    <w:p w14:paraId="4BED3A1C" w14:textId="77777777" w:rsidR="00262E37" w:rsidRPr="007224C3" w:rsidRDefault="00262E37" w:rsidP="007224C3">
      <w:pPr>
        <w:spacing w:after="0" w:line="240" w:lineRule="auto"/>
        <w:jc w:val="both"/>
        <w:rPr>
          <w:rFonts w:ascii="Times New Roman" w:eastAsia="Times New Roman" w:hAnsi="Times New Roman"/>
          <w:color w:val="000000" w:themeColor="text1"/>
          <w:sz w:val="16"/>
          <w:szCs w:val="16"/>
          <w:lang w:eastAsia="ru-RU"/>
        </w:rPr>
      </w:pPr>
    </w:p>
    <w:p w14:paraId="66DB144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 по 26 июня 1944 была командировка на завод № 21 бригады НИИ ВВС по с-ту 120 и трещинам тавриков передних лонжеронов цп с-та Ла-7:</w:t>
      </w:r>
    </w:p>
    <w:p w14:paraId="7DA57B9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 докладной по результатам командировки ви 3 отд. 1 упр. ТК НИИ ВВС КА им Алексеенко:</w:t>
      </w:r>
    </w:p>
    <w:p w14:paraId="50828E7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“...Кроме ознакомления с технологией обработки полок лонжеронов, мы проверили качество контроля со стороны военпреда технологии сборки (по просьбе старшего военпреда завода). В результате нашего осмотра самолета, ВМГ которого была окончательно принята в,пред. цеха, обнаружено 12 существенных дефектов, о которых мы почти в каждом акте пишем: чеканка трубок высокого давления, чеканка патрубков, неудовлетворительная герметизация внутреннего капота и 1-й рамы фюзеляжа, неудовлетворительная подгонка заслонок во всасявающем патрубке и т.д.</w:t>
      </w:r>
    </w:p>
    <w:p w14:paraId="3B9F6F6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военпреда цеха объясняет наличие дефектов графиком (темпами), что якобы нет смысла им писать при приемкуе самолета много дефектов (на этом самолете написано только 9), т.к. иногда ими обнаруженные дефекты не устраняются и их винят в задержке самолетов.</w:t>
      </w:r>
    </w:p>
    <w:p w14:paraId="6E80860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строевых частях (так и у нас) необходимо самолет на несколько дней выводить из строя для устранения дефектов (742).</w:t>
      </w:r>
    </w:p>
    <w:p w14:paraId="53A361D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DED22BD" w14:textId="77777777" w:rsidR="005112A0" w:rsidRPr="007224C3" w:rsidRDefault="005112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21 июня</w:t>
      </w:r>
      <w:r w:rsidRPr="007224C3">
        <w:rPr>
          <w:rFonts w:ascii="Times New Roman" w:hAnsi="Times New Roman"/>
          <w:color w:val="000000" w:themeColor="text1"/>
          <w:sz w:val="16"/>
          <w:szCs w:val="16"/>
        </w:rPr>
        <w:t xml:space="preserve"> в 1944 году постановением ГКО в Днепропетровске (Украина) основан Южный машиностроительный завод (ЮМЗ), ставший одним из крупнейших производителей ракетно-космической техники (14929).</w:t>
      </w:r>
    </w:p>
    <w:p w14:paraId="4D5A77E3" w14:textId="77777777" w:rsidR="005112A0" w:rsidRPr="007224C3" w:rsidRDefault="005112A0" w:rsidP="007224C3">
      <w:pPr>
        <w:spacing w:after="0" w:line="240" w:lineRule="auto"/>
        <w:jc w:val="both"/>
        <w:rPr>
          <w:rFonts w:ascii="Times New Roman" w:hAnsi="Times New Roman"/>
          <w:color w:val="000000" w:themeColor="text1"/>
          <w:sz w:val="16"/>
          <w:szCs w:val="16"/>
        </w:rPr>
      </w:pPr>
    </w:p>
    <w:p w14:paraId="22B62764"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4111FEB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A64C48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 июня 1944 г. была подготовлена СПРАВКА ТУ ГБТУ КА ПО НЕДОСТАТКАМ ТАНКОВ КВ И Т-34, ОТМЕЧЕННЫХ В ОЦЕНКЕ АМЕРИКАНЦЕВ</w:t>
      </w:r>
    </w:p>
    <w:p w14:paraId="36D5903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По охлаждению двигателей</w:t>
      </w:r>
    </w:p>
    <w:p w14:paraId="3A0B82C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танке ИС-2 водяная система охлаждения установлена другой конструкции, чем на танке КВ, вполне обеспечивающая нормальный тепловой режим двигателя.</w:t>
      </w:r>
    </w:p>
    <w:p w14:paraId="66A3CCA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масляную систему танка Т-34 с июля месяца 1943 года введен масляный радиатор, который снизил температуру масла и воды на 15°С.</w:t>
      </w:r>
    </w:p>
    <w:p w14:paraId="34EDFDE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По управлению танками</w:t>
      </w:r>
    </w:p>
    <w:p w14:paraId="2932505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танках ИС-2 устанавливаются планетарные механизмы поворота вместо бортовых фрикци</w:t>
      </w:r>
      <w:r w:rsidRPr="007224C3">
        <w:rPr>
          <w:rFonts w:ascii="Times New Roman" w:hAnsi="Times New Roman"/>
          <w:color w:val="000000" w:themeColor="text1"/>
          <w:sz w:val="16"/>
          <w:szCs w:val="16"/>
        </w:rPr>
        <w:softHyphen/>
        <w:t>онов танка КВ. Планетарные механизмы поворота значительно облегчили управление поворотами танка.</w:t>
      </w:r>
    </w:p>
    <w:p w14:paraId="0A41407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Усилия, необходимые для переключения передач, действительно велики, и особенно в танках Т-34 с 4-скоростной коробкой перемены передач.</w:t>
      </w:r>
    </w:p>
    <w:p w14:paraId="0453292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По воздухоочистителям</w:t>
      </w:r>
    </w:p>
    <w:p w14:paraId="055E12F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танках КВ устанавливались воздухоочистители типа «Вортокс». На танке Т-34, отправлен</w:t>
      </w:r>
      <w:r w:rsidRPr="007224C3">
        <w:rPr>
          <w:rFonts w:ascii="Times New Roman" w:hAnsi="Times New Roman"/>
          <w:color w:val="000000" w:themeColor="text1"/>
          <w:sz w:val="16"/>
          <w:szCs w:val="16"/>
        </w:rPr>
        <w:softHyphen/>
        <w:t>ном в Америку, был установлен воздухоочиститель типа «Помон», который при работе в пыльных условиях обеспечивал очистку воздуха только при условии чистки самого воздухоочистителя через каждые 2 —4ч.</w:t>
      </w:r>
    </w:p>
    <w:p w14:paraId="050B1D4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декабре 1942 года воздухоочиститель «Помон» на танках Т-34 был заменен воздухоочистите</w:t>
      </w:r>
      <w:r w:rsidRPr="007224C3">
        <w:rPr>
          <w:rFonts w:ascii="Times New Roman" w:hAnsi="Times New Roman"/>
          <w:color w:val="000000" w:themeColor="text1"/>
          <w:sz w:val="16"/>
          <w:szCs w:val="16"/>
        </w:rPr>
        <w:softHyphen/>
        <w:t>лями типа «Циклон», которые при запыленности воздуха 1 г пыли на 1 м</w:t>
      </w:r>
      <w:r w:rsidRPr="007224C3">
        <w:rPr>
          <w:rFonts w:ascii="Times New Roman" w:hAnsi="Times New Roman"/>
          <w:color w:val="000000" w:themeColor="text1"/>
          <w:sz w:val="16"/>
          <w:szCs w:val="16"/>
          <w:vertAlign w:val="superscript"/>
        </w:rPr>
        <w:t>2</w:t>
      </w:r>
      <w:r w:rsidRPr="007224C3">
        <w:rPr>
          <w:rFonts w:ascii="Times New Roman" w:hAnsi="Times New Roman"/>
          <w:color w:val="000000" w:themeColor="text1"/>
          <w:sz w:val="16"/>
          <w:szCs w:val="16"/>
        </w:rPr>
        <w:t xml:space="preserve"> обеспечивали очистку воз</w:t>
      </w:r>
      <w:r w:rsidRPr="007224C3">
        <w:rPr>
          <w:rFonts w:ascii="Times New Roman" w:hAnsi="Times New Roman"/>
          <w:color w:val="000000" w:themeColor="text1"/>
          <w:sz w:val="16"/>
          <w:szCs w:val="16"/>
        </w:rPr>
        <w:softHyphen/>
        <w:t>духа на 96%, а с апреля месяца 1944 г. устанавливаются воздухоочистители типа «Мультициклон», обеспечивающие 100% очистку воздуха при этих же условиях запыленности воздуха.</w:t>
      </w:r>
    </w:p>
    <w:p w14:paraId="166EC41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танках ИС-2 также устанавливаются воздухоочистители типа «Мультициклон».</w:t>
      </w:r>
    </w:p>
    <w:p w14:paraId="3265B95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По проходимости по песчаной местности</w:t>
      </w:r>
    </w:p>
    <w:p w14:paraId="03850D2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заключением американцев согласиться нельзя. Проходимость по песчаной местности наших танков — хорошая.</w:t>
      </w:r>
    </w:p>
    <w:p w14:paraId="2256B8B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По надежности работы механизмов</w:t>
      </w:r>
    </w:p>
    <w:p w14:paraId="73F8D74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Опыт войсковой эксплуатации показал, что основная масса наших танков работает 150 — 200 моточасов.</w:t>
      </w:r>
    </w:p>
    <w:p w14:paraId="2C67FC1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целом качество танков по надежности работы их механизмов в настоящее время значитель</w:t>
      </w:r>
      <w:r w:rsidRPr="007224C3">
        <w:rPr>
          <w:rFonts w:ascii="Times New Roman" w:hAnsi="Times New Roman"/>
          <w:color w:val="000000" w:themeColor="text1"/>
          <w:sz w:val="16"/>
          <w:szCs w:val="16"/>
        </w:rPr>
        <w:softHyphen/>
        <w:t>но повысилось. Танк ИС-2, несмотря на недоработку отдельных его узлов, работает в целом надеж</w:t>
      </w:r>
      <w:r w:rsidRPr="007224C3">
        <w:rPr>
          <w:rFonts w:ascii="Times New Roman" w:hAnsi="Times New Roman"/>
          <w:color w:val="000000" w:themeColor="text1"/>
          <w:sz w:val="16"/>
          <w:szCs w:val="16"/>
        </w:rPr>
        <w:softHyphen/>
        <w:t>нее танка КВ.</w:t>
      </w:r>
    </w:p>
    <w:p w14:paraId="2C3DC50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Ненадежность работы некоторых агрегатов еще имеет место и на танках, выпускаемых в на</w:t>
      </w:r>
      <w:r w:rsidRPr="007224C3">
        <w:rPr>
          <w:rFonts w:ascii="Times New Roman" w:hAnsi="Times New Roman"/>
          <w:color w:val="000000" w:themeColor="text1"/>
          <w:sz w:val="16"/>
          <w:szCs w:val="16"/>
        </w:rPr>
        <w:softHyphen/>
        <w:t>стоящее время, если они изготовляются с отступлением от чертежей и технических условий.</w:t>
      </w:r>
    </w:p>
    <w:p w14:paraId="58BDA2B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По сроку службы траков</w:t>
      </w:r>
    </w:p>
    <w:p w14:paraId="7E18579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Срок службы траков наших танков американцами определен правильно.</w:t>
      </w:r>
    </w:p>
    <w:p w14:paraId="06E61C0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По механической обработке деталей</w:t>
      </w:r>
    </w:p>
    <w:p w14:paraId="44CDBA9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Оценка, данная американцами в части чистоты обработки деталей и внешней отделки прибо</w:t>
      </w:r>
      <w:r w:rsidRPr="007224C3">
        <w:rPr>
          <w:rFonts w:ascii="Times New Roman" w:hAnsi="Times New Roman"/>
          <w:color w:val="000000" w:themeColor="text1"/>
          <w:sz w:val="16"/>
          <w:szCs w:val="16"/>
        </w:rPr>
        <w:softHyphen/>
        <w:t>ров, правильная.</w:t>
      </w:r>
    </w:p>
    <w:p w14:paraId="237B22D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Резка броневых листов наших танков производится огнем.</w:t>
      </w:r>
    </w:p>
    <w:p w14:paraId="45F48DF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Опыт войны подтвердил нецелесообразность механической обработки соединений броневых деталей корпуса под сварку.</w:t>
      </w:r>
    </w:p>
    <w:p w14:paraId="51F6F9D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По рабочему месту водителя танка Т-34</w:t>
      </w:r>
    </w:p>
    <w:p w14:paraId="0ADCC23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Расположение водителя на танке Т-34 удовлетворительное.</w:t>
      </w:r>
    </w:p>
    <w:p w14:paraId="5214A36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водителя большого роста условия работы несколько затруднены.</w:t>
      </w:r>
    </w:p>
    <w:p w14:paraId="7CCCBEC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Заместитель начальника ТУ ГБТУ КА инженер-полковник Муравич</w:t>
      </w:r>
    </w:p>
    <w:p w14:paraId="55C0439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38. Оп. 11355. Д. 2218. Л. 116 - 117. Копия (11420).</w:t>
      </w:r>
    </w:p>
    <w:p w14:paraId="4BECF90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D19615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 июня 1944 Сданы флоту 23-й БМО и 7-й ТЩ типа МТ-1 балтийцев (строился 8 мес.) (10671).</w:t>
      </w:r>
    </w:p>
    <w:p w14:paraId="31B85FD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94159AE"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2B1A1FE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445F95E" w14:textId="77777777" w:rsidR="005112A0" w:rsidRPr="007224C3" w:rsidRDefault="005112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21 июня</w:t>
      </w:r>
      <w:r w:rsidRPr="007224C3">
        <w:rPr>
          <w:rFonts w:ascii="Times New Roman" w:hAnsi="Times New Roman"/>
          <w:color w:val="000000" w:themeColor="text1"/>
          <w:sz w:val="16"/>
          <w:szCs w:val="16"/>
        </w:rPr>
        <w:t xml:space="preserve"> в 1944 году оперативная сводка Совинформбюро:</w:t>
      </w:r>
    </w:p>
    <w:p w14:paraId="2B7C63F1" w14:textId="77777777" w:rsidR="005112A0" w:rsidRPr="007224C3" w:rsidRDefault="005112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21 июня севернее Онежского озера наши войска вели наступательные бои, в ходе которых прорвали оборону противника восточнее города Медвежьегорск и заняли несколько населённых пунктов, в том числе крупные рабочие посёлки Повенец, Пиндуши, совхоз Пушной, населённые пункты Верховье, Брюхово, Салма, Кумсагуба и железнодорожную станцию Вичка Мурманской железной дороги. Наши войска вплотную подошли к городу Медвежьегорск и завязали бои на окраинах города.</w:t>
      </w:r>
    </w:p>
    <w:p w14:paraId="5E12D164" w14:textId="77777777" w:rsidR="005112A0" w:rsidRPr="007224C3" w:rsidRDefault="005112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Между Онежским и Ладожским озерами наши войска, перейдя в наступление, сломили сопротивление противника на плацдарме по южному берегу реки Свирь и с боями заняли более 100 населённых пунктов, в том числе районный центр Ленинградской области Вознесенье, крупные населённые пункты Ганина. Еросельга, Петровская. Посад, Ровское, Гоморовичи, Пертозеро, Шеменичи, Бардовская, Демидовская, Нисельга, Свирьстрой. Таким образом, нашими войсками ликвидирован важный плацдарм финнов на южном берегу реки Свирь.</w:t>
      </w:r>
    </w:p>
    <w:p w14:paraId="12F7D60D" w14:textId="77777777" w:rsidR="005112A0" w:rsidRPr="007224C3" w:rsidRDefault="005112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районе Лодейного Поля войска Карельского фронта с боями форсировали реку Свирь, прорвали оборону противника и образовали плацдарм на северном берегу реки Свирь.</w:t>
      </w:r>
    </w:p>
    <w:p w14:paraId="48DB79B4" w14:textId="77777777" w:rsidR="005112A0" w:rsidRPr="007224C3" w:rsidRDefault="005112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Карельском перешейке наши войска, продолжая наступление, с боями заняли более 50 населённых пунктов, в том числе Сорвали (на острове Линносари 2 километра северо-западнее Выборга), Таммисуо, Патакахиа, Туоккола, Хейниоки, Сала-Паккола, Кянтюмя, и железнодорожную станцию Таммисуо.</w:t>
      </w:r>
    </w:p>
    <w:p w14:paraId="26D8C516" w14:textId="77777777" w:rsidR="005112A0" w:rsidRPr="007224C3" w:rsidRDefault="005112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фронтах — без перемен.</w:t>
      </w:r>
    </w:p>
    <w:p w14:paraId="650D9689" w14:textId="77777777" w:rsidR="005112A0" w:rsidRPr="007224C3" w:rsidRDefault="005112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20 июня на всех фронтах в воздушных боях и огнём зенитной артиллерии сбито 24 самолёта противника.</w:t>
      </w:r>
    </w:p>
    <w:p w14:paraId="5554F2CA" w14:textId="77777777" w:rsidR="005112A0" w:rsidRPr="007224C3" w:rsidRDefault="005112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На Карельском перешейке войска Ленинградского фронта продолжали успешное наступление. Решительными и смелыми ударами нашей пехоты и танков были ликвидированы все попытки финнов остановить продвижение советских частей. На одном участке противник бросил в бой учебный батальон, насчитывавший до </w:t>
      </w:r>
      <w:r w:rsidRPr="007224C3">
        <w:rPr>
          <w:rFonts w:ascii="Times New Roman" w:hAnsi="Times New Roman"/>
          <w:color w:val="000000" w:themeColor="text1"/>
          <w:sz w:val="16"/>
          <w:szCs w:val="16"/>
        </w:rPr>
        <w:lastRenderedPageBreak/>
        <w:t>тысячи штыков. На подходе к месту боя финны были накрыты мощным огнём советских орудий и миномётов. Вражеский батальон понёс большие потери. Уцелевшие финны разбежались по лесу. На другом участке противник пытался переправить свои войска через озеро. Экипажи самоходных орудий гвардии лейтенанта Аниканова и лейтенанта Коновалова открыли огонь по переправе. Прямыми попаданиями снарядов гвардейцы потопили две десантных баржи и несколько моторных лодок с пехотой. Финны потеряли здесь только убитыми до 300 солдат и офицеров.</w:t>
      </w:r>
    </w:p>
    <w:p w14:paraId="36F3143D" w14:textId="77777777" w:rsidR="005112A0" w:rsidRPr="007224C3" w:rsidRDefault="005112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Наша авиация продолжала наносить удары по войскам и коммуникациям финнов. В результате налёта на железнодорожную станцию Элисенвара советские лётчики уничтожили более 180 вагонов, 12 складов и разрушили железнодорожные пути. На территории станции возникли большие пожары, сопровождавшиеся взрывами.</w:t>
      </w:r>
    </w:p>
    <w:p w14:paraId="265C2E5F" w14:textId="77777777" w:rsidR="005112A0" w:rsidRPr="007224C3" w:rsidRDefault="005112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Лётчики Краснознамённого Балтийского флота бомбардировали корабли противника в Выборгском заливе. Потоплены финский транспорт, 7. быстроходных десантных барж, тральщик и сторожевой катер.</w:t>
      </w:r>
    </w:p>
    <w:p w14:paraId="396BAD8E" w14:textId="77777777" w:rsidR="005112A0" w:rsidRPr="007224C3" w:rsidRDefault="005112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дня в воздушных боях сбито 19 немецко-финских самолётов.</w:t>
      </w:r>
    </w:p>
    <w:p w14:paraId="72EDFF84" w14:textId="77777777" w:rsidR="005112A0" w:rsidRPr="007224C3" w:rsidRDefault="005112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Торпедные катеры Героя Советского Союза Осипова, Ущева и Старостина (Краснознамённый Балтийский флот) потопили в Финском заливе два немецких миноносца. Другая группа наших катеров потопила тральщик противника.</w:t>
      </w:r>
    </w:p>
    <w:p w14:paraId="2F70707A" w14:textId="77777777" w:rsidR="005112A0" w:rsidRPr="007224C3" w:rsidRDefault="005112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Нашими кораблями в Баренцевом море потоплен транспорт противника водоизмещением в 6 тысяч тонн.</w:t>
      </w:r>
    </w:p>
    <w:p w14:paraId="0797C62D" w14:textId="77777777" w:rsidR="005112A0" w:rsidRPr="007224C3" w:rsidRDefault="005112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Северо-западнее города Мозырь отряд советских разведчиков во главе с младшим лейтенантом Королём ночью переправился через реку и, разбившись на две группы, устроил засаду на лесной дороге. Утром на дороге показался отряд противника. Когда гитлеровцы поравнялись «засадой, наши разведчики забросали их гранатами и обстреляли из автоматов. Немцы пытались отступить, но попали под огонь второй группы разведчиков. Убито два офицера и 16 немецких солдат. Наши разведчики захватили в плен двух немецких офицеров.</w:t>
      </w:r>
    </w:p>
    <w:p w14:paraId="649A5542" w14:textId="77777777" w:rsidR="005112A0" w:rsidRPr="007224C3" w:rsidRDefault="005112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Литовские партизанские отряды «Смерть оккупантам», «Вильнюс», «Победа» и имени Костаса Калинаускаса за семь дней пустили под откос десять железнодорожных эшелонов с вооружением и живой силой противника. Разбиты 8 паровозов, 17 вагонов и 32 платформы с танками и орудиями.</w:t>
      </w:r>
    </w:p>
    <w:p w14:paraId="0FC5A590" w14:textId="77777777" w:rsidR="005112A0" w:rsidRPr="007224C3" w:rsidRDefault="005112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Пленный солдат 1 финского егерского батальона Онни Кампи рассказал: «На строительство оборонительных сооружений на Карельском перешейке затрачено огромное количество материалов и труда. Финские военные власти мобилизовали все грузовые автомашины страны и передали их управлению строительства. Все строительные батальоны финской армии в течение многих месяцев были заняты на строительстве железобетонных дотов, блиндажей, надолб и эскарпов. Русские войска сокрушили наши укрепления, казавшиеся неприступными».</w:t>
      </w:r>
    </w:p>
    <w:p w14:paraId="2C6D3DF6" w14:textId="77777777" w:rsidR="005112A0" w:rsidRPr="007224C3" w:rsidRDefault="005112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Пленный солдат финской бригады береговой обороны Паасанен сообщил: «Наступление русских было очень стремительным. Об организованном сопротивлении не могло быть и речи. Наши орудия едва успели выпустить несколько снарядов. Мы вынуждены были бежать, бросив на произвол судьбы всю технику. На огневых позициях мы оставили 24 исправных орудия».</w:t>
      </w:r>
    </w:p>
    <w:p w14:paraId="75EEC621" w14:textId="77777777" w:rsidR="005112A0" w:rsidRPr="007224C3" w:rsidRDefault="005112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Пленный прапорщик 1 финского полка Тойво Хяннинен заявил: «Все финские офицеры были уверены, что укрепления на Карельском перешейке непреодолимы и выдержат любой натиск. Однако мощь советской артиллерии ошеломила нас. Такого огня никто из нас не видел за всё время войны. В эти дни мы убедились, что никакие даже самые сильные укрепления не могут остановить русских» (14929).</w:t>
      </w:r>
    </w:p>
    <w:p w14:paraId="6433CFEE" w14:textId="77777777" w:rsidR="005112A0" w:rsidRPr="007224C3" w:rsidRDefault="005112A0" w:rsidP="007224C3">
      <w:pPr>
        <w:spacing w:after="0" w:line="240" w:lineRule="auto"/>
        <w:jc w:val="both"/>
        <w:rPr>
          <w:rFonts w:ascii="Times New Roman" w:hAnsi="Times New Roman"/>
          <w:color w:val="000000" w:themeColor="text1"/>
          <w:sz w:val="16"/>
          <w:szCs w:val="16"/>
        </w:rPr>
      </w:pPr>
    </w:p>
    <w:p w14:paraId="32BCC5B0" w14:textId="77777777" w:rsidR="005112A0" w:rsidRPr="007224C3" w:rsidRDefault="005112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21 июня</w:t>
      </w:r>
      <w:r w:rsidRPr="007224C3">
        <w:rPr>
          <w:rFonts w:ascii="Times New Roman" w:hAnsi="Times New Roman"/>
          <w:color w:val="000000" w:themeColor="text1"/>
          <w:sz w:val="16"/>
          <w:szCs w:val="16"/>
        </w:rPr>
        <w:t xml:space="preserve"> в 1944 году началась Свирско-Петрозаводская наступательная операция войск левого крыла Карельского фронта во взаимодействии с Ладожской и Онежской военными. флотилиями, при поддержке 7-й и части сил 13-й Воздушной Армии, продолжавшаяся до 9 августа. Войска 7-й Армии наступая из района Лодейного Поля, форсировали реку Свирь, прорвали главную полосу обороны противника на олонецком направлении. 32-я Армия начала наступление из р-на Медвежьегорска в направлениях на Суоярви и Петрозаводск (14929).</w:t>
      </w:r>
    </w:p>
    <w:p w14:paraId="0EF8BDD1" w14:textId="77777777" w:rsidR="005112A0" w:rsidRPr="007224C3" w:rsidRDefault="005112A0" w:rsidP="007224C3">
      <w:pPr>
        <w:spacing w:after="0" w:line="240" w:lineRule="auto"/>
        <w:jc w:val="both"/>
        <w:rPr>
          <w:rFonts w:ascii="Times New Roman" w:hAnsi="Times New Roman"/>
          <w:color w:val="000000" w:themeColor="text1"/>
          <w:sz w:val="16"/>
          <w:szCs w:val="16"/>
        </w:rPr>
      </w:pPr>
    </w:p>
    <w:p w14:paraId="7796BC56"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 июня 1944 советские войска заняли Выборг (4962).</w:t>
      </w:r>
    </w:p>
    <w:p w14:paraId="6CC41F08"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AE77669"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rPr>
        <w:t xml:space="preserve">21 июня 1944 советские войска начали Свирско-Петрозаводскую наступательную операцию </w:t>
      </w:r>
      <w:r w:rsidRPr="007224C3">
        <w:rPr>
          <w:rFonts w:ascii="Times New Roman" w:hAnsi="Times New Roman"/>
          <w:color w:val="000000" w:themeColor="text1"/>
          <w:sz w:val="16"/>
          <w:szCs w:val="16"/>
          <w:lang w:val="en-US"/>
        </w:rPr>
        <w:t>(4962).</w:t>
      </w:r>
    </w:p>
    <w:p w14:paraId="5CB66166"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p>
    <w:p w14:paraId="5BC37C4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June 21st, 1944: In the East, the Red Army begins an offensive between lakes Ladoga and Onega on the northern front. The US 8th Air Force carries out raids on Berlin and the synthetic fuel plants at Leuna-Merseburg (3819).</w:t>
      </w:r>
    </w:p>
    <w:p w14:paraId="758414D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720AD3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21 июня по 9 августа 1944 состоялась Свирско-Петрозаводская операция - часть Выборгско-Петрозаводской и продвинулись на 110-250 км (2443,108).</w:t>
      </w:r>
    </w:p>
    <w:p w14:paraId="6BA2BFE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8 часов утра - ударили ш, а в 8:40 началась артподготовка (3387).</w:t>
      </w:r>
    </w:p>
    <w:p w14:paraId="5DA9948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B2F5B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 июня 1944 была вторая челночная операция американцев Frantic II. 163 Б-17 и 70 Мустангов летели из Англии бомбить Берлин. 137 Б-17 и 63 Мустанга сели в Миргороде и Полтаве и несколько на других аэродромах. Немецкий разведчик заснял аэродромы (1364,42) и наши из-за неразберихи не смогли его сбить (1610,39).</w:t>
      </w:r>
    </w:p>
    <w:p w14:paraId="6588AFE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D08BD4"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2691213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8B4866A" w14:textId="77777777" w:rsidR="005112A0" w:rsidRPr="007224C3" w:rsidRDefault="005112A0"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21 июня</w:t>
      </w:r>
      <w:r w:rsidRPr="007224C3">
        <w:rPr>
          <w:rFonts w:ascii="Times New Roman" w:hAnsi="Times New Roman"/>
          <w:color w:val="000000" w:themeColor="text1"/>
          <w:sz w:val="16"/>
          <w:szCs w:val="16"/>
        </w:rPr>
        <w:t xml:space="preserve"> в 1944 году бомбардировка Берлина авиацией союзников (14929).</w:t>
      </w:r>
    </w:p>
    <w:p w14:paraId="309549E7" w14:textId="77777777" w:rsidR="005112A0" w:rsidRPr="007224C3" w:rsidRDefault="005112A0" w:rsidP="007224C3">
      <w:pPr>
        <w:spacing w:after="0" w:line="240" w:lineRule="auto"/>
        <w:jc w:val="both"/>
        <w:rPr>
          <w:rFonts w:ascii="Times New Roman" w:hAnsi="Times New Roman"/>
          <w:color w:val="000000" w:themeColor="text1"/>
          <w:sz w:val="16"/>
          <w:szCs w:val="16"/>
        </w:rPr>
      </w:pPr>
    </w:p>
    <w:p w14:paraId="2E32DAF4" w14:textId="77777777" w:rsidR="00B02CCE" w:rsidRPr="007224C3" w:rsidRDefault="00B02CCE"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21 июня 1944 322 британских бомбардировщика пытаются атаковать три немецких пусковых площадки летающих бомб Фау-1 во Франции, но терпят неудачу из-за сильной облачности (20373).</w:t>
      </w:r>
    </w:p>
    <w:p w14:paraId="700682A0" w14:textId="77777777" w:rsidR="00B02CCE" w:rsidRPr="007224C3" w:rsidRDefault="00B02CCE" w:rsidP="007224C3">
      <w:pPr>
        <w:spacing w:after="0" w:line="240" w:lineRule="auto"/>
        <w:jc w:val="both"/>
        <w:rPr>
          <w:rFonts w:ascii="Times New Roman" w:hAnsi="Times New Roman"/>
          <w:color w:val="0070C0"/>
          <w:sz w:val="16"/>
          <w:szCs w:val="16"/>
        </w:rPr>
      </w:pPr>
    </w:p>
    <w:p w14:paraId="7C1A2BEA" w14:textId="77777777" w:rsidR="00B02CCE" w:rsidRPr="007224C3" w:rsidRDefault="00B02CCE"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21–22 июня (ночь) 1944 271 британский бомбардировщик совершил налет на немецкие заводы по производству синтетического горючего в Весселинге и Гельзенкирхене, Германия. Немецкие ночные истребители перехватывают их, и 45 бомбардировщиков потеряны. Рейды имеют ограниченный успех из-за полной низкой облачности над целями (20373).</w:t>
      </w:r>
    </w:p>
    <w:p w14:paraId="1313B7B5" w14:textId="77777777" w:rsidR="00B02CCE" w:rsidRPr="007224C3" w:rsidRDefault="00B02CCE" w:rsidP="007224C3">
      <w:pPr>
        <w:spacing w:after="0" w:line="240" w:lineRule="auto"/>
        <w:jc w:val="both"/>
        <w:rPr>
          <w:rFonts w:ascii="Times New Roman" w:hAnsi="Times New Roman"/>
          <w:color w:val="0070C0"/>
          <w:sz w:val="16"/>
          <w:szCs w:val="16"/>
        </w:rPr>
      </w:pPr>
    </w:p>
    <w:p w14:paraId="6A41020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 июня 1944 морские пехотинцы США захватили Окинаву (2247,5).</w:t>
      </w:r>
    </w:p>
    <w:p w14:paraId="5AF6A71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752F8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 июня 1944 началось наступление союзников в Бирме (2247,5).</w:t>
      </w:r>
    </w:p>
    <w:p w14:paraId="01ADA99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D46CAA" w14:textId="77777777" w:rsidR="00B02CCE" w:rsidRPr="007224C3" w:rsidRDefault="00B02CCE"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21 июня 1944 основана Copa Airlines как национальная авиакомпания Панамы. Он начнет полеты в августе 1947 года (20373).</w:t>
      </w:r>
    </w:p>
    <w:p w14:paraId="6D597A51" w14:textId="77777777" w:rsidR="00B02CCE" w:rsidRPr="007224C3" w:rsidRDefault="00B02CCE" w:rsidP="007224C3">
      <w:pPr>
        <w:spacing w:after="0" w:line="240" w:lineRule="auto"/>
        <w:jc w:val="both"/>
        <w:rPr>
          <w:rFonts w:ascii="Times New Roman" w:hAnsi="Times New Roman"/>
          <w:color w:val="0070C0"/>
          <w:sz w:val="16"/>
          <w:szCs w:val="16"/>
        </w:rPr>
      </w:pPr>
    </w:p>
    <w:p w14:paraId="7E4F9AE8"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4EF6B80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9FFF91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июня 1944 года начальник 7 гл. управления писал письмо Шахурину.</w:t>
      </w:r>
    </w:p>
    <w:p w14:paraId="1C03681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Первый экземпляр дневного скоростного бомбардировщика с двумя моторами АМ-39, конструкции Туполева, выпущенный заводом N 156 в соответствии с приказом НКАП за N 358сс от 27 мая с.г., передан на совместные испытания в НИИ ВВС 31-го мая с.г. - в срок, установленный этим приказом.</w:t>
      </w:r>
    </w:p>
    <w:p w14:paraId="49BDA69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период с 1 по 20 июня на самолете совершены 13 полетов, выполнены задания по отработке винтомоторной группы и по снятию скоростей по высотам на 1 и II скоростях ПЦН на номинальном режиме.</w:t>
      </w:r>
    </w:p>
    <w:p w14:paraId="0BAD572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Прилагая справку НИИ ВВС, удостоверяющую своевременное предъявление самолета на совместные испытания, прошу Ваших указаний о выделении заводу N 156 предусмотренных приказом 500 тыс. руб. на премирование наиболее отличившихся рабочих и ИТР при постройке самолета (2562,100).</w:t>
      </w:r>
    </w:p>
    <w:p w14:paraId="13F4907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57DCC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июня 1944 на заводе № 21 состоялось совещание по вопросу о качестве продукции, выпускаемой заводом. Проводил зам. НКАП т. Дементьев. Присутствовали Нач. ГУЗ ВВС гл ИАС Селезнев, к-ры и и 2-й ЗАБр, 1-го ЗАП, перегонного полка з-да № 21, представители от НКАП (тт. ПоликовскийХапланов) и з-да № 19, рук. Состав КБ ГК т. Лавочкина, предст. от ГУЗ, рук. состав в/п завода № 21. Докладывали и и к-ры вышеназванных частей о работе матчасти с-тов Ла-5 и мотора АШ-82ФН и качестве выпускаемой продукции:</w:t>
      </w:r>
    </w:p>
    <w:p w14:paraId="4DBDC88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качество с-тов Ла-5, выпускаемых з-дом № 21 начиная с первых чисел мая 1944 значительно ухудшилось. С-ты поступают в 2-ю ЗАБр с большим количеством дефектов, участились случаи аварий и отказов (остановки) моторов даже в воздухе. За май и июнь во 2 ЗАП было 11 случаев прогара и задира поршней (из которых было 6 аварийных моторов), во 2-м ЗАБр - 14 случаев прогара и задира, во 2-м ЗАП было 4 случая неудовлетворительной приемистости и остановки мотора в воздухе.</w:t>
      </w:r>
    </w:p>
    <w:p w14:paraId="04C30E7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завводе № 21 были случаи, когда после планирования при Рк 150-180 мм моторы не забирали или забирали с опозданием от 3 до 15 секунд. В полете после уборки газа мотор не забирает и останавливается. Имеются аварии с-тов - причина усадки аппаратов РС-2 (потеря их чувствительности) и заедание рычага золотника РС-2 (регулирование смеси) в положении “нулевой подачи”.</w:t>
      </w:r>
    </w:p>
    <w:p w14:paraId="4A0F4EF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Ухудшение пилотажных свойств с-та ФН вследствие несвоевременного и несинхронного срабатывания предкрылков, биение ручки управления.</w:t>
      </w:r>
    </w:p>
    <w:p w14:paraId="4854274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В конце совещания т. Дементьев потребовал от директоров з-да № 21 и 19 коренного улучшения качества выпускаемых с-тов и моторов, а т. Селезнев - усиления контроля за качеством с-тов со стороны военной приемки (754,243).</w:t>
      </w:r>
    </w:p>
    <w:p w14:paraId="5F72A8D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C39A0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июня 1944 А.И.Ш. писал письмо N Н-8/3054 Нач. 8 ГУ В.П.Кузнецову и директору завода 383 Шадскому и ГК Гришину о том, что в соответствии с актом НИИ ВВС по гос. испытаниям ВИШ с деревянными лопастями ВИШ-327-Д-25 на Ще-2 с М-11Д предлагается срочно изготовить новые лопасти (1824,17).</w:t>
      </w:r>
    </w:p>
    <w:p w14:paraId="06F9675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FE828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июня 1944 года вышел приказ № 338 НКАП:</w:t>
      </w:r>
    </w:p>
    <w:p w14:paraId="46E2033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целях обеспечения ОКБ заводов и институтов НКАП модельной мебелью:</w:t>
      </w:r>
    </w:p>
    <w:p w14:paraId="67A1C86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Директору завода № 164 Андрееву Н.Д. параллельно с производством специального конструкторского оборудования организовать цех по изготовлению модельной мебели (8948).</w:t>
      </w:r>
    </w:p>
    <w:p w14:paraId="449190C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6AE939"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6381F08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AF4FCB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июня 1944 начальником артиллерийского управления утвердил разработанный в 1943 году ОКБ-172 технический проект 180/57-мм одноорудийной щитовой установки МУ-1.</w:t>
      </w:r>
    </w:p>
    <w:p w14:paraId="7390405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Основные отличия качающейся части МУ-1 от качающейся части Б-1-П:1) Оригинальный привод затвора.</w:t>
      </w:r>
    </w:p>
    <w:p w14:paraId="0000279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Изменена конструкция рамы затвора.</w:t>
      </w:r>
    </w:p>
    <w:p w14:paraId="20FC70E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Изменен стопор поршня.</w:t>
      </w:r>
    </w:p>
    <w:p w14:paraId="0F84109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Изменено крепление казенника к кожуху.</w:t>
      </w:r>
    </w:p>
    <w:p w14:paraId="587DE4E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Введен пружинный уравновешивающий механизм.</w:t>
      </w:r>
    </w:p>
    <w:p w14:paraId="70C3162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Упрощена технология люльки.</w:t>
      </w:r>
    </w:p>
    <w:p w14:paraId="0736DF9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Ствол лейнирован.</w:t>
      </w:r>
    </w:p>
    <w:p w14:paraId="5F2D827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Затвор поршневой двухтактного действия, при открывании затвор откидывался вверх. Открывание затвора производилось от электрического привода, автоматическое включение которого осуществлялось с помощью электроконтакта в конце наката орудия. Электродвигатель привода установлен на фундаменте, закрепленном на левой стороне люльки.</w:t>
      </w:r>
    </w:p>
    <w:p w14:paraId="6FF2254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Затвор мог быть открыт при углах +4; +20, если лоток выведен из зоны отката. Автоматическое закрывание затвора производилось при переводе лотка из положения заряжания в положение загрузки.</w:t>
      </w:r>
    </w:p>
    <w:p w14:paraId="378D1B2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необходимости нажимом кнопки можно было закрыть затвор на любом угле возвышения.</w:t>
      </w:r>
    </w:p>
    <w:p w14:paraId="3B5701C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Досылка производилась пружинным досылателем брускового типа. Взвод досылателя происходил при накате орудия, а спуск поворотом рукояти привода. Досылатель служил для досылки в канал ствола снаряда, уложенного на лоток заряжания. Первая досылка производилась ручным прибойником или взводом досылателя искусственным откатом. Досылка полузаряда производилась вручную.</w:t>
      </w:r>
    </w:p>
    <w:p w14:paraId="13EC16F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Серийная установка МУ-1 предназначалась доя стационарных береговых батарей. Кроме того, она могла быть использована для создания временных батарей. В таком случае вместо центральной подачи боеприпасов из перегрузочного отделения предусмотрено приспособления для наружной подноски и загрузки снарядов через окна в броне.</w:t>
      </w:r>
    </w:p>
    <w:p w14:paraId="633AF71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Перегрузочное отделение находилось в бетонном блоке. Толщина бетонного перекрытия погреба 1600 мм. Вместимость погреба 200 выстрелов. Подача боеприпасы только ручная. Через полость боевого штыря проходили из перегрузочного отделения шахта снарядной подачи, зарядная труба, электрокабели и шланги для подачи сжатого воздуха.</w:t>
      </w:r>
    </w:p>
    <w:p w14:paraId="6826585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Неподвижное основание опора вращающейся части, служило для крепления ее к закладным частям бетонного блока. Она представляла собой литое кольцо с фланцем и ребрами жесткости.</w:t>
      </w:r>
    </w:p>
    <w:p w14:paraId="2217EEC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Прицельные устройства Б-13-1 и ЛБ-13-1. Система ПУС "Москва". Боекомплект и баллистика идентичны Б-1-П. (3861).</w:t>
      </w:r>
    </w:p>
    <w:p w14:paraId="0B3014B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97BB2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июня 1944 вышло Распоряжение ГКО № 6083. О сформировании подразделений для судоподъемных и гидротехнических работ в Севастополе. РГАНИР, Фонд ГКО, д. 265, лл. 130 (11012).</w:t>
      </w:r>
    </w:p>
    <w:p w14:paraId="2DF4692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47261F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июня 1944 вышло Распоряжение ГКО № 6084. О мерах по обеспечению производства корпусов 37 мм подкалиберных снарядов к авиадесантной пушке. РГАНИР, Фонд ГКО, д. 265, лл. 131 (11012).</w:t>
      </w:r>
    </w:p>
    <w:p w14:paraId="0325436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797BE3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июня 1944 вышло Распоряжение ГКО № 6085. Об обеспечении материалами ремонта 1,5 тыс. электромоторов НКУП в Кузбассе. РГАНИР, Фонд ГКО, д. 265, лл. 132,133 (11012).</w:t>
      </w:r>
    </w:p>
    <w:p w14:paraId="2369A1E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675A5F7"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июня 1944 вышло Постановление ГКО № 6086 Об изготовлении деревянных пролетных строений для восстановления железнодорожных мостов. (7242, 134-136).</w:t>
      </w:r>
    </w:p>
    <w:p w14:paraId="0A6CB64C"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79A329E"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июня 1944 вышло Распоряжение ГКО № 6087 [О передаче НКВД импортного турбоагрегата для Интастроя с Рубежанского химического комбината НКХП.] (7242, 137).</w:t>
      </w:r>
    </w:p>
    <w:p w14:paraId="419482EF"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96FD2C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июня 1944 вышло Распоряжение ГКО № 6088. Об освобождении завода № 549 НКБ от изготовления во II кв. замков направляющих для установки М-13. РГАНИР, Фонд ГКО, д. 265, лл. 138 (11012).</w:t>
      </w:r>
    </w:p>
    <w:p w14:paraId="51F51E5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399BC8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июня 1944 г. вышло распоряжение ГКО № 6088 об освобождении завода (Завод № 549 НКБ /г. Челябинск/) во 2-м квартале от изготовления замков направляющих для М-13.</w:t>
      </w:r>
    </w:p>
    <w:p w14:paraId="7BE3825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Площадь (1943 г.): производственная- 2439 м</w:t>
      </w:r>
      <w:r w:rsidRPr="007224C3">
        <w:rPr>
          <w:rFonts w:ascii="Times New Roman" w:hAnsi="Times New Roman"/>
          <w:color w:val="000000" w:themeColor="text1"/>
          <w:sz w:val="16"/>
          <w:szCs w:val="16"/>
          <w:vertAlign w:val="superscript"/>
        </w:rPr>
        <w:t>2</w:t>
      </w:r>
      <w:r w:rsidRPr="007224C3">
        <w:rPr>
          <w:rFonts w:ascii="Times New Roman" w:hAnsi="Times New Roman"/>
          <w:color w:val="000000" w:themeColor="text1"/>
          <w:sz w:val="16"/>
          <w:szCs w:val="16"/>
        </w:rPr>
        <w:t>; вспомогательная- 450 м</w:t>
      </w:r>
      <w:r w:rsidRPr="007224C3">
        <w:rPr>
          <w:rFonts w:ascii="Times New Roman" w:hAnsi="Times New Roman"/>
          <w:color w:val="000000" w:themeColor="text1"/>
          <w:sz w:val="16"/>
          <w:szCs w:val="16"/>
          <w:vertAlign w:val="superscript"/>
        </w:rPr>
        <w:t>2</w:t>
      </w:r>
      <w:r w:rsidRPr="007224C3">
        <w:rPr>
          <w:rFonts w:ascii="Times New Roman" w:hAnsi="Times New Roman"/>
          <w:color w:val="000000" w:themeColor="text1"/>
          <w:sz w:val="16"/>
          <w:szCs w:val="16"/>
        </w:rPr>
        <w:t>.</w:t>
      </w:r>
    </w:p>
    <w:p w14:paraId="620BBC3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Численность персонала (12.1942 г.)- 1176 чел.</w:t>
      </w:r>
    </w:p>
    <w:p w14:paraId="773F580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(04.1943 г.)- Ильин, (11.1943 г.)- Заикин.</w:t>
      </w:r>
    </w:p>
    <w:p w14:paraId="5420CF2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Начальники отделов: планового (04.1943 г.)- Самойлов.</w:t>
      </w:r>
    </w:p>
    <w:p w14:paraId="09B8A18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iCs/>
          <w:color w:val="000000" w:themeColor="text1"/>
          <w:sz w:val="16"/>
          <w:szCs w:val="16"/>
        </w:rPr>
        <w:t>Производство:</w:t>
      </w:r>
      <w:r w:rsidRPr="007224C3">
        <w:rPr>
          <w:rFonts w:ascii="Times New Roman" w:hAnsi="Times New Roman"/>
          <w:color w:val="000000" w:themeColor="text1"/>
          <w:sz w:val="16"/>
          <w:szCs w:val="16"/>
        </w:rPr>
        <w:t xml:space="preserve"> корпуса снарядов; узлы М-13; станок Т-50 (1943) (11982).</w:t>
      </w:r>
    </w:p>
    <w:p w14:paraId="0B198A0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DD08A5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июня 1944 Поднят флаг ВМФ СССР на 8-м стотоннике балтийцев (построен за 8 мес.) (10671).</w:t>
      </w:r>
    </w:p>
    <w:p w14:paraId="745882C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29EBFBA"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1F2E008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2D769EE" w14:textId="77777777" w:rsidR="00061B7B" w:rsidRPr="007224C3" w:rsidRDefault="00061B7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июня в 1944 году оперативная сводка Совинформбюро:</w:t>
      </w:r>
    </w:p>
    <w:p w14:paraId="5D0797FD" w14:textId="77777777" w:rsidR="00061B7B" w:rsidRPr="007224C3" w:rsidRDefault="00061B7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22 июня севернее Онежского озера наши войска продолжали вести наступательные бои, в ходе которых отбросили противника за линию Остер-Озеро и реку Кумса, заняв Великую Губу и железнодорожные станции Ванзозеро, Малыга, Лумбушозеро (на Мурманской железной дороге).</w:t>
      </w:r>
    </w:p>
    <w:p w14:paraId="075EBE86" w14:textId="77777777" w:rsidR="00061B7B" w:rsidRPr="007224C3" w:rsidRDefault="00061B7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Между Онежским и Ладожским озёрами наши войска, сломив сопротивление противника, овладели районным центром Ленинградской области Подпорожье и вели успешные бои по расширению плацдарма на северном берегу реки Свирь в районе Лодейного Поля, заняв при этом населённые пункты Назарьевская, Старая и Новая Свирьская Слобода.</w:t>
      </w:r>
    </w:p>
    <w:p w14:paraId="58BFC696" w14:textId="77777777" w:rsidR="00061B7B" w:rsidRPr="007224C3" w:rsidRDefault="00061B7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Карельском перешейке наши войска, преодолевая сопротивление противника, продолжали вести наступательные бои, в ходе которых заняли несколько населённых пунктов и среди них — Лапинлахти, Репола, Лехтола и железнодорожная станция Тали.</w:t>
      </w:r>
    </w:p>
    <w:p w14:paraId="50325344" w14:textId="77777777" w:rsidR="00061B7B" w:rsidRPr="007224C3" w:rsidRDefault="00061B7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остальных участках фронта — без перемен.</w:t>
      </w:r>
    </w:p>
    <w:p w14:paraId="35B12B53" w14:textId="77777777" w:rsidR="00061B7B" w:rsidRPr="007224C3" w:rsidRDefault="00061B7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21 июня на всех фронтах в воздушных боях и огнём зенитной артиллерии сбито 73 самолёта противника.</w:t>
      </w:r>
    </w:p>
    <w:p w14:paraId="68D7DDE6" w14:textId="77777777" w:rsidR="00061B7B" w:rsidRPr="007224C3" w:rsidRDefault="00061B7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Между Онежским и Ладожским озёрами наши войска продолжали наступление. Части Н-ского соединения решительными ударами сломили сопротивление противника и овладели районным центрам Ленинградской области Подпорожьем. На поле боя осталось много трупов финских солдат. Захвачены пленные и трофеи. Наши части, переправившиеся вчера на северный берег реки Свирь, вели успешные бои по расширению плацдарма. Решительной атакой советские воины выбили финнов из сильно укреплённых позиций и заняли три населённых пункта. Бойцы Н-ской части истребили 450 вражеских солдат и офицеров, захватили 7 орудий, 15 пулемётов и два склада боеприпасов.</w:t>
      </w:r>
    </w:p>
    <w:p w14:paraId="3C68BD16" w14:textId="77777777" w:rsidR="00061B7B" w:rsidRPr="007224C3" w:rsidRDefault="00061B7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На Карельском перешейке части Н-ского соединения, преодолевая сопротивление противника, заняли несколько населённых пунктов и уничтожили 800 финских солдат и офицеров. Захвачено 2 крупных оклада с обмундированием и снаряжением, 40 вагонов с военными грузами, 16 орудий, 30 пулемётов и много боеприпасов. На другом участке наша часть умелым обходным манёвром отрезала пути отхода остаткам разгромленных частей противника и истребила до 500 финнов. Группа разведчиков во главе со старшим сержантом Брагиным проникла в тыл врага и обнаружила 5 финских танков, находившихся в засаде. Разведчики связались с нашим танковым подразделением и вместе с танкистами внезапно напали на экипажи вражеских машин. Финские танкисты были перебиты, пять исправных танков захвачены нашими бойцами. Группа красноармейцев подразделения старшего лейтенанта Трофимова окрутила и уничтожила подразделение финских солдат, захватив при этом 3 танка и несколько крупнокалиберных пулемётов.</w:t>
      </w:r>
    </w:p>
    <w:p w14:paraId="192ACA7D" w14:textId="77777777" w:rsidR="00061B7B" w:rsidRPr="007224C3" w:rsidRDefault="00061B7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Наша авиация наносила удары по скоплениям финских войск и уничтожила 70 автомашин и 30 повозок с войсками и грузами. В результате концентрированных ударов советских бомбардировщиков и штурмовиков по узловым железнодорожным станциям разбито и сожжено более 350 вагонов и платформ. Лётчики-истребители в воздушных боях сбили 1.5 немецких и финских самолётов. Герой Советского Союза капитан Лихолетов за два дня сбил 4 самолёта противника.</w:t>
      </w:r>
    </w:p>
    <w:p w14:paraId="19A6DA8E" w14:textId="77777777" w:rsidR="00061B7B" w:rsidRPr="007224C3" w:rsidRDefault="00061B7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Авиация Краснознамённого Балтийского флота атаковала корабли противника в Выборгском заливе. Потоплены транспорт, водоизмещением в 1.000 тонн, 4 быстроходные десантные баржи и сторожевой катер. Несколько вражеских кораблей и барж повреждено. В воздушных боях сбито семь самолётов противника.</w:t>
      </w:r>
    </w:p>
    <w:p w14:paraId="311B3574" w14:textId="77777777" w:rsidR="00061B7B" w:rsidRPr="007224C3" w:rsidRDefault="00061B7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Юго-восточнее города Витебск пехота противника на рассвете предприняла разведку боем. Находившееся в боевом охранении стрелковое отделение гвардии старшего сержанта Ерёменко встретило врага огнём из пулемётов и автоматов. Гвардии рядовой Малышев бросил гранату и убил 9 гитлеровцев. Несмотря на значительное численное превосходство, противник не добился успеха и был вынужден отойти, оставив на подступах к нашей траншее 25 трупов своих солдат и офицеров. Снайперы подразделения старшего лейтенанта Борового за десять дней истребили больше 50 гитлеровцев. Снайпер Поддубный уничтожил 11 немцев, снайпер Карауш— 11, снайпер Липатов — 10.</w:t>
      </w:r>
    </w:p>
    <w:p w14:paraId="7BDE81FF" w14:textId="77777777" w:rsidR="00061B7B" w:rsidRPr="007224C3" w:rsidRDefault="00061B7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Несколько партизанских отрядов, действующих в Барановичской области, в мае пустили под откос 27 немецких воинских эшелонов и взорвали свыше 1.000 рельсов. Разбито 25 паровозов, 52 вагона с войсками и 120 вагонов и платформ с различными военными грузами. Партизаны взорвали 10 шоссейных мостов и вырезали 19 километров телеграфно-телефонной линии связи. В боях с немецкими захватчиками убито 800 и ранено более 700 гитлеровцев.</w:t>
      </w:r>
    </w:p>
    <w:p w14:paraId="222E1231" w14:textId="77777777" w:rsidR="00061B7B" w:rsidRPr="007224C3" w:rsidRDefault="00061B7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Пленные румынские офицеры сообщают, что немцы окончательно прибрали к своим рукам государственный аппарат Румынии и все звенья управления румынской армией. Оккупация гитлеровцами Румынии проводится самым наглым и беззастенчивым образом. Пленный командир 87 румынской эскадрильи бомбардировщиков капитан Флориан Сучевяну рассказал: «Немцы безраздельно хозяйничают в Румынии. Во всех штабах сверху донизу сидят немцы. Они фактически командуют румынскими частями. Румынское командование существует только для видимости. Ко мне прикомандировали в качестве советника с неограниченными правами немецкого лейтенанта. Он стал полновластным хозяином эскадрильи. Несмотря на то, что он лейтенант, а я капитан, мне приказано во всём повиноваться ему. Он во всё вмешивался и бесцеремонно отменял мои приказы. Так обстоит дело во всей румынской армии. Немцы захватили власть в свои руки и помыкают румынскими офицерами». Перешедший на сторону Красной Армии командир одной из рот 3 румынской пехотной дивизии капитан Ион Б. сообщил: «Во все подразделения дивизии прислали немецких инструкторов и контролёров. Ко мне в роту назначили немецкого фельдфебеля. Это типичный гестаповский шпик. Каждое утро он заявлялся в роту и выяснял, о чём говорят офицеры и солдаты. Всюду фельдфебель совал свой нос, следил за каждым шагом офицеров, делал им замечания. Мы очень возмущались поведением этого наглого немца. Офицеры жаловались мне, но я был бессилен что-либо сделать» (14930).</w:t>
      </w:r>
    </w:p>
    <w:p w14:paraId="5C7CB3B2" w14:textId="77777777" w:rsidR="00061B7B" w:rsidRPr="007224C3" w:rsidRDefault="00061B7B" w:rsidP="007224C3">
      <w:pPr>
        <w:spacing w:after="0" w:line="240" w:lineRule="auto"/>
        <w:jc w:val="both"/>
        <w:rPr>
          <w:rFonts w:ascii="Times New Roman" w:hAnsi="Times New Roman"/>
          <w:color w:val="000000" w:themeColor="text1"/>
          <w:sz w:val="16"/>
          <w:szCs w:val="16"/>
        </w:rPr>
      </w:pPr>
    </w:p>
    <w:p w14:paraId="3706A1F6" w14:textId="77777777" w:rsidR="00061B7B" w:rsidRPr="007224C3" w:rsidRDefault="00061B7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июня в 1944 году Совинформбюро опубликовало документ «Три года Отечественной войны Советского Союза (военные и политические итоги)»:</w:t>
      </w:r>
    </w:p>
    <w:p w14:paraId="14801C3B" w14:textId="77777777" w:rsidR="00061B7B" w:rsidRPr="007224C3" w:rsidRDefault="00061B7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«Сегодня исполнилось три года со дня злодейского нападения разбойничьих немецко-фашистских банд на Советский Союз. Три года советский народ мужественно ведёт Отечественную войну против наглых захватчиков. Народы нашей страны с первых дней войны единодушно поднялись на защиту своего Отечества. Красная Армия в тяжёлых кровопролитных боях на фронте в три тысячи километров сдерживала многомиллионную, оснащённую новейшей военной техникой, немецко-фашистскую армию, наносила ей огромный урон в людях и вооружении. Военная фашистская машина, огнём и мечом прошедшая по городам и сёлам десяти европейских стран, в боях против нашей армии дала осечку.</w:t>
      </w:r>
    </w:p>
    <w:p w14:paraId="11C7D050" w14:textId="77777777" w:rsidR="00061B7B" w:rsidRPr="007224C3" w:rsidRDefault="00061B7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Уже в первый год войны Красная Армия учинила немцам побоище под Москвой, разгромив отборные ударные вражеские войска. За последние полтора года, со времени разгрома немецко-фашистских войск под Сталинградом, враг уже не смог оправиться. Советские войска, развернув наступление по всему фронту, взломали мощные оборонительные системы немцев под Сталинградом, Орлом, Смоленском, Ленинградом, на реке Миус, на Днепре, под Перекопом, Севастополем, на Карельском перешейке, на реке Свирь, форсировали крупные водные преграды - Дон, Северный Донец, Десну, Волхов, Днепр, Южный Буг, Днестр, Прут, Серет, Нарву, Свирь и показали тем самым, что все валы и крепости, о которых так много болтали гитлеровцы, не могут устоять, если за разрушение и преодоление этих валов и крепостей всерьёз берутся испытанные и закалённые в боях войска.</w:t>
      </w:r>
    </w:p>
    <w:p w14:paraId="398F4E7A" w14:textId="77777777" w:rsidR="00061B7B" w:rsidRPr="007224C3" w:rsidRDefault="00061B7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Умелой стратегией Верховного Главнокомандования, продуманной и решительной тактикой советских генералов и офицеров, геройством и воинским мастерством своих воинов, наконец, своей могучей военной техникой Красная Армия нанесла ряд серьёзных поражений объединённым отборным армиям немцев, итальянцев, румын, венгров, финнов. Навсегда войдут в историю великие победы наших войск под Москвой, Сталинградом и на Кавказе, под Орлом и Смоленском, под Ленинградом и в Донбассе, на Днепре и в Крыму, в районах Правобережной Украины, Днестра и на Карельском перешейке.</w:t>
      </w:r>
    </w:p>
    <w:p w14:paraId="49C267C0" w14:textId="77777777" w:rsidR="00061B7B" w:rsidRPr="007224C3" w:rsidRDefault="00061B7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время наступательных боёв советские войска освободили около полутора миллионов квадратных километров оккупированной врагом территории, продвинулись на запад почти на 2.000 километров, вышли на большом протяжении фронта к нашим границам и вступили на территорию Румынии. Победы Красной Армии принесли освобождение от фашистской неволи миллионам советских людей. Наши войска лишили немцев источников промышленного сырья и продовольствия в оккупированных ими областях, а "жизненное пространство" на востоке, о котором мечтали гитлеровцы, стало могилой миллионов немецких солдат, гигантским кладбищем фашистской военной техники.</w:t>
      </w:r>
    </w:p>
    <w:p w14:paraId="42130AE4" w14:textId="77777777" w:rsidR="00061B7B" w:rsidRPr="007224C3" w:rsidRDefault="00061B7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Огромную помощь в борьбе против немецко-фашистских захватчиков оказали Красной Армии доблестные советские партизаны. В течение трёх лет войны они громили тылы и штабы врага, разрушали его коммуникации и связь, беспощадно истребляли немецко-фашистских мерзавцев. Советские партизаны спасли много тысяч советских людей от истребления и угона их в фашистское рабство.</w:t>
      </w:r>
    </w:p>
    <w:p w14:paraId="6F959402" w14:textId="77777777" w:rsidR="00061B7B" w:rsidRPr="007224C3" w:rsidRDefault="00061B7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три года войны немецко-фашистские войска в боях на советско-германском фронте потеряли более 7.800.000 солдат и офицеров убитыми и пленными, до 70.000 танков, 60.000 самолётов, более 90.000 орудий.</w:t>
      </w:r>
    </w:p>
    <w:p w14:paraId="585BFFFE" w14:textId="77777777" w:rsidR="00061B7B" w:rsidRPr="007224C3" w:rsidRDefault="00061B7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это же время потери наших войск составили 5.300 тысяч человек убитыми, пленными и пропавшими без вести, 49.000 танков, 30.128 самолётов, 48.000 орудий.</w:t>
      </w:r>
    </w:p>
    <w:p w14:paraId="5C78A96F" w14:textId="77777777" w:rsidR="00061B7B" w:rsidRPr="007224C3" w:rsidRDefault="00061B7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Успехам Красной Армии в значительной мере содействовали наши союзники, Соединённые Штаты Америки и Великобритания, которые снабжали нас весьма ценным стратегическим сырьём и вооружением, подвергали систематической бомбардировке военные объекты Германии и подрывали, таким образом, военную мощь последней.</w:t>
      </w:r>
    </w:p>
    <w:p w14:paraId="1C08F253" w14:textId="77777777" w:rsidR="00061B7B" w:rsidRPr="007224C3" w:rsidRDefault="00061B7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 Красная Армия, сорвав в первый период Отечественной войны гитлеровские планы молниеносной войны, опрокинула и похоронила в последующий период оборонительную стратегию врага, его расчёты на закрепление захваченных советских территорий. Немецко-фашистская армия оказалась битой и стоит теперь перед полным разгромом.</w:t>
      </w:r>
    </w:p>
    <w:p w14:paraId="1E451C51" w14:textId="77777777" w:rsidR="00061B7B" w:rsidRPr="007224C3" w:rsidRDefault="00061B7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Таков военный итог истекших трёх лет Отечественной войны.</w:t>
      </w:r>
    </w:p>
    <w:p w14:paraId="5C5C11D0" w14:textId="77777777" w:rsidR="00061B7B" w:rsidRPr="007224C3" w:rsidRDefault="00061B7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Развязывая войну против Советского Союза, гитлеровские империалисты предполагали, что первые же военные неудачи Красной Армии подорвут доверие народных масс нашей страны к своей власти, посею рознь между народами СССР, расшатают союз рабочих, крестьян и ин-1еллигенции, на котором основано советское государство. На деле же оказалось, что трудности военного времени лишь сплотили тружеников советского тыла, ещё крепче соединили их со своей народной советской властью. Дружба между народами Советского Союза в ходе Отечественной войны окрепла и закалилась как сталь. Союз рабочих, крестьян и интеллигенции, основанный на жизненных интересах тружеников советского общества, ещё больше упрочился.</w:t>
      </w:r>
    </w:p>
    <w:p w14:paraId="53242FDA" w14:textId="77777777" w:rsidR="00061B7B" w:rsidRPr="007224C3" w:rsidRDefault="00061B7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Немецкие изверги рассчитывали также на неспособность советской промышленности справиться с трудными задачами производства современного вооружения в массовых масштабах, на неспособность нашего транспорта справиться с военными перевозками, а сельского хозяйства - со снабжением армии и народа продовольствием и промышленным сырьём. Но эти планы немецких горе-завоевателей лопнули как мыльный пузырь. В результате трёх лет воины оказалась истощённой не экономика Советского Союза, а экономика гитлеровской Германии. Поражения, понесённые немцами на советско-германском фронте, и удары союзной авиации подорвали военно-экономическую мощь Германии. В то же время промышленность, транспорт и сельское хозяйство советской страны успешно выдержали испытания войны. Советский народ не щадит своих сил во имя защиты Родины и воодушевлён решимостью грудью отстоять созданное им советское государство от всех посягательств врага. Отечественная война вызвала небывалый патриотический подъём народов, неиссякаемую творческую энергию народных масс, направленную на поддержку Красной Армии. Ныне, на пороге четвёртого года войны, Советский Союз обладает могучим военным хозяйством, которое удовлетворяет потребности Красной Армии в вооружении, боеприпасах, продовольствии и снаряжении. Советские рабочие, колхозники, интеллигенция поставив на службу фронта народное хозяйство Советского Союза, обеспечили Красную Армию всем необходимым для победы. Былое превосходство врага в количестве танков и авиации осталось позади, а экономические возможности Советского Союза растут изо дня в день.</w:t>
      </w:r>
    </w:p>
    <w:p w14:paraId="2E4CAF7D" w14:textId="77777777" w:rsidR="00061B7B" w:rsidRPr="007224C3" w:rsidRDefault="00061B7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 советский народ опрокинул все расчёты врага на непрочность советского строя.</w:t>
      </w:r>
    </w:p>
    <w:p w14:paraId="4EF51A76" w14:textId="77777777" w:rsidR="00061B7B" w:rsidRPr="007224C3" w:rsidRDefault="00061B7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Советское государство, основанное на нерушимом братском содружестве народов, в ходе войны окрепло и упрочилось, а фашистское государство, основанное на угнетении народов, не выдержало испытаний войны и стоит перед неминуемой катастрофой.</w:t>
      </w:r>
    </w:p>
    <w:p w14:paraId="2C0508B8" w14:textId="77777777" w:rsidR="00061B7B" w:rsidRPr="007224C3" w:rsidRDefault="00061B7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Таков политический итог истекших трёх лет Отечественной войны.</w:t>
      </w:r>
    </w:p>
    <w:p w14:paraId="582C4B3E" w14:textId="77777777" w:rsidR="00061B7B" w:rsidRPr="007224C3" w:rsidRDefault="00061B7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Три года назад гитлеровцы считали себя повелителями Европы. Порабощая страны Западной Европы, Германия вовлекла в разбойничий союз Италию, Румынию, Финляндию, Венгрию, Болгарию. Насаждая и поддерживая свою агентуру в нейтральных государствах, она оказывала на них сильное давление и добилась серьёзных уступок с их стороны в свою пользу. Гитлеровская Германия угрожала жизни и безопасности всех народов мира. Свободолюбивые народы тогда лишь начинали объединяться в единый антигитлеровский лагерь. Фактически наша страна одна выдерживала натиск всех сил гитлеровской Германии и её сообщников.</w:t>
      </w:r>
    </w:p>
    <w:p w14:paraId="364F5F8B" w14:textId="77777777" w:rsidR="00061B7B" w:rsidRPr="007224C3" w:rsidRDefault="00061B7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Теперь положение в корне изменилось. Ныне не гитлеровская Германия наступает и одерживает успехи, как то было три года назад, а, наоборот, вооружённые силы союзных государств всюду бьют и теснят немецко-фашистских захватчиков. Союзные государства превосходят врага в количестве и качестве войск и вооружения.</w:t>
      </w:r>
    </w:p>
    <w:p w14:paraId="1E111F0E" w14:textId="77777777" w:rsidR="00061B7B" w:rsidRPr="007224C3" w:rsidRDefault="00061B7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Единство союзных государств ныне прочно, как никогда. Союзные государства имеют согласованные планы полного разгрома вооружённых сил гитлеровской Германии.</w:t>
      </w:r>
    </w:p>
    <w:p w14:paraId="11E12179" w14:textId="77777777" w:rsidR="00061B7B" w:rsidRPr="007224C3" w:rsidRDefault="00061B7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Блестяще осуществлённое вторжение британских и американских войск в Северную Францию, успешное наступление союзных войск в Италии означает, что отныне Германии придётся воевать на территории Европы, как против Красной Армии, так и против войск наших союзников - Англии и США. Теперь, когда общие усилия Красной Армии и армий наших союзников направлены непосредственно на освобождение порабощённых немцами стран, когда войска объединённых наций железной рукой берут за горло гитлеровскую Германию и её вассалов в Европе, гитлеровская банда уже никакими мерами не может предотвратить своё неминуемое и полное поражение.</w:t>
      </w:r>
    </w:p>
    <w:p w14:paraId="04CDDA14" w14:textId="77777777" w:rsidR="00061B7B" w:rsidRPr="007224C3" w:rsidRDefault="00061B7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Теперь всем ясно, что гитлеровцы, замышлявшие покорить весь мир, взялись за непосильную задачу. Положение гитлеровской клики напоминает судьбу той лягушки из басни Крылова, которая затеяла в дородстве с волом сравняться, начала пыхтеть и надуваться, но с натуги лопнула и околела.</w:t>
      </w:r>
    </w:p>
    <w:p w14:paraId="6833F0CD" w14:textId="77777777" w:rsidR="00061B7B" w:rsidRPr="007224C3" w:rsidRDefault="00061B7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Разбойничий фашистский блок разваливается. Фашистская Германия в результате тяжёлых военных поражений очутилась на краю гибели. Италия, бывшая союзница Германии, ныне ведёт борьбу против немецких империалистов. Преступная правящая клика Финляндии, отвергнув в угоду Гитлеру великодушные мирные предложения Советского Союза, фактически уже привела Финляндию к военной катастрофе. Другие вассалы Гитлера - Румыния, Венгрия, Болгария висят над пропастью. Сообщники фашистской Германии в Европе имели достаточно времени и все необходимые условия, чтобы порвать с Германией и избавить свои страны от разорения и опустошительной войны. Однако сообщники гитлеровцев слишком прочно срослись с разбойничьей гитлеровской шайкой и не заботятся о судьбах своих народов. Финские, румынские, венгерские, болгарские холопы Гитлера предпочитают действовать в ущерб интересам народов своих стран и в году фашистской Германии. Гитлеровские холопы довели дело до того, что их страны оккупированы немецкими войсками. Стремясь оттянуть перенесение войны на территорию Германии, гитлеровцы превратили Финляндию, Венгрию, Румынию, Болгарию в предполье обороны Германии. Однако народы этих стран, правители которых продались гитлеровцам, имеют теперь возможность при поддержке вооружённых сил союзных государств изгнать немецких оккупантов и их приспешников из своих стран. Только таким путём народы подвассальных Гитлеру стран могут завоевать себе право на свободу.</w:t>
      </w:r>
    </w:p>
    <w:p w14:paraId="2BA9E9E0" w14:textId="77777777" w:rsidR="00061B7B" w:rsidRPr="007224C3" w:rsidRDefault="00061B7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Хозяйничание гитлеровцев в Европе воочию показало, что фашисты являются душителями свободы и независимости народов. В то же время армии объединённых наций идут в Европу как избавители народов от гитлеровской тирании и вступают на земли угнетённых фашистами стран с целью восстановления свободы и независимости народов. Именно поэтому порабощённые немцами народы оказывают теперь и будут впредь оказывать всё возрастающую поддержку вооружённым силам объединённых наций.</w:t>
      </w:r>
    </w:p>
    <w:p w14:paraId="307E0474" w14:textId="77777777" w:rsidR="00061B7B" w:rsidRPr="007224C3" w:rsidRDefault="00061B7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 в ходе войны полностью провалились все внешнеполитические расчёты и планы гитлеровских захватчиков-империалистов, гитлеровский разбойничий блок обанкротился, а союз свободолюбивых народов вырос в несокрушимую силу и имеет теперь все возможности разрушить разбойничье гнездо фашистских агрессоров в Европе, покарать виновников страданий и бедствия народов, пресечь возможность повторения захватнических войн.</w:t>
      </w:r>
    </w:p>
    <w:p w14:paraId="6D7D93F4" w14:textId="77777777" w:rsidR="00061B7B" w:rsidRPr="007224C3" w:rsidRDefault="00061B7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Таков внешнеполитический итог трёх лет войны.</w:t>
      </w:r>
    </w:p>
    <w:p w14:paraId="05A1F23A" w14:textId="77777777" w:rsidR="00061B7B" w:rsidRPr="007224C3" w:rsidRDefault="00061B7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Военные и политические итоги трёх лет войны со всей очевидностью говорят о том, что гитлеровская Германия уже проиграла войну и близится час её полного разгрома.</w:t>
      </w:r>
    </w:p>
    <w:p w14:paraId="30D654D7" w14:textId="77777777" w:rsidR="00061B7B" w:rsidRPr="007224C3" w:rsidRDefault="00061B7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Армии СССР, Великобритании и США со всех сторон штурмом пробивают себе путь к важнейшим жизненным центрам фашистской Германии и не за горами время, когда будет возвещено о торжестве этих усилий. Война теперь идет к концу. Но оставшаяся часть пути к полной победе будет нелёгкой. Война вступила в самую ожесточённую, решающую и наиболее трудную фазу. Подбитый и затравленный фашистский зверь будет яростно огрызаться. Чем ближе фронт придвигается к жизненным центрам Германии, тем упорнее будет сопротивление гитлеровцев.</w:t>
      </w:r>
    </w:p>
    <w:p w14:paraId="298197AB" w14:textId="77777777" w:rsidR="00061B7B" w:rsidRPr="007224C3" w:rsidRDefault="00061B7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Потребуется ещё несколько могучих ударов, чтобы окончательно сокрушить и повергнуть врага в прах.</w:t>
      </w:r>
    </w:p>
    <w:p w14:paraId="6BA4539C" w14:textId="77777777" w:rsidR="00061B7B" w:rsidRPr="007224C3" w:rsidRDefault="00061B7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Понятно, что выполнить эти задачи можно лишь совместными решительными действиями армий всех союзных стран, своевременным введением в активные бои против гитлеровской Германии и её вассалов основных вооружённых сил, которыми располагают объединённые нации.</w:t>
      </w:r>
    </w:p>
    <w:p w14:paraId="1A28755F" w14:textId="77777777" w:rsidR="00061B7B" w:rsidRPr="007224C3" w:rsidRDefault="00061B7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Можно не сомневаться, что союзные государства, поставившие целью спасти мир от фашистских погромщиков, введут в действие все свои силы для достижения этой великой цели.» (14930).</w:t>
      </w:r>
    </w:p>
    <w:p w14:paraId="1D2B6DFE" w14:textId="77777777" w:rsidR="00061B7B" w:rsidRPr="007224C3" w:rsidRDefault="00061B7B" w:rsidP="007224C3">
      <w:pPr>
        <w:spacing w:after="0" w:line="240" w:lineRule="auto"/>
        <w:jc w:val="both"/>
        <w:rPr>
          <w:rFonts w:ascii="Times New Roman" w:hAnsi="Times New Roman"/>
          <w:color w:val="000000" w:themeColor="text1"/>
          <w:sz w:val="16"/>
          <w:szCs w:val="16"/>
        </w:rPr>
      </w:pPr>
    </w:p>
    <w:p w14:paraId="262770C2" w14:textId="77777777" w:rsidR="00061B7B" w:rsidRPr="007224C3" w:rsidRDefault="00061B7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июня в 1944 году немецкая авиация в ходе массированного авианалета уничтожила 47 американских самолётов на авиабазе в Полтаве (14930).</w:t>
      </w:r>
    </w:p>
    <w:p w14:paraId="521D80E4" w14:textId="77777777" w:rsidR="00061B7B" w:rsidRPr="007224C3" w:rsidRDefault="00061B7B" w:rsidP="007224C3">
      <w:pPr>
        <w:spacing w:after="0" w:line="240" w:lineRule="auto"/>
        <w:jc w:val="both"/>
        <w:rPr>
          <w:rFonts w:ascii="Times New Roman" w:hAnsi="Times New Roman"/>
          <w:color w:val="000000" w:themeColor="text1"/>
          <w:sz w:val="16"/>
          <w:szCs w:val="16"/>
        </w:rPr>
      </w:pPr>
    </w:p>
    <w:p w14:paraId="50E6906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июня 1944 немцы организовали массированный ночной налет на Полтаву, а на следующую ночь - на Миргород. В Полтаве были уничтожены 44 "Крепости" и еще 24 повреждены. Все машины, признанные непригодными для восстановления, впоследствии бросили па аэродромах. "Челночные" операции продолжались до 19 сентября, когда фронт уже ушел далеко на запад и использование баз на Украине стало нецелесообразным (3457,112).</w:t>
      </w:r>
    </w:p>
    <w:p w14:paraId="383FB17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88E6F7"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июня 1944 немецкая авиация в ходе массированного авианалета уничтожила 47 американских самолетов на авиабазе в Полтаве (4962).</w:t>
      </w:r>
    </w:p>
    <w:p w14:paraId="65119AC6"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F9457BE" w14:textId="77777777" w:rsidR="00B02CCE" w:rsidRPr="007224C3" w:rsidRDefault="00B02CCE"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 ночь на 22 июня 1944 года 180 «хейнкелей» из 4-й, 27-й, 53-й и 55-й эскадр обрушились на Полтавский аэроузел, на котором приземлились после очередной «челночной» операции 199 американских самолетов. Было сброшено более 100 тонн бомб, без собственных потерь уничтожив 41 бомбардировщик В-17, 1 истребитель Р-38, 2 транспортных С-47 и 15 советских самолетов. Аэродром Миргород, также использовавшийся американцами, противник не нашел, но и взлетевшие на перехват наши Як-9 и «киттихауки» 310-й авиадивизии ПВО вообще не обнаружили вражескую армаду. Удар по Полтавскому аэроузлу был последним большим успехом Не.111, который привел к свертыванию крупных «челночных» операций американской бомбардировочной авиации с советских аэродромов. Но обстановка на фронтах уже не позволяла вести стратегические операции устаревшим Не.111. Они все чаще использовались против ближних целей, так было при штурме советскими войсками Бреслау и Будапешта. К началу 1945 года Люфтваффе полностью потеряли способность наносить бомбовые удары по стратегическим объектам Союзников (22822).</w:t>
      </w:r>
    </w:p>
    <w:p w14:paraId="08F70099" w14:textId="77777777" w:rsidR="00B02CCE" w:rsidRPr="007224C3" w:rsidRDefault="00B02CCE" w:rsidP="007224C3">
      <w:pPr>
        <w:spacing w:after="0" w:line="240" w:lineRule="auto"/>
        <w:jc w:val="both"/>
        <w:rPr>
          <w:rFonts w:ascii="Times New Roman" w:hAnsi="Times New Roman"/>
          <w:color w:val="0070C0"/>
          <w:sz w:val="16"/>
          <w:szCs w:val="16"/>
        </w:rPr>
      </w:pPr>
    </w:p>
    <w:p w14:paraId="6F6B804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(21 - 438,909) июня 1944, а на самом деле в ночь с 21 на 22 июня немцы разбомбили 137 американских бомбардировщиков и 62 истребителя в Полтаве, которые прилетели туда 21 июня. Вывели из строя 44 американских (Крепостей + 2 С-47, 1 Лайтнинг и 25 крепостей повредили - 1610,42) и 15 советских самолетов. После этого стали прилетать лишь небольшие группы (340,188). Было до 180 Не-111 и сбросили 100 т бомб. Наши истребители опять не работали, так как не было прожекторов, да и штаб ПВО разбомбили одним из первых. Зато 22 Миргород немцы не нашли и бомбили только 23, когда самолеты оттуда были эвакуированы (1610,40).</w:t>
      </w:r>
    </w:p>
    <w:p w14:paraId="0A26438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C другой стороны, в ночь с 21 на 22 июня 1944 при отражении налета немцев на американскую авиабазу в Миргороде, когда были поднятые по тревоге истребители Р-40 "Киттихок" 310 дивизии ПВО, темной безлунной ночью не смогли обнаружить ни одного из самолетов немецкого соединения. С 1943 года основной поток "Киттихоков" пошел в систему ПВО. Для этою имелись свои основания. У нас хотели в первую очередь использовать плюсы этого самолета - мощное вооружение (хотя но секундному залпу Р-40Е несколько уступал немецкому FW 190A-3 п английскому "Спитфайру" VС, но тем не менее превосходил и Мессершмитт Bf 109F, и американский P-39D), большую дальность и продолжительность полета, живучесть, хорошее (но советским меркам того времени) радио- и приборное оборудование. Поэтому основными сферами его применения стали прикрытие городов и важных объектов в системе ПВО, сопровождение бомбардировщиков и торпедоносцев, самостоятельные бомбовые п штурмовые удары, авиаразведка. Наши летчики относились к "Киттихауку" двояко. С одной стороны, его безусловно ставили выше "Харрикейна", с другой - на практике ощущали недостаточность его возможностей в воздушном бою. Не очень пригодный для боя с вражескими истребителями, "Киттихаук" за счет скорости и мощного вооружения мог эффективно бороться с бомбардировщиками противника. Выше 4500 м P-40Е. обгонял Як-1. хотя мотор V-1710 на Западе считался низко-высотным. Большая продолжительность полета на крейсерском режиме позволяла барражировать над охраняемым объектом или районом. "Киттихаук" имел дна основных недостатка как перехватчик - небольшой потолок и плохую скороподъемность. Тем ни менее, он использовался и днем, и ночью. Отсутствие каких-либо устройств обнаружения целей в темноте не позволяло нести самостоятельный поиск при отсутствии видимости, a навигационное оснащение затрудняло выполнение команд с наземною поста наведения из-за трудностей с ориентацией (3457,66).</w:t>
      </w:r>
    </w:p>
    <w:p w14:paraId="78F82F1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33319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июня 1944 в сводке Совинформбюро сообщили, что немцы потеряли 60 тыс. самолетов (271,220).</w:t>
      </w:r>
    </w:p>
    <w:p w14:paraId="1B0141B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440D76" w14:textId="77777777" w:rsidR="00061B7B" w:rsidRPr="007224C3" w:rsidRDefault="00061B7B" w:rsidP="007224C3">
      <w:pPr>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rPr>
        <w:t xml:space="preserve">22 июня в 1944 году на центральном участке Восточного фронта Красная Армия начинает операцию </w:t>
      </w:r>
      <w:r w:rsidRPr="007224C3">
        <w:rPr>
          <w:rFonts w:ascii="Times New Roman" w:hAnsi="Times New Roman"/>
          <w:color w:val="000000" w:themeColor="text1"/>
          <w:sz w:val="16"/>
          <w:szCs w:val="16"/>
          <w:lang w:val="en-US"/>
        </w:rPr>
        <w:t>"</w:t>
      </w:r>
      <w:r w:rsidRPr="007224C3">
        <w:rPr>
          <w:rFonts w:ascii="Times New Roman" w:hAnsi="Times New Roman"/>
          <w:color w:val="000000" w:themeColor="text1"/>
          <w:sz w:val="16"/>
          <w:szCs w:val="16"/>
        </w:rPr>
        <w:t>Багратион</w:t>
      </w:r>
      <w:r w:rsidRPr="007224C3">
        <w:rPr>
          <w:rFonts w:ascii="Times New Roman" w:hAnsi="Times New Roman"/>
          <w:color w:val="000000" w:themeColor="text1"/>
          <w:sz w:val="16"/>
          <w:szCs w:val="16"/>
          <w:lang w:val="en-US"/>
        </w:rPr>
        <w:t>" (</w:t>
      </w:r>
      <w:r w:rsidRPr="007224C3">
        <w:rPr>
          <w:rFonts w:ascii="Times New Roman" w:hAnsi="Times New Roman"/>
          <w:color w:val="000000" w:themeColor="text1"/>
          <w:sz w:val="16"/>
          <w:szCs w:val="16"/>
        </w:rPr>
        <w:t>до</w:t>
      </w:r>
      <w:r w:rsidRPr="007224C3">
        <w:rPr>
          <w:rFonts w:ascii="Times New Roman" w:hAnsi="Times New Roman"/>
          <w:color w:val="000000" w:themeColor="text1"/>
          <w:sz w:val="16"/>
          <w:szCs w:val="16"/>
          <w:lang w:val="en-US"/>
        </w:rPr>
        <w:t xml:space="preserve"> 23 </w:t>
      </w:r>
      <w:r w:rsidRPr="007224C3">
        <w:rPr>
          <w:rFonts w:ascii="Times New Roman" w:hAnsi="Times New Roman"/>
          <w:color w:val="000000" w:themeColor="text1"/>
          <w:sz w:val="16"/>
          <w:szCs w:val="16"/>
        </w:rPr>
        <w:t>августа</w:t>
      </w:r>
      <w:r w:rsidRPr="007224C3">
        <w:rPr>
          <w:rFonts w:ascii="Times New Roman" w:hAnsi="Times New Roman"/>
          <w:color w:val="000000" w:themeColor="text1"/>
          <w:sz w:val="16"/>
          <w:szCs w:val="16"/>
          <w:lang w:val="en-US"/>
        </w:rPr>
        <w:t>) (14930).</w:t>
      </w:r>
    </w:p>
    <w:p w14:paraId="3FC52FE0" w14:textId="77777777" w:rsidR="00061B7B" w:rsidRPr="007224C3" w:rsidRDefault="00061B7B" w:rsidP="007224C3">
      <w:pPr>
        <w:spacing w:after="0" w:line="240" w:lineRule="auto"/>
        <w:jc w:val="both"/>
        <w:rPr>
          <w:rFonts w:ascii="Times New Roman" w:hAnsi="Times New Roman"/>
          <w:color w:val="000000" w:themeColor="text1"/>
          <w:sz w:val="16"/>
          <w:szCs w:val="16"/>
          <w:lang w:val="en-US"/>
        </w:rPr>
      </w:pPr>
    </w:p>
    <w:p w14:paraId="0ACA6D3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June 22 1944 'Operation Bagration,' the Soviet summer offensive begins (1050).</w:t>
      </w:r>
    </w:p>
    <w:p w14:paraId="12CC530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3995BE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June 22nd, 1944: On the central front in the East, the Soviet 1st Baltic and 3rd Belorussian Fronts (Vassilevsky) and the 1st and 2nd Belorussian Fronts (Zhukov) begin Operation Bagraton, a massive offensive against Heeresgruppe Mitte (Busch) on a 300-mile front between Polotsk and Bobruysk. The German forces of 63 divisions, 900 tanks and 10,000 guns are facing vastly superior Soviet forces of 124 divisions, 5,200 tanks, 30.000 guns and 6,000 aircraft. The Luftwaffe launches a surprise night raid (60 aircraft) on the US 8th Air Force's shuttle base at Poltava in the Ukraine, destroying 44 B-17s and 500,000 gals. of fuel. In the West, US bombers carry out a saturation on besieged Cherbourg. President Roosevelt signs the GI Bill of Rights which promises generous benefits for returning US servicemen (3819).</w:t>
      </w:r>
    </w:p>
    <w:p w14:paraId="6D668CA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22E81D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июня 1944 началось летнее советское наступление - операция Багратион (1050) - Белорусская наступательная операция, которая шла по 29 августа 1944. Проводили ПрибФ, БФ (1БФ включал 1А Войска Польского) при участи Днепровской военной флотилии. Действовали против группы армий Центр (17 д и 3 бригады были уничтожены, а 50 д - потеряли более половины состава) (3398,220).</w:t>
      </w:r>
    </w:p>
    <w:p w14:paraId="1D37DE2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52A88F"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Внешняя политика:</w:t>
      </w:r>
    </w:p>
    <w:p w14:paraId="15192B6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1A1C8E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июня 1944 г. в письме Черчилю Ф.Д.Р. посетовал на то, что мнением США поинтересовались уже после того, как недостойное предложение было сделано Москве. Кремль же, решив, что Рузвельт не хочет отдавать Грецию Великобритании, заявил Лондону, что поскольку у США имеются сомнения, Москва хочет обсудить эту проблему с Вашингтоном. Взбешенный Черчиль воскликнул: "Получается, что все договоренности с русскими надо пропускать через педантичное вмешательство Соединенных Штатов?" (3871).</w:t>
      </w:r>
    </w:p>
    <w:p w14:paraId="36A5649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11D04E" w14:textId="77777777" w:rsidR="00061B7B" w:rsidRPr="007224C3" w:rsidRDefault="00061B7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июня в 1944 году Финляндия обратилась через министерство иностранных дел Швеции к Советскому правительству с просьбой начать переговоры о мире (14930).</w:t>
      </w:r>
    </w:p>
    <w:p w14:paraId="0070E32F" w14:textId="77777777" w:rsidR="00061B7B" w:rsidRPr="007224C3" w:rsidRDefault="00061B7B" w:rsidP="007224C3">
      <w:pPr>
        <w:spacing w:after="0" w:line="240" w:lineRule="auto"/>
        <w:jc w:val="both"/>
        <w:rPr>
          <w:rFonts w:ascii="Times New Roman" w:hAnsi="Times New Roman"/>
          <w:color w:val="000000" w:themeColor="text1"/>
          <w:sz w:val="16"/>
          <w:szCs w:val="16"/>
        </w:rPr>
      </w:pPr>
    </w:p>
    <w:p w14:paraId="05C820F3"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69A4CE7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2913074" w14:textId="77777777" w:rsidR="00061B7B" w:rsidRPr="007224C3" w:rsidRDefault="00061B7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22 июня в 1944 году совершил первый полет </w:t>
      </w:r>
      <w:hyperlink r:id="rId177" w:tgtFrame="_blank" w:history="1">
        <w:r w:rsidRPr="007224C3">
          <w:rPr>
            <w:rFonts w:ascii="Times New Roman" w:hAnsi="Times New Roman"/>
            <w:color w:val="000000" w:themeColor="text1"/>
            <w:sz w:val="16"/>
            <w:szCs w:val="16"/>
          </w:rPr>
          <w:t xml:space="preserve">«Ме-328B» </w:t>
        </w:r>
      </w:hyperlink>
      <w:r w:rsidRPr="007224C3">
        <w:rPr>
          <w:rFonts w:ascii="Times New Roman" w:hAnsi="Times New Roman"/>
          <w:color w:val="000000" w:themeColor="text1"/>
          <w:sz w:val="16"/>
          <w:szCs w:val="16"/>
        </w:rPr>
        <w:t>- недорогой скоростной истребитель и штурмовик с двумя пульсирующими воздушно-реактивными двигателями «Аргус» «As-014» (14930).</w:t>
      </w:r>
    </w:p>
    <w:p w14:paraId="46FCCF45" w14:textId="77777777" w:rsidR="00061B7B" w:rsidRPr="007224C3" w:rsidRDefault="00061B7B" w:rsidP="007224C3">
      <w:pPr>
        <w:spacing w:after="0" w:line="240" w:lineRule="auto"/>
        <w:jc w:val="both"/>
        <w:rPr>
          <w:rFonts w:ascii="Times New Roman" w:hAnsi="Times New Roman"/>
          <w:color w:val="000000" w:themeColor="text1"/>
          <w:sz w:val="16"/>
          <w:szCs w:val="16"/>
        </w:rPr>
      </w:pPr>
    </w:p>
    <w:p w14:paraId="589F8BFA" w14:textId="77777777" w:rsidR="00B02CCE" w:rsidRPr="007224C3" w:rsidRDefault="00B02CCE"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22 июня 1944 ас Люфтваффе Гауптман Йозеф «Зепп» Wurmheller и его ведомый погибли, когда их Focke-Wulf Fw 190 сталкиваются во время боя с P-47 Громовержцами и Спитфайрами над Нормандии около Alençon, Франция. Ему приписывают 102 воздушные победы (20373).</w:t>
      </w:r>
    </w:p>
    <w:p w14:paraId="7BC9DF8A" w14:textId="77777777" w:rsidR="00B02CCE" w:rsidRPr="007224C3" w:rsidRDefault="00B02CCE" w:rsidP="007224C3">
      <w:pPr>
        <w:spacing w:after="0" w:line="240" w:lineRule="auto"/>
        <w:jc w:val="both"/>
        <w:rPr>
          <w:rFonts w:ascii="Times New Roman" w:hAnsi="Times New Roman"/>
          <w:color w:val="0070C0"/>
          <w:sz w:val="16"/>
          <w:szCs w:val="16"/>
        </w:rPr>
      </w:pPr>
    </w:p>
    <w:p w14:paraId="6BA87117"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июня 1944 в Хелме создан прокоммунистический Польский Комитет Национального Освобождения (4962).</w:t>
      </w:r>
    </w:p>
    <w:p w14:paraId="38077631"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14E12F1"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июня 1944 в Хельсинки министр иностранных дел Германии И. Риббентроп пообещал Финляндии военную помощь для продолжения борьбы против СССР (4962).</w:t>
      </w:r>
    </w:p>
    <w:p w14:paraId="7B39528E"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1211BD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июня 1944 началось плавание канадской шхуны Сент-Рокс, впервые преодолевшей за одну навигацию Северо-Западный проход (3263,347).</w:t>
      </w:r>
    </w:p>
    <w:p w14:paraId="4E3572C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DB16C7" w14:textId="77777777" w:rsidR="00B02CCE" w:rsidRPr="007224C3" w:rsidRDefault="00B02CCE"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22 июня 1944 эскортные авианосцы USS Manila Bay (CVE-61) и USS Natoma Bay (CVE-62) запускают С-47 для использования на Isely поле на Сайпане. Первые самолеты союзников, базирующиеся на берегу Марианских островов, P-47 находятся в бою несколько часов спустя, нанося ракетные удары по целям на Тиниане. Базирующиеся в Лос-Негросе ВВС США B-24 Освободители 13-го военно-воздушных сил снова наносят удар по Волеи. Японский Mitsubishi G4M (союзное имя «Бетти») повреждает американский линкор USS Maryland (BB-46) у побережья Сайпана торпедой (29373).</w:t>
      </w:r>
    </w:p>
    <w:p w14:paraId="5B05C328" w14:textId="77777777" w:rsidR="00B02CCE" w:rsidRPr="007224C3" w:rsidRDefault="00B02CCE" w:rsidP="007224C3">
      <w:pPr>
        <w:spacing w:after="0" w:line="240" w:lineRule="auto"/>
        <w:jc w:val="both"/>
        <w:rPr>
          <w:rFonts w:ascii="Times New Roman" w:hAnsi="Times New Roman"/>
          <w:color w:val="0070C0"/>
          <w:sz w:val="16"/>
          <w:szCs w:val="16"/>
        </w:rPr>
      </w:pPr>
    </w:p>
    <w:p w14:paraId="7381F3B1"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5B6EC99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439265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июня 1944 Зам. Нач. Главстройстекло Германов писал письмо № 862с Нач. ПГУ НКАП</w:t>
      </w:r>
    </w:p>
    <w:p w14:paraId="5F8081B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Копия: Зам. Нач. 12 ГУ НКАП</w:t>
      </w:r>
    </w:p>
    <w:p w14:paraId="5FFD267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Ваш № Д-2/1581 от 17/1У-44 года</w:t>
      </w:r>
    </w:p>
    <w:p w14:paraId="0DB98D0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Просим срочно выслать чертежи на стекла фонаря для самолета Ил-10. Просьба учесть, что без этих чертежей Главстройстекло не может дать указания об изготовлении опытных образцов (55,10532).</w:t>
      </w:r>
    </w:p>
    <w:p w14:paraId="226431A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D224B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июня 1944 Зам. Нач. 7ГУ Алексеев подготовил сводку г-7 № 8317 о ходе испытаний высотных самолетов на 21 и 22 июня 1944 по Як-9 М-105ПД, Ла-5 АШ-82ФН и 2ТК-3, МиГ АМ-39А и 2ТК-2Б (1825,88).</w:t>
      </w:r>
    </w:p>
    <w:p w14:paraId="30D7782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ВЫСОТНЫЙ ИСТРЕБИТЕЛЬ ЯК-9 С ВК-105ПФ И ДВУХСТУПЕНЧАТЫМ НАГНЕТАТЕЛЕМ</w:t>
      </w:r>
    </w:p>
    <w:p w14:paraId="5528DA1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будет установлен в трубе 29 июня с.г.. после окончания продувки самолета Як-9 с ВК-107А.</w:t>
      </w:r>
    </w:p>
    <w:p w14:paraId="1B42819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ВЫСОТНЫЙ ИСТРЕБИТЕЛЬ МИГ С АМ-39Б И 2ТК-2Б.</w:t>
      </w:r>
    </w:p>
    <w:p w14:paraId="617329C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Полетов не производилось из-за отсутствия погоды для высотных полетов.</w:t>
      </w:r>
    </w:p>
    <w:p w14:paraId="1A172EB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 в летном состоянии.</w:t>
      </w:r>
    </w:p>
    <w:p w14:paraId="0667A70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ВЫСОТНЫЙ ИСТРЕБИТЕЛЬ ЛА-5 С АШ-82ФН и 2ТК-3.</w:t>
      </w:r>
    </w:p>
    <w:p w14:paraId="51807AA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Производилась работа по установке дополнительного маслобака в месте распо</w:t>
      </w:r>
      <w:r w:rsidRPr="007224C3">
        <w:rPr>
          <w:rFonts w:ascii="Times New Roman" w:hAnsi="Times New Roman"/>
          <w:color w:val="000000" w:themeColor="text1"/>
          <w:sz w:val="16"/>
          <w:szCs w:val="16"/>
        </w:rPr>
        <w:softHyphen/>
        <w:t>ложения пушки, в целях увеличения запаса масла на самолете.</w:t>
      </w:r>
    </w:p>
    <w:p w14:paraId="48ED7BA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Скончание работы намечается на 24 июня с.г. Мотор специальной сборкаи по сообщению 8 Гл.Управления, будет готов к отправке 28 июня с.г.</w:t>
      </w:r>
    </w:p>
    <w:p w14:paraId="59AEB27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 сих пор на испытаниях самолета отсут</w:t>
      </w:r>
      <w:r w:rsidRPr="007224C3">
        <w:rPr>
          <w:rFonts w:ascii="Times New Roman" w:hAnsi="Times New Roman"/>
          <w:color w:val="000000" w:themeColor="text1"/>
          <w:sz w:val="16"/>
          <w:szCs w:val="16"/>
        </w:rPr>
        <w:softHyphen/>
        <w:t>ствует представитель СКВ тов. ШВЕЦОВА, из-за чего задерживается решение отдельных Воп</w:t>
      </w:r>
      <w:r w:rsidRPr="007224C3">
        <w:rPr>
          <w:rFonts w:ascii="Times New Roman" w:hAnsi="Times New Roman"/>
          <w:color w:val="000000" w:themeColor="text1"/>
          <w:sz w:val="16"/>
          <w:szCs w:val="16"/>
        </w:rPr>
        <w:softHyphen/>
        <w:t>росов по устранению дефектов мотора, выяв</w:t>
      </w:r>
      <w:r w:rsidRPr="007224C3">
        <w:rPr>
          <w:rFonts w:ascii="Times New Roman" w:hAnsi="Times New Roman"/>
          <w:color w:val="000000" w:themeColor="text1"/>
          <w:sz w:val="16"/>
          <w:szCs w:val="16"/>
        </w:rPr>
        <w:softHyphen/>
        <w:t>ляемых в полетах.</w:t>
      </w:r>
    </w:p>
    <w:p w14:paraId="1E00E9B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Заместителю Наркома тов. КУЗНЕЦОВУ В.П. сообщено о необходимости срочного командиро</w:t>
      </w:r>
      <w:r w:rsidRPr="007224C3">
        <w:rPr>
          <w:rFonts w:ascii="Times New Roman" w:hAnsi="Times New Roman"/>
          <w:color w:val="000000" w:themeColor="text1"/>
          <w:sz w:val="16"/>
          <w:szCs w:val="16"/>
        </w:rPr>
        <w:softHyphen/>
        <w:t>вания специалиста из ОКБ тов. ШВЕЦОВА на все время испытаний (1825).</w:t>
      </w:r>
    </w:p>
    <w:p w14:paraId="2413596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5591C7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июня 1944 состоялось заседание комиссии по делам международных воздушных линий СССР с повесткой дня:</w:t>
      </w:r>
    </w:p>
    <w:p w14:paraId="16A67BA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Об очередных директивных указаниях Советской делегации в Вашингтоне</w:t>
      </w:r>
    </w:p>
    <w:p w14:paraId="0BE21E1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О подготовке проекта ответа о двустороннем соглашении с Америкой о послевоенных воздушных линиях между СССР и США (Громыко, Астахов, Павлов).</w:t>
      </w:r>
    </w:p>
    <w:p w14:paraId="7CA843B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О проекте статьи в ответ на заявление Пред. Управления ГА США Пог</w:t>
      </w:r>
    </w:p>
    <w:p w14:paraId="5E39F57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О международных воздушных линиях СССР</w:t>
      </w:r>
    </w:p>
    <w:p w14:paraId="708B463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о проекте развития международных воздушных линий СССР</w:t>
      </w:r>
    </w:p>
    <w:p w14:paraId="2A11F10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о плане МТС международных воздушных линий, обслуживаемых со вескими самолетами (1822,46).</w:t>
      </w:r>
    </w:p>
    <w:p w14:paraId="0D59020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Это проблема открытого неба</w:t>
      </w:r>
    </w:p>
    <w:p w14:paraId="2AB0520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9480EA4"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6C668E9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578BE4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июня 1944 года вышло заключение комиссии по полигонным испытаниям 82-мм легкого пехотного орудия СКБ-34. Кучность системы при стрельбы с дистанции 500 м хуже кучности 76-мм полковой пушки обр. 1943 г. (то есть хуже некуда). Прочность пружин подрессоривания и сварных швов при возке неудовлетворительны. Железная гильза с бойком для самонакалывания посте стрельбы плохо экстрактируется (то есть ее хрен вынешь). Щитовое прикрытие не полностью прикрывает расчет. Тем не менее комиссия рекомендовала изготовить опытную серию орудий для войсковых испытаний. В итоге орудия оказалось слишком универсальным, чтобы удовлетворительно выполнять хоть одну из своих функций. Разумеется, оно на вооружение принято не было. С инженерной точки зрения это была очень интересная система, и по хорошему ее стоило бы поставить в Политехнический музей (3861).</w:t>
      </w:r>
    </w:p>
    <w:p w14:paraId="74285CA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77F2C6" w14:textId="77777777" w:rsidR="008D055A" w:rsidRPr="007224C3" w:rsidRDefault="008D055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shd w:val="clear" w:color="auto" w:fill="FFFFFF"/>
        </w:rPr>
        <w:t xml:space="preserve">23 июня 1944 года было подготовлено заключению комиссии по полигонным испытаниям </w:t>
      </w:r>
      <w:r w:rsidRPr="007224C3">
        <w:rPr>
          <w:rStyle w:val="a7"/>
          <w:rFonts w:ascii="Times New Roman" w:hAnsi="Times New Roman"/>
          <w:b w:val="0"/>
          <w:color w:val="000000" w:themeColor="text1"/>
          <w:sz w:val="16"/>
          <w:szCs w:val="16"/>
          <w:shd w:val="clear" w:color="auto" w:fill="FFFFFF"/>
        </w:rPr>
        <w:t>82-мм легкого пехотного орудия</w:t>
      </w:r>
      <w:r w:rsidRPr="007224C3">
        <w:rPr>
          <w:rFonts w:ascii="Times New Roman" w:hAnsi="Times New Roman"/>
          <w:color w:val="000000" w:themeColor="text1"/>
          <w:sz w:val="16"/>
          <w:szCs w:val="16"/>
          <w:shd w:val="clear" w:color="auto" w:fill="FFFFFF"/>
        </w:rPr>
        <w:t xml:space="preserve"> СКБ-34, спроектированого в СКБ-НКВ (Коломна): кучность системы при стрельбе с дистанции 500 м хуже кучности 76-мм полковой пушки обр. 1943 г.  Прочность пружин подрессоривания и сварных швов при возке неудовлетворительны. Железная гильза с бойком для самонакалывания после стрельбы плохо экстрактируется. Щитовое прикрытие не полностью прикрывает расчет. Тем не менее комиссия рекомендовала изготовить опытную серию орудий для войсковых испытаний. Дальнейшая сульба орудия неизвестна (19615).</w:t>
      </w:r>
    </w:p>
    <w:p w14:paraId="53A96A13" w14:textId="77777777" w:rsidR="008D055A" w:rsidRPr="007224C3" w:rsidRDefault="008D055A" w:rsidP="007224C3">
      <w:pPr>
        <w:spacing w:after="0" w:line="240" w:lineRule="auto"/>
        <w:jc w:val="both"/>
        <w:rPr>
          <w:rFonts w:ascii="Times New Roman" w:hAnsi="Times New Roman"/>
          <w:color w:val="000000" w:themeColor="text1"/>
          <w:sz w:val="16"/>
          <w:szCs w:val="16"/>
        </w:rPr>
      </w:pPr>
    </w:p>
    <w:p w14:paraId="25573412"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 июня 1944 г. начальник Артуправления утвердил технический проект устновки МУ-1.</w:t>
      </w:r>
    </w:p>
    <w:p w14:paraId="1D754FDD"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Тактико-техническое задание на установку МУ-1 с баллистикой 180-мм пушки Б-1-П было выдано в 1939 г., в том же году ОТБ ее и спроектировало.</w:t>
      </w:r>
    </w:p>
    <w:p w14:paraId="3885830A"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1940 г. работы над МУ-1 были приостановлены из-за форсирования работ по МУ-2 и возобновлены в 1943 г. В 1943 г. ОКБ-172 разработало технический проект.</w:t>
      </w:r>
    </w:p>
    <w:p w14:paraId="7500E17C"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Согласно постановлению ГКО № 7849 от 16 марта 1945 г. изготовление серии МУ-1 было произведено без предварительной постройки и испытания головного образца. Завод «Баррикады» изготовил серию в 12 качающихся частей МУ-1 в 1947 г.</w:t>
      </w:r>
    </w:p>
    <w:p w14:paraId="3DD73D7F"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Двенадцать установок МУ-1 изготовил Ленинградский металлический завод. Причем клепаный ствол был заменен на сварной. В IV квартале 1947 г. ЛМЗ было закончено 8 установок и в 1 квартале 1948 г. — 4 установки.</w:t>
      </w:r>
    </w:p>
    <w:p w14:paraId="055EF6E6"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Головной образец МУ-1 (ствол № 3, станок № 2) был испытан на полигоне в два этапа с 26 октября по 3 декабря 1947 г. и с 19 февраля по 20 марта 1948 г. Всего сделано 352 выстрела. Результаты признаны удовлетворительными, и МУ-1 рекомендована к принятию на вооружение.</w:t>
      </w:r>
    </w:p>
    <w:p w14:paraId="27328D27"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Первые четыре установки МУ-1 (№ 5, 6,7 и 8) в соответствии с постановлением Совмина от 30 декабря 1949 г. № 5924–2227сс, в 1952 г. были смонтированы на батарее № 127 в Порт-Артуре. Строилась батарея с 1950 г. по 1953 г. Государственные испытания батареи были проведены с ноября 1953 г. по январь 1954 г. Приказом Главкома ВМС от 9 апреля 1954 г. № 00137 180-мм четырехорудийная батарея МУ-1 с ПУС «Москва-2с-ЦМ» была принята в состав береговой обороны Порт-Артура.</w:t>
      </w:r>
    </w:p>
    <w:p w14:paraId="595DE277"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1953 г. на Камчатке у мыса Безымянный было начато строительство батареи № 41 в составе четырех установок МУ-1. Батарея № 41 была введена в строй в 1957 г. Директивой Главного штаба ВМФ от 12 марта 1974 г. батарея была расформирована.</w:t>
      </w:r>
    </w:p>
    <w:p w14:paraId="01C5CC25"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палубном варианте МУ-1 предполагалось устанавливать на кораблях, а в береговом варианте — в одноорудийных башнях. Кроме того, качающаяся часть МУ-1 могла быть установлена на железнодорожном транспортере ТМ1–180, на береговой щитовой установке МО-1–180 и на береговой башенной установке МБ-2–180.</w:t>
      </w:r>
    </w:p>
    <w:p w14:paraId="1C3563E9"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конце 1946 г. ОКБ-172 разработало чертежи левой и правой качающихся частей МУ-1-Б и МБ-2–180.</w:t>
      </w:r>
    </w:p>
    <w:p w14:paraId="4746AB87"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Ствол установки МУ-1 лейнирован. Затвор поршневой двухтактного действия, при открывании затвор откидывался вверх. Открывание затвора производилось от электрического привода, автоматическое включение которого осуществлялось с помощью электроконтакта в конце наката орудия. Электродвигатель привода установлен на фундаменте, закрепленном на левой стороне люльки. Досылка производилась пружинным досылателем броскового типа.</w:t>
      </w:r>
    </w:p>
    <w:p w14:paraId="7D2F2844"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Серийная установка МУ-1 предназначалась для стационарных береговых батарей. Кроме того, она могла быть использована для создания временных батарей. В таком случае вместо центральной подачи боеприпасов из перегрузочного отделения предусмотрено приспособление для наружной подноски и загрузки снарядов через окна в броне.</w:t>
      </w:r>
    </w:p>
    <w:p w14:paraId="1528AAD2"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Перегрузочное отделение находилось в бетонном блоке. Толщина бетонного перекрытия погреба — 1600 мм. Вместимость погреба — 200 выстрелов. Подача боеприпасов только ручная.</w:t>
      </w:r>
    </w:p>
    <w:p w14:paraId="542E0657"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Через полость боевого штыря проходили из перегрузочного отделения шахта снарядной подачи, зарядная труба, электрокабели и шланги для подачи сжатого воздуха.</w:t>
      </w:r>
    </w:p>
    <w:p w14:paraId="04B61F76"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Неподвижное основание — опора вращающейся части — служило для крепления ее к закладным частям бетонного блока. Оно представляло собой литое кольцо с фланцем и ребрами жесткости.</w:t>
      </w:r>
    </w:p>
    <w:p w14:paraId="59E19BE7"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Прицельные устройства — Б-13–1 и ЛБ-13–1. Система ПУС «Москва».</w:t>
      </w:r>
    </w:p>
    <w:p w14:paraId="3F26C2F0"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Данные ствола МУ-1 </w:t>
      </w:r>
    </w:p>
    <w:p w14:paraId="4D1138BE"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Калибр, мм — 180</w:t>
      </w:r>
    </w:p>
    <w:p w14:paraId="28BABCC6"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Длина ствола, клб — 57</w:t>
      </w:r>
    </w:p>
    <w:p w14:paraId="1EE8B30D"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Объем каморы, дм — 52,27</w:t>
      </w:r>
    </w:p>
    <w:p w14:paraId="6029B943"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Крутизна нарезов (постоянная), клб — 25</w:t>
      </w:r>
    </w:p>
    <w:p w14:paraId="3BB51A61"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Число нарезов — 40</w:t>
      </w:r>
    </w:p>
    <w:p w14:paraId="2DC1C951"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Глубина нарезов, мм — 3,6</w:t>
      </w:r>
    </w:p>
    <w:p w14:paraId="7E54E63D"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Ширина нарезов, мм — 8,9</w:t>
      </w:r>
    </w:p>
    <w:p w14:paraId="1A11ACBF"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Ширина полей, мм — 5,24</w:t>
      </w:r>
    </w:p>
    <w:p w14:paraId="331CD528"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Таблица 35. Данные башенной одноорудийной артустановки МУ-1 </w:t>
      </w:r>
    </w:p>
    <w:p w14:paraId="742A3B17"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Боеприпасы и баллистика установки МУ-1 одинаковы с боеприпасами и баллистикой 180-мм пушки Б-1-П.</w:t>
      </w:r>
    </w:p>
    <w:p w14:paraId="1329E036"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Максимальное давление в канале ствола — 3157 кг/см2.</w:t>
      </w:r>
    </w:p>
    <w:p w14:paraId="488B3F06"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152-мм установка МУ-2 (12705).</w:t>
      </w:r>
    </w:p>
    <w:p w14:paraId="20FDA6FE" w14:textId="77777777" w:rsidR="000340E9" w:rsidRPr="007224C3" w:rsidRDefault="000340E9" w:rsidP="007224C3">
      <w:pPr>
        <w:spacing w:after="0" w:line="240" w:lineRule="auto"/>
        <w:jc w:val="both"/>
        <w:rPr>
          <w:rFonts w:ascii="Times New Roman" w:hAnsi="Times New Roman"/>
          <w:color w:val="000000" w:themeColor="text1"/>
          <w:sz w:val="16"/>
          <w:szCs w:val="16"/>
        </w:rPr>
      </w:pPr>
    </w:p>
    <w:p w14:paraId="3DFC21A2"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июня 1944 вышло Распоряжение ГКО № 6082 [Об отнесении расходов на довольствие для генералов и офицеров, работающих в системе НКгосконтроля, за счет этого ведомства.] (7242, 129).</w:t>
      </w:r>
    </w:p>
    <w:p w14:paraId="0CA32902"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A68ED71"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5669FF5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B7566AD" w14:textId="77777777" w:rsidR="00061B7B" w:rsidRPr="007224C3" w:rsidRDefault="00061B7B"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23 июня</w:t>
      </w:r>
      <w:r w:rsidRPr="007224C3">
        <w:rPr>
          <w:rFonts w:ascii="Times New Roman" w:hAnsi="Times New Roman"/>
          <w:color w:val="000000" w:themeColor="text1"/>
          <w:sz w:val="16"/>
          <w:szCs w:val="16"/>
        </w:rPr>
        <w:t xml:space="preserve"> в 1944 году оперативная сводка Совинформбюро:</w:t>
      </w:r>
    </w:p>
    <w:p w14:paraId="21F0CBEC" w14:textId="77777777" w:rsidR="00061B7B" w:rsidRPr="007224C3" w:rsidRDefault="00061B7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июня северо-западнее и юго-восточнее города Витебск наши войска, при поддержке массированных ударов артиллерии и авиации, перешли в наступление против немецко-фашистских войск.</w:t>
      </w:r>
    </w:p>
    <w:p w14:paraId="2DCBE4BE" w14:textId="77777777" w:rsidR="00061B7B" w:rsidRPr="007224C3" w:rsidRDefault="00061B7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Наши войска, наступающие северо-западнее Витебска, прорвали сильно укреплённую оборону противника протяжением 30 километров по фронту и продвинулись в глубину от 12 до 15 километров, заняв при этом более 100 населённых пунктов, в том числе районный центр Витебской области Шумилино, крупные населённые пункты Волотовки, Сиротино, Гребенцы, Плиговки, Рыльково, Новоселки, Дворище, Крицкие, Залужье, Добрино, Вербали, Губица, Рябушково, Шпаки, Богданова, Хотилово и железнодорожные станции Сиротино, Язвино на железной дороге Полоцк — Витебск.</w:t>
      </w:r>
    </w:p>
    <w:p w14:paraId="021315DC" w14:textId="77777777" w:rsidR="00061B7B" w:rsidRPr="007224C3" w:rsidRDefault="00061B7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Наши войска, наступающие юго-восточнее города Витебска, прорвали сильно укреплённую оборону противника протяжением по фронту 25 километров и продвинулись в глубину от 8 до 10 километров, заняв при этом более 50 населённых пунктов. Среди них Забелино, Замосточье, Ляденки, Лускинополь, Кузменцы, Высочаны, Старобобылье, Осиновка, Шнитки, Куртенки и железнодорожная станция Замосточье. Наши войска перерезали железную дорогу Витебск — Орша.</w:t>
      </w:r>
    </w:p>
    <w:p w14:paraId="313A3B51" w14:textId="77777777" w:rsidR="00061B7B" w:rsidRPr="007224C3" w:rsidRDefault="00061B7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Между Онежским и Ладожским озёрами наши войска форсировали реку Свирь в районе Подпорожья и овладели населёнными пунктами Вороничи, Мятус0в0, Кукеряги, Чемоданова Гора и железнодорожной станцией Суволда. Одновременно наши войска продолжали успешное наступление на северном берегу реки Свирь севернее Лодейного Поля и заняли более 20 населенных пунктов, в числе которых Кондуши, Карельская, Чурова Гора, Утозеро, Подол, Ручьи, Старые Сегежи, Ковкеницы, Горка, Кутлахта, Гумбарицы.</w:t>
      </w:r>
    </w:p>
    <w:p w14:paraId="22025438" w14:textId="77777777" w:rsidR="00061B7B" w:rsidRPr="007224C3" w:rsidRDefault="00061B7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Карельском перешейке севернее и северо-восточнее города Выборг наши войска, сломив сопротивление противника, заняли несколько населённых пунктов. Среди них Мусталахти, Костиала, Куйвала, Лаунтаимайя, Тали, Репола.</w:t>
      </w:r>
    </w:p>
    <w:p w14:paraId="4E659EE4" w14:textId="77777777" w:rsidR="00061B7B" w:rsidRPr="007224C3" w:rsidRDefault="00061B7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 без перемен.</w:t>
      </w:r>
    </w:p>
    <w:p w14:paraId="2B8D73A9" w14:textId="77777777" w:rsidR="00061B7B" w:rsidRPr="007224C3" w:rsidRDefault="00061B7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22 июня на всех фронтах в воздушных боях и огнём зенитной артиллерии сбито 44 самолёта противника.</w:t>
      </w:r>
    </w:p>
    <w:p w14:paraId="6C9AE445" w14:textId="77777777" w:rsidR="00061B7B" w:rsidRPr="007224C3" w:rsidRDefault="00061B7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Северо-западнее и юго-восточнее города Витебск наши войска перешли в наступление. Сотни советских орудий различных калибров и миномёты обрушили на противника мощный огонь. Артиллерийская и авиационная подготовка наступления длилась несколько часов. Многочисленные укрепления немцев были разрушены. За тем, вслед за огневым валом, двинулась в атаку советская пехота. Подавляя уцелевшие огневые точки противника, наши бойцы прорвали сильно укреплённую оборону на обоих участках наступления. Советские войска, наступающие юго-восточнее города Витебск, перерезали железную дорогу Витебск — Орша и тем самым лишили витебскую группировку противника последнего железнодорожного пути, связывавшего её с тылами. Враг несёт огромные потери. Немецкие траншеи и места боёв завалены трупами гитлеровцев, разбитым вооружением и техникой. Наши войска захватили трофеи и пленных.</w:t>
      </w:r>
    </w:p>
    <w:p w14:paraId="0D342F05" w14:textId="77777777" w:rsidR="00061B7B" w:rsidRPr="007224C3" w:rsidRDefault="00061B7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Между Онежским и Ладожским озёрами части Н-ского соединения, овладевшие вчера районным центром Ленинградской области Подпорожьем, сегодня форсировали реку Свирь, В ожесточённом бою советская пехота сломила сопротивление противника, заняла несколько населённых пунктов и железнодорожную станцию Суволду. Враг понёс большие потери. Только в одном населённом пункте наши подразделения истребили 240 финских солдат и офицеров, захватили 5 орудий, 19 пулемётов и склад боеприпасов. В районе севернее Лодейного Поля, на северном берегу реки Свирь, наши войска, успешно продвигаясь вперёд, заняли более 20 населённых пунктов. Контратаки противника были отбиты с большими для него потерями.</w:t>
      </w:r>
    </w:p>
    <w:p w14:paraId="25FC8159" w14:textId="77777777" w:rsidR="00061B7B" w:rsidRPr="007224C3" w:rsidRDefault="00061B7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Карельском перешейке подразделения Н-ской части, с боями продвигаясь вперёд, заняли несколько населённых пунктов, Поспешно отступая, финны оставили паровоз под парами и 17 вагонов с оружием и боеприпасами. Наши бойцы захватили также пеленгаторную и телефонную станции. Советские танкисты ворвались в опорный пункт противника и разгромили его гарнизон. Пушечным огнём и гусеницами машин танкисты уничтожили 6 дзотов, 18 бронированных гнёзд, 3 орудия и склад с боеприпасами. Истреблено до 200 финских солдат я офицеров. Захвачено 6 складов c боеприпасами и продовольствием.</w:t>
      </w:r>
    </w:p>
    <w:p w14:paraId="62FB0574" w14:textId="77777777" w:rsidR="00061B7B" w:rsidRPr="007224C3" w:rsidRDefault="00061B7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Наши лётчики в воздушных боях сбили 19 немецких и финских самолётов.</w:t>
      </w:r>
    </w:p>
    <w:p w14:paraId="530D0FFA" w14:textId="77777777" w:rsidR="00061B7B" w:rsidRPr="007224C3" w:rsidRDefault="00061B7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Авиация Краснознамённого Балтийского флота продолжала наносить удары по кораблям противника в Выборгском заливе. Советские лётчики потопили десантную баржу. Серьёзно повреждены и потеряли ход сторожевой катер, буксир, быстроходная десантная баржа и торпедный катер.</w:t>
      </w:r>
    </w:p>
    <w:p w14:paraId="372AC5AF" w14:textId="77777777" w:rsidR="00061B7B" w:rsidRPr="007224C3" w:rsidRDefault="00061B7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На 2-м Украинском фронте зенитчики подразделений тт. Гришенкова и Калинювича, отражая атаки вражеских бомбардировщиков, сбили 6 самолётов противника. Расчёт зенитного орудия сержанта Паньшина за один день уничтожил два немецких самолёта.</w:t>
      </w:r>
    </w:p>
    <w:p w14:paraId="7EEE9892" w14:textId="77777777" w:rsidR="00061B7B" w:rsidRPr="007224C3" w:rsidRDefault="00061B7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Самолёты-торпедоносцы Краснознамённого Балтийского флота, вылетевшие в ночь на 22 июня на поиск противника, обнаружили в Балтийском море караван вражеских судов. Советские лётчики атаковали противника и метко сброшенными торпедами потопили три транспорта общим водоизмещением в 12 тысяч тонн.</w:t>
      </w:r>
    </w:p>
    <w:p w14:paraId="22601C9E" w14:textId="77777777" w:rsidR="00061B7B" w:rsidRPr="007224C3" w:rsidRDefault="00061B7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Партизанский отряд, действующий в Могилёвской области, в ночь на 6 июня ворвался в крупный населённый пункт. Советские патриоты уничтожили 160 гитлеровцев, взорвали 4 склада с военным имуществом, оружейную мастерскую и 3 радиостанции. Захватив 3 миномёта, 9 пулемётов, 67 винтовок, боеприпасы и обмундирование, советские патриоты отошли на свою базу.</w:t>
      </w:r>
    </w:p>
    <w:p w14:paraId="5C368B60" w14:textId="77777777" w:rsidR="00061B7B" w:rsidRPr="007224C3" w:rsidRDefault="00061B7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сторону Красной Армии перешёл немецкий лейтенант Хорст Штейн, прослуживший длительное время в роте пропаганды военно-воздушных сил Германии. Перебежчик рассказал: «Почти вся фронтовая кинохроника фабрикуется в Германии, на учебных полигонах в Вунсторфе и Ютерборге. На полигонах построены бутафорские укрепления, позиции и деревни, похожие на русские населённые пункты. На этих полигонах разыгрываются танковые и воздушные бои, поиски немецких разведывательных групп за линией обороны русских частей и т. д. После многочисленных репетиций производятся фотосъёмки для кино. Специальные актёры играют роль русских солдат. По ходу действия актёры вылезают из «подбитых» на полигоне «русских» танков, строят кислую физиономию и идут «сдаваться в плен» наступающей немецкой пехоте. В сентябре 1942 года в Ютерборге снимали «документальный» фильм о действиях танков типа «Тигр». Были засняты такие кадры: русские танки, противотанковая и полевая артиллерия ведут огонь по «Тиграм», а те, как ни в чём не бывало, давят своими гусеницами орудия и следуют дальше. Заготовленные тексты внушали зрителям, что «Тигры» неуязвимы и всякая борьба против них бессмысленна. На учебных полигонах производились также съёмки фильмов о борьбе с советскими партизанами. В начале 1942 года в немецких кинотеатрах демонстрировался фильм «Охота на партизан в районе Старая Русса — Холм». Исходным пунктом «охоты» был показан полицейский участок в селе Дедовичи. Почти все кадры из этого фильма я позднее видел в других киножурналах под заглавиями «Охота на партизан на центральном участке фронта» и «Охота на партизан в районе Барановичи — Минск». Характерно, что во всех случаях был показан всё тот же полицейский участок в селе Дедовичи. Артисты, участвующие в съёмках, слабо знают военное дело и часто делают грубые ошибки. Например, в одном кинообозрении были показаны немецкие солдаты, бросающие гранаты. Зрители отчётливо видели, что у гранат не сняты предохранители» (14931).</w:t>
      </w:r>
    </w:p>
    <w:p w14:paraId="338DC1A2" w14:textId="77777777" w:rsidR="00061B7B" w:rsidRPr="007224C3" w:rsidRDefault="00061B7B" w:rsidP="007224C3">
      <w:pPr>
        <w:spacing w:after="0" w:line="240" w:lineRule="auto"/>
        <w:jc w:val="both"/>
        <w:rPr>
          <w:rFonts w:ascii="Times New Roman" w:hAnsi="Times New Roman"/>
          <w:color w:val="000000" w:themeColor="text1"/>
          <w:sz w:val="16"/>
          <w:szCs w:val="16"/>
        </w:rPr>
      </w:pPr>
    </w:p>
    <w:p w14:paraId="604A42EF" w14:textId="77777777" w:rsidR="00061B7B" w:rsidRPr="007224C3" w:rsidRDefault="00061B7B"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23 июня</w:t>
      </w:r>
      <w:r w:rsidRPr="007224C3">
        <w:rPr>
          <w:rFonts w:ascii="Times New Roman" w:hAnsi="Times New Roman"/>
          <w:color w:val="000000" w:themeColor="text1"/>
          <w:sz w:val="16"/>
          <w:szCs w:val="16"/>
        </w:rPr>
        <w:t xml:space="preserve"> в 1944 году началась Белорусская стратегическая наступательная операция (кодовое наименование — "Багратион") войск 1-го Прибалтийского, 1, 2 и 3-го Белорусского фронтов (20 общевойсковых и 2 танковые армии; всего 166 дивизий, 12 танковых и механизированных корпусов, 7 укреплённых районов и 21 бригада при поддержке авиации 3, 1, 4, 6 и 16-й воздушных армий), Днепровской военной флотилии, авиации дальнего действия и авиации ПВО, партизан, продолжавшаяся до 29 августа.</w:t>
      </w:r>
    </w:p>
    <w:p w14:paraId="1BF6B7EC" w14:textId="77777777" w:rsidR="00061B7B" w:rsidRPr="007224C3" w:rsidRDefault="00061B7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Началась Витебско-Оршанская наступательная операция войск 1-го Прибалтийского (наносили главный удар силами 6-й гвардейской и 43-й Армии и 1-го танкового корпуса при поддержке 3-й воздушной армии в общем направлении на Лепель) и 3-го Белорусского (наносили удары силами 39-й и 5-й армий на Богушевск, Сенно и силами 11-й гвардейской и 31-й армий вдоль минской магистрали на Борисов и частью сил на Оршу при поддержке 1-й воздушной армии) фронта, продолжавшаяся до 28 июня. Началась Могилевская наступательная операция войск 2-го Белорусского фронта (33, 49, 50-я армии, 4-я воздушная армия), продолжавшаяся до 28 июня.</w:t>
      </w:r>
    </w:p>
    <w:p w14:paraId="62FA9E31" w14:textId="77777777" w:rsidR="00061B7B" w:rsidRPr="007224C3" w:rsidRDefault="00061B7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Карельского фронта освободили город Медвежьегорск.</w:t>
      </w:r>
    </w:p>
    <w:p w14:paraId="4393A640" w14:textId="77777777" w:rsidR="00061B7B" w:rsidRPr="007224C3" w:rsidRDefault="00061B7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Началась Тулоксинская десантная операция Ладожской военной флотилии, проводившаяся до 27 июня (14931).</w:t>
      </w:r>
    </w:p>
    <w:p w14:paraId="125DC709" w14:textId="77777777" w:rsidR="00061B7B" w:rsidRPr="007224C3" w:rsidRDefault="00061B7B" w:rsidP="007224C3">
      <w:pPr>
        <w:spacing w:after="0" w:line="240" w:lineRule="auto"/>
        <w:jc w:val="both"/>
        <w:rPr>
          <w:rFonts w:ascii="Times New Roman" w:hAnsi="Times New Roman"/>
          <w:color w:val="000000" w:themeColor="text1"/>
          <w:sz w:val="16"/>
          <w:szCs w:val="16"/>
        </w:rPr>
      </w:pPr>
    </w:p>
    <w:p w14:paraId="32A95952" w14:textId="77777777" w:rsidR="00061B7B" w:rsidRPr="007224C3" w:rsidRDefault="00061B7B"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23 июня</w:t>
      </w:r>
      <w:r w:rsidRPr="007224C3">
        <w:rPr>
          <w:rFonts w:ascii="Times New Roman" w:hAnsi="Times New Roman"/>
          <w:color w:val="000000" w:themeColor="text1"/>
          <w:sz w:val="16"/>
          <w:szCs w:val="16"/>
        </w:rPr>
        <w:t xml:space="preserve"> в 1944 году силами 260 бригады морской пехоты, при поддержке кораблей КБФ, взят хорошо укреплённый финнами остров Туппурасаари в Выборгском заливе (14931).</w:t>
      </w:r>
    </w:p>
    <w:p w14:paraId="25D46958" w14:textId="77777777" w:rsidR="00061B7B" w:rsidRPr="007224C3" w:rsidRDefault="00061B7B" w:rsidP="007224C3">
      <w:pPr>
        <w:spacing w:after="0" w:line="240" w:lineRule="auto"/>
        <w:jc w:val="both"/>
        <w:rPr>
          <w:rFonts w:ascii="Times New Roman" w:hAnsi="Times New Roman"/>
          <w:color w:val="000000" w:themeColor="text1"/>
          <w:sz w:val="16"/>
          <w:szCs w:val="16"/>
        </w:rPr>
      </w:pPr>
    </w:p>
    <w:p w14:paraId="60DA248A" w14:textId="77777777" w:rsidR="00061B7B" w:rsidRPr="007224C3" w:rsidRDefault="00061B7B"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23 июня</w:t>
      </w:r>
      <w:r w:rsidRPr="007224C3">
        <w:rPr>
          <w:rFonts w:ascii="Times New Roman" w:hAnsi="Times New Roman"/>
          <w:color w:val="000000" w:themeColor="text1"/>
          <w:sz w:val="16"/>
          <w:szCs w:val="16"/>
        </w:rPr>
        <w:t xml:space="preserve"> в 1944 году войска Карельского фронта освободили Медвежьегорск (14931).</w:t>
      </w:r>
    </w:p>
    <w:p w14:paraId="2BB8BE97" w14:textId="77777777" w:rsidR="00061B7B" w:rsidRPr="007224C3" w:rsidRDefault="00061B7B" w:rsidP="007224C3">
      <w:pPr>
        <w:spacing w:after="0" w:line="240" w:lineRule="auto"/>
        <w:jc w:val="both"/>
        <w:rPr>
          <w:rFonts w:ascii="Times New Roman" w:hAnsi="Times New Roman"/>
          <w:color w:val="000000" w:themeColor="text1"/>
          <w:sz w:val="16"/>
          <w:szCs w:val="16"/>
        </w:rPr>
      </w:pPr>
    </w:p>
    <w:p w14:paraId="6974756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C 23 июня по 29 августа 1944 состоялась Белорусская операция - часть операции Багратион. Освободили Белоруссию и продвинулись на 550-600 км, вступив на территорию Польши и вышли к границам Восточной Пруссии (2438,93).</w:t>
      </w:r>
    </w:p>
    <w:p w14:paraId="33C7F1D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усиление пяти задействованных ВА привлекли 10 ак и 8 ад. Для них требовалось построить 70 новых аэродромов. Большую часть пополнения получили 1 3БФ и 16ВА 1БФ. В 16ВА возвратились 1гиад и 273 иад, 8 иак (г А.С.Осипенко), 4 шак (г Г.Ф.Байдуков), 132 бад (г И.Л.Федоров), 300 шад (п Т.Е.Ковалев) и 19 оиап (п П.Ф.Чупиков), подчинявшийся ком. ВВС. В 1 и 16ВА было 70% всей авиации, в т.ч. все дневн. б (3 бак и 2 бад). 16ВА тренировалась в сборе и построении в воздухе бак, но решили, что бад и бап - эффективнее (340,169).</w:t>
      </w:r>
    </w:p>
    <w:p w14:paraId="18968D2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операции Ставка ВГК организовала действия по срыву оперативных перевозок с привлечением АДД и ВА (518,130).</w:t>
      </w:r>
    </w:p>
    <w:p w14:paraId="62B1807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Белорусской операции 8 АК АДД в течение 4-х ночей бомбили 8 аэродромов противника, совершив 1472 самолетовылета. Особенно сильно били по Бресту (89 вылетов), Белостоку (163), Барановичам (458), Бобруйску (126), Лунивцу (118) (518,84).</w:t>
      </w:r>
    </w:p>
    <w:p w14:paraId="4E99F54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645AE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ночь на 23 июня 1944 началась авиационная подготовка Белорусской операции на участках прорыва 1ПрФ, 3 и 2БФ. 147 б были на участке прорыва 3БФ, 258 - 2БФ. Кроме того, на участке 2БФ были летчицы 46 гТаманского нбп Е.Д.Бершанской. На оршанском направлении - было 162 б. Потом пошли ш, которые уничтожали огневые точки и резервы. за первые сутки л 3-х ВА выполнили 4500 вылетов, но в 42 в/боях сбили всего 19 (340,171).</w:t>
      </w:r>
    </w:p>
    <w:p w14:paraId="3C00E24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F6AA9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июня 1944 началось мощное авиационное наступление по поддержке наступления в Белоруссии под названием "Багратион" (340,171) и о разгроме лагеря немцев 28-29 июня в ходе этой операции был тот самый известный отчет о действиях штурмовиков от 12 сентября, который везде цитируется (340,173).</w:t>
      </w:r>
    </w:p>
    <w:p w14:paraId="79FC58E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EB3FC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июня 1944 началось генеральное наступление войск 1-го Прибалтийского, 2 и 3-го Белорусских фронтов. С утра следующего дня в наступление перешли войска правого крыла 1-го Белорусского фронта.</w:t>
      </w:r>
    </w:p>
    <w:p w14:paraId="3BFB89F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Главная авиационная группировка Красной Армии состояла из 3, 1, 4 и 16-й воздушных армий. На втором этапе подключилась 6-я ВА. В общей сложности в операции участвовали 15 штурмовых авиадивизий, в том числе три гвардейских - 1, 2 и 3-я гшад, и один отдельный штурмовой авиаполк - 6-й гшап. Всего насчитывалось около 2000 штурмовиков Ил-2.</w:t>
      </w:r>
    </w:p>
    <w:p w14:paraId="3BE9AC0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Уже в первый день наступления при активной поддержке штурмовиков войска 65А и 28А прорвали немецкую оборону южнее Паричей на участке шириной до 30 км, а введенный в прорыв 1-й гвардейский танковый корпус продвинулся вперед на 20 км.</w:t>
      </w:r>
    </w:p>
    <w:p w14:paraId="0E79E28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Ввод в прорыв танкового корпуса обеспечивала 2-я гшад. В назначенное время над головными танками появилось 40 Ил-2, а через 15 минут - еще 35 штурмовиков.</w:t>
      </w:r>
    </w:p>
    <w:p w14:paraId="74F37E2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Надо сказать, сопровождение и поддержка подвижных войск были для штурмовиков довольно сложным делом. Дело в том, что передовые части танкистов нередко двигались впереди арьергардов противника, и разобраться, где свои, а где неприятель было нелегко. В этом отношении характерным является следующий эпизод.</w:t>
      </w:r>
    </w:p>
    <w:p w14:paraId="3C3A76D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Две шестерки 2-й гшад (ведущие старшие лейтенанты Горбатенко и Грибов) вылетели для уничтожения войск противника в пункте Бараний Рог. При подходе Ил-2 к КП командира 1 -го гтк стало известно, что наступление танкистов приостановлено сильным артиллерийским огнем. Командир 2-й гшад генерал Комаров, находясь на этом КП, по радио приказал Грибову произвести разведку и найти немецкую артиллерию в районе населенного пункта и железнодорожной станции Черные Броды. Вскоре Грибов доложил: "Видим на юго-западной окраине до дивизиона артиллерии. Атакуем". Шестью заходами штурмовики подавили артиллерию на огневых позициях. Наши танки перешли в атаку и овладели Черными Бродами (12020).</w:t>
      </w:r>
    </w:p>
    <w:p w14:paraId="29EE725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BA4878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рассвете 23 июня 1944 г. Пе-2 наносили удар по флангам немецкой группировки. В авиационной подготовке Белорусской наступательной операции участвовало 548 Пе-2. "Пешки" бомбили цели, выявленные разведкой и подсвеченные экипажами бомбардировщиков авиации дальнего действия. В ходе наступления пикировщики постоянно помогали продвижению наземных войск. Например, 90 Пе-2 из 1-го бак совместно со 180 штурмовиками Ил-2 нанесли удар по Богушевскому узлу сопротивления немцев, который тут же был оставлен противником (3542).</w:t>
      </w:r>
    </w:p>
    <w:p w14:paraId="31F155A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6F1C2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23 по 28 июня 1944 прошла Витебско-Оршанская операция - часть Белорусской и в районе Витебска окружили 5 дивизий, продвинувшись на 80-150 км (2438,144).</w:t>
      </w:r>
    </w:p>
    <w:p w14:paraId="4B97675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Штаб 1ВА в ходе Витебско-Оршанской операции составил подробный план боевых действий на первые 3 дня наступления и сделал оперативные расчеты на 10 дней (518,116).</w:t>
      </w:r>
    </w:p>
    <w:p w14:paraId="0A63914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ВА проводили авиаподготовку накануне атаки продолжительностью 10-30 мин (518,135).</w:t>
      </w:r>
    </w:p>
    <w:p w14:paraId="28C823A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подготовке Витебско-Оршанской операции на воздушную разведку ВА затрачивалось до 25-30% всех самолетовылетов (518,121).</w:t>
      </w:r>
    </w:p>
    <w:p w14:paraId="210BE07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Витебско-Оршанской операции 3БФ на поддержку и прикрытие 5ГТА были выделены 1гбак, 3 шак, 1 гиак и 2иак (до 800 самолетов) (518,157).</w:t>
      </w:r>
    </w:p>
    <w:p w14:paraId="5FAEC3D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ходе операции также сочетали сосредоточенные удары и эшелонированные действия ш и б авиации для поддержки при вводе в сражение 5 ГТА (518,162).</w:t>
      </w:r>
    </w:p>
    <w:p w14:paraId="4E9BF90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ходе операции на уничтожение окруженной группировки противника было затрачено 6% самолето-вылетов (518,181).</w:t>
      </w:r>
    </w:p>
    <w:p w14:paraId="50AE61C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EA0B6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23 по 28 июня 1944 состоялась Могилевская операция - часть Белорусской операции и захватили Могилев (2438,411).</w:t>
      </w:r>
    </w:p>
    <w:p w14:paraId="49C333E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В ходе операции из-за плохих метеоусловий авиаподготовка ограничивалась действиями нба (518,135).</w:t>
      </w:r>
    </w:p>
    <w:p w14:paraId="60ABBA9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2285E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июня 1944 состоялся один из крупнейших воздушных ударов войны, когда 761 бомбардировщик бомбил Плоешти (2100).</w:t>
      </w:r>
    </w:p>
    <w:p w14:paraId="4278C91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C731B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23-27 июня 1944 состоялась Тулоксинская операция во время Свирско-Петрозаводской с целью перерезать междуречье Видлицы и Тулоксы в тылу немцев. высаживали ладожский десант (2443,214).</w:t>
      </w:r>
    </w:p>
    <w:p w14:paraId="2ACB732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0D7D0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23-27 июня 1944 была Тулоксинская десантная операция. </w:t>
      </w:r>
    </w:p>
    <w:p w14:paraId="52834C6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Перед началом Свирско-Петрозаводской операции командующий Карельским фронтом принял решение силами ЛВФ высадить морской десант в тыл противника в междуречье Видлицы и Тулоксы, который должен был перерезать шоссейную и железную дороги и, лишив противника возможности подвозить резервы, удерживать захваченный плацдарм до подхода главных сил 7-й армии. Для перевозки десанта (70-я отдельная морская стрелковая бригада, 3667 человек, командир подполковник А. В. Блак) было выделено 4 вспомогательных судна, 2 тральщика и 2 шхуны. [336] </w:t>
      </w:r>
    </w:p>
    <w:p w14:paraId="12175F8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 отряд высадочных средств входило 12 катеров, 19 тендеров и 9 мотоботов, в охранение — 6 сторожевых катеров МО, 2 бронекатера, десантное судно. Прикрытие десанта на переходе и поддержка его при высадке были возложены на 7-ю воздушную армию и авиацию КБФ (всего 230 самолетов). </w:t>
      </w:r>
    </w:p>
    <w:p w14:paraId="25B9139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23.6 в 5 ч корабли отряда артиллерийской поддержки (5 КЛ, 2 ТКА и 2 СКА) открыли огонь по району высадки. Через 30 мин по укреплениям противника нанесли удар бомбардировщики. Огнем кораблей и истребителями была отражена атака самолетов противника. </w:t>
      </w:r>
    </w:p>
    <w:p w14:paraId="4831554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 5 ч 55 мин катера и тендеры с первым броском десанта подошли к берегу. Канлодки перенесли огонь в глубину обороны противника. Несмотря на яростное сопротивление врага, за день было высажено 3159 человек. Десантники захватили плацдарм 4,5 км по фронту и 2 км в глубину, перерезали дорогу Олонец — Питкяранта. Для поддержки десанта авиация совершила за сутки 347 самолето-вылетов. </w:t>
      </w:r>
    </w:p>
    <w:p w14:paraId="27A090C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24.6 к 17 ч в штормовых условиях на плацдарм был высажен первый эшелон 3-й отдельной бригады морской пехоты. Высадка остальных эшелонов из-за шторма длилась до 26.6. Всего было высажено около 5000 человек с 59 орудиями, 46 минометами и др. </w:t>
      </w:r>
    </w:p>
    <w:p w14:paraId="55E001C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Поддержанный огнем корабельной артиллерии, десант отразил контратаки противника и прочно удерживал железную и шоссейную дороги на Питкяранту. Отступающие неприятельские войска были вынуждены бросать технику и отходить по проселочным дорогам в обход плацдарма, занятого десантом. </w:t>
      </w:r>
    </w:p>
    <w:p w14:paraId="0DB1326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27.6 десант соединился с частями 7-й армии и участвовал в освобождении Видлицы. Канонерские лодки и катера ЛВФ поддерживали огнем наступление войск (11712).</w:t>
      </w:r>
    </w:p>
    <w:p w14:paraId="61E807C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D7EBC54"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июня 1944 советские войска начали Белорусскую операцию под кодовым названием “Багратион” (4962).</w:t>
      </w:r>
    </w:p>
    <w:p w14:paraId="220B98FE"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1F8FDC6"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382C62E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9DC21AD"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июня 1944 в Атлантическом океане американским бомбардировщиком затоплена японская подлодка, перевозившая 2 тонны золота (4962).</w:t>
      </w:r>
    </w:p>
    <w:p w14:paraId="2D049BD4"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4DACD6A" w14:textId="77777777" w:rsidR="00061B7B" w:rsidRPr="007224C3" w:rsidRDefault="00061B7B"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23 июня</w:t>
      </w:r>
      <w:r w:rsidRPr="007224C3">
        <w:rPr>
          <w:rFonts w:ascii="Times New Roman" w:hAnsi="Times New Roman"/>
          <w:color w:val="000000" w:themeColor="text1"/>
          <w:sz w:val="16"/>
          <w:szCs w:val="16"/>
        </w:rPr>
        <w:t xml:space="preserve"> в 1944 году в Атлантическом океане американским бомбардировщиком затоплена японская подлодка «I-52». Японская подводная лодка «I-52» тайно покинула Японию. После остановки в Сингапуре она пересекла Индийский океан, обогнула мыс Доброй Надежды и продолжила плавание по Атлантическому океану. На борту подлодки находились почти 300 тонн груза (в том числе 2,8 тонны опиума, 54 тонны каучука и 2 тонны золота), полный боекомплект, 95 человек личного состава и 14 инженеров, которым предстояло в Германии ознакомиться с новейшими технологиями производства вооружения. Во французском порту Лорьян дожидалась немецкая субмарина со "встречным" военным грузом на борту. Немцы приготовили для своих союзников радарные установки, вакуумные приборы, шарикоподшипники и, возможно, окись урана для ядерных исследований. Американцы знали об этой секретной операции абсолютно все, до мельчайших подробностей. Посол Японии в Берлине Осима Хироси считался доверенным лицом Гитлера и был посвящен в планы фюрера. Сотрудники японского посольства передавали информацию по радио в министерство иностранных дел в Токио, а разведка союзников перехватывала их зашифрованные сообщения. Спецслужбы союзников сумели расшифровать коды противника, и главное командование в Вашингтоне заранее знало о тайной встрече в Атлантическом океане японской и немецкой подлодок. Место встречи было назначено далеко от берега, чтобы туда не могли долететь самолеты противника. Но у американцев был в запасе так называемый "baby flat-top" – транспортное судно со взлетно-посадочной полосой на палубе. Благодаря мини-авианосцу американская морская авиация могла совершать налеты на корабли противника далеко в открытом море. Ночью 23 июня 1944 года немецкая субмарина всплыла в условленном месте. Вскоре появилась японская лодка. Трое немецких моряков доплыли в шлюпке до «I-52», передали японцам радар и вернулись назад. После этого немецкая лодка сразу же начала погружение. До сих пор неизвестно, почему японцы не последовали примеру немецких коллег – огромная туша японской субмарины безмятежно возвышалась над мелкой рябью спокойного океана. Это была роковая ошибка. Американский "baby flat-top" прибыл в этот район Атлантики на два дня раньше и поджидал свою жертву. Над местом встречи подлодок патрулировали 4 самолета, которые с помощью радаров засекли «I-52» и сбросили осветительные ракеты на парашютах и буй с гидролокатором. Японцы пытались уйти от преследования, но плавучий сонар фиксировал шум от гребных винтов подлодки и передавал радиосигналы на самолет. Пилот, ориентируясь на эти сигналы, выпустил торпеду точно в цель. Новая техника не подвела американцев. На следующий день нефтяное пятно на поверхности океана обозначило место гибели субмарины. Американские рыбаки выловили из воды более 1350 килограммов каучука (14931).</w:t>
      </w:r>
    </w:p>
    <w:p w14:paraId="7907143A" w14:textId="77777777" w:rsidR="00061B7B" w:rsidRPr="007224C3" w:rsidRDefault="00061B7B" w:rsidP="007224C3">
      <w:pPr>
        <w:spacing w:after="0" w:line="240" w:lineRule="auto"/>
        <w:jc w:val="both"/>
        <w:rPr>
          <w:rFonts w:ascii="Times New Roman" w:hAnsi="Times New Roman"/>
          <w:color w:val="000000" w:themeColor="text1"/>
          <w:sz w:val="16"/>
          <w:szCs w:val="16"/>
        </w:rPr>
      </w:pPr>
    </w:p>
    <w:p w14:paraId="051878FA" w14:textId="77777777" w:rsidR="00B02CCE" w:rsidRPr="007224C3" w:rsidRDefault="00B02CCE"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23–27 июня 1944 базирующиеся в Лос-Негросе B-24 Liberators 13-го корпуса военно-воздушных сил совершают в среднем 21 ежедневный бомбардировочный самолет против Япа. Два сбиты, 21 поврежден (29373).</w:t>
      </w:r>
    </w:p>
    <w:p w14:paraId="16E5CCF0" w14:textId="77777777" w:rsidR="00B02CCE" w:rsidRPr="007224C3" w:rsidRDefault="00B02CCE" w:rsidP="007224C3">
      <w:pPr>
        <w:spacing w:after="0" w:line="240" w:lineRule="auto"/>
        <w:jc w:val="both"/>
        <w:rPr>
          <w:rFonts w:ascii="Times New Roman" w:hAnsi="Times New Roman"/>
          <w:color w:val="0070C0"/>
          <w:sz w:val="16"/>
          <w:szCs w:val="16"/>
        </w:rPr>
      </w:pPr>
    </w:p>
    <w:p w14:paraId="08F3DCEC" w14:textId="77777777" w:rsidR="00B02CCE" w:rsidRPr="007224C3" w:rsidRDefault="00B02CCE"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 xml:space="preserve">23–24 июня (ночь) 1944 по 6–7 июля (ночь) 1944 японские самолеты в небольшом количестве совершают ночные налеты на силы ВМС США у побережья Сайпана, нанося ущерб нескольким десантным кораблям и вспомогательным судам (20373). </w:t>
      </w:r>
    </w:p>
    <w:p w14:paraId="0E6EF306" w14:textId="77777777" w:rsidR="00B02CCE" w:rsidRPr="007224C3" w:rsidRDefault="00B02CCE" w:rsidP="007224C3">
      <w:pPr>
        <w:spacing w:after="0" w:line="240" w:lineRule="auto"/>
        <w:jc w:val="both"/>
        <w:rPr>
          <w:rFonts w:ascii="Times New Roman" w:hAnsi="Times New Roman"/>
          <w:color w:val="0070C0"/>
          <w:sz w:val="16"/>
          <w:szCs w:val="16"/>
        </w:rPr>
      </w:pPr>
    </w:p>
    <w:p w14:paraId="1F9FE22B" w14:textId="77777777" w:rsidR="00061B7B" w:rsidRPr="007224C3" w:rsidRDefault="00061B7B"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23 июня</w:t>
      </w:r>
      <w:r w:rsidRPr="007224C3">
        <w:rPr>
          <w:rFonts w:ascii="Times New Roman" w:hAnsi="Times New Roman"/>
          <w:color w:val="000000" w:themeColor="text1"/>
          <w:sz w:val="16"/>
          <w:szCs w:val="16"/>
        </w:rPr>
        <w:t xml:space="preserve"> в 1944 году сбит старшим сержантом Эмиль Онерва Веса, пилотом ВВС Финляндии, один из последних имеющихся в ВВС СА самолет «Р-10», а старший сержант Лео Агокас одержал победу над крайним «Р-10» 30 июня 1944 года (14931).</w:t>
      </w:r>
    </w:p>
    <w:p w14:paraId="53B45114" w14:textId="77777777" w:rsidR="00061B7B" w:rsidRPr="007224C3" w:rsidRDefault="00061B7B" w:rsidP="007224C3">
      <w:pPr>
        <w:spacing w:after="0" w:line="240" w:lineRule="auto"/>
        <w:jc w:val="both"/>
        <w:rPr>
          <w:rFonts w:ascii="Times New Roman" w:hAnsi="Times New Roman"/>
          <w:color w:val="000000" w:themeColor="text1"/>
          <w:sz w:val="16"/>
          <w:szCs w:val="16"/>
        </w:rPr>
      </w:pPr>
    </w:p>
    <w:p w14:paraId="479754B7"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июня 1944 в Лапландии в авиакатастрофе погиб командующий немецкими войсками в Арктике генерал Эдуард Диетл (4962).</w:t>
      </w:r>
    </w:p>
    <w:p w14:paraId="1399D244"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F242FC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June 23rd, 1944: Generaloberst Dietl, C-in-C of 20. Gebirgsarmee on the Arctic front in northern Finland, is killed in an air crash (3819).</w:t>
      </w:r>
    </w:p>
    <w:p w14:paraId="7A48C9A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56D74B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 июня 1944 в авиакатастрофе погиб ГК 20Горной армии на СФ в северной Финляндии г/п Дитль (3819).</w:t>
      </w:r>
    </w:p>
    <w:p w14:paraId="6322A6E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69EEBE"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51F8CE6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1134E6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июня 1944 года начальник самолетного отдела 7-го гл. управления НКАП Бендерский писал письмо N 1307 в Секретариат наркома Гильзину.</w:t>
      </w:r>
    </w:p>
    <w:p w14:paraId="6CB3074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Ввиду получения данных по гос. испытаниям самолета Ил-10 АМ-42, направляю статкарту маш. N 3177, фото N 2978, схема N 333.</w:t>
      </w:r>
    </w:p>
    <w:p w14:paraId="2B2BFEE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Ранее посланную статкарту маш. N 2426, по данным заводских испытаний, прошу вернуть в 7 гл. управление (1825,53).</w:t>
      </w:r>
    </w:p>
    <w:p w14:paraId="51DF779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FB4C6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июня 1944 закончились гос. испытания И-220 МиГ с АМ-39, которые начались 14 июня и были прекращены из за выхода из строя двигателя (4,249).</w:t>
      </w:r>
    </w:p>
    <w:p w14:paraId="37AF950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июля 1944 л-и А.П.Якимов подписал отчет по результатам заводских летных испытаний с-та И-220 с мотором АМ-39, редукция 0,732 и винтом АВ5Л126А</w:t>
      </w:r>
    </w:p>
    <w:p w14:paraId="65F5773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июля 1944 Зам. ГК Гуревич и ст. в/п на заводе 155 Савин утвердили Акт по результатам заводских летных испытаний с-та И-220 с мотором АМ-39, редукция 0,732 и винтом АВ5Л126А</w:t>
      </w:r>
    </w:p>
    <w:p w14:paraId="14ECAB3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Отв. испытатель ви с-та Брунов</w:t>
      </w:r>
    </w:p>
    <w:p w14:paraId="5670419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л-и Якимов</w:t>
      </w:r>
    </w:p>
    <w:p w14:paraId="2B90AF3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Цель испытаний: контрольные испытания для проверки лд с серийным мотором АМ-39, проверка и доводка матчасти и ВМГ. На с-те установлено 4хШВАК 20 мм с б/з по 100 патронов на каждую.</w:t>
      </w:r>
    </w:p>
    <w:p w14:paraId="689FCD9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Длина с-та 9,5, размах - 11,0, площадь крыла 20,38, профиль NACA-230, угол установки 1 гр.</w:t>
      </w:r>
    </w:p>
    <w:p w14:paraId="559FF60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 скорость на 2 гр в боевом режжииме при 2150 и Рк 1175 на 7000 - 695, на номинальном на 7200 - 690</w:t>
      </w:r>
    </w:p>
    <w:p w14:paraId="74AF076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 скорость на 1 гр. на боевом Рк 1200 на 2700 - 625, на номинальном на 2400 - 624</w:t>
      </w:r>
    </w:p>
    <w:p w14:paraId="79BC84A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 скорость пикирования - 685 по рибору.</w:t>
      </w:r>
    </w:p>
    <w:p w14:paraId="5039494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Это - 2-й</w:t>
      </w:r>
    </w:p>
    <w:p w14:paraId="40BD814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На первом в консоли крыла были поставлены противофлаттерные грузы общим весом 28 кг</w:t>
      </w:r>
    </w:p>
    <w:p w14:paraId="4114B7F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Полетный вес - 3845, в т.ч.</w:t>
      </w:r>
    </w:p>
    <w:p w14:paraId="52E2434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экипаж - 90</w:t>
      </w:r>
    </w:p>
    <w:p w14:paraId="4D3C4F7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горючее - 350</w:t>
      </w:r>
    </w:p>
    <w:p w14:paraId="1DC0689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масло - 45</w:t>
      </w:r>
    </w:p>
    <w:p w14:paraId="79780CD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оружие - 156</w:t>
      </w:r>
    </w:p>
    <w:p w14:paraId="0D926F1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б/з - 93</w:t>
      </w:r>
    </w:p>
    <w:p w14:paraId="45BCF2D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Съемное оборудование - 16</w:t>
      </w:r>
    </w:p>
    <w:p w14:paraId="7CBC028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 750</w:t>
      </w:r>
    </w:p>
    <w:p w14:paraId="53B9131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Отзывы л</w:t>
      </w:r>
    </w:p>
    <w:p w14:paraId="7E1F09E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Мотор АМ-39 с беспоплавковым карбюратором на форсаже работает плохо. На номинале - хорошо.</w:t>
      </w:r>
    </w:p>
    <w:p w14:paraId="07CD243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Значительной помехой в полете является обильный выброс масла из носка мотора. Масло нагоняет на козырек и затрудняет полет</w:t>
      </w:r>
    </w:p>
    <w:p w14:paraId="63F223C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Бензоочистеители козырька не в состоянии справиться с натекающим маслом из носка мотора</w:t>
      </w:r>
    </w:p>
    <w:p w14:paraId="5B5330B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Велики нагрузки на элероны и РВ, особенно на большой скорости</w:t>
      </w:r>
    </w:p>
    <w:p w14:paraId="2180581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Слабый обзор назад</w:t>
      </w:r>
    </w:p>
    <w:p w14:paraId="53BF1C2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Крайне передняя центровка, особенно у машины, заправленной горючим</w:t>
      </w:r>
    </w:p>
    <w:p w14:paraId="65A7E2C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устранении недостатков с-т может быть принят на вооружение. Несомненно будет легко освоен л</w:t>
      </w:r>
    </w:p>
    <w:p w14:paraId="74B4BC1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 А.П.Якимов 5 июля 1944</w:t>
      </w:r>
    </w:p>
    <w:p w14:paraId="54A1CF7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 подлежит передаче в НИИ ВВС для продолжения испытаний</w:t>
      </w:r>
    </w:p>
    <w:p w14:paraId="5EA02EB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Брунов (11472,2).</w:t>
      </w:r>
    </w:p>
    <w:p w14:paraId="422C13D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0118C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июня 1944 состоялся боевой дебют Ла-7 в «маршальском» 19-й ГИАП при проведении опе</w:t>
      </w:r>
      <w:r w:rsidRPr="007224C3">
        <w:rPr>
          <w:rFonts w:ascii="Times New Roman" w:hAnsi="Times New Roman"/>
          <w:color w:val="000000" w:themeColor="text1"/>
          <w:sz w:val="16"/>
          <w:szCs w:val="16"/>
        </w:rPr>
        <w:softHyphen/>
        <w:t>рации «Багратион» - освобождение Белоруссии. Официальные войсковые испыта</w:t>
      </w:r>
      <w:r w:rsidRPr="007224C3">
        <w:rPr>
          <w:rFonts w:ascii="Times New Roman" w:hAnsi="Times New Roman"/>
          <w:color w:val="000000" w:themeColor="text1"/>
          <w:sz w:val="16"/>
          <w:szCs w:val="16"/>
        </w:rPr>
        <w:softHyphen/>
        <w:t>ния Ла-7 состоялись несколько поз</w:t>
      </w:r>
      <w:r w:rsidRPr="007224C3">
        <w:rPr>
          <w:rFonts w:ascii="Times New Roman" w:hAnsi="Times New Roman"/>
          <w:color w:val="000000" w:themeColor="text1"/>
          <w:sz w:val="16"/>
          <w:szCs w:val="16"/>
        </w:rPr>
        <w:softHyphen/>
        <w:t>же в 63-м ГИАП (командир Герой Советского Союза гв. подполковник Горбатюк Е.М.) 3-й ГИАД 1-го ГИАК. Дивизией командовал в то время гв. полковник В.И. Сталин, вернувшийся после опалы в боевой состав ВВС КА (10730).</w:t>
      </w:r>
    </w:p>
    <w:p w14:paraId="351FB08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C4140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июня 1944 Нач. Отдела транспортной авиации Михин с письмом N 2567 направил А.И.Ш. докладную записку о целесообразности переделки по окончанию войны Ли-2, находящихся в эксплуатации в АДД, ВВС и ГВФ из транспортных в пассажирские (1822,132).</w:t>
      </w:r>
    </w:p>
    <w:p w14:paraId="4C40C9A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84CA3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июня 1944 года была подготовлена Докладная записка о целесообразности переделки по окончании войны самолетов ЛИ-2, находящихся в эксплуатации в АДД, ВВС и ГВФ, из транспортных в пассажирские.</w:t>
      </w:r>
    </w:p>
    <w:p w14:paraId="3D4F2CF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Целесообразность переделки самолетов ЛИ-2 из транспортных в пассажирские определяются тремя условиями:</w:t>
      </w:r>
    </w:p>
    <w:p w14:paraId="217D29E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количеством самолетов Ли-2, которое останется после окончания войны;</w:t>
      </w:r>
    </w:p>
    <w:p w14:paraId="59BCFD1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состоянием самолетов Ли-2, которые останутся после окончания войны;</w:t>
      </w:r>
    </w:p>
    <w:p w14:paraId="4245954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временем, необходимым для организации серийной переделки Ли-2 в пассажирский самолет.</w:t>
      </w:r>
    </w:p>
    <w:p w14:paraId="027D64D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Количество самолетов Ли-2</w:t>
      </w:r>
    </w:p>
    <w:p w14:paraId="1F91887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1.VI.44 г. в составе АДД, ГВФ и ВВС имеется до 650 самолетов Ли-2, включая самолеты, находящиеся в ремонте.</w:t>
      </w:r>
    </w:p>
    <w:p w14:paraId="2D2CC4E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Авиационная промышленность в 1944 году в среднем в месяц дает 55 самолетов Ли-2.</w:t>
      </w:r>
    </w:p>
    <w:p w14:paraId="2989A41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Продолжительность жизни самолетов Ли-2, по статистике АДД за 1943 г., определяется в 670 летных часов, а налет на самолет за год составляет в среднем 500 часов.</w:t>
      </w:r>
    </w:p>
    <w:p w14:paraId="2068AA4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основании этих данных, расчетным путем получено ориентировочное изменение количества самолетов Ли-2 по месяцам и представлено в таблице N 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67"/>
        <w:gridCol w:w="867"/>
        <w:gridCol w:w="867"/>
        <w:gridCol w:w="867"/>
        <w:gridCol w:w="867"/>
        <w:gridCol w:w="867"/>
        <w:gridCol w:w="867"/>
        <w:gridCol w:w="867"/>
        <w:gridCol w:w="685"/>
        <w:gridCol w:w="567"/>
        <w:gridCol w:w="638"/>
        <w:gridCol w:w="1773"/>
      </w:tblGrid>
      <w:tr w:rsidR="005106D0" w:rsidRPr="007224C3" w14:paraId="53F92B78" w14:textId="77777777">
        <w:tc>
          <w:tcPr>
            <w:tcW w:w="867" w:type="dxa"/>
          </w:tcPr>
          <w:p w14:paraId="6A580CF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Годы/</w:t>
            </w:r>
          </w:p>
        </w:tc>
        <w:tc>
          <w:tcPr>
            <w:tcW w:w="867" w:type="dxa"/>
          </w:tcPr>
          <w:p w14:paraId="4EF5ACD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41F51A9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7309BBD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1944 год</w:t>
            </w:r>
          </w:p>
        </w:tc>
        <w:tc>
          <w:tcPr>
            <w:tcW w:w="867" w:type="dxa"/>
          </w:tcPr>
          <w:p w14:paraId="57780EA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33D71E1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5EA9669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23D2793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5" w:type="dxa"/>
          </w:tcPr>
          <w:p w14:paraId="5C81073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CFE0FA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1945 год</w:t>
            </w:r>
          </w:p>
        </w:tc>
        <w:tc>
          <w:tcPr>
            <w:tcW w:w="638" w:type="dxa"/>
          </w:tcPr>
          <w:p w14:paraId="19ABA1F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73" w:type="dxa"/>
          </w:tcPr>
          <w:p w14:paraId="68710C7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Примечание</w:t>
            </w:r>
          </w:p>
        </w:tc>
      </w:tr>
      <w:tr w:rsidR="005106D0" w:rsidRPr="007224C3" w14:paraId="3DEB0B33" w14:textId="77777777">
        <w:tc>
          <w:tcPr>
            <w:tcW w:w="867" w:type="dxa"/>
          </w:tcPr>
          <w:p w14:paraId="1905717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месяцы</w:t>
            </w:r>
          </w:p>
        </w:tc>
        <w:tc>
          <w:tcPr>
            <w:tcW w:w="867" w:type="dxa"/>
          </w:tcPr>
          <w:p w14:paraId="00DD9D2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1.VI</w:t>
            </w:r>
          </w:p>
        </w:tc>
        <w:tc>
          <w:tcPr>
            <w:tcW w:w="867" w:type="dxa"/>
          </w:tcPr>
          <w:p w14:paraId="50E35F6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1.VII</w:t>
            </w:r>
          </w:p>
        </w:tc>
        <w:tc>
          <w:tcPr>
            <w:tcW w:w="867" w:type="dxa"/>
          </w:tcPr>
          <w:p w14:paraId="3DCFB1A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1.VIII</w:t>
            </w:r>
          </w:p>
        </w:tc>
        <w:tc>
          <w:tcPr>
            <w:tcW w:w="867" w:type="dxa"/>
          </w:tcPr>
          <w:p w14:paraId="63DF6B0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1.IX</w:t>
            </w:r>
          </w:p>
        </w:tc>
        <w:tc>
          <w:tcPr>
            <w:tcW w:w="867" w:type="dxa"/>
          </w:tcPr>
          <w:p w14:paraId="0D199BB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1.Х</w:t>
            </w:r>
          </w:p>
        </w:tc>
        <w:tc>
          <w:tcPr>
            <w:tcW w:w="867" w:type="dxa"/>
          </w:tcPr>
          <w:p w14:paraId="2A77DA2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1.XI</w:t>
            </w:r>
          </w:p>
        </w:tc>
        <w:tc>
          <w:tcPr>
            <w:tcW w:w="867" w:type="dxa"/>
          </w:tcPr>
          <w:p w14:paraId="52F9E59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1.XII</w:t>
            </w:r>
          </w:p>
        </w:tc>
        <w:tc>
          <w:tcPr>
            <w:tcW w:w="685" w:type="dxa"/>
          </w:tcPr>
          <w:p w14:paraId="57EA75C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1.I</w:t>
            </w:r>
          </w:p>
        </w:tc>
        <w:tc>
          <w:tcPr>
            <w:tcW w:w="567" w:type="dxa"/>
          </w:tcPr>
          <w:p w14:paraId="58B5208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1.II</w:t>
            </w:r>
          </w:p>
        </w:tc>
        <w:tc>
          <w:tcPr>
            <w:tcW w:w="638" w:type="dxa"/>
          </w:tcPr>
          <w:p w14:paraId="37AE58C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1.III</w:t>
            </w:r>
          </w:p>
        </w:tc>
        <w:tc>
          <w:tcPr>
            <w:tcW w:w="1773" w:type="dxa"/>
          </w:tcPr>
          <w:p w14:paraId="368F98F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F3E15BA" w14:textId="77777777">
        <w:tc>
          <w:tcPr>
            <w:tcW w:w="867" w:type="dxa"/>
          </w:tcPr>
          <w:p w14:paraId="7D197F7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Кол-во</w:t>
            </w:r>
          </w:p>
        </w:tc>
        <w:tc>
          <w:tcPr>
            <w:tcW w:w="867" w:type="dxa"/>
          </w:tcPr>
          <w:p w14:paraId="563BCD3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4F3BF6C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4A76A3D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4478DC8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6BB1FED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2689597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7E3AE7D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5" w:type="dxa"/>
          </w:tcPr>
          <w:p w14:paraId="34DD6F1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DFA7CC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8" w:type="dxa"/>
          </w:tcPr>
          <w:p w14:paraId="7D91881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73" w:type="dxa"/>
          </w:tcPr>
          <w:p w14:paraId="531F34E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Включая с-ты,</w:t>
            </w:r>
          </w:p>
        </w:tc>
      </w:tr>
      <w:tr w:rsidR="005106D0" w:rsidRPr="007224C3" w14:paraId="0A504F20" w14:textId="77777777">
        <w:tc>
          <w:tcPr>
            <w:tcW w:w="867" w:type="dxa"/>
          </w:tcPr>
          <w:p w14:paraId="3BD4722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с-тов</w:t>
            </w:r>
          </w:p>
        </w:tc>
        <w:tc>
          <w:tcPr>
            <w:tcW w:w="867" w:type="dxa"/>
          </w:tcPr>
          <w:p w14:paraId="602C76D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24D72DA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6DFF57E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77DD0D6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76579D8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1A441D8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422DFF9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5" w:type="dxa"/>
          </w:tcPr>
          <w:p w14:paraId="79B3102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657EBEB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8" w:type="dxa"/>
          </w:tcPr>
          <w:p w14:paraId="4A68697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73" w:type="dxa"/>
          </w:tcPr>
          <w:p w14:paraId="22A40B4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находящиеся в</w:t>
            </w:r>
          </w:p>
        </w:tc>
      </w:tr>
      <w:tr w:rsidR="005106D0" w:rsidRPr="007224C3" w14:paraId="197C10CD" w14:textId="77777777">
        <w:tc>
          <w:tcPr>
            <w:tcW w:w="867" w:type="dxa"/>
          </w:tcPr>
          <w:p w14:paraId="45F82CE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Ли-2</w:t>
            </w:r>
          </w:p>
        </w:tc>
        <w:tc>
          <w:tcPr>
            <w:tcW w:w="867" w:type="dxa"/>
          </w:tcPr>
          <w:p w14:paraId="5CE08A0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650</w:t>
            </w:r>
          </w:p>
        </w:tc>
        <w:tc>
          <w:tcPr>
            <w:tcW w:w="867" w:type="dxa"/>
          </w:tcPr>
          <w:p w14:paraId="2D1C8AD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663</w:t>
            </w:r>
          </w:p>
        </w:tc>
        <w:tc>
          <w:tcPr>
            <w:tcW w:w="867" w:type="dxa"/>
          </w:tcPr>
          <w:p w14:paraId="3B06E81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675</w:t>
            </w:r>
          </w:p>
        </w:tc>
        <w:tc>
          <w:tcPr>
            <w:tcW w:w="867" w:type="dxa"/>
          </w:tcPr>
          <w:p w14:paraId="13039F7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687</w:t>
            </w:r>
          </w:p>
        </w:tc>
        <w:tc>
          <w:tcPr>
            <w:tcW w:w="867" w:type="dxa"/>
          </w:tcPr>
          <w:p w14:paraId="0D09668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698</w:t>
            </w:r>
          </w:p>
        </w:tc>
        <w:tc>
          <w:tcPr>
            <w:tcW w:w="867" w:type="dxa"/>
          </w:tcPr>
          <w:p w14:paraId="3CAF422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708</w:t>
            </w:r>
          </w:p>
        </w:tc>
        <w:tc>
          <w:tcPr>
            <w:tcW w:w="867" w:type="dxa"/>
          </w:tcPr>
          <w:p w14:paraId="2A88B3D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718</w:t>
            </w:r>
          </w:p>
        </w:tc>
        <w:tc>
          <w:tcPr>
            <w:tcW w:w="685" w:type="dxa"/>
          </w:tcPr>
          <w:p w14:paraId="596846B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727</w:t>
            </w:r>
          </w:p>
        </w:tc>
        <w:tc>
          <w:tcPr>
            <w:tcW w:w="567" w:type="dxa"/>
          </w:tcPr>
          <w:p w14:paraId="106E1E9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736</w:t>
            </w:r>
          </w:p>
        </w:tc>
        <w:tc>
          <w:tcPr>
            <w:tcW w:w="638" w:type="dxa"/>
          </w:tcPr>
          <w:p w14:paraId="6B97881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744</w:t>
            </w:r>
          </w:p>
        </w:tc>
        <w:tc>
          <w:tcPr>
            <w:tcW w:w="1773" w:type="dxa"/>
          </w:tcPr>
          <w:p w14:paraId="2F4C343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ремонте (1822,133).</w:t>
            </w:r>
          </w:p>
        </w:tc>
      </w:tr>
    </w:tbl>
    <w:p w14:paraId="479D54C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C92024" w14:textId="77777777" w:rsidR="008D055A" w:rsidRPr="007224C3" w:rsidRDefault="008D055A"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июня 1944 г. вышло постановление ГКО № 6095 об организации на заводе снаряжения PC М-8, М-13 и М-31. В 06.1945 г. завод полност ью вступил в строй, приступил к выпуску сельскохозяйственной техники. В 1947 г. освоено производство аммонита, введен в строй соответствующий цех. В 1955 г. введены в эксплуатацию два машиностроительных цеха. В 1959-60 г. проведена реконструкция завода, начинается строительство газового хозяйства.</w:t>
      </w:r>
    </w:p>
    <w:p w14:paraId="33E2EF7A" w14:textId="77777777" w:rsidR="008D055A" w:rsidRPr="007224C3" w:rsidRDefault="008D055A"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1960 г. имелся филиал завода по сборке боеприпасов.</w:t>
      </w:r>
    </w:p>
    <w:p w14:paraId="2409F277" w14:textId="77777777" w:rsidR="008D055A" w:rsidRPr="007224C3" w:rsidRDefault="008D055A"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1967 г. вступила в эксплуатацию мастерская по производству гранулита 79/21, в 1968 г.- мастерская по производству патронов из аммонита 6ЖВ. В 1969 г. построено здание механического цеха. В 1970 г. организовано производство ТНП. В 1972 г. введен в строй новый сборочный корпус, завод становится ведущим в отрасли по снаряжению и сборке боеприпасов. С 1989 г. начинается конверсия производства: налажен выпуск линолеуыа, изделий из полимербетона, мебели.</w:t>
      </w:r>
    </w:p>
    <w:p w14:paraId="2CA77C39" w14:textId="77777777" w:rsidR="008D055A" w:rsidRPr="007224C3" w:rsidRDefault="008D055A"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соответствии с пост. Правительства № 473 от 5.07.1992 г. завод определен базовым предприятием по расснаряжеиию и утилизации боеприпасов в Северо-Западном регионе. На заводе создана уникальная установка по выплавке тротила из крупнокалиберных боеприпасов.</w:t>
      </w:r>
    </w:p>
    <w:p w14:paraId="30556B01" w14:textId="77777777" w:rsidR="008D055A" w:rsidRPr="007224C3" w:rsidRDefault="008D055A"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Указом Президиума ВС СССР от 18.01.1971 г. завод награжден орденом Трудового Красного Знамени.</w:t>
      </w:r>
    </w:p>
    <w:p w14:paraId="57F6C61A" w14:textId="77777777" w:rsidR="008D055A" w:rsidRPr="007224C3" w:rsidRDefault="008D055A"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Указу Президента РФ № 1009 от 4.08.2004 г. вошло в перечень стратегических оборонных предприятий.</w:t>
      </w:r>
    </w:p>
    <w:p w14:paraId="311AAAE3" w14:textId="77777777" w:rsidR="008D055A" w:rsidRPr="007224C3" w:rsidRDefault="008D055A"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Численность персонала (11.1943 г.)- 1500 чел., (2004 г.)- 2000 чел.</w:t>
      </w:r>
    </w:p>
    <w:p w14:paraId="671A9F54" w14:textId="77777777" w:rsidR="008D055A" w:rsidRPr="007224C3" w:rsidRDefault="008D055A"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(1973 г.)- В.В. Мейпариани, (1975 г.-)- Л.И. Таньков, (1983 г.-)- В.П. Купцов. Гендиректор (1999- 2007 г.-)- Г .Б. Гилик, (-2008-09 г.-)- С. Раковский.</w:t>
      </w:r>
    </w:p>
    <w:p w14:paraId="035F43B1" w14:textId="77777777" w:rsidR="008D055A" w:rsidRPr="007224C3" w:rsidRDefault="008D055A"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Производство: взрывчатка: гранулит, аммонит (1960-е); зерносушилка ЗСП-1,5 (1950-е) (11982).</w:t>
      </w:r>
    </w:p>
    <w:p w14:paraId="78B49F89" w14:textId="77777777" w:rsidR="008D055A" w:rsidRPr="007224C3" w:rsidRDefault="008D055A" w:rsidP="007224C3">
      <w:pPr>
        <w:autoSpaceDE w:val="0"/>
        <w:autoSpaceDN w:val="0"/>
        <w:adjustRightInd w:val="0"/>
        <w:spacing w:after="0" w:line="240" w:lineRule="auto"/>
        <w:jc w:val="both"/>
        <w:rPr>
          <w:rFonts w:ascii="Times New Roman" w:hAnsi="Times New Roman"/>
          <w:color w:val="000000" w:themeColor="text1"/>
          <w:sz w:val="16"/>
          <w:szCs w:val="16"/>
        </w:rPr>
      </w:pPr>
    </w:p>
    <w:p w14:paraId="44593A7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июня 1944 вышел приказ НКАП N 411с в исполнение постановления ГКО о передаче бывшего 45 завода в Севастополе НКвоеннморфлоту (1647,52).</w:t>
      </w:r>
    </w:p>
    <w:p w14:paraId="2E25A0A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911F4D"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7E6AB7B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F17EE14"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24 июня по 1 августа 1944 года за период операции поражения по различным частям танков Т-34-85 распределялись следующим образом (всего было осмотрено около 150 Т-34-85):</w:t>
      </w:r>
    </w:p>
    <w:p w14:paraId="3415716C"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на башнях танков обнаружено 47% всех поражений, из которых в переднюю часть (вместе с маской) - 15%, в бортах 24% и корме 8%;</w:t>
      </w:r>
    </w:p>
    <w:p w14:paraId="35AD1540"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по корпусу попадания распределялись так: 16,2% в переднюю часть, из них 15% в верхний лобовой лист, и 35,2% в борта, из них 23,4% в подкрылки.</w:t>
      </w:r>
    </w:p>
    <w:p w14:paraId="4C1509FF"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Такое распределение объяснялось тем, что «башни танков Т-34-85 очень велики по сравнению с корпусом танка. С лобовой части поражаемая поверхность башни Т-34-85 почти равна поражаемой поверхности корпуса».</w:t>
      </w:r>
    </w:p>
    <w:p w14:paraId="5E2D5BFE"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своих выводах представители отдела эксплуатации 1-го Белорусского фронта сообщали следующее:</w:t>
      </w:r>
    </w:p>
    <w:p w14:paraId="0D2F0FBF"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«...Размещение боеприпасов в башнях... средних отечественных танков крайне нежелательно, так как до половины попаданий приходится на башню этих танков. Помещенные в башне боеприпасы воспламеняются, и служат причиной гибели как танка, так и экипажа.</w:t>
      </w:r>
    </w:p>
    <w:p w14:paraId="617BB826"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Боеприпасы из башен необходимо перенести в нижнюю часть боевого отделения - наименее поражаемую часть танка. Крайне желательно боеприпасы этих танков поместить в соответствующие кассеты, предохраняющие боеприпасы от поражения осколками при пробивании брони танка и башни.</w:t>
      </w:r>
    </w:p>
    <w:p w14:paraId="6254789F"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Размещение в боевом отделении средних отечественных танков рядом и вперемешку боеприпасов и баков с топливом крайне нежелательно. При поражении топливных баков разбрызганное воспламененное топливо поджигает боеприпасы и наоборот, воспламененные боеприпасы разрушают топливные баки и зажигают горючее.</w:t>
      </w:r>
    </w:p>
    <w:p w14:paraId="5DA45E67"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Топливные баки желательно перенести в зад танка, в наименее поражаемое место. Топливные баки должны быть изолированы от трансмиссионного отделения.</w:t>
      </w:r>
    </w:p>
    <w:p w14:paraId="05C66BD0"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Противопожарное оборудование на отечественных танках либо вовсе отсутствует, либо работает неудовлетворительно. Крайне желательно установить на отечественных танках приспособление автоматического тушения пожара, это частично сохранит жизнь экипажу, не могущему покинуть танк.</w:t>
      </w:r>
    </w:p>
    <w:p w14:paraId="2822CE99"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Учитывая высокий процент поражения в лобовую часть корпусов, необходимо лобовую броню по возможности усилить. Крайне желательно верхнюю лобовую броню Т-34-85 усилить хотя бы 25 мм экраном, наложенным непосредственно на броню.</w:t>
      </w:r>
    </w:p>
    <w:p w14:paraId="5A5C9AB9"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Учитывая возрастающую интенсивность применения противником кумулятивных противотанковых средств («Фауст» и «Офенрор»), необходимо принять меры защиты от них путем применения экранов на вновь изготовляемых танках» (12217).</w:t>
      </w:r>
    </w:p>
    <w:p w14:paraId="2DA88E90" w14:textId="77777777" w:rsidR="000340E9" w:rsidRPr="007224C3" w:rsidRDefault="000340E9" w:rsidP="007224C3">
      <w:pPr>
        <w:spacing w:after="0" w:line="240" w:lineRule="auto"/>
        <w:jc w:val="both"/>
        <w:rPr>
          <w:rFonts w:ascii="Times New Roman" w:hAnsi="Times New Roman"/>
          <w:color w:val="000000" w:themeColor="text1"/>
          <w:sz w:val="16"/>
          <w:szCs w:val="16"/>
        </w:rPr>
      </w:pPr>
    </w:p>
    <w:p w14:paraId="3671FE9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24 по 28 июня 1944 года на АНИОПе проходили испытания второго опытного образца артсамохода СУ-100. После проведения стрельбы в количестве 923 выстрела и пробега на 250 км государственная комиссия признала, что "тактико-технические показатели СУ-100 обеспечивают успешное поражение современных бронетанковых средств противника на дистанциях 1500 м для танков "Тигр" и "Пантера" вне зависимости от точки попадания снаряда, а для артсамохода "Фердинанд" только при попадании в бортовую броню, но с дистанции 2000 м" (9637).</w:t>
      </w:r>
    </w:p>
    <w:p w14:paraId="4E41676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E28FE96" w14:textId="77777777" w:rsidR="008D055A" w:rsidRPr="007224C3" w:rsidRDefault="008D055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24 по 27 июня 1944 на Гороховецком АНИОП проходили испытания второго опытного образца СУ-100, за это время машина прошла 250 км, из них 50 — с расстопоренным орудием. Также произвели 923 выстрела, из них 526 — усиленным зарядом. По итогам испытаний комиссия отметила девять пунктов исправлений по самоходной части и двенадцать по орудию и прицельным приспособлениям. Вместе с тем общий вердикт был однозначным: СУ-100 испытания выдержала и после доработок может быть принята на вооружение Красной армии. 3 июля Сталин подписал постановление ГКО №6131сс «Об организации производства самоходных артиллерийских установок СУ-100 на Уралмашзаводе Наркомата танковой промышленности и 100-мм пушек Д-10с на заводах №№8 и 9 Наркомата вооружения» (18252).</w:t>
      </w:r>
    </w:p>
    <w:p w14:paraId="45BB995B" w14:textId="77777777" w:rsidR="008D055A" w:rsidRPr="007224C3" w:rsidRDefault="008D055A" w:rsidP="007224C3">
      <w:pPr>
        <w:spacing w:after="0" w:line="240" w:lineRule="auto"/>
        <w:jc w:val="both"/>
        <w:rPr>
          <w:rFonts w:ascii="Times New Roman" w:hAnsi="Times New Roman"/>
          <w:color w:val="000000" w:themeColor="text1"/>
          <w:sz w:val="16"/>
          <w:szCs w:val="16"/>
        </w:rPr>
      </w:pPr>
    </w:p>
    <w:p w14:paraId="48F7223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период с 24 по 28 июня 1944 г. государственные испытания второго опытного образца СУ-100 бы</w:t>
      </w:r>
      <w:r w:rsidRPr="007224C3">
        <w:rPr>
          <w:rFonts w:ascii="Times New Roman" w:hAnsi="Times New Roman"/>
          <w:color w:val="000000" w:themeColor="text1"/>
          <w:sz w:val="16"/>
          <w:szCs w:val="16"/>
        </w:rPr>
        <w:softHyphen/>
        <w:t>ли проведены на Горохо</w:t>
      </w:r>
      <w:r w:rsidRPr="007224C3">
        <w:rPr>
          <w:rFonts w:ascii="Times New Roman" w:hAnsi="Times New Roman"/>
          <w:color w:val="000000" w:themeColor="text1"/>
          <w:sz w:val="16"/>
          <w:szCs w:val="16"/>
        </w:rPr>
        <w:softHyphen/>
        <w:t>вецком АНИОПе По результатам испытаний САУ была рекомендована для при нятия на вооруже</w:t>
      </w:r>
      <w:r w:rsidRPr="007224C3">
        <w:rPr>
          <w:rFonts w:ascii="Times New Roman" w:hAnsi="Times New Roman"/>
          <w:color w:val="000000" w:themeColor="text1"/>
          <w:sz w:val="16"/>
          <w:szCs w:val="16"/>
        </w:rPr>
        <w:softHyphen/>
        <w:t>ние (10703).</w:t>
      </w:r>
    </w:p>
    <w:p w14:paraId="4BE91A0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9894A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24 по 28 июня 1944 года на АНИОПе проходили испытания Су-100-2 Уралмаш. После проведения стрельбы в количестве 923 выстрелов и пробега в 250 км государственная комиссия признала, что "тактико-технические показатели СУ-100 обеспечивают успешное поражение современных бронетанковых средств противника на дистанциях 1500 метров для танков "Тигр" и "Пантера" вне зависимости от точки попадания снаряда, а для "Фердинанд" только при попадании в бортовую броню, но с дистанции 2000 метров" (3862).</w:t>
      </w:r>
    </w:p>
    <w:p w14:paraId="208A914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F4DBE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САУ СУ-100-2 с пушкой С-34 специальным поездом доставили на полигон в Гороховец в начале июля 1944 года (3862).</w:t>
      </w:r>
    </w:p>
    <w:p w14:paraId="12A5688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A8496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июня 1944 вышло Распоряжение ГКО № 6089. О сокращении плана восстановительных работ НКзага в Ленинграде. РГАНИР, Фонд ГКО, д. 265, лл. 139 (11012).</w:t>
      </w:r>
    </w:p>
    <w:p w14:paraId="4913E08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A98C62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июня 1944 вышло Распоряжение ГКО № 6090. Об изменении объема валового выпуска по ленинградским заводам НКСМ на 1944 г. РГАНИР, Фонд ГКО, д. 265, лл. 140 (11012).</w:t>
      </w:r>
    </w:p>
    <w:p w14:paraId="71F6815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8CD934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июня 1944 вышло Распоряжение ГКО № 6091. О выделении жилых домов заводу № 302 НКСП в Киеве. РГАНИР, Фонд ГКО, д. 265, лл. 141 (11012).</w:t>
      </w:r>
    </w:p>
    <w:p w14:paraId="21987B3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1BCA89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июня 1944 вышло Постановление ГКО № 6092 О мерах неотложной помощи Головинскому карьероуправлению по добыче гранита Наркомстройматериалов СССР. РГАНИР, Фонд ГКО, д. 265, лл. 142-145 (11012).</w:t>
      </w:r>
    </w:p>
    <w:p w14:paraId="6D9C124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776FA6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июня 1944 вышло Постановление ГКО № 6093 Об обеспечении боеприпасов спецукупоркой и создании запасов пиловочного сырья и пиломатериалов для ее изготовления. РГАНИР, Фонд ГКО, д. 265, лл. 146-163,164-229 (11012).</w:t>
      </w:r>
    </w:p>
    <w:p w14:paraId="4A71009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C3032B0"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июня 1944 вышло Постановление ГКО № 6094 О первоочередных мероприятиях по восстановлению портов и судоремонтных заводов Наркомморфлота в городах Одессе, Николаеве и Херсоне. (7243, 1-6,7-25).</w:t>
      </w:r>
    </w:p>
    <w:p w14:paraId="10156C9F"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0F4CBC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июня 1944 вышло Постановление ГКО № 6095 Об организации снаряжения реактивных снарядов М-8, М-13 и М-31 на заводе № 121 Наркомбоеприпасов. РГАНИР, Фонд ГКО, д. 266, лл. 26-31,32-35 (11012).</w:t>
      </w:r>
    </w:p>
    <w:p w14:paraId="6A3A7E1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104084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июня 1944 вышло Постановление ГКО № 6096 Об окончании строительства и пуска особого завода № 862 НКБ. РГАНИР, Фонд ГКО, д. 266, лл. 36-39,40-46 (11012).</w:t>
      </w:r>
    </w:p>
    <w:p w14:paraId="72BF6AE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475269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июня 1944 вышло Постановление ГКО № 6097 О строительстве складов упрощенного типа для хранения импортных порохов. РГАНИР, Фонд ГКО, д. 266, лл. 47-52,53-54 (11012).</w:t>
      </w:r>
    </w:p>
    <w:p w14:paraId="0D554BE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C4D1AA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июня 1944 вышло Постановление ГКО № 6098 Об организации военизированной охраны НКВД на взрывоопасных заводах НКБ. РГАНИР, Фонд ГКО, д. 266, лл. 55-56 (11012).</w:t>
      </w:r>
    </w:p>
    <w:p w14:paraId="55056F8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C94AAF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июня 1944 вышло Постановление ГКО № 6099 О строительстве взлетно-посадочной полосы из металлических звеньев на аэродроме Иоканьга для Наркомвоенморфлота. РГАНИР, Фонд ГКО, д. 266, лл. 57-60,61-63 (11012).</w:t>
      </w:r>
    </w:p>
    <w:p w14:paraId="7E6EC70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AD62B76"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июня 1944 вышло Постановление ГКО № 6101 Об обеспечении железных дорог дровами. (7243, 65-71,72-76).</w:t>
      </w:r>
    </w:p>
    <w:p w14:paraId="054E387E"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4D9FF8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июня 1944 вышло Постановление ГКО № 6103 О мерах помощи по восстановлению нефтебаз в г. Ленинграде и Ленинградской области. РГАНИР, Фонд ГКО, д. 266, лл. 93-96,97-100 (11012).</w:t>
      </w:r>
    </w:p>
    <w:p w14:paraId="5A2CE25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6F5017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июня 1944 вышло Постановление ГКО № 6104 О мероприятиях по восстановлению Ефремовского завода синтетического каучука (СК-3) Наркомрезинпрома. РГАНИР, Фонд ГКО, д. 266, лл. 101-105,106-110 (11012).</w:t>
      </w:r>
    </w:p>
    <w:p w14:paraId="00454F5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E0105FB"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июня 1944 вышло Постановление ГКО № 6102 О расширении научно-исследовательской и производственной баз гидролокационной и шумопеленгаторной аппаратуры и приборов подводной связи. (7243, 77-84,85-92).</w:t>
      </w:r>
    </w:p>
    <w:p w14:paraId="084F5E6E"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7E66791"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июня 1944 вышло Постановление ГКО № 6105 О мероприятиях по обеспечению ввода новых мощностей на стройках Наркомата черной металлургии, осуществляемых НКВД СССР во II полугодии 1944 г. (7243, 111-113,114-156).</w:t>
      </w:r>
    </w:p>
    <w:p w14:paraId="0D201C11"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3E16B5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июня 1944 вышло Постановление ГКО № 6106 Об организации производства реактивных снарядов М-13 на заводе № 79 НКБ в г. Днепропетровске. РГАНИР, Фонд ГКО, д. 266, лл. 157-163,164-173 (11012).</w:t>
      </w:r>
    </w:p>
    <w:p w14:paraId="19E037D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9CBB66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июня 1944 вышло Постановление ГКО № 6107 Об обеспечении серным сырьем предприятий Наркомхимпрома, Наркомбоеприпасов и Наркомбумпрома. РГАНИР, Фонд ГКО, д. 266, лл. 174-176 (11012).</w:t>
      </w:r>
    </w:p>
    <w:p w14:paraId="27228D0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38A058F"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июня 1944 вышло Постановление ГКО № 6108 [О передаче завода № 05 НКЦМ в систему НКБ.] (7243, 177).</w:t>
      </w:r>
    </w:p>
    <w:p w14:paraId="110436FD"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9BE3B15"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июня 1944 вышло Постановление ГКО № 6109 Об обеспечении завоза продовольственных и промышленных товаров строительству № 500 НКВД СССР на межнавигационный период 1944-1945 гг. (7243, 178-180,181-190).</w:t>
      </w:r>
    </w:p>
    <w:p w14:paraId="41ED9727"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2CC9D0A"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июня 1944 вышло Постановление ГКО № 6110 Об улучшении материально-бытового положения контингентов, занятых на строительстве железнодорожной магистрали Коноша - Воркута. (7243, 191-192).</w:t>
      </w:r>
    </w:p>
    <w:p w14:paraId="0EB17BBA"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9E4420C"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24 июня 1944 вышло Постановление ГКО № 6111 О неотложных мерах по обеспечению ремонта и восстановления грузовых вагонов и паровозов в июне и III квартале </w:t>
      </w:r>
      <w:r w:rsidRPr="007224C3">
        <w:rPr>
          <w:rFonts w:ascii="Times New Roman" w:hAnsi="Times New Roman"/>
          <w:color w:val="000000" w:themeColor="text1"/>
          <w:sz w:val="16"/>
          <w:szCs w:val="16"/>
        </w:rPr>
        <w:lastRenderedPageBreak/>
        <w:t>1944 г. (7243, 193-205,206-214).</w:t>
      </w:r>
    </w:p>
    <w:p w14:paraId="54C69808"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1C3444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июня 1944 вышло Постановление ГКО № 6112 О восстановлении нефтебаз в правобережных областях Украинской ССР. РГАНИР, Фонд ГКО, д. 266, лл. 215-219,220-226 (11012).</w:t>
      </w:r>
    </w:p>
    <w:p w14:paraId="1B1FE5D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1C10E7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июня 1944 г. ГКО принял поста</w:t>
      </w:r>
      <w:r w:rsidRPr="007224C3">
        <w:rPr>
          <w:rFonts w:ascii="Times New Roman" w:hAnsi="Times New Roman"/>
          <w:color w:val="000000" w:themeColor="text1"/>
          <w:sz w:val="16"/>
          <w:szCs w:val="16"/>
        </w:rPr>
        <w:softHyphen/>
        <w:t>новление "О первоочередных мероприятиях по восстановлению портов и судоремонтных заводов НКМФ в городах Одессе, Никола</w:t>
      </w:r>
      <w:r w:rsidRPr="007224C3">
        <w:rPr>
          <w:rFonts w:ascii="Times New Roman" w:hAnsi="Times New Roman"/>
          <w:color w:val="000000" w:themeColor="text1"/>
          <w:sz w:val="16"/>
          <w:szCs w:val="16"/>
        </w:rPr>
        <w:softHyphen/>
        <w:t>еве, Херсоне" (3898).</w:t>
      </w:r>
    </w:p>
    <w:p w14:paraId="5655EA1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033B6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июня 1944 Закончены государственные испытания и переданы флоту головной ТЩ ждановцев (построен за 11 мес.) и 13-й МБК адмиралтейцев (построен за 6 мес.; сдан раньше срока на месяц) (10671).</w:t>
      </w:r>
    </w:p>
    <w:p w14:paraId="4C0B4C6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87E6DF8"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554DB48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113C5C3" w14:textId="77777777" w:rsidR="00061B7B" w:rsidRPr="007224C3" w:rsidRDefault="00061B7B"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24 июня</w:t>
      </w:r>
      <w:r w:rsidRPr="007224C3">
        <w:rPr>
          <w:rFonts w:ascii="Times New Roman" w:hAnsi="Times New Roman"/>
          <w:color w:val="000000" w:themeColor="text1"/>
          <w:sz w:val="16"/>
          <w:szCs w:val="16"/>
        </w:rPr>
        <w:t xml:space="preserve"> в 1944 году оперативная сводка Совинформбюро:</w:t>
      </w:r>
    </w:p>
    <w:p w14:paraId="0E968317" w14:textId="77777777" w:rsidR="00061B7B" w:rsidRPr="007224C3" w:rsidRDefault="00061B7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Карельского фронта севернее Онежского озера, сломив сопротивление противника, полностью овладели крупным районным центром Карело-Финской ССР городом Медвежьегорск.</w:t>
      </w:r>
    </w:p>
    <w:p w14:paraId="3F2FB424" w14:textId="77777777" w:rsidR="00061B7B" w:rsidRPr="007224C3" w:rsidRDefault="00061B7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того же фронта, развивая наступление севернее и восточнее Лодейного Поля, форсировали реку Свирь на всём протяжении от Онежского озера до Ладожского озера и, прорвав сильно укреплённую оборону противника, продвинулись вперёд за три дня наступательных боёв от 20 до 30 километров, заняли более 200 населённых пунктов, среди которых Михайловское, Мегрозеро, Печная Сельга, Бережная, Микентьева.</w:t>
      </w:r>
    </w:p>
    <w:p w14:paraId="241E980E" w14:textId="77777777" w:rsidR="00061B7B" w:rsidRPr="007224C3" w:rsidRDefault="00061B7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Северо-западнее и западнее города Витебск наши войска, продолжая успешное наступление, за два дня боёв продвинулись вперёд от 20 до 40 километров и расширили прорыв до 80 километров по фронту. За 24 июня на этом участке фронта нашими войсками освобождено более 200 населённых пунктов, в том числе крупные населённые пункты Ходоровка, Долгая Нива, Прыгунова, Мясоедово, Залесье, Загорье, Мишковичи, Барановские, Вишневка, Кутино, Андросо Вичи, Дубровское, Ужлятина и железнодорожная станция Ловша. Наши войска вышли к реке Западная Двина на фронте в 35 километров.</w:t>
      </w:r>
    </w:p>
    <w:p w14:paraId="44BC15CC" w14:textId="77777777" w:rsidR="00061B7B" w:rsidRPr="007224C3" w:rsidRDefault="00061B7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и южнее города Витебск наши войска, продолжая развивать наступление, за два дня боёв продвинулись вперёд до 25 километров и расширили прорыв до 80 километров по фронту. За 24 июня на этом участке фронта нашими войсками освобождено более 150 населённых пунктов, в том числе крупные населённые пункты Роги, Заозерье (8 км юго-западнее Витебска), Хамищево, Плиссы, Замощенье, Задорожье, Верхнее и Нижнее Александрово Филево, Ског, Верхняя и Нижняя Гряда, Лучеса, Большая Щитовка, Рыжики и железнодорожные станции Сосновка, Лучковское.</w:t>
      </w:r>
    </w:p>
    <w:p w14:paraId="7E9CFC3C" w14:textId="77777777" w:rsidR="00061B7B" w:rsidRPr="007224C3" w:rsidRDefault="00061B7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ОршанскоМ направлении наши войска, перейдя в наступление, прорвали сильно укреплённую оборону противника южнее Бабиновичи на фронте протяжением 20 километров и, преодолевая сильное сопротивление немцев, продвинулись в глубину до 15 километров. Нашими войсками занято более 50 населённых пунктов, в том числе крупные населённые пункты Озерище, Веретея, Остров Юрьев, Шибаны, Старина, Замошье, Старые Холмы, Забежница.</w:t>
      </w:r>
    </w:p>
    <w:p w14:paraId="678594C9" w14:textId="77777777" w:rsidR="00061B7B" w:rsidRPr="007224C3" w:rsidRDefault="00061B7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Могилевском направлении наши войска, перейдя в наступление, форсировали реку Проня, прорвали сильно укреплённую оборону противника севернее Чаус и продвинулись вперёд до 20 километров, расширив прорыв до 50 километров по фронту. Нашими войсками освобождено более 70 населённых пунктов. Среди них крупные населённые пункты Старый Прибуж, Воловичи, Заложье, Будино, Радучи, Большое Щек0тов0, Слободка, Шестаки, Жаковка, Черневка, Коровчино, Хоньковичи, Поповна, Разинка, Чернавцы, Беливица.</w:t>
      </w:r>
    </w:p>
    <w:p w14:paraId="0AA9E121" w14:textId="77777777" w:rsidR="00061B7B" w:rsidRPr="007224C3" w:rsidRDefault="00061B7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 без существенных изменений.</w:t>
      </w:r>
    </w:p>
    <w:p w14:paraId="322E5700" w14:textId="77777777" w:rsidR="00061B7B" w:rsidRPr="007224C3" w:rsidRDefault="00061B7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23 июня в воздушных боях и огнём зенитной артиллерии уничтожено 54 самолёта противника.</w:t>
      </w:r>
    </w:p>
    <w:p w14:paraId="36CC74B1" w14:textId="77777777" w:rsidR="00061B7B" w:rsidRPr="007224C3" w:rsidRDefault="00061B7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Финны разграбили и разрушили Свирскую гидроэлектростанцию</w:t>
      </w:r>
    </w:p>
    <w:p w14:paraId="5CA56E09" w14:textId="77777777" w:rsidR="00061B7B" w:rsidRPr="007224C3" w:rsidRDefault="00061B7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Карельского фронта освободили от финских захватчиков Свирскую гидростанцию. Финские гитлеровцы разграбили и разрушили это крупнейшее энергетическое сооружение. Во время отступления финны вывезли аппаратуру, кабели, медные шины, моторы, лифты и другое оборудование станции, взорвали четыре главных турбины и две вспомогательных, сожгли генераторы, разрушили трансформаторы и взорвали мосты. Финские варвары полностью сожгли рабочий посёлок Свирской гидростанции.</w:t>
      </w:r>
    </w:p>
    <w:p w14:paraId="517B30E6" w14:textId="77777777" w:rsidR="00061B7B" w:rsidRPr="007224C3" w:rsidRDefault="00061B7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Лавры немецких фашистов не дают покоя правящей клике Финляндии. Финские мерзавцы, связавшие свою судьбу с фашистской Германией, стараются не отстать от гитлеровских погромщиков. Отступая под ударами Красной Армии, финны превращают советскую территорию в «зону пустыни».</w:t>
      </w:r>
    </w:p>
    <w:p w14:paraId="7E0FDB64" w14:textId="77777777" w:rsidR="00061B7B" w:rsidRPr="007224C3" w:rsidRDefault="00061B7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Красная Армия гонит холопов Гитлера прочь с советской земли. В звериной злобе финские бандиты уничтожают наши сёла и города, предприятия, построенные советским народом на свои трудовые сбережения. На что рассчитывают, на что надеются оголтелые разбойники и поджигатели, дышащие на ладан? Пусть знают финские гитлеровцы, что советский народ не простит им ни одного преступления, совершённого ими на советской земле, и потребует полного возмещения убытков, причинённых финнами Советскому Союзу.</w:t>
      </w:r>
    </w:p>
    <w:p w14:paraId="4160847D" w14:textId="77777777" w:rsidR="00061B7B" w:rsidRPr="007224C3" w:rsidRDefault="00061B7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Северо-западнее и западнее города Витебск части Н-ского соединения, продвигаясь вперёд, разгромили крупное соединение немцев. Только на одном участке уничтожено более 2 тысяч гитлеровцев и захвачено 6 танков, 60 орудий, много миномётов, пулемётов и окладов с различным военным имуществом. Под ударами наших частей гитлеровцы откатываются, бросая на своем пути вооружение и военные мате риалы. Советские войска вышли к реке Западная Двина на фронте в 35 километров.</w:t>
      </w:r>
    </w:p>
    <w:p w14:paraId="2EC77E50" w14:textId="77777777" w:rsidR="00061B7B" w:rsidRPr="007224C3" w:rsidRDefault="00061B7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Наша авиация наносила удары по артиллерийским позициям, скоплениям войск и коммуникациям противника. Уничтожено 150 автомашин и 180 повозок с пехотой и грузами, разбит бронепоезд, несколько железнодорожных эшелонов и 5 цистерн с горючим. Подавлен огонь 20 артиллерийских и миномётных батарей. В воздушных боях наши лётчики сбили 11 немецких самолётов.</w:t>
      </w:r>
    </w:p>
    <w:p w14:paraId="364580CE" w14:textId="77777777" w:rsidR="00061B7B" w:rsidRPr="007224C3" w:rsidRDefault="00061B7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и южнее города Витебск противник спешно подтягивает резервы и с хода бросает их в бой. Немцы стремятся любой ценой задержать продвижение наших войск. Не давая врагу опомниться и привести в порядок свои разбитые и дезорганизованные соединения, советские части настойчиво продвигаются вперёд. По неполным данным, враг потерял за день до 3.500 солдат и офицеров, 74 орудия и 137 пулемётов.</w:t>
      </w:r>
    </w:p>
    <w:p w14:paraId="236B2C17" w14:textId="77777777" w:rsidR="00061B7B" w:rsidRPr="007224C3" w:rsidRDefault="00061B7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Советские бомбардировщики и штурмовики наносят непрерывные удары по живой силе и технике противника. Наши истребители в воздушных боях сбили 15 немецких самолётов.</w:t>
      </w:r>
    </w:p>
    <w:p w14:paraId="61872C3F" w14:textId="77777777" w:rsidR="00061B7B" w:rsidRPr="007224C3" w:rsidRDefault="00061B7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Могилёвском направлении наши войска, после сильного артиллерийского обстрела и бомбардировки позиций противника с воздуха, перешли в наступление. Советская пехота быстро форсировала реку Проня. Враг построил на западном берегу этой реки оборонительный рубеж, состоящий из многочисленных дзотов и нескольких линий траншей полного профиля. Советские войска мощным ударом прорвали оборону противника и, развивая успех, продвинулись вперёд до 20 километров. В траншеях и ходах сообщений осталось много вражеских трупов. Только на одном небольшом участке подсчитано 600 убитых гитлеровцев.</w:t>
      </w:r>
    </w:p>
    <w:p w14:paraId="19B94814" w14:textId="77777777" w:rsidR="00061B7B" w:rsidRPr="007224C3" w:rsidRDefault="00061B7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Партизанский отряд имени Героя Советского Союза Заслонова напал на немецкий гарнизон в одном населённом пункте Витебской области. В ожесточённой рукопашной схватке партизаны истребили 40 гитлеровцев и захватили большие трофеи. Партизанский отряд «Гроза» за один день пустил под откос 3 немецких воинских эшелона. Разбито 3 паровоза, 16 вагонов и платформ с военным грузом.»</w:t>
      </w:r>
    </w:p>
    <w:p w14:paraId="740EDCE9" w14:textId="77777777" w:rsidR="00061B7B" w:rsidRPr="007224C3" w:rsidRDefault="00061B7B" w:rsidP="007224C3">
      <w:pPr>
        <w:spacing w:after="0" w:line="240" w:lineRule="auto"/>
        <w:jc w:val="both"/>
        <w:rPr>
          <w:rFonts w:ascii="Times New Roman" w:hAnsi="Times New Roman"/>
          <w:color w:val="000000" w:themeColor="text1"/>
          <w:sz w:val="16"/>
          <w:szCs w:val="16"/>
        </w:rPr>
      </w:pPr>
    </w:p>
    <w:p w14:paraId="793DD8F1" w14:textId="77777777" w:rsidR="008D055A" w:rsidRPr="007224C3" w:rsidRDefault="008D055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ночь с 24 на 25 июня 1944 45-я АДДД получила приказ бомбить железнодо</w:t>
      </w:r>
      <w:r w:rsidRPr="007224C3">
        <w:rPr>
          <w:rFonts w:ascii="Times New Roman" w:hAnsi="Times New Roman"/>
          <w:color w:val="000000" w:themeColor="text1"/>
          <w:sz w:val="16"/>
          <w:szCs w:val="16"/>
        </w:rPr>
        <w:softHyphen/>
        <w:t>рожный узел Орша (Белоруссия). В 23 ч. 50 мин. корабли начали взлетать. Когда взлетели три машины, из штаба АДД по</w:t>
      </w:r>
      <w:r w:rsidRPr="007224C3">
        <w:rPr>
          <w:rFonts w:ascii="Times New Roman" w:hAnsi="Times New Roman"/>
          <w:color w:val="000000" w:themeColor="text1"/>
          <w:sz w:val="16"/>
          <w:szCs w:val="16"/>
        </w:rPr>
        <w:softHyphen/>
        <w:t>ступил приказ об отмене боевого зада</w:t>
      </w:r>
      <w:r w:rsidRPr="007224C3">
        <w:rPr>
          <w:rFonts w:ascii="Times New Roman" w:hAnsi="Times New Roman"/>
          <w:color w:val="000000" w:themeColor="text1"/>
          <w:sz w:val="16"/>
          <w:szCs w:val="16"/>
        </w:rPr>
        <w:softHyphen/>
        <w:t>ния. Немедленно был прекращен взлет, а экипажам, находящимся в воздухе, был отдан приказ возвращаться, что они и сделали (19559).</w:t>
      </w:r>
    </w:p>
    <w:p w14:paraId="54B890F5" w14:textId="77777777" w:rsidR="008D055A" w:rsidRPr="007224C3" w:rsidRDefault="008D055A" w:rsidP="007224C3">
      <w:pPr>
        <w:spacing w:after="0" w:line="240" w:lineRule="auto"/>
        <w:jc w:val="both"/>
        <w:rPr>
          <w:rFonts w:ascii="Times New Roman" w:hAnsi="Times New Roman"/>
          <w:color w:val="000000" w:themeColor="text1"/>
          <w:sz w:val="16"/>
          <w:szCs w:val="16"/>
        </w:rPr>
      </w:pPr>
    </w:p>
    <w:p w14:paraId="479DE723" w14:textId="77777777" w:rsidR="00061B7B" w:rsidRPr="007224C3" w:rsidRDefault="00061B7B"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24 июня</w:t>
      </w:r>
      <w:r w:rsidRPr="007224C3">
        <w:rPr>
          <w:rFonts w:ascii="Times New Roman" w:hAnsi="Times New Roman"/>
          <w:color w:val="000000" w:themeColor="text1"/>
          <w:sz w:val="16"/>
          <w:szCs w:val="16"/>
        </w:rPr>
        <w:t xml:space="preserve"> в 1944 году началась Белорусская стратегическая наступательная операция («Багратион»). Проводилась войсками 1-го Прибалтийского (генерал армии И.X.Баграмян), 1-го (Маршал Советского Союза К.К.Рокоссовский), 2-го (генерал армии Г.Ф.Захаров) и 3-го (генерал армии И.Д.Черняховский) Белорусских фронтов npи участии Днепровской военной флотилии (контр-адмирал В.В.Григорьев). В составе 1-го Белорусского фронта действовала 1-я армия Войска Польского (генерал-лейтенант С.Г.Поплавский). В ходе операции, завершившейся 29 августа 1944 г., советские войска разгромили одну из наиболее сильных группировок вермахта — группу армий «Центр» (17 дивизий и 3 бригады уничтожены, а 50 дивизий потеряли более половины своего состава). Были освобождены Белорусская ССР, часть Литовской и Латвийской ССР. Красная Армия вступила на территорию Полыни и продвинулась к границам Восточной Пруссии. Для стабилизации линии фронта германское командование было вынуждено перебросить в Белоруссию значительные силы, что облегчило англо-американским войскам ведение боевых действий во Франции (14932).</w:t>
      </w:r>
    </w:p>
    <w:p w14:paraId="0FB90548" w14:textId="77777777" w:rsidR="00061B7B" w:rsidRPr="007224C3" w:rsidRDefault="00061B7B" w:rsidP="007224C3">
      <w:pPr>
        <w:spacing w:after="0" w:line="240" w:lineRule="auto"/>
        <w:jc w:val="both"/>
        <w:rPr>
          <w:rFonts w:ascii="Times New Roman" w:hAnsi="Times New Roman"/>
          <w:color w:val="000000" w:themeColor="text1"/>
          <w:sz w:val="16"/>
          <w:szCs w:val="16"/>
        </w:rPr>
      </w:pPr>
    </w:p>
    <w:p w14:paraId="480C4D48" w14:textId="77777777" w:rsidR="00061B7B" w:rsidRPr="007224C3" w:rsidRDefault="00061B7B"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24 июня</w:t>
      </w:r>
      <w:r w:rsidRPr="007224C3">
        <w:rPr>
          <w:rFonts w:ascii="Times New Roman" w:hAnsi="Times New Roman"/>
          <w:color w:val="000000" w:themeColor="text1"/>
          <w:sz w:val="16"/>
          <w:szCs w:val="16"/>
        </w:rPr>
        <w:t xml:space="preserve"> в 1944 году Ставкой ВГК дана директива командующему войсками 1-го Украинского фронта о подготовке и проведении наступательной операции на львовском и рава-русском направлениях (14932).</w:t>
      </w:r>
    </w:p>
    <w:p w14:paraId="1AFDB0DB" w14:textId="77777777" w:rsidR="00061B7B" w:rsidRPr="007224C3" w:rsidRDefault="00061B7B" w:rsidP="007224C3">
      <w:pPr>
        <w:spacing w:after="0" w:line="240" w:lineRule="auto"/>
        <w:jc w:val="both"/>
        <w:rPr>
          <w:rFonts w:ascii="Times New Roman" w:hAnsi="Times New Roman"/>
          <w:color w:val="000000" w:themeColor="text1"/>
          <w:sz w:val="16"/>
          <w:szCs w:val="16"/>
        </w:rPr>
      </w:pPr>
    </w:p>
    <w:p w14:paraId="1176720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С 24 июня 1944, не надеясь удержать Могилев, немцы  начали вывозить по железной дороге тяжелую технику и ценные грузы. Штурмовики 233-й и 230-й шад 4-й ВА получили задачу сорвать перевозки противника по железной дороге. В результате массированных налетов движение на железных дорогах от Могилева было </w:t>
      </w:r>
      <w:r w:rsidRPr="007224C3">
        <w:rPr>
          <w:rFonts w:ascii="Times New Roman" w:hAnsi="Times New Roman"/>
          <w:color w:val="000000" w:themeColor="text1"/>
          <w:sz w:val="16"/>
          <w:szCs w:val="16"/>
        </w:rPr>
        <w:lastRenderedPageBreak/>
        <w:t>полностью дезорганизовано. Только на станциях Шклов и Копысь скопилось около 500 вагонов. Осмотр специальной комиссией установил, что на ст. Шклов до 25% подвижного состава было выведено из строя действиями Ил-2 (12020).</w:t>
      </w:r>
    </w:p>
    <w:p w14:paraId="0801B11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3F48A5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июня 1944 первые серийные истребители Ла-7 московского производства, которые поступили в 19-й иап на Белорусском фронте, совершили первый боевой вылет в ходе операции "Багратион" - наступления в Белоруссии. По данным Г. Серова, первые подтверждённые победы на этих машинах одержали 7 июля 1944 г. старший лейтенант В.П. Петров и капитан А.Я. Баклан, уничтожившие в районе Берёзовки по одному немецкому истребителю Bf 109. С августа этот полк за боевые заслуги стал гвардейским, получив новое наименование - 176-й гв. Иап (11986).</w:t>
      </w:r>
    </w:p>
    <w:p w14:paraId="176B04A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F9ED34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C 24 по 29 июня 1944 прошла Бобруйская операция - часть Белорусской операции. Окружили 40 тыс. группировку и продвинулись на 100-140 км, создав условия для наступления на Минск и Барановичи (2438,109).</w:t>
      </w:r>
    </w:p>
    <w:p w14:paraId="0B1C761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ходе Бобруйской операции из-за плохих метеоусловий авиаподготовка ограничивалась действиями нба (518,135).</w:t>
      </w:r>
    </w:p>
    <w:p w14:paraId="5DEAC01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подготовке Бобруйской операции на воздушную разведку ВА затрачивалось до 40% всех самолетовылетов (518,121).</w:t>
      </w:r>
    </w:p>
    <w:p w14:paraId="11D848F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ходе операции на уничтожение окруженной группировки противника было затрачено 6% самолето-вылетов (518,181).</w:t>
      </w:r>
    </w:p>
    <w:p w14:paraId="3173E2F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D67F7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июня 1944 началось наступление 1БФ. В ночной подготовке задействовали 303 дб и 250 вылетов сделали две нбад 16ВА. Днем 24 в 12 и 17 час. б и ш 16ВА нанесли два массированных удара по опорным пунктам в районах Большая Кувшинова и Тихоновичи (340,172).</w:t>
      </w:r>
    </w:p>
    <w:p w14:paraId="50E49D0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68A9C5"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июня 1944 советские войска начали Бобруйскую наступательную операцию (4962).</w:t>
      </w:r>
    </w:p>
    <w:p w14:paraId="6345EC6A"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C8B967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июня 1944 согласно сообщению Совинформбюро западнее Витебска авиация наносила удары по арт. позициям, скоплениям войск и коммуникациям, в результате чего уничтожили 150 а/м и 180 повозок, разбит бронепоезд, несколько эшелонов, 20 батарей и т.п. Сбили 26 с (438,911).</w:t>
      </w:r>
    </w:p>
    <w:p w14:paraId="62184C0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2907C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июня 1944 командование 1УФ получило директиву Ставки ВГК - нанести два мощных удара разгромив равва-русскую и львовские группировки и овладеть рубежом Хрубешув, Томашув, Яворов, Галич. Там были ГА Северная Украина из 1 и 4ТА и 1-я армия хортистской Венгрии - всего 40 д и 2 пехотные бригады + 4ВФ - 700 машин и могли привлечь 300-400 самолетов 6ВФ. У 1УФ была 2ВА (г С.А.Красовский). В начале июня ее усилили 4 ак и 2 иад РВГК (340,178).</w:t>
      </w:r>
    </w:p>
    <w:p w14:paraId="161D0ED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CF90B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июня 1944 г. было подгототвлено ПОЛОЖЕНИЕ ОБ АВТОМОБИЛЬНО-ТЕХНИЧЕСКОМ КОМИТЕТЕ ГЛАВНОГО АВТОМОБИЛЬНОГО УПРАВЛЕНИЯ КРАСНОЙ АРМИИ</w:t>
      </w:r>
    </w:p>
    <w:p w14:paraId="7CEECBC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«Утверждаю» Начальник Главного автомобильного</w:t>
      </w:r>
    </w:p>
    <w:p w14:paraId="700CD70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управления Красной Армии генерал-лейтенант технических войск Тягунов</w:t>
      </w:r>
    </w:p>
    <w:p w14:paraId="37A20ED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Автомобильно-технический комитет является центральным органом в системе Главного ав</w:t>
      </w:r>
      <w:r w:rsidRPr="007224C3">
        <w:rPr>
          <w:rFonts w:ascii="Times New Roman" w:hAnsi="Times New Roman"/>
          <w:color w:val="000000" w:themeColor="text1"/>
          <w:sz w:val="16"/>
          <w:szCs w:val="16"/>
        </w:rPr>
        <w:softHyphen/>
        <w:t>томобильного управления Красной Армии, объединяющим всю научно-техническую работу по во</w:t>
      </w:r>
      <w:r w:rsidRPr="007224C3">
        <w:rPr>
          <w:rFonts w:ascii="Times New Roman" w:hAnsi="Times New Roman"/>
          <w:color w:val="000000" w:themeColor="text1"/>
          <w:sz w:val="16"/>
          <w:szCs w:val="16"/>
        </w:rPr>
        <w:softHyphen/>
        <w:t>енно-автомобильному делу.</w:t>
      </w:r>
    </w:p>
    <w:p w14:paraId="5F21471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Членами Автомобильно-технического комитета являются: начальники управлений ГАВТУ КА, заместители начальника Автомобильно-технического комитета, представители Гене</w:t>
      </w:r>
      <w:r w:rsidRPr="007224C3">
        <w:rPr>
          <w:rFonts w:ascii="Times New Roman" w:hAnsi="Times New Roman"/>
          <w:color w:val="000000" w:themeColor="text1"/>
          <w:sz w:val="16"/>
          <w:szCs w:val="16"/>
        </w:rPr>
        <w:softHyphen/>
        <w:t>рального штаба и начальника Тыла КА, отдельные научно-технические работники научных учреж</w:t>
      </w:r>
      <w:r w:rsidRPr="007224C3">
        <w:rPr>
          <w:rFonts w:ascii="Times New Roman" w:hAnsi="Times New Roman"/>
          <w:color w:val="000000" w:themeColor="text1"/>
          <w:sz w:val="16"/>
          <w:szCs w:val="16"/>
        </w:rPr>
        <w:softHyphen/>
        <w:t>дений страны и промышленности. Состав Автомобильно-технического комитета утверждается при</w:t>
      </w:r>
      <w:r w:rsidRPr="007224C3">
        <w:rPr>
          <w:rFonts w:ascii="Times New Roman" w:hAnsi="Times New Roman"/>
          <w:color w:val="000000" w:themeColor="text1"/>
          <w:sz w:val="16"/>
          <w:szCs w:val="16"/>
        </w:rPr>
        <w:softHyphen/>
        <w:t>казом начальника ГАВТУ КА.</w:t>
      </w:r>
    </w:p>
    <w:p w14:paraId="1AB0510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Функциями Автомобильно-технического комитета являются:</w:t>
      </w:r>
    </w:p>
    <w:p w14:paraId="7920A0E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разработка типов автомашин для КА;</w:t>
      </w:r>
    </w:p>
    <w:p w14:paraId="73C99C5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разработка тактико-технических условий для автомашин КА;</w:t>
      </w:r>
    </w:p>
    <w:p w14:paraId="187F174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проведение испытаний автомашин, поступающих на вооружение КА;</w:t>
      </w:r>
    </w:p>
    <w:p w14:paraId="5EAC299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оценка автомашин по итогам испытаний и составление заключений о возможности приема на вооружение КА автомобилей;</w:t>
      </w:r>
    </w:p>
    <w:p w14:paraId="0DC4BEA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разработка конструкций по увеличению проходимости автомашин и конструктивные улуч</w:t>
      </w:r>
      <w:r w:rsidRPr="007224C3">
        <w:rPr>
          <w:rFonts w:ascii="Times New Roman" w:hAnsi="Times New Roman"/>
          <w:color w:val="000000" w:themeColor="text1"/>
          <w:sz w:val="16"/>
          <w:szCs w:val="16"/>
        </w:rPr>
        <w:softHyphen/>
        <w:t>шения существующих типов автомобилей;</w:t>
      </w:r>
    </w:p>
    <w:p w14:paraId="4FD1FD7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разработка и утверждение технических условий на ремонт автомашин КА;</w:t>
      </w:r>
    </w:p>
    <w:p w14:paraId="45F62D1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разработка специального оборудования и приспособлений для типовых автомобилей народ</w:t>
      </w:r>
      <w:r w:rsidRPr="007224C3">
        <w:rPr>
          <w:rFonts w:ascii="Times New Roman" w:hAnsi="Times New Roman"/>
          <w:color w:val="000000" w:themeColor="text1"/>
          <w:sz w:val="16"/>
          <w:szCs w:val="16"/>
        </w:rPr>
        <w:softHyphen/>
        <w:t>ного хозяйства, необходимых для службы в КА;</w:t>
      </w:r>
    </w:p>
    <w:p w14:paraId="102D1AF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разработка технических наставлений и руководств по материальной части, техническому обслуживанию автомашин КА;</w:t>
      </w:r>
    </w:p>
    <w:p w14:paraId="2D70F58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разработка и утверждение образцов паркового оборудования для обслуживания автомашин КА и комплектов имущества: возимых на автомашинах и для производства ремонтов и укладки для этих комплектов;</w:t>
      </w:r>
    </w:p>
    <w:p w14:paraId="6188674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разработка вопросов применения горюче-смазочных материалов, их заменителей и эконо</w:t>
      </w:r>
      <w:r w:rsidRPr="007224C3">
        <w:rPr>
          <w:rFonts w:ascii="Times New Roman" w:hAnsi="Times New Roman"/>
          <w:color w:val="000000" w:themeColor="text1"/>
          <w:sz w:val="16"/>
          <w:szCs w:val="16"/>
        </w:rPr>
        <w:softHyphen/>
        <w:t>мии ГСМ;</w:t>
      </w:r>
    </w:p>
    <w:p w14:paraId="48EE045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организация и руководство работой по изобретательству и рационализации в области авто</w:t>
      </w:r>
      <w:r w:rsidRPr="007224C3">
        <w:rPr>
          <w:rFonts w:ascii="Times New Roman" w:hAnsi="Times New Roman"/>
          <w:color w:val="000000" w:themeColor="text1"/>
          <w:sz w:val="16"/>
          <w:szCs w:val="16"/>
        </w:rPr>
        <w:softHyphen/>
        <w:t>мобильного дела в Красной Армии.</w:t>
      </w:r>
    </w:p>
    <w:p w14:paraId="6E28CA9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Автомобильно-технический комитет имеет рабочий штатный аппарат. Функциональные обязанности отделов определяются указаниями начальника АТК.</w:t>
      </w:r>
    </w:p>
    <w:p w14:paraId="2DF0753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Автомобильно-технический комитет в необходимых случаях привлекает к своей работе в ка</w:t>
      </w:r>
      <w:r w:rsidRPr="007224C3">
        <w:rPr>
          <w:rFonts w:ascii="Times New Roman" w:hAnsi="Times New Roman"/>
          <w:color w:val="000000" w:themeColor="text1"/>
          <w:sz w:val="16"/>
          <w:szCs w:val="16"/>
        </w:rPr>
        <w:softHyphen/>
        <w:t>честве консультантов комитета виднейших военных и гражданских специалистов. Список привлекаемых консультантов утверждается начальником комитета.</w:t>
      </w:r>
    </w:p>
    <w:p w14:paraId="7CCDBD1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Важнейшие вопросы автомобильно-технической службы КА рассматриваются на пленар</w:t>
      </w:r>
      <w:r w:rsidRPr="007224C3">
        <w:rPr>
          <w:rFonts w:ascii="Times New Roman" w:hAnsi="Times New Roman"/>
          <w:color w:val="000000" w:themeColor="text1"/>
          <w:sz w:val="16"/>
          <w:szCs w:val="16"/>
        </w:rPr>
        <w:softHyphen/>
        <w:t>ных заседаниях комитета.</w:t>
      </w:r>
    </w:p>
    <w:p w14:paraId="7BDBC35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Пленарные заседания назначаются распоряжением начальника автомобильно-технического комитета.</w:t>
      </w:r>
    </w:p>
    <w:p w14:paraId="38E2C6F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Пленарные заседания Автомобильно-технического комитета собираются из действительных членов комитета, представителей промышленности и научных учреждений, приглашаемых на дан</w:t>
      </w:r>
      <w:r w:rsidRPr="007224C3">
        <w:rPr>
          <w:rFonts w:ascii="Times New Roman" w:hAnsi="Times New Roman"/>
          <w:color w:val="000000" w:themeColor="text1"/>
          <w:sz w:val="16"/>
          <w:szCs w:val="16"/>
        </w:rPr>
        <w:softHyphen/>
        <w:t>ное пленарное заседание.</w:t>
      </w:r>
    </w:p>
    <w:p w14:paraId="6EF8A9A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Состав пленарного заседания в каждом отдельном случае назначается начальником Автомо</w:t>
      </w:r>
      <w:r w:rsidRPr="007224C3">
        <w:rPr>
          <w:rFonts w:ascii="Times New Roman" w:hAnsi="Times New Roman"/>
          <w:color w:val="000000" w:themeColor="text1"/>
          <w:sz w:val="16"/>
          <w:szCs w:val="16"/>
        </w:rPr>
        <w:softHyphen/>
        <w:t>бильно-технического комитета.</w:t>
      </w:r>
    </w:p>
    <w:p w14:paraId="5491726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Пленарным заседанием руководит начальник Автомобильно-технического комитета, и в слу</w:t>
      </w:r>
      <w:r w:rsidRPr="007224C3">
        <w:rPr>
          <w:rFonts w:ascii="Times New Roman" w:hAnsi="Times New Roman"/>
          <w:color w:val="000000" w:themeColor="text1"/>
          <w:sz w:val="16"/>
          <w:szCs w:val="16"/>
        </w:rPr>
        <w:softHyphen/>
        <w:t>чае его отсутствия — один из заместителей.</w:t>
      </w:r>
    </w:p>
    <w:p w14:paraId="6ADE309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Вопросы, подлежащие рассмотрению на пленарных заседаниях Автомобильно-техническо</w:t>
      </w:r>
      <w:r w:rsidRPr="007224C3">
        <w:rPr>
          <w:rFonts w:ascii="Times New Roman" w:hAnsi="Times New Roman"/>
          <w:color w:val="000000" w:themeColor="text1"/>
          <w:sz w:val="16"/>
          <w:szCs w:val="16"/>
        </w:rPr>
        <w:softHyphen/>
        <w:t>го комитета, предварительно разрабатываются в отделах комитета (вопросы, разработанные в уч</w:t>
      </w:r>
      <w:r w:rsidRPr="007224C3">
        <w:rPr>
          <w:rFonts w:ascii="Times New Roman" w:hAnsi="Times New Roman"/>
          <w:color w:val="000000" w:themeColor="text1"/>
          <w:sz w:val="16"/>
          <w:szCs w:val="16"/>
        </w:rPr>
        <w:softHyphen/>
        <w:t>реждениях НКО и промышленности, согласовываются с комитетом), после чего докладываются на пленарном заседании выделенными докладчиками.</w:t>
      </w:r>
    </w:p>
    <w:p w14:paraId="68FA9E3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Проекты предложений и доклады в письменном виде представляются начальнику Автомобиль</w:t>
      </w:r>
      <w:r w:rsidRPr="007224C3">
        <w:rPr>
          <w:rFonts w:ascii="Times New Roman" w:hAnsi="Times New Roman"/>
          <w:color w:val="000000" w:themeColor="text1"/>
          <w:sz w:val="16"/>
          <w:szCs w:val="16"/>
        </w:rPr>
        <w:softHyphen/>
        <w:t>но-технического комитета до заседания.</w:t>
      </w:r>
    </w:p>
    <w:p w14:paraId="7193A48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По всем рассматриваемым вопросам Автомобильно-технический комитет на пленарных за</w:t>
      </w:r>
      <w:r w:rsidRPr="007224C3">
        <w:rPr>
          <w:rFonts w:ascii="Times New Roman" w:hAnsi="Times New Roman"/>
          <w:color w:val="000000" w:themeColor="text1"/>
          <w:sz w:val="16"/>
          <w:szCs w:val="16"/>
        </w:rPr>
        <w:softHyphen/>
        <w:t>седаниях выносит решения, которые принимаются простым большинством голосов действитель</w:t>
      </w:r>
      <w:r w:rsidRPr="007224C3">
        <w:rPr>
          <w:rFonts w:ascii="Times New Roman" w:hAnsi="Times New Roman"/>
          <w:color w:val="000000" w:themeColor="text1"/>
          <w:sz w:val="16"/>
          <w:szCs w:val="16"/>
        </w:rPr>
        <w:softHyphen/>
        <w:t>ных членов комитета.</w:t>
      </w:r>
    </w:p>
    <w:p w14:paraId="481BAA0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Решения, принимаемые Автомобильно-техническим комитетом, оформляются протокольны</w:t>
      </w:r>
      <w:r w:rsidRPr="007224C3">
        <w:rPr>
          <w:rFonts w:ascii="Times New Roman" w:hAnsi="Times New Roman"/>
          <w:color w:val="000000" w:themeColor="text1"/>
          <w:sz w:val="16"/>
          <w:szCs w:val="16"/>
        </w:rPr>
        <w:softHyphen/>
        <w:t>ми постановлениями.</w:t>
      </w:r>
    </w:p>
    <w:p w14:paraId="6855D5F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Начальнику Автомобильно-технического комитета предоставляется право участвовать в ка</w:t>
      </w:r>
      <w:r w:rsidRPr="007224C3">
        <w:rPr>
          <w:rFonts w:ascii="Times New Roman" w:hAnsi="Times New Roman"/>
          <w:color w:val="000000" w:themeColor="text1"/>
          <w:sz w:val="16"/>
          <w:szCs w:val="16"/>
        </w:rPr>
        <w:softHyphen/>
        <w:t>честве представителя ГАВТУ КА на заседаниях Всесоюзного комитета стандартов при СНК СССР и в других правительственных и промышленных органах при решении вопросов, подведомствен</w:t>
      </w:r>
      <w:r w:rsidRPr="007224C3">
        <w:rPr>
          <w:rFonts w:ascii="Times New Roman" w:hAnsi="Times New Roman"/>
          <w:color w:val="000000" w:themeColor="text1"/>
          <w:sz w:val="16"/>
          <w:szCs w:val="16"/>
        </w:rPr>
        <w:softHyphen/>
        <w:t>ных Автомобильно-техническому комитету.</w:t>
      </w:r>
    </w:p>
    <w:p w14:paraId="3FFEF46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АТК ГАВТУ КА генерал-майор инженерных войск Карпов</w:t>
      </w:r>
    </w:p>
    <w:p w14:paraId="32F39ED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41. Оп. 11584. Д. 124. Л. 9-10. Копия (11420).</w:t>
      </w:r>
    </w:p>
    <w:p w14:paraId="47215C2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5D8E090"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Жизнь и внутренняя политика:</w:t>
      </w:r>
    </w:p>
    <w:p w14:paraId="4C2BEE7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C67681A"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 июня 1944 вышло Постановление ГКО № 6100 [О выселении на время войны из Крыма в Узбекскую ССР местных жителей-подданных Турции, Греции и Ирана.] (7243, 64).</w:t>
      </w:r>
    </w:p>
    <w:p w14:paraId="36117B5F"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7B6C1C1" w14:textId="77777777" w:rsidR="008D055A" w:rsidRPr="007224C3" w:rsidRDefault="008D055A"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24 июня</w:t>
      </w:r>
      <w:r w:rsidRPr="007224C3">
        <w:rPr>
          <w:rFonts w:ascii="Times New Roman" w:hAnsi="Times New Roman"/>
          <w:color w:val="000000" w:themeColor="text1"/>
          <w:sz w:val="16"/>
          <w:szCs w:val="16"/>
        </w:rPr>
        <w:t xml:space="preserve"> в 1944 году началось выселение из Крыма в Сибирь, Казахстан и Узбекистан неславянских народностей. Депортации подверглись около 11 тысяч армян, более 12 тысяч болгар, 15 тысяч греков и 1 тысяча немцев. Вместе с ними были отправлены на спецпоселение проживавшие в Крыму турки, курды, персы, цыгане, а также 3,5 тысяч греков-иностранцев. Из Краснодарского края депортировано 8 тысяч, а из Грузии и Армении 16 тысяч греков (14932).</w:t>
      </w:r>
    </w:p>
    <w:p w14:paraId="1933E594" w14:textId="77777777" w:rsidR="008D055A" w:rsidRPr="007224C3" w:rsidRDefault="008D055A" w:rsidP="007224C3">
      <w:pPr>
        <w:spacing w:after="0" w:line="240" w:lineRule="auto"/>
        <w:jc w:val="both"/>
        <w:rPr>
          <w:rFonts w:ascii="Times New Roman" w:hAnsi="Times New Roman"/>
          <w:color w:val="000000" w:themeColor="text1"/>
          <w:sz w:val="16"/>
          <w:szCs w:val="16"/>
        </w:rPr>
      </w:pPr>
    </w:p>
    <w:p w14:paraId="76FB17C8"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19CC5CA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00A4176" w14:textId="77777777" w:rsidR="009E2554" w:rsidRPr="007224C3" w:rsidRDefault="009E2554"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24 июня</w:t>
      </w:r>
      <w:r w:rsidRPr="007224C3">
        <w:rPr>
          <w:rFonts w:ascii="Times New Roman" w:hAnsi="Times New Roman"/>
          <w:color w:val="000000" w:themeColor="text1"/>
          <w:sz w:val="16"/>
          <w:szCs w:val="16"/>
        </w:rPr>
        <w:t xml:space="preserve"> в 1944 году первый боевой вылет </w:t>
      </w:r>
      <w:hyperlink r:id="rId178" w:tgtFrame="_blank" w:history="1">
        <w:r w:rsidRPr="007224C3">
          <w:rPr>
            <w:rFonts w:ascii="Times New Roman" w:hAnsi="Times New Roman"/>
            <w:color w:val="000000" w:themeColor="text1"/>
            <w:sz w:val="16"/>
            <w:szCs w:val="16"/>
          </w:rPr>
          <w:t xml:space="preserve">«Black Widow» </w:t>
        </w:r>
      </w:hyperlink>
      <w:r w:rsidRPr="007224C3">
        <w:rPr>
          <w:rFonts w:ascii="Times New Roman" w:hAnsi="Times New Roman"/>
          <w:color w:val="000000" w:themeColor="text1"/>
          <w:sz w:val="16"/>
          <w:szCs w:val="16"/>
        </w:rPr>
        <w:t>на Тихоокеанском ТВД с Isley Field (14932).</w:t>
      </w:r>
    </w:p>
    <w:p w14:paraId="347E35D1" w14:textId="77777777" w:rsidR="009E2554" w:rsidRPr="007224C3" w:rsidRDefault="009E2554" w:rsidP="007224C3">
      <w:pPr>
        <w:spacing w:after="0" w:line="240" w:lineRule="auto"/>
        <w:jc w:val="both"/>
        <w:rPr>
          <w:rFonts w:ascii="Times New Roman" w:hAnsi="Times New Roman"/>
          <w:color w:val="000000" w:themeColor="text1"/>
          <w:sz w:val="16"/>
          <w:szCs w:val="16"/>
        </w:rPr>
      </w:pPr>
    </w:p>
    <w:p w14:paraId="68E3669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В ночь с 24 на 25 июня 1944 г. все имевшиеся на то время пять сцепок атаковали крупное скопление англо-американских судов в устье Сены. Четыре беспилотных ударных элемента сцепки Мистель были благополучно сброшены и поразили несколько целей. Пятая сцепка из-за технической неисправности вернулась на базу. Ударный элемент Юнкерс перед посадкой был сброшен в безлюдном районе, так как посадка всей сцепки была невозможна.</w:t>
      </w:r>
    </w:p>
    <w:p w14:paraId="76E4B77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дальнейшем Мистели продолжали ночные атаки на десантные конвои союзников в Ла-Манше. В октябре 1944 г. пять Мистелей нанесли удар по главной базе британского флота Скап-Флоу.</w:t>
      </w:r>
    </w:p>
    <w:p w14:paraId="3F5FBBB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конце 1944 г. группировка Мистелей насчитывала 60 единиц.</w:t>
      </w:r>
    </w:p>
    <w:p w14:paraId="56B1CAE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январе 1945 г. подразделение Мистелей начало подготовку к удару по крупнейшим военным объектам Советского Союза с целью срыва зимне-весеннего наступления Красной Армии. Операция получила кодовое название «Eisenhammer» (Ненахов Ю.Ю. Чудо-оружие Третьего рейха. Минск: ХАРВЕСТ, 1999.). К марту около 100 Мистелей было переброшено в Восточную Пруссию.</w:t>
      </w:r>
    </w:p>
    <w:p w14:paraId="7DC0DA5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Быстрое приближение линии фронта к району базирования сцепок сорвало планы немецко-фашистского командования.</w:t>
      </w:r>
    </w:p>
    <w:p w14:paraId="6A84920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связи с этим Мистели передислоцировали для выполнения несвойственных им тактических задач – нанесения ударов по переправам через Вислу, Одер, Нейсе и Рейн, крупным железнодорожным узлам и скоплениям советских войск. В районе переправ через Одер, обороняемых частями 5-го корпуса ПВО Советской Армии, в апреле 1945 г. было отмечено 12 случаев применения ударных авиасцепок Мистель. Однако точность поражения целей такими системами была незначительной. Кроме того, Мистели оказались беззащитными перед фронтовой и противовоздушной авиацией и несли огромные потери. Последний боевой вылет сцепки был зарегистрирован 16 апреля 1945 г.</w:t>
      </w:r>
    </w:p>
    <w:p w14:paraId="7AE2AAF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Весной 1945 г. знаменитый советский летчик Е.Я. Савицкий (1910–1990), будущий заместитель главнокомандующего Войсками ПВО, заметил над переправой через Одер «летающую геометрическую трапецию». Это была сцепка из самолетов Fw190 и Ju88. Внезапно истребитель Fw190 отделился от бомбардировщика, выполнил горку и ушел в сторону. Самолет Ju88 направился к окопам советских войск на передовой. Не долетев до окопов, он ударился о землю и разнес все в радиусе 200 м. Это был один из первых случаев применения Мистелей против советских войск.</w:t>
      </w:r>
    </w:p>
    <w:p w14:paraId="64C6E90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Ветеран Великой Отечественной войны В. Чечель вспоминал о применении Мистелей против наших войск в период боев за Берлин: «Помню попытку разрушить самолетами-снарядами переправу через Одер, по которой двигались наши танки, артиллерия, автомобили с боеприпасами, шли войска. Самолетснаряд начинялся взрывчаткой и направлялся в цель другим самолетом, в котором был пилот. Так вот, на ту переправу ни один из тех трех снарядов не упал: как только наши зенитки открыли по ним огонь, немецкие летчики, быстро отделавшись от опасного груза, убрались восвояси, а снаряды упали далеко от переправы. Но взрывы были такие сильные, что наши окопы на плацдарме наполнились водой от сотрясения почвы. Попади хоть один такой снаряд в цель – от нашей переправы не осталось бы и следа» (Чечель В. Не забывается такое никогда. Северный Курьер. 2000, 1 апреля.).</w:t>
      </w:r>
    </w:p>
    <w:p w14:paraId="3DE69D1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Совершенствование сцепок проходило по различным направлениям. Так, поскольку конструкторы не смогли решить задачу синхронизации и единого управления разных по типу и мощности двигателей Bf109 и Ju88G1, то в сцепке Мессершмитт был заменен истребителем Fw190A6. Сцепка получила название Mistel2. Из-за превышенного взлетного веса (14 т), во время разбега у шасси Юнкерса рвались пневматики, что вело к авариям. Из-за этого шасси Юнкерса было заменено сбрасывающейся после взлета тележкой. Доработанная система получила название Mistel3.</w:t>
      </w:r>
    </w:p>
    <w:p w14:paraId="532461C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1945 г. завод Юнкерса в Бернбурге наладил выпуск новой модификации сцепки на базе бомбардировщика Ju88G10, у которого фюзеляж был удлинен почти на три метра. Такая система снабжалась дополнительным топливным баком. Кроме того, под крыльями Юнкерса подвешивались еще два топливных бака. Все это увеличивало радиус действия сцепки до 4100 км.</w:t>
      </w:r>
    </w:p>
    <w:p w14:paraId="35C6F50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Однако возрос взлетный вес Mistel3 – 23,6 т, а скорость полета снизилась до 340 км/ч. При этом скорость пикирования сцепки при угле 15о составляла почти 600 км/ч. Система получила название Mistel3С.</w:t>
      </w:r>
    </w:p>
    <w:p w14:paraId="2CB2745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1945 г. появился Mistel3В – на базе Ju88Н4. Впервые ударный самолет был сделан пилотируемым – с экипажем из трех человек. Задняя полусфера прикрывалась 13-мм пулеметом, летающая пилотируемая бомба оборудовалась поисковой РЛС. Экипаж бомбы должен был помогать летчику истребителя пилотировать сцепку, ориентируясь по данным РЛС, и отгонять воздушного противника. Перед боевым применением экипаж на парашютах покидал летающую бомбу. Однако в боевой практике такая сцепка не применялась.</w:t>
      </w:r>
    </w:p>
    <w:p w14:paraId="552712C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Германии в последние месяцы войны были разработаны проекты Мистелей с ударным элементом в виде опытной крылатой ракеты класса «воздух–поверхность» Е377. В таких сцепках самолетом наведения служили реактивный бомбардировщик Ar234 и реактивный истребитель He162A. С реактивным истребителем Хейнкель скорость сцепки могла бы достигать 650 км/ч, а радиус действия – до 2000 км/ч. Кроме того, проектировались Мистели на базе реактивных самолетов.</w:t>
      </w:r>
    </w:p>
    <w:p w14:paraId="5708A4A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Что касается планирующей бомбы Е377, то она была разработана в RLM в конце 1944 г. По существу это был безмоторный вариант одного из проектов самолета фирмы Арадо. Планирующая бомба по первоначальной версии должна была буксироваться на тросе за самолетом Ar234C2 или истребителем He162.</w:t>
      </w:r>
    </w:p>
    <w:p w14:paraId="01A1694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 Е377 предназначалась для поражения наземных и морских целей. Управление осуществлялось дистанционно или посредством устройства сопровождения цели. Конструкция КР была деревянной и выполнена в виде тела вращения. При полете к объекту поражения ракета Е377 служила для носителя дополнительным топливным баком (в безмоторном варианте). Крылья КР также представляли собой топливные баки. Крыльевые и фюзеляжные топливные баки КР были заполнены инертным газом. Вес боевой части Е377 составлял 2 т.</w:t>
      </w:r>
    </w:p>
    <w:p w14:paraId="2850444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Германские ударные управляемые средства...</w:t>
      </w:r>
    </w:p>
    <w:p w14:paraId="2A58F55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Был разработан вариант КР с двигателем и без двигателя. Боевая часть бездвигательного варианта Е377 состояла из кумулятивного заряда. Она оказалась весьма эффективной против надводных целей. Для поражения крупных целей предусматривалось создание боевой части, близкой по своим характеристикам к тонкостенной мине (Хервиг Д., Роде Г. Секретные проекты бомбардировщиков люфтваффе. Смоленск: Русич, 2001.).</w:t>
      </w:r>
    </w:p>
    <w:p w14:paraId="31C91F3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Вместо боевой части на планирующей бомбе была предусмотрена возможность монтировать обычную бомбу SC 1800 без оперения. Предусматривалась также возможность создания пилотируемого варианта бомбы Арадо Е377 специально для летчиков-«камикадзе»183. Окончание войны не дало немецким «сверхчеловекам» возможности наладить массовое производство и применение планирующей бомбы Арадо Е377.</w:t>
      </w:r>
    </w:p>
    <w:p w14:paraId="0BBFC5A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Был разработан проект ракетной сцепки Мистеля. Этот проект сложнейшей сцепки разработала фирма «Blohm und Voss» в конце войны. Сцепка состояла из бомбардировщиков Do217 или He177, реактивного самолета-носителя и ударной крылатой ракеты Хеншель.</w:t>
      </w:r>
    </w:p>
    <w:p w14:paraId="570D939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Принцип боевого применения этого Мистеля состоял в следующем. Вся сцепка поднималась в воздух и следовала в район цели.</w:t>
      </w:r>
    </w:p>
    <w:p w14:paraId="3EE488E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Носитель приближался к объекту поражения на расстояние 290 км и отстыковывался. Реактивный носитель поднимался на огромную по тем временам высоту – 15000 м. На этой высоте пилот реактивного истребителя входил в пике, ракета отделялась, запускался ее двигатель, пилот ракеты наводил ракету по радару по баллистической траектории и отделялся от нее для возвращения на базу. Так как в полете перегрузки достигали 20 g, то пилот располагался лежа на амортизирующем лежаке.</w:t>
      </w:r>
    </w:p>
    <w:p w14:paraId="6064AAC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Ракета предназначалась для ударов по наземным и морским целям. Тактико-технические характеристики ракетного носителя были следующими: размах крыла – 6 м, длина – 8 м, максимальная скорость – 1000 км/ч.</w:t>
      </w:r>
    </w:p>
    <w:p w14:paraId="10F8A29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Помимо самолетов-сцепок с боевыми элементами, в Германии в 1942 г. на фирме «Юнкерс» был разработан проект сцепки EF 101, состоящей из самолета-носителя и высотного разведчика Ме 109Н184. Высотный разведчик размещался под нижней частью фюзеляжа в полуутопленном положении. Крылья разведчика полностью располагались под нижней частью крыла самолета-носителя.</w:t>
      </w:r>
    </w:p>
    <w:p w14:paraId="2D82057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Самолет-носитель, рассчитанный на дальность полета в 17 000 км, достигал района разведки. После этого разведчик отцеплялся, выполнял боевую задачу и снова подцеплялся к авиаматке. Механизм захвата был разработан в DFS и испытан на самолете He177. Одна из модификаций Юнкерса EF101 предполагала подвешивать к носителю не самолет-разведчик, а мощную управляемую авиабомбу (11686).</w:t>
      </w:r>
    </w:p>
    <w:p w14:paraId="7019AB0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9ECBB16" w14:textId="77777777" w:rsidR="00396E8E" w:rsidRPr="007224C3" w:rsidRDefault="00396E8E"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24-25 июня 1944 Люфтваффе впервые использует составной самолет "Мистел" против кораблей союзников в заливе Сены (29373).</w:t>
      </w:r>
    </w:p>
    <w:p w14:paraId="69D214C1" w14:textId="77777777" w:rsidR="00396E8E" w:rsidRPr="007224C3" w:rsidRDefault="00396E8E" w:rsidP="007224C3">
      <w:pPr>
        <w:spacing w:after="0" w:line="240" w:lineRule="auto"/>
        <w:jc w:val="both"/>
        <w:rPr>
          <w:rFonts w:ascii="Times New Roman" w:hAnsi="Times New Roman"/>
          <w:color w:val="0070C0"/>
          <w:sz w:val="16"/>
          <w:szCs w:val="16"/>
        </w:rPr>
      </w:pPr>
    </w:p>
    <w:p w14:paraId="0D602821" w14:textId="77777777" w:rsidR="00396E8E" w:rsidRPr="007224C3" w:rsidRDefault="00396E8E"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24 июня 1944 состоялась попытка нанести удар по Иводзиме силами F6F Hellcats из оперативной группы 58.1 ВМС США, но она перехватывается японскими самолетами, 29 из которых сбиты в обмен на шесть потерянных Hellcats. Японские самолеты, базирующиеся в Иводзиме, совершили три неэффективных налета на оперативную группу в течение дня, потеряв еще 37 самолетов (20373).</w:t>
      </w:r>
    </w:p>
    <w:p w14:paraId="3CF025D2" w14:textId="77777777" w:rsidR="00396E8E" w:rsidRPr="007224C3" w:rsidRDefault="00396E8E" w:rsidP="007224C3">
      <w:pPr>
        <w:spacing w:after="0" w:line="240" w:lineRule="auto"/>
        <w:jc w:val="both"/>
        <w:rPr>
          <w:rFonts w:ascii="Times New Roman" w:hAnsi="Times New Roman"/>
          <w:color w:val="0070C0"/>
          <w:sz w:val="16"/>
          <w:szCs w:val="16"/>
        </w:rPr>
      </w:pPr>
    </w:p>
    <w:p w14:paraId="23C34034"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1482CCC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8F5D4FD" w14:textId="77777777" w:rsidR="009E2554" w:rsidRPr="007224C3" w:rsidRDefault="009E255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25 июня 1944, после установки на Ла-5А на месте пушки дополнительного маслобака, само</w:t>
      </w:r>
      <w:r w:rsidRPr="007224C3">
        <w:rPr>
          <w:rFonts w:ascii="Times New Roman" w:hAnsi="Times New Roman"/>
          <w:color w:val="000000" w:themeColor="text1"/>
          <w:sz w:val="16"/>
          <w:szCs w:val="16"/>
        </w:rPr>
        <w:softHyphen/>
        <w:t>лёт снова подготовили к продолжению испытаний. Во время состоявшихся 3-4 июля полётов до высоты 7800 м температура масла на входе поднялась выше допустимого уровня, произошло затяжеление винта, и имел место выброс масла из дренажа, за все время полёта он составил 15 кг. После чего на самолёте установили высотную масло- помпу — агрегат № 180, и произвели отсос масла из суфлёрного бачка. Однако в кон</w:t>
      </w:r>
      <w:r w:rsidRPr="007224C3">
        <w:rPr>
          <w:rFonts w:ascii="Times New Roman" w:hAnsi="Times New Roman"/>
          <w:color w:val="000000" w:themeColor="text1"/>
          <w:sz w:val="16"/>
          <w:szCs w:val="16"/>
        </w:rPr>
        <w:softHyphen/>
        <w:t>трольном полёте 8 июля при наборе высоты 5000 м температура на входе снова поднялась выше допустимых пределов (87°С) и полёт опять пришлось прекратить. При осмотре самолёта на земле снова обнаружили выброс масла. 11 июля 1944 г. Ла-5А перегнали в Москву на завод № 81. По заключению представителя завода № 19, из-за попадания масла в нагнетатель мотора по причине дефектов маслоуплотнений валика нагнетателя, к дальнейшим полётам самолёт признали непригодным.</w:t>
      </w:r>
    </w:p>
    <w:p w14:paraId="09F8D5B1" w14:textId="77777777" w:rsidR="009E2554" w:rsidRPr="007224C3" w:rsidRDefault="009E255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Новую винтомоторную группу на Ла-5А смонтировали только в 20-х числах августа, заодно в соответствии с рекомендациями ЦАГИ произвели доводки систем охлаждения. 12 сентября состоялся контрольный полёт, мотор снова работал с перебоями из-за не</w:t>
      </w:r>
      <w:r w:rsidRPr="007224C3">
        <w:rPr>
          <w:rFonts w:ascii="Times New Roman" w:hAnsi="Times New Roman"/>
          <w:color w:val="000000" w:themeColor="text1"/>
          <w:sz w:val="16"/>
          <w:szCs w:val="16"/>
        </w:rPr>
        <w:softHyphen/>
        <w:t>поладок регулятора смеси. На следующий день для скорейшей отработки винтомотор</w:t>
      </w:r>
      <w:r w:rsidRPr="007224C3">
        <w:rPr>
          <w:rFonts w:ascii="Times New Roman" w:hAnsi="Times New Roman"/>
          <w:color w:val="000000" w:themeColor="text1"/>
          <w:sz w:val="16"/>
          <w:szCs w:val="16"/>
        </w:rPr>
        <w:softHyphen/>
        <w:t>ной группы на больших высотах при участии сотрудников лаборатории ЛИИ самолёт перегнали на аэродром «Раменское». При перелёте мотор работал «богато», и на сред</w:t>
      </w:r>
      <w:r w:rsidRPr="007224C3">
        <w:rPr>
          <w:rFonts w:ascii="Times New Roman" w:hAnsi="Times New Roman"/>
          <w:color w:val="000000" w:themeColor="text1"/>
          <w:sz w:val="16"/>
          <w:szCs w:val="16"/>
        </w:rPr>
        <w:softHyphen/>
        <w:t>них режимах его трясло. В ЛИИ лётные испытания продолжили. 21 сентября в конт</w:t>
      </w:r>
      <w:r w:rsidRPr="007224C3">
        <w:rPr>
          <w:rFonts w:ascii="Times New Roman" w:hAnsi="Times New Roman"/>
          <w:color w:val="000000" w:themeColor="text1"/>
          <w:sz w:val="16"/>
          <w:szCs w:val="16"/>
        </w:rPr>
        <w:softHyphen/>
        <w:t>рольном полёте достигли высоты 5600 м, дальнейший набор высоты в связи с поломкой датчика оборотов турбокомпрессора пришлось прекратить. 26 сентября полёт до вы</w:t>
      </w:r>
      <w:r w:rsidRPr="007224C3">
        <w:rPr>
          <w:rFonts w:ascii="Times New Roman" w:hAnsi="Times New Roman"/>
          <w:color w:val="000000" w:themeColor="text1"/>
          <w:sz w:val="16"/>
          <w:szCs w:val="16"/>
        </w:rPr>
        <w:softHyphen/>
        <w:t>соты 9000 м прекратили вследствие обледенения фонаря, отказа в работе впрыска во</w:t>
      </w:r>
      <w:r w:rsidRPr="007224C3">
        <w:rPr>
          <w:rFonts w:ascii="Times New Roman" w:hAnsi="Times New Roman"/>
          <w:color w:val="000000" w:themeColor="text1"/>
          <w:sz w:val="16"/>
          <w:szCs w:val="16"/>
        </w:rPr>
        <w:softHyphen/>
        <w:t>ды в цилиндры мотора и высоких температур масла. Следующий полёт состоялся лишь 3 октября. На высоте 10000 м сильная тряска мотора при включении впрыска воды и низкое давление бензина в системе не позволили его продолжить. Ещё один день ушёл на устранение обнаруженных дефектов.</w:t>
      </w:r>
    </w:p>
    <w:p w14:paraId="2A2A8A72" w14:textId="77777777" w:rsidR="009E2554" w:rsidRPr="007224C3" w:rsidRDefault="009E255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октября в полёте на замер расхода горючего на высотах 500 м и 4000 м и проверку работы мотора с включённым впрыском воды на Ла-5А, который пилотировал лётчик-ис</w:t>
      </w:r>
      <w:r w:rsidRPr="007224C3">
        <w:rPr>
          <w:rFonts w:ascii="Times New Roman" w:hAnsi="Times New Roman"/>
          <w:color w:val="000000" w:themeColor="text1"/>
          <w:sz w:val="16"/>
          <w:szCs w:val="16"/>
        </w:rPr>
        <w:softHyphen/>
        <w:t>пытатель С.Н. Анохин, на высоте 3400 м при нормальной работе мотора и при нормальных показаниях всех контрольных приборов на выхлопе возникло сильное факеление. Для его устранения лётчик обеднил смесь при помощи рычага остановки мотора. Факе</w:t>
      </w:r>
      <w:r w:rsidRPr="007224C3">
        <w:rPr>
          <w:rFonts w:ascii="Times New Roman" w:hAnsi="Times New Roman"/>
          <w:color w:val="000000" w:themeColor="text1"/>
          <w:sz w:val="16"/>
          <w:szCs w:val="16"/>
        </w:rPr>
        <w:softHyphen/>
        <w:t>ление привело к сильному нагреву бортов фюзеляжа, обгорела обшивка правого борта. Вследствие высокой температуры фанерная оболочка задымилась. Анохину удалось до</w:t>
      </w:r>
      <w:r w:rsidRPr="007224C3">
        <w:rPr>
          <w:rFonts w:ascii="Times New Roman" w:hAnsi="Times New Roman"/>
          <w:color w:val="000000" w:themeColor="text1"/>
          <w:sz w:val="16"/>
          <w:szCs w:val="16"/>
        </w:rPr>
        <w:softHyphen/>
        <w:t>вести загоревшийся самолёт до аэродрома и нормально сесть в пределах ВПП. Горение и обугливание деревянной конструкции фюзеляжа было вызвано перегревом металличе</w:t>
      </w:r>
      <w:r w:rsidRPr="007224C3">
        <w:rPr>
          <w:rFonts w:ascii="Times New Roman" w:hAnsi="Times New Roman"/>
          <w:color w:val="000000" w:themeColor="text1"/>
          <w:sz w:val="16"/>
          <w:szCs w:val="16"/>
        </w:rPr>
        <w:softHyphen/>
        <w:t>ской обшивки факелом, образующимся на выхлопе мотора, теплоизоляция между жаро</w:t>
      </w:r>
      <w:r w:rsidRPr="007224C3">
        <w:rPr>
          <w:rFonts w:ascii="Times New Roman" w:hAnsi="Times New Roman"/>
          <w:color w:val="000000" w:themeColor="text1"/>
          <w:sz w:val="16"/>
          <w:szCs w:val="16"/>
        </w:rPr>
        <w:softHyphen/>
        <w:t>упорными листами обшивки и деревянной конструкцией фюзеляжа оказалась недоста</w:t>
      </w:r>
      <w:r w:rsidRPr="007224C3">
        <w:rPr>
          <w:rFonts w:ascii="Times New Roman" w:hAnsi="Times New Roman"/>
          <w:color w:val="000000" w:themeColor="text1"/>
          <w:sz w:val="16"/>
          <w:szCs w:val="16"/>
        </w:rPr>
        <w:softHyphen/>
        <w:t>точной. Факел же появился в результате ненормального забогащения мотора при увели</w:t>
      </w:r>
      <w:r w:rsidRPr="007224C3">
        <w:rPr>
          <w:rFonts w:ascii="Times New Roman" w:hAnsi="Times New Roman"/>
          <w:color w:val="000000" w:themeColor="text1"/>
          <w:sz w:val="16"/>
          <w:szCs w:val="16"/>
        </w:rPr>
        <w:softHyphen/>
        <w:t>чении высоты полёта, тогда же расход горючего увеличился с 360 кг/ч до 459 кг/ч на вы</w:t>
      </w:r>
      <w:r w:rsidRPr="007224C3">
        <w:rPr>
          <w:rFonts w:ascii="Times New Roman" w:hAnsi="Times New Roman"/>
          <w:color w:val="000000" w:themeColor="text1"/>
          <w:sz w:val="16"/>
          <w:szCs w:val="16"/>
        </w:rPr>
        <w:softHyphen/>
        <w:t>соте 3400 м. Наиболее интенсивный факел образовался из ресивера правого турбо</w:t>
      </w:r>
      <w:r w:rsidRPr="007224C3">
        <w:rPr>
          <w:rFonts w:ascii="Times New Roman" w:hAnsi="Times New Roman"/>
          <w:color w:val="000000" w:themeColor="text1"/>
          <w:sz w:val="16"/>
          <w:szCs w:val="16"/>
        </w:rPr>
        <w:softHyphen/>
        <w:t>компрессора. Аварийная комиссия под председательством М.Д. Романовича, для безо</w:t>
      </w:r>
      <w:r w:rsidRPr="007224C3">
        <w:rPr>
          <w:rFonts w:ascii="Times New Roman" w:hAnsi="Times New Roman"/>
          <w:color w:val="000000" w:themeColor="text1"/>
          <w:sz w:val="16"/>
          <w:szCs w:val="16"/>
        </w:rPr>
        <w:softHyphen/>
        <w:t>пасности проведения дальнейших лётных испытаний, порекомендовала: установить для моторов АШ-82ФН с ТК нормы часового расхода горючего, насосы НБЗ-У проверять на равномерность подачи горючего, на стабильность его расходования по высотам, заводу № 81 улучшить теплоизоляцию деревянных частей фюзеляжа от металлической обшив</w:t>
      </w:r>
      <w:r w:rsidRPr="007224C3">
        <w:rPr>
          <w:rFonts w:ascii="Times New Roman" w:hAnsi="Times New Roman"/>
          <w:color w:val="000000" w:themeColor="text1"/>
          <w:sz w:val="16"/>
          <w:szCs w:val="16"/>
        </w:rPr>
        <w:softHyphen/>
        <w:t>ки, подверженной воздействию выхлопных газов. Самолёт нуждался в ремонте, и его от</w:t>
      </w:r>
      <w:r w:rsidRPr="007224C3">
        <w:rPr>
          <w:rFonts w:ascii="Times New Roman" w:hAnsi="Times New Roman"/>
          <w:color w:val="000000" w:themeColor="text1"/>
          <w:sz w:val="16"/>
          <w:szCs w:val="16"/>
        </w:rPr>
        <w:softHyphen/>
        <w:t>правили на завод № 81. Откуда назад он не вернулся, поскольку программу испытаний признали выполненной, а тему законченной.</w:t>
      </w:r>
    </w:p>
    <w:p w14:paraId="3D0DF229" w14:textId="77777777" w:rsidR="009E2554" w:rsidRPr="007224C3" w:rsidRDefault="009E2554"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обстоятельствах, аналогичных тем, в которых оказался С.Н. Анохин на Ла-5А, 7 февраля разбился И-221 ОКБ-155. Пилотировавший его летчик 12-го ГИАП П.А. Жу</w:t>
      </w:r>
      <w:r w:rsidRPr="007224C3">
        <w:rPr>
          <w:rFonts w:ascii="Times New Roman" w:hAnsi="Times New Roman"/>
          <w:color w:val="000000" w:themeColor="text1"/>
          <w:sz w:val="16"/>
          <w:szCs w:val="16"/>
        </w:rPr>
        <w:softHyphen/>
        <w:t>равлев принял факеление из выхлопных патрубков и дым в кабине за начавшийся по</w:t>
      </w:r>
      <w:r w:rsidRPr="007224C3">
        <w:rPr>
          <w:rFonts w:ascii="Times New Roman" w:hAnsi="Times New Roman"/>
          <w:color w:val="000000" w:themeColor="text1"/>
          <w:sz w:val="16"/>
          <w:szCs w:val="16"/>
        </w:rPr>
        <w:softHyphen/>
        <w:t>жар, и на высоте 9000 м покинул самолёт (15830).</w:t>
      </w:r>
    </w:p>
    <w:p w14:paraId="5B0FD1F4" w14:textId="77777777" w:rsidR="009E2554" w:rsidRPr="007224C3" w:rsidRDefault="009E2554" w:rsidP="007224C3">
      <w:pPr>
        <w:spacing w:after="0" w:line="240" w:lineRule="auto"/>
        <w:jc w:val="both"/>
        <w:rPr>
          <w:rFonts w:ascii="Times New Roman" w:hAnsi="Times New Roman"/>
          <w:color w:val="000000" w:themeColor="text1"/>
          <w:sz w:val="16"/>
          <w:szCs w:val="16"/>
        </w:rPr>
      </w:pPr>
    </w:p>
    <w:p w14:paraId="08F66D4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июня 1944 на МиГ АМ-39Б + 2ТК-2Б был выполнен полет до 8000 м продолжительностью 0:35 (1825).</w:t>
      </w:r>
    </w:p>
    <w:p w14:paraId="70CB55B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A469A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июня 1944 был произведен полет МИГ С АМ-39Б И 2ТК-2Б на определение границы высотности на второй скорости нагне</w:t>
      </w:r>
      <w:r w:rsidRPr="007224C3">
        <w:rPr>
          <w:rFonts w:ascii="Times New Roman" w:hAnsi="Times New Roman"/>
          <w:color w:val="000000" w:themeColor="text1"/>
          <w:sz w:val="16"/>
          <w:szCs w:val="16"/>
        </w:rPr>
        <w:softHyphen/>
        <w:t>тателя, с полностью включенным ТК. Прододнителънссть полета - 35 мин, высо</w:t>
      </w:r>
      <w:r w:rsidRPr="007224C3">
        <w:rPr>
          <w:rFonts w:ascii="Times New Roman" w:hAnsi="Times New Roman"/>
          <w:color w:val="000000" w:themeColor="text1"/>
          <w:sz w:val="16"/>
          <w:szCs w:val="16"/>
        </w:rPr>
        <w:softHyphen/>
        <w:t>та - 8000 мт. Во время набора высоты, начиная с 5000 мт, мотор начал делать перебои и на высоте 8000 мт работа мотора настолько ухудшилась, что полет был прекращен. При осмотре самолета, после посадки, об</w:t>
      </w:r>
      <w:r w:rsidRPr="007224C3">
        <w:rPr>
          <w:rFonts w:ascii="Times New Roman" w:hAnsi="Times New Roman"/>
          <w:color w:val="000000" w:themeColor="text1"/>
          <w:sz w:val="16"/>
          <w:szCs w:val="16"/>
        </w:rPr>
        <w:softHyphen/>
        <w:t>наружено, что медно-азбестовая прокладка вых</w:t>
      </w:r>
      <w:r w:rsidRPr="007224C3">
        <w:rPr>
          <w:rFonts w:ascii="Times New Roman" w:hAnsi="Times New Roman"/>
          <w:color w:val="000000" w:themeColor="text1"/>
          <w:sz w:val="16"/>
          <w:szCs w:val="16"/>
        </w:rPr>
        <w:softHyphen/>
        <w:t>лопного коллектора была выбита и выходящее пламя, через образовавшуюся цель, сожгло кол</w:t>
      </w:r>
      <w:r w:rsidRPr="007224C3">
        <w:rPr>
          <w:rFonts w:ascii="Times New Roman" w:hAnsi="Times New Roman"/>
          <w:color w:val="000000" w:themeColor="text1"/>
          <w:sz w:val="16"/>
          <w:szCs w:val="16"/>
        </w:rPr>
        <w:softHyphen/>
        <w:t>лектор проводов зажигания мотора (1825).</w:t>
      </w:r>
    </w:p>
    <w:p w14:paraId="1575340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59077E"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0E8153A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272F03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июня 1944 г. на Миасском полигоне были проведены заводские артиллерийские испы</w:t>
      </w:r>
      <w:r w:rsidRPr="007224C3">
        <w:rPr>
          <w:rFonts w:ascii="Times New Roman" w:hAnsi="Times New Roman"/>
          <w:color w:val="000000" w:themeColor="text1"/>
          <w:sz w:val="16"/>
          <w:szCs w:val="16"/>
        </w:rPr>
        <w:softHyphen/>
        <w:t>тания танка "Объект 245" (за</w:t>
      </w:r>
      <w:r w:rsidRPr="007224C3">
        <w:rPr>
          <w:rFonts w:ascii="Times New Roman" w:hAnsi="Times New Roman"/>
          <w:color w:val="000000" w:themeColor="text1"/>
          <w:sz w:val="16"/>
          <w:szCs w:val="16"/>
        </w:rPr>
        <w:softHyphen/>
        <w:t>водское обозначение - ИС-4), вооруженный 100-мм пушкой Д-10Т за</w:t>
      </w:r>
      <w:r w:rsidRPr="007224C3">
        <w:rPr>
          <w:rFonts w:ascii="Times New Roman" w:hAnsi="Times New Roman"/>
          <w:color w:val="000000" w:themeColor="text1"/>
          <w:sz w:val="16"/>
          <w:szCs w:val="16"/>
        </w:rPr>
        <w:softHyphen/>
        <w:t>вода № 9 НКВ с баллистикой морской пушки Б-34 (длина ствола 56 ка</w:t>
      </w:r>
      <w:r w:rsidRPr="007224C3">
        <w:rPr>
          <w:rFonts w:ascii="Times New Roman" w:hAnsi="Times New Roman"/>
          <w:color w:val="000000" w:themeColor="text1"/>
          <w:sz w:val="16"/>
          <w:szCs w:val="16"/>
        </w:rPr>
        <w:softHyphen/>
        <w:t>либров, начальная скорость бронебойного снаряда 900 м/с), по результатам которых было сделано заключение о готов</w:t>
      </w:r>
      <w:r w:rsidRPr="007224C3">
        <w:rPr>
          <w:rFonts w:ascii="Times New Roman" w:hAnsi="Times New Roman"/>
          <w:color w:val="000000" w:themeColor="text1"/>
          <w:sz w:val="16"/>
          <w:szCs w:val="16"/>
        </w:rPr>
        <w:softHyphen/>
        <w:t>ности его для предъявления на Государственные испытания. 100-мм пушка С-34 с завода № 92 НКВ вместо 20 февраля 1944 г., как это было предусмотрено планом, была подана на завод № 100 толь</w:t>
      </w:r>
      <w:r w:rsidRPr="007224C3">
        <w:rPr>
          <w:rFonts w:ascii="Times New Roman" w:hAnsi="Times New Roman"/>
          <w:color w:val="000000" w:themeColor="text1"/>
          <w:sz w:val="16"/>
          <w:szCs w:val="16"/>
        </w:rPr>
        <w:softHyphen/>
        <w:t>ко в начале апреля 1944 г. Совместным приказом НКТП, НКВ, коман</w:t>
      </w:r>
      <w:r w:rsidRPr="007224C3">
        <w:rPr>
          <w:rFonts w:ascii="Times New Roman" w:hAnsi="Times New Roman"/>
          <w:color w:val="000000" w:themeColor="text1"/>
          <w:sz w:val="16"/>
          <w:szCs w:val="16"/>
        </w:rPr>
        <w:softHyphen/>
        <w:t>дующего БТ и МВ РККА и начальника ГАУ были установлены новые сроки проведения испытаний. Теперь заводу № 100 необходимо было подать танк на Гороховецкий АНИОП к 8 мая 1944 г. Но опытный тяже</w:t>
      </w:r>
      <w:r w:rsidRPr="007224C3">
        <w:rPr>
          <w:rFonts w:ascii="Times New Roman" w:hAnsi="Times New Roman"/>
          <w:color w:val="000000" w:themeColor="text1"/>
          <w:sz w:val="16"/>
          <w:szCs w:val="16"/>
        </w:rPr>
        <w:softHyphen/>
        <w:t>лый танк ИС-5 ("Объект 248") из-за отсутствия готовой башни был из</w:t>
      </w:r>
      <w:r w:rsidRPr="007224C3">
        <w:rPr>
          <w:rFonts w:ascii="Times New Roman" w:hAnsi="Times New Roman"/>
          <w:color w:val="000000" w:themeColor="text1"/>
          <w:sz w:val="16"/>
          <w:szCs w:val="16"/>
        </w:rPr>
        <w:softHyphen/>
        <w:t>готовлен заводом только в июне 1944 г. и к концу месяца прошел лишь заводские испытания пробегом и отстрелом на Миасском полигоне. Танк "Объект 248" был создан на базе опытного тяжелого танка "Объект 237" № 1. В связи с установкой новой пушки и башни была изменена компоновка боевого отделения. Командир и наводчик располагались справа, а заряжающий - слева от пушки. Люк и командирская башенка имели, по отношению к серийной башне танка ИС-1, зеркальное распо</w:t>
      </w:r>
      <w:r w:rsidRPr="007224C3">
        <w:rPr>
          <w:rFonts w:ascii="Times New Roman" w:hAnsi="Times New Roman"/>
          <w:color w:val="000000" w:themeColor="text1"/>
          <w:sz w:val="16"/>
          <w:szCs w:val="16"/>
        </w:rPr>
        <w:softHyphen/>
        <w:t>ложение. Кроме того, отсутствовала установка тыльного пулемета. После проведения заводских испытаний машина была рекомендова</w:t>
      </w:r>
      <w:r w:rsidRPr="007224C3">
        <w:rPr>
          <w:rFonts w:ascii="Times New Roman" w:hAnsi="Times New Roman"/>
          <w:color w:val="000000" w:themeColor="text1"/>
          <w:sz w:val="16"/>
          <w:szCs w:val="16"/>
        </w:rPr>
        <w:softHyphen/>
        <w:t>на на полигонные испытания. Однако ни "Объект 245", ни "Объект 248", оснащенные 100-мм пуш</w:t>
      </w:r>
      <w:r w:rsidRPr="007224C3">
        <w:rPr>
          <w:rFonts w:ascii="Times New Roman" w:hAnsi="Times New Roman"/>
          <w:color w:val="000000" w:themeColor="text1"/>
          <w:sz w:val="16"/>
          <w:szCs w:val="16"/>
        </w:rPr>
        <w:softHyphen/>
        <w:t>ками, не были приняты на вооружение вследствие того, что на дальнос</w:t>
      </w:r>
      <w:r w:rsidRPr="007224C3">
        <w:rPr>
          <w:rFonts w:ascii="Times New Roman" w:hAnsi="Times New Roman"/>
          <w:color w:val="000000" w:themeColor="text1"/>
          <w:sz w:val="16"/>
          <w:szCs w:val="16"/>
        </w:rPr>
        <w:softHyphen/>
        <w:t>тях свыше 1000 м из-за меньшей массы бронебойных снарядов их бро-непробиваемость оказалась меньше, чем у 122-мм бронебойных снаря</w:t>
      </w:r>
      <w:r w:rsidRPr="007224C3">
        <w:rPr>
          <w:rFonts w:ascii="Times New Roman" w:hAnsi="Times New Roman"/>
          <w:color w:val="000000" w:themeColor="text1"/>
          <w:sz w:val="16"/>
          <w:szCs w:val="16"/>
        </w:rPr>
        <w:softHyphen/>
        <w:t>дов пушки Д-25. С середины апреля 1944 г. на основании "Тактико-технических тре</w:t>
      </w:r>
      <w:r w:rsidRPr="007224C3">
        <w:rPr>
          <w:rFonts w:ascii="Times New Roman" w:hAnsi="Times New Roman"/>
          <w:color w:val="000000" w:themeColor="text1"/>
          <w:sz w:val="16"/>
          <w:szCs w:val="16"/>
        </w:rPr>
        <w:softHyphen/>
        <w:t>бований на проектирование тяжелого танка", разработанных ТУ ГБТУ, в КБ завода № 100 велась работа по проектированию опытных тяжелых танков с электромеханической и механической трансмиссиями (10703).</w:t>
      </w:r>
    </w:p>
    <w:p w14:paraId="5E75E01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23C7F2"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июня 1944 г. начал работать Каменск-Уральский металлургический завод (6395).</w:t>
      </w:r>
    </w:p>
    <w:p w14:paraId="56BA8214"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C1D1A2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июня 1944 года - Пуск циклотрона в Лаборатории No. 2 (10549).</w:t>
      </w:r>
    </w:p>
    <w:p w14:paraId="1380F85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5C35DC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июня 1944 Завершены швартовные испытания 14-го МБК (10671).</w:t>
      </w:r>
    </w:p>
    <w:p w14:paraId="42F2263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EAFD96D"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1B350A3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CD56466" w14:textId="77777777" w:rsidR="00E2067E" w:rsidRPr="007224C3" w:rsidRDefault="00E2067E"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25 июня</w:t>
      </w:r>
      <w:r w:rsidRPr="007224C3">
        <w:rPr>
          <w:rFonts w:ascii="Times New Roman" w:hAnsi="Times New Roman"/>
          <w:color w:val="000000" w:themeColor="text1"/>
          <w:sz w:val="16"/>
          <w:szCs w:val="16"/>
        </w:rPr>
        <w:t xml:space="preserve"> в 1944 году оперативная сводка Совинформбюро:</w:t>
      </w:r>
    </w:p>
    <w:p w14:paraId="01799266" w14:textId="77777777" w:rsidR="00E2067E" w:rsidRPr="007224C3" w:rsidRDefault="00E2067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25 июня западнее города Витебск наши войска, развивая наступление, форсировали реку Западная Двина на фронте 30 километров и с боями заняли более 150 населённых пунктов, в числе которых Подоры, Комачино, Наде Жино, Поречье, Пятигорск, Сеньковщина, Ворохобка, Королино. Шары Лино, Новые Соннаки, Вяжище, Задорожье, Теребетовка, Старое Село, Ковальки, Щербаки, Васьковичи и железнодорожные станции Старое Село, Лосвида. Восточнее Бешенковичи наши войска перерезали шоссейную дорогу Витебск — Лепель.</w:t>
      </w:r>
    </w:p>
    <w:p w14:paraId="2FF1F167" w14:textId="77777777" w:rsidR="00E2067E" w:rsidRPr="007224C3" w:rsidRDefault="00E2067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югу от города Витебск наши войска, продолжая успешное наступление, овладели районными центрами Витебской области городом Сенно, городом и крупной железнодорожной станцией Богушевск, а также с боями заняли более 300 других населённых пунктов, в том числе Батраки, Билево-Сокольники, Подберезье, Прудники, Узварцы, Рудаковские, Каныши, Новоселки, Гнездиловичи, Дуброва, Берешово, Карповичи, Нерейша, Яново, Могилевка и железнодорожная станция Крестьянка. Войска, наступающие к югу от Витебска, перерезали шоссейную дорогу Витебск — Лепель в районе Гнездиловичи, где соединились с войсками, наступающими западнее Витебска.</w:t>
      </w:r>
    </w:p>
    <w:p w14:paraId="6FC6C58C" w14:textId="77777777" w:rsidR="00E2067E" w:rsidRPr="007224C3" w:rsidRDefault="00E2067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Таким образом, в ходе наступления наши войска завершили окружение группировки немцев в составе пяти пехотных дивизий в районе Витебска.</w:t>
      </w:r>
    </w:p>
    <w:p w14:paraId="37957BFE" w14:textId="77777777" w:rsidR="00E2067E" w:rsidRPr="007224C3" w:rsidRDefault="00E2067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Наши войска ворвались в город Витебск, где завязали уличные бои.</w:t>
      </w:r>
    </w:p>
    <w:p w14:paraId="7CC27F55" w14:textId="77777777" w:rsidR="00E2067E" w:rsidRPr="007224C3" w:rsidRDefault="00E2067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Оршанском направлении наши войска, продолжая наступление, с боями заняли более 40 населённых пунктов. Среди них Бабиновичи, Иваньково, Заозерье, Большая и Малая Бабина, Орехи-Выдрица, Ступаки, Голяши, Мордашевичи, Теолин и железнодорожная станция Хлюстино (14 километров северо-восточнее Орши).</w:t>
      </w:r>
    </w:p>
    <w:p w14:paraId="4C9BEBB2" w14:textId="77777777" w:rsidR="00E2067E" w:rsidRPr="007224C3" w:rsidRDefault="00E2067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Могилевском направлении наши войска, развивая успешное наступление, овладели районным центром Могилёвской области городом Чаусы, а также с боями заняли более 150 других населённых пунктов, в том числе крупные населённые пункты Углы, Ждановичи, Большое и Малое Бушково, Киркоры, Сухари, Васьковичи, Темривичи, Бординичи, Заречье.</w:t>
      </w:r>
    </w:p>
    <w:p w14:paraId="14ADE368" w14:textId="77777777" w:rsidR="00E2067E" w:rsidRPr="007224C3" w:rsidRDefault="00E2067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1-го Белорусского фронта, перейдя в наступление из района юго-западнее города Жлобин, прорвали, при поддержке массированных ударов артиллерии и авиации, сильно укреплённую оборону немцев, прикрывающую Бобруйское направление, на участке протяжением 35 километров и за два дня наступательных боёв продвинулись вперёд до 30 километров, расширив прорыв до 80 километров по фронту. Одновременно севернее города Рогачев войска фронта форсировали реку Друть и прорвали сильную, глубоко эшелонированную оборону противника на фронте протяжением 30 километров и продвинулись в глубину до 12 километров. В ходе наступления войсками фронта освобождено более 100 населённых пунктов, среди которых Стайки, Дубцы, Ректа (23 километра северо-западнее Рогачева), Озеране, Дядовщина, Большая Коноплица, Веричев, Заполье, Кнышевичи (8 километров юго-западнее Паричи), Тумаровка, Заболотье, Ковчицы 1-е, Бараний Рог, Круки, Черные Броды, Протасы, Моисеевка, Прослише, Грабье, Мушичи и железнодорожная станция Мошна.</w:t>
      </w:r>
    </w:p>
    <w:p w14:paraId="6DF9DB27" w14:textId="77777777" w:rsidR="00E2067E" w:rsidRPr="007224C3" w:rsidRDefault="00E2067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Таким образом, наши войска перерезали железную дорогу Бобруйск — Лунинец.</w:t>
      </w:r>
    </w:p>
    <w:p w14:paraId="25596739" w14:textId="77777777" w:rsidR="00E2067E" w:rsidRPr="007224C3" w:rsidRDefault="00E2067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Между Онежским и Ладожским озёрами наши войска, преодолевая сопротивление и инженерные заграждения противника на лесных дорогах, продолжали наступление и с боями заняли населённые пункты Ташкеницы, Устье, Речная Сельга, Самбатукса, Пипилица, Сармяги, Обжа.</w:t>
      </w:r>
    </w:p>
    <w:p w14:paraId="71D9B984" w14:textId="77777777" w:rsidR="00E2067E" w:rsidRPr="007224C3" w:rsidRDefault="00E2067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Севернее Онежского озера наши войска, форсировав реки Остер и Кумса, продвинулись к западу и югу от Медвежьегорска до 15 километров, заняв при этом населённые пункты Шарвары, Падун и железнодорожные станции Предмед Горский, Перегуба на Мурманской железной дороге.</w:t>
      </w:r>
    </w:p>
    <w:p w14:paraId="48AEE58E" w14:textId="77777777" w:rsidR="00E2067E" w:rsidRPr="007224C3" w:rsidRDefault="00E2067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 без существенных изменений.</w:t>
      </w:r>
    </w:p>
    <w:p w14:paraId="78A941F0" w14:textId="77777777" w:rsidR="00E2067E" w:rsidRPr="007224C3" w:rsidRDefault="00E2067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В течение 24 июня наши войска на всех фронтах подбили и уничтожили 44 немецких танка. В воздушных боях и огнём зенитной артиллерии сбито 48 самолётов противника.»</w:t>
      </w:r>
    </w:p>
    <w:p w14:paraId="10538DB9" w14:textId="77777777" w:rsidR="00E2067E" w:rsidRPr="007224C3" w:rsidRDefault="00E2067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Налёт нашей авиации на железнодорожный узел Полоцк и станцию Оболь:</w:t>
      </w:r>
    </w:p>
    <w:p w14:paraId="7070BDA8" w14:textId="77777777" w:rsidR="00E2067E" w:rsidRPr="007224C3" w:rsidRDefault="00E2067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«Наша авиация дальнего действия в ночь на 25 июня совершила налёт на железнодорожный узел Полоцк и станцию Оболь.</w:t>
      </w:r>
    </w:p>
    <w:p w14:paraId="3028D2DD" w14:textId="77777777" w:rsidR="00E2067E" w:rsidRPr="007224C3" w:rsidRDefault="00E2067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 время налёта на железнодорожном узле Полоцк наблюдалось большое скопление эшелонов с войсками и военными мате риалами. Наши лётчики, осветив территорию узла светящимися бомбами, подвергли прицельной бомбардировке железнодорожные составы, склады и сооружения. На товарной станции возникло 10 очагов пожара, из них 3 особенно больших размеров. Огонь охватил несколько эшелонов и станционные постройки. В восточной части узла произошёл взрыв огромной силы.</w:t>
      </w:r>
    </w:p>
    <w:p w14:paraId="292E3371" w14:textId="77777777" w:rsidR="00E2067E" w:rsidRPr="007224C3" w:rsidRDefault="00E2067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железнодорожной станции Оболь в результате массированного удара нашей авиации разбито и сожжено несколько железнодорожных эшелонов. На территории станции возникли пожары и произошли сильные взрывы.»</w:t>
      </w:r>
    </w:p>
    <w:p w14:paraId="6C7830A4" w14:textId="77777777" w:rsidR="00E2067E" w:rsidRPr="007224C3" w:rsidRDefault="00E2067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города Витебск наши войска, преследуя разгромленные части противника, форсировали Западную Двину. Наступление наших войск было настолько стреми тельным, что отступившие в панике немцы даже не успели взорвать мост через реку. Быстро продвигаясь вперёд, советские части соединились с войсками, наступающими южнее города Витебск. Таким образом наши войска завершили окружение витебской группировки немцев. Дороги и районы боёв усеяны сотнями вражеских трупов. Повсюду валяется разбитая техника, а также вполне исправное вооружение, брошенное немцами. По неполным данным, за день боёв уничтожено 2.700 гитлеровцев, захвачено 12 самоходных и 50 полевых орудий, 230 пулемётов, 10 складов с боеприпасами и продовольствием, большое количество разного оружия и снаряжения. Взято в плен свыше 600 немецких солдат и офицеров. На сторону Красной Армии перешла в полном составе одна рота 56 немецкой пехотной дивизии.</w:t>
      </w:r>
    </w:p>
    <w:p w14:paraId="59EF056D" w14:textId="77777777" w:rsidR="00E2067E" w:rsidRPr="007224C3" w:rsidRDefault="00E2067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югу от города Витебск части Н-ского соединения штурмом заняли крупную железнодорожную станцию и узел грунтовых дорог город Богушевск и районный центр Витебской области город Сеяно. Враг несёт большие потери. По предварительным данным, советские войска за два дня уничтожили свыше 8 тысяч немецких солдат и офицеров, сожгли 28 танков и самоходных орудий, до 500 автомашин, разбили 140 орудий. Наши части захватили 104 орудия, 246 пулемётов, 41 миномёт, 25 радиостанций, 47 складов с военным имуществом, боеприпасами и продовольствием. Взято в плен более 700 немецких солдат и офицеров.</w:t>
      </w:r>
    </w:p>
    <w:p w14:paraId="41B01E8F" w14:textId="77777777" w:rsidR="00E2067E" w:rsidRPr="007224C3" w:rsidRDefault="00E2067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Могилёвском направлении советские войска, преследуя отступающего врага, с хода форсировали реку Бася и в результате ожесточённого боя овладели городом Чаусы. Западный берег реки Бася немцы превратили в сильно укреплённый рубеж обороны, насыщенный огневыми средствами. Наша артиллерия, бомбардировочная и штурмовая авиация подавили огневые точки противника. Стремительным ударом советские части прорвали второй оборонительный рубеж противника и, успешно продвигаясь вперёд, заняли более 150 населённых пунктов. Подразделения Н-ской части разгромили немецкий пехотный полк и захватили полковое знамя. По неполным данным, бойцы H-ского соединения за два дня боёв уничтожили до 2.000 немецких солдат и офицеров. Захвачено 19 орудий, 54 пулемёта, 18 крупнокалиберных миномётов, 8 радио станций, 2 склада боеприпасов и много других трофеев.</w:t>
      </w:r>
    </w:p>
    <w:p w14:paraId="1C91265F" w14:textId="77777777" w:rsidR="00E2067E" w:rsidRPr="007224C3" w:rsidRDefault="00E2067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города Жлобин наши войска, после мощной артиллерийской подготовки и ударов авиации по укреплениям и огневым позициям противника, перешли в наступление. Опираясь на широко развитую сеть траншей и многочисленные дзоты, прикрытые минными полями и проволочными заграждениями, а также водными преградами и болотами, немцы оказывали отчаянное сопротивление. Однако советские войска, опрокинули противника, прорвали его оборону и, продвигаясь вперёд, заняли ряд населённых пунктов. По неполным данным, уничтожено более 2.000 гитлеровцев. Одновременно севернее города Рогачёв наши войска переправились через реку Друть. Советская пехота, поддержанная мощными ударами артиллерии и авиации, штурмом прорвала глубоко эшелонированную оборону противника и продолжает успешно продвигаться вперёд. На поле боя осталось свыше 1.700 вражеских трупов. Захвачено много трофеев и пленных.» (14933).</w:t>
      </w:r>
    </w:p>
    <w:p w14:paraId="0779DCDD" w14:textId="77777777" w:rsidR="00E2067E" w:rsidRPr="007224C3" w:rsidRDefault="00E2067E" w:rsidP="007224C3">
      <w:pPr>
        <w:spacing w:after="0" w:line="240" w:lineRule="auto"/>
        <w:jc w:val="both"/>
        <w:rPr>
          <w:rFonts w:ascii="Times New Roman" w:hAnsi="Times New Roman"/>
          <w:color w:val="000000" w:themeColor="text1"/>
          <w:sz w:val="16"/>
          <w:szCs w:val="16"/>
        </w:rPr>
      </w:pPr>
    </w:p>
    <w:p w14:paraId="691AAF4C" w14:textId="77777777" w:rsidR="00E2067E" w:rsidRPr="007224C3" w:rsidRDefault="00E2067E"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25 июня</w:t>
      </w:r>
      <w:r w:rsidRPr="007224C3">
        <w:rPr>
          <w:rFonts w:ascii="Times New Roman" w:hAnsi="Times New Roman"/>
          <w:color w:val="000000" w:themeColor="text1"/>
          <w:sz w:val="16"/>
          <w:szCs w:val="16"/>
        </w:rPr>
        <w:t xml:space="preserve"> в 1944 году (25-27 июня) войска 1-го Прибалтийского и 3-го Белорусского фронтов окружили и уничтожили крупную группировку немецко-фашистских войск западнее Витебска (14933).</w:t>
      </w:r>
    </w:p>
    <w:p w14:paraId="3FC3EC79" w14:textId="77777777" w:rsidR="00E2067E" w:rsidRPr="007224C3" w:rsidRDefault="00E2067E" w:rsidP="007224C3">
      <w:pPr>
        <w:spacing w:after="0" w:line="240" w:lineRule="auto"/>
        <w:jc w:val="both"/>
        <w:rPr>
          <w:rFonts w:ascii="Times New Roman" w:hAnsi="Times New Roman"/>
          <w:color w:val="000000" w:themeColor="text1"/>
          <w:sz w:val="16"/>
          <w:szCs w:val="16"/>
        </w:rPr>
      </w:pPr>
    </w:p>
    <w:p w14:paraId="5A53AD1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июня 1944 Первый Белорусский в районе Жлобина прорвал оборону, прикрывающую Бобруйское направление (271,220). На 1БВ с конно-механизированной группой взаимодействовали по одной шад и иад, а бак использовались как огневой резерв для ударов по важнейшим объектам. Ш соединения по вызову авиапредставителей на передовых пунктах корпусов группами по 9-12 самолетов непрерывно наносили удары (340,172).</w:t>
      </w:r>
    </w:p>
    <w:p w14:paraId="5723D14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2051A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июня 1944 в ходе Витебско-Оршанской операции в день прорыва 5ГТА 3БФ бомбардировщики 1ВА подвергли сильным ударам аэродромы противника в Орше, Докудово, Борисов (518,158).</w:t>
      </w:r>
    </w:p>
    <w:p w14:paraId="36EA659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48227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июня 1944 вышла директива наркома ВМФ Н.К.Кузнецова N 162/Ш о высокой аварийности авиации ТОФ (2120).</w:t>
      </w:r>
    </w:p>
    <w:p w14:paraId="3F5F8D3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BA651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июня 1944 г. была подготовлена ДОКЛАДНАЯ ЗАПИСКА ВОЕННОГО СОВЕТА БТ и МВ КА НАРОДНОМУ КОМИССАРУ ОБОРОНЫ СССР И.В. СТАЛИНУ ОБ ОРГАНИЗАЦИИ ТАНКОВОГО НАУЧНО-ТЕХНИЧЕСКОГО КОМИТЕТА</w:t>
      </w:r>
    </w:p>
    <w:p w14:paraId="3CC49D2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целях улучшения работы по вопросам, относящимся к повышению качества и своевременно</w:t>
      </w:r>
      <w:r w:rsidRPr="007224C3">
        <w:rPr>
          <w:rFonts w:ascii="Times New Roman" w:hAnsi="Times New Roman"/>
          <w:color w:val="000000" w:themeColor="text1"/>
          <w:sz w:val="16"/>
          <w:szCs w:val="16"/>
        </w:rPr>
        <w:softHyphen/>
        <w:t>го создания опытных образцов, отражающих лучшие достижения танковой техники и самоходной артиллерии, а также для тщательного обобщения боевого опыта по эксплуатации и ремонту боевых машин — необходимо организовать при Главном бронетанковом управлении Красной Армии тан</w:t>
      </w:r>
      <w:r w:rsidRPr="007224C3">
        <w:rPr>
          <w:rFonts w:ascii="Times New Roman" w:hAnsi="Times New Roman"/>
          <w:color w:val="000000" w:themeColor="text1"/>
          <w:sz w:val="16"/>
          <w:szCs w:val="16"/>
        </w:rPr>
        <w:softHyphen/>
        <w:t>ковый научно-технический комитет.</w:t>
      </w:r>
    </w:p>
    <w:p w14:paraId="5DCD1EA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Представляю на Ваше рассмотрение проект штата этого комитета.</w:t>
      </w:r>
    </w:p>
    <w:p w14:paraId="211CFB4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Прошу его утвердить.</w:t>
      </w:r>
    </w:p>
    <w:p w14:paraId="6FE199A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Командующий БТ и МВ КА маршал бронетанковых войск Я. Федоренко</w:t>
      </w:r>
    </w:p>
    <w:p w14:paraId="3CCF9B7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Член военного совета генерал-полковник танковых войск Н. Бирюков</w:t>
      </w:r>
    </w:p>
    <w:p w14:paraId="038C065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ПРОЕКТ ПРИКАЗА НАРОДНОГО КОМИССАРА ОБОРОНЫ О создании танкового научно-технического комитета</w:t>
      </w:r>
    </w:p>
    <w:p w14:paraId="2DDAFBF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Приложение</w:t>
      </w:r>
    </w:p>
    <w:p w14:paraId="4501D2F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целях улучшения работы по вопросам, относящимся к повышению качества и своевременно</w:t>
      </w:r>
      <w:r w:rsidRPr="007224C3">
        <w:rPr>
          <w:rFonts w:ascii="Times New Roman" w:hAnsi="Times New Roman"/>
          <w:color w:val="000000" w:themeColor="text1"/>
          <w:sz w:val="16"/>
          <w:szCs w:val="16"/>
        </w:rPr>
        <w:softHyphen/>
        <w:t>го создания опытных образцов, отражающих лучшие достижения танковой техники и самоходной артиллерии, а также для тщательного обобщения боевого опыта по эксплуатации боевых машин ПРИКАЗЫВАЮ:</w:t>
      </w:r>
    </w:p>
    <w:p w14:paraId="7207B84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Создать при Главном бронетанковом управлении Красной Армии танковый научно-техниче</w:t>
      </w:r>
      <w:r w:rsidRPr="007224C3">
        <w:rPr>
          <w:rFonts w:ascii="Times New Roman" w:hAnsi="Times New Roman"/>
          <w:color w:val="000000" w:themeColor="text1"/>
          <w:sz w:val="16"/>
          <w:szCs w:val="16"/>
        </w:rPr>
        <w:softHyphen/>
        <w:t>ский комитет.</w:t>
      </w:r>
    </w:p>
    <w:p w14:paraId="2D3483F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Штат танкового научно-технического комитета установить в 65 человек военнослужащих и 49 человек вольнонаемных (приложение 1).</w:t>
      </w:r>
    </w:p>
    <w:p w14:paraId="52B8237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Командующему бронетанковыми и механизированными войсками Красной Армии маршалу бронетанковых войск Федоренко:</w:t>
      </w:r>
    </w:p>
    <w:p w14:paraId="7D34E8D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разработать и утвердить положение о танковом научно-техническом комитете;</w:t>
      </w:r>
    </w:p>
    <w:p w14:paraId="71D64A5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укомплектовать танковый научно-технический комитет личным составом к 1 июля с. г.</w:t>
      </w:r>
    </w:p>
    <w:p w14:paraId="44EDCBC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Народный комиссар обороны СССР Маршал Советского Союза И. Сталин</w:t>
      </w:r>
    </w:p>
    <w:p w14:paraId="71AFA71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ПОЛОЖЕНИЕ О ТАНКОВОМ НАУЧНО-ТЕХНИЧЕСКОМ КОМИТЕТЕ ПРИ ГЛАВНОМ БРОНЕТАНКОВОМ УПРАВЛЕНИИ КРАСНОЙ АРМИИ</w:t>
      </w:r>
    </w:p>
    <w:p w14:paraId="7AA9618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Танковый научно-технический комитет является высшим техническим органом начальника Главного бронетанкового управления Красной Армии.</w:t>
      </w:r>
    </w:p>
    <w:p w14:paraId="4F10AD4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Работой комитета руководит председатель ТНТК, он же является начальником Главного броне</w:t>
      </w:r>
      <w:r w:rsidRPr="007224C3">
        <w:rPr>
          <w:rFonts w:ascii="Times New Roman" w:hAnsi="Times New Roman"/>
          <w:color w:val="000000" w:themeColor="text1"/>
          <w:sz w:val="16"/>
          <w:szCs w:val="16"/>
        </w:rPr>
        <w:softHyphen/>
        <w:t>танкового управления.</w:t>
      </w:r>
    </w:p>
    <w:p w14:paraId="4DD3454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Материальной базой для комитета является НИБТ полигон.</w:t>
      </w:r>
    </w:p>
    <w:p w14:paraId="3D162E4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качестве совещательного органа при председателе комитета создается Пленум комитета.</w:t>
      </w:r>
    </w:p>
    <w:p w14:paraId="16FB3AE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Члены Пленума комитета назначаются Военным советом БТ и МБ КА из числа:</w:t>
      </w:r>
    </w:p>
    <w:p w14:paraId="3F10991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Начальников Главных и Центральных управлений БТ и МБ КА и полигона;</w:t>
      </w:r>
    </w:p>
    <w:p w14:paraId="7ACD34D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Начальников соответствующих кафедр академии имени И. В. Сталина, артиллерийской, свя</w:t>
      </w:r>
      <w:r w:rsidRPr="007224C3">
        <w:rPr>
          <w:rFonts w:ascii="Times New Roman" w:hAnsi="Times New Roman"/>
          <w:color w:val="000000" w:themeColor="text1"/>
          <w:sz w:val="16"/>
          <w:szCs w:val="16"/>
        </w:rPr>
        <w:softHyphen/>
        <w:t>зи, химической защиты и др.;</w:t>
      </w:r>
    </w:p>
    <w:p w14:paraId="2D71B64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отдельных специалистов из числа военнослужащих Красной Армии и, кроме того, по со</w:t>
      </w:r>
      <w:r w:rsidRPr="007224C3">
        <w:rPr>
          <w:rFonts w:ascii="Times New Roman" w:hAnsi="Times New Roman"/>
          <w:color w:val="000000" w:themeColor="text1"/>
          <w:sz w:val="16"/>
          <w:szCs w:val="16"/>
        </w:rPr>
        <w:softHyphen/>
        <w:t>гласованию с Народными комиссарами танковой промышленности, среднего машиностроения и других Наркоматов, вводятся в состав Пленума конструктора и инженерно-технические ра</w:t>
      </w:r>
      <w:r w:rsidRPr="007224C3">
        <w:rPr>
          <w:rFonts w:ascii="Times New Roman" w:hAnsi="Times New Roman"/>
          <w:color w:val="000000" w:themeColor="text1"/>
          <w:sz w:val="16"/>
          <w:szCs w:val="16"/>
        </w:rPr>
        <w:softHyphen/>
        <w:t>ботники.</w:t>
      </w:r>
    </w:p>
    <w:p w14:paraId="7E6AEAC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Вопросы, выносимые на заседание Пленума комитета, решаются простым голосованием с по</w:t>
      </w:r>
      <w:r w:rsidRPr="007224C3">
        <w:rPr>
          <w:rFonts w:ascii="Times New Roman" w:hAnsi="Times New Roman"/>
          <w:color w:val="000000" w:themeColor="text1"/>
          <w:sz w:val="16"/>
          <w:szCs w:val="16"/>
        </w:rPr>
        <w:softHyphen/>
        <w:t>следующим утверждением начальником ГБТУ КА.</w:t>
      </w:r>
    </w:p>
    <w:p w14:paraId="66BCDEF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Основными задачами танкового научно-технического комитета являются следующие:</w:t>
      </w:r>
    </w:p>
    <w:p w14:paraId="76C225C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Определение типов танков, самоходных артиллерийских установок и других боевых машин, необходимых для Красной Армии, то есть отработка основных данных по тактико-технической ха</w:t>
      </w:r>
      <w:r w:rsidRPr="007224C3">
        <w:rPr>
          <w:rFonts w:ascii="Times New Roman" w:hAnsi="Times New Roman"/>
          <w:color w:val="000000" w:themeColor="text1"/>
          <w:sz w:val="16"/>
          <w:szCs w:val="16"/>
        </w:rPr>
        <w:softHyphen/>
        <w:t>рактеристике.</w:t>
      </w:r>
    </w:p>
    <w:p w14:paraId="112F6BA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Выработка требований на проектирование опытных образцов и условий их приемки, а так</w:t>
      </w:r>
      <w:r w:rsidRPr="007224C3">
        <w:rPr>
          <w:rFonts w:ascii="Times New Roman" w:hAnsi="Times New Roman"/>
          <w:color w:val="000000" w:themeColor="text1"/>
          <w:sz w:val="16"/>
          <w:szCs w:val="16"/>
        </w:rPr>
        <w:softHyphen/>
        <w:t>же определение направления в совершенствовании основных механизмов вооружения танков и других боевых машин.</w:t>
      </w:r>
    </w:p>
    <w:p w14:paraId="6340C58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Контроль за проектированием и изготовлением опытных образцов боевых машин и агрега</w:t>
      </w:r>
      <w:r w:rsidRPr="007224C3">
        <w:rPr>
          <w:rFonts w:ascii="Times New Roman" w:hAnsi="Times New Roman"/>
          <w:color w:val="000000" w:themeColor="text1"/>
          <w:sz w:val="16"/>
          <w:szCs w:val="16"/>
        </w:rPr>
        <w:softHyphen/>
        <w:t>тов, осуществляемых в промышленности и проектных организациях по заданиям комитета, ут</w:t>
      </w:r>
      <w:r w:rsidRPr="007224C3">
        <w:rPr>
          <w:rFonts w:ascii="Times New Roman" w:hAnsi="Times New Roman"/>
          <w:color w:val="000000" w:themeColor="text1"/>
          <w:sz w:val="16"/>
          <w:szCs w:val="16"/>
        </w:rPr>
        <w:softHyphen/>
        <w:t>вержденным начальником Главного бронетанкового управления Красной Армии и Военным сове</w:t>
      </w:r>
      <w:r w:rsidRPr="007224C3">
        <w:rPr>
          <w:rFonts w:ascii="Times New Roman" w:hAnsi="Times New Roman"/>
          <w:color w:val="000000" w:themeColor="text1"/>
          <w:sz w:val="16"/>
          <w:szCs w:val="16"/>
        </w:rPr>
        <w:softHyphen/>
        <w:t>том БТ и МБ КА.</w:t>
      </w:r>
    </w:p>
    <w:p w14:paraId="46E75F5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Испытание опытных образцов танков, самоходных арт. установок и отдельных агрегатов.</w:t>
      </w:r>
    </w:p>
    <w:p w14:paraId="354100B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Изучение и обобщение материалов по качеству конструкции, а также эксплуатации танков и других боевых машин в условиях войсковых частей, специальных учений и в боевых условиях.</w:t>
      </w:r>
    </w:p>
    <w:p w14:paraId="19C464B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6. Комитет доводит каждый опытный образец, принятый на вооружение, до серийного произ</w:t>
      </w:r>
      <w:r w:rsidRPr="007224C3">
        <w:rPr>
          <w:rFonts w:ascii="Times New Roman" w:hAnsi="Times New Roman"/>
          <w:color w:val="000000" w:themeColor="text1"/>
          <w:sz w:val="16"/>
          <w:szCs w:val="16"/>
        </w:rPr>
        <w:softHyphen/>
        <w:t>водства, после чего полностью отработанную техническую документацию передает соответствую</w:t>
      </w:r>
      <w:r w:rsidRPr="007224C3">
        <w:rPr>
          <w:rFonts w:ascii="Times New Roman" w:hAnsi="Times New Roman"/>
          <w:color w:val="000000" w:themeColor="text1"/>
          <w:sz w:val="16"/>
          <w:szCs w:val="16"/>
        </w:rPr>
        <w:softHyphen/>
        <w:t>щему Центральному управлению.</w:t>
      </w:r>
    </w:p>
    <w:p w14:paraId="1E586ED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Изучение танковой техники зарубежных армий.</w:t>
      </w:r>
    </w:p>
    <w:p w14:paraId="41A1D87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Отработка тематики опытных и исследовательских работ по вопросам конструкции и экс</w:t>
      </w:r>
      <w:r w:rsidRPr="007224C3">
        <w:rPr>
          <w:rFonts w:ascii="Times New Roman" w:hAnsi="Times New Roman"/>
          <w:color w:val="000000" w:themeColor="text1"/>
          <w:sz w:val="16"/>
          <w:szCs w:val="16"/>
        </w:rPr>
        <w:softHyphen/>
        <w:t>плуатации боемашин, в том числе и тематики научно-исследовательских работ НИО академии име</w:t>
      </w:r>
      <w:r w:rsidRPr="007224C3">
        <w:rPr>
          <w:rFonts w:ascii="Times New Roman" w:hAnsi="Times New Roman"/>
          <w:color w:val="000000" w:themeColor="text1"/>
          <w:sz w:val="16"/>
          <w:szCs w:val="16"/>
        </w:rPr>
        <w:softHyphen/>
        <w:t>ни И. В. Сталина.</w:t>
      </w:r>
    </w:p>
    <w:p w14:paraId="78FA58A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Внедрение в план работ исследовательских институтов родственной специальностной тема</w:t>
      </w:r>
      <w:r w:rsidRPr="007224C3">
        <w:rPr>
          <w:rFonts w:ascii="Times New Roman" w:hAnsi="Times New Roman"/>
          <w:color w:val="000000" w:themeColor="text1"/>
          <w:sz w:val="16"/>
          <w:szCs w:val="16"/>
        </w:rPr>
        <w:softHyphen/>
        <w:t>тики, связанной с бронетанковой техникой.</w:t>
      </w:r>
    </w:p>
    <w:p w14:paraId="3728999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Издание инструкций, наставлений и печатных работ по отдельным вопросам танковой тех</w:t>
      </w:r>
      <w:r w:rsidRPr="007224C3">
        <w:rPr>
          <w:rFonts w:ascii="Times New Roman" w:hAnsi="Times New Roman"/>
          <w:color w:val="000000" w:themeColor="text1"/>
          <w:sz w:val="16"/>
          <w:szCs w:val="16"/>
        </w:rPr>
        <w:softHyphen/>
        <w:t>ники.</w:t>
      </w:r>
    </w:p>
    <w:p w14:paraId="2B9957A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Сбор информации из союзной и зарубежной печати и других источников по вопросам тан</w:t>
      </w:r>
      <w:r w:rsidRPr="007224C3">
        <w:rPr>
          <w:rFonts w:ascii="Times New Roman" w:hAnsi="Times New Roman"/>
          <w:color w:val="000000" w:themeColor="text1"/>
          <w:sz w:val="16"/>
          <w:szCs w:val="16"/>
        </w:rPr>
        <w:softHyphen/>
        <w:t>ковой техники, а также связь с институтами, научными учреждениями академии наук СССР, Нар</w:t>
      </w:r>
      <w:r w:rsidRPr="007224C3">
        <w:rPr>
          <w:rFonts w:ascii="Times New Roman" w:hAnsi="Times New Roman"/>
          <w:color w:val="000000" w:themeColor="text1"/>
          <w:sz w:val="16"/>
          <w:szCs w:val="16"/>
        </w:rPr>
        <w:softHyphen/>
        <w:t>коматов промышленности и конструкторскими бюро заводов с целью своевременного ознакомле</w:t>
      </w:r>
      <w:r w:rsidRPr="007224C3">
        <w:rPr>
          <w:rFonts w:ascii="Times New Roman" w:hAnsi="Times New Roman"/>
          <w:color w:val="000000" w:themeColor="text1"/>
          <w:sz w:val="16"/>
          <w:szCs w:val="16"/>
        </w:rPr>
        <w:softHyphen/>
        <w:t>ния и использования лучших достижений во всех областях техники.</w:t>
      </w:r>
    </w:p>
    <w:p w14:paraId="34C3752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Организационная структура танкового научно-технического комитета:</w:t>
      </w:r>
    </w:p>
    <w:p w14:paraId="497360A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1-й отдел — танков и самоходных арт. установок.</w:t>
      </w:r>
    </w:p>
    <w:p w14:paraId="6A505CB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2-й отдел — брони и металлургии.</w:t>
      </w:r>
    </w:p>
    <w:p w14:paraId="28025F4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3-й отдел — двигателей.</w:t>
      </w:r>
    </w:p>
    <w:p w14:paraId="7E0D1AF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 4-й отдел — радио-электрооборудования и контрольных приборов.</w:t>
      </w:r>
    </w:p>
    <w:p w14:paraId="57D0C4E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 5-й отдел — вооружения и оптики танков и самоходных арт. установок.</w:t>
      </w:r>
    </w:p>
    <w:p w14:paraId="7F1EDB4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е) 6-й отдел — технической информации.</w:t>
      </w:r>
    </w:p>
    <w:p w14:paraId="5DCE712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ж) 7-й отдел — бронепоездов и бронемашин, мотоциклов и аэросаней.</w:t>
      </w:r>
    </w:p>
    <w:p w14:paraId="53D7E0E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 8-й отдел — изобретений и рацпредложений.</w:t>
      </w:r>
    </w:p>
    <w:p w14:paraId="1BDAC6F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Секретная часть.</w:t>
      </w:r>
    </w:p>
    <w:p w14:paraId="330EF60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Общая часть.</w:t>
      </w:r>
    </w:p>
    <w:p w14:paraId="6001224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1-й отдел БНТК</w:t>
      </w:r>
      <w:r w:rsidRPr="007224C3">
        <w:rPr>
          <w:rFonts w:ascii="Times New Roman" w:hAnsi="Times New Roman"/>
          <w:color w:val="000000" w:themeColor="text1"/>
          <w:sz w:val="16"/>
          <w:szCs w:val="16"/>
          <w:vertAlign w:val="superscript"/>
        </w:rPr>
        <w:t>1</w:t>
      </w:r>
      <w:r w:rsidRPr="007224C3">
        <w:rPr>
          <w:rFonts w:ascii="Times New Roman" w:hAnsi="Times New Roman"/>
          <w:color w:val="000000" w:themeColor="text1"/>
          <w:sz w:val="16"/>
          <w:szCs w:val="16"/>
        </w:rPr>
        <w:t xml:space="preserve"> - танков и самоходных артустановок</w:t>
      </w:r>
    </w:p>
    <w:p w14:paraId="268D501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Основными задачами отдела являются:</w:t>
      </w:r>
    </w:p>
    <w:p w14:paraId="1647639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Разработка тактико-технических требований на новые образцы танков и самоходных арт. ус</w:t>
      </w:r>
      <w:r w:rsidRPr="007224C3">
        <w:rPr>
          <w:rFonts w:ascii="Times New Roman" w:hAnsi="Times New Roman"/>
          <w:color w:val="000000" w:themeColor="text1"/>
          <w:sz w:val="16"/>
          <w:szCs w:val="16"/>
        </w:rPr>
        <w:softHyphen/>
        <w:t>тановок.</w:t>
      </w:r>
    </w:p>
    <w:p w14:paraId="4BC3954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Контроль за проектированием и изготовлением опытных образцов танков и СУ и агрегатов, осуществляемых в промышленности и проектных организациях по заданиям комитета.</w:t>
      </w:r>
    </w:p>
    <w:p w14:paraId="2941C7D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Рассмотрение и составление заключений по проектам опытных образцов танков и СУ, пред</w:t>
      </w:r>
      <w:r w:rsidRPr="007224C3">
        <w:rPr>
          <w:rFonts w:ascii="Times New Roman" w:hAnsi="Times New Roman"/>
          <w:color w:val="000000" w:themeColor="text1"/>
          <w:sz w:val="16"/>
          <w:szCs w:val="16"/>
        </w:rPr>
        <w:softHyphen/>
        <w:t>ставляемых наркоматами.</w:t>
      </w:r>
    </w:p>
    <w:p w14:paraId="5B9B514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Конструирование комиссий государственных и полигонных испытаний новых и модернизи</w:t>
      </w:r>
      <w:r w:rsidRPr="007224C3">
        <w:rPr>
          <w:rFonts w:ascii="Times New Roman" w:hAnsi="Times New Roman"/>
          <w:color w:val="000000" w:themeColor="text1"/>
          <w:sz w:val="16"/>
          <w:szCs w:val="16"/>
        </w:rPr>
        <w:softHyphen/>
        <w:t>рованных танков и СУ и непосредственное участие в этих испытаниях.</w:t>
      </w:r>
    </w:p>
    <w:p w14:paraId="708ACF8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Составление проектов постановлений Правительства и приказов по всем вопросам, связан</w:t>
      </w:r>
      <w:r w:rsidRPr="007224C3">
        <w:rPr>
          <w:rFonts w:ascii="Times New Roman" w:hAnsi="Times New Roman"/>
          <w:color w:val="000000" w:themeColor="text1"/>
          <w:sz w:val="16"/>
          <w:szCs w:val="16"/>
        </w:rPr>
        <w:softHyphen/>
        <w:t>ным с проектированием, изготовлением, испытанием и принятием на вооружение новых и модер</w:t>
      </w:r>
      <w:r w:rsidRPr="007224C3">
        <w:rPr>
          <w:rFonts w:ascii="Times New Roman" w:hAnsi="Times New Roman"/>
          <w:color w:val="000000" w:themeColor="text1"/>
          <w:sz w:val="16"/>
          <w:szCs w:val="16"/>
        </w:rPr>
        <w:softHyphen/>
        <w:t>низированных образцов танков и СУ.</w:t>
      </w:r>
    </w:p>
    <w:p w14:paraId="1848AF7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Систематическое изучение существующих образцов танков и СУ во всех условиях их при</w:t>
      </w:r>
      <w:r w:rsidRPr="007224C3">
        <w:rPr>
          <w:rFonts w:ascii="Times New Roman" w:hAnsi="Times New Roman"/>
          <w:color w:val="000000" w:themeColor="text1"/>
          <w:sz w:val="16"/>
          <w:szCs w:val="16"/>
        </w:rPr>
        <w:softHyphen/>
        <w:t>менения и разработка, на основе этого, предложений по модернизации этих образцов.</w:t>
      </w:r>
    </w:p>
    <w:p w14:paraId="377F081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Изучение и анализ бронетанковой техники всего мира и разработка предложений о внедре</w:t>
      </w:r>
      <w:r w:rsidRPr="007224C3">
        <w:rPr>
          <w:rFonts w:ascii="Times New Roman" w:hAnsi="Times New Roman"/>
          <w:color w:val="000000" w:themeColor="text1"/>
          <w:sz w:val="16"/>
          <w:szCs w:val="16"/>
        </w:rPr>
        <w:softHyphen/>
        <w:t>нии отдельных узлов и агрегатов в отечественную бронетанковую промышленность.</w:t>
      </w:r>
    </w:p>
    <w:p w14:paraId="1F675C1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Участие в разработке наставлений, инструкций и памяток по танкам и СУ.</w:t>
      </w:r>
    </w:p>
    <w:p w14:paraId="5B44952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Заключение договоров с наркоматами и заводами промышленности на проектирование и из</w:t>
      </w:r>
      <w:r w:rsidRPr="007224C3">
        <w:rPr>
          <w:rFonts w:ascii="Times New Roman" w:hAnsi="Times New Roman"/>
          <w:color w:val="000000" w:themeColor="text1"/>
          <w:sz w:val="16"/>
          <w:szCs w:val="16"/>
        </w:rPr>
        <w:softHyphen/>
        <w:t>готовление опытных образцов танков и СУ.</w:t>
      </w:r>
    </w:p>
    <w:p w14:paraId="7119E45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2-й отдел БНТК — брони и металлургии</w:t>
      </w:r>
    </w:p>
    <w:p w14:paraId="095A814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Основными задачами отдела являются:</w:t>
      </w:r>
    </w:p>
    <w:p w14:paraId="701F45C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Разработка тактико-технических требований на бронирование танков и самоходных арт. ус</w:t>
      </w:r>
      <w:r w:rsidRPr="007224C3">
        <w:rPr>
          <w:rFonts w:ascii="Times New Roman" w:hAnsi="Times New Roman"/>
          <w:color w:val="000000" w:themeColor="text1"/>
          <w:sz w:val="16"/>
          <w:szCs w:val="16"/>
        </w:rPr>
        <w:softHyphen/>
        <w:t>тановок.</w:t>
      </w:r>
    </w:p>
    <w:p w14:paraId="7AC3F4B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Составление заданий научно-исследовательским организациям и конструкторским бюро промышленности на изготовление и разработку новых образцов бронирования танков, а также но</w:t>
      </w:r>
      <w:r w:rsidRPr="007224C3">
        <w:rPr>
          <w:rFonts w:ascii="Times New Roman" w:hAnsi="Times New Roman"/>
          <w:color w:val="000000" w:themeColor="text1"/>
          <w:sz w:val="16"/>
          <w:szCs w:val="16"/>
        </w:rPr>
        <w:softHyphen/>
        <w:t>вых марок броневых сталей.</w:t>
      </w:r>
    </w:p>
    <w:p w14:paraId="4A8F4CF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Изучение и обобщение опыта боевой эксплуатации отечественных и иностранных танков и самоходных установок по броне и корпусам.</w:t>
      </w:r>
    </w:p>
    <w:p w14:paraId="7688AD1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Изучение танковых и противотанковых средств отечественного производства и иностран</w:t>
      </w:r>
      <w:r w:rsidRPr="007224C3">
        <w:rPr>
          <w:rFonts w:ascii="Times New Roman" w:hAnsi="Times New Roman"/>
          <w:color w:val="000000" w:themeColor="text1"/>
          <w:sz w:val="16"/>
          <w:szCs w:val="16"/>
        </w:rPr>
        <w:softHyphen/>
        <w:t>ных армий.</w:t>
      </w:r>
    </w:p>
    <w:p w14:paraId="74664EB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Утверждение чертежей и технических условий броневых корпусов и башен танков и само</w:t>
      </w:r>
      <w:r w:rsidRPr="007224C3">
        <w:rPr>
          <w:rFonts w:ascii="Times New Roman" w:hAnsi="Times New Roman"/>
          <w:color w:val="000000" w:themeColor="text1"/>
          <w:sz w:val="16"/>
          <w:szCs w:val="16"/>
        </w:rPr>
        <w:softHyphen/>
        <w:t>ходных арт. установок новых образцов.</w:t>
      </w:r>
    </w:p>
    <w:p w14:paraId="13E75F7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Разработка программы испытания и участие в испытаниях бронекорпусов и новых марок броневых сталей.</w:t>
      </w:r>
    </w:p>
    <w:p w14:paraId="2E44F6C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Подготовка решений на утверждение новых марок броневых сталей.</w:t>
      </w:r>
    </w:p>
    <w:p w14:paraId="26BBCE6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Составление технических условий на изготовление брони новых марок.</w:t>
      </w:r>
    </w:p>
    <w:p w14:paraId="0DEA931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Руководство работой по модернизации броневой защиты танков и самоходных арт. устано</w:t>
      </w:r>
      <w:r w:rsidRPr="007224C3">
        <w:rPr>
          <w:rFonts w:ascii="Times New Roman" w:hAnsi="Times New Roman"/>
          <w:color w:val="000000" w:themeColor="text1"/>
          <w:sz w:val="16"/>
          <w:szCs w:val="16"/>
        </w:rPr>
        <w:softHyphen/>
        <w:t>вок.</w:t>
      </w:r>
    </w:p>
    <w:p w14:paraId="7B19F0B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Руководство работой по отработке конструкционных сталей танков и самоходных арт. ус</w:t>
      </w:r>
      <w:r w:rsidRPr="007224C3">
        <w:rPr>
          <w:rFonts w:ascii="Times New Roman" w:hAnsi="Times New Roman"/>
          <w:color w:val="000000" w:themeColor="text1"/>
          <w:sz w:val="16"/>
          <w:szCs w:val="16"/>
        </w:rPr>
        <w:softHyphen/>
        <w:t>тановок.</w:t>
      </w:r>
    </w:p>
    <w:p w14:paraId="2D344CA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Составление программы по испытанию и участие в испытаниях новых конструкционных марок сталей и заменителей.</w:t>
      </w:r>
    </w:p>
    <w:p w14:paraId="4A6DC17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3-й отдел БНТК - двигателей</w:t>
      </w:r>
    </w:p>
    <w:p w14:paraId="6FA2E1E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Основными задачами отдела являются:</w:t>
      </w:r>
    </w:p>
    <w:p w14:paraId="56C1D45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Разработка перспективной потребности в дизель-моторах и карбюраторных двигателях для танков и арт. самоходов.</w:t>
      </w:r>
    </w:p>
    <w:p w14:paraId="64FC74C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Разработка тактико-технических требований на новые образцы дизель-моторов и карбюра</w:t>
      </w:r>
      <w:r w:rsidRPr="007224C3">
        <w:rPr>
          <w:rFonts w:ascii="Times New Roman" w:hAnsi="Times New Roman"/>
          <w:color w:val="000000" w:themeColor="text1"/>
          <w:sz w:val="16"/>
          <w:szCs w:val="16"/>
        </w:rPr>
        <w:softHyphen/>
        <w:t>торных двигателей для танков и арт. самоходов.</w:t>
      </w:r>
    </w:p>
    <w:p w14:paraId="44181E2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Составление технических условий на изготовление новых дизель-моторов и карбюраторных двигателей.</w:t>
      </w:r>
    </w:p>
    <w:p w14:paraId="6C4A8D2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Составление программ для государственных и полигонных испытаний предъявляемых об</w:t>
      </w:r>
      <w:r w:rsidRPr="007224C3">
        <w:rPr>
          <w:rFonts w:ascii="Times New Roman" w:hAnsi="Times New Roman"/>
          <w:color w:val="000000" w:themeColor="text1"/>
          <w:sz w:val="16"/>
          <w:szCs w:val="16"/>
        </w:rPr>
        <w:softHyphen/>
        <w:t>разцов двигателей.</w:t>
      </w:r>
    </w:p>
    <w:p w14:paraId="0316AF4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Составление планов научно-исследовательских работ и заключение договоров с заводами про</w:t>
      </w:r>
      <w:r w:rsidRPr="007224C3">
        <w:rPr>
          <w:rFonts w:ascii="Times New Roman" w:hAnsi="Times New Roman"/>
          <w:color w:val="000000" w:themeColor="text1"/>
          <w:sz w:val="16"/>
          <w:szCs w:val="16"/>
        </w:rPr>
        <w:softHyphen/>
        <w:t>мышленности и научно-исследовательскими организациями на проектирование новых образцов двига</w:t>
      </w:r>
      <w:r w:rsidRPr="007224C3">
        <w:rPr>
          <w:rFonts w:ascii="Times New Roman" w:hAnsi="Times New Roman"/>
          <w:color w:val="000000" w:themeColor="text1"/>
          <w:sz w:val="16"/>
          <w:szCs w:val="16"/>
        </w:rPr>
        <w:softHyphen/>
        <w:t>телей и агрегатов к ним для танков и арт. самоходов и на проведение научно-исследовательских работ.</w:t>
      </w:r>
    </w:p>
    <w:p w14:paraId="184DCAD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Участие в комиссиях по проведению государственных и полигонных испытаний новых об</w:t>
      </w:r>
      <w:r w:rsidRPr="007224C3">
        <w:rPr>
          <w:rFonts w:ascii="Times New Roman" w:hAnsi="Times New Roman"/>
          <w:color w:val="000000" w:themeColor="text1"/>
          <w:sz w:val="16"/>
          <w:szCs w:val="16"/>
        </w:rPr>
        <w:softHyphen/>
        <w:t>разцов двигателей, агрегатов и отдельных узлов.</w:t>
      </w:r>
    </w:p>
    <w:p w14:paraId="7B6B9AD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Разработка и утверждение технических условий на изготовление и испытание установочной партии новых дизель-моторов, карбюраторных двигателей и агрегатов к ним.</w:t>
      </w:r>
    </w:p>
    <w:p w14:paraId="6A1FD07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Проведение испытаний и дача заключений по установочной партии двигателей и агрегатов и подготовка материалов к запуску в серию.</w:t>
      </w:r>
    </w:p>
    <w:p w14:paraId="618D656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Разработка руководств и наставлений по эксплуатации и уходу за двигателями, совместно с УЭТ ГБТУ КА.</w:t>
      </w:r>
    </w:p>
    <w:p w14:paraId="0879250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Изучение и обобщение опыта работы двигателей в боевых условиях и разработка требова</w:t>
      </w:r>
      <w:r w:rsidRPr="007224C3">
        <w:rPr>
          <w:rFonts w:ascii="Times New Roman" w:hAnsi="Times New Roman"/>
          <w:color w:val="000000" w:themeColor="text1"/>
          <w:sz w:val="16"/>
          <w:szCs w:val="16"/>
        </w:rPr>
        <w:softHyphen/>
        <w:t>ний для заводов промышленности по модернизации двигателей, агрегатов и узлов.</w:t>
      </w:r>
    </w:p>
    <w:p w14:paraId="2A8D240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Изучение и обобщение опыта эксплуатации, и составление сравнительных оценок отечест</w:t>
      </w:r>
      <w:r w:rsidRPr="007224C3">
        <w:rPr>
          <w:rFonts w:ascii="Times New Roman" w:hAnsi="Times New Roman"/>
          <w:color w:val="000000" w:themeColor="text1"/>
          <w:sz w:val="16"/>
          <w:szCs w:val="16"/>
        </w:rPr>
        <w:softHyphen/>
        <w:t>венных и иностранных дизель-моторов и карбюраторных двигателей.</w:t>
      </w:r>
    </w:p>
    <w:p w14:paraId="03ABEEC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Изучение и обобщение материалов нововведенных в танковом двигателестроении в СССР и за границей.</w:t>
      </w:r>
    </w:p>
    <w:p w14:paraId="75F3C75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4-й отдел БНТК — электро-радиооборудования и контрольных приборов</w:t>
      </w:r>
    </w:p>
    <w:p w14:paraId="243260C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Основными задачами отдела являются:</w:t>
      </w:r>
    </w:p>
    <w:p w14:paraId="3BB7203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Размещение электрооборудования и средств связи в тяжелых, средних и легких танках, са</w:t>
      </w:r>
      <w:r w:rsidRPr="007224C3">
        <w:rPr>
          <w:rFonts w:ascii="Times New Roman" w:hAnsi="Times New Roman"/>
          <w:color w:val="000000" w:themeColor="text1"/>
          <w:sz w:val="16"/>
          <w:szCs w:val="16"/>
        </w:rPr>
        <w:softHyphen/>
        <w:t>моходных арт. установках, бронеавтомобилях и бронепоездах.</w:t>
      </w:r>
    </w:p>
    <w:p w14:paraId="7B5C804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Разработка тактико-технических требований, согласование чертежей и технических усло</w:t>
      </w:r>
      <w:r w:rsidRPr="007224C3">
        <w:rPr>
          <w:rFonts w:ascii="Times New Roman" w:hAnsi="Times New Roman"/>
          <w:color w:val="000000" w:themeColor="text1"/>
          <w:sz w:val="16"/>
          <w:szCs w:val="16"/>
        </w:rPr>
        <w:softHyphen/>
        <w:t>вий на изготовление опытных танков, СУ, бронеавтомобилей и бронепоездов в части электрообору</w:t>
      </w:r>
      <w:r w:rsidRPr="007224C3">
        <w:rPr>
          <w:rFonts w:ascii="Times New Roman" w:hAnsi="Times New Roman"/>
          <w:color w:val="000000" w:themeColor="text1"/>
          <w:sz w:val="16"/>
          <w:szCs w:val="16"/>
        </w:rPr>
        <w:softHyphen/>
        <w:t>дования.</w:t>
      </w:r>
    </w:p>
    <w:p w14:paraId="26B10B0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Участие в испытании новых образцов танков, СУ, бронеавтомобилей и бронепоездов.</w:t>
      </w:r>
    </w:p>
    <w:p w14:paraId="7100645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Разработка тактико-технических требований на новые образцы электро-радиооборудования и контрольные приборы, их изготовление и испытание.</w:t>
      </w:r>
    </w:p>
    <w:p w14:paraId="3716D0F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Разработка ТТ требований на электрические приборы и агрегаты поворота башни, стабили</w:t>
      </w:r>
      <w:r w:rsidRPr="007224C3">
        <w:rPr>
          <w:rFonts w:ascii="Times New Roman" w:hAnsi="Times New Roman"/>
          <w:color w:val="000000" w:themeColor="text1"/>
          <w:sz w:val="16"/>
          <w:szCs w:val="16"/>
        </w:rPr>
        <w:softHyphen/>
        <w:t>зацию пушек и башни, их изготовление и испытание.</w:t>
      </w:r>
    </w:p>
    <w:p w14:paraId="015BB91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Разработка, изготовление и испытание совместно с ГУС КА новых образцов танковых радио</w:t>
      </w:r>
      <w:r w:rsidRPr="007224C3">
        <w:rPr>
          <w:rFonts w:ascii="Times New Roman" w:hAnsi="Times New Roman"/>
          <w:color w:val="000000" w:themeColor="text1"/>
          <w:sz w:val="16"/>
          <w:szCs w:val="16"/>
        </w:rPr>
        <w:softHyphen/>
        <w:t>станций и танковых переговорных устройств.</w:t>
      </w:r>
    </w:p>
    <w:p w14:paraId="36D8C95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Размещение иностранных средств связи и внутританковых переговорных устройств в отече</w:t>
      </w:r>
      <w:r w:rsidRPr="007224C3">
        <w:rPr>
          <w:rFonts w:ascii="Times New Roman" w:hAnsi="Times New Roman"/>
          <w:color w:val="000000" w:themeColor="text1"/>
          <w:sz w:val="16"/>
          <w:szCs w:val="16"/>
        </w:rPr>
        <w:softHyphen/>
        <w:t>ственных танках, самоходных арт. установках и бронепоездах и согласование чертежей и техниче</w:t>
      </w:r>
      <w:r w:rsidRPr="007224C3">
        <w:rPr>
          <w:rFonts w:ascii="Times New Roman" w:hAnsi="Times New Roman"/>
          <w:color w:val="000000" w:themeColor="text1"/>
          <w:sz w:val="16"/>
          <w:szCs w:val="16"/>
        </w:rPr>
        <w:softHyphen/>
        <w:t>ских условий на их монтаж.</w:t>
      </w:r>
    </w:p>
    <w:p w14:paraId="35B1504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Модернизация агрегатов и приборов электрооборудования, контрольно-измерительных приборов, радиоаппаратуры и внутританковых средств связи серийного производства.</w:t>
      </w:r>
    </w:p>
    <w:p w14:paraId="6E62474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Доводка опытных образцов танкового электрооборудования, контрольных приборов и средств связи до серийного производства.</w:t>
      </w:r>
    </w:p>
    <w:p w14:paraId="4B56510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Контроль за выполнением решений Правительства по изготовлению и испытаниям новых образцов электрооборудования и контрольных приборов.</w:t>
      </w:r>
    </w:p>
    <w:p w14:paraId="4970582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Изучение трофейных импортных образцов танкового электрооборудования и контрольных приборов, выявление лучших конструкций и внедрение их в конструкции отечественного произ</w:t>
      </w:r>
      <w:r w:rsidRPr="007224C3">
        <w:rPr>
          <w:rFonts w:ascii="Times New Roman" w:hAnsi="Times New Roman"/>
          <w:color w:val="000000" w:themeColor="text1"/>
          <w:sz w:val="16"/>
          <w:szCs w:val="16"/>
        </w:rPr>
        <w:softHyphen/>
        <w:t>водства.</w:t>
      </w:r>
    </w:p>
    <w:p w14:paraId="75F1E63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5-й отдел БНТК — вооружения и оптики танков и самоходных арт. установок</w:t>
      </w:r>
    </w:p>
    <w:p w14:paraId="5C19D25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Основными задачами отдела являются:</w:t>
      </w:r>
    </w:p>
    <w:p w14:paraId="65A6AE3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Разработка ТТТ на проектирование и изготовление опытных образцов установок артил</w:t>
      </w:r>
      <w:r w:rsidRPr="007224C3">
        <w:rPr>
          <w:rFonts w:ascii="Times New Roman" w:hAnsi="Times New Roman"/>
          <w:color w:val="000000" w:themeColor="text1"/>
          <w:sz w:val="16"/>
          <w:szCs w:val="16"/>
        </w:rPr>
        <w:softHyphen/>
        <w:t>лерийского вооружения танков, самоходных арт. установок, бронепоездов, бронемашин и аэ</w:t>
      </w:r>
      <w:r w:rsidRPr="007224C3">
        <w:rPr>
          <w:rFonts w:ascii="Times New Roman" w:hAnsi="Times New Roman"/>
          <w:color w:val="000000" w:themeColor="text1"/>
          <w:sz w:val="16"/>
          <w:szCs w:val="16"/>
        </w:rPr>
        <w:softHyphen/>
        <w:t>росаней.</w:t>
      </w:r>
    </w:p>
    <w:p w14:paraId="46765BA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Разработка совместно с ГАУ ТТТ на изготовление опытных образцов арт. систем, автомати</w:t>
      </w:r>
      <w:r w:rsidRPr="007224C3">
        <w:rPr>
          <w:rFonts w:ascii="Times New Roman" w:hAnsi="Times New Roman"/>
          <w:color w:val="000000" w:themeColor="text1"/>
          <w:sz w:val="16"/>
          <w:szCs w:val="16"/>
        </w:rPr>
        <w:softHyphen/>
        <w:t>ческих пушек, пулеметов, оптических прицелов, приборов наблюдения и управления огнем, пред</w:t>
      </w:r>
      <w:r w:rsidRPr="007224C3">
        <w:rPr>
          <w:rFonts w:ascii="Times New Roman" w:hAnsi="Times New Roman"/>
          <w:color w:val="000000" w:themeColor="text1"/>
          <w:sz w:val="16"/>
          <w:szCs w:val="16"/>
        </w:rPr>
        <w:softHyphen/>
        <w:t>назначенных для установки в танках, самоходных арт. установках, бронепоездах, бронемашинах, мотоциклах и аэросанях.</w:t>
      </w:r>
    </w:p>
    <w:p w14:paraId="45A80B0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Осуществление руководства и контроля за изготовлением опытных образцов артил</w:t>
      </w:r>
      <w:r w:rsidRPr="007224C3">
        <w:rPr>
          <w:rFonts w:ascii="Times New Roman" w:hAnsi="Times New Roman"/>
          <w:color w:val="000000" w:themeColor="text1"/>
          <w:sz w:val="16"/>
          <w:szCs w:val="16"/>
        </w:rPr>
        <w:softHyphen/>
        <w:t>лерийских установок, оптических прицелов, приборов наблюдения и приборов управления огнем.</w:t>
      </w:r>
    </w:p>
    <w:p w14:paraId="5ABC368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Руководство работами артиллерийского отдела и артиллерийского полигона, НИБТ полигона.</w:t>
      </w:r>
    </w:p>
    <w:p w14:paraId="0184C63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Составлять задания заводам промышленности и конструкторским бюро на изготовление опытных образцов приборов управления огнем из танков, самоходов и бронепоездов.</w:t>
      </w:r>
    </w:p>
    <w:p w14:paraId="5DB4F86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Систематизировать материал по танковым и противотанковым боеприпасам. Подготавлива</w:t>
      </w:r>
      <w:r w:rsidRPr="007224C3">
        <w:rPr>
          <w:rFonts w:ascii="Times New Roman" w:hAnsi="Times New Roman"/>
          <w:color w:val="000000" w:themeColor="text1"/>
          <w:sz w:val="16"/>
          <w:szCs w:val="16"/>
        </w:rPr>
        <w:softHyphen/>
        <w:t>ет материал по отработке опытных образцов танковых боеприпасов.</w:t>
      </w:r>
    </w:p>
    <w:p w14:paraId="02AA921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Принимать участие в отработке боеприпасов при проверке действия их на бронестойкость.</w:t>
      </w:r>
    </w:p>
    <w:p w14:paraId="64B429C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Составляет программы испытаний опытных образцов танковых и самоходных арт. устано</w:t>
      </w:r>
      <w:r w:rsidRPr="007224C3">
        <w:rPr>
          <w:rFonts w:ascii="Times New Roman" w:hAnsi="Times New Roman"/>
          <w:color w:val="000000" w:themeColor="text1"/>
          <w:sz w:val="16"/>
          <w:szCs w:val="16"/>
        </w:rPr>
        <w:softHyphen/>
        <w:t>вок. Организует и проводит испытания.</w:t>
      </w:r>
    </w:p>
    <w:p w14:paraId="6EB4209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Оформляет техническую документацию на образцы, выдержавшие испытания, для переда</w:t>
      </w:r>
      <w:r w:rsidRPr="007224C3">
        <w:rPr>
          <w:rFonts w:ascii="Times New Roman" w:hAnsi="Times New Roman"/>
          <w:color w:val="000000" w:themeColor="text1"/>
          <w:sz w:val="16"/>
          <w:szCs w:val="16"/>
        </w:rPr>
        <w:softHyphen/>
        <w:t>чи их на серийное производство.</w:t>
      </w:r>
    </w:p>
    <w:p w14:paraId="0F54565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Осуществляет постоянную связь с Арткомом ГАУ КА, артиллерийскими и танковыми заво</w:t>
      </w:r>
      <w:r w:rsidRPr="007224C3">
        <w:rPr>
          <w:rFonts w:ascii="Times New Roman" w:hAnsi="Times New Roman"/>
          <w:color w:val="000000" w:themeColor="text1"/>
          <w:sz w:val="16"/>
          <w:szCs w:val="16"/>
        </w:rPr>
        <w:softHyphen/>
        <w:t>дами путем выезда на заводы промышленности с целью консультации и ознакомления с ходом вы</w:t>
      </w:r>
      <w:r w:rsidRPr="007224C3">
        <w:rPr>
          <w:rFonts w:ascii="Times New Roman" w:hAnsi="Times New Roman"/>
          <w:color w:val="000000" w:themeColor="text1"/>
          <w:sz w:val="16"/>
          <w:szCs w:val="16"/>
        </w:rPr>
        <w:softHyphen/>
        <w:t>полнения опытных работ.</w:t>
      </w:r>
    </w:p>
    <w:p w14:paraId="31822F7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Поддерживает деловую связь с другими научно-исследовательскими учреждениями Красной Армии и промышленности по вопросам взаимной консультации и обмена опытом.</w:t>
      </w:r>
    </w:p>
    <w:p w14:paraId="6A6491F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Осуществляет заказы с заводами промышленности на изготовление опытных образцов ус</w:t>
      </w:r>
      <w:r w:rsidRPr="007224C3">
        <w:rPr>
          <w:rFonts w:ascii="Times New Roman" w:hAnsi="Times New Roman"/>
          <w:color w:val="000000" w:themeColor="text1"/>
          <w:sz w:val="16"/>
          <w:szCs w:val="16"/>
        </w:rPr>
        <w:softHyphen/>
        <w:t>тановок и оптических приборов.</w:t>
      </w:r>
    </w:p>
    <w:p w14:paraId="2F41B75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Систематизирует и обобщает материалы по артиллерийской и танковой технике иностран</w:t>
      </w:r>
      <w:r w:rsidRPr="007224C3">
        <w:rPr>
          <w:rFonts w:ascii="Times New Roman" w:hAnsi="Times New Roman"/>
          <w:color w:val="000000" w:themeColor="text1"/>
          <w:sz w:val="16"/>
          <w:szCs w:val="16"/>
        </w:rPr>
        <w:softHyphen/>
        <w:t>ных армий.</w:t>
      </w:r>
    </w:p>
    <w:p w14:paraId="07230D9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Составляет заключения по проектам нового и модернизированного вооружения танков, са</w:t>
      </w:r>
      <w:r w:rsidRPr="007224C3">
        <w:rPr>
          <w:rFonts w:ascii="Times New Roman" w:hAnsi="Times New Roman"/>
          <w:color w:val="000000" w:themeColor="text1"/>
          <w:sz w:val="16"/>
          <w:szCs w:val="16"/>
        </w:rPr>
        <w:softHyphen/>
        <w:t>моходных арт. установок, бронепоездов, бронемашин, мотоциклов и аэросаней, а также составляет заключения по результатам испытаний опытных образцов.</w:t>
      </w:r>
    </w:p>
    <w:p w14:paraId="66CD78A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6-й отдел - технической информации</w:t>
      </w:r>
    </w:p>
    <w:p w14:paraId="73998E5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Основными задачами отдела являются:</w:t>
      </w:r>
    </w:p>
    <w:p w14:paraId="64F7190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Сбор и систематизация информации из зарубежной печати и других источников по вопро</w:t>
      </w:r>
      <w:r w:rsidRPr="007224C3">
        <w:rPr>
          <w:rFonts w:ascii="Times New Roman" w:hAnsi="Times New Roman"/>
          <w:color w:val="000000" w:themeColor="text1"/>
          <w:sz w:val="16"/>
          <w:szCs w:val="16"/>
        </w:rPr>
        <w:softHyphen/>
        <w:t>сам бронетанковой техники.</w:t>
      </w:r>
    </w:p>
    <w:p w14:paraId="768888B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Связь с институтами, научными учреждениями академии наук СССР, Наркоматов промыш</w:t>
      </w:r>
      <w:r w:rsidRPr="007224C3">
        <w:rPr>
          <w:rFonts w:ascii="Times New Roman" w:hAnsi="Times New Roman"/>
          <w:color w:val="000000" w:themeColor="text1"/>
          <w:sz w:val="16"/>
          <w:szCs w:val="16"/>
        </w:rPr>
        <w:softHyphen/>
        <w:t>ленности и конструкторскими бюро заводов с целью своевременного получения информации о лучших достижениях во всех областях техники.</w:t>
      </w:r>
    </w:p>
    <w:p w14:paraId="6EF0FC5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Своевременное получение и правильное хранение всей технической документации по опыт</w:t>
      </w:r>
      <w:r w:rsidRPr="007224C3">
        <w:rPr>
          <w:rFonts w:ascii="Times New Roman" w:hAnsi="Times New Roman"/>
          <w:color w:val="000000" w:themeColor="text1"/>
          <w:sz w:val="16"/>
          <w:szCs w:val="16"/>
        </w:rPr>
        <w:softHyphen/>
        <w:t>ным и модернизированным образцам, а также по серийным машинам отечественного и иностран</w:t>
      </w:r>
      <w:r w:rsidRPr="007224C3">
        <w:rPr>
          <w:rFonts w:ascii="Times New Roman" w:hAnsi="Times New Roman"/>
          <w:color w:val="000000" w:themeColor="text1"/>
          <w:sz w:val="16"/>
          <w:szCs w:val="16"/>
        </w:rPr>
        <w:softHyphen/>
        <w:t>ного производства.</w:t>
      </w:r>
    </w:p>
    <w:p w14:paraId="2E0E649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Подготовка к печати всех изданий комитета и организация их распространения.</w:t>
      </w:r>
    </w:p>
    <w:p w14:paraId="7936930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Руководство библиотекой и своевременное пополнение ее новинками.</w:t>
      </w:r>
    </w:p>
    <w:p w14:paraId="3DB2818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Составление аннотаций и справок по вопросам бронетанковой техники.</w:t>
      </w:r>
    </w:p>
    <w:p w14:paraId="041EFA5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7-й отдел БНТК — бронепоездов и бронемашин, мотоциклов и аэросаней</w:t>
      </w:r>
    </w:p>
    <w:p w14:paraId="3375E81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7-й отдел бронетанкового научно-технического комитета ГБТУ КА возлагается руководство разработками, изготовлением и испытанием опытных образцов всех видов бронепоездных объек</w:t>
      </w:r>
      <w:r w:rsidRPr="007224C3">
        <w:rPr>
          <w:rFonts w:ascii="Times New Roman" w:hAnsi="Times New Roman"/>
          <w:color w:val="000000" w:themeColor="text1"/>
          <w:sz w:val="16"/>
          <w:szCs w:val="16"/>
        </w:rPr>
        <w:softHyphen/>
        <w:t>тов, бронеавтомобилей, мотоциклов, велосипедов и аэросаней, всеми видами работ по модерниза</w:t>
      </w:r>
      <w:r w:rsidRPr="007224C3">
        <w:rPr>
          <w:rFonts w:ascii="Times New Roman" w:hAnsi="Times New Roman"/>
          <w:color w:val="000000" w:themeColor="text1"/>
          <w:sz w:val="16"/>
          <w:szCs w:val="16"/>
        </w:rPr>
        <w:softHyphen/>
        <w:t>ции этих объектов и испытанием иностранных марок этого вида машин.</w:t>
      </w:r>
    </w:p>
    <w:p w14:paraId="4D54AA9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Основные задачи отдела:</w:t>
      </w:r>
    </w:p>
    <w:p w14:paraId="4420671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Составление плана разработок, изготовление и испытание всех видов опытных образцов и модернизация бронепоездных объектов, бронеавтомобилей, мотоциклов, велосипедов и аэроса</w:t>
      </w:r>
      <w:r w:rsidRPr="007224C3">
        <w:rPr>
          <w:rFonts w:ascii="Times New Roman" w:hAnsi="Times New Roman"/>
          <w:color w:val="000000" w:themeColor="text1"/>
          <w:sz w:val="16"/>
          <w:szCs w:val="16"/>
        </w:rPr>
        <w:softHyphen/>
        <w:t>ней, а также планов испытания образцов иностранных марок.</w:t>
      </w:r>
    </w:p>
    <w:p w14:paraId="2A1F1B0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Размещение заказов в промышленности и научно-исследовательских учреждениях согласно плана, утвержденного командованием.</w:t>
      </w:r>
    </w:p>
    <w:p w14:paraId="065D585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Составление тактико-технических требований на разработку и изготовление опытных об</w:t>
      </w:r>
      <w:r w:rsidRPr="007224C3">
        <w:rPr>
          <w:rFonts w:ascii="Times New Roman" w:hAnsi="Times New Roman"/>
          <w:color w:val="000000" w:themeColor="text1"/>
          <w:sz w:val="16"/>
          <w:szCs w:val="16"/>
        </w:rPr>
        <w:softHyphen/>
        <w:t>разцов, и модернизацию объектов, ведомых отделом, а также составление программ испытания этих объектов.</w:t>
      </w:r>
    </w:p>
    <w:p w14:paraId="461348F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Подготовка материалов к заключению договоров на основе плана заказов.</w:t>
      </w:r>
    </w:p>
    <w:p w14:paraId="6CE3F90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Техническое руководство разработкой на опытные образцы и модернизацию, а также техническое руководство при изготовлении образцов и разрешение при этом всех технических вопросов.</w:t>
      </w:r>
    </w:p>
    <w:p w14:paraId="00D4BF8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Участие во всех видах испытаний как опытных, так и серийных образцов, составление отче</w:t>
      </w:r>
      <w:r w:rsidRPr="007224C3">
        <w:rPr>
          <w:rFonts w:ascii="Times New Roman" w:hAnsi="Times New Roman"/>
          <w:color w:val="000000" w:themeColor="text1"/>
          <w:sz w:val="16"/>
          <w:szCs w:val="16"/>
        </w:rPr>
        <w:softHyphen/>
        <w:t>тов и заключений по испытаниям и принятию образцов к серийному производству.</w:t>
      </w:r>
    </w:p>
    <w:p w14:paraId="7CC49D5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Руководство подготовкой чертежей и технических условий на образцы, принятые для серий</w:t>
      </w:r>
      <w:r w:rsidRPr="007224C3">
        <w:rPr>
          <w:rFonts w:ascii="Times New Roman" w:hAnsi="Times New Roman"/>
          <w:color w:val="000000" w:themeColor="text1"/>
          <w:sz w:val="16"/>
          <w:szCs w:val="16"/>
        </w:rPr>
        <w:softHyphen/>
        <w:t>ного производства.</w:t>
      </w:r>
    </w:p>
    <w:p w14:paraId="1DD52A1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Составление и руководство составлением наставлений и инструкций и т.п. на материальную часть, принятую на вооружение.</w:t>
      </w:r>
    </w:p>
    <w:p w14:paraId="15BD643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Дача заключений по изобретениям и предложениям, касающимся объектов отдела, и их ре</w:t>
      </w:r>
      <w:r w:rsidRPr="007224C3">
        <w:rPr>
          <w:rFonts w:ascii="Times New Roman" w:hAnsi="Times New Roman"/>
          <w:color w:val="000000" w:themeColor="text1"/>
          <w:sz w:val="16"/>
          <w:szCs w:val="16"/>
        </w:rPr>
        <w:softHyphen/>
        <w:t>ализация.</w:t>
      </w:r>
    </w:p>
    <w:p w14:paraId="1DB9747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Учет всех разработок, изготовленных опытных образцов и модернизации технических ма</w:t>
      </w:r>
      <w:r w:rsidRPr="007224C3">
        <w:rPr>
          <w:rFonts w:ascii="Times New Roman" w:hAnsi="Times New Roman"/>
          <w:color w:val="000000" w:themeColor="text1"/>
          <w:sz w:val="16"/>
          <w:szCs w:val="16"/>
        </w:rPr>
        <w:softHyphen/>
        <w:t>териалов по изготовлению и испытанию образцов.</w:t>
      </w:r>
    </w:p>
    <w:p w14:paraId="6EB673D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8-й отдел БНТК - изобретений и рацпредложений</w:t>
      </w:r>
    </w:p>
    <w:p w14:paraId="6887D5A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Основными задачами отдела являются:</w:t>
      </w:r>
    </w:p>
    <w:p w14:paraId="3E1D395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Рассмотрение изобретательских и рационализаторских предложений, учет их и хранение.</w:t>
      </w:r>
    </w:p>
    <w:p w14:paraId="022EBE1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Отбор ценных предложений, составление планов реализации, контроль и наблюдение за ре</w:t>
      </w:r>
      <w:r w:rsidRPr="007224C3">
        <w:rPr>
          <w:rFonts w:ascii="Times New Roman" w:hAnsi="Times New Roman"/>
          <w:color w:val="000000" w:themeColor="text1"/>
          <w:sz w:val="16"/>
          <w:szCs w:val="16"/>
        </w:rPr>
        <w:softHyphen/>
        <w:t>ализацией и внедрением их.</w:t>
      </w:r>
    </w:p>
    <w:p w14:paraId="563F444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Содействие и оказание помощи изобретателям в оформлении и продвижении их предложений.</w:t>
      </w:r>
    </w:p>
    <w:p w14:paraId="542A71E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Представление к вознаграждению изобретателей и рационализаторов за принятые на воору</w:t>
      </w:r>
      <w:r w:rsidRPr="007224C3">
        <w:rPr>
          <w:rFonts w:ascii="Times New Roman" w:hAnsi="Times New Roman"/>
          <w:color w:val="000000" w:themeColor="text1"/>
          <w:sz w:val="16"/>
          <w:szCs w:val="16"/>
        </w:rPr>
        <w:softHyphen/>
        <w:t>жение или снабжение Красной Армии предложения, технические усовершенствования и изобре</w:t>
      </w:r>
      <w:r w:rsidRPr="007224C3">
        <w:rPr>
          <w:rFonts w:ascii="Times New Roman" w:hAnsi="Times New Roman"/>
          <w:color w:val="000000" w:themeColor="text1"/>
          <w:sz w:val="16"/>
          <w:szCs w:val="16"/>
        </w:rPr>
        <w:softHyphen/>
        <w:t>тения.</w:t>
      </w:r>
    </w:p>
    <w:p w14:paraId="7B60277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Выдача удостоверений на техническое усовершенствование.</w:t>
      </w:r>
    </w:p>
    <w:p w14:paraId="32D7192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Разработка тематических планов, организация и проведение конкурсов, техническая инфор</w:t>
      </w:r>
      <w:r w:rsidRPr="007224C3">
        <w:rPr>
          <w:rFonts w:ascii="Times New Roman" w:hAnsi="Times New Roman"/>
          <w:color w:val="000000" w:themeColor="text1"/>
          <w:sz w:val="16"/>
          <w:szCs w:val="16"/>
        </w:rPr>
        <w:softHyphen/>
        <w:t>мация по изобретательским предложениям.</w:t>
      </w:r>
    </w:p>
    <w:p w14:paraId="00ED096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Выявление и изучение кадров изобретателей, как в системе НКО, так и в научно-исследова</w:t>
      </w:r>
      <w:r w:rsidRPr="007224C3">
        <w:rPr>
          <w:rFonts w:ascii="Times New Roman" w:hAnsi="Times New Roman"/>
          <w:color w:val="000000" w:themeColor="text1"/>
          <w:sz w:val="16"/>
          <w:szCs w:val="16"/>
        </w:rPr>
        <w:softHyphen/>
        <w:t>тельских институтах, конструкторских бюро и организациях промышленности, в целях привлече</w:t>
      </w:r>
      <w:r w:rsidRPr="007224C3">
        <w:rPr>
          <w:rFonts w:ascii="Times New Roman" w:hAnsi="Times New Roman"/>
          <w:color w:val="000000" w:themeColor="text1"/>
          <w:sz w:val="16"/>
          <w:szCs w:val="16"/>
        </w:rPr>
        <w:softHyphen/>
        <w:t>ния их к решению оборонных проблем.</w:t>
      </w:r>
    </w:p>
    <w:p w14:paraId="208E36D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Выезд в войсковые части, округа и на фронты с целью изучения опыта применения реализо</w:t>
      </w:r>
      <w:r w:rsidRPr="007224C3">
        <w:rPr>
          <w:rFonts w:ascii="Times New Roman" w:hAnsi="Times New Roman"/>
          <w:color w:val="000000" w:themeColor="text1"/>
          <w:sz w:val="16"/>
          <w:szCs w:val="16"/>
        </w:rPr>
        <w:softHyphen/>
        <w:t>ванных предложений.</w:t>
      </w:r>
    </w:p>
    <w:p w14:paraId="0AD9C29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 Ведение переписки с инспекторами по изобретательству округов, фронтов и армий и отдела</w:t>
      </w:r>
      <w:r w:rsidRPr="007224C3">
        <w:rPr>
          <w:rFonts w:ascii="Times New Roman" w:hAnsi="Times New Roman"/>
          <w:color w:val="000000" w:themeColor="text1"/>
          <w:sz w:val="16"/>
          <w:szCs w:val="16"/>
        </w:rPr>
        <w:softHyphen/>
        <w:t>ми по изобретательству.</w:t>
      </w:r>
    </w:p>
    <w:p w14:paraId="5F0A4DC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 Опубликование в журналах предложений, заслуживающих внимания и широкого внед</w:t>
      </w:r>
      <w:r w:rsidRPr="007224C3">
        <w:rPr>
          <w:rFonts w:ascii="Times New Roman" w:hAnsi="Times New Roman"/>
          <w:color w:val="000000" w:themeColor="text1"/>
          <w:sz w:val="16"/>
          <w:szCs w:val="16"/>
        </w:rPr>
        <w:softHyphen/>
        <w:t>рения.</w:t>
      </w:r>
    </w:p>
    <w:p w14:paraId="2957326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 Организация технических совещаний по наиболее сложным и заслуживающим внимания предложениям.</w:t>
      </w:r>
    </w:p>
    <w:p w14:paraId="1135B73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 Участие в испытаниях опытных образцов.</w:t>
      </w:r>
    </w:p>
    <w:p w14:paraId="54C2A75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 Представление отчетов в бюро изобретений НКО.</w:t>
      </w:r>
    </w:p>
    <w:p w14:paraId="4A9AF08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38. Оп. 11355. Д. 2733. Л. 31-59. Подлинник (11420).</w:t>
      </w:r>
    </w:p>
    <w:p w14:paraId="350A33C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3720142"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27A72D4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37FB5C8" w14:textId="77777777" w:rsidR="00E2067E" w:rsidRPr="007224C3" w:rsidRDefault="00E2067E"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25 июня</w:t>
      </w:r>
      <w:r w:rsidRPr="007224C3">
        <w:rPr>
          <w:rFonts w:ascii="Times New Roman" w:hAnsi="Times New Roman"/>
          <w:color w:val="000000" w:themeColor="text1"/>
          <w:sz w:val="16"/>
          <w:szCs w:val="16"/>
        </w:rPr>
        <w:t xml:space="preserve"> в 1944 году в Германии был проведен испытательный полет реактивного самолета "Ме-262S-2", пилоту Хейнцу Херлитциусу удалось разогнать самолет до 1004 км/ч. Рекордная скорость для истребителя "Me-262" (14933).</w:t>
      </w:r>
    </w:p>
    <w:p w14:paraId="656DA913" w14:textId="77777777" w:rsidR="00E2067E" w:rsidRPr="007224C3" w:rsidRDefault="00E2067E" w:rsidP="007224C3">
      <w:pPr>
        <w:spacing w:after="0" w:line="240" w:lineRule="auto"/>
        <w:jc w:val="both"/>
        <w:rPr>
          <w:rFonts w:ascii="Times New Roman" w:hAnsi="Times New Roman"/>
          <w:color w:val="000000" w:themeColor="text1"/>
          <w:sz w:val="16"/>
          <w:szCs w:val="16"/>
        </w:rPr>
      </w:pPr>
    </w:p>
    <w:p w14:paraId="3AFC1B90" w14:textId="77777777" w:rsidR="00E2067E" w:rsidRPr="007224C3" w:rsidRDefault="00E2067E"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25 июня</w:t>
      </w:r>
      <w:r w:rsidRPr="007224C3">
        <w:rPr>
          <w:rFonts w:ascii="Times New Roman" w:hAnsi="Times New Roman"/>
          <w:color w:val="000000" w:themeColor="text1"/>
          <w:sz w:val="16"/>
          <w:szCs w:val="16"/>
        </w:rPr>
        <w:t xml:space="preserve"> в 1944 году первый прототип </w:t>
      </w:r>
      <w:hyperlink r:id="rId179" w:tgtFrame="_blank" w:history="1">
        <w:r w:rsidRPr="007224C3">
          <w:rPr>
            <w:rFonts w:ascii="Times New Roman" w:hAnsi="Times New Roman"/>
            <w:color w:val="000000" w:themeColor="text1"/>
            <w:sz w:val="16"/>
            <w:szCs w:val="16"/>
          </w:rPr>
          <w:t xml:space="preserve">«FR-1» "Fireball" </w:t>
        </w:r>
      </w:hyperlink>
      <w:r w:rsidRPr="007224C3">
        <w:rPr>
          <w:rFonts w:ascii="Times New Roman" w:hAnsi="Times New Roman"/>
          <w:color w:val="000000" w:themeColor="text1"/>
          <w:sz w:val="16"/>
          <w:szCs w:val="16"/>
        </w:rPr>
        <w:t xml:space="preserve">("Шаровая молния") отправился в полет, правда, вместо реактивного двигателя был установлен его весовой аналог. ТРД поставили месяцем позже и тут же приступили к полномасштабным летным испытаниям. "Файрболл" представлял собой цельнометаллический низкоплан классической схемы. В носовой части фюзеляжа был установлен девятицилиндровый радиальный мотор воздушного охлаждения «Райт» «R-1820-56» "Циклон", мощностью 1350 л.с., с трехлопастным винтом фирмы Кертисс-Электрик. В хвостовой части установили ТРД «Дженерал Электрик» «J-162 (позднее он получил обозначение «J-31-GE-3») - "американизированную" копию двигателя Ф.Уиттла. Он развивал тягу 725 кгс. Воздухозаборники располагались в выдвинутой вперед корневой части крыла. Их размеры были столь незначительны, что они больше походили на воздухозаборники маслорадиаторов. Новинкой стала система регулировки шага винта, которая автоматически меняла угол установки лопастей в зависимости от тяги ТРД. Кроме того, "Файрболл" был первым палубным самолетом с носовой стойкой шасси. Центроплан крыла, проходивший сквозь фюзеляж монококовой конструкции, составлял с ним единое целое. Впервые вся клепка была сделана потайной, а все управляющие поверхности имели металлическую обшивку. Для крыла подобрали ламинарный профиль. Выбор относительно легкого мотора "Циклон" позволил разместить летчика практически на уровне передней кромки крыла, обеспечив ему великолепный обзор. Поршневой и реактивный двигатели </w:t>
      </w:r>
      <w:r w:rsidRPr="007224C3">
        <w:rPr>
          <w:rFonts w:ascii="Times New Roman" w:hAnsi="Times New Roman"/>
          <w:color w:val="000000" w:themeColor="text1"/>
          <w:sz w:val="16"/>
          <w:szCs w:val="16"/>
        </w:rPr>
        <w:lastRenderedPageBreak/>
        <w:t>имели отдельные пульты запуска и РУДы, но топливная система была общей. Один топливный бак емкостью 473 л установили в верхней части фюзеляжа за кабиной, а второй, на 189 л - под сиденьем летчика. Кроме того, самолет мог нести подвесные топливные баки емкостью 379 л. В четырехлонжеронном крыле топлива не было (14933).</w:t>
      </w:r>
    </w:p>
    <w:p w14:paraId="74BA3F19" w14:textId="77777777" w:rsidR="00E2067E" w:rsidRPr="007224C3" w:rsidRDefault="00E2067E" w:rsidP="007224C3">
      <w:pPr>
        <w:spacing w:after="0" w:line="240" w:lineRule="auto"/>
        <w:jc w:val="both"/>
        <w:rPr>
          <w:rFonts w:ascii="Times New Roman" w:hAnsi="Times New Roman"/>
          <w:color w:val="000000" w:themeColor="text1"/>
          <w:sz w:val="16"/>
          <w:szCs w:val="16"/>
        </w:rPr>
      </w:pPr>
    </w:p>
    <w:p w14:paraId="300AF8B3" w14:textId="77777777" w:rsidR="00A70D91" w:rsidRPr="007224C3" w:rsidRDefault="00A70D91"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25 июня 1944 первый полет Ryan XFR-1, прототипа Ryan FR Fireball (20373).</w:t>
      </w:r>
    </w:p>
    <w:p w14:paraId="2FF3ACBE" w14:textId="77777777" w:rsidR="00A70D91" w:rsidRPr="007224C3" w:rsidRDefault="00A70D91" w:rsidP="007224C3">
      <w:pPr>
        <w:spacing w:after="0" w:line="240" w:lineRule="auto"/>
        <w:jc w:val="both"/>
        <w:rPr>
          <w:rFonts w:ascii="Times New Roman" w:hAnsi="Times New Roman"/>
          <w:color w:val="0070C0"/>
          <w:sz w:val="16"/>
          <w:szCs w:val="16"/>
        </w:rPr>
      </w:pPr>
    </w:p>
    <w:p w14:paraId="28138F7B" w14:textId="77777777" w:rsidR="00E2067E" w:rsidRPr="007224C3" w:rsidRDefault="00E2067E"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июня 1944 немецкое радио сообщило об оружии возмездия (Vergeltungswaffe 1 - V1) (1800,2).</w:t>
      </w:r>
    </w:p>
    <w:p w14:paraId="11741CA8" w14:textId="77777777" w:rsidR="00E2067E" w:rsidRPr="007224C3" w:rsidRDefault="00E2067E"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7C0AA3" w14:textId="77777777" w:rsidR="00E2067E" w:rsidRPr="007224C3" w:rsidRDefault="00E2067E"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25 июня</w:t>
      </w:r>
      <w:r w:rsidRPr="007224C3">
        <w:rPr>
          <w:rFonts w:ascii="Times New Roman" w:hAnsi="Times New Roman"/>
          <w:color w:val="000000" w:themeColor="text1"/>
          <w:sz w:val="16"/>
          <w:szCs w:val="16"/>
        </w:rPr>
        <w:t xml:space="preserve"> в 1944 году британский десант высадился в Кане, Нормандия </w:t>
      </w:r>
    </w:p>
    <w:p w14:paraId="67B0CC21" w14:textId="77777777" w:rsidR="00E2067E" w:rsidRPr="007224C3" w:rsidRDefault="00E2067E" w:rsidP="007224C3">
      <w:pPr>
        <w:spacing w:after="0" w:line="240" w:lineRule="auto"/>
        <w:jc w:val="both"/>
        <w:rPr>
          <w:rFonts w:ascii="Times New Roman" w:hAnsi="Times New Roman"/>
          <w:color w:val="000000" w:themeColor="text1"/>
          <w:sz w:val="16"/>
          <w:szCs w:val="16"/>
        </w:rPr>
      </w:pPr>
    </w:p>
    <w:p w14:paraId="049401A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June 25th, 1944: In Normandy, the British Second Army (Dempsey) begins a major offensive in the area of Caen (Operation Epsom). In the East, 40,000 troops of Heeresgruppe Mitte are surrounded by the Red Army in the area of Vitebsk. General Koenid is appointed C-in-C of the Free French forces (3819).</w:t>
      </w:r>
    </w:p>
    <w:p w14:paraId="3D11351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82DCA9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июня 1944 в Нормандии британская 2А (Демпсей) начала наступление в районе Кайена. КА взяла в плен 40 тыс. солдат Группы Центр в районе Витебска. Г Коенид был назначен ГК во Франции (3819).</w:t>
      </w:r>
    </w:p>
    <w:p w14:paraId="6FC278B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9D1D15" w14:textId="77777777" w:rsidR="00E2067E" w:rsidRPr="007224C3" w:rsidRDefault="00E2067E"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25 июня</w:t>
      </w:r>
      <w:r w:rsidRPr="007224C3">
        <w:rPr>
          <w:rFonts w:ascii="Times New Roman" w:hAnsi="Times New Roman"/>
          <w:color w:val="000000" w:themeColor="text1"/>
          <w:sz w:val="16"/>
          <w:szCs w:val="16"/>
        </w:rPr>
        <w:t xml:space="preserve"> в 1944 году президент Финляндии Р.Рюти выступил с меморандумом, в котором дал обязательство не заключать с СССР сепаратного мира без согласия германского правительства (14933).</w:t>
      </w:r>
    </w:p>
    <w:p w14:paraId="30716EFE" w14:textId="77777777" w:rsidR="00E2067E" w:rsidRPr="007224C3" w:rsidRDefault="00E2067E" w:rsidP="007224C3">
      <w:pPr>
        <w:spacing w:after="0" w:line="240" w:lineRule="auto"/>
        <w:jc w:val="both"/>
        <w:rPr>
          <w:rFonts w:ascii="Times New Roman" w:hAnsi="Times New Roman"/>
          <w:color w:val="000000" w:themeColor="text1"/>
          <w:sz w:val="16"/>
          <w:szCs w:val="16"/>
        </w:rPr>
      </w:pPr>
    </w:p>
    <w:p w14:paraId="0ABBE13D"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64BCA84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490210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июня 1944 года гл. конструктор С.В.И. писал письмо N 1/756 Шахурину.</w:t>
      </w:r>
    </w:p>
    <w:p w14:paraId="184EF73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июне 1944 г. с завода N 24 поступили два мотора АМ-42, у которых теплоотдача в воду на номинальном режиме мотора резко увеличена по сравнению с моторами, которые поступали до настоящего времени.</w:t>
      </w:r>
    </w:p>
    <w:p w14:paraId="286E8FE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прилагаемой при сем таблице в графах 8-9 и в графах 10-11 видно, что моторы поступившие до июня имели теплоотдачу в воду не более 6500 калорий и в масло не более 1260, а моторы поступившие в июне, в частности моторов N 4280, имеет теплоотдачу в воду 7650, т.е. на 1200 калорий больше чем мотор N 4248 поступивший в январе 1944 г.</w:t>
      </w:r>
    </w:p>
    <w:p w14:paraId="3493A77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Полученный мною мотор N 4280 был установлен на самолет Ил-8, проходивший гос. испытания в НИИ ВВС. На гос. испытаниях на самолете Ил-8 температурные режимы воды и масла был ниже нормы. При установке на Ил-8 мотора N 4280 температура воды значительно не укладывается в норму.</w:t>
      </w:r>
    </w:p>
    <w:p w14:paraId="1F8BBD6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Таким образом полеты на самолете Ил-8 с моторами АМ-42 с теплоотдачей в воду 7650 калорий невозможны.</w:t>
      </w:r>
    </w:p>
    <w:p w14:paraId="4EEDA4A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Второй мотор Ам-42 за N 4279 с теплоотдачей в воду 7500 калорий установлен мною на самолете Ил-10. Полеты начнутся завтра 27 июня.</w:t>
      </w:r>
    </w:p>
    <w:p w14:paraId="0DD1A5A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 прилагаемой таблицы видно, что на основании пяти документов, полученных мною с завода N 24, теплоотдача в воду указывалась 7000 калорий и теплоотдача в масло в пределах 1400-1500 калорий. Поэтому водомаслоохлаждающая система предусматривалась на отнятие от воды 7000 калорий, а от масла 1450 калорий. С указанной теплоотдачей в воду и масло моторы АМ-42 могут нормально работать на самолетах Ил-8 и Ил-10.</w:t>
      </w:r>
    </w:p>
    <w:p w14:paraId="3ECBF5F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 том, что теплоотдача в воду и масло на моторе АМ-42 будет увеличена никто не поставил меня в известность до момента получения мотора Ам-42 за N 4279 и за N 4280. Таким образом по теплоотдаче мотора АМ-42 в воду и масло я был поставлен перед свершившимся фактом.</w:t>
      </w:r>
    </w:p>
    <w:p w14:paraId="31A7F4D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того, чтобы на самолетах Ил-8 и Ил-10 могли работать моторы Ам-42 с нормальной температурой согласно техническим условиям необходимо установить теплоотдачу в воду и масло так, как это было установлено во всех технических документов моторов Ам-42: теплоотдача в воду на номинальном режиме не более 7000 калорий и теплоотдача в масло на номинальном режиме не более 1450 калорий. Если же это невозможно, то необходимо вносить изменения в водо-охлаждающую систему самолетов Ил-8 и Ил-10 (2562,92).</w:t>
      </w:r>
    </w:p>
    <w:p w14:paraId="1368124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92F10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июня 1944 года начальник НИИ ВВС генерал-лейтенант инженерно-авиационной службы Лосюков и начальник 3-го отдела НИИ ВВС инженер-полковник Сафронов писали письмо N 3/0962 гл. инженеру ВВС генерал-полковнику инженерно-авиационной службы Репину а.к., Шахурину, УК ВКП(б) генерал-полковнику авиации Шиманову Н.С.</w:t>
      </w:r>
    </w:p>
    <w:p w14:paraId="1235B0A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Доношу, что государственные испытания опытного самолета Су-6 с АМ-42, конструкции Сухого, временно прекращены.</w:t>
      </w:r>
    </w:p>
    <w:p w14:paraId="30C79E7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испытательных полетах 12-го и 17-го июня 1944 года имели место два случая пожара во всасывающем патрубке мотора АМ-42, с последующим обгоранием проводников зажигания. В обоих случаях пожар во всасывающем патрубке не привел к аварии или катастрофе только потому, что произошел на планировании, при заходе самолета на посадку.</w:t>
      </w:r>
    </w:p>
    <w:p w14:paraId="7517D96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Причиной пожара во всасывающих патрубках мотора АМ-42 является наличие в них сборника и конденсата, в которых при обратной вспышке в карбюратор воспламеняется конденсат.</w:t>
      </w:r>
    </w:p>
    <w:p w14:paraId="2EFB526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воспламенении смеси во всасывающем патрубке, он накаляется до белого каления, вследствие чего обгорают проводники зажигания, что, в свою очередь, может привести к отказу мотора или пожару самолета.</w:t>
      </w:r>
    </w:p>
    <w:p w14:paraId="7A941BB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Установленный на самолете Су-6 мотор АМ-42 N 4277, на котором, согласно записи в формуляре, произведен ряд конструктивных изменений, рекомендованных в акте по гос. испытаниям мотора АМ-42 на станке, получен с завода N 24 27 мая 1944 года.</w:t>
      </w:r>
    </w:p>
    <w:p w14:paraId="1EF747F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этим мотором в период с 9 по 17 июня 1944 года произведено 6 полетов, с общим налетом 4 часа 00 минут. (На поверку работы ВМГ, километраж, подбор границы высотности и дальность радиосвязи).</w:t>
      </w:r>
    </w:p>
    <w:p w14:paraId="0F8FBF1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Прошу дать необходимые указания о принятии немедленных мер к устранению причин пожаров во всасывающих патрубках мотора АМ-42 (1821).</w:t>
      </w:r>
    </w:p>
    <w:p w14:paraId="18A2CDB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B9CE3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июня 1944 года начальник ГНИИ ВВС КА генерал-лейтенант НАС П.А.Лосюков доложил руковод</w:t>
      </w:r>
      <w:r w:rsidRPr="007224C3">
        <w:rPr>
          <w:rFonts w:ascii="Times New Roman" w:hAnsi="Times New Roman"/>
          <w:color w:val="000000" w:themeColor="text1"/>
          <w:sz w:val="16"/>
          <w:szCs w:val="16"/>
        </w:rPr>
        <w:softHyphen/>
        <w:t>ству о том, что: «... государствен</w:t>
      </w:r>
      <w:r w:rsidRPr="007224C3">
        <w:rPr>
          <w:rFonts w:ascii="Times New Roman" w:hAnsi="Times New Roman"/>
          <w:color w:val="000000" w:themeColor="text1"/>
          <w:sz w:val="16"/>
          <w:szCs w:val="16"/>
        </w:rPr>
        <w:softHyphen/>
        <w:t>ные испытания опытного самолета Су-6 с АМ-42, конструкции т. Сухо</w:t>
      </w:r>
      <w:r w:rsidRPr="007224C3">
        <w:rPr>
          <w:rFonts w:ascii="Times New Roman" w:hAnsi="Times New Roman"/>
          <w:color w:val="000000" w:themeColor="text1"/>
          <w:sz w:val="16"/>
          <w:szCs w:val="16"/>
        </w:rPr>
        <w:softHyphen/>
        <w:t>го, временно прекращены.</w:t>
      </w:r>
    </w:p>
    <w:p w14:paraId="4B285EA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испытательных полетах 12-го и 17-го июня 1944 года имели мес</w:t>
      </w:r>
      <w:r w:rsidRPr="007224C3">
        <w:rPr>
          <w:rFonts w:ascii="Times New Roman" w:hAnsi="Times New Roman"/>
          <w:color w:val="000000" w:themeColor="text1"/>
          <w:sz w:val="16"/>
          <w:szCs w:val="16"/>
        </w:rPr>
        <w:softHyphen/>
        <w:t>то два случая пожара во всасыва</w:t>
      </w:r>
      <w:r w:rsidRPr="007224C3">
        <w:rPr>
          <w:rFonts w:ascii="Times New Roman" w:hAnsi="Times New Roman"/>
          <w:color w:val="000000" w:themeColor="text1"/>
          <w:sz w:val="16"/>
          <w:szCs w:val="16"/>
        </w:rPr>
        <w:softHyphen/>
        <w:t>ющем патрубке мотора АМ-42, с последующим обгоранием провод</w:t>
      </w:r>
      <w:r w:rsidRPr="007224C3">
        <w:rPr>
          <w:rFonts w:ascii="Times New Roman" w:hAnsi="Times New Roman"/>
          <w:color w:val="000000" w:themeColor="text1"/>
          <w:sz w:val="16"/>
          <w:szCs w:val="16"/>
        </w:rPr>
        <w:softHyphen/>
        <w:t>ников зажигания.</w:t>
      </w:r>
    </w:p>
    <w:p w14:paraId="66C33A1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обоих случаях пожар во вса</w:t>
      </w:r>
      <w:r w:rsidRPr="007224C3">
        <w:rPr>
          <w:rFonts w:ascii="Times New Roman" w:hAnsi="Times New Roman"/>
          <w:color w:val="000000" w:themeColor="text1"/>
          <w:sz w:val="16"/>
          <w:szCs w:val="16"/>
        </w:rPr>
        <w:softHyphen/>
        <w:t>сывающем патрубке не привел к аварии или катастрофе только по тому, что произошел на планиро</w:t>
      </w:r>
      <w:r w:rsidRPr="007224C3">
        <w:rPr>
          <w:rFonts w:ascii="Times New Roman" w:hAnsi="Times New Roman"/>
          <w:color w:val="000000" w:themeColor="text1"/>
          <w:sz w:val="16"/>
          <w:szCs w:val="16"/>
        </w:rPr>
        <w:softHyphen/>
        <w:t>вании, при заходе самолета на посадку.</w:t>
      </w:r>
    </w:p>
    <w:p w14:paraId="6A98DBB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Причиной пожара во всасыва</w:t>
      </w:r>
      <w:r w:rsidRPr="007224C3">
        <w:rPr>
          <w:rFonts w:ascii="Times New Roman" w:hAnsi="Times New Roman"/>
          <w:color w:val="000000" w:themeColor="text1"/>
          <w:sz w:val="16"/>
          <w:szCs w:val="16"/>
        </w:rPr>
        <w:softHyphen/>
        <w:t>ющих патрубках мотора АМ-42 яв</w:t>
      </w:r>
      <w:r w:rsidRPr="007224C3">
        <w:rPr>
          <w:rFonts w:ascii="Times New Roman" w:hAnsi="Times New Roman"/>
          <w:color w:val="000000" w:themeColor="text1"/>
          <w:sz w:val="16"/>
          <w:szCs w:val="16"/>
        </w:rPr>
        <w:softHyphen/>
        <w:t>ляется наличие в них сборников конденсата, в которых при обрат</w:t>
      </w:r>
      <w:r w:rsidRPr="007224C3">
        <w:rPr>
          <w:rFonts w:ascii="Times New Roman" w:hAnsi="Times New Roman"/>
          <w:color w:val="000000" w:themeColor="text1"/>
          <w:sz w:val="16"/>
          <w:szCs w:val="16"/>
        </w:rPr>
        <w:softHyphen/>
        <w:t>ной вспышке в карбюратор воспла</w:t>
      </w:r>
      <w:r w:rsidRPr="007224C3">
        <w:rPr>
          <w:rFonts w:ascii="Times New Roman" w:hAnsi="Times New Roman"/>
          <w:color w:val="000000" w:themeColor="text1"/>
          <w:sz w:val="16"/>
          <w:szCs w:val="16"/>
        </w:rPr>
        <w:softHyphen/>
        <w:t>меняется конденсат.</w:t>
      </w:r>
    </w:p>
    <w:p w14:paraId="05313D3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воспламенении смеси во всасывающем патрубке, он нака</w:t>
      </w:r>
      <w:r w:rsidRPr="007224C3">
        <w:rPr>
          <w:rFonts w:ascii="Times New Roman" w:hAnsi="Times New Roman"/>
          <w:color w:val="000000" w:themeColor="text1"/>
          <w:sz w:val="16"/>
          <w:szCs w:val="16"/>
        </w:rPr>
        <w:softHyphen/>
        <w:t>ляется до белого каления, вслед</w:t>
      </w:r>
      <w:r w:rsidRPr="007224C3">
        <w:rPr>
          <w:rFonts w:ascii="Times New Roman" w:hAnsi="Times New Roman"/>
          <w:color w:val="000000" w:themeColor="text1"/>
          <w:sz w:val="16"/>
          <w:szCs w:val="16"/>
        </w:rPr>
        <w:softHyphen/>
        <w:t>ствие чего обгорают проводники зажигания, что в свою очередь, может привести к отказу мотора или пожару самолета.</w:t>
      </w:r>
    </w:p>
    <w:p w14:paraId="4D0642F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Установленный на самолете Су-6 мотор АМ-42 №4277, на котором, согласно записи в формуляре, про</w:t>
      </w:r>
      <w:r w:rsidRPr="007224C3">
        <w:rPr>
          <w:rFonts w:ascii="Times New Roman" w:hAnsi="Times New Roman"/>
          <w:color w:val="000000" w:themeColor="text1"/>
          <w:sz w:val="16"/>
          <w:szCs w:val="16"/>
        </w:rPr>
        <w:softHyphen/>
        <w:t>изведен ряд конструктивных изме</w:t>
      </w:r>
      <w:r w:rsidRPr="007224C3">
        <w:rPr>
          <w:rFonts w:ascii="Times New Roman" w:hAnsi="Times New Roman"/>
          <w:color w:val="000000" w:themeColor="text1"/>
          <w:sz w:val="16"/>
          <w:szCs w:val="16"/>
        </w:rPr>
        <w:softHyphen/>
        <w:t>нений, рекомендованных в акте по госиспытаниям мотора АМ-42 на станке, получен с завода №24 27 мая 1944 года.</w:t>
      </w:r>
    </w:p>
    <w:p w14:paraId="0444E63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этим мотором в период с 9 по 17 июня 1944 г. произведено 6 по</w:t>
      </w:r>
      <w:r w:rsidRPr="007224C3">
        <w:rPr>
          <w:rFonts w:ascii="Times New Roman" w:hAnsi="Times New Roman"/>
          <w:color w:val="000000" w:themeColor="text1"/>
          <w:sz w:val="16"/>
          <w:szCs w:val="16"/>
        </w:rPr>
        <w:softHyphen/>
        <w:t>летов, с общим налетом 4 часа 00 минут, (на проверку работы ВМГ, километраж, подбор границы высот</w:t>
      </w:r>
      <w:r w:rsidRPr="007224C3">
        <w:rPr>
          <w:rFonts w:ascii="Times New Roman" w:hAnsi="Times New Roman"/>
          <w:color w:val="000000" w:themeColor="text1"/>
          <w:sz w:val="16"/>
          <w:szCs w:val="16"/>
        </w:rPr>
        <w:softHyphen/>
        <w:t>ности и дальность радиосвязи).</w:t>
      </w:r>
    </w:p>
    <w:p w14:paraId="62407A9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Прошу дать необходимые ука</w:t>
      </w:r>
      <w:r w:rsidRPr="007224C3">
        <w:rPr>
          <w:rFonts w:ascii="Times New Roman" w:hAnsi="Times New Roman"/>
          <w:color w:val="000000" w:themeColor="text1"/>
          <w:sz w:val="16"/>
          <w:szCs w:val="16"/>
        </w:rPr>
        <w:softHyphen/>
        <w:t>зания о принятии немедленных мер к устранению причин пожаров во всасывающих патрубках мотора АМ-42» (11845).</w:t>
      </w:r>
    </w:p>
    <w:p w14:paraId="5EABA59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9FC1DD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июня 1944 года директор и гл. конструктор завода N 289 П. Сухой писал письмо Шахурину.</w:t>
      </w:r>
    </w:p>
    <w:p w14:paraId="5811C3B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Докладываю, что в связи с двумя случаями возгорания в полете горючего во всасывающих патрубках мотора АМ-42 на самолете Су-6, НИИ ВВС прекратил государственные испытания самолета до устранения указанного дефекта.</w:t>
      </w:r>
    </w:p>
    <w:p w14:paraId="3C8DC14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Случаи возгорания горючего при запуске мотора АМ-42 на земле имели место неоднократно как на самолете Су-6, так и на самолетах Ил-8 и ИЛ-10. Возгорание горючего в полете обнаружилось на последнем моторе, который был выполнен с устранением дефектов, выявленных при произведении при проведении государственных испытаний мотора.</w:t>
      </w:r>
    </w:p>
    <w:p w14:paraId="253DC34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Прошу Вашей помощи в получении полноценного мотора АМ-42 для окончания прерванных государственных испытаний самолета Су-6 (1821).</w:t>
      </w:r>
    </w:p>
    <w:p w14:paraId="4D792A8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612535" w14:textId="77777777" w:rsidR="002E135C" w:rsidRPr="007224C3" w:rsidRDefault="002E135C" w:rsidP="007224C3">
      <w:pPr>
        <w:pStyle w:val="7"/>
        <w:shd w:val="clear" w:color="auto" w:fill="auto"/>
        <w:spacing w:line="240" w:lineRule="auto"/>
        <w:rPr>
          <w:rFonts w:ascii="Times New Roman" w:cs="Times New Roman"/>
          <w:color w:val="000000" w:themeColor="text1"/>
          <w:spacing w:val="0"/>
          <w:sz w:val="16"/>
          <w:szCs w:val="16"/>
        </w:rPr>
      </w:pPr>
      <w:r w:rsidRPr="007224C3">
        <w:rPr>
          <w:rFonts w:ascii="Times New Roman" w:cs="Times New Roman"/>
          <w:color w:val="000000" w:themeColor="text1"/>
          <w:spacing w:val="0"/>
          <w:sz w:val="16"/>
          <w:szCs w:val="16"/>
        </w:rPr>
        <w:t xml:space="preserve">26 июня 1944 </w:t>
      </w:r>
      <w:r w:rsidRPr="007224C3">
        <w:rPr>
          <w:rStyle w:val="75"/>
          <w:rFonts w:ascii="Times New Roman" w:hAnsi="Times New Roman" w:cs="Times New Roman"/>
          <w:i w:val="0"/>
          <w:color w:val="000000" w:themeColor="text1"/>
          <w:sz w:val="16"/>
          <w:szCs w:val="16"/>
        </w:rPr>
        <w:t>главный инженер ВВС КА генерал-полковник А.К. Репин</w:t>
      </w:r>
      <w:r w:rsidRPr="007224C3">
        <w:rPr>
          <w:rFonts w:ascii="Times New Roman" w:cs="Times New Roman"/>
          <w:color w:val="000000" w:themeColor="text1"/>
          <w:spacing w:val="0"/>
          <w:sz w:val="16"/>
          <w:szCs w:val="16"/>
        </w:rPr>
        <w:t xml:space="preserve"> в письме к Маленкову по вопросу недопустимого положения дел с прозрачной броней для бое</w:t>
      </w:r>
      <w:r w:rsidRPr="007224C3">
        <w:rPr>
          <w:rFonts w:ascii="Times New Roman" w:cs="Times New Roman"/>
          <w:color w:val="000000" w:themeColor="text1"/>
          <w:spacing w:val="0"/>
          <w:sz w:val="16"/>
          <w:szCs w:val="16"/>
        </w:rPr>
        <w:softHyphen/>
        <w:t>вых самолетов ВВС КА указывал, что, несмотря на выход 12 февраля 1944 г. постановления ГОКО, которое обязывало НКХП обеспечить ка</w:t>
      </w:r>
      <w:r w:rsidRPr="007224C3">
        <w:rPr>
          <w:rFonts w:ascii="Times New Roman" w:cs="Times New Roman"/>
          <w:color w:val="000000" w:themeColor="text1"/>
          <w:spacing w:val="0"/>
          <w:sz w:val="16"/>
          <w:szCs w:val="16"/>
        </w:rPr>
        <w:softHyphen/>
        <w:t>чество прозрачной брони техническим услови</w:t>
      </w:r>
      <w:r w:rsidRPr="007224C3">
        <w:rPr>
          <w:rFonts w:ascii="Times New Roman" w:cs="Times New Roman"/>
          <w:color w:val="000000" w:themeColor="text1"/>
          <w:spacing w:val="0"/>
          <w:sz w:val="16"/>
          <w:szCs w:val="16"/>
        </w:rPr>
        <w:softHyphen/>
        <w:t>ям ВВС на 1944 г., этого не произошло. Качест</w:t>
      </w:r>
      <w:r w:rsidRPr="007224C3">
        <w:rPr>
          <w:rFonts w:ascii="Times New Roman" w:cs="Times New Roman"/>
          <w:color w:val="000000" w:themeColor="text1"/>
          <w:spacing w:val="0"/>
          <w:sz w:val="16"/>
          <w:szCs w:val="16"/>
        </w:rPr>
        <w:softHyphen/>
        <w:t>во серийной прозрачной брони не удовлетво</w:t>
      </w:r>
      <w:r w:rsidRPr="007224C3">
        <w:rPr>
          <w:rFonts w:ascii="Times New Roman" w:cs="Times New Roman"/>
          <w:color w:val="000000" w:themeColor="text1"/>
          <w:spacing w:val="0"/>
          <w:sz w:val="16"/>
          <w:szCs w:val="16"/>
        </w:rPr>
        <w:softHyphen/>
        <w:t xml:space="preserve">ряло требованиям ВВС КА в части оптических </w:t>
      </w:r>
      <w:r w:rsidRPr="007224C3">
        <w:rPr>
          <w:rFonts w:ascii="Times New Roman" w:cs="Times New Roman"/>
          <w:color w:val="000000" w:themeColor="text1"/>
          <w:spacing w:val="0"/>
          <w:sz w:val="16"/>
          <w:szCs w:val="16"/>
        </w:rPr>
        <w:lastRenderedPageBreak/>
        <w:t>свойств:</w:t>
      </w:r>
      <w:r w:rsidRPr="007224C3">
        <w:rPr>
          <w:rStyle w:val="aff7"/>
          <w:rFonts w:ascii="Times New Roman" w:hAnsi="Times New Roman" w:cs="Times New Roman"/>
          <w:i w:val="0"/>
          <w:color w:val="000000" w:themeColor="text1"/>
          <w:spacing w:val="0"/>
        </w:rPr>
        <w:t xml:space="preserve"> «Исходя из точности авиационных прицелов, тактико-технические требования ВВС КА предусматривают оптическое иска</w:t>
      </w:r>
      <w:r w:rsidRPr="007224C3">
        <w:rPr>
          <w:rStyle w:val="aff7"/>
          <w:rFonts w:ascii="Times New Roman" w:hAnsi="Times New Roman" w:cs="Times New Roman"/>
          <w:i w:val="0"/>
          <w:color w:val="000000" w:themeColor="text1"/>
          <w:spacing w:val="0"/>
        </w:rPr>
        <w:softHyphen/>
        <w:t>жение в прицельном поле не более 6 минут, а поставляемая серийная броня имеет по Тех</w:t>
      </w:r>
      <w:r w:rsidRPr="007224C3">
        <w:rPr>
          <w:rStyle w:val="aff7"/>
          <w:rFonts w:ascii="Times New Roman" w:hAnsi="Times New Roman" w:cs="Times New Roman"/>
          <w:i w:val="0"/>
          <w:color w:val="000000" w:themeColor="text1"/>
          <w:spacing w:val="0"/>
        </w:rPr>
        <w:softHyphen/>
        <w:t xml:space="preserve">ническим условиям на приемку до 14 минут и </w:t>
      </w:r>
      <w:r w:rsidRPr="007224C3">
        <w:rPr>
          <w:rFonts w:ascii="Times New Roman" w:cs="Times New Roman"/>
          <w:color w:val="000000" w:themeColor="text1"/>
          <w:spacing w:val="0"/>
          <w:sz w:val="16"/>
          <w:szCs w:val="16"/>
        </w:rPr>
        <w:t>ВВС КА вынужден принимать эту броню за не</w:t>
      </w:r>
      <w:r w:rsidRPr="007224C3">
        <w:rPr>
          <w:rFonts w:ascii="Times New Roman" w:cs="Times New Roman"/>
          <w:color w:val="000000" w:themeColor="text1"/>
          <w:spacing w:val="0"/>
          <w:sz w:val="16"/>
          <w:szCs w:val="16"/>
        </w:rPr>
        <w:softHyphen/>
        <w:t>имением лучшей».</w:t>
      </w:r>
    </w:p>
    <w:p w14:paraId="75DD2383" w14:textId="77777777" w:rsidR="002E135C" w:rsidRPr="007224C3" w:rsidRDefault="002E135C" w:rsidP="007224C3">
      <w:pPr>
        <w:pStyle w:val="7"/>
        <w:shd w:val="clear" w:color="auto" w:fill="auto"/>
        <w:spacing w:line="240" w:lineRule="auto"/>
        <w:rPr>
          <w:rFonts w:ascii="Times New Roman" w:cs="Times New Roman"/>
          <w:color w:val="000000" w:themeColor="text1"/>
          <w:spacing w:val="0"/>
          <w:sz w:val="16"/>
          <w:szCs w:val="16"/>
        </w:rPr>
      </w:pPr>
      <w:r w:rsidRPr="007224C3">
        <w:rPr>
          <w:rStyle w:val="75"/>
          <w:rFonts w:ascii="Times New Roman" w:hAnsi="Times New Roman" w:cs="Times New Roman"/>
          <w:i w:val="0"/>
          <w:color w:val="000000" w:themeColor="text1"/>
          <w:sz w:val="16"/>
          <w:szCs w:val="16"/>
        </w:rPr>
        <w:t>Кроме того,</w:t>
      </w:r>
      <w:r w:rsidRPr="007224C3">
        <w:rPr>
          <w:rFonts w:ascii="Times New Roman" w:cs="Times New Roman"/>
          <w:color w:val="000000" w:themeColor="text1"/>
          <w:spacing w:val="0"/>
          <w:sz w:val="16"/>
          <w:szCs w:val="16"/>
        </w:rPr>
        <w:t xml:space="preserve"> «в связи с применением на самолетах противника оружия крупного ка</w:t>
      </w:r>
      <w:r w:rsidRPr="007224C3">
        <w:rPr>
          <w:rFonts w:ascii="Times New Roman" w:cs="Times New Roman"/>
          <w:color w:val="000000" w:themeColor="text1"/>
          <w:spacing w:val="0"/>
          <w:sz w:val="16"/>
          <w:szCs w:val="16"/>
        </w:rPr>
        <w:softHyphen/>
        <w:t>либра, существующая прозрачная броня не отвечает современным требованиям и по пулестойкости».</w:t>
      </w:r>
      <w:r w:rsidRPr="007224C3">
        <w:rPr>
          <w:rStyle w:val="75"/>
          <w:rFonts w:ascii="Times New Roman" w:hAnsi="Times New Roman" w:cs="Times New Roman"/>
          <w:i w:val="0"/>
          <w:color w:val="000000" w:themeColor="text1"/>
          <w:sz w:val="16"/>
          <w:szCs w:val="16"/>
        </w:rPr>
        <w:t xml:space="preserve"> В этой связи ВВС КА были вынуждены пойти на увеличение толщины силикатного стекла, а следовательно, и веса изделий. При этом</w:t>
      </w:r>
      <w:r w:rsidRPr="007224C3">
        <w:rPr>
          <w:rFonts w:ascii="Times New Roman" w:cs="Times New Roman"/>
          <w:color w:val="000000" w:themeColor="text1"/>
          <w:spacing w:val="0"/>
          <w:sz w:val="16"/>
          <w:szCs w:val="16"/>
        </w:rPr>
        <w:t xml:space="preserve"> «вопрос о повышении веса заголовников летчика из прозрачной брони</w:t>
      </w:r>
      <w:r w:rsidRPr="007224C3">
        <w:rPr>
          <w:rStyle w:val="75"/>
          <w:rFonts w:ascii="Times New Roman" w:hAnsi="Times New Roman" w:cs="Times New Roman"/>
          <w:i w:val="0"/>
          <w:color w:val="000000" w:themeColor="text1"/>
          <w:sz w:val="16"/>
          <w:szCs w:val="16"/>
        </w:rPr>
        <w:t>» с трудом согласовывается</w:t>
      </w:r>
      <w:r w:rsidRPr="007224C3">
        <w:rPr>
          <w:rFonts w:ascii="Times New Roman" w:cs="Times New Roman"/>
          <w:color w:val="000000" w:themeColor="text1"/>
          <w:spacing w:val="0"/>
          <w:sz w:val="16"/>
          <w:szCs w:val="16"/>
        </w:rPr>
        <w:t xml:space="preserve"> «главными конструк</w:t>
      </w:r>
      <w:r w:rsidRPr="007224C3">
        <w:rPr>
          <w:rFonts w:ascii="Times New Roman" w:cs="Times New Roman"/>
          <w:color w:val="000000" w:themeColor="text1"/>
          <w:spacing w:val="0"/>
          <w:sz w:val="16"/>
          <w:szCs w:val="16"/>
        </w:rPr>
        <w:softHyphen/>
        <w:t>торами самолетов».</w:t>
      </w:r>
    </w:p>
    <w:p w14:paraId="3FA860CF" w14:textId="77777777" w:rsidR="002E135C" w:rsidRPr="007224C3" w:rsidRDefault="002E135C" w:rsidP="007224C3">
      <w:pPr>
        <w:pStyle w:val="7"/>
        <w:shd w:val="clear" w:color="auto" w:fill="auto"/>
        <w:spacing w:line="240" w:lineRule="auto"/>
        <w:rPr>
          <w:rFonts w:ascii="Times New Roman" w:cs="Times New Roman"/>
          <w:color w:val="000000" w:themeColor="text1"/>
          <w:spacing w:val="0"/>
          <w:sz w:val="16"/>
          <w:szCs w:val="16"/>
        </w:rPr>
      </w:pPr>
      <w:r w:rsidRPr="007224C3">
        <w:rPr>
          <w:rStyle w:val="75"/>
          <w:rFonts w:ascii="Times New Roman" w:hAnsi="Times New Roman" w:cs="Times New Roman"/>
          <w:i w:val="0"/>
          <w:color w:val="000000" w:themeColor="text1"/>
          <w:sz w:val="16"/>
          <w:szCs w:val="16"/>
        </w:rPr>
        <w:t>Констатировалось следующее:</w:t>
      </w:r>
      <w:r w:rsidRPr="007224C3">
        <w:rPr>
          <w:rFonts w:ascii="Times New Roman" w:cs="Times New Roman"/>
          <w:color w:val="000000" w:themeColor="text1"/>
          <w:spacing w:val="0"/>
          <w:sz w:val="16"/>
          <w:szCs w:val="16"/>
        </w:rPr>
        <w:t xml:space="preserve"> «Опыт</w:t>
      </w:r>
      <w:r w:rsidRPr="007224C3">
        <w:rPr>
          <w:rFonts w:ascii="Times New Roman" w:cs="Times New Roman"/>
          <w:color w:val="000000" w:themeColor="text1"/>
          <w:spacing w:val="0"/>
          <w:sz w:val="16"/>
          <w:szCs w:val="16"/>
        </w:rPr>
        <w:softHyphen/>
        <w:t>ные работы по изысканию прозрачной брони повышенной пулестойкости предусмотрен</w:t>
      </w:r>
      <w:r w:rsidRPr="007224C3">
        <w:rPr>
          <w:rFonts w:ascii="Times New Roman" w:cs="Times New Roman"/>
          <w:color w:val="000000" w:themeColor="text1"/>
          <w:spacing w:val="0"/>
          <w:sz w:val="16"/>
          <w:szCs w:val="16"/>
        </w:rPr>
        <w:softHyphen/>
        <w:t>ные Постановлениями ГОКО от 10.1.43 г. и 21.4.43 г., как</w:t>
      </w:r>
      <w:r w:rsidRPr="007224C3">
        <w:rPr>
          <w:rStyle w:val="75"/>
          <w:rFonts w:ascii="Times New Roman" w:hAnsi="Times New Roman" w:cs="Times New Roman"/>
          <w:i w:val="0"/>
          <w:color w:val="000000" w:themeColor="text1"/>
          <w:sz w:val="16"/>
          <w:szCs w:val="16"/>
        </w:rPr>
        <w:t xml:space="preserve"> мною</w:t>
      </w:r>
      <w:r w:rsidRPr="007224C3">
        <w:rPr>
          <w:rFonts w:ascii="Times New Roman" w:cs="Times New Roman"/>
          <w:color w:val="000000" w:themeColor="text1"/>
          <w:spacing w:val="0"/>
          <w:sz w:val="16"/>
          <w:szCs w:val="16"/>
        </w:rPr>
        <w:t xml:space="preserve"> докладывалось Вам, НКХП и НКПСМ не выполнили и, как следу</w:t>
      </w:r>
      <w:r w:rsidRPr="007224C3">
        <w:rPr>
          <w:rFonts w:ascii="Times New Roman" w:cs="Times New Roman"/>
          <w:color w:val="000000" w:themeColor="text1"/>
          <w:spacing w:val="0"/>
          <w:sz w:val="16"/>
          <w:szCs w:val="16"/>
        </w:rPr>
        <w:softHyphen/>
        <w:t>ет из письма тов. Первухина на Ваше имя от 31.3.44 г., Наркомхимпром прекращены во</w:t>
      </w:r>
      <w:r w:rsidRPr="007224C3">
        <w:rPr>
          <w:rFonts w:ascii="Times New Roman" w:cs="Times New Roman"/>
          <w:color w:val="000000" w:themeColor="text1"/>
          <w:spacing w:val="0"/>
          <w:sz w:val="16"/>
          <w:szCs w:val="16"/>
        </w:rPr>
        <w:softHyphen/>
        <w:t>преки этим постановлениям ГОКО».</w:t>
      </w:r>
      <w:r w:rsidRPr="007224C3">
        <w:rPr>
          <w:rStyle w:val="75"/>
          <w:rFonts w:ascii="Times New Roman" w:hAnsi="Times New Roman" w:cs="Times New Roman"/>
          <w:i w:val="0"/>
          <w:color w:val="000000" w:themeColor="text1"/>
          <w:sz w:val="16"/>
          <w:szCs w:val="16"/>
        </w:rPr>
        <w:t xml:space="preserve"> В этой связи генерал Репин просил Маленкова</w:t>
      </w:r>
      <w:r w:rsidRPr="007224C3">
        <w:rPr>
          <w:rFonts w:ascii="Times New Roman" w:cs="Times New Roman"/>
          <w:color w:val="000000" w:themeColor="text1"/>
          <w:spacing w:val="0"/>
          <w:sz w:val="16"/>
          <w:szCs w:val="16"/>
        </w:rPr>
        <w:t xml:space="preserve"> «еще раз потребовать от НКХП и НКПСМ выпол</w:t>
      </w:r>
      <w:r w:rsidRPr="007224C3">
        <w:rPr>
          <w:rFonts w:ascii="Times New Roman" w:cs="Times New Roman"/>
          <w:color w:val="000000" w:themeColor="text1"/>
          <w:spacing w:val="0"/>
          <w:sz w:val="16"/>
          <w:szCs w:val="16"/>
        </w:rPr>
        <w:softHyphen/>
        <w:t>нения Постановлений ГОКО от 10.1.1943 г., 21.4.1943 г. и 12.2.1944 г.» (17481).</w:t>
      </w:r>
    </w:p>
    <w:p w14:paraId="3996C7BB" w14:textId="77777777" w:rsidR="002E135C" w:rsidRPr="007224C3" w:rsidRDefault="002E135C" w:rsidP="007224C3">
      <w:pPr>
        <w:spacing w:after="0" w:line="240" w:lineRule="auto"/>
        <w:jc w:val="both"/>
        <w:rPr>
          <w:rFonts w:ascii="Times New Roman" w:hAnsi="Times New Roman"/>
          <w:color w:val="000000" w:themeColor="text1"/>
          <w:sz w:val="16"/>
          <w:szCs w:val="16"/>
        </w:rPr>
      </w:pPr>
    </w:p>
    <w:p w14:paraId="6879254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июня 1944 Зам. Нач. 7ГУ Алексеев подготовил сводку г-7 № 8509 о ходе испытаний высотных самолетов на 23 июня 1944 по Як-9 М-105ПД, Ла-5 АШ-82ФН и 2ТК-3, МиГ АМ-39А и 2ТК-2Б (1825,88).</w:t>
      </w:r>
    </w:p>
    <w:p w14:paraId="0A98E90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ВЫСОТНЫЙ ИСТРЕБИТЕЛЬ МИГ С АМ-39Б И 2ТК-2Б.</w:t>
      </w:r>
    </w:p>
    <w:p w14:paraId="27311E5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Полетов не производилось из-за отсутствия погоды для высотных полетов. Самолет в летном состоянии.</w:t>
      </w:r>
    </w:p>
    <w:p w14:paraId="2264E2A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ВЫСОТНЫЙ ИСТРЕБИТЕЛЬ ЯК-9 С ВК-105ПФ И ДВУХСТУПЕНЧАТЫМ НАГНЕТАТЕЛЕМ</w:t>
      </w:r>
    </w:p>
    <w:p w14:paraId="13587A6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будет установлен в аэродинамической трубе 29 июня р. г.. после окончания продувки самолета Як-9 с ВК-107А,</w:t>
      </w:r>
    </w:p>
    <w:p w14:paraId="445CE22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ВЫСОТНЫЙ ИСТРЕБИТЕЛЬ ЛА-5 С АШ-82ФН и 2ТК-3.</w:t>
      </w:r>
    </w:p>
    <w:p w14:paraId="3A5C4A4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Производилась работа по установке дополнительного маслобака.</w:t>
      </w:r>
    </w:p>
    <w:p w14:paraId="019B7A4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Мотор с улучшенным дефлектированием, отгруженный заводом № 19 14 июня с. г., в ОКБ завода № 21 до сих пор не прибыл (1825).</w:t>
      </w:r>
    </w:p>
    <w:p w14:paraId="44AE33B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0278A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июня 1944 Зам. Нач. 7ГУ Алексеев подготовил сводку г-7 № 8509 о ходе испытаний высотных самолетов на 24 и 25 июня 1944 по Як-9 М-105ПД, Ла-5 АШ-82ФН и 2ТК-3, МиГ АМ-39А и 2ТК-2Б (1825,88).</w:t>
      </w:r>
    </w:p>
    <w:p w14:paraId="7BDB720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ВЫСОТНЫЙ ИСТРЕБИТЕЛЬ МИГ С АМ-39Б И 2ТК-2Б.</w:t>
      </w:r>
    </w:p>
    <w:p w14:paraId="2CB3B00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июня произведен полет на определение границы высотности на второй скорости нагне</w:t>
      </w:r>
      <w:r w:rsidRPr="007224C3">
        <w:rPr>
          <w:rFonts w:ascii="Times New Roman" w:hAnsi="Times New Roman"/>
          <w:color w:val="000000" w:themeColor="text1"/>
          <w:sz w:val="16"/>
          <w:szCs w:val="16"/>
        </w:rPr>
        <w:softHyphen/>
        <w:t>тателя, с полностью включенным ТК.</w:t>
      </w:r>
    </w:p>
    <w:p w14:paraId="0474925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Прододнителънссть полета - 35 мин, высо</w:t>
      </w:r>
      <w:r w:rsidRPr="007224C3">
        <w:rPr>
          <w:rFonts w:ascii="Times New Roman" w:hAnsi="Times New Roman"/>
          <w:color w:val="000000" w:themeColor="text1"/>
          <w:sz w:val="16"/>
          <w:szCs w:val="16"/>
        </w:rPr>
        <w:softHyphen/>
        <w:t>та - 8000 мт.</w:t>
      </w:r>
    </w:p>
    <w:p w14:paraId="071F34B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 время набора высоты, начиная с 5000 мт, мотор начал делать перебои и на высоте 8000 мт работа мотора настолько ухудшилась, что полет был прекращен.</w:t>
      </w:r>
    </w:p>
    <w:p w14:paraId="5335A51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осмотре самолета, после посадки, об</w:t>
      </w:r>
      <w:r w:rsidRPr="007224C3">
        <w:rPr>
          <w:rFonts w:ascii="Times New Roman" w:hAnsi="Times New Roman"/>
          <w:color w:val="000000" w:themeColor="text1"/>
          <w:sz w:val="16"/>
          <w:szCs w:val="16"/>
        </w:rPr>
        <w:softHyphen/>
        <w:t>наружено, что медно-азбестовая прокладка вых</w:t>
      </w:r>
      <w:r w:rsidRPr="007224C3">
        <w:rPr>
          <w:rFonts w:ascii="Times New Roman" w:hAnsi="Times New Roman"/>
          <w:color w:val="000000" w:themeColor="text1"/>
          <w:sz w:val="16"/>
          <w:szCs w:val="16"/>
        </w:rPr>
        <w:softHyphen/>
        <w:t>лопного коллектора была выбита и выходящее пламя, через образовавшуюся цель, сожгло кол</w:t>
      </w:r>
      <w:r w:rsidRPr="007224C3">
        <w:rPr>
          <w:rFonts w:ascii="Times New Roman" w:hAnsi="Times New Roman"/>
          <w:color w:val="000000" w:themeColor="text1"/>
          <w:sz w:val="16"/>
          <w:szCs w:val="16"/>
        </w:rPr>
        <w:softHyphen/>
        <w:t>лектор проводов зажигания мотора.</w:t>
      </w:r>
    </w:p>
    <w:p w14:paraId="4C0B836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Дефект устранен. Поставлена новая прокладка и новый коллектор с проводами. Самолет нахо</w:t>
      </w:r>
      <w:r w:rsidRPr="007224C3">
        <w:rPr>
          <w:rFonts w:ascii="Times New Roman" w:hAnsi="Times New Roman"/>
          <w:color w:val="000000" w:themeColor="text1"/>
          <w:sz w:val="16"/>
          <w:szCs w:val="16"/>
        </w:rPr>
        <w:softHyphen/>
        <w:t>дится в летном состоянии.</w:t>
      </w:r>
    </w:p>
    <w:p w14:paraId="70BCDFA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ВЫСОТНЫЙ ИСТРЕБИТЕЛЬ ЛА-5 С АШ-82ФН и 2ТК-3.</w:t>
      </w:r>
    </w:p>
    <w:p w14:paraId="18DD16B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"Работы по установке дополнительнсго масло бака закончены.</w:t>
      </w:r>
    </w:p>
    <w:p w14:paraId="74BC0BB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готов к полету.</w:t>
      </w:r>
    </w:p>
    <w:p w14:paraId="6D1A6B0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Полета не .производились из-за отсутствия погоды для высотных испытаний (1825).</w:t>
      </w:r>
    </w:p>
    <w:p w14:paraId="29880B9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30531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июня 1944 В.П.Кузнецов подготовил для А.И.Ш. сводку по выполнению постановления по повышению высотности самолетов по состоянию на 26 июня 1944 и были упомянуты МиГ-3 с АМ-39Б-01, Ла-5 М-82 с ТК-3 и Як-9 с ВК-105ПД (1824).</w:t>
      </w:r>
    </w:p>
    <w:p w14:paraId="4FEFEFD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D1198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июня 1944 вышел совместный приказ НКАП/ВВС N 414/011 о режиме работы ВК-107А на Як-9У (986,9).</w:t>
      </w:r>
    </w:p>
    <w:p w14:paraId="6ACDCEC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Режимы работы мотора М-107А на самолете Як-9У установлены совместным приказом НКАП/ВВС N 414/011 о режиме работы ВК-107А на Як-9У от 26 июня 1944 (986,9):</w:t>
      </w:r>
    </w:p>
    <w:p w14:paraId="7483582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обороты - 3000</w:t>
      </w:r>
    </w:p>
    <w:p w14:paraId="6DD8B2B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наддув - 1060 +/- 20 мм</w:t>
      </w:r>
    </w:p>
    <w:p w14:paraId="2D4E0B4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мощность у земли - 1500 лс</w:t>
      </w:r>
    </w:p>
    <w:p w14:paraId="2612633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1-й гр. высотности н=1200 - 1550 лс</w:t>
      </w:r>
    </w:p>
    <w:p w14:paraId="2A748A4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2-й гр. высотности н=3800 - 1450 лс</w:t>
      </w:r>
    </w:p>
    <w:p w14:paraId="53E964B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полете допускается повышение наддува на 1 ск. До 1100 мм, на 2-й ск. До 1120 мм</w:t>
      </w:r>
    </w:p>
    <w:p w14:paraId="3BCA812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 макс. допустимые обороты продолжительностью не более 30 сек. Не выше 3300</w:t>
      </w:r>
    </w:p>
    <w:p w14:paraId="62CA5F0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 макс. допустимые температуры:</w:t>
      </w:r>
    </w:p>
    <w:p w14:paraId="08ABAA6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воды на выходе из мотора - 100</w:t>
      </w:r>
    </w:p>
    <w:p w14:paraId="3CB48FE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6% ресурса мотора разрешается иметь макс. темп. воды 115)</w:t>
      </w:r>
    </w:p>
    <w:p w14:paraId="7602498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масла на выходе из мотора</w:t>
      </w:r>
    </w:p>
    <w:p w14:paraId="50CB45A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наборе высоты - 105</w:t>
      </w:r>
    </w:p>
    <w:p w14:paraId="213C563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гориз. полете - 110</w:t>
      </w:r>
    </w:p>
    <w:p w14:paraId="22C42C1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е) давление масла</w:t>
      </w:r>
    </w:p>
    <w:p w14:paraId="5ADC12F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земле не ниже 8 атм.</w:t>
      </w:r>
    </w:p>
    <w:p w14:paraId="47D193A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высоте 7000 - 6</w:t>
      </w:r>
    </w:p>
    <w:p w14:paraId="4E1A77C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высоте выше 7000 - 5,5 (986,9)</w:t>
      </w:r>
    </w:p>
    <w:p w14:paraId="6871449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620D8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июня 1944 г., до окончания государственных испытаний головного серийного самолета завода №166, вышел совместный приказ наркома авиапромышленности и командующего ВВС №414/0011, где определялись основные мероприятия по устранению дефектов новых истребителей. Условно можно разделить приказ на пять разделов. Тот, который адресовался моторостроителям - В.П.Баландину и В.Я.Климову - требовал в первую очередь устанавливать на моторах уплотнения на носках валов редукторов и дополнительные маслопомпы. От А.С.Яковлева и директоров серийных заводов требовалось внести шесть существенных изменений в конструкцию, направленных на улучшение работы масло- водосис-тем и обдува потоком воздуха подкапотного пространства. Срочно включались в работу представители советской науки и, прежде зсего, из ЛИИ. Опять же, А.С.Яковлеву поручалось к 10 июля 1944 г. подготовить к испытаниям эталон для серии Як-9У И, наконец, в экспуатации для всех самолетов вводились некоторые огоаничения. из которых главным было запрещение использовать боевой режим работы мотора (3200 об/м) (4842).</w:t>
      </w:r>
    </w:p>
    <w:p w14:paraId="38ADF3B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6BC77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июня 1944 ком. 9ТК Б.С.Боханов в телеграмме ком. 16ВА писал: "За отличное содействие 9ТК прошу объявить благодарность ком. 199 шад п Н.С.Виноградову и всему летному составу д (340,172).</w:t>
      </w:r>
    </w:p>
    <w:p w14:paraId="35CFF01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3B076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июня 1944 состоялось заседание коллегии НКАП по вопросам:</w:t>
      </w:r>
    </w:p>
    <w:p w14:paraId="44982B8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О браке на моторных заводах и качестве поставляемых материалов, поковок, агрегатов</w:t>
      </w:r>
    </w:p>
    <w:p w14:paraId="1CCB82F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О работе завода 41</w:t>
      </w:r>
    </w:p>
    <w:p w14:paraId="466CD15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О мероприятиях по обеспечению раб. силой основных заводов НКАП (1742).</w:t>
      </w:r>
    </w:p>
    <w:p w14:paraId="57A6ED1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E33F7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июня 1944 года была подготовлена справка Обеспечение самолетами международных авиационных линий СССР</w:t>
      </w:r>
    </w:p>
    <w:p w14:paraId="5E06681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эксплуатации на действующих и проектируемых международных авиационных линиях СССР, за исключением линий Москва-Рейкьявик-Вашингтон, Москва-Рейкьявик-Оттава и Москва-Стокгольм-Лондон, могут быть рекомендованы двухмоторные самолеты отечественного производства: пассажирский самолет Ли-2 с моторами АШ-62ИР, опытный пассажирский самолет Ли-2 с моторами АШ-82ФН и специальный вариант пассажирского самолета Ли-2 с моторами АШ-82ФН.</w:t>
      </w:r>
    </w:p>
    <w:p w14:paraId="36D4D6A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авиационной линии Москва-Стокгольм-Лондон, в целях увеличения безопасности полета необходим 4-х моторный самолет, типа Дуглас С-54 или Локхид "Констелейшн". Для линий Москва-Рекьявик-Вашингтон и Москва-Рейкьявик-Оттава, со стыком в Рейкьявик, выбор типа самолета зависит от соглашения сторон. Представители США предлагают 4-х моторный самолет Либерейтор (С-87) фирмы Консолидейтед (вариант бомбардировщика).</w:t>
      </w:r>
    </w:p>
    <w:p w14:paraId="1E3AE43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Характеристика самолетов Ли-2.</w:t>
      </w:r>
    </w:p>
    <w:p w14:paraId="5452B46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Ли-2 (ранее ПС84) с моторами АШ-62ИР мощностью 850 л.с. представляет собой цельнометаллический моноплан. Дальность полета 2280 км при 13 пассажирах и 1300 км при 21 пассажире.</w:t>
      </w:r>
    </w:p>
    <w:p w14:paraId="03DFAEC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Самолет надежен, хорошо устойчив, может лететь с одним работающим мотором, имеет хорошую радиосвязь и радиополукомпас, оборудован автопилотом, осветительными средствами (фары, ракеты), имеет тепловой антиобледенитель на кромке крыльев и электротермический антиобледенитель - на хвостовом оперении.</w:t>
      </w:r>
    </w:p>
    <w:p w14:paraId="37400C1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Пассажирская кабина самолета с мягкими креслами для 21 пассажира комфортабельна, хорошо освещена, имеет звукоизоляцию, вентиляцию и отопление.</w:t>
      </w:r>
    </w:p>
    <w:p w14:paraId="2F1B958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имеет переднее грузовое отделение на 794 кг груза и заднее - багажник - на 680 кг, буфет с запасом пищи в 45 кг, туалетное отделение.</w:t>
      </w:r>
    </w:p>
    <w:p w14:paraId="504371F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Моторы АШ-62ИР выпускаются заводами NN 19 и 36 с ресурсом в 400 часов.</w:t>
      </w:r>
    </w:p>
    <w:p w14:paraId="467722F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 Ли-2 с моторами АШ-82ФН мощностью 1850 л.с. - опытный, конструктивно отличается от предыдущего винто-моторной группой. Дальность полета самолета в нормальном варианте 1700 км и в перегруженном - 1900 км, при 21 пассажире. Дальность полета, при меньшем числе пассажиров, может быть увеличена за счет установки в крыльях добавочных баков для горючего.</w:t>
      </w:r>
    </w:p>
    <w:p w14:paraId="63850D3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 скорость самолета у земли - 385 км/час (против 309 км/час у Ли-2 с моторами АШ-62ИР), на первой расчетной высоте (1650 м) - 420 км/час и на второй расчетной высоте (4650 м) - 440 км/час. Посадочная скорость - 120 км/час.</w:t>
      </w:r>
    </w:p>
    <w:p w14:paraId="025996C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Опытный экземпляр самолета в пассажирском варианте будет предъявлен на гос. испытания к 1.8.1944 года.</w:t>
      </w:r>
    </w:p>
    <w:p w14:paraId="41FA444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Специальный вариант самолета Ли-2 с моторами АШ-82ФН, имеет пассажирскую кабину на 14 мест. Дальность полета - 3000 км при запасе горючего 3300 кг. остальные данные - без изменений.</w:t>
      </w:r>
    </w:p>
    <w:p w14:paraId="391A5EE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Моторы АШ-82ФН выпускаются заводами НКАП для боевых самолетов с ресурсом в 100 часов. Ресурс моторов, предназначенных для пассажирских самолетов может быть установлен после необходимых испытаний.</w:t>
      </w:r>
    </w:p>
    <w:p w14:paraId="43B72E6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Состояние производства самолетов Ли-2.</w:t>
      </w:r>
    </w:p>
    <w:p w14:paraId="657C6D5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Самолеты Ли-2 с моторами АШ-62ИР в военно-транспортном варианте производятся заводом N 84 в Ташкенте. Выпуск самолетов в пассажирском варианте был освоен заводом (во время нахождения его в Москве) в 1939 году и прекращен в августе 1941 года. Всего за этот период было выпущено 209 самолетов Ли-2 в пассажирском варианте, из них в 1939 г. - 6, в 1940 - 51 и в 1941 - 152 самолета. максимальный месячный выпуск самолетов в пассажирском варианте достигал 30 штук в месяц.</w:t>
      </w:r>
    </w:p>
    <w:p w14:paraId="717AFAA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настоящее время производство Ли-2 с моторами АШ-62ИР в пассажирском варианте может быть возобновлено на заводе 84 в счет установленной ему программы выпуска Ли-2 в военно-транспортном варианте.</w:t>
      </w:r>
    </w:p>
    <w:p w14:paraId="15EF531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этого заводу необходимо произвести постройку цехов - фюзеляжного и малярного и получить дополнительное оборудование.</w:t>
      </w:r>
    </w:p>
    <w:p w14:paraId="195301E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Необходимо также обязать соответствующие наркоматы возобновить производство материалов для оборудования самолета Ли-2 на пассажирском варианте.</w:t>
      </w:r>
    </w:p>
    <w:p w14:paraId="207CDA6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Производство самолетов Ли-2 с моторами АШ-82ФН на заводе N 84 после того, как на нем будет возобновлено производство пассажирских самолетов Ли-2 с моторами АШ-62ИР - затруднений не вызовет.</w:t>
      </w:r>
    </w:p>
    <w:p w14:paraId="70D27E7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Выводы.</w:t>
      </w:r>
    </w:p>
    <w:p w14:paraId="5649D8F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Для эксплуатации на международных авиационных линиях СССР, за исключением линий Москва-Рейкьявик-Вашингтон, Москва-Рейкьявик-Оттава, Москва-Стокгольм-Лондон, могут быть рекомендованы двухмоторные самолеты отечественного производства: Ли-2 с моторами АШ-62ИР и опытный Ли-2 с моторами АШ-82ФН.</w:t>
      </w:r>
    </w:p>
    <w:p w14:paraId="6A16729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Для эксплуатации на линиях Москва-Стокгольм-Лондон необходимо закупить в США 4-х моторные самолеты Дуглас С-54 или Локхид "Констелейшн" в количестве 10 штук.</w:t>
      </w:r>
    </w:p>
    <w:p w14:paraId="7A3727C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Для эксплуатации на линиях Москва-Рейкьявик-Вашингтон и Москва-Рейкьвик-Оттава необходимо закупить в США 4-х моторные самолеты (по 12 штук для каждой линии), тип которых будет установлен соглашением сторон СССР-США и СССР-Канада.</w:t>
      </w:r>
    </w:p>
    <w:p w14:paraId="30FCFE9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Производство пассажирских самолетов Ли-2 возобновить на заводе N 84 в Ташкенте в счет программы производства военно-транспортных самолетов.</w:t>
      </w:r>
    </w:p>
    <w:p w14:paraId="74BFBAD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Летно-технические данные пассажирских</w:t>
      </w:r>
    </w:p>
    <w:p w14:paraId="7A70086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самолетов Ли-2.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02"/>
        <w:gridCol w:w="1061"/>
        <w:gridCol w:w="1061"/>
        <w:gridCol w:w="1847"/>
        <w:gridCol w:w="3685"/>
      </w:tblGrid>
      <w:tr w:rsidR="005106D0" w:rsidRPr="007224C3" w14:paraId="1CFC1160" w14:textId="77777777">
        <w:tc>
          <w:tcPr>
            <w:tcW w:w="2802" w:type="dxa"/>
          </w:tcPr>
          <w:p w14:paraId="36FFFF2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Характеристика</w:t>
            </w:r>
          </w:p>
        </w:tc>
        <w:tc>
          <w:tcPr>
            <w:tcW w:w="1061" w:type="dxa"/>
          </w:tcPr>
          <w:p w14:paraId="15EC9F5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61" w:type="dxa"/>
          </w:tcPr>
          <w:p w14:paraId="31A97F1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Ли-2 с</w:t>
            </w:r>
          </w:p>
        </w:tc>
        <w:tc>
          <w:tcPr>
            <w:tcW w:w="1847" w:type="dxa"/>
          </w:tcPr>
          <w:p w14:paraId="4E7E18F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Ли-2 с моторами</w:t>
            </w:r>
          </w:p>
        </w:tc>
        <w:tc>
          <w:tcPr>
            <w:tcW w:w="3685" w:type="dxa"/>
          </w:tcPr>
          <w:p w14:paraId="56913DC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D6BF4BF" w14:textId="77777777">
        <w:tc>
          <w:tcPr>
            <w:tcW w:w="2802" w:type="dxa"/>
          </w:tcPr>
          <w:p w14:paraId="0D33630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61" w:type="dxa"/>
          </w:tcPr>
          <w:p w14:paraId="076B8EA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61" w:type="dxa"/>
          </w:tcPr>
          <w:p w14:paraId="444CD84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моторами</w:t>
            </w:r>
          </w:p>
        </w:tc>
        <w:tc>
          <w:tcPr>
            <w:tcW w:w="1847" w:type="dxa"/>
          </w:tcPr>
          <w:p w14:paraId="5312622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АШ-82ФН</w:t>
            </w:r>
          </w:p>
        </w:tc>
        <w:tc>
          <w:tcPr>
            <w:tcW w:w="3685" w:type="dxa"/>
          </w:tcPr>
          <w:p w14:paraId="034B5E4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DDFD837" w14:textId="77777777">
        <w:tc>
          <w:tcPr>
            <w:tcW w:w="2802" w:type="dxa"/>
          </w:tcPr>
          <w:p w14:paraId="31993D6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61" w:type="dxa"/>
          </w:tcPr>
          <w:p w14:paraId="5ED44B5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61" w:type="dxa"/>
          </w:tcPr>
          <w:p w14:paraId="115B1CA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АШ-62ИР</w:t>
            </w:r>
          </w:p>
        </w:tc>
        <w:tc>
          <w:tcPr>
            <w:tcW w:w="1847" w:type="dxa"/>
          </w:tcPr>
          <w:p w14:paraId="6F67EB0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опытный</w:t>
            </w:r>
          </w:p>
        </w:tc>
        <w:tc>
          <w:tcPr>
            <w:tcW w:w="3685" w:type="dxa"/>
          </w:tcPr>
          <w:p w14:paraId="00B0E8C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спец. вар.</w:t>
            </w:r>
          </w:p>
        </w:tc>
      </w:tr>
      <w:tr w:rsidR="005106D0" w:rsidRPr="007224C3" w14:paraId="5DEFADD1" w14:textId="77777777">
        <w:tc>
          <w:tcPr>
            <w:tcW w:w="2802" w:type="dxa"/>
          </w:tcPr>
          <w:p w14:paraId="2F76845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Полетный вес в кг</w:t>
            </w:r>
          </w:p>
        </w:tc>
        <w:tc>
          <w:tcPr>
            <w:tcW w:w="1061" w:type="dxa"/>
          </w:tcPr>
          <w:p w14:paraId="70C07C3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норм.</w:t>
            </w:r>
          </w:p>
        </w:tc>
        <w:tc>
          <w:tcPr>
            <w:tcW w:w="1061" w:type="dxa"/>
          </w:tcPr>
          <w:p w14:paraId="236B75A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10500</w:t>
            </w:r>
          </w:p>
        </w:tc>
        <w:tc>
          <w:tcPr>
            <w:tcW w:w="1847" w:type="dxa"/>
          </w:tcPr>
          <w:p w14:paraId="6C8CA9E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13500</w:t>
            </w:r>
          </w:p>
        </w:tc>
        <w:tc>
          <w:tcPr>
            <w:tcW w:w="3685" w:type="dxa"/>
          </w:tcPr>
          <w:p w14:paraId="6B6006B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13500</w:t>
            </w:r>
          </w:p>
        </w:tc>
      </w:tr>
      <w:tr w:rsidR="005106D0" w:rsidRPr="007224C3" w14:paraId="40C3CD7C" w14:textId="77777777">
        <w:tc>
          <w:tcPr>
            <w:tcW w:w="2802" w:type="dxa"/>
          </w:tcPr>
          <w:p w14:paraId="4EEC227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61" w:type="dxa"/>
          </w:tcPr>
          <w:p w14:paraId="53F1F1A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перегр.</w:t>
            </w:r>
          </w:p>
        </w:tc>
        <w:tc>
          <w:tcPr>
            <w:tcW w:w="1061" w:type="dxa"/>
          </w:tcPr>
          <w:p w14:paraId="03D0CB7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11000</w:t>
            </w:r>
          </w:p>
        </w:tc>
        <w:tc>
          <w:tcPr>
            <w:tcW w:w="1847" w:type="dxa"/>
          </w:tcPr>
          <w:p w14:paraId="7C1A83B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13700</w:t>
            </w:r>
          </w:p>
        </w:tc>
        <w:tc>
          <w:tcPr>
            <w:tcW w:w="3685" w:type="dxa"/>
          </w:tcPr>
          <w:p w14:paraId="203C34D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13700</w:t>
            </w:r>
          </w:p>
        </w:tc>
      </w:tr>
      <w:tr w:rsidR="005106D0" w:rsidRPr="007224C3" w14:paraId="35BF5979" w14:textId="77777777">
        <w:tc>
          <w:tcPr>
            <w:tcW w:w="2802" w:type="dxa"/>
          </w:tcPr>
          <w:p w14:paraId="32AEDC6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 пустого в кг</w:t>
            </w:r>
          </w:p>
        </w:tc>
        <w:tc>
          <w:tcPr>
            <w:tcW w:w="1061" w:type="dxa"/>
          </w:tcPr>
          <w:p w14:paraId="794AF4E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61" w:type="dxa"/>
          </w:tcPr>
          <w:p w14:paraId="4BA2EBD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7500</w:t>
            </w:r>
          </w:p>
        </w:tc>
        <w:tc>
          <w:tcPr>
            <w:tcW w:w="1847" w:type="dxa"/>
          </w:tcPr>
          <w:p w14:paraId="443E2C0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8865</w:t>
            </w:r>
          </w:p>
        </w:tc>
        <w:tc>
          <w:tcPr>
            <w:tcW w:w="3685" w:type="dxa"/>
          </w:tcPr>
          <w:p w14:paraId="202B3C9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8780</w:t>
            </w:r>
          </w:p>
        </w:tc>
      </w:tr>
      <w:tr w:rsidR="005106D0" w:rsidRPr="007224C3" w14:paraId="6973DA44" w14:textId="77777777">
        <w:tc>
          <w:tcPr>
            <w:tcW w:w="2802" w:type="dxa"/>
          </w:tcPr>
          <w:p w14:paraId="08D845C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Полная нагрузка в кг</w:t>
            </w:r>
          </w:p>
        </w:tc>
        <w:tc>
          <w:tcPr>
            <w:tcW w:w="1061" w:type="dxa"/>
          </w:tcPr>
          <w:p w14:paraId="6BF9E6C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норм.</w:t>
            </w:r>
          </w:p>
        </w:tc>
        <w:tc>
          <w:tcPr>
            <w:tcW w:w="1061" w:type="dxa"/>
          </w:tcPr>
          <w:p w14:paraId="6D17CB1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3500</w:t>
            </w:r>
          </w:p>
        </w:tc>
        <w:tc>
          <w:tcPr>
            <w:tcW w:w="1847" w:type="dxa"/>
          </w:tcPr>
          <w:p w14:paraId="44D821E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4635</w:t>
            </w:r>
          </w:p>
        </w:tc>
        <w:tc>
          <w:tcPr>
            <w:tcW w:w="3685" w:type="dxa"/>
          </w:tcPr>
          <w:p w14:paraId="329A6DD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4720</w:t>
            </w:r>
          </w:p>
        </w:tc>
      </w:tr>
      <w:tr w:rsidR="005106D0" w:rsidRPr="007224C3" w14:paraId="6E17EBB6" w14:textId="77777777">
        <w:tc>
          <w:tcPr>
            <w:tcW w:w="2802" w:type="dxa"/>
          </w:tcPr>
          <w:p w14:paraId="1C895FC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61" w:type="dxa"/>
          </w:tcPr>
          <w:p w14:paraId="5D2B756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перегр.</w:t>
            </w:r>
          </w:p>
        </w:tc>
        <w:tc>
          <w:tcPr>
            <w:tcW w:w="1061" w:type="dxa"/>
          </w:tcPr>
          <w:p w14:paraId="67431D9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4000</w:t>
            </w:r>
          </w:p>
        </w:tc>
        <w:tc>
          <w:tcPr>
            <w:tcW w:w="1847" w:type="dxa"/>
          </w:tcPr>
          <w:p w14:paraId="14D4419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5035</w:t>
            </w:r>
          </w:p>
        </w:tc>
        <w:tc>
          <w:tcPr>
            <w:tcW w:w="3685" w:type="dxa"/>
          </w:tcPr>
          <w:p w14:paraId="2DE6109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5120</w:t>
            </w:r>
          </w:p>
        </w:tc>
      </w:tr>
      <w:tr w:rsidR="005106D0" w:rsidRPr="007224C3" w14:paraId="3B15D6ED" w14:textId="77777777">
        <w:tc>
          <w:tcPr>
            <w:tcW w:w="2802" w:type="dxa"/>
          </w:tcPr>
          <w:p w14:paraId="26BAAA6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Число пассажиров</w:t>
            </w:r>
          </w:p>
        </w:tc>
        <w:tc>
          <w:tcPr>
            <w:tcW w:w="1061" w:type="dxa"/>
          </w:tcPr>
          <w:p w14:paraId="622883B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норм.</w:t>
            </w:r>
          </w:p>
        </w:tc>
        <w:tc>
          <w:tcPr>
            <w:tcW w:w="1061" w:type="dxa"/>
          </w:tcPr>
          <w:p w14:paraId="4752E4B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w:t>
            </w:r>
          </w:p>
        </w:tc>
        <w:tc>
          <w:tcPr>
            <w:tcW w:w="1847" w:type="dxa"/>
          </w:tcPr>
          <w:p w14:paraId="521C3DE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w:t>
            </w:r>
          </w:p>
        </w:tc>
        <w:tc>
          <w:tcPr>
            <w:tcW w:w="3685" w:type="dxa"/>
          </w:tcPr>
          <w:p w14:paraId="207EC9F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w:t>
            </w:r>
          </w:p>
        </w:tc>
      </w:tr>
      <w:tr w:rsidR="005106D0" w:rsidRPr="007224C3" w14:paraId="397980A7" w14:textId="77777777">
        <w:tc>
          <w:tcPr>
            <w:tcW w:w="2802" w:type="dxa"/>
          </w:tcPr>
          <w:p w14:paraId="4FE31AA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61" w:type="dxa"/>
          </w:tcPr>
          <w:p w14:paraId="5682BA0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перегр.</w:t>
            </w:r>
          </w:p>
        </w:tc>
        <w:tc>
          <w:tcPr>
            <w:tcW w:w="1061" w:type="dxa"/>
          </w:tcPr>
          <w:p w14:paraId="7028A42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w:t>
            </w:r>
          </w:p>
        </w:tc>
        <w:tc>
          <w:tcPr>
            <w:tcW w:w="1847" w:type="dxa"/>
          </w:tcPr>
          <w:p w14:paraId="622EF3D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w:t>
            </w:r>
          </w:p>
        </w:tc>
        <w:tc>
          <w:tcPr>
            <w:tcW w:w="3685" w:type="dxa"/>
          </w:tcPr>
          <w:p w14:paraId="3E4D607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w:t>
            </w:r>
          </w:p>
        </w:tc>
      </w:tr>
      <w:tr w:rsidR="005106D0" w:rsidRPr="007224C3" w14:paraId="5023FD54" w14:textId="77777777">
        <w:tc>
          <w:tcPr>
            <w:tcW w:w="2802" w:type="dxa"/>
          </w:tcPr>
          <w:p w14:paraId="054969F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Запас горючего в кг</w:t>
            </w:r>
          </w:p>
        </w:tc>
        <w:tc>
          <w:tcPr>
            <w:tcW w:w="1061" w:type="dxa"/>
          </w:tcPr>
          <w:p w14:paraId="6C725C9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норм.</w:t>
            </w:r>
          </w:p>
        </w:tc>
        <w:tc>
          <w:tcPr>
            <w:tcW w:w="1061" w:type="dxa"/>
          </w:tcPr>
          <w:p w14:paraId="7A576B2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1285</w:t>
            </w:r>
          </w:p>
        </w:tc>
        <w:tc>
          <w:tcPr>
            <w:tcW w:w="1847" w:type="dxa"/>
          </w:tcPr>
          <w:p w14:paraId="06B727C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2100</w:t>
            </w:r>
          </w:p>
        </w:tc>
        <w:tc>
          <w:tcPr>
            <w:tcW w:w="3685" w:type="dxa"/>
          </w:tcPr>
          <w:p w14:paraId="3B7D474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3300</w:t>
            </w:r>
          </w:p>
        </w:tc>
      </w:tr>
      <w:tr w:rsidR="005106D0" w:rsidRPr="007224C3" w14:paraId="0C5BCEBB" w14:textId="77777777">
        <w:tc>
          <w:tcPr>
            <w:tcW w:w="2802" w:type="dxa"/>
          </w:tcPr>
          <w:p w14:paraId="0FBA628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61" w:type="dxa"/>
          </w:tcPr>
          <w:p w14:paraId="7C6179F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перегр.</w:t>
            </w:r>
          </w:p>
        </w:tc>
        <w:tc>
          <w:tcPr>
            <w:tcW w:w="1061" w:type="dxa"/>
          </w:tcPr>
          <w:p w14:paraId="42905AF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2300</w:t>
            </w:r>
          </w:p>
        </w:tc>
        <w:tc>
          <w:tcPr>
            <w:tcW w:w="1847" w:type="dxa"/>
          </w:tcPr>
          <w:p w14:paraId="36FF4B3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2300</w:t>
            </w:r>
          </w:p>
        </w:tc>
        <w:tc>
          <w:tcPr>
            <w:tcW w:w="3685" w:type="dxa"/>
          </w:tcPr>
          <w:p w14:paraId="7AF461E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3300</w:t>
            </w:r>
          </w:p>
        </w:tc>
      </w:tr>
      <w:tr w:rsidR="005106D0" w:rsidRPr="007224C3" w14:paraId="7A1BF7A7" w14:textId="77777777">
        <w:tc>
          <w:tcPr>
            <w:tcW w:w="2802" w:type="dxa"/>
          </w:tcPr>
          <w:p w14:paraId="3916954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 max у земли км/час</w:t>
            </w:r>
          </w:p>
        </w:tc>
        <w:tc>
          <w:tcPr>
            <w:tcW w:w="1061" w:type="dxa"/>
          </w:tcPr>
          <w:p w14:paraId="3268B6B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61" w:type="dxa"/>
          </w:tcPr>
          <w:p w14:paraId="7636EEC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309</w:t>
            </w:r>
          </w:p>
        </w:tc>
        <w:tc>
          <w:tcPr>
            <w:tcW w:w="1847" w:type="dxa"/>
          </w:tcPr>
          <w:p w14:paraId="3473807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385</w:t>
            </w:r>
          </w:p>
        </w:tc>
        <w:tc>
          <w:tcPr>
            <w:tcW w:w="3685" w:type="dxa"/>
          </w:tcPr>
          <w:p w14:paraId="4E14415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380</w:t>
            </w:r>
          </w:p>
        </w:tc>
      </w:tr>
      <w:tr w:rsidR="005106D0" w:rsidRPr="007224C3" w14:paraId="78B040A3" w14:textId="77777777">
        <w:tc>
          <w:tcPr>
            <w:tcW w:w="2802" w:type="dxa"/>
          </w:tcPr>
          <w:p w14:paraId="1DF8B95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 max на высоте 1650</w:t>
            </w:r>
          </w:p>
        </w:tc>
        <w:tc>
          <w:tcPr>
            <w:tcW w:w="1061" w:type="dxa"/>
          </w:tcPr>
          <w:p w14:paraId="69EAA88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61" w:type="dxa"/>
          </w:tcPr>
          <w:p w14:paraId="6A4F204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847" w:type="dxa"/>
          </w:tcPr>
          <w:p w14:paraId="7896EFB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420</w:t>
            </w:r>
          </w:p>
        </w:tc>
        <w:tc>
          <w:tcPr>
            <w:tcW w:w="3685" w:type="dxa"/>
          </w:tcPr>
          <w:p w14:paraId="5177B6E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420</w:t>
            </w:r>
          </w:p>
        </w:tc>
      </w:tr>
      <w:tr w:rsidR="005106D0" w:rsidRPr="007224C3" w14:paraId="35B64777" w14:textId="77777777">
        <w:tc>
          <w:tcPr>
            <w:tcW w:w="2802" w:type="dxa"/>
          </w:tcPr>
          <w:p w14:paraId="1CAC981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 max на высоте 4650</w:t>
            </w:r>
          </w:p>
        </w:tc>
        <w:tc>
          <w:tcPr>
            <w:tcW w:w="1061" w:type="dxa"/>
          </w:tcPr>
          <w:p w14:paraId="2452788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61" w:type="dxa"/>
          </w:tcPr>
          <w:p w14:paraId="0AE791C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847" w:type="dxa"/>
          </w:tcPr>
          <w:p w14:paraId="70D0C0A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440</w:t>
            </w:r>
          </w:p>
        </w:tc>
        <w:tc>
          <w:tcPr>
            <w:tcW w:w="3685" w:type="dxa"/>
          </w:tcPr>
          <w:p w14:paraId="137CCC4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440</w:t>
            </w:r>
          </w:p>
        </w:tc>
      </w:tr>
      <w:tr w:rsidR="005106D0" w:rsidRPr="007224C3" w14:paraId="4C9A0F68" w14:textId="77777777">
        <w:tc>
          <w:tcPr>
            <w:tcW w:w="2802" w:type="dxa"/>
          </w:tcPr>
          <w:p w14:paraId="2CE0817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Посадочная скорость км/час</w:t>
            </w:r>
          </w:p>
        </w:tc>
        <w:tc>
          <w:tcPr>
            <w:tcW w:w="1061" w:type="dxa"/>
          </w:tcPr>
          <w:p w14:paraId="3BD4696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61" w:type="dxa"/>
          </w:tcPr>
          <w:p w14:paraId="5EDCA22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109</w:t>
            </w:r>
          </w:p>
        </w:tc>
        <w:tc>
          <w:tcPr>
            <w:tcW w:w="1847" w:type="dxa"/>
          </w:tcPr>
          <w:p w14:paraId="5146B20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120</w:t>
            </w:r>
          </w:p>
        </w:tc>
        <w:tc>
          <w:tcPr>
            <w:tcW w:w="3685" w:type="dxa"/>
          </w:tcPr>
          <w:p w14:paraId="20287EE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120</w:t>
            </w:r>
          </w:p>
        </w:tc>
      </w:tr>
      <w:tr w:rsidR="005106D0" w:rsidRPr="007224C3" w14:paraId="138DE05D" w14:textId="77777777">
        <w:tc>
          <w:tcPr>
            <w:tcW w:w="2802" w:type="dxa"/>
          </w:tcPr>
          <w:p w14:paraId="4D4DE34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Практический потолок в м</w:t>
            </w:r>
          </w:p>
        </w:tc>
        <w:tc>
          <w:tcPr>
            <w:tcW w:w="1061" w:type="dxa"/>
          </w:tcPr>
          <w:p w14:paraId="40159E4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61" w:type="dxa"/>
          </w:tcPr>
          <w:p w14:paraId="186597B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5750</w:t>
            </w:r>
          </w:p>
        </w:tc>
        <w:tc>
          <w:tcPr>
            <w:tcW w:w="1847" w:type="dxa"/>
          </w:tcPr>
          <w:p w14:paraId="0C7AB28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8900</w:t>
            </w:r>
          </w:p>
        </w:tc>
        <w:tc>
          <w:tcPr>
            <w:tcW w:w="3685" w:type="dxa"/>
          </w:tcPr>
          <w:p w14:paraId="5A1FDDD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8900</w:t>
            </w:r>
          </w:p>
        </w:tc>
      </w:tr>
      <w:tr w:rsidR="005106D0" w:rsidRPr="007224C3" w14:paraId="45BC8D30" w14:textId="77777777">
        <w:tc>
          <w:tcPr>
            <w:tcW w:w="2802" w:type="dxa"/>
          </w:tcPr>
          <w:p w14:paraId="44E51B2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Дальность км</w:t>
            </w:r>
          </w:p>
        </w:tc>
        <w:tc>
          <w:tcPr>
            <w:tcW w:w="1061" w:type="dxa"/>
          </w:tcPr>
          <w:p w14:paraId="244FE9C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норм.</w:t>
            </w:r>
          </w:p>
        </w:tc>
        <w:tc>
          <w:tcPr>
            <w:tcW w:w="1061" w:type="dxa"/>
          </w:tcPr>
          <w:p w14:paraId="28C7869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1300</w:t>
            </w:r>
          </w:p>
        </w:tc>
        <w:tc>
          <w:tcPr>
            <w:tcW w:w="1847" w:type="dxa"/>
          </w:tcPr>
          <w:p w14:paraId="0983949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1700</w:t>
            </w:r>
          </w:p>
        </w:tc>
        <w:tc>
          <w:tcPr>
            <w:tcW w:w="3685" w:type="dxa"/>
          </w:tcPr>
          <w:p w14:paraId="17E84C1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3000</w:t>
            </w:r>
          </w:p>
        </w:tc>
      </w:tr>
      <w:tr w:rsidR="005106D0" w:rsidRPr="007224C3" w14:paraId="55987985" w14:textId="77777777">
        <w:tc>
          <w:tcPr>
            <w:tcW w:w="2802" w:type="dxa"/>
          </w:tcPr>
          <w:p w14:paraId="6D813B0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61" w:type="dxa"/>
          </w:tcPr>
          <w:p w14:paraId="11C3996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перегр.</w:t>
            </w:r>
          </w:p>
        </w:tc>
        <w:tc>
          <w:tcPr>
            <w:tcW w:w="1061" w:type="dxa"/>
          </w:tcPr>
          <w:p w14:paraId="17DFB32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2280</w:t>
            </w:r>
          </w:p>
        </w:tc>
        <w:tc>
          <w:tcPr>
            <w:tcW w:w="1847" w:type="dxa"/>
          </w:tcPr>
          <w:p w14:paraId="7BE85FE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1900</w:t>
            </w:r>
          </w:p>
        </w:tc>
        <w:tc>
          <w:tcPr>
            <w:tcW w:w="3685" w:type="dxa"/>
          </w:tcPr>
          <w:p w14:paraId="1CB48D2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3000</w:t>
            </w:r>
          </w:p>
        </w:tc>
      </w:tr>
      <w:tr w:rsidR="005106D0" w:rsidRPr="007224C3" w14:paraId="1AD3212B" w14:textId="77777777">
        <w:tc>
          <w:tcPr>
            <w:tcW w:w="2802" w:type="dxa"/>
          </w:tcPr>
          <w:p w14:paraId="557AC76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Разбег в м</w:t>
            </w:r>
          </w:p>
        </w:tc>
        <w:tc>
          <w:tcPr>
            <w:tcW w:w="1061" w:type="dxa"/>
          </w:tcPr>
          <w:p w14:paraId="6241477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61" w:type="dxa"/>
          </w:tcPr>
          <w:p w14:paraId="7D60444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847" w:type="dxa"/>
          </w:tcPr>
          <w:p w14:paraId="7129192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500</w:t>
            </w:r>
          </w:p>
        </w:tc>
        <w:tc>
          <w:tcPr>
            <w:tcW w:w="3685" w:type="dxa"/>
          </w:tcPr>
          <w:p w14:paraId="50B715F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500 (1822,137)</w:t>
            </w:r>
          </w:p>
        </w:tc>
      </w:tr>
    </w:tbl>
    <w:p w14:paraId="30AC201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574E3F" w14:textId="77777777" w:rsidR="00D70979" w:rsidRPr="007224C3" w:rsidRDefault="00D70979"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26 июня 1944 г. 246-й иап, вооруженный противотанковыми Харрикейнами, попал на фронт, немного не успев к началу опе</w:t>
      </w:r>
      <w:r w:rsidRPr="007224C3">
        <w:rPr>
          <w:rFonts w:ascii="Times New Roman" w:hAnsi="Times New Roman" w:cs="Times New Roman"/>
          <w:color w:val="000000" w:themeColor="text1"/>
          <w:sz w:val="16"/>
          <w:szCs w:val="16"/>
        </w:rPr>
        <w:softHyphen/>
        <w:t>рации «Багратион». В этот день полк в составе 26 самолетов «Харрикейн» 1ГО совершил посадку на аэродром около ме</w:t>
      </w:r>
      <w:r w:rsidRPr="007224C3">
        <w:rPr>
          <w:rFonts w:ascii="Times New Roman" w:hAnsi="Times New Roman" w:cs="Times New Roman"/>
          <w:color w:val="000000" w:themeColor="text1"/>
          <w:sz w:val="16"/>
          <w:szCs w:val="16"/>
        </w:rPr>
        <w:softHyphen/>
        <w:t>стечка Брянчицы. Перелет был выполнен с 10 промежуточными посадками. Общий налет полка составил 402 ч 01 мин. Потерь ориентировки за все время перелета в до</w:t>
      </w:r>
      <w:r w:rsidRPr="007224C3">
        <w:rPr>
          <w:rFonts w:ascii="Times New Roman" w:hAnsi="Times New Roman" w:cs="Times New Roman"/>
          <w:color w:val="000000" w:themeColor="text1"/>
          <w:sz w:val="16"/>
          <w:szCs w:val="16"/>
        </w:rPr>
        <w:softHyphen/>
        <w:t>кументах не отмечалось. Однако 8 самоле</w:t>
      </w:r>
      <w:r w:rsidRPr="007224C3">
        <w:rPr>
          <w:rFonts w:ascii="Times New Roman" w:hAnsi="Times New Roman" w:cs="Times New Roman"/>
          <w:color w:val="000000" w:themeColor="text1"/>
          <w:sz w:val="16"/>
          <w:szCs w:val="16"/>
        </w:rPr>
        <w:softHyphen/>
        <w:t>тов вышли из строя. Ввиду невозможности ремонта своими силами и отсутствия зап</w:t>
      </w:r>
      <w:r w:rsidRPr="007224C3">
        <w:rPr>
          <w:rFonts w:ascii="Times New Roman" w:hAnsi="Times New Roman" w:cs="Times New Roman"/>
          <w:color w:val="000000" w:themeColor="text1"/>
          <w:sz w:val="16"/>
          <w:szCs w:val="16"/>
        </w:rPr>
        <w:softHyphen/>
        <w:t>частей их пришлось оставить на промежу</w:t>
      </w:r>
      <w:r w:rsidRPr="007224C3">
        <w:rPr>
          <w:rFonts w:ascii="Times New Roman" w:hAnsi="Times New Roman" w:cs="Times New Roman"/>
          <w:color w:val="000000" w:themeColor="text1"/>
          <w:sz w:val="16"/>
          <w:szCs w:val="16"/>
        </w:rPr>
        <w:softHyphen/>
        <w:t>точных аэродромах. В полку к этому време</w:t>
      </w:r>
      <w:r w:rsidRPr="007224C3">
        <w:rPr>
          <w:rFonts w:ascii="Times New Roman" w:hAnsi="Times New Roman" w:cs="Times New Roman"/>
          <w:color w:val="000000" w:themeColor="text1"/>
          <w:sz w:val="16"/>
          <w:szCs w:val="16"/>
        </w:rPr>
        <w:softHyphen/>
        <w:t>ни числился 31 подготовленный летчик.</w:t>
      </w:r>
    </w:p>
    <w:p w14:paraId="6E619C74" w14:textId="77777777" w:rsidR="00D70979" w:rsidRPr="007224C3" w:rsidRDefault="00D70979"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Полк вошел в состав 215-й иад 16-й ВА, но к боевым действиям не привлекался.</w:t>
      </w:r>
    </w:p>
    <w:p w14:paraId="31BBF89D" w14:textId="77777777" w:rsidR="00D70979" w:rsidRPr="007224C3" w:rsidRDefault="00D70979" w:rsidP="007224C3">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Дело в том, что на складах воздушной армии отсутствовал высокооктановый бензин в до</w:t>
      </w:r>
      <w:r w:rsidRPr="007224C3">
        <w:rPr>
          <w:rFonts w:ascii="Times New Roman" w:hAnsi="Times New Roman" w:cs="Times New Roman"/>
          <w:color w:val="000000" w:themeColor="text1"/>
          <w:sz w:val="16"/>
          <w:szCs w:val="16"/>
        </w:rPr>
        <w:softHyphen/>
        <w:t>статочном количестве. Но главное, не было бронебойных снарядов к пушкам Виккерс 5.</w:t>
      </w:r>
    </w:p>
    <w:p w14:paraId="133D7D39" w14:textId="77777777" w:rsidR="00D70979" w:rsidRPr="007224C3" w:rsidRDefault="00D7097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этим причинам 246-й иап никаких указаний по учебно-боевой работе на июль не получил и конкретных задач не имел, за</w:t>
      </w:r>
      <w:r w:rsidRPr="007224C3">
        <w:rPr>
          <w:rFonts w:ascii="Times New Roman" w:hAnsi="Times New Roman"/>
          <w:color w:val="000000" w:themeColor="text1"/>
          <w:sz w:val="16"/>
          <w:szCs w:val="16"/>
        </w:rPr>
        <w:softHyphen/>
        <w:t>нятия с летным составом проводились по плану командирской подготовки, состав</w:t>
      </w:r>
      <w:r w:rsidRPr="007224C3">
        <w:rPr>
          <w:rFonts w:ascii="Times New Roman" w:hAnsi="Times New Roman"/>
          <w:color w:val="000000" w:themeColor="text1"/>
          <w:sz w:val="16"/>
          <w:szCs w:val="16"/>
        </w:rPr>
        <w:softHyphen/>
        <w:t>ленному штабом полка. Тренировочные полеты из-за недостатка горючего также не проводились (12735).</w:t>
      </w:r>
    </w:p>
    <w:p w14:paraId="38F9B38C" w14:textId="77777777" w:rsidR="00D70979" w:rsidRPr="007224C3" w:rsidRDefault="00D70979" w:rsidP="007224C3">
      <w:pPr>
        <w:spacing w:after="0" w:line="240" w:lineRule="auto"/>
        <w:jc w:val="both"/>
        <w:rPr>
          <w:rStyle w:val="aff7"/>
          <w:rFonts w:ascii="Times New Roman" w:hAnsi="Times New Roman" w:cs="Times New Roman"/>
          <w:i w:val="0"/>
          <w:color w:val="000000" w:themeColor="text1"/>
        </w:rPr>
      </w:pPr>
    </w:p>
    <w:p w14:paraId="5E69D268"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1CB9C3B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D96E8F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июня 1944 г замнаркома НКПТ А. Гореляд сообщил директору завода № 92 Еляну, что завод № 92 ввел в конструкцию орудия С-53 изменения без согласования с Производителями танков, что ухудшило их боевые качества. В частности, утолщение стенок ствола привело к неуравновешенности орудия и поломкам подъемных механизмов (11135).</w:t>
      </w:r>
    </w:p>
    <w:p w14:paraId="417484F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E1D5F15" w14:textId="77777777" w:rsidR="00CD73D6" w:rsidRPr="007224C3" w:rsidRDefault="00CD73D6" w:rsidP="007224C3">
      <w:pPr>
        <w:pStyle w:val="ae"/>
        <w:spacing w:before="0" w:after="0"/>
        <w:jc w:val="both"/>
        <w:rPr>
          <w:color w:val="000000" w:themeColor="text1"/>
          <w:sz w:val="16"/>
          <w:szCs w:val="16"/>
        </w:rPr>
      </w:pPr>
      <w:r w:rsidRPr="007224C3">
        <w:rPr>
          <w:color w:val="000000" w:themeColor="text1"/>
          <w:sz w:val="16"/>
          <w:szCs w:val="16"/>
        </w:rPr>
        <w:t>26 июня 1944 года Постановлением Государственного Комитета Обороны в Ленинграде создавался филиал опытного завода № 100 (последний находился в Челябинске). В задачу филиала входила помощь в организации выпуска самоходок ИСУ-152 на Ленинградском Кировском заводе. Напомним, что предприятие было эвакуировано в 1941 году, и с тех пор выпуск танков на нем не велся. Но после снятия блокады Ленинграда ГКО решил восстановить выпуск бронетехники на этом заводе, «загрузив» его самоходными установками ИСУ-152 — наладить их производство было легче, чем танков. Для этого из Челябинска в Ленинград была направлена группа инженеров, техников и рабочих. Кроме того, правительство выделило средства, необходимые для восстановления цехов завода, пострадавших от обстрелов и бомбежек, а также дополнительные станки и оборудование.</w:t>
      </w:r>
    </w:p>
    <w:p w14:paraId="37D56552" w14:textId="77777777" w:rsidR="00CD73D6" w:rsidRPr="007224C3" w:rsidRDefault="00CD73D6" w:rsidP="007224C3">
      <w:pPr>
        <w:pStyle w:val="ae"/>
        <w:spacing w:before="0" w:after="0"/>
        <w:jc w:val="both"/>
        <w:rPr>
          <w:color w:val="000000" w:themeColor="text1"/>
          <w:sz w:val="16"/>
          <w:szCs w:val="16"/>
        </w:rPr>
      </w:pPr>
      <w:r w:rsidRPr="007224C3">
        <w:rPr>
          <w:color w:val="000000" w:themeColor="text1"/>
          <w:sz w:val="16"/>
          <w:szCs w:val="16"/>
        </w:rPr>
        <w:t xml:space="preserve">Естественно, что первое время ни о каких новых разработках в Ленинграде не могло идти речи — все силы уходили на организацию производства и серийный выпуск ИСУ-152, который в небольших количествах начался весной 1945 года. Однако вскоре ситуация изменилась, и в Ленинграде начались работы над новым тяжелым </w:t>
      </w:r>
      <w:r w:rsidRPr="007224C3">
        <w:rPr>
          <w:color w:val="000000" w:themeColor="text1"/>
          <w:sz w:val="16"/>
          <w:szCs w:val="16"/>
        </w:rPr>
        <w:lastRenderedPageBreak/>
        <w:t>танком, который мог стать одной из наиболее мощных боевых машин того времени (17434).</w:t>
      </w:r>
    </w:p>
    <w:p w14:paraId="109CD994" w14:textId="77777777" w:rsidR="00CD73D6" w:rsidRPr="007224C3" w:rsidRDefault="00CD73D6" w:rsidP="007224C3">
      <w:pPr>
        <w:pStyle w:val="ae"/>
        <w:spacing w:before="0" w:after="0"/>
        <w:jc w:val="both"/>
        <w:rPr>
          <w:color w:val="000000" w:themeColor="text1"/>
          <w:sz w:val="16"/>
          <w:szCs w:val="16"/>
        </w:rPr>
      </w:pPr>
    </w:p>
    <w:p w14:paraId="6C53AD9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июня 1944 г. были подготовлены СООБРАЖЕНИЯ ЗАМЕСТИТЕЛЯ НАЧАЛЬНИКА ГБТУ КА ЗАМЕСТИТЕЛЮ НАРКОМА СРЕДНЕГО МАШИНОСТРОЕНИЯ СССР КУЧУМОВУ О ПРОЕКТИРОВАНИИ И ИЗГОТОВЛЕНИИ СУ-85</w:t>
      </w:r>
    </w:p>
    <w:p w14:paraId="6138A91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Самоходная артустановка СУ-76 в настоящее время удовлетворяет требованиям, предъявлен</w:t>
      </w:r>
      <w:r w:rsidRPr="007224C3">
        <w:rPr>
          <w:rFonts w:ascii="Times New Roman" w:hAnsi="Times New Roman"/>
          <w:color w:val="000000" w:themeColor="text1"/>
          <w:sz w:val="16"/>
          <w:szCs w:val="16"/>
        </w:rPr>
        <w:softHyphen/>
        <w:t>ным к ней бронетанковыми и механизированными войсками Красной Армии.</w:t>
      </w:r>
    </w:p>
    <w:p w14:paraId="55BAD83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Внесение коренных конструктивных изменений в эту машину или замена ее другой машиной не вызывается необходимостью.</w:t>
      </w:r>
    </w:p>
    <w:p w14:paraId="7C05135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этом основании работу по проектированию и изготовлению СУ-85 на базе СУ-76 считаю це</w:t>
      </w:r>
      <w:r w:rsidRPr="007224C3">
        <w:rPr>
          <w:rFonts w:ascii="Times New Roman" w:hAnsi="Times New Roman"/>
          <w:color w:val="000000" w:themeColor="text1"/>
          <w:sz w:val="16"/>
          <w:szCs w:val="16"/>
        </w:rPr>
        <w:softHyphen/>
        <w:t>лесообразным прекратить.</w:t>
      </w:r>
    </w:p>
    <w:p w14:paraId="69C4B3C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Заместитель начальника ГБТУ КА генерал-лейтенант инженерно-танковой службы Лебедев</w:t>
      </w:r>
    </w:p>
    <w:p w14:paraId="3A31767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38. Оп. 11369. Д. 481. Л. 92. Копия (11420).</w:t>
      </w:r>
    </w:p>
    <w:p w14:paraId="169999C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DAD412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июня 1944 г. И.В.Сталин в беседе с председателем Торговой палаты США Эриком Джонстоном, заявил: «Мы многим обязаны Генри Форду. Он помогал нам строить автомобильные заводы». А далее прозвучало признание того, что советские люди «многому научились у американцев. Американский опыт был использован при создании советской промышленности». На вопрос Джонстона, кто из американцев больше всего нравится господину Сталину, тот назвал в первую очередь Форда, прибавив: «Да хранит его Господь!» (May God preserve him!) (11520).</w:t>
      </w:r>
    </w:p>
    <w:p w14:paraId="1AA8870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E50CA9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июня 1944 Переданы флоту 27-й и 32-й БМО, а также 2-й МТ ждановцев. Предъявлен государственной комиссии 14-й МБК адмиралтейцев (10671).</w:t>
      </w:r>
    </w:p>
    <w:p w14:paraId="0C78114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53B2974"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79B2397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55404B7" w14:textId="77777777" w:rsidR="00E2067E" w:rsidRPr="007224C3" w:rsidRDefault="00E2067E"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26 июня</w:t>
      </w:r>
      <w:r w:rsidRPr="007224C3">
        <w:rPr>
          <w:rFonts w:ascii="Times New Roman" w:hAnsi="Times New Roman"/>
          <w:color w:val="000000" w:themeColor="text1"/>
          <w:sz w:val="16"/>
          <w:szCs w:val="16"/>
        </w:rPr>
        <w:t xml:space="preserve"> в 1944 году оперативная сводка Совинформбюро:</w:t>
      </w:r>
    </w:p>
    <w:p w14:paraId="4345C303" w14:textId="77777777" w:rsidR="00E2067E" w:rsidRPr="007224C3" w:rsidRDefault="00E2067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1-го Прибалтийского и 3-го Белорусского фронтов вели бои по уничтожению окружённой группировки противника в районе Витебска и, сжимая кольцо окружения, штурмом овладели крупным областным центром Белоруссии городом Витебск — важным стратегическим узлом обороны немцев на западном направлении.</w:t>
      </w:r>
    </w:p>
    <w:p w14:paraId="66571E75" w14:textId="77777777" w:rsidR="00E2067E" w:rsidRPr="007224C3" w:rsidRDefault="00E2067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и юго-западнее города Витебск наши войска, развивая успешное наступление, овладели районным центром Витебской области городом Бешенковичи и с боями заняли более 700 других населённых пунктов, в том числе город Улла, крупные населённые пункты Оболь, Бочейково, Каменьщина, Алексиничи, Черея и железнодорожные станции Княжница, Оболь (на железной дороге Витебск — Полоцк).</w:t>
      </w:r>
    </w:p>
    <w:p w14:paraId="37385C93" w14:textId="77777777" w:rsidR="00E2067E" w:rsidRPr="007224C3" w:rsidRDefault="00E2067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Оршанском направлении наши войска с боями продвигались вперёд и овладели районными центрами Витебской области — городом Дубровно, городом и крупной железнодорожной станцией Толочин, а также заняли более 400 других населённых пунктов, в том числе Стайки, Смоляны, Обольцы, Пищалова (3 километра севернее Орши), Соловьи, Карабановичи, Сватошица, Цыбульская и железнодорожные станции Стайки, Юрцево, Смоляны, Лемница. Наши войска перерезали шоссейную и железную дороги Орша — Борисов и железную дорогу Орша — Лепель.</w:t>
      </w:r>
    </w:p>
    <w:p w14:paraId="084446BA" w14:textId="77777777" w:rsidR="00E2067E" w:rsidRPr="007224C3" w:rsidRDefault="00E2067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Могилевском направлении наши войска, успешно продвигаясь вперёд, с боем овладели районным центром Могилёвской области городом Горки, а также заняли более 450 других населённых пунктов, в том числе крупный населённые пункты Масалыки, Слобода Казимировская, Стан, Тимоховка, Рудицы, Фащевка, Дубровка, Бель, Плещицы, Евдокимовичи, Мосток (10 километров северо-восточнее Могилев), Машинаки, Зарудеевка, Большие и Малые Амхиничи, Гарбовичи, Островы и железнодорожные станции Чаусы, Благовичи, Реста, Погодино.</w:t>
      </w:r>
    </w:p>
    <w:p w14:paraId="3E5A0072" w14:textId="77777777" w:rsidR="00E2067E" w:rsidRPr="007224C3" w:rsidRDefault="00E2067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Наши войска вышли к реке Днепр севернее города Могилев.</w:t>
      </w:r>
    </w:p>
    <w:p w14:paraId="1DCFFC11" w14:textId="77777777" w:rsidR="00E2067E" w:rsidRPr="007224C3" w:rsidRDefault="00E2067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1-го Белорусского фронта, продолжая успешное наступление, овладели городом и крупным железнодорожным узлом ЖЛОБИН — важным опорным пунктом обороны немцев на Бобруйском направлении, а также с боями заняли более 150 других населённых пунктов, среди которых районный центр Полесской области город Паричи и крупные населённые пункты Осовник, Большая и Малая Крушиновка, Фалевичи, Кошары, Заболотье, Солоное, Мормаль, Здудичи, Коз Ловка, Брожа, Ратмировичи, Оземля, Ломовичи и железнодорожные станции Жлобин-Подольская, Мормаль, Брожа, Ратмировичи.</w:t>
      </w:r>
    </w:p>
    <w:p w14:paraId="4F05EC2B" w14:textId="77777777" w:rsidR="00E2067E" w:rsidRPr="007224C3" w:rsidRDefault="00E2067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Между Онежским и Ладожским озёрами наши войска овладели районным центром Карело-Финской ССР городом ОЛОНЕЦ и с боями заняли более 40 других населённых пунктов, в числе которых Карповка, Зиниково, Куйтажи, Нанулица, Судалица, Юксила, Котчила.</w:t>
      </w:r>
    </w:p>
    <w:p w14:paraId="31421F37" w14:textId="77777777" w:rsidR="00E2067E" w:rsidRPr="007224C3" w:rsidRDefault="00E2067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Севернее Онежского озера наши войска, продолжая развивать наступление к западу и югу от города Медвежьегорск, продвинулись вперёд до 30 километров и заняли населённые пункты Карельская Масельга, Лосиная Гора, Медвежья Гора, Перегуба и железнодорожные станции Уница, Кяппесельга (на Мурманской железной дороге).</w:t>
      </w:r>
    </w:p>
    <w:p w14:paraId="50B4428B" w14:textId="77777777" w:rsidR="00E2067E" w:rsidRPr="007224C3" w:rsidRDefault="00E2067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Финском заливе наши войска полностью очистили от противника острова Койвисто и Тиурин-Сари.</w:t>
      </w:r>
    </w:p>
    <w:p w14:paraId="2E69A5DD" w14:textId="77777777" w:rsidR="00E2067E" w:rsidRPr="007224C3" w:rsidRDefault="00E2067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 без перемен.</w:t>
      </w:r>
    </w:p>
    <w:p w14:paraId="260CE12F" w14:textId="77777777" w:rsidR="00E2067E" w:rsidRPr="007224C3" w:rsidRDefault="00E2067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25 июня наши войска на всех фронтах подбили и уничтожили 28 немецких танков. В воздушных боях и огнём зенитной артиллерии сбито 29 самолётов противника.</w:t>
      </w:r>
    </w:p>
    <w:p w14:paraId="57279001" w14:textId="77777777" w:rsidR="00E2067E" w:rsidRPr="007224C3" w:rsidRDefault="00E2067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Сегодня войска 1-го Прибалтийского и 3-го Белорусского фронтов штурмом заняли областной центр Белоруссии город Витебск. Выбив вчера немцев из восточной части города, советские войска с наступлением темноты форсировали Западную Двину и начали штурм западной части города. Другие наши части ворвались в Витебск с запада. Всю ночь советские бойцы вели ожесточённые бои, выбивая гитлеровцев из домов, подвалов и укрытий. К утру 26 июня Витебск был полностью очищен от немецко-фашистских захватчиков. На улицах города осталось свыше 6 тысяч вражеских трупов. Захвачены богатые трофеи, в том числе 10 паровозов, 3 железнодорожных со става с военным имуществом, 1.100 авто машин, огромное количество вооружения и боеприпасов. Учёт трофеев продолжается. Взято в плен до 1.000 немецких солдат и офицеров. Западнее Витебска наши войска всё теснее сжимали кольцо вокруг немецкой группировки. Все попытки противника вырваться из окружения успешно отражены. Захвачено много пленных. Стремительным ударом советские войска рассекли окружённую группировку немцев на две части и ведут бои за полное их уничтожение.</w:t>
      </w:r>
    </w:p>
    <w:p w14:paraId="23CC5E97" w14:textId="77777777" w:rsidR="00E2067E" w:rsidRPr="007224C3" w:rsidRDefault="00E2067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и юго-западнее города Витебск части Н-ского соединения обошли с трех сторон районный центр Витебской области Бешенковичи и штурмом овладели им. В бою за этот важный узел грунтовых дорог уничтожено более 1.000 гитлеровцев. Отражая контратаки противника, наши войска успешно продвигались вперёд и заняли свыше 700 населённых пунктов. Взято много трофеев. Н-ская часть захватила 6 танков, миномётную и 2 артиллерийские батареи.</w:t>
      </w:r>
    </w:p>
    <w:p w14:paraId="725593BB" w14:textId="77777777" w:rsidR="00E2067E" w:rsidRPr="007224C3" w:rsidRDefault="00E2067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Оршанском направлении наши войска, стремительно продвигаясь вперёд, обошли Оршу с севера и заняли более 400 населённых пунктов, в том числе узлы грунтовых дорог Обольцы и Смоляны. Противник пытается задержать советские войска на промежуточных рубежах. Наши подвижные части умелыми обходными маневрами прорываются в тылы противника, истребляют его живую силу, уничтожают и захватывают технику и вооружение. На ряде участков немцы беспорядочно отходят, бросая снаряжение, боеприпасы и военное имущество. В одном селении наши бойцы захватили 300 автомашин, 3 склада с боеприпасами и свыше 30 тяжёлых орудий. В селении Обольцы советские конные отряды стремительной атакой разгромили вражеский гарнизон, захватили 30 автомашин и взяли в плен 100 немцев. На другом участке советские подразделения окружили и уничтожили крупный немецкий отряд и захватили в плен 400 немецких солдат и офицеров. За день боёв наши части захватили 14 танков и самоходных орудий, свыше 90 орудий разного калибра, 212 пулемётов, 246 автомашин, 500 лошадей и другие трофеи.</w:t>
      </w:r>
    </w:p>
    <w:p w14:paraId="581154B5" w14:textId="77777777" w:rsidR="00E2067E" w:rsidRPr="007224C3" w:rsidRDefault="00E2067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Могилёвском направлении наши войска вышли к реке Днепр севернее города Могилёв, перерезав таким образом важную рокадную шоссейную дорогу Могилёв — Орша. Контратаки противника успеха не имели. Под ударами советских частей немцы несут огромные потери и откатываются на запад. Взято много пленных и богатые трофеи.</w:t>
      </w:r>
    </w:p>
    <w:p w14:paraId="2BEB93A0" w14:textId="77777777" w:rsidR="00E2067E" w:rsidRPr="007224C3" w:rsidRDefault="00E2067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1-го Белорусского фронта, сломив ожесточённое сопротивление противника, штурмом овладели городом Жлобин. Немцы, опираясь на заранее подготовленные оборонительные рубежи, предпринимают одну за другой яростные контратаки. Н-ское соединение за день отразило 16 вражеских контратак. Советские бойцы уничтожили до 2 тысяч гитлеровцев и сожгли 15 танков. Западнее города Рогачёв наши наступающие части истребили свыше 900 немецких солдат и офицеров, захватили 3 танка и 3 самоходных орудия. Советские лётчики сбили 13 самолётов противника.»</w:t>
      </w:r>
    </w:p>
    <w:p w14:paraId="078B1BDF" w14:textId="77777777" w:rsidR="00E2067E" w:rsidRPr="007224C3" w:rsidRDefault="00E2067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Очередное жульничество гитлеровского командования:</w:t>
      </w:r>
    </w:p>
    <w:p w14:paraId="7EB8FD12" w14:textId="77777777" w:rsidR="00E2067E" w:rsidRPr="007224C3" w:rsidRDefault="00E2067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Советское Информбюро 22 июня опубликовало военные и политические итоги трёх лет Отечественной войны Советского Союза. В этом сообщении указывалось, что немецко-фашистские войска на советско-германском фронте за три года войны потеряли 7.800.000 солдат и офицеров убитыми и пленными, до 70.000 танков, 60.000 самолётов, более 90.000 орудий. Далее Совинформбюро сообщило, что за три года войны Красная Армия потеряла 5.300 тысяч человек убитыми, пленными и пропавшими без вести. Гитлеровцы из кожи лезут вон, чтобы опорочить эти достоверные данные. Немецкое верховное командование опубликовало фальшивку о потерях советских войск. Берлинские жулики совершают грубый подлог, уверяя всех и вся, будто «согласно советскому сообщению Красная Армия потеряла 5,3 миллиона человек убитыми». Берлинские шулера с умыслом опустили в цитате из советского сообщения слова «пленными и пропавшими без вести», а затем нагло заявляют, что Совинформбюро не указало «цифру советских потерь военнопленными, опубликовав лишь данные об убитых». При этом немецкое командование утверждает, что «свыше 5.600 тысяч советских военнопленных находится в германских руках». Весь мир знает, как немцы фабрикуют «военнопленных». Уже неоднократно доказано, что по приказу немецкого командования немецкие военные власти на временно оккупированной советской территории хватают мирных </w:t>
      </w:r>
      <w:r w:rsidRPr="007224C3">
        <w:rPr>
          <w:rFonts w:ascii="Times New Roman" w:hAnsi="Times New Roman"/>
          <w:color w:val="000000" w:themeColor="text1"/>
          <w:sz w:val="16"/>
          <w:szCs w:val="16"/>
        </w:rPr>
        <w:lastRenderedPageBreak/>
        <w:t>советских граждан, в том числе женщин и детей, загоняют их в лагери и объявляют военнопленными. Таких-то «военнопленных», захваченных не на поле боя, а в собственном жилище, изнывающих ныне в многочисленных немецких концлагерях, наберётся не 5.600 тысяч, а побольше.</w:t>
      </w:r>
    </w:p>
    <w:p w14:paraId="19D18B2F" w14:textId="77777777" w:rsidR="00E2067E" w:rsidRPr="007224C3" w:rsidRDefault="00E2067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Назвав лживые умопомрачительные цифры потерь советских войск, немецкое командование умалчивает о своих собственных потерях. Гитлеровская шайка пуще огня боится правды и всячески старается скрыть катастрофические потери немецкой армии в живой силе и технике на советско-германском фронте. Немецкое командование боится сообщить германскому народу, сколько миллионов немецких солдат и офицеров завоевало себе не жизненное, а могильное пространство на Востоке и похоронено на советской земле, сколько десятков тысяч танков, самолётов и орудий потеряла немецкая армия. Гитлеровцы проигрывают одно за другим сражения на поле боя. Зато они зарекомендовали себя непревзойдёнными мастерами лжи, фальшивок и подлогов.» (14934).</w:t>
      </w:r>
    </w:p>
    <w:p w14:paraId="16D5566E" w14:textId="77777777" w:rsidR="00E2067E" w:rsidRPr="007224C3" w:rsidRDefault="00E2067E" w:rsidP="007224C3">
      <w:pPr>
        <w:spacing w:after="0" w:line="240" w:lineRule="auto"/>
        <w:jc w:val="both"/>
        <w:rPr>
          <w:rFonts w:ascii="Times New Roman" w:hAnsi="Times New Roman"/>
          <w:color w:val="000000" w:themeColor="text1"/>
          <w:sz w:val="16"/>
          <w:szCs w:val="16"/>
        </w:rPr>
      </w:pPr>
    </w:p>
    <w:p w14:paraId="116170F6" w14:textId="77777777" w:rsidR="00817DC7" w:rsidRPr="007224C3" w:rsidRDefault="00817DC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ночь с 26 на 27 июня 1944 состоялся очередной боевой вылет 45-я АДДД. Пер</w:t>
      </w:r>
      <w:r w:rsidRPr="007224C3">
        <w:rPr>
          <w:rFonts w:ascii="Times New Roman" w:hAnsi="Times New Roman"/>
          <w:color w:val="000000" w:themeColor="text1"/>
          <w:sz w:val="16"/>
          <w:szCs w:val="16"/>
        </w:rPr>
        <w:softHyphen/>
        <w:t>воначально целью бомбардировки на</w:t>
      </w:r>
      <w:r w:rsidRPr="007224C3">
        <w:rPr>
          <w:rFonts w:ascii="Times New Roman" w:hAnsi="Times New Roman"/>
          <w:color w:val="000000" w:themeColor="text1"/>
          <w:sz w:val="16"/>
          <w:szCs w:val="16"/>
        </w:rPr>
        <w:softHyphen/>
        <w:t>значили железнодорожный узел Борисов (Белоруссия). Однако уже находящимся в воздухе кораблям по радио был дан приказ бомбить железнодорожный узел Осиповичи (Белоруссия). Всего вылетело 18 самолетов (11 из 25-го гв. АПДД и семь из 890-го АПДД). Борт №42059 (ко</w:t>
      </w:r>
      <w:r w:rsidRPr="007224C3">
        <w:rPr>
          <w:rFonts w:ascii="Times New Roman" w:hAnsi="Times New Roman"/>
          <w:color w:val="000000" w:themeColor="text1"/>
          <w:sz w:val="16"/>
          <w:szCs w:val="16"/>
        </w:rPr>
        <w:softHyphen/>
        <w:t>мандир корабля Шатров, штурман Жар</w:t>
      </w:r>
      <w:r w:rsidRPr="007224C3">
        <w:rPr>
          <w:rFonts w:ascii="Times New Roman" w:hAnsi="Times New Roman"/>
          <w:color w:val="000000" w:themeColor="text1"/>
          <w:sz w:val="16"/>
          <w:szCs w:val="16"/>
        </w:rPr>
        <w:softHyphen/>
        <w:t>ков) из 25-го гв. АПДД не взлетел, так как у него не завелся четвертый мотор.</w:t>
      </w:r>
    </w:p>
    <w:p w14:paraId="62374D47" w14:textId="77777777" w:rsidR="00817DC7" w:rsidRPr="007224C3" w:rsidRDefault="00817DC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Взлет был произведен в период с 22 ч 53 мин. по 23 ч. 12 мин. Все взле</w:t>
      </w:r>
      <w:r w:rsidRPr="007224C3">
        <w:rPr>
          <w:rFonts w:ascii="Times New Roman" w:hAnsi="Times New Roman"/>
          <w:color w:val="000000" w:themeColor="text1"/>
          <w:sz w:val="16"/>
          <w:szCs w:val="16"/>
        </w:rPr>
        <w:softHyphen/>
        <w:t>тевшие корабли бомбит железнодо</w:t>
      </w:r>
      <w:r w:rsidRPr="007224C3">
        <w:rPr>
          <w:rFonts w:ascii="Times New Roman" w:hAnsi="Times New Roman"/>
          <w:color w:val="000000" w:themeColor="text1"/>
          <w:sz w:val="16"/>
          <w:szCs w:val="16"/>
        </w:rPr>
        <w:softHyphen/>
        <w:t>рожный узел Осиповичи z 00 ч. 35 мин. по 01 ч. 45 мин. В 00 ч. 55 мин zzf- корабль был атакован истребителем противника. Но его атака была отбита стрелками. На цель было сброшено: 10 ФАБ-2000,16 ФАБ-1000, 68 ФАБ-500, ФАБ-250,9 САБ-100,2 ФОТАБ-35. Из со</w:t>
      </w:r>
      <w:r w:rsidRPr="007224C3">
        <w:rPr>
          <w:rFonts w:ascii="Times New Roman" w:hAnsi="Times New Roman"/>
          <w:color w:val="000000" w:themeColor="text1"/>
          <w:sz w:val="16"/>
          <w:szCs w:val="16"/>
        </w:rPr>
        <w:softHyphen/>
        <w:t>става 25-го гв. АПДД цель бомбили Пе-8 с заводскими номерами: 42076 (коман</w:t>
      </w:r>
      <w:r w:rsidRPr="007224C3">
        <w:rPr>
          <w:rFonts w:ascii="Times New Roman" w:hAnsi="Times New Roman"/>
          <w:color w:val="000000" w:themeColor="text1"/>
          <w:sz w:val="16"/>
          <w:szCs w:val="16"/>
        </w:rPr>
        <w:softHyphen/>
        <w:t>дир корабля Адамов), 42028 (командир корабля Хорошилов), 42088 (командир корабля Сугак), 42610 (командир кора- бля Сумцов), 42811 (командиз корабля Лисачев), 42911 (командна корабля Чурилин), 42112 (командир ксэабля Симонов), 42212 (ожандар «сзабля Обухов), 42312 (тмандир корабля Бездетный), 42412 (командир корабля Каминский), 42512 (командир корабля Грязное). После выполнения боевого задания 17 кораблей произвели посадку на своем аэродроме в период с 02 ч. 20 мин. по 04 ч. 07 мин. Пе-8 №42711 (ко</w:t>
      </w:r>
      <w:r w:rsidRPr="007224C3">
        <w:rPr>
          <w:rFonts w:ascii="Times New Roman" w:hAnsi="Times New Roman"/>
          <w:color w:val="000000" w:themeColor="text1"/>
          <w:sz w:val="16"/>
          <w:szCs w:val="16"/>
        </w:rPr>
        <w:softHyphen/>
        <w:t>мандир корабля Марусиченко, штурман Сидоров), из 890-го АПДД, из-за потери штурманом ориентировки произвел посадку на аэродроме Борщево (27 километров юго-восточнее Стародуб). Потерь не было (19559).</w:t>
      </w:r>
    </w:p>
    <w:p w14:paraId="7E9C9AAB" w14:textId="77777777" w:rsidR="00817DC7" w:rsidRPr="007224C3" w:rsidRDefault="00817DC7" w:rsidP="007224C3">
      <w:pPr>
        <w:spacing w:after="0" w:line="240" w:lineRule="auto"/>
        <w:jc w:val="both"/>
        <w:rPr>
          <w:rFonts w:ascii="Times New Roman" w:hAnsi="Times New Roman"/>
          <w:color w:val="000000" w:themeColor="text1"/>
          <w:sz w:val="16"/>
          <w:szCs w:val="16"/>
        </w:rPr>
      </w:pPr>
    </w:p>
    <w:p w14:paraId="58E69851" w14:textId="77777777" w:rsidR="00E2067E" w:rsidRPr="007224C3" w:rsidRDefault="00E2067E"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26 июня</w:t>
      </w:r>
      <w:r w:rsidRPr="007224C3">
        <w:rPr>
          <w:rFonts w:ascii="Times New Roman" w:hAnsi="Times New Roman"/>
          <w:color w:val="000000" w:themeColor="text1"/>
          <w:sz w:val="16"/>
          <w:szCs w:val="16"/>
        </w:rPr>
        <w:t xml:space="preserve"> в 1944 году войска правого крыла 1-го Белорусского фронта (3-я армия, 48-я армия, 65-я армия, 28-я армия, 16-я воздушная рмия, 1-й и 9-й танковые корпуса, конно-механизированная группа и суда Днепровской военной флотилии) начали Бобруйскую наступательную операцию с целью окружить и уничтожить немецко-фашистские 9-ю и 4-ю армии группы армий "Центр" (14934).</w:t>
      </w:r>
    </w:p>
    <w:p w14:paraId="216E418E" w14:textId="77777777" w:rsidR="00E2067E" w:rsidRPr="007224C3" w:rsidRDefault="00E2067E" w:rsidP="007224C3">
      <w:pPr>
        <w:spacing w:after="0" w:line="240" w:lineRule="auto"/>
        <w:jc w:val="both"/>
        <w:rPr>
          <w:rFonts w:ascii="Times New Roman" w:hAnsi="Times New Roman"/>
          <w:color w:val="000000" w:themeColor="text1"/>
          <w:sz w:val="16"/>
          <w:szCs w:val="16"/>
        </w:rPr>
      </w:pPr>
    </w:p>
    <w:p w14:paraId="1DD5AE2B" w14:textId="77777777" w:rsidR="00E2067E" w:rsidRPr="007224C3" w:rsidRDefault="00E2067E"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26 июня</w:t>
      </w:r>
      <w:r w:rsidRPr="007224C3">
        <w:rPr>
          <w:rFonts w:ascii="Times New Roman" w:hAnsi="Times New Roman"/>
          <w:color w:val="000000" w:themeColor="text1"/>
          <w:sz w:val="16"/>
          <w:szCs w:val="16"/>
        </w:rPr>
        <w:t xml:space="preserve"> в 1944 году Витебск (Белоруссия) освобождается от фашистских захватчиков (14934).</w:t>
      </w:r>
    </w:p>
    <w:p w14:paraId="29876956" w14:textId="77777777" w:rsidR="00E2067E" w:rsidRPr="007224C3" w:rsidRDefault="00E2067E" w:rsidP="007224C3">
      <w:pPr>
        <w:spacing w:after="0" w:line="240" w:lineRule="auto"/>
        <w:jc w:val="both"/>
        <w:rPr>
          <w:rFonts w:ascii="Times New Roman" w:hAnsi="Times New Roman"/>
          <w:color w:val="000000" w:themeColor="text1"/>
          <w:sz w:val="16"/>
          <w:szCs w:val="16"/>
        </w:rPr>
      </w:pPr>
    </w:p>
    <w:p w14:paraId="4AE0C72E" w14:textId="77777777" w:rsidR="00262E37" w:rsidRPr="007224C3" w:rsidRDefault="00262E37"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26 июня 1944 г. 246-й иап, с октября 1943 прошел полный курс переучивания на английский противотанковый истребитель в 25-м запасном ис</w:t>
      </w:r>
      <w:r w:rsidRPr="007224C3">
        <w:rPr>
          <w:color w:val="000000" w:themeColor="text1"/>
          <w:sz w:val="16"/>
          <w:szCs w:val="16"/>
        </w:rPr>
        <w:softHyphen/>
        <w:t>требительном авиаполку ВВС Закавказского воен</w:t>
      </w:r>
      <w:r w:rsidRPr="007224C3">
        <w:rPr>
          <w:color w:val="000000" w:themeColor="text1"/>
          <w:sz w:val="16"/>
          <w:szCs w:val="16"/>
        </w:rPr>
        <w:softHyphen/>
        <w:t>ного округа (г. Аджи-Кабул), попал на фронт, не</w:t>
      </w:r>
      <w:r w:rsidRPr="007224C3">
        <w:rPr>
          <w:color w:val="000000" w:themeColor="text1"/>
          <w:sz w:val="16"/>
          <w:szCs w:val="16"/>
        </w:rPr>
        <w:softHyphen/>
        <w:t>много не успев к началу операции «Багратион». В этот день полк в составе 26 самолетов «Харри</w:t>
      </w:r>
      <w:r w:rsidRPr="007224C3">
        <w:rPr>
          <w:color w:val="000000" w:themeColor="text1"/>
          <w:sz w:val="16"/>
          <w:szCs w:val="16"/>
        </w:rPr>
        <w:softHyphen/>
        <w:t xml:space="preserve">кейн» </w:t>
      </w:r>
      <w:r w:rsidRPr="007224C3">
        <w:rPr>
          <w:color w:val="000000" w:themeColor="text1"/>
          <w:sz w:val="16"/>
          <w:szCs w:val="16"/>
          <w:lang w:val="en-US"/>
        </w:rPr>
        <w:t>IID</w:t>
      </w:r>
      <w:r w:rsidRPr="007224C3">
        <w:rPr>
          <w:color w:val="000000" w:themeColor="text1"/>
          <w:sz w:val="16"/>
          <w:szCs w:val="16"/>
        </w:rPr>
        <w:t xml:space="preserve"> совершил посадку на аэродром около ме</w:t>
      </w:r>
      <w:r w:rsidRPr="007224C3">
        <w:rPr>
          <w:color w:val="000000" w:themeColor="text1"/>
          <w:sz w:val="16"/>
          <w:szCs w:val="16"/>
        </w:rPr>
        <w:softHyphen/>
        <w:t>стечка Брянчицы. Перелет был выполнен с 10 про</w:t>
      </w:r>
      <w:r w:rsidRPr="007224C3">
        <w:rPr>
          <w:color w:val="000000" w:themeColor="text1"/>
          <w:sz w:val="16"/>
          <w:szCs w:val="16"/>
        </w:rPr>
        <w:softHyphen/>
        <w:t>межуточными посадками. В ходе перелета из строя вышли 8 самолетов. Ввиду невозможности ремонта своими силами и отсутствия запчастей их пришлось оставить на промежуточных аэродромах. В полку к этому времени числился 31 боеготовый летчик.</w:t>
      </w:r>
    </w:p>
    <w:p w14:paraId="2C461FBB" w14:textId="77777777" w:rsidR="00262E37" w:rsidRPr="007224C3" w:rsidRDefault="00262E37"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Полк вошел в состав 215-й иад 16 ВА, но к бо</w:t>
      </w:r>
      <w:r w:rsidRPr="007224C3">
        <w:rPr>
          <w:color w:val="000000" w:themeColor="text1"/>
          <w:sz w:val="16"/>
          <w:szCs w:val="16"/>
        </w:rPr>
        <w:softHyphen/>
        <w:t>евым действиям не привлекался. Дело в том, что на складах воздушной армии отсутствовал высоко</w:t>
      </w:r>
      <w:r w:rsidRPr="007224C3">
        <w:rPr>
          <w:color w:val="000000" w:themeColor="text1"/>
          <w:sz w:val="16"/>
          <w:szCs w:val="16"/>
        </w:rPr>
        <w:softHyphen/>
        <w:t xml:space="preserve">октановый бензин в достаточном количестве. Но главное, не было бронебойных снарядов к пушкам Виккерс </w:t>
      </w:r>
      <w:r w:rsidRPr="007224C3">
        <w:rPr>
          <w:color w:val="000000" w:themeColor="text1"/>
          <w:sz w:val="16"/>
          <w:szCs w:val="16"/>
          <w:lang w:val="en-US"/>
        </w:rPr>
        <w:t>S</w:t>
      </w:r>
      <w:r w:rsidRPr="007224C3">
        <w:rPr>
          <w:color w:val="000000" w:themeColor="text1"/>
          <w:sz w:val="16"/>
          <w:szCs w:val="16"/>
        </w:rPr>
        <w:t>.</w:t>
      </w:r>
    </w:p>
    <w:p w14:paraId="193C119E" w14:textId="77777777" w:rsidR="00262E37" w:rsidRPr="007224C3" w:rsidRDefault="00262E37"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По этим причинам 246-й иап никаких указа</w:t>
      </w:r>
      <w:r w:rsidRPr="007224C3">
        <w:rPr>
          <w:color w:val="000000" w:themeColor="text1"/>
          <w:sz w:val="16"/>
          <w:szCs w:val="16"/>
        </w:rPr>
        <w:softHyphen/>
        <w:t>ний по учебно-боевой работе на июль не получил и конкретных задач не имел, занятия с летным со</w:t>
      </w:r>
      <w:r w:rsidRPr="007224C3">
        <w:rPr>
          <w:color w:val="000000" w:themeColor="text1"/>
          <w:sz w:val="16"/>
          <w:szCs w:val="16"/>
        </w:rPr>
        <w:softHyphen/>
        <w:t>ставом проводились по плану командирской под</w:t>
      </w:r>
      <w:r w:rsidRPr="007224C3">
        <w:rPr>
          <w:color w:val="000000" w:themeColor="text1"/>
          <w:sz w:val="16"/>
          <w:szCs w:val="16"/>
        </w:rPr>
        <w:softHyphen/>
        <w:t>готовки, составленным штабом полка. Тренировоч</w:t>
      </w:r>
      <w:r w:rsidRPr="007224C3">
        <w:rPr>
          <w:color w:val="000000" w:themeColor="text1"/>
          <w:sz w:val="16"/>
          <w:szCs w:val="16"/>
        </w:rPr>
        <w:softHyphen/>
        <w:t>ные полеты из-за недостатка горючего также не производились.</w:t>
      </w:r>
    </w:p>
    <w:p w14:paraId="307C9538" w14:textId="77777777" w:rsidR="00262E37" w:rsidRPr="007224C3" w:rsidRDefault="00262E37"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14 июля по распоряжению командира 215-й иад полковника М. Н. Якушина полк в полном составе перелетел с аэродрома Брянчицы на аэродром Омговичи.</w:t>
      </w:r>
    </w:p>
    <w:p w14:paraId="36754F60" w14:textId="77777777" w:rsidR="00262E37" w:rsidRPr="007224C3" w:rsidRDefault="00262E37"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Передислокация полка на новую площадку бы</w:t>
      </w:r>
      <w:r w:rsidRPr="007224C3">
        <w:rPr>
          <w:color w:val="000000" w:themeColor="text1"/>
          <w:sz w:val="16"/>
          <w:szCs w:val="16"/>
        </w:rPr>
        <w:softHyphen/>
        <w:t>ла омрачена целым рядом происшествий. Так, в дорожной катастрофе погибли старший сержант Н. Л. Коробельщиков и младший сержант В. Г. Гари- бян. При перелете заместитель командира 2-й эска</w:t>
      </w:r>
      <w:r w:rsidRPr="007224C3">
        <w:rPr>
          <w:color w:val="000000" w:themeColor="text1"/>
          <w:sz w:val="16"/>
          <w:szCs w:val="16"/>
        </w:rPr>
        <w:softHyphen/>
        <w:t>дрильи лейтенант Анохин допустил ошибку в рас</w:t>
      </w:r>
      <w:r w:rsidRPr="007224C3">
        <w:rPr>
          <w:color w:val="000000" w:themeColor="text1"/>
          <w:sz w:val="16"/>
          <w:szCs w:val="16"/>
        </w:rPr>
        <w:softHyphen/>
        <w:t>чете при заходе на посадку, выкатился за пределы рабочего поля аэродрома на непригодную полосу и «поставил самолет на нос». Получили поврежде</w:t>
      </w:r>
      <w:r w:rsidRPr="007224C3">
        <w:rPr>
          <w:color w:val="000000" w:themeColor="text1"/>
          <w:sz w:val="16"/>
          <w:szCs w:val="16"/>
        </w:rPr>
        <w:softHyphen/>
        <w:t>ния винт и кок винта, задние и боковые подкосы шасси, помялись обтекатели шасси, а также по</w:t>
      </w:r>
      <w:r w:rsidRPr="007224C3">
        <w:rPr>
          <w:color w:val="000000" w:themeColor="text1"/>
          <w:sz w:val="16"/>
          <w:szCs w:val="16"/>
        </w:rPr>
        <w:softHyphen/>
        <w:t>гнулись оба пояса второй нервюры центроплана. Самолет подлежал списанию. Властью командира полка на Анохина было наложено дисциплинарное взыскание.</w:t>
      </w:r>
    </w:p>
    <w:p w14:paraId="4D72DB09" w14:textId="77777777" w:rsidR="00262E37" w:rsidRPr="007224C3" w:rsidRDefault="00262E37"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Вечером этого же дня, в 19.40, «во время силь</w:t>
      </w:r>
      <w:r w:rsidRPr="007224C3">
        <w:rPr>
          <w:color w:val="000000" w:themeColor="text1"/>
          <w:sz w:val="16"/>
          <w:szCs w:val="16"/>
        </w:rPr>
        <w:softHyphen/>
        <w:t>ных грозовых разрядов при разговоре по телефону был ранен командир авиаполка майор Попрыкин /.../ и убит командир 2-й эскадрильи лейтенант Фомичев». Комполка отправили в госпиталь, а лей</w:t>
      </w:r>
      <w:r w:rsidRPr="007224C3">
        <w:rPr>
          <w:color w:val="000000" w:themeColor="text1"/>
          <w:sz w:val="16"/>
          <w:szCs w:val="16"/>
        </w:rPr>
        <w:softHyphen/>
        <w:t>тенанта Фомичева похоронили с почестями.</w:t>
      </w:r>
    </w:p>
    <w:p w14:paraId="4A49B4D9" w14:textId="77777777" w:rsidR="00262E37" w:rsidRPr="007224C3" w:rsidRDefault="00262E37"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Временно исполняющим должность командира полка был назначен заместитель Попрыкина майор Трошин.</w:t>
      </w:r>
    </w:p>
    <w:p w14:paraId="08ABB4BD" w14:textId="77777777" w:rsidR="00262E37" w:rsidRPr="007224C3" w:rsidRDefault="00262E37"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Здесь следует сказать, что с дисциплиной в пол</w:t>
      </w:r>
      <w:r w:rsidRPr="007224C3">
        <w:rPr>
          <w:color w:val="000000" w:themeColor="text1"/>
          <w:sz w:val="16"/>
          <w:szCs w:val="16"/>
        </w:rPr>
        <w:softHyphen/>
        <w:t>ку было не все благополучно. Видимо, сказыва</w:t>
      </w:r>
      <w:r w:rsidRPr="007224C3">
        <w:rPr>
          <w:color w:val="000000" w:themeColor="text1"/>
          <w:sz w:val="16"/>
          <w:szCs w:val="16"/>
        </w:rPr>
        <w:softHyphen/>
        <w:t>лось длительное — почти 1,5 года — пребывание полка в глубоком тылу. Свое негативное влияние оказывала и материальная часть, на которой вско</w:t>
      </w:r>
      <w:r w:rsidRPr="007224C3">
        <w:rPr>
          <w:color w:val="000000" w:themeColor="text1"/>
          <w:sz w:val="16"/>
          <w:szCs w:val="16"/>
        </w:rPr>
        <w:softHyphen/>
        <w:t>ре предполагалось вступить в бой. Летно-боевые качества английской машины оптимизма летчикам не добавляли. Вдобавок боевые задачи полку не ставились. Это отрицательно сказывалось как на моральном климате в полку, так и на состоянии летного состава.</w:t>
      </w:r>
    </w:p>
    <w:p w14:paraId="3E416A36" w14:textId="77777777" w:rsidR="00262E37" w:rsidRPr="007224C3" w:rsidRDefault="00262E37"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По этому поводу 28 июля майор Трошин докла</w:t>
      </w:r>
      <w:r w:rsidRPr="007224C3">
        <w:rPr>
          <w:color w:val="000000" w:themeColor="text1"/>
          <w:sz w:val="16"/>
          <w:szCs w:val="16"/>
        </w:rPr>
        <w:softHyphen/>
        <w:t>дывал командованию: «Задачи боевой подготовки на август полку являются неясными, что затрудняет правильно нацелить личный состав в его работе. Личный состав проявляет большое желание бы</w:t>
      </w:r>
      <w:r w:rsidRPr="007224C3">
        <w:rPr>
          <w:color w:val="000000" w:themeColor="text1"/>
          <w:sz w:val="16"/>
          <w:szCs w:val="16"/>
        </w:rPr>
        <w:softHyphen/>
        <w:t>стрее принять участие в боевой работе». Вот толь</w:t>
      </w:r>
      <w:r w:rsidRPr="007224C3">
        <w:rPr>
          <w:color w:val="000000" w:themeColor="text1"/>
          <w:sz w:val="16"/>
          <w:szCs w:val="16"/>
        </w:rPr>
        <w:softHyphen/>
        <w:t>ко бы заменить полку материальную часть более современной.</w:t>
      </w:r>
    </w:p>
    <w:p w14:paraId="6E947241" w14:textId="77777777" w:rsidR="00262E37" w:rsidRPr="007224C3" w:rsidRDefault="00262E37"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Через два дня Трошин по согласованию с ко</w:t>
      </w:r>
      <w:r w:rsidRPr="007224C3">
        <w:rPr>
          <w:color w:val="000000" w:themeColor="text1"/>
          <w:sz w:val="16"/>
          <w:szCs w:val="16"/>
        </w:rPr>
        <w:softHyphen/>
        <w:t>мандиром 215-й иад полковником Якушиным офи</w:t>
      </w:r>
      <w:r w:rsidRPr="007224C3">
        <w:rPr>
          <w:color w:val="000000" w:themeColor="text1"/>
          <w:sz w:val="16"/>
          <w:szCs w:val="16"/>
        </w:rPr>
        <w:softHyphen/>
        <w:t>циально направил на его имя рапорт, в котором просил «ходатайства перед вышестоящим командо</w:t>
      </w:r>
      <w:r w:rsidRPr="007224C3">
        <w:rPr>
          <w:color w:val="000000" w:themeColor="text1"/>
          <w:sz w:val="16"/>
          <w:szCs w:val="16"/>
        </w:rPr>
        <w:softHyphen/>
        <w:t xml:space="preserve">ванием о перевооружении полка на современные отечественные самолеты». В качестве обоснования он указывал, что самолет «Харрикейн» </w:t>
      </w:r>
      <w:r w:rsidRPr="007224C3">
        <w:rPr>
          <w:color w:val="000000" w:themeColor="text1"/>
          <w:sz w:val="16"/>
          <w:szCs w:val="16"/>
          <w:lang w:val="en-US"/>
        </w:rPr>
        <w:t>IID</w:t>
      </w:r>
      <w:r w:rsidRPr="007224C3">
        <w:rPr>
          <w:color w:val="000000" w:themeColor="text1"/>
          <w:sz w:val="16"/>
          <w:szCs w:val="16"/>
        </w:rPr>
        <w:t xml:space="preserve"> «как ис</w:t>
      </w:r>
      <w:r w:rsidRPr="007224C3">
        <w:rPr>
          <w:color w:val="000000" w:themeColor="text1"/>
          <w:sz w:val="16"/>
          <w:szCs w:val="16"/>
        </w:rPr>
        <w:softHyphen/>
        <w:t>требитель по своим летным качествам является устаревшим и отсталым по сравнению с нашими современными истребителями». Фактические мак</w:t>
      </w:r>
      <w:r w:rsidRPr="007224C3">
        <w:rPr>
          <w:color w:val="000000" w:themeColor="text1"/>
          <w:sz w:val="16"/>
          <w:szCs w:val="16"/>
        </w:rPr>
        <w:softHyphen/>
        <w:t>симальные скорости самолетов у земли не превы</w:t>
      </w:r>
      <w:r w:rsidRPr="007224C3">
        <w:rPr>
          <w:color w:val="000000" w:themeColor="text1"/>
          <w:sz w:val="16"/>
          <w:szCs w:val="16"/>
        </w:rPr>
        <w:softHyphen/>
        <w:t>шали 360—370 км/ч, время набора высоты 1000 м достигало 4—5 мин, а набор высоты за боевой раз</w:t>
      </w:r>
      <w:r w:rsidRPr="007224C3">
        <w:rPr>
          <w:color w:val="000000" w:themeColor="text1"/>
          <w:sz w:val="16"/>
          <w:szCs w:val="16"/>
        </w:rPr>
        <w:softHyphen/>
        <w:t>ворот составлял всего 450—500 м.</w:t>
      </w:r>
    </w:p>
    <w:p w14:paraId="4FF0233F" w14:textId="77777777" w:rsidR="00262E37" w:rsidRPr="007224C3" w:rsidRDefault="00262E37"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В то же время применение самолета в качестве штурмовика было невозможно по причине отсут</w:t>
      </w:r>
      <w:r w:rsidRPr="007224C3">
        <w:rPr>
          <w:color w:val="000000" w:themeColor="text1"/>
          <w:sz w:val="16"/>
          <w:szCs w:val="16"/>
        </w:rPr>
        <w:softHyphen/>
        <w:t>ствия должного бронирования летчика и винтомо</w:t>
      </w:r>
      <w:r w:rsidRPr="007224C3">
        <w:rPr>
          <w:color w:val="000000" w:themeColor="text1"/>
          <w:sz w:val="16"/>
          <w:szCs w:val="16"/>
        </w:rPr>
        <w:softHyphen/>
        <w:t>торной группы. По заявлению Трошина, установ</w:t>
      </w:r>
      <w:r w:rsidRPr="007224C3">
        <w:rPr>
          <w:color w:val="000000" w:themeColor="text1"/>
          <w:sz w:val="16"/>
          <w:szCs w:val="16"/>
        </w:rPr>
        <w:softHyphen/>
        <w:t>ленная на самолете броня пробивается винтовоч</w:t>
      </w:r>
      <w:r w:rsidRPr="007224C3">
        <w:rPr>
          <w:color w:val="000000" w:themeColor="text1"/>
          <w:sz w:val="16"/>
          <w:szCs w:val="16"/>
        </w:rPr>
        <w:softHyphen/>
        <w:t>ными и автоматными пулями с дистанции 70—80 м. Надо полагать, постреляли по бронеплитам списан</w:t>
      </w:r>
      <w:r w:rsidRPr="007224C3">
        <w:rPr>
          <w:color w:val="000000" w:themeColor="text1"/>
          <w:sz w:val="16"/>
          <w:szCs w:val="16"/>
        </w:rPr>
        <w:softHyphen/>
        <w:t>ного «Харрикейна».</w:t>
      </w:r>
    </w:p>
    <w:p w14:paraId="4A84F6A3" w14:textId="77777777" w:rsidR="00262E37" w:rsidRPr="007224C3" w:rsidRDefault="00262E37"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 xml:space="preserve">Кроме того, все самолеты «Харрикейн» </w:t>
      </w:r>
      <w:r w:rsidRPr="007224C3">
        <w:rPr>
          <w:color w:val="000000" w:themeColor="text1"/>
          <w:sz w:val="16"/>
          <w:szCs w:val="16"/>
          <w:lang w:val="en-US"/>
        </w:rPr>
        <w:t>IID</w:t>
      </w:r>
      <w:r w:rsidRPr="007224C3">
        <w:rPr>
          <w:color w:val="000000" w:themeColor="text1"/>
          <w:sz w:val="16"/>
          <w:szCs w:val="16"/>
        </w:rPr>
        <w:t xml:space="preserve"> до поступления в полк уже имели значительный налет и многочисленные дефекты. Основными из них яв</w:t>
      </w:r>
      <w:r w:rsidRPr="007224C3">
        <w:rPr>
          <w:color w:val="000000" w:themeColor="text1"/>
          <w:sz w:val="16"/>
          <w:szCs w:val="16"/>
        </w:rPr>
        <w:softHyphen/>
        <w:t>лялись следующие: изношенные моторы, которые недодавали мощности, выбоины и трещины на де</w:t>
      </w:r>
      <w:r w:rsidRPr="007224C3">
        <w:rPr>
          <w:color w:val="000000" w:themeColor="text1"/>
          <w:sz w:val="16"/>
          <w:szCs w:val="16"/>
        </w:rPr>
        <w:softHyphen/>
        <w:t>ревянных винтах, выработавшие ресурс бортовые аккумуляторы, множественные порезы резины ко</w:t>
      </w:r>
      <w:r w:rsidRPr="007224C3">
        <w:rPr>
          <w:color w:val="000000" w:themeColor="text1"/>
          <w:sz w:val="16"/>
          <w:szCs w:val="16"/>
        </w:rPr>
        <w:softHyphen/>
        <w:t>лес шасси, частично неисправное приборное обо</w:t>
      </w:r>
      <w:r w:rsidRPr="007224C3">
        <w:rPr>
          <w:color w:val="000000" w:themeColor="text1"/>
          <w:sz w:val="16"/>
          <w:szCs w:val="16"/>
        </w:rPr>
        <w:softHyphen/>
        <w:t>рудование, отстающая от стрингеров фюзеляжа перкалевая обшивка (местами гнилая), нарушенное лакокрасочное покрытие фюзеляжа и низа плоско</w:t>
      </w:r>
      <w:r w:rsidRPr="007224C3">
        <w:rPr>
          <w:color w:val="000000" w:themeColor="text1"/>
          <w:sz w:val="16"/>
          <w:szCs w:val="16"/>
        </w:rPr>
        <w:softHyphen/>
        <w:t>стей. К моторам и самолетам отсутствовали необхо</w:t>
      </w:r>
      <w:r w:rsidRPr="007224C3">
        <w:rPr>
          <w:color w:val="000000" w:themeColor="text1"/>
          <w:sz w:val="16"/>
          <w:szCs w:val="16"/>
        </w:rPr>
        <w:softHyphen/>
        <w:t>димые запчасти.</w:t>
      </w:r>
    </w:p>
    <w:p w14:paraId="69F6A161" w14:textId="77777777" w:rsidR="00262E37" w:rsidRPr="007224C3" w:rsidRDefault="00262E37"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 xml:space="preserve">Между тем низкие фактические летно-боевые данные самолетов «Харрикейн» </w:t>
      </w:r>
      <w:r w:rsidRPr="007224C3">
        <w:rPr>
          <w:color w:val="000000" w:themeColor="text1"/>
          <w:sz w:val="16"/>
          <w:szCs w:val="16"/>
          <w:lang w:val="en-US"/>
        </w:rPr>
        <w:t>IID</w:t>
      </w:r>
      <w:r w:rsidRPr="007224C3">
        <w:rPr>
          <w:color w:val="000000" w:themeColor="text1"/>
          <w:sz w:val="16"/>
          <w:szCs w:val="16"/>
        </w:rPr>
        <w:t xml:space="preserve"> явно не вписы</w:t>
      </w:r>
      <w:r w:rsidRPr="007224C3">
        <w:rPr>
          <w:color w:val="000000" w:themeColor="text1"/>
          <w:sz w:val="16"/>
          <w:szCs w:val="16"/>
        </w:rPr>
        <w:softHyphen/>
        <w:t>вались в тактику применения истребителей и штур</w:t>
      </w:r>
      <w:r w:rsidRPr="007224C3">
        <w:rPr>
          <w:color w:val="000000" w:themeColor="text1"/>
          <w:sz w:val="16"/>
          <w:szCs w:val="16"/>
        </w:rPr>
        <w:softHyphen/>
        <w:t>мовиков, сложившуюся в условиях реальных бое</w:t>
      </w:r>
      <w:r w:rsidRPr="007224C3">
        <w:rPr>
          <w:color w:val="000000" w:themeColor="text1"/>
          <w:sz w:val="16"/>
          <w:szCs w:val="16"/>
        </w:rPr>
        <w:softHyphen/>
        <w:t xml:space="preserve">вых действий на советско-германском фронте. Как истребитель «Харрикейн» </w:t>
      </w:r>
      <w:r w:rsidRPr="007224C3">
        <w:rPr>
          <w:color w:val="000000" w:themeColor="text1"/>
          <w:sz w:val="16"/>
          <w:szCs w:val="16"/>
          <w:lang w:val="en-US"/>
        </w:rPr>
        <w:t>IID</w:t>
      </w:r>
      <w:r w:rsidRPr="007224C3">
        <w:rPr>
          <w:color w:val="000000" w:themeColor="text1"/>
          <w:sz w:val="16"/>
          <w:szCs w:val="16"/>
        </w:rPr>
        <w:t xml:space="preserve"> использовать было нельзя, так как он не мог догнать даже </w:t>
      </w:r>
      <w:r w:rsidRPr="007224C3">
        <w:rPr>
          <w:color w:val="000000" w:themeColor="text1"/>
          <w:sz w:val="16"/>
          <w:szCs w:val="16"/>
          <w:lang w:val="en-US"/>
        </w:rPr>
        <w:t>Ju</w:t>
      </w:r>
      <w:r w:rsidRPr="007224C3">
        <w:rPr>
          <w:color w:val="000000" w:themeColor="text1"/>
          <w:sz w:val="16"/>
          <w:szCs w:val="16"/>
        </w:rPr>
        <w:t>88, а для штурмовых действий самолет был совершенно не</w:t>
      </w:r>
      <w:r w:rsidRPr="007224C3">
        <w:rPr>
          <w:color w:val="000000" w:themeColor="text1"/>
          <w:sz w:val="16"/>
          <w:szCs w:val="16"/>
        </w:rPr>
        <w:softHyphen/>
        <w:t>пригоден вследствие слабого бронирования и во</w:t>
      </w:r>
      <w:r w:rsidRPr="007224C3">
        <w:rPr>
          <w:color w:val="000000" w:themeColor="text1"/>
          <w:sz w:val="16"/>
          <w:szCs w:val="16"/>
        </w:rPr>
        <w:softHyphen/>
        <w:t>оружения. Кроме того, бронебойные снаряды кали</w:t>
      </w:r>
      <w:r w:rsidRPr="007224C3">
        <w:rPr>
          <w:color w:val="000000" w:themeColor="text1"/>
          <w:sz w:val="16"/>
          <w:szCs w:val="16"/>
        </w:rPr>
        <w:softHyphen/>
        <w:t xml:space="preserve">бра 40 мм к пушкам Виккерс </w:t>
      </w:r>
      <w:r w:rsidRPr="007224C3">
        <w:rPr>
          <w:color w:val="000000" w:themeColor="text1"/>
          <w:sz w:val="16"/>
          <w:szCs w:val="16"/>
          <w:lang w:val="en-US"/>
        </w:rPr>
        <w:t>S</w:t>
      </w:r>
      <w:r w:rsidRPr="007224C3">
        <w:rPr>
          <w:color w:val="000000" w:themeColor="text1"/>
          <w:sz w:val="16"/>
          <w:szCs w:val="16"/>
        </w:rPr>
        <w:t xml:space="preserve"> все еще отсутствова</w:t>
      </w:r>
      <w:r w:rsidRPr="007224C3">
        <w:rPr>
          <w:color w:val="000000" w:themeColor="text1"/>
          <w:sz w:val="16"/>
          <w:szCs w:val="16"/>
        </w:rPr>
        <w:softHyphen/>
        <w:t>ли на складах армии.</w:t>
      </w:r>
    </w:p>
    <w:p w14:paraId="359A0219" w14:textId="77777777" w:rsidR="00262E37" w:rsidRPr="007224C3" w:rsidRDefault="00262E37"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Итогом «хождения» рапорта майора Трошина стал приказ о перевооружении 246-го иап на оте</w:t>
      </w:r>
      <w:r w:rsidRPr="007224C3">
        <w:rPr>
          <w:color w:val="000000" w:themeColor="text1"/>
          <w:sz w:val="16"/>
          <w:szCs w:val="16"/>
        </w:rPr>
        <w:softHyphen/>
        <w:t>чественный истребитель Як-1. Уже к 19 сентября все противотанковые «Харрикейны» были либо списаны, либо переданы в реморганы, а вместо них получены самолеты Як-1. После освоения новой техники 246-й иап был переформирован в 10-й иап Войска польского и вошел в состав 3-й польской авиационной дивизии.</w:t>
      </w:r>
    </w:p>
    <w:p w14:paraId="704F3639" w14:textId="77777777" w:rsidR="00262E37" w:rsidRPr="007224C3" w:rsidRDefault="00262E37"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 xml:space="preserve">На этом история английского противотанкового истребителя «Харрикейн» </w:t>
      </w:r>
      <w:r w:rsidRPr="007224C3">
        <w:rPr>
          <w:color w:val="000000" w:themeColor="text1"/>
          <w:sz w:val="16"/>
          <w:szCs w:val="16"/>
          <w:lang w:val="en-US"/>
        </w:rPr>
        <w:t>IID</w:t>
      </w:r>
      <w:r w:rsidRPr="007224C3">
        <w:rPr>
          <w:color w:val="000000" w:themeColor="text1"/>
          <w:sz w:val="16"/>
          <w:szCs w:val="16"/>
        </w:rPr>
        <w:t xml:space="preserve"> в ВВС КА закончилась. Не сделав ни одного боевого вылета, они были сня</w:t>
      </w:r>
      <w:r w:rsidRPr="007224C3">
        <w:rPr>
          <w:color w:val="000000" w:themeColor="text1"/>
          <w:sz w:val="16"/>
          <w:szCs w:val="16"/>
        </w:rPr>
        <w:softHyphen/>
        <w:t>ты с вооружения фронтовых частей (17500).</w:t>
      </w:r>
    </w:p>
    <w:p w14:paraId="29E00AF1" w14:textId="77777777" w:rsidR="00262E37" w:rsidRPr="007224C3" w:rsidRDefault="00262E37" w:rsidP="007224C3">
      <w:pPr>
        <w:pStyle w:val="123"/>
        <w:shd w:val="clear" w:color="auto" w:fill="auto"/>
        <w:spacing w:after="0" w:line="240" w:lineRule="auto"/>
        <w:jc w:val="both"/>
        <w:rPr>
          <w:color w:val="000000" w:themeColor="text1"/>
          <w:sz w:val="16"/>
          <w:szCs w:val="16"/>
        </w:rPr>
      </w:pPr>
    </w:p>
    <w:p w14:paraId="1310782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июня 1944 в полосе северной ударной группы фронта для завершения прорыва немецкой обороны был введен 9-й танковый корпус, который к исходу дня достиг реки Березина. Войска южной ударной группы стремительно продвигались в обход Бобруйска с юго-запада.</w:t>
      </w:r>
    </w:p>
    <w:p w14:paraId="79DD1C6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Штурмовики уничтожали отходившие колонны противника на дорогах и в местах скоплений, а также разрушали переправы через Березину и вели воздушную разведку. Одновременно с этим 4-й шак, 2-я гвардейская и 299-я шад сопровождали введенные в прорыв 9 и 1-й гвардейский танковые корпуса и 4-й гвардейский кавалерийский корпус. Всего Ил-2 произвели 858 вылетов.</w:t>
      </w:r>
    </w:p>
    <w:p w14:paraId="329828F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Командиры авиадивизий, взаимодействовавших с войсками, находились на НП их командующих. В соединениях первого эшелона находились авианаводчики, которые давали целеуказание авиации.</w:t>
      </w:r>
    </w:p>
    <w:p w14:paraId="1267409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 26 июня радиостанция наведения 299-й шад передала ведущему группы штурмовиков майору Селиверстову: "Горбатые, бейте скопление войск и автомашин на северной окраине Оземля и по дорогам западнее железной дороги". Убедившись по паролю, что это действительно станция наведения дивизии, майор Селиверстов со своей группой атаковал указанную цель. После каждого захода станция наведения подтверждала правильность действий, а после пятого захода передала: "Работали отлично, следуйте домой, на смену вам подходит вторая группа".</w:t>
      </w:r>
    </w:p>
    <w:p w14:paraId="1E261D6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В отзыве начальника политотдела корпуса полковника Карева о боевой работе Ил-2 отмечается: "Хорошо работает авиация, поддерживающая корпус. В течение 26 июня в воздухе беспрерывно сменяли друг друга группы наших штурмовиков и истребителей, наносящих большой урон противнику и прикрывающих части корпуса с воздуха. Из опыта боев в составе других фронтов таких хорошо налаженных действий авиации мы не видели".</w:t>
      </w:r>
    </w:p>
    <w:p w14:paraId="3741C60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исходу третьего дня наступления войска 1-го Белорусского фронта обошли бобруйскую группировку с севера и отрезали пути отхода на запад. Противник начал общий отход на Бобруйск. Немецкие колонны войск с боевой техникой стали для штурмовиков главными целями.</w:t>
      </w:r>
    </w:p>
    <w:p w14:paraId="71564EA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 в полосе наступления 65А авиаразведчик обнаружил колонну противника в составе до 600 автомашин. Для ее уничтожения в воздух были подняты 44 Ил-2 от 300-й шад. Затем в течение почти двух часов небольшие группы штурмовиков держали колонну под бомбами и обстрелом. В итоге колонна была остановлена и рассеяна. Свыше 100 автомашин оказались разбитыми и сожженными (12020).</w:t>
      </w:r>
    </w:p>
    <w:p w14:paraId="17138C1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3F3510F"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июня 1944 войска правого крыла 1-го Белорусского фронта ( 3А, 48А, 65А, 28А , 16ВА , 1-й и 9-й ТК, конно-механизированная группа и суда Днепровской военной флотилии) начали Бобруйскую наступательную операцию с целью окружить и уничтожить немецко-фашистские 9-ю и 4-ю армии группы армий "Центр" (4963 ).</w:t>
      </w:r>
    </w:p>
    <w:p w14:paraId="08799773"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BB3D8F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июня 1944 немцы под натиском наших фронтов начали отступать и к 27 июля 1944 1БФ окружил юго-восточнее Бобруйска войска 35АК, который стал готовиться к прорыву 9ГТК. А.А.Новиков предложил нанести массированный удар авиацией и предотвратить прорыв и Г.К.Ж. поддержал идею (340,172).</w:t>
      </w:r>
    </w:p>
    <w:p w14:paraId="7D9657E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B8697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июня 1944 КА освободила Витебск (3907,249).</w:t>
      </w:r>
    </w:p>
    <w:p w14:paraId="3CB35EB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4458F5"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июня 1944 советские войска освободили от фашистов Витебск (4962).</w:t>
      </w:r>
    </w:p>
    <w:p w14:paraId="011592BD"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3AB071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июня 1944 183 самолета АДД нанесли удар по окруженной группировке в районе Бобруйска (438,911).</w:t>
      </w:r>
    </w:p>
    <w:p w14:paraId="433B100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E30E1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июня 1944 на исходе дня “Нормандия” с командиром полка во главе нанесла массированный удар по крупному не</w:t>
      </w:r>
      <w:r w:rsidRPr="007224C3">
        <w:rPr>
          <w:rFonts w:ascii="Times New Roman" w:hAnsi="Times New Roman"/>
          <w:color w:val="000000" w:themeColor="text1"/>
          <w:sz w:val="16"/>
          <w:szCs w:val="16"/>
        </w:rPr>
        <w:softHyphen/>
        <w:t>мецкому аэродрому у города Борисов. 37 истребителей Як-9 не только проштурмовали стоянки, но и уничтожили в воздухе шесть FW190. Всего за этот день полк произвел 72 самолетовылета и сбил 8 вражеских самолетов ценой гибели аспиранта Ж.Гастона, двух по</w:t>
      </w:r>
      <w:r w:rsidRPr="007224C3">
        <w:rPr>
          <w:rFonts w:ascii="Times New Roman" w:hAnsi="Times New Roman"/>
          <w:color w:val="000000" w:themeColor="text1"/>
          <w:sz w:val="16"/>
          <w:szCs w:val="16"/>
        </w:rPr>
        <w:softHyphen/>
        <w:t>терянных и двух поврежденных “Яков” (3956).</w:t>
      </w:r>
    </w:p>
    <w:p w14:paraId="60A037D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Советское командование отмечало самоотверженные действия француз</w:t>
      </w:r>
      <w:r w:rsidRPr="007224C3">
        <w:rPr>
          <w:rFonts w:ascii="Times New Roman" w:hAnsi="Times New Roman"/>
          <w:color w:val="000000" w:themeColor="text1"/>
          <w:sz w:val="16"/>
          <w:szCs w:val="16"/>
        </w:rPr>
        <w:softHyphen/>
        <w:t>ских летчиков, прикрывавших наступа</w:t>
      </w:r>
      <w:r w:rsidRPr="007224C3">
        <w:rPr>
          <w:rFonts w:ascii="Times New Roman" w:hAnsi="Times New Roman"/>
          <w:color w:val="000000" w:themeColor="text1"/>
          <w:sz w:val="16"/>
          <w:szCs w:val="16"/>
        </w:rPr>
        <w:softHyphen/>
        <w:t>ющие советские войска. С выходом пе</w:t>
      </w:r>
      <w:r w:rsidRPr="007224C3">
        <w:rPr>
          <w:rFonts w:ascii="Times New Roman" w:hAnsi="Times New Roman"/>
          <w:color w:val="000000" w:themeColor="text1"/>
          <w:sz w:val="16"/>
          <w:szCs w:val="16"/>
        </w:rPr>
        <w:softHyphen/>
        <w:t>редовых частей к Неману, немецким бомбардировщикам и штурмовикам нередко удавалось наносить безнака</w:t>
      </w:r>
      <w:r w:rsidRPr="007224C3">
        <w:rPr>
          <w:rFonts w:ascii="Times New Roman" w:hAnsi="Times New Roman"/>
          <w:color w:val="000000" w:themeColor="text1"/>
          <w:sz w:val="16"/>
          <w:szCs w:val="16"/>
        </w:rPr>
        <w:softHyphen/>
        <w:t>занные удары, пользуясь удаленно</w:t>
      </w:r>
      <w:r w:rsidRPr="007224C3">
        <w:rPr>
          <w:rFonts w:ascii="Times New Roman" w:hAnsi="Times New Roman"/>
          <w:color w:val="000000" w:themeColor="text1"/>
          <w:sz w:val="16"/>
          <w:szCs w:val="16"/>
        </w:rPr>
        <w:softHyphen/>
        <w:t>стью наших аэродромов.</w:t>
      </w:r>
    </w:p>
    <w:p w14:paraId="7D8BD2E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26DBE7"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Жизнь и внутренняя политика:</w:t>
      </w:r>
    </w:p>
    <w:p w14:paraId="05CF340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90B441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июня 1944 Берия направил Сталину следующее письмо:</w:t>
      </w:r>
    </w:p>
    <w:p w14:paraId="4040CB0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соответствии о постановлением ГКО № 5637с от 16 апреля 1944 года НКВД СССР возобновил работы по Волгострою, законсервированные осенью 1941 года (7560).</w:t>
      </w:r>
    </w:p>
    <w:p w14:paraId="10B991E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время строительства объем выполненных работ составил 1.500 млн. рублей при общей стоимости строительства 1.813 млн. рублей. Введены в эксплуатацию:</w:t>
      </w:r>
    </w:p>
    <w:p w14:paraId="3A1F13E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Угличская гидростанция с двумя агрегатами по 55 тысяч киловатт каждый и Угличский шлюз;</w:t>
      </w:r>
    </w:p>
    <w:p w14:paraId="554B353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Рыбинская гидростанция с двумя первоочередными агрегатами из запроектированных шести по 55 тысяч киловатт каждый и один из двух Рыбинских судоходных шлюзов;</w:t>
      </w:r>
    </w:p>
    <w:p w14:paraId="414691C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Угличское и Рыбинское водохранилища с судовыми ходами по ним;</w:t>
      </w:r>
    </w:p>
    <w:p w14:paraId="4B5405C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около 200 км железнодорожных обходных путей и свыше 120 км автогужевых дорог со всеми мостами и искусственными сооружениями (7560).</w:t>
      </w:r>
    </w:p>
    <w:p w14:paraId="716E150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результате ввода сооружений во временную эксплуатацию с Угличской и Рыбинской гидростанций за время их работы по 1 мая 1944 года подано в Московскую энергосистему 2.327 млн. квт/часов электроэнергии. Создано 732 км новых магистральных глубоководных путей и увеличена транзитная глубина по реке Волге ниже Рыбинска с 1,6 метра до 2,6 метра. При строительстве гидротехнических сооружений Волгостроя применен ряд крупных технических усовершенствований:</w:t>
      </w:r>
    </w:p>
    <w:p w14:paraId="272AA6A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самые большие в мире турбины типа Каплана с диаметром рабочего колеса 9 метров;</w:t>
      </w:r>
    </w:p>
    <w:p w14:paraId="2A485C8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внедрена впервые в СССР система бокового наполнения и опорожнения судоходных шлюзов, что позволило вдвое увеличить их пропускную способность;</w:t>
      </w:r>
    </w:p>
    <w:p w14:paraId="3511F37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на строительстве применялись плотный и экономный трехкомпонентный цемент, железобетонные оболочки и сварные арматурные фермы (7560).</w:t>
      </w:r>
    </w:p>
    <w:p w14:paraId="0CB703D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НКВД СССР ходатайствует о награждении орденами и медалями СССР наиболее отличившихся инженерно-технических, административно-хозяйственных работников, рабочих Волгостроя и заводов, изготовлявших оборудование. Прилагая проект Указа Президиума Верховного Совета Союза ССР, прошу Вашего решения” (7560).</w:t>
      </w:r>
    </w:p>
    <w:p w14:paraId="641A10A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FD2165"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июня 1944 вышло Распоряжение ГКО № 6113 [О военизированной пожарной охране Одессы.] (7243, 227).</w:t>
      </w:r>
    </w:p>
    <w:p w14:paraId="47F6F3E9"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7F811C7"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32CEDAD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4AEDC0D" w14:textId="77777777" w:rsidR="000F083A" w:rsidRPr="007224C3" w:rsidRDefault="000F08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26 июня</w:t>
      </w:r>
      <w:r w:rsidRPr="007224C3">
        <w:rPr>
          <w:rFonts w:ascii="Times New Roman" w:hAnsi="Times New Roman"/>
          <w:color w:val="000000" w:themeColor="text1"/>
          <w:sz w:val="16"/>
          <w:szCs w:val="16"/>
        </w:rPr>
        <w:t xml:space="preserve"> в 1944 году поднялся в воздух второй прототип </w:t>
      </w:r>
      <w:hyperlink r:id="rId180" w:tgtFrame="_blank" w:history="1">
        <w:r w:rsidRPr="007224C3">
          <w:rPr>
            <w:rFonts w:ascii="Times New Roman" w:hAnsi="Times New Roman"/>
            <w:color w:val="000000" w:themeColor="text1"/>
            <w:sz w:val="16"/>
            <w:szCs w:val="16"/>
          </w:rPr>
          <w:t xml:space="preserve">«XP-72» </w:t>
        </w:r>
      </w:hyperlink>
      <w:r w:rsidRPr="007224C3">
        <w:rPr>
          <w:rFonts w:ascii="Times New Roman" w:hAnsi="Times New Roman"/>
          <w:color w:val="000000" w:themeColor="text1"/>
          <w:sz w:val="16"/>
          <w:szCs w:val="16"/>
        </w:rPr>
        <w:t>(43-36599). Второй прототип получил пропеллеры противоположного вращения «Aeroproducts». К сожалению второй «XP-72» был разбит уже в ходе первых испытательных полетов (14934).</w:t>
      </w:r>
    </w:p>
    <w:p w14:paraId="033CA60F" w14:textId="77777777" w:rsidR="000F083A" w:rsidRPr="007224C3" w:rsidRDefault="000F083A" w:rsidP="007224C3">
      <w:pPr>
        <w:spacing w:after="0" w:line="240" w:lineRule="auto"/>
        <w:jc w:val="both"/>
        <w:rPr>
          <w:rFonts w:ascii="Times New Roman" w:hAnsi="Times New Roman"/>
          <w:color w:val="000000" w:themeColor="text1"/>
          <w:sz w:val="16"/>
          <w:szCs w:val="16"/>
        </w:rPr>
      </w:pPr>
    </w:p>
    <w:p w14:paraId="48BB3DED" w14:textId="77777777" w:rsidR="006A2076" w:rsidRPr="007224C3" w:rsidRDefault="006A2076" w:rsidP="007224C3">
      <w:pPr>
        <w:pStyle w:val="115"/>
        <w:shd w:val="clear" w:color="auto" w:fill="auto"/>
        <w:spacing w:after="0" w:line="240" w:lineRule="auto"/>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В ночь на 26 июня 1944 130 английских бомбардировщиков «Ланка</w:t>
      </w:r>
      <w:r w:rsidRPr="007224C3">
        <w:rPr>
          <w:rFonts w:ascii="Times New Roman" w:hAnsi="Times New Roman" w:cs="Times New Roman"/>
          <w:color w:val="000000" w:themeColor="text1"/>
          <w:sz w:val="16"/>
          <w:szCs w:val="16"/>
        </w:rPr>
        <w:softHyphen/>
        <w:t>стер» и «Стирлинг» бомбили венгерскую столицу. Огнем зенитной артиллерии было сбито 7 бомбардировщиков.</w:t>
      </w:r>
    </w:p>
    <w:p w14:paraId="52439AF2" w14:textId="77777777" w:rsidR="006A2076" w:rsidRPr="007224C3" w:rsidRDefault="006A2076" w:rsidP="007224C3">
      <w:pPr>
        <w:pStyle w:val="115"/>
        <w:shd w:val="clear" w:color="auto" w:fill="auto"/>
        <w:spacing w:after="0" w:line="240" w:lineRule="auto"/>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Ну а днем того числа 677 бомбардировщиков В-17 и В-24 бомбили Вену и влетели в воздушное пространство Венгрии. Венгерские истребители сбили три В-24, один Р-38 и один Р-51, потеряв три машины. Всего 26 июня янки потеряли 30 самолетов, в основном тяжелых бомбардировщиков, зато сами заявили о сбитии 60 вражеских истребителей (19083).</w:t>
      </w:r>
    </w:p>
    <w:p w14:paraId="069C0B56" w14:textId="77777777" w:rsidR="006A2076" w:rsidRPr="007224C3" w:rsidRDefault="006A2076" w:rsidP="007224C3">
      <w:pPr>
        <w:pStyle w:val="115"/>
        <w:shd w:val="clear" w:color="auto" w:fill="auto"/>
        <w:spacing w:after="0" w:line="240" w:lineRule="auto"/>
        <w:jc w:val="both"/>
        <w:rPr>
          <w:rFonts w:ascii="Times New Roman" w:hAnsi="Times New Roman" w:cs="Times New Roman"/>
          <w:color w:val="000000" w:themeColor="text1"/>
          <w:sz w:val="16"/>
          <w:szCs w:val="16"/>
        </w:rPr>
      </w:pPr>
    </w:p>
    <w:p w14:paraId="2B6B986B"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 июня 1944 на встрече с ведущими немецкими бизнесменами в Оберзальцберге Гитлер пообещал скорую победу Германии (4962).</w:t>
      </w:r>
    </w:p>
    <w:p w14:paraId="59C300DC"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904D668"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39A22F7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E04DB3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июня 1944 вышел акт НИИ ВВС КА по гос. испытаниям самолета Як-9 с мотором ВК-105ПФ дальнего с 20 мм мотор-пушкой и 2х12.7 мм УБС. Скорости 522 км/час у земли и 584 км/час на 3900 м и дальностью 2285 на 0.7 макс. (1880,159).</w:t>
      </w:r>
    </w:p>
    <w:p w14:paraId="3B5A18F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7D2CC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июня 1944 на МиГ АМ-39Б + 2ТК-2Б был выполнен полет на определение границы высотности на второй скорости нагнетателя. латали 0:25 на 7000 м. Мотор работал ненадежно (1825).</w:t>
      </w:r>
    </w:p>
    <w:p w14:paraId="7F2B8EB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0F7DD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июня 1944 на МИГ С АМ-39Б И 2ТК-2Б был произведен полет на определение границы высотности самол&amp;та на второй скорости нагнетателя с полностью включенными ТК. Продолжителъность полета - 25 мин, высота—7000 мт. Начиная с высоты 6000 мт, мотор неоднократно обрезал в полете, из-за чего полет был прекращен. При осмотре самолета на земле дефектов, могущих влиять на работу мотора, не обнаружено. По предположению представителя завода № 300 тов. САЗОНОВА обрезание мотора происходило по вине системы зажигания. Произведена замена магнето и свечей (1825).</w:t>
      </w:r>
    </w:p>
    <w:p w14:paraId="7E5C70B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5CBF6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июня 1944 разбили КОР-2 N 4770202 в Красноярске и разбился В.Н.Аносов - летчик ЛИИ ВВС ВМФ и ш Н.Д.Шевченко из-за ослепления светом, отраженным от воды (1288,33).</w:t>
      </w:r>
    </w:p>
    <w:p w14:paraId="7027786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430B2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июня 1944 года. Зам. начальника 7-го гл. управления Алексеев.</w:t>
      </w:r>
    </w:p>
    <w:p w14:paraId="680F4A8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Справка</w:t>
      </w:r>
    </w:p>
    <w:p w14:paraId="2DAA1C5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ОКБ Братухина после проведения первого этапа летных испытаний геликоптера "Омега" с моторами МВ-6 в настоящее время проводит модификацию геликоптера "Омега" под моторы МГ-31Ф. Моторы получены, производится сборка машины в сборочном цеху.</w:t>
      </w:r>
    </w:p>
    <w:p w14:paraId="720D270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Геликоптер с моторами МГ-31Ф выйдет на летные испытания к 15 июля с.г.</w:t>
      </w:r>
    </w:p>
    <w:p w14:paraId="7D9EAB4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Согласно тематического плана 1943-1944 г., КБ занято проектированием двухмоторного геликоптера в варианте арткорректировщика (1825,54).</w:t>
      </w:r>
    </w:p>
    <w:p w14:paraId="4B1CBE8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C6C3E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ночь на 28 июня самолет к Крапивы 27 гап ночных охотников-блокировщиков АДД пп М.П.Дедова-Дзядушинского испробовал А-20G-1 с АКАБ - автоматической комбинированной артиллерийской установкой Г.М.Можаровского, Веневидова и ГИ 266 завода в Казани А.А.Енгибаряна. Установка состояла из двух рам, со смонтированными ШВАК (250 снарядов) и УБК (300 патронов). Летали на Барановичи - крупнейшую немецкую авиабазу в Белоруссии. пушки были без плямягасителей и зенитчики по ним вели прицельный огонь. А.Е.Голованов подписал отчет об испытаниях с резолюцией "АКАБ, как новый вид авиационного оружия, может быть использована в АДД для вооружения А-20. Потом сделали 6 (1726,4).</w:t>
      </w:r>
    </w:p>
    <w:p w14:paraId="6C56FE0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5BABA7"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37D51B8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58DFF8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июня 1944 г. была подготовлена ДОКЛАДНАЯ ЗАПИСКА ЗАМЕСТИТЕЛЯ КОМАНДУЮЩЕГО БТ и МВ КА ЗАМЕСТИТЕЛЮ ПРЕДСЕДАТЕЛЯ ГКО СССР Л.П. БЕРИИ О ВЫПУСКЕ САМОХОДНЫХ АРТИЛЛЕРИЙСКИХ УСТАНОВОК СУ-76 НА ЗАВОДАХ ГАЗ им. МОЛОТОВА И №40 НКСМ</w:t>
      </w:r>
    </w:p>
    <w:p w14:paraId="3390D70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Докладываю:</w:t>
      </w:r>
    </w:p>
    <w:p w14:paraId="5696F4F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Постановлением заседания оперативного бюро ГОКО от 23.05.1944 г. (протокол №16) увеличе</w:t>
      </w:r>
      <w:r w:rsidRPr="007224C3">
        <w:rPr>
          <w:rFonts w:ascii="Times New Roman" w:hAnsi="Times New Roman"/>
          <w:color w:val="000000" w:themeColor="text1"/>
          <w:sz w:val="16"/>
          <w:szCs w:val="16"/>
        </w:rPr>
        <w:softHyphen/>
        <w:t>ние выпуска самоходных артиллерийских установок СУ-76 на заводах ГАЗ им. Молотова и №40 НКСМ определено в таких размерах, чтобы возместить потери от снятия с производства этих СУ-76 на заводе №38 НКТП, т.е. в количестве 175 шт. в месяц.</w:t>
      </w:r>
    </w:p>
    <w:p w14:paraId="7840D9D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Однако в проекте постановления ГОКО о выпуске СУ-76, подготовленном Госпланом СССР, не предусмотрена полная компенсация потерь от прекращения производства СУ-76 на заводе №38, т.к. выпуск СУ-76 запланирован в следующих количествах:</w:t>
      </w:r>
    </w:p>
    <w:tbl>
      <w:tblPr>
        <w:tblW w:w="0" w:type="auto"/>
        <w:tblInd w:w="40" w:type="dxa"/>
        <w:tblLayout w:type="fixed"/>
        <w:tblCellMar>
          <w:left w:w="40" w:type="dxa"/>
          <w:right w:w="40" w:type="dxa"/>
        </w:tblCellMar>
        <w:tblLook w:val="0000" w:firstRow="0" w:lastRow="0" w:firstColumn="0" w:lastColumn="0" w:noHBand="0" w:noVBand="0"/>
      </w:tblPr>
      <w:tblGrid>
        <w:gridCol w:w="1248"/>
        <w:gridCol w:w="1258"/>
        <w:gridCol w:w="1258"/>
        <w:gridCol w:w="1267"/>
      </w:tblGrid>
      <w:tr w:rsidR="005106D0" w:rsidRPr="007224C3" w14:paraId="731E415A" w14:textId="77777777">
        <w:trPr>
          <w:trHeight w:val="432"/>
        </w:trPr>
        <w:tc>
          <w:tcPr>
            <w:tcW w:w="1248" w:type="dxa"/>
            <w:tcBorders>
              <w:top w:val="single" w:sz="6" w:space="0" w:color="auto"/>
              <w:left w:val="single" w:sz="6" w:space="0" w:color="auto"/>
              <w:bottom w:val="single" w:sz="6" w:space="0" w:color="auto"/>
              <w:right w:val="single" w:sz="6" w:space="0" w:color="auto"/>
            </w:tcBorders>
          </w:tcPr>
          <w:p w14:paraId="6AF1B75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61455B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6528E26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ГАЗ им. Молотова</w:t>
            </w:r>
          </w:p>
          <w:p w14:paraId="6C81BD7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484D6AD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заводе № 40</w:t>
            </w:r>
          </w:p>
          <w:p w14:paraId="5D08D5B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36FC4B0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w:t>
            </w:r>
          </w:p>
          <w:p w14:paraId="07D78BE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E20CE11" w14:textId="77777777">
        <w:trPr>
          <w:trHeight w:val="854"/>
        </w:trPr>
        <w:tc>
          <w:tcPr>
            <w:tcW w:w="1248" w:type="dxa"/>
            <w:tcBorders>
              <w:top w:val="single" w:sz="6" w:space="0" w:color="auto"/>
              <w:left w:val="single" w:sz="6" w:space="0" w:color="auto"/>
              <w:bottom w:val="single" w:sz="6" w:space="0" w:color="auto"/>
              <w:right w:val="single" w:sz="6" w:space="0" w:color="auto"/>
            </w:tcBorders>
          </w:tcPr>
          <w:p w14:paraId="6ABE1B3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Июль</w:t>
            </w:r>
          </w:p>
          <w:p w14:paraId="1A281BF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Август</w:t>
            </w:r>
          </w:p>
          <w:p w14:paraId="0FC6025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Сентябрь Октябрь</w:t>
            </w:r>
          </w:p>
          <w:p w14:paraId="3A557AA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7C4E725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400</w:t>
            </w:r>
          </w:p>
          <w:p w14:paraId="6884629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440</w:t>
            </w:r>
          </w:p>
          <w:p w14:paraId="39C8357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450</w:t>
            </w:r>
          </w:p>
          <w:p w14:paraId="50B80FE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450</w:t>
            </w:r>
          </w:p>
          <w:p w14:paraId="40475D3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0CD1208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110</w:t>
            </w:r>
          </w:p>
          <w:p w14:paraId="4DDA222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150</w:t>
            </w:r>
          </w:p>
          <w:p w14:paraId="445C173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150</w:t>
            </w:r>
          </w:p>
          <w:p w14:paraId="1BF380E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150</w:t>
            </w:r>
          </w:p>
          <w:p w14:paraId="67A51BA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4422813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510</w:t>
            </w:r>
          </w:p>
          <w:p w14:paraId="7AC36FD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590</w:t>
            </w:r>
          </w:p>
          <w:p w14:paraId="36A5B38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600</w:t>
            </w:r>
          </w:p>
          <w:p w14:paraId="0DE49BE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600</w:t>
            </w:r>
          </w:p>
          <w:p w14:paraId="163DDBA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B8E3CB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Прошу ваших указаний Госплану СССР предусмотреть в проекте постановления ГОКО выпуск СУ-76 на заводах ГАЗ им. Молотова и №40 НКСМ в следующих количествах:</w:t>
      </w:r>
    </w:p>
    <w:tbl>
      <w:tblPr>
        <w:tblW w:w="0" w:type="auto"/>
        <w:tblInd w:w="40" w:type="dxa"/>
        <w:tblLayout w:type="fixed"/>
        <w:tblCellMar>
          <w:left w:w="40" w:type="dxa"/>
          <w:right w:w="40" w:type="dxa"/>
        </w:tblCellMar>
        <w:tblLook w:val="0000" w:firstRow="0" w:lastRow="0" w:firstColumn="0" w:lastColumn="0" w:noHBand="0" w:noVBand="0"/>
      </w:tblPr>
      <w:tblGrid>
        <w:gridCol w:w="1258"/>
        <w:gridCol w:w="1258"/>
        <w:gridCol w:w="1248"/>
        <w:gridCol w:w="1277"/>
      </w:tblGrid>
      <w:tr w:rsidR="005106D0" w:rsidRPr="007224C3" w14:paraId="00A706B1" w14:textId="77777777">
        <w:trPr>
          <w:trHeight w:val="422"/>
        </w:trPr>
        <w:tc>
          <w:tcPr>
            <w:tcW w:w="1258" w:type="dxa"/>
            <w:tcBorders>
              <w:top w:val="single" w:sz="6" w:space="0" w:color="auto"/>
              <w:left w:val="single" w:sz="6" w:space="0" w:color="auto"/>
              <w:bottom w:val="single" w:sz="6" w:space="0" w:color="auto"/>
              <w:right w:val="single" w:sz="6" w:space="0" w:color="auto"/>
            </w:tcBorders>
          </w:tcPr>
          <w:p w14:paraId="0ABB15F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46590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13D2598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ГАЗ им. Молотова</w:t>
            </w:r>
          </w:p>
          <w:p w14:paraId="07C07C4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7E6CCED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заводе № 40</w:t>
            </w:r>
          </w:p>
          <w:p w14:paraId="2F48E60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1AAD6A3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w:t>
            </w:r>
          </w:p>
          <w:p w14:paraId="09CFB6D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1B7A968" w14:textId="77777777">
        <w:trPr>
          <w:trHeight w:val="1258"/>
        </w:trPr>
        <w:tc>
          <w:tcPr>
            <w:tcW w:w="1258" w:type="dxa"/>
            <w:tcBorders>
              <w:top w:val="single" w:sz="6" w:space="0" w:color="auto"/>
              <w:left w:val="single" w:sz="6" w:space="0" w:color="auto"/>
              <w:bottom w:val="single" w:sz="6" w:space="0" w:color="auto"/>
              <w:right w:val="single" w:sz="6" w:space="0" w:color="auto"/>
            </w:tcBorders>
          </w:tcPr>
          <w:p w14:paraId="22B875F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Июль</w:t>
            </w:r>
          </w:p>
          <w:p w14:paraId="1991568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Август</w:t>
            </w:r>
          </w:p>
          <w:p w14:paraId="77B12BF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Сентябрь</w:t>
            </w:r>
          </w:p>
          <w:p w14:paraId="62F02CF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Октябрь</w:t>
            </w:r>
          </w:p>
          <w:p w14:paraId="32F9983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Ноябрь</w:t>
            </w:r>
          </w:p>
          <w:p w14:paraId="2C51F87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Декабрь</w:t>
            </w:r>
          </w:p>
          <w:p w14:paraId="5FB679D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766D5AA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500</w:t>
            </w:r>
          </w:p>
          <w:p w14:paraId="5C3B132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500</w:t>
            </w:r>
          </w:p>
          <w:p w14:paraId="6159B2D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500</w:t>
            </w:r>
          </w:p>
          <w:p w14:paraId="492E40B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500</w:t>
            </w:r>
          </w:p>
          <w:p w14:paraId="0E74795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500</w:t>
            </w:r>
          </w:p>
          <w:p w14:paraId="255F59B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500</w:t>
            </w:r>
          </w:p>
          <w:p w14:paraId="560299C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3CD2334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110</w:t>
            </w:r>
          </w:p>
          <w:p w14:paraId="6705BEF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125</w:t>
            </w:r>
          </w:p>
          <w:p w14:paraId="627B44C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135</w:t>
            </w:r>
          </w:p>
          <w:p w14:paraId="2E0B1BC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150</w:t>
            </w:r>
          </w:p>
          <w:p w14:paraId="7B34863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150</w:t>
            </w:r>
          </w:p>
          <w:p w14:paraId="290CDFC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150</w:t>
            </w:r>
          </w:p>
          <w:p w14:paraId="6DF2281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7DF7EC4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610</w:t>
            </w:r>
          </w:p>
          <w:p w14:paraId="2B30C41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625</w:t>
            </w:r>
          </w:p>
          <w:p w14:paraId="08DFDE9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635</w:t>
            </w:r>
          </w:p>
          <w:p w14:paraId="0F6BACE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650</w:t>
            </w:r>
          </w:p>
          <w:p w14:paraId="30D44C5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650</w:t>
            </w:r>
          </w:p>
          <w:p w14:paraId="5B828C1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650</w:t>
            </w:r>
          </w:p>
          <w:p w14:paraId="3A441A7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DEAEFB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принятии этой программы будет выполнено возмещение потерь от снятия с производства СУ-76 на заводе №38 НКТП.</w:t>
      </w:r>
    </w:p>
    <w:p w14:paraId="18FC3A9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Заместитель командующего БТ и МВ КА генерал-полковник танковых войск Коробков</w:t>
      </w:r>
    </w:p>
    <w:p w14:paraId="1F619D2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Член военного совета генерал-полковник танковых войск Бирюков</w:t>
      </w:r>
    </w:p>
    <w:p w14:paraId="7ED6041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38. Оп. 11369. Д. 403. Л. 70-71. Копия (11420).</w:t>
      </w:r>
    </w:p>
    <w:p w14:paraId="7368691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7942C6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июня 1944 вышло Распоряжение ГКО № 6114. О поставках оборудования, топлива и материалов аэростатным частям КА. РГАНИР, Фонд ГКО, д. 266, лл. 228,229-231 (11012).</w:t>
      </w:r>
    </w:p>
    <w:p w14:paraId="5A7893A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EC47F5F"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июня 1944 вышло Распоряжение ГКО № 6115 [Об уменьшении плана мобилизации на 745 возчиков с лошадьми по Архангельской обл. для лесозаготовительных предприятий НКПС.] (7243, 232).</w:t>
      </w:r>
    </w:p>
    <w:p w14:paraId="33575154"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7D7D9F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июня 1944 Проведены выборочные вскрытия механизмов и контрольный пробег 14-го МБК (приемный акт подписан 30 июня). Закончен ремонт БМО (бортовой номер 518). При постройке БМО осуществлялась МЗК: броня - с Ижорского завода; двигатели "Паккард"'- импортные; паровые котлы - с завода им. В. И. Ленина; шпили и рулевые машины - с "Русского дизеля"; гребные винты - с Балтийского завода; пожарные насосы - с "Красного факела"; якоря - с завода им. А. А. Жданова; якорные цепи - с Большой земли и т. д (10671).</w:t>
      </w:r>
    </w:p>
    <w:p w14:paraId="6ED2638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841EB3F"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33EA8D4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839C763" w14:textId="77777777" w:rsidR="000F083A" w:rsidRPr="007224C3" w:rsidRDefault="000F08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27 июня</w:t>
      </w:r>
      <w:r w:rsidRPr="007224C3">
        <w:rPr>
          <w:rFonts w:ascii="Times New Roman" w:hAnsi="Times New Roman"/>
          <w:color w:val="000000" w:themeColor="text1"/>
          <w:sz w:val="16"/>
          <w:szCs w:val="16"/>
        </w:rPr>
        <w:t xml:space="preserve"> в 1944 году оперативная сводка Совинформбюро:</w:t>
      </w:r>
    </w:p>
    <w:p w14:paraId="6BA2F375" w14:textId="77777777" w:rsidR="000F083A" w:rsidRPr="007224C3" w:rsidRDefault="000F08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города Витебск наши войска завершили ликвидацию окружённой группировки противника в составе 4, 197, 206, 246 пехотных и 6 авиаполевой дивизий. Ввиду отчаянного сопротивления, большая часть окружённых немецких войск была перебита нашими войсками; при этом противник оставил на поле боя более 20.000 трупов. Остатки этих дивизий приняли ультиматум Советского Командования о капитуляции, прекратили сопротивление и сложили оружие. По предварительным данным, сдалось в плен свыше 10.000 немецких солдат и офицеров.</w:t>
      </w:r>
    </w:p>
    <w:p w14:paraId="6562CF2E" w14:textId="77777777" w:rsidR="000F083A" w:rsidRPr="007224C3" w:rsidRDefault="000F08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3-го Белорусского фронта, развивая наступление, 27 июня овладели городом и оперативно-важным железнодорожным узлом Орша.</w:t>
      </w:r>
    </w:p>
    <w:p w14:paraId="1AB30555" w14:textId="77777777" w:rsidR="000F083A" w:rsidRPr="007224C3" w:rsidRDefault="000F08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Лепельском направлении наши войска с боями продвигались вперёд и овладели районным центром Витебской области городом Чашники, а также заняли более 200 других населённых пунктов, среди которых крупные населённые пункты Усвея, Усая, Хотино, Батуколово, Камень, Медвецк, Козановка, Лукомль, Лисичино и железнодорожные станции Вятны, Чашники.</w:t>
      </w:r>
    </w:p>
    <w:p w14:paraId="60E05DC0" w14:textId="77777777" w:rsidR="000F083A" w:rsidRPr="007224C3" w:rsidRDefault="000F08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Минском направлении наши войска, развивая успешное наступление, с боями заняли более 350 населённых пунктов, в том числе крупные населённые пункты Ридомля, Раветичи, Бушмин, Малое Гальцево, Волосово, Клубиничи, Заборье, Обчуга, Бобр и железнодорожная станция Бобр.</w:t>
      </w:r>
    </w:p>
    <w:p w14:paraId="1A7980B8" w14:textId="77777777" w:rsidR="000F083A" w:rsidRPr="007224C3" w:rsidRDefault="000F08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Могилевском направлении наши войска, преследуя противника, повсеместно вышли к восточному берегу реки Днепр на участке Орша, Могилев, Быхов, освободив при этом более 300 населённых пунктов, среди которых крупные населённые пункты Зубова, Копысть, Никитиничи, Ржавцы, Заречье, Луполово, Сидоровичи, Следюки и железнодорожные станции Зубры, Дары, Луполово. Наши войска форсировали реку Днепр севернее и южнее города Могилев, перерезали железную дорогу Орша — Могилев и завязали уличные бои в городе Могилев.</w:t>
      </w:r>
    </w:p>
    <w:p w14:paraId="424BD0E2" w14:textId="77777777" w:rsidR="000F083A" w:rsidRPr="007224C3" w:rsidRDefault="000F08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Бобруйском направлении наши войска, развивая охватывающие удары с востока и юга на Бобруйск, завершили окружение группировки противника, состоящей из пяти пехотных дивизий, в районе Бобруйска и юго-восточнее города. В ходе наступательных боёв наши войска овладели районными центрами Полесской области городом Глуск и Карпиловка, а также заняли более 600 других населённых пунктов, в числе которых крупные населённые пункты Городец, Пацова Слобода, Подречье, Титовка, Дворяниновичи, Бирча, Шедрин, Пекаличи, Василевка, Ламы (5 километров южнее Бобруйска), Верезовичи, Сычково, Барановичи, Глуша, Жолвинец, Балашевичи, Зубаревичи, Хойно, Колки и железнодорожные станции Заградье, Красный Берег, Омельня, Красный Брод, Залесье, Рабкор, Мирадино. Наши войска перерезали железную и шоссейную дороги Бобруйск — Минск, вплотную подошли к городу Бобруйск и завязали бои на окраинах города.</w:t>
      </w:r>
    </w:p>
    <w:p w14:paraId="71995739" w14:textId="77777777" w:rsidR="000F083A" w:rsidRPr="007224C3" w:rsidRDefault="000F08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Между Онежским и Ладожским озёрами наши войска с боями продвигались вперёд и овладели районным центром Карело-Финской ССР Шелтозеро, а также заняли более 30 других населённых пунктов, среди которых Ростань, Ладва, Розмега, Ревсельга, Чильмозеро, Улваны, Новинки, Нурмалица, Рабола и железно дорожные станции Токари, Ревсельга, Пай, Таржеполь, Ладва.</w:t>
      </w:r>
    </w:p>
    <w:p w14:paraId="22B41FD8" w14:textId="77777777" w:rsidR="000F083A" w:rsidRPr="007224C3" w:rsidRDefault="000F08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 без перемен.</w:t>
      </w:r>
    </w:p>
    <w:p w14:paraId="733657F0" w14:textId="77777777" w:rsidR="000F083A" w:rsidRPr="007224C3" w:rsidRDefault="000F08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26 июня наши войска на всех фронтах подбили и уничтожили 38 немецких танков. В воздушных боях и огнём зенитной артиллерии сбито 34 самолёта противника.»</w:t>
      </w:r>
    </w:p>
    <w:p w14:paraId="06D8946B" w14:textId="77777777" w:rsidR="000F083A" w:rsidRPr="007224C3" w:rsidRDefault="000F08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Налёт нашей авиации на железнодорожные узлы Осиповичи, Полоцк и железнодорожные станции Борисов, Янув, Ловча, Лунинец, Пинск:</w:t>
      </w:r>
    </w:p>
    <w:p w14:paraId="3DC274A9" w14:textId="77777777" w:rsidR="000F083A" w:rsidRPr="007224C3" w:rsidRDefault="000F08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ночь на 27 июня наша авиация дальнего действия совершила налет на железнодорожные узлы Осиповичи, Полоцк, железнодорожные станции Борисов, Янув, Пинск, Ловча, Лутинец.</w:t>
      </w:r>
    </w:p>
    <w:p w14:paraId="68023C2D" w14:textId="77777777" w:rsidR="000F083A" w:rsidRPr="007224C3" w:rsidRDefault="000F08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К моменту налёта нашей авиации на железнодорожном узле Осиповичи находилось большое отопление железнодорожных эшелонов противника с войсками, боеприпасами и различной военной техникой. Обрушив на эшелоны врага бомбовый груз, наши лётчики вызвали более 20 очагов пожара. Горели железнодорожные эшелоны и военные склады противника. Произошло 18 больших взрывов.</w:t>
      </w:r>
    </w:p>
    <w:p w14:paraId="38CB80CF" w14:textId="77777777" w:rsidR="000F083A" w:rsidRPr="007224C3" w:rsidRDefault="000F08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Бомбардировкой железнодорожного узла Полоцк вызвано 7 крупных очагов пожара. Горели склады и железнодорожные эшелоны немцев. Произошло 3 взрыва, в том числе один взрыв огромной силы.</w:t>
      </w:r>
    </w:p>
    <w:p w14:paraId="721965B4" w14:textId="77777777" w:rsidR="000F083A" w:rsidRPr="007224C3" w:rsidRDefault="000F08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результате бомбардировки на железно дорожной станции Борисов возникло 8 очагов пожара, на станциях Лунинец, Ловча, Пинск и Янув — 15 очагов пожара. Наши лётчики ясно видели, как горели железно дорожные эшелоны и поочерёдно происходили большие взрывы.»</w:t>
      </w:r>
    </w:p>
    <w:p w14:paraId="535FA8CB" w14:textId="77777777" w:rsidR="000F083A" w:rsidRPr="007224C3" w:rsidRDefault="000F08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«Юго-западнее города Витебск окружённая группировка противника неоднократно предпринимала отчаянные попытки прорваться сквозь железное кольцо советских войск. Каждый раз вражеские колонны наталкивались на мощный артиллерийско-миномётный огонь и, неся огромные потери, откатывались назад. Сегодня между 11 и 12 часами дня командование немецкой окружённой группировки приняло ультиматум Советского командования и капитулировало. Сдалось в плен свыше 10 тысяч немецких солдат и офицеров. Захвачены большие трофеи.</w:t>
      </w:r>
    </w:p>
    <w:p w14:paraId="17DB5E12" w14:textId="77777777" w:rsidR="000F083A" w:rsidRPr="007224C3" w:rsidRDefault="000F08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3-гo Белорусского фронта, стремительно продвигаясь вперёд, ворвались на северную и северо-западную окраины города Орша и завязали бои на его улицах. Одновременно наши части нанесли удар с востока, с хода форсировали Днепр и вышли в центральные кварталы города. В ожесточённом сражении наши части наголову разбили крупный гарнизон противника. К утру 27 июня советские воины освободили крупнейший узел шоссейных и железных дорог город Орша — мощный бастион обороны немцев на Минском направлении. На других участках наши войска быстро продвигались вперёд, громя на своём пути разбитые немецкие части. Захвачены 164 орудия, 116 миномётов, 315 пулемётов, 10 паровозов, 110 вагонов, 51 склад с боеприпасами я военным имуществом. В это число не входят трофеи наших войск, захваченные в Орше. На ряде участков деморализованные солдаты и офицеры противника большими группами сдаются в плен.</w:t>
      </w:r>
    </w:p>
    <w:p w14:paraId="55B4A8B6" w14:textId="77777777" w:rsidR="000F083A" w:rsidRPr="007224C3" w:rsidRDefault="000F08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Могилёвском направлении наши войска вышли на широком фронте к Днепру и, преодолев сопротивление противника, форсировали реку севернее и южнее Могилёва. Советские танковые и пехотные части перерезали железную дорогу Могилёв — Орша и, развивая успех, ворвались на южную восточную и северную окраины Могилёва. Только одно наше соединение в ожесточённых боях уничтожило свыше полка вражеской пехоты и захватало 25 орудий, 30 пулемётов, 700 винтовок, 5 складов с боеприпасами и продовольствием. Севернее Могилёва полностью уничтожен батальон мотоциклистов. На другом участке разбита унтер-офицерская школа 337 немецкой пехот ной дивизии, а остатки её взяты в плен.</w:t>
      </w:r>
    </w:p>
    <w:p w14:paraId="0EB93599" w14:textId="77777777" w:rsidR="000F083A" w:rsidRPr="007224C3" w:rsidRDefault="000F08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Бобруйском направлении наши части, наступающие между реками Березина и Птичь, стремительным броском прорвались в район западнее города Бобруйск и соединились с частями, наносящими охватывающий удар с востока. В результате этой блестящей операции советские войска окружили в районе Бобруйска 5 немецких пехотных дивизий. Враг несёт огромные потери. Части Н-ского соединения за три дня истребили до 8 тысяч гитлеровцев, подбили и сожгли 40 танков и самоходных орудий.</w:t>
      </w:r>
    </w:p>
    <w:p w14:paraId="7249DC23" w14:textId="77777777" w:rsidR="000F083A" w:rsidRPr="007224C3" w:rsidRDefault="000F08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Между Ладожским и Онежским озерами наши войска продолжали успешное наступление. Отступая под ударами советских частей, финны бросают на путях отхода большое количество вооружения, техники и военного имущества. Подразделения Н-ской части за день уничтожили до 900 финских солдат и офицеров, захватили 9 орудий, 16 миномётов, 60 пулемётов, свыше 80 автомашин, 200 велосипедов, 14 складов с боеприпасами и продовольствием. Взято много пленных. Наши бойцы освободили 1.500 советских граждан, которых финны угоняли в глубь Финляндии.» (14935).</w:t>
      </w:r>
    </w:p>
    <w:p w14:paraId="168F1557" w14:textId="77777777" w:rsidR="000F083A" w:rsidRPr="007224C3" w:rsidRDefault="000F083A" w:rsidP="007224C3">
      <w:pPr>
        <w:spacing w:after="0" w:line="240" w:lineRule="auto"/>
        <w:jc w:val="both"/>
        <w:rPr>
          <w:rFonts w:ascii="Times New Roman" w:hAnsi="Times New Roman"/>
          <w:color w:val="000000" w:themeColor="text1"/>
          <w:sz w:val="16"/>
          <w:szCs w:val="16"/>
        </w:rPr>
      </w:pPr>
    </w:p>
    <w:p w14:paraId="0A32705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Утром 27 июня 1944 штурмовики 4-го шак громили автоколонны противника на дорогах из Бортников на Титовку, из Титовки на Бобруйск и от Бобруйска на Осиповичи. По данным штаба корпуса было уничтожено до 600 автомашин, около 40 танков и бронетранспортеров, а также большое количество солдат.</w:t>
      </w:r>
    </w:p>
    <w:p w14:paraId="4C0D7DB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 второй половине дня разведка установила полное окружение крупной группировки войск немецкой 9-й полевой армии юго- восточнее Бобруйска. С целью прорыва кольца окружения противник сосредоточил в районе населенных пунктов Савичи, Телу- ша. Ступени, Дубовка и в прилегающих к ним лесах большое количество танков, орудий, автомашин и пехоты. Эта боевая группа обладала значительной боевой мощью и ночью вполне могла вырваться из окружения. Между тем до темноты оставалось не более трех часов. Требовалось немедленно нанести мощный авиационный удар по окруженному противнику для его полного разгрома.</w:t>
      </w:r>
    </w:p>
    <w:p w14:paraId="3C9DD9A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воздух были подняты 523 боевых самолета 16-й ВА, в том числе 175 бомбардировщиков и 217 Ил-2. Штурмовики 4-го шак (196-я и 199-я шад), 2-й гшад и 299-й шад получили задачу бомбоштурмовыми ударами без сопровождения истребителями уничтожать скопления войск и техники противника в местах сосредоточения. Наряду с применением противотанковых бомб по бронетехнике широко использовать пушеч- но-пулеметный огонь по живой силе. Высоты действий Ил-2 устанавливались от 600-400 м до бреющего полета. Группам штурмовиков приказывалось находиться над целью как можно дольше, делая по нескольку заходов, а при появлении в районе целей бомбардировщиков подавлять выявленные зенитные точки.</w:t>
      </w:r>
    </w:p>
    <w:p w14:paraId="0EB4EB7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Первые группы бомбардировщиков появились над бобруйским котлом в 19.15. Окруженные войска встретили их шквалом зенитного огня, однако подошедшие группы штурмовиков немедленно приступили к подавлению зенитных средств. Ослабление зенитного огня происходило от центра нанесения главного удара к периферии кольца окружения. Менее чем через час зенитный огонь противника почти прекратился. Бомбардировщики получили возможность с высот 1200-1600 м прицельно бомбардировать обнаруженные скопления войск на дорогах Ступени-Дубовка, Телуша-Савичи и в прилегающих лесах. Одновременно штурмовики бомбили и штурмовали голову немецкой колонны (севернее Дубовки), где были сосредоточены танки и самоходные орудия. Группа за группой подходили штурмовики и бомбардировщики к цели. Самолетов в воздухе было так много, что для выполнения атаки группам приходилось вставать в очередь.</w:t>
      </w:r>
    </w:p>
    <w:p w14:paraId="4DBAD6E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Вскоре районы скопления войск и техники противника оказались закрытыми плотными облаками дыма и пыли, что затруднило последующие действия нашей авиации.</w:t>
      </w:r>
    </w:p>
    <w:p w14:paraId="13D23F9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Бомбоштурмовой удар 16-й ВА был закончен в сумерки. Всего по окруженным войскам и технике было сброшено 1127 фугасных авиабомб калибром 100 и 50 кг, 4897 осколочных - калибром 25, 10 и 8 кг, 5326 противотанковых бомб и выпущено 572 реактивных снаряда, 27880 пушечных снарядов и 45440 пулеметных патронов. Район, подвергшийся удару, превратился в кладбище трупов и разбитой техники.</w:t>
      </w:r>
    </w:p>
    <w:p w14:paraId="03DF6DF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Позже специальная комиссия установила, что авиацией в районе юго-восточнее Бобруйска было уничтожено и повреждено до 150 танков, штурмовых орудий и бронемашин, около 1000 полевых и зенитных орудий, до 6000 автомашин, 300 тягачей, уничтожено более 1000 вражеских солдат и офицеров идо 1500 лошадей.</w:t>
      </w:r>
    </w:p>
    <w:p w14:paraId="2D8B315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результате сосредоточенного удара 16-й ВА управление немецкими войсками было полностью нарушено. Они совершенно потеряли боеспособность, побросали технику и вооружение и рассеялись по лесам. Часть из них ночью пыталась переправиться через Березину к Бобруйску, но на западный берег Березины уже вышли войска 65-й армии (12020).</w:t>
      </w:r>
    </w:p>
    <w:p w14:paraId="4FF1AE4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5B8A0E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июня 1944 в ходе Бобруйской авиации попавшие в окружение войска 9 армии противника сосредоточились у с Титовка, намереваясь прорвать поспешно занятую оборону советских войск 9ТК. Противник стянул в этот район 150 танков и самоходных орудий, до 1 тыс. орудий, свыше 6 тыс. автомашин с войсками и много другой техники. Командующий 1БФ решил привлечь основные силы 16ВА. В массированном ударе в течение 1.5 час. участвовало 175 б и 217 ш, а также значительное количество истребителей. вывели из строя почти все танки и автомашины, а также 1 тыс. солдат. остатки сдались в плен (518,173).</w:t>
      </w:r>
    </w:p>
    <w:p w14:paraId="1702A5F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A52CC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июня 1944 в ходе Бобруйской операции в районе с Титовка была окружена и начала готовиться к прорыву крупная группировка, в составе которой было 150 танков и 6000 автомашин. ( танковый корпус мог не сдержать натиска. Ком 1БФ К.К.Рокосовский приказал 16ВА С.И.Руденко разгромить группировку. Через 30-50 минут над Титовкой появилось 526 самолетов и за 1.5 часа уничтожили все, включая 1000 чел. (501,240).</w:t>
      </w:r>
    </w:p>
    <w:p w14:paraId="6AB47FE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Именно об этом времени 12 сентября 1944 П.К.Пономаренко и писал ссылаясь на посещенный лагерь немцев юго-восточнее Минска, где укрылось 11 тыс. чел., несколько сот танков, артиллерия и 5000 бронемашин, разгромленный, 1 Сталинградскую Краснознаменную Дивизию (340,174).</w:t>
      </w:r>
    </w:p>
    <w:p w14:paraId="299C7D9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89EEAD" w14:textId="77777777" w:rsidR="000F083A" w:rsidRPr="007224C3" w:rsidRDefault="000F08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27 июня</w:t>
      </w:r>
      <w:r w:rsidRPr="007224C3">
        <w:rPr>
          <w:rFonts w:ascii="Times New Roman" w:hAnsi="Times New Roman"/>
          <w:color w:val="000000" w:themeColor="text1"/>
          <w:sz w:val="16"/>
          <w:szCs w:val="16"/>
        </w:rPr>
        <w:t xml:space="preserve"> в 1944 году войска 1-го Белорусского фронта окружили и уничтожили (27-29 июня) бобруйскую группировку гитлеровских войск и освободили Бобруйск (14935).</w:t>
      </w:r>
    </w:p>
    <w:p w14:paraId="0D965C3C" w14:textId="77777777" w:rsidR="000F083A" w:rsidRPr="007224C3" w:rsidRDefault="000F083A" w:rsidP="007224C3">
      <w:pPr>
        <w:spacing w:after="0" w:line="240" w:lineRule="auto"/>
        <w:jc w:val="both"/>
        <w:rPr>
          <w:rFonts w:ascii="Times New Roman" w:hAnsi="Times New Roman"/>
          <w:color w:val="000000" w:themeColor="text1"/>
          <w:sz w:val="16"/>
          <w:szCs w:val="16"/>
        </w:rPr>
      </w:pPr>
    </w:p>
    <w:p w14:paraId="5C5D272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июня 1944 за 1.5 час. с 15:15 до 21:00 523 машины сбросили 160 т бомб. Уничтожили 150 т и 6000 автомашин (340,173).</w:t>
      </w:r>
    </w:p>
    <w:p w14:paraId="7CB4470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15D067"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rPr>
        <w:t xml:space="preserve">27 июня 1944 советские войска завершили Тулоксинскую десантную операцию </w:t>
      </w:r>
      <w:r w:rsidRPr="007224C3">
        <w:rPr>
          <w:rFonts w:ascii="Times New Roman" w:hAnsi="Times New Roman"/>
          <w:color w:val="000000" w:themeColor="text1"/>
          <w:sz w:val="16"/>
          <w:szCs w:val="16"/>
          <w:lang w:val="en-US"/>
        </w:rPr>
        <w:t>(4962).</w:t>
      </w:r>
    </w:p>
    <w:p w14:paraId="7EE8D8CE"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p>
    <w:p w14:paraId="45D24B6D"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 xml:space="preserve">27 </w:t>
      </w:r>
      <w:r w:rsidRPr="007224C3">
        <w:rPr>
          <w:rFonts w:ascii="Times New Roman" w:hAnsi="Times New Roman"/>
          <w:color w:val="000000" w:themeColor="text1"/>
          <w:sz w:val="16"/>
          <w:szCs w:val="16"/>
        </w:rPr>
        <w:t>июня</w:t>
      </w:r>
      <w:r w:rsidRPr="007224C3">
        <w:rPr>
          <w:rFonts w:ascii="Times New Roman" w:hAnsi="Times New Roman"/>
          <w:color w:val="000000" w:themeColor="text1"/>
          <w:sz w:val="16"/>
          <w:szCs w:val="16"/>
          <w:lang w:val="en-US"/>
        </w:rPr>
        <w:t xml:space="preserve"> 1944 </w:t>
      </w:r>
      <w:r w:rsidRPr="007224C3">
        <w:rPr>
          <w:rFonts w:ascii="Times New Roman" w:hAnsi="Times New Roman"/>
          <w:color w:val="000000" w:themeColor="text1"/>
          <w:sz w:val="16"/>
          <w:szCs w:val="16"/>
        </w:rPr>
        <w:t>советскимивойскамиосвобожденаотфашистовОрша</w:t>
      </w:r>
      <w:r w:rsidRPr="007224C3">
        <w:rPr>
          <w:rFonts w:ascii="Times New Roman" w:hAnsi="Times New Roman"/>
          <w:color w:val="000000" w:themeColor="text1"/>
          <w:sz w:val="16"/>
          <w:szCs w:val="16"/>
          <w:lang w:val="en-US"/>
        </w:rPr>
        <w:t xml:space="preserve"> (4962).</w:t>
      </w:r>
    </w:p>
    <w:p w14:paraId="2FA4605A"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p>
    <w:p w14:paraId="501128A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June 27th, 1944: The Red Army recaptures Orsha on the Dnepr and destroys the German pocket near Vitebsk (3819).</w:t>
      </w:r>
    </w:p>
    <w:p w14:paraId="3D522F5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4EFFDA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июня 1944 освободили Оршу (340,176).</w:t>
      </w:r>
    </w:p>
    <w:p w14:paraId="55E35EC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B7504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июня в ночь на 28 июня 1944 согласно сообщению Совинформбюро АДД произвели налеты на Барановичи, Минск, Полоцк, Борисов и бомбили эшелоны. Потеряли 4 машины (438,911).</w:t>
      </w:r>
    </w:p>
    <w:p w14:paraId="298FB42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FECF0E"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lastRenderedPageBreak/>
        <w:t>Жизнь и внутренняя политика:</w:t>
      </w:r>
    </w:p>
    <w:p w14:paraId="3259F6D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06097FD"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июня 1944 началась массовая депортация болгар, армян и греков из Крыма в восточные районы СССР (4962).</w:t>
      </w:r>
    </w:p>
    <w:p w14:paraId="54B3899E"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6B361E5"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2ABF4C7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7E4FC2C" w14:textId="77777777" w:rsidR="006A2076" w:rsidRPr="007224C3" w:rsidRDefault="006A2076" w:rsidP="007224C3">
      <w:pPr>
        <w:pStyle w:val="115"/>
        <w:shd w:val="clear" w:color="auto" w:fill="auto"/>
        <w:spacing w:after="0" w:line="240" w:lineRule="auto"/>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27 июня 1944 300 американских бомбардировщиков в ходе обрат</w:t>
      </w:r>
      <w:r w:rsidRPr="007224C3">
        <w:rPr>
          <w:rFonts w:ascii="Times New Roman" w:hAnsi="Times New Roman" w:cs="Times New Roman"/>
          <w:color w:val="000000" w:themeColor="text1"/>
          <w:sz w:val="16"/>
          <w:szCs w:val="16"/>
        </w:rPr>
        <w:softHyphen/>
        <w:t>ного «челночного» рейда отбомбились, в том числе, и по террито</w:t>
      </w:r>
      <w:r w:rsidRPr="007224C3">
        <w:rPr>
          <w:rFonts w:ascii="Times New Roman" w:hAnsi="Times New Roman" w:cs="Times New Roman"/>
          <w:color w:val="000000" w:themeColor="text1"/>
          <w:sz w:val="16"/>
          <w:szCs w:val="16"/>
        </w:rPr>
        <w:softHyphen/>
        <w:t>рии Венгрии (19083).</w:t>
      </w:r>
    </w:p>
    <w:p w14:paraId="76AAEB63" w14:textId="77777777" w:rsidR="006A2076" w:rsidRPr="007224C3" w:rsidRDefault="006A2076" w:rsidP="007224C3">
      <w:pPr>
        <w:pStyle w:val="115"/>
        <w:shd w:val="clear" w:color="auto" w:fill="auto"/>
        <w:spacing w:after="0" w:line="240" w:lineRule="auto"/>
        <w:jc w:val="both"/>
        <w:rPr>
          <w:rFonts w:ascii="Times New Roman" w:hAnsi="Times New Roman" w:cs="Times New Roman"/>
          <w:color w:val="000000" w:themeColor="text1"/>
          <w:sz w:val="16"/>
          <w:szCs w:val="16"/>
        </w:rPr>
      </w:pPr>
    </w:p>
    <w:p w14:paraId="16153924"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июня 1944 союзники освободили от фашистов Шербур (4962).</w:t>
      </w:r>
    </w:p>
    <w:p w14:paraId="473DDD70"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B64F6D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June 27 1944 U.S. troops capture Cherbourg (1050).</w:t>
      </w:r>
    </w:p>
    <w:p w14:paraId="5B5E782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2359A5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июня 1944 войска США захватили Шербург (1050).</w:t>
      </w:r>
    </w:p>
    <w:p w14:paraId="6D6F9BD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BAF1A1"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37D49C0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271CF9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июня 1944 в Правде была опубликована беседа А.С.Я. и И.В.С. "Улучшать конструкцию хорошо, но сейчас нам важно максимально увеличить выпуск машин. Конструктор заинтересован все время в том, чтобы улучшить машины, но делать это надо с умом - иначе можно и завод замучить и фронт замучить...Конструктор должен быть технологом" (271,220).</w:t>
      </w:r>
    </w:p>
    <w:p w14:paraId="1334DB8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D6623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июня 1944 на МиГ АМ-39Б + 2ТК-2Б был выполнен полет на определение границы высотности на второй скорости нагнетателя. Летали 0:25 на 10000 м. Мотор работал ненадежно (1825).</w:t>
      </w:r>
    </w:p>
    <w:p w14:paraId="5483D81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04BB3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июня 1944 на МИГ С АМ-39Б И 2ТК-2Б был произведен полет на. определение границы высотности самолета на 2-й скорости наг</w:t>
      </w:r>
      <w:r w:rsidRPr="007224C3">
        <w:rPr>
          <w:rFonts w:ascii="Times New Roman" w:hAnsi="Times New Roman"/>
          <w:color w:val="000000" w:themeColor="text1"/>
          <w:sz w:val="16"/>
          <w:szCs w:val="16"/>
        </w:rPr>
        <w:softHyphen/>
        <w:t>нетателя с полностью включенными ТК. Продолжит ар</w:t>
      </w:r>
      <w:r w:rsidRPr="007224C3">
        <w:rPr>
          <w:rFonts w:ascii="Times New Roman" w:hAnsi="Times New Roman"/>
          <w:color w:val="000000" w:themeColor="text1"/>
          <w:sz w:val="16"/>
          <w:szCs w:val="16"/>
        </w:rPr>
        <w:softHyphen/>
        <w:t>ность полета - 25 мин., высота - 10000 мт. Как и в прошлом полете, начиная с высоты 6000 мт, мотор обрезал в полете и на 10000 мт мотор остановился, чему предшествовала раскрутка правого Т К. Выключив турбокомпрессоры, летчик запустил мо</w:t>
      </w:r>
      <w:r w:rsidRPr="007224C3">
        <w:rPr>
          <w:rFonts w:ascii="Times New Roman" w:hAnsi="Times New Roman"/>
          <w:color w:val="000000" w:themeColor="text1"/>
          <w:sz w:val="16"/>
          <w:szCs w:val="16"/>
        </w:rPr>
        <w:softHyphen/>
        <w:t>тор с помощью воздушного самопуска и произвел по</w:t>
      </w:r>
      <w:r w:rsidRPr="007224C3">
        <w:rPr>
          <w:rFonts w:ascii="Times New Roman" w:hAnsi="Times New Roman"/>
          <w:color w:val="000000" w:themeColor="text1"/>
          <w:sz w:val="16"/>
          <w:szCs w:val="16"/>
        </w:rPr>
        <w:softHyphen/>
        <w:t>садку. При осмотре самолета на земле обнаружено заклинение правого ТК. С самолета сняты оба ТК и отправлены в ЦИАМ для осмотра и устранения дефектов (1825).</w:t>
      </w:r>
    </w:p>
    <w:p w14:paraId="0D904D2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EBE4B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июня 1944 закончились дополнительные заводские испытания И-220 № 01 с АМ-39 с целью проверки и доводки ВМГ, а также для определения летных данных после установки серийного мотора АМ-39 №45302, которые проходили с 10 мая 1944. Испытания проводили ведущий инженер А.Г.Брунов и летчик-испытатель А.П.Якимов. Максимальная скорость самолета на боевом режиме работы мотора составила 625 км/ч на высоте 2700 м (первая граница высотности) и 695 км/ч на высоте 7500 м (вторая граница высотности). В целом дополнительные испытания подтвердили полученные ранее результаты, что дало основание передать самолет на госиспытания. Стоит отметить, что к этому времени все четыре пушки ШВАК (СП-20) были включены в нормальную полетную массу истребителя И-220, при этом боезапас составлял по 100 патронов на пушку (5669).</w:t>
      </w:r>
    </w:p>
    <w:p w14:paraId="3BB3539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июля 1944 л-и А.П.Якимов подписал отчет по результатам заводских летных испытаний с-та И-220 с мотором АМ-39, редукция 0,732 и винтом АВ5Л126А</w:t>
      </w:r>
    </w:p>
    <w:p w14:paraId="699AD0B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июля 1944 Зам. ГК Гуревич и ст. в/п на заводе 155 Савин утвердили Акт по результатам заводских летных испытаний с-та И-220 с мотором АМ-39, редукция 0,732 и винтом АВ5Л126А</w:t>
      </w:r>
    </w:p>
    <w:p w14:paraId="73472A1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Отв. испытатель ви с-та Брунов</w:t>
      </w:r>
    </w:p>
    <w:p w14:paraId="0C27AEF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л-и Якимов</w:t>
      </w:r>
    </w:p>
    <w:p w14:paraId="6970337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Цель испытаний: контрольные испытания для проверки лд с серийным мотором АМ-39, проверка и доводка матчасти и ВМГ. На с-те установлено 4хШВАК 20 мм с б/з по 100 патронов на каждую.</w:t>
      </w:r>
    </w:p>
    <w:p w14:paraId="1074229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Длина с-та 9,5, размах - 11,0, площадь крыла 20,38, профиль NACA-230, угол установки 1 гр.</w:t>
      </w:r>
    </w:p>
    <w:p w14:paraId="5260E9E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 скорость на 2 гр в боевом режжииме при 2150 и Рк 1175 на 7000 - 695, на номинальном на 7200 - 690</w:t>
      </w:r>
    </w:p>
    <w:p w14:paraId="6AFB23D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 скорость на 1 гр. на боевом Рк 1200 на 2700 - 625, на номинальном на 2400 - 624</w:t>
      </w:r>
    </w:p>
    <w:p w14:paraId="3F9A6A1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 скорость пикирования - 685 по рибору.</w:t>
      </w:r>
    </w:p>
    <w:p w14:paraId="21E4A16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Это - 2-й</w:t>
      </w:r>
    </w:p>
    <w:p w14:paraId="5B10332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первом в консоли крыла были поставлены противофлаттерные грузы общим весом 28 кг</w:t>
      </w:r>
    </w:p>
    <w:p w14:paraId="1788018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Полетный вес - 3845, в т.ч.</w:t>
      </w:r>
    </w:p>
    <w:p w14:paraId="57AEF95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экипаж - 90</w:t>
      </w:r>
    </w:p>
    <w:p w14:paraId="6E9FACD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горючее - 350</w:t>
      </w:r>
    </w:p>
    <w:p w14:paraId="7EB7473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масло - 45</w:t>
      </w:r>
    </w:p>
    <w:p w14:paraId="5834EEC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оружие - 156</w:t>
      </w:r>
    </w:p>
    <w:p w14:paraId="01B8959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б/з - 93</w:t>
      </w:r>
    </w:p>
    <w:p w14:paraId="214EB6A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Съемное оборудование - 16</w:t>
      </w:r>
    </w:p>
    <w:p w14:paraId="63C178B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 750</w:t>
      </w:r>
    </w:p>
    <w:p w14:paraId="103FD0E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Отзывы л</w:t>
      </w:r>
    </w:p>
    <w:p w14:paraId="7B3D128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Мотор АМ-39 с беспоплавковым карбюратором на форсаже работает плохо. На номинале - хорошо.</w:t>
      </w:r>
    </w:p>
    <w:p w14:paraId="70FC366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Значительной помехой в полете является обильный выброс масла из носка мотора. Масло нагоняет на козырек и затрудняет полет</w:t>
      </w:r>
    </w:p>
    <w:p w14:paraId="16C10A2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Бензоочистеители козырька не в состоянии справиться с натекающим маслом из носка мотора</w:t>
      </w:r>
    </w:p>
    <w:p w14:paraId="06AE6AA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Велики нагрузки на элероны и РВ, особенно на большой скорости</w:t>
      </w:r>
    </w:p>
    <w:p w14:paraId="6C3F751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Слабый обзор назад</w:t>
      </w:r>
    </w:p>
    <w:p w14:paraId="597CECE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Крайне передняя центровка, особенно у машины, заправленной горючим</w:t>
      </w:r>
    </w:p>
    <w:p w14:paraId="2899D84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устранении недостатков с-т может быть принят на вооружение. Несомненно будет легко освоен л</w:t>
      </w:r>
    </w:p>
    <w:p w14:paraId="310BCF2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 А.П.Якимов 5 июля 1944</w:t>
      </w:r>
    </w:p>
    <w:p w14:paraId="2D16C21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 подлежит передаче в НИИ ВВС для продолжения испытаний</w:t>
      </w:r>
    </w:p>
    <w:p w14:paraId="5D20CBA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Брунов (11472,2).</w:t>
      </w:r>
    </w:p>
    <w:p w14:paraId="4E32146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45462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июня 1944 г. завершившились дополнительные испыта</w:t>
      </w:r>
      <w:r w:rsidRPr="007224C3">
        <w:rPr>
          <w:rFonts w:ascii="Times New Roman" w:hAnsi="Times New Roman"/>
          <w:color w:val="000000" w:themeColor="text1"/>
          <w:sz w:val="16"/>
          <w:szCs w:val="16"/>
        </w:rPr>
        <w:softHyphen/>
        <w:t>ния И—220 зав. № 01, которые подтвердили полученные ранее результаты, что дало основание передать самолет на госиспытания [23]. Ответственными за проведение государственных испытаний И—220 зав. № 01 с мотором АМ—39 в НИИ ВВС на этот раз назначили ведущего инженера В.И.Алексеенко и летчика-испытателя Д.Г.Пикуленко. Уже через десять дней испытания пришлось пре</w:t>
      </w:r>
      <w:r w:rsidRPr="007224C3">
        <w:rPr>
          <w:rFonts w:ascii="Times New Roman" w:hAnsi="Times New Roman"/>
          <w:color w:val="000000" w:themeColor="text1"/>
          <w:sz w:val="16"/>
          <w:szCs w:val="16"/>
        </w:rPr>
        <w:softHyphen/>
        <w:t>рвать из-за разрушения нагнетателя АМ—39 (9984).</w:t>
      </w:r>
    </w:p>
    <w:p w14:paraId="66A1096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F1A588" w14:textId="77777777" w:rsidR="000F083A" w:rsidRPr="007224C3" w:rsidRDefault="000F08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28 июня</w:t>
      </w:r>
      <w:r w:rsidRPr="007224C3">
        <w:rPr>
          <w:rFonts w:ascii="Times New Roman" w:hAnsi="Times New Roman"/>
          <w:color w:val="000000" w:themeColor="text1"/>
          <w:sz w:val="16"/>
          <w:szCs w:val="16"/>
        </w:rPr>
        <w:t xml:space="preserve"> в 1944 году завершились дополнительные заводские испытания с целью проверки и доводки ВМГ, а также для определения летных данных после установки серийного мотора «АМ-392 №45302, высотного истребителя </w:t>
      </w:r>
      <w:hyperlink r:id="rId181" w:tgtFrame="_blank" w:history="1">
        <w:r w:rsidRPr="007224C3">
          <w:rPr>
            <w:rFonts w:ascii="Times New Roman" w:hAnsi="Times New Roman"/>
            <w:color w:val="000000" w:themeColor="text1"/>
            <w:sz w:val="16"/>
            <w:szCs w:val="16"/>
          </w:rPr>
          <w:t xml:space="preserve">«МиГ-11» (2И-220»). </w:t>
        </w:r>
      </w:hyperlink>
      <w:r w:rsidRPr="007224C3">
        <w:rPr>
          <w:rFonts w:ascii="Times New Roman" w:hAnsi="Times New Roman"/>
          <w:color w:val="000000" w:themeColor="text1"/>
          <w:sz w:val="16"/>
          <w:szCs w:val="16"/>
        </w:rPr>
        <w:t>Испытания проводили ведущий инженер А.Г.Брунов и летчик-испытатель А.П.Якимов. Максимальная скорость самолета на боевом режиме работы мотора составила 625 км/ч на высоте 2700 м (первая граница высотности) и 695 км/ч на высоте 7500 м (вторая граница высотности) . Испытания подтвердили полученные ранее результаты, что дало основание передать самолет на госиспытания (14936).</w:t>
      </w:r>
    </w:p>
    <w:p w14:paraId="33681D56" w14:textId="77777777" w:rsidR="000F083A" w:rsidRPr="007224C3" w:rsidRDefault="000F083A" w:rsidP="007224C3">
      <w:pPr>
        <w:spacing w:after="0" w:line="240" w:lineRule="auto"/>
        <w:jc w:val="both"/>
        <w:rPr>
          <w:rFonts w:ascii="Times New Roman" w:hAnsi="Times New Roman"/>
          <w:color w:val="000000" w:themeColor="text1"/>
          <w:sz w:val="16"/>
          <w:szCs w:val="16"/>
        </w:rPr>
      </w:pPr>
    </w:p>
    <w:p w14:paraId="3C3A384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июня 1944 Начю 7 ГУ НКАП было направлено письмо № 8674 С.А.Л. об устранении дефектов Ла-5 с АШ-82ФН и 2ТК-3</w:t>
      </w:r>
    </w:p>
    <w:p w14:paraId="208E7D1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Главному конструктору завода № 21 тов. ЛАВОЧКИНУ С.А.</w:t>
      </w:r>
    </w:p>
    <w:p w14:paraId="1561F87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устранения дефектов, выявленных во время летных штаний на высотном самолете Ла-5 с ТК-3, нужно провести доводочные работы:</w:t>
      </w:r>
    </w:p>
    <w:p w14:paraId="6A865CB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Установить на моторе дефлектора по образцу дефлекторов, установленных на высотном самолете Ла-7.</w:t>
      </w:r>
    </w:p>
    <w:p w14:paraId="3F9F2CF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Улучшить аэродинамику внутреннего капота и изменить выходные створки капота, по типу высотного самолета Ла-7.</w:t>
      </w:r>
    </w:p>
    <w:p w14:paraId="588C2BA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Как первоочередное мероприятие - переделать тонель масслорадиатора, по имевшимся у Вас рекомендациям ЦАГИ для Серийного самолета Ла-7.</w:t>
      </w:r>
    </w:p>
    <w:p w14:paraId="1473D3E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Величину радиирующей поверхности радиатора определите расчетом. Исходные данные будут Вам направлены ЦАГИ 1.УП.44 г</w:t>
      </w:r>
    </w:p>
    <w:p w14:paraId="3A941E4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По окончании постройки высотного самолета Ла-7 передайте его в ЦАГИ для продувок, предварительно произведя облет.</w:t>
      </w:r>
    </w:p>
    <w:p w14:paraId="5F5A64D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Кроме того, предлагаю выполнить следующие мероприятия:</w:t>
      </w:r>
    </w:p>
    <w:p w14:paraId="29DB0D7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Ввиду отсутствия необходимых условий для испытания высотного самолета в условиях Вашего завода, выполнить приказ Народного Комиссара о проведении летных испытаний на заводе № 81.</w:t>
      </w:r>
    </w:p>
    <w:p w14:paraId="539FFF5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Принять меры к быстрейшему проведению улучшений самолета по винтомоторной группе и выделить ведущего инаенера по самолету, освобожденного от всех других обязанностей.</w:t>
      </w:r>
    </w:p>
    <w:p w14:paraId="3C12C10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Произвести тарировку измерительной аппаратуры, т.к. приборы, применяемые Вашей летной станцией, недостаточно точно тарируются и допускаются ошибки, непозволяющие судить с результатах полета (например: ошибочные, покавания термо</w:t>
      </w:r>
      <w:r w:rsidRPr="007224C3">
        <w:rPr>
          <w:rFonts w:ascii="Times New Roman" w:hAnsi="Times New Roman"/>
          <w:color w:val="000000" w:themeColor="text1"/>
          <w:sz w:val="16"/>
          <w:szCs w:val="16"/>
        </w:rPr>
        <w:softHyphen/>
        <w:t>пар до 100 гр.)</w:t>
      </w:r>
    </w:p>
    <w:p w14:paraId="368349D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Упорядочить представление ежедневных рапортов о ходе работ, т.к. представление сводки для доклада Народному Ксмиссаоу производятся Вами нерегулярно и содержание их не дает полного представления с результатах полета и состояниия материальной части (1825).</w:t>
      </w:r>
    </w:p>
    <w:p w14:paraId="65B5587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910658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июня 1944 года в статье "Конструктор и война", опубликованной в газете "Правда", А.С. Яковлев писал: "Не забуду высказывания товарища Сталина &lt;...&gt;:</w:t>
      </w:r>
    </w:p>
    <w:p w14:paraId="0514267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Улучшать конструкцию - хорошо, но сейчас нам важно максимально увеличить выпуск машин. Конструктор заинтересован все время в том, чтобы улучшать машины, но делать это надо с умом - иначе можно и завод замучить, и фронт замучить...</w:t>
      </w:r>
    </w:p>
    <w:p w14:paraId="71147A1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Тут прямое указание товарища Сталина: тот не конструктор, кто не знает технологии" (12047).</w:t>
      </w:r>
    </w:p>
    <w:p w14:paraId="399BF26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EAE7E8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ночь на 28 июня 1944 г. гвардии капитана Крапивы (27-й Гвардейский авиаполк авиации дальнего действия) был произведен вылет на боевое задание на самолете А-20С с установкой АКАБ, цель — аэродром Барановичи. Придя на цель, на высоте 1300 футов ясно видел на аэродроме бетонную дорожку, стартовые огни и стоявшие на старте самолеты. На высоте 1000 футов и скорости 270 миль/ч с углом прицелива</w:t>
      </w:r>
      <w:r w:rsidRPr="007224C3">
        <w:rPr>
          <w:rFonts w:ascii="Times New Roman" w:hAnsi="Times New Roman"/>
          <w:color w:val="000000" w:themeColor="text1"/>
          <w:sz w:val="16"/>
          <w:szCs w:val="16"/>
        </w:rPr>
        <w:softHyphen/>
        <w:t>ния 18° я зашел на стоянку самолетов и открыл поливной огонь. Л и экипажу самолета было ясно видно, как на земле загорелись два самолета и произошел взрыв небольшой силы. Сделав разворот На 180°, л пошел на вторую атаку по горящим самолетам, но не ус</w:t>
      </w:r>
      <w:r w:rsidRPr="007224C3">
        <w:rPr>
          <w:rFonts w:ascii="Times New Roman" w:hAnsi="Times New Roman"/>
          <w:color w:val="000000" w:themeColor="text1"/>
          <w:sz w:val="16"/>
          <w:szCs w:val="16"/>
        </w:rPr>
        <w:softHyphen/>
        <w:t>пел открыть огонь, как был подбит МЗА... В момент штурмовки над целью находились другие наши самолеты, по которым вела огонь МЗА, но как только л открыл огонь и на земле загорелись два самолета, вся МЗА перенесла огонь на него». Контролировавший вылет командир эскадрильи гвардии майор Макарочкин отметил, что шедший в атаку «Бостон» освещали вспышки пламени из стволов батареи. Видимо, это и привлекло внимание зенитчиков. На самолете Крапивы были повреждены носовая часть и оперение, но больше всего пострадала АКАБ — были разбиты электромотор и приводы ходовой части. «Бостон», отличавшийся хорошей живучес</w:t>
      </w:r>
      <w:r w:rsidRPr="007224C3">
        <w:rPr>
          <w:rFonts w:ascii="Times New Roman" w:hAnsi="Times New Roman"/>
          <w:color w:val="000000" w:themeColor="text1"/>
          <w:sz w:val="16"/>
          <w:szCs w:val="16"/>
        </w:rPr>
        <w:softHyphen/>
        <w:t>тью, дотянул до своего аэродрома и благополучно сел, хотя шасси пришлось выпускать вручную, так как была перебита гидросистема. Главком авиации дальнего действия маршал авиации А.Е. Голо</w:t>
      </w:r>
      <w:r w:rsidRPr="007224C3">
        <w:rPr>
          <w:rFonts w:ascii="Times New Roman" w:hAnsi="Times New Roman"/>
          <w:color w:val="000000" w:themeColor="text1"/>
          <w:sz w:val="16"/>
          <w:szCs w:val="16"/>
        </w:rPr>
        <w:softHyphen/>
        <w:t>ванов дал «добро» АКАБ, подписав отчет об испытаниях с резолю</w:t>
      </w:r>
      <w:r w:rsidRPr="007224C3">
        <w:rPr>
          <w:rFonts w:ascii="Times New Roman" w:hAnsi="Times New Roman"/>
          <w:color w:val="000000" w:themeColor="text1"/>
          <w:sz w:val="16"/>
          <w:szCs w:val="16"/>
        </w:rPr>
        <w:softHyphen/>
        <w:t>цией: «АКАБ, как новый вид авиационного оружия, может быть использован в АДД для вооружения самолетов А-20С». Подвижными установками оборудовали шесть «Бостонов», но об их дальнейшем применении известно мало. Самолеты с АКАБ предполагали использовать, помимо блокировки аэродро</w:t>
      </w:r>
      <w:r w:rsidRPr="007224C3">
        <w:rPr>
          <w:rFonts w:ascii="Times New Roman" w:hAnsi="Times New Roman"/>
          <w:color w:val="000000" w:themeColor="text1"/>
          <w:sz w:val="16"/>
          <w:szCs w:val="16"/>
        </w:rPr>
        <w:softHyphen/>
        <w:t>мов, для охоты за железнодорожными эшелонами на перегонах, атак переправ и колонн транспорта — протяженных и идеальных для АКАБ (10695).</w:t>
      </w:r>
    </w:p>
    <w:p w14:paraId="7738F49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F0BD56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июня 1944 Нч. Научной группы лаборатории № 1 ЦАГИ М.Л.Миль писал на запрос ГМЦ ВМФ СССР о возможности создания в СССР аппарата, подобного оригинальному змею-автожиру Fa 330 “Bachsteize” (“Трясогузка”).</w:t>
      </w:r>
    </w:p>
    <w:p w14:paraId="640722E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ваш запрос по поводу подъемного наблюдательного пункта для л/л и кораблей, описанного в информационном сообщении № 52 РУ ГМШ ВМФ сообщаю:</w:t>
      </w:r>
    </w:p>
    <w:p w14:paraId="00D2677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Подъемный наблюдательный пункт типа автожира, поднимаемый с п/л или корабля во время хода и при наличии встречного ветра может быть практически осуществлен при малом весе и габаритах.</w:t>
      </w:r>
    </w:p>
    <w:p w14:paraId="22D6E8A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 аппарата с тросом длиной 150 м может составить всего 250 кг и полетный - порядка 330 кг. При трехлопастном роторе диаметром 8,0 м это позволит аппарату держаться на высоте 100 м при относительной скорости 30-35 км/час.</w:t>
      </w:r>
    </w:p>
    <w:p w14:paraId="29A8855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Конструктивно аппарат может быть сделан весьма просто. Втулка ротора состоит из 2-х обычных подшипников, лопасти имеют стальной лонжерон и деревянное покрытие, кабина пилота деревянная.</w:t>
      </w:r>
    </w:p>
    <w:p w14:paraId="4110602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Ротор отсоединяется вместе с кабаном, крепящимся 3-мя болтами и лопасти складываются по типу зонтика.</w:t>
      </w:r>
    </w:p>
    <w:p w14:paraId="2C460FA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Нач. ЦАГИ Остославский</w:t>
      </w:r>
    </w:p>
    <w:p w14:paraId="16D23F8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 научной группы лаборатории № 1 Миль</w:t>
      </w:r>
    </w:p>
    <w:p w14:paraId="1ADCB03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28.06.44 г.” (6470, 19).</w:t>
      </w:r>
    </w:p>
    <w:p w14:paraId="1F60ACA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CB9259" w14:textId="77777777" w:rsidR="00805131" w:rsidRPr="007224C3" w:rsidRDefault="0080513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июня 1944 начальник научной группы лаборатории № 1 ЦАГИ М. Л. Миль написал ответ (в 1944 г. ГМШ ВМФ СССР запросил ЦАГИ дать информацию о возможности создания в СССР аппарата, подобного немецкому змею-автожиру Fa 330): «На ваш запрос по поводу подъемного наблюдательного пункта для л/л и кораблей, описанного в информационном сообщении № 52 РУ ГМШ ВМФ сообщаю: Подъемный наблюдательный пункт типа автожира, поднимаемый с п/л или корабля во время хода и при наличии встречного ветра может быть практически осуществлен при малом весе и габаритах. Вес аппарата с тросом длиной 150 м может составить всего 250 кг и полетный — порядка 330 кг. При трехлопастном роторе диаметром 8.0 м это позволит аппарату держаться на высоте 100 м при относительной скорости 30—35 км/час. Конструктивно аппарат может быть сделан весьма просто. Втулка ротора состоит из 2-х обычных подшипников, лопасти имеют стальной лонжерон и деревянное покрытие, кабина пилота деревянная. Ротор отсоединяется вместе с кабаном, крепящимся 3-мя болтами и лопасти складываются по типу зонтика» (19727).</w:t>
      </w:r>
    </w:p>
    <w:p w14:paraId="4EBA55D2" w14:textId="77777777" w:rsidR="00805131" w:rsidRPr="007224C3" w:rsidRDefault="00805131" w:rsidP="007224C3">
      <w:pPr>
        <w:spacing w:after="0" w:line="240" w:lineRule="auto"/>
        <w:jc w:val="both"/>
        <w:rPr>
          <w:rFonts w:ascii="Times New Roman" w:hAnsi="Times New Roman"/>
          <w:color w:val="000000" w:themeColor="text1"/>
          <w:sz w:val="16"/>
          <w:szCs w:val="16"/>
        </w:rPr>
      </w:pPr>
    </w:p>
    <w:p w14:paraId="5D7B2BEF"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5951571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0865948"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июня 1944 года вышел приказ № 356с НКБ</w:t>
      </w:r>
    </w:p>
    <w:p w14:paraId="5D1BEFC7"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 605 НКБ передать 7 Гл. Управлению (5818, 20).</w:t>
      </w:r>
    </w:p>
    <w:p w14:paraId="13CA9038"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D0B6F8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июня 1944 года на АНИОПе закончились испытания второго опытного образца артсамохода СУ-100, которые проходили с 24 июня. После проведения стрельбы в количестве 923 выстрела и пробега на 250 км государственная комиссия признала, что "тактико-технические показатели СУ-100 обеспечивают успешное поражение современных бронетанковых средств противника на дистанциях 1500 м для танков "Тигр" и "Пантера" вне зависимости от точки попадания снаряда, а для артсамохода "Фердинанд" только при попадании в бортовую броню, но с дистанции 2000 м" (9637).</w:t>
      </w:r>
    </w:p>
    <w:p w14:paraId="1AC2C7A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D71B57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июня 1944 г. было подготовлено СООБЩЕНИЕ НАЧАЛЬНИКА УСА ГБТУ КА КОМЕНДАНТУ КРЕМЛЯ ПО ВОПРОСУ ПОКАЗА ИМПОРТНЫХ БОЕВЫХ МАШИН ПРАВИТЕЛЬСТВУ № 556440</w:t>
      </w:r>
    </w:p>
    <w:p w14:paraId="4E4C979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показа импортных боевых машин правительству в Кремль будут доставлены:</w:t>
      </w:r>
    </w:p>
    <w:p w14:paraId="6B60362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2 мостовых танка МК-1Н «Валентин» №1121883 и №7559908.</w:t>
      </w:r>
    </w:p>
    <w:p w14:paraId="650A35C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Строенная самоходная зенитная установка М-15-А1 №40150425.</w:t>
      </w:r>
    </w:p>
    <w:p w14:paraId="53BE1BB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Счетверенная самоходная зенитная установка М-17 №40175919. Сообщаю список экипажей для обслуживания этих машин при показе.</w:t>
      </w:r>
    </w:p>
    <w:p w14:paraId="3F3AF29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Приложение: Список личного состава, обслуживающего мостовые танки «Валентин» и само</w:t>
      </w:r>
      <w:r w:rsidRPr="007224C3">
        <w:rPr>
          <w:rFonts w:ascii="Times New Roman" w:hAnsi="Times New Roman"/>
          <w:color w:val="000000" w:themeColor="text1"/>
          <w:sz w:val="16"/>
          <w:szCs w:val="16"/>
        </w:rPr>
        <w:softHyphen/>
        <w:t>ходные зенитные установки М-15-А1 и М-17, предназначенные для показа</w:t>
      </w:r>
      <w:r w:rsidRPr="007224C3">
        <w:rPr>
          <w:rFonts w:ascii="Times New Roman" w:hAnsi="Times New Roman"/>
          <w:color w:val="000000" w:themeColor="text1"/>
          <w:sz w:val="16"/>
          <w:szCs w:val="16"/>
          <w:vertAlign w:val="superscript"/>
        </w:rPr>
        <w:t>1</w:t>
      </w:r>
      <w:r w:rsidRPr="007224C3">
        <w:rPr>
          <w:rFonts w:ascii="Times New Roman" w:hAnsi="Times New Roman"/>
          <w:color w:val="000000" w:themeColor="text1"/>
          <w:sz w:val="16"/>
          <w:szCs w:val="16"/>
        </w:rPr>
        <w:t>.</w:t>
      </w:r>
    </w:p>
    <w:p w14:paraId="53791E9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УСА ГБТУ КА генерал-майор инженерно-танковой службы Алымов</w:t>
      </w:r>
    </w:p>
    <w:p w14:paraId="68964B6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38. Оп. 11369. Д. 402. Л. 12. Копия (11420).</w:t>
      </w:r>
    </w:p>
    <w:p w14:paraId="68D6DCF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5E8054A" w14:textId="77777777" w:rsidR="000F083A" w:rsidRPr="007224C3" w:rsidRDefault="000F083A" w:rsidP="007224C3">
      <w:pPr>
        <w:pStyle w:val="a3"/>
        <w:rPr>
          <w:color w:val="000000" w:themeColor="text1"/>
          <w:lang w:val="ru-RU"/>
        </w:rPr>
      </w:pPr>
      <w:r w:rsidRPr="007224C3">
        <w:rPr>
          <w:color w:val="000000" w:themeColor="text1"/>
          <w:lang w:val="ru-RU"/>
        </w:rPr>
        <w:t>28 июня 1944 г. в рапорте наркому В.Л. Малышеву, подписанном директором за</w:t>
      </w:r>
      <w:r w:rsidRPr="007224C3">
        <w:rPr>
          <w:color w:val="000000" w:themeColor="text1"/>
          <w:lang w:val="ru-RU"/>
        </w:rPr>
        <w:softHyphen/>
        <w:t>вода № 75 Н.В. Барыковым и главным инженером П.М. Кривичем говорилось:</w:t>
      </w:r>
    </w:p>
    <w:p w14:paraId="011FB0A4" w14:textId="77777777" w:rsidR="000F083A" w:rsidRPr="007224C3" w:rsidRDefault="000F083A" w:rsidP="007224C3">
      <w:pPr>
        <w:pStyle w:val="1010"/>
        <w:shd w:val="clear" w:color="auto" w:fill="auto"/>
        <w:spacing w:line="240" w:lineRule="auto"/>
        <w:ind w:firstLine="0"/>
        <w:rPr>
          <w:rFonts w:ascii="Times New Roman" w:hAnsi="Times New Roman" w:cs="Times New Roman"/>
          <w:i w:val="0"/>
          <w:color w:val="000000" w:themeColor="text1"/>
          <w:sz w:val="16"/>
          <w:szCs w:val="16"/>
        </w:rPr>
      </w:pPr>
      <w:r w:rsidRPr="007224C3">
        <w:rPr>
          <w:rFonts w:ascii="Times New Roman" w:hAnsi="Times New Roman" w:cs="Times New Roman"/>
          <w:i w:val="0"/>
          <w:color w:val="000000" w:themeColor="text1"/>
          <w:sz w:val="16"/>
          <w:szCs w:val="16"/>
        </w:rPr>
        <w:t>«Опыт старых кадровиков завода и рабо</w:t>
      </w:r>
      <w:r w:rsidRPr="007224C3">
        <w:rPr>
          <w:rFonts w:ascii="Times New Roman" w:hAnsi="Times New Roman" w:cs="Times New Roman"/>
          <w:i w:val="0"/>
          <w:color w:val="000000" w:themeColor="text1"/>
          <w:sz w:val="16"/>
          <w:szCs w:val="16"/>
        </w:rPr>
        <w:softHyphen/>
        <w:t>чая смекалка, сочетаясь с творческой помо</w:t>
      </w:r>
      <w:r w:rsidRPr="007224C3">
        <w:rPr>
          <w:rFonts w:ascii="Times New Roman" w:hAnsi="Times New Roman" w:cs="Times New Roman"/>
          <w:i w:val="0"/>
          <w:color w:val="000000" w:themeColor="text1"/>
          <w:sz w:val="16"/>
          <w:szCs w:val="16"/>
        </w:rPr>
        <w:softHyphen/>
        <w:t>щью конструкторов и технологов, обеспечили решение таких сложных проблем (для вос</w:t>
      </w:r>
      <w:r w:rsidRPr="007224C3">
        <w:rPr>
          <w:rFonts w:ascii="Times New Roman" w:hAnsi="Times New Roman" w:cs="Times New Roman"/>
          <w:i w:val="0"/>
          <w:color w:val="000000" w:themeColor="text1"/>
          <w:sz w:val="16"/>
          <w:szCs w:val="16"/>
        </w:rPr>
        <w:softHyphen/>
        <w:t>станавливаемого завода}, как изготовление сложного фасонного литья, тяжелых поковок, при отсутствии достаточного и мощного куз</w:t>
      </w:r>
      <w:r w:rsidRPr="007224C3">
        <w:rPr>
          <w:rFonts w:ascii="Times New Roman" w:hAnsi="Times New Roman" w:cs="Times New Roman"/>
          <w:i w:val="0"/>
          <w:color w:val="000000" w:themeColor="text1"/>
          <w:sz w:val="16"/>
          <w:szCs w:val="16"/>
        </w:rPr>
        <w:softHyphen/>
        <w:t>нечного оборудования, сложных протяжек, спиральных фрез, долбяков и другого инстру</w:t>
      </w:r>
      <w:r w:rsidRPr="007224C3">
        <w:rPr>
          <w:rFonts w:ascii="Times New Roman" w:hAnsi="Times New Roman" w:cs="Times New Roman"/>
          <w:i w:val="0"/>
          <w:color w:val="000000" w:themeColor="text1"/>
          <w:sz w:val="16"/>
          <w:szCs w:val="16"/>
        </w:rPr>
        <w:softHyphen/>
        <w:t>мента. Решение задачи усложнялось при этом тем, что завод не имел комплексного станоч</w:t>
      </w:r>
      <w:r w:rsidRPr="007224C3">
        <w:rPr>
          <w:rFonts w:ascii="Times New Roman" w:hAnsi="Times New Roman" w:cs="Times New Roman"/>
          <w:i w:val="0"/>
          <w:color w:val="000000" w:themeColor="text1"/>
          <w:sz w:val="16"/>
          <w:szCs w:val="16"/>
        </w:rPr>
        <w:softHyphen/>
        <w:t>ного оборудования и материалов».</w:t>
      </w:r>
    </w:p>
    <w:p w14:paraId="37C8455E" w14:textId="77777777" w:rsidR="000F083A" w:rsidRPr="007224C3" w:rsidRDefault="000F083A" w:rsidP="007224C3">
      <w:pPr>
        <w:pStyle w:val="1010"/>
        <w:shd w:val="clear" w:color="auto" w:fill="auto"/>
        <w:spacing w:line="240" w:lineRule="auto"/>
        <w:ind w:firstLine="0"/>
        <w:rPr>
          <w:rFonts w:ascii="Times New Roman" w:hAnsi="Times New Roman" w:cs="Times New Roman"/>
          <w:i w:val="0"/>
          <w:color w:val="000000" w:themeColor="text1"/>
          <w:sz w:val="16"/>
          <w:szCs w:val="16"/>
        </w:rPr>
      </w:pPr>
      <w:r w:rsidRPr="007224C3">
        <w:rPr>
          <w:rFonts w:ascii="Times New Roman" w:hAnsi="Times New Roman" w:cs="Times New Roman"/>
          <w:i w:val="0"/>
          <w:color w:val="000000" w:themeColor="text1"/>
          <w:sz w:val="16"/>
          <w:szCs w:val="16"/>
        </w:rPr>
        <w:t>Металлурги и кузнецы обеспечили изго</w:t>
      </w:r>
      <w:r w:rsidRPr="007224C3">
        <w:rPr>
          <w:rFonts w:ascii="Times New Roman" w:hAnsi="Times New Roman" w:cs="Times New Roman"/>
          <w:i w:val="0"/>
          <w:color w:val="000000" w:themeColor="text1"/>
          <w:sz w:val="16"/>
          <w:szCs w:val="16"/>
        </w:rPr>
        <w:softHyphen/>
        <w:t>товление полной номенклатуры литья и заго</w:t>
      </w:r>
      <w:r w:rsidRPr="007224C3">
        <w:rPr>
          <w:rFonts w:ascii="Times New Roman" w:hAnsi="Times New Roman" w:cs="Times New Roman"/>
          <w:i w:val="0"/>
          <w:color w:val="000000" w:themeColor="text1"/>
          <w:sz w:val="16"/>
          <w:szCs w:val="16"/>
        </w:rPr>
        <w:softHyphen/>
        <w:t>товок. Поковки, требовавшие для своего</w:t>
      </w:r>
      <w:r w:rsidRPr="007224C3">
        <w:rPr>
          <w:rStyle w:val="106"/>
          <w:rFonts w:ascii="Times New Roman" w:eastAsia="Arial Unicode MS" w:hAnsi="Times New Roman" w:cs="Times New Roman"/>
          <w:color w:val="000000" w:themeColor="text1"/>
          <w:sz w:val="16"/>
          <w:szCs w:val="16"/>
        </w:rPr>
        <w:t xml:space="preserve"> из</w:t>
      </w:r>
      <w:r w:rsidRPr="007224C3">
        <w:rPr>
          <w:rStyle w:val="106"/>
          <w:rFonts w:ascii="Times New Roman" w:eastAsia="Arial Unicode MS" w:hAnsi="Times New Roman" w:cs="Times New Roman"/>
          <w:color w:val="000000" w:themeColor="text1"/>
          <w:sz w:val="16"/>
          <w:szCs w:val="16"/>
        </w:rPr>
        <w:softHyphen/>
      </w:r>
      <w:r w:rsidRPr="007224C3">
        <w:rPr>
          <w:rFonts w:ascii="Times New Roman" w:hAnsi="Times New Roman" w:cs="Times New Roman"/>
          <w:i w:val="0"/>
          <w:color w:val="000000" w:themeColor="text1"/>
          <w:sz w:val="16"/>
          <w:szCs w:val="16"/>
        </w:rPr>
        <w:t>готовления мощных молотов, до</w:t>
      </w:r>
      <w:r w:rsidRPr="007224C3">
        <w:rPr>
          <w:rStyle w:val="106"/>
          <w:rFonts w:ascii="Times New Roman" w:eastAsia="Arial Unicode MS" w:hAnsi="Times New Roman" w:cs="Times New Roman"/>
          <w:color w:val="000000" w:themeColor="text1"/>
          <w:sz w:val="16"/>
          <w:szCs w:val="16"/>
        </w:rPr>
        <w:t xml:space="preserve"> 6 </w:t>
      </w:r>
      <w:r w:rsidRPr="007224C3">
        <w:rPr>
          <w:rStyle w:val="106"/>
          <w:rFonts w:ascii="Times New Roman" w:eastAsia="Arial Unicode MS" w:hAnsi="Times New Roman" w:cs="Times New Roman"/>
          <w:b w:val="0"/>
          <w:color w:val="000000" w:themeColor="text1"/>
          <w:sz w:val="16"/>
          <w:szCs w:val="16"/>
        </w:rPr>
        <w:t xml:space="preserve">тонн, были </w:t>
      </w:r>
      <w:r w:rsidRPr="007224C3">
        <w:rPr>
          <w:rFonts w:ascii="Times New Roman" w:hAnsi="Times New Roman" w:cs="Times New Roman"/>
          <w:i w:val="0"/>
          <w:color w:val="000000" w:themeColor="text1"/>
          <w:sz w:val="16"/>
          <w:szCs w:val="16"/>
        </w:rPr>
        <w:t>изготовлены на восстановленном</w:t>
      </w:r>
      <w:r w:rsidRPr="007224C3">
        <w:rPr>
          <w:rStyle w:val="106"/>
          <w:rFonts w:ascii="Times New Roman" w:eastAsia="Arial Unicode MS" w:hAnsi="Times New Roman" w:cs="Times New Roman"/>
          <w:b w:val="0"/>
          <w:color w:val="000000" w:themeColor="text1"/>
          <w:sz w:val="16"/>
          <w:szCs w:val="16"/>
        </w:rPr>
        <w:t xml:space="preserve"> заводом </w:t>
      </w:r>
      <w:r w:rsidRPr="007224C3">
        <w:rPr>
          <w:rFonts w:ascii="Times New Roman" w:hAnsi="Times New Roman" w:cs="Times New Roman"/>
          <w:i w:val="0"/>
          <w:color w:val="000000" w:themeColor="text1"/>
          <w:sz w:val="16"/>
          <w:szCs w:val="16"/>
        </w:rPr>
        <w:t>2-тонном молоте.</w:t>
      </w:r>
    </w:p>
    <w:p w14:paraId="1919ED0F" w14:textId="77777777" w:rsidR="000F083A" w:rsidRPr="007224C3" w:rsidRDefault="000F083A" w:rsidP="007224C3">
      <w:pPr>
        <w:pStyle w:val="1010"/>
        <w:shd w:val="clear" w:color="auto" w:fill="auto"/>
        <w:spacing w:line="240" w:lineRule="auto"/>
        <w:ind w:firstLine="0"/>
        <w:rPr>
          <w:rFonts w:ascii="Times New Roman" w:hAnsi="Times New Roman" w:cs="Times New Roman"/>
          <w:i w:val="0"/>
          <w:color w:val="000000" w:themeColor="text1"/>
          <w:sz w:val="16"/>
          <w:szCs w:val="16"/>
        </w:rPr>
      </w:pPr>
      <w:r w:rsidRPr="007224C3">
        <w:rPr>
          <w:rFonts w:ascii="Times New Roman" w:hAnsi="Times New Roman" w:cs="Times New Roman"/>
          <w:i w:val="0"/>
          <w:color w:val="000000" w:themeColor="text1"/>
          <w:sz w:val="16"/>
          <w:szCs w:val="16"/>
        </w:rPr>
        <w:t>Котельщики и сварщики,</w:t>
      </w:r>
      <w:r w:rsidRPr="007224C3">
        <w:rPr>
          <w:rStyle w:val="106"/>
          <w:rFonts w:ascii="Times New Roman" w:eastAsia="Arial Unicode MS" w:hAnsi="Times New Roman" w:cs="Times New Roman"/>
          <w:b w:val="0"/>
          <w:color w:val="000000" w:themeColor="text1"/>
          <w:sz w:val="16"/>
          <w:szCs w:val="16"/>
        </w:rPr>
        <w:t xml:space="preserve"> имея</w:t>
      </w:r>
      <w:r w:rsidRPr="007224C3">
        <w:rPr>
          <w:rFonts w:ascii="Times New Roman" w:hAnsi="Times New Roman" w:cs="Times New Roman"/>
          <w:i w:val="0"/>
          <w:color w:val="000000" w:themeColor="text1"/>
          <w:sz w:val="16"/>
          <w:szCs w:val="16"/>
        </w:rPr>
        <w:t xml:space="preserve"> в</w:t>
      </w:r>
      <w:r w:rsidRPr="007224C3">
        <w:rPr>
          <w:rStyle w:val="106"/>
          <w:rFonts w:ascii="Times New Roman" w:eastAsia="Arial Unicode MS" w:hAnsi="Times New Roman" w:cs="Times New Roman"/>
          <w:b w:val="0"/>
          <w:color w:val="000000" w:themeColor="text1"/>
          <w:sz w:val="16"/>
          <w:szCs w:val="16"/>
        </w:rPr>
        <w:t xml:space="preserve"> своем</w:t>
      </w:r>
      <w:r w:rsidRPr="007224C3">
        <w:rPr>
          <w:rFonts w:ascii="Times New Roman" w:hAnsi="Times New Roman" w:cs="Times New Roman"/>
          <w:i w:val="0"/>
          <w:color w:val="000000" w:themeColor="text1"/>
          <w:sz w:val="16"/>
          <w:szCs w:val="16"/>
        </w:rPr>
        <w:t>распоряжении только сверлильный станок, пользуясь примитивными приспособлениями (шаблоны, оправки, зубило, молоток), обе</w:t>
      </w:r>
      <w:r w:rsidRPr="007224C3">
        <w:rPr>
          <w:rFonts w:ascii="Times New Roman" w:hAnsi="Times New Roman" w:cs="Times New Roman"/>
          <w:i w:val="0"/>
          <w:color w:val="000000" w:themeColor="text1"/>
          <w:sz w:val="16"/>
          <w:szCs w:val="16"/>
        </w:rPr>
        <w:softHyphen/>
        <w:t xml:space="preserve">спечили изготовление сложных и фигурных </w:t>
      </w:r>
      <w:r w:rsidRPr="007224C3">
        <w:rPr>
          <w:rStyle w:val="1015"/>
          <w:rFonts w:ascii="Times New Roman" w:eastAsia="Arial Unicode MS" w:hAnsi="Times New Roman" w:cs="Times New Roman"/>
          <w:i w:val="0"/>
          <w:iCs w:val="0"/>
          <w:color w:val="000000" w:themeColor="text1"/>
          <w:sz w:val="16"/>
          <w:szCs w:val="16"/>
        </w:rPr>
        <w:t>заготовок рамы</w:t>
      </w:r>
      <w:r w:rsidRPr="007224C3">
        <w:rPr>
          <w:rFonts w:ascii="Times New Roman" w:hAnsi="Times New Roman" w:cs="Times New Roman"/>
          <w:i w:val="0"/>
          <w:color w:val="000000" w:themeColor="text1"/>
          <w:sz w:val="16"/>
          <w:szCs w:val="16"/>
        </w:rPr>
        <w:t xml:space="preserve"> арттргача. Стенд для сбор</w:t>
      </w:r>
      <w:r w:rsidRPr="007224C3">
        <w:rPr>
          <w:rFonts w:ascii="Times New Roman" w:hAnsi="Times New Roman" w:cs="Times New Roman"/>
          <w:i w:val="0"/>
          <w:color w:val="000000" w:themeColor="text1"/>
          <w:sz w:val="16"/>
          <w:szCs w:val="16"/>
        </w:rPr>
        <w:softHyphen/>
        <w:t>ки и сварки рамы, запроектированный и из</w:t>
      </w:r>
      <w:r w:rsidRPr="007224C3">
        <w:rPr>
          <w:rFonts w:ascii="Times New Roman" w:hAnsi="Times New Roman" w:cs="Times New Roman"/>
          <w:i w:val="0"/>
          <w:color w:val="000000" w:themeColor="text1"/>
          <w:sz w:val="16"/>
          <w:szCs w:val="16"/>
        </w:rPr>
        <w:softHyphen/>
        <w:t xml:space="preserve">готовленный при непосредственном участии </w:t>
      </w:r>
      <w:r w:rsidRPr="007224C3">
        <w:rPr>
          <w:rStyle w:val="1015"/>
          <w:rFonts w:ascii="Times New Roman" w:eastAsia="Arial Unicode MS" w:hAnsi="Times New Roman" w:cs="Times New Roman"/>
          <w:i w:val="0"/>
          <w:iCs w:val="0"/>
          <w:color w:val="000000" w:themeColor="text1"/>
          <w:sz w:val="16"/>
          <w:szCs w:val="16"/>
        </w:rPr>
        <w:t>сварщиков,</w:t>
      </w:r>
      <w:r w:rsidRPr="007224C3">
        <w:rPr>
          <w:rFonts w:ascii="Times New Roman" w:hAnsi="Times New Roman" w:cs="Times New Roman"/>
          <w:i w:val="0"/>
          <w:color w:val="000000" w:themeColor="text1"/>
          <w:sz w:val="16"/>
          <w:szCs w:val="16"/>
        </w:rPr>
        <w:t xml:space="preserve"> конструкторов и технологов, обеспечил высокое качество изготовленных корпусов.</w:t>
      </w:r>
    </w:p>
    <w:p w14:paraId="12A82973" w14:textId="77777777" w:rsidR="000F083A" w:rsidRPr="007224C3" w:rsidRDefault="000F083A" w:rsidP="007224C3">
      <w:pPr>
        <w:pStyle w:val="1010"/>
        <w:shd w:val="clear" w:color="auto" w:fill="auto"/>
        <w:spacing w:line="240" w:lineRule="auto"/>
        <w:ind w:firstLine="0"/>
        <w:rPr>
          <w:rFonts w:ascii="Times New Roman" w:hAnsi="Times New Roman" w:cs="Times New Roman"/>
          <w:i w:val="0"/>
          <w:color w:val="000000" w:themeColor="text1"/>
          <w:sz w:val="16"/>
          <w:szCs w:val="16"/>
        </w:rPr>
      </w:pPr>
      <w:r w:rsidRPr="007224C3">
        <w:rPr>
          <w:rFonts w:ascii="Times New Roman" w:hAnsi="Times New Roman" w:cs="Times New Roman"/>
          <w:i w:val="0"/>
          <w:color w:val="000000" w:themeColor="text1"/>
          <w:sz w:val="16"/>
          <w:szCs w:val="16"/>
        </w:rPr>
        <w:lastRenderedPageBreak/>
        <w:t>Инструментальщики, при весьма ограни</w:t>
      </w:r>
      <w:r w:rsidRPr="007224C3">
        <w:rPr>
          <w:rFonts w:ascii="Times New Roman" w:hAnsi="Times New Roman" w:cs="Times New Roman"/>
          <w:i w:val="0"/>
          <w:color w:val="000000" w:themeColor="text1"/>
          <w:sz w:val="16"/>
          <w:szCs w:val="16"/>
        </w:rPr>
        <w:softHyphen/>
        <w:t>ченных возможностях (отсутствие токарно- затыловочных и друг, специальных станков, отсутствие спец. термических печей и обору</w:t>
      </w:r>
      <w:r w:rsidRPr="007224C3">
        <w:rPr>
          <w:rFonts w:ascii="Times New Roman" w:hAnsi="Times New Roman" w:cs="Times New Roman"/>
          <w:i w:val="0"/>
          <w:color w:val="000000" w:themeColor="text1"/>
          <w:sz w:val="16"/>
          <w:szCs w:val="16"/>
        </w:rPr>
        <w:softHyphen/>
        <w:t>дования к ним), обеспечили механические и сборочные цеха инструментом и приспособле</w:t>
      </w:r>
      <w:r w:rsidRPr="007224C3">
        <w:rPr>
          <w:rFonts w:ascii="Times New Roman" w:hAnsi="Times New Roman" w:cs="Times New Roman"/>
          <w:i w:val="0"/>
          <w:color w:val="000000" w:themeColor="text1"/>
          <w:sz w:val="16"/>
          <w:szCs w:val="16"/>
        </w:rPr>
        <w:softHyphen/>
        <w:t>ниями: протяжки, фрезы, долбяки, кондуктора, штампы и др.</w:t>
      </w:r>
    </w:p>
    <w:p w14:paraId="584AE1D0" w14:textId="77777777" w:rsidR="000F083A" w:rsidRPr="007224C3" w:rsidRDefault="000F083A" w:rsidP="007224C3">
      <w:pPr>
        <w:pStyle w:val="1010"/>
        <w:shd w:val="clear" w:color="auto" w:fill="auto"/>
        <w:spacing w:line="240" w:lineRule="auto"/>
        <w:ind w:firstLine="0"/>
        <w:rPr>
          <w:rFonts w:ascii="Times New Roman" w:hAnsi="Times New Roman" w:cs="Times New Roman"/>
          <w:i w:val="0"/>
          <w:color w:val="000000" w:themeColor="text1"/>
          <w:sz w:val="16"/>
          <w:szCs w:val="16"/>
        </w:rPr>
      </w:pPr>
      <w:r w:rsidRPr="007224C3">
        <w:rPr>
          <w:rFonts w:ascii="Times New Roman" w:hAnsi="Times New Roman" w:cs="Times New Roman"/>
          <w:i w:val="0"/>
          <w:color w:val="000000" w:themeColor="text1"/>
          <w:sz w:val="16"/>
          <w:szCs w:val="16"/>
        </w:rPr>
        <w:t>Механические цеха с исключительно ак</w:t>
      </w:r>
      <w:r w:rsidRPr="007224C3">
        <w:rPr>
          <w:rFonts w:ascii="Times New Roman" w:hAnsi="Times New Roman" w:cs="Times New Roman"/>
          <w:i w:val="0"/>
          <w:color w:val="000000" w:themeColor="text1"/>
          <w:sz w:val="16"/>
          <w:szCs w:val="16"/>
        </w:rPr>
        <w:softHyphen/>
        <w:t>тивной помощью службы главного механика завода и отдела главного технолога завода, путем модернизации и оснастки специаль</w:t>
      </w:r>
      <w:r w:rsidRPr="007224C3">
        <w:rPr>
          <w:rFonts w:ascii="Times New Roman" w:hAnsi="Times New Roman" w:cs="Times New Roman"/>
          <w:i w:val="0"/>
          <w:color w:val="000000" w:themeColor="text1"/>
          <w:sz w:val="16"/>
          <w:szCs w:val="16"/>
        </w:rPr>
        <w:softHyphen/>
        <w:t>ными приспособлениями ограниченного, по номенклатуре, парка станков завода - обе</w:t>
      </w:r>
      <w:r w:rsidRPr="007224C3">
        <w:rPr>
          <w:rFonts w:ascii="Times New Roman" w:hAnsi="Times New Roman" w:cs="Times New Roman"/>
          <w:i w:val="0"/>
          <w:color w:val="000000" w:themeColor="text1"/>
          <w:sz w:val="16"/>
          <w:szCs w:val="16"/>
        </w:rPr>
        <w:softHyphen/>
        <w:t>спечили обработку всего комплекса деталей машины.</w:t>
      </w:r>
    </w:p>
    <w:p w14:paraId="4BC5DBE0" w14:textId="77777777" w:rsidR="000F083A" w:rsidRPr="007224C3" w:rsidRDefault="000F083A" w:rsidP="007224C3">
      <w:pPr>
        <w:pStyle w:val="1010"/>
        <w:shd w:val="clear" w:color="auto" w:fill="auto"/>
        <w:spacing w:line="240" w:lineRule="auto"/>
        <w:ind w:firstLine="0"/>
        <w:rPr>
          <w:rFonts w:ascii="Times New Roman" w:hAnsi="Times New Roman" w:cs="Times New Roman"/>
          <w:i w:val="0"/>
          <w:color w:val="000000" w:themeColor="text1"/>
          <w:sz w:val="16"/>
          <w:szCs w:val="16"/>
        </w:rPr>
      </w:pPr>
      <w:r w:rsidRPr="007224C3">
        <w:rPr>
          <w:rFonts w:ascii="Times New Roman" w:hAnsi="Times New Roman" w:cs="Times New Roman"/>
          <w:i w:val="0"/>
          <w:color w:val="000000" w:themeColor="text1"/>
          <w:sz w:val="16"/>
          <w:szCs w:val="16"/>
        </w:rPr>
        <w:t>Для протяжки таких деталей, как крон</w:t>
      </w:r>
      <w:r w:rsidRPr="007224C3">
        <w:rPr>
          <w:rFonts w:ascii="Times New Roman" w:hAnsi="Times New Roman" w:cs="Times New Roman"/>
          <w:i w:val="0"/>
          <w:color w:val="000000" w:themeColor="text1"/>
          <w:sz w:val="16"/>
          <w:szCs w:val="16"/>
        </w:rPr>
        <w:softHyphen/>
        <w:t>штейн торсионов, ось балансира и др., не</w:t>
      </w:r>
      <w:r w:rsidRPr="007224C3">
        <w:rPr>
          <w:rFonts w:ascii="Times New Roman" w:hAnsi="Times New Roman" w:cs="Times New Roman"/>
          <w:i w:val="0"/>
          <w:color w:val="000000" w:themeColor="text1"/>
          <w:sz w:val="16"/>
          <w:szCs w:val="16"/>
        </w:rPr>
        <w:softHyphen/>
        <w:t>обходим</w:t>
      </w:r>
      <w:r w:rsidRPr="007224C3">
        <w:rPr>
          <w:rStyle w:val="1015"/>
          <w:rFonts w:ascii="Times New Roman" w:eastAsia="Arial Unicode MS" w:hAnsi="Times New Roman" w:cs="Times New Roman"/>
          <w:i w:val="0"/>
          <w:iCs w:val="0"/>
          <w:color w:val="000000" w:themeColor="text1"/>
          <w:sz w:val="16"/>
          <w:szCs w:val="16"/>
        </w:rPr>
        <w:t xml:space="preserve"> мощный</w:t>
      </w:r>
      <w:r w:rsidRPr="007224C3">
        <w:rPr>
          <w:rFonts w:ascii="Times New Roman" w:hAnsi="Times New Roman" w:cs="Times New Roman"/>
          <w:i w:val="0"/>
          <w:color w:val="000000" w:themeColor="text1"/>
          <w:sz w:val="16"/>
          <w:szCs w:val="16"/>
        </w:rPr>
        <w:t xml:space="preserve"> протяжной</w:t>
      </w:r>
      <w:r w:rsidRPr="007224C3">
        <w:rPr>
          <w:rStyle w:val="1015"/>
          <w:rFonts w:ascii="Times New Roman" w:eastAsia="Arial Unicode MS" w:hAnsi="Times New Roman" w:cs="Times New Roman"/>
          <w:i w:val="0"/>
          <w:iCs w:val="0"/>
          <w:color w:val="000000" w:themeColor="text1"/>
          <w:sz w:val="16"/>
          <w:szCs w:val="16"/>
        </w:rPr>
        <w:t xml:space="preserve"> станок.</w:t>
      </w:r>
      <w:r w:rsidRPr="007224C3">
        <w:rPr>
          <w:rFonts w:ascii="Times New Roman" w:hAnsi="Times New Roman" w:cs="Times New Roman"/>
          <w:i w:val="0"/>
          <w:color w:val="000000" w:themeColor="text1"/>
          <w:sz w:val="16"/>
          <w:szCs w:val="16"/>
        </w:rPr>
        <w:t xml:space="preserve"> Так как протяжной станок на заводе (и в Харькове, в то время) отсутствовал, был восстановлен, мо</w:t>
      </w:r>
      <w:r w:rsidRPr="007224C3">
        <w:rPr>
          <w:rFonts w:ascii="Times New Roman" w:hAnsi="Times New Roman" w:cs="Times New Roman"/>
          <w:i w:val="0"/>
          <w:color w:val="000000" w:themeColor="text1"/>
          <w:sz w:val="16"/>
          <w:szCs w:val="16"/>
        </w:rPr>
        <w:softHyphen/>
        <w:t>дернизирован и приспособлен д/протягивания деталей волочильный станок.</w:t>
      </w:r>
    </w:p>
    <w:p w14:paraId="00910F20" w14:textId="77777777" w:rsidR="000F083A" w:rsidRPr="007224C3" w:rsidRDefault="000F083A" w:rsidP="007224C3">
      <w:pPr>
        <w:pStyle w:val="1010"/>
        <w:shd w:val="clear" w:color="auto" w:fill="auto"/>
        <w:spacing w:line="240" w:lineRule="auto"/>
        <w:ind w:firstLine="0"/>
        <w:rPr>
          <w:rFonts w:ascii="Times New Roman" w:hAnsi="Times New Roman" w:cs="Times New Roman"/>
          <w:i w:val="0"/>
          <w:color w:val="000000" w:themeColor="text1"/>
          <w:sz w:val="16"/>
          <w:szCs w:val="16"/>
        </w:rPr>
      </w:pPr>
      <w:r w:rsidRPr="007224C3">
        <w:rPr>
          <w:rFonts w:ascii="Times New Roman" w:hAnsi="Times New Roman" w:cs="Times New Roman"/>
          <w:i w:val="0"/>
          <w:color w:val="000000" w:themeColor="text1"/>
          <w:sz w:val="16"/>
          <w:szCs w:val="16"/>
        </w:rPr>
        <w:t>Так решены были вопросы и по целому ряду других деталей и узлов».</w:t>
      </w:r>
    </w:p>
    <w:p w14:paraId="57FDDD92" w14:textId="77777777" w:rsidR="000F083A" w:rsidRPr="007224C3" w:rsidRDefault="000F083A" w:rsidP="007224C3">
      <w:pPr>
        <w:pStyle w:val="a3"/>
        <w:rPr>
          <w:color w:val="000000" w:themeColor="text1"/>
          <w:lang w:val="ru-RU"/>
        </w:rPr>
      </w:pPr>
      <w:r w:rsidRPr="007224C3">
        <w:rPr>
          <w:color w:val="000000" w:themeColor="text1"/>
          <w:lang w:val="ru-RU"/>
        </w:rPr>
        <w:t>В целом ряде случаев возникшие вопросы решались оригинально и даже остроумно.</w:t>
      </w:r>
    </w:p>
    <w:p w14:paraId="412A048E" w14:textId="77777777" w:rsidR="000F083A" w:rsidRPr="007224C3" w:rsidRDefault="000F083A" w:rsidP="007224C3">
      <w:pPr>
        <w:pStyle w:val="1a"/>
        <w:shd w:val="clear" w:color="auto" w:fill="auto"/>
        <w:spacing w:line="240" w:lineRule="auto"/>
        <w:jc w:val="both"/>
        <w:rPr>
          <w:rFonts w:ascii="Times New Roman" w:hAnsi="Times New Roman" w:cs="Times New Roman"/>
          <w:b/>
          <w:color w:val="000000" w:themeColor="text1"/>
          <w:sz w:val="16"/>
          <w:szCs w:val="16"/>
          <w:lang w:val="ru-RU"/>
        </w:rPr>
      </w:pPr>
      <w:r w:rsidRPr="007224C3">
        <w:rPr>
          <w:rFonts w:ascii="Times New Roman" w:hAnsi="Times New Roman" w:cs="Times New Roman"/>
          <w:color w:val="000000" w:themeColor="text1"/>
          <w:sz w:val="16"/>
          <w:szCs w:val="16"/>
          <w:lang w:val="ru-RU"/>
        </w:rPr>
        <w:t>В таких условиях шло изготовление первых АТ-45 на заводе №75. Укладка оси опорного катка под запрессовку в нагретый балансир (слева). Обрубка деталей рамы по контуру при отсутствии на заводе пневматики и огнерезов производилась вручную (справа).</w:t>
      </w:r>
    </w:p>
    <w:p w14:paraId="03FD8AB7" w14:textId="77777777" w:rsidR="000F083A" w:rsidRPr="007224C3" w:rsidRDefault="000F083A" w:rsidP="007224C3">
      <w:pPr>
        <w:pStyle w:val="a3"/>
        <w:rPr>
          <w:color w:val="000000" w:themeColor="text1"/>
          <w:lang w:val="ru-RU"/>
        </w:rPr>
      </w:pPr>
      <w:r w:rsidRPr="007224C3">
        <w:rPr>
          <w:color w:val="000000" w:themeColor="text1"/>
          <w:lang w:val="ru-RU"/>
        </w:rPr>
        <w:t>Значительные трудности возникли при изготовлении массивных торсионных валов подвески АТ-45 (десять штук на машину), имевших большую длину (1906 мм), с треу</w:t>
      </w:r>
      <w:r w:rsidRPr="007224C3">
        <w:rPr>
          <w:color w:val="000000" w:themeColor="text1"/>
          <w:lang w:val="ru-RU"/>
        </w:rPr>
        <w:softHyphen/>
        <w:t xml:space="preserve">гольными шлицами на концах и требовавших наличия точных радиусов переходов от одного диаметра к другому. Изготовить заготовки для торсионов на заводе </w:t>
      </w:r>
      <w:r w:rsidRPr="007224C3">
        <w:rPr>
          <w:color w:val="000000" w:themeColor="text1"/>
        </w:rPr>
        <w:t>N</w:t>
      </w:r>
      <w:r w:rsidRPr="007224C3">
        <w:rPr>
          <w:color w:val="000000" w:themeColor="text1"/>
          <w:lang w:val="ru-RU"/>
        </w:rPr>
        <w:t>275 не представлялось возможным, но выход нашли в использовании торсионных валов от ремонтных танков КВ по</w:t>
      </w:r>
      <w:r w:rsidRPr="007224C3">
        <w:rPr>
          <w:color w:val="000000" w:themeColor="text1"/>
          <w:lang w:val="ru-RU"/>
        </w:rPr>
        <w:softHyphen/>
        <w:t>сле уменьшения их диаметра и укорачивания по длине,' приспособив для этих операций (с невероятными усилиями и смекалкой) име</w:t>
      </w:r>
      <w:r w:rsidRPr="007224C3">
        <w:rPr>
          <w:color w:val="000000" w:themeColor="text1"/>
          <w:lang w:val="ru-RU"/>
        </w:rPr>
        <w:softHyphen/>
        <w:t>ющиеся станки.</w:t>
      </w:r>
    </w:p>
    <w:p w14:paraId="30BF3AC4" w14:textId="77777777" w:rsidR="000F083A" w:rsidRPr="007224C3" w:rsidRDefault="000F083A" w:rsidP="007224C3">
      <w:pPr>
        <w:pStyle w:val="a3"/>
        <w:rPr>
          <w:color w:val="000000" w:themeColor="text1"/>
          <w:lang w:val="ru-RU"/>
        </w:rPr>
      </w:pPr>
      <w:r w:rsidRPr="007224C3">
        <w:rPr>
          <w:color w:val="000000" w:themeColor="text1"/>
          <w:lang w:val="ru-RU"/>
        </w:rPr>
        <w:t>Для протяжки отверстий в кронштейне торсиона и оси балайсира требовался мощный протяжной станок, которого не было ни на за</w:t>
      </w:r>
      <w:r w:rsidRPr="007224C3">
        <w:rPr>
          <w:color w:val="000000" w:themeColor="text1"/>
          <w:lang w:val="ru-RU"/>
        </w:rPr>
        <w:softHyphen/>
        <w:t>воде №75, ни на других заводах г. Харькова. Поэтому решили восстановить и модернизи</w:t>
      </w:r>
      <w:r w:rsidRPr="007224C3">
        <w:rPr>
          <w:color w:val="000000" w:themeColor="text1"/>
          <w:lang w:val="ru-RU"/>
        </w:rPr>
        <w:softHyphen/>
        <w:t>ровать имевшийся неисправный и неукомплек</w:t>
      </w:r>
      <w:r w:rsidRPr="007224C3">
        <w:rPr>
          <w:color w:val="000000" w:themeColor="text1"/>
          <w:lang w:val="ru-RU"/>
        </w:rPr>
        <w:softHyphen/>
        <w:t>тованный волочильный станок для холодной калибровки металла. В итоге удалось успешно обработать детали для первых машин.</w:t>
      </w:r>
    </w:p>
    <w:p w14:paraId="333E3218" w14:textId="77777777" w:rsidR="000F083A" w:rsidRPr="007224C3" w:rsidRDefault="000F083A" w:rsidP="007224C3">
      <w:pPr>
        <w:pStyle w:val="a3"/>
        <w:rPr>
          <w:color w:val="000000" w:themeColor="text1"/>
          <w:lang w:val="ru-RU"/>
        </w:rPr>
      </w:pPr>
      <w:r w:rsidRPr="007224C3">
        <w:rPr>
          <w:color w:val="000000" w:themeColor="text1"/>
          <w:lang w:val="ru-RU"/>
        </w:rPr>
        <w:t>Возникла проблема и с роликовыми под</w:t>
      </w:r>
      <w:r w:rsidRPr="007224C3">
        <w:rPr>
          <w:color w:val="000000" w:themeColor="text1"/>
          <w:lang w:val="ru-RU"/>
        </w:rPr>
        <w:softHyphen/>
        <w:t>шипниками (с витыми роликами), предусмо</w:t>
      </w:r>
      <w:r w:rsidRPr="007224C3">
        <w:rPr>
          <w:color w:val="000000" w:themeColor="text1"/>
          <w:lang w:val="ru-RU"/>
        </w:rPr>
        <w:softHyphen/>
        <w:t>тренными в механизме бортовой передачи тягача. Они были изготовлены Куйбышевским ГПХ и присланы на завод №75 в количестве десяти шт., т.е. только на пять машин. Шестой АТ-45 оказался неукомплектованным. При</w:t>
      </w:r>
      <w:r w:rsidRPr="007224C3">
        <w:rPr>
          <w:color w:val="000000" w:themeColor="text1"/>
          <w:lang w:val="ru-RU"/>
        </w:rPr>
        <w:softHyphen/>
        <w:t>шлось в спешном порядке разрабатывать кон</w:t>
      </w:r>
      <w:r w:rsidRPr="007224C3">
        <w:rPr>
          <w:color w:val="000000" w:themeColor="text1"/>
          <w:lang w:val="ru-RU"/>
        </w:rPr>
        <w:softHyphen/>
        <w:t>струкцию подшипника-заменителя, в котором витые ролики заменили на сплошные (15748).</w:t>
      </w:r>
    </w:p>
    <w:p w14:paraId="741481BB" w14:textId="77777777" w:rsidR="000F083A" w:rsidRPr="007224C3" w:rsidRDefault="000F083A" w:rsidP="007224C3">
      <w:pPr>
        <w:pStyle w:val="a3"/>
        <w:rPr>
          <w:color w:val="000000" w:themeColor="text1"/>
          <w:lang w:val="ru-RU"/>
        </w:rPr>
      </w:pPr>
    </w:p>
    <w:p w14:paraId="51C1D9EB"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14D1F74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608D9CD" w14:textId="77777777" w:rsidR="000F083A" w:rsidRPr="007224C3" w:rsidRDefault="000F08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28 июня</w:t>
      </w:r>
      <w:r w:rsidRPr="007224C3">
        <w:rPr>
          <w:rFonts w:ascii="Times New Roman" w:hAnsi="Times New Roman"/>
          <w:color w:val="000000" w:themeColor="text1"/>
          <w:sz w:val="16"/>
          <w:szCs w:val="16"/>
        </w:rPr>
        <w:t xml:space="preserve"> в 1944 году оперативная сводка Совинформбюро:</w:t>
      </w:r>
    </w:p>
    <w:p w14:paraId="2C987A58" w14:textId="77777777" w:rsidR="000F083A" w:rsidRPr="007224C3" w:rsidRDefault="000F08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28 июня южнее города Полоцк наши войска, преодолевая сопротивление и инженерные заграждения противника в межозёрных дефиле, вели наступательные бои, в ходе которых овладели районным центром Витебской области городом Лепель, а также заняли более 100 других населённых пунктов и среди них Черчицы, Красное, Заречье, Земцы, Замошье, Старое Лядно, Великое Поле.</w:t>
      </w:r>
    </w:p>
    <w:p w14:paraId="709A58E2" w14:textId="77777777" w:rsidR="000F083A" w:rsidRPr="007224C3" w:rsidRDefault="000F08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Минском направлении наши войска, развивая успешное наступление, овладели районными центрами Минской области городом Холопеничи, городом и железнодорожной станцией Крупки, районным центром Могилёвской области Круглое, а так же с боями заняли более 400 других населённых пунктов, среди которых крупные на селённые пункты Староселье, Латыголичи, Моисеевщина, Пупелечи, Кострица (13 километров северо-восточнее Борисова), Игрушки, Славени, Коханово и железнодорожные станции Коханово, Славное.</w:t>
      </w:r>
    </w:p>
    <w:p w14:paraId="6C50CAEA" w14:textId="77777777" w:rsidR="000F083A" w:rsidRPr="007224C3" w:rsidRDefault="000F08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2-го Белорусского фронта, форсировав реку Днепр на участке протяжением в 120 километров, прорвали вторую оборонительную полосу немцев, подготовленную ими по западному берегу реки, и штурмом овладели крупным областным центром Белоруссии — городом Могилев, а также с боями заняли районные центры Могилёвской области город Шклов, город Быхов и более 450 других населённых пунктов, среди которых крупные населённые пункты Подкняженье, Уланово, Черное, Черноручье, Дубровка, Браково, Сеньково, Голынец 1-й и 2-й, Новая и Старая Лежневка, Бовшев, Липовка, Ходутичи, Мокрое и железнодорожные станции Копысь, Шклов, Лотва, Полыковские Хутора, Буйничи, Дашковка, Барсуки, Борколабово, Ямница, Быхов.</w:t>
      </w:r>
    </w:p>
    <w:p w14:paraId="728553BD" w14:textId="77777777" w:rsidR="000F083A" w:rsidRPr="007224C3" w:rsidRDefault="000F08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бою за город Могилев разгромлена 12 пехотная дивизия немцев, командир которой генерал-лейтенант Бамлер взят в плен вместе с его штабом. Взят также в плен комендант города Могилев генерал-майор Эрдмансдорф.</w:t>
      </w:r>
    </w:p>
    <w:p w14:paraId="7FEA66AD" w14:textId="77777777" w:rsidR="000F083A" w:rsidRPr="007224C3" w:rsidRDefault="000F08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1-го Белорусского фронта, развивая успешное наступление, овладели городом и важным железнодорожным узлом Осиповичи и продолжали вести бои по уничтожению группировки противника, окружённой в районе города Бобруйск. В ходе наступательных боёв войска фронта освободили за день более 200 населённых пунктов, в числе которых районный центр Могилёвской области город Кличев, районный центр Минской области город и железнодорожная станция Старые Дороги, крупные населённые пункты Чигиринка, Ореховка, Вирков, Бацевичи, Сергеевичи, Любоничи, Ступени, Березинский Форштадт, Шатково, Теплуха, Протасевичи, Калюга, Ново-Андреевка, Барбаров, Бобровичи, Поречье и железнодорожные станции Несета, Таченка, Телуша, Савичи, Березина.</w:t>
      </w:r>
    </w:p>
    <w:p w14:paraId="5E720623" w14:textId="77777777" w:rsidR="000F083A" w:rsidRPr="007224C3" w:rsidRDefault="000F08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Между Онежским и Ладожским озёрами наши войска, преодолевая сопротивление финнов, продвинулись вперёд до 35 километров и заняли населённые пункты Шокша, Педа-Сельга, Кескозеро, Виллала, Вехка-Сельга, Сяньдеба, Верхний Конец, Аланга, Гаврилово, Видлица, Усть-Видлица.</w:t>
      </w:r>
    </w:p>
    <w:p w14:paraId="57626054" w14:textId="77777777" w:rsidR="000F083A" w:rsidRPr="007224C3" w:rsidRDefault="000F08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Финском заливе юго-западнее Выборга наши войска очистили от противника остров Уран-Сари, овладев при этом городом, портом и железнодорожной станцией Тронгсунд (Урас).</w:t>
      </w:r>
    </w:p>
    <w:p w14:paraId="74165AC4" w14:textId="77777777" w:rsidR="000F083A" w:rsidRPr="007224C3" w:rsidRDefault="000F08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 без существенных изменений.</w:t>
      </w:r>
    </w:p>
    <w:p w14:paraId="18A512C2" w14:textId="77777777" w:rsidR="000F083A" w:rsidRPr="007224C3" w:rsidRDefault="000F08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27 июня наши войска на всех фронтах подбили и уничтожили 109 немецких танков. В воздушных боях и огнём зенитной артиллерии сбит 61 самолёт противника.</w:t>
      </w:r>
    </w:p>
    <w:p w14:paraId="0FCD5234" w14:textId="77777777" w:rsidR="000F083A" w:rsidRPr="007224C3" w:rsidRDefault="000F08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Массированные налёты нашей авиации на железнодорожные узлы Барановичи, Лунинец, Минск, Полоцк и железнодорожную станцию Борисов</w:t>
      </w:r>
    </w:p>
    <w:p w14:paraId="52D7516F" w14:textId="77777777" w:rsidR="000F083A" w:rsidRPr="007224C3" w:rsidRDefault="000F08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Наша авиация в ночь на 28 июня нанесла сильные удары по железнодорожным узлам Барановичи, Лунинец, Минск, Полоцк и железнодорожной станции Борисов. Во время налёта на железнодорожных узлах и станции находилось большое количество железнодорожных эшелонов.</w:t>
      </w:r>
    </w:p>
    <w:p w14:paraId="295BE02C" w14:textId="77777777" w:rsidR="000F083A" w:rsidRPr="007224C3" w:rsidRDefault="000F08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результате бомбардировки на железно дорожном узле Барановичи возникло 23 больших очага пожара и произошло несколько сильных взрывов. Пожары наблюдались экипажами при уходе от цели с расстояния 150 километров. На железнодорожном узле Лунинец наши лётчики разбили несколько эшелонов с войсками и техникой.</w:t>
      </w:r>
    </w:p>
    <w:p w14:paraId="44B3D173" w14:textId="77777777" w:rsidR="000F083A" w:rsidRPr="007224C3" w:rsidRDefault="000F08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Южнее города Полоцк части Н-ского соединения, сломив сопротивление немцев на промежуточных рубежах, овладели городом Лепель — мощным узлом обороны немцев. Происходящие бои характеризуются массовым уничтожением живой силы противника. В районе Якубовщины и Свитина наши под разделения окружили остатки разбитых немецких частей и ведут бои по их ликвидации. Уничтожено 600 гитлеровцев, свыше 500 немецких солдат и офицеров взято в плен. В районе урочища Андронов Остров советские войска окружили и уничтожили вражеский полк, 520 немцев прекратили сопротивление, сложили оружие и сдались в плен. Наши бойцы захватили до 1.000 автомашин с различными грузами.</w:t>
      </w:r>
    </w:p>
    <w:p w14:paraId="4176FDF9" w14:textId="77777777" w:rsidR="000F083A" w:rsidRPr="007224C3" w:rsidRDefault="000F08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территории узла возникло 10 пожаров и произошло 6 сильных взрывов. На железнодорожном узле Минск возникло 13 очагов пожара: горели вагоны и военные склады. В Полоцке пожар охватил всю центральную часть узла.</w:t>
      </w:r>
    </w:p>
    <w:p w14:paraId="0CFA0118" w14:textId="77777777" w:rsidR="000F083A" w:rsidRPr="007224C3" w:rsidRDefault="000F08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Особенно интенсивный налёт наша авиация совершила на железнодорожную станцию Борисов, на путях которой находилось до 20 эшелонов. Разрывы бомб наблюдались на всей территории станции. Возникло 15 очагов пожара. Произошло 16 взрывов.</w:t>
      </w:r>
    </w:p>
    <w:p w14:paraId="6E089BB4" w14:textId="77777777" w:rsidR="000F083A" w:rsidRPr="007224C3" w:rsidRDefault="000F08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Четыре наших самолёта не вернулись на свои базы.</w:t>
      </w:r>
    </w:p>
    <w:p w14:paraId="5B4A4C1D" w14:textId="77777777" w:rsidR="000F083A" w:rsidRPr="007224C3" w:rsidRDefault="000F08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2-го Белорусского фронта всю ночь на 28 июня вели ожесточённые бои на улицах Могилёва. Мощные удары наших пехотных частей с востока и стремительная атака бронетанковых сил с севера решили исход сражения в пользу советских войск. Сегодня утром воины Красной Армии освободили город Могилёв от немецко-фашистских захватчиков. В боях за город наши войска уничтожили 12 немецкую пехотную дивизию, нанесли тяжёлые потери танково-гренадерской дивизии СС «Фельдхернхалле» и другим немецким частям. Взято много пленных. В числе пленных — командир 12 пехотной дивизии генерал-лейтенант Бамлер, немецкий комендант города Могилёв генерал-майор Эрдмансдорф, командир 89 пехотного полка полковник Дайтентиш и другие офицеры. Захвачены большие трофеи — много вооружения, десятки окладов с боеприпасами, продовольствием, медикаментами и 7 железнодорожных эшелонов с различными военными грузами.</w:t>
      </w:r>
    </w:p>
    <w:p w14:paraId="4C56DAF6" w14:textId="77777777" w:rsidR="000F083A" w:rsidRPr="007224C3" w:rsidRDefault="000F08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1-го Белорусского фронта продол жали успешное наступление. Теснее сжимая кольцо вокруг немецкой группировки, окружённой в районе Бобруйска, части Н-ского соединения заняли несколько населённых пунктов. Захвачено 5 паровозов, более 100 вагонов, свыше 200 автомашин и другие трофеи. Советские подвижные части с боями продвинулись на запад и внезапным ударом заняли важный узел железных дорог город Осиповичи. Захвачено 5 железнодорожных эшелонов с продовольствием и военными материалами и 12 разных складов. Овладев городом Старые Дороги, наши бойцы также взяли большие трофеи: 2 склада боеприпасов, 3 склада с горючим, 3 продовольственных склада, 3 железнодорожных эшелона с военным имуществом и медикаментами, 300 повозок и 30 автомашин.</w:t>
      </w:r>
    </w:p>
    <w:p w14:paraId="3B1AF4D2" w14:textId="77777777" w:rsidR="000F083A" w:rsidRPr="007224C3" w:rsidRDefault="000F08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Между Онежским и Ладожским озёрами части Н-ского соединения форсировали реку Видлица и умелым обходным манёвром овладели опорным пунктом обороны финнов Видлица. Захвачено 9 орудий, 30 пулемётов и 17 разных складов. На поле боя оста лось 300 вражеских трупов.</w:t>
      </w:r>
    </w:p>
    <w:p w14:paraId="142EF3E2" w14:textId="77777777" w:rsidR="000F083A" w:rsidRPr="007224C3" w:rsidRDefault="000F08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Северо-западнее деревни Ядрево, Витебской области, рота немцев при поддержке двух орудий днём 25 июня контратаковала позиции нашего подразделения. Впереди себя, на расстоянии 50 метров, гитлеровцы гнали толпу женщин и детей. Наши миномётчики дали залп по немцам и метким огнём отсекли их от мирных жителей. Советские граждане начали разбегаться. Немцы залегли и открыли по ним огонь. Стремительной атакой наши бойцы разгромили немцев и освободили оставшихся в живых советских граждан.</w:t>
      </w:r>
    </w:p>
    <w:p w14:paraId="684EE58A" w14:textId="77777777" w:rsidR="000F083A" w:rsidRPr="007224C3" w:rsidRDefault="000F08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Отступая под ударами Красной Армии, гитлеровские вояки прячутся за спиной женщин и детей, пытаясь спасти свою подлую шкуру. Но никакие коварные приёмы не спасут фашистское зверьё от сурового возмездия.</w:t>
      </w:r>
    </w:p>
    <w:p w14:paraId="35C8C111" w14:textId="77777777" w:rsidR="000F083A" w:rsidRPr="007224C3" w:rsidRDefault="000F08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Группа латвийских партизан из отряда «Латгалия» взорвала немецкий склад бое припасов. Уничтожены более 1.000 кг. взрывчатых веществ, много гранат, мин, капсюлей-детонаторов, 5 автомашин и охрана склада. Партизаны этого же отряда за последние дни пустили под откос 3 немецких воинских эшелона.» (14936).</w:t>
      </w:r>
    </w:p>
    <w:p w14:paraId="71A36C29" w14:textId="77777777" w:rsidR="000F083A" w:rsidRPr="007224C3" w:rsidRDefault="000F083A" w:rsidP="007224C3">
      <w:pPr>
        <w:spacing w:after="0" w:line="240" w:lineRule="auto"/>
        <w:jc w:val="both"/>
        <w:rPr>
          <w:rFonts w:ascii="Times New Roman" w:hAnsi="Times New Roman"/>
          <w:color w:val="000000" w:themeColor="text1"/>
          <w:sz w:val="16"/>
          <w:szCs w:val="16"/>
        </w:rPr>
      </w:pPr>
    </w:p>
    <w:p w14:paraId="25794992" w14:textId="77777777" w:rsidR="000F083A" w:rsidRPr="007224C3" w:rsidRDefault="000F08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28 июня</w:t>
      </w:r>
      <w:r w:rsidRPr="007224C3">
        <w:rPr>
          <w:rFonts w:ascii="Times New Roman" w:hAnsi="Times New Roman"/>
          <w:color w:val="000000" w:themeColor="text1"/>
          <w:sz w:val="16"/>
          <w:szCs w:val="16"/>
        </w:rPr>
        <w:t xml:space="preserve"> в 1944 году войска Карельского фронта под командованием генерала армии Кирилла Мерецкова во взаимодействии с Онежской флотилией освободили столицу Карело-Финской ССР город Петрозаводск, полностью очистили от противника Кировскую железную дорогу и Беломорско-Балтийский канал. Завершилась Витебско-Оршанская операция: войска 1-го Прибалтийского фронта вышли на рубеж 30 км юго-восточнее Полоцка, Лепеля; войска 3-го Белорусского фронта - к реке Березине, севернее Борисова. В ходе проведения Витебско-Оршанской наступательной операции части 39-й (генерал-лейтенант И.И.Людников) и 43-й (генерал-лейтенант А.П.Белобородов) армий 3-го Белорусского фронта (генерал армии И.Д.Черняховский) освободили город Витебск, уничтожив Витебскую группировку противника (14936).</w:t>
      </w:r>
    </w:p>
    <w:p w14:paraId="39083670" w14:textId="77777777" w:rsidR="000F083A" w:rsidRPr="007224C3" w:rsidRDefault="000F083A" w:rsidP="007224C3">
      <w:pPr>
        <w:spacing w:after="0" w:line="240" w:lineRule="auto"/>
        <w:jc w:val="both"/>
        <w:rPr>
          <w:rFonts w:ascii="Times New Roman" w:hAnsi="Times New Roman"/>
          <w:color w:val="000000" w:themeColor="text1"/>
          <w:sz w:val="16"/>
          <w:szCs w:val="16"/>
        </w:rPr>
      </w:pPr>
    </w:p>
    <w:p w14:paraId="0B1D3CB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июня 1944 немцы оставили Могилев. Положение немецких войск в Белоруссии стало катастрофическим. Войска 1-го и 3-го Белорусских фронтов, форсировав Березину, глубоко охватили с севера и юга группировку 4-й армии противника восточнее Минска. Начиная с этого дня и до 3 июля, действия авиации по существу носили характер широкого преследования отходивших немецких войск от Днепра до Березины.</w:t>
      </w:r>
    </w:p>
    <w:p w14:paraId="7BAEB34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 высокой эффективности действий Ил-2 подробно свидетельствуют многочисленные показания немецких военнопленных, от рядовых солдат до генералов включительно.</w:t>
      </w:r>
    </w:p>
    <w:p w14:paraId="7821C97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Например, ефрейтор 3-й роты 677-го рабочего железнодорожного батальона Фридрих Альфред, взятый в плен 2 июля, показал: "Немецкие колонны, двигавшиеся по шоссе Орша-Минск, повернули на юг на шоссе Могилев-Минск. На лесных дорогах мы подвергались непрерывным атакам штурмовиков, которые наносили нашим колоннам ужасные потери. Так как автомашины двигались по дорогам в 2-3 ряда, потери при налетах часто равнялись 50-60%. Считаю, что в нашей колонне до 50% всего состава было потеряно от налетов русских самолетов. Все дороги нашего отступления усеяны тысячами разбитых автомашин и повозок, трупами лошадей и солдат. Моральное воздействие русской авиации было огромным. При появлении советских самолетов солдаты бросали на дорогах автомашины и подводы и бежали прятаться в лес. Машины и подводы съезжали с шоссе, вязли в болотах и в беспорядке устраивали сплошные пробки..."</w:t>
      </w:r>
    </w:p>
    <w:p w14:paraId="4339FC0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"Непрерывные налеты авиации противника причиняли тяжелые потери... вызывали бесконечные заторы среди отступающих колонн. Русские штурмовики то и дело разрушали мосты у Березины, после чего на восточном берегу всякий раз образовывалось огромное скопление машин", - запишет позже командующий немецкой 4-й армией Курт Типпельскирх.</w:t>
      </w:r>
    </w:p>
    <w:p w14:paraId="228725E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Необходимо отметить, что в описываемых событиях путь отступления немцев проходил через лесисто-болотистую местность с крайне ограниченным числом дорог. Это вынуждало войска вермахта совершать отход по двум-трем основным дорогам, которые нередко были забиты колоннами в два-три, а в отдельных случаях и в четыре ряда. При этом немцы не смогли организовать прикрытие отходящих войск зенитными средствами и истребителями. Поэтому условия для боевого применения Ил-2 складывались особенно благоприятно. Колонны совершенно не имели возможности рассредоточиться. Штурмовики же, создав на дорогах пробки и заторы, непрерывным "висением" над остановившимися колоннами добивались максимального успеха (12020).</w:t>
      </w:r>
    </w:p>
    <w:p w14:paraId="35C6356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FFBC7D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период 28-31 июля 1944, содействуя войскам фронта, штурмовики 16-й ВА уничтожали группировку противника западнее и северо-западнее Бреста.</w:t>
      </w:r>
    </w:p>
    <w:p w14:paraId="492EAD5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рассвета и в течение дня 28 июля 2-я гшад и 299-я шад по данным своей разведки небольшими группами совместно с истребителями наносили удары по окруженной группировке в районе Бохукалы, Кжичев. Прежде всего, удару подверглась голова огромной колонны автомашин, повозок, артиллерии и пехоты, стремившейся прорваться в направлении Янув- Подляски. Каждая группа штурмовиков самостоятельно выбирала цель и уничтожала ее бомбами и пушеч- но-пулеметным огнем, делая по 5-8 заходов. Истребители сопровождения, не встретив воздушного противника, также штурмовали вражеские войска. Колонна остановилась. Многие автомашины начали съезжать с дороги в стороны, стараясь укрыться в лесу и на окраинах населенных пунктов, много грузовиков застряло в канавах. Образовалась пробка. Создались благоприятные условия для действия авиации.</w:t>
      </w:r>
    </w:p>
    <w:p w14:paraId="1EBCD6D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 за 28 июля было уничтожено до 600 автомашин, свыше 30 орудий, до 500 повозок, до 900 лошадей и свыше 1000 вражеских солдат.</w:t>
      </w:r>
    </w:p>
    <w:p w14:paraId="4D8A059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последующие три дня такие же удары были нанесены по колоннам противника на дорогах от Константынув на Лосице, обнаруженных разведчиками 59-го гшап лейтенантами Россохиным и Милюковым. На дорогах остались разбитыми около 400 автомашин и 200 подвод. Особенно успешно действовали по вражеским колоннам 29 июля две шестерки Ил-2 под командованием майора Гребенькова. За два захода они уничтожили 45 автомашин, 40 подвод, 2 орудия и до 100 солдат противника.</w:t>
      </w:r>
    </w:p>
    <w:p w14:paraId="430445E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Подвергшаяся бомбоштурмовым ударам авиации окруженная западнее Бреста немецкая группировка потеряла боеспособность и была легко уничтожена наземными войсками. Специальная комиссия, осматривавшая район боевых действий, подтвердила высокую эффективность ударов нашей авиации.</w:t>
      </w:r>
    </w:p>
    <w:p w14:paraId="15FA413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 успешных действиях штурмовиков по группировке противника западнее Бреста свидетельствовали отзывы командования наземных войск.</w:t>
      </w:r>
    </w:p>
    <w:p w14:paraId="3CA427A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 28 июля после удара группы Ил-2, возглавляемой командиром 218-го шап подполковником Лысенко, штабом 299-й шад была получена такая телеграмма: "Ваша группа из одиннадцати Ил-2, действовавшая по скоплениям противника в районе Кжиче- ва (12 км западнее Бреста), работала отлично. Всем экипажам объявите благодарность. Полковник Бойков".</w:t>
      </w:r>
    </w:p>
    <w:p w14:paraId="0092219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Командир 55-й гвардейской стрелковой дивизии генерал Турчинский, наблюдавший за действиями штурмовиков, подтвердил исключительно высокую эффективность их бомбоштурмовых ударов, после чего части дивизии без особого сопротивления противника овладели пунктом Константынув (12020).</w:t>
      </w:r>
    </w:p>
    <w:p w14:paraId="012045C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E2095B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ночь на 28 июня 1944 этот "Бостон", управляемый капитаном Крапивой, участвовал в налете на аэродром в Барановичах. Он поджег два немецких самолета, прежде чем сам был поврежден зенитной артиллерией. Предписали вооружить АКАБ шесть A-20G, но это решение, по-видимому, не было выполнено (3457,110).</w:t>
      </w:r>
    </w:p>
    <w:p w14:paraId="531B7C7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8254DE"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июня 1944 советские войска заверили Витебско-Оршанскую операцию (4962).</w:t>
      </w:r>
    </w:p>
    <w:p w14:paraId="02FEA39E"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DD78523"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июня 1944 советскими войсками освобожден от фашистов Петрозаводск (4962).</w:t>
      </w:r>
    </w:p>
    <w:p w14:paraId="501B9E61"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E97DA2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июня 1944 был десант в 21 км от Петрозаводска с Онеги - часть Свирско-Петрозаводской операции и город взяли (2443,21).</w:t>
      </w:r>
    </w:p>
    <w:p w14:paraId="3299387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1780A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C 28 по 30 июня 1944 4ВА и 16ВА в районе Березино подвергли ударам отступающие немецкие войска и выполнили 3000 вылетов. Это помогло окружить немцев восточнее Минска (340,174).</w:t>
      </w:r>
    </w:p>
    <w:p w14:paraId="0FAF373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E6542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июня 1944 группа ш под командой ГСС А.К.Недбайло нанесла удар по эшелонам и разбили 4 состава и пути (438,912).</w:t>
      </w:r>
    </w:p>
    <w:p w14:paraId="5237633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E50E6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ночь на 28 июня 1944 г. в первом же боевом вылете на блокировку аэродрома Барановичи A-20G-1 с АКАБ был настолько сильно поврежден огнем зенитной артиллерии, что дотянул до своего аэродрома только благодаря высокой живучести “американца”.</w:t>
      </w:r>
    </w:p>
    <w:p w14:paraId="3B66DA8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докладам экипажей A-20G-1 с АКАБ в первой же атаке поджег два истребителя люфтваффе, стоявшие на старте. Однако второй атаки экипажу сделать уже не удалось.</w:t>
      </w:r>
    </w:p>
    <w:p w14:paraId="73D9C3E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Справедливости ради,необходимо отметить, что оружие АКАБ не было оснащено пламегасителями и при ночной стрельбе машина хорошо подсвечивалась пламенем из стволов батареи представляя собой прекрасную мишень для зенитных расчетов. Кроме того, тактика боевого применения АКАБ была далека от совершенства.</w:t>
      </w:r>
    </w:p>
    <w:p w14:paraId="043D7FD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Несмотря на то, что испытания были признаны вполне успешными, широкого распространения A-20G-1 с АКБ не получили, ввиду узости решаемых ими тактических задач (9649).</w:t>
      </w:r>
    </w:p>
    <w:p w14:paraId="465E059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094B5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июня 1944 вышло Постановление ГКО № 6116 о материально-бытовом обеспечении генералов, адмиралов, комиссаров государственной безопасности, комиссаров милиции и старшего офицерского состава Красной Армии, Военно-Морского Флота, войск и органов HКВД СССР и HКГБ СССР, имеющих срок. РГАНИР, Фонд ГКО, д. 266, лл. 233-237 (11012).</w:t>
      </w:r>
    </w:p>
    <w:p w14:paraId="1F9B5DF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 МАТЕРИАЛЬНО-БЫТОВОМ ОБЕСПЕЧЕНИИ ЗАЧИСЛЯЕМЫХ В ЗАПАС ИЛИ УВОЛЬНЯЕМЫХ В ОТСТАВКУ</w:t>
      </w:r>
    </w:p>
    <w:p w14:paraId="2671542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 материально-бытовом обеспечении генералов, адмиралов, комиссаров госбезопасности, комиссаров милиции и старшего офицерского состава Красной Армии, Военно-Морского Флота, войск, органов НКВД и НКГБ СССР, имеющих срок выслуги 25 лет и более, зачисляемых в запас или увольняемых в отставку.</w:t>
      </w:r>
    </w:p>
    <w:p w14:paraId="64B7351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Государственный Комитет Обороны постановляет:</w:t>
      </w:r>
    </w:p>
    <w:p w14:paraId="637B842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Установить, что генералам, адмиралам, комиссарам госбезопасности, комиссарам милиции и старшему офицерскому составу КА, ВМФ, войск и органов НКВД СССР и НКГБ СССР, имеющим срок выслуги 25 лет и более, зачисляемых в запас и увольняемых в отставку по состоянию здоровья или по возрасту, — пенсии исчислять из штатного оклада содержания по последней должности и процентной надбавки за выслугу лет:</w:t>
      </w:r>
    </w:p>
    <w:p w14:paraId="148A724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генералам, адмиралам, комиссарам госбезопасности и комиссарам милиции — в размере 90%;</w:t>
      </w:r>
    </w:p>
    <w:p w14:paraId="1E4E4BD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старшему офицерскому составу, имеющему срок выслуги 25 лет, — 80%.</w:t>
      </w:r>
    </w:p>
    <w:p w14:paraId="3CC0F06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каждый год выслуги свыше 25 лет пенсию старшему офиц. составу увеличить на 3%, причем общая сумма при сем не должна превышать 90% от оклада содержания по последней должности и процентной надбавки за выслугу лет.</w:t>
      </w:r>
    </w:p>
    <w:p w14:paraId="50D3126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Исчисление срока выслуги производится в соответствии со ст. ст. 3 и 4 Постановления СНК от 5 июня 1941 года № 1474.</w:t>
      </w:r>
    </w:p>
    <w:p w14:paraId="4C74FC3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Выдавать лицам, указанным в пункте 1, при зачислении их в запас или при увольнении в отставку единовременное пособие из расчета штатного оклада содержания по последней должности и процентной надбавки за выслугу лет:</w:t>
      </w:r>
    </w:p>
    <w:p w14:paraId="3EFC8FD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генералам, адмиралам, комиссарам ГБ, комиссарам милиции — в размере 6 месячных окладов;</w:t>
      </w:r>
    </w:p>
    <w:p w14:paraId="7A26037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полковникам и лицам, имеющим соответствующие им воинские и спец. звания, — в размере 5 месячных окладов;</w:t>
      </w:r>
    </w:p>
    <w:p w14:paraId="1F60C5F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подполковникам и лицам, имеющим соответствующие им воинские и спец. звания, — в размере 4 месячных окладов;</w:t>
      </w:r>
    </w:p>
    <w:p w14:paraId="5E96D8B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 майорам и лицам, имеющим соответствующие им воинские и спец. звания, — в размере 3 месячных окладов.</w:t>
      </w:r>
    </w:p>
    <w:p w14:paraId="5C04AB5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Установить, что лица, указанные в п. 1, при зачислении их в запас или при увольнении в отставку при наличии положительной аттестации могут быть представлены к награде орденом и присвоению в аттестационном порядке очередного воинского или специального звания.</w:t>
      </w:r>
    </w:p>
    <w:p w14:paraId="3A2EE22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Предельными воинскими званиями, к которым могут быть представлены зачисляемые в запас или в отставку, являются звания генерала армии, адмирала и соответствующие им звания.</w:t>
      </w:r>
    </w:p>
    <w:p w14:paraId="33A7DEE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этом офицеры, удостоенные при зачислении в запас или увольняемые в отставку генеральских и им соответствующих званий, пользуются всеми правами, установленными настоящим Постановлением для генералов (и им соответствующих), зачисляемых в запас или увольняемых в отставку.</w:t>
      </w:r>
    </w:p>
    <w:p w14:paraId="4A1FBFE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Предоставлять указанным в п. 1 лицам, зачисленным или уволенным в отставку, права:</w:t>
      </w:r>
    </w:p>
    <w:p w14:paraId="3F11D54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на ношение формы одежды со знаками различия, но с особым отличительным знаком на погонах;</w:t>
      </w:r>
    </w:p>
    <w:p w14:paraId="2A303F9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на обеспечение их продовольственными и промышленными товарами за оплату наравне с генералами, адмиралами, комиссарами госбезопасности, комиссарами милиции и старшим офицерским составом на соответствующих должностях в КА, ВМФ, в войсках и органах НКВД И НКГБ СССР;</w:t>
      </w:r>
    </w:p>
    <w:p w14:paraId="1804572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 обеспечение их и членов их семей медицинской помощью, а нуждающихся — в санаторно-курортном лечении через поликлиники, санатории и дома отдыха НКО, НКВМФ, НКВД и НКГБ соответственно;</w:t>
      </w:r>
    </w:p>
    <w:p w14:paraId="7991329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 на занимаемую им и их семьями жилую площадь, а при перемене места жительства — на получение новой жилплощади;</w:t>
      </w:r>
    </w:p>
    <w:p w14:paraId="524E8B2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 состоять действующим членом офицерских клубов и собраний местных гарнизонов Красной Армии, Военно-Морского флота, в войсках и органах НКВД СССР и НКГБ СССР.</w:t>
      </w:r>
    </w:p>
    <w:p w14:paraId="2A3CDE9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е) на прием их детей в суворовские и нахимовские училища, а также на бесплатное обучение детей в техникумах и высших учебных заведениях;</w:t>
      </w:r>
    </w:p>
    <w:p w14:paraId="7C33F9A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ж) на обеспечение вещевым довольствием по нормам и в сроки, установленные для находящихся на службе в Красной Армии, Военно-Морского флота, в войсках и органах НКВД СССР и НКГБ СССР, — за наличный расчет по государственным расценкам.</w:t>
      </w:r>
    </w:p>
    <w:p w14:paraId="70FD81B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Обязать городские и районные Советы депутатов трудящихся предоставлять лицам, указанным в п. 1 настоящего Постановления, по их заявлениям в бесплатное пользование под застройку, огороды и сады земельные участки от половины гектара до одного гектара, а также выдавать им необходимые стройматериалы с оплатой их стоимости по госуд. ценам в рассрочку на 10 лет.</w:t>
      </w:r>
    </w:p>
    <w:p w14:paraId="486621A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Установить, что за указанными в п. 1 лицами, поступившими на работу в учреждения и предприятия, сохраняются все льготы, предусмотренные постановлением, в т. ч. и полная пенсия независимо от зарплаты, получаемой по месту работы.</w:t>
      </w:r>
    </w:p>
    <w:p w14:paraId="1126956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 Установить что в случае смерти лиц, указанных в п. 1 настоящего Постановления, их семьи обеспечиваются в порядке, установленном Постановлением СНК СССР от 28 апреля 1943 г. № 462. При этом единовременное пособие выдается в размере 1/3. Кроме того, эти семьи обеспечиваются пенсией в соответствии с Постановлением СНК от 5 июня 1941 г. № 1474.</w:t>
      </w:r>
    </w:p>
    <w:p w14:paraId="103D988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 Распространить льготы, установленные настоящим Постановлением, на лиц, зачисленных в запас или уволенных в отставку с начала Отечественной войны (22 июня 1941 г.), имевших к моменту увольнения из армии срок выслуги 25 лет и более и воинские, а также специальные звания, соответствующие перечисленным в п. 1 настоящего Постановления.</w:t>
      </w:r>
    </w:p>
    <w:p w14:paraId="261181A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Ввести с 1 июля 1944 г.</w:t>
      </w:r>
    </w:p>
    <w:p w14:paraId="08A6F0B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Председатель Государственного Комитета Обороны</w:t>
      </w:r>
    </w:p>
    <w:p w14:paraId="076DF75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 СТАЛИН</w:t>
      </w:r>
    </w:p>
    <w:p w14:paraId="20B6DAC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РГАСПИ. Ф. 644, Оп. 1. Д.266 Лл. 233-237 (12013).</w:t>
      </w:r>
    </w:p>
    <w:p w14:paraId="21F344F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CAA185E"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7475970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E30C3CF" w14:textId="77777777" w:rsidR="000F083A" w:rsidRPr="007224C3" w:rsidRDefault="000F083A"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28 июня</w:t>
      </w:r>
      <w:r w:rsidRPr="007224C3">
        <w:rPr>
          <w:rFonts w:ascii="Times New Roman" w:hAnsi="Times New Roman"/>
          <w:color w:val="000000" w:themeColor="text1"/>
          <w:sz w:val="16"/>
          <w:szCs w:val="16"/>
        </w:rPr>
        <w:t xml:space="preserve"> в 1944 году катастрофа второго серийного «Та-154А-1», выпущенного эрфуртским заводом и совершившего первый полет всего двумя неделями ранее - 13 июня (14936).</w:t>
      </w:r>
    </w:p>
    <w:p w14:paraId="0FD4C03B" w14:textId="77777777" w:rsidR="000F083A" w:rsidRPr="007224C3" w:rsidRDefault="000F083A" w:rsidP="007224C3">
      <w:pPr>
        <w:spacing w:after="0" w:line="240" w:lineRule="auto"/>
        <w:jc w:val="both"/>
        <w:rPr>
          <w:rFonts w:ascii="Times New Roman" w:hAnsi="Times New Roman"/>
          <w:color w:val="000000" w:themeColor="text1"/>
          <w:sz w:val="16"/>
          <w:szCs w:val="16"/>
        </w:rPr>
      </w:pPr>
    </w:p>
    <w:p w14:paraId="6FDF5DB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lang w:val="en-US"/>
        </w:rPr>
        <w:t xml:space="preserve">June 28th, 1944: In Normandy, Operation Epsom designed to break through the German defenses near Caen is halted by the fierce resistance of the I. and II. </w:t>
      </w:r>
      <w:r w:rsidRPr="007224C3">
        <w:rPr>
          <w:rFonts w:ascii="Times New Roman" w:hAnsi="Times New Roman"/>
          <w:color w:val="000000" w:themeColor="text1"/>
          <w:sz w:val="16"/>
          <w:szCs w:val="16"/>
        </w:rPr>
        <w:t>SS-Panzerkorps (3819).</w:t>
      </w:r>
    </w:p>
    <w:p w14:paraId="671B1DD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55357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июня 1944 в Нормандии операция Эпсом по прорыву обороны у Кайена была остановлена в результате сопротивления 1 и 2ТК СС (3819).</w:t>
      </w:r>
    </w:p>
    <w:p w14:paraId="5DF03CE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5DC96D"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июня 1944 в Копенгагене началась всеобщая забастовка против немецких оккупационных властей (4962).</w:t>
      </w:r>
    </w:p>
    <w:p w14:paraId="7D05546D"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084E723"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июня 1944 в Париже бойцами французского Сопротивления казнен министр информации вишистского правительства Филипп Генрио (4962).</w:t>
      </w:r>
    </w:p>
    <w:p w14:paraId="15A40834"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0DB683D"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июня 1944 США разорвали дипломатические отношения с Финляндией (4962).</w:t>
      </w:r>
    </w:p>
    <w:p w14:paraId="0C3AD297"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7ADA9F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июня 1944 в отражении налета V-1 использовалось 363 тяжелых и 522 легких английских зенитных орудия и в два раза увеличили число аэростатов заграждения (1227,22).</w:t>
      </w:r>
    </w:p>
    <w:p w14:paraId="6C5D808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17BBAA"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5B874AB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0492B49" w14:textId="77777777" w:rsidR="002E135C" w:rsidRPr="007224C3" w:rsidRDefault="002E135C" w:rsidP="007224C3">
      <w:pPr>
        <w:pStyle w:val="27"/>
        <w:shd w:val="clear" w:color="auto" w:fill="auto"/>
        <w:spacing w:after="0" w:line="240" w:lineRule="auto"/>
        <w:ind w:firstLine="0"/>
        <w:rPr>
          <w:rFonts w:ascii="Times New Roman" w:cs="Times New Roman"/>
          <w:color w:val="000000" w:themeColor="text1"/>
          <w:spacing w:val="0"/>
        </w:rPr>
      </w:pPr>
      <w:r w:rsidRPr="007224C3">
        <w:rPr>
          <w:rStyle w:val="aff7"/>
          <w:rFonts w:ascii="Times New Roman" w:hAnsi="Times New Roman" w:cs="Times New Roman"/>
          <w:i w:val="0"/>
          <w:color w:val="000000" w:themeColor="text1"/>
          <w:spacing w:val="0"/>
        </w:rPr>
        <w:t>С</w:t>
      </w:r>
      <w:r w:rsidRPr="007224C3">
        <w:rPr>
          <w:rFonts w:ascii="Times New Roman" w:cs="Times New Roman"/>
          <w:color w:val="000000" w:themeColor="text1"/>
          <w:spacing w:val="0"/>
        </w:rPr>
        <w:t xml:space="preserve"> 29 по 30 июня 1944 г. серийный Ил-2 (зав. №304783) московского завода №30 с дополнительной броней стрелка успешно от</w:t>
      </w:r>
      <w:r w:rsidRPr="007224C3">
        <w:rPr>
          <w:rFonts w:ascii="Times New Roman" w:cs="Times New Roman"/>
          <w:color w:val="000000" w:themeColor="text1"/>
          <w:spacing w:val="0"/>
        </w:rPr>
        <w:softHyphen/>
        <w:t>летал программу государственных испытаний, а с 14 по 28 августа 1944 г. испытывался Ил-2 (зав. №305395) этого же завода с «длинным» бронекорпусом.</w:t>
      </w:r>
    </w:p>
    <w:p w14:paraId="420E7832" w14:textId="77777777" w:rsidR="002E135C" w:rsidRPr="007224C3" w:rsidRDefault="002E135C" w:rsidP="007224C3">
      <w:pPr>
        <w:pStyle w:val="27"/>
        <w:shd w:val="clear" w:color="auto" w:fill="auto"/>
        <w:spacing w:after="0" w:line="240" w:lineRule="auto"/>
        <w:ind w:firstLine="0"/>
        <w:rPr>
          <w:rFonts w:ascii="Times New Roman" w:cs="Times New Roman"/>
          <w:color w:val="000000" w:themeColor="text1"/>
          <w:spacing w:val="0"/>
        </w:rPr>
      </w:pPr>
      <w:r w:rsidRPr="007224C3">
        <w:rPr>
          <w:rFonts w:ascii="Times New Roman" w:cs="Times New Roman"/>
          <w:color w:val="000000" w:themeColor="text1"/>
          <w:spacing w:val="0"/>
        </w:rPr>
        <w:t>Вооружение этих самолетов в целом соответствовало серийному штурмовику с обычным бронекорпусом, но максимальная бомбовая нагрузка ограничивалась 400 кг. По сравнению с Ил-2 общий вес металлической брони на самолете с удлиненным бронекорпу</w:t>
      </w:r>
      <w:r w:rsidRPr="007224C3">
        <w:rPr>
          <w:rFonts w:ascii="Times New Roman" w:cs="Times New Roman"/>
          <w:color w:val="000000" w:themeColor="text1"/>
          <w:spacing w:val="0"/>
        </w:rPr>
        <w:softHyphen/>
        <w:t>сом увеличился на 58 кг (1015 кг вместо 957 кг согласно ТУ на поставку бронекорпусов на 1944 г.), а деревянная часть фюзеляжа укора</w:t>
      </w:r>
      <w:r w:rsidRPr="007224C3">
        <w:rPr>
          <w:rFonts w:ascii="Times New Roman" w:cs="Times New Roman"/>
          <w:color w:val="000000" w:themeColor="text1"/>
          <w:spacing w:val="0"/>
        </w:rPr>
        <w:softHyphen/>
        <w:t>чивалась на 1135 мм. Отметим, что в перепи</w:t>
      </w:r>
      <w:r w:rsidRPr="007224C3">
        <w:rPr>
          <w:rFonts w:ascii="Times New Roman" w:cs="Times New Roman"/>
          <w:color w:val="000000" w:themeColor="text1"/>
          <w:spacing w:val="0"/>
        </w:rPr>
        <w:softHyphen/>
        <w:t>ске Ил-2 с удлиненным бронекорпусом иногда обозначался как Ил-2У, т.е. «улучшенный».</w:t>
      </w:r>
    </w:p>
    <w:p w14:paraId="4025E690" w14:textId="77777777" w:rsidR="002E135C" w:rsidRPr="007224C3" w:rsidRDefault="002E135C" w:rsidP="007224C3">
      <w:pPr>
        <w:pStyle w:val="27"/>
        <w:shd w:val="clear" w:color="auto" w:fill="auto"/>
        <w:spacing w:after="0" w:line="240" w:lineRule="auto"/>
        <w:ind w:firstLine="0"/>
        <w:rPr>
          <w:rFonts w:ascii="Times New Roman" w:cs="Times New Roman"/>
          <w:color w:val="000000" w:themeColor="text1"/>
          <w:spacing w:val="0"/>
        </w:rPr>
      </w:pPr>
      <w:r w:rsidRPr="007224C3">
        <w:rPr>
          <w:rFonts w:ascii="Times New Roman" w:cs="Times New Roman"/>
          <w:color w:val="000000" w:themeColor="text1"/>
          <w:spacing w:val="0"/>
        </w:rPr>
        <w:t>В ходе испытаний оба самолета пока</w:t>
      </w:r>
      <w:r w:rsidRPr="007224C3">
        <w:rPr>
          <w:rFonts w:ascii="Times New Roman" w:cs="Times New Roman"/>
          <w:color w:val="000000" w:themeColor="text1"/>
          <w:spacing w:val="0"/>
        </w:rPr>
        <w:softHyphen/>
        <w:t>зали хорошую управляемость и продольную устойчивость. Однако отмечалось, что более задняя центровка Ил-2 с дополнительным бронированием кабины стрелка ухудшила его продольную устойчивость. На всем эксплуа</w:t>
      </w:r>
      <w:r w:rsidRPr="007224C3">
        <w:rPr>
          <w:rFonts w:ascii="Times New Roman" w:cs="Times New Roman"/>
          <w:color w:val="000000" w:themeColor="text1"/>
          <w:spacing w:val="0"/>
        </w:rPr>
        <w:softHyphen/>
        <w:t>тационном диапазоне центровок и режимах полета самолет имел динамическую устой</w:t>
      </w:r>
      <w:r w:rsidRPr="007224C3">
        <w:rPr>
          <w:rFonts w:ascii="Times New Roman" w:cs="Times New Roman"/>
          <w:color w:val="000000" w:themeColor="text1"/>
          <w:spacing w:val="0"/>
        </w:rPr>
        <w:softHyphen/>
        <w:t xml:space="preserve">чивость, близкую к нейтральной, в сторону отрицательной. Тем не менее, делался вывод: </w:t>
      </w:r>
      <w:r w:rsidRPr="007224C3">
        <w:rPr>
          <w:rStyle w:val="aff7"/>
          <w:rFonts w:ascii="Times New Roman" w:hAnsi="Times New Roman" w:cs="Times New Roman"/>
          <w:i w:val="0"/>
          <w:color w:val="000000" w:themeColor="text1"/>
          <w:spacing w:val="0"/>
        </w:rPr>
        <w:t>«Установка дополнительной брони улучшает защиту стрелка, является целесообразной и может быть рекомендована на самолетах с увеличенной стрельчатостью крыла для строевых частей ВВС КА».</w:t>
      </w:r>
      <w:r w:rsidRPr="007224C3">
        <w:rPr>
          <w:rFonts w:ascii="Times New Roman" w:cs="Times New Roman"/>
          <w:color w:val="000000" w:themeColor="text1"/>
          <w:spacing w:val="0"/>
        </w:rPr>
        <w:t xml:space="preserve"> В части управля</w:t>
      </w:r>
      <w:r w:rsidRPr="007224C3">
        <w:rPr>
          <w:rFonts w:ascii="Times New Roman" w:cs="Times New Roman"/>
          <w:color w:val="000000" w:themeColor="text1"/>
          <w:spacing w:val="0"/>
        </w:rPr>
        <w:softHyphen/>
        <w:t>емости никаких недостатков не отмечалось, поскольку вследствие перераспределения толщины брони центровка самолета даже сместилась несколько вперед по сравнению с серийным Ил-2 (17478).</w:t>
      </w:r>
    </w:p>
    <w:p w14:paraId="090AF855" w14:textId="77777777" w:rsidR="002E135C" w:rsidRPr="007224C3" w:rsidRDefault="002E135C" w:rsidP="007224C3">
      <w:pPr>
        <w:pStyle w:val="27"/>
        <w:shd w:val="clear" w:color="auto" w:fill="auto"/>
        <w:spacing w:after="0" w:line="240" w:lineRule="auto"/>
        <w:ind w:firstLine="0"/>
        <w:rPr>
          <w:rFonts w:ascii="Times New Roman" w:cs="Times New Roman"/>
          <w:color w:val="000000" w:themeColor="text1"/>
          <w:spacing w:val="0"/>
        </w:rPr>
      </w:pPr>
    </w:p>
    <w:p w14:paraId="04E59C7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июня 1944 А.E.Репин утвердил акт по гос. испытаниям модифицированного ЛаГГ-3 дублера с ВК-105ПФ-2 с винтом ВИШ-105СВ (N 105-2 производства 31 завода (февраль), ГК В.П.Горбунов с ВЯ-23 - 85 патр., которые начались 10 мая (самолет поступил 4) и были остановлены 12 мая для смены двигателя и продолжены с 1 июня по 12 июня 1944</w:t>
      </w:r>
    </w:p>
    <w:p w14:paraId="77AF3A1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Отв. исполнитель вед. инж. З-да ви п/п Ф.М.Шишкин</w:t>
      </w:r>
    </w:p>
    <w:p w14:paraId="1853A60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Вед. л 3 отд. НИИ ВВС гсс гм Дзюба</w:t>
      </w:r>
    </w:p>
    <w:p w14:paraId="5C14F3C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исп. Шишкин</w:t>
      </w:r>
    </w:p>
    <w:p w14:paraId="2AD994C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Цель испытаний:</w:t>
      </w:r>
    </w:p>
    <w:p w14:paraId="782C7A1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1. Определить ЛТД с-та</w:t>
      </w:r>
    </w:p>
    <w:p w14:paraId="5D53C2B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Дать оценку эксплуатационным свойствам с-та, ВМГ, вооружения и спецоборудования</w:t>
      </w:r>
    </w:p>
    <w:p w14:paraId="716250C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Оценить производственное и конструктивное выполнение с-та</w:t>
      </w:r>
    </w:p>
    <w:p w14:paraId="63C1E21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Объект испытаний: предъявленная на госиспытания машина завода № 31 выпуска февраля 1944</w:t>
      </w:r>
    </w:p>
    <w:p w14:paraId="200C949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сравнению с ранее испытывавшимся ЛаГГ-3 с мотором ВК-105ПФ (первый экз. С-та № 105-1)с-т дублер № 105-2 имеет следующие отличия:</w:t>
      </w:r>
    </w:p>
    <w:p w14:paraId="1DADD3E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планеру - изменена конструкция 4 и 5 шпангоутов фюзеляжа. В нижней ферме 4-го шпангоута произведено два круглых отверстия под тоннуль маслорадиатора, в шп. 5 изменен нижний ... под установку фермы для крепления сидения пилота и качалки управления РВ</w:t>
      </w:r>
    </w:p>
    <w:p w14:paraId="30A622D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в нижней части фюзеляжа перед тоннелем водорадиатора установлено два заборника воздуха для охлаждения маслорадиатора</w:t>
      </w:r>
    </w:p>
    <w:p w14:paraId="7093BCF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увеличено плечо качалки управления элеронами для уменьшения давления на ручку управления с-том</w:t>
      </w:r>
    </w:p>
    <w:p w14:paraId="6EC448C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изменены форма и конструкция ручки управления с-том по типу ручки стандартной кабины</w:t>
      </w:r>
    </w:p>
    <w:p w14:paraId="7B291BC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установлен дополнительный кронштейн для крепления лафета пушки ВЯ-23</w:t>
      </w:r>
    </w:p>
    <w:p w14:paraId="731AF27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ВМГ: установлен мотор ВК-105ПФ-2, установлен винт типа ВИШ-105СВ с профилированной комлевой частью лопастей, маслорадиатор типа ОП-352 заменен двумя последовательно соединенными рядами типа ВМС-8 с трубкой К-4, толщиной 0,1 мм</w:t>
      </w:r>
    </w:p>
    <w:p w14:paraId="6BD484F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изменен туннель маслорадиатора, который установлен в фюзеляже</w:t>
      </w:r>
    </w:p>
    <w:p w14:paraId="52FEBBF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изменена конструкция и перекомпоновыны ряд коробов и крышек капота мотора и управление заслонками маслорадиатора</w:t>
      </w:r>
    </w:p>
    <w:p w14:paraId="117D0B4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общая емкость б/б уменьшена на 28 л с 405 до 377 л</w:t>
      </w:r>
    </w:p>
    <w:p w14:paraId="05259C6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на носок вала редуктора установлен центробежный маслоотражатель типа ЛИИ НКАП</w:t>
      </w:r>
    </w:p>
    <w:p w14:paraId="0EECC79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изменен дренаж трубки суфлера бака</w:t>
      </w:r>
    </w:p>
    <w:p w14:paraId="2CB1FF5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выхлопные патрубки изготовлены по типу с-та Як-3 (рекомендация ЦАГИ)</w:t>
      </w:r>
    </w:p>
    <w:p w14:paraId="439C8BE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вооружению: установлена пушка ВЯ-23 с боезапасом 85 патронов вместо пушки МП-20 с б/з 160 патронов, пулемет УБС с б/з 185 патронов вместо 200 патронов</w:t>
      </w:r>
    </w:p>
    <w:p w14:paraId="67AF458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связи с установкой пушки ВЯ-23 изменено крепление пушки, форма и конструкция патронных коробок и гильзоотвода</w:t>
      </w:r>
    </w:p>
    <w:p w14:paraId="4A0C140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установлен звеньесборник для пушки ВЯ-23</w:t>
      </w:r>
    </w:p>
    <w:p w14:paraId="4C6845C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механизм управления оружием переведен на пневматику</w:t>
      </w:r>
    </w:p>
    <w:p w14:paraId="5749ADD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Спецприборы с-та 105-2 дублер такие же, как на с-те 105-1</w:t>
      </w:r>
    </w:p>
    <w:p w14:paraId="409F2D6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улучшения ЛТД проведены следующие мероприятия:</w:t>
      </w:r>
    </w:p>
    <w:p w14:paraId="359DC4E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улучшена внешняя отделка и введена полировка передней кромки крыла</w:t>
      </w:r>
    </w:p>
    <w:p w14:paraId="009693E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козырьку кабины пилота придана сферическая форма</w:t>
      </w:r>
    </w:p>
    <w:p w14:paraId="2BB4C62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улучшена герметизация противопожарной перегородки, крыла, кабины пилота и хвостовой части фюзеляжа</w:t>
      </w:r>
    </w:p>
    <w:p w14:paraId="5123B49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Согласно данным завода прочность с-та 105-2 и его основных агрегатов: фюзеляжа, крыла, центроплана, шасси удовлетворяет действующим нормам прочности.</w:t>
      </w:r>
    </w:p>
    <w:p w14:paraId="61D30C8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Расчет завода по флаттеру крыла серийного с-та ЛаГГ-3 в облегченном варианте произведен в ЦАГИ и получено разрешение на эксплуатацию на скорости до 700 км/час по прибору</w:t>
      </w:r>
    </w:p>
    <w:p w14:paraId="78959F1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Результаты испытаний:</w:t>
      </w:r>
    </w:p>
    <w:p w14:paraId="1F04363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 пибыл в НИИ 4 мая. Испытания начаты 10 мая, приостановлены по просьбе ГК с-та В.П.Горбунова для осмотра с-та и мотора и доводки тепловых режимов ВМГ 12 мая. Возобновлены 1 июня и закончены 12 июня. Выполнено 15 полетов с налетом 8:40</w:t>
      </w:r>
    </w:p>
    <w:p w14:paraId="7FA0396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 пустого 2285 22,5% САХ, угол капотирования 26:40</w:t>
      </w:r>
    </w:p>
    <w:p w14:paraId="40C861A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 полетный 2875 22.2% САХ, угол капотирования 28:40</w:t>
      </w:r>
    </w:p>
    <w:p w14:paraId="6256B66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Нормальная нагрузка:</w:t>
      </w:r>
    </w:p>
    <w:p w14:paraId="33A087D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экипаж - 90</w:t>
      </w:r>
    </w:p>
    <w:p w14:paraId="3088886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горючее (074 г,см3) - 280</w:t>
      </w:r>
    </w:p>
    <w:p w14:paraId="00E5482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масло - 27</w:t>
      </w:r>
    </w:p>
    <w:p w14:paraId="770D181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вооружение - пушка ВЯ-23 - 73, УБС - 21,5, б/з пушки (85) - 47, б/з пулемета (185) - 31,0</w:t>
      </w:r>
    </w:p>
    <w:p w14:paraId="4C621F1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связное оборудование - 20,5</w:t>
      </w:r>
    </w:p>
    <w:p w14:paraId="6B4FC0F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 - 590</w:t>
      </w:r>
    </w:p>
    <w:p w14:paraId="6DA9ECF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Таблица изменения веса 105-2 по сравнению с 105-1, проходившим испытания в НИИ в октябре 1943: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708"/>
        <w:gridCol w:w="709"/>
        <w:gridCol w:w="709"/>
      </w:tblGrid>
      <w:tr w:rsidR="005106D0" w:rsidRPr="007224C3" w14:paraId="564B20A1" w14:textId="77777777">
        <w:tc>
          <w:tcPr>
            <w:tcW w:w="2802" w:type="dxa"/>
            <w:tcBorders>
              <w:top w:val="single" w:sz="12" w:space="0" w:color="auto"/>
            </w:tcBorders>
          </w:tcPr>
          <w:p w14:paraId="2AF48CA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Наименование</w:t>
            </w:r>
          </w:p>
        </w:tc>
        <w:tc>
          <w:tcPr>
            <w:tcW w:w="708" w:type="dxa"/>
            <w:tcBorders>
              <w:top w:val="single" w:sz="12" w:space="0" w:color="auto"/>
            </w:tcBorders>
          </w:tcPr>
          <w:p w14:paraId="02C5DE0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105-2 дублер</w:t>
            </w:r>
          </w:p>
        </w:tc>
        <w:tc>
          <w:tcPr>
            <w:tcW w:w="709" w:type="dxa"/>
            <w:tcBorders>
              <w:top w:val="single" w:sz="12" w:space="0" w:color="auto"/>
            </w:tcBorders>
          </w:tcPr>
          <w:p w14:paraId="7BE3A52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105-1 первый</w:t>
            </w:r>
          </w:p>
        </w:tc>
        <w:tc>
          <w:tcPr>
            <w:tcW w:w="709" w:type="dxa"/>
            <w:tcBorders>
              <w:top w:val="single" w:sz="12" w:space="0" w:color="auto"/>
            </w:tcBorders>
          </w:tcPr>
          <w:p w14:paraId="6744D27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Разница</w:t>
            </w:r>
          </w:p>
        </w:tc>
      </w:tr>
      <w:tr w:rsidR="005106D0" w:rsidRPr="007224C3" w14:paraId="7ED3C144" w14:textId="77777777">
        <w:tc>
          <w:tcPr>
            <w:tcW w:w="2802" w:type="dxa"/>
          </w:tcPr>
          <w:p w14:paraId="1B2FB4E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Нормальный полетный вес</w:t>
            </w:r>
          </w:p>
        </w:tc>
        <w:tc>
          <w:tcPr>
            <w:tcW w:w="708" w:type="dxa"/>
          </w:tcPr>
          <w:p w14:paraId="103CCC4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2875</w:t>
            </w:r>
          </w:p>
        </w:tc>
        <w:tc>
          <w:tcPr>
            <w:tcW w:w="709" w:type="dxa"/>
          </w:tcPr>
          <w:p w14:paraId="0775940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2818</w:t>
            </w:r>
          </w:p>
        </w:tc>
        <w:tc>
          <w:tcPr>
            <w:tcW w:w="709" w:type="dxa"/>
          </w:tcPr>
          <w:p w14:paraId="44BC173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+57</w:t>
            </w:r>
          </w:p>
        </w:tc>
      </w:tr>
      <w:tr w:rsidR="005106D0" w:rsidRPr="007224C3" w14:paraId="09B36CBE" w14:textId="77777777">
        <w:tc>
          <w:tcPr>
            <w:tcW w:w="2802" w:type="dxa"/>
          </w:tcPr>
          <w:p w14:paraId="1CAA4C8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 пустого</w:t>
            </w:r>
          </w:p>
        </w:tc>
        <w:tc>
          <w:tcPr>
            <w:tcW w:w="708" w:type="dxa"/>
          </w:tcPr>
          <w:p w14:paraId="4C47D15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2285</w:t>
            </w:r>
          </w:p>
        </w:tc>
        <w:tc>
          <w:tcPr>
            <w:tcW w:w="709" w:type="dxa"/>
          </w:tcPr>
          <w:p w14:paraId="7A376DD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2234</w:t>
            </w:r>
          </w:p>
        </w:tc>
        <w:tc>
          <w:tcPr>
            <w:tcW w:w="709" w:type="dxa"/>
          </w:tcPr>
          <w:p w14:paraId="3B7EC75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+51</w:t>
            </w:r>
          </w:p>
        </w:tc>
      </w:tr>
      <w:tr w:rsidR="005106D0" w:rsidRPr="007224C3" w14:paraId="15CEE71B" w14:textId="77777777">
        <w:tc>
          <w:tcPr>
            <w:tcW w:w="2802" w:type="dxa"/>
          </w:tcPr>
          <w:p w14:paraId="435F77B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 нагрузки</w:t>
            </w:r>
          </w:p>
        </w:tc>
        <w:tc>
          <w:tcPr>
            <w:tcW w:w="708" w:type="dxa"/>
          </w:tcPr>
          <w:p w14:paraId="40804DE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590</w:t>
            </w:r>
          </w:p>
        </w:tc>
        <w:tc>
          <w:tcPr>
            <w:tcW w:w="709" w:type="dxa"/>
          </w:tcPr>
          <w:p w14:paraId="153A112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584</w:t>
            </w:r>
          </w:p>
        </w:tc>
        <w:tc>
          <w:tcPr>
            <w:tcW w:w="709" w:type="dxa"/>
          </w:tcPr>
          <w:p w14:paraId="6FB1DF4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w:t>
            </w:r>
          </w:p>
        </w:tc>
      </w:tr>
      <w:tr w:rsidR="005106D0" w:rsidRPr="007224C3" w14:paraId="13CD2E6D" w14:textId="77777777">
        <w:tc>
          <w:tcPr>
            <w:tcW w:w="2802" w:type="dxa"/>
          </w:tcPr>
          <w:p w14:paraId="3D84C1A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Центровка при нормальном полетном весе</w:t>
            </w:r>
          </w:p>
        </w:tc>
        <w:tc>
          <w:tcPr>
            <w:tcW w:w="708" w:type="dxa"/>
          </w:tcPr>
          <w:p w14:paraId="29065BD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25,2</w:t>
            </w:r>
          </w:p>
        </w:tc>
        <w:tc>
          <w:tcPr>
            <w:tcW w:w="709" w:type="dxa"/>
          </w:tcPr>
          <w:p w14:paraId="73FE331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23,7</w:t>
            </w:r>
          </w:p>
        </w:tc>
        <w:tc>
          <w:tcPr>
            <w:tcW w:w="709" w:type="dxa"/>
          </w:tcPr>
          <w:p w14:paraId="79FA564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w:t>
            </w:r>
          </w:p>
        </w:tc>
      </w:tr>
      <w:tr w:rsidR="005106D0" w:rsidRPr="007224C3" w14:paraId="0065DE06" w14:textId="77777777">
        <w:tc>
          <w:tcPr>
            <w:tcW w:w="2802" w:type="dxa"/>
          </w:tcPr>
          <w:p w14:paraId="417AC17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Предельная передняя эксплуатационная центровка</w:t>
            </w:r>
          </w:p>
        </w:tc>
        <w:tc>
          <w:tcPr>
            <w:tcW w:w="708" w:type="dxa"/>
          </w:tcPr>
          <w:p w14:paraId="1D5D097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23,9</w:t>
            </w:r>
          </w:p>
        </w:tc>
        <w:tc>
          <w:tcPr>
            <w:tcW w:w="709" w:type="dxa"/>
          </w:tcPr>
          <w:p w14:paraId="153FD64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22,3</w:t>
            </w:r>
          </w:p>
        </w:tc>
        <w:tc>
          <w:tcPr>
            <w:tcW w:w="709" w:type="dxa"/>
          </w:tcPr>
          <w:p w14:paraId="4D0CD57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tc>
      </w:tr>
      <w:tr w:rsidR="005106D0" w:rsidRPr="007224C3" w14:paraId="77DAE32C" w14:textId="77777777">
        <w:tc>
          <w:tcPr>
            <w:tcW w:w="2802" w:type="dxa"/>
            <w:tcBorders>
              <w:bottom w:val="single" w:sz="12" w:space="0" w:color="auto"/>
            </w:tcBorders>
          </w:tcPr>
          <w:p w14:paraId="5F032A9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Запас горючего 4Б-78</w:t>
            </w:r>
          </w:p>
        </w:tc>
        <w:tc>
          <w:tcPr>
            <w:tcW w:w="708" w:type="dxa"/>
            <w:tcBorders>
              <w:bottom w:val="single" w:sz="12" w:space="0" w:color="auto"/>
            </w:tcBorders>
          </w:tcPr>
          <w:p w14:paraId="1786260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280</w:t>
            </w:r>
          </w:p>
        </w:tc>
        <w:tc>
          <w:tcPr>
            <w:tcW w:w="709" w:type="dxa"/>
            <w:tcBorders>
              <w:bottom w:val="single" w:sz="12" w:space="0" w:color="auto"/>
            </w:tcBorders>
          </w:tcPr>
          <w:p w14:paraId="106E62E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300</w:t>
            </w:r>
          </w:p>
        </w:tc>
        <w:tc>
          <w:tcPr>
            <w:tcW w:w="709" w:type="dxa"/>
            <w:tcBorders>
              <w:bottom w:val="single" w:sz="12" w:space="0" w:color="auto"/>
            </w:tcBorders>
          </w:tcPr>
          <w:p w14:paraId="75D4981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w:t>
            </w:r>
          </w:p>
        </w:tc>
      </w:tr>
    </w:tbl>
    <w:p w14:paraId="2349F9E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Основные причины, вызвавшие увеличение веса - установка пушки ВЯ-23, усиления и конструкционные изменения</w:t>
      </w:r>
    </w:p>
    <w:p w14:paraId="68051AE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Основные ЛД</w:t>
      </w:r>
    </w:p>
    <w:p w14:paraId="26E6507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Скорость макс. у земли - 554</w:t>
      </w:r>
    </w:p>
    <w:p w14:paraId="6CAA77D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Скорость макс. на 1-й гр. высотности (1400) - 590</w:t>
      </w:r>
    </w:p>
    <w:p w14:paraId="62C4684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Скорость макс. на 2-й гр. высотности (3400) - 618</w:t>
      </w:r>
    </w:p>
    <w:p w14:paraId="23E1E26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Скорость макс. на 5000 - 593</w:t>
      </w:r>
    </w:p>
    <w:p w14:paraId="2BB69AF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Скорость макс. на 6000 - 578</w:t>
      </w:r>
    </w:p>
    <w:p w14:paraId="1764265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Время набора 5000 м - 4,8</w:t>
      </w:r>
    </w:p>
    <w:p w14:paraId="781F8FF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Потолок 10750</w:t>
      </w:r>
    </w:p>
    <w:p w14:paraId="6DE24DE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Граница переключения нагнетателя - 2000 на скорости 542</w:t>
      </w:r>
    </w:p>
    <w:p w14:paraId="1DD3245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Скорости вертикальные</w:t>
      </w:r>
    </w:p>
    <w:p w14:paraId="4825982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 земли - 18,1</w:t>
      </w:r>
    </w:p>
    <w:p w14:paraId="654A469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1 гр. 650 - 18,9</w:t>
      </w:r>
    </w:p>
    <w:p w14:paraId="6D82DA7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перекл. - 17,0</w:t>
      </w:r>
    </w:p>
    <w:p w14:paraId="50039EE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2 гр. (2500) - 19,2</w:t>
      </w:r>
    </w:p>
    <w:p w14:paraId="35F4136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5000 - 13,6</w:t>
      </w:r>
    </w:p>
    <w:p w14:paraId="6F99508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6000 - 11,3</w:t>
      </w:r>
    </w:p>
    <w:p w14:paraId="67B40DE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Мотор ВК-105ПФ-2 наработал с начала испытаний 44:02 и был снят из-за течи воды из блока через уплотнение гильзы</w:t>
      </w:r>
    </w:p>
    <w:p w14:paraId="018671A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Производилось сравнение с 105-1, Як-3 дублер, Ла-7 (испытанном в апреле 1944), с Ме-109G (январь 1943) и ФВ-190 А-4 (июль 1943).</w:t>
      </w:r>
    </w:p>
    <w:p w14:paraId="1DC2A42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Выводы:</w:t>
      </w:r>
    </w:p>
    <w:p w14:paraId="4F20448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ВМГ работает неудовлетворительно</w:t>
      </w:r>
    </w:p>
    <w:p w14:paraId="23F11A7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наборе высоты с полностью отурытым туннелем водорадиатора температура воды 116 гр, в горизонтальном полете - 115 (макс. допустимо - 110)</w:t>
      </w:r>
    </w:p>
    <w:p w14:paraId="7391F4B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Установленное пулеметно-пушечное вооружение не доведено.</w:t>
      </w:r>
    </w:p>
    <w:p w14:paraId="4166F3D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Искажение видимости предметов через сферическую часть козырька кабины пилота</w:t>
      </w:r>
    </w:p>
    <w:p w14:paraId="25A6533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с-те отсутствует аварийный сброс фонаря</w:t>
      </w:r>
    </w:p>
    <w:p w14:paraId="78D2DDA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Заключение:</w:t>
      </w:r>
    </w:p>
    <w:p w14:paraId="4C8D97B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Модифицированный с-т 1-5-2 дублер конструкции т. Горбунова постройки ОКБ завода № 31 госиспытания не выдержал по причине:</w:t>
      </w:r>
    </w:p>
    <w:p w14:paraId="6F016DA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низкие ЛТД для с-та большой модификации</w:t>
      </w:r>
    </w:p>
    <w:p w14:paraId="24D80E9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неудовлетворительная работа ВМГ и вооружения</w:t>
      </w:r>
    </w:p>
    <w:p w14:paraId="0FB45A7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2. Считать нецелесообразной продолжение работы по дальнейшей модификации с-та ЛаГГ-3 с мотором ВК-105ПФ-2</w:t>
      </w:r>
    </w:p>
    <w:p w14:paraId="14FEABF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 дублер подлежит сдаче на завод № 31</w:t>
      </w:r>
    </w:p>
    <w:p w14:paraId="091819C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Подписали с 20 по 24 июня (764,2).</w:t>
      </w:r>
    </w:p>
    <w:p w14:paraId="7CA24C4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CF4D5F" w14:textId="77777777" w:rsidR="00A70D91" w:rsidRPr="007224C3" w:rsidRDefault="00A70D91"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29 июня 1944 года Главный инженер ВВС КА генерал-полковник инженерно-авиационной службы А.К. Репин утвердил «Акт по результатам государственных испытаний модифицированного самолета ЛаГГ-3 с мотором ВК-105ПФ2 «Дублер»» и винтом ВИШ-105СВ, диаметром 3 м».</w:t>
      </w:r>
    </w:p>
    <w:p w14:paraId="65D7DA60" w14:textId="77777777" w:rsidR="00A70D91" w:rsidRPr="007224C3" w:rsidRDefault="00A70D91"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12 июня 1941 была завершена программа госиспытаний самолета 105-2, который был построен 31-м заводом в феврале 1944 года, а 4 мая после непродолжительных заводских испытаний поступил в НИИ ВВС на госиспытания. Всего было выполнено 15 полетов общей продолжительностью 8 часов 40 минут.</w:t>
      </w:r>
    </w:p>
    <w:p w14:paraId="24E17CCE" w14:textId="77777777" w:rsidR="00A70D91" w:rsidRPr="007224C3" w:rsidRDefault="00A70D91"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105-2 продемонстрировал неплохие результаты. У земли максимальная скорость составила 554 км/ч, на 1-й границе высотности (1400 метров) – 590 км/ч, на 2-й границе (3400 метров) – 618 км/ч, а на высотах в 5 и 6 километров самолет разгонялся, соответственно, до 593 и 578 километров в час. Время набора 5000 метров – 4,8 минуты. Потолок – 10750 метров. Оружие работало надежно. После отстрела в тире было выполнено три полета со стрельбой. Один – с ведением огня в горизонтальном полете на различных режимах работы двигателя и два – с прицельной стрельбой по наземным целям с пикирования. Было израсходовано два боекомплекта пулемета УБС и один – пушки ВЯ. Задержек не было. Помимо майора Дзюбы, самолет 105-2 облетали майоры Антипов и Прошаков.</w:t>
      </w:r>
    </w:p>
    <w:p w14:paraId="797DB2D7" w14:textId="77777777" w:rsidR="00A70D91" w:rsidRPr="007224C3" w:rsidRDefault="00A70D91"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Испытатели отмечали неплохое производственное исполнение машины, хорошую внешнюю отделку. Воздушная система уборки-выпуска шасси оказалась проще и надежнее гидравлической, работала безотказно и требовала меньшего ухода. Перенос маслорадиаторов сдвинул центр тяжести самолета назад, что привело к увеличению противокапотажного угла и повысило эффективность торможения. На рулении 105-2 был устойчив, на взлете прост, в полете имел хорошую управляемость. Однако на этом достоинства новой машины заканчивались.</w:t>
      </w:r>
    </w:p>
    <w:p w14:paraId="6642D14C" w14:textId="77777777" w:rsidR="00A70D91" w:rsidRPr="007224C3" w:rsidRDefault="00A70D91"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Минусов у 105-2 оказалось больше. Главным, конечно, были худшие высотно-скоростные характеристики, причем, не только по сравнению с Як-3, но и с Як-9У с мотором М-105ПФ2, испытанного в НИИ ВВС в марте 1944 года. Тепловые режимы мотоустановки оставляли желать лучшего. Горизонтальный полет на максимальной скорости был возможен в течение 3-4 минут, после чего температура воды и масла выходила за установленные пределы. Летчики не очень одобряли перенос маслорадиаторов практически в кабину – при вынужденной посадке это грозило серьезными ожогами из-за разрыва трубопроводов. Не смотря на простую технику пилотирования 105-2, при резкой даче газа и энергичном подъеме хвоста самолет стремился к правому развороту. Усилия на элероны в полете по-прежнему оставались велики. Летчик имел плохой обзор вперед из-за искажений видимости сферическим козырьком – по заявлениям испытателей, при взгляде сквозь козырек предметы буквально двоились. Отсутствовал аварийный сброс створки фонаря. Качество радиосвязи оценивалось как отвратительное. Девиация магнитного компаса вдвое превышала установленные нормы. Компоновка приборного оборудования сохранилась практически без изменений с самолетов 60-й серии и не соответствовала требованиям на стандартную кабину истребителя, введенным в 1943 году. Несмотря на отсутствие отказов, пользоваться вооружением было неудобно – усилия на гашетках были слишком велики. Для УБС – 14-15 кг, а для пушки ВЯ и того больше – 20- 22 кг. При залповой стрельбе огонь можно было вести только двумя руками. Предохранитель гашеток работал ненадежно. При стрельбе могло произойти самопроизвольное стопорение гашеток, а при энергичном торможении рычаг тормоза заедал гашетки, что приводило к самопроизвольной стрельбе. Был зафиксирован один случай такой стрельбы из пушки очередью в 20 патронов. Выброс гильз пулемета за левый борт не обеспечивал безопасного ведения огня – стреляные гильзы царапали крыло и борт фюзеляжа. Для демонтажа пушки предварительно требовалось снять маслобак, звеньесборник пушки, звеньеотвод, патронный рукав и лючек противопожарной перегородки. При замене мотора снималась вся пушечная установка вместе с лафетом. Заключение к отчету было лаконичным:</w:t>
      </w:r>
    </w:p>
    <w:p w14:paraId="2C643FBB" w14:textId="77777777" w:rsidR="00A70D91" w:rsidRPr="007224C3" w:rsidRDefault="00A70D91"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«1. Модифицированный самолет 105-2 с мотором ВК-105ПФ2 «Дублер» конструкции тов. Горбунова В.П. постройки ОКБ завода № 31 государственные испытания НЕ ВЫДЕРЖАЛ по причине:</w:t>
      </w:r>
    </w:p>
    <w:p w14:paraId="1CEDAAB9" w14:textId="77777777" w:rsidR="00A70D91" w:rsidRPr="007224C3" w:rsidRDefault="00A70D91"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а) низких летно-технических данных для самолета большой модификации,</w:t>
      </w:r>
    </w:p>
    <w:p w14:paraId="64BB411D" w14:textId="77777777" w:rsidR="00A70D91" w:rsidRPr="007224C3" w:rsidRDefault="00A70D91"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б) недоведенности винто-моторной группы и вооружения.</w:t>
      </w:r>
    </w:p>
    <w:p w14:paraId="7EBDE16E" w14:textId="77777777" w:rsidR="00A70D91" w:rsidRPr="007224C3" w:rsidRDefault="00A70D91"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 Считать нецелесообразной продолжение работы по дальнейшей модификации самолета ЛаГГ-3 с мотором ВК-105ПФ2</w:t>
      </w:r>
    </w:p>
    <w:p w14:paraId="557E2861" w14:textId="77777777" w:rsidR="00A70D91" w:rsidRPr="007224C3" w:rsidRDefault="00A70D91"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3. Самолет 105-2 с мотором ВК-105ПФ2 «Дублер» подлежит сдаче на завод № 31» (23197).</w:t>
      </w:r>
    </w:p>
    <w:p w14:paraId="63DFEEF9" w14:textId="77777777" w:rsidR="00A70D91" w:rsidRPr="007224C3" w:rsidRDefault="00A70D91" w:rsidP="007224C3">
      <w:pPr>
        <w:spacing w:after="0" w:line="240" w:lineRule="auto"/>
        <w:jc w:val="both"/>
        <w:rPr>
          <w:rFonts w:ascii="Times New Roman" w:hAnsi="Times New Roman"/>
          <w:color w:val="0070C0"/>
          <w:sz w:val="16"/>
          <w:szCs w:val="16"/>
        </w:rPr>
      </w:pPr>
    </w:p>
    <w:p w14:paraId="7954F6D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июня 1944 Зам. Нач. 7ГУ Алексеев подготовил сводку г-7 № 8675 о ходе испытаний высотных самолетов на 27 и 28 июня 1944 по Ла-5 АШ-82ФН и 2ТК-3, МиГ АМ-39А и 2ТК-2Б (1825,88).</w:t>
      </w:r>
    </w:p>
    <w:p w14:paraId="4B8F699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ВЫСОТНЫЙ ИСТРЕБИТЕЛЬ МИГ С АМ-39Б И 2ТК-2Б.</w:t>
      </w:r>
    </w:p>
    <w:p w14:paraId="57D339B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27 июня произведен полет на определение границы высотности самол&amp;та на второй скорости нагнетателя с полностью включенными ТК.</w:t>
      </w:r>
    </w:p>
    <w:p w14:paraId="5D5B377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Продолжителъность полета - 25 мин, высота—7000 мт.</w:t>
      </w:r>
    </w:p>
    <w:p w14:paraId="0F6AC8D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Начиная с высоты 6000 мт, мотор неоднократно обрезал в полете, из-за чего полет был прекращен.</w:t>
      </w:r>
    </w:p>
    <w:p w14:paraId="0EA78AF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осмотре самолета на земле дефектов, могущих влиять на работу мотора, не обнаружено. По предположению представителя завода № 300 тов. САЗОНОВА обрезание мотора происходило по вине системы зажигания.</w:t>
      </w:r>
    </w:p>
    <w:p w14:paraId="4C8AFBA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Произведена замена магнето и свечей.</w:t>
      </w:r>
    </w:p>
    <w:p w14:paraId="0AE5DC7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 июня произведен полет на. определение границы высотности самолета на 2-й скорости наг</w:t>
      </w:r>
      <w:r w:rsidRPr="007224C3">
        <w:rPr>
          <w:rFonts w:ascii="Times New Roman" w:hAnsi="Times New Roman"/>
          <w:color w:val="000000" w:themeColor="text1"/>
          <w:sz w:val="16"/>
          <w:szCs w:val="16"/>
        </w:rPr>
        <w:softHyphen/>
        <w:t>нетателя с полностью включенными ТК. Продолжит ар</w:t>
      </w:r>
      <w:r w:rsidRPr="007224C3">
        <w:rPr>
          <w:rFonts w:ascii="Times New Roman" w:hAnsi="Times New Roman"/>
          <w:color w:val="000000" w:themeColor="text1"/>
          <w:sz w:val="16"/>
          <w:szCs w:val="16"/>
        </w:rPr>
        <w:softHyphen/>
        <w:t>ность полета - 25 мин., высота - 10000 мт.</w:t>
      </w:r>
    </w:p>
    <w:p w14:paraId="2F467E3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Как и в прошлом полете, начиная с высоты 6000 мт, мотор обрезал в полете и на 10000 мт мотор остановился, чему предшествовала раскрутка правого Т К. Выключив турбокомпрессоры, летчик запустил мо</w:t>
      </w:r>
      <w:r w:rsidRPr="007224C3">
        <w:rPr>
          <w:rFonts w:ascii="Times New Roman" w:hAnsi="Times New Roman"/>
          <w:color w:val="000000" w:themeColor="text1"/>
          <w:sz w:val="16"/>
          <w:szCs w:val="16"/>
        </w:rPr>
        <w:softHyphen/>
        <w:t>тор с помощью воздушного самопуска и произвел по</w:t>
      </w:r>
      <w:r w:rsidRPr="007224C3">
        <w:rPr>
          <w:rFonts w:ascii="Times New Roman" w:hAnsi="Times New Roman"/>
          <w:color w:val="000000" w:themeColor="text1"/>
          <w:sz w:val="16"/>
          <w:szCs w:val="16"/>
        </w:rPr>
        <w:softHyphen/>
        <w:t>садку.</w:t>
      </w:r>
    </w:p>
    <w:p w14:paraId="3E63FEE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осмотре самолета на земле обнаружено заклинение правого ТК.</w:t>
      </w:r>
    </w:p>
    <w:p w14:paraId="1D36F3B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самолета сняты оба ТК и отправлены в ЦИАМ для осмотра и устранения дефектов.</w:t>
      </w:r>
    </w:p>
    <w:p w14:paraId="6030300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Причины произвольного выключения работы мото</w:t>
      </w:r>
      <w:r w:rsidRPr="007224C3">
        <w:rPr>
          <w:rFonts w:ascii="Times New Roman" w:hAnsi="Times New Roman"/>
          <w:color w:val="000000" w:themeColor="text1"/>
          <w:sz w:val="16"/>
          <w:szCs w:val="16"/>
        </w:rPr>
        <w:softHyphen/>
        <w:t>ра в полете и раскрутка ТК выясняются представите</w:t>
      </w:r>
      <w:r w:rsidRPr="007224C3">
        <w:rPr>
          <w:rFonts w:ascii="Times New Roman" w:hAnsi="Times New Roman"/>
          <w:color w:val="000000" w:themeColor="text1"/>
          <w:sz w:val="16"/>
          <w:szCs w:val="16"/>
        </w:rPr>
        <w:softHyphen/>
        <w:t>лями завода № 300 и ЦИАМ"а.</w:t>
      </w:r>
    </w:p>
    <w:p w14:paraId="33AF957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ВЫСОТНЫЙ ИСТРЕБИТЕЛЬ ЛА-5 С АШ-82ФН и 2ТК-3.</w:t>
      </w:r>
    </w:p>
    <w:p w14:paraId="7206126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Полетов не производилось из-за отсут</w:t>
      </w:r>
      <w:r w:rsidRPr="007224C3">
        <w:rPr>
          <w:rFonts w:ascii="Times New Roman" w:hAnsi="Times New Roman"/>
          <w:color w:val="000000" w:themeColor="text1"/>
          <w:sz w:val="16"/>
          <w:szCs w:val="16"/>
        </w:rPr>
        <w:softHyphen/>
        <w:t>ствия погоды для высотных полетов. Для оказания технической помощи товв. ЛАВОЧКИНУ по вопросам доводки винтомотной группы высотного самолета были командиован в ОКБ-21 начальник ЦИАМ тов. ПОЛИТКОВСКИЙ, ГК ТК тов. ДМИТРИЕВСКИЙ и и ЦАГИ тов. ЗАК.</w:t>
      </w:r>
    </w:p>
    <w:p w14:paraId="6DFC01C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Указанными гпециалистами были разработаны рекомендации, на основании которых Седьмым Главнш Управлением дано указание тов. ЛАВОЧКИНУ-о срочном проведении их на самолете (1825).</w:t>
      </w:r>
    </w:p>
    <w:p w14:paraId="77DC465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827F5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июня 1944 была сформирована истребительная эскадрилья на самолетах Як-9ДД для работы в Италии. До прибытия в Италию ИАЭ произвела 510 учебно-тренировочных полетов с налетом 420 часов. За время пребывания в Италии, с 25.8 по 15.10, ИАЭ особого назначения произвела 126 самолето-вылетов с налетом 321 час, летая над Адриатическим морем и горами. Кроме того, произведен перелет Москва-Бари (Италия) - 2500 км, продолжительностью за 6 часов 15 минут (1825).</w:t>
      </w:r>
    </w:p>
    <w:p w14:paraId="215C3EC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E1B3D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июня 1944 г. после завершения дополнительных испыта</w:t>
      </w:r>
      <w:r w:rsidRPr="007224C3">
        <w:rPr>
          <w:rFonts w:ascii="Times New Roman" w:hAnsi="Times New Roman"/>
          <w:color w:val="000000" w:themeColor="text1"/>
          <w:sz w:val="16"/>
          <w:szCs w:val="16"/>
        </w:rPr>
        <w:softHyphen/>
        <w:t>ний И—220 зав. № 01, которые подтвердили полученные ранее результаты, машина была передана на госиспытания [23]. Ответственными за проведение государственных испытаний И—220 зав. № 01 с мотором АМ—39 в НИИ ВВС на этот раз назначили ведущего инженера В.И.Алексеенко и летчика-испытателя Д.Г.Пикуленко. Уже через десять дней испытания пришлось пре</w:t>
      </w:r>
      <w:r w:rsidRPr="007224C3">
        <w:rPr>
          <w:rFonts w:ascii="Times New Roman" w:hAnsi="Times New Roman"/>
          <w:color w:val="000000" w:themeColor="text1"/>
          <w:sz w:val="16"/>
          <w:szCs w:val="16"/>
        </w:rPr>
        <w:softHyphen/>
        <w:t>рвать из-за разрушения нагнетателя АМ—39 (9984).</w:t>
      </w:r>
    </w:p>
    <w:p w14:paraId="6FBCD42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24046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июня 1944 ТИС (МА), испытания которого начались 1 июня, а первый полет был выполнен 13 июня, потерпел аварию. В конце пробега отказали тормоза. Ремонтировали с 30 июня по 30 июля 1944 (10535,34).</w:t>
      </w:r>
    </w:p>
    <w:p w14:paraId="12C8F53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7377F3" w14:textId="77777777" w:rsidR="000F083A" w:rsidRPr="007224C3" w:rsidRDefault="000F083A" w:rsidP="007224C3">
      <w:pPr>
        <w:pStyle w:val="27"/>
        <w:shd w:val="clear" w:color="auto" w:fill="auto"/>
        <w:spacing w:after="0" w:line="240" w:lineRule="auto"/>
        <w:ind w:firstLine="0"/>
        <w:rPr>
          <w:rFonts w:ascii="Times New Roman" w:cs="Times New Roman"/>
          <w:color w:val="000000" w:themeColor="text1"/>
          <w:spacing w:val="0"/>
        </w:rPr>
      </w:pPr>
      <w:r w:rsidRPr="007224C3">
        <w:rPr>
          <w:rFonts w:ascii="Times New Roman" w:cs="Times New Roman"/>
          <w:color w:val="000000" w:themeColor="text1"/>
          <w:spacing w:val="0"/>
        </w:rPr>
        <w:t>29 июня 1944 при посадке без щит</w:t>
      </w:r>
      <w:r w:rsidRPr="007224C3">
        <w:rPr>
          <w:rFonts w:ascii="Times New Roman" w:cs="Times New Roman"/>
          <w:color w:val="000000" w:themeColor="text1"/>
          <w:spacing w:val="0"/>
        </w:rPr>
        <w:softHyphen/>
        <w:t>ков (Н.В. Гаврилов забыл их выпустить) в конце пробега отказали тормоза, са</w:t>
      </w:r>
      <w:r w:rsidRPr="007224C3">
        <w:rPr>
          <w:rFonts w:ascii="Times New Roman" w:cs="Times New Roman"/>
          <w:color w:val="000000" w:themeColor="text1"/>
          <w:spacing w:val="0"/>
        </w:rPr>
        <w:softHyphen/>
        <w:t>молет ТИС (МА) выкатился за пределы аэродро</w:t>
      </w:r>
      <w:r w:rsidRPr="007224C3">
        <w:rPr>
          <w:rFonts w:ascii="Times New Roman" w:cs="Times New Roman"/>
          <w:color w:val="000000" w:themeColor="text1"/>
          <w:spacing w:val="0"/>
        </w:rPr>
        <w:softHyphen/>
        <w:t>ма, попал в канаву и подломал левую стойку шасси. Очередной ремонт са</w:t>
      </w:r>
      <w:r w:rsidRPr="007224C3">
        <w:rPr>
          <w:rFonts w:ascii="Times New Roman" w:cs="Times New Roman"/>
          <w:color w:val="000000" w:themeColor="text1"/>
          <w:spacing w:val="0"/>
        </w:rPr>
        <w:softHyphen/>
        <w:t>молета продолжался до 30 июля. При</w:t>
      </w:r>
      <w:r w:rsidRPr="007224C3">
        <w:rPr>
          <w:rFonts w:ascii="Times New Roman" w:cs="Times New Roman"/>
          <w:color w:val="000000" w:themeColor="text1"/>
          <w:spacing w:val="0"/>
        </w:rPr>
        <w:softHyphen/>
        <w:t>шлось ремонтировать фюзеляж, крыло, шасси и оперение. Заменили моторы и винты. Одновременно для увеличения запаса рулей высоты на посадке изме</w:t>
      </w:r>
      <w:r w:rsidRPr="007224C3">
        <w:rPr>
          <w:rFonts w:ascii="Times New Roman" w:cs="Times New Roman"/>
          <w:color w:val="000000" w:themeColor="text1"/>
          <w:spacing w:val="0"/>
        </w:rPr>
        <w:softHyphen/>
        <w:t>нили угол установки стабилизатора на -2°30'. При первых же пробежках после ремонта обнаружилось, что тормоза ко</w:t>
      </w:r>
      <w:r w:rsidRPr="007224C3">
        <w:rPr>
          <w:rFonts w:ascii="Times New Roman" w:cs="Times New Roman"/>
          <w:color w:val="000000" w:themeColor="text1"/>
          <w:spacing w:val="0"/>
        </w:rPr>
        <w:softHyphen/>
        <w:t>лес шасси работают все так же недо</w:t>
      </w:r>
      <w:r w:rsidRPr="007224C3">
        <w:rPr>
          <w:rFonts w:ascii="Times New Roman" w:cs="Times New Roman"/>
          <w:color w:val="000000" w:themeColor="text1"/>
          <w:spacing w:val="0"/>
        </w:rPr>
        <w:softHyphen/>
        <w:t>статочно эффективно</w:t>
      </w:r>
      <w:r w:rsidRPr="007224C3">
        <w:rPr>
          <w:rStyle w:val="aff7"/>
          <w:rFonts w:ascii="Times New Roman" w:eastAsia="Arial Narrow" w:hAnsi="Times New Roman" w:cs="Times New Roman"/>
          <w:i w:val="0"/>
          <w:color w:val="000000" w:themeColor="text1"/>
          <w:spacing w:val="0"/>
        </w:rPr>
        <w:t xml:space="preserve"> и</w:t>
      </w:r>
      <w:r w:rsidRPr="007224C3">
        <w:rPr>
          <w:rFonts w:ascii="Times New Roman" w:cs="Times New Roman"/>
          <w:color w:val="000000" w:themeColor="text1"/>
          <w:spacing w:val="0"/>
        </w:rPr>
        <w:t xml:space="preserve"> посадка на Цен</w:t>
      </w:r>
      <w:r w:rsidRPr="007224C3">
        <w:rPr>
          <w:rFonts w:ascii="Times New Roman" w:cs="Times New Roman"/>
          <w:color w:val="000000" w:themeColor="text1"/>
          <w:spacing w:val="0"/>
        </w:rPr>
        <w:softHyphen/>
        <w:t>тральном аэродроме возможна лишь в одном направлении. По этой причи</w:t>
      </w:r>
      <w:r w:rsidRPr="007224C3">
        <w:rPr>
          <w:rFonts w:ascii="Times New Roman" w:cs="Times New Roman"/>
          <w:color w:val="000000" w:themeColor="text1"/>
          <w:spacing w:val="0"/>
        </w:rPr>
        <w:softHyphen/>
        <w:t>не было принято решение продолжить испытания на аэродроме ЛИИ НКАП в Раменском, куда самолет перелетел 14 августа. Моторы АМ-38ф работали нормально, что позволило к 16 сентября завершить программу заводских летных испытаний (15758).</w:t>
      </w:r>
    </w:p>
    <w:p w14:paraId="62CD779F" w14:textId="77777777" w:rsidR="000F083A" w:rsidRPr="007224C3" w:rsidRDefault="000F083A" w:rsidP="007224C3">
      <w:pPr>
        <w:spacing w:after="0" w:line="240" w:lineRule="auto"/>
        <w:jc w:val="both"/>
        <w:rPr>
          <w:rFonts w:ascii="Times New Roman" w:hAnsi="Times New Roman"/>
          <w:color w:val="000000" w:themeColor="text1"/>
          <w:sz w:val="16"/>
          <w:szCs w:val="16"/>
        </w:rPr>
      </w:pPr>
    </w:p>
    <w:p w14:paraId="7F730080" w14:textId="77777777" w:rsidR="00B049B7" w:rsidRPr="007224C3" w:rsidRDefault="00B049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29 июня</w:t>
      </w:r>
      <w:r w:rsidRPr="007224C3">
        <w:rPr>
          <w:rFonts w:ascii="Times New Roman" w:hAnsi="Times New Roman"/>
          <w:color w:val="000000" w:themeColor="text1"/>
          <w:sz w:val="16"/>
          <w:szCs w:val="16"/>
        </w:rPr>
        <w:t xml:space="preserve"> в 1944 году самолет ТИС (МА) потерпел аварию, в конце пробега отказали тормоза. Летчик-испытатель полковник Н.В.Гаврилов Ремонт продолжался целый месяц (с 30 июня по 30 июля), 14 августа летные испытания возобновились в ЛИИ и продолжались до 16 сентября (14937).</w:t>
      </w:r>
    </w:p>
    <w:p w14:paraId="79E7245C" w14:textId="77777777" w:rsidR="00B049B7" w:rsidRPr="007224C3" w:rsidRDefault="00B049B7" w:rsidP="007224C3">
      <w:pPr>
        <w:spacing w:after="0" w:line="240" w:lineRule="auto"/>
        <w:jc w:val="both"/>
        <w:rPr>
          <w:rFonts w:ascii="Times New Roman" w:hAnsi="Times New Roman"/>
          <w:color w:val="000000" w:themeColor="text1"/>
          <w:sz w:val="16"/>
          <w:szCs w:val="16"/>
        </w:rPr>
      </w:pPr>
    </w:p>
    <w:p w14:paraId="336AD2F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июня 1944 в конце пробега на ТИС (МА) отказали тормоза и самолет потерпел аварию. Ремонт продолжался целый месяц - с 30 июня по 30 июля. 14 августа летные испытания возоб</w:t>
      </w:r>
      <w:r w:rsidRPr="007224C3">
        <w:rPr>
          <w:rFonts w:ascii="Times New Roman" w:hAnsi="Times New Roman"/>
          <w:color w:val="000000" w:themeColor="text1"/>
          <w:sz w:val="16"/>
          <w:szCs w:val="16"/>
        </w:rPr>
        <w:softHyphen/>
        <w:t>новились в ЛИИ НКАП и продолжались по 16 сентября. ТИС (МА) развивал максимальную скорость у земли 514 км/ч, на высоте 1660 м - 535 км/ч. Летные характе</w:t>
      </w:r>
      <w:r w:rsidRPr="007224C3">
        <w:rPr>
          <w:rFonts w:ascii="Times New Roman" w:hAnsi="Times New Roman"/>
          <w:color w:val="000000" w:themeColor="text1"/>
          <w:sz w:val="16"/>
          <w:szCs w:val="16"/>
        </w:rPr>
        <w:softHyphen/>
        <w:t>ристики самолета практически не отличались от расчет</w:t>
      </w:r>
      <w:r w:rsidRPr="007224C3">
        <w:rPr>
          <w:rFonts w:ascii="Times New Roman" w:hAnsi="Times New Roman"/>
          <w:color w:val="000000" w:themeColor="text1"/>
          <w:sz w:val="16"/>
          <w:szCs w:val="16"/>
        </w:rPr>
        <w:softHyphen/>
        <w:t xml:space="preserve">ных, а это позволяло надеяться, что с двигателями АМ-39А летные характеристики ТИС (МА) </w:t>
      </w:r>
      <w:r w:rsidRPr="007224C3">
        <w:rPr>
          <w:rFonts w:ascii="Times New Roman" w:hAnsi="Times New Roman"/>
          <w:color w:val="000000" w:themeColor="text1"/>
          <w:sz w:val="16"/>
          <w:szCs w:val="16"/>
        </w:rPr>
        <w:lastRenderedPageBreak/>
        <w:t>также будут соответствовать расчетным (максимальная скорость -650 км/ч на высоте 7150 м, время подъема на высоту 5000 м - 6,4 мин). В выводах по испытаниям подчеркивалось, что «по технике пилотирования и взлетно-посадочным свойст</w:t>
      </w:r>
      <w:r w:rsidRPr="007224C3">
        <w:rPr>
          <w:rFonts w:ascii="Times New Roman" w:hAnsi="Times New Roman"/>
          <w:color w:val="000000" w:themeColor="text1"/>
          <w:sz w:val="16"/>
          <w:szCs w:val="16"/>
        </w:rPr>
        <w:softHyphen/>
        <w:t>вам самолет доступен для летчика средней квалифика</w:t>
      </w:r>
      <w:r w:rsidRPr="007224C3">
        <w:rPr>
          <w:rFonts w:ascii="Times New Roman" w:hAnsi="Times New Roman"/>
          <w:color w:val="000000" w:themeColor="text1"/>
          <w:sz w:val="16"/>
          <w:szCs w:val="16"/>
        </w:rPr>
        <w:softHyphen/>
        <w:t>ции». Вопрос о постройке серии не возникал. Объяснялось это тем, что дальних бомбардировщиков Пе-8 (ТБ-7), для сопровождения которых предназначался ТИС, вы</w:t>
      </w:r>
      <w:r w:rsidRPr="007224C3">
        <w:rPr>
          <w:rFonts w:ascii="Times New Roman" w:hAnsi="Times New Roman"/>
          <w:color w:val="000000" w:themeColor="text1"/>
          <w:sz w:val="16"/>
          <w:szCs w:val="16"/>
        </w:rPr>
        <w:softHyphen/>
        <w:t>пустили всего 79 экземпляров. Применялись они мел</w:t>
      </w:r>
      <w:r w:rsidRPr="007224C3">
        <w:rPr>
          <w:rFonts w:ascii="Times New Roman" w:hAnsi="Times New Roman"/>
          <w:color w:val="000000" w:themeColor="text1"/>
          <w:sz w:val="16"/>
          <w:szCs w:val="16"/>
        </w:rPr>
        <w:softHyphen/>
        <w:t>кими группами, ночью. В этих условиях большой необходимости в постройке специализированных ис</w:t>
      </w:r>
      <w:r w:rsidRPr="007224C3">
        <w:rPr>
          <w:rFonts w:ascii="Times New Roman" w:hAnsi="Times New Roman"/>
          <w:color w:val="000000" w:themeColor="text1"/>
          <w:sz w:val="16"/>
          <w:szCs w:val="16"/>
        </w:rPr>
        <w:softHyphen/>
        <w:t>требителей сопровождения не было. Схема ТИС позволяла относительно просто превра</w:t>
      </w:r>
      <w:r w:rsidRPr="007224C3">
        <w:rPr>
          <w:rFonts w:ascii="Times New Roman" w:hAnsi="Times New Roman"/>
          <w:color w:val="000000" w:themeColor="text1"/>
          <w:sz w:val="16"/>
          <w:szCs w:val="16"/>
        </w:rPr>
        <w:softHyphen/>
        <w:t>тить его в ночной истребитель-перехватчик, но в то вре</w:t>
      </w:r>
      <w:r w:rsidRPr="007224C3">
        <w:rPr>
          <w:rFonts w:ascii="Times New Roman" w:hAnsi="Times New Roman"/>
          <w:color w:val="000000" w:themeColor="text1"/>
          <w:sz w:val="16"/>
          <w:szCs w:val="16"/>
        </w:rPr>
        <w:softHyphen/>
        <w:t>мя такой вариант не рассматривался. Конструктивно ТИС представлял собой моноплан цельнометаллической конструкции с разнесенным вер</w:t>
      </w:r>
      <w:r w:rsidRPr="007224C3">
        <w:rPr>
          <w:rFonts w:ascii="Times New Roman" w:hAnsi="Times New Roman"/>
          <w:color w:val="000000" w:themeColor="text1"/>
          <w:sz w:val="16"/>
          <w:szCs w:val="16"/>
        </w:rPr>
        <w:softHyphen/>
        <w:t>тикальным оперением и взлетным весом 8000-8300 кг. Войти в кабину можно было через нижний люк-лестни</w:t>
      </w:r>
      <w:r w:rsidRPr="007224C3">
        <w:rPr>
          <w:rFonts w:ascii="Times New Roman" w:hAnsi="Times New Roman"/>
          <w:color w:val="000000" w:themeColor="text1"/>
          <w:sz w:val="16"/>
          <w:szCs w:val="16"/>
        </w:rPr>
        <w:softHyphen/>
        <w:t>цу. В воздухе люк можно было сбросить из любой каби</w:t>
      </w:r>
      <w:r w:rsidRPr="007224C3">
        <w:rPr>
          <w:rFonts w:ascii="Times New Roman" w:hAnsi="Times New Roman"/>
          <w:color w:val="000000" w:themeColor="text1"/>
          <w:sz w:val="16"/>
          <w:szCs w:val="16"/>
        </w:rPr>
        <w:softHyphen/>
        <w:t>ны. Крыло имело размах 15,5 м. Шасси убиралось пневмоприводом. Вооружение ТИС (А) состояло из че</w:t>
      </w:r>
      <w:r w:rsidRPr="007224C3">
        <w:rPr>
          <w:rFonts w:ascii="Times New Roman" w:hAnsi="Times New Roman"/>
          <w:color w:val="000000" w:themeColor="text1"/>
          <w:sz w:val="16"/>
          <w:szCs w:val="16"/>
        </w:rPr>
        <w:softHyphen/>
        <w:t>тырех пулеметов ШКАС в носовой батарее, двух пушек ШВАК и двух пулеметов БС в центроплане. У стрелка-ра</w:t>
      </w:r>
      <w:r w:rsidRPr="007224C3">
        <w:rPr>
          <w:rFonts w:ascii="Times New Roman" w:hAnsi="Times New Roman"/>
          <w:color w:val="000000" w:themeColor="text1"/>
          <w:sz w:val="16"/>
          <w:szCs w:val="16"/>
        </w:rPr>
        <w:softHyphen/>
        <w:t>диста находился один ШКАС на турели и один в люковой установке. Вооружение ТИС (МА) было мощнее: две пушки ШВАК в носовой батарее, две пушки 11П калибра 37 мм или две пушки 11Ш калибра 45 мм в центроплане, один пулемет УБТ у стрелка-радиста. Предусматривалась внешняя подвеска 1000 кг бомб. На самолете стояли мощное по тем временам навигационное оборудование, радиостанция, фотоаппаратура. Помимо своего основно</w:t>
      </w:r>
      <w:r w:rsidRPr="007224C3">
        <w:rPr>
          <w:rFonts w:ascii="Times New Roman" w:hAnsi="Times New Roman"/>
          <w:color w:val="000000" w:themeColor="text1"/>
          <w:sz w:val="16"/>
          <w:szCs w:val="16"/>
        </w:rPr>
        <w:softHyphen/>
        <w:t>го назначения, ТИС мог использоваться как разведчик и штурмовик-бомбардировщик (10667).</w:t>
      </w:r>
    </w:p>
    <w:p w14:paraId="242CE73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9AFD2E5" w14:textId="77777777" w:rsidR="00262E37" w:rsidRPr="007224C3" w:rsidRDefault="00262E37"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29 июня 1944 при посадке без щитков (Н. В. Гаврилов забыл выпустить их) в конце пробе</w:t>
      </w:r>
      <w:r w:rsidRPr="007224C3">
        <w:rPr>
          <w:color w:val="000000" w:themeColor="text1"/>
          <w:sz w:val="16"/>
          <w:szCs w:val="16"/>
        </w:rPr>
        <w:softHyphen/>
        <w:t>га отказали тормоза, самолет выкатился за пределы аэродрома, попал в канаву и подломал левую стой</w:t>
      </w:r>
      <w:r w:rsidRPr="007224C3">
        <w:rPr>
          <w:color w:val="000000" w:themeColor="text1"/>
          <w:sz w:val="16"/>
          <w:szCs w:val="16"/>
        </w:rPr>
        <w:softHyphen/>
        <w:t>ку основного шасси. Очередной ремонт самолета продолжался до 30 июля. Пришлось ремонтиро</w:t>
      </w:r>
      <w:r w:rsidRPr="007224C3">
        <w:rPr>
          <w:color w:val="000000" w:themeColor="text1"/>
          <w:sz w:val="16"/>
          <w:szCs w:val="16"/>
        </w:rPr>
        <w:softHyphen/>
        <w:t>вать фюзеляж, крыло, шасси и оперение. Заменили левую мотораму, оба мотора и винты. Одновремен</w:t>
      </w:r>
      <w:r w:rsidRPr="007224C3">
        <w:rPr>
          <w:color w:val="000000" w:themeColor="text1"/>
          <w:sz w:val="16"/>
          <w:szCs w:val="16"/>
        </w:rPr>
        <w:softHyphen/>
        <w:t>но для увеличения запаса рулей высоты на посадке изменили угол установки стабилизатора на —2°30'. При первых же пробежках после ремонта 30 июля обнаружилось, что тормоза колес шасси работают все так же недостаточно эффективно и посадка на Центральном аэродроме возможна лишь в од</w:t>
      </w:r>
      <w:r w:rsidRPr="007224C3">
        <w:rPr>
          <w:color w:val="000000" w:themeColor="text1"/>
          <w:sz w:val="16"/>
          <w:szCs w:val="16"/>
        </w:rPr>
        <w:softHyphen/>
        <w:t>ном направлении. По этой причине было приня</w:t>
      </w:r>
      <w:r w:rsidRPr="007224C3">
        <w:rPr>
          <w:color w:val="000000" w:themeColor="text1"/>
          <w:sz w:val="16"/>
          <w:szCs w:val="16"/>
        </w:rPr>
        <w:softHyphen/>
        <w:t>то решение продолжить испытания на аэродроме ЛИИ НКАП в Раменском, куда самолет перелетел 14 августа. Моторы АМ-38ф работали нормально, что позволило к 16 сентября в целом завершить программу заводских летных испытаний. К сожа</w:t>
      </w:r>
      <w:r w:rsidRPr="007224C3">
        <w:rPr>
          <w:color w:val="000000" w:themeColor="text1"/>
          <w:sz w:val="16"/>
          <w:szCs w:val="16"/>
        </w:rPr>
        <w:softHyphen/>
        <w:t>лению, в этот день при взлете произошел обрыв ушка крепления цилиндра подъема шасси с обры</w:t>
      </w:r>
      <w:r w:rsidRPr="007224C3">
        <w:rPr>
          <w:color w:val="000000" w:themeColor="text1"/>
          <w:sz w:val="16"/>
          <w:szCs w:val="16"/>
        </w:rPr>
        <w:softHyphen/>
        <w:t>вом воздушной проводки, в результате чего шасси осталось в незафиксированном положении. При посадке на аэродром Раменское шасси сложилось. Помялись нижние капоты моторов и маслорадиато- ры. Погнулись оба винта. Но главное, деформиро</w:t>
      </w:r>
      <w:r w:rsidRPr="007224C3">
        <w:rPr>
          <w:color w:val="000000" w:themeColor="text1"/>
          <w:sz w:val="16"/>
          <w:szCs w:val="16"/>
        </w:rPr>
        <w:softHyphen/>
        <w:t>вался фюзеляж. Самолету требовался длительный ремонт (17500).</w:t>
      </w:r>
    </w:p>
    <w:p w14:paraId="193A7CD3" w14:textId="77777777" w:rsidR="00262E37" w:rsidRPr="007224C3" w:rsidRDefault="00262E37" w:rsidP="007224C3">
      <w:pPr>
        <w:spacing w:after="0" w:line="240" w:lineRule="auto"/>
        <w:jc w:val="both"/>
        <w:rPr>
          <w:rFonts w:ascii="Times New Roman" w:eastAsia="Times New Roman" w:hAnsi="Times New Roman"/>
          <w:color w:val="000000" w:themeColor="text1"/>
          <w:sz w:val="16"/>
          <w:szCs w:val="16"/>
          <w:lang w:eastAsia="ru-RU"/>
        </w:rPr>
      </w:pPr>
    </w:p>
    <w:p w14:paraId="73D3782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июня 1944 закончились начавшиеся 6 марта 1944 испытания Ер-2 с Х-образными моторами МБ-100 из двух М-103 А.М.Добротворского. За три месяца моторы отработали почти весь 50 часовой ресурс. Скорость выросла незначительно (до 475 км/час) из-за того, что винты АВ-7-186 не могли полностью использовать мощность двигателя (1643,39).</w:t>
      </w:r>
    </w:p>
    <w:p w14:paraId="12B45CC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5859E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июня 1944 программа испытаний Ер-2 с МБ-100, начавшаяся 6 марта 1944 г., была завершена. В середине 1942 г. конструкторский коллектив под руководством А.М.Добротворского завершил разработку самого мощного на то время советского мотора жидкостного охлаждения МБ-100, развивавшего на взлетном режиме мощность 2200 л.с. МБ-100 имел Х-образную схему и представлял собой объединение в единый агрегат двух серийных 12-цилиндровых V-образных моторов М-103. каждый из М-103 работал на общий редуктор, вращавший винт. МБ-100 был оснащен двухскоростным приводным центробежным нагнетателем, благодаря чему мощность этого оригинального мотора на первой границе высотности (2000 м) равнялась 2200 л.с., а на второй (4000 м) – 2000 л.с. Летные испытания новых моторов решено было провести на специально модифицированном бомбардировщике Ер-2. За три месяца моторы практически полностью отработали назначенный 50-часовой ресурс и показали удовлетворительную надежность. В связи с изменившейся обстановкой на фронте актуальность работ по подбору наивыгоднейшего винта и увеличению расчетной высоты мотора до 6000 м снизилась, что привело к их прекращению в пользу более совершенного и мощного мотора М-250 конструкции В.Добрынина (11856).</w:t>
      </w:r>
    </w:p>
    <w:p w14:paraId="547E707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1ADC593"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5281564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6D8566F" w14:textId="77777777" w:rsidR="000340E9" w:rsidRPr="007224C3" w:rsidRDefault="000340E9" w:rsidP="007224C3">
      <w:pPr>
        <w:pStyle w:val="a3"/>
        <w:rPr>
          <w:color w:val="000000" w:themeColor="text1"/>
          <w:lang w:val="ru-RU"/>
        </w:rPr>
      </w:pPr>
      <w:r w:rsidRPr="007224C3">
        <w:rPr>
          <w:color w:val="000000" w:themeColor="text1"/>
          <w:lang w:val="ru-RU"/>
        </w:rPr>
        <w:t>29 июня 1944 года причины неэффективности политики прикрепления рабочих к заводам были изложены в постановлении СНК № 789: «Прокуроры самоустранились от руководства розыском дезертиров с предприятий, который производится органами милиции крайне неудовлетворительно. Лишь незначительная часть дезертиров разыскивается до суда, в связи с чем дела в большинстве случаев рассматриваются военными трибуналами заочно. Заочно осужденные дезертиры также в подавляющем большинстве остаются неразысканными, что ведет к безнаказанности дезертиров. Безнаказанности дезертиров способствует и то, что руководители многих предприятий и учреждений, председатели правлений колхозов принимают на работу дезертиров с других предприятий, а прокуратура не выполняет требований закона о привлечении к ответственности их укрывателей, что особенно необходимо в условиях военного времени». Надо отметить, что утверждение о том, что дезертирству способствует кадровая политика «руководителей многих предприятий и учреждений», в принципе было верным. Ведь мало кто из «трудовых дезертиров» бежал с предприятия ради перехода на нелегальное положение. Почти все уходили в надежде найти работу получше. Непрекращающийся поток беглецов свидетельствует о том, что эти надежды были не беспочвенными. «Трудовое дезертирство» существовало не только потому, что были желающие уйти с предприятия, но и потому, что были руководители, которые потом брали таких людей на работу. Действительно, карательная практика по отношению к принимающим беглецов руководителям могла бы остановить дезертирство. Но не вышло бы в этом случае, что лекарство окажется хуже болезни? Ведь мало кто из руководителей производства мог позволить себе обходиться без этого источника рабочей силы.</w:t>
      </w:r>
    </w:p>
    <w:p w14:paraId="7478BC55" w14:textId="77777777" w:rsidR="000340E9" w:rsidRPr="007224C3" w:rsidRDefault="000340E9" w:rsidP="007224C3">
      <w:pPr>
        <w:pStyle w:val="a3"/>
        <w:rPr>
          <w:color w:val="000000" w:themeColor="text1"/>
          <w:lang w:val="ru-RU"/>
        </w:rPr>
      </w:pPr>
      <w:r w:rsidRPr="007224C3">
        <w:rPr>
          <w:color w:val="000000" w:themeColor="text1"/>
          <w:lang w:val="ru-RU"/>
        </w:rPr>
        <w:t>Значительные масштабы самовольных уходов с работы вызвали к жизни Указ Президиума Верховного Совета СССР от 30 декабря 1944 года «о предоставлении амнистии лицам, самовольно ушедшим с предприятий военной промышленности и добровольно вернувшимся на эти предприятия». То, что Правительство решилось прибегнуть к амнистии в обмен на возвращение на прежнюю работу, означало его неспособность добиться выполнения своего решения о прикреплении рабочих к предприятиям другими средствами. Но сомнительно, что декларированная указом амнистия могла повлиять на большинство беглецов или уменьшить размеры «трудового дезертирства» (12290).</w:t>
      </w:r>
    </w:p>
    <w:p w14:paraId="56DE0B2E" w14:textId="77777777" w:rsidR="000340E9" w:rsidRPr="007224C3" w:rsidRDefault="000340E9" w:rsidP="007224C3">
      <w:pPr>
        <w:pStyle w:val="a3"/>
        <w:rPr>
          <w:color w:val="000000" w:themeColor="text1"/>
          <w:lang w:val="ru-RU"/>
        </w:rPr>
      </w:pPr>
    </w:p>
    <w:p w14:paraId="1F5FB8C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июня 1944 г. была ДОКЛАДНАЯ ЗАПИСКА ЗАМЕСТИТЕЛЯ НАЧАЛЬНИКА ГБТУ КА НАРКОМУ ТАНКОВОЙ ПРОМЫШЛЕННОСТИ СССР В.А. МАЛЫШЕВУ О ДОПОЛНИТЕЛЬНОЙ УКЛАДКЕ ВЫСТРЕЛОВ В ТАНКАХ Т-34-85 И ИС-2 № 522883</w:t>
      </w:r>
    </w:p>
    <w:p w14:paraId="363FA42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Опыт боевого применения танков показал, что количество пушечных выстрелов — 56 шт. в тан</w:t>
      </w:r>
      <w:r w:rsidRPr="007224C3">
        <w:rPr>
          <w:rFonts w:ascii="Times New Roman" w:hAnsi="Times New Roman"/>
          <w:color w:val="000000" w:themeColor="text1"/>
          <w:sz w:val="16"/>
          <w:szCs w:val="16"/>
        </w:rPr>
        <w:softHyphen/>
        <w:t>ке Т-34-85 и 28 шт. в танке ИС-2 недостаточно.</w:t>
      </w:r>
    </w:p>
    <w:p w14:paraId="428A009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НИБТ полигоном ГБТУ КА определена возможность увеличения укладки в танке — Т-34-85 на 15 выстрелов, а в танке ИС-2 на 3 выстрела.</w:t>
      </w:r>
    </w:p>
    <w:p w14:paraId="43450A6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проверки дополнительной укладки выстрелов, в условиях боевого применения танков, прошу Вашего указания директору завода №183 т. Максареву и директору Кировского завода т. Зальцман оборудовать в июле месяце с. г. по 150 танков Т-34-85 и ИС -2 дополнительной укладкой пушечных выстрелов по прилагаемой схеме.</w:t>
      </w:r>
    </w:p>
    <w:p w14:paraId="4AABF23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 Вашем решении прошу сообщить.</w:t>
      </w:r>
    </w:p>
    <w:p w14:paraId="4177428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Приложение: схемы на 2-х листах.</w:t>
      </w:r>
    </w:p>
    <w:p w14:paraId="1740112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Заместитель начальника ГБТУ КА генерал-лейтенант инженерно-танковой службы Лебедев</w:t>
      </w:r>
    </w:p>
    <w:p w14:paraId="0FDE01E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Приложение ЗАКЛЮЧЕНИЕ</w:t>
      </w:r>
    </w:p>
    <w:p w14:paraId="52FB7F0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дополнительной укладке выстрелов в танках Т-34-85 и ИС-2, предложенной НИБТ полиго</w:t>
      </w:r>
      <w:r w:rsidRPr="007224C3">
        <w:rPr>
          <w:rFonts w:ascii="Times New Roman" w:hAnsi="Times New Roman"/>
          <w:color w:val="000000" w:themeColor="text1"/>
          <w:sz w:val="16"/>
          <w:szCs w:val="16"/>
        </w:rPr>
        <w:softHyphen/>
        <w:t>ном ГБТУ КА</w:t>
      </w:r>
    </w:p>
    <w:p w14:paraId="15457C1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НИБТ полигоном ГБТУ КА увеличение боеукладки предусмотрено в танке Т-34-85 на 15 выст</w:t>
      </w:r>
      <w:r w:rsidRPr="007224C3">
        <w:rPr>
          <w:rFonts w:ascii="Times New Roman" w:hAnsi="Times New Roman"/>
          <w:color w:val="000000" w:themeColor="text1"/>
          <w:sz w:val="16"/>
          <w:szCs w:val="16"/>
        </w:rPr>
        <w:softHyphen/>
        <w:t>релов (с 56 до 71 выстрела), в танке ИС-2 на 3 выстрела (с 28 до 31 выстрела).</w:t>
      </w:r>
    </w:p>
    <w:p w14:paraId="25B6A04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танке Т-34-85 дополнительные 15 выстрелов укладываются на полу боевого отделения (на крышках ящиков боеукладки).</w:t>
      </w:r>
    </w:p>
    <w:p w14:paraId="6A2F8B6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танке ИС-2 дополнительные 3 выстрела размещены в следующем порядке — 3 снаряда и од</w:t>
      </w:r>
      <w:r w:rsidRPr="007224C3">
        <w:rPr>
          <w:rFonts w:ascii="Times New Roman" w:hAnsi="Times New Roman"/>
          <w:color w:val="000000" w:themeColor="text1"/>
          <w:sz w:val="16"/>
          <w:szCs w:val="16"/>
        </w:rPr>
        <w:softHyphen/>
        <w:t>на гильза по полу боевого отделения (на крышках ящиков боеукладки), одна гильза в переднем ле</w:t>
      </w:r>
      <w:r w:rsidRPr="007224C3">
        <w:rPr>
          <w:rFonts w:ascii="Times New Roman" w:hAnsi="Times New Roman"/>
          <w:color w:val="000000" w:themeColor="text1"/>
          <w:sz w:val="16"/>
          <w:szCs w:val="16"/>
        </w:rPr>
        <w:softHyphen/>
        <w:t>вом углу боевого отделения, вертикально и одна гильза в правой нише корпуса.</w:t>
      </w:r>
    </w:p>
    <w:p w14:paraId="3D04A0F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Дополнительные выстрелы, уложенные по схеме НИБТ полигона, будут подвергаться загрязнению, это может привести к задержкам в досылке выстрелов в казенную часть систем и к порче самих систем.</w:t>
      </w:r>
    </w:p>
    <w:p w14:paraId="759F67A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Кроме этого НИБТ полигоном, с дополнительной укладкой выстрелов, не проверена возмож</w:t>
      </w:r>
      <w:r w:rsidRPr="007224C3">
        <w:rPr>
          <w:rFonts w:ascii="Times New Roman" w:hAnsi="Times New Roman"/>
          <w:color w:val="000000" w:themeColor="text1"/>
          <w:sz w:val="16"/>
          <w:szCs w:val="16"/>
        </w:rPr>
        <w:softHyphen/>
        <w:t>ность размещения личных вещей и 5-ти суточной дачи экипажа.</w:t>
      </w:r>
    </w:p>
    <w:p w14:paraId="7F57BE7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Считаем необходимым увеличенную боеукладку, предложенную НИБТ полигоном, проверить в войсках на 150 танках Т-34-85 и на 150 танках ИС-2 и по результатам этой проверки принять реше</w:t>
      </w:r>
      <w:r w:rsidRPr="007224C3">
        <w:rPr>
          <w:rFonts w:ascii="Times New Roman" w:hAnsi="Times New Roman"/>
          <w:color w:val="000000" w:themeColor="text1"/>
          <w:sz w:val="16"/>
          <w:szCs w:val="16"/>
        </w:rPr>
        <w:softHyphen/>
        <w:t>ние о вводе ее на серийное производство.</w:t>
      </w:r>
    </w:p>
    <w:p w14:paraId="6433BF5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Оборудование танков под дополнительную укладку произвести на заводах — Кировском и №183.</w:t>
      </w:r>
    </w:p>
    <w:p w14:paraId="304139A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Начальник УСА ГБТУ КА генерал-майор инженерно-танковой службы Алымов</w:t>
      </w:r>
    </w:p>
    <w:p w14:paraId="514DF14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Заместитель начальника ТУ ГБТУ КА инженер-полковник Муравич</w:t>
      </w:r>
    </w:p>
    <w:p w14:paraId="362EAF7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38. Оп. 11355. Д. 2218. Л. 72-73. Копия (11420).</w:t>
      </w:r>
    </w:p>
    <w:p w14:paraId="380E9E0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3D07F88" w14:textId="77777777" w:rsidR="00112211" w:rsidRPr="007224C3" w:rsidRDefault="0011221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29 июня 1944 на Гороховецкий АНИОП прибыл второй образец СУ-54. Машина прибыла, без чертежей и документов. На следующий день начались испытания стрельбой, но вскоре они прекратились, поскольку АНИОП получил другое срочное задание. Из-за перебоев с горючим испытания не проводились с 5 по 28 июля, </w:t>
      </w:r>
      <w:r w:rsidRPr="007224C3">
        <w:rPr>
          <w:rFonts w:ascii="Times New Roman" w:hAnsi="Times New Roman"/>
          <w:color w:val="000000" w:themeColor="text1"/>
          <w:sz w:val="16"/>
          <w:szCs w:val="16"/>
        </w:rPr>
        <w:lastRenderedPageBreak/>
        <w:t>завершить их удалось 30 июля. Было произведено 358 выстрелов, из них 113 на усиленном заряде. Прицельная скорострельность и кучность стрельбы по неподвижным мишеням не изменились. Кучность стрельбы по движущимся целям стала хуже, но это было связано с тем, что стрельба велась по таблицам 85-мм орудия: именно такая шкала была нарезана на прицеле 10Т-15.</w:t>
      </w:r>
    </w:p>
    <w:p w14:paraId="10B93EDB" w14:textId="77777777" w:rsidR="00112211" w:rsidRPr="007224C3" w:rsidRDefault="0011221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обстреле из стрелкового оружия выяснилось, что некоторые пули попадают внутрь боевого отделения</w:t>
      </w:r>
    </w:p>
    <w:p w14:paraId="2DACFEBF" w14:textId="77777777" w:rsidR="00112211" w:rsidRPr="007224C3" w:rsidRDefault="0011221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Особой выгоды переделки второго варианта не дали. Полностью закрытое боевое отделение стало более загазованным. Выявились недостатки в защите в лобовой части: при обстреле стрелковым оружием отдельные пули залетали внутрь боевого отделения. Тем не менее Артком ГАУ посчитал, что машина по второму варианту испытания выдержала. В сентябре 1944 года появился проект постановления ГКО о принятии 57-мм самоходной установки СУ-57 на вооружение. За четвёртый квартал 1944 года планировалось построить 165 таких машин, исполнителем заказа выступал ГАЗ им. Молотова.</w:t>
      </w:r>
    </w:p>
    <w:p w14:paraId="60B5BF26" w14:textId="77777777" w:rsidR="00112211" w:rsidRPr="007224C3" w:rsidRDefault="00112211"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Именно в этот момент Управление самоходной артиллерии (УСА) ГБТУ КА стало активно противодействовать принятию СУ-57 на вооружение. Там составили список недостатков, среди которых было, например, недостаточное бронирование машины. Попытки «продавить» выпуск машины неоднократно повторялись, в последний раз в 1945 году. К тому времени, впрочем, СУ-57 была уже совсем не актуальной, особенно с учётом того, что в середине 1944 года ГАЗ им. Молотова разработал самоходную установку с куда более мощным орудием.</w:t>
      </w:r>
    </w:p>
    <w:p w14:paraId="377305DF" w14:textId="77777777" w:rsidR="00112211" w:rsidRPr="007224C3" w:rsidRDefault="00112211" w:rsidP="007224C3">
      <w:pPr>
        <w:spacing w:after="0" w:line="240" w:lineRule="auto"/>
        <w:jc w:val="both"/>
        <w:rPr>
          <w:rFonts w:ascii="Times New Roman" w:hAnsi="Times New Roman"/>
          <w:color w:val="000000" w:themeColor="text1"/>
          <w:sz w:val="16"/>
          <w:szCs w:val="16"/>
        </w:rPr>
      </w:pPr>
    </w:p>
    <w:p w14:paraId="52B51985"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июня 1944 года вышел приказ 297с НКВ</w:t>
      </w:r>
    </w:p>
    <w:p w14:paraId="08A0F789"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дополнение приказа НКВ от 1 апреля 1944 года № 151сс в целях быстрейшего развития оптико-механического приборостроения на заводе № 349 ОГПУ (6423, 121).</w:t>
      </w:r>
    </w:p>
    <w:p w14:paraId="2244EBAF"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91252CB"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июня 1944 года вышел приказ 298с НКВ</w:t>
      </w:r>
    </w:p>
    <w:p w14:paraId="5EFF14C1"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целях быстрейшего пуска Ленинградского завода оптического стекла и форсирования выпуска оптического стекла в Ленинграде для нужд заводов НКВ:</w:t>
      </w:r>
    </w:p>
    <w:p w14:paraId="7ACC163D"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Ленинградский завод оптического стекла выделить в самостоятельный завод, присвоив ему номер 354-ф, по производству оптического стекла для нужд оптико-механических заводов (6423, 130).</w:t>
      </w:r>
    </w:p>
    <w:p w14:paraId="027E121B"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98957AC"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июня 1944 года вышел приказ № 360с НКБ</w:t>
      </w:r>
    </w:p>
    <w:p w14:paraId="64F52E5C"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соответствии с распоряжением СНК № 13580-рс от 27 июня 1944 года начальнику 7 Гл. управления принять от Наркомсредмаша переданный в систему НКБ автоприцепный завод № 2 (Москва) для организации на нем производства деталей реактивных снарядов М-13. Присвоить ему номер 775 (5818, 73).</w:t>
      </w:r>
    </w:p>
    <w:p w14:paraId="2D007E34"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6F65142"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июня 1944 года вышел приказ № 362с НКБ</w:t>
      </w:r>
    </w:p>
    <w:p w14:paraId="32980594"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 исполнение постановления Правительства № 6096 от 24 июня 1944 года обеспечить в 3 квартале 1944 года пуск первой очереди особого завода № 862 (филиал завода № 569 Загорск) (5818, 110-111).</w:t>
      </w:r>
    </w:p>
    <w:p w14:paraId="0D1AC5E0"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725E450"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июня 1944 года вышел приказ № 364с НКБ</w:t>
      </w:r>
    </w:p>
    <w:p w14:paraId="63B4A4E8"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Для производства авиационных и зенитных испытаний организовать Крымский филиал Софринского полигона с местонахождением ст. Багерово Крымской АССР (5818, 124).</w:t>
      </w:r>
    </w:p>
    <w:p w14:paraId="24273BF0"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0332FFF"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июня 1944 вышло Постановление ГКО № 6117 О мероприятиях по транспортировке грузов для НОАЮ. (7243, 238-239,240-244).</w:t>
      </w:r>
    </w:p>
    <w:p w14:paraId="16C4F9E5"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DB378C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июня 1944 вышло Распоряжение ГКО № 6118. О мерах по обеспечению работы Дзирульского завода "Шроша" (Грузия), производящего огнеупорный кирпич. РГАНИР, Фонд ГКО, д. 266, лл. 245-246 (11012).</w:t>
      </w:r>
    </w:p>
    <w:p w14:paraId="092CE85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ADA5C7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июня 1944 Передан флоту 34-й БМО (строился 3 мес.). На Балтийском заводе под руководством группы проектировщиков с Большой земли, при участии заводских конструкторов производилась установка импортных РЛС на линкоре, крейсерах и эсминцах. На линкоре осуществлялась модернизация зенитного вооружения. Аналогичная работа выполнена балтийцами на эсминцах "Сторожевой", "Славный", "Свирепый", "Грозящий" и "Вице-адмирал Дрозд" (10671).</w:t>
      </w:r>
    </w:p>
    <w:p w14:paraId="4619718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92457E0"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624C096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A12D818" w14:textId="77777777" w:rsidR="00B049B7" w:rsidRPr="007224C3" w:rsidRDefault="00B049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29 июня</w:t>
      </w:r>
      <w:r w:rsidRPr="007224C3">
        <w:rPr>
          <w:rFonts w:ascii="Times New Roman" w:hAnsi="Times New Roman"/>
          <w:color w:val="000000" w:themeColor="text1"/>
          <w:sz w:val="16"/>
          <w:szCs w:val="16"/>
        </w:rPr>
        <w:t xml:space="preserve"> в 1944 году оперативная сводка Совинформбюро:</w:t>
      </w:r>
    </w:p>
    <w:p w14:paraId="5FF8D25B" w14:textId="77777777" w:rsidR="00B049B7" w:rsidRPr="007224C3" w:rsidRDefault="00B049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Карельского фронта, в результате глубокого обходного манёвра на окружение с высадкой десанта на западном побережье Онежского озера, освободили от немецко-финских захватчиков столицу Карело-Финской ССР город Петрозаводск, заняли город и железнодорожную станцию Кондопога, очистив тем самым от противника Кировскую (Мурманскую) железную дорогу на всём её протяжении. Продолжая развивать наступление к западу и югу от города Медвежьегорск, между Онежским и Ладожским озёрами, войска фронта заняли населённые пункты Евгора, 2-я Кумса, Мяндусельга, Палая Ламба, Верхняя и Нижняя Деревянная, Афанасьева-Гора, Пуску-Сельга, Чимойла, Киму-Сельга.</w:t>
      </w:r>
    </w:p>
    <w:p w14:paraId="67AACB64" w14:textId="77777777" w:rsidR="00B049B7" w:rsidRPr="007224C3" w:rsidRDefault="00B049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Полоцком направлении наши войска вели наступательные бои, в ходе которых овладели районными центрами Витебской области городом Ушачи, Ветрино, а также заняли более 150 других населённых пунктов, в том числе крупные населённые пункты Лысая, Валющина, Островляне, Туржец 1-й и 2-й, Воронен, Орехово, Кубличи и железнодорожная станция Ветрино. Наши войска перерезали железную дорогу Полоцк— Молодечно.</w:t>
      </w:r>
    </w:p>
    <w:p w14:paraId="1E49AF78" w14:textId="77777777" w:rsidR="00B049B7" w:rsidRPr="007224C3" w:rsidRDefault="00B049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Минском направлении наши войска, развивая успешное наступление, с боями вышли к реке Березина севернее города Борисов на участке протяжением 60 километров, заняв при этом более 200 населённых пунктов, в числе которых крупные населённые пункты Рожно, Домжерицы, Переходцы, Бараны, Крацевичи, Холхолец, Кищино-Слоьода. Бытча, Житьково, Млехово, Мужанка.</w:t>
      </w:r>
    </w:p>
    <w:p w14:paraId="0BDD56E7" w14:textId="77777777" w:rsidR="00B049B7" w:rsidRPr="007224C3" w:rsidRDefault="00B049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западу от города Могилев наши войска, преследуя отступающего противника, продвинулись вперёд до 35 километров и заняли более 500 населённых пунктов, среди которых районный центр Могилёвской области город БЕлыничи, крупныенаселённые пункты Тетерин, Головчин, Олешковичи, Осовец, Калиновка, Техтин, Большие Белевичи, Количенко, Золотва, Городец, Долгое и железнодорожные станции Вендриж, Семуковичи. На ряде участков наши войска форсировали реку Друть.</w:t>
      </w:r>
    </w:p>
    <w:p w14:paraId="455B9A42" w14:textId="77777777" w:rsidR="00B049B7" w:rsidRPr="007224C3" w:rsidRDefault="00B049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1-го Белорусского фронта 29 июня штурмом овладели городом и крупнойжелезнодорожной станцией Бобруйск, а также с боями заняли более 200 других населённых пунктов, в том числе крупные населённые пункты Свислочь, Октябрь, Ясень, Дараганово, Мезовичи, Кринка, Солон, Макаричи, Гостино, Зеленьки, Заболотье и железнодорожные станции Ясень, Татарка, Деревцы, Дараганово. Нашивойска завершили ликвидацию окружённой в районе Бобруйска группировки немцев. При ликвидации окружённой группировки противника наши войска Уничтожили более 16.000 немецких солдат и офицеров и взяли в плен 18.000 немецких солдат и офицеров.</w:t>
      </w:r>
    </w:p>
    <w:p w14:paraId="6639B49C" w14:textId="77777777" w:rsidR="00B049B7" w:rsidRPr="007224C3" w:rsidRDefault="00B049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 без существенных изменений.</w:t>
      </w:r>
    </w:p>
    <w:p w14:paraId="4ED2AE52" w14:textId="77777777" w:rsidR="00B049B7" w:rsidRPr="007224C3" w:rsidRDefault="00B049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28 июня наши войска на всех фронтах подбили и уничтожили 278 немецких танков. В воздушных боях и огнём зенитной артиллерии сбит 71 самолёт противника.</w:t>
      </w:r>
    </w:p>
    <w:p w14:paraId="03765DFA" w14:textId="77777777" w:rsidR="00B049B7" w:rsidRPr="007224C3" w:rsidRDefault="00B049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Налёты нашей авиации на железнодорожные узлы Барановичи, Лунинец, Минск и Полоцк</w:t>
      </w:r>
    </w:p>
    <w:p w14:paraId="6EFFFFA8" w14:textId="77777777" w:rsidR="00B049B7" w:rsidRPr="007224C3" w:rsidRDefault="00B049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ночь на 29 июня наша авиация совершила массированные налёты на железнодорожные узлы Барановичи, Лунинец, Минск и Полоцк.</w:t>
      </w:r>
    </w:p>
    <w:p w14:paraId="6DFFC6F1" w14:textId="77777777" w:rsidR="00B049B7" w:rsidRPr="007224C3" w:rsidRDefault="00B049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момент налёта на железнодорожном узле Барановичи находилось много эшелонов с войсками и военной техникой противника. В результате бомбардировки на территории узла возникло 15 очагов пожара. Лётчики наблюдали как горели эшелоны и военные склады. На железнодорожном узле Лунинец подожжено три эшелона.</w:t>
      </w:r>
    </w:p>
    <w:p w14:paraId="087FEF95" w14:textId="77777777" w:rsidR="00B049B7" w:rsidRPr="007224C3" w:rsidRDefault="00B049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Особенно интенсивный налёт наша авиация совершила на железнодорожный узел Минск. Пожар охватил значительную часть территории узла. Горели эшелоны и военные склады. На железнодорожном узле Полоцк в результате бомбардировкивозникло 6 очагов пожара, сопровождавшегося сильными взрывами.</w:t>
      </w:r>
    </w:p>
    <w:p w14:paraId="2F16ED7D" w14:textId="77777777" w:rsidR="00B049B7" w:rsidRPr="007224C3" w:rsidRDefault="00B049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Карельского фронта развивали успешное наступление. Части Н-скогосоединения, продвигаясь вдоль железной дороги на юг, овладели городом Кондопога. Другие наши части, наступающие вдоль берега Онежского озера, нанесли врагу удар с юга. Одновременно на побережье озера близ Петрозаводска был высажен десант Онежской военной флотилии. Развивая стремительное наступление, советские войска заняли столицу Карело-Финской ССР город Петрозаводск. Враг понёс большие потери.Только на одном участке уничтожено до 3 тысяч финских солдат и офицеров и захвачено 32 орудия, 79 складов с вооружением, боеприпасами и продовольствием. Советские бойцы освободили 30 тысяч мирных жителей, томившихся в финских концентрационных лагерях в городе Петрозаводске.</w:t>
      </w:r>
    </w:p>
    <w:p w14:paraId="1DA19D65" w14:textId="77777777" w:rsidR="00B049B7" w:rsidRPr="007224C3" w:rsidRDefault="00B049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Полоцком направлении противник, используя удобную для обороны лесисто-болотистую местность, изобилующую озёрами и реками, оказывал упорное сопротивление. Ожесточённые бои произошли на рубеже реки Ушача. Немцы построили здесь полосу обороны и пытались на этом участке задержать продвижение советских войск. Части Н-ского соединения разгромили противника и заняли узел грунтовых дорог и опорный пункт немцев Ушачи. Наши подвижные группы переправились через реку, стремительно продвинулись вперёд, перерезали железную дорогу Полоцк —Молодечно и заняли районный центр Витебской области Ветрино.</w:t>
      </w:r>
    </w:p>
    <w:p w14:paraId="5C1FDC05" w14:textId="77777777" w:rsidR="00B049B7" w:rsidRPr="007224C3" w:rsidRDefault="00B049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На Минском направлении наши войска преследуют по пятам отступающего в беспорядке противника, не давая ему возможности закрепиться на промежуточных рубежах. Советские танкиста и кавалеристы настигли на Минском шоссе и разгромили большую автоколонну немцев. На протяжении нескольких десятков километров дорога завалена разбитыми орудиями, автомашинами и трупами гитлеровцев. Захвачено свыше 2.000 автомашин с грузами.</w:t>
      </w:r>
    </w:p>
    <w:p w14:paraId="4D488BB9" w14:textId="77777777" w:rsidR="00B049B7" w:rsidRPr="007224C3" w:rsidRDefault="00B049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1-го Белорусского фронта стремительной атакой с трёх сторон ворвались в Бобруйск и в результате ожесточённых уличных боёв очистили город от немецко-фашистских захватчиков. Немецкие войска, окружённые в районе Бобруйска, предприняли яростные, но безуспешные попытки вырваться из «котла». Под ударами советских частей противник откатывался назад, устилая поле боя тысячами убитых солдат и офицеров. Сегодня наши войска полностью ликвидировали окружённую вражескую группировку. Взято в плен 18.000 немецких солдат и офицеров. Захвачены большие трофеи.</w:t>
      </w:r>
    </w:p>
    <w:p w14:paraId="7325253A" w14:textId="77777777" w:rsidR="00B049B7" w:rsidRPr="007224C3" w:rsidRDefault="00B049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Авиация Северного флота нанесла удар по порту Киркенес (Северная Норвегия). В результате прямых попаданий бомб потоплено три транспорта общим водоизмещением в 20 тысяч тонн. Кроме того, три транспорта получили серьёзные повреждения. На территории порта возникли большие пожары и произошли сильные взрывы. Другие группы наших самолётов атаковали суда противника, следовавшие в порт Петсамо. Два транспорта загорелись. Вскоре один из них взорвался и затонул. В воздушных боях сбито 11 немецких самолётов.</w:t>
      </w:r>
    </w:p>
    <w:p w14:paraId="731206EC" w14:textId="77777777" w:rsidR="00B049B7" w:rsidRPr="007224C3" w:rsidRDefault="00B049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Несколько партизанских отрядов, действующих в Пинской области, за месяц пустили под откос 32 вражеских эшелона. Разбито 26 паровозов и более 150 вагонов и платформ. В боях против немецко-фашистских захватчиков советские патриоты истребили 640 и ранили более 200 немецких солдат и офицеров.»</w:t>
      </w:r>
    </w:p>
    <w:p w14:paraId="15A07875" w14:textId="77777777" w:rsidR="00B049B7" w:rsidRPr="007224C3" w:rsidRDefault="00B049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Потери противника и трофеи войск 3-го Белорусского и 1-го Прибалтийского фронтов за время наступательных боев с 23 по 27 июня сего года.</w:t>
      </w:r>
    </w:p>
    <w:p w14:paraId="4839E98F" w14:textId="77777777" w:rsidR="00B049B7" w:rsidRPr="007224C3" w:rsidRDefault="00B049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3-го Белорусского фронта под командованием генерала армии Черняховского, в результате наступательных боёв, проведённых с 23 по 27 июня сего года, нанесли противнику следующие потери в живой силе и технике:</w:t>
      </w:r>
    </w:p>
    <w:p w14:paraId="70C1F09B" w14:textId="77777777" w:rsidR="00B049B7" w:rsidRPr="007224C3" w:rsidRDefault="00B049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Уничтожено: танков и самоходных орудий — 126, орудий разных калибров — 796,миномётов — 290, пулемётов — 2.852, автомашин — 1.840. Противник оставил на поле боя более 32.000 трупов своих солдат и офицеров.</w:t>
      </w:r>
    </w:p>
    <w:p w14:paraId="5B386C75" w14:textId="77777777" w:rsidR="00B049B7" w:rsidRPr="007224C3" w:rsidRDefault="00B049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это же время войска 3-го Белорусского фронта захватили следующие трофеи: танков — 36, самоходных орудий — 33, орудий разных калибров — 652, миномётов —514, пулемётов— 1.774, винтовок и автоматов—13.380, радиостанций—163, автомашин— 3.300, тягачей — 25, паровозов — 32, вагонов — 1.540, лошадей — 2.266, складов с боеприпасами, вооружением, снаряжением и продовольствием — 225.</w:t>
      </w:r>
    </w:p>
    <w:p w14:paraId="1EA5B1FA" w14:textId="77777777" w:rsidR="00B049B7" w:rsidRPr="007224C3" w:rsidRDefault="00B049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Взято в плен более 20.000 немецких солдат и свыше трёхсот офицеров, в том числе командир 53-го армейского корпуса генерал от инфантерии Голльвйтцер, командир 206-й пехотной дивизии генерал-лейтенант Хиттер и начальник штаба 53 армейского корпуса полковник Шмидт.</w:t>
      </w:r>
    </w:p>
    <w:p w14:paraId="55A985C2" w14:textId="77777777" w:rsidR="00B049B7" w:rsidRPr="007224C3" w:rsidRDefault="00B049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Таким образом, общие потери немцев по главным видам боевой техники и живой силе за пять дней наступательных боёв 3-го Белорусского фронта составляют: пленными и убитыми — 52.000 человек, танков и самоходных орудий—195, орудий разного калибра—1.448, миномётов — 804, пулемётов — 4.626, автомашин —5.140.</w:t>
      </w:r>
    </w:p>
    <w:p w14:paraId="637D3752" w14:textId="77777777" w:rsidR="00B049B7" w:rsidRPr="007224C3" w:rsidRDefault="00B049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1-го Прибалтийского фронта, под командованием генерала армии Баграмяна, в результате наступательных боев, проведенных с 23 по 27 июня сего года, нанесли противнику следующие потери в живой силе и технике:</w:t>
      </w:r>
    </w:p>
    <w:p w14:paraId="55C02871" w14:textId="77777777" w:rsidR="00B049B7" w:rsidRPr="007224C3" w:rsidRDefault="00B049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Уничтожено: танков и самоходных орудий — 269, орудий разного калибра — 252, миномётов — 170, пулемётов — 1.009, автомашин — 1.026. Противник потерял только убитыми более 20.000 солдат и офицеров.</w:t>
      </w:r>
    </w:p>
    <w:p w14:paraId="47DC6738" w14:textId="77777777" w:rsidR="00B049B7" w:rsidRPr="007224C3" w:rsidRDefault="00B049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это же время войска 1-го Прибалтийского фронта захватили следующие трофеи: танков — 31, орудий разного калибра — 374, миномётов — 156, пулемётов — 1.093, винтовок и автоматов — 10.565, противотанковых ружей — 137, автомашин — 1.424, паровозов — 9, железнодорожных вагонов и платформ — 30, лошадей — 595, складов с боеприпасами, вооружением, снаряжением и продовольствием — 225.</w:t>
      </w:r>
    </w:p>
    <w:p w14:paraId="6D70A5F5" w14:textId="77777777" w:rsidR="00B049B7" w:rsidRPr="007224C3" w:rsidRDefault="00B049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Взято в плен более 5.000 немецких солдат и офицеров.</w:t>
      </w:r>
    </w:p>
    <w:p w14:paraId="159BA74F" w14:textId="77777777" w:rsidR="00B049B7" w:rsidRPr="007224C3" w:rsidRDefault="00B049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Таким образом, общие потери немцев по главным видам боевой техники и живой силе за время наступательных боёв 1-го Прибалтийского фронта составляют: пленными и убитыми — 25.000 человек, танков и самоходных орудий — 300, орудий разного калибра — 626, миномётов—326, пулемётов — 2.102, автомашин — 2.450.</w:t>
      </w:r>
    </w:p>
    <w:p w14:paraId="0F6E4C8E" w14:textId="77777777" w:rsidR="00B049B7" w:rsidRPr="007224C3" w:rsidRDefault="00B049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итоге наступательных боёв, проведённых в тесном взаимодействии двух фронтов— 3-го Белорусского и 1-го Прибалтийского — и завершившихся окружением и уничтожением витебской группировки противника и освобождением города Витебск, потери немцев по главным видам боевой техники и живой силе составляют: пленнымии убитыми — 77.000 человек, танков и самоходных орудий — 495, орудий разных калибров — 2.074, миномётов — 1.130, пулемётов — 6.728, автомашин —7.590.» (14937).</w:t>
      </w:r>
    </w:p>
    <w:p w14:paraId="157BA8AC" w14:textId="77777777" w:rsidR="00B049B7" w:rsidRPr="007224C3" w:rsidRDefault="00B049B7" w:rsidP="007224C3">
      <w:pPr>
        <w:spacing w:after="0" w:line="240" w:lineRule="auto"/>
        <w:jc w:val="both"/>
        <w:rPr>
          <w:rFonts w:ascii="Times New Roman" w:hAnsi="Times New Roman"/>
          <w:color w:val="000000" w:themeColor="text1"/>
          <w:sz w:val="16"/>
          <w:szCs w:val="16"/>
        </w:rPr>
      </w:pPr>
    </w:p>
    <w:p w14:paraId="44029418" w14:textId="77777777" w:rsidR="00B049B7" w:rsidRPr="007224C3" w:rsidRDefault="00B049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29 июня</w:t>
      </w:r>
      <w:r w:rsidRPr="007224C3">
        <w:rPr>
          <w:rFonts w:ascii="Times New Roman" w:hAnsi="Times New Roman"/>
          <w:color w:val="000000" w:themeColor="text1"/>
          <w:sz w:val="16"/>
          <w:szCs w:val="16"/>
        </w:rPr>
        <w:t xml:space="preserve"> в 1944 году закончилась Бобруйская операция: войска 1-го Белорусcкого фронта завершили ликвидацию окруженной в районе Бобруйска группировки противника и освободили города Бобруйск. За отличия в боях 20 частей и соединений удостоены почетных наименований. Началась Полоцкая наступательная операция войск 1-го Прибалтийского фонта. (4-я Ударная, 6-я гвардейская и 43-я армия, 3-я воздушная армия), продолжавшаяся до 4 июля.</w:t>
      </w:r>
    </w:p>
    <w:p w14:paraId="31F82CBE" w14:textId="77777777" w:rsidR="00B049B7" w:rsidRPr="007224C3" w:rsidRDefault="00B049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Началась Минская наступательная операция войск 3-го (11-я гвардейская, 39, 5 и 31-я армии, 5-я гвардейская танковая армия, конно-механизированная группа, 2-й гвардейский танковый корпус при поддержке 1-й воздушной армии), 2-го (33, 49 и 50-я армии при поддержке 4-й воздушной армии) и 1-го (3, 48, 65, 28, 61, 69, 70, 47 и 8-я гвардейские армии, 2-я танковая армия, конно-механизированная группа, 9 истребительный и 1-й гвардейский танковый корпус 2-й и 7-й гвардейский кавалерийский корпус, 1-я армия Войска Польского при содействии 6-й и 16-й воздушной армии) Белорусского фронта при содействии войск 1-го Прибалтийского фронта (4-я Ударная, 6-я гвардейская и 43-я армии, 1-й танковый корпус при содействии 3-й воздушной армии), продолжавшаяся до 4 июля (14937).</w:t>
      </w:r>
    </w:p>
    <w:p w14:paraId="18D94E91" w14:textId="77777777" w:rsidR="00B049B7" w:rsidRPr="007224C3" w:rsidRDefault="00B049B7" w:rsidP="007224C3">
      <w:pPr>
        <w:spacing w:after="0" w:line="240" w:lineRule="auto"/>
        <w:jc w:val="both"/>
        <w:rPr>
          <w:rFonts w:ascii="Times New Roman" w:hAnsi="Times New Roman"/>
          <w:color w:val="000000" w:themeColor="text1"/>
          <w:sz w:val="16"/>
          <w:szCs w:val="16"/>
        </w:rPr>
      </w:pPr>
    </w:p>
    <w:p w14:paraId="63A7C679" w14:textId="77777777" w:rsidR="00B049B7" w:rsidRPr="007224C3" w:rsidRDefault="00B049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29 июня</w:t>
      </w:r>
      <w:r w:rsidRPr="007224C3">
        <w:rPr>
          <w:rFonts w:ascii="Times New Roman" w:hAnsi="Times New Roman"/>
          <w:color w:val="000000" w:themeColor="text1"/>
          <w:sz w:val="16"/>
          <w:szCs w:val="16"/>
        </w:rPr>
        <w:t xml:space="preserve"> в 1944 году войска Карельского фронта в результате глубокого обходного маневра га окружение с высадкой десанта на западном побережье Онежского озера освободили от немецко-финских захватчиков столицу Карело-Финской ССР город Петрозаводск, заняли город и железнодорожную станцию Кондопога, очистив тем самым от противника Кировскую (Мурманскую) железную дорогу на всем ее протяжении. Продолжая развивать наступление к западу и югу от города Медвежьегорск, между Онежским и Ладожским озерами, войска фронта заняли населенные пункты Евгора, 2-я Кумса, Мяндусельга, Палая Ламба, Верхняя и Нижняя Деревянная, Афанасьева-Гора, Пуску-Сельга, Чимойла, Киму-Сельга. На Полоцком направлении наши войска овладели районными центрами Витебской области городом Ушачи, Ветрино, а также заняли более 150 других населенных пунктов, в том числе крупные населенные пункты Лысая, Валющина, Островляне, Туржец 1-й и 2-й, Воронеч, Орехово, Кубличи и железнодорожная станция Ветрино. Наши войска перерезали железную дорогу Полоцк — Молодечно. На Минском направлении наши войска с боями вышли к реке Березина севернее города Борисов на участке протяжением 60 километров, заняв при этом более 200 населенных пунктов, в числе которых крупные населенные пункты Рожно, Домжерицы, Переходцы, Бараны, Крацевичи, Холхолец, Кищино-Слобода, Бытча, Житьково, Млехово, Мужанка. К западу от города Могилев наши войска продвинулись вперед до 35 километров и заняли более 500 населенных пунктов, среди которых районный центр Могилевской области город Белыничи, крупные населенные пункты Тетерин, Головчин, Олешковичи, Осовец, Калиновка, Техтин, Большие Белевичи, Количенко, Золотва, Городец, Долгое и железнодорожные станции Вендриж, Семуковичи. На ряде участков наши войска форсировали реку Друть. Войска 1-го Белорусского фронта 29 июня штурмом овладели городом и крупной железнодорожной станцией Бобруйск, а также с боями заняли более 200 других населенных пунктов, в том числе крупные населенные пункты Свислочь, Октябрь, Ясень, Дараганово, Мезовичи, Кринка, Солон, Макаричи, Гостино, Зеленьки, Заболотье и железнодорожные станции Ясень, Татарка, Деревцы, Дараганово. Наши войска завершили ликвидацию окруженной в районе Бобруйска группировки немцев. При ликвидации окруженной группировки противника наши войска уничтожили более 16 000 немецких солдат и офицеров и вязли в плен 18 000 немецких солдат и офицеров.</w:t>
      </w:r>
    </w:p>
    <w:p w14:paraId="3675F9D5" w14:textId="77777777" w:rsidR="00B049B7" w:rsidRPr="007224C3" w:rsidRDefault="00B049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 без существенных изменений (14937).</w:t>
      </w:r>
    </w:p>
    <w:p w14:paraId="66FE2D1A" w14:textId="77777777" w:rsidR="00B049B7" w:rsidRPr="007224C3" w:rsidRDefault="00B049B7" w:rsidP="007224C3">
      <w:pPr>
        <w:spacing w:after="0" w:line="240" w:lineRule="auto"/>
        <w:jc w:val="both"/>
        <w:rPr>
          <w:rFonts w:ascii="Times New Roman" w:hAnsi="Times New Roman"/>
          <w:color w:val="000000" w:themeColor="text1"/>
          <w:sz w:val="16"/>
          <w:szCs w:val="16"/>
        </w:rPr>
      </w:pPr>
    </w:p>
    <w:p w14:paraId="40153EA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июня 1944 части 230-й шад генерала Гетьмана для разведки с попутным нанесением бомбоштурмовых ударов по обнаруженным отступающим немецким войскам в период 5.56-6.05 выпустила три четверки Ил-2 от 7-го гшап (ведущие капитаны Остапенко и Карабут и ст. лейтенант Демаков). Каждая группа штурмовиков прикрывалась четверкой Ла-5 от 229-й иад.</w:t>
      </w:r>
    </w:p>
    <w:p w14:paraId="0A1137F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Подлетая к району Белыничи, экипажи наблюдали на шоссе от Белыничи на запад сплошное движение автомашин, подвод, артиллерии на механической и конной тяге. Особенно большое скопление техники противника летчики обнаружили на участке шоссе Заболотье-Василевшина. Голова всей колонны подходила к Погосту. Позже, дешифрирование фотоснимков показало, что на участке дороги Белыничи-Погост двигалось до 600 единиц транспорта. Все мосты через реки, пересекающие шоссе на этом участке, а также насыпи через болотистые места были исправны. Движения по прилегающим к шоссе дорогам и параллельным ему замечено не было.</w:t>
      </w:r>
    </w:p>
    <w:p w14:paraId="519D4B3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Штурмовики нанесли бомбоштурмовой удар по наибольшему скоплению немецких войск в районе Василевщина-Заболотье. Атака целей проводилась в нескольких заходах.</w:t>
      </w:r>
    </w:p>
    <w:p w14:paraId="1A5B24D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Поданным разведчиков в9.14-9.16 были выпущены на эту же цель еще две четверки Ил-2 от 7-го гшап (ведущие капитан Демидов и майор Рябов).</w:t>
      </w:r>
    </w:p>
    <w:p w14:paraId="35A13E3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Груда железа осталась после налёта штурмовиков Ил-2. 1-й Белорусский фронт, июль 1944 г.</w:t>
      </w:r>
    </w:p>
    <w:p w14:paraId="05DCDCB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Дальнейший выпуск групп, в составе по 4-5 Ил-2 каждая от других полков дивизии, производился через каждые 8-20 минут и продолжался непрерывно до 20.30. Ввиду почти полного отсутствия истребителей противника прикрытие штурмовиков строилось из расчета одна пара истребителей на группу Ил-2.</w:t>
      </w:r>
    </w:p>
    <w:p w14:paraId="050B067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период с 11.30 до 15.00 штурмовики дивизии разрушили все мосты на шоссе Белыничи-Березино. Движение автотранспорта на этом участке фактически прекратилось. Почин в уничтожении мостов принадлежит четверке капитана Карабута, которая нанесла точнейший удар по мосту в районе Запо- лотье и скоплению автомашин возле него.</w:t>
      </w:r>
    </w:p>
    <w:p w14:paraId="13038B0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Начиная со второй половины дня, немцы были вынуждены двигаться по проселочным дорогам с песчаным грунтом. Скорость колонн резко уменьшилась, вследствие чего создавались еще более благоприятные условия для нанесения по ним бомбоштурмовых ударов. Всего же в течение дня на боевое задание вылетало 40 групп Ил-2.</w:t>
      </w:r>
    </w:p>
    <w:p w14:paraId="09F93AD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Работа специальной комиссии по определению эффективности действий 230-й шад с выездом на места ударов показала, что штурмовиками в течение дня было уничтожено свыше 100 автомашин, шесть танков и т.д. Кроме этого, только на 2-х километровом участке минского шоссе в 1,5 км северо- восточнее Погоста комиссией было обнаружено до 500 единиц брошенной боевой техники.</w:t>
      </w:r>
    </w:p>
    <w:p w14:paraId="39527BB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Разбитые и деморализованные немецкие войска под непрерывными ударами советской авиации не смогли своевременно занять оборону по выгодному рубежу, каковым являлась р. Березина. Пока они с большим трудом преодолевали расстояние до Березины, войска соседних фронтов оказались уже в их тылу. 3 июля был освобожден Минск, а восточнее его в окружении оказалась 100-тысячная группировка противника.</w:t>
      </w:r>
    </w:p>
    <w:p w14:paraId="2C618EE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Разгром немецких войск в районе Бобруйска и Минска привел к образованию в обороне группы армий "Центр" огромной бреши. Исходя из этого, 4 июля Ставка приказала войскам правого крыла 1-го Белорусского фронта продолжать наступление на Барановичи, Брест и захватить плацдармы на западном берегу реки Западный Буг. 8 июля, сломив упорное сопротивление врага, войска фронта при поддержке авиации овладели укрепленным районом и городом Барановичи, а 10 июля освободили Слоним (12020).</w:t>
      </w:r>
    </w:p>
    <w:p w14:paraId="35B4D35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51CA81D"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июня 1944 войска 1-го Белорусского фронта завершили Бобруйскую наступательную операцию. В ходе операции была окружена и ликвидирована немецко-фашистская групировка численностью около 40 тыс. человек (4963 ).</w:t>
      </w:r>
    </w:p>
    <w:p w14:paraId="676A55DF"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56D373B"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июня 1944 советские войска освободили Бобруйск (4962).</w:t>
      </w:r>
    </w:p>
    <w:p w14:paraId="79ECCFDC"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CEF2DD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June 29th, 1944: In the East, German troops of Heeresgruppe Mitte (Busch) encircled near Bobruisk surrender to the Red Army (70,000 prisoners). In the West, Cherbourg is captured by the US VII Corps (Collins) (3819).</w:t>
      </w:r>
    </w:p>
    <w:p w14:paraId="4EBDB7B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F3DCCE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июня 1944 1БФ захватил Бобруйск (340,173).</w:t>
      </w:r>
    </w:p>
    <w:p w14:paraId="60EBC46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DAFD4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нюня 1944 г. основной поток отходящих немецких войск на Березину нa участке Белыничи-Березино минской автострады проходил сплошными колоннами в 2-3 ряда. Этот участок дороги, протяжением всего 52 км. пересекался пятью небольшими реками, через которые были построены деревянные мосты. Кроме этого, до 90°о всего участка дороги проходило в лесах. а в районе Заболотье на протяжении 8 км дорога проходила просто через болото.</w:t>
      </w:r>
    </w:p>
    <w:p w14:paraId="1F34A1A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То есть во время ударов Ил-2 колонны противника совершенно не имели возможности рассредоточиться. "Илы" же, создав на дорогах пробки, непрерывным "висением" над остановившимися колоннами добивались максимального успеха.</w:t>
      </w:r>
    </w:p>
    <w:p w14:paraId="412986D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Работа специальной комиссии по определению эффективности боевых действий полков 230 шад 29 июня на участках дороги Белыничи-Погост. Белыничи-Березино и Василевщина-Заболотье с выездом на места боев показала, что штурмовиками в течение дня было уничтожено и повреждено свыше 100 автомашин, б танков, около двух десятков орудий, и т.д. Помимо этого, вследствие созданных "Илами" пробок и заторов, немцы были вынуждены бросить на дорогах значительное количество боевой техники. Например, только на 2-х километровом участке минского шоссе в 1,5 км северо-восточнее Погоста комиссией было обнаружено до 500 брошенных и разбитых автомашин (8687).</w:t>
      </w:r>
    </w:p>
    <w:p w14:paraId="7126A86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17E131"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июня 1944 советские войска начали Полоцкую и Минскую наступательные операции (4962).</w:t>
      </w:r>
    </w:p>
    <w:p w14:paraId="76270A36"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2BFABB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29 июня по 4 июля 1944 была Полоцкая операция по уничтожению полоцкой группировки. Разбили 6 дивизий и продвинулись на 110 км (2443,31).</w:t>
      </w:r>
    </w:p>
    <w:p w14:paraId="1E2C175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88992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июня 1944 года вышло постановление № 789, в котором говорилось, что «порочная практика заочного рассмотрения дел военными трибуналами ослабляет борьбу с дезертирством, подрывает авторитет судебного приговора, т. к. осужденные остаются фактически безнаказанными». Отныне дела на дезертиров с производства следовало передавать в военные трибуналы только после розыска обвиняемых. А еще через два дня прокурор СССР К. П. Горшенин издал приказ «Об усилении борьбы с дезертирством с предприятий военной промышленности», в котором потребовал усилить розыск беглецов, а должностных лиц, принимавших их на работу, судить по статье 11 УК «Бездействие власти». [402 — Сомов В. А. Указ. соч., с. 58.] (11741).</w:t>
      </w:r>
    </w:p>
    <w:p w14:paraId="3F69707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0CA7F9"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Внешняя политика:</w:t>
      </w:r>
    </w:p>
    <w:p w14:paraId="3F94E96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EC9F39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июня 1944 Подписано соглашение между Великобритании, США и СССР о совместной оккупации Австрии (в границах на 31.12.1937 г) (7444).</w:t>
      </w:r>
    </w:p>
    <w:p w14:paraId="3493FC3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40BC6D"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4A897CA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77F474B" w14:textId="77777777" w:rsidR="00B049B7" w:rsidRPr="007224C3" w:rsidRDefault="00B049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29 июня</w:t>
      </w:r>
      <w:r w:rsidRPr="007224C3">
        <w:rPr>
          <w:rFonts w:ascii="Times New Roman" w:hAnsi="Times New Roman"/>
          <w:color w:val="000000" w:themeColor="text1"/>
          <w:sz w:val="16"/>
          <w:szCs w:val="16"/>
        </w:rPr>
        <w:t xml:space="preserve"> в 1944 году совершил первый полет прототип </w:t>
      </w:r>
      <w:hyperlink r:id="rId182" w:tgtFrame="_blank" w:history="1">
        <w:r w:rsidRPr="007224C3">
          <w:rPr>
            <w:rFonts w:ascii="Times New Roman" w:hAnsi="Times New Roman"/>
            <w:color w:val="000000" w:themeColor="text1"/>
            <w:sz w:val="16"/>
            <w:szCs w:val="16"/>
          </w:rPr>
          <w:t xml:space="preserve">«Do-335V9». </w:t>
        </w:r>
      </w:hyperlink>
      <w:r w:rsidRPr="007224C3">
        <w:rPr>
          <w:rFonts w:ascii="Times New Roman" w:hAnsi="Times New Roman"/>
          <w:color w:val="000000" w:themeColor="text1"/>
          <w:sz w:val="16"/>
          <w:szCs w:val="16"/>
        </w:rPr>
        <w:t>Управлял самолетом Квенцлер. «Do-355V9» (CP+UI, W.Nr. 230009) был последним прототипом перед началом серийного производства. От своих предшественников самолет отличался усиленным шасси, а также рядом усиленных деталей внутренней конструкции. Кроме того, в конструкции самолета учли опыт испытаний предыдущих прототипов. Девятый прототип служил образцом для модификации истребителя-бомбардировщика «Do-335A-0/A-1» (14937).</w:t>
      </w:r>
    </w:p>
    <w:p w14:paraId="08DEC611" w14:textId="77777777" w:rsidR="00B049B7" w:rsidRPr="007224C3" w:rsidRDefault="00B049B7" w:rsidP="007224C3">
      <w:pPr>
        <w:spacing w:after="0" w:line="240" w:lineRule="auto"/>
        <w:jc w:val="both"/>
        <w:rPr>
          <w:rFonts w:ascii="Times New Roman" w:hAnsi="Times New Roman"/>
          <w:color w:val="000000" w:themeColor="text1"/>
          <w:sz w:val="16"/>
          <w:szCs w:val="16"/>
        </w:rPr>
      </w:pPr>
    </w:p>
    <w:p w14:paraId="65612808"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июня 1944 в бункере Берхтесгадена Гитлер не позволил своим командующим доложить ситуацию на фронте, сведя все к обещаниям решения вопроса ударами ФАУ (4962).</w:t>
      </w:r>
    </w:p>
    <w:p w14:paraId="5B499B0A"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1CDAA32"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июня 1944 шесть министров правительства Финляндии подали в отставку в связи с намерением премьера продолжать войну против СССР (4962).</w:t>
      </w:r>
    </w:p>
    <w:p w14:paraId="3A0718A8" w14:textId="77777777" w:rsidR="00595BFB" w:rsidRPr="007224C3" w:rsidRDefault="00595BFB" w:rsidP="007224C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49AC5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29 июня 1944 7К США (Коллинз) взял Шербур (3819).</w:t>
      </w:r>
    </w:p>
    <w:p w14:paraId="4E6642A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5C301B" w14:textId="77777777" w:rsidR="00AC1099" w:rsidRPr="007224C3" w:rsidRDefault="00AC1099"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29 июня 1944 года потоплен Ryusei Maru, 4998 погибших (20190).</w:t>
      </w:r>
    </w:p>
    <w:p w14:paraId="3AAE477D" w14:textId="77777777" w:rsidR="00AC1099" w:rsidRPr="007224C3" w:rsidRDefault="00AC1099" w:rsidP="007224C3">
      <w:pPr>
        <w:spacing w:after="0" w:line="240" w:lineRule="auto"/>
        <w:jc w:val="both"/>
        <w:rPr>
          <w:rFonts w:ascii="Times New Roman" w:hAnsi="Times New Roman"/>
          <w:color w:val="0070C0"/>
          <w:sz w:val="16"/>
          <w:szCs w:val="16"/>
        </w:rPr>
      </w:pPr>
    </w:p>
    <w:p w14:paraId="4AF94B6B" w14:textId="77777777" w:rsidR="00AC1099" w:rsidRPr="007224C3" w:rsidRDefault="00AC1099"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29 июня 1944 года потоплен Toyama Maru, около 5600 погибших (20190).</w:t>
      </w:r>
    </w:p>
    <w:p w14:paraId="58CF2CE0" w14:textId="77777777" w:rsidR="00AC1099" w:rsidRPr="007224C3" w:rsidRDefault="00AC1099" w:rsidP="007224C3">
      <w:pPr>
        <w:spacing w:after="0" w:line="240" w:lineRule="auto"/>
        <w:jc w:val="both"/>
        <w:rPr>
          <w:rFonts w:ascii="Times New Roman" w:hAnsi="Times New Roman"/>
          <w:color w:val="0070C0"/>
          <w:sz w:val="16"/>
          <w:szCs w:val="16"/>
        </w:rPr>
      </w:pPr>
    </w:p>
    <w:p w14:paraId="4416E1F8"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3CE7CBD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3850F9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июня 1944 Нач. НИИАВ ВВС г-миас М. Гуревич утвердил Отчет N 225 о повторных гос. испытаниях синхронной установки 3х УБ-20 калибра 20 мм на Ла-7 в НИИ АВ.</w:t>
      </w:r>
    </w:p>
    <w:p w14:paraId="42B4DF9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отд. НИИ АВ ВВС</w:t>
      </w:r>
    </w:p>
    <w:p w14:paraId="2FF175E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Вед. Исп. - м В.М.Суязов</w:t>
      </w:r>
    </w:p>
    <w:p w14:paraId="5D43CEB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л-и м И.А.Добросконин</w:t>
      </w:r>
    </w:p>
    <w:p w14:paraId="0D5D3E9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ви по с-ту от ОКБ-21 В.П.Горлышев</w:t>
      </w:r>
    </w:p>
    <w:p w14:paraId="4D37A62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Было 5 полетов.</w:t>
      </w:r>
    </w:p>
    <w:p w14:paraId="6AED60C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Заключение: </w:t>
      </w:r>
    </w:p>
    <w:p w14:paraId="2FA6D13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Синхронная установка 3х УБ-20 калибра 20 мм на Ла-7, предъявленная ОКБ-21 на гос. Летные испытания испытаний не выдержала (выбрасываемые гильзы попадали на стабилизатор и повреждали, пушки работали ненадежно (750,2).</w:t>
      </w:r>
    </w:p>
    <w:p w14:paraId="2DB50ED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07ECA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30 июня по 30 июля 1944 ТИС (МА) Н.Н.П. ремонтировался на заводе № 51, но испытания возобновились в ЛИИ только 14 августа 1944 (10535,34).</w:t>
      </w:r>
    </w:p>
    <w:p w14:paraId="490DCD1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825EE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30 июня по 30 июля 1944 ТИС (МА) находился в ремонте. 14 августа летные испытания возоб</w:t>
      </w:r>
      <w:r w:rsidRPr="007224C3">
        <w:rPr>
          <w:rFonts w:ascii="Times New Roman" w:hAnsi="Times New Roman"/>
          <w:color w:val="000000" w:themeColor="text1"/>
          <w:sz w:val="16"/>
          <w:szCs w:val="16"/>
        </w:rPr>
        <w:softHyphen/>
        <w:t>новились в ЛИИ НКАП и продолжались по 16 сентября. ТИС (МА) развивал максимальную скорость у земли 514 км/ч, на высоте 1660 м - 535 км/ч. Летные характе</w:t>
      </w:r>
      <w:r w:rsidRPr="007224C3">
        <w:rPr>
          <w:rFonts w:ascii="Times New Roman" w:hAnsi="Times New Roman"/>
          <w:color w:val="000000" w:themeColor="text1"/>
          <w:sz w:val="16"/>
          <w:szCs w:val="16"/>
        </w:rPr>
        <w:softHyphen/>
        <w:t>ристики самолета практически не отличались от расчет</w:t>
      </w:r>
      <w:r w:rsidRPr="007224C3">
        <w:rPr>
          <w:rFonts w:ascii="Times New Roman" w:hAnsi="Times New Roman"/>
          <w:color w:val="000000" w:themeColor="text1"/>
          <w:sz w:val="16"/>
          <w:szCs w:val="16"/>
        </w:rPr>
        <w:softHyphen/>
        <w:t xml:space="preserve">ных, а это позволяло надеяться, что с двигателями АМ-39А летные характеристики ТИС (МА) также будут соответствовать расчетным (максимальная скорость -650 км/ч на </w:t>
      </w:r>
      <w:r w:rsidRPr="007224C3">
        <w:rPr>
          <w:rFonts w:ascii="Times New Roman" w:hAnsi="Times New Roman"/>
          <w:color w:val="000000" w:themeColor="text1"/>
          <w:sz w:val="16"/>
          <w:szCs w:val="16"/>
        </w:rPr>
        <w:lastRenderedPageBreak/>
        <w:t>высоте 7150 м, время подъема на высоту 5000 м - 6,4 мин). В выводах по испытаниям подчеркивалось, что «по технике пилотирования и взлетно-посадочным свойст</w:t>
      </w:r>
      <w:r w:rsidRPr="007224C3">
        <w:rPr>
          <w:rFonts w:ascii="Times New Roman" w:hAnsi="Times New Roman"/>
          <w:color w:val="000000" w:themeColor="text1"/>
          <w:sz w:val="16"/>
          <w:szCs w:val="16"/>
        </w:rPr>
        <w:softHyphen/>
        <w:t>вам самолет доступен для летчика средней квалифика</w:t>
      </w:r>
      <w:r w:rsidRPr="007224C3">
        <w:rPr>
          <w:rFonts w:ascii="Times New Roman" w:hAnsi="Times New Roman"/>
          <w:color w:val="000000" w:themeColor="text1"/>
          <w:sz w:val="16"/>
          <w:szCs w:val="16"/>
        </w:rPr>
        <w:softHyphen/>
        <w:t>ции». Вопрос о постройке серии не возникал. Объяснялось это тем, что дальних бомбардировщиков Пе-8 (ТБ-7), для сопровождения которых предназначался ТИС, вы</w:t>
      </w:r>
      <w:r w:rsidRPr="007224C3">
        <w:rPr>
          <w:rFonts w:ascii="Times New Roman" w:hAnsi="Times New Roman"/>
          <w:color w:val="000000" w:themeColor="text1"/>
          <w:sz w:val="16"/>
          <w:szCs w:val="16"/>
        </w:rPr>
        <w:softHyphen/>
        <w:t>пустили всего 79 экземпляров. Применялись они мел</w:t>
      </w:r>
      <w:r w:rsidRPr="007224C3">
        <w:rPr>
          <w:rFonts w:ascii="Times New Roman" w:hAnsi="Times New Roman"/>
          <w:color w:val="000000" w:themeColor="text1"/>
          <w:sz w:val="16"/>
          <w:szCs w:val="16"/>
        </w:rPr>
        <w:softHyphen/>
        <w:t>кими группами, ночью. В этих условиях большой необходимости в постройке специализированных ис</w:t>
      </w:r>
      <w:r w:rsidRPr="007224C3">
        <w:rPr>
          <w:rFonts w:ascii="Times New Roman" w:hAnsi="Times New Roman"/>
          <w:color w:val="000000" w:themeColor="text1"/>
          <w:sz w:val="16"/>
          <w:szCs w:val="16"/>
        </w:rPr>
        <w:softHyphen/>
        <w:t>требителей сопровождения не было. Схема ТИС позволяла относительно просто превра</w:t>
      </w:r>
      <w:r w:rsidRPr="007224C3">
        <w:rPr>
          <w:rFonts w:ascii="Times New Roman" w:hAnsi="Times New Roman"/>
          <w:color w:val="000000" w:themeColor="text1"/>
          <w:sz w:val="16"/>
          <w:szCs w:val="16"/>
        </w:rPr>
        <w:softHyphen/>
        <w:t>тить его в ночной истребитель-перехватчик, но в то вре</w:t>
      </w:r>
      <w:r w:rsidRPr="007224C3">
        <w:rPr>
          <w:rFonts w:ascii="Times New Roman" w:hAnsi="Times New Roman"/>
          <w:color w:val="000000" w:themeColor="text1"/>
          <w:sz w:val="16"/>
          <w:szCs w:val="16"/>
        </w:rPr>
        <w:softHyphen/>
        <w:t>мя такой вариант не рассматривался. Конструктивно ТИС представлял собой моноплан цельнометаллической конструкции с разнесенным вер</w:t>
      </w:r>
      <w:r w:rsidRPr="007224C3">
        <w:rPr>
          <w:rFonts w:ascii="Times New Roman" w:hAnsi="Times New Roman"/>
          <w:color w:val="000000" w:themeColor="text1"/>
          <w:sz w:val="16"/>
          <w:szCs w:val="16"/>
        </w:rPr>
        <w:softHyphen/>
        <w:t>тикальным оперением и взлетным весом 8000-8300 кг. Войти в кабину можно было через нижний люк-лестни</w:t>
      </w:r>
      <w:r w:rsidRPr="007224C3">
        <w:rPr>
          <w:rFonts w:ascii="Times New Roman" w:hAnsi="Times New Roman"/>
          <w:color w:val="000000" w:themeColor="text1"/>
          <w:sz w:val="16"/>
          <w:szCs w:val="16"/>
        </w:rPr>
        <w:softHyphen/>
        <w:t>цу. В воздухе люк можно было сбросить из любой каби</w:t>
      </w:r>
      <w:r w:rsidRPr="007224C3">
        <w:rPr>
          <w:rFonts w:ascii="Times New Roman" w:hAnsi="Times New Roman"/>
          <w:color w:val="000000" w:themeColor="text1"/>
          <w:sz w:val="16"/>
          <w:szCs w:val="16"/>
        </w:rPr>
        <w:softHyphen/>
        <w:t>ны. Крыло имело размах 15,5 м. Шасси убиралось пневмоприводом. Вооружение ТИС (А) состояло из че</w:t>
      </w:r>
      <w:r w:rsidRPr="007224C3">
        <w:rPr>
          <w:rFonts w:ascii="Times New Roman" w:hAnsi="Times New Roman"/>
          <w:color w:val="000000" w:themeColor="text1"/>
          <w:sz w:val="16"/>
          <w:szCs w:val="16"/>
        </w:rPr>
        <w:softHyphen/>
        <w:t>тырех пулеметов ШКАС в носовой батарее, двух пушек ШВАК и двух пулеметов БС в центроплане. У стрелка-ра</w:t>
      </w:r>
      <w:r w:rsidRPr="007224C3">
        <w:rPr>
          <w:rFonts w:ascii="Times New Roman" w:hAnsi="Times New Roman"/>
          <w:color w:val="000000" w:themeColor="text1"/>
          <w:sz w:val="16"/>
          <w:szCs w:val="16"/>
        </w:rPr>
        <w:softHyphen/>
        <w:t>диста находился один ШКАС на турели и один в люковой установке. Вооружение ТИС (МА) было мощнее: две пушки ШВАК в носовой батарее, две пушки 11П калибра 37 мм или две пушки 11Ш калибра 45 мм в центроплане, один пулемет УБТ у стрелка-радиста. Предусматривалась внешняя подвеска 1000 кг бомб. На самолете стояли мощное по тем временам навигационное оборудование, радиостанция, фотоаппаратура. Помимо своего основно</w:t>
      </w:r>
      <w:r w:rsidRPr="007224C3">
        <w:rPr>
          <w:rFonts w:ascii="Times New Roman" w:hAnsi="Times New Roman"/>
          <w:color w:val="000000" w:themeColor="text1"/>
          <w:sz w:val="16"/>
          <w:szCs w:val="16"/>
        </w:rPr>
        <w:softHyphen/>
        <w:t>го назначения, ТИС мог использоваться как разведчик и штурмовик-бомбардировщик (10667).</w:t>
      </w:r>
    </w:p>
    <w:p w14:paraId="717E779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BEA8E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июня 1944 С.П.К. завершил подготовку «Предварительного аэродинамического расчета винтомоторного истребителя "Ла-5" с реактивной установкой с двигателем РД-1. Часть I. Определение основных летных характеристик при полетах ниже винтомоторного потолка» (Там же, № 110) (10676).</w:t>
      </w:r>
    </w:p>
    <w:p w14:paraId="7C61B57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B7AE45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июня 1944 вышло Распоряжение ГКО № 6120. О производстве улучшенной ткани для аэростатов заграждения. РГАНИР, Фонд ГКО, д. 266, лл. 250 (11012).</w:t>
      </w:r>
    </w:p>
    <w:p w14:paraId="4496458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3F726A9"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4B93059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249AC9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июня 1944 г. была подготовлена записка В.Старовского Н.А.Вознесенскому, согласно которой, по дан</w:t>
      </w:r>
      <w:r w:rsidRPr="007224C3">
        <w:rPr>
          <w:rFonts w:ascii="Times New Roman" w:hAnsi="Times New Roman"/>
          <w:color w:val="000000" w:themeColor="text1"/>
          <w:sz w:val="16"/>
          <w:szCs w:val="16"/>
        </w:rPr>
        <w:softHyphen/>
        <w:t>ным ЦСУ СССР, с 1940 г. по 1943 г. доля потребления в на</w:t>
      </w:r>
      <w:r w:rsidRPr="007224C3">
        <w:rPr>
          <w:rFonts w:ascii="Times New Roman" w:hAnsi="Times New Roman"/>
          <w:color w:val="000000" w:themeColor="text1"/>
          <w:sz w:val="16"/>
          <w:szCs w:val="16"/>
        </w:rPr>
        <w:softHyphen/>
        <w:t>циональном доходе в фактических ценах увеличивается с 80% до 99%, а доля накопления, соответственно, сокращается с 20% до 1% /79/. По отношению к накоплению показатель 1943 г. явля</w:t>
      </w:r>
      <w:r w:rsidRPr="007224C3">
        <w:rPr>
          <w:rFonts w:ascii="Times New Roman" w:hAnsi="Times New Roman"/>
          <w:color w:val="000000" w:themeColor="text1"/>
          <w:sz w:val="16"/>
          <w:szCs w:val="16"/>
        </w:rPr>
        <w:softHyphen/>
        <w:t>ется, по-видимому, самым низким за всю историю советской эко</w:t>
      </w:r>
      <w:r w:rsidRPr="007224C3">
        <w:rPr>
          <w:rFonts w:ascii="Times New Roman" w:hAnsi="Times New Roman"/>
          <w:color w:val="000000" w:themeColor="text1"/>
          <w:sz w:val="16"/>
          <w:szCs w:val="16"/>
        </w:rPr>
        <w:softHyphen/>
        <w:t>номики. Между тем, в советской экономической литературе ут</w:t>
      </w:r>
      <w:r w:rsidRPr="007224C3">
        <w:rPr>
          <w:rFonts w:ascii="Times New Roman" w:hAnsi="Times New Roman"/>
          <w:color w:val="000000" w:themeColor="text1"/>
          <w:sz w:val="16"/>
          <w:szCs w:val="16"/>
        </w:rPr>
        <w:softHyphen/>
        <w:t>верждается, что с 1943 г. по 1945 г. в СССР осуществлялось расширенное воспроизводство совокупного общественного про</w:t>
      </w:r>
      <w:r w:rsidRPr="007224C3">
        <w:rPr>
          <w:rFonts w:ascii="Times New Roman" w:hAnsi="Times New Roman"/>
          <w:color w:val="000000" w:themeColor="text1"/>
          <w:sz w:val="16"/>
          <w:szCs w:val="16"/>
        </w:rPr>
        <w:softHyphen/>
        <w:t>дукта. Как это могло иметь место при отсутствии или совсем ни</w:t>
      </w:r>
      <w:r w:rsidRPr="007224C3">
        <w:rPr>
          <w:rFonts w:ascii="Times New Roman" w:hAnsi="Times New Roman"/>
          <w:color w:val="000000" w:themeColor="text1"/>
          <w:sz w:val="16"/>
          <w:szCs w:val="16"/>
        </w:rPr>
        <w:softHyphen/>
        <w:t>чтожном проценте накопления? В условиях абсолютного сокращения объема национального дохода и той его части, которая направляется на накопление, процесс расширенного воспроизводства в отраслях промышлен</w:t>
      </w:r>
      <w:r w:rsidRPr="007224C3">
        <w:rPr>
          <w:rFonts w:ascii="Times New Roman" w:hAnsi="Times New Roman"/>
          <w:color w:val="000000" w:themeColor="text1"/>
          <w:sz w:val="16"/>
          <w:szCs w:val="16"/>
        </w:rPr>
        <w:softHyphen/>
        <w:t>ности, изготовляющих военную продукцию, может совершаться только за счет сокращения размеров потребления необходимого общественного продукта. Показатели объемов потребления об</w:t>
      </w:r>
      <w:r w:rsidRPr="007224C3">
        <w:rPr>
          <w:rFonts w:ascii="Times New Roman" w:hAnsi="Times New Roman"/>
          <w:color w:val="000000" w:themeColor="text1"/>
          <w:sz w:val="16"/>
          <w:szCs w:val="16"/>
        </w:rPr>
        <w:softHyphen/>
        <w:t>щественного продукта в балансах общественного продукта, раз</w:t>
      </w:r>
      <w:r w:rsidRPr="007224C3">
        <w:rPr>
          <w:rFonts w:ascii="Times New Roman" w:hAnsi="Times New Roman"/>
          <w:color w:val="000000" w:themeColor="text1"/>
          <w:sz w:val="16"/>
          <w:szCs w:val="16"/>
        </w:rPr>
        <w:softHyphen/>
        <w:t>работанных ЦСУ СССР в масштабе действующих цен, этого не Подтверждают или подтверждают частично. Так, объем потребле</w:t>
      </w:r>
      <w:r w:rsidRPr="007224C3">
        <w:rPr>
          <w:rFonts w:ascii="Times New Roman" w:hAnsi="Times New Roman"/>
          <w:color w:val="000000" w:themeColor="text1"/>
          <w:sz w:val="16"/>
          <w:szCs w:val="16"/>
        </w:rPr>
        <w:softHyphen/>
        <w:t>ния населения с 1940 г. по 1944 г., согласно этим данным, уве</w:t>
      </w:r>
      <w:r w:rsidRPr="007224C3">
        <w:rPr>
          <w:rFonts w:ascii="Times New Roman" w:hAnsi="Times New Roman"/>
          <w:color w:val="000000" w:themeColor="text1"/>
          <w:sz w:val="16"/>
          <w:szCs w:val="16"/>
        </w:rPr>
        <w:softHyphen/>
        <w:t>личивается на 60,4%, а объем производственного потребления сокращается на 26%. Учитывая изменения, произошедшие в годы войны в структу</w:t>
      </w:r>
      <w:r w:rsidRPr="007224C3">
        <w:rPr>
          <w:rFonts w:ascii="Times New Roman" w:hAnsi="Times New Roman"/>
          <w:color w:val="000000" w:themeColor="text1"/>
          <w:sz w:val="16"/>
          <w:szCs w:val="16"/>
        </w:rPr>
        <w:softHyphen/>
        <w:t>ре цен, а также реальное сокращение национального дохода в 2-2,5 раза, показатели баланса общественного продукта в факти</w:t>
      </w:r>
      <w:r w:rsidRPr="007224C3">
        <w:rPr>
          <w:rFonts w:ascii="Times New Roman" w:hAnsi="Times New Roman"/>
          <w:color w:val="000000" w:themeColor="text1"/>
          <w:sz w:val="16"/>
          <w:szCs w:val="16"/>
        </w:rPr>
        <w:softHyphen/>
        <w:t>ческих ценах искажают реальное положение дел. Пересчитывая показатели баланса общественного продукта в ценах 1940 г., аналитики ЦСУ СССР получили совсем другие данные, которые приводятся в таблице. По отношению к 1940 г. в последние два года войны имеет место не увеличение, а сокра</w:t>
      </w:r>
      <w:r w:rsidRPr="007224C3">
        <w:rPr>
          <w:rFonts w:ascii="Times New Roman" w:hAnsi="Times New Roman"/>
          <w:color w:val="000000" w:themeColor="text1"/>
          <w:sz w:val="16"/>
          <w:szCs w:val="16"/>
        </w:rPr>
        <w:softHyphen/>
        <w:t>щение совокупного общественного продукта. Производственное потребление и потребление населения сокращается в полтора-два раза, а производство военной продукции, наоборот, увеличивает</w:t>
      </w:r>
      <w:r w:rsidRPr="007224C3">
        <w:rPr>
          <w:rFonts w:ascii="Times New Roman" w:hAnsi="Times New Roman"/>
          <w:color w:val="000000" w:themeColor="text1"/>
          <w:sz w:val="16"/>
          <w:szCs w:val="16"/>
        </w:rPr>
        <w:softHyphen/>
        <w:t>ся почти в два раза. Доля накопления в величине национального дохода сокращается в полтора раза и т.д.</w:t>
      </w:r>
    </w:p>
    <w:p w14:paraId="3F702FE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Баланс общественного продукта СССР</w:t>
      </w:r>
    </w:p>
    <w:p w14:paraId="4DEA3FC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ценах 1940 г. в млд. руб.)</w:t>
      </w:r>
    </w:p>
    <w:tbl>
      <w:tblPr>
        <w:tblW w:w="0" w:type="auto"/>
        <w:tblInd w:w="40" w:type="dxa"/>
        <w:tblLayout w:type="fixed"/>
        <w:tblCellMar>
          <w:left w:w="40" w:type="dxa"/>
          <w:right w:w="40" w:type="dxa"/>
        </w:tblCellMar>
        <w:tblLook w:val="0000" w:firstRow="0" w:lastRow="0" w:firstColumn="0" w:lastColumn="0" w:noHBand="0" w:noVBand="0"/>
      </w:tblPr>
      <w:tblGrid>
        <w:gridCol w:w="4762"/>
        <w:gridCol w:w="1603"/>
      </w:tblGrid>
      <w:tr w:rsidR="005106D0" w:rsidRPr="007224C3" w14:paraId="37654543" w14:textId="77777777">
        <w:trPr>
          <w:trHeight w:val="317"/>
        </w:trPr>
        <w:tc>
          <w:tcPr>
            <w:tcW w:w="4762" w:type="dxa"/>
            <w:tcBorders>
              <w:top w:val="single" w:sz="12" w:space="0" w:color="auto"/>
              <w:left w:val="single" w:sz="12" w:space="0" w:color="auto"/>
              <w:bottom w:val="single" w:sz="6" w:space="0" w:color="auto"/>
              <w:right w:val="single" w:sz="6" w:space="0" w:color="auto"/>
            </w:tcBorders>
          </w:tcPr>
          <w:p w14:paraId="2E9CA79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1940 г.</w:t>
            </w:r>
          </w:p>
          <w:p w14:paraId="4AD6ACA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tcBorders>
              <w:top w:val="single" w:sz="12" w:space="0" w:color="auto"/>
              <w:left w:val="single" w:sz="6" w:space="0" w:color="auto"/>
              <w:bottom w:val="single" w:sz="6" w:space="0" w:color="auto"/>
              <w:right w:val="single" w:sz="12" w:space="0" w:color="auto"/>
            </w:tcBorders>
          </w:tcPr>
          <w:p w14:paraId="28A9E66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1944 г. 1945 г.</w:t>
            </w:r>
          </w:p>
          <w:p w14:paraId="18F984B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CF55342" w14:textId="77777777">
        <w:trPr>
          <w:trHeight w:val="259"/>
        </w:trPr>
        <w:tc>
          <w:tcPr>
            <w:tcW w:w="4762" w:type="dxa"/>
            <w:tcBorders>
              <w:top w:val="single" w:sz="6" w:space="0" w:color="auto"/>
              <w:left w:val="single" w:sz="12" w:space="0" w:color="auto"/>
              <w:bottom w:val="single" w:sz="6" w:space="0" w:color="auto"/>
              <w:right w:val="single" w:sz="6" w:space="0" w:color="auto"/>
            </w:tcBorders>
          </w:tcPr>
          <w:p w14:paraId="431EDA9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Поступление</w:t>
            </w:r>
          </w:p>
          <w:p w14:paraId="11B4454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tcBorders>
              <w:top w:val="single" w:sz="6" w:space="0" w:color="auto"/>
              <w:left w:val="single" w:sz="6" w:space="0" w:color="auto"/>
              <w:bottom w:val="single" w:sz="6" w:space="0" w:color="auto"/>
              <w:right w:val="single" w:sz="12" w:space="0" w:color="auto"/>
            </w:tcBorders>
          </w:tcPr>
          <w:p w14:paraId="4BD32CC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F6ABD8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57CCF5E" w14:textId="77777777">
        <w:trPr>
          <w:trHeight w:val="230"/>
        </w:trPr>
        <w:tc>
          <w:tcPr>
            <w:tcW w:w="4762" w:type="dxa"/>
            <w:tcBorders>
              <w:top w:val="single" w:sz="6" w:space="0" w:color="auto"/>
              <w:left w:val="single" w:sz="12" w:space="0" w:color="auto"/>
              <w:bottom w:val="single" w:sz="6" w:space="0" w:color="auto"/>
              <w:right w:val="single" w:sz="6" w:space="0" w:color="auto"/>
            </w:tcBorders>
          </w:tcPr>
          <w:p w14:paraId="2A87F0C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Произведенный общест. продукт 682,3</w:t>
            </w:r>
          </w:p>
          <w:p w14:paraId="3C2DE2E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tcBorders>
              <w:top w:val="single" w:sz="6" w:space="0" w:color="auto"/>
              <w:left w:val="single" w:sz="6" w:space="0" w:color="auto"/>
              <w:bottom w:val="single" w:sz="6" w:space="0" w:color="auto"/>
              <w:right w:val="single" w:sz="12" w:space="0" w:color="auto"/>
            </w:tcBorders>
          </w:tcPr>
          <w:p w14:paraId="4766B07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473,7 467,0</w:t>
            </w:r>
          </w:p>
          <w:p w14:paraId="498D1C2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66FF2CC" w14:textId="77777777">
        <w:trPr>
          <w:trHeight w:val="221"/>
        </w:trPr>
        <w:tc>
          <w:tcPr>
            <w:tcW w:w="4762" w:type="dxa"/>
            <w:tcBorders>
              <w:top w:val="single" w:sz="6" w:space="0" w:color="auto"/>
              <w:left w:val="single" w:sz="12" w:space="0" w:color="auto"/>
              <w:bottom w:val="single" w:sz="6" w:space="0" w:color="auto"/>
              <w:right w:val="single" w:sz="6" w:space="0" w:color="auto"/>
            </w:tcBorders>
          </w:tcPr>
          <w:p w14:paraId="602C178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Поступило из др. источников 4,1</w:t>
            </w:r>
          </w:p>
          <w:p w14:paraId="168F495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tcBorders>
              <w:top w:val="single" w:sz="6" w:space="0" w:color="auto"/>
              <w:left w:val="single" w:sz="6" w:space="0" w:color="auto"/>
              <w:bottom w:val="single" w:sz="6" w:space="0" w:color="auto"/>
              <w:right w:val="single" w:sz="12" w:space="0" w:color="auto"/>
            </w:tcBorders>
          </w:tcPr>
          <w:p w14:paraId="11FE854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45,6 39,7</w:t>
            </w:r>
          </w:p>
          <w:p w14:paraId="6C4AA38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AF51C37" w14:textId="77777777">
        <w:trPr>
          <w:trHeight w:val="211"/>
        </w:trPr>
        <w:tc>
          <w:tcPr>
            <w:tcW w:w="4762" w:type="dxa"/>
            <w:tcBorders>
              <w:top w:val="single" w:sz="6" w:space="0" w:color="auto"/>
              <w:left w:val="single" w:sz="12" w:space="0" w:color="auto"/>
              <w:bottom w:val="single" w:sz="6" w:space="0" w:color="auto"/>
              <w:right w:val="single" w:sz="6" w:space="0" w:color="auto"/>
            </w:tcBorders>
          </w:tcPr>
          <w:p w14:paraId="0FC228B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Годовой общественный продукт 686,4</w:t>
            </w:r>
          </w:p>
          <w:p w14:paraId="269FEB1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tcBorders>
              <w:top w:val="single" w:sz="6" w:space="0" w:color="auto"/>
              <w:left w:val="single" w:sz="6" w:space="0" w:color="auto"/>
              <w:bottom w:val="single" w:sz="6" w:space="0" w:color="auto"/>
              <w:right w:val="single" w:sz="12" w:space="0" w:color="auto"/>
            </w:tcBorders>
          </w:tcPr>
          <w:p w14:paraId="600999B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519,3 506,8</w:t>
            </w:r>
          </w:p>
          <w:p w14:paraId="6B5A86D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E52E755" w14:textId="77777777">
        <w:trPr>
          <w:trHeight w:val="221"/>
        </w:trPr>
        <w:tc>
          <w:tcPr>
            <w:tcW w:w="4762" w:type="dxa"/>
            <w:tcBorders>
              <w:top w:val="single" w:sz="6" w:space="0" w:color="auto"/>
              <w:left w:val="single" w:sz="12" w:space="0" w:color="auto"/>
              <w:bottom w:val="single" w:sz="6" w:space="0" w:color="auto"/>
              <w:right w:val="single" w:sz="6" w:space="0" w:color="auto"/>
            </w:tcBorders>
          </w:tcPr>
          <w:p w14:paraId="78481F8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Распределение</w:t>
            </w:r>
          </w:p>
          <w:p w14:paraId="01EF5F8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tcBorders>
              <w:top w:val="single" w:sz="6" w:space="0" w:color="auto"/>
              <w:left w:val="single" w:sz="6" w:space="0" w:color="auto"/>
              <w:bottom w:val="single" w:sz="6" w:space="0" w:color="auto"/>
              <w:right w:val="single" w:sz="12" w:space="0" w:color="auto"/>
            </w:tcBorders>
          </w:tcPr>
          <w:p w14:paraId="5731A3D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66BC4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865223D" w14:textId="77777777">
        <w:trPr>
          <w:trHeight w:val="221"/>
        </w:trPr>
        <w:tc>
          <w:tcPr>
            <w:tcW w:w="4762" w:type="dxa"/>
            <w:tcBorders>
              <w:top w:val="single" w:sz="6" w:space="0" w:color="auto"/>
              <w:left w:val="single" w:sz="12" w:space="0" w:color="auto"/>
              <w:bottom w:val="single" w:sz="6" w:space="0" w:color="auto"/>
              <w:right w:val="single" w:sz="6" w:space="0" w:color="auto"/>
            </w:tcBorders>
          </w:tcPr>
          <w:p w14:paraId="5D81906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Производственное потребление 296,1</w:t>
            </w:r>
          </w:p>
          <w:p w14:paraId="4E8DA82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tcBorders>
              <w:top w:val="single" w:sz="6" w:space="0" w:color="auto"/>
              <w:left w:val="single" w:sz="6" w:space="0" w:color="auto"/>
              <w:bottom w:val="single" w:sz="6" w:space="0" w:color="auto"/>
              <w:right w:val="single" w:sz="12" w:space="0" w:color="auto"/>
            </w:tcBorders>
          </w:tcPr>
          <w:p w14:paraId="2B7950E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204,1 196,5</w:t>
            </w:r>
          </w:p>
          <w:p w14:paraId="6821EBE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B29191C" w14:textId="77777777">
        <w:trPr>
          <w:trHeight w:val="230"/>
        </w:trPr>
        <w:tc>
          <w:tcPr>
            <w:tcW w:w="4762" w:type="dxa"/>
            <w:tcBorders>
              <w:top w:val="single" w:sz="6" w:space="0" w:color="auto"/>
              <w:left w:val="single" w:sz="12" w:space="0" w:color="auto"/>
              <w:bottom w:val="single" w:sz="6" w:space="0" w:color="auto"/>
              <w:right w:val="single" w:sz="6" w:space="0" w:color="auto"/>
            </w:tcBorders>
          </w:tcPr>
          <w:p w14:paraId="5ADF660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Потребление населения 244,5</w:t>
            </w:r>
          </w:p>
          <w:p w14:paraId="475951A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tcBorders>
              <w:top w:val="single" w:sz="6" w:space="0" w:color="auto"/>
              <w:left w:val="single" w:sz="6" w:space="0" w:color="auto"/>
              <w:bottom w:val="single" w:sz="6" w:space="0" w:color="auto"/>
              <w:right w:val="single" w:sz="12" w:space="0" w:color="auto"/>
            </w:tcBorders>
          </w:tcPr>
          <w:p w14:paraId="489DBE2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141,6 169,1</w:t>
            </w:r>
          </w:p>
          <w:p w14:paraId="66955D4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3B4752C" w14:textId="77777777">
        <w:trPr>
          <w:trHeight w:val="230"/>
        </w:trPr>
        <w:tc>
          <w:tcPr>
            <w:tcW w:w="4762" w:type="dxa"/>
            <w:tcBorders>
              <w:top w:val="single" w:sz="6" w:space="0" w:color="auto"/>
              <w:left w:val="single" w:sz="12" w:space="0" w:color="auto"/>
              <w:bottom w:val="single" w:sz="6" w:space="0" w:color="auto"/>
              <w:right w:val="single" w:sz="6" w:space="0" w:color="auto"/>
            </w:tcBorders>
          </w:tcPr>
          <w:p w14:paraId="42B4FB3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Потребление военнослужащих 14,9</w:t>
            </w:r>
          </w:p>
          <w:p w14:paraId="341782F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tcBorders>
              <w:top w:val="single" w:sz="6" w:space="0" w:color="auto"/>
              <w:left w:val="single" w:sz="6" w:space="0" w:color="auto"/>
              <w:bottom w:val="single" w:sz="6" w:space="0" w:color="auto"/>
              <w:right w:val="single" w:sz="12" w:space="0" w:color="auto"/>
            </w:tcBorders>
          </w:tcPr>
          <w:p w14:paraId="0507365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32,2 21,3</w:t>
            </w:r>
          </w:p>
          <w:p w14:paraId="00BC527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46B9A90" w14:textId="77777777">
        <w:trPr>
          <w:trHeight w:val="221"/>
        </w:trPr>
        <w:tc>
          <w:tcPr>
            <w:tcW w:w="4762" w:type="dxa"/>
            <w:tcBorders>
              <w:top w:val="single" w:sz="6" w:space="0" w:color="auto"/>
              <w:left w:val="single" w:sz="12" w:space="0" w:color="auto"/>
              <w:bottom w:val="single" w:sz="6" w:space="0" w:color="auto"/>
              <w:right w:val="single" w:sz="6" w:space="0" w:color="auto"/>
            </w:tcBorders>
          </w:tcPr>
          <w:p w14:paraId="4CFFFFF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Потребление госучреждений 19,9</w:t>
            </w:r>
          </w:p>
          <w:p w14:paraId="140A6F2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tcBorders>
              <w:top w:val="single" w:sz="6" w:space="0" w:color="auto"/>
              <w:left w:val="single" w:sz="6" w:space="0" w:color="auto"/>
              <w:bottom w:val="single" w:sz="6" w:space="0" w:color="auto"/>
              <w:right w:val="single" w:sz="12" w:space="0" w:color="auto"/>
            </w:tcBorders>
          </w:tcPr>
          <w:p w14:paraId="6F572A9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11,8 14,0</w:t>
            </w:r>
          </w:p>
          <w:p w14:paraId="7E0AEE7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0FD2356" w14:textId="77777777">
        <w:trPr>
          <w:trHeight w:val="221"/>
        </w:trPr>
        <w:tc>
          <w:tcPr>
            <w:tcW w:w="4762" w:type="dxa"/>
            <w:tcBorders>
              <w:top w:val="single" w:sz="6" w:space="0" w:color="auto"/>
              <w:left w:val="single" w:sz="12" w:space="0" w:color="auto"/>
              <w:bottom w:val="single" w:sz="6" w:space="0" w:color="auto"/>
              <w:right w:val="single" w:sz="6" w:space="0" w:color="auto"/>
            </w:tcBorders>
          </w:tcPr>
          <w:p w14:paraId="2F152A8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Военная продукция 28,4</w:t>
            </w:r>
          </w:p>
          <w:p w14:paraId="5A0C667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tcBorders>
              <w:top w:val="single" w:sz="6" w:space="0" w:color="auto"/>
              <w:left w:val="single" w:sz="6" w:space="0" w:color="auto"/>
              <w:bottom w:val="single" w:sz="6" w:space="0" w:color="auto"/>
              <w:right w:val="single" w:sz="12" w:space="0" w:color="auto"/>
            </w:tcBorders>
          </w:tcPr>
          <w:p w14:paraId="28C2ACC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74,3 50,9</w:t>
            </w:r>
          </w:p>
          <w:p w14:paraId="4F6B432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FD28B52" w14:textId="77777777">
        <w:trPr>
          <w:trHeight w:val="230"/>
        </w:trPr>
        <w:tc>
          <w:tcPr>
            <w:tcW w:w="4762" w:type="dxa"/>
            <w:tcBorders>
              <w:top w:val="single" w:sz="6" w:space="0" w:color="auto"/>
              <w:left w:val="single" w:sz="12" w:space="0" w:color="auto"/>
              <w:bottom w:val="single" w:sz="6" w:space="0" w:color="auto"/>
              <w:right w:val="single" w:sz="6" w:space="0" w:color="auto"/>
            </w:tcBorders>
          </w:tcPr>
          <w:p w14:paraId="6A417C1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Потери общест. продукта 11,5</w:t>
            </w:r>
          </w:p>
          <w:p w14:paraId="6D42AD7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tcBorders>
              <w:top w:val="single" w:sz="6" w:space="0" w:color="auto"/>
              <w:left w:val="single" w:sz="6" w:space="0" w:color="auto"/>
              <w:bottom w:val="single" w:sz="6" w:space="0" w:color="auto"/>
              <w:right w:val="single" w:sz="12" w:space="0" w:color="auto"/>
            </w:tcBorders>
          </w:tcPr>
          <w:p w14:paraId="320574A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10,7 10,0</w:t>
            </w:r>
          </w:p>
          <w:p w14:paraId="16596DB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6D24201" w14:textId="77777777">
        <w:trPr>
          <w:trHeight w:val="230"/>
        </w:trPr>
        <w:tc>
          <w:tcPr>
            <w:tcW w:w="4762" w:type="dxa"/>
            <w:tcBorders>
              <w:top w:val="single" w:sz="6" w:space="0" w:color="auto"/>
              <w:left w:val="single" w:sz="12" w:space="0" w:color="auto"/>
              <w:bottom w:val="single" w:sz="6" w:space="0" w:color="auto"/>
              <w:right w:val="single" w:sz="6" w:space="0" w:color="auto"/>
            </w:tcBorders>
          </w:tcPr>
          <w:p w14:paraId="4B37CF6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Накопление 71,1</w:t>
            </w:r>
          </w:p>
          <w:p w14:paraId="371DBEE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tcBorders>
              <w:top w:val="single" w:sz="6" w:space="0" w:color="auto"/>
              <w:left w:val="single" w:sz="6" w:space="0" w:color="auto"/>
              <w:bottom w:val="single" w:sz="6" w:space="0" w:color="auto"/>
              <w:right w:val="single" w:sz="12" w:space="0" w:color="auto"/>
            </w:tcBorders>
          </w:tcPr>
          <w:p w14:paraId="0B3154C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44,6 45,0</w:t>
            </w:r>
          </w:p>
          <w:p w14:paraId="7E8DF3E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51E620E" w14:textId="77777777">
        <w:trPr>
          <w:trHeight w:val="211"/>
        </w:trPr>
        <w:tc>
          <w:tcPr>
            <w:tcW w:w="4762" w:type="dxa"/>
            <w:tcBorders>
              <w:top w:val="single" w:sz="6" w:space="0" w:color="auto"/>
              <w:left w:val="single" w:sz="12" w:space="0" w:color="auto"/>
              <w:bottom w:val="single" w:sz="6" w:space="0" w:color="auto"/>
              <w:right w:val="single" w:sz="6" w:space="0" w:color="auto"/>
            </w:tcBorders>
          </w:tcPr>
          <w:p w14:paraId="6B3AE1A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том числе:</w:t>
            </w:r>
          </w:p>
          <w:p w14:paraId="4CEE98F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tcBorders>
              <w:top w:val="single" w:sz="6" w:space="0" w:color="auto"/>
              <w:left w:val="single" w:sz="6" w:space="0" w:color="auto"/>
              <w:bottom w:val="single" w:sz="6" w:space="0" w:color="auto"/>
              <w:right w:val="single" w:sz="12" w:space="0" w:color="auto"/>
            </w:tcBorders>
          </w:tcPr>
          <w:p w14:paraId="786FB7B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E7BBD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230EEF1" w14:textId="77777777">
        <w:trPr>
          <w:trHeight w:val="240"/>
        </w:trPr>
        <w:tc>
          <w:tcPr>
            <w:tcW w:w="4762" w:type="dxa"/>
            <w:tcBorders>
              <w:top w:val="single" w:sz="6" w:space="0" w:color="auto"/>
              <w:left w:val="single" w:sz="12" w:space="0" w:color="auto"/>
              <w:bottom w:val="single" w:sz="6" w:space="0" w:color="auto"/>
              <w:right w:val="single" w:sz="6" w:space="0" w:color="auto"/>
            </w:tcBorders>
          </w:tcPr>
          <w:p w14:paraId="79A46E0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Прирост основных фондов 40,6</w:t>
            </w:r>
          </w:p>
          <w:p w14:paraId="341EE70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tcBorders>
              <w:top w:val="single" w:sz="6" w:space="0" w:color="auto"/>
              <w:left w:val="single" w:sz="6" w:space="0" w:color="auto"/>
              <w:bottom w:val="single" w:sz="6" w:space="0" w:color="auto"/>
              <w:right w:val="single" w:sz="12" w:space="0" w:color="auto"/>
            </w:tcBorders>
          </w:tcPr>
          <w:p w14:paraId="2092C12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23,8 28,1</w:t>
            </w:r>
          </w:p>
          <w:p w14:paraId="3908D06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C752261" w14:textId="77777777">
        <w:trPr>
          <w:trHeight w:val="230"/>
        </w:trPr>
        <w:tc>
          <w:tcPr>
            <w:tcW w:w="4762" w:type="dxa"/>
            <w:tcBorders>
              <w:top w:val="single" w:sz="6" w:space="0" w:color="auto"/>
              <w:left w:val="single" w:sz="12" w:space="0" w:color="auto"/>
              <w:bottom w:val="single" w:sz="6" w:space="0" w:color="auto"/>
              <w:right w:val="single" w:sz="6" w:space="0" w:color="auto"/>
            </w:tcBorders>
          </w:tcPr>
          <w:p w14:paraId="4A4B6B5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Прирост запасов 25,5</w:t>
            </w:r>
          </w:p>
          <w:p w14:paraId="4A62CA7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tcBorders>
              <w:top w:val="single" w:sz="6" w:space="0" w:color="auto"/>
              <w:left w:val="single" w:sz="6" w:space="0" w:color="auto"/>
              <w:bottom w:val="single" w:sz="6" w:space="0" w:color="auto"/>
              <w:right w:val="single" w:sz="12" w:space="0" w:color="auto"/>
            </w:tcBorders>
          </w:tcPr>
          <w:p w14:paraId="4AFF195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18,5 14,6</w:t>
            </w:r>
          </w:p>
          <w:p w14:paraId="377C091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8038DAA" w14:textId="77777777">
        <w:trPr>
          <w:trHeight w:val="240"/>
        </w:trPr>
        <w:tc>
          <w:tcPr>
            <w:tcW w:w="4762" w:type="dxa"/>
            <w:tcBorders>
              <w:top w:val="single" w:sz="6" w:space="0" w:color="auto"/>
              <w:left w:val="single" w:sz="12" w:space="0" w:color="auto"/>
              <w:bottom w:val="single" w:sz="12" w:space="0" w:color="auto"/>
              <w:right w:val="single" w:sz="6" w:space="0" w:color="auto"/>
            </w:tcBorders>
          </w:tcPr>
          <w:p w14:paraId="24B49C1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 РАСПРЕДЕЛЕНО 686,4</w:t>
            </w:r>
          </w:p>
          <w:p w14:paraId="3FD5B2D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tcBorders>
              <w:top w:val="single" w:sz="6" w:space="0" w:color="auto"/>
              <w:left w:val="single" w:sz="6" w:space="0" w:color="auto"/>
              <w:bottom w:val="single" w:sz="12" w:space="0" w:color="auto"/>
              <w:right w:val="single" w:sz="12" w:space="0" w:color="auto"/>
            </w:tcBorders>
          </w:tcPr>
          <w:p w14:paraId="043AC5B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519,3 506,8</w:t>
            </w:r>
          </w:p>
          <w:p w14:paraId="5DBEB3C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3B5EB1B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Источник: РГАЭ ф.4372, оп.95, д. 168, л.45. (1566).</w:t>
      </w:r>
    </w:p>
    <w:p w14:paraId="3AD37B6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31659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июня 1944 вышло Распоряжение ГКО № 6119. О производстве, поставке и наладке оборудования для завода № 702 НКЧМ. РГАНИР, Фонд ГКО, д. 266, лл. 247-248,249 (11012).</w:t>
      </w:r>
    </w:p>
    <w:p w14:paraId="28146AB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24FB6A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июня 1944 г. был подготовлен ДОКЛАД КОМАНДУЮЩЕГО БТ и МВ КА ЗАМЕСТИТЕЛЮ ПРЕДСЕДАТЕЛЯ ГКО СССР Л.П. БЕРИИ О КАЧЕСТВЕ ВЫПУСКАЕМОЙ БРОНЕТЕХНИКИ № 522889</w:t>
      </w:r>
    </w:p>
    <w:p w14:paraId="371F881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Докладываю, что проводимые во исполнение Постановления ГОКО №3092 от 29 марта 1943 го</w:t>
      </w:r>
      <w:r w:rsidRPr="007224C3">
        <w:rPr>
          <w:rFonts w:ascii="Times New Roman" w:hAnsi="Times New Roman"/>
          <w:color w:val="000000" w:themeColor="text1"/>
          <w:sz w:val="16"/>
          <w:szCs w:val="16"/>
        </w:rPr>
        <w:softHyphen/>
        <w:t>да и №3958 от 19 августа 1943 года испытания танков и самоходных артустановок на гарантийный километраж (1000 км) и пробегом на 300 км (для СУ-76 на 200 км) показали, что качество изготовле</w:t>
      </w:r>
      <w:r w:rsidRPr="007224C3">
        <w:rPr>
          <w:rFonts w:ascii="Times New Roman" w:hAnsi="Times New Roman"/>
          <w:color w:val="000000" w:themeColor="text1"/>
          <w:sz w:val="16"/>
          <w:szCs w:val="16"/>
        </w:rPr>
        <w:softHyphen/>
        <w:t>ния танков и артсамоходов продолжает оставаться неудовлетворительным.</w:t>
      </w:r>
    </w:p>
    <w:p w14:paraId="4FB4257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феврале месяце с. г. было испытано на гарантийный километраж 1000 км — 9 танков и 9 арт</w:t>
      </w:r>
      <w:r w:rsidRPr="007224C3">
        <w:rPr>
          <w:rFonts w:ascii="Times New Roman" w:hAnsi="Times New Roman"/>
          <w:color w:val="000000" w:themeColor="text1"/>
          <w:sz w:val="16"/>
          <w:szCs w:val="16"/>
        </w:rPr>
        <w:softHyphen/>
        <w:t>самоходов. Из них выдержали испытания только 3 танка — 33,3% к числу испытанных и 2 артсамо-хода — 22,2% к числу испытанных.</w:t>
      </w:r>
    </w:p>
    <w:p w14:paraId="4D0DCA3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апреле месяце было испытано на гарантийный километраж 1000 км 4 танка и 5 артсамоходов. Из них выдержали испытания только 1 артсамоход или 20% к числу испытанных.</w:t>
      </w:r>
    </w:p>
    <w:p w14:paraId="2512F86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В мае месяце было испытано на гарантийный километраж 1000 км 2 танка и 2 артсамохода. Из них выдержали испытания — танк Т-34-85 завода №183 и артсамоход СУ-76 завода ГАЗ им. Молотова.</w:t>
      </w:r>
    </w:p>
    <w:p w14:paraId="63D0FE4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Артсамоход ИСУ Кировского завода — испытания не выдержал.</w:t>
      </w:r>
    </w:p>
    <w:p w14:paraId="63B8E39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Значительная часть танков и артсамоходов не выдерживает испытаний не только на 1000 км, но и на 300 км (для СУ-76-200 км). Так, например:</w:t>
      </w:r>
    </w:p>
    <w:tbl>
      <w:tblPr>
        <w:tblW w:w="0" w:type="auto"/>
        <w:tblInd w:w="40" w:type="dxa"/>
        <w:tblLayout w:type="fixed"/>
        <w:tblCellMar>
          <w:left w:w="40" w:type="dxa"/>
          <w:right w:w="40" w:type="dxa"/>
        </w:tblCellMar>
        <w:tblLook w:val="0000" w:firstRow="0" w:lastRow="0" w:firstColumn="0" w:lastColumn="0" w:noHBand="0" w:noVBand="0"/>
      </w:tblPr>
      <w:tblGrid>
        <w:gridCol w:w="1670"/>
        <w:gridCol w:w="1306"/>
        <w:gridCol w:w="1382"/>
        <w:gridCol w:w="1450"/>
        <w:gridCol w:w="1363"/>
        <w:gridCol w:w="1190"/>
        <w:gridCol w:w="1277"/>
      </w:tblGrid>
      <w:tr w:rsidR="005106D0" w:rsidRPr="007224C3" w14:paraId="7E51E1FB" w14:textId="77777777">
        <w:trPr>
          <w:trHeight w:val="432"/>
        </w:trPr>
        <w:tc>
          <w:tcPr>
            <w:tcW w:w="1670" w:type="dxa"/>
            <w:tcBorders>
              <w:top w:val="single" w:sz="6" w:space="0" w:color="auto"/>
              <w:left w:val="single" w:sz="6" w:space="0" w:color="auto"/>
              <w:bottom w:val="nil"/>
              <w:right w:val="single" w:sz="6" w:space="0" w:color="auto"/>
            </w:tcBorders>
          </w:tcPr>
          <w:p w14:paraId="46FF9E8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Месяцы</w:t>
            </w:r>
          </w:p>
          <w:p w14:paraId="57715AE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88" w:type="dxa"/>
            <w:gridSpan w:val="2"/>
            <w:tcBorders>
              <w:top w:val="single" w:sz="6" w:space="0" w:color="auto"/>
              <w:left w:val="single" w:sz="6" w:space="0" w:color="auto"/>
              <w:bottom w:val="single" w:sz="6" w:space="0" w:color="auto"/>
              <w:right w:val="single" w:sz="6" w:space="0" w:color="auto"/>
            </w:tcBorders>
          </w:tcPr>
          <w:p w14:paraId="32B898F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Было испытано на 300 км (для СУ-76 на 200 км)</w:t>
            </w:r>
          </w:p>
          <w:p w14:paraId="6ED2430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13" w:type="dxa"/>
            <w:gridSpan w:val="2"/>
            <w:tcBorders>
              <w:top w:val="single" w:sz="6" w:space="0" w:color="auto"/>
              <w:left w:val="single" w:sz="6" w:space="0" w:color="auto"/>
              <w:bottom w:val="single" w:sz="6" w:space="0" w:color="auto"/>
              <w:right w:val="single" w:sz="6" w:space="0" w:color="auto"/>
            </w:tcBorders>
          </w:tcPr>
          <w:p w14:paraId="13616B7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 выдержали испытания</w:t>
            </w:r>
          </w:p>
          <w:p w14:paraId="1B6354B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67" w:type="dxa"/>
            <w:gridSpan w:val="2"/>
            <w:tcBorders>
              <w:top w:val="single" w:sz="6" w:space="0" w:color="auto"/>
              <w:left w:val="single" w:sz="6" w:space="0" w:color="auto"/>
              <w:bottom w:val="single" w:sz="6" w:space="0" w:color="auto"/>
              <w:right w:val="single" w:sz="6" w:space="0" w:color="auto"/>
            </w:tcBorders>
          </w:tcPr>
          <w:p w14:paraId="4CB5F70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машин, не выдержавших испытание</w:t>
            </w:r>
          </w:p>
          <w:p w14:paraId="7BD3904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7A639B1" w14:textId="77777777">
        <w:trPr>
          <w:trHeight w:val="250"/>
        </w:trPr>
        <w:tc>
          <w:tcPr>
            <w:tcW w:w="1670" w:type="dxa"/>
            <w:tcBorders>
              <w:top w:val="nil"/>
              <w:left w:val="single" w:sz="6" w:space="0" w:color="auto"/>
              <w:bottom w:val="single" w:sz="6" w:space="0" w:color="auto"/>
              <w:right w:val="single" w:sz="6" w:space="0" w:color="auto"/>
            </w:tcBorders>
          </w:tcPr>
          <w:p w14:paraId="2657486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D8178B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6B0235B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Танков</w:t>
            </w:r>
          </w:p>
          <w:p w14:paraId="4ED390E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256B15F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Артсамоходов</w:t>
            </w:r>
          </w:p>
          <w:p w14:paraId="1837282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170B740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Танков</w:t>
            </w:r>
          </w:p>
          <w:p w14:paraId="2D6FC61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340EBF5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Артсамоходов</w:t>
            </w:r>
          </w:p>
          <w:p w14:paraId="34CE35E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65F7CB7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Танков</w:t>
            </w:r>
          </w:p>
          <w:p w14:paraId="6E44A20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5A093A5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Артсамоходов</w:t>
            </w:r>
          </w:p>
          <w:p w14:paraId="2F10EEC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0AE66AC" w14:textId="77777777">
        <w:trPr>
          <w:trHeight w:val="1008"/>
        </w:trPr>
        <w:tc>
          <w:tcPr>
            <w:tcW w:w="1670" w:type="dxa"/>
            <w:tcBorders>
              <w:top w:val="single" w:sz="6" w:space="0" w:color="auto"/>
              <w:left w:val="single" w:sz="6" w:space="0" w:color="auto"/>
              <w:bottom w:val="single" w:sz="6" w:space="0" w:color="auto"/>
              <w:right w:val="single" w:sz="6" w:space="0" w:color="auto"/>
            </w:tcBorders>
          </w:tcPr>
          <w:p w14:paraId="7F00018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январь февраль март апрель май</w:t>
            </w:r>
          </w:p>
          <w:p w14:paraId="3E46B9A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3A4C5AC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15 24 13 17 14</w:t>
            </w:r>
          </w:p>
          <w:p w14:paraId="1E43B02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25CAA26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3 22 10 14 11</w:t>
            </w:r>
          </w:p>
          <w:p w14:paraId="69C57DD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5879B04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5 5 2 9 11</w:t>
            </w:r>
          </w:p>
          <w:p w14:paraId="4F6D0B8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255F410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0 6 3 5 3</w:t>
            </w:r>
          </w:p>
          <w:p w14:paraId="524EC2B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32900AF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33,3 20,8 15,4 52,9 78,8</w:t>
            </w:r>
          </w:p>
          <w:p w14:paraId="5B02946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0D0517D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0,0 27,2 30,0 35,8 27,3</w:t>
            </w:r>
          </w:p>
          <w:p w14:paraId="1770E28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1DA5BF5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 таблицы видно, что процент танков, не выдержавших испытание в апреле и мае месяцах, значительно вырос.</w:t>
      </w:r>
    </w:p>
    <w:p w14:paraId="7AA9FA7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Сведения о результатах испытаний по каждому заводу, с указанием дефектов, из-за которых танки и артсамоходы не выдержали испытаний — прилагаю.</w:t>
      </w:r>
    </w:p>
    <w:p w14:paraId="65FA983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Неудовлетворительное качество изготовления танков подтверждается донесениями, поступа</w:t>
      </w:r>
      <w:r w:rsidRPr="007224C3">
        <w:rPr>
          <w:rFonts w:ascii="Times New Roman" w:hAnsi="Times New Roman"/>
          <w:color w:val="000000" w:themeColor="text1"/>
          <w:sz w:val="16"/>
          <w:szCs w:val="16"/>
        </w:rPr>
        <w:softHyphen/>
        <w:t>ющими из войск.</w:t>
      </w:r>
    </w:p>
    <w:p w14:paraId="59AE993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 например, в мае и июне месяцах с. г. вышли из строя по вине производства танки ИС и арт</w:t>
      </w:r>
      <w:r w:rsidRPr="007224C3">
        <w:rPr>
          <w:rFonts w:ascii="Times New Roman" w:hAnsi="Times New Roman"/>
          <w:color w:val="000000" w:themeColor="text1"/>
          <w:sz w:val="16"/>
          <w:szCs w:val="16"/>
        </w:rPr>
        <w:softHyphen/>
        <w:t>самоходы ИСУ:</w:t>
      </w:r>
    </w:p>
    <w:p w14:paraId="1A39FE3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в 15, 64 гв. тяжелых танковых полках, в 347, 344 и 37 тяжелых полках самоходной артилле</w:t>
      </w:r>
      <w:r w:rsidRPr="007224C3">
        <w:rPr>
          <w:rFonts w:ascii="Times New Roman" w:hAnsi="Times New Roman"/>
          <w:color w:val="000000" w:themeColor="text1"/>
          <w:sz w:val="16"/>
          <w:szCs w:val="16"/>
        </w:rPr>
        <w:softHyphen/>
        <w:t>рии — из-за поломок торсион-валов нижней подвески — 17 танков и 9 артсамоходов;</w:t>
      </w:r>
    </w:p>
    <w:p w14:paraId="3DDA9F9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в 6, 14 гв. тяжелых танковых полках — из-за набегания зубьев звездочки ведущего колеса на полотно гусеницы — 25 танков;</w:t>
      </w:r>
    </w:p>
    <w:p w14:paraId="0729E16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в 6 и 14 гв. тяжелых танковых полках и в 5 танковой армии — из-за преждевременного изно</w:t>
      </w:r>
      <w:r w:rsidRPr="007224C3">
        <w:rPr>
          <w:rFonts w:ascii="Times New Roman" w:hAnsi="Times New Roman"/>
          <w:color w:val="000000" w:themeColor="text1"/>
          <w:sz w:val="16"/>
          <w:szCs w:val="16"/>
        </w:rPr>
        <w:softHyphen/>
        <w:t>са шлиц ступицы барабанного фрикциона и носка коленчатого вала — 28 танков;</w:t>
      </w:r>
    </w:p>
    <w:p w14:paraId="6CB96CC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 за 20 дней эксплуатации танков на фронте в 14 гв. тяжелом танковом полку имели место 82 поломки и неисправности, основные из них:</w:t>
      </w:r>
    </w:p>
    <w:p w14:paraId="208E32B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сгорел электромотор стартера — на 8 танках;</w:t>
      </w:r>
    </w:p>
    <w:p w14:paraId="0A3D0B4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разрушение подшипника храповика инерционного стартера — на двух танках;</w:t>
      </w:r>
    </w:p>
    <w:p w14:paraId="62E6400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излом торсионного валика инерционного стартера — на 6 танках;</w:t>
      </w:r>
    </w:p>
    <w:p w14:paraId="3632AD2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подгорание феррадо дисков главного фрикциона — на 12 танках;</w:t>
      </w:r>
    </w:p>
    <w:p w14:paraId="5129608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излом щеки кривошипа ленивца — на 6 танках;</w:t>
      </w:r>
    </w:p>
    <w:p w14:paraId="3B68C6B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разрушение роликоподшипников опорных катков и ленивцев — на 11 танках.</w:t>
      </w:r>
    </w:p>
    <w:p w14:paraId="3D9CA37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этот же период вышли из строя, по вине производства танки Т-34-85 и артсамоходы СУ-85:</w:t>
      </w:r>
    </w:p>
    <w:p w14:paraId="3D36DFA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 в 9 танковом корпусе — по разрушению роликов ведущих колес — 40 танков завода №183; ; - в 1 гв. танковом корпусе и в 1 Краснознаменном танковом корпусе — в связи с поломками ^подшипников бортовых передач — 29 танков завода №183 и 8 танков завода №112; </w:t>
      </w:r>
      <w:r w:rsidRPr="007224C3">
        <w:rPr>
          <w:rFonts w:ascii="Times New Roman" w:hAnsi="Times New Roman"/>
          <w:color w:val="000000" w:themeColor="text1"/>
          <w:sz w:val="16"/>
          <w:szCs w:val="16"/>
          <w:vertAlign w:val="superscript"/>
        </w:rPr>
        <w:t>!</w:t>
      </w:r>
      <w:r w:rsidRPr="007224C3">
        <w:rPr>
          <w:rFonts w:ascii="Times New Roman" w:hAnsi="Times New Roman"/>
          <w:color w:val="000000" w:themeColor="text1"/>
          <w:sz w:val="16"/>
          <w:szCs w:val="16"/>
        </w:rPr>
        <w:t xml:space="preserve"> — в 3 гв. танковой армии и 1819 самоходном артиллерийском полку — из-за преждевременного изно-!са зубьев шестерен коробки перемены передач — 14 танков завода №174 и 4 артсамохода Уралмашзавода;</w:t>
      </w:r>
    </w:p>
    <w:p w14:paraId="7D2F971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в 10 гв. танковом добровольном Уральском корпусе по разрушению резины опорных катков | - 16 танков завода № 183; I - в 25 гв. танковой Ельненской бригаде — по дефектам штоков подвесок — 50 танков завода №183.</w:t>
      </w:r>
    </w:p>
    <w:p w14:paraId="25C4EDE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Это показывает, что качество изготовления танков и артсамоходов неудовлетворительное. ! Наиболее низкого качества изготовляют танки и артсамоходы заводы Кировский, №112, ГАЗ им. Молотова и №40.</w:t>
      </w:r>
    </w:p>
    <w:p w14:paraId="0EE7A3F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В июне 1943 года на танковые заводы посылались специальные комиссии ГОКО для проверки ;выполнения заводами постановления ГОКО об улучшении качества танков и артсамоходов. ! Работа этих комиссий дала положительные результаты.</w:t>
      </w:r>
    </w:p>
    <w:p w14:paraId="6789130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Комиссии заставили руководящий состав заводов серьезно заняться улучшением качества • И наметили ряд конкретных мероприятий, повышающих качество танков и артсамоходов.</w:t>
      </w:r>
    </w:p>
    <w:p w14:paraId="10AC533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Однако, в 1944 году на заводах внимание руководящего состава к вопросам качества — ослабло. </w:t>
      </w:r>
      <w:r w:rsidRPr="007224C3">
        <w:rPr>
          <w:rFonts w:ascii="Times New Roman" w:hAnsi="Times New Roman"/>
          <w:color w:val="000000" w:themeColor="text1"/>
          <w:sz w:val="16"/>
          <w:szCs w:val="16"/>
          <w:vertAlign w:val="superscript"/>
        </w:rPr>
        <w:t>1</w:t>
      </w:r>
      <w:r w:rsidRPr="007224C3">
        <w:rPr>
          <w:rFonts w:ascii="Times New Roman" w:hAnsi="Times New Roman"/>
          <w:color w:val="000000" w:themeColor="text1"/>
          <w:sz w:val="16"/>
          <w:szCs w:val="16"/>
        </w:rPr>
        <w:t xml:space="preserve"> Прошу Вас:</w:t>
      </w:r>
    </w:p>
    <w:p w14:paraId="3E00D34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Указать НКТП (т. Малышеву) и НКСМ (т. Акопову) на невыполнение ими важнейшего Постанов</w:t>
      </w:r>
      <w:r w:rsidRPr="007224C3">
        <w:rPr>
          <w:rFonts w:ascii="Times New Roman" w:hAnsi="Times New Roman"/>
          <w:color w:val="000000" w:themeColor="text1"/>
          <w:sz w:val="16"/>
          <w:szCs w:val="16"/>
        </w:rPr>
        <w:softHyphen/>
        <w:t>ления ГОКО №3092с от 29.03.1943 года «Об улучшении качества танков, выпускаемых НКТП и НКСМ».</w:t>
      </w:r>
    </w:p>
    <w:p w14:paraId="40B6E98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Послать в июле-августе месяце с. г. на заводы Кировский, №112 и ГАЗ им. Молотова комиссии для проверки выполнения заводами постановления ГОКО об улучшении качества танков и артсамоходов.</w:t>
      </w:r>
    </w:p>
    <w:p w14:paraId="442A58A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Обязать НКТП (т. Малышева) и НКСМ (т. Акопова):</w:t>
      </w:r>
    </w:p>
    <w:p w14:paraId="2797F2B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Принять немедленные меры по улучшению качества выпускаемых танков, артсамоходов и двигателей к ним, потребовав от работников заводов, производящих танки и артсамоходы, выпу</w:t>
      </w:r>
      <w:r w:rsidRPr="007224C3">
        <w:rPr>
          <w:rFonts w:ascii="Times New Roman" w:hAnsi="Times New Roman"/>
          <w:color w:val="000000" w:themeColor="text1"/>
          <w:sz w:val="16"/>
          <w:szCs w:val="16"/>
        </w:rPr>
        <w:softHyphen/>
        <w:t>ска продукции высокого качества.</w:t>
      </w:r>
    </w:p>
    <w:p w14:paraId="0B47D7A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 Создать при каждом фронтовом бронетанковом складе специальный фонд запасных частей и агрегатов.</w:t>
      </w:r>
    </w:p>
    <w:p w14:paraId="5E284AA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Установить максимальный срок для восстановления рекламируемых танков и артсамоходов — 5 суток.</w:t>
      </w:r>
    </w:p>
    <w:p w14:paraId="4AC5AD1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С целью улучшения контроля за качеством танков и самоходных артустановок — ввести испыта</w:t>
      </w:r>
      <w:r w:rsidRPr="007224C3">
        <w:rPr>
          <w:rFonts w:ascii="Times New Roman" w:hAnsi="Times New Roman"/>
          <w:color w:val="000000" w:themeColor="text1"/>
          <w:sz w:val="16"/>
          <w:szCs w:val="16"/>
        </w:rPr>
        <w:softHyphen/>
        <w:t>ния на 300 км (для СУ-76 200 км) каждого пятидесятого танка и артсамохода, а также восстановить гаран</w:t>
      </w:r>
      <w:r w:rsidRPr="007224C3">
        <w:rPr>
          <w:rFonts w:ascii="Times New Roman" w:hAnsi="Times New Roman"/>
          <w:color w:val="000000" w:themeColor="text1"/>
          <w:sz w:val="16"/>
          <w:szCs w:val="16"/>
        </w:rPr>
        <w:softHyphen/>
        <w:t>тийные испытания танков и самоходных артустановок на дистанцию 2000 км, отменив временно установ</w:t>
      </w:r>
      <w:r w:rsidRPr="007224C3">
        <w:rPr>
          <w:rFonts w:ascii="Times New Roman" w:hAnsi="Times New Roman"/>
          <w:color w:val="000000" w:themeColor="text1"/>
          <w:sz w:val="16"/>
          <w:szCs w:val="16"/>
        </w:rPr>
        <w:softHyphen/>
        <w:t>ленные Постановлением ГОКО №3958с от 19.08.1943 года гарантийные испытания на дистанцию 1000 км.</w:t>
      </w:r>
    </w:p>
    <w:p w14:paraId="1C8ED1F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Гарантийные испытания производить из расчета, установленного постановлением ГОКО, т.е. существующим порядком.</w:t>
      </w:r>
    </w:p>
    <w:p w14:paraId="2E1A569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Установить, что в том случае, когда танк, самоходная артустановка и двигатель не выдержи</w:t>
      </w:r>
      <w:r w:rsidRPr="007224C3">
        <w:rPr>
          <w:rFonts w:ascii="Times New Roman" w:hAnsi="Times New Roman"/>
          <w:color w:val="000000" w:themeColor="text1"/>
          <w:sz w:val="16"/>
          <w:szCs w:val="16"/>
        </w:rPr>
        <w:softHyphen/>
        <w:t>вают гарантийных испытаний, то они в план завода не зачисляются, все расходы по проведению ис</w:t>
      </w:r>
      <w:r w:rsidRPr="007224C3">
        <w:rPr>
          <w:rFonts w:ascii="Times New Roman" w:hAnsi="Times New Roman"/>
          <w:color w:val="000000" w:themeColor="text1"/>
          <w:sz w:val="16"/>
          <w:szCs w:val="16"/>
        </w:rPr>
        <w:softHyphen/>
        <w:t>пытаний и стоимость машин относить за счет завода.</w:t>
      </w:r>
    </w:p>
    <w:p w14:paraId="4379830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 При присуждении заводам премий и переходящих знамен ГОКО и ВЦСПС учитывать ре</w:t>
      </w:r>
      <w:r w:rsidRPr="007224C3">
        <w:rPr>
          <w:rFonts w:ascii="Times New Roman" w:hAnsi="Times New Roman"/>
          <w:color w:val="000000" w:themeColor="text1"/>
          <w:sz w:val="16"/>
          <w:szCs w:val="16"/>
        </w:rPr>
        <w:softHyphen/>
        <w:t>зультаты гарантийных испытаний танков и самоходных артустановок на полигоне ГБТУ КА. При неудовлетворительных результатах этих испытаний — премий и знамен не присуждать. Приложение: упомянутое на 4 листах.</w:t>
      </w:r>
    </w:p>
    <w:p w14:paraId="27A3792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Командующий БТ и МБ КА маршал бронетанковых войск Я. Федоренко</w:t>
      </w:r>
    </w:p>
    <w:p w14:paraId="456BCB6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Член военного совета генерал-полковник танковых войск Н. Бирюков</w:t>
      </w:r>
    </w:p>
    <w:p w14:paraId="5367CA8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Приложение №1 РЕЗУЛЬТАТЫ ИСПЫТАНИЙ ТАНКОВ И САМОХОДНЫХ АРТУСТАНОВОК</w:t>
      </w:r>
    </w:p>
    <w:tbl>
      <w:tblPr>
        <w:tblW w:w="0" w:type="auto"/>
        <w:tblInd w:w="40" w:type="dxa"/>
        <w:tblLayout w:type="fixed"/>
        <w:tblCellMar>
          <w:left w:w="40" w:type="dxa"/>
          <w:right w:w="40" w:type="dxa"/>
        </w:tblCellMar>
        <w:tblLook w:val="0000" w:firstRow="0" w:lastRow="0" w:firstColumn="0" w:lastColumn="0" w:noHBand="0" w:noVBand="0"/>
      </w:tblPr>
      <w:tblGrid>
        <w:gridCol w:w="1701"/>
        <w:gridCol w:w="709"/>
        <w:gridCol w:w="556"/>
        <w:gridCol w:w="1391"/>
        <w:gridCol w:w="1807"/>
        <w:gridCol w:w="3475"/>
      </w:tblGrid>
      <w:tr w:rsidR="005106D0" w:rsidRPr="007224C3" w14:paraId="566A14F5" w14:textId="77777777">
        <w:trPr>
          <w:trHeight w:val="384"/>
        </w:trPr>
        <w:tc>
          <w:tcPr>
            <w:tcW w:w="1701" w:type="dxa"/>
            <w:tcBorders>
              <w:top w:val="single" w:sz="6" w:space="0" w:color="auto"/>
              <w:left w:val="single" w:sz="6" w:space="0" w:color="auto"/>
              <w:bottom w:val="nil"/>
              <w:right w:val="single" w:sz="6" w:space="0" w:color="auto"/>
            </w:tcBorders>
          </w:tcPr>
          <w:p w14:paraId="4FD22E4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Машины, завод изготовитель</w:t>
            </w:r>
          </w:p>
          <w:p w14:paraId="4D47512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nil"/>
              <w:right w:val="single" w:sz="6" w:space="0" w:color="auto"/>
            </w:tcBorders>
          </w:tcPr>
          <w:p w14:paraId="440252A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Месяц выпуска машины</w:t>
            </w:r>
          </w:p>
          <w:p w14:paraId="282A0E6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6" w:type="dxa"/>
            <w:tcBorders>
              <w:top w:val="single" w:sz="6" w:space="0" w:color="auto"/>
              <w:left w:val="single" w:sz="6" w:space="0" w:color="auto"/>
              <w:bottom w:val="nil"/>
              <w:right w:val="single" w:sz="6" w:space="0" w:color="auto"/>
            </w:tcBorders>
          </w:tcPr>
          <w:p w14:paraId="7076C28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Кол-во испытан</w:t>
            </w:r>
            <w:r w:rsidRPr="007224C3">
              <w:rPr>
                <w:rFonts w:ascii="Times New Roman" w:hAnsi="Times New Roman"/>
                <w:color w:val="000000" w:themeColor="text1"/>
                <w:sz w:val="16"/>
                <w:szCs w:val="16"/>
              </w:rPr>
              <w:softHyphen/>
              <w:t>ных машин</w:t>
            </w:r>
          </w:p>
          <w:p w14:paraId="1710C73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198" w:type="dxa"/>
            <w:gridSpan w:val="2"/>
            <w:tcBorders>
              <w:top w:val="single" w:sz="6" w:space="0" w:color="auto"/>
              <w:left w:val="single" w:sz="6" w:space="0" w:color="auto"/>
              <w:bottom w:val="single" w:sz="6" w:space="0" w:color="auto"/>
              <w:right w:val="single" w:sz="6" w:space="0" w:color="auto"/>
            </w:tcBorders>
          </w:tcPr>
          <w:p w14:paraId="79B6BE9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Количество машин</w:t>
            </w:r>
          </w:p>
          <w:p w14:paraId="72B9FF7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75" w:type="dxa"/>
            <w:tcBorders>
              <w:top w:val="single" w:sz="6" w:space="0" w:color="auto"/>
              <w:left w:val="single" w:sz="6" w:space="0" w:color="auto"/>
              <w:bottom w:val="nil"/>
              <w:right w:val="single" w:sz="6" w:space="0" w:color="auto"/>
            </w:tcBorders>
          </w:tcPr>
          <w:p w14:paraId="64897D9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Дефекты, по которым машины испытаний не выдержали</w:t>
            </w:r>
          </w:p>
          <w:p w14:paraId="09A33D0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ADFA474" w14:textId="77777777">
        <w:trPr>
          <w:trHeight w:val="394"/>
        </w:trPr>
        <w:tc>
          <w:tcPr>
            <w:tcW w:w="1701" w:type="dxa"/>
            <w:tcBorders>
              <w:top w:val="nil"/>
              <w:left w:val="single" w:sz="6" w:space="0" w:color="auto"/>
              <w:bottom w:val="single" w:sz="6" w:space="0" w:color="auto"/>
              <w:right w:val="single" w:sz="6" w:space="0" w:color="auto"/>
            </w:tcBorders>
          </w:tcPr>
          <w:p w14:paraId="3EB2D0C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D00FB1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nil"/>
              <w:left w:val="single" w:sz="6" w:space="0" w:color="auto"/>
              <w:bottom w:val="single" w:sz="6" w:space="0" w:color="auto"/>
              <w:right w:val="single" w:sz="6" w:space="0" w:color="auto"/>
            </w:tcBorders>
          </w:tcPr>
          <w:p w14:paraId="59AECC5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1E338F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556" w:type="dxa"/>
            <w:tcBorders>
              <w:top w:val="nil"/>
              <w:left w:val="single" w:sz="6" w:space="0" w:color="auto"/>
              <w:bottom w:val="single" w:sz="6" w:space="0" w:color="auto"/>
              <w:right w:val="single" w:sz="6" w:space="0" w:color="auto"/>
            </w:tcBorders>
          </w:tcPr>
          <w:p w14:paraId="250C6CF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8BDEDE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391" w:type="dxa"/>
            <w:tcBorders>
              <w:top w:val="single" w:sz="6" w:space="0" w:color="auto"/>
              <w:left w:val="single" w:sz="6" w:space="0" w:color="auto"/>
              <w:bottom w:val="single" w:sz="6" w:space="0" w:color="auto"/>
              <w:right w:val="single" w:sz="6" w:space="0" w:color="auto"/>
            </w:tcBorders>
          </w:tcPr>
          <w:p w14:paraId="595D193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Выдержавших испытание</w:t>
            </w:r>
          </w:p>
          <w:p w14:paraId="639CA8A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07" w:type="dxa"/>
            <w:tcBorders>
              <w:top w:val="single" w:sz="6" w:space="0" w:color="auto"/>
              <w:left w:val="single" w:sz="6" w:space="0" w:color="auto"/>
              <w:bottom w:val="single" w:sz="6" w:space="0" w:color="auto"/>
              <w:right w:val="single" w:sz="6" w:space="0" w:color="auto"/>
            </w:tcBorders>
          </w:tcPr>
          <w:p w14:paraId="0BFEAA1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 выдержавших испытание</w:t>
            </w:r>
          </w:p>
          <w:p w14:paraId="43D020A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75" w:type="dxa"/>
            <w:tcBorders>
              <w:top w:val="nil"/>
              <w:left w:val="single" w:sz="6" w:space="0" w:color="auto"/>
              <w:bottom w:val="single" w:sz="6" w:space="0" w:color="auto"/>
              <w:right w:val="single" w:sz="6" w:space="0" w:color="auto"/>
            </w:tcBorders>
          </w:tcPr>
          <w:p w14:paraId="2280860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A25D3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9D10458" w14:textId="77777777">
        <w:trPr>
          <w:trHeight w:val="250"/>
        </w:trPr>
        <w:tc>
          <w:tcPr>
            <w:tcW w:w="1701" w:type="dxa"/>
            <w:tcBorders>
              <w:top w:val="single" w:sz="6" w:space="0" w:color="auto"/>
              <w:left w:val="single" w:sz="6" w:space="0" w:color="auto"/>
              <w:bottom w:val="single" w:sz="6" w:space="0" w:color="auto"/>
              <w:right w:val="single" w:sz="6" w:space="0" w:color="auto"/>
            </w:tcBorders>
          </w:tcPr>
          <w:p w14:paraId="20B4F84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9A61C5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38" w:type="dxa"/>
            <w:gridSpan w:val="5"/>
            <w:tcBorders>
              <w:top w:val="single" w:sz="6" w:space="0" w:color="auto"/>
              <w:left w:val="single" w:sz="6" w:space="0" w:color="auto"/>
              <w:bottom w:val="single" w:sz="6" w:space="0" w:color="auto"/>
              <w:right w:val="single" w:sz="6" w:space="0" w:color="auto"/>
            </w:tcBorders>
          </w:tcPr>
          <w:p w14:paraId="549A90F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танкам</w:t>
            </w:r>
          </w:p>
          <w:p w14:paraId="48B95A7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C0C6349" w14:textId="77777777">
        <w:trPr>
          <w:trHeight w:val="1632"/>
        </w:trPr>
        <w:tc>
          <w:tcPr>
            <w:tcW w:w="1701" w:type="dxa"/>
            <w:tcBorders>
              <w:top w:val="single" w:sz="6" w:space="0" w:color="auto"/>
              <w:left w:val="single" w:sz="6" w:space="0" w:color="auto"/>
              <w:bottom w:val="nil"/>
              <w:right w:val="single" w:sz="6" w:space="0" w:color="auto"/>
            </w:tcBorders>
          </w:tcPr>
          <w:p w14:paraId="32A0476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ИС-2, Кировский завод</w:t>
            </w:r>
          </w:p>
          <w:p w14:paraId="49E05DC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3F79DAC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февраль</w:t>
            </w:r>
          </w:p>
          <w:p w14:paraId="40CAF56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6" w:type="dxa"/>
            <w:tcBorders>
              <w:top w:val="single" w:sz="6" w:space="0" w:color="auto"/>
              <w:left w:val="single" w:sz="6" w:space="0" w:color="auto"/>
              <w:bottom w:val="single" w:sz="6" w:space="0" w:color="auto"/>
              <w:right w:val="single" w:sz="6" w:space="0" w:color="auto"/>
            </w:tcBorders>
          </w:tcPr>
          <w:p w14:paraId="453687C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p w14:paraId="5804B39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1" w:type="dxa"/>
            <w:tcBorders>
              <w:top w:val="single" w:sz="6" w:space="0" w:color="auto"/>
              <w:left w:val="single" w:sz="6" w:space="0" w:color="auto"/>
              <w:bottom w:val="single" w:sz="6" w:space="0" w:color="auto"/>
              <w:right w:val="single" w:sz="6" w:space="0" w:color="auto"/>
            </w:tcBorders>
          </w:tcPr>
          <w:p w14:paraId="4769915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w:t>
            </w:r>
          </w:p>
          <w:p w14:paraId="37F8FA3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07" w:type="dxa"/>
            <w:tcBorders>
              <w:top w:val="single" w:sz="6" w:space="0" w:color="auto"/>
              <w:left w:val="single" w:sz="6" w:space="0" w:color="auto"/>
              <w:bottom w:val="single" w:sz="6" w:space="0" w:color="auto"/>
              <w:right w:val="single" w:sz="6" w:space="0" w:color="auto"/>
            </w:tcBorders>
          </w:tcPr>
          <w:p w14:paraId="65A3DA6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p w14:paraId="59FDC99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75" w:type="dxa"/>
            <w:tcBorders>
              <w:top w:val="single" w:sz="6" w:space="0" w:color="auto"/>
              <w:left w:val="single" w:sz="6" w:space="0" w:color="auto"/>
              <w:bottom w:val="single" w:sz="6" w:space="0" w:color="auto"/>
              <w:right w:val="single" w:sz="6" w:space="0" w:color="auto"/>
            </w:tcBorders>
          </w:tcPr>
          <w:p w14:paraId="782BF74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Танк 1-й Поломка хвостовика привода водяного насоса дви</w:t>
            </w:r>
            <w:r w:rsidRPr="007224C3">
              <w:rPr>
                <w:rFonts w:ascii="Times New Roman" w:hAnsi="Times New Roman"/>
                <w:color w:val="000000" w:themeColor="text1"/>
                <w:sz w:val="16"/>
                <w:szCs w:val="16"/>
              </w:rPr>
              <w:softHyphen/>
              <w:t>гателя на 126 км. Излом торсионного вала подвес</w:t>
            </w:r>
            <w:r w:rsidRPr="007224C3">
              <w:rPr>
                <w:rFonts w:ascii="Times New Roman" w:hAnsi="Times New Roman"/>
                <w:color w:val="000000" w:themeColor="text1"/>
                <w:sz w:val="16"/>
                <w:szCs w:val="16"/>
              </w:rPr>
              <w:softHyphen/>
              <w:t>ки на 288 км. Разрушение подшипников сателли</w:t>
            </w:r>
            <w:r w:rsidRPr="007224C3">
              <w:rPr>
                <w:rFonts w:ascii="Times New Roman" w:hAnsi="Times New Roman"/>
                <w:color w:val="000000" w:themeColor="text1"/>
                <w:sz w:val="16"/>
                <w:szCs w:val="16"/>
              </w:rPr>
              <w:softHyphen/>
              <w:t>тов планетарного механизма поворота на 263 км. Танк 2-й Поломка диска ведущего колеса на 43 км. Излом зубьев шестерни привода топливного насоса двигателя на 404 км.</w:t>
            </w:r>
          </w:p>
          <w:p w14:paraId="49BA52E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6F237D3" w14:textId="77777777">
        <w:trPr>
          <w:trHeight w:val="547"/>
        </w:trPr>
        <w:tc>
          <w:tcPr>
            <w:tcW w:w="1701" w:type="dxa"/>
            <w:tcBorders>
              <w:top w:val="nil"/>
              <w:left w:val="single" w:sz="6" w:space="0" w:color="auto"/>
              <w:bottom w:val="nil"/>
              <w:right w:val="single" w:sz="6" w:space="0" w:color="auto"/>
            </w:tcBorders>
          </w:tcPr>
          <w:p w14:paraId="52498D6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AC3B1B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7085A3E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апрель</w:t>
            </w:r>
          </w:p>
          <w:p w14:paraId="51ECC5E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6" w:type="dxa"/>
            <w:tcBorders>
              <w:top w:val="single" w:sz="6" w:space="0" w:color="auto"/>
              <w:left w:val="single" w:sz="6" w:space="0" w:color="auto"/>
              <w:bottom w:val="single" w:sz="6" w:space="0" w:color="auto"/>
              <w:right w:val="single" w:sz="6" w:space="0" w:color="auto"/>
            </w:tcBorders>
          </w:tcPr>
          <w:p w14:paraId="03702C2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p w14:paraId="015B48E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1" w:type="dxa"/>
            <w:tcBorders>
              <w:top w:val="single" w:sz="6" w:space="0" w:color="auto"/>
              <w:left w:val="single" w:sz="6" w:space="0" w:color="auto"/>
              <w:bottom w:val="single" w:sz="6" w:space="0" w:color="auto"/>
              <w:right w:val="single" w:sz="6" w:space="0" w:color="auto"/>
            </w:tcBorders>
          </w:tcPr>
          <w:p w14:paraId="2607E91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w:t>
            </w:r>
          </w:p>
          <w:p w14:paraId="1885A27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07" w:type="dxa"/>
            <w:tcBorders>
              <w:top w:val="single" w:sz="6" w:space="0" w:color="auto"/>
              <w:left w:val="single" w:sz="6" w:space="0" w:color="auto"/>
              <w:bottom w:val="single" w:sz="6" w:space="0" w:color="auto"/>
              <w:right w:val="single" w:sz="6" w:space="0" w:color="auto"/>
            </w:tcBorders>
          </w:tcPr>
          <w:p w14:paraId="59B5D04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p w14:paraId="2F03583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75" w:type="dxa"/>
            <w:tcBorders>
              <w:top w:val="single" w:sz="6" w:space="0" w:color="auto"/>
              <w:left w:val="single" w:sz="6" w:space="0" w:color="auto"/>
              <w:bottom w:val="single" w:sz="6" w:space="0" w:color="auto"/>
              <w:right w:val="single" w:sz="6" w:space="0" w:color="auto"/>
            </w:tcBorders>
          </w:tcPr>
          <w:p w14:paraId="2E5B3AA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Разрушение 3-х подшипников опорных катков на 308, 312 и 328 км. Обрыв всех болтов крепления картера подъемного механизма.</w:t>
            </w:r>
          </w:p>
          <w:p w14:paraId="7CE5CCE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8E27864" w14:textId="77777777">
        <w:trPr>
          <w:trHeight w:val="384"/>
        </w:trPr>
        <w:tc>
          <w:tcPr>
            <w:tcW w:w="1701" w:type="dxa"/>
            <w:tcBorders>
              <w:top w:val="nil"/>
              <w:left w:val="single" w:sz="6" w:space="0" w:color="auto"/>
              <w:bottom w:val="single" w:sz="6" w:space="0" w:color="auto"/>
              <w:right w:val="single" w:sz="6" w:space="0" w:color="auto"/>
            </w:tcBorders>
          </w:tcPr>
          <w:p w14:paraId="655449D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DA1425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5E7B459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май</w:t>
            </w:r>
          </w:p>
          <w:p w14:paraId="3A29BC6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6" w:type="dxa"/>
            <w:tcBorders>
              <w:top w:val="single" w:sz="6" w:space="0" w:color="auto"/>
              <w:left w:val="single" w:sz="6" w:space="0" w:color="auto"/>
              <w:bottom w:val="single" w:sz="6" w:space="0" w:color="auto"/>
              <w:right w:val="single" w:sz="6" w:space="0" w:color="auto"/>
            </w:tcBorders>
          </w:tcPr>
          <w:p w14:paraId="6E2D694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p w14:paraId="5F2C829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198" w:type="dxa"/>
            <w:gridSpan w:val="2"/>
            <w:tcBorders>
              <w:top w:val="single" w:sz="6" w:space="0" w:color="auto"/>
              <w:left w:val="single" w:sz="6" w:space="0" w:color="auto"/>
              <w:bottom w:val="single" w:sz="6" w:space="0" w:color="auto"/>
              <w:right w:val="single" w:sz="6" w:space="0" w:color="auto"/>
            </w:tcBorders>
          </w:tcPr>
          <w:p w14:paraId="4999A9F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Испытание не закончено; по состоянию на 1 5.06. 1 944 года танк прошел 785 км</w:t>
            </w:r>
          </w:p>
          <w:p w14:paraId="2719AEB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75" w:type="dxa"/>
            <w:tcBorders>
              <w:top w:val="single" w:sz="6" w:space="0" w:color="auto"/>
              <w:left w:val="single" w:sz="6" w:space="0" w:color="auto"/>
              <w:bottom w:val="single" w:sz="6" w:space="0" w:color="auto"/>
              <w:right w:val="single" w:sz="6" w:space="0" w:color="auto"/>
            </w:tcBorders>
          </w:tcPr>
          <w:p w14:paraId="1F514BE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D8813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8FF49B8" w14:textId="77777777">
        <w:trPr>
          <w:trHeight w:val="518"/>
        </w:trPr>
        <w:tc>
          <w:tcPr>
            <w:tcW w:w="1701" w:type="dxa"/>
            <w:tcBorders>
              <w:top w:val="single" w:sz="6" w:space="0" w:color="auto"/>
              <w:left w:val="single" w:sz="6" w:space="0" w:color="auto"/>
              <w:bottom w:val="nil"/>
              <w:right w:val="single" w:sz="6" w:space="0" w:color="auto"/>
            </w:tcBorders>
          </w:tcPr>
          <w:p w14:paraId="53318AD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Т-34, Завод №183</w:t>
            </w:r>
          </w:p>
          <w:p w14:paraId="2EA927C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2A6737C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февраль</w:t>
            </w:r>
          </w:p>
          <w:p w14:paraId="54D2F81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6" w:type="dxa"/>
            <w:tcBorders>
              <w:top w:val="single" w:sz="6" w:space="0" w:color="auto"/>
              <w:left w:val="single" w:sz="6" w:space="0" w:color="auto"/>
              <w:bottom w:val="single" w:sz="6" w:space="0" w:color="auto"/>
              <w:right w:val="single" w:sz="6" w:space="0" w:color="auto"/>
            </w:tcBorders>
          </w:tcPr>
          <w:p w14:paraId="3C84C32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p w14:paraId="4C3E9FF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1" w:type="dxa"/>
            <w:tcBorders>
              <w:top w:val="single" w:sz="6" w:space="0" w:color="auto"/>
              <w:left w:val="single" w:sz="6" w:space="0" w:color="auto"/>
              <w:bottom w:val="single" w:sz="6" w:space="0" w:color="auto"/>
              <w:right w:val="single" w:sz="6" w:space="0" w:color="auto"/>
            </w:tcBorders>
          </w:tcPr>
          <w:p w14:paraId="198C359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p w14:paraId="32F1317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07" w:type="dxa"/>
            <w:tcBorders>
              <w:top w:val="single" w:sz="6" w:space="0" w:color="auto"/>
              <w:left w:val="single" w:sz="6" w:space="0" w:color="auto"/>
              <w:bottom w:val="single" w:sz="6" w:space="0" w:color="auto"/>
              <w:right w:val="single" w:sz="6" w:space="0" w:color="auto"/>
            </w:tcBorders>
          </w:tcPr>
          <w:p w14:paraId="6A04220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p w14:paraId="3B9A91C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75" w:type="dxa"/>
            <w:tcBorders>
              <w:top w:val="single" w:sz="6" w:space="0" w:color="auto"/>
              <w:left w:val="single" w:sz="6" w:space="0" w:color="auto"/>
              <w:bottom w:val="single" w:sz="6" w:space="0" w:color="auto"/>
              <w:right w:val="single" w:sz="6" w:space="0" w:color="auto"/>
            </w:tcBorders>
          </w:tcPr>
          <w:p w14:paraId="33D674D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Обрыв 2-х шпилек крепления привода топливно</w:t>
            </w:r>
            <w:r w:rsidRPr="007224C3">
              <w:rPr>
                <w:rFonts w:ascii="Times New Roman" w:hAnsi="Times New Roman"/>
                <w:color w:val="000000" w:themeColor="text1"/>
                <w:sz w:val="16"/>
                <w:szCs w:val="16"/>
              </w:rPr>
              <w:softHyphen/>
              <w:t>го насоса двигателя на 207 км. Разрушение ре</w:t>
            </w:r>
            <w:r w:rsidRPr="007224C3">
              <w:rPr>
                <w:rFonts w:ascii="Times New Roman" w:hAnsi="Times New Roman"/>
                <w:color w:val="000000" w:themeColor="text1"/>
                <w:sz w:val="16"/>
                <w:szCs w:val="16"/>
              </w:rPr>
              <w:softHyphen/>
              <w:t>зинового бандажа опорного катка на 822 км.</w:t>
            </w:r>
          </w:p>
          <w:p w14:paraId="454CA91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910A1C6" w14:textId="77777777">
        <w:trPr>
          <w:trHeight w:val="538"/>
        </w:trPr>
        <w:tc>
          <w:tcPr>
            <w:tcW w:w="1701" w:type="dxa"/>
            <w:tcBorders>
              <w:top w:val="nil"/>
              <w:left w:val="single" w:sz="6" w:space="0" w:color="auto"/>
              <w:bottom w:val="nil"/>
              <w:right w:val="single" w:sz="6" w:space="0" w:color="auto"/>
            </w:tcBorders>
          </w:tcPr>
          <w:p w14:paraId="64BBEF6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8DD5C2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7F24198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апрель</w:t>
            </w:r>
          </w:p>
          <w:p w14:paraId="26F545F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6" w:type="dxa"/>
            <w:tcBorders>
              <w:top w:val="single" w:sz="6" w:space="0" w:color="auto"/>
              <w:left w:val="single" w:sz="6" w:space="0" w:color="auto"/>
              <w:bottom w:val="single" w:sz="6" w:space="0" w:color="auto"/>
              <w:right w:val="single" w:sz="6" w:space="0" w:color="auto"/>
            </w:tcBorders>
          </w:tcPr>
          <w:p w14:paraId="2A88CAA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p w14:paraId="5CD3209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1" w:type="dxa"/>
            <w:tcBorders>
              <w:top w:val="single" w:sz="6" w:space="0" w:color="auto"/>
              <w:left w:val="single" w:sz="6" w:space="0" w:color="auto"/>
              <w:bottom w:val="single" w:sz="6" w:space="0" w:color="auto"/>
              <w:right w:val="single" w:sz="6" w:space="0" w:color="auto"/>
            </w:tcBorders>
          </w:tcPr>
          <w:p w14:paraId="2A95217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w:t>
            </w:r>
          </w:p>
          <w:p w14:paraId="36325E7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07" w:type="dxa"/>
            <w:tcBorders>
              <w:top w:val="single" w:sz="6" w:space="0" w:color="auto"/>
              <w:left w:val="single" w:sz="6" w:space="0" w:color="auto"/>
              <w:bottom w:val="single" w:sz="6" w:space="0" w:color="auto"/>
              <w:right w:val="single" w:sz="6" w:space="0" w:color="auto"/>
            </w:tcBorders>
          </w:tcPr>
          <w:p w14:paraId="455F2C4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p w14:paraId="6F32CEA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75" w:type="dxa"/>
            <w:tcBorders>
              <w:top w:val="single" w:sz="6" w:space="0" w:color="auto"/>
              <w:left w:val="single" w:sz="6" w:space="0" w:color="auto"/>
              <w:bottom w:val="single" w:sz="6" w:space="0" w:color="auto"/>
              <w:right w:val="single" w:sz="6" w:space="0" w:color="auto"/>
            </w:tcBorders>
          </w:tcPr>
          <w:p w14:paraId="0B2F9AB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Поломка хвостовика нижнего вертикального валика привода водяного насоса двигателя. Обрыв болтов крепления ведущего колеса.</w:t>
            </w:r>
          </w:p>
          <w:p w14:paraId="3C50210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414651F" w14:textId="77777777">
        <w:trPr>
          <w:trHeight w:val="192"/>
        </w:trPr>
        <w:tc>
          <w:tcPr>
            <w:tcW w:w="1701" w:type="dxa"/>
            <w:tcBorders>
              <w:top w:val="nil"/>
              <w:left w:val="single" w:sz="6" w:space="0" w:color="auto"/>
              <w:bottom w:val="single" w:sz="6" w:space="0" w:color="auto"/>
              <w:right w:val="single" w:sz="6" w:space="0" w:color="auto"/>
            </w:tcBorders>
          </w:tcPr>
          <w:p w14:paraId="3E1B0FA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F347AF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0B5F4FB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май</w:t>
            </w:r>
          </w:p>
          <w:p w14:paraId="6283145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6" w:type="dxa"/>
            <w:tcBorders>
              <w:top w:val="single" w:sz="6" w:space="0" w:color="auto"/>
              <w:left w:val="single" w:sz="6" w:space="0" w:color="auto"/>
              <w:bottom w:val="single" w:sz="6" w:space="0" w:color="auto"/>
              <w:right w:val="single" w:sz="6" w:space="0" w:color="auto"/>
            </w:tcBorders>
          </w:tcPr>
          <w:p w14:paraId="59AF87F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p w14:paraId="3E01254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1" w:type="dxa"/>
            <w:tcBorders>
              <w:top w:val="single" w:sz="6" w:space="0" w:color="auto"/>
              <w:left w:val="single" w:sz="6" w:space="0" w:color="auto"/>
              <w:bottom w:val="single" w:sz="6" w:space="0" w:color="auto"/>
              <w:right w:val="single" w:sz="6" w:space="0" w:color="auto"/>
            </w:tcBorders>
          </w:tcPr>
          <w:p w14:paraId="4D00780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p w14:paraId="260A615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07" w:type="dxa"/>
            <w:tcBorders>
              <w:top w:val="single" w:sz="6" w:space="0" w:color="auto"/>
              <w:left w:val="single" w:sz="6" w:space="0" w:color="auto"/>
              <w:bottom w:val="single" w:sz="6" w:space="0" w:color="auto"/>
              <w:right w:val="single" w:sz="6" w:space="0" w:color="auto"/>
            </w:tcBorders>
          </w:tcPr>
          <w:p w14:paraId="77451F8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w:t>
            </w:r>
          </w:p>
          <w:p w14:paraId="31D808A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75" w:type="dxa"/>
            <w:tcBorders>
              <w:top w:val="single" w:sz="6" w:space="0" w:color="auto"/>
              <w:left w:val="single" w:sz="6" w:space="0" w:color="auto"/>
              <w:bottom w:val="single" w:sz="6" w:space="0" w:color="auto"/>
              <w:right w:val="single" w:sz="6" w:space="0" w:color="auto"/>
            </w:tcBorders>
          </w:tcPr>
          <w:p w14:paraId="47D039D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A47EB2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4CEDAF8" w14:textId="77777777">
        <w:trPr>
          <w:trHeight w:val="720"/>
        </w:trPr>
        <w:tc>
          <w:tcPr>
            <w:tcW w:w="1701" w:type="dxa"/>
            <w:tcBorders>
              <w:top w:val="single" w:sz="6" w:space="0" w:color="auto"/>
              <w:left w:val="single" w:sz="6" w:space="0" w:color="auto"/>
              <w:bottom w:val="nil"/>
              <w:right w:val="single" w:sz="6" w:space="0" w:color="auto"/>
            </w:tcBorders>
          </w:tcPr>
          <w:p w14:paraId="2D78341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Т-34, Завод №112</w:t>
            </w:r>
          </w:p>
          <w:p w14:paraId="7772804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7EAF6F7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февраль</w:t>
            </w:r>
          </w:p>
          <w:p w14:paraId="2B55170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6" w:type="dxa"/>
            <w:tcBorders>
              <w:top w:val="single" w:sz="6" w:space="0" w:color="auto"/>
              <w:left w:val="single" w:sz="6" w:space="0" w:color="auto"/>
              <w:bottom w:val="single" w:sz="6" w:space="0" w:color="auto"/>
              <w:right w:val="single" w:sz="6" w:space="0" w:color="auto"/>
            </w:tcBorders>
          </w:tcPr>
          <w:p w14:paraId="7A60604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p w14:paraId="5E5B22C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1" w:type="dxa"/>
            <w:tcBorders>
              <w:top w:val="single" w:sz="6" w:space="0" w:color="auto"/>
              <w:left w:val="single" w:sz="6" w:space="0" w:color="auto"/>
              <w:bottom w:val="single" w:sz="6" w:space="0" w:color="auto"/>
              <w:right w:val="single" w:sz="6" w:space="0" w:color="auto"/>
            </w:tcBorders>
          </w:tcPr>
          <w:p w14:paraId="6951AD6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p w14:paraId="7D76B12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07" w:type="dxa"/>
            <w:tcBorders>
              <w:top w:val="single" w:sz="6" w:space="0" w:color="auto"/>
              <w:left w:val="single" w:sz="6" w:space="0" w:color="auto"/>
              <w:bottom w:val="single" w:sz="6" w:space="0" w:color="auto"/>
              <w:right w:val="single" w:sz="6" w:space="0" w:color="auto"/>
            </w:tcBorders>
          </w:tcPr>
          <w:p w14:paraId="4D76B90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p w14:paraId="5EA4FA4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75" w:type="dxa"/>
            <w:tcBorders>
              <w:top w:val="single" w:sz="6" w:space="0" w:color="auto"/>
              <w:left w:val="single" w:sz="6" w:space="0" w:color="auto"/>
              <w:bottom w:val="single" w:sz="6" w:space="0" w:color="auto"/>
              <w:right w:val="single" w:sz="6" w:space="0" w:color="auto"/>
            </w:tcBorders>
          </w:tcPr>
          <w:p w14:paraId="7A21C96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Поломка хвостовика валика механизма и ворота башни на 191 км. Разрушение хвостовика нижнего вертикального валика привода водяного насоса двигателя на 548 км.</w:t>
            </w:r>
          </w:p>
          <w:p w14:paraId="7D39932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A27231E" w14:textId="77777777">
        <w:trPr>
          <w:trHeight w:val="1123"/>
        </w:trPr>
        <w:tc>
          <w:tcPr>
            <w:tcW w:w="1701" w:type="dxa"/>
            <w:tcBorders>
              <w:top w:val="nil"/>
              <w:left w:val="single" w:sz="6" w:space="0" w:color="auto"/>
              <w:bottom w:val="single" w:sz="6" w:space="0" w:color="auto"/>
              <w:right w:val="single" w:sz="6" w:space="0" w:color="auto"/>
            </w:tcBorders>
          </w:tcPr>
          <w:p w14:paraId="2EB31E8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8A80BD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51DB4AA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апрель</w:t>
            </w:r>
          </w:p>
          <w:p w14:paraId="64CB420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6" w:type="dxa"/>
            <w:tcBorders>
              <w:top w:val="single" w:sz="6" w:space="0" w:color="auto"/>
              <w:left w:val="single" w:sz="6" w:space="0" w:color="auto"/>
              <w:bottom w:val="single" w:sz="6" w:space="0" w:color="auto"/>
              <w:right w:val="single" w:sz="6" w:space="0" w:color="auto"/>
            </w:tcBorders>
          </w:tcPr>
          <w:p w14:paraId="64B004B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p w14:paraId="4FB0DC7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1" w:type="dxa"/>
            <w:tcBorders>
              <w:top w:val="single" w:sz="6" w:space="0" w:color="auto"/>
              <w:left w:val="single" w:sz="6" w:space="0" w:color="auto"/>
              <w:bottom w:val="single" w:sz="6" w:space="0" w:color="auto"/>
              <w:right w:val="single" w:sz="6" w:space="0" w:color="auto"/>
            </w:tcBorders>
          </w:tcPr>
          <w:p w14:paraId="4F064C6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w:t>
            </w:r>
          </w:p>
          <w:p w14:paraId="3FAD9B0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07" w:type="dxa"/>
            <w:tcBorders>
              <w:top w:val="single" w:sz="6" w:space="0" w:color="auto"/>
              <w:left w:val="single" w:sz="6" w:space="0" w:color="auto"/>
              <w:bottom w:val="single" w:sz="6" w:space="0" w:color="auto"/>
              <w:right w:val="single" w:sz="6" w:space="0" w:color="auto"/>
            </w:tcBorders>
          </w:tcPr>
          <w:p w14:paraId="022046D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p w14:paraId="2B495E0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75" w:type="dxa"/>
            <w:tcBorders>
              <w:top w:val="single" w:sz="6" w:space="0" w:color="auto"/>
              <w:left w:val="single" w:sz="6" w:space="0" w:color="auto"/>
              <w:bottom w:val="single" w:sz="6" w:space="0" w:color="auto"/>
              <w:right w:val="single" w:sz="6" w:space="0" w:color="auto"/>
            </w:tcBorders>
          </w:tcPr>
          <w:p w14:paraId="38A9CCF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Танк 1 -и Разрыв болтов стопора башни на 485 км. Обрыв шатуна двигателя на 744 км. Танк 2-й Разрыв болтов стопора башни на 163 км. Скру</w:t>
            </w:r>
            <w:r w:rsidRPr="007224C3">
              <w:rPr>
                <w:rFonts w:ascii="Times New Roman" w:hAnsi="Times New Roman"/>
                <w:color w:val="000000" w:themeColor="text1"/>
                <w:sz w:val="16"/>
                <w:szCs w:val="16"/>
              </w:rPr>
              <w:softHyphen/>
              <w:t>тился вертикальный валик двигателя на 179 км.</w:t>
            </w:r>
          </w:p>
          <w:p w14:paraId="652867E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D23E5BF" w14:textId="77777777">
        <w:trPr>
          <w:trHeight w:val="202"/>
        </w:trPr>
        <w:tc>
          <w:tcPr>
            <w:tcW w:w="1701" w:type="dxa"/>
            <w:tcBorders>
              <w:top w:val="single" w:sz="6" w:space="0" w:color="auto"/>
              <w:left w:val="single" w:sz="6" w:space="0" w:color="auto"/>
              <w:bottom w:val="single" w:sz="6" w:space="0" w:color="auto"/>
              <w:right w:val="single" w:sz="6" w:space="0" w:color="auto"/>
            </w:tcBorders>
          </w:tcPr>
          <w:p w14:paraId="2A7B2F0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Т-34, Кировский завод</w:t>
            </w:r>
          </w:p>
          <w:p w14:paraId="52C9214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090E579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февраль</w:t>
            </w:r>
          </w:p>
          <w:p w14:paraId="0642270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6" w:type="dxa"/>
            <w:tcBorders>
              <w:top w:val="single" w:sz="6" w:space="0" w:color="auto"/>
              <w:left w:val="single" w:sz="6" w:space="0" w:color="auto"/>
              <w:bottom w:val="single" w:sz="6" w:space="0" w:color="auto"/>
              <w:right w:val="single" w:sz="6" w:space="0" w:color="auto"/>
            </w:tcBorders>
          </w:tcPr>
          <w:p w14:paraId="32E0DB3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p w14:paraId="774791D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1" w:type="dxa"/>
            <w:tcBorders>
              <w:top w:val="single" w:sz="6" w:space="0" w:color="auto"/>
              <w:left w:val="single" w:sz="6" w:space="0" w:color="auto"/>
              <w:bottom w:val="single" w:sz="6" w:space="0" w:color="auto"/>
              <w:right w:val="single" w:sz="6" w:space="0" w:color="auto"/>
            </w:tcBorders>
          </w:tcPr>
          <w:p w14:paraId="0FB3E24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p w14:paraId="02FC24D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07" w:type="dxa"/>
            <w:tcBorders>
              <w:top w:val="single" w:sz="6" w:space="0" w:color="auto"/>
              <w:left w:val="single" w:sz="6" w:space="0" w:color="auto"/>
              <w:bottom w:val="single" w:sz="6" w:space="0" w:color="auto"/>
              <w:right w:val="single" w:sz="6" w:space="0" w:color="auto"/>
            </w:tcBorders>
          </w:tcPr>
          <w:p w14:paraId="1E1E39A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w:t>
            </w:r>
          </w:p>
          <w:p w14:paraId="0896849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75" w:type="dxa"/>
            <w:tcBorders>
              <w:top w:val="single" w:sz="6" w:space="0" w:color="auto"/>
              <w:left w:val="single" w:sz="6" w:space="0" w:color="auto"/>
              <w:bottom w:val="single" w:sz="6" w:space="0" w:color="auto"/>
              <w:right w:val="single" w:sz="6" w:space="0" w:color="auto"/>
            </w:tcBorders>
          </w:tcPr>
          <w:p w14:paraId="1168E22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FB7E6F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5DA45BE" w14:textId="77777777">
        <w:trPr>
          <w:trHeight w:val="154"/>
        </w:trPr>
        <w:tc>
          <w:tcPr>
            <w:tcW w:w="2966" w:type="dxa"/>
            <w:gridSpan w:val="3"/>
            <w:tcBorders>
              <w:top w:val="single" w:sz="6" w:space="0" w:color="auto"/>
              <w:left w:val="single" w:sz="6" w:space="0" w:color="auto"/>
              <w:bottom w:val="nil"/>
              <w:right w:val="nil"/>
            </w:tcBorders>
          </w:tcPr>
          <w:p w14:paraId="7531B8C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89EBA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1" w:type="dxa"/>
            <w:tcBorders>
              <w:top w:val="single" w:sz="6" w:space="0" w:color="auto"/>
              <w:left w:val="nil"/>
              <w:bottom w:val="single" w:sz="6" w:space="0" w:color="auto"/>
              <w:right w:val="nil"/>
            </w:tcBorders>
          </w:tcPr>
          <w:p w14:paraId="3922453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самоходным</w:t>
            </w:r>
          </w:p>
          <w:p w14:paraId="72C5A61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282" w:type="dxa"/>
            <w:gridSpan w:val="2"/>
            <w:tcBorders>
              <w:top w:val="single" w:sz="6" w:space="0" w:color="auto"/>
              <w:left w:val="nil"/>
              <w:bottom w:val="nil"/>
              <w:right w:val="single" w:sz="6" w:space="0" w:color="auto"/>
            </w:tcBorders>
          </w:tcPr>
          <w:p w14:paraId="2380D3A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артустановкам</w:t>
            </w:r>
          </w:p>
          <w:p w14:paraId="2043D8A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97F2931" w14:textId="77777777">
        <w:trPr>
          <w:trHeight w:val="106"/>
        </w:trPr>
        <w:tc>
          <w:tcPr>
            <w:tcW w:w="2966" w:type="dxa"/>
            <w:gridSpan w:val="3"/>
            <w:tcBorders>
              <w:top w:val="nil"/>
              <w:left w:val="single" w:sz="6" w:space="0" w:color="auto"/>
              <w:bottom w:val="single" w:sz="6" w:space="0" w:color="auto"/>
              <w:right w:val="nil"/>
            </w:tcBorders>
          </w:tcPr>
          <w:p w14:paraId="01B27F2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7C437E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391" w:type="dxa"/>
            <w:tcBorders>
              <w:top w:val="single" w:sz="6" w:space="0" w:color="auto"/>
              <w:left w:val="nil"/>
              <w:bottom w:val="single" w:sz="6" w:space="0" w:color="auto"/>
              <w:right w:val="nil"/>
            </w:tcBorders>
          </w:tcPr>
          <w:p w14:paraId="7DA0AE9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856F7B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282" w:type="dxa"/>
            <w:gridSpan w:val="2"/>
            <w:tcBorders>
              <w:top w:val="nil"/>
              <w:left w:val="nil"/>
              <w:bottom w:val="single" w:sz="6" w:space="0" w:color="auto"/>
              <w:right w:val="single" w:sz="6" w:space="0" w:color="auto"/>
            </w:tcBorders>
          </w:tcPr>
          <w:p w14:paraId="5B6A73C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DE9B2D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C721E1C" w14:textId="77777777">
        <w:trPr>
          <w:trHeight w:val="1574"/>
        </w:trPr>
        <w:tc>
          <w:tcPr>
            <w:tcW w:w="1701" w:type="dxa"/>
            <w:tcBorders>
              <w:top w:val="single" w:sz="6" w:space="0" w:color="auto"/>
              <w:left w:val="single" w:sz="6" w:space="0" w:color="auto"/>
              <w:bottom w:val="nil"/>
              <w:right w:val="single" w:sz="6" w:space="0" w:color="auto"/>
            </w:tcBorders>
          </w:tcPr>
          <w:p w14:paraId="0E5C080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ИСУ-152, Кировский завод</w:t>
            </w:r>
          </w:p>
          <w:p w14:paraId="7BACDC7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3192BEF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февраль</w:t>
            </w:r>
          </w:p>
          <w:p w14:paraId="65B4B56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6" w:type="dxa"/>
            <w:tcBorders>
              <w:top w:val="single" w:sz="6" w:space="0" w:color="auto"/>
              <w:left w:val="single" w:sz="6" w:space="0" w:color="auto"/>
              <w:bottom w:val="single" w:sz="6" w:space="0" w:color="auto"/>
              <w:right w:val="single" w:sz="6" w:space="0" w:color="auto"/>
            </w:tcBorders>
          </w:tcPr>
          <w:p w14:paraId="60A0796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p w14:paraId="075D37D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1" w:type="dxa"/>
            <w:tcBorders>
              <w:top w:val="single" w:sz="6" w:space="0" w:color="auto"/>
              <w:left w:val="single" w:sz="6" w:space="0" w:color="auto"/>
              <w:bottom w:val="single" w:sz="6" w:space="0" w:color="auto"/>
              <w:right w:val="single" w:sz="6" w:space="0" w:color="auto"/>
            </w:tcBorders>
          </w:tcPr>
          <w:p w14:paraId="1E34C08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w:t>
            </w:r>
          </w:p>
          <w:p w14:paraId="68CB9B9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07" w:type="dxa"/>
            <w:tcBorders>
              <w:top w:val="single" w:sz="6" w:space="0" w:color="auto"/>
              <w:left w:val="single" w:sz="6" w:space="0" w:color="auto"/>
              <w:bottom w:val="single" w:sz="6" w:space="0" w:color="auto"/>
              <w:right w:val="single" w:sz="6" w:space="0" w:color="auto"/>
            </w:tcBorders>
          </w:tcPr>
          <w:p w14:paraId="661CDCC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p w14:paraId="7C4F825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75" w:type="dxa"/>
            <w:tcBorders>
              <w:top w:val="single" w:sz="6" w:space="0" w:color="auto"/>
              <w:left w:val="single" w:sz="6" w:space="0" w:color="auto"/>
              <w:bottom w:val="single" w:sz="6" w:space="0" w:color="auto"/>
              <w:right w:val="single" w:sz="6" w:space="0" w:color="auto"/>
            </w:tcBorders>
          </w:tcPr>
          <w:p w14:paraId="1148CDC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Машина 1-я Разрушение щеки кривошипа ленивца на 165 км. Раз</w:t>
            </w:r>
            <w:r w:rsidRPr="007224C3">
              <w:rPr>
                <w:rFonts w:ascii="Times New Roman" w:hAnsi="Times New Roman"/>
                <w:color w:val="000000" w:themeColor="text1"/>
                <w:sz w:val="16"/>
                <w:szCs w:val="16"/>
              </w:rPr>
              <w:softHyphen/>
              <w:t>рушение торсиона переднего опорного катка и проуши</w:t>
            </w:r>
            <w:r w:rsidRPr="007224C3">
              <w:rPr>
                <w:rFonts w:ascii="Times New Roman" w:hAnsi="Times New Roman"/>
                <w:color w:val="000000" w:themeColor="text1"/>
                <w:sz w:val="16"/>
                <w:szCs w:val="16"/>
              </w:rPr>
              <w:softHyphen/>
              <w:t>ны малой тормозной ленты на 625 км. Пробита про</w:t>
            </w:r>
            <w:r w:rsidRPr="007224C3">
              <w:rPr>
                <w:rFonts w:ascii="Times New Roman" w:hAnsi="Times New Roman"/>
                <w:color w:val="000000" w:themeColor="text1"/>
                <w:sz w:val="16"/>
                <w:szCs w:val="16"/>
              </w:rPr>
              <w:softHyphen/>
              <w:t>кладка головки блока цилиндров двигателя на 705 км. Машина 2-я Разрушение щеки кривошипа ленивца на 51 км. Обрыв малой тормозной ленты на 740 и 821 км.</w:t>
            </w:r>
          </w:p>
          <w:p w14:paraId="310A1FC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1B30D8F" w14:textId="77777777">
        <w:trPr>
          <w:trHeight w:val="547"/>
        </w:trPr>
        <w:tc>
          <w:tcPr>
            <w:tcW w:w="1701" w:type="dxa"/>
            <w:tcBorders>
              <w:top w:val="nil"/>
              <w:left w:val="single" w:sz="6" w:space="0" w:color="auto"/>
              <w:bottom w:val="single" w:sz="6" w:space="0" w:color="auto"/>
              <w:right w:val="single" w:sz="6" w:space="0" w:color="auto"/>
            </w:tcBorders>
          </w:tcPr>
          <w:p w14:paraId="70FA0BE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3A8C21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3C2AC65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апрель</w:t>
            </w:r>
          </w:p>
          <w:p w14:paraId="5007FD9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6" w:type="dxa"/>
            <w:tcBorders>
              <w:top w:val="single" w:sz="6" w:space="0" w:color="auto"/>
              <w:left w:val="single" w:sz="6" w:space="0" w:color="auto"/>
              <w:bottom w:val="single" w:sz="6" w:space="0" w:color="auto"/>
              <w:right w:val="single" w:sz="6" w:space="0" w:color="auto"/>
            </w:tcBorders>
          </w:tcPr>
          <w:p w14:paraId="5D97E7E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p w14:paraId="27A8CAF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1" w:type="dxa"/>
            <w:tcBorders>
              <w:top w:val="single" w:sz="6" w:space="0" w:color="auto"/>
              <w:left w:val="single" w:sz="6" w:space="0" w:color="auto"/>
              <w:bottom w:val="single" w:sz="6" w:space="0" w:color="auto"/>
              <w:right w:val="single" w:sz="6" w:space="0" w:color="auto"/>
            </w:tcBorders>
          </w:tcPr>
          <w:p w14:paraId="117FEA4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w:t>
            </w:r>
          </w:p>
          <w:p w14:paraId="734AAF1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07" w:type="dxa"/>
            <w:tcBorders>
              <w:top w:val="single" w:sz="6" w:space="0" w:color="auto"/>
              <w:left w:val="single" w:sz="6" w:space="0" w:color="auto"/>
              <w:bottom w:val="single" w:sz="6" w:space="0" w:color="auto"/>
              <w:right w:val="single" w:sz="6" w:space="0" w:color="auto"/>
            </w:tcBorders>
          </w:tcPr>
          <w:p w14:paraId="132C837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p w14:paraId="2DBB376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75" w:type="dxa"/>
            <w:tcBorders>
              <w:top w:val="single" w:sz="6" w:space="0" w:color="auto"/>
              <w:left w:val="single" w:sz="6" w:space="0" w:color="auto"/>
              <w:bottom w:val="single" w:sz="6" w:space="0" w:color="auto"/>
              <w:right w:val="single" w:sz="6" w:space="0" w:color="auto"/>
            </w:tcBorders>
          </w:tcPr>
          <w:p w14:paraId="024A455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Разрушение подшипников опорного катка на 360 км. Скручивание рессорного валика проставки электроинерционного стартера на 363 км.</w:t>
            </w:r>
          </w:p>
          <w:p w14:paraId="7652CDE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A3C31CB" w14:textId="77777777">
        <w:trPr>
          <w:trHeight w:val="365"/>
        </w:trPr>
        <w:tc>
          <w:tcPr>
            <w:tcW w:w="1701" w:type="dxa"/>
            <w:tcBorders>
              <w:top w:val="single" w:sz="6" w:space="0" w:color="auto"/>
              <w:left w:val="single" w:sz="6" w:space="0" w:color="auto"/>
              <w:bottom w:val="single" w:sz="6" w:space="0" w:color="auto"/>
              <w:right w:val="single" w:sz="6" w:space="0" w:color="auto"/>
            </w:tcBorders>
          </w:tcPr>
          <w:p w14:paraId="2D1C1FA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ИСУ-122</w:t>
            </w:r>
          </w:p>
          <w:p w14:paraId="2AF761C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6F6EB86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май</w:t>
            </w:r>
          </w:p>
          <w:p w14:paraId="05A6231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6" w:type="dxa"/>
            <w:tcBorders>
              <w:top w:val="single" w:sz="6" w:space="0" w:color="auto"/>
              <w:left w:val="single" w:sz="6" w:space="0" w:color="auto"/>
              <w:bottom w:val="single" w:sz="6" w:space="0" w:color="auto"/>
              <w:right w:val="single" w:sz="6" w:space="0" w:color="auto"/>
            </w:tcBorders>
          </w:tcPr>
          <w:p w14:paraId="519CD5A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p w14:paraId="08BCB57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1" w:type="dxa"/>
            <w:tcBorders>
              <w:top w:val="single" w:sz="6" w:space="0" w:color="auto"/>
              <w:left w:val="single" w:sz="6" w:space="0" w:color="auto"/>
              <w:bottom w:val="single" w:sz="6" w:space="0" w:color="auto"/>
              <w:right w:val="single" w:sz="6" w:space="0" w:color="auto"/>
            </w:tcBorders>
          </w:tcPr>
          <w:p w14:paraId="4A8A7B9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w:t>
            </w:r>
          </w:p>
          <w:p w14:paraId="3DB4E04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07" w:type="dxa"/>
            <w:tcBorders>
              <w:top w:val="single" w:sz="6" w:space="0" w:color="auto"/>
              <w:left w:val="single" w:sz="6" w:space="0" w:color="auto"/>
              <w:bottom w:val="single" w:sz="6" w:space="0" w:color="auto"/>
              <w:right w:val="single" w:sz="6" w:space="0" w:color="auto"/>
            </w:tcBorders>
          </w:tcPr>
          <w:p w14:paraId="5F0D882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p w14:paraId="252DBB2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75" w:type="dxa"/>
            <w:tcBorders>
              <w:top w:val="single" w:sz="6" w:space="0" w:color="auto"/>
              <w:left w:val="single" w:sz="6" w:space="0" w:color="auto"/>
              <w:bottom w:val="single" w:sz="6" w:space="0" w:color="auto"/>
              <w:right w:val="single" w:sz="6" w:space="0" w:color="auto"/>
            </w:tcBorders>
          </w:tcPr>
          <w:p w14:paraId="66729A3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Разрушение подшипника промежуточного вала коробки передачи на 61 8 км.</w:t>
            </w:r>
          </w:p>
          <w:p w14:paraId="55932D4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491653D" w14:textId="77777777">
        <w:trPr>
          <w:trHeight w:val="758"/>
        </w:trPr>
        <w:tc>
          <w:tcPr>
            <w:tcW w:w="1701" w:type="dxa"/>
            <w:tcBorders>
              <w:top w:val="single" w:sz="6" w:space="0" w:color="auto"/>
              <w:left w:val="single" w:sz="6" w:space="0" w:color="auto"/>
              <w:bottom w:val="single" w:sz="6" w:space="0" w:color="auto"/>
              <w:right w:val="single" w:sz="6" w:space="0" w:color="auto"/>
            </w:tcBorders>
          </w:tcPr>
          <w:p w14:paraId="424EF30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СУ-85, Уралмашзавод</w:t>
            </w:r>
          </w:p>
          <w:p w14:paraId="69CEAC9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38C0BEA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февраль-апрель</w:t>
            </w:r>
          </w:p>
          <w:p w14:paraId="555FE32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6" w:type="dxa"/>
            <w:tcBorders>
              <w:top w:val="single" w:sz="6" w:space="0" w:color="auto"/>
              <w:left w:val="single" w:sz="6" w:space="0" w:color="auto"/>
              <w:bottom w:val="single" w:sz="6" w:space="0" w:color="auto"/>
              <w:right w:val="single" w:sz="6" w:space="0" w:color="auto"/>
            </w:tcBorders>
          </w:tcPr>
          <w:p w14:paraId="5A9AA6C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1 1</w:t>
            </w:r>
          </w:p>
          <w:p w14:paraId="79FE4A4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1" w:type="dxa"/>
            <w:tcBorders>
              <w:top w:val="single" w:sz="6" w:space="0" w:color="auto"/>
              <w:left w:val="single" w:sz="6" w:space="0" w:color="auto"/>
              <w:bottom w:val="single" w:sz="6" w:space="0" w:color="auto"/>
              <w:right w:val="single" w:sz="6" w:space="0" w:color="auto"/>
            </w:tcBorders>
          </w:tcPr>
          <w:p w14:paraId="2B73B7D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1 0</w:t>
            </w:r>
          </w:p>
          <w:p w14:paraId="11619D1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07" w:type="dxa"/>
            <w:tcBorders>
              <w:top w:val="single" w:sz="6" w:space="0" w:color="auto"/>
              <w:left w:val="single" w:sz="6" w:space="0" w:color="auto"/>
              <w:bottom w:val="single" w:sz="6" w:space="0" w:color="auto"/>
              <w:right w:val="single" w:sz="6" w:space="0" w:color="auto"/>
            </w:tcBorders>
          </w:tcPr>
          <w:p w14:paraId="68D41BD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0 1</w:t>
            </w:r>
          </w:p>
          <w:p w14:paraId="2C3E33C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75" w:type="dxa"/>
            <w:tcBorders>
              <w:top w:val="single" w:sz="6" w:space="0" w:color="auto"/>
              <w:left w:val="single" w:sz="6" w:space="0" w:color="auto"/>
              <w:bottom w:val="single" w:sz="6" w:space="0" w:color="auto"/>
              <w:right w:val="single" w:sz="6" w:space="0" w:color="auto"/>
            </w:tcBorders>
          </w:tcPr>
          <w:p w14:paraId="6954ECC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Разрушение резьбы червяка привода спидомет</w:t>
            </w:r>
            <w:r w:rsidRPr="007224C3">
              <w:rPr>
                <w:rFonts w:ascii="Times New Roman" w:hAnsi="Times New Roman"/>
                <w:color w:val="000000" w:themeColor="text1"/>
                <w:sz w:val="16"/>
                <w:szCs w:val="16"/>
              </w:rPr>
              <w:softHyphen/>
              <w:t>ра на 400 км. Разрушение обоймы наружного ко</w:t>
            </w:r>
            <w:r w:rsidRPr="007224C3">
              <w:rPr>
                <w:rFonts w:ascii="Times New Roman" w:hAnsi="Times New Roman"/>
                <w:color w:val="000000" w:themeColor="text1"/>
                <w:sz w:val="16"/>
                <w:szCs w:val="16"/>
              </w:rPr>
              <w:softHyphen/>
              <w:t>нического роликоподшипника левой бортовой передачи на 524 км.</w:t>
            </w:r>
          </w:p>
          <w:p w14:paraId="7A0C4A7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B4FDD9A" w14:textId="77777777">
        <w:trPr>
          <w:trHeight w:val="346"/>
        </w:trPr>
        <w:tc>
          <w:tcPr>
            <w:tcW w:w="1701" w:type="dxa"/>
            <w:tcBorders>
              <w:top w:val="nil"/>
              <w:left w:val="single" w:sz="6" w:space="0" w:color="auto"/>
              <w:bottom w:val="single" w:sz="6" w:space="0" w:color="auto"/>
              <w:right w:val="single" w:sz="6" w:space="0" w:color="auto"/>
            </w:tcBorders>
          </w:tcPr>
          <w:p w14:paraId="18E59D0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BC583B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nil"/>
              <w:left w:val="single" w:sz="6" w:space="0" w:color="auto"/>
              <w:bottom w:val="single" w:sz="6" w:space="0" w:color="auto"/>
              <w:right w:val="single" w:sz="6" w:space="0" w:color="auto"/>
            </w:tcBorders>
          </w:tcPr>
          <w:p w14:paraId="235AAE1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8D675E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556" w:type="dxa"/>
            <w:tcBorders>
              <w:top w:val="nil"/>
              <w:left w:val="single" w:sz="6" w:space="0" w:color="auto"/>
              <w:bottom w:val="single" w:sz="6" w:space="0" w:color="auto"/>
              <w:right w:val="single" w:sz="6" w:space="0" w:color="auto"/>
            </w:tcBorders>
          </w:tcPr>
          <w:p w14:paraId="0677452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8A43E7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391" w:type="dxa"/>
            <w:tcBorders>
              <w:top w:val="nil"/>
              <w:left w:val="single" w:sz="6" w:space="0" w:color="auto"/>
              <w:bottom w:val="single" w:sz="6" w:space="0" w:color="auto"/>
              <w:right w:val="single" w:sz="6" w:space="0" w:color="auto"/>
            </w:tcBorders>
          </w:tcPr>
          <w:p w14:paraId="3FFCFA2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7166AD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07" w:type="dxa"/>
            <w:tcBorders>
              <w:top w:val="single" w:sz="6" w:space="0" w:color="auto"/>
              <w:left w:val="single" w:sz="6" w:space="0" w:color="auto"/>
              <w:bottom w:val="single" w:sz="6" w:space="0" w:color="auto"/>
              <w:right w:val="single" w:sz="6" w:space="0" w:color="auto"/>
            </w:tcBorders>
          </w:tcPr>
          <w:p w14:paraId="620E63F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испытание</w:t>
            </w:r>
          </w:p>
          <w:p w14:paraId="5D1D159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75" w:type="dxa"/>
            <w:tcBorders>
              <w:top w:val="nil"/>
              <w:left w:val="single" w:sz="6" w:space="0" w:color="auto"/>
              <w:bottom w:val="single" w:sz="6" w:space="0" w:color="auto"/>
              <w:right w:val="single" w:sz="6" w:space="0" w:color="auto"/>
            </w:tcBorders>
          </w:tcPr>
          <w:p w14:paraId="3FD1A05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01E23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0CD425F" w14:textId="77777777">
        <w:trPr>
          <w:trHeight w:val="1478"/>
        </w:trPr>
        <w:tc>
          <w:tcPr>
            <w:tcW w:w="1701" w:type="dxa"/>
            <w:tcBorders>
              <w:top w:val="single" w:sz="6" w:space="0" w:color="auto"/>
              <w:left w:val="single" w:sz="6" w:space="0" w:color="auto"/>
              <w:bottom w:val="single" w:sz="6" w:space="0" w:color="auto"/>
              <w:right w:val="single" w:sz="6" w:space="0" w:color="auto"/>
            </w:tcBorders>
          </w:tcPr>
          <w:p w14:paraId="31F5285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СУ-76, завод им. Ммогова(НКСМ)</w:t>
            </w:r>
          </w:p>
          <w:p w14:paraId="2518C7A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42B020C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февраль</w:t>
            </w:r>
          </w:p>
          <w:p w14:paraId="79E6DE6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6" w:type="dxa"/>
            <w:tcBorders>
              <w:top w:val="single" w:sz="6" w:space="0" w:color="auto"/>
              <w:left w:val="single" w:sz="6" w:space="0" w:color="auto"/>
              <w:bottom w:val="single" w:sz="6" w:space="0" w:color="auto"/>
              <w:right w:val="single" w:sz="6" w:space="0" w:color="auto"/>
            </w:tcBorders>
          </w:tcPr>
          <w:p w14:paraId="28EE899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p w14:paraId="6220D84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1" w:type="dxa"/>
            <w:tcBorders>
              <w:top w:val="single" w:sz="6" w:space="0" w:color="auto"/>
              <w:left w:val="single" w:sz="6" w:space="0" w:color="auto"/>
              <w:bottom w:val="single" w:sz="6" w:space="0" w:color="auto"/>
              <w:right w:val="single" w:sz="6" w:space="0" w:color="auto"/>
            </w:tcBorders>
          </w:tcPr>
          <w:p w14:paraId="211693C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w:t>
            </w:r>
          </w:p>
          <w:p w14:paraId="7A31288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07" w:type="dxa"/>
            <w:tcBorders>
              <w:top w:val="single" w:sz="6" w:space="0" w:color="auto"/>
              <w:left w:val="single" w:sz="6" w:space="0" w:color="auto"/>
              <w:bottom w:val="single" w:sz="6" w:space="0" w:color="auto"/>
              <w:right w:val="single" w:sz="6" w:space="0" w:color="auto"/>
            </w:tcBorders>
          </w:tcPr>
          <w:p w14:paraId="4AEC324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p w14:paraId="6250F3C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75" w:type="dxa"/>
            <w:tcBorders>
              <w:top w:val="single" w:sz="6" w:space="0" w:color="auto"/>
              <w:left w:val="single" w:sz="6" w:space="0" w:color="auto"/>
              <w:bottom w:val="single" w:sz="6" w:space="0" w:color="auto"/>
              <w:right w:val="single" w:sz="6" w:space="0" w:color="auto"/>
            </w:tcBorders>
          </w:tcPr>
          <w:p w14:paraId="56A5F9E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Машина 1-я Разрушение хвостовика ведущей шестерни главной пере</w:t>
            </w:r>
            <w:r w:rsidRPr="007224C3">
              <w:rPr>
                <w:rFonts w:ascii="Times New Roman" w:hAnsi="Times New Roman"/>
                <w:color w:val="000000" w:themeColor="text1"/>
                <w:sz w:val="16"/>
                <w:szCs w:val="16"/>
              </w:rPr>
              <w:softHyphen/>
              <w:t>дачи на 122 км. Разрушение торсионного вала 6-го опор</w:t>
            </w:r>
            <w:r w:rsidRPr="007224C3">
              <w:rPr>
                <w:rFonts w:ascii="Times New Roman" w:hAnsi="Times New Roman"/>
                <w:color w:val="000000" w:themeColor="text1"/>
                <w:sz w:val="16"/>
                <w:szCs w:val="16"/>
              </w:rPr>
              <w:softHyphen/>
              <w:t>ного катка правой стороны на 959 км.</w:t>
            </w:r>
          </w:p>
          <w:p w14:paraId="38710B7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Выход из строя дистрибьютора заднего двигате</w:t>
            </w:r>
            <w:r w:rsidRPr="007224C3">
              <w:rPr>
                <w:rFonts w:ascii="Times New Roman" w:hAnsi="Times New Roman"/>
                <w:color w:val="000000" w:themeColor="text1"/>
                <w:sz w:val="16"/>
                <w:szCs w:val="16"/>
              </w:rPr>
              <w:softHyphen/>
              <w:t>ля на 489 км. Поломка чашки соединительной муфты главной передачи на 693 км.</w:t>
            </w:r>
          </w:p>
          <w:p w14:paraId="63D22B1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E417718" w14:textId="77777777">
        <w:trPr>
          <w:trHeight w:val="518"/>
        </w:trPr>
        <w:tc>
          <w:tcPr>
            <w:tcW w:w="1701" w:type="dxa"/>
            <w:tcBorders>
              <w:top w:val="single" w:sz="6" w:space="0" w:color="auto"/>
              <w:left w:val="single" w:sz="6" w:space="0" w:color="auto"/>
              <w:bottom w:val="nil"/>
              <w:right w:val="single" w:sz="6" w:space="0" w:color="auto"/>
            </w:tcBorders>
          </w:tcPr>
          <w:p w14:paraId="2D77DE8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СУ-76, ГАЗ им. Ммогова</w:t>
            </w:r>
          </w:p>
          <w:p w14:paraId="6AA0945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2D68C44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апрель</w:t>
            </w:r>
          </w:p>
          <w:p w14:paraId="273D868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6" w:type="dxa"/>
            <w:tcBorders>
              <w:top w:val="single" w:sz="6" w:space="0" w:color="auto"/>
              <w:left w:val="single" w:sz="6" w:space="0" w:color="auto"/>
              <w:bottom w:val="single" w:sz="6" w:space="0" w:color="auto"/>
              <w:right w:val="single" w:sz="6" w:space="0" w:color="auto"/>
            </w:tcBorders>
          </w:tcPr>
          <w:p w14:paraId="7E5E69C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p w14:paraId="070D638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1" w:type="dxa"/>
            <w:tcBorders>
              <w:top w:val="single" w:sz="6" w:space="0" w:color="auto"/>
              <w:left w:val="single" w:sz="6" w:space="0" w:color="auto"/>
              <w:bottom w:val="single" w:sz="6" w:space="0" w:color="auto"/>
              <w:right w:val="single" w:sz="6" w:space="0" w:color="auto"/>
            </w:tcBorders>
          </w:tcPr>
          <w:p w14:paraId="27B09A6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w:t>
            </w:r>
          </w:p>
          <w:p w14:paraId="3D1FF8C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07" w:type="dxa"/>
            <w:tcBorders>
              <w:top w:val="single" w:sz="6" w:space="0" w:color="auto"/>
              <w:left w:val="single" w:sz="6" w:space="0" w:color="auto"/>
              <w:bottom w:val="single" w:sz="6" w:space="0" w:color="auto"/>
              <w:right w:val="single" w:sz="6" w:space="0" w:color="auto"/>
            </w:tcBorders>
          </w:tcPr>
          <w:p w14:paraId="0E98775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p w14:paraId="0A27E8A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75" w:type="dxa"/>
            <w:tcBorders>
              <w:top w:val="single" w:sz="6" w:space="0" w:color="auto"/>
              <w:left w:val="single" w:sz="6" w:space="0" w:color="auto"/>
              <w:bottom w:val="single" w:sz="6" w:space="0" w:color="auto"/>
              <w:right w:val="single" w:sz="6" w:space="0" w:color="auto"/>
            </w:tcBorders>
          </w:tcPr>
          <w:p w14:paraId="3816100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Разрушение подшипников ленивца на 306 км. Поломка стопора оси заднего хода КПП и выход оси картера на 63 и 986 км.</w:t>
            </w:r>
          </w:p>
          <w:p w14:paraId="4172054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F85FCF1" w14:textId="77777777">
        <w:trPr>
          <w:trHeight w:val="221"/>
        </w:trPr>
        <w:tc>
          <w:tcPr>
            <w:tcW w:w="1701" w:type="dxa"/>
            <w:tcBorders>
              <w:top w:val="nil"/>
              <w:left w:val="single" w:sz="6" w:space="0" w:color="auto"/>
              <w:bottom w:val="single" w:sz="6" w:space="0" w:color="auto"/>
              <w:right w:val="single" w:sz="6" w:space="0" w:color="auto"/>
            </w:tcBorders>
          </w:tcPr>
          <w:p w14:paraId="4082A8B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F8E410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3F61824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май</w:t>
            </w:r>
          </w:p>
          <w:p w14:paraId="1ACEFA3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6" w:type="dxa"/>
            <w:tcBorders>
              <w:top w:val="single" w:sz="6" w:space="0" w:color="auto"/>
              <w:left w:val="single" w:sz="6" w:space="0" w:color="auto"/>
              <w:bottom w:val="single" w:sz="6" w:space="0" w:color="auto"/>
              <w:right w:val="single" w:sz="6" w:space="0" w:color="auto"/>
            </w:tcBorders>
          </w:tcPr>
          <w:p w14:paraId="1161DA7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p w14:paraId="7206A97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1" w:type="dxa"/>
            <w:tcBorders>
              <w:top w:val="single" w:sz="6" w:space="0" w:color="auto"/>
              <w:left w:val="single" w:sz="6" w:space="0" w:color="auto"/>
              <w:bottom w:val="single" w:sz="6" w:space="0" w:color="auto"/>
              <w:right w:val="single" w:sz="6" w:space="0" w:color="auto"/>
            </w:tcBorders>
          </w:tcPr>
          <w:p w14:paraId="04A0612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p w14:paraId="17BCA32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07" w:type="dxa"/>
            <w:tcBorders>
              <w:top w:val="single" w:sz="6" w:space="0" w:color="auto"/>
              <w:left w:val="single" w:sz="6" w:space="0" w:color="auto"/>
              <w:bottom w:val="single" w:sz="6" w:space="0" w:color="auto"/>
              <w:right w:val="single" w:sz="6" w:space="0" w:color="auto"/>
            </w:tcBorders>
          </w:tcPr>
          <w:p w14:paraId="3ACB3A8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w:t>
            </w:r>
          </w:p>
          <w:p w14:paraId="2190109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75" w:type="dxa"/>
            <w:tcBorders>
              <w:top w:val="single" w:sz="6" w:space="0" w:color="auto"/>
              <w:left w:val="single" w:sz="6" w:space="0" w:color="auto"/>
              <w:bottom w:val="single" w:sz="6" w:space="0" w:color="auto"/>
              <w:right w:val="single" w:sz="6" w:space="0" w:color="auto"/>
            </w:tcBorders>
          </w:tcPr>
          <w:p w14:paraId="2ED99E1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Дефектов не имела.</w:t>
            </w:r>
          </w:p>
          <w:p w14:paraId="6D92B06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7C5B46C" w14:textId="77777777">
        <w:trPr>
          <w:trHeight w:val="154"/>
        </w:trPr>
        <w:tc>
          <w:tcPr>
            <w:tcW w:w="1701" w:type="dxa"/>
            <w:tcBorders>
              <w:top w:val="single" w:sz="6" w:space="0" w:color="auto"/>
              <w:left w:val="single" w:sz="6" w:space="0" w:color="auto"/>
              <w:bottom w:val="nil"/>
              <w:right w:val="single" w:sz="6" w:space="0" w:color="auto"/>
            </w:tcBorders>
          </w:tcPr>
          <w:p w14:paraId="424572E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СУ-76, завод №40 (НКСМ)</w:t>
            </w:r>
          </w:p>
          <w:p w14:paraId="7D56017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nil"/>
              <w:right w:val="single" w:sz="6" w:space="0" w:color="auto"/>
            </w:tcBorders>
          </w:tcPr>
          <w:p w14:paraId="67828A7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февраль</w:t>
            </w:r>
          </w:p>
          <w:p w14:paraId="1606000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6" w:type="dxa"/>
            <w:tcBorders>
              <w:top w:val="single" w:sz="6" w:space="0" w:color="auto"/>
              <w:left w:val="single" w:sz="6" w:space="0" w:color="auto"/>
              <w:bottom w:val="nil"/>
              <w:right w:val="single" w:sz="6" w:space="0" w:color="auto"/>
            </w:tcBorders>
          </w:tcPr>
          <w:p w14:paraId="7F3B9A0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p w14:paraId="2C90F30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1" w:type="dxa"/>
            <w:tcBorders>
              <w:top w:val="single" w:sz="6" w:space="0" w:color="auto"/>
              <w:left w:val="single" w:sz="6" w:space="0" w:color="auto"/>
              <w:bottom w:val="nil"/>
              <w:right w:val="single" w:sz="6" w:space="0" w:color="auto"/>
            </w:tcBorders>
          </w:tcPr>
          <w:p w14:paraId="4FC94B4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w:t>
            </w:r>
          </w:p>
          <w:p w14:paraId="785AECC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07" w:type="dxa"/>
            <w:tcBorders>
              <w:top w:val="single" w:sz="6" w:space="0" w:color="auto"/>
              <w:left w:val="single" w:sz="6" w:space="0" w:color="auto"/>
              <w:bottom w:val="nil"/>
              <w:right w:val="single" w:sz="6" w:space="0" w:color="auto"/>
            </w:tcBorders>
          </w:tcPr>
          <w:p w14:paraId="5339F79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p w14:paraId="71DC345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75" w:type="dxa"/>
            <w:tcBorders>
              <w:top w:val="single" w:sz="6" w:space="0" w:color="auto"/>
              <w:left w:val="single" w:sz="6" w:space="0" w:color="auto"/>
              <w:bottom w:val="single" w:sz="6" w:space="0" w:color="auto"/>
              <w:right w:val="single" w:sz="6" w:space="0" w:color="auto"/>
            </w:tcBorders>
          </w:tcPr>
          <w:p w14:paraId="27D101A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Машина 1-я</w:t>
            </w:r>
          </w:p>
          <w:p w14:paraId="1839AD9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FD759B8" w14:textId="77777777">
        <w:trPr>
          <w:trHeight w:val="1296"/>
        </w:trPr>
        <w:tc>
          <w:tcPr>
            <w:tcW w:w="1701" w:type="dxa"/>
            <w:tcBorders>
              <w:top w:val="nil"/>
              <w:left w:val="single" w:sz="6" w:space="0" w:color="auto"/>
              <w:bottom w:val="nil"/>
              <w:right w:val="single" w:sz="6" w:space="0" w:color="auto"/>
            </w:tcBorders>
          </w:tcPr>
          <w:p w14:paraId="76A79E6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773AE8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nil"/>
              <w:left w:val="single" w:sz="6" w:space="0" w:color="auto"/>
              <w:bottom w:val="single" w:sz="6" w:space="0" w:color="auto"/>
              <w:right w:val="single" w:sz="6" w:space="0" w:color="auto"/>
            </w:tcBorders>
          </w:tcPr>
          <w:p w14:paraId="4BFC43C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7C1A42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556" w:type="dxa"/>
            <w:tcBorders>
              <w:top w:val="nil"/>
              <w:left w:val="single" w:sz="6" w:space="0" w:color="auto"/>
              <w:bottom w:val="single" w:sz="6" w:space="0" w:color="auto"/>
              <w:right w:val="single" w:sz="6" w:space="0" w:color="auto"/>
            </w:tcBorders>
          </w:tcPr>
          <w:p w14:paraId="4AC34B1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125039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391" w:type="dxa"/>
            <w:tcBorders>
              <w:top w:val="nil"/>
              <w:left w:val="single" w:sz="6" w:space="0" w:color="auto"/>
              <w:bottom w:val="single" w:sz="6" w:space="0" w:color="auto"/>
              <w:right w:val="single" w:sz="6" w:space="0" w:color="auto"/>
            </w:tcBorders>
          </w:tcPr>
          <w:p w14:paraId="44081F0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69A776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07" w:type="dxa"/>
            <w:tcBorders>
              <w:top w:val="nil"/>
              <w:left w:val="single" w:sz="6" w:space="0" w:color="auto"/>
              <w:bottom w:val="single" w:sz="6" w:space="0" w:color="auto"/>
              <w:right w:val="single" w:sz="6" w:space="0" w:color="auto"/>
            </w:tcBorders>
          </w:tcPr>
          <w:p w14:paraId="6EE4796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E13027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3475" w:type="dxa"/>
            <w:tcBorders>
              <w:top w:val="single" w:sz="6" w:space="0" w:color="auto"/>
              <w:left w:val="single" w:sz="6" w:space="0" w:color="auto"/>
              <w:bottom w:val="single" w:sz="6" w:space="0" w:color="auto"/>
              <w:right w:val="single" w:sz="6" w:space="0" w:color="auto"/>
            </w:tcBorders>
          </w:tcPr>
          <w:p w14:paraId="4A53891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Обрыв фланца чашки соединительной муфты главной передачи на 332 и 693 км. Износ зубьев соединительной шестерни и соединительной муфты главной передачи. Машина 2-я Скручивание торсиона переднего правого катка на 501 км.</w:t>
            </w:r>
          </w:p>
          <w:p w14:paraId="01BF381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D393075" w14:textId="77777777">
        <w:trPr>
          <w:trHeight w:val="557"/>
        </w:trPr>
        <w:tc>
          <w:tcPr>
            <w:tcW w:w="1701" w:type="dxa"/>
            <w:tcBorders>
              <w:top w:val="nil"/>
              <w:left w:val="single" w:sz="6" w:space="0" w:color="auto"/>
              <w:bottom w:val="single" w:sz="6" w:space="0" w:color="auto"/>
              <w:right w:val="single" w:sz="6" w:space="0" w:color="auto"/>
            </w:tcBorders>
          </w:tcPr>
          <w:p w14:paraId="2399A46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84451D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50038F5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апрель</w:t>
            </w:r>
          </w:p>
          <w:p w14:paraId="339E392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6" w:type="dxa"/>
            <w:tcBorders>
              <w:top w:val="single" w:sz="6" w:space="0" w:color="auto"/>
              <w:left w:val="single" w:sz="6" w:space="0" w:color="auto"/>
              <w:bottom w:val="single" w:sz="6" w:space="0" w:color="auto"/>
              <w:right w:val="single" w:sz="6" w:space="0" w:color="auto"/>
            </w:tcBorders>
          </w:tcPr>
          <w:p w14:paraId="5804148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p w14:paraId="2F94DDE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1" w:type="dxa"/>
            <w:tcBorders>
              <w:top w:val="single" w:sz="6" w:space="0" w:color="auto"/>
              <w:left w:val="single" w:sz="6" w:space="0" w:color="auto"/>
              <w:bottom w:val="single" w:sz="6" w:space="0" w:color="auto"/>
              <w:right w:val="single" w:sz="6" w:space="0" w:color="auto"/>
            </w:tcBorders>
          </w:tcPr>
          <w:p w14:paraId="7D10E23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w:t>
            </w:r>
          </w:p>
          <w:p w14:paraId="0BC3644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07" w:type="dxa"/>
            <w:tcBorders>
              <w:top w:val="single" w:sz="6" w:space="0" w:color="auto"/>
              <w:left w:val="single" w:sz="6" w:space="0" w:color="auto"/>
              <w:bottom w:val="single" w:sz="6" w:space="0" w:color="auto"/>
              <w:right w:val="single" w:sz="6" w:space="0" w:color="auto"/>
            </w:tcBorders>
          </w:tcPr>
          <w:p w14:paraId="61E99FE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p w14:paraId="5AA9152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75" w:type="dxa"/>
            <w:tcBorders>
              <w:top w:val="single" w:sz="6" w:space="0" w:color="auto"/>
              <w:left w:val="single" w:sz="6" w:space="0" w:color="auto"/>
              <w:bottom w:val="single" w:sz="6" w:space="0" w:color="auto"/>
              <w:right w:val="single" w:sz="6" w:space="0" w:color="auto"/>
            </w:tcBorders>
          </w:tcPr>
          <w:p w14:paraId="239E1D2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Разрушение подшипников левого ленивца на 99 км. Разрушение проушины хомута крепления генератора на 766 км.</w:t>
            </w:r>
          </w:p>
          <w:p w14:paraId="03D1A87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4B2312C" w14:textId="77777777">
        <w:trPr>
          <w:trHeight w:val="221"/>
        </w:trPr>
        <w:tc>
          <w:tcPr>
            <w:tcW w:w="1701" w:type="dxa"/>
            <w:tcBorders>
              <w:top w:val="single" w:sz="6" w:space="0" w:color="auto"/>
              <w:left w:val="single" w:sz="6" w:space="0" w:color="auto"/>
              <w:bottom w:val="nil"/>
              <w:right w:val="single" w:sz="6" w:space="0" w:color="auto"/>
            </w:tcBorders>
          </w:tcPr>
          <w:p w14:paraId="3604ADB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СУ-76, завод И38(НКТП)</w:t>
            </w:r>
          </w:p>
          <w:p w14:paraId="6C88AAE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5210676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февраль</w:t>
            </w:r>
          </w:p>
          <w:p w14:paraId="5A5CE42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6" w:type="dxa"/>
            <w:tcBorders>
              <w:top w:val="single" w:sz="6" w:space="0" w:color="auto"/>
              <w:left w:val="single" w:sz="6" w:space="0" w:color="auto"/>
              <w:bottom w:val="single" w:sz="6" w:space="0" w:color="auto"/>
              <w:right w:val="single" w:sz="6" w:space="0" w:color="auto"/>
            </w:tcBorders>
          </w:tcPr>
          <w:p w14:paraId="38AA0D1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p w14:paraId="6EC5833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1" w:type="dxa"/>
            <w:tcBorders>
              <w:top w:val="single" w:sz="6" w:space="0" w:color="auto"/>
              <w:left w:val="single" w:sz="6" w:space="0" w:color="auto"/>
              <w:bottom w:val="single" w:sz="6" w:space="0" w:color="auto"/>
              <w:right w:val="single" w:sz="6" w:space="0" w:color="auto"/>
            </w:tcBorders>
          </w:tcPr>
          <w:p w14:paraId="2A48075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p w14:paraId="284D473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07" w:type="dxa"/>
            <w:tcBorders>
              <w:top w:val="single" w:sz="6" w:space="0" w:color="auto"/>
              <w:left w:val="single" w:sz="6" w:space="0" w:color="auto"/>
              <w:bottom w:val="single" w:sz="6" w:space="0" w:color="auto"/>
              <w:right w:val="single" w:sz="6" w:space="0" w:color="auto"/>
            </w:tcBorders>
          </w:tcPr>
          <w:p w14:paraId="37B25AA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p w14:paraId="504BB52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75" w:type="dxa"/>
            <w:tcBorders>
              <w:top w:val="single" w:sz="6" w:space="0" w:color="auto"/>
              <w:left w:val="single" w:sz="6" w:space="0" w:color="auto"/>
              <w:bottom w:val="single" w:sz="6" w:space="0" w:color="auto"/>
              <w:right w:val="single" w:sz="6" w:space="0" w:color="auto"/>
            </w:tcBorders>
          </w:tcPr>
          <w:p w14:paraId="037214E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Поломка торсиона переднего опорного катка на 607 км.</w:t>
            </w:r>
          </w:p>
          <w:p w14:paraId="4A99ADE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4223996" w14:textId="77777777">
        <w:trPr>
          <w:trHeight w:val="240"/>
        </w:trPr>
        <w:tc>
          <w:tcPr>
            <w:tcW w:w="1701" w:type="dxa"/>
            <w:tcBorders>
              <w:top w:val="nil"/>
              <w:left w:val="single" w:sz="6" w:space="0" w:color="auto"/>
              <w:bottom w:val="single" w:sz="6" w:space="0" w:color="auto"/>
              <w:right w:val="single" w:sz="6" w:space="0" w:color="auto"/>
            </w:tcBorders>
          </w:tcPr>
          <w:p w14:paraId="431510D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A3305B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326FAEA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апрель</w:t>
            </w:r>
          </w:p>
          <w:p w14:paraId="018CF13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6" w:type="dxa"/>
            <w:tcBorders>
              <w:top w:val="single" w:sz="6" w:space="0" w:color="auto"/>
              <w:left w:val="single" w:sz="6" w:space="0" w:color="auto"/>
              <w:bottom w:val="single" w:sz="6" w:space="0" w:color="auto"/>
              <w:right w:val="single" w:sz="6" w:space="0" w:color="auto"/>
            </w:tcBorders>
          </w:tcPr>
          <w:p w14:paraId="170EF16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p w14:paraId="334F99C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1" w:type="dxa"/>
            <w:tcBorders>
              <w:top w:val="single" w:sz="6" w:space="0" w:color="auto"/>
              <w:left w:val="single" w:sz="6" w:space="0" w:color="auto"/>
              <w:bottom w:val="single" w:sz="6" w:space="0" w:color="auto"/>
              <w:right w:val="single" w:sz="6" w:space="0" w:color="auto"/>
            </w:tcBorders>
          </w:tcPr>
          <w:p w14:paraId="0FCBC78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w:t>
            </w:r>
          </w:p>
          <w:p w14:paraId="17B1EF1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07" w:type="dxa"/>
            <w:tcBorders>
              <w:top w:val="single" w:sz="6" w:space="0" w:color="auto"/>
              <w:left w:val="single" w:sz="6" w:space="0" w:color="auto"/>
              <w:bottom w:val="single" w:sz="6" w:space="0" w:color="auto"/>
              <w:right w:val="single" w:sz="6" w:space="0" w:color="auto"/>
            </w:tcBorders>
          </w:tcPr>
          <w:p w14:paraId="202DA57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w:t>
            </w:r>
          </w:p>
          <w:p w14:paraId="1231F4E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75" w:type="dxa"/>
            <w:tcBorders>
              <w:top w:val="single" w:sz="6" w:space="0" w:color="auto"/>
              <w:left w:val="single" w:sz="6" w:space="0" w:color="auto"/>
              <w:bottom w:val="single" w:sz="6" w:space="0" w:color="auto"/>
              <w:right w:val="single" w:sz="6" w:space="0" w:color="auto"/>
            </w:tcBorders>
          </w:tcPr>
          <w:p w14:paraId="218E01C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FE5F62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0007FCD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Заместитель начальника ГБТУ КА генерал-лейтенант инженерно-танковой службы Лебедев</w:t>
      </w:r>
    </w:p>
    <w:p w14:paraId="4D7AC92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ЦАМО. Ф. 38. Оп. 11353а. Д. 361д. Л. 12-15. Копия (11420).</w:t>
      </w:r>
    </w:p>
    <w:p w14:paraId="7A838DD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3E68E0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июня 1944 Ждановцы закончили швартовные испытания на СКР "Ястреб". Сданы флоту 28-й и 33-й БМО (строились 3 мес.). Петрозавод передал заказчику 2-й МТ (построен за 10 мес. 22 дней). Заложены на стапельных местах: 23-й МТ-2 и баржа-бензовоз у балтийцев; 20-й МБК (последний катер пр. 161) и 39-й БМО (10671). На Балтийском заводе в работах по постройке и ремонту судов ежедневно участвовало до 540 краснофлотцев (10671). Ждановцы продолжали работы по постройке 8 МТ-1, процент технической готовности которых составлял от 36 до 98. В восстановительных работах на СКР "Вихрь" и на расконсервации механизмов СКР "Зоркий" работало 45 краснофлотцев. По МЗК сделано 48 якорей Холла, 200 литых заготовок для катеров, 10 рулевых машин и др (10671). Группа технологов Оргсудопрома начала разработку поточного метода постройки ТК (10671). Ленинградцы достраивали 6 ПЛ и переоборудовали транспорт "Хейно" в танкер "Балтика". По МЗК изготовили 16 насосов, 38 корпусов подшипников, 15 крышек для масляных фильтров и др. В работах ежедневно участвовало до 250 краснофлотцев (10671). На Петрозаводе строили 8 ТЩ (I серии), имевших процент технической готовности от 23 до 98-ми; для трех ТЩ типа МТ-2 обрабатывался металл и заготовлялись секции. Кроме того, велись работы на БТЩ, 80-тонном понтоне (10671). Катеростроители сдали флоту 15 деревянных боевых катеров, отремонтировали 11; заложен МО (10671).</w:t>
      </w:r>
    </w:p>
    <w:p w14:paraId="5EE3CA0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3C9874A"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4558168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F65CB94" w14:textId="77777777" w:rsidR="00B049B7" w:rsidRPr="007224C3" w:rsidRDefault="00B049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30 июня</w:t>
      </w:r>
      <w:r w:rsidRPr="007224C3">
        <w:rPr>
          <w:rFonts w:ascii="Times New Roman" w:hAnsi="Times New Roman"/>
          <w:color w:val="000000" w:themeColor="text1"/>
          <w:sz w:val="16"/>
          <w:szCs w:val="16"/>
        </w:rPr>
        <w:t xml:space="preserve"> в 1944 году оперативная сводка Совинформбюро:</w:t>
      </w:r>
    </w:p>
    <w:p w14:paraId="5F3FDAFC" w14:textId="77777777" w:rsidR="00B049B7" w:rsidRPr="007224C3" w:rsidRDefault="00B049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течение 30 июня между Онежским и Ладожским озёрами наши войска, преодолевая сопротивление и инженерные заграждения противника на лесных дорогах и в межозёрных дефиле, продолжали наступление и заняли более 40 населённых пунктов, в числе которых Святозеро, Вагозеро, Воронова-Сельга, Березовый-Наволок, Матчозеро. Веркиль, Варлов-Лес, Нини-Сельга, Сорбола.</w:t>
      </w:r>
    </w:p>
    <w:p w14:paraId="2FC0D6CE" w14:textId="77777777" w:rsidR="00B049B7" w:rsidRPr="007224C3" w:rsidRDefault="00B049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Северо-восточнее и севернее города Выборг наши войска овладели опорными пунктами финнов Мякеля, Ихантала, Карисалми, Нятяля и железнодорожной станцией Карисалми.</w:t>
      </w:r>
    </w:p>
    <w:p w14:paraId="13FD6DD6" w14:textId="77777777" w:rsidR="00B049B7" w:rsidRPr="007224C3" w:rsidRDefault="00B049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Полоцком направлении наши войска, продолжая наступление, овладели районным центром Вилейской области городом Дисна, а также с боями заняли более 100 других населённых пунктов, в том числе крупные населённые пункты Нотляны, Пустоши, Еловини, Богушево, Шенделы, Бобыничи, Прозороки, Чешки, Заулек и железнодорожные станции Горяны, Горчаки, Ореховно, Загайе, Полеваче.</w:t>
      </w:r>
    </w:p>
    <w:p w14:paraId="7C6B6BC7" w14:textId="77777777" w:rsidR="00B049B7" w:rsidRPr="007224C3" w:rsidRDefault="00B049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Минском направлении наши войска форсировали реку Березина на широком фронте севернее города Борисов и продвинулись к западу от реки на 30 километров. Юго-восточнее города Борисов наши войска вышли к реке Березина. За день боёв на этом направлении наши войска заняли более 50 населённых пунктов, в том числе крупные населённые пункты Лошница, Выдрица, Малые и Большие Негновичи, Велятичи, Немоница, Большие Ухолоды, Леоново и железнодорожную станцию Приямино. Наши войска ворвались в город Борисов, где завязали уличные бои.</w:t>
      </w:r>
    </w:p>
    <w:p w14:paraId="4012A49C" w14:textId="77777777" w:rsidR="00B049B7" w:rsidRPr="007224C3" w:rsidRDefault="00B049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города Могилев наши войска, форсировав реку Друть, с боями продвигались вперёд и заняли более 80 населённых пунктов, в том числе Михейково, Стахово, Эсьмоны, Староселье, Студенка, Загатье, Суша и железнодорожные станции Друть, Милое, Воничи, Стоялово.</w:t>
      </w:r>
    </w:p>
    <w:p w14:paraId="2641BD21" w14:textId="77777777" w:rsidR="00B049B7" w:rsidRPr="007224C3" w:rsidRDefault="00B049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Северо-западнее и западнее города Бобруйск наши войска, развивая успешное наступление, овладели районными центрами Минской области городом и крупной железнодорожной станцией Слуцк, городом Любань, а также с боями заняли более 200 других населённых пунктов и среди них крупные населённые пункты Богушевичи, Старые Речки, Каменичи, Вязовница, Талька, Левки, Залужье, Новоселки, Весея, Уречье, Погост и железнодорожные станции Верейцы, Талька Фаличи, Верхутина, Уречье, Павустош, Некраши.</w:t>
      </w:r>
    </w:p>
    <w:p w14:paraId="43016744" w14:textId="77777777" w:rsidR="00B049B7" w:rsidRPr="007224C3" w:rsidRDefault="00B049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районе среднего течения реки Припять наши войска вели наступательные бои, в хоре которых овладели районными центрами Полесской области городом Петриков, городом Копаткевичи, а также заняли более 20 других населённых пунктов, в том числе Кошевичи, Челющевичи, Ивашковичи, Конковичи, Белановичи и железнодорожные станции Секеричи, Птичь.</w:t>
      </w:r>
    </w:p>
    <w:p w14:paraId="27E37219" w14:textId="77777777" w:rsidR="00B049B7" w:rsidRPr="007224C3" w:rsidRDefault="00B049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других участках фронта — без существенных изменений.</w:t>
      </w:r>
    </w:p>
    <w:p w14:paraId="5B9CED1E" w14:textId="77777777" w:rsidR="00B049B7" w:rsidRPr="007224C3" w:rsidRDefault="00B049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29 июня наши войска на всех фронтах подбили и уничтожили 137 немецких танков, В воздушных боях и огнём зенитной артиллерии сбито 29 самолётов противника.</w:t>
      </w:r>
    </w:p>
    <w:p w14:paraId="2E416F0B" w14:textId="77777777" w:rsidR="00B049B7" w:rsidRPr="007224C3" w:rsidRDefault="00B049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Наша авиация в ночь на 30 июля наносила удары по железнодорожным узлам Барановичи, Минск, Лунинец, Молодечно, Полоцк. В результате бомбардировки на узлах возникли пожары, сопровождавшиеся сильными взрывами.</w:t>
      </w:r>
    </w:p>
    <w:p w14:paraId="1F4DB5FD" w14:textId="77777777" w:rsidR="00B049B7" w:rsidRPr="007224C3" w:rsidRDefault="00B049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Между Онежским и Ладожским озёрами подразделения Н-ской части в районе Пуску-Сельги уничтожили батальон 45 финского пехотного полка. Захвачено 6 орудий, 12 миномётов, 18 пулемётов, радиостанция и 4 склада с боеприпасами и продовольствием. Взяты пленные.</w:t>
      </w:r>
    </w:p>
    <w:p w14:paraId="034B7F35" w14:textId="77777777" w:rsidR="00B049B7" w:rsidRPr="007224C3" w:rsidRDefault="00B049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Полоцком направлении наши войска в результате стремительного наступления заняли город Дисна, расположенный в 35 километрах западнее Полоцка. Захвачены богатые трофей. Северо-западнее Лепеля немцы, подтянув свежие силы, предприняли 15 контратак. Советские пехотинцы и танкисты, при поддержке артиллерии, успешно отразили вражеские контратаки, продвинулись вперёд и заняли ряд населённых пунктов. Уничтожено до 1.500 немецких солдат и офицеров, 10 танков, 4 самоходных и 25 полевых орудий. Советские летчики бомбово-штурмовыми ударами уничтожили 120 автомашин, 50 повозок, 3 самоходных орудия, паровоз и 70 вагонов. Подавлен огонь 20 артиллерийско-миномётных батарей. В воздушных боях советские истребители сбили 14 немецких самолётов.</w:t>
      </w:r>
    </w:p>
    <w:p w14:paraId="025BD4FF" w14:textId="77777777" w:rsidR="00B049B7" w:rsidRPr="007224C3" w:rsidRDefault="00B049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 Минском направлении наши войска, сломив сопротивление немцев, форсировали реку Березина. Противник усилил свои разбитые дивизии свежими эсэсовскими и охранными частями я пытался приостановить наступление наших войск. Советские войска наносят врагу тяжёлые удары и отбрасывают его на запад. Наши войска ворвались в город Борисов. Идут ожесточённые уличные бои. На одном участке советские танкисты уничтожили отдельный батальон 256 немецкой пехотной дивизии. Командир батальона капитан Карл Раух вместе с группой уцелевших солдат сдался в плен.</w:t>
      </w:r>
    </w:p>
    <w:p w14:paraId="1806EBB8" w14:textId="77777777" w:rsidR="00B049B7" w:rsidRPr="007224C3" w:rsidRDefault="00B049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Западнее города Могилёв, в районе населённого пункта Рагозина, вражеская пехота, поддержанная самоходными орудиями, предприняла контратаку. Стремительными фланговыми ударами наши части уничтожили полк немецкой пехоты, 9 самоходных орудий и свыше 700 автомашин. Захвачено 19 самоходных орудий, в том числе 3 «Фердинанда» и другие трофеи. Взято в плен 340 немецких солдат и офицеров.</w:t>
      </w:r>
    </w:p>
    <w:p w14:paraId="5C8DBB58" w14:textId="77777777" w:rsidR="00B049B7" w:rsidRPr="007224C3" w:rsidRDefault="00B049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Наша авиация наносила удары по скоплению вражеских войск. Уничтожено 3 немецких танка, 110 автомашин, 3 бензозаправщика, 10 повозок, 4 орудия и рассеяло несколько рот пехоты противника, при этом немцы понесли тяжёлые потери.</w:t>
      </w:r>
    </w:p>
    <w:p w14:paraId="4458F874" w14:textId="77777777" w:rsidR="00B049B7" w:rsidRPr="007224C3" w:rsidRDefault="00B049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Северо-западнее и западнее города Бобруйск наши войска продолжали успешное наступление. Советские войска взломали оборону противника, проходившую по реке Случь, и на плечах отступающих немцев ворвались в город Слуцк. Вражеский гарнизон отчаянно сопротивлялся, но был разгромлен. Наши части, овладевшие городом Слуцк, преследуют противника, поспешно отступающего на запад. Захвачены большие трофеи и много пленных.</w:t>
      </w:r>
    </w:p>
    <w:p w14:paraId="24404778" w14:textId="77777777" w:rsidR="00B049B7" w:rsidRPr="007224C3" w:rsidRDefault="00B049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Получены уточнённые данные о результатах налёта авиации Северного флота на порт Киркенес (Северная Норвегия) и уда ров авиации и торпедных катеров по судам противника, следовавшим в порт Петсамо. Всего потоплено не 4 транспорта, как об этом сообщалось вчера, а 7 транспортов общим водоизмещением в 40 тысяч тонн, один танкер, 2 тральщика, ,2 сторожевых и один торпедный катер противника.</w:t>
      </w:r>
    </w:p>
    <w:p w14:paraId="51028B74" w14:textId="77777777" w:rsidR="00B049B7" w:rsidRPr="007224C3" w:rsidRDefault="00B049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Львовский партизанский отряд совершил успешный налёт на железнодорожную станцию. Уничтожив охрану, партизаны взорвали эшелон с боеприпасами и разрушили путевое хозяйство станции.</w:t>
      </w:r>
    </w:p>
    <w:p w14:paraId="69ACB835" w14:textId="77777777" w:rsidR="00B049B7" w:rsidRPr="007224C3" w:rsidRDefault="00B049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Командир 12 немецкой пехотной дивизии генерал-лейтенант Бамлер, взятый в плен в городе Могилёв, заявил: «Я был начальником штаба оккупационной армии в Норвегии. Шесть недель тому назад меня перевели на советско-германский фронт и назначили командиром 12 дивизии. Могилевсний гарнизон получил от Гитлера приказ любой ценой удержать город. Стремительный и бурный темп русского наступления опрокинул все наши замыслы и расчёты. Он ошеломил нас. Мы понесли тяжёлые потери. Из 8 тысяч солдат в дивизии осталось не более 3 тысяч. Русским достались огромные трофеи, в том числе вся материальная часть 12 артиллерийского полка».</w:t>
      </w:r>
    </w:p>
    <w:p w14:paraId="2223A5A5" w14:textId="77777777" w:rsidR="00B049B7" w:rsidRPr="007224C3" w:rsidRDefault="00B049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Потери противника и трофеи войск 1-го и 2-го Белорусских фронтов за время наступательных боев с 23 по 29 июня сего года.</w:t>
      </w:r>
    </w:p>
    <w:p w14:paraId="4C965CFE" w14:textId="77777777" w:rsidR="00B049B7" w:rsidRPr="007224C3" w:rsidRDefault="00B049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1-го Белорусского фронта под командованием Маршала Советского Союза Рокоссовского, в результате наступательных боёв, проведённых с 24 по 29 июня сего года, нанесли противнику следующие потери в живой силе и технике:</w:t>
      </w:r>
    </w:p>
    <w:p w14:paraId="3F7A6300" w14:textId="77777777" w:rsidR="00B049B7" w:rsidRPr="007224C3" w:rsidRDefault="00B049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Уничтожено: танков и самоходных орудий — 216, орудий разного калибра — 1.322, миномётов — 1.370, пулемётов — 3.660, автомашин — 8.360. Противник оставил на поле боя до 50.000 трупов своих солдат и офицеров.</w:t>
      </w:r>
    </w:p>
    <w:p w14:paraId="5534D1F6" w14:textId="77777777" w:rsidR="00B049B7" w:rsidRPr="007224C3" w:rsidRDefault="00B049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это же время войска 1-го Белорусского фронта захватили следующие трофеи: танков и самоходных орудий — 150, орудий разного калибра — 1.342, миномётов — 884, пулемётов — 3.744, винтовок — 10.000, радиостанций — 134, телефонных аппаратов — 400, автомашин — 7.562, тягачей — 215, повозок с военными грузами — 4.300, эшелонов с разным имуществом — 36, лошадей — 7.748, складов с боеприпасами, вооружением, снаряжением и продовольствием — 263.</w:t>
      </w:r>
    </w:p>
    <w:p w14:paraId="6667B7D6" w14:textId="77777777" w:rsidR="00B049B7" w:rsidRPr="007224C3" w:rsidRDefault="00B049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Взято в плен — 23.680 немецких солдат и офицеров.</w:t>
      </w:r>
    </w:p>
    <w:p w14:paraId="3404750B" w14:textId="77777777" w:rsidR="00B049B7" w:rsidRPr="007224C3" w:rsidRDefault="00B049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Таким образом, в результате шестидневных наступательных боёв 1-го Белорусского фронта, завершившихся окружением и уничтожением Бобруйской группировки противника и освобождением города Бобруйск, потери немцев по главным видам боевой техники и живой силе составляют: пленными и убитыми — 73.680 человек, танков и самоходных орудий — 366, орудий разного калибра — 2.664, миномётов — 2.254, пулемётов — 7.404, автомашин — 15.922.</w:t>
      </w:r>
    </w:p>
    <w:p w14:paraId="2A0AFAD8" w14:textId="77777777" w:rsidR="00B049B7" w:rsidRPr="007224C3" w:rsidRDefault="00B049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Войска 2-го Белорусского фронта под командованием генерал-полковника Захарова, в результате наступательных боёв, проведённых с 23 по 29 июня сего года, нанесли противнику следующие потери в живой силе и технике:</w:t>
      </w:r>
    </w:p>
    <w:p w14:paraId="0245EDC4" w14:textId="77777777" w:rsidR="00B049B7" w:rsidRPr="007224C3" w:rsidRDefault="00B049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Уничтожено: танков — 60, орудий разного калибра — 250, миномётов — 200, пулемётов — 500, автомашин — 3.150. Противник оставил на поле боя до 30.000 трупов своих солдат и офицеров.</w:t>
      </w:r>
    </w:p>
    <w:p w14:paraId="4FBF1BA5" w14:textId="77777777" w:rsidR="00B049B7" w:rsidRPr="007224C3" w:rsidRDefault="00B049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 это же время войска 2-го Белорусского фронта захватили следующие трофеи: танков — 20, орудий разного калибра — 161, миномётов — 192, пулемётов — 560, винтовок и автоматов — 9.100, автомашин — 3.000, паровозов — 3, вагонов — 120, лошадей — 2.100.</w:t>
      </w:r>
    </w:p>
    <w:p w14:paraId="71945F8F" w14:textId="77777777" w:rsidR="00B049B7" w:rsidRPr="007224C3" w:rsidRDefault="00B049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Взято в плен 3.250 человек, в том числе более 100 офицеров и два немецких генерала — командир 12 пехотной дивизии генерал-лейтенант Бамлер и комендант г. Могилёва генерал-майор Эрдмансдорф.</w:t>
      </w:r>
    </w:p>
    <w:p w14:paraId="6422E0E4" w14:textId="77777777" w:rsidR="00B049B7" w:rsidRPr="007224C3" w:rsidRDefault="00B049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Таким образам, в результате семидневных наступательных боёв 2-го Белорусского фронта, завершившихся поражением противника на Могилёвском направлении и освобождением города Могилёв, общие потери немцев по главным видам боевой техники и живой силе составляют: пленными и убитыми — 33.250, танков — 80, орудий разного калибра — 411, миномётов — 392, пулемётов — 1.060, автомашин — 6.150.</w:t>
      </w:r>
    </w:p>
    <w:p w14:paraId="291A730E" w14:textId="77777777" w:rsidR="00B049B7" w:rsidRPr="007224C3" w:rsidRDefault="00B049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итоге наступательных боёв войск 1-го и 2-го Белорусских фронтов потери немцев по главным видам боевой техники и живой силе составляют: пленными и убитыми — 106.930 солдат и офицеров, танков и самоходных орудий — 446, орудий разного калибра — 3.075, миномётов— 2.646, пулемётов — 8.464, автомашин — 22.072.» (14938).</w:t>
      </w:r>
    </w:p>
    <w:p w14:paraId="76BCACF6" w14:textId="77777777" w:rsidR="00B049B7" w:rsidRPr="007224C3" w:rsidRDefault="00B049B7" w:rsidP="007224C3">
      <w:pPr>
        <w:spacing w:after="0" w:line="240" w:lineRule="auto"/>
        <w:jc w:val="both"/>
        <w:rPr>
          <w:rFonts w:ascii="Times New Roman" w:hAnsi="Times New Roman"/>
          <w:color w:val="000000" w:themeColor="text1"/>
          <w:sz w:val="16"/>
          <w:szCs w:val="16"/>
        </w:rPr>
      </w:pPr>
    </w:p>
    <w:p w14:paraId="3F444125" w14:textId="77777777" w:rsidR="00B049B7" w:rsidRPr="007224C3" w:rsidRDefault="00B049B7"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30 июня</w:t>
      </w:r>
      <w:r w:rsidRPr="007224C3">
        <w:rPr>
          <w:rFonts w:ascii="Times New Roman" w:hAnsi="Times New Roman"/>
          <w:color w:val="000000" w:themeColor="text1"/>
          <w:sz w:val="16"/>
          <w:szCs w:val="16"/>
        </w:rPr>
        <w:t xml:space="preserve"> в 1944 году два советских катера-охотника вступили в бой с немецкой субмариной «У-250» у бухты Койвисто, что на Балтике. «МО-105» был торпедирован сразу, но «МО-103» через несколько часов накрыл врага глубинными бомбами. Оставшийся в живых рулевой с «МО-105» Иван Мартемьянов сообщил: мы не видели следа торпед! После потопления «немца» на поверхность выбросило нескольких живых подводников. Один из них, командир «У-250» Вернер Шмидт, признался: его субмарина вооружена электрическими торпедами «Т-5» «Крапивник», которые не оставляют пузырчатого следа и идут на шум винтов корабля-жертвы (14938).</w:t>
      </w:r>
    </w:p>
    <w:p w14:paraId="3883F1F2" w14:textId="77777777" w:rsidR="00B049B7" w:rsidRPr="007224C3" w:rsidRDefault="00B049B7" w:rsidP="007224C3">
      <w:pPr>
        <w:spacing w:after="0" w:line="240" w:lineRule="auto"/>
        <w:jc w:val="both"/>
        <w:rPr>
          <w:rFonts w:ascii="Times New Roman" w:hAnsi="Times New Roman"/>
          <w:color w:val="000000" w:themeColor="text1"/>
          <w:sz w:val="16"/>
          <w:szCs w:val="16"/>
        </w:rPr>
      </w:pPr>
    </w:p>
    <w:p w14:paraId="38E5B20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июля 1944 штурмовики 299-й шад в районе Седлеца поддерживали части конно-механизированной группы. К исходу дня поступила телеграмма: "Генералу Крупскому. Личный состав КМ Г восхищен отличной боевой работой ваших летчиков в районе Седлеца. Бойцы и офицеры выносят глубокую благодарность за поддержку их в бою. Командующий КМ Г гвардии генерал-лейтенант Крюков".</w:t>
      </w:r>
    </w:p>
    <w:p w14:paraId="5EEB533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Разгром немецкой группы армий "Центр" в Белоруссии, успешное наступление Прибалтийских и Ленинградского фронтов против группы армий "Север", а также серьезное поражение группы армий "Северная Украина" на львовско-сандомирском направлении создали благоприятные предпосылки для нанесения последующих ударов по врагу на левом фланге советско-германского фронта (12020).</w:t>
      </w:r>
    </w:p>
    <w:p w14:paraId="04E53AC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90DBD0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июня 1944 г. самолеты 5-й бад воспользовались гранатометами для отражения атаки истребителей FW190A. Гранатами и пулеметным огнем стрелки поразили пять "Фокке-Вульфов" (3542).</w:t>
      </w:r>
    </w:p>
    <w:p w14:paraId="4F19F80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4E1F9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июня 1944 г. самолеты 5-й гв. бад воспользовались гранатометами для отражения атаки истребителей FW 190А. Гранатами и пулеметным огнем стрелки поразили пять "фокке-вульфов". В некоторых полках гранатометы ставили на пикировщики и раньше. В 39-м орап довольно успешно пробовали стрелять гранатами АГ-2 и по автомашинам на дорогах, сбрасывая их с бреющего полета. Конечно, применение гранат не всегда давало результаты, и командование ВВС понимало недостаточность подобных мер (12042).</w:t>
      </w:r>
    </w:p>
    <w:p w14:paraId="7A1F541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EE943C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июня 1944 г. 246-й ИАП отбыл на фронт с 34-мя "Харрикейнами" IID (дополнены КХ461 и 423, последний, однако, был оставлен на аэродроме Грозный ввиду поломки мотора). К началу июля полк прибыл к месту назначения - аэродром Омговичи (р-н Бобруйска), в 215-ю ИАД 16-й ВА. В дальнейшем, как ни странно, "Харрикейны" IID практически не совершили ни одного боевого (т.е. связанного с боевыми действиями против воздушного или наземного противника) вылета! Да если бы и совершили, то не смогли бы догнать даже Ju-88! (3187).</w:t>
      </w:r>
    </w:p>
    <w:p w14:paraId="75DA124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FBA6E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июня 1944 А СФ нанесла удар по Киркинесу и прямыми попаданиями потопили 7 транспортов в 40000 т, танкер, 2 тральщика, 2 сторожевика и один торпедный катер (438,912).</w:t>
      </w:r>
    </w:p>
    <w:p w14:paraId="563EAA7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1F243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июня Волжская военная флотилия была расформирована. Ее корабли и части были переданы другим, действующим флотам и флотилиям. Мобилизованные суда были разоружены и возвращены организациям транспортного и промыслового флота Волжского бассейна (11742).</w:t>
      </w:r>
    </w:p>
    <w:p w14:paraId="6EBD7BF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4A9E94"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27B295C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9285FBE" w14:textId="77777777" w:rsidR="006B53A4" w:rsidRPr="007224C3" w:rsidRDefault="006B53A4"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30 июня</w:t>
      </w:r>
      <w:r w:rsidRPr="007224C3">
        <w:rPr>
          <w:rFonts w:ascii="Times New Roman" w:hAnsi="Times New Roman"/>
          <w:color w:val="000000" w:themeColor="text1"/>
          <w:sz w:val="16"/>
          <w:szCs w:val="16"/>
        </w:rPr>
        <w:t xml:space="preserve"> в 1944 году первый прототип «NN660» английского истребителя </w:t>
      </w:r>
      <w:hyperlink r:id="rId183" w:tgtFrame="_blank" w:history="1">
        <w:r w:rsidRPr="007224C3">
          <w:rPr>
            <w:rFonts w:ascii="Times New Roman" w:hAnsi="Times New Roman"/>
            <w:color w:val="000000" w:themeColor="text1"/>
            <w:sz w:val="16"/>
            <w:szCs w:val="16"/>
          </w:rPr>
          <w:t xml:space="preserve">«Supermarine Spiteful» </w:t>
        </w:r>
      </w:hyperlink>
      <w:r w:rsidRPr="007224C3">
        <w:rPr>
          <w:rFonts w:ascii="Times New Roman" w:hAnsi="Times New Roman"/>
          <w:color w:val="000000" w:themeColor="text1"/>
          <w:sz w:val="16"/>
          <w:szCs w:val="16"/>
        </w:rPr>
        <w:t>поднялся в воздух под управлением Дж.Куилла (J.K.Quill). Правда машину эту следовало бы назвать предпрототипом, поскольку она представляла собой гибрид фюзеляжа «Spitfire XIV» с мотором «Griffon 61» и пятилопастным винтом «Rotol» и крыла «Type 371». Самолет не был оснащен полным набором необходимого оборудования, а жизнь его оказалась короткой - 13 сентября того же года он разбился в местечке Хай Пост (High Post), где был расположен заводской аэродром, похоронив под своими обломками пилота Фрэнка Фарлонга (Frank Furlong), известного в Британии тем, что в 1935 году он выиграл «Большие Национальные скачки» («Grand National») на лошади по кличке Рейнольдс Таун (Reynold's Town) (14938).</w:t>
      </w:r>
    </w:p>
    <w:p w14:paraId="6CED9FD6" w14:textId="77777777" w:rsidR="006B53A4" w:rsidRPr="007224C3" w:rsidRDefault="006B53A4" w:rsidP="007224C3">
      <w:pPr>
        <w:spacing w:after="0" w:line="240" w:lineRule="auto"/>
        <w:jc w:val="both"/>
        <w:rPr>
          <w:rFonts w:ascii="Times New Roman" w:hAnsi="Times New Roman"/>
          <w:color w:val="000000" w:themeColor="text1"/>
          <w:sz w:val="16"/>
          <w:szCs w:val="16"/>
        </w:rPr>
      </w:pPr>
    </w:p>
    <w:p w14:paraId="7319CE33" w14:textId="77777777" w:rsidR="006B53A4" w:rsidRPr="007224C3" w:rsidRDefault="006B53A4"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30 июня</w:t>
      </w:r>
      <w:r w:rsidRPr="007224C3">
        <w:rPr>
          <w:rFonts w:ascii="Times New Roman" w:hAnsi="Times New Roman"/>
          <w:color w:val="000000" w:themeColor="text1"/>
          <w:sz w:val="16"/>
          <w:szCs w:val="16"/>
        </w:rPr>
        <w:t xml:space="preserve"> в 1944 году первый полет </w:t>
      </w:r>
      <w:hyperlink r:id="rId184" w:tgtFrame="_blank" w:history="1">
        <w:r w:rsidRPr="007224C3">
          <w:rPr>
            <w:rFonts w:ascii="Times New Roman" w:hAnsi="Times New Roman"/>
            <w:color w:val="000000" w:themeColor="text1"/>
            <w:sz w:val="16"/>
            <w:szCs w:val="16"/>
          </w:rPr>
          <w:t xml:space="preserve">«Focke-Wulf» «Ta.154» «V-15» </w:t>
        </w:r>
      </w:hyperlink>
      <w:r w:rsidRPr="007224C3">
        <w:rPr>
          <w:rFonts w:ascii="Times New Roman" w:hAnsi="Times New Roman"/>
          <w:color w:val="000000" w:themeColor="text1"/>
          <w:sz w:val="16"/>
          <w:szCs w:val="16"/>
        </w:rPr>
        <w:t>(сер. №0015, код TQ+XE) - первый из прототипов, получивший новую переднюю стойку шасси с вынесенной вперед вилкой для подавления колебаний типа "шимми" (14938).</w:t>
      </w:r>
    </w:p>
    <w:p w14:paraId="4008654D" w14:textId="77777777" w:rsidR="006B53A4" w:rsidRPr="007224C3" w:rsidRDefault="006B53A4" w:rsidP="007224C3">
      <w:pPr>
        <w:spacing w:after="0" w:line="240" w:lineRule="auto"/>
        <w:jc w:val="both"/>
        <w:rPr>
          <w:rFonts w:ascii="Times New Roman" w:hAnsi="Times New Roman"/>
          <w:color w:val="000000" w:themeColor="text1"/>
          <w:sz w:val="16"/>
          <w:szCs w:val="16"/>
        </w:rPr>
      </w:pPr>
    </w:p>
    <w:p w14:paraId="1D230EAC" w14:textId="77777777" w:rsidR="006B53A4" w:rsidRPr="007224C3" w:rsidRDefault="006B53A4"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June 30th, 1944: In the West, the RAF carries out a saturation raid (250 Lancasters) on 2. and 9. SS-Panzerdivisions (Das Reich and Hohenstauffen) at Villers-Bocage near Caen. The United States breaks off diplomatic relations with Finland (3819).</w:t>
      </w:r>
    </w:p>
    <w:p w14:paraId="64F68BD6" w14:textId="77777777" w:rsidR="006B53A4" w:rsidRPr="007224C3" w:rsidRDefault="006B53A4"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15F8926" w14:textId="77777777" w:rsidR="00D82638" w:rsidRPr="007224C3" w:rsidRDefault="00D82638" w:rsidP="007224C3">
      <w:pPr>
        <w:pStyle w:val="115"/>
        <w:shd w:val="clear" w:color="auto" w:fill="auto"/>
        <w:spacing w:after="0" w:line="240" w:lineRule="auto"/>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lang w:val="en-US"/>
        </w:rPr>
        <w:t xml:space="preserve">30 </w:t>
      </w:r>
      <w:r w:rsidRPr="007224C3">
        <w:rPr>
          <w:rFonts w:ascii="Times New Roman" w:hAnsi="Times New Roman" w:cs="Times New Roman"/>
          <w:color w:val="000000" w:themeColor="text1"/>
          <w:sz w:val="16"/>
          <w:szCs w:val="16"/>
        </w:rPr>
        <w:t>июня</w:t>
      </w:r>
      <w:r w:rsidRPr="007224C3">
        <w:rPr>
          <w:rFonts w:ascii="Times New Roman" w:hAnsi="Times New Roman" w:cs="Times New Roman"/>
          <w:color w:val="000000" w:themeColor="text1"/>
          <w:sz w:val="16"/>
          <w:szCs w:val="16"/>
          <w:lang w:val="en-US"/>
        </w:rPr>
        <w:t xml:space="preserve"> 1944 </w:t>
      </w:r>
      <w:r w:rsidRPr="007224C3">
        <w:rPr>
          <w:rFonts w:ascii="Times New Roman" w:hAnsi="Times New Roman" w:cs="Times New Roman"/>
          <w:color w:val="000000" w:themeColor="text1"/>
          <w:sz w:val="16"/>
          <w:szCs w:val="16"/>
        </w:rPr>
        <w:t>в</w:t>
      </w:r>
      <w:r w:rsidRPr="007224C3">
        <w:rPr>
          <w:rFonts w:ascii="Times New Roman" w:hAnsi="Times New Roman" w:cs="Times New Roman"/>
          <w:color w:val="000000" w:themeColor="text1"/>
          <w:sz w:val="16"/>
          <w:szCs w:val="16"/>
          <w:lang w:val="en-US"/>
        </w:rPr>
        <w:t xml:space="preserve"> </w:t>
      </w:r>
      <w:r w:rsidRPr="007224C3">
        <w:rPr>
          <w:rFonts w:ascii="Times New Roman" w:hAnsi="Times New Roman" w:cs="Times New Roman"/>
          <w:color w:val="000000" w:themeColor="text1"/>
          <w:sz w:val="16"/>
          <w:szCs w:val="16"/>
        </w:rPr>
        <w:t>воздух</w:t>
      </w:r>
      <w:r w:rsidRPr="007224C3">
        <w:rPr>
          <w:rFonts w:ascii="Times New Roman" w:hAnsi="Times New Roman" w:cs="Times New Roman"/>
          <w:color w:val="000000" w:themeColor="text1"/>
          <w:sz w:val="16"/>
          <w:szCs w:val="16"/>
          <w:lang w:val="en-US"/>
        </w:rPr>
        <w:t xml:space="preserve"> </w:t>
      </w:r>
      <w:r w:rsidRPr="007224C3">
        <w:rPr>
          <w:rFonts w:ascii="Times New Roman" w:hAnsi="Times New Roman" w:cs="Times New Roman"/>
          <w:color w:val="000000" w:themeColor="text1"/>
          <w:sz w:val="16"/>
          <w:szCs w:val="16"/>
        </w:rPr>
        <w:t>было</w:t>
      </w:r>
      <w:r w:rsidRPr="007224C3">
        <w:rPr>
          <w:rFonts w:ascii="Times New Roman" w:hAnsi="Times New Roman" w:cs="Times New Roman"/>
          <w:color w:val="000000" w:themeColor="text1"/>
          <w:sz w:val="16"/>
          <w:szCs w:val="16"/>
          <w:lang w:val="en-US"/>
        </w:rPr>
        <w:t xml:space="preserve"> </w:t>
      </w:r>
      <w:r w:rsidRPr="007224C3">
        <w:rPr>
          <w:rFonts w:ascii="Times New Roman" w:hAnsi="Times New Roman" w:cs="Times New Roman"/>
          <w:color w:val="000000" w:themeColor="text1"/>
          <w:sz w:val="16"/>
          <w:szCs w:val="16"/>
        </w:rPr>
        <w:t>поднято</w:t>
      </w:r>
      <w:r w:rsidRPr="007224C3">
        <w:rPr>
          <w:rFonts w:ascii="Times New Roman" w:hAnsi="Times New Roman" w:cs="Times New Roman"/>
          <w:color w:val="000000" w:themeColor="text1"/>
          <w:sz w:val="16"/>
          <w:szCs w:val="16"/>
          <w:lang w:val="en-US"/>
        </w:rPr>
        <w:t xml:space="preserve"> 450 </w:t>
      </w:r>
      <w:r w:rsidRPr="007224C3">
        <w:rPr>
          <w:rFonts w:ascii="Times New Roman" w:hAnsi="Times New Roman" w:cs="Times New Roman"/>
          <w:color w:val="000000" w:themeColor="text1"/>
          <w:sz w:val="16"/>
          <w:szCs w:val="16"/>
        </w:rPr>
        <w:t>американских</w:t>
      </w:r>
      <w:r w:rsidRPr="007224C3">
        <w:rPr>
          <w:rFonts w:ascii="Times New Roman" w:hAnsi="Times New Roman" w:cs="Times New Roman"/>
          <w:color w:val="000000" w:themeColor="text1"/>
          <w:sz w:val="16"/>
          <w:szCs w:val="16"/>
          <w:lang w:val="en-US"/>
        </w:rPr>
        <w:t xml:space="preserve"> </w:t>
      </w:r>
      <w:r w:rsidRPr="007224C3">
        <w:rPr>
          <w:rFonts w:ascii="Times New Roman" w:hAnsi="Times New Roman" w:cs="Times New Roman"/>
          <w:color w:val="000000" w:themeColor="text1"/>
          <w:sz w:val="16"/>
          <w:szCs w:val="16"/>
        </w:rPr>
        <w:t>бомбар</w:t>
      </w:r>
      <w:r w:rsidRPr="007224C3">
        <w:rPr>
          <w:rFonts w:ascii="Times New Roman" w:hAnsi="Times New Roman" w:cs="Times New Roman"/>
          <w:color w:val="000000" w:themeColor="text1"/>
          <w:sz w:val="16"/>
          <w:szCs w:val="16"/>
          <w:lang w:val="en-US"/>
        </w:rPr>
        <w:softHyphen/>
      </w:r>
      <w:r w:rsidRPr="007224C3">
        <w:rPr>
          <w:rFonts w:ascii="Times New Roman" w:hAnsi="Times New Roman" w:cs="Times New Roman"/>
          <w:color w:val="000000" w:themeColor="text1"/>
          <w:sz w:val="16"/>
          <w:szCs w:val="16"/>
        </w:rPr>
        <w:t>дировщиков</w:t>
      </w:r>
      <w:r w:rsidRPr="007224C3">
        <w:rPr>
          <w:rFonts w:ascii="Times New Roman" w:hAnsi="Times New Roman" w:cs="Times New Roman"/>
          <w:color w:val="000000" w:themeColor="text1"/>
          <w:sz w:val="16"/>
          <w:szCs w:val="16"/>
          <w:lang w:val="en-US"/>
        </w:rPr>
        <w:t xml:space="preserve"> </w:t>
      </w:r>
      <w:r w:rsidRPr="007224C3">
        <w:rPr>
          <w:rFonts w:ascii="Times New Roman" w:hAnsi="Times New Roman" w:cs="Times New Roman"/>
          <w:color w:val="000000" w:themeColor="text1"/>
          <w:sz w:val="16"/>
          <w:szCs w:val="16"/>
        </w:rPr>
        <w:t>и</w:t>
      </w:r>
      <w:r w:rsidRPr="007224C3">
        <w:rPr>
          <w:rFonts w:ascii="Times New Roman" w:hAnsi="Times New Roman" w:cs="Times New Roman"/>
          <w:color w:val="000000" w:themeColor="text1"/>
          <w:sz w:val="16"/>
          <w:szCs w:val="16"/>
          <w:lang w:val="en-US"/>
        </w:rPr>
        <w:t xml:space="preserve"> 150 </w:t>
      </w:r>
      <w:r w:rsidRPr="007224C3">
        <w:rPr>
          <w:rFonts w:ascii="Times New Roman" w:hAnsi="Times New Roman" w:cs="Times New Roman"/>
          <w:color w:val="000000" w:themeColor="text1"/>
          <w:sz w:val="16"/>
          <w:szCs w:val="16"/>
        </w:rPr>
        <w:t>истребителей</w:t>
      </w:r>
      <w:r w:rsidRPr="007224C3">
        <w:rPr>
          <w:rFonts w:ascii="Times New Roman" w:hAnsi="Times New Roman" w:cs="Times New Roman"/>
          <w:color w:val="000000" w:themeColor="text1"/>
          <w:sz w:val="16"/>
          <w:szCs w:val="16"/>
          <w:lang w:val="en-US"/>
        </w:rPr>
        <w:t xml:space="preserve"> </w:t>
      </w:r>
      <w:r w:rsidRPr="007224C3">
        <w:rPr>
          <w:rFonts w:ascii="Times New Roman" w:hAnsi="Times New Roman" w:cs="Times New Roman"/>
          <w:color w:val="000000" w:themeColor="text1"/>
          <w:sz w:val="16"/>
          <w:szCs w:val="16"/>
        </w:rPr>
        <w:t>сопровождения</w:t>
      </w:r>
      <w:r w:rsidRPr="007224C3">
        <w:rPr>
          <w:rFonts w:ascii="Times New Roman" w:hAnsi="Times New Roman" w:cs="Times New Roman"/>
          <w:color w:val="000000" w:themeColor="text1"/>
          <w:sz w:val="16"/>
          <w:szCs w:val="16"/>
          <w:lang w:val="en-US"/>
        </w:rPr>
        <w:t xml:space="preserve">. </w:t>
      </w:r>
      <w:r w:rsidRPr="007224C3">
        <w:rPr>
          <w:rFonts w:ascii="Times New Roman" w:hAnsi="Times New Roman" w:cs="Times New Roman"/>
          <w:color w:val="000000" w:themeColor="text1"/>
          <w:sz w:val="16"/>
          <w:szCs w:val="16"/>
        </w:rPr>
        <w:t>Однако из-за плохой погоды на цели - Будапешт и Загреб (Югославия) вышли только 188 В-17 и В-24 в сопровождении 138 истребителей. При этом под Будапештом венгерские и германские летчики сбили четыре В-24, потеряв один истребитель (19083).</w:t>
      </w:r>
    </w:p>
    <w:p w14:paraId="291D730A" w14:textId="77777777" w:rsidR="00D82638" w:rsidRPr="007224C3" w:rsidRDefault="00D82638" w:rsidP="007224C3">
      <w:pPr>
        <w:pStyle w:val="115"/>
        <w:shd w:val="clear" w:color="auto" w:fill="auto"/>
        <w:spacing w:after="0" w:line="240" w:lineRule="auto"/>
        <w:jc w:val="both"/>
        <w:rPr>
          <w:rFonts w:ascii="Times New Roman" w:hAnsi="Times New Roman" w:cs="Times New Roman"/>
          <w:color w:val="000000" w:themeColor="text1"/>
          <w:sz w:val="16"/>
          <w:szCs w:val="16"/>
        </w:rPr>
      </w:pPr>
    </w:p>
    <w:p w14:paraId="69D30040" w14:textId="77777777" w:rsidR="006B53A4" w:rsidRPr="007224C3" w:rsidRDefault="006B53A4"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июня 1944 Королевские</w:t>
      </w:r>
      <w:r w:rsidR="00D82638" w:rsidRPr="007224C3">
        <w:rPr>
          <w:rFonts w:ascii="Times New Roman" w:hAnsi="Times New Roman"/>
          <w:color w:val="000000" w:themeColor="text1"/>
          <w:sz w:val="16"/>
          <w:szCs w:val="16"/>
        </w:rPr>
        <w:t xml:space="preserve"> </w:t>
      </w:r>
      <w:r w:rsidRPr="007224C3">
        <w:rPr>
          <w:rFonts w:ascii="Times New Roman" w:hAnsi="Times New Roman"/>
          <w:color w:val="000000" w:themeColor="text1"/>
          <w:sz w:val="16"/>
          <w:szCs w:val="16"/>
        </w:rPr>
        <w:t>ВВС</w:t>
      </w:r>
      <w:r w:rsidR="00D82638" w:rsidRPr="007224C3">
        <w:rPr>
          <w:rFonts w:ascii="Times New Roman" w:hAnsi="Times New Roman"/>
          <w:color w:val="000000" w:themeColor="text1"/>
          <w:sz w:val="16"/>
          <w:szCs w:val="16"/>
        </w:rPr>
        <w:t xml:space="preserve"> </w:t>
      </w:r>
      <w:r w:rsidRPr="007224C3">
        <w:rPr>
          <w:rFonts w:ascii="Times New Roman" w:hAnsi="Times New Roman"/>
          <w:color w:val="000000" w:themeColor="text1"/>
          <w:sz w:val="16"/>
          <w:szCs w:val="16"/>
        </w:rPr>
        <w:t>выполнили</w:t>
      </w:r>
      <w:r w:rsidR="00D82638" w:rsidRPr="007224C3">
        <w:rPr>
          <w:rFonts w:ascii="Times New Roman" w:hAnsi="Times New Roman"/>
          <w:color w:val="000000" w:themeColor="text1"/>
          <w:sz w:val="16"/>
          <w:szCs w:val="16"/>
        </w:rPr>
        <w:t xml:space="preserve"> </w:t>
      </w:r>
      <w:r w:rsidRPr="007224C3">
        <w:rPr>
          <w:rFonts w:ascii="Times New Roman" w:hAnsi="Times New Roman"/>
          <w:color w:val="000000" w:themeColor="text1"/>
          <w:sz w:val="16"/>
          <w:szCs w:val="16"/>
        </w:rPr>
        <w:t>массовый</w:t>
      </w:r>
      <w:r w:rsidR="00D82638" w:rsidRPr="007224C3">
        <w:rPr>
          <w:rFonts w:ascii="Times New Roman" w:hAnsi="Times New Roman"/>
          <w:color w:val="000000" w:themeColor="text1"/>
          <w:sz w:val="16"/>
          <w:szCs w:val="16"/>
        </w:rPr>
        <w:t xml:space="preserve"> </w:t>
      </w:r>
      <w:r w:rsidRPr="007224C3">
        <w:rPr>
          <w:rFonts w:ascii="Times New Roman" w:hAnsi="Times New Roman"/>
          <w:color w:val="000000" w:themeColor="text1"/>
          <w:sz w:val="16"/>
          <w:szCs w:val="16"/>
        </w:rPr>
        <w:t>налет (250 Ланкастеров) на 2 ид</w:t>
      </w:r>
      <w:r w:rsidR="00D82638" w:rsidRPr="007224C3">
        <w:rPr>
          <w:rFonts w:ascii="Times New Roman" w:hAnsi="Times New Roman"/>
          <w:color w:val="000000" w:themeColor="text1"/>
          <w:sz w:val="16"/>
          <w:szCs w:val="16"/>
        </w:rPr>
        <w:t xml:space="preserve"> </w:t>
      </w:r>
      <w:r w:rsidRPr="007224C3">
        <w:rPr>
          <w:rFonts w:ascii="Times New Roman" w:hAnsi="Times New Roman"/>
          <w:color w:val="000000" w:themeColor="text1"/>
          <w:sz w:val="16"/>
          <w:szCs w:val="16"/>
        </w:rPr>
        <w:t>ТДСС (ДасРейх</w:t>
      </w:r>
      <w:r w:rsidR="00D82638" w:rsidRPr="007224C3">
        <w:rPr>
          <w:rFonts w:ascii="Times New Roman" w:hAnsi="Times New Roman"/>
          <w:color w:val="000000" w:themeColor="text1"/>
          <w:sz w:val="16"/>
          <w:szCs w:val="16"/>
        </w:rPr>
        <w:t xml:space="preserve"> </w:t>
      </w:r>
      <w:r w:rsidRPr="007224C3">
        <w:rPr>
          <w:rFonts w:ascii="Times New Roman" w:hAnsi="Times New Roman"/>
          <w:color w:val="000000" w:themeColor="text1"/>
          <w:sz w:val="16"/>
          <w:szCs w:val="16"/>
        </w:rPr>
        <w:t>и</w:t>
      </w:r>
      <w:r w:rsidR="00D82638" w:rsidRPr="007224C3">
        <w:rPr>
          <w:rFonts w:ascii="Times New Roman" w:hAnsi="Times New Roman"/>
          <w:color w:val="000000" w:themeColor="text1"/>
          <w:sz w:val="16"/>
          <w:szCs w:val="16"/>
        </w:rPr>
        <w:t xml:space="preserve"> </w:t>
      </w:r>
      <w:r w:rsidRPr="007224C3">
        <w:rPr>
          <w:rFonts w:ascii="Times New Roman" w:hAnsi="Times New Roman"/>
          <w:color w:val="000000" w:themeColor="text1"/>
          <w:sz w:val="16"/>
          <w:szCs w:val="16"/>
        </w:rPr>
        <w:t>Хохенстауфен) уВиллерс-БокажуКайена (3819).</w:t>
      </w:r>
    </w:p>
    <w:p w14:paraId="5EBD8B3D" w14:textId="77777777" w:rsidR="006B53A4" w:rsidRPr="007224C3" w:rsidRDefault="006B53A4"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9383E5" w14:textId="77777777" w:rsidR="00D82638" w:rsidRPr="007224C3" w:rsidRDefault="00D82638"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июня 1944 США разорвали дипотношения с Финляндией (3819).</w:t>
      </w:r>
    </w:p>
    <w:p w14:paraId="3E37AEC6" w14:textId="77777777" w:rsidR="00D82638" w:rsidRPr="007224C3" w:rsidRDefault="00D82638"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38BFD0" w14:textId="77777777" w:rsidR="006B53A4" w:rsidRPr="007224C3" w:rsidRDefault="006B53A4"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30 июня</w:t>
      </w:r>
      <w:r w:rsidRPr="007224C3">
        <w:rPr>
          <w:rFonts w:ascii="Times New Roman" w:hAnsi="Times New Roman"/>
          <w:color w:val="000000" w:themeColor="text1"/>
          <w:sz w:val="16"/>
          <w:szCs w:val="16"/>
        </w:rPr>
        <w:t xml:space="preserve"> в 1944 году на Нормандском плацдарме сосредоточено 875 тысяч солдат союзных войск (14938).</w:t>
      </w:r>
    </w:p>
    <w:p w14:paraId="11237F42" w14:textId="77777777" w:rsidR="006B53A4" w:rsidRPr="007224C3" w:rsidRDefault="006B53A4" w:rsidP="007224C3">
      <w:pPr>
        <w:spacing w:after="0" w:line="240" w:lineRule="auto"/>
        <w:jc w:val="both"/>
        <w:rPr>
          <w:rFonts w:ascii="Times New Roman" w:hAnsi="Times New Roman"/>
          <w:color w:val="000000" w:themeColor="text1"/>
          <w:sz w:val="16"/>
          <w:szCs w:val="16"/>
        </w:rPr>
      </w:pPr>
    </w:p>
    <w:p w14:paraId="19D5C1A6" w14:textId="77777777" w:rsidR="006B53A4" w:rsidRPr="007224C3" w:rsidRDefault="006B53A4"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30 июня</w:t>
      </w:r>
      <w:r w:rsidRPr="007224C3">
        <w:rPr>
          <w:rFonts w:ascii="Times New Roman" w:hAnsi="Times New Roman"/>
          <w:color w:val="000000" w:themeColor="text1"/>
          <w:sz w:val="16"/>
          <w:szCs w:val="16"/>
        </w:rPr>
        <w:t xml:space="preserve"> в 1944 году восточные легионы в составе вермахта оказали ожесточенное сопротивление войскам союзников, высадившимся в Нормандии, и понесли значительные потери. При этом отдельные части восточных легионов переходили на сторону партизан или сдавались союзникам. 10 % взятых в плен войсками союзников немецких солдат оказались гражданами СССР. Англо-американское командование, будучи весьма удивлено наличием такого большого количества советских людей в составе вермахта, организовало пропагандистское воздействие на сопротивляющиеся немецкие войска с помощью громкоговорителей и прокламаций на русском языке (14938).</w:t>
      </w:r>
    </w:p>
    <w:p w14:paraId="3872B966" w14:textId="77777777" w:rsidR="006B53A4" w:rsidRPr="007224C3" w:rsidRDefault="006B53A4" w:rsidP="007224C3">
      <w:pPr>
        <w:spacing w:after="0" w:line="240" w:lineRule="auto"/>
        <w:jc w:val="both"/>
        <w:rPr>
          <w:rFonts w:ascii="Times New Roman" w:hAnsi="Times New Roman"/>
          <w:color w:val="000000" w:themeColor="text1"/>
          <w:sz w:val="16"/>
          <w:szCs w:val="16"/>
        </w:rPr>
      </w:pPr>
    </w:p>
    <w:p w14:paraId="243F4B75" w14:textId="77777777" w:rsidR="006B53A4" w:rsidRPr="007224C3" w:rsidRDefault="006B53A4"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30 июня</w:t>
      </w:r>
      <w:r w:rsidRPr="007224C3">
        <w:rPr>
          <w:rFonts w:ascii="Times New Roman" w:hAnsi="Times New Roman"/>
          <w:color w:val="000000" w:themeColor="text1"/>
          <w:sz w:val="16"/>
          <w:szCs w:val="16"/>
        </w:rPr>
        <w:t xml:space="preserve"> в 1944 году США разорвали дипломатические отношения с Финляндией (14938).</w:t>
      </w:r>
    </w:p>
    <w:p w14:paraId="2B3E9355" w14:textId="77777777" w:rsidR="006B53A4" w:rsidRPr="007224C3" w:rsidRDefault="006B53A4" w:rsidP="007224C3">
      <w:pPr>
        <w:spacing w:after="0" w:line="240" w:lineRule="auto"/>
        <w:jc w:val="both"/>
        <w:rPr>
          <w:rFonts w:ascii="Times New Roman" w:hAnsi="Times New Roman"/>
          <w:color w:val="000000" w:themeColor="text1"/>
          <w:sz w:val="16"/>
          <w:szCs w:val="16"/>
        </w:rPr>
      </w:pPr>
    </w:p>
    <w:p w14:paraId="1AA6F6D4" w14:textId="77777777" w:rsidR="006B53A4" w:rsidRPr="007224C3" w:rsidRDefault="006B53A4"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30 июня</w:t>
      </w:r>
      <w:r w:rsidRPr="007224C3">
        <w:rPr>
          <w:rFonts w:ascii="Times New Roman" w:hAnsi="Times New Roman"/>
          <w:color w:val="000000" w:themeColor="text1"/>
          <w:sz w:val="16"/>
          <w:szCs w:val="16"/>
        </w:rPr>
        <w:t xml:space="preserve"> в 1944 году американское военное министерство в рекомендациях госдепартаменту отмечало, что после завершения мировой войны «Соединенные Штаты и Советский Союз будут военными державами первой величины. Относительная сила и географическое положение этих двух держав, несомненно, помешают военному разгрому одной из этих держав другой, даже если эта держава и будет в союзе с Британской империей» (14938).</w:t>
      </w:r>
    </w:p>
    <w:p w14:paraId="1257D96B" w14:textId="77777777" w:rsidR="006B53A4" w:rsidRPr="007224C3" w:rsidRDefault="006B53A4" w:rsidP="007224C3">
      <w:pPr>
        <w:spacing w:after="0" w:line="240" w:lineRule="auto"/>
        <w:jc w:val="both"/>
        <w:rPr>
          <w:rFonts w:ascii="Times New Roman" w:hAnsi="Times New Roman"/>
          <w:color w:val="000000" w:themeColor="text1"/>
          <w:sz w:val="16"/>
          <w:szCs w:val="16"/>
        </w:rPr>
      </w:pPr>
    </w:p>
    <w:p w14:paraId="4F3C8C67" w14:textId="77777777" w:rsidR="006B53A4" w:rsidRPr="007224C3" w:rsidRDefault="006B53A4" w:rsidP="007224C3">
      <w:pPr>
        <w:spacing w:after="0" w:line="240" w:lineRule="auto"/>
        <w:jc w:val="both"/>
        <w:rPr>
          <w:rFonts w:ascii="Times New Roman" w:hAnsi="Times New Roman"/>
          <w:color w:val="000000" w:themeColor="text1"/>
          <w:sz w:val="16"/>
          <w:szCs w:val="16"/>
        </w:rPr>
      </w:pPr>
      <w:r w:rsidRPr="007224C3">
        <w:rPr>
          <w:rFonts w:ascii="Times New Roman" w:hAnsi="Times New Roman"/>
          <w:bCs/>
          <w:color w:val="000000" w:themeColor="text1"/>
          <w:sz w:val="16"/>
          <w:szCs w:val="16"/>
        </w:rPr>
        <w:t>30 июня</w:t>
      </w:r>
      <w:r w:rsidRPr="007224C3">
        <w:rPr>
          <w:rFonts w:ascii="Times New Roman" w:hAnsi="Times New Roman"/>
          <w:color w:val="000000" w:themeColor="text1"/>
          <w:sz w:val="16"/>
          <w:szCs w:val="16"/>
        </w:rPr>
        <w:t xml:space="preserve"> в 1944 году создание левыми силами Демократической партии Вьетнама, которая присоединилась к прокоммунистической Лиге за независимость Вьетнама (14938).</w:t>
      </w:r>
    </w:p>
    <w:p w14:paraId="60E31D8A" w14:textId="77777777" w:rsidR="006B53A4" w:rsidRPr="007224C3" w:rsidRDefault="006B53A4" w:rsidP="007224C3">
      <w:pPr>
        <w:spacing w:after="0" w:line="240" w:lineRule="auto"/>
        <w:jc w:val="both"/>
        <w:rPr>
          <w:rFonts w:ascii="Times New Roman" w:hAnsi="Times New Roman"/>
          <w:color w:val="000000" w:themeColor="text1"/>
          <w:sz w:val="16"/>
          <w:szCs w:val="16"/>
        </w:rPr>
      </w:pPr>
    </w:p>
    <w:p w14:paraId="03F113F9"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5297ECF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96A4102" w14:textId="77777777" w:rsidR="00595BFB" w:rsidRPr="007224C3" w:rsidRDefault="00595BFB" w:rsidP="007224C3">
      <w:pPr>
        <w:tabs>
          <w:tab w:val="left" w:pos="3114"/>
          <w:tab w:val="left" w:pos="4717"/>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конце июня 1944 И.о. Нач. Главстройстекло А.Германов писал письмо № 887с ГЛАВНОМУ ИНЖЕНЕРУ 1 ГЛАВНОГО УПРАВЛЕНИЯ НКХП тов. ЗОРИНУ</w:t>
      </w:r>
    </w:p>
    <w:p w14:paraId="6C4CA092" w14:textId="77777777" w:rsidR="00595BFB" w:rsidRPr="007224C3" w:rsidRDefault="00595BFB" w:rsidP="007224C3">
      <w:pPr>
        <w:tabs>
          <w:tab w:val="left" w:pos="1786"/>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Ваш № 1455/75 от 23/У1-44 г.</w:t>
      </w:r>
    </w:p>
    <w:p w14:paraId="52B8FFBE" w14:textId="77777777" w:rsidR="00595BFB" w:rsidRPr="007224C3" w:rsidRDefault="00595BFB" w:rsidP="007224C3">
      <w:pPr>
        <w:tabs>
          <w:tab w:val="left" w:pos="2305"/>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Копия: Заместителю Начальника 12-го Главного Управления НКАП тов. СОКОЛОВУ</w:t>
      </w:r>
    </w:p>
    <w:p w14:paraId="1E37FBD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Сообщаем, что на имеющемся на стеклозаводе имени Горького оборудования, изготовить силикатное стекло для авиаброни самолетов Ил-10 по представленным Вами черте</w:t>
      </w:r>
      <w:r w:rsidRPr="007224C3">
        <w:rPr>
          <w:rFonts w:ascii="Times New Roman" w:hAnsi="Times New Roman"/>
          <w:color w:val="000000" w:themeColor="text1"/>
          <w:sz w:val="16"/>
          <w:szCs w:val="16"/>
        </w:rPr>
        <w:softHyphen/>
        <w:t>жам, мы не имеем возможности.</w:t>
      </w:r>
    </w:p>
    <w:p w14:paraId="64C5E69C" w14:textId="77777777" w:rsidR="00595BFB" w:rsidRPr="007224C3" w:rsidRDefault="00595BFB" w:rsidP="007224C3">
      <w:pPr>
        <w:tabs>
          <w:tab w:val="left" w:pos="3771"/>
        </w:tabs>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Данный заказ может быть выполнен при внесении сле</w:t>
      </w:r>
      <w:r w:rsidRPr="007224C3">
        <w:rPr>
          <w:rFonts w:ascii="Times New Roman" w:hAnsi="Times New Roman"/>
          <w:color w:val="000000" w:themeColor="text1"/>
          <w:sz w:val="16"/>
          <w:szCs w:val="16"/>
        </w:rPr>
        <w:softHyphen/>
        <w:t>дующих изменений:</w:t>
      </w:r>
    </w:p>
    <w:p w14:paraId="172CD7A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уменьшение размеров переднего стекла /чертеж № 50431-0/ до 300 х 300 мм и соответствующее изменение размеров боковых стекол;</w:t>
      </w:r>
    </w:p>
    <w:p w14:paraId="2E59C12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замена всех скошенных под острым углом кромок торцами, обработанными под прямым углом;</w:t>
      </w:r>
    </w:p>
    <w:p w14:paraId="445340A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закругление острого угла боковых стекол.</w:t>
      </w:r>
    </w:p>
    <w:p w14:paraId="48E3C71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Силикатное стекло для самолета Ил-10 не подвер</w:t>
      </w:r>
      <w:r w:rsidRPr="007224C3">
        <w:rPr>
          <w:rFonts w:ascii="Times New Roman" w:hAnsi="Times New Roman"/>
          <w:color w:val="000000" w:themeColor="text1"/>
          <w:sz w:val="16"/>
          <w:szCs w:val="16"/>
        </w:rPr>
        <w:softHyphen/>
        <w:t>гается сталинизации (10532,58).</w:t>
      </w:r>
    </w:p>
    <w:p w14:paraId="655AA72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1CC956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конце июня 1944 г. Морской учебный самолет У-2М (По-2М) передали на государственные в Летно-испытательный институт ВВС ВМФ. Они нача</w:t>
      </w:r>
      <w:r w:rsidRPr="007224C3">
        <w:rPr>
          <w:rFonts w:ascii="Times New Roman" w:hAnsi="Times New Roman"/>
          <w:color w:val="000000" w:themeColor="text1"/>
          <w:sz w:val="16"/>
          <w:szCs w:val="16"/>
        </w:rPr>
        <w:softHyphen/>
        <w:t>лись с 8 июля 1944 г. и продолжались до 8 сентября. Несмотря на их положительный результат, предпо</w:t>
      </w:r>
      <w:r w:rsidRPr="007224C3">
        <w:rPr>
          <w:rFonts w:ascii="Times New Roman" w:hAnsi="Times New Roman"/>
          <w:color w:val="000000" w:themeColor="text1"/>
          <w:sz w:val="16"/>
          <w:szCs w:val="16"/>
        </w:rPr>
        <w:softHyphen/>
        <w:t>лагаемая серийная постройка не состоялась из-за неяс</w:t>
      </w:r>
      <w:r w:rsidRPr="007224C3">
        <w:rPr>
          <w:rFonts w:ascii="Times New Roman" w:hAnsi="Times New Roman"/>
          <w:color w:val="000000" w:themeColor="text1"/>
          <w:sz w:val="16"/>
          <w:szCs w:val="16"/>
        </w:rPr>
        <w:softHyphen/>
        <w:t>ности с применением данного типа самолета. Н.Н.Поли</w:t>
      </w:r>
      <w:r w:rsidRPr="007224C3">
        <w:rPr>
          <w:rFonts w:ascii="Times New Roman" w:hAnsi="Times New Roman"/>
          <w:color w:val="000000" w:themeColor="text1"/>
          <w:sz w:val="16"/>
          <w:szCs w:val="16"/>
        </w:rPr>
        <w:softHyphen/>
        <w:t>карпов разработал машину в 1944 г. на базе У-2ВС и более ранне</w:t>
      </w:r>
      <w:r w:rsidRPr="007224C3">
        <w:rPr>
          <w:rFonts w:ascii="Times New Roman" w:hAnsi="Times New Roman"/>
          <w:color w:val="000000" w:themeColor="text1"/>
          <w:sz w:val="16"/>
          <w:szCs w:val="16"/>
        </w:rPr>
        <w:softHyphen/>
        <w:t>го МУ-2. Его проектирование началось в 1943 г. Он имел новое однопоплавковое шасси, киль был уширен, введе</w:t>
      </w:r>
      <w:r w:rsidRPr="007224C3">
        <w:rPr>
          <w:rFonts w:ascii="Times New Roman" w:hAnsi="Times New Roman"/>
          <w:color w:val="000000" w:themeColor="text1"/>
          <w:sz w:val="16"/>
          <w:szCs w:val="16"/>
        </w:rPr>
        <w:softHyphen/>
        <w:t>ны аэродинамически компенсированные элероны, на двигатель М-11Д установили капот, на винт - кок обте</w:t>
      </w:r>
      <w:r w:rsidRPr="007224C3">
        <w:rPr>
          <w:rFonts w:ascii="Times New Roman" w:hAnsi="Times New Roman"/>
          <w:color w:val="000000" w:themeColor="text1"/>
          <w:sz w:val="16"/>
          <w:szCs w:val="16"/>
        </w:rPr>
        <w:softHyphen/>
        <w:t>каемой формы. Центральный поплавок - деревянный одноредан-ный. Часть его шпангоутов выполнили в виде непрони</w:t>
      </w:r>
      <w:r w:rsidRPr="007224C3">
        <w:rPr>
          <w:rFonts w:ascii="Times New Roman" w:hAnsi="Times New Roman"/>
          <w:color w:val="000000" w:themeColor="text1"/>
          <w:sz w:val="16"/>
          <w:szCs w:val="16"/>
        </w:rPr>
        <w:softHyphen/>
        <w:t>цаемых переборок для обеспечения непотопляемости в , случае повреждения поплавка. Для предохранения от ударов нос поплавка обтянули резиной. Поплавок имел управляемый водяной руль. Для перемещения самолета) на суше в сквозное отверстие поплавка могла вставляться ось колесной тележки. Подкрыльевые поплавки, по 1 конструкции аналогичные центральному, редана не имели (10667).</w:t>
      </w:r>
    </w:p>
    <w:p w14:paraId="008BAC3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5B7F9F"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163BB9F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C5A682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конце июня 1944 г., убедившись в невозможности в кратчай</w:t>
      </w:r>
      <w:r w:rsidRPr="007224C3">
        <w:rPr>
          <w:rFonts w:ascii="Times New Roman" w:hAnsi="Times New Roman"/>
          <w:color w:val="000000" w:themeColor="text1"/>
          <w:sz w:val="16"/>
          <w:szCs w:val="16"/>
        </w:rPr>
        <w:softHyphen/>
        <w:t>ший срок доработать конструкцию своей машины, руководители ЧКЗ, после многочисленных настоятельных требований со стороны ГБТУ, несколько ускорили работы по модернизации серийно выпускавшегося танка ИС-2 (10703).</w:t>
      </w:r>
    </w:p>
    <w:p w14:paraId="035B58F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707F9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концу июня месяца 1944 танк Объект-248 прошел лишь заводские испытания пробегом и отстрелом на Миасском полигоне. Танк "Объект 248" был создан на базе опытного тяжелого танка "Объект 237" № 1. В связи с установкой новой пушки и башни была изменена компоновка боевого отделения. Командир и наводчик располагались справа, а заряжающий - слева от пушки. Люк и командирская башенка имели, по отношению к серийной башне танка ИС-1, зеркальное распо</w:t>
      </w:r>
      <w:r w:rsidRPr="007224C3">
        <w:rPr>
          <w:rFonts w:ascii="Times New Roman" w:hAnsi="Times New Roman"/>
          <w:color w:val="000000" w:themeColor="text1"/>
          <w:sz w:val="16"/>
          <w:szCs w:val="16"/>
        </w:rPr>
        <w:softHyphen/>
        <w:t>ложение. Кроме того, отсутствовала установка тыльного пулемета. После проведения заводских испытаний машина была рекомендова</w:t>
      </w:r>
      <w:r w:rsidRPr="007224C3">
        <w:rPr>
          <w:rFonts w:ascii="Times New Roman" w:hAnsi="Times New Roman"/>
          <w:color w:val="000000" w:themeColor="text1"/>
          <w:sz w:val="16"/>
          <w:szCs w:val="16"/>
        </w:rPr>
        <w:softHyphen/>
        <w:t>на на полигонные испытания. Однако ни "Объект 245", ни "Объект 248", оснащенные 100-мм пуш</w:t>
      </w:r>
      <w:r w:rsidRPr="007224C3">
        <w:rPr>
          <w:rFonts w:ascii="Times New Roman" w:hAnsi="Times New Roman"/>
          <w:color w:val="000000" w:themeColor="text1"/>
          <w:sz w:val="16"/>
          <w:szCs w:val="16"/>
        </w:rPr>
        <w:softHyphen/>
        <w:t>ками, не были приняты на вооружение вследствие того, что на дальнос</w:t>
      </w:r>
      <w:r w:rsidRPr="007224C3">
        <w:rPr>
          <w:rFonts w:ascii="Times New Roman" w:hAnsi="Times New Roman"/>
          <w:color w:val="000000" w:themeColor="text1"/>
          <w:sz w:val="16"/>
          <w:szCs w:val="16"/>
        </w:rPr>
        <w:softHyphen/>
        <w:t>тях свыше 1000 м из-за меньшей массы бронебойных снарядов их бро-непробиваемость оказалась меньше, чем у 122-мм бронебойных снаря</w:t>
      </w:r>
      <w:r w:rsidRPr="007224C3">
        <w:rPr>
          <w:rFonts w:ascii="Times New Roman" w:hAnsi="Times New Roman"/>
          <w:color w:val="000000" w:themeColor="text1"/>
          <w:sz w:val="16"/>
          <w:szCs w:val="16"/>
        </w:rPr>
        <w:softHyphen/>
        <w:t>дов пушки Д-25 (10703).</w:t>
      </w:r>
    </w:p>
    <w:p w14:paraId="10DB981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3676102" w14:textId="77777777" w:rsidR="001B25C1" w:rsidRPr="007224C3" w:rsidRDefault="001B25C1" w:rsidP="007224C3">
      <w:pPr>
        <w:pStyle w:val="ae"/>
        <w:spacing w:before="0" w:after="0"/>
        <w:jc w:val="both"/>
        <w:textAlignment w:val="baseline"/>
        <w:rPr>
          <w:color w:val="000000" w:themeColor="text1"/>
          <w:sz w:val="16"/>
          <w:szCs w:val="16"/>
        </w:rPr>
      </w:pPr>
      <w:r w:rsidRPr="007224C3">
        <w:rPr>
          <w:color w:val="000000" w:themeColor="text1"/>
          <w:sz w:val="16"/>
          <w:szCs w:val="16"/>
        </w:rPr>
        <w:t>К концу июня 1944 года в КБ-520 завода №183 узнали о том, что Т-44 следует переделывать. Под руководством А.А. Морозова начались работы над машиной, получившей обозначение </w:t>
      </w:r>
      <w:hyperlink r:id="rId185" w:history="1">
        <w:r w:rsidRPr="007224C3">
          <w:rPr>
            <w:rStyle w:val="a5"/>
            <w:bCs/>
            <w:iCs/>
            <w:color w:val="000000" w:themeColor="text1"/>
            <w:sz w:val="16"/>
            <w:szCs w:val="16"/>
            <w:bdr w:val="none" w:sz="0" w:space="0" w:color="auto" w:frame="1"/>
          </w:rPr>
          <w:t>Т-44А</w:t>
        </w:r>
      </w:hyperlink>
      <w:r w:rsidRPr="007224C3">
        <w:rPr>
          <w:color w:val="000000" w:themeColor="text1"/>
          <w:sz w:val="16"/>
          <w:szCs w:val="16"/>
        </w:rPr>
        <w:t>. Согласно отчёту по опытным работам завода №183 за первую половину июля 1944 года, 13 числа был готов корпус улучшенного танка. Практически с самого начала в конструкцию Т-44А стали вносить изменения. Например, сначала балансиры планировали сделать цельнолитыми, но ввиду брака их пришлось делать сборными, как на Т-34-85. Кроме того, на опытном корпусе несколько отошли от изначальных толщин брони. По проекту толщина верхнего и нижнего лобового листов составляла 85 мм, но на опытной машине толщину увеличили до 90 мм. Борта, которые теперь были не переменной толщины, по проекту ослабили до 70 мм, но реально их толщина выросла до 75 мм. Листы крыши должны были иметь толщину 13 мм, но поставили листы толщиной 15 мм.</w:t>
      </w:r>
    </w:p>
    <w:p w14:paraId="400166B7" w14:textId="77777777" w:rsidR="001B25C1" w:rsidRPr="007224C3" w:rsidRDefault="001B25C1" w:rsidP="007224C3">
      <w:pPr>
        <w:pStyle w:val="ae"/>
        <w:spacing w:before="0" w:after="0"/>
        <w:jc w:val="both"/>
        <w:textAlignment w:val="baseline"/>
        <w:rPr>
          <w:color w:val="000000" w:themeColor="text1"/>
          <w:sz w:val="16"/>
          <w:szCs w:val="16"/>
        </w:rPr>
      </w:pPr>
      <w:r w:rsidRPr="007224C3">
        <w:rPr>
          <w:color w:val="000000" w:themeColor="text1"/>
          <w:sz w:val="16"/>
          <w:szCs w:val="16"/>
        </w:rPr>
        <w:t>По сравнению с предыдущими вариантами корпус Т-44А отличался не только бортами и усиленной броневой защитой лба. Носовая часть танка также изменилась. Прекратив эксперименты с будкой (рубкой) механика-водителя, которая только мешала, КБ-520 подняло высоту отделения управления на уровень крыши моторного отделения. В результате уже никаких будок не требовалось. Общая высота корпуса составила чуть менее метра – конечно, за счёт этого общая высота машины чуть выросла, поскольку башня «приподнялась» вместе с отделением управления, но игра стоила свеч. Вместо будки механик-водитель получил смотровую щель в лобовой части корпуса, прикрытую изнутри стеклоблоком. Таким образом, стойкость лобовой детали заметно повысилась, а внутри отделения управления появилось достаточно места по высоте. Механик-водитель получил люк со створкой, которая поднималась вверх и вбок. При создании нового люка конструкторы ориентировались на люк </w:t>
      </w:r>
      <w:hyperlink r:id="rId186" w:history="1">
        <w:r w:rsidRPr="007224C3">
          <w:rPr>
            <w:rStyle w:val="a5"/>
            <w:bCs/>
            <w:iCs/>
            <w:color w:val="000000" w:themeColor="text1"/>
            <w:sz w:val="16"/>
            <w:szCs w:val="16"/>
            <w:bdr w:val="none" w:sz="0" w:space="0" w:color="auto" w:frame="1"/>
          </w:rPr>
          <w:t>Pz.Kpfw.Panther</w:t>
        </w:r>
      </w:hyperlink>
      <w:r w:rsidRPr="007224C3">
        <w:rPr>
          <w:color w:val="000000" w:themeColor="text1"/>
          <w:sz w:val="16"/>
          <w:szCs w:val="16"/>
        </w:rPr>
        <w:t>, хотя из общего с ним только принцип открытия. В передней, не открывающейся части люка появился смотровой прибор MK-IV, который вращался вместе с люком. Это существенно улучшало обзор. За счёт открытия створки люка вверх и вбок механик-водитель мог ехать в походном положении, высунувшись из люка.</w:t>
      </w:r>
    </w:p>
    <w:p w14:paraId="10CE3DEB" w14:textId="77777777" w:rsidR="001B25C1" w:rsidRPr="007224C3" w:rsidRDefault="001B25C1" w:rsidP="007224C3">
      <w:pPr>
        <w:spacing w:after="0" w:line="240" w:lineRule="auto"/>
        <w:jc w:val="both"/>
        <w:textAlignment w:val="baseline"/>
        <w:rPr>
          <w:rFonts w:ascii="Times New Roman" w:hAnsi="Times New Roman"/>
          <w:color w:val="000000" w:themeColor="text1"/>
          <w:sz w:val="16"/>
          <w:szCs w:val="16"/>
        </w:rPr>
      </w:pPr>
      <w:r w:rsidRPr="007224C3">
        <w:rPr>
          <w:rFonts w:ascii="Times New Roman" w:hAnsi="Times New Roman"/>
          <w:color w:val="000000" w:themeColor="text1"/>
          <w:sz w:val="16"/>
          <w:szCs w:val="16"/>
        </w:rPr>
        <w:t>Прорабатывавшийся проект Т-44-А со 100-мм пушкой. Нередко он указывается как Т-44В, но это неверно. Интересен он тем, что видна ещё старая конфигурация кормы корпуса, верхний лобовой лист без смотровой щели. Заодно видна проектная башня с литым лбом и катаными стенками.</w:t>
      </w:r>
    </w:p>
    <w:p w14:paraId="532A2621" w14:textId="77777777" w:rsidR="001B25C1" w:rsidRPr="007224C3" w:rsidRDefault="001B25C1" w:rsidP="007224C3">
      <w:pPr>
        <w:pStyle w:val="ae"/>
        <w:spacing w:before="0" w:after="0"/>
        <w:jc w:val="both"/>
        <w:textAlignment w:val="baseline"/>
        <w:rPr>
          <w:color w:val="000000" w:themeColor="text1"/>
          <w:sz w:val="16"/>
          <w:szCs w:val="16"/>
        </w:rPr>
      </w:pPr>
      <w:r w:rsidRPr="007224C3">
        <w:rPr>
          <w:color w:val="000000" w:themeColor="text1"/>
          <w:sz w:val="16"/>
          <w:szCs w:val="16"/>
        </w:rPr>
        <w:t>Массу изменений внесли не только в конструкцию носовой части корпуса, но и в шасси в целом. Ведущие колёса, по типу Т-34-85, сделали уменьшенного диаметра (530 мм), а количество роликов сократили до пяти. Балансиры укоротили почти вдвое, а их кронштейны оказались внутри корпуса. Диаметр опорных катков вернулся к значениям Т-34, то есть к диаметру 830 мм. Изменилось размещение радиаторов, переделали бортовые передачи. Уже после постройки корпуса в его конструкцию внесли изменения. Изначально кормовая деталь корпуса была прямой, позже к ней «пристыковали» кусок, состоявший из двух листов – это несколько улучшило работу системы охлаждения. Впрочем, на опытной машине это была «фальшивая» корма, то есть к имеющейся детали приварили добавку. В очередной раз была пересмотрена укладка, благодаря чему число патронов к 85-мм орудию ЗИС-С-53 выросло до 58 штук. Интересно, что изначально башню планировали сделать иной конструкции. Её носовая деталь делалась литой, толщиной 115 мм, а борта и корма – катаными, толщиной 90 мм. Таким образом, КБ-520 планировало вновь вернуться к концепции сварной башни, которая прорабатывалась для исходного проекта Т-44. Впрочем, этот вариант башни так и не был реализован (19047).</w:t>
      </w:r>
    </w:p>
    <w:p w14:paraId="13059DF4" w14:textId="77777777" w:rsidR="001B25C1" w:rsidRPr="007224C3" w:rsidRDefault="001B25C1" w:rsidP="007224C3">
      <w:pPr>
        <w:spacing w:after="0" w:line="240" w:lineRule="auto"/>
        <w:jc w:val="both"/>
        <w:textAlignment w:val="baseline"/>
        <w:rPr>
          <w:rFonts w:ascii="Times New Roman" w:hAnsi="Times New Roman"/>
          <w:color w:val="000000" w:themeColor="text1"/>
          <w:sz w:val="16"/>
          <w:szCs w:val="16"/>
        </w:rPr>
      </w:pPr>
    </w:p>
    <w:p w14:paraId="4D70FEE9" w14:textId="4D1F229E" w:rsidR="00AC1099" w:rsidRPr="007224C3" w:rsidRDefault="00AC1099" w:rsidP="007224C3">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7224C3">
        <w:rPr>
          <w:rFonts w:ascii="Times New Roman" w:hAnsi="Times New Roman"/>
          <w:i/>
          <w:iCs/>
          <w:color w:val="000000" w:themeColor="text1"/>
          <w:sz w:val="16"/>
          <w:szCs w:val="16"/>
        </w:rPr>
        <w:t>За рубежом:</w:t>
      </w:r>
    </w:p>
    <w:p w14:paraId="4C595988" w14:textId="77777777" w:rsidR="00AC1099" w:rsidRPr="007224C3" w:rsidRDefault="00AC1099" w:rsidP="007224C3">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3E7FD3AD" w14:textId="77777777" w:rsidR="00AC1099" w:rsidRPr="007224C3" w:rsidRDefault="00AC1099"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К концу июня 1944 были готовы 8 серийных He277B-5/R2, два из них проходили приемо-сдаточные испытания, а третий — наземную отработку. Однако принятая 3 июля 1944 года «Чрезвычайная программа строительства самолетов-истребителей» закрывала целый ряд направлений развития бомбардировочной авиации, в том числе и строительство тяжелых бомбардировщиков, в пользу расширения выпуска перехватчиков, необходимых для защиты территории Германии от англо-американских бомбардировок.</w:t>
      </w:r>
    </w:p>
    <w:p w14:paraId="48E86A3D" w14:textId="77777777" w:rsidR="00AC1099" w:rsidRPr="007224C3" w:rsidRDefault="00AC1099"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Работы по Не277 не остановились, Хейнкель продолжал модифицировать машину. Например, только новых компоновок кабин для этого самолета было вычерчено 30 вариантов. После того как был переделан фюзеляж, который стал на 400 мм уже, а у кабины — несколько выше старого, практически ничего из созданных за четыре года для сборки Не177А стапелей и прочей техоснастки уже невозможно было использовать. Просто удивительно, как при этом на заводе в Швехате буквально «на коленке» все же удалось построить один Не277В-7. Но облетать его не вышло — ввиду приближения Советской Армии готовую машину взорвали (22883).</w:t>
      </w:r>
    </w:p>
    <w:p w14:paraId="17409090" w14:textId="77777777" w:rsidR="00AC1099" w:rsidRPr="007224C3" w:rsidRDefault="00AC1099" w:rsidP="007224C3">
      <w:pPr>
        <w:spacing w:after="0" w:line="240" w:lineRule="auto"/>
        <w:jc w:val="both"/>
        <w:rPr>
          <w:rFonts w:ascii="Times New Roman" w:hAnsi="Times New Roman"/>
          <w:color w:val="0070C0"/>
          <w:sz w:val="16"/>
          <w:szCs w:val="16"/>
        </w:rPr>
      </w:pPr>
    </w:p>
    <w:p w14:paraId="59894493" w14:textId="02F000BF"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0218985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49817E6" w14:textId="77777777" w:rsidR="00614B84" w:rsidRPr="007224C3" w:rsidRDefault="00614B84" w:rsidP="007224C3">
      <w:pPr>
        <w:spacing w:after="0" w:line="240" w:lineRule="auto"/>
        <w:jc w:val="both"/>
        <w:textAlignment w:val="top"/>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В июне 1944 вышел приказ НКАП</w:t>
      </w:r>
    </w:p>
    <w:p w14:paraId="59D97612" w14:textId="77777777" w:rsidR="00614B84" w:rsidRPr="007224C3" w:rsidRDefault="00614B84" w:rsidP="007224C3">
      <w:pPr>
        <w:spacing w:after="0" w:line="240" w:lineRule="auto"/>
        <w:jc w:val="both"/>
        <w:textAlignment w:val="top"/>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О переходе с 15.07.44 на выпуск 60% Ил-2 с фибровыми протектированными бензобаками (19706).</w:t>
      </w:r>
    </w:p>
    <w:p w14:paraId="0693851F" w14:textId="77777777" w:rsidR="00614B84" w:rsidRPr="007224C3" w:rsidRDefault="00614B84" w:rsidP="007224C3">
      <w:pPr>
        <w:spacing w:after="0" w:line="240" w:lineRule="auto"/>
        <w:jc w:val="both"/>
        <w:textAlignment w:val="top"/>
        <w:rPr>
          <w:rFonts w:ascii="Times New Roman" w:eastAsia="Times New Roman" w:hAnsi="Times New Roman"/>
          <w:color w:val="000000" w:themeColor="text1"/>
          <w:sz w:val="16"/>
          <w:szCs w:val="16"/>
          <w:lang w:eastAsia="ru-RU"/>
        </w:rPr>
      </w:pPr>
    </w:p>
    <w:p w14:paraId="6466B2B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июне 1944 года зам. начальника 7-го гл. управления Залесский писал письмо зам. начальника 7-го гл. управления НКАП Долинскому А.С.</w:t>
      </w:r>
    </w:p>
    <w:p w14:paraId="52E379D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Справка</w:t>
      </w:r>
    </w:p>
    <w:p w14:paraId="7BC4FE2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Постановлением ГОКО N 3949сс от 18 марта 1943 года и приказом наркома N 507сс от 22 августа 1943 г. гл. конструктор завода N 240 С.В.И. обязан был подать на гос. испытания самолет Ил-2 с пушками ОКБ-16 НКВ калибра 45 мм к 5 ноября 1943 г.</w:t>
      </w:r>
    </w:p>
    <w:p w14:paraId="4F56CC9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Это задание ОКБ завода N 240 выполнило досрочно: самолет был подан на испытания в НИИ АВ 2 ноября 1943 г.</w:t>
      </w:r>
    </w:p>
    <w:p w14:paraId="4FF4E14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Постановлением ГОКО была установлена премия в размере 50 тысяч рублей за вооруженный этими пушками самолет, поданный в установленный срок и выдержавший полигонные наземные и воздушные испытания. Премия подлежит выдаче в распоряжение гл. конструктора для премирования отличившихся работников.</w:t>
      </w:r>
    </w:p>
    <w:p w14:paraId="007341C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Согласно отчета НИИ АВ ВВС N 95 от 7 апреля 1944 года пушки НС-45 на самолете Ил-2 гос. испытания выдержали. В выводах отмечено, что установки под пушки сделанные ОКБ-240 обеспечили нормальную работу пушек. Заключение в целом по самолету Ил-2 с пушками НС-45 НИИ АВ не сделано, так как предъявленные образцы пушек имели реакцию на цапфы большую чем было предусмотрено ТУ на проектирование узлов крепления пушки в крыле самолета.</w:t>
      </w:r>
    </w:p>
    <w:p w14:paraId="60AE3E3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ОКБ завода N 240 выполнило работу в установленные сроки по техническим данным на пушки НС-45 заявленными ОКБ-16. В соответствии с этим в распоряжение гл. конструктора С.В.И. надлежит перевести премию в размере 50 тыс. рублей (1825,231).</w:t>
      </w:r>
    </w:p>
    <w:p w14:paraId="17967BB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13BF7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июне 1944 г. в Выборгской операции в перспективная аэро</w:t>
      </w:r>
      <w:r w:rsidRPr="007224C3">
        <w:rPr>
          <w:rFonts w:ascii="Times New Roman" w:hAnsi="Times New Roman"/>
          <w:color w:val="000000" w:themeColor="text1"/>
          <w:sz w:val="16"/>
          <w:szCs w:val="16"/>
        </w:rPr>
        <w:softHyphen/>
        <w:t>фотосъемка переднего края противника осуществлялась оди</w:t>
      </w:r>
      <w:r w:rsidRPr="007224C3">
        <w:rPr>
          <w:rFonts w:ascii="Times New Roman" w:hAnsi="Times New Roman"/>
          <w:color w:val="000000" w:themeColor="text1"/>
          <w:sz w:val="16"/>
          <w:szCs w:val="16"/>
        </w:rPr>
        <w:softHyphen/>
        <w:t>ночными самолетами Ил-2 при помощи фотоаппаратов АФА-ЗС с турельных фотоустановок, смонтированных в кабине стрелка (11474,393).</w:t>
      </w:r>
    </w:p>
    <w:p w14:paraId="27A6133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3C525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Проектные работы по Ил-16 начались в июне в 1944 практически сразу же после завершения гос. испытаний Ил-10 (5,127).</w:t>
      </w:r>
    </w:p>
    <w:p w14:paraId="0A30B6C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E0562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июне 1944 г. проводили эксперименты по впрыску воды на форсированных режимах АМ-38Ф. Двигатели АМ-38 и АМ-38Ф устанавливались на серийных штурмови</w:t>
      </w:r>
      <w:r w:rsidRPr="007224C3">
        <w:rPr>
          <w:rFonts w:ascii="Times New Roman" w:hAnsi="Times New Roman"/>
          <w:color w:val="000000" w:themeColor="text1"/>
          <w:sz w:val="16"/>
          <w:szCs w:val="16"/>
        </w:rPr>
        <w:softHyphen/>
        <w:t>ках Ил-2, а также на опытном самолете ТИС-МА. Истребители МиГ-3 в мастерских и строевых полках переделывали под АМ-38. Использование АМ-38 предусматривалось также в проекте самолета ОДБ(П). Моторы АМ-38Ф экспортировались в Польшу, Чехословакию и Югос</w:t>
      </w:r>
      <w:r w:rsidRPr="007224C3">
        <w:rPr>
          <w:rFonts w:ascii="Times New Roman" w:hAnsi="Times New Roman"/>
          <w:color w:val="000000" w:themeColor="text1"/>
          <w:sz w:val="16"/>
          <w:szCs w:val="16"/>
        </w:rPr>
        <w:softHyphen/>
        <w:t>лавию (11852).</w:t>
      </w:r>
    </w:p>
    <w:p w14:paraId="7E55943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240CD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июне 1944 мотор АМ-42 был запущен в серийное производство на заводе № 24 (9649).</w:t>
      </w:r>
    </w:p>
    <w:p w14:paraId="660CC47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D9932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июне 1944 г. ПТАБ-10-2,5 предъявили на повторные госиспытания, где ПТАБ-10-2,5 эффективно поразила все танки, самоходные орудия и бронемашины с основной броней (без дополнительных броневых экранов) толщиной до 160 мм, а также экранированную броню толщиной до 40 мм и экрана до 20 мм, расположенных на расстоянии 500 мм друг от друга. Помимо того, на полигоне бомбили, надежно выводя из строя, трофейные артиллерийские орудия всех калибров, самолеты на стоянках, железнодорожные объекты и пр. Научно-техническим журналом ВВС № 80 от 1944 г. для массового производства ПТАБ-10-2,5 утвердили номер чертежа 3-01400 и индекс ВВС-4-Т-121.</w:t>
      </w:r>
    </w:p>
    <w:p w14:paraId="3FEDE53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Согласно постановлению ГКО, в 1944 г. для войсковых испытаний изготовили 100.000 штук ПТАБ-10-2,5 и доставили их в противотанковый авиаполк, вооруженный самолетами-штурмовиками Ил-2. В ходе испытаний установили, что при сбрасывании авиабомб они иногда “зависают” в универсальных бомбоотсеках самолетов из-за дефектов в их конструкции. К примеру, при укладке ПТАБ-10-2,5 головной частью назад было зафиксировано 19,7% отказов в действии боеприпасов из-за деформации стабилизатора, отчего крыльчатки предохранителей не сворачивались в полете и взрыватели не взводились.</w:t>
      </w:r>
    </w:p>
    <w:p w14:paraId="247EC6A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укладке авиабомб головной частью вперед стабилизаторы также деформировались, но взрыватели при этом отказывали лишь в 2,9% случаев. Кроме того, из-за слабой предохранительной пружины взрывателя АД-А бомбы срабатывали при падении на землю даже с высоты 1,4 - 2 м, а также после “зависания” под самолетом при его посадке, зачастую причиняя тяжелые повреждения машинам и наземному обслуживающему персоналу. К тому же войсковые специалисты признали время снаряжания авиабомб взрывателями слишком большим. Действительно, конструкция стабилизаторов (как, впрочем, и у ПТАБ-2,5-1,5) не позволяла завинчивать взрыватель одной рукой. Эту операцию приходилось выполнять двумя руками, зажимая каждый боеприпас коленями.</w:t>
      </w:r>
    </w:p>
    <w:p w14:paraId="2E98729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Несмотря на то, что ПТАБ-10-2,5 обладали высокой боевой эффективностью, комиссия пришла к выводу, что войсковых испытаний авиабомба не выдержала и на вооружение в данном конструктивном оформлении ее принять невозможно. Лишь только 1 августа 1945 г. принятие на вооружение ВВС авиационного центробежного донного взрывателя АДЦ, устранявшего все присущие ПТАБ-10-2,5 недостатки, позволило использовать эти авиабомбы в войсках уже в мирное время.</w:t>
      </w:r>
    </w:p>
    <w:p w14:paraId="297147A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загрузке авиационных бомбовых кассет или бомбо-отсеков на самолетах ПТАБ укладывали в горизонтальном положении головными частями назад по полету. И лишь только бомбовые кассеты АБК-3 на дальних бомбардировщиках Ил-4 позволяли разместить их вертикально головными частями вверх.</w:t>
      </w:r>
    </w:p>
    <w:p w14:paraId="79D7877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ходе Великой Отечественной войны немецкие танкисты учли такую конструктивную особенность советских противотанковых авиабомб, как довольно чувствительный взрыватель АД-А. С 1944 г. при заходе наших самолетов на штурмовку немцы стремились как можно быстрее рассредоточить свои колонны бронетехники в лесу. Тогда ПТАБ срабатывали по верхним ветвям деревьев, практически не нанося ущерба живой силе и технике противника (7453).</w:t>
      </w:r>
    </w:p>
    <w:p w14:paraId="5C75F03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8C9F1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июне 1944 г. в связи с проблемами на гос. испытаниях первого серийного Ер-2 М-30Ф на завод N 39 прибыл целый десант из Москвы - комиссия наркомата авиапромышленности во главе с начальником ЦИАМа генералом Кашириным. "Комиссия, как и всякая, заседала, члены поругивались, сваливая грехи мотористов на самолетчиков и обратно - словом, картина обычная, - рассказывал А.К.Аронов. - Результатом явился документ с мероприятиями, реализация которых, как выяснилось впоследствии, дала ощутимые результаты, хотя и не вылечила силовую установку на 100%" (3322,41).</w:t>
      </w:r>
    </w:p>
    <w:p w14:paraId="34BFB83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0A78F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июне 1944 следующая небольшая партия Ер-2 (четыре самолета) отправилась с завода N 39 "своим ходом" в Астафьево, где началось переучивание руководящего летного состава вновь сформированных полков. Начиная с этого месяца, ввиду ненадежной работы винтомоторной группы в сдаточную программу ввели обязательный предварительный четырехчасовой полет на высоте 6000 м в районе аэродрома. С темпом четыре-девять машин в месяц экипажи из 73-й вад перегоняли Ер-2 вплоть до декабря 1944, а всего в течение 1944 г. пять авиакорпусов АДД (1, 2-й и 3-й гвардейские, 6-й и 8-й) успели принять 34 бомбардировщика. Еще пять машин сидели на аэродромах сибирской трассы (два в Красноярске, по одному в Омске, Янауле и Казани). Наибольшее количество Ер-2 в 1944 г. попало во 2-й гвардейский авиакорпус ДД - 20 единиц (3322,43).</w:t>
      </w:r>
    </w:p>
    <w:p w14:paraId="3ED02A1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EADC2A" w14:textId="77777777" w:rsidR="0009141E" w:rsidRPr="007224C3" w:rsidRDefault="0009141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июне 1944 на завод в Таганрог прибыли по частям железной дорогой машины Ер-2. В связи с предстоящими работами по сборке этих самолетов на заводе с 18 июня стали проводиться еженедельно дни качества. Но самолет Ер-2 так и не удалось запустить в производство. В 1945 году в полевых условиях было отремонтировано – 515 самолетов разных типов, на заводе - 79. </w:t>
      </w:r>
    </w:p>
    <w:p w14:paraId="170D191E" w14:textId="77777777" w:rsidR="0009141E" w:rsidRPr="007224C3" w:rsidRDefault="0009141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15 марта 1944 года завод перешел на одиннадцатичасовой рабочий день; восемь часов на основной работе, а с 5 до 8 часов вечера на разборе, расчистке завалов. По воскресеньям устраивали воскресники. Вновь прибывший директор завода Федоренко, на плечи которого легла основная тяжесть мобилизации коллектива на восстановление предприятия, жил первое время в товарном вагоне на территории завода. С глубокой болью работали ветераны. Они помнили, каким был красавец - завод в предвоенные годы. Городская газета писала в январе 1945 года о тех, кто возрождал завод из руин и пепла: «Люди из гвардии возрождения». Это была поистине гвардия. Среди героев возрождения были слесарь-монтажник А.П. Максимов, сборщик П.Д. Белый, токарь С.К. Новиков, лекальщик Ф.В. Зеркаль, кузнец Н.П. Баев. В цехе метизов трудилась пожилая работница на токарно-револьверном станке А.А. Подрезова. Небольшая сухонькая женщина. проводившая на войну сына, спокойно и уверенно трудилась, молча сносила все тяготы сурового времени, любовно и бережно поддерживала молодых девчaт, пришедших на завод, помогала им скорее освоить профессию. Не зря ее называли «матерью цеха» (18580).</w:t>
      </w:r>
    </w:p>
    <w:p w14:paraId="6C894FEA" w14:textId="77777777" w:rsidR="0009141E" w:rsidRPr="007224C3" w:rsidRDefault="0009141E" w:rsidP="007224C3">
      <w:pPr>
        <w:spacing w:after="0" w:line="240" w:lineRule="auto"/>
        <w:jc w:val="both"/>
        <w:rPr>
          <w:rFonts w:ascii="Times New Roman" w:hAnsi="Times New Roman"/>
          <w:color w:val="000000" w:themeColor="text1"/>
          <w:sz w:val="16"/>
          <w:szCs w:val="16"/>
        </w:rPr>
      </w:pPr>
    </w:p>
    <w:p w14:paraId="6ACBB0C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июне 1944 начались гос. испытания Пе-2Б - второй переделки Пе-2, запланированной В.М.М., пришедшем на 22 завод. На самолете, подготовленном к полетам еще в декабре 1943, были реализованы почти все изменения, предложенные ЦАГИ и реализованные на машине N 19/205, но скорость была всего 524 км/час вместо желаемых 560 км/час. При первой попытке передачи на гос. испытания вернулся оттуда из-за трещин в моторамах и хотя по испытаниям рекомендовали в серию НКАП решил ориентироваться на Пе-2И (2205,41).</w:t>
      </w:r>
    </w:p>
    <w:p w14:paraId="234A9EC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BA57A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июне 1944 Незваль писал Шахурину: «На ваш запрос о переоборудовании Пе-8 докладываю, что основная причина срыва задания заключается в том, что из цехов, выполняющих данную работу (№№ 9, 70, 205, 234), большое количество рабочих переданы в цеха Пе-2 для выполнения аварийных работ, а оставшаяся часть в большей мере также загружена заказами по Пе-2. В апреле-мае это были ремонт моторных рам и прорыв в агрегатных и сборочных цехах Пе-2.</w:t>
      </w:r>
    </w:p>
    <w:p w14:paraId="07C1FC0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самолетах Пе-8 № 42612 и № 42712 планер полностью состыкован, все готово под монтаж моторов АЧ-30Б. На № 42912 изготовлен только центроплан.</w:t>
      </w:r>
    </w:p>
    <w:p w14:paraId="37EDBE1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штате ОКБ находится один рабочий, 90 ИТР и 15 служащих».</w:t>
      </w:r>
    </w:p>
    <w:p w14:paraId="36A2EDE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Спустя неделю Незваль вновь пишет в Москву «о дальнейшем пребывании ОКБ по тяжелым самолетам на заводе № 22». Главный конструктор сожалеет о решении прекратить выпуск Пе-8 и не видит смысла оставаться на заводе, где основная задача - постоянно увеличивать программу Пе-2. Незваль считает, что новые решения о продолжении работ по модернизации Пе-8 и создании опытных тяжелых машин лучше реализовывать на заводе № 456 или при слиянии с ОКБ Туполева (12049).</w:t>
      </w:r>
    </w:p>
    <w:p w14:paraId="238EBCF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5F54DF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июне 1944 года были проведены контрольные испытания серийного самолета Ту-2, проведенные Гл. инспекцией, которые показали недобор скорости до 39 км/час. Во второй половине 1944 года этот дефект был устранен, т.е. сокращен недобор скорости с 39 км до 9 км/час. Однако качество самолета оставалось низким: плохое состояние внешней поверхности, плохая клепка и подгонка обшивки и др. Самолеты Ту-2 NN 18, 24, 27, передаваемые заводом на гос. испытания в НИИ ВВС, прошли испытания неудовлетворительно и были забракованы из-за наличия большого количества дефектов и ряда конструктивных недоработок (2633,10).</w:t>
      </w:r>
    </w:p>
    <w:p w14:paraId="1EBBDF1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69FBE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июне 1944 ОКБ А.Н.Т. разработало эскизный проект Ту-2 2АШ-82ФН в варианте торпедоносца Ту-2Т. В ходе ВО использовалось 12 торпедоносцев на базе Ту-2 2АШ-82ФН (1835,64).</w:t>
      </w:r>
    </w:p>
    <w:p w14:paraId="04F092A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36AEB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июне 1944 был готов первый самолет 62 А.Н.Т. - ДБ Ту-2Д на базе Ту-2 М-82ФН N 718. Отличия были в площади крыла, увеличенной с 48.8 кв. м до 59.05 кв. м, увеличенном ГО, баками, увеличенными с 2650 л до 3930 л, новым фонарем с улучшенным обзором, новыми винтами АВ-5В-21А диаметром 3.6 м. Машина N 714 была еще в производстве (1835,60).</w:t>
      </w:r>
    </w:p>
    <w:p w14:paraId="78D9761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94923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июне 1944 г. ОКБ разработало эскизный проект Ту-2 2AI1I-82 ФН в варианте самолета-торпе- доносца Ту-2Т. В конце 1944 г. один из серийных Ту-2 № 9/14 выпуска завода №23 был переоборудован под торпедное вооружение разработки ОКБ, которое состояло из:</w:t>
      </w:r>
    </w:p>
    <w:p w14:paraId="63B95E6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двух бортовых торпедодержателей типа ТД-44, с замками Дер 4-44-У;</w:t>
      </w:r>
    </w:p>
    <w:p w14:paraId="5967983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передних и задних вертикальных упоров;</w:t>
      </w:r>
    </w:p>
    <w:p w14:paraId="764861E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механизмов сбрасывания торпед;</w:t>
      </w:r>
    </w:p>
    <w:p w14:paraId="51E0E3E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прицела торпедометания ПТН-5;</w:t>
      </w:r>
    </w:p>
    <w:p w14:paraId="3B9356C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лебедки БЛ-4 с тросами для подъема торпед (12002).</w:t>
      </w:r>
    </w:p>
    <w:p w14:paraId="1E75E06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B2F62E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июне 1944 года был построен самолет Ту-2 № 16/7, в котором учли дефекты, отмеченные в акте по результатам государственных испытаний машины № 716. От машины № 18/11, испытанной в декабре 1944 года, самолет № 16/7 отличался увеличенной с 5,32 до 5,79 м2 площадью вертикального оперения, установкой автомата дозарядки гидроаккумулятора и усиленного хвостового колеса, герметизированным фонарем кабины пилота. На борту машины появился и доработанный бомбоприцел ОПБ-1Д, который благодаря автоматическому учету высоты и скорости полета позволял производить прицельное бомбометание без соблюдения заранее рассчитанного режима полета в диапазоне высот от 600 до 6000 метров при скорости ветра до 100 км/ч и путевой скорости самолета от 200 до 600 км/ч.</w:t>
      </w:r>
    </w:p>
    <w:p w14:paraId="53F31A2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Ведущими по самолету были инженер В.А. Шубралов и летчик М.А. Нюхтиков. Самолет облетали летчики-испытатели НИИ ВВС П.М. Стефановский, В.И. Жданов, И.П. Пискунов и М.П. Субботин, штурманы - А.И. Старых, Н.П. Цветков и Литвинчук.</w:t>
      </w:r>
    </w:p>
    <w:p w14:paraId="304028C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ходе испытаний был выполнен полет по маршруту Чкаловская - Саратов - Чкаловская со сбросом 1000 кг бомб на полигоне в районе Саратова. При взлетном весе 11 720 кг и 1960 кг топлива дальность полета получилась 2065 км.</w:t>
      </w:r>
    </w:p>
    <w:p w14:paraId="2868705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тому времени опыт боевого применения Ту-2 показал, что бомбардировщик был уязвим от атак истребителей противника снизу передней полусферы. В связи с этим Туполев принял решение установить дополнительную огневую точку для нижней полусферы самолета и попросил командование НИИ ВВС определить наиболее незащищенные зоны передней полусферы, необходимые для установки дополнительного оборонительного вооружения. Для этого в феврале 1945 года летчик-испытатель И.Е. Голофастов, летавший на истребителе Bf 109G-6 и проведший воздушный бой с Ту-2С № 16/7, отмечал:</w:t>
      </w:r>
    </w:p>
    <w:p w14:paraId="49AABFF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"Атаки Ме-109Г-6 возможны спереди под углами к продольной оси самолета от 20 до 60 градусов и снизу с кабрирования под углами 30-50 градусов. Прицельные атаки возможны только одной очередью, при этом уход истребителя возможен без поражения. Атаки спереди-сбоку для истребителя вполне возможны, но несколько сложнее, чем атака на одной высоте сбоку. При атаках снизу-сбоку под углами кабрирования 30 градусов и более экипажу бомбардировщика трудно заметить атакующего.</w:t>
      </w:r>
    </w:p>
    <w:p w14:paraId="3692C14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Атаки сзади, снизу возможны под углами 20-50 градусов относительно продольной оси бомбардировщика. При всех атаках огонь открывался с дистанции 200-600 м.</w:t>
      </w:r>
    </w:p>
    <w:p w14:paraId="370D2E7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Атаки Ту-2 в задней полусфере лучше всего вести сзади-сбоку с кабрирования, учитывая расположение оружия на самолете".</w:t>
      </w:r>
    </w:p>
    <w:p w14:paraId="0FBB454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заключение Акта по результатам государственных испытаний, завершившихся 23 февраля 1945 года, рекомендовалось конструктивные изменения внедрить в серию за исключением воздушных винтов АВ-5В-21А, увеличивавших разбег. Там же отмечалось, что "несмотря на многократное выявление одних и тех же дефектов по самолету Ту-2 &lt;...&gt; при испытаниях &lt;...&gt; в ГКНИИ ВВС и эксплуатации в строевых частях &lt;...&gt; большинство дефектов остается до сих пор неустраненным".</w:t>
      </w:r>
    </w:p>
    <w:p w14:paraId="1E5D45F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связи с этим в марте 1945 года два серийных Ту-2 (№1/44 и № 2/44) предъявили на контрольные испытания, которые они не выдержали. Позже, в июне 1946 года Совет министров СССР обязал авиационную промышленность изготовить десять эталонных машин с устранением всех отмеченных к тому времени дефектов и предъявить их на контрольные испытания.</w:t>
      </w:r>
    </w:p>
    <w:p w14:paraId="7B516BF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результате доработок в самолет внесли 142 изменения, основными из которых были герметизация носовой части фюзеляжа и носовых частей центроплана, установка усиленных колес, пылевых фильтров на всасывающих патрубках, флюгерных воздушных винтов и электрофицированной стрелковой установки ВЭУ-1 у стрелка-радиста. В итоге, например, на машине № 38/49 при полетном весе 10 900 кг максимальная скорость на высоте 5460 м достигла 550 км/ч, а время набора 5000 метров сократилось до 10,3 минут, потолок составил 9350 метров, разбег и пробег - соответственно 465 и 875 метров.</w:t>
      </w:r>
    </w:p>
    <w:p w14:paraId="7DA7EA1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заключении НИИ ВВС по результатам испытаний десяти самолетов отмечалось, в частности:</w:t>
      </w:r>
    </w:p>
    <w:p w14:paraId="2DCDB02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"Летные характеристики модифицированных Ту-2 соответствуют техническим условиям на их поставку ВВС.</w:t>
      </w:r>
    </w:p>
    <w:p w14:paraId="46EBC2F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Считать необходимым внедрить на всех Ту-2 конструктивные и производственные изменения, выполненные на испытанных 10-ти самолетах..." (12035).</w:t>
      </w:r>
    </w:p>
    <w:p w14:paraId="5DA3BF7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F1F1B8D" w14:textId="77777777" w:rsidR="00F13793" w:rsidRPr="007224C3" w:rsidRDefault="00F1379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 июне 1944 г. в конструкторском бюро А.Н. Туполева выполнили эскизный проект оснащения стандартного бомбардировщика торпедной подвеской. Под корневыми частями крыла у самых бортов фюзеляжа монтировались пилоны с торпедодержателями ТД-44. На каждый из них можно было подвесить по одной торпеде типа 45-36АН (весом по 966 кг), предназначенной для низкого метания. Прицеливался при сбросе торпед штурман, которому поставили прицел ПТН-5. В качестве опытного образца торпедоносца решили использовать серийный бомбардировщик № 9/14. Работы по его переделке начали на заводе № 156. Однако в сентябре 1944 г. в конструкторское бюро из штаба морской авиации поступили тактико-технические требования, предусматривавшие более глубокую модернизацию самолета. С одной стороны, заданием требовалось обеспечить максимальный унификации с серийным бомбардировщиком, с другой – в конструкцию и оборудование надо было внести существенные изменения. Например, место штурмана хотели перенести в носовую часть фюзеляжа и сделать над ним астрономический люк. В носовой кабине предполагалось установить торпедный прицел ПТН-5к, который позднее хотели заменить более сложным ПТН-42. По заданию самолет должен был нести две торпеды типа 45-36АН для сброса с бреющего полета. Они, как и предлагал Туполев, размещались на пилонах под корневой частью крыла. Вместо торпед возможна была подвеска бомб крупного калибра или авиационных донных мин АМД-500 или АМД-1000. В оборудование торпедоносца включались радиолокатор «Гнейс-5М», предназначенный для поиска надводных целей, и морской спасательный комплект. В последний входили надувная лодка ЛАС-3 и упаковка с одеждой и запасом продовольствия. Комплект должен был размещаться в специальном отсеке, открываемом из кабины стрелка. Эти требования Туполев попытался реализовать позднее, а пока на совместные с ВВС ВМФ испытания выставили самолет № 9/14 (21059).</w:t>
      </w:r>
    </w:p>
    <w:p w14:paraId="2770B8FB" w14:textId="77777777" w:rsidR="00F13793" w:rsidRPr="007224C3" w:rsidRDefault="00F13793" w:rsidP="007224C3">
      <w:pPr>
        <w:spacing w:after="0" w:line="240" w:lineRule="auto"/>
        <w:jc w:val="both"/>
        <w:rPr>
          <w:rFonts w:ascii="Times New Roman" w:hAnsi="Times New Roman"/>
          <w:color w:val="0070C0"/>
          <w:sz w:val="16"/>
          <w:szCs w:val="16"/>
        </w:rPr>
      </w:pPr>
    </w:p>
    <w:p w14:paraId="6DF63A5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июне 1944 заканчивались работы по установке РЛС типа ПНБ-4 на серийном Ту-2 N 104. На машину также дополнительно поставили 2 ВЯ (1835,59).</w:t>
      </w:r>
    </w:p>
    <w:p w14:paraId="1A28CED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948AB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июне 1944 закончились гос. испытания Пе-2И В.М.М., которые начались в мае 1944. Это была наша версия Москито и фюзеляж в нижней части сделали овальным, чтобы разместить сначала 1000 кг, а потом 2000 кг бомбу. В хвостовой части была электродистанционная установка под УБ. Двигатели ВК-107А с реактивными патрубками. Экипаж - 2 человека. Потом выпустили малую серию в конце войны (1947,79).</w:t>
      </w:r>
    </w:p>
    <w:p w14:paraId="1F9967B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2BBE6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июне 1944 года один из B-25D-30 испытывался в НИИ ВВС (3457,92).</w:t>
      </w:r>
    </w:p>
    <w:p w14:paraId="38344BB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4A4EB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июне 1944 был составлен акт на 12 Як-9У, выпущенных заводом № 82. После этого, командир 856-го перегоночного иап подполковник Иванов получил указание принять боевые самолеты (4842).</w:t>
      </w:r>
    </w:p>
    <w:p w14:paraId="42BB10D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819E5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июне 1944 закончились испытания второго ИТП с М-107А (М-2), которые начались 23 ноября 1943 (148,29).</w:t>
      </w:r>
    </w:p>
    <w:p w14:paraId="10A5073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13848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июне 1944 50 Як-9К с НС-45 передали в корпус г Е.Я.Савицкого на войсковые испытания (263,77).</w:t>
      </w:r>
    </w:p>
    <w:p w14:paraId="55CF1E6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CF4C70" w14:textId="77777777" w:rsidR="001444FD" w:rsidRPr="007224C3" w:rsidRDefault="001444FD" w:rsidP="007224C3">
      <w:pPr>
        <w:shd w:val="clear" w:color="auto" w:fill="FFFFFF"/>
        <w:spacing w:after="0" w:line="240" w:lineRule="auto"/>
        <w:jc w:val="both"/>
        <w:rPr>
          <w:rFonts w:ascii="Times New Roman" w:eastAsia="Times New Roman" w:hAnsi="Times New Roman"/>
          <w:color w:val="000000" w:themeColor="text1"/>
          <w:sz w:val="16"/>
          <w:szCs w:val="16"/>
        </w:rPr>
      </w:pPr>
      <w:r w:rsidRPr="007224C3">
        <w:rPr>
          <w:rFonts w:ascii="Times New Roman" w:eastAsia="Times New Roman" w:hAnsi="Times New Roman"/>
          <w:color w:val="000000" w:themeColor="text1"/>
          <w:sz w:val="16"/>
          <w:szCs w:val="16"/>
        </w:rPr>
        <w:t>В июне 1944 г., т.е. менее чем через год с момента начала работ, 50 самолетов Як-9К (самолеты Як-9Т с пушками  НС-45) поступили в действующую армию. Войсковые испытания пушек НС-45 проходили в боевой обстановке. Бригада инженеров и механиков, в которую входили  Лебедев Г.Н.,  Паперный Б.Г., Лунин С.Г., Беляков В.И. помогала летчикам и техническому персоналу корпуса изучать и эксплуатировать пушку НС-45, обеспечивая с первых дней надежное боевое использование самолетов с этой пушкой.</w:t>
      </w:r>
    </w:p>
    <w:p w14:paraId="7CB41C6E" w14:textId="77777777" w:rsidR="001444FD" w:rsidRPr="007224C3" w:rsidRDefault="001444FD" w:rsidP="007224C3">
      <w:pPr>
        <w:shd w:val="clear" w:color="auto" w:fill="FFFFFF"/>
        <w:spacing w:after="0" w:line="240" w:lineRule="auto"/>
        <w:jc w:val="both"/>
        <w:rPr>
          <w:rFonts w:ascii="Times New Roman" w:eastAsia="Times New Roman" w:hAnsi="Times New Roman"/>
          <w:color w:val="000000" w:themeColor="text1"/>
          <w:sz w:val="16"/>
          <w:szCs w:val="16"/>
        </w:rPr>
      </w:pPr>
      <w:r w:rsidRPr="007224C3">
        <w:rPr>
          <w:rFonts w:ascii="Times New Roman" w:eastAsia="Times New Roman" w:hAnsi="Times New Roman"/>
          <w:color w:val="000000" w:themeColor="text1"/>
          <w:sz w:val="16"/>
          <w:szCs w:val="16"/>
        </w:rPr>
        <w:t>В отчете о результатах войсковых испытаний самолета Як-9К с мотором ВК-105ПФ, вооруженного пушкой НС-45, в Никопольском истребительном авиационном корпусе генерал-лейтенанта Савицкого Е.Я. сказано: «…освоение самолетов Як-9К и пушки 45 калибра частями корпуса прошло хорошо, так как до получения самолетов Як-9К части корпуса имели в течение 11 месяцев на вооружении самолеты Як-9Т с пушками НС-37, отлично проявившими себя при операциях в Донбассе, Мелитополе, Никополе, Крыму, Севастополе, Витебско-Минской и Вильно-Каунасской операциях и особенно при неоднократных блокировках аэродромов противника в Розенфорде, Курман-Немельге, Валерьяновке,  Б. Токмаке,  Херсонесе,  Сарабусе,  Лепеле, Вильно…»</w:t>
      </w:r>
    </w:p>
    <w:p w14:paraId="24B3AD8F" w14:textId="77777777" w:rsidR="001444FD" w:rsidRPr="007224C3" w:rsidRDefault="001444FD" w:rsidP="007224C3">
      <w:pPr>
        <w:shd w:val="clear" w:color="auto" w:fill="FFFFFF"/>
        <w:spacing w:after="0" w:line="240" w:lineRule="auto"/>
        <w:jc w:val="both"/>
        <w:rPr>
          <w:rFonts w:ascii="Times New Roman" w:eastAsia="Times New Roman" w:hAnsi="Times New Roman"/>
          <w:color w:val="000000" w:themeColor="text1"/>
          <w:sz w:val="16"/>
          <w:szCs w:val="16"/>
        </w:rPr>
      </w:pPr>
      <w:r w:rsidRPr="007224C3">
        <w:rPr>
          <w:rFonts w:ascii="Times New Roman" w:eastAsia="Times New Roman" w:hAnsi="Times New Roman"/>
          <w:color w:val="000000" w:themeColor="text1"/>
          <w:sz w:val="16"/>
          <w:szCs w:val="16"/>
        </w:rPr>
        <w:t>Корпус генерала  Савицкого Е.Я., вооруженный самолетами Як-9Т с пушками НС-37 и Як-9К с пушками НС-45, успешно воевал и закончил бои в Берлине (15979).</w:t>
      </w:r>
    </w:p>
    <w:p w14:paraId="1C161BB2" w14:textId="77777777" w:rsidR="001444FD" w:rsidRPr="007224C3" w:rsidRDefault="001444FD" w:rsidP="007224C3">
      <w:pPr>
        <w:shd w:val="clear" w:color="auto" w:fill="FFFFFF"/>
        <w:spacing w:after="0" w:line="240" w:lineRule="auto"/>
        <w:jc w:val="both"/>
        <w:rPr>
          <w:rFonts w:ascii="Times New Roman" w:eastAsia="Times New Roman" w:hAnsi="Times New Roman"/>
          <w:color w:val="000000" w:themeColor="text1"/>
          <w:sz w:val="16"/>
          <w:szCs w:val="16"/>
        </w:rPr>
      </w:pPr>
    </w:p>
    <w:p w14:paraId="17313FDA" w14:textId="77777777" w:rsidR="00091345" w:rsidRPr="007224C3" w:rsidRDefault="00091345" w:rsidP="007224C3">
      <w:pPr>
        <w:shd w:val="clear" w:color="auto" w:fill="FFFFFF"/>
        <w:spacing w:after="0" w:line="240" w:lineRule="auto"/>
        <w:jc w:val="both"/>
        <w:rPr>
          <w:rFonts w:ascii="Times New Roman" w:eastAsia="Times New Roman" w:hAnsi="Times New Roman"/>
          <w:color w:val="000000" w:themeColor="text1"/>
          <w:sz w:val="16"/>
          <w:szCs w:val="16"/>
        </w:rPr>
      </w:pPr>
      <w:r w:rsidRPr="007224C3">
        <w:rPr>
          <w:rFonts w:ascii="Times New Roman" w:eastAsia="Times New Roman" w:hAnsi="Times New Roman"/>
          <w:color w:val="000000" w:themeColor="text1"/>
          <w:sz w:val="16"/>
          <w:szCs w:val="16"/>
        </w:rPr>
        <w:t>В июне 1944 г., т.е. менее чем через год с момента начала работ, 50 самолетов Як-9К (самолеты Як-9Т с пушками  НС-45) поступили в действующую армию. Войсковые испытания пушек НС-45 проходили в боевой обстановке. Бригада инженеров и механиков, в которую входили  Лебедев Г.Н.,  Паперный Б.Г., Лунин С.Г., Беляков В.И. помогала летчикам и техническому персоналу корпуса изучать и эксплуатировать пушку НС-45, обеспечивая с первых дней надежное боевое использование самолетов с этой пушкой.</w:t>
      </w:r>
    </w:p>
    <w:p w14:paraId="576B4CE9" w14:textId="77777777" w:rsidR="00091345" w:rsidRPr="007224C3" w:rsidRDefault="00091345" w:rsidP="007224C3">
      <w:pPr>
        <w:shd w:val="clear" w:color="auto" w:fill="FFFFFF"/>
        <w:spacing w:after="0" w:line="240" w:lineRule="auto"/>
        <w:jc w:val="both"/>
        <w:rPr>
          <w:rFonts w:ascii="Times New Roman" w:eastAsia="Times New Roman" w:hAnsi="Times New Roman"/>
          <w:color w:val="000000" w:themeColor="text1"/>
          <w:sz w:val="16"/>
          <w:szCs w:val="16"/>
        </w:rPr>
      </w:pPr>
      <w:r w:rsidRPr="007224C3">
        <w:rPr>
          <w:rFonts w:ascii="Times New Roman" w:eastAsia="Times New Roman" w:hAnsi="Times New Roman"/>
          <w:color w:val="000000" w:themeColor="text1"/>
          <w:sz w:val="16"/>
          <w:szCs w:val="16"/>
        </w:rPr>
        <w:t>В отчете о результатах войсковых испытаний самолета Як-9К с мотором ВК-105ПФ, вооруженного пушкой НС-45, в Никопольском истребительном авиационном корпусе генерал-лейтенанта Савицкого Е.Я. сказано: «…освоение самолетов Як-9К и пушки 45 калибра частями корпуса прошло хорошо, так как до получения самолетов Як-9К части корпуса имели в течение 11 месяцев на вооружении самолеты Як-9Т с пушками НС-37, отлично проявившими себя при операциях в Донбассе, Мелитополе, Никополе, Крыму, Севастополе, Витебско-Минской и Вильно-Каунасской операциях и особенно при неоднократных блокировках аэродромов противника в Розенфорде, Курман-Немельге, Валерьяновке,  Б. Токмаке,  Херсонесе,  Сарабусе,  Лепеле, Вильно…»</w:t>
      </w:r>
    </w:p>
    <w:p w14:paraId="4A7261C2" w14:textId="77777777" w:rsidR="00091345" w:rsidRPr="007224C3" w:rsidRDefault="00091345" w:rsidP="007224C3">
      <w:pPr>
        <w:shd w:val="clear" w:color="auto" w:fill="FFFFFF"/>
        <w:spacing w:after="0" w:line="240" w:lineRule="auto"/>
        <w:jc w:val="both"/>
        <w:rPr>
          <w:rFonts w:ascii="Times New Roman" w:eastAsia="Times New Roman" w:hAnsi="Times New Roman"/>
          <w:color w:val="000000" w:themeColor="text1"/>
          <w:sz w:val="16"/>
          <w:szCs w:val="16"/>
        </w:rPr>
      </w:pPr>
      <w:r w:rsidRPr="007224C3">
        <w:rPr>
          <w:rFonts w:ascii="Times New Roman" w:eastAsia="Times New Roman" w:hAnsi="Times New Roman"/>
          <w:color w:val="000000" w:themeColor="text1"/>
          <w:sz w:val="16"/>
          <w:szCs w:val="16"/>
        </w:rPr>
        <w:t>Корпус генерала  Савицкого Е.Я., вооруженный самолетами Як-9Т с пушками НС-37 и Як-9К с пушками НС-45, успешно воевал и закончил бои в Берлине (15979).</w:t>
      </w:r>
    </w:p>
    <w:p w14:paraId="211D2486" w14:textId="77777777" w:rsidR="00091345" w:rsidRPr="007224C3" w:rsidRDefault="00091345" w:rsidP="007224C3">
      <w:pPr>
        <w:shd w:val="clear" w:color="auto" w:fill="FFFFFF"/>
        <w:spacing w:after="0" w:line="240" w:lineRule="auto"/>
        <w:jc w:val="both"/>
        <w:rPr>
          <w:rFonts w:ascii="Times New Roman" w:eastAsia="Times New Roman" w:hAnsi="Times New Roman"/>
          <w:color w:val="000000" w:themeColor="text1"/>
          <w:sz w:val="16"/>
          <w:szCs w:val="16"/>
        </w:rPr>
      </w:pPr>
    </w:p>
    <w:p w14:paraId="760EE25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С июня 1944 Ла-7 начали осваивать и горьковские самолётостроители. Полностью переход завода № 21 с Ла-5ФН на Ла-7 завершился в ноябре. Здесь производственники именовали Ла-7 "типом 45"; с этого сочетания цифр начинались их серийные номера. В Горьком счёт серий повели по новой, а в Москве продолжили нумерацию серий Ла-5ФН. </w:t>
      </w:r>
    </w:p>
    <w:p w14:paraId="340F517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Серийные Ла-7 имели много отличий от Ла-5ФН. Переделка носка центроплана дала возможность выдержать один и тот же аэродинамический профиль по всему размаху. Это уменьшило аэродинамическое сопротивление и немного подняло подъёмную силу. Зализ центроплана теперь изготавливали полностью из металла, с каркасом из профилей и обшивкой из листа. Деревянную обшивку под ним ликвидировали.</w:t>
      </w:r>
    </w:p>
    <w:p w14:paraId="4AB5454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фонаре кабины предусмотрели противокапотажную раму, в которую вставлялось бронестекло, защищавшее пилота сзади. Переднее бронестекло выполнили сплошным, из единого куска. Прицел сместили на 30 мм вниз.</w:t>
      </w:r>
    </w:p>
    <w:p w14:paraId="272FA91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Существенно изменилась мотоустановка - в ней использовали все новинки, опробованные на экспериментальных машинах. Воздух для нагнетателя забирался через окна в носке центроплана слева и справа от фюзеляжа; от них шли симметричные рукава наверх, соединявшиеся далее в один. Ликвидация характерного для Ла-5ФН короба над капотом мотора улучшила обзор из пилотской кабины вперёд. Боковые створки, регулировавшие выпуск воздуха, охлаждавшего двигатель, укоротили по высоте и сместили вверх. Это устранило срыв потока с центроплана при полностью открытых створках и благоприятно сказалось на скороподъёмности и манёвренности самолёта. Вместо прежних 10 выхлопных патрубков сделали 14 - по одному на цилиндр; но лишь пять из них находились под регулирующей створкой.</w:t>
      </w:r>
    </w:p>
    <w:p w14:paraId="6A7660D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Улучшили подгонку дефлекторов мотора АШ-82ФН. Храповик для автостартёра на втулке винта убрали, двигатель запускался только сжатым воздухом. Маслорадиатор располагался под фюзеляжем за шпангоутом № 5 в профилированном канале и был тщательно закапотирован снаружи. На стыке его с фюзеляжем был сделан желобок (слив) для предотвращения срыва пограничного слоя воздуха на нижней поверхности фюзеляжа. В противном случае воздействие срыва уменьшило бы эффективность радиатора примерно на 20%.</w:t>
      </w:r>
    </w:p>
    <w:p w14:paraId="5A6F277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Основные стойки шасси удлинили на 80 мм, а хвостовую, наоборот, укоротили. Это увеличило противокапотажный угол. Теперь можно было более резко давать газ на взлёте и энергичнее тормозить на посадке. Щитки, закреплённые на фюзеляже, при убранном шасси полностью закрывали нижнюю часть колёс основных стоек, улучшая аэродинамику. Механизм уборки костыльного колеса усовершенствовали. Костыль уже не складывался самопроизвольно на посадке и не выпадал в полёте, как у Ла-5ФН.</w:t>
      </w:r>
    </w:p>
    <w:p w14:paraId="754A2C5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Уменьшили щели между рулями высоты и стабилизатором, а также между рулём направления и килем. Управление рулём высоты облегчили путём увеличения аэродинамической компенсации руля и изменением передаточного отношения от ручки. Сама ручка лишилась "баранки" сверху.</w:t>
      </w:r>
    </w:p>
    <w:p w14:paraId="3993E83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кабине перекомпоновали приборную доску, снабдили её ультрафиолетовой подсветкой. Шкалы приборов, нарисованные специальной краской, теперь светились в темноте при включении невидимой для глаз лётчика лампы. Радиостанцию сместили назад, расположив её за бронеспинкой пилотского кресла; управлялась она дистанционно. Герметизацию кабины улучшили, особенно по шпангоуту № 1, отделяющему её от мотоустановки.</w:t>
      </w:r>
    </w:p>
    <w:p w14:paraId="7A403AF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Кроме того, различные изменения внесли в бензосистему, герметизацию отдельных узлов, улучшили подгонку лючков, поставили обтекатели в местах вырезов под кронштейны рулей.</w:t>
      </w:r>
    </w:p>
    <w:p w14:paraId="0D228C9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Серийные истребители имели более низкие лётные данные, чем "эталон". Это выявилось на испытаниях машины из головной серии в НИИ ВВС в августе 1944 г. Месяц спустя туда же на контрольные испытания прибыл ещё один Ла-7. Ни один из двух не смог развить скорость более 658 км/ч. Помимо недобора скорости, недостатками сочли перегрев двигателя при длительном наборе высоты и стабильно высокую температуру в кабине.</w:t>
      </w:r>
    </w:p>
    <w:p w14:paraId="017850B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Практически те же нарекания были высказаны в ходе войсковых испытаний в сентябре-октябре 1944 г. Участвовавшие в них самолёты (и московские, и горьковские, выпущенные в июне - августе того же года) развивали максимальную скорость у земли на номинальном режиме работы мотора 578 км/ч, а на форсаже - 644 км/ч, на 2-й границе высотности (5900 м) - 658 км/ч. Время набора высоты 5000 м составляло 4,95 мин, а виража на высоте 1000 м - 20 с, набор высоты в боевом развороте равнялся 1400 м. Получалось, что по всем лётным данным серийные машины существенно уступали "эталону 1944 г.". Лётчики жаловались на жару в кабине, плохую вентиляцию, слишком тугое управление рулём поворота. Эти недостатки удалось устранить значительно позже, практически перед снятием истребителя с производства (11986).</w:t>
      </w:r>
    </w:p>
    <w:p w14:paraId="7FBCC6A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81EF162" w14:textId="77777777" w:rsidR="00E20115" w:rsidRPr="007224C3" w:rsidRDefault="00E2011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июне 1944 г. первые серийные Ла-7 поступили в «маршальский» 19-й ГИАП, 24 ию</w:t>
      </w:r>
      <w:r w:rsidRPr="007224C3">
        <w:rPr>
          <w:rFonts w:ascii="Times New Roman" w:hAnsi="Times New Roman"/>
          <w:color w:val="000000" w:themeColor="text1"/>
          <w:sz w:val="16"/>
          <w:szCs w:val="16"/>
        </w:rPr>
        <w:softHyphen/>
        <w:t>ня состоялся боевой дебют в ходе операции «Багратион» (освобождение Белоруссии) (15829).</w:t>
      </w:r>
    </w:p>
    <w:p w14:paraId="261EF879" w14:textId="77777777" w:rsidR="00E20115" w:rsidRPr="007224C3" w:rsidRDefault="00E20115" w:rsidP="007224C3">
      <w:pPr>
        <w:spacing w:after="0" w:line="240" w:lineRule="auto"/>
        <w:jc w:val="both"/>
        <w:rPr>
          <w:rFonts w:ascii="Times New Roman" w:hAnsi="Times New Roman"/>
          <w:color w:val="000000" w:themeColor="text1"/>
          <w:sz w:val="16"/>
          <w:szCs w:val="16"/>
        </w:rPr>
      </w:pPr>
    </w:p>
    <w:p w14:paraId="0D2EF27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июне 1944 года первые серий</w:t>
      </w:r>
      <w:r w:rsidRPr="007224C3">
        <w:rPr>
          <w:rFonts w:ascii="Times New Roman" w:hAnsi="Times New Roman"/>
          <w:color w:val="000000" w:themeColor="text1"/>
          <w:sz w:val="16"/>
          <w:szCs w:val="16"/>
        </w:rPr>
        <w:softHyphen/>
        <w:t>ные Ла-7 поступили в «маршальский» 19-й ГИАП, где 24 июня состоялся их боевой дебют при проведении опе</w:t>
      </w:r>
      <w:r w:rsidRPr="007224C3">
        <w:rPr>
          <w:rFonts w:ascii="Times New Roman" w:hAnsi="Times New Roman"/>
          <w:color w:val="000000" w:themeColor="text1"/>
          <w:sz w:val="16"/>
          <w:szCs w:val="16"/>
        </w:rPr>
        <w:softHyphen/>
        <w:t>рации «Багратион» - освобождение Белоруссии. Официальные войсковые испыта</w:t>
      </w:r>
      <w:r w:rsidRPr="007224C3">
        <w:rPr>
          <w:rFonts w:ascii="Times New Roman" w:hAnsi="Times New Roman"/>
          <w:color w:val="000000" w:themeColor="text1"/>
          <w:sz w:val="16"/>
          <w:szCs w:val="16"/>
        </w:rPr>
        <w:softHyphen/>
        <w:t>ния Ла-7 состоялись несколько поз</w:t>
      </w:r>
      <w:r w:rsidRPr="007224C3">
        <w:rPr>
          <w:rFonts w:ascii="Times New Roman" w:hAnsi="Times New Roman"/>
          <w:color w:val="000000" w:themeColor="text1"/>
          <w:sz w:val="16"/>
          <w:szCs w:val="16"/>
        </w:rPr>
        <w:softHyphen/>
        <w:t>же в 63-м ГИАП (командир Герой Советского Союза гв. подполковник Горбатюк Е.М.) 3-й ГИАД 1-го ГИАК. Дивизией командовал в то время гв. полковник В.И. Сталин, вернувшийся после опалы в боевой состав ВВС КА (10730).</w:t>
      </w:r>
    </w:p>
    <w:p w14:paraId="5D18245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36A2B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июне 1944 был построен И-225 N 0 МиГ с АМ-42 непосредственно на базе И-220 (1084,48).</w:t>
      </w:r>
    </w:p>
    <w:p w14:paraId="050C945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A42D0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июне 1944 года в письме Зам. Наркома авиапрома А.С.Яковлева, датированным со ссылкой на приказ НКАП №328 от 6 июня 1944 года, П.О.Сухому предлагалось в месячный срок «разработать и представить эскизный проект высот</w:t>
      </w:r>
      <w:r w:rsidRPr="007224C3">
        <w:rPr>
          <w:rFonts w:ascii="Times New Roman" w:hAnsi="Times New Roman"/>
          <w:color w:val="000000" w:themeColor="text1"/>
          <w:sz w:val="16"/>
          <w:szCs w:val="16"/>
        </w:rPr>
        <w:softHyphen/>
        <w:t>ного истребителя со следующими данными:</w:t>
      </w:r>
    </w:p>
    <w:p w14:paraId="0B60E27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Практический потолок -15000 м;</w:t>
      </w:r>
    </w:p>
    <w:p w14:paraId="1EDDCEB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Рабочая высота барражирова</w:t>
      </w:r>
      <w:r w:rsidRPr="007224C3">
        <w:rPr>
          <w:rFonts w:ascii="Times New Roman" w:hAnsi="Times New Roman"/>
          <w:color w:val="000000" w:themeColor="text1"/>
          <w:sz w:val="16"/>
          <w:szCs w:val="16"/>
        </w:rPr>
        <w:softHyphen/>
        <w:t>ния на которой самолет должен об</w:t>
      </w:r>
      <w:r w:rsidRPr="007224C3">
        <w:rPr>
          <w:rFonts w:ascii="Times New Roman" w:hAnsi="Times New Roman"/>
          <w:color w:val="000000" w:themeColor="text1"/>
          <w:sz w:val="16"/>
          <w:szCs w:val="16"/>
        </w:rPr>
        <w:softHyphen/>
        <w:t>ладать вертикальной скоростью не менее 4м/с - 14000 м;</w:t>
      </w:r>
    </w:p>
    <w:p w14:paraId="3E50459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Время барражирования на вы</w:t>
      </w:r>
      <w:r w:rsidRPr="007224C3">
        <w:rPr>
          <w:rFonts w:ascii="Times New Roman" w:hAnsi="Times New Roman"/>
          <w:color w:val="000000" w:themeColor="text1"/>
          <w:sz w:val="16"/>
          <w:szCs w:val="16"/>
        </w:rPr>
        <w:softHyphen/>
        <w:t>соте 14000 м не менее - 1,5 час;</w:t>
      </w:r>
    </w:p>
    <w:p w14:paraId="288B203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 скорость на Н= 13000-14000 м - 670 км/ч;</w:t>
      </w:r>
    </w:p>
    <w:p w14:paraId="7C5F3D0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Вооружение: одна 20-мм пушка с боезапасом 120 патронов. На самолете предусмотреть возмож</w:t>
      </w:r>
      <w:r w:rsidRPr="007224C3">
        <w:rPr>
          <w:rFonts w:ascii="Times New Roman" w:hAnsi="Times New Roman"/>
          <w:color w:val="000000" w:themeColor="text1"/>
          <w:sz w:val="16"/>
          <w:szCs w:val="16"/>
        </w:rPr>
        <w:softHyphen/>
        <w:t>ность установки второй пушки того же калибра и с тем же боезапа</w:t>
      </w:r>
      <w:r w:rsidRPr="007224C3">
        <w:rPr>
          <w:rFonts w:ascii="Times New Roman" w:hAnsi="Times New Roman"/>
          <w:color w:val="000000" w:themeColor="text1"/>
          <w:sz w:val="16"/>
          <w:szCs w:val="16"/>
        </w:rPr>
        <w:softHyphen/>
        <w:t>сом.</w:t>
      </w:r>
    </w:p>
    <w:p w14:paraId="6CB478E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проектировании самолета необходимо удовлетворить в пер</w:t>
      </w:r>
      <w:r w:rsidRPr="007224C3">
        <w:rPr>
          <w:rFonts w:ascii="Times New Roman" w:hAnsi="Times New Roman"/>
          <w:color w:val="000000" w:themeColor="text1"/>
          <w:sz w:val="16"/>
          <w:szCs w:val="16"/>
        </w:rPr>
        <w:softHyphen/>
        <w:t>вую очередь требования по потол</w:t>
      </w:r>
      <w:r w:rsidRPr="007224C3">
        <w:rPr>
          <w:rFonts w:ascii="Times New Roman" w:hAnsi="Times New Roman"/>
          <w:color w:val="000000" w:themeColor="text1"/>
          <w:sz w:val="16"/>
          <w:szCs w:val="16"/>
        </w:rPr>
        <w:softHyphen/>
        <w:t>ку и времени барражирования, яв</w:t>
      </w:r>
      <w:r w:rsidRPr="007224C3">
        <w:rPr>
          <w:rFonts w:ascii="Times New Roman" w:hAnsi="Times New Roman"/>
          <w:color w:val="000000" w:themeColor="text1"/>
          <w:sz w:val="16"/>
          <w:szCs w:val="16"/>
        </w:rPr>
        <w:softHyphen/>
        <w:t>ляющимися основными в данном за</w:t>
      </w:r>
      <w:r w:rsidRPr="007224C3">
        <w:rPr>
          <w:rFonts w:ascii="Times New Roman" w:hAnsi="Times New Roman"/>
          <w:color w:val="000000" w:themeColor="text1"/>
          <w:sz w:val="16"/>
          <w:szCs w:val="16"/>
        </w:rPr>
        <w:softHyphen/>
        <w:t>дании».</w:t>
      </w:r>
    </w:p>
    <w:p w14:paraId="628FF80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Какой-либо информации о ра</w:t>
      </w:r>
      <w:r w:rsidRPr="007224C3">
        <w:rPr>
          <w:rFonts w:ascii="Times New Roman" w:hAnsi="Times New Roman"/>
          <w:color w:val="000000" w:themeColor="text1"/>
          <w:sz w:val="16"/>
          <w:szCs w:val="16"/>
        </w:rPr>
        <w:softHyphen/>
        <w:t>боте над данным проектом не об</w:t>
      </w:r>
      <w:r w:rsidRPr="007224C3">
        <w:rPr>
          <w:rFonts w:ascii="Times New Roman" w:hAnsi="Times New Roman"/>
          <w:color w:val="000000" w:themeColor="text1"/>
          <w:sz w:val="16"/>
          <w:szCs w:val="16"/>
        </w:rPr>
        <w:softHyphen/>
        <w:t>наружено (11754).</w:t>
      </w:r>
    </w:p>
    <w:p w14:paraId="482B465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F354B1F" w14:textId="77777777" w:rsidR="00743BEA" w:rsidRPr="007224C3" w:rsidRDefault="00743BE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июне 1944 года в письме Зам. Наркома авиапрома А.С. Яковлева, со ссылкой на приказ НКАП №328 от 6 июня 1944 года, П.О. Сухому предлагалось в месячный срок «разработать и представить эскизный проект высотного истребителя со следующими данными:</w:t>
      </w:r>
    </w:p>
    <w:p w14:paraId="7A8FB8DA" w14:textId="77777777" w:rsidR="00743BEA" w:rsidRPr="007224C3" w:rsidRDefault="00743BE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Практический потолок -15000 м;</w:t>
      </w:r>
    </w:p>
    <w:p w14:paraId="76B3862B" w14:textId="77777777" w:rsidR="00743BEA" w:rsidRPr="007224C3" w:rsidRDefault="00743BE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Рабочая высота барражирования на которой самолет должен обладать вертикальной скоростью не менее 4м/с - 14000 м;</w:t>
      </w:r>
    </w:p>
    <w:p w14:paraId="602F0CF1" w14:textId="77777777" w:rsidR="00743BEA" w:rsidRPr="007224C3" w:rsidRDefault="00743BE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Время барражирования но высоте 14000 м не менее - 1,5 час;</w:t>
      </w:r>
    </w:p>
    <w:p w14:paraId="081053FE" w14:textId="77777777" w:rsidR="00743BEA" w:rsidRPr="007224C3" w:rsidRDefault="00743BE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 скорость на Н=13000-14000 м - 670 км/ч;</w:t>
      </w:r>
    </w:p>
    <w:p w14:paraId="7572F3F6" w14:textId="77777777" w:rsidR="00743BEA" w:rsidRPr="007224C3" w:rsidRDefault="00743BE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Вооружение: одна 20-мм пушка с боезапасом 120 патронов. На самолете предусмотреть возможность установки второй пушки того же калибра и с тем же боезапасом.</w:t>
      </w:r>
    </w:p>
    <w:p w14:paraId="56062984" w14:textId="77777777" w:rsidR="00743BEA" w:rsidRPr="007224C3" w:rsidRDefault="00743BEA"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проектировании самолета необходимо удовлетворить в первую очередь требования по потолку и времени барражирования, являющимися основными в данном задании» (15578).</w:t>
      </w:r>
    </w:p>
    <w:p w14:paraId="45737E40" w14:textId="77777777" w:rsidR="00743BEA" w:rsidRPr="007224C3" w:rsidRDefault="00743BEA" w:rsidP="007224C3">
      <w:pPr>
        <w:spacing w:after="0" w:line="240" w:lineRule="auto"/>
        <w:jc w:val="both"/>
        <w:rPr>
          <w:rFonts w:ascii="Times New Roman" w:hAnsi="Times New Roman"/>
          <w:color w:val="000000" w:themeColor="text1"/>
          <w:sz w:val="16"/>
          <w:szCs w:val="16"/>
        </w:rPr>
      </w:pPr>
    </w:p>
    <w:p w14:paraId="7ABF3A2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июне 1944 в НИИ ВВС или ЛИИ испытывали Аэрокобру P-39Q-15 с Аллисон V-1710-85 (173,245).</w:t>
      </w:r>
    </w:p>
    <w:p w14:paraId="152719B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12BE87"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июне 1944 г. американские перегонщики доставили в Фэрбенкс первые «кин-гкобры» и начали учить на них советских лётчиков. На Аляске готовили только командиров эскадрилий перегоночной дивизии, остальные пилоты осваивали новые истребители прямо в полках. В Якутске за 11 дней подготовили 50 человек, ранее летавших на бомбардировщиках А-20. Вскоре Р-63 полетели по трассе АЛСИБа на Красноярск.</w:t>
      </w:r>
    </w:p>
    <w:p w14:paraId="2223FF3C"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Не всегда всё шло гладко. Одна из первых партий истребителей целиком была забракована советской военной приёмкой в Фэрбенксе из-за дефектов маслора диаторов и возвращена на доработку. В октябре 1944 г. все следовавшие по американской части трассы «кингкобры» были задержаны для спешного выполнения работ по усилению хвоста, для чего срочно мобилизовали механиков гражданской авиации во всех соседних аэропортах, причём не только американских, но и канадских. Всего доработали 233 истребителя. Те же машины, что успели «перебраться» через границу, впоследствии переделывали уже на рембазах советских ВВС по рекомендациям, разработанным ЦАГИ. Центровка самолёта при этом менялась незначительно, поскольку одновременно снималась бронеплита за маслобаком, весившая 16 кг.</w:t>
      </w:r>
    </w:p>
    <w:p w14:paraId="5A03717E"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концу 1944 г. «кингкобр» шло по трассе уже больше, чем Р-39. До конца года на Аляске получили 831 машину, из них 584 успели долететь до Красноярска (из них числятся принятыми 580). На советской территории тоже случались потери. Например, 24 декабря 1944 г. майор Н.М. Семченко (в некоторых документах- Сенченко) разбился на первом участке трассы, недалеко от Нома. В сильный снегопад он потерял ориентацию и врезался в землю.</w:t>
      </w:r>
    </w:p>
    <w:p w14:paraId="5125E0AA"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введением нового истребителя в боевой строй не торопились. Советская авиация уже не страдала от острой нехватки техники, выпуск её на отечественных заводах постоянно возрастал. Памятуя о дефектах «Аэрокобры», её наследницу хотели сначала тщательно изучить. В НИИ ВВС и ЛИИ НКАП с конца 1944 г. по март 1945 г. последовательно облётывались машины серий А-1, А-5, А-7 и А-10 (12265).</w:t>
      </w:r>
    </w:p>
    <w:p w14:paraId="3528B732" w14:textId="77777777" w:rsidR="000340E9" w:rsidRPr="007224C3" w:rsidRDefault="000340E9" w:rsidP="007224C3">
      <w:pPr>
        <w:spacing w:after="0" w:line="240" w:lineRule="auto"/>
        <w:jc w:val="both"/>
        <w:rPr>
          <w:rFonts w:ascii="Times New Roman" w:hAnsi="Times New Roman"/>
          <w:color w:val="000000" w:themeColor="text1"/>
          <w:sz w:val="16"/>
          <w:szCs w:val="16"/>
        </w:rPr>
      </w:pPr>
    </w:p>
    <w:p w14:paraId="7608C00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июне 1944 года 30-е полевые авиаремонтные мастерские изготовили специальный двухместный вариант "Киттихаука" - легкий бомбардировщик. Во второй кабине, оборудованной сзади основной, сидел штурман-бомбардир с бомбовым прицелом. Самолет мог использоваться н как лидер для групп одноместных истребителей. Но эта машина так н осталась опытным образцом. Возможность использования этих машин в качестве легких дневных бомбардировщиков казалась особенно актуальной в 1942 году, когда в связи с нехваткой на фронте бомбардировочной авиации появился даже специальный приказ наркома обороны "О применении истребительной авиации на поле боя в качестве дневных бомбардировщиков". Иногда возможности "Киттихаука" как штурмовика увеличивали подвеской реактивных снарядов - по два PC.-82 под каждое крыло, как на "Томагауке". Истребители "Кертисс" Р-40, дооборудованные фотоаппаратами АФА-И, летали и как фоторазведчики. Они эксплуатировались в одной из эскадрилий 118-го отдельного разведывательного авиаполка, где были признаны наиболее подходящими для такой работы наряду со "Спитфайром" и к концу 1944 года полностью вытеснили "Харрикейны", "Аэрокобры", Як-1 и ЛаГГ-3. "Киттихауки" вели разведку и над сушей, и над морем. В частности, они внесли большой вклад в подготовку Печенгско-Киркенесской операции, действуя с передового аэродрома Пумманки (3457,67).</w:t>
      </w:r>
    </w:p>
    <w:p w14:paraId="48BC5FC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B24F6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июне 1944 г. на И-224 испытывался АМ-39Б (АМ-39Б-ТК), 1580/1890 л.с., вариант предыдущего типа с двумя турбонагнетателями ТК-300Б и воздухо-воздушным интеркуле</w:t>
      </w:r>
      <w:r w:rsidRPr="007224C3">
        <w:rPr>
          <w:rFonts w:ascii="Times New Roman" w:hAnsi="Times New Roman"/>
          <w:color w:val="000000" w:themeColor="text1"/>
          <w:sz w:val="16"/>
          <w:szCs w:val="16"/>
        </w:rPr>
        <w:softHyphen/>
        <w:t>ром (11852).</w:t>
      </w:r>
    </w:p>
    <w:p w14:paraId="3C9CBF3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45F8B0C" w14:textId="77777777" w:rsidR="00E20115" w:rsidRPr="007224C3" w:rsidRDefault="00E2011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июне 1944 г., после завершения доводочных работ, с присвоением ему шифра НП-У-2 (НКПБ-8) Главным инженером ВВС РККА генералом А. И. Репиным был утвержден для установки на У-2ВС. НКПБ-8 обеспечивал бомбардирование с горизонтального полета на скоростях 30-200 км/ч в диапазоне углов прицеливания от +85° до 0°. При этом угол прицеливания определялся для высот от 50 до 500 м (15142).</w:t>
      </w:r>
    </w:p>
    <w:p w14:paraId="406639CE" w14:textId="77777777" w:rsidR="00E20115" w:rsidRPr="007224C3" w:rsidRDefault="00E20115" w:rsidP="007224C3">
      <w:pPr>
        <w:spacing w:after="0" w:line="240" w:lineRule="auto"/>
        <w:jc w:val="both"/>
        <w:rPr>
          <w:rFonts w:ascii="Times New Roman" w:hAnsi="Times New Roman"/>
          <w:color w:val="000000" w:themeColor="text1"/>
          <w:sz w:val="16"/>
          <w:szCs w:val="16"/>
        </w:rPr>
      </w:pPr>
    </w:p>
    <w:p w14:paraId="2CC463A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июне 1944 г., согласно совместному приказу по НКВД и НКАП, на заводе № 16 организуется КБ-РД с непосредственным подчинением директору завода и начальнику 4-го спецотдела НКВД СССР. Начальником опытного производства по ракетным двигателям и и.о. начальника КБ-РД назначается Артамонов Н.Н., главным конструктором КБ-РД остается Глушко. В 1944 г. в конструкторском бюро при заводе ведутся работы не только над РД-1, но и РД-2 (12049).</w:t>
      </w:r>
    </w:p>
    <w:p w14:paraId="052F28D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D3EF55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июне 1944 на 1-м УФ испытали конструкцуию, названную летающая торпеда (ЛТ-6). М-13 использовались для переноски 70-80 кг ВВ на расстояние 1 км для устройства проходов в заграждениях, поражения дивой силы, разрушения ДОТ. Применялись в Львовско-Сандомирской операции 60-й и 38-й армиями (5484,566).</w:t>
      </w:r>
    </w:p>
    <w:p w14:paraId="73578CC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C1B8A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 июня 1944 года завод № 2 Оргавиапрома, будущий завод № 491, являлся ведомственным и именовался 2-й инструментальный завод Оргавиапрома НКАП. По решению Правительства, приказом по НКАП от 1 июня 1944 года за № 377 завод передан в управление оборудования НКАП и стал именоваться завод № 491.</w:t>
      </w:r>
    </w:p>
    <w:p w14:paraId="22D5448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Завод № 491 ГКАТ, в основном, имеет профиль мелкосерийного и индивидуального спецстанкостроения и притом завод имеет свое КБ, которое производит опытное конструирование новых видов станков и машин, необходимых авиапромышленности.</w:t>
      </w:r>
    </w:p>
    <w:p w14:paraId="6AB26D1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Директора: С июня 1943 года по 30 мая 1946 года – Поленов П.С. С 30 мая 1946 года – Панков И.А.</w:t>
      </w:r>
    </w:p>
    <w:p w14:paraId="5A1021B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Директор – Панков</w:t>
      </w:r>
    </w:p>
    <w:p w14:paraId="37E9A87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Адрес: Кимры Калининской области, п/я 4 (9858).</w:t>
      </w:r>
    </w:p>
    <w:p w14:paraId="19EFDDC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1BF64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июне 1944 года приказом № 377с завод № 6 Оргавиапрома, эвакуированный в октябре 1941 из Москвы в Кемерово, был переименован в завод № 493 МАП.</w:t>
      </w:r>
    </w:p>
    <w:p w14:paraId="25C3091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основании решения Совнаркома от 12 июня 1945 года за № 3154с, завод в августе 1945 года перебазировался из Кемерово в Ржев Калининской области на площадку бывш. завода № 307 МАП. Перебазировка повлекла за собой восстановление и реконструкцию бывш. завода № 307.</w:t>
      </w:r>
    </w:p>
    <w:p w14:paraId="464052E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основании приказа МАП за № 376с от 16 ноября профиль завода определен на выпуск сварочного оборудования для сварки нержавеющей, жаропрочных сталей и алюминиевых сплавов корпусов ракет и самолетов, а также электроэрозионного оборудования и индукционных плавильных печей для алюминиевых и магниевых сплавов.</w:t>
      </w:r>
    </w:p>
    <w:p w14:paraId="2CBA484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Адрес: Ржев Калининской области</w:t>
      </w:r>
    </w:p>
    <w:p w14:paraId="0174BBF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Производственный профиль – создание и изготовление сварочной аппаратуры в среде защитных газов (9860).</w:t>
      </w:r>
    </w:p>
    <w:p w14:paraId="765CC91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9ADAE2" w14:textId="77777777" w:rsidR="001444FD" w:rsidRPr="007224C3" w:rsidRDefault="001444FD" w:rsidP="007224C3">
      <w:pPr>
        <w:pStyle w:val="a3"/>
        <w:rPr>
          <w:color w:val="000000" w:themeColor="text1"/>
          <w:lang w:val="ru-RU"/>
        </w:rPr>
      </w:pPr>
      <w:r w:rsidRPr="007224C3">
        <w:rPr>
          <w:rStyle w:val="1d"/>
          <w:rFonts w:ascii="Times New Roman" w:hAnsi="Times New Roman" w:cs="Times New Roman"/>
          <w:b w:val="0"/>
          <w:color w:val="000000" w:themeColor="text1"/>
          <w:sz w:val="16"/>
          <w:szCs w:val="16"/>
          <w:lang w:val="ru-RU"/>
        </w:rPr>
        <w:t>В</w:t>
      </w:r>
      <w:r w:rsidRPr="007224C3">
        <w:rPr>
          <w:color w:val="000000" w:themeColor="text1"/>
          <w:lang w:val="ru-RU"/>
        </w:rPr>
        <w:t>июне 1944 г. итог этой эпопеи, связанной с попыткой «авиационных» членов Академии улучшить координацию проводившихся в стране работ, связанных с авиационной тематикой, подвели в ЦК ВКП(б). Отдел науки Агитпропа ЦК под</w:t>
      </w:r>
      <w:r w:rsidRPr="007224C3">
        <w:rPr>
          <w:color w:val="000000" w:themeColor="text1"/>
          <w:lang w:val="ru-RU"/>
        </w:rPr>
        <w:softHyphen/>
        <w:t>готовил специальную записку на имя секретаря ЦК Г.М. Маленкова, курировавшего авиацию. В ней говорилось: «В связи с последними выборами 1943 года в отделении технических наук Академии Наук СССР значительно усилился состав академиков и членов-корреспондентов. непосредственно связанных с авиационной промышленностью. Под влиянием этой группы ученых отделение технических наук АН возбудило перед] Президиумом АН вопрос об организации в системе Академии Наук секции авиации., Эта секция мыслилась не только как научно-исследовательская организация, но и как' руководящий центр, координирующий всю научно-исследовательскую работу в обла</w:t>
      </w:r>
      <w:r w:rsidRPr="007224C3">
        <w:rPr>
          <w:color w:val="000000" w:themeColor="text1"/>
          <w:lang w:val="ru-RU"/>
        </w:rPr>
        <w:softHyphen/>
        <w:t>сти авиации в стране. В основном документе — проекте Положения о секции авиации — задачи её формулировались следующим образом:</w:t>
      </w:r>
    </w:p>
    <w:p w14:paraId="2FCBF495" w14:textId="77777777" w:rsidR="001444FD" w:rsidRPr="007224C3" w:rsidRDefault="001444FD" w:rsidP="007224C3">
      <w:pPr>
        <w:pStyle w:val="a3"/>
        <w:rPr>
          <w:color w:val="000000" w:themeColor="text1"/>
          <w:lang w:val="ru-RU"/>
        </w:rPr>
      </w:pPr>
      <w:r w:rsidRPr="007224C3">
        <w:rPr>
          <w:color w:val="000000" w:themeColor="text1"/>
          <w:lang w:val="ru-RU"/>
        </w:rPr>
        <w:t>«п. 2. Основной задачей секции является постановка и проведение научных иссле</w:t>
      </w:r>
      <w:r w:rsidRPr="007224C3">
        <w:rPr>
          <w:color w:val="000000" w:themeColor="text1"/>
          <w:lang w:val="ru-RU"/>
        </w:rPr>
        <w:softHyphen/>
        <w:t>дований, способствующих развитию нашей военной и гражданской авиации и КООР</w:t>
      </w:r>
      <w:r w:rsidRPr="007224C3">
        <w:rPr>
          <w:color w:val="000000" w:themeColor="text1"/>
          <w:lang w:val="ru-RU"/>
        </w:rPr>
        <w:softHyphen/>
        <w:t>ДИНАЦИЯ научно-исследовательских работ по проблемам авиации, проводимым в учреждениях Академии Наук СССР, в отраслевых институтах и конструкторских бюро».</w:t>
      </w:r>
    </w:p>
    <w:p w14:paraId="3E72C1DC" w14:textId="77777777" w:rsidR="001444FD" w:rsidRPr="007224C3" w:rsidRDefault="001444FD" w:rsidP="007224C3">
      <w:pPr>
        <w:pStyle w:val="a3"/>
        <w:rPr>
          <w:color w:val="000000" w:themeColor="text1"/>
          <w:lang w:val="ru-RU"/>
        </w:rPr>
      </w:pPr>
      <w:r w:rsidRPr="007224C3">
        <w:rPr>
          <w:color w:val="000000" w:themeColor="text1"/>
          <w:lang w:val="ru-RU"/>
        </w:rPr>
        <w:t>Проект организации секции обсуждался в заседаниях отделения технических наук, на распорядительном заседании Президиума 18 января с.г. и на закрытом заседании пол</w:t>
      </w:r>
      <w:r w:rsidRPr="007224C3">
        <w:rPr>
          <w:color w:val="000000" w:themeColor="text1"/>
          <w:lang w:val="ru-RU"/>
        </w:rPr>
        <w:softHyphen/>
        <w:t>ного Президиума 9 февраля с.г. Правительство информировано о проекте создания сек</w:t>
      </w:r>
      <w:r w:rsidRPr="007224C3">
        <w:rPr>
          <w:color w:val="000000" w:themeColor="text1"/>
          <w:lang w:val="ru-RU"/>
        </w:rPr>
        <w:softHyphen/>
        <w:t>ции авиации в АН. Тов. Вознесенский и тов. Шахурин рекомендовали Президиуму АН секции авиации в АН не создавать. Президиум АН вынес соответствующее решение».</w:t>
      </w:r>
    </w:p>
    <w:p w14:paraId="5383E492" w14:textId="77777777" w:rsidR="001444FD" w:rsidRPr="007224C3" w:rsidRDefault="001444FD" w:rsidP="007224C3">
      <w:pPr>
        <w:pStyle w:val="a3"/>
        <w:rPr>
          <w:color w:val="000000" w:themeColor="text1"/>
          <w:lang w:val="ru-RU"/>
        </w:rPr>
      </w:pPr>
      <w:r w:rsidRPr="007224C3">
        <w:rPr>
          <w:color w:val="000000" w:themeColor="text1"/>
          <w:lang w:val="ru-RU"/>
        </w:rPr>
        <w:t>Далее в записке наносился удар по инициаторам постановки этого вопроса и, глав</w:t>
      </w:r>
      <w:r w:rsidRPr="007224C3">
        <w:rPr>
          <w:color w:val="000000" w:themeColor="text1"/>
          <w:lang w:val="ru-RU"/>
        </w:rPr>
        <w:softHyphen/>
        <w:t>ным образом, по А.А. Микулину:</w:t>
      </w:r>
    </w:p>
    <w:p w14:paraId="05E4921B" w14:textId="77777777" w:rsidR="001444FD" w:rsidRPr="007224C3" w:rsidRDefault="001444FD" w:rsidP="007224C3">
      <w:pPr>
        <w:pStyle w:val="a3"/>
        <w:rPr>
          <w:color w:val="000000" w:themeColor="text1"/>
          <w:lang w:val="ru-RU"/>
        </w:rPr>
      </w:pPr>
      <w:r w:rsidRPr="007224C3">
        <w:rPr>
          <w:color w:val="000000" w:themeColor="text1"/>
          <w:lang w:val="ru-RU"/>
        </w:rPr>
        <w:t>«Однако, независимо от того, что вопрос этот снят, считаем необходимым сообщить Вам о весьма странной аргументации, приводившейся рядом академиков в пользу создания этой секции. Выступления же одного из главных инициаторов постановки этого вопроса акад. А.А. Микулина неправильно рисуют фактическое положение научно-исследователь</w:t>
      </w:r>
      <w:r w:rsidRPr="007224C3">
        <w:rPr>
          <w:color w:val="000000" w:themeColor="text1"/>
          <w:lang w:val="ru-RU"/>
        </w:rPr>
        <w:softHyphen/>
        <w:t>ского дела в области авиации в стране и являются политически сомнительными.</w:t>
      </w:r>
    </w:p>
    <w:p w14:paraId="2CC5B9DA" w14:textId="77777777" w:rsidR="001444FD" w:rsidRPr="007224C3" w:rsidRDefault="001444FD" w:rsidP="007224C3">
      <w:pPr>
        <w:pStyle w:val="a3"/>
        <w:rPr>
          <w:color w:val="000000" w:themeColor="text1"/>
          <w:lang w:val="ru-RU"/>
        </w:rPr>
      </w:pPr>
      <w:r w:rsidRPr="007224C3">
        <w:rPr>
          <w:color w:val="000000" w:themeColor="text1"/>
          <w:lang w:val="ru-RU"/>
        </w:rPr>
        <w:t>Так, акад. А.А. Микулин утверждал, будто у нас, в СССР, имеется меньше возможностей для работы конструкторов в области авиационного машиностроения, чем за границей».</w:t>
      </w:r>
    </w:p>
    <w:p w14:paraId="3877A1D5" w14:textId="77777777" w:rsidR="001444FD" w:rsidRPr="007224C3" w:rsidRDefault="001444FD" w:rsidP="007224C3">
      <w:pPr>
        <w:pStyle w:val="1e"/>
        <w:shd w:val="clear" w:color="auto" w:fill="auto"/>
        <w:spacing w:line="240" w:lineRule="auto"/>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lastRenderedPageBreak/>
        <w:t>Далее приводилась выдержка из выступления Микулина, которое цитировалось вы</w:t>
      </w:r>
      <w:r w:rsidRPr="007224C3">
        <w:rPr>
          <w:rFonts w:ascii="Times New Roman" w:hAnsi="Times New Roman" w:cs="Times New Roman"/>
          <w:color w:val="000000" w:themeColor="text1"/>
          <w:sz w:val="16"/>
          <w:szCs w:val="16"/>
        </w:rPr>
        <w:softHyphen/>
        <w:t>ше, с критикой наркоматов и сравнением возможностей зарубежных конструкторов и его конструкторского бюро. В записке отмечалось, что эти высказывания Микулина произносились с трибуны годичного совещания отделения технических наук АН, что он «по поводу, якобы имеющего место тяжелого положения конструкторов отечественно</w:t>
      </w:r>
      <w:r w:rsidRPr="007224C3">
        <w:rPr>
          <w:rFonts w:ascii="Times New Roman" w:hAnsi="Times New Roman" w:cs="Times New Roman"/>
          <w:color w:val="000000" w:themeColor="text1"/>
          <w:sz w:val="16"/>
          <w:szCs w:val="16"/>
        </w:rPr>
        <w:softHyphen/>
        <w:t>го авиамашиностроения... находит нужным апеллировать... к Академии Наук». Далее опять приводилась большая цитата из выступления Микулина об «Академии Наук, как к органу, которому доверяет правительство» и недоверии к наркоматам: «Поэтому я считаю, что наркоматы и Наркомфин в вопросах масштабов несправедливы» …(15789).</w:t>
      </w:r>
    </w:p>
    <w:p w14:paraId="608846B6" w14:textId="77777777" w:rsidR="001444FD" w:rsidRPr="007224C3" w:rsidRDefault="001444FD" w:rsidP="007224C3">
      <w:pPr>
        <w:pStyle w:val="a3"/>
        <w:rPr>
          <w:color w:val="000000" w:themeColor="text1"/>
          <w:lang w:val="ru-RU"/>
        </w:rPr>
      </w:pPr>
    </w:p>
    <w:p w14:paraId="670DA841" w14:textId="77777777" w:rsidR="00091345" w:rsidRPr="007224C3" w:rsidRDefault="00091345" w:rsidP="007224C3">
      <w:pPr>
        <w:pStyle w:val="a3"/>
        <w:rPr>
          <w:color w:val="000000" w:themeColor="text1"/>
          <w:lang w:val="ru-RU"/>
        </w:rPr>
      </w:pPr>
      <w:r w:rsidRPr="007224C3">
        <w:rPr>
          <w:rStyle w:val="1d"/>
          <w:rFonts w:ascii="Times New Roman" w:hAnsi="Times New Roman" w:cs="Times New Roman"/>
          <w:b w:val="0"/>
          <w:color w:val="000000" w:themeColor="text1"/>
          <w:sz w:val="16"/>
          <w:szCs w:val="16"/>
          <w:lang w:val="ru-RU"/>
        </w:rPr>
        <w:t>В</w:t>
      </w:r>
      <w:r w:rsidRPr="007224C3">
        <w:rPr>
          <w:rStyle w:val="1d"/>
          <w:rFonts w:ascii="Times New Roman" w:hAnsi="Times New Roman" w:cs="Times New Roman"/>
          <w:color w:val="000000" w:themeColor="text1"/>
          <w:sz w:val="16"/>
          <w:szCs w:val="16"/>
          <w:lang w:val="ru-RU"/>
        </w:rPr>
        <w:t xml:space="preserve"> </w:t>
      </w:r>
      <w:r w:rsidRPr="007224C3">
        <w:rPr>
          <w:color w:val="000000" w:themeColor="text1"/>
          <w:lang w:val="ru-RU"/>
        </w:rPr>
        <w:t>июне 1944 г. итог этой эпопеи, связанной с попыткой «авиационных» членов Академии улучшить координацию проводившихся в стране работ, связанных с авиационной тематикой, подвели в ЦК ВКП(б). Отдел науки Агитпропа ЦК под</w:t>
      </w:r>
      <w:r w:rsidRPr="007224C3">
        <w:rPr>
          <w:color w:val="000000" w:themeColor="text1"/>
          <w:lang w:val="ru-RU"/>
        </w:rPr>
        <w:softHyphen/>
        <w:t>готовил специальную записку на имя секретаря ЦК Г.М. Маленкова, курировавшего авиацию. В ней говорилось: «В связи с последними выборами 1943 года в отделении технических наук Академии Наук СССР значительно усилился состав академиков и членов-корреспондентов. непосредственно связанных с авиационной промышленностью. Под влиянием этой группы ученых отделение технических наук АН возбудило перед] Президиумом АН вопрос об организации в системе Академии Наук секции авиации., Эта секция мыслилась не только как научно-исследовательская организация, но и как' руководящий центр, координирующий всю научно-исследовательскую работу в обла</w:t>
      </w:r>
      <w:r w:rsidRPr="007224C3">
        <w:rPr>
          <w:color w:val="000000" w:themeColor="text1"/>
          <w:lang w:val="ru-RU"/>
        </w:rPr>
        <w:softHyphen/>
        <w:t>сти авиации в стране. В основном документе — проекте Положения о секции авиации — задачи её формулировались следующим образом:</w:t>
      </w:r>
    </w:p>
    <w:p w14:paraId="11FCB449" w14:textId="77777777" w:rsidR="00091345" w:rsidRPr="007224C3" w:rsidRDefault="00091345" w:rsidP="007224C3">
      <w:pPr>
        <w:pStyle w:val="a3"/>
        <w:rPr>
          <w:color w:val="000000" w:themeColor="text1"/>
          <w:lang w:val="ru-RU"/>
        </w:rPr>
      </w:pPr>
      <w:r w:rsidRPr="007224C3">
        <w:rPr>
          <w:color w:val="000000" w:themeColor="text1"/>
          <w:lang w:val="ru-RU"/>
        </w:rPr>
        <w:t>«п. 2. Основной задачей секции является постановка и проведение научных иссле</w:t>
      </w:r>
      <w:r w:rsidRPr="007224C3">
        <w:rPr>
          <w:color w:val="000000" w:themeColor="text1"/>
          <w:lang w:val="ru-RU"/>
        </w:rPr>
        <w:softHyphen/>
        <w:t>дований, способствующих развитию нашей военной и гражданской авиации и КООР</w:t>
      </w:r>
      <w:r w:rsidRPr="007224C3">
        <w:rPr>
          <w:color w:val="000000" w:themeColor="text1"/>
          <w:lang w:val="ru-RU"/>
        </w:rPr>
        <w:softHyphen/>
        <w:t>ДИНАЦИЯ научно-исследовательских работ по проблемам авиации, проводимым в учреждениях Академии Наук СССР, в отраслевых институтах и конструкторских бюро».</w:t>
      </w:r>
    </w:p>
    <w:p w14:paraId="269D12DD" w14:textId="77777777" w:rsidR="00091345" w:rsidRPr="007224C3" w:rsidRDefault="00091345" w:rsidP="007224C3">
      <w:pPr>
        <w:pStyle w:val="a3"/>
        <w:rPr>
          <w:color w:val="000000" w:themeColor="text1"/>
          <w:lang w:val="ru-RU"/>
        </w:rPr>
      </w:pPr>
      <w:r w:rsidRPr="007224C3">
        <w:rPr>
          <w:color w:val="000000" w:themeColor="text1"/>
          <w:lang w:val="ru-RU"/>
        </w:rPr>
        <w:t>Проект организации секции обсуждался в заседаниях отделения технических наук, на распорядительном заседании Президиума 18 января с.г. и на закрытом заседании пол</w:t>
      </w:r>
      <w:r w:rsidRPr="007224C3">
        <w:rPr>
          <w:color w:val="000000" w:themeColor="text1"/>
          <w:lang w:val="ru-RU"/>
        </w:rPr>
        <w:softHyphen/>
        <w:t>ного Президиума 9 февраля с.г. Правительство информировано о проекте создания сек</w:t>
      </w:r>
      <w:r w:rsidRPr="007224C3">
        <w:rPr>
          <w:color w:val="000000" w:themeColor="text1"/>
          <w:lang w:val="ru-RU"/>
        </w:rPr>
        <w:softHyphen/>
        <w:t>ции авиации в АН. Тов. Вознесенский и тов. Шахурин рекомендовали Президиуму АН секции авиации в АН не создавать. Президиум АН вынес соответствующее решение».</w:t>
      </w:r>
    </w:p>
    <w:p w14:paraId="72E9608E" w14:textId="77777777" w:rsidR="00091345" w:rsidRPr="007224C3" w:rsidRDefault="00091345" w:rsidP="007224C3">
      <w:pPr>
        <w:pStyle w:val="a3"/>
        <w:rPr>
          <w:color w:val="000000" w:themeColor="text1"/>
          <w:lang w:val="ru-RU"/>
        </w:rPr>
      </w:pPr>
      <w:r w:rsidRPr="007224C3">
        <w:rPr>
          <w:color w:val="000000" w:themeColor="text1"/>
          <w:lang w:val="ru-RU"/>
        </w:rPr>
        <w:t>Далее в записке наносился удар по инициаторам постановки этого вопроса и, глав</w:t>
      </w:r>
      <w:r w:rsidRPr="007224C3">
        <w:rPr>
          <w:color w:val="000000" w:themeColor="text1"/>
          <w:lang w:val="ru-RU"/>
        </w:rPr>
        <w:softHyphen/>
        <w:t>ным образом, по А.А. Микулину:</w:t>
      </w:r>
    </w:p>
    <w:p w14:paraId="7E2A113B" w14:textId="77777777" w:rsidR="00091345" w:rsidRPr="007224C3" w:rsidRDefault="00091345" w:rsidP="007224C3">
      <w:pPr>
        <w:pStyle w:val="a3"/>
        <w:rPr>
          <w:color w:val="000000" w:themeColor="text1"/>
          <w:lang w:val="ru-RU"/>
        </w:rPr>
      </w:pPr>
      <w:r w:rsidRPr="007224C3">
        <w:rPr>
          <w:color w:val="000000" w:themeColor="text1"/>
          <w:lang w:val="ru-RU"/>
        </w:rPr>
        <w:t>«Однако, независимо от того, что вопрос этот снят, считаем необходимым сообщить Вам о весьма странной аргументации, приводившейся рядом академиков в пользу создания этой секции. Выступления же одного из главных инициаторов постановки этого вопроса акад. А.А. Микулина неправильно рисуют фактическое положение научно-исследователь</w:t>
      </w:r>
      <w:r w:rsidRPr="007224C3">
        <w:rPr>
          <w:color w:val="000000" w:themeColor="text1"/>
          <w:lang w:val="ru-RU"/>
        </w:rPr>
        <w:softHyphen/>
        <w:t>ского дела в области авиации в стране и являются политически сомнительными.</w:t>
      </w:r>
    </w:p>
    <w:p w14:paraId="2EE40922" w14:textId="77777777" w:rsidR="00091345" w:rsidRPr="007224C3" w:rsidRDefault="00091345" w:rsidP="007224C3">
      <w:pPr>
        <w:pStyle w:val="a3"/>
        <w:rPr>
          <w:color w:val="000000" w:themeColor="text1"/>
          <w:lang w:val="ru-RU"/>
        </w:rPr>
      </w:pPr>
      <w:r w:rsidRPr="007224C3">
        <w:rPr>
          <w:color w:val="000000" w:themeColor="text1"/>
          <w:lang w:val="ru-RU"/>
        </w:rPr>
        <w:t>Так, акад. А.А. Микулин утверждал, будто у нас, в СССР, имеется меньше возможностей для работы конструкторов в области авиационного машиностроения, чем за границей».</w:t>
      </w:r>
    </w:p>
    <w:p w14:paraId="7D3F2B33" w14:textId="77777777" w:rsidR="00091345" w:rsidRPr="007224C3" w:rsidRDefault="00091345" w:rsidP="007224C3">
      <w:pPr>
        <w:pStyle w:val="1e"/>
        <w:shd w:val="clear" w:color="auto" w:fill="auto"/>
        <w:spacing w:line="240" w:lineRule="auto"/>
        <w:jc w:val="both"/>
        <w:rPr>
          <w:rFonts w:ascii="Times New Roman" w:hAnsi="Times New Roman" w:cs="Times New Roman"/>
          <w:color w:val="000000" w:themeColor="text1"/>
          <w:sz w:val="16"/>
          <w:szCs w:val="16"/>
        </w:rPr>
      </w:pPr>
      <w:r w:rsidRPr="007224C3">
        <w:rPr>
          <w:rFonts w:ascii="Times New Roman" w:hAnsi="Times New Roman" w:cs="Times New Roman"/>
          <w:color w:val="000000" w:themeColor="text1"/>
          <w:sz w:val="16"/>
          <w:szCs w:val="16"/>
        </w:rPr>
        <w:t>Далее приводилась выдержка из выступления Микулина, которое цитировалось вы</w:t>
      </w:r>
      <w:r w:rsidRPr="007224C3">
        <w:rPr>
          <w:rFonts w:ascii="Times New Roman" w:hAnsi="Times New Roman" w:cs="Times New Roman"/>
          <w:color w:val="000000" w:themeColor="text1"/>
          <w:sz w:val="16"/>
          <w:szCs w:val="16"/>
        </w:rPr>
        <w:softHyphen/>
        <w:t>ше, с критикой наркоматов и сравнением возможностей зарубежных конструкторов и его конструкторского бюро. В записке отмечалось, что эти высказывания Микулина произносились с трибуны годичного совещания отделения технических наук АН, что он «по поводу, якобы имеющего место тяжелого положения конструкторов отечественно</w:t>
      </w:r>
      <w:r w:rsidRPr="007224C3">
        <w:rPr>
          <w:rFonts w:ascii="Times New Roman" w:hAnsi="Times New Roman" w:cs="Times New Roman"/>
          <w:color w:val="000000" w:themeColor="text1"/>
          <w:sz w:val="16"/>
          <w:szCs w:val="16"/>
        </w:rPr>
        <w:softHyphen/>
        <w:t>го авиамашиностроения... находит нужным апеллировать... к Академии Наук». Далее опять приводилась большая цитата из выступления Микулина об «Академии Наук, как к органу, которому доверяет правительство» и недоверии к наркоматам: «Поэтому я считаю, что наркоматы и Наркомфин в вопросах масштабов несправедливы» …(15789).</w:t>
      </w:r>
    </w:p>
    <w:p w14:paraId="7B693929" w14:textId="77777777" w:rsidR="00091345" w:rsidRPr="007224C3" w:rsidRDefault="00091345" w:rsidP="007224C3">
      <w:pPr>
        <w:spacing w:after="0" w:line="240" w:lineRule="auto"/>
        <w:jc w:val="both"/>
        <w:rPr>
          <w:rFonts w:ascii="Times New Roman" w:hAnsi="Times New Roman"/>
          <w:color w:val="000000" w:themeColor="text1"/>
          <w:sz w:val="16"/>
          <w:szCs w:val="16"/>
        </w:rPr>
      </w:pPr>
    </w:p>
    <w:p w14:paraId="35D50A49" w14:textId="77777777" w:rsidR="00994578" w:rsidRPr="007224C3" w:rsidRDefault="00994578" w:rsidP="007224C3">
      <w:pPr>
        <w:pStyle w:val="ae"/>
        <w:shd w:val="clear" w:color="auto" w:fill="FFFFFF"/>
        <w:spacing w:before="0" w:after="0"/>
        <w:jc w:val="both"/>
        <w:textAlignment w:val="baseline"/>
        <w:rPr>
          <w:color w:val="0070C0"/>
          <w:sz w:val="16"/>
          <w:szCs w:val="16"/>
        </w:rPr>
      </w:pPr>
      <w:r w:rsidRPr="007224C3">
        <w:rPr>
          <w:color w:val="0070C0"/>
          <w:sz w:val="16"/>
          <w:szCs w:val="16"/>
        </w:rPr>
        <w:t>В июне 1944 года были изготовлены две опытные 24-М-8 с двадцатью четырьмя направляющими, а в июле-августе они прошли успешные испытания на море: установка №1101 была размещена на полубаке минного катера №29 типа Я-5, установка №1102 — на ходовой рубке торпедного катера Г-5 №413. 19 сентября 24-М-8 была принята на вооружение (19941).</w:t>
      </w:r>
    </w:p>
    <w:p w14:paraId="48F8714E" w14:textId="77777777" w:rsidR="00994578" w:rsidRPr="007224C3" w:rsidRDefault="00994578" w:rsidP="007224C3">
      <w:pPr>
        <w:pStyle w:val="ae"/>
        <w:shd w:val="clear" w:color="auto" w:fill="FFFFFF"/>
        <w:spacing w:before="0" w:after="0"/>
        <w:jc w:val="both"/>
        <w:textAlignment w:val="baseline"/>
        <w:rPr>
          <w:color w:val="0070C0"/>
          <w:sz w:val="16"/>
          <w:szCs w:val="16"/>
        </w:rPr>
      </w:pPr>
    </w:p>
    <w:p w14:paraId="0EC2E0FE"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653E36E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ECE2D5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июне 1944 года на полигоне Мурово Московской области были проведены вторые полигонные испытания 82-мм легкого пехотного орудия СКБ-34. На повторных полигонных испытаниях сделано 8 выстрелов кумулятивной миной по броне по нормали. Из них 7 пробили броню толщиной 90 мм, а одна 150 мм.</w:t>
      </w:r>
    </w:p>
    <w:p w14:paraId="66AD42A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СКБ-34 оказалось супер-универсальным орудием оно могло вести навесной огонь 82-мм минами как обычный миномет, вести борьбу с танками и даже с самолетами. То есть это был миномет, полевая пушка, противотанковая и зенитная пушки в одной системе. Соответственно, орудие имело разнообразный боекомплект, в него входили:</w:t>
      </w:r>
    </w:p>
    <w:p w14:paraId="1FE2224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Обычная 82-мм мина для навесной стрельбы (заряды как в обычных минометах);</w:t>
      </w:r>
    </w:p>
    <w:p w14:paraId="41491CE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унитарный выстрел для настильной стрельбы. Оперенный снаряд для него был спроектирован СКБ-48. Взрыватель М-4, гильза латунная;</w:t>
      </w:r>
    </w:p>
    <w:p w14:paraId="2CE6F5C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82-мм противотанковая кумулятивная мина конструкции СКБ-НКВ;</w:t>
      </w:r>
    </w:p>
    <w:p w14:paraId="3370AD8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унитарный зенитный выстрел с дистанционным взрывателем Д-3;</w:t>
      </w:r>
    </w:p>
    <w:p w14:paraId="04BE487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 унитарный выстрел с картечью.</w:t>
      </w:r>
    </w:p>
    <w:p w14:paraId="12EF0C6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ведении навесного огня при углах, больших 45, заряжание производилось с дула, а настильного с казенной части. Стрельба при углах свыше 45 велась с помощью вставленной с казны постоянной железной гильзы с жестким бойком, то есть воспламенителя Стокса.</w:t>
      </w:r>
    </w:p>
    <w:p w14:paraId="77BC432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Стрельба при малых углах возвышения (до +5) велась с колес, а при больших углах с двух опорных плит, именовавшихся в описании как плато. При постановке системы на плато колеса приподнимались на 4060 мм над грунтом.</w:t>
      </w:r>
    </w:p>
    <w:p w14:paraId="0C68362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Ствол орудия моноблок с навинтным казенником. Канал ствола гладкий. Затвор горизонтальный клиновой.</w:t>
      </w:r>
    </w:p>
    <w:p w14:paraId="14F28F6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Люлька с противооткатными устройствами взята штатная от 45-мм противотанковой пушки обр. 1937 г. Единственное изменение в ней шесть дополнительных канавок в цилиндре тормоза отката.</w:t>
      </w:r>
    </w:p>
    <w:p w14:paraId="387400F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Верхний станок штампо-сварной. Уравновешивающий механизм пружинный, тянущего типа. Поворотный механизм винтовой. Подъемный механизм секторный. Боевая ось коробчатая сварная. Колеса мотоциклетные.</w:t>
      </w:r>
    </w:p>
    <w:p w14:paraId="5556C7F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стрельбе с колес орудие внешне очень похоже на 76-мм полковую пушку обр. 1943 г.</w:t>
      </w:r>
    </w:p>
    <w:p w14:paraId="7D41672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повторных полигонных испытаниях сделано 8 выстрелов кумулятивной миной по броне по нормали. Из них 7 пробили броню толщиной 90 мм, а одна 150 мм.</w:t>
      </w:r>
    </w:p>
    <w:p w14:paraId="5120288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Согласно заключению комиссии по полигонным испытаниям от 23 июня 1944 года: Кучность системы при стрельбы с дистанции 500 м хуже кучности 76-мм полковой пушки обр. 1943 г. (то есть хуже некуда). Прочность пружин подрессоривания и сварных швов при возке неудовлетворительны. Железная гильза с бойком для самонакалывания посте стрельбы плохо экстрактируется (то есть ее хрен вынешь). Щитовое прикрытие не полностью прикрывает расчет.</w:t>
      </w:r>
    </w:p>
    <w:p w14:paraId="59BE99C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Тем не менее комиссия рекомендовала изготовить опытную серию орудий для войсковых испытаний.</w:t>
      </w:r>
    </w:p>
    <w:p w14:paraId="001E5AF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итоге орудия оказалось слишком универсальным, чтобы удовлетворительно выполнять хоть одну из своих функций. Разумеется, оно на вооружение принято не было. С инженерной точки зрения это была очень интересная система, и по хорошему ее стоило бы поставить в Политехнический музей (3861).</w:t>
      </w:r>
    </w:p>
    <w:p w14:paraId="27953A6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EE7EDA" w14:textId="77777777" w:rsidR="00E20115" w:rsidRPr="007224C3" w:rsidRDefault="00E2011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июне 1944 г. при подготовке к штурму финских укреплений, помня об уроках Зимней войны 1939-1940 гг., против финских укреплений было сосредоточено большое количество орудий резерва Главного Командования, включая гаубицы Б-4 и 305-мм гаубицы обр. 1915 г. Огонь этих мощных орудий был достаточно эффективен против бетонных укреплений финнов. Это способствовало выводу Финляндии из войны (15132).</w:t>
      </w:r>
    </w:p>
    <w:p w14:paraId="3285359B" w14:textId="77777777" w:rsidR="00E20115" w:rsidRPr="007224C3" w:rsidRDefault="00E20115" w:rsidP="007224C3">
      <w:pPr>
        <w:spacing w:after="0" w:line="240" w:lineRule="auto"/>
        <w:jc w:val="both"/>
        <w:rPr>
          <w:rFonts w:ascii="Times New Roman" w:hAnsi="Times New Roman"/>
          <w:color w:val="000000" w:themeColor="text1"/>
          <w:sz w:val="16"/>
          <w:szCs w:val="16"/>
        </w:rPr>
      </w:pPr>
    </w:p>
    <w:p w14:paraId="3B664EEE" w14:textId="77777777" w:rsidR="00E20115" w:rsidRPr="007224C3" w:rsidRDefault="00E2011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июне 1944 г. гаубицы Б-4 применялись для разрушения «Карельского вала», созданного финнами от Ладоги до Финского залива. Это была мощная железобетонная полоса укреплений с 10-12 долговременными огневыми точками на каждом километре укреплений. Самым мощным в этой системе был ДОТ «Миллионер», сооружение, высившееся трёхэтажной громадой между первой и второй финскими траншеями. Ширина ДОТа — 10 м, длина — более 20. Двум гаубицам Б-4 было приказано уничтожить это чудовище. Они выпустили по укреплению 140 203-мм снаряда. После 30-го попадания во вмятинах бетона стали видны прутья арматуры. Затем в стене появились проломы. Из 140 выпущенных снарядов 96 попали в ДОТ. «Миллионер» был разрушен (15132).</w:t>
      </w:r>
    </w:p>
    <w:p w14:paraId="5EEECF36" w14:textId="77777777" w:rsidR="00E20115" w:rsidRPr="007224C3" w:rsidRDefault="00E20115" w:rsidP="007224C3">
      <w:pPr>
        <w:spacing w:after="0" w:line="240" w:lineRule="auto"/>
        <w:jc w:val="both"/>
        <w:rPr>
          <w:rFonts w:ascii="Times New Roman" w:hAnsi="Times New Roman"/>
          <w:color w:val="000000" w:themeColor="text1"/>
          <w:sz w:val="16"/>
          <w:szCs w:val="16"/>
        </w:rPr>
      </w:pPr>
    </w:p>
    <w:p w14:paraId="0A9020CA" w14:textId="77777777" w:rsidR="00E20115" w:rsidRPr="007224C3" w:rsidRDefault="00E2011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июне 1944 года две доработанные 100-мм пушки С-34 учли испытывались на танках ИС и Т-34 (15226).</w:t>
      </w:r>
    </w:p>
    <w:p w14:paraId="56469483" w14:textId="77777777" w:rsidR="00E20115" w:rsidRPr="007224C3" w:rsidRDefault="00E20115" w:rsidP="007224C3">
      <w:pPr>
        <w:spacing w:after="0" w:line="240" w:lineRule="auto"/>
        <w:jc w:val="both"/>
        <w:rPr>
          <w:rFonts w:ascii="Times New Roman" w:hAnsi="Times New Roman"/>
          <w:color w:val="000000" w:themeColor="text1"/>
          <w:sz w:val="16"/>
          <w:szCs w:val="16"/>
        </w:rPr>
      </w:pPr>
    </w:p>
    <w:p w14:paraId="6CBC491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июне 1944 года Илья Иванович Иванов вновь возвращается к работе по созданию морской и береговой артиллерии. Его назначают начальником Ленинградского филиала ЦАКБ. Часть конструкторов, в том числе и с завода "Баррикады", была переведена вместе с ним в Ленинград. В новом коллективе трудились крупные конструкторы, среди них А. Флоренский, А. Гаврилов, Б. Коробов и бывшие ученики Иванова — дважды лауреаты Государственных премий Е. Рудяк, Г. Волосатов, лауреат Государственной премии Г. Сергеев и другие, чьим кропотливым трудом создавались замечательные образцы артиллерийских систем для армии и флота (11268).</w:t>
      </w:r>
    </w:p>
    <w:p w14:paraId="0E4CFFF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B03EC3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июне 1944 года на заводе организуется производство 7,62 мм пистолетного патроны с трассирующей пулей по чертежам НИИ-44. В июне 1947 года завод включается в состав НИИ-44 с программой по опытной тематике НИИ-44 по отработке и совершенствованию патронов стрелкового оружия, гл. образом пиротехнических пуль.</w:t>
      </w:r>
    </w:p>
    <w:p w14:paraId="2089B2C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Приказом МА № 391сс от 9 июля 1949 года завод выделяется из состава НИИ-44 в самостоятельный завод с профилем производства патронов стрелкового оружия. В 1953 году построен корпус № 210, но использован для производства гильз быть не мог.</w:t>
      </w:r>
    </w:p>
    <w:p w14:paraId="5D9C49F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западной части корпуса № 210 размещается ЦКБ-3 с одновременной перебазировкой с завода № 710.</w:t>
      </w:r>
    </w:p>
    <w:p w14:paraId="4FCF7CF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производственной площади корпуса № 210 размещается полностью переданное заводу производство Краснопресненского механического завода.</w:t>
      </w:r>
    </w:p>
    <w:p w14:paraId="65FA454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организации завода № 711 директорами были: Максимов П.И. с 26 мая 1942 года, Локтионов Я.И. с 30 июня 1942 года, Кирьянов Н.И. с 10 ноября 1942 года, Подобрянский В.А. с 24 апреля 1946 года, Тарасенко А.Ф. с июня 1947 года, Баранов А.Е. с 21 октября 1947 года, Тарасенко А.Ф. с октября 1948 года, Володин К.А. с июня 1949 года и Бабенко П.А. с 9 декабря 1949 года по 1965 год (10264).</w:t>
      </w:r>
    </w:p>
    <w:p w14:paraId="4D40B96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71604A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июне 1944 г. письмо, в котором фигурирует «новый тяжелый танк с литой броней», получает и начальник ЦАКБ В. Грабин: «...по полученным агентурным) данным, в Германии завершается разработка нового тяжелого танка, защищенного литой броней толщиной 150—200 мм... Прошу вас завершить предусмотренные планами испытания новых противотанковых пушек большого калибра, в том числе ка</w:t>
      </w:r>
      <w:r w:rsidRPr="007224C3">
        <w:rPr>
          <w:rFonts w:ascii="Times New Roman" w:hAnsi="Times New Roman"/>
          <w:color w:val="000000" w:themeColor="text1"/>
          <w:sz w:val="16"/>
          <w:szCs w:val="16"/>
        </w:rPr>
        <w:softHyphen/>
        <w:t>либра 122-мм и 130-мм... В программу их испытаний вклю</w:t>
      </w:r>
      <w:r w:rsidRPr="007224C3">
        <w:rPr>
          <w:rFonts w:ascii="Times New Roman" w:hAnsi="Times New Roman"/>
          <w:color w:val="000000" w:themeColor="text1"/>
          <w:sz w:val="16"/>
          <w:szCs w:val="16"/>
        </w:rPr>
        <w:softHyphen/>
        <w:t>чить пункт об обязательной проверке пробития литой брони толщиной 200-мм. Получение образцов литой брони указан</w:t>
      </w:r>
      <w:r w:rsidRPr="007224C3">
        <w:rPr>
          <w:rFonts w:ascii="Times New Roman" w:hAnsi="Times New Roman"/>
          <w:color w:val="000000" w:themeColor="text1"/>
          <w:sz w:val="16"/>
          <w:szCs w:val="16"/>
        </w:rPr>
        <w:softHyphen/>
        <w:t>ной толщины согласовано с УЗТМ (Музуруков).</w:t>
      </w:r>
    </w:p>
    <w:p w14:paraId="32BE53A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 исполнении доложить. Д. Устинов</w:t>
      </w:r>
    </w:p>
    <w:p w14:paraId="4A9B788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Однако никаких Т-9 и Т-10 не появилось на полях сра</w:t>
      </w:r>
      <w:r w:rsidRPr="007224C3">
        <w:rPr>
          <w:rFonts w:ascii="Times New Roman" w:hAnsi="Times New Roman"/>
          <w:color w:val="000000" w:themeColor="text1"/>
          <w:sz w:val="16"/>
          <w:szCs w:val="16"/>
        </w:rPr>
        <w:softHyphen/>
        <w:t>жений ни в кампании 1944 г. ни в последующем. Более реалистичной оказалась такая информация: «В и в наст, время ведется модернизация танка «Пантера - наиболее удачного танка немецкой фашистской армии. уже летом тек. года на фронте следует ожидать подразделений, оснащенных танком указанного типа, имеющих массу около 55—60тн., вооруженных 88-мм пушкой САУ «Шершень», или “Фердинанд” и двух пулеметов, а также защищенные броней ^20—140-ммвлоб. части и 60—80-мм в бортах...</w:t>
      </w:r>
    </w:p>
    <w:p w14:paraId="496C4EA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Штурмовые 'орудия «Фердинанд», облегченные на 8—10тн., также переводятся на шасси «Пантеры»...</w:t>
      </w:r>
    </w:p>
    <w:p w14:paraId="5B12348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августе 1944 г. советские войска действительно встре</w:t>
      </w:r>
      <w:r w:rsidRPr="007224C3">
        <w:rPr>
          <w:rFonts w:ascii="Times New Roman" w:hAnsi="Times New Roman"/>
          <w:color w:val="000000" w:themeColor="text1"/>
          <w:sz w:val="16"/>
          <w:szCs w:val="16"/>
        </w:rPr>
        <w:softHyphen/>
        <w:t>тили на Висле подобный танк, но речь о нем позднее...(11135).</w:t>
      </w:r>
    </w:p>
    <w:p w14:paraId="64772E4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3691C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июне 1944 г. задание на создание башни Т-34 со 100-мм пушкой получили ОКБ № 92 и отдел 520 завода № 183. С инициативными работами в данном ; иаправлении выступили также КБ заводов № 112 «Красное Сормово», № 9 Ф. Петрова и ОКБ-92 А. Савина. ОКБ № 92 первым выдвинуло свой вариант 100-мм пушки для танка Т-34. Указанная пушка представляла со</w:t>
      </w:r>
      <w:r w:rsidRPr="007224C3">
        <w:rPr>
          <w:rFonts w:ascii="Times New Roman" w:hAnsi="Times New Roman"/>
          <w:color w:val="000000" w:themeColor="text1"/>
          <w:sz w:val="16"/>
          <w:szCs w:val="16"/>
        </w:rPr>
        <w:softHyphen/>
        <w:t>бой увеличенный вариант 85-мм орудия ЗИС-С-53 с уси</w:t>
      </w:r>
      <w:r w:rsidRPr="007224C3">
        <w:rPr>
          <w:rFonts w:ascii="Times New Roman" w:hAnsi="Times New Roman"/>
          <w:color w:val="000000" w:themeColor="text1"/>
          <w:sz w:val="16"/>
          <w:szCs w:val="16"/>
        </w:rPr>
        <w:softHyphen/>
        <w:t>ленным тормозом отката, затвором от 100-мм полевого орудия обр. 1943 г. БС-3, пружинным уравновешивающим механизмом и дульным тормозом. Орудие получило индекс ЗИС-100. По основным посадочным местам оно почти полностью соответствовало пушке ЗИС-С-53 и потому могло без ограничений быть установлено в башне Т-34-85. Но реакция отдачи была выше допускаемой для погона Т-34-85 на 25-30%, поэтому осенью 1944 г. указанное орудие не было допущено к испытаниям в башне Т-34-85 (11135).</w:t>
      </w:r>
    </w:p>
    <w:p w14:paraId="0783B6D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30B3D3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июне 1944 г. первые 13 танков Т-34-85 сошли и с конвейера Ом</w:t>
      </w:r>
      <w:r w:rsidRPr="007224C3">
        <w:rPr>
          <w:rFonts w:ascii="Times New Roman" w:hAnsi="Times New Roman"/>
          <w:color w:val="000000" w:themeColor="text1"/>
          <w:sz w:val="16"/>
          <w:szCs w:val="16"/>
        </w:rPr>
        <w:softHyphen/>
        <w:t>ского завода № 174, а к концу года общее количество этих танков, сдан</w:t>
      </w:r>
      <w:r w:rsidRPr="007224C3">
        <w:rPr>
          <w:rFonts w:ascii="Times New Roman" w:hAnsi="Times New Roman"/>
          <w:color w:val="000000" w:themeColor="text1"/>
          <w:sz w:val="16"/>
          <w:szCs w:val="16"/>
        </w:rPr>
        <w:softHyphen/>
        <w:t>ных военным представителям, достигло 1000 шт. (10703).</w:t>
      </w:r>
    </w:p>
    <w:p w14:paraId="413917C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5276ED" w14:textId="77777777" w:rsidR="000340E9" w:rsidRPr="007224C3" w:rsidRDefault="000340E9" w:rsidP="007224C3">
      <w:pPr>
        <w:pStyle w:val="a3"/>
        <w:rPr>
          <w:color w:val="000000" w:themeColor="text1"/>
          <w:lang w:val="ru-RU"/>
        </w:rPr>
      </w:pPr>
      <w:r w:rsidRPr="007224C3">
        <w:rPr>
          <w:color w:val="000000" w:themeColor="text1"/>
          <w:lang w:val="ru-RU"/>
        </w:rPr>
        <w:t>В июне 1944 года завод № 174 начал производство Т-34-85. Одновременно с введением новой пушки на танки начали устанавливать прицелы нового типа - шарнирные (иногда называемые ломающимися). Преимущество этих прицелов перед применявшимися ранее состояло в том, что при изменении угла возвышения орудия наводчику не нужно было опускать или поднимать голову, так как обращённая к нему часть прицела оставалась неподвижной. Такой прицел значительно облегчал работу наводчика (12290).</w:t>
      </w:r>
    </w:p>
    <w:p w14:paraId="64A93411" w14:textId="77777777" w:rsidR="000340E9" w:rsidRPr="007224C3" w:rsidRDefault="000340E9" w:rsidP="007224C3">
      <w:pPr>
        <w:pStyle w:val="a3"/>
        <w:rPr>
          <w:color w:val="000000" w:themeColor="text1"/>
          <w:lang w:val="ru-RU"/>
        </w:rPr>
      </w:pPr>
    </w:p>
    <w:p w14:paraId="4A3F657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июне 1944 г. были изготовлены два эталонных экземпляра Т-44 с двигателем В-2-34М и пушками С-53, но эти танки в основном повторяли конструкцию февральской машины, отличаясь от нее в некоторых деталях (11135).</w:t>
      </w:r>
    </w:p>
    <w:p w14:paraId="7D235DC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D201F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июне 1944 г. один из двух изготовленных образцов 100 мм пушки С-34 был установлен в башню танка ИС-2, а второй - в самоход</w:t>
      </w:r>
      <w:r w:rsidRPr="007224C3">
        <w:rPr>
          <w:rFonts w:ascii="Times New Roman" w:hAnsi="Times New Roman"/>
          <w:color w:val="000000" w:themeColor="text1"/>
          <w:sz w:val="16"/>
          <w:szCs w:val="16"/>
        </w:rPr>
        <w:softHyphen/>
        <w:t>ную установку на базе танка Т-34 (10703).</w:t>
      </w:r>
    </w:p>
    <w:p w14:paraId="23A377F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13E20E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июне 1944 г., поняв, что с «семьсот первым» выходит за</w:t>
      </w:r>
      <w:r w:rsidRPr="007224C3">
        <w:rPr>
          <w:rFonts w:ascii="Times New Roman" w:hAnsi="Times New Roman"/>
          <w:color w:val="000000" w:themeColor="text1"/>
          <w:sz w:val="16"/>
          <w:szCs w:val="16"/>
        </w:rPr>
        <w:softHyphen/>
        <w:t>держка, а опытный завод № 100 готовит свой вариант модер</w:t>
      </w:r>
      <w:r w:rsidRPr="007224C3">
        <w:rPr>
          <w:rFonts w:ascii="Times New Roman" w:hAnsi="Times New Roman"/>
          <w:color w:val="000000" w:themeColor="text1"/>
          <w:sz w:val="16"/>
          <w:szCs w:val="16"/>
        </w:rPr>
        <w:softHyphen/>
        <w:t>низации, интерес к модернизации ИС-2 возобновился. Опытный образец танка был изготовлен в августе, а в сентябре прошел цикл испытания, которые показали, что:</w:t>
      </w:r>
    </w:p>
    <w:p w14:paraId="57807C5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«Двигатель мощностью 600 л.с. привел к работе существу</w:t>
      </w:r>
      <w:r w:rsidRPr="007224C3">
        <w:rPr>
          <w:rFonts w:ascii="Times New Roman" w:hAnsi="Times New Roman"/>
          <w:color w:val="000000" w:themeColor="text1"/>
          <w:sz w:val="16"/>
          <w:szCs w:val="16"/>
        </w:rPr>
        <w:softHyphen/>
        <w:t>ющей трансмиссии в перенапряженном режиме... Опыт пробе</w:t>
      </w:r>
      <w:r w:rsidRPr="007224C3">
        <w:rPr>
          <w:rFonts w:ascii="Times New Roman" w:hAnsi="Times New Roman"/>
          <w:color w:val="000000" w:themeColor="text1"/>
          <w:sz w:val="16"/>
          <w:szCs w:val="16"/>
        </w:rPr>
        <w:softHyphen/>
        <w:t>га показал, что никакого выигрыша на маневренности танка на пересеченной местности данный двигатель не дает. Манев</w:t>
      </w:r>
      <w:r w:rsidRPr="007224C3">
        <w:rPr>
          <w:rFonts w:ascii="Times New Roman" w:hAnsi="Times New Roman"/>
          <w:color w:val="000000" w:themeColor="text1"/>
          <w:sz w:val="16"/>
          <w:szCs w:val="16"/>
        </w:rPr>
        <w:softHyphen/>
        <w:t>ренность серийного ЙС-122 аналогична, тем более, что мотор в 600л.с. имеет ресурс не свыше 150моточасов, тогда как мо</w:t>
      </w:r>
      <w:r w:rsidRPr="007224C3">
        <w:rPr>
          <w:rFonts w:ascii="Times New Roman" w:hAnsi="Times New Roman"/>
          <w:color w:val="000000" w:themeColor="text1"/>
          <w:sz w:val="16"/>
          <w:szCs w:val="16"/>
        </w:rPr>
        <w:softHyphen/>
        <w:t>тор в 520 сил в наст, время ходит уже 300 часов и бШее...</w:t>
      </w:r>
    </w:p>
    <w:p w14:paraId="772F8B5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Дополнительный вентилятор обдува трансмиссир недо</w:t>
      </w:r>
      <w:r w:rsidRPr="007224C3">
        <w:rPr>
          <w:rFonts w:ascii="Times New Roman" w:hAnsi="Times New Roman"/>
          <w:color w:val="000000" w:themeColor="text1"/>
          <w:sz w:val="16"/>
          <w:szCs w:val="16"/>
        </w:rPr>
        <w:softHyphen/>
        <w:t>статочно эффективен.</w:t>
      </w:r>
    </w:p>
    <w:p w14:paraId="76028CF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Разместить топливные баки в моторно-трансмиссион-ном отделении без сокращения запаса топлива не представ</w:t>
      </w:r>
      <w:r w:rsidRPr="007224C3">
        <w:rPr>
          <w:rFonts w:ascii="Times New Roman" w:hAnsi="Times New Roman"/>
          <w:color w:val="000000" w:themeColor="text1"/>
          <w:sz w:val="16"/>
          <w:szCs w:val="16"/>
        </w:rPr>
        <w:softHyphen/>
        <w:t>ляется возможным...</w:t>
      </w:r>
    </w:p>
    <w:p w14:paraId="5AE67DE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Выводы:</w:t>
      </w:r>
    </w:p>
    <w:p w14:paraId="5779CEB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Внесение большинства запланированных изменений в кон</w:t>
      </w:r>
      <w:r w:rsidRPr="007224C3">
        <w:rPr>
          <w:rFonts w:ascii="Times New Roman" w:hAnsi="Times New Roman"/>
          <w:color w:val="000000" w:themeColor="text1"/>
          <w:sz w:val="16"/>
          <w:szCs w:val="16"/>
        </w:rPr>
        <w:softHyphen/>
        <w:t>струкцию танка ИС не приводит к значительному увеличе</w:t>
      </w:r>
      <w:r w:rsidRPr="007224C3">
        <w:rPr>
          <w:rFonts w:ascii="Times New Roman" w:hAnsi="Times New Roman"/>
          <w:color w:val="000000" w:themeColor="text1"/>
          <w:sz w:val="16"/>
          <w:szCs w:val="16"/>
        </w:rPr>
        <w:softHyphen/>
        <w:t>нию его боевых качеств.</w:t>
      </w:r>
    </w:p>
    <w:p w14:paraId="76FCA96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Конструкция дифференцированной броневой защиты танка интересна и может быть рекомендована для внедре</w:t>
      </w:r>
      <w:r w:rsidRPr="007224C3">
        <w:rPr>
          <w:rFonts w:ascii="Times New Roman" w:hAnsi="Times New Roman"/>
          <w:color w:val="000000" w:themeColor="text1"/>
          <w:sz w:val="16"/>
          <w:szCs w:val="16"/>
        </w:rPr>
        <w:softHyphen/>
        <w:t>ния в серийное производство танка ИС-122 на ЧКЗ с сохране</w:t>
      </w:r>
      <w:r w:rsidRPr="007224C3">
        <w:rPr>
          <w:rFonts w:ascii="Times New Roman" w:hAnsi="Times New Roman"/>
          <w:color w:val="000000" w:themeColor="text1"/>
          <w:sz w:val="16"/>
          <w:szCs w:val="16"/>
        </w:rPr>
        <w:softHyphen/>
        <w:t>нием его МТО и ходовой части. Сварные швы хорошо вписыва</w:t>
      </w:r>
      <w:r w:rsidRPr="007224C3">
        <w:rPr>
          <w:rFonts w:ascii="Times New Roman" w:hAnsi="Times New Roman"/>
          <w:color w:val="000000" w:themeColor="text1"/>
          <w:sz w:val="16"/>
          <w:szCs w:val="16"/>
        </w:rPr>
        <w:softHyphen/>
        <w:t>ются в требование изготовления корпуса автоматической сваркой... Данный тип корпуса тем более интересен, что УЗТМ в настоящее время не справляется с увеличенной про</w:t>
      </w:r>
      <w:r w:rsidRPr="007224C3">
        <w:rPr>
          <w:rFonts w:ascii="Times New Roman" w:hAnsi="Times New Roman"/>
          <w:color w:val="000000" w:themeColor="text1"/>
          <w:sz w:val="16"/>
          <w:szCs w:val="16"/>
        </w:rPr>
        <w:softHyphen/>
        <w:t>граммой изготовления литых башен.</w:t>
      </w:r>
    </w:p>
    <w:p w14:paraId="55FBF3F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Модернизация по второму варианту наиболее рациональна и может быть реализована в серийном производстве уже через полтора месяца после принятия решения о начале работ без остановки производства параллельно с выпуском ИС-122» (11135).</w:t>
      </w:r>
    </w:p>
    <w:p w14:paraId="3DCA337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124A6E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июня 1944 г. по май 1945 г. Танк ИС-2 (ИС-122) серийно выпускался на ЧКЗ. Всего заводом было выпущено 2525 машин данной модификации. Еще по 5 танков было собрано в марте и июне 1945 г. на восстанавливавшемся ЛКЗ. Танки широко применялись в третьем периоде Великой Отечественной войны. После Великой Отече</w:t>
      </w:r>
      <w:r w:rsidRPr="007224C3">
        <w:rPr>
          <w:rFonts w:ascii="Times New Roman" w:hAnsi="Times New Roman"/>
          <w:color w:val="000000" w:themeColor="text1"/>
          <w:sz w:val="16"/>
          <w:szCs w:val="16"/>
        </w:rPr>
        <w:softHyphen/>
        <w:t>ственной войны танк был модернизирован и ему была присвоена марка ИС-2М. Машина отличалась от танка ИС-2 обр. 1943 г. более мощной броне</w:t>
      </w:r>
      <w:r w:rsidRPr="007224C3">
        <w:rPr>
          <w:rFonts w:ascii="Times New Roman" w:hAnsi="Times New Roman"/>
          <w:color w:val="000000" w:themeColor="text1"/>
          <w:sz w:val="16"/>
          <w:szCs w:val="16"/>
        </w:rPr>
        <w:softHyphen/>
        <w:t>вой защитой корпуса, установкой дополнительного оружия - зенитно</w:t>
      </w:r>
      <w:r w:rsidRPr="007224C3">
        <w:rPr>
          <w:rFonts w:ascii="Times New Roman" w:hAnsi="Times New Roman"/>
          <w:color w:val="000000" w:themeColor="text1"/>
          <w:sz w:val="16"/>
          <w:szCs w:val="16"/>
        </w:rPr>
        <w:softHyphen/>
        <w:t>го пулемета ДШК. Начиная с ноября 1944 г. часть танков, а с января 1945 г. каждый танк ИС-2 оснащался зенитной пулеметной установкой. Экипаж танка состоял из четырех человек (10703).</w:t>
      </w:r>
    </w:p>
    <w:p w14:paraId="4622F95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5E14DFC" w14:textId="77777777" w:rsidR="009E614A" w:rsidRPr="007224C3" w:rsidRDefault="009E614A" w:rsidP="007224C3">
      <w:pPr>
        <w:pStyle w:val="1131"/>
        <w:shd w:val="clear" w:color="auto" w:fill="auto"/>
        <w:spacing w:line="240" w:lineRule="auto"/>
        <w:ind w:firstLine="0"/>
        <w:rPr>
          <w:rFonts w:ascii="Times New Roman" w:hAnsi="Times New Roman" w:cs="Times New Roman"/>
          <w:color w:val="0070C0"/>
          <w:sz w:val="16"/>
          <w:szCs w:val="16"/>
        </w:rPr>
      </w:pPr>
      <w:r w:rsidRPr="007224C3">
        <w:rPr>
          <w:rStyle w:val="660"/>
          <w:rFonts w:ascii="Times New Roman" w:hAnsi="Times New Roman" w:cs="Times New Roman"/>
          <w:color w:val="0070C0"/>
          <w:sz w:val="16"/>
          <w:szCs w:val="16"/>
          <w:lang w:val="ru-RU"/>
        </w:rPr>
        <w:t>В июне 1944 года на заводе № 200 изготовили первые четыре спрямленные носовые детали и четыре измененные подбашенные коробки ИС-2, но массовый выпуск начался уже с августа. Что же касает</w:t>
      </w:r>
      <w:r w:rsidRPr="007224C3">
        <w:rPr>
          <w:rStyle w:val="660"/>
          <w:rFonts w:ascii="Times New Roman" w:hAnsi="Times New Roman" w:cs="Times New Roman"/>
          <w:color w:val="0070C0"/>
          <w:sz w:val="16"/>
          <w:szCs w:val="16"/>
          <w:lang w:val="ru-RU"/>
        </w:rPr>
        <w:softHyphen/>
        <w:t>ся УЗТМ, то его продукция не особо обрадова</w:t>
      </w:r>
      <w:r w:rsidRPr="007224C3">
        <w:rPr>
          <w:rStyle w:val="660"/>
          <w:rFonts w:ascii="Times New Roman" w:hAnsi="Times New Roman" w:cs="Times New Roman"/>
          <w:color w:val="0070C0"/>
          <w:sz w:val="16"/>
          <w:szCs w:val="16"/>
          <w:lang w:val="ru-RU"/>
        </w:rPr>
        <w:softHyphen/>
        <w:t>ла работников ЧКЗ. У серийных корпусов и так наблюдалась масса отступлений от черте</w:t>
      </w:r>
      <w:r w:rsidRPr="007224C3">
        <w:rPr>
          <w:rStyle w:val="660"/>
          <w:rFonts w:ascii="Times New Roman" w:hAnsi="Times New Roman" w:cs="Times New Roman"/>
          <w:color w:val="0070C0"/>
          <w:sz w:val="16"/>
          <w:szCs w:val="16"/>
          <w:lang w:val="ru-RU"/>
        </w:rPr>
        <w:softHyphen/>
        <w:t>жей и технических условий, причем это каса</w:t>
      </w:r>
      <w:r w:rsidRPr="007224C3">
        <w:rPr>
          <w:rStyle w:val="660"/>
          <w:rFonts w:ascii="Times New Roman" w:hAnsi="Times New Roman" w:cs="Times New Roman"/>
          <w:color w:val="0070C0"/>
          <w:sz w:val="16"/>
          <w:szCs w:val="16"/>
          <w:lang w:val="ru-RU"/>
        </w:rPr>
        <w:softHyphen/>
        <w:t>лось и продукции УЗТМ, и продукции завода № 200. В случае же с новой носовой деталью количество проблем только выросло. Соглас</w:t>
      </w:r>
      <w:r w:rsidRPr="007224C3">
        <w:rPr>
          <w:rStyle w:val="660"/>
          <w:rFonts w:ascii="Times New Roman" w:hAnsi="Times New Roman" w:cs="Times New Roman"/>
          <w:color w:val="0070C0"/>
          <w:sz w:val="16"/>
          <w:szCs w:val="16"/>
          <w:lang w:val="ru-RU"/>
        </w:rPr>
        <w:softHyphen/>
        <w:t>но отчету военпредов за июль 1944 года, 100% прибывших корпусов со спрямленной носовой частью пришлось доделывать по по</w:t>
      </w:r>
      <w:r w:rsidRPr="007224C3">
        <w:rPr>
          <w:rStyle w:val="660"/>
          <w:rFonts w:ascii="Times New Roman" w:hAnsi="Times New Roman" w:cs="Times New Roman"/>
          <w:color w:val="0070C0"/>
          <w:sz w:val="16"/>
          <w:szCs w:val="16"/>
          <w:lang w:val="ru-RU"/>
        </w:rPr>
        <w:softHyphen/>
        <w:t>садочным местам перископов, смотровому прибору механика-водителя и упорам под</w:t>
      </w:r>
      <w:r w:rsidRPr="007224C3">
        <w:rPr>
          <w:rStyle w:val="660"/>
          <w:rFonts w:ascii="Times New Roman" w:hAnsi="Times New Roman" w:cs="Times New Roman"/>
          <w:color w:val="0070C0"/>
          <w:sz w:val="16"/>
          <w:szCs w:val="16"/>
          <w:lang w:val="ru-RU"/>
        </w:rPr>
        <w:softHyphen/>
        <w:t>вески опорных катков. В результате цех СБ-2 был вынужден значительную часть времени заниматься не сборкой танков, а доводкой корпусов. И это не говоря о том, что было до</w:t>
      </w:r>
      <w:r w:rsidRPr="007224C3">
        <w:rPr>
          <w:rStyle w:val="660"/>
          <w:rFonts w:ascii="Times New Roman" w:hAnsi="Times New Roman" w:cs="Times New Roman"/>
          <w:color w:val="0070C0"/>
          <w:sz w:val="16"/>
          <w:szCs w:val="16"/>
          <w:lang w:val="ru-RU"/>
        </w:rPr>
        <w:softHyphen/>
        <w:t>вольно много брака по другим узлам и агре</w:t>
      </w:r>
      <w:r w:rsidRPr="007224C3">
        <w:rPr>
          <w:rStyle w:val="660"/>
          <w:rFonts w:ascii="Times New Roman" w:hAnsi="Times New Roman" w:cs="Times New Roman"/>
          <w:color w:val="0070C0"/>
          <w:sz w:val="16"/>
          <w:szCs w:val="16"/>
          <w:lang w:val="ru-RU"/>
        </w:rPr>
        <w:softHyphen/>
        <w:t>гатам. За июль забраковали 600 траков из-за несоответствия размеров, имелись проблемы с КПП, бортовыми редукторами, главными фрикционами и водяными радиаторами. Всего за июль забраковали 8 600 различных деталей и узлов.</w:t>
      </w:r>
    </w:p>
    <w:p w14:paraId="0F79B45C" w14:textId="77777777" w:rsidR="009E614A" w:rsidRPr="007224C3" w:rsidRDefault="009E614A" w:rsidP="007224C3">
      <w:pPr>
        <w:pStyle w:val="1131"/>
        <w:shd w:val="clear" w:color="auto" w:fill="auto"/>
        <w:spacing w:line="240" w:lineRule="auto"/>
        <w:ind w:firstLine="0"/>
        <w:rPr>
          <w:rFonts w:ascii="Times New Roman" w:hAnsi="Times New Roman" w:cs="Times New Roman"/>
          <w:color w:val="0070C0"/>
          <w:sz w:val="16"/>
          <w:szCs w:val="16"/>
        </w:rPr>
      </w:pPr>
      <w:r w:rsidRPr="007224C3">
        <w:rPr>
          <w:rStyle w:val="660"/>
          <w:rFonts w:ascii="Times New Roman" w:hAnsi="Times New Roman" w:cs="Times New Roman"/>
          <w:color w:val="0070C0"/>
          <w:sz w:val="16"/>
          <w:szCs w:val="16"/>
          <w:lang w:val="ru-RU"/>
        </w:rPr>
        <w:t>По различным причинам цена танка вы</w:t>
      </w:r>
      <w:r w:rsidRPr="007224C3">
        <w:rPr>
          <w:rStyle w:val="660"/>
          <w:rFonts w:ascii="Times New Roman" w:hAnsi="Times New Roman" w:cs="Times New Roman"/>
          <w:color w:val="0070C0"/>
          <w:sz w:val="16"/>
          <w:szCs w:val="16"/>
          <w:lang w:val="ru-RU"/>
        </w:rPr>
        <w:softHyphen/>
        <w:t>росла. Если во втором квартале 1944 года ИС- 2 обходился в 295 тысяч рублей, то с июля по сентябрь 1944 года танк стоил уже 309 тысяч. При этом объемы выпуска пересмотрели в сторону увеличения. В июле сдали 225 штук, а уже в августе ЧКЗ вышел на ежемесячный выпуск в 250 танков. Это, естественно, по</w:t>
      </w:r>
      <w:r w:rsidRPr="007224C3">
        <w:rPr>
          <w:rStyle w:val="660"/>
          <w:rFonts w:ascii="Times New Roman" w:hAnsi="Times New Roman" w:cs="Times New Roman"/>
          <w:color w:val="0070C0"/>
          <w:sz w:val="16"/>
          <w:szCs w:val="16"/>
          <w:lang w:val="ru-RU"/>
        </w:rPr>
        <w:softHyphen/>
        <w:t>влияло и на сдачу машин, и на качество их из</w:t>
      </w:r>
      <w:r w:rsidRPr="007224C3">
        <w:rPr>
          <w:rStyle w:val="660"/>
          <w:rFonts w:ascii="Times New Roman" w:hAnsi="Times New Roman" w:cs="Times New Roman"/>
          <w:color w:val="0070C0"/>
          <w:sz w:val="16"/>
          <w:szCs w:val="16"/>
          <w:lang w:val="ru-RU"/>
        </w:rPr>
        <w:softHyphen/>
        <w:t>готовления. Достаточно сказать, что оконча</w:t>
      </w:r>
      <w:r w:rsidRPr="007224C3">
        <w:rPr>
          <w:rStyle w:val="660"/>
          <w:rFonts w:ascii="Times New Roman" w:hAnsi="Times New Roman" w:cs="Times New Roman"/>
          <w:color w:val="0070C0"/>
          <w:sz w:val="16"/>
          <w:szCs w:val="16"/>
          <w:lang w:val="ru-RU"/>
        </w:rPr>
        <w:softHyphen/>
        <w:t>тельная сдача июльских танков состоялась уже ближе к середине августа. Вместе с тем новые корпуса были не единственным улуч</w:t>
      </w:r>
      <w:r w:rsidRPr="007224C3">
        <w:rPr>
          <w:rStyle w:val="660"/>
          <w:rFonts w:ascii="Times New Roman" w:hAnsi="Times New Roman" w:cs="Times New Roman"/>
          <w:color w:val="0070C0"/>
          <w:sz w:val="16"/>
          <w:szCs w:val="16"/>
          <w:lang w:val="ru-RU"/>
        </w:rPr>
        <w:softHyphen/>
        <w:t>шением конструкции. С 1 июля началась уста</w:t>
      </w:r>
      <w:r w:rsidRPr="007224C3">
        <w:rPr>
          <w:rStyle w:val="660"/>
          <w:rFonts w:ascii="Times New Roman" w:hAnsi="Times New Roman" w:cs="Times New Roman"/>
          <w:color w:val="0070C0"/>
          <w:sz w:val="16"/>
          <w:szCs w:val="16"/>
          <w:lang w:val="ru-RU"/>
        </w:rPr>
        <w:softHyphen/>
        <w:t>новка новой звездочки ведущего колеса, благодаря чему снизилась вероятность набе</w:t>
      </w:r>
      <w:r w:rsidRPr="007224C3">
        <w:rPr>
          <w:rStyle w:val="660"/>
          <w:rFonts w:ascii="Times New Roman" w:hAnsi="Times New Roman" w:cs="Times New Roman"/>
          <w:color w:val="0070C0"/>
          <w:sz w:val="16"/>
          <w:szCs w:val="16"/>
          <w:lang w:val="ru-RU"/>
        </w:rPr>
        <w:softHyphen/>
        <w:t>гания гусеницы. С 8 июля ввели новый стопор натяжного механизма. Поменяли горловины топливных баков, благодаря чему исключа</w:t>
      </w:r>
      <w:r w:rsidRPr="007224C3">
        <w:rPr>
          <w:rStyle w:val="660"/>
          <w:rFonts w:ascii="Times New Roman" w:hAnsi="Times New Roman" w:cs="Times New Roman"/>
          <w:color w:val="0070C0"/>
          <w:sz w:val="16"/>
          <w:szCs w:val="16"/>
          <w:lang w:val="ru-RU"/>
        </w:rPr>
        <w:softHyphen/>
        <w:t>лась возможность попадания топлива на при</w:t>
      </w:r>
      <w:r w:rsidRPr="007224C3">
        <w:rPr>
          <w:rStyle w:val="660"/>
          <w:rFonts w:ascii="Times New Roman" w:hAnsi="Times New Roman" w:cs="Times New Roman"/>
          <w:color w:val="0070C0"/>
          <w:sz w:val="16"/>
          <w:szCs w:val="16"/>
          <w:lang w:val="ru-RU"/>
        </w:rPr>
        <w:softHyphen/>
        <w:t>борный щиток. Также в течение 7-8 июля ввели улучшения приводов рычагов и педали газа. Наконец, изменилась ситуация с прице</w:t>
      </w:r>
      <w:r w:rsidRPr="007224C3">
        <w:rPr>
          <w:rStyle w:val="660"/>
          <w:rFonts w:ascii="Times New Roman" w:hAnsi="Times New Roman" w:cs="Times New Roman"/>
          <w:color w:val="0070C0"/>
          <w:sz w:val="16"/>
          <w:szCs w:val="16"/>
          <w:lang w:val="ru-RU"/>
        </w:rPr>
        <w:softHyphen/>
        <w:t xml:space="preserve">лами. От перископического прицела ПТ4-17 отказались, а вместо него наводчик получил перископический прибор </w:t>
      </w:r>
      <w:r w:rsidRPr="007224C3">
        <w:rPr>
          <w:rStyle w:val="660"/>
          <w:rFonts w:ascii="Times New Roman" w:hAnsi="Times New Roman" w:cs="Times New Roman"/>
          <w:color w:val="0070C0"/>
          <w:sz w:val="16"/>
          <w:szCs w:val="16"/>
        </w:rPr>
        <w:t>MK</w:t>
      </w:r>
      <w:r w:rsidRPr="007224C3">
        <w:rPr>
          <w:rStyle w:val="660"/>
          <w:rFonts w:ascii="Times New Roman" w:hAnsi="Times New Roman" w:cs="Times New Roman"/>
          <w:color w:val="0070C0"/>
          <w:sz w:val="16"/>
          <w:szCs w:val="16"/>
          <w:lang w:val="ru-RU"/>
        </w:rPr>
        <w:t>-</w:t>
      </w:r>
      <w:r w:rsidRPr="007224C3">
        <w:rPr>
          <w:rStyle w:val="660"/>
          <w:rFonts w:ascii="Times New Roman" w:hAnsi="Times New Roman" w:cs="Times New Roman"/>
          <w:color w:val="0070C0"/>
          <w:sz w:val="16"/>
          <w:szCs w:val="16"/>
        </w:rPr>
        <w:t>IV</w:t>
      </w:r>
      <w:r w:rsidRPr="007224C3">
        <w:rPr>
          <w:rStyle w:val="660"/>
          <w:rFonts w:ascii="Times New Roman" w:hAnsi="Times New Roman" w:cs="Times New Roman"/>
          <w:color w:val="0070C0"/>
          <w:sz w:val="16"/>
          <w:szCs w:val="16"/>
          <w:lang w:val="ru-RU"/>
        </w:rPr>
        <w:t>. Это позво</w:t>
      </w:r>
      <w:r w:rsidRPr="007224C3">
        <w:rPr>
          <w:rStyle w:val="660"/>
          <w:rFonts w:ascii="Times New Roman" w:hAnsi="Times New Roman" w:cs="Times New Roman"/>
          <w:color w:val="0070C0"/>
          <w:sz w:val="16"/>
          <w:szCs w:val="16"/>
          <w:lang w:val="ru-RU"/>
        </w:rPr>
        <w:softHyphen/>
        <w:t>лило наконец во многом решить проблему с перекрыванием колпаком перископического прицела обзора из передней щели командир</w:t>
      </w:r>
      <w:r w:rsidRPr="007224C3">
        <w:rPr>
          <w:rStyle w:val="660"/>
          <w:rFonts w:ascii="Times New Roman" w:hAnsi="Times New Roman" w:cs="Times New Roman"/>
          <w:color w:val="0070C0"/>
          <w:sz w:val="16"/>
          <w:szCs w:val="16"/>
          <w:lang w:val="ru-RU"/>
        </w:rPr>
        <w:softHyphen/>
        <w:t>ской башенки.</w:t>
      </w:r>
    </w:p>
    <w:p w14:paraId="4B08F1E8" w14:textId="77777777" w:rsidR="009E614A" w:rsidRPr="007224C3" w:rsidRDefault="009E614A" w:rsidP="007224C3">
      <w:pPr>
        <w:shd w:val="clear" w:color="auto" w:fill="FFFFFF"/>
        <w:spacing w:after="0" w:line="240" w:lineRule="auto"/>
        <w:jc w:val="both"/>
        <w:rPr>
          <w:rFonts w:ascii="Times New Roman" w:hAnsi="Times New Roman"/>
          <w:color w:val="0070C0"/>
          <w:sz w:val="16"/>
          <w:szCs w:val="16"/>
        </w:rPr>
      </w:pPr>
      <w:r w:rsidRPr="007224C3">
        <w:rPr>
          <w:rStyle w:val="660"/>
          <w:rFonts w:ascii="Times New Roman" w:hAnsi="Times New Roman" w:cs="Times New Roman"/>
          <w:color w:val="0070C0"/>
          <w:sz w:val="16"/>
          <w:szCs w:val="16"/>
          <w:lang w:val="ru-RU"/>
        </w:rPr>
        <w:t>Полноценная поставка корпусов со спрямленной лобовой деталью началась в ав</w:t>
      </w:r>
      <w:r w:rsidRPr="007224C3">
        <w:rPr>
          <w:rStyle w:val="660"/>
          <w:rFonts w:ascii="Times New Roman" w:hAnsi="Times New Roman" w:cs="Times New Roman"/>
          <w:color w:val="0070C0"/>
          <w:sz w:val="16"/>
          <w:szCs w:val="16"/>
          <w:lang w:val="ru-RU"/>
        </w:rPr>
        <w:softHyphen/>
        <w:t>густе 1944 года. Статистику по тому, сколько именно новых корпусов было использовано (19880).</w:t>
      </w:r>
    </w:p>
    <w:p w14:paraId="31352BDF" w14:textId="77777777" w:rsidR="009E614A" w:rsidRPr="007224C3" w:rsidRDefault="009E614A" w:rsidP="007224C3">
      <w:pPr>
        <w:shd w:val="clear" w:color="auto" w:fill="FFFFFF"/>
        <w:spacing w:after="0" w:line="240" w:lineRule="auto"/>
        <w:jc w:val="both"/>
        <w:rPr>
          <w:rFonts w:ascii="Times New Roman" w:hAnsi="Times New Roman"/>
          <w:color w:val="0070C0"/>
          <w:sz w:val="16"/>
          <w:szCs w:val="16"/>
        </w:rPr>
      </w:pPr>
    </w:p>
    <w:p w14:paraId="5FE0D4A4" w14:textId="77777777" w:rsidR="009E614A" w:rsidRPr="007224C3" w:rsidRDefault="009E614A" w:rsidP="007224C3">
      <w:pPr>
        <w:spacing w:after="0" w:line="240" w:lineRule="auto"/>
        <w:jc w:val="both"/>
        <w:rPr>
          <w:rFonts w:ascii="Times New Roman" w:hAnsi="Times New Roman"/>
          <w:color w:val="0070C0"/>
          <w:sz w:val="16"/>
          <w:szCs w:val="16"/>
        </w:rPr>
      </w:pPr>
      <w:r w:rsidRPr="007224C3">
        <w:rPr>
          <w:rStyle w:val="723"/>
          <w:rFonts w:ascii="Times New Roman" w:hAnsi="Times New Roman" w:cs="Times New Roman"/>
          <w:color w:val="0070C0"/>
          <w:sz w:val="16"/>
          <w:szCs w:val="16"/>
        </w:rPr>
        <w:t>В июне 1944 года изменения ИС-2 оказа</w:t>
      </w:r>
      <w:r w:rsidRPr="007224C3">
        <w:rPr>
          <w:rStyle w:val="723"/>
          <w:rFonts w:ascii="Times New Roman" w:hAnsi="Times New Roman" w:cs="Times New Roman"/>
          <w:color w:val="0070C0"/>
          <w:sz w:val="16"/>
          <w:szCs w:val="16"/>
        </w:rPr>
        <w:softHyphen/>
        <w:t>лись менее существенными, хотя они сильно по</w:t>
      </w:r>
      <w:r w:rsidRPr="007224C3">
        <w:rPr>
          <w:rStyle w:val="723"/>
          <w:rFonts w:ascii="Times New Roman" w:hAnsi="Times New Roman" w:cs="Times New Roman"/>
          <w:color w:val="0070C0"/>
          <w:sz w:val="16"/>
          <w:szCs w:val="16"/>
        </w:rPr>
        <w:softHyphen/>
        <w:t>влияли на внешний вид танка. Во-первых, за</w:t>
      </w:r>
      <w:r w:rsidRPr="007224C3">
        <w:rPr>
          <w:rStyle w:val="723"/>
          <w:rFonts w:ascii="Times New Roman" w:hAnsi="Times New Roman" w:cs="Times New Roman"/>
          <w:color w:val="0070C0"/>
          <w:sz w:val="16"/>
          <w:szCs w:val="16"/>
        </w:rPr>
        <w:softHyphen/>
        <w:t>пасные траки перенесли с нижней кормовой детали корпуса на нижнюю носовую деталь. При этом число запасных траков выросло до 6 штук. Данное изменение несколько улуч</w:t>
      </w:r>
      <w:r w:rsidRPr="007224C3">
        <w:rPr>
          <w:rStyle w:val="723"/>
          <w:rFonts w:ascii="Times New Roman" w:hAnsi="Times New Roman" w:cs="Times New Roman"/>
          <w:color w:val="0070C0"/>
          <w:sz w:val="16"/>
          <w:szCs w:val="16"/>
        </w:rPr>
        <w:softHyphen/>
        <w:t>шило броневую защиту. Как показали испы</w:t>
      </w:r>
      <w:r w:rsidRPr="007224C3">
        <w:rPr>
          <w:rStyle w:val="723"/>
          <w:rFonts w:ascii="Times New Roman" w:hAnsi="Times New Roman" w:cs="Times New Roman"/>
          <w:color w:val="0070C0"/>
          <w:sz w:val="16"/>
          <w:szCs w:val="16"/>
        </w:rPr>
        <w:softHyphen/>
        <w:t>тания, эффект от траков был при попадании снарядов на дистанции более километра. Позже, во время ремонта, аналогичным обра</w:t>
      </w:r>
      <w:r w:rsidRPr="007224C3">
        <w:rPr>
          <w:rStyle w:val="723"/>
          <w:rFonts w:ascii="Times New Roman" w:hAnsi="Times New Roman" w:cs="Times New Roman"/>
          <w:color w:val="0070C0"/>
          <w:sz w:val="16"/>
          <w:szCs w:val="16"/>
        </w:rPr>
        <w:softHyphen/>
        <w:t>зом запасные траки переносили и на более ранних танках. Также с июня 1944 года зад</w:t>
      </w:r>
      <w:r w:rsidRPr="007224C3">
        <w:rPr>
          <w:rStyle w:val="723"/>
          <w:rFonts w:ascii="Times New Roman" w:hAnsi="Times New Roman" w:cs="Times New Roman"/>
          <w:color w:val="0070C0"/>
          <w:sz w:val="16"/>
          <w:szCs w:val="16"/>
        </w:rPr>
        <w:softHyphen/>
        <w:t xml:space="preserve">ние фонари перенесли с крыши МТО на борта корпуса. На корпусах выпуска УЗТМ начали </w:t>
      </w:r>
      <w:r w:rsidRPr="007224C3">
        <w:rPr>
          <w:rStyle w:val="723"/>
          <w:rFonts w:ascii="Times New Roman" w:hAnsi="Times New Roman" w:cs="Times New Roman"/>
          <w:color w:val="0070C0"/>
          <w:sz w:val="16"/>
          <w:szCs w:val="16"/>
        </w:rPr>
        <w:lastRenderedPageBreak/>
        <w:t>устанавливать выхлопные жалюзи с увели</w:t>
      </w:r>
      <w:r w:rsidRPr="007224C3">
        <w:rPr>
          <w:rStyle w:val="723"/>
          <w:rFonts w:ascii="Times New Roman" w:hAnsi="Times New Roman" w:cs="Times New Roman"/>
          <w:color w:val="0070C0"/>
          <w:sz w:val="16"/>
          <w:szCs w:val="16"/>
        </w:rPr>
        <w:softHyphen/>
        <w:t>ченным шагом, а на корпусах завода № 200 появилось дополнительное кольцо и замок на крыше моторного люка. Хватало и внут</w:t>
      </w:r>
      <w:r w:rsidRPr="007224C3">
        <w:rPr>
          <w:rStyle w:val="723"/>
          <w:rFonts w:ascii="Times New Roman" w:hAnsi="Times New Roman" w:cs="Times New Roman"/>
          <w:color w:val="0070C0"/>
          <w:sz w:val="16"/>
          <w:szCs w:val="16"/>
        </w:rPr>
        <w:softHyphen/>
        <w:t>ренних изменений, всего за июнь внедрили 8 пунктов улучшений и изменений. Пробовали в июне 1944 года собирать гусеничные ленты из литых траков из стали 27 СТГ (19874).</w:t>
      </w:r>
    </w:p>
    <w:p w14:paraId="4F4A6E1F" w14:textId="77777777" w:rsidR="009E614A" w:rsidRPr="007224C3" w:rsidRDefault="009E614A" w:rsidP="007224C3">
      <w:pPr>
        <w:shd w:val="clear" w:color="auto" w:fill="FFFFFF"/>
        <w:spacing w:after="0" w:line="240" w:lineRule="auto"/>
        <w:jc w:val="both"/>
        <w:rPr>
          <w:rFonts w:ascii="Times New Roman" w:hAnsi="Times New Roman"/>
          <w:color w:val="0070C0"/>
          <w:sz w:val="16"/>
          <w:szCs w:val="16"/>
        </w:rPr>
      </w:pPr>
    </w:p>
    <w:p w14:paraId="46C4D5F3" w14:textId="77777777" w:rsidR="00B216D6" w:rsidRPr="007224C3" w:rsidRDefault="00B216D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июне 1944 года, согласно приказу по Народному комиссариату танковой промышленности (НКТП) №244с, завод №200 изготовил четыре спрямлённых носовых детали и четыре изменённых подбашенных коробки. УЗТМ приступил к изготовлению новых корпусов в мае. Судя по переписке ЧКЗ, уже в июле были сданы первые ИС-2 со спрямлённой носовой частью и переделанной подбашенной коробкой.</w:t>
      </w:r>
    </w:p>
    <w:p w14:paraId="0850A678" w14:textId="77777777" w:rsidR="00B216D6" w:rsidRPr="007224C3" w:rsidRDefault="00B216D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поступившие с УЗТМ корпуса имелись жалобы. 100% этих корпусов имели дефекты по посадочным диаметрам под смотровые приборы MK-IV и по упорам нижней подвески. Заводу пришлось переделывать корпуса, что, разумеется, сказалось на темпах выпуска. Также в июле впервые поступили жалобы на ухудшившуюся обзорность с места механика-водителя.</w:t>
      </w:r>
    </w:p>
    <w:p w14:paraId="190EFF3F" w14:textId="77777777" w:rsidR="00B216D6" w:rsidRPr="007224C3" w:rsidRDefault="00B216D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Изменение формы носовой детали корпуса никак не отразилось на названии машины. Часто применяющееся обозначение ИС-2 обр.1944 года является послевоенным изобретением. Никакого отношения к реальности не имеет и индекс ИС-2М, который появился в самом конце 50-х годов и использовался в отношении другой техники.</w:t>
      </w:r>
    </w:p>
    <w:p w14:paraId="6F62C975" w14:textId="77777777" w:rsidR="00B216D6" w:rsidRPr="007224C3" w:rsidRDefault="00B216D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переписке ЧКЗ вообще не разделяет машины с разными типами носовых деталей. Лишь изредка упоминаются «ИС-2 со спрямлённым носом». Стоит отметить, что даже в августе 1944 года часть танков получала корпуса старой конструкции. Полностью на спрямлённую носовую деталь производители перешли только с 1 сентября, причём большая часть машин комплектовалась корпусами завода №200.</w:t>
      </w:r>
    </w:p>
    <w:p w14:paraId="3BD788D6" w14:textId="77777777" w:rsidR="00B216D6" w:rsidRPr="007224C3" w:rsidRDefault="00B216D6" w:rsidP="007224C3">
      <w:pPr>
        <w:spacing w:after="0" w:line="240" w:lineRule="auto"/>
        <w:jc w:val="both"/>
        <w:rPr>
          <w:rFonts w:ascii="Times New Roman" w:hAnsi="Times New Roman"/>
          <w:color w:val="000000" w:themeColor="text1"/>
          <w:sz w:val="16"/>
          <w:szCs w:val="16"/>
        </w:rPr>
      </w:pPr>
    </w:p>
    <w:p w14:paraId="56A952FB" w14:textId="77777777" w:rsidR="008B795B" w:rsidRPr="007224C3" w:rsidRDefault="008B795B" w:rsidP="007224C3">
      <w:pPr>
        <w:pStyle w:val="ae"/>
        <w:shd w:val="clear" w:color="auto" w:fill="FFFFFF"/>
        <w:spacing w:before="0" w:after="0"/>
        <w:jc w:val="both"/>
        <w:rPr>
          <w:color w:val="000000" w:themeColor="text1"/>
          <w:sz w:val="16"/>
          <w:szCs w:val="16"/>
        </w:rPr>
      </w:pPr>
      <w:r w:rsidRPr="007224C3">
        <w:rPr>
          <w:color w:val="000000" w:themeColor="text1"/>
          <w:sz w:val="16"/>
          <w:szCs w:val="16"/>
        </w:rPr>
        <w:t>В июне 1944 на ЧКЗ сложилась сложная ситуация: задание на выпуск 200 ИС-2, 130 ИСУ-152 и 120 ИСУ-122 завод выполнил только к 10 июля. На сей раз выявились проблемы с оптикой и артиллерийским вооружением. По словам директора завода, недостаток рабочей силы на ЧКЗ в это время составлял примерно 5 тысяч человек. Впрочем, военные представители отмечали позитивные тенденции. Завод выпускал продукцию с меньшими перерывами. В июне в конструкцию танка также удалось внести ряд изменений. Наиболее заметным из них стали новые поручни. Запасные траки «переехали» с кормы на лобовую деталь корпуса. Примерно в это же время кормовые фонари были перенесены на бортовые листы корпуса. Где-то в июле 1944 года в серию пошла орудийная установка с более широкой подвижной бронировкой (17721).</w:t>
      </w:r>
    </w:p>
    <w:p w14:paraId="38E14DD6" w14:textId="77777777" w:rsidR="008B795B" w:rsidRPr="007224C3" w:rsidRDefault="008B795B" w:rsidP="007224C3">
      <w:pPr>
        <w:spacing w:after="0" w:line="240" w:lineRule="auto"/>
        <w:jc w:val="both"/>
        <w:rPr>
          <w:rFonts w:ascii="Times New Roman" w:eastAsia="Times New Roman" w:hAnsi="Times New Roman"/>
          <w:color w:val="000000" w:themeColor="text1"/>
          <w:sz w:val="16"/>
          <w:szCs w:val="16"/>
          <w:lang w:eastAsia="ru-RU"/>
        </w:rPr>
      </w:pPr>
    </w:p>
    <w:p w14:paraId="3673DEBD" w14:textId="77777777" w:rsidR="008B795B" w:rsidRPr="007224C3" w:rsidRDefault="008B795B" w:rsidP="007224C3">
      <w:pPr>
        <w:pStyle w:val="ae"/>
        <w:shd w:val="clear" w:color="auto" w:fill="FFFFFF"/>
        <w:spacing w:before="0" w:after="0"/>
        <w:jc w:val="both"/>
        <w:rPr>
          <w:color w:val="000000" w:themeColor="text1"/>
          <w:sz w:val="16"/>
          <w:szCs w:val="16"/>
        </w:rPr>
      </w:pPr>
      <w:r w:rsidRPr="007224C3">
        <w:rPr>
          <w:color w:val="000000" w:themeColor="text1"/>
          <w:sz w:val="16"/>
          <w:szCs w:val="16"/>
        </w:rPr>
        <w:t>С июня 1944 года УЗТМ выходил на выпуск 50 комплектов корпусов и башен для ИС и самоходок на его базе. На заводе №200 в этом же месяце прекращалась практика выпуска корпусов без башен, а на УЗТМ — выпуска башен без корпусов. С июля на заводе №200 планировалось ежемесячно выпускать по 200 комплектов корпусов и башен для ИС-2. При этом с завода снимались задачи по обеспечению корпусного производства ИСУ.</w:t>
      </w:r>
    </w:p>
    <w:p w14:paraId="1634C3E4" w14:textId="77777777" w:rsidR="008B795B" w:rsidRPr="007224C3" w:rsidRDefault="008B795B" w:rsidP="007224C3">
      <w:pPr>
        <w:pStyle w:val="ae"/>
        <w:shd w:val="clear" w:color="auto" w:fill="FFFFFF"/>
        <w:spacing w:before="0" w:after="0"/>
        <w:jc w:val="both"/>
        <w:rPr>
          <w:color w:val="000000" w:themeColor="text1"/>
          <w:sz w:val="16"/>
          <w:szCs w:val="16"/>
        </w:rPr>
      </w:pPr>
      <w:r w:rsidRPr="007224C3">
        <w:rPr>
          <w:color w:val="000000" w:themeColor="text1"/>
          <w:sz w:val="16"/>
          <w:szCs w:val="16"/>
        </w:rPr>
        <w:t>Корпусное производство для ИС-2 велось не только на УЗТМ и заводе №200. Например, командирские башенки с января 1944 года отливались на заводе №178.</w:t>
      </w:r>
    </w:p>
    <w:p w14:paraId="014BC365" w14:textId="77777777" w:rsidR="008B795B" w:rsidRPr="007224C3" w:rsidRDefault="008B795B" w:rsidP="007224C3">
      <w:pPr>
        <w:pStyle w:val="ae"/>
        <w:shd w:val="clear" w:color="auto" w:fill="FFFFFF"/>
        <w:spacing w:before="0" w:after="0"/>
        <w:jc w:val="both"/>
        <w:rPr>
          <w:color w:val="000000" w:themeColor="text1"/>
          <w:sz w:val="16"/>
          <w:szCs w:val="16"/>
        </w:rPr>
      </w:pPr>
      <w:r w:rsidRPr="007224C3">
        <w:rPr>
          <w:color w:val="000000" w:themeColor="text1"/>
          <w:sz w:val="16"/>
          <w:szCs w:val="16"/>
        </w:rPr>
        <w:t>Велись работы и по улучшению защиты тяжёлого танка. На заводе №200 они начались с 20 февраля. В марте 1944 года 78 из 116 корпусов и 62 из 82 башен, выпущенных заводом №200, имели лобовые детали из брони высокой твёрдости 70Л. Тогда же на заводе №178 стали отливать командирские башенки из стали 70Л. Броня высокой твёрдости появилась и на изделиях УЗТМ (17721).</w:t>
      </w:r>
    </w:p>
    <w:p w14:paraId="5293AAB2" w14:textId="77777777" w:rsidR="008B795B" w:rsidRPr="007224C3" w:rsidRDefault="008B795B" w:rsidP="007224C3">
      <w:pPr>
        <w:pStyle w:val="123"/>
        <w:shd w:val="clear" w:color="auto" w:fill="auto"/>
        <w:spacing w:after="0" w:line="240" w:lineRule="auto"/>
        <w:jc w:val="both"/>
        <w:rPr>
          <w:color w:val="000000" w:themeColor="text1"/>
          <w:sz w:val="16"/>
          <w:szCs w:val="16"/>
        </w:rPr>
      </w:pPr>
    </w:p>
    <w:p w14:paraId="0608409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июне 1944 г. КБ завода № 100 предоста</w:t>
      </w:r>
      <w:r w:rsidRPr="007224C3">
        <w:rPr>
          <w:rFonts w:ascii="Times New Roman" w:hAnsi="Times New Roman"/>
          <w:color w:val="000000" w:themeColor="text1"/>
          <w:sz w:val="16"/>
          <w:szCs w:val="16"/>
        </w:rPr>
        <w:softHyphen/>
        <w:t>вило в ТУ ГБТУ генерал-майору С. Афонину эскизный проект тяжелого танка ИС-6, несущего электромеханичес</w:t>
      </w:r>
      <w:r w:rsidRPr="007224C3">
        <w:rPr>
          <w:rFonts w:ascii="Times New Roman" w:hAnsi="Times New Roman"/>
          <w:color w:val="000000" w:themeColor="text1"/>
          <w:sz w:val="16"/>
          <w:szCs w:val="16"/>
        </w:rPr>
        <w:softHyphen/>
        <w:t>кую трансмиссию “типа Фердинанда”.</w:t>
      </w:r>
    </w:p>
    <w:p w14:paraId="05A1A7B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Анализ данных эскизного проекта позволил комиссии техуправления ГБТУ сделать заключение, что танк по своим показателям не имеет значительных преимуществ перед танком «Объект 701», но превосходит ИС-122. Первоначаль</w:t>
      </w:r>
      <w:r w:rsidRPr="007224C3">
        <w:rPr>
          <w:rFonts w:ascii="Times New Roman" w:hAnsi="Times New Roman"/>
          <w:color w:val="000000" w:themeColor="text1"/>
          <w:sz w:val="16"/>
          <w:szCs w:val="16"/>
        </w:rPr>
        <w:softHyphen/>
        <w:t>но предполагалось использовать лишь некоторые удачные решения танка ИС-6 в ходе модернизации ИС-122 (ИС-2). Но по какой-то причине вскоре после этого принимается решение на изготовление двух опытных образцов с механи</w:t>
      </w:r>
      <w:r w:rsidRPr="007224C3">
        <w:rPr>
          <w:rFonts w:ascii="Times New Roman" w:hAnsi="Times New Roman"/>
          <w:color w:val="000000" w:themeColor="text1"/>
          <w:sz w:val="16"/>
          <w:szCs w:val="16"/>
        </w:rPr>
        <w:softHyphen/>
        <w:t>ческой трансмиссией, «Объект 252», и электромеханической трансмиссией типа «Фердинанд», «Объект 253» (11153).</w:t>
      </w:r>
    </w:p>
    <w:p w14:paraId="25ABAAF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CA81E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июне 1944 г. доработанная и изготовленная заводом № 4 пушка Д-10Т на заводе № 100 была вновь установлена в танке "Объект 245" и повторно подвергну полигонным испытаниям. Кроме того, в боевом отделении танка бы установлен вентилятор более высокой производительности и измене: наклон хомутиковой укладки выстрелов (10703).</w:t>
      </w:r>
    </w:p>
    <w:p w14:paraId="04E628E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BCD3C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июне 1944 г. с опозданием из-за отсутствия готовой башни, был из</w:t>
      </w:r>
      <w:r w:rsidRPr="007224C3">
        <w:rPr>
          <w:rFonts w:ascii="Times New Roman" w:hAnsi="Times New Roman"/>
          <w:color w:val="000000" w:themeColor="text1"/>
          <w:sz w:val="16"/>
          <w:szCs w:val="16"/>
        </w:rPr>
        <w:softHyphen/>
        <w:t>готовлен опытный тяже</w:t>
      </w:r>
      <w:r w:rsidRPr="007224C3">
        <w:rPr>
          <w:rFonts w:ascii="Times New Roman" w:hAnsi="Times New Roman"/>
          <w:color w:val="000000" w:themeColor="text1"/>
          <w:sz w:val="16"/>
          <w:szCs w:val="16"/>
        </w:rPr>
        <w:softHyphen/>
        <w:t>лый танк ИС-5 ("Объект 248") и к концу месяца он прошел лишь заводские испытания пробегом и отстрелом на Миасском полигоне. Танк "Объект 248" был создан на базе опытного тяжелого танка "Объект 237" № 1. В связи с установкой новой пушки и башни была изменена компоновка боевого отделения. Командир и наводчик располагались справа, а заряжающий - слева от пушки. Люк и командирская башенка имели, по отношению к серийной башне танка ИС-1, зеркальное распо</w:t>
      </w:r>
      <w:r w:rsidRPr="007224C3">
        <w:rPr>
          <w:rFonts w:ascii="Times New Roman" w:hAnsi="Times New Roman"/>
          <w:color w:val="000000" w:themeColor="text1"/>
          <w:sz w:val="16"/>
          <w:szCs w:val="16"/>
        </w:rPr>
        <w:softHyphen/>
        <w:t>ложение. Кроме того, отсутствовала установка тыльного пулемета. После проведения заводских испытаний машина была рекомендова</w:t>
      </w:r>
      <w:r w:rsidRPr="007224C3">
        <w:rPr>
          <w:rFonts w:ascii="Times New Roman" w:hAnsi="Times New Roman"/>
          <w:color w:val="000000" w:themeColor="text1"/>
          <w:sz w:val="16"/>
          <w:szCs w:val="16"/>
        </w:rPr>
        <w:softHyphen/>
        <w:t>на на полигонные испытания. Однако ни "Объект 245", ни "Объект 248", оснащенные 100-мм пуш</w:t>
      </w:r>
      <w:r w:rsidRPr="007224C3">
        <w:rPr>
          <w:rFonts w:ascii="Times New Roman" w:hAnsi="Times New Roman"/>
          <w:color w:val="000000" w:themeColor="text1"/>
          <w:sz w:val="16"/>
          <w:szCs w:val="16"/>
        </w:rPr>
        <w:softHyphen/>
        <w:t>ками, не были приняты на вооружение вследствие того, что на дальнос</w:t>
      </w:r>
      <w:r w:rsidRPr="007224C3">
        <w:rPr>
          <w:rFonts w:ascii="Times New Roman" w:hAnsi="Times New Roman"/>
          <w:color w:val="000000" w:themeColor="text1"/>
          <w:sz w:val="16"/>
          <w:szCs w:val="16"/>
        </w:rPr>
        <w:softHyphen/>
        <w:t>тях свыше 1000 м из-за меньшей массы бронебойных снарядов их бро-непробиваемость оказалась меньше, чем у 122-мм бронебойных снаря</w:t>
      </w:r>
      <w:r w:rsidRPr="007224C3">
        <w:rPr>
          <w:rFonts w:ascii="Times New Roman" w:hAnsi="Times New Roman"/>
          <w:color w:val="000000" w:themeColor="text1"/>
          <w:sz w:val="16"/>
          <w:szCs w:val="16"/>
        </w:rPr>
        <w:softHyphen/>
        <w:t>дов пушки Д-25. С середины апреля 1944 г. на основании "Тактико-технических тре</w:t>
      </w:r>
      <w:r w:rsidRPr="007224C3">
        <w:rPr>
          <w:rFonts w:ascii="Times New Roman" w:hAnsi="Times New Roman"/>
          <w:color w:val="000000" w:themeColor="text1"/>
          <w:sz w:val="16"/>
          <w:szCs w:val="16"/>
        </w:rPr>
        <w:softHyphen/>
        <w:t>бований на проектирование тяжелого танка", разработанных ТУ ГБТУ, в КБ завода № 100 велась работа по проектированию опытных тяжелых танков с электромеханической и механической трансмиссиями (10703).</w:t>
      </w:r>
    </w:p>
    <w:p w14:paraId="4316592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672CC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В июне 1944 года первый опытный образец пушки БЛ-9, изготовленной на заводе № 172, установили на ИСУ-122-1. Эту машину представили на полигонные испытания 7 июля 1944 года. Предварительных испытаний в Гороховце в августе 1944 года установка не выдержала из-за низкой живучести ствола. Новый ствол был изготовлен к началу февраля 1945 года, и после его монтажа самоходка вновь поступила на испытания, состоявшиеся в мае 1945 года. На последних при стрельбе произошел разрыв ствола из-за дефектов металла. После этого дальнейшие работы по ИСУ-122-1 прекратили. </w:t>
      </w:r>
    </w:p>
    <w:p w14:paraId="502D683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Самоходная установка ИСУ-152-1 (ИСУ-152БМ) была создана в апреле 1944 года в КБ завода № 100, по инициативе ОКБ-172, предложившего разместить в установке СУ-152 разработанную у них 152-мм пушку БЛ-7, имевшую баллистику пушки Бр-2. Модификация пушки для монтажа в САУ получила индекс БЛ-8 (ОБМ-43). Она имела поршневой затвор, дульный тормоз оригинальной конструкции и систему продувки канала ствола сжатым воздухом из баллонов. Углы вертикального наведения составляли от -3°10'до+17°45', горизонтального — в секторе 8°30' (вправо — 6°30', влево — 2°). Высота линии огня — 1655 мм. При стрельбе использовались телескопический прицел СТ-10 и панорама Герца. Дальность стрельбы равнялась 18 500 м. Приводы наведения остались неизменными, по сравнению с установкой ИСУ-122. Боекомплект включал 21 выстрел раздельно-гильзового заряжания. Начальная скорость бронебойного снаряда достигала 850 м/с. В связи с монтажом новой пушки конструкцию броневой маски орудия несколько изменили. </w:t>
      </w:r>
    </w:p>
    <w:p w14:paraId="7904005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При проведении испытаний пушки БЛ-8 были выявлены «неудовлетворительные показатели по действию снарядов», ненадежность работы дульного тормоза и поршневого затвора, а также плохие условия работы расчета. Большой вылет ствола (общая длина установки составляла 12,05 м) ограничивал маневренность машины. По результатам испытаний БЛ-8 заменили пушкой БЛ-10 с клиновым полуавтоматическим затвором. </w:t>
      </w:r>
    </w:p>
    <w:p w14:paraId="298DD4D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декабре 1944 года самоходная установка ИСУ-152-2 с пушкой БЛ-10 проходила испытания на Ленинградском АНИОПе. Она их не выдержала из-за неудовлетворительной живучести ствола пушки и малого угла горизонтального наведения. Пушку отправили на доработку на завод № 172, однако до окончания войны ее доводка не была завершена (11638).</w:t>
      </w:r>
    </w:p>
    <w:p w14:paraId="412AD74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392A2B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июне 1944 года установка ИСУ-122С прошла ходовые и артиллерийские испытания на Гороховецком АНИОПе. На вооружение была принята 22 августа 1944 г. Серийное производство началось в ав</w:t>
      </w:r>
      <w:r w:rsidRPr="007224C3">
        <w:rPr>
          <w:rFonts w:ascii="Times New Roman" w:hAnsi="Times New Roman"/>
          <w:color w:val="000000" w:themeColor="text1"/>
          <w:sz w:val="16"/>
          <w:szCs w:val="16"/>
        </w:rPr>
        <w:softHyphen/>
        <w:t>густе 1944 г. на ЧКЗ. С августа 1944 г. до сентября 1945 г. был организо</w:t>
      </w:r>
      <w:r w:rsidRPr="007224C3">
        <w:rPr>
          <w:rFonts w:ascii="Times New Roman" w:hAnsi="Times New Roman"/>
          <w:color w:val="000000" w:themeColor="text1"/>
          <w:sz w:val="16"/>
          <w:szCs w:val="16"/>
        </w:rPr>
        <w:softHyphen/>
        <w:t>ван параллельный выпуск ИСУ-122 с пушкой А-19 и модернизирован</w:t>
      </w:r>
      <w:r w:rsidRPr="007224C3">
        <w:rPr>
          <w:rFonts w:ascii="Times New Roman" w:hAnsi="Times New Roman"/>
          <w:color w:val="000000" w:themeColor="text1"/>
          <w:sz w:val="16"/>
          <w:szCs w:val="16"/>
        </w:rPr>
        <w:softHyphen/>
        <w:t>ной ИСУ-122С с пушкой Д-25С, так как производство ИСУ-122С не было полностью обеспечено поставкой 122-мм пушек Д-25С. До 1 июня 1945 г. было выпущено 475 самоходных установок ИСУ-122С, которые использовались в боях в завершающем периоде Великой Отечествен</w:t>
      </w:r>
      <w:r w:rsidRPr="007224C3">
        <w:rPr>
          <w:rFonts w:ascii="Times New Roman" w:hAnsi="Times New Roman"/>
          <w:color w:val="000000" w:themeColor="text1"/>
          <w:sz w:val="16"/>
          <w:szCs w:val="16"/>
        </w:rPr>
        <w:softHyphen/>
        <w:t>ной войны. Всего за время серийного производства было изготовлено 675 машин (10703).</w:t>
      </w:r>
    </w:p>
    <w:p w14:paraId="4B78A54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E69CFD0" w14:textId="77777777" w:rsidR="00B216D6" w:rsidRPr="007224C3" w:rsidRDefault="00B216D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июне 1944, как и предполагалось, было сдано 120 машин ИСУ-122, правда, имелись проблемы уже не с орудиями, а с прицелами СТ-18. Это был тот же прицел СТ-10, который ставился на ИСУ-152, но со шкалой под А-19. По состоянию на 25 июня 1944 года завод располагал 80 системами А-19, но при этом СТ-18 имелось 62 штуки. В результате в цеху СБ-3 образовалась небольшая «пробка» из ИСУ-122 и ИС-2, для танков ситуация с прицелами оказалась ещё более проблемной. Следует также отметить, что нововведения по конструкции САУ вводились одновременно с ИСУ-152. Например, с июня 1944 года запасные траки перенесли на лобовую часть корпуса.</w:t>
      </w:r>
    </w:p>
    <w:p w14:paraId="6C5646C9" w14:textId="77777777" w:rsidR="00B216D6" w:rsidRPr="007224C3" w:rsidRDefault="00B216D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июле ситуация с орудиями повторилась: вместо 175 ИСУ-122 сдали 140, а выпуск ИСУ-152 увеличили до 135. Стало очевидно, что при таких объёмах выпуска получить необходимое количество А-19 будет крайне затруднительно. Даже с учётом того, что ИСУ-122 получила большой приоритет, пушек и прицелов к ним не хватало. В результате с августа 1944 года на ЧКЗ производились уже три самоходки на одинаковом шасси, но с тремя разными артсистемами (18335).</w:t>
      </w:r>
    </w:p>
    <w:p w14:paraId="44E68056" w14:textId="77777777" w:rsidR="00B216D6" w:rsidRPr="007224C3" w:rsidRDefault="00B216D6" w:rsidP="007224C3">
      <w:pPr>
        <w:spacing w:after="0" w:line="240" w:lineRule="auto"/>
        <w:jc w:val="both"/>
        <w:rPr>
          <w:rFonts w:ascii="Times New Roman" w:hAnsi="Times New Roman"/>
          <w:color w:val="000000" w:themeColor="text1"/>
          <w:sz w:val="16"/>
          <w:szCs w:val="16"/>
        </w:rPr>
      </w:pPr>
    </w:p>
    <w:p w14:paraId="59D62BB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В июне 1944 г. в ОГК НКТП состоялось обсуждение проектов перспективных танков и САУ. И здесь произошло, на первый взгляд, невероятное. Начальник ОГК НКТП И.Бер приостановил дальнейшие работы над ЭСУ-100, мо</w:t>
      </w:r>
      <w:r w:rsidRPr="007224C3">
        <w:rPr>
          <w:rFonts w:ascii="Times New Roman" w:hAnsi="Times New Roman"/>
          <w:color w:val="000000" w:themeColor="text1"/>
          <w:sz w:val="16"/>
          <w:szCs w:val="16"/>
        </w:rPr>
        <w:softHyphen/>
        <w:t>тивируя это тем, что разрабатываемая САУ не подходит под утвержденные требования танкосамохода прорыва и не име</w:t>
      </w:r>
      <w:r w:rsidRPr="007224C3">
        <w:rPr>
          <w:rFonts w:ascii="Times New Roman" w:hAnsi="Times New Roman"/>
          <w:color w:val="000000" w:themeColor="text1"/>
          <w:sz w:val="16"/>
          <w:szCs w:val="16"/>
        </w:rPr>
        <w:softHyphen/>
        <w:t>ет никаких преимуществ перед уже имеющейся СУ-100. В то же время разработанная для САУ схема электротрансмиссии была высоко оценена и рекомендовалась для принятия «за основу» в проектировании танка прорыва (эта схема элект</w:t>
      </w:r>
      <w:r w:rsidRPr="007224C3">
        <w:rPr>
          <w:rFonts w:ascii="Times New Roman" w:hAnsi="Times New Roman"/>
          <w:color w:val="000000" w:themeColor="text1"/>
          <w:sz w:val="16"/>
          <w:szCs w:val="16"/>
        </w:rPr>
        <w:softHyphen/>
        <w:t>ротрансмиссии была реализована Уралмашзаводом для тан</w:t>
      </w:r>
      <w:r w:rsidRPr="007224C3">
        <w:rPr>
          <w:rFonts w:ascii="Times New Roman" w:hAnsi="Times New Roman"/>
          <w:color w:val="000000" w:themeColor="text1"/>
          <w:sz w:val="16"/>
          <w:szCs w:val="16"/>
        </w:rPr>
        <w:softHyphen/>
        <w:t>ка ИС-6, но в серию не пошла). Несмотря на прекращение работ над ЭСУ-100, Л.И. Горлицкий верил в перспективность компоновки с задним рас</w:t>
      </w:r>
      <w:r w:rsidRPr="007224C3">
        <w:rPr>
          <w:rFonts w:ascii="Times New Roman" w:hAnsi="Times New Roman"/>
          <w:color w:val="000000" w:themeColor="text1"/>
          <w:sz w:val="16"/>
          <w:szCs w:val="16"/>
        </w:rPr>
        <w:softHyphen/>
        <w:t>положением боевого отделения и добился у наркома разре</w:t>
      </w:r>
      <w:r w:rsidRPr="007224C3">
        <w:rPr>
          <w:rFonts w:ascii="Times New Roman" w:hAnsi="Times New Roman"/>
          <w:color w:val="000000" w:themeColor="text1"/>
          <w:sz w:val="16"/>
          <w:szCs w:val="16"/>
        </w:rPr>
        <w:softHyphen/>
        <w:t>шения о продолжении работ по данной САУ, но с механиче</w:t>
      </w:r>
      <w:r w:rsidRPr="007224C3">
        <w:rPr>
          <w:rFonts w:ascii="Times New Roman" w:hAnsi="Times New Roman"/>
          <w:color w:val="000000" w:themeColor="text1"/>
          <w:sz w:val="16"/>
          <w:szCs w:val="16"/>
        </w:rPr>
        <w:softHyphen/>
        <w:t>ской трансмиссией. Машина получила индекс СУ-100-М. Неожиданно «толкачом» в продвижении этого проекта вы</w:t>
      </w:r>
      <w:r w:rsidRPr="007224C3">
        <w:rPr>
          <w:rFonts w:ascii="Times New Roman" w:hAnsi="Times New Roman"/>
          <w:color w:val="000000" w:themeColor="text1"/>
          <w:sz w:val="16"/>
          <w:szCs w:val="16"/>
        </w:rPr>
        <w:softHyphen/>
        <w:t>ступил И.В. Сталин. Как вспоминал Л.И. Горлицкий, в октябре 1944 г., слушая доклад о состоянии работ по танку Т-44, вождь вдруг спросил В.А. Малышева, готовится ли какая-ни</w:t>
      </w:r>
      <w:r w:rsidRPr="007224C3">
        <w:rPr>
          <w:rFonts w:ascii="Times New Roman" w:hAnsi="Times New Roman"/>
          <w:color w:val="000000" w:themeColor="text1"/>
          <w:sz w:val="16"/>
          <w:szCs w:val="16"/>
        </w:rPr>
        <w:softHyphen/>
        <w:t>будь самоходка на шасси нового танка? Малышев быстро от</w:t>
      </w:r>
      <w:r w:rsidRPr="007224C3">
        <w:rPr>
          <w:rFonts w:ascii="Times New Roman" w:hAnsi="Times New Roman"/>
          <w:color w:val="000000" w:themeColor="text1"/>
          <w:sz w:val="16"/>
          <w:szCs w:val="16"/>
        </w:rPr>
        <w:softHyphen/>
        <w:t>ветил, что на Уралмашзаводе ведутся проектные работы над перспективной 100-мм САУ с улучшенной бронезащитой и компоновкой по типу «фердинанда», где используется МТО от Т-44. «Хорошо! — ответил Сталин.— Сделайте побыстрее и поставьте на нее 122-мм пушку!» Трудно сказать, так ли было на самом деле, но автор верит словам Льва Израилевича, так как они неплохо стыкуются с тогдашними событиями (11417).</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402"/>
        <w:gridCol w:w="2054"/>
        <w:gridCol w:w="1008"/>
        <w:gridCol w:w="749"/>
      </w:tblGrid>
      <w:tr w:rsidR="005106D0" w:rsidRPr="007224C3" w14:paraId="5D7451A2" w14:textId="77777777">
        <w:trPr>
          <w:trHeight w:val="182"/>
        </w:trPr>
        <w:tc>
          <w:tcPr>
            <w:tcW w:w="1402" w:type="dxa"/>
            <w:tcBorders>
              <w:top w:val="single" w:sz="12" w:space="0" w:color="auto"/>
            </w:tcBorders>
          </w:tcPr>
          <w:p w14:paraId="08573E4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5FE0CB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54" w:type="dxa"/>
            <w:tcBorders>
              <w:top w:val="single" w:sz="12" w:space="0" w:color="auto"/>
            </w:tcBorders>
          </w:tcPr>
          <w:p w14:paraId="4E3B25F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85-мм 122-мм</w:t>
            </w:r>
          </w:p>
          <w:p w14:paraId="4E2C723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12" w:space="0" w:color="auto"/>
            </w:tcBorders>
          </w:tcPr>
          <w:p w14:paraId="1A274B2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130-мм</w:t>
            </w:r>
          </w:p>
          <w:p w14:paraId="707AEB7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12" w:space="0" w:color="auto"/>
            </w:tcBorders>
          </w:tcPr>
          <w:p w14:paraId="36A7F4F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152-мм</w:t>
            </w:r>
          </w:p>
          <w:p w14:paraId="646DA58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C81E8AB" w14:textId="77777777">
        <w:trPr>
          <w:trHeight w:val="192"/>
        </w:trPr>
        <w:tc>
          <w:tcPr>
            <w:tcW w:w="1402" w:type="dxa"/>
          </w:tcPr>
          <w:p w14:paraId="526C9E0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ТТХ / Марка САУ</w:t>
            </w:r>
          </w:p>
          <w:p w14:paraId="2BF734C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54" w:type="dxa"/>
          </w:tcPr>
          <w:p w14:paraId="45B0A60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СУ-85Б(ЦАКБ)ИСУ-122-1</w:t>
            </w:r>
          </w:p>
          <w:p w14:paraId="24DD944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Pr>
          <w:p w14:paraId="638D99A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ИСУ-130</w:t>
            </w:r>
          </w:p>
          <w:p w14:paraId="4A4C177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642D503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СУ- 152-2</w:t>
            </w:r>
          </w:p>
          <w:p w14:paraId="396AAD2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7BACEFE" w14:textId="77777777">
        <w:trPr>
          <w:trHeight w:val="173"/>
        </w:trPr>
        <w:tc>
          <w:tcPr>
            <w:tcW w:w="1402" w:type="dxa"/>
          </w:tcPr>
          <w:p w14:paraId="2EC7BBB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Боевая масса, кг</w:t>
            </w:r>
          </w:p>
          <w:p w14:paraId="3F7A36C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54" w:type="dxa"/>
          </w:tcPr>
          <w:p w14:paraId="4E94201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30850 46500</w:t>
            </w:r>
          </w:p>
          <w:p w14:paraId="23A0349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Pr>
          <w:p w14:paraId="540DCEE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47100</w:t>
            </w:r>
          </w:p>
          <w:p w14:paraId="30C77C8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70008C7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47000</w:t>
            </w:r>
          </w:p>
          <w:p w14:paraId="6018EFF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FBFEEE0" w14:textId="77777777">
        <w:trPr>
          <w:trHeight w:val="192"/>
        </w:trPr>
        <w:tc>
          <w:tcPr>
            <w:tcW w:w="1402" w:type="dxa"/>
          </w:tcPr>
          <w:p w14:paraId="14A3AE3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Экипаж, чел.</w:t>
            </w:r>
          </w:p>
          <w:p w14:paraId="665EE91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54" w:type="dxa"/>
          </w:tcPr>
          <w:p w14:paraId="6221F0C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4 5</w:t>
            </w:r>
          </w:p>
          <w:p w14:paraId="4B1EC3B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Pr>
          <w:p w14:paraId="7646C02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p w14:paraId="1347A53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3E99F63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w:t>
            </w:r>
          </w:p>
          <w:p w14:paraId="3388520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E1B86A0" w14:textId="77777777">
        <w:trPr>
          <w:trHeight w:val="182"/>
        </w:trPr>
        <w:tc>
          <w:tcPr>
            <w:tcW w:w="5213" w:type="dxa"/>
            <w:gridSpan w:val="4"/>
          </w:tcPr>
          <w:p w14:paraId="513BC56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Размерения. мм</w:t>
            </w:r>
          </w:p>
          <w:p w14:paraId="7D115CA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EA43831" w14:textId="77777777">
        <w:trPr>
          <w:trHeight w:val="192"/>
        </w:trPr>
        <w:tc>
          <w:tcPr>
            <w:tcW w:w="1402" w:type="dxa"/>
          </w:tcPr>
          <w:p w14:paraId="21085E9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Длина общая</w:t>
            </w:r>
          </w:p>
          <w:p w14:paraId="5921EF7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54" w:type="dxa"/>
          </w:tcPr>
          <w:p w14:paraId="05EBB66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9290 11150</w:t>
            </w:r>
          </w:p>
          <w:p w14:paraId="3EC1DDB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Pr>
          <w:p w14:paraId="2E63B43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11165</w:t>
            </w:r>
          </w:p>
          <w:p w14:paraId="42044ED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3A51207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11670</w:t>
            </w:r>
          </w:p>
          <w:p w14:paraId="55573BF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8AEDDE6" w14:textId="77777777">
        <w:trPr>
          <w:trHeight w:val="182"/>
        </w:trPr>
        <w:tc>
          <w:tcPr>
            <w:tcW w:w="1402" w:type="dxa"/>
          </w:tcPr>
          <w:p w14:paraId="4D0C71E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Ширина</w:t>
            </w:r>
          </w:p>
          <w:p w14:paraId="7179F33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54" w:type="dxa"/>
          </w:tcPr>
          <w:p w14:paraId="6E75934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3000 3070</w:t>
            </w:r>
          </w:p>
          <w:p w14:paraId="2FA0BB8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Pr>
          <w:p w14:paraId="4446F9B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3070</w:t>
            </w:r>
          </w:p>
          <w:p w14:paraId="71E5D85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19AA323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3070</w:t>
            </w:r>
          </w:p>
          <w:p w14:paraId="3154438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2039921" w14:textId="77777777">
        <w:trPr>
          <w:trHeight w:val="192"/>
        </w:trPr>
        <w:tc>
          <w:tcPr>
            <w:tcW w:w="1402" w:type="dxa"/>
          </w:tcPr>
          <w:p w14:paraId="378363D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Высота</w:t>
            </w:r>
          </w:p>
          <w:p w14:paraId="469A448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54" w:type="dxa"/>
          </w:tcPr>
          <w:p w14:paraId="274336C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2300 2280</w:t>
            </w:r>
          </w:p>
          <w:p w14:paraId="589913F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Pr>
          <w:p w14:paraId="039F898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2280</w:t>
            </w:r>
          </w:p>
          <w:p w14:paraId="1A6BCC9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3495BBA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2280</w:t>
            </w:r>
          </w:p>
          <w:p w14:paraId="6F4D42A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7179BF9" w14:textId="77777777">
        <w:trPr>
          <w:trHeight w:val="192"/>
        </w:trPr>
        <w:tc>
          <w:tcPr>
            <w:tcW w:w="1402" w:type="dxa"/>
          </w:tcPr>
          <w:p w14:paraId="5F1635F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Клиренс</w:t>
            </w:r>
          </w:p>
          <w:p w14:paraId="722140A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54" w:type="dxa"/>
          </w:tcPr>
          <w:p w14:paraId="00BA94E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340 480</w:t>
            </w:r>
          </w:p>
          <w:p w14:paraId="10EE040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Pr>
          <w:p w14:paraId="161E6D2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470</w:t>
            </w:r>
          </w:p>
          <w:p w14:paraId="284E048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5410E70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480</w:t>
            </w:r>
          </w:p>
          <w:p w14:paraId="277BE54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C5E3246" w14:textId="77777777">
        <w:trPr>
          <w:trHeight w:val="173"/>
        </w:trPr>
        <w:tc>
          <w:tcPr>
            <w:tcW w:w="5213" w:type="dxa"/>
            <w:gridSpan w:val="4"/>
          </w:tcPr>
          <w:p w14:paraId="3FC78EB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Вооружение</w:t>
            </w:r>
          </w:p>
          <w:p w14:paraId="65BB454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C1B9825" w14:textId="77777777">
        <w:trPr>
          <w:trHeight w:val="202"/>
        </w:trPr>
        <w:tc>
          <w:tcPr>
            <w:tcW w:w="1402" w:type="dxa"/>
          </w:tcPr>
          <w:p w14:paraId="24BB941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Орудие, кал, мм</w:t>
            </w:r>
          </w:p>
          <w:p w14:paraId="4B2C854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54" w:type="dxa"/>
          </w:tcPr>
          <w:p w14:paraId="0601CF9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85-мм 121,9-мм</w:t>
            </w:r>
          </w:p>
          <w:p w14:paraId="0E864CD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Pr>
          <w:p w14:paraId="513EC4A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130-мм</w:t>
            </w:r>
          </w:p>
          <w:p w14:paraId="700AE76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6D5C1EC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152,4-мм</w:t>
            </w:r>
          </w:p>
          <w:p w14:paraId="02149EC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76DA1FE" w14:textId="77777777">
        <w:trPr>
          <w:trHeight w:val="173"/>
        </w:trPr>
        <w:tc>
          <w:tcPr>
            <w:tcW w:w="1402" w:type="dxa"/>
          </w:tcPr>
          <w:p w14:paraId="79A8C69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Тип</w:t>
            </w:r>
          </w:p>
          <w:p w14:paraId="5AD694A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54" w:type="dxa"/>
          </w:tcPr>
          <w:p w14:paraId="7511746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С-34-1В БЛ-9</w:t>
            </w:r>
          </w:p>
          <w:p w14:paraId="39AB73E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Pr>
          <w:p w14:paraId="018B232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С-26</w:t>
            </w:r>
          </w:p>
          <w:p w14:paraId="51CFDFF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2ECFCFF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БЛ-10</w:t>
            </w:r>
          </w:p>
          <w:p w14:paraId="7568FAE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6C4FFBD" w14:textId="77777777">
        <w:trPr>
          <w:trHeight w:val="202"/>
        </w:trPr>
        <w:tc>
          <w:tcPr>
            <w:tcW w:w="1402" w:type="dxa"/>
          </w:tcPr>
          <w:p w14:paraId="23EC6AB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Длина ствола, клб</w:t>
            </w:r>
          </w:p>
          <w:p w14:paraId="3FC68F0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54" w:type="dxa"/>
          </w:tcPr>
          <w:p w14:paraId="3F68C66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65 59,4</w:t>
            </w:r>
          </w:p>
          <w:p w14:paraId="318FF0E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Pr>
          <w:p w14:paraId="7A198A1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54,8</w:t>
            </w:r>
          </w:p>
          <w:p w14:paraId="40D3425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03A5B1A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48,48</w:t>
            </w:r>
          </w:p>
          <w:p w14:paraId="069CC1D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D42BD55" w14:textId="77777777">
        <w:trPr>
          <w:trHeight w:val="173"/>
        </w:trPr>
        <w:tc>
          <w:tcPr>
            <w:tcW w:w="1402" w:type="dxa"/>
          </w:tcPr>
          <w:p w14:paraId="0E93DD1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 скорость сн м/с</w:t>
            </w:r>
          </w:p>
          <w:p w14:paraId="59947BC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54" w:type="dxa"/>
          </w:tcPr>
          <w:p w14:paraId="305CD69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1040 1000</w:t>
            </w:r>
          </w:p>
          <w:p w14:paraId="74A0FDC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Pr>
          <w:p w14:paraId="5F357BF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900</w:t>
            </w:r>
          </w:p>
          <w:p w14:paraId="21E25C9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040627B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910</w:t>
            </w:r>
          </w:p>
          <w:p w14:paraId="7B2DF5F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1536082" w14:textId="77777777">
        <w:trPr>
          <w:trHeight w:val="192"/>
        </w:trPr>
        <w:tc>
          <w:tcPr>
            <w:tcW w:w="3456" w:type="dxa"/>
            <w:gridSpan w:val="2"/>
          </w:tcPr>
          <w:p w14:paraId="7466383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Угол гориз. наведения 18° 12°</w:t>
            </w:r>
          </w:p>
          <w:p w14:paraId="1087D47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Pr>
          <w:p w14:paraId="45EE0F6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w:t>
            </w:r>
          </w:p>
          <w:p w14:paraId="58D2A5A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242A0EC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-2+6,5°</w:t>
            </w:r>
          </w:p>
          <w:p w14:paraId="7C86901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3B5DC78" w14:textId="77777777">
        <w:trPr>
          <w:trHeight w:val="182"/>
        </w:trPr>
        <w:tc>
          <w:tcPr>
            <w:tcW w:w="1402" w:type="dxa"/>
          </w:tcPr>
          <w:p w14:paraId="06AA291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Угол верх наведения</w:t>
            </w:r>
          </w:p>
          <w:p w14:paraId="48F6B38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54" w:type="dxa"/>
          </w:tcPr>
          <w:p w14:paraId="3B5295B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-3+26" -2+20°</w:t>
            </w:r>
          </w:p>
          <w:p w14:paraId="6A466C7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Pr>
          <w:p w14:paraId="2ABCDD8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-2+14°</w:t>
            </w:r>
          </w:p>
          <w:p w14:paraId="2A8BC0B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4E6CEE3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-2+20-</w:t>
            </w:r>
          </w:p>
          <w:p w14:paraId="43FAB31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9B7AB32" w14:textId="77777777">
        <w:trPr>
          <w:trHeight w:val="192"/>
        </w:trPr>
        <w:tc>
          <w:tcPr>
            <w:tcW w:w="1402" w:type="dxa"/>
          </w:tcPr>
          <w:p w14:paraId="72D789E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Снарядов, шт.</w:t>
            </w:r>
          </w:p>
          <w:p w14:paraId="51D290D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54" w:type="dxa"/>
          </w:tcPr>
          <w:p w14:paraId="160ADF1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36 21</w:t>
            </w:r>
          </w:p>
          <w:p w14:paraId="3A1E746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Pr>
          <w:p w14:paraId="3D63E8C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w:t>
            </w:r>
          </w:p>
          <w:p w14:paraId="3CE6334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664AC10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w:t>
            </w:r>
          </w:p>
          <w:p w14:paraId="5CDB076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11D84CF" w14:textId="77777777">
        <w:trPr>
          <w:trHeight w:val="182"/>
        </w:trPr>
        <w:tc>
          <w:tcPr>
            <w:tcW w:w="1402" w:type="dxa"/>
          </w:tcPr>
          <w:p w14:paraId="762F808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Пулеметов, шт. х кал</w:t>
            </w:r>
          </w:p>
          <w:p w14:paraId="1762429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54" w:type="dxa"/>
          </w:tcPr>
          <w:p w14:paraId="2FA241D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7EC5003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Pr>
          <w:p w14:paraId="66A71F4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34675E5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7C9A823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4E81B58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4869101" w14:textId="77777777">
        <w:trPr>
          <w:trHeight w:val="192"/>
        </w:trPr>
        <w:tc>
          <w:tcPr>
            <w:tcW w:w="1402" w:type="dxa"/>
          </w:tcPr>
          <w:p w14:paraId="447CDCB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Патронов, шт.</w:t>
            </w:r>
          </w:p>
          <w:p w14:paraId="052BC7A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54" w:type="dxa"/>
          </w:tcPr>
          <w:p w14:paraId="7B95FD9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442F94F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Pr>
          <w:p w14:paraId="7072268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663D441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5769020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7280068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9EEC28A" w14:textId="77777777">
        <w:trPr>
          <w:trHeight w:val="173"/>
        </w:trPr>
        <w:tc>
          <w:tcPr>
            <w:tcW w:w="5213" w:type="dxa"/>
            <w:gridSpan w:val="4"/>
          </w:tcPr>
          <w:p w14:paraId="29759CD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Толщина брони, мм</w:t>
            </w:r>
          </w:p>
          <w:p w14:paraId="200FD1C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1D2415A" w14:textId="77777777">
        <w:trPr>
          <w:trHeight w:val="192"/>
        </w:trPr>
        <w:tc>
          <w:tcPr>
            <w:tcW w:w="1402" w:type="dxa"/>
          </w:tcPr>
          <w:p w14:paraId="77A9F16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Вертик. корпуса</w:t>
            </w:r>
          </w:p>
          <w:p w14:paraId="4D9F3BB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54" w:type="dxa"/>
          </w:tcPr>
          <w:p w14:paraId="70C2849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45 120-60</w:t>
            </w:r>
          </w:p>
          <w:p w14:paraId="7166708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Pr>
          <w:p w14:paraId="01F7975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120-60</w:t>
            </w:r>
          </w:p>
          <w:p w14:paraId="1275327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351E5EA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120-60</w:t>
            </w:r>
          </w:p>
          <w:p w14:paraId="6922A9A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5892230" w14:textId="77777777">
        <w:trPr>
          <w:trHeight w:val="192"/>
        </w:trPr>
        <w:tc>
          <w:tcPr>
            <w:tcW w:w="1402" w:type="dxa"/>
          </w:tcPr>
          <w:p w14:paraId="2A221EE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Гориз. корпуса</w:t>
            </w:r>
          </w:p>
          <w:p w14:paraId="7A08F5B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54" w:type="dxa"/>
          </w:tcPr>
          <w:p w14:paraId="44C726E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 20-30</w:t>
            </w:r>
          </w:p>
          <w:p w14:paraId="272B3E9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Pr>
          <w:p w14:paraId="410DBB5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w:t>
            </w:r>
          </w:p>
          <w:p w14:paraId="46D8DC2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0883E04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w:t>
            </w:r>
          </w:p>
          <w:p w14:paraId="463FB82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1233B7C" w14:textId="77777777">
        <w:trPr>
          <w:trHeight w:val="192"/>
        </w:trPr>
        <w:tc>
          <w:tcPr>
            <w:tcW w:w="1402" w:type="dxa"/>
          </w:tcPr>
          <w:p w14:paraId="48F159B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Рубка</w:t>
            </w:r>
          </w:p>
          <w:p w14:paraId="6E0C7A6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54" w:type="dxa"/>
          </w:tcPr>
          <w:p w14:paraId="6FBFC97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 90-75-60</w:t>
            </w:r>
          </w:p>
          <w:p w14:paraId="2BA06ED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Pr>
          <w:p w14:paraId="44C8DFC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120-90</w:t>
            </w:r>
          </w:p>
          <w:p w14:paraId="693DE5E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06A9BE7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120-90</w:t>
            </w:r>
          </w:p>
          <w:p w14:paraId="38FD86A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2277784F" w14:textId="77777777">
        <w:trPr>
          <w:trHeight w:val="173"/>
        </w:trPr>
        <w:tc>
          <w:tcPr>
            <w:tcW w:w="1402" w:type="dxa"/>
          </w:tcPr>
          <w:p w14:paraId="6FADF23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F311C3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54" w:type="dxa"/>
          </w:tcPr>
          <w:p w14:paraId="1A15334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Силовая установка</w:t>
            </w:r>
          </w:p>
          <w:p w14:paraId="3A5D83B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Pr>
          <w:p w14:paraId="3092B13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6A450A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68B63AA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F516C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4906F21" w14:textId="77777777">
        <w:trPr>
          <w:trHeight w:val="192"/>
        </w:trPr>
        <w:tc>
          <w:tcPr>
            <w:tcW w:w="1402" w:type="dxa"/>
          </w:tcPr>
          <w:p w14:paraId="5C4F220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База</w:t>
            </w:r>
          </w:p>
          <w:p w14:paraId="62D92A4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54" w:type="dxa"/>
          </w:tcPr>
          <w:p w14:paraId="4037C76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 Т-34 т. ИС</w:t>
            </w:r>
          </w:p>
          <w:p w14:paraId="36EA6E1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Pr>
          <w:p w14:paraId="5A8DA1B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 ИС</w:t>
            </w:r>
          </w:p>
          <w:p w14:paraId="06811ED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22896E5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 ИС</w:t>
            </w:r>
          </w:p>
          <w:p w14:paraId="0D5A844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11053030" w14:textId="77777777">
        <w:trPr>
          <w:trHeight w:val="192"/>
        </w:trPr>
        <w:tc>
          <w:tcPr>
            <w:tcW w:w="1402" w:type="dxa"/>
          </w:tcPr>
          <w:p w14:paraId="140423B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КПП</w:t>
            </w:r>
          </w:p>
          <w:p w14:paraId="7DDA544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54" w:type="dxa"/>
          </w:tcPr>
          <w:p w14:paraId="3BE0283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5/1 8/2</w:t>
            </w:r>
          </w:p>
          <w:p w14:paraId="2173D31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Pr>
          <w:p w14:paraId="7375348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8/2</w:t>
            </w:r>
          </w:p>
          <w:p w14:paraId="726BFFF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3447B57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8/2</w:t>
            </w:r>
          </w:p>
          <w:p w14:paraId="3E09977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8171952" w14:textId="77777777">
        <w:trPr>
          <w:trHeight w:val="182"/>
        </w:trPr>
        <w:tc>
          <w:tcPr>
            <w:tcW w:w="1402" w:type="dxa"/>
          </w:tcPr>
          <w:p w14:paraId="0F16678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Скорость макс, км/ч</w:t>
            </w:r>
          </w:p>
          <w:p w14:paraId="698D469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54" w:type="dxa"/>
          </w:tcPr>
          <w:p w14:paraId="6BDA8F7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45 33</w:t>
            </w:r>
          </w:p>
          <w:p w14:paraId="3ABF667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Pr>
          <w:p w14:paraId="5BCA6B3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34</w:t>
            </w:r>
          </w:p>
          <w:p w14:paraId="7F813A6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1BAB996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w:t>
            </w:r>
          </w:p>
          <w:p w14:paraId="2128DF9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0919EEC" w14:textId="77777777">
        <w:trPr>
          <w:trHeight w:val="192"/>
        </w:trPr>
        <w:tc>
          <w:tcPr>
            <w:tcW w:w="1402" w:type="dxa"/>
          </w:tcPr>
          <w:p w14:paraId="69333AB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Среднетехнич км/ч</w:t>
            </w:r>
          </w:p>
          <w:p w14:paraId="6D60C68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54" w:type="dxa"/>
          </w:tcPr>
          <w:p w14:paraId="34AD753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19 17</w:t>
            </w:r>
          </w:p>
          <w:p w14:paraId="7D76E47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Pr>
          <w:p w14:paraId="5528BF5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w:t>
            </w:r>
          </w:p>
          <w:p w14:paraId="1741595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410CB47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16</w:t>
            </w:r>
          </w:p>
          <w:p w14:paraId="1F7542D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34F4EBF" w14:textId="77777777">
        <w:trPr>
          <w:trHeight w:val="192"/>
        </w:trPr>
        <w:tc>
          <w:tcPr>
            <w:tcW w:w="1402" w:type="dxa"/>
          </w:tcPr>
          <w:p w14:paraId="1D8AB0C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Тип топлива</w:t>
            </w:r>
          </w:p>
          <w:p w14:paraId="6CABC10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54" w:type="dxa"/>
          </w:tcPr>
          <w:p w14:paraId="1419902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Диз. топливо Диз. топливо</w:t>
            </w:r>
          </w:p>
          <w:p w14:paraId="33BCC56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Pr>
          <w:p w14:paraId="6BEE871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Диз. топливо</w:t>
            </w:r>
          </w:p>
          <w:p w14:paraId="38C25D4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1381E68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975B28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4F82F9D" w14:textId="77777777">
        <w:trPr>
          <w:trHeight w:val="173"/>
        </w:trPr>
        <w:tc>
          <w:tcPr>
            <w:tcW w:w="1402" w:type="dxa"/>
          </w:tcPr>
          <w:p w14:paraId="048CBD8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Емк. бака, л.</w:t>
            </w:r>
          </w:p>
          <w:p w14:paraId="2650544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54" w:type="dxa"/>
          </w:tcPr>
          <w:p w14:paraId="72BD753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465 560</w:t>
            </w:r>
          </w:p>
          <w:p w14:paraId="6946A7E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Pr>
          <w:p w14:paraId="56A347F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560</w:t>
            </w:r>
          </w:p>
          <w:p w14:paraId="510CB7C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6FF3407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560</w:t>
            </w:r>
          </w:p>
          <w:p w14:paraId="61FCA94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6542BE80" w14:textId="77777777">
        <w:trPr>
          <w:trHeight w:val="202"/>
        </w:trPr>
        <w:tc>
          <w:tcPr>
            <w:tcW w:w="1402" w:type="dxa"/>
          </w:tcPr>
          <w:p w14:paraId="304773C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Запас хода, км</w:t>
            </w:r>
          </w:p>
          <w:p w14:paraId="40324A2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54" w:type="dxa"/>
          </w:tcPr>
          <w:p w14:paraId="64547DD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280 200</w:t>
            </w:r>
          </w:p>
          <w:p w14:paraId="186D2EC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Pr>
          <w:p w14:paraId="2FA8313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195</w:t>
            </w:r>
          </w:p>
          <w:p w14:paraId="6274787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293E98F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200</w:t>
            </w:r>
          </w:p>
          <w:p w14:paraId="617F21D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50CA169" w14:textId="77777777">
        <w:trPr>
          <w:trHeight w:val="144"/>
        </w:trPr>
        <w:tc>
          <w:tcPr>
            <w:tcW w:w="5213" w:type="dxa"/>
            <w:gridSpan w:val="4"/>
          </w:tcPr>
          <w:p w14:paraId="4C931C9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Преодолеваемые поепятствия</w:t>
            </w:r>
          </w:p>
          <w:p w14:paraId="42BC18B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8D6C534" w14:textId="77777777">
        <w:trPr>
          <w:trHeight w:val="221"/>
        </w:trPr>
        <w:tc>
          <w:tcPr>
            <w:tcW w:w="1402" w:type="dxa"/>
          </w:tcPr>
          <w:p w14:paraId="109901D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Подъем, град.</w:t>
            </w:r>
          </w:p>
          <w:p w14:paraId="58E7DCD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54" w:type="dxa"/>
          </w:tcPr>
          <w:p w14:paraId="520FC7C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36</w:t>
            </w:r>
          </w:p>
          <w:p w14:paraId="426FBC1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Pr>
          <w:p w14:paraId="538F8AE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н.д.</w:t>
            </w:r>
          </w:p>
          <w:p w14:paraId="44D1BEB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3D8EBF7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35</w:t>
            </w:r>
          </w:p>
          <w:p w14:paraId="2854D0B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5B3D29B7" w14:textId="77777777">
        <w:trPr>
          <w:trHeight w:val="182"/>
        </w:trPr>
        <w:tc>
          <w:tcPr>
            <w:tcW w:w="1402" w:type="dxa"/>
          </w:tcPr>
          <w:p w14:paraId="425850D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Спуск, град.</w:t>
            </w:r>
          </w:p>
          <w:p w14:paraId="5122A9C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54" w:type="dxa"/>
          </w:tcPr>
          <w:p w14:paraId="39D8881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30 30</w:t>
            </w:r>
          </w:p>
          <w:p w14:paraId="42EAC9A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Pr>
          <w:p w14:paraId="4446F4F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Н.Д.</w:t>
            </w:r>
          </w:p>
          <w:p w14:paraId="712FA34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4B96EF6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w:t>
            </w:r>
          </w:p>
          <w:p w14:paraId="786BD0F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46A5C219" w14:textId="77777777">
        <w:trPr>
          <w:trHeight w:val="192"/>
        </w:trPr>
        <w:tc>
          <w:tcPr>
            <w:tcW w:w="1402" w:type="dxa"/>
          </w:tcPr>
          <w:p w14:paraId="5476271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Крен, град.</w:t>
            </w:r>
          </w:p>
          <w:p w14:paraId="53C7C1B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54" w:type="dxa"/>
          </w:tcPr>
          <w:p w14:paraId="315EF06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25 30</w:t>
            </w:r>
          </w:p>
          <w:p w14:paraId="223898D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Pr>
          <w:p w14:paraId="704C8DF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Н.Д.</w:t>
            </w:r>
          </w:p>
          <w:p w14:paraId="43EFA52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5B9FDAC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w:t>
            </w:r>
          </w:p>
          <w:p w14:paraId="1E97F52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34954280" w14:textId="77777777">
        <w:trPr>
          <w:trHeight w:val="182"/>
        </w:trPr>
        <w:tc>
          <w:tcPr>
            <w:tcW w:w="1402" w:type="dxa"/>
          </w:tcPr>
          <w:p w14:paraId="6014117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Окоп, мм</w:t>
            </w:r>
          </w:p>
          <w:p w14:paraId="7CF01BD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54" w:type="dxa"/>
          </w:tcPr>
          <w:p w14:paraId="2269C84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1700 2000</w:t>
            </w:r>
          </w:p>
          <w:p w14:paraId="4F34068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Pr>
          <w:p w14:paraId="19EA791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Н.Д.</w:t>
            </w:r>
          </w:p>
          <w:p w14:paraId="5334A60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25D2FEC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2000</w:t>
            </w:r>
          </w:p>
          <w:p w14:paraId="2A8467F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7BBA045C" w14:textId="77777777">
        <w:trPr>
          <w:trHeight w:val="192"/>
        </w:trPr>
        <w:tc>
          <w:tcPr>
            <w:tcW w:w="1402" w:type="dxa"/>
          </w:tcPr>
          <w:p w14:paraId="5D25052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Стенка, мм</w:t>
            </w:r>
          </w:p>
          <w:p w14:paraId="7044D05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54" w:type="dxa"/>
          </w:tcPr>
          <w:p w14:paraId="1AFA560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500 1000</w:t>
            </w:r>
          </w:p>
          <w:p w14:paraId="10C3271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Pr>
          <w:p w14:paraId="29BF109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н.д.</w:t>
            </w:r>
          </w:p>
          <w:p w14:paraId="21ED5BE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29EAC8D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1000</w:t>
            </w:r>
          </w:p>
          <w:p w14:paraId="2F26B9F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7224C3" w14:paraId="0503450B" w14:textId="77777777">
        <w:trPr>
          <w:trHeight w:val="192"/>
        </w:trPr>
        <w:tc>
          <w:tcPr>
            <w:tcW w:w="1402" w:type="dxa"/>
            <w:tcBorders>
              <w:bottom w:val="single" w:sz="12" w:space="0" w:color="auto"/>
            </w:tcBorders>
          </w:tcPr>
          <w:p w14:paraId="2A463B6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Брод, мм</w:t>
            </w:r>
          </w:p>
          <w:p w14:paraId="6360B8C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54" w:type="dxa"/>
            <w:tcBorders>
              <w:bottom w:val="single" w:sz="12" w:space="0" w:color="auto"/>
            </w:tcBorders>
          </w:tcPr>
          <w:p w14:paraId="109C86A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800 1300</w:t>
            </w:r>
          </w:p>
          <w:p w14:paraId="5FE6738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bottom w:val="single" w:sz="12" w:space="0" w:color="auto"/>
            </w:tcBorders>
          </w:tcPr>
          <w:p w14:paraId="26EB117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Н.Д.</w:t>
            </w:r>
          </w:p>
          <w:p w14:paraId="2309824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bottom w:val="single" w:sz="12" w:space="0" w:color="auto"/>
            </w:tcBorders>
          </w:tcPr>
          <w:p w14:paraId="3ED8CB2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Н.Д.</w:t>
            </w:r>
          </w:p>
          <w:p w14:paraId="1DF617F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697C5B5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(11417).</w:t>
      </w:r>
    </w:p>
    <w:p w14:paraId="62C8CFC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D6ECF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июне 1944 г. приступили к изготовлению посадоч</w:t>
      </w:r>
      <w:r w:rsidRPr="007224C3">
        <w:rPr>
          <w:rFonts w:ascii="Times New Roman" w:hAnsi="Times New Roman"/>
          <w:color w:val="000000" w:themeColor="text1"/>
          <w:sz w:val="16"/>
          <w:szCs w:val="16"/>
        </w:rPr>
        <w:softHyphen/>
        <w:t>ного макета бронеавтомобиля БА-69 (такое условное обозначение было присвоено ГАЗ-69), но затем эта работа была приостановлена и в даль</w:t>
      </w:r>
      <w:r w:rsidRPr="007224C3">
        <w:rPr>
          <w:rFonts w:ascii="Times New Roman" w:hAnsi="Times New Roman"/>
          <w:color w:val="000000" w:themeColor="text1"/>
          <w:sz w:val="16"/>
          <w:szCs w:val="16"/>
        </w:rPr>
        <w:softHyphen/>
        <w:t>нейшем не возобновлялась (10703).</w:t>
      </w:r>
    </w:p>
    <w:p w14:paraId="6C4D8F0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Выпуск бронеавтомобилей в годы Великой Отечественной войны</w:t>
      </w:r>
    </w:p>
    <w:tbl>
      <w:tblPr>
        <w:tblW w:w="0" w:type="auto"/>
        <w:tblInd w:w="40" w:type="dxa"/>
        <w:tblLayout w:type="fixed"/>
        <w:tblCellMar>
          <w:left w:w="40" w:type="dxa"/>
          <w:right w:w="40" w:type="dxa"/>
        </w:tblCellMar>
        <w:tblLook w:val="0000" w:firstRow="0" w:lastRow="0" w:firstColumn="0" w:lastColumn="0" w:noHBand="0" w:noVBand="0"/>
      </w:tblPr>
      <w:tblGrid>
        <w:gridCol w:w="1613"/>
        <w:gridCol w:w="1267"/>
        <w:gridCol w:w="1286"/>
        <w:gridCol w:w="1421"/>
        <w:gridCol w:w="1296"/>
        <w:gridCol w:w="1430"/>
        <w:gridCol w:w="1584"/>
      </w:tblGrid>
      <w:tr w:rsidR="005106D0" w:rsidRPr="007224C3" w14:paraId="6E7DFACF" w14:textId="77777777">
        <w:trPr>
          <w:trHeight w:val="336"/>
        </w:trPr>
        <w:tc>
          <w:tcPr>
            <w:tcW w:w="1613" w:type="dxa"/>
            <w:tcBorders>
              <w:top w:val="single" w:sz="6" w:space="0" w:color="auto"/>
              <w:left w:val="single" w:sz="6" w:space="0" w:color="auto"/>
              <w:bottom w:val="single" w:sz="6" w:space="0" w:color="auto"/>
              <w:right w:val="single" w:sz="6" w:space="0" w:color="auto"/>
            </w:tcBorders>
          </w:tcPr>
          <w:p w14:paraId="7673F9F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Марка машины</w:t>
            </w:r>
          </w:p>
        </w:tc>
        <w:tc>
          <w:tcPr>
            <w:tcW w:w="1267" w:type="dxa"/>
            <w:tcBorders>
              <w:top w:val="single" w:sz="6" w:space="0" w:color="auto"/>
              <w:left w:val="single" w:sz="6" w:space="0" w:color="auto"/>
              <w:bottom w:val="single" w:sz="6" w:space="0" w:color="auto"/>
              <w:right w:val="single" w:sz="6" w:space="0" w:color="auto"/>
            </w:tcBorders>
          </w:tcPr>
          <w:p w14:paraId="5A4897F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1941</w:t>
            </w:r>
            <w:r w:rsidRPr="007224C3">
              <w:rPr>
                <w:rFonts w:ascii="Times New Roman" w:hAnsi="Times New Roman"/>
                <w:color w:val="000000" w:themeColor="text1"/>
                <w:sz w:val="16"/>
                <w:szCs w:val="16"/>
                <w:vertAlign w:val="superscript"/>
              </w:rPr>
              <w:t>2/</w:t>
            </w:r>
          </w:p>
        </w:tc>
        <w:tc>
          <w:tcPr>
            <w:tcW w:w="1286" w:type="dxa"/>
            <w:tcBorders>
              <w:top w:val="single" w:sz="6" w:space="0" w:color="auto"/>
              <w:left w:val="single" w:sz="6" w:space="0" w:color="auto"/>
              <w:bottom w:val="single" w:sz="6" w:space="0" w:color="auto"/>
              <w:right w:val="single" w:sz="6" w:space="0" w:color="auto"/>
            </w:tcBorders>
          </w:tcPr>
          <w:p w14:paraId="2DFBFEC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1942</w:t>
            </w:r>
          </w:p>
        </w:tc>
        <w:tc>
          <w:tcPr>
            <w:tcW w:w="1421" w:type="dxa"/>
            <w:tcBorders>
              <w:top w:val="single" w:sz="6" w:space="0" w:color="auto"/>
              <w:left w:val="single" w:sz="6" w:space="0" w:color="auto"/>
              <w:bottom w:val="single" w:sz="6" w:space="0" w:color="auto"/>
              <w:right w:val="single" w:sz="6" w:space="0" w:color="auto"/>
            </w:tcBorders>
          </w:tcPr>
          <w:p w14:paraId="376B17A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1943</w:t>
            </w:r>
          </w:p>
        </w:tc>
        <w:tc>
          <w:tcPr>
            <w:tcW w:w="1296" w:type="dxa"/>
            <w:tcBorders>
              <w:top w:val="single" w:sz="6" w:space="0" w:color="auto"/>
              <w:left w:val="single" w:sz="6" w:space="0" w:color="auto"/>
              <w:bottom w:val="single" w:sz="6" w:space="0" w:color="auto"/>
              <w:right w:val="single" w:sz="6" w:space="0" w:color="auto"/>
            </w:tcBorders>
          </w:tcPr>
          <w:p w14:paraId="2276397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1944</w:t>
            </w:r>
          </w:p>
        </w:tc>
        <w:tc>
          <w:tcPr>
            <w:tcW w:w="1430" w:type="dxa"/>
            <w:tcBorders>
              <w:top w:val="single" w:sz="6" w:space="0" w:color="auto"/>
              <w:left w:val="single" w:sz="6" w:space="0" w:color="auto"/>
              <w:bottom w:val="single" w:sz="6" w:space="0" w:color="auto"/>
              <w:right w:val="single" w:sz="6" w:space="0" w:color="auto"/>
            </w:tcBorders>
          </w:tcPr>
          <w:p w14:paraId="2C86F94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1945</w:t>
            </w:r>
            <w:r w:rsidRPr="007224C3">
              <w:rPr>
                <w:rFonts w:ascii="Times New Roman" w:hAnsi="Times New Roman"/>
                <w:color w:val="000000" w:themeColor="text1"/>
                <w:sz w:val="16"/>
                <w:szCs w:val="16"/>
                <w:vertAlign w:val="superscript"/>
              </w:rPr>
              <w:t>3/</w:t>
            </w:r>
          </w:p>
        </w:tc>
        <w:tc>
          <w:tcPr>
            <w:tcW w:w="1584" w:type="dxa"/>
            <w:tcBorders>
              <w:top w:val="single" w:sz="6" w:space="0" w:color="auto"/>
              <w:left w:val="single" w:sz="6" w:space="0" w:color="auto"/>
              <w:bottom w:val="single" w:sz="6" w:space="0" w:color="auto"/>
              <w:right w:val="single" w:sz="6" w:space="0" w:color="auto"/>
            </w:tcBorders>
          </w:tcPr>
          <w:p w14:paraId="5116B08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Всего</w:t>
            </w:r>
          </w:p>
        </w:tc>
      </w:tr>
      <w:tr w:rsidR="005106D0" w:rsidRPr="007224C3" w14:paraId="7B80FD86" w14:textId="77777777">
        <w:trPr>
          <w:trHeight w:val="221"/>
        </w:trPr>
        <w:tc>
          <w:tcPr>
            <w:tcW w:w="1613" w:type="dxa"/>
            <w:tcBorders>
              <w:top w:val="single" w:sz="6" w:space="0" w:color="auto"/>
              <w:left w:val="single" w:sz="6" w:space="0" w:color="auto"/>
              <w:bottom w:val="nil"/>
              <w:right w:val="single" w:sz="6" w:space="0" w:color="auto"/>
            </w:tcBorders>
          </w:tcPr>
          <w:p w14:paraId="720BCF0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БА-10(БА10М)</w:t>
            </w:r>
          </w:p>
        </w:tc>
        <w:tc>
          <w:tcPr>
            <w:tcW w:w="1267" w:type="dxa"/>
            <w:tcBorders>
              <w:top w:val="single" w:sz="6" w:space="0" w:color="auto"/>
              <w:left w:val="single" w:sz="6" w:space="0" w:color="auto"/>
              <w:bottom w:val="nil"/>
              <w:right w:val="single" w:sz="6" w:space="0" w:color="auto"/>
            </w:tcBorders>
          </w:tcPr>
          <w:p w14:paraId="4A116AA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331(56</w:t>
            </w:r>
            <w:r w:rsidRPr="007224C3">
              <w:rPr>
                <w:rFonts w:ascii="Times New Roman" w:hAnsi="Times New Roman"/>
                <w:color w:val="000000" w:themeColor="text1"/>
                <w:sz w:val="16"/>
                <w:szCs w:val="16"/>
                <w:vertAlign w:val="superscript"/>
              </w:rPr>
              <w:t>2/</w:t>
            </w:r>
            <w:r w:rsidRPr="007224C3">
              <w:rPr>
                <w:rFonts w:ascii="Times New Roman" w:hAnsi="Times New Roman"/>
                <w:color w:val="000000" w:themeColor="text1"/>
                <w:sz w:val="16"/>
                <w:szCs w:val="16"/>
              </w:rPr>
              <w:t>)</w:t>
            </w:r>
          </w:p>
        </w:tc>
        <w:tc>
          <w:tcPr>
            <w:tcW w:w="1286" w:type="dxa"/>
            <w:tcBorders>
              <w:top w:val="single" w:sz="6" w:space="0" w:color="auto"/>
              <w:left w:val="single" w:sz="6" w:space="0" w:color="auto"/>
              <w:bottom w:val="nil"/>
              <w:right w:val="single" w:sz="6" w:space="0" w:color="auto"/>
            </w:tcBorders>
          </w:tcPr>
          <w:p w14:paraId="193543F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421" w:type="dxa"/>
            <w:tcBorders>
              <w:top w:val="single" w:sz="6" w:space="0" w:color="auto"/>
              <w:left w:val="single" w:sz="6" w:space="0" w:color="auto"/>
              <w:bottom w:val="nil"/>
              <w:right w:val="single" w:sz="6" w:space="0" w:color="auto"/>
            </w:tcBorders>
          </w:tcPr>
          <w:p w14:paraId="2B7C1BA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296" w:type="dxa"/>
            <w:tcBorders>
              <w:top w:val="single" w:sz="6" w:space="0" w:color="auto"/>
              <w:left w:val="single" w:sz="6" w:space="0" w:color="auto"/>
              <w:bottom w:val="nil"/>
              <w:right w:val="single" w:sz="6" w:space="0" w:color="auto"/>
            </w:tcBorders>
          </w:tcPr>
          <w:p w14:paraId="533E1B8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430" w:type="dxa"/>
            <w:tcBorders>
              <w:top w:val="single" w:sz="6" w:space="0" w:color="auto"/>
              <w:left w:val="single" w:sz="6" w:space="0" w:color="auto"/>
              <w:bottom w:val="nil"/>
              <w:right w:val="single" w:sz="6" w:space="0" w:color="auto"/>
            </w:tcBorders>
          </w:tcPr>
          <w:p w14:paraId="10B3E56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584" w:type="dxa"/>
            <w:tcBorders>
              <w:top w:val="single" w:sz="6" w:space="0" w:color="auto"/>
              <w:left w:val="single" w:sz="6" w:space="0" w:color="auto"/>
              <w:bottom w:val="nil"/>
              <w:right w:val="single" w:sz="6" w:space="0" w:color="auto"/>
            </w:tcBorders>
          </w:tcPr>
          <w:p w14:paraId="6074CA4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331(56</w:t>
            </w:r>
            <w:r w:rsidRPr="007224C3">
              <w:rPr>
                <w:rFonts w:ascii="Times New Roman" w:hAnsi="Times New Roman"/>
                <w:color w:val="000000" w:themeColor="text1"/>
                <w:sz w:val="16"/>
                <w:szCs w:val="16"/>
                <w:vertAlign w:val="superscript"/>
              </w:rPr>
              <w:t>2/</w:t>
            </w:r>
            <w:r w:rsidRPr="007224C3">
              <w:rPr>
                <w:rFonts w:ascii="Times New Roman" w:hAnsi="Times New Roman"/>
                <w:color w:val="000000" w:themeColor="text1"/>
                <w:sz w:val="16"/>
                <w:szCs w:val="16"/>
              </w:rPr>
              <w:t>)</w:t>
            </w:r>
          </w:p>
        </w:tc>
      </w:tr>
      <w:tr w:rsidR="005106D0" w:rsidRPr="007224C3" w14:paraId="6D948A5F" w14:textId="77777777">
        <w:trPr>
          <w:trHeight w:val="595"/>
        </w:trPr>
        <w:tc>
          <w:tcPr>
            <w:tcW w:w="1613" w:type="dxa"/>
            <w:tcBorders>
              <w:top w:val="nil"/>
              <w:left w:val="single" w:sz="6" w:space="0" w:color="auto"/>
              <w:bottom w:val="nil"/>
              <w:right w:val="single" w:sz="6" w:space="0" w:color="auto"/>
            </w:tcBorders>
          </w:tcPr>
          <w:p w14:paraId="1E8B07E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БА-20(БА20М)</w:t>
            </w:r>
          </w:p>
          <w:p w14:paraId="56BBC78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БА-64</w:t>
            </w:r>
          </w:p>
          <w:p w14:paraId="7CE20A8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БА64Б</w:t>
            </w:r>
          </w:p>
        </w:tc>
        <w:tc>
          <w:tcPr>
            <w:tcW w:w="1267" w:type="dxa"/>
            <w:tcBorders>
              <w:top w:val="nil"/>
              <w:left w:val="single" w:sz="6" w:space="0" w:color="auto"/>
              <w:bottom w:val="nil"/>
              <w:right w:val="single" w:sz="6" w:space="0" w:color="auto"/>
            </w:tcBorders>
          </w:tcPr>
          <w:p w14:paraId="06BB261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302(107</w:t>
            </w:r>
            <w:r w:rsidRPr="007224C3">
              <w:rPr>
                <w:rFonts w:ascii="Times New Roman" w:hAnsi="Times New Roman"/>
                <w:color w:val="000000" w:themeColor="text1"/>
                <w:sz w:val="16"/>
                <w:szCs w:val="16"/>
                <w:vertAlign w:val="superscript"/>
              </w:rPr>
              <w:t>2/</w:t>
            </w:r>
            <w:r w:rsidRPr="007224C3">
              <w:rPr>
                <w:rFonts w:ascii="Times New Roman" w:hAnsi="Times New Roman"/>
                <w:color w:val="000000" w:themeColor="text1"/>
                <w:sz w:val="16"/>
                <w:szCs w:val="16"/>
              </w:rPr>
              <w:t>)</w:t>
            </w:r>
          </w:p>
          <w:p w14:paraId="54B08DE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tc>
        <w:tc>
          <w:tcPr>
            <w:tcW w:w="1286" w:type="dxa"/>
            <w:tcBorders>
              <w:top w:val="nil"/>
              <w:left w:val="single" w:sz="6" w:space="0" w:color="auto"/>
              <w:bottom w:val="nil"/>
              <w:right w:val="single" w:sz="6" w:space="0" w:color="auto"/>
            </w:tcBorders>
          </w:tcPr>
          <w:p w14:paraId="1441B3F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137(32</w:t>
            </w:r>
            <w:r w:rsidRPr="007224C3">
              <w:rPr>
                <w:rFonts w:ascii="Times New Roman" w:hAnsi="Times New Roman"/>
                <w:color w:val="000000" w:themeColor="text1"/>
                <w:sz w:val="16"/>
                <w:szCs w:val="16"/>
                <w:vertAlign w:val="superscript"/>
              </w:rPr>
              <w:t>2/</w:t>
            </w:r>
            <w:r w:rsidRPr="007224C3">
              <w:rPr>
                <w:rFonts w:ascii="Times New Roman" w:hAnsi="Times New Roman"/>
                <w:color w:val="000000" w:themeColor="text1"/>
                <w:sz w:val="16"/>
                <w:szCs w:val="16"/>
              </w:rPr>
              <w:t>)</w:t>
            </w:r>
          </w:p>
          <w:p w14:paraId="37A0B4D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2486 (716 </w:t>
            </w:r>
            <w:r w:rsidRPr="007224C3">
              <w:rPr>
                <w:rFonts w:ascii="Times New Roman" w:hAnsi="Times New Roman"/>
                <w:color w:val="000000" w:themeColor="text1"/>
                <w:sz w:val="16"/>
                <w:szCs w:val="16"/>
                <w:vertAlign w:val="superscript"/>
              </w:rPr>
              <w:t>2/</w:t>
            </w:r>
            <w:r w:rsidRPr="007224C3">
              <w:rPr>
                <w:rFonts w:ascii="Times New Roman" w:hAnsi="Times New Roman"/>
                <w:color w:val="000000" w:themeColor="text1"/>
                <w:sz w:val="16"/>
                <w:szCs w:val="16"/>
              </w:rPr>
              <w:t>)</w:t>
            </w:r>
          </w:p>
        </w:tc>
        <w:tc>
          <w:tcPr>
            <w:tcW w:w="1421" w:type="dxa"/>
            <w:tcBorders>
              <w:top w:val="nil"/>
              <w:left w:val="single" w:sz="6" w:space="0" w:color="auto"/>
              <w:bottom w:val="nil"/>
              <w:right w:val="single" w:sz="6" w:space="0" w:color="auto"/>
            </w:tcBorders>
          </w:tcPr>
          <w:p w14:paraId="2B45530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1D8DECC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1415 (636</w:t>
            </w:r>
            <w:r w:rsidRPr="007224C3">
              <w:rPr>
                <w:rFonts w:ascii="Times New Roman" w:hAnsi="Times New Roman"/>
                <w:color w:val="000000" w:themeColor="text1"/>
                <w:sz w:val="16"/>
                <w:szCs w:val="16"/>
                <w:vertAlign w:val="superscript"/>
              </w:rPr>
              <w:t>2/</w:t>
            </w:r>
            <w:r w:rsidRPr="007224C3">
              <w:rPr>
                <w:rFonts w:ascii="Times New Roman" w:hAnsi="Times New Roman"/>
                <w:color w:val="000000" w:themeColor="text1"/>
                <w:sz w:val="16"/>
                <w:szCs w:val="16"/>
              </w:rPr>
              <w:t>)</w:t>
            </w:r>
          </w:p>
          <w:p w14:paraId="68C0AC6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405(214</w:t>
            </w:r>
            <w:r w:rsidRPr="007224C3">
              <w:rPr>
                <w:rFonts w:ascii="Times New Roman" w:hAnsi="Times New Roman"/>
                <w:color w:val="000000" w:themeColor="text1"/>
                <w:sz w:val="16"/>
                <w:szCs w:val="16"/>
                <w:vertAlign w:val="superscript"/>
              </w:rPr>
              <w:t>2/</w:t>
            </w:r>
            <w:r w:rsidRPr="007224C3">
              <w:rPr>
                <w:rFonts w:ascii="Times New Roman" w:hAnsi="Times New Roman"/>
                <w:color w:val="000000" w:themeColor="text1"/>
                <w:sz w:val="16"/>
                <w:szCs w:val="16"/>
              </w:rPr>
              <w:t>)</w:t>
            </w:r>
          </w:p>
        </w:tc>
        <w:tc>
          <w:tcPr>
            <w:tcW w:w="1296" w:type="dxa"/>
            <w:tcBorders>
              <w:top w:val="nil"/>
              <w:left w:val="single" w:sz="6" w:space="0" w:color="auto"/>
              <w:bottom w:val="nil"/>
              <w:right w:val="single" w:sz="6" w:space="0" w:color="auto"/>
            </w:tcBorders>
          </w:tcPr>
          <w:p w14:paraId="42A415F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2BEC417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2198085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3000(1404</w:t>
            </w:r>
            <w:r w:rsidRPr="007224C3">
              <w:rPr>
                <w:rFonts w:ascii="Times New Roman" w:hAnsi="Times New Roman"/>
                <w:color w:val="000000" w:themeColor="text1"/>
                <w:sz w:val="16"/>
                <w:szCs w:val="16"/>
                <w:vertAlign w:val="superscript"/>
              </w:rPr>
              <w:t>2/</w:t>
            </w:r>
            <w:r w:rsidRPr="007224C3">
              <w:rPr>
                <w:rFonts w:ascii="Times New Roman" w:hAnsi="Times New Roman"/>
                <w:color w:val="000000" w:themeColor="text1"/>
                <w:sz w:val="16"/>
                <w:szCs w:val="16"/>
              </w:rPr>
              <w:t>)</w:t>
            </w:r>
          </w:p>
        </w:tc>
        <w:tc>
          <w:tcPr>
            <w:tcW w:w="1430" w:type="dxa"/>
            <w:tcBorders>
              <w:top w:val="nil"/>
              <w:left w:val="single" w:sz="6" w:space="0" w:color="auto"/>
              <w:bottom w:val="nil"/>
              <w:right w:val="single" w:sz="6" w:space="0" w:color="auto"/>
            </w:tcBorders>
          </w:tcPr>
          <w:p w14:paraId="6084951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5959A3D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w:t>
            </w:r>
          </w:p>
          <w:p w14:paraId="5EEF90A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868 (420 </w:t>
            </w:r>
            <w:r w:rsidRPr="007224C3">
              <w:rPr>
                <w:rFonts w:ascii="Times New Roman" w:hAnsi="Times New Roman"/>
                <w:color w:val="000000" w:themeColor="text1"/>
                <w:sz w:val="16"/>
                <w:szCs w:val="16"/>
                <w:vertAlign w:val="superscript"/>
              </w:rPr>
              <w:t>2/</w:t>
            </w:r>
            <w:r w:rsidRPr="007224C3">
              <w:rPr>
                <w:rFonts w:ascii="Times New Roman" w:hAnsi="Times New Roman"/>
                <w:color w:val="000000" w:themeColor="text1"/>
                <w:sz w:val="16"/>
                <w:szCs w:val="16"/>
              </w:rPr>
              <w:t>)</w:t>
            </w:r>
          </w:p>
        </w:tc>
        <w:tc>
          <w:tcPr>
            <w:tcW w:w="1584" w:type="dxa"/>
            <w:tcBorders>
              <w:top w:val="nil"/>
              <w:left w:val="single" w:sz="6" w:space="0" w:color="auto"/>
              <w:bottom w:val="nil"/>
              <w:right w:val="single" w:sz="6" w:space="0" w:color="auto"/>
            </w:tcBorders>
          </w:tcPr>
          <w:p w14:paraId="278D21D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439(139</w:t>
            </w:r>
            <w:r w:rsidRPr="007224C3">
              <w:rPr>
                <w:rFonts w:ascii="Times New Roman" w:hAnsi="Times New Roman"/>
                <w:color w:val="000000" w:themeColor="text1"/>
                <w:sz w:val="16"/>
                <w:szCs w:val="16"/>
                <w:vertAlign w:val="superscript"/>
              </w:rPr>
              <w:t>2/</w:t>
            </w:r>
            <w:r w:rsidRPr="007224C3">
              <w:rPr>
                <w:rFonts w:ascii="Times New Roman" w:hAnsi="Times New Roman"/>
                <w:color w:val="000000" w:themeColor="text1"/>
                <w:sz w:val="16"/>
                <w:szCs w:val="16"/>
              </w:rPr>
              <w:t>) 3901(1352</w:t>
            </w:r>
            <w:r w:rsidRPr="007224C3">
              <w:rPr>
                <w:rFonts w:ascii="Times New Roman" w:hAnsi="Times New Roman"/>
                <w:color w:val="000000" w:themeColor="text1"/>
                <w:sz w:val="16"/>
                <w:szCs w:val="16"/>
                <w:vertAlign w:val="superscript"/>
              </w:rPr>
              <w:t>2/</w:t>
            </w:r>
            <w:r w:rsidRPr="007224C3">
              <w:rPr>
                <w:rFonts w:ascii="Times New Roman" w:hAnsi="Times New Roman"/>
                <w:color w:val="000000" w:themeColor="text1"/>
                <w:sz w:val="16"/>
                <w:szCs w:val="16"/>
              </w:rPr>
              <w:t>)</w:t>
            </w:r>
          </w:p>
          <w:p w14:paraId="6C57563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4273(2038</w:t>
            </w:r>
            <w:r w:rsidRPr="007224C3">
              <w:rPr>
                <w:rFonts w:ascii="Times New Roman" w:hAnsi="Times New Roman"/>
                <w:color w:val="000000" w:themeColor="text1"/>
                <w:sz w:val="16"/>
                <w:szCs w:val="16"/>
                <w:vertAlign w:val="superscript"/>
              </w:rPr>
              <w:t>2/</w:t>
            </w:r>
            <w:r w:rsidRPr="007224C3">
              <w:rPr>
                <w:rFonts w:ascii="Times New Roman" w:hAnsi="Times New Roman"/>
                <w:color w:val="000000" w:themeColor="text1"/>
                <w:sz w:val="16"/>
                <w:szCs w:val="16"/>
              </w:rPr>
              <w:t>)</w:t>
            </w:r>
          </w:p>
        </w:tc>
      </w:tr>
      <w:tr w:rsidR="005106D0" w:rsidRPr="007224C3" w14:paraId="610220EF" w14:textId="77777777">
        <w:trPr>
          <w:trHeight w:val="278"/>
        </w:trPr>
        <w:tc>
          <w:tcPr>
            <w:tcW w:w="1613" w:type="dxa"/>
            <w:tcBorders>
              <w:top w:val="single" w:sz="6" w:space="0" w:color="auto"/>
              <w:left w:val="single" w:sz="6" w:space="0" w:color="auto"/>
              <w:bottom w:val="single" w:sz="6" w:space="0" w:color="auto"/>
              <w:right w:val="single" w:sz="6" w:space="0" w:color="auto"/>
            </w:tcBorders>
          </w:tcPr>
          <w:p w14:paraId="768D567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Итого</w:t>
            </w:r>
          </w:p>
        </w:tc>
        <w:tc>
          <w:tcPr>
            <w:tcW w:w="1267" w:type="dxa"/>
            <w:tcBorders>
              <w:top w:val="single" w:sz="6" w:space="0" w:color="auto"/>
              <w:left w:val="single" w:sz="6" w:space="0" w:color="auto"/>
              <w:bottom w:val="single" w:sz="6" w:space="0" w:color="auto"/>
              <w:right w:val="single" w:sz="6" w:space="0" w:color="auto"/>
            </w:tcBorders>
          </w:tcPr>
          <w:p w14:paraId="273B327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633(163</w:t>
            </w:r>
            <w:r w:rsidRPr="007224C3">
              <w:rPr>
                <w:rFonts w:ascii="Times New Roman" w:hAnsi="Times New Roman"/>
                <w:color w:val="000000" w:themeColor="text1"/>
                <w:sz w:val="16"/>
                <w:szCs w:val="16"/>
                <w:vertAlign w:val="superscript"/>
              </w:rPr>
              <w:t>2/</w:t>
            </w:r>
            <w:r w:rsidRPr="007224C3">
              <w:rPr>
                <w:rFonts w:ascii="Times New Roman" w:hAnsi="Times New Roman"/>
                <w:color w:val="000000" w:themeColor="text1"/>
                <w:sz w:val="16"/>
                <w:szCs w:val="16"/>
              </w:rPr>
              <w:t>)</w:t>
            </w:r>
          </w:p>
        </w:tc>
        <w:tc>
          <w:tcPr>
            <w:tcW w:w="1286" w:type="dxa"/>
            <w:tcBorders>
              <w:top w:val="single" w:sz="6" w:space="0" w:color="auto"/>
              <w:left w:val="single" w:sz="6" w:space="0" w:color="auto"/>
              <w:bottom w:val="single" w:sz="6" w:space="0" w:color="auto"/>
              <w:right w:val="single" w:sz="6" w:space="0" w:color="auto"/>
            </w:tcBorders>
          </w:tcPr>
          <w:p w14:paraId="250B658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2623 (742</w:t>
            </w:r>
            <w:r w:rsidRPr="007224C3">
              <w:rPr>
                <w:rFonts w:ascii="Times New Roman" w:hAnsi="Times New Roman"/>
                <w:color w:val="000000" w:themeColor="text1"/>
                <w:sz w:val="16"/>
                <w:szCs w:val="16"/>
                <w:vertAlign w:val="superscript"/>
              </w:rPr>
              <w:t>2/</w:t>
            </w:r>
            <w:r w:rsidRPr="007224C3">
              <w:rPr>
                <w:rFonts w:ascii="Times New Roman" w:hAnsi="Times New Roman"/>
                <w:color w:val="000000" w:themeColor="text1"/>
                <w:sz w:val="16"/>
                <w:szCs w:val="16"/>
              </w:rPr>
              <w:t>)</w:t>
            </w:r>
          </w:p>
        </w:tc>
        <w:tc>
          <w:tcPr>
            <w:tcW w:w="1421" w:type="dxa"/>
            <w:tcBorders>
              <w:top w:val="single" w:sz="6" w:space="0" w:color="auto"/>
              <w:left w:val="single" w:sz="6" w:space="0" w:color="auto"/>
              <w:bottom w:val="single" w:sz="6" w:space="0" w:color="auto"/>
              <w:right w:val="single" w:sz="6" w:space="0" w:color="auto"/>
            </w:tcBorders>
          </w:tcPr>
          <w:p w14:paraId="4142E0A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1820 (850</w:t>
            </w:r>
            <w:r w:rsidRPr="007224C3">
              <w:rPr>
                <w:rFonts w:ascii="Times New Roman" w:hAnsi="Times New Roman"/>
                <w:color w:val="000000" w:themeColor="text1"/>
                <w:sz w:val="16"/>
                <w:szCs w:val="16"/>
                <w:vertAlign w:val="superscript"/>
              </w:rPr>
              <w:t>2/</w:t>
            </w:r>
            <w:r w:rsidRPr="007224C3">
              <w:rPr>
                <w:rFonts w:ascii="Times New Roman" w:hAnsi="Times New Roman"/>
                <w:color w:val="000000" w:themeColor="text1"/>
                <w:sz w:val="16"/>
                <w:szCs w:val="16"/>
              </w:rPr>
              <w:t>)</w:t>
            </w:r>
          </w:p>
        </w:tc>
        <w:tc>
          <w:tcPr>
            <w:tcW w:w="1296" w:type="dxa"/>
            <w:tcBorders>
              <w:top w:val="single" w:sz="6" w:space="0" w:color="auto"/>
              <w:left w:val="single" w:sz="6" w:space="0" w:color="auto"/>
              <w:bottom w:val="single" w:sz="6" w:space="0" w:color="auto"/>
              <w:right w:val="single" w:sz="6" w:space="0" w:color="auto"/>
            </w:tcBorders>
          </w:tcPr>
          <w:p w14:paraId="3DB0729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3000(1404</w:t>
            </w:r>
            <w:r w:rsidRPr="007224C3">
              <w:rPr>
                <w:rFonts w:ascii="Times New Roman" w:hAnsi="Times New Roman"/>
                <w:color w:val="000000" w:themeColor="text1"/>
                <w:sz w:val="16"/>
                <w:szCs w:val="16"/>
                <w:vertAlign w:val="superscript"/>
              </w:rPr>
              <w:t>2/</w:t>
            </w:r>
            <w:r w:rsidRPr="007224C3">
              <w:rPr>
                <w:rFonts w:ascii="Times New Roman" w:hAnsi="Times New Roman"/>
                <w:color w:val="000000" w:themeColor="text1"/>
                <w:sz w:val="16"/>
                <w:szCs w:val="16"/>
              </w:rPr>
              <w:t>)</w:t>
            </w:r>
          </w:p>
        </w:tc>
        <w:tc>
          <w:tcPr>
            <w:tcW w:w="1430" w:type="dxa"/>
            <w:tcBorders>
              <w:top w:val="single" w:sz="6" w:space="0" w:color="auto"/>
              <w:left w:val="single" w:sz="6" w:space="0" w:color="auto"/>
              <w:bottom w:val="single" w:sz="6" w:space="0" w:color="auto"/>
              <w:right w:val="single" w:sz="6" w:space="0" w:color="auto"/>
            </w:tcBorders>
          </w:tcPr>
          <w:p w14:paraId="3529704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868 (420</w:t>
            </w:r>
            <w:r w:rsidRPr="007224C3">
              <w:rPr>
                <w:rFonts w:ascii="Times New Roman" w:hAnsi="Times New Roman"/>
                <w:color w:val="000000" w:themeColor="text1"/>
                <w:sz w:val="16"/>
                <w:szCs w:val="16"/>
                <w:vertAlign w:val="superscript"/>
              </w:rPr>
              <w:t>2/</w:t>
            </w:r>
            <w:r w:rsidRPr="007224C3">
              <w:rPr>
                <w:rFonts w:ascii="Times New Roman" w:hAnsi="Times New Roman"/>
                <w:color w:val="000000" w:themeColor="text1"/>
                <w:sz w:val="16"/>
                <w:szCs w:val="16"/>
              </w:rPr>
              <w:t>)</w:t>
            </w:r>
          </w:p>
        </w:tc>
        <w:tc>
          <w:tcPr>
            <w:tcW w:w="1584" w:type="dxa"/>
            <w:tcBorders>
              <w:top w:val="single" w:sz="6" w:space="0" w:color="auto"/>
              <w:left w:val="single" w:sz="6" w:space="0" w:color="auto"/>
              <w:bottom w:val="single" w:sz="6" w:space="0" w:color="auto"/>
              <w:right w:val="single" w:sz="6" w:space="0" w:color="auto"/>
            </w:tcBorders>
          </w:tcPr>
          <w:p w14:paraId="11C5816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8944 (3585</w:t>
            </w:r>
            <w:r w:rsidRPr="007224C3">
              <w:rPr>
                <w:rFonts w:ascii="Times New Roman" w:hAnsi="Times New Roman"/>
                <w:color w:val="000000" w:themeColor="text1"/>
                <w:sz w:val="16"/>
                <w:szCs w:val="16"/>
                <w:vertAlign w:val="superscript"/>
              </w:rPr>
              <w:t>2</w:t>
            </w:r>
            <w:r w:rsidRPr="007224C3">
              <w:rPr>
                <w:rFonts w:ascii="Times New Roman" w:hAnsi="Times New Roman"/>
                <w:color w:val="000000" w:themeColor="text1"/>
                <w:sz w:val="16"/>
                <w:szCs w:val="16"/>
              </w:rPr>
              <w:t>)</w:t>
            </w:r>
          </w:p>
        </w:tc>
      </w:tr>
    </w:tbl>
    <w:p w14:paraId="29B66CD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 за второе полугодие</w:t>
      </w:r>
    </w:p>
    <w:p w14:paraId="5679F27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2 - из них с радиостанцией</w:t>
      </w:r>
    </w:p>
    <w:p w14:paraId="1F574C7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3 - за первые пять месяцев (10703).</w:t>
      </w:r>
    </w:p>
    <w:p w14:paraId="731E5D6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D473CA" w14:textId="77777777" w:rsidR="009E614A" w:rsidRPr="007224C3" w:rsidRDefault="009E614A" w:rsidP="007224C3">
      <w:pPr>
        <w:shd w:val="clear" w:color="auto" w:fill="FFFFFF"/>
        <w:spacing w:after="0" w:line="240" w:lineRule="auto"/>
        <w:jc w:val="both"/>
        <w:rPr>
          <w:rStyle w:val="670"/>
          <w:rFonts w:ascii="Times New Roman" w:hAnsi="Times New Roman" w:cs="Times New Roman"/>
          <w:color w:val="0070C0"/>
          <w:sz w:val="16"/>
          <w:szCs w:val="16"/>
        </w:rPr>
      </w:pPr>
      <w:r w:rsidRPr="007224C3">
        <w:rPr>
          <w:rStyle w:val="660"/>
          <w:rFonts w:ascii="Times New Roman" w:hAnsi="Times New Roman" w:cs="Times New Roman"/>
          <w:color w:val="0070C0"/>
          <w:sz w:val="16"/>
          <w:szCs w:val="16"/>
          <w:lang w:val="ru-RU"/>
        </w:rPr>
        <w:t>В июне 1944 года случилось еще одно существенное изменение внеш</w:t>
      </w:r>
      <w:r w:rsidRPr="007224C3">
        <w:rPr>
          <w:rStyle w:val="660"/>
          <w:rFonts w:ascii="Times New Roman" w:hAnsi="Times New Roman" w:cs="Times New Roman"/>
          <w:color w:val="0070C0"/>
          <w:sz w:val="16"/>
          <w:szCs w:val="16"/>
          <w:lang w:val="ru-RU"/>
        </w:rPr>
        <w:softHyphen/>
        <w:t>него вида СУ-85А. С самого начала производства машины масса жалоб шла на опорные катки, точнее, на их резиновые бандажи. Они часто разру</w:t>
      </w:r>
      <w:r w:rsidRPr="007224C3">
        <w:rPr>
          <w:rStyle w:val="660"/>
          <w:rFonts w:ascii="Times New Roman" w:hAnsi="Times New Roman" w:cs="Times New Roman"/>
          <w:color w:val="0070C0"/>
          <w:sz w:val="16"/>
          <w:szCs w:val="16"/>
          <w:lang w:val="ru-RU"/>
        </w:rPr>
        <w:softHyphen/>
        <w:t>шались, особенно на скоростях движения выше 30 км/ч. Причиной тому был не про</w:t>
      </w:r>
      <w:r w:rsidRPr="007224C3">
        <w:rPr>
          <w:rStyle w:val="660"/>
          <w:rFonts w:ascii="Times New Roman" w:hAnsi="Times New Roman" w:cs="Times New Roman"/>
          <w:color w:val="0070C0"/>
          <w:sz w:val="16"/>
          <w:szCs w:val="16"/>
          <w:lang w:val="ru-RU"/>
        </w:rPr>
        <w:softHyphen/>
        <w:t>изводственный дефект, а общая перегрузка шасси Т-34 и САУ на его базе. С данной про</w:t>
      </w:r>
      <w:r w:rsidRPr="007224C3">
        <w:rPr>
          <w:rStyle w:val="660"/>
          <w:rFonts w:ascii="Times New Roman" w:hAnsi="Times New Roman" w:cs="Times New Roman"/>
          <w:color w:val="0070C0"/>
          <w:sz w:val="16"/>
          <w:szCs w:val="16"/>
          <w:lang w:val="ru-RU"/>
        </w:rPr>
        <w:softHyphen/>
        <w:t>блемой бились в течение 1943 и 1944 годов. Наконец, в июле 1944 года КБ завода №183 разработало бандаж без отверстий охлажде</w:t>
      </w:r>
      <w:r w:rsidRPr="007224C3">
        <w:rPr>
          <w:rStyle w:val="660"/>
          <w:rFonts w:ascii="Times New Roman" w:hAnsi="Times New Roman" w:cs="Times New Roman"/>
          <w:color w:val="0070C0"/>
          <w:sz w:val="16"/>
          <w:szCs w:val="16"/>
          <w:lang w:val="ru-RU"/>
        </w:rPr>
        <w:softHyphen/>
        <w:t>ния резины и «протектора» на беговой дорожке. Официально с отверстиями распро</w:t>
      </w:r>
      <w:r w:rsidRPr="007224C3">
        <w:rPr>
          <w:rStyle w:val="660"/>
          <w:rFonts w:ascii="Times New Roman" w:hAnsi="Times New Roman" w:cs="Times New Roman"/>
          <w:color w:val="0070C0"/>
          <w:sz w:val="16"/>
          <w:szCs w:val="16"/>
          <w:lang w:val="ru-RU"/>
        </w:rPr>
        <w:softHyphen/>
        <w:t xml:space="preserve">щались 7 июля 1944 года, но ставить опорные </w:t>
      </w:r>
      <w:r w:rsidRPr="007224C3">
        <w:rPr>
          <w:rStyle w:val="670"/>
          <w:rFonts w:ascii="Times New Roman" w:hAnsi="Times New Roman" w:cs="Times New Roman"/>
          <w:color w:val="0070C0"/>
          <w:sz w:val="16"/>
          <w:szCs w:val="16"/>
        </w:rPr>
        <w:t>катки без отверстий начали только после выработки имевшегося задела. (Существует неоднозначность прочтения нанесенных на чертеже головного завода №183 изменений. К перечеркнутым отверстиям в бандаже можно отнести как рукописную позицию «д» чертежа - тогда их убрали с 29 апреля 1944 г., так и, что представляется более правдопо</w:t>
      </w:r>
      <w:r w:rsidRPr="007224C3">
        <w:rPr>
          <w:rStyle w:val="670"/>
          <w:rFonts w:ascii="Times New Roman" w:hAnsi="Times New Roman" w:cs="Times New Roman"/>
          <w:color w:val="0070C0"/>
          <w:sz w:val="16"/>
          <w:szCs w:val="16"/>
        </w:rPr>
        <w:softHyphen/>
        <w:t>добным, соседняя литера «е» чертежа - тогда бандажи без отверстий должны были выпус</w:t>
      </w:r>
      <w:r w:rsidRPr="007224C3">
        <w:rPr>
          <w:rStyle w:val="670"/>
          <w:rFonts w:ascii="Times New Roman" w:hAnsi="Times New Roman" w:cs="Times New Roman"/>
          <w:color w:val="0070C0"/>
          <w:sz w:val="16"/>
          <w:szCs w:val="16"/>
        </w:rPr>
        <w:softHyphen/>
        <w:t>каться с 7 июля 1944 г.). Завод №713, кото</w:t>
      </w:r>
      <w:r w:rsidRPr="007224C3">
        <w:rPr>
          <w:rStyle w:val="670"/>
          <w:rFonts w:ascii="Times New Roman" w:hAnsi="Times New Roman" w:cs="Times New Roman"/>
          <w:color w:val="0070C0"/>
          <w:sz w:val="16"/>
          <w:szCs w:val="16"/>
        </w:rPr>
        <w:softHyphen/>
        <w:t>рый обеспечивал УЗТМ бандажами, перешел на новую конструкцию летом 1944 года. На практике же эти бандажи появились ближе к концу выпуска (19889).</w:t>
      </w:r>
    </w:p>
    <w:p w14:paraId="6C6ACD32" w14:textId="77777777" w:rsidR="009E614A" w:rsidRPr="007224C3" w:rsidRDefault="009E614A" w:rsidP="007224C3">
      <w:pPr>
        <w:shd w:val="clear" w:color="auto" w:fill="FFFFFF"/>
        <w:spacing w:after="0" w:line="240" w:lineRule="auto"/>
        <w:jc w:val="both"/>
        <w:rPr>
          <w:rFonts w:ascii="Times New Roman" w:hAnsi="Times New Roman"/>
          <w:color w:val="0070C0"/>
          <w:sz w:val="16"/>
          <w:szCs w:val="16"/>
        </w:rPr>
      </w:pPr>
    </w:p>
    <w:p w14:paraId="584ED593" w14:textId="77777777" w:rsidR="009E614A" w:rsidRPr="007224C3" w:rsidRDefault="009E614A" w:rsidP="007224C3">
      <w:pPr>
        <w:spacing w:after="0" w:line="240" w:lineRule="auto"/>
        <w:jc w:val="both"/>
        <w:rPr>
          <w:rStyle w:val="670"/>
          <w:rFonts w:ascii="Times New Roman" w:hAnsi="Times New Roman" w:cs="Times New Roman"/>
          <w:color w:val="0070C0"/>
          <w:sz w:val="16"/>
          <w:szCs w:val="16"/>
        </w:rPr>
      </w:pPr>
      <w:r w:rsidRPr="007224C3">
        <w:rPr>
          <w:rStyle w:val="670"/>
          <w:rFonts w:ascii="Times New Roman" w:hAnsi="Times New Roman" w:cs="Times New Roman"/>
          <w:color w:val="0070C0"/>
          <w:sz w:val="16"/>
          <w:szCs w:val="16"/>
        </w:rPr>
        <w:t>В июне 1944 г. на Су-85 ввели, наконец, элек</w:t>
      </w:r>
      <w:r w:rsidRPr="007224C3">
        <w:rPr>
          <w:rStyle w:val="670"/>
          <w:rFonts w:ascii="Times New Roman" w:hAnsi="Times New Roman" w:cs="Times New Roman"/>
          <w:color w:val="0070C0"/>
          <w:sz w:val="16"/>
          <w:szCs w:val="16"/>
        </w:rPr>
        <w:softHyphen/>
        <w:t>троспуск орудия - со 117-й машины. Последним же внешним изменением СУ- 85А стало долгожданное появление вытяж</w:t>
      </w:r>
      <w:r w:rsidRPr="007224C3">
        <w:rPr>
          <w:rStyle w:val="670"/>
          <w:rFonts w:ascii="Times New Roman" w:hAnsi="Times New Roman" w:cs="Times New Roman"/>
          <w:color w:val="0070C0"/>
          <w:sz w:val="16"/>
          <w:szCs w:val="16"/>
        </w:rPr>
        <w:softHyphen/>
        <w:t>ного вентилятора на крыше рубки. Нередко можно слышать версию о том, что он был на самых ранних машинах, но на самом деле их ставили, наоборот, на СУ-85А самого поздне</w:t>
      </w:r>
      <w:r w:rsidRPr="007224C3">
        <w:rPr>
          <w:rStyle w:val="670"/>
          <w:rFonts w:ascii="Times New Roman" w:hAnsi="Times New Roman" w:cs="Times New Roman"/>
          <w:color w:val="0070C0"/>
          <w:sz w:val="16"/>
          <w:szCs w:val="16"/>
        </w:rPr>
        <w:softHyphen/>
        <w:t>го периода выпуска. Когда именно ввели вентилятор, неизвестно, можно лишь гово</w:t>
      </w:r>
      <w:r w:rsidRPr="007224C3">
        <w:rPr>
          <w:rStyle w:val="670"/>
          <w:rFonts w:ascii="Times New Roman" w:hAnsi="Times New Roman" w:cs="Times New Roman"/>
          <w:color w:val="0070C0"/>
          <w:sz w:val="16"/>
          <w:szCs w:val="16"/>
        </w:rPr>
        <w:softHyphen/>
        <w:t>рить о том, что произошло это летом 1944 года. Попадаются машины с вытяжным вен</w:t>
      </w:r>
      <w:r w:rsidRPr="007224C3">
        <w:rPr>
          <w:rStyle w:val="670"/>
          <w:rFonts w:ascii="Times New Roman" w:hAnsi="Times New Roman" w:cs="Times New Roman"/>
          <w:color w:val="0070C0"/>
          <w:sz w:val="16"/>
          <w:szCs w:val="16"/>
        </w:rPr>
        <w:softHyphen/>
        <w:t>тилятором очень редко (19889).</w:t>
      </w:r>
    </w:p>
    <w:p w14:paraId="63643D25" w14:textId="77777777" w:rsidR="009E614A" w:rsidRPr="007224C3" w:rsidRDefault="009E614A" w:rsidP="007224C3">
      <w:pPr>
        <w:spacing w:after="0" w:line="240" w:lineRule="auto"/>
        <w:jc w:val="both"/>
        <w:rPr>
          <w:rFonts w:ascii="Times New Roman" w:hAnsi="Times New Roman"/>
          <w:color w:val="0070C0"/>
          <w:sz w:val="16"/>
          <w:szCs w:val="16"/>
        </w:rPr>
      </w:pPr>
    </w:p>
    <w:p w14:paraId="6EF149BF" w14:textId="77777777" w:rsidR="00B216D6" w:rsidRPr="007224C3" w:rsidRDefault="00B216D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июне 1944 года на заводе 100 начались работы по изготовлению СУ-100, оснащённой системой С-34. Машину строили не с нуля: под систему ЦАКБ переделали первый опытный образец СУ-100. В связи с тем, что наводчик располагался справа, командирскую башенку сместили назад. Теперь заряжающий размещался слева, ввиду чего изменилась конструкция укладок. Из-за больших, чем Д-10С, габаритов системы С-34 места внутри машины стало меньше. Кроме того, по боевому отделению у комиссии возникло ещё больше претензий, чем по первому варианту СУ-100 с системой Д-10С (18252).</w:t>
      </w:r>
    </w:p>
    <w:p w14:paraId="39A719CD" w14:textId="77777777" w:rsidR="00B216D6" w:rsidRPr="007224C3" w:rsidRDefault="00B216D6" w:rsidP="007224C3">
      <w:pPr>
        <w:spacing w:after="0" w:line="240" w:lineRule="auto"/>
        <w:jc w:val="both"/>
        <w:rPr>
          <w:rFonts w:ascii="Times New Roman" w:hAnsi="Times New Roman"/>
          <w:color w:val="000000" w:themeColor="text1"/>
          <w:sz w:val="16"/>
          <w:szCs w:val="16"/>
        </w:rPr>
      </w:pPr>
    </w:p>
    <w:p w14:paraId="5A959939" w14:textId="77777777" w:rsidR="00B216D6" w:rsidRPr="007224C3" w:rsidRDefault="00B216D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июне 1944 года на испытания вышел переработанный образец самоходной установки СУ-57. Машина получила полностью закрытое боевое отделение, для улучшения обзорности сверху появились перископические приборы.</w:t>
      </w:r>
    </w:p>
    <w:p w14:paraId="3824120C" w14:textId="77777777" w:rsidR="00B216D6" w:rsidRPr="007224C3" w:rsidRDefault="00B216D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Чтобы оценить способность работы расчёта при полностью закрытом боевом отделении, проводились специальные испытания. Выяснилось, что условия работы вполне удовлетворительные, раздражения пороховыми газами и интоксикации не наблюдалось. Тем не менее приемлемыми были признаны условия работы при заведённом двигателе и открытом кормовом люке. Из-за отсутствия специальных средств вентиляции боевого отделения работа при выключенном двигателе и закрытом кормовом люке вызывала некоторый дискомфорт. В отличие от СУ-12, в крыше этой машины отверсти не было, что ухудшало вентилируемость.</w:t>
      </w:r>
    </w:p>
    <w:p w14:paraId="5AD5373E" w14:textId="77777777" w:rsidR="00B216D6" w:rsidRPr="007224C3" w:rsidRDefault="00B216D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Дальнейшие работы над закрытым боевым отделением на ГАЗ им. Молотова прекратились, там сконцентрировались на </w:t>
      </w:r>
      <w:hyperlink r:id="rId187" w:history="1">
        <w:r w:rsidRPr="007224C3">
          <w:rPr>
            <w:rStyle w:val="a5"/>
            <w:rFonts w:ascii="Times New Roman" w:hAnsi="Times New Roman"/>
            <w:color w:val="000000" w:themeColor="text1"/>
            <w:sz w:val="16"/>
            <w:szCs w:val="16"/>
          </w:rPr>
          <w:t>СУ-85А</w:t>
        </w:r>
      </w:hyperlink>
      <w:r w:rsidRPr="007224C3">
        <w:rPr>
          <w:rFonts w:ascii="Times New Roman" w:hAnsi="Times New Roman"/>
          <w:color w:val="000000" w:themeColor="text1"/>
          <w:sz w:val="16"/>
          <w:szCs w:val="16"/>
        </w:rPr>
        <w:t>. Эстафетную палочку перехватило КБ завода №40. Здесь после переезда завода №38 в Харьков был создан новый центр разработки лёгких САУ. Коллектив КБ под руководством главного конструктора Н.А. Попова подошёл к вопросу более комплексно. Анализ боевого применения показывал, что расчёт поражался чаще не осколками сверху, а ружейно-пулемётным огнём с флангов и сзади. Это было связано с тем, что для облегчения машины часть листов бортов и кормы при «демонтаже» крыши тоже была убрана. Удалось выиграть сотню-полторы килограмм массы, но расчёт боевого отделения оказался уязвим. В Мытищах помнили и о том, что шасси СУ-76М весьма чувствительно к перегрузкам, поэтому действовать требовалось осторожно.</w:t>
      </w:r>
    </w:p>
    <w:p w14:paraId="40B51A0B" w14:textId="77777777" w:rsidR="00B216D6" w:rsidRPr="007224C3" w:rsidRDefault="00B216D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случае необходимости смотровой прибор командира во лбу рубки снимался, и вместо него ставился пулемёт. Испытания показали, что такая система работает не очень хорошо (18172).</w:t>
      </w:r>
    </w:p>
    <w:p w14:paraId="7EB4EDA3" w14:textId="77777777" w:rsidR="00B216D6" w:rsidRPr="007224C3" w:rsidRDefault="00B216D6" w:rsidP="007224C3">
      <w:pPr>
        <w:spacing w:after="0" w:line="240" w:lineRule="auto"/>
        <w:jc w:val="both"/>
        <w:rPr>
          <w:rFonts w:ascii="Times New Roman" w:hAnsi="Times New Roman"/>
          <w:color w:val="000000" w:themeColor="text1"/>
          <w:sz w:val="16"/>
          <w:szCs w:val="16"/>
        </w:rPr>
      </w:pPr>
    </w:p>
    <w:p w14:paraId="7E0D77A7" w14:textId="77777777" w:rsidR="00B216D6" w:rsidRPr="007224C3" w:rsidRDefault="00B216D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июне 1944 года КБ ГАЗ им. Молотова разработало второй вариант САУ СУ-57. Вместо изготовления новой машины был переделан уже имеющийся образец. Наибольшие изменения претерпело боевое отделение, которое стало полностью закрытым. Боевая масса этой машины указывается такой же, как и СУ-76М, что выглядит сомнительно. Вероятнее всего, она выросла примерно на полтонны. Для улучшения обзорности в крыше появились перископические приборы наблюдения MK-IV. Переделка вооружения выполнялась в соответствии с полученным заданием (18098).</w:t>
      </w:r>
    </w:p>
    <w:p w14:paraId="65B4422B" w14:textId="77777777" w:rsidR="00B216D6" w:rsidRPr="007224C3" w:rsidRDefault="00B216D6" w:rsidP="007224C3">
      <w:pPr>
        <w:spacing w:after="0" w:line="240" w:lineRule="auto"/>
        <w:jc w:val="both"/>
        <w:rPr>
          <w:rFonts w:ascii="Times New Roman" w:hAnsi="Times New Roman"/>
          <w:color w:val="000000" w:themeColor="text1"/>
          <w:sz w:val="16"/>
          <w:szCs w:val="16"/>
        </w:rPr>
      </w:pPr>
    </w:p>
    <w:p w14:paraId="4F5B593E" w14:textId="77777777" w:rsidR="00B216D6" w:rsidRPr="007224C3" w:rsidRDefault="00B216D6"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июне 1944 г. ОСУ-76 про</w:t>
      </w:r>
      <w:r w:rsidRPr="007224C3">
        <w:rPr>
          <w:rFonts w:ascii="Times New Roman" w:hAnsi="Times New Roman"/>
          <w:color w:val="000000" w:themeColor="text1"/>
          <w:sz w:val="16"/>
          <w:szCs w:val="16"/>
        </w:rPr>
        <w:softHyphen/>
        <w:t>шла государственные испытания. Основными достоинствами машины являлись чрезвычайная простота конструкции и изготовления, низкая стоимость и возможность применения в авиадесантных операциях. Дальнейшего развития установка не получила, так как из-за дефицита шестицилиндровых карбюраторных двигателей, на ней был установлен маломощный четырехцилиндровый карбюраторный двигатель, ГАЗ-М1, в результате чего машина имела низкие показатели подвижно</w:t>
      </w:r>
      <w:r w:rsidRPr="007224C3">
        <w:rPr>
          <w:rFonts w:ascii="Times New Roman" w:hAnsi="Times New Roman"/>
          <w:color w:val="000000" w:themeColor="text1"/>
          <w:sz w:val="16"/>
          <w:szCs w:val="16"/>
        </w:rPr>
        <w:softHyphen/>
        <w:t>сти. Кроме того, малая длина опорной поверхности (четыре опорных катка на борт) не обеспечивала необходимую устойчивость установки при стрельбе. Через четыре месяца Горьковский автозавод представил на испыта</w:t>
      </w:r>
      <w:r w:rsidRPr="007224C3">
        <w:rPr>
          <w:rFonts w:ascii="Times New Roman" w:hAnsi="Times New Roman"/>
          <w:color w:val="000000" w:themeColor="text1"/>
          <w:sz w:val="16"/>
          <w:szCs w:val="16"/>
        </w:rPr>
        <w:softHyphen/>
        <w:t>ния новый опытный образец самоходной установки СУ-85Б (СУ-15Б), в которой были учтены недостатки конструкции предыдущего образца. Кроме того, на машине была установлена 85-мм пушка ЛБ-2 конструк</w:t>
      </w:r>
      <w:r w:rsidRPr="007224C3">
        <w:rPr>
          <w:rFonts w:ascii="Times New Roman" w:hAnsi="Times New Roman"/>
          <w:color w:val="000000" w:themeColor="text1"/>
          <w:sz w:val="16"/>
          <w:szCs w:val="16"/>
        </w:rPr>
        <w:softHyphen/>
        <w:t>ции завода № 92 с дульным тормозом для уменьшения силы отдачи при выстреле. Проведенные испытания прошли успешно, огневая мощь и подвижность машины были признаны удовлетворительными и уста</w:t>
      </w:r>
      <w:r w:rsidRPr="007224C3">
        <w:rPr>
          <w:rFonts w:ascii="Times New Roman" w:hAnsi="Times New Roman"/>
          <w:color w:val="000000" w:themeColor="text1"/>
          <w:sz w:val="16"/>
          <w:szCs w:val="16"/>
        </w:rPr>
        <w:softHyphen/>
        <w:t>новка была рекомендована к принятию на вооружение, хотя и сохрани</w:t>
      </w:r>
      <w:r w:rsidRPr="007224C3">
        <w:rPr>
          <w:rFonts w:ascii="Times New Roman" w:hAnsi="Times New Roman"/>
          <w:color w:val="000000" w:themeColor="text1"/>
          <w:sz w:val="16"/>
          <w:szCs w:val="16"/>
        </w:rPr>
        <w:softHyphen/>
        <w:t>ла некоторые недостатки, присущие установке СУ-85 А. В связи с окон</w:t>
      </w:r>
      <w:r w:rsidRPr="007224C3">
        <w:rPr>
          <w:rFonts w:ascii="Times New Roman" w:hAnsi="Times New Roman"/>
          <w:color w:val="000000" w:themeColor="text1"/>
          <w:sz w:val="16"/>
          <w:szCs w:val="16"/>
        </w:rPr>
        <w:softHyphen/>
        <w:t>чанием Великой Отечественной войны дальнейшие работы над уста</w:t>
      </w:r>
      <w:r w:rsidRPr="007224C3">
        <w:rPr>
          <w:rFonts w:ascii="Times New Roman" w:hAnsi="Times New Roman"/>
          <w:color w:val="000000" w:themeColor="text1"/>
          <w:sz w:val="16"/>
          <w:szCs w:val="16"/>
        </w:rPr>
        <w:softHyphen/>
        <w:t>новкой СУ-85Б были прекращены (10703).</w:t>
      </w:r>
    </w:p>
    <w:p w14:paraId="7E7B6F65" w14:textId="77777777" w:rsidR="00B216D6" w:rsidRPr="007224C3" w:rsidRDefault="00B216D6"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6D67A8" w14:textId="77777777" w:rsidR="00B216D6" w:rsidRPr="007224C3" w:rsidRDefault="00B216D6"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июне 1944 года был изготов</w:t>
      </w:r>
      <w:r w:rsidRPr="007224C3">
        <w:rPr>
          <w:rFonts w:ascii="Times New Roman" w:hAnsi="Times New Roman"/>
          <w:color w:val="000000" w:themeColor="text1"/>
          <w:sz w:val="16"/>
          <w:szCs w:val="16"/>
        </w:rPr>
        <w:softHyphen/>
        <w:t>лен опытный образец установки, во</w:t>
      </w:r>
      <w:r w:rsidRPr="007224C3">
        <w:rPr>
          <w:rFonts w:ascii="Times New Roman" w:hAnsi="Times New Roman"/>
          <w:color w:val="000000" w:themeColor="text1"/>
          <w:sz w:val="16"/>
          <w:szCs w:val="16"/>
        </w:rPr>
        <w:softHyphen/>
        <w:t>оруженной 85-мм пушкой ЗИС-С-53, но в связи с передислокацией завода в Харьков на территорию бывшего завода № 183, испытания машины не были закончены и дальнейшие работы прекращены (10703).</w:t>
      </w:r>
    </w:p>
    <w:p w14:paraId="602E7C82" w14:textId="77777777" w:rsidR="00B216D6" w:rsidRPr="007224C3" w:rsidRDefault="00B216D6"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6B7751" w14:textId="77777777" w:rsidR="00B216D6" w:rsidRPr="007224C3" w:rsidRDefault="00B216D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июне 1944 года из ГБТУ КА в письме предложило прекратить работы по «СУ-85 на базе СУ-76», поскольку СУ-76М удовлетворяла всем требованиям, которые к ней предъявлялись (18098).</w:t>
      </w:r>
    </w:p>
    <w:p w14:paraId="1FCD5471" w14:textId="77777777" w:rsidR="00B216D6" w:rsidRPr="007224C3" w:rsidRDefault="00B216D6" w:rsidP="007224C3">
      <w:pPr>
        <w:spacing w:after="0" w:line="240" w:lineRule="auto"/>
        <w:jc w:val="both"/>
        <w:rPr>
          <w:rFonts w:ascii="Times New Roman" w:hAnsi="Times New Roman"/>
          <w:color w:val="000000" w:themeColor="text1"/>
          <w:sz w:val="16"/>
          <w:szCs w:val="16"/>
        </w:rPr>
      </w:pPr>
    </w:p>
    <w:p w14:paraId="232D29D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июне 1944 г. в целях унификации с бронеавтомобилем БА-64 и по</w:t>
      </w:r>
      <w:r w:rsidRPr="007224C3">
        <w:rPr>
          <w:rFonts w:ascii="Times New Roman" w:hAnsi="Times New Roman"/>
          <w:color w:val="000000" w:themeColor="text1"/>
          <w:sz w:val="16"/>
          <w:szCs w:val="16"/>
        </w:rPr>
        <w:softHyphen/>
        <w:t>вышения защиты командира от свинцовых пулевых брызг на башне ма</w:t>
      </w:r>
      <w:r w:rsidRPr="007224C3">
        <w:rPr>
          <w:rFonts w:ascii="Times New Roman" w:hAnsi="Times New Roman"/>
          <w:color w:val="000000" w:themeColor="text1"/>
          <w:sz w:val="16"/>
          <w:szCs w:val="16"/>
        </w:rPr>
        <w:softHyphen/>
        <w:t>шины БА-64Б был установлен брызгоулавливатель (10703).</w:t>
      </w:r>
    </w:p>
    <w:p w14:paraId="16AA550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8CAB1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июне 1944 года закончились испытания модернизированного ГАЗ-67Б, выпущенного в январе 1944. На нем были изменены подшипники переднего моста (старые ограничивали ресурс), усилены передняя подвеска, диски колес, в конце года введен новый распределитель зажигания Р-15 (9638).</w:t>
      </w:r>
    </w:p>
    <w:p w14:paraId="728B3D2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2B61826" w14:textId="77777777" w:rsidR="00E20115" w:rsidRPr="007224C3" w:rsidRDefault="00E20115" w:rsidP="007224C3">
      <w:pPr>
        <w:pStyle w:val="a3"/>
        <w:rPr>
          <w:color w:val="000000" w:themeColor="text1"/>
          <w:lang w:val="ru-RU"/>
        </w:rPr>
      </w:pPr>
      <w:r w:rsidRPr="007224C3">
        <w:rPr>
          <w:color w:val="000000" w:themeColor="text1"/>
          <w:lang w:val="ru-RU"/>
        </w:rPr>
        <w:t>В июне 1944 пробеговые и специальные испыта</w:t>
      </w:r>
      <w:r w:rsidRPr="007224C3">
        <w:rPr>
          <w:color w:val="000000" w:themeColor="text1"/>
          <w:lang w:val="ru-RU"/>
        </w:rPr>
        <w:softHyphen/>
        <w:t>ния тягачей АТ-45 опытной партии (машины №15001-№15006) с буксировкой артиллерий</w:t>
      </w:r>
      <w:r w:rsidRPr="007224C3">
        <w:rPr>
          <w:color w:val="000000" w:themeColor="text1"/>
          <w:lang w:val="ru-RU"/>
        </w:rPr>
        <w:softHyphen/>
        <w:t>ских систем, танков и самоходных установок (Т-34, КВ-1с, СУ-85, СУ-152) подтвердили их высокие технические и эксплуатационные ка</w:t>
      </w:r>
      <w:r w:rsidRPr="007224C3">
        <w:rPr>
          <w:color w:val="000000" w:themeColor="text1"/>
          <w:lang w:val="ru-RU"/>
        </w:rPr>
        <w:softHyphen/>
        <w:t>чества (15748).</w:t>
      </w:r>
    </w:p>
    <w:p w14:paraId="7EC943F1" w14:textId="77777777" w:rsidR="00E20115" w:rsidRPr="007224C3" w:rsidRDefault="00E20115" w:rsidP="007224C3">
      <w:pPr>
        <w:pStyle w:val="a3"/>
        <w:rPr>
          <w:color w:val="000000" w:themeColor="text1"/>
          <w:lang w:val="ru-RU"/>
        </w:rPr>
      </w:pPr>
    </w:p>
    <w:p w14:paraId="0A40621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июне 1944 г. в Николаеве создана группа проектировщиков для восстановления местных заводов, в 1945 г. на ее базе создан Николаевский филиал ГСПИ-2 (11982).</w:t>
      </w:r>
    </w:p>
    <w:p w14:paraId="6300222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72A7661"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530C1CA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2B46CCB" w14:textId="77777777" w:rsidR="000340E9" w:rsidRPr="007224C3" w:rsidRDefault="000340E9"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июне 1944 г. 1-й оапп пе</w:t>
      </w:r>
      <w:r w:rsidRPr="007224C3">
        <w:rPr>
          <w:rFonts w:ascii="Times New Roman" w:hAnsi="Times New Roman"/>
          <w:color w:val="000000" w:themeColor="text1"/>
          <w:sz w:val="16"/>
          <w:szCs w:val="16"/>
        </w:rPr>
        <w:softHyphen/>
        <w:t>ребазировался в Клин, где получил самолёты Ил-4, а 10 октября его пре</w:t>
      </w:r>
      <w:r w:rsidRPr="007224C3">
        <w:rPr>
          <w:rFonts w:ascii="Times New Roman" w:hAnsi="Times New Roman"/>
          <w:color w:val="000000" w:themeColor="text1"/>
          <w:sz w:val="16"/>
          <w:szCs w:val="16"/>
        </w:rPr>
        <w:softHyphen/>
        <w:t>образовали в 208-й гв. апдд, включив в состав 19-й гв. аддд. 13 декабря того же года полк перевели в Могилёв (12266).</w:t>
      </w:r>
    </w:p>
    <w:p w14:paraId="2EBE62B7" w14:textId="77777777" w:rsidR="000340E9" w:rsidRPr="007224C3" w:rsidRDefault="000340E9" w:rsidP="007224C3">
      <w:pPr>
        <w:spacing w:after="0" w:line="240" w:lineRule="auto"/>
        <w:jc w:val="both"/>
        <w:rPr>
          <w:rFonts w:ascii="Times New Roman" w:hAnsi="Times New Roman"/>
          <w:color w:val="000000" w:themeColor="text1"/>
          <w:sz w:val="16"/>
          <w:szCs w:val="16"/>
        </w:rPr>
      </w:pPr>
    </w:p>
    <w:p w14:paraId="58DDDE7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июня 1944 года на истребитель Як-9У на аэродроме Волосово начал переучиваться личный состав 139-го гвардейского 303-й иад. Об эксплуатации Як-9У с моторами ВК-107А сохранилось очень мало информации, и, когда заходит речь о двигателе, то главным его дефектом называют низкий ресурс, до выработки которого в строевых частях они обычно не дотягивали. Одной из причин этого было плохое знание техническим персоналом материальной части и соответственно неграмотная его эксплуатация. Чтобы не быть голословным, отмечу, что в 139-м гвардейском иап моторы нарабатывали по 115 часов, вместо гарантированных 100 часов. Это стало возможным, благодаря упорному труду мотористов полка (12046).</w:t>
      </w:r>
    </w:p>
    <w:p w14:paraId="52AB9EB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CF3DFF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июне 1944 г. на ЧФ была сформирована 24-я отдельная эскадрилья корабельной авиации, в состав которой, помимо Бе-4, вошли истребители «Спит</w:t>
      </w:r>
      <w:r w:rsidRPr="007224C3">
        <w:rPr>
          <w:rFonts w:ascii="Times New Roman" w:hAnsi="Times New Roman"/>
          <w:color w:val="000000" w:themeColor="text1"/>
          <w:sz w:val="16"/>
          <w:szCs w:val="16"/>
        </w:rPr>
        <w:softHyphen/>
        <w:t>файр» МР.УВ (10685). В июле 1945 г. в составе этой эскадрильи насчитывалось 8 Бе-4 (10685).</w:t>
      </w:r>
    </w:p>
    <w:p w14:paraId="52E4D82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044676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июне 1944 самолеты АДД приняли учас</w:t>
      </w:r>
      <w:r w:rsidRPr="007224C3">
        <w:rPr>
          <w:rFonts w:ascii="Times New Roman" w:hAnsi="Times New Roman"/>
          <w:color w:val="000000" w:themeColor="text1"/>
          <w:sz w:val="16"/>
          <w:szCs w:val="16"/>
        </w:rPr>
        <w:softHyphen/>
        <w:t>тие в Белорусской операции. Там задей</w:t>
      </w:r>
      <w:r w:rsidRPr="007224C3">
        <w:rPr>
          <w:rFonts w:ascii="Times New Roman" w:hAnsi="Times New Roman"/>
          <w:color w:val="000000" w:themeColor="text1"/>
          <w:sz w:val="16"/>
          <w:szCs w:val="16"/>
        </w:rPr>
        <w:softHyphen/>
        <w:t>ствовали 1226 машин. В основном их целями являлись железнодорожные уз</w:t>
      </w:r>
      <w:r w:rsidRPr="007224C3">
        <w:rPr>
          <w:rFonts w:ascii="Times New Roman" w:hAnsi="Times New Roman"/>
          <w:color w:val="000000" w:themeColor="text1"/>
          <w:sz w:val="16"/>
          <w:szCs w:val="16"/>
        </w:rPr>
        <w:softHyphen/>
        <w:t>лы. Так, Брест бомбили два дня подряд. Дальние бомбардировщики до конца го</w:t>
      </w:r>
      <w:r w:rsidRPr="007224C3">
        <w:rPr>
          <w:rFonts w:ascii="Times New Roman" w:hAnsi="Times New Roman"/>
          <w:color w:val="000000" w:themeColor="text1"/>
          <w:sz w:val="16"/>
          <w:szCs w:val="16"/>
        </w:rPr>
        <w:softHyphen/>
        <w:t>да наносили удары по целям вдоль всего фронта, а также эпизодически соверша</w:t>
      </w:r>
      <w:r w:rsidRPr="007224C3">
        <w:rPr>
          <w:rFonts w:ascii="Times New Roman" w:hAnsi="Times New Roman"/>
          <w:color w:val="000000" w:themeColor="text1"/>
          <w:sz w:val="16"/>
          <w:szCs w:val="16"/>
        </w:rPr>
        <w:softHyphen/>
        <w:t>ли рейды в глубокий тыл немцев (10734,81).</w:t>
      </w:r>
    </w:p>
    <w:p w14:paraId="4B40504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53CC6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июне 1944 года перед наступлением советских войск потребовалось разрушить находившуюся в тылу у немцев плотину на р. Свирь. Совместными усилиями топмачтовиков A-20G, Ил-4 с морскими минами и штурмовиков, подавлявших зенитные средства, плотина была взорвана (3457,109).</w:t>
      </w:r>
    </w:p>
    <w:p w14:paraId="12D4FF0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49972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июне 1944 г. в Выборгской операции аэрофотосъемка передне</w:t>
      </w:r>
      <w:r w:rsidRPr="007224C3">
        <w:rPr>
          <w:rFonts w:ascii="Times New Roman" w:hAnsi="Times New Roman"/>
          <w:color w:val="000000" w:themeColor="text1"/>
          <w:sz w:val="16"/>
          <w:szCs w:val="16"/>
        </w:rPr>
        <w:softHyphen/>
        <w:t>го края противника осуществлялась оди</w:t>
      </w:r>
      <w:r w:rsidRPr="007224C3">
        <w:rPr>
          <w:rFonts w:ascii="Times New Roman" w:hAnsi="Times New Roman"/>
          <w:color w:val="000000" w:themeColor="text1"/>
          <w:sz w:val="16"/>
          <w:szCs w:val="16"/>
        </w:rPr>
        <w:softHyphen/>
        <w:t>ночными Ил-2 при помощи фотоаппа</w:t>
      </w:r>
      <w:r w:rsidRPr="007224C3">
        <w:rPr>
          <w:rFonts w:ascii="Times New Roman" w:hAnsi="Times New Roman"/>
          <w:color w:val="000000" w:themeColor="text1"/>
          <w:sz w:val="16"/>
          <w:szCs w:val="16"/>
        </w:rPr>
        <w:softHyphen/>
        <w:t>ратов АФА-ЗС с турельных фотоустано</w:t>
      </w:r>
      <w:r w:rsidRPr="007224C3">
        <w:rPr>
          <w:rFonts w:ascii="Times New Roman" w:hAnsi="Times New Roman"/>
          <w:color w:val="000000" w:themeColor="text1"/>
          <w:sz w:val="16"/>
          <w:szCs w:val="16"/>
        </w:rPr>
        <w:softHyphen/>
        <w:t xml:space="preserve">вок, смонтированных в кабине стрелка. В период подготовки Яссо-Кишиневской наступательной операции в августе 44-го силами фотослужбы 2-го </w:t>
      </w:r>
      <w:r w:rsidRPr="007224C3">
        <w:rPr>
          <w:rFonts w:ascii="Times New Roman" w:hAnsi="Times New Roman"/>
          <w:iCs/>
          <w:color w:val="000000" w:themeColor="text1"/>
          <w:sz w:val="16"/>
          <w:szCs w:val="16"/>
        </w:rPr>
        <w:t>шак</w:t>
      </w:r>
      <w:r w:rsidRPr="007224C3">
        <w:rPr>
          <w:rFonts w:ascii="Times New Roman" w:hAnsi="Times New Roman"/>
          <w:color w:val="000000" w:themeColor="text1"/>
          <w:sz w:val="16"/>
          <w:szCs w:val="16"/>
        </w:rPr>
        <w:t xml:space="preserve"> 5-й ВА на нескольких Ил-2 была осуществлена установка четырех синхронно работаю</w:t>
      </w:r>
      <w:r w:rsidRPr="007224C3">
        <w:rPr>
          <w:rFonts w:ascii="Times New Roman" w:hAnsi="Times New Roman"/>
          <w:color w:val="000000" w:themeColor="text1"/>
          <w:sz w:val="16"/>
          <w:szCs w:val="16"/>
        </w:rPr>
        <w:softHyphen/>
        <w:t>щих между собой фотоаппаратов АФА-ИМ, обеспечивавших перспективную фо</w:t>
      </w:r>
      <w:r w:rsidRPr="007224C3">
        <w:rPr>
          <w:rFonts w:ascii="Times New Roman" w:hAnsi="Times New Roman"/>
          <w:color w:val="000000" w:themeColor="text1"/>
          <w:sz w:val="16"/>
          <w:szCs w:val="16"/>
        </w:rPr>
        <w:softHyphen/>
        <w:t>тосъемку с высоты 25-50 м (6467).</w:t>
      </w:r>
    </w:p>
    <w:p w14:paraId="723774B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84DB3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июне 1944 на СФ комбинированный удар нанесли летчики-североморцы но порту Киркенес. Там совместно действовали Ил-2, A-20G и истребите (3457,109).</w:t>
      </w:r>
    </w:p>
    <w:p w14:paraId="07DA548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EA65F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июня 1944 г. Ла-7, стали поступать в войска, получали их гвардейские полки (4707).</w:t>
      </w:r>
    </w:p>
    <w:p w14:paraId="045665D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8C8F1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июне 1944 г. состоялся дебют Ла-7 на фронте состоялся Эти самолёты поступали в лучшие полки, вооружённые Ла-5ФН. Техника пилотирования новой машины мало отличалась от старой, поэтому переучивание проходило быстро. Из строевых частей докладывали: "...освоение... при переходе с Ла-5 для лётного состава трудностей не представляет". Первые серийные истребители поступили в 19-й иап на Белорусском фронте. Это были машины московского производства. 24 июня они совершили первый боевой вылет в ходе операции "Багратион" - наступления в Белоруссии. По данным Г. Серова, первые подтверждённые победы на этих машинах одержали 7 июля 1944 г. старший лейтенант В.П. Петров и капитан А.Я. Баклан, уничтожившие в районе Берёзовки по одному немецкому истребителю Bf 109. С августа этот полк за боевые заслуги стал гвардейским, получив новое наименование - 176-й гв. Иап (11986).</w:t>
      </w:r>
    </w:p>
    <w:p w14:paraId="085942F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36BA62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июне 1944 г. на аэродроме НИИ ВВС в Чкаловской начал переучиваться 9-й гв. иап, которым командовал А.Ф. Морозов. Среди лётчиков этого полка были известные асы - дважды Герой Советского Союза В.Д. Лавриненков и Герой Советского Союза Амет-хан Султан. Лавриненков потом написал в своих мемуарах: "Этот широколобый, с мощным мотором, свободной и удобной кабиной и грозным вооружением самолёт сразу пришёлся нам по душе". На переподготовку этого полка ушло больше времени, поскольку Ла-7 сильно отличался от американской "Аэрокобры", на которой ранее летали пилоты 9-го гв. иап. Через четыре месяца полк под командованием майора Лавриненкова приступил к боевой работе в небе Прибалтики. Летали сначала с аэродрома Руткишки близ Каунаса. Рассчитывая в полной мере использовать высокие лётные данные нового истребителя, командование поставило полку задачу на "расчистку" воздушного пространства от немецких самолётов. В частности, его лётчики стали вести охоту на немецкие разведчики.</w:t>
      </w:r>
    </w:p>
    <w:p w14:paraId="33D1D4A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одном из таких вылетов у капитана П. Головачёва при перехвате "юнкерса" на большой высоте замерзла смазка пушек. Чтобы не дать "немцу" уйти с отснятой плёнкой, Головачёв изрубил винтом своего истребителя его хвостовое оперение. Вражеская машина вошла в пикирование, упала на землю и взорвалась. Капитан же успешно приземлился на своём аэродроме с погнутыми лопастями пропеллера. Головачёва наградили орденом Красной Звезды.</w:t>
      </w:r>
    </w:p>
    <w:p w14:paraId="13D8394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9-й гв. иап участвовал в боях в Курляндии и Восточной Пруссии. Его самолёты прикрывали войска у линии фронта, сопровождали бомбардировщики и штурмовики, штурмовали вражеские аэродромы. 18 января 1945 г. четвёрка советских истребителей смело пошла в атаку на большую группу немецких штурмовиков, следовавших с эскортом на бомбёжку наших танков. Всего у противника насчитывалось до 40 машин. В ходе боя гвардейцы уничтожили пять вражеских самолётов, сорвали бомбометание и благополучно вернулись домой. 19 февраля восемь Ла-7 вылетели для удара по аэродрому Хайлигенбайль. Три из них обеспечивали прикрытие, пока остальные поливали стоянки самолётов и аэродромные сооружения пушечным огнём. Группа же прикрытия ввязалась в бой с четырьмя немецкими истребителями Bf 109 и, не имея собственных потерь, сбила два из них (11986).</w:t>
      </w:r>
    </w:p>
    <w:p w14:paraId="69192EA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61EC34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нюня 1944 года в 45-й дивизии началась систематическая подготовка личного состава на единственном имевшемся "Либерейторе" (3457,116).</w:t>
      </w:r>
    </w:p>
    <w:p w14:paraId="6536977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5DA92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июне 1944 года во время наступления под Ленинградом С-47 5-го полка ГВФ и одного из полков ВВС обеспечивали перебазирование наземною состава полков 7-й воздушной армии, штабов и доставку грузов к фронту. Примерно то же самое делали машины 9-го и 120-го гвардейских транспортных полков при наступлении в Белоруссии. Велика была роль транспортной авиации в освобождении Правобережной Украины, Крыма, Прибалтики. Интенсивность полетов доходила иногда до 8-10 вылетов в день - чрезвычайно мною для больших транспортных машин! Отдельной строкой надо выделить операции по снабжению партизанских отрядов. Конечно, основная ноша здесь ложилась на неприхотливые У-2 и Р-5, но ведь Ли-2 или С-47 мог увезти столько же, сколько десяток этих бипланов. Поэтому при наличии подходящих площадок, а без них - со сбросом груза па парашютах, "Дугласы" по ночам направлялись в немецкий тыл. С-47 участвовали в снабжении партизан Карелии, Белоруссии и Украины, 120-й гвардейский полк, усиленный звеном Ли-2 и С-47, перед началом наступления в 1944 году обеспечил боеприпасами 19 партизанских бригад в белорусских лесах. 20 тонн взрывчатки перебросили туда экипажи 1-й транспортной дивизии. Летчики транспортной авиации способствовали наступательным операциям в Румынии, Польше, Венгрии и вплоть до Берлина и Праги. Ли-2 и С-47 5-ю бомбардировочного корпуса АДД сыграли основную роль в "воздушном мосте", перекинутом с Украины в восставшую Словакию в 1944 году. Там же, на аэродроме Зволен, садились С-47 1-й транспортной дивизии. Когда восстание было подавлено немцами, аэродром эвакуировали. Последним под минометным обстрелом взлетал С-47 П.П.Рышкова из 2-го транспортного полка; на его борту находилась следовавшая в Москву делегация венгерской оппозиции (3457,135).</w:t>
      </w:r>
    </w:p>
    <w:p w14:paraId="762F908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 время операций в Словакии хотя С-47 составляли небольшую часть авиапарка корпуса, а их долю пришлась почти половина сбитых машин 5-го корпуса АДД. В отличие от Ли-2, С-47 штатного оборонительного вооружения не имел. Это было типично для всех американских транспортных самолетов. Случаи установки американцами пулеметов на С-47 очень редки, обычно их не ставили и у нас. Но американцы летали, как правило, в условиях своего господства в воздухе. У нас же при необходимости действовать в прифронтовой зоне и, тем более, над территорией противника, отсутствие вооружения становилось существенным недостатком. Известны отдельные случаи установки на С-47 верхней турели УТК-1 с пулеметом УБТ по образцу Ли-2. Одной из таких машин был С-47А из 101-го бомбардировочного полка. А в 10-й гвардейской транспортной дивизии имелись даже машины с дополнительной парой пулеметов ШКАС в задних окнах кабины (3457,138).</w:t>
      </w:r>
    </w:p>
    <w:p w14:paraId="19C8E7B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6DE20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В июне 1944 М.Л.Миль подписал заключение по результатам испытаний в ЦАГИ немецкого автожира для подложок, поступившего в москву осенью 1943:</w:t>
      </w:r>
    </w:p>
    <w:p w14:paraId="5185B14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“Подъем наблюдательного пункта для подложок и кораблей, описанного в Информационном сообщении № 52 РУ ГМШЭ вполне реален”.</w:t>
      </w:r>
    </w:p>
    <w:p w14:paraId="10EF2FF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Предложил свой:</w:t>
      </w:r>
    </w:p>
    <w:p w14:paraId="430ECBA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 аппарата с троссом длиною 150 м может составить всего 250 кг и полетный вес порядка 330 кг. При трехлорппастном роторе диаметром 8ю4 м это позволит аппарату держаться на высоте 100 м при относительной скорости 30-35 км/час. Конструктивно аппарат может быть сделан весьма просто. Втулка ротора состоит из двух обычных подшипников, лопасти имеют стальной лонжерог и деревянное покрытие, кабина пилота - деревянная. Ротор отсоединяется вместе с кабаном, крепящимся 3 болтами и лопасти складываются (по типу зонтика). (7472, 35).</w:t>
      </w:r>
    </w:p>
    <w:p w14:paraId="29A87C3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B352E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июня 1944 года 18-я эскадрилья на Черноморском флоте первой осваивала PBI-1 "Номады". Первый боевой вылет состоялся уже 7 июля: экипажи летчиков Коваля и Какаурова отправились на разведку. Эскадрилья была разбита на две группы, базировавшиеся в Одессе и Севастополе. Основными направлениями их работы являлись дальняя разведка над морем, противолодочное патрулирование и спасательные операции (3457,130).</w:t>
      </w:r>
    </w:p>
    <w:p w14:paraId="5D8055D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69DE7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июне 1944 топмачтовики А-20Ж БФ используя ФАЬ-250, 500 и 1000 разрушили плотину ГРЭС Свирь-3 чтобы форсировать Свирь (1085,171).</w:t>
      </w:r>
    </w:p>
    <w:p w14:paraId="3B8942E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D80AB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июня 1944 г. к боевой работе приступила вторая торпедоносная часть ВВС КБФ - свежесформированный 51-й минно-торпедный полк, изначально укомплектованный исключительно самолетами А-20 (в 51 -м МТАП имелось также один - два Ил-4, которые использовались исключительно как учебные или транспортные машины). Таким образом, роль Ил-4 в общей сумме усилий минно-торпедной авиации ещё более снизилась. К сожалению, финал карьеры Ил-4 сопровождался чувствительными потерями без заметных успехов (9965).</w:t>
      </w:r>
    </w:p>
    <w:p w14:paraId="4A2082F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C4D588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июня 1944 года и до окончания Великой Отечественной войны 72 ОГвТТП на ИС-122 первого выпуска входил в состав 4ТА, совместно с которой принимал участие в Львовско-Сандомирской, Нижнесилезской, Верхнесилезской, Берлинской и Пражской наступательных операциях. За освобождение города Львов, удостоен почетного наименования "Львовский". За боевые заслуги в годы войны полк был награжден орденами: Красного Знамени, Суворова 3-й степени, Кутузова 3-й степени, Богдана Хмельницкого 2-й степени и Александра Невского. (3862).</w:t>
      </w:r>
    </w:p>
    <w:p w14:paraId="1E4A3D9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2977B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июне 1944 года для облегчения форсирования Свири пришлось собирать по фронту уцелевшие, хотя и безнадежно устаревшие плавающие танки Т-38 (3862).</w:t>
      </w:r>
    </w:p>
    <w:p w14:paraId="4EE2614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B9AFD0" w14:textId="77777777" w:rsidR="0009141E" w:rsidRPr="007224C3" w:rsidRDefault="0009141E"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Жизнь и внутренняя политика:</w:t>
      </w:r>
    </w:p>
    <w:p w14:paraId="379A970E" w14:textId="77777777" w:rsidR="0009141E" w:rsidRPr="007224C3" w:rsidRDefault="0009141E"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0A1BB6B" w14:textId="77777777" w:rsidR="0009141E" w:rsidRPr="007224C3" w:rsidRDefault="0009141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июне 1944 года нарком внутренних дел СССР Лаврентий Берия докладывал в Совнарком: "НКВД и НКГБ Башкирской АССР сообщают следующие данные о положении с продовольственным снабжением рабочих и инженерно-технических работников ряда промышленных предприятий Башкирии. Несмотря на то что продовольствием, поступающим по централизованным фондам, в первую очередь снабжаются ОРС`ы (Отделы рабочего снабжения) ведущих промышленных предприятий, продуктовые карточки рабочих и служащих отдельных предприятий полностью не отовариваются. На заводе N 26 НКАП из фондов 3 и 4 кварталов 1943 г. и I квартала 1944 г. недополучено: крупы и макарон 433 тонны, рыбы 10 тонн, масла 29 тонн, сахара 52 тонны и кондитерских изделии 376 тонн. На заводе N 628 НКЭП не отоварено в I квартале с. г. 540 рабочих карточек по мясу, 350 карточек по жирам и недовыбрано фондов по крупе 30,5 тонны. По тресту "Ишимбайнефть" в I квартале с. г. продовольственные карточки отоварены по крупе на 41,1%, по мясу на 48,5%, по жирам на 10,8% и по сахару и кондитерским изделиям на 12,8%. Общественное питание рабочих на ряде промышленных предприятий организовано неудовлетворительно, качество обедов в столовых низкое. На Стерлитамакском химическом заводе имел место массовый отказ рабочих от первого блюда, приготовленного из крапивы. Фонды, отпускаемые на дополнительное питание рабочих, используются часто не по назначению. Так, на заводе N 26 НКАП за счет рабочего снабжения усиливалось питание комсостава и ИТР и покрывались расходы продуктов по банкетам. На состоянии рабочего снабжения отражаются также слабое осуществление децентрализованных заготовок, недостаточное использование подсобных хозяйств и значительные размеры хищений в торговой сети и сети общественного питания. Так, в январе-марте с. г. привлечено к уголовной ответственности за хищения и злоупотребления 3937 человек. Из-за перебоев в рабочем снабжении и неудовлетворительной организации общественного питания на ряде промышленных предприятий имеют место заболевания рабочих на почве истощения. На заводе N 268 НКЭП истощены 175 человек, на заводе N 161 НКАП — 110 человек. Имеется ряд смертных случаев от истощения. Особенно неблагополучно на заводе N 26 НКАП. Продовольственные карточки членов семей рабочих этого завода не отоваривались по 6-7 месяцев. Среди рабочих и служащих и инженерно-технических работников имеет место значительное количество заболеваний на почве истощения.</w:t>
      </w:r>
    </w:p>
    <w:p w14:paraId="179FCEB7" w14:textId="77777777" w:rsidR="0009141E" w:rsidRPr="007224C3" w:rsidRDefault="0009141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апреле с. г. на заводе насчитывалось больных от истощения 2550 человек, малокровием 1208 человек и туберкулезом свыше 500 человек. С 1 января по 1 мая с. г. умерло от истощения 119 человек, в том числе рабочих завода 51 и членов семей 68 человек. Отмечены случаи, когда рабочие умирали во время работы в цехах. Некоторые семьи рабочих и инженерно-технических работников завода N 26 нищенствуют. Отдельные мастера выпрашивают у рабочих талоны на хлеб и на обеды. Некоторые инженеры занимаются черчением карт с нанесением линии фронта и продают их за обеденные талоны. Среди инженеров, техников и мастеров, работающих непосредственно в цехах, имеется много ослабленных и опухших от недоедания. Отмечены случаи, когда рабочие завода из-за систематического недоедания сознательно допускают брак в работе. В течение 1943 г. и января-мая с. г. с завода N 26 дезертировало 4709 человек. Уходя с завода, рабочие уничтожают свои документы, задерживаются в городе и на вокзале как бездокументные и через Райвоенкомат направляются в армию" (18406).</w:t>
      </w:r>
    </w:p>
    <w:p w14:paraId="68CA09F6" w14:textId="77777777" w:rsidR="0009141E" w:rsidRPr="007224C3" w:rsidRDefault="0009141E" w:rsidP="007224C3">
      <w:pPr>
        <w:spacing w:after="0" w:line="240" w:lineRule="auto"/>
        <w:jc w:val="both"/>
        <w:rPr>
          <w:rFonts w:ascii="Times New Roman" w:hAnsi="Times New Roman"/>
          <w:color w:val="000000" w:themeColor="text1"/>
          <w:sz w:val="16"/>
          <w:szCs w:val="16"/>
        </w:rPr>
      </w:pPr>
    </w:p>
    <w:p w14:paraId="29ED0726"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Внешняя политика:</w:t>
      </w:r>
    </w:p>
    <w:p w14:paraId="0537FC0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FCD178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июне 1944 г. премьер Миколайчик отправился в Соединенные Штаты. Рузвельт - без должных оснований - обнадежил его, сказав, что Польша получит Львов, Кенигсберг, Силезию и, может быть, даже Вильнюс. Черчиль пытался охладить оптимизм Миколайчика: он не верил, что Сталин отступится от своих слов и дел (3871).</w:t>
      </w:r>
    </w:p>
    <w:p w14:paraId="0A0C4E3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225CD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Только в июне 1944 года на побережье полуострова Камчатка было обнаружено 106 зажигательных бомб, 28 из которых оказались неразорвавшимися. Надписи на корпусах указывали, что они изготовлены в США. Кроме того, было отмечено несколько случаев, когда самолеты ВВС США сбрасывали бомбы в пределах советских территориальных вод (11765).</w:t>
      </w:r>
    </w:p>
    <w:p w14:paraId="6250866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6414FF9"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7224C3">
        <w:rPr>
          <w:rFonts w:ascii="Times New Roman" w:hAnsi="Times New Roman"/>
          <w:i/>
          <w:iCs/>
          <w:color w:val="000000" w:themeColor="text1"/>
          <w:sz w:val="16"/>
          <w:szCs w:val="16"/>
        </w:rPr>
        <w:t>За</w:t>
      </w:r>
      <w:r w:rsidRPr="007224C3">
        <w:rPr>
          <w:rFonts w:ascii="Times New Roman" w:hAnsi="Times New Roman"/>
          <w:i/>
          <w:iCs/>
          <w:color w:val="000000" w:themeColor="text1"/>
          <w:sz w:val="16"/>
          <w:szCs w:val="16"/>
          <w:lang w:val="en-US"/>
        </w:rPr>
        <w:t xml:space="preserve"> </w:t>
      </w:r>
      <w:r w:rsidRPr="007224C3">
        <w:rPr>
          <w:rFonts w:ascii="Times New Roman" w:hAnsi="Times New Roman"/>
          <w:i/>
          <w:iCs/>
          <w:color w:val="000000" w:themeColor="text1"/>
          <w:sz w:val="16"/>
          <w:szCs w:val="16"/>
        </w:rPr>
        <w:t>рубежом</w:t>
      </w:r>
      <w:r w:rsidRPr="007224C3">
        <w:rPr>
          <w:rFonts w:ascii="Times New Roman" w:hAnsi="Times New Roman"/>
          <w:i/>
          <w:iCs/>
          <w:color w:val="000000" w:themeColor="text1"/>
          <w:sz w:val="16"/>
          <w:szCs w:val="16"/>
          <w:lang w:val="en-US"/>
        </w:rPr>
        <w:t>:</w:t>
      </w:r>
    </w:p>
    <w:p w14:paraId="52A5D78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017BDAF6" w14:textId="77777777" w:rsidR="00F13793" w:rsidRPr="007224C3" w:rsidRDefault="00F1379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 июне 1944 полет Naval Air транспортная служба в Тихом океане и в Африке, Европе, Южной Америке и некоторых частях Азии, залействуют более 200 самолетов и перевозят 22500 пассажиров и 8,3 миллиона фунтов (3764855 кг) грузов в месяц (20373).</w:t>
      </w:r>
    </w:p>
    <w:p w14:paraId="078BD069" w14:textId="77777777" w:rsidR="00F13793" w:rsidRPr="007224C3" w:rsidRDefault="00F13793" w:rsidP="007224C3">
      <w:pPr>
        <w:spacing w:after="0" w:line="240" w:lineRule="auto"/>
        <w:jc w:val="both"/>
        <w:rPr>
          <w:rFonts w:ascii="Times New Roman" w:hAnsi="Times New Roman"/>
          <w:color w:val="0070C0"/>
          <w:sz w:val="16"/>
          <w:szCs w:val="16"/>
        </w:rPr>
      </w:pPr>
    </w:p>
    <w:p w14:paraId="19C6F2BD" w14:textId="77777777" w:rsidR="00F13793" w:rsidRPr="007224C3" w:rsidRDefault="00F1379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 июне 1944 г. была облетана головная машина Ju 290A-7 с ракетами, и менее чем через месяц была уже в Бордо готова к боевым операциям.</w:t>
      </w:r>
    </w:p>
    <w:p w14:paraId="005AEA2F" w14:textId="77777777" w:rsidR="00F13793" w:rsidRPr="007224C3" w:rsidRDefault="00F1379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Еще в 1942 г. один серийный разведчик Ju 290A-4 был переоборудован для испытаний противокорабельных крылатых ракет Hs 293, Hs 294 и управляемых бомб SD 1400X «Фриц», показав прекрасные ударные возможности.</w:t>
      </w:r>
    </w:p>
    <w:p w14:paraId="3AD6BAAB" w14:textId="77777777" w:rsidR="00F13793" w:rsidRPr="007224C3" w:rsidRDefault="00F1379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 проекте Ju 290A-7 была обеспечена подвеска двух-трех управляемых боеприпасов или обычных бомб калибра до 1000 кг общей массой 3 т. Для обороны самолет имел 6 пушек MG 151/20 и 3 крупнокалиберных пулемета MG 131, дававших почти сферический обстрел с перекрытием соседних секторов. Оборудование включало радар, пассивный радиопеленгатор, системы слепого самолетовождения и посадки, а также радиолокационный ответчик свой-чужой. Четыре надежных массово выпускавшихся мотора BMW 801D развивали взлетную мощность по 1700 л.с., на высоте 2000 м номинал составлял 1450, а на 5700 м — 1310 сил, что обеспечивало скорость полета 450 км/ч на границе высотности. Дальность полета без бомб превышала 6000 км.</w:t>
      </w:r>
    </w:p>
    <w:p w14:paraId="5AC40D0C" w14:textId="77777777" w:rsidR="00F13793" w:rsidRPr="007224C3" w:rsidRDefault="00F1379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Во второй половине 1944 фирма «Юнкерс» заложила серию патрульных бомбардировщиков Ju 290A-8, на которых были учтены замечания производственников и военных к модификации А-7.</w:t>
      </w:r>
    </w:p>
    <w:p w14:paraId="2E356A84" w14:textId="77777777" w:rsidR="00F13793" w:rsidRPr="007224C3" w:rsidRDefault="00F13793"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Выпуск большой серии Ju 290A-9 планировался на заводе «Летов», там же думали строить высотный Ju 290B (22969).</w:t>
      </w:r>
    </w:p>
    <w:p w14:paraId="524405AC" w14:textId="77777777" w:rsidR="00F13793" w:rsidRPr="007224C3" w:rsidRDefault="00F13793" w:rsidP="007224C3">
      <w:pPr>
        <w:spacing w:after="0" w:line="240" w:lineRule="auto"/>
        <w:jc w:val="both"/>
        <w:rPr>
          <w:rFonts w:ascii="Times New Roman" w:hAnsi="Times New Roman"/>
          <w:color w:val="0070C0"/>
          <w:sz w:val="16"/>
          <w:szCs w:val="16"/>
        </w:rPr>
      </w:pPr>
    </w:p>
    <w:p w14:paraId="3F4A283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4C3">
        <w:rPr>
          <w:rFonts w:ascii="Times New Roman" w:hAnsi="Times New Roman"/>
          <w:color w:val="000000" w:themeColor="text1"/>
          <w:sz w:val="16"/>
          <w:szCs w:val="16"/>
          <w:lang w:val="en-US"/>
        </w:rPr>
        <w:t>During June 1944 Remains of V-2 which impacted in Sweden were flown to England for Allied analysis (1038).</w:t>
      </w:r>
    </w:p>
    <w:p w14:paraId="1AF68FF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FFDCE7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июне 1944 в Швеции были захвачены остатки ракеты Фау-2 и их отправили в Англию (1038).</w:t>
      </w:r>
    </w:p>
    <w:p w14:paraId="46E6C65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5384B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В июне 1944 г. были возобновлены работы над отложенным проектом крылатой ракеты и составлена программа новых экспериментов в аэродинамической трубе. Уже в октябре 1944 г. была подготовлена документация и выдано задание на изготовление первых пяти ракет А4b.</w:t>
      </w:r>
    </w:p>
    <w:p w14:paraId="0517588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Согласно проекту, ракета А4b представляла собой модифицированную ракету А4 (V2), к которой были пристыкованы крылья с размахом 6 м и стреловидностью 45о. Такая стреловидность крыла была выбрана для данной ракеты на основе экспериментальных продувок в аэродинамической трубе как наилучшая.</w:t>
      </w:r>
    </w:p>
    <w:p w14:paraId="6BAB995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Другим отличием ракеты А4b было наличие графитовых газовых рулей.</w:t>
      </w:r>
    </w:p>
    <w:p w14:paraId="3126933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Были заданы определенные ограничения при проектировании крылатой ракеты, через которые немецкие специалисты по известным причинам не могли переступить. Война приближалась к своему логическому завершению, и в этих условиях фон Браун вынужден был довольствоваться реальным положением дел, поэтому в своей работе по ракете А4b он пошел по пути наименьшего сопротивления: за базовую конструкцию была взята Немецкая гибридная межконтинентальная ракета А9/А10 251 та А4 (V2). Для запуска ракеты А4b также использовалось то же самое оборудование, что и для запуска А4 (11686).</w:t>
      </w:r>
    </w:p>
    <w:p w14:paraId="2FE9B0E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334F35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июне 1944 г. немцы приступили к плановому обстрелу южных районов Англии. Для обеспечения запуска V-1 нем</w:t>
      </w:r>
      <w:r w:rsidRPr="007224C3">
        <w:rPr>
          <w:rFonts w:ascii="Times New Roman" w:hAnsi="Times New Roman"/>
          <w:color w:val="000000" w:themeColor="text1"/>
          <w:sz w:val="16"/>
          <w:szCs w:val="16"/>
        </w:rPr>
        <w:softHyphen/>
        <w:t>цам удалось развернуть на побережье Северного моря (район городов Кале и Булонь, Франция и район городов Гаага и Роттердам, Голландия) пуско</w:t>
      </w:r>
      <w:r w:rsidRPr="007224C3">
        <w:rPr>
          <w:rFonts w:ascii="Times New Roman" w:hAnsi="Times New Roman"/>
          <w:color w:val="000000" w:themeColor="text1"/>
          <w:sz w:val="16"/>
          <w:szCs w:val="16"/>
        </w:rPr>
        <w:softHyphen/>
        <w:t>вые ракетные установки, способные вести обстрел Южной Англии без ис</w:t>
      </w:r>
      <w:r w:rsidRPr="007224C3">
        <w:rPr>
          <w:rFonts w:ascii="Times New Roman" w:hAnsi="Times New Roman"/>
          <w:color w:val="000000" w:themeColor="text1"/>
          <w:sz w:val="16"/>
          <w:szCs w:val="16"/>
        </w:rPr>
        <w:softHyphen/>
        <w:t>пользования радиоуправления. Для это</w:t>
      </w:r>
      <w:r w:rsidRPr="007224C3">
        <w:rPr>
          <w:rFonts w:ascii="Times New Roman" w:hAnsi="Times New Roman"/>
          <w:color w:val="000000" w:themeColor="text1"/>
          <w:sz w:val="16"/>
          <w:szCs w:val="16"/>
        </w:rPr>
        <w:softHyphen/>
        <w:t>го не требовалось особой точности попадания в цель. Так, в период 1944 - 1945 гг. 80% долетевших до англий</w:t>
      </w:r>
      <w:r w:rsidRPr="007224C3">
        <w:rPr>
          <w:rFonts w:ascii="Times New Roman" w:hAnsi="Times New Roman"/>
          <w:color w:val="000000" w:themeColor="text1"/>
          <w:sz w:val="16"/>
          <w:szCs w:val="16"/>
        </w:rPr>
        <w:softHyphen/>
        <w:t>ского побережья ракет падали в ра</w:t>
      </w:r>
      <w:r w:rsidRPr="007224C3">
        <w:rPr>
          <w:rFonts w:ascii="Times New Roman" w:hAnsi="Times New Roman"/>
          <w:color w:val="000000" w:themeColor="text1"/>
          <w:sz w:val="16"/>
          <w:szCs w:val="16"/>
        </w:rPr>
        <w:softHyphen/>
        <w:t>диусе 13 км от намеченной цели. Основными целями V-1 стали про</w:t>
      </w:r>
      <w:r w:rsidRPr="007224C3">
        <w:rPr>
          <w:rFonts w:ascii="Times New Roman" w:hAnsi="Times New Roman"/>
          <w:color w:val="000000" w:themeColor="text1"/>
          <w:sz w:val="16"/>
          <w:szCs w:val="16"/>
        </w:rPr>
        <w:softHyphen/>
        <w:t>мышленные районы Южной Англии, к которым позднее присоединились круп</w:t>
      </w:r>
      <w:r w:rsidRPr="007224C3">
        <w:rPr>
          <w:rFonts w:ascii="Times New Roman" w:hAnsi="Times New Roman"/>
          <w:color w:val="000000" w:themeColor="text1"/>
          <w:sz w:val="16"/>
          <w:szCs w:val="16"/>
        </w:rPr>
        <w:softHyphen/>
        <w:t>ные города Бельгии. В результате ме</w:t>
      </w:r>
      <w:r w:rsidRPr="007224C3">
        <w:rPr>
          <w:rFonts w:ascii="Times New Roman" w:hAnsi="Times New Roman"/>
          <w:color w:val="000000" w:themeColor="text1"/>
          <w:sz w:val="16"/>
          <w:szCs w:val="16"/>
        </w:rPr>
        <w:softHyphen/>
        <w:t>тодичного обстрела столицы Великоб</w:t>
      </w:r>
      <w:r w:rsidRPr="007224C3">
        <w:rPr>
          <w:rFonts w:ascii="Times New Roman" w:hAnsi="Times New Roman"/>
          <w:color w:val="000000" w:themeColor="text1"/>
          <w:sz w:val="16"/>
          <w:szCs w:val="16"/>
        </w:rPr>
        <w:softHyphen/>
        <w:t>ритании летом 1944 г. в городе было полностью разрушено более 25,5 ты</w:t>
      </w:r>
      <w:r w:rsidRPr="007224C3">
        <w:rPr>
          <w:rFonts w:ascii="Times New Roman" w:hAnsi="Times New Roman"/>
          <w:color w:val="000000" w:themeColor="text1"/>
          <w:sz w:val="16"/>
          <w:szCs w:val="16"/>
        </w:rPr>
        <w:softHyphen/>
        <w:t>сяч домов. Жертвами ракетных ударов стали 21400 лондонцев. В то же время успехи английских ПВО в борьбе с V-1 вынудили немец</w:t>
      </w:r>
      <w:r w:rsidRPr="007224C3">
        <w:rPr>
          <w:rFonts w:ascii="Times New Roman" w:hAnsi="Times New Roman"/>
          <w:color w:val="000000" w:themeColor="text1"/>
          <w:sz w:val="16"/>
          <w:szCs w:val="16"/>
        </w:rPr>
        <w:softHyphen/>
        <w:t>кую сторону использовать для их за</w:t>
      </w:r>
      <w:r w:rsidRPr="007224C3">
        <w:rPr>
          <w:rFonts w:ascii="Times New Roman" w:hAnsi="Times New Roman"/>
          <w:color w:val="000000" w:themeColor="text1"/>
          <w:sz w:val="16"/>
          <w:szCs w:val="16"/>
        </w:rPr>
        <w:softHyphen/>
        <w:t>пусков самолеты-носители (бомбарди</w:t>
      </w:r>
      <w:r w:rsidRPr="007224C3">
        <w:rPr>
          <w:rFonts w:ascii="Times New Roman" w:hAnsi="Times New Roman"/>
          <w:color w:val="000000" w:themeColor="text1"/>
          <w:sz w:val="16"/>
          <w:szCs w:val="16"/>
        </w:rPr>
        <w:softHyphen/>
        <w:t>ровщики типа Не-111), способные дей</w:t>
      </w:r>
      <w:r w:rsidRPr="007224C3">
        <w:rPr>
          <w:rFonts w:ascii="Times New Roman" w:hAnsi="Times New Roman"/>
          <w:color w:val="000000" w:themeColor="text1"/>
          <w:sz w:val="16"/>
          <w:szCs w:val="16"/>
        </w:rPr>
        <w:softHyphen/>
        <w:t>ствовать в обход главной группировки системы противовоздушной обороны Англии, нацеленной преимущественно в юго-восточном направлении, откуда ранее действовали V-1 (с территории Северной Франции). Для решения этой задачи было сформировано специаль</w:t>
      </w:r>
      <w:r w:rsidRPr="007224C3">
        <w:rPr>
          <w:rFonts w:ascii="Times New Roman" w:hAnsi="Times New Roman"/>
          <w:color w:val="000000" w:themeColor="text1"/>
          <w:sz w:val="16"/>
          <w:szCs w:val="16"/>
        </w:rPr>
        <w:softHyphen/>
        <w:t>ное авиационное соединение КG-3 (впоследствии КG-53) в составе трех авиагрупп (до 100 самолетов Не-111), дислоцирующееся в Голландии. При этом каждый самолет-носитель мог транспортировать одну ракету V-1 (10791).</w:t>
      </w:r>
    </w:p>
    <w:p w14:paraId="11687E3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BED87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июне 1944, когда велась сборка опытного Ju-287, работы были прекращены в пользу истребительной программы. Закончили у нас в Подберезье в 1947 (2116).</w:t>
      </w:r>
    </w:p>
    <w:p w14:paraId="64847C2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9B629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июне 1944 вслед за успешными испытаниями Hs 129B-2.R4, была выпущена серийная модель, обозначенная Hs 129В-З. Она отличалась наличием 75-мм пушки ВК 7.5 которая была аналогична РаК 40 за исключением того, что вместо механического имелся электропневматический привод. Пушка имела длину около 6 метров, 12 снарядов боекомплекта весом по 11.8 кг, а интервалы между выстрелами составляли 1.5 секунды. Дистанция отката ствола составляла около метра и в сочетании с вспышкой во время выстрела это создавало у пилота некоторое тревожное ощущение! Установка в случае крайней необходимости полностью сбрасывалась, таким образом позволяя пилоту сохранить контроль над машиной при выходе из боя с одним работающим двигателем. Первые три Hs 129B-3 (зав.N.162033, 162034 и 162035) были переданы для испытаний в Erprobungskommando 26 в Тарновице в начале августа 1944 года. Они завершились в сентябре и на заводе в Шенефельде было собрано около двадцати пяти Hs 129B-3. Эти самолеты были поставлены в 10 и 14(Pz)/SG 9 зимой 1944/45 года и успешно действовали даже против гигантских танков ИС до того, как нехватка топлива в марте 1945 фактически "приземлила" Luftwaffe. На Hs 129 были испытаны многие другие интересные вооружения. Одним из наиболее впечатляющих и потенциально самым эффективным являлся реактивный миномет SG 113A "Forstersonde" (Sondergerate 113A - спецустановка 113А "Посох лесничего"). Три Hs 129 были оснащены этим передовым оружием, состоявшем из шести минометных стволов в ромбовидной установке. SG 113A мог стрелять шестью 77-мм снарядами типа Sabot (подкалиберный - прим. перев.) вертикально вниз, причем пуск из оружия производился по сигналу от фотоэлемента реагирующего на тень вражеского танка. Снаряд имел 77-мм рубашку из мягкого металла, которая после покидания ствола сбрасывалась, оставляя твердый 45-мм стержень. Этот тип ракеты (?) имел очень высокие бронепробивающие способности по сравнению с обычным типом, однако сведений о боевом применении этого оружия не имеется. (надо отметить, что широкое распространение снарядов такого типа для танковых пушек началось во второй половине 70-х годов - прим. ред.) (3188).</w:t>
      </w:r>
    </w:p>
    <w:p w14:paraId="6922422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5193D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июне 1944 береговая охрана получила вертолетоносец WPG-181, вооруженный вертолетами Сикорского HNS-1 (4082).</w:t>
      </w:r>
    </w:p>
    <w:p w14:paraId="6EA14A4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AADE28" w14:textId="77777777" w:rsidR="00E20115" w:rsidRPr="007224C3" w:rsidRDefault="00E20115" w:rsidP="007224C3">
      <w:pPr>
        <w:pStyle w:val="book"/>
        <w:ind w:firstLine="0"/>
        <w:jc w:val="both"/>
        <w:rPr>
          <w:color w:val="000000" w:themeColor="text1"/>
          <w:sz w:val="16"/>
          <w:szCs w:val="16"/>
        </w:rPr>
      </w:pPr>
      <w:r w:rsidRPr="007224C3">
        <w:rPr>
          <w:color w:val="000000" w:themeColor="text1"/>
          <w:sz w:val="16"/>
          <w:szCs w:val="16"/>
        </w:rPr>
        <w:t>В июне 1944 года заместитель директора института профессор Халлерфорден обратился к Тимофееву-Ресовскому с предложением возглавить программу стерилизации славянской расы при помощи радиации. Впрочем, согласно показаниям того же В. Пютца, Тимофеев-Ресовский "лично при приближении Красной армии дал приказания об уничтожении секретных документов, которые хранились у меня в сейфе"» (15225).</w:t>
      </w:r>
    </w:p>
    <w:p w14:paraId="02197B14" w14:textId="77777777" w:rsidR="00E20115" w:rsidRPr="007224C3" w:rsidRDefault="00E20115" w:rsidP="007224C3">
      <w:pPr>
        <w:pStyle w:val="book"/>
        <w:ind w:firstLine="0"/>
        <w:jc w:val="both"/>
        <w:rPr>
          <w:color w:val="000000" w:themeColor="text1"/>
          <w:sz w:val="16"/>
          <w:szCs w:val="16"/>
        </w:rPr>
      </w:pPr>
    </w:p>
    <w:p w14:paraId="269359E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июне 1944 НЛО появился в действии 38 оперативного соединения ВМС США. На перехват подняли два и с Тикондероги. при попытке атаки у и вышли из строя двигатели и они совершили вынужденную на воду. Пилотов подобрал эсминец Аарон Бард (3710).</w:t>
      </w:r>
    </w:p>
    <w:p w14:paraId="7DEBB54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963989"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5C2A276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836136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Лишь в июне - июле 1944 г. в НИИ ВВС удалось провести первые испытания со стрельбой из трёх синхронных пушек Б-20 на Ла-5ФН. Эти испытания выявили, что при выбросе гильз наружу из окон в зализах крыла случались повреждения консолей и хвостового оперения. Машину доработали, обеспечив выброс гильз вниз под фюзеляж, и в сентябре провели повторные испытания. Но в серийное производство трёхпушечный вариант передали лишь летом 1945 г. (11986).</w:t>
      </w:r>
    </w:p>
    <w:p w14:paraId="2D9220D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A03BA11"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5C05FAB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C6FFE7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июне-июле 1944 были проведены сравнительные испытания головного образца Су-100-2 с частично переделанной пушкой С-34 и Су-100. Су-100-2 оказалась хуже и на вооружение рекомендована не была (4406).</w:t>
      </w:r>
    </w:p>
    <w:p w14:paraId="1F82201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157B0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июне-июле 1944 года во время многочисленных морских боев немецкая батарея Мирус, вооруженная русскими 12/52-дюймовыми башнями, снятыми французами в Бизерте с линкора "Генерал Алексеев" (бывший "Император Александр III") и потом захваченными немцами, впервые вступила в дело. Она оставалась боеспособной до конца войны (3861).</w:t>
      </w:r>
    </w:p>
    <w:p w14:paraId="791E8F1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65533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июне - июле 1944 г. один из доработанных Т-44 был испытан на НИБТ полигоне Танк имел бое</w:t>
      </w:r>
      <w:r w:rsidRPr="007224C3">
        <w:rPr>
          <w:rFonts w:ascii="Times New Roman" w:hAnsi="Times New Roman"/>
          <w:color w:val="000000" w:themeColor="text1"/>
          <w:sz w:val="16"/>
          <w:szCs w:val="16"/>
        </w:rPr>
        <w:softHyphen/>
        <w:t>вую массу 31,3 т, был вооружен 85-мм пушкой ЗИС-С-53. Толщина бро</w:t>
      </w:r>
      <w:r w:rsidRPr="007224C3">
        <w:rPr>
          <w:rFonts w:ascii="Times New Roman" w:hAnsi="Times New Roman"/>
          <w:color w:val="000000" w:themeColor="text1"/>
          <w:sz w:val="16"/>
          <w:szCs w:val="16"/>
        </w:rPr>
        <w:softHyphen/>
        <w:t>ни лобовой части башни была увеличена до 115 мм, а борта корпуса из</w:t>
      </w:r>
      <w:r w:rsidRPr="007224C3">
        <w:rPr>
          <w:rFonts w:ascii="Times New Roman" w:hAnsi="Times New Roman"/>
          <w:color w:val="000000" w:themeColor="text1"/>
          <w:sz w:val="16"/>
          <w:szCs w:val="16"/>
        </w:rPr>
        <w:softHyphen/>
        <w:t>готавливались из катаных 75-мм броневых листов. На испытаниях вновь были обнаружены существенные недостатки в работе привода вентилятора, входного редуктора трансмиссии и опор</w:t>
      </w:r>
      <w:r w:rsidRPr="007224C3">
        <w:rPr>
          <w:rFonts w:ascii="Times New Roman" w:hAnsi="Times New Roman"/>
          <w:color w:val="000000" w:themeColor="text1"/>
          <w:sz w:val="16"/>
          <w:szCs w:val="16"/>
        </w:rPr>
        <w:softHyphen/>
        <w:t>ных катков. В августе -сентябре 1944 г. заводским испытаниям был под</w:t>
      </w:r>
      <w:r w:rsidRPr="007224C3">
        <w:rPr>
          <w:rFonts w:ascii="Times New Roman" w:hAnsi="Times New Roman"/>
          <w:color w:val="000000" w:themeColor="text1"/>
          <w:sz w:val="16"/>
          <w:szCs w:val="16"/>
        </w:rPr>
        <w:softHyphen/>
        <w:t>вергнут опытный танк третьей модификации. При боевой массе 30,7 т, верхний лобовой лист корпуса имел .толщину 90 мм, а лобовая часть башни - 120 мм. На танке был установлен дизель В-44 мощностью 500 л.с. (368 кВт). Передаточное отношение бортового редуктора было уменьшено с 7,11 до 5,89, за счет чего максимальная скорость машины возросла до 60,5 км/ч. Этот танк после внесения некоторых конструктивных изменений 23 ноября 1944 г. был рекомендован к серийному производству. Одновре</w:t>
      </w:r>
      <w:r w:rsidRPr="007224C3">
        <w:rPr>
          <w:rFonts w:ascii="Times New Roman" w:hAnsi="Times New Roman"/>
          <w:color w:val="000000" w:themeColor="text1"/>
          <w:sz w:val="16"/>
          <w:szCs w:val="16"/>
        </w:rPr>
        <w:softHyphen/>
        <w:t>менно было принято решение об изготовлении к марту 1945 г. опытно</w:t>
      </w:r>
      <w:r w:rsidRPr="007224C3">
        <w:rPr>
          <w:rFonts w:ascii="Times New Roman" w:hAnsi="Times New Roman"/>
          <w:color w:val="000000" w:themeColor="text1"/>
          <w:sz w:val="16"/>
          <w:szCs w:val="16"/>
        </w:rPr>
        <w:softHyphen/>
        <w:t>го образца танка Т-44 Со 100-мм пушкой Д-10Т (10703).</w:t>
      </w:r>
    </w:p>
    <w:p w14:paraId="5E36D67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8CECA3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июне-июле 1944 г. второй опытный образец танка Т-44 (второй модификации) успешно прошел испыта</w:t>
      </w:r>
      <w:r w:rsidRPr="007224C3">
        <w:rPr>
          <w:rFonts w:ascii="Times New Roman" w:hAnsi="Times New Roman"/>
          <w:color w:val="000000" w:themeColor="text1"/>
          <w:sz w:val="16"/>
          <w:szCs w:val="16"/>
        </w:rPr>
        <w:softHyphen/>
        <w:t>ния на НИБТ полигоне и был рекомендован для принятия на вооруже</w:t>
      </w:r>
      <w:r w:rsidRPr="007224C3">
        <w:rPr>
          <w:rFonts w:ascii="Times New Roman" w:hAnsi="Times New Roman"/>
          <w:color w:val="000000" w:themeColor="text1"/>
          <w:sz w:val="16"/>
          <w:szCs w:val="16"/>
        </w:rPr>
        <w:softHyphen/>
        <w:t>ние РККА после устранения выявленных дефектов и реализации всех предложений комиссии. На вооружение танк не принимался и в серий</w:t>
      </w:r>
      <w:r w:rsidRPr="007224C3">
        <w:rPr>
          <w:rFonts w:ascii="Times New Roman" w:hAnsi="Times New Roman"/>
          <w:color w:val="000000" w:themeColor="text1"/>
          <w:sz w:val="16"/>
          <w:szCs w:val="16"/>
        </w:rPr>
        <w:softHyphen/>
        <w:t>ном производстве не состоял. Явился прототипом предсерийного образ</w:t>
      </w:r>
      <w:r w:rsidRPr="007224C3">
        <w:rPr>
          <w:rFonts w:ascii="Times New Roman" w:hAnsi="Times New Roman"/>
          <w:color w:val="000000" w:themeColor="text1"/>
          <w:sz w:val="16"/>
          <w:szCs w:val="16"/>
        </w:rPr>
        <w:softHyphen/>
        <w:t>ца танка Т-44А (10703).</w:t>
      </w:r>
    </w:p>
    <w:p w14:paraId="30301C7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C0A02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июне-июле 1944 г. когда после устранения недостатков, выявлен</w:t>
      </w:r>
      <w:r w:rsidRPr="007224C3">
        <w:rPr>
          <w:rFonts w:ascii="Times New Roman" w:hAnsi="Times New Roman"/>
          <w:color w:val="000000" w:themeColor="text1"/>
          <w:sz w:val="16"/>
          <w:szCs w:val="16"/>
        </w:rPr>
        <w:softHyphen/>
        <w:t>ных на полигонных испытаниях, были изготов</w:t>
      </w:r>
      <w:r w:rsidRPr="007224C3">
        <w:rPr>
          <w:rFonts w:ascii="Times New Roman" w:hAnsi="Times New Roman"/>
          <w:color w:val="000000" w:themeColor="text1"/>
          <w:sz w:val="16"/>
          <w:szCs w:val="16"/>
        </w:rPr>
        <w:softHyphen/>
        <w:t>лены два танка Т-44 второй модификации, один из них прошел испытания на НИБТ полигоне Танк имел боевую массу 31,3 т и оснащался 85-мм пушкой ЗИС-С-53. Толщина брони лобовой части башни была уве</w:t>
      </w:r>
      <w:r w:rsidRPr="007224C3">
        <w:rPr>
          <w:rFonts w:ascii="Times New Roman" w:hAnsi="Times New Roman"/>
          <w:color w:val="000000" w:themeColor="text1"/>
          <w:sz w:val="16"/>
          <w:szCs w:val="16"/>
        </w:rPr>
        <w:softHyphen/>
        <w:t>личена до 115мм, а борта корпуса изготавли</w:t>
      </w:r>
      <w:r w:rsidRPr="007224C3">
        <w:rPr>
          <w:rFonts w:ascii="Times New Roman" w:hAnsi="Times New Roman"/>
          <w:color w:val="000000" w:themeColor="text1"/>
          <w:sz w:val="16"/>
          <w:szCs w:val="16"/>
        </w:rPr>
        <w:softHyphen/>
        <w:t>вались из катаных 75-мм броневых листов. На испытаниях вновь были обнаружены существенные недостатки в работе привода вентилятора, входного редуктора трансмис</w:t>
      </w:r>
      <w:r w:rsidRPr="007224C3">
        <w:rPr>
          <w:rFonts w:ascii="Times New Roman" w:hAnsi="Times New Roman"/>
          <w:color w:val="000000" w:themeColor="text1"/>
          <w:sz w:val="16"/>
          <w:szCs w:val="16"/>
        </w:rPr>
        <w:softHyphen/>
        <w:t>сии (гитары) и опорных катков. В августе-сентябре 1944 г. заводским испытаниям под</w:t>
      </w:r>
      <w:r w:rsidRPr="007224C3">
        <w:rPr>
          <w:rFonts w:ascii="Times New Roman" w:hAnsi="Times New Roman"/>
          <w:color w:val="000000" w:themeColor="text1"/>
          <w:sz w:val="16"/>
          <w:szCs w:val="16"/>
        </w:rPr>
        <w:softHyphen/>
        <w:t>вергся опытный танк третьей модификации. При боевой массе 30,7 т верхний лобовой лист корпуса имел толщину 90 мм, а лобо</w:t>
      </w:r>
      <w:r w:rsidRPr="007224C3">
        <w:rPr>
          <w:rFonts w:ascii="Times New Roman" w:hAnsi="Times New Roman"/>
          <w:color w:val="000000" w:themeColor="text1"/>
          <w:sz w:val="16"/>
          <w:szCs w:val="16"/>
        </w:rPr>
        <w:softHyphen/>
        <w:t>вая часть башни — 120 мм. На танке уста</w:t>
      </w:r>
      <w:r w:rsidRPr="007224C3">
        <w:rPr>
          <w:rFonts w:ascii="Times New Roman" w:hAnsi="Times New Roman"/>
          <w:color w:val="000000" w:themeColor="text1"/>
          <w:sz w:val="16"/>
          <w:szCs w:val="16"/>
        </w:rPr>
        <w:softHyphen/>
        <w:t>навливался дизель В-44 мощностью 500 л.с. (367,6 кВт). Передаточное отношение бор</w:t>
      </w:r>
      <w:r w:rsidRPr="007224C3">
        <w:rPr>
          <w:rFonts w:ascii="Times New Roman" w:hAnsi="Times New Roman"/>
          <w:color w:val="000000" w:themeColor="text1"/>
          <w:sz w:val="16"/>
          <w:szCs w:val="16"/>
        </w:rPr>
        <w:softHyphen/>
        <w:t>тового редуктора было уменьшено с 7,11 до 5,89, за счет чего максимальная скорость ма</w:t>
      </w:r>
      <w:r w:rsidRPr="007224C3">
        <w:rPr>
          <w:rFonts w:ascii="Times New Roman" w:hAnsi="Times New Roman"/>
          <w:color w:val="000000" w:themeColor="text1"/>
          <w:sz w:val="16"/>
          <w:szCs w:val="16"/>
        </w:rPr>
        <w:softHyphen/>
        <w:t>шины возросла до 60,5 км/ч. Этот танк после внесения некоторых кон</w:t>
      </w:r>
      <w:r w:rsidRPr="007224C3">
        <w:rPr>
          <w:rFonts w:ascii="Times New Roman" w:hAnsi="Times New Roman"/>
          <w:color w:val="000000" w:themeColor="text1"/>
          <w:sz w:val="16"/>
          <w:szCs w:val="16"/>
        </w:rPr>
        <w:softHyphen/>
        <w:t>структивных изменений 23 ноября 1944 г. был рекомендован к серийному производ</w:t>
      </w:r>
      <w:r w:rsidRPr="007224C3">
        <w:rPr>
          <w:rFonts w:ascii="Times New Roman" w:hAnsi="Times New Roman"/>
          <w:color w:val="000000" w:themeColor="text1"/>
          <w:sz w:val="16"/>
          <w:szCs w:val="16"/>
        </w:rPr>
        <w:softHyphen/>
        <w:t>ству. Одновременно было принято решение об изготовлении к марту 1945 г. опытного образца танка Т-44 со 100-мм пушкой Д-10Т (11468).</w:t>
      </w:r>
    </w:p>
    <w:p w14:paraId="38CDB8D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739B9F2" w14:textId="77777777" w:rsidR="0009141E" w:rsidRPr="007224C3" w:rsidRDefault="0009141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В июне-июле 1944 судьба машины, которая в это время начала обозначаться как СУ-85А, висела на волоске. Между ГБТУ КА, Народным комиссариатом среднего машиностроения (НКСМ) и ГАУ КА велась весьма бурная переписка. Судьба СУ-85А определилась в конце июля 1944 года, когда председатель Арктома ГАУ генерал-лейтенант Хохлов в письме назвал тему этой САУ актуальной. ГБТУ КА сдалось: 2 августа был подписан приказ НКСМ и ГБТУ КА о проведении заводских испытаний машины.</w:t>
      </w:r>
    </w:p>
    <w:p w14:paraId="0C9F5395" w14:textId="77777777" w:rsidR="0009141E" w:rsidRPr="007224C3" w:rsidRDefault="0009141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тому моменту опытный образец СУ-85А уже был готов. Его боевая масса чуть превысила расчётную и составила 12,2 тонны. Вместо Д-5С-85 машина получила другую систему — Д-5С-85А завода №8. В связи с тем, что габариты патронов калибра 85 мм были больше, боекомплект уменьшился до 42 штук. Правда, всё оказалось относительным: на более крупной по габаритам СУ-85 боекомплект оказался ненамного больше — 48 патронов к Д-5С-85А. На СУ-85А установили ломающийся телескопический прицел ТШ-15, которым было удобнее пользоваться наводчику. Колею опытной машины расширили на 40 мм, она получила более «живучие» торсионы.</w:t>
      </w:r>
    </w:p>
    <w:p w14:paraId="5756265D" w14:textId="77777777" w:rsidR="0009141E" w:rsidRPr="007224C3" w:rsidRDefault="0009141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заводских испытаниях машина прошла 612 километров, в том числе 360 со стандартным и 252 с форсированным двигателем. Новая силовая установка понадобилась САУ из-за того, что боевая масса выросла более чем на 1,5 тонны. Средняя скорость движения по булыжному шоссе с первой силовой установкой составила 30 км/ч, а по сухому просёлку — 20,8 км/ч. С форсированным двигателем средняя скорость по шоссе не изменилась, а по просёлку увеличилась до 21,3 км/ч. Установка рессор для усиления подвески оказалась правильным решением, особенно это ощущалось при движении на максимальной скорости. Например, там, где СУ-85А ехала на скорости 30 км/ч, СУ-76М не могла двигаться быстрее 20–22 км/ч.</w:t>
      </w:r>
    </w:p>
    <w:p w14:paraId="1F0A9035" w14:textId="77777777" w:rsidR="0009141E" w:rsidRPr="007224C3" w:rsidRDefault="0009141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Первое время машина страдала разными детскими болезнями. Пришлось заменить некоторые элементы ходовой части. Впрочем, замены производились для увеличения надёжности машины, а не из-за потомки деталей. Исключением стали выход из строя бандажа одного из правых опорных катков (дефект вулканизации) и отрыв заклёпок правого переднего отбойника гусеницы.</w:t>
      </w:r>
    </w:p>
    <w:p w14:paraId="734B1399" w14:textId="77777777" w:rsidR="0009141E" w:rsidRPr="007224C3" w:rsidRDefault="0009141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Следующим этапом стали полигонные испытания, которые проходили с 8 по 20 сентября 1944 года. Планировалось, что машина пройдёт 1000 километров, но на практике эта дистанция увеличилась в полтора раза. Дело в том, что на 570-м километре из-за некачественной термообработки вышел из строя механизм правой бортовой передачи. После ремонта ходовые испытания начались заново, в результате общая дистанция пробега увеличилась до 1570 километров. 690 километров пути пришлось на шоссе, ещё 880 километров машина прошла по просёлку.</w:t>
      </w:r>
    </w:p>
    <w:p w14:paraId="223BC653" w14:textId="77777777" w:rsidR="0009141E" w:rsidRPr="007224C3" w:rsidRDefault="0009141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Вместо форсированного мотора на СУ-85А поставили обычный ГАЗ-203. Максимальная скорость составила 44,3 км/ч. При движении по шоссе средняя скорость составила 32,1 км/ч, а по просёлку — 18,4 км/ч, что примерно соответствовало показателям СУ-76М. Расход топлива также оставался в пределах нормы: 97 литров на 100 километров пути по шоссе и 169 литров при езде по просёлку. По проходимости машина также вполне соответствовала СУ-76М.</w:t>
      </w:r>
    </w:p>
    <w:p w14:paraId="6A342DCD" w14:textId="77777777" w:rsidR="0009141E" w:rsidRPr="007224C3" w:rsidRDefault="0009141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Хуже обстояли дела с боевым отделением. Компоновка рабочего места командира оказалась не самой удачной. Смотровой прибор вынесли вперёд и вверх, из-за чего наблюдение влево и вправо стало затруднительным, а смотреть назад с его помощью и вовсе было невозможно. Смотровую щель в лобовом листе рубки заделали, что также ухудшило обзор. Рабочее место наводчика оценивалось как удобное, но из-за новой системы орудийных укладок наводчик стал мешать заряжающему. Передняя (основная) укладка находилась перед наводчиком, и добраться до неё заряжающий мог только с его помощью.</w:t>
      </w:r>
    </w:p>
    <w:p w14:paraId="6ECDEE88" w14:textId="77777777" w:rsidR="0009141E" w:rsidRPr="007224C3" w:rsidRDefault="0009141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Также выяснилось, что орудийная система неуравновешена. Во время ходовых испытаний поднимаемая машиной пыль залетала внутрь машины, делая работу экипажа невозможной, и забивала смотровые приборы. Плохо работала система снятия орудия со стопора по-походному без выхода из машины.</w:t>
      </w:r>
    </w:p>
    <w:p w14:paraId="6D44C82C" w14:textId="77777777" w:rsidR="0009141E" w:rsidRPr="007224C3" w:rsidRDefault="0009141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Тем не менее комиссия посчитала, что СУ-85 выдержала испытания, и рекомендовала принять машину на вооружение Красной армии. При этом требовалось внести переделки в конструкцию артиллерийской системы и боевого отделения, чтобы устранить выявленные недостатки.</w:t>
      </w:r>
    </w:p>
    <w:p w14:paraId="02C02810" w14:textId="77777777" w:rsidR="0009141E" w:rsidRPr="007224C3" w:rsidRDefault="0009141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Совсем иного мнения оказался Артиллерийский комитет ГАУ КА. В заключении от 31 октября 1944 года указывалось, что СУ-85А испытания не выдержала. Отмечалось, что машина, обозначенная как СУ-85-ГАЗ, имеет массу недочётов как по боевому отделению, так и по системе Д-5С-85А. Значительная часть претензий была справедливой, поскольку имели место существенные проблемы при стрельбе, особенно по движущимся целям. При стрельбе машина была недостаточно устойчивой. Проблемным было и орудие, обладавшее чрезмерным сопротивлением откату.</w:t>
      </w:r>
    </w:p>
    <w:p w14:paraId="20CDACD4" w14:textId="77777777" w:rsidR="0009141E" w:rsidRPr="007224C3" w:rsidRDefault="0009141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своём вердикте Артком ГАУ КА предложил работы по САУ продолжить, одновременно запустив работу по новой системе, более подходящей для машины столь небольшой массы. В ответ на это 5 ноября 1944 года Астров подверг заключение критике. По мнению Астрова, значительная часть проблем заключалась отнюдь не в шасси САУ, а в артиллерийской системе. Часть выводов из заключения заместитель главного конструктора ГАЗ им. Молотова назвал и вовсе нелепыми. Например, «неэффективная» стрельба СУ-85А с ходу оказалась более эффективной, чем у СУ-76М. Странно выглядели и выводы о низкой кучности при стрельбе на максимальную скорострельность. Ведь от орудия в зависимости от характера испытаний можно получить либо максимальную скорострельность, либо кучность. В своём письме Астров потребовал пересмотреть заключение, которое имело массу откровенных неточностей. С собой он подтянул «тяжёлую артиллерию» в виде руководства УСА ГБТУ КА, которое также оказалось на стороне СУ-85А.</w:t>
      </w:r>
    </w:p>
    <w:p w14:paraId="0D6C11A5" w14:textId="77777777" w:rsidR="0009141E" w:rsidRPr="007224C3" w:rsidRDefault="0009141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Борьба двух ведомств не отменяла того факта, что машина требовала доработки. Кроме того, систему Д-5С-85А, которая устанавливалась на опытный образец, с декабря 1944 года прекращали выпускать вместе с </w:t>
      </w:r>
      <w:hyperlink r:id="rId188" w:history="1">
        <w:r w:rsidRPr="007224C3">
          <w:rPr>
            <w:rStyle w:val="a5"/>
            <w:rFonts w:ascii="Times New Roman" w:hAnsi="Times New Roman"/>
            <w:color w:val="000000" w:themeColor="text1"/>
            <w:sz w:val="16"/>
            <w:szCs w:val="16"/>
          </w:rPr>
          <w:t>СУ-85М</w:t>
        </w:r>
      </w:hyperlink>
      <w:r w:rsidRPr="007224C3">
        <w:rPr>
          <w:rFonts w:ascii="Times New Roman" w:hAnsi="Times New Roman"/>
          <w:color w:val="000000" w:themeColor="text1"/>
          <w:sz w:val="16"/>
          <w:szCs w:val="16"/>
        </w:rPr>
        <w:t>. Поэтому второй образец СУ-85А было решено построить с учётом выявленных недостатков и с 85-мм орудием ЗИС-С-53 (18098).</w:t>
      </w:r>
    </w:p>
    <w:p w14:paraId="05ED9C25" w14:textId="77777777" w:rsidR="0009141E" w:rsidRPr="007224C3" w:rsidRDefault="0009141E" w:rsidP="007224C3">
      <w:pPr>
        <w:spacing w:after="0" w:line="240" w:lineRule="auto"/>
        <w:jc w:val="both"/>
        <w:rPr>
          <w:rFonts w:ascii="Times New Roman" w:hAnsi="Times New Roman"/>
          <w:color w:val="000000" w:themeColor="text1"/>
          <w:sz w:val="16"/>
          <w:szCs w:val="16"/>
        </w:rPr>
      </w:pPr>
    </w:p>
    <w:p w14:paraId="078BE992"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1D8C4D6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A810C5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июне-июле 1944 года в ходе Бобруйской операции сфотографирован рубеж обороны протяженностью 100 км и глубиной 8 км двумя вылетами трехмаршрутной качающейся фотоустановкой за один день, основные рубежи по берегам рек Добысна, Ола и др. сфотографированы перспективно с высоты 600-700 м, все результаты фотографирования в виде фотосхем и репродукций доведены до войск (8983).</w:t>
      </w:r>
    </w:p>
    <w:p w14:paraId="33C3C68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A480E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июне-сентябре 1944 на аэродроме Астафьево было организовано переучивание летчиков на Ер-2 - по два-три человека от каждой части, в основном это были командиры полков, их заместители по летной подготовке, а иногда - один из комэсков. Впоследствии именно им пришлось "ставить на крыло" остальной летный состав, прибывавший в части Ер-2 (3322,46).</w:t>
      </w:r>
    </w:p>
    <w:p w14:paraId="59F2503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FD666A" w14:textId="77777777" w:rsidR="0009141E" w:rsidRPr="007224C3" w:rsidRDefault="0009141E"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Жизнь и внутренняя политика:</w:t>
      </w:r>
    </w:p>
    <w:p w14:paraId="774ECF10" w14:textId="77777777" w:rsidR="0009141E" w:rsidRPr="007224C3" w:rsidRDefault="0009141E"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56AA1DC" w14:textId="77777777" w:rsidR="0009141E" w:rsidRPr="007224C3" w:rsidRDefault="0009141E"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Июнь - сентябрь 1944. Восемьдесят бронзовых скульптур, украшавших зал станции метро "Площадь Революция' и в начале Великой Отечественной война отправленные в один из городов Средни Азии, привезены обратно в Москву. Они отреставрированы в заново созданном бронзе-литейном цехе мраморного завода Метрост роя. В сентябре начали установку броши фигур на прежних местах - по углам питонов станции "Площадь Революции". За реставрацией и установкой скульптур наседал их автор народный художник РСФС" М. Манизер 18692).</w:t>
      </w:r>
    </w:p>
    <w:p w14:paraId="06D030F1" w14:textId="77777777" w:rsidR="0009141E" w:rsidRPr="007224C3" w:rsidRDefault="0009141E" w:rsidP="007224C3">
      <w:pPr>
        <w:spacing w:after="0" w:line="240" w:lineRule="auto"/>
        <w:jc w:val="both"/>
        <w:rPr>
          <w:rFonts w:ascii="Times New Roman" w:hAnsi="Times New Roman"/>
          <w:color w:val="000000" w:themeColor="text1"/>
          <w:sz w:val="16"/>
          <w:szCs w:val="16"/>
        </w:rPr>
      </w:pPr>
    </w:p>
    <w:p w14:paraId="7BF253FB" w14:textId="77777777" w:rsidR="00E20115"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1A8CBA7F" w14:textId="77777777" w:rsidR="00E20115" w:rsidRPr="007224C3" w:rsidRDefault="00E20115"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3DB6CC9" w14:textId="77777777" w:rsidR="00E20115" w:rsidRPr="007224C3" w:rsidRDefault="00E20115" w:rsidP="007224C3">
      <w:pPr>
        <w:pStyle w:val="book"/>
        <w:ind w:firstLine="0"/>
        <w:jc w:val="both"/>
        <w:rPr>
          <w:color w:val="000000" w:themeColor="text1"/>
          <w:sz w:val="16"/>
          <w:szCs w:val="16"/>
        </w:rPr>
      </w:pPr>
      <w:r w:rsidRPr="007224C3">
        <w:rPr>
          <w:color w:val="000000" w:themeColor="text1"/>
          <w:sz w:val="16"/>
          <w:szCs w:val="16"/>
        </w:rPr>
        <w:t>В июне—августе 1944 г. ракеты ФАУ-1 запускались только по Лондону и только с наземных стационарных катапульт. Для защиты Лондона союзники бросили против нового немецкого оружия огромные силы. Сотни тяжелых бомбардировщиков чуть ли не ежедневно бомбили стартовые позиции ФАУ-1. Только за первую неделю августа на них было сброшено 15 000 тонн бомб. С учетом небольшой дальности стрельбы ФАУ-1 при стрельбе по Лондону ракеты могли пересекать побережье Англии на очень узком участке — менее 100 км. К середине августа в этом секторе англичане сосредоточили 596 тяжелых и 922 легких зенитных орудий, около 600 пусковых установок зенитных неуправляемых ракет, а также 2015 аэростатов заграждения. Вблизи английского побережья над морем непрерывно патрулировали истребители (15 эскадрилий ночных и 6 эскадрилий дневных истребителей). Все эти меры привели к тому, что число сбитых ракет к сентябрю достигло 50 процентов. Наконец, к 5 сентября большая часть немецких стартовых площадок была захвачена союзными войсками, и запуск ракет ФАУ-1 на Англию временно прекратился. В связи с этим немцы переоборудовали несколько десятков бомбардировщиков Не 111, Ju 88, Me 111 и FW 200 «Кондор». Проблема переоборудования самолетов для немцев была облегчена тем, что еще в период испытаний Fi-ЮЗ часть из них запускалась с самолета Me 111 (15225).</w:t>
      </w:r>
    </w:p>
    <w:p w14:paraId="33E91BE9" w14:textId="77777777" w:rsidR="00E20115" w:rsidRPr="007224C3" w:rsidRDefault="00E20115" w:rsidP="007224C3">
      <w:pPr>
        <w:pStyle w:val="book"/>
        <w:ind w:firstLine="0"/>
        <w:jc w:val="both"/>
        <w:rPr>
          <w:color w:val="000000" w:themeColor="text1"/>
          <w:sz w:val="16"/>
          <w:szCs w:val="16"/>
        </w:rPr>
      </w:pPr>
    </w:p>
    <w:p w14:paraId="10E078AA" w14:textId="77777777" w:rsidR="0009141E" w:rsidRPr="007224C3" w:rsidRDefault="0009141E" w:rsidP="007224C3">
      <w:pPr>
        <w:pStyle w:val="101"/>
        <w:shd w:val="clear" w:color="auto" w:fill="auto"/>
        <w:spacing w:after="0" w:line="240" w:lineRule="auto"/>
        <w:jc w:val="both"/>
        <w:rPr>
          <w:rFonts w:ascii="Times New Roman" w:hAnsi="Times New Roman" w:cs="Times New Roman"/>
          <w:color w:val="000000" w:themeColor="text1"/>
          <w:spacing w:val="0"/>
          <w:sz w:val="16"/>
          <w:szCs w:val="16"/>
        </w:rPr>
      </w:pPr>
      <w:r w:rsidRPr="007224C3">
        <w:rPr>
          <w:rFonts w:ascii="Times New Roman" w:hAnsi="Times New Roman" w:cs="Times New Roman"/>
          <w:color w:val="000000" w:themeColor="text1"/>
          <w:spacing w:val="0"/>
          <w:sz w:val="16"/>
          <w:szCs w:val="16"/>
        </w:rPr>
        <w:t>В течение июня - августа 1944 г. бомбардировщики В-17 и В-24 из 15-й воздушной армии совершили 11 налетов на Плоешти. Некоторые из них были массированными. Так, 15 июля в налете участвовали 607 бомбардировщиков, 22 июля - 495, 28 июля - 349. Германские и румынские истребители в эти дни сбили 20, 24 и 20 бомбардировщиков соответственно (19080).</w:t>
      </w:r>
    </w:p>
    <w:p w14:paraId="0E81BC05" w14:textId="77777777" w:rsidR="0009141E" w:rsidRPr="007224C3" w:rsidRDefault="0009141E" w:rsidP="007224C3">
      <w:pPr>
        <w:pStyle w:val="101"/>
        <w:shd w:val="clear" w:color="auto" w:fill="auto"/>
        <w:spacing w:after="0" w:line="240" w:lineRule="auto"/>
        <w:jc w:val="both"/>
        <w:rPr>
          <w:rFonts w:ascii="Times New Roman" w:hAnsi="Times New Roman" w:cs="Times New Roman"/>
          <w:color w:val="000000" w:themeColor="text1"/>
          <w:spacing w:val="0"/>
          <w:sz w:val="16"/>
          <w:szCs w:val="16"/>
        </w:rPr>
      </w:pPr>
    </w:p>
    <w:p w14:paraId="2216D061"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6044D46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B966CD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лета 1944 г. заместитель начальника Главного Управления Заказов ВВС генерал Я.Л.Бибиков получил разрешение у генерала А.В.Никитина, возглавлявшего Управлениа Формирования и Боевой Подготовки ВВС, направить первые девять Як-9 М-107А как учебные макеты в академии и школы ВВС (4842).</w:t>
      </w:r>
    </w:p>
    <w:p w14:paraId="64D9FE4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FD7810"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lastRenderedPageBreak/>
        <w:t>Другие оборонные отрасли:</w:t>
      </w:r>
    </w:p>
    <w:p w14:paraId="2BF3B81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FEAC9C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лета 1944 г. КБ завода № 100 представило в ТУ ГБТУ гене</w:t>
      </w:r>
      <w:r w:rsidRPr="007224C3">
        <w:rPr>
          <w:rFonts w:ascii="Times New Roman" w:hAnsi="Times New Roman"/>
          <w:color w:val="000000" w:themeColor="text1"/>
          <w:sz w:val="16"/>
          <w:szCs w:val="16"/>
        </w:rPr>
        <w:softHyphen/>
        <w:t>рал-майору С.А. Афонину БТХ двух вариантов нового тяжелого танка, получившего к тому времени наименование ИС-6. Первый вариант тан</w:t>
      </w:r>
      <w:r w:rsidRPr="007224C3">
        <w:rPr>
          <w:rFonts w:ascii="Times New Roman" w:hAnsi="Times New Roman"/>
          <w:color w:val="000000" w:themeColor="text1"/>
          <w:sz w:val="16"/>
          <w:szCs w:val="16"/>
        </w:rPr>
        <w:softHyphen/>
        <w:t>ка - "Объект 252" имел механическую, а второй - "Объект 253" - элек</w:t>
      </w:r>
      <w:r w:rsidRPr="007224C3">
        <w:rPr>
          <w:rFonts w:ascii="Times New Roman" w:hAnsi="Times New Roman"/>
          <w:color w:val="000000" w:themeColor="text1"/>
          <w:sz w:val="16"/>
          <w:szCs w:val="16"/>
        </w:rPr>
        <w:softHyphen/>
        <w:t>тромеханическую трансмиссию. Проведенный сравнительный анализ БТХ нового танка показал, что хотя он по своим показателям не представляет собой очередного шага вперед по сравнению с опытным танком "Объект 701", разрабатывав</w:t>
      </w:r>
      <w:r w:rsidRPr="007224C3">
        <w:rPr>
          <w:rFonts w:ascii="Times New Roman" w:hAnsi="Times New Roman"/>
          <w:color w:val="000000" w:themeColor="text1"/>
          <w:sz w:val="16"/>
          <w:szCs w:val="16"/>
        </w:rPr>
        <w:softHyphen/>
        <w:t>шимся в то же время на ЧКЗ по инициативе завода, однако имел значи</w:t>
      </w:r>
      <w:r w:rsidRPr="007224C3">
        <w:rPr>
          <w:rFonts w:ascii="Times New Roman" w:hAnsi="Times New Roman"/>
          <w:color w:val="000000" w:themeColor="text1"/>
          <w:sz w:val="16"/>
          <w:szCs w:val="16"/>
        </w:rPr>
        <w:softHyphen/>
        <w:t>тельные преимущества по сравнению с танком ИС-2. От танка "Объект 701" танк ИС-6 выгодно отличался только углами наклона броневых листов. Учитывая возможность появления у противника новых тяжелых танков с более мощным вооружением и лучшей защищенностью, чем существовавшие танки, было принято решение продолжить проектные работы по созданию новых образцов тяжелых танков, положив в осно</w:t>
      </w:r>
      <w:r w:rsidRPr="007224C3">
        <w:rPr>
          <w:rFonts w:ascii="Times New Roman" w:hAnsi="Times New Roman"/>
          <w:color w:val="000000" w:themeColor="text1"/>
          <w:sz w:val="16"/>
          <w:szCs w:val="16"/>
        </w:rPr>
        <w:softHyphen/>
        <w:t>ву проектирования разработанные ГБТУ тактико-технические требова</w:t>
      </w:r>
      <w:r w:rsidRPr="007224C3">
        <w:rPr>
          <w:rFonts w:ascii="Times New Roman" w:hAnsi="Times New Roman"/>
          <w:color w:val="000000" w:themeColor="text1"/>
          <w:sz w:val="16"/>
          <w:szCs w:val="16"/>
        </w:rPr>
        <w:softHyphen/>
        <w:t>ния к тяжелому танку. Удачно решенные в конструкции танка ИС-6 тех</w:t>
      </w:r>
      <w:r w:rsidRPr="007224C3">
        <w:rPr>
          <w:rFonts w:ascii="Times New Roman" w:hAnsi="Times New Roman"/>
          <w:color w:val="000000" w:themeColor="text1"/>
          <w:sz w:val="16"/>
          <w:szCs w:val="16"/>
        </w:rPr>
        <w:softHyphen/>
        <w:t>нические проблемы было рекомендовано доработать применительно к танку ИС-2 в отношении его дальнейшей модернизации. Кроме того, было решено изготовить опытные образцы танка ИС-6, так как это поз</w:t>
      </w:r>
      <w:r w:rsidRPr="007224C3">
        <w:rPr>
          <w:rFonts w:ascii="Times New Roman" w:hAnsi="Times New Roman"/>
          <w:color w:val="000000" w:themeColor="text1"/>
          <w:sz w:val="16"/>
          <w:szCs w:val="16"/>
        </w:rPr>
        <w:softHyphen/>
        <w:t>воляло получить новый танк с весьма целесообразной и выгодной фор</w:t>
      </w:r>
      <w:r w:rsidRPr="007224C3">
        <w:rPr>
          <w:rFonts w:ascii="Times New Roman" w:hAnsi="Times New Roman"/>
          <w:color w:val="000000" w:themeColor="text1"/>
          <w:sz w:val="16"/>
          <w:szCs w:val="16"/>
        </w:rPr>
        <w:softHyphen/>
        <w:t>мой корпуса и с электромеханической трансмиссией. ТТЗ на технический проект танка ИС-6 было утверждено наркомом танковой промышленности В.А. Малышевым 6 июня 1944 г. Согласно ; этому заданию КБ завода № 100 необходимо было разработать танк с боевой массой до 50 т с электромеханической трансмиссией и до 48 т -с механической. Экипаж танка должен был состоять из пяти человек. ; Вооружение - 122-мм пушка с начальной скоростью бронебойного сна- ; ряда 850 - 900 м/с. Броневая защита литой башни и сварного корпуса должны были обеспечить надежную защиту экипажа от снарядов 88-мм пушки с начальной скоростью 1300 - 1400 м/с. Двигатель В-11У или В-12 мощностью 620 - 700 л.с. (456 - 515 кВт) должен был обеспечить максимальную скорость движения 42 км/ч. На первом этапе создания танка на Опытном заводе № 100, с целью ; сокращения времени, планировалось установить агрегаты и механизмы ; трансмиссии от серийного танка ИС-2. При этом была предусмотрена возможность монтажа электромеханической трансмиссии в корпус танка. Графиком работ по танку ИС-6 планировалось завершить сборку и монтаж двух танков ("Объект 253") к 1 ноября 1944 г. Заводские испы</w:t>
      </w:r>
      <w:r w:rsidRPr="007224C3">
        <w:rPr>
          <w:rFonts w:ascii="Times New Roman" w:hAnsi="Times New Roman"/>
          <w:color w:val="000000" w:themeColor="text1"/>
          <w:sz w:val="16"/>
          <w:szCs w:val="16"/>
        </w:rPr>
        <w:softHyphen/>
        <w:t>тания должны были начаться не позднее 1 декабря 1944 г. Корпус танка ИС-6, сваренный из катаных броневых листов из ста</w:t>
      </w:r>
      <w:r w:rsidRPr="007224C3">
        <w:rPr>
          <w:rFonts w:ascii="Times New Roman" w:hAnsi="Times New Roman"/>
          <w:color w:val="000000" w:themeColor="text1"/>
          <w:sz w:val="16"/>
          <w:szCs w:val="16"/>
        </w:rPr>
        <w:softHyphen/>
        <w:t>ли средней твердости, с опозданием на два месяца поступил на сборку 21 сентября 1944 г. Толщина броневых листов корпуса составляла: лобовой верхний лист - 100 мм/65", нижний - 120 мм/52°. Литая башня ; была изготовлена из броневой стали высокой твердости с толщиной ; стенок до 150 мм (10703).</w:t>
      </w:r>
    </w:p>
    <w:p w14:paraId="2D4C060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890047F"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Внешняя политика:</w:t>
      </w:r>
    </w:p>
    <w:p w14:paraId="280960B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ACF370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лета 1944 как и предполагалось III протоколом о поставках на первую половину 1944 года, американские перегонщики доставили в Фэрбенкс первые "Кингкобры" и начали учить на них наших летчиков. На Аляске готовили только командиров эскадрилий перегоночной дивизии, остальные нилоты осваивали новые истребители прямо в полках. В Якутске за 11 дней переучили 50 человек, ранее летавших на бомбардировщиках А-20. Вскоре истребители этого тина полетели по трассе АЛСИБа на Красноярск. Первую машину сдали в нюне 1944 года. Одна из первых партии целиком была забракована советской военной приемкой в Фэрбенксе из-за дефектов маслорадиаторов и возвращена на доработку (3457,78).</w:t>
      </w:r>
    </w:p>
    <w:p w14:paraId="4A7DC68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36067A" w14:textId="77777777" w:rsidR="00E20115"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71A36390" w14:textId="77777777" w:rsidR="00E20115" w:rsidRPr="007224C3" w:rsidRDefault="00E20115"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42F8513" w14:textId="77777777" w:rsidR="00E20115" w:rsidRPr="007224C3" w:rsidRDefault="00E2011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начале лета 1944г. был выдан контракт на семь опытных и 20 предсерийных самолетов Go.229. Конструктора "Готы" практически не изменили конструкции, но переделали кабину, оснастив ее простейшим катапультируемым сиденьем. Была введена система обдува холодным воздухом обшивки в районе сопел двигателей. Предусматривалась установка четырех пушек МК-103 или МК-108 рядом с двигателями. Под центроплан можно было подвесить две 1000кг бомбы или два 1250л бака. Была спроектирована и двухместная всепогодная версия Go.229b под локатор сантиметрового диапазона FuG-244 "Бремен" в удлиненном носовом обтекателе. Второй и третий самолеты постройки ГВФ - V4 и V5 были прототипами этой серии. Пока на ГВФ разворачивалось серийное производство, в Геттингене в январе 1945г. был закончен Но-IХ-V2, перевезенный в Ораниенберг для летных испытаний. На первые полеты носовая стойка шасси была заблокирована в выпущенном положении. При нормальном взлетном весе скорость отрыва была 150км/ч при разбеге в 500 м. Управляемость оправдала самые оптимистичные предположения. В марте носовое колесо стали убирать в полете. Была достигнута скорость 795км/ч, но во время посадки правый двигатель заглох. Пилот лейтенант Циллер катапультировался, самолет перевернулся, упал на землю и сгорел. Всего опытный самолет налетал два часа. Сборка следующего опытного самолета в Фридрихсроде уже заканчивалась. Go.229-VЗ должен был стать первым прототипом серийного Go.229a. V4 и V5 были прототипами Go.229b - двухместного всепогодного истребителя. V6 был вторым опытным самолетом серии А с пушками МК-103 вместо МК-108. V7 должен был стать учебным двухместным вариантом (15139).</w:t>
      </w:r>
    </w:p>
    <w:p w14:paraId="4E10E3D2" w14:textId="77777777" w:rsidR="00E20115" w:rsidRPr="007224C3" w:rsidRDefault="00E20115" w:rsidP="007224C3">
      <w:pPr>
        <w:spacing w:after="0" w:line="240" w:lineRule="auto"/>
        <w:jc w:val="both"/>
        <w:rPr>
          <w:rFonts w:ascii="Times New Roman" w:hAnsi="Times New Roman"/>
          <w:color w:val="000000" w:themeColor="text1"/>
          <w:sz w:val="16"/>
          <w:szCs w:val="16"/>
        </w:rPr>
      </w:pPr>
    </w:p>
    <w:p w14:paraId="7900D8C9"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30898DA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80B480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Летом 1944 г. Ил-2 с 20-мм пушкой УБ-20 на турели ВУБ-3 прошел испытания, но из-за недоведенности пушки на вооружении он не был. В соответствии с пожеланиями фронтовиков на самолет установили турель ВУБ-3 с УБТ разработки И.И.Торопова, при этом углы обстрела УБТ увеличились до 45" вверх, 35° в стороны и 12° вниз. Сделали попытку усилить защиту задней полусферы путем установки (9528).</w:t>
      </w:r>
    </w:p>
    <w:p w14:paraId="53D64B7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1B07A6" w14:textId="77777777" w:rsidR="00801247" w:rsidRPr="007224C3" w:rsidRDefault="00801247" w:rsidP="007224C3">
      <w:pPr>
        <w:pStyle w:val="123"/>
        <w:shd w:val="clear" w:color="auto" w:fill="auto"/>
        <w:spacing w:after="0" w:line="240" w:lineRule="auto"/>
        <w:jc w:val="both"/>
        <w:rPr>
          <w:color w:val="000000" w:themeColor="text1"/>
          <w:sz w:val="16"/>
          <w:szCs w:val="16"/>
        </w:rPr>
      </w:pPr>
      <w:r w:rsidRPr="007224C3">
        <w:rPr>
          <w:color w:val="000000" w:themeColor="text1"/>
          <w:sz w:val="16"/>
          <w:szCs w:val="16"/>
        </w:rPr>
        <w:t>Летом 1944 г. на воору</w:t>
      </w:r>
      <w:r w:rsidRPr="007224C3">
        <w:rPr>
          <w:color w:val="000000" w:themeColor="text1"/>
          <w:sz w:val="16"/>
          <w:szCs w:val="16"/>
        </w:rPr>
        <w:softHyphen/>
        <w:t>жение штурмового самолета Ил-10, к сожалению, не только не повысило, а, наоборот, понизило воз</w:t>
      </w:r>
      <w:r w:rsidRPr="007224C3">
        <w:rPr>
          <w:color w:val="000000" w:themeColor="text1"/>
          <w:sz w:val="16"/>
          <w:szCs w:val="16"/>
        </w:rPr>
        <w:softHyphen/>
        <w:t>можности штурмовой авиации ВВС КА в борьбе с танками вермахта. Дело в том, что бомбоотсеки «десятки», в сравнении с «двойкой», вмещали почти вдвое меньшее количество ПТАБ (17500).</w:t>
      </w:r>
    </w:p>
    <w:p w14:paraId="2B015435" w14:textId="77777777" w:rsidR="00801247" w:rsidRPr="007224C3" w:rsidRDefault="00801247" w:rsidP="007224C3">
      <w:pPr>
        <w:pStyle w:val="123"/>
        <w:shd w:val="clear" w:color="auto" w:fill="auto"/>
        <w:spacing w:after="0" w:line="240" w:lineRule="auto"/>
        <w:jc w:val="both"/>
        <w:rPr>
          <w:color w:val="000000" w:themeColor="text1"/>
          <w:sz w:val="16"/>
          <w:szCs w:val="16"/>
        </w:rPr>
      </w:pPr>
    </w:p>
    <w:p w14:paraId="6D08341E" w14:textId="77777777" w:rsidR="00E20115" w:rsidRPr="007224C3" w:rsidRDefault="00E20115" w:rsidP="007224C3">
      <w:pPr>
        <w:shd w:val="clear" w:color="auto" w:fill="FFFFFF"/>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Летом 1944 года на самолет Ил-6 установили форсированные двигатели АЧ-30БФ, имевшие кроме номинального режима еще и так называемый военный режим, на котором двигатели развивали мощность 1500 л.с. на высоте 6000 метров. По результатам летных исследований устойчивости и управляемости была изменена форма и уменьшена площадь руля высоты, а центровка была сделана более задней. Испытатели отмечали, что доработанный Ил-6 стал достаточно прост в управлении, за исключением посадки при большой полетной массе. Из-за не совсем удачной аэродинамической компоновки крыла, обусловившей появление ранних срывов на его концах, самолет при посадке требовал большого запаса скорости и хороших подходов к аэродрому. Выявился также ряд серьезных недостатков в работе дизельных двигателей АЧ-30БФ: они имели сложный запуск и плохую приемистость. Все это привело к прекращению работ по Ил-6 (Новожилов Г.В.и др. Из истории советской авиации. Самолеты ОКБ имени С.В. Ильюшина. М.:Машиностроение,1985.) (15223).</w:t>
      </w:r>
    </w:p>
    <w:p w14:paraId="6EC44BF2" w14:textId="77777777" w:rsidR="00E20115" w:rsidRPr="007224C3" w:rsidRDefault="00E20115" w:rsidP="007224C3">
      <w:pPr>
        <w:shd w:val="clear" w:color="auto" w:fill="FFFFFF"/>
        <w:spacing w:after="0" w:line="240" w:lineRule="auto"/>
        <w:jc w:val="both"/>
        <w:rPr>
          <w:rFonts w:ascii="Times New Roman" w:hAnsi="Times New Roman"/>
          <w:color w:val="000000" w:themeColor="text1"/>
          <w:sz w:val="16"/>
          <w:szCs w:val="16"/>
        </w:rPr>
      </w:pPr>
    </w:p>
    <w:p w14:paraId="7BA2763A" w14:textId="77777777" w:rsidR="00D70979" w:rsidRPr="007224C3" w:rsidRDefault="00D70979" w:rsidP="007224C3">
      <w:pPr>
        <w:pStyle w:val="27"/>
        <w:shd w:val="clear" w:color="auto" w:fill="auto"/>
        <w:spacing w:after="0" w:line="240" w:lineRule="auto"/>
        <w:ind w:firstLine="0"/>
        <w:rPr>
          <w:rFonts w:ascii="Times New Roman" w:cs="Times New Roman"/>
          <w:color w:val="000000" w:themeColor="text1"/>
          <w:spacing w:val="0"/>
        </w:rPr>
      </w:pPr>
      <w:r w:rsidRPr="007224C3">
        <w:rPr>
          <w:rFonts w:ascii="Times New Roman" w:cs="Times New Roman"/>
          <w:color w:val="000000" w:themeColor="text1"/>
          <w:spacing w:val="0"/>
        </w:rPr>
        <w:t>Летом 1944 эскизный проект двухместного четырех</w:t>
      </w:r>
      <w:r w:rsidRPr="007224C3">
        <w:rPr>
          <w:rFonts w:ascii="Times New Roman" w:cs="Times New Roman"/>
          <w:color w:val="000000" w:themeColor="text1"/>
          <w:spacing w:val="0"/>
        </w:rPr>
        <w:softHyphen/>
        <w:t>моторного бомбардировщика Ил-14 был направлен на согласование в ВВС и НКАП. Летчик и штурман один за другим разме</w:t>
      </w:r>
      <w:r w:rsidRPr="007224C3">
        <w:rPr>
          <w:rFonts w:ascii="Times New Roman" w:cs="Times New Roman"/>
          <w:color w:val="000000" w:themeColor="text1"/>
          <w:spacing w:val="0"/>
        </w:rPr>
        <w:softHyphen/>
        <w:t>щались в общей кабине. Четыре двига</w:t>
      </w:r>
      <w:r w:rsidRPr="007224C3">
        <w:rPr>
          <w:rFonts w:ascii="Times New Roman" w:cs="Times New Roman"/>
          <w:color w:val="000000" w:themeColor="text1"/>
          <w:spacing w:val="0"/>
        </w:rPr>
        <w:softHyphen/>
        <w:t>теля жидкостного охлаждения АМ-43НВ с мощностью по 4260 л.с. конструктора А.А. Микулина, два из которых имели тяну</w:t>
      </w:r>
      <w:r w:rsidRPr="007224C3">
        <w:rPr>
          <w:rFonts w:ascii="Times New Roman" w:cs="Times New Roman"/>
          <w:color w:val="000000" w:themeColor="text1"/>
          <w:spacing w:val="0"/>
        </w:rPr>
        <w:softHyphen/>
        <w:t>щие воздушные винты, а два оставших</w:t>
      </w:r>
      <w:r w:rsidRPr="007224C3">
        <w:rPr>
          <w:rFonts w:ascii="Times New Roman" w:cs="Times New Roman"/>
          <w:color w:val="000000" w:themeColor="text1"/>
          <w:spacing w:val="0"/>
        </w:rPr>
        <w:softHyphen/>
        <w:t>ся - толкающие, располагались тандемно в двух крыльевых гондолах. Воздушные радиаторы систем смазки и охлаждения двигателей устанавливались в центропла</w:t>
      </w:r>
      <w:r w:rsidRPr="007224C3">
        <w:rPr>
          <w:rFonts w:ascii="Times New Roman" w:cs="Times New Roman"/>
          <w:color w:val="000000" w:themeColor="text1"/>
          <w:spacing w:val="0"/>
        </w:rPr>
        <w:softHyphen/>
        <w:t>не и продувались воздухом, поступавшим из заборников в его носке. Выбранная схе</w:t>
      </w:r>
      <w:r w:rsidRPr="007224C3">
        <w:rPr>
          <w:rFonts w:ascii="Times New Roman" w:cs="Times New Roman"/>
          <w:color w:val="000000" w:themeColor="text1"/>
          <w:spacing w:val="0"/>
        </w:rPr>
        <w:softHyphen/>
        <w:t>ма самолета давала возможность получить более компактную конструкцию и умень</w:t>
      </w:r>
      <w:r w:rsidRPr="007224C3">
        <w:rPr>
          <w:rFonts w:ascii="Times New Roman" w:cs="Times New Roman"/>
          <w:color w:val="000000" w:themeColor="text1"/>
          <w:spacing w:val="0"/>
        </w:rPr>
        <w:softHyphen/>
        <w:t>шить ее сопротивление. Вместе с тем, возникала опасность попадания экипажа под винты задних моторов при аварийном покидании самолета.</w:t>
      </w:r>
    </w:p>
    <w:p w14:paraId="229E7DE4" w14:textId="77777777" w:rsidR="00D70979" w:rsidRPr="007224C3" w:rsidRDefault="00D70979" w:rsidP="007224C3">
      <w:pPr>
        <w:pStyle w:val="27"/>
        <w:shd w:val="clear" w:color="auto" w:fill="auto"/>
        <w:spacing w:after="0" w:line="240" w:lineRule="auto"/>
        <w:ind w:firstLine="0"/>
        <w:rPr>
          <w:rFonts w:ascii="Times New Roman" w:cs="Times New Roman"/>
          <w:color w:val="000000" w:themeColor="text1"/>
          <w:spacing w:val="0"/>
        </w:rPr>
      </w:pPr>
      <w:r w:rsidRPr="007224C3">
        <w:rPr>
          <w:rFonts w:ascii="Times New Roman" w:cs="Times New Roman"/>
          <w:color w:val="000000" w:themeColor="text1"/>
          <w:spacing w:val="0"/>
        </w:rPr>
        <w:t>Неожиданным для Заказчика оказа</w:t>
      </w:r>
      <w:r w:rsidRPr="007224C3">
        <w:rPr>
          <w:rFonts w:ascii="Times New Roman" w:cs="Times New Roman"/>
          <w:color w:val="000000" w:themeColor="text1"/>
          <w:spacing w:val="0"/>
        </w:rPr>
        <w:softHyphen/>
        <w:t>лось отсутствие на бомбардировщике защитного вооружения, которое, по мне</w:t>
      </w:r>
      <w:r w:rsidRPr="007224C3">
        <w:rPr>
          <w:rFonts w:ascii="Times New Roman" w:cs="Times New Roman"/>
          <w:color w:val="000000" w:themeColor="text1"/>
          <w:spacing w:val="0"/>
        </w:rPr>
        <w:softHyphen/>
        <w:t>нию С.В. Ильюшина, полностью компен</w:t>
      </w:r>
      <w:r w:rsidRPr="007224C3">
        <w:rPr>
          <w:rFonts w:ascii="Times New Roman" w:cs="Times New Roman"/>
          <w:color w:val="000000" w:themeColor="text1"/>
          <w:spacing w:val="0"/>
        </w:rPr>
        <w:softHyphen/>
        <w:t>сировалось предполагаемой расчетной скоростью около 700 км/ч. Переубедить военных не удалось, и проект с перечнем замечаний вернули на доработку. Основ</w:t>
      </w:r>
      <w:r w:rsidRPr="007224C3">
        <w:rPr>
          <w:rFonts w:ascii="Times New Roman" w:cs="Times New Roman"/>
          <w:color w:val="000000" w:themeColor="text1"/>
          <w:spacing w:val="0"/>
        </w:rPr>
        <w:softHyphen/>
        <w:t>ное требование военных предусматрива</w:t>
      </w:r>
      <w:r w:rsidRPr="007224C3">
        <w:rPr>
          <w:rFonts w:ascii="Times New Roman" w:cs="Times New Roman"/>
          <w:color w:val="000000" w:themeColor="text1"/>
          <w:spacing w:val="0"/>
        </w:rPr>
        <w:softHyphen/>
        <w:t>ло установку пушечного вооружения и, как следствие, увеличение экипажа до четы</w:t>
      </w:r>
      <w:r w:rsidRPr="007224C3">
        <w:rPr>
          <w:rFonts w:ascii="Times New Roman" w:cs="Times New Roman"/>
          <w:color w:val="000000" w:themeColor="text1"/>
          <w:spacing w:val="0"/>
        </w:rPr>
        <w:softHyphen/>
        <w:t>рех человек. Поэтому в средней части фюзеляжа оборудовали кабину стрелка- радиста и воздушного стрелка, обслужи</w:t>
      </w:r>
      <w:r w:rsidRPr="007224C3">
        <w:rPr>
          <w:rFonts w:ascii="Times New Roman" w:cs="Times New Roman"/>
          <w:color w:val="000000" w:themeColor="text1"/>
          <w:spacing w:val="0"/>
        </w:rPr>
        <w:softHyphen/>
        <w:t>вавших верхнюю и нижнюю подвижные пушечные установки. В носовой части фюзеляжа появилась неподвижная пуш</w:t>
      </w:r>
      <w:r w:rsidRPr="007224C3">
        <w:rPr>
          <w:rFonts w:ascii="Times New Roman" w:cs="Times New Roman"/>
          <w:color w:val="000000" w:themeColor="text1"/>
          <w:spacing w:val="0"/>
        </w:rPr>
        <w:softHyphen/>
        <w:t>ка, огонь из которой должен был вести летчик. Бомбовое вооружение, оставше</w:t>
      </w:r>
      <w:r w:rsidRPr="007224C3">
        <w:rPr>
          <w:rFonts w:ascii="Times New Roman" w:cs="Times New Roman"/>
          <w:color w:val="000000" w:themeColor="text1"/>
          <w:spacing w:val="0"/>
        </w:rPr>
        <w:softHyphen/>
        <w:t>еся без изменений, давало возможность разместить в бомбоотсеке до 2500 кг раз</w:t>
      </w:r>
      <w:r w:rsidRPr="007224C3">
        <w:rPr>
          <w:rFonts w:ascii="Times New Roman" w:cs="Times New Roman"/>
          <w:color w:val="000000" w:themeColor="text1"/>
          <w:spacing w:val="0"/>
        </w:rPr>
        <w:softHyphen/>
        <w:t>личных бомб, в том числе одну 2000 кг. На наружных подвесках бомбардировщик мог нести две бомбы по 1000 кг каждая. Для исключения касания земли воздуш</w:t>
      </w:r>
      <w:r w:rsidRPr="007224C3">
        <w:rPr>
          <w:rFonts w:ascii="Times New Roman" w:cs="Times New Roman"/>
          <w:color w:val="000000" w:themeColor="text1"/>
          <w:spacing w:val="0"/>
        </w:rPr>
        <w:softHyphen/>
        <w:t>ными винтами задних силовых устано</w:t>
      </w:r>
      <w:r w:rsidRPr="007224C3">
        <w:rPr>
          <w:rFonts w:ascii="Times New Roman" w:cs="Times New Roman"/>
          <w:color w:val="000000" w:themeColor="text1"/>
          <w:spacing w:val="0"/>
        </w:rPr>
        <w:softHyphen/>
        <w:t>вок на машине предусмотрели заднюю опорную стойку. Произошедшее измене</w:t>
      </w:r>
      <w:r w:rsidRPr="007224C3">
        <w:rPr>
          <w:rFonts w:ascii="Times New Roman" w:cs="Times New Roman"/>
          <w:color w:val="000000" w:themeColor="text1"/>
          <w:spacing w:val="0"/>
        </w:rPr>
        <w:softHyphen/>
        <w:t>ние конструкции и уточненные расчеты увеличили нормальную полетную массу самолета до 22500 кг и обеспечили ему возможность на высоте 9300 м совершать полет на дальность 2000 км с бомбовой нагрузкой 2000 кг и скоростью 760 км/ч. Состоявшаяся весной 1945 года макетная комиссия Заказчика дала положительное заключение по представленному маке</w:t>
      </w:r>
      <w:r w:rsidRPr="007224C3">
        <w:rPr>
          <w:rFonts w:ascii="Times New Roman" w:cs="Times New Roman"/>
          <w:color w:val="000000" w:themeColor="text1"/>
          <w:spacing w:val="0"/>
        </w:rPr>
        <w:softHyphen/>
        <w:t>ту, в то же время, сопроводив его целым рядом новых пожеланий по изменению компоновки кабины летчиков и усилению оборонительного вооружения (12740).</w:t>
      </w:r>
    </w:p>
    <w:p w14:paraId="3550602E" w14:textId="77777777" w:rsidR="00D70979" w:rsidRPr="007224C3" w:rsidRDefault="00D70979" w:rsidP="007224C3">
      <w:pPr>
        <w:pStyle w:val="27"/>
        <w:shd w:val="clear" w:color="auto" w:fill="auto"/>
        <w:spacing w:after="0" w:line="240" w:lineRule="auto"/>
        <w:ind w:firstLine="0"/>
        <w:rPr>
          <w:rFonts w:ascii="Times New Roman" w:cs="Times New Roman"/>
          <w:color w:val="000000" w:themeColor="text1"/>
          <w:spacing w:val="0"/>
        </w:rPr>
      </w:pPr>
    </w:p>
    <w:p w14:paraId="6786A21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Летом 1944 проходили испытания Як-7Л с ламинарным профилем крыла той же формы, разработанным Г.П.Свищевым. Испытывался и в натурной трубе ЦАГИ (1046,35).</w:t>
      </w:r>
    </w:p>
    <w:p w14:paraId="330472D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B59371" w14:textId="77777777" w:rsidR="0004034B" w:rsidRPr="007224C3" w:rsidRDefault="0004034B" w:rsidP="007224C3">
      <w:pPr>
        <w:pStyle w:val="27"/>
        <w:shd w:val="clear" w:color="auto" w:fill="auto"/>
        <w:spacing w:after="0" w:line="240" w:lineRule="auto"/>
        <w:ind w:firstLine="0"/>
        <w:rPr>
          <w:rFonts w:ascii="Times New Roman" w:cs="Times New Roman"/>
          <w:color w:val="000000" w:themeColor="text1"/>
          <w:spacing w:val="0"/>
        </w:rPr>
      </w:pPr>
      <w:r w:rsidRPr="007224C3">
        <w:rPr>
          <w:rFonts w:ascii="Times New Roman" w:cs="Times New Roman"/>
          <w:color w:val="000000" w:themeColor="text1"/>
          <w:spacing w:val="0"/>
        </w:rPr>
        <w:t>Летом 1944 г. в 6-м гв. иап по предложе</w:t>
      </w:r>
      <w:r w:rsidRPr="007224C3">
        <w:rPr>
          <w:rFonts w:ascii="Times New Roman" w:cs="Times New Roman"/>
          <w:color w:val="000000" w:themeColor="text1"/>
          <w:spacing w:val="0"/>
        </w:rPr>
        <w:softHyphen/>
        <w:t>нию техника Комарова вместо одной фото</w:t>
      </w:r>
      <w:r w:rsidRPr="007224C3">
        <w:rPr>
          <w:rFonts w:ascii="Times New Roman" w:cs="Times New Roman"/>
          <w:color w:val="000000" w:themeColor="text1"/>
          <w:spacing w:val="0"/>
        </w:rPr>
        <w:softHyphen/>
        <w:t>камеры на Як-9Р установили два АФА-ИМ в грузовом отсеке, что позволило вдвое уве</w:t>
      </w:r>
      <w:r w:rsidRPr="007224C3">
        <w:rPr>
          <w:rFonts w:ascii="Times New Roman" w:cs="Times New Roman"/>
          <w:color w:val="000000" w:themeColor="text1"/>
          <w:spacing w:val="0"/>
        </w:rPr>
        <w:softHyphen/>
        <w:t>личить угол захвата местности при съёмке. Доработку выполнили в передвижных авиа</w:t>
      </w:r>
      <w:r w:rsidRPr="007224C3">
        <w:rPr>
          <w:rFonts w:ascii="Times New Roman" w:cs="Times New Roman"/>
          <w:color w:val="000000" w:themeColor="text1"/>
          <w:spacing w:val="0"/>
        </w:rPr>
        <w:softHyphen/>
        <w:t>ремонтных мастерских и с успехом исполь</w:t>
      </w:r>
      <w:r w:rsidRPr="007224C3">
        <w:rPr>
          <w:rFonts w:ascii="Times New Roman" w:cs="Times New Roman"/>
          <w:color w:val="000000" w:themeColor="text1"/>
          <w:spacing w:val="0"/>
        </w:rPr>
        <w:softHyphen/>
        <w:t>зовали машину на фронте (19103).</w:t>
      </w:r>
    </w:p>
    <w:p w14:paraId="6CE635E2" w14:textId="77777777" w:rsidR="0004034B" w:rsidRPr="007224C3" w:rsidRDefault="0004034B" w:rsidP="007224C3">
      <w:pPr>
        <w:pStyle w:val="27"/>
        <w:shd w:val="clear" w:color="auto" w:fill="auto"/>
        <w:spacing w:after="0" w:line="240" w:lineRule="auto"/>
        <w:ind w:firstLine="0"/>
        <w:rPr>
          <w:rFonts w:ascii="Times New Roman" w:cs="Times New Roman"/>
          <w:color w:val="000000" w:themeColor="text1"/>
          <w:spacing w:val="0"/>
        </w:rPr>
      </w:pPr>
    </w:p>
    <w:p w14:paraId="56AE052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Летом 1944 г. после смерти Поликарпова испытания ИТП (М-2) с АМ-39 были прекращены (9649).</w:t>
      </w:r>
    </w:p>
    <w:p w14:paraId="6D08924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E11B0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Летом 1944 г. был закончен второй вариант высотного перехватчика ВП Н.Н.П. под АМ-39Б с ТК-300Б. Срок предъявления ВП на испытания пе</w:t>
      </w:r>
      <w:r w:rsidRPr="007224C3">
        <w:rPr>
          <w:rFonts w:ascii="Times New Roman" w:hAnsi="Times New Roman"/>
          <w:color w:val="000000" w:themeColor="text1"/>
          <w:sz w:val="16"/>
          <w:szCs w:val="16"/>
        </w:rPr>
        <w:softHyphen/>
        <w:t>ренесли на декабрь 1944 г. ВП представлял собой низкоплан с цельнометалличе</w:t>
      </w:r>
      <w:r w:rsidRPr="007224C3">
        <w:rPr>
          <w:rFonts w:ascii="Times New Roman" w:hAnsi="Times New Roman"/>
          <w:color w:val="000000" w:themeColor="text1"/>
          <w:sz w:val="16"/>
          <w:szCs w:val="16"/>
        </w:rPr>
        <w:softHyphen/>
        <w:t>ским крылом и выклеенным из шпона фюзеляжем с гер-мокабиной для летчика. Расчетный полетный вес равнялся 3320 кг. Крыло имело размах 11м, площадь -16,2 м</w:t>
      </w:r>
      <w:r w:rsidRPr="007224C3">
        <w:rPr>
          <w:rFonts w:ascii="Times New Roman" w:hAnsi="Times New Roman"/>
          <w:color w:val="000000" w:themeColor="text1"/>
          <w:sz w:val="16"/>
          <w:szCs w:val="16"/>
          <w:vertAlign w:val="superscript"/>
        </w:rPr>
        <w:t>2</w:t>
      </w:r>
      <w:r w:rsidRPr="007224C3">
        <w:rPr>
          <w:rFonts w:ascii="Times New Roman" w:hAnsi="Times New Roman"/>
          <w:color w:val="000000" w:themeColor="text1"/>
          <w:sz w:val="16"/>
          <w:szCs w:val="16"/>
        </w:rPr>
        <w:t>. Вооружение состояло из двух 23-мм пушек. С мотором АМ-39А истребитель мог развить максималь</w:t>
      </w:r>
      <w:r w:rsidRPr="007224C3">
        <w:rPr>
          <w:rFonts w:ascii="Times New Roman" w:hAnsi="Times New Roman"/>
          <w:color w:val="000000" w:themeColor="text1"/>
          <w:sz w:val="16"/>
          <w:szCs w:val="16"/>
        </w:rPr>
        <w:softHyphen/>
        <w:t>ную скорость у земли 500 км/ч, а на высоте 13750 м - 715 км/ч. С мотором АМ-39Б скорость у земли становилась еще выше: 586 км/ч, но на больших высотах немного по</w:t>
      </w:r>
      <w:r w:rsidRPr="007224C3">
        <w:rPr>
          <w:rFonts w:ascii="Times New Roman" w:hAnsi="Times New Roman"/>
          <w:color w:val="000000" w:themeColor="text1"/>
          <w:sz w:val="16"/>
          <w:szCs w:val="16"/>
        </w:rPr>
        <w:softHyphen/>
        <w:t>нижалась (681 км/ч на 13000 м). ВП мог достичь потолка 14500-14750 м, на набор высоты 14000 м истребителю с АМ-39А требовалось 24,48 мин, а с АМ-39Б - 18 мин. Было признано, что самолет удовлетворяет требова</w:t>
      </w:r>
      <w:r w:rsidRPr="007224C3">
        <w:rPr>
          <w:rFonts w:ascii="Times New Roman" w:hAnsi="Times New Roman"/>
          <w:color w:val="000000" w:themeColor="text1"/>
          <w:sz w:val="16"/>
          <w:szCs w:val="16"/>
        </w:rPr>
        <w:softHyphen/>
        <w:t>ниям, предъявляемым к высотным перехватчикам. Ма</w:t>
      </w:r>
      <w:r w:rsidRPr="007224C3">
        <w:rPr>
          <w:rFonts w:ascii="Times New Roman" w:hAnsi="Times New Roman"/>
          <w:color w:val="000000" w:themeColor="text1"/>
          <w:sz w:val="16"/>
          <w:szCs w:val="16"/>
        </w:rPr>
        <w:softHyphen/>
        <w:t>шину предполагалось строить в четырех экземплярах. На заводе № 51 началось изготовление стендов для наземной отработки винтомоторной группы и гермокабины. В нервюрах крыла применялся профиль серии НАСА-230. Проведенные в ЦАГИ исследования показа</w:t>
      </w:r>
      <w:r w:rsidRPr="007224C3">
        <w:rPr>
          <w:rFonts w:ascii="Times New Roman" w:hAnsi="Times New Roman"/>
          <w:color w:val="000000" w:themeColor="text1"/>
          <w:sz w:val="16"/>
          <w:szCs w:val="16"/>
        </w:rPr>
        <w:softHyphen/>
        <w:t>ли, что он не является оптимальным на высотах. Поэто</w:t>
      </w:r>
      <w:r w:rsidRPr="007224C3">
        <w:rPr>
          <w:rFonts w:ascii="Times New Roman" w:hAnsi="Times New Roman"/>
          <w:color w:val="000000" w:themeColor="text1"/>
          <w:sz w:val="16"/>
          <w:szCs w:val="16"/>
        </w:rPr>
        <w:softHyphen/>
        <w:t>му для второго экземпляра решили изготовить новое крыло с профилем, рекомендованным ЦАГИ. Кроме то</w:t>
      </w:r>
      <w:r w:rsidRPr="007224C3">
        <w:rPr>
          <w:rFonts w:ascii="Times New Roman" w:hAnsi="Times New Roman"/>
          <w:color w:val="000000" w:themeColor="text1"/>
          <w:sz w:val="16"/>
          <w:szCs w:val="16"/>
        </w:rPr>
        <w:softHyphen/>
        <w:t>го, на нем предполагалось установить более высокое шасси, необходимое для использования винта с боль</w:t>
      </w:r>
      <w:r w:rsidRPr="007224C3">
        <w:rPr>
          <w:rFonts w:ascii="Times New Roman" w:hAnsi="Times New Roman"/>
          <w:color w:val="000000" w:themeColor="text1"/>
          <w:sz w:val="16"/>
          <w:szCs w:val="16"/>
        </w:rPr>
        <w:softHyphen/>
        <w:t>шим диаметром (10667).</w:t>
      </w:r>
    </w:p>
    <w:p w14:paraId="62D6454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12D03D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Летом 1944 г. на заводе № 153 построили своеобразный гибрид учебно-тренировоч</w:t>
      </w:r>
      <w:r w:rsidRPr="007224C3">
        <w:rPr>
          <w:rFonts w:ascii="Times New Roman" w:hAnsi="Times New Roman"/>
          <w:color w:val="000000" w:themeColor="text1"/>
          <w:sz w:val="16"/>
          <w:szCs w:val="16"/>
        </w:rPr>
        <w:softHyphen/>
        <w:t>ного Як-9В и дальнего истребителя Як-9ДЦ - самолет Як-9 «Курьерский». Эта транспортная машина предназначалась для перевозки одного пассажира (например, фельдъегеря) во фронто</w:t>
      </w:r>
      <w:r w:rsidRPr="007224C3">
        <w:rPr>
          <w:rFonts w:ascii="Times New Roman" w:hAnsi="Times New Roman"/>
          <w:color w:val="000000" w:themeColor="text1"/>
          <w:sz w:val="16"/>
          <w:szCs w:val="16"/>
        </w:rPr>
        <w:softHyphen/>
        <w:t>вых условиях. Вооружение на самолете отсутство</w:t>
      </w:r>
      <w:r w:rsidRPr="007224C3">
        <w:rPr>
          <w:rFonts w:ascii="Times New Roman" w:hAnsi="Times New Roman"/>
          <w:color w:val="000000" w:themeColor="text1"/>
          <w:sz w:val="16"/>
          <w:szCs w:val="16"/>
        </w:rPr>
        <w:softHyphen/>
        <w:t>вало. Из задней кабины убрали приборную доску, органы управления, установили пол и выполнили внутреннюю обшивку. Так как экипажу предстояло выполнять длительные перелеты, разработчики самолета постарались создать на борту более-</w:t>
      </w:r>
      <w:r w:rsidRPr="007224C3">
        <w:rPr>
          <w:rFonts w:ascii="Times New Roman" w:hAnsi="Times New Roman"/>
          <w:color w:val="000000" w:themeColor="text1"/>
          <w:sz w:val="16"/>
          <w:szCs w:val="16"/>
        </w:rPr>
        <w:softHyphen/>
        <w:t>менее комфортные условия, установив, в частнос</w:t>
      </w:r>
      <w:r w:rsidRPr="007224C3">
        <w:rPr>
          <w:rFonts w:ascii="Times New Roman" w:hAnsi="Times New Roman"/>
          <w:color w:val="000000" w:themeColor="text1"/>
          <w:sz w:val="16"/>
          <w:szCs w:val="16"/>
        </w:rPr>
        <w:softHyphen/>
        <w:t>ти, в обеих кабинах специальные писсуары. Ма</w:t>
      </w:r>
      <w:r w:rsidRPr="007224C3">
        <w:rPr>
          <w:rFonts w:ascii="Times New Roman" w:hAnsi="Times New Roman"/>
          <w:color w:val="000000" w:themeColor="text1"/>
          <w:sz w:val="16"/>
          <w:szCs w:val="16"/>
        </w:rPr>
        <w:softHyphen/>
        <w:t>шина прошла заводские испытания, но на Госу</w:t>
      </w:r>
      <w:r w:rsidRPr="007224C3">
        <w:rPr>
          <w:rFonts w:ascii="Times New Roman" w:hAnsi="Times New Roman"/>
          <w:color w:val="000000" w:themeColor="text1"/>
          <w:sz w:val="16"/>
          <w:szCs w:val="16"/>
        </w:rPr>
        <w:softHyphen/>
        <w:t>дарственные не передавалась и осталась в единственном экземпляре (10712).</w:t>
      </w:r>
    </w:p>
    <w:p w14:paraId="46F8644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22B111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Летом 1944 года острота про</w:t>
      </w:r>
      <w:r w:rsidRPr="007224C3">
        <w:rPr>
          <w:rFonts w:ascii="Times New Roman" w:hAnsi="Times New Roman"/>
          <w:color w:val="000000" w:themeColor="text1"/>
          <w:sz w:val="16"/>
          <w:szCs w:val="16"/>
        </w:rPr>
        <w:softHyphen/>
        <w:t>блемы со свечами для мотора АШ-82ФН была снята, хотя и в дальней</w:t>
      </w:r>
      <w:r w:rsidRPr="007224C3">
        <w:rPr>
          <w:rFonts w:ascii="Times New Roman" w:hAnsi="Times New Roman"/>
          <w:color w:val="000000" w:themeColor="text1"/>
          <w:sz w:val="16"/>
          <w:szCs w:val="16"/>
        </w:rPr>
        <w:softHyphen/>
        <w:t>шем срок службы свечей АС-130 вы</w:t>
      </w:r>
      <w:r w:rsidRPr="007224C3">
        <w:rPr>
          <w:rFonts w:ascii="Times New Roman" w:hAnsi="Times New Roman"/>
          <w:color w:val="000000" w:themeColor="text1"/>
          <w:sz w:val="16"/>
          <w:szCs w:val="16"/>
        </w:rPr>
        <w:softHyphen/>
        <w:t>зывал нарекания (10714).</w:t>
      </w:r>
    </w:p>
    <w:p w14:paraId="093A91E5"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FBB41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лету нового 1944 года снова ждали очередного повышения ЛТД наших истребителей. ОКБ С.А.Ла</w:t>
      </w:r>
      <w:r w:rsidRPr="007224C3">
        <w:rPr>
          <w:rFonts w:ascii="Times New Roman" w:hAnsi="Times New Roman"/>
          <w:color w:val="000000" w:themeColor="text1"/>
          <w:sz w:val="16"/>
          <w:szCs w:val="16"/>
        </w:rPr>
        <w:softHyphen/>
        <w:t>вочкина не могло остаться в сторо</w:t>
      </w:r>
      <w:r w:rsidRPr="007224C3">
        <w:rPr>
          <w:rFonts w:ascii="Times New Roman" w:hAnsi="Times New Roman"/>
          <w:color w:val="000000" w:themeColor="text1"/>
          <w:sz w:val="16"/>
          <w:szCs w:val="16"/>
        </w:rPr>
        <w:softHyphen/>
        <w:t>не. Весь опыт, накопленный в 1942-43 годах, и ответы на новые требования были воплощены в опытной ма</w:t>
      </w:r>
      <w:r w:rsidRPr="007224C3">
        <w:rPr>
          <w:rFonts w:ascii="Times New Roman" w:hAnsi="Times New Roman"/>
          <w:color w:val="000000" w:themeColor="text1"/>
          <w:sz w:val="16"/>
          <w:szCs w:val="16"/>
        </w:rPr>
        <w:softHyphen/>
        <w:t>шине «3Б», также называемой «эта</w:t>
      </w:r>
      <w:r w:rsidRPr="007224C3">
        <w:rPr>
          <w:rFonts w:ascii="Times New Roman" w:hAnsi="Times New Roman"/>
          <w:color w:val="000000" w:themeColor="text1"/>
          <w:sz w:val="16"/>
          <w:szCs w:val="16"/>
        </w:rPr>
        <w:softHyphen/>
        <w:t>лон Ла-5 1944 года», вышедшей на аэродром в январе 1944 года. Пер</w:t>
      </w:r>
      <w:r w:rsidRPr="007224C3">
        <w:rPr>
          <w:rFonts w:ascii="Times New Roman" w:hAnsi="Times New Roman"/>
          <w:color w:val="000000" w:themeColor="text1"/>
          <w:sz w:val="16"/>
          <w:szCs w:val="16"/>
        </w:rPr>
        <w:softHyphen/>
        <w:t>воначально эта машина проектиро</w:t>
      </w:r>
      <w:r w:rsidRPr="007224C3">
        <w:rPr>
          <w:rFonts w:ascii="Times New Roman" w:hAnsi="Times New Roman"/>
          <w:color w:val="000000" w:themeColor="text1"/>
          <w:sz w:val="16"/>
          <w:szCs w:val="16"/>
        </w:rPr>
        <w:softHyphen/>
        <w:t>валась в двух вариантах: с серийным М-82ФН и с улучшенным М-82ФНА (последний был длиннее на 30 мм). Но вскоре стало ясно, что рассчиты</w:t>
      </w:r>
      <w:r w:rsidRPr="007224C3">
        <w:rPr>
          <w:rFonts w:ascii="Times New Roman" w:hAnsi="Times New Roman"/>
          <w:color w:val="000000" w:themeColor="text1"/>
          <w:sz w:val="16"/>
          <w:szCs w:val="16"/>
        </w:rPr>
        <w:softHyphen/>
        <w:t>вать можно лишь на серийный мо</w:t>
      </w:r>
      <w:r w:rsidRPr="007224C3">
        <w:rPr>
          <w:rFonts w:ascii="Times New Roman" w:hAnsi="Times New Roman"/>
          <w:color w:val="000000" w:themeColor="text1"/>
          <w:sz w:val="16"/>
          <w:szCs w:val="16"/>
        </w:rPr>
        <w:softHyphen/>
        <w:t>тор (10714).</w:t>
      </w:r>
    </w:p>
    <w:p w14:paraId="2137BAA8"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0087A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Летом 1944 А.И.Покрышкин и группа его летчиков прошла переподготовку на Ла-7 при Высшей офицерской школе воздуш</w:t>
      </w:r>
      <w:r w:rsidRPr="007224C3">
        <w:rPr>
          <w:rFonts w:ascii="Times New Roman" w:hAnsi="Times New Roman"/>
          <w:color w:val="000000" w:themeColor="text1"/>
          <w:sz w:val="16"/>
          <w:szCs w:val="16"/>
        </w:rPr>
        <w:softHyphen/>
        <w:t>ного боя, но по какой-то причине са</w:t>
      </w:r>
      <w:r w:rsidRPr="007224C3">
        <w:rPr>
          <w:rFonts w:ascii="Times New Roman" w:hAnsi="Times New Roman"/>
          <w:color w:val="000000" w:themeColor="text1"/>
          <w:sz w:val="16"/>
          <w:szCs w:val="16"/>
        </w:rPr>
        <w:softHyphen/>
        <w:t>молетов Лавочкина 9-я ГИАД, коман</w:t>
      </w:r>
      <w:r w:rsidRPr="007224C3">
        <w:rPr>
          <w:rFonts w:ascii="Times New Roman" w:hAnsi="Times New Roman"/>
          <w:color w:val="000000" w:themeColor="text1"/>
          <w:sz w:val="16"/>
          <w:szCs w:val="16"/>
        </w:rPr>
        <w:softHyphen/>
        <w:t>диром которой был назначен гвар</w:t>
      </w:r>
      <w:r w:rsidRPr="007224C3">
        <w:rPr>
          <w:rFonts w:ascii="Times New Roman" w:hAnsi="Times New Roman"/>
          <w:color w:val="000000" w:themeColor="text1"/>
          <w:sz w:val="16"/>
          <w:szCs w:val="16"/>
        </w:rPr>
        <w:softHyphen/>
        <w:t>дии полковник Покрышкин, так и не получила, и оканчивать войну ей при</w:t>
      </w:r>
      <w:r w:rsidRPr="007224C3">
        <w:rPr>
          <w:rFonts w:ascii="Times New Roman" w:hAnsi="Times New Roman"/>
          <w:color w:val="000000" w:themeColor="text1"/>
          <w:sz w:val="16"/>
          <w:szCs w:val="16"/>
        </w:rPr>
        <w:softHyphen/>
        <w:t>шлось на все тех же американских «Аэрокобрах» (10714).</w:t>
      </w:r>
    </w:p>
    <w:p w14:paraId="1960526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47141D" w14:textId="77777777" w:rsidR="00E20115" w:rsidRPr="007224C3" w:rsidRDefault="00E2011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w:t>
      </w:r>
      <w:r w:rsidRPr="007224C3">
        <w:rPr>
          <w:rFonts w:ascii="Times New Roman" w:hAnsi="Times New Roman"/>
          <w:color w:val="000000" w:themeColor="text1"/>
          <w:sz w:val="16"/>
          <w:szCs w:val="16"/>
        </w:rPr>
        <w:softHyphen/>
        <w:t>том 1944 А.И. Покрышкин и группа его лётчиков прошла переподготовку на Ла-7 при Высшей офицер</w:t>
      </w:r>
      <w:r w:rsidRPr="007224C3">
        <w:rPr>
          <w:rFonts w:ascii="Times New Roman" w:hAnsi="Times New Roman"/>
          <w:color w:val="000000" w:themeColor="text1"/>
          <w:sz w:val="16"/>
          <w:szCs w:val="16"/>
        </w:rPr>
        <w:softHyphen/>
        <w:t>ской школе воздушного боя, но по какой-то причине самолётов Лавочкина 9-я ГИАД, командиром которой был назначен гвардии полковник Покрышкин, так и не получила, и оканчивать войну ей пришлось на всё тех же американских «Аэрокобрах» (15829).</w:t>
      </w:r>
    </w:p>
    <w:p w14:paraId="04DB6153" w14:textId="77777777" w:rsidR="00E20115" w:rsidRPr="007224C3" w:rsidRDefault="00E20115" w:rsidP="007224C3">
      <w:pPr>
        <w:spacing w:after="0" w:line="240" w:lineRule="auto"/>
        <w:jc w:val="both"/>
        <w:rPr>
          <w:rFonts w:ascii="Times New Roman" w:hAnsi="Times New Roman"/>
          <w:color w:val="000000" w:themeColor="text1"/>
          <w:sz w:val="16"/>
          <w:szCs w:val="16"/>
        </w:rPr>
      </w:pPr>
    </w:p>
    <w:p w14:paraId="6F3156E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Летом 1944 г. прошёл стендовые испытания новый мотор АШ-83. Его взлётная мощность по сравнению с АШ-82ФН возросла незначительно, всего на 50 л.с. (менее 3%), но в совокупности с форсированным боевым режимом и большей высотностью он обещал заметное улучшение лётных характеристик самолёта. Лавочкин немедленно установил его на Ла-7. В августе опытный образец истребителя с АШ-83 впервые превысил 700-кило- метровый рубеж скорости. В послевоенный период серийные Ла-7 иногда использовали для испытания различного оборудования и авиационных приборов. Так, в 1946 г. на одной машине в ЛИИ опробовали тормозной парашют, значительно сокративший пробег на посадке (11986).</w:t>
      </w:r>
    </w:p>
    <w:p w14:paraId="52DF22F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54D827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Летом 1944 г. прошел стендовые испытания новый мотор АШ-83. По сравнению с предшественником его взлетная мощность возросла незначительно, всего на 50л.с. (менее 3%), но в совокупности с боевым режимом и большей высотностью он обещал заметное улучшение летных характеристик самолета. Лавочкин немедленно опробовал АШ-83 на Ла-7. В августе опытный истребитель с этим двигателем впервые преодолел 700-кило- метровый рубеж скорости.</w:t>
      </w:r>
    </w:p>
    <w:p w14:paraId="19942C6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Вслед за этим перспективный, как казалось, мотор смонтировали на новом истребителе "120". Этот самолет внешне почти не отличался от Ла-7, но если заглянуть под обшивку, то можно было обнаружить немало узлов из металла, снизивших вес планера почти на 150 кг. У Ла-5ФН и всех предшествовавших машин Лавочкина фюзеляж делился на раму-лафет в передней части и деревянный монокок сзади, выклеивавшийся из шпона. На самолете "120" применили более рациональную конструкцию фюзеляжа: появился разъем за пилотской кабиной. Спереди от него находилась цельнометаллическая секция, а сзади - деревянная. Это позволило расширить кабину пилота. Крыло стало однолонжеронным, а не двух- лонжеронным, как у ЛаГГ-3 и Ла-5. Вес одного его квадратного метра снизился до 22 кг (для сравнения: у Ла-5 - 23,8 кг, у немецкого истребителя Мессершмитт Bf 109G-2 - 22 кг, у американской "Аэрокобры" - 21,4 кг). Шасси облегчили на 22 кг.</w:t>
      </w:r>
    </w:p>
    <w:p w14:paraId="64779B2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Замена 20-мм пушек СП-20 на НС-23С калибра 23 мм, установлен- ны на новом ферменном лафете, увеличила секундный залп бортового оружия почти в полтора раза. Но, пожалуй, самым важным отличием стало впервые примененное крыло с ламинарным профилем, позволившее увеличить максимальную скорость на 20 км/ч (11990).</w:t>
      </w:r>
    </w:p>
    <w:p w14:paraId="5B88AC3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543B3E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Летом 1944 г. ответственными за проведение государственных испытаний И-220 зав. № 01 с мотором АМ-39 в НИИ ВВС назначили ведущего инженера В.И. Алексеенко и летчика-испытателя Д. Г. Пикуленко. На номинальном режиме работы мотора Пикуленко получил скорость 606 км/ч на высоте 2700 м и 668 км/ч на высоте 6800 м. Высоту 5000 м самолет набирал за 6,3 мин. Практический потолок И-220 составил 11 000 м. Такие данные практически не выделяли И-220 на фоне серийных вариантов истребителей Як-3, Як-9У и Ла-7. 26 сентября госиспытания были прекращены по просьбе главного конструктора А.И. Микояна (12045).</w:t>
      </w:r>
    </w:p>
    <w:p w14:paraId="3158F99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D6CAFF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Летом 1944 г. в ОКБ-155 спроектировали и построили второй экземпляр "стратосферного истребителя", оснащенного герметической кабиной, который получил название И-224 и шифр "4А". На нем установили форсированный двигатель АМ-39ФБ и один турбокомпрессор ТК-300Б конструкции А.А. Микулина на правом выхлопном коллекторе, а также четырехлопастный винт АВ-9Л-26Б. Высотность мотора была доведена до 7000 м. Вооружение И-224 состояло из одной синхронной 20-мм пушки Б-20 с боезапасом 100 патронов. Заводские испытания проводили ведущий инженер К.П. Ковалевский и летчик-испытатель Г.М. Шиянов. Первый вылет И-224 состоялся 16 сентября 1944 г., а всего через две недели самолет потерпел аварию при вынужденной посадке из-за отказа двигателя. Другого мотора не было, поэтому ремонт затянулся. По расчетам, максимальная скорость машины должна была составить 693 км/ч на высоте 13 100 м.</w:t>
      </w:r>
    </w:p>
    <w:p w14:paraId="0DA7457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конце 1944 г. истребитель И-224 отправили в ЛИИ для продолжения испытаний. Уже после окончания войны с Германией, в июле 1945 г., самолет смог забраться на высоту 13 700 м, при этом летчик не отметил каких-либо недостатков в работе его агрегатов и гермокабины. Испытания И-224 завершились только 26 октября 1945 г. На самолете была полностью отработана герметическая кабина и достигнут практический потолок 14 100 м. В январе 1946 г. самолет подготовили для передачи на госиспытания в НИИ ВВС. Истребитель получил форсированный вариант мотора АМ-39ФБ с улучшенным ПЦН. Впрочем, доработка И-224, как видно, затянулась сверх меры, ведь к тому времени уже вышли на испытания первые отечественные самолеты с газотурбинными двигателями. Неудивительно, что постановлением Совмина от 30 ноября 1946 г. работы по самолетам И-222 и И-224 были прекращены (12045).</w:t>
      </w:r>
    </w:p>
    <w:p w14:paraId="65218D1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32DE26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Летом 1944 г. коллектив ОКБ В.П. Глушко в полном составе был освобожден из-под стражи. Решением Президиума Верховного Совета СССР досрочно освобождается со снятием судимости и С.П. Королев. Тогда же на основе конструкторской группы В.П. Глушко было создано ОКБ СД (специальных двигателей), переданное из ведения НКВД в систему наркомата авиационной промышленности. Главным конструктором ОКБ СД назначили В.П. Глушко, а С.П. Королев стал заместителем главного конструктора, оставаясь в этой должности до августа 1945 г.</w:t>
      </w:r>
    </w:p>
    <w:p w14:paraId="225259D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Испытания самолета Пе-2 зав. № 15/185 продолжили в 1944-1945 гг. с целью увеличения надежности и высотности системы зажигания, проведя 49 наземных и 38 летных огневых испытаний. Предпочтение было отдано хорошо отработанной к тому времени системе повторного химического зажигания вместо примененной ранее эфиро-воздуш- ной системы зажигания со свечой накаливания и кислородной подпиткой.</w:t>
      </w:r>
    </w:p>
    <w:p w14:paraId="4C4E36B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Усовершенствованный двигатель РД-1 с химическим зажиганием и рядом конструктивных нововведений получил название РД-1ХЗ. В качестве пускового горючего, самовоспламеняющегося при смешении с азотной кислотой, в двигателе РД-1ХЗ применялся разработанный в 1945 г. А.А. Мееровым продукт Б23-75, представляющий собой смесь 75% (по массе) карбинола и 25% бензина Б-70. Азотная кислота и керосин подавались в камеру сгорания насосным агрегатом, приводимым в действие от основного авиадвигателя. Привод осуществлялся через фрикционную муфту, включаемую подачей масла под давлением через электрогидрокла- пан, открывавшийся при помощи концевого выключателя сектора управления двигателем. Фактический ресурс двигателя РД-1ХЗ был доведен до нескольких часов. В процессе отработки двигателя РД-1ХЗ было проведено 2200 пусков, из них 228 на самолете Пе-2.</w:t>
      </w:r>
    </w:p>
    <w:p w14:paraId="6F961CF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Следует отметить, что в процессе испытаний случались чрезвычайные происшествия. Дважды двигательная установка взрывалась, в том числе один раз - в воздухе. Летчику А.Г. Васильченко чудом удалось совершить благополучную посадку на самолете с полуразрушенным хвостовым оперением. В одном из таких неудачных экспериментов получил травму С.П. Королев.</w:t>
      </w:r>
    </w:p>
    <w:p w14:paraId="6CE20DB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После принятия решения о прекращении производства боевых вариантов Пе-2 и переключением внимания Глушко и Королева на трофейную баллистическую ракету V-2 дальнейшие испытания Пе-2 с РД-1 свернули. Самолет зав. № 15/185 достался в наследство ОКБ В.М. Мясишева (12042).</w:t>
      </w:r>
    </w:p>
    <w:p w14:paraId="373410C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3735A4F" w14:textId="77777777" w:rsidR="0089327F" w:rsidRPr="007224C3" w:rsidRDefault="0089327F"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Летом 1944 - испытывался Ил-6 с АЧ-30БФ. Взлетный вес - 16100 кг, скорость 464 км/ч, дальность с 1 т - 5450 км на скорости 340 км/ч (24,219).</w:t>
      </w:r>
    </w:p>
    <w:p w14:paraId="5B5C6A41" w14:textId="77777777" w:rsidR="0089327F" w:rsidRPr="007224C3" w:rsidRDefault="0089327F"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652C7D" w14:textId="77777777" w:rsidR="0089327F" w:rsidRPr="007224C3" w:rsidRDefault="0089327F"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Задание на создание самолета на 10-12 пассажиров с дальностью полета 5000 км для Аэрофлота было сформулировано И.В.Сталиным летом 1944 г.</w:t>
      </w:r>
    </w:p>
    <w:p w14:paraId="5B6867F6" w14:textId="77777777" w:rsidR="0089327F" w:rsidRPr="007224C3" w:rsidRDefault="0089327F"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Дооборудовали, усилили бронезащиту, изменили форму и уменьшили площадь руля высоты. Результаты - так себе и особенно при посадке (5,53). Работы были прекращены из-за проблем с дизелями.</w:t>
      </w:r>
    </w:p>
    <w:p w14:paraId="4F693D2E" w14:textId="77777777" w:rsidR="0089327F" w:rsidRPr="007224C3" w:rsidRDefault="0089327F" w:rsidP="007224C3">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135CEE5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Летом 1944 систему АКАБ на A-20G-1 из смонтированных в бомбоотсеке двух пушек ШВАК и двух пулеметов УБК с боезапасом (440 патронов и 340 снарядов), которые размещались в бывшей кабине стрелка-радиста, передали на войсковые испытания в 27-й гвардейский полк блокировщиков (3457,110).</w:t>
      </w:r>
    </w:p>
    <w:p w14:paraId="6F31722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F417A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Летом 1944 ОКБ В.М.Мясищева начало разработку скоростного дневного бомбардировщика ДБ-108 в трех вариантах: ВМ-16 двухместный, ВМ-17 трехместный и ВМ-18 четырехместный (336).</w:t>
      </w:r>
    </w:p>
    <w:p w14:paraId="6D3B6BC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A3A26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лета 1944 в ДА стали поступать 10-15 Ще-2 в месяц и они использовались как учебные машины (556,163).</w:t>
      </w:r>
    </w:p>
    <w:p w14:paraId="6F99A72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AF42C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Летом 1944 проходили испытания УТ-2Л (666,71).</w:t>
      </w:r>
    </w:p>
    <w:p w14:paraId="02A2FAE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613055" w14:textId="77777777" w:rsidR="00411CE0" w:rsidRPr="007224C3" w:rsidRDefault="00411CE0"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 xml:space="preserve">Летом 1943 г. на советско-германском фронте появились </w:t>
      </w:r>
      <w:r w:rsidRPr="007224C3">
        <w:rPr>
          <w:rFonts w:ascii="Times New Roman" w:hAnsi="Times New Roman"/>
          <w:color w:val="0070C0"/>
          <w:sz w:val="16"/>
          <w:szCs w:val="16"/>
          <w:lang w:val="en-US"/>
        </w:rPr>
        <w:t>Bf</w:t>
      </w:r>
      <w:r w:rsidRPr="007224C3">
        <w:rPr>
          <w:rFonts w:ascii="Times New Roman" w:hAnsi="Times New Roman"/>
          <w:color w:val="0070C0"/>
          <w:sz w:val="16"/>
          <w:szCs w:val="16"/>
        </w:rPr>
        <w:t xml:space="preserve"> 109 </w:t>
      </w:r>
      <w:r w:rsidRPr="007224C3">
        <w:rPr>
          <w:rFonts w:ascii="Times New Roman" w:hAnsi="Times New Roman"/>
          <w:color w:val="0070C0"/>
          <w:sz w:val="16"/>
          <w:szCs w:val="16"/>
          <w:lang w:val="en-US"/>
        </w:rPr>
        <w:t>G</w:t>
      </w:r>
      <w:r w:rsidRPr="007224C3">
        <w:rPr>
          <w:rFonts w:ascii="Times New Roman" w:hAnsi="Times New Roman"/>
          <w:color w:val="0070C0"/>
          <w:sz w:val="16"/>
          <w:szCs w:val="16"/>
        </w:rPr>
        <w:t>-6. Данные о нем собирали, активно допрашивая пленных летчиков и техников. Однако исправный экземпляр №783959 захватили только в январе 1945 г. Испытания в НИИ ВВС проводил В.Е. Голофастов. Выяснилось, что на высотах до 5000 м немецкий истребитель уступает Як-3, Як-9У и Ла-7. Максимальной скорости достигли на высоте 7000 м - 630 км/ч, а у земли получили всего 492 км/ч. Правда, изучение мотора на этой машине показало, что форсированный режим на нем отключен (23186).</w:t>
      </w:r>
    </w:p>
    <w:p w14:paraId="0787E468" w14:textId="77777777" w:rsidR="00411CE0" w:rsidRPr="007224C3" w:rsidRDefault="00411CE0" w:rsidP="007224C3">
      <w:pPr>
        <w:spacing w:after="0" w:line="240" w:lineRule="auto"/>
        <w:jc w:val="both"/>
        <w:rPr>
          <w:rFonts w:ascii="Times New Roman" w:hAnsi="Times New Roman"/>
          <w:color w:val="0070C0"/>
          <w:sz w:val="16"/>
          <w:szCs w:val="16"/>
        </w:rPr>
      </w:pPr>
    </w:p>
    <w:p w14:paraId="41806BED" w14:textId="77777777" w:rsidR="0004034B" w:rsidRPr="007224C3" w:rsidRDefault="0004034B" w:rsidP="007224C3">
      <w:pPr>
        <w:pStyle w:val="ae"/>
        <w:shd w:val="clear" w:color="auto" w:fill="FFFFFF"/>
        <w:spacing w:before="0" w:after="0"/>
        <w:jc w:val="both"/>
        <w:rPr>
          <w:color w:val="000000" w:themeColor="text1"/>
          <w:sz w:val="16"/>
          <w:szCs w:val="16"/>
        </w:rPr>
      </w:pPr>
      <w:r w:rsidRPr="007224C3">
        <w:rPr>
          <w:color w:val="000000" w:themeColor="text1"/>
          <w:sz w:val="16"/>
          <w:szCs w:val="16"/>
        </w:rPr>
        <w:t>Летом 1944 г. на фронтах войны появился немецкий ракет ный самолет Ме-163, схожий по идее с «302П», но обладав ший худшими характеристиками. А через несколько месяцев были успешно завершены работы по созданию первых отече ственных конструкций ЖРД с ТНА многоразового действия (однокамерного РД-2М и двухкамерного РД-2М-ЗВ) и конст рукции ПВРД. Вскоре А.С. Яковлев был снят с поста консультанта в ГКО по авиационной технике.</w:t>
      </w:r>
    </w:p>
    <w:p w14:paraId="76B92E2D" w14:textId="77777777" w:rsidR="0004034B" w:rsidRPr="007224C3" w:rsidRDefault="0004034B" w:rsidP="007224C3">
      <w:pPr>
        <w:pStyle w:val="ae"/>
        <w:shd w:val="clear" w:color="auto" w:fill="FFFFFF"/>
        <w:spacing w:before="0" w:after="0"/>
        <w:jc w:val="both"/>
        <w:rPr>
          <w:color w:val="000000" w:themeColor="text1"/>
          <w:sz w:val="16"/>
          <w:szCs w:val="16"/>
        </w:rPr>
      </w:pPr>
      <w:r w:rsidRPr="007224C3">
        <w:rPr>
          <w:color w:val="000000" w:themeColor="text1"/>
          <w:sz w:val="16"/>
          <w:szCs w:val="16"/>
        </w:rPr>
        <w:t>В связи с необоснованностью обвинений в техническом авантюризме и обмане правительства при создании самолета «302», в феврале 1945 г. А.Г. Костиков был реабилитиро ван»[50].</w:t>
      </w:r>
    </w:p>
    <w:p w14:paraId="392D6557" w14:textId="77777777" w:rsidR="0004034B" w:rsidRPr="007224C3" w:rsidRDefault="0004034B" w:rsidP="007224C3">
      <w:pPr>
        <w:pStyle w:val="ae"/>
        <w:shd w:val="clear" w:color="auto" w:fill="FFFFFF"/>
        <w:spacing w:before="0" w:after="0"/>
        <w:jc w:val="both"/>
        <w:rPr>
          <w:color w:val="000000" w:themeColor="text1"/>
          <w:sz w:val="16"/>
          <w:szCs w:val="16"/>
        </w:rPr>
      </w:pPr>
      <w:r w:rsidRPr="007224C3">
        <w:rPr>
          <w:color w:val="000000" w:themeColor="text1"/>
          <w:sz w:val="16"/>
          <w:szCs w:val="16"/>
        </w:rPr>
        <w:t>После реабилитации Костикову довелось заниматься ак тивно-реактивными снарядами по теме «Гром», где он про явил себя и как конструктор, и как организатор работ высо кого уровня (19586).</w:t>
      </w:r>
    </w:p>
    <w:p w14:paraId="1D959126" w14:textId="77777777" w:rsidR="0004034B" w:rsidRPr="007224C3" w:rsidRDefault="0004034B" w:rsidP="007224C3">
      <w:pPr>
        <w:spacing w:after="0" w:line="240" w:lineRule="auto"/>
        <w:jc w:val="both"/>
        <w:rPr>
          <w:rFonts w:ascii="Times New Roman" w:hAnsi="Times New Roman"/>
          <w:color w:val="000000" w:themeColor="text1"/>
          <w:sz w:val="16"/>
          <w:szCs w:val="16"/>
        </w:rPr>
      </w:pPr>
    </w:p>
    <w:p w14:paraId="0DEE30C8" w14:textId="77777777" w:rsidR="0004034B" w:rsidRPr="007224C3" w:rsidRDefault="0004034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лета 19</w:t>
      </w:r>
      <w:smartTag w:uri="urn:schemas-microsoft-com:office:smarttags" w:element="metricconverter">
        <w:smartTagPr>
          <w:attr w:name="ProductID" w:val="44 г"/>
        </w:smartTagPr>
        <w:r w:rsidRPr="007224C3">
          <w:rPr>
            <w:rFonts w:ascii="Times New Roman" w:hAnsi="Times New Roman"/>
            <w:color w:val="000000" w:themeColor="text1"/>
            <w:sz w:val="16"/>
            <w:szCs w:val="16"/>
          </w:rPr>
          <w:t>44 г</w:t>
        </w:r>
      </w:smartTag>
      <w:r w:rsidRPr="007224C3">
        <w:rPr>
          <w:rFonts w:ascii="Times New Roman" w:hAnsi="Times New Roman"/>
          <w:color w:val="000000" w:themeColor="text1"/>
          <w:sz w:val="16"/>
          <w:szCs w:val="16"/>
        </w:rPr>
        <w:t xml:space="preserve">. отдельные экземпляры и фрагменты трофейной реактивной техники свозили в НИИ-1 МАП. К началу </w:t>
      </w:r>
      <w:smartTag w:uri="urn:schemas-microsoft-com:office:smarttags" w:element="metricconverter">
        <w:smartTagPr>
          <w:attr w:name="ProductID" w:val="45 г"/>
        </w:smartTagPr>
        <w:r w:rsidRPr="007224C3">
          <w:rPr>
            <w:rFonts w:ascii="Times New Roman" w:hAnsi="Times New Roman"/>
            <w:color w:val="000000" w:themeColor="text1"/>
            <w:sz w:val="16"/>
            <w:szCs w:val="16"/>
          </w:rPr>
          <w:t>45 г</w:t>
        </w:r>
      </w:smartTag>
      <w:r w:rsidRPr="007224C3">
        <w:rPr>
          <w:rFonts w:ascii="Times New Roman" w:hAnsi="Times New Roman"/>
          <w:color w:val="000000" w:themeColor="text1"/>
          <w:sz w:val="16"/>
          <w:szCs w:val="16"/>
        </w:rPr>
        <w:t xml:space="preserve">. специалистам, изучавшим эту технику, а их число было очень ограничено по режиму секретности, удалось определить основные характеристики ракеты Фау-2. Разработчики ЖРД в НКАП были поражены размерами двигателя. У нас максимальная тяга не превышала 1,5 т., а здесь 25 т., т.е больше чем на порядок. Никаких предложений их по использованию к маю </w:t>
      </w:r>
      <w:smartTag w:uri="urn:schemas-microsoft-com:office:smarttags" w:element="metricconverter">
        <w:smartTagPr>
          <w:attr w:name="ProductID" w:val="45 г"/>
        </w:smartTagPr>
        <w:r w:rsidRPr="007224C3">
          <w:rPr>
            <w:rFonts w:ascii="Times New Roman" w:hAnsi="Times New Roman"/>
            <w:color w:val="000000" w:themeColor="text1"/>
            <w:sz w:val="16"/>
            <w:szCs w:val="16"/>
          </w:rPr>
          <w:t>45 г</w:t>
        </w:r>
      </w:smartTag>
      <w:r w:rsidRPr="007224C3">
        <w:rPr>
          <w:rFonts w:ascii="Times New Roman" w:hAnsi="Times New Roman"/>
          <w:color w:val="000000" w:themeColor="text1"/>
          <w:sz w:val="16"/>
          <w:szCs w:val="16"/>
        </w:rPr>
        <w:t>. не выдвигалось. Шахурин уже был в опале у Сталина, и ему было не до Фау-2. У Глушко и Королева еще не были закончены работы по созданию реактивных ускорителей для авиации, о чем говорит взрыв двигателя Глушко РД-1 при включении во время полета 12.05.45 г. В этот период 04-</w:t>
      </w:r>
      <w:smartTag w:uri="urn:schemas-microsoft-com:office:smarttags" w:element="metricconverter">
        <w:smartTagPr>
          <w:attr w:name="ProductID" w:val="05.45 г"/>
        </w:smartTagPr>
        <w:r w:rsidRPr="007224C3">
          <w:rPr>
            <w:rFonts w:ascii="Times New Roman" w:hAnsi="Times New Roman"/>
            <w:color w:val="000000" w:themeColor="text1"/>
            <w:sz w:val="16"/>
            <w:szCs w:val="16"/>
          </w:rPr>
          <w:t>05.45 г</w:t>
        </w:r>
      </w:smartTag>
      <w:r w:rsidRPr="007224C3">
        <w:rPr>
          <w:rFonts w:ascii="Times New Roman" w:hAnsi="Times New Roman"/>
          <w:color w:val="000000" w:themeColor="text1"/>
          <w:sz w:val="16"/>
          <w:szCs w:val="16"/>
        </w:rPr>
        <w:t>. наиболее активно проводили работу по сбору сведений о Фау-2 работники НКБ и командования гвардейских минометных частей. Все-таки Фау-2 – это всего большой снаряд. Еще 19.03.45 г. вышло постановление ГКО о создании в системе НКБ ГЦКБ-1 по разработке новых реактивных снарядов. В это время все работы по РС были сосредоточены в НИИ-1 НКАП и в его филиале во Владыкино, там разрабатывались РС к БМ-31 и другим новым системам. Конечно, разработка РС это не профиль НКАП (19590).</w:t>
      </w:r>
    </w:p>
    <w:p w14:paraId="05D21132" w14:textId="77777777" w:rsidR="0004034B" w:rsidRPr="007224C3" w:rsidRDefault="0004034B" w:rsidP="007224C3">
      <w:pPr>
        <w:spacing w:after="0" w:line="240" w:lineRule="auto"/>
        <w:jc w:val="both"/>
        <w:rPr>
          <w:rFonts w:ascii="Times New Roman" w:hAnsi="Times New Roman"/>
          <w:color w:val="000000" w:themeColor="text1"/>
          <w:sz w:val="16"/>
          <w:szCs w:val="16"/>
        </w:rPr>
      </w:pPr>
    </w:p>
    <w:p w14:paraId="66EA68E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Летом 1944 в КБ завода Компрессор ГК В.П.Бармин разрабатывал установки для пуска М-13 со спиральными направляющими для повышения кучности. В войну так и не успели (1142).</w:t>
      </w:r>
    </w:p>
    <w:p w14:paraId="49C7598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Дальнейшим совершенствованием установок для стрельбы снарядами калибра 132 мм стало создание установки БМ-13-СН со спиральными направляющими в составе метательной установки. Кроме кассет с направляющими и фермы, все остальные узлы были унифицированы с соответствующими узлами боевой нормализованной установки БМ-13Н. С помощью установки возможно было вести стрельбу всеми типами снарядов калибра 132 мм. Установка обеспечивала значительно лучшую кучность стрельбы снарядами М-13 – в 3,2 раза, М-13УК – в 1,1 раза, М-20 – в 3,3 раза, М-13ДД в 1,47 раза. Она была проще, менее трудоемка и дешевле в изготовлении, при изготовлении деталей отпала необходимость целого ряда трудоемких станочных работ.</w:t>
      </w:r>
    </w:p>
    <w:p w14:paraId="7FC29AA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1944 году, после получения положительных результатов по кучности стрельбы снарядами калибра 132 мм с опытных спиральных направляющих, специалисты СКБ по собственной инициативе приступили к разработке спиральных направляющих для пуска снарядов М-8 калибра 82 мм. Преимуществами по сравнению с установками типа М-8 с направляющими типа “балка” были (11772).</w:t>
      </w:r>
    </w:p>
    <w:p w14:paraId="67B4209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52D03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Летом 1944 года армейские изобретатели разработали оригинальную ракетную систему. С.М. Штеменко вспоминал: “…на 2-м Белорусском фронте была сконструирована так наетающая торпеда, очень простая по замыслу. На реактивный снаряд М-13 с помощью железных обручей крепилась деревянная бочка обтикаемой формы. Внутрь бочки заливался жидкий тол. … Для устойчивости в полете к хвостовой части прикреплялся деревянный стабилизатор. Стрельба производилась из деревянного ящика я железными полозьями в качестве направляющих…. ” [72]. В источнике [73] представлены фотографии летающей торпеды (11772).</w:t>
      </w:r>
    </w:p>
    <w:p w14:paraId="780AB0E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D30C550" w14:textId="77777777" w:rsidR="001444FD" w:rsidRPr="007224C3" w:rsidRDefault="001444FD" w:rsidP="007224C3">
      <w:pPr>
        <w:spacing w:after="0" w:line="240" w:lineRule="auto"/>
        <w:jc w:val="both"/>
        <w:rPr>
          <w:rFonts w:ascii="Times New Roman" w:eastAsia="Times New Roman" w:hAnsi="Times New Roman"/>
          <w:color w:val="000000" w:themeColor="text1"/>
          <w:sz w:val="16"/>
          <w:szCs w:val="16"/>
        </w:rPr>
      </w:pPr>
      <w:r w:rsidRPr="007224C3">
        <w:rPr>
          <w:rFonts w:ascii="Times New Roman" w:eastAsia="Times New Roman" w:hAnsi="Times New Roman"/>
          <w:color w:val="000000" w:themeColor="text1"/>
          <w:sz w:val="16"/>
          <w:szCs w:val="16"/>
        </w:rPr>
        <w:t>Летом 1944 года армейские изобретатели разработали оригинальную ракетную систему. С.М. Штеменко вспоминал: “…на 2-м Белорусском фронте была сконструирована так называемая летающая торпеда, очень простая по замыслу. На реактивный снаряд М-13 с помощью железных обручей крепилась деревянная бочка обтикаемой формы. Внутрь бочки заливался жидкий тол. … Для устойчивости в полете к хвостовой части прикреплялся деревянный стабилизатор. Стрельба производилась из деревянного ящика с железными полозьями в качестве направляющих…. ” (15981).</w:t>
      </w:r>
    </w:p>
    <w:p w14:paraId="630E679A" w14:textId="77777777" w:rsidR="001444FD" w:rsidRPr="007224C3" w:rsidRDefault="001444FD" w:rsidP="007224C3">
      <w:pPr>
        <w:spacing w:after="0" w:line="240" w:lineRule="auto"/>
        <w:jc w:val="both"/>
        <w:rPr>
          <w:rFonts w:ascii="Times New Roman" w:eastAsia="Times New Roman" w:hAnsi="Times New Roman"/>
          <w:color w:val="000000" w:themeColor="text1"/>
          <w:sz w:val="16"/>
          <w:szCs w:val="16"/>
        </w:rPr>
      </w:pPr>
    </w:p>
    <w:p w14:paraId="74FD6972" w14:textId="77777777" w:rsidR="00411CE0" w:rsidRPr="007224C3" w:rsidRDefault="00411CE0" w:rsidP="007224C3">
      <w:pPr>
        <w:pStyle w:val="ae"/>
        <w:shd w:val="clear" w:color="auto" w:fill="FFFFFF"/>
        <w:spacing w:before="0" w:after="0"/>
        <w:jc w:val="both"/>
        <w:textAlignment w:val="baseline"/>
        <w:rPr>
          <w:color w:val="0070C0"/>
          <w:sz w:val="16"/>
          <w:szCs w:val="16"/>
        </w:rPr>
      </w:pPr>
      <w:r w:rsidRPr="007224C3">
        <w:rPr>
          <w:color w:val="0070C0"/>
          <w:sz w:val="16"/>
          <w:szCs w:val="16"/>
        </w:rPr>
        <w:t>Летом 1944 года начался сбор сведений о «Фау-2» и Михаил Клавдиевич Тихонравов в составе группы от НИИ-1 НКАП отправился на немецкий ракетный полигон Хайделагер (Heidelager), расположенный у польского города Дембица, и одним из первых сумел ознакомиться с секретным оружием гитлеровцев.</w:t>
      </w:r>
    </w:p>
    <w:p w14:paraId="38C33AEB" w14:textId="77777777" w:rsidR="00411CE0" w:rsidRPr="007224C3" w:rsidRDefault="00411CE0" w:rsidP="007224C3">
      <w:pPr>
        <w:pStyle w:val="ae"/>
        <w:shd w:val="clear" w:color="auto" w:fill="FFFFFF"/>
        <w:spacing w:before="0" w:after="0"/>
        <w:jc w:val="both"/>
        <w:textAlignment w:val="baseline"/>
        <w:rPr>
          <w:color w:val="0070C0"/>
          <w:sz w:val="16"/>
          <w:szCs w:val="16"/>
        </w:rPr>
      </w:pPr>
      <w:r w:rsidRPr="007224C3">
        <w:rPr>
          <w:color w:val="0070C0"/>
          <w:sz w:val="16"/>
          <w:szCs w:val="16"/>
        </w:rPr>
        <w:t>Через год Тихонравов в соавторстве с Николаем Гавриловичем Чернышёвым предложил проект пилотируемого варианта ФАУ-2, получивший название ВР-190 («Победа»). Инициатива не была реализована, но способствовала переходу группы Тихонравова осенью 1946 года в Научно-исследовательский институт №4 Академии артиллерийских наук (НИИ-4 ААН), где он, имея звание инженер-полковника, получил должность заместителя начальника института, собственный сектор и возможность реализовать дальние планы (20875).</w:t>
      </w:r>
    </w:p>
    <w:p w14:paraId="34B810A1" w14:textId="77777777" w:rsidR="00411CE0" w:rsidRPr="007224C3" w:rsidRDefault="00411CE0" w:rsidP="007224C3">
      <w:pPr>
        <w:spacing w:after="0" w:line="240" w:lineRule="auto"/>
        <w:jc w:val="both"/>
        <w:rPr>
          <w:rFonts w:ascii="Times New Roman" w:hAnsi="Times New Roman"/>
          <w:color w:val="0070C0"/>
          <w:sz w:val="16"/>
          <w:szCs w:val="16"/>
          <w:shd w:val="clear" w:color="auto" w:fill="FFFFFF"/>
        </w:rPr>
      </w:pPr>
    </w:p>
    <w:p w14:paraId="1462C05D" w14:textId="77777777" w:rsidR="00411CE0" w:rsidRPr="007224C3" w:rsidRDefault="00411CE0"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Летом 1944 г. войска аэро</w:t>
      </w:r>
      <w:r w:rsidRPr="007224C3">
        <w:rPr>
          <w:rFonts w:ascii="Times New Roman" w:hAnsi="Times New Roman"/>
          <w:color w:val="0070C0"/>
          <w:sz w:val="16"/>
          <w:szCs w:val="16"/>
        </w:rPr>
        <w:softHyphen/>
        <w:t>статного заграждения Ленинграда переориенти</w:t>
      </w:r>
      <w:r w:rsidRPr="007224C3">
        <w:rPr>
          <w:rFonts w:ascii="Times New Roman" w:hAnsi="Times New Roman"/>
          <w:color w:val="0070C0"/>
          <w:sz w:val="16"/>
          <w:szCs w:val="16"/>
        </w:rPr>
        <w:softHyphen/>
        <w:t>ровали на борьбу с самолётами-снарядами V-1 (20120).</w:t>
      </w:r>
    </w:p>
    <w:p w14:paraId="2B7A7B64" w14:textId="77777777" w:rsidR="00411CE0" w:rsidRPr="007224C3" w:rsidRDefault="00411CE0" w:rsidP="007224C3">
      <w:pPr>
        <w:spacing w:after="0" w:line="240" w:lineRule="auto"/>
        <w:jc w:val="both"/>
        <w:rPr>
          <w:rFonts w:ascii="Times New Roman" w:hAnsi="Times New Roman"/>
          <w:color w:val="0070C0"/>
          <w:sz w:val="16"/>
          <w:szCs w:val="16"/>
        </w:rPr>
      </w:pPr>
    </w:p>
    <w:p w14:paraId="14DC695F" w14:textId="77777777" w:rsidR="00411CE0" w:rsidRPr="007224C3" w:rsidRDefault="00411CE0"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С лета 1944 г. части АЗ го</w:t>
      </w:r>
      <w:r w:rsidRPr="007224C3">
        <w:rPr>
          <w:rFonts w:ascii="Times New Roman" w:hAnsi="Times New Roman"/>
          <w:color w:val="0070C0"/>
          <w:sz w:val="16"/>
          <w:szCs w:val="16"/>
        </w:rPr>
        <w:softHyphen/>
        <w:t>товились к перехвату самолётов-снарядов, закла</w:t>
      </w:r>
      <w:r w:rsidRPr="007224C3">
        <w:rPr>
          <w:rFonts w:ascii="Times New Roman" w:hAnsi="Times New Roman"/>
          <w:color w:val="0070C0"/>
          <w:sz w:val="16"/>
          <w:szCs w:val="16"/>
        </w:rPr>
        <w:softHyphen/>
        <w:t>дывая, таким образом, основы противоракетной обороны. Непрерывно велось совершенствова</w:t>
      </w:r>
      <w:r w:rsidRPr="007224C3">
        <w:rPr>
          <w:rFonts w:ascii="Times New Roman" w:hAnsi="Times New Roman"/>
          <w:color w:val="0070C0"/>
          <w:sz w:val="16"/>
          <w:szCs w:val="16"/>
        </w:rPr>
        <w:softHyphen/>
        <w:t>ние аэростатной техники, не уступавшей по сво</w:t>
      </w:r>
      <w:r w:rsidRPr="007224C3">
        <w:rPr>
          <w:rFonts w:ascii="Times New Roman" w:hAnsi="Times New Roman"/>
          <w:color w:val="0070C0"/>
          <w:sz w:val="16"/>
          <w:szCs w:val="16"/>
        </w:rPr>
        <w:softHyphen/>
        <w:t>им характеристикам образцам соответствующего вооружения противника и союзников. Получили развитие приборы и методы аэрологических ис</w:t>
      </w:r>
      <w:r w:rsidRPr="007224C3">
        <w:rPr>
          <w:rFonts w:ascii="Times New Roman" w:hAnsi="Times New Roman"/>
          <w:color w:val="0070C0"/>
          <w:sz w:val="16"/>
          <w:szCs w:val="16"/>
        </w:rPr>
        <w:softHyphen/>
        <w:t>следований, использовавшиеся для метеорологи</w:t>
      </w:r>
      <w:r w:rsidRPr="007224C3">
        <w:rPr>
          <w:rFonts w:ascii="Times New Roman" w:hAnsi="Times New Roman"/>
          <w:color w:val="0070C0"/>
          <w:sz w:val="16"/>
          <w:szCs w:val="16"/>
        </w:rPr>
        <w:softHyphen/>
        <w:t>ческого обеспечения боевых действий сухопут</w:t>
      </w:r>
      <w:r w:rsidRPr="007224C3">
        <w:rPr>
          <w:rFonts w:ascii="Times New Roman" w:hAnsi="Times New Roman"/>
          <w:color w:val="0070C0"/>
          <w:sz w:val="16"/>
          <w:szCs w:val="16"/>
        </w:rPr>
        <w:softHyphen/>
        <w:t>ных войск, авиации и флота (20120).</w:t>
      </w:r>
    </w:p>
    <w:p w14:paraId="66C32445" w14:textId="77777777" w:rsidR="00411CE0" w:rsidRPr="007224C3" w:rsidRDefault="00411CE0" w:rsidP="007224C3">
      <w:pPr>
        <w:spacing w:after="0" w:line="240" w:lineRule="auto"/>
        <w:jc w:val="both"/>
        <w:rPr>
          <w:rFonts w:ascii="Times New Roman" w:hAnsi="Times New Roman"/>
          <w:color w:val="0070C0"/>
          <w:sz w:val="16"/>
          <w:szCs w:val="16"/>
        </w:rPr>
      </w:pPr>
    </w:p>
    <w:p w14:paraId="67536533" w14:textId="77777777" w:rsidR="00411CE0" w:rsidRPr="007224C3" w:rsidRDefault="00411CE0"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Летом 1944 г. перед ПВО страны встала задача отражения возможного удара крылатых ракет — реактивных самолётов-снарядов V-1. Именно тогда в стране впервые создали прообраз систе</w:t>
      </w:r>
      <w:r w:rsidRPr="007224C3">
        <w:rPr>
          <w:rFonts w:ascii="Times New Roman" w:hAnsi="Times New Roman"/>
          <w:color w:val="0070C0"/>
          <w:sz w:val="16"/>
          <w:szCs w:val="16"/>
        </w:rPr>
        <w:softHyphen/>
        <w:t>мы противоракетной обороны (ПРО), в которой, как и в ПВО Лондона — первого города, подверг</w:t>
      </w:r>
      <w:r w:rsidRPr="007224C3">
        <w:rPr>
          <w:rFonts w:ascii="Times New Roman" w:hAnsi="Times New Roman"/>
          <w:color w:val="0070C0"/>
          <w:sz w:val="16"/>
          <w:szCs w:val="16"/>
        </w:rPr>
        <w:softHyphen/>
        <w:t>шегося массированному обстрелу V-1, важную роль играли аэростаты заграждения.</w:t>
      </w:r>
    </w:p>
    <w:p w14:paraId="055E3238" w14:textId="77777777" w:rsidR="00411CE0" w:rsidRPr="007224C3" w:rsidRDefault="00411CE0"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Применив 13 июня 1944 г. крылатые ракеты против Лондона, руководство Германии пла</w:t>
      </w:r>
      <w:r w:rsidRPr="007224C3">
        <w:rPr>
          <w:rFonts w:ascii="Times New Roman" w:hAnsi="Times New Roman"/>
          <w:color w:val="0070C0"/>
          <w:sz w:val="16"/>
          <w:szCs w:val="16"/>
        </w:rPr>
        <w:softHyphen/>
        <w:t>нировало использовать их и против СССР, где объектами ракетных ударов должны были стать Ленинград, Москва и промышленные центры Среднего и Южного Урала (20120).</w:t>
      </w:r>
    </w:p>
    <w:p w14:paraId="09B935E9" w14:textId="77777777" w:rsidR="00411CE0" w:rsidRPr="007224C3" w:rsidRDefault="00411CE0" w:rsidP="007224C3">
      <w:pPr>
        <w:spacing w:after="0" w:line="240" w:lineRule="auto"/>
        <w:jc w:val="both"/>
        <w:rPr>
          <w:rFonts w:ascii="Times New Roman" w:hAnsi="Times New Roman"/>
          <w:color w:val="0070C0"/>
          <w:sz w:val="16"/>
          <w:szCs w:val="16"/>
        </w:rPr>
      </w:pPr>
    </w:p>
    <w:p w14:paraId="3AA95B1C"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0E1904B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4CF130F" w14:textId="77777777" w:rsidR="0035381F" w:rsidRPr="007224C3" w:rsidRDefault="0035381F" w:rsidP="007224C3">
      <w:pPr>
        <w:shd w:val="clear" w:color="auto" w:fill="FFFFFF"/>
        <w:spacing w:after="0" w:line="240" w:lineRule="auto"/>
        <w:jc w:val="both"/>
        <w:rPr>
          <w:rFonts w:ascii="Times New Roman" w:eastAsia="Times New Roman" w:hAnsi="Times New Roman"/>
          <w:color w:val="0070C0"/>
          <w:sz w:val="16"/>
          <w:szCs w:val="16"/>
          <w:lang w:eastAsia="ru-RU"/>
        </w:rPr>
      </w:pPr>
      <w:r w:rsidRPr="007224C3">
        <w:rPr>
          <w:rFonts w:ascii="Times New Roman" w:eastAsia="Times New Roman" w:hAnsi="Times New Roman"/>
          <w:color w:val="0070C0"/>
          <w:sz w:val="16"/>
          <w:szCs w:val="16"/>
          <w:lang w:eastAsia="ru-RU"/>
        </w:rPr>
        <w:t>Летом 1944 года идея с перевооружением КВ-1с на орудие С-53 перешла в практическую фазу. Главным тормозящим фактором были работы по модернизации орудия. Только в июне 1944 года, когда запустили в серию ЗИС-С-53, дали отмашку на изготовление С-28. Представляла она собой уже не С-53, а улучшенную версию орудия, то есть ЗИС-С-53. При изготовлении орудийной установки С-28 во главу угла поставили адаптацию ЗИС-С-53, с минимальными изменениями. В этом было существенное отличие от С-31, которую постарались вписать в штатную бронировку ЗИС-5. Почти весь съемный узел, который крепился на болтах к башни КВ-1с, оказался новым. С другой стороны, он спокойно ставился в штатную амбразуру башни танка. С точки зрения Главного Управления Ремонта Танков КА, это выглядело более важным. Боевая масса машины составила 43 тонны, то есть лишь чуть больше обычного КВ-1с.</w:t>
      </w:r>
    </w:p>
    <w:p w14:paraId="171AD07D" w14:textId="77777777" w:rsidR="0035381F" w:rsidRPr="007224C3" w:rsidRDefault="0035381F" w:rsidP="007224C3">
      <w:pPr>
        <w:shd w:val="clear" w:color="auto" w:fill="FFFFFF"/>
        <w:spacing w:after="0" w:line="240" w:lineRule="auto"/>
        <w:jc w:val="both"/>
        <w:rPr>
          <w:rFonts w:ascii="Times New Roman" w:eastAsia="Times New Roman" w:hAnsi="Times New Roman"/>
          <w:color w:val="0070C0"/>
          <w:sz w:val="16"/>
          <w:szCs w:val="16"/>
          <w:lang w:eastAsia="ru-RU"/>
        </w:rPr>
      </w:pPr>
      <w:r w:rsidRPr="007224C3">
        <w:rPr>
          <w:rFonts w:ascii="Times New Roman" w:eastAsia="Times New Roman" w:hAnsi="Times New Roman"/>
          <w:color w:val="0070C0"/>
          <w:sz w:val="16"/>
          <w:szCs w:val="16"/>
          <w:lang w:eastAsia="ru-RU"/>
        </w:rPr>
        <w:t>Готовую орудийную установку ставили вместо штатной, причем, в теории, аналогичное техническое решение могло адаптироваться и для КВ-1. Размещение механизма наводки по вертикали, а также прицелов и спаренного пулемета, бралось от ЗИС-С-53. Также переделке подвергались укладки боезапаса, поскольку штатные гнезда для 85-мм унитарных патронов не подходили. Общий боекомплект снизился до 49 унитарных патронов и 30 дисков к пулеметам ДТ. Часть боекомплекта разметили в башне: помимо кормовой ниши, 4 патрона оказалось с правого борта башни, похожую систему можно увидеть на Т-34-85. Боекомплект выглядел небольшим, но на самом деле у Т-34-85, например, он составлял 55 унитаров. Одним словом, игра стоила свеч. О том, что Главное Управление Ремонта Танков КА было заинтересовано в работах, говорит присутствие на испытаниях его представителя - инженер-полковника Гаврилова. (21485).</w:t>
      </w:r>
    </w:p>
    <w:p w14:paraId="7ABCFB10" w14:textId="77777777" w:rsidR="0035381F" w:rsidRPr="007224C3" w:rsidRDefault="0035381F" w:rsidP="007224C3">
      <w:pPr>
        <w:shd w:val="clear" w:color="auto" w:fill="FFFFFF"/>
        <w:spacing w:after="0" w:line="240" w:lineRule="auto"/>
        <w:jc w:val="both"/>
        <w:rPr>
          <w:rFonts w:ascii="Times New Roman" w:eastAsia="Times New Roman" w:hAnsi="Times New Roman"/>
          <w:color w:val="0070C0"/>
          <w:sz w:val="16"/>
          <w:szCs w:val="16"/>
          <w:lang w:eastAsia="ru-RU"/>
        </w:rPr>
      </w:pPr>
    </w:p>
    <w:p w14:paraId="70D57A4C" w14:textId="77777777" w:rsidR="00801247" w:rsidRPr="007224C3" w:rsidRDefault="00801247"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Летом 1944 года СКБ-2 ЧКЗ начались полноценные работы по разработке глубокой модернизации ИС-2. Большим приоритетом обладала разработка Объекта 701. Постановлением ГКО №5583сс в КБ создавалась отдельная группа конструкторов численностью 25–30 человек, плюс группа из 10–15 технологов, задачей которых было сопровождение разработки и постройки образцов нового тяжёлого танка. Не удивительно, что «большая модернизация» ИС-2 рассматривалась как второстепенная задача. На разработку этой самой модернизации отводилось три месяца.</w:t>
      </w:r>
    </w:p>
    <w:p w14:paraId="48C1B5D0" w14:textId="77777777" w:rsidR="00801247" w:rsidRPr="007224C3" w:rsidRDefault="00801247" w:rsidP="007224C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4C3">
        <w:rPr>
          <w:rFonts w:ascii="Times New Roman" w:eastAsia="Times New Roman" w:hAnsi="Times New Roman"/>
          <w:color w:val="000000" w:themeColor="text1"/>
          <w:sz w:val="16"/>
          <w:szCs w:val="16"/>
          <w:lang w:eastAsia="ru-RU"/>
        </w:rPr>
        <w:t>Это не помешало, впрочем, частично перенести некоторые из разработанных нововведений на серийный танк. Самым важным из них стало внедрение с августа 1944 года спрямлённой лобовой детали корпуса. К очевидным плюсам нововведения следует отнести резко возросшую стойкость верхней лобовой детали. Минимальная дистанция пробития 88-мм пушкой Pak 43 сварной детали корпуса производства УЗТМ увеличилась до 575 метров, а литой спрямлённый лоб толщиной 100 мм удавалось пробить лишь на дистанции меньше 255 метров. Минусами были сильно ухудшившийся обзор с места механика-водителя и смотровой прибор по типу Объекта 701, нередко игравший роль снарядоприёмника. Идеальным нововведение назвать нельзя, но преимуществ у него оказалось больше (17756).</w:t>
      </w:r>
    </w:p>
    <w:p w14:paraId="4A68BE4F" w14:textId="77777777" w:rsidR="00801247" w:rsidRPr="007224C3" w:rsidRDefault="00801247" w:rsidP="007224C3">
      <w:pPr>
        <w:pStyle w:val="123"/>
        <w:shd w:val="clear" w:color="auto" w:fill="auto"/>
        <w:spacing w:after="0" w:line="240" w:lineRule="auto"/>
        <w:jc w:val="both"/>
        <w:rPr>
          <w:color w:val="000000" w:themeColor="text1"/>
          <w:sz w:val="16"/>
          <w:szCs w:val="16"/>
        </w:rPr>
      </w:pPr>
    </w:p>
    <w:p w14:paraId="2F59BD0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Летом 1944 года САУ СУ-Д-10-85 была испытана, но по результатам испытаний на вооружение не принята (3862).</w:t>
      </w:r>
    </w:p>
    <w:p w14:paraId="20B6B28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ECBDB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Летом 1944 года СУ-С-34-1 ЦАКБ была отправлена на полигонные испытания, но не прошла их (3862).</w:t>
      </w:r>
    </w:p>
    <w:p w14:paraId="6436DDE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ED0C7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Летом 1944 года выпуск СУ-122 закончился. Всего с конца 1942 по лето 1944 года было изготовлено 1100 машин (3862).</w:t>
      </w:r>
    </w:p>
    <w:p w14:paraId="4C04079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A5492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Летом 1944 года в опытном порядке была изготовлена САУ ЭСУ-100 с электротрансмиссией (3862).</w:t>
      </w:r>
    </w:p>
    <w:p w14:paraId="4CF4810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0719A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лета 1944 года немцы, ввиду острого недостатка марганца, начали использовать высокоуглеродистую броню, легированную никелем и отличавшуюся повышенной хрупкостью, особенно в местах сварных швов. Поэтому пушка Д-25Т на ИС-2 внезапно начала прекрасно поражать немецкие танки. В донесениях из частей встречались описания случаев, когда 122-мм снаряд БР-471, пущенный с дистанции более 2500 м, рикошетируя от лобовой брони "Пантеры", оставлял в ней громадные проломы. (3862).</w:t>
      </w:r>
    </w:p>
    <w:p w14:paraId="3A6EE36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1766F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 лета 1944 года продолжалась доводка 100-мм пушки Д-10 для САУ СУ-100. Помимо орудия, имелись большие проблемы с массовым производством бронебойного выстрела (Д-10 имело унитарный патрон), серийная сборка СУ-100 была задержана, а вместо этого, используя уже готовые корпуса СУ-100, был налажен выпуск самоходок СУ-85М. Серийный выпуск СУ-100 начался с декабря 1944 года (3862).</w:t>
      </w:r>
    </w:p>
    <w:p w14:paraId="5BD635E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DE916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Летом 1944 г. УЗТМ начал решение задачи создания самоходной установки с более мощным артиллерий</w:t>
      </w:r>
      <w:r w:rsidRPr="007224C3">
        <w:rPr>
          <w:rFonts w:ascii="Times New Roman" w:hAnsi="Times New Roman"/>
          <w:color w:val="000000" w:themeColor="text1"/>
          <w:sz w:val="16"/>
          <w:szCs w:val="16"/>
        </w:rPr>
        <w:softHyphen/>
        <w:t>ским орудием требовалось использовать новую базу, с более рациональ</w:t>
      </w:r>
      <w:r w:rsidRPr="007224C3">
        <w:rPr>
          <w:rFonts w:ascii="Times New Roman" w:hAnsi="Times New Roman"/>
          <w:color w:val="000000" w:themeColor="text1"/>
          <w:sz w:val="16"/>
          <w:szCs w:val="16"/>
        </w:rPr>
        <w:softHyphen/>
        <w:t>ным размещением агрегатов, что устранило бы существующие недо</w:t>
      </w:r>
      <w:r w:rsidRPr="007224C3">
        <w:rPr>
          <w:rFonts w:ascii="Times New Roman" w:hAnsi="Times New Roman"/>
          <w:color w:val="000000" w:themeColor="text1"/>
          <w:sz w:val="16"/>
          <w:szCs w:val="16"/>
        </w:rPr>
        <w:softHyphen/>
        <w:t>статки установок и в своих дальней</w:t>
      </w:r>
      <w:r w:rsidRPr="007224C3">
        <w:rPr>
          <w:rFonts w:ascii="Times New Roman" w:hAnsi="Times New Roman"/>
          <w:color w:val="000000" w:themeColor="text1"/>
          <w:sz w:val="16"/>
          <w:szCs w:val="16"/>
        </w:rPr>
        <w:softHyphen/>
        <w:t>ших опытно-конструкторских работах пересмотрел все существующие конструкции отечественных танков, пытаясь на их базе разработать но</w:t>
      </w:r>
      <w:r w:rsidRPr="007224C3">
        <w:rPr>
          <w:rFonts w:ascii="Times New Roman" w:hAnsi="Times New Roman"/>
          <w:color w:val="000000" w:themeColor="text1"/>
          <w:sz w:val="16"/>
          <w:szCs w:val="16"/>
        </w:rPr>
        <w:softHyphen/>
        <w:t>вую САУ, которая не имела бы недостатков присущих предыдущим об</w:t>
      </w:r>
      <w:r w:rsidRPr="007224C3">
        <w:rPr>
          <w:rFonts w:ascii="Times New Roman" w:hAnsi="Times New Roman"/>
          <w:color w:val="000000" w:themeColor="text1"/>
          <w:sz w:val="16"/>
          <w:szCs w:val="16"/>
        </w:rPr>
        <w:softHyphen/>
        <w:t>разцам и допускала возможность увеличения в будущем калибра уста</w:t>
      </w:r>
      <w:r w:rsidRPr="007224C3">
        <w:rPr>
          <w:rFonts w:ascii="Times New Roman" w:hAnsi="Times New Roman"/>
          <w:color w:val="000000" w:themeColor="text1"/>
          <w:sz w:val="16"/>
          <w:szCs w:val="16"/>
        </w:rPr>
        <w:softHyphen/>
        <w:t>навливаемого орудия. В течение лета - осени 1944 г. в конструкторском бюро УЗТМ было разработано большое количество новых проектов средних самоходных установок (10703).</w:t>
      </w:r>
    </w:p>
    <w:p w14:paraId="4C7DA00B"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A71AE9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Летом 1944 г. в конструкторском бюро завода № 100 в Челябинске под руководством А.С. Ермолаева с целью дальнейшего повышения огневой мощи и броневой защиты тан</w:t>
      </w:r>
      <w:r w:rsidRPr="007224C3">
        <w:rPr>
          <w:rFonts w:ascii="Times New Roman" w:hAnsi="Times New Roman"/>
          <w:color w:val="000000" w:themeColor="text1"/>
          <w:sz w:val="16"/>
          <w:szCs w:val="16"/>
        </w:rPr>
        <w:softHyphen/>
        <w:t>ка ИС-2 был разработан Танк "Объект 252". Общее руководство осуществлял Ж.Я. Котин. Опытный обра</w:t>
      </w:r>
      <w:r w:rsidRPr="007224C3">
        <w:rPr>
          <w:rFonts w:ascii="Times New Roman" w:hAnsi="Times New Roman"/>
          <w:color w:val="000000" w:themeColor="text1"/>
          <w:sz w:val="16"/>
          <w:szCs w:val="16"/>
        </w:rPr>
        <w:softHyphen/>
        <w:t>зец машины был изготовлен в октябре 1944 г. совместными усилиями заводов № 100 и УЗТМ и в период с 8 по 27 ноября того же года прошел заводские испытания. По документам НКТП танк проходил под маркой ИС-6. На вооружение РККА танк не принимался и в серийном произ</w:t>
      </w:r>
      <w:r w:rsidRPr="007224C3">
        <w:rPr>
          <w:rFonts w:ascii="Times New Roman" w:hAnsi="Times New Roman"/>
          <w:color w:val="000000" w:themeColor="text1"/>
          <w:sz w:val="16"/>
          <w:szCs w:val="16"/>
        </w:rPr>
        <w:softHyphen/>
        <w:t>водстве не состоял (10703).</w:t>
      </w:r>
    </w:p>
    <w:p w14:paraId="4643ECF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6E5865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Летом 1944 г. в конструкторском бюро завода № 100 в Челябинске под руководством А. С. Ермолаева с учетом результатов опытно-конструкторских работ по тяжелому танку ЭКВ с электромеханической трансмиссией был разработан Танк "Объект 253". Общее руководство осуще</w:t>
      </w:r>
      <w:r w:rsidRPr="007224C3">
        <w:rPr>
          <w:rFonts w:ascii="Times New Roman" w:hAnsi="Times New Roman"/>
          <w:color w:val="000000" w:themeColor="text1"/>
          <w:sz w:val="16"/>
          <w:szCs w:val="16"/>
        </w:rPr>
        <w:softHyphen/>
        <w:t>ствлял Ж.Я. Котин. Ведущим инженером машины был М.И. Креславский. Опытный образец машины был изготовлен в октябре - ноябре 1944 г. совместными усилиями заводов № 100 и УЗТМ и в ноябре того же года прошел заводские испытания. Электрические машины для эле</w:t>
      </w:r>
      <w:r w:rsidRPr="007224C3">
        <w:rPr>
          <w:rFonts w:ascii="Times New Roman" w:hAnsi="Times New Roman"/>
          <w:color w:val="000000" w:themeColor="text1"/>
          <w:sz w:val="16"/>
          <w:szCs w:val="16"/>
        </w:rPr>
        <w:softHyphen/>
        <w:t>ктромеханической трансмиссии танка были изготовлены заводом "Ди</w:t>
      </w:r>
      <w:r w:rsidRPr="007224C3">
        <w:rPr>
          <w:rFonts w:ascii="Times New Roman" w:hAnsi="Times New Roman"/>
          <w:color w:val="000000" w:themeColor="text1"/>
          <w:sz w:val="16"/>
          <w:szCs w:val="16"/>
        </w:rPr>
        <w:softHyphen/>
        <w:t>намо" НКЭП. На вооружение танк не принимался и в серийном произ</w:t>
      </w:r>
      <w:r w:rsidRPr="007224C3">
        <w:rPr>
          <w:rFonts w:ascii="Times New Roman" w:hAnsi="Times New Roman"/>
          <w:color w:val="000000" w:themeColor="text1"/>
          <w:sz w:val="16"/>
          <w:szCs w:val="16"/>
        </w:rPr>
        <w:softHyphen/>
        <w:t>водстве не состоял. Танк был создан на базе опытного танка "Объект 252" и отличался от него установкой электромеханической трансмиссии и применением хо</w:t>
      </w:r>
      <w:r w:rsidRPr="007224C3">
        <w:rPr>
          <w:rFonts w:ascii="Times New Roman" w:hAnsi="Times New Roman"/>
          <w:color w:val="000000" w:themeColor="text1"/>
          <w:sz w:val="16"/>
          <w:szCs w:val="16"/>
        </w:rPr>
        <w:softHyphen/>
        <w:t>довой части, заимствованной у серийного танка ИС-2. В НКТП этому образцу было присвоено наименование танк ИС-6. За счет установки электромеханической трансмиссии планировалось улучшить управляе</w:t>
      </w:r>
      <w:r w:rsidRPr="007224C3">
        <w:rPr>
          <w:rFonts w:ascii="Times New Roman" w:hAnsi="Times New Roman"/>
          <w:color w:val="000000" w:themeColor="text1"/>
          <w:sz w:val="16"/>
          <w:szCs w:val="16"/>
        </w:rPr>
        <w:softHyphen/>
        <w:t>мость и повысить приемистость тяжелой машины, так как использова</w:t>
      </w:r>
      <w:r w:rsidRPr="007224C3">
        <w:rPr>
          <w:rFonts w:ascii="Times New Roman" w:hAnsi="Times New Roman"/>
          <w:color w:val="000000" w:themeColor="text1"/>
          <w:sz w:val="16"/>
          <w:szCs w:val="16"/>
        </w:rPr>
        <w:softHyphen/>
        <w:t>ние электрических машин обеспечивало прогрессивность тяговой ха</w:t>
      </w:r>
      <w:r w:rsidRPr="007224C3">
        <w:rPr>
          <w:rFonts w:ascii="Times New Roman" w:hAnsi="Times New Roman"/>
          <w:color w:val="000000" w:themeColor="text1"/>
          <w:sz w:val="16"/>
          <w:szCs w:val="16"/>
        </w:rPr>
        <w:softHyphen/>
        <w:t>рактеристики как при кратковременном режиме (разгон, преодоление препятствий), так и при длительном режиме работы (10703).</w:t>
      </w:r>
    </w:p>
    <w:p w14:paraId="1E6042BA"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ECA21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Летом 1944 г. в КБ завода № 100 под руководством Ж.Я. Котина была разработана Самоходная установка ИСУ-152БМ (ИСУ-152-2) ("Объект 247"), которая представляла собой улучшенный вариант самоходной установки ИСУ-152-1 ("Объект 246"). Опытный образец установки, из</w:t>
      </w:r>
      <w:r w:rsidRPr="007224C3">
        <w:rPr>
          <w:rFonts w:ascii="Times New Roman" w:hAnsi="Times New Roman"/>
          <w:color w:val="000000" w:themeColor="text1"/>
          <w:sz w:val="16"/>
          <w:szCs w:val="16"/>
        </w:rPr>
        <w:softHyphen/>
        <w:t>готовленный в августе 1944 г., получил заводское обозначение "Объект 247". В декабре того же года самоходная установка ИСУ-152-2 прошла испытания на Ленинградском АНИОПе, которые не выдержала. После испытаний она была направлена на доработку. На вооружение машина не принималась и в серийном производстве не состояла. Самоходная установка ИСУ-152-2 относилась к типу полностью бронированных самоходных установок с передним расположением бро</w:t>
      </w:r>
      <w:r w:rsidRPr="007224C3">
        <w:rPr>
          <w:rFonts w:ascii="Times New Roman" w:hAnsi="Times New Roman"/>
          <w:color w:val="000000" w:themeColor="text1"/>
          <w:sz w:val="16"/>
          <w:szCs w:val="16"/>
        </w:rPr>
        <w:softHyphen/>
        <w:t>невой рубки. Машина была создана на базе самоходной установки ИСУ-152-1 ("Объект 246") путем замены 152,4-мм опытной пушки БЛ-8 с поршневым затвором на 152,4-мм пушку БЛ-10. Конструкция пушки была разработана в ОКБ-172 НКВ под руководством И.И. Ива</w:t>
      </w:r>
      <w:r w:rsidRPr="007224C3">
        <w:rPr>
          <w:rFonts w:ascii="Times New Roman" w:hAnsi="Times New Roman"/>
          <w:color w:val="000000" w:themeColor="text1"/>
          <w:sz w:val="16"/>
          <w:szCs w:val="16"/>
        </w:rPr>
        <w:softHyphen/>
        <w:t>нова. В состав экипажа машины входили пять человек, его размещение было аналогичным размещению экипажа в установке ИСУ-122 (10703).</w:t>
      </w:r>
    </w:p>
    <w:p w14:paraId="2A1392B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EF62A6" w14:textId="77777777" w:rsidR="00801247" w:rsidRPr="007224C3" w:rsidRDefault="00801247"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Летом 1944 г. наибольшую потребность вызывали легкие и тя</w:t>
      </w:r>
      <w:r w:rsidRPr="007224C3">
        <w:rPr>
          <w:rFonts w:ascii="Times New Roman" w:hAnsi="Times New Roman"/>
          <w:color w:val="000000" w:themeColor="text1"/>
          <w:sz w:val="16"/>
          <w:szCs w:val="16"/>
        </w:rPr>
        <w:softHyphen/>
        <w:t>желые САУ, так как производство СУ-85 велось ритмично. Понятно, что с самого начала выпуска танка ИС ЧКЗ обращал самое пристальное внимание на расширение вы</w:t>
      </w:r>
      <w:r w:rsidRPr="007224C3">
        <w:rPr>
          <w:rFonts w:ascii="Times New Roman" w:hAnsi="Times New Roman"/>
          <w:color w:val="000000" w:themeColor="text1"/>
          <w:sz w:val="16"/>
          <w:szCs w:val="16"/>
        </w:rPr>
        <w:softHyphen/>
        <w:t>пуска шасси и бронекорпуеов ИСУ-152 и к началу 1944 г. преуспел в этом вопросе настолько, что, согласно расчетам наркома танковой промышленности, уже ко II кварталу 1944 г. вооружать их стало бы нечем. Поэтому, чтобы не снижать динамику формирования тя</w:t>
      </w:r>
      <w:r w:rsidRPr="007224C3">
        <w:rPr>
          <w:rFonts w:ascii="Times New Roman" w:hAnsi="Times New Roman"/>
          <w:color w:val="000000" w:themeColor="text1"/>
          <w:sz w:val="16"/>
          <w:szCs w:val="16"/>
        </w:rPr>
        <w:softHyphen/>
        <w:t>желых самоходно-артиллерийских полков, наркомат танко</w:t>
      </w:r>
      <w:r w:rsidRPr="007224C3">
        <w:rPr>
          <w:rFonts w:ascii="Times New Roman" w:hAnsi="Times New Roman"/>
          <w:color w:val="000000" w:themeColor="text1"/>
          <w:sz w:val="16"/>
          <w:szCs w:val="16"/>
        </w:rPr>
        <w:softHyphen/>
        <w:t>вой промышленности должен был начать в 1944 г. выпуск тя</w:t>
      </w:r>
      <w:r w:rsidRPr="007224C3">
        <w:rPr>
          <w:rFonts w:ascii="Times New Roman" w:hAnsi="Times New Roman"/>
          <w:color w:val="000000" w:themeColor="text1"/>
          <w:sz w:val="16"/>
          <w:szCs w:val="16"/>
        </w:rPr>
        <w:softHyphen/>
        <w:t>желых ИСУ-152, вооруженных 122-мм корпусной пушкой А-19 в установке МЛ-20С. Интересно, что появление на фронте ИСУ-122 вызвало формирование смешанных танко-самоходных полков прорыва, так как единство боеприпаса и базы танка ИС-2 и САУ упрощало снабжение и как нельзя лучше отвечало подготовке полков к боевым действиям (11417).</w:t>
      </w:r>
    </w:p>
    <w:p w14:paraId="39A845AF" w14:textId="77777777" w:rsidR="00801247" w:rsidRPr="007224C3" w:rsidRDefault="00801247"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7861A14" w14:textId="77777777" w:rsidR="00801247" w:rsidRPr="007224C3" w:rsidRDefault="00801247"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Летом 1944 г. ЦАКБ представило свой вариант дуплекса большой мощности, работы над которым проходи</w:t>
      </w:r>
      <w:r w:rsidRPr="007224C3">
        <w:rPr>
          <w:rFonts w:ascii="Times New Roman" w:hAnsi="Times New Roman"/>
          <w:color w:val="000000" w:themeColor="text1"/>
          <w:sz w:val="16"/>
          <w:szCs w:val="16"/>
        </w:rPr>
        <w:softHyphen/>
        <w:t>ли под индексом С-26. В рамках проекта ЦАКБ изготовил 130-мм пушку С-26, с баллистикой 130-мм морской пушки Б-13 и 122-мм пушку большой мощности с начальной ско</w:t>
      </w:r>
      <w:r w:rsidRPr="007224C3">
        <w:rPr>
          <w:rFonts w:ascii="Times New Roman" w:hAnsi="Times New Roman"/>
          <w:color w:val="000000" w:themeColor="text1"/>
          <w:sz w:val="16"/>
          <w:szCs w:val="16"/>
        </w:rPr>
        <w:softHyphen/>
        <w:t>ростью бронебойного снаряда 1000 м/с, получившую индекс С-26-1. Оба орудия имели сходную конструкцию, единые противооткатные механизмы, люльку и казенную часть с го</w:t>
      </w:r>
      <w:r w:rsidRPr="007224C3">
        <w:rPr>
          <w:rFonts w:ascii="Times New Roman" w:hAnsi="Times New Roman"/>
          <w:color w:val="000000" w:themeColor="text1"/>
          <w:sz w:val="16"/>
          <w:szCs w:val="16"/>
        </w:rPr>
        <w:softHyphen/>
        <w:t>ризонтальным клиновым затвором. Между собой они отли</w:t>
      </w:r>
      <w:r w:rsidRPr="007224C3">
        <w:rPr>
          <w:rFonts w:ascii="Times New Roman" w:hAnsi="Times New Roman"/>
          <w:color w:val="000000" w:themeColor="text1"/>
          <w:sz w:val="16"/>
          <w:szCs w:val="16"/>
        </w:rPr>
        <w:softHyphen/>
        <w:t xml:space="preserve">чались только трубой ствола калибра 122 мм или 130 мм, а также для компенсации увеличенной реакции отдачи 130-мм пушка </w:t>
      </w:r>
      <w:r w:rsidRPr="007224C3">
        <w:rPr>
          <w:rFonts w:ascii="Times New Roman" w:hAnsi="Times New Roman"/>
          <w:color w:val="000000" w:themeColor="text1"/>
          <w:sz w:val="16"/>
          <w:szCs w:val="16"/>
        </w:rPr>
        <w:lastRenderedPageBreak/>
        <w:t>дополнялась дульным тормозом. Чтобы не менять конструкцию казенной части и не потерять при этом уравновешивания, на дульной части 122-мм ствола С-26-1 был укреплен дополнительный груз в виде «шайбы».</w:t>
      </w:r>
    </w:p>
    <w:p w14:paraId="3EA31A07" w14:textId="77777777" w:rsidR="00801247" w:rsidRPr="007224C3" w:rsidRDefault="00801247"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Оба орудия начали изготавливать практически одновре</w:t>
      </w:r>
      <w:r w:rsidRPr="007224C3">
        <w:rPr>
          <w:rFonts w:ascii="Times New Roman" w:hAnsi="Times New Roman"/>
          <w:color w:val="000000" w:themeColor="text1"/>
          <w:sz w:val="16"/>
          <w:szCs w:val="16"/>
        </w:rPr>
        <w:softHyphen/>
        <w:t>менно, и первой, в октябре 1944 г., на завод № 100 была по</w:t>
      </w:r>
      <w:r w:rsidRPr="007224C3">
        <w:rPr>
          <w:rFonts w:ascii="Times New Roman" w:hAnsi="Times New Roman"/>
          <w:color w:val="000000" w:themeColor="text1"/>
          <w:sz w:val="16"/>
          <w:szCs w:val="16"/>
        </w:rPr>
        <w:softHyphen/>
        <w:t>дана 130-мм пушка С-26, установленная в боевую рубку ИСУ-152. Эта САУ получила индекс ИСУ-130 («Объект 250»). Чуть позднее туда же прибыла и 122-мм пушка боль</w:t>
      </w:r>
      <w:r w:rsidRPr="007224C3">
        <w:rPr>
          <w:rFonts w:ascii="Times New Roman" w:hAnsi="Times New Roman"/>
          <w:color w:val="000000" w:themeColor="text1"/>
          <w:sz w:val="16"/>
          <w:szCs w:val="16"/>
        </w:rPr>
        <w:softHyphen/>
        <w:t>шой мощности С-26-1, установка которой в рубке ИСУ-152 получила индекс ИСУ-122-3 («Объект 251»). Обе САУ кон</w:t>
      </w:r>
      <w:r w:rsidRPr="007224C3">
        <w:rPr>
          <w:rFonts w:ascii="Times New Roman" w:hAnsi="Times New Roman"/>
          <w:color w:val="000000" w:themeColor="text1"/>
          <w:sz w:val="16"/>
          <w:szCs w:val="16"/>
        </w:rPr>
        <w:softHyphen/>
        <w:t>структивно были близки и отличались, главным образом, только артиллерийской частью. По требованиям Главного артуправления они несли систему продувки канала ствола, которая (в отличие от предшественников ИСУ-122-1 и ИСУ-152-1) была чисто баллонной (продувка осуществля</w:t>
      </w:r>
      <w:r w:rsidRPr="007224C3">
        <w:rPr>
          <w:rFonts w:ascii="Times New Roman" w:hAnsi="Times New Roman"/>
          <w:color w:val="000000" w:themeColor="text1"/>
          <w:sz w:val="16"/>
          <w:szCs w:val="16"/>
        </w:rPr>
        <w:softHyphen/>
        <w:t>лась от воздушных баллонов системы запуска). Это упроща</w:t>
      </w:r>
      <w:r w:rsidRPr="007224C3">
        <w:rPr>
          <w:rFonts w:ascii="Times New Roman" w:hAnsi="Times New Roman"/>
          <w:color w:val="000000" w:themeColor="text1"/>
          <w:sz w:val="16"/>
          <w:szCs w:val="16"/>
        </w:rPr>
        <w:softHyphen/>
        <w:t>ло конструкцию машины, но создавало проблемы с запус</w:t>
      </w:r>
      <w:r w:rsidRPr="007224C3">
        <w:rPr>
          <w:rFonts w:ascii="Times New Roman" w:hAnsi="Times New Roman"/>
          <w:color w:val="000000" w:themeColor="text1"/>
          <w:sz w:val="16"/>
          <w:szCs w:val="16"/>
        </w:rPr>
        <w:softHyphen/>
        <w:t>ком двигателя после интенсивных стрельб. В ноябре—декаб</w:t>
      </w:r>
      <w:r w:rsidRPr="007224C3">
        <w:rPr>
          <w:rFonts w:ascii="Times New Roman" w:hAnsi="Times New Roman"/>
          <w:color w:val="000000" w:themeColor="text1"/>
          <w:sz w:val="16"/>
          <w:szCs w:val="16"/>
        </w:rPr>
        <w:softHyphen/>
        <w:t>ре 1944 г. самоходные установки прошли испытания на Горо-ховецком полигоне, которые показали большое количество недоработок у первой в плане надежности функционирова</w:t>
      </w:r>
      <w:r w:rsidRPr="007224C3">
        <w:rPr>
          <w:rFonts w:ascii="Times New Roman" w:hAnsi="Times New Roman"/>
          <w:color w:val="000000" w:themeColor="text1"/>
          <w:sz w:val="16"/>
          <w:szCs w:val="16"/>
        </w:rPr>
        <w:softHyphen/>
        <w:t>ния противооткатных приспособлений и сопутствующих механизмов, у второй — из-за низкой живучести ствола.</w:t>
      </w:r>
    </w:p>
    <w:p w14:paraId="122A5131" w14:textId="77777777" w:rsidR="00801247" w:rsidRPr="007224C3" w:rsidRDefault="00801247"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Доработка пушек по замечаниям комиссии, несмотря на «зеленую улицу», которая была открыта им, продлилась до июня 1945 г., но по окончании войны они так и не были приняты на вооружение (11417).</w:t>
      </w:r>
    </w:p>
    <w:p w14:paraId="7C7985AF" w14:textId="77777777" w:rsidR="00801247" w:rsidRPr="007224C3" w:rsidRDefault="00801247"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0A9650" w14:textId="77777777" w:rsidR="00801247" w:rsidRPr="007224C3" w:rsidRDefault="00801247" w:rsidP="007224C3">
      <w:pPr>
        <w:pStyle w:val="a3"/>
        <w:rPr>
          <w:color w:val="000000" w:themeColor="text1"/>
          <w:lang w:val="ru-RU"/>
        </w:rPr>
      </w:pPr>
      <w:r w:rsidRPr="007224C3">
        <w:rPr>
          <w:color w:val="000000" w:themeColor="text1"/>
          <w:lang w:val="ru-RU"/>
        </w:rPr>
        <w:t>Летом 1944 года была изготовлена С-59 — самоходная уста</w:t>
      </w:r>
      <w:r w:rsidRPr="007224C3">
        <w:rPr>
          <w:color w:val="000000" w:themeColor="text1"/>
          <w:lang w:val="ru-RU"/>
        </w:rPr>
        <w:softHyphen/>
        <w:t xml:space="preserve">новка, вооруженная 152-мм пушкой большой мощности БР-2. Для ее изготовления был использован ремонтный </w:t>
      </w:r>
      <w:r w:rsidRPr="007224C3">
        <w:rPr>
          <w:color w:val="000000" w:themeColor="text1"/>
        </w:rPr>
        <w:t>KB</w:t>
      </w:r>
      <w:r w:rsidRPr="007224C3">
        <w:rPr>
          <w:color w:val="000000" w:themeColor="text1"/>
          <w:lang w:val="ru-RU"/>
        </w:rPr>
        <w:t>-1С с серийным номе</w:t>
      </w:r>
      <w:r w:rsidRPr="007224C3">
        <w:rPr>
          <w:color w:val="000000" w:themeColor="text1"/>
          <w:lang w:val="ru-RU"/>
        </w:rPr>
        <w:softHyphen/>
        <w:t>ром корпуса 30164 и номером двигателя 309512, сданный ремзаводом №1 29 октября 1943 года. Переделки носили минимальный характер, поскольку БР-2 и Б-4 были унифицированы. Согласно документам, в конце августа 1944 года С-59 допустили до полигонных испытаний.</w:t>
      </w:r>
    </w:p>
    <w:p w14:paraId="7A35721F" w14:textId="77777777" w:rsidR="00801247" w:rsidRPr="007224C3" w:rsidRDefault="00801247" w:rsidP="007224C3">
      <w:pPr>
        <w:pStyle w:val="a3"/>
        <w:rPr>
          <w:color w:val="000000" w:themeColor="text1"/>
          <w:lang w:val="ru-RU"/>
        </w:rPr>
      </w:pPr>
      <w:r w:rsidRPr="007224C3">
        <w:rPr>
          <w:color w:val="000000" w:themeColor="text1"/>
          <w:lang w:val="ru-RU"/>
        </w:rPr>
        <w:t xml:space="preserve">Испытания С-59, впрочем, носили скорее академический характер, поскольку базу </w:t>
      </w:r>
      <w:r w:rsidRPr="007224C3">
        <w:rPr>
          <w:color w:val="000000" w:themeColor="text1"/>
        </w:rPr>
        <w:t>KB</w:t>
      </w:r>
      <w:r w:rsidRPr="007224C3">
        <w:rPr>
          <w:color w:val="000000" w:themeColor="text1"/>
          <w:lang w:val="ru-RU"/>
        </w:rPr>
        <w:t>-1С забраковали. Логичным решением, на котором остановились еще в конце июля 1944 года, стала замена шасси КВ-1 на ИС. Кроме того, ленинградский филиал ЦАКБ 29 июля предложил проект установки 210-мм пушки БР-17 или 305-мм гаубицы БР-18 на спаренном шасси танка Т-34. Данный проект был создан в качестве альтернативного решения. Согласно документам, нарком вооружения Устинов предлагал составить на данную машину тактико-технические требования, но дальше эскизного проекта дело не пошло.</w:t>
      </w:r>
    </w:p>
    <w:p w14:paraId="6F680126" w14:textId="77777777" w:rsidR="00801247" w:rsidRPr="007224C3" w:rsidRDefault="00801247" w:rsidP="007224C3">
      <w:pPr>
        <w:pStyle w:val="a3"/>
        <w:rPr>
          <w:color w:val="000000" w:themeColor="text1"/>
          <w:lang w:val="ru-RU"/>
        </w:rPr>
      </w:pPr>
      <w:r w:rsidRPr="007224C3">
        <w:rPr>
          <w:color w:val="000000" w:themeColor="text1"/>
          <w:lang w:val="ru-RU"/>
        </w:rPr>
        <w:t>14 августа председателем Артиллерийского комитета ГАУ КА были утверждены тактико-технические требования «на 203-мм самодвижущу</w:t>
      </w:r>
      <w:r w:rsidRPr="007224C3">
        <w:rPr>
          <w:color w:val="000000" w:themeColor="text1"/>
          <w:lang w:val="ru-RU"/>
        </w:rPr>
        <w:softHyphen/>
        <w:t>юся гаубицу и 152-мм самодвижущуюся пушку на базе тяжелого танка ИС». Следует отметить, что смена базы была не единственным измене</w:t>
      </w:r>
      <w:r w:rsidRPr="007224C3">
        <w:rPr>
          <w:color w:val="000000" w:themeColor="text1"/>
          <w:lang w:val="ru-RU"/>
        </w:rPr>
        <w:softHyphen/>
        <w:t>нием конструкции перспективной самоходной установки. В качестве орудия самообороны САУ предполагалось оснастить турельной установ</w:t>
      </w:r>
      <w:r w:rsidRPr="007224C3">
        <w:rPr>
          <w:color w:val="000000" w:themeColor="text1"/>
          <w:lang w:val="ru-RU"/>
        </w:rPr>
        <w:softHyphen/>
        <w:t>кой пулемета ДШК (боезапас 1000 патронов), также в состав вооружения входило 2 пулемета ДП (боезапас 2520 патронов), 4 пистолета-пулемета П ПШ (боезапас 4000 патронов) и 25 гранат Ф-1. Экипаж увеличивался до 10 человек, а боезапас с 12 до 15 выстрелов к Б-4 ил и 25 выстрелов к БР-2.</w:t>
      </w:r>
    </w:p>
    <w:p w14:paraId="0401129C" w14:textId="77777777" w:rsidR="00801247" w:rsidRPr="007224C3" w:rsidRDefault="00801247" w:rsidP="007224C3">
      <w:pPr>
        <w:pStyle w:val="a3"/>
        <w:rPr>
          <w:color w:val="000000" w:themeColor="text1"/>
          <w:lang w:val="ru-RU"/>
        </w:rPr>
      </w:pPr>
      <w:r w:rsidRPr="007224C3">
        <w:rPr>
          <w:color w:val="000000" w:themeColor="text1"/>
          <w:lang w:val="ru-RU"/>
        </w:rPr>
        <w:t>22 сентября начальник ГАУ КА маршал артиллерии Яковлев напи</w:t>
      </w:r>
      <w:r w:rsidRPr="007224C3">
        <w:rPr>
          <w:color w:val="000000" w:themeColor="text1"/>
          <w:lang w:val="ru-RU"/>
        </w:rPr>
        <w:softHyphen/>
        <w:t>сал докладную записку Берии. В ней он предлагал рассмотреть вопрос об организации серийного производства переработанной версии САУ, которая отныне базировалась на шасси танка ИС. Кроме того, в докла</w:t>
      </w:r>
      <w:r w:rsidRPr="007224C3">
        <w:rPr>
          <w:color w:val="000000" w:themeColor="text1"/>
          <w:lang w:val="ru-RU"/>
        </w:rPr>
        <w:softHyphen/>
        <w:t>де проясняются некоторые подробности относительно работ по пере</w:t>
      </w:r>
      <w:r w:rsidRPr="007224C3">
        <w:rPr>
          <w:color w:val="000000" w:themeColor="text1"/>
          <w:lang w:val="ru-RU"/>
        </w:rPr>
        <w:softHyphen/>
        <w:t>работанному проекту:</w:t>
      </w:r>
    </w:p>
    <w:p w14:paraId="38338B44" w14:textId="77777777" w:rsidR="00801247" w:rsidRPr="007224C3" w:rsidRDefault="00801247" w:rsidP="007224C3">
      <w:pPr>
        <w:pStyle w:val="Bodytext141"/>
        <w:shd w:val="clear" w:color="auto" w:fill="auto"/>
        <w:spacing w:line="240" w:lineRule="auto"/>
        <w:ind w:firstLine="0"/>
        <w:jc w:val="both"/>
        <w:rPr>
          <w:i w:val="0"/>
          <w:color w:val="000000" w:themeColor="text1"/>
          <w:sz w:val="16"/>
          <w:szCs w:val="16"/>
        </w:rPr>
      </w:pPr>
      <w:r w:rsidRPr="007224C3">
        <w:rPr>
          <w:i w:val="0"/>
          <w:color w:val="000000" w:themeColor="text1"/>
          <w:sz w:val="16"/>
          <w:szCs w:val="16"/>
        </w:rPr>
        <w:t>«27 июля сего года №623605сс мною докладывался Вам вопрос об изго</w:t>
      </w:r>
      <w:r w:rsidRPr="007224C3">
        <w:rPr>
          <w:i w:val="0"/>
          <w:color w:val="000000" w:themeColor="text1"/>
          <w:sz w:val="16"/>
          <w:szCs w:val="16"/>
        </w:rPr>
        <w:softHyphen/>
        <w:t>товлении серии 203-мм самодвижущихся гаубиц, установка которых раз</w:t>
      </w:r>
      <w:r w:rsidRPr="007224C3">
        <w:rPr>
          <w:i w:val="0"/>
          <w:color w:val="000000" w:themeColor="text1"/>
          <w:sz w:val="16"/>
          <w:szCs w:val="16"/>
        </w:rPr>
        <w:softHyphen/>
        <w:t>работана ЦАКБ НКВ (т. Грабин).</w:t>
      </w:r>
    </w:p>
    <w:p w14:paraId="2C728A11" w14:textId="77777777" w:rsidR="00801247" w:rsidRPr="007224C3" w:rsidRDefault="00801247" w:rsidP="007224C3">
      <w:pPr>
        <w:pStyle w:val="Bodytext141"/>
        <w:shd w:val="clear" w:color="auto" w:fill="auto"/>
        <w:spacing w:line="240" w:lineRule="auto"/>
        <w:ind w:firstLine="0"/>
        <w:jc w:val="both"/>
        <w:rPr>
          <w:i w:val="0"/>
          <w:color w:val="000000" w:themeColor="text1"/>
          <w:sz w:val="16"/>
          <w:szCs w:val="16"/>
        </w:rPr>
      </w:pPr>
      <w:r w:rsidRPr="007224C3">
        <w:rPr>
          <w:i w:val="0"/>
          <w:color w:val="000000" w:themeColor="text1"/>
          <w:sz w:val="16"/>
          <w:szCs w:val="16"/>
        </w:rPr>
        <w:t>В соответствии с Вашим указанием намоем докладе, этот вопрос был совместно обсужден с НКВ, НКТП и ГБТУ.</w:t>
      </w:r>
    </w:p>
    <w:p w14:paraId="41278A43" w14:textId="77777777" w:rsidR="00801247" w:rsidRPr="007224C3" w:rsidRDefault="00801247" w:rsidP="007224C3">
      <w:pPr>
        <w:pStyle w:val="Bodytext141"/>
        <w:shd w:val="clear" w:color="auto" w:fill="auto"/>
        <w:spacing w:line="240" w:lineRule="auto"/>
        <w:ind w:firstLine="0"/>
        <w:jc w:val="both"/>
        <w:rPr>
          <w:i w:val="0"/>
          <w:color w:val="000000" w:themeColor="text1"/>
          <w:sz w:val="16"/>
          <w:szCs w:val="16"/>
        </w:rPr>
      </w:pPr>
      <w:r w:rsidRPr="007224C3">
        <w:rPr>
          <w:i w:val="0"/>
          <w:color w:val="000000" w:themeColor="text1"/>
          <w:sz w:val="16"/>
          <w:szCs w:val="16"/>
        </w:rPr>
        <w:t>В результате совещания принято решение, что установка 203-мм га</w:t>
      </w:r>
      <w:r w:rsidRPr="007224C3">
        <w:rPr>
          <w:i w:val="0"/>
          <w:color w:val="000000" w:themeColor="text1"/>
          <w:sz w:val="16"/>
          <w:szCs w:val="16"/>
        </w:rPr>
        <w:softHyphen/>
        <w:t>убицы на шасси танка "</w:t>
      </w:r>
      <w:r w:rsidRPr="007224C3">
        <w:rPr>
          <w:i w:val="0"/>
          <w:color w:val="000000" w:themeColor="text1"/>
          <w:sz w:val="16"/>
          <w:szCs w:val="16"/>
          <w:lang w:val="en-US"/>
        </w:rPr>
        <w:t>KB</w:t>
      </w:r>
      <w:r w:rsidRPr="007224C3">
        <w:rPr>
          <w:i w:val="0"/>
          <w:color w:val="000000" w:themeColor="text1"/>
          <w:sz w:val="16"/>
          <w:szCs w:val="16"/>
        </w:rPr>
        <w:t>" не вполне рациональна ввиду недостаточного количества этого шасси и значительной перегрузки его. Более целесоо</w:t>
      </w:r>
      <w:r w:rsidRPr="007224C3">
        <w:rPr>
          <w:i w:val="0"/>
          <w:color w:val="000000" w:themeColor="text1"/>
          <w:sz w:val="16"/>
          <w:szCs w:val="16"/>
        </w:rPr>
        <w:softHyphen/>
        <w:t>бразно эту гаубицу устанавливать на шасси танка ИС, состоящего на производстве.</w:t>
      </w:r>
    </w:p>
    <w:p w14:paraId="24F00F3F" w14:textId="77777777" w:rsidR="00801247" w:rsidRPr="007224C3" w:rsidRDefault="00801247" w:rsidP="007224C3">
      <w:pPr>
        <w:pStyle w:val="Bodytext141"/>
        <w:shd w:val="clear" w:color="auto" w:fill="auto"/>
        <w:spacing w:line="240" w:lineRule="auto"/>
        <w:ind w:firstLine="0"/>
        <w:jc w:val="both"/>
        <w:rPr>
          <w:i w:val="0"/>
          <w:color w:val="000000" w:themeColor="text1"/>
          <w:sz w:val="16"/>
          <w:szCs w:val="16"/>
        </w:rPr>
      </w:pPr>
      <w:r w:rsidRPr="007224C3">
        <w:rPr>
          <w:i w:val="0"/>
          <w:color w:val="000000" w:themeColor="text1"/>
          <w:sz w:val="16"/>
          <w:szCs w:val="16"/>
        </w:rPr>
        <w:t>На основании этого решения ГАУ высланы НКВ и НКТП тактико- технические требования на 203-мм самодвижущуюся гаубицу, устанав</w:t>
      </w:r>
      <w:r w:rsidRPr="007224C3">
        <w:rPr>
          <w:i w:val="0"/>
          <w:color w:val="000000" w:themeColor="text1"/>
          <w:sz w:val="16"/>
          <w:szCs w:val="16"/>
        </w:rPr>
        <w:softHyphen/>
        <w:t>ливаемую на шасси танка «ИС», а Наркоматами даны соответствующие указания ПАКБ и заводу №100 о разработке проекта.</w:t>
      </w:r>
    </w:p>
    <w:p w14:paraId="2885B4BC" w14:textId="77777777" w:rsidR="00801247" w:rsidRPr="007224C3" w:rsidRDefault="00801247" w:rsidP="007224C3">
      <w:pPr>
        <w:pStyle w:val="Bodytext141"/>
        <w:shd w:val="clear" w:color="auto" w:fill="auto"/>
        <w:spacing w:line="240" w:lineRule="auto"/>
        <w:ind w:firstLine="0"/>
        <w:jc w:val="both"/>
        <w:rPr>
          <w:i w:val="0"/>
          <w:color w:val="000000" w:themeColor="text1"/>
          <w:sz w:val="16"/>
          <w:szCs w:val="16"/>
        </w:rPr>
      </w:pPr>
      <w:r w:rsidRPr="007224C3">
        <w:rPr>
          <w:i w:val="0"/>
          <w:color w:val="000000" w:themeColor="text1"/>
          <w:sz w:val="16"/>
          <w:szCs w:val="16"/>
        </w:rPr>
        <w:t>Так как ГБТУ не имеет потребности в этом роде вооружения для тан</w:t>
      </w:r>
      <w:r w:rsidRPr="007224C3">
        <w:rPr>
          <w:i w:val="0"/>
          <w:color w:val="000000" w:themeColor="text1"/>
          <w:sz w:val="16"/>
          <w:szCs w:val="16"/>
        </w:rPr>
        <w:softHyphen/>
        <w:t>ковых войск, то и интереса к созданию 203-мм самодвижущейся гаубицы не проявляет и, наоборот, считает, что использование бронированного шасси для указанной цели нецелесообразно.</w:t>
      </w:r>
    </w:p>
    <w:p w14:paraId="2C7369C3" w14:textId="77777777" w:rsidR="00801247" w:rsidRPr="007224C3" w:rsidRDefault="00801247" w:rsidP="007224C3">
      <w:pPr>
        <w:pStyle w:val="Bodytext141"/>
        <w:shd w:val="clear" w:color="auto" w:fill="auto"/>
        <w:spacing w:line="240" w:lineRule="auto"/>
        <w:ind w:firstLine="0"/>
        <w:jc w:val="both"/>
        <w:rPr>
          <w:i w:val="0"/>
          <w:color w:val="000000" w:themeColor="text1"/>
          <w:sz w:val="16"/>
          <w:szCs w:val="16"/>
        </w:rPr>
      </w:pPr>
      <w:r w:rsidRPr="007224C3">
        <w:rPr>
          <w:i w:val="0"/>
          <w:color w:val="000000" w:themeColor="text1"/>
          <w:sz w:val="16"/>
          <w:szCs w:val="16"/>
        </w:rPr>
        <w:t>Этого же мнения придерживается и НКТП.</w:t>
      </w:r>
    </w:p>
    <w:p w14:paraId="62AD3308" w14:textId="77777777" w:rsidR="00801247" w:rsidRPr="007224C3" w:rsidRDefault="00801247" w:rsidP="007224C3">
      <w:pPr>
        <w:pStyle w:val="Bodytext141"/>
        <w:shd w:val="clear" w:color="auto" w:fill="auto"/>
        <w:spacing w:line="240" w:lineRule="auto"/>
        <w:ind w:firstLine="0"/>
        <w:jc w:val="both"/>
        <w:rPr>
          <w:i w:val="0"/>
          <w:color w:val="000000" w:themeColor="text1"/>
          <w:sz w:val="16"/>
          <w:szCs w:val="16"/>
        </w:rPr>
      </w:pPr>
      <w:r w:rsidRPr="007224C3">
        <w:rPr>
          <w:i w:val="0"/>
          <w:color w:val="000000" w:themeColor="text1"/>
          <w:sz w:val="16"/>
          <w:szCs w:val="16"/>
        </w:rPr>
        <w:t>Из-за наличия такого мнения работа по созданию этого вооружения затягивается, несмотря на формальное указание со стороны НКТП заво</w:t>
      </w:r>
      <w:r w:rsidRPr="007224C3">
        <w:rPr>
          <w:i w:val="0"/>
          <w:color w:val="000000" w:themeColor="text1"/>
          <w:sz w:val="16"/>
          <w:szCs w:val="16"/>
        </w:rPr>
        <w:softHyphen/>
        <w:t>ду №100 заняться проработкой проекта.</w:t>
      </w:r>
    </w:p>
    <w:p w14:paraId="298BA7E7" w14:textId="77777777" w:rsidR="00801247" w:rsidRPr="007224C3" w:rsidRDefault="00801247" w:rsidP="007224C3">
      <w:pPr>
        <w:pStyle w:val="27"/>
        <w:shd w:val="clear" w:color="auto" w:fill="auto"/>
        <w:spacing w:after="0" w:line="240" w:lineRule="auto"/>
        <w:ind w:firstLine="0"/>
        <w:rPr>
          <w:rFonts w:ascii="Times New Roman" w:cs="Times New Roman"/>
          <w:color w:val="000000" w:themeColor="text1"/>
          <w:spacing w:val="0"/>
        </w:rPr>
      </w:pPr>
      <w:r w:rsidRPr="007224C3">
        <w:rPr>
          <w:rFonts w:ascii="Times New Roman" w:cs="Times New Roman"/>
          <w:color w:val="000000" w:themeColor="text1"/>
          <w:spacing w:val="0"/>
        </w:rPr>
        <w:t>ГАУ вполне согласно, что столь сильного бронирования, какое имеет танк "ИС", для самодвижущегося орудия не нужно, и, предлагая исполь</w:t>
      </w:r>
      <w:r w:rsidRPr="007224C3">
        <w:rPr>
          <w:rFonts w:ascii="Times New Roman" w:cs="Times New Roman"/>
          <w:color w:val="000000" w:themeColor="text1"/>
          <w:spacing w:val="0"/>
        </w:rPr>
        <w:softHyphen/>
        <w:t>зование танка "ИС", имеет в виду возможность быстрого получения этого вида вооружения на базе существующего валового производства (17484).</w:t>
      </w:r>
    </w:p>
    <w:p w14:paraId="6DB51544" w14:textId="77777777" w:rsidR="00801247" w:rsidRPr="007224C3" w:rsidRDefault="00801247" w:rsidP="007224C3">
      <w:pPr>
        <w:pStyle w:val="27"/>
        <w:shd w:val="clear" w:color="auto" w:fill="auto"/>
        <w:spacing w:after="0" w:line="240" w:lineRule="auto"/>
        <w:ind w:firstLine="0"/>
        <w:rPr>
          <w:rFonts w:ascii="Times New Roman" w:cs="Times New Roman"/>
          <w:color w:val="000000" w:themeColor="text1"/>
          <w:spacing w:val="0"/>
        </w:rPr>
      </w:pPr>
    </w:p>
    <w:p w14:paraId="56FDD56D" w14:textId="77777777" w:rsidR="00801247" w:rsidRPr="007224C3" w:rsidRDefault="00801247" w:rsidP="007224C3">
      <w:pPr>
        <w:pStyle w:val="ae"/>
        <w:shd w:val="clear" w:color="auto" w:fill="FFFFFF"/>
        <w:spacing w:before="0" w:after="0"/>
        <w:jc w:val="both"/>
        <w:rPr>
          <w:color w:val="000000" w:themeColor="text1"/>
          <w:sz w:val="16"/>
          <w:szCs w:val="16"/>
        </w:rPr>
      </w:pPr>
      <w:r w:rsidRPr="007224C3">
        <w:rPr>
          <w:color w:val="000000" w:themeColor="text1"/>
          <w:sz w:val="16"/>
          <w:szCs w:val="16"/>
        </w:rPr>
        <w:t>Летом 1944 года ленинградский филиал ЦАКБ разработал Проект САУ с 210-мм орудием БР-17 на сочленённом шасси Т-34. Он представлял собой установку 210-мм пушки БР-17 или 305-мм гаубицы БР-18 на сочленённом шасси Т-34. Экипаж при этом размещался в кабине, находящейся в носовой части машины. Проект был создан как альтернативный для С-51. Нарком вооружения Устинов предлагал составить на данную машину тактико-технические требования, но дальше эскизного проекта дело не пошло (18075).</w:t>
      </w:r>
    </w:p>
    <w:p w14:paraId="62F19D06" w14:textId="77777777" w:rsidR="00801247" w:rsidRPr="007224C3" w:rsidRDefault="00801247" w:rsidP="007224C3">
      <w:pPr>
        <w:pStyle w:val="ae"/>
        <w:shd w:val="clear" w:color="auto" w:fill="FFFFFF"/>
        <w:spacing w:before="0" w:after="0"/>
        <w:jc w:val="both"/>
        <w:rPr>
          <w:color w:val="000000" w:themeColor="text1"/>
          <w:sz w:val="16"/>
          <w:szCs w:val="16"/>
        </w:rPr>
      </w:pPr>
    </w:p>
    <w:p w14:paraId="6A21D4A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Летом 1944 года был выпущен третий опытный образец самоходной установки ЗСУ-37, на котором была вновь использована силовая установка СУ-76М. В октябре - ноябре 1944 г. этот опытный образец успешно прошел полигонные испытания и был рекомендован к принятию на вооружение РККА. В 1945 - 1948 гг. ЗСУ производилась на заводе № 40 в г. Мытищи Московской области. В 1945 г. было изго</w:t>
      </w:r>
      <w:r w:rsidRPr="007224C3">
        <w:rPr>
          <w:rFonts w:ascii="Times New Roman" w:hAnsi="Times New Roman"/>
          <w:color w:val="000000" w:themeColor="text1"/>
          <w:sz w:val="16"/>
          <w:szCs w:val="16"/>
        </w:rPr>
        <w:softHyphen/>
        <w:t>товлено 12 самоходных установок ЗСУ-37 (10703).</w:t>
      </w:r>
    </w:p>
    <w:p w14:paraId="2EE7227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212FD9"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Летом 1944 г. в КБ завода № 100 под руководством Ж.Я. Котина была разработана самоходная установка ИСУ-122БМ (ИСУ-122-3) ("Объект 251"). Опытный образец самоходной установки, который имел завод</w:t>
      </w:r>
      <w:r w:rsidRPr="007224C3">
        <w:rPr>
          <w:rFonts w:ascii="Times New Roman" w:hAnsi="Times New Roman"/>
          <w:color w:val="000000" w:themeColor="text1"/>
          <w:sz w:val="16"/>
          <w:szCs w:val="16"/>
        </w:rPr>
        <w:softHyphen/>
        <w:t>ское обозначение "Объект 251", был изготовлен осенью того же года и в ноябре 1944 г. был представлен на полигонные испытания, которые не выдержал из-за неудовлетворительной живучести ствола. Доработка ствола по замечаниям комиссии была завершена лишь в июне 1945 г., тогда же планировалось провести повторные предварительные испыта</w:t>
      </w:r>
      <w:r w:rsidRPr="007224C3">
        <w:rPr>
          <w:rFonts w:ascii="Times New Roman" w:hAnsi="Times New Roman"/>
          <w:color w:val="000000" w:themeColor="text1"/>
          <w:sz w:val="16"/>
          <w:szCs w:val="16"/>
        </w:rPr>
        <w:softHyphen/>
        <w:t>ния. На вооружение и в серийное производство установка ИСУ-122-3 не принималась (10703).</w:t>
      </w:r>
    </w:p>
    <w:p w14:paraId="3835A02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646CFED" w14:textId="77777777" w:rsidR="0035381F" w:rsidRPr="007224C3" w:rsidRDefault="0035381F"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shd w:val="clear" w:color="auto" w:fill="FFFFFF"/>
        </w:rPr>
        <w:t>С лета 1944 года ИСУ-122 дебютировавшие в операции "Багратион" и стали участниками большинства боевых операций Красной Армии. Вместе с тем, машина так и осталась в тени ИСУ-152, на базе которой была создана. Кроме того, из армии ИСУ-122 исчезла куда раньше, а до наших дней их сохранилось куда меньше. Кроме того, относительно того, как именно появилась данная машина, существует "каноничная" версия от том, что якобы шасси ИСУ-152 оказалось больше, чем орудий МЛ-20. Поэтому и было принято решение поставить на ИСУ-152 орудие А-19, которое было на том же лафете, что и МЛ-20. Возникают споры о том, почему "непонимающие военные" не могли решить запустить выпуск ИСУ-122 раньше. Одним словом, по поводу ИСУ-122 есть достаточное количество спорных тем (20289).</w:t>
      </w:r>
      <w:r w:rsidRPr="007224C3">
        <w:rPr>
          <w:rFonts w:ascii="Times New Roman" w:hAnsi="Times New Roman"/>
          <w:color w:val="0070C0"/>
          <w:sz w:val="16"/>
          <w:szCs w:val="16"/>
        </w:rPr>
        <w:t xml:space="preserve"> </w:t>
      </w:r>
    </w:p>
    <w:p w14:paraId="45A3A218" w14:textId="77777777" w:rsidR="0035381F" w:rsidRPr="007224C3" w:rsidRDefault="0035381F" w:rsidP="007224C3">
      <w:pPr>
        <w:spacing w:after="0" w:line="240" w:lineRule="auto"/>
        <w:jc w:val="both"/>
        <w:rPr>
          <w:rFonts w:ascii="Times New Roman" w:hAnsi="Times New Roman"/>
          <w:color w:val="0070C0"/>
          <w:sz w:val="16"/>
          <w:szCs w:val="16"/>
        </w:rPr>
      </w:pPr>
    </w:p>
    <w:p w14:paraId="7C4CD50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Летом 1944 г. ОКБ завода № 9 предложило для вооружения опытно</w:t>
      </w:r>
      <w:r w:rsidRPr="007224C3">
        <w:rPr>
          <w:rFonts w:ascii="Times New Roman" w:hAnsi="Times New Roman"/>
          <w:color w:val="000000" w:themeColor="text1"/>
          <w:sz w:val="16"/>
          <w:szCs w:val="16"/>
        </w:rPr>
        <w:softHyphen/>
        <w:t>го танка ИС-6 ("Объект 252") 122-мм пушку Д-30, которая также имела досылатель и механизм продувки канала ствола после выстрела сжатым воздухом, но не требовала перекомпоновки боевого отделения танка. В связи с более высокой стоимостью пушки Д-30 по сравнению со стои</w:t>
      </w:r>
      <w:r w:rsidRPr="007224C3">
        <w:rPr>
          <w:rFonts w:ascii="Times New Roman" w:hAnsi="Times New Roman"/>
          <w:color w:val="000000" w:themeColor="text1"/>
          <w:sz w:val="16"/>
          <w:szCs w:val="16"/>
        </w:rPr>
        <w:softHyphen/>
        <w:t>мостью пушки Д-25Т она не была принята на вооружение. В целях дальнейшего усиления огневой мощи средних танков, в на</w:t>
      </w:r>
      <w:r w:rsidRPr="007224C3">
        <w:rPr>
          <w:rFonts w:ascii="Times New Roman" w:hAnsi="Times New Roman"/>
          <w:color w:val="000000" w:themeColor="text1"/>
          <w:sz w:val="16"/>
          <w:szCs w:val="16"/>
        </w:rPr>
        <w:softHyphen/>
        <w:t>чале 1945 г. завод № 183 изготовил и испытал опытный образец средне</w:t>
      </w:r>
      <w:r w:rsidRPr="007224C3">
        <w:rPr>
          <w:rFonts w:ascii="Times New Roman" w:hAnsi="Times New Roman"/>
          <w:color w:val="000000" w:themeColor="text1"/>
          <w:sz w:val="16"/>
          <w:szCs w:val="16"/>
        </w:rPr>
        <w:softHyphen/>
        <w:t>го танка со 100-мм пушкой ЛБ-1, разработанной заводом № 92. В фев</w:t>
      </w:r>
      <w:r w:rsidRPr="007224C3">
        <w:rPr>
          <w:rFonts w:ascii="Times New Roman" w:hAnsi="Times New Roman"/>
          <w:color w:val="000000" w:themeColor="text1"/>
          <w:sz w:val="16"/>
          <w:szCs w:val="16"/>
        </w:rPr>
        <w:softHyphen/>
        <w:t>рале 1945 г. завод № 9 спроектировал и изготовил 100-мм нарезную пушку Д- ЮТ, которая в марте того же года была установлена в опытный танк Т-34-100 вместо пушки ЛБ-1. Обе пушки испытания выдержали, причем лучшие результаты по удобству обслуживания и отработке от</w:t>
      </w:r>
      <w:r w:rsidRPr="007224C3">
        <w:rPr>
          <w:rFonts w:ascii="Times New Roman" w:hAnsi="Times New Roman"/>
          <w:color w:val="000000" w:themeColor="text1"/>
          <w:sz w:val="16"/>
          <w:szCs w:val="16"/>
        </w:rPr>
        <w:softHyphen/>
        <w:t>дельных узлов показала пушка ЛБ-1. Сравнительные испытания пушек продолжались на опытных средних танках Т-44-100, в результате чего предпочтение было отдано пушке Д-10Т, не имевшей дульного тормоза и наилучшим образом подходившей для вооружения перспективного в то время танка Т-54 910703).</w:t>
      </w:r>
    </w:p>
    <w:p w14:paraId="2A961D01"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BE37BB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Летом 1944 г. в конструкторском бюро Опытного завода № 100 в Челябинске под руководством А.С. Ермолаева был разработан Танк ИС-2 (ИС-122) обр. 1944 г., который являлся дальнейшим развитием танка ИС-2 обр. 1943 г. в отношении улучшения конструкции броневой защиты и повышения надежности работы узлов и агрегатов силовой ус</w:t>
      </w:r>
      <w:r w:rsidRPr="007224C3">
        <w:rPr>
          <w:rFonts w:ascii="Times New Roman" w:hAnsi="Times New Roman"/>
          <w:color w:val="000000" w:themeColor="text1"/>
          <w:sz w:val="16"/>
          <w:szCs w:val="16"/>
        </w:rPr>
        <w:softHyphen/>
        <w:t>тановки, трансмиссии и ходовой части танка. Общее руководство осуществлял Ж.Я. Котин. Ведущим инженером машины был Н.Ф. Шашмурин. Танк был принят на вооружение и серийно выпускался на ЧКЗ в период с июня 1944 г. по май 1945 г. Всего заводом было выпущено 2525 машин данной модификации. Еще по 5 танков было собрано в марте и июне 1945 г. на восстанавливавшемся ЛКЗ. Танки широко применялись в третьем периоде Великой Отечественной войны. После Великой Отече</w:t>
      </w:r>
      <w:r w:rsidRPr="007224C3">
        <w:rPr>
          <w:rFonts w:ascii="Times New Roman" w:hAnsi="Times New Roman"/>
          <w:color w:val="000000" w:themeColor="text1"/>
          <w:sz w:val="16"/>
          <w:szCs w:val="16"/>
        </w:rPr>
        <w:softHyphen/>
        <w:t>ственной войны танк был модернизирован и ему была присвоена марка ИС-2М. Машина отличалась от танка ИС-2 обр. 1943 г. более мощной броне</w:t>
      </w:r>
      <w:r w:rsidRPr="007224C3">
        <w:rPr>
          <w:rFonts w:ascii="Times New Roman" w:hAnsi="Times New Roman"/>
          <w:color w:val="000000" w:themeColor="text1"/>
          <w:sz w:val="16"/>
          <w:szCs w:val="16"/>
        </w:rPr>
        <w:softHyphen/>
        <w:t>вой защитой корпуса, установкой дополнительного оружия - зенитно</w:t>
      </w:r>
      <w:r w:rsidRPr="007224C3">
        <w:rPr>
          <w:rFonts w:ascii="Times New Roman" w:hAnsi="Times New Roman"/>
          <w:color w:val="000000" w:themeColor="text1"/>
          <w:sz w:val="16"/>
          <w:szCs w:val="16"/>
        </w:rPr>
        <w:softHyphen/>
        <w:t>го пулемета ДШК. Начиная с ноября 1944 г. часть танков, а с января 1945 г. каждый танк ИС-2 оснащался зенитной пулеметной установкой. Экипаж танка состоял из четырех человек (10703).</w:t>
      </w:r>
    </w:p>
    <w:p w14:paraId="410DF8D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10366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«Летом 1944 г. Ж. Котин узнал про то, что у немцев соз</w:t>
      </w:r>
      <w:r w:rsidRPr="007224C3">
        <w:rPr>
          <w:rFonts w:ascii="Times New Roman" w:hAnsi="Times New Roman"/>
          <w:color w:val="000000" w:themeColor="text1"/>
          <w:sz w:val="16"/>
          <w:szCs w:val="16"/>
        </w:rPr>
        <w:softHyphen/>
        <w:t>дается сверхтанк с броней 200-мм, вооружением 128-мм пушкой и элетротрансмиссией, и он решил сделать такой же, — говорил Л. Горлицкий, — ему не важно было, годится этот танк для промышленности или нет. Главное было понять, возможно ли сделать такой и как?». Трудно сказать, насколько прав в своих воспоминаниях главный конструктор советской самоходной артиллерии на УЗТМ (11153).</w:t>
      </w:r>
    </w:p>
    <w:p w14:paraId="1903251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8B3CFBC"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Летом 1944 г. по заданию УСА и ГАУ РККА заводом № 69 был спро</w:t>
      </w:r>
      <w:r w:rsidRPr="007224C3">
        <w:rPr>
          <w:rFonts w:ascii="Times New Roman" w:hAnsi="Times New Roman"/>
          <w:color w:val="000000" w:themeColor="text1"/>
          <w:sz w:val="16"/>
          <w:szCs w:val="16"/>
        </w:rPr>
        <w:softHyphen/>
        <w:t>ектирован и изготовлен бинокулярный шарнирный прицел ТБШ, который был установлен в опытный тяжелый танк ИС-6. На вооружение прицел не принимался из-за сложности его производства и необходимости увеличения ширины лобовой части башни (10703).</w:t>
      </w:r>
    </w:p>
    <w:p w14:paraId="15351EF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F2928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 лета 1944 г. литые башни Т-34 (особенно Т-34-85) из стали 71Л обладали довольно высокой хруп</w:t>
      </w:r>
      <w:r w:rsidRPr="007224C3">
        <w:rPr>
          <w:rFonts w:ascii="Times New Roman" w:hAnsi="Times New Roman"/>
          <w:color w:val="000000" w:themeColor="text1"/>
          <w:sz w:val="16"/>
          <w:szCs w:val="16"/>
        </w:rPr>
        <w:softHyphen/>
        <w:t>костью. Группа технологов завода № 183 и сотрудников НИИ-48 в составе А. Забайкина, В. Маратовского, И. Пачурина и М. Друяна провели исследования и, доведя в плавках уровень марганца и хрома до верхнего предела допуска, а уг</w:t>
      </w:r>
      <w:r w:rsidRPr="007224C3">
        <w:rPr>
          <w:rFonts w:ascii="Times New Roman" w:hAnsi="Times New Roman"/>
          <w:color w:val="000000" w:themeColor="text1"/>
          <w:sz w:val="16"/>
          <w:szCs w:val="16"/>
        </w:rPr>
        <w:softHyphen/>
        <w:t>лерода и кремния — до нижнего, значительно подняли вяз</w:t>
      </w:r>
      <w:r w:rsidRPr="007224C3">
        <w:rPr>
          <w:rFonts w:ascii="Times New Roman" w:hAnsi="Times New Roman"/>
          <w:color w:val="000000" w:themeColor="text1"/>
          <w:sz w:val="16"/>
          <w:szCs w:val="16"/>
        </w:rPr>
        <w:softHyphen/>
        <w:t>кость башенной брони. Если в начале 1944-го лишь 15—20% литых башен Т-34 имели нормальные вязкость, хрупкость и внешний вид (утяжины глубиной более 6 мм, раковины, выкрашивание острых граней отливок), то к концу года от 90 до 95% башен уже полностью отвечали требованиям ОТК (11135).</w:t>
      </w:r>
    </w:p>
    <w:p w14:paraId="41EBE483"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1AA5A85" w14:textId="77777777" w:rsidR="0004034B" w:rsidRPr="007224C3" w:rsidRDefault="0004034B" w:rsidP="007224C3">
      <w:pPr>
        <w:pStyle w:val="ae"/>
        <w:spacing w:before="0" w:after="0"/>
        <w:jc w:val="both"/>
        <w:textAlignment w:val="baseline"/>
        <w:rPr>
          <w:color w:val="000000" w:themeColor="text1"/>
          <w:sz w:val="16"/>
          <w:szCs w:val="16"/>
        </w:rPr>
      </w:pPr>
      <w:r w:rsidRPr="007224C3">
        <w:rPr>
          <w:color w:val="000000" w:themeColor="text1"/>
          <w:sz w:val="16"/>
          <w:szCs w:val="16"/>
        </w:rPr>
        <w:t>Летом 1944 года появилась третья альтернатива наала производства Т-44. После освобождения Харькова 23 августа 1943 года на территории, которую ранее занимали заводы №183 и №75, начались работы по организации ремонта танков. Поскольку завод №183 никто не собирался перевозить обратно, уже в начале 1944 года полуразрушенный завод получил обозначение «Завод №75 НКТП». 6 февраля 1944 года вышло постановление ГКО №5122сс, согласно которому на заводе №75 организовывался выпуск артиллерийских тягачей АТ-45. Базировался он на переделанном шасси Т-34, а для организации выпуска требовалось провести работы по хотя бы частичному восстановлению завода. Немаловажный момент – АТ-45 имел торсионную подвеску, как и Т-44. Несмотря на то, что к началу лета 1944 года завод №75 ещё находился в полуразрушенном состоянии, проведённая подготовительная работа сделала его оптимальной площадкой для организации производства Т-44 (19047).</w:t>
      </w:r>
    </w:p>
    <w:p w14:paraId="4F5F6D7E" w14:textId="77777777" w:rsidR="0004034B" w:rsidRPr="007224C3" w:rsidRDefault="0004034B" w:rsidP="007224C3">
      <w:pPr>
        <w:pStyle w:val="4d"/>
        <w:shd w:val="clear" w:color="auto" w:fill="FFFFFF"/>
        <w:spacing w:before="0" w:beforeAutospacing="0" w:after="0" w:afterAutospacing="0"/>
        <w:jc w:val="both"/>
        <w:textAlignment w:val="baseline"/>
        <w:rPr>
          <w:iCs/>
          <w:color w:val="000000" w:themeColor="text1"/>
          <w:sz w:val="16"/>
          <w:szCs w:val="16"/>
          <w:bdr w:val="none" w:sz="0" w:space="0" w:color="auto" w:frame="1"/>
        </w:rPr>
      </w:pPr>
    </w:p>
    <w:p w14:paraId="1AF85810" w14:textId="77777777" w:rsidR="0004034B" w:rsidRPr="007224C3" w:rsidRDefault="0004034B" w:rsidP="007224C3">
      <w:pPr>
        <w:pStyle w:val="4d"/>
        <w:shd w:val="clear" w:color="auto" w:fill="FFFFFF"/>
        <w:spacing w:before="0" w:beforeAutospacing="0" w:after="0" w:afterAutospacing="0"/>
        <w:jc w:val="both"/>
        <w:textAlignment w:val="baseline"/>
        <w:rPr>
          <w:iCs/>
          <w:color w:val="000000" w:themeColor="text1"/>
          <w:sz w:val="16"/>
          <w:szCs w:val="16"/>
          <w:bdr w:val="none" w:sz="0" w:space="0" w:color="auto" w:frame="1"/>
        </w:rPr>
      </w:pPr>
      <w:r w:rsidRPr="007224C3">
        <w:rPr>
          <w:iCs/>
          <w:color w:val="000000" w:themeColor="text1"/>
          <w:sz w:val="16"/>
          <w:szCs w:val="16"/>
          <w:bdr w:val="none" w:sz="0" w:space="0" w:color="auto" w:frame="1"/>
        </w:rPr>
        <w:t>Летом 1944 года в Советском Союзе было принято решение о запуске в серию среднего танка </w:t>
      </w:r>
      <w:hyperlink r:id="rId189" w:history="1">
        <w:r w:rsidRPr="007224C3">
          <w:rPr>
            <w:rStyle w:val="a5"/>
            <w:bCs/>
            <w:iCs/>
            <w:color w:val="000000" w:themeColor="text1"/>
            <w:sz w:val="16"/>
            <w:szCs w:val="16"/>
            <w:bdr w:val="none" w:sz="0" w:space="0" w:color="auto" w:frame="1"/>
          </w:rPr>
          <w:t>Т-44</w:t>
        </w:r>
      </w:hyperlink>
      <w:r w:rsidRPr="007224C3">
        <w:rPr>
          <w:iCs/>
          <w:color w:val="000000" w:themeColor="text1"/>
          <w:sz w:val="16"/>
          <w:szCs w:val="16"/>
          <w:bdr w:val="none" w:sz="0" w:space="0" w:color="auto" w:frame="1"/>
        </w:rPr>
        <w:t>. Это произошло не только до изготовления доработанного образца, получившего обозначение Т-44А, но и в момент, когда ГБТУ КА ещё не выработало тактико-технических требований к новому танку по итогам боёв первой половины 1944 года. В результате ещё до запуска в серию машина выглядела устаревшей, особенно по вооружению. Работы по модернизации пошли по двум направлениям. Первое, эволюционное, направление привело к созданию опытного танка Т-44-100. Вторым, революционным, стала глубокая модернизация Т-44, получившая обозначение </w:t>
      </w:r>
      <w:r w:rsidRPr="007224C3">
        <w:rPr>
          <w:bCs/>
          <w:iCs/>
          <w:color w:val="000000" w:themeColor="text1"/>
          <w:sz w:val="16"/>
          <w:szCs w:val="16"/>
          <w:bdr w:val="none" w:sz="0" w:space="0" w:color="auto" w:frame="1"/>
        </w:rPr>
        <w:t>Т-54 (19090)</w:t>
      </w:r>
      <w:r w:rsidRPr="007224C3">
        <w:rPr>
          <w:iCs/>
          <w:color w:val="000000" w:themeColor="text1"/>
          <w:sz w:val="16"/>
          <w:szCs w:val="16"/>
          <w:bdr w:val="none" w:sz="0" w:space="0" w:color="auto" w:frame="1"/>
        </w:rPr>
        <w:t>.</w:t>
      </w:r>
    </w:p>
    <w:p w14:paraId="445716C2" w14:textId="77777777" w:rsidR="0004034B" w:rsidRPr="007224C3" w:rsidRDefault="0004034B" w:rsidP="007224C3">
      <w:pPr>
        <w:pStyle w:val="4d"/>
        <w:shd w:val="clear" w:color="auto" w:fill="FFFFFF"/>
        <w:spacing w:before="0" w:beforeAutospacing="0" w:after="0" w:afterAutospacing="0"/>
        <w:jc w:val="both"/>
        <w:textAlignment w:val="baseline"/>
        <w:rPr>
          <w:color w:val="000000" w:themeColor="text1"/>
          <w:sz w:val="16"/>
          <w:szCs w:val="16"/>
        </w:rPr>
      </w:pPr>
    </w:p>
    <w:p w14:paraId="5C10EC1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Летом 1944 г. для танка Т-44 в КБ завода № 183 велась разработка планетарной трансмиссии, которая так и не была воплощена в металле (10703).</w:t>
      </w:r>
    </w:p>
    <w:p w14:paraId="103EF3F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A2340D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Летом и осенью 1944 года в опытном порядке были изготовлены САУ ЭСУ-100 с электротрансмиссией и СУ-122П со 122-мм пушкой Д-25Т (9637).</w:t>
      </w:r>
    </w:p>
    <w:p w14:paraId="157B9C0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21E62AF"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Созданная к лету 1944 г. и установленная на самоход СУ-85 85-мм пушка большой мощности С-34-1В продемон</w:t>
      </w:r>
      <w:r w:rsidRPr="007224C3">
        <w:rPr>
          <w:rFonts w:ascii="Times New Roman" w:hAnsi="Times New Roman"/>
          <w:color w:val="000000" w:themeColor="text1"/>
          <w:sz w:val="16"/>
          <w:szCs w:val="16"/>
        </w:rPr>
        <w:softHyphen/>
        <w:t>стрировала те же проблемы, что и Д-5-85БМ и ЗИС-1. Прав</w:t>
      </w:r>
      <w:r w:rsidRPr="007224C3">
        <w:rPr>
          <w:rFonts w:ascii="Times New Roman" w:hAnsi="Times New Roman"/>
          <w:color w:val="000000" w:themeColor="text1"/>
          <w:sz w:val="16"/>
          <w:szCs w:val="16"/>
        </w:rPr>
        <w:softHyphen/>
        <w:t>да, в результате многочисленных проб изготовителям удалось достичь нач. скорости 1040 м/с и пробить с дистанции 1000 м бронеплиты толщиной 120 и 140 мм, но большой разгар ка</w:t>
      </w:r>
      <w:r w:rsidRPr="007224C3">
        <w:rPr>
          <w:rFonts w:ascii="Times New Roman" w:hAnsi="Times New Roman"/>
          <w:color w:val="000000" w:themeColor="text1"/>
          <w:sz w:val="16"/>
          <w:szCs w:val="16"/>
        </w:rPr>
        <w:softHyphen/>
        <w:t>нала ствола и нестабильное поведение снаряда на траектории (который также часто терял ведущие пояски и кувыркался), вывели и это орудие из разряда перспективных.</w:t>
      </w:r>
    </w:p>
    <w:p w14:paraId="22BCA3C0"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 хотя работы над орудием среднего калибра с высокой нач. скоростью продолжались до самого окончания войны (были созданы орудия Д-10-85, С-34-1ВУ, С-50-БМ, В-9 и др. с нач. скоростью снаряда 950-1050 м/с), обогнать «ма</w:t>
      </w:r>
      <w:r w:rsidRPr="007224C3">
        <w:rPr>
          <w:rFonts w:ascii="Times New Roman" w:hAnsi="Times New Roman"/>
          <w:color w:val="000000" w:themeColor="text1"/>
          <w:sz w:val="16"/>
          <w:szCs w:val="16"/>
        </w:rPr>
        <w:softHyphen/>
        <w:t>лой кровью» немецких артиллерийских конструкторов без изменения конструкции снаряда и выстрела не удалось ни одному артиллерийскому КБ (11135).</w:t>
      </w:r>
    </w:p>
    <w:p w14:paraId="39E2BDDD"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9A9B34" w14:textId="77777777" w:rsidR="001444FD" w:rsidRPr="007224C3" w:rsidRDefault="001444FD" w:rsidP="007224C3">
      <w:pPr>
        <w:pStyle w:val="a3"/>
        <w:rPr>
          <w:color w:val="000000" w:themeColor="text1"/>
          <w:lang w:val="ru-RU"/>
        </w:rPr>
      </w:pPr>
      <w:r w:rsidRPr="007224C3">
        <w:rPr>
          <w:color w:val="000000" w:themeColor="text1"/>
          <w:lang w:val="ru-RU"/>
        </w:rPr>
        <w:t>Летом 1944 г. Заводские испытания двух АТ-45 устано</w:t>
      </w:r>
      <w:r w:rsidRPr="007224C3">
        <w:rPr>
          <w:color w:val="000000" w:themeColor="text1"/>
          <w:lang w:val="ru-RU"/>
        </w:rPr>
        <w:softHyphen/>
        <w:t>вочной партии (№15001 и №15006 - первая и последняя машины партии) в целом прошли достаточно успешно, несмотря на вполне естественные для новых машин дефекты и неисправности. Состоялись испы</w:t>
      </w:r>
      <w:r w:rsidRPr="007224C3">
        <w:rPr>
          <w:color w:val="000000" w:themeColor="text1"/>
          <w:lang w:val="ru-RU"/>
        </w:rPr>
        <w:softHyphen/>
        <w:t>тания на проходимость и по буксировке одно</w:t>
      </w:r>
      <w:r w:rsidRPr="007224C3">
        <w:rPr>
          <w:color w:val="000000" w:themeColor="text1"/>
          <w:lang w:val="ru-RU"/>
        </w:rPr>
        <w:softHyphen/>
        <w:t>типных тягачей, среднего танка Т-34 и тяжелой САУ СУ-152 по шоссейным и грунтовым до</w:t>
      </w:r>
      <w:r w:rsidRPr="007224C3">
        <w:rPr>
          <w:color w:val="000000" w:themeColor="text1"/>
          <w:lang w:val="ru-RU"/>
        </w:rPr>
        <w:softHyphen/>
        <w:t xml:space="preserve">рогам. АТ-45 </w:t>
      </w:r>
      <w:r w:rsidRPr="007224C3">
        <w:rPr>
          <w:color w:val="000000" w:themeColor="text1"/>
        </w:rPr>
        <w:t>N</w:t>
      </w:r>
      <w:r w:rsidRPr="007224C3">
        <w:rPr>
          <w:color w:val="000000" w:themeColor="text1"/>
          <w:lang w:val="ru-RU"/>
        </w:rPr>
        <w:t>915001 в общей сложности пре</w:t>
      </w:r>
      <w:r w:rsidRPr="007224C3">
        <w:rPr>
          <w:color w:val="000000" w:themeColor="text1"/>
          <w:lang w:val="ru-RU"/>
        </w:rPr>
        <w:softHyphen/>
        <w:t>одолел 1277 км, при этом его двигатель отра</w:t>
      </w:r>
      <w:r w:rsidRPr="007224C3">
        <w:rPr>
          <w:color w:val="000000" w:themeColor="text1"/>
          <w:lang w:val="ru-RU"/>
        </w:rPr>
        <w:softHyphen/>
        <w:t>ботал 65 ч 27 мин, а машина №15006 - 966 км, из которых 268 км прошла на буксире (мотор отработал 35 ч 10 мин).</w:t>
      </w:r>
    </w:p>
    <w:p w14:paraId="28410484" w14:textId="77777777" w:rsidR="001444FD" w:rsidRPr="007224C3" w:rsidRDefault="001444FD" w:rsidP="007224C3">
      <w:pPr>
        <w:pStyle w:val="a3"/>
        <w:rPr>
          <w:color w:val="000000" w:themeColor="text1"/>
          <w:lang w:val="ru-RU"/>
        </w:rPr>
      </w:pPr>
      <w:r w:rsidRPr="007224C3">
        <w:rPr>
          <w:color w:val="000000" w:themeColor="text1"/>
          <w:lang w:val="ru-RU"/>
        </w:rPr>
        <w:t>Средняя скорость тягача №15001 при движении без прицепа и груза на платформе по шоссе составила 26,5 км/ч, с грузом 6000 кг на платформе - 29,7 км/ч, а по грунтовым до</w:t>
      </w:r>
      <w:r w:rsidRPr="007224C3">
        <w:rPr>
          <w:color w:val="000000" w:themeColor="text1"/>
          <w:lang w:val="ru-RU"/>
        </w:rPr>
        <w:softHyphen/>
        <w:t>рогам (без прицепа и с грузом) - 13,4 км/ч. Вторая машина (№15006) в таком же положе</w:t>
      </w:r>
      <w:r w:rsidRPr="007224C3">
        <w:rPr>
          <w:color w:val="000000" w:themeColor="text1"/>
          <w:lang w:val="ru-RU"/>
        </w:rPr>
        <w:softHyphen/>
        <w:t>нии прошла 209 км по шоссе со средней ско</w:t>
      </w:r>
      <w:r w:rsidRPr="007224C3">
        <w:rPr>
          <w:color w:val="000000" w:themeColor="text1"/>
          <w:lang w:val="ru-RU"/>
        </w:rPr>
        <w:softHyphen/>
        <w:t>ростью 28,5 км/ч и 341 км по грунтовой дороге со средней скоростью 22,9 км/ч.</w:t>
      </w:r>
    </w:p>
    <w:p w14:paraId="615701A2" w14:textId="77777777" w:rsidR="001444FD" w:rsidRPr="007224C3" w:rsidRDefault="001444FD" w:rsidP="007224C3">
      <w:pPr>
        <w:pStyle w:val="a3"/>
        <w:rPr>
          <w:color w:val="000000" w:themeColor="text1"/>
          <w:lang w:val="ru-RU"/>
        </w:rPr>
      </w:pPr>
      <w:r w:rsidRPr="007224C3">
        <w:rPr>
          <w:color w:val="000000" w:themeColor="text1"/>
          <w:lang w:val="ru-RU"/>
        </w:rPr>
        <w:t>Буксировка АТ-45 аналогичной неуправ</w:t>
      </w:r>
      <w:r w:rsidRPr="007224C3">
        <w:rPr>
          <w:color w:val="000000" w:themeColor="text1"/>
          <w:lang w:val="ru-RU"/>
        </w:rPr>
        <w:softHyphen/>
        <w:t>ляемой машины осуществлялась со средними скоростями 11,6-17,9 км/ч в различных до</w:t>
      </w:r>
      <w:r w:rsidRPr="007224C3">
        <w:rPr>
          <w:color w:val="000000" w:themeColor="text1"/>
          <w:lang w:val="ru-RU"/>
        </w:rPr>
        <w:softHyphen/>
        <w:t>рожных условиях. Транспортировка среднего танка Т-34 производилась тягачом №15001 по грунтовой дороге на расстояние 30 км со сред</w:t>
      </w:r>
      <w:r w:rsidRPr="007224C3">
        <w:rPr>
          <w:color w:val="000000" w:themeColor="text1"/>
          <w:lang w:val="ru-RU"/>
        </w:rPr>
        <w:softHyphen/>
        <w:t>ней скоростью 14 км/ч, самоходной установки СУ-152 (также по грунтовой дороге) - на рас</w:t>
      </w:r>
      <w:r w:rsidRPr="007224C3">
        <w:rPr>
          <w:color w:val="000000" w:themeColor="text1"/>
          <w:lang w:val="ru-RU"/>
        </w:rPr>
        <w:softHyphen/>
        <w:t>стояние 20 км со средней скоростью 5,6 км/ч.</w:t>
      </w:r>
    </w:p>
    <w:p w14:paraId="61E6A134" w14:textId="77777777" w:rsidR="001444FD" w:rsidRPr="007224C3" w:rsidRDefault="001444FD" w:rsidP="007224C3">
      <w:pPr>
        <w:pStyle w:val="a3"/>
        <w:rPr>
          <w:color w:val="000000" w:themeColor="text1"/>
          <w:lang w:val="ru-RU"/>
        </w:rPr>
      </w:pPr>
      <w:r w:rsidRPr="007224C3">
        <w:rPr>
          <w:color w:val="000000" w:themeColor="text1"/>
          <w:lang w:val="ru-RU"/>
        </w:rPr>
        <w:t>Во время заводских испытаний были прео</w:t>
      </w:r>
      <w:r w:rsidRPr="007224C3">
        <w:rPr>
          <w:color w:val="000000" w:themeColor="text1"/>
          <w:lang w:val="ru-RU"/>
        </w:rPr>
        <w:softHyphen/>
        <w:t>долены следующие подъемы: без прицепа - 25', станком Т-34 на буксире-16', сСУ-152-11' (15754).</w:t>
      </w:r>
    </w:p>
    <w:p w14:paraId="67C343AC" w14:textId="77777777" w:rsidR="001444FD" w:rsidRPr="007224C3" w:rsidRDefault="001444FD" w:rsidP="007224C3">
      <w:pPr>
        <w:pStyle w:val="a3"/>
        <w:rPr>
          <w:color w:val="000000" w:themeColor="text1"/>
          <w:lang w:val="ru-RU"/>
        </w:rPr>
      </w:pPr>
    </w:p>
    <w:p w14:paraId="4907FA0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Летом 1944 г. прототипы послевоенного грузовика ЗИС-150 уже проходили испытания. Испытания же опытных образцов ЗИС-15, разработанных еще перед войной, показали, что для автомобиля, который должен сменить ЗИС-5 на конвейере, мощности двигателя 80 л. с. недостаточно. Поэтому прежде всего в 1943 г. ЗИС начал проектирование новых двигателя и пятиступенчатой коробки передач. Параллельно шла работа над его полноприводной модификацией ЗИС-150П, которая так и не вышла из стадии экспериментов (12098).</w:t>
      </w:r>
    </w:p>
    <w:p w14:paraId="520F782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681E81B" w14:textId="77777777" w:rsidR="00E20115" w:rsidRPr="007224C3" w:rsidRDefault="00E20115"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Летом 1944 года несколько зенитных бронепоездов перебазировалось в Белоруссию, где готовилась наступательная операция «Багратион». 4-й корпус ПВО и 81-я дивизия ПВО, имевшие в своем составе зенитные бронепоезда, прикрывали крупнейшие железнодорожные узлы Гомель, Брянск, Смоленск, Калинковичи. Массированная переброска войск и материальных средств к фронту вызывала живейший интерес немецкой авиации. Только в течение июня было зафиксировано свыше 1500 самолето-пролетов в зоне действия зенитных бронепоездов. Работы для зенитчиков на железнодорожном ходу было хоть отбавляй (15218).</w:t>
      </w:r>
    </w:p>
    <w:p w14:paraId="30B22F86" w14:textId="77777777" w:rsidR="00E20115" w:rsidRPr="007224C3" w:rsidRDefault="00E20115" w:rsidP="007224C3">
      <w:pPr>
        <w:spacing w:after="0" w:line="240" w:lineRule="auto"/>
        <w:jc w:val="both"/>
        <w:rPr>
          <w:rFonts w:ascii="Times New Roman" w:hAnsi="Times New Roman"/>
          <w:color w:val="000000" w:themeColor="text1"/>
          <w:sz w:val="16"/>
          <w:szCs w:val="16"/>
        </w:rPr>
      </w:pPr>
    </w:p>
    <w:p w14:paraId="3ED5E7B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Летом 1944 г. с созданием нового катерного ЦКБ-19 проекти</w:t>
      </w:r>
      <w:r w:rsidRPr="007224C3">
        <w:rPr>
          <w:rFonts w:ascii="Times New Roman" w:hAnsi="Times New Roman"/>
          <w:color w:val="000000" w:themeColor="text1"/>
          <w:sz w:val="16"/>
          <w:szCs w:val="16"/>
        </w:rPr>
        <w:softHyphen/>
        <w:t>рование бронекатеров перешло в его ведение. Работы по проектиро</w:t>
      </w:r>
      <w:r w:rsidRPr="007224C3">
        <w:rPr>
          <w:rFonts w:ascii="Times New Roman" w:hAnsi="Times New Roman"/>
          <w:color w:val="000000" w:themeColor="text1"/>
          <w:sz w:val="16"/>
          <w:szCs w:val="16"/>
        </w:rPr>
        <w:softHyphen/>
        <w:t>ванию до конца войны завершены не были, и создание этих кораб</w:t>
      </w:r>
      <w:r w:rsidRPr="007224C3">
        <w:rPr>
          <w:rFonts w:ascii="Times New Roman" w:hAnsi="Times New Roman"/>
          <w:color w:val="000000" w:themeColor="text1"/>
          <w:sz w:val="16"/>
          <w:szCs w:val="16"/>
        </w:rPr>
        <w:softHyphen/>
        <w:t>лей относится уже к послевоенной истории отечественного судо</w:t>
      </w:r>
      <w:r w:rsidRPr="007224C3">
        <w:rPr>
          <w:rFonts w:ascii="Times New Roman" w:hAnsi="Times New Roman"/>
          <w:color w:val="000000" w:themeColor="text1"/>
          <w:sz w:val="16"/>
          <w:szCs w:val="16"/>
        </w:rPr>
        <w:softHyphen/>
        <w:t>строения (3898).</w:t>
      </w:r>
    </w:p>
    <w:p w14:paraId="2F28497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97A4EA"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4F9E657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AA6A85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Летом 1944 в 23 ОШАП ЧФ постоянно воевало звено Ил-2Т - со стрелкой, ВЯ сняты и возил 45-36 АН калибра 450 мм, длинна 5450 мм, масса 940 км, высота - 30 м на 320 м. Крепилась на двух трубчатых Г-образных подкосах-упорах (как кронциркуль) - усами наружу, входивших в корпус торпеды пиропатронами. Угол около 10 град (1061,60).</w:t>
      </w:r>
    </w:p>
    <w:p w14:paraId="3695215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2C091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Летом 1944 был подготовлен анализ боевых повреждений Ил-2 из состава 1-го, 2-го и 3-го шак, 211-й, 230-й и 335-й шад, а также 6-го гшап, полученных от огня истребителей и зенитной артиллерии противника в ходе боев в период с декабря 1942 г. по апрель 1944 г., показывает, что: 27% всех повреждений Ил-2 приходилось на консоли и центроплан (обшивка, нервюры, лонжероны), 25% - на хвостовое оперение и управление рулями, 20% - на фюзеляж (обшивка, стрингера, шпангоуты), 10% — на элементы конструкции шасси (пирамида, подкосы, цилиндры выпуска), 8% повреждений составляли пробоины лопастей и цилиндра перестановки шага винта, 4% - на мотор, капоты и маслобаки, 3% - на радиаторы, 3% — на кабины летчика и воздушного стрелка и задний бензобак.</w:t>
      </w:r>
    </w:p>
    <w:p w14:paraId="3E65FAC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Около 10% поврежденных самолетов Ил-2 отправлялись в ремонтные органы или списывались ввиду невозможности ремонта. Остальные 90% восстанавливались силами техсостава и полевых авиаремонтных мастерских.</w:t>
      </w:r>
    </w:p>
    <w:p w14:paraId="6952269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 этом боевые повреждения составили 22,2% от общего количества самолето-вылетов, то есть примерно в каждом четвертом-пятом вылете Ил-2 получал повреждение.</w:t>
      </w:r>
    </w:p>
    <w:p w14:paraId="0FA0471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Установлено, что пулевые, снарядные и осколочные повреждения маслорадиатора, мотора, водосистемы, пневматиков колес, системы выпуска и уборки шасси, бензобаков, тяг и тросов системы управления приводили к вынужденным посадкам на своей территории или аварии и поломке при посадке на свой аэродром после возвращения с боевого задания. Все остальные случаи повреждения Ил-2, как правило, приводили к благополучной посадке на свой аэродром.</w:t>
      </w:r>
    </w:p>
    <w:p w14:paraId="12D38F4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Наиболее серьезные повреждения Ил-2 получал от атак истребителей: «Очередь огня, выпущенная истребителем, наносит большие поражения, так как снаряды поражают лонжероны стабилизатора, обшивку и шпангоуты фюзеляжа, лонжероны центроплана, воздушную систему, и в результате самолет требует длительного ремонта или списания, так как получается комплекс повреждений перечисленных частей самолета и его агрегатов». Кроме того, поражались задний верхний бензобак, расширительный бачок, лопасти винта, кабины пилота и воздушного стрелка, а также мотор «через бронекарманы».</w:t>
      </w:r>
    </w:p>
    <w:p w14:paraId="592C556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 огня малокалиберной зенитной артиллерии попадания получали главным образом маслорадиатор, задний и нижний бензобаки, кабина воздушного стрелка, шасси, органы управления самолета, картер и блоки мотора.</w:t>
      </w:r>
    </w:p>
    <w:p w14:paraId="14D6577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Поражение штурмовиков Ил-2 огнем зенитных орудий средних калибров достигалось в основном осколками и редко вследствие прямого попадания снаряда.</w:t>
      </w:r>
    </w:p>
    <w:p w14:paraId="7DE66FC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Важно, что повреждения, наносимые самолету зенитным огнем, в отличие от огня истребителей, «характеризуются разрушением только одного какого-нибудь элемента конструкции самолета вдоль его вертикальной оси: фюзеляж, плоскости, центроплан, хвостовое оперение, маслорадиатор, шасси, картер мотора». Повреждения от зенитной артиллерии легко ремонтировались в полевых условиях, так как «в этом случае выходит из строя лишь одна, редко больше, из перечисленных частей самолета или его агрегатов».</w:t>
      </w:r>
    </w:p>
    <w:p w14:paraId="0C5A452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Опыт боевого применения Ил-2 на фронтах показал, что «бронекорпус не защищает от прямого попадания снарядов зенитной артиллерии среднего калибра и ниже высоты 1000 м от снарядов малокалиберной зенитной артиллерии». Пули нормального калибра и «осколки снарядов зенитной артиллерии на любом удалении броню не пробивают», оставляя в ней лишь вмятины.</w:t>
      </w:r>
    </w:p>
    <w:p w14:paraId="7E1C0E1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Вместе с тем при прямом попадании малокалиберного снаряда или крупнокалиберной бронебойной пули броня пробивалась с последующим повреждением деталей мотора и поражением экипажа. Кроме того, имелись случаи пробития крупными осколками зенитных снарядов боковой брони кабины летчика.</w:t>
      </w:r>
    </w:p>
    <w:p w14:paraId="155533D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Оказалось, что уязвимые от огня противника бронедетали имеют недостаточную толщину и, наоборот, отдельные места бронекорпуса либо вовсе не имеют попаданий, либо попадания в них бывают весьма редко и при таких углах и дистанциях стрельбы, которые позволяют значительно уменьшить толщину брони (11921).</w:t>
      </w:r>
    </w:p>
    <w:p w14:paraId="00B199E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86985D0" w14:textId="77777777" w:rsidR="00D70979" w:rsidRPr="007224C3" w:rsidRDefault="00D70979" w:rsidP="007224C3">
      <w:pPr>
        <w:pStyle w:val="a3"/>
        <w:rPr>
          <w:color w:val="000000" w:themeColor="text1"/>
          <w:lang w:val="ru-RU"/>
        </w:rPr>
      </w:pPr>
      <w:r w:rsidRPr="007224C3">
        <w:rPr>
          <w:color w:val="000000" w:themeColor="text1"/>
          <w:lang w:val="ru-RU"/>
        </w:rPr>
        <w:t>Летом 1944 г. был полностью пре</w:t>
      </w:r>
      <w:r w:rsidRPr="007224C3">
        <w:rPr>
          <w:color w:val="000000" w:themeColor="text1"/>
          <w:lang w:val="ru-RU"/>
        </w:rPr>
        <w:softHyphen/>
        <w:t>кращен серийный выпуск всех вариантов Ю-87, так что к осени в люфтваффе со</w:t>
      </w:r>
      <w:r w:rsidRPr="007224C3">
        <w:rPr>
          <w:color w:val="000000" w:themeColor="text1"/>
          <w:lang w:val="ru-RU"/>
        </w:rPr>
        <w:softHyphen/>
        <w:t xml:space="preserve">хранилась только одна группа </w:t>
      </w:r>
      <w:r w:rsidRPr="007224C3">
        <w:rPr>
          <w:color w:val="000000" w:themeColor="text1"/>
        </w:rPr>
        <w:t>III</w:t>
      </w:r>
      <w:r w:rsidRPr="007224C3">
        <w:rPr>
          <w:color w:val="000000" w:themeColor="text1"/>
          <w:lang w:val="ru-RU"/>
        </w:rPr>
        <w:t>./ЗС2, еще летавшая на Ю870 днем, а также две противотанковые эскадрильи на Ю870 (10.(Рг)/ЗС2 и Ю.(Рг)/5С77). Оставшиеся боеспособные Ю87 перешли в разряд «ночных» штурмовиков. Еще одна противо</w:t>
      </w:r>
      <w:r w:rsidRPr="007224C3">
        <w:rPr>
          <w:color w:val="000000" w:themeColor="text1"/>
          <w:lang w:val="ru-RU"/>
        </w:rPr>
        <w:softHyphen/>
        <w:t>танковая группа (1\/.(Рг)/8(39) продолжала летать на бронированных «хеншелях». Все остальные штурмовые авиагруппы имели на вооружении уже Р\л/190Р (12733).</w:t>
      </w:r>
    </w:p>
    <w:p w14:paraId="433F4911" w14:textId="77777777" w:rsidR="00D70979" w:rsidRPr="007224C3" w:rsidRDefault="00D70979" w:rsidP="007224C3">
      <w:pPr>
        <w:pStyle w:val="a3"/>
        <w:rPr>
          <w:color w:val="000000" w:themeColor="text1"/>
          <w:lang w:val="ru-RU"/>
        </w:rPr>
      </w:pPr>
    </w:p>
    <w:p w14:paraId="6DE2E19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Летом 1944 г. 326-я бад начала осваивать Ту-2 До этого она являлась дивизией легких ночных бомбардировщиков и летала на У-2 (По-2). 1 июня ее командир получил приказ об отзыве дивизии в тыл для переучивания. Новую технику осваивали в Подмосковье. Дивизия переходила в основном на Пе-2, Ту-2 получил включенный в состав дивизии бывший 6-й дальнебомбардировочный полк, сдавший немногие уцелевшие в боях Ил-4. Ему на аэродроме Малино передали 32 машины. В одной из эскадрилий они были именные - на борту каждого самолета наносилась красная надпись "Москва", окантованная белой полосой. Ниже мелкими буквами было написано "от трудящихся Киевского района" - на их средства в подарок Красной Армии были приобретены бомбардировщики.</w:t>
      </w:r>
    </w:p>
    <w:p w14:paraId="33F49A6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Переучивание не обошлось без происшествий. В июле на взлете вдруг переломился фюзеляж УТу-2 - учебного самолета с двойным управлением. Полеты отменили, приехал сам Туполев. Расследование показало, что от очень интенсивной эксплуатации разболтались соединения. Предписали проверить все самолеты полка, и переучивание возобновилось. 20 августа 1944 г. три девятки Ту-2 6-го бап, которые вел командир дивизии полковник Лебедев, возглавили воздушный парад над Москвой.</w:t>
      </w:r>
    </w:p>
    <w:p w14:paraId="49D4E8C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Дивизия завершила свою подготовку 21 октября. Ее отправили в распоряжение 3-й воздушной армии 1-го Прибалтийского фронта. Штаб соединения разместился в Шяуляе. Оттуда же 6-й бап совершил первый боевой вылет на новых машинах 21 декабря 1944 г. Группу повел командир полка подполковник Г.П. Дорохов. Еще на взлете ее постигли неудачи. Один летчик ошибся и его самолет сорвался на крыло и упал. У другого бомбардировщика на небольшой высоте отказал двигатель. Еще два столкнулись в воздухе во время построения. Результат - потеряно четыре самолета, погибли четыре человека. Остальные выполнили задание и без потерь вернулись домой.</w:t>
      </w:r>
    </w:p>
    <w:p w14:paraId="07F3792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Последующие вылеты были более удачными. Так, 16 января 1945 г. две девятки Ту-2, ведомые майором Саловым, атаковали Куссен - один из основных опорных пунктов второй линии обороны немцев в Восточной Пруссии. Несмотря на отсутствие истребительного прикрытия, цель была успешно поражена.</w:t>
      </w:r>
    </w:p>
    <w:p w14:paraId="227AC87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А вот 25 января ошибка командира группы прикрытия стала причиной потери двух самолетов. 18 Ту-2, которые опять вел Салов, шли бомбить порт в Либаве (Лиепае). При входе в зону огня зенитной артиллерии сопровождение отошло от бомбардировщиков. И тут на них накинулись немецкие истребители FW 190. Они атаковали группу спереди-снизу. С первого же захода немцы подожгли две машины - капитана Первушина и старшего лейтенанта Трифонова. Первушин дотянул до линии фронта и над своей территорией дал приказ экипажу прыгать. Но спастись удалось ему одному; у стрелка и радиста захлестнулись стропы парашютов, а штурмана при покидании самолета ударило о килевую шайбу. Трифонов на горящей машине сбросил бомбы, а затем направил Ту-2 на скопление немцев. При этом ему в последний момент удалось выбраться из самолета, и он остался жив. Группа Салова частично расквиталась с немцами: по советским данным, стрелки сбили два вражеских истребителя.</w:t>
      </w:r>
    </w:p>
    <w:p w14:paraId="5B69897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6-й бап поддерживал войска, штурмующие Данциг (Гданьск). Так, 27 марта две девятки бомбардировщиков нанесли удар по военно-морской базе. Потерь группа не имела.</w:t>
      </w:r>
    </w:p>
    <w:p w14:paraId="7ACCA82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Поставки Ту-2 ВВС Красной Армии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5106D0" w:rsidRPr="007224C3" w14:paraId="5D085A7F" w14:textId="77777777">
        <w:tc>
          <w:tcPr>
            <w:tcW w:w="1868" w:type="dxa"/>
            <w:tcBorders>
              <w:top w:val="single" w:sz="12" w:space="0" w:color="auto"/>
            </w:tcBorders>
          </w:tcPr>
          <w:p w14:paraId="185C946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top w:val="single" w:sz="12" w:space="0" w:color="auto"/>
            </w:tcBorders>
          </w:tcPr>
          <w:p w14:paraId="32B6D79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1941</w:t>
            </w:r>
          </w:p>
        </w:tc>
        <w:tc>
          <w:tcPr>
            <w:tcW w:w="1868" w:type="dxa"/>
            <w:tcBorders>
              <w:top w:val="single" w:sz="12" w:space="0" w:color="auto"/>
            </w:tcBorders>
          </w:tcPr>
          <w:p w14:paraId="2B78917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1942</w:t>
            </w:r>
          </w:p>
        </w:tc>
        <w:tc>
          <w:tcPr>
            <w:tcW w:w="1868" w:type="dxa"/>
            <w:tcBorders>
              <w:top w:val="single" w:sz="12" w:space="0" w:color="auto"/>
            </w:tcBorders>
          </w:tcPr>
          <w:p w14:paraId="4B71807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1943</w:t>
            </w:r>
          </w:p>
        </w:tc>
        <w:tc>
          <w:tcPr>
            <w:tcW w:w="1868" w:type="dxa"/>
            <w:tcBorders>
              <w:top w:val="single" w:sz="12" w:space="0" w:color="auto"/>
            </w:tcBorders>
          </w:tcPr>
          <w:p w14:paraId="5C5AF15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1944</w:t>
            </w:r>
          </w:p>
        </w:tc>
        <w:tc>
          <w:tcPr>
            <w:tcW w:w="1868" w:type="dxa"/>
            <w:tcBorders>
              <w:top w:val="single" w:sz="12" w:space="0" w:color="auto"/>
            </w:tcBorders>
          </w:tcPr>
          <w:p w14:paraId="27EA27DF"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1945</w:t>
            </w:r>
          </w:p>
        </w:tc>
      </w:tr>
      <w:tr w:rsidR="005106D0" w:rsidRPr="007224C3" w14:paraId="3941D0EF" w14:textId="77777777">
        <w:tc>
          <w:tcPr>
            <w:tcW w:w="1868" w:type="dxa"/>
          </w:tcPr>
          <w:p w14:paraId="248494B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План</w:t>
            </w:r>
          </w:p>
        </w:tc>
        <w:tc>
          <w:tcPr>
            <w:tcW w:w="1868" w:type="dxa"/>
          </w:tcPr>
          <w:p w14:paraId="0D4A6E3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24</w:t>
            </w:r>
          </w:p>
        </w:tc>
        <w:tc>
          <w:tcPr>
            <w:tcW w:w="1868" w:type="dxa"/>
          </w:tcPr>
          <w:p w14:paraId="7B72711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70</w:t>
            </w:r>
          </w:p>
        </w:tc>
        <w:tc>
          <w:tcPr>
            <w:tcW w:w="1868" w:type="dxa"/>
          </w:tcPr>
          <w:p w14:paraId="7068918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32</w:t>
            </w:r>
          </w:p>
        </w:tc>
        <w:tc>
          <w:tcPr>
            <w:tcW w:w="1868" w:type="dxa"/>
          </w:tcPr>
          <w:p w14:paraId="76A31DA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453</w:t>
            </w:r>
          </w:p>
        </w:tc>
        <w:tc>
          <w:tcPr>
            <w:tcW w:w="1868" w:type="dxa"/>
          </w:tcPr>
          <w:p w14:paraId="6AB4E854"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900</w:t>
            </w:r>
          </w:p>
        </w:tc>
      </w:tr>
      <w:tr w:rsidR="005106D0" w:rsidRPr="007224C3" w14:paraId="40CDF0A6" w14:textId="77777777">
        <w:tc>
          <w:tcPr>
            <w:tcW w:w="1868" w:type="dxa"/>
            <w:tcBorders>
              <w:bottom w:val="single" w:sz="12" w:space="0" w:color="auto"/>
            </w:tcBorders>
          </w:tcPr>
          <w:p w14:paraId="2CF9225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Фактически</w:t>
            </w:r>
          </w:p>
        </w:tc>
        <w:tc>
          <w:tcPr>
            <w:tcW w:w="1868" w:type="dxa"/>
            <w:tcBorders>
              <w:bottom w:val="single" w:sz="12" w:space="0" w:color="auto"/>
            </w:tcBorders>
          </w:tcPr>
          <w:p w14:paraId="6CA62775"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0</w:t>
            </w:r>
          </w:p>
        </w:tc>
        <w:tc>
          <w:tcPr>
            <w:tcW w:w="1868" w:type="dxa"/>
            <w:tcBorders>
              <w:bottom w:val="single" w:sz="12" w:space="0" w:color="auto"/>
            </w:tcBorders>
          </w:tcPr>
          <w:p w14:paraId="3D44AFE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79</w:t>
            </w:r>
          </w:p>
        </w:tc>
        <w:tc>
          <w:tcPr>
            <w:tcW w:w="1868" w:type="dxa"/>
            <w:tcBorders>
              <w:bottom w:val="single" w:sz="12" w:space="0" w:color="auto"/>
            </w:tcBorders>
          </w:tcPr>
          <w:p w14:paraId="0F1C5F0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w:t>
            </w:r>
          </w:p>
        </w:tc>
        <w:tc>
          <w:tcPr>
            <w:tcW w:w="1868" w:type="dxa"/>
            <w:tcBorders>
              <w:bottom w:val="single" w:sz="12" w:space="0" w:color="auto"/>
            </w:tcBorders>
          </w:tcPr>
          <w:p w14:paraId="4E762E9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378</w:t>
            </w:r>
          </w:p>
        </w:tc>
        <w:tc>
          <w:tcPr>
            <w:tcW w:w="1868" w:type="dxa"/>
            <w:tcBorders>
              <w:bottom w:val="single" w:sz="12" w:space="0" w:color="auto"/>
            </w:tcBorders>
          </w:tcPr>
          <w:p w14:paraId="26E52BC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709</w:t>
            </w:r>
          </w:p>
        </w:tc>
      </w:tr>
    </w:tbl>
    <w:p w14:paraId="3795EB5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(11988).</w:t>
      </w:r>
    </w:p>
    <w:p w14:paraId="0D725D0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768532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Летом 1944 г. воздушные бои над Бе</w:t>
      </w:r>
      <w:r w:rsidRPr="007224C3">
        <w:rPr>
          <w:rFonts w:ascii="Times New Roman" w:hAnsi="Times New Roman"/>
          <w:color w:val="000000" w:themeColor="text1"/>
          <w:sz w:val="16"/>
          <w:szCs w:val="16"/>
        </w:rPr>
        <w:softHyphen/>
        <w:t>лоруссией стали ожесточенными. Французским летчикам довелось участвовать в одной из крупнейших насту</w:t>
      </w:r>
      <w:r w:rsidRPr="007224C3">
        <w:rPr>
          <w:rFonts w:ascii="Times New Roman" w:hAnsi="Times New Roman"/>
          <w:color w:val="000000" w:themeColor="text1"/>
          <w:sz w:val="16"/>
          <w:szCs w:val="16"/>
        </w:rPr>
        <w:softHyphen/>
        <w:t>пательных операций Красной Армии, получившей название “Багратион” (3956).</w:t>
      </w:r>
    </w:p>
    <w:p w14:paraId="784BB99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1ACFD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Летом 1944 года двенадцать С-47 перелетели с территории СССР в итальянский город Бари. Оттуда начала действовать авиагруппа под командованием генерал-майора. Ее самолеты обеспечивали связь с Народно-освободительной армией Югославии: туда везли боеприпасы, оружие, медикаменты, обратно - раненых. Из Советского Союза в Бари транспортники доставили четыре разобранных У-2 - их потом передали югославам (3457,135).</w:t>
      </w:r>
    </w:p>
    <w:p w14:paraId="7BA313D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3CD83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Летом 1944 года для советских ВВС к заявках но IV, последнему, протоколу о союзных поставках попросили 300 В-24 (3457,116).</w:t>
      </w:r>
    </w:p>
    <w:p w14:paraId="4B3F064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DFAA6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Летом 1944 года B-25 "Митчеллы" участвовали в "воздушном мосте" в Словакию. Для бойцов Словацкого национального восстания доставлялись противотанковые ружья, пулеметы, автоматы, винтовки, взрывчатка и боеприпасы. Ли-2 и С-47 садились на аэродроме Три Дуба, а В-25 4-й гвардейской дивизии (бывшей 222-й) сбрасывали грузы с парашютами. Летали они из Калиновки под Винницей (3457,94).</w:t>
      </w:r>
    </w:p>
    <w:p w14:paraId="5E99137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8DE66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Летом 1944 командование войск СС планировало нанести удар V-1 по Ленинграду, Москве, Куйбышеву, Челябинску, Магнитогорску (1227,21).</w:t>
      </w:r>
    </w:p>
    <w:p w14:paraId="2BCD9DA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267A3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Летом 1944 года во время операции "Багратион" впервые были широко применены новые тяжелые самоходные установки. Для проведения прорыва Красная Армия сосредоточила огромное количество тяжелой бронетехники, в том числе не менее 14 гвардейских полков самоходной артиллерии. Главный удар был нанесен в направлении Минска. На этом участке фронта действовали три полка из 5-й Армии и два из 49-й армии. Полки самоходной артиллерии особенно отличились в боях за Полоцк и Витебск. Восемь полков получили почетные названия в честь освобожденных городов, три полка были награждены орденом Боевого Красного Знамени, а три - орденом Красной Звезды. ИСУ-122 и ИСУ-152 вскоре заслужили славу грозного противника немецких "Тигров". Эта репутация была подкреплена делом, например, из 12 "Тигров", потерянных 502-м PzAbt летом 1944 года в Белоруссии и Прибалтике, половина была на счету ИСУ-122 и ИСУ-152..</w:t>
      </w:r>
    </w:p>
    <w:p w14:paraId="012A982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Тяжелые самоходно-артиллерийские полки, приданные танковым и стрелковым частям и соединениям, в первую очередь использовались для поддержки пехоты и танков в наступлении. Следуя в их боевых порядках, САУ уничтожали огневые точки противника и обеспечивали пехоте и танкам успешное продвижение. В этой фазе наступления САУ становились одним из основных средств отражения танковых контратак. В ряде случаев им приходилось выдвигаться вперед боевых порядков своих войск и принимать удар на себя, обеспечивая тем самым свободу маневра поддерживаемых танков. (3862).</w:t>
      </w:r>
    </w:p>
    <w:p w14:paraId="5A1C98D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1F52AF" w14:textId="77777777" w:rsidR="00801247" w:rsidRPr="007224C3" w:rsidRDefault="00801247" w:rsidP="007224C3">
      <w:pPr>
        <w:pStyle w:val="ae"/>
        <w:shd w:val="clear" w:color="auto" w:fill="FFFFFF"/>
        <w:spacing w:before="0" w:after="0"/>
        <w:jc w:val="both"/>
        <w:rPr>
          <w:color w:val="000000" w:themeColor="text1"/>
          <w:sz w:val="16"/>
          <w:szCs w:val="16"/>
        </w:rPr>
      </w:pPr>
      <w:r w:rsidRPr="007224C3">
        <w:rPr>
          <w:color w:val="000000" w:themeColor="text1"/>
          <w:sz w:val="16"/>
          <w:szCs w:val="16"/>
        </w:rPr>
        <w:t>Летом 1944 года трофейные «Пантеры» применялись наиболее массово. Например, в составе 51-го отдельного мотоциклетного полка имелась рота трофейных тяжёлых танков, на вооружении которой находились 5 «Тигров» и 2 «Пантеры». К началу Львовско-Сандомирской операции в строю здесь оставалась всего одна «Пантера», причём она требовала ремонта. В состоянии «среднего ремонта» немецкая машина находилась весь июль, продолжая при этом участвовать в боевых действиях. Подобная ситуация не являлась уникальной: из других частей 1-го Украинского фронта, в которых имелись подобные танки, постоянно поступали жалобы на скверное техническое состояние «Пантер».</w:t>
      </w:r>
    </w:p>
    <w:p w14:paraId="4AB3D0D3" w14:textId="77777777" w:rsidR="00801247" w:rsidRPr="007224C3" w:rsidRDefault="00801247" w:rsidP="007224C3">
      <w:pPr>
        <w:pStyle w:val="ae"/>
        <w:shd w:val="clear" w:color="auto" w:fill="FFFFFF"/>
        <w:spacing w:before="0" w:after="0"/>
        <w:jc w:val="both"/>
        <w:rPr>
          <w:color w:val="000000" w:themeColor="text1"/>
          <w:sz w:val="16"/>
          <w:szCs w:val="16"/>
        </w:rPr>
      </w:pPr>
      <w:r w:rsidRPr="007224C3">
        <w:rPr>
          <w:color w:val="000000" w:themeColor="text1"/>
          <w:sz w:val="16"/>
          <w:szCs w:val="16"/>
        </w:rPr>
        <w:t>Применялись трофейные немецкие машины и частями 8-го гвардейского танкового корпуса. 18 августа 1944 года 59-й гвардейской танковой бригадой в районе Ясеницы (Польша) было захвачено 3 Pz.Kpfw. Panther Ausf.A, входивших в состав 5-й танковой дивизии СС «Викинг». На следующий день танки были переданы в состав 62-го гвардейского тяжёлого танкового полка. К тому моменту в составе полка имелось 11 ИС-2. Немецкие танки вошли в состав роты под командованием младшего лейтенанта Сотникова и получили характерные эмблемы 62 гв. ттп (17729).</w:t>
      </w:r>
    </w:p>
    <w:p w14:paraId="6F5F12E7" w14:textId="77777777" w:rsidR="00801247" w:rsidRPr="007224C3" w:rsidRDefault="00801247" w:rsidP="007224C3">
      <w:pPr>
        <w:pStyle w:val="123"/>
        <w:shd w:val="clear" w:color="auto" w:fill="auto"/>
        <w:spacing w:after="0" w:line="240" w:lineRule="auto"/>
        <w:jc w:val="both"/>
        <w:rPr>
          <w:color w:val="000000" w:themeColor="text1"/>
          <w:sz w:val="16"/>
          <w:szCs w:val="16"/>
        </w:rPr>
      </w:pPr>
    </w:p>
    <w:p w14:paraId="2D65297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лета 1944 г. началось массовое применение на полях сражений РБС-82 (8270).</w:t>
      </w:r>
    </w:p>
    <w:p w14:paraId="1CF4BCA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F7421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Летом 1944 года в 6-м гвардейском иап авиации ВМФ, по предложению техника по фотооборудованию Комарова, вместо одной фотокамеры на Як-9Р установили два АФА-ИМ в грузовом отсеке, что позволило вдвое увеличить угол захвата местности при фотосъемке. Доработку разведчика выполнили в передвижных авиаремонтных мастерских (ПАРМ) и с успехом использовали машину на фронте (12046).</w:t>
      </w:r>
    </w:p>
    <w:p w14:paraId="6FB049B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5909FDE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Летом 1944 г. был прекращен серийный выпуск всех вариантов Ju87, так что к осени в люфтваффе сохранилась только одна группа III./SG2, еще летавшая на Ju87D днем, а также две противотанковые эскадрильи на Ju87G -10.(Pz)/SG2 и 10.(Pz)/SG77. Оставшиеся боеспособные Ju87 перешли в разряд "ночных" штурмовиков. IV. (Pz)/ SG9 продолжала летать на бронированных "хеншелях". Все остальные штурмовые авиагруппы имели на вооружении Fwl90F.</w:t>
      </w:r>
    </w:p>
    <w:p w14:paraId="6F5F495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Надо признать, ставка люфтваффе на ударные варианты "сто девяностого" не оправдалась. Все штурмовые варианты "фокке-вульфа" оказались все же неэффективными в бою.</w:t>
      </w:r>
    </w:p>
    <w:p w14:paraId="358D32B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Плохой обзор вперед-вниз и отсутствие нормального бомбардировочного прицела не позволяли точно бомбить, а возросший полетный вес и ухудшенная аэродинамика (даже без бомб) - на равных противостоять советским истребителям.</w:t>
      </w:r>
    </w:p>
    <w:p w14:paraId="04DFABF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Расчеты показывают (использовались все имеющиеся в распоряжении авторов данные по испытаниям модификаций Fwl90F - НИИ ВВС КА, ЛИИ НКАП и английские), что максимальная скорость Fwl90F на малых и предельно малых высотах с бомбовой нагрузкой практически должна была быть около 403 км/ч (а не 480 км/ч, как утверждается в ряде зарубежных и отечественных публикациях). То есть примерно совпадала с максимальной скоростью полета одноместного Ил-2 АМ-38 без PC и с 400 кг бомб на внутренней подвеске и примерно на 50-70 км/ ч была меньше, чем у Ил-10 АМ-42 без PC и с наружной подвеской 2-х ФАБ-250.</w:t>
      </w:r>
    </w:p>
    <w:p w14:paraId="13D4E48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Последнее, в сочетании с явно недостаточным бронированием (защиту, примерно равную защите советского Ил-2, немецкая гомогенная броня могла обеспечить лишь при суммарном весе бронедеталей на самолете в 1000-1200 кг), определяло и большие потери Fwl90F от наземного огня.</w:t>
      </w:r>
    </w:p>
    <w:p w14:paraId="694F8839"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Летчик спереди-снизу в секторе примерно 20°, а также с боков не был защищен даже от пуль нормального калибра и лишь частично защищался бензобаками - снизу и с боков. Снизу и снизу-сзади летчик не имел защиты от пуль калибра 12,7 мм. Угловая защищенность летчика сзади также весьма незначительна: туловище - в пределах ± 15-20° в горизонтальной плоскости, голова и плечи защищены только по полету.</w:t>
      </w:r>
    </w:p>
    <w:p w14:paraId="2B29DE9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Утверждения авторов некоторых публикаций о том, что лобовое бронестекло фонаря кабины пилота Fwl90 в типовых условиях боев того времени выдерживало попадания пуль калибра 12,7 мм, на самом деле действительности не соответствует. Как показали полигонные испытания, немецкое бронестекло толщиной 60 мм выдерживало удар пули нормального калибра с дистанции 100 м только под углами к нормали не менее 40°, не говоря уже о крупнокалиберных пулях к пулемету УБ...</w:t>
      </w:r>
    </w:p>
    <w:p w14:paraId="004DA95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Слабой была защита маслорадиатора, кольцевого маслобака и вентилятора, автоматически регулирующего температуру головок цилиндров мотора и масла, при обстреле пулями нормального калибра спереди снизу, сверху и сбоку. Их поражение с высокой вероятностью приводило к выходу из строя мотора, то есть главное преимущество мотора воздушного охлаждения теряло смысл.</w:t>
      </w:r>
    </w:p>
    <w:p w14:paraId="3E67327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рекомендациях летчикам строевых частей по ведению воздушного боя с "фокке-вульфами" в качестве наиболее уязвимых мест немецкой машины указывались: кабина пилота, протектированные, но не имеющие бронирования бензобаки и вентилятор.</w:t>
      </w:r>
    </w:p>
    <w:p w14:paraId="18071B3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 в книге "Тактика истребительной авиации", изданной Управлением ВВС КА в 1943 г., отмечалось: "Уязвимой является передняя часть капота мотора, где расположены маслобак и маслорадиатор. В передней же части кольца "НАКА" работает на очень больших оборотах вентилятор, подающий воздух для принудительного охлаждения мотора. Вывод из строя маслосистемы или вентилятора неизбежно приводит к сгоранию или заклинению мотора".</w:t>
      </w:r>
    </w:p>
    <w:p w14:paraId="63AB6F4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Единственное спасение "фокке-вульфов" от огня зенитных средств и истребителей Красной Армии могло быть только за счет использования хороших разгонных характеристик машины на снижении. Что, собственно говоря, немцы и делали.</w:t>
      </w:r>
    </w:p>
    <w:p w14:paraId="42DA063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Собственно говоря, немцы на Fwl90F вынуждены были прибегать к тактике действий с бреющего полета, от которой в силу известных причин штурмовики Ил-2 отказались с весны 1942 г. И это при условии, что Ил-2 был лучше бронирован, располагал большим арсеналом средств поражения, имел лучшие маневренные характеристики у земли и примерно одинаковую с немецкими штурмовиками скорость полета.</w:t>
      </w:r>
    </w:p>
    <w:p w14:paraId="412E122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Всякие басни об успехе топмачтового способа бомбометания по танкам не выдерживают никакой критики. Прежде всего, размеры морских целей намного превышали размеры танков, что позволяло уверенно поражать корабли. Кроме того, корабли были практически неманеврирующей целью, что нельзя сказать о танках. Топмачтовое бомбометание, как правило, осуществлялось в тех случаях, когда море было спокойным (в штиль). Водная поверхность для авиабомб была абсолютно несжимаемой и обладала стабильными рикошетирующими свойствами. На суше подстилающая поверхность в большинстве случаев не была гладкой и имела неравномерную плотность, что давало совершенно непредсказуемые рикошетирующие эффекты.</w:t>
      </w:r>
    </w:p>
    <w:p w14:paraId="1F7B1A4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Применительно к сложившимся условиям боевого применения Fwl90F в завершающий период войны вероятность боевого успеха одиночного "фоккера" в одном боевом вылете при поражении советской техники составляла: легких танков всех типов - около 0,05, бронемашины - 0,16, автомашины - 0,24, артиллерия на позиции -0,08, переправы (наплавной мост типа ТПМ) - 0,006.</w:t>
      </w:r>
    </w:p>
    <w:p w14:paraId="50AC649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Учитывая резкое увеличение плотности войск Красной Армии в наступательных операциях завершающего периода войны (до 60-70 танков и САУ и 200-250 орудий и минометов на 1 км фронта), пилоты штурмовой авиации люфтваффе в типовых условиях боев при отражении атаки советских войск при самом лучшем раскладе могли уничтожить не более 0,5-0,6% целей на поле боя. Очевидно, что такая эффективность действий немецких штурмовиков совершенно не обеспечивала устойчивость обороны войск вермахта. Красная Армия вышла на оперативный простор, и теперь "положительная обратная связь" работала на красноармейцев в полную силу - солдаты вермахта несли потери значительно большие, чем советские войска, а немецкому командованию не удавалось парировать удары своего противника...</w:t>
      </w:r>
    </w:p>
    <w:p w14:paraId="009C01A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Отметим, что на снижение эффективности непосредственной авиационной поддержки войск вермахта сильно повлияло завоевание ВВС Красной Армии с лета 1943 г. стратегического господства в воздухе, в результате чего штурмовики люфтваффе утратили всякую инициативу действий в воздухе над полем боя.</w:t>
      </w:r>
    </w:p>
    <w:p w14:paraId="7BF7FC6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Таким образом, весь ход боевых действий на восточном фронте показывает, что люфтваффе ни к началу войны, ни в течение войны не имели не только хорошего противотанкового самолета, но и приличной штурмовой машины для действий на поле боя. Немецкая концепция построения боевых сил авиации непосредственной поддержки войск в условиях затяжной войны "по науке" оказалась не состоятельной...(9084).</w:t>
      </w:r>
    </w:p>
    <w:p w14:paraId="739A864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1E6A9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Летом 1944 г. войска Карельского фронта готовились к крупномасштабному наступлению, которое должно было начаться с форсирования реки. Одна из самых серьезных трудностей состояла в том, что уровень воды в Свири регулировался плотиной электростанции. Выше плотины образовалось широкое и глубокое водохранилище, а преодоление реки ниже плотины практически исключалось: противник в любой момент мог открыть затворы и затопить долину. В конечном итоге решили наступать выше плотины, но для этого надо было разрушить её до 21 июня - назначенного срока начала наступления. Для решения этой задачи командование авиации КБФ сформировало специальную оперативную группу из торпедоносцев, топ-мачтовиков, штурмовиков и истребителей - всего 55 самолетов, куда входило и пятерка «Илов». Подготовкой группы и проведением удара руководил лично Борзов. Подготовка к удару предусматривала тренировки на полигоне в прицельном бомбометании. Всего на полигоне было выполнено 38 тренировочных самолето-вылетов, сброшено 160 бомб. В целях скрытности конкретная задача была поставлена экипажам лишь за сутки до вылета. Экипажи были ознакомлены с общей обстановкой, расположением линии фронта, составом и размещением сил ПВО противника, сведениями о запасных аэродромах и наземных средствах обеспечения самолетовождения. Авиационное прикрытие обеспечивалось своими силами, а также истребителями воздушной армии (9965).</w:t>
      </w:r>
    </w:p>
    <w:p w14:paraId="4BEB4AF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1CA7BD19"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Внешняя политика:</w:t>
      </w:r>
    </w:p>
    <w:p w14:paraId="6A0E39F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ED31A1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Летом 1944 года неизвестный принес в советское генконсульство пакет на имя посла А. А. Громыко. При вскрытии оказалось, что в нем находятся совершенно секретные материалы по проекту «Энормоз». Установить неизвестного не удалось. Центр, получивший эти материалы, оценил их как «исключительно интересные», однако отчитал резидентуру за то, что она не приняла мер по установлению контакта с этим лицом.</w:t>
      </w:r>
    </w:p>
    <w:p w14:paraId="439DB2C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1944 году Д. Маклин (Гомер) занял пост первого секретаря посольства Великобритании в США и смог получить доступ ко всей информации, которой они обменивались с американцами по данной тематике (Тарасов И. Важные вопросы мы решаем на балконе // Бизнес и безопасность. — 1997. — № 4.) (11765).</w:t>
      </w:r>
    </w:p>
    <w:p w14:paraId="13DFAFB8"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0764E743"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За рубежом:</w:t>
      </w:r>
    </w:p>
    <w:p w14:paraId="4508986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5CBA7EB" w14:textId="77777777" w:rsidR="001444FD" w:rsidRPr="007224C3" w:rsidRDefault="001444F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xml:space="preserve">Летом 1941 года Известная своими артиллерийскими орудиями германская фирма «Рейнметалл-Борзиг» предложила управлению вооружений вермахта концептуальный проект серии многоступенчатых твердотопливных ракет с дальностью полета 120 км. При этом в зависимости от модификации вес боевого заряда ракеты мог составлять 250, 500 или 1000 кг. Из-за чрезвычайно большого расхода пороха (2800 кг на каждую ракету) фирме было предложено ограничить вес боевой части 40 килограммами, увеличив при этом дальность до 200 км. Проектирование и изготовление опытных образцов ракеты завершилось в очень короткие сроки: уже </w:t>
      </w:r>
      <w:r w:rsidRPr="007224C3">
        <w:rPr>
          <w:rFonts w:ascii="Times New Roman" w:hAnsi="Times New Roman"/>
          <w:color w:val="000000" w:themeColor="text1"/>
          <w:sz w:val="16"/>
          <w:szCs w:val="16"/>
        </w:rPr>
        <w:lastRenderedPageBreak/>
        <w:t>в ноябре 1941 года на полигоне Леба в Померании были начаты пуски опытных образцов ракет с разным числом ступеней. По результатам испытаний оптимальным оказался вариант четырехступенчатой ракеты длиной 8925 мм. Но ее дальность составляла всего 90 км, поэтому она была переконструирована с целью обеспечения дальности 160 км. Ракета получила фирменное обозначение RhZ61, а ее модификация с увеличенным с 30 до 40 кг боевым зарядом - RhZ61/9. В этом окончательном варианте ракета имела длину 11 400 мм и весила 1715 кг. Диаметр первой ступени составлял 535 мм, за ней следовали две ступени диаметром 268 мм, а несущая боевой заряд четвертая имела диаметр 190 мм. Твердотопливные ракетные двигатели всех четырех ступеней содержали 585 кг пороха, после сгорания которого ракета развивала скорость полета 1520 м/сек.</w:t>
      </w:r>
    </w:p>
    <w:p w14:paraId="20F5CFEB" w14:textId="77777777" w:rsidR="001444FD" w:rsidRPr="007224C3" w:rsidRDefault="001444F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Запуск ракеты осуществлялся под утлом примерно 64° к горизонту с мобильной пусковой установки. После достижения высоты около 70 000 м ракета падала на удаленную на 200 км цель под углом до 52°. Полетное время составляло до 260 секунд. В результате взрыва ракеты в грунте средней прочности обычно образовывалась воронка глубиной примерно 1,5 м и диаметром 4 м. Такой результат считался недостаточно высоким, поэтому для повышения поражающего воздействия было решено не разделять третью и четвертую ступени.</w:t>
      </w:r>
    </w:p>
    <w:p w14:paraId="1136336E" w14:textId="77777777" w:rsidR="001444FD" w:rsidRPr="007224C3" w:rsidRDefault="001444F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Из-за отсутствия на ракете системы управления невысокой была и ее точность. В декабре 1944 года на максимальную дальность было запущено 12 ракет, при этом среднее отклонение от точки прицеливания составляло 6 км.</w:t>
      </w:r>
    </w:p>
    <w:p w14:paraId="675FBA42" w14:textId="77777777" w:rsidR="001444FD" w:rsidRPr="007224C3" w:rsidRDefault="001444F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Однако важным достоинством ракеты считалась ее простота и относительно невысокая стоимость. Для изготовления одной ракеты требовалось всего 132 человеко-часа.</w:t>
      </w:r>
    </w:p>
    <w:p w14:paraId="5E7951C3" w14:textId="77777777" w:rsidR="001444FD" w:rsidRPr="007224C3" w:rsidRDefault="001444F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Фирма «Рейнметалл-Борзиг» получила заказ на изготовление первых 300 ракет, а для их боевого применения в конце 1944 года был сформирован 709-й отдельный артиллерийский дивизион с численностью личного состава 460 солдат и офицеров. С декабря до середины января 1945 года дивизион запустил около 70 ракет «Рейнботе» по портовым сооружениям Антверпена, через который шел основной поток снабжения войск англо-американских союзников. Какие-либо заметные результаты обстрела отмечены не были, поэтому дальнейшие заказы на производство этой ракеты не выдавались. Работы по ее совершенствованию были прекращены с окончанием войны (15139).</w:t>
      </w:r>
    </w:p>
    <w:p w14:paraId="6F42933C" w14:textId="77777777" w:rsidR="001444FD" w:rsidRPr="007224C3" w:rsidRDefault="001444FD" w:rsidP="007224C3">
      <w:pPr>
        <w:spacing w:after="0" w:line="240" w:lineRule="auto"/>
        <w:jc w:val="both"/>
        <w:rPr>
          <w:rFonts w:ascii="Times New Roman" w:hAnsi="Times New Roman"/>
          <w:color w:val="000000" w:themeColor="text1"/>
          <w:sz w:val="16"/>
          <w:szCs w:val="16"/>
        </w:rPr>
      </w:pPr>
    </w:p>
    <w:p w14:paraId="68174620" w14:textId="77777777" w:rsidR="0089327F" w:rsidRPr="007224C3" w:rsidRDefault="0089327F"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Летом 1944 была основана Бахем верке АГ для реализации идеи Э.Бахема по вертикально взлетающему одноразовому реактивному истребителю-перехватчику. Идея была поддержана Г.Герингом (1118,26).</w:t>
      </w:r>
    </w:p>
    <w:p w14:paraId="5FEA3807" w14:textId="77777777" w:rsidR="0089327F" w:rsidRPr="007224C3" w:rsidRDefault="0089327F"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744ECB" w14:textId="77777777" w:rsidR="0004034B" w:rsidRPr="007224C3" w:rsidRDefault="0004034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Летом 1944 г., после начала ударов «Фау-1», Лондон покинуло почти полтора миллиона лондонцев (19629).</w:t>
      </w:r>
    </w:p>
    <w:p w14:paraId="03FF8AF4" w14:textId="77777777" w:rsidR="0004034B" w:rsidRPr="007224C3" w:rsidRDefault="0004034B" w:rsidP="007224C3">
      <w:pPr>
        <w:spacing w:after="0" w:line="240" w:lineRule="auto"/>
        <w:jc w:val="both"/>
        <w:rPr>
          <w:rFonts w:ascii="Times New Roman" w:hAnsi="Times New Roman"/>
          <w:color w:val="000000" w:themeColor="text1"/>
          <w:sz w:val="16"/>
          <w:szCs w:val="16"/>
        </w:rPr>
      </w:pPr>
    </w:p>
    <w:p w14:paraId="7D8277DF" w14:textId="77777777" w:rsidR="0004034B" w:rsidRPr="007224C3" w:rsidRDefault="0004034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Летом 1944 г. бри</w:t>
      </w:r>
      <w:r w:rsidRPr="007224C3">
        <w:rPr>
          <w:rFonts w:ascii="Times New Roman" w:hAnsi="Times New Roman"/>
          <w:color w:val="000000" w:themeColor="text1"/>
          <w:sz w:val="16"/>
          <w:szCs w:val="16"/>
        </w:rPr>
        <w:softHyphen/>
        <w:t>танское командование ВВС разработало план операции «Удар грома». Речь шла о серии массированных налетов на крупные германские города, проводившихся в течение трех дней и трех ночей. По разным причинам срок операции неоднократно переносили. Формально «Удар грома» должен был подавить волю германского народа к сопротивлению. Однако уже к концу 1944 г. союзники убедились в спокойствии германского населения, которое не только выдерживало стратегические бомбардировки, но и восстанавливало повреждения. Было ясно, что никакие «удары грома» здесь не помогут.</w:t>
      </w:r>
    </w:p>
    <w:p w14:paraId="113D9FEC" w14:textId="77777777" w:rsidR="0004034B" w:rsidRPr="007224C3" w:rsidRDefault="0004034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 у Черчилля был и другой расчет. 4 - 11 февраля 1945 г. в Ялте проходила Крымская конференция с участием Сталина, Рузвельта и Черчилля. Британскому премьеру очень хотелось произвести впечатление на Сталина, уничтожив «Ударом грома» один из германских городов. в начале января вышли к Одеру. Правда, погода подвела Черчилля, и бомбардировка Дрездена произошла уже после окончания конференции.</w:t>
      </w:r>
    </w:p>
    <w:p w14:paraId="042CE898" w14:textId="77777777" w:rsidR="0004034B" w:rsidRPr="007224C3" w:rsidRDefault="0004034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Позже англичане будут говорить о том, что разбомбить Дрезден их просил Сталин на Ялтинской конференции. Однако ни Сталин, ни иной советский военачальник не обращался к союзникам с такой просьбой.</w:t>
      </w:r>
    </w:p>
    <w:p w14:paraId="49E3CA1D" w14:textId="77777777" w:rsidR="0004034B" w:rsidRPr="007224C3" w:rsidRDefault="0004034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Мало того, подобная «помощь» Красной армии не требо</w:t>
      </w:r>
      <w:r w:rsidRPr="007224C3">
        <w:rPr>
          <w:rFonts w:ascii="Times New Roman" w:hAnsi="Times New Roman"/>
          <w:color w:val="000000" w:themeColor="text1"/>
          <w:sz w:val="16"/>
          <w:szCs w:val="16"/>
        </w:rPr>
        <w:softHyphen/>
        <w:t>валась. Сообщение из из Ставки Верховного командования от 15 февраля 1945 г. гласило: «Три танковых корпуса маршала Конева совершили глубокий прорыв в направлении Дрездена и погнали впереди себя от 10 до 16 разбитых немецких диви</w:t>
      </w:r>
      <w:r w:rsidRPr="007224C3">
        <w:rPr>
          <w:rFonts w:ascii="Times New Roman" w:hAnsi="Times New Roman"/>
          <w:color w:val="000000" w:themeColor="text1"/>
          <w:sz w:val="16"/>
          <w:szCs w:val="16"/>
        </w:rPr>
        <w:softHyphen/>
        <w:t>зий. Число пленных растет с каждым часом, так как немецкие соединения вследствие своего истощения уже не способны к отходу и, с другой стороны, отсутствие горючего парализует транспортные колонны. Сегодня днем наши танковые колонны находились в 80 километрах от Дрездена» (19735).</w:t>
      </w:r>
    </w:p>
    <w:p w14:paraId="42CD8B88" w14:textId="77777777" w:rsidR="0004034B" w:rsidRPr="007224C3" w:rsidRDefault="0004034B" w:rsidP="007224C3">
      <w:pPr>
        <w:spacing w:after="0" w:line="240" w:lineRule="auto"/>
        <w:jc w:val="both"/>
        <w:rPr>
          <w:rFonts w:ascii="Times New Roman" w:hAnsi="Times New Roman"/>
          <w:color w:val="000000" w:themeColor="text1"/>
          <w:sz w:val="16"/>
          <w:szCs w:val="16"/>
        </w:rPr>
      </w:pPr>
    </w:p>
    <w:p w14:paraId="626EC7C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Летом 1944 г. с целью устрашения США Германия распространила провокационные слухи о том, что в ближайшее время немецкие подводные лодки, вооруженные V1, нанесут внезапный удар по Восточному побережью Соединенных Штатов (Орлов А.С. «Чудо-оружие»: обманутые надежды фюрера. Смоленск: Русич, 1999.). Вскоре американцам стало известно даже название операции – «Морской волк». Для борьбы с «морскими волками» командующий Атлантическим флотом вице-адмирал Ингрем выделил 42 эсминца и четыре авианосца с 76 самолетами.</w:t>
      </w:r>
    </w:p>
    <w:p w14:paraId="4EF41D2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Подробности операции «Морской волк» стали известны только после войны. Командующим подводными силами Германии адмиралом Деницем было подготовлено семь подводных лодок: U518, U546, U805, U858, U880, U881 и U1235, рассредоточенных в норвежских портах. План предусматривал поочередный выход подлодок в море в марте 1945 г. Для следования к американскому побережью компоновались две группы по три лодки, а U881 должна была действовать одиночно. Однако размещались ли на борту подлодок ракеты, до сих пор неизвестно.</w:t>
      </w:r>
    </w:p>
    <w:p w14:paraId="060F298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Разведка США добыла фотографии последних моделей немецких подлодок, на которых явственно различались приспособления, похожие на пусковые установки ракет. Все подлодки, за исключением U805 и U858, которые сдались США в связи с окончанием войны, были затоплены. На двух сдавшихся лодках ни пусковых установок, ни ракет не было обнаружено (11686).</w:t>
      </w:r>
    </w:p>
    <w:p w14:paraId="0EB9CB89"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C614527" w14:textId="77777777" w:rsidR="000F0D8A" w:rsidRPr="007224C3" w:rsidRDefault="000F0D8A"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Летом 1944-го удалось выяснить странные закономерности подрыва ракет в кон</w:t>
      </w:r>
      <w:r w:rsidRPr="007224C3">
        <w:rPr>
          <w:rFonts w:ascii="Times New Roman" w:hAnsi="Times New Roman"/>
          <w:color w:val="0070C0"/>
          <w:sz w:val="16"/>
          <w:szCs w:val="16"/>
        </w:rPr>
        <w:softHyphen/>
        <w:t>це траектории и на подлете к цели. Это срабатывал чувствительный де</w:t>
      </w:r>
      <w:r w:rsidRPr="007224C3">
        <w:rPr>
          <w:rFonts w:ascii="Times New Roman" w:hAnsi="Times New Roman"/>
          <w:color w:val="0070C0"/>
          <w:sz w:val="16"/>
          <w:szCs w:val="16"/>
        </w:rPr>
        <w:softHyphen/>
        <w:t>тонатор, но времени для доводки его импульсной системы не оставалось. С одной стороны, командование вер</w:t>
      </w:r>
      <w:r w:rsidRPr="007224C3">
        <w:rPr>
          <w:rFonts w:ascii="Times New Roman" w:hAnsi="Times New Roman"/>
          <w:color w:val="0070C0"/>
          <w:sz w:val="16"/>
          <w:szCs w:val="16"/>
        </w:rPr>
        <w:softHyphen/>
        <w:t>махта решило начать массирован</w:t>
      </w:r>
      <w:r w:rsidRPr="007224C3">
        <w:rPr>
          <w:rFonts w:ascii="Times New Roman" w:hAnsi="Times New Roman"/>
          <w:color w:val="0070C0"/>
          <w:sz w:val="16"/>
          <w:szCs w:val="16"/>
        </w:rPr>
        <w:softHyphen/>
        <w:t>ное применение ракетного оружия, с другой — этому противостояли та</w:t>
      </w:r>
      <w:r w:rsidRPr="007224C3">
        <w:rPr>
          <w:rFonts w:ascii="Times New Roman" w:hAnsi="Times New Roman"/>
          <w:color w:val="0070C0"/>
          <w:sz w:val="16"/>
          <w:szCs w:val="16"/>
        </w:rPr>
        <w:softHyphen/>
        <w:t>кие обстоятельства, как наступление советских войск, перенесение бое</w:t>
      </w:r>
      <w:r w:rsidRPr="007224C3">
        <w:rPr>
          <w:rFonts w:ascii="Times New Roman" w:hAnsi="Times New Roman"/>
          <w:color w:val="0070C0"/>
          <w:sz w:val="16"/>
          <w:szCs w:val="16"/>
        </w:rPr>
        <w:softHyphen/>
        <w:t>вых действий на территорию Польши и приближение линии фронта к поли</w:t>
      </w:r>
      <w:r w:rsidRPr="007224C3">
        <w:rPr>
          <w:rFonts w:ascii="Times New Roman" w:hAnsi="Times New Roman"/>
          <w:color w:val="0070C0"/>
          <w:sz w:val="16"/>
          <w:szCs w:val="16"/>
        </w:rPr>
        <w:softHyphen/>
        <w:t>гону Близна.</w:t>
      </w:r>
    </w:p>
    <w:p w14:paraId="7AA6AACD" w14:textId="77777777" w:rsidR="000F0D8A" w:rsidRPr="007224C3" w:rsidRDefault="000F0D8A"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Когда на складах накопилось 1800 готовых А-4, было решено наконец начать полномасштабную кампа</w:t>
      </w:r>
      <w:r w:rsidRPr="007224C3">
        <w:rPr>
          <w:rFonts w:ascii="Times New Roman" w:hAnsi="Times New Roman"/>
          <w:color w:val="0070C0"/>
          <w:sz w:val="16"/>
          <w:szCs w:val="16"/>
        </w:rPr>
        <w:softHyphen/>
        <w:t>нию запусков нового “чуда-оружия”. Новое вооружение поступило в 836 Artillerie Abteilung. Освоение новой техники и учебные стрельбы прохо</w:t>
      </w:r>
      <w:r w:rsidRPr="007224C3">
        <w:rPr>
          <w:rFonts w:ascii="Times New Roman" w:hAnsi="Times New Roman"/>
          <w:color w:val="0070C0"/>
          <w:sz w:val="16"/>
          <w:szCs w:val="16"/>
        </w:rPr>
        <w:softHyphen/>
        <w:t>дили в Польше, недалеко от Близны. Всего в Польше было израсходовано 600 ракет А-4.</w:t>
      </w:r>
    </w:p>
    <w:p w14:paraId="66F37F2B" w14:textId="77777777" w:rsidR="000F0D8A" w:rsidRPr="007224C3" w:rsidRDefault="000F0D8A"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В отличие от V-1 (ФАУ-1) ракета А-4 могла запускаться не только со стационарной установки, су</w:t>
      </w:r>
      <w:r w:rsidRPr="007224C3">
        <w:rPr>
          <w:rFonts w:ascii="Times New Roman" w:hAnsi="Times New Roman"/>
          <w:color w:val="0070C0"/>
          <w:sz w:val="16"/>
          <w:szCs w:val="16"/>
        </w:rPr>
        <w:softHyphen/>
        <w:t>ществовал ее мобильный вариант Meillerwagen, способный перевозить и осуществлять пуск. К сентябрю были готовы для боевого использова</w:t>
      </w:r>
      <w:r w:rsidRPr="007224C3">
        <w:rPr>
          <w:rFonts w:ascii="Times New Roman" w:hAnsi="Times New Roman"/>
          <w:color w:val="0070C0"/>
          <w:sz w:val="16"/>
          <w:szCs w:val="16"/>
        </w:rPr>
        <w:softHyphen/>
        <w:t>ния и сами ракеты. Ракетчики Пене</w:t>
      </w:r>
      <w:r w:rsidRPr="007224C3">
        <w:rPr>
          <w:rFonts w:ascii="Times New Roman" w:hAnsi="Times New Roman"/>
          <w:color w:val="0070C0"/>
          <w:sz w:val="16"/>
          <w:szCs w:val="16"/>
        </w:rPr>
        <w:softHyphen/>
        <w:t>мюнде подготовили программы для системы управления А-4, нацеливая ее на Лондон, Антверпен, Брюссель и Льеж. В четверг, 6 сентября 1944 года в район близ Гааги (Голландия) прибыла группа солдат. Они в тече</w:t>
      </w:r>
      <w:r w:rsidRPr="007224C3">
        <w:rPr>
          <w:rFonts w:ascii="Times New Roman" w:hAnsi="Times New Roman"/>
          <w:color w:val="0070C0"/>
          <w:sz w:val="16"/>
          <w:szCs w:val="16"/>
        </w:rPr>
        <w:softHyphen/>
        <w:t>ние двух часов выставили жителей ближайшего района из домов, от мес</w:t>
      </w:r>
      <w:r w:rsidRPr="007224C3">
        <w:rPr>
          <w:rFonts w:ascii="Times New Roman" w:hAnsi="Times New Roman"/>
          <w:color w:val="0070C0"/>
          <w:sz w:val="16"/>
          <w:szCs w:val="16"/>
        </w:rPr>
        <w:softHyphen/>
        <w:t>тной электростанции протянули не</w:t>
      </w:r>
      <w:r w:rsidRPr="007224C3">
        <w:rPr>
          <w:rFonts w:ascii="Times New Roman" w:hAnsi="Times New Roman"/>
          <w:color w:val="0070C0"/>
          <w:sz w:val="16"/>
          <w:szCs w:val="16"/>
        </w:rPr>
        <w:softHyphen/>
        <w:t>сколько ниток кабеля. На следующий день пришла колонна из шести авто</w:t>
      </w:r>
      <w:r w:rsidRPr="007224C3">
        <w:rPr>
          <w:rFonts w:ascii="Times New Roman" w:hAnsi="Times New Roman"/>
          <w:color w:val="0070C0"/>
          <w:sz w:val="16"/>
          <w:szCs w:val="16"/>
        </w:rPr>
        <w:softHyphen/>
        <w:t>машин. Это были установки с ракета</w:t>
      </w:r>
      <w:r w:rsidRPr="007224C3">
        <w:rPr>
          <w:rFonts w:ascii="Times New Roman" w:hAnsi="Times New Roman"/>
          <w:color w:val="0070C0"/>
          <w:sz w:val="16"/>
          <w:szCs w:val="16"/>
        </w:rPr>
        <w:softHyphen/>
        <w:t>ми А-4 и пусковой аппаратурой (22801).</w:t>
      </w:r>
    </w:p>
    <w:p w14:paraId="266288D6" w14:textId="77777777" w:rsidR="000F0D8A" w:rsidRPr="007224C3" w:rsidRDefault="000F0D8A" w:rsidP="007224C3">
      <w:pPr>
        <w:spacing w:after="0" w:line="240" w:lineRule="auto"/>
        <w:jc w:val="both"/>
        <w:rPr>
          <w:rFonts w:ascii="Times New Roman" w:hAnsi="Times New Roman"/>
          <w:color w:val="0070C0"/>
          <w:sz w:val="16"/>
          <w:szCs w:val="16"/>
        </w:rPr>
      </w:pPr>
    </w:p>
    <w:p w14:paraId="2D284905" w14:textId="77777777" w:rsidR="000F0D8A" w:rsidRPr="007224C3" w:rsidRDefault="000F0D8A"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Летом 1944 г. в Праге облетали высотный Ju 290B-1, который от модификации «А» отличался герметичными кабинами и усиленной конструкцией, в т.ч. и за счет того, что в хвостовой части зашили огромный вырез под грузовую рампу, который снижал жесткость хвостовой части на предыдущих самолетах. Агрегаты головной машины изготовили в Бернбурге без гермокабин и с макетами стрелковых точек, а сборка была завершена заводом «Летов».</w:t>
      </w:r>
    </w:p>
    <w:p w14:paraId="7D85FF08" w14:textId="77777777" w:rsidR="000F0D8A" w:rsidRPr="007224C3" w:rsidRDefault="000F0D8A"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rPr>
        <w:t>Испытания продолжались до марта 1945 г., хотя уже было решено отказаться от его серийного выпуска в пользу Ju 290B-2 с двигателями BMW 801E (по 1970 л.с. на взлете, 1740 л.с. на высоте 2000 м и 1460 л.с. на 6200 м). В связи с трудностями с отработкой гермокабин большого объема и подвижных герметичных стрелковых установок Ju 290B-1 еще до окончания его строительства было решено В-2 рассчитывать на средние высоты. Постройка самолета началась в Бернбурге в 1944 г., но была прекращена из-за дефицита конструкционных материалов и комплектующих (22969).</w:t>
      </w:r>
    </w:p>
    <w:p w14:paraId="1895DB48" w14:textId="77777777" w:rsidR="000F0D8A" w:rsidRPr="007224C3" w:rsidRDefault="000F0D8A" w:rsidP="007224C3">
      <w:pPr>
        <w:spacing w:after="0" w:line="240" w:lineRule="auto"/>
        <w:jc w:val="both"/>
        <w:rPr>
          <w:rFonts w:ascii="Times New Roman" w:hAnsi="Times New Roman"/>
          <w:color w:val="0070C0"/>
          <w:sz w:val="16"/>
          <w:szCs w:val="16"/>
        </w:rPr>
      </w:pPr>
    </w:p>
    <w:p w14:paraId="08C1FAEC"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Летом 1944 г. были проведены теоретические и экспериментальные исследования крылатой ракеты А9. Их результаты показали, что модель А9, входя в плотные слои атмосферы на нисходящей ветви траектории, уверенно планирует и управляется аэродинамическими рулями. Это дало основание фон Брауну доложить Управлению вооружения, что дальность полета крылатой ракеты А9 составит 450 км. Вообще предполагалось, что на завершающем этапе крылатая ракета, планируя, сможет преодолеть расстояние 450–590 км за 17 минут.</w:t>
      </w:r>
    </w:p>
    <w:p w14:paraId="14C3F36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Об одном из экспериментов в аэродинамической трубе с моделью А9, свидетелем которого стал генерал Дорнбергер, он вспоминал: «...я и доктор Герман попали в то помещение, в котором, собственно, и проводились испытания. Доктор Герман хотел сегодня продемонстрировать устойчивость нового макета снаряда А9 при числе Маха 4,4, то есть при скорости полета тела примерно 1500 м/с. Эта небольшая модель, вращаясь при малейшем прикосновении, напоминала по форме А4, но была снабжена очень тонкими, острыми, как ножи, стреловидными крыльями, отогнутыми назад. Сегодня должен быть произведен замер колебаний, с тем чтобы выяснить, будет ли при этой высокой сверхзвуковой скорости устойчивой модель, профили крыльев которой уравновешены относительно продольной оси, то есть поворачивается ли она своей головкой в направлении полета, затухают ли ее колебания относительно этого направления после нескольких размахов. Это означало бы, что модель обладает должным аэродинамическим демпфированием.</w:t>
      </w:r>
    </w:p>
    <w:p w14:paraId="3C5D445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Инженер, ведущий эксперимент, нажал кнопку. После этого открылась заслонка быстродействующего затвора, и воздух с шипением устремился через измерительную камеру в вакуумную сферу.</w:t>
      </w:r>
    </w:p>
    <w:p w14:paraId="611428A7"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Резко дернувшись, модель повернулась головной частью в направлении приближающегося потока воздуха. После нескольких немногочисленных затухающих колебаний небольшой амплитуды ракета устойчиво держалась в воздухе, который проносился вокруг нее со скоростью, в 4,4 раза превышающей скорость звука. Около головной части, на кромках крыльев и стабилизаторов можно было ясно видеть образование вихрей, которые под острым углом отходили вниз в косом направлении, и пересекали своими характерными то светлыми, то более темными линиями черно-белое изображение. Был ясно виден пограничный слой, окутывающий модель снаряда, – вверху он был светлым, а около нижней кромки темнее. Можно было заметить, как этот слой, расширяясь около конической части корпуса, постепенно отделялся сзади. Через 20 секунд, которые показались бесконечными, картина сразу изменилась. Инженер, руководивший опытом, закрыл вентиль быстродействующего затвора. Ясные вертикальные линии изображения пришли в движение, угол их раствора увеличился, они начали передвигаться вперед, возник своего рода вихрь, и затем эти линии исчезли. На светлом фоне матового стекла поднялось нечто вроде густого дыма. Модель утратила свое устойчивое положение. Она несколько раз повернулась вокруг своего центра тяжести и, наклонившись головной частью вниз, замерла. Эксперимент прошел замечательно. Этот снаряд, имевший форму самолета, обладал безупречной устойчивостью в диапазоне сверхзвуковой скорости до 1500 м/с».</w:t>
      </w:r>
    </w:p>
    <w:p w14:paraId="5D68877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Известно, что немецкие специалисты старались придать снаряду устойчивость и обеспечить управляемость во всем диапазоне скоростей, придавая крыльям различную форму, начиная со стреловидной и трапециевидной и кончая ступенчатой. Однако достигнуть хорошего аэродинамического качества им не удавалось из-за определенных ограничений, которые были наложены на эту ракету. Например, в качестве корпуса ракеты А9 должен был быть использован корпус ракеты А4 (11686).</w:t>
      </w:r>
    </w:p>
    <w:p w14:paraId="0E213F7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2C8D69C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Летом 1944 в Нормандии 4 американских офицера и журналист наблюдали пульсирующий красным цветом огненный шар, который приблизился к линии фронта, завис над ней в течение 15 минут, после чего быстро улетел (7579).</w:t>
      </w:r>
    </w:p>
    <w:p w14:paraId="482039E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59623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Посетивший летом 1944 г. Чунцин вице-президент США Генри Уоллес настоятельно рекомендовал Чан Кайши урегулировать отношения с коммунистами (3871).</w:t>
      </w:r>
    </w:p>
    <w:p w14:paraId="5B1A1DB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F2DCB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Летом 1944 г. американские силы выбили японцев с о. Сайпан в группе Марианских, получив плацдарм для нанесения прямых бомбовых ударов по собственно японской территории (3871).</w:t>
      </w:r>
    </w:p>
    <w:p w14:paraId="670AD74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F2E8B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лета 1944 г. ситуация в Японии приобрела черты всеобщего национального кризиса. В стране распространялись панические настроения в связи с начавшимися налетами американской авиации. Бомбардировки были не избирательными: удары наносились и по военным, и по гражданским объектам в крупных городах. Впервые за всю историю своих войн с внешним миром Япония столкнулась с войной на собственной территории. Психологически это действовало на нацию очень сильно. Страна была отрезана от значительной части источников сырья и продовольствия. Гражданское население голодало. Экономика была не в состоянии нормально функционировать. Людские ресурсы, требуемые для восполнения потерь армии в живой силе и поддержания приемлемого ритма хозяйственной жизни, были на пределе. Еще в 1943 г. на действительную военную службу были отправлены студенты японских университетов. Тогда же был увеличен предельный возраст службы в армии. В довершение всего в 1944 г. было принято решение о массовой эвакуации детей из городов в сельскую местность. Эта мера существенно способствовала нагнетанию атмосферы неуверенности и подавленности. В правящем слое нарастало недовольство войной (3871).</w:t>
      </w:r>
    </w:p>
    <w:p w14:paraId="72D56C7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B025B3"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00A2E45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41E02A6"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До середины лета 1944 г. проводимые на ЧКЗ мероприятия по улуч</w:t>
      </w:r>
      <w:r w:rsidRPr="007224C3">
        <w:rPr>
          <w:rFonts w:ascii="Times New Roman" w:hAnsi="Times New Roman"/>
          <w:color w:val="000000" w:themeColor="text1"/>
          <w:sz w:val="16"/>
          <w:szCs w:val="16"/>
        </w:rPr>
        <w:softHyphen/>
        <w:t>шению качества и повышению надежности танков ИС-2 необходимых результатов не давали. Правда, за это время удалось резко повысить на</w:t>
      </w:r>
      <w:r w:rsidRPr="007224C3">
        <w:rPr>
          <w:rFonts w:ascii="Times New Roman" w:hAnsi="Times New Roman"/>
          <w:color w:val="000000" w:themeColor="text1"/>
          <w:sz w:val="16"/>
          <w:szCs w:val="16"/>
        </w:rPr>
        <w:softHyphen/>
        <w:t>дежность ПМП, электроинерционного стартера ИС-9 и бортового ре</w:t>
      </w:r>
      <w:r w:rsidRPr="007224C3">
        <w:rPr>
          <w:rFonts w:ascii="Times New Roman" w:hAnsi="Times New Roman"/>
          <w:color w:val="000000" w:themeColor="text1"/>
          <w:sz w:val="16"/>
          <w:szCs w:val="16"/>
        </w:rPr>
        <w:softHyphen/>
        <w:t>дуктора. Качество выпускавшихся танков ИС-2 ко второй половине 1944 г. в результате проведенных мероприятий по усовершенствованию танка несколько возросло, однако не настолько, чтобы назвать его удовлетво</w:t>
      </w:r>
      <w:r w:rsidRPr="007224C3">
        <w:rPr>
          <w:rFonts w:ascii="Times New Roman" w:hAnsi="Times New Roman"/>
          <w:color w:val="000000" w:themeColor="text1"/>
          <w:sz w:val="16"/>
          <w:szCs w:val="16"/>
        </w:rPr>
        <w:softHyphen/>
        <w:t>рительным. Только начиная с третьего квартала 1944 г., когда на заводе было закончено переустройство линий поточного производства и кон</w:t>
      </w:r>
      <w:r w:rsidRPr="007224C3">
        <w:rPr>
          <w:rFonts w:ascii="Times New Roman" w:hAnsi="Times New Roman"/>
          <w:color w:val="000000" w:themeColor="text1"/>
          <w:sz w:val="16"/>
          <w:szCs w:val="16"/>
        </w:rPr>
        <w:softHyphen/>
        <w:t>вейера сборки танков, количество бездефектных машин возросло с 3 до 34%. Всего было создано около 300 поточных линий (10703).</w:t>
      </w:r>
    </w:p>
    <w:p w14:paraId="0E5845A7"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74CA5D"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7A84497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0027767" w14:textId="77777777" w:rsidR="00B216D6" w:rsidRPr="007224C3" w:rsidRDefault="00B216D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первом полугодии 1944 г. было собрано 19596 самолетов, в том числе 16296 боевых. Тем самым удалось превысить аналогичные показатели 1943 г. соответственно на 20,6 и 16,8% Этот прирост был обусловлен динамичным повышением производительности труда. Так, за первые шесть месяцев 1944 г. на заводе № 153 (Новосибирск) суточное производство истребителей увеличилось на четыре самолета, составив к июлю 20 Як-9 (18305).</w:t>
      </w:r>
    </w:p>
    <w:p w14:paraId="39AB6DEE" w14:textId="77777777" w:rsidR="00B216D6" w:rsidRPr="007224C3" w:rsidRDefault="00B216D6" w:rsidP="007224C3">
      <w:pPr>
        <w:spacing w:after="0" w:line="240" w:lineRule="auto"/>
        <w:jc w:val="both"/>
        <w:rPr>
          <w:rFonts w:ascii="Times New Roman" w:hAnsi="Times New Roman"/>
          <w:color w:val="000000" w:themeColor="text1"/>
          <w:sz w:val="16"/>
          <w:szCs w:val="16"/>
        </w:rPr>
      </w:pPr>
    </w:p>
    <w:p w14:paraId="576ADB4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первой половине 1944 г. в конструкцию Пе-2 внесли еще ряд небольших изменений. Но программа опытных работ, начатая Мясищевым в августе 1943 г,. не дала практического результата. Наиболее близок к удаче был Пе-2Б, рекомендованный военными в серию. Его намеревались сделать эталоном Пе-2 вначале на весь 1944 г., а затем на его вторую половину. Но испытывался он в НИИ ВВС в мае-июне 1944 г., когда уже летал куда более совершенный Пе-2И (3542).</w:t>
      </w:r>
    </w:p>
    <w:p w14:paraId="396B047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972E1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первой половине 1944 г. в конструкцию Пе-2 внесли еще ряд небольших изменений. Но программа опытных работ, начатая Мясищевьш в августе 1943 г,. не дала практического результата. Наиболее близок к удаче был Пе-2Б, рекомендованный военными в серию. Его намеревались сделать эталоном Пе-2 вначале на весь 1944 г., а затем на его вторую половину. Но испытывался он в НИИ ВВС. И вот тогда Мясищев, Окулов и вместе с ними НКАП в целом совершили серьезную ошибку. Несмотря на требования военных, авиапромышленность фактически отказалась от внедрения трех основных "изюминок" Пе-2Б - новой кабины с установкой ФЗ, нового люка стрелка-радиста, открывающегося наружу и облегчающего оставление самолета, а также аварийной механической системы уборки тормозных решеток. Нарком Шахурин мотивировал решение тем, что скорое внедрение в серию Пе-2И, имевшего скорость 650 км/час, решит все проблемы и сделает ненужным "промежуточный шаг" - Пе-2Б. Но мощный поток Пе-2И так никогда и не хлынул в строевые части, и, быть может, сотни экипажей "пешек" расплатились своими жизнями за это опрометчивое решение (3542).</w:t>
      </w:r>
    </w:p>
    <w:p w14:paraId="17CFC83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402DF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первой половине 1944 г. Главный морской штаб ВМФ СССР запросил у авиапромышленности о возможности создания в СССР аппарата, подобного оригинальному змею-автожиру Fa 330 “Bachsteize” (“Трясогузка”). В ответ из ЦАГИ поступило следующее письмо:</w:t>
      </w:r>
    </w:p>
    <w:p w14:paraId="4E2F08C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ваш запрос по поводу подъемного наблюдательного пункта для л/л и кораблей, описанного в информационном сообщении № 52 РУ ГМШ ВМФ сообщаю:</w:t>
      </w:r>
    </w:p>
    <w:p w14:paraId="7D6FD9A2"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Подъемный наблюдательный пункт типа автожира, поднимаемый с п/л или корабля во время хода и при наличии встречного ветра может быть практически осуществлен при малом весе и габаритах.</w:t>
      </w:r>
    </w:p>
    <w:p w14:paraId="46FD0FE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Вес аппарата с тросом длиной 150 м может составить всего 250 кг и полетный - порядка 330 кг. При трехлопастном роторе диаметром 8,0 м это позволит аппарату держаться на высоте 100 м при относительной скорости 30-35 км/час.</w:t>
      </w:r>
    </w:p>
    <w:p w14:paraId="75586BC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Конструктивно аппарат может быть сделан весьма просто. Втулка ротора состоит из 2-х обычных подшипников, лопасти имеют стальной лонжерон и деревянное покрытие, кабина пилота деревянная.</w:t>
      </w:r>
    </w:p>
    <w:p w14:paraId="5C2BC77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Ротор отсоединяется вместе с кабаном, крепящимся 3-мя болтами и лопасти складываются по типу зонтика.</w:t>
      </w:r>
    </w:p>
    <w:p w14:paraId="168F60E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Зам. Нач. ЦАГИ Остославский</w:t>
      </w:r>
    </w:p>
    <w:p w14:paraId="1585DE8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 научной группы лаборатории № 1 Миль</w:t>
      </w:r>
    </w:p>
    <w:p w14:paraId="4BB7B67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28.06.44 г.” (6470, 19).</w:t>
      </w:r>
    </w:p>
    <w:p w14:paraId="61E0CF7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851F2B"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76097AE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4BCD84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первой половине 1944 года были изготовлены опытные образцы Т-44. Проведенные испытания опытных образцов показали, что по целому ряду причин для танка Т-44 пушки повышенного калибра 122 и 100 мм неприемлемы, и дальнейшие работы по ним были прекращены. Испытания и доработка танка Т-44 с пушкой 85мм, принятой для Т-34-85, продолжались в течение 1944 года и к концу года были успешно завершены. Был создан новый средний танк (9154).</w:t>
      </w:r>
    </w:p>
    <w:p w14:paraId="3BC2902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2204EDB" w14:textId="77777777" w:rsidR="00E20115" w:rsidRPr="007224C3" w:rsidRDefault="00E20115" w:rsidP="007224C3">
      <w:pPr>
        <w:widowControl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первой половине 1944 года потребность наших войск в самоходной артиллерии еще более возросла. Особенно войска требовали все большее количество установок сопровождения пехоты КА – СУ-76М. К этому времени самоходная артиллерия уже получила общее признание не только как артиллерия непосредственного сопровождения пехоты и танков, но и как войсковая артиллерия подвижных соединений и мощное средство противотанковой борьбы наземных войск. В связи с потребностями Красной Армии промышленность широко развернула производство легких самоходных установок СУ-76М, удельный вес которых в общем производстве самоходной артиллерии за 1944 год был доведен почти до 60%. Поэтому стало возможным удовлетворить потребности пехоты в орудиях сопровождения и ввести в штат стрелковых дивизий Красной Армии самоходно-артиллерийские подразделения (15218).</w:t>
      </w:r>
    </w:p>
    <w:p w14:paraId="1C7DED9E" w14:textId="77777777" w:rsidR="00E20115" w:rsidRPr="007224C3" w:rsidRDefault="00E20115" w:rsidP="007224C3">
      <w:pPr>
        <w:widowControl w:val="0"/>
        <w:spacing w:after="0" w:line="240" w:lineRule="auto"/>
        <w:jc w:val="both"/>
        <w:rPr>
          <w:rFonts w:ascii="Times New Roman" w:hAnsi="Times New Roman"/>
          <w:color w:val="000000" w:themeColor="text1"/>
          <w:sz w:val="16"/>
          <w:szCs w:val="16"/>
        </w:rPr>
      </w:pPr>
    </w:p>
    <w:p w14:paraId="261199DF" w14:textId="77777777" w:rsidR="0004034B" w:rsidRPr="007224C3" w:rsidRDefault="0004034B" w:rsidP="007224C3">
      <w:pPr>
        <w:pStyle w:val="ae"/>
        <w:spacing w:before="0" w:after="0"/>
        <w:jc w:val="both"/>
        <w:textAlignment w:val="baseline"/>
        <w:rPr>
          <w:color w:val="000000" w:themeColor="text1"/>
          <w:sz w:val="16"/>
          <w:szCs w:val="16"/>
        </w:rPr>
      </w:pPr>
      <w:r w:rsidRPr="007224C3">
        <w:rPr>
          <w:color w:val="000000" w:themeColor="text1"/>
          <w:sz w:val="16"/>
          <w:szCs w:val="16"/>
        </w:rPr>
        <w:t>За первое полугодие 1944 года в СССР поступило 1065 танков, а безвозвратные потери составили 499 машин, из них 108 в мае, и 127 в июне. Общие же потери M4A2 за 1944 год составили 1145 единиц. Это стало самым массовым показателем среди иностранных танков, на втором месте были Valentine (776 штук за 1944 год). Данные цифры наглядно показывают, какую роль М4А2 стали играть в операциях Красной армии. Например, в составе 3-го Гвардейского механизированного корпуса к 22 июня 1944 года имелось 110 М4А2, а в составе 1-го механизированного корпуса — 136 танков данного типа. М4А2 активно применялись в ходе </w:t>
      </w:r>
      <w:hyperlink r:id="rId190" w:tgtFrame="_blank" w:history="1">
        <w:r w:rsidRPr="007224C3">
          <w:rPr>
            <w:rStyle w:val="a5"/>
            <w:bCs/>
            <w:iCs/>
            <w:color w:val="000000" w:themeColor="text1"/>
            <w:sz w:val="16"/>
            <w:szCs w:val="16"/>
            <w:bdr w:val="none" w:sz="0" w:space="0" w:color="auto" w:frame="1"/>
          </w:rPr>
          <w:t>операции «Багратион»</w:t>
        </w:r>
      </w:hyperlink>
      <w:r w:rsidRPr="007224C3">
        <w:rPr>
          <w:color w:val="000000" w:themeColor="text1"/>
          <w:sz w:val="16"/>
          <w:szCs w:val="16"/>
        </w:rPr>
        <w:t> и других операциях. Имелись они и на вооружении отдельных танковых полков, воевавших в составе кавалерийских дивизий (19038).</w:t>
      </w:r>
    </w:p>
    <w:p w14:paraId="0C48C0D4" w14:textId="77777777" w:rsidR="0004034B" w:rsidRPr="007224C3" w:rsidRDefault="0004034B" w:rsidP="007224C3">
      <w:pPr>
        <w:pStyle w:val="ae"/>
        <w:spacing w:before="0" w:after="0"/>
        <w:jc w:val="both"/>
        <w:textAlignment w:val="baseline"/>
        <w:rPr>
          <w:color w:val="000000" w:themeColor="text1"/>
          <w:sz w:val="16"/>
          <w:szCs w:val="16"/>
        </w:rPr>
      </w:pPr>
    </w:p>
    <w:p w14:paraId="5E1A3D0F"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Армия:</w:t>
      </w:r>
    </w:p>
    <w:p w14:paraId="2FA5638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6E92922"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первой половине 1944 г. тяжёлые бомбардировщики использовались под Ленинградом, где они бомбили позиции артиллерии противника. В феврале Пе-8 участвовали в налётах на Хельсинки. При этом опять применяли бомбы ФАБ-5000. Всего до весны 1944 г. на головы врага сбросили 13 этих чудовищ. 1944 г. стал последним в боевой карьере Пе-8. Причин этому было несколько. Красная Армия стремительно приближалась к границам рейха. Теперь приходилось сталкиваться с мощной системой ПВО немцев, имевшей опыт борьбы с соединениями американских и английских бомбардировщиков. Командование решило сберечь на будущее немногочисленные советские "летающие крепости". Да и особой нужды в них не было - дальности Ил-4 и В-25 вполне хватало, чтобы "накрыть" остававшуюся у противника территорию. Кроме того, учли разрушения планёра Пе-8, описанные ранее (11996).</w:t>
      </w:r>
    </w:p>
    <w:p w14:paraId="69DBE26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338A7126"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первой половине 1944 года началось формирование легких самоходно-артиллерийских бригад РВГК (60 СУ-76М и 5 Т-70) (3862).</w:t>
      </w:r>
    </w:p>
    <w:p w14:paraId="61239AD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F71FDD"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7C8E364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6C434B3"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середине 1944 г. эскизное проектирование самоле</w:t>
      </w:r>
      <w:r w:rsidRPr="007224C3">
        <w:rPr>
          <w:rFonts w:ascii="Times New Roman" w:hAnsi="Times New Roman"/>
          <w:color w:val="000000" w:themeColor="text1"/>
          <w:sz w:val="16"/>
          <w:szCs w:val="16"/>
        </w:rPr>
        <w:softHyphen/>
        <w:t>та ББ близилось к окончанию. Оставалось определиться с типом мотора. Требовалась мощность не менее 2200-2500 л.с. Николай Николаевич склонялся к исполь</w:t>
      </w:r>
      <w:r w:rsidRPr="007224C3">
        <w:rPr>
          <w:rFonts w:ascii="Times New Roman" w:hAnsi="Times New Roman"/>
          <w:color w:val="000000" w:themeColor="text1"/>
          <w:sz w:val="16"/>
          <w:szCs w:val="16"/>
        </w:rPr>
        <w:softHyphen/>
        <w:t>зованию двигателей А.А.Микулина. Но завершить заду</w:t>
      </w:r>
      <w:r w:rsidRPr="007224C3">
        <w:rPr>
          <w:rFonts w:ascii="Times New Roman" w:hAnsi="Times New Roman"/>
          <w:color w:val="000000" w:themeColor="text1"/>
          <w:sz w:val="16"/>
          <w:szCs w:val="16"/>
        </w:rPr>
        <w:softHyphen/>
        <w:t>манное не удалось (10667).</w:t>
      </w:r>
    </w:p>
    <w:p w14:paraId="6026B62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EA52E0E" w14:textId="77777777" w:rsidR="000F0D8A" w:rsidRPr="007224C3" w:rsidRDefault="000F0D8A"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lang w:eastAsia="ru-RU" w:bidi="ru-RU"/>
        </w:rPr>
        <w:t>С середины 1944 г. завод №23 совместно с туполевцами начал вносить в серийные машины различные усовер</w:t>
      </w:r>
      <w:r w:rsidRPr="007224C3">
        <w:rPr>
          <w:rFonts w:ascii="Times New Roman" w:hAnsi="Times New Roman"/>
          <w:color w:val="0070C0"/>
          <w:sz w:val="16"/>
          <w:szCs w:val="16"/>
          <w:lang w:eastAsia="ru-RU" w:bidi="ru-RU"/>
        </w:rPr>
        <w:softHyphen/>
        <w:t>шенствования.</w:t>
      </w:r>
    </w:p>
    <w:p w14:paraId="31E4B24B" w14:textId="77777777" w:rsidR="000F0D8A" w:rsidRPr="007224C3" w:rsidRDefault="000F0D8A"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lang w:eastAsia="ru-RU" w:bidi="ru-RU"/>
        </w:rPr>
        <w:t>Все конструкторское бюро к этому времени уже перебралось в Москву, раз</w:t>
      </w:r>
      <w:r w:rsidRPr="007224C3">
        <w:rPr>
          <w:rFonts w:ascii="Times New Roman" w:hAnsi="Times New Roman"/>
          <w:color w:val="0070C0"/>
          <w:sz w:val="16"/>
          <w:szCs w:val="16"/>
          <w:lang w:eastAsia="ru-RU" w:bidi="ru-RU"/>
        </w:rPr>
        <w:softHyphen/>
        <w:t>местившись в старом здании на улице Радио. Завод №156 выполнял функции опытного производства, производя необ</w:t>
      </w:r>
      <w:r w:rsidRPr="007224C3">
        <w:rPr>
          <w:rFonts w:ascii="Times New Roman" w:hAnsi="Times New Roman"/>
          <w:color w:val="0070C0"/>
          <w:sz w:val="16"/>
          <w:szCs w:val="16"/>
          <w:lang w:eastAsia="ru-RU" w:bidi="ru-RU"/>
        </w:rPr>
        <w:softHyphen/>
        <w:t>ходимые доработки, которые затем опро</w:t>
      </w:r>
      <w:r w:rsidRPr="007224C3">
        <w:rPr>
          <w:rFonts w:ascii="Times New Roman" w:hAnsi="Times New Roman"/>
          <w:color w:val="0070C0"/>
          <w:sz w:val="16"/>
          <w:szCs w:val="16"/>
          <w:lang w:eastAsia="ru-RU" w:bidi="ru-RU"/>
        </w:rPr>
        <w:softHyphen/>
        <w:t>бовались летчиками-испытателями.</w:t>
      </w:r>
    </w:p>
    <w:p w14:paraId="2D98AD9B" w14:textId="77777777" w:rsidR="000F0D8A" w:rsidRPr="007224C3" w:rsidRDefault="000F0D8A"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lang w:eastAsia="ru-RU" w:bidi="ru-RU"/>
        </w:rPr>
        <w:t>На серийных машинах улучшили гер</w:t>
      </w:r>
      <w:r w:rsidRPr="007224C3">
        <w:rPr>
          <w:rFonts w:ascii="Times New Roman" w:hAnsi="Times New Roman"/>
          <w:color w:val="0070C0"/>
          <w:sz w:val="16"/>
          <w:szCs w:val="16"/>
          <w:lang w:eastAsia="ru-RU" w:bidi="ru-RU"/>
        </w:rPr>
        <w:softHyphen/>
        <w:t>метизацию планера, крыло стали шпа</w:t>
      </w:r>
      <w:r w:rsidRPr="007224C3">
        <w:rPr>
          <w:rFonts w:ascii="Times New Roman" w:hAnsi="Times New Roman"/>
          <w:color w:val="0070C0"/>
          <w:sz w:val="16"/>
          <w:szCs w:val="16"/>
          <w:lang w:eastAsia="ru-RU" w:bidi="ru-RU"/>
        </w:rPr>
        <w:softHyphen/>
        <w:t>клевать и оклеивать полотном. Послед</w:t>
      </w:r>
      <w:r w:rsidRPr="007224C3">
        <w:rPr>
          <w:rFonts w:ascii="Times New Roman" w:hAnsi="Times New Roman"/>
          <w:color w:val="0070C0"/>
          <w:sz w:val="16"/>
          <w:szCs w:val="16"/>
          <w:lang w:eastAsia="ru-RU" w:bidi="ru-RU"/>
        </w:rPr>
        <w:softHyphen/>
        <w:t>нее немного подняло вес, но улучшило аэродинамику, скрыв часть огрехов из</w:t>
      </w:r>
      <w:r w:rsidRPr="007224C3">
        <w:rPr>
          <w:rFonts w:ascii="Times New Roman" w:hAnsi="Times New Roman"/>
          <w:color w:val="0070C0"/>
          <w:sz w:val="16"/>
          <w:szCs w:val="16"/>
          <w:lang w:eastAsia="ru-RU" w:bidi="ru-RU"/>
        </w:rPr>
        <w:softHyphen/>
        <w:t>готовления. Как уже говорилось, путе</w:t>
      </w:r>
      <w:r w:rsidRPr="007224C3">
        <w:rPr>
          <w:rFonts w:ascii="Times New Roman" w:hAnsi="Times New Roman"/>
          <w:color w:val="0070C0"/>
          <w:sz w:val="16"/>
          <w:szCs w:val="16"/>
          <w:lang w:eastAsia="ru-RU" w:bidi="ru-RU"/>
        </w:rPr>
        <w:softHyphen/>
        <w:t>вую устойчивость Ту-2 в НИИ ВВС оцени</w:t>
      </w:r>
      <w:r w:rsidRPr="007224C3">
        <w:rPr>
          <w:rFonts w:ascii="Times New Roman" w:hAnsi="Times New Roman"/>
          <w:color w:val="0070C0"/>
          <w:sz w:val="16"/>
          <w:szCs w:val="16"/>
          <w:lang w:eastAsia="ru-RU" w:bidi="ru-RU"/>
        </w:rPr>
        <w:softHyphen/>
        <w:t>вали как неудовлетворительную. Поэтому в феврале 1944 г. на самолете №100716 смонтировали кили с увеличенной пло</w:t>
      </w:r>
      <w:r w:rsidRPr="007224C3">
        <w:rPr>
          <w:rFonts w:ascii="Times New Roman" w:hAnsi="Times New Roman"/>
          <w:color w:val="0070C0"/>
          <w:sz w:val="16"/>
          <w:szCs w:val="16"/>
          <w:lang w:eastAsia="ru-RU" w:bidi="ru-RU"/>
        </w:rPr>
        <w:softHyphen/>
        <w:t>щадью верхней части. Устойчивость дей</w:t>
      </w:r>
      <w:r w:rsidRPr="007224C3">
        <w:rPr>
          <w:rFonts w:ascii="Times New Roman" w:hAnsi="Times New Roman"/>
          <w:color w:val="0070C0"/>
          <w:sz w:val="16"/>
          <w:szCs w:val="16"/>
          <w:lang w:eastAsia="ru-RU" w:bidi="ru-RU"/>
        </w:rPr>
        <w:softHyphen/>
        <w:t>ствительно улучшилась. По результатам испытаний в марте новое оперение ре</w:t>
      </w:r>
      <w:r w:rsidRPr="007224C3">
        <w:rPr>
          <w:rFonts w:ascii="Times New Roman" w:hAnsi="Times New Roman"/>
          <w:color w:val="0070C0"/>
          <w:sz w:val="16"/>
          <w:szCs w:val="16"/>
          <w:lang w:eastAsia="ru-RU" w:bidi="ru-RU"/>
        </w:rPr>
        <w:softHyphen/>
        <w:t>комендовали к внедрению на серийных бомбардировщиках.</w:t>
      </w:r>
    </w:p>
    <w:p w14:paraId="5548DC4A" w14:textId="77777777" w:rsidR="000F0D8A" w:rsidRPr="007224C3" w:rsidRDefault="000F0D8A" w:rsidP="007224C3">
      <w:pPr>
        <w:spacing w:after="0" w:line="240" w:lineRule="auto"/>
        <w:jc w:val="both"/>
        <w:rPr>
          <w:rFonts w:ascii="Times New Roman" w:hAnsi="Times New Roman"/>
          <w:color w:val="0070C0"/>
          <w:sz w:val="16"/>
          <w:szCs w:val="16"/>
          <w:lang w:eastAsia="ru-RU" w:bidi="ru-RU"/>
        </w:rPr>
      </w:pPr>
      <w:r w:rsidRPr="007224C3">
        <w:rPr>
          <w:rFonts w:ascii="Times New Roman" w:hAnsi="Times New Roman"/>
          <w:color w:val="0070C0"/>
          <w:sz w:val="16"/>
          <w:szCs w:val="16"/>
          <w:lang w:eastAsia="ru-RU" w:bidi="ru-RU"/>
        </w:rPr>
        <w:t>Ввели усиленные коки винтов, нем</w:t>
      </w:r>
      <w:r w:rsidRPr="007224C3">
        <w:rPr>
          <w:rFonts w:ascii="Times New Roman" w:hAnsi="Times New Roman"/>
          <w:color w:val="0070C0"/>
          <w:sz w:val="16"/>
          <w:szCs w:val="16"/>
          <w:lang w:eastAsia="ru-RU" w:bidi="ru-RU"/>
        </w:rPr>
        <w:softHyphen/>
        <w:t>ного изменили раскрой обшивки на кон</w:t>
      </w:r>
      <w:r w:rsidRPr="007224C3">
        <w:rPr>
          <w:rFonts w:ascii="Times New Roman" w:hAnsi="Times New Roman"/>
          <w:color w:val="0070C0"/>
          <w:sz w:val="16"/>
          <w:szCs w:val="16"/>
          <w:lang w:eastAsia="ru-RU" w:bidi="ru-RU"/>
        </w:rPr>
        <w:softHyphen/>
        <w:t>солях, применили новые выхлопные коллекторы. Улучшение снабжения лег</w:t>
      </w:r>
      <w:r w:rsidRPr="007224C3">
        <w:rPr>
          <w:rFonts w:ascii="Times New Roman" w:hAnsi="Times New Roman"/>
          <w:color w:val="0070C0"/>
          <w:sz w:val="16"/>
          <w:szCs w:val="16"/>
          <w:lang w:eastAsia="ru-RU" w:bidi="ru-RU"/>
        </w:rPr>
        <w:softHyphen/>
        <w:t>кими сплавами позволило уже с 3-й се</w:t>
      </w:r>
      <w:r w:rsidRPr="007224C3">
        <w:rPr>
          <w:rFonts w:ascii="Times New Roman" w:hAnsi="Times New Roman"/>
          <w:color w:val="0070C0"/>
          <w:sz w:val="16"/>
          <w:szCs w:val="16"/>
          <w:lang w:eastAsia="ru-RU" w:bidi="ru-RU"/>
        </w:rPr>
        <w:softHyphen/>
        <w:t>рии заменить часть шпона на обшивке носа фюзеляжа металлическим листом. Теперь деревянным остался только уча</w:t>
      </w:r>
      <w:r w:rsidRPr="007224C3">
        <w:rPr>
          <w:rFonts w:ascii="Times New Roman" w:hAnsi="Times New Roman"/>
          <w:color w:val="0070C0"/>
          <w:sz w:val="16"/>
          <w:szCs w:val="16"/>
          <w:lang w:eastAsia="ru-RU" w:bidi="ru-RU"/>
        </w:rPr>
        <w:softHyphen/>
        <w:t>сток между 1-м и 3-м шпангоутами. С 8-й серии откидную створку люковой установки заменили неподвижным ко</w:t>
      </w:r>
      <w:r w:rsidRPr="007224C3">
        <w:rPr>
          <w:rFonts w:ascii="Times New Roman" w:hAnsi="Times New Roman"/>
          <w:color w:val="0070C0"/>
          <w:sz w:val="16"/>
          <w:szCs w:val="16"/>
          <w:lang w:eastAsia="ru-RU" w:bidi="ru-RU"/>
        </w:rPr>
        <w:softHyphen/>
        <w:t>зырьком. С 11-й серии сферический ги</w:t>
      </w:r>
      <w:r w:rsidRPr="007224C3">
        <w:rPr>
          <w:rFonts w:ascii="Times New Roman" w:hAnsi="Times New Roman"/>
          <w:color w:val="0070C0"/>
          <w:sz w:val="16"/>
          <w:szCs w:val="16"/>
          <w:lang w:eastAsia="ru-RU" w:bidi="ru-RU"/>
        </w:rPr>
        <w:softHyphen/>
        <w:t>дроаккумулятор (большей емкости) при</w:t>
      </w:r>
      <w:r w:rsidRPr="007224C3">
        <w:rPr>
          <w:rFonts w:ascii="Times New Roman" w:hAnsi="Times New Roman"/>
          <w:color w:val="0070C0"/>
          <w:sz w:val="16"/>
          <w:szCs w:val="16"/>
          <w:lang w:eastAsia="ru-RU" w:bidi="ru-RU"/>
        </w:rPr>
        <w:softHyphen/>
        <w:t>шел на смену цилиндрическому. Уси</w:t>
      </w:r>
      <w:r w:rsidRPr="007224C3">
        <w:rPr>
          <w:rFonts w:ascii="Times New Roman" w:hAnsi="Times New Roman"/>
          <w:color w:val="0070C0"/>
          <w:sz w:val="16"/>
          <w:szCs w:val="16"/>
          <w:lang w:eastAsia="ru-RU" w:bidi="ru-RU"/>
        </w:rPr>
        <w:softHyphen/>
        <w:t>лили задние подкосы шасси. Изменили всасывающие патрубки моторов, что не</w:t>
      </w:r>
      <w:r w:rsidRPr="007224C3">
        <w:rPr>
          <w:rFonts w:ascii="Times New Roman" w:hAnsi="Times New Roman"/>
          <w:color w:val="0070C0"/>
          <w:sz w:val="16"/>
          <w:szCs w:val="16"/>
          <w:lang w:eastAsia="ru-RU" w:bidi="ru-RU"/>
        </w:rPr>
        <w:softHyphen/>
        <w:t>сколько повысило реально развиваемую ими мощность. Внедрили более толстую обтяжку на рулях поворота. Смонтиро</w:t>
      </w:r>
      <w:r w:rsidRPr="007224C3">
        <w:rPr>
          <w:rFonts w:ascii="Times New Roman" w:hAnsi="Times New Roman"/>
          <w:color w:val="0070C0"/>
          <w:sz w:val="16"/>
          <w:szCs w:val="16"/>
          <w:lang w:eastAsia="ru-RU" w:bidi="ru-RU"/>
        </w:rPr>
        <w:softHyphen/>
        <w:t>вали новые кислородные приборы КП-12 вместо КП-Збис (с самолета №3/20), вер</w:t>
      </w:r>
      <w:r w:rsidRPr="007224C3">
        <w:rPr>
          <w:rFonts w:ascii="Times New Roman" w:hAnsi="Times New Roman"/>
          <w:color w:val="0070C0"/>
          <w:sz w:val="16"/>
          <w:szCs w:val="16"/>
          <w:lang w:eastAsia="ru-RU" w:bidi="ru-RU"/>
        </w:rPr>
        <w:softHyphen/>
        <w:t>нули назад посадочную фару на левом крыле, ранее сочтенную ненужной ро</w:t>
      </w:r>
      <w:r w:rsidRPr="007224C3">
        <w:rPr>
          <w:rFonts w:ascii="Times New Roman" w:hAnsi="Times New Roman"/>
          <w:color w:val="0070C0"/>
          <w:sz w:val="16"/>
          <w:szCs w:val="16"/>
          <w:lang w:eastAsia="ru-RU" w:bidi="ru-RU"/>
        </w:rPr>
        <w:softHyphen/>
        <w:t>скошью. На одном самолете поставили даже две фары, на другом обеспечили отопление кабин теплым воздухом (21060).</w:t>
      </w:r>
    </w:p>
    <w:p w14:paraId="6737D993" w14:textId="77777777" w:rsidR="000F0D8A" w:rsidRPr="007224C3" w:rsidRDefault="000F0D8A" w:rsidP="007224C3">
      <w:pPr>
        <w:spacing w:after="0" w:line="240" w:lineRule="auto"/>
        <w:jc w:val="both"/>
        <w:rPr>
          <w:rFonts w:ascii="Times New Roman" w:hAnsi="Times New Roman"/>
          <w:color w:val="0070C0"/>
          <w:sz w:val="16"/>
          <w:szCs w:val="16"/>
        </w:rPr>
      </w:pPr>
    </w:p>
    <w:p w14:paraId="4827E5F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середине 1944 в ОКБ-156 был принят к разработке второй вариант самолета 64 - ТБ с АЧ-30БФ и АШ-83 (2494,15).</w:t>
      </w:r>
    </w:p>
    <w:p w14:paraId="3DAF0E9A"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CFEECD"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середине 1944 г. С.М.Алексеев начал заниматься цельнометаллическим Ла. Цельнометаллический Лавочкин под обозначением Ла-9 был запущен в серийное производство в августе 1946 г. (4707).</w:t>
      </w:r>
    </w:p>
    <w:p w14:paraId="67092BE7"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E61974"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середине 1944 г. на фронте Як-9 было больше, чем всех других со</w:t>
      </w:r>
      <w:r w:rsidRPr="007224C3">
        <w:rPr>
          <w:rFonts w:ascii="Times New Roman" w:hAnsi="Times New Roman"/>
          <w:color w:val="000000" w:themeColor="text1"/>
          <w:sz w:val="16"/>
          <w:szCs w:val="16"/>
        </w:rPr>
        <w:softHyphen/>
        <w:t>ветских истребителей, вместе взятых. Як-9 выпускался дольше, чем какой-либо другой советский истребитель, применяемый в боевых действиях Второй мировой войны: его производство завершилось только в декабре 1948 г., при этом общее число пос</w:t>
      </w:r>
      <w:r w:rsidRPr="007224C3">
        <w:rPr>
          <w:rFonts w:ascii="Times New Roman" w:hAnsi="Times New Roman"/>
          <w:color w:val="000000" w:themeColor="text1"/>
          <w:sz w:val="16"/>
          <w:szCs w:val="16"/>
        </w:rPr>
        <w:softHyphen/>
        <w:t>троенных достигло 16769. По многообра</w:t>
      </w:r>
      <w:r w:rsidRPr="007224C3">
        <w:rPr>
          <w:rFonts w:ascii="Times New Roman" w:hAnsi="Times New Roman"/>
          <w:color w:val="000000" w:themeColor="text1"/>
          <w:sz w:val="16"/>
          <w:szCs w:val="16"/>
        </w:rPr>
        <w:softHyphen/>
        <w:t>зию серийных модификаций и широте при</w:t>
      </w:r>
      <w:r w:rsidRPr="007224C3">
        <w:rPr>
          <w:rFonts w:ascii="Times New Roman" w:hAnsi="Times New Roman"/>
          <w:color w:val="000000" w:themeColor="text1"/>
          <w:sz w:val="16"/>
          <w:szCs w:val="16"/>
        </w:rPr>
        <w:softHyphen/>
        <w:t>менения Як-9 не было равных в ВВС РККА. До окончания войны в Европе, то есть за два с половиной года с начала производства, авиационная промышленность СССР изготовила 14579 самолетов этого типа. Это больше, чем об</w:t>
      </w:r>
      <w:r w:rsidRPr="007224C3">
        <w:rPr>
          <w:rFonts w:ascii="Times New Roman" w:hAnsi="Times New Roman"/>
          <w:color w:val="000000" w:themeColor="text1"/>
          <w:sz w:val="16"/>
          <w:szCs w:val="16"/>
        </w:rPr>
        <w:softHyphen/>
        <w:t>щее число построенных Як-1 и Як-7, и при</w:t>
      </w:r>
      <w:r w:rsidRPr="007224C3">
        <w:rPr>
          <w:rFonts w:ascii="Times New Roman" w:hAnsi="Times New Roman"/>
          <w:color w:val="000000" w:themeColor="text1"/>
          <w:sz w:val="16"/>
          <w:szCs w:val="16"/>
        </w:rPr>
        <w:softHyphen/>
        <w:t>близительно столько же, сколько амери</w:t>
      </w:r>
      <w:r w:rsidRPr="007224C3">
        <w:rPr>
          <w:rFonts w:ascii="Times New Roman" w:hAnsi="Times New Roman"/>
          <w:color w:val="000000" w:themeColor="text1"/>
          <w:sz w:val="16"/>
          <w:szCs w:val="16"/>
        </w:rPr>
        <w:softHyphen/>
        <w:t>канцы выпустили своих лучших истребите</w:t>
      </w:r>
      <w:r w:rsidRPr="007224C3">
        <w:rPr>
          <w:rFonts w:ascii="Times New Roman" w:hAnsi="Times New Roman"/>
          <w:color w:val="000000" w:themeColor="text1"/>
          <w:sz w:val="16"/>
          <w:szCs w:val="16"/>
        </w:rPr>
        <w:softHyphen/>
        <w:t>лей Р-51 Мустанг за четыре военных года. «Девятка» эксплуатировалась в строе</w:t>
      </w:r>
      <w:r w:rsidRPr="007224C3">
        <w:rPr>
          <w:rFonts w:ascii="Times New Roman" w:hAnsi="Times New Roman"/>
          <w:color w:val="000000" w:themeColor="text1"/>
          <w:sz w:val="16"/>
          <w:szCs w:val="16"/>
        </w:rPr>
        <w:softHyphen/>
        <w:t>вых частях дольше других поршневых ист</w:t>
      </w:r>
      <w:r w:rsidRPr="007224C3">
        <w:rPr>
          <w:rFonts w:ascii="Times New Roman" w:hAnsi="Times New Roman"/>
          <w:color w:val="000000" w:themeColor="text1"/>
          <w:sz w:val="16"/>
          <w:szCs w:val="16"/>
        </w:rPr>
        <w:softHyphen/>
        <w:t>ребителей КБ А.С. Яковлева. Самолеты этого типа весьма широко поставлялись дружественным СССР странам, поступив на вооружение в Албанию, Болгарию, Вен</w:t>
      </w:r>
      <w:r w:rsidRPr="007224C3">
        <w:rPr>
          <w:rFonts w:ascii="Times New Roman" w:hAnsi="Times New Roman"/>
          <w:color w:val="000000" w:themeColor="text1"/>
          <w:sz w:val="16"/>
          <w:szCs w:val="16"/>
        </w:rPr>
        <w:softHyphen/>
        <w:t>грию, Китай, Польшу, Северную Корею и Югославию (10712).</w:t>
      </w:r>
    </w:p>
    <w:p w14:paraId="476B5D7E"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CEE8941" w14:textId="77777777" w:rsidR="00B216D6" w:rsidRPr="007224C3" w:rsidRDefault="00B216D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Начиная с середины 1944 г., вследствие того, что шкворневая оборонительная установка на У-2 под пулемет ШКАС имела малые углы обстрела, его стали заменять на пулемет ДТ. Штатный боекомплект к ШКАСу состоял из патронной ленты емкостью 500 патронов, а к пулемету ДТ — из 5 магазинов по 63 патрона в каждом. На части боевых У-2 в дополнение к оборонительному пулемету на нижнем левом или правом крыле устанавливали еще и неподвижный курсовой пулемет ШКАС или ПВ-1 для стрельбы вперед (боекомплект от 500 до 800 патронов в зависимости от высоты патронного ящика). Установка пулемета на правую или левую плоскость самолета зависело от того, какой приемник имелся на пулемете. При этом правая и левая установки были совершенно одинаковыми, за исключением верхней части заднего узла крепления лафета. Рукоятка перезарядки монтировалась на соответствующем борту. Управление стеком пулемета осуществлялось посредством специальной тяги и гашетки, установленной на рукоятке управления самолетом. Причем все имевшиеся на пулеметах приспособления для спуска снимались. Патронный ящик (как правило, изготовленный из фанеры) устанавливался в кабине пилота за его сиденьем. На У-2 с двойным управлением в середине ящика делался вырез для прохода тяг ручного управления в кабину штурмана, на других модификациях вырез не делался. В верхнем углу ящика имелся валик (деревянный, металлический или пластмассовый), облегчавший перемещение патронной ленты. Патронный ящик крепился к полу кабины в специальных гнездах с помощью ремней. Из патронного ящика лента входила в приемник патронопровода, установленного в борту фюзеляжа, потом, выходя из фюзеляжа, проходила по специальному желобу, изготовленному из фанеры, оклеенной полотном. По желобу лента попадала в патронный приемник пулемета. Вся система боепитания — патронный ящик, патронопровод и приемник на пулемете — располагалась в одну линию, что обеспечивало надежную подачу патронов. Установка на боевые У-2 только одного курсового пулемета обуславливалось, главным образом, весовыми соображениями. В отдельных случаях неподвижные пулеметы для стрельбы вперед устанавливались на каждую плоскость У-2. Оборудование У-2 одним курсовым пулеметом практически не изменяло летные его данные, разве что снижала скорость полета на 4-5 км/ч. Для прицеливания при стрельбе из курсового пулемета или реактивными снарядами использовались как простейший кольцевой, так и оптический (типа ОП-1) прицелы. Кольцевой прицел устанавливался на площадочке впереди козырька первой кабины справа, колонку с мушкой — впереди козырька на деревянной бобышке, а колонку с кольцами — на площадочке передней ленты бензобака. Установка оптического прицела практически ничем не отличалась от установки механического. Пристрелка пулеметов осуществлялась на дистанцию 200 м.</w:t>
      </w:r>
    </w:p>
    <w:p w14:paraId="661484B0" w14:textId="77777777" w:rsidR="00B216D6" w:rsidRPr="007224C3" w:rsidRDefault="00B216D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середине 1944 г. установившиеся изменения серийного варианта У-2ВС относительно базового самолета сводились главным образом к следующему:</w:t>
      </w:r>
    </w:p>
    <w:p w14:paraId="3C333A5D" w14:textId="77777777" w:rsidR="00B216D6" w:rsidRPr="007224C3" w:rsidRDefault="00B216D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под нижним крылом устанавливались б бомбодержателей типа Дер-7 с тросовым управлением сбрасыванием, обеспечивающие подвеску до 300 кг бомб:</w:t>
      </w:r>
    </w:p>
    <w:p w14:paraId="1452E73E" w14:textId="77777777" w:rsidR="00B216D6" w:rsidRPr="007224C3" w:rsidRDefault="00B216D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в передней кабине устанавливался бомбардировочный прицел (ночной) НКПБ-8:</w:t>
      </w:r>
    </w:p>
    <w:p w14:paraId="4B7DE6C0" w14:textId="77777777" w:rsidR="00B216D6" w:rsidRPr="007224C3" w:rsidRDefault="00B216D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для улучшения обзора вниз и прицеливания в правом крыле рядом с фюзеляжем сделали вырез:</w:t>
      </w:r>
    </w:p>
    <w:p w14:paraId="380A3A8D" w14:textId="77777777" w:rsidR="00B216D6" w:rsidRPr="007224C3" w:rsidRDefault="00B216D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за задней кабиной устанавливалась шкворневая пулеметная установка под 7,62-мм пулемет ШКАС с ленточным (боезапас 250-400 патронов) или магазинным питанием, или под 7,62-мм пулемет ДТ с пятью дисками (по 63 патрона);</w:t>
      </w:r>
    </w:p>
    <w:p w14:paraId="7B751527" w14:textId="77777777" w:rsidR="00B216D6" w:rsidRPr="007224C3" w:rsidRDefault="00B216D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дополнительно к стоявшим на У-2 компасу, вариометру, высотомеру и указателю поворота устанавливались авиагоризонт с питанием от дополнительной большой трубки Вентури, располагавшейся на левом борту самолета впереди передней кабины;</w:t>
      </w:r>
    </w:p>
    <w:p w14:paraId="55B96284" w14:textId="77777777" w:rsidR="00B216D6" w:rsidRPr="007224C3" w:rsidRDefault="00B216D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устанавливались АНО и под левым крылом посадочная фара (на базовом У-2 была необязательна);</w:t>
      </w:r>
    </w:p>
    <w:p w14:paraId="44054AC7" w14:textId="77777777" w:rsidR="00B216D6" w:rsidRPr="007224C3" w:rsidRDefault="00B216D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устанавливался шумопламегаситель ШПГ-2;</w:t>
      </w:r>
    </w:p>
    <w:p w14:paraId="1A12928E" w14:textId="77777777" w:rsidR="00B216D6" w:rsidRPr="007224C3" w:rsidRDefault="00B216D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устанавливался генератор ГС-350;</w:t>
      </w:r>
    </w:p>
    <w:p w14:paraId="558D1864" w14:textId="77777777" w:rsidR="00B216D6" w:rsidRPr="007224C3" w:rsidRDefault="00B216D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на эталоне 1944 г. устанавливалась легкосъемная ручка управления во второй кабине и триммер руля высоты.</w:t>
      </w:r>
    </w:p>
    <w:p w14:paraId="20EDA71F" w14:textId="77777777" w:rsidR="00B216D6" w:rsidRPr="007224C3" w:rsidRDefault="00B216D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Полетный вес серийного У-2ВС по сравнению с базовым У-2 был на 388 кг больше, что, естественно, привело к снижению полетных данных. При полной бомбовой нагрузке У-2ВС с мотором М-11Д имел максимальные скорости: у земли — 134 км/ч, на высоте 1000 м — 100 км/ч, практический потолок при тех же условиях снизился до 1550 м. Без бомб летные данные не сильно отличались от данных базового самолета.</w:t>
      </w:r>
    </w:p>
    <w:p w14:paraId="58310E3A" w14:textId="77777777" w:rsidR="00B216D6" w:rsidRPr="007224C3" w:rsidRDefault="00B216D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Технические характеристики:</w:t>
      </w:r>
    </w:p>
    <w:p w14:paraId="6CFBA939" w14:textId="77777777" w:rsidR="00B216D6" w:rsidRPr="007224C3" w:rsidRDefault="00B216D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Технические характеристики:</w:t>
      </w:r>
    </w:p>
    <w:tbl>
      <w:tblPr>
        <w:tblW w:w="7200" w:type="dxa"/>
        <w:tblBorders>
          <w:top w:val="single" w:sz="6" w:space="0" w:color="99CCFF"/>
          <w:left w:val="single" w:sz="6" w:space="0" w:color="99CCFF"/>
          <w:bottom w:val="single" w:sz="6" w:space="0" w:color="99CCFF"/>
          <w:right w:val="single" w:sz="6" w:space="0" w:color="99CCFF"/>
        </w:tblBorders>
        <w:tblCellMar>
          <w:top w:w="15" w:type="dxa"/>
          <w:left w:w="15" w:type="dxa"/>
          <w:bottom w:w="15" w:type="dxa"/>
          <w:right w:w="15" w:type="dxa"/>
        </w:tblCellMar>
        <w:tblLook w:val="04A0" w:firstRow="1" w:lastRow="0" w:firstColumn="1" w:lastColumn="0" w:noHBand="0" w:noVBand="1"/>
      </w:tblPr>
      <w:tblGrid>
        <w:gridCol w:w="3070"/>
        <w:gridCol w:w="4130"/>
      </w:tblGrid>
      <w:tr w:rsidR="005106D0" w:rsidRPr="007224C3" w14:paraId="06F20E88" w14:textId="77777777" w:rsidTr="00B529C1">
        <w:trPr>
          <w:trHeight w:val="180"/>
        </w:trPr>
        <w:tc>
          <w:tcPr>
            <w:tcW w:w="3070" w:type="dxa"/>
            <w:tcBorders>
              <w:top w:val="outset" w:sz="6" w:space="0" w:color="auto"/>
              <w:left w:val="outset" w:sz="6" w:space="0" w:color="auto"/>
              <w:bottom w:val="outset" w:sz="6" w:space="0" w:color="auto"/>
              <w:right w:val="outset" w:sz="6" w:space="0" w:color="auto"/>
            </w:tcBorders>
            <w:hideMark/>
          </w:tcPr>
          <w:p w14:paraId="0D97EDF7" w14:textId="77777777" w:rsidR="00B216D6" w:rsidRPr="007224C3" w:rsidRDefault="00B216D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Модификация</w:t>
            </w:r>
          </w:p>
        </w:tc>
        <w:tc>
          <w:tcPr>
            <w:tcW w:w="4130" w:type="dxa"/>
            <w:tcBorders>
              <w:top w:val="outset" w:sz="6" w:space="0" w:color="auto"/>
              <w:left w:val="outset" w:sz="6" w:space="0" w:color="auto"/>
              <w:bottom w:val="outset" w:sz="6" w:space="0" w:color="auto"/>
              <w:right w:val="outset" w:sz="6" w:space="0" w:color="auto"/>
            </w:tcBorders>
            <w:hideMark/>
          </w:tcPr>
          <w:p w14:paraId="1890D2C2" w14:textId="77777777" w:rsidR="00B216D6" w:rsidRPr="007224C3" w:rsidRDefault="00B216D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У-2ВС</w:t>
            </w:r>
          </w:p>
        </w:tc>
      </w:tr>
      <w:tr w:rsidR="005106D0" w:rsidRPr="007224C3" w14:paraId="6CD03783" w14:textId="77777777" w:rsidTr="00B529C1">
        <w:trPr>
          <w:trHeight w:val="180"/>
        </w:trPr>
        <w:tc>
          <w:tcPr>
            <w:tcW w:w="3070" w:type="dxa"/>
            <w:tcBorders>
              <w:top w:val="outset" w:sz="6" w:space="0" w:color="auto"/>
              <w:left w:val="outset" w:sz="6" w:space="0" w:color="auto"/>
              <w:bottom w:val="outset" w:sz="6" w:space="0" w:color="auto"/>
              <w:right w:val="outset" w:sz="6" w:space="0" w:color="auto"/>
            </w:tcBorders>
            <w:hideMark/>
          </w:tcPr>
          <w:p w14:paraId="0F2437C6" w14:textId="77777777" w:rsidR="00B216D6" w:rsidRPr="007224C3" w:rsidRDefault="00B216D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Размах крыла, м</w:t>
            </w:r>
          </w:p>
        </w:tc>
        <w:tc>
          <w:tcPr>
            <w:tcW w:w="4130" w:type="dxa"/>
            <w:tcBorders>
              <w:top w:val="outset" w:sz="6" w:space="0" w:color="auto"/>
              <w:left w:val="outset" w:sz="6" w:space="0" w:color="auto"/>
              <w:bottom w:val="outset" w:sz="6" w:space="0" w:color="auto"/>
              <w:right w:val="outset" w:sz="6" w:space="0" w:color="auto"/>
            </w:tcBorders>
            <w:hideMark/>
          </w:tcPr>
          <w:p w14:paraId="7B7C5B87" w14:textId="77777777" w:rsidR="00B216D6" w:rsidRPr="007224C3" w:rsidRDefault="00B216D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11.40</w:t>
            </w:r>
          </w:p>
        </w:tc>
      </w:tr>
      <w:tr w:rsidR="005106D0" w:rsidRPr="007224C3" w14:paraId="0BEFDDE7" w14:textId="77777777" w:rsidTr="00B529C1">
        <w:trPr>
          <w:trHeight w:val="180"/>
        </w:trPr>
        <w:tc>
          <w:tcPr>
            <w:tcW w:w="3070" w:type="dxa"/>
            <w:tcBorders>
              <w:top w:val="outset" w:sz="6" w:space="0" w:color="auto"/>
              <w:left w:val="outset" w:sz="6" w:space="0" w:color="auto"/>
              <w:bottom w:val="outset" w:sz="6" w:space="0" w:color="auto"/>
              <w:right w:val="outset" w:sz="6" w:space="0" w:color="auto"/>
            </w:tcBorders>
            <w:hideMark/>
          </w:tcPr>
          <w:p w14:paraId="0AEE84F8" w14:textId="77777777" w:rsidR="00B216D6" w:rsidRPr="007224C3" w:rsidRDefault="00B216D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Длина, м</w:t>
            </w:r>
          </w:p>
        </w:tc>
        <w:tc>
          <w:tcPr>
            <w:tcW w:w="4130" w:type="dxa"/>
            <w:tcBorders>
              <w:top w:val="outset" w:sz="6" w:space="0" w:color="auto"/>
              <w:left w:val="outset" w:sz="6" w:space="0" w:color="auto"/>
              <w:bottom w:val="outset" w:sz="6" w:space="0" w:color="auto"/>
              <w:right w:val="outset" w:sz="6" w:space="0" w:color="auto"/>
            </w:tcBorders>
            <w:hideMark/>
          </w:tcPr>
          <w:p w14:paraId="7B6FD29D" w14:textId="77777777" w:rsidR="00B216D6" w:rsidRPr="007224C3" w:rsidRDefault="00B216D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8.17</w:t>
            </w:r>
          </w:p>
        </w:tc>
      </w:tr>
      <w:tr w:rsidR="005106D0" w:rsidRPr="007224C3" w14:paraId="6BFBEC0F" w14:textId="77777777" w:rsidTr="00B529C1">
        <w:trPr>
          <w:trHeight w:val="180"/>
        </w:trPr>
        <w:tc>
          <w:tcPr>
            <w:tcW w:w="3070" w:type="dxa"/>
            <w:tcBorders>
              <w:top w:val="outset" w:sz="6" w:space="0" w:color="auto"/>
              <w:left w:val="outset" w:sz="6" w:space="0" w:color="auto"/>
              <w:bottom w:val="outset" w:sz="6" w:space="0" w:color="auto"/>
              <w:right w:val="outset" w:sz="6" w:space="0" w:color="auto"/>
            </w:tcBorders>
            <w:hideMark/>
          </w:tcPr>
          <w:p w14:paraId="0C20ACFB" w14:textId="77777777" w:rsidR="00B216D6" w:rsidRPr="007224C3" w:rsidRDefault="00B216D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Высота, м</w:t>
            </w:r>
          </w:p>
        </w:tc>
        <w:tc>
          <w:tcPr>
            <w:tcW w:w="4130" w:type="dxa"/>
            <w:tcBorders>
              <w:top w:val="outset" w:sz="6" w:space="0" w:color="auto"/>
              <w:left w:val="outset" w:sz="6" w:space="0" w:color="auto"/>
              <w:bottom w:val="outset" w:sz="6" w:space="0" w:color="auto"/>
              <w:right w:val="outset" w:sz="6" w:space="0" w:color="auto"/>
            </w:tcBorders>
            <w:hideMark/>
          </w:tcPr>
          <w:p w14:paraId="5C98C64A" w14:textId="77777777" w:rsidR="00B216D6" w:rsidRPr="007224C3" w:rsidRDefault="00B216D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3.10</w:t>
            </w:r>
          </w:p>
        </w:tc>
      </w:tr>
      <w:tr w:rsidR="005106D0" w:rsidRPr="007224C3" w14:paraId="41A3E14E" w14:textId="77777777" w:rsidTr="00B529C1">
        <w:trPr>
          <w:trHeight w:val="180"/>
        </w:trPr>
        <w:tc>
          <w:tcPr>
            <w:tcW w:w="3070" w:type="dxa"/>
            <w:tcBorders>
              <w:top w:val="outset" w:sz="6" w:space="0" w:color="auto"/>
              <w:left w:val="outset" w:sz="6" w:space="0" w:color="auto"/>
              <w:bottom w:val="outset" w:sz="6" w:space="0" w:color="auto"/>
              <w:right w:val="outset" w:sz="6" w:space="0" w:color="auto"/>
            </w:tcBorders>
            <w:hideMark/>
          </w:tcPr>
          <w:p w14:paraId="3A9BD9DC" w14:textId="77777777" w:rsidR="00B216D6" w:rsidRPr="007224C3" w:rsidRDefault="00B216D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Площадь крыла, м2</w:t>
            </w:r>
          </w:p>
        </w:tc>
        <w:tc>
          <w:tcPr>
            <w:tcW w:w="4130" w:type="dxa"/>
            <w:tcBorders>
              <w:top w:val="outset" w:sz="6" w:space="0" w:color="auto"/>
              <w:left w:val="outset" w:sz="6" w:space="0" w:color="auto"/>
              <w:bottom w:val="outset" w:sz="6" w:space="0" w:color="auto"/>
              <w:right w:val="outset" w:sz="6" w:space="0" w:color="auto"/>
            </w:tcBorders>
            <w:hideMark/>
          </w:tcPr>
          <w:p w14:paraId="0801A1AB" w14:textId="77777777" w:rsidR="00B216D6" w:rsidRPr="007224C3" w:rsidRDefault="00B216D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33.15</w:t>
            </w:r>
          </w:p>
        </w:tc>
      </w:tr>
      <w:tr w:rsidR="005106D0" w:rsidRPr="007224C3" w14:paraId="12ECB3CF" w14:textId="77777777" w:rsidTr="00B529C1">
        <w:trPr>
          <w:trHeight w:val="180"/>
        </w:trPr>
        <w:tc>
          <w:tcPr>
            <w:tcW w:w="3070" w:type="dxa"/>
            <w:tcBorders>
              <w:top w:val="outset" w:sz="6" w:space="0" w:color="auto"/>
              <w:left w:val="outset" w:sz="6" w:space="0" w:color="auto"/>
              <w:bottom w:val="outset" w:sz="6" w:space="0" w:color="auto"/>
              <w:right w:val="outset" w:sz="6" w:space="0" w:color="auto"/>
            </w:tcBorders>
            <w:hideMark/>
          </w:tcPr>
          <w:p w14:paraId="4707526A" w14:textId="77777777" w:rsidR="00B216D6" w:rsidRPr="007224C3" w:rsidRDefault="00B216D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Масса, кг</w:t>
            </w:r>
          </w:p>
        </w:tc>
        <w:tc>
          <w:tcPr>
            <w:tcW w:w="4130" w:type="dxa"/>
            <w:tcBorders>
              <w:top w:val="outset" w:sz="6" w:space="0" w:color="auto"/>
              <w:left w:val="outset" w:sz="6" w:space="0" w:color="auto"/>
              <w:bottom w:val="outset" w:sz="6" w:space="0" w:color="auto"/>
              <w:right w:val="outset" w:sz="6" w:space="0" w:color="auto"/>
            </w:tcBorders>
            <w:hideMark/>
          </w:tcPr>
          <w:p w14:paraId="7EF1879E" w14:textId="77777777" w:rsidR="00B216D6" w:rsidRPr="007224C3" w:rsidRDefault="00B216D6" w:rsidP="007224C3">
            <w:pPr>
              <w:spacing w:after="0" w:line="240" w:lineRule="auto"/>
              <w:jc w:val="both"/>
              <w:rPr>
                <w:rFonts w:ascii="Times New Roman" w:hAnsi="Times New Roman"/>
                <w:color w:val="000000" w:themeColor="text1"/>
                <w:sz w:val="16"/>
                <w:szCs w:val="16"/>
              </w:rPr>
            </w:pPr>
          </w:p>
        </w:tc>
      </w:tr>
      <w:tr w:rsidR="005106D0" w:rsidRPr="007224C3" w14:paraId="1F258386" w14:textId="77777777" w:rsidTr="00B529C1">
        <w:trPr>
          <w:trHeight w:val="180"/>
        </w:trPr>
        <w:tc>
          <w:tcPr>
            <w:tcW w:w="3070" w:type="dxa"/>
            <w:tcBorders>
              <w:top w:val="outset" w:sz="6" w:space="0" w:color="auto"/>
              <w:left w:val="outset" w:sz="6" w:space="0" w:color="auto"/>
              <w:bottom w:val="outset" w:sz="6" w:space="0" w:color="auto"/>
              <w:right w:val="outset" w:sz="6" w:space="0" w:color="auto"/>
            </w:tcBorders>
            <w:hideMark/>
          </w:tcPr>
          <w:p w14:paraId="1DBAC5F9" w14:textId="77777777" w:rsidR="00B216D6" w:rsidRPr="007224C3" w:rsidRDefault="00B216D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пустого самолета</w:t>
            </w:r>
          </w:p>
        </w:tc>
        <w:tc>
          <w:tcPr>
            <w:tcW w:w="4130" w:type="dxa"/>
            <w:tcBorders>
              <w:top w:val="outset" w:sz="6" w:space="0" w:color="auto"/>
              <w:left w:val="outset" w:sz="6" w:space="0" w:color="auto"/>
              <w:bottom w:val="outset" w:sz="6" w:space="0" w:color="auto"/>
              <w:right w:val="outset" w:sz="6" w:space="0" w:color="auto"/>
            </w:tcBorders>
            <w:hideMark/>
          </w:tcPr>
          <w:p w14:paraId="214996A9" w14:textId="77777777" w:rsidR="00B216D6" w:rsidRPr="007224C3" w:rsidRDefault="00B216D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773</w:t>
            </w:r>
          </w:p>
        </w:tc>
      </w:tr>
      <w:tr w:rsidR="005106D0" w:rsidRPr="007224C3" w14:paraId="7E266861" w14:textId="77777777" w:rsidTr="00B529C1">
        <w:trPr>
          <w:trHeight w:val="180"/>
        </w:trPr>
        <w:tc>
          <w:tcPr>
            <w:tcW w:w="3070" w:type="dxa"/>
            <w:tcBorders>
              <w:top w:val="outset" w:sz="6" w:space="0" w:color="auto"/>
              <w:left w:val="outset" w:sz="6" w:space="0" w:color="auto"/>
              <w:bottom w:val="outset" w:sz="6" w:space="0" w:color="auto"/>
              <w:right w:val="outset" w:sz="6" w:space="0" w:color="auto"/>
            </w:tcBorders>
            <w:hideMark/>
          </w:tcPr>
          <w:p w14:paraId="7D337302" w14:textId="77777777" w:rsidR="00B216D6" w:rsidRPr="007224C3" w:rsidRDefault="00B216D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нормальная взлетная</w:t>
            </w:r>
          </w:p>
        </w:tc>
        <w:tc>
          <w:tcPr>
            <w:tcW w:w="4130" w:type="dxa"/>
            <w:tcBorders>
              <w:top w:val="outset" w:sz="6" w:space="0" w:color="auto"/>
              <w:left w:val="outset" w:sz="6" w:space="0" w:color="auto"/>
              <w:bottom w:val="outset" w:sz="6" w:space="0" w:color="auto"/>
              <w:right w:val="outset" w:sz="6" w:space="0" w:color="auto"/>
            </w:tcBorders>
            <w:hideMark/>
          </w:tcPr>
          <w:p w14:paraId="39D010EF" w14:textId="77777777" w:rsidR="00B216D6" w:rsidRPr="007224C3" w:rsidRDefault="00B216D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1400</w:t>
            </w:r>
          </w:p>
        </w:tc>
      </w:tr>
      <w:tr w:rsidR="005106D0" w:rsidRPr="007224C3" w14:paraId="4A29BF30" w14:textId="77777777" w:rsidTr="00B529C1">
        <w:trPr>
          <w:trHeight w:val="180"/>
        </w:trPr>
        <w:tc>
          <w:tcPr>
            <w:tcW w:w="3070" w:type="dxa"/>
            <w:tcBorders>
              <w:top w:val="outset" w:sz="6" w:space="0" w:color="auto"/>
              <w:left w:val="outset" w:sz="6" w:space="0" w:color="auto"/>
              <w:bottom w:val="outset" w:sz="6" w:space="0" w:color="auto"/>
              <w:right w:val="outset" w:sz="6" w:space="0" w:color="auto"/>
            </w:tcBorders>
            <w:hideMark/>
          </w:tcPr>
          <w:p w14:paraId="227F3CFD" w14:textId="77777777" w:rsidR="00B216D6" w:rsidRPr="007224C3" w:rsidRDefault="00B216D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Тип двигателя</w:t>
            </w:r>
          </w:p>
        </w:tc>
        <w:tc>
          <w:tcPr>
            <w:tcW w:w="4130" w:type="dxa"/>
            <w:tcBorders>
              <w:top w:val="outset" w:sz="6" w:space="0" w:color="auto"/>
              <w:left w:val="outset" w:sz="6" w:space="0" w:color="auto"/>
              <w:bottom w:val="outset" w:sz="6" w:space="0" w:color="auto"/>
              <w:right w:val="outset" w:sz="6" w:space="0" w:color="auto"/>
            </w:tcBorders>
            <w:hideMark/>
          </w:tcPr>
          <w:p w14:paraId="0653712F" w14:textId="77777777" w:rsidR="00B216D6" w:rsidRPr="007224C3" w:rsidRDefault="00B216D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ПД М-11Д</w:t>
            </w:r>
          </w:p>
        </w:tc>
      </w:tr>
      <w:tr w:rsidR="005106D0" w:rsidRPr="007224C3" w14:paraId="310BABE6" w14:textId="77777777" w:rsidTr="00B529C1">
        <w:trPr>
          <w:trHeight w:val="180"/>
        </w:trPr>
        <w:tc>
          <w:tcPr>
            <w:tcW w:w="3070" w:type="dxa"/>
            <w:tcBorders>
              <w:top w:val="outset" w:sz="6" w:space="0" w:color="auto"/>
              <w:left w:val="outset" w:sz="6" w:space="0" w:color="auto"/>
              <w:bottom w:val="outset" w:sz="6" w:space="0" w:color="auto"/>
              <w:right w:val="outset" w:sz="6" w:space="0" w:color="auto"/>
            </w:tcBorders>
            <w:hideMark/>
          </w:tcPr>
          <w:p w14:paraId="3E98673C" w14:textId="77777777" w:rsidR="00B216D6" w:rsidRPr="007224C3" w:rsidRDefault="00B216D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Мощность, л.с.</w:t>
            </w:r>
          </w:p>
        </w:tc>
        <w:tc>
          <w:tcPr>
            <w:tcW w:w="4130" w:type="dxa"/>
            <w:tcBorders>
              <w:top w:val="outset" w:sz="6" w:space="0" w:color="auto"/>
              <w:left w:val="outset" w:sz="6" w:space="0" w:color="auto"/>
              <w:bottom w:val="outset" w:sz="6" w:space="0" w:color="auto"/>
              <w:right w:val="outset" w:sz="6" w:space="0" w:color="auto"/>
            </w:tcBorders>
            <w:hideMark/>
          </w:tcPr>
          <w:p w14:paraId="77BD379E" w14:textId="77777777" w:rsidR="00B216D6" w:rsidRPr="007224C3" w:rsidRDefault="00B216D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 х 115</w:t>
            </w:r>
          </w:p>
        </w:tc>
      </w:tr>
      <w:tr w:rsidR="005106D0" w:rsidRPr="007224C3" w14:paraId="1572096C" w14:textId="77777777" w:rsidTr="00B529C1">
        <w:trPr>
          <w:trHeight w:val="180"/>
        </w:trPr>
        <w:tc>
          <w:tcPr>
            <w:tcW w:w="3070" w:type="dxa"/>
            <w:tcBorders>
              <w:top w:val="outset" w:sz="6" w:space="0" w:color="auto"/>
              <w:left w:val="outset" w:sz="6" w:space="0" w:color="auto"/>
              <w:bottom w:val="outset" w:sz="6" w:space="0" w:color="auto"/>
              <w:right w:val="outset" w:sz="6" w:space="0" w:color="auto"/>
            </w:tcBorders>
            <w:hideMark/>
          </w:tcPr>
          <w:p w14:paraId="27CE6801" w14:textId="77777777" w:rsidR="00B216D6" w:rsidRPr="007224C3" w:rsidRDefault="00B216D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 скорость , км/ч</w:t>
            </w:r>
          </w:p>
        </w:tc>
        <w:tc>
          <w:tcPr>
            <w:tcW w:w="4130" w:type="dxa"/>
            <w:tcBorders>
              <w:top w:val="outset" w:sz="6" w:space="0" w:color="auto"/>
              <w:left w:val="outset" w:sz="6" w:space="0" w:color="auto"/>
              <w:bottom w:val="outset" w:sz="6" w:space="0" w:color="auto"/>
              <w:right w:val="outset" w:sz="6" w:space="0" w:color="auto"/>
            </w:tcBorders>
            <w:hideMark/>
          </w:tcPr>
          <w:p w14:paraId="3478B2D9" w14:textId="77777777" w:rsidR="00B216D6" w:rsidRPr="007224C3" w:rsidRDefault="00B216D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134</w:t>
            </w:r>
          </w:p>
        </w:tc>
      </w:tr>
      <w:tr w:rsidR="005106D0" w:rsidRPr="007224C3" w14:paraId="2EECE8FD" w14:textId="77777777" w:rsidTr="00B529C1">
        <w:trPr>
          <w:trHeight w:val="180"/>
        </w:trPr>
        <w:tc>
          <w:tcPr>
            <w:tcW w:w="3070" w:type="dxa"/>
            <w:tcBorders>
              <w:top w:val="outset" w:sz="6" w:space="0" w:color="auto"/>
              <w:left w:val="outset" w:sz="6" w:space="0" w:color="auto"/>
              <w:bottom w:val="outset" w:sz="6" w:space="0" w:color="auto"/>
              <w:right w:val="outset" w:sz="6" w:space="0" w:color="auto"/>
            </w:tcBorders>
            <w:hideMark/>
          </w:tcPr>
          <w:p w14:paraId="52E03EDD" w14:textId="77777777" w:rsidR="00B216D6" w:rsidRPr="007224C3" w:rsidRDefault="00B216D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Крейсерская скорость , км/ч</w:t>
            </w:r>
          </w:p>
        </w:tc>
        <w:tc>
          <w:tcPr>
            <w:tcW w:w="4130" w:type="dxa"/>
            <w:tcBorders>
              <w:top w:val="outset" w:sz="6" w:space="0" w:color="auto"/>
              <w:left w:val="outset" w:sz="6" w:space="0" w:color="auto"/>
              <w:bottom w:val="outset" w:sz="6" w:space="0" w:color="auto"/>
              <w:right w:val="outset" w:sz="6" w:space="0" w:color="auto"/>
            </w:tcBorders>
            <w:hideMark/>
          </w:tcPr>
          <w:p w14:paraId="7FD87AD3" w14:textId="77777777" w:rsidR="00B216D6" w:rsidRPr="007224C3" w:rsidRDefault="00B216D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100</w:t>
            </w:r>
          </w:p>
        </w:tc>
      </w:tr>
      <w:tr w:rsidR="005106D0" w:rsidRPr="007224C3" w14:paraId="27B9F65F" w14:textId="77777777" w:rsidTr="00B529C1">
        <w:trPr>
          <w:trHeight w:val="180"/>
        </w:trPr>
        <w:tc>
          <w:tcPr>
            <w:tcW w:w="3070" w:type="dxa"/>
            <w:tcBorders>
              <w:top w:val="outset" w:sz="6" w:space="0" w:color="auto"/>
              <w:left w:val="outset" w:sz="6" w:space="0" w:color="auto"/>
              <w:bottom w:val="outset" w:sz="6" w:space="0" w:color="auto"/>
              <w:right w:val="outset" w:sz="6" w:space="0" w:color="auto"/>
            </w:tcBorders>
            <w:hideMark/>
          </w:tcPr>
          <w:p w14:paraId="51B300F5" w14:textId="77777777" w:rsidR="00B216D6" w:rsidRPr="007224C3" w:rsidRDefault="00B216D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Практическая дальность, км</w:t>
            </w:r>
          </w:p>
        </w:tc>
        <w:tc>
          <w:tcPr>
            <w:tcW w:w="4130" w:type="dxa"/>
            <w:tcBorders>
              <w:top w:val="outset" w:sz="6" w:space="0" w:color="auto"/>
              <w:left w:val="outset" w:sz="6" w:space="0" w:color="auto"/>
              <w:bottom w:val="outset" w:sz="6" w:space="0" w:color="auto"/>
              <w:right w:val="outset" w:sz="6" w:space="0" w:color="auto"/>
            </w:tcBorders>
            <w:hideMark/>
          </w:tcPr>
          <w:p w14:paraId="5B38A90B" w14:textId="77777777" w:rsidR="00B216D6" w:rsidRPr="007224C3" w:rsidRDefault="00B216D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450</w:t>
            </w:r>
          </w:p>
        </w:tc>
      </w:tr>
      <w:tr w:rsidR="005106D0" w:rsidRPr="007224C3" w14:paraId="7FB93339" w14:textId="77777777" w:rsidTr="00B529C1">
        <w:trPr>
          <w:trHeight w:val="180"/>
        </w:trPr>
        <w:tc>
          <w:tcPr>
            <w:tcW w:w="3070" w:type="dxa"/>
            <w:tcBorders>
              <w:top w:val="outset" w:sz="6" w:space="0" w:color="auto"/>
              <w:left w:val="outset" w:sz="6" w:space="0" w:color="auto"/>
              <w:bottom w:val="outset" w:sz="6" w:space="0" w:color="auto"/>
              <w:right w:val="outset" w:sz="6" w:space="0" w:color="auto"/>
            </w:tcBorders>
            <w:hideMark/>
          </w:tcPr>
          <w:p w14:paraId="242D5927" w14:textId="77777777" w:rsidR="00B216D6" w:rsidRPr="007224C3" w:rsidRDefault="00B216D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 скороподъемность, м/мин</w:t>
            </w:r>
          </w:p>
        </w:tc>
        <w:tc>
          <w:tcPr>
            <w:tcW w:w="4130" w:type="dxa"/>
            <w:tcBorders>
              <w:top w:val="outset" w:sz="6" w:space="0" w:color="auto"/>
              <w:left w:val="outset" w:sz="6" w:space="0" w:color="auto"/>
              <w:bottom w:val="outset" w:sz="6" w:space="0" w:color="auto"/>
              <w:right w:val="outset" w:sz="6" w:space="0" w:color="auto"/>
            </w:tcBorders>
            <w:hideMark/>
          </w:tcPr>
          <w:p w14:paraId="7AC2014F" w14:textId="77777777" w:rsidR="00B216D6" w:rsidRPr="007224C3" w:rsidRDefault="00B216D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40</w:t>
            </w:r>
          </w:p>
        </w:tc>
      </w:tr>
      <w:tr w:rsidR="005106D0" w:rsidRPr="007224C3" w14:paraId="5F9D9903" w14:textId="77777777" w:rsidTr="00B529C1">
        <w:trPr>
          <w:trHeight w:val="180"/>
        </w:trPr>
        <w:tc>
          <w:tcPr>
            <w:tcW w:w="3070" w:type="dxa"/>
            <w:tcBorders>
              <w:top w:val="outset" w:sz="6" w:space="0" w:color="auto"/>
              <w:left w:val="outset" w:sz="6" w:space="0" w:color="auto"/>
              <w:bottom w:val="outset" w:sz="6" w:space="0" w:color="auto"/>
              <w:right w:val="outset" w:sz="6" w:space="0" w:color="auto"/>
            </w:tcBorders>
            <w:hideMark/>
          </w:tcPr>
          <w:p w14:paraId="7EEF17E6" w14:textId="77777777" w:rsidR="00B216D6" w:rsidRPr="007224C3" w:rsidRDefault="00B216D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Практический потолок, м</w:t>
            </w:r>
          </w:p>
        </w:tc>
        <w:tc>
          <w:tcPr>
            <w:tcW w:w="4130" w:type="dxa"/>
            <w:tcBorders>
              <w:top w:val="outset" w:sz="6" w:space="0" w:color="auto"/>
              <w:left w:val="outset" w:sz="6" w:space="0" w:color="auto"/>
              <w:bottom w:val="outset" w:sz="6" w:space="0" w:color="auto"/>
              <w:right w:val="outset" w:sz="6" w:space="0" w:color="auto"/>
            </w:tcBorders>
            <w:hideMark/>
          </w:tcPr>
          <w:p w14:paraId="3574DF0C" w14:textId="77777777" w:rsidR="00B216D6" w:rsidRPr="007224C3" w:rsidRDefault="00B216D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1500</w:t>
            </w:r>
          </w:p>
        </w:tc>
      </w:tr>
      <w:tr w:rsidR="005106D0" w:rsidRPr="007224C3" w14:paraId="7116B5CC" w14:textId="77777777" w:rsidTr="00B529C1">
        <w:trPr>
          <w:trHeight w:val="180"/>
        </w:trPr>
        <w:tc>
          <w:tcPr>
            <w:tcW w:w="3070" w:type="dxa"/>
            <w:tcBorders>
              <w:top w:val="outset" w:sz="6" w:space="0" w:color="auto"/>
              <w:left w:val="outset" w:sz="6" w:space="0" w:color="auto"/>
              <w:bottom w:val="outset" w:sz="6" w:space="0" w:color="auto"/>
              <w:right w:val="outset" w:sz="6" w:space="0" w:color="auto"/>
            </w:tcBorders>
            <w:hideMark/>
          </w:tcPr>
          <w:p w14:paraId="3C03F722" w14:textId="77777777" w:rsidR="00B216D6" w:rsidRPr="007224C3" w:rsidRDefault="00B216D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Экипаж</w:t>
            </w:r>
          </w:p>
        </w:tc>
        <w:tc>
          <w:tcPr>
            <w:tcW w:w="4130" w:type="dxa"/>
            <w:tcBorders>
              <w:top w:val="outset" w:sz="6" w:space="0" w:color="auto"/>
              <w:left w:val="outset" w:sz="6" w:space="0" w:color="auto"/>
              <w:bottom w:val="outset" w:sz="6" w:space="0" w:color="auto"/>
              <w:right w:val="outset" w:sz="6" w:space="0" w:color="auto"/>
            </w:tcBorders>
            <w:hideMark/>
          </w:tcPr>
          <w:p w14:paraId="7F2CB488" w14:textId="77777777" w:rsidR="00B216D6" w:rsidRPr="007224C3" w:rsidRDefault="00B216D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2</w:t>
            </w:r>
          </w:p>
        </w:tc>
      </w:tr>
      <w:tr w:rsidR="005106D0" w:rsidRPr="007224C3" w14:paraId="36A24E17" w14:textId="77777777" w:rsidTr="00B529C1">
        <w:trPr>
          <w:trHeight w:val="180"/>
        </w:trPr>
        <w:tc>
          <w:tcPr>
            <w:tcW w:w="3070" w:type="dxa"/>
            <w:tcBorders>
              <w:top w:val="outset" w:sz="6" w:space="0" w:color="auto"/>
              <w:left w:val="outset" w:sz="6" w:space="0" w:color="auto"/>
              <w:bottom w:val="outset" w:sz="6" w:space="0" w:color="auto"/>
              <w:right w:val="outset" w:sz="6" w:space="0" w:color="auto"/>
            </w:tcBorders>
            <w:hideMark/>
          </w:tcPr>
          <w:p w14:paraId="0F493EA3" w14:textId="77777777" w:rsidR="00B216D6" w:rsidRPr="007224C3" w:rsidRDefault="00B216D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Вооружение:</w:t>
            </w:r>
          </w:p>
        </w:tc>
        <w:tc>
          <w:tcPr>
            <w:tcW w:w="4130" w:type="dxa"/>
            <w:tcBorders>
              <w:top w:val="outset" w:sz="6" w:space="0" w:color="auto"/>
              <w:left w:val="outset" w:sz="6" w:space="0" w:color="auto"/>
              <w:bottom w:val="outset" w:sz="6" w:space="0" w:color="auto"/>
              <w:right w:val="outset" w:sz="6" w:space="0" w:color="auto"/>
            </w:tcBorders>
            <w:hideMark/>
          </w:tcPr>
          <w:p w14:paraId="07F49982" w14:textId="77777777" w:rsidR="00B216D6" w:rsidRPr="007224C3" w:rsidRDefault="00B216D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один оборонительный 7.62-мм пулемет ШКАС или ДА</w:t>
            </w:r>
          </w:p>
          <w:p w14:paraId="4DB1BCBC" w14:textId="77777777" w:rsidR="00B216D6" w:rsidRPr="007224C3" w:rsidRDefault="00B216D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Бомбовая нагрузка - 350 кг, максимальная - 500 кг</w:t>
            </w:r>
          </w:p>
        </w:tc>
      </w:tr>
    </w:tbl>
    <w:p w14:paraId="0B9AA160" w14:textId="77777777" w:rsidR="00B216D6" w:rsidRPr="007224C3" w:rsidRDefault="00B216D6"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(15142).</w:t>
      </w:r>
    </w:p>
    <w:p w14:paraId="462D8B42" w14:textId="77777777" w:rsidR="00B216D6" w:rsidRPr="007224C3" w:rsidRDefault="00B216D6" w:rsidP="007224C3">
      <w:pPr>
        <w:spacing w:after="0" w:line="240" w:lineRule="auto"/>
        <w:jc w:val="both"/>
        <w:rPr>
          <w:rFonts w:ascii="Times New Roman" w:hAnsi="Times New Roman"/>
          <w:color w:val="000000" w:themeColor="text1"/>
          <w:sz w:val="16"/>
          <w:szCs w:val="16"/>
        </w:rPr>
      </w:pPr>
    </w:p>
    <w:p w14:paraId="5C444355" w14:textId="77777777" w:rsidR="001444FD" w:rsidRPr="007224C3" w:rsidRDefault="001444F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Начиная с середины 1944 г., вследствие того, что шкворневая оборонительная установка на У-2 под пулемет ШКАС имела малые углы обстрела, его стали заменять на пулемет ДТ. Штатный боекомплект к ШКАСу состоял из патронной ленты емкостью 500 патронов, а к пулемету ДТ — из 5 магазинов по 63 патрона в каждом. На части боевых У-2 в дополнение к оборонительному пулемету на нижнем левом или правом крыле устанавливали еще и неподвижный курсовой пулемет ШКАС или ПВ-1 для стрельбы вперед (боекомплект от 500 до 800 патронов в зависимости от высоты патронного ящика). Установка пулемета на правую или левую плоскость самолета зависело от того, какой приемник имелся на пулемете. При этом правая и левая установки были совершенно одинаковыми, за исключением верхней части заднего узла крепления лафета. Рукоятка перезарядки монтировалась на соответствующем борту. Управление стеком пулемета осуществлялось посредством специальной тяги и гашетки, установленной на рукоятке управления самолетом. Причем все имевшиеся на пулеметах приспособления для спуска снимались. Патронный ящик (как правило, изготовленный из фанеры) устанавливался в кабине пилота за его сиденьем. На У-2 с двойным управлением в середине ящика делался вырез для прохода тяг ручного управления в кабину штурмана, на других модификациях вырез не делался. В верхнем углу ящика имелся валик (деревянный, металлический или пластмассовый), облегчавший перемещение патронной ленты. Патронный ящик крепился к полу кабины в специальных гнездах с помощью ремней. Из патронного ящика лента входила в приемник патронопровода, установленного в борту фюзеляжа, потом, выходя из фюзеляжа, проходила по специальному желобу, изготовленному из фанеры, оклеенной полотном. По желобу лента попадала в патронный приемник пулемета. Вся система боепитания — патронный ящик, патронопровод и приемник на пулемете — располагалась в одну линию, что обеспечивало надежную подачу патронов. Установка на боевые У-2 только одного курсового пулемета обуславливалось, главным образом, весовыми соображениями. В отдельных случаях неподвижные пулеметы для стрельбы вперед устанавливались на каждую плоскость У-2. Оборудование У-2 одним курсовым пулеметом практически не изменяло летные его данные, разве что снижала скорость полета на 4-5 км/ч. Для прицеливания при стрельбе из курсового пулемета или реактивными снарядами использовались как простейший кольцевой, так и оптический (типа ОП-1) прицелы. Кольцевой прицел устанавливался на площадочке впереди козырька первой кабины справа, колонку с мушкой — впереди козырька на деревянной бобышке, а колонку с кольцами — на площадочке передней ленты бензобака. Установка оптического прицела практически ничем не отличалась от установки механического. Пристрелка пулеметов осуществлялась на дистанцию 200 м.</w:t>
      </w:r>
    </w:p>
    <w:p w14:paraId="41D80459" w14:textId="77777777" w:rsidR="001444FD" w:rsidRPr="007224C3" w:rsidRDefault="001444F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декабре 1944 же года не выдержал государственных испытаний У-2ВС с М-11Д эталон 1-го полугодия 1944 г., выпущенный заводом'№387 в 1943 г. (№4504). После этого его доставили на завод № 51 для доработки. Машину оснастили новой стрелковой установкой под пулемет ДТ с расширенными углами обстрела, позволявшей вести огонь не только по воздушным, но и по наземным целям, установили генератор ГС-350 (как на У-2НАК). шумопламегаситель ШПГ-2, новый прицел для бомбометания ночью НП-У-2 (НКПБ-8), доработали систему питания гироприборов и т. д. После этого самолет был повторно подвергнут государственным испытаниям, которые он успешно прошел. Модифицированный таким образом У-2ВС приняли в качестве эталона для серии 1944 г. (15142).</w:t>
      </w:r>
    </w:p>
    <w:p w14:paraId="172B9676" w14:textId="77777777" w:rsidR="001444FD" w:rsidRPr="007224C3" w:rsidRDefault="001444FD" w:rsidP="007224C3">
      <w:pPr>
        <w:spacing w:after="0" w:line="240" w:lineRule="auto"/>
        <w:jc w:val="both"/>
        <w:rPr>
          <w:rFonts w:ascii="Times New Roman" w:hAnsi="Times New Roman"/>
          <w:color w:val="000000" w:themeColor="text1"/>
          <w:sz w:val="16"/>
          <w:szCs w:val="16"/>
        </w:rPr>
      </w:pPr>
    </w:p>
    <w:p w14:paraId="7E37F552"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 середины 1944 г. в ОКБ-300 разрабатывался АМ-39ФН (ФНВ), форсированный, с непосредственным впрыском, на базе АМ-38Ф. От</w:t>
      </w:r>
      <w:r w:rsidRPr="007224C3">
        <w:rPr>
          <w:rFonts w:ascii="Times New Roman" w:hAnsi="Times New Roman"/>
          <w:color w:val="000000" w:themeColor="text1"/>
          <w:sz w:val="16"/>
          <w:szCs w:val="16"/>
        </w:rPr>
        <w:softHyphen/>
        <w:t>личался улучшенной гидравликой ПЦН, увеличенным диаметром его крыльчатки, увеличенным диаметром клапанов, всасывающими па</w:t>
      </w:r>
      <w:r w:rsidRPr="007224C3">
        <w:rPr>
          <w:rFonts w:ascii="Times New Roman" w:hAnsi="Times New Roman"/>
          <w:color w:val="000000" w:themeColor="text1"/>
          <w:sz w:val="16"/>
          <w:szCs w:val="16"/>
        </w:rPr>
        <w:softHyphen/>
        <w:t>трубками по типу мотора Аллисон У-1710. Мощность первоначально 1600/1850 л.с., затем 1730/2130 л.с., вес 970 кг. Испытания велись с августа 1944 г., официальные заводские испытания проходили в январе 1945 г. Летом того же года моторы испытывались на бомбардиров</w:t>
      </w:r>
      <w:r w:rsidRPr="007224C3">
        <w:rPr>
          <w:rFonts w:ascii="Times New Roman" w:hAnsi="Times New Roman"/>
          <w:color w:val="000000" w:themeColor="text1"/>
          <w:sz w:val="16"/>
          <w:szCs w:val="16"/>
        </w:rPr>
        <w:softHyphen/>
        <w:t>щике Ту-2. Работы прекращены в сентябре 1945 г. по распоряжению Микулина в связи с успехом модификации АМ-39ФН2. - АМ-39ФН2, аналог АМ-39ФН на базе АМ-42, 1600/1850 л.с., вес 1080 кг. В 1-м квартале 1946 г. изготовлены пять экземпляров, на которых вели госиспытания. Двигатели семейства АМ-39 устанавливали на опытных самолетах «68» (Ту-4), И-231 (2Д, МиГ-ЗДД), ИТП (М-2), ВП(К), ТИС-МА, И-224 (МиГ-7), на малой серии бомбардировщиков Ту-10. Их применение преду</w:t>
      </w:r>
      <w:r w:rsidRPr="007224C3">
        <w:rPr>
          <w:rFonts w:ascii="Times New Roman" w:hAnsi="Times New Roman"/>
          <w:color w:val="000000" w:themeColor="text1"/>
          <w:sz w:val="16"/>
          <w:szCs w:val="16"/>
        </w:rPr>
        <w:softHyphen/>
        <w:t>сматривалось проектом самолета СПС (11852).</w:t>
      </w:r>
    </w:p>
    <w:p w14:paraId="43CB3D6E" w14:textId="77777777" w:rsidR="00595BFB" w:rsidRPr="007224C3" w:rsidRDefault="00595BFB" w:rsidP="007224C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007B8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середине 1944 года разработку станции "Нептун", которая работала на волне 1,5 м, был закончена. Испытания РЛС "Нептун" дали удовлетворительные результаты, станция была принята на вооружение и рекомендована для серийного производства. Помимо своего основного назначения, станция "Нептун" получила широкое распространение в гидрометеорологической службе СССР, где эксплуатировалась многие годы. Но выпуск ее начался уже после окончания войны (9921).</w:t>
      </w:r>
    </w:p>
    <w:p w14:paraId="188ED5D6"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6086FD65" w14:textId="77777777" w:rsidR="000F0D8A" w:rsidRPr="007224C3" w:rsidRDefault="000F0D8A" w:rsidP="007224C3">
      <w:pPr>
        <w:pStyle w:val="ae"/>
        <w:shd w:val="clear" w:color="auto" w:fill="FFFFFF"/>
        <w:spacing w:before="0" w:after="0"/>
        <w:jc w:val="both"/>
        <w:textAlignment w:val="baseline"/>
        <w:rPr>
          <w:color w:val="0070C0"/>
          <w:sz w:val="16"/>
          <w:szCs w:val="16"/>
        </w:rPr>
      </w:pPr>
      <w:r w:rsidRPr="007224C3">
        <w:rPr>
          <w:color w:val="0070C0"/>
          <w:sz w:val="16"/>
          <w:szCs w:val="16"/>
        </w:rPr>
        <w:t>К середине 1944 года были спроектированы и изготовлены опытные направляющие для пуска снарядов М-8, М-13, М-13-ДД, М-13-УК, М-20 и М-31. Полигонные испытания, проводившиеся в августе-сентябре, показали, что стрельба из созданных направляющих безопасна, а полёт снарядов правильный. Наименьшее рассеивание обеспечивалось при использовании М-20 и направляющей длиной 3 м с крутизной 120° на погонный метр, для снаряда М-13 — длиной 5 м с крутизной 80° на погонный метр.</w:t>
      </w:r>
    </w:p>
    <w:p w14:paraId="35B3FC16" w14:textId="77777777" w:rsidR="000F0D8A" w:rsidRPr="007224C3" w:rsidRDefault="000F0D8A" w:rsidP="007224C3">
      <w:pPr>
        <w:pStyle w:val="ae"/>
        <w:shd w:val="clear" w:color="auto" w:fill="FFFFFF"/>
        <w:spacing w:before="0" w:after="0"/>
        <w:jc w:val="both"/>
        <w:textAlignment w:val="baseline"/>
        <w:rPr>
          <w:color w:val="0070C0"/>
          <w:sz w:val="16"/>
          <w:szCs w:val="16"/>
        </w:rPr>
      </w:pPr>
      <w:r w:rsidRPr="007224C3">
        <w:rPr>
          <w:color w:val="0070C0"/>
          <w:sz w:val="16"/>
          <w:szCs w:val="16"/>
        </w:rPr>
        <w:t>В апреле 1945 года были представлены готовые машины со спиральными направляющими. При опытных стрельбах в начале мая было показано, что установки М-13-СН улучшают кучность падения снарядов М-13, М-13-ДД и М-20 в среднем в полтора-три раза. Промышленность получила заказ на изготовление ста пусковых установок, началось формирований новых воинских подразделений, принимавших на вооружение М-13-СН, однако участия в боевых действиях они принять не успели.</w:t>
      </w:r>
    </w:p>
    <w:p w14:paraId="54DA9D26" w14:textId="77777777" w:rsidR="000F0D8A" w:rsidRPr="007224C3" w:rsidRDefault="000F0D8A" w:rsidP="007224C3">
      <w:pPr>
        <w:pStyle w:val="ae"/>
        <w:shd w:val="clear" w:color="auto" w:fill="FFFFFF"/>
        <w:spacing w:before="0" w:after="0"/>
        <w:jc w:val="both"/>
        <w:textAlignment w:val="baseline"/>
        <w:rPr>
          <w:color w:val="0070C0"/>
          <w:sz w:val="16"/>
          <w:szCs w:val="16"/>
        </w:rPr>
      </w:pPr>
      <w:r w:rsidRPr="007224C3">
        <w:rPr>
          <w:color w:val="0070C0"/>
          <w:sz w:val="16"/>
          <w:szCs w:val="16"/>
        </w:rPr>
        <w:t>После окончания Великой Отечественной войны работы над реактивными установками были продолжены и направлены на их дальнейшее совершенствование при продолжавшейся эксплуатации серийных машин. Самыми долговечными из них оказались боевые машины М-13, известные сегодня как БМ-13 или «Катюши» (19941).</w:t>
      </w:r>
    </w:p>
    <w:p w14:paraId="61CBADBE" w14:textId="77777777" w:rsidR="000F0D8A" w:rsidRPr="007224C3" w:rsidRDefault="000F0D8A" w:rsidP="007224C3">
      <w:pPr>
        <w:shd w:val="clear" w:color="auto" w:fill="FFFFFF"/>
        <w:spacing w:after="0" w:line="240" w:lineRule="auto"/>
        <w:jc w:val="both"/>
        <w:rPr>
          <w:rFonts w:ascii="Times New Roman" w:hAnsi="Times New Roman"/>
          <w:color w:val="0070C0"/>
          <w:sz w:val="16"/>
          <w:szCs w:val="16"/>
        </w:rPr>
      </w:pPr>
    </w:p>
    <w:p w14:paraId="3AAE41A4"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Другие оборонные отрасли:</w:t>
      </w:r>
    </w:p>
    <w:p w14:paraId="4A1914A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F3B4AD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середине 1944 года стало окончательно ясно, что имеющихся средств борьбы с новейшими немецкими танками явно недостаточно. Необходимо было качественное усиление мощи танковых частей Красной Армии (3862).</w:t>
      </w:r>
    </w:p>
    <w:p w14:paraId="60B264E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D5F378" w14:textId="77777777" w:rsidR="001444FD" w:rsidRPr="007224C3" w:rsidRDefault="001444F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середине 1944 года после отказа от изготовления опытного образца танка А-44, группа конструкторов конструкторского бюро ХТЗМ, с одобрения Александра Александровича Морозова, провела инициативную разработку проекта-наследника под обозначением Объект 414. Это должен был стать толстобронный скоростной маневренный танк принципиально нового типа с мощным артиллерийским вооружением. За основу был принят перспективный танк Объект 136 (Т-44), ТТХ которого был призван улучшить проект.</w:t>
      </w:r>
    </w:p>
    <w:p w14:paraId="48EA1E9B" w14:textId="77777777" w:rsidR="001444FD" w:rsidRPr="007224C3" w:rsidRDefault="001444F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предварительных ТТХ обозначалось следующее:</w:t>
      </w:r>
    </w:p>
    <w:p w14:paraId="58A4FC3F" w14:textId="77777777" w:rsidR="001444FD" w:rsidRPr="007224C3" w:rsidRDefault="001444F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lastRenderedPageBreak/>
        <w:t>Длина танка - не более 6000 мм, ширина танка - не более 3500 мм, высота танка - не более 2500 мм, масса - не более 36 тонн.</w:t>
      </w:r>
    </w:p>
    <w:p w14:paraId="4C6DD1DB" w14:textId="77777777" w:rsidR="001444FD" w:rsidRPr="007224C3" w:rsidRDefault="001444F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Бронирование: лобовое бронирование корпуса - не менее 90 мм под углом 60 градусов, лобовое бронирование башни не менее 120 мм.</w:t>
      </w:r>
    </w:p>
    <w:p w14:paraId="2C1897A6" w14:textId="77777777" w:rsidR="001444FD" w:rsidRPr="007224C3" w:rsidRDefault="001444F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Вооружение: 85 либо 100-мм орудие, 2х7.62 мм пулемёта (курсовой и спаренный).</w:t>
      </w:r>
    </w:p>
    <w:p w14:paraId="467E9405" w14:textId="77777777" w:rsidR="001444FD" w:rsidRPr="007224C3" w:rsidRDefault="001444F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Двигатель: Дизель, не менее 520 л.с. (15652).</w:t>
      </w:r>
    </w:p>
    <w:p w14:paraId="0101600F" w14:textId="77777777" w:rsidR="001444FD" w:rsidRPr="007224C3" w:rsidRDefault="001444F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По полученный данным был создан проект  Объекта 414 об. 1944 года следующего вида:</w:t>
      </w:r>
    </w:p>
    <w:p w14:paraId="2CCEC391" w14:textId="77777777" w:rsidR="001444FD" w:rsidRPr="007224C3" w:rsidRDefault="001444F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Боевая масса: 36 тонн</w:t>
      </w:r>
    </w:p>
    <w:p w14:paraId="13315A49" w14:textId="77777777" w:rsidR="001444FD" w:rsidRPr="007224C3" w:rsidRDefault="001444F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Длина танка с пушкой вперёд: 7100 мм</w:t>
      </w:r>
    </w:p>
    <w:p w14:paraId="676161DF" w14:textId="77777777" w:rsidR="001444FD" w:rsidRPr="007224C3" w:rsidRDefault="001444F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Ширина танка: 3400 мм</w:t>
      </w:r>
    </w:p>
    <w:p w14:paraId="1DF484D0" w14:textId="77777777" w:rsidR="001444FD" w:rsidRPr="007224C3" w:rsidRDefault="001444F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Высота танка: 2560 мм</w:t>
      </w:r>
    </w:p>
    <w:p w14:paraId="4897E4CC" w14:textId="77777777" w:rsidR="001444FD" w:rsidRPr="007224C3" w:rsidRDefault="001444F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Диаметр погона башни: 1700 мм</w:t>
      </w:r>
    </w:p>
    <w:p w14:paraId="063139A9" w14:textId="77777777" w:rsidR="001444FD" w:rsidRPr="007224C3" w:rsidRDefault="001444F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Экипаж: 4 человека - Командир/радист, наводчик, механик-водитель, заряжающий</w:t>
      </w:r>
    </w:p>
    <w:p w14:paraId="297DA9D0" w14:textId="77777777" w:rsidR="001444FD" w:rsidRPr="007224C3" w:rsidRDefault="001444F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Максимальная скорость: 55 км/ч</w:t>
      </w:r>
    </w:p>
    <w:p w14:paraId="54E86ADA" w14:textId="77777777" w:rsidR="001444FD" w:rsidRPr="007224C3" w:rsidRDefault="001444F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Запас хода по шоссе: 210 км</w:t>
      </w:r>
    </w:p>
    <w:p w14:paraId="73580250" w14:textId="77777777" w:rsidR="001444FD" w:rsidRPr="007224C3" w:rsidRDefault="001444F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Бронирование, мм / градусы:</w:t>
      </w:r>
    </w:p>
    <w:p w14:paraId="125D9E18" w14:textId="77777777" w:rsidR="001444FD" w:rsidRPr="007224C3" w:rsidRDefault="001444F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Лоб корпуса низ: 100 / 45</w:t>
      </w:r>
    </w:p>
    <w:p w14:paraId="2C86A8E8" w14:textId="77777777" w:rsidR="001444FD" w:rsidRPr="007224C3" w:rsidRDefault="001444F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Лоб башни: 120 / 0</w:t>
      </w:r>
    </w:p>
    <w:p w14:paraId="450A89DF" w14:textId="77777777" w:rsidR="001444FD" w:rsidRPr="007224C3" w:rsidRDefault="001444F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Лоб корпуса верх: 100 / 60</w:t>
      </w:r>
    </w:p>
    <w:p w14:paraId="405815B1" w14:textId="77777777" w:rsidR="001444FD" w:rsidRPr="007224C3" w:rsidRDefault="001444F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Борт башни: 90 / 20</w:t>
      </w:r>
    </w:p>
    <w:p w14:paraId="0E44ED70" w14:textId="77777777" w:rsidR="001444FD" w:rsidRPr="007224C3" w:rsidRDefault="001444F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Борт корпуса: 80 / 0</w:t>
      </w:r>
    </w:p>
    <w:p w14:paraId="055595C4" w14:textId="77777777" w:rsidR="001444FD" w:rsidRPr="007224C3" w:rsidRDefault="001444F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Корма башни: 75 / 12</w:t>
      </w:r>
    </w:p>
    <w:p w14:paraId="3F5F3CE5" w14:textId="77777777" w:rsidR="001444FD" w:rsidRPr="007224C3" w:rsidRDefault="001444F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Зад корпуса: 45 / 17</w:t>
      </w:r>
    </w:p>
    <w:p w14:paraId="43AFFBFA" w14:textId="77777777" w:rsidR="001444FD" w:rsidRPr="007224C3" w:rsidRDefault="001444F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Крыша корпуса: 15 / 0</w:t>
      </w:r>
    </w:p>
    <w:p w14:paraId="5162770B" w14:textId="77777777" w:rsidR="001444FD" w:rsidRPr="007224C3" w:rsidRDefault="001444F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Днище корпуса: 15 / 0</w:t>
      </w:r>
    </w:p>
    <w:p w14:paraId="497DB6F0" w14:textId="77777777" w:rsidR="001444FD" w:rsidRPr="007224C3" w:rsidRDefault="001444F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Вооружение:</w:t>
      </w:r>
    </w:p>
    <w:p w14:paraId="76DFFC23" w14:textId="77777777" w:rsidR="001444FD" w:rsidRPr="007224C3" w:rsidRDefault="001444F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качестве основного вооружения было выбрано опытное 100-мм орудие С-34-I, проходившее в то же время испытание на танке Объект 701.  Оно сочетало огневую мощь и приемлемую массу, а также оснащалось дульным тормозом, что благоприятно сказывалось на нагрузки при выстреле танка. Орудие заряжалось унитарными снарядами, расчётный боекомплект составлял 34 снаряда. В качестве альтернативы рассматривалась установка 85-мм орудий ЗИС-С-53, Д-5Т, 100-мм орудие Д-10Т, ЗИС-100 или 122-мм орудий С-34-II, Д-25Т. Также на танке было установлено 2 пулемёта ДТМ калибра 7.62 мм - курсовым пулемётом, установленным в корпусе по ходу движения, управлял и обслуживал механик-водитель, а спаренным, установленный в одной маске с основным орудием, управлял наводчик. В башне предполагали установить также механический досылатель выстрела, а впоследствии - и одноплоскостной стабилизатор прицела.</w:t>
      </w:r>
    </w:p>
    <w:p w14:paraId="09D8BA96" w14:textId="77777777" w:rsidR="001444FD" w:rsidRPr="007224C3" w:rsidRDefault="001444F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Объекте 414 была проведена модернизация механизмов управления огнем, аналогичная работам на танке Объект 136. Танк получил все новейшие достижения в данной области - ломающийся прицел, кнопочный электроспуск орудия и пулемета, объединенное управление ручным и моторным приводом поворота башни. Поворотный механизм башни управлялся от рукояти ручного поворотного механизма, что позволяло перейти с ручного на моторный привод башни, не отрывая руки от рукоятки поворотного механизма.</w:t>
      </w:r>
    </w:p>
    <w:p w14:paraId="5A7AC74F" w14:textId="77777777" w:rsidR="001444FD" w:rsidRPr="007224C3" w:rsidRDefault="001444F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Ходовая часть:</w:t>
      </w:r>
    </w:p>
    <w:p w14:paraId="333D1218" w14:textId="77777777" w:rsidR="001444FD" w:rsidRPr="007224C3" w:rsidRDefault="001444F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Ходовая часть Объекта 414 с каждого борта состояла из ведущего колеса, ленивца, шести сдвоенных литых необрезиненных опорных катков диаметром 550 мм и трёх сдвоенных обрезиненных литых поддерживающих катков диаметром 385 мм. Подвеска опорных катков — индивидуальная, торсионная.</w:t>
      </w:r>
    </w:p>
    <w:p w14:paraId="48EBE7E1" w14:textId="77777777" w:rsidR="001444FD" w:rsidRPr="007224C3" w:rsidRDefault="001444F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Гусеница танка — шириной 650 мм, стальная, мелкозвенчатая, цевочного зацепления, с открытым металлическим шарниром. Гусеница каждого борта состояла из 80 траков — из 40 гребневых и 40 плоских. Расчётное удельное давление на грунт составило 0,9 кг/см²</w:t>
      </w:r>
    </w:p>
    <w:p w14:paraId="1D2B6F51" w14:textId="77777777" w:rsidR="001444FD" w:rsidRPr="007224C3" w:rsidRDefault="001444F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Двигатель и трансмиссия:</w:t>
      </w:r>
    </w:p>
    <w:p w14:paraId="265A4254" w14:textId="77777777" w:rsidR="001444FD" w:rsidRPr="007224C3" w:rsidRDefault="001444F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На Объекте 414 планировался к  установке V-образный 12-цилиндровый четырёхтактный дизельный двигатель жидкостного охлаждения модели В-12А. Удельная мощность танка составила - 18 л.с./т.</w:t>
      </w:r>
    </w:p>
    <w:p w14:paraId="6FAF6A6D" w14:textId="77777777" w:rsidR="001444FD" w:rsidRPr="007224C3" w:rsidRDefault="001444F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Двигатель был доработан на базе двигателя танка Объект 701 - В-12: изменена система охлаждения и питания двигателя и общая компоновка двигателя для возможности установки его в моторный отсек Объекта 414. Воздухоочиститель нового типа перенесли из развала цилиндров к борту. На месте вентилятора, выступавшего за габариты картера, поставили компактный маховик. Масляный и водяной радиаторы разместили горизонтально под крышкой моторного отделения в однородном воздушном потоке. Такая система охлаждения была более эффективной. При этом для обеспечения надежной работы пришлось ограничить предельную мощность двигателя до 650 л.с.</w:t>
      </w:r>
    </w:p>
    <w:p w14:paraId="3792D69A" w14:textId="77777777" w:rsidR="001444FD" w:rsidRPr="007224C3" w:rsidRDefault="001444F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В трансмиссии танка использовали для передачи усилия от двигателя к перпендикулярно ему расположенной коробке передач новый агрегат — "гитару", редуктор с передаточным числом 0.7. За счет того, что число оборотов увеличилось, а передаваемые нагрузки уменьшились, коробка передач была сделана легкой и компактной.</w:t>
      </w:r>
    </w:p>
    <w:p w14:paraId="173FA74B" w14:textId="77777777" w:rsidR="001444FD" w:rsidRPr="007224C3" w:rsidRDefault="001444F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Система питания двигателя включала три топливных бака общей ёмкостью 400 л, расположенных в моторном отделении справа от двигателя во внутренних надгусеничных нишах, и за отделением управления, а также три внешних цилиндрических топливных бака, размещённых на надгусеничных полках, ёмкостью по 90 л топлива.​ На борту танка имелось напряжение в 12 и 24 вольта. Источник – 4 батареи аккумуляторного типа 6СТЭ-128, емкость батарей 256 А*ч. Электропроводка двухпроводная, внутри танка проложена в металлических экранирующих оболочках.</w:t>
      </w:r>
    </w:p>
    <w:p w14:paraId="00019775" w14:textId="77777777" w:rsidR="001444FD" w:rsidRPr="007224C3" w:rsidRDefault="001444F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Средства связи и наблюдение:</w:t>
      </w:r>
    </w:p>
    <w:p w14:paraId="581C0140" w14:textId="77777777" w:rsidR="001444FD" w:rsidRPr="007224C3" w:rsidRDefault="001444F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Механик-водитель в не боевых условиях осуществлял наблюдение за местностью из своего люка, в бою же он пользовался двумя перископическими смотровыми приборами дававшим ему широкий угол обзора. Командир танка, наводчик и заряжающий имели по одному прибору МК-4, являвшиеся копией британского Mk.IV, дававшим круговой обзор, которые размещались на крыше башни. Для наведения на цель использовался телескопический прицел ТШ-19. Кроме того, имелась свето-сигнализация.</w:t>
      </w:r>
    </w:p>
    <w:p w14:paraId="4568D25D" w14:textId="77777777" w:rsidR="001444FD" w:rsidRPr="007224C3" w:rsidRDefault="001444F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Для внешней связи на Объекте 414 имелась радиостанция 9РС, размещавшаяся в башне танка позади командира танка в кормовой нише и оборудованная штыревой антенной длиной от 1 до 4 м. 9РС обеспечивала связь в телефонном режиме на дальность до 35—40 км с места и 20—25 км на ходу. Для внутренней связи на танке устанавливалось телефонное танковое переговорное устройство ТПУ-4-БИС-Ф на всех членов экипажа, соединённое с радиостанцией.</w:t>
      </w:r>
    </w:p>
    <w:p w14:paraId="615B0084" w14:textId="77777777" w:rsidR="001444FD" w:rsidRPr="007224C3" w:rsidRDefault="001444F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Особой интерес представляет компоновка проекта:</w:t>
      </w:r>
    </w:p>
    <w:p w14:paraId="7B2FB3C6" w14:textId="77777777" w:rsidR="001444FD" w:rsidRPr="007224C3" w:rsidRDefault="001444F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Компоновочная схема танка использовала кормовое изготовление боевого отделения. МТО по схеме – переднего расположения. Место водителя-механика слева в носовом отделении, изолированное от боевого отделения, справа расположен двигатель с механизмами трансмиссии. Башня с боевым отделением располагалась в задней части танка.  Между отделением управления и боевым отделением располагались топливные баки и часть боеукладки. Также боеукладка располагалась вдоль левого борта боевого отделения, его задней части, а также в нише башни.</w:t>
      </w:r>
    </w:p>
    <w:p w14:paraId="70109B61" w14:textId="77777777" w:rsidR="001444FD" w:rsidRPr="007224C3" w:rsidRDefault="001444FD"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  Расположение экипажа в башне также представляло интерес. В отличие от классической компоновки советских танков военных лет, командир танка и наводчик располагались справа от орудия в порядке: место наводчика в передней части башни, за ним находилось место командира, оснащённое командирской башенкой, за командиром устанавливалась рация 9РС. В левой части башни располагалось место заряжающего, откуда был свободный доступ к снарядам, расположенным, как в первоочередной боеукладке в нише башни, так и в боевом отделении.  Такое расположение экипажа связано с особенностями компоновки орудия С-34. На крыше размешались два люка-лаза, один из которых стоял в крыше командирской башенки. Командирский люк имел вращающуюся крышу с одностворчатой крышкой. В задней части крыши располагался вентилятор боевого отделения (15653).</w:t>
      </w:r>
    </w:p>
    <w:p w14:paraId="4825BA2B" w14:textId="77777777" w:rsidR="001444FD" w:rsidRPr="007224C3" w:rsidRDefault="001444FD" w:rsidP="007224C3">
      <w:pPr>
        <w:spacing w:after="0" w:line="240" w:lineRule="auto"/>
        <w:jc w:val="both"/>
        <w:rPr>
          <w:rFonts w:ascii="Times New Roman" w:hAnsi="Times New Roman"/>
          <w:color w:val="000000" w:themeColor="text1"/>
          <w:sz w:val="16"/>
          <w:szCs w:val="16"/>
        </w:rPr>
      </w:pPr>
    </w:p>
    <w:p w14:paraId="6A63ED0B"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середине 1944 г. приказом нач. Бронетанкового управления КА выжившие СУ-12М были выведены в учебные подразделения (6205, 14).</w:t>
      </w:r>
    </w:p>
    <w:p w14:paraId="1689AEA4"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FD95C8"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середине 1944 прошли полигонные испытания трех опытных облегченных авиадесантных САУ-ОСУ-76, разработанных заводом 38 НКТП с использованием 76-мм пушек ЗИС-3. Испытания не прошла и решили, что нужно новую 76 мм пушку (1151,72).</w:t>
      </w:r>
    </w:p>
    <w:p w14:paraId="2D67E915"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6592C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середине 1944 года Ю.Б. Харитон подготовил предложение к проекту распоряжения ГКО о мерах по разработке конструкции атомной бомбы. В этих целях, в частности, предполагалось организовать в Лаборатории No. 2 специальную группу для научно-исследовательской и конструкторской разработки вопросов, связанных с осуществлением создания атомной бомбы, изготовлением опытного образца и со сдачей законченного образца правительственной комиссии (10549).</w:t>
      </w:r>
    </w:p>
    <w:p w14:paraId="01BCFFC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4C0A84F6" w14:textId="2E882D9B" w:rsidR="000F0D8A" w:rsidRPr="007224C3" w:rsidRDefault="000F0D8A" w:rsidP="007224C3">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7224C3">
        <w:rPr>
          <w:rFonts w:ascii="Times New Roman" w:hAnsi="Times New Roman"/>
          <w:i/>
          <w:iCs/>
          <w:color w:val="000000" w:themeColor="text1"/>
          <w:sz w:val="16"/>
          <w:szCs w:val="16"/>
        </w:rPr>
        <w:t>Армия:</w:t>
      </w:r>
    </w:p>
    <w:p w14:paraId="52349437" w14:textId="77777777" w:rsidR="000F0D8A" w:rsidRPr="007224C3" w:rsidRDefault="000F0D8A" w:rsidP="007224C3">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394A4F54" w14:textId="77777777" w:rsidR="000F0D8A" w:rsidRPr="007224C3" w:rsidRDefault="000F0D8A" w:rsidP="007224C3">
      <w:pPr>
        <w:spacing w:after="0" w:line="240" w:lineRule="auto"/>
        <w:jc w:val="both"/>
        <w:rPr>
          <w:rFonts w:ascii="Times New Roman" w:hAnsi="Times New Roman"/>
          <w:color w:val="0070C0"/>
          <w:sz w:val="16"/>
          <w:szCs w:val="16"/>
        </w:rPr>
      </w:pPr>
      <w:r w:rsidRPr="007224C3">
        <w:rPr>
          <w:rFonts w:ascii="Times New Roman" w:hAnsi="Times New Roman"/>
          <w:color w:val="0070C0"/>
          <w:sz w:val="16"/>
          <w:szCs w:val="16"/>
          <w:lang w:eastAsia="ru-RU" w:bidi="ru-RU"/>
        </w:rPr>
        <w:lastRenderedPageBreak/>
        <w:t>В середине 1944 г. на пике своей силы Армия Крайова (АК), подчинявшаяся эмигрантскому правительству в Лондоне насчитывала 486 323 солдат, курсантов, унтер- офицеров и офицеров. Помимо нее, в стране действовали и другие вооруженные организации: от коммунистической Армии Людовой (АЛ) до праворадикальных Народовых сил збройных (НСЗ), часть из которых пошла на сотрудничест</w:t>
      </w:r>
      <w:r w:rsidRPr="007224C3">
        <w:rPr>
          <w:rFonts w:ascii="Times New Roman" w:hAnsi="Times New Roman"/>
          <w:color w:val="0070C0"/>
          <w:sz w:val="16"/>
          <w:szCs w:val="16"/>
          <w:lang w:eastAsia="ru-RU" w:bidi="ru-RU"/>
        </w:rPr>
        <w:softHyphen/>
        <w:t>во с оккупантами.</w:t>
      </w:r>
    </w:p>
    <w:p w14:paraId="72D20FF2" w14:textId="77777777" w:rsidR="000F0D8A" w:rsidRPr="007224C3" w:rsidRDefault="000F0D8A" w:rsidP="007224C3">
      <w:pPr>
        <w:spacing w:after="0" w:line="240" w:lineRule="auto"/>
        <w:jc w:val="both"/>
        <w:rPr>
          <w:rFonts w:ascii="Times New Roman" w:hAnsi="Times New Roman"/>
          <w:color w:val="0070C0"/>
          <w:sz w:val="16"/>
          <w:szCs w:val="16"/>
          <w:lang w:eastAsia="ru-RU" w:bidi="ru-RU"/>
        </w:rPr>
      </w:pPr>
      <w:r w:rsidRPr="007224C3">
        <w:rPr>
          <w:rFonts w:ascii="Times New Roman" w:hAnsi="Times New Roman"/>
          <w:color w:val="0070C0"/>
          <w:sz w:val="16"/>
          <w:szCs w:val="16"/>
          <w:lang w:eastAsia="ru-RU" w:bidi="ru-RU"/>
        </w:rPr>
        <w:t xml:space="preserve">Части </w:t>
      </w:r>
      <w:r w:rsidRPr="007224C3">
        <w:rPr>
          <w:rFonts w:ascii="Times New Roman" w:hAnsi="Times New Roman"/>
          <w:smallCaps/>
          <w:color w:val="0070C0"/>
          <w:sz w:val="16"/>
          <w:szCs w:val="16"/>
          <w:lang w:eastAsia="ru-RU" w:bidi="ru-RU"/>
        </w:rPr>
        <w:t>Ак</w:t>
      </w:r>
      <w:r w:rsidRPr="007224C3">
        <w:rPr>
          <w:rFonts w:ascii="Times New Roman" w:hAnsi="Times New Roman"/>
          <w:color w:val="0070C0"/>
          <w:sz w:val="16"/>
          <w:szCs w:val="16"/>
          <w:lang w:eastAsia="ru-RU" w:bidi="ru-RU"/>
        </w:rPr>
        <w:t xml:space="preserve"> находились и на территориях, отошедших в 1939</w:t>
      </w:r>
      <w:r w:rsidRPr="007224C3">
        <w:rPr>
          <w:rFonts w:ascii="Times New Roman" w:hAnsi="Times New Roman"/>
          <w:color w:val="0070C0"/>
          <w:sz w:val="16"/>
          <w:szCs w:val="16"/>
          <w:lang w:eastAsia="ru-RU" w:bidi="ru-RU"/>
        </w:rPr>
        <w:softHyphen/>
        <w:t>1940 гг. к СССР: Западной Украине, Западной Белоруссии и Виленском Крае. Здесь они действовали не только против немцев, но и против советских партизан, а также частей Красной Армии - в зависимости от развития ситуации на ме</w:t>
      </w:r>
      <w:r w:rsidRPr="007224C3">
        <w:rPr>
          <w:rFonts w:ascii="Times New Roman" w:hAnsi="Times New Roman"/>
          <w:color w:val="0070C0"/>
          <w:sz w:val="16"/>
          <w:szCs w:val="16"/>
          <w:lang w:eastAsia="ru-RU" w:bidi="ru-RU"/>
        </w:rPr>
        <w:softHyphen/>
        <w:t>стах. В ряде случаев осуществлялось их снабжение по воз</w:t>
      </w:r>
      <w:r w:rsidRPr="007224C3">
        <w:rPr>
          <w:rFonts w:ascii="Times New Roman" w:hAnsi="Times New Roman"/>
          <w:color w:val="0070C0"/>
          <w:sz w:val="16"/>
          <w:szCs w:val="16"/>
          <w:lang w:eastAsia="ru-RU" w:bidi="ru-RU"/>
        </w:rPr>
        <w:softHyphen/>
        <w:t>духу авиацией союзников. Летали польские, британские, южноафриканские и американские экипажи. Так, в интере</w:t>
      </w:r>
      <w:r w:rsidRPr="007224C3">
        <w:rPr>
          <w:rFonts w:ascii="Times New Roman" w:hAnsi="Times New Roman"/>
          <w:color w:val="0070C0"/>
          <w:sz w:val="16"/>
          <w:szCs w:val="16"/>
          <w:lang w:eastAsia="ru-RU" w:bidi="ru-RU"/>
        </w:rPr>
        <w:softHyphen/>
        <w:t>сах частей АК, действовавших в Галицийском округе, с мар</w:t>
      </w:r>
      <w:r w:rsidRPr="007224C3">
        <w:rPr>
          <w:rFonts w:ascii="Times New Roman" w:hAnsi="Times New Roman"/>
          <w:color w:val="0070C0"/>
          <w:sz w:val="16"/>
          <w:szCs w:val="16"/>
          <w:lang w:eastAsia="ru-RU" w:bidi="ru-RU"/>
        </w:rPr>
        <w:softHyphen/>
        <w:t>та по июль 1944 г. было выполнено двадцать четыре опера</w:t>
      </w:r>
      <w:r w:rsidRPr="007224C3">
        <w:rPr>
          <w:rFonts w:ascii="Times New Roman" w:hAnsi="Times New Roman"/>
          <w:color w:val="0070C0"/>
          <w:sz w:val="16"/>
          <w:szCs w:val="16"/>
          <w:lang w:eastAsia="ru-RU" w:bidi="ru-RU"/>
        </w:rPr>
        <w:softHyphen/>
        <w:t>ции по сбросу оружия и боеприпасов, что позволило сфор</w:t>
      </w:r>
      <w:r w:rsidRPr="007224C3">
        <w:rPr>
          <w:rFonts w:ascii="Times New Roman" w:hAnsi="Times New Roman"/>
          <w:color w:val="0070C0"/>
          <w:sz w:val="16"/>
          <w:szCs w:val="16"/>
          <w:lang w:eastAsia="ru-RU" w:bidi="ru-RU"/>
        </w:rPr>
        <w:softHyphen/>
        <w:t>мировать еще около двадцати новых взводов. Из-за ошибок штурманов часть груза досталась советским партизанам. Правда, если быть объективным, надо отметить, что Лондон категорически запрещал выполнять доставку военных грузов восточнее линии Керзона, фактически совпадавшей с уста</w:t>
      </w:r>
      <w:r w:rsidRPr="007224C3">
        <w:rPr>
          <w:rFonts w:ascii="Times New Roman" w:hAnsi="Times New Roman"/>
          <w:color w:val="0070C0"/>
          <w:sz w:val="16"/>
          <w:szCs w:val="16"/>
          <w:lang w:eastAsia="ru-RU" w:bidi="ru-RU"/>
        </w:rPr>
        <w:softHyphen/>
        <w:t>новившейся в сентябре 1939 г. новой западной границей СССР. Однако «на местах», в силу разных причин, это указа</w:t>
      </w:r>
      <w:r w:rsidRPr="007224C3">
        <w:rPr>
          <w:rFonts w:ascii="Times New Roman" w:hAnsi="Times New Roman"/>
          <w:color w:val="0070C0"/>
          <w:sz w:val="16"/>
          <w:szCs w:val="16"/>
          <w:lang w:eastAsia="ru-RU" w:bidi="ru-RU"/>
        </w:rPr>
        <w:softHyphen/>
        <w:t>ние нарушалось (20274).</w:t>
      </w:r>
    </w:p>
    <w:p w14:paraId="7FBAAD39" w14:textId="77777777" w:rsidR="000F0D8A" w:rsidRPr="007224C3" w:rsidRDefault="000F0D8A" w:rsidP="007224C3">
      <w:pPr>
        <w:spacing w:after="0" w:line="240" w:lineRule="auto"/>
        <w:jc w:val="both"/>
        <w:rPr>
          <w:rFonts w:ascii="Times New Roman" w:hAnsi="Times New Roman"/>
          <w:color w:val="0070C0"/>
          <w:sz w:val="16"/>
          <w:szCs w:val="16"/>
        </w:rPr>
      </w:pPr>
    </w:p>
    <w:p w14:paraId="4AADA8E5" w14:textId="4A9BB326" w:rsidR="0004034B" w:rsidRPr="007224C3" w:rsidRDefault="0004034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Жизнь и внутренняя политика:</w:t>
      </w:r>
    </w:p>
    <w:p w14:paraId="03354219" w14:textId="77777777" w:rsidR="0004034B" w:rsidRPr="007224C3" w:rsidRDefault="0004034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D356897" w14:textId="77777777" w:rsidR="0004034B" w:rsidRPr="007224C3" w:rsidRDefault="0004034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середине 1944 г. пищевые поставки значительно превысили даже суммарные поставки продовольствия за период действия Первого и Второго Протоколов. 1,8 млн. т составил чистый вес ввезенных в СССР по Лондонскому Протоколу сельскохозяйственных товаров. Пропорционально продовольственным увеличивались и поставки вооружения, оборудования, материалов.</w:t>
      </w:r>
    </w:p>
    <w:p w14:paraId="74FA227A" w14:textId="77777777" w:rsidR="0004034B" w:rsidRPr="007224C3" w:rsidRDefault="0004034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Между тем советское правительство не стремилось рекламировать, откуда и каким образом поступают импортные товары в СССР. На одной из пресс-конференций американский посол в Москве У. Стэндли выразил по этому поводу озабоченность. И хотя заявление посла было принято во внимание и через неделю в центральных газетах появилась краткая информация о количестве поставок по ленд-лизу, тем не менее У. Стэндли был вскоре заменен А. Гарриманом.</w:t>
      </w:r>
    </w:p>
    <w:p w14:paraId="3B0986F3" w14:textId="77777777" w:rsidR="0004034B" w:rsidRPr="007224C3" w:rsidRDefault="0004034B" w:rsidP="007224C3">
      <w:pPr>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Но не только умолчание размеров союзнической помощи было предметом критики Советского Союза. Представители американского и британского посольств попытались, насколько это позволяли советские власти, проследить использование ленд-лизовских грузов. Так делали Соединенные Штаты во всех странах, куда направлялись грузы по ленд-лизу. Предназначенные американским законом для нужд армий, ленд-лизовские грузы могли быть использованы для гражданских целей лишь по согласованию со страной-поставщиком. Сотрудники посольства США между тем отмечали появление импортных товаров в "закрытых" магазинах и ресторанах в Куйбышеве и пригородах зимой 1942/43 г. (19582).</w:t>
      </w:r>
    </w:p>
    <w:p w14:paraId="778AF004" w14:textId="77777777" w:rsidR="0004034B" w:rsidRPr="007224C3" w:rsidRDefault="0004034B" w:rsidP="007224C3">
      <w:pPr>
        <w:spacing w:after="0" w:line="240" w:lineRule="auto"/>
        <w:jc w:val="both"/>
        <w:rPr>
          <w:rFonts w:ascii="Times New Roman" w:hAnsi="Times New Roman"/>
          <w:color w:val="000000" w:themeColor="text1"/>
          <w:sz w:val="16"/>
          <w:szCs w:val="16"/>
        </w:rPr>
      </w:pPr>
    </w:p>
    <w:p w14:paraId="2826BE31"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середине 1944 с улучшением советских истребителей и ПВО стало ясно, что данные Hs 129 были далеки от требуемых. Потери пилотов достигли 20%,и оказалось почти совершенно невозможным обеспечить штурмовые эскадры людьми и вооружением. На базе этого самолета были выполнены некоторые передовые разработки, однако хотя его конструкция была превосходной, оказалось невозможным реально обеспечить машину мощными двигателями, которые могли бы существенно улучшить летные данные. Одной из наиболее интересных разработок было оснащение самолета двумя 900-сильными двигателями Isotta-Fraschini Delta. Этот проект получил обозначение Hs 129C. Предполагаемая серийная модель Hs 129C-1 должна была иметь две 30-мм пушки МК 103, установленные рядом, каждая в дистанционно управляемой турели под фюзеляжем, однако были выполнены лишь продувки в аэродинамической трубе. Один Hs 129 был оснащен катапультным креслом, другой проектировался с огнеметом, тогда как третий проект заключался в использовании бронекабины Hs 129 в сочетании с планерами других машин. По одному из проектов предлагалось использовать планер бомбардировщика Ju 188 с двумя 2500-сильными Jumo 222, тогда как в другом случае предлагалось использовать планер Go 229 с 1750-сильным толкающим двигателем Jumo 213 (3188).</w:t>
      </w:r>
    </w:p>
    <w:p w14:paraId="715B37A3"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726040"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К середине 1944 года была подготовлена техническая документация для проведения испытаний контейнера для транспортировки ракеты А-4 по морю в подводном положении.</w:t>
      </w:r>
    </w:p>
    <w:p w14:paraId="65E350CA"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Проект транспортировки ракеты по морю в подводном положении, получивший название «Спасательный жилет» был наиболее интересным с технической точки зрения являлся. Проект был более .глубоко разработан по сравнению с другими аналогичными проектами рассматриваемого периода.</w:t>
      </w:r>
    </w:p>
    <w:p w14:paraId="5C9F318B"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декабре 1944 года был передан в производство контракт на производство трех контейнеров. Планировалось, что их строительство начнется в марте 1945 года.</w:t>
      </w:r>
    </w:p>
    <w:p w14:paraId="623C8B5E"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Создание контейнеров выдвинуло перед немецкими специалистами следующие проблемы: сохранение устойчивости контейнера как при транспортировке, так и при пуске ракет, создание системы вентилирования баков для снижения опасности взрыва, топлива, сохранность жидкого кислорода в течение длительной транспортировки, отвод и уменьшение воздействия высокотемпературных газовых струй работающего двигателя ракеты на элементы пусковой установки.</w:t>
      </w:r>
    </w:p>
    <w:p w14:paraId="47BB883D"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В пятисоттонном контейнере размещались одна ракета «А-4», несколько помещений для персонала, обслуживающего двигатели, боеголовку и производящего пуск, балластные цистерны и системы жизнеобеспечения. К месту старта контейнер доставляла на буксире субмарина новой океанской серии XXI, способная транспортировать в подводном состоянии до трех таких установок одновременно. В заданном квадрате экипаж морской «шахты» затапливал балластные цистерны для приведения системы в вертикальное полупогруженное положение, из которого и происходил пуск. Несмотря на фантастичность этого проекта, на верфи в Эльблаге все же успели построить один такой контейнер (11688).</w:t>
      </w:r>
    </w:p>
    <w:p w14:paraId="00666601" w14:textId="77777777" w:rsidR="00595BFB" w:rsidRPr="007224C3" w:rsidRDefault="00595BFB" w:rsidP="007224C3">
      <w:pPr>
        <w:autoSpaceDE w:val="0"/>
        <w:autoSpaceDN w:val="0"/>
        <w:adjustRightInd w:val="0"/>
        <w:spacing w:after="0" w:line="240" w:lineRule="auto"/>
        <w:jc w:val="both"/>
        <w:rPr>
          <w:rFonts w:ascii="Times New Roman" w:hAnsi="Times New Roman"/>
          <w:color w:val="000000" w:themeColor="text1"/>
          <w:sz w:val="16"/>
          <w:szCs w:val="16"/>
        </w:rPr>
      </w:pPr>
    </w:p>
    <w:p w14:paraId="7363DFAB" w14:textId="77777777" w:rsidR="00595BFB" w:rsidRPr="007224C3" w:rsidRDefault="00694509"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4C3">
        <w:rPr>
          <w:rFonts w:ascii="Times New Roman" w:hAnsi="Times New Roman"/>
          <w:i/>
          <w:iCs/>
          <w:color w:val="000000" w:themeColor="text1"/>
          <w:sz w:val="16"/>
          <w:szCs w:val="16"/>
        </w:rPr>
        <w:t>Авиапромышленность:</w:t>
      </w:r>
    </w:p>
    <w:p w14:paraId="5988A2E0"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9DD480F"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4C3">
        <w:rPr>
          <w:rFonts w:ascii="Times New Roman" w:hAnsi="Times New Roman"/>
          <w:color w:val="000000" w:themeColor="text1"/>
          <w:sz w:val="16"/>
          <w:szCs w:val="16"/>
        </w:rPr>
        <w:t>Со второго квартала 1944 года по 1947 год завод № 485 (первоначально мастерские) организовал производство агрегатов бомбардировочного вооружения для самолетов: счетчик остатка патронов УСБ-1, балочный держатель БД2-45, электромеханический привод и др. С 1948 года завод приступил к изготовлению более сложных агрегатов бомбардировочного вооружения для самолета ТУ-14. Адрес: Киев, п/я 50 (9856).</w:t>
      </w:r>
    </w:p>
    <w:p w14:paraId="69225BBC" w14:textId="77777777" w:rsidR="00595BFB" w:rsidRPr="007224C3" w:rsidRDefault="00595BFB"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2637E7" w14:textId="77777777" w:rsidR="00E82F0D" w:rsidRPr="007224C3" w:rsidRDefault="00E82F0D"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3B7561" w14:textId="77777777" w:rsidR="00E82F0D" w:rsidRPr="007224C3" w:rsidRDefault="00E82F0D" w:rsidP="007224C3">
      <w:pPr>
        <w:widowControl w:val="0"/>
        <w:autoSpaceDE w:val="0"/>
        <w:autoSpaceDN w:val="0"/>
        <w:adjustRightInd w:val="0"/>
        <w:spacing w:after="0" w:line="240" w:lineRule="auto"/>
        <w:jc w:val="both"/>
        <w:rPr>
          <w:rFonts w:ascii="Times New Roman" w:hAnsi="Times New Roman"/>
          <w:color w:val="000000" w:themeColor="text1"/>
          <w:sz w:val="16"/>
          <w:szCs w:val="16"/>
        </w:rPr>
      </w:pPr>
    </w:p>
    <w:sectPr w:rsidR="00E82F0D" w:rsidRPr="007224C3" w:rsidSect="000404B5">
      <w:pgSz w:w="11906" w:h="16838"/>
      <w:pgMar w:top="567" w:right="284" w:bottom="567" w:left="28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75C198F" w14:textId="77777777" w:rsidR="00DC1F56" w:rsidRDefault="00DC1F56" w:rsidP="003712D9">
      <w:pPr>
        <w:spacing w:after="0" w:line="240" w:lineRule="auto"/>
      </w:pPr>
      <w:r>
        <w:separator/>
      </w:r>
    </w:p>
  </w:endnote>
  <w:endnote w:type="continuationSeparator" w:id="0">
    <w:p w14:paraId="5ADEF831" w14:textId="77777777" w:rsidR="00DC1F56" w:rsidRDefault="00DC1F56" w:rsidP="003712D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egoe UI">
    <w:panose1 w:val="020B0502040204020203"/>
    <w:charset w:val="CC"/>
    <w:family w:val="swiss"/>
    <w:pitch w:val="variable"/>
    <w:sig w:usb0="E4002EFF" w:usb1="C000E47F" w:usb2="00000009" w:usb3="00000000" w:csb0="000001FF" w:csb1="00000000"/>
  </w:font>
  <w:font w:name="Arial Narrow">
    <w:panose1 w:val="020B0606020202030204"/>
    <w:charset w:val="CC"/>
    <w:family w:val="swiss"/>
    <w:pitch w:val="variable"/>
    <w:sig w:usb0="00000287" w:usb1="00000800" w:usb2="00000000" w:usb3="00000000" w:csb0="0000009F" w:csb1="00000000"/>
  </w:font>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PragmaticaCTT">
    <w:panose1 w:val="00000000000000000000"/>
    <w:charset w:val="00"/>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Arial Unicode MS">
    <w:altName w:val="Yu Gothic"/>
    <w:panose1 w:val="020B0604020202020204"/>
    <w:charset w:val="80"/>
    <w:family w:val="swiss"/>
    <w:pitch w:val="variable"/>
    <w:sig w:usb0="F7FFAFFF" w:usb1="E9DFFFFF" w:usb2="0000003F" w:usb3="00000000" w:csb0="003F01FF" w:csb1="00000000"/>
  </w:font>
  <w:font w:name="Lucida Sans Unicode">
    <w:panose1 w:val="020B0602030504020204"/>
    <w:charset w:val="CC"/>
    <w:family w:val="swiss"/>
    <w:pitch w:val="variable"/>
    <w:sig w:usb0="80000AFF" w:usb1="0000396B" w:usb2="00000000" w:usb3="00000000" w:csb0="000000BF" w:csb1="00000000"/>
  </w:font>
  <w:font w:name="Franklin Gothic Demi">
    <w:panose1 w:val="020B0703020102020204"/>
    <w:charset w:val="CC"/>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Franklin Gothic Medium">
    <w:panose1 w:val="020B0603020102020204"/>
    <w:charset w:val="CC"/>
    <w:family w:val="swiss"/>
    <w:pitch w:val="variable"/>
    <w:sig w:usb0="00000287" w:usb1="00000000" w:usb2="00000000" w:usb3="00000000" w:csb0="0000009F" w:csb1="00000000"/>
  </w:font>
  <w:font w:name="Gungsuh">
    <w:charset w:val="81"/>
    <w:family w:val="roman"/>
    <w:pitch w:val="variable"/>
    <w:sig w:usb0="B00002AF" w:usb1="69D77CFB" w:usb2="00000030" w:usb3="00000000" w:csb0="0008009F" w:csb1="00000000"/>
  </w:font>
  <w:font w:name="Trebuchet MS">
    <w:panose1 w:val="020B0603020202020204"/>
    <w:charset w:val="CC"/>
    <w:family w:val="swiss"/>
    <w:pitch w:val="variable"/>
    <w:sig w:usb0="000006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Consolas">
    <w:panose1 w:val="020B0609020204030204"/>
    <w:charset w:val="CC"/>
    <w:family w:val="modern"/>
    <w:pitch w:val="fixed"/>
    <w:sig w:usb0="E00006FF" w:usb1="0000FCFF" w:usb2="00000001" w:usb3="00000000" w:csb0="0000019F" w:csb1="00000000"/>
  </w:font>
  <w:font w:name="Garamond">
    <w:panose1 w:val="02020404030301010803"/>
    <w:charset w:val="CC"/>
    <w:family w:val="roman"/>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Gulim">
    <w:altName w:val="굴림"/>
    <w:panose1 w:val="020B0600000101010101"/>
    <w:charset w:val="81"/>
    <w:family w:val="swiss"/>
    <w:pitch w:val="variable"/>
    <w:sig w:usb0="B00002AF" w:usb1="69D77CFB" w:usb2="00000030" w:usb3="00000000" w:csb0="0008009F" w:csb1="00000000"/>
  </w:font>
  <w:font w:name="Batang">
    <w:altName w:val="바탕"/>
    <w:panose1 w:val="02030600000101010101"/>
    <w:charset w:val="81"/>
    <w:family w:val="roman"/>
    <w:pitch w:val="variable"/>
    <w:sig w:usb0="B00002AF" w:usb1="69D77CFB" w:usb2="00000030" w:usb3="00000000" w:csb0="0008009F" w:csb1="00000000"/>
  </w:font>
  <w:font w:name="FrankRuehl">
    <w:charset w:val="B1"/>
    <w:family w:val="swiss"/>
    <w:pitch w:val="variable"/>
    <w:sig w:usb0="00000803" w:usb1="00000000" w:usb2="00000000" w:usb3="00000000" w:csb0="00000021" w:csb1="00000000"/>
  </w:font>
  <w:font w:name="MingLiU">
    <w:altName w:val="細明體"/>
    <w:panose1 w:val="02010609000101010101"/>
    <w:charset w:val="88"/>
    <w:family w:val="modern"/>
    <w:pitch w:val="fixed"/>
    <w:sig w:usb0="A00002FF" w:usb1="28CFFCFA" w:usb2="00000016" w:usb3="00000000" w:csb0="00100001" w:csb1="00000000"/>
  </w:font>
  <w:font w:name="Bookman Old Style">
    <w:panose1 w:val="02050604050505020204"/>
    <w:charset w:val="CC"/>
    <w:family w:val="roman"/>
    <w:pitch w:val="variable"/>
    <w:sig w:usb0="00000287" w:usb1="00000000" w:usb2="00000000" w:usb3="00000000" w:csb0="0000009F" w:csb1="00000000"/>
  </w:font>
  <w:font w:name="MS Reference Sans Serif">
    <w:panose1 w:val="020B0604030504040204"/>
    <w:charset w:val="CC"/>
    <w:family w:val="swiss"/>
    <w:pitch w:val="variable"/>
    <w:sig w:usb0="20000287" w:usb1="00000000" w:usb2="00000000" w:usb3="00000000" w:csb0="0000019F" w:csb1="00000000"/>
  </w:font>
  <w:font w:name="Sylfaen">
    <w:panose1 w:val="010A0502050306030303"/>
    <w:charset w:val="CC"/>
    <w:family w:val="roman"/>
    <w:pitch w:val="variable"/>
    <w:sig w:usb0="04000687" w:usb1="00000000" w:usb2="00000000" w:usb3="00000000" w:csb0="0000009F" w:csb1="00000000"/>
  </w:font>
  <w:font w:name="Franklin Gothic Book">
    <w:panose1 w:val="020B0503020102020204"/>
    <w:charset w:val="CC"/>
    <w:family w:val="swiss"/>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onstantia">
    <w:panose1 w:val="02030602050306030303"/>
    <w:charset w:val="CC"/>
    <w:family w:val="roman"/>
    <w:pitch w:val="variable"/>
    <w:sig w:usb0="A00002EF" w:usb1="4000204B" w:usb2="00000000" w:usb3="00000000" w:csb0="0000019F" w:csb1="00000000"/>
  </w:font>
  <w:font w:name="SimHei">
    <w:altName w:val="黑体"/>
    <w:panose1 w:val="02010600030101010101"/>
    <w:charset w:val="86"/>
    <w:family w:val="modern"/>
    <w:pitch w:val="fixed"/>
    <w:sig w:usb0="800002BF" w:usb1="38CF7CFA" w:usb2="00000016" w:usb3="00000000" w:csb0="00040001" w:csb1="00000000"/>
  </w:font>
  <w:font w:name="Corbel">
    <w:panose1 w:val="020B0503020204020204"/>
    <w:charset w:val="CC"/>
    <w:family w:val="swiss"/>
    <w:pitch w:val="variable"/>
    <w:sig w:usb0="A00002EF" w:usb1="4000A44B" w:usb2="00000000" w:usb3="00000000" w:csb0="0000019F" w:csb1="00000000"/>
  </w:font>
  <w:font w:name="Palatino Linotype">
    <w:panose1 w:val="02040502050505030304"/>
    <w:charset w:val="CC"/>
    <w:family w:val="roman"/>
    <w:pitch w:val="variable"/>
    <w:sig w:usb0="E0000287" w:usb1="40000013" w:usb2="00000000" w:usb3="00000000" w:csb0="0000019F" w:csb1="00000000"/>
  </w:font>
  <w:font w:name="Arial Black">
    <w:panose1 w:val="020B0A04020102020204"/>
    <w:charset w:val="CC"/>
    <w:family w:val="swiss"/>
    <w:pitch w:val="variable"/>
    <w:sig w:usb0="A00002AF" w:usb1="400078FB" w:usb2="00000000" w:usb3="00000000" w:csb0="0000009F" w:csb1="00000000"/>
  </w:font>
  <w:font w:name="Franklin Gothic Medium Cond">
    <w:panose1 w:val="020B0606030402020204"/>
    <w:charset w:val="CC"/>
    <w:family w:val="swiss"/>
    <w:pitch w:val="variable"/>
    <w:sig w:usb0="00000287" w:usb1="00000000" w:usb2="00000000" w:usb3="00000000" w:csb0="0000009F" w:csb1="00000000"/>
  </w:font>
  <w:font w:name="Impact">
    <w:panose1 w:val="020B0806030902050204"/>
    <w:charset w:val="CC"/>
    <w:family w:val="swiss"/>
    <w:pitch w:val="variable"/>
    <w:sig w:usb0="00000287" w:usb1="00000000" w:usb2="00000000" w:usb3="00000000" w:csb0="0000009F" w:csb1="00000000"/>
  </w:font>
  <w:font w:name="Century Gothic">
    <w:panose1 w:val="020B0502020202020204"/>
    <w:charset w:val="CC"/>
    <w:family w:val="swiss"/>
    <w:pitch w:val="variable"/>
    <w:sig w:usb0="00000287" w:usb1="00000000" w:usb2="00000000" w:usb3="00000000" w:csb0="0000009F" w:csb1="00000000"/>
  </w:font>
  <w:font w:name="Franklin Gothic Heavy">
    <w:panose1 w:val="020B0903020102020204"/>
    <w:charset w:val="CC"/>
    <w:family w:val="swiss"/>
    <w:pitch w:val="variable"/>
    <w:sig w:usb0="00000287" w:usb1="00000000" w:usb2="00000000" w:usb3="00000000" w:csb0="0000009F" w:csb1="00000000"/>
  </w:font>
  <w:font w:name="Minion Pro">
    <w:panose1 w:val="00000000000000000000"/>
    <w:charset w:val="00"/>
    <w:family w:val="roman"/>
    <w:notTrueType/>
    <w:pitch w:val="variable"/>
    <w:sig w:usb0="60000287" w:usb1="00000001"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Georgia">
    <w:panose1 w:val="02040502050405020303"/>
    <w:charset w:val="CC"/>
    <w:family w:val="roman"/>
    <w:pitch w:val="variable"/>
    <w:sig w:usb0="00000287" w:usb1="00000000" w:usb2="00000000" w:usb3="00000000" w:csb0="0000009F" w:csb1="00000000"/>
  </w:font>
  <w:font w:name="CordiaUPC">
    <w:charset w:val="DE"/>
    <w:family w:val="swiss"/>
    <w:pitch w:val="variable"/>
    <w:sig w:usb0="81000003" w:usb1="00000000" w:usb2="00000000" w:usb3="00000000" w:csb0="00010001" w:csb1="00000000"/>
  </w:font>
  <w:font w:name="Book Antiqua">
    <w:panose1 w:val="02040602050305030304"/>
    <w:charset w:val="CC"/>
    <w:family w:val="roman"/>
    <w:pitch w:val="variable"/>
    <w:sig w:usb0="00000287" w:usb1="00000000" w:usb2="00000000" w:usb3="00000000" w:csb0="0000009F" w:csb1="00000000"/>
  </w:font>
  <w:font w:name="OfficinaSansC">
    <w:altName w:val="OfficinaSansC"/>
    <w:panose1 w:val="00000000000000000000"/>
    <w:charset w:val="CC"/>
    <w:family w:val="swiss"/>
    <w:notTrueType/>
    <w:pitch w:val="default"/>
    <w:sig w:usb0="00000201" w:usb1="00000000" w:usb2="00000000" w:usb3="00000000" w:csb0="00000004" w:csb1="00000000"/>
  </w:font>
  <w:font w:name="NewtonXC">
    <w:altName w:val="Cambria"/>
    <w:panose1 w:val="00000000000000000000"/>
    <w:charset w:val="CC"/>
    <w:family w:val="roman"/>
    <w:notTrueType/>
    <w:pitch w:val="default"/>
    <w:sig w:usb0="00000201" w:usb1="00000000" w:usb2="00000000" w:usb3="00000000" w:csb0="00000004" w:csb1="00000000"/>
  </w:font>
  <w:font w:name="TimesNewRomanPSMT">
    <w:altName w:val="MS Mincho"/>
    <w:panose1 w:val="00000000000000000000"/>
    <w:charset w:val="80"/>
    <w:family w:val="auto"/>
    <w:notTrueType/>
    <w:pitch w:val="default"/>
    <w:sig w:usb0="00000000" w:usb1="08070000" w:usb2="00000010" w:usb3="00000000" w:csb0="0002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2C92C9B" w14:textId="77777777" w:rsidR="00DC1F56" w:rsidRDefault="00DC1F56" w:rsidP="003712D9">
      <w:pPr>
        <w:spacing w:after="0" w:line="240" w:lineRule="auto"/>
      </w:pPr>
      <w:r>
        <w:separator/>
      </w:r>
    </w:p>
  </w:footnote>
  <w:footnote w:type="continuationSeparator" w:id="0">
    <w:p w14:paraId="3E1656A3" w14:textId="77777777" w:rsidR="00DC1F56" w:rsidRDefault="00DC1F56" w:rsidP="003712D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C61B9"/>
    <w:multiLevelType w:val="multilevel"/>
    <w:tmpl w:val="85B64140"/>
    <w:lvl w:ilvl="0">
      <w:start w:val="1"/>
      <w:numFmt w:val="bullet"/>
      <w:lvlText w:val="-"/>
      <w:lvlJc w:val="left"/>
      <w:rPr>
        <w:rFonts w:ascii="Segoe UI" w:eastAsia="Segoe UI" w:hAnsi="Segoe UI" w:cs="Segoe UI"/>
        <w:b w:val="0"/>
        <w:bCs w:val="0"/>
        <w:i w:val="0"/>
        <w:iCs w:val="0"/>
        <w:smallCaps w:val="0"/>
        <w:strike w:val="0"/>
        <w:color w:val="000000"/>
        <w:spacing w:val="0"/>
        <w:w w:val="100"/>
        <w:position w:val="0"/>
        <w:sz w:val="17"/>
        <w:szCs w:val="17"/>
        <w:u w:val="none"/>
      </w:rPr>
    </w:lvl>
    <w:lvl w:ilvl="1">
      <w:start w:val="5"/>
      <w:numFmt w:val="decimal"/>
      <w:lvlText w:val="%2"/>
      <w:lvlJc w:val="left"/>
      <w:rPr>
        <w:rFonts w:ascii="Segoe UI" w:eastAsia="Segoe UI" w:hAnsi="Segoe UI" w:cs="Segoe UI"/>
        <w:b w:val="0"/>
        <w:bCs w:val="0"/>
        <w:i w:val="0"/>
        <w:iCs w:val="0"/>
        <w:smallCaps w:val="0"/>
        <w:strike w:val="0"/>
        <w:color w:val="000000"/>
        <w:spacing w:val="0"/>
        <w:w w:val="100"/>
        <w:position w:val="0"/>
        <w:sz w:val="17"/>
        <w:szCs w:val="17"/>
        <w:u w:val="none"/>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7B111AEB"/>
    <w:multiLevelType w:val="multilevel"/>
    <w:tmpl w:val="9E06E2DC"/>
    <w:lvl w:ilvl="0">
      <w:start w:val="1"/>
      <w:numFmt w:val="bullet"/>
      <w:lvlText w:val="-"/>
      <w:lvlJc w:val="left"/>
      <w:rPr>
        <w:rFonts w:ascii="Arial Narrow" w:eastAsia="Arial Narrow" w:hAnsi="Arial Narrow" w:cs="Arial Narrow"/>
        <w:b w:val="0"/>
        <w:bCs w:val="0"/>
        <w:i w:val="0"/>
        <w:iCs w:val="0"/>
        <w:smallCaps w:val="0"/>
        <w:strike w:val="0"/>
        <w:color w:val="000000"/>
        <w:spacing w:val="0"/>
        <w:w w:val="100"/>
        <w:position w:val="0"/>
        <w:sz w:val="17"/>
        <w:szCs w:val="17"/>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1"/>
  </w:num>
  <w:num w:numId="2">
    <w:abstractNumId w:val="0"/>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0"/>
  <w:hideSpellingErrors/>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2475"/>
    <w:rsid w:val="0000116B"/>
    <w:rsid w:val="00003C7F"/>
    <w:rsid w:val="00006324"/>
    <w:rsid w:val="00015826"/>
    <w:rsid w:val="000169CA"/>
    <w:rsid w:val="000227A2"/>
    <w:rsid w:val="0002327B"/>
    <w:rsid w:val="00024386"/>
    <w:rsid w:val="000340E9"/>
    <w:rsid w:val="0004034B"/>
    <w:rsid w:val="000404B5"/>
    <w:rsid w:val="000406C2"/>
    <w:rsid w:val="00040C50"/>
    <w:rsid w:val="00046E0B"/>
    <w:rsid w:val="000511D8"/>
    <w:rsid w:val="00051986"/>
    <w:rsid w:val="00053C2F"/>
    <w:rsid w:val="00057A35"/>
    <w:rsid w:val="00061A93"/>
    <w:rsid w:val="00061B7B"/>
    <w:rsid w:val="00064D4E"/>
    <w:rsid w:val="00065021"/>
    <w:rsid w:val="000701C9"/>
    <w:rsid w:val="00072A8C"/>
    <w:rsid w:val="00075AF0"/>
    <w:rsid w:val="00075AF1"/>
    <w:rsid w:val="00076BEB"/>
    <w:rsid w:val="00091345"/>
    <w:rsid w:val="0009141E"/>
    <w:rsid w:val="00094AE4"/>
    <w:rsid w:val="000B35B9"/>
    <w:rsid w:val="000B533C"/>
    <w:rsid w:val="000C00C8"/>
    <w:rsid w:val="000C7930"/>
    <w:rsid w:val="000D2529"/>
    <w:rsid w:val="000D5A0D"/>
    <w:rsid w:val="000E2A81"/>
    <w:rsid w:val="000F027C"/>
    <w:rsid w:val="000F02F6"/>
    <w:rsid w:val="000F083A"/>
    <w:rsid w:val="000F0D8A"/>
    <w:rsid w:val="000F30A8"/>
    <w:rsid w:val="001006C7"/>
    <w:rsid w:val="00104BAB"/>
    <w:rsid w:val="00112211"/>
    <w:rsid w:val="00112471"/>
    <w:rsid w:val="00113D98"/>
    <w:rsid w:val="001144CD"/>
    <w:rsid w:val="00121858"/>
    <w:rsid w:val="00133AA8"/>
    <w:rsid w:val="00134425"/>
    <w:rsid w:val="00137373"/>
    <w:rsid w:val="00140127"/>
    <w:rsid w:val="001444FD"/>
    <w:rsid w:val="00145AFC"/>
    <w:rsid w:val="00150B7E"/>
    <w:rsid w:val="00166A21"/>
    <w:rsid w:val="00171DC6"/>
    <w:rsid w:val="00171E88"/>
    <w:rsid w:val="00172E22"/>
    <w:rsid w:val="001732E9"/>
    <w:rsid w:val="00175890"/>
    <w:rsid w:val="0018364B"/>
    <w:rsid w:val="00184F39"/>
    <w:rsid w:val="00185B57"/>
    <w:rsid w:val="001914DC"/>
    <w:rsid w:val="001929B4"/>
    <w:rsid w:val="00196FE9"/>
    <w:rsid w:val="001A00DE"/>
    <w:rsid w:val="001A195C"/>
    <w:rsid w:val="001B25C1"/>
    <w:rsid w:val="001D1ADE"/>
    <w:rsid w:val="001D435E"/>
    <w:rsid w:val="001E0415"/>
    <w:rsid w:val="001E0D7E"/>
    <w:rsid w:val="001E2282"/>
    <w:rsid w:val="001E5A47"/>
    <w:rsid w:val="001F06C5"/>
    <w:rsid w:val="001F1AD3"/>
    <w:rsid w:val="001F4816"/>
    <w:rsid w:val="001F7908"/>
    <w:rsid w:val="00212D83"/>
    <w:rsid w:val="00213252"/>
    <w:rsid w:val="00214F71"/>
    <w:rsid w:val="00222A2A"/>
    <w:rsid w:val="00236DD6"/>
    <w:rsid w:val="00237152"/>
    <w:rsid w:val="002527AE"/>
    <w:rsid w:val="00253D32"/>
    <w:rsid w:val="00255719"/>
    <w:rsid w:val="00257F65"/>
    <w:rsid w:val="00262E37"/>
    <w:rsid w:val="002641E6"/>
    <w:rsid w:val="00264F92"/>
    <w:rsid w:val="00276C61"/>
    <w:rsid w:val="00277475"/>
    <w:rsid w:val="00282955"/>
    <w:rsid w:val="00284391"/>
    <w:rsid w:val="002867AB"/>
    <w:rsid w:val="00287F6D"/>
    <w:rsid w:val="00292637"/>
    <w:rsid w:val="002A393A"/>
    <w:rsid w:val="002B0823"/>
    <w:rsid w:val="002B33EF"/>
    <w:rsid w:val="002B4053"/>
    <w:rsid w:val="002D2C83"/>
    <w:rsid w:val="002E135C"/>
    <w:rsid w:val="002E24E6"/>
    <w:rsid w:val="002F0C11"/>
    <w:rsid w:val="002F490A"/>
    <w:rsid w:val="002F4B64"/>
    <w:rsid w:val="002F4D0E"/>
    <w:rsid w:val="002F70F0"/>
    <w:rsid w:val="00301BB3"/>
    <w:rsid w:val="00303837"/>
    <w:rsid w:val="00304F56"/>
    <w:rsid w:val="003118D9"/>
    <w:rsid w:val="00311E88"/>
    <w:rsid w:val="00312320"/>
    <w:rsid w:val="00315AAD"/>
    <w:rsid w:val="003256B4"/>
    <w:rsid w:val="00331538"/>
    <w:rsid w:val="003366DD"/>
    <w:rsid w:val="00337326"/>
    <w:rsid w:val="00345338"/>
    <w:rsid w:val="00351D4E"/>
    <w:rsid w:val="0035263A"/>
    <w:rsid w:val="003534A5"/>
    <w:rsid w:val="00353781"/>
    <w:rsid w:val="0035381F"/>
    <w:rsid w:val="00355805"/>
    <w:rsid w:val="0036693B"/>
    <w:rsid w:val="003700E8"/>
    <w:rsid w:val="003712D9"/>
    <w:rsid w:val="0037212F"/>
    <w:rsid w:val="00382475"/>
    <w:rsid w:val="00383F24"/>
    <w:rsid w:val="00392001"/>
    <w:rsid w:val="00396E8E"/>
    <w:rsid w:val="003A1B4B"/>
    <w:rsid w:val="003A33F9"/>
    <w:rsid w:val="003A3DF1"/>
    <w:rsid w:val="003B127C"/>
    <w:rsid w:val="003C231F"/>
    <w:rsid w:val="003E0642"/>
    <w:rsid w:val="003E442B"/>
    <w:rsid w:val="00406246"/>
    <w:rsid w:val="00411A0B"/>
    <w:rsid w:val="00411CE0"/>
    <w:rsid w:val="00413CD7"/>
    <w:rsid w:val="00414BE3"/>
    <w:rsid w:val="00415543"/>
    <w:rsid w:val="004163F9"/>
    <w:rsid w:val="00417D90"/>
    <w:rsid w:val="00417DE1"/>
    <w:rsid w:val="00420257"/>
    <w:rsid w:val="00427F3D"/>
    <w:rsid w:val="004310A7"/>
    <w:rsid w:val="004421A7"/>
    <w:rsid w:val="00443DE6"/>
    <w:rsid w:val="00444AC2"/>
    <w:rsid w:val="00446A93"/>
    <w:rsid w:val="004543A8"/>
    <w:rsid w:val="00455F71"/>
    <w:rsid w:val="00460F8F"/>
    <w:rsid w:val="004619E4"/>
    <w:rsid w:val="00462FCF"/>
    <w:rsid w:val="00464D2B"/>
    <w:rsid w:val="004703C2"/>
    <w:rsid w:val="0047055E"/>
    <w:rsid w:val="00473751"/>
    <w:rsid w:val="00474109"/>
    <w:rsid w:val="0047630E"/>
    <w:rsid w:val="00476D5F"/>
    <w:rsid w:val="004868FE"/>
    <w:rsid w:val="00490368"/>
    <w:rsid w:val="00497945"/>
    <w:rsid w:val="004A7685"/>
    <w:rsid w:val="004B0814"/>
    <w:rsid w:val="004B3057"/>
    <w:rsid w:val="004B3F09"/>
    <w:rsid w:val="004C4D99"/>
    <w:rsid w:val="004C5E94"/>
    <w:rsid w:val="004D3DA4"/>
    <w:rsid w:val="004D5E52"/>
    <w:rsid w:val="004D7B45"/>
    <w:rsid w:val="004E1E82"/>
    <w:rsid w:val="004F0E23"/>
    <w:rsid w:val="004F13F4"/>
    <w:rsid w:val="004F20AF"/>
    <w:rsid w:val="004F2514"/>
    <w:rsid w:val="004F35D0"/>
    <w:rsid w:val="004F56DD"/>
    <w:rsid w:val="004F6CFB"/>
    <w:rsid w:val="0050707A"/>
    <w:rsid w:val="005106D0"/>
    <w:rsid w:val="005112A0"/>
    <w:rsid w:val="005119C8"/>
    <w:rsid w:val="005158C0"/>
    <w:rsid w:val="005163E5"/>
    <w:rsid w:val="00516F49"/>
    <w:rsid w:val="0052661D"/>
    <w:rsid w:val="00526822"/>
    <w:rsid w:val="0053744E"/>
    <w:rsid w:val="0054491A"/>
    <w:rsid w:val="00547738"/>
    <w:rsid w:val="00552857"/>
    <w:rsid w:val="005629CC"/>
    <w:rsid w:val="00564BE7"/>
    <w:rsid w:val="00571952"/>
    <w:rsid w:val="00583EED"/>
    <w:rsid w:val="005879AB"/>
    <w:rsid w:val="0059136E"/>
    <w:rsid w:val="00595BFB"/>
    <w:rsid w:val="0059774D"/>
    <w:rsid w:val="005A7F17"/>
    <w:rsid w:val="005B7AF8"/>
    <w:rsid w:val="005C20A0"/>
    <w:rsid w:val="005C3848"/>
    <w:rsid w:val="005D204B"/>
    <w:rsid w:val="005D3D2E"/>
    <w:rsid w:val="005F2ECF"/>
    <w:rsid w:val="00606F47"/>
    <w:rsid w:val="0061497A"/>
    <w:rsid w:val="00614B84"/>
    <w:rsid w:val="0062000C"/>
    <w:rsid w:val="00623E4A"/>
    <w:rsid w:val="00630135"/>
    <w:rsid w:val="006331D6"/>
    <w:rsid w:val="0066127E"/>
    <w:rsid w:val="00673CAB"/>
    <w:rsid w:val="00681333"/>
    <w:rsid w:val="0068213E"/>
    <w:rsid w:val="006831ED"/>
    <w:rsid w:val="00685DD5"/>
    <w:rsid w:val="00694509"/>
    <w:rsid w:val="00695680"/>
    <w:rsid w:val="00697996"/>
    <w:rsid w:val="006A2076"/>
    <w:rsid w:val="006A61CD"/>
    <w:rsid w:val="006B0B5F"/>
    <w:rsid w:val="006B155B"/>
    <w:rsid w:val="006B2219"/>
    <w:rsid w:val="006B2E30"/>
    <w:rsid w:val="006B3776"/>
    <w:rsid w:val="006B3C37"/>
    <w:rsid w:val="006B4CCE"/>
    <w:rsid w:val="006B53A4"/>
    <w:rsid w:val="006B6140"/>
    <w:rsid w:val="006C7B98"/>
    <w:rsid w:val="006D5E32"/>
    <w:rsid w:val="006E11C9"/>
    <w:rsid w:val="006E2E37"/>
    <w:rsid w:val="006E5415"/>
    <w:rsid w:val="006E5527"/>
    <w:rsid w:val="006E7509"/>
    <w:rsid w:val="006F0EDF"/>
    <w:rsid w:val="007011EC"/>
    <w:rsid w:val="00701987"/>
    <w:rsid w:val="00704B65"/>
    <w:rsid w:val="00711D17"/>
    <w:rsid w:val="00712C09"/>
    <w:rsid w:val="007133A1"/>
    <w:rsid w:val="00714AC7"/>
    <w:rsid w:val="007224C3"/>
    <w:rsid w:val="007249B9"/>
    <w:rsid w:val="00741660"/>
    <w:rsid w:val="00743BEA"/>
    <w:rsid w:val="00745A2F"/>
    <w:rsid w:val="00746A80"/>
    <w:rsid w:val="00750752"/>
    <w:rsid w:val="0076303C"/>
    <w:rsid w:val="00773CC6"/>
    <w:rsid w:val="00777EFD"/>
    <w:rsid w:val="00781F94"/>
    <w:rsid w:val="00783151"/>
    <w:rsid w:val="007874A2"/>
    <w:rsid w:val="0078764F"/>
    <w:rsid w:val="00792950"/>
    <w:rsid w:val="00792F77"/>
    <w:rsid w:val="00792FE2"/>
    <w:rsid w:val="00795773"/>
    <w:rsid w:val="007A1E0D"/>
    <w:rsid w:val="007A3260"/>
    <w:rsid w:val="007A65F2"/>
    <w:rsid w:val="007D0B5C"/>
    <w:rsid w:val="007E0398"/>
    <w:rsid w:val="007E448A"/>
    <w:rsid w:val="007F0097"/>
    <w:rsid w:val="007F1907"/>
    <w:rsid w:val="007F6D1D"/>
    <w:rsid w:val="00801247"/>
    <w:rsid w:val="008019CE"/>
    <w:rsid w:val="00804810"/>
    <w:rsid w:val="00805131"/>
    <w:rsid w:val="00805345"/>
    <w:rsid w:val="008053EA"/>
    <w:rsid w:val="0080789B"/>
    <w:rsid w:val="008079B6"/>
    <w:rsid w:val="00811C95"/>
    <w:rsid w:val="00817DC7"/>
    <w:rsid w:val="00820285"/>
    <w:rsid w:val="00822884"/>
    <w:rsid w:val="00827943"/>
    <w:rsid w:val="008362FC"/>
    <w:rsid w:val="00841BB4"/>
    <w:rsid w:val="00846998"/>
    <w:rsid w:val="00847535"/>
    <w:rsid w:val="008567B7"/>
    <w:rsid w:val="00866C07"/>
    <w:rsid w:val="0089327F"/>
    <w:rsid w:val="008A3F77"/>
    <w:rsid w:val="008B0844"/>
    <w:rsid w:val="008B289D"/>
    <w:rsid w:val="008B5CA2"/>
    <w:rsid w:val="008B795B"/>
    <w:rsid w:val="008D055A"/>
    <w:rsid w:val="008D249A"/>
    <w:rsid w:val="008E0FBF"/>
    <w:rsid w:val="008E2CE5"/>
    <w:rsid w:val="008F1E7B"/>
    <w:rsid w:val="008F6356"/>
    <w:rsid w:val="00903E13"/>
    <w:rsid w:val="00904714"/>
    <w:rsid w:val="0090533F"/>
    <w:rsid w:val="00906CAB"/>
    <w:rsid w:val="009127A0"/>
    <w:rsid w:val="00914045"/>
    <w:rsid w:val="00916E94"/>
    <w:rsid w:val="0092480E"/>
    <w:rsid w:val="0094033C"/>
    <w:rsid w:val="00941A2A"/>
    <w:rsid w:val="0094368B"/>
    <w:rsid w:val="00946AAF"/>
    <w:rsid w:val="009503FE"/>
    <w:rsid w:val="00954CDF"/>
    <w:rsid w:val="00956103"/>
    <w:rsid w:val="00961B62"/>
    <w:rsid w:val="00962976"/>
    <w:rsid w:val="00963744"/>
    <w:rsid w:val="00965F83"/>
    <w:rsid w:val="009812BB"/>
    <w:rsid w:val="00982729"/>
    <w:rsid w:val="009829C0"/>
    <w:rsid w:val="009863CA"/>
    <w:rsid w:val="00986ACA"/>
    <w:rsid w:val="00987BBD"/>
    <w:rsid w:val="00990F31"/>
    <w:rsid w:val="00992344"/>
    <w:rsid w:val="00994578"/>
    <w:rsid w:val="009A1031"/>
    <w:rsid w:val="009B6B5E"/>
    <w:rsid w:val="009B6D3A"/>
    <w:rsid w:val="009B7CB6"/>
    <w:rsid w:val="009C0B20"/>
    <w:rsid w:val="009C37DA"/>
    <w:rsid w:val="009C479E"/>
    <w:rsid w:val="009C4CA4"/>
    <w:rsid w:val="009C5E2F"/>
    <w:rsid w:val="009D0510"/>
    <w:rsid w:val="009D0558"/>
    <w:rsid w:val="009D1B58"/>
    <w:rsid w:val="009D44EF"/>
    <w:rsid w:val="009D7F3A"/>
    <w:rsid w:val="009E2554"/>
    <w:rsid w:val="009E614A"/>
    <w:rsid w:val="009E6775"/>
    <w:rsid w:val="009F5230"/>
    <w:rsid w:val="00A01DE5"/>
    <w:rsid w:val="00A042EC"/>
    <w:rsid w:val="00A06A1F"/>
    <w:rsid w:val="00A104C0"/>
    <w:rsid w:val="00A178F0"/>
    <w:rsid w:val="00A22EFE"/>
    <w:rsid w:val="00A2482E"/>
    <w:rsid w:val="00A3754D"/>
    <w:rsid w:val="00A44782"/>
    <w:rsid w:val="00A5346F"/>
    <w:rsid w:val="00A609E4"/>
    <w:rsid w:val="00A60A7C"/>
    <w:rsid w:val="00A61476"/>
    <w:rsid w:val="00A64B86"/>
    <w:rsid w:val="00A70D91"/>
    <w:rsid w:val="00A74603"/>
    <w:rsid w:val="00A76CAC"/>
    <w:rsid w:val="00A83B1B"/>
    <w:rsid w:val="00A92059"/>
    <w:rsid w:val="00A952AA"/>
    <w:rsid w:val="00A954CF"/>
    <w:rsid w:val="00A955A3"/>
    <w:rsid w:val="00A9700D"/>
    <w:rsid w:val="00AA077A"/>
    <w:rsid w:val="00AA1040"/>
    <w:rsid w:val="00AA1E7E"/>
    <w:rsid w:val="00AA3EB5"/>
    <w:rsid w:val="00AA6296"/>
    <w:rsid w:val="00AB6AA0"/>
    <w:rsid w:val="00AC004A"/>
    <w:rsid w:val="00AC1099"/>
    <w:rsid w:val="00AC118E"/>
    <w:rsid w:val="00AC123D"/>
    <w:rsid w:val="00AC12ED"/>
    <w:rsid w:val="00AC5DD0"/>
    <w:rsid w:val="00AC6457"/>
    <w:rsid w:val="00AD0763"/>
    <w:rsid w:val="00AD30B7"/>
    <w:rsid w:val="00AD329D"/>
    <w:rsid w:val="00AD702B"/>
    <w:rsid w:val="00AD7E02"/>
    <w:rsid w:val="00AE2B7B"/>
    <w:rsid w:val="00AE2F39"/>
    <w:rsid w:val="00B00019"/>
    <w:rsid w:val="00B02CCE"/>
    <w:rsid w:val="00B049B7"/>
    <w:rsid w:val="00B05D39"/>
    <w:rsid w:val="00B123B4"/>
    <w:rsid w:val="00B21490"/>
    <w:rsid w:val="00B21653"/>
    <w:rsid w:val="00B216A0"/>
    <w:rsid w:val="00B216D6"/>
    <w:rsid w:val="00B240EB"/>
    <w:rsid w:val="00B3265C"/>
    <w:rsid w:val="00B34788"/>
    <w:rsid w:val="00B37F6A"/>
    <w:rsid w:val="00B41B6B"/>
    <w:rsid w:val="00B51C29"/>
    <w:rsid w:val="00B570C6"/>
    <w:rsid w:val="00B603E7"/>
    <w:rsid w:val="00B609F6"/>
    <w:rsid w:val="00B652F7"/>
    <w:rsid w:val="00B73FE9"/>
    <w:rsid w:val="00B82EA2"/>
    <w:rsid w:val="00B837BE"/>
    <w:rsid w:val="00B84C42"/>
    <w:rsid w:val="00B862BC"/>
    <w:rsid w:val="00BB647E"/>
    <w:rsid w:val="00BC5781"/>
    <w:rsid w:val="00BD0048"/>
    <w:rsid w:val="00BD009E"/>
    <w:rsid w:val="00BD31A2"/>
    <w:rsid w:val="00BD409E"/>
    <w:rsid w:val="00BD6B74"/>
    <w:rsid w:val="00BE4FA3"/>
    <w:rsid w:val="00BF53B0"/>
    <w:rsid w:val="00C00622"/>
    <w:rsid w:val="00C04AE1"/>
    <w:rsid w:val="00C04E33"/>
    <w:rsid w:val="00C074FF"/>
    <w:rsid w:val="00C10A30"/>
    <w:rsid w:val="00C140B0"/>
    <w:rsid w:val="00C16319"/>
    <w:rsid w:val="00C16E64"/>
    <w:rsid w:val="00C20F3C"/>
    <w:rsid w:val="00C26F43"/>
    <w:rsid w:val="00C3579C"/>
    <w:rsid w:val="00C473F1"/>
    <w:rsid w:val="00C5076B"/>
    <w:rsid w:val="00C53BCE"/>
    <w:rsid w:val="00C54063"/>
    <w:rsid w:val="00C563D1"/>
    <w:rsid w:val="00C62CBE"/>
    <w:rsid w:val="00C717B4"/>
    <w:rsid w:val="00C71B1D"/>
    <w:rsid w:val="00C77478"/>
    <w:rsid w:val="00C87725"/>
    <w:rsid w:val="00C91EB6"/>
    <w:rsid w:val="00CA6D87"/>
    <w:rsid w:val="00CB30E5"/>
    <w:rsid w:val="00CB5754"/>
    <w:rsid w:val="00CB63E6"/>
    <w:rsid w:val="00CC0EB7"/>
    <w:rsid w:val="00CC6721"/>
    <w:rsid w:val="00CD73D6"/>
    <w:rsid w:val="00CD77E5"/>
    <w:rsid w:val="00CE3F91"/>
    <w:rsid w:val="00CF740B"/>
    <w:rsid w:val="00D03418"/>
    <w:rsid w:val="00D040F8"/>
    <w:rsid w:val="00D0561B"/>
    <w:rsid w:val="00D13803"/>
    <w:rsid w:val="00D16EE0"/>
    <w:rsid w:val="00D175AE"/>
    <w:rsid w:val="00D22FC4"/>
    <w:rsid w:val="00D23D16"/>
    <w:rsid w:val="00D244E0"/>
    <w:rsid w:val="00D4630C"/>
    <w:rsid w:val="00D51E3B"/>
    <w:rsid w:val="00D54008"/>
    <w:rsid w:val="00D5495D"/>
    <w:rsid w:val="00D549FB"/>
    <w:rsid w:val="00D5636F"/>
    <w:rsid w:val="00D564FE"/>
    <w:rsid w:val="00D56B87"/>
    <w:rsid w:val="00D60B5B"/>
    <w:rsid w:val="00D60BAA"/>
    <w:rsid w:val="00D61DF5"/>
    <w:rsid w:val="00D635A9"/>
    <w:rsid w:val="00D70979"/>
    <w:rsid w:val="00D741CD"/>
    <w:rsid w:val="00D76A3F"/>
    <w:rsid w:val="00D82638"/>
    <w:rsid w:val="00D82A10"/>
    <w:rsid w:val="00D8403C"/>
    <w:rsid w:val="00D86EA0"/>
    <w:rsid w:val="00D92086"/>
    <w:rsid w:val="00D96E9F"/>
    <w:rsid w:val="00D9700C"/>
    <w:rsid w:val="00DA3A86"/>
    <w:rsid w:val="00DC18E0"/>
    <w:rsid w:val="00DC1F56"/>
    <w:rsid w:val="00DC6B61"/>
    <w:rsid w:val="00DC6FB3"/>
    <w:rsid w:val="00DD3D22"/>
    <w:rsid w:val="00DD42F1"/>
    <w:rsid w:val="00DE6586"/>
    <w:rsid w:val="00DF15BD"/>
    <w:rsid w:val="00DF41EB"/>
    <w:rsid w:val="00DF6978"/>
    <w:rsid w:val="00DF7C94"/>
    <w:rsid w:val="00E00646"/>
    <w:rsid w:val="00E072C5"/>
    <w:rsid w:val="00E07A00"/>
    <w:rsid w:val="00E139CA"/>
    <w:rsid w:val="00E16E55"/>
    <w:rsid w:val="00E20115"/>
    <w:rsid w:val="00E2067E"/>
    <w:rsid w:val="00E23482"/>
    <w:rsid w:val="00E23799"/>
    <w:rsid w:val="00E32A8C"/>
    <w:rsid w:val="00E370BB"/>
    <w:rsid w:val="00E5636B"/>
    <w:rsid w:val="00E60A77"/>
    <w:rsid w:val="00E62068"/>
    <w:rsid w:val="00E707DF"/>
    <w:rsid w:val="00E74517"/>
    <w:rsid w:val="00E80BEB"/>
    <w:rsid w:val="00E82F0D"/>
    <w:rsid w:val="00E870E7"/>
    <w:rsid w:val="00E937AB"/>
    <w:rsid w:val="00E95DEC"/>
    <w:rsid w:val="00EA2540"/>
    <w:rsid w:val="00EA7435"/>
    <w:rsid w:val="00EB0B58"/>
    <w:rsid w:val="00EB1E33"/>
    <w:rsid w:val="00EB290F"/>
    <w:rsid w:val="00EB5859"/>
    <w:rsid w:val="00EB5F81"/>
    <w:rsid w:val="00EC515D"/>
    <w:rsid w:val="00EC51C4"/>
    <w:rsid w:val="00EC7700"/>
    <w:rsid w:val="00EE343A"/>
    <w:rsid w:val="00EF3024"/>
    <w:rsid w:val="00EF76E1"/>
    <w:rsid w:val="00F02E42"/>
    <w:rsid w:val="00F054E0"/>
    <w:rsid w:val="00F11F40"/>
    <w:rsid w:val="00F13793"/>
    <w:rsid w:val="00F16AE1"/>
    <w:rsid w:val="00F31F26"/>
    <w:rsid w:val="00F35A80"/>
    <w:rsid w:val="00F3706C"/>
    <w:rsid w:val="00F41EB5"/>
    <w:rsid w:val="00F4385E"/>
    <w:rsid w:val="00F51797"/>
    <w:rsid w:val="00F51852"/>
    <w:rsid w:val="00F51A95"/>
    <w:rsid w:val="00F53E7F"/>
    <w:rsid w:val="00F61FAB"/>
    <w:rsid w:val="00F6766E"/>
    <w:rsid w:val="00F74402"/>
    <w:rsid w:val="00F757E3"/>
    <w:rsid w:val="00F91EC1"/>
    <w:rsid w:val="00F9272A"/>
    <w:rsid w:val="00FA2B3C"/>
    <w:rsid w:val="00FA3D9E"/>
    <w:rsid w:val="00FA6533"/>
    <w:rsid w:val="00FB3A90"/>
    <w:rsid w:val="00FC06BB"/>
    <w:rsid w:val="00FC3A63"/>
    <w:rsid w:val="00FC46A1"/>
    <w:rsid w:val="00FC4F14"/>
    <w:rsid w:val="00FD262B"/>
    <w:rsid w:val="00FE2608"/>
    <w:rsid w:val="00FE6F00"/>
    <w:rsid w:val="00FF2344"/>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18F2FBBB"/>
  <w15:docId w15:val="{72245C72-0009-4500-AC25-404EC6ABCA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B647E"/>
    <w:pPr>
      <w:spacing w:after="200" w:line="276" w:lineRule="auto"/>
    </w:pPr>
    <w:rPr>
      <w:sz w:val="22"/>
      <w:szCs w:val="22"/>
      <w:lang w:eastAsia="en-US"/>
    </w:rPr>
  </w:style>
  <w:style w:type="paragraph" w:styleId="1">
    <w:name w:val="heading 1"/>
    <w:basedOn w:val="a"/>
    <w:next w:val="a"/>
    <w:link w:val="10"/>
    <w:uiPriority w:val="9"/>
    <w:qFormat/>
    <w:rsid w:val="000340E9"/>
    <w:pPr>
      <w:keepNext/>
      <w:keepLines/>
      <w:spacing w:before="240" w:after="0"/>
      <w:outlineLvl w:val="0"/>
    </w:pPr>
    <w:rPr>
      <w:rFonts w:ascii="Cambria" w:eastAsia="Times New Roman" w:hAnsi="Cambria"/>
      <w:color w:val="365F91"/>
      <w:sz w:val="32"/>
      <w:szCs w:val="32"/>
    </w:rPr>
  </w:style>
  <w:style w:type="paragraph" w:styleId="2">
    <w:name w:val="heading 2"/>
    <w:basedOn w:val="a"/>
    <w:next w:val="a"/>
    <w:link w:val="20"/>
    <w:uiPriority w:val="9"/>
    <w:unhideWhenUsed/>
    <w:qFormat/>
    <w:rsid w:val="00DF6978"/>
    <w:pPr>
      <w:keepNext/>
      <w:keepLines/>
      <w:overflowPunct w:val="0"/>
      <w:autoSpaceDE w:val="0"/>
      <w:autoSpaceDN w:val="0"/>
      <w:adjustRightInd w:val="0"/>
      <w:spacing w:before="40" w:after="0" w:line="240" w:lineRule="auto"/>
      <w:textAlignment w:val="baseline"/>
      <w:outlineLvl w:val="1"/>
    </w:pPr>
    <w:rPr>
      <w:rFonts w:ascii="Cambria" w:eastAsia="Times New Roman" w:hAnsi="Cambria"/>
      <w:color w:val="365F91"/>
      <w:sz w:val="26"/>
      <w:szCs w:val="26"/>
      <w:lang w:eastAsia="ru-RU"/>
    </w:rPr>
  </w:style>
  <w:style w:type="paragraph" w:styleId="3">
    <w:name w:val="heading 3"/>
    <w:basedOn w:val="a"/>
    <w:next w:val="a"/>
    <w:link w:val="30"/>
    <w:uiPriority w:val="9"/>
    <w:qFormat/>
    <w:rsid w:val="003712D9"/>
    <w:pPr>
      <w:keepNext/>
      <w:autoSpaceDE w:val="0"/>
      <w:autoSpaceDN w:val="0"/>
      <w:adjustRightInd w:val="0"/>
      <w:spacing w:after="0" w:line="240" w:lineRule="auto"/>
      <w:jc w:val="center"/>
      <w:outlineLvl w:val="2"/>
    </w:pPr>
    <w:rPr>
      <w:rFonts w:ascii="Times New Roman" w:hAnsi="Times New Roman"/>
      <w:b/>
      <w:bCs/>
      <w:sz w:val="28"/>
      <w:szCs w:val="28"/>
    </w:rPr>
  </w:style>
  <w:style w:type="paragraph" w:styleId="4">
    <w:name w:val="heading 4"/>
    <w:basedOn w:val="a"/>
    <w:next w:val="a"/>
    <w:link w:val="40"/>
    <w:uiPriority w:val="9"/>
    <w:unhideWhenUsed/>
    <w:qFormat/>
    <w:rsid w:val="00673CAB"/>
    <w:pPr>
      <w:keepNext/>
      <w:keepLines/>
      <w:overflowPunct w:val="0"/>
      <w:autoSpaceDE w:val="0"/>
      <w:autoSpaceDN w:val="0"/>
      <w:adjustRightInd w:val="0"/>
      <w:spacing w:before="40" w:after="0" w:line="240" w:lineRule="auto"/>
      <w:textAlignment w:val="baseline"/>
      <w:outlineLvl w:val="3"/>
    </w:pPr>
    <w:rPr>
      <w:rFonts w:ascii="Cambria" w:eastAsia="Times New Roman" w:hAnsi="Cambria"/>
      <w:i/>
      <w:iCs/>
      <w:color w:val="365F91"/>
      <w:sz w:val="20"/>
      <w:szCs w:val="20"/>
      <w:lang w:eastAsia="ru-RU"/>
    </w:rPr>
  </w:style>
  <w:style w:type="paragraph" w:styleId="5">
    <w:name w:val="heading 5"/>
    <w:basedOn w:val="a"/>
    <w:next w:val="a"/>
    <w:link w:val="50"/>
    <w:uiPriority w:val="9"/>
    <w:unhideWhenUsed/>
    <w:qFormat/>
    <w:rsid w:val="0000116B"/>
    <w:pPr>
      <w:keepNext/>
      <w:keepLines/>
      <w:spacing w:before="40" w:after="0"/>
      <w:outlineLvl w:val="4"/>
    </w:pPr>
    <w:rPr>
      <w:rFonts w:ascii="Cambria" w:eastAsia="Times New Roman" w:hAnsi="Cambria"/>
      <w:color w:val="365F91"/>
    </w:rPr>
  </w:style>
  <w:style w:type="paragraph" w:styleId="6">
    <w:name w:val="heading 6"/>
    <w:basedOn w:val="a"/>
    <w:next w:val="a"/>
    <w:link w:val="60"/>
    <w:uiPriority w:val="9"/>
    <w:semiHidden/>
    <w:unhideWhenUsed/>
    <w:qFormat/>
    <w:rsid w:val="00811C95"/>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
    <w:rsid w:val="000340E9"/>
    <w:rPr>
      <w:rFonts w:ascii="Cambria" w:eastAsia="Times New Roman" w:hAnsi="Cambria" w:cs="Times New Roman"/>
      <w:color w:val="365F91"/>
      <w:sz w:val="32"/>
      <w:szCs w:val="32"/>
    </w:rPr>
  </w:style>
  <w:style w:type="character" w:customStyle="1" w:styleId="20">
    <w:name w:val="Заголовок 2 Знак"/>
    <w:link w:val="2"/>
    <w:uiPriority w:val="9"/>
    <w:rsid w:val="00DF6978"/>
    <w:rPr>
      <w:rFonts w:ascii="Cambria" w:eastAsia="Times New Roman" w:hAnsi="Cambria" w:cs="Times New Roman"/>
      <w:color w:val="365F91"/>
      <w:sz w:val="26"/>
      <w:szCs w:val="26"/>
      <w:lang w:eastAsia="ru-RU"/>
    </w:rPr>
  </w:style>
  <w:style w:type="character" w:customStyle="1" w:styleId="30">
    <w:name w:val="Заголовок 3 Знак"/>
    <w:link w:val="3"/>
    <w:uiPriority w:val="9"/>
    <w:rsid w:val="003712D9"/>
    <w:rPr>
      <w:rFonts w:ascii="Times New Roman" w:hAnsi="Times New Roman" w:cs="Times New Roman"/>
      <w:b/>
      <w:bCs/>
      <w:sz w:val="28"/>
      <w:szCs w:val="28"/>
    </w:rPr>
  </w:style>
  <w:style w:type="character" w:customStyle="1" w:styleId="40">
    <w:name w:val="Заголовок 4 Знак"/>
    <w:link w:val="4"/>
    <w:uiPriority w:val="9"/>
    <w:rsid w:val="00673CAB"/>
    <w:rPr>
      <w:rFonts w:ascii="Cambria" w:eastAsia="Times New Roman" w:hAnsi="Cambria" w:cs="Times New Roman"/>
      <w:i/>
      <w:iCs/>
      <w:color w:val="365F91"/>
      <w:sz w:val="20"/>
      <w:szCs w:val="20"/>
      <w:lang w:eastAsia="ru-RU"/>
    </w:rPr>
  </w:style>
  <w:style w:type="character" w:customStyle="1" w:styleId="50">
    <w:name w:val="Заголовок 5 Знак"/>
    <w:link w:val="5"/>
    <w:uiPriority w:val="9"/>
    <w:rsid w:val="0000116B"/>
    <w:rPr>
      <w:rFonts w:ascii="Cambria" w:eastAsia="Times New Roman" w:hAnsi="Cambria" w:cs="Times New Roman"/>
      <w:color w:val="365F91"/>
    </w:rPr>
  </w:style>
  <w:style w:type="character" w:customStyle="1" w:styleId="60">
    <w:name w:val="Заголовок 6 Знак"/>
    <w:basedOn w:val="a0"/>
    <w:link w:val="6"/>
    <w:uiPriority w:val="9"/>
    <w:semiHidden/>
    <w:rsid w:val="00811C95"/>
    <w:rPr>
      <w:rFonts w:asciiTheme="majorHAnsi" w:eastAsiaTheme="majorEastAsia" w:hAnsiTheme="majorHAnsi" w:cstheme="majorBidi"/>
      <w:i/>
      <w:iCs/>
      <w:color w:val="1F4D78" w:themeColor="accent1" w:themeShade="7F"/>
      <w:sz w:val="22"/>
      <w:szCs w:val="22"/>
      <w:lang w:eastAsia="en-US"/>
    </w:rPr>
  </w:style>
  <w:style w:type="paragraph" w:customStyle="1" w:styleId="11">
    <w:name w:val="заголовок 1"/>
    <w:basedOn w:val="a"/>
    <w:next w:val="a"/>
    <w:uiPriority w:val="99"/>
    <w:rsid w:val="008E0FBF"/>
    <w:pPr>
      <w:keepNext/>
      <w:widowControl w:val="0"/>
      <w:autoSpaceDE w:val="0"/>
      <w:autoSpaceDN w:val="0"/>
      <w:adjustRightInd w:val="0"/>
      <w:spacing w:after="0" w:line="360" w:lineRule="auto"/>
      <w:ind w:firstLine="709"/>
      <w:jc w:val="right"/>
    </w:pPr>
    <w:rPr>
      <w:rFonts w:ascii="Arial" w:hAnsi="Arial" w:cs="Arial"/>
      <w:b/>
      <w:bCs/>
      <w:i/>
      <w:iCs/>
      <w:color w:val="0000FF"/>
      <w:sz w:val="24"/>
      <w:szCs w:val="24"/>
    </w:rPr>
  </w:style>
  <w:style w:type="paragraph" w:customStyle="1" w:styleId="21">
    <w:name w:val="заголовок 2"/>
    <w:basedOn w:val="a"/>
    <w:uiPriority w:val="99"/>
    <w:rsid w:val="008E0FBF"/>
    <w:pPr>
      <w:autoSpaceDE w:val="0"/>
      <w:autoSpaceDN w:val="0"/>
      <w:adjustRightInd w:val="0"/>
      <w:spacing w:before="100" w:after="100" w:line="240" w:lineRule="auto"/>
    </w:pPr>
    <w:rPr>
      <w:rFonts w:ascii="Times New Roman" w:hAnsi="Times New Roman"/>
      <w:b/>
      <w:bCs/>
      <w:color w:val="0000FF"/>
      <w:sz w:val="36"/>
      <w:szCs w:val="36"/>
    </w:rPr>
  </w:style>
  <w:style w:type="paragraph" w:customStyle="1" w:styleId="110">
    <w:name w:val="заголовок 11"/>
    <w:basedOn w:val="a"/>
    <w:next w:val="a"/>
    <w:uiPriority w:val="99"/>
    <w:rsid w:val="008E0FBF"/>
    <w:pPr>
      <w:keepNext/>
      <w:autoSpaceDE w:val="0"/>
      <w:autoSpaceDN w:val="0"/>
      <w:adjustRightInd w:val="0"/>
      <w:spacing w:after="0" w:line="240" w:lineRule="auto"/>
      <w:jc w:val="both"/>
    </w:pPr>
    <w:rPr>
      <w:rFonts w:ascii="Times New Roman" w:hAnsi="Times New Roman"/>
      <w:b/>
      <w:bCs/>
      <w:color w:val="0000FF"/>
      <w:sz w:val="16"/>
      <w:szCs w:val="16"/>
    </w:rPr>
  </w:style>
  <w:style w:type="paragraph" w:styleId="a3">
    <w:name w:val="Body Text"/>
    <w:basedOn w:val="a"/>
    <w:link w:val="a4"/>
    <w:uiPriority w:val="99"/>
    <w:rsid w:val="008E0FBF"/>
    <w:pPr>
      <w:widowControl w:val="0"/>
      <w:autoSpaceDE w:val="0"/>
      <w:autoSpaceDN w:val="0"/>
      <w:adjustRightInd w:val="0"/>
      <w:spacing w:after="0" w:line="240" w:lineRule="auto"/>
      <w:jc w:val="both"/>
    </w:pPr>
    <w:rPr>
      <w:rFonts w:ascii="Times New Roman" w:hAnsi="Times New Roman"/>
      <w:color w:val="0000FF"/>
      <w:sz w:val="16"/>
      <w:szCs w:val="16"/>
      <w:lang w:val="en-US"/>
    </w:rPr>
  </w:style>
  <w:style w:type="character" w:customStyle="1" w:styleId="a4">
    <w:name w:val="Основной текст Знак"/>
    <w:link w:val="a3"/>
    <w:uiPriority w:val="99"/>
    <w:rsid w:val="008E0FBF"/>
    <w:rPr>
      <w:rFonts w:ascii="Times New Roman" w:hAnsi="Times New Roman" w:cs="Times New Roman"/>
      <w:color w:val="0000FF"/>
      <w:sz w:val="16"/>
      <w:szCs w:val="16"/>
      <w:lang w:val="en-US"/>
    </w:rPr>
  </w:style>
  <w:style w:type="paragraph" w:styleId="22">
    <w:name w:val="Body Text Indent 2"/>
    <w:basedOn w:val="a"/>
    <w:link w:val="23"/>
    <w:uiPriority w:val="99"/>
    <w:rsid w:val="008E0FBF"/>
    <w:pPr>
      <w:widowControl w:val="0"/>
      <w:autoSpaceDE w:val="0"/>
      <w:autoSpaceDN w:val="0"/>
      <w:adjustRightInd w:val="0"/>
      <w:spacing w:after="0" w:line="240" w:lineRule="auto"/>
      <w:ind w:left="2160" w:hanging="2160"/>
      <w:jc w:val="both"/>
    </w:pPr>
    <w:rPr>
      <w:rFonts w:ascii="Times New Roman" w:hAnsi="Times New Roman"/>
      <w:color w:val="0000FF"/>
      <w:sz w:val="16"/>
      <w:szCs w:val="16"/>
      <w:lang w:val="en-US"/>
    </w:rPr>
  </w:style>
  <w:style w:type="character" w:customStyle="1" w:styleId="23">
    <w:name w:val="Основной текст с отступом 2 Знак"/>
    <w:link w:val="22"/>
    <w:uiPriority w:val="99"/>
    <w:rsid w:val="008E0FBF"/>
    <w:rPr>
      <w:rFonts w:ascii="Times New Roman" w:hAnsi="Times New Roman" w:cs="Times New Roman"/>
      <w:color w:val="0000FF"/>
      <w:sz w:val="16"/>
      <w:szCs w:val="16"/>
      <w:lang w:val="en-US"/>
    </w:rPr>
  </w:style>
  <w:style w:type="paragraph" w:styleId="24">
    <w:name w:val="Body Text 2"/>
    <w:basedOn w:val="a"/>
    <w:link w:val="25"/>
    <w:uiPriority w:val="99"/>
    <w:rsid w:val="008E0FBF"/>
    <w:pPr>
      <w:widowControl w:val="0"/>
      <w:autoSpaceDE w:val="0"/>
      <w:autoSpaceDN w:val="0"/>
      <w:adjustRightInd w:val="0"/>
      <w:spacing w:after="0" w:line="240" w:lineRule="auto"/>
      <w:jc w:val="both"/>
    </w:pPr>
    <w:rPr>
      <w:rFonts w:ascii="Times New Roman" w:hAnsi="Times New Roman"/>
      <w:color w:val="0000FF"/>
      <w:sz w:val="16"/>
      <w:szCs w:val="16"/>
    </w:rPr>
  </w:style>
  <w:style w:type="character" w:customStyle="1" w:styleId="25">
    <w:name w:val="Основной текст 2 Знак"/>
    <w:link w:val="24"/>
    <w:uiPriority w:val="99"/>
    <w:rsid w:val="008E0FBF"/>
    <w:rPr>
      <w:rFonts w:ascii="Times New Roman" w:hAnsi="Times New Roman" w:cs="Times New Roman"/>
      <w:color w:val="0000FF"/>
      <w:sz w:val="16"/>
      <w:szCs w:val="16"/>
    </w:rPr>
  </w:style>
  <w:style w:type="character" w:styleId="a5">
    <w:name w:val="Hyperlink"/>
    <w:uiPriority w:val="99"/>
    <w:rsid w:val="008E0FBF"/>
    <w:rPr>
      <w:color w:val="0000FF"/>
      <w:sz w:val="20"/>
      <w:szCs w:val="20"/>
      <w:u w:val="single"/>
    </w:rPr>
  </w:style>
  <w:style w:type="paragraph" w:styleId="31">
    <w:name w:val="Body Text 3"/>
    <w:basedOn w:val="a"/>
    <w:link w:val="32"/>
    <w:uiPriority w:val="99"/>
    <w:rsid w:val="008E0FBF"/>
    <w:pPr>
      <w:widowControl w:val="0"/>
      <w:autoSpaceDE w:val="0"/>
      <w:autoSpaceDN w:val="0"/>
      <w:adjustRightInd w:val="0"/>
      <w:spacing w:after="0" w:line="240" w:lineRule="auto"/>
      <w:jc w:val="center"/>
    </w:pPr>
    <w:rPr>
      <w:rFonts w:ascii="Times New Roman" w:hAnsi="Times New Roman"/>
      <w:color w:val="0000FF"/>
      <w:sz w:val="16"/>
      <w:szCs w:val="16"/>
    </w:rPr>
  </w:style>
  <w:style w:type="character" w:customStyle="1" w:styleId="32">
    <w:name w:val="Основной текст 3 Знак"/>
    <w:link w:val="31"/>
    <w:uiPriority w:val="99"/>
    <w:rsid w:val="008E0FBF"/>
    <w:rPr>
      <w:rFonts w:ascii="Times New Roman" w:hAnsi="Times New Roman" w:cs="Times New Roman"/>
      <w:color w:val="0000FF"/>
      <w:sz w:val="16"/>
      <w:szCs w:val="16"/>
    </w:rPr>
  </w:style>
  <w:style w:type="character" w:customStyle="1" w:styleId="12">
    <w:name w:val="С1"/>
    <w:uiPriority w:val="99"/>
    <w:rsid w:val="008E0FBF"/>
    <w:rPr>
      <w:b/>
      <w:bCs/>
    </w:rPr>
  </w:style>
  <w:style w:type="paragraph" w:customStyle="1" w:styleId="a6">
    <w:name w:val="Ц"/>
    <w:basedOn w:val="a"/>
    <w:uiPriority w:val="99"/>
    <w:rsid w:val="008E0FBF"/>
    <w:pPr>
      <w:autoSpaceDE w:val="0"/>
      <w:autoSpaceDN w:val="0"/>
      <w:adjustRightInd w:val="0"/>
      <w:spacing w:before="100" w:after="100" w:line="240" w:lineRule="auto"/>
      <w:ind w:left="360" w:right="360"/>
    </w:pPr>
    <w:rPr>
      <w:rFonts w:ascii="Times New Roman" w:hAnsi="Times New Roman"/>
      <w:color w:val="0000FF"/>
      <w:sz w:val="24"/>
      <w:szCs w:val="24"/>
    </w:rPr>
  </w:style>
  <w:style w:type="paragraph" w:customStyle="1" w:styleId="FR1">
    <w:name w:val="FR1"/>
    <w:uiPriority w:val="99"/>
    <w:rsid w:val="008E0FBF"/>
    <w:pPr>
      <w:widowControl w:val="0"/>
      <w:autoSpaceDE w:val="0"/>
      <w:autoSpaceDN w:val="0"/>
      <w:adjustRightInd w:val="0"/>
      <w:ind w:firstLine="220"/>
      <w:jc w:val="both"/>
    </w:pPr>
    <w:rPr>
      <w:rFonts w:ascii="Arial" w:hAnsi="Arial" w:cs="Arial"/>
      <w:i/>
      <w:iCs/>
      <w:sz w:val="16"/>
      <w:szCs w:val="16"/>
      <w:lang w:eastAsia="en-US"/>
    </w:rPr>
  </w:style>
  <w:style w:type="character" w:styleId="a7">
    <w:name w:val="Strong"/>
    <w:uiPriority w:val="22"/>
    <w:qFormat/>
    <w:rsid w:val="008E0FBF"/>
    <w:rPr>
      <w:b/>
      <w:bCs/>
      <w:sz w:val="20"/>
      <w:szCs w:val="20"/>
    </w:rPr>
  </w:style>
  <w:style w:type="paragraph" w:customStyle="1" w:styleId="Blockquote">
    <w:name w:val="Blockquote"/>
    <w:basedOn w:val="a"/>
    <w:uiPriority w:val="99"/>
    <w:rsid w:val="008E0FBF"/>
    <w:pPr>
      <w:widowControl w:val="0"/>
      <w:autoSpaceDE w:val="0"/>
      <w:autoSpaceDN w:val="0"/>
      <w:adjustRightInd w:val="0"/>
      <w:spacing w:before="100" w:after="100" w:line="240" w:lineRule="auto"/>
      <w:ind w:left="360" w:right="360"/>
    </w:pPr>
    <w:rPr>
      <w:rFonts w:ascii="Times New Roman" w:hAnsi="Times New Roman"/>
      <w:color w:val="0000FF"/>
      <w:sz w:val="24"/>
      <w:szCs w:val="24"/>
      <w:lang w:val="en-AU"/>
    </w:rPr>
  </w:style>
  <w:style w:type="paragraph" w:customStyle="1" w:styleId="111">
    <w:name w:val="Заголовок 11"/>
    <w:basedOn w:val="a"/>
    <w:next w:val="a"/>
    <w:uiPriority w:val="99"/>
    <w:rsid w:val="008E0FBF"/>
    <w:pPr>
      <w:keepNext/>
      <w:widowControl w:val="0"/>
      <w:autoSpaceDE w:val="0"/>
      <w:autoSpaceDN w:val="0"/>
      <w:adjustRightInd w:val="0"/>
      <w:spacing w:after="0" w:line="240" w:lineRule="auto"/>
      <w:jc w:val="both"/>
    </w:pPr>
    <w:rPr>
      <w:rFonts w:ascii="Times New Roman" w:hAnsi="Times New Roman"/>
      <w:i/>
      <w:iCs/>
      <w:color w:val="0000FF"/>
      <w:sz w:val="16"/>
      <w:szCs w:val="16"/>
      <w:lang w:val="en-US"/>
    </w:rPr>
  </w:style>
  <w:style w:type="paragraph" w:customStyle="1" w:styleId="H3">
    <w:name w:val="H3"/>
    <w:basedOn w:val="a"/>
    <w:next w:val="a"/>
    <w:uiPriority w:val="99"/>
    <w:rsid w:val="008E0FBF"/>
    <w:pPr>
      <w:keepNext/>
      <w:widowControl w:val="0"/>
      <w:autoSpaceDE w:val="0"/>
      <w:autoSpaceDN w:val="0"/>
      <w:adjustRightInd w:val="0"/>
      <w:spacing w:before="100" w:after="100" w:line="240" w:lineRule="auto"/>
    </w:pPr>
    <w:rPr>
      <w:rFonts w:ascii="Times New Roman" w:hAnsi="Times New Roman"/>
      <w:b/>
      <w:bCs/>
      <w:color w:val="0000FF"/>
      <w:sz w:val="28"/>
      <w:szCs w:val="28"/>
      <w:lang w:val="en-AU"/>
    </w:rPr>
  </w:style>
  <w:style w:type="paragraph" w:customStyle="1" w:styleId="FR2">
    <w:name w:val="FR2"/>
    <w:uiPriority w:val="99"/>
    <w:rsid w:val="008E0FBF"/>
    <w:pPr>
      <w:widowControl w:val="0"/>
      <w:autoSpaceDE w:val="0"/>
      <w:autoSpaceDN w:val="0"/>
      <w:adjustRightInd w:val="0"/>
      <w:ind w:firstLine="140"/>
      <w:jc w:val="both"/>
    </w:pPr>
    <w:rPr>
      <w:rFonts w:ascii="Arial" w:hAnsi="Arial" w:cs="Arial"/>
      <w:i/>
      <w:iCs/>
      <w:sz w:val="12"/>
      <w:szCs w:val="12"/>
      <w:lang w:eastAsia="en-US"/>
    </w:rPr>
  </w:style>
  <w:style w:type="paragraph" w:styleId="a8">
    <w:name w:val="Plain Text"/>
    <w:basedOn w:val="a"/>
    <w:link w:val="a9"/>
    <w:uiPriority w:val="99"/>
    <w:rsid w:val="008E0FBF"/>
    <w:pPr>
      <w:widowControl w:val="0"/>
      <w:autoSpaceDE w:val="0"/>
      <w:autoSpaceDN w:val="0"/>
      <w:adjustRightInd w:val="0"/>
      <w:spacing w:after="0" w:line="240" w:lineRule="auto"/>
    </w:pPr>
    <w:rPr>
      <w:rFonts w:ascii="Courier New" w:hAnsi="Courier New" w:cs="Courier New"/>
      <w:color w:val="0000FF"/>
      <w:sz w:val="16"/>
      <w:szCs w:val="16"/>
    </w:rPr>
  </w:style>
  <w:style w:type="character" w:customStyle="1" w:styleId="a9">
    <w:name w:val="Текст Знак"/>
    <w:link w:val="a8"/>
    <w:uiPriority w:val="99"/>
    <w:rsid w:val="008E0FBF"/>
    <w:rPr>
      <w:rFonts w:ascii="Courier New" w:hAnsi="Courier New" w:cs="Courier New"/>
      <w:color w:val="0000FF"/>
      <w:sz w:val="16"/>
      <w:szCs w:val="16"/>
    </w:rPr>
  </w:style>
  <w:style w:type="paragraph" w:customStyle="1" w:styleId="Text">
    <w:name w:val="Text"/>
    <w:basedOn w:val="a"/>
    <w:uiPriority w:val="99"/>
    <w:rsid w:val="008E0FBF"/>
    <w:pPr>
      <w:widowControl w:val="0"/>
      <w:autoSpaceDE w:val="0"/>
      <w:autoSpaceDN w:val="0"/>
      <w:adjustRightInd w:val="0"/>
      <w:spacing w:after="0" w:line="240" w:lineRule="auto"/>
    </w:pPr>
    <w:rPr>
      <w:rFonts w:ascii="PragmaticaCTT" w:hAnsi="PragmaticaCTT" w:cs="PragmaticaCTT"/>
      <w:color w:val="0000FF"/>
      <w:sz w:val="16"/>
      <w:szCs w:val="16"/>
      <w:lang w:val="en-US"/>
    </w:rPr>
  </w:style>
  <w:style w:type="character" w:customStyle="1" w:styleId="aa">
    <w:name w:val="У"/>
    <w:uiPriority w:val="99"/>
    <w:rsid w:val="008E0FBF"/>
    <w:rPr>
      <w:i/>
      <w:iCs/>
    </w:rPr>
  </w:style>
  <w:style w:type="paragraph" w:customStyle="1" w:styleId="H5">
    <w:name w:val="H5"/>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sz w:val="16"/>
      <w:szCs w:val="16"/>
    </w:rPr>
  </w:style>
  <w:style w:type="paragraph" w:customStyle="1" w:styleId="Preformatted">
    <w:name w:val="Preformatted"/>
    <w:basedOn w:val="a"/>
    <w:uiPriority w:val="99"/>
    <w:rsid w:val="008E0FBF"/>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spacing w:after="0" w:line="240" w:lineRule="auto"/>
    </w:pPr>
    <w:rPr>
      <w:rFonts w:ascii="Courier New" w:hAnsi="Courier New" w:cs="Courier New"/>
      <w:color w:val="0000FF"/>
      <w:sz w:val="16"/>
      <w:szCs w:val="16"/>
      <w:lang w:val="en-AU"/>
    </w:rPr>
  </w:style>
  <w:style w:type="paragraph" w:customStyle="1" w:styleId="H4">
    <w:name w:val="H4"/>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sz w:val="24"/>
      <w:szCs w:val="24"/>
    </w:rPr>
  </w:style>
  <w:style w:type="character" w:customStyle="1" w:styleId="ab">
    <w:name w:val="Г"/>
    <w:uiPriority w:val="99"/>
    <w:rsid w:val="008E0FBF"/>
    <w:rPr>
      <w:color w:val="0000FF"/>
      <w:u w:val="single"/>
    </w:rPr>
  </w:style>
  <w:style w:type="character" w:customStyle="1" w:styleId="ac">
    <w:name w:val="В"/>
    <w:uiPriority w:val="99"/>
    <w:rsid w:val="008E0FBF"/>
    <w:rPr>
      <w:i/>
      <w:iCs/>
    </w:rPr>
  </w:style>
  <w:style w:type="paragraph" w:customStyle="1" w:styleId="H1">
    <w:name w:val="H1"/>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kern w:val="36"/>
      <w:sz w:val="48"/>
      <w:szCs w:val="48"/>
    </w:rPr>
  </w:style>
  <w:style w:type="paragraph" w:customStyle="1" w:styleId="ad">
    <w:name w:val="С"/>
    <w:basedOn w:val="a"/>
    <w:next w:val="a"/>
    <w:uiPriority w:val="99"/>
    <w:rsid w:val="008E0FBF"/>
    <w:pPr>
      <w:autoSpaceDE w:val="0"/>
      <w:autoSpaceDN w:val="0"/>
      <w:adjustRightInd w:val="0"/>
      <w:spacing w:after="0" w:line="240" w:lineRule="auto"/>
      <w:ind w:left="360"/>
    </w:pPr>
    <w:rPr>
      <w:rFonts w:ascii="Times New Roman" w:hAnsi="Times New Roman"/>
      <w:color w:val="0000FF"/>
      <w:sz w:val="24"/>
      <w:szCs w:val="24"/>
    </w:rPr>
  </w:style>
  <w:style w:type="paragraph" w:customStyle="1" w:styleId="Iauiue">
    <w:name w:val="Iau?iue"/>
    <w:uiPriority w:val="99"/>
    <w:rsid w:val="008E0FBF"/>
    <w:pPr>
      <w:widowControl w:val="0"/>
      <w:autoSpaceDE w:val="0"/>
      <w:autoSpaceDN w:val="0"/>
      <w:adjustRightInd w:val="0"/>
    </w:pPr>
    <w:rPr>
      <w:rFonts w:ascii="Times New Roman" w:hAnsi="Times New Roman"/>
      <w:lang w:eastAsia="en-US"/>
    </w:rPr>
  </w:style>
  <w:style w:type="paragraph" w:styleId="ae">
    <w:name w:val="Normal (Web)"/>
    <w:basedOn w:val="a"/>
    <w:uiPriority w:val="99"/>
    <w:rsid w:val="008E0FBF"/>
    <w:pPr>
      <w:widowControl w:val="0"/>
      <w:autoSpaceDE w:val="0"/>
      <w:autoSpaceDN w:val="0"/>
      <w:adjustRightInd w:val="0"/>
      <w:spacing w:before="100" w:after="100" w:line="240" w:lineRule="auto"/>
    </w:pPr>
    <w:rPr>
      <w:rFonts w:ascii="Times New Roman" w:hAnsi="Times New Roman"/>
      <w:color w:val="808080"/>
      <w:sz w:val="24"/>
      <w:szCs w:val="24"/>
    </w:rPr>
  </w:style>
  <w:style w:type="character" w:customStyle="1" w:styleId="Iniiaiieoeoo">
    <w:name w:val="Iniiaiie o?eoo"/>
    <w:uiPriority w:val="99"/>
    <w:rsid w:val="008E0FBF"/>
    <w:rPr>
      <w:sz w:val="20"/>
      <w:szCs w:val="20"/>
    </w:rPr>
  </w:style>
  <w:style w:type="paragraph" w:customStyle="1" w:styleId="Iniiaiieoaeno">
    <w:name w:val="Iniiaiie oaeno"/>
    <w:basedOn w:val="Iauiue"/>
    <w:uiPriority w:val="99"/>
    <w:rsid w:val="008E0FBF"/>
    <w:pPr>
      <w:jc w:val="both"/>
    </w:pPr>
    <w:rPr>
      <w:sz w:val="16"/>
      <w:szCs w:val="16"/>
    </w:rPr>
  </w:style>
  <w:style w:type="paragraph" w:customStyle="1" w:styleId="z-TopofForm">
    <w:name w:val="z-Top of Form"/>
    <w:next w:val="Iauiue"/>
    <w:uiPriority w:val="99"/>
    <w:rsid w:val="008E0FBF"/>
    <w:pPr>
      <w:widowControl w:val="0"/>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BottomofForm">
    <w:name w:val="z-Bottom of Form"/>
    <w:next w:val="Iauiue"/>
    <w:uiPriority w:val="99"/>
    <w:rsid w:val="008E0FBF"/>
    <w:pPr>
      <w:widowControl w:val="0"/>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
    <w:name w:val="A"/>
    <w:basedOn w:val="Iauiue"/>
    <w:next w:val="Iauiue"/>
    <w:uiPriority w:val="99"/>
    <w:rsid w:val="008E0FBF"/>
    <w:rPr>
      <w:i/>
      <w:iCs/>
      <w:sz w:val="24"/>
      <w:szCs w:val="24"/>
    </w:rPr>
  </w:style>
  <w:style w:type="character" w:customStyle="1" w:styleId="A20">
    <w:name w:val="A2"/>
    <w:uiPriority w:val="99"/>
    <w:rsid w:val="008E0FBF"/>
    <w:rPr>
      <w:color w:val="0000FF"/>
      <w:sz w:val="20"/>
      <w:szCs w:val="20"/>
      <w:u w:val="single"/>
    </w:rPr>
  </w:style>
  <w:style w:type="paragraph" w:customStyle="1" w:styleId="O">
    <w:name w:val="O"/>
    <w:basedOn w:val="Iauiue"/>
    <w:uiPriority w:val="99"/>
    <w:rsid w:val="008E0FBF"/>
    <w:pPr>
      <w:spacing w:before="100" w:after="100"/>
      <w:ind w:left="360" w:right="360"/>
    </w:pPr>
    <w:rPr>
      <w:sz w:val="24"/>
      <w:szCs w:val="24"/>
    </w:rPr>
  </w:style>
  <w:style w:type="character" w:customStyle="1" w:styleId="A10">
    <w:name w:val="A1"/>
    <w:uiPriority w:val="99"/>
    <w:rsid w:val="008E0FBF"/>
    <w:rPr>
      <w:i/>
      <w:iCs/>
      <w:sz w:val="20"/>
      <w:szCs w:val="20"/>
    </w:rPr>
  </w:style>
  <w:style w:type="paragraph" w:customStyle="1" w:styleId="Noaiaaieoiaioa">
    <w:name w:val="Noaia aieoiaioa"/>
    <w:basedOn w:val="Iauiue"/>
    <w:uiPriority w:val="99"/>
    <w:rsid w:val="008E0FBF"/>
    <w:pPr>
      <w:shd w:val="clear" w:color="auto" w:fill="000080"/>
    </w:pPr>
    <w:rPr>
      <w:rFonts w:ascii="Tahoma" w:hAnsi="Tahoma" w:cs="Tahoma"/>
    </w:rPr>
  </w:style>
  <w:style w:type="paragraph" w:customStyle="1" w:styleId="DefinitionTerm">
    <w:name w:val="Definition Term"/>
    <w:basedOn w:val="a"/>
    <w:next w:val="DefinitionList"/>
    <w:uiPriority w:val="99"/>
    <w:rsid w:val="008E0FBF"/>
    <w:pPr>
      <w:autoSpaceDE w:val="0"/>
      <w:autoSpaceDN w:val="0"/>
      <w:adjustRightInd w:val="0"/>
      <w:spacing w:after="0" w:line="240" w:lineRule="auto"/>
    </w:pPr>
    <w:rPr>
      <w:rFonts w:ascii="Times New Roman" w:hAnsi="Times New Roman"/>
      <w:color w:val="0000FF"/>
      <w:sz w:val="24"/>
      <w:szCs w:val="24"/>
    </w:rPr>
  </w:style>
  <w:style w:type="paragraph" w:customStyle="1" w:styleId="DefinitionList">
    <w:name w:val="Definition List"/>
    <w:basedOn w:val="a"/>
    <w:next w:val="DefinitionTerm"/>
    <w:uiPriority w:val="99"/>
    <w:rsid w:val="008E0FBF"/>
    <w:pPr>
      <w:autoSpaceDE w:val="0"/>
      <w:autoSpaceDN w:val="0"/>
      <w:adjustRightInd w:val="0"/>
      <w:spacing w:after="0" w:line="240" w:lineRule="auto"/>
      <w:ind w:left="360"/>
    </w:pPr>
    <w:rPr>
      <w:rFonts w:ascii="Times New Roman" w:hAnsi="Times New Roman"/>
      <w:color w:val="0000FF"/>
      <w:sz w:val="24"/>
      <w:szCs w:val="24"/>
    </w:rPr>
  </w:style>
  <w:style w:type="character" w:customStyle="1" w:styleId="Definition">
    <w:name w:val="Definition"/>
    <w:uiPriority w:val="99"/>
    <w:rsid w:val="008E0FBF"/>
    <w:rPr>
      <w:i/>
      <w:iCs/>
    </w:rPr>
  </w:style>
  <w:style w:type="paragraph" w:customStyle="1" w:styleId="H2">
    <w:name w:val="H2"/>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sz w:val="36"/>
      <w:szCs w:val="36"/>
    </w:rPr>
  </w:style>
  <w:style w:type="paragraph" w:customStyle="1" w:styleId="H6">
    <w:name w:val="H6"/>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sz w:val="16"/>
      <w:szCs w:val="16"/>
    </w:rPr>
  </w:style>
  <w:style w:type="paragraph" w:customStyle="1" w:styleId="Address">
    <w:name w:val="Address"/>
    <w:basedOn w:val="a"/>
    <w:next w:val="a"/>
    <w:uiPriority w:val="99"/>
    <w:rsid w:val="008E0FBF"/>
    <w:pPr>
      <w:autoSpaceDE w:val="0"/>
      <w:autoSpaceDN w:val="0"/>
      <w:adjustRightInd w:val="0"/>
      <w:spacing w:after="0" w:line="240" w:lineRule="auto"/>
    </w:pPr>
    <w:rPr>
      <w:rFonts w:ascii="Times New Roman" w:hAnsi="Times New Roman"/>
      <w:i/>
      <w:iCs/>
      <w:color w:val="0000FF"/>
      <w:sz w:val="24"/>
      <w:szCs w:val="24"/>
    </w:rPr>
  </w:style>
  <w:style w:type="character" w:customStyle="1" w:styleId="CITE">
    <w:name w:val="CITE"/>
    <w:uiPriority w:val="99"/>
    <w:rsid w:val="008E0FBF"/>
    <w:rPr>
      <w:i/>
      <w:iCs/>
    </w:rPr>
  </w:style>
  <w:style w:type="character" w:customStyle="1" w:styleId="CODE">
    <w:name w:val="CODE"/>
    <w:uiPriority w:val="99"/>
    <w:rsid w:val="008E0FBF"/>
    <w:rPr>
      <w:rFonts w:ascii="Courier New" w:hAnsi="Courier New" w:cs="Courier New"/>
      <w:sz w:val="20"/>
      <w:szCs w:val="20"/>
    </w:rPr>
  </w:style>
  <w:style w:type="character" w:styleId="af0">
    <w:name w:val="Emphasis"/>
    <w:uiPriority w:val="20"/>
    <w:qFormat/>
    <w:rsid w:val="008E0FBF"/>
    <w:rPr>
      <w:i/>
      <w:iCs/>
    </w:rPr>
  </w:style>
  <w:style w:type="character" w:styleId="af1">
    <w:name w:val="FollowedHyperlink"/>
    <w:uiPriority w:val="99"/>
    <w:rsid w:val="008E0FBF"/>
    <w:rPr>
      <w:color w:val="800080"/>
      <w:u w:val="single"/>
    </w:rPr>
  </w:style>
  <w:style w:type="character" w:customStyle="1" w:styleId="Keyboard">
    <w:name w:val="Keyboard"/>
    <w:uiPriority w:val="99"/>
    <w:rsid w:val="008E0FBF"/>
    <w:rPr>
      <w:rFonts w:ascii="Courier New" w:hAnsi="Courier New" w:cs="Courier New"/>
      <w:b/>
      <w:bCs/>
      <w:sz w:val="20"/>
      <w:szCs w:val="20"/>
    </w:rPr>
  </w:style>
  <w:style w:type="character" w:customStyle="1" w:styleId="Sample">
    <w:name w:val="Sample"/>
    <w:uiPriority w:val="99"/>
    <w:rsid w:val="008E0FBF"/>
    <w:rPr>
      <w:rFonts w:ascii="Courier New" w:hAnsi="Courier New" w:cs="Courier New"/>
    </w:rPr>
  </w:style>
  <w:style w:type="character" w:customStyle="1" w:styleId="Typewriter">
    <w:name w:val="Typewriter"/>
    <w:uiPriority w:val="99"/>
    <w:rsid w:val="008E0FBF"/>
    <w:rPr>
      <w:rFonts w:ascii="Courier New" w:hAnsi="Courier New" w:cs="Courier New"/>
      <w:sz w:val="20"/>
      <w:szCs w:val="20"/>
    </w:rPr>
  </w:style>
  <w:style w:type="character" w:customStyle="1" w:styleId="Variable">
    <w:name w:val="Variable"/>
    <w:uiPriority w:val="99"/>
    <w:rsid w:val="008E0FBF"/>
    <w:rPr>
      <w:i/>
      <w:iCs/>
    </w:rPr>
  </w:style>
  <w:style w:type="character" w:customStyle="1" w:styleId="HTMLMarkup">
    <w:name w:val="HTML Markup"/>
    <w:uiPriority w:val="99"/>
    <w:rsid w:val="008E0FBF"/>
    <w:rPr>
      <w:vanish/>
      <w:color w:val="FF0000"/>
    </w:rPr>
  </w:style>
  <w:style w:type="character" w:customStyle="1" w:styleId="Comment">
    <w:name w:val="Comment"/>
    <w:uiPriority w:val="99"/>
    <w:rsid w:val="008E0FBF"/>
    <w:rPr>
      <w:vanish/>
    </w:rPr>
  </w:style>
  <w:style w:type="paragraph" w:customStyle="1" w:styleId="af2">
    <w:name w:val="п"/>
    <w:uiPriority w:val="99"/>
    <w:rsid w:val="008E0FBF"/>
    <w:pPr>
      <w:autoSpaceDE w:val="0"/>
      <w:autoSpaceDN w:val="0"/>
      <w:adjustRightInd w:val="0"/>
    </w:pPr>
    <w:rPr>
      <w:rFonts w:ascii="Times New Roman" w:hAnsi="Times New Roman"/>
      <w:i/>
      <w:iCs/>
      <w:spacing w:val="-1"/>
      <w:kern w:val="65535"/>
      <w:position w:val="-1"/>
      <w:sz w:val="24"/>
      <w:szCs w:val="24"/>
      <w:lang w:val="en-US" w:eastAsia="en-US"/>
    </w:rPr>
  </w:style>
  <w:style w:type="paragraph" w:styleId="af3">
    <w:name w:val="Title"/>
    <w:basedOn w:val="a"/>
    <w:link w:val="af4"/>
    <w:uiPriority w:val="99"/>
    <w:rsid w:val="008E0FBF"/>
    <w:pPr>
      <w:widowControl w:val="0"/>
      <w:autoSpaceDE w:val="0"/>
      <w:autoSpaceDN w:val="0"/>
      <w:adjustRightInd w:val="0"/>
      <w:spacing w:after="0" w:line="360" w:lineRule="auto"/>
      <w:ind w:firstLine="709"/>
      <w:jc w:val="center"/>
    </w:pPr>
    <w:rPr>
      <w:rFonts w:ascii="Arial" w:hAnsi="Arial" w:cs="Arial"/>
      <w:b/>
      <w:bCs/>
      <w:caps/>
      <w:color w:val="0000FF"/>
      <w:sz w:val="26"/>
      <w:szCs w:val="26"/>
    </w:rPr>
  </w:style>
  <w:style w:type="character" w:customStyle="1" w:styleId="af4">
    <w:name w:val="Заголовок Знак"/>
    <w:basedOn w:val="a0"/>
    <w:link w:val="af3"/>
    <w:uiPriority w:val="99"/>
    <w:rsid w:val="00811C95"/>
    <w:rPr>
      <w:rFonts w:ascii="Arial" w:hAnsi="Arial" w:cs="Arial"/>
      <w:b/>
      <w:bCs/>
      <w:caps/>
      <w:color w:val="0000FF"/>
      <w:sz w:val="26"/>
      <w:szCs w:val="26"/>
      <w:lang w:eastAsia="en-US"/>
    </w:rPr>
  </w:style>
  <w:style w:type="paragraph" w:customStyle="1" w:styleId="af5">
    <w:name w:val="Сноски"/>
    <w:basedOn w:val="a"/>
    <w:uiPriority w:val="99"/>
    <w:rsid w:val="008E0FBF"/>
    <w:pPr>
      <w:widowControl w:val="0"/>
      <w:autoSpaceDE w:val="0"/>
      <w:autoSpaceDN w:val="0"/>
      <w:adjustRightInd w:val="0"/>
      <w:spacing w:after="0" w:line="360" w:lineRule="auto"/>
      <w:ind w:firstLine="709"/>
      <w:jc w:val="both"/>
    </w:pPr>
    <w:rPr>
      <w:rFonts w:ascii="Arial" w:hAnsi="Arial" w:cs="Arial"/>
      <w:color w:val="0000FF"/>
      <w:sz w:val="26"/>
      <w:szCs w:val="26"/>
    </w:rPr>
  </w:style>
  <w:style w:type="paragraph" w:customStyle="1" w:styleId="af6">
    <w:name w:val="Рубрика"/>
    <w:basedOn w:val="a"/>
    <w:uiPriority w:val="99"/>
    <w:rsid w:val="008E0FBF"/>
    <w:pPr>
      <w:widowControl w:val="0"/>
      <w:autoSpaceDE w:val="0"/>
      <w:autoSpaceDN w:val="0"/>
      <w:adjustRightInd w:val="0"/>
      <w:spacing w:after="0" w:line="360" w:lineRule="auto"/>
      <w:ind w:firstLine="709"/>
      <w:jc w:val="right"/>
    </w:pPr>
    <w:rPr>
      <w:rFonts w:ascii="Arial" w:hAnsi="Arial" w:cs="Arial"/>
      <w:caps/>
      <w:color w:val="0000FF"/>
      <w:sz w:val="26"/>
      <w:szCs w:val="26"/>
    </w:rPr>
  </w:style>
  <w:style w:type="character" w:styleId="af7">
    <w:name w:val="endnote reference"/>
    <w:uiPriority w:val="99"/>
    <w:rsid w:val="008E0FBF"/>
    <w:rPr>
      <w:sz w:val="20"/>
      <w:szCs w:val="20"/>
      <w:vertAlign w:val="superscript"/>
    </w:rPr>
  </w:style>
  <w:style w:type="character" w:customStyle="1" w:styleId="af8">
    <w:name w:val="К"/>
    <w:uiPriority w:val="99"/>
    <w:rsid w:val="008E0FBF"/>
    <w:rPr>
      <w:rFonts w:ascii="Courier New" w:hAnsi="Courier New" w:cs="Courier New"/>
      <w:sz w:val="20"/>
      <w:szCs w:val="20"/>
    </w:rPr>
  </w:style>
  <w:style w:type="paragraph" w:customStyle="1" w:styleId="af9">
    <w:name w:val="Ф"/>
    <w:basedOn w:val="afa"/>
    <w:uiPriority w:val="99"/>
    <w:rsid w:val="008E0FBF"/>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a">
    <w:name w:val="О"/>
    <w:uiPriority w:val="99"/>
    <w:rsid w:val="008E0FBF"/>
    <w:pPr>
      <w:autoSpaceDE w:val="0"/>
      <w:autoSpaceDN w:val="0"/>
      <w:adjustRightInd w:val="0"/>
      <w:spacing w:before="100" w:after="100"/>
    </w:pPr>
    <w:rPr>
      <w:rFonts w:ascii="Times New Roman" w:hAnsi="Times New Roman"/>
      <w:sz w:val="24"/>
      <w:szCs w:val="24"/>
      <w:lang w:eastAsia="en-US"/>
    </w:rPr>
  </w:style>
  <w:style w:type="character" w:customStyle="1" w:styleId="afb">
    <w:name w:val="Р"/>
    <w:uiPriority w:val="99"/>
    <w:rsid w:val="008E0FBF"/>
    <w:rPr>
      <w:vanish/>
      <w:color w:val="FF0000"/>
    </w:rPr>
  </w:style>
  <w:style w:type="paragraph" w:customStyle="1" w:styleId="Z-1">
    <w:name w:val="Z-1"/>
    <w:next w:val="afa"/>
    <w:uiPriority w:val="99"/>
    <w:rsid w:val="008E0FBF"/>
    <w:pPr>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
    <w:name w:val="Z-"/>
    <w:next w:val="afa"/>
    <w:uiPriority w:val="99"/>
    <w:rsid w:val="008E0FBF"/>
    <w:pPr>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c">
    <w:name w:val="Т"/>
    <w:basedOn w:val="afa"/>
    <w:next w:val="ad"/>
    <w:uiPriority w:val="99"/>
    <w:rsid w:val="008E0FBF"/>
    <w:pPr>
      <w:spacing w:before="0" w:after="0"/>
    </w:pPr>
  </w:style>
  <w:style w:type="paragraph" w:customStyle="1" w:styleId="afd">
    <w:name w:val="А"/>
    <w:basedOn w:val="a"/>
    <w:next w:val="a"/>
    <w:uiPriority w:val="99"/>
    <w:rsid w:val="008E0FBF"/>
    <w:pPr>
      <w:autoSpaceDE w:val="0"/>
      <w:autoSpaceDN w:val="0"/>
      <w:adjustRightInd w:val="0"/>
      <w:spacing w:after="0" w:line="240" w:lineRule="auto"/>
    </w:pPr>
    <w:rPr>
      <w:rFonts w:ascii="Times New Roman" w:hAnsi="Times New Roman"/>
      <w:i/>
      <w:iCs/>
      <w:color w:val="0000FF"/>
      <w:sz w:val="24"/>
      <w:szCs w:val="24"/>
    </w:rPr>
  </w:style>
  <w:style w:type="paragraph" w:customStyle="1" w:styleId="N">
    <w:name w:val="N"/>
    <w:basedOn w:val="Iauiue"/>
    <w:next w:val="Iauiue"/>
    <w:uiPriority w:val="99"/>
    <w:rsid w:val="008E0FBF"/>
    <w:pPr>
      <w:widowControl/>
      <w:ind w:left="360"/>
    </w:pPr>
    <w:rPr>
      <w:sz w:val="24"/>
      <w:szCs w:val="24"/>
    </w:rPr>
  </w:style>
  <w:style w:type="paragraph" w:customStyle="1" w:styleId="afe">
    <w:name w:val="......."/>
    <w:basedOn w:val="a"/>
    <w:next w:val="a"/>
    <w:uiPriority w:val="99"/>
    <w:rsid w:val="008E0FBF"/>
    <w:pPr>
      <w:autoSpaceDE w:val="0"/>
      <w:autoSpaceDN w:val="0"/>
      <w:adjustRightInd w:val="0"/>
      <w:spacing w:after="0" w:line="240" w:lineRule="auto"/>
    </w:pPr>
    <w:rPr>
      <w:rFonts w:ascii="Arial" w:hAnsi="Arial" w:cs="Arial"/>
      <w:color w:val="0000FF"/>
      <w:sz w:val="24"/>
      <w:szCs w:val="24"/>
    </w:rPr>
  </w:style>
  <w:style w:type="character" w:customStyle="1" w:styleId="aff">
    <w:name w:val="и"/>
    <w:uiPriority w:val="99"/>
    <w:rsid w:val="008E0FBF"/>
    <w:rPr>
      <w:color w:val="0000FF"/>
      <w:u w:val="single"/>
    </w:rPr>
  </w:style>
  <w:style w:type="character" w:customStyle="1" w:styleId="13">
    <w:name w:val="О1"/>
    <w:uiPriority w:val="99"/>
    <w:rsid w:val="008E0FBF"/>
    <w:rPr>
      <w:i/>
      <w:iCs/>
    </w:rPr>
  </w:style>
  <w:style w:type="character" w:customStyle="1" w:styleId="aff0">
    <w:name w:val="П"/>
    <w:uiPriority w:val="99"/>
    <w:rsid w:val="008E0FBF"/>
    <w:rPr>
      <w:color w:val="800080"/>
      <w:u w:val="single"/>
    </w:rPr>
  </w:style>
  <w:style w:type="character" w:customStyle="1" w:styleId="14">
    <w:name w:val="К1"/>
    <w:uiPriority w:val="99"/>
    <w:rsid w:val="008E0FBF"/>
    <w:rPr>
      <w:rFonts w:ascii="Courier New" w:hAnsi="Courier New" w:cs="Courier New"/>
      <w:b/>
      <w:bCs/>
      <w:sz w:val="20"/>
      <w:szCs w:val="20"/>
    </w:rPr>
  </w:style>
  <w:style w:type="character" w:customStyle="1" w:styleId="41">
    <w:name w:val="П4"/>
    <w:uiPriority w:val="99"/>
    <w:rsid w:val="008E0FBF"/>
    <w:rPr>
      <w:rFonts w:ascii="Courier New" w:hAnsi="Courier New" w:cs="Courier New"/>
    </w:rPr>
  </w:style>
  <w:style w:type="character" w:customStyle="1" w:styleId="33">
    <w:name w:val="П3"/>
    <w:uiPriority w:val="99"/>
    <w:rsid w:val="008E0FBF"/>
    <w:rPr>
      <w:rFonts w:ascii="Courier New" w:hAnsi="Courier New" w:cs="Courier New"/>
      <w:sz w:val="20"/>
      <w:szCs w:val="20"/>
    </w:rPr>
  </w:style>
  <w:style w:type="character" w:customStyle="1" w:styleId="26">
    <w:name w:val="П2"/>
    <w:uiPriority w:val="99"/>
    <w:rsid w:val="008E0FBF"/>
    <w:rPr>
      <w:i/>
      <w:iCs/>
    </w:rPr>
  </w:style>
  <w:style w:type="character" w:customStyle="1" w:styleId="15">
    <w:name w:val="П1"/>
    <w:uiPriority w:val="99"/>
    <w:rsid w:val="008E0FBF"/>
    <w:rPr>
      <w:vanish/>
    </w:rPr>
  </w:style>
  <w:style w:type="paragraph" w:customStyle="1" w:styleId="Iniiaiieoaeno2">
    <w:name w:val="Iniiaiie oaeno 2"/>
    <w:basedOn w:val="Iauiue"/>
    <w:uiPriority w:val="99"/>
    <w:rsid w:val="008E0FBF"/>
    <w:pPr>
      <w:jc w:val="both"/>
    </w:pPr>
    <w:rPr>
      <w:sz w:val="16"/>
      <w:szCs w:val="16"/>
    </w:rPr>
  </w:style>
  <w:style w:type="character" w:customStyle="1" w:styleId="Aeiannueea">
    <w:name w:val="Aeia?nnueea"/>
    <w:uiPriority w:val="99"/>
    <w:rsid w:val="008E0FBF"/>
    <w:rPr>
      <w:color w:val="0000FF"/>
      <w:sz w:val="20"/>
      <w:szCs w:val="20"/>
      <w:u w:val="single"/>
    </w:rPr>
  </w:style>
  <w:style w:type="character" w:customStyle="1" w:styleId="N1">
    <w:name w:val="N1"/>
    <w:uiPriority w:val="99"/>
    <w:rsid w:val="008E0FBF"/>
    <w:rPr>
      <w:b/>
      <w:bCs/>
    </w:rPr>
  </w:style>
  <w:style w:type="paragraph" w:customStyle="1" w:styleId="Iaeeiaaiiuenienie">
    <w:name w:val="Ia?ee?iaaiiue nienie"/>
    <w:basedOn w:val="Iauiue"/>
    <w:uiPriority w:val="99"/>
    <w:rsid w:val="008E0FBF"/>
    <w:pPr>
      <w:widowControl/>
      <w:ind w:left="283" w:hanging="283"/>
    </w:pPr>
  </w:style>
  <w:style w:type="paragraph" w:customStyle="1" w:styleId="Oaeno">
    <w:name w:val="Oaeno"/>
    <w:basedOn w:val="Iauiue"/>
    <w:uiPriority w:val="99"/>
    <w:rsid w:val="008E0FBF"/>
    <w:rPr>
      <w:rFonts w:ascii="Courier New" w:hAnsi="Courier New" w:cs="Courier New"/>
    </w:rPr>
  </w:style>
  <w:style w:type="paragraph" w:customStyle="1" w:styleId="Iniiaiieoaeno3">
    <w:name w:val="Iniiaiie oaeno 3"/>
    <w:basedOn w:val="Iauiue"/>
    <w:uiPriority w:val="99"/>
    <w:rsid w:val="008E0FBF"/>
    <w:pPr>
      <w:jc w:val="center"/>
    </w:pPr>
    <w:rPr>
      <w:sz w:val="16"/>
      <w:szCs w:val="16"/>
    </w:rPr>
  </w:style>
  <w:style w:type="paragraph" w:customStyle="1" w:styleId="Aaoieeeieiioeooe">
    <w:name w:val="Aa?oiee eieiioeooe"/>
    <w:basedOn w:val="Iauiue"/>
    <w:uiPriority w:val="99"/>
    <w:rsid w:val="008E0FBF"/>
    <w:pPr>
      <w:widowControl/>
      <w:tabs>
        <w:tab w:val="center" w:pos="4153"/>
        <w:tab w:val="right" w:pos="8306"/>
      </w:tabs>
    </w:pPr>
  </w:style>
  <w:style w:type="paragraph" w:customStyle="1" w:styleId="Ieieeeieiioeooe">
    <w:name w:val="Ie?iee eieiioeooe"/>
    <w:basedOn w:val="Iauiue"/>
    <w:uiPriority w:val="99"/>
    <w:rsid w:val="008E0FBF"/>
    <w:pPr>
      <w:widowControl/>
      <w:tabs>
        <w:tab w:val="center" w:pos="4153"/>
        <w:tab w:val="right" w:pos="8306"/>
      </w:tabs>
    </w:pPr>
  </w:style>
  <w:style w:type="paragraph" w:customStyle="1" w:styleId="Default">
    <w:name w:val="Default"/>
    <w:rsid w:val="008E0FBF"/>
    <w:pPr>
      <w:autoSpaceDE w:val="0"/>
      <w:autoSpaceDN w:val="0"/>
      <w:adjustRightInd w:val="0"/>
    </w:pPr>
    <w:rPr>
      <w:rFonts w:ascii="Times New Roman" w:hAnsi="Times New Roman"/>
      <w:color w:val="000000"/>
      <w:sz w:val="24"/>
      <w:szCs w:val="24"/>
      <w:lang w:eastAsia="en-US"/>
    </w:rPr>
  </w:style>
  <w:style w:type="character" w:customStyle="1" w:styleId="8pt35450pt115">
    <w:name w:val="Основной текст + 8 pt35.Курсив45.Интервал 0 pt115"/>
    <w:uiPriority w:val="99"/>
    <w:rsid w:val="008E0FBF"/>
    <w:rPr>
      <w:rFonts w:ascii="Microsoft Sans Serif" w:hAnsi="Microsoft Sans Serif" w:cs="Microsoft Sans Serif"/>
      <w:i/>
      <w:iCs/>
      <w:spacing w:val="0"/>
      <w:sz w:val="16"/>
      <w:szCs w:val="16"/>
    </w:rPr>
  </w:style>
  <w:style w:type="character" w:customStyle="1" w:styleId="8pt33430pt113">
    <w:name w:val="Основной текст + 8 pt33.Курсив43.Интервал 0 pt113"/>
    <w:uiPriority w:val="99"/>
    <w:rsid w:val="008E0FBF"/>
    <w:rPr>
      <w:rFonts w:ascii="Microsoft Sans Serif" w:hAnsi="Microsoft Sans Serif" w:cs="Microsoft Sans Serif"/>
      <w:i/>
      <w:iCs/>
      <w:spacing w:val="0"/>
      <w:sz w:val="16"/>
      <w:szCs w:val="16"/>
    </w:rPr>
  </w:style>
  <w:style w:type="character" w:customStyle="1" w:styleId="8pt32420pt112">
    <w:name w:val="Основной текст + 8 pt32.Курсив42.Интервал 0 pt112"/>
    <w:uiPriority w:val="99"/>
    <w:rsid w:val="008E0FBF"/>
    <w:rPr>
      <w:rFonts w:ascii="Arial Unicode MS" w:eastAsia="Arial Unicode MS" w:cs="Arial Unicode MS"/>
      <w:i/>
      <w:iCs/>
      <w:noProof/>
      <w:spacing w:val="0"/>
      <w:sz w:val="16"/>
      <w:szCs w:val="16"/>
    </w:rPr>
  </w:style>
  <w:style w:type="character" w:customStyle="1" w:styleId="8pt31410pt111">
    <w:name w:val="Основной текст + 8 pt31.Курсив41.Интервал 0 pt111"/>
    <w:uiPriority w:val="99"/>
    <w:rsid w:val="008E0FBF"/>
    <w:rPr>
      <w:rFonts w:ascii="Arial Unicode MS" w:eastAsia="Arial Unicode MS" w:cs="Arial Unicode MS"/>
      <w:i/>
      <w:iCs/>
      <w:noProof/>
      <w:spacing w:val="0"/>
      <w:sz w:val="16"/>
      <w:szCs w:val="16"/>
    </w:rPr>
  </w:style>
  <w:style w:type="character" w:customStyle="1" w:styleId="400pt110">
    <w:name w:val="Основной текст + Полужирный.Курсив40.Интервал 0 pt110"/>
    <w:uiPriority w:val="99"/>
    <w:rsid w:val="008E0FBF"/>
    <w:rPr>
      <w:rFonts w:ascii="Microsoft Sans Serif" w:hAnsi="Microsoft Sans Serif" w:cs="Microsoft Sans Serif"/>
      <w:b/>
      <w:bCs/>
      <w:i/>
      <w:iCs/>
      <w:spacing w:val="0"/>
      <w:sz w:val="17"/>
      <w:szCs w:val="17"/>
    </w:rPr>
  </w:style>
  <w:style w:type="character" w:customStyle="1" w:styleId="39">
    <w:name w:val="Основной текст (3)9"/>
    <w:uiPriority w:val="99"/>
    <w:rsid w:val="008E0FBF"/>
    <w:rPr>
      <w:b/>
      <w:bCs/>
      <w:i/>
      <w:iCs/>
      <w:sz w:val="17"/>
      <w:szCs w:val="17"/>
    </w:rPr>
  </w:style>
  <w:style w:type="paragraph" w:customStyle="1" w:styleId="310">
    <w:name w:val="Основной текст (3)1"/>
    <w:basedOn w:val="a"/>
    <w:uiPriority w:val="99"/>
    <w:rsid w:val="008E0FBF"/>
    <w:pPr>
      <w:shd w:val="clear" w:color="auto" w:fill="FFFFFF"/>
      <w:autoSpaceDE w:val="0"/>
      <w:autoSpaceDN w:val="0"/>
      <w:adjustRightInd w:val="0"/>
      <w:spacing w:after="0" w:line="240" w:lineRule="atLeast"/>
    </w:pPr>
    <w:rPr>
      <w:rFonts w:ascii="Times New Roman" w:hAnsi="Times New Roman"/>
      <w:b/>
      <w:bCs/>
      <w:i/>
      <w:iCs/>
      <w:noProof/>
      <w:sz w:val="17"/>
      <w:szCs w:val="17"/>
      <w:lang w:val="en-US"/>
    </w:rPr>
  </w:style>
  <w:style w:type="character" w:customStyle="1" w:styleId="8pt30390pt109">
    <w:name w:val="Основной текст + 8 pt30.Курсив39.Интервал 0 pt109"/>
    <w:uiPriority w:val="99"/>
    <w:rsid w:val="008E0FBF"/>
    <w:rPr>
      <w:rFonts w:ascii="Microsoft Sans Serif" w:hAnsi="Microsoft Sans Serif" w:cs="Microsoft Sans Serif"/>
      <w:i/>
      <w:iCs/>
      <w:spacing w:val="0"/>
      <w:sz w:val="16"/>
      <w:szCs w:val="16"/>
    </w:rPr>
  </w:style>
  <w:style w:type="character" w:customStyle="1" w:styleId="8pt29380pt108">
    <w:name w:val="Основной текст + 8 pt29.Курсив38.Интервал 0 pt108"/>
    <w:uiPriority w:val="99"/>
    <w:rsid w:val="008E0FBF"/>
    <w:rPr>
      <w:rFonts w:ascii="Arial Unicode MS" w:eastAsia="Arial Unicode MS" w:cs="Arial Unicode MS"/>
      <w:i/>
      <w:iCs/>
      <w:noProof/>
      <w:spacing w:val="0"/>
      <w:sz w:val="16"/>
      <w:szCs w:val="16"/>
    </w:rPr>
  </w:style>
  <w:style w:type="character" w:customStyle="1" w:styleId="8pt28370pt107">
    <w:name w:val="Основной текст + 8 pt28.Курсив37.Интервал 0 pt107"/>
    <w:uiPriority w:val="99"/>
    <w:rsid w:val="008E0FBF"/>
    <w:rPr>
      <w:rFonts w:ascii="Arial Unicode MS" w:eastAsia="Arial Unicode MS" w:cs="Arial Unicode MS"/>
      <w:i/>
      <w:iCs/>
      <w:noProof/>
      <w:spacing w:val="0"/>
      <w:sz w:val="16"/>
      <w:szCs w:val="16"/>
    </w:rPr>
  </w:style>
  <w:style w:type="character" w:customStyle="1" w:styleId="8pt27360pt106">
    <w:name w:val="Основной текст + 8 pt27.Курсив36.Интервал 0 pt106"/>
    <w:uiPriority w:val="99"/>
    <w:rsid w:val="008E0FBF"/>
    <w:rPr>
      <w:rFonts w:ascii="Microsoft Sans Serif" w:hAnsi="Microsoft Sans Serif" w:cs="Microsoft Sans Serif"/>
      <w:i/>
      <w:iCs/>
      <w:spacing w:val="0"/>
      <w:sz w:val="16"/>
      <w:szCs w:val="16"/>
    </w:rPr>
  </w:style>
  <w:style w:type="character" w:customStyle="1" w:styleId="579">
    <w:name w:val="Основной текст (5)79"/>
    <w:uiPriority w:val="99"/>
    <w:rsid w:val="008E0FBF"/>
    <w:rPr>
      <w:i/>
      <w:iCs/>
      <w:spacing w:val="0"/>
      <w:sz w:val="16"/>
      <w:szCs w:val="16"/>
    </w:rPr>
  </w:style>
  <w:style w:type="character" w:customStyle="1" w:styleId="578">
    <w:name w:val="Основной текст (5)78"/>
    <w:uiPriority w:val="99"/>
    <w:rsid w:val="008E0FBF"/>
    <w:rPr>
      <w:rFonts w:ascii="Arial Unicode MS" w:eastAsia="Arial Unicode MS" w:cs="Arial Unicode MS"/>
      <w:i/>
      <w:iCs/>
      <w:noProof/>
      <w:spacing w:val="0"/>
      <w:sz w:val="16"/>
      <w:szCs w:val="16"/>
    </w:rPr>
  </w:style>
  <w:style w:type="character" w:customStyle="1" w:styleId="57pt25">
    <w:name w:val="Основной текст (5) + 7 pt.Полужирный25"/>
    <w:uiPriority w:val="99"/>
    <w:rsid w:val="008E0FBF"/>
    <w:rPr>
      <w:b/>
      <w:bCs/>
      <w:i/>
      <w:iCs/>
      <w:spacing w:val="0"/>
      <w:sz w:val="14"/>
      <w:szCs w:val="14"/>
    </w:rPr>
  </w:style>
  <w:style w:type="character" w:customStyle="1" w:styleId="57pt124">
    <w:name w:val="Основной текст (5) + 7 pt1.Полужирный24"/>
    <w:uiPriority w:val="99"/>
    <w:rsid w:val="008E0FBF"/>
    <w:rPr>
      <w:b/>
      <w:bCs/>
      <w:i/>
      <w:iCs/>
      <w:spacing w:val="0"/>
      <w:sz w:val="14"/>
      <w:szCs w:val="14"/>
    </w:rPr>
  </w:style>
  <w:style w:type="character" w:customStyle="1" w:styleId="8pt25340pt104">
    <w:name w:val="Основной текст + 8 pt25.Курсив34.Интервал 0 pt104"/>
    <w:uiPriority w:val="99"/>
    <w:rsid w:val="008E0FBF"/>
    <w:rPr>
      <w:rFonts w:ascii="Microsoft Sans Serif" w:hAnsi="Microsoft Sans Serif" w:cs="Microsoft Sans Serif"/>
      <w:i/>
      <w:iCs/>
      <w:spacing w:val="0"/>
      <w:sz w:val="16"/>
      <w:szCs w:val="16"/>
    </w:rPr>
  </w:style>
  <w:style w:type="character" w:customStyle="1" w:styleId="8pt22310pt101">
    <w:name w:val="Основной текст + 8 pt22.Курсив31.Интервал 0 pt101"/>
    <w:uiPriority w:val="99"/>
    <w:rsid w:val="008E0FBF"/>
    <w:rPr>
      <w:rFonts w:ascii="Arial Unicode MS" w:eastAsia="Arial Unicode MS" w:cs="Arial Unicode MS"/>
      <w:i/>
      <w:iCs/>
      <w:noProof/>
      <w:spacing w:val="0"/>
      <w:sz w:val="16"/>
      <w:szCs w:val="16"/>
    </w:rPr>
  </w:style>
  <w:style w:type="character" w:customStyle="1" w:styleId="577">
    <w:name w:val="Основной текст (5)77"/>
    <w:uiPriority w:val="99"/>
    <w:rsid w:val="008E0FBF"/>
    <w:rPr>
      <w:i/>
      <w:iCs/>
      <w:spacing w:val="0"/>
      <w:sz w:val="16"/>
      <w:szCs w:val="16"/>
    </w:rPr>
  </w:style>
  <w:style w:type="character" w:customStyle="1" w:styleId="576">
    <w:name w:val="Основной текст (5)76"/>
    <w:uiPriority w:val="99"/>
    <w:rsid w:val="008E0FBF"/>
    <w:rPr>
      <w:rFonts w:ascii="Arial Unicode MS" w:eastAsia="Arial Unicode MS" w:cs="Arial Unicode MS"/>
      <w:i/>
      <w:iCs/>
      <w:noProof/>
      <w:spacing w:val="0"/>
      <w:sz w:val="16"/>
      <w:szCs w:val="16"/>
    </w:rPr>
  </w:style>
  <w:style w:type="paragraph" w:customStyle="1" w:styleId="61">
    <w:name w:val="Заголовок №61"/>
    <w:basedOn w:val="a"/>
    <w:uiPriority w:val="99"/>
    <w:rsid w:val="008E0FBF"/>
    <w:pPr>
      <w:shd w:val="clear" w:color="auto" w:fill="FFFFFF"/>
      <w:autoSpaceDE w:val="0"/>
      <w:autoSpaceDN w:val="0"/>
      <w:adjustRightInd w:val="0"/>
      <w:spacing w:before="180" w:after="0" w:line="211" w:lineRule="exact"/>
      <w:ind w:firstLine="280"/>
      <w:jc w:val="both"/>
    </w:pPr>
    <w:rPr>
      <w:rFonts w:ascii="Times New Roman" w:hAnsi="Times New Roman"/>
      <w:b/>
      <w:bCs/>
      <w:i/>
      <w:iCs/>
      <w:noProof/>
      <w:sz w:val="17"/>
      <w:szCs w:val="17"/>
      <w:lang w:val="en-US"/>
    </w:rPr>
  </w:style>
  <w:style w:type="character" w:customStyle="1" w:styleId="8pt21300pt98">
    <w:name w:val="Основной текст + 8 pt21.Курсив30.Интервал 0 pt98"/>
    <w:uiPriority w:val="99"/>
    <w:rsid w:val="008E0FBF"/>
    <w:rPr>
      <w:rFonts w:ascii="Microsoft Sans Serif" w:hAnsi="Microsoft Sans Serif" w:cs="Microsoft Sans Serif"/>
      <w:i/>
      <w:iCs/>
      <w:spacing w:val="0"/>
      <w:sz w:val="16"/>
      <w:szCs w:val="16"/>
    </w:rPr>
  </w:style>
  <w:style w:type="character" w:customStyle="1" w:styleId="8pt20290pt97">
    <w:name w:val="Основной текст + 8 pt20.Курсив29.Интервал 0 pt97"/>
    <w:uiPriority w:val="99"/>
    <w:rsid w:val="008E0FBF"/>
    <w:rPr>
      <w:rFonts w:ascii="Microsoft Sans Serif" w:hAnsi="Microsoft Sans Serif" w:cs="Microsoft Sans Serif"/>
      <w:i/>
      <w:iCs/>
      <w:spacing w:val="0"/>
      <w:sz w:val="16"/>
      <w:szCs w:val="16"/>
    </w:rPr>
  </w:style>
  <w:style w:type="character" w:customStyle="1" w:styleId="8pt18270pt95">
    <w:name w:val="Основной текст + 8 pt18.Курсив27.Интервал 0 pt95"/>
    <w:uiPriority w:val="99"/>
    <w:rsid w:val="008E0FBF"/>
    <w:rPr>
      <w:rFonts w:ascii="Arial Unicode MS" w:eastAsia="Arial Unicode MS" w:cs="Arial Unicode MS"/>
      <w:i/>
      <w:iCs/>
      <w:noProof/>
      <w:spacing w:val="0"/>
      <w:sz w:val="16"/>
      <w:szCs w:val="16"/>
    </w:rPr>
  </w:style>
  <w:style w:type="paragraph" w:customStyle="1" w:styleId="201">
    <w:name w:val="Основной текст (20)1"/>
    <w:basedOn w:val="a"/>
    <w:uiPriority w:val="99"/>
    <w:rsid w:val="008E0FBF"/>
    <w:pPr>
      <w:shd w:val="clear" w:color="auto" w:fill="FFFFFF"/>
      <w:autoSpaceDE w:val="0"/>
      <w:autoSpaceDN w:val="0"/>
      <w:adjustRightInd w:val="0"/>
      <w:spacing w:before="180" w:after="0" w:line="216" w:lineRule="exact"/>
      <w:jc w:val="both"/>
    </w:pPr>
    <w:rPr>
      <w:rFonts w:ascii="Times New Roman" w:hAnsi="Times New Roman"/>
      <w:b/>
      <w:bCs/>
      <w:i/>
      <w:iCs/>
      <w:noProof/>
      <w:sz w:val="15"/>
      <w:szCs w:val="15"/>
      <w:lang w:val="en-US"/>
    </w:rPr>
  </w:style>
  <w:style w:type="character" w:customStyle="1" w:styleId="2090pt38">
    <w:name w:val="Основной текст (20) + Не курсив9.Интервал 0 pt38"/>
    <w:uiPriority w:val="99"/>
    <w:rsid w:val="008E0FBF"/>
    <w:rPr>
      <w:rFonts w:ascii="Lucida Sans Unicode" w:hAnsi="Lucida Sans Unicode" w:cs="Lucida Sans Unicode"/>
      <w:b/>
      <w:bCs/>
      <w:i/>
      <w:iCs/>
      <w:spacing w:val="-10"/>
      <w:sz w:val="16"/>
      <w:szCs w:val="16"/>
    </w:rPr>
  </w:style>
  <w:style w:type="character" w:customStyle="1" w:styleId="6pt2">
    <w:name w:val="Основной текст + 6 pt2"/>
    <w:uiPriority w:val="99"/>
    <w:rsid w:val="008E0FBF"/>
    <w:rPr>
      <w:rFonts w:ascii="Lucida Sans Unicode" w:hAnsi="Lucida Sans Unicode" w:cs="Lucida Sans Unicode"/>
      <w:spacing w:val="-10"/>
      <w:sz w:val="12"/>
      <w:szCs w:val="12"/>
    </w:rPr>
  </w:style>
  <w:style w:type="character" w:customStyle="1" w:styleId="70pt37">
    <w:name w:val="Основной текст + Курсив7.Интервал 0 pt37"/>
    <w:uiPriority w:val="99"/>
    <w:rsid w:val="008E0FBF"/>
    <w:rPr>
      <w:rFonts w:ascii="Lucida Sans Unicode" w:hAnsi="Lucida Sans Unicode" w:cs="Lucida Sans Unicode"/>
      <w:i/>
      <w:iCs/>
      <w:spacing w:val="0"/>
      <w:sz w:val="16"/>
      <w:szCs w:val="16"/>
    </w:rPr>
  </w:style>
  <w:style w:type="character" w:customStyle="1" w:styleId="60pt36">
    <w:name w:val="Основной текст + Курсив6.Интервал 0 pt36"/>
    <w:uiPriority w:val="99"/>
    <w:rsid w:val="008E0FBF"/>
    <w:rPr>
      <w:rFonts w:ascii="Lucida Sans Unicode" w:hAnsi="Lucida Sans Unicode" w:cs="Lucida Sans Unicode"/>
      <w:i/>
      <w:iCs/>
      <w:spacing w:val="0"/>
      <w:sz w:val="16"/>
      <w:szCs w:val="16"/>
    </w:rPr>
  </w:style>
  <w:style w:type="character" w:customStyle="1" w:styleId="29">
    <w:name w:val="Основной текст (29)_"/>
    <w:rsid w:val="008E0FBF"/>
    <w:rPr>
      <w:rFonts w:ascii="Arial Narrow" w:hAnsi="Arial Narrow" w:cs="Arial Narrow"/>
      <w:i/>
      <w:iCs/>
      <w:sz w:val="15"/>
      <w:szCs w:val="15"/>
    </w:rPr>
  </w:style>
  <w:style w:type="paragraph" w:customStyle="1" w:styleId="100">
    <w:name w:val="Заголовок №10"/>
    <w:basedOn w:val="a"/>
    <w:rsid w:val="008E0FBF"/>
    <w:pPr>
      <w:shd w:val="clear" w:color="auto" w:fill="FFFFFF"/>
      <w:autoSpaceDE w:val="0"/>
      <w:autoSpaceDN w:val="0"/>
      <w:adjustRightInd w:val="0"/>
      <w:spacing w:before="180" w:after="0" w:line="216" w:lineRule="exact"/>
      <w:ind w:firstLine="280"/>
      <w:jc w:val="both"/>
    </w:pPr>
    <w:rPr>
      <w:rFonts w:ascii="Lucida Sans Unicode" w:hAnsi="Lucida Sans Unicode" w:cs="Lucida Sans Unicode"/>
      <w:b/>
      <w:bCs/>
      <w:i/>
      <w:iCs/>
      <w:noProof/>
      <w:sz w:val="16"/>
      <w:szCs w:val="16"/>
      <w:lang w:val="en-US"/>
    </w:rPr>
  </w:style>
  <w:style w:type="paragraph" w:customStyle="1" w:styleId="71">
    <w:name w:val="Основной текст (7)1"/>
    <w:basedOn w:val="a"/>
    <w:uiPriority w:val="99"/>
    <w:rsid w:val="008E0FBF"/>
    <w:pPr>
      <w:shd w:val="clear" w:color="auto" w:fill="FFFFFF"/>
      <w:autoSpaceDE w:val="0"/>
      <w:autoSpaceDN w:val="0"/>
      <w:adjustRightInd w:val="0"/>
      <w:spacing w:after="0" w:line="240" w:lineRule="atLeast"/>
      <w:ind w:hanging="960"/>
    </w:pPr>
    <w:rPr>
      <w:rFonts w:ascii="Arial" w:hAnsi="Arial" w:cs="Arial"/>
      <w:i/>
      <w:iCs/>
      <w:noProof/>
      <w:spacing w:val="-10"/>
      <w:sz w:val="16"/>
      <w:szCs w:val="16"/>
      <w:lang w:val="en-US"/>
    </w:rPr>
  </w:style>
  <w:style w:type="character" w:customStyle="1" w:styleId="2080pt35">
    <w:name w:val="Основной текст (20) + Не курсив8.Интервал 0 pt35"/>
    <w:uiPriority w:val="99"/>
    <w:rsid w:val="008E0FBF"/>
    <w:rPr>
      <w:rFonts w:ascii="Lucida Sans Unicode" w:hAnsi="Lucida Sans Unicode" w:cs="Lucida Sans Unicode"/>
      <w:b/>
      <w:bCs/>
      <w:i/>
      <w:iCs/>
      <w:spacing w:val="-10"/>
      <w:sz w:val="16"/>
      <w:szCs w:val="16"/>
    </w:rPr>
  </w:style>
  <w:style w:type="character" w:customStyle="1" w:styleId="50pt34">
    <w:name w:val="Основной текст + Курсив5.Интервал 0 pt34"/>
    <w:uiPriority w:val="99"/>
    <w:rsid w:val="008E0FBF"/>
    <w:rPr>
      <w:rFonts w:ascii="Lucida Sans Unicode" w:hAnsi="Lucida Sans Unicode" w:cs="Lucida Sans Unicode"/>
      <w:i/>
      <w:iCs/>
      <w:spacing w:val="0"/>
      <w:sz w:val="16"/>
      <w:szCs w:val="16"/>
    </w:rPr>
  </w:style>
  <w:style w:type="character" w:customStyle="1" w:styleId="aff1">
    <w:name w:val="Основной текст_"/>
    <w:link w:val="101"/>
    <w:rsid w:val="008E0FBF"/>
    <w:rPr>
      <w:rFonts w:ascii="Microsoft Sans Serif" w:hAnsi="Microsoft Sans Serif" w:cs="Microsoft Sans Serif"/>
      <w:spacing w:val="-10"/>
      <w:sz w:val="29"/>
      <w:szCs w:val="29"/>
    </w:rPr>
  </w:style>
  <w:style w:type="paragraph" w:customStyle="1" w:styleId="101">
    <w:name w:val="Основной текст10"/>
    <w:basedOn w:val="a"/>
    <w:link w:val="aff1"/>
    <w:rsid w:val="00AA077A"/>
    <w:pPr>
      <w:shd w:val="clear" w:color="auto" w:fill="FFFFFF"/>
      <w:spacing w:after="480" w:line="0" w:lineRule="atLeast"/>
    </w:pPr>
    <w:rPr>
      <w:rFonts w:ascii="Microsoft Sans Serif" w:hAnsi="Microsoft Sans Serif" w:cs="Microsoft Sans Serif"/>
      <w:spacing w:val="-10"/>
      <w:sz w:val="29"/>
      <w:szCs w:val="29"/>
      <w:lang w:eastAsia="ru-RU"/>
    </w:rPr>
  </w:style>
  <w:style w:type="paragraph" w:customStyle="1" w:styleId="141">
    <w:name w:val="Основной текст (14)1"/>
    <w:basedOn w:val="a"/>
    <w:uiPriority w:val="99"/>
    <w:rsid w:val="008E0FBF"/>
    <w:pPr>
      <w:shd w:val="clear" w:color="auto" w:fill="FFFFFF"/>
      <w:autoSpaceDE w:val="0"/>
      <w:autoSpaceDN w:val="0"/>
      <w:adjustRightInd w:val="0"/>
      <w:spacing w:before="240" w:after="0" w:line="315" w:lineRule="exact"/>
      <w:ind w:hanging="1060"/>
      <w:jc w:val="center"/>
    </w:pPr>
    <w:rPr>
      <w:rFonts w:ascii="Franklin Gothic Demi" w:hAnsi="Franklin Gothic Demi" w:cs="Franklin Gothic Demi"/>
      <w:noProof/>
      <w:sz w:val="26"/>
      <w:szCs w:val="26"/>
      <w:lang w:val="en-US"/>
    </w:rPr>
  </w:style>
  <w:style w:type="paragraph" w:customStyle="1" w:styleId="aff2">
    <w:name w:val="Подпись к таблице"/>
    <w:basedOn w:val="a"/>
    <w:link w:val="aff3"/>
    <w:rsid w:val="008E0FBF"/>
    <w:pPr>
      <w:shd w:val="clear" w:color="auto" w:fill="FFFFFF"/>
      <w:autoSpaceDE w:val="0"/>
      <w:autoSpaceDN w:val="0"/>
      <w:adjustRightInd w:val="0"/>
      <w:spacing w:after="0" w:line="233" w:lineRule="exact"/>
      <w:jc w:val="both"/>
    </w:pPr>
    <w:rPr>
      <w:rFonts w:ascii="Arial Narrow" w:hAnsi="Arial Narrow" w:cs="Arial Narrow"/>
      <w:i/>
      <w:iCs/>
      <w:noProof/>
      <w:sz w:val="20"/>
      <w:szCs w:val="20"/>
      <w:lang w:val="en-US"/>
    </w:rPr>
  </w:style>
  <w:style w:type="character" w:customStyle="1" w:styleId="aff3">
    <w:name w:val="Подпись к таблице_"/>
    <w:link w:val="aff2"/>
    <w:rsid w:val="00DE6586"/>
    <w:rPr>
      <w:rFonts w:ascii="Arial Narrow" w:hAnsi="Arial Narrow" w:cs="Arial Narrow"/>
      <w:i/>
      <w:iCs/>
      <w:noProof/>
      <w:sz w:val="20"/>
      <w:szCs w:val="20"/>
      <w:shd w:val="clear" w:color="auto" w:fill="FFFFFF"/>
      <w:lang w:val="en-US"/>
    </w:rPr>
  </w:style>
  <w:style w:type="character" w:customStyle="1" w:styleId="14ArialNarrow10pt39">
    <w:name w:val="Основной текст (14) + Arial Narrow1.Малые прописные.Интервал 0 pt39"/>
    <w:uiPriority w:val="99"/>
    <w:rsid w:val="008E0FBF"/>
    <w:rPr>
      <w:rFonts w:ascii="Arial Narrow" w:hAnsi="Arial Narrow" w:cs="Arial Narrow"/>
      <w:smallCaps/>
      <w:spacing w:val="0"/>
      <w:sz w:val="13"/>
      <w:szCs w:val="13"/>
    </w:rPr>
  </w:style>
  <w:style w:type="character" w:customStyle="1" w:styleId="2070pt33">
    <w:name w:val="Основной текст (20) + Не курсив7.Интервал 0 pt33"/>
    <w:uiPriority w:val="99"/>
    <w:rsid w:val="008E0FBF"/>
    <w:rPr>
      <w:rFonts w:ascii="Lucida Sans Unicode" w:hAnsi="Lucida Sans Unicode" w:cs="Lucida Sans Unicode"/>
      <w:b/>
      <w:bCs/>
      <w:i/>
      <w:iCs/>
      <w:spacing w:val="-10"/>
      <w:sz w:val="16"/>
      <w:szCs w:val="16"/>
    </w:rPr>
  </w:style>
  <w:style w:type="character" w:customStyle="1" w:styleId="40pt32">
    <w:name w:val="Основной текст + Курсив4.Интервал 0 pt32"/>
    <w:uiPriority w:val="99"/>
    <w:rsid w:val="008E0FBF"/>
    <w:rPr>
      <w:rFonts w:ascii="Lucida Sans Unicode" w:hAnsi="Lucida Sans Unicode" w:cs="Lucida Sans Unicode"/>
      <w:i/>
      <w:iCs/>
      <w:spacing w:val="0"/>
      <w:sz w:val="16"/>
      <w:szCs w:val="16"/>
    </w:rPr>
  </w:style>
  <w:style w:type="character" w:customStyle="1" w:styleId="200">
    <w:name w:val="Основной текст (20)_"/>
    <w:rsid w:val="008E0FBF"/>
    <w:rPr>
      <w:b/>
      <w:bCs/>
      <w:i/>
      <w:iCs/>
      <w:sz w:val="15"/>
      <w:szCs w:val="15"/>
    </w:rPr>
  </w:style>
  <w:style w:type="character" w:customStyle="1" w:styleId="2050pt30">
    <w:name w:val="Основной текст (20) + Не курсив5.Интервал 0 pt30"/>
    <w:uiPriority w:val="99"/>
    <w:rsid w:val="008E0FBF"/>
    <w:rPr>
      <w:rFonts w:ascii="Lucida Sans Unicode" w:hAnsi="Lucida Sans Unicode" w:cs="Lucida Sans Unicode"/>
      <w:b/>
      <w:bCs/>
      <w:i/>
      <w:iCs/>
      <w:spacing w:val="-10"/>
      <w:sz w:val="16"/>
      <w:szCs w:val="16"/>
    </w:rPr>
  </w:style>
  <w:style w:type="character" w:customStyle="1" w:styleId="30pt29">
    <w:name w:val="Основной текст + Курсив3.Интервал 0 pt29"/>
    <w:uiPriority w:val="99"/>
    <w:rsid w:val="008E0FBF"/>
    <w:rPr>
      <w:rFonts w:ascii="Lucida Sans Unicode" w:hAnsi="Lucida Sans Unicode" w:cs="Lucida Sans Unicode"/>
      <w:i/>
      <w:iCs/>
      <w:spacing w:val="0"/>
      <w:sz w:val="16"/>
      <w:szCs w:val="16"/>
    </w:rPr>
  </w:style>
  <w:style w:type="character" w:customStyle="1" w:styleId="20pt28">
    <w:name w:val="Основной текст + Курсив2.Интервал 0 pt28"/>
    <w:uiPriority w:val="99"/>
    <w:rsid w:val="008E0FBF"/>
    <w:rPr>
      <w:rFonts w:ascii="Lucida Sans Unicode" w:hAnsi="Lucida Sans Unicode" w:cs="Lucida Sans Unicode"/>
      <w:i/>
      <w:iCs/>
      <w:spacing w:val="0"/>
      <w:sz w:val="16"/>
      <w:szCs w:val="16"/>
    </w:rPr>
  </w:style>
  <w:style w:type="paragraph" w:customStyle="1" w:styleId="311">
    <w:name w:val="Подпись к картинке (3)1"/>
    <w:basedOn w:val="a"/>
    <w:uiPriority w:val="99"/>
    <w:rsid w:val="008E0FBF"/>
    <w:pPr>
      <w:shd w:val="clear" w:color="auto" w:fill="FFFFFF"/>
      <w:autoSpaceDE w:val="0"/>
      <w:autoSpaceDN w:val="0"/>
      <w:adjustRightInd w:val="0"/>
      <w:spacing w:after="0" w:line="240" w:lineRule="atLeast"/>
    </w:pPr>
    <w:rPr>
      <w:rFonts w:ascii="Lucida Sans Unicode" w:hAnsi="Lucida Sans Unicode" w:cs="Lucida Sans Unicode"/>
      <w:i/>
      <w:iCs/>
      <w:noProof/>
      <w:sz w:val="13"/>
      <w:szCs w:val="13"/>
      <w:lang w:val="en-US"/>
    </w:rPr>
  </w:style>
  <w:style w:type="paragraph" w:customStyle="1" w:styleId="210">
    <w:name w:val="Подпись к таблице (2)1"/>
    <w:basedOn w:val="a"/>
    <w:uiPriority w:val="99"/>
    <w:rsid w:val="008E0FBF"/>
    <w:pPr>
      <w:shd w:val="clear" w:color="auto" w:fill="FFFFFF"/>
      <w:autoSpaceDE w:val="0"/>
      <w:autoSpaceDN w:val="0"/>
      <w:adjustRightInd w:val="0"/>
      <w:spacing w:after="0" w:line="240" w:lineRule="atLeast"/>
    </w:pPr>
    <w:rPr>
      <w:rFonts w:ascii="Arial" w:hAnsi="Arial" w:cs="Arial"/>
      <w:noProof/>
      <w:sz w:val="14"/>
      <w:szCs w:val="14"/>
      <w:lang w:val="en-US"/>
    </w:rPr>
  </w:style>
  <w:style w:type="paragraph" w:customStyle="1" w:styleId="42">
    <w:name w:val="Основной текст (42)"/>
    <w:basedOn w:val="a"/>
    <w:uiPriority w:val="99"/>
    <w:rsid w:val="008E0FBF"/>
    <w:pPr>
      <w:shd w:val="clear" w:color="auto" w:fill="FFFFFF"/>
      <w:autoSpaceDE w:val="0"/>
      <w:autoSpaceDN w:val="0"/>
      <w:adjustRightInd w:val="0"/>
      <w:spacing w:after="0" w:line="240" w:lineRule="atLeast"/>
      <w:jc w:val="center"/>
    </w:pPr>
    <w:rPr>
      <w:rFonts w:ascii="Microsoft Sans Serif" w:hAnsi="Microsoft Sans Serif" w:cs="Microsoft Sans Serif"/>
      <w:noProof/>
      <w:sz w:val="8"/>
      <w:szCs w:val="8"/>
      <w:lang w:val="en-US"/>
    </w:rPr>
  </w:style>
  <w:style w:type="paragraph" w:customStyle="1" w:styleId="43">
    <w:name w:val="Основной текст (43)"/>
    <w:basedOn w:val="a"/>
    <w:uiPriority w:val="99"/>
    <w:rsid w:val="008E0FBF"/>
    <w:pPr>
      <w:shd w:val="clear" w:color="auto" w:fill="FFFFFF"/>
      <w:autoSpaceDE w:val="0"/>
      <w:autoSpaceDN w:val="0"/>
      <w:adjustRightInd w:val="0"/>
      <w:spacing w:after="0" w:line="240" w:lineRule="atLeast"/>
      <w:jc w:val="center"/>
    </w:pPr>
    <w:rPr>
      <w:rFonts w:ascii="Lucida Sans Unicode" w:hAnsi="Lucida Sans Unicode" w:cs="Lucida Sans Unicode"/>
      <w:noProof/>
      <w:sz w:val="8"/>
      <w:szCs w:val="8"/>
      <w:lang w:val="en-US"/>
    </w:rPr>
  </w:style>
  <w:style w:type="paragraph" w:customStyle="1" w:styleId="44">
    <w:name w:val="Основной текст (44)"/>
    <w:basedOn w:val="a"/>
    <w:uiPriority w:val="99"/>
    <w:rsid w:val="008E0FBF"/>
    <w:pPr>
      <w:shd w:val="clear" w:color="auto" w:fill="FFFFFF"/>
      <w:autoSpaceDE w:val="0"/>
      <w:autoSpaceDN w:val="0"/>
      <w:adjustRightInd w:val="0"/>
      <w:spacing w:after="0" w:line="240" w:lineRule="atLeast"/>
      <w:jc w:val="center"/>
    </w:pPr>
    <w:rPr>
      <w:rFonts w:ascii="MS Mincho" w:eastAsia="MS Mincho" w:hAnsi="Times New Roman" w:cs="MS Mincho"/>
      <w:noProof/>
      <w:sz w:val="8"/>
      <w:szCs w:val="8"/>
      <w:lang w:val="en-US"/>
    </w:rPr>
  </w:style>
  <w:style w:type="paragraph" w:customStyle="1" w:styleId="aff4">
    <w:name w:val="Сноска"/>
    <w:basedOn w:val="a"/>
    <w:link w:val="aff5"/>
    <w:rsid w:val="008E0FBF"/>
    <w:pPr>
      <w:shd w:val="clear" w:color="auto" w:fill="FFFFFF"/>
      <w:autoSpaceDE w:val="0"/>
      <w:autoSpaceDN w:val="0"/>
      <w:adjustRightInd w:val="0"/>
      <w:spacing w:after="0" w:line="182" w:lineRule="exact"/>
      <w:jc w:val="both"/>
    </w:pPr>
    <w:rPr>
      <w:rFonts w:ascii="Lucida Sans Unicode" w:hAnsi="Lucida Sans Unicode" w:cs="Lucida Sans Unicode"/>
      <w:i/>
      <w:iCs/>
      <w:noProof/>
      <w:sz w:val="13"/>
      <w:szCs w:val="13"/>
      <w:lang w:val="en-US"/>
    </w:rPr>
  </w:style>
  <w:style w:type="character" w:customStyle="1" w:styleId="aff5">
    <w:name w:val="Сноска_"/>
    <w:link w:val="aff4"/>
    <w:rsid w:val="00673CAB"/>
    <w:rPr>
      <w:rFonts w:ascii="Lucida Sans Unicode" w:hAnsi="Lucida Sans Unicode" w:cs="Lucida Sans Unicode"/>
      <w:i/>
      <w:iCs/>
      <w:noProof/>
      <w:sz w:val="13"/>
      <w:szCs w:val="13"/>
      <w:shd w:val="clear" w:color="auto" w:fill="FFFFFF"/>
      <w:lang w:val="en-US"/>
    </w:rPr>
  </w:style>
  <w:style w:type="character" w:customStyle="1" w:styleId="102">
    <w:name w:val="Основной текст + Курсив10"/>
    <w:uiPriority w:val="99"/>
    <w:rsid w:val="008E0FBF"/>
    <w:rPr>
      <w:rFonts w:ascii="Arial" w:hAnsi="Arial" w:cs="Arial"/>
      <w:i/>
      <w:iCs/>
      <w:spacing w:val="-10"/>
      <w:sz w:val="17"/>
      <w:szCs w:val="17"/>
    </w:rPr>
  </w:style>
  <w:style w:type="paragraph" w:customStyle="1" w:styleId="250">
    <w:name w:val="Основной текст25"/>
    <w:basedOn w:val="a"/>
    <w:rsid w:val="008E0FBF"/>
    <w:pPr>
      <w:shd w:val="clear" w:color="auto" w:fill="FFFFFF"/>
      <w:autoSpaceDE w:val="0"/>
      <w:autoSpaceDN w:val="0"/>
      <w:adjustRightInd w:val="0"/>
      <w:spacing w:after="1020" w:line="233" w:lineRule="exact"/>
    </w:pPr>
    <w:rPr>
      <w:rFonts w:ascii="Arial Unicode MS" w:eastAsia="Arial Unicode MS" w:hAnsi="Times New Roman" w:cs="Arial Unicode MS"/>
      <w:sz w:val="25"/>
      <w:szCs w:val="25"/>
    </w:rPr>
  </w:style>
  <w:style w:type="paragraph" w:customStyle="1" w:styleId="120">
    <w:name w:val="Заголовок №12"/>
    <w:basedOn w:val="a"/>
    <w:uiPriority w:val="99"/>
    <w:rsid w:val="008E0FBF"/>
    <w:pPr>
      <w:shd w:val="clear" w:color="auto" w:fill="FFFFFF"/>
      <w:autoSpaceDE w:val="0"/>
      <w:autoSpaceDN w:val="0"/>
      <w:adjustRightInd w:val="0"/>
      <w:spacing w:before="300" w:after="0" w:line="323" w:lineRule="exact"/>
      <w:ind w:firstLine="440"/>
      <w:jc w:val="both"/>
    </w:pPr>
    <w:rPr>
      <w:rFonts w:ascii="Tahoma" w:hAnsi="Tahoma" w:cs="Tahoma"/>
      <w:sz w:val="30"/>
      <w:szCs w:val="30"/>
    </w:rPr>
  </w:style>
  <w:style w:type="character" w:customStyle="1" w:styleId="aff6">
    <w:name w:val="Оглавление"/>
    <w:uiPriority w:val="99"/>
    <w:rsid w:val="008E0FBF"/>
    <w:rPr>
      <w:rFonts w:ascii="Times New Roman" w:hAnsi="Times New Roman" w:cs="Times New Roman"/>
      <w:spacing w:val="0"/>
      <w:sz w:val="21"/>
      <w:szCs w:val="21"/>
      <w:u w:val="single"/>
    </w:rPr>
  </w:style>
  <w:style w:type="paragraph" w:customStyle="1" w:styleId="140">
    <w:name w:val="Заголовок №14"/>
    <w:basedOn w:val="a"/>
    <w:link w:val="142"/>
    <w:rsid w:val="008E0FBF"/>
    <w:pPr>
      <w:shd w:val="clear" w:color="auto" w:fill="FFFFFF"/>
      <w:autoSpaceDE w:val="0"/>
      <w:autoSpaceDN w:val="0"/>
      <w:adjustRightInd w:val="0"/>
      <w:spacing w:after="180" w:line="240" w:lineRule="atLeast"/>
      <w:jc w:val="both"/>
    </w:pPr>
    <w:rPr>
      <w:rFonts w:ascii="Tahoma" w:hAnsi="Tahoma" w:cs="Tahoma"/>
      <w:sz w:val="30"/>
      <w:szCs w:val="30"/>
    </w:rPr>
  </w:style>
  <w:style w:type="character" w:customStyle="1" w:styleId="142">
    <w:name w:val="Заголовок №14_"/>
    <w:basedOn w:val="a0"/>
    <w:link w:val="140"/>
    <w:rsid w:val="00811C95"/>
    <w:rPr>
      <w:rFonts w:ascii="Tahoma" w:hAnsi="Tahoma" w:cs="Tahoma"/>
      <w:sz w:val="30"/>
      <w:szCs w:val="30"/>
      <w:shd w:val="clear" w:color="auto" w:fill="FFFFFF"/>
      <w:lang w:eastAsia="en-US"/>
    </w:rPr>
  </w:style>
  <w:style w:type="character" w:customStyle="1" w:styleId="72pt">
    <w:name w:val="Основной текст (7) + Интервал 2 pt"/>
    <w:uiPriority w:val="99"/>
    <w:rsid w:val="008E0FBF"/>
    <w:rPr>
      <w:spacing w:val="40"/>
      <w:sz w:val="25"/>
      <w:szCs w:val="25"/>
    </w:rPr>
  </w:style>
  <w:style w:type="paragraph" w:customStyle="1" w:styleId="7">
    <w:name w:val="Основной текст (7)"/>
    <w:basedOn w:val="a"/>
    <w:link w:val="70"/>
    <w:rsid w:val="008E0FBF"/>
    <w:pPr>
      <w:shd w:val="clear" w:color="auto" w:fill="FFFFFF"/>
      <w:autoSpaceDE w:val="0"/>
      <w:autoSpaceDN w:val="0"/>
      <w:adjustRightInd w:val="0"/>
      <w:spacing w:after="0" w:line="323" w:lineRule="exact"/>
      <w:jc w:val="both"/>
    </w:pPr>
    <w:rPr>
      <w:rFonts w:ascii="Arial Unicode MS" w:eastAsia="Arial Unicode MS" w:hAnsi="Times New Roman" w:cs="Arial Unicode MS"/>
      <w:spacing w:val="20"/>
      <w:sz w:val="25"/>
      <w:szCs w:val="25"/>
    </w:rPr>
  </w:style>
  <w:style w:type="character" w:customStyle="1" w:styleId="70">
    <w:name w:val="Основной текст (7)_"/>
    <w:basedOn w:val="a0"/>
    <w:link w:val="7"/>
    <w:rsid w:val="00811C95"/>
    <w:rPr>
      <w:rFonts w:ascii="Arial Unicode MS" w:eastAsia="Arial Unicode MS" w:hAnsi="Times New Roman" w:cs="Arial Unicode MS"/>
      <w:spacing w:val="20"/>
      <w:sz w:val="25"/>
      <w:szCs w:val="25"/>
      <w:shd w:val="clear" w:color="auto" w:fill="FFFFFF"/>
      <w:lang w:eastAsia="en-US"/>
    </w:rPr>
  </w:style>
  <w:style w:type="character" w:customStyle="1" w:styleId="13pt">
    <w:name w:val="Основной текст + 13 pt"/>
    <w:uiPriority w:val="99"/>
    <w:rsid w:val="008E0FBF"/>
    <w:rPr>
      <w:spacing w:val="10"/>
      <w:sz w:val="26"/>
      <w:szCs w:val="26"/>
    </w:rPr>
  </w:style>
  <w:style w:type="character" w:customStyle="1" w:styleId="240">
    <w:name w:val="Основной текст24"/>
    <w:rsid w:val="008E0FBF"/>
    <w:rPr>
      <w:sz w:val="25"/>
      <w:szCs w:val="25"/>
    </w:rPr>
  </w:style>
  <w:style w:type="paragraph" w:customStyle="1" w:styleId="62">
    <w:name w:val="Заголовок №6"/>
    <w:basedOn w:val="a"/>
    <w:uiPriority w:val="99"/>
    <w:rsid w:val="008E0FBF"/>
    <w:pPr>
      <w:shd w:val="clear" w:color="auto" w:fill="FFFFFF"/>
      <w:autoSpaceDE w:val="0"/>
      <w:autoSpaceDN w:val="0"/>
      <w:adjustRightInd w:val="0"/>
      <w:spacing w:before="180" w:after="0" w:line="211" w:lineRule="exact"/>
    </w:pPr>
    <w:rPr>
      <w:rFonts w:ascii="Arial Narrow" w:hAnsi="Arial Narrow" w:cs="Arial Narrow"/>
      <w:b/>
      <w:bCs/>
      <w:sz w:val="17"/>
      <w:szCs w:val="17"/>
    </w:rPr>
  </w:style>
  <w:style w:type="character" w:customStyle="1" w:styleId="8">
    <w:name w:val="Основной текст (8) + Не курсив"/>
    <w:rsid w:val="008E0FBF"/>
    <w:rPr>
      <w:rFonts w:ascii="Lucida Sans Unicode" w:hAnsi="Lucida Sans Unicode" w:cs="Lucida Sans Unicode"/>
      <w:i/>
      <w:iCs/>
      <w:sz w:val="16"/>
      <w:szCs w:val="16"/>
    </w:rPr>
  </w:style>
  <w:style w:type="character" w:customStyle="1" w:styleId="aff7">
    <w:name w:val="Основной текст + Курсив"/>
    <w:aliases w:val="Интервал 0 pt59"/>
    <w:rsid w:val="008E0FBF"/>
    <w:rPr>
      <w:rFonts w:ascii="Lucida Sans Unicode" w:hAnsi="Lucida Sans Unicode" w:cs="Lucida Sans Unicode"/>
      <w:i/>
      <w:iCs/>
      <w:sz w:val="16"/>
      <w:szCs w:val="16"/>
    </w:rPr>
  </w:style>
  <w:style w:type="paragraph" w:customStyle="1" w:styleId="80">
    <w:name w:val="Основной текст (8)"/>
    <w:basedOn w:val="a"/>
    <w:rsid w:val="008E0FBF"/>
    <w:pPr>
      <w:shd w:val="clear" w:color="auto" w:fill="FFFFFF"/>
      <w:autoSpaceDE w:val="0"/>
      <w:autoSpaceDN w:val="0"/>
      <w:adjustRightInd w:val="0"/>
      <w:spacing w:after="0" w:line="240" w:lineRule="atLeast"/>
    </w:pPr>
    <w:rPr>
      <w:rFonts w:ascii="Lucida Sans Unicode" w:hAnsi="Lucida Sans Unicode" w:cs="Lucida Sans Unicode"/>
      <w:sz w:val="16"/>
      <w:szCs w:val="16"/>
    </w:rPr>
  </w:style>
  <w:style w:type="character" w:customStyle="1" w:styleId="81">
    <w:name w:val="Основной текст (8)_"/>
    <w:rsid w:val="008E0FBF"/>
    <w:rPr>
      <w:rFonts w:ascii="Lucida Sans Unicode" w:hAnsi="Lucida Sans Unicode" w:cs="Lucida Sans Unicode"/>
      <w:sz w:val="16"/>
      <w:szCs w:val="16"/>
    </w:rPr>
  </w:style>
  <w:style w:type="character" w:customStyle="1" w:styleId="4pt">
    <w:name w:val="Основной текст + Интервал 4 pt"/>
    <w:rsid w:val="008E0FBF"/>
    <w:rPr>
      <w:rFonts w:ascii="Franklin Gothic Medium" w:hAnsi="Franklin Gothic Medium" w:cs="Franklin Gothic Medium"/>
      <w:spacing w:val="90"/>
      <w:sz w:val="20"/>
      <w:szCs w:val="20"/>
      <w:u w:val="single"/>
    </w:rPr>
  </w:style>
  <w:style w:type="character" w:customStyle="1" w:styleId="SegoeUI">
    <w:name w:val="Основной текст + Segoe UI"/>
    <w:aliases w:val="Основной текст (14) + 71,5 pt1,Не полужирный1,Основной текст + 81,89,Основной текст (4) + Arial Unicode MS,6 pt1"/>
    <w:uiPriority w:val="99"/>
    <w:rsid w:val="008E0FBF"/>
    <w:rPr>
      <w:rFonts w:ascii="Segoe UI" w:hAnsi="Segoe UI" w:cs="Segoe UI"/>
      <w:b/>
      <w:bCs/>
      <w:i/>
      <w:iCs/>
      <w:spacing w:val="0"/>
      <w:sz w:val="16"/>
      <w:szCs w:val="16"/>
    </w:rPr>
  </w:style>
  <w:style w:type="character" w:customStyle="1" w:styleId="SegoeUI1">
    <w:name w:val="Основной текст + Segoe UI1"/>
    <w:aliases w:val="Основной текст + Times New Roman1,81,5 pt2,Полужирный5,Основной текст + Arial Unicode MS1,Основной текст + 82,Основной текст + 9 pt2,Основной текст + MS Reference Sans Serif1,Основной текст + 71"/>
    <w:uiPriority w:val="99"/>
    <w:rsid w:val="008E0FBF"/>
    <w:rPr>
      <w:rFonts w:ascii="Segoe UI" w:hAnsi="Segoe UI" w:cs="Segoe UI"/>
      <w:i/>
      <w:iCs/>
      <w:spacing w:val="0"/>
      <w:sz w:val="13"/>
      <w:szCs w:val="13"/>
    </w:rPr>
  </w:style>
  <w:style w:type="character" w:customStyle="1" w:styleId="16">
    <w:name w:val="Основной текст1"/>
    <w:rsid w:val="008E0FBF"/>
    <w:rPr>
      <w:rFonts w:ascii="Gungsuh" w:eastAsia="Gungsuh" w:cs="Gungsuh"/>
      <w:spacing w:val="-10"/>
      <w:sz w:val="16"/>
      <w:szCs w:val="16"/>
      <w:u w:val="single"/>
    </w:rPr>
  </w:style>
  <w:style w:type="paragraph" w:customStyle="1" w:styleId="34">
    <w:name w:val="Основной текст (3)"/>
    <w:basedOn w:val="a"/>
    <w:link w:val="35"/>
    <w:rsid w:val="008E0FBF"/>
    <w:pPr>
      <w:shd w:val="clear" w:color="auto" w:fill="FFFFFF"/>
      <w:autoSpaceDE w:val="0"/>
      <w:autoSpaceDN w:val="0"/>
      <w:adjustRightInd w:val="0"/>
      <w:spacing w:after="0" w:line="240" w:lineRule="atLeast"/>
    </w:pPr>
    <w:rPr>
      <w:rFonts w:ascii="Gungsuh" w:eastAsia="Gungsuh" w:hAnsi="Times New Roman" w:cs="Gungsuh"/>
      <w:spacing w:val="20"/>
      <w:sz w:val="35"/>
      <w:szCs w:val="35"/>
    </w:rPr>
  </w:style>
  <w:style w:type="character" w:customStyle="1" w:styleId="35">
    <w:name w:val="Основной текст (3)_"/>
    <w:link w:val="34"/>
    <w:rsid w:val="00903E13"/>
    <w:rPr>
      <w:rFonts w:ascii="Gungsuh" w:eastAsia="Gungsuh" w:hAnsi="Times New Roman" w:cs="Gungsuh"/>
      <w:spacing w:val="20"/>
      <w:sz w:val="35"/>
      <w:szCs w:val="35"/>
      <w:shd w:val="clear" w:color="auto" w:fill="FFFFFF"/>
    </w:rPr>
  </w:style>
  <w:style w:type="paragraph" w:customStyle="1" w:styleId="27">
    <w:name w:val="Основной текст2"/>
    <w:basedOn w:val="a"/>
    <w:rsid w:val="008E0FBF"/>
    <w:pPr>
      <w:shd w:val="clear" w:color="auto" w:fill="FFFFFF"/>
      <w:autoSpaceDE w:val="0"/>
      <w:autoSpaceDN w:val="0"/>
      <w:adjustRightInd w:val="0"/>
      <w:spacing w:after="180" w:line="346" w:lineRule="exact"/>
      <w:ind w:hanging="340"/>
      <w:jc w:val="both"/>
    </w:pPr>
    <w:rPr>
      <w:rFonts w:ascii="Gungsuh" w:eastAsia="Gungsuh" w:hAnsi="Times New Roman" w:cs="Gungsuh"/>
      <w:spacing w:val="-10"/>
      <w:sz w:val="16"/>
      <w:szCs w:val="16"/>
    </w:rPr>
  </w:style>
  <w:style w:type="paragraph" w:customStyle="1" w:styleId="45">
    <w:name w:val="Основной текст (4)"/>
    <w:basedOn w:val="a"/>
    <w:link w:val="46"/>
    <w:rsid w:val="008E0FBF"/>
    <w:pPr>
      <w:shd w:val="clear" w:color="auto" w:fill="FFFFFF"/>
      <w:autoSpaceDE w:val="0"/>
      <w:autoSpaceDN w:val="0"/>
      <w:adjustRightInd w:val="0"/>
      <w:spacing w:before="240" w:after="0" w:line="240" w:lineRule="atLeast"/>
    </w:pPr>
    <w:rPr>
      <w:rFonts w:ascii="Gungsuh" w:eastAsia="Gungsuh" w:hAnsi="Times New Roman" w:cs="Gungsuh"/>
      <w:sz w:val="13"/>
      <w:szCs w:val="13"/>
    </w:rPr>
  </w:style>
  <w:style w:type="character" w:customStyle="1" w:styleId="46">
    <w:name w:val="Основной текст (4)_"/>
    <w:link w:val="45"/>
    <w:rsid w:val="00903E13"/>
    <w:rPr>
      <w:rFonts w:ascii="Gungsuh" w:eastAsia="Gungsuh" w:hAnsi="Times New Roman" w:cs="Gungsuh"/>
      <w:sz w:val="13"/>
      <w:szCs w:val="13"/>
      <w:shd w:val="clear" w:color="auto" w:fill="FFFFFF"/>
    </w:rPr>
  </w:style>
  <w:style w:type="paragraph" w:customStyle="1" w:styleId="28">
    <w:name w:val="Основной текст (2)"/>
    <w:basedOn w:val="a"/>
    <w:link w:val="2a"/>
    <w:rsid w:val="008E0FBF"/>
    <w:pPr>
      <w:shd w:val="clear" w:color="auto" w:fill="FFFFFF"/>
      <w:autoSpaceDE w:val="0"/>
      <w:autoSpaceDN w:val="0"/>
      <w:adjustRightInd w:val="0"/>
      <w:spacing w:before="120" w:after="0" w:line="240" w:lineRule="atLeast"/>
    </w:pPr>
    <w:rPr>
      <w:rFonts w:ascii="Segoe UI" w:hAnsi="Segoe UI" w:cs="Segoe UI"/>
      <w:sz w:val="13"/>
      <w:szCs w:val="13"/>
    </w:rPr>
  </w:style>
  <w:style w:type="character" w:customStyle="1" w:styleId="2a">
    <w:name w:val="Основной текст (2)_"/>
    <w:basedOn w:val="a0"/>
    <w:link w:val="28"/>
    <w:rsid w:val="00B00019"/>
    <w:rPr>
      <w:rFonts w:ascii="Segoe UI" w:hAnsi="Segoe UI" w:cs="Segoe UI"/>
      <w:sz w:val="13"/>
      <w:szCs w:val="13"/>
      <w:shd w:val="clear" w:color="auto" w:fill="FFFFFF"/>
      <w:lang w:eastAsia="en-US"/>
    </w:rPr>
  </w:style>
  <w:style w:type="paragraph" w:customStyle="1" w:styleId="17">
    <w:name w:val="Заголовок №1"/>
    <w:basedOn w:val="a"/>
    <w:uiPriority w:val="99"/>
    <w:rsid w:val="008E0FBF"/>
    <w:pPr>
      <w:shd w:val="clear" w:color="auto" w:fill="FFFFFF"/>
      <w:autoSpaceDE w:val="0"/>
      <w:autoSpaceDN w:val="0"/>
      <w:adjustRightInd w:val="0"/>
      <w:spacing w:after="0" w:line="240" w:lineRule="atLeast"/>
    </w:pPr>
    <w:rPr>
      <w:rFonts w:ascii="Segoe UI" w:hAnsi="Segoe UI" w:cs="Segoe UI"/>
      <w:sz w:val="20"/>
      <w:szCs w:val="20"/>
    </w:rPr>
  </w:style>
  <w:style w:type="character" w:customStyle="1" w:styleId="72">
    <w:name w:val="Основной текст + 7"/>
    <w:uiPriority w:val="99"/>
    <w:rsid w:val="008E0FBF"/>
    <w:rPr>
      <w:rFonts w:ascii="Gungsuh" w:eastAsia="Gungsuh" w:cs="Gungsuh"/>
      <w:spacing w:val="0"/>
      <w:sz w:val="15"/>
      <w:szCs w:val="15"/>
    </w:rPr>
  </w:style>
  <w:style w:type="character" w:customStyle="1" w:styleId="TrebuchetMS">
    <w:name w:val="Основной текст + Trebuchet MS"/>
    <w:uiPriority w:val="99"/>
    <w:rsid w:val="008E0FBF"/>
    <w:rPr>
      <w:rFonts w:ascii="Trebuchet MS" w:hAnsi="Trebuchet MS" w:cs="Trebuchet MS"/>
      <w:b/>
      <w:bCs/>
      <w:spacing w:val="0"/>
      <w:sz w:val="20"/>
      <w:szCs w:val="20"/>
    </w:rPr>
  </w:style>
  <w:style w:type="character" w:customStyle="1" w:styleId="103">
    <w:name w:val="Основной текст + 10"/>
    <w:uiPriority w:val="99"/>
    <w:rsid w:val="008E0FBF"/>
    <w:rPr>
      <w:rFonts w:ascii="Gungsuh" w:eastAsia="Gungsuh" w:cs="Gungsuh"/>
      <w:spacing w:val="-20"/>
      <w:sz w:val="21"/>
      <w:szCs w:val="21"/>
    </w:rPr>
  </w:style>
  <w:style w:type="character" w:customStyle="1" w:styleId="9">
    <w:name w:val="Основной текст + 9"/>
    <w:aliases w:val="5 pt69,Полужирный70,Интервал 0 pt47,Основной текст (5) + Не курсив11"/>
    <w:uiPriority w:val="99"/>
    <w:rsid w:val="008E0FBF"/>
    <w:rPr>
      <w:rFonts w:ascii="Gungsuh" w:eastAsia="Gungsuh" w:cs="Gungsuh"/>
      <w:smallCaps/>
      <w:spacing w:val="-10"/>
      <w:sz w:val="19"/>
      <w:szCs w:val="19"/>
    </w:rPr>
  </w:style>
  <w:style w:type="character" w:customStyle="1" w:styleId="Candara">
    <w:name w:val="Основной текст + Candara"/>
    <w:uiPriority w:val="99"/>
    <w:rsid w:val="008E0FBF"/>
    <w:rPr>
      <w:rFonts w:ascii="Candara" w:hAnsi="Candara" w:cs="Candara"/>
      <w:b/>
      <w:bCs/>
      <w:spacing w:val="0"/>
      <w:sz w:val="22"/>
      <w:szCs w:val="22"/>
    </w:rPr>
  </w:style>
  <w:style w:type="character" w:customStyle="1" w:styleId="0pt">
    <w:name w:val="Основной текст + Интервал 0 pt"/>
    <w:rsid w:val="008E0FBF"/>
    <w:rPr>
      <w:rFonts w:ascii="Gungsuh" w:eastAsia="Gungsuh" w:cs="Gungsuh"/>
      <w:spacing w:val="10"/>
      <w:sz w:val="18"/>
      <w:szCs w:val="18"/>
    </w:rPr>
  </w:style>
  <w:style w:type="character" w:customStyle="1" w:styleId="8pt">
    <w:name w:val="Основной текст + 8 pt"/>
    <w:aliases w:val="Полужирный65"/>
    <w:rsid w:val="008E0FBF"/>
    <w:rPr>
      <w:rFonts w:ascii="Gungsuh" w:eastAsia="Gungsuh" w:cs="Gungsuh"/>
      <w:spacing w:val="-10"/>
      <w:sz w:val="16"/>
      <w:szCs w:val="16"/>
    </w:rPr>
  </w:style>
  <w:style w:type="character" w:customStyle="1" w:styleId="Consolas">
    <w:name w:val="Основной текст + Consolas"/>
    <w:rsid w:val="008E0FBF"/>
    <w:rPr>
      <w:rFonts w:ascii="Consolas" w:hAnsi="Consolas" w:cs="Consolas"/>
      <w:b/>
      <w:bCs/>
      <w:spacing w:val="0"/>
      <w:sz w:val="19"/>
      <w:szCs w:val="19"/>
    </w:rPr>
  </w:style>
  <w:style w:type="character" w:customStyle="1" w:styleId="82">
    <w:name w:val="Основной текст + 8"/>
    <w:uiPriority w:val="99"/>
    <w:rsid w:val="008E0FBF"/>
    <w:rPr>
      <w:rFonts w:ascii="Arial Narrow" w:hAnsi="Arial Narrow" w:cs="Arial Narrow"/>
      <w:i/>
      <w:iCs/>
      <w:smallCaps/>
      <w:sz w:val="17"/>
      <w:szCs w:val="17"/>
    </w:rPr>
  </w:style>
  <w:style w:type="character" w:customStyle="1" w:styleId="280">
    <w:name w:val="Основной текст (2) + 8"/>
    <w:uiPriority w:val="99"/>
    <w:rsid w:val="008E0FBF"/>
    <w:rPr>
      <w:rFonts w:ascii="Arial Narrow" w:hAnsi="Arial Narrow" w:cs="Arial Narrow"/>
      <w:i/>
      <w:iCs/>
      <w:smallCaps/>
      <w:spacing w:val="0"/>
      <w:sz w:val="17"/>
      <w:szCs w:val="17"/>
    </w:rPr>
  </w:style>
  <w:style w:type="character" w:customStyle="1" w:styleId="7pt">
    <w:name w:val="Основной текст + 7 pt"/>
    <w:rsid w:val="008E0FBF"/>
    <w:rPr>
      <w:rFonts w:ascii="Gungsuh" w:eastAsia="Gungsuh" w:cs="Gungsuh"/>
      <w:spacing w:val="0"/>
      <w:sz w:val="14"/>
      <w:szCs w:val="14"/>
    </w:rPr>
  </w:style>
  <w:style w:type="character" w:customStyle="1" w:styleId="9pt">
    <w:name w:val="Основной текст + 9 pt"/>
    <w:aliases w:val="Подпись к картинке (28) + Sylfaen,61,5 pt7,Полужирный10,Основной текст + 84,Малые прописные4,Основной текст (2) + Microsoft Sans Serif,Колонтитул + Century Gothic1,Основной текст (25) + 9"/>
    <w:rsid w:val="008E0FBF"/>
    <w:rPr>
      <w:rFonts w:ascii="Gungsuh" w:eastAsia="Gungsuh" w:cs="Gungsuh"/>
      <w:b/>
      <w:bCs/>
      <w:i/>
      <w:iCs/>
      <w:spacing w:val="0"/>
      <w:sz w:val="18"/>
      <w:szCs w:val="18"/>
    </w:rPr>
  </w:style>
  <w:style w:type="character" w:customStyle="1" w:styleId="9pt1">
    <w:name w:val="Основной текст + 9 pt1"/>
    <w:aliases w:val="Основной текст (8) + 8 pt3,Полужирный3,Интервал 0 pt2,Основной текст + 10 pt1,Колонтитул + Microsoft Sans Serif3"/>
    <w:uiPriority w:val="99"/>
    <w:rsid w:val="008E0FBF"/>
    <w:rPr>
      <w:rFonts w:ascii="Gungsuh" w:eastAsia="Gungsuh" w:cs="Gungsuh"/>
      <w:smallCaps/>
      <w:spacing w:val="0"/>
      <w:sz w:val="18"/>
      <w:szCs w:val="18"/>
    </w:rPr>
  </w:style>
  <w:style w:type="character" w:customStyle="1" w:styleId="1pt">
    <w:name w:val="Основной текст + Интервал 1 pt"/>
    <w:rsid w:val="008E0FBF"/>
    <w:rPr>
      <w:rFonts w:ascii="Gungsuh" w:eastAsia="Gungsuh" w:cs="Gungsuh"/>
      <w:spacing w:val="30"/>
      <w:sz w:val="17"/>
      <w:szCs w:val="17"/>
    </w:rPr>
  </w:style>
  <w:style w:type="character" w:customStyle="1" w:styleId="Garamond">
    <w:name w:val="Колонтитул + Garamond"/>
    <w:uiPriority w:val="99"/>
    <w:rsid w:val="008E0FBF"/>
    <w:rPr>
      <w:rFonts w:ascii="Garamond" w:hAnsi="Garamond" w:cs="Garamond"/>
      <w:sz w:val="18"/>
      <w:szCs w:val="18"/>
    </w:rPr>
  </w:style>
  <w:style w:type="character" w:customStyle="1" w:styleId="3pt">
    <w:name w:val="Основной текст + Интервал 3 pt"/>
    <w:rsid w:val="008E0FBF"/>
    <w:rPr>
      <w:rFonts w:ascii="Gungsuh" w:eastAsia="Gungsuh" w:cs="Gungsuh"/>
      <w:spacing w:val="60"/>
      <w:sz w:val="17"/>
      <w:szCs w:val="17"/>
    </w:rPr>
  </w:style>
  <w:style w:type="paragraph" w:customStyle="1" w:styleId="aff8">
    <w:name w:val="Колонтитул"/>
    <w:basedOn w:val="a"/>
    <w:link w:val="aff9"/>
    <w:rsid w:val="008E0FBF"/>
    <w:pPr>
      <w:shd w:val="clear" w:color="auto" w:fill="FFFFFF"/>
      <w:autoSpaceDE w:val="0"/>
      <w:autoSpaceDN w:val="0"/>
      <w:adjustRightInd w:val="0"/>
      <w:spacing w:after="0" w:line="240" w:lineRule="auto"/>
    </w:pPr>
    <w:rPr>
      <w:rFonts w:ascii="Times New Roman" w:hAnsi="Times New Roman"/>
      <w:sz w:val="20"/>
      <w:szCs w:val="20"/>
    </w:rPr>
  </w:style>
  <w:style w:type="character" w:customStyle="1" w:styleId="aff9">
    <w:name w:val="Колонтитул_"/>
    <w:basedOn w:val="a0"/>
    <w:link w:val="aff8"/>
    <w:rsid w:val="00811C95"/>
    <w:rPr>
      <w:rFonts w:ascii="Times New Roman" w:hAnsi="Times New Roman"/>
      <w:shd w:val="clear" w:color="auto" w:fill="FFFFFF"/>
      <w:lang w:eastAsia="en-US"/>
    </w:rPr>
  </w:style>
  <w:style w:type="character" w:customStyle="1" w:styleId="Arial">
    <w:name w:val="Основной текст + Arial"/>
    <w:uiPriority w:val="99"/>
    <w:rsid w:val="008E0FBF"/>
    <w:rPr>
      <w:rFonts w:ascii="Arial" w:hAnsi="Arial" w:cs="Arial"/>
      <w:sz w:val="21"/>
      <w:szCs w:val="21"/>
    </w:rPr>
  </w:style>
  <w:style w:type="paragraph" w:customStyle="1" w:styleId="2b">
    <w:name w:val="Заголовок №2"/>
    <w:basedOn w:val="a"/>
    <w:uiPriority w:val="99"/>
    <w:rsid w:val="008E0FBF"/>
    <w:pPr>
      <w:shd w:val="clear" w:color="auto" w:fill="FFFFFF"/>
      <w:autoSpaceDE w:val="0"/>
      <w:autoSpaceDN w:val="0"/>
      <w:adjustRightInd w:val="0"/>
      <w:spacing w:after="0" w:line="240" w:lineRule="atLeast"/>
      <w:jc w:val="both"/>
    </w:pPr>
    <w:rPr>
      <w:rFonts w:ascii="Century Schoolbook" w:hAnsi="Century Schoolbook" w:cs="Century Schoolbook"/>
      <w:sz w:val="17"/>
      <w:szCs w:val="17"/>
    </w:rPr>
  </w:style>
  <w:style w:type="character" w:customStyle="1" w:styleId="2Gulim">
    <w:name w:val="Основной текст (2) + Gulim"/>
    <w:uiPriority w:val="99"/>
    <w:rsid w:val="008E0FBF"/>
    <w:rPr>
      <w:rFonts w:ascii="Gulim" w:eastAsia="Gulim" w:cs="Gulim"/>
      <w:i/>
      <w:iCs/>
      <w:spacing w:val="-20"/>
      <w:sz w:val="19"/>
      <w:szCs w:val="19"/>
    </w:rPr>
  </w:style>
  <w:style w:type="character" w:customStyle="1" w:styleId="FranklinGothicMedium">
    <w:name w:val="Основной текст + Franklin Gothic Medium"/>
    <w:uiPriority w:val="99"/>
    <w:rsid w:val="008E0FBF"/>
    <w:rPr>
      <w:rFonts w:ascii="Franklin Gothic Medium" w:hAnsi="Franklin Gothic Medium" w:cs="Franklin Gothic Medium"/>
      <w:spacing w:val="0"/>
      <w:sz w:val="18"/>
      <w:szCs w:val="18"/>
    </w:rPr>
  </w:style>
  <w:style w:type="paragraph" w:customStyle="1" w:styleId="36">
    <w:name w:val="Основной текст3"/>
    <w:basedOn w:val="a"/>
    <w:uiPriority w:val="99"/>
    <w:rsid w:val="008E0FBF"/>
    <w:pPr>
      <w:shd w:val="clear" w:color="auto" w:fill="FFFFFF"/>
      <w:autoSpaceDE w:val="0"/>
      <w:autoSpaceDN w:val="0"/>
      <w:adjustRightInd w:val="0"/>
      <w:spacing w:after="600" w:line="240" w:lineRule="atLeast"/>
    </w:pPr>
    <w:rPr>
      <w:rFonts w:ascii="Gulim" w:eastAsia="Gulim" w:hAnsi="Times New Roman" w:cs="Gulim"/>
      <w:spacing w:val="-20"/>
      <w:sz w:val="19"/>
      <w:szCs w:val="19"/>
    </w:rPr>
  </w:style>
  <w:style w:type="character" w:customStyle="1" w:styleId="-1pt">
    <w:name w:val="Основной текст + Интервал -1 pt"/>
    <w:rsid w:val="008E0FBF"/>
    <w:rPr>
      <w:rFonts w:ascii="Century Schoolbook" w:hAnsi="Century Schoolbook" w:cs="Century Schoolbook"/>
      <w:spacing w:val="-20"/>
      <w:sz w:val="18"/>
      <w:szCs w:val="18"/>
    </w:rPr>
  </w:style>
  <w:style w:type="character" w:customStyle="1" w:styleId="Batang">
    <w:name w:val="Основной текст + Batang"/>
    <w:uiPriority w:val="99"/>
    <w:rsid w:val="008E0FBF"/>
    <w:rPr>
      <w:rFonts w:ascii="Batang" w:eastAsia="Batang" w:cs="Batang"/>
      <w:b/>
      <w:bCs/>
      <w:smallCaps/>
      <w:spacing w:val="0"/>
      <w:sz w:val="19"/>
      <w:szCs w:val="19"/>
    </w:rPr>
  </w:style>
  <w:style w:type="character" w:customStyle="1" w:styleId="FrankRuehl">
    <w:name w:val="Основной текст + FrankRuehl"/>
    <w:uiPriority w:val="99"/>
    <w:rsid w:val="008E0FBF"/>
    <w:rPr>
      <w:rFonts w:ascii="FrankRuehl" w:cs="FrankRuehl"/>
      <w:sz w:val="30"/>
      <w:szCs w:val="30"/>
      <w:lang w:bidi="he-IL"/>
    </w:rPr>
  </w:style>
  <w:style w:type="character" w:customStyle="1" w:styleId="FrankRuehl2">
    <w:name w:val="Основной текст + FrankRuehl2"/>
    <w:uiPriority w:val="99"/>
    <w:rsid w:val="008E0FBF"/>
    <w:rPr>
      <w:rFonts w:ascii="FrankRuehl" w:cs="FrankRuehl"/>
      <w:sz w:val="29"/>
      <w:szCs w:val="29"/>
      <w:lang w:bidi="he-IL"/>
    </w:rPr>
  </w:style>
  <w:style w:type="character" w:customStyle="1" w:styleId="FrankRuehl1">
    <w:name w:val="Основной текст + FrankRuehl1"/>
    <w:uiPriority w:val="99"/>
    <w:rsid w:val="008E0FBF"/>
    <w:rPr>
      <w:rFonts w:ascii="FrankRuehl" w:cs="FrankRuehl"/>
      <w:i/>
      <w:iCs/>
      <w:sz w:val="16"/>
      <w:szCs w:val="16"/>
      <w:lang w:bidi="he-IL"/>
    </w:rPr>
  </w:style>
  <w:style w:type="character" w:customStyle="1" w:styleId="112">
    <w:name w:val="Основной текст + 11"/>
    <w:uiPriority w:val="99"/>
    <w:rsid w:val="008E0FBF"/>
    <w:rPr>
      <w:rFonts w:ascii="Franklin Gothic Medium" w:hAnsi="Franklin Gothic Medium" w:cs="Franklin Gothic Medium"/>
      <w:b/>
      <w:bCs/>
      <w:i/>
      <w:iCs/>
      <w:spacing w:val="-10"/>
      <w:sz w:val="23"/>
      <w:szCs w:val="23"/>
    </w:rPr>
  </w:style>
  <w:style w:type="character" w:customStyle="1" w:styleId="3FrankRuehl">
    <w:name w:val="Основной текст (3) + FrankRuehl"/>
    <w:uiPriority w:val="99"/>
    <w:rsid w:val="008E0FBF"/>
    <w:rPr>
      <w:rFonts w:ascii="FrankRuehl" w:cs="FrankRuehl"/>
      <w:b/>
      <w:bCs/>
      <w:i/>
      <w:iCs/>
      <w:spacing w:val="0"/>
      <w:sz w:val="9"/>
      <w:szCs w:val="9"/>
      <w:lang w:bidi="he-IL"/>
    </w:rPr>
  </w:style>
  <w:style w:type="paragraph" w:customStyle="1" w:styleId="47">
    <w:name w:val="Основной текст4"/>
    <w:basedOn w:val="a"/>
    <w:rsid w:val="008E0FBF"/>
    <w:pPr>
      <w:shd w:val="clear" w:color="auto" w:fill="FFFFFF"/>
      <w:autoSpaceDE w:val="0"/>
      <w:autoSpaceDN w:val="0"/>
      <w:adjustRightInd w:val="0"/>
      <w:spacing w:after="0" w:line="362" w:lineRule="exact"/>
      <w:ind w:hanging="1180"/>
    </w:pPr>
    <w:rPr>
      <w:rFonts w:ascii="Franklin Gothic Medium" w:hAnsi="Franklin Gothic Medium" w:cs="Franklin Gothic Medium"/>
      <w:sz w:val="20"/>
      <w:szCs w:val="20"/>
    </w:rPr>
  </w:style>
  <w:style w:type="character" w:customStyle="1" w:styleId="Gungsuh">
    <w:name w:val="Колонтитул + Gungsuh"/>
    <w:uiPriority w:val="99"/>
    <w:rsid w:val="008E0FBF"/>
    <w:rPr>
      <w:rFonts w:ascii="Gungsuh" w:eastAsia="Gungsuh" w:cs="Gungsuh"/>
      <w:sz w:val="33"/>
      <w:szCs w:val="33"/>
    </w:rPr>
  </w:style>
  <w:style w:type="character" w:customStyle="1" w:styleId="10pt">
    <w:name w:val="Основной текст + 10 pt"/>
    <w:aliases w:val="Интервал 0 pt26"/>
    <w:uiPriority w:val="99"/>
    <w:rsid w:val="008E0FBF"/>
    <w:rPr>
      <w:rFonts w:ascii="Gungsuh" w:eastAsia="Gungsuh" w:cs="Gungsuh"/>
      <w:spacing w:val="-20"/>
      <w:sz w:val="20"/>
      <w:szCs w:val="20"/>
    </w:rPr>
  </w:style>
  <w:style w:type="character" w:customStyle="1" w:styleId="affa">
    <w:name w:val="Основной текст + Полужирный"/>
    <w:rsid w:val="008E0FBF"/>
    <w:rPr>
      <w:rFonts w:ascii="Gungsuh" w:eastAsia="Gungsuh" w:cs="Gungsuh"/>
      <w:b/>
      <w:bCs/>
      <w:smallCaps/>
      <w:spacing w:val="-10"/>
      <w:sz w:val="17"/>
      <w:szCs w:val="17"/>
    </w:rPr>
  </w:style>
  <w:style w:type="character" w:customStyle="1" w:styleId="2TimesNewRoman">
    <w:name w:val="Основной текст (2) + Times New Roman"/>
    <w:uiPriority w:val="99"/>
    <w:rsid w:val="008E0FBF"/>
    <w:rPr>
      <w:rFonts w:ascii="Times New Roman" w:hAnsi="Times New Roman" w:cs="Times New Roman"/>
      <w:b/>
      <w:bCs/>
      <w:sz w:val="21"/>
      <w:szCs w:val="21"/>
    </w:rPr>
  </w:style>
  <w:style w:type="character" w:customStyle="1" w:styleId="-1pt0">
    <w:name w:val="Оглавление + Интервал -1 pt"/>
    <w:uiPriority w:val="99"/>
    <w:rsid w:val="008E0FBF"/>
    <w:rPr>
      <w:rFonts w:ascii="Times New Roman" w:hAnsi="Times New Roman" w:cs="Times New Roman"/>
      <w:spacing w:val="-20"/>
      <w:sz w:val="21"/>
      <w:szCs w:val="21"/>
    </w:rPr>
  </w:style>
  <w:style w:type="character" w:customStyle="1" w:styleId="300">
    <w:name w:val="Основной текст + 30"/>
    <w:uiPriority w:val="99"/>
    <w:rsid w:val="008E0FBF"/>
    <w:rPr>
      <w:rFonts w:ascii="MingLiU" w:eastAsia="MingLiU" w:cs="MingLiU"/>
      <w:i/>
      <w:iCs/>
      <w:spacing w:val="-60"/>
      <w:sz w:val="61"/>
      <w:szCs w:val="61"/>
    </w:rPr>
  </w:style>
  <w:style w:type="character" w:customStyle="1" w:styleId="449pt">
    <w:name w:val="Основной текст (44) + 9 pt.Не полужирный"/>
    <w:uiPriority w:val="99"/>
    <w:rsid w:val="008E0FBF"/>
    <w:rPr>
      <w:rFonts w:ascii="Arial Narrow" w:hAnsi="Arial Narrow" w:cs="Arial Narrow"/>
      <w:i/>
      <w:iCs/>
      <w:spacing w:val="0"/>
      <w:sz w:val="18"/>
      <w:szCs w:val="18"/>
    </w:rPr>
  </w:style>
  <w:style w:type="character" w:customStyle="1" w:styleId="20BookmanOldStyle-1pt">
    <w:name w:val="Подпись к картинке (20) + Bookman Old Style.Не курсив.Интервал -1 pt"/>
    <w:uiPriority w:val="99"/>
    <w:rsid w:val="008E0FBF"/>
    <w:rPr>
      <w:rFonts w:ascii="Bookman Old Style" w:hAnsi="Bookman Old Style" w:cs="Bookman Old Style"/>
      <w:spacing w:val="-20"/>
      <w:sz w:val="16"/>
      <w:szCs w:val="16"/>
    </w:rPr>
  </w:style>
  <w:style w:type="character" w:customStyle="1" w:styleId="202">
    <w:name w:val="Подпись к картинке (20)"/>
    <w:uiPriority w:val="99"/>
    <w:rsid w:val="008E0FBF"/>
    <w:rPr>
      <w:rFonts w:ascii="Arial Narrow" w:hAnsi="Arial Narrow" w:cs="Arial Narrow"/>
      <w:i/>
      <w:iCs/>
      <w:spacing w:val="0"/>
      <w:sz w:val="16"/>
      <w:szCs w:val="16"/>
      <w:u w:val="single"/>
    </w:rPr>
  </w:style>
  <w:style w:type="character" w:customStyle="1" w:styleId="211">
    <w:name w:val="Подпись к картинке (21)"/>
    <w:uiPriority w:val="99"/>
    <w:rsid w:val="008E0FBF"/>
    <w:rPr>
      <w:rFonts w:ascii="Arial Narrow" w:hAnsi="Arial Narrow" w:cs="Arial Narrow"/>
      <w:strike/>
      <w:spacing w:val="0"/>
      <w:sz w:val="22"/>
      <w:szCs w:val="22"/>
    </w:rPr>
  </w:style>
  <w:style w:type="character" w:customStyle="1" w:styleId="51">
    <w:name w:val="Подпись к картинке (5)"/>
    <w:uiPriority w:val="99"/>
    <w:rsid w:val="008E0FBF"/>
    <w:rPr>
      <w:rFonts w:ascii="Arial Narrow" w:hAnsi="Arial Narrow" w:cs="Arial Narrow"/>
      <w:spacing w:val="0"/>
      <w:sz w:val="17"/>
      <w:szCs w:val="17"/>
      <w:u w:val="single"/>
    </w:rPr>
  </w:style>
  <w:style w:type="character" w:customStyle="1" w:styleId="58">
    <w:name w:val="Основной текст (58) + Полужирный"/>
    <w:uiPriority w:val="99"/>
    <w:rsid w:val="008E0FBF"/>
    <w:rPr>
      <w:rFonts w:ascii="MS Reference Sans Serif" w:hAnsi="MS Reference Sans Serif" w:cs="MS Reference Sans Serif"/>
      <w:b/>
      <w:bCs/>
      <w:i/>
      <w:iCs/>
      <w:spacing w:val="0"/>
      <w:sz w:val="20"/>
      <w:szCs w:val="20"/>
    </w:rPr>
  </w:style>
  <w:style w:type="paragraph" w:customStyle="1" w:styleId="212">
    <w:name w:val="Основной текст (2)1"/>
    <w:basedOn w:val="a"/>
    <w:uiPriority w:val="99"/>
    <w:rsid w:val="008E0FBF"/>
    <w:pPr>
      <w:shd w:val="clear" w:color="auto" w:fill="FFFFFF"/>
      <w:autoSpaceDE w:val="0"/>
      <w:autoSpaceDN w:val="0"/>
      <w:adjustRightInd w:val="0"/>
      <w:spacing w:after="0" w:line="154" w:lineRule="exact"/>
    </w:pPr>
    <w:rPr>
      <w:rFonts w:ascii="MS Reference Sans Serif" w:hAnsi="MS Reference Sans Serif" w:cs="MS Reference Sans Serif"/>
      <w:i/>
      <w:iCs/>
      <w:sz w:val="14"/>
      <w:szCs w:val="14"/>
    </w:rPr>
  </w:style>
  <w:style w:type="paragraph" w:customStyle="1" w:styleId="810">
    <w:name w:val="Основной текст (8)1"/>
    <w:basedOn w:val="a"/>
    <w:uiPriority w:val="99"/>
    <w:rsid w:val="008E0FBF"/>
    <w:pPr>
      <w:shd w:val="clear" w:color="auto" w:fill="FFFFFF"/>
      <w:autoSpaceDE w:val="0"/>
      <w:autoSpaceDN w:val="0"/>
      <w:adjustRightInd w:val="0"/>
      <w:spacing w:before="120" w:after="240" w:line="168" w:lineRule="exact"/>
      <w:jc w:val="center"/>
    </w:pPr>
    <w:rPr>
      <w:rFonts w:ascii="Arial Narrow" w:hAnsi="Arial Narrow" w:cs="Arial Narrow"/>
      <w:sz w:val="16"/>
      <w:szCs w:val="16"/>
    </w:rPr>
  </w:style>
  <w:style w:type="paragraph" w:customStyle="1" w:styleId="affb">
    <w:name w:val="Подпись к картинке"/>
    <w:basedOn w:val="a"/>
    <w:link w:val="affc"/>
    <w:rsid w:val="008E0FBF"/>
    <w:pPr>
      <w:shd w:val="clear" w:color="auto" w:fill="FFFFFF"/>
      <w:autoSpaceDE w:val="0"/>
      <w:autoSpaceDN w:val="0"/>
      <w:adjustRightInd w:val="0"/>
      <w:spacing w:after="0" w:line="168" w:lineRule="exact"/>
    </w:pPr>
    <w:rPr>
      <w:rFonts w:ascii="MS Reference Sans Serif" w:hAnsi="MS Reference Sans Serif" w:cs="MS Reference Sans Serif"/>
      <w:b/>
      <w:bCs/>
      <w:sz w:val="13"/>
      <w:szCs w:val="13"/>
    </w:rPr>
  </w:style>
  <w:style w:type="character" w:customStyle="1" w:styleId="affc">
    <w:name w:val="Подпись к картинке_"/>
    <w:basedOn w:val="a0"/>
    <w:link w:val="affb"/>
    <w:rsid w:val="00811C95"/>
    <w:rPr>
      <w:rFonts w:ascii="MS Reference Sans Serif" w:hAnsi="MS Reference Sans Serif" w:cs="MS Reference Sans Serif"/>
      <w:b/>
      <w:bCs/>
      <w:sz w:val="13"/>
      <w:szCs w:val="13"/>
      <w:shd w:val="clear" w:color="auto" w:fill="FFFFFF"/>
      <w:lang w:eastAsia="en-US"/>
    </w:rPr>
  </w:style>
  <w:style w:type="paragraph" w:customStyle="1" w:styleId="121">
    <w:name w:val="Основной текст (12)"/>
    <w:basedOn w:val="a"/>
    <w:link w:val="122"/>
    <w:rsid w:val="008E0FBF"/>
    <w:pPr>
      <w:shd w:val="clear" w:color="auto" w:fill="FFFFFF"/>
      <w:autoSpaceDE w:val="0"/>
      <w:autoSpaceDN w:val="0"/>
      <w:adjustRightInd w:val="0"/>
      <w:spacing w:after="0" w:line="211" w:lineRule="exact"/>
    </w:pPr>
    <w:rPr>
      <w:rFonts w:ascii="MS Reference Sans Serif" w:hAnsi="MS Reference Sans Serif" w:cs="MS Reference Sans Serif"/>
      <w:b/>
      <w:bCs/>
      <w:sz w:val="13"/>
      <w:szCs w:val="13"/>
    </w:rPr>
  </w:style>
  <w:style w:type="character" w:customStyle="1" w:styleId="122">
    <w:name w:val="Основной текст (12)_"/>
    <w:basedOn w:val="a0"/>
    <w:link w:val="121"/>
    <w:rsid w:val="00811C95"/>
    <w:rPr>
      <w:rFonts w:ascii="MS Reference Sans Serif" w:hAnsi="MS Reference Sans Serif" w:cs="MS Reference Sans Serif"/>
      <w:b/>
      <w:bCs/>
      <w:sz w:val="13"/>
      <w:szCs w:val="13"/>
      <w:shd w:val="clear" w:color="auto" w:fill="FFFFFF"/>
      <w:lang w:eastAsia="en-US"/>
    </w:rPr>
  </w:style>
  <w:style w:type="paragraph" w:customStyle="1" w:styleId="37">
    <w:name w:val="Подпись к картинке (3)"/>
    <w:basedOn w:val="a"/>
    <w:link w:val="38"/>
    <w:rsid w:val="008E0FBF"/>
    <w:pPr>
      <w:shd w:val="clear" w:color="auto" w:fill="FFFFFF"/>
      <w:autoSpaceDE w:val="0"/>
      <w:autoSpaceDN w:val="0"/>
      <w:adjustRightInd w:val="0"/>
      <w:spacing w:after="0" w:line="149" w:lineRule="exact"/>
    </w:pPr>
    <w:rPr>
      <w:rFonts w:ascii="Arial Narrow" w:hAnsi="Arial Narrow" w:cs="Arial Narrow"/>
      <w:sz w:val="16"/>
      <w:szCs w:val="16"/>
    </w:rPr>
  </w:style>
  <w:style w:type="character" w:customStyle="1" w:styleId="38">
    <w:name w:val="Подпись к картинке (3)_"/>
    <w:basedOn w:val="a0"/>
    <w:link w:val="37"/>
    <w:rsid w:val="00811C95"/>
    <w:rPr>
      <w:rFonts w:ascii="Arial Narrow" w:hAnsi="Arial Narrow" w:cs="Arial Narrow"/>
      <w:sz w:val="16"/>
      <w:szCs w:val="16"/>
      <w:shd w:val="clear" w:color="auto" w:fill="FFFFFF"/>
      <w:lang w:eastAsia="en-US"/>
    </w:rPr>
  </w:style>
  <w:style w:type="paragraph" w:customStyle="1" w:styleId="340">
    <w:name w:val="Основной текст (34)"/>
    <w:basedOn w:val="a"/>
    <w:link w:val="341"/>
    <w:rsid w:val="008E0FBF"/>
    <w:pPr>
      <w:shd w:val="clear" w:color="auto" w:fill="FFFFFF"/>
      <w:autoSpaceDE w:val="0"/>
      <w:autoSpaceDN w:val="0"/>
      <w:adjustRightInd w:val="0"/>
      <w:spacing w:before="120" w:after="0" w:line="187" w:lineRule="exact"/>
    </w:pPr>
    <w:rPr>
      <w:rFonts w:ascii="Arial Narrow" w:hAnsi="Arial Narrow" w:cs="Arial Narrow"/>
      <w:b/>
      <w:bCs/>
      <w:sz w:val="17"/>
      <w:szCs w:val="17"/>
    </w:rPr>
  </w:style>
  <w:style w:type="character" w:customStyle="1" w:styleId="341">
    <w:name w:val="Основной текст (34)_"/>
    <w:link w:val="340"/>
    <w:rsid w:val="00D70979"/>
    <w:rPr>
      <w:rFonts w:ascii="Arial Narrow" w:hAnsi="Arial Narrow" w:cs="Arial Narrow"/>
      <w:b/>
      <w:bCs/>
      <w:sz w:val="17"/>
      <w:szCs w:val="17"/>
      <w:shd w:val="clear" w:color="auto" w:fill="FFFFFF"/>
    </w:rPr>
  </w:style>
  <w:style w:type="paragraph" w:customStyle="1" w:styleId="510">
    <w:name w:val="Подпись к картинке (5)1"/>
    <w:basedOn w:val="a"/>
    <w:uiPriority w:val="99"/>
    <w:rsid w:val="008E0FBF"/>
    <w:pPr>
      <w:shd w:val="clear" w:color="auto" w:fill="FFFFFF"/>
      <w:autoSpaceDE w:val="0"/>
      <w:autoSpaceDN w:val="0"/>
      <w:adjustRightInd w:val="0"/>
      <w:spacing w:after="0" w:line="240" w:lineRule="atLeast"/>
    </w:pPr>
    <w:rPr>
      <w:rFonts w:ascii="Arial Narrow" w:hAnsi="Arial Narrow" w:cs="Arial Narrow"/>
      <w:sz w:val="17"/>
      <w:szCs w:val="17"/>
    </w:rPr>
  </w:style>
  <w:style w:type="paragraph" w:customStyle="1" w:styleId="52">
    <w:name w:val="Заголовок №5"/>
    <w:basedOn w:val="a"/>
    <w:link w:val="53"/>
    <w:rsid w:val="008E0FBF"/>
    <w:pPr>
      <w:shd w:val="clear" w:color="auto" w:fill="FFFFFF"/>
      <w:autoSpaceDE w:val="0"/>
      <w:autoSpaceDN w:val="0"/>
      <w:adjustRightInd w:val="0"/>
      <w:spacing w:after="240" w:line="240" w:lineRule="atLeast"/>
    </w:pPr>
    <w:rPr>
      <w:rFonts w:ascii="Arial Narrow" w:hAnsi="Arial Narrow" w:cs="Arial Narrow"/>
      <w:b/>
      <w:bCs/>
      <w:sz w:val="46"/>
      <w:szCs w:val="46"/>
    </w:rPr>
  </w:style>
  <w:style w:type="character" w:customStyle="1" w:styleId="53">
    <w:name w:val="Заголовок №5_"/>
    <w:basedOn w:val="a0"/>
    <w:link w:val="52"/>
    <w:rsid w:val="00811C95"/>
    <w:rPr>
      <w:rFonts w:ascii="Arial Narrow" w:hAnsi="Arial Narrow" w:cs="Arial Narrow"/>
      <w:b/>
      <w:bCs/>
      <w:sz w:val="46"/>
      <w:szCs w:val="46"/>
      <w:shd w:val="clear" w:color="auto" w:fill="FFFFFF"/>
      <w:lang w:eastAsia="en-US"/>
    </w:rPr>
  </w:style>
  <w:style w:type="paragraph" w:customStyle="1" w:styleId="530">
    <w:name w:val="Основной текст (53)"/>
    <w:basedOn w:val="a"/>
    <w:uiPriority w:val="99"/>
    <w:rsid w:val="008E0FBF"/>
    <w:pPr>
      <w:shd w:val="clear" w:color="auto" w:fill="FFFFFF"/>
      <w:autoSpaceDE w:val="0"/>
      <w:autoSpaceDN w:val="0"/>
      <w:adjustRightInd w:val="0"/>
      <w:spacing w:after="0" w:line="240" w:lineRule="exact"/>
    </w:pPr>
    <w:rPr>
      <w:rFonts w:ascii="Arial Narrow" w:hAnsi="Arial Narrow" w:cs="Arial Narrow"/>
      <w:i/>
      <w:iCs/>
      <w:sz w:val="18"/>
      <w:szCs w:val="18"/>
    </w:rPr>
  </w:style>
  <w:style w:type="paragraph" w:customStyle="1" w:styleId="19">
    <w:name w:val="Подпись к картинке (19)"/>
    <w:basedOn w:val="a"/>
    <w:uiPriority w:val="99"/>
    <w:rsid w:val="008E0FBF"/>
    <w:pPr>
      <w:shd w:val="clear" w:color="auto" w:fill="FFFFFF"/>
      <w:autoSpaceDE w:val="0"/>
      <w:autoSpaceDN w:val="0"/>
      <w:adjustRightInd w:val="0"/>
      <w:spacing w:after="0" w:line="240" w:lineRule="atLeast"/>
    </w:pPr>
    <w:rPr>
      <w:rFonts w:ascii="Arial Narrow" w:hAnsi="Arial Narrow" w:cs="Arial Narrow"/>
      <w:i/>
      <w:iCs/>
      <w:sz w:val="15"/>
      <w:szCs w:val="15"/>
    </w:rPr>
  </w:style>
  <w:style w:type="paragraph" w:customStyle="1" w:styleId="2010">
    <w:name w:val="Подпись к картинке (20)1"/>
    <w:basedOn w:val="a"/>
    <w:uiPriority w:val="99"/>
    <w:rsid w:val="008E0FBF"/>
    <w:pPr>
      <w:shd w:val="clear" w:color="auto" w:fill="FFFFFF"/>
      <w:autoSpaceDE w:val="0"/>
      <w:autoSpaceDN w:val="0"/>
      <w:adjustRightInd w:val="0"/>
      <w:spacing w:after="0" w:line="240" w:lineRule="atLeast"/>
    </w:pPr>
    <w:rPr>
      <w:rFonts w:ascii="Arial Narrow" w:hAnsi="Arial Narrow" w:cs="Arial Narrow"/>
      <w:i/>
      <w:iCs/>
      <w:sz w:val="16"/>
      <w:szCs w:val="16"/>
    </w:rPr>
  </w:style>
  <w:style w:type="paragraph" w:customStyle="1" w:styleId="2110">
    <w:name w:val="Подпись к картинке (21)1"/>
    <w:basedOn w:val="a"/>
    <w:uiPriority w:val="99"/>
    <w:rsid w:val="008E0FBF"/>
    <w:pPr>
      <w:shd w:val="clear" w:color="auto" w:fill="FFFFFF"/>
      <w:autoSpaceDE w:val="0"/>
      <w:autoSpaceDN w:val="0"/>
      <w:adjustRightInd w:val="0"/>
      <w:spacing w:after="0" w:line="240" w:lineRule="atLeast"/>
    </w:pPr>
    <w:rPr>
      <w:rFonts w:ascii="Arial Narrow" w:hAnsi="Arial Narrow" w:cs="Arial Narrow"/>
    </w:rPr>
  </w:style>
  <w:style w:type="paragraph" w:customStyle="1" w:styleId="220">
    <w:name w:val="Подпись к картинке (22)"/>
    <w:basedOn w:val="a"/>
    <w:uiPriority w:val="99"/>
    <w:rsid w:val="008E0FBF"/>
    <w:pPr>
      <w:shd w:val="clear" w:color="auto" w:fill="FFFFFF"/>
      <w:autoSpaceDE w:val="0"/>
      <w:autoSpaceDN w:val="0"/>
      <w:adjustRightInd w:val="0"/>
      <w:spacing w:after="0" w:line="168" w:lineRule="exact"/>
      <w:jc w:val="both"/>
    </w:pPr>
    <w:rPr>
      <w:rFonts w:ascii="MS Reference Sans Serif" w:hAnsi="MS Reference Sans Serif" w:cs="MS Reference Sans Serif"/>
      <w:sz w:val="13"/>
      <w:szCs w:val="13"/>
    </w:rPr>
  </w:style>
  <w:style w:type="paragraph" w:customStyle="1" w:styleId="55">
    <w:name w:val="Основной текст (55)"/>
    <w:basedOn w:val="a"/>
    <w:uiPriority w:val="99"/>
    <w:rsid w:val="008E0FBF"/>
    <w:pPr>
      <w:shd w:val="clear" w:color="auto" w:fill="FFFFFF"/>
      <w:autoSpaceDE w:val="0"/>
      <w:autoSpaceDN w:val="0"/>
      <w:adjustRightInd w:val="0"/>
      <w:spacing w:after="0" w:line="240" w:lineRule="atLeast"/>
    </w:pPr>
    <w:rPr>
      <w:rFonts w:ascii="MS Reference Sans Serif" w:hAnsi="MS Reference Sans Serif" w:cs="MS Reference Sans Serif"/>
      <w:noProof/>
      <w:sz w:val="8"/>
      <w:szCs w:val="8"/>
      <w:lang w:val="en-US"/>
    </w:rPr>
  </w:style>
  <w:style w:type="paragraph" w:customStyle="1" w:styleId="54">
    <w:name w:val="Основной текст (54)"/>
    <w:basedOn w:val="a"/>
    <w:uiPriority w:val="99"/>
    <w:rsid w:val="008E0FBF"/>
    <w:pPr>
      <w:shd w:val="clear" w:color="auto" w:fill="FFFFFF"/>
      <w:autoSpaceDE w:val="0"/>
      <w:autoSpaceDN w:val="0"/>
      <w:adjustRightInd w:val="0"/>
      <w:spacing w:after="0" w:line="240" w:lineRule="atLeast"/>
    </w:pPr>
    <w:rPr>
      <w:rFonts w:ascii="Consolas" w:hAnsi="Consolas" w:cs="Consolas"/>
      <w:noProof/>
      <w:sz w:val="8"/>
      <w:szCs w:val="8"/>
      <w:lang w:val="en-US"/>
    </w:rPr>
  </w:style>
  <w:style w:type="paragraph" w:customStyle="1" w:styleId="56">
    <w:name w:val="Основной текст (56)"/>
    <w:basedOn w:val="a"/>
    <w:uiPriority w:val="99"/>
    <w:rsid w:val="008E0FBF"/>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7">
    <w:name w:val="Основной текст (57)"/>
    <w:basedOn w:val="a"/>
    <w:uiPriority w:val="99"/>
    <w:rsid w:val="008E0FBF"/>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80">
    <w:name w:val="Основной текст (58)"/>
    <w:basedOn w:val="a"/>
    <w:uiPriority w:val="99"/>
    <w:rsid w:val="008E0FBF"/>
    <w:pPr>
      <w:shd w:val="clear" w:color="auto" w:fill="FFFFFF"/>
      <w:autoSpaceDE w:val="0"/>
      <w:autoSpaceDN w:val="0"/>
      <w:adjustRightInd w:val="0"/>
      <w:spacing w:after="0" w:line="264" w:lineRule="exact"/>
      <w:jc w:val="right"/>
    </w:pPr>
    <w:rPr>
      <w:rFonts w:ascii="MS Reference Sans Serif" w:hAnsi="MS Reference Sans Serif" w:cs="MS Reference Sans Serif"/>
      <w:i/>
      <w:iCs/>
      <w:sz w:val="20"/>
      <w:szCs w:val="20"/>
    </w:rPr>
  </w:style>
  <w:style w:type="character" w:customStyle="1" w:styleId="4475pt">
    <w:name w:val="Основной текст (44) + 7.5 pt.Малые прописные"/>
    <w:uiPriority w:val="99"/>
    <w:rsid w:val="008E0FBF"/>
    <w:rPr>
      <w:rFonts w:ascii="Arial Narrow" w:hAnsi="Arial Narrow" w:cs="Arial Narrow"/>
      <w:b/>
      <w:bCs/>
      <w:i/>
      <w:iCs/>
      <w:smallCaps/>
      <w:spacing w:val="0"/>
      <w:sz w:val="15"/>
      <w:szCs w:val="15"/>
    </w:rPr>
  </w:style>
  <w:style w:type="character" w:customStyle="1" w:styleId="18">
    <w:name w:val="Основной текст + Курсив1"/>
    <w:uiPriority w:val="99"/>
    <w:rsid w:val="008E0FBF"/>
    <w:rPr>
      <w:rFonts w:ascii="Arial Narrow" w:hAnsi="Arial Narrow" w:cs="Arial Narrow"/>
      <w:i/>
      <w:iCs/>
      <w:spacing w:val="0"/>
      <w:sz w:val="17"/>
      <w:szCs w:val="17"/>
    </w:rPr>
  </w:style>
  <w:style w:type="character" w:customStyle="1" w:styleId="785pt">
    <w:name w:val="Подпись к картинке (7) + 8.5 pt.Не курсив"/>
    <w:uiPriority w:val="99"/>
    <w:rsid w:val="008E0FBF"/>
    <w:rPr>
      <w:rFonts w:ascii="Arial Narrow" w:hAnsi="Arial Narrow" w:cs="Arial Narrow"/>
      <w:spacing w:val="0"/>
      <w:sz w:val="17"/>
      <w:szCs w:val="17"/>
    </w:rPr>
  </w:style>
  <w:style w:type="paragraph" w:customStyle="1" w:styleId="113">
    <w:name w:val="Основной текст (11)"/>
    <w:basedOn w:val="a"/>
    <w:uiPriority w:val="99"/>
    <w:rsid w:val="008E0FBF"/>
    <w:pPr>
      <w:shd w:val="clear" w:color="auto" w:fill="FFFFFF"/>
      <w:autoSpaceDE w:val="0"/>
      <w:autoSpaceDN w:val="0"/>
      <w:adjustRightInd w:val="0"/>
      <w:spacing w:after="0" w:line="240" w:lineRule="atLeast"/>
    </w:pPr>
    <w:rPr>
      <w:rFonts w:ascii="Arial Narrow" w:hAnsi="Arial Narrow" w:cs="Arial Narrow"/>
      <w:b/>
      <w:bCs/>
      <w:sz w:val="46"/>
      <w:szCs w:val="46"/>
    </w:rPr>
  </w:style>
  <w:style w:type="paragraph" w:customStyle="1" w:styleId="290">
    <w:name w:val="Основной текст (29)"/>
    <w:basedOn w:val="a"/>
    <w:rsid w:val="008E0FBF"/>
    <w:pPr>
      <w:shd w:val="clear" w:color="auto" w:fill="FFFFFF"/>
      <w:autoSpaceDE w:val="0"/>
      <w:autoSpaceDN w:val="0"/>
      <w:adjustRightInd w:val="0"/>
      <w:spacing w:after="120" w:line="240" w:lineRule="atLeast"/>
      <w:jc w:val="both"/>
    </w:pPr>
    <w:rPr>
      <w:rFonts w:ascii="Arial Narrow" w:hAnsi="Arial Narrow" w:cs="Arial Narrow"/>
      <w:b/>
      <w:bCs/>
      <w:sz w:val="15"/>
      <w:szCs w:val="15"/>
    </w:rPr>
  </w:style>
  <w:style w:type="paragraph" w:customStyle="1" w:styleId="2c">
    <w:name w:val="Подпись к картинке (2)"/>
    <w:basedOn w:val="a"/>
    <w:uiPriority w:val="99"/>
    <w:rsid w:val="008E0FBF"/>
    <w:pPr>
      <w:shd w:val="clear" w:color="auto" w:fill="FFFFFF"/>
      <w:autoSpaceDE w:val="0"/>
      <w:autoSpaceDN w:val="0"/>
      <w:adjustRightInd w:val="0"/>
      <w:spacing w:after="0" w:line="240" w:lineRule="atLeast"/>
      <w:ind w:hanging="140"/>
    </w:pPr>
    <w:rPr>
      <w:rFonts w:ascii="MS Reference Sans Serif" w:hAnsi="MS Reference Sans Serif" w:cs="MS Reference Sans Serif"/>
      <w:i/>
      <w:iCs/>
      <w:sz w:val="13"/>
      <w:szCs w:val="13"/>
    </w:rPr>
  </w:style>
  <w:style w:type="paragraph" w:customStyle="1" w:styleId="48">
    <w:name w:val="Подпись к картинке (4)"/>
    <w:basedOn w:val="a"/>
    <w:link w:val="49"/>
    <w:rsid w:val="008E0FBF"/>
    <w:pPr>
      <w:shd w:val="clear" w:color="auto" w:fill="FFFFFF"/>
      <w:autoSpaceDE w:val="0"/>
      <w:autoSpaceDN w:val="0"/>
      <w:adjustRightInd w:val="0"/>
      <w:spacing w:after="0" w:line="192" w:lineRule="exact"/>
      <w:jc w:val="right"/>
    </w:pPr>
    <w:rPr>
      <w:rFonts w:ascii="Arial Narrow" w:hAnsi="Arial Narrow" w:cs="Arial Narrow"/>
      <w:i/>
      <w:iCs/>
      <w:sz w:val="17"/>
      <w:szCs w:val="17"/>
    </w:rPr>
  </w:style>
  <w:style w:type="character" w:customStyle="1" w:styleId="49">
    <w:name w:val="Подпись к картинке (4)_"/>
    <w:basedOn w:val="a0"/>
    <w:link w:val="48"/>
    <w:rsid w:val="00811C95"/>
    <w:rPr>
      <w:rFonts w:ascii="Arial Narrow" w:hAnsi="Arial Narrow" w:cs="Arial Narrow"/>
      <w:i/>
      <w:iCs/>
      <w:sz w:val="17"/>
      <w:szCs w:val="17"/>
      <w:shd w:val="clear" w:color="auto" w:fill="FFFFFF"/>
      <w:lang w:eastAsia="en-US"/>
    </w:rPr>
  </w:style>
  <w:style w:type="paragraph" w:customStyle="1" w:styleId="410">
    <w:name w:val="Основной текст (41)"/>
    <w:basedOn w:val="a"/>
    <w:uiPriority w:val="99"/>
    <w:rsid w:val="008E0FBF"/>
    <w:pPr>
      <w:shd w:val="clear" w:color="auto" w:fill="FFFFFF"/>
      <w:autoSpaceDE w:val="0"/>
      <w:autoSpaceDN w:val="0"/>
      <w:adjustRightInd w:val="0"/>
      <w:spacing w:before="60" w:after="60" w:line="240" w:lineRule="atLeast"/>
    </w:pPr>
    <w:rPr>
      <w:rFonts w:ascii="Bookman Old Style" w:hAnsi="Bookman Old Style" w:cs="Bookman Old Style"/>
      <w:i/>
      <w:iCs/>
      <w:sz w:val="15"/>
      <w:szCs w:val="15"/>
    </w:rPr>
  </w:style>
  <w:style w:type="paragraph" w:customStyle="1" w:styleId="511">
    <w:name w:val="Основной текст (51)"/>
    <w:basedOn w:val="a"/>
    <w:uiPriority w:val="99"/>
    <w:rsid w:val="008E0FBF"/>
    <w:pPr>
      <w:shd w:val="clear" w:color="auto" w:fill="FFFFFF"/>
      <w:autoSpaceDE w:val="0"/>
      <w:autoSpaceDN w:val="0"/>
      <w:adjustRightInd w:val="0"/>
      <w:spacing w:after="0" w:line="240" w:lineRule="atLeast"/>
    </w:pPr>
    <w:rPr>
      <w:rFonts w:ascii="Bookman Old Style" w:hAnsi="Bookman Old Style" w:cs="Bookman Old Style"/>
      <w:i/>
      <w:iCs/>
      <w:sz w:val="20"/>
      <w:szCs w:val="20"/>
    </w:rPr>
  </w:style>
  <w:style w:type="paragraph" w:customStyle="1" w:styleId="150">
    <w:name w:val="Подпись к картинке (15)"/>
    <w:basedOn w:val="a"/>
    <w:uiPriority w:val="99"/>
    <w:rsid w:val="008E0FBF"/>
    <w:pPr>
      <w:shd w:val="clear" w:color="auto" w:fill="FFFFFF"/>
      <w:autoSpaceDE w:val="0"/>
      <w:autoSpaceDN w:val="0"/>
      <w:adjustRightInd w:val="0"/>
      <w:spacing w:after="0" w:line="240" w:lineRule="atLeast"/>
    </w:pPr>
    <w:rPr>
      <w:rFonts w:ascii="MS Reference Sans Serif" w:hAnsi="MS Reference Sans Serif" w:cs="MS Reference Sans Serif"/>
      <w:sz w:val="8"/>
      <w:szCs w:val="8"/>
    </w:rPr>
  </w:style>
  <w:style w:type="paragraph" w:customStyle="1" w:styleId="160">
    <w:name w:val="Подпись к картинке (16)"/>
    <w:basedOn w:val="a"/>
    <w:uiPriority w:val="99"/>
    <w:rsid w:val="008E0FBF"/>
    <w:pPr>
      <w:shd w:val="clear" w:color="auto" w:fill="FFFFFF"/>
      <w:autoSpaceDE w:val="0"/>
      <w:autoSpaceDN w:val="0"/>
      <w:adjustRightInd w:val="0"/>
      <w:spacing w:after="0" w:line="240" w:lineRule="atLeast"/>
    </w:pPr>
    <w:rPr>
      <w:rFonts w:ascii="Franklin Gothic Book" w:hAnsi="Franklin Gothic Book" w:cs="Franklin Gothic Book"/>
      <w:sz w:val="8"/>
      <w:szCs w:val="8"/>
    </w:rPr>
  </w:style>
  <w:style w:type="paragraph" w:customStyle="1" w:styleId="170">
    <w:name w:val="Подпись к картинке (17)"/>
    <w:basedOn w:val="a"/>
    <w:link w:val="171"/>
    <w:uiPriority w:val="99"/>
    <w:rsid w:val="008E0FBF"/>
    <w:pPr>
      <w:shd w:val="clear" w:color="auto" w:fill="FFFFFF"/>
      <w:autoSpaceDE w:val="0"/>
      <w:autoSpaceDN w:val="0"/>
      <w:adjustRightInd w:val="0"/>
      <w:spacing w:after="0" w:line="77" w:lineRule="exact"/>
      <w:jc w:val="center"/>
    </w:pPr>
    <w:rPr>
      <w:rFonts w:ascii="Franklin Gothic Book" w:hAnsi="Franklin Gothic Book" w:cs="Franklin Gothic Book"/>
      <w:sz w:val="13"/>
      <w:szCs w:val="13"/>
    </w:rPr>
  </w:style>
  <w:style w:type="character" w:customStyle="1" w:styleId="171">
    <w:name w:val="Подпись к картинке (17)_"/>
    <w:basedOn w:val="a0"/>
    <w:link w:val="170"/>
    <w:uiPriority w:val="99"/>
    <w:rsid w:val="00811C95"/>
    <w:rPr>
      <w:rFonts w:ascii="Franklin Gothic Book" w:hAnsi="Franklin Gothic Book" w:cs="Franklin Gothic Book"/>
      <w:sz w:val="13"/>
      <w:szCs w:val="13"/>
      <w:shd w:val="clear" w:color="auto" w:fill="FFFFFF"/>
      <w:lang w:eastAsia="en-US"/>
    </w:rPr>
  </w:style>
  <w:style w:type="paragraph" w:customStyle="1" w:styleId="63">
    <w:name w:val="Заголовок №6 (3)"/>
    <w:basedOn w:val="a"/>
    <w:uiPriority w:val="99"/>
    <w:rsid w:val="008E0FBF"/>
    <w:pPr>
      <w:shd w:val="clear" w:color="auto" w:fill="FFFFFF"/>
      <w:autoSpaceDE w:val="0"/>
      <w:autoSpaceDN w:val="0"/>
      <w:adjustRightInd w:val="0"/>
      <w:spacing w:before="180" w:after="0" w:line="221" w:lineRule="exact"/>
    </w:pPr>
    <w:rPr>
      <w:rFonts w:ascii="Arial Narrow" w:hAnsi="Arial Narrow" w:cs="Arial Narrow"/>
      <w:b/>
      <w:bCs/>
      <w:i/>
      <w:iCs/>
      <w:sz w:val="17"/>
      <w:szCs w:val="17"/>
    </w:rPr>
  </w:style>
  <w:style w:type="paragraph" w:customStyle="1" w:styleId="180">
    <w:name w:val="Подпись к картинке (18)"/>
    <w:basedOn w:val="a"/>
    <w:uiPriority w:val="99"/>
    <w:rsid w:val="008E0FBF"/>
    <w:pPr>
      <w:shd w:val="clear" w:color="auto" w:fill="FFFFFF"/>
      <w:autoSpaceDE w:val="0"/>
      <w:autoSpaceDN w:val="0"/>
      <w:adjustRightInd w:val="0"/>
      <w:spacing w:after="0" w:line="173" w:lineRule="exact"/>
      <w:jc w:val="both"/>
    </w:pPr>
    <w:rPr>
      <w:rFonts w:ascii="MS Reference Sans Serif" w:hAnsi="MS Reference Sans Serif" w:cs="MS Reference Sans Serif"/>
      <w:sz w:val="13"/>
      <w:szCs w:val="13"/>
    </w:rPr>
  </w:style>
  <w:style w:type="paragraph" w:customStyle="1" w:styleId="520">
    <w:name w:val="Основной текст (52)"/>
    <w:basedOn w:val="a"/>
    <w:uiPriority w:val="99"/>
    <w:rsid w:val="008E0FBF"/>
    <w:pPr>
      <w:shd w:val="clear" w:color="auto" w:fill="FFFFFF"/>
      <w:autoSpaceDE w:val="0"/>
      <w:autoSpaceDN w:val="0"/>
      <w:adjustRightInd w:val="0"/>
      <w:spacing w:after="0" w:line="158" w:lineRule="exact"/>
      <w:ind w:firstLine="480"/>
    </w:pPr>
    <w:rPr>
      <w:rFonts w:ascii="MS Reference Sans Serif" w:hAnsi="MS Reference Sans Serif" w:cs="MS Reference Sans Serif"/>
      <w:sz w:val="13"/>
      <w:szCs w:val="13"/>
    </w:rPr>
  </w:style>
  <w:style w:type="character" w:customStyle="1" w:styleId="66pt">
    <w:name w:val="Подпись к картинке (6) + 6 pt"/>
    <w:uiPriority w:val="99"/>
    <w:rsid w:val="008E0FBF"/>
    <w:rPr>
      <w:rFonts w:ascii="Bookman Old Style" w:hAnsi="Bookman Old Style" w:cs="Bookman Old Style"/>
      <w:i/>
      <w:iCs/>
      <w:spacing w:val="0"/>
      <w:sz w:val="12"/>
      <w:szCs w:val="12"/>
    </w:rPr>
  </w:style>
  <w:style w:type="character" w:customStyle="1" w:styleId="39ArialNarrow7pt">
    <w:name w:val="Основной текст (39) + Arial Narrow.7 pt"/>
    <w:uiPriority w:val="99"/>
    <w:rsid w:val="008E0FBF"/>
    <w:rPr>
      <w:rFonts w:ascii="Arial Narrow" w:hAnsi="Arial Narrow" w:cs="Arial Narrow"/>
      <w:i/>
      <w:iCs/>
      <w:spacing w:val="0"/>
      <w:sz w:val="14"/>
      <w:szCs w:val="14"/>
    </w:rPr>
  </w:style>
  <w:style w:type="character" w:customStyle="1" w:styleId="3a">
    <w:name w:val="Основной текст + Курсив3"/>
    <w:uiPriority w:val="99"/>
    <w:rsid w:val="008E0FBF"/>
    <w:rPr>
      <w:rFonts w:ascii="Arial Narrow" w:hAnsi="Arial Narrow" w:cs="Arial Narrow"/>
      <w:i/>
      <w:iCs/>
      <w:spacing w:val="0"/>
      <w:sz w:val="17"/>
      <w:szCs w:val="17"/>
    </w:rPr>
  </w:style>
  <w:style w:type="character" w:customStyle="1" w:styleId="70pt">
    <w:name w:val="Подпись к картинке (7) + Интервал 0 pt"/>
    <w:uiPriority w:val="99"/>
    <w:rsid w:val="008E0FBF"/>
    <w:rPr>
      <w:rFonts w:ascii="Arial Narrow" w:hAnsi="Arial Narrow" w:cs="Arial Narrow"/>
      <w:i/>
      <w:iCs/>
      <w:spacing w:val="-10"/>
      <w:sz w:val="14"/>
      <w:szCs w:val="14"/>
    </w:rPr>
  </w:style>
  <w:style w:type="character" w:customStyle="1" w:styleId="MSReferenceSansSerif7pt0pt">
    <w:name w:val="Основной текст + MS Reference Sans Serif.7 pt.Малые прописные.Интервал 0 pt"/>
    <w:uiPriority w:val="99"/>
    <w:rsid w:val="008E0FBF"/>
    <w:rPr>
      <w:rFonts w:ascii="MS Reference Sans Serif" w:hAnsi="MS Reference Sans Serif" w:cs="MS Reference Sans Serif"/>
      <w:smallCaps/>
      <w:spacing w:val="-10"/>
      <w:sz w:val="14"/>
      <w:szCs w:val="14"/>
    </w:rPr>
  </w:style>
  <w:style w:type="character" w:customStyle="1" w:styleId="2d">
    <w:name w:val="Основной текст + Курсив2"/>
    <w:uiPriority w:val="99"/>
    <w:rsid w:val="008E0FBF"/>
    <w:rPr>
      <w:rFonts w:ascii="Arial Narrow" w:hAnsi="Arial Narrow" w:cs="Arial Narrow"/>
      <w:i/>
      <w:iCs/>
      <w:spacing w:val="0"/>
      <w:sz w:val="17"/>
      <w:szCs w:val="17"/>
    </w:rPr>
  </w:style>
  <w:style w:type="paragraph" w:customStyle="1" w:styleId="271">
    <w:name w:val="Основной текст (27)1"/>
    <w:basedOn w:val="a"/>
    <w:uiPriority w:val="99"/>
    <w:rsid w:val="008E0FBF"/>
    <w:pPr>
      <w:shd w:val="clear" w:color="auto" w:fill="FFFFFF"/>
      <w:autoSpaceDE w:val="0"/>
      <w:autoSpaceDN w:val="0"/>
      <w:adjustRightInd w:val="0"/>
      <w:spacing w:after="0" w:line="211" w:lineRule="exact"/>
      <w:jc w:val="both"/>
    </w:pPr>
    <w:rPr>
      <w:rFonts w:ascii="Arial Narrow" w:hAnsi="Arial Narrow" w:cs="Arial Narrow"/>
      <w:i/>
      <w:iCs/>
      <w:sz w:val="17"/>
      <w:szCs w:val="17"/>
    </w:rPr>
  </w:style>
  <w:style w:type="paragraph" w:customStyle="1" w:styleId="390">
    <w:name w:val="Основной текст (39)"/>
    <w:basedOn w:val="a"/>
    <w:uiPriority w:val="99"/>
    <w:rsid w:val="008E0FBF"/>
    <w:pPr>
      <w:shd w:val="clear" w:color="auto" w:fill="FFFFFF"/>
      <w:autoSpaceDE w:val="0"/>
      <w:autoSpaceDN w:val="0"/>
      <w:adjustRightInd w:val="0"/>
      <w:spacing w:after="0" w:line="240" w:lineRule="atLeast"/>
    </w:pPr>
    <w:rPr>
      <w:rFonts w:ascii="Bookman Old Style" w:hAnsi="Bookman Old Style" w:cs="Bookman Old Style"/>
      <w:i/>
      <w:iCs/>
      <w:sz w:val="12"/>
      <w:szCs w:val="12"/>
    </w:rPr>
  </w:style>
  <w:style w:type="paragraph" w:customStyle="1" w:styleId="64">
    <w:name w:val="Подпись к картинке (6)"/>
    <w:basedOn w:val="a"/>
    <w:uiPriority w:val="99"/>
    <w:rsid w:val="008E0FBF"/>
    <w:pPr>
      <w:shd w:val="clear" w:color="auto" w:fill="FFFFFF"/>
      <w:autoSpaceDE w:val="0"/>
      <w:autoSpaceDN w:val="0"/>
      <w:adjustRightInd w:val="0"/>
      <w:spacing w:after="0" w:line="240" w:lineRule="atLeast"/>
    </w:pPr>
    <w:rPr>
      <w:rFonts w:ascii="Bookman Old Style" w:hAnsi="Bookman Old Style" w:cs="Bookman Old Style"/>
      <w:i/>
      <w:iCs/>
      <w:sz w:val="9"/>
      <w:szCs w:val="9"/>
    </w:rPr>
  </w:style>
  <w:style w:type="paragraph" w:customStyle="1" w:styleId="620">
    <w:name w:val="Заголовок №6 (2)"/>
    <w:basedOn w:val="a"/>
    <w:uiPriority w:val="99"/>
    <w:rsid w:val="008E0FBF"/>
    <w:pPr>
      <w:shd w:val="clear" w:color="auto" w:fill="FFFFFF"/>
      <w:autoSpaceDE w:val="0"/>
      <w:autoSpaceDN w:val="0"/>
      <w:adjustRightInd w:val="0"/>
      <w:spacing w:after="120" w:line="240" w:lineRule="atLeast"/>
    </w:pPr>
    <w:rPr>
      <w:rFonts w:ascii="MS Reference Sans Serif" w:hAnsi="MS Reference Sans Serif" w:cs="MS Reference Sans Serif"/>
      <w:b/>
      <w:bCs/>
      <w:i/>
      <w:iCs/>
      <w:spacing w:val="-10"/>
      <w:sz w:val="17"/>
      <w:szCs w:val="17"/>
    </w:rPr>
  </w:style>
  <w:style w:type="paragraph" w:customStyle="1" w:styleId="73">
    <w:name w:val="Подпись к картинке (7)"/>
    <w:basedOn w:val="a"/>
    <w:uiPriority w:val="99"/>
    <w:rsid w:val="008E0FBF"/>
    <w:pPr>
      <w:shd w:val="clear" w:color="auto" w:fill="FFFFFF"/>
      <w:autoSpaceDE w:val="0"/>
      <w:autoSpaceDN w:val="0"/>
      <w:adjustRightInd w:val="0"/>
      <w:spacing w:after="0" w:line="240" w:lineRule="atLeast"/>
    </w:pPr>
    <w:rPr>
      <w:rFonts w:ascii="Arial Narrow" w:hAnsi="Arial Narrow" w:cs="Arial Narrow"/>
      <w:i/>
      <w:iCs/>
      <w:sz w:val="14"/>
      <w:szCs w:val="14"/>
    </w:rPr>
  </w:style>
  <w:style w:type="character" w:customStyle="1" w:styleId="330pt">
    <w:name w:val="Основной текст (33) + Полужирный.Интервал 0 pt"/>
    <w:uiPriority w:val="99"/>
    <w:rsid w:val="008E0FBF"/>
    <w:rPr>
      <w:rFonts w:ascii="MS Reference Sans Serif" w:hAnsi="MS Reference Sans Serif" w:cs="MS Reference Sans Serif"/>
      <w:b/>
      <w:bCs/>
      <w:i/>
      <w:iCs/>
      <w:spacing w:val="-10"/>
      <w:sz w:val="17"/>
      <w:szCs w:val="17"/>
    </w:rPr>
  </w:style>
  <w:style w:type="character" w:customStyle="1" w:styleId="27Consolas9pt0pt">
    <w:name w:val="Основной текст (27) + Consolas.9 pt.Полужирный.Интервал 0 pt"/>
    <w:uiPriority w:val="99"/>
    <w:rsid w:val="008E0FBF"/>
    <w:rPr>
      <w:rFonts w:ascii="Consolas" w:hAnsi="Consolas" w:cs="Consolas"/>
      <w:b/>
      <w:bCs/>
      <w:i/>
      <w:iCs/>
      <w:spacing w:val="-10"/>
      <w:sz w:val="18"/>
      <w:szCs w:val="18"/>
    </w:rPr>
  </w:style>
  <w:style w:type="character" w:customStyle="1" w:styleId="27Gulim65pt">
    <w:name w:val="Основной текст (27) + Gulim.6.5 pt"/>
    <w:uiPriority w:val="99"/>
    <w:rsid w:val="008E0FBF"/>
    <w:rPr>
      <w:rFonts w:ascii="Gulim" w:eastAsia="Gulim" w:cs="Gulim"/>
      <w:i/>
      <w:iCs/>
      <w:spacing w:val="0"/>
      <w:sz w:val="13"/>
      <w:szCs w:val="13"/>
    </w:rPr>
  </w:style>
  <w:style w:type="character" w:customStyle="1" w:styleId="74">
    <w:name w:val="Основной текст + Курсив7"/>
    <w:uiPriority w:val="99"/>
    <w:rsid w:val="008E0FBF"/>
    <w:rPr>
      <w:rFonts w:ascii="Arial Narrow" w:hAnsi="Arial Narrow" w:cs="Arial Narrow"/>
      <w:i/>
      <w:iCs/>
      <w:spacing w:val="0"/>
      <w:sz w:val="17"/>
      <w:szCs w:val="17"/>
    </w:rPr>
  </w:style>
  <w:style w:type="character" w:customStyle="1" w:styleId="276">
    <w:name w:val="Основной текст (27) + Не курсив6"/>
    <w:uiPriority w:val="99"/>
    <w:rsid w:val="008E0FBF"/>
    <w:rPr>
      <w:rFonts w:ascii="Arial Narrow" w:hAnsi="Arial Narrow" w:cs="Arial Narrow"/>
      <w:spacing w:val="0"/>
      <w:sz w:val="17"/>
      <w:szCs w:val="17"/>
    </w:rPr>
  </w:style>
  <w:style w:type="character" w:customStyle="1" w:styleId="275">
    <w:name w:val="Основной текст (27) + Не курсив5"/>
    <w:uiPriority w:val="99"/>
    <w:rsid w:val="008E0FBF"/>
    <w:rPr>
      <w:rFonts w:ascii="Arial Narrow" w:hAnsi="Arial Narrow" w:cs="Arial Narrow"/>
      <w:spacing w:val="0"/>
      <w:sz w:val="17"/>
      <w:szCs w:val="17"/>
    </w:rPr>
  </w:style>
  <w:style w:type="character" w:customStyle="1" w:styleId="65">
    <w:name w:val="Основной текст + Курсив6"/>
    <w:uiPriority w:val="99"/>
    <w:rsid w:val="008E0FBF"/>
    <w:rPr>
      <w:rFonts w:ascii="Arial Narrow" w:hAnsi="Arial Narrow" w:cs="Arial Narrow"/>
      <w:i/>
      <w:iCs/>
      <w:spacing w:val="0"/>
      <w:sz w:val="17"/>
      <w:szCs w:val="17"/>
    </w:rPr>
  </w:style>
  <w:style w:type="character" w:customStyle="1" w:styleId="270">
    <w:name w:val="Основной текст (27)"/>
    <w:uiPriority w:val="99"/>
    <w:rsid w:val="008E0FBF"/>
    <w:rPr>
      <w:rFonts w:ascii="Arial Narrow" w:hAnsi="Arial Narrow" w:cs="Arial Narrow"/>
      <w:i/>
      <w:iCs/>
      <w:spacing w:val="0"/>
      <w:sz w:val="17"/>
      <w:szCs w:val="17"/>
      <w:u w:val="single"/>
    </w:rPr>
  </w:style>
  <w:style w:type="character" w:customStyle="1" w:styleId="274">
    <w:name w:val="Основной текст (27) + Не курсив4"/>
    <w:uiPriority w:val="99"/>
    <w:rsid w:val="008E0FBF"/>
    <w:rPr>
      <w:rFonts w:ascii="Arial Narrow" w:hAnsi="Arial Narrow" w:cs="Arial Narrow"/>
      <w:spacing w:val="0"/>
      <w:sz w:val="17"/>
      <w:szCs w:val="17"/>
    </w:rPr>
  </w:style>
  <w:style w:type="character" w:customStyle="1" w:styleId="58pt">
    <w:name w:val="Основной текст (5) + 8 pt.Не курсив"/>
    <w:uiPriority w:val="99"/>
    <w:rsid w:val="008E0FBF"/>
    <w:rPr>
      <w:rFonts w:ascii="Arial Narrow" w:hAnsi="Arial Narrow" w:cs="Arial Narrow"/>
      <w:spacing w:val="0"/>
      <w:sz w:val="16"/>
      <w:szCs w:val="16"/>
    </w:rPr>
  </w:style>
  <w:style w:type="paragraph" w:customStyle="1" w:styleId="512">
    <w:name w:val="Основной текст (5)1"/>
    <w:basedOn w:val="a"/>
    <w:uiPriority w:val="99"/>
    <w:rsid w:val="008E0FBF"/>
    <w:pPr>
      <w:shd w:val="clear" w:color="auto" w:fill="FFFFFF"/>
      <w:autoSpaceDE w:val="0"/>
      <w:autoSpaceDN w:val="0"/>
      <w:adjustRightInd w:val="0"/>
      <w:spacing w:after="0" w:line="192" w:lineRule="exact"/>
    </w:pPr>
    <w:rPr>
      <w:rFonts w:ascii="Arial Narrow" w:hAnsi="Arial Narrow" w:cs="Arial Narrow"/>
      <w:i/>
      <w:iCs/>
      <w:sz w:val="14"/>
      <w:szCs w:val="14"/>
    </w:rPr>
  </w:style>
  <w:style w:type="paragraph" w:customStyle="1" w:styleId="181">
    <w:name w:val="Основной текст (18)1"/>
    <w:basedOn w:val="a"/>
    <w:uiPriority w:val="99"/>
    <w:rsid w:val="008E0FBF"/>
    <w:pPr>
      <w:shd w:val="clear" w:color="auto" w:fill="FFFFFF"/>
      <w:autoSpaceDE w:val="0"/>
      <w:autoSpaceDN w:val="0"/>
      <w:adjustRightInd w:val="0"/>
      <w:spacing w:after="0" w:line="240" w:lineRule="atLeast"/>
      <w:jc w:val="both"/>
    </w:pPr>
    <w:rPr>
      <w:rFonts w:ascii="MS Reference Sans Serif" w:hAnsi="MS Reference Sans Serif" w:cs="MS Reference Sans Serif"/>
      <w:b/>
      <w:bCs/>
      <w:i/>
      <w:iCs/>
      <w:sz w:val="14"/>
      <w:szCs w:val="14"/>
    </w:rPr>
  </w:style>
  <w:style w:type="paragraph" w:customStyle="1" w:styleId="330">
    <w:name w:val="Основной текст (33)"/>
    <w:basedOn w:val="a"/>
    <w:link w:val="331"/>
    <w:rsid w:val="008E0FBF"/>
    <w:pPr>
      <w:shd w:val="clear" w:color="auto" w:fill="FFFFFF"/>
      <w:autoSpaceDE w:val="0"/>
      <w:autoSpaceDN w:val="0"/>
      <w:adjustRightInd w:val="0"/>
      <w:spacing w:after="120" w:line="240" w:lineRule="atLeast"/>
    </w:pPr>
    <w:rPr>
      <w:rFonts w:ascii="MS Reference Sans Serif" w:hAnsi="MS Reference Sans Serif" w:cs="MS Reference Sans Serif"/>
      <w:i/>
      <w:iCs/>
      <w:spacing w:val="-20"/>
      <w:sz w:val="17"/>
      <w:szCs w:val="17"/>
    </w:rPr>
  </w:style>
  <w:style w:type="character" w:customStyle="1" w:styleId="331">
    <w:name w:val="Основной текст (33)_"/>
    <w:link w:val="330"/>
    <w:rsid w:val="00D70979"/>
    <w:rPr>
      <w:rFonts w:ascii="MS Reference Sans Serif" w:hAnsi="MS Reference Sans Serif" w:cs="MS Reference Sans Serif"/>
      <w:i/>
      <w:iCs/>
      <w:spacing w:val="-20"/>
      <w:sz w:val="17"/>
      <w:szCs w:val="17"/>
      <w:shd w:val="clear" w:color="auto" w:fill="FFFFFF"/>
    </w:rPr>
  </w:style>
  <w:style w:type="paragraph" w:customStyle="1" w:styleId="350">
    <w:name w:val="Основной текст (35)"/>
    <w:basedOn w:val="a"/>
    <w:link w:val="351"/>
    <w:rsid w:val="008E0FBF"/>
    <w:pPr>
      <w:shd w:val="clear" w:color="auto" w:fill="FFFFFF"/>
      <w:autoSpaceDE w:val="0"/>
      <w:autoSpaceDN w:val="0"/>
      <w:adjustRightInd w:val="0"/>
      <w:spacing w:after="0" w:line="187" w:lineRule="exact"/>
    </w:pPr>
    <w:rPr>
      <w:rFonts w:ascii="MS Reference Sans Serif" w:hAnsi="MS Reference Sans Serif" w:cs="MS Reference Sans Serif"/>
      <w:spacing w:val="-10"/>
      <w:sz w:val="14"/>
      <w:szCs w:val="14"/>
    </w:rPr>
  </w:style>
  <w:style w:type="character" w:customStyle="1" w:styleId="351">
    <w:name w:val="Основной текст (35)_"/>
    <w:link w:val="350"/>
    <w:rsid w:val="00D70979"/>
    <w:rPr>
      <w:rFonts w:ascii="MS Reference Sans Serif" w:hAnsi="MS Reference Sans Serif" w:cs="MS Reference Sans Serif"/>
      <w:spacing w:val="-10"/>
      <w:sz w:val="14"/>
      <w:szCs w:val="14"/>
      <w:shd w:val="clear" w:color="auto" w:fill="FFFFFF"/>
    </w:rPr>
  </w:style>
  <w:style w:type="paragraph" w:customStyle="1" w:styleId="360">
    <w:name w:val="Основной текст (36)"/>
    <w:basedOn w:val="a"/>
    <w:link w:val="361"/>
    <w:uiPriority w:val="99"/>
    <w:rsid w:val="008E0FBF"/>
    <w:pPr>
      <w:shd w:val="clear" w:color="auto" w:fill="FFFFFF"/>
      <w:autoSpaceDE w:val="0"/>
      <w:autoSpaceDN w:val="0"/>
      <w:adjustRightInd w:val="0"/>
      <w:spacing w:before="420" w:after="240" w:line="240" w:lineRule="atLeast"/>
    </w:pPr>
    <w:rPr>
      <w:rFonts w:ascii="Arial Narrow" w:hAnsi="Arial Narrow" w:cs="Arial Narrow"/>
      <w:noProof/>
      <w:sz w:val="8"/>
      <w:szCs w:val="8"/>
      <w:lang w:val="en-US"/>
    </w:rPr>
  </w:style>
  <w:style w:type="character" w:customStyle="1" w:styleId="361">
    <w:name w:val="Основной текст (36)_"/>
    <w:link w:val="360"/>
    <w:rsid w:val="00D70979"/>
    <w:rPr>
      <w:rFonts w:ascii="Arial Narrow" w:hAnsi="Arial Narrow" w:cs="Arial Narrow"/>
      <w:noProof/>
      <w:sz w:val="8"/>
      <w:szCs w:val="8"/>
      <w:shd w:val="clear" w:color="auto" w:fill="FFFFFF"/>
      <w:lang w:val="en-US"/>
    </w:rPr>
  </w:style>
  <w:style w:type="paragraph" w:customStyle="1" w:styleId="370">
    <w:name w:val="Основной текст (37)"/>
    <w:basedOn w:val="a"/>
    <w:link w:val="371"/>
    <w:uiPriority w:val="99"/>
    <w:rsid w:val="008E0FBF"/>
    <w:pPr>
      <w:shd w:val="clear" w:color="auto" w:fill="FFFFFF"/>
      <w:autoSpaceDE w:val="0"/>
      <w:autoSpaceDN w:val="0"/>
      <w:adjustRightInd w:val="0"/>
      <w:spacing w:before="300" w:after="0" w:line="178" w:lineRule="exact"/>
    </w:pPr>
    <w:rPr>
      <w:rFonts w:ascii="MS Reference Sans Serif" w:hAnsi="MS Reference Sans Serif" w:cs="MS Reference Sans Serif"/>
      <w:i/>
      <w:iCs/>
      <w:sz w:val="12"/>
      <w:szCs w:val="12"/>
    </w:rPr>
  </w:style>
  <w:style w:type="character" w:customStyle="1" w:styleId="371">
    <w:name w:val="Основной текст (37)_"/>
    <w:basedOn w:val="a0"/>
    <w:link w:val="370"/>
    <w:uiPriority w:val="99"/>
    <w:rsid w:val="00811C95"/>
    <w:rPr>
      <w:rFonts w:ascii="MS Reference Sans Serif" w:hAnsi="MS Reference Sans Serif" w:cs="MS Reference Sans Serif"/>
      <w:i/>
      <w:iCs/>
      <w:sz w:val="12"/>
      <w:szCs w:val="12"/>
      <w:shd w:val="clear" w:color="auto" w:fill="FFFFFF"/>
      <w:lang w:eastAsia="en-US"/>
    </w:rPr>
  </w:style>
  <w:style w:type="paragraph" w:customStyle="1" w:styleId="90">
    <w:name w:val="Основной текст (9)"/>
    <w:basedOn w:val="a"/>
    <w:link w:val="91"/>
    <w:rsid w:val="008E0FBF"/>
    <w:pPr>
      <w:shd w:val="clear" w:color="auto" w:fill="FFFFFF"/>
      <w:autoSpaceDE w:val="0"/>
      <w:autoSpaceDN w:val="0"/>
      <w:adjustRightInd w:val="0"/>
      <w:spacing w:after="0" w:line="144" w:lineRule="exact"/>
      <w:jc w:val="right"/>
    </w:pPr>
    <w:rPr>
      <w:rFonts w:ascii="Lucida Sans Unicode" w:hAnsi="Lucida Sans Unicode" w:cs="Lucida Sans Unicode"/>
      <w:sz w:val="14"/>
      <w:szCs w:val="14"/>
    </w:rPr>
  </w:style>
  <w:style w:type="character" w:customStyle="1" w:styleId="91">
    <w:name w:val="Основной текст (9)_"/>
    <w:basedOn w:val="a0"/>
    <w:link w:val="90"/>
    <w:rsid w:val="00811C95"/>
    <w:rPr>
      <w:rFonts w:ascii="Lucida Sans Unicode" w:hAnsi="Lucida Sans Unicode" w:cs="Lucida Sans Unicode"/>
      <w:sz w:val="14"/>
      <w:szCs w:val="14"/>
      <w:shd w:val="clear" w:color="auto" w:fill="FFFFFF"/>
      <w:lang w:eastAsia="en-US"/>
    </w:rPr>
  </w:style>
  <w:style w:type="paragraph" w:customStyle="1" w:styleId="281">
    <w:name w:val="Основной текст (28)"/>
    <w:basedOn w:val="a"/>
    <w:link w:val="282"/>
    <w:rsid w:val="008E0FBF"/>
    <w:pPr>
      <w:shd w:val="clear" w:color="auto" w:fill="FFFFFF"/>
      <w:autoSpaceDE w:val="0"/>
      <w:autoSpaceDN w:val="0"/>
      <w:adjustRightInd w:val="0"/>
      <w:spacing w:after="120" w:line="240" w:lineRule="atLeast"/>
    </w:pPr>
    <w:rPr>
      <w:rFonts w:ascii="Lucida Sans Unicode" w:hAnsi="Lucida Sans Unicode" w:cs="Lucida Sans Unicode"/>
      <w:spacing w:val="10"/>
      <w:sz w:val="24"/>
      <w:szCs w:val="24"/>
    </w:rPr>
  </w:style>
  <w:style w:type="character" w:customStyle="1" w:styleId="282">
    <w:name w:val="Основной текст (28)_"/>
    <w:basedOn w:val="a0"/>
    <w:link w:val="281"/>
    <w:rsid w:val="00811C95"/>
    <w:rPr>
      <w:rFonts w:ascii="Lucida Sans Unicode" w:hAnsi="Lucida Sans Unicode" w:cs="Lucida Sans Unicode"/>
      <w:spacing w:val="10"/>
      <w:sz w:val="24"/>
      <w:szCs w:val="24"/>
      <w:shd w:val="clear" w:color="auto" w:fill="FFFFFF"/>
      <w:lang w:eastAsia="en-US"/>
    </w:rPr>
  </w:style>
  <w:style w:type="paragraph" w:customStyle="1" w:styleId="3b">
    <w:name w:val="Заголовок №3"/>
    <w:basedOn w:val="a"/>
    <w:link w:val="3c"/>
    <w:rsid w:val="008E0FBF"/>
    <w:pPr>
      <w:shd w:val="clear" w:color="auto" w:fill="FFFFFF"/>
      <w:autoSpaceDE w:val="0"/>
      <w:autoSpaceDN w:val="0"/>
      <w:adjustRightInd w:val="0"/>
      <w:spacing w:before="120" w:after="120" w:line="240" w:lineRule="atLeast"/>
    </w:pPr>
    <w:rPr>
      <w:rFonts w:ascii="Times New Roman" w:hAnsi="Times New Roman"/>
      <w:spacing w:val="40"/>
      <w:sz w:val="52"/>
      <w:szCs w:val="52"/>
    </w:rPr>
  </w:style>
  <w:style w:type="character" w:customStyle="1" w:styleId="3c">
    <w:name w:val="Заголовок №3_"/>
    <w:basedOn w:val="a0"/>
    <w:link w:val="3b"/>
    <w:rsid w:val="00811C95"/>
    <w:rPr>
      <w:rFonts w:ascii="Times New Roman" w:hAnsi="Times New Roman"/>
      <w:spacing w:val="40"/>
      <w:sz w:val="52"/>
      <w:szCs w:val="52"/>
      <w:shd w:val="clear" w:color="auto" w:fill="FFFFFF"/>
      <w:lang w:eastAsia="en-US"/>
    </w:rPr>
  </w:style>
  <w:style w:type="paragraph" w:customStyle="1" w:styleId="182">
    <w:name w:val="Основной текст (18)"/>
    <w:basedOn w:val="a"/>
    <w:link w:val="183"/>
    <w:rsid w:val="008E0FBF"/>
    <w:pPr>
      <w:shd w:val="clear" w:color="auto" w:fill="FFFFFF"/>
      <w:autoSpaceDE w:val="0"/>
      <w:autoSpaceDN w:val="0"/>
      <w:adjustRightInd w:val="0"/>
      <w:spacing w:after="0" w:line="240" w:lineRule="atLeast"/>
    </w:pPr>
    <w:rPr>
      <w:rFonts w:ascii="Arial" w:hAnsi="Arial" w:cs="Arial"/>
      <w:sz w:val="24"/>
      <w:szCs w:val="24"/>
    </w:rPr>
  </w:style>
  <w:style w:type="character" w:customStyle="1" w:styleId="183">
    <w:name w:val="Основной текст (18)_"/>
    <w:basedOn w:val="a0"/>
    <w:link w:val="182"/>
    <w:rsid w:val="00811C95"/>
    <w:rPr>
      <w:rFonts w:ascii="Arial" w:hAnsi="Arial" w:cs="Arial"/>
      <w:sz w:val="24"/>
      <w:szCs w:val="24"/>
      <w:shd w:val="clear" w:color="auto" w:fill="FFFFFF"/>
      <w:lang w:eastAsia="en-US"/>
    </w:rPr>
  </w:style>
  <w:style w:type="character" w:customStyle="1" w:styleId="Arial0">
    <w:name w:val="Колонтитул + Arial"/>
    <w:uiPriority w:val="99"/>
    <w:rsid w:val="008E0FBF"/>
    <w:rPr>
      <w:rFonts w:ascii="Arial" w:hAnsi="Arial" w:cs="Arial"/>
      <w:b/>
      <w:bCs/>
      <w:spacing w:val="0"/>
      <w:sz w:val="23"/>
      <w:szCs w:val="23"/>
    </w:rPr>
  </w:style>
  <w:style w:type="character" w:customStyle="1" w:styleId="14pt">
    <w:name w:val="Основной текст + 14 pt"/>
    <w:rsid w:val="008E0FBF"/>
    <w:rPr>
      <w:rFonts w:ascii="Lucida Sans Unicode" w:hAnsi="Lucida Sans Unicode" w:cs="Lucida Sans Unicode"/>
      <w:sz w:val="28"/>
      <w:szCs w:val="28"/>
    </w:rPr>
  </w:style>
  <w:style w:type="paragraph" w:customStyle="1" w:styleId="2e">
    <w:name w:val="Подпись к таблице (2)"/>
    <w:basedOn w:val="a"/>
    <w:link w:val="2f"/>
    <w:uiPriority w:val="99"/>
    <w:rsid w:val="008E0FBF"/>
    <w:pPr>
      <w:shd w:val="clear" w:color="auto" w:fill="FFFFFF"/>
      <w:autoSpaceDE w:val="0"/>
      <w:autoSpaceDN w:val="0"/>
      <w:adjustRightInd w:val="0"/>
      <w:spacing w:after="0" w:line="240" w:lineRule="atLeast"/>
    </w:pPr>
    <w:rPr>
      <w:rFonts w:ascii="Lucida Sans Unicode" w:hAnsi="Lucida Sans Unicode" w:cs="Lucida Sans Unicode"/>
      <w:sz w:val="25"/>
      <w:szCs w:val="25"/>
    </w:rPr>
  </w:style>
  <w:style w:type="character" w:customStyle="1" w:styleId="2f">
    <w:name w:val="Подпись к таблице (2)_"/>
    <w:basedOn w:val="a0"/>
    <w:link w:val="2e"/>
    <w:uiPriority w:val="99"/>
    <w:rsid w:val="00811C95"/>
    <w:rPr>
      <w:rFonts w:ascii="Lucida Sans Unicode" w:hAnsi="Lucida Sans Unicode" w:cs="Lucida Sans Unicode"/>
      <w:sz w:val="25"/>
      <w:szCs w:val="25"/>
      <w:shd w:val="clear" w:color="auto" w:fill="FFFFFF"/>
      <w:lang w:eastAsia="en-US"/>
    </w:rPr>
  </w:style>
  <w:style w:type="paragraph" w:customStyle="1" w:styleId="114">
    <w:name w:val="Заголовок №11"/>
    <w:basedOn w:val="a"/>
    <w:uiPriority w:val="99"/>
    <w:rsid w:val="003712D9"/>
    <w:pPr>
      <w:shd w:val="clear" w:color="auto" w:fill="FFFFFF"/>
      <w:autoSpaceDE w:val="0"/>
      <w:autoSpaceDN w:val="0"/>
      <w:adjustRightInd w:val="0"/>
      <w:spacing w:after="180" w:line="240" w:lineRule="atLeast"/>
    </w:pPr>
    <w:rPr>
      <w:rFonts w:ascii="Arial" w:hAnsi="Arial" w:cs="Arial"/>
      <w:b/>
      <w:bCs/>
      <w:noProof/>
      <w:sz w:val="17"/>
      <w:szCs w:val="17"/>
      <w:lang w:val="en-US"/>
    </w:rPr>
  </w:style>
  <w:style w:type="paragraph" w:customStyle="1" w:styleId="151">
    <w:name w:val="Основной текст (15)"/>
    <w:basedOn w:val="a"/>
    <w:uiPriority w:val="99"/>
    <w:rsid w:val="003712D9"/>
    <w:pPr>
      <w:shd w:val="clear" w:color="auto" w:fill="FFFFFF"/>
      <w:autoSpaceDE w:val="0"/>
      <w:autoSpaceDN w:val="0"/>
      <w:adjustRightInd w:val="0"/>
      <w:spacing w:after="240" w:line="240" w:lineRule="atLeast"/>
      <w:jc w:val="both"/>
    </w:pPr>
    <w:rPr>
      <w:rFonts w:cs="Calibri"/>
      <w:i/>
      <w:iCs/>
      <w:noProof/>
      <w:sz w:val="16"/>
      <w:szCs w:val="16"/>
      <w:lang w:val="en-US"/>
    </w:rPr>
  </w:style>
  <w:style w:type="paragraph" w:customStyle="1" w:styleId="1a">
    <w:name w:val="Подпись к картинке1"/>
    <w:basedOn w:val="a"/>
    <w:uiPriority w:val="99"/>
    <w:rsid w:val="003712D9"/>
    <w:pPr>
      <w:shd w:val="clear" w:color="auto" w:fill="FFFFFF"/>
      <w:autoSpaceDE w:val="0"/>
      <w:autoSpaceDN w:val="0"/>
      <w:adjustRightInd w:val="0"/>
      <w:spacing w:after="0" w:line="240" w:lineRule="atLeast"/>
    </w:pPr>
    <w:rPr>
      <w:rFonts w:ascii="Franklin Gothic Demi" w:hAnsi="Franklin Gothic Demi" w:cs="Franklin Gothic Demi"/>
      <w:noProof/>
      <w:sz w:val="26"/>
      <w:szCs w:val="26"/>
      <w:lang w:val="en-US"/>
    </w:rPr>
  </w:style>
  <w:style w:type="paragraph" w:customStyle="1" w:styleId="561">
    <w:name w:val="Основной текст (56)1"/>
    <w:basedOn w:val="a"/>
    <w:uiPriority w:val="99"/>
    <w:rsid w:val="003712D9"/>
    <w:pPr>
      <w:shd w:val="clear" w:color="auto" w:fill="FFFFFF"/>
      <w:autoSpaceDE w:val="0"/>
      <w:autoSpaceDN w:val="0"/>
      <w:adjustRightInd w:val="0"/>
      <w:spacing w:after="0" w:line="106" w:lineRule="exact"/>
      <w:ind w:firstLine="140"/>
      <w:jc w:val="both"/>
    </w:pPr>
    <w:rPr>
      <w:rFonts w:ascii="Arial" w:hAnsi="Arial" w:cs="Arial"/>
      <w:sz w:val="8"/>
      <w:szCs w:val="8"/>
    </w:rPr>
  </w:style>
  <w:style w:type="character" w:styleId="affd">
    <w:name w:val="footnote reference"/>
    <w:uiPriority w:val="99"/>
    <w:rsid w:val="003712D9"/>
    <w:rPr>
      <w:vertAlign w:val="superscript"/>
    </w:rPr>
  </w:style>
  <w:style w:type="character" w:customStyle="1" w:styleId="A40">
    <w:name w:val="A4"/>
    <w:uiPriority w:val="99"/>
    <w:rsid w:val="003712D9"/>
    <w:rPr>
      <w:color w:val="000000"/>
      <w:sz w:val="22"/>
      <w:szCs w:val="22"/>
    </w:rPr>
  </w:style>
  <w:style w:type="character" w:customStyle="1" w:styleId="2120">
    <w:name w:val="Основной текст (21)2"/>
    <w:uiPriority w:val="99"/>
    <w:rsid w:val="003712D9"/>
    <w:rPr>
      <w:rFonts w:ascii="MS Reference Sans Serif" w:hAnsi="MS Reference Sans Serif" w:cs="MS Reference Sans Serif"/>
      <w:color w:val="FFFFFF"/>
      <w:sz w:val="16"/>
      <w:szCs w:val="16"/>
    </w:rPr>
  </w:style>
  <w:style w:type="character" w:customStyle="1" w:styleId="MSReferenceSansSerif2">
    <w:name w:val="Основной текст + MS Reference Sans Serif2"/>
    <w:uiPriority w:val="99"/>
    <w:rsid w:val="003712D9"/>
    <w:rPr>
      <w:rFonts w:ascii="MS Reference Sans Serif" w:hAnsi="MS Reference Sans Serif" w:cs="MS Reference Sans Serif"/>
      <w:sz w:val="13"/>
      <w:szCs w:val="13"/>
    </w:rPr>
  </w:style>
  <w:style w:type="paragraph" w:styleId="affe">
    <w:name w:val="Body Text Indent"/>
    <w:basedOn w:val="a"/>
    <w:link w:val="afff"/>
    <w:uiPriority w:val="99"/>
    <w:rsid w:val="003712D9"/>
    <w:pPr>
      <w:autoSpaceDE w:val="0"/>
      <w:autoSpaceDN w:val="0"/>
      <w:adjustRightInd w:val="0"/>
      <w:spacing w:after="0" w:line="240" w:lineRule="auto"/>
      <w:ind w:firstLine="720"/>
      <w:jc w:val="both"/>
    </w:pPr>
    <w:rPr>
      <w:rFonts w:ascii="Times New Roman" w:hAnsi="Times New Roman"/>
      <w:sz w:val="24"/>
      <w:szCs w:val="24"/>
    </w:rPr>
  </w:style>
  <w:style w:type="character" w:customStyle="1" w:styleId="afff">
    <w:name w:val="Основной текст с отступом Знак"/>
    <w:link w:val="affe"/>
    <w:uiPriority w:val="99"/>
    <w:rsid w:val="003712D9"/>
    <w:rPr>
      <w:rFonts w:ascii="Times New Roman" w:hAnsi="Times New Roman" w:cs="Times New Roman"/>
      <w:sz w:val="24"/>
      <w:szCs w:val="24"/>
    </w:rPr>
  </w:style>
  <w:style w:type="paragraph" w:customStyle="1" w:styleId="afff0">
    <w:name w:val="Содержимое таблицы"/>
    <w:basedOn w:val="a"/>
    <w:uiPriority w:val="99"/>
    <w:rsid w:val="003712D9"/>
    <w:pPr>
      <w:widowControl w:val="0"/>
      <w:suppressLineNumbers/>
      <w:suppressAutoHyphens/>
      <w:autoSpaceDE w:val="0"/>
      <w:autoSpaceDN w:val="0"/>
      <w:adjustRightInd w:val="0"/>
      <w:spacing w:after="0" w:line="240" w:lineRule="auto"/>
    </w:pPr>
    <w:rPr>
      <w:rFonts w:ascii="Arial" w:hAnsi="Arial" w:cs="Arial"/>
      <w:kern w:val="2"/>
      <w:sz w:val="20"/>
      <w:szCs w:val="20"/>
    </w:rPr>
  </w:style>
  <w:style w:type="paragraph" w:customStyle="1" w:styleId="1110">
    <w:name w:val="Основной текст (11)1"/>
    <w:basedOn w:val="a"/>
    <w:uiPriority w:val="99"/>
    <w:rsid w:val="003712D9"/>
    <w:pPr>
      <w:shd w:val="clear" w:color="auto" w:fill="FFFFFF"/>
      <w:autoSpaceDE w:val="0"/>
      <w:autoSpaceDN w:val="0"/>
      <w:adjustRightInd w:val="0"/>
      <w:spacing w:after="0" w:line="240" w:lineRule="atLeast"/>
    </w:pPr>
    <w:rPr>
      <w:rFonts w:ascii="Microsoft Sans Serif" w:hAnsi="Microsoft Sans Serif" w:cs="Microsoft Sans Serif"/>
      <w:i/>
      <w:iCs/>
      <w:noProof/>
      <w:sz w:val="28"/>
      <w:szCs w:val="28"/>
      <w:lang w:val="en-US"/>
    </w:rPr>
  </w:style>
  <w:style w:type="paragraph" w:styleId="afff1">
    <w:name w:val="footnote text"/>
    <w:basedOn w:val="a"/>
    <w:link w:val="afff2"/>
    <w:uiPriority w:val="99"/>
    <w:rsid w:val="003712D9"/>
    <w:pPr>
      <w:autoSpaceDE w:val="0"/>
      <w:autoSpaceDN w:val="0"/>
      <w:adjustRightInd w:val="0"/>
      <w:spacing w:after="0" w:line="240" w:lineRule="auto"/>
    </w:pPr>
    <w:rPr>
      <w:rFonts w:ascii="Times New Roman" w:hAnsi="Times New Roman"/>
      <w:sz w:val="20"/>
      <w:szCs w:val="20"/>
    </w:rPr>
  </w:style>
  <w:style w:type="character" w:customStyle="1" w:styleId="afff2">
    <w:name w:val="Текст сноски Знак"/>
    <w:link w:val="afff1"/>
    <w:uiPriority w:val="99"/>
    <w:rsid w:val="003712D9"/>
    <w:rPr>
      <w:rFonts w:ascii="Times New Roman" w:hAnsi="Times New Roman" w:cs="Times New Roman"/>
      <w:sz w:val="20"/>
      <w:szCs w:val="20"/>
    </w:rPr>
  </w:style>
  <w:style w:type="paragraph" w:styleId="afff3">
    <w:name w:val="endnote text"/>
    <w:basedOn w:val="a"/>
    <w:link w:val="afff4"/>
    <w:uiPriority w:val="99"/>
    <w:rsid w:val="003712D9"/>
    <w:pPr>
      <w:autoSpaceDE w:val="0"/>
      <w:autoSpaceDN w:val="0"/>
      <w:adjustRightInd w:val="0"/>
      <w:spacing w:after="0" w:line="240" w:lineRule="auto"/>
    </w:pPr>
    <w:rPr>
      <w:rFonts w:ascii="Times New Roman" w:hAnsi="Times New Roman"/>
      <w:sz w:val="20"/>
      <w:szCs w:val="20"/>
    </w:rPr>
  </w:style>
  <w:style w:type="character" w:customStyle="1" w:styleId="afff4">
    <w:name w:val="Текст концевой сноски Знак"/>
    <w:link w:val="afff3"/>
    <w:uiPriority w:val="99"/>
    <w:rsid w:val="003712D9"/>
    <w:rPr>
      <w:rFonts w:ascii="Times New Roman" w:hAnsi="Times New Roman" w:cs="Times New Roman"/>
      <w:sz w:val="20"/>
      <w:szCs w:val="20"/>
    </w:rPr>
  </w:style>
  <w:style w:type="paragraph" w:customStyle="1" w:styleId="1b">
    <w:name w:val="Текст1"/>
    <w:basedOn w:val="Iauiue"/>
    <w:rsid w:val="00DF6978"/>
    <w:pPr>
      <w:overflowPunct w:val="0"/>
      <w:textAlignment w:val="baseline"/>
    </w:pPr>
    <w:rPr>
      <w:rFonts w:ascii="Courier New" w:eastAsia="Times New Roman" w:hAnsi="Courier New"/>
      <w:lang w:val="en-AU" w:eastAsia="ru-RU"/>
    </w:rPr>
  </w:style>
  <w:style w:type="paragraph" w:customStyle="1" w:styleId="92">
    <w:name w:val="Основной текст9"/>
    <w:basedOn w:val="a"/>
    <w:rsid w:val="0035263A"/>
    <w:pPr>
      <w:shd w:val="clear" w:color="auto" w:fill="FFFFFF"/>
      <w:overflowPunct w:val="0"/>
      <w:autoSpaceDE w:val="0"/>
      <w:autoSpaceDN w:val="0"/>
      <w:adjustRightInd w:val="0"/>
      <w:spacing w:after="1080" w:line="410" w:lineRule="exact"/>
      <w:ind w:hanging="2000"/>
      <w:jc w:val="center"/>
      <w:textAlignment w:val="baseline"/>
    </w:pPr>
    <w:rPr>
      <w:rFonts w:ascii="Times New Roman" w:eastAsia="Times New Roman" w:hAnsi="Times New Roman"/>
      <w:color w:val="000000"/>
      <w:sz w:val="18"/>
      <w:szCs w:val="20"/>
      <w:lang w:eastAsia="ru-RU"/>
    </w:rPr>
  </w:style>
  <w:style w:type="character" w:customStyle="1" w:styleId="ArialUnicodeMS">
    <w:name w:val="Основной текст + Arial Unicode MS"/>
    <w:rsid w:val="0035263A"/>
    <w:rPr>
      <w:rFonts w:ascii="Arial Unicode MS" w:eastAsia="Arial Unicode MS"/>
      <w:b/>
      <w:spacing w:val="0"/>
      <w:sz w:val="16"/>
    </w:rPr>
  </w:style>
  <w:style w:type="paragraph" w:customStyle="1" w:styleId="190">
    <w:name w:val="Основной текст (19)"/>
    <w:basedOn w:val="a"/>
    <w:link w:val="191"/>
    <w:uiPriority w:val="99"/>
    <w:rsid w:val="00137373"/>
    <w:pPr>
      <w:shd w:val="clear" w:color="auto" w:fill="FFFFFF"/>
      <w:overflowPunct w:val="0"/>
      <w:autoSpaceDE w:val="0"/>
      <w:autoSpaceDN w:val="0"/>
      <w:adjustRightInd w:val="0"/>
      <w:spacing w:after="0" w:line="240" w:lineRule="atLeast"/>
      <w:textAlignment w:val="baseline"/>
    </w:pPr>
    <w:rPr>
      <w:rFonts w:ascii="Arial" w:eastAsia="Times New Roman" w:hAnsi="Arial"/>
      <w:sz w:val="33"/>
      <w:szCs w:val="20"/>
      <w:lang w:eastAsia="ru-RU"/>
    </w:rPr>
  </w:style>
  <w:style w:type="character" w:customStyle="1" w:styleId="191">
    <w:name w:val="Основной текст (19)_"/>
    <w:link w:val="190"/>
    <w:rsid w:val="00137373"/>
    <w:rPr>
      <w:rFonts w:ascii="Arial" w:eastAsia="Times New Roman" w:hAnsi="Arial" w:cs="Times New Roman"/>
      <w:sz w:val="33"/>
      <w:szCs w:val="20"/>
      <w:shd w:val="clear" w:color="auto" w:fill="FFFFFF"/>
      <w:lang w:eastAsia="ru-RU"/>
    </w:rPr>
  </w:style>
  <w:style w:type="paragraph" w:customStyle="1" w:styleId="rtejustify">
    <w:name w:val="rtejustify"/>
    <w:basedOn w:val="a"/>
    <w:rsid w:val="000340E9"/>
    <w:pPr>
      <w:overflowPunct w:val="0"/>
      <w:autoSpaceDE w:val="0"/>
      <w:autoSpaceDN w:val="0"/>
      <w:adjustRightInd w:val="0"/>
      <w:spacing w:before="120" w:after="216" w:line="240" w:lineRule="auto"/>
      <w:jc w:val="both"/>
      <w:textAlignment w:val="baseline"/>
    </w:pPr>
    <w:rPr>
      <w:rFonts w:ascii="Times New Roman" w:eastAsia="Times New Roman" w:hAnsi="Times New Roman"/>
      <w:sz w:val="24"/>
      <w:szCs w:val="20"/>
      <w:lang w:eastAsia="ru-RU"/>
    </w:rPr>
  </w:style>
  <w:style w:type="table" w:styleId="afff5">
    <w:name w:val="Table Grid"/>
    <w:basedOn w:val="a1"/>
    <w:uiPriority w:val="59"/>
    <w:rsid w:val="0000116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font3">
    <w:name w:val="mfont3"/>
    <w:basedOn w:val="a0"/>
    <w:rsid w:val="00DE6586"/>
  </w:style>
  <w:style w:type="character" w:customStyle="1" w:styleId="2f0">
    <w:name w:val="Заголовок №2_"/>
    <w:rsid w:val="00903E13"/>
    <w:rPr>
      <w:rFonts w:ascii="Microsoft Sans Serif" w:eastAsia="Microsoft Sans Serif" w:hAnsi="Microsoft Sans Serif" w:cs="Microsoft Sans Serif"/>
      <w:b w:val="0"/>
      <w:bCs w:val="0"/>
      <w:i w:val="0"/>
      <w:iCs w:val="0"/>
      <w:smallCaps w:val="0"/>
      <w:strike w:val="0"/>
      <w:spacing w:val="-20"/>
      <w:sz w:val="19"/>
      <w:szCs w:val="19"/>
    </w:rPr>
  </w:style>
  <w:style w:type="character" w:customStyle="1" w:styleId="2f1">
    <w:name w:val="Основной текст (2) + Не курсив"/>
    <w:rsid w:val="00903E13"/>
    <w:rPr>
      <w:rFonts w:ascii="Arial Narrow" w:eastAsia="Arial Narrow" w:hAnsi="Arial Narrow" w:cs="Arial Narrow"/>
      <w:b w:val="0"/>
      <w:bCs w:val="0"/>
      <w:i/>
      <w:iCs/>
      <w:smallCaps w:val="0"/>
      <w:strike w:val="0"/>
      <w:spacing w:val="0"/>
      <w:sz w:val="17"/>
      <w:szCs w:val="17"/>
      <w:shd w:val="clear" w:color="auto" w:fill="FFFFFF"/>
    </w:rPr>
  </w:style>
  <w:style w:type="character" w:customStyle="1" w:styleId="mfont1">
    <w:name w:val="mfont1"/>
    <w:basedOn w:val="a0"/>
    <w:rsid w:val="00903E13"/>
  </w:style>
  <w:style w:type="paragraph" w:styleId="afff6">
    <w:name w:val="List Paragraph"/>
    <w:basedOn w:val="a"/>
    <w:uiPriority w:val="34"/>
    <w:qFormat/>
    <w:rsid w:val="00903E13"/>
    <w:pPr>
      <w:autoSpaceDE w:val="0"/>
      <w:autoSpaceDN w:val="0"/>
      <w:adjustRightInd w:val="0"/>
      <w:spacing w:after="0" w:line="240" w:lineRule="auto"/>
      <w:ind w:left="720"/>
      <w:contextualSpacing/>
    </w:pPr>
    <w:rPr>
      <w:rFonts w:ascii="Times New Roman" w:hAnsi="Times New Roman"/>
      <w:sz w:val="20"/>
      <w:szCs w:val="20"/>
    </w:rPr>
  </w:style>
  <w:style w:type="character" w:customStyle="1" w:styleId="8pt0">
    <w:name w:val="Основной текст + 8 pt;Малые прописные"/>
    <w:rsid w:val="00D70979"/>
    <w:rPr>
      <w:rFonts w:ascii="Arial Narrow" w:eastAsia="Arial Narrow" w:hAnsi="Arial Narrow" w:cs="Arial Narrow"/>
      <w:b w:val="0"/>
      <w:bCs w:val="0"/>
      <w:i w:val="0"/>
      <w:iCs w:val="0"/>
      <w:smallCaps/>
      <w:strike w:val="0"/>
      <w:spacing w:val="0"/>
      <w:sz w:val="16"/>
      <w:szCs w:val="16"/>
      <w:shd w:val="clear" w:color="auto" w:fill="FFFFFF"/>
    </w:rPr>
  </w:style>
  <w:style w:type="paragraph" w:customStyle="1" w:styleId="4a">
    <w:name w:val="Подпись к таблице (4)"/>
    <w:basedOn w:val="a"/>
    <w:link w:val="4b"/>
    <w:rsid w:val="00D70979"/>
    <w:pPr>
      <w:shd w:val="clear" w:color="auto" w:fill="FFFFFF"/>
      <w:overflowPunct w:val="0"/>
      <w:autoSpaceDE w:val="0"/>
      <w:autoSpaceDN w:val="0"/>
      <w:adjustRightInd w:val="0"/>
      <w:spacing w:after="120" w:line="240" w:lineRule="atLeast"/>
      <w:textAlignment w:val="baseline"/>
    </w:pPr>
    <w:rPr>
      <w:rFonts w:ascii="MS Reference Sans Serif" w:eastAsia="Times New Roman" w:hAnsi="MS Reference Sans Serif"/>
      <w:sz w:val="23"/>
      <w:szCs w:val="20"/>
      <w:lang w:val="en-US" w:eastAsia="ru-RU"/>
    </w:rPr>
  </w:style>
  <w:style w:type="character" w:customStyle="1" w:styleId="4b">
    <w:name w:val="Подпись к таблице (4)_"/>
    <w:link w:val="4a"/>
    <w:rsid w:val="00D70979"/>
    <w:rPr>
      <w:rFonts w:ascii="MS Reference Sans Serif" w:eastAsia="Times New Roman" w:hAnsi="MS Reference Sans Serif" w:cs="Times New Roman"/>
      <w:sz w:val="23"/>
      <w:szCs w:val="20"/>
      <w:shd w:val="clear" w:color="auto" w:fill="FFFFFF"/>
      <w:lang w:val="en-US" w:eastAsia="ru-RU"/>
    </w:rPr>
  </w:style>
  <w:style w:type="paragraph" w:customStyle="1" w:styleId="320">
    <w:name w:val="Основной текст (32)"/>
    <w:basedOn w:val="a"/>
    <w:link w:val="321"/>
    <w:rsid w:val="00D70979"/>
    <w:pPr>
      <w:shd w:val="clear" w:color="auto" w:fill="FFFFFF"/>
      <w:overflowPunct w:val="0"/>
      <w:autoSpaceDE w:val="0"/>
      <w:autoSpaceDN w:val="0"/>
      <w:adjustRightInd w:val="0"/>
      <w:spacing w:after="0" w:line="240" w:lineRule="atLeast"/>
      <w:textAlignment w:val="baseline"/>
    </w:pPr>
    <w:rPr>
      <w:rFonts w:ascii="Arial" w:eastAsia="Times New Roman" w:hAnsi="Arial"/>
      <w:sz w:val="27"/>
      <w:szCs w:val="20"/>
      <w:lang w:eastAsia="ru-RU"/>
    </w:rPr>
  </w:style>
  <w:style w:type="character" w:customStyle="1" w:styleId="321">
    <w:name w:val="Основной текст (32)_"/>
    <w:link w:val="320"/>
    <w:rsid w:val="00D70979"/>
    <w:rPr>
      <w:rFonts w:ascii="Arial" w:eastAsia="Times New Roman" w:hAnsi="Arial" w:cs="Times New Roman"/>
      <w:sz w:val="27"/>
      <w:szCs w:val="20"/>
      <w:shd w:val="clear" w:color="auto" w:fill="FFFFFF"/>
      <w:lang w:eastAsia="ru-RU"/>
    </w:rPr>
  </w:style>
  <w:style w:type="character" w:customStyle="1" w:styleId="ArialNarrow-1pt">
    <w:name w:val="Основной текст + Arial Narrow;Полужирный;Интервал -1 pt"/>
    <w:rsid w:val="00311E88"/>
    <w:rPr>
      <w:rFonts w:ascii="Arial Narrow" w:eastAsia="Arial Narrow" w:hAnsi="Arial Narrow" w:cs="Arial Narrow"/>
      <w:b/>
      <w:bCs/>
      <w:i w:val="0"/>
      <w:iCs w:val="0"/>
      <w:smallCaps w:val="0"/>
      <w:strike w:val="0"/>
      <w:spacing w:val="-20"/>
      <w:sz w:val="17"/>
      <w:szCs w:val="17"/>
      <w:shd w:val="clear" w:color="auto" w:fill="FFFFFF"/>
    </w:rPr>
  </w:style>
  <w:style w:type="character" w:customStyle="1" w:styleId="230">
    <w:name w:val="Основной текст + Полужирный23"/>
    <w:aliases w:val="Курсив12"/>
    <w:uiPriority w:val="99"/>
    <w:rsid w:val="00414BE3"/>
    <w:rPr>
      <w:rFonts w:ascii="Arial Narrow" w:hAnsi="Arial Narrow" w:cs="Arial Narrow"/>
      <w:b/>
      <w:bCs/>
      <w:i/>
      <w:iCs/>
      <w:spacing w:val="0"/>
      <w:sz w:val="18"/>
      <w:szCs w:val="18"/>
      <w:shd w:val="clear" w:color="auto" w:fill="FFFFFF"/>
    </w:rPr>
  </w:style>
  <w:style w:type="character" w:customStyle="1" w:styleId="152">
    <w:name w:val="Основной текст + Курсив15"/>
    <w:uiPriority w:val="99"/>
    <w:rsid w:val="00414BE3"/>
    <w:rPr>
      <w:rFonts w:ascii="Arial Narrow" w:hAnsi="Arial Narrow" w:cs="Arial Narrow"/>
      <w:i/>
      <w:iCs/>
      <w:spacing w:val="0"/>
      <w:sz w:val="18"/>
      <w:szCs w:val="18"/>
      <w:shd w:val="clear" w:color="auto" w:fill="FFFFFF"/>
    </w:rPr>
  </w:style>
  <w:style w:type="character" w:customStyle="1" w:styleId="221">
    <w:name w:val="Основной текст + Полужирный22"/>
    <w:uiPriority w:val="99"/>
    <w:rsid w:val="00414BE3"/>
    <w:rPr>
      <w:rFonts w:ascii="Arial Narrow" w:hAnsi="Arial Narrow" w:cs="Arial Narrow"/>
      <w:b/>
      <w:bCs/>
      <w:spacing w:val="0"/>
      <w:sz w:val="18"/>
      <w:szCs w:val="18"/>
      <w:shd w:val="clear" w:color="auto" w:fill="FFFFFF"/>
    </w:rPr>
  </w:style>
  <w:style w:type="character" w:customStyle="1" w:styleId="93">
    <w:name w:val="Основной текст + 93"/>
    <w:aliases w:val="5 pt25,Полужирный19,Интервал 0 pt13,Основной текст + 813,Малые прописные8,Основной текст + 75"/>
    <w:uiPriority w:val="99"/>
    <w:rsid w:val="00EC515D"/>
    <w:rPr>
      <w:rFonts w:ascii="Arial Narrow" w:hAnsi="Arial Narrow" w:cs="Arial Narrow"/>
      <w:b/>
      <w:bCs/>
      <w:spacing w:val="-10"/>
      <w:sz w:val="19"/>
      <w:szCs w:val="19"/>
      <w:shd w:val="clear" w:color="auto" w:fill="FFFFFF"/>
    </w:rPr>
  </w:style>
  <w:style w:type="character" w:customStyle="1" w:styleId="51MicrosoftSansSerif">
    <w:name w:val="Основной текст (51) + Microsoft Sans Serif"/>
    <w:aliases w:val="74,5 pt18,Не полужирный8,Основной текст (9) + 81,Основной текст + 73"/>
    <w:uiPriority w:val="99"/>
    <w:rsid w:val="00EC515D"/>
    <w:rPr>
      <w:rFonts w:ascii="Microsoft Sans Serif" w:hAnsi="Microsoft Sans Serif" w:cs="Microsoft Sans Serif"/>
      <w:b w:val="0"/>
      <w:bCs w:val="0"/>
      <w:sz w:val="15"/>
      <w:szCs w:val="15"/>
      <w:shd w:val="clear" w:color="auto" w:fill="FFFFFF"/>
    </w:rPr>
  </w:style>
  <w:style w:type="character" w:customStyle="1" w:styleId="15MSReferenceSansSerif1">
    <w:name w:val="Основной текст (15) + MS Reference Sans Serif1"/>
    <w:aliases w:val="62,5 pt9,Не курсив1,Основной текст + 85,Основной текст (2) + Полужирный1,Колонтитул + Century Gothic,Основной текст (5) + Полужирный2,Основной текст (22) + Times New Roman,41"/>
    <w:uiPriority w:val="99"/>
    <w:rsid w:val="00EC515D"/>
    <w:rPr>
      <w:rFonts w:ascii="MS Reference Sans Serif" w:hAnsi="MS Reference Sans Serif" w:cs="MS Reference Sans Serif"/>
      <w:i w:val="0"/>
      <w:iCs w:val="0"/>
      <w:spacing w:val="0"/>
      <w:sz w:val="13"/>
      <w:szCs w:val="13"/>
      <w:shd w:val="clear" w:color="auto" w:fill="FFFFFF"/>
    </w:rPr>
  </w:style>
  <w:style w:type="character" w:customStyle="1" w:styleId="920">
    <w:name w:val="Основной текст + 92"/>
    <w:aliases w:val="5 pt8,Полужирный11,Интервал 0 pt9,Колонтитул + Segoe UI,12"/>
    <w:uiPriority w:val="99"/>
    <w:rsid w:val="00EC515D"/>
    <w:rPr>
      <w:rFonts w:ascii="Arial Narrow" w:hAnsi="Arial Narrow" w:cs="Arial Narrow"/>
      <w:b/>
      <w:bCs/>
      <w:spacing w:val="-10"/>
      <w:sz w:val="19"/>
      <w:szCs w:val="19"/>
      <w:shd w:val="clear" w:color="auto" w:fill="FFFFFF"/>
    </w:rPr>
  </w:style>
  <w:style w:type="character" w:customStyle="1" w:styleId="147">
    <w:name w:val="Основной текст (14) + 7"/>
    <w:aliases w:val="5 pt6,Не полужирный2,Основной текст + 101,Малые прописные3,Основной текст (4) + 7 pt,Основной текст + 72"/>
    <w:uiPriority w:val="99"/>
    <w:rsid w:val="00EC515D"/>
    <w:rPr>
      <w:rFonts w:ascii="Arial Narrow" w:hAnsi="Arial Narrow" w:cs="Arial Narrow"/>
      <w:b w:val="0"/>
      <w:bCs w:val="0"/>
      <w:spacing w:val="0"/>
      <w:sz w:val="15"/>
      <w:szCs w:val="15"/>
      <w:shd w:val="clear" w:color="auto" w:fill="FFFFFF"/>
    </w:rPr>
  </w:style>
  <w:style w:type="paragraph" w:customStyle="1" w:styleId="910">
    <w:name w:val="Основной текст (9)1"/>
    <w:basedOn w:val="a"/>
    <w:uiPriority w:val="99"/>
    <w:rsid w:val="00EC515D"/>
    <w:pPr>
      <w:shd w:val="clear" w:color="auto" w:fill="FFFFFF"/>
      <w:spacing w:after="60" w:line="240" w:lineRule="atLeast"/>
    </w:pPr>
    <w:rPr>
      <w:rFonts w:ascii="Arial" w:eastAsia="Arial Unicode MS" w:hAnsi="Arial" w:cs="Arial"/>
      <w:i/>
      <w:iCs/>
      <w:sz w:val="15"/>
      <w:szCs w:val="15"/>
      <w:lang w:eastAsia="ru-RU"/>
    </w:rPr>
  </w:style>
  <w:style w:type="character" w:customStyle="1" w:styleId="ucoz-forum-post">
    <w:name w:val="ucoz-forum-post"/>
    <w:rsid w:val="00D9700C"/>
  </w:style>
  <w:style w:type="character" w:customStyle="1" w:styleId="59">
    <w:name w:val="Основной текст5"/>
    <w:rsid w:val="00D86EA0"/>
    <w:rPr>
      <w:rFonts w:ascii="Arial" w:eastAsia="Arial" w:hAnsi="Arial" w:cs="Arial"/>
      <w:b w:val="0"/>
      <w:bCs w:val="0"/>
      <w:i w:val="0"/>
      <w:iCs w:val="0"/>
      <w:smallCaps w:val="0"/>
      <w:strike w:val="0"/>
      <w:spacing w:val="0"/>
      <w:sz w:val="18"/>
      <w:szCs w:val="18"/>
      <w:shd w:val="clear" w:color="auto" w:fill="FFFFFF"/>
    </w:rPr>
  </w:style>
  <w:style w:type="character" w:customStyle="1" w:styleId="5a">
    <w:name w:val="Основной текст (5)_"/>
    <w:link w:val="5b"/>
    <w:rsid w:val="00D86EA0"/>
    <w:rPr>
      <w:rFonts w:ascii="Times New Roman" w:eastAsia="Times New Roman" w:hAnsi="Times New Roman"/>
      <w:sz w:val="17"/>
      <w:szCs w:val="17"/>
      <w:shd w:val="clear" w:color="auto" w:fill="FFFFFF"/>
    </w:rPr>
  </w:style>
  <w:style w:type="paragraph" w:customStyle="1" w:styleId="5b">
    <w:name w:val="Основной текст (5)"/>
    <w:basedOn w:val="a"/>
    <w:link w:val="5a"/>
    <w:rsid w:val="00D86EA0"/>
    <w:pPr>
      <w:shd w:val="clear" w:color="auto" w:fill="FFFFFF"/>
      <w:spacing w:before="120" w:after="0" w:line="202" w:lineRule="exact"/>
      <w:jc w:val="both"/>
    </w:pPr>
    <w:rPr>
      <w:rFonts w:ascii="Times New Roman" w:eastAsia="Times New Roman" w:hAnsi="Times New Roman"/>
      <w:sz w:val="17"/>
      <w:szCs w:val="17"/>
      <w:lang w:eastAsia="ru-RU"/>
    </w:rPr>
  </w:style>
  <w:style w:type="paragraph" w:customStyle="1" w:styleId="book">
    <w:name w:val="book"/>
    <w:basedOn w:val="a"/>
    <w:rsid w:val="00D86EA0"/>
    <w:pPr>
      <w:spacing w:after="0" w:line="240" w:lineRule="auto"/>
      <w:ind w:firstLine="300"/>
    </w:pPr>
    <w:rPr>
      <w:rFonts w:ascii="Times New Roman" w:eastAsia="Times New Roman" w:hAnsi="Times New Roman"/>
      <w:sz w:val="24"/>
      <w:szCs w:val="24"/>
      <w:lang w:eastAsia="ru-RU"/>
    </w:rPr>
  </w:style>
  <w:style w:type="character" w:customStyle="1" w:styleId="7TimesNewRoman1">
    <w:name w:val="Основной текст (7) + Times New Roman1"/>
    <w:aliases w:val="8 pt1,Не полужирный4,Интервал -1 pt1,Заголовок №5 + Century Gothic"/>
    <w:uiPriority w:val="99"/>
    <w:rsid w:val="00D86EA0"/>
    <w:rPr>
      <w:rFonts w:ascii="Times New Roman" w:eastAsia="Times New Roman" w:hAnsi="Times New Roman" w:cs="Times New Roman"/>
      <w:b w:val="0"/>
      <w:bCs w:val="0"/>
      <w:i w:val="0"/>
      <w:iCs w:val="0"/>
      <w:smallCaps w:val="0"/>
      <w:strike/>
      <w:spacing w:val="-20"/>
      <w:sz w:val="16"/>
      <w:szCs w:val="16"/>
    </w:rPr>
  </w:style>
  <w:style w:type="character" w:customStyle="1" w:styleId="Bodytext2">
    <w:name w:val="Body text (2)"/>
    <w:rsid w:val="00C71B1D"/>
    <w:rPr>
      <w:rFonts w:ascii="Times New Roman" w:eastAsia="Times New Roman" w:hAnsi="Times New Roman" w:cs="Times New Roman"/>
      <w:b w:val="0"/>
      <w:bCs w:val="0"/>
      <w:i w:val="0"/>
      <w:iCs w:val="0"/>
      <w:smallCaps w:val="0"/>
      <w:strike w:val="0"/>
      <w:spacing w:val="0"/>
      <w:sz w:val="18"/>
      <w:szCs w:val="18"/>
    </w:rPr>
  </w:style>
  <w:style w:type="character" w:customStyle="1" w:styleId="Bodytext">
    <w:name w:val="Body text_"/>
    <w:link w:val="621"/>
    <w:uiPriority w:val="99"/>
    <w:rsid w:val="00C71B1D"/>
    <w:rPr>
      <w:rFonts w:ascii="Times New Roman" w:eastAsia="Times New Roman" w:hAnsi="Times New Roman"/>
      <w:shd w:val="clear" w:color="auto" w:fill="FFFFFF"/>
    </w:rPr>
  </w:style>
  <w:style w:type="paragraph" w:customStyle="1" w:styleId="621">
    <w:name w:val="Основной текст62"/>
    <w:basedOn w:val="a"/>
    <w:link w:val="Bodytext"/>
    <w:uiPriority w:val="99"/>
    <w:rsid w:val="00C71B1D"/>
    <w:pPr>
      <w:shd w:val="clear" w:color="auto" w:fill="FFFFFF"/>
      <w:spacing w:before="420" w:after="0" w:line="216" w:lineRule="exact"/>
      <w:jc w:val="both"/>
    </w:pPr>
    <w:rPr>
      <w:rFonts w:ascii="Times New Roman" w:eastAsia="Times New Roman" w:hAnsi="Times New Roman"/>
      <w:sz w:val="20"/>
      <w:szCs w:val="20"/>
      <w:lang w:eastAsia="ru-RU"/>
    </w:rPr>
  </w:style>
  <w:style w:type="character" w:customStyle="1" w:styleId="Heading22">
    <w:name w:val="Heading #2 (2)"/>
    <w:rsid w:val="00C71B1D"/>
    <w:rPr>
      <w:rFonts w:ascii="Times New Roman" w:eastAsia="Times New Roman" w:hAnsi="Times New Roman" w:cs="Times New Roman"/>
      <w:b w:val="0"/>
      <w:bCs w:val="0"/>
      <w:i w:val="0"/>
      <w:iCs w:val="0"/>
      <w:smallCaps w:val="0"/>
      <w:strike w:val="0"/>
      <w:spacing w:val="0"/>
      <w:sz w:val="23"/>
      <w:szCs w:val="23"/>
    </w:rPr>
  </w:style>
  <w:style w:type="character" w:customStyle="1" w:styleId="1c">
    <w:name w:val="Основной текст Знак1"/>
    <w:uiPriority w:val="99"/>
    <w:rsid w:val="002F4B64"/>
    <w:rPr>
      <w:rFonts w:ascii="Arial Narrow" w:hAnsi="Arial Narrow" w:cs="Arial Narrow"/>
      <w:sz w:val="18"/>
      <w:szCs w:val="18"/>
      <w:shd w:val="clear" w:color="auto" w:fill="FFFFFF"/>
    </w:rPr>
  </w:style>
  <w:style w:type="paragraph" w:customStyle="1" w:styleId="1010">
    <w:name w:val="Основной текст (10)1"/>
    <w:basedOn w:val="a"/>
    <w:uiPriority w:val="99"/>
    <w:rsid w:val="002F4B64"/>
    <w:pPr>
      <w:shd w:val="clear" w:color="auto" w:fill="FFFFFF"/>
      <w:spacing w:after="0" w:line="240" w:lineRule="atLeast"/>
      <w:ind w:hanging="260"/>
      <w:jc w:val="both"/>
    </w:pPr>
    <w:rPr>
      <w:rFonts w:ascii="Arial Narrow" w:eastAsia="Arial Unicode MS" w:hAnsi="Arial Narrow" w:cs="Arial Narrow"/>
      <w:i/>
      <w:iCs/>
      <w:sz w:val="18"/>
      <w:szCs w:val="18"/>
      <w:lang w:eastAsia="ru-RU"/>
    </w:rPr>
  </w:style>
  <w:style w:type="character" w:customStyle="1" w:styleId="104">
    <w:name w:val="Основной текст (10)_"/>
    <w:link w:val="105"/>
    <w:rsid w:val="002F4B64"/>
    <w:rPr>
      <w:rFonts w:ascii="Times New Roman" w:eastAsia="Times New Roman" w:hAnsi="Times New Roman"/>
      <w:shd w:val="clear" w:color="auto" w:fill="FFFFFF"/>
    </w:rPr>
  </w:style>
  <w:style w:type="paragraph" w:customStyle="1" w:styleId="105">
    <w:name w:val="Основной текст (10)"/>
    <w:basedOn w:val="a"/>
    <w:link w:val="104"/>
    <w:rsid w:val="002F4B64"/>
    <w:pPr>
      <w:shd w:val="clear" w:color="auto" w:fill="FFFFFF"/>
      <w:spacing w:after="0" w:line="0" w:lineRule="atLeast"/>
    </w:pPr>
    <w:rPr>
      <w:rFonts w:ascii="Times New Roman" w:eastAsia="Times New Roman" w:hAnsi="Times New Roman"/>
      <w:sz w:val="20"/>
      <w:szCs w:val="20"/>
      <w:lang w:eastAsia="ru-RU"/>
    </w:rPr>
  </w:style>
  <w:style w:type="character" w:customStyle="1" w:styleId="251">
    <w:name w:val="Основной текст + Полужирный25"/>
    <w:uiPriority w:val="99"/>
    <w:rsid w:val="002F4B64"/>
    <w:rPr>
      <w:rFonts w:ascii="Arial Narrow" w:hAnsi="Arial Narrow" w:cs="Arial Narrow"/>
      <w:b/>
      <w:bCs/>
      <w:spacing w:val="0"/>
      <w:sz w:val="18"/>
      <w:szCs w:val="18"/>
      <w:shd w:val="clear" w:color="auto" w:fill="FFFFFF"/>
    </w:rPr>
  </w:style>
  <w:style w:type="character" w:customStyle="1" w:styleId="9100">
    <w:name w:val="Основной текст + 910"/>
    <w:aliases w:val="5 pt36,Полужирный35,Интервал 0 pt23,Основной текст (4) + 11 pt"/>
    <w:uiPriority w:val="99"/>
    <w:rsid w:val="002F4B64"/>
    <w:rPr>
      <w:rFonts w:ascii="Arial Narrow" w:hAnsi="Arial Narrow" w:cs="Arial Narrow"/>
      <w:b/>
      <w:bCs/>
      <w:spacing w:val="-10"/>
      <w:sz w:val="19"/>
      <w:szCs w:val="19"/>
      <w:shd w:val="clear" w:color="auto" w:fill="FFFFFF"/>
    </w:rPr>
  </w:style>
  <w:style w:type="character" w:customStyle="1" w:styleId="1013">
    <w:name w:val="Основной текст (10) + Не курсив13"/>
    <w:uiPriority w:val="99"/>
    <w:rsid w:val="002F4B64"/>
    <w:rPr>
      <w:rFonts w:ascii="Arial Narrow" w:eastAsia="Times New Roman" w:hAnsi="Arial Narrow" w:cs="Arial Narrow"/>
      <w:spacing w:val="0"/>
      <w:sz w:val="18"/>
      <w:szCs w:val="18"/>
      <w:shd w:val="clear" w:color="auto" w:fill="FFFFFF"/>
    </w:rPr>
  </w:style>
  <w:style w:type="character" w:customStyle="1" w:styleId="161">
    <w:name w:val="Основной текст + Курсив16"/>
    <w:uiPriority w:val="99"/>
    <w:rsid w:val="002F4B64"/>
    <w:rPr>
      <w:rFonts w:ascii="Arial Narrow" w:hAnsi="Arial Narrow" w:cs="Arial Narrow"/>
      <w:i/>
      <w:iCs/>
      <w:spacing w:val="0"/>
      <w:sz w:val="18"/>
      <w:szCs w:val="18"/>
      <w:shd w:val="clear" w:color="auto" w:fill="FFFFFF"/>
    </w:rPr>
  </w:style>
  <w:style w:type="character" w:customStyle="1" w:styleId="241">
    <w:name w:val="Основной текст + Полужирный24"/>
    <w:aliases w:val="Курсив13"/>
    <w:uiPriority w:val="99"/>
    <w:rsid w:val="002F4B64"/>
    <w:rPr>
      <w:rFonts w:ascii="Arial Narrow" w:hAnsi="Arial Narrow" w:cs="Arial Narrow"/>
      <w:b/>
      <w:bCs/>
      <w:i/>
      <w:iCs/>
      <w:spacing w:val="0"/>
      <w:sz w:val="18"/>
      <w:szCs w:val="18"/>
      <w:shd w:val="clear" w:color="auto" w:fill="FFFFFF"/>
    </w:rPr>
  </w:style>
  <w:style w:type="character" w:customStyle="1" w:styleId="1050">
    <w:name w:val="Основной текст (10) + Полужирный5"/>
    <w:uiPriority w:val="99"/>
    <w:rsid w:val="002F4B64"/>
    <w:rPr>
      <w:rFonts w:ascii="Arial Narrow" w:eastAsia="Times New Roman" w:hAnsi="Arial Narrow" w:cs="Arial Narrow"/>
      <w:b/>
      <w:bCs/>
      <w:i/>
      <w:iCs/>
      <w:spacing w:val="0"/>
      <w:sz w:val="18"/>
      <w:szCs w:val="18"/>
      <w:shd w:val="clear" w:color="auto" w:fill="FFFFFF"/>
    </w:rPr>
  </w:style>
  <w:style w:type="character" w:customStyle="1" w:styleId="66">
    <w:name w:val="Основной текст6"/>
    <w:rsid w:val="00417DE1"/>
    <w:rPr>
      <w:rFonts w:ascii="Arial" w:eastAsia="Arial" w:hAnsi="Arial" w:cs="Arial"/>
      <w:b w:val="0"/>
      <w:bCs w:val="0"/>
      <w:i w:val="0"/>
      <w:iCs w:val="0"/>
      <w:smallCaps w:val="0"/>
      <w:strike w:val="0"/>
      <w:spacing w:val="0"/>
      <w:sz w:val="18"/>
      <w:szCs w:val="18"/>
      <w:shd w:val="clear" w:color="auto" w:fill="FFFFFF"/>
    </w:rPr>
  </w:style>
  <w:style w:type="character" w:customStyle="1" w:styleId="MSGothic">
    <w:name w:val="Основной текст + MS Gothic"/>
    <w:aliases w:val="76,5 pt41,Основной текст (2) + Trebuchet MS23,5 pt121,Body text + Candara3,5 pt73"/>
    <w:uiPriority w:val="99"/>
    <w:rsid w:val="00714AC7"/>
    <w:rPr>
      <w:rFonts w:ascii="MS Gothic" w:eastAsia="MS Gothic" w:hAnsi="Arial Narrow" w:cs="MS Gothic"/>
      <w:noProof/>
      <w:spacing w:val="0"/>
      <w:sz w:val="15"/>
      <w:szCs w:val="15"/>
      <w:shd w:val="clear" w:color="auto" w:fill="FFFFFF"/>
    </w:rPr>
  </w:style>
  <w:style w:type="character" w:customStyle="1" w:styleId="MSReferenceSansSerif">
    <w:name w:val="Основной текст + MS Reference Sans Serif"/>
    <w:aliases w:val="67,5 pt40,Основной текст (2) + 76"/>
    <w:uiPriority w:val="99"/>
    <w:rsid w:val="00714AC7"/>
    <w:rPr>
      <w:rFonts w:ascii="MS Reference Sans Serif" w:hAnsi="MS Reference Sans Serif" w:cs="MS Reference Sans Serif"/>
      <w:spacing w:val="0"/>
      <w:sz w:val="13"/>
      <w:szCs w:val="13"/>
      <w:shd w:val="clear" w:color="auto" w:fill="FFFFFF"/>
    </w:rPr>
  </w:style>
  <w:style w:type="paragraph" w:customStyle="1" w:styleId="heading3">
    <w:name w:val="heading3"/>
    <w:basedOn w:val="a"/>
    <w:rsid w:val="001F06C5"/>
    <w:pPr>
      <w:spacing w:before="180" w:after="180" w:line="240" w:lineRule="auto"/>
      <w:jc w:val="center"/>
    </w:pPr>
    <w:rPr>
      <w:rFonts w:ascii="Arial" w:eastAsia="Times New Roman" w:hAnsi="Arial" w:cs="Arial"/>
      <w:b/>
      <w:bCs/>
      <w:color w:val="000000"/>
      <w:sz w:val="24"/>
      <w:szCs w:val="24"/>
      <w:lang w:eastAsia="ru-RU"/>
    </w:rPr>
  </w:style>
  <w:style w:type="paragraph" w:customStyle="1" w:styleId="rteindent11">
    <w:name w:val="rteindent11"/>
    <w:basedOn w:val="a"/>
    <w:rsid w:val="009C5E2F"/>
    <w:pPr>
      <w:spacing w:before="100" w:beforeAutospacing="1" w:after="150" w:line="240" w:lineRule="auto"/>
      <w:ind w:left="600" w:firstLine="300"/>
      <w:jc w:val="both"/>
    </w:pPr>
    <w:rPr>
      <w:rFonts w:ascii="Times New Roman" w:eastAsia="Times New Roman" w:hAnsi="Times New Roman"/>
      <w:sz w:val="24"/>
      <w:szCs w:val="24"/>
      <w:lang w:eastAsia="ru-RU"/>
    </w:rPr>
  </w:style>
  <w:style w:type="character" w:customStyle="1" w:styleId="106">
    <w:name w:val="Основной текст (10) + Полужирный6"/>
    <w:uiPriority w:val="99"/>
    <w:rsid w:val="000F083A"/>
    <w:rPr>
      <w:rFonts w:ascii="Arial Narrow" w:eastAsia="Times New Roman" w:hAnsi="Arial Narrow" w:cs="Arial Narrow"/>
      <w:b/>
      <w:bCs/>
      <w:i/>
      <w:iCs/>
      <w:smallCaps w:val="0"/>
      <w:strike w:val="0"/>
      <w:spacing w:val="0"/>
      <w:sz w:val="18"/>
      <w:szCs w:val="18"/>
    </w:rPr>
  </w:style>
  <w:style w:type="character" w:customStyle="1" w:styleId="1015">
    <w:name w:val="Основной текст (10) + Не курсив15"/>
    <w:uiPriority w:val="99"/>
    <w:rsid w:val="000F083A"/>
    <w:rPr>
      <w:rFonts w:ascii="Arial Narrow" w:eastAsia="Times New Roman" w:hAnsi="Arial Narrow" w:cs="Arial Narrow"/>
      <w:b w:val="0"/>
      <w:bCs w:val="0"/>
      <w:i w:val="0"/>
      <w:iCs w:val="0"/>
      <w:smallCaps w:val="0"/>
      <w:strike w:val="0"/>
      <w:spacing w:val="0"/>
      <w:sz w:val="18"/>
      <w:szCs w:val="18"/>
    </w:rPr>
  </w:style>
  <w:style w:type="character" w:customStyle="1" w:styleId="1d">
    <w:name w:val="Основной текст + Полужирный1"/>
    <w:uiPriority w:val="99"/>
    <w:rsid w:val="001444FD"/>
    <w:rPr>
      <w:rFonts w:ascii="Arial Narrow" w:hAnsi="Arial Narrow" w:cs="Arial Narrow"/>
      <w:b/>
      <w:bCs/>
      <w:spacing w:val="0"/>
      <w:sz w:val="18"/>
      <w:szCs w:val="18"/>
      <w:shd w:val="clear" w:color="auto" w:fill="FFFFFF"/>
    </w:rPr>
  </w:style>
  <w:style w:type="paragraph" w:customStyle="1" w:styleId="1e">
    <w:name w:val="Сноска1"/>
    <w:basedOn w:val="a"/>
    <w:uiPriority w:val="99"/>
    <w:rsid w:val="001444FD"/>
    <w:pPr>
      <w:shd w:val="clear" w:color="auto" w:fill="FFFFFF"/>
      <w:spacing w:after="0" w:line="216" w:lineRule="exact"/>
    </w:pPr>
    <w:rPr>
      <w:rFonts w:ascii="Arial" w:eastAsia="Arial Unicode MS" w:hAnsi="Arial" w:cs="Arial"/>
      <w:sz w:val="18"/>
      <w:szCs w:val="18"/>
      <w:lang w:eastAsia="ru-RU"/>
    </w:rPr>
  </w:style>
  <w:style w:type="character" w:customStyle="1" w:styleId="99">
    <w:name w:val="Основной текст + 99"/>
    <w:aliases w:val="5 pt35,Полужирный33,Интервал 0 pt22,Основной текст + 819,Основной текст (5) + Не курсив4"/>
    <w:uiPriority w:val="99"/>
    <w:rsid w:val="00057A35"/>
    <w:rPr>
      <w:rFonts w:ascii="Arial Narrow" w:hAnsi="Arial Narrow" w:cs="Arial Narrow"/>
      <w:b/>
      <w:bCs/>
      <w:spacing w:val="-10"/>
      <w:sz w:val="19"/>
      <w:szCs w:val="19"/>
      <w:shd w:val="clear" w:color="auto" w:fill="FFFFFF"/>
    </w:rPr>
  </w:style>
  <w:style w:type="character" w:customStyle="1" w:styleId="14Arial">
    <w:name w:val="Основной текст (14) + Arial"/>
    <w:aliases w:val="75,5 pt26,Не полужирный12,Интервал 0 pt14,Основной текст + 814,Малые прописные9,Основной текст (9) + Не полужирный,Основной текст + 76"/>
    <w:uiPriority w:val="99"/>
    <w:rsid w:val="00057A35"/>
    <w:rPr>
      <w:rFonts w:ascii="Arial" w:hAnsi="Arial" w:cs="Arial"/>
      <w:b w:val="0"/>
      <w:bCs w:val="0"/>
      <w:spacing w:val="-10"/>
      <w:sz w:val="15"/>
      <w:szCs w:val="15"/>
      <w:shd w:val="clear" w:color="auto" w:fill="FFFFFF"/>
    </w:rPr>
  </w:style>
  <w:style w:type="character" w:customStyle="1" w:styleId="49MSReferenceSansSerif">
    <w:name w:val="Основной текст (49) + MS Reference Sans Serif"/>
    <w:aliases w:val="66,5 pt24,Основной текст + 812"/>
    <w:uiPriority w:val="99"/>
    <w:rsid w:val="00057A35"/>
    <w:rPr>
      <w:rFonts w:ascii="MS Reference Sans Serif" w:hAnsi="MS Reference Sans Serif" w:cs="MS Reference Sans Serif"/>
      <w:b/>
      <w:bCs/>
      <w:i/>
      <w:iCs/>
      <w:sz w:val="13"/>
      <w:szCs w:val="13"/>
      <w:shd w:val="clear" w:color="auto" w:fill="FFFFFF"/>
    </w:rPr>
  </w:style>
  <w:style w:type="character" w:customStyle="1" w:styleId="2410">
    <w:name w:val="Основной текст + 241"/>
    <w:aliases w:val="5 pt20,Полужирный16,Основной текст + 811,Малые прописные7,Основной текст + 74"/>
    <w:uiPriority w:val="99"/>
    <w:rsid w:val="00057A35"/>
    <w:rPr>
      <w:rFonts w:ascii="Arial Narrow" w:hAnsi="Arial Narrow" w:cs="Arial Narrow"/>
      <w:b/>
      <w:bCs/>
      <w:noProof/>
      <w:spacing w:val="0"/>
      <w:sz w:val="49"/>
      <w:szCs w:val="49"/>
      <w:shd w:val="clear" w:color="auto" w:fill="FFFFFF"/>
    </w:rPr>
  </w:style>
  <w:style w:type="character" w:customStyle="1" w:styleId="51Arial">
    <w:name w:val="Основной текст (51) + Arial"/>
    <w:aliases w:val="73,5 pt17,Не полужирный7,Основной текст + 810,Основной текст (2) + SimHei"/>
    <w:uiPriority w:val="99"/>
    <w:rsid w:val="00057A35"/>
    <w:rPr>
      <w:rFonts w:ascii="Arial" w:hAnsi="Arial" w:cs="Arial"/>
      <w:b w:val="0"/>
      <w:bCs w:val="0"/>
      <w:sz w:val="15"/>
      <w:szCs w:val="15"/>
      <w:shd w:val="clear" w:color="auto" w:fill="FFFFFF"/>
    </w:rPr>
  </w:style>
  <w:style w:type="character" w:customStyle="1" w:styleId="5110">
    <w:name w:val="Основной текст (51) + 10"/>
    <w:aliases w:val="5 pt16,Основной текст + 89,Основной текст (19) + Segoe UI"/>
    <w:uiPriority w:val="99"/>
    <w:rsid w:val="00057A35"/>
    <w:rPr>
      <w:rFonts w:ascii="Times New Roman" w:hAnsi="Times New Roman" w:cs="Times New Roman"/>
      <w:b/>
      <w:bCs/>
      <w:noProof/>
      <w:sz w:val="21"/>
      <w:szCs w:val="21"/>
      <w:shd w:val="clear" w:color="auto" w:fill="FFFFFF"/>
    </w:rPr>
  </w:style>
  <w:style w:type="character" w:customStyle="1" w:styleId="58ArialNarrow">
    <w:name w:val="Основной текст (58) + Arial Narrow"/>
    <w:aliases w:val="72,5 pt11,Не полужирный6,Основной текст + 86,Основной текст (2) + SimHei1"/>
    <w:uiPriority w:val="99"/>
    <w:rsid w:val="00057A35"/>
    <w:rPr>
      <w:rFonts w:ascii="Arial Narrow" w:hAnsi="Arial Narrow" w:cs="Arial Narrow"/>
      <w:b w:val="0"/>
      <w:bCs w:val="0"/>
      <w:spacing w:val="0"/>
      <w:sz w:val="15"/>
      <w:szCs w:val="15"/>
      <w:shd w:val="clear" w:color="auto" w:fill="FFFFFF"/>
    </w:rPr>
  </w:style>
  <w:style w:type="character" w:customStyle="1" w:styleId="88">
    <w:name w:val="Основной текст + 88"/>
    <w:aliases w:val="5 pt15,Малые прописные6"/>
    <w:uiPriority w:val="99"/>
    <w:rsid w:val="00057A35"/>
    <w:rPr>
      <w:rFonts w:ascii="Arial" w:hAnsi="Arial" w:cs="Arial"/>
      <w:smallCaps/>
      <w:spacing w:val="0"/>
      <w:sz w:val="17"/>
      <w:szCs w:val="17"/>
      <w:u w:val="single"/>
      <w:shd w:val="clear" w:color="auto" w:fill="FFFFFF"/>
    </w:rPr>
  </w:style>
  <w:style w:type="character" w:customStyle="1" w:styleId="4c">
    <w:name w:val="Основной текст (4) + Не курсив"/>
    <w:rsid w:val="00282955"/>
    <w:rPr>
      <w:rFonts w:ascii="Arial Narrow" w:eastAsia="Arial Narrow" w:hAnsi="Arial Narrow" w:cs="Arial Narrow"/>
      <w:b w:val="0"/>
      <w:bCs w:val="0"/>
      <w:i/>
      <w:iCs/>
      <w:smallCaps w:val="0"/>
      <w:strike w:val="0"/>
      <w:spacing w:val="0"/>
      <w:sz w:val="18"/>
      <w:szCs w:val="18"/>
      <w:shd w:val="clear" w:color="auto" w:fill="FFFFFF"/>
    </w:rPr>
  </w:style>
  <w:style w:type="character" w:customStyle="1" w:styleId="Bodytext14">
    <w:name w:val="Body text (14)_"/>
    <w:link w:val="Bodytext141"/>
    <w:uiPriority w:val="99"/>
    <w:rsid w:val="00282955"/>
    <w:rPr>
      <w:rFonts w:ascii="Times New Roman" w:hAnsi="Times New Roman"/>
      <w:i/>
      <w:iCs/>
      <w:sz w:val="21"/>
      <w:szCs w:val="21"/>
      <w:shd w:val="clear" w:color="auto" w:fill="FFFFFF"/>
    </w:rPr>
  </w:style>
  <w:style w:type="paragraph" w:customStyle="1" w:styleId="Bodytext141">
    <w:name w:val="Body text (14)1"/>
    <w:basedOn w:val="a"/>
    <w:link w:val="Bodytext14"/>
    <w:uiPriority w:val="99"/>
    <w:rsid w:val="00282955"/>
    <w:pPr>
      <w:shd w:val="clear" w:color="auto" w:fill="FFFFFF"/>
      <w:spacing w:after="0" w:line="240" w:lineRule="atLeast"/>
      <w:ind w:hanging="340"/>
    </w:pPr>
    <w:rPr>
      <w:rFonts w:ascii="Times New Roman" w:hAnsi="Times New Roman"/>
      <w:i/>
      <w:iCs/>
      <w:sz w:val="21"/>
      <w:szCs w:val="21"/>
      <w:lang w:eastAsia="ru-RU"/>
    </w:rPr>
  </w:style>
  <w:style w:type="character" w:customStyle="1" w:styleId="75">
    <w:name w:val="Основной текст (7) + Не курсив"/>
    <w:rsid w:val="00282955"/>
    <w:rPr>
      <w:rFonts w:ascii="Arial Narrow" w:eastAsia="Arial Narrow" w:hAnsi="Arial Narrow" w:cs="Arial Narrow"/>
      <w:b w:val="0"/>
      <w:bCs w:val="0"/>
      <w:i/>
      <w:iCs/>
      <w:smallCaps w:val="0"/>
      <w:strike w:val="0"/>
      <w:spacing w:val="0"/>
      <w:sz w:val="19"/>
      <w:szCs w:val="19"/>
    </w:rPr>
  </w:style>
  <w:style w:type="character" w:customStyle="1" w:styleId="75pt">
    <w:name w:val="Основной текст + 7;5 pt;Полужирный"/>
    <w:rsid w:val="00282955"/>
    <w:rPr>
      <w:rFonts w:ascii="Arial Narrow" w:eastAsia="Arial Narrow" w:hAnsi="Arial Narrow" w:cs="Arial Narrow"/>
      <w:b/>
      <w:bCs/>
      <w:i w:val="0"/>
      <w:iCs w:val="0"/>
      <w:smallCaps w:val="0"/>
      <w:strike w:val="0"/>
      <w:spacing w:val="0"/>
      <w:w w:val="100"/>
      <w:sz w:val="15"/>
      <w:szCs w:val="15"/>
    </w:rPr>
  </w:style>
  <w:style w:type="character" w:customStyle="1" w:styleId="76">
    <w:name w:val="Основной текст (7) + Полужирный;Не курсив"/>
    <w:rsid w:val="00282955"/>
    <w:rPr>
      <w:rFonts w:ascii="Arial Narrow" w:eastAsia="Arial Narrow" w:hAnsi="Arial Narrow" w:cs="Arial Narrow"/>
      <w:b/>
      <w:bCs/>
      <w:i/>
      <w:iCs/>
      <w:smallCaps w:val="0"/>
      <w:strike w:val="0"/>
      <w:spacing w:val="0"/>
      <w:sz w:val="18"/>
      <w:szCs w:val="18"/>
    </w:rPr>
  </w:style>
  <w:style w:type="character" w:customStyle="1" w:styleId="BodytextConstantia">
    <w:name w:val="Body text + Constantia"/>
    <w:aliases w:val="91,5 pt10,Bold2"/>
    <w:uiPriority w:val="99"/>
    <w:rsid w:val="00282955"/>
    <w:rPr>
      <w:rFonts w:ascii="Constantia" w:hAnsi="Constantia" w:cs="Constantia"/>
      <w:b/>
      <w:bCs/>
      <w:spacing w:val="0"/>
      <w:sz w:val="19"/>
      <w:szCs w:val="19"/>
    </w:rPr>
  </w:style>
  <w:style w:type="paragraph" w:customStyle="1" w:styleId="123">
    <w:name w:val="Основной текст12"/>
    <w:basedOn w:val="a"/>
    <w:rsid w:val="009812BB"/>
    <w:pPr>
      <w:shd w:val="clear" w:color="auto" w:fill="FFFFFF"/>
      <w:spacing w:after="60" w:line="240" w:lineRule="exact"/>
      <w:jc w:val="center"/>
    </w:pPr>
    <w:rPr>
      <w:rFonts w:ascii="Times New Roman" w:eastAsia="Times New Roman" w:hAnsi="Times New Roman"/>
      <w:sz w:val="23"/>
      <w:szCs w:val="23"/>
    </w:rPr>
  </w:style>
  <w:style w:type="paragraph" w:customStyle="1" w:styleId="Bodytext1">
    <w:name w:val="Body text1"/>
    <w:basedOn w:val="a"/>
    <w:uiPriority w:val="99"/>
    <w:rsid w:val="000D5A0D"/>
    <w:pPr>
      <w:shd w:val="clear" w:color="auto" w:fill="FFFFFF"/>
      <w:spacing w:after="0" w:line="221" w:lineRule="exact"/>
      <w:ind w:hanging="120"/>
      <w:jc w:val="both"/>
    </w:pPr>
    <w:rPr>
      <w:rFonts w:ascii="Arial Narrow" w:eastAsiaTheme="minorHAnsi" w:hAnsi="Arial Narrow" w:cs="Arial Narrow"/>
      <w:sz w:val="18"/>
      <w:szCs w:val="18"/>
    </w:rPr>
  </w:style>
  <w:style w:type="character" w:customStyle="1" w:styleId="BodytextItalic">
    <w:name w:val="Body text + Italic"/>
    <w:basedOn w:val="Bodytext"/>
    <w:uiPriority w:val="99"/>
    <w:rsid w:val="000D5A0D"/>
    <w:rPr>
      <w:rFonts w:ascii="Times New Roman" w:eastAsia="Times New Roman" w:hAnsi="Times New Roman" w:cs="Times New Roman"/>
      <w:b w:val="0"/>
      <w:bCs w:val="0"/>
      <w:i/>
      <w:iCs/>
      <w:smallCaps w:val="0"/>
      <w:strike w:val="0"/>
      <w:spacing w:val="0"/>
      <w:sz w:val="23"/>
      <w:szCs w:val="23"/>
      <w:shd w:val="clear" w:color="auto" w:fill="FFFFFF"/>
    </w:rPr>
  </w:style>
  <w:style w:type="character" w:customStyle="1" w:styleId="77">
    <w:name w:val="Основной текст7"/>
    <w:basedOn w:val="Bodytext"/>
    <w:uiPriority w:val="99"/>
    <w:rsid w:val="00792F77"/>
    <w:rPr>
      <w:rFonts w:ascii="Times New Roman" w:eastAsia="Times New Roman" w:hAnsi="Times New Roman" w:cs="Times New Roman"/>
      <w:b w:val="0"/>
      <w:bCs w:val="0"/>
      <w:i w:val="0"/>
      <w:iCs w:val="0"/>
      <w:smallCaps w:val="0"/>
      <w:strike w:val="0"/>
      <w:spacing w:val="0"/>
      <w:sz w:val="23"/>
      <w:szCs w:val="23"/>
      <w:shd w:val="clear" w:color="auto" w:fill="FFFFFF"/>
    </w:rPr>
  </w:style>
  <w:style w:type="character" w:customStyle="1" w:styleId="Bodytext20">
    <w:name w:val="Body text (2)_"/>
    <w:basedOn w:val="a0"/>
    <w:link w:val="Bodytext21"/>
    <w:rsid w:val="00BD6B74"/>
    <w:rPr>
      <w:rFonts w:ascii="Arial Narrow" w:hAnsi="Arial Narrow" w:cs="Arial Narrow"/>
      <w:i/>
      <w:iCs/>
      <w:sz w:val="18"/>
      <w:szCs w:val="18"/>
      <w:shd w:val="clear" w:color="auto" w:fill="FFFFFF"/>
    </w:rPr>
  </w:style>
  <w:style w:type="paragraph" w:customStyle="1" w:styleId="Bodytext21">
    <w:name w:val="Body text (2)1"/>
    <w:basedOn w:val="a"/>
    <w:link w:val="Bodytext20"/>
    <w:uiPriority w:val="99"/>
    <w:rsid w:val="00BD6B74"/>
    <w:pPr>
      <w:shd w:val="clear" w:color="auto" w:fill="FFFFFF"/>
      <w:spacing w:after="0" w:line="221" w:lineRule="exact"/>
      <w:ind w:hanging="1600"/>
      <w:jc w:val="both"/>
    </w:pPr>
    <w:rPr>
      <w:rFonts w:ascii="Arial Narrow" w:hAnsi="Arial Narrow" w:cs="Arial Narrow"/>
      <w:i/>
      <w:iCs/>
      <w:sz w:val="18"/>
      <w:szCs w:val="18"/>
      <w:lang w:eastAsia="ru-RU"/>
    </w:rPr>
  </w:style>
  <w:style w:type="character" w:customStyle="1" w:styleId="BodytextBold29">
    <w:name w:val="Body text + Bold29"/>
    <w:basedOn w:val="Bodytext"/>
    <w:uiPriority w:val="99"/>
    <w:rsid w:val="00133AA8"/>
    <w:rPr>
      <w:rFonts w:ascii="Arial Narrow" w:eastAsia="Times New Roman" w:hAnsi="Arial Narrow" w:cs="Arial Narrow"/>
      <w:b/>
      <w:bCs/>
      <w:i w:val="0"/>
      <w:iCs w:val="0"/>
      <w:smallCaps w:val="0"/>
      <w:strike w:val="0"/>
      <w:spacing w:val="0"/>
      <w:sz w:val="18"/>
      <w:szCs w:val="18"/>
      <w:shd w:val="clear" w:color="auto" w:fill="FFFFFF"/>
    </w:rPr>
  </w:style>
  <w:style w:type="character" w:customStyle="1" w:styleId="BodytextSpacing-1pt">
    <w:name w:val="Body text + Spacing -1 pt"/>
    <w:basedOn w:val="Bodytext"/>
    <w:rsid w:val="00D54008"/>
    <w:rPr>
      <w:rFonts w:ascii="Times New Roman" w:eastAsia="Times New Roman" w:hAnsi="Times New Roman" w:cs="Times New Roman"/>
      <w:b w:val="0"/>
      <w:bCs w:val="0"/>
      <w:i w:val="0"/>
      <w:iCs w:val="0"/>
      <w:smallCaps w:val="0"/>
      <w:strike w:val="0"/>
      <w:spacing w:val="-20"/>
      <w:sz w:val="23"/>
      <w:szCs w:val="23"/>
      <w:shd w:val="clear" w:color="auto" w:fill="FFFFFF"/>
    </w:rPr>
  </w:style>
  <w:style w:type="character" w:customStyle="1" w:styleId="2pt">
    <w:name w:val="Основной текст + Интервал 2 pt"/>
    <w:basedOn w:val="aff1"/>
    <w:rsid w:val="00EE343A"/>
    <w:rPr>
      <w:rFonts w:ascii="Sylfaen" w:eastAsia="Sylfaen" w:hAnsi="Sylfaen" w:cs="Sylfaen"/>
      <w:b w:val="0"/>
      <w:bCs w:val="0"/>
      <w:i w:val="0"/>
      <w:iCs w:val="0"/>
      <w:smallCaps w:val="0"/>
      <w:strike w:val="0"/>
      <w:spacing w:val="40"/>
      <w:sz w:val="19"/>
      <w:szCs w:val="19"/>
      <w:shd w:val="clear" w:color="auto" w:fill="FFFFFF"/>
    </w:rPr>
  </w:style>
  <w:style w:type="character" w:customStyle="1" w:styleId="Garamond85pt">
    <w:name w:val="Основной текст + Garamond;8;5 pt;Курсив"/>
    <w:basedOn w:val="aff1"/>
    <w:rsid w:val="00EE343A"/>
    <w:rPr>
      <w:rFonts w:ascii="Garamond" w:eastAsia="Garamond" w:hAnsi="Garamond" w:cs="Garamond"/>
      <w:b w:val="0"/>
      <w:bCs w:val="0"/>
      <w:i/>
      <w:iCs/>
      <w:smallCaps w:val="0"/>
      <w:strike w:val="0"/>
      <w:spacing w:val="-20"/>
      <w:sz w:val="17"/>
      <w:szCs w:val="17"/>
      <w:shd w:val="clear" w:color="auto" w:fill="FFFFFF"/>
      <w:lang w:val="en-US"/>
    </w:rPr>
  </w:style>
  <w:style w:type="character" w:customStyle="1" w:styleId="75pt0">
    <w:name w:val="Основной текст + 7;5 pt"/>
    <w:basedOn w:val="aff1"/>
    <w:rsid w:val="00EE343A"/>
    <w:rPr>
      <w:rFonts w:ascii="Gungsuh" w:eastAsia="Gungsuh" w:hAnsi="Gungsuh" w:cs="Gungsuh"/>
      <w:b w:val="0"/>
      <w:bCs w:val="0"/>
      <w:i w:val="0"/>
      <w:iCs w:val="0"/>
      <w:smallCaps w:val="0"/>
      <w:strike w:val="0"/>
      <w:spacing w:val="0"/>
      <w:sz w:val="15"/>
      <w:szCs w:val="15"/>
      <w:shd w:val="clear" w:color="auto" w:fill="FFFFFF"/>
    </w:rPr>
  </w:style>
  <w:style w:type="character" w:customStyle="1" w:styleId="8pt-1pt">
    <w:name w:val="Основной текст + 8 pt;Интервал -1 pt"/>
    <w:basedOn w:val="aff1"/>
    <w:rsid w:val="00EE343A"/>
    <w:rPr>
      <w:rFonts w:ascii="Gungsuh" w:eastAsia="Gungsuh" w:hAnsi="Gungsuh" w:cs="Gungsuh"/>
      <w:b w:val="0"/>
      <w:bCs w:val="0"/>
      <w:i w:val="0"/>
      <w:iCs w:val="0"/>
      <w:smallCaps w:val="0"/>
      <w:strike w:val="0"/>
      <w:spacing w:val="-20"/>
      <w:sz w:val="16"/>
      <w:szCs w:val="16"/>
    </w:rPr>
  </w:style>
  <w:style w:type="character" w:customStyle="1" w:styleId="Gulim5pt">
    <w:name w:val="Основной текст + Gulim;5 pt;Курсив"/>
    <w:basedOn w:val="aff1"/>
    <w:rsid w:val="00B00019"/>
    <w:rPr>
      <w:rFonts w:ascii="Gulim" w:eastAsia="Gulim" w:hAnsi="Gulim" w:cs="Gulim"/>
      <w:b w:val="0"/>
      <w:bCs w:val="0"/>
      <w:i/>
      <w:iCs/>
      <w:smallCaps w:val="0"/>
      <w:strike w:val="0"/>
      <w:spacing w:val="0"/>
      <w:sz w:val="10"/>
      <w:szCs w:val="10"/>
      <w:shd w:val="clear" w:color="auto" w:fill="FFFFFF"/>
    </w:rPr>
  </w:style>
  <w:style w:type="character" w:customStyle="1" w:styleId="85pt0pt">
    <w:name w:val="Основной текст + 8;5 pt;Интервал 0 pt"/>
    <w:basedOn w:val="aff1"/>
    <w:rsid w:val="00B00019"/>
    <w:rPr>
      <w:rFonts w:ascii="Century Schoolbook" w:eastAsia="Century Schoolbook" w:hAnsi="Century Schoolbook" w:cs="Century Schoolbook"/>
      <w:b w:val="0"/>
      <w:bCs w:val="0"/>
      <w:i w:val="0"/>
      <w:iCs w:val="0"/>
      <w:smallCaps w:val="0"/>
      <w:strike w:val="0"/>
      <w:spacing w:val="-10"/>
      <w:sz w:val="17"/>
      <w:szCs w:val="17"/>
      <w:shd w:val="clear" w:color="auto" w:fill="FFFFFF"/>
    </w:rPr>
  </w:style>
  <w:style w:type="character" w:customStyle="1" w:styleId="275pt0pt">
    <w:name w:val="Основной текст (2) + 7;5 pt;Полужирный;Не курсив;Интервал 0 pt"/>
    <w:basedOn w:val="2a"/>
    <w:rsid w:val="00B00019"/>
    <w:rPr>
      <w:rFonts w:ascii="Segoe UI" w:hAnsi="Segoe UI" w:cs="Segoe UI"/>
      <w:b/>
      <w:bCs/>
      <w:i/>
      <w:iCs/>
      <w:spacing w:val="0"/>
      <w:sz w:val="15"/>
      <w:szCs w:val="15"/>
      <w:shd w:val="clear" w:color="auto" w:fill="FFFFFF"/>
      <w:lang w:eastAsia="en-US"/>
    </w:rPr>
  </w:style>
  <w:style w:type="character" w:customStyle="1" w:styleId="afff7">
    <w:name w:val="Основной текст + Не полужирный"/>
    <w:basedOn w:val="aff1"/>
    <w:rsid w:val="00B00019"/>
    <w:rPr>
      <w:rFonts w:ascii="Gungsuh" w:eastAsia="Gungsuh" w:hAnsi="Gungsuh" w:cs="Gungsuh"/>
      <w:b/>
      <w:bCs/>
      <w:i w:val="0"/>
      <w:iCs w:val="0"/>
      <w:smallCaps w:val="0"/>
      <w:strike w:val="0"/>
      <w:spacing w:val="0"/>
      <w:sz w:val="15"/>
      <w:szCs w:val="15"/>
    </w:rPr>
  </w:style>
  <w:style w:type="character" w:customStyle="1" w:styleId="Batang95pt1pt">
    <w:name w:val="Основной текст + Batang;9;5 pt;Интервал 1 pt"/>
    <w:basedOn w:val="aff1"/>
    <w:rsid w:val="00F51A95"/>
    <w:rPr>
      <w:rFonts w:ascii="Batang" w:eastAsia="Batang" w:hAnsi="Batang" w:cs="Batang"/>
      <w:b w:val="0"/>
      <w:bCs w:val="0"/>
      <w:i w:val="0"/>
      <w:iCs w:val="0"/>
      <w:smallCaps w:val="0"/>
      <w:strike w:val="0"/>
      <w:spacing w:val="20"/>
      <w:w w:val="100"/>
      <w:sz w:val="19"/>
      <w:szCs w:val="19"/>
      <w:shd w:val="clear" w:color="auto" w:fill="FFFFFF"/>
    </w:rPr>
  </w:style>
  <w:style w:type="character" w:customStyle="1" w:styleId="3d">
    <w:name w:val="Основной текст (3) + Не полужирный"/>
    <w:basedOn w:val="35"/>
    <w:rsid w:val="00F51A95"/>
    <w:rPr>
      <w:rFonts w:ascii="Times New Roman" w:eastAsia="Times New Roman" w:hAnsi="Times New Roman" w:cs="Times New Roman"/>
      <w:b/>
      <w:bCs/>
      <w:spacing w:val="20"/>
      <w:sz w:val="18"/>
      <w:szCs w:val="18"/>
      <w:shd w:val="clear" w:color="auto" w:fill="FFFFFF"/>
    </w:rPr>
  </w:style>
  <w:style w:type="character" w:customStyle="1" w:styleId="SimHei9pt">
    <w:name w:val="Основной текст + SimHei;9 pt;Малые прописные"/>
    <w:basedOn w:val="aff1"/>
    <w:rsid w:val="00704B65"/>
    <w:rPr>
      <w:rFonts w:ascii="SimHei" w:eastAsia="SimHei" w:hAnsi="SimHei" w:cs="SimHei"/>
      <w:b w:val="0"/>
      <w:bCs w:val="0"/>
      <w:i w:val="0"/>
      <w:iCs w:val="0"/>
      <w:smallCaps/>
      <w:strike w:val="0"/>
      <w:spacing w:val="0"/>
      <w:sz w:val="18"/>
      <w:szCs w:val="18"/>
      <w:shd w:val="clear" w:color="auto" w:fill="FFFFFF"/>
    </w:rPr>
  </w:style>
  <w:style w:type="character" w:customStyle="1" w:styleId="Gungsuh7pt">
    <w:name w:val="Основной текст + Gungsuh;7 pt;Полужирный"/>
    <w:basedOn w:val="aff1"/>
    <w:rsid w:val="00704B65"/>
    <w:rPr>
      <w:rFonts w:ascii="Gungsuh" w:eastAsia="Gungsuh" w:hAnsi="Gungsuh" w:cs="Gungsuh"/>
      <w:b/>
      <w:bCs/>
      <w:i w:val="0"/>
      <w:iCs w:val="0"/>
      <w:smallCaps w:val="0"/>
      <w:strike w:val="0"/>
      <w:spacing w:val="0"/>
      <w:sz w:val="14"/>
      <w:szCs w:val="14"/>
      <w:shd w:val="clear" w:color="auto" w:fill="FFFFFF"/>
    </w:rPr>
  </w:style>
  <w:style w:type="character" w:customStyle="1" w:styleId="Gungsuh8pt">
    <w:name w:val="Основной текст + Gungsuh;8 pt;Малые прописные"/>
    <w:basedOn w:val="aff1"/>
    <w:rsid w:val="00704B65"/>
    <w:rPr>
      <w:rFonts w:ascii="Gungsuh" w:eastAsia="Gungsuh" w:hAnsi="Gungsuh" w:cs="Gungsuh"/>
      <w:b w:val="0"/>
      <w:bCs w:val="0"/>
      <w:i w:val="0"/>
      <w:iCs w:val="0"/>
      <w:smallCaps/>
      <w:strike w:val="0"/>
      <w:spacing w:val="0"/>
      <w:sz w:val="16"/>
      <w:szCs w:val="16"/>
      <w:shd w:val="clear" w:color="auto" w:fill="FFFFFF"/>
    </w:rPr>
  </w:style>
  <w:style w:type="character" w:customStyle="1" w:styleId="TrebuchetMS1pt">
    <w:name w:val="Основной текст + Trebuchet MS;Курсив;Интервал 1 pt"/>
    <w:basedOn w:val="aff1"/>
    <w:rsid w:val="000F027C"/>
    <w:rPr>
      <w:rFonts w:ascii="Trebuchet MS" w:eastAsia="Trebuchet MS" w:hAnsi="Trebuchet MS" w:cs="Trebuchet MS"/>
      <w:b w:val="0"/>
      <w:bCs w:val="0"/>
      <w:i/>
      <w:iCs/>
      <w:smallCaps w:val="0"/>
      <w:strike w:val="0"/>
      <w:spacing w:val="20"/>
      <w:sz w:val="17"/>
      <w:szCs w:val="17"/>
      <w:shd w:val="clear" w:color="auto" w:fill="FFFFFF"/>
    </w:rPr>
  </w:style>
  <w:style w:type="character" w:customStyle="1" w:styleId="afff8">
    <w:name w:val="Оглавление_"/>
    <w:basedOn w:val="a0"/>
    <w:rsid w:val="00F6766E"/>
    <w:rPr>
      <w:rFonts w:ascii="Sylfaen" w:eastAsia="Sylfaen" w:hAnsi="Sylfaen" w:cs="Sylfaen"/>
      <w:sz w:val="18"/>
      <w:szCs w:val="18"/>
      <w:shd w:val="clear" w:color="auto" w:fill="FFFFFF"/>
    </w:rPr>
  </w:style>
  <w:style w:type="character" w:customStyle="1" w:styleId="Corbel10pt1pt">
    <w:name w:val="Основной текст + Corbel;10 pt;Курсив;Интервал 1 pt"/>
    <w:basedOn w:val="aff1"/>
    <w:rsid w:val="00F6766E"/>
    <w:rPr>
      <w:rFonts w:ascii="Corbel" w:eastAsia="Corbel" w:hAnsi="Corbel" w:cs="Corbel"/>
      <w:b w:val="0"/>
      <w:bCs w:val="0"/>
      <w:i/>
      <w:iCs/>
      <w:smallCaps w:val="0"/>
      <w:strike w:val="0"/>
      <w:spacing w:val="20"/>
      <w:sz w:val="20"/>
      <w:szCs w:val="20"/>
      <w:shd w:val="clear" w:color="auto" w:fill="FFFFFF"/>
    </w:rPr>
  </w:style>
  <w:style w:type="character" w:customStyle="1" w:styleId="-1pt1">
    <w:name w:val="Основной текст + Малые прописные;Интервал -1 pt"/>
    <w:basedOn w:val="aff1"/>
    <w:rsid w:val="00F6766E"/>
    <w:rPr>
      <w:rFonts w:ascii="Gungsuh" w:eastAsia="Gungsuh" w:hAnsi="Gungsuh" w:cs="Gungsuh"/>
      <w:b w:val="0"/>
      <w:bCs w:val="0"/>
      <w:i w:val="0"/>
      <w:iCs w:val="0"/>
      <w:smallCaps/>
      <w:strike w:val="0"/>
      <w:spacing w:val="-20"/>
      <w:sz w:val="15"/>
      <w:szCs w:val="15"/>
      <w:shd w:val="clear" w:color="auto" w:fill="FFFFFF"/>
      <w:lang w:val="en-US"/>
    </w:rPr>
  </w:style>
  <w:style w:type="character" w:customStyle="1" w:styleId="9pt0pt">
    <w:name w:val="Основной текст + 9 pt;Не полужирный;Интервал 0 pt"/>
    <w:basedOn w:val="aff1"/>
    <w:rsid w:val="00F6766E"/>
    <w:rPr>
      <w:rFonts w:ascii="Gungsuh" w:eastAsia="Gungsuh" w:hAnsi="Gungsuh" w:cs="Gungsuh"/>
      <w:b/>
      <w:bCs/>
      <w:i w:val="0"/>
      <w:iCs w:val="0"/>
      <w:smallCaps w:val="0"/>
      <w:strike w:val="0"/>
      <w:spacing w:val="-10"/>
      <w:sz w:val="18"/>
      <w:szCs w:val="18"/>
      <w:shd w:val="clear" w:color="auto" w:fill="FFFFFF"/>
    </w:rPr>
  </w:style>
  <w:style w:type="character" w:customStyle="1" w:styleId="Gungsuh75pt">
    <w:name w:val="Основной текст + Gungsuh;7;5 pt;Малые прописные"/>
    <w:basedOn w:val="aff1"/>
    <w:rsid w:val="00F6766E"/>
    <w:rPr>
      <w:rFonts w:ascii="Gungsuh" w:eastAsia="Gungsuh" w:hAnsi="Gungsuh" w:cs="Gungsuh"/>
      <w:b w:val="0"/>
      <w:bCs w:val="0"/>
      <w:i w:val="0"/>
      <w:iCs w:val="0"/>
      <w:smallCaps/>
      <w:strike w:val="0"/>
      <w:spacing w:val="0"/>
      <w:sz w:val="15"/>
      <w:szCs w:val="15"/>
      <w:shd w:val="clear" w:color="auto" w:fill="FFFFFF"/>
    </w:rPr>
  </w:style>
  <w:style w:type="character" w:customStyle="1" w:styleId="Consolas95pt">
    <w:name w:val="Основной текст + Consolas;9;5 pt;Малые прописные"/>
    <w:basedOn w:val="aff1"/>
    <w:rsid w:val="00F6766E"/>
    <w:rPr>
      <w:rFonts w:ascii="Consolas" w:eastAsia="Consolas" w:hAnsi="Consolas" w:cs="Consolas"/>
      <w:b w:val="0"/>
      <w:bCs w:val="0"/>
      <w:i w:val="0"/>
      <w:iCs w:val="0"/>
      <w:smallCaps/>
      <w:strike w:val="0"/>
      <w:spacing w:val="0"/>
      <w:sz w:val="19"/>
      <w:szCs w:val="19"/>
      <w:shd w:val="clear" w:color="auto" w:fill="FFFFFF"/>
    </w:rPr>
  </w:style>
  <w:style w:type="character" w:customStyle="1" w:styleId="105pt">
    <w:name w:val="Основной текст + 10;5 pt"/>
    <w:basedOn w:val="aff1"/>
    <w:rsid w:val="00F6766E"/>
    <w:rPr>
      <w:rFonts w:ascii="Times New Roman" w:eastAsia="Times New Roman" w:hAnsi="Times New Roman" w:cs="Times New Roman"/>
      <w:b w:val="0"/>
      <w:bCs w:val="0"/>
      <w:i w:val="0"/>
      <w:iCs w:val="0"/>
      <w:smallCaps w:val="0"/>
      <w:strike w:val="0"/>
      <w:spacing w:val="0"/>
      <w:sz w:val="21"/>
      <w:szCs w:val="21"/>
      <w:shd w:val="clear" w:color="auto" w:fill="FFFFFF"/>
    </w:rPr>
  </w:style>
  <w:style w:type="character" w:customStyle="1" w:styleId="Consolas9pt">
    <w:name w:val="Основной текст + Consolas;9 pt;Курсив"/>
    <w:basedOn w:val="aff1"/>
    <w:rsid w:val="000E2A81"/>
    <w:rPr>
      <w:rFonts w:ascii="Consolas" w:eastAsia="Consolas" w:hAnsi="Consolas" w:cs="Consolas"/>
      <w:b w:val="0"/>
      <w:bCs w:val="0"/>
      <w:i/>
      <w:iCs/>
      <w:smallCaps w:val="0"/>
      <w:strike w:val="0"/>
      <w:spacing w:val="0"/>
      <w:sz w:val="18"/>
      <w:szCs w:val="18"/>
    </w:rPr>
  </w:style>
  <w:style w:type="character" w:customStyle="1" w:styleId="8pt1pt">
    <w:name w:val="Основной текст + 8 pt;Курсив;Интервал 1 pt"/>
    <w:basedOn w:val="aff1"/>
    <w:rsid w:val="0090533F"/>
    <w:rPr>
      <w:rFonts w:ascii="MingLiU" w:eastAsia="MingLiU" w:hAnsi="MingLiU" w:cs="MingLiU"/>
      <w:b w:val="0"/>
      <w:bCs w:val="0"/>
      <w:i/>
      <w:iCs/>
      <w:smallCaps w:val="0"/>
      <w:strike w:val="0"/>
      <w:spacing w:val="20"/>
      <w:sz w:val="16"/>
      <w:szCs w:val="16"/>
      <w:shd w:val="clear" w:color="auto" w:fill="FFFFFF"/>
    </w:rPr>
  </w:style>
  <w:style w:type="character" w:customStyle="1" w:styleId="TimesNewRoman11pt0pt">
    <w:name w:val="Основной текст + Times New Roman;11 pt;Курсив;Интервал 0 pt"/>
    <w:basedOn w:val="aff1"/>
    <w:rsid w:val="0090533F"/>
    <w:rPr>
      <w:rFonts w:ascii="Times New Roman" w:eastAsia="Times New Roman" w:hAnsi="Times New Roman" w:cs="Times New Roman"/>
      <w:b w:val="0"/>
      <w:bCs w:val="0"/>
      <w:i/>
      <w:iCs/>
      <w:smallCaps w:val="0"/>
      <w:strike w:val="0"/>
      <w:spacing w:val="0"/>
      <w:sz w:val="22"/>
      <w:szCs w:val="22"/>
      <w:shd w:val="clear" w:color="auto" w:fill="FFFFFF"/>
    </w:rPr>
  </w:style>
  <w:style w:type="character" w:customStyle="1" w:styleId="TimesNewRoman85pt1pt">
    <w:name w:val="Основной текст + Times New Roman;8;5 pt;Малые прописные;Интервал 1 pt"/>
    <w:basedOn w:val="aff1"/>
    <w:rsid w:val="0090533F"/>
    <w:rPr>
      <w:rFonts w:ascii="Times New Roman" w:eastAsia="Times New Roman" w:hAnsi="Times New Roman" w:cs="Times New Roman"/>
      <w:b w:val="0"/>
      <w:bCs w:val="0"/>
      <w:i w:val="0"/>
      <w:iCs w:val="0"/>
      <w:smallCaps/>
      <w:strike w:val="0"/>
      <w:spacing w:val="20"/>
      <w:sz w:val="17"/>
      <w:szCs w:val="17"/>
      <w:shd w:val="clear" w:color="auto" w:fill="FFFFFF"/>
    </w:rPr>
  </w:style>
  <w:style w:type="character" w:customStyle="1" w:styleId="ArialUnicodeMS75pt">
    <w:name w:val="Основной текст + Arial Unicode MS;7;5 pt;Малые прописные"/>
    <w:basedOn w:val="aff1"/>
    <w:rsid w:val="0090533F"/>
    <w:rPr>
      <w:rFonts w:ascii="Arial Unicode MS" w:eastAsia="Arial Unicode MS" w:hAnsi="Arial Unicode MS" w:cs="Arial Unicode MS"/>
      <w:b w:val="0"/>
      <w:bCs w:val="0"/>
      <w:i w:val="0"/>
      <w:iCs w:val="0"/>
      <w:smallCaps/>
      <w:strike w:val="0"/>
      <w:spacing w:val="0"/>
      <w:sz w:val="15"/>
      <w:szCs w:val="15"/>
      <w:shd w:val="clear" w:color="auto" w:fill="FFFFFF"/>
    </w:rPr>
  </w:style>
  <w:style w:type="character" w:customStyle="1" w:styleId="TimesNewRoman95pt">
    <w:name w:val="Основной текст + Times New Roman;9;5 pt;Не полужирный"/>
    <w:basedOn w:val="aff1"/>
    <w:rsid w:val="00B21653"/>
    <w:rPr>
      <w:rFonts w:ascii="Times New Roman" w:eastAsia="Times New Roman" w:hAnsi="Times New Roman" w:cs="Times New Roman"/>
      <w:b/>
      <w:bCs/>
      <w:i w:val="0"/>
      <w:iCs w:val="0"/>
      <w:smallCaps w:val="0"/>
      <w:strike w:val="0"/>
      <w:spacing w:val="0"/>
      <w:w w:val="100"/>
      <w:sz w:val="19"/>
      <w:szCs w:val="19"/>
    </w:rPr>
  </w:style>
  <w:style w:type="character" w:customStyle="1" w:styleId="TrebuchetMS95pt">
    <w:name w:val="Основной текст + Trebuchet MS;9;5 pt;Курсив"/>
    <w:basedOn w:val="aff1"/>
    <w:rsid w:val="00AD30B7"/>
    <w:rPr>
      <w:rFonts w:ascii="Trebuchet MS" w:eastAsia="Trebuchet MS" w:hAnsi="Trebuchet MS" w:cs="Trebuchet MS"/>
      <w:b w:val="0"/>
      <w:bCs w:val="0"/>
      <w:i/>
      <w:iCs/>
      <w:smallCaps w:val="0"/>
      <w:strike w:val="0"/>
      <w:spacing w:val="0"/>
      <w:sz w:val="19"/>
      <w:szCs w:val="19"/>
      <w:shd w:val="clear" w:color="auto" w:fill="FFFFFF"/>
    </w:rPr>
  </w:style>
  <w:style w:type="character" w:customStyle="1" w:styleId="5pt">
    <w:name w:val="Основной текст + Интервал 5 pt"/>
    <w:basedOn w:val="aff1"/>
    <w:rsid w:val="00DF15BD"/>
    <w:rPr>
      <w:rFonts w:ascii="Batang" w:eastAsia="Batang" w:hAnsi="Batang" w:cs="Batang"/>
      <w:b w:val="0"/>
      <w:bCs w:val="0"/>
      <w:i w:val="0"/>
      <w:iCs w:val="0"/>
      <w:smallCaps w:val="0"/>
      <w:strike w:val="0"/>
      <w:spacing w:val="110"/>
      <w:sz w:val="18"/>
      <w:szCs w:val="18"/>
      <w:shd w:val="clear" w:color="auto" w:fill="FFFFFF"/>
    </w:rPr>
  </w:style>
  <w:style w:type="character" w:customStyle="1" w:styleId="7pt0pt">
    <w:name w:val="Основной текст + 7 pt;Не полужирный;Интервал 0 pt"/>
    <w:basedOn w:val="aff1"/>
    <w:rsid w:val="00DF15BD"/>
    <w:rPr>
      <w:rFonts w:ascii="Sylfaen" w:eastAsia="Sylfaen" w:hAnsi="Sylfaen" w:cs="Sylfaen"/>
      <w:b/>
      <w:bCs/>
      <w:i w:val="0"/>
      <w:iCs w:val="0"/>
      <w:smallCaps w:val="0"/>
      <w:strike w:val="0"/>
      <w:spacing w:val="10"/>
      <w:sz w:val="14"/>
      <w:szCs w:val="14"/>
      <w:shd w:val="clear" w:color="auto" w:fill="FFFFFF"/>
    </w:rPr>
  </w:style>
  <w:style w:type="character" w:customStyle="1" w:styleId="10pt0">
    <w:name w:val="Основной текст + 10 pt;Не полужирный;Курсив"/>
    <w:basedOn w:val="aff1"/>
    <w:rsid w:val="00DF15BD"/>
    <w:rPr>
      <w:rFonts w:ascii="Sylfaen" w:eastAsia="Sylfaen" w:hAnsi="Sylfaen" w:cs="Sylfaen"/>
      <w:b/>
      <w:bCs/>
      <w:i/>
      <w:iCs/>
      <w:smallCaps w:val="0"/>
      <w:strike w:val="0"/>
      <w:spacing w:val="0"/>
      <w:sz w:val="20"/>
      <w:szCs w:val="20"/>
      <w:shd w:val="clear" w:color="auto" w:fill="FFFFFF"/>
    </w:rPr>
  </w:style>
  <w:style w:type="character" w:customStyle="1" w:styleId="PalatinoLinotype8pt0pt">
    <w:name w:val="Основной текст + Palatino Linotype;8 pt;Интервал 0 pt"/>
    <w:basedOn w:val="aff1"/>
    <w:rsid w:val="00C20F3C"/>
    <w:rPr>
      <w:rFonts w:ascii="Palatino Linotype" w:eastAsia="Palatino Linotype" w:hAnsi="Palatino Linotype" w:cs="Palatino Linotype"/>
      <w:b w:val="0"/>
      <w:bCs w:val="0"/>
      <w:i w:val="0"/>
      <w:iCs w:val="0"/>
      <w:smallCaps w:val="0"/>
      <w:strike w:val="0"/>
      <w:spacing w:val="0"/>
      <w:sz w:val="16"/>
      <w:szCs w:val="16"/>
      <w:shd w:val="clear" w:color="auto" w:fill="FFFFFF"/>
    </w:rPr>
  </w:style>
  <w:style w:type="character" w:customStyle="1" w:styleId="TimesNewRoman9pt">
    <w:name w:val="Основной текст + Times New Roman;9 pt"/>
    <w:basedOn w:val="aff1"/>
    <w:rsid w:val="00C20F3C"/>
    <w:rPr>
      <w:rFonts w:ascii="Times New Roman" w:eastAsia="Times New Roman" w:hAnsi="Times New Roman" w:cs="Times New Roman"/>
      <w:b w:val="0"/>
      <w:bCs w:val="0"/>
      <w:i w:val="0"/>
      <w:iCs w:val="0"/>
      <w:smallCaps w:val="0"/>
      <w:strike w:val="0"/>
      <w:spacing w:val="0"/>
      <w:sz w:val="18"/>
      <w:szCs w:val="18"/>
      <w:shd w:val="clear" w:color="auto" w:fill="FFFFFF"/>
    </w:rPr>
  </w:style>
  <w:style w:type="character" w:customStyle="1" w:styleId="Candara115pt-1pt">
    <w:name w:val="Основной текст + Candara;11;5 pt;Интервал -1 pt"/>
    <w:basedOn w:val="aff1"/>
    <w:rsid w:val="00C20F3C"/>
    <w:rPr>
      <w:rFonts w:ascii="Candara" w:eastAsia="Candara" w:hAnsi="Candara" w:cs="Candara"/>
      <w:b w:val="0"/>
      <w:bCs w:val="0"/>
      <w:i w:val="0"/>
      <w:iCs w:val="0"/>
      <w:smallCaps w:val="0"/>
      <w:strike w:val="0"/>
      <w:spacing w:val="-20"/>
      <w:sz w:val="23"/>
      <w:szCs w:val="23"/>
      <w:shd w:val="clear" w:color="auto" w:fill="FFFFFF"/>
    </w:rPr>
  </w:style>
  <w:style w:type="character" w:customStyle="1" w:styleId="Constantia14pt">
    <w:name w:val="Основной текст + Constantia;14 pt"/>
    <w:basedOn w:val="aff1"/>
    <w:rsid w:val="00C20F3C"/>
    <w:rPr>
      <w:rFonts w:ascii="Constantia" w:eastAsia="Constantia" w:hAnsi="Constantia" w:cs="Constantia"/>
      <w:b w:val="0"/>
      <w:bCs w:val="0"/>
      <w:i w:val="0"/>
      <w:iCs w:val="0"/>
      <w:smallCaps w:val="0"/>
      <w:strike w:val="0"/>
      <w:spacing w:val="0"/>
      <w:sz w:val="28"/>
      <w:szCs w:val="28"/>
      <w:shd w:val="clear" w:color="auto" w:fill="FFFFFF"/>
    </w:rPr>
  </w:style>
  <w:style w:type="character" w:customStyle="1" w:styleId="Tahoma7pt1pt">
    <w:name w:val="Основной текст + Tahoma;7 pt;Курсив;Интервал 1 pt"/>
    <w:basedOn w:val="aff1"/>
    <w:rsid w:val="00C20F3C"/>
    <w:rPr>
      <w:rFonts w:ascii="Tahoma" w:eastAsia="Tahoma" w:hAnsi="Tahoma" w:cs="Tahoma"/>
      <w:b w:val="0"/>
      <w:bCs w:val="0"/>
      <w:i/>
      <w:iCs/>
      <w:smallCaps w:val="0"/>
      <w:strike w:val="0"/>
      <w:spacing w:val="20"/>
      <w:sz w:val="14"/>
      <w:szCs w:val="14"/>
      <w:shd w:val="clear" w:color="auto" w:fill="FFFFFF"/>
    </w:rPr>
  </w:style>
  <w:style w:type="character" w:customStyle="1" w:styleId="Tahoma">
    <w:name w:val="Основной текст + Tahoma"/>
    <w:basedOn w:val="aff1"/>
    <w:rsid w:val="00C20F3C"/>
    <w:rPr>
      <w:rFonts w:ascii="Tahoma" w:eastAsia="Tahoma" w:hAnsi="Tahoma" w:cs="Tahoma"/>
      <w:b w:val="0"/>
      <w:bCs w:val="0"/>
      <w:i w:val="0"/>
      <w:iCs w:val="0"/>
      <w:smallCaps w:val="0"/>
      <w:strike w:val="0"/>
      <w:spacing w:val="0"/>
      <w:sz w:val="17"/>
      <w:szCs w:val="17"/>
      <w:shd w:val="clear" w:color="auto" w:fill="FFFFFF"/>
    </w:rPr>
  </w:style>
  <w:style w:type="character" w:customStyle="1" w:styleId="ArialNarrow95pt">
    <w:name w:val="Основной текст + Arial Narrow;9;5 pt;Курсив"/>
    <w:basedOn w:val="aff1"/>
    <w:rsid w:val="00C20F3C"/>
    <w:rPr>
      <w:rFonts w:ascii="Arial Narrow" w:eastAsia="Arial Narrow" w:hAnsi="Arial Narrow" w:cs="Arial Narrow"/>
      <w:b w:val="0"/>
      <w:bCs w:val="0"/>
      <w:i/>
      <w:iCs/>
      <w:smallCaps w:val="0"/>
      <w:strike w:val="0"/>
      <w:spacing w:val="0"/>
      <w:sz w:val="19"/>
      <w:szCs w:val="19"/>
      <w:shd w:val="clear" w:color="auto" w:fill="FFFFFF"/>
    </w:rPr>
  </w:style>
  <w:style w:type="character" w:customStyle="1" w:styleId="ArialUnicodeMS-1pt">
    <w:name w:val="Основной текст + Arial Unicode MS;Не полужирный;Интервал -1 pt"/>
    <w:basedOn w:val="aff1"/>
    <w:rsid w:val="00C20F3C"/>
    <w:rPr>
      <w:rFonts w:ascii="Arial Unicode MS" w:eastAsia="Arial Unicode MS" w:hAnsi="Arial Unicode MS" w:cs="Arial Unicode MS"/>
      <w:b/>
      <w:bCs/>
      <w:i w:val="0"/>
      <w:iCs w:val="0"/>
      <w:smallCaps w:val="0"/>
      <w:strike w:val="0"/>
      <w:spacing w:val="-20"/>
      <w:w w:val="100"/>
      <w:sz w:val="17"/>
      <w:szCs w:val="17"/>
      <w:shd w:val="clear" w:color="auto" w:fill="FFFFFF"/>
    </w:rPr>
  </w:style>
  <w:style w:type="character" w:customStyle="1" w:styleId="7pt0pt0">
    <w:name w:val="Основной текст + 7 pt;Интервал 0 pt"/>
    <w:basedOn w:val="aff1"/>
    <w:rsid w:val="00351D4E"/>
    <w:rPr>
      <w:rFonts w:ascii="Gungsuh" w:eastAsia="Gungsuh" w:hAnsi="Gungsuh" w:cs="Gungsuh"/>
      <w:b w:val="0"/>
      <w:bCs w:val="0"/>
      <w:i w:val="0"/>
      <w:iCs w:val="0"/>
      <w:smallCaps w:val="0"/>
      <w:strike w:val="0"/>
      <w:spacing w:val="-10"/>
      <w:sz w:val="14"/>
      <w:szCs w:val="14"/>
      <w:shd w:val="clear" w:color="auto" w:fill="FFFFFF"/>
    </w:rPr>
  </w:style>
  <w:style w:type="paragraph" w:customStyle="1" w:styleId="172">
    <w:name w:val="Основной текст17"/>
    <w:basedOn w:val="a"/>
    <w:rsid w:val="0059774D"/>
    <w:pPr>
      <w:shd w:val="clear" w:color="auto" w:fill="FFFFFF"/>
      <w:spacing w:before="660" w:after="0" w:line="0" w:lineRule="atLeast"/>
      <w:ind w:hanging="280"/>
    </w:pPr>
    <w:rPr>
      <w:rFonts w:ascii="Arial Narrow" w:eastAsia="Arial Narrow" w:hAnsi="Arial Narrow" w:cs="Arial Narrow"/>
      <w:color w:val="000000"/>
      <w:sz w:val="19"/>
      <w:szCs w:val="19"/>
      <w:lang w:eastAsia="ru-RU"/>
    </w:rPr>
  </w:style>
  <w:style w:type="paragraph" w:customStyle="1" w:styleId="184">
    <w:name w:val="Основной текст18"/>
    <w:basedOn w:val="a"/>
    <w:rsid w:val="00292637"/>
    <w:pPr>
      <w:shd w:val="clear" w:color="auto" w:fill="FFFFFF"/>
      <w:spacing w:before="600" w:after="2880" w:line="240" w:lineRule="exact"/>
      <w:jc w:val="both"/>
    </w:pPr>
    <w:rPr>
      <w:rFonts w:ascii="Arial Narrow" w:eastAsia="Arial Narrow" w:hAnsi="Arial Narrow" w:cs="Arial Narrow"/>
      <w:color w:val="000000"/>
      <w:sz w:val="18"/>
      <w:szCs w:val="18"/>
      <w:lang w:eastAsia="ru-RU"/>
    </w:rPr>
  </w:style>
  <w:style w:type="character" w:customStyle="1" w:styleId="TrebuchetMS0">
    <w:name w:val="Основной текст + Trebuchet MS;Курсив"/>
    <w:basedOn w:val="aff1"/>
    <w:rsid w:val="00750752"/>
    <w:rPr>
      <w:rFonts w:ascii="Trebuchet MS" w:eastAsia="Trebuchet MS" w:hAnsi="Trebuchet MS" w:cs="Trebuchet MS"/>
      <w:b w:val="0"/>
      <w:bCs w:val="0"/>
      <w:i/>
      <w:iCs/>
      <w:smallCaps w:val="0"/>
      <w:strike w:val="0"/>
      <w:spacing w:val="0"/>
      <w:sz w:val="19"/>
      <w:szCs w:val="19"/>
      <w:shd w:val="clear" w:color="auto" w:fill="FFFFFF"/>
    </w:rPr>
  </w:style>
  <w:style w:type="character" w:customStyle="1" w:styleId="4pt0">
    <w:name w:val="Основной текст + 4 pt;Курсив"/>
    <w:basedOn w:val="aff1"/>
    <w:rsid w:val="00750752"/>
    <w:rPr>
      <w:rFonts w:ascii="Batang" w:eastAsia="Batang" w:hAnsi="Batang" w:cs="Batang"/>
      <w:b w:val="0"/>
      <w:bCs w:val="0"/>
      <w:i/>
      <w:iCs/>
      <w:smallCaps w:val="0"/>
      <w:strike w:val="0"/>
      <w:spacing w:val="0"/>
      <w:sz w:val="8"/>
      <w:szCs w:val="8"/>
      <w:shd w:val="clear" w:color="auto" w:fill="FFFFFF"/>
    </w:rPr>
  </w:style>
  <w:style w:type="character" w:customStyle="1" w:styleId="6pt">
    <w:name w:val="Основной текст + 6 pt"/>
    <w:basedOn w:val="aff1"/>
    <w:rsid w:val="00750752"/>
    <w:rPr>
      <w:rFonts w:ascii="Batang" w:eastAsia="Batang" w:hAnsi="Batang" w:cs="Batang"/>
      <w:b w:val="0"/>
      <w:bCs w:val="0"/>
      <w:i w:val="0"/>
      <w:iCs w:val="0"/>
      <w:smallCaps w:val="0"/>
      <w:strike w:val="0"/>
      <w:spacing w:val="0"/>
      <w:sz w:val="12"/>
      <w:szCs w:val="12"/>
      <w:shd w:val="clear" w:color="auto" w:fill="FFFFFF"/>
    </w:rPr>
  </w:style>
  <w:style w:type="paragraph" w:customStyle="1" w:styleId="rtecenter">
    <w:name w:val="rtecenter"/>
    <w:basedOn w:val="a"/>
    <w:rsid w:val="00BC5781"/>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MSReferenceSansSerif6pt">
    <w:name w:val="Основной текст + MS Reference Sans Serif;6 pt"/>
    <w:basedOn w:val="aff1"/>
    <w:rsid w:val="00BC5781"/>
    <w:rPr>
      <w:rFonts w:ascii="MS Reference Sans Serif" w:eastAsia="MS Reference Sans Serif" w:hAnsi="MS Reference Sans Serif" w:cs="MS Reference Sans Serif"/>
      <w:b w:val="0"/>
      <w:bCs w:val="0"/>
      <w:i w:val="0"/>
      <w:iCs w:val="0"/>
      <w:smallCaps w:val="0"/>
      <w:strike w:val="0"/>
      <w:spacing w:val="0"/>
      <w:sz w:val="12"/>
      <w:szCs w:val="12"/>
      <w:shd w:val="clear" w:color="auto" w:fill="FFFFFF"/>
    </w:rPr>
  </w:style>
  <w:style w:type="character" w:customStyle="1" w:styleId="67">
    <w:name w:val="Основной текст (6)_"/>
    <w:basedOn w:val="a0"/>
    <w:link w:val="68"/>
    <w:rsid w:val="00104BAB"/>
    <w:rPr>
      <w:rFonts w:ascii="Arial Narrow" w:eastAsia="Arial Narrow" w:hAnsi="Arial Narrow" w:cs="Arial Narrow"/>
      <w:sz w:val="12"/>
      <w:szCs w:val="12"/>
      <w:shd w:val="clear" w:color="auto" w:fill="FFFFFF"/>
    </w:rPr>
  </w:style>
  <w:style w:type="paragraph" w:customStyle="1" w:styleId="68">
    <w:name w:val="Основной текст (6)"/>
    <w:basedOn w:val="a"/>
    <w:link w:val="67"/>
    <w:rsid w:val="00104BAB"/>
    <w:pPr>
      <w:shd w:val="clear" w:color="auto" w:fill="FFFFFF"/>
      <w:spacing w:after="0" w:line="137" w:lineRule="exact"/>
      <w:jc w:val="right"/>
    </w:pPr>
    <w:rPr>
      <w:rFonts w:ascii="Arial Narrow" w:eastAsia="Arial Narrow" w:hAnsi="Arial Narrow" w:cs="Arial Narrow"/>
      <w:sz w:val="12"/>
      <w:szCs w:val="12"/>
      <w:lang w:eastAsia="ru-RU"/>
    </w:rPr>
  </w:style>
  <w:style w:type="character" w:customStyle="1" w:styleId="TimesNewRoman85pt0pt">
    <w:name w:val="Основной текст + Times New Roman;8;5 pt;Курсив;Интервал 0 pt"/>
    <w:basedOn w:val="aff1"/>
    <w:rsid w:val="00104BAB"/>
    <w:rPr>
      <w:rFonts w:ascii="Times New Roman" w:eastAsia="Times New Roman" w:hAnsi="Times New Roman" w:cs="Times New Roman"/>
      <w:b w:val="0"/>
      <w:bCs w:val="0"/>
      <w:i/>
      <w:iCs/>
      <w:smallCaps w:val="0"/>
      <w:strike w:val="0"/>
      <w:spacing w:val="0"/>
      <w:sz w:val="17"/>
      <w:szCs w:val="17"/>
      <w:shd w:val="clear" w:color="auto" w:fill="FFFFFF"/>
    </w:rPr>
  </w:style>
  <w:style w:type="character" w:customStyle="1" w:styleId="192">
    <w:name w:val="Основной текст19"/>
    <w:basedOn w:val="aff1"/>
    <w:rsid w:val="00104BAB"/>
    <w:rPr>
      <w:rFonts w:ascii="Gungsuh" w:eastAsia="Gungsuh" w:hAnsi="Gungsuh" w:cs="Gungsuh"/>
      <w:b w:val="0"/>
      <w:bCs w:val="0"/>
      <w:i w:val="0"/>
      <w:iCs w:val="0"/>
      <w:smallCaps w:val="0"/>
      <w:strike w:val="0"/>
      <w:spacing w:val="10"/>
      <w:sz w:val="23"/>
      <w:szCs w:val="23"/>
      <w:shd w:val="clear" w:color="auto" w:fill="FFFFFF"/>
    </w:rPr>
  </w:style>
  <w:style w:type="character" w:customStyle="1" w:styleId="203">
    <w:name w:val="Основной текст20"/>
    <w:basedOn w:val="aff1"/>
    <w:rsid w:val="00104BAB"/>
    <w:rPr>
      <w:rFonts w:ascii="Gungsuh" w:eastAsia="Gungsuh" w:hAnsi="Gungsuh" w:cs="Gungsuh"/>
      <w:b w:val="0"/>
      <w:bCs w:val="0"/>
      <w:i w:val="0"/>
      <w:iCs w:val="0"/>
      <w:smallCaps w:val="0"/>
      <w:strike w:val="0"/>
      <w:spacing w:val="10"/>
      <w:sz w:val="23"/>
      <w:szCs w:val="23"/>
      <w:shd w:val="clear" w:color="auto" w:fill="FFFFFF"/>
    </w:rPr>
  </w:style>
  <w:style w:type="paragraph" w:customStyle="1" w:styleId="430">
    <w:name w:val="Основной текст43"/>
    <w:basedOn w:val="a"/>
    <w:rsid w:val="00104BAB"/>
    <w:pPr>
      <w:shd w:val="clear" w:color="auto" w:fill="FFFFFF"/>
      <w:spacing w:after="0" w:line="0" w:lineRule="atLeast"/>
      <w:ind w:hanging="480"/>
    </w:pPr>
    <w:rPr>
      <w:rFonts w:ascii="Gungsuh" w:eastAsia="Gungsuh" w:hAnsi="Gungsuh" w:cs="Gungsuh"/>
      <w:color w:val="000000"/>
      <w:sz w:val="15"/>
      <w:szCs w:val="15"/>
      <w:lang w:eastAsia="ru-RU"/>
    </w:rPr>
  </w:style>
  <w:style w:type="character" w:customStyle="1" w:styleId="64pt">
    <w:name w:val="Основной текст (6) + Интервал 4 pt"/>
    <w:basedOn w:val="67"/>
    <w:rsid w:val="00104BAB"/>
    <w:rPr>
      <w:rFonts w:ascii="Gungsuh" w:eastAsia="Gungsuh" w:hAnsi="Gungsuh" w:cs="Gungsuh"/>
      <w:b w:val="0"/>
      <w:bCs w:val="0"/>
      <w:i w:val="0"/>
      <w:iCs w:val="0"/>
      <w:smallCaps w:val="0"/>
      <w:strike w:val="0"/>
      <w:spacing w:val="80"/>
      <w:sz w:val="21"/>
      <w:szCs w:val="21"/>
      <w:shd w:val="clear" w:color="auto" w:fill="FFFFFF"/>
    </w:rPr>
  </w:style>
  <w:style w:type="paragraph" w:customStyle="1" w:styleId="115">
    <w:name w:val="Основной текст11"/>
    <w:basedOn w:val="a"/>
    <w:rsid w:val="00A3754D"/>
    <w:pPr>
      <w:shd w:val="clear" w:color="auto" w:fill="FFFFFF"/>
      <w:spacing w:after="900" w:line="0" w:lineRule="atLeast"/>
    </w:pPr>
    <w:rPr>
      <w:rFonts w:ascii="Arial Narrow" w:eastAsia="Arial Narrow" w:hAnsi="Arial Narrow" w:cs="Arial Narrow"/>
      <w:color w:val="000000"/>
      <w:sz w:val="17"/>
      <w:szCs w:val="17"/>
      <w:lang w:eastAsia="ru-RU"/>
    </w:rPr>
  </w:style>
  <w:style w:type="paragraph" w:customStyle="1" w:styleId="rteindent1">
    <w:name w:val="rteindent1"/>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media-description">
    <w:name w:val="media-description"/>
    <w:basedOn w:val="a0"/>
    <w:rsid w:val="00811C95"/>
  </w:style>
  <w:style w:type="character" w:customStyle="1" w:styleId="media-sources">
    <w:name w:val="media-sources"/>
    <w:basedOn w:val="a0"/>
    <w:rsid w:val="00811C95"/>
  </w:style>
  <w:style w:type="character" w:customStyle="1" w:styleId="color1">
    <w:name w:val="color1"/>
    <w:basedOn w:val="a0"/>
    <w:rsid w:val="00811C95"/>
  </w:style>
  <w:style w:type="character" w:customStyle="1" w:styleId="color2">
    <w:name w:val="color2"/>
    <w:basedOn w:val="a0"/>
    <w:rsid w:val="00811C95"/>
  </w:style>
  <w:style w:type="character" w:customStyle="1" w:styleId="z-0">
    <w:name w:val="z-Начало формы Знак"/>
    <w:basedOn w:val="a0"/>
    <w:link w:val="z-2"/>
    <w:uiPriority w:val="99"/>
    <w:semiHidden/>
    <w:rsid w:val="00811C95"/>
    <w:rPr>
      <w:rFonts w:ascii="Arial" w:eastAsia="Times New Roman" w:hAnsi="Arial" w:cs="Arial"/>
      <w:vanish/>
      <w:sz w:val="16"/>
      <w:szCs w:val="16"/>
    </w:rPr>
  </w:style>
  <w:style w:type="paragraph" w:styleId="z-2">
    <w:name w:val="HTML Top of Form"/>
    <w:basedOn w:val="a"/>
    <w:next w:val="a"/>
    <w:link w:val="z-0"/>
    <w:hidden/>
    <w:uiPriority w:val="99"/>
    <w:semiHidden/>
    <w:unhideWhenUsed/>
    <w:rsid w:val="00811C95"/>
    <w:pPr>
      <w:pBdr>
        <w:bottom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3">
    <w:name w:val="z-Конец формы Знак"/>
    <w:basedOn w:val="a0"/>
    <w:link w:val="z-4"/>
    <w:uiPriority w:val="99"/>
    <w:semiHidden/>
    <w:rsid w:val="00811C95"/>
    <w:rPr>
      <w:rFonts w:ascii="Arial" w:eastAsia="Times New Roman" w:hAnsi="Arial" w:cs="Arial"/>
      <w:vanish/>
      <w:sz w:val="16"/>
      <w:szCs w:val="16"/>
    </w:rPr>
  </w:style>
  <w:style w:type="paragraph" w:styleId="z-4">
    <w:name w:val="HTML Bottom of Form"/>
    <w:basedOn w:val="a"/>
    <w:next w:val="a"/>
    <w:link w:val="z-3"/>
    <w:hidden/>
    <w:uiPriority w:val="99"/>
    <w:semiHidden/>
    <w:unhideWhenUsed/>
    <w:rsid w:val="00811C95"/>
    <w:pPr>
      <w:pBdr>
        <w:top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downarrow">
    <w:name w:val="downarrow"/>
    <w:basedOn w:val="a0"/>
    <w:rsid w:val="00811C95"/>
  </w:style>
  <w:style w:type="paragraph" w:customStyle="1" w:styleId="wp-caption-text">
    <w:name w:val="wp-caption-text"/>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fieldset-legend">
    <w:name w:val="fieldset-legend"/>
    <w:basedOn w:val="a0"/>
    <w:rsid w:val="00811C95"/>
  </w:style>
  <w:style w:type="character" w:customStyle="1" w:styleId="fieldset-legend-prefix">
    <w:name w:val="fieldset-legend-prefix"/>
    <w:basedOn w:val="a0"/>
    <w:rsid w:val="00811C95"/>
  </w:style>
  <w:style w:type="paragraph" w:customStyle="1" w:styleId="rteright">
    <w:name w:val="rteright"/>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p">
    <w:name w:val="p"/>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p1">
    <w:name w:val="p1"/>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1f">
    <w:name w:val="Подзаголовок1"/>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ljuser">
    <w:name w:val="ljuser"/>
    <w:basedOn w:val="a0"/>
    <w:rsid w:val="00811C95"/>
  </w:style>
  <w:style w:type="character" w:customStyle="1" w:styleId="byline">
    <w:name w:val="byline"/>
    <w:basedOn w:val="a0"/>
    <w:rsid w:val="00811C95"/>
  </w:style>
  <w:style w:type="character" w:customStyle="1" w:styleId="author">
    <w:name w:val="author"/>
    <w:basedOn w:val="a0"/>
    <w:rsid w:val="00811C95"/>
  </w:style>
  <w:style w:type="character" w:customStyle="1" w:styleId="zag1">
    <w:name w:val="zag1"/>
    <w:basedOn w:val="a0"/>
    <w:rsid w:val="00811C95"/>
  </w:style>
  <w:style w:type="paragraph" w:customStyle="1" w:styleId="autor">
    <w:name w:val="autor"/>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picture-center">
    <w:name w:val="picture-center"/>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picture-sign">
    <w:name w:val="picture-sign"/>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krstr">
    <w:name w:val="kr_str"/>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sn-icon">
    <w:name w:val="sn-icon"/>
    <w:basedOn w:val="a0"/>
    <w:rsid w:val="00811C95"/>
  </w:style>
  <w:style w:type="character" w:customStyle="1" w:styleId="red">
    <w:name w:val="red"/>
    <w:basedOn w:val="a0"/>
    <w:rsid w:val="00811C95"/>
  </w:style>
  <w:style w:type="character" w:customStyle="1" w:styleId="negative">
    <w:name w:val="negative"/>
    <w:basedOn w:val="a0"/>
    <w:rsid w:val="00811C95"/>
  </w:style>
  <w:style w:type="character" w:customStyle="1" w:styleId="positive">
    <w:name w:val="positive"/>
    <w:basedOn w:val="a0"/>
    <w:rsid w:val="00811C95"/>
  </w:style>
  <w:style w:type="character" w:customStyle="1" w:styleId="gray">
    <w:name w:val="gray"/>
    <w:basedOn w:val="a0"/>
    <w:rsid w:val="00811C95"/>
  </w:style>
  <w:style w:type="character" w:customStyle="1" w:styleId="ng-binding">
    <w:name w:val="ng-binding"/>
    <w:basedOn w:val="a0"/>
    <w:rsid w:val="00811C95"/>
  </w:style>
  <w:style w:type="paragraph" w:customStyle="1" w:styleId="grey-text">
    <w:name w:val="grey-text"/>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banner-place-1">
    <w:name w:val="banner-place-1"/>
    <w:basedOn w:val="a0"/>
    <w:rsid w:val="00811C95"/>
  </w:style>
  <w:style w:type="character" w:customStyle="1" w:styleId="banner-place-1-1">
    <w:name w:val="banner-place-1-1"/>
    <w:basedOn w:val="a0"/>
    <w:rsid w:val="00811C95"/>
  </w:style>
  <w:style w:type="character" w:customStyle="1" w:styleId="link-views">
    <w:name w:val="link-views"/>
    <w:basedOn w:val="a0"/>
    <w:rsid w:val="00811C95"/>
  </w:style>
  <w:style w:type="character" w:customStyle="1" w:styleId="link-comms">
    <w:name w:val="link-comms"/>
    <w:basedOn w:val="a0"/>
    <w:rsid w:val="00811C95"/>
  </w:style>
  <w:style w:type="character" w:customStyle="1" w:styleId="rate">
    <w:name w:val="rate"/>
    <w:basedOn w:val="a0"/>
    <w:rsid w:val="00811C95"/>
  </w:style>
  <w:style w:type="character" w:customStyle="1" w:styleId="10100">
    <w:name w:val="1010"/>
    <w:basedOn w:val="a0"/>
    <w:rsid w:val="00811C95"/>
  </w:style>
  <w:style w:type="paragraph" w:customStyle="1" w:styleId="107">
    <w:name w:val="10"/>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apple-converted-space">
    <w:name w:val="apple-converted-space"/>
    <w:basedOn w:val="a0"/>
    <w:rsid w:val="00811C95"/>
  </w:style>
  <w:style w:type="paragraph" w:customStyle="1" w:styleId="2f2">
    <w:name w:val="2"/>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hl1">
    <w:name w:val="hl1"/>
    <w:basedOn w:val="a0"/>
    <w:rsid w:val="00811C95"/>
  </w:style>
  <w:style w:type="paragraph" w:customStyle="1" w:styleId="3e">
    <w:name w:val="3"/>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a00">
    <w:name w:val="a0"/>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1111">
    <w:name w:val="111"/>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ww8num3z0">
    <w:name w:val="ww8num3z0"/>
    <w:basedOn w:val="a0"/>
    <w:rsid w:val="00811C95"/>
  </w:style>
  <w:style w:type="paragraph" w:customStyle="1" w:styleId="1000">
    <w:name w:val="100"/>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1011">
    <w:name w:val="101"/>
    <w:basedOn w:val="a0"/>
    <w:rsid w:val="00811C95"/>
  </w:style>
  <w:style w:type="paragraph" w:customStyle="1" w:styleId="paragraphstyle">
    <w:name w:val="paragraphstyle"/>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94">
    <w:name w:val="9"/>
    <w:basedOn w:val="a0"/>
    <w:rsid w:val="00811C95"/>
  </w:style>
  <w:style w:type="paragraph" w:customStyle="1" w:styleId="911">
    <w:name w:val="911"/>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a60">
    <w:name w:val="a6"/>
    <w:basedOn w:val="a0"/>
    <w:rsid w:val="00811C95"/>
  </w:style>
  <w:style w:type="character" w:customStyle="1" w:styleId="912pt">
    <w:name w:val="912pt"/>
    <w:basedOn w:val="a0"/>
    <w:rsid w:val="00811C95"/>
  </w:style>
  <w:style w:type="character" w:customStyle="1" w:styleId="912pt1">
    <w:name w:val="912pt1"/>
    <w:basedOn w:val="a0"/>
    <w:rsid w:val="00811C95"/>
  </w:style>
  <w:style w:type="character" w:customStyle="1" w:styleId="98pt">
    <w:name w:val="98pt"/>
    <w:basedOn w:val="a0"/>
    <w:rsid w:val="00811C95"/>
  </w:style>
  <w:style w:type="character" w:customStyle="1" w:styleId="99pt">
    <w:name w:val="99pt"/>
    <w:basedOn w:val="a0"/>
    <w:rsid w:val="00811C95"/>
  </w:style>
  <w:style w:type="character" w:customStyle="1" w:styleId="99pt3">
    <w:name w:val="99pt3"/>
    <w:basedOn w:val="a0"/>
    <w:rsid w:val="00811C95"/>
  </w:style>
  <w:style w:type="character" w:customStyle="1" w:styleId="911pt">
    <w:name w:val="911pt"/>
    <w:basedOn w:val="a0"/>
    <w:rsid w:val="00811C95"/>
  </w:style>
  <w:style w:type="character" w:customStyle="1" w:styleId="99pt2">
    <w:name w:val="99pt2"/>
    <w:basedOn w:val="a0"/>
    <w:rsid w:val="00811C95"/>
  </w:style>
  <w:style w:type="character" w:customStyle="1" w:styleId="921">
    <w:name w:val="92"/>
    <w:basedOn w:val="a0"/>
    <w:rsid w:val="00811C95"/>
  </w:style>
  <w:style w:type="character" w:customStyle="1" w:styleId="130">
    <w:name w:val="130"/>
    <w:basedOn w:val="a0"/>
    <w:rsid w:val="00811C95"/>
  </w:style>
  <w:style w:type="character" w:customStyle="1" w:styleId="1311pt">
    <w:name w:val="1311pt"/>
    <w:basedOn w:val="a0"/>
    <w:rsid w:val="00811C95"/>
  </w:style>
  <w:style w:type="paragraph" w:customStyle="1" w:styleId="131">
    <w:name w:val="131"/>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98pt1">
    <w:name w:val="98pt1"/>
    <w:basedOn w:val="a0"/>
    <w:rsid w:val="00811C95"/>
  </w:style>
  <w:style w:type="character" w:customStyle="1" w:styleId="99pt1">
    <w:name w:val="99pt1"/>
    <w:basedOn w:val="a0"/>
    <w:rsid w:val="00811C95"/>
  </w:style>
  <w:style w:type="character" w:customStyle="1" w:styleId="98">
    <w:name w:val="98"/>
    <w:basedOn w:val="a0"/>
    <w:rsid w:val="00811C95"/>
  </w:style>
  <w:style w:type="character" w:customStyle="1" w:styleId="9pt0">
    <w:name w:val="9pt"/>
    <w:basedOn w:val="a0"/>
    <w:rsid w:val="00811C95"/>
  </w:style>
  <w:style w:type="character" w:customStyle="1" w:styleId="9pt10">
    <w:name w:val="9pt1"/>
    <w:basedOn w:val="a0"/>
    <w:rsid w:val="00811C95"/>
  </w:style>
  <w:style w:type="paragraph" w:customStyle="1" w:styleId="a50">
    <w:name w:val="a5"/>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posted-on">
    <w:name w:val="posted-on"/>
    <w:basedOn w:val="a0"/>
    <w:rsid w:val="00811C95"/>
  </w:style>
  <w:style w:type="character" w:customStyle="1" w:styleId="cat-links">
    <w:name w:val="cat-links"/>
    <w:basedOn w:val="a0"/>
    <w:rsid w:val="00811C95"/>
  </w:style>
  <w:style w:type="paragraph" w:customStyle="1" w:styleId="upgcontext">
    <w:name w:val="upgcontext"/>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juscontext">
    <w:name w:val="juscontext"/>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rigcontext">
    <w:name w:val="rigcontext"/>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tar">
    <w:name w:val="tar"/>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4d">
    <w:name w:val="4"/>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cattitle">
    <w:name w:val="cat_title"/>
    <w:basedOn w:val="a0"/>
    <w:rsid w:val="00811C95"/>
  </w:style>
  <w:style w:type="character" w:customStyle="1" w:styleId="right">
    <w:name w:val="right"/>
    <w:basedOn w:val="a0"/>
    <w:rsid w:val="00811C95"/>
  </w:style>
  <w:style w:type="character" w:customStyle="1" w:styleId="b-share">
    <w:name w:val="b-share"/>
    <w:basedOn w:val="a0"/>
    <w:rsid w:val="00811C95"/>
  </w:style>
  <w:style w:type="character" w:customStyle="1" w:styleId="b-share-form-button">
    <w:name w:val="b-share-form-button"/>
    <w:basedOn w:val="a0"/>
    <w:rsid w:val="00811C95"/>
  </w:style>
  <w:style w:type="character" w:customStyle="1" w:styleId="b-share-icon">
    <w:name w:val="b-share-icon"/>
    <w:basedOn w:val="a0"/>
    <w:rsid w:val="00811C95"/>
  </w:style>
  <w:style w:type="character" w:customStyle="1" w:styleId="authorname">
    <w:name w:val="author_name"/>
    <w:basedOn w:val="a0"/>
    <w:rsid w:val="00811C95"/>
  </w:style>
  <w:style w:type="character" w:customStyle="1" w:styleId="b-share-popupicon">
    <w:name w:val="b-share-popup__icon"/>
    <w:basedOn w:val="a0"/>
    <w:rsid w:val="00811C95"/>
  </w:style>
  <w:style w:type="character" w:customStyle="1" w:styleId="b-share-popupitemtext">
    <w:name w:val="b-share-popup__item__text"/>
    <w:basedOn w:val="a0"/>
    <w:rsid w:val="00811C95"/>
  </w:style>
  <w:style w:type="character" w:customStyle="1" w:styleId="highlight">
    <w:name w:val="highlight"/>
    <w:basedOn w:val="a0"/>
    <w:rsid w:val="00811C95"/>
  </w:style>
  <w:style w:type="paragraph" w:customStyle="1" w:styleId="204">
    <w:name w:val="20"/>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400">
    <w:name w:val="40"/>
    <w:basedOn w:val="a0"/>
    <w:rsid w:val="00811C95"/>
  </w:style>
  <w:style w:type="paragraph" w:customStyle="1" w:styleId="312">
    <w:name w:val="31"/>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301">
    <w:name w:val="30"/>
    <w:basedOn w:val="a0"/>
    <w:rsid w:val="00811C95"/>
  </w:style>
  <w:style w:type="paragraph" w:customStyle="1" w:styleId="bookmark">
    <w:name w:val="bookmark"/>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storybody">
    <w:name w:val="storybody"/>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big">
    <w:name w:val="big"/>
    <w:basedOn w:val="a0"/>
    <w:rsid w:val="00811C95"/>
  </w:style>
  <w:style w:type="character" w:customStyle="1" w:styleId="screen-reader-text">
    <w:name w:val="screen-reader-text"/>
    <w:basedOn w:val="a0"/>
    <w:rsid w:val="00811C95"/>
  </w:style>
  <w:style w:type="character" w:customStyle="1" w:styleId="apple-tab-span">
    <w:name w:val="apple-tab-span"/>
    <w:basedOn w:val="a0"/>
    <w:rsid w:val="00811C95"/>
  </w:style>
  <w:style w:type="character" w:customStyle="1" w:styleId="smalltext">
    <w:name w:val="smalltext"/>
    <w:basedOn w:val="a0"/>
    <w:rsid w:val="00811C95"/>
  </w:style>
  <w:style w:type="character" w:customStyle="1" w:styleId="bbcsize">
    <w:name w:val="bbc_size"/>
    <w:basedOn w:val="a0"/>
    <w:rsid w:val="00811C95"/>
  </w:style>
  <w:style w:type="character" w:customStyle="1" w:styleId="bbcfont">
    <w:name w:val="bbc_font"/>
    <w:basedOn w:val="a0"/>
    <w:rsid w:val="00811C95"/>
  </w:style>
  <w:style w:type="character" w:customStyle="1" w:styleId="sdelimiter">
    <w:name w:val="sdelimiter"/>
    <w:basedOn w:val="a0"/>
    <w:rsid w:val="00811C95"/>
  </w:style>
  <w:style w:type="character" w:customStyle="1" w:styleId="text0">
    <w:name w:val="text"/>
    <w:basedOn w:val="a0"/>
    <w:rsid w:val="00811C95"/>
  </w:style>
  <w:style w:type="character" w:customStyle="1" w:styleId="HTML">
    <w:name w:val="Стандартный HTML Знак"/>
    <w:basedOn w:val="a0"/>
    <w:link w:val="HTML0"/>
    <w:uiPriority w:val="99"/>
    <w:semiHidden/>
    <w:rsid w:val="00811C95"/>
    <w:rPr>
      <w:rFonts w:ascii="Courier New" w:eastAsia="Times New Roman" w:hAnsi="Courier New" w:cs="Courier New"/>
    </w:rPr>
  </w:style>
  <w:style w:type="paragraph" w:styleId="HTML0">
    <w:name w:val="HTML Preformatted"/>
    <w:basedOn w:val="a"/>
    <w:link w:val="HTML"/>
    <w:uiPriority w:val="99"/>
    <w:semiHidden/>
    <w:unhideWhenUsed/>
    <w:rsid w:val="00811C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paragraph" w:customStyle="1" w:styleId="book-paragraph">
    <w:name w:val="book-paragraph"/>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el-text">
    <w:name w:val="el-text"/>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1f0">
    <w:name w:val="Название объекта1"/>
    <w:basedOn w:val="a0"/>
    <w:rsid w:val="00811C95"/>
  </w:style>
  <w:style w:type="character" w:customStyle="1" w:styleId="gr-969svg-tel-txt">
    <w:name w:val="gr-969svg-tel-txt"/>
    <w:basedOn w:val="a0"/>
    <w:rsid w:val="00811C95"/>
  </w:style>
  <w:style w:type="character" w:customStyle="1" w:styleId="gr-969svg-viber-txt">
    <w:name w:val="gr-969svg-viber-txt"/>
    <w:basedOn w:val="a0"/>
    <w:rsid w:val="00811C95"/>
  </w:style>
  <w:style w:type="character" w:customStyle="1" w:styleId="gr-969svg-app-txt">
    <w:name w:val="gr-969svg-app-txt"/>
    <w:basedOn w:val="a0"/>
    <w:rsid w:val="00811C95"/>
  </w:style>
  <w:style w:type="character" w:customStyle="1" w:styleId="also-readtext--label">
    <w:name w:val="also-read__text--label"/>
    <w:basedOn w:val="a0"/>
    <w:rsid w:val="00811C95"/>
  </w:style>
  <w:style w:type="character" w:customStyle="1" w:styleId="173">
    <w:name w:val="Основной текст (17)_"/>
    <w:basedOn w:val="a0"/>
    <w:rsid w:val="00811C95"/>
    <w:rPr>
      <w:rFonts w:ascii="Segoe UI" w:eastAsia="Segoe UI" w:hAnsi="Segoe UI" w:cs="Segoe UI"/>
      <w:b w:val="0"/>
      <w:bCs w:val="0"/>
      <w:i w:val="0"/>
      <w:iCs w:val="0"/>
      <w:smallCaps w:val="0"/>
      <w:strike w:val="0"/>
      <w:spacing w:val="0"/>
      <w:sz w:val="20"/>
      <w:szCs w:val="20"/>
    </w:rPr>
  </w:style>
  <w:style w:type="character" w:customStyle="1" w:styleId="174">
    <w:name w:val="Основной текст (17)"/>
    <w:basedOn w:val="173"/>
    <w:rsid w:val="00811C95"/>
    <w:rPr>
      <w:rFonts w:ascii="Segoe UI" w:eastAsia="Segoe UI" w:hAnsi="Segoe UI" w:cs="Segoe UI"/>
      <w:b w:val="0"/>
      <w:bCs w:val="0"/>
      <w:i w:val="0"/>
      <w:iCs w:val="0"/>
      <w:smallCaps w:val="0"/>
      <w:strike w:val="0"/>
      <w:color w:val="FFFFFF"/>
      <w:spacing w:val="0"/>
      <w:sz w:val="20"/>
      <w:szCs w:val="20"/>
    </w:rPr>
  </w:style>
  <w:style w:type="character" w:customStyle="1" w:styleId="9pt80">
    <w:name w:val="Основной текст + 9 pt;Курсив;Масштаб 80%"/>
    <w:basedOn w:val="aff1"/>
    <w:rsid w:val="00811C95"/>
    <w:rPr>
      <w:rFonts w:ascii="Segoe UI" w:eastAsia="Segoe UI" w:hAnsi="Segoe UI" w:cs="Segoe UI"/>
      <w:b w:val="0"/>
      <w:bCs w:val="0"/>
      <w:i/>
      <w:iCs/>
      <w:smallCaps w:val="0"/>
      <w:strike w:val="0"/>
      <w:spacing w:val="0"/>
      <w:w w:val="80"/>
      <w:sz w:val="18"/>
      <w:szCs w:val="18"/>
      <w:shd w:val="clear" w:color="auto" w:fill="FFFFFF"/>
    </w:rPr>
  </w:style>
  <w:style w:type="character" w:customStyle="1" w:styleId="116">
    <w:name w:val="Основной текст (11)_"/>
    <w:basedOn w:val="a0"/>
    <w:rsid w:val="00811C95"/>
    <w:rPr>
      <w:rFonts w:ascii="Segoe UI" w:eastAsia="Segoe UI" w:hAnsi="Segoe UI" w:cs="Segoe UI"/>
      <w:b w:val="0"/>
      <w:bCs w:val="0"/>
      <w:i w:val="0"/>
      <w:iCs w:val="0"/>
      <w:smallCaps w:val="0"/>
      <w:strike w:val="0"/>
      <w:spacing w:val="0"/>
      <w:sz w:val="17"/>
      <w:szCs w:val="17"/>
    </w:rPr>
  </w:style>
  <w:style w:type="character" w:customStyle="1" w:styleId="213">
    <w:name w:val="Основной текст (21)_"/>
    <w:basedOn w:val="a0"/>
    <w:link w:val="214"/>
    <w:rsid w:val="00811C95"/>
    <w:rPr>
      <w:rFonts w:ascii="Arial Narrow" w:eastAsia="Arial Narrow" w:hAnsi="Arial Narrow" w:cs="Arial Narrow"/>
      <w:sz w:val="15"/>
      <w:szCs w:val="15"/>
      <w:shd w:val="clear" w:color="auto" w:fill="FFFFFF"/>
    </w:rPr>
  </w:style>
  <w:style w:type="paragraph" w:customStyle="1" w:styleId="214">
    <w:name w:val="Основной текст (21)"/>
    <w:basedOn w:val="a"/>
    <w:link w:val="213"/>
    <w:rsid w:val="00811C95"/>
    <w:pPr>
      <w:shd w:val="clear" w:color="auto" w:fill="FFFFFF"/>
      <w:spacing w:after="0" w:line="0" w:lineRule="atLeast"/>
    </w:pPr>
    <w:rPr>
      <w:rFonts w:ascii="Arial Narrow" w:eastAsia="Arial Narrow" w:hAnsi="Arial Narrow" w:cs="Arial Narrow"/>
      <w:sz w:val="15"/>
      <w:szCs w:val="15"/>
      <w:lang w:eastAsia="ru-RU"/>
    </w:rPr>
  </w:style>
  <w:style w:type="character" w:customStyle="1" w:styleId="222">
    <w:name w:val="Основной текст (22)_"/>
    <w:basedOn w:val="a0"/>
    <w:link w:val="223"/>
    <w:rsid w:val="00811C95"/>
    <w:rPr>
      <w:rFonts w:ascii="Segoe UI" w:eastAsia="Segoe UI" w:hAnsi="Segoe UI" w:cs="Segoe UI"/>
      <w:sz w:val="8"/>
      <w:szCs w:val="8"/>
      <w:shd w:val="clear" w:color="auto" w:fill="FFFFFF"/>
    </w:rPr>
  </w:style>
  <w:style w:type="paragraph" w:customStyle="1" w:styleId="223">
    <w:name w:val="Основной текст (22)"/>
    <w:basedOn w:val="a"/>
    <w:link w:val="222"/>
    <w:rsid w:val="00811C95"/>
    <w:pPr>
      <w:shd w:val="clear" w:color="auto" w:fill="FFFFFF"/>
      <w:spacing w:after="0" w:line="0" w:lineRule="atLeast"/>
    </w:pPr>
    <w:rPr>
      <w:rFonts w:ascii="Segoe UI" w:eastAsia="Segoe UI" w:hAnsi="Segoe UI" w:cs="Segoe UI"/>
      <w:sz w:val="8"/>
      <w:szCs w:val="8"/>
      <w:lang w:eastAsia="ru-RU"/>
    </w:rPr>
  </w:style>
  <w:style w:type="character" w:customStyle="1" w:styleId="231">
    <w:name w:val="Основной текст (23)_"/>
    <w:basedOn w:val="a0"/>
    <w:link w:val="232"/>
    <w:rsid w:val="00811C95"/>
    <w:rPr>
      <w:rFonts w:ascii="Segoe UI" w:eastAsia="Segoe UI" w:hAnsi="Segoe UI" w:cs="Segoe UI"/>
      <w:sz w:val="8"/>
      <w:szCs w:val="8"/>
      <w:shd w:val="clear" w:color="auto" w:fill="FFFFFF"/>
    </w:rPr>
  </w:style>
  <w:style w:type="paragraph" w:customStyle="1" w:styleId="232">
    <w:name w:val="Основной текст (23)"/>
    <w:basedOn w:val="a"/>
    <w:link w:val="231"/>
    <w:rsid w:val="00811C95"/>
    <w:pPr>
      <w:shd w:val="clear" w:color="auto" w:fill="FFFFFF"/>
      <w:spacing w:after="0" w:line="0" w:lineRule="atLeast"/>
    </w:pPr>
    <w:rPr>
      <w:rFonts w:ascii="Segoe UI" w:eastAsia="Segoe UI" w:hAnsi="Segoe UI" w:cs="Segoe UI"/>
      <w:sz w:val="8"/>
      <w:szCs w:val="8"/>
      <w:lang w:eastAsia="ru-RU"/>
    </w:rPr>
  </w:style>
  <w:style w:type="character" w:customStyle="1" w:styleId="11-1pt">
    <w:name w:val="Основной текст (11) + Интервал -1 pt"/>
    <w:basedOn w:val="116"/>
    <w:rsid w:val="00811C95"/>
    <w:rPr>
      <w:rFonts w:ascii="Segoe UI" w:eastAsia="Segoe UI" w:hAnsi="Segoe UI" w:cs="Segoe UI"/>
      <w:b w:val="0"/>
      <w:bCs w:val="0"/>
      <w:i w:val="0"/>
      <w:iCs w:val="0"/>
      <w:smallCaps w:val="0"/>
      <w:strike w:val="0"/>
      <w:spacing w:val="-20"/>
      <w:sz w:val="17"/>
      <w:szCs w:val="17"/>
    </w:rPr>
  </w:style>
  <w:style w:type="character" w:customStyle="1" w:styleId="2f3">
    <w:name w:val="Сноска (2)_"/>
    <w:basedOn w:val="a0"/>
    <w:link w:val="2f4"/>
    <w:rsid w:val="00811C95"/>
    <w:rPr>
      <w:rFonts w:ascii="Arial Narrow" w:eastAsia="Arial Narrow" w:hAnsi="Arial Narrow" w:cs="Arial Narrow"/>
      <w:sz w:val="13"/>
      <w:szCs w:val="13"/>
      <w:shd w:val="clear" w:color="auto" w:fill="FFFFFF"/>
    </w:rPr>
  </w:style>
  <w:style w:type="paragraph" w:customStyle="1" w:styleId="2f4">
    <w:name w:val="Сноска (2)"/>
    <w:basedOn w:val="a"/>
    <w:link w:val="2f3"/>
    <w:rsid w:val="00811C95"/>
    <w:pPr>
      <w:shd w:val="clear" w:color="auto" w:fill="FFFFFF"/>
      <w:spacing w:after="0" w:line="0" w:lineRule="atLeast"/>
    </w:pPr>
    <w:rPr>
      <w:rFonts w:ascii="Arial Narrow" w:eastAsia="Arial Narrow" w:hAnsi="Arial Narrow" w:cs="Arial Narrow"/>
      <w:sz w:val="13"/>
      <w:szCs w:val="13"/>
      <w:lang w:eastAsia="ru-RU"/>
    </w:rPr>
  </w:style>
  <w:style w:type="character" w:customStyle="1" w:styleId="345pt">
    <w:name w:val="Основной текст + 34;5 pt"/>
    <w:basedOn w:val="aff1"/>
    <w:rsid w:val="00811C95"/>
    <w:rPr>
      <w:rFonts w:ascii="Arial Narrow" w:eastAsia="Arial Narrow" w:hAnsi="Arial Narrow" w:cs="Arial Narrow"/>
      <w:b w:val="0"/>
      <w:bCs w:val="0"/>
      <w:i w:val="0"/>
      <w:iCs w:val="0"/>
      <w:smallCaps w:val="0"/>
      <w:strike w:val="0"/>
      <w:spacing w:val="0"/>
      <w:w w:val="100"/>
      <w:sz w:val="69"/>
      <w:szCs w:val="69"/>
      <w:shd w:val="clear" w:color="auto" w:fill="FFFFFF"/>
    </w:rPr>
  </w:style>
  <w:style w:type="character" w:customStyle="1" w:styleId="51pt">
    <w:name w:val="Основной текст (5) + Интервал 1 pt"/>
    <w:basedOn w:val="5a"/>
    <w:rsid w:val="00811C95"/>
    <w:rPr>
      <w:rFonts w:ascii="Arial Narrow" w:eastAsia="Arial Narrow" w:hAnsi="Arial Narrow" w:cs="Arial Narrow"/>
      <w:spacing w:val="20"/>
      <w:sz w:val="17"/>
      <w:szCs w:val="17"/>
      <w:shd w:val="clear" w:color="auto" w:fill="FFFFFF"/>
    </w:rPr>
  </w:style>
  <w:style w:type="character" w:customStyle="1" w:styleId="510pt">
    <w:name w:val="Основной текст (5) + 10 pt;Полужирный;Не курсив"/>
    <w:basedOn w:val="5a"/>
    <w:rsid w:val="00811C95"/>
    <w:rPr>
      <w:rFonts w:ascii="Arial Narrow" w:eastAsia="Arial Narrow" w:hAnsi="Arial Narrow" w:cs="Arial Narrow"/>
      <w:b/>
      <w:bCs/>
      <w:i/>
      <w:iCs/>
      <w:sz w:val="20"/>
      <w:szCs w:val="20"/>
      <w:shd w:val="clear" w:color="auto" w:fill="FFFFFF"/>
    </w:rPr>
  </w:style>
  <w:style w:type="character" w:customStyle="1" w:styleId="108">
    <w:name w:val="Заголовок №10_"/>
    <w:basedOn w:val="a0"/>
    <w:rsid w:val="00811C95"/>
    <w:rPr>
      <w:rFonts w:ascii="Segoe UI" w:eastAsia="Segoe UI" w:hAnsi="Segoe UI" w:cs="Segoe UI"/>
      <w:b w:val="0"/>
      <w:bCs w:val="0"/>
      <w:i w:val="0"/>
      <w:iCs w:val="0"/>
      <w:smallCaps w:val="0"/>
      <w:strike w:val="0"/>
      <w:spacing w:val="-20"/>
      <w:sz w:val="24"/>
      <w:szCs w:val="24"/>
    </w:rPr>
  </w:style>
  <w:style w:type="character" w:customStyle="1" w:styleId="3f">
    <w:name w:val="Сноска (3)_"/>
    <w:basedOn w:val="a0"/>
    <w:link w:val="3f0"/>
    <w:rsid w:val="00811C95"/>
    <w:rPr>
      <w:rFonts w:ascii="Arial Narrow" w:eastAsia="Arial Narrow" w:hAnsi="Arial Narrow" w:cs="Arial Narrow"/>
      <w:sz w:val="18"/>
      <w:szCs w:val="18"/>
      <w:shd w:val="clear" w:color="auto" w:fill="FFFFFF"/>
    </w:rPr>
  </w:style>
  <w:style w:type="paragraph" w:customStyle="1" w:styleId="3f0">
    <w:name w:val="Сноска (3)"/>
    <w:basedOn w:val="a"/>
    <w:link w:val="3f"/>
    <w:rsid w:val="00811C95"/>
    <w:pPr>
      <w:shd w:val="clear" w:color="auto" w:fill="FFFFFF"/>
      <w:spacing w:after="0" w:line="205" w:lineRule="exact"/>
      <w:jc w:val="both"/>
    </w:pPr>
    <w:rPr>
      <w:rFonts w:ascii="Arial Narrow" w:eastAsia="Arial Narrow" w:hAnsi="Arial Narrow" w:cs="Arial Narrow"/>
      <w:sz w:val="18"/>
      <w:szCs w:val="18"/>
      <w:lang w:eastAsia="ru-RU"/>
    </w:rPr>
  </w:style>
  <w:style w:type="character" w:customStyle="1" w:styleId="8pt0pt">
    <w:name w:val="Сноска + 8 pt;Полужирный;Интервал 0 pt"/>
    <w:basedOn w:val="aff5"/>
    <w:rsid w:val="00811C95"/>
    <w:rPr>
      <w:rFonts w:ascii="Arial Narrow" w:eastAsia="Arial Narrow" w:hAnsi="Arial Narrow" w:cs="Arial Narrow"/>
      <w:b/>
      <w:bCs/>
      <w:i w:val="0"/>
      <w:iCs w:val="0"/>
      <w:smallCaps w:val="0"/>
      <w:strike w:val="0"/>
      <w:noProof/>
      <w:spacing w:val="-10"/>
      <w:w w:val="100"/>
      <w:sz w:val="16"/>
      <w:szCs w:val="16"/>
      <w:shd w:val="clear" w:color="auto" w:fill="FFFFFF"/>
      <w:lang w:val="en-US"/>
    </w:rPr>
  </w:style>
  <w:style w:type="character" w:customStyle="1" w:styleId="BookmanOldStyle50">
    <w:name w:val="Основной текст + Bookman Old Style;Малые прописные;Масштаб 50%"/>
    <w:basedOn w:val="aff1"/>
    <w:rsid w:val="00811C95"/>
    <w:rPr>
      <w:rFonts w:ascii="Bookman Old Style" w:eastAsia="Bookman Old Style" w:hAnsi="Bookman Old Style" w:cs="Bookman Old Style"/>
      <w:b w:val="0"/>
      <w:bCs w:val="0"/>
      <w:i w:val="0"/>
      <w:iCs w:val="0"/>
      <w:smallCaps/>
      <w:strike w:val="0"/>
      <w:spacing w:val="0"/>
      <w:w w:val="50"/>
      <w:sz w:val="17"/>
      <w:szCs w:val="17"/>
      <w:shd w:val="clear" w:color="auto" w:fill="FFFFFF"/>
    </w:rPr>
  </w:style>
  <w:style w:type="character" w:customStyle="1" w:styleId="1pt0">
    <w:name w:val="Основной текст + Курсив;Интервал 1 pt"/>
    <w:basedOn w:val="aff1"/>
    <w:rsid w:val="00811C95"/>
    <w:rPr>
      <w:rFonts w:ascii="Arial Narrow" w:eastAsia="Arial Narrow" w:hAnsi="Arial Narrow" w:cs="Arial Narrow"/>
      <w:b w:val="0"/>
      <w:bCs w:val="0"/>
      <w:i/>
      <w:iCs/>
      <w:smallCaps w:val="0"/>
      <w:strike w:val="0"/>
      <w:spacing w:val="20"/>
      <w:w w:val="100"/>
      <w:sz w:val="17"/>
      <w:szCs w:val="17"/>
      <w:shd w:val="clear" w:color="auto" w:fill="FFFFFF"/>
      <w:lang w:val="en-US"/>
    </w:rPr>
  </w:style>
  <w:style w:type="character" w:customStyle="1" w:styleId="75pt1">
    <w:name w:val="Основной текст + 7;5 pt;Курсив"/>
    <w:basedOn w:val="aff1"/>
    <w:rsid w:val="00811C95"/>
    <w:rPr>
      <w:rFonts w:ascii="Arial Narrow" w:eastAsia="Arial Narrow" w:hAnsi="Arial Narrow" w:cs="Arial Narrow"/>
      <w:b w:val="0"/>
      <w:bCs w:val="0"/>
      <w:i/>
      <w:iCs/>
      <w:smallCaps w:val="0"/>
      <w:strike w:val="0"/>
      <w:spacing w:val="0"/>
      <w:w w:val="100"/>
      <w:sz w:val="15"/>
      <w:szCs w:val="15"/>
      <w:shd w:val="clear" w:color="auto" w:fill="FFFFFF"/>
      <w:lang w:val="en-US"/>
    </w:rPr>
  </w:style>
  <w:style w:type="character" w:customStyle="1" w:styleId="69">
    <w:name w:val="Заголовок №6_"/>
    <w:basedOn w:val="a0"/>
    <w:rsid w:val="00811C95"/>
    <w:rPr>
      <w:rFonts w:ascii="Arial Narrow" w:eastAsia="Arial Narrow" w:hAnsi="Arial Narrow" w:cs="Arial Narrow"/>
      <w:b w:val="0"/>
      <w:bCs w:val="0"/>
      <w:i w:val="0"/>
      <w:iCs w:val="0"/>
      <w:smallCaps w:val="0"/>
      <w:strike w:val="0"/>
      <w:spacing w:val="0"/>
      <w:sz w:val="52"/>
      <w:szCs w:val="52"/>
    </w:rPr>
  </w:style>
  <w:style w:type="character" w:customStyle="1" w:styleId="83">
    <w:name w:val="Основной текст8"/>
    <w:basedOn w:val="aff1"/>
    <w:rsid w:val="00811C95"/>
    <w:rPr>
      <w:rFonts w:ascii="Arial Narrow" w:eastAsia="Arial Narrow" w:hAnsi="Arial Narrow" w:cs="Arial Narrow"/>
      <w:b w:val="0"/>
      <w:bCs w:val="0"/>
      <w:i w:val="0"/>
      <w:iCs w:val="0"/>
      <w:smallCaps w:val="0"/>
      <w:strike w:val="0"/>
      <w:spacing w:val="0"/>
      <w:w w:val="100"/>
      <w:sz w:val="17"/>
      <w:szCs w:val="17"/>
      <w:shd w:val="clear" w:color="auto" w:fill="FFFFFF"/>
    </w:rPr>
  </w:style>
  <w:style w:type="character" w:customStyle="1" w:styleId="7pt0">
    <w:name w:val="Основной текст + Интервал 7 pt"/>
    <w:basedOn w:val="aff1"/>
    <w:rsid w:val="00811C95"/>
    <w:rPr>
      <w:rFonts w:ascii="Arial Narrow" w:eastAsia="Arial Narrow" w:hAnsi="Arial Narrow" w:cs="Arial Narrow"/>
      <w:b w:val="0"/>
      <w:bCs w:val="0"/>
      <w:i w:val="0"/>
      <w:iCs w:val="0"/>
      <w:smallCaps w:val="0"/>
      <w:strike w:val="0"/>
      <w:spacing w:val="140"/>
      <w:w w:val="100"/>
      <w:sz w:val="17"/>
      <w:szCs w:val="17"/>
      <w:shd w:val="clear" w:color="auto" w:fill="FFFFFF"/>
    </w:rPr>
  </w:style>
  <w:style w:type="character" w:customStyle="1" w:styleId="Calibri13pt1pt">
    <w:name w:val="Основной текст + Calibri;13 pt;Полужирный;Интервал 1 pt"/>
    <w:basedOn w:val="aff1"/>
    <w:rsid w:val="00811C95"/>
    <w:rPr>
      <w:rFonts w:ascii="Calibri" w:eastAsia="Calibri" w:hAnsi="Calibri" w:cs="Calibri"/>
      <w:b/>
      <w:bCs/>
      <w:i w:val="0"/>
      <w:iCs w:val="0"/>
      <w:smallCaps w:val="0"/>
      <w:strike w:val="0"/>
      <w:spacing w:val="20"/>
      <w:w w:val="100"/>
      <w:sz w:val="26"/>
      <w:szCs w:val="26"/>
      <w:shd w:val="clear" w:color="auto" w:fill="FFFFFF"/>
    </w:rPr>
  </w:style>
  <w:style w:type="character" w:customStyle="1" w:styleId="84">
    <w:name w:val="Заголовок №8_"/>
    <w:basedOn w:val="a0"/>
    <w:rsid w:val="00811C95"/>
    <w:rPr>
      <w:rFonts w:ascii="Arial Narrow" w:eastAsia="Arial Narrow" w:hAnsi="Arial Narrow" w:cs="Arial Narrow"/>
      <w:b w:val="0"/>
      <w:bCs w:val="0"/>
      <w:i w:val="0"/>
      <w:iCs w:val="0"/>
      <w:smallCaps w:val="0"/>
      <w:strike w:val="0"/>
      <w:spacing w:val="0"/>
      <w:sz w:val="39"/>
      <w:szCs w:val="39"/>
    </w:rPr>
  </w:style>
  <w:style w:type="character" w:customStyle="1" w:styleId="85">
    <w:name w:val="Заголовок №8"/>
    <w:basedOn w:val="84"/>
    <w:rsid w:val="00811C95"/>
    <w:rPr>
      <w:rFonts w:ascii="Arial Narrow" w:eastAsia="Arial Narrow" w:hAnsi="Arial Narrow" w:cs="Arial Narrow"/>
      <w:b w:val="0"/>
      <w:bCs w:val="0"/>
      <w:i w:val="0"/>
      <w:iCs w:val="0"/>
      <w:smallCaps w:val="0"/>
      <w:strike w:val="0"/>
      <w:color w:val="FFFFFF"/>
      <w:spacing w:val="0"/>
      <w:sz w:val="39"/>
      <w:szCs w:val="39"/>
    </w:rPr>
  </w:style>
  <w:style w:type="character" w:customStyle="1" w:styleId="162">
    <w:name w:val="Основной текст (16)_"/>
    <w:basedOn w:val="a0"/>
    <w:rsid w:val="00811C95"/>
    <w:rPr>
      <w:rFonts w:ascii="Arial Narrow" w:eastAsia="Arial Narrow" w:hAnsi="Arial Narrow" w:cs="Arial Narrow"/>
      <w:b w:val="0"/>
      <w:bCs w:val="0"/>
      <w:i w:val="0"/>
      <w:iCs w:val="0"/>
      <w:smallCaps w:val="0"/>
      <w:strike w:val="0"/>
      <w:spacing w:val="0"/>
      <w:w w:val="100"/>
      <w:sz w:val="17"/>
      <w:szCs w:val="17"/>
    </w:rPr>
  </w:style>
  <w:style w:type="character" w:customStyle="1" w:styleId="163">
    <w:name w:val="Основной текст (16)"/>
    <w:basedOn w:val="162"/>
    <w:rsid w:val="00811C95"/>
    <w:rPr>
      <w:rFonts w:ascii="Arial Narrow" w:eastAsia="Arial Narrow" w:hAnsi="Arial Narrow" w:cs="Arial Narrow"/>
      <w:b w:val="0"/>
      <w:bCs w:val="0"/>
      <w:i w:val="0"/>
      <w:iCs w:val="0"/>
      <w:smallCaps w:val="0"/>
      <w:strike w:val="0"/>
      <w:spacing w:val="0"/>
      <w:w w:val="100"/>
      <w:sz w:val="17"/>
      <w:szCs w:val="17"/>
    </w:rPr>
  </w:style>
  <w:style w:type="character" w:customStyle="1" w:styleId="2-1pt">
    <w:name w:val="Основной текст (2) + Интервал -1 pt"/>
    <w:basedOn w:val="2a"/>
    <w:rsid w:val="00811C95"/>
    <w:rPr>
      <w:rFonts w:ascii="Tahoma" w:eastAsia="Tahoma" w:hAnsi="Tahoma" w:cs="Tahoma"/>
      <w:b w:val="0"/>
      <w:bCs w:val="0"/>
      <w:i w:val="0"/>
      <w:iCs w:val="0"/>
      <w:smallCaps w:val="0"/>
      <w:strike w:val="0"/>
      <w:spacing w:val="-20"/>
      <w:sz w:val="19"/>
      <w:szCs w:val="19"/>
      <w:u w:val="single"/>
      <w:shd w:val="clear" w:color="auto" w:fill="FFFFFF"/>
      <w:lang w:eastAsia="en-US"/>
    </w:rPr>
  </w:style>
  <w:style w:type="character" w:customStyle="1" w:styleId="117">
    <w:name w:val="Заголовок №11_"/>
    <w:basedOn w:val="a0"/>
    <w:rsid w:val="00811C95"/>
    <w:rPr>
      <w:rFonts w:ascii="Tahoma" w:eastAsia="Tahoma" w:hAnsi="Tahoma" w:cs="Tahoma"/>
      <w:b w:val="0"/>
      <w:bCs w:val="0"/>
      <w:i w:val="0"/>
      <w:iCs w:val="0"/>
      <w:smallCaps w:val="0"/>
      <w:strike w:val="0"/>
      <w:spacing w:val="0"/>
      <w:sz w:val="20"/>
      <w:szCs w:val="20"/>
    </w:rPr>
  </w:style>
  <w:style w:type="character" w:customStyle="1" w:styleId="124">
    <w:name w:val="Основной текст (12) + Не курсив"/>
    <w:basedOn w:val="122"/>
    <w:rsid w:val="00811C95"/>
    <w:rPr>
      <w:rFonts w:ascii="Arial Narrow" w:eastAsia="Arial Narrow" w:hAnsi="Arial Narrow" w:cs="Arial Narrow"/>
      <w:b w:val="0"/>
      <w:bCs w:val="0"/>
      <w:i/>
      <w:iCs/>
      <w:smallCaps w:val="0"/>
      <w:strike w:val="0"/>
      <w:spacing w:val="0"/>
      <w:w w:val="100"/>
      <w:sz w:val="17"/>
      <w:szCs w:val="17"/>
      <w:shd w:val="clear" w:color="auto" w:fill="FFFFFF"/>
      <w:lang w:eastAsia="en-US"/>
    </w:rPr>
  </w:style>
  <w:style w:type="character" w:customStyle="1" w:styleId="922">
    <w:name w:val="Заголовок №9 (2)_"/>
    <w:basedOn w:val="a0"/>
    <w:link w:val="923"/>
    <w:rsid w:val="00811C95"/>
    <w:rPr>
      <w:rFonts w:ascii="Tahoma" w:eastAsia="Tahoma" w:hAnsi="Tahoma" w:cs="Tahoma"/>
      <w:sz w:val="19"/>
      <w:szCs w:val="19"/>
      <w:shd w:val="clear" w:color="auto" w:fill="FFFFFF"/>
    </w:rPr>
  </w:style>
  <w:style w:type="paragraph" w:customStyle="1" w:styleId="923">
    <w:name w:val="Заголовок №9 (2)"/>
    <w:basedOn w:val="a"/>
    <w:link w:val="922"/>
    <w:rsid w:val="00811C95"/>
    <w:pPr>
      <w:shd w:val="clear" w:color="auto" w:fill="FFFFFF"/>
      <w:spacing w:after="0" w:line="0" w:lineRule="atLeast"/>
      <w:outlineLvl w:val="8"/>
    </w:pPr>
    <w:rPr>
      <w:rFonts w:ascii="Tahoma" w:eastAsia="Tahoma" w:hAnsi="Tahoma" w:cs="Tahoma"/>
      <w:sz w:val="19"/>
      <w:szCs w:val="19"/>
      <w:lang w:eastAsia="ru-RU"/>
    </w:rPr>
  </w:style>
  <w:style w:type="character" w:customStyle="1" w:styleId="92-1pt">
    <w:name w:val="Заголовок №9 (2) + Интервал -1 pt"/>
    <w:basedOn w:val="922"/>
    <w:rsid w:val="00811C95"/>
    <w:rPr>
      <w:rFonts w:ascii="Tahoma" w:eastAsia="Tahoma" w:hAnsi="Tahoma" w:cs="Tahoma"/>
      <w:spacing w:val="-20"/>
      <w:sz w:val="19"/>
      <w:szCs w:val="19"/>
      <w:u w:val="single"/>
      <w:shd w:val="clear" w:color="auto" w:fill="FFFFFF"/>
    </w:rPr>
  </w:style>
  <w:style w:type="character" w:customStyle="1" w:styleId="95">
    <w:name w:val="Подпись к картинке (9)_"/>
    <w:basedOn w:val="a0"/>
    <w:link w:val="96"/>
    <w:rsid w:val="00811C95"/>
    <w:rPr>
      <w:rFonts w:ascii="Arial Narrow" w:eastAsia="Arial Narrow" w:hAnsi="Arial Narrow" w:cs="Arial Narrow"/>
      <w:sz w:val="17"/>
      <w:szCs w:val="17"/>
      <w:shd w:val="clear" w:color="auto" w:fill="FFFFFF"/>
    </w:rPr>
  </w:style>
  <w:style w:type="paragraph" w:customStyle="1" w:styleId="96">
    <w:name w:val="Подпись к картинке (9)"/>
    <w:basedOn w:val="a"/>
    <w:link w:val="95"/>
    <w:rsid w:val="00811C95"/>
    <w:pPr>
      <w:shd w:val="clear" w:color="auto" w:fill="FFFFFF"/>
      <w:spacing w:after="0" w:line="0" w:lineRule="atLeast"/>
    </w:pPr>
    <w:rPr>
      <w:rFonts w:ascii="Arial Narrow" w:eastAsia="Arial Narrow" w:hAnsi="Arial Narrow" w:cs="Arial Narrow"/>
      <w:sz w:val="17"/>
      <w:szCs w:val="17"/>
      <w:lang w:eastAsia="ru-RU"/>
    </w:rPr>
  </w:style>
  <w:style w:type="character" w:customStyle="1" w:styleId="4e">
    <w:name w:val="Заголовок №4_"/>
    <w:basedOn w:val="a0"/>
    <w:rsid w:val="00811C95"/>
    <w:rPr>
      <w:rFonts w:ascii="Arial Narrow" w:eastAsia="Arial Narrow" w:hAnsi="Arial Narrow" w:cs="Arial Narrow"/>
      <w:b w:val="0"/>
      <w:bCs w:val="0"/>
      <w:i w:val="0"/>
      <w:iCs w:val="0"/>
      <w:smallCaps w:val="0"/>
      <w:strike w:val="0"/>
      <w:spacing w:val="0"/>
      <w:sz w:val="51"/>
      <w:szCs w:val="51"/>
    </w:rPr>
  </w:style>
  <w:style w:type="character" w:customStyle="1" w:styleId="4355pt">
    <w:name w:val="Заголовок №4 + 35;5 pt;Не малые прописные"/>
    <w:basedOn w:val="4e"/>
    <w:rsid w:val="00811C95"/>
    <w:rPr>
      <w:rFonts w:ascii="Arial Narrow" w:eastAsia="Arial Narrow" w:hAnsi="Arial Narrow" w:cs="Arial Narrow"/>
      <w:b w:val="0"/>
      <w:bCs w:val="0"/>
      <w:i w:val="0"/>
      <w:iCs w:val="0"/>
      <w:smallCaps/>
      <w:strike w:val="0"/>
      <w:color w:val="FFFFFF"/>
      <w:spacing w:val="0"/>
      <w:sz w:val="71"/>
      <w:szCs w:val="71"/>
    </w:rPr>
  </w:style>
  <w:style w:type="character" w:customStyle="1" w:styleId="4f">
    <w:name w:val="Заголовок №4"/>
    <w:basedOn w:val="4e"/>
    <w:rsid w:val="00811C95"/>
    <w:rPr>
      <w:rFonts w:ascii="Arial Narrow" w:eastAsia="Arial Narrow" w:hAnsi="Arial Narrow" w:cs="Arial Narrow"/>
      <w:b w:val="0"/>
      <w:bCs w:val="0"/>
      <w:i w:val="0"/>
      <w:iCs w:val="0"/>
      <w:smallCaps w:val="0"/>
      <w:strike w:val="0"/>
      <w:color w:val="FFFFFF"/>
      <w:spacing w:val="0"/>
      <w:sz w:val="51"/>
      <w:szCs w:val="51"/>
    </w:rPr>
  </w:style>
  <w:style w:type="character" w:customStyle="1" w:styleId="428pt">
    <w:name w:val="Заголовок №4 + 28 pt;Не малые прописные"/>
    <w:basedOn w:val="4e"/>
    <w:rsid w:val="00811C95"/>
    <w:rPr>
      <w:rFonts w:ascii="Arial Narrow" w:eastAsia="Arial Narrow" w:hAnsi="Arial Narrow" w:cs="Arial Narrow"/>
      <w:b w:val="0"/>
      <w:bCs w:val="0"/>
      <w:i w:val="0"/>
      <w:iCs w:val="0"/>
      <w:smallCaps/>
      <w:strike w:val="0"/>
      <w:color w:val="FFFFFF"/>
      <w:spacing w:val="0"/>
      <w:sz w:val="56"/>
      <w:szCs w:val="56"/>
    </w:rPr>
  </w:style>
  <w:style w:type="character" w:customStyle="1" w:styleId="SegoeUI39pt">
    <w:name w:val="Основной текст + Segoe UI;39 pt"/>
    <w:basedOn w:val="aff1"/>
    <w:rsid w:val="00811C95"/>
    <w:rPr>
      <w:rFonts w:ascii="Segoe UI" w:eastAsia="Segoe UI" w:hAnsi="Segoe UI" w:cs="Segoe UI"/>
      <w:b w:val="0"/>
      <w:bCs w:val="0"/>
      <w:i w:val="0"/>
      <w:iCs w:val="0"/>
      <w:smallCaps w:val="0"/>
      <w:strike w:val="0"/>
      <w:spacing w:val="0"/>
      <w:w w:val="100"/>
      <w:sz w:val="78"/>
      <w:szCs w:val="78"/>
      <w:shd w:val="clear" w:color="auto" w:fill="FFFFFF"/>
    </w:rPr>
  </w:style>
  <w:style w:type="paragraph" w:customStyle="1" w:styleId="233">
    <w:name w:val="Основной текст23"/>
    <w:basedOn w:val="a"/>
    <w:rsid w:val="00811C95"/>
    <w:pPr>
      <w:shd w:val="clear" w:color="auto" w:fill="FFFFFF"/>
      <w:spacing w:before="480" w:after="180" w:line="0" w:lineRule="atLeast"/>
      <w:ind w:hanging="200"/>
    </w:pPr>
    <w:rPr>
      <w:rFonts w:ascii="Arial Narrow" w:eastAsia="Arial Narrow" w:hAnsi="Arial Narrow" w:cs="Arial Narrow"/>
      <w:color w:val="000000"/>
      <w:sz w:val="18"/>
      <w:szCs w:val="18"/>
      <w:lang w:eastAsia="ru-RU"/>
    </w:rPr>
  </w:style>
  <w:style w:type="character" w:customStyle="1" w:styleId="3-1pt">
    <w:name w:val="Основной текст (3) + Интервал -1 pt"/>
    <w:basedOn w:val="35"/>
    <w:rsid w:val="00811C95"/>
    <w:rPr>
      <w:rFonts w:ascii="Arial Narrow" w:eastAsia="Arial Narrow" w:hAnsi="Arial Narrow" w:cs="Arial Narrow"/>
      <w:spacing w:val="-20"/>
      <w:sz w:val="20"/>
      <w:szCs w:val="20"/>
      <w:u w:val="single"/>
      <w:shd w:val="clear" w:color="auto" w:fill="FFFFFF"/>
    </w:rPr>
  </w:style>
  <w:style w:type="character" w:customStyle="1" w:styleId="2f5">
    <w:name w:val="Подпись к картинке (2)_"/>
    <w:basedOn w:val="a0"/>
    <w:rsid w:val="00811C95"/>
    <w:rPr>
      <w:rFonts w:ascii="Arial Narrow" w:eastAsia="Arial Narrow" w:hAnsi="Arial Narrow" w:cs="Arial Narrow"/>
      <w:b w:val="0"/>
      <w:bCs w:val="0"/>
      <w:i w:val="0"/>
      <w:iCs w:val="0"/>
      <w:smallCaps w:val="0"/>
      <w:strike w:val="0"/>
      <w:spacing w:val="0"/>
      <w:w w:val="100"/>
      <w:sz w:val="18"/>
      <w:szCs w:val="18"/>
      <w:lang w:val="en-US"/>
    </w:rPr>
  </w:style>
  <w:style w:type="character" w:customStyle="1" w:styleId="5c">
    <w:name w:val="Подпись к картинке (5)_"/>
    <w:basedOn w:val="a0"/>
    <w:rsid w:val="00811C95"/>
    <w:rPr>
      <w:rFonts w:ascii="Arial Narrow" w:eastAsia="Arial Narrow" w:hAnsi="Arial Narrow" w:cs="Arial Narrow"/>
      <w:b w:val="0"/>
      <w:bCs w:val="0"/>
      <w:i w:val="0"/>
      <w:iCs w:val="0"/>
      <w:smallCaps w:val="0"/>
      <w:strike w:val="0"/>
      <w:spacing w:val="0"/>
      <w:w w:val="100"/>
      <w:sz w:val="18"/>
      <w:szCs w:val="18"/>
    </w:rPr>
  </w:style>
  <w:style w:type="character" w:customStyle="1" w:styleId="5-1pt">
    <w:name w:val="Подпись к картинке (5) + Интервал -1 pt"/>
    <w:basedOn w:val="5c"/>
    <w:rsid w:val="00811C95"/>
    <w:rPr>
      <w:rFonts w:ascii="Arial Narrow" w:eastAsia="Arial Narrow" w:hAnsi="Arial Narrow" w:cs="Arial Narrow"/>
      <w:b w:val="0"/>
      <w:bCs w:val="0"/>
      <w:i w:val="0"/>
      <w:iCs w:val="0"/>
      <w:smallCaps w:val="0"/>
      <w:strike w:val="0"/>
      <w:color w:val="EBEBEB"/>
      <w:spacing w:val="-20"/>
      <w:w w:val="100"/>
      <w:sz w:val="18"/>
      <w:szCs w:val="18"/>
      <w:lang w:val="en-US"/>
    </w:rPr>
  </w:style>
  <w:style w:type="character" w:customStyle="1" w:styleId="5d">
    <w:name w:val="Подпись к картинке (5) + Курсив"/>
    <w:basedOn w:val="5c"/>
    <w:rsid w:val="00811C95"/>
    <w:rPr>
      <w:rFonts w:ascii="Arial Narrow" w:eastAsia="Arial Narrow" w:hAnsi="Arial Narrow" w:cs="Arial Narrow"/>
      <w:b w:val="0"/>
      <w:bCs w:val="0"/>
      <w:i/>
      <w:iCs/>
      <w:smallCaps w:val="0"/>
      <w:strike w:val="0"/>
      <w:color w:val="EBEBEB"/>
      <w:spacing w:val="0"/>
      <w:w w:val="100"/>
      <w:sz w:val="18"/>
      <w:szCs w:val="18"/>
    </w:rPr>
  </w:style>
  <w:style w:type="character" w:customStyle="1" w:styleId="5Batang5pt">
    <w:name w:val="Подпись к картинке (5) + Batang;5 pt;Курсив"/>
    <w:basedOn w:val="5c"/>
    <w:rsid w:val="00811C95"/>
    <w:rPr>
      <w:rFonts w:ascii="Batang" w:eastAsia="Batang" w:hAnsi="Batang" w:cs="Batang"/>
      <w:b w:val="0"/>
      <w:bCs w:val="0"/>
      <w:i/>
      <w:iCs/>
      <w:smallCaps w:val="0"/>
      <w:strike w:val="0"/>
      <w:color w:val="EBEBEB"/>
      <w:spacing w:val="0"/>
      <w:w w:val="100"/>
      <w:sz w:val="10"/>
      <w:szCs w:val="10"/>
    </w:rPr>
  </w:style>
  <w:style w:type="character" w:customStyle="1" w:styleId="6a">
    <w:name w:val="Подпись к картинке (6)_"/>
    <w:basedOn w:val="a0"/>
    <w:rsid w:val="00811C95"/>
    <w:rPr>
      <w:rFonts w:ascii="Arial Narrow" w:eastAsia="Arial Narrow" w:hAnsi="Arial Narrow" w:cs="Arial Narrow"/>
      <w:b w:val="0"/>
      <w:bCs w:val="0"/>
      <w:i w:val="0"/>
      <w:iCs w:val="0"/>
      <w:smallCaps w:val="0"/>
      <w:strike w:val="0"/>
      <w:spacing w:val="0"/>
      <w:sz w:val="20"/>
      <w:szCs w:val="20"/>
      <w:lang w:val="en-US"/>
    </w:rPr>
  </w:style>
  <w:style w:type="character" w:customStyle="1" w:styleId="2-1pt0">
    <w:name w:val="Подпись к картинке (2) + Интервал -1 pt"/>
    <w:basedOn w:val="2f5"/>
    <w:rsid w:val="00811C95"/>
    <w:rPr>
      <w:rFonts w:ascii="Arial Narrow" w:eastAsia="Arial Narrow" w:hAnsi="Arial Narrow" w:cs="Arial Narrow"/>
      <w:b w:val="0"/>
      <w:bCs w:val="0"/>
      <w:i w:val="0"/>
      <w:iCs w:val="0"/>
      <w:smallCaps w:val="0"/>
      <w:strike w:val="0"/>
      <w:color w:val="EBEBEB"/>
      <w:spacing w:val="-20"/>
      <w:w w:val="100"/>
      <w:sz w:val="18"/>
      <w:szCs w:val="18"/>
      <w:lang w:val="en-US"/>
    </w:rPr>
  </w:style>
  <w:style w:type="character" w:customStyle="1" w:styleId="78">
    <w:name w:val="Подпись к картинке (7)_"/>
    <w:basedOn w:val="a0"/>
    <w:rsid w:val="00811C95"/>
    <w:rPr>
      <w:rFonts w:ascii="Batang" w:eastAsia="Batang" w:hAnsi="Batang" w:cs="Batang"/>
      <w:b w:val="0"/>
      <w:bCs w:val="0"/>
      <w:i w:val="0"/>
      <w:iCs w:val="0"/>
      <w:smallCaps w:val="0"/>
      <w:strike w:val="0"/>
      <w:spacing w:val="0"/>
      <w:sz w:val="10"/>
      <w:szCs w:val="10"/>
      <w:lang w:val="en-US"/>
    </w:rPr>
  </w:style>
  <w:style w:type="character" w:customStyle="1" w:styleId="2Batang5pt">
    <w:name w:val="Подпись к картинке (2) + Batang;5 pt"/>
    <w:basedOn w:val="2f5"/>
    <w:rsid w:val="00811C95"/>
    <w:rPr>
      <w:rFonts w:ascii="Batang" w:eastAsia="Batang" w:hAnsi="Batang" w:cs="Batang"/>
      <w:b w:val="0"/>
      <w:bCs w:val="0"/>
      <w:i w:val="0"/>
      <w:iCs w:val="0"/>
      <w:smallCaps w:val="0"/>
      <w:strike w:val="0"/>
      <w:color w:val="EBEBEB"/>
      <w:spacing w:val="0"/>
      <w:w w:val="100"/>
      <w:sz w:val="10"/>
      <w:szCs w:val="10"/>
      <w:lang w:val="en-US"/>
    </w:rPr>
  </w:style>
  <w:style w:type="character" w:customStyle="1" w:styleId="7ArialNarrow9pt-1pt">
    <w:name w:val="Подпись к картинке (7) + Arial Narrow;9 pt;Интервал -1 pt"/>
    <w:basedOn w:val="78"/>
    <w:rsid w:val="00811C95"/>
    <w:rPr>
      <w:rFonts w:ascii="Arial Narrow" w:eastAsia="Arial Narrow" w:hAnsi="Arial Narrow" w:cs="Arial Narrow"/>
      <w:b w:val="0"/>
      <w:bCs w:val="0"/>
      <w:i w:val="0"/>
      <w:iCs w:val="0"/>
      <w:smallCaps w:val="0"/>
      <w:strike w:val="0"/>
      <w:color w:val="EBEBEB"/>
      <w:spacing w:val="-20"/>
      <w:w w:val="100"/>
      <w:sz w:val="18"/>
      <w:szCs w:val="18"/>
      <w:lang w:val="en-US"/>
    </w:rPr>
  </w:style>
  <w:style w:type="character" w:customStyle="1" w:styleId="6-1pt">
    <w:name w:val="Подпись к картинке (6) + Интервал -1 pt"/>
    <w:basedOn w:val="6a"/>
    <w:rsid w:val="00811C95"/>
    <w:rPr>
      <w:rFonts w:ascii="Arial Narrow" w:eastAsia="Arial Narrow" w:hAnsi="Arial Narrow" w:cs="Arial Narrow"/>
      <w:b w:val="0"/>
      <w:bCs w:val="0"/>
      <w:i w:val="0"/>
      <w:iCs w:val="0"/>
      <w:smallCaps w:val="0"/>
      <w:strike w:val="0"/>
      <w:color w:val="EBEBEB"/>
      <w:spacing w:val="-20"/>
      <w:sz w:val="20"/>
      <w:szCs w:val="20"/>
      <w:lang w:val="en-US"/>
    </w:rPr>
  </w:style>
  <w:style w:type="character" w:customStyle="1" w:styleId="7ArialNarrow9pt">
    <w:name w:val="Подпись к картинке (7) + Arial Narrow;9 pt"/>
    <w:basedOn w:val="78"/>
    <w:rsid w:val="00811C95"/>
    <w:rPr>
      <w:rFonts w:ascii="Arial Narrow" w:eastAsia="Arial Narrow" w:hAnsi="Arial Narrow" w:cs="Arial Narrow"/>
      <w:b w:val="0"/>
      <w:bCs w:val="0"/>
      <w:i w:val="0"/>
      <w:iCs w:val="0"/>
      <w:smallCaps w:val="0"/>
      <w:strike w:val="0"/>
      <w:color w:val="EBEBEB"/>
      <w:spacing w:val="0"/>
      <w:w w:val="100"/>
      <w:sz w:val="18"/>
      <w:szCs w:val="18"/>
      <w:lang w:val="en-US"/>
    </w:rPr>
  </w:style>
  <w:style w:type="character" w:customStyle="1" w:styleId="79">
    <w:name w:val="Основной текст7"/>
    <w:basedOn w:val="aff1"/>
    <w:rsid w:val="00811C95"/>
    <w:rPr>
      <w:rFonts w:ascii="Arial Narrow" w:eastAsia="Arial Narrow" w:hAnsi="Arial Narrow" w:cs="Arial Narrow"/>
      <w:b w:val="0"/>
      <w:bCs w:val="0"/>
      <w:i w:val="0"/>
      <w:iCs w:val="0"/>
      <w:smallCaps w:val="0"/>
      <w:strike w:val="0"/>
      <w:spacing w:val="0"/>
      <w:w w:val="100"/>
      <w:sz w:val="18"/>
      <w:szCs w:val="18"/>
      <w:u w:val="single"/>
      <w:shd w:val="clear" w:color="auto" w:fill="FFFFFF"/>
    </w:rPr>
  </w:style>
  <w:style w:type="character" w:customStyle="1" w:styleId="8-1pt">
    <w:name w:val="Основной текст (8) + Интервал -1 pt"/>
    <w:basedOn w:val="81"/>
    <w:rsid w:val="00811C95"/>
    <w:rPr>
      <w:rFonts w:ascii="Arial Narrow" w:eastAsia="Arial Narrow" w:hAnsi="Arial Narrow" w:cs="Arial Narrow"/>
      <w:b w:val="0"/>
      <w:bCs w:val="0"/>
      <w:i w:val="0"/>
      <w:iCs w:val="0"/>
      <w:smallCaps w:val="0"/>
      <w:strike w:val="0"/>
      <w:spacing w:val="-20"/>
      <w:w w:val="100"/>
      <w:sz w:val="18"/>
      <w:szCs w:val="18"/>
      <w:shd w:val="clear" w:color="auto" w:fill="FFFFFF"/>
    </w:rPr>
  </w:style>
  <w:style w:type="character" w:customStyle="1" w:styleId="16-1pt">
    <w:name w:val="Основной текст (16) + Интервал -1 pt"/>
    <w:basedOn w:val="162"/>
    <w:rsid w:val="00811C95"/>
    <w:rPr>
      <w:rFonts w:ascii="Arial Narrow" w:eastAsia="Arial Narrow" w:hAnsi="Arial Narrow" w:cs="Arial Narrow"/>
      <w:b w:val="0"/>
      <w:bCs w:val="0"/>
      <w:i w:val="0"/>
      <w:iCs w:val="0"/>
      <w:smallCaps w:val="0"/>
      <w:strike w:val="0"/>
      <w:spacing w:val="-20"/>
      <w:w w:val="100"/>
      <w:sz w:val="23"/>
      <w:szCs w:val="23"/>
      <w:u w:val="single"/>
    </w:rPr>
  </w:style>
  <w:style w:type="character" w:customStyle="1" w:styleId="7a">
    <w:name w:val="Заголовок №7_"/>
    <w:basedOn w:val="a0"/>
    <w:link w:val="7b"/>
    <w:rsid w:val="00811C95"/>
    <w:rPr>
      <w:rFonts w:ascii="Arial Narrow" w:eastAsia="Arial Narrow" w:hAnsi="Arial Narrow" w:cs="Arial Narrow"/>
      <w:shd w:val="clear" w:color="auto" w:fill="FFFFFF"/>
    </w:rPr>
  </w:style>
  <w:style w:type="paragraph" w:customStyle="1" w:styleId="7b">
    <w:name w:val="Заголовок №7"/>
    <w:basedOn w:val="a"/>
    <w:link w:val="7a"/>
    <w:rsid w:val="00811C95"/>
    <w:pPr>
      <w:shd w:val="clear" w:color="auto" w:fill="FFFFFF"/>
      <w:spacing w:after="0" w:line="0" w:lineRule="atLeast"/>
      <w:outlineLvl w:val="6"/>
    </w:pPr>
    <w:rPr>
      <w:rFonts w:ascii="Arial Narrow" w:eastAsia="Arial Narrow" w:hAnsi="Arial Narrow" w:cs="Arial Narrow"/>
      <w:sz w:val="20"/>
      <w:szCs w:val="20"/>
      <w:lang w:eastAsia="ru-RU"/>
    </w:rPr>
  </w:style>
  <w:style w:type="character" w:customStyle="1" w:styleId="7-1pt">
    <w:name w:val="Заголовок №7 + Интервал -1 pt"/>
    <w:basedOn w:val="7a"/>
    <w:rsid w:val="00811C95"/>
    <w:rPr>
      <w:rFonts w:ascii="Arial Narrow" w:eastAsia="Arial Narrow" w:hAnsi="Arial Narrow" w:cs="Arial Narrow"/>
      <w:color w:val="FFFFFF"/>
      <w:spacing w:val="-20"/>
      <w:shd w:val="clear" w:color="auto" w:fill="FFFFFF"/>
    </w:rPr>
  </w:style>
  <w:style w:type="character" w:customStyle="1" w:styleId="521">
    <w:name w:val="Заголовок №5 (2)_"/>
    <w:basedOn w:val="a0"/>
    <w:rsid w:val="00811C95"/>
    <w:rPr>
      <w:rFonts w:ascii="Arial" w:eastAsia="Arial" w:hAnsi="Arial" w:cs="Arial"/>
      <w:b w:val="0"/>
      <w:bCs w:val="0"/>
      <w:i w:val="0"/>
      <w:iCs w:val="0"/>
      <w:smallCaps w:val="0"/>
      <w:strike w:val="0"/>
      <w:spacing w:val="40"/>
      <w:sz w:val="26"/>
      <w:szCs w:val="26"/>
    </w:rPr>
  </w:style>
  <w:style w:type="character" w:customStyle="1" w:styleId="522">
    <w:name w:val="Заголовок №5 (2)"/>
    <w:basedOn w:val="521"/>
    <w:rsid w:val="00811C95"/>
    <w:rPr>
      <w:rFonts w:ascii="Arial" w:eastAsia="Arial" w:hAnsi="Arial" w:cs="Arial"/>
      <w:b w:val="0"/>
      <w:bCs w:val="0"/>
      <w:i w:val="0"/>
      <w:iCs w:val="0"/>
      <w:smallCaps w:val="0"/>
      <w:strike w:val="0"/>
      <w:color w:val="FFFFFF"/>
      <w:spacing w:val="40"/>
      <w:sz w:val="26"/>
      <w:szCs w:val="26"/>
    </w:rPr>
  </w:style>
  <w:style w:type="character" w:customStyle="1" w:styleId="205">
    <w:name w:val="Основной текст (20)"/>
    <w:basedOn w:val="200"/>
    <w:rsid w:val="00811C95"/>
    <w:rPr>
      <w:rFonts w:ascii="Arial Black" w:eastAsia="Arial Black" w:hAnsi="Arial Black" w:cs="Arial Black"/>
      <w:b w:val="0"/>
      <w:bCs w:val="0"/>
      <w:i w:val="0"/>
      <w:iCs w:val="0"/>
      <w:smallCaps w:val="0"/>
      <w:strike w:val="0"/>
      <w:color w:val="FFFFFF"/>
      <w:spacing w:val="-20"/>
      <w:sz w:val="26"/>
      <w:szCs w:val="26"/>
    </w:rPr>
  </w:style>
  <w:style w:type="character" w:customStyle="1" w:styleId="19Arial13pt2pt">
    <w:name w:val="Основной текст (19) + Arial;13 pt;Полужирный;Курсив;Интервал 2 pt"/>
    <w:basedOn w:val="191"/>
    <w:rsid w:val="00811C95"/>
    <w:rPr>
      <w:rFonts w:ascii="Arial" w:eastAsia="Arial" w:hAnsi="Arial" w:cs="Arial"/>
      <w:b/>
      <w:bCs/>
      <w:i/>
      <w:iCs/>
      <w:smallCaps w:val="0"/>
      <w:strike w:val="0"/>
      <w:color w:val="FFFFFF"/>
      <w:spacing w:val="40"/>
      <w:sz w:val="26"/>
      <w:szCs w:val="26"/>
      <w:shd w:val="clear" w:color="auto" w:fill="FFFFFF"/>
      <w:lang w:val="en-US" w:eastAsia="ru-RU"/>
    </w:rPr>
  </w:style>
  <w:style w:type="character" w:customStyle="1" w:styleId="118pt">
    <w:name w:val="Основной текст (11) + 8 pt;Полужирный;Курсив"/>
    <w:basedOn w:val="116"/>
    <w:rsid w:val="00811C95"/>
    <w:rPr>
      <w:rFonts w:ascii="Arial" w:eastAsia="Arial" w:hAnsi="Arial" w:cs="Arial"/>
      <w:b/>
      <w:bCs/>
      <w:i/>
      <w:iCs/>
      <w:smallCaps w:val="0"/>
      <w:strike w:val="0"/>
      <w:color w:val="FFFFFF"/>
      <w:spacing w:val="0"/>
      <w:sz w:val="16"/>
      <w:szCs w:val="16"/>
    </w:rPr>
  </w:style>
  <w:style w:type="character" w:customStyle="1" w:styleId="85pt">
    <w:name w:val="Подпись к таблице + 8;5 pt;Не курсив"/>
    <w:basedOn w:val="aff3"/>
    <w:rsid w:val="00811C95"/>
    <w:rPr>
      <w:rFonts w:ascii="Arial" w:eastAsia="Arial" w:hAnsi="Arial" w:cs="Arial"/>
      <w:i/>
      <w:iCs/>
      <w:noProof/>
      <w:sz w:val="17"/>
      <w:szCs w:val="17"/>
      <w:shd w:val="clear" w:color="auto" w:fill="FFFFFF"/>
      <w:lang w:val="en-US"/>
    </w:rPr>
  </w:style>
  <w:style w:type="character" w:customStyle="1" w:styleId="252">
    <w:name w:val="Основной текст (25)_"/>
    <w:basedOn w:val="a0"/>
    <w:link w:val="253"/>
    <w:rsid w:val="00811C95"/>
    <w:rPr>
      <w:rFonts w:ascii="MS Gothic" w:eastAsia="MS Gothic" w:hAnsi="MS Gothic" w:cs="MS Gothic"/>
      <w:sz w:val="8"/>
      <w:szCs w:val="8"/>
      <w:shd w:val="clear" w:color="auto" w:fill="FFFFFF"/>
    </w:rPr>
  </w:style>
  <w:style w:type="paragraph" w:customStyle="1" w:styleId="253">
    <w:name w:val="Основной текст (25)"/>
    <w:basedOn w:val="a"/>
    <w:link w:val="252"/>
    <w:rsid w:val="00811C95"/>
    <w:pPr>
      <w:shd w:val="clear" w:color="auto" w:fill="FFFFFF"/>
      <w:spacing w:after="0" w:line="0" w:lineRule="atLeast"/>
      <w:jc w:val="center"/>
    </w:pPr>
    <w:rPr>
      <w:rFonts w:ascii="MS Gothic" w:eastAsia="MS Gothic" w:hAnsi="MS Gothic" w:cs="MS Gothic"/>
      <w:sz w:val="8"/>
      <w:szCs w:val="8"/>
      <w:lang w:eastAsia="ru-RU"/>
    </w:rPr>
  </w:style>
  <w:style w:type="character" w:customStyle="1" w:styleId="260">
    <w:name w:val="Основной текст (26)_"/>
    <w:basedOn w:val="a0"/>
    <w:link w:val="261"/>
    <w:rsid w:val="00811C95"/>
    <w:rPr>
      <w:rFonts w:ascii="MS Gothic" w:eastAsia="MS Gothic" w:hAnsi="MS Gothic" w:cs="MS Gothic"/>
      <w:sz w:val="8"/>
      <w:szCs w:val="8"/>
      <w:shd w:val="clear" w:color="auto" w:fill="FFFFFF"/>
    </w:rPr>
  </w:style>
  <w:style w:type="paragraph" w:customStyle="1" w:styleId="261">
    <w:name w:val="Основной текст (26)"/>
    <w:basedOn w:val="a"/>
    <w:link w:val="260"/>
    <w:rsid w:val="00811C95"/>
    <w:pPr>
      <w:shd w:val="clear" w:color="auto" w:fill="FFFFFF"/>
      <w:spacing w:after="0" w:line="0" w:lineRule="atLeast"/>
      <w:jc w:val="center"/>
    </w:pPr>
    <w:rPr>
      <w:rFonts w:ascii="MS Gothic" w:eastAsia="MS Gothic" w:hAnsi="MS Gothic" w:cs="MS Gothic"/>
      <w:sz w:val="8"/>
      <w:szCs w:val="8"/>
      <w:lang w:eastAsia="ru-RU"/>
    </w:rPr>
  </w:style>
  <w:style w:type="character" w:customStyle="1" w:styleId="272">
    <w:name w:val="Основной текст (27)_"/>
    <w:basedOn w:val="a0"/>
    <w:rsid w:val="00811C95"/>
    <w:rPr>
      <w:rFonts w:ascii="Arial" w:eastAsia="Arial" w:hAnsi="Arial" w:cs="Arial"/>
      <w:sz w:val="8"/>
      <w:szCs w:val="8"/>
      <w:shd w:val="clear" w:color="auto" w:fill="FFFFFF"/>
    </w:rPr>
  </w:style>
  <w:style w:type="character" w:customStyle="1" w:styleId="SegoeUI435pt70">
    <w:name w:val="Основной текст + Segoe UI;43;5 pt;Полужирный;Масштаб 70%"/>
    <w:basedOn w:val="aff1"/>
    <w:rsid w:val="00811C95"/>
    <w:rPr>
      <w:rFonts w:ascii="Segoe UI" w:eastAsia="Segoe UI" w:hAnsi="Segoe UI" w:cs="Segoe UI"/>
      <w:b/>
      <w:bCs/>
      <w:i w:val="0"/>
      <w:iCs w:val="0"/>
      <w:smallCaps w:val="0"/>
      <w:strike w:val="0"/>
      <w:spacing w:val="0"/>
      <w:w w:val="70"/>
      <w:sz w:val="87"/>
      <w:szCs w:val="87"/>
      <w:shd w:val="clear" w:color="auto" w:fill="FFFFFF"/>
    </w:rPr>
  </w:style>
  <w:style w:type="character" w:customStyle="1" w:styleId="1211pt">
    <w:name w:val="Основной текст (12) + 11 pt;Полужирный"/>
    <w:basedOn w:val="122"/>
    <w:rsid w:val="00811C95"/>
    <w:rPr>
      <w:rFonts w:ascii="Arial Narrow" w:eastAsia="Arial Narrow" w:hAnsi="Arial Narrow" w:cs="Arial Narrow"/>
      <w:b/>
      <w:bCs/>
      <w:i w:val="0"/>
      <w:iCs w:val="0"/>
      <w:smallCaps w:val="0"/>
      <w:strike w:val="0"/>
      <w:spacing w:val="0"/>
      <w:sz w:val="22"/>
      <w:szCs w:val="22"/>
      <w:shd w:val="clear" w:color="auto" w:fill="FFFFFF"/>
      <w:lang w:val="en-US" w:eastAsia="en-US"/>
    </w:rPr>
  </w:style>
  <w:style w:type="character" w:customStyle="1" w:styleId="12-1pt">
    <w:name w:val="Основной текст (12) + Интервал -1 pt"/>
    <w:basedOn w:val="122"/>
    <w:rsid w:val="00811C95"/>
    <w:rPr>
      <w:rFonts w:ascii="Arial Narrow" w:eastAsia="Arial Narrow" w:hAnsi="Arial Narrow" w:cs="Arial Narrow"/>
      <w:b w:val="0"/>
      <w:bCs w:val="0"/>
      <w:i w:val="0"/>
      <w:iCs w:val="0"/>
      <w:smallCaps w:val="0"/>
      <w:strike w:val="0"/>
      <w:spacing w:val="-20"/>
      <w:sz w:val="16"/>
      <w:szCs w:val="16"/>
      <w:shd w:val="clear" w:color="auto" w:fill="FFFFFF"/>
      <w:lang w:eastAsia="en-US"/>
    </w:rPr>
  </w:style>
  <w:style w:type="character" w:customStyle="1" w:styleId="302">
    <w:name w:val="Основной текст (30)"/>
    <w:basedOn w:val="a0"/>
    <w:rsid w:val="00811C95"/>
    <w:rPr>
      <w:rFonts w:ascii="Trebuchet MS" w:eastAsia="Trebuchet MS" w:hAnsi="Trebuchet MS" w:cs="Trebuchet MS"/>
      <w:b w:val="0"/>
      <w:bCs w:val="0"/>
      <w:i w:val="0"/>
      <w:iCs w:val="0"/>
      <w:smallCaps w:val="0"/>
      <w:strike w:val="0"/>
      <w:color w:val="FFFFFF"/>
      <w:spacing w:val="0"/>
      <w:sz w:val="17"/>
      <w:szCs w:val="17"/>
    </w:rPr>
  </w:style>
  <w:style w:type="paragraph" w:customStyle="1" w:styleId="313">
    <w:name w:val="Основной текст31"/>
    <w:basedOn w:val="a"/>
    <w:rsid w:val="00811C95"/>
    <w:pPr>
      <w:shd w:val="clear" w:color="auto" w:fill="FFFFFF"/>
      <w:spacing w:after="480" w:line="0" w:lineRule="atLeast"/>
    </w:pPr>
    <w:rPr>
      <w:rFonts w:ascii="Arial Narrow" w:eastAsia="Arial Narrow" w:hAnsi="Arial Narrow" w:cs="Arial Narrow"/>
      <w:color w:val="000000"/>
      <w:sz w:val="18"/>
      <w:szCs w:val="18"/>
      <w:lang w:eastAsia="ru-RU"/>
    </w:rPr>
  </w:style>
  <w:style w:type="character" w:customStyle="1" w:styleId="86">
    <w:name w:val="Подпись к картинке (8)_"/>
    <w:basedOn w:val="a0"/>
    <w:link w:val="87"/>
    <w:rsid w:val="00811C95"/>
    <w:rPr>
      <w:rFonts w:ascii="Arial Narrow" w:eastAsia="Arial Narrow" w:hAnsi="Arial Narrow" w:cs="Arial Narrow"/>
      <w:sz w:val="18"/>
      <w:szCs w:val="18"/>
      <w:shd w:val="clear" w:color="auto" w:fill="FFFFFF"/>
      <w:lang w:val="en-US"/>
    </w:rPr>
  </w:style>
  <w:style w:type="paragraph" w:customStyle="1" w:styleId="87">
    <w:name w:val="Подпись к картинке (8)"/>
    <w:basedOn w:val="a"/>
    <w:link w:val="86"/>
    <w:rsid w:val="00811C95"/>
    <w:pPr>
      <w:shd w:val="clear" w:color="auto" w:fill="FFFFFF"/>
      <w:spacing w:after="0" w:line="0" w:lineRule="atLeast"/>
    </w:pPr>
    <w:rPr>
      <w:rFonts w:ascii="Arial Narrow" w:eastAsia="Arial Narrow" w:hAnsi="Arial Narrow" w:cs="Arial Narrow"/>
      <w:sz w:val="18"/>
      <w:szCs w:val="18"/>
      <w:lang w:val="en-US" w:eastAsia="ru-RU"/>
    </w:rPr>
  </w:style>
  <w:style w:type="character" w:customStyle="1" w:styleId="109">
    <w:name w:val="Основной текст (10) + Не курсив"/>
    <w:basedOn w:val="104"/>
    <w:rsid w:val="00811C95"/>
    <w:rPr>
      <w:rFonts w:ascii="Arial Narrow" w:eastAsia="Arial Narrow" w:hAnsi="Arial Narrow" w:cs="Arial Narrow"/>
      <w:b w:val="0"/>
      <w:bCs w:val="0"/>
      <w:i/>
      <w:iCs/>
      <w:smallCaps w:val="0"/>
      <w:strike w:val="0"/>
      <w:spacing w:val="0"/>
      <w:w w:val="100"/>
      <w:sz w:val="18"/>
      <w:szCs w:val="18"/>
      <w:shd w:val="clear" w:color="auto" w:fill="FFFFFF"/>
    </w:rPr>
  </w:style>
  <w:style w:type="character" w:customStyle="1" w:styleId="101pt">
    <w:name w:val="Основной текст (10) + Интервал 1 pt"/>
    <w:basedOn w:val="104"/>
    <w:rsid w:val="00811C95"/>
    <w:rPr>
      <w:rFonts w:ascii="Arial Narrow" w:eastAsia="Arial Narrow" w:hAnsi="Arial Narrow" w:cs="Arial Narrow"/>
      <w:b w:val="0"/>
      <w:bCs w:val="0"/>
      <w:i w:val="0"/>
      <w:iCs w:val="0"/>
      <w:smallCaps w:val="0"/>
      <w:strike w:val="0"/>
      <w:spacing w:val="30"/>
      <w:w w:val="100"/>
      <w:sz w:val="18"/>
      <w:szCs w:val="18"/>
      <w:shd w:val="clear" w:color="auto" w:fill="FFFFFF"/>
    </w:rPr>
  </w:style>
  <w:style w:type="character" w:customStyle="1" w:styleId="242">
    <w:name w:val="Основной текст (24)_"/>
    <w:basedOn w:val="a0"/>
    <w:link w:val="243"/>
    <w:rsid w:val="00811C95"/>
    <w:rPr>
      <w:rFonts w:ascii="Trebuchet MS" w:eastAsia="Trebuchet MS" w:hAnsi="Trebuchet MS" w:cs="Trebuchet MS"/>
      <w:sz w:val="24"/>
      <w:szCs w:val="24"/>
      <w:shd w:val="clear" w:color="auto" w:fill="FFFFFF"/>
    </w:rPr>
  </w:style>
  <w:style w:type="paragraph" w:customStyle="1" w:styleId="243">
    <w:name w:val="Основной текст (24)"/>
    <w:basedOn w:val="a"/>
    <w:link w:val="242"/>
    <w:rsid w:val="00811C95"/>
    <w:pPr>
      <w:shd w:val="clear" w:color="auto" w:fill="FFFFFF"/>
      <w:spacing w:after="0" w:line="0" w:lineRule="atLeast"/>
    </w:pPr>
    <w:rPr>
      <w:rFonts w:ascii="Trebuchet MS" w:eastAsia="Trebuchet MS" w:hAnsi="Trebuchet MS" w:cs="Trebuchet MS"/>
      <w:sz w:val="24"/>
      <w:szCs w:val="24"/>
      <w:lang w:eastAsia="ru-RU"/>
    </w:rPr>
  </w:style>
  <w:style w:type="character" w:customStyle="1" w:styleId="24-1pt">
    <w:name w:val="Основной текст (24) + Интервал -1 pt"/>
    <w:basedOn w:val="242"/>
    <w:rsid w:val="00811C95"/>
    <w:rPr>
      <w:rFonts w:ascii="Trebuchet MS" w:eastAsia="Trebuchet MS" w:hAnsi="Trebuchet MS" w:cs="Trebuchet MS"/>
      <w:spacing w:val="-20"/>
      <w:sz w:val="24"/>
      <w:szCs w:val="24"/>
      <w:u w:val="single"/>
      <w:shd w:val="clear" w:color="auto" w:fill="FFFFFF"/>
    </w:rPr>
  </w:style>
  <w:style w:type="character" w:customStyle="1" w:styleId="10-1pt">
    <w:name w:val="Основной текст (10) + Интервал -1 pt"/>
    <w:basedOn w:val="104"/>
    <w:rsid w:val="00811C95"/>
    <w:rPr>
      <w:rFonts w:ascii="Arial Narrow" w:eastAsia="Arial Narrow" w:hAnsi="Arial Narrow" w:cs="Arial Narrow"/>
      <w:b w:val="0"/>
      <w:bCs w:val="0"/>
      <w:i w:val="0"/>
      <w:iCs w:val="0"/>
      <w:smallCaps w:val="0"/>
      <w:strike w:val="0"/>
      <w:color w:val="FFFFFF"/>
      <w:spacing w:val="-20"/>
      <w:w w:val="100"/>
      <w:sz w:val="18"/>
      <w:szCs w:val="18"/>
      <w:shd w:val="clear" w:color="auto" w:fill="FFFFFF"/>
    </w:rPr>
  </w:style>
  <w:style w:type="character" w:customStyle="1" w:styleId="10105pt">
    <w:name w:val="Основной текст (10) + 10;5 pt;Не курсив"/>
    <w:basedOn w:val="104"/>
    <w:rsid w:val="00811C95"/>
    <w:rPr>
      <w:rFonts w:ascii="Arial Narrow" w:eastAsia="Arial Narrow" w:hAnsi="Arial Narrow" w:cs="Arial Narrow"/>
      <w:b w:val="0"/>
      <w:bCs w:val="0"/>
      <w:i/>
      <w:iCs/>
      <w:smallCaps w:val="0"/>
      <w:strike w:val="0"/>
      <w:spacing w:val="0"/>
      <w:w w:val="100"/>
      <w:sz w:val="21"/>
      <w:szCs w:val="21"/>
      <w:shd w:val="clear" w:color="auto" w:fill="FFFFFF"/>
    </w:rPr>
  </w:style>
  <w:style w:type="character" w:customStyle="1" w:styleId="143">
    <w:name w:val="Основной текст (14)_"/>
    <w:basedOn w:val="a0"/>
    <w:link w:val="144"/>
    <w:rsid w:val="00811C95"/>
    <w:rPr>
      <w:rFonts w:ascii="Trebuchet MS" w:eastAsia="Trebuchet MS" w:hAnsi="Trebuchet MS" w:cs="Trebuchet MS"/>
      <w:sz w:val="14"/>
      <w:szCs w:val="14"/>
      <w:shd w:val="clear" w:color="auto" w:fill="FFFFFF"/>
    </w:rPr>
  </w:style>
  <w:style w:type="paragraph" w:customStyle="1" w:styleId="144">
    <w:name w:val="Основной текст (14)"/>
    <w:basedOn w:val="a"/>
    <w:link w:val="143"/>
    <w:rsid w:val="00811C95"/>
    <w:pPr>
      <w:shd w:val="clear" w:color="auto" w:fill="FFFFFF"/>
      <w:spacing w:after="0" w:line="0" w:lineRule="atLeast"/>
    </w:pPr>
    <w:rPr>
      <w:rFonts w:ascii="Trebuchet MS" w:eastAsia="Trebuchet MS" w:hAnsi="Trebuchet MS" w:cs="Trebuchet MS"/>
      <w:sz w:val="14"/>
      <w:szCs w:val="14"/>
      <w:lang w:eastAsia="ru-RU"/>
    </w:rPr>
  </w:style>
  <w:style w:type="character" w:customStyle="1" w:styleId="Sylfaen">
    <w:name w:val="Колонтитул + Sylfaen;Полужирный"/>
    <w:basedOn w:val="aff9"/>
    <w:rsid w:val="00811C95"/>
    <w:rPr>
      <w:rFonts w:ascii="Sylfaen" w:eastAsia="Sylfaen" w:hAnsi="Sylfaen" w:cs="Sylfaen"/>
      <w:b/>
      <w:bCs/>
      <w:spacing w:val="0"/>
      <w:shd w:val="clear" w:color="auto" w:fill="FFFFFF"/>
      <w:lang w:eastAsia="en-US"/>
    </w:rPr>
  </w:style>
  <w:style w:type="character" w:customStyle="1" w:styleId="3f1">
    <w:name w:val="Основной текст (3) + Не курсив"/>
    <w:basedOn w:val="35"/>
    <w:rsid w:val="00811C95"/>
    <w:rPr>
      <w:rFonts w:ascii="Arial" w:eastAsia="Arial" w:hAnsi="Arial" w:cs="Arial"/>
      <w:i/>
      <w:iCs/>
      <w:spacing w:val="20"/>
      <w:sz w:val="15"/>
      <w:szCs w:val="15"/>
      <w:shd w:val="clear" w:color="auto" w:fill="FFFFFF"/>
    </w:rPr>
  </w:style>
  <w:style w:type="character" w:customStyle="1" w:styleId="ArialUnicodeMS105pt">
    <w:name w:val="Колонтитул + Arial Unicode MS;10;5 pt;Полужирный"/>
    <w:basedOn w:val="aff9"/>
    <w:rsid w:val="00811C95"/>
    <w:rPr>
      <w:rFonts w:ascii="Arial Unicode MS" w:eastAsia="Arial Unicode MS" w:hAnsi="Arial Unicode MS" w:cs="Arial Unicode MS"/>
      <w:b/>
      <w:bCs/>
      <w:spacing w:val="0"/>
      <w:sz w:val="21"/>
      <w:szCs w:val="21"/>
      <w:shd w:val="clear" w:color="auto" w:fill="FFFFFF"/>
      <w:lang w:eastAsia="en-US"/>
    </w:rPr>
  </w:style>
  <w:style w:type="character" w:customStyle="1" w:styleId="180pt">
    <w:name w:val="Основной текст (18) + Интервал 0 pt"/>
    <w:basedOn w:val="a0"/>
    <w:rsid w:val="00811C95"/>
    <w:rPr>
      <w:rFonts w:ascii="Arial" w:eastAsia="Arial" w:hAnsi="Arial" w:cs="Arial"/>
      <w:b w:val="0"/>
      <w:bCs w:val="0"/>
      <w:i w:val="0"/>
      <w:iCs w:val="0"/>
      <w:smallCaps w:val="0"/>
      <w:strike w:val="0"/>
      <w:spacing w:val="-10"/>
      <w:sz w:val="13"/>
      <w:szCs w:val="13"/>
    </w:rPr>
  </w:style>
  <w:style w:type="character" w:customStyle="1" w:styleId="65pt">
    <w:name w:val="Основной текст + 6;5 pt;Курсив"/>
    <w:basedOn w:val="aff1"/>
    <w:rsid w:val="00811C95"/>
    <w:rPr>
      <w:rFonts w:ascii="Arial" w:eastAsia="Arial" w:hAnsi="Arial" w:cs="Arial"/>
      <w:i/>
      <w:iCs/>
      <w:spacing w:val="-10"/>
      <w:sz w:val="13"/>
      <w:szCs w:val="13"/>
      <w:shd w:val="clear" w:color="auto" w:fill="FFFFFF"/>
      <w:lang w:val="en-US"/>
    </w:rPr>
  </w:style>
  <w:style w:type="character" w:customStyle="1" w:styleId="85pt0">
    <w:name w:val="Основной текст + 8;5 pt;Полужирный"/>
    <w:basedOn w:val="aff1"/>
    <w:rsid w:val="00811C95"/>
    <w:rPr>
      <w:rFonts w:ascii="Arial" w:eastAsia="Arial" w:hAnsi="Arial" w:cs="Arial"/>
      <w:b/>
      <w:bCs/>
      <w:spacing w:val="-10"/>
      <w:sz w:val="17"/>
      <w:szCs w:val="17"/>
      <w:shd w:val="clear" w:color="auto" w:fill="FFFFFF"/>
    </w:rPr>
  </w:style>
  <w:style w:type="character" w:customStyle="1" w:styleId="BookmanOldStyle95pt">
    <w:name w:val="Колонтитул + Bookman Old Style;9;5 pt"/>
    <w:basedOn w:val="aff9"/>
    <w:rsid w:val="00811C95"/>
    <w:rPr>
      <w:rFonts w:ascii="Bookman Old Style" w:eastAsia="Bookman Old Style" w:hAnsi="Bookman Old Style" w:cs="Bookman Old Style"/>
      <w:spacing w:val="0"/>
      <w:sz w:val="19"/>
      <w:szCs w:val="19"/>
      <w:shd w:val="clear" w:color="auto" w:fill="FFFFFF"/>
      <w:lang w:eastAsia="en-US"/>
    </w:rPr>
  </w:style>
  <w:style w:type="character" w:customStyle="1" w:styleId="118">
    <w:name w:val="Подпись к картинке (11)_"/>
    <w:basedOn w:val="a0"/>
    <w:link w:val="119"/>
    <w:rsid w:val="00811C95"/>
    <w:rPr>
      <w:rFonts w:ascii="Arial" w:eastAsia="Arial" w:hAnsi="Arial" w:cs="Arial"/>
      <w:sz w:val="13"/>
      <w:szCs w:val="13"/>
      <w:shd w:val="clear" w:color="auto" w:fill="FFFFFF"/>
    </w:rPr>
  </w:style>
  <w:style w:type="paragraph" w:customStyle="1" w:styleId="119">
    <w:name w:val="Подпись к картинке (11)"/>
    <w:basedOn w:val="a"/>
    <w:link w:val="118"/>
    <w:rsid w:val="00811C95"/>
    <w:pPr>
      <w:shd w:val="clear" w:color="auto" w:fill="FFFFFF"/>
      <w:spacing w:after="0" w:line="86" w:lineRule="exact"/>
      <w:jc w:val="both"/>
    </w:pPr>
    <w:rPr>
      <w:rFonts w:ascii="Arial" w:eastAsia="Arial" w:hAnsi="Arial" w:cs="Arial"/>
      <w:sz w:val="13"/>
      <w:szCs w:val="13"/>
      <w:lang w:eastAsia="ru-RU"/>
    </w:rPr>
  </w:style>
  <w:style w:type="character" w:customStyle="1" w:styleId="118pt0">
    <w:name w:val="Подпись к картинке (11) + 8 pt"/>
    <w:basedOn w:val="118"/>
    <w:rsid w:val="00811C95"/>
    <w:rPr>
      <w:rFonts w:ascii="Arial" w:eastAsia="Arial" w:hAnsi="Arial" w:cs="Arial"/>
      <w:sz w:val="16"/>
      <w:szCs w:val="16"/>
      <w:shd w:val="clear" w:color="auto" w:fill="FFFFFF"/>
    </w:rPr>
  </w:style>
  <w:style w:type="character" w:customStyle="1" w:styleId="Arial105pt">
    <w:name w:val="Колонтитул + Arial;10;5 pt;Полужирный"/>
    <w:basedOn w:val="aff9"/>
    <w:rsid w:val="00811C95"/>
    <w:rPr>
      <w:rFonts w:ascii="Arial" w:eastAsia="Arial" w:hAnsi="Arial" w:cs="Arial"/>
      <w:b/>
      <w:bCs/>
      <w:spacing w:val="0"/>
      <w:sz w:val="21"/>
      <w:szCs w:val="21"/>
      <w:shd w:val="clear" w:color="auto" w:fill="FFFFFF"/>
      <w:lang w:eastAsia="en-US"/>
    </w:rPr>
  </w:style>
  <w:style w:type="character" w:customStyle="1" w:styleId="1030">
    <w:name w:val="Заголовок №10 (3)_"/>
    <w:basedOn w:val="a0"/>
    <w:link w:val="1031"/>
    <w:rsid w:val="00811C95"/>
    <w:rPr>
      <w:rFonts w:ascii="Arial" w:eastAsia="Arial" w:hAnsi="Arial" w:cs="Arial"/>
      <w:sz w:val="15"/>
      <w:szCs w:val="15"/>
      <w:shd w:val="clear" w:color="auto" w:fill="FFFFFF"/>
    </w:rPr>
  </w:style>
  <w:style w:type="paragraph" w:customStyle="1" w:styleId="1031">
    <w:name w:val="Заголовок №10 (3)"/>
    <w:basedOn w:val="a"/>
    <w:link w:val="1030"/>
    <w:rsid w:val="00811C95"/>
    <w:pPr>
      <w:shd w:val="clear" w:color="auto" w:fill="FFFFFF"/>
      <w:spacing w:before="180" w:after="180" w:line="0" w:lineRule="atLeast"/>
    </w:pPr>
    <w:rPr>
      <w:rFonts w:ascii="Arial" w:eastAsia="Arial" w:hAnsi="Arial" w:cs="Arial"/>
      <w:sz w:val="15"/>
      <w:szCs w:val="15"/>
      <w:lang w:eastAsia="ru-RU"/>
    </w:rPr>
  </w:style>
  <w:style w:type="character" w:customStyle="1" w:styleId="132">
    <w:name w:val="Основной текст (13)_"/>
    <w:basedOn w:val="a0"/>
    <w:link w:val="133"/>
    <w:rsid w:val="00811C95"/>
    <w:rPr>
      <w:rFonts w:ascii="Arial" w:eastAsia="Arial" w:hAnsi="Arial" w:cs="Arial"/>
      <w:sz w:val="8"/>
      <w:szCs w:val="8"/>
      <w:shd w:val="clear" w:color="auto" w:fill="FFFFFF"/>
    </w:rPr>
  </w:style>
  <w:style w:type="paragraph" w:customStyle="1" w:styleId="133">
    <w:name w:val="Основной текст (13)"/>
    <w:basedOn w:val="a"/>
    <w:link w:val="132"/>
    <w:rsid w:val="00811C95"/>
    <w:pPr>
      <w:shd w:val="clear" w:color="auto" w:fill="FFFFFF"/>
      <w:spacing w:after="0" w:line="0" w:lineRule="atLeast"/>
    </w:pPr>
    <w:rPr>
      <w:rFonts w:ascii="Arial" w:eastAsia="Arial" w:hAnsi="Arial" w:cs="Arial"/>
      <w:sz w:val="8"/>
      <w:szCs w:val="8"/>
      <w:lang w:eastAsia="ru-RU"/>
    </w:rPr>
  </w:style>
  <w:style w:type="character" w:customStyle="1" w:styleId="125">
    <w:name w:val="Подпись к картинке (12)_"/>
    <w:basedOn w:val="a0"/>
    <w:link w:val="126"/>
    <w:rsid w:val="00811C95"/>
    <w:rPr>
      <w:rFonts w:ascii="Arial" w:eastAsia="Arial" w:hAnsi="Arial" w:cs="Arial"/>
      <w:shd w:val="clear" w:color="auto" w:fill="FFFFFF"/>
    </w:rPr>
  </w:style>
  <w:style w:type="paragraph" w:customStyle="1" w:styleId="126">
    <w:name w:val="Подпись к картинке (12)"/>
    <w:basedOn w:val="a"/>
    <w:link w:val="125"/>
    <w:rsid w:val="00811C95"/>
    <w:pPr>
      <w:shd w:val="clear" w:color="auto" w:fill="FFFFFF"/>
      <w:spacing w:after="0" w:line="0" w:lineRule="atLeast"/>
    </w:pPr>
    <w:rPr>
      <w:rFonts w:ascii="Arial" w:eastAsia="Arial" w:hAnsi="Arial" w:cs="Arial"/>
      <w:sz w:val="20"/>
      <w:szCs w:val="20"/>
      <w:lang w:eastAsia="ru-RU"/>
    </w:rPr>
  </w:style>
  <w:style w:type="character" w:customStyle="1" w:styleId="3f2">
    <w:name w:val="Основной текст (3) + Полужирный"/>
    <w:basedOn w:val="35"/>
    <w:rsid w:val="00811C95"/>
    <w:rPr>
      <w:rFonts w:ascii="Times New Roman" w:eastAsia="Times New Roman" w:hAnsi="Times New Roman" w:cs="Times New Roman"/>
      <w:b/>
      <w:bCs/>
      <w:i w:val="0"/>
      <w:iCs w:val="0"/>
      <w:smallCaps w:val="0"/>
      <w:strike w:val="0"/>
      <w:spacing w:val="0"/>
      <w:sz w:val="21"/>
      <w:szCs w:val="21"/>
      <w:shd w:val="clear" w:color="auto" w:fill="FFFFFF"/>
    </w:rPr>
  </w:style>
  <w:style w:type="character" w:customStyle="1" w:styleId="153">
    <w:name w:val="Основной текст (15)_"/>
    <w:basedOn w:val="a0"/>
    <w:rsid w:val="00811C95"/>
    <w:rPr>
      <w:rFonts w:ascii="Times New Roman" w:eastAsia="Times New Roman" w:hAnsi="Times New Roman" w:cs="Times New Roman"/>
      <w:b w:val="0"/>
      <w:bCs w:val="0"/>
      <w:i w:val="0"/>
      <w:iCs w:val="0"/>
      <w:smallCaps w:val="0"/>
      <w:strike w:val="0"/>
      <w:spacing w:val="0"/>
      <w:sz w:val="23"/>
      <w:szCs w:val="23"/>
    </w:rPr>
  </w:style>
  <w:style w:type="character" w:customStyle="1" w:styleId="12TimesNewRoman15pt60">
    <w:name w:val="Основной текст (12) + Times New Roman;15 pt;Полужирный;Масштаб 60%"/>
    <w:basedOn w:val="122"/>
    <w:rsid w:val="00811C95"/>
    <w:rPr>
      <w:rFonts w:ascii="Times New Roman" w:eastAsia="Times New Roman" w:hAnsi="Times New Roman" w:cs="Times New Roman"/>
      <w:b/>
      <w:bCs/>
      <w:i w:val="0"/>
      <w:iCs w:val="0"/>
      <w:smallCaps w:val="0"/>
      <w:strike w:val="0"/>
      <w:spacing w:val="0"/>
      <w:w w:val="60"/>
      <w:sz w:val="30"/>
      <w:szCs w:val="30"/>
      <w:shd w:val="clear" w:color="auto" w:fill="FFFFFF"/>
      <w:lang w:eastAsia="en-US"/>
    </w:rPr>
  </w:style>
  <w:style w:type="character" w:customStyle="1" w:styleId="4ArialNarrow4pt100">
    <w:name w:val="Основной текст (4) + Arial Narrow;4 pt;Не полужирный;Курсив;Масштаб 100%"/>
    <w:basedOn w:val="46"/>
    <w:rsid w:val="00811C95"/>
    <w:rPr>
      <w:rFonts w:ascii="Arial Narrow" w:eastAsia="Arial Narrow" w:hAnsi="Arial Narrow" w:cs="Arial Narrow"/>
      <w:b/>
      <w:bCs/>
      <w:i/>
      <w:iCs/>
      <w:smallCaps w:val="0"/>
      <w:strike w:val="0"/>
      <w:spacing w:val="0"/>
      <w:w w:val="100"/>
      <w:sz w:val="8"/>
      <w:szCs w:val="8"/>
      <w:shd w:val="clear" w:color="auto" w:fill="FFFFFF"/>
    </w:rPr>
  </w:style>
  <w:style w:type="character" w:customStyle="1" w:styleId="11pt">
    <w:name w:val="Колонтитул + 11 pt"/>
    <w:basedOn w:val="aff9"/>
    <w:rsid w:val="00811C95"/>
    <w:rPr>
      <w:rFonts w:ascii="Times New Roman" w:hAnsi="Times New Roman"/>
      <w:b w:val="0"/>
      <w:bCs w:val="0"/>
      <w:i w:val="0"/>
      <w:iCs w:val="0"/>
      <w:smallCaps w:val="0"/>
      <w:strike w:val="0"/>
      <w:spacing w:val="0"/>
      <w:sz w:val="22"/>
      <w:szCs w:val="22"/>
      <w:shd w:val="clear" w:color="auto" w:fill="FFFFFF"/>
      <w:lang w:eastAsia="en-US"/>
    </w:rPr>
  </w:style>
  <w:style w:type="character" w:customStyle="1" w:styleId="3115pt">
    <w:name w:val="Основной текст (3) + 11;5 pt;Полужирный;Не курсив"/>
    <w:basedOn w:val="35"/>
    <w:rsid w:val="00811C95"/>
    <w:rPr>
      <w:rFonts w:ascii="Times New Roman" w:eastAsia="Times New Roman" w:hAnsi="Times New Roman" w:cs="Times New Roman"/>
      <w:b/>
      <w:bCs/>
      <w:i/>
      <w:iCs/>
      <w:smallCaps w:val="0"/>
      <w:strike w:val="0"/>
      <w:spacing w:val="0"/>
      <w:sz w:val="23"/>
      <w:szCs w:val="23"/>
      <w:shd w:val="clear" w:color="auto" w:fill="FFFFFF"/>
    </w:rPr>
  </w:style>
  <w:style w:type="character" w:customStyle="1" w:styleId="127">
    <w:name w:val="Заголовок №1 (2)_"/>
    <w:basedOn w:val="a0"/>
    <w:link w:val="128"/>
    <w:rsid w:val="00811C95"/>
    <w:rPr>
      <w:rFonts w:ascii="Times New Roman" w:eastAsia="Times New Roman" w:hAnsi="Times New Roman"/>
      <w:sz w:val="23"/>
      <w:szCs w:val="23"/>
      <w:shd w:val="clear" w:color="auto" w:fill="FFFFFF"/>
    </w:rPr>
  </w:style>
  <w:style w:type="paragraph" w:customStyle="1" w:styleId="128">
    <w:name w:val="Заголовок №1 (2)"/>
    <w:basedOn w:val="a"/>
    <w:link w:val="127"/>
    <w:rsid w:val="00811C95"/>
    <w:pPr>
      <w:shd w:val="clear" w:color="auto" w:fill="FFFFFF"/>
      <w:spacing w:before="180" w:after="60" w:line="0" w:lineRule="atLeast"/>
      <w:outlineLvl w:val="0"/>
    </w:pPr>
    <w:rPr>
      <w:rFonts w:ascii="Times New Roman" w:eastAsia="Times New Roman" w:hAnsi="Times New Roman"/>
      <w:sz w:val="23"/>
      <w:szCs w:val="23"/>
      <w:lang w:eastAsia="ru-RU"/>
    </w:rPr>
  </w:style>
  <w:style w:type="character" w:customStyle="1" w:styleId="125pt">
    <w:name w:val="Колонтитул + 12;5 pt;Полужирный"/>
    <w:basedOn w:val="aff9"/>
    <w:rsid w:val="00811C95"/>
    <w:rPr>
      <w:rFonts w:ascii="Times New Roman" w:hAnsi="Times New Roman"/>
      <w:b/>
      <w:bCs/>
      <w:i w:val="0"/>
      <w:iCs w:val="0"/>
      <w:smallCaps w:val="0"/>
      <w:strike w:val="0"/>
      <w:spacing w:val="0"/>
      <w:sz w:val="25"/>
      <w:szCs w:val="25"/>
      <w:shd w:val="clear" w:color="auto" w:fill="FFFFFF"/>
      <w:lang w:eastAsia="en-US"/>
    </w:rPr>
  </w:style>
  <w:style w:type="character" w:customStyle="1" w:styleId="12125pt">
    <w:name w:val="Заголовок №1 (2) + 12;5 pt"/>
    <w:basedOn w:val="127"/>
    <w:rsid w:val="00811C95"/>
    <w:rPr>
      <w:rFonts w:ascii="Times New Roman" w:eastAsia="Times New Roman" w:hAnsi="Times New Roman"/>
      <w:sz w:val="25"/>
      <w:szCs w:val="25"/>
      <w:shd w:val="clear" w:color="auto" w:fill="FFFFFF"/>
    </w:rPr>
  </w:style>
  <w:style w:type="character" w:customStyle="1" w:styleId="154">
    <w:name w:val="Заголовок №1 (5)_"/>
    <w:basedOn w:val="a0"/>
    <w:link w:val="155"/>
    <w:rsid w:val="00811C95"/>
    <w:rPr>
      <w:rFonts w:ascii="Times New Roman" w:eastAsia="Times New Roman" w:hAnsi="Times New Roman"/>
      <w:sz w:val="25"/>
      <w:szCs w:val="25"/>
      <w:shd w:val="clear" w:color="auto" w:fill="FFFFFF"/>
    </w:rPr>
  </w:style>
  <w:style w:type="paragraph" w:customStyle="1" w:styleId="155">
    <w:name w:val="Заголовок №1 (5)"/>
    <w:basedOn w:val="a"/>
    <w:link w:val="154"/>
    <w:rsid w:val="00811C95"/>
    <w:pPr>
      <w:shd w:val="clear" w:color="auto" w:fill="FFFFFF"/>
      <w:spacing w:before="180" w:after="60" w:line="0" w:lineRule="atLeast"/>
      <w:outlineLvl w:val="0"/>
    </w:pPr>
    <w:rPr>
      <w:rFonts w:ascii="Times New Roman" w:eastAsia="Times New Roman" w:hAnsi="Times New Roman"/>
      <w:sz w:val="25"/>
      <w:szCs w:val="25"/>
      <w:lang w:eastAsia="ru-RU"/>
    </w:rPr>
  </w:style>
  <w:style w:type="character" w:customStyle="1" w:styleId="9pt0pt0">
    <w:name w:val="Основной текст + 9 pt;Интервал 0 pt"/>
    <w:basedOn w:val="aff1"/>
    <w:rsid w:val="00811C95"/>
    <w:rPr>
      <w:rFonts w:ascii="Times New Roman" w:eastAsia="Times New Roman" w:hAnsi="Times New Roman" w:cs="Times New Roman"/>
      <w:b w:val="0"/>
      <w:bCs w:val="0"/>
      <w:i w:val="0"/>
      <w:iCs w:val="0"/>
      <w:smallCaps w:val="0"/>
      <w:strike w:val="0"/>
      <w:spacing w:val="10"/>
      <w:sz w:val="18"/>
      <w:szCs w:val="18"/>
      <w:shd w:val="clear" w:color="auto" w:fill="FFFFFF"/>
    </w:rPr>
  </w:style>
  <w:style w:type="character" w:customStyle="1" w:styleId="291">
    <w:name w:val="Основной текст (29) + Не полужирный"/>
    <w:basedOn w:val="29"/>
    <w:rsid w:val="00811C95"/>
    <w:rPr>
      <w:rFonts w:ascii="Times New Roman" w:eastAsia="Times New Roman" w:hAnsi="Times New Roman" w:cs="Times New Roman"/>
      <w:b/>
      <w:bCs/>
      <w:i w:val="0"/>
      <w:iCs w:val="0"/>
      <w:smallCaps w:val="0"/>
      <w:strike w:val="0"/>
      <w:spacing w:val="0"/>
      <w:sz w:val="21"/>
      <w:szCs w:val="21"/>
      <w:shd w:val="clear" w:color="auto" w:fill="FFFFFF"/>
    </w:rPr>
  </w:style>
  <w:style w:type="paragraph" w:customStyle="1" w:styleId="215">
    <w:name w:val="Основной текст21"/>
    <w:basedOn w:val="a"/>
    <w:rsid w:val="00811C95"/>
    <w:pPr>
      <w:shd w:val="clear" w:color="auto" w:fill="FFFFFF"/>
      <w:spacing w:before="120" w:after="120" w:line="227" w:lineRule="exact"/>
      <w:ind w:hanging="280"/>
      <w:jc w:val="right"/>
    </w:pPr>
    <w:rPr>
      <w:rFonts w:ascii="Times New Roman" w:eastAsia="Times New Roman" w:hAnsi="Times New Roman"/>
      <w:color w:val="000000"/>
      <w:sz w:val="21"/>
      <w:szCs w:val="21"/>
      <w:lang w:eastAsia="ru-RU"/>
    </w:rPr>
  </w:style>
  <w:style w:type="character" w:customStyle="1" w:styleId="1pt1">
    <w:name w:val="Сноска + Интервал 1 pt"/>
    <w:basedOn w:val="aff5"/>
    <w:rsid w:val="00811C95"/>
    <w:rPr>
      <w:rFonts w:ascii="Times New Roman" w:eastAsia="Times New Roman" w:hAnsi="Times New Roman" w:cs="Times New Roman"/>
      <w:b w:val="0"/>
      <w:bCs w:val="0"/>
      <w:i w:val="0"/>
      <w:iCs w:val="0"/>
      <w:smallCaps w:val="0"/>
      <w:strike w:val="0"/>
      <w:noProof/>
      <w:spacing w:val="30"/>
      <w:sz w:val="23"/>
      <w:szCs w:val="23"/>
      <w:shd w:val="clear" w:color="auto" w:fill="FFFFFF"/>
      <w:lang w:val="en-US"/>
    </w:rPr>
  </w:style>
  <w:style w:type="character" w:customStyle="1" w:styleId="135pt">
    <w:name w:val="Сноска + 13;5 pt"/>
    <w:basedOn w:val="aff5"/>
    <w:rsid w:val="00811C95"/>
    <w:rPr>
      <w:rFonts w:ascii="Times New Roman" w:eastAsia="Times New Roman" w:hAnsi="Times New Roman" w:cs="Times New Roman"/>
      <w:b w:val="0"/>
      <w:bCs w:val="0"/>
      <w:i w:val="0"/>
      <w:iCs w:val="0"/>
      <w:smallCaps w:val="0"/>
      <w:strike w:val="0"/>
      <w:noProof/>
      <w:spacing w:val="0"/>
      <w:sz w:val="27"/>
      <w:szCs w:val="27"/>
      <w:shd w:val="clear" w:color="auto" w:fill="FFFFFF"/>
      <w:lang w:val="en-US"/>
    </w:rPr>
  </w:style>
  <w:style w:type="character" w:customStyle="1" w:styleId="22pt">
    <w:name w:val="Заголовок №2 + Интервал 2 pt"/>
    <w:basedOn w:val="2f0"/>
    <w:rsid w:val="00811C95"/>
    <w:rPr>
      <w:rFonts w:ascii="Times New Roman" w:eastAsia="Times New Roman" w:hAnsi="Times New Roman" w:cs="Times New Roman"/>
      <w:b w:val="0"/>
      <w:bCs w:val="0"/>
      <w:i w:val="0"/>
      <w:iCs w:val="0"/>
      <w:smallCaps w:val="0"/>
      <w:strike w:val="0"/>
      <w:spacing w:val="50"/>
      <w:sz w:val="31"/>
      <w:szCs w:val="31"/>
    </w:rPr>
  </w:style>
  <w:style w:type="character" w:customStyle="1" w:styleId="1f1">
    <w:name w:val="Заголовок №1_"/>
    <w:basedOn w:val="a0"/>
    <w:rsid w:val="00811C95"/>
    <w:rPr>
      <w:rFonts w:ascii="Times New Roman" w:eastAsia="Times New Roman" w:hAnsi="Times New Roman" w:cs="Times New Roman"/>
      <w:b w:val="0"/>
      <w:bCs w:val="0"/>
      <w:i w:val="0"/>
      <w:iCs w:val="0"/>
      <w:smallCaps w:val="0"/>
      <w:strike w:val="0"/>
      <w:spacing w:val="0"/>
      <w:sz w:val="34"/>
      <w:szCs w:val="34"/>
    </w:rPr>
  </w:style>
  <w:style w:type="character" w:customStyle="1" w:styleId="1f2">
    <w:name w:val="Оглавление 1 Знак"/>
    <w:basedOn w:val="a0"/>
    <w:link w:val="1f3"/>
    <w:rsid w:val="00811C95"/>
    <w:rPr>
      <w:rFonts w:ascii="Times New Roman" w:eastAsia="Times New Roman" w:hAnsi="Times New Roman"/>
      <w:sz w:val="27"/>
      <w:szCs w:val="27"/>
      <w:shd w:val="clear" w:color="auto" w:fill="FFFFFF"/>
    </w:rPr>
  </w:style>
  <w:style w:type="paragraph" w:styleId="1f3">
    <w:name w:val="toc 1"/>
    <w:basedOn w:val="a"/>
    <w:link w:val="1f2"/>
    <w:autoRedefine/>
    <w:rsid w:val="00811C95"/>
    <w:pPr>
      <w:shd w:val="clear" w:color="auto" w:fill="FFFFFF"/>
      <w:spacing w:before="1080" w:after="0" w:line="480" w:lineRule="exact"/>
    </w:pPr>
    <w:rPr>
      <w:rFonts w:ascii="Times New Roman" w:eastAsia="Times New Roman" w:hAnsi="Times New Roman"/>
      <w:sz w:val="27"/>
      <w:szCs w:val="27"/>
      <w:lang w:eastAsia="ru-RU"/>
    </w:rPr>
  </w:style>
  <w:style w:type="character" w:customStyle="1" w:styleId="2115pt">
    <w:name w:val="Оглавление (2) + 11;5 pt;Не полужирный"/>
    <w:basedOn w:val="1f2"/>
    <w:rsid w:val="00811C95"/>
    <w:rPr>
      <w:rFonts w:ascii="Times New Roman" w:eastAsia="Times New Roman" w:hAnsi="Times New Roman"/>
      <w:b/>
      <w:bCs/>
      <w:sz w:val="23"/>
      <w:szCs w:val="23"/>
      <w:shd w:val="clear" w:color="auto" w:fill="FFFFFF"/>
    </w:rPr>
  </w:style>
  <w:style w:type="character" w:customStyle="1" w:styleId="2f6">
    <w:name w:val="Оглавление 2 Знак"/>
    <w:basedOn w:val="a0"/>
    <w:link w:val="2f7"/>
    <w:rsid w:val="00811C95"/>
    <w:rPr>
      <w:rFonts w:ascii="Times New Roman" w:eastAsia="Times New Roman" w:hAnsi="Times New Roman"/>
      <w:sz w:val="27"/>
      <w:szCs w:val="27"/>
      <w:shd w:val="clear" w:color="auto" w:fill="FFFFFF"/>
    </w:rPr>
  </w:style>
  <w:style w:type="paragraph" w:styleId="2f7">
    <w:name w:val="toc 2"/>
    <w:basedOn w:val="a"/>
    <w:link w:val="2f6"/>
    <w:autoRedefine/>
    <w:rsid w:val="00811C95"/>
    <w:pPr>
      <w:shd w:val="clear" w:color="auto" w:fill="FFFFFF"/>
      <w:spacing w:after="0" w:line="480" w:lineRule="exact"/>
    </w:pPr>
    <w:rPr>
      <w:rFonts w:ascii="Times New Roman" w:eastAsia="Times New Roman" w:hAnsi="Times New Roman"/>
      <w:sz w:val="27"/>
      <w:szCs w:val="27"/>
      <w:lang w:eastAsia="ru-RU"/>
    </w:rPr>
  </w:style>
  <w:style w:type="character" w:customStyle="1" w:styleId="115pt">
    <w:name w:val="Оглавление + 11;5 pt"/>
    <w:basedOn w:val="2f6"/>
    <w:rsid w:val="00811C95"/>
    <w:rPr>
      <w:rFonts w:ascii="Times New Roman" w:eastAsia="Times New Roman" w:hAnsi="Times New Roman"/>
      <w:sz w:val="23"/>
      <w:szCs w:val="23"/>
      <w:shd w:val="clear" w:color="auto" w:fill="FFFFFF"/>
    </w:rPr>
  </w:style>
  <w:style w:type="character" w:customStyle="1" w:styleId="2f8">
    <w:name w:val="Основной текст (2) + Не полужирный"/>
    <w:basedOn w:val="2a"/>
    <w:rsid w:val="00811C95"/>
    <w:rPr>
      <w:rFonts w:ascii="Times New Roman" w:eastAsia="Times New Roman" w:hAnsi="Times New Roman" w:cs="Times New Roman"/>
      <w:b/>
      <w:bCs/>
      <w:i w:val="0"/>
      <w:iCs w:val="0"/>
      <w:smallCaps w:val="0"/>
      <w:strike w:val="0"/>
      <w:spacing w:val="0"/>
      <w:sz w:val="27"/>
      <w:szCs w:val="27"/>
      <w:shd w:val="clear" w:color="auto" w:fill="FFFFFF"/>
      <w:lang w:eastAsia="en-US"/>
    </w:rPr>
  </w:style>
  <w:style w:type="character" w:customStyle="1" w:styleId="317pt">
    <w:name w:val="Заголовок №3 + 17 pt"/>
    <w:basedOn w:val="3c"/>
    <w:rsid w:val="00811C95"/>
    <w:rPr>
      <w:rFonts w:ascii="Times New Roman" w:hAnsi="Times New Roman"/>
      <w:spacing w:val="40"/>
      <w:sz w:val="34"/>
      <w:szCs w:val="34"/>
      <w:shd w:val="clear" w:color="auto" w:fill="FFFFFF"/>
      <w:lang w:eastAsia="en-US"/>
    </w:rPr>
  </w:style>
  <w:style w:type="character" w:customStyle="1" w:styleId="85pt50pt">
    <w:name w:val="Основной текст + 8;5 pt;Интервал 50 pt"/>
    <w:basedOn w:val="aff1"/>
    <w:rsid w:val="00811C95"/>
    <w:rPr>
      <w:rFonts w:ascii="Times New Roman" w:eastAsia="Times New Roman" w:hAnsi="Times New Roman" w:cs="Times New Roman"/>
      <w:b w:val="0"/>
      <w:bCs w:val="0"/>
      <w:i w:val="0"/>
      <w:iCs w:val="0"/>
      <w:smallCaps w:val="0"/>
      <w:strike w:val="0"/>
      <w:spacing w:val="1000"/>
      <w:sz w:val="17"/>
      <w:szCs w:val="17"/>
      <w:shd w:val="clear" w:color="auto" w:fill="FFFFFF"/>
    </w:rPr>
  </w:style>
  <w:style w:type="character" w:customStyle="1" w:styleId="30pt">
    <w:name w:val="Основной текст (3) + Интервал 0 pt"/>
    <w:basedOn w:val="35"/>
    <w:rsid w:val="00811C95"/>
    <w:rPr>
      <w:rFonts w:ascii="Times New Roman" w:eastAsia="Times New Roman" w:hAnsi="Times New Roman" w:cs="Times New Roman"/>
      <w:b w:val="0"/>
      <w:bCs w:val="0"/>
      <w:i w:val="0"/>
      <w:iCs w:val="0"/>
      <w:smallCaps w:val="0"/>
      <w:strike w:val="0"/>
      <w:spacing w:val="0"/>
      <w:sz w:val="17"/>
      <w:szCs w:val="17"/>
      <w:shd w:val="clear" w:color="auto" w:fill="FFFFFF"/>
    </w:rPr>
  </w:style>
  <w:style w:type="character" w:customStyle="1" w:styleId="224">
    <w:name w:val="Заголовок №2 (2)_"/>
    <w:basedOn w:val="a0"/>
    <w:rsid w:val="00811C95"/>
    <w:rPr>
      <w:rFonts w:ascii="Times New Roman" w:eastAsia="Times New Roman" w:hAnsi="Times New Roman" w:cs="Times New Roman"/>
      <w:b w:val="0"/>
      <w:bCs w:val="0"/>
      <w:i w:val="0"/>
      <w:iCs w:val="0"/>
      <w:smallCaps w:val="0"/>
      <w:strike w:val="0"/>
      <w:spacing w:val="0"/>
      <w:sz w:val="27"/>
      <w:szCs w:val="27"/>
    </w:rPr>
  </w:style>
  <w:style w:type="character" w:customStyle="1" w:styleId="225">
    <w:name w:val="Заголовок №2 (2)"/>
    <w:basedOn w:val="224"/>
    <w:rsid w:val="00811C95"/>
    <w:rPr>
      <w:rFonts w:ascii="Times New Roman" w:eastAsia="Times New Roman" w:hAnsi="Times New Roman" w:cs="Times New Roman"/>
      <w:b w:val="0"/>
      <w:bCs w:val="0"/>
      <w:i w:val="0"/>
      <w:iCs w:val="0"/>
      <w:smallCaps w:val="0"/>
      <w:strike w:val="0"/>
      <w:spacing w:val="0"/>
      <w:sz w:val="27"/>
      <w:szCs w:val="27"/>
    </w:rPr>
  </w:style>
  <w:style w:type="character" w:customStyle="1" w:styleId="85pt1">
    <w:name w:val="Основной текст + 8;5 pt"/>
    <w:basedOn w:val="aff1"/>
    <w:rsid w:val="00811C95"/>
    <w:rPr>
      <w:rFonts w:ascii="Times New Roman" w:eastAsia="Times New Roman" w:hAnsi="Times New Roman" w:cs="Times New Roman"/>
      <w:b w:val="0"/>
      <w:bCs w:val="0"/>
      <w:i w:val="0"/>
      <w:iCs w:val="0"/>
      <w:smallCaps w:val="0"/>
      <w:strike w:val="0"/>
      <w:spacing w:val="0"/>
      <w:sz w:val="17"/>
      <w:szCs w:val="17"/>
      <w:shd w:val="clear" w:color="auto" w:fill="FFFFFF"/>
    </w:rPr>
  </w:style>
  <w:style w:type="character" w:customStyle="1" w:styleId="1217pt">
    <w:name w:val="Заголовок №1 (2) + 17 pt"/>
    <w:basedOn w:val="127"/>
    <w:rsid w:val="00811C95"/>
    <w:rPr>
      <w:rFonts w:ascii="Times New Roman" w:eastAsia="Times New Roman" w:hAnsi="Times New Roman"/>
      <w:b w:val="0"/>
      <w:bCs w:val="0"/>
      <w:i w:val="0"/>
      <w:iCs w:val="0"/>
      <w:smallCaps w:val="0"/>
      <w:strike w:val="0"/>
      <w:spacing w:val="0"/>
      <w:sz w:val="34"/>
      <w:szCs w:val="34"/>
      <w:shd w:val="clear" w:color="auto" w:fill="FFFFFF"/>
    </w:rPr>
  </w:style>
  <w:style w:type="character" w:customStyle="1" w:styleId="11pt0">
    <w:name w:val="Сноска + 11 pt"/>
    <w:basedOn w:val="aff5"/>
    <w:rsid w:val="00811C95"/>
    <w:rPr>
      <w:rFonts w:ascii="Times New Roman" w:eastAsia="Times New Roman" w:hAnsi="Times New Roman" w:cs="Times New Roman"/>
      <w:b w:val="0"/>
      <w:bCs w:val="0"/>
      <w:i w:val="0"/>
      <w:iCs w:val="0"/>
      <w:smallCaps w:val="0"/>
      <w:strike w:val="0"/>
      <w:noProof/>
      <w:spacing w:val="0"/>
      <w:sz w:val="22"/>
      <w:szCs w:val="22"/>
      <w:shd w:val="clear" w:color="auto" w:fill="FFFFFF"/>
      <w:lang w:val="en-US"/>
    </w:rPr>
  </w:style>
  <w:style w:type="character" w:customStyle="1" w:styleId="322">
    <w:name w:val="Заголовок №3 (2)_"/>
    <w:basedOn w:val="a0"/>
    <w:rsid w:val="00811C95"/>
    <w:rPr>
      <w:rFonts w:ascii="Times New Roman" w:eastAsia="Times New Roman" w:hAnsi="Times New Roman" w:cs="Times New Roman"/>
      <w:b w:val="0"/>
      <w:bCs w:val="0"/>
      <w:i w:val="0"/>
      <w:iCs w:val="0"/>
      <w:smallCaps w:val="0"/>
      <w:strike w:val="0"/>
      <w:spacing w:val="0"/>
      <w:sz w:val="27"/>
      <w:szCs w:val="27"/>
    </w:rPr>
  </w:style>
  <w:style w:type="character" w:customStyle="1" w:styleId="323">
    <w:name w:val="Заголовок №3 (2)"/>
    <w:basedOn w:val="322"/>
    <w:rsid w:val="00811C95"/>
    <w:rPr>
      <w:rFonts w:ascii="Times New Roman" w:eastAsia="Times New Roman" w:hAnsi="Times New Roman" w:cs="Times New Roman"/>
      <w:b w:val="0"/>
      <w:bCs w:val="0"/>
      <w:i w:val="0"/>
      <w:iCs w:val="0"/>
      <w:smallCaps w:val="0"/>
      <w:strike w:val="0"/>
      <w:spacing w:val="0"/>
      <w:sz w:val="27"/>
      <w:szCs w:val="27"/>
    </w:rPr>
  </w:style>
  <w:style w:type="character" w:customStyle="1" w:styleId="234">
    <w:name w:val="Заголовок №2 (3)_"/>
    <w:basedOn w:val="a0"/>
    <w:link w:val="235"/>
    <w:rsid w:val="00811C95"/>
    <w:rPr>
      <w:rFonts w:ascii="Times New Roman" w:eastAsia="Times New Roman" w:hAnsi="Times New Roman"/>
      <w:sz w:val="27"/>
      <w:szCs w:val="27"/>
      <w:shd w:val="clear" w:color="auto" w:fill="FFFFFF"/>
    </w:rPr>
  </w:style>
  <w:style w:type="paragraph" w:customStyle="1" w:styleId="235">
    <w:name w:val="Заголовок №2 (3)"/>
    <w:basedOn w:val="a"/>
    <w:link w:val="234"/>
    <w:rsid w:val="00811C95"/>
    <w:pPr>
      <w:shd w:val="clear" w:color="auto" w:fill="FFFFFF"/>
      <w:spacing w:after="0" w:line="466" w:lineRule="exact"/>
      <w:ind w:hanging="360"/>
      <w:jc w:val="both"/>
      <w:outlineLvl w:val="1"/>
    </w:pPr>
    <w:rPr>
      <w:rFonts w:ascii="Times New Roman" w:eastAsia="Times New Roman" w:hAnsi="Times New Roman"/>
      <w:sz w:val="27"/>
      <w:szCs w:val="27"/>
      <w:lang w:eastAsia="ru-RU"/>
    </w:rPr>
  </w:style>
  <w:style w:type="character" w:customStyle="1" w:styleId="17-1pt">
    <w:name w:val="Основной текст (17) + Интервал -1 pt"/>
    <w:basedOn w:val="173"/>
    <w:rsid w:val="00811C95"/>
    <w:rPr>
      <w:rFonts w:ascii="Arial Narrow" w:eastAsia="Arial Narrow" w:hAnsi="Arial Narrow" w:cs="Arial Narrow"/>
      <w:b w:val="0"/>
      <w:bCs w:val="0"/>
      <w:i w:val="0"/>
      <w:iCs w:val="0"/>
      <w:smallCaps w:val="0"/>
      <w:strike w:val="0"/>
      <w:spacing w:val="-20"/>
      <w:w w:val="100"/>
      <w:sz w:val="18"/>
      <w:szCs w:val="18"/>
      <w:u w:val="single"/>
    </w:rPr>
  </w:style>
  <w:style w:type="character" w:customStyle="1" w:styleId="4-2pt">
    <w:name w:val="Заголовок №4 + Интервал -2 pt"/>
    <w:basedOn w:val="4e"/>
    <w:rsid w:val="00811C95"/>
    <w:rPr>
      <w:rFonts w:ascii="Tahoma" w:eastAsia="Tahoma" w:hAnsi="Tahoma" w:cs="Tahoma"/>
      <w:b w:val="0"/>
      <w:bCs w:val="0"/>
      <w:i w:val="0"/>
      <w:iCs w:val="0"/>
      <w:smallCaps w:val="0"/>
      <w:strike w:val="0"/>
      <w:color w:val="EBEBEB"/>
      <w:spacing w:val="-40"/>
      <w:sz w:val="41"/>
      <w:szCs w:val="41"/>
    </w:rPr>
  </w:style>
  <w:style w:type="character" w:customStyle="1" w:styleId="175">
    <w:name w:val="Основной текст (17) + Не курсив"/>
    <w:basedOn w:val="173"/>
    <w:rsid w:val="00811C95"/>
    <w:rPr>
      <w:rFonts w:ascii="Arial Narrow" w:eastAsia="Arial Narrow" w:hAnsi="Arial Narrow" w:cs="Arial Narrow"/>
      <w:b w:val="0"/>
      <w:bCs w:val="0"/>
      <w:i/>
      <w:iCs/>
      <w:smallCaps w:val="0"/>
      <w:strike w:val="0"/>
      <w:spacing w:val="0"/>
      <w:w w:val="100"/>
      <w:sz w:val="18"/>
      <w:szCs w:val="18"/>
    </w:rPr>
  </w:style>
  <w:style w:type="character" w:customStyle="1" w:styleId="17SegoeUI7pt">
    <w:name w:val="Основной текст (17) + Segoe UI;7 pt;Полужирный;Не курсив;Малые прописные"/>
    <w:basedOn w:val="173"/>
    <w:rsid w:val="00811C95"/>
    <w:rPr>
      <w:rFonts w:ascii="Segoe UI" w:eastAsia="Segoe UI" w:hAnsi="Segoe UI" w:cs="Segoe UI"/>
      <w:b/>
      <w:bCs/>
      <w:i/>
      <w:iCs/>
      <w:smallCaps/>
      <w:strike w:val="0"/>
      <w:spacing w:val="0"/>
      <w:w w:val="100"/>
      <w:sz w:val="14"/>
      <w:szCs w:val="14"/>
      <w:lang w:val="en-US"/>
    </w:rPr>
  </w:style>
  <w:style w:type="character" w:customStyle="1" w:styleId="SegoeUI7pt">
    <w:name w:val="Основной текст + Segoe UI;7 pt;Полужирный;Малые прописные"/>
    <w:basedOn w:val="aff1"/>
    <w:rsid w:val="00811C95"/>
    <w:rPr>
      <w:rFonts w:ascii="Segoe UI" w:eastAsia="Segoe UI" w:hAnsi="Segoe UI" w:cs="Segoe UI"/>
      <w:b/>
      <w:bCs/>
      <w:i w:val="0"/>
      <w:iCs w:val="0"/>
      <w:smallCaps/>
      <w:strike w:val="0"/>
      <w:spacing w:val="0"/>
      <w:w w:val="100"/>
      <w:sz w:val="14"/>
      <w:szCs w:val="14"/>
      <w:shd w:val="clear" w:color="auto" w:fill="FFFFFF"/>
    </w:rPr>
  </w:style>
  <w:style w:type="character" w:customStyle="1" w:styleId="303">
    <w:name w:val="Основной текст (30)_"/>
    <w:basedOn w:val="a0"/>
    <w:rsid w:val="00811C95"/>
    <w:rPr>
      <w:rFonts w:ascii="Arial Narrow" w:eastAsia="Arial Narrow" w:hAnsi="Arial Narrow" w:cs="Arial Narrow"/>
      <w:b w:val="0"/>
      <w:bCs w:val="0"/>
      <w:i w:val="0"/>
      <w:iCs w:val="0"/>
      <w:smallCaps w:val="0"/>
      <w:strike w:val="0"/>
      <w:spacing w:val="0"/>
      <w:sz w:val="25"/>
      <w:szCs w:val="25"/>
    </w:rPr>
  </w:style>
  <w:style w:type="character" w:customStyle="1" w:styleId="314">
    <w:name w:val="Основной текст (31)_"/>
    <w:basedOn w:val="a0"/>
    <w:rsid w:val="00811C95"/>
    <w:rPr>
      <w:rFonts w:ascii="Arial Narrow" w:eastAsia="Arial Narrow" w:hAnsi="Arial Narrow" w:cs="Arial Narrow"/>
      <w:b w:val="0"/>
      <w:bCs w:val="0"/>
      <w:i w:val="0"/>
      <w:iCs w:val="0"/>
      <w:smallCaps w:val="0"/>
      <w:strike w:val="0"/>
      <w:spacing w:val="0"/>
      <w:sz w:val="20"/>
      <w:szCs w:val="20"/>
    </w:rPr>
  </w:style>
  <w:style w:type="character" w:customStyle="1" w:styleId="315">
    <w:name w:val="Основной текст (31)"/>
    <w:basedOn w:val="314"/>
    <w:rsid w:val="00811C95"/>
    <w:rPr>
      <w:rFonts w:ascii="Arial Narrow" w:eastAsia="Arial Narrow" w:hAnsi="Arial Narrow" w:cs="Arial Narrow"/>
      <w:b w:val="0"/>
      <w:bCs w:val="0"/>
      <w:i w:val="0"/>
      <w:iCs w:val="0"/>
      <w:smallCaps w:val="0"/>
      <w:strike w:val="0"/>
      <w:spacing w:val="0"/>
      <w:sz w:val="20"/>
      <w:szCs w:val="20"/>
    </w:rPr>
  </w:style>
  <w:style w:type="character" w:customStyle="1" w:styleId="380">
    <w:name w:val="Основной текст (38)_"/>
    <w:basedOn w:val="a0"/>
    <w:link w:val="381"/>
    <w:rsid w:val="00811C95"/>
    <w:rPr>
      <w:rFonts w:ascii="Microsoft Sans Serif" w:eastAsia="Microsoft Sans Serif" w:hAnsi="Microsoft Sans Serif" w:cs="Microsoft Sans Serif"/>
      <w:spacing w:val="10"/>
      <w:sz w:val="31"/>
      <w:szCs w:val="31"/>
      <w:shd w:val="clear" w:color="auto" w:fill="FFFFFF"/>
    </w:rPr>
  </w:style>
  <w:style w:type="paragraph" w:customStyle="1" w:styleId="381">
    <w:name w:val="Основной текст (38)"/>
    <w:basedOn w:val="a"/>
    <w:link w:val="380"/>
    <w:rsid w:val="00811C95"/>
    <w:pPr>
      <w:shd w:val="clear" w:color="auto" w:fill="FFFFFF"/>
      <w:spacing w:after="60" w:line="0" w:lineRule="atLeast"/>
    </w:pPr>
    <w:rPr>
      <w:rFonts w:ascii="Microsoft Sans Serif" w:eastAsia="Microsoft Sans Serif" w:hAnsi="Microsoft Sans Serif" w:cs="Microsoft Sans Serif"/>
      <w:spacing w:val="10"/>
      <w:sz w:val="31"/>
      <w:szCs w:val="31"/>
      <w:lang w:eastAsia="ru-RU"/>
    </w:rPr>
  </w:style>
  <w:style w:type="character" w:customStyle="1" w:styleId="14-1pt">
    <w:name w:val="Основной текст (14) + Интервал -1 pt"/>
    <w:basedOn w:val="143"/>
    <w:rsid w:val="00811C95"/>
    <w:rPr>
      <w:rFonts w:ascii="Franklin Gothic Medium Cond" w:eastAsia="Franklin Gothic Medium Cond" w:hAnsi="Franklin Gothic Medium Cond" w:cs="Franklin Gothic Medium Cond"/>
      <w:b w:val="0"/>
      <w:bCs w:val="0"/>
      <w:i w:val="0"/>
      <w:iCs w:val="0"/>
      <w:smallCaps w:val="0"/>
      <w:strike w:val="0"/>
      <w:spacing w:val="-20"/>
      <w:sz w:val="27"/>
      <w:szCs w:val="27"/>
      <w:u w:val="single"/>
      <w:shd w:val="clear" w:color="auto" w:fill="FFFFFF"/>
    </w:rPr>
  </w:style>
  <w:style w:type="character" w:customStyle="1" w:styleId="14ArialNarrow9pt">
    <w:name w:val="Основной текст (14) + Arial Narrow;9 pt;Не полужирный"/>
    <w:basedOn w:val="143"/>
    <w:rsid w:val="00811C95"/>
    <w:rPr>
      <w:rFonts w:ascii="Arial Narrow" w:eastAsia="Arial Narrow" w:hAnsi="Arial Narrow" w:cs="Arial Narrow"/>
      <w:b/>
      <w:bCs/>
      <w:i w:val="0"/>
      <w:iCs w:val="0"/>
      <w:smallCaps w:val="0"/>
      <w:strike w:val="0"/>
      <w:spacing w:val="0"/>
      <w:w w:val="100"/>
      <w:sz w:val="18"/>
      <w:szCs w:val="18"/>
      <w:u w:val="single"/>
      <w:shd w:val="clear" w:color="auto" w:fill="FFFFFF"/>
    </w:rPr>
  </w:style>
  <w:style w:type="character" w:customStyle="1" w:styleId="14ArialNarrow10pt">
    <w:name w:val="Основной текст (14) + Arial Narrow;10 pt;Не полужирный;Не курсив"/>
    <w:basedOn w:val="143"/>
    <w:rsid w:val="00811C95"/>
    <w:rPr>
      <w:rFonts w:ascii="Arial Narrow" w:eastAsia="Arial Narrow" w:hAnsi="Arial Narrow" w:cs="Arial Narrow"/>
      <w:b/>
      <w:bCs/>
      <w:i/>
      <w:iCs/>
      <w:smallCaps w:val="0"/>
      <w:strike w:val="0"/>
      <w:spacing w:val="0"/>
      <w:sz w:val="20"/>
      <w:szCs w:val="20"/>
      <w:shd w:val="clear" w:color="auto" w:fill="FFFFFF"/>
    </w:rPr>
  </w:style>
  <w:style w:type="character" w:customStyle="1" w:styleId="11pt1">
    <w:name w:val="Основной текст + 11 pt;Курсив"/>
    <w:basedOn w:val="aff1"/>
    <w:rsid w:val="00811C95"/>
    <w:rPr>
      <w:rFonts w:ascii="Arial Narrow" w:eastAsia="Arial Narrow" w:hAnsi="Arial Narrow" w:cs="Arial Narrow"/>
      <w:b w:val="0"/>
      <w:bCs w:val="0"/>
      <w:i/>
      <w:iCs/>
      <w:smallCaps w:val="0"/>
      <w:strike w:val="0"/>
      <w:spacing w:val="0"/>
      <w:w w:val="100"/>
      <w:sz w:val="22"/>
      <w:szCs w:val="22"/>
      <w:shd w:val="clear" w:color="auto" w:fill="FFFFFF"/>
    </w:rPr>
  </w:style>
  <w:style w:type="paragraph" w:styleId="afff9">
    <w:name w:val="footer"/>
    <w:basedOn w:val="a"/>
    <w:link w:val="afffa"/>
    <w:uiPriority w:val="99"/>
    <w:unhideWhenUsed/>
    <w:rsid w:val="00811C95"/>
    <w:pPr>
      <w:tabs>
        <w:tab w:val="center" w:pos="4677"/>
        <w:tab w:val="right" w:pos="9355"/>
      </w:tabs>
      <w:spacing w:after="0" w:line="240" w:lineRule="auto"/>
    </w:pPr>
    <w:rPr>
      <w:rFonts w:asciiTheme="minorHAnsi" w:eastAsiaTheme="minorHAnsi" w:hAnsiTheme="minorHAnsi" w:cstheme="minorBidi"/>
    </w:rPr>
  </w:style>
  <w:style w:type="character" w:customStyle="1" w:styleId="afffa">
    <w:name w:val="Нижний колонтитул Знак"/>
    <w:basedOn w:val="a0"/>
    <w:link w:val="afff9"/>
    <w:uiPriority w:val="99"/>
    <w:rsid w:val="00811C95"/>
    <w:rPr>
      <w:rFonts w:asciiTheme="minorHAnsi" w:eastAsiaTheme="minorHAnsi" w:hAnsiTheme="minorHAnsi" w:cstheme="minorBidi"/>
      <w:sz w:val="22"/>
      <w:szCs w:val="22"/>
      <w:lang w:eastAsia="en-US"/>
    </w:rPr>
  </w:style>
  <w:style w:type="character" w:customStyle="1" w:styleId="40pt">
    <w:name w:val="Основной текст (4) + Интервал 0 pt"/>
    <w:basedOn w:val="46"/>
    <w:rsid w:val="00811C95"/>
    <w:rPr>
      <w:rFonts w:ascii="Arial Narrow" w:eastAsia="Arial Narrow" w:hAnsi="Arial Narrow" w:cs="Arial Narrow"/>
      <w:b w:val="0"/>
      <w:bCs w:val="0"/>
      <w:i w:val="0"/>
      <w:iCs w:val="0"/>
      <w:smallCaps w:val="0"/>
      <w:strike w:val="0"/>
      <w:spacing w:val="0"/>
      <w:w w:val="60"/>
      <w:sz w:val="105"/>
      <w:szCs w:val="105"/>
      <w:shd w:val="clear" w:color="auto" w:fill="FFFFFF"/>
    </w:rPr>
  </w:style>
  <w:style w:type="character" w:customStyle="1" w:styleId="710pt0pt">
    <w:name w:val="Основной текст (7) + 10 pt;Не полужирный;Интервал 0 pt"/>
    <w:basedOn w:val="70"/>
    <w:rsid w:val="00811C95"/>
    <w:rPr>
      <w:rFonts w:ascii="Arial" w:eastAsia="Arial" w:hAnsi="Arial" w:cs="Arial"/>
      <w:b/>
      <w:bCs/>
      <w:i w:val="0"/>
      <w:iCs w:val="0"/>
      <w:smallCaps w:val="0"/>
      <w:strike w:val="0"/>
      <w:spacing w:val="0"/>
      <w:sz w:val="20"/>
      <w:szCs w:val="20"/>
      <w:shd w:val="clear" w:color="auto" w:fill="FFFFFF"/>
      <w:lang w:val="en-US" w:eastAsia="en-US"/>
    </w:rPr>
  </w:style>
  <w:style w:type="character" w:customStyle="1" w:styleId="70pt0">
    <w:name w:val="Основной текст (7) + Интервал 0 pt"/>
    <w:basedOn w:val="70"/>
    <w:rsid w:val="00811C95"/>
    <w:rPr>
      <w:rFonts w:ascii="Arial" w:eastAsia="Arial" w:hAnsi="Arial" w:cs="Arial"/>
      <w:b w:val="0"/>
      <w:bCs w:val="0"/>
      <w:i w:val="0"/>
      <w:iCs w:val="0"/>
      <w:smallCaps w:val="0"/>
      <w:strike w:val="0"/>
      <w:spacing w:val="0"/>
      <w:sz w:val="22"/>
      <w:szCs w:val="22"/>
      <w:shd w:val="clear" w:color="auto" w:fill="FFFFFF"/>
      <w:lang w:eastAsia="en-US"/>
    </w:rPr>
  </w:style>
  <w:style w:type="character" w:customStyle="1" w:styleId="afffb">
    <w:name w:val="Подпись к картинке + Не курсив"/>
    <w:basedOn w:val="affc"/>
    <w:rsid w:val="00811C95"/>
    <w:rPr>
      <w:rFonts w:ascii="Arial" w:eastAsia="Arial" w:hAnsi="Arial" w:cs="Arial"/>
      <w:b w:val="0"/>
      <w:bCs w:val="0"/>
      <w:i/>
      <w:iCs/>
      <w:smallCaps w:val="0"/>
      <w:strike w:val="0"/>
      <w:spacing w:val="0"/>
      <w:sz w:val="16"/>
      <w:szCs w:val="16"/>
      <w:shd w:val="clear" w:color="auto" w:fill="FFFFFF"/>
      <w:lang w:eastAsia="en-US"/>
    </w:rPr>
  </w:style>
  <w:style w:type="character" w:customStyle="1" w:styleId="156">
    <w:name w:val="Основной текст (15) + Не полужирный"/>
    <w:basedOn w:val="153"/>
    <w:rsid w:val="00811C95"/>
    <w:rPr>
      <w:rFonts w:ascii="Arial" w:eastAsia="Arial" w:hAnsi="Arial" w:cs="Arial"/>
      <w:b/>
      <w:bCs/>
      <w:i w:val="0"/>
      <w:iCs w:val="0"/>
      <w:smallCaps w:val="0"/>
      <w:strike w:val="0"/>
      <w:spacing w:val="0"/>
      <w:sz w:val="16"/>
      <w:szCs w:val="16"/>
      <w:lang w:val="en-US"/>
    </w:rPr>
  </w:style>
  <w:style w:type="character" w:customStyle="1" w:styleId="720">
    <w:name w:val="Заголовок №7 (2)_"/>
    <w:basedOn w:val="a0"/>
    <w:link w:val="721"/>
    <w:rsid w:val="00811C95"/>
    <w:rPr>
      <w:rFonts w:ascii="Arial" w:eastAsia="Arial" w:hAnsi="Arial" w:cs="Arial"/>
      <w:sz w:val="16"/>
      <w:szCs w:val="16"/>
      <w:shd w:val="clear" w:color="auto" w:fill="FFFFFF"/>
    </w:rPr>
  </w:style>
  <w:style w:type="paragraph" w:customStyle="1" w:styleId="721">
    <w:name w:val="Заголовок №7 (2)"/>
    <w:basedOn w:val="a"/>
    <w:link w:val="720"/>
    <w:rsid w:val="00811C95"/>
    <w:pPr>
      <w:shd w:val="clear" w:color="auto" w:fill="FFFFFF"/>
      <w:spacing w:before="180" w:after="0" w:line="0" w:lineRule="atLeast"/>
      <w:outlineLvl w:val="6"/>
    </w:pPr>
    <w:rPr>
      <w:rFonts w:ascii="Arial" w:eastAsia="Arial" w:hAnsi="Arial" w:cs="Arial"/>
      <w:sz w:val="16"/>
      <w:szCs w:val="16"/>
      <w:lang w:eastAsia="ru-RU"/>
    </w:rPr>
  </w:style>
  <w:style w:type="character" w:customStyle="1" w:styleId="15ArialNarrow525pt-2pt">
    <w:name w:val="Основной текст (15) + Arial Narrow;52;5 pt;Интервал -2 pt"/>
    <w:basedOn w:val="153"/>
    <w:rsid w:val="00811C95"/>
    <w:rPr>
      <w:rFonts w:ascii="Arial Narrow" w:eastAsia="Arial Narrow" w:hAnsi="Arial Narrow" w:cs="Arial Narrow"/>
      <w:b w:val="0"/>
      <w:bCs w:val="0"/>
      <w:i w:val="0"/>
      <w:iCs w:val="0"/>
      <w:smallCaps w:val="0"/>
      <w:strike w:val="0"/>
      <w:spacing w:val="-40"/>
      <w:sz w:val="105"/>
      <w:szCs w:val="105"/>
      <w:lang w:val="en-US"/>
    </w:rPr>
  </w:style>
  <w:style w:type="character" w:customStyle="1" w:styleId="18ArialNarrow525pt-2pt">
    <w:name w:val="Основной текст (18) + Arial Narrow;52;5 pt;Не курсив;Интервал -2 pt"/>
    <w:basedOn w:val="183"/>
    <w:rsid w:val="00811C95"/>
    <w:rPr>
      <w:rFonts w:ascii="Arial Narrow" w:eastAsia="Arial Narrow" w:hAnsi="Arial Narrow" w:cs="Arial Narrow"/>
      <w:i/>
      <w:iCs/>
      <w:spacing w:val="-40"/>
      <w:sz w:val="105"/>
      <w:szCs w:val="105"/>
      <w:shd w:val="clear" w:color="auto" w:fill="FFFFFF"/>
      <w:lang w:eastAsia="en-US"/>
    </w:rPr>
  </w:style>
  <w:style w:type="character" w:customStyle="1" w:styleId="15-1pt">
    <w:name w:val="Основной текст (15) + Интервал -1 pt"/>
    <w:basedOn w:val="153"/>
    <w:rsid w:val="00811C95"/>
    <w:rPr>
      <w:rFonts w:ascii="Arial" w:eastAsia="Arial" w:hAnsi="Arial" w:cs="Arial"/>
      <w:b w:val="0"/>
      <w:bCs w:val="0"/>
      <w:i w:val="0"/>
      <w:iCs w:val="0"/>
      <w:smallCaps w:val="0"/>
      <w:strike w:val="0"/>
      <w:color w:val="FFFFFF"/>
      <w:spacing w:val="-20"/>
      <w:sz w:val="16"/>
      <w:szCs w:val="16"/>
      <w:lang w:val="en-US"/>
    </w:rPr>
  </w:style>
  <w:style w:type="character" w:customStyle="1" w:styleId="65pt0">
    <w:name w:val="Основной текст + 6;5 pt"/>
    <w:basedOn w:val="aff1"/>
    <w:rsid w:val="00811C95"/>
    <w:rPr>
      <w:rFonts w:ascii="Arial" w:eastAsia="Arial" w:hAnsi="Arial" w:cs="Arial"/>
      <w:b w:val="0"/>
      <w:bCs w:val="0"/>
      <w:i w:val="0"/>
      <w:iCs w:val="0"/>
      <w:smallCaps w:val="0"/>
      <w:strike w:val="0"/>
      <w:spacing w:val="0"/>
      <w:sz w:val="13"/>
      <w:szCs w:val="13"/>
      <w:shd w:val="clear" w:color="auto" w:fill="FFFFFF"/>
    </w:rPr>
  </w:style>
  <w:style w:type="character" w:customStyle="1" w:styleId="3f3">
    <w:name w:val="Подпись к таблице (3)_"/>
    <w:basedOn w:val="a0"/>
    <w:link w:val="3f4"/>
    <w:rsid w:val="00811C95"/>
    <w:rPr>
      <w:rFonts w:ascii="Arial" w:eastAsia="Arial" w:hAnsi="Arial" w:cs="Arial"/>
      <w:sz w:val="18"/>
      <w:szCs w:val="18"/>
      <w:shd w:val="clear" w:color="auto" w:fill="FFFFFF"/>
    </w:rPr>
  </w:style>
  <w:style w:type="paragraph" w:customStyle="1" w:styleId="3f4">
    <w:name w:val="Подпись к таблице (3)"/>
    <w:basedOn w:val="a"/>
    <w:link w:val="3f3"/>
    <w:rsid w:val="00811C95"/>
    <w:pPr>
      <w:shd w:val="clear" w:color="auto" w:fill="FFFFFF"/>
      <w:spacing w:after="0" w:line="0" w:lineRule="atLeast"/>
    </w:pPr>
    <w:rPr>
      <w:rFonts w:ascii="Arial" w:eastAsia="Arial" w:hAnsi="Arial" w:cs="Arial"/>
      <w:sz w:val="18"/>
      <w:szCs w:val="18"/>
      <w:lang w:eastAsia="ru-RU"/>
    </w:rPr>
  </w:style>
  <w:style w:type="character" w:customStyle="1" w:styleId="34pt">
    <w:name w:val="Подпись к картинке (3) + 4 pt;Курсив"/>
    <w:basedOn w:val="38"/>
    <w:rsid w:val="00811C95"/>
    <w:rPr>
      <w:rFonts w:ascii="Arial" w:eastAsia="Arial" w:hAnsi="Arial" w:cs="Arial"/>
      <w:b w:val="0"/>
      <w:bCs w:val="0"/>
      <w:i/>
      <w:iCs/>
      <w:smallCaps w:val="0"/>
      <w:strike w:val="0"/>
      <w:spacing w:val="0"/>
      <w:sz w:val="8"/>
      <w:szCs w:val="8"/>
      <w:shd w:val="clear" w:color="auto" w:fill="FFFFFF"/>
      <w:lang w:eastAsia="en-US"/>
    </w:rPr>
  </w:style>
  <w:style w:type="character" w:customStyle="1" w:styleId="5-1pt0">
    <w:name w:val="Основной текст (5) + Интервал -1 pt"/>
    <w:basedOn w:val="5a"/>
    <w:rsid w:val="00811C95"/>
    <w:rPr>
      <w:rFonts w:ascii="Arial" w:eastAsia="Arial" w:hAnsi="Arial" w:cs="Arial"/>
      <w:b w:val="0"/>
      <w:bCs w:val="0"/>
      <w:i w:val="0"/>
      <w:iCs w:val="0"/>
      <w:smallCaps w:val="0"/>
      <w:strike w:val="0"/>
      <w:spacing w:val="-20"/>
      <w:sz w:val="16"/>
      <w:szCs w:val="16"/>
      <w:shd w:val="clear" w:color="auto" w:fill="FFFFFF"/>
      <w:lang w:val="en-US"/>
    </w:rPr>
  </w:style>
  <w:style w:type="character" w:customStyle="1" w:styleId="5e">
    <w:name w:val="Основной текст (5) + Не полужирный;Не курсив"/>
    <w:basedOn w:val="5a"/>
    <w:rsid w:val="00811C95"/>
    <w:rPr>
      <w:rFonts w:ascii="Arial" w:eastAsia="Arial" w:hAnsi="Arial" w:cs="Arial"/>
      <w:b/>
      <w:bCs/>
      <w:i/>
      <w:iCs/>
      <w:smallCaps w:val="0"/>
      <w:strike w:val="0"/>
      <w:spacing w:val="0"/>
      <w:sz w:val="16"/>
      <w:szCs w:val="16"/>
      <w:shd w:val="clear" w:color="auto" w:fill="FFFFFF"/>
    </w:rPr>
  </w:style>
  <w:style w:type="character" w:customStyle="1" w:styleId="511pt1pt">
    <w:name w:val="Основной текст (5) + 11 pt;Не курсив;Интервал 1 pt"/>
    <w:basedOn w:val="5a"/>
    <w:rsid w:val="00811C95"/>
    <w:rPr>
      <w:rFonts w:ascii="Arial" w:eastAsia="Arial" w:hAnsi="Arial" w:cs="Arial"/>
      <w:b w:val="0"/>
      <w:bCs w:val="0"/>
      <w:i/>
      <w:iCs/>
      <w:smallCaps w:val="0"/>
      <w:strike w:val="0"/>
      <w:spacing w:val="30"/>
      <w:sz w:val="22"/>
      <w:szCs w:val="22"/>
      <w:shd w:val="clear" w:color="auto" w:fill="FFFFFF"/>
    </w:rPr>
  </w:style>
  <w:style w:type="character" w:customStyle="1" w:styleId="4Arial485pt0pt">
    <w:name w:val="Основной текст (4) + Arial;48;5 pt;Не полужирный;Курсив;Интервал 0 pt"/>
    <w:basedOn w:val="46"/>
    <w:rsid w:val="00811C95"/>
    <w:rPr>
      <w:rFonts w:ascii="Arial" w:eastAsia="Arial" w:hAnsi="Arial" w:cs="Arial"/>
      <w:b/>
      <w:bCs/>
      <w:i/>
      <w:iCs/>
      <w:smallCaps w:val="0"/>
      <w:strike w:val="0"/>
      <w:color w:val="FFFFFF"/>
      <w:spacing w:val="0"/>
      <w:w w:val="60"/>
      <w:sz w:val="97"/>
      <w:szCs w:val="97"/>
      <w:shd w:val="clear" w:color="auto" w:fill="FFFFFF"/>
    </w:rPr>
  </w:style>
  <w:style w:type="character" w:customStyle="1" w:styleId="130pt">
    <w:name w:val="Основной текст (13) + Интервал 0 pt"/>
    <w:basedOn w:val="132"/>
    <w:rsid w:val="00811C95"/>
    <w:rPr>
      <w:rFonts w:ascii="Calibri" w:eastAsia="Calibri" w:hAnsi="Calibri" w:cs="Calibri"/>
      <w:b w:val="0"/>
      <w:bCs w:val="0"/>
      <w:i w:val="0"/>
      <w:iCs w:val="0"/>
      <w:smallCaps w:val="0"/>
      <w:strike w:val="0"/>
      <w:spacing w:val="0"/>
      <w:sz w:val="41"/>
      <w:szCs w:val="41"/>
      <w:shd w:val="clear" w:color="auto" w:fill="FFFFFF"/>
    </w:rPr>
  </w:style>
  <w:style w:type="character" w:customStyle="1" w:styleId="29pt">
    <w:name w:val="Основной текст (2) + 9 pt;Не курсив"/>
    <w:basedOn w:val="2a"/>
    <w:rsid w:val="00811C95"/>
    <w:rPr>
      <w:rFonts w:ascii="Arial Narrow" w:eastAsia="Arial Narrow" w:hAnsi="Arial Narrow" w:cs="Arial Narrow"/>
      <w:b w:val="0"/>
      <w:bCs w:val="0"/>
      <w:i/>
      <w:iCs/>
      <w:smallCaps w:val="0"/>
      <w:strike w:val="0"/>
      <w:color w:val="FFFFFF"/>
      <w:spacing w:val="0"/>
      <w:w w:val="100"/>
      <w:sz w:val="18"/>
      <w:szCs w:val="18"/>
      <w:shd w:val="clear" w:color="auto" w:fill="FFFFFF"/>
      <w:lang w:eastAsia="en-US"/>
    </w:rPr>
  </w:style>
  <w:style w:type="character" w:customStyle="1" w:styleId="885pt">
    <w:name w:val="Основной текст (8) + 8;5 pt"/>
    <w:basedOn w:val="81"/>
    <w:rsid w:val="00811C95"/>
    <w:rPr>
      <w:rFonts w:ascii="Arial Narrow" w:eastAsia="Arial Narrow" w:hAnsi="Arial Narrow" w:cs="Arial Narrow"/>
      <w:b w:val="0"/>
      <w:bCs w:val="0"/>
      <w:i w:val="0"/>
      <w:iCs w:val="0"/>
      <w:smallCaps w:val="0"/>
      <w:strike w:val="0"/>
      <w:spacing w:val="0"/>
      <w:w w:val="100"/>
      <w:sz w:val="17"/>
      <w:szCs w:val="17"/>
      <w:shd w:val="clear" w:color="auto" w:fill="FFFFFF"/>
    </w:rPr>
  </w:style>
  <w:style w:type="character" w:customStyle="1" w:styleId="Impact375pt">
    <w:name w:val="Основной текст + Impact;37;5 pt"/>
    <w:basedOn w:val="aff1"/>
    <w:rsid w:val="00811C95"/>
    <w:rPr>
      <w:rFonts w:ascii="Impact" w:eastAsia="Impact" w:hAnsi="Impact" w:cs="Impact"/>
      <w:b w:val="0"/>
      <w:bCs w:val="0"/>
      <w:i w:val="0"/>
      <w:iCs w:val="0"/>
      <w:smallCaps w:val="0"/>
      <w:strike w:val="0"/>
      <w:spacing w:val="0"/>
      <w:w w:val="100"/>
      <w:sz w:val="75"/>
      <w:szCs w:val="75"/>
      <w:shd w:val="clear" w:color="auto" w:fill="FFFFFF"/>
    </w:rPr>
  </w:style>
  <w:style w:type="character" w:customStyle="1" w:styleId="3ArialNarrow34pt0pt">
    <w:name w:val="Основной текст (3) + Arial Narrow;34 pt;Не курсив;Малые прописные;Интервал 0 pt"/>
    <w:basedOn w:val="35"/>
    <w:rsid w:val="00811C95"/>
    <w:rPr>
      <w:rFonts w:ascii="Arial Narrow" w:eastAsia="Arial Narrow" w:hAnsi="Arial Narrow" w:cs="Arial Narrow"/>
      <w:b w:val="0"/>
      <w:bCs w:val="0"/>
      <w:i/>
      <w:iCs/>
      <w:smallCaps/>
      <w:strike w:val="0"/>
      <w:spacing w:val="0"/>
      <w:sz w:val="68"/>
      <w:szCs w:val="68"/>
      <w:shd w:val="clear" w:color="auto" w:fill="FFFFFF"/>
    </w:rPr>
  </w:style>
  <w:style w:type="character" w:customStyle="1" w:styleId="85pt2">
    <w:name w:val="Основной текст + 8;5 pt;Курсив"/>
    <w:basedOn w:val="aff1"/>
    <w:rsid w:val="00811C95"/>
    <w:rPr>
      <w:rFonts w:ascii="Arial Narrow" w:eastAsia="Arial Narrow" w:hAnsi="Arial Narrow" w:cs="Arial Narrow"/>
      <w:b w:val="0"/>
      <w:bCs w:val="0"/>
      <w:i/>
      <w:iCs/>
      <w:smallCaps w:val="0"/>
      <w:strike w:val="0"/>
      <w:spacing w:val="0"/>
      <w:w w:val="100"/>
      <w:sz w:val="17"/>
      <w:szCs w:val="17"/>
      <w:shd w:val="clear" w:color="auto" w:fill="FFFFFF"/>
    </w:rPr>
  </w:style>
  <w:style w:type="paragraph" w:customStyle="1" w:styleId="blockquote0">
    <w:name w:val="blockquote"/>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form-required">
    <w:name w:val="form-required"/>
    <w:basedOn w:val="a0"/>
    <w:rsid w:val="00811C95"/>
  </w:style>
  <w:style w:type="character" w:customStyle="1" w:styleId="aft-postheadericon">
    <w:name w:val="aft-postheadericon"/>
    <w:basedOn w:val="a0"/>
    <w:rsid w:val="00811C95"/>
  </w:style>
  <w:style w:type="character" w:customStyle="1" w:styleId="aft-postcounter">
    <w:name w:val="aft-postcounter"/>
    <w:basedOn w:val="a0"/>
    <w:rsid w:val="00811C95"/>
  </w:style>
  <w:style w:type="character" w:customStyle="1" w:styleId="aft-postdateicon">
    <w:name w:val="aft-postdateicon"/>
    <w:basedOn w:val="a0"/>
    <w:rsid w:val="00811C95"/>
  </w:style>
  <w:style w:type="character" w:customStyle="1" w:styleId="aft-postauthoricon">
    <w:name w:val="aft-postauthoricon"/>
    <w:basedOn w:val="a0"/>
    <w:rsid w:val="00811C95"/>
  </w:style>
  <w:style w:type="character" w:customStyle="1" w:styleId="aft-commentauthorage">
    <w:name w:val="aft-commentauthorage"/>
    <w:basedOn w:val="a0"/>
    <w:rsid w:val="00811C95"/>
  </w:style>
  <w:style w:type="character" w:customStyle="1" w:styleId="badge">
    <w:name w:val="badge"/>
    <w:basedOn w:val="a0"/>
    <w:rsid w:val="00811C95"/>
  </w:style>
  <w:style w:type="character" w:customStyle="1" w:styleId="adminmeta">
    <w:name w:val="admin_meta"/>
    <w:basedOn w:val="a0"/>
    <w:rsid w:val="00811C95"/>
  </w:style>
  <w:style w:type="character" w:customStyle="1" w:styleId="datemeta">
    <w:name w:val="date_meta"/>
    <w:basedOn w:val="a0"/>
    <w:rsid w:val="00811C95"/>
  </w:style>
  <w:style w:type="character" w:customStyle="1" w:styleId="postviewmeta">
    <w:name w:val="postview_meta"/>
    <w:basedOn w:val="a0"/>
    <w:rsid w:val="00811C95"/>
  </w:style>
  <w:style w:type="character" w:customStyle="1" w:styleId="commcountmeta">
    <w:name w:val="comm_count_meta"/>
    <w:basedOn w:val="a0"/>
    <w:rsid w:val="00811C95"/>
  </w:style>
  <w:style w:type="character" w:customStyle="1" w:styleId="temperatur">
    <w:name w:val="temperatur"/>
    <w:basedOn w:val="a0"/>
    <w:rsid w:val="00811C95"/>
  </w:style>
  <w:style w:type="character" w:customStyle="1" w:styleId="ml5">
    <w:name w:val="ml5"/>
    <w:basedOn w:val="a0"/>
    <w:rsid w:val="00811C95"/>
  </w:style>
  <w:style w:type="character" w:customStyle="1" w:styleId="thumbscount">
    <w:name w:val="thumbscount"/>
    <w:basedOn w:val="a0"/>
    <w:rsid w:val="00811C95"/>
  </w:style>
  <w:style w:type="paragraph" w:customStyle="1" w:styleId="rteleft">
    <w:name w:val="rteleft"/>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wbf885f96">
    <w:name w:val="wbf885f96"/>
    <w:basedOn w:val="a0"/>
    <w:rsid w:val="00811C95"/>
  </w:style>
  <w:style w:type="character" w:customStyle="1" w:styleId="21pt">
    <w:name w:val="Основной текст (2) + Интервал 1 pt"/>
    <w:basedOn w:val="2a"/>
    <w:rsid w:val="00811C95"/>
    <w:rPr>
      <w:rFonts w:ascii="Gungsuh" w:eastAsia="Gungsuh" w:hAnsi="Gungsuh" w:cs="Gungsuh"/>
      <w:b w:val="0"/>
      <w:bCs w:val="0"/>
      <w:i w:val="0"/>
      <w:iCs w:val="0"/>
      <w:smallCaps w:val="0"/>
      <w:strike w:val="0"/>
      <w:spacing w:val="30"/>
      <w:sz w:val="16"/>
      <w:szCs w:val="16"/>
      <w:shd w:val="clear" w:color="auto" w:fill="FFFFFF"/>
      <w:lang w:eastAsia="en-US"/>
    </w:rPr>
  </w:style>
  <w:style w:type="character" w:customStyle="1" w:styleId="27pt">
    <w:name w:val="Основной текст (2) + 7 pt;Не полужирный"/>
    <w:basedOn w:val="2a"/>
    <w:rsid w:val="00811C95"/>
    <w:rPr>
      <w:rFonts w:ascii="Gungsuh" w:eastAsia="Gungsuh" w:hAnsi="Gungsuh" w:cs="Gungsuh"/>
      <w:b/>
      <w:bCs/>
      <w:i w:val="0"/>
      <w:iCs w:val="0"/>
      <w:smallCaps w:val="0"/>
      <w:strike w:val="0"/>
      <w:spacing w:val="0"/>
      <w:sz w:val="14"/>
      <w:szCs w:val="14"/>
      <w:shd w:val="clear" w:color="auto" w:fill="FFFFFF"/>
      <w:lang w:eastAsia="en-US"/>
    </w:rPr>
  </w:style>
  <w:style w:type="character" w:customStyle="1" w:styleId="Gungsuh8pt1pt">
    <w:name w:val="Основной текст + Gungsuh;8 pt;Полужирный;Интервал 1 pt"/>
    <w:basedOn w:val="aff1"/>
    <w:rsid w:val="00811C95"/>
    <w:rPr>
      <w:rFonts w:ascii="Gungsuh" w:eastAsia="Gungsuh" w:hAnsi="Gungsuh" w:cs="Gungsuh"/>
      <w:b/>
      <w:bCs/>
      <w:i w:val="0"/>
      <w:iCs w:val="0"/>
      <w:smallCaps w:val="0"/>
      <w:strike w:val="0"/>
      <w:spacing w:val="30"/>
      <w:sz w:val="16"/>
      <w:szCs w:val="16"/>
      <w:shd w:val="clear" w:color="auto" w:fill="FFFFFF"/>
    </w:rPr>
  </w:style>
  <w:style w:type="character" w:customStyle="1" w:styleId="Gungsuh8pt0pt">
    <w:name w:val="Основной текст + Gungsuh;8 pt;Полужирный;Интервал 0 pt"/>
    <w:basedOn w:val="aff1"/>
    <w:rsid w:val="00811C95"/>
    <w:rPr>
      <w:rFonts w:ascii="Gungsuh" w:eastAsia="Gungsuh" w:hAnsi="Gungsuh" w:cs="Gungsuh"/>
      <w:b/>
      <w:bCs/>
      <w:i w:val="0"/>
      <w:iCs w:val="0"/>
      <w:smallCaps w:val="0"/>
      <w:strike w:val="0"/>
      <w:spacing w:val="0"/>
      <w:sz w:val="16"/>
      <w:szCs w:val="16"/>
      <w:shd w:val="clear" w:color="auto" w:fill="FFFFFF"/>
    </w:rPr>
  </w:style>
  <w:style w:type="character" w:customStyle="1" w:styleId="TrebuchetMS9pt0pt">
    <w:name w:val="Основной текст + Trebuchet MS;9 pt;Курсив;Интервал 0 pt"/>
    <w:basedOn w:val="aff1"/>
    <w:rsid w:val="00811C95"/>
    <w:rPr>
      <w:rFonts w:ascii="Trebuchet MS" w:eastAsia="Trebuchet MS" w:hAnsi="Trebuchet MS" w:cs="Trebuchet MS"/>
      <w:b w:val="0"/>
      <w:bCs w:val="0"/>
      <w:i/>
      <w:iCs/>
      <w:smallCaps w:val="0"/>
      <w:strike w:val="0"/>
      <w:spacing w:val="0"/>
      <w:sz w:val="18"/>
      <w:szCs w:val="18"/>
      <w:shd w:val="clear" w:color="auto" w:fill="FFFFFF"/>
    </w:rPr>
  </w:style>
  <w:style w:type="character" w:customStyle="1" w:styleId="0pt0">
    <w:name w:val="Оглавление + Интервал 0 pt"/>
    <w:basedOn w:val="afff8"/>
    <w:rsid w:val="00811C95"/>
    <w:rPr>
      <w:rFonts w:ascii="MS Gothic" w:eastAsia="MS Gothic" w:hAnsi="MS Gothic" w:cs="MS Gothic"/>
      <w:spacing w:val="-10"/>
      <w:sz w:val="19"/>
      <w:szCs w:val="19"/>
      <w:shd w:val="clear" w:color="auto" w:fill="FFFFFF"/>
    </w:rPr>
  </w:style>
  <w:style w:type="character" w:customStyle="1" w:styleId="9pt2">
    <w:name w:val="Основной текст + 9 pt;Малые прописные"/>
    <w:basedOn w:val="aff1"/>
    <w:rsid w:val="00811C95"/>
    <w:rPr>
      <w:rFonts w:ascii="Gungsuh" w:eastAsia="Gungsuh" w:hAnsi="Gungsuh" w:cs="Gungsuh"/>
      <w:b w:val="0"/>
      <w:bCs w:val="0"/>
      <w:i w:val="0"/>
      <w:iCs w:val="0"/>
      <w:smallCaps/>
      <w:strike w:val="0"/>
      <w:spacing w:val="0"/>
      <w:sz w:val="18"/>
      <w:szCs w:val="18"/>
      <w:shd w:val="clear" w:color="auto" w:fill="FFFFFF"/>
    </w:rPr>
  </w:style>
  <w:style w:type="character" w:customStyle="1" w:styleId="2Batang85pt">
    <w:name w:val="Заголовок №2 + Batang;8;5 pt"/>
    <w:basedOn w:val="a0"/>
    <w:rsid w:val="00811C95"/>
    <w:rPr>
      <w:rFonts w:ascii="Batang" w:eastAsia="Batang" w:hAnsi="Batang" w:cs="Batang"/>
      <w:b w:val="0"/>
      <w:bCs w:val="0"/>
      <w:i w:val="0"/>
      <w:iCs w:val="0"/>
      <w:smallCaps w:val="0"/>
      <w:strike w:val="0"/>
      <w:spacing w:val="0"/>
      <w:sz w:val="17"/>
      <w:szCs w:val="17"/>
    </w:rPr>
  </w:style>
  <w:style w:type="character" w:customStyle="1" w:styleId="Sylfaen9pt0pt">
    <w:name w:val="Основной текст + Sylfaen;9 pt;Интервал 0 pt"/>
    <w:basedOn w:val="aff1"/>
    <w:rsid w:val="00811C95"/>
    <w:rPr>
      <w:rFonts w:ascii="Sylfaen" w:eastAsia="Sylfaen" w:hAnsi="Sylfaen" w:cs="Sylfaen"/>
      <w:b w:val="0"/>
      <w:bCs w:val="0"/>
      <w:i w:val="0"/>
      <w:iCs w:val="0"/>
      <w:smallCaps w:val="0"/>
      <w:strike w:val="0"/>
      <w:spacing w:val="0"/>
      <w:sz w:val="18"/>
      <w:szCs w:val="18"/>
      <w:shd w:val="clear" w:color="auto" w:fill="FFFFFF"/>
    </w:rPr>
  </w:style>
  <w:style w:type="character" w:customStyle="1" w:styleId="CenturyGothic85pt-1pt">
    <w:name w:val="Основной текст + Century Gothic;8;5 pt;Интервал -1 pt"/>
    <w:basedOn w:val="aff1"/>
    <w:rsid w:val="00811C95"/>
    <w:rPr>
      <w:rFonts w:ascii="Century Gothic" w:eastAsia="Century Gothic" w:hAnsi="Century Gothic" w:cs="Century Gothic"/>
      <w:b w:val="0"/>
      <w:bCs w:val="0"/>
      <w:i w:val="0"/>
      <w:iCs w:val="0"/>
      <w:smallCaps w:val="0"/>
      <w:strike w:val="0"/>
      <w:spacing w:val="-20"/>
      <w:w w:val="100"/>
      <w:sz w:val="17"/>
      <w:szCs w:val="17"/>
      <w:shd w:val="clear" w:color="auto" w:fill="FFFFFF"/>
    </w:rPr>
  </w:style>
  <w:style w:type="character" w:customStyle="1" w:styleId="ArialUnicodeMS12pt0pt">
    <w:name w:val="Основной текст + Arial Unicode MS;12 pt;Курсив;Интервал 0 pt"/>
    <w:basedOn w:val="aff1"/>
    <w:rsid w:val="00811C95"/>
    <w:rPr>
      <w:rFonts w:ascii="Arial Unicode MS" w:eastAsia="Arial Unicode MS" w:hAnsi="Arial Unicode MS" w:cs="Arial Unicode MS"/>
      <w:b w:val="0"/>
      <w:bCs w:val="0"/>
      <w:i/>
      <w:iCs/>
      <w:smallCaps w:val="0"/>
      <w:strike w:val="0"/>
      <w:spacing w:val="0"/>
      <w:sz w:val="24"/>
      <w:szCs w:val="24"/>
      <w:shd w:val="clear" w:color="auto" w:fill="FFFFFF"/>
    </w:rPr>
  </w:style>
  <w:style w:type="character" w:customStyle="1" w:styleId="ArialUnicodeMS95pt0pt">
    <w:name w:val="Основной текст + Arial Unicode MS;9;5 pt;Курсив;Интервал 0 pt"/>
    <w:basedOn w:val="aff1"/>
    <w:rsid w:val="00811C95"/>
    <w:rPr>
      <w:rFonts w:ascii="Arial Unicode MS" w:eastAsia="Arial Unicode MS" w:hAnsi="Arial Unicode MS" w:cs="Arial Unicode MS"/>
      <w:b w:val="0"/>
      <w:bCs w:val="0"/>
      <w:i/>
      <w:iCs/>
      <w:smallCaps w:val="0"/>
      <w:strike w:val="0"/>
      <w:spacing w:val="0"/>
      <w:w w:val="100"/>
      <w:sz w:val="19"/>
      <w:szCs w:val="19"/>
      <w:shd w:val="clear" w:color="auto" w:fill="FFFFFF"/>
    </w:rPr>
  </w:style>
  <w:style w:type="character" w:customStyle="1" w:styleId="ArialUnicodeMS85pt0pt">
    <w:name w:val="Основной текст + Arial Unicode MS;8;5 pt;Интервал 0 pt"/>
    <w:basedOn w:val="aff1"/>
    <w:rsid w:val="00811C95"/>
    <w:rPr>
      <w:rFonts w:ascii="Arial Unicode MS" w:eastAsia="Arial Unicode MS" w:hAnsi="Arial Unicode MS" w:cs="Arial Unicode MS"/>
      <w:b w:val="0"/>
      <w:bCs w:val="0"/>
      <w:i w:val="0"/>
      <w:iCs w:val="0"/>
      <w:smallCaps w:val="0"/>
      <w:strike w:val="0"/>
      <w:spacing w:val="0"/>
      <w:w w:val="100"/>
      <w:sz w:val="17"/>
      <w:szCs w:val="17"/>
      <w:u w:val="single"/>
      <w:shd w:val="clear" w:color="auto" w:fill="FFFFFF"/>
    </w:rPr>
  </w:style>
  <w:style w:type="character" w:customStyle="1" w:styleId="Garamond115pt0pt">
    <w:name w:val="Основной текст + Garamond;11;5 pt;Курсив;Интервал 0 pt"/>
    <w:basedOn w:val="aff1"/>
    <w:rsid w:val="00811C95"/>
    <w:rPr>
      <w:rFonts w:ascii="Garamond" w:eastAsia="Garamond" w:hAnsi="Garamond" w:cs="Garamond"/>
      <w:i/>
      <w:iCs/>
      <w:spacing w:val="0"/>
      <w:sz w:val="23"/>
      <w:szCs w:val="23"/>
      <w:shd w:val="clear" w:color="auto" w:fill="FFFFFF"/>
    </w:rPr>
  </w:style>
  <w:style w:type="character" w:customStyle="1" w:styleId="MSReferenceSansSerif75pt0pt">
    <w:name w:val="Основной текст + MS Reference Sans Serif;7;5 pt;Интервал 0 pt"/>
    <w:basedOn w:val="aff1"/>
    <w:rsid w:val="00811C95"/>
    <w:rPr>
      <w:rFonts w:ascii="MS Reference Sans Serif" w:eastAsia="MS Reference Sans Serif" w:hAnsi="MS Reference Sans Serif" w:cs="MS Reference Sans Serif"/>
      <w:spacing w:val="0"/>
      <w:sz w:val="15"/>
      <w:szCs w:val="15"/>
      <w:shd w:val="clear" w:color="auto" w:fill="FFFFFF"/>
    </w:rPr>
  </w:style>
  <w:style w:type="character" w:customStyle="1" w:styleId="0pt1">
    <w:name w:val="Подпись к картинке + Интервал 0 pt"/>
    <w:basedOn w:val="affc"/>
    <w:rsid w:val="00811C95"/>
    <w:rPr>
      <w:rFonts w:ascii="SimHei" w:eastAsia="SimHei" w:hAnsi="SimHei" w:cs="SimHei"/>
      <w:b/>
      <w:bCs/>
      <w:spacing w:val="0"/>
      <w:sz w:val="20"/>
      <w:szCs w:val="20"/>
      <w:shd w:val="clear" w:color="auto" w:fill="FFFFFF"/>
      <w:lang w:eastAsia="en-US"/>
    </w:rPr>
  </w:style>
  <w:style w:type="character" w:customStyle="1" w:styleId="Consolas11pt">
    <w:name w:val="Основной текст + Consolas;11 pt;Полужирный"/>
    <w:basedOn w:val="aff1"/>
    <w:rsid w:val="00811C95"/>
    <w:rPr>
      <w:rFonts w:ascii="Consolas" w:eastAsia="Consolas" w:hAnsi="Consolas" w:cs="Consolas"/>
      <w:b/>
      <w:bCs/>
      <w:i w:val="0"/>
      <w:iCs w:val="0"/>
      <w:smallCaps w:val="0"/>
      <w:strike w:val="0"/>
      <w:spacing w:val="0"/>
      <w:sz w:val="22"/>
      <w:szCs w:val="22"/>
      <w:shd w:val="clear" w:color="auto" w:fill="FFFFFF"/>
    </w:rPr>
  </w:style>
  <w:style w:type="character" w:customStyle="1" w:styleId="Tahoma8pt1pt">
    <w:name w:val="Основной текст + Tahoma;8 pt;Интервал 1 pt"/>
    <w:basedOn w:val="aff1"/>
    <w:rsid w:val="00811C95"/>
    <w:rPr>
      <w:rFonts w:ascii="Tahoma" w:eastAsia="Tahoma" w:hAnsi="Tahoma" w:cs="Tahoma"/>
      <w:b w:val="0"/>
      <w:bCs w:val="0"/>
      <w:i w:val="0"/>
      <w:iCs w:val="0"/>
      <w:smallCaps w:val="0"/>
      <w:strike w:val="0"/>
      <w:spacing w:val="20"/>
      <w:w w:val="100"/>
      <w:sz w:val="16"/>
      <w:szCs w:val="16"/>
      <w:shd w:val="clear" w:color="auto" w:fill="FFFFFF"/>
    </w:rPr>
  </w:style>
  <w:style w:type="character" w:customStyle="1" w:styleId="Consolas105pt">
    <w:name w:val="Основной текст + Consolas;10;5 pt;Полужирный"/>
    <w:basedOn w:val="aff1"/>
    <w:rsid w:val="00811C95"/>
    <w:rPr>
      <w:rFonts w:ascii="Consolas" w:eastAsia="Consolas" w:hAnsi="Consolas" w:cs="Consolas"/>
      <w:b/>
      <w:bCs/>
      <w:i w:val="0"/>
      <w:iCs w:val="0"/>
      <w:smallCaps w:val="0"/>
      <w:strike w:val="0"/>
      <w:spacing w:val="0"/>
      <w:sz w:val="21"/>
      <w:szCs w:val="21"/>
      <w:shd w:val="clear" w:color="auto" w:fill="FFFFFF"/>
    </w:rPr>
  </w:style>
  <w:style w:type="character" w:customStyle="1" w:styleId="155pt0pt">
    <w:name w:val="Основной текст + 15;5 pt;Интервал 0 pt"/>
    <w:basedOn w:val="aff1"/>
    <w:rsid w:val="00811C95"/>
    <w:rPr>
      <w:rFonts w:ascii="Gungsuh" w:eastAsia="Gungsuh" w:hAnsi="Gungsuh" w:cs="Gungsuh"/>
      <w:b w:val="0"/>
      <w:bCs w:val="0"/>
      <w:i w:val="0"/>
      <w:iCs w:val="0"/>
      <w:smallCaps w:val="0"/>
      <w:strike w:val="0"/>
      <w:spacing w:val="-10"/>
      <w:sz w:val="31"/>
      <w:szCs w:val="31"/>
      <w:shd w:val="clear" w:color="auto" w:fill="FFFFFF"/>
    </w:rPr>
  </w:style>
  <w:style w:type="character" w:customStyle="1" w:styleId="MicrosoftSansSerif0pt">
    <w:name w:val="Основной текст + Microsoft Sans Serif;Интервал 0 pt"/>
    <w:basedOn w:val="aff1"/>
    <w:rsid w:val="00811C95"/>
    <w:rPr>
      <w:rFonts w:ascii="Microsoft Sans Serif" w:eastAsia="Microsoft Sans Serif" w:hAnsi="Microsoft Sans Serif" w:cs="Microsoft Sans Serif"/>
      <w:b w:val="0"/>
      <w:bCs w:val="0"/>
      <w:i w:val="0"/>
      <w:iCs w:val="0"/>
      <w:smallCaps w:val="0"/>
      <w:strike w:val="0"/>
      <w:spacing w:val="0"/>
      <w:w w:val="100"/>
      <w:sz w:val="20"/>
      <w:szCs w:val="20"/>
      <w:shd w:val="clear" w:color="auto" w:fill="FFFFFF"/>
    </w:rPr>
  </w:style>
  <w:style w:type="character" w:customStyle="1" w:styleId="Batang105pt0pt">
    <w:name w:val="Основной текст + Batang;10;5 pt;Малые прописные;Интервал 0 pt"/>
    <w:basedOn w:val="aff1"/>
    <w:rsid w:val="00811C95"/>
    <w:rPr>
      <w:rFonts w:ascii="Batang" w:eastAsia="Batang" w:hAnsi="Batang" w:cs="Batang"/>
      <w:b w:val="0"/>
      <w:bCs w:val="0"/>
      <w:i w:val="0"/>
      <w:iCs w:val="0"/>
      <w:smallCaps/>
      <w:strike w:val="0"/>
      <w:spacing w:val="0"/>
      <w:w w:val="100"/>
      <w:sz w:val="21"/>
      <w:szCs w:val="21"/>
      <w:shd w:val="clear" w:color="auto" w:fill="FFFFFF"/>
    </w:rPr>
  </w:style>
  <w:style w:type="character" w:customStyle="1" w:styleId="ArialUnicodeMS0pt">
    <w:name w:val="Основной текст + Arial Unicode MS;Интервал 0 pt"/>
    <w:basedOn w:val="aff1"/>
    <w:rsid w:val="00811C95"/>
    <w:rPr>
      <w:rFonts w:ascii="Arial Unicode MS" w:eastAsia="Arial Unicode MS" w:hAnsi="Arial Unicode MS" w:cs="Arial Unicode MS"/>
      <w:b w:val="0"/>
      <w:bCs w:val="0"/>
      <w:i w:val="0"/>
      <w:iCs w:val="0"/>
      <w:smallCaps w:val="0"/>
      <w:strike w:val="0"/>
      <w:spacing w:val="0"/>
      <w:w w:val="100"/>
      <w:sz w:val="19"/>
      <w:szCs w:val="19"/>
      <w:shd w:val="clear" w:color="auto" w:fill="FFFFFF"/>
    </w:rPr>
  </w:style>
  <w:style w:type="character" w:customStyle="1" w:styleId="SegoeUI85pt1pt">
    <w:name w:val="Основной текст + Segoe UI;8;5 pt;Курсив;Интервал 1 pt"/>
    <w:basedOn w:val="aff1"/>
    <w:rsid w:val="00811C95"/>
    <w:rPr>
      <w:rFonts w:ascii="Segoe UI" w:eastAsia="Segoe UI" w:hAnsi="Segoe UI" w:cs="Segoe UI"/>
      <w:b w:val="0"/>
      <w:bCs w:val="0"/>
      <w:i/>
      <w:iCs/>
      <w:smallCaps w:val="0"/>
      <w:strike w:val="0"/>
      <w:spacing w:val="20"/>
      <w:sz w:val="17"/>
      <w:szCs w:val="17"/>
      <w:shd w:val="clear" w:color="auto" w:fill="FFFFFF"/>
      <w:lang w:val="en-US"/>
    </w:rPr>
  </w:style>
  <w:style w:type="character" w:customStyle="1" w:styleId="SegoeUI9pt">
    <w:name w:val="Основной текст + Segoe UI;9 pt"/>
    <w:basedOn w:val="aff1"/>
    <w:rsid w:val="00811C95"/>
    <w:rPr>
      <w:rFonts w:ascii="Segoe UI" w:eastAsia="Segoe UI" w:hAnsi="Segoe UI" w:cs="Segoe UI"/>
      <w:b w:val="0"/>
      <w:bCs w:val="0"/>
      <w:i w:val="0"/>
      <w:iCs w:val="0"/>
      <w:smallCaps w:val="0"/>
      <w:strike w:val="0"/>
      <w:spacing w:val="0"/>
      <w:sz w:val="18"/>
      <w:szCs w:val="18"/>
      <w:shd w:val="clear" w:color="auto" w:fill="FFFFFF"/>
    </w:rPr>
  </w:style>
  <w:style w:type="character" w:customStyle="1" w:styleId="Consolas10pt">
    <w:name w:val="Основной текст + Consolas;10 pt;Курсив"/>
    <w:basedOn w:val="aff1"/>
    <w:rsid w:val="00811C95"/>
    <w:rPr>
      <w:rFonts w:ascii="Consolas" w:eastAsia="Consolas" w:hAnsi="Consolas" w:cs="Consolas"/>
      <w:b w:val="0"/>
      <w:bCs w:val="0"/>
      <w:i/>
      <w:iCs/>
      <w:smallCaps w:val="0"/>
      <w:strike w:val="0"/>
      <w:spacing w:val="0"/>
      <w:sz w:val="20"/>
      <w:szCs w:val="20"/>
      <w:shd w:val="clear" w:color="auto" w:fill="FFFFFF"/>
    </w:rPr>
  </w:style>
  <w:style w:type="character" w:customStyle="1" w:styleId="13pt0">
    <w:name w:val="Основной текст + 13 pt;Курсив"/>
    <w:basedOn w:val="aff1"/>
    <w:rsid w:val="00811C95"/>
    <w:rPr>
      <w:rFonts w:ascii="MS Mincho" w:eastAsia="MS Mincho" w:hAnsi="MS Mincho" w:cs="MS Mincho"/>
      <w:b w:val="0"/>
      <w:bCs w:val="0"/>
      <w:i/>
      <w:iCs/>
      <w:smallCaps w:val="0"/>
      <w:strike w:val="0"/>
      <w:spacing w:val="-20"/>
      <w:w w:val="100"/>
      <w:sz w:val="26"/>
      <w:szCs w:val="26"/>
      <w:shd w:val="clear" w:color="auto" w:fill="FFFFFF"/>
    </w:rPr>
  </w:style>
  <w:style w:type="character" w:customStyle="1" w:styleId="10pt1">
    <w:name w:val="Заголовок №1 + Интервал 0 pt"/>
    <w:basedOn w:val="1f1"/>
    <w:rsid w:val="00811C95"/>
    <w:rPr>
      <w:rFonts w:ascii="Batang" w:eastAsia="Batang" w:hAnsi="Batang" w:cs="Batang"/>
      <w:b w:val="0"/>
      <w:bCs w:val="0"/>
      <w:i w:val="0"/>
      <w:iCs w:val="0"/>
      <w:smallCaps w:val="0"/>
      <w:strike w:val="0"/>
      <w:spacing w:val="-10"/>
      <w:sz w:val="18"/>
      <w:szCs w:val="18"/>
      <w:shd w:val="clear" w:color="auto" w:fill="FFFFFF"/>
      <w:lang w:val="en-US"/>
    </w:rPr>
  </w:style>
  <w:style w:type="character" w:customStyle="1" w:styleId="MicrosoftSansSerif85pt0pt">
    <w:name w:val="Основной текст + Microsoft Sans Serif;8;5 pt;Интервал 0 pt"/>
    <w:basedOn w:val="aff1"/>
    <w:rsid w:val="00811C95"/>
    <w:rPr>
      <w:rFonts w:ascii="Microsoft Sans Serif" w:eastAsia="Microsoft Sans Serif" w:hAnsi="Microsoft Sans Serif" w:cs="Microsoft Sans Serif"/>
      <w:b w:val="0"/>
      <w:bCs w:val="0"/>
      <w:i w:val="0"/>
      <w:iCs w:val="0"/>
      <w:smallCaps w:val="0"/>
      <w:strike w:val="0"/>
      <w:spacing w:val="10"/>
      <w:w w:val="100"/>
      <w:sz w:val="17"/>
      <w:szCs w:val="17"/>
      <w:shd w:val="clear" w:color="auto" w:fill="FFFFFF"/>
    </w:rPr>
  </w:style>
  <w:style w:type="character" w:customStyle="1" w:styleId="MicrosoftSansSerif9pt1pt">
    <w:name w:val="Основной текст + Microsoft Sans Serif;9 pt;Интервал 1 pt"/>
    <w:basedOn w:val="aff1"/>
    <w:rsid w:val="00811C95"/>
    <w:rPr>
      <w:rFonts w:ascii="Microsoft Sans Serif" w:eastAsia="Microsoft Sans Serif" w:hAnsi="Microsoft Sans Serif" w:cs="Microsoft Sans Serif"/>
      <w:b w:val="0"/>
      <w:bCs w:val="0"/>
      <w:i w:val="0"/>
      <w:iCs w:val="0"/>
      <w:smallCaps w:val="0"/>
      <w:strike w:val="0"/>
      <w:spacing w:val="20"/>
      <w:w w:val="100"/>
      <w:sz w:val="18"/>
      <w:szCs w:val="18"/>
      <w:shd w:val="clear" w:color="auto" w:fill="FFFFFF"/>
      <w:lang w:val="en-US"/>
    </w:rPr>
  </w:style>
  <w:style w:type="character" w:customStyle="1" w:styleId="FranklinGothicBook95pt">
    <w:name w:val="Основной текст + Franklin Gothic Book;9;5 pt;Полужирный"/>
    <w:basedOn w:val="aff1"/>
    <w:rsid w:val="00811C95"/>
    <w:rPr>
      <w:rFonts w:ascii="Franklin Gothic Book" w:eastAsia="Franklin Gothic Book" w:hAnsi="Franklin Gothic Book" w:cs="Franklin Gothic Book"/>
      <w:b/>
      <w:bCs/>
      <w:i w:val="0"/>
      <w:iCs w:val="0"/>
      <w:smallCaps w:val="0"/>
      <w:strike w:val="0"/>
      <w:spacing w:val="0"/>
      <w:sz w:val="19"/>
      <w:szCs w:val="19"/>
      <w:shd w:val="clear" w:color="auto" w:fill="FFFFFF"/>
    </w:rPr>
  </w:style>
  <w:style w:type="character" w:customStyle="1" w:styleId="8pt0pt0">
    <w:name w:val="Основной текст + 8 pt;Интервал 0 pt"/>
    <w:basedOn w:val="aff1"/>
    <w:rsid w:val="00811C95"/>
    <w:rPr>
      <w:rFonts w:ascii="MS Mincho" w:eastAsia="MS Mincho" w:hAnsi="MS Mincho" w:cs="MS Mincho"/>
      <w:b w:val="0"/>
      <w:bCs w:val="0"/>
      <w:i w:val="0"/>
      <w:iCs w:val="0"/>
      <w:smallCaps w:val="0"/>
      <w:strike w:val="0"/>
      <w:spacing w:val="-10"/>
      <w:w w:val="100"/>
      <w:sz w:val="16"/>
      <w:szCs w:val="16"/>
      <w:shd w:val="clear" w:color="auto" w:fill="FFFFFF"/>
      <w:lang w:val="en-US"/>
    </w:rPr>
  </w:style>
  <w:style w:type="character" w:customStyle="1" w:styleId="Gulim9pt0pt">
    <w:name w:val="Основной текст + Gulim;9 pt;Интервал 0 pt"/>
    <w:basedOn w:val="aff1"/>
    <w:rsid w:val="00811C95"/>
    <w:rPr>
      <w:rFonts w:ascii="Gulim" w:eastAsia="Gulim" w:hAnsi="Gulim" w:cs="Gulim"/>
      <w:b w:val="0"/>
      <w:bCs w:val="0"/>
      <w:i w:val="0"/>
      <w:iCs w:val="0"/>
      <w:smallCaps w:val="0"/>
      <w:strike w:val="0"/>
      <w:spacing w:val="0"/>
      <w:w w:val="100"/>
      <w:sz w:val="18"/>
      <w:szCs w:val="18"/>
      <w:shd w:val="clear" w:color="auto" w:fill="FFFFFF"/>
    </w:rPr>
  </w:style>
  <w:style w:type="character" w:customStyle="1" w:styleId="FranklinGothicBook9pt1pt">
    <w:name w:val="Сноска + Franklin Gothic Book;9 pt;Курсив;Интервал 1 pt"/>
    <w:basedOn w:val="aff5"/>
    <w:rsid w:val="00811C95"/>
    <w:rPr>
      <w:rFonts w:ascii="Franklin Gothic Book" w:eastAsia="Franklin Gothic Book" w:hAnsi="Franklin Gothic Book" w:cs="Franklin Gothic Book"/>
      <w:i/>
      <w:iCs/>
      <w:noProof/>
      <w:spacing w:val="20"/>
      <w:sz w:val="18"/>
      <w:szCs w:val="18"/>
      <w:shd w:val="clear" w:color="auto" w:fill="FFFFFF"/>
      <w:lang w:val="en-US" w:eastAsia="en-US"/>
    </w:rPr>
  </w:style>
  <w:style w:type="paragraph" w:customStyle="1" w:styleId="1f4">
    <w:name w:val="çàãîëîâîê 1"/>
    <w:basedOn w:val="Iauiue"/>
    <w:next w:val="Iauiue"/>
    <w:uiPriority w:val="99"/>
    <w:rsid w:val="00811C95"/>
    <w:pPr>
      <w:keepNext/>
      <w:jc w:val="both"/>
    </w:pPr>
    <w:rPr>
      <w:i/>
      <w:iCs/>
      <w:sz w:val="16"/>
      <w:szCs w:val="16"/>
      <w:lang w:val="en-US"/>
    </w:rPr>
  </w:style>
  <w:style w:type="paragraph" w:styleId="afffc">
    <w:name w:val="header"/>
    <w:basedOn w:val="a"/>
    <w:link w:val="afffd"/>
    <w:uiPriority w:val="99"/>
    <w:rsid w:val="00811C95"/>
    <w:pPr>
      <w:tabs>
        <w:tab w:val="center" w:pos="4153"/>
        <w:tab w:val="right" w:pos="8306"/>
      </w:tabs>
      <w:autoSpaceDE w:val="0"/>
      <w:autoSpaceDN w:val="0"/>
      <w:adjustRightInd w:val="0"/>
      <w:spacing w:after="0" w:line="240" w:lineRule="auto"/>
    </w:pPr>
    <w:rPr>
      <w:rFonts w:ascii="Times New Roman" w:hAnsi="Times New Roman"/>
      <w:sz w:val="20"/>
      <w:szCs w:val="20"/>
      <w:lang w:val="en-US"/>
    </w:rPr>
  </w:style>
  <w:style w:type="character" w:customStyle="1" w:styleId="afffd">
    <w:name w:val="Верхний колонтитул Знак"/>
    <w:basedOn w:val="a0"/>
    <w:link w:val="afffc"/>
    <w:uiPriority w:val="99"/>
    <w:rsid w:val="00811C95"/>
    <w:rPr>
      <w:rFonts w:ascii="Times New Roman" w:hAnsi="Times New Roman"/>
      <w:lang w:val="en-US" w:eastAsia="en-US"/>
    </w:rPr>
  </w:style>
  <w:style w:type="character" w:customStyle="1" w:styleId="afffe">
    <w:name w:val="Ã"/>
    <w:uiPriority w:val="99"/>
    <w:rsid w:val="00811C95"/>
    <w:rPr>
      <w:color w:val="0000FF"/>
      <w:u w:val="single"/>
    </w:rPr>
  </w:style>
  <w:style w:type="paragraph" w:customStyle="1" w:styleId="affff">
    <w:name w:val="Ö"/>
    <w:basedOn w:val="a"/>
    <w:uiPriority w:val="99"/>
    <w:rsid w:val="00811C95"/>
    <w:pPr>
      <w:autoSpaceDE w:val="0"/>
      <w:autoSpaceDN w:val="0"/>
      <w:adjustRightInd w:val="0"/>
      <w:spacing w:before="100" w:after="100" w:line="240" w:lineRule="auto"/>
      <w:ind w:left="360" w:right="360"/>
    </w:pPr>
    <w:rPr>
      <w:rFonts w:ascii="Times New Roman" w:hAnsi="Times New Roman"/>
      <w:sz w:val="24"/>
      <w:szCs w:val="24"/>
    </w:rPr>
  </w:style>
  <w:style w:type="paragraph" w:customStyle="1" w:styleId="2f9">
    <w:name w:val="Îñíîâíîé òåêñò 2"/>
    <w:basedOn w:val="a"/>
    <w:uiPriority w:val="99"/>
    <w:rsid w:val="00811C95"/>
    <w:pPr>
      <w:widowControl w:val="0"/>
      <w:autoSpaceDE w:val="0"/>
      <w:autoSpaceDN w:val="0"/>
      <w:adjustRightInd w:val="0"/>
      <w:spacing w:after="0" w:line="240" w:lineRule="auto"/>
      <w:jc w:val="both"/>
    </w:pPr>
    <w:rPr>
      <w:rFonts w:ascii="Times New Roman" w:hAnsi="Times New Roman"/>
      <w:sz w:val="16"/>
      <w:szCs w:val="16"/>
    </w:rPr>
  </w:style>
  <w:style w:type="paragraph" w:customStyle="1" w:styleId="affff0">
    <w:name w:val="Òåêñò"/>
    <w:basedOn w:val="a"/>
    <w:uiPriority w:val="99"/>
    <w:rsid w:val="00811C95"/>
    <w:pPr>
      <w:widowControl w:val="0"/>
      <w:autoSpaceDE w:val="0"/>
      <w:autoSpaceDN w:val="0"/>
      <w:adjustRightInd w:val="0"/>
      <w:spacing w:after="0" w:line="240" w:lineRule="auto"/>
    </w:pPr>
    <w:rPr>
      <w:rFonts w:ascii="Courier New" w:hAnsi="Courier New" w:cs="Courier New"/>
      <w:sz w:val="20"/>
      <w:szCs w:val="20"/>
    </w:rPr>
  </w:style>
  <w:style w:type="paragraph" w:customStyle="1" w:styleId="3f5">
    <w:name w:val="Îñíîâíîé òåêñò 3"/>
    <w:basedOn w:val="a"/>
    <w:uiPriority w:val="99"/>
    <w:rsid w:val="00811C95"/>
    <w:pPr>
      <w:widowControl w:val="0"/>
      <w:autoSpaceDE w:val="0"/>
      <w:autoSpaceDN w:val="0"/>
      <w:adjustRightInd w:val="0"/>
      <w:spacing w:after="0" w:line="240" w:lineRule="auto"/>
      <w:jc w:val="center"/>
    </w:pPr>
    <w:rPr>
      <w:rFonts w:ascii="Times New Roman" w:hAnsi="Times New Roman"/>
      <w:sz w:val="16"/>
      <w:szCs w:val="16"/>
    </w:rPr>
  </w:style>
  <w:style w:type="paragraph" w:customStyle="1" w:styleId="affff1">
    <w:name w:val="À"/>
    <w:basedOn w:val="a"/>
    <w:next w:val="a"/>
    <w:uiPriority w:val="99"/>
    <w:rsid w:val="00811C95"/>
    <w:pPr>
      <w:autoSpaceDE w:val="0"/>
      <w:autoSpaceDN w:val="0"/>
      <w:adjustRightInd w:val="0"/>
      <w:spacing w:after="0" w:line="240" w:lineRule="auto"/>
    </w:pPr>
    <w:rPr>
      <w:rFonts w:ascii="Times New Roman" w:hAnsi="Times New Roman"/>
      <w:i/>
      <w:iCs/>
      <w:sz w:val="24"/>
      <w:szCs w:val="24"/>
    </w:rPr>
  </w:style>
  <w:style w:type="paragraph" w:customStyle="1" w:styleId="affff2">
    <w:name w:val="ï"/>
    <w:uiPriority w:val="99"/>
    <w:rsid w:val="00811C95"/>
    <w:pPr>
      <w:autoSpaceDE w:val="0"/>
      <w:autoSpaceDN w:val="0"/>
      <w:adjustRightInd w:val="0"/>
    </w:pPr>
    <w:rPr>
      <w:rFonts w:ascii="Times New Roman" w:hAnsi="Times New Roman"/>
      <w:i/>
      <w:iCs/>
      <w:spacing w:val="-1"/>
      <w:kern w:val="65535"/>
      <w:position w:val="-1"/>
      <w:sz w:val="24"/>
      <w:szCs w:val="24"/>
      <w:lang w:eastAsia="en-US"/>
    </w:rPr>
  </w:style>
  <w:style w:type="paragraph" w:customStyle="1" w:styleId="affff3">
    <w:name w:val="Çàãîëîâîê"/>
    <w:basedOn w:val="a"/>
    <w:uiPriority w:val="99"/>
    <w:rsid w:val="00811C95"/>
    <w:pPr>
      <w:widowControl w:val="0"/>
      <w:autoSpaceDE w:val="0"/>
      <w:autoSpaceDN w:val="0"/>
      <w:adjustRightInd w:val="0"/>
      <w:spacing w:after="0" w:line="360" w:lineRule="auto"/>
      <w:ind w:firstLine="709"/>
      <w:jc w:val="center"/>
    </w:pPr>
    <w:rPr>
      <w:rFonts w:ascii="Arial" w:hAnsi="Arial" w:cs="Arial"/>
      <w:b/>
      <w:bCs/>
      <w:caps/>
      <w:sz w:val="26"/>
      <w:szCs w:val="26"/>
    </w:rPr>
  </w:style>
  <w:style w:type="paragraph" w:customStyle="1" w:styleId="affff4">
    <w:name w:val="Ñíîñêè"/>
    <w:basedOn w:val="a"/>
    <w:uiPriority w:val="99"/>
    <w:rsid w:val="00811C95"/>
    <w:pPr>
      <w:widowControl w:val="0"/>
      <w:autoSpaceDE w:val="0"/>
      <w:autoSpaceDN w:val="0"/>
      <w:adjustRightInd w:val="0"/>
      <w:spacing w:after="0" w:line="360" w:lineRule="auto"/>
      <w:ind w:firstLine="709"/>
      <w:jc w:val="both"/>
    </w:pPr>
    <w:rPr>
      <w:rFonts w:ascii="Arial" w:hAnsi="Arial" w:cs="Arial"/>
      <w:sz w:val="26"/>
      <w:szCs w:val="26"/>
    </w:rPr>
  </w:style>
  <w:style w:type="paragraph" w:customStyle="1" w:styleId="affff5">
    <w:name w:val="Ðóáðèêà"/>
    <w:basedOn w:val="a"/>
    <w:uiPriority w:val="99"/>
    <w:rsid w:val="00811C95"/>
    <w:pPr>
      <w:widowControl w:val="0"/>
      <w:autoSpaceDE w:val="0"/>
      <w:autoSpaceDN w:val="0"/>
      <w:adjustRightInd w:val="0"/>
      <w:spacing w:after="0" w:line="360" w:lineRule="auto"/>
      <w:ind w:firstLine="709"/>
      <w:jc w:val="right"/>
    </w:pPr>
    <w:rPr>
      <w:rFonts w:ascii="Arial" w:hAnsi="Arial" w:cs="Arial"/>
      <w:caps/>
      <w:sz w:val="26"/>
      <w:szCs w:val="26"/>
    </w:rPr>
  </w:style>
  <w:style w:type="character" w:customStyle="1" w:styleId="affff6">
    <w:name w:val="Çíàê êîíöåâîé ñíîñêè"/>
    <w:uiPriority w:val="99"/>
    <w:rsid w:val="00811C95"/>
    <w:rPr>
      <w:sz w:val="20"/>
      <w:szCs w:val="20"/>
      <w:vertAlign w:val="superscript"/>
    </w:rPr>
  </w:style>
  <w:style w:type="paragraph" w:customStyle="1" w:styleId="affff7">
    <w:name w:val="Ñ"/>
    <w:basedOn w:val="a"/>
    <w:next w:val="a"/>
    <w:uiPriority w:val="99"/>
    <w:rsid w:val="00811C95"/>
    <w:pPr>
      <w:autoSpaceDE w:val="0"/>
      <w:autoSpaceDN w:val="0"/>
      <w:adjustRightInd w:val="0"/>
      <w:spacing w:after="0" w:line="240" w:lineRule="auto"/>
      <w:ind w:left="360"/>
    </w:pPr>
    <w:rPr>
      <w:rFonts w:ascii="Times New Roman" w:hAnsi="Times New Roman"/>
      <w:sz w:val="24"/>
      <w:szCs w:val="24"/>
    </w:rPr>
  </w:style>
  <w:style w:type="character" w:customStyle="1" w:styleId="1f5">
    <w:name w:val="Ñ1"/>
    <w:uiPriority w:val="99"/>
    <w:rsid w:val="00811C95"/>
    <w:rPr>
      <w:b/>
      <w:bCs/>
    </w:rPr>
  </w:style>
  <w:style w:type="character" w:customStyle="1" w:styleId="affff8">
    <w:name w:val="Ê"/>
    <w:uiPriority w:val="99"/>
    <w:rsid w:val="00811C95"/>
    <w:rPr>
      <w:rFonts w:ascii="Courier New" w:hAnsi="Courier New" w:cs="Courier New"/>
      <w:sz w:val="20"/>
      <w:szCs w:val="20"/>
    </w:rPr>
  </w:style>
  <w:style w:type="paragraph" w:customStyle="1" w:styleId="affff9">
    <w:name w:val="Ô"/>
    <w:basedOn w:val="affffa"/>
    <w:uiPriority w:val="99"/>
    <w:rsid w:val="00811C95"/>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fffa">
    <w:name w:val="Î"/>
    <w:uiPriority w:val="99"/>
    <w:rsid w:val="00811C95"/>
    <w:pPr>
      <w:autoSpaceDE w:val="0"/>
      <w:autoSpaceDN w:val="0"/>
      <w:adjustRightInd w:val="0"/>
      <w:spacing w:before="100" w:after="100"/>
    </w:pPr>
    <w:rPr>
      <w:rFonts w:ascii="Times New Roman" w:hAnsi="Times New Roman"/>
      <w:sz w:val="24"/>
      <w:szCs w:val="24"/>
      <w:lang w:eastAsia="en-US"/>
    </w:rPr>
  </w:style>
  <w:style w:type="character" w:customStyle="1" w:styleId="affffb">
    <w:name w:val="Ð"/>
    <w:uiPriority w:val="99"/>
    <w:rsid w:val="00811C95"/>
    <w:rPr>
      <w:vanish/>
      <w:color w:val="FF0000"/>
    </w:rPr>
  </w:style>
  <w:style w:type="character" w:customStyle="1" w:styleId="affffc">
    <w:name w:val="Â"/>
    <w:uiPriority w:val="99"/>
    <w:rsid w:val="00811C95"/>
    <w:rPr>
      <w:i/>
      <w:iCs/>
    </w:rPr>
  </w:style>
  <w:style w:type="paragraph" w:customStyle="1" w:styleId="affffd">
    <w:name w:val="Ò"/>
    <w:basedOn w:val="affffa"/>
    <w:next w:val="affff7"/>
    <w:uiPriority w:val="99"/>
    <w:rsid w:val="00811C95"/>
    <w:pPr>
      <w:spacing w:before="0" w:after="0"/>
    </w:pPr>
  </w:style>
  <w:style w:type="character" w:customStyle="1" w:styleId="1f6">
    <w:name w:val="Î1"/>
    <w:uiPriority w:val="99"/>
    <w:rsid w:val="00811C95"/>
    <w:rPr>
      <w:i/>
      <w:iCs/>
    </w:rPr>
  </w:style>
  <w:style w:type="character" w:customStyle="1" w:styleId="affffe">
    <w:name w:val="Ó"/>
    <w:uiPriority w:val="99"/>
    <w:rsid w:val="00811C95"/>
    <w:rPr>
      <w:i/>
      <w:iCs/>
    </w:rPr>
  </w:style>
  <w:style w:type="character" w:customStyle="1" w:styleId="afffff">
    <w:name w:val="Ï"/>
    <w:uiPriority w:val="99"/>
    <w:rsid w:val="00811C95"/>
    <w:rPr>
      <w:color w:val="800080"/>
      <w:u w:val="single"/>
    </w:rPr>
  </w:style>
  <w:style w:type="character" w:customStyle="1" w:styleId="1f7">
    <w:name w:val="Ê1"/>
    <w:uiPriority w:val="99"/>
    <w:rsid w:val="00811C95"/>
    <w:rPr>
      <w:rFonts w:ascii="Courier New" w:hAnsi="Courier New" w:cs="Courier New"/>
      <w:b/>
      <w:bCs/>
      <w:sz w:val="20"/>
      <w:szCs w:val="20"/>
    </w:rPr>
  </w:style>
  <w:style w:type="character" w:customStyle="1" w:styleId="4f0">
    <w:name w:val="Ï4"/>
    <w:uiPriority w:val="99"/>
    <w:rsid w:val="00811C95"/>
    <w:rPr>
      <w:rFonts w:ascii="Courier New" w:hAnsi="Courier New" w:cs="Courier New"/>
    </w:rPr>
  </w:style>
  <w:style w:type="character" w:customStyle="1" w:styleId="3f6">
    <w:name w:val="Ï3"/>
    <w:uiPriority w:val="99"/>
    <w:rsid w:val="00811C95"/>
    <w:rPr>
      <w:rFonts w:ascii="Courier New" w:hAnsi="Courier New" w:cs="Courier New"/>
      <w:sz w:val="20"/>
      <w:szCs w:val="20"/>
    </w:rPr>
  </w:style>
  <w:style w:type="character" w:customStyle="1" w:styleId="2fa">
    <w:name w:val="Ï2"/>
    <w:uiPriority w:val="99"/>
    <w:rsid w:val="00811C95"/>
    <w:rPr>
      <w:i/>
      <w:iCs/>
    </w:rPr>
  </w:style>
  <w:style w:type="character" w:customStyle="1" w:styleId="1f8">
    <w:name w:val="Ï1"/>
    <w:uiPriority w:val="99"/>
    <w:rsid w:val="00811C95"/>
    <w:rPr>
      <w:vanish/>
    </w:rPr>
  </w:style>
  <w:style w:type="character" w:customStyle="1" w:styleId="afffff0">
    <w:name w:val="è"/>
    <w:uiPriority w:val="99"/>
    <w:rsid w:val="00811C95"/>
    <w:rPr>
      <w:color w:val="0000FF"/>
      <w:u w:val="single"/>
    </w:rPr>
  </w:style>
  <w:style w:type="paragraph" w:styleId="3f7">
    <w:name w:val="Body Text Indent 3"/>
    <w:basedOn w:val="a"/>
    <w:link w:val="3f8"/>
    <w:uiPriority w:val="99"/>
    <w:rsid w:val="00811C95"/>
    <w:pPr>
      <w:autoSpaceDE w:val="0"/>
      <w:autoSpaceDN w:val="0"/>
      <w:adjustRightInd w:val="0"/>
      <w:spacing w:after="0" w:line="240" w:lineRule="auto"/>
      <w:ind w:firstLine="709"/>
      <w:jc w:val="center"/>
    </w:pPr>
    <w:rPr>
      <w:rFonts w:ascii="Times New Roman" w:hAnsi="Times New Roman"/>
      <w:sz w:val="24"/>
      <w:szCs w:val="24"/>
    </w:rPr>
  </w:style>
  <w:style w:type="character" w:customStyle="1" w:styleId="3f8">
    <w:name w:val="Основной текст с отступом 3 Знак"/>
    <w:basedOn w:val="a0"/>
    <w:link w:val="3f7"/>
    <w:uiPriority w:val="99"/>
    <w:rsid w:val="00811C95"/>
    <w:rPr>
      <w:rFonts w:ascii="Times New Roman" w:hAnsi="Times New Roman"/>
      <w:sz w:val="24"/>
      <w:szCs w:val="24"/>
      <w:lang w:eastAsia="en-US"/>
    </w:rPr>
  </w:style>
  <w:style w:type="paragraph" w:customStyle="1" w:styleId="Pa6">
    <w:name w:val="Pa6"/>
    <w:basedOn w:val="Default"/>
    <w:next w:val="Default"/>
    <w:uiPriority w:val="99"/>
    <w:rsid w:val="00811C95"/>
    <w:pPr>
      <w:spacing w:line="241" w:lineRule="atLeast"/>
    </w:pPr>
    <w:rPr>
      <w:color w:val="auto"/>
    </w:rPr>
  </w:style>
  <w:style w:type="character" w:customStyle="1" w:styleId="A51">
    <w:name w:val="A5"/>
    <w:uiPriority w:val="99"/>
    <w:rsid w:val="00811C95"/>
    <w:rPr>
      <w:color w:val="000000"/>
      <w:sz w:val="12"/>
      <w:szCs w:val="12"/>
    </w:rPr>
  </w:style>
  <w:style w:type="paragraph" w:customStyle="1" w:styleId="1112">
    <w:name w:val="Îñíîâíîé òåêñò (11)1"/>
    <w:basedOn w:val="a"/>
    <w:uiPriority w:val="99"/>
    <w:rsid w:val="00811C95"/>
    <w:pPr>
      <w:shd w:val="clear" w:color="auto" w:fill="FFFFFF"/>
      <w:autoSpaceDE w:val="0"/>
      <w:autoSpaceDN w:val="0"/>
      <w:adjustRightInd w:val="0"/>
      <w:spacing w:after="0" w:line="240" w:lineRule="atLeast"/>
    </w:pPr>
    <w:rPr>
      <w:rFonts w:ascii="Microsoft Sans Serif" w:hAnsi="Microsoft Sans Serif" w:cs="Microsoft Sans Serif"/>
      <w:i/>
      <w:iCs/>
      <w:noProof/>
      <w:sz w:val="28"/>
      <w:szCs w:val="28"/>
      <w:lang w:val="en-US"/>
    </w:rPr>
  </w:style>
  <w:style w:type="paragraph" w:customStyle="1" w:styleId="5f">
    <w:name w:val="Îñíîâíîé òåêñò (5)"/>
    <w:basedOn w:val="a"/>
    <w:uiPriority w:val="99"/>
    <w:rsid w:val="00811C95"/>
    <w:pPr>
      <w:shd w:val="clear" w:color="auto" w:fill="FFFFFF"/>
      <w:autoSpaceDE w:val="0"/>
      <w:autoSpaceDN w:val="0"/>
      <w:adjustRightInd w:val="0"/>
      <w:spacing w:after="0" w:line="240" w:lineRule="atLeast"/>
    </w:pPr>
    <w:rPr>
      <w:rFonts w:ascii="Trebuchet MS" w:hAnsi="Trebuchet MS" w:cs="Trebuchet MS"/>
      <w:noProof/>
      <w:sz w:val="11"/>
      <w:szCs w:val="11"/>
      <w:lang w:val="en-US"/>
    </w:rPr>
  </w:style>
  <w:style w:type="character" w:customStyle="1" w:styleId="480">
    <w:name w:val="Îñíîâíîé òåêñò (4) + Íå êóðñèâ8"/>
    <w:uiPriority w:val="99"/>
    <w:rsid w:val="00811C95"/>
    <w:rPr>
      <w:rFonts w:ascii="Arial" w:hAnsi="Arial" w:cs="Arial"/>
      <w:i/>
      <w:iCs/>
      <w:sz w:val="16"/>
      <w:szCs w:val="16"/>
    </w:rPr>
  </w:style>
  <w:style w:type="paragraph" w:customStyle="1" w:styleId="4f1">
    <w:name w:val="Îñíîâíîé òåêñò (4)"/>
    <w:basedOn w:val="a"/>
    <w:uiPriority w:val="99"/>
    <w:rsid w:val="00811C95"/>
    <w:pPr>
      <w:shd w:val="clear" w:color="auto" w:fill="FFFFFF"/>
      <w:autoSpaceDE w:val="0"/>
      <w:autoSpaceDN w:val="0"/>
      <w:adjustRightInd w:val="0"/>
      <w:spacing w:after="120" w:line="191" w:lineRule="exact"/>
      <w:jc w:val="both"/>
    </w:pPr>
    <w:rPr>
      <w:rFonts w:ascii="Arial" w:hAnsi="Arial" w:cs="Arial"/>
      <w:i/>
      <w:iCs/>
      <w:noProof/>
      <w:sz w:val="16"/>
      <w:szCs w:val="16"/>
      <w:lang w:val="en-US"/>
    </w:rPr>
  </w:style>
  <w:style w:type="character" w:customStyle="1" w:styleId="7c">
    <w:name w:val="Îñíîâíîé òåêñò + Êóðñèâ7"/>
    <w:uiPriority w:val="99"/>
    <w:rsid w:val="00811C95"/>
    <w:rPr>
      <w:rFonts w:ascii="Arial" w:hAnsi="Arial" w:cs="Arial"/>
      <w:i/>
      <w:iCs/>
      <w:spacing w:val="-10"/>
      <w:sz w:val="17"/>
      <w:szCs w:val="17"/>
    </w:rPr>
  </w:style>
  <w:style w:type="character" w:customStyle="1" w:styleId="6b">
    <w:name w:val="Îñíîâíîé òåêñò + Êóðñèâ6"/>
    <w:uiPriority w:val="99"/>
    <w:rsid w:val="00811C95"/>
    <w:rPr>
      <w:rFonts w:ascii="Arial" w:hAnsi="Arial" w:cs="Arial"/>
      <w:i/>
      <w:iCs/>
      <w:spacing w:val="-10"/>
      <w:sz w:val="16"/>
      <w:szCs w:val="16"/>
    </w:rPr>
  </w:style>
  <w:style w:type="character" w:customStyle="1" w:styleId="470">
    <w:name w:val="Îñíîâíîé òåêñò (4) + Íå êóðñèâ7"/>
    <w:uiPriority w:val="99"/>
    <w:rsid w:val="00811C95"/>
    <w:rPr>
      <w:rFonts w:ascii="Arial" w:hAnsi="Arial" w:cs="Arial"/>
      <w:i/>
      <w:iCs/>
      <w:sz w:val="16"/>
      <w:szCs w:val="16"/>
    </w:rPr>
  </w:style>
  <w:style w:type="paragraph" w:customStyle="1" w:styleId="316">
    <w:name w:val="Îñíîâíîé òåêñò (31)"/>
    <w:basedOn w:val="a"/>
    <w:uiPriority w:val="99"/>
    <w:rsid w:val="00811C95"/>
    <w:pPr>
      <w:shd w:val="clear" w:color="auto" w:fill="FFFFFF"/>
      <w:autoSpaceDE w:val="0"/>
      <w:autoSpaceDN w:val="0"/>
      <w:adjustRightInd w:val="0"/>
      <w:spacing w:after="0" w:line="518" w:lineRule="exact"/>
      <w:jc w:val="both"/>
    </w:pPr>
    <w:rPr>
      <w:rFonts w:ascii="Microsoft Sans Serif" w:hAnsi="Microsoft Sans Serif" w:cs="Microsoft Sans Serif"/>
      <w:i/>
      <w:iCs/>
      <w:noProof/>
      <w:spacing w:val="10"/>
      <w:sz w:val="35"/>
      <w:szCs w:val="35"/>
      <w:lang w:val="en-US"/>
    </w:rPr>
  </w:style>
  <w:style w:type="paragraph" w:customStyle="1" w:styleId="11a">
    <w:name w:val="çàãîëîâîê 11"/>
    <w:basedOn w:val="a"/>
    <w:next w:val="a"/>
    <w:uiPriority w:val="99"/>
    <w:rsid w:val="00811C95"/>
    <w:pPr>
      <w:keepNext/>
      <w:autoSpaceDE w:val="0"/>
      <w:autoSpaceDN w:val="0"/>
      <w:adjustRightInd w:val="0"/>
      <w:spacing w:after="0" w:line="240" w:lineRule="auto"/>
      <w:jc w:val="both"/>
    </w:pPr>
    <w:rPr>
      <w:rFonts w:ascii="Times New Roman" w:hAnsi="Times New Roman"/>
      <w:b/>
      <w:bCs/>
      <w:color w:val="0000FF"/>
      <w:sz w:val="16"/>
      <w:szCs w:val="16"/>
    </w:rPr>
  </w:style>
  <w:style w:type="character" w:customStyle="1" w:styleId="afffff1">
    <w:name w:val="Îñíîâíîé òåêñò_"/>
    <w:uiPriority w:val="99"/>
    <w:rsid w:val="00811C95"/>
    <w:rPr>
      <w:rFonts w:ascii="Microsoft Sans Serif" w:hAnsi="Microsoft Sans Serif" w:cs="Microsoft Sans Serif"/>
      <w:spacing w:val="-10"/>
      <w:sz w:val="29"/>
      <w:szCs w:val="29"/>
    </w:rPr>
  </w:style>
  <w:style w:type="character" w:customStyle="1" w:styleId="324">
    <w:name w:val="Îñíîâíîé òåêñò (32)_"/>
    <w:uiPriority w:val="99"/>
    <w:rsid w:val="00811C95"/>
    <w:rPr>
      <w:rFonts w:ascii="Arial Narrow" w:hAnsi="Arial Narrow" w:cs="Arial Narrow"/>
      <w:b/>
      <w:bCs/>
      <w:spacing w:val="-20"/>
      <w:sz w:val="67"/>
      <w:szCs w:val="67"/>
    </w:rPr>
  </w:style>
  <w:style w:type="character" w:customStyle="1" w:styleId="292">
    <w:name w:val="Îñíîâíîé òåêñò (29)_"/>
    <w:uiPriority w:val="99"/>
    <w:rsid w:val="00811C95"/>
    <w:rPr>
      <w:rFonts w:ascii="Arial Narrow" w:hAnsi="Arial Narrow" w:cs="Arial Narrow"/>
      <w:i/>
      <w:iCs/>
      <w:sz w:val="15"/>
      <w:szCs w:val="15"/>
    </w:rPr>
  </w:style>
  <w:style w:type="character" w:customStyle="1" w:styleId="317">
    <w:name w:val="Îñíîâíîé òåêñò (31)_"/>
    <w:uiPriority w:val="99"/>
    <w:rsid w:val="00811C95"/>
    <w:rPr>
      <w:rFonts w:ascii="Microsoft Sans Serif" w:hAnsi="Microsoft Sans Serif" w:cs="Microsoft Sans Serif"/>
      <w:i/>
      <w:iCs/>
      <w:spacing w:val="10"/>
      <w:sz w:val="35"/>
      <w:szCs w:val="35"/>
    </w:rPr>
  </w:style>
  <w:style w:type="character" w:customStyle="1" w:styleId="304">
    <w:name w:val="Îñíîâíîé òåêñò (30)_"/>
    <w:uiPriority w:val="99"/>
    <w:rsid w:val="00811C95"/>
    <w:rPr>
      <w:rFonts w:ascii="Arial" w:hAnsi="Arial" w:cs="Arial"/>
      <w:i/>
      <w:iCs/>
      <w:sz w:val="11"/>
      <w:szCs w:val="11"/>
    </w:rPr>
  </w:style>
  <w:style w:type="paragraph" w:customStyle="1" w:styleId="325">
    <w:name w:val="Îñíîâíîé òåêñò (32)"/>
    <w:basedOn w:val="a"/>
    <w:uiPriority w:val="99"/>
    <w:rsid w:val="00811C95"/>
    <w:pPr>
      <w:shd w:val="clear" w:color="auto" w:fill="FFFFFF"/>
      <w:autoSpaceDE w:val="0"/>
      <w:autoSpaceDN w:val="0"/>
      <w:adjustRightInd w:val="0"/>
      <w:spacing w:after="240" w:line="240" w:lineRule="atLeast"/>
    </w:pPr>
    <w:rPr>
      <w:rFonts w:ascii="Arial Narrow" w:hAnsi="Arial Narrow" w:cs="Arial Narrow"/>
      <w:b/>
      <w:bCs/>
      <w:noProof/>
      <w:spacing w:val="-20"/>
      <w:sz w:val="67"/>
      <w:szCs w:val="67"/>
      <w:lang w:val="en-US"/>
    </w:rPr>
  </w:style>
  <w:style w:type="paragraph" w:customStyle="1" w:styleId="293">
    <w:name w:val="Îñíîâíîé òåêñò (29)"/>
    <w:basedOn w:val="a"/>
    <w:uiPriority w:val="99"/>
    <w:rsid w:val="00811C95"/>
    <w:pPr>
      <w:shd w:val="clear" w:color="auto" w:fill="FFFFFF"/>
      <w:autoSpaceDE w:val="0"/>
      <w:autoSpaceDN w:val="0"/>
      <w:adjustRightInd w:val="0"/>
      <w:spacing w:after="0" w:line="240" w:lineRule="atLeast"/>
      <w:jc w:val="both"/>
    </w:pPr>
    <w:rPr>
      <w:rFonts w:ascii="Arial Narrow" w:hAnsi="Arial Narrow" w:cs="Arial Narrow"/>
      <w:i/>
      <w:iCs/>
      <w:noProof/>
      <w:sz w:val="15"/>
      <w:szCs w:val="15"/>
      <w:lang w:val="en-US"/>
    </w:rPr>
  </w:style>
  <w:style w:type="paragraph" w:customStyle="1" w:styleId="305">
    <w:name w:val="Îñíîâíîé òåêñò (30)"/>
    <w:basedOn w:val="a"/>
    <w:uiPriority w:val="99"/>
    <w:rsid w:val="00811C95"/>
    <w:pPr>
      <w:shd w:val="clear" w:color="auto" w:fill="FFFFFF"/>
      <w:autoSpaceDE w:val="0"/>
      <w:autoSpaceDN w:val="0"/>
      <w:adjustRightInd w:val="0"/>
      <w:spacing w:after="0" w:line="240" w:lineRule="atLeast"/>
      <w:jc w:val="both"/>
    </w:pPr>
    <w:rPr>
      <w:rFonts w:ascii="Arial" w:hAnsi="Arial" w:cs="Arial"/>
      <w:i/>
      <w:iCs/>
      <w:noProof/>
      <w:sz w:val="11"/>
      <w:szCs w:val="11"/>
      <w:lang w:val="en-US"/>
    </w:rPr>
  </w:style>
  <w:style w:type="character" w:customStyle="1" w:styleId="11b">
    <w:name w:val="Îñíîâíîé òåêñò (11)"/>
    <w:uiPriority w:val="99"/>
    <w:rsid w:val="00811C95"/>
    <w:rPr>
      <w:rFonts w:ascii="Microsoft Sans Serif" w:hAnsi="Microsoft Sans Serif" w:cs="Microsoft Sans Serif"/>
      <w:i/>
      <w:iCs/>
      <w:sz w:val="28"/>
      <w:szCs w:val="28"/>
      <w:u w:val="single"/>
    </w:rPr>
  </w:style>
  <w:style w:type="character" w:customStyle="1" w:styleId="11c">
    <w:name w:val="Îñíîâíîé òåêñò (11)_"/>
    <w:uiPriority w:val="99"/>
    <w:rsid w:val="00811C95"/>
    <w:rPr>
      <w:rFonts w:ascii="Microsoft Sans Serif" w:hAnsi="Microsoft Sans Serif" w:cs="Microsoft Sans Serif"/>
      <w:i/>
      <w:iCs/>
      <w:sz w:val="28"/>
      <w:szCs w:val="28"/>
    </w:rPr>
  </w:style>
  <w:style w:type="character" w:customStyle="1" w:styleId="111475pt42210pt56">
    <w:name w:val="Îñíîâíîé òåêñò (11) + 147.5 pt42.Íå êóðñèâ21.Èíòåðâàë 0 pt56"/>
    <w:uiPriority w:val="99"/>
    <w:rsid w:val="00811C95"/>
    <w:rPr>
      <w:rFonts w:ascii="Microsoft Sans Serif" w:hAnsi="Microsoft Sans Serif" w:cs="Microsoft Sans Serif"/>
      <w:i/>
      <w:iCs/>
      <w:spacing w:val="-10"/>
      <w:sz w:val="29"/>
      <w:szCs w:val="29"/>
    </w:rPr>
  </w:style>
  <w:style w:type="character" w:customStyle="1" w:styleId="14pt11260pt55">
    <w:name w:val="Îñíîâíîé òåêñò + 14 pt11.Êóðñèâ26.Èíòåðâàë 0 pt55"/>
    <w:uiPriority w:val="99"/>
    <w:rsid w:val="00811C95"/>
    <w:rPr>
      <w:rFonts w:ascii="Microsoft Sans Serif" w:hAnsi="Microsoft Sans Serif" w:cs="Microsoft Sans Serif"/>
      <w:i/>
      <w:iCs/>
      <w:spacing w:val="0"/>
      <w:sz w:val="28"/>
      <w:szCs w:val="28"/>
    </w:rPr>
  </w:style>
  <w:style w:type="character" w:customStyle="1" w:styleId="111465pt41200pt54">
    <w:name w:val="Îñíîâíîé òåêñò (11) + 146.5 pt41.Íå êóðñèâ20.Èíòåðâàë 0 pt54"/>
    <w:uiPriority w:val="99"/>
    <w:rsid w:val="00811C95"/>
    <w:rPr>
      <w:rFonts w:ascii="Microsoft Sans Serif" w:hAnsi="Microsoft Sans Serif" w:cs="Microsoft Sans Serif"/>
      <w:i/>
      <w:iCs/>
      <w:spacing w:val="-10"/>
      <w:sz w:val="29"/>
      <w:szCs w:val="29"/>
    </w:rPr>
  </w:style>
  <w:style w:type="character" w:customStyle="1" w:styleId="111455pt40190pt53">
    <w:name w:val="Îñíîâíîé òåêñò (11) + 145.5 pt40.Íå êóðñèâ19.Èíòåðâàë 0 pt53"/>
    <w:uiPriority w:val="99"/>
    <w:rsid w:val="00811C95"/>
    <w:rPr>
      <w:rFonts w:ascii="Microsoft Sans Serif" w:hAnsi="Microsoft Sans Serif" w:cs="Microsoft Sans Serif"/>
      <w:i/>
      <w:iCs/>
      <w:spacing w:val="-10"/>
      <w:sz w:val="29"/>
      <w:szCs w:val="29"/>
    </w:rPr>
  </w:style>
  <w:style w:type="character" w:customStyle="1" w:styleId="11110">
    <w:name w:val="Îñíîâíîé òåêñò (11)11"/>
    <w:uiPriority w:val="99"/>
    <w:rsid w:val="00811C95"/>
    <w:rPr>
      <w:rFonts w:ascii="Microsoft Sans Serif" w:hAnsi="Microsoft Sans Serif" w:cs="Microsoft Sans Serif"/>
      <w:i/>
      <w:iCs/>
      <w:sz w:val="28"/>
      <w:szCs w:val="28"/>
      <w:u w:val="single"/>
    </w:rPr>
  </w:style>
  <w:style w:type="character" w:customStyle="1" w:styleId="11SimHei1465pt39180pt52">
    <w:name w:val="Îñíîâíîé òåêñò (11) + SimHei.146.5 pt39.Íå êóðñèâ18.Èíòåðâàë 0 pt52"/>
    <w:uiPriority w:val="99"/>
    <w:rsid w:val="00811C95"/>
    <w:rPr>
      <w:rFonts w:ascii="SimHei" w:eastAsia="SimHei" w:hAnsi="Microsoft Sans Serif" w:cs="SimHei"/>
      <w:i/>
      <w:iCs/>
      <w:spacing w:val="-10"/>
      <w:sz w:val="29"/>
      <w:szCs w:val="29"/>
    </w:rPr>
  </w:style>
  <w:style w:type="character" w:customStyle="1" w:styleId="111435pt36120pt48">
    <w:name w:val="Îñíîâíîé òåêñò (11) + 143.5 pt36.Íå êóðñèâ12.Èíòåðâàë 0 pt48"/>
    <w:uiPriority w:val="99"/>
    <w:rsid w:val="00811C95"/>
    <w:rPr>
      <w:rFonts w:ascii="Microsoft Sans Serif" w:hAnsi="Microsoft Sans Serif" w:cs="Microsoft Sans Serif"/>
      <w:i/>
      <w:iCs/>
      <w:spacing w:val="-10"/>
      <w:sz w:val="29"/>
      <w:szCs w:val="29"/>
    </w:rPr>
  </w:style>
  <w:style w:type="character" w:customStyle="1" w:styleId="11SimHei21455pt35110pt47">
    <w:name w:val="Îñíîâíîé òåêñò (11) + SimHei2.145.5 pt35.Íå êóðñèâ11.Èíòåðâàë 0 pt47"/>
    <w:uiPriority w:val="99"/>
    <w:rsid w:val="00811C95"/>
    <w:rPr>
      <w:rFonts w:ascii="SimHei" w:eastAsia="SimHei" w:hAnsi="Microsoft Sans Serif" w:cs="SimHei"/>
      <w:i/>
      <w:iCs/>
      <w:spacing w:val="-10"/>
      <w:sz w:val="29"/>
      <w:szCs w:val="29"/>
    </w:rPr>
  </w:style>
  <w:style w:type="character" w:customStyle="1" w:styleId="14pt10240pt46">
    <w:name w:val="Îñíîâíîé òåêñò + 14 pt10.Êóðñèâ24.Èíòåðâàë 0 pt46"/>
    <w:uiPriority w:val="99"/>
    <w:rsid w:val="00811C95"/>
    <w:rPr>
      <w:rFonts w:ascii="Microsoft Sans Serif" w:hAnsi="Microsoft Sans Serif" w:cs="Microsoft Sans Serif"/>
      <w:i/>
      <w:iCs/>
      <w:spacing w:val="0"/>
      <w:sz w:val="28"/>
      <w:szCs w:val="28"/>
    </w:rPr>
  </w:style>
  <w:style w:type="character" w:customStyle="1" w:styleId="111425pt34100pt45">
    <w:name w:val="Îñíîâíîé òåêñò (11) + 142.5 pt34.Íå êóðñèâ10.Èíòåðâàë 0 pt45"/>
    <w:uiPriority w:val="99"/>
    <w:rsid w:val="00811C95"/>
    <w:rPr>
      <w:rFonts w:ascii="Microsoft Sans Serif" w:hAnsi="Microsoft Sans Serif" w:cs="Microsoft Sans Serif"/>
      <w:i/>
      <w:iCs/>
      <w:spacing w:val="-10"/>
      <w:sz w:val="29"/>
      <w:szCs w:val="29"/>
    </w:rPr>
  </w:style>
  <w:style w:type="character" w:customStyle="1" w:styleId="114pt4">
    <w:name w:val="Îñíîâíîé òåêñò (11) + Èíòåðâàë 4 pt4"/>
    <w:uiPriority w:val="99"/>
    <w:rsid w:val="00811C95"/>
    <w:rPr>
      <w:rFonts w:ascii="Microsoft Sans Serif" w:hAnsi="Microsoft Sans Serif" w:cs="Microsoft Sans Serif"/>
      <w:i/>
      <w:iCs/>
      <w:spacing w:val="80"/>
      <w:sz w:val="28"/>
      <w:szCs w:val="28"/>
    </w:rPr>
  </w:style>
  <w:style w:type="character" w:customStyle="1" w:styleId="1180">
    <w:name w:val="Îñíîâíîé òåêñò (11)8"/>
    <w:uiPriority w:val="99"/>
    <w:rsid w:val="00811C95"/>
    <w:rPr>
      <w:rFonts w:ascii="Microsoft Sans Serif" w:hAnsi="Microsoft Sans Serif" w:cs="Microsoft Sans Serif"/>
      <w:i/>
      <w:iCs/>
      <w:sz w:val="28"/>
      <w:szCs w:val="28"/>
    </w:rPr>
  </w:style>
  <w:style w:type="character" w:customStyle="1" w:styleId="114pt3">
    <w:name w:val="Îñíîâíîé òåêñò (11) + Èíòåðâàë 4 pt3"/>
    <w:uiPriority w:val="99"/>
    <w:rsid w:val="00811C95"/>
    <w:rPr>
      <w:rFonts w:ascii="Microsoft Sans Serif" w:hAnsi="Microsoft Sans Serif" w:cs="Microsoft Sans Serif"/>
      <w:i/>
      <w:iCs/>
      <w:spacing w:val="80"/>
      <w:sz w:val="28"/>
      <w:szCs w:val="28"/>
    </w:rPr>
  </w:style>
  <w:style w:type="character" w:customStyle="1" w:styleId="1170">
    <w:name w:val="Îñíîâíîé òåêñò (11)7"/>
    <w:uiPriority w:val="99"/>
    <w:rsid w:val="00811C95"/>
    <w:rPr>
      <w:rFonts w:ascii="Microsoft Sans Serif" w:hAnsi="Microsoft Sans Serif" w:cs="Microsoft Sans Serif"/>
      <w:i/>
      <w:iCs/>
      <w:sz w:val="28"/>
      <w:szCs w:val="28"/>
      <w:u w:val="single"/>
    </w:rPr>
  </w:style>
  <w:style w:type="character" w:customStyle="1" w:styleId="111pt7">
    <w:name w:val="Îñíîâíîé òåêñò (11) + Èíòåðâàë 1 pt7"/>
    <w:uiPriority w:val="99"/>
    <w:rsid w:val="00811C95"/>
    <w:rPr>
      <w:rFonts w:ascii="Microsoft Sans Serif" w:hAnsi="Microsoft Sans Serif" w:cs="Microsoft Sans Serif"/>
      <w:i/>
      <w:iCs/>
      <w:spacing w:val="30"/>
      <w:sz w:val="28"/>
      <w:szCs w:val="28"/>
    </w:rPr>
  </w:style>
  <w:style w:type="character" w:customStyle="1" w:styleId="1160">
    <w:name w:val="Îñíîâíîé òåêñò (11)6"/>
    <w:uiPriority w:val="99"/>
    <w:rsid w:val="00811C95"/>
    <w:rPr>
      <w:rFonts w:ascii="Microsoft Sans Serif" w:hAnsi="Microsoft Sans Serif" w:cs="Microsoft Sans Serif"/>
      <w:i/>
      <w:iCs/>
      <w:sz w:val="28"/>
      <w:szCs w:val="28"/>
      <w:u w:val="single"/>
    </w:rPr>
  </w:style>
  <w:style w:type="character" w:customStyle="1" w:styleId="1150">
    <w:name w:val="Îñíîâíîé òåêñò (11)5"/>
    <w:uiPriority w:val="99"/>
    <w:rsid w:val="00811C95"/>
    <w:rPr>
      <w:rFonts w:ascii="Microsoft Sans Serif" w:hAnsi="Microsoft Sans Serif" w:cs="Microsoft Sans Serif"/>
      <w:i/>
      <w:iCs/>
      <w:sz w:val="28"/>
      <w:szCs w:val="28"/>
    </w:rPr>
  </w:style>
  <w:style w:type="character" w:customStyle="1" w:styleId="114pt2">
    <w:name w:val="Îñíîâíîé òåêñò (11) + Èíòåðâàë 4 pt2"/>
    <w:uiPriority w:val="99"/>
    <w:rsid w:val="00811C95"/>
    <w:rPr>
      <w:rFonts w:ascii="Microsoft Sans Serif" w:hAnsi="Microsoft Sans Serif" w:cs="Microsoft Sans Serif"/>
      <w:i/>
      <w:iCs/>
      <w:spacing w:val="80"/>
      <w:sz w:val="28"/>
      <w:szCs w:val="28"/>
    </w:rPr>
  </w:style>
  <w:style w:type="character" w:customStyle="1" w:styleId="111pt6">
    <w:name w:val="Îñíîâíîé òåêñò (11) + Èíòåðâàë 1 pt6"/>
    <w:uiPriority w:val="99"/>
    <w:rsid w:val="00811C95"/>
    <w:rPr>
      <w:rFonts w:ascii="Microsoft Sans Serif" w:hAnsi="Microsoft Sans Serif" w:cs="Microsoft Sans Serif"/>
      <w:i/>
      <w:iCs/>
      <w:spacing w:val="30"/>
      <w:sz w:val="28"/>
      <w:szCs w:val="28"/>
    </w:rPr>
  </w:style>
  <w:style w:type="character" w:customStyle="1" w:styleId="111pt5">
    <w:name w:val="Îñíîâíîé òåêñò (11) + Èíòåðâàë 1 pt5"/>
    <w:uiPriority w:val="99"/>
    <w:rsid w:val="00811C95"/>
    <w:rPr>
      <w:rFonts w:ascii="Microsoft Sans Serif" w:hAnsi="Microsoft Sans Serif" w:cs="Microsoft Sans Serif"/>
      <w:i/>
      <w:iCs/>
      <w:spacing w:val="30"/>
      <w:sz w:val="28"/>
      <w:szCs w:val="28"/>
    </w:rPr>
  </w:style>
  <w:style w:type="character" w:customStyle="1" w:styleId="14pt9230pt44">
    <w:name w:val="Îñíîâíîé òåêñò + 14 pt9.Êóðñèâ23.Èíòåðâàë 0 pt44"/>
    <w:uiPriority w:val="99"/>
    <w:rsid w:val="00811C95"/>
    <w:rPr>
      <w:rFonts w:ascii="Microsoft Sans Serif" w:hAnsi="Microsoft Sans Serif" w:cs="Microsoft Sans Serif"/>
      <w:i/>
      <w:iCs/>
      <w:spacing w:val="0"/>
      <w:sz w:val="28"/>
      <w:szCs w:val="28"/>
    </w:rPr>
  </w:style>
  <w:style w:type="character" w:customStyle="1" w:styleId="114pt1">
    <w:name w:val="Îñíîâíîé òåêñò (11) + Èíòåðâàë 4 pt1"/>
    <w:uiPriority w:val="99"/>
    <w:rsid w:val="00811C95"/>
    <w:rPr>
      <w:rFonts w:ascii="Microsoft Sans Serif" w:hAnsi="Microsoft Sans Serif" w:cs="Microsoft Sans Serif"/>
      <w:i/>
      <w:iCs/>
      <w:spacing w:val="80"/>
      <w:sz w:val="28"/>
      <w:szCs w:val="28"/>
    </w:rPr>
  </w:style>
  <w:style w:type="character" w:customStyle="1" w:styleId="111pt4">
    <w:name w:val="Îñíîâíîé òåêñò (11) + Èíòåðâàë 1 pt4"/>
    <w:uiPriority w:val="99"/>
    <w:rsid w:val="00811C95"/>
    <w:rPr>
      <w:rFonts w:ascii="Microsoft Sans Serif" w:hAnsi="Microsoft Sans Serif" w:cs="Microsoft Sans Serif"/>
      <w:i/>
      <w:iCs/>
      <w:spacing w:val="30"/>
      <w:sz w:val="28"/>
      <w:szCs w:val="28"/>
    </w:rPr>
  </w:style>
  <w:style w:type="character" w:customStyle="1" w:styleId="1140">
    <w:name w:val="Îñíîâíîé òåêñò (11)4"/>
    <w:uiPriority w:val="99"/>
    <w:rsid w:val="00811C95"/>
    <w:rPr>
      <w:rFonts w:ascii="Microsoft Sans Serif" w:hAnsi="Microsoft Sans Serif" w:cs="Microsoft Sans Serif"/>
      <w:i/>
      <w:iCs/>
      <w:sz w:val="28"/>
      <w:szCs w:val="28"/>
    </w:rPr>
  </w:style>
  <w:style w:type="character" w:customStyle="1" w:styleId="111pt3">
    <w:name w:val="Îñíîâíîé òåêñò (11) + Èíòåðâàë 1 pt3"/>
    <w:uiPriority w:val="99"/>
    <w:rsid w:val="00811C95"/>
    <w:rPr>
      <w:rFonts w:ascii="Microsoft Sans Serif" w:hAnsi="Microsoft Sans Serif" w:cs="Microsoft Sans Serif"/>
      <w:i/>
      <w:iCs/>
      <w:spacing w:val="30"/>
      <w:sz w:val="28"/>
      <w:szCs w:val="28"/>
    </w:rPr>
  </w:style>
  <w:style w:type="character" w:customStyle="1" w:styleId="11SimHei1175pt339-2pt">
    <w:name w:val="Îñíîâíîé òåêñò (11) + SimHei1.17.5 pt33.Íå êóðñèâ9.Èíòåðâàë -2 pt"/>
    <w:uiPriority w:val="99"/>
    <w:rsid w:val="00811C95"/>
    <w:rPr>
      <w:rFonts w:ascii="SimHei" w:eastAsia="SimHei" w:hAnsi="Microsoft Sans Serif" w:cs="SimHei"/>
      <w:i/>
      <w:iCs/>
      <w:spacing w:val="-40"/>
      <w:sz w:val="35"/>
      <w:szCs w:val="35"/>
    </w:rPr>
  </w:style>
  <w:style w:type="character" w:customStyle="1" w:styleId="111415pt3180pt43">
    <w:name w:val="Îñíîâíîé òåêñò (11) + 141.5 pt31.Íå êóðñèâ8.Èíòåðâàë 0 pt43"/>
    <w:uiPriority w:val="99"/>
    <w:rsid w:val="00811C95"/>
    <w:rPr>
      <w:rFonts w:ascii="Microsoft Sans Serif" w:hAnsi="Microsoft Sans Serif" w:cs="Microsoft Sans Serif"/>
      <w:i/>
      <w:iCs/>
      <w:spacing w:val="-10"/>
      <w:sz w:val="29"/>
      <w:szCs w:val="29"/>
    </w:rPr>
  </w:style>
  <w:style w:type="character" w:customStyle="1" w:styleId="1130">
    <w:name w:val="Îñíîâíîé òåêñò (11)3"/>
    <w:uiPriority w:val="99"/>
    <w:rsid w:val="00811C95"/>
    <w:rPr>
      <w:rFonts w:ascii="Microsoft Sans Serif" w:hAnsi="Microsoft Sans Serif" w:cs="Microsoft Sans Serif"/>
      <w:i/>
      <w:iCs/>
      <w:sz w:val="28"/>
      <w:szCs w:val="28"/>
    </w:rPr>
  </w:style>
  <w:style w:type="character" w:customStyle="1" w:styleId="320pt">
    <w:name w:val="Îñíîâíîé òåêñò (32) + Èíòåðâàë 0 pt"/>
    <w:uiPriority w:val="99"/>
    <w:rsid w:val="00811C95"/>
    <w:rPr>
      <w:rFonts w:ascii="Arial Narrow" w:hAnsi="Arial Narrow" w:cs="Arial Narrow"/>
      <w:b/>
      <w:bCs/>
      <w:spacing w:val="0"/>
      <w:sz w:val="67"/>
      <w:szCs w:val="67"/>
    </w:rPr>
  </w:style>
  <w:style w:type="character" w:customStyle="1" w:styleId="1425pt220pt33">
    <w:name w:val="Çàãîëîâîê ¹1 + 42.5 pt22.Èíòåðâàë 0 pt33"/>
    <w:uiPriority w:val="99"/>
    <w:rsid w:val="00811C95"/>
    <w:rPr>
      <w:rFonts w:ascii="Arial Narrow" w:hAnsi="Arial Narrow" w:cs="Arial Narrow"/>
      <w:b/>
      <w:bCs/>
      <w:spacing w:val="0"/>
      <w:sz w:val="85"/>
      <w:szCs w:val="85"/>
    </w:rPr>
  </w:style>
  <w:style w:type="character" w:customStyle="1" w:styleId="1f9">
    <w:name w:val="Çàãîëîâîê ¹1_"/>
    <w:uiPriority w:val="99"/>
    <w:rsid w:val="00811C95"/>
    <w:rPr>
      <w:rFonts w:ascii="Arial Narrow" w:hAnsi="Arial Narrow" w:cs="Arial Narrow"/>
      <w:b/>
      <w:bCs/>
      <w:spacing w:val="-10"/>
      <w:sz w:val="104"/>
      <w:szCs w:val="104"/>
    </w:rPr>
  </w:style>
  <w:style w:type="character" w:customStyle="1" w:styleId="14pt7110pt32">
    <w:name w:val="Îñíîâíîé òåêñò + 14 pt7.Êóðñèâ11.Èíòåðâàë 0 pt32"/>
    <w:uiPriority w:val="99"/>
    <w:rsid w:val="00811C95"/>
    <w:rPr>
      <w:rFonts w:ascii="Microsoft Sans Serif" w:hAnsi="Microsoft Sans Serif" w:cs="Microsoft Sans Serif"/>
      <w:i/>
      <w:iCs/>
      <w:spacing w:val="0"/>
      <w:sz w:val="28"/>
      <w:szCs w:val="28"/>
    </w:rPr>
  </w:style>
  <w:style w:type="character" w:customStyle="1" w:styleId="14pt6101pt4">
    <w:name w:val="Îñíîâíîé òåêñò + 14 pt6.Êóðñèâ10.Èíòåðâàë 1 pt4"/>
    <w:uiPriority w:val="99"/>
    <w:rsid w:val="00811C95"/>
    <w:rPr>
      <w:rFonts w:ascii="Microsoft Sans Serif" w:hAnsi="Microsoft Sans Serif" w:cs="Microsoft Sans Serif"/>
      <w:i/>
      <w:iCs/>
      <w:spacing w:val="30"/>
      <w:sz w:val="28"/>
      <w:szCs w:val="28"/>
    </w:rPr>
  </w:style>
  <w:style w:type="character" w:customStyle="1" w:styleId="16pt-1pt4">
    <w:name w:val="Îñíîâíîé òåêñò + 16 pt.Èíòåðâàë -1 pt4"/>
    <w:uiPriority w:val="99"/>
    <w:rsid w:val="00811C95"/>
    <w:rPr>
      <w:rFonts w:ascii="Microsoft Sans Serif" w:hAnsi="Microsoft Sans Serif" w:cs="Microsoft Sans Serif"/>
      <w:spacing w:val="-20"/>
      <w:sz w:val="32"/>
      <w:szCs w:val="32"/>
    </w:rPr>
  </w:style>
  <w:style w:type="character" w:customStyle="1" w:styleId="14pt590pt31">
    <w:name w:val="Îñíîâíîé òåêñò + 14 pt5.Êóðñèâ9.Èíòåðâàë 0 pt31"/>
    <w:uiPriority w:val="99"/>
    <w:rsid w:val="00811C95"/>
    <w:rPr>
      <w:rFonts w:ascii="Microsoft Sans Serif" w:hAnsi="Microsoft Sans Serif" w:cs="Microsoft Sans Serif"/>
      <w:i/>
      <w:iCs/>
      <w:spacing w:val="0"/>
      <w:sz w:val="28"/>
      <w:szCs w:val="28"/>
    </w:rPr>
  </w:style>
  <w:style w:type="character" w:customStyle="1" w:styleId="145">
    <w:name w:val="Îñíîâíîé òåêñò (14)_"/>
    <w:uiPriority w:val="99"/>
    <w:rsid w:val="00811C95"/>
    <w:rPr>
      <w:rFonts w:ascii="Franklin Gothic Demi" w:hAnsi="Franklin Gothic Demi" w:cs="Franklin Gothic Demi"/>
      <w:sz w:val="26"/>
      <w:szCs w:val="26"/>
    </w:rPr>
  </w:style>
  <w:style w:type="character" w:customStyle="1" w:styleId="111pt2">
    <w:name w:val="Îñíîâíîé òåêñò (11) + Èíòåðâàë 1 pt2"/>
    <w:uiPriority w:val="99"/>
    <w:rsid w:val="00811C95"/>
    <w:rPr>
      <w:rFonts w:ascii="Microsoft Sans Serif" w:hAnsi="Microsoft Sans Serif" w:cs="Microsoft Sans Serif"/>
      <w:i/>
      <w:iCs/>
      <w:spacing w:val="30"/>
      <w:sz w:val="28"/>
      <w:szCs w:val="28"/>
    </w:rPr>
  </w:style>
  <w:style w:type="character" w:customStyle="1" w:styleId="1120">
    <w:name w:val="Îñíîâíîé òåêñò (11)2"/>
    <w:uiPriority w:val="99"/>
    <w:rsid w:val="00811C95"/>
    <w:rPr>
      <w:rFonts w:ascii="Microsoft Sans Serif" w:hAnsi="Microsoft Sans Serif" w:cs="Microsoft Sans Serif"/>
      <w:i/>
      <w:iCs/>
      <w:spacing w:val="0"/>
      <w:sz w:val="28"/>
      <w:szCs w:val="28"/>
    </w:rPr>
  </w:style>
  <w:style w:type="character" w:customStyle="1" w:styleId="15pt880pt30">
    <w:name w:val="Îñíîâíîé òåêñò + 15 pt.Ïîëóæèðíûé8.Êóðñèâ8.Èíòåðâàë 0 pt30"/>
    <w:uiPriority w:val="99"/>
    <w:rsid w:val="00811C95"/>
    <w:rPr>
      <w:rFonts w:ascii="Microsoft Sans Serif" w:hAnsi="Microsoft Sans Serif" w:cs="Microsoft Sans Serif"/>
      <w:b/>
      <w:bCs/>
      <w:i/>
      <w:iCs/>
      <w:spacing w:val="10"/>
      <w:sz w:val="30"/>
      <w:szCs w:val="30"/>
    </w:rPr>
  </w:style>
  <w:style w:type="character" w:customStyle="1" w:styleId="15pt2771pt3">
    <w:name w:val="Îñíîâíîé òåêñò + 15 pt2.Ïîëóæèðíûé7.Êóðñèâ7.Èíòåðâàë 1 pt3"/>
    <w:uiPriority w:val="99"/>
    <w:rsid w:val="00811C95"/>
    <w:rPr>
      <w:rFonts w:ascii="Microsoft Sans Serif" w:hAnsi="Microsoft Sans Serif" w:cs="Microsoft Sans Serif"/>
      <w:b/>
      <w:bCs/>
      <w:i/>
      <w:iCs/>
      <w:spacing w:val="30"/>
      <w:sz w:val="30"/>
      <w:szCs w:val="30"/>
    </w:rPr>
  </w:style>
  <w:style w:type="character" w:customStyle="1" w:styleId="14pt460pt29">
    <w:name w:val="Îñíîâíîé òåêñò + 14 pt4.Êóðñèâ6.Èíòåðâàë 0 pt29"/>
    <w:uiPriority w:val="99"/>
    <w:rsid w:val="00811C95"/>
    <w:rPr>
      <w:rFonts w:ascii="Microsoft Sans Serif" w:hAnsi="Microsoft Sans Serif" w:cs="Microsoft Sans Serif"/>
      <w:i/>
      <w:iCs/>
      <w:spacing w:val="0"/>
      <w:sz w:val="28"/>
      <w:szCs w:val="28"/>
    </w:rPr>
  </w:style>
  <w:style w:type="character" w:customStyle="1" w:styleId="0pt18">
    <w:name w:val="Îñíîâíîé òåêñò + Êóðñèâ.Èíòåðâàë 0 pt18"/>
    <w:uiPriority w:val="99"/>
    <w:rsid w:val="00811C95"/>
    <w:rPr>
      <w:rFonts w:ascii="Arial" w:hAnsi="Arial" w:cs="Arial"/>
      <w:i/>
      <w:iCs/>
      <w:spacing w:val="-10"/>
      <w:sz w:val="16"/>
      <w:szCs w:val="16"/>
    </w:rPr>
  </w:style>
  <w:style w:type="character" w:customStyle="1" w:styleId="2fb">
    <w:name w:val="Ïîäïèñü ê òàáëèöå (2)"/>
    <w:uiPriority w:val="99"/>
    <w:rsid w:val="00811C95"/>
    <w:rPr>
      <w:rFonts w:ascii="Arial" w:hAnsi="Arial" w:cs="Arial"/>
      <w:sz w:val="14"/>
      <w:szCs w:val="14"/>
      <w:u w:val="single"/>
    </w:rPr>
  </w:style>
  <w:style w:type="character" w:customStyle="1" w:styleId="2fc">
    <w:name w:val="Ïîäïèñü ê òàáëèöå (2)_"/>
    <w:uiPriority w:val="99"/>
    <w:rsid w:val="00811C95"/>
    <w:rPr>
      <w:rFonts w:ascii="Arial" w:hAnsi="Arial" w:cs="Arial"/>
      <w:sz w:val="14"/>
      <w:szCs w:val="14"/>
    </w:rPr>
  </w:style>
  <w:style w:type="character" w:customStyle="1" w:styleId="710">
    <w:name w:val="Îñíîâíîé òåêñò (7)10"/>
    <w:uiPriority w:val="99"/>
    <w:rsid w:val="00811C95"/>
    <w:rPr>
      <w:rFonts w:ascii="Arial" w:hAnsi="Arial" w:cs="Arial"/>
      <w:i/>
      <w:iCs/>
      <w:spacing w:val="-10"/>
      <w:sz w:val="16"/>
      <w:szCs w:val="16"/>
      <w:u w:val="single"/>
    </w:rPr>
  </w:style>
  <w:style w:type="character" w:customStyle="1" w:styleId="7d">
    <w:name w:val="Îñíîâíîé òåêñò (7)_"/>
    <w:uiPriority w:val="99"/>
    <w:rsid w:val="00811C95"/>
    <w:rPr>
      <w:rFonts w:ascii="Arial" w:hAnsi="Arial" w:cs="Arial"/>
      <w:i/>
      <w:iCs/>
      <w:spacing w:val="-10"/>
      <w:sz w:val="16"/>
      <w:szCs w:val="16"/>
    </w:rPr>
  </w:style>
  <w:style w:type="character" w:customStyle="1" w:styleId="15ArialNarrow18">
    <w:name w:val="Îñíîâíîé òåêñò (15) + Arial Narrow.Êóðñèâ18"/>
    <w:uiPriority w:val="99"/>
    <w:rsid w:val="00811C95"/>
    <w:rPr>
      <w:rFonts w:ascii="Arial Narrow" w:hAnsi="Arial Narrow" w:cs="Arial Narrow"/>
      <w:i/>
      <w:iCs/>
      <w:spacing w:val="0"/>
      <w:sz w:val="15"/>
      <w:szCs w:val="15"/>
    </w:rPr>
  </w:style>
  <w:style w:type="character" w:customStyle="1" w:styleId="157">
    <w:name w:val="Îñíîâíîé òåêñò (15)_"/>
    <w:uiPriority w:val="99"/>
    <w:rsid w:val="00811C95"/>
    <w:rPr>
      <w:rFonts w:ascii="Garamond" w:hAnsi="Garamond" w:cs="Garamond"/>
      <w:sz w:val="13"/>
      <w:szCs w:val="13"/>
    </w:rPr>
  </w:style>
  <w:style w:type="character" w:customStyle="1" w:styleId="29Arial">
    <w:name w:val="Îñíîâíîé òåêñò (29) + Arial.Íå êóðñèâ"/>
    <w:uiPriority w:val="99"/>
    <w:rsid w:val="00811C95"/>
    <w:rPr>
      <w:rFonts w:ascii="Arial" w:hAnsi="Arial" w:cs="Arial"/>
      <w:i/>
      <w:iCs/>
      <w:sz w:val="15"/>
      <w:szCs w:val="15"/>
    </w:rPr>
  </w:style>
  <w:style w:type="character" w:customStyle="1" w:styleId="3f9">
    <w:name w:val="Ïîäïèñü ê òàáëèöå (3)"/>
    <w:uiPriority w:val="99"/>
    <w:rsid w:val="00811C95"/>
    <w:rPr>
      <w:rFonts w:ascii="Arial" w:hAnsi="Arial" w:cs="Arial"/>
      <w:i/>
      <w:iCs/>
      <w:spacing w:val="-10"/>
      <w:sz w:val="16"/>
      <w:szCs w:val="16"/>
      <w:u w:val="single"/>
    </w:rPr>
  </w:style>
  <w:style w:type="character" w:customStyle="1" w:styleId="3fa">
    <w:name w:val="Ïîäïèñü ê òàáëèöå (3)_"/>
    <w:uiPriority w:val="99"/>
    <w:rsid w:val="00811C95"/>
    <w:rPr>
      <w:rFonts w:ascii="Arial" w:hAnsi="Arial" w:cs="Arial"/>
      <w:i/>
      <w:iCs/>
      <w:spacing w:val="-10"/>
      <w:sz w:val="16"/>
      <w:szCs w:val="16"/>
    </w:rPr>
  </w:style>
  <w:style w:type="character" w:customStyle="1" w:styleId="790">
    <w:name w:val="Îñíîâíîé òåêñò (7)9"/>
    <w:uiPriority w:val="99"/>
    <w:rsid w:val="00811C95"/>
    <w:rPr>
      <w:rFonts w:ascii="Arial" w:hAnsi="Arial" w:cs="Arial"/>
      <w:i/>
      <w:iCs/>
      <w:spacing w:val="-10"/>
      <w:sz w:val="16"/>
      <w:szCs w:val="16"/>
      <w:u w:val="single"/>
    </w:rPr>
  </w:style>
  <w:style w:type="character" w:customStyle="1" w:styleId="111425pt34100pt4529Arial37pt3">
    <w:name w:val="Îñíîâíîé òåêñò (11) + 142.5 pt34.Íå êóðñèâ10.Èíòåðâàë 0 pt45.Îñíîâíîé òåêñò (29) + Arial3.7 pt3"/>
    <w:uiPriority w:val="99"/>
    <w:rsid w:val="00811C95"/>
    <w:rPr>
      <w:rFonts w:ascii="Microsoft Sans Serif" w:hAnsi="Microsoft Sans Serif" w:cs="Microsoft Sans Serif"/>
      <w:i/>
      <w:iCs/>
      <w:spacing w:val="-10"/>
      <w:sz w:val="29"/>
      <w:szCs w:val="29"/>
    </w:rPr>
  </w:style>
  <w:style w:type="character" w:customStyle="1" w:styleId="28ArialNarrow75pt2617">
    <w:name w:val="Îñíîâíîé òåêñò (28) + Arial Narrow.7.5 pt26.Êóðñèâ17"/>
    <w:uiPriority w:val="99"/>
    <w:rsid w:val="00811C95"/>
    <w:rPr>
      <w:rFonts w:ascii="Arial Narrow" w:hAnsi="Arial Narrow" w:cs="Arial Narrow"/>
      <w:i/>
      <w:iCs/>
      <w:sz w:val="15"/>
      <w:szCs w:val="15"/>
    </w:rPr>
  </w:style>
  <w:style w:type="character" w:customStyle="1" w:styleId="283">
    <w:name w:val="Îñíîâíîé òåêñò (28)_"/>
    <w:uiPriority w:val="99"/>
    <w:rsid w:val="00811C95"/>
    <w:rPr>
      <w:rFonts w:ascii="Arial" w:hAnsi="Arial" w:cs="Arial"/>
      <w:sz w:val="14"/>
      <w:szCs w:val="14"/>
    </w:rPr>
  </w:style>
  <w:style w:type="character" w:customStyle="1" w:styleId="11SimHei1175pt339-2pt785pt250pt17">
    <w:name w:val="Îñíîâíîé òåêñò (11) + SimHei1.17.5 pt33.Íå êóðñèâ9.Èíòåðâàë -2 pt.Îñíîâíîé òåêñò (7) + 8.5 pt25.Èíòåðâàë 0 pt17"/>
    <w:uiPriority w:val="99"/>
    <w:rsid w:val="00811C95"/>
    <w:rPr>
      <w:rFonts w:ascii="SimHei" w:eastAsia="SimHei" w:cs="SimHei"/>
      <w:i/>
      <w:iCs/>
      <w:spacing w:val="-40"/>
      <w:sz w:val="35"/>
      <w:szCs w:val="35"/>
    </w:rPr>
  </w:style>
  <w:style w:type="character" w:customStyle="1" w:styleId="780">
    <w:name w:val="Îñíîâíîé òåêñò (7)8"/>
    <w:uiPriority w:val="99"/>
    <w:rsid w:val="00811C95"/>
    <w:rPr>
      <w:rFonts w:ascii="Arial" w:hAnsi="Arial" w:cs="Arial"/>
      <w:i/>
      <w:iCs/>
      <w:spacing w:val="-10"/>
      <w:sz w:val="16"/>
      <w:szCs w:val="16"/>
      <w:u w:val="single"/>
    </w:rPr>
  </w:style>
  <w:style w:type="character" w:customStyle="1" w:styleId="318">
    <w:name w:val="Îñíîâíîé òåêñò (31) + Êóðñèâ"/>
    <w:uiPriority w:val="99"/>
    <w:rsid w:val="00811C95"/>
    <w:rPr>
      <w:rFonts w:ascii="Arial" w:hAnsi="Arial" w:cs="Arial"/>
      <w:i/>
      <w:iCs/>
      <w:spacing w:val="0"/>
      <w:sz w:val="11"/>
      <w:szCs w:val="11"/>
    </w:rPr>
  </w:style>
  <w:style w:type="character" w:customStyle="1" w:styleId="306">
    <w:name w:val="Îñíîâíîé òåêñò (30) + Íå êóðñèâ"/>
    <w:uiPriority w:val="99"/>
    <w:rsid w:val="00811C95"/>
    <w:rPr>
      <w:rFonts w:ascii="Arial" w:hAnsi="Arial" w:cs="Arial"/>
      <w:i/>
      <w:iCs/>
      <w:sz w:val="11"/>
      <w:szCs w:val="11"/>
    </w:rPr>
  </w:style>
  <w:style w:type="character" w:customStyle="1" w:styleId="85pt2415">
    <w:name w:val="Îñíîâíîé òåêñò + 8.5 pt24.Ïîëóæèðíûé15"/>
    <w:uiPriority w:val="99"/>
    <w:rsid w:val="00811C95"/>
    <w:rPr>
      <w:rFonts w:ascii="Arial" w:hAnsi="Arial" w:cs="Arial"/>
      <w:b/>
      <w:bCs/>
      <w:spacing w:val="0"/>
      <w:sz w:val="17"/>
      <w:szCs w:val="17"/>
    </w:rPr>
  </w:style>
  <w:style w:type="character" w:customStyle="1" w:styleId="20pt15">
    <w:name w:val="Îñíîâíîé òåêñò + Êóðñèâ2.Èíòåðâàë 0 pt15"/>
    <w:uiPriority w:val="99"/>
    <w:rsid w:val="00811C95"/>
    <w:rPr>
      <w:rFonts w:ascii="Arial" w:hAnsi="Arial" w:cs="Arial"/>
      <w:i/>
      <w:iCs/>
      <w:spacing w:val="-10"/>
      <w:sz w:val="16"/>
      <w:szCs w:val="16"/>
    </w:rPr>
  </w:style>
  <w:style w:type="character" w:customStyle="1" w:styleId="3010">
    <w:name w:val="Îñíîâíîé òåêñò (30) + Íå êóðñèâ1"/>
    <w:uiPriority w:val="99"/>
    <w:rsid w:val="00811C95"/>
    <w:rPr>
      <w:rFonts w:ascii="Arial" w:hAnsi="Arial" w:cs="Arial"/>
      <w:i/>
      <w:iCs/>
      <w:sz w:val="11"/>
      <w:szCs w:val="11"/>
    </w:rPr>
  </w:style>
  <w:style w:type="character" w:customStyle="1" w:styleId="3110">
    <w:name w:val="Îñíîâíîé òåêñò (31) + Êóðñèâ1"/>
    <w:uiPriority w:val="99"/>
    <w:rsid w:val="00811C95"/>
    <w:rPr>
      <w:rFonts w:ascii="Arial" w:hAnsi="Arial" w:cs="Arial"/>
      <w:i/>
      <w:iCs/>
      <w:spacing w:val="0"/>
      <w:sz w:val="11"/>
      <w:szCs w:val="11"/>
    </w:rPr>
  </w:style>
  <w:style w:type="character" w:customStyle="1" w:styleId="295pt232-1pt67TimesNewRoman910pt14">
    <w:name w:val="Îñíîâíîé òåêñò (2) + 9.5 pt23.Íå êóðñèâ2.Èíòåðâàë -1 pt6.Îñíîâíîé òåêñò (7) + Times New Roman.91.Èíòåðâàë 0 pt14"/>
    <w:uiPriority w:val="99"/>
    <w:rsid w:val="00811C95"/>
    <w:rPr>
      <w:rFonts w:ascii="Microsoft Sans Serif" w:hAnsi="Microsoft Sans Serif" w:cs="Microsoft Sans Serif"/>
      <w:i/>
      <w:iCs/>
      <w:spacing w:val="-20"/>
      <w:sz w:val="19"/>
      <w:szCs w:val="19"/>
    </w:rPr>
  </w:style>
  <w:style w:type="character" w:customStyle="1" w:styleId="70pt13">
    <w:name w:val="Îñíîâíîé òåêñò (7) + Íå êóðñèâ.Èíòåðâàë 0 pt13"/>
    <w:uiPriority w:val="99"/>
    <w:rsid w:val="00811C95"/>
    <w:rPr>
      <w:rFonts w:ascii="Arial" w:hAnsi="Arial" w:cs="Arial"/>
      <w:i/>
      <w:iCs/>
      <w:spacing w:val="0"/>
      <w:sz w:val="16"/>
      <w:szCs w:val="16"/>
    </w:rPr>
  </w:style>
  <w:style w:type="character" w:customStyle="1" w:styleId="770">
    <w:name w:val="Îñíîâíîé òåêñò (7)7"/>
    <w:uiPriority w:val="99"/>
    <w:rsid w:val="00811C95"/>
    <w:rPr>
      <w:rFonts w:ascii="Arial" w:hAnsi="Arial" w:cs="Arial"/>
      <w:i/>
      <w:iCs/>
      <w:spacing w:val="-10"/>
      <w:sz w:val="16"/>
      <w:szCs w:val="16"/>
      <w:u w:val="single"/>
    </w:rPr>
  </w:style>
  <w:style w:type="character" w:customStyle="1" w:styleId="1425pt220pt337SimHei7100pt12">
    <w:name w:val="Çàãîëîâîê ¹1 + 42.5 pt22.Èíòåðâàë 0 pt33.Îñíîâíîé òåêñò (7) + SimHei.710.Èíòåðâàë 0 pt12"/>
    <w:uiPriority w:val="99"/>
    <w:rsid w:val="00811C95"/>
    <w:rPr>
      <w:rFonts w:ascii="Arial Narrow" w:hAnsi="Arial Narrow" w:cs="Arial Narrow"/>
      <w:b/>
      <w:bCs/>
      <w:spacing w:val="0"/>
      <w:sz w:val="85"/>
      <w:szCs w:val="85"/>
    </w:rPr>
  </w:style>
  <w:style w:type="character" w:customStyle="1" w:styleId="760">
    <w:name w:val="Îñíîâíîé òåêñò (7)6"/>
    <w:uiPriority w:val="99"/>
    <w:rsid w:val="00811C95"/>
    <w:rPr>
      <w:rFonts w:ascii="Arial" w:hAnsi="Arial" w:cs="Arial"/>
      <w:i/>
      <w:iCs/>
      <w:spacing w:val="-10"/>
      <w:sz w:val="16"/>
      <w:szCs w:val="16"/>
      <w:u w:val="single"/>
    </w:rPr>
  </w:style>
  <w:style w:type="character" w:customStyle="1" w:styleId="720pt11">
    <w:name w:val="Îñíîâíîé òåêñò (7) + Íå êóðñèâ2.Èíòåðâàë 0 pt11"/>
    <w:uiPriority w:val="99"/>
    <w:rsid w:val="00811C95"/>
    <w:rPr>
      <w:rFonts w:ascii="Arial" w:hAnsi="Arial" w:cs="Arial"/>
      <w:i/>
      <w:iCs/>
      <w:spacing w:val="0"/>
      <w:sz w:val="16"/>
      <w:szCs w:val="16"/>
    </w:rPr>
  </w:style>
  <w:style w:type="character" w:customStyle="1" w:styleId="750">
    <w:name w:val="Îñíîâíîé òåêñò (7)5"/>
    <w:uiPriority w:val="99"/>
    <w:rsid w:val="00811C95"/>
    <w:rPr>
      <w:rFonts w:ascii="Arial" w:hAnsi="Arial" w:cs="Arial"/>
      <w:i/>
      <w:iCs/>
      <w:spacing w:val="-10"/>
      <w:sz w:val="16"/>
      <w:szCs w:val="16"/>
      <w:u w:val="single"/>
    </w:rPr>
  </w:style>
  <w:style w:type="character" w:customStyle="1" w:styleId="740">
    <w:name w:val="Îñíîâíîé òåêñò (7)4"/>
    <w:uiPriority w:val="99"/>
    <w:rsid w:val="00811C95"/>
    <w:rPr>
      <w:rFonts w:ascii="Arial" w:hAnsi="Arial" w:cs="Arial"/>
      <w:i/>
      <w:iCs/>
      <w:spacing w:val="-10"/>
      <w:sz w:val="16"/>
      <w:szCs w:val="16"/>
      <w:u w:val="single"/>
    </w:rPr>
  </w:style>
  <w:style w:type="character" w:customStyle="1" w:styleId="730">
    <w:name w:val="Îñíîâíîé òåêñò (7)3"/>
    <w:uiPriority w:val="99"/>
    <w:rsid w:val="00811C95"/>
    <w:rPr>
      <w:rFonts w:ascii="Arial" w:hAnsi="Arial" w:cs="Arial"/>
      <w:i/>
      <w:iCs/>
      <w:spacing w:val="-10"/>
      <w:sz w:val="16"/>
      <w:szCs w:val="16"/>
      <w:u w:val="single"/>
    </w:rPr>
  </w:style>
  <w:style w:type="character" w:customStyle="1" w:styleId="722">
    <w:name w:val="Îñíîâíîé òåêñò (7)2"/>
    <w:uiPriority w:val="99"/>
    <w:rsid w:val="00811C95"/>
    <w:rPr>
      <w:rFonts w:ascii="Arial" w:hAnsi="Arial" w:cs="Arial"/>
      <w:i/>
      <w:iCs/>
      <w:spacing w:val="-10"/>
      <w:sz w:val="16"/>
      <w:szCs w:val="16"/>
      <w:u w:val="single"/>
    </w:rPr>
  </w:style>
  <w:style w:type="character" w:customStyle="1" w:styleId="2FranklinGothicDemi113pt760pt417SimHei17pt20pt10">
    <w:name w:val="Îñíîâíîé òåêñò (2) + Franklin Gothic Demi1.13 pt7.Íå êóðñèâ6.Èíòåðâàë 0 pt41.Îñíîâíîé òåêñò (7) + SimHei1.7 pt2.Èíòåðâàë 0 pt10"/>
    <w:uiPriority w:val="99"/>
    <w:rsid w:val="00811C95"/>
    <w:rPr>
      <w:rFonts w:ascii="Franklin Gothic Demi" w:hAnsi="Franklin Gothic Demi" w:cs="Franklin Gothic Demi"/>
      <w:i/>
      <w:iCs/>
      <w:spacing w:val="0"/>
      <w:sz w:val="26"/>
      <w:szCs w:val="26"/>
    </w:rPr>
  </w:style>
  <w:style w:type="character" w:customStyle="1" w:styleId="226">
    <w:name w:val="Îñíîâíîé òåêñò (22)"/>
    <w:uiPriority w:val="99"/>
    <w:rsid w:val="00811C95"/>
    <w:rPr>
      <w:rFonts w:ascii="Arial" w:hAnsi="Arial" w:cs="Arial"/>
      <w:i/>
      <w:iCs/>
      <w:spacing w:val="-10"/>
      <w:sz w:val="17"/>
      <w:szCs w:val="17"/>
      <w:u w:val="single"/>
    </w:rPr>
  </w:style>
  <w:style w:type="character" w:customStyle="1" w:styleId="227">
    <w:name w:val="Îñíîâíîé òåêñò (22)_"/>
    <w:uiPriority w:val="99"/>
    <w:rsid w:val="00811C95"/>
    <w:rPr>
      <w:rFonts w:ascii="Arial" w:hAnsi="Arial" w:cs="Arial"/>
      <w:i/>
      <w:iCs/>
      <w:spacing w:val="-10"/>
      <w:sz w:val="17"/>
      <w:szCs w:val="17"/>
    </w:rPr>
  </w:style>
  <w:style w:type="character" w:customStyle="1" w:styleId="2260pt23">
    <w:name w:val="Îñíîâíîé òåêñò (22) + Íå êóðñèâ6.Èíòåðâàë 0 pt23"/>
    <w:uiPriority w:val="99"/>
    <w:rsid w:val="00811C95"/>
    <w:rPr>
      <w:rFonts w:ascii="Arial" w:hAnsi="Arial" w:cs="Arial"/>
      <w:i/>
      <w:iCs/>
      <w:spacing w:val="0"/>
      <w:sz w:val="17"/>
      <w:szCs w:val="17"/>
    </w:rPr>
  </w:style>
  <w:style w:type="character" w:customStyle="1" w:styleId="2250">
    <w:name w:val="Îñíîâíîé òåêñò (22)5"/>
    <w:uiPriority w:val="99"/>
    <w:rsid w:val="00811C95"/>
    <w:rPr>
      <w:rFonts w:ascii="Arial" w:hAnsi="Arial" w:cs="Arial"/>
      <w:i/>
      <w:iCs/>
      <w:spacing w:val="-10"/>
      <w:sz w:val="17"/>
      <w:szCs w:val="17"/>
      <w:u w:val="single"/>
    </w:rPr>
  </w:style>
  <w:style w:type="character" w:customStyle="1" w:styleId="111415pt3180pt43294pt">
    <w:name w:val="Îñíîâíîé òåêñò (11) + 141.5 pt31.Íå êóðñèâ8.Èíòåðâàë 0 pt43.Îñíîâíîé òåêñò (29) + 4 pt"/>
    <w:uiPriority w:val="99"/>
    <w:rsid w:val="00811C95"/>
    <w:rPr>
      <w:rFonts w:ascii="Microsoft Sans Serif" w:hAnsi="Microsoft Sans Serif" w:cs="Microsoft Sans Serif"/>
      <w:i/>
      <w:iCs/>
      <w:spacing w:val="-10"/>
      <w:sz w:val="29"/>
      <w:szCs w:val="29"/>
    </w:rPr>
  </w:style>
  <w:style w:type="character" w:customStyle="1" w:styleId="80pt22">
    <w:name w:val="Îñíîâíîé òåêñò + Êóðñèâ8.Èíòåðâàë 0 pt22"/>
    <w:uiPriority w:val="99"/>
    <w:rsid w:val="00811C95"/>
    <w:rPr>
      <w:rFonts w:ascii="Arial" w:hAnsi="Arial" w:cs="Arial"/>
      <w:i/>
      <w:iCs/>
      <w:spacing w:val="-10"/>
      <w:sz w:val="17"/>
      <w:szCs w:val="17"/>
    </w:rPr>
  </w:style>
  <w:style w:type="character" w:customStyle="1" w:styleId="2250pt21">
    <w:name w:val="Îñíîâíîé òåêñò (22) + Íå êóðñèâ5.Èíòåðâàë 0 pt21"/>
    <w:uiPriority w:val="99"/>
    <w:rsid w:val="00811C95"/>
    <w:rPr>
      <w:rFonts w:ascii="Arial" w:hAnsi="Arial" w:cs="Arial"/>
      <w:i/>
      <w:iCs/>
      <w:spacing w:val="0"/>
      <w:sz w:val="17"/>
      <w:szCs w:val="17"/>
    </w:rPr>
  </w:style>
  <w:style w:type="character" w:customStyle="1" w:styleId="2240">
    <w:name w:val="Îñíîâíîé òåêñò (22)4"/>
    <w:uiPriority w:val="99"/>
    <w:rsid w:val="00811C95"/>
    <w:rPr>
      <w:rFonts w:ascii="Arial" w:hAnsi="Arial" w:cs="Arial"/>
      <w:i/>
      <w:iCs/>
      <w:spacing w:val="-10"/>
      <w:sz w:val="17"/>
      <w:szCs w:val="17"/>
      <w:u w:val="single"/>
    </w:rPr>
  </w:style>
  <w:style w:type="character" w:customStyle="1" w:styleId="7Tahoma925pt20">
    <w:name w:val="Çàãîëîâîê ¹7 + Tahoma.92.5 pt20"/>
    <w:uiPriority w:val="99"/>
    <w:rsid w:val="00811C95"/>
    <w:rPr>
      <w:rFonts w:ascii="Tahoma" w:hAnsi="Tahoma" w:cs="Tahoma"/>
      <w:sz w:val="19"/>
      <w:szCs w:val="19"/>
    </w:rPr>
  </w:style>
  <w:style w:type="character" w:customStyle="1" w:styleId="7e">
    <w:name w:val="Çàãîëîâîê ¹7_"/>
    <w:uiPriority w:val="99"/>
    <w:rsid w:val="00811C95"/>
    <w:rPr>
      <w:rFonts w:ascii="Arial" w:hAnsi="Arial" w:cs="Arial"/>
      <w:sz w:val="16"/>
      <w:szCs w:val="16"/>
    </w:rPr>
  </w:style>
  <w:style w:type="character" w:customStyle="1" w:styleId="2230">
    <w:name w:val="Îñíîâíîé òåêñò (22)3"/>
    <w:uiPriority w:val="99"/>
    <w:rsid w:val="00811C95"/>
    <w:rPr>
      <w:rFonts w:ascii="Arial" w:hAnsi="Arial" w:cs="Arial"/>
      <w:i/>
      <w:iCs/>
      <w:spacing w:val="-10"/>
      <w:sz w:val="17"/>
      <w:szCs w:val="17"/>
      <w:u w:val="single"/>
    </w:rPr>
  </w:style>
  <w:style w:type="character" w:customStyle="1" w:styleId="70pt20">
    <w:name w:val="Îñíîâíîé òåêñò + Êóðñèâ7.Èíòåðâàë 0 pt20"/>
    <w:uiPriority w:val="99"/>
    <w:rsid w:val="00811C95"/>
    <w:rPr>
      <w:rFonts w:ascii="Arial" w:hAnsi="Arial" w:cs="Arial"/>
      <w:i/>
      <w:iCs/>
      <w:spacing w:val="-10"/>
      <w:sz w:val="17"/>
      <w:szCs w:val="17"/>
    </w:rPr>
  </w:style>
  <w:style w:type="character" w:customStyle="1" w:styleId="2240pt19">
    <w:name w:val="Îñíîâíîé òåêñò (22) + Íå êóðñèâ4.Èíòåðâàë 0 pt19"/>
    <w:uiPriority w:val="99"/>
    <w:rsid w:val="00811C95"/>
    <w:rPr>
      <w:rFonts w:ascii="Arial" w:hAnsi="Arial" w:cs="Arial"/>
      <w:i/>
      <w:iCs/>
      <w:spacing w:val="0"/>
      <w:sz w:val="17"/>
      <w:szCs w:val="17"/>
    </w:rPr>
  </w:style>
  <w:style w:type="character" w:customStyle="1" w:styleId="0pt186">
    <w:name w:val="Îñíîâíîé òåêñò + Êóðñèâ.Èíòåðâàë 0 pt18.Îñíîâíîé òåêñò + Êóðñèâ6"/>
    <w:uiPriority w:val="99"/>
    <w:rsid w:val="00811C95"/>
    <w:rPr>
      <w:rFonts w:ascii="Arial" w:hAnsi="Arial" w:cs="Arial"/>
      <w:i/>
      <w:iCs/>
      <w:spacing w:val="-10"/>
      <w:sz w:val="16"/>
      <w:szCs w:val="16"/>
    </w:rPr>
  </w:style>
  <w:style w:type="character" w:customStyle="1" w:styleId="SimHei735pt19">
    <w:name w:val="Îñíîâíîé òåêñò + SimHei.73.5 pt19"/>
    <w:uiPriority w:val="99"/>
    <w:rsid w:val="00811C95"/>
    <w:rPr>
      <w:rFonts w:ascii="SimHei" w:eastAsia="SimHei" w:hAnsi="Microsoft Sans Serif" w:cs="SimHei"/>
      <w:spacing w:val="0"/>
      <w:sz w:val="15"/>
      <w:szCs w:val="15"/>
    </w:rPr>
  </w:style>
  <w:style w:type="character" w:customStyle="1" w:styleId="2220">
    <w:name w:val="Îñíîâíîé òåêñò (22)2"/>
    <w:uiPriority w:val="99"/>
    <w:rsid w:val="00811C95"/>
    <w:rPr>
      <w:rFonts w:ascii="Arial" w:hAnsi="Arial" w:cs="Arial"/>
      <w:i/>
      <w:iCs/>
      <w:spacing w:val="-10"/>
      <w:sz w:val="17"/>
      <w:szCs w:val="17"/>
      <w:u w:val="single"/>
    </w:rPr>
  </w:style>
  <w:style w:type="character" w:customStyle="1" w:styleId="295pt232-1pt67TimesNewRoman910pt1422322SimHei725pt13">
    <w:name w:val="Îñíîâíîé òåêñò (2) + 9.5 pt23.Íå êóðñèâ2.Èíòåðâàë -1 pt6.Îñíîâíîé òåêñò (7) + Times New Roman.91.Èíòåðâàë 0 pt14.Îñíîâíîé òåêñò (22) + Íå êóðñèâ3.Îñíîâíîé òåêñò (22) + SimHei.72.5 pt13"/>
    <w:uiPriority w:val="99"/>
    <w:rsid w:val="00811C95"/>
    <w:rPr>
      <w:rFonts w:ascii="Microsoft Sans Serif" w:hAnsi="Microsoft Sans Serif" w:cs="Microsoft Sans Serif"/>
      <w:i/>
      <w:iCs/>
      <w:spacing w:val="-20"/>
      <w:sz w:val="19"/>
      <w:szCs w:val="19"/>
    </w:rPr>
  </w:style>
  <w:style w:type="character" w:customStyle="1" w:styleId="70pt13222">
    <w:name w:val="Îñíîâíîé òåêñò (7) + Íå êóðñèâ.Èíòåðâàë 0 pt13.Îñíîâíîé òåêñò (22) + Íå êóðñèâ2"/>
    <w:uiPriority w:val="99"/>
    <w:rsid w:val="00811C95"/>
    <w:rPr>
      <w:rFonts w:ascii="Arial" w:hAnsi="Arial" w:cs="Arial"/>
      <w:i/>
      <w:iCs/>
      <w:spacing w:val="0"/>
      <w:sz w:val="16"/>
      <w:szCs w:val="16"/>
    </w:rPr>
  </w:style>
  <w:style w:type="paragraph" w:customStyle="1" w:styleId="3fb">
    <w:name w:val="Çàãîëîâîê ¹3"/>
    <w:basedOn w:val="a"/>
    <w:uiPriority w:val="99"/>
    <w:rsid w:val="00811C95"/>
    <w:pPr>
      <w:shd w:val="clear" w:color="auto" w:fill="FFFFFF"/>
      <w:autoSpaceDE w:val="0"/>
      <w:autoSpaceDN w:val="0"/>
      <w:adjustRightInd w:val="0"/>
      <w:spacing w:before="5460" w:after="0" w:line="240" w:lineRule="atLeast"/>
    </w:pPr>
    <w:rPr>
      <w:rFonts w:ascii="Arial Narrow" w:hAnsi="Arial Narrow" w:cs="Arial Narrow"/>
      <w:b/>
      <w:bCs/>
      <w:noProof/>
      <w:spacing w:val="-10"/>
      <w:sz w:val="104"/>
      <w:szCs w:val="104"/>
      <w:lang w:val="en-US"/>
    </w:rPr>
  </w:style>
  <w:style w:type="paragraph" w:customStyle="1" w:styleId="1410">
    <w:name w:val="Îñíîâíîé òåêñò (14)1"/>
    <w:basedOn w:val="a"/>
    <w:uiPriority w:val="99"/>
    <w:rsid w:val="00811C95"/>
    <w:pPr>
      <w:shd w:val="clear" w:color="auto" w:fill="FFFFFF"/>
      <w:autoSpaceDE w:val="0"/>
      <w:autoSpaceDN w:val="0"/>
      <w:adjustRightInd w:val="0"/>
      <w:spacing w:before="240" w:after="0" w:line="315" w:lineRule="exact"/>
      <w:ind w:hanging="1060"/>
      <w:jc w:val="center"/>
    </w:pPr>
    <w:rPr>
      <w:rFonts w:ascii="Franklin Gothic Demi" w:hAnsi="Franklin Gothic Demi" w:cs="Franklin Gothic Demi"/>
      <w:noProof/>
      <w:sz w:val="26"/>
      <w:szCs w:val="26"/>
      <w:lang w:val="en-US"/>
    </w:rPr>
  </w:style>
  <w:style w:type="paragraph" w:customStyle="1" w:styleId="164">
    <w:name w:val="Îñíîâíîé òåêñò (16)"/>
    <w:basedOn w:val="a"/>
    <w:uiPriority w:val="99"/>
    <w:rsid w:val="00811C95"/>
    <w:pPr>
      <w:shd w:val="clear" w:color="auto" w:fill="FFFFFF"/>
      <w:autoSpaceDE w:val="0"/>
      <w:autoSpaceDN w:val="0"/>
      <w:adjustRightInd w:val="0"/>
      <w:spacing w:after="0" w:line="240" w:lineRule="atLeast"/>
      <w:ind w:hanging="280"/>
    </w:pPr>
    <w:rPr>
      <w:rFonts w:ascii="Microsoft Sans Serif" w:hAnsi="Microsoft Sans Serif" w:cs="Microsoft Sans Serif"/>
      <w:noProof/>
      <w:sz w:val="19"/>
      <w:szCs w:val="19"/>
      <w:lang w:val="en-US"/>
    </w:rPr>
  </w:style>
  <w:style w:type="paragraph" w:customStyle="1" w:styleId="afffff2">
    <w:name w:val="Ïîäïèñü ê òàáëèöå"/>
    <w:basedOn w:val="a"/>
    <w:uiPriority w:val="99"/>
    <w:rsid w:val="00811C95"/>
    <w:pPr>
      <w:shd w:val="clear" w:color="auto" w:fill="FFFFFF"/>
      <w:autoSpaceDE w:val="0"/>
      <w:autoSpaceDN w:val="0"/>
      <w:adjustRightInd w:val="0"/>
      <w:spacing w:after="0" w:line="233" w:lineRule="exact"/>
      <w:jc w:val="both"/>
    </w:pPr>
    <w:rPr>
      <w:rFonts w:ascii="Arial Narrow" w:hAnsi="Arial Narrow" w:cs="Arial Narrow"/>
      <w:i/>
      <w:iCs/>
      <w:noProof/>
      <w:sz w:val="20"/>
      <w:szCs w:val="20"/>
      <w:lang w:val="en-US"/>
    </w:rPr>
  </w:style>
  <w:style w:type="paragraph" w:customStyle="1" w:styleId="193">
    <w:name w:val="Îñíîâíîé òåêñò (19)"/>
    <w:basedOn w:val="a"/>
    <w:uiPriority w:val="99"/>
    <w:rsid w:val="00811C95"/>
    <w:pPr>
      <w:shd w:val="clear" w:color="auto" w:fill="FFFFFF"/>
      <w:autoSpaceDE w:val="0"/>
      <w:autoSpaceDN w:val="0"/>
      <w:adjustRightInd w:val="0"/>
      <w:spacing w:after="120" w:line="240" w:lineRule="atLeast"/>
    </w:pPr>
    <w:rPr>
      <w:rFonts w:ascii="Microsoft Sans Serif" w:hAnsi="Microsoft Sans Serif" w:cs="Microsoft Sans Serif"/>
      <w:i/>
      <w:iCs/>
      <w:noProof/>
      <w:sz w:val="24"/>
      <w:szCs w:val="24"/>
      <w:lang w:val="en-US"/>
    </w:rPr>
  </w:style>
  <w:style w:type="paragraph" w:customStyle="1" w:styleId="216">
    <w:name w:val="Îñíîâíîé òåêñò (2)1"/>
    <w:basedOn w:val="a"/>
    <w:uiPriority w:val="99"/>
    <w:rsid w:val="00811C95"/>
    <w:pPr>
      <w:shd w:val="clear" w:color="auto" w:fill="FFFFFF"/>
      <w:autoSpaceDE w:val="0"/>
      <w:autoSpaceDN w:val="0"/>
      <w:adjustRightInd w:val="0"/>
      <w:spacing w:after="0" w:line="240" w:lineRule="atLeast"/>
    </w:pPr>
    <w:rPr>
      <w:rFonts w:ascii="Microsoft Sans Serif" w:hAnsi="Microsoft Sans Serif" w:cs="Microsoft Sans Serif"/>
      <w:i/>
      <w:iCs/>
      <w:noProof/>
      <w:spacing w:val="20"/>
      <w:sz w:val="23"/>
      <w:szCs w:val="23"/>
      <w:lang w:val="en-US"/>
    </w:rPr>
  </w:style>
  <w:style w:type="paragraph" w:customStyle="1" w:styleId="1fa">
    <w:name w:val="Çàãîëîâîê ¹1"/>
    <w:basedOn w:val="a"/>
    <w:uiPriority w:val="99"/>
    <w:rsid w:val="00811C95"/>
    <w:pPr>
      <w:shd w:val="clear" w:color="auto" w:fill="FFFFFF"/>
      <w:autoSpaceDE w:val="0"/>
      <w:autoSpaceDN w:val="0"/>
      <w:adjustRightInd w:val="0"/>
      <w:spacing w:after="720" w:line="240" w:lineRule="atLeast"/>
      <w:ind w:firstLine="540"/>
      <w:jc w:val="both"/>
    </w:pPr>
    <w:rPr>
      <w:rFonts w:ascii="Arial Narrow" w:hAnsi="Arial Narrow" w:cs="Arial Narrow"/>
      <w:b/>
      <w:bCs/>
      <w:noProof/>
      <w:spacing w:val="-10"/>
      <w:sz w:val="104"/>
      <w:szCs w:val="104"/>
      <w:lang w:val="en-US"/>
    </w:rPr>
  </w:style>
  <w:style w:type="paragraph" w:customStyle="1" w:styleId="158">
    <w:name w:val="Çàãîëîâîê ¹15"/>
    <w:basedOn w:val="a"/>
    <w:uiPriority w:val="99"/>
    <w:rsid w:val="00811C95"/>
    <w:pPr>
      <w:shd w:val="clear" w:color="auto" w:fill="FFFFFF"/>
      <w:autoSpaceDE w:val="0"/>
      <w:autoSpaceDN w:val="0"/>
      <w:adjustRightInd w:val="0"/>
      <w:spacing w:before="360" w:after="120" w:line="240" w:lineRule="atLeast"/>
    </w:pPr>
    <w:rPr>
      <w:rFonts w:ascii="Microsoft Sans Serif" w:hAnsi="Microsoft Sans Serif" w:cs="Microsoft Sans Serif"/>
      <w:b/>
      <w:bCs/>
      <w:noProof/>
      <w:sz w:val="32"/>
      <w:szCs w:val="32"/>
      <w:lang w:val="en-US"/>
    </w:rPr>
  </w:style>
  <w:style w:type="paragraph" w:customStyle="1" w:styleId="1fb">
    <w:name w:val="Ïîäïèñü ê êàðòèíêå1"/>
    <w:basedOn w:val="a"/>
    <w:uiPriority w:val="99"/>
    <w:rsid w:val="00811C95"/>
    <w:pPr>
      <w:shd w:val="clear" w:color="auto" w:fill="FFFFFF"/>
      <w:autoSpaceDE w:val="0"/>
      <w:autoSpaceDN w:val="0"/>
      <w:adjustRightInd w:val="0"/>
      <w:spacing w:after="0" w:line="240" w:lineRule="atLeast"/>
    </w:pPr>
    <w:rPr>
      <w:rFonts w:ascii="Franklin Gothic Demi" w:hAnsi="Franklin Gothic Demi" w:cs="Franklin Gothic Demi"/>
      <w:noProof/>
      <w:sz w:val="26"/>
      <w:szCs w:val="26"/>
      <w:lang w:val="en-US"/>
    </w:rPr>
  </w:style>
  <w:style w:type="paragraph" w:customStyle="1" w:styleId="129">
    <w:name w:val="Ïîäïèñü ê êàðòèíêå (12)"/>
    <w:basedOn w:val="a"/>
    <w:uiPriority w:val="99"/>
    <w:rsid w:val="00811C95"/>
    <w:pPr>
      <w:shd w:val="clear" w:color="auto" w:fill="FFFFFF"/>
      <w:autoSpaceDE w:val="0"/>
      <w:autoSpaceDN w:val="0"/>
      <w:adjustRightInd w:val="0"/>
      <w:spacing w:after="0" w:line="330" w:lineRule="exact"/>
    </w:pPr>
    <w:rPr>
      <w:rFonts w:ascii="Microsoft Sans Serif" w:hAnsi="Microsoft Sans Serif" w:cs="Microsoft Sans Serif"/>
      <w:i/>
      <w:iCs/>
      <w:noProof/>
      <w:sz w:val="26"/>
      <w:szCs w:val="26"/>
      <w:lang w:val="en-US"/>
    </w:rPr>
  </w:style>
  <w:style w:type="paragraph" w:customStyle="1" w:styleId="7f">
    <w:name w:val="Ïîäïèñü ê êàðòèíêå (7)"/>
    <w:basedOn w:val="a"/>
    <w:uiPriority w:val="99"/>
    <w:rsid w:val="00811C95"/>
    <w:pPr>
      <w:shd w:val="clear" w:color="auto" w:fill="FFFFFF"/>
      <w:autoSpaceDE w:val="0"/>
      <w:autoSpaceDN w:val="0"/>
      <w:adjustRightInd w:val="0"/>
      <w:spacing w:after="0" w:line="330" w:lineRule="exact"/>
      <w:jc w:val="both"/>
    </w:pPr>
    <w:rPr>
      <w:rFonts w:ascii="Arial Narrow" w:hAnsi="Arial Narrow" w:cs="Arial Narrow"/>
      <w:i/>
      <w:iCs/>
      <w:noProof/>
      <w:spacing w:val="-10"/>
      <w:sz w:val="28"/>
      <w:szCs w:val="28"/>
      <w:lang w:val="en-US"/>
    </w:rPr>
  </w:style>
  <w:style w:type="paragraph" w:customStyle="1" w:styleId="262">
    <w:name w:val="Îñíîâíîé òåêñò (26)"/>
    <w:basedOn w:val="a"/>
    <w:uiPriority w:val="99"/>
    <w:rsid w:val="00811C95"/>
    <w:pPr>
      <w:shd w:val="clear" w:color="auto" w:fill="FFFFFF"/>
      <w:autoSpaceDE w:val="0"/>
      <w:autoSpaceDN w:val="0"/>
      <w:adjustRightInd w:val="0"/>
      <w:spacing w:after="0" w:line="240" w:lineRule="atLeast"/>
    </w:pPr>
    <w:rPr>
      <w:rFonts w:ascii="Microsoft Sans Serif" w:hAnsi="Microsoft Sans Serif" w:cs="Microsoft Sans Serif"/>
      <w:b/>
      <w:bCs/>
      <w:noProof/>
      <w:sz w:val="26"/>
      <w:szCs w:val="26"/>
      <w:lang w:val="en-US"/>
    </w:rPr>
  </w:style>
  <w:style w:type="paragraph" w:customStyle="1" w:styleId="811">
    <w:name w:val="Îñíîâíîé òåêñò (8)1"/>
    <w:basedOn w:val="a"/>
    <w:uiPriority w:val="99"/>
    <w:rsid w:val="00811C95"/>
    <w:pPr>
      <w:shd w:val="clear" w:color="auto" w:fill="FFFFFF"/>
      <w:autoSpaceDE w:val="0"/>
      <w:autoSpaceDN w:val="0"/>
      <w:adjustRightInd w:val="0"/>
      <w:spacing w:before="60" w:after="0" w:line="293" w:lineRule="exact"/>
      <w:jc w:val="both"/>
    </w:pPr>
    <w:rPr>
      <w:rFonts w:ascii="Arial Narrow" w:hAnsi="Arial Narrow" w:cs="Arial Narrow"/>
      <w:i/>
      <w:iCs/>
      <w:noProof/>
      <w:spacing w:val="-10"/>
      <w:sz w:val="28"/>
      <w:szCs w:val="28"/>
      <w:lang w:val="en-US"/>
    </w:rPr>
  </w:style>
  <w:style w:type="paragraph" w:customStyle="1" w:styleId="afffff3">
    <w:name w:val="Îãëàâëåíèå"/>
    <w:basedOn w:val="a"/>
    <w:uiPriority w:val="99"/>
    <w:rsid w:val="00811C95"/>
    <w:pPr>
      <w:shd w:val="clear" w:color="auto" w:fill="FFFFFF"/>
      <w:autoSpaceDE w:val="0"/>
      <w:autoSpaceDN w:val="0"/>
      <w:adjustRightInd w:val="0"/>
      <w:spacing w:after="0" w:line="353" w:lineRule="exact"/>
      <w:jc w:val="both"/>
    </w:pPr>
    <w:rPr>
      <w:rFonts w:ascii="Microsoft Sans Serif" w:hAnsi="Microsoft Sans Serif" w:cs="Microsoft Sans Serif"/>
      <w:noProof/>
      <w:spacing w:val="-10"/>
      <w:sz w:val="24"/>
      <w:szCs w:val="24"/>
      <w:lang w:val="en-US"/>
    </w:rPr>
  </w:style>
  <w:style w:type="paragraph" w:customStyle="1" w:styleId="2fd">
    <w:name w:val="Çàãîëîâîê ¹2"/>
    <w:basedOn w:val="a"/>
    <w:uiPriority w:val="99"/>
    <w:rsid w:val="00811C95"/>
    <w:pPr>
      <w:shd w:val="clear" w:color="auto" w:fill="FFFFFF"/>
      <w:autoSpaceDE w:val="0"/>
      <w:autoSpaceDN w:val="0"/>
      <w:adjustRightInd w:val="0"/>
      <w:spacing w:before="120" w:after="0" w:line="240" w:lineRule="atLeast"/>
    </w:pPr>
    <w:rPr>
      <w:rFonts w:ascii="Arial Narrow" w:hAnsi="Arial Narrow" w:cs="Arial Narrow"/>
      <w:b/>
      <w:bCs/>
      <w:noProof/>
      <w:sz w:val="56"/>
      <w:szCs w:val="56"/>
      <w:lang w:val="en-US"/>
    </w:rPr>
  </w:style>
  <w:style w:type="paragraph" w:customStyle="1" w:styleId="217">
    <w:name w:val="Ïîäïèñü ê òàáëèöå (2)1"/>
    <w:basedOn w:val="a"/>
    <w:uiPriority w:val="99"/>
    <w:rsid w:val="00811C95"/>
    <w:pPr>
      <w:shd w:val="clear" w:color="auto" w:fill="FFFFFF"/>
      <w:autoSpaceDE w:val="0"/>
      <w:autoSpaceDN w:val="0"/>
      <w:adjustRightInd w:val="0"/>
      <w:spacing w:after="0" w:line="240" w:lineRule="atLeast"/>
    </w:pPr>
    <w:rPr>
      <w:rFonts w:ascii="Arial" w:hAnsi="Arial" w:cs="Arial"/>
      <w:noProof/>
      <w:sz w:val="14"/>
      <w:szCs w:val="14"/>
      <w:lang w:val="en-US"/>
    </w:rPr>
  </w:style>
  <w:style w:type="paragraph" w:customStyle="1" w:styleId="284">
    <w:name w:val="Îñíîâíîé òåêñò (28)"/>
    <w:basedOn w:val="a"/>
    <w:uiPriority w:val="99"/>
    <w:rsid w:val="00811C95"/>
    <w:pPr>
      <w:shd w:val="clear" w:color="auto" w:fill="FFFFFF"/>
      <w:autoSpaceDE w:val="0"/>
      <w:autoSpaceDN w:val="0"/>
      <w:adjustRightInd w:val="0"/>
      <w:spacing w:after="0" w:line="182" w:lineRule="exact"/>
    </w:pPr>
    <w:rPr>
      <w:rFonts w:ascii="Arial" w:hAnsi="Arial" w:cs="Arial"/>
      <w:noProof/>
      <w:sz w:val="14"/>
      <w:szCs w:val="14"/>
      <w:lang w:val="en-US"/>
    </w:rPr>
  </w:style>
  <w:style w:type="paragraph" w:customStyle="1" w:styleId="711">
    <w:name w:val="Îñíîâíîé òåêñò (7)1"/>
    <w:basedOn w:val="a"/>
    <w:uiPriority w:val="99"/>
    <w:rsid w:val="00811C95"/>
    <w:pPr>
      <w:shd w:val="clear" w:color="auto" w:fill="FFFFFF"/>
      <w:autoSpaceDE w:val="0"/>
      <w:autoSpaceDN w:val="0"/>
      <w:adjustRightInd w:val="0"/>
      <w:spacing w:after="0" w:line="240" w:lineRule="atLeast"/>
      <w:ind w:hanging="960"/>
    </w:pPr>
    <w:rPr>
      <w:rFonts w:ascii="Arial" w:hAnsi="Arial" w:cs="Arial"/>
      <w:i/>
      <w:iCs/>
      <w:noProof/>
      <w:spacing w:val="-10"/>
      <w:sz w:val="16"/>
      <w:szCs w:val="16"/>
      <w:lang w:val="en-US"/>
    </w:rPr>
  </w:style>
  <w:style w:type="paragraph" w:customStyle="1" w:styleId="1510">
    <w:name w:val="Îñíîâíîé òåêñò (15)1"/>
    <w:basedOn w:val="a"/>
    <w:uiPriority w:val="99"/>
    <w:rsid w:val="00811C95"/>
    <w:pPr>
      <w:shd w:val="clear" w:color="auto" w:fill="FFFFFF"/>
      <w:autoSpaceDE w:val="0"/>
      <w:autoSpaceDN w:val="0"/>
      <w:adjustRightInd w:val="0"/>
      <w:spacing w:after="480" w:line="240" w:lineRule="atLeast"/>
    </w:pPr>
    <w:rPr>
      <w:rFonts w:ascii="Garamond" w:hAnsi="Garamond" w:cs="Garamond"/>
      <w:noProof/>
      <w:sz w:val="13"/>
      <w:szCs w:val="13"/>
      <w:lang w:val="en-US"/>
    </w:rPr>
  </w:style>
  <w:style w:type="paragraph" w:customStyle="1" w:styleId="319">
    <w:name w:val="Ïîäïèñü ê òàáëèöå (3)1"/>
    <w:basedOn w:val="a"/>
    <w:uiPriority w:val="99"/>
    <w:rsid w:val="00811C95"/>
    <w:pPr>
      <w:shd w:val="clear" w:color="auto" w:fill="FFFFFF"/>
      <w:autoSpaceDE w:val="0"/>
      <w:autoSpaceDN w:val="0"/>
      <w:adjustRightInd w:val="0"/>
      <w:spacing w:after="0" w:line="240" w:lineRule="atLeast"/>
    </w:pPr>
    <w:rPr>
      <w:rFonts w:ascii="Arial" w:hAnsi="Arial" w:cs="Arial"/>
      <w:i/>
      <w:iCs/>
      <w:noProof/>
      <w:spacing w:val="-10"/>
      <w:sz w:val="16"/>
      <w:szCs w:val="16"/>
      <w:lang w:val="en-US"/>
    </w:rPr>
  </w:style>
  <w:style w:type="paragraph" w:customStyle="1" w:styleId="411">
    <w:name w:val="Îñíîâíîé òåêñò (4)1"/>
    <w:basedOn w:val="a"/>
    <w:uiPriority w:val="99"/>
    <w:rsid w:val="00811C95"/>
    <w:pPr>
      <w:shd w:val="clear" w:color="auto" w:fill="FFFFFF"/>
      <w:autoSpaceDE w:val="0"/>
      <w:autoSpaceDN w:val="0"/>
      <w:adjustRightInd w:val="0"/>
      <w:spacing w:after="0" w:line="149" w:lineRule="exact"/>
      <w:ind w:hanging="480"/>
    </w:pPr>
    <w:rPr>
      <w:rFonts w:ascii="Arial" w:hAnsi="Arial" w:cs="Arial"/>
      <w:b/>
      <w:bCs/>
      <w:noProof/>
      <w:sz w:val="13"/>
      <w:szCs w:val="13"/>
      <w:lang w:val="en-US"/>
    </w:rPr>
  </w:style>
  <w:style w:type="paragraph" w:customStyle="1" w:styleId="4f2">
    <w:name w:val="Çàãîëîâîê ¹4"/>
    <w:basedOn w:val="a"/>
    <w:uiPriority w:val="99"/>
    <w:rsid w:val="00811C95"/>
    <w:pPr>
      <w:shd w:val="clear" w:color="auto" w:fill="FFFFFF"/>
      <w:autoSpaceDE w:val="0"/>
      <w:autoSpaceDN w:val="0"/>
      <w:adjustRightInd w:val="0"/>
      <w:spacing w:before="300" w:after="300" w:line="240" w:lineRule="atLeast"/>
      <w:jc w:val="right"/>
    </w:pPr>
    <w:rPr>
      <w:rFonts w:ascii="Tahoma" w:hAnsi="Tahoma" w:cs="Tahoma"/>
      <w:noProof/>
      <w:sz w:val="50"/>
      <w:szCs w:val="50"/>
      <w:lang w:val="en-US"/>
    </w:rPr>
  </w:style>
  <w:style w:type="paragraph" w:customStyle="1" w:styleId="2210">
    <w:name w:val="Îñíîâíîé òåêñò (22)1"/>
    <w:basedOn w:val="a"/>
    <w:uiPriority w:val="99"/>
    <w:rsid w:val="00811C95"/>
    <w:pPr>
      <w:shd w:val="clear" w:color="auto" w:fill="FFFFFF"/>
      <w:autoSpaceDE w:val="0"/>
      <w:autoSpaceDN w:val="0"/>
      <w:adjustRightInd w:val="0"/>
      <w:spacing w:after="0" w:line="216" w:lineRule="exact"/>
      <w:jc w:val="both"/>
    </w:pPr>
    <w:rPr>
      <w:rFonts w:ascii="Arial" w:hAnsi="Arial" w:cs="Arial"/>
      <w:i/>
      <w:iCs/>
      <w:noProof/>
      <w:spacing w:val="-10"/>
      <w:sz w:val="17"/>
      <w:szCs w:val="17"/>
      <w:lang w:val="en-US"/>
    </w:rPr>
  </w:style>
  <w:style w:type="paragraph" w:customStyle="1" w:styleId="1fc">
    <w:name w:val="Ïîäïèñü ê òàáëèöå1"/>
    <w:basedOn w:val="a"/>
    <w:uiPriority w:val="99"/>
    <w:rsid w:val="00811C95"/>
    <w:pPr>
      <w:shd w:val="clear" w:color="auto" w:fill="FFFFFF"/>
      <w:autoSpaceDE w:val="0"/>
      <w:autoSpaceDN w:val="0"/>
      <w:adjustRightInd w:val="0"/>
      <w:spacing w:after="0" w:line="240" w:lineRule="atLeast"/>
    </w:pPr>
    <w:rPr>
      <w:rFonts w:ascii="Arial" w:hAnsi="Arial" w:cs="Arial"/>
      <w:i/>
      <w:iCs/>
      <w:spacing w:val="-10"/>
      <w:sz w:val="17"/>
      <w:szCs w:val="17"/>
    </w:rPr>
  </w:style>
  <w:style w:type="paragraph" w:customStyle="1" w:styleId="7f0">
    <w:name w:val="Çàãîëîâîê ¹7"/>
    <w:basedOn w:val="a"/>
    <w:uiPriority w:val="99"/>
    <w:rsid w:val="00811C95"/>
    <w:pPr>
      <w:shd w:val="clear" w:color="auto" w:fill="FFFFFF"/>
      <w:autoSpaceDE w:val="0"/>
      <w:autoSpaceDN w:val="0"/>
      <w:adjustRightInd w:val="0"/>
      <w:spacing w:after="120" w:line="240" w:lineRule="atLeast"/>
    </w:pPr>
    <w:rPr>
      <w:rFonts w:ascii="Arial" w:hAnsi="Arial" w:cs="Arial"/>
      <w:noProof/>
      <w:sz w:val="16"/>
      <w:szCs w:val="16"/>
      <w:lang w:val="en-US"/>
    </w:rPr>
  </w:style>
  <w:style w:type="paragraph" w:customStyle="1" w:styleId="332">
    <w:name w:val="Îñíîâíîé òåêñò (33)"/>
    <w:basedOn w:val="a"/>
    <w:uiPriority w:val="99"/>
    <w:rsid w:val="00811C95"/>
    <w:pPr>
      <w:shd w:val="clear" w:color="auto" w:fill="FFFFFF"/>
      <w:autoSpaceDE w:val="0"/>
      <w:autoSpaceDN w:val="0"/>
      <w:adjustRightInd w:val="0"/>
      <w:spacing w:before="240" w:after="0" w:line="240" w:lineRule="atLeast"/>
    </w:pPr>
    <w:rPr>
      <w:rFonts w:ascii="Arial Narrow" w:hAnsi="Arial Narrow" w:cs="Arial Narrow"/>
      <w:b/>
      <w:bCs/>
      <w:noProof/>
      <w:sz w:val="57"/>
      <w:szCs w:val="57"/>
      <w:lang w:val="en-US"/>
    </w:rPr>
  </w:style>
  <w:style w:type="paragraph" w:customStyle="1" w:styleId="342">
    <w:name w:val="Îñíîâíîé òåêñò (34)"/>
    <w:basedOn w:val="a"/>
    <w:uiPriority w:val="99"/>
    <w:rsid w:val="00811C95"/>
    <w:pPr>
      <w:shd w:val="clear" w:color="auto" w:fill="FFFFFF"/>
      <w:autoSpaceDE w:val="0"/>
      <w:autoSpaceDN w:val="0"/>
      <w:adjustRightInd w:val="0"/>
      <w:spacing w:after="0" w:line="240" w:lineRule="atLeast"/>
    </w:pPr>
    <w:rPr>
      <w:rFonts w:ascii="Arial" w:hAnsi="Arial" w:cs="Arial"/>
      <w:i/>
      <w:iCs/>
      <w:noProof/>
      <w:sz w:val="8"/>
      <w:szCs w:val="8"/>
      <w:lang w:val="en-US"/>
    </w:rPr>
  </w:style>
  <w:style w:type="paragraph" w:customStyle="1" w:styleId="352">
    <w:name w:val="Îñíîâíîé òåêñò (35)"/>
    <w:basedOn w:val="a"/>
    <w:uiPriority w:val="99"/>
    <w:rsid w:val="00811C95"/>
    <w:pPr>
      <w:shd w:val="clear" w:color="auto" w:fill="FFFFFF"/>
      <w:autoSpaceDE w:val="0"/>
      <w:autoSpaceDN w:val="0"/>
      <w:adjustRightInd w:val="0"/>
      <w:spacing w:after="0" w:line="240" w:lineRule="atLeast"/>
    </w:pPr>
    <w:rPr>
      <w:rFonts w:ascii="Arial" w:hAnsi="Arial" w:cs="Arial"/>
      <w:noProof/>
      <w:sz w:val="8"/>
      <w:szCs w:val="8"/>
      <w:lang w:val="en-US"/>
    </w:rPr>
  </w:style>
  <w:style w:type="paragraph" w:customStyle="1" w:styleId="2510">
    <w:name w:val="Îñíîâíîé òåêñò (25)1"/>
    <w:basedOn w:val="a"/>
    <w:uiPriority w:val="99"/>
    <w:rsid w:val="00811C95"/>
    <w:pPr>
      <w:shd w:val="clear" w:color="auto" w:fill="FFFFFF"/>
      <w:autoSpaceDE w:val="0"/>
      <w:autoSpaceDN w:val="0"/>
      <w:adjustRightInd w:val="0"/>
      <w:spacing w:after="0" w:line="101" w:lineRule="exact"/>
      <w:jc w:val="both"/>
    </w:pPr>
    <w:rPr>
      <w:rFonts w:ascii="Arial" w:hAnsi="Arial" w:cs="Arial"/>
      <w:i/>
      <w:iCs/>
      <w:noProof/>
      <w:sz w:val="13"/>
      <w:szCs w:val="13"/>
      <w:lang w:val="en-US"/>
    </w:rPr>
  </w:style>
  <w:style w:type="paragraph" w:customStyle="1" w:styleId="97">
    <w:name w:val="Çàãîëîâîê ¹9"/>
    <w:basedOn w:val="a"/>
    <w:uiPriority w:val="99"/>
    <w:rsid w:val="00811C95"/>
    <w:pPr>
      <w:shd w:val="clear" w:color="auto" w:fill="FFFFFF"/>
      <w:autoSpaceDE w:val="0"/>
      <w:autoSpaceDN w:val="0"/>
      <w:adjustRightInd w:val="0"/>
      <w:spacing w:before="180" w:after="0" w:line="216" w:lineRule="exact"/>
      <w:ind w:firstLine="280"/>
      <w:jc w:val="both"/>
    </w:pPr>
    <w:rPr>
      <w:rFonts w:ascii="Tahoma" w:hAnsi="Tahoma" w:cs="Tahoma"/>
      <w:b/>
      <w:bCs/>
      <w:i/>
      <w:iCs/>
      <w:noProof/>
      <w:sz w:val="15"/>
      <w:szCs w:val="15"/>
      <w:lang w:val="en-US"/>
    </w:rPr>
  </w:style>
  <w:style w:type="character" w:customStyle="1" w:styleId="2fe">
    <w:name w:val="Îñíîâíîé òåêñò (2)_"/>
    <w:uiPriority w:val="99"/>
    <w:rsid w:val="00811C95"/>
    <w:rPr>
      <w:rFonts w:ascii="Arial" w:hAnsi="Arial" w:cs="Arial"/>
      <w:i/>
      <w:iCs/>
      <w:spacing w:val="-10"/>
      <w:sz w:val="16"/>
      <w:szCs w:val="16"/>
    </w:rPr>
  </w:style>
  <w:style w:type="character" w:customStyle="1" w:styleId="20pt29">
    <w:name w:val="Îñíîâíîé òåêñò (2) + Íå êóðñèâ.Èíòåðâàë 0 pt29"/>
    <w:uiPriority w:val="99"/>
    <w:rsid w:val="00811C95"/>
    <w:rPr>
      <w:rFonts w:ascii="Arial" w:hAnsi="Arial" w:cs="Arial"/>
      <w:i/>
      <w:iCs/>
      <w:spacing w:val="0"/>
      <w:sz w:val="16"/>
      <w:szCs w:val="16"/>
    </w:rPr>
  </w:style>
  <w:style w:type="character" w:customStyle="1" w:styleId="285">
    <w:name w:val="Îñíîâíîé òåêñò (2)8"/>
    <w:uiPriority w:val="99"/>
    <w:rsid w:val="00811C95"/>
    <w:rPr>
      <w:rFonts w:ascii="Arial" w:hAnsi="Arial" w:cs="Arial"/>
      <w:i/>
      <w:iCs/>
      <w:spacing w:val="-10"/>
      <w:sz w:val="16"/>
      <w:szCs w:val="16"/>
      <w:u w:val="single"/>
    </w:rPr>
  </w:style>
  <w:style w:type="character" w:customStyle="1" w:styleId="2SimHei75pt790pt28">
    <w:name w:val="Îñíîâíîé òåêñò (2) + SimHei.7.5 pt7.Íå êóðñèâ9.Èíòåðâàë 0 pt28"/>
    <w:uiPriority w:val="99"/>
    <w:rsid w:val="00811C95"/>
    <w:rPr>
      <w:rFonts w:ascii="SimHei" w:eastAsia="SimHei" w:hAnsi="Arial" w:cs="SimHei"/>
      <w:i/>
      <w:iCs/>
      <w:spacing w:val="0"/>
      <w:sz w:val="15"/>
      <w:szCs w:val="15"/>
    </w:rPr>
  </w:style>
  <w:style w:type="character" w:customStyle="1" w:styleId="273">
    <w:name w:val="Îñíîâíîé òåêñò (2)7"/>
    <w:uiPriority w:val="99"/>
    <w:rsid w:val="00811C95"/>
    <w:rPr>
      <w:rFonts w:ascii="Arial" w:hAnsi="Arial" w:cs="Arial"/>
      <w:i/>
      <w:iCs/>
      <w:spacing w:val="-10"/>
      <w:sz w:val="16"/>
      <w:szCs w:val="16"/>
      <w:u w:val="single"/>
    </w:rPr>
  </w:style>
  <w:style w:type="character" w:customStyle="1" w:styleId="263">
    <w:name w:val="Îñíîâíîé òåêñò (2)6"/>
    <w:uiPriority w:val="99"/>
    <w:rsid w:val="00811C95"/>
    <w:rPr>
      <w:rFonts w:ascii="Arial" w:hAnsi="Arial" w:cs="Arial"/>
      <w:i/>
      <w:iCs/>
      <w:spacing w:val="-10"/>
      <w:sz w:val="16"/>
      <w:szCs w:val="16"/>
      <w:u w:val="single"/>
    </w:rPr>
  </w:style>
  <w:style w:type="character" w:customStyle="1" w:styleId="110pt26">
    <w:name w:val="Îñíîâíîé òåêñò + Êóðñèâ11.Èíòåðâàë 0 pt26"/>
    <w:uiPriority w:val="99"/>
    <w:rsid w:val="00811C95"/>
    <w:rPr>
      <w:rFonts w:ascii="Arial" w:hAnsi="Arial" w:cs="Arial"/>
      <w:i/>
      <w:iCs/>
      <w:spacing w:val="-10"/>
      <w:sz w:val="16"/>
      <w:szCs w:val="16"/>
      <w:u w:val="single"/>
    </w:rPr>
  </w:style>
  <w:style w:type="character" w:customStyle="1" w:styleId="2BookmanOldStyle825pt680pt25">
    <w:name w:val="Îñíîâíîé òåêñò (2) + Bookman Old Style.82.5 pt6.Íå êóðñèâ8.Èíòåðâàë 0 pt25"/>
    <w:uiPriority w:val="99"/>
    <w:rsid w:val="00811C95"/>
    <w:rPr>
      <w:rFonts w:ascii="Bookman Old Style" w:hAnsi="Bookman Old Style" w:cs="Bookman Old Style"/>
      <w:i/>
      <w:iCs/>
      <w:spacing w:val="0"/>
      <w:sz w:val="17"/>
      <w:szCs w:val="17"/>
    </w:rPr>
  </w:style>
  <w:style w:type="character" w:customStyle="1" w:styleId="3fc">
    <w:name w:val="Çàãîëîâîê ¹3_"/>
    <w:uiPriority w:val="99"/>
    <w:rsid w:val="00811C95"/>
    <w:rPr>
      <w:rFonts w:ascii="Arial Narrow" w:hAnsi="Arial Narrow" w:cs="Arial Narrow"/>
      <w:b/>
      <w:bCs/>
      <w:i/>
      <w:iCs/>
      <w:spacing w:val="-50"/>
      <w:sz w:val="51"/>
      <w:szCs w:val="51"/>
    </w:rPr>
  </w:style>
  <w:style w:type="character" w:customStyle="1" w:styleId="3-1pt0">
    <w:name w:val="Çàãîëîâîê ¹3 + Èíòåðâàë -1 pt"/>
    <w:uiPriority w:val="99"/>
    <w:rsid w:val="00811C95"/>
    <w:rPr>
      <w:rFonts w:ascii="Arial Narrow" w:hAnsi="Arial Narrow" w:cs="Arial Narrow"/>
      <w:b/>
      <w:bCs/>
      <w:i/>
      <w:iCs/>
      <w:spacing w:val="-30"/>
      <w:sz w:val="51"/>
      <w:szCs w:val="51"/>
    </w:rPr>
  </w:style>
  <w:style w:type="character" w:customStyle="1" w:styleId="6c">
    <w:name w:val="Çàãîëîâîê ¹6_"/>
    <w:uiPriority w:val="99"/>
    <w:rsid w:val="00811C95"/>
    <w:rPr>
      <w:rFonts w:ascii="Tahoma" w:hAnsi="Tahoma" w:cs="Tahoma"/>
      <w:sz w:val="31"/>
      <w:szCs w:val="31"/>
    </w:rPr>
  </w:style>
  <w:style w:type="paragraph" w:customStyle="1" w:styleId="6d">
    <w:name w:val="Çàãîëîâîê ¹6"/>
    <w:basedOn w:val="a"/>
    <w:uiPriority w:val="99"/>
    <w:rsid w:val="00811C95"/>
    <w:pPr>
      <w:shd w:val="clear" w:color="auto" w:fill="FFFFFF"/>
      <w:autoSpaceDE w:val="0"/>
      <w:autoSpaceDN w:val="0"/>
      <w:adjustRightInd w:val="0"/>
      <w:spacing w:after="60" w:line="302" w:lineRule="exact"/>
      <w:jc w:val="center"/>
    </w:pPr>
    <w:rPr>
      <w:rFonts w:ascii="Tahoma" w:hAnsi="Tahoma" w:cs="Tahoma"/>
      <w:noProof/>
      <w:sz w:val="31"/>
      <w:szCs w:val="31"/>
      <w:lang w:val="en-US"/>
    </w:rPr>
  </w:style>
  <w:style w:type="character" w:customStyle="1" w:styleId="264">
    <w:name w:val="Îñíîâíîé òåêñò (26)_"/>
    <w:uiPriority w:val="99"/>
    <w:rsid w:val="00811C95"/>
    <w:rPr>
      <w:rFonts w:ascii="Bookman Old Style" w:hAnsi="Bookman Old Style" w:cs="Bookman Old Style"/>
      <w:sz w:val="9"/>
      <w:szCs w:val="9"/>
    </w:rPr>
  </w:style>
  <w:style w:type="character" w:customStyle="1" w:styleId="280pt24">
    <w:name w:val="Îñíîâíîé òåêñò (2) + Íå êóðñèâ8.Èíòåðâàë 0 pt24"/>
    <w:uiPriority w:val="99"/>
    <w:rsid w:val="00811C95"/>
    <w:rPr>
      <w:rFonts w:ascii="Arial" w:hAnsi="Arial" w:cs="Arial"/>
      <w:i/>
      <w:iCs/>
      <w:spacing w:val="0"/>
      <w:sz w:val="16"/>
      <w:szCs w:val="16"/>
    </w:rPr>
  </w:style>
  <w:style w:type="character" w:customStyle="1" w:styleId="2SimHei2715pt350pt23">
    <w:name w:val="Îñíîâíîé òåêñò (2) + SimHei2.71.5 pt3.Íå êóðñèâ5.Èíòåðâàë 0 pt23"/>
    <w:uiPriority w:val="99"/>
    <w:rsid w:val="00811C95"/>
    <w:rPr>
      <w:rFonts w:ascii="SimHei" w:eastAsia="SimHei" w:hAnsi="Arial" w:cs="SimHei"/>
      <w:i/>
      <w:iCs/>
      <w:spacing w:val="0"/>
      <w:sz w:val="15"/>
      <w:szCs w:val="15"/>
    </w:rPr>
  </w:style>
  <w:style w:type="character" w:customStyle="1" w:styleId="254">
    <w:name w:val="Îñíîâíîé òåêñò (2)5"/>
    <w:uiPriority w:val="99"/>
    <w:rsid w:val="00811C95"/>
    <w:rPr>
      <w:rFonts w:ascii="Arial" w:hAnsi="Arial" w:cs="Arial"/>
      <w:i/>
      <w:iCs/>
      <w:spacing w:val="-10"/>
      <w:sz w:val="16"/>
      <w:szCs w:val="16"/>
      <w:u w:val="single"/>
    </w:rPr>
  </w:style>
  <w:style w:type="character" w:customStyle="1" w:styleId="270pt22">
    <w:name w:val="Îñíîâíîé òåêñò (2) + Íå êóðñèâ7.Èíòåðâàë 0 pt22"/>
    <w:uiPriority w:val="99"/>
    <w:rsid w:val="00811C95"/>
    <w:rPr>
      <w:rFonts w:ascii="Arial" w:hAnsi="Arial" w:cs="Arial"/>
      <w:i/>
      <w:iCs/>
      <w:spacing w:val="0"/>
      <w:sz w:val="16"/>
      <w:szCs w:val="16"/>
    </w:rPr>
  </w:style>
  <w:style w:type="character" w:customStyle="1" w:styleId="2SimHei17pt40pt21">
    <w:name w:val="Îñíîâíîé òåêñò (2) + SimHei1.7 pt.Íå êóðñèâ4.Èíòåðâàë 0 pt21"/>
    <w:uiPriority w:val="99"/>
    <w:rsid w:val="00811C95"/>
    <w:rPr>
      <w:rFonts w:ascii="SimHei" w:eastAsia="SimHei" w:hAnsi="Arial" w:cs="SimHei"/>
      <w:i/>
      <w:iCs/>
      <w:spacing w:val="0"/>
      <w:sz w:val="14"/>
      <w:szCs w:val="14"/>
    </w:rPr>
  </w:style>
  <w:style w:type="character" w:customStyle="1" w:styleId="244">
    <w:name w:val="Îñíîâíîé òåêñò (2)4"/>
    <w:uiPriority w:val="99"/>
    <w:rsid w:val="00811C95"/>
    <w:rPr>
      <w:rFonts w:ascii="Arial" w:hAnsi="Arial" w:cs="Arial"/>
      <w:i/>
      <w:iCs/>
      <w:spacing w:val="-10"/>
      <w:sz w:val="16"/>
      <w:szCs w:val="16"/>
      <w:u w:val="single"/>
    </w:rPr>
  </w:style>
  <w:style w:type="character" w:customStyle="1" w:styleId="236">
    <w:name w:val="Îñíîâíîé òåêñò (2)3"/>
    <w:uiPriority w:val="99"/>
    <w:rsid w:val="00811C95"/>
    <w:rPr>
      <w:rFonts w:ascii="Arial" w:hAnsi="Arial" w:cs="Arial"/>
      <w:i/>
      <w:iCs/>
      <w:spacing w:val="-10"/>
      <w:sz w:val="16"/>
      <w:szCs w:val="16"/>
      <w:u w:val="single"/>
    </w:rPr>
  </w:style>
  <w:style w:type="character" w:customStyle="1" w:styleId="260pt20">
    <w:name w:val="Îñíîâíîé òåêñò (2) + Íå êóðñèâ6.Èíòåðâàë 0 pt20"/>
    <w:uiPriority w:val="99"/>
    <w:rsid w:val="00811C95"/>
    <w:rPr>
      <w:rFonts w:ascii="Arial" w:hAnsi="Arial" w:cs="Arial"/>
      <w:i/>
      <w:iCs/>
      <w:spacing w:val="0"/>
      <w:sz w:val="16"/>
      <w:szCs w:val="16"/>
    </w:rPr>
  </w:style>
  <w:style w:type="character" w:customStyle="1" w:styleId="228">
    <w:name w:val="Îñíîâíîé òåêñò (2)2"/>
    <w:uiPriority w:val="99"/>
    <w:rsid w:val="00811C95"/>
    <w:rPr>
      <w:rFonts w:ascii="Arial" w:hAnsi="Arial" w:cs="Arial"/>
      <w:i/>
      <w:iCs/>
      <w:spacing w:val="-10"/>
      <w:sz w:val="16"/>
      <w:szCs w:val="16"/>
      <w:u w:val="single"/>
    </w:rPr>
  </w:style>
  <w:style w:type="character" w:customStyle="1" w:styleId="9a">
    <w:name w:val="Îñíîâíîé òåêñò (9)_"/>
    <w:uiPriority w:val="99"/>
    <w:rsid w:val="00811C95"/>
    <w:rPr>
      <w:rFonts w:ascii="Arial" w:hAnsi="Arial" w:cs="Arial"/>
      <w:i/>
      <w:iCs/>
      <w:sz w:val="14"/>
      <w:szCs w:val="14"/>
    </w:rPr>
  </w:style>
  <w:style w:type="paragraph" w:customStyle="1" w:styleId="912">
    <w:name w:val="Îñíîâíîé òåêñò (9)1"/>
    <w:basedOn w:val="a"/>
    <w:uiPriority w:val="99"/>
    <w:rsid w:val="00811C95"/>
    <w:pPr>
      <w:shd w:val="clear" w:color="auto" w:fill="FFFFFF"/>
      <w:autoSpaceDE w:val="0"/>
      <w:autoSpaceDN w:val="0"/>
      <w:adjustRightInd w:val="0"/>
      <w:spacing w:after="0" w:line="148" w:lineRule="exact"/>
      <w:ind w:hanging="2020"/>
    </w:pPr>
    <w:rPr>
      <w:rFonts w:ascii="Arial" w:hAnsi="Arial" w:cs="Arial"/>
      <w:i/>
      <w:iCs/>
      <w:noProof/>
      <w:sz w:val="14"/>
      <w:szCs w:val="14"/>
      <w:lang w:val="en-US"/>
    </w:rPr>
  </w:style>
  <w:style w:type="character" w:customStyle="1" w:styleId="5f0">
    <w:name w:val="Çàãîëîâîê ¹5_"/>
    <w:uiPriority w:val="99"/>
    <w:rsid w:val="00811C95"/>
    <w:rPr>
      <w:rFonts w:ascii="Tahoma" w:hAnsi="Tahoma" w:cs="Tahoma"/>
      <w:sz w:val="31"/>
      <w:szCs w:val="31"/>
    </w:rPr>
  </w:style>
  <w:style w:type="character" w:customStyle="1" w:styleId="100pt19">
    <w:name w:val="Îñíîâíîé òåêñò + Êóðñèâ10.Èíòåðâàë 0 pt19"/>
    <w:uiPriority w:val="99"/>
    <w:rsid w:val="00811C95"/>
    <w:rPr>
      <w:rFonts w:ascii="Arial" w:hAnsi="Arial" w:cs="Arial"/>
      <w:i/>
      <w:iCs/>
      <w:spacing w:val="-10"/>
      <w:sz w:val="16"/>
      <w:szCs w:val="16"/>
    </w:rPr>
  </w:style>
  <w:style w:type="paragraph" w:customStyle="1" w:styleId="5f1">
    <w:name w:val="Çàãîëîâîê ¹5"/>
    <w:basedOn w:val="a"/>
    <w:uiPriority w:val="99"/>
    <w:rsid w:val="00811C95"/>
    <w:pPr>
      <w:shd w:val="clear" w:color="auto" w:fill="FFFFFF"/>
      <w:autoSpaceDE w:val="0"/>
      <w:autoSpaceDN w:val="0"/>
      <w:adjustRightInd w:val="0"/>
      <w:spacing w:after="60" w:line="240" w:lineRule="atLeast"/>
    </w:pPr>
    <w:rPr>
      <w:rFonts w:ascii="Tahoma" w:hAnsi="Tahoma" w:cs="Tahoma"/>
      <w:noProof/>
      <w:sz w:val="31"/>
      <w:szCs w:val="31"/>
      <w:lang w:val="en-US"/>
    </w:rPr>
  </w:style>
  <w:style w:type="character" w:customStyle="1" w:styleId="5f2">
    <w:name w:val="Îñíîâíîé òåêñò (5)_"/>
    <w:uiPriority w:val="99"/>
    <w:rsid w:val="00811C95"/>
    <w:rPr>
      <w:i/>
      <w:iCs/>
      <w:sz w:val="16"/>
      <w:szCs w:val="16"/>
    </w:rPr>
  </w:style>
  <w:style w:type="character" w:customStyle="1" w:styleId="5136">
    <w:name w:val="Îñíîâíîé òåêñò (5)136"/>
    <w:uiPriority w:val="99"/>
    <w:rsid w:val="00811C95"/>
    <w:rPr>
      <w:i/>
      <w:iCs/>
      <w:sz w:val="16"/>
      <w:szCs w:val="16"/>
    </w:rPr>
  </w:style>
  <w:style w:type="character" w:customStyle="1" w:styleId="58545pt75630pt128">
    <w:name w:val="Îñíîâíîé òåêñò (5) + 854.5 pt75.Íå êóðñèâ63.Èíòåðâàë 0 pt128"/>
    <w:uiPriority w:val="99"/>
    <w:rsid w:val="00811C95"/>
    <w:rPr>
      <w:i/>
      <w:iCs/>
      <w:spacing w:val="-10"/>
      <w:sz w:val="17"/>
      <w:szCs w:val="17"/>
    </w:rPr>
  </w:style>
  <w:style w:type="character" w:customStyle="1" w:styleId="5133">
    <w:name w:val="Îñíîâíîé òåêñò (5)133"/>
    <w:uiPriority w:val="99"/>
    <w:rsid w:val="00811C95"/>
    <w:rPr>
      <w:rFonts w:ascii="Arial Unicode MS" w:eastAsia="Arial Unicode MS" w:cs="Arial Unicode MS"/>
      <w:i/>
      <w:iCs/>
      <w:noProof/>
      <w:sz w:val="16"/>
      <w:szCs w:val="16"/>
    </w:rPr>
  </w:style>
  <w:style w:type="character" w:customStyle="1" w:styleId="5132">
    <w:name w:val="Îñíîâíîé òåêñò (5)132"/>
    <w:uiPriority w:val="99"/>
    <w:rsid w:val="00811C95"/>
    <w:rPr>
      <w:rFonts w:ascii="Arial Unicode MS" w:eastAsia="Arial Unicode MS" w:cs="Arial Unicode MS"/>
      <w:i/>
      <w:iCs/>
      <w:noProof/>
      <w:sz w:val="16"/>
      <w:szCs w:val="16"/>
    </w:rPr>
  </w:style>
  <w:style w:type="character" w:customStyle="1" w:styleId="5131">
    <w:name w:val="Îñíîâíîé òåêñò (5)131"/>
    <w:uiPriority w:val="99"/>
    <w:rsid w:val="00811C95"/>
    <w:rPr>
      <w:i/>
      <w:iCs/>
      <w:sz w:val="16"/>
      <w:szCs w:val="16"/>
    </w:rPr>
  </w:style>
  <w:style w:type="character" w:customStyle="1" w:styleId="5130">
    <w:name w:val="Îñíîâíîé òåêñò (5)130"/>
    <w:uiPriority w:val="99"/>
    <w:rsid w:val="00811C95"/>
    <w:rPr>
      <w:rFonts w:ascii="Arial Unicode MS" w:eastAsia="Arial Unicode MS" w:cs="Arial Unicode MS"/>
      <w:i/>
      <w:iCs/>
      <w:noProof/>
      <w:sz w:val="16"/>
      <w:szCs w:val="16"/>
    </w:rPr>
  </w:style>
  <w:style w:type="paragraph" w:customStyle="1" w:styleId="513">
    <w:name w:val="Îñíîâíîé òåêñò (5)1"/>
    <w:basedOn w:val="a"/>
    <w:uiPriority w:val="99"/>
    <w:rsid w:val="00811C95"/>
    <w:pPr>
      <w:shd w:val="clear" w:color="auto" w:fill="FFFFFF"/>
      <w:autoSpaceDE w:val="0"/>
      <w:autoSpaceDN w:val="0"/>
      <w:adjustRightInd w:val="0"/>
      <w:spacing w:after="0" w:line="186" w:lineRule="exact"/>
      <w:ind w:hanging="500"/>
    </w:pPr>
    <w:rPr>
      <w:rFonts w:ascii="Times New Roman" w:hAnsi="Times New Roman"/>
      <w:i/>
      <w:iCs/>
      <w:noProof/>
      <w:sz w:val="16"/>
      <w:szCs w:val="16"/>
      <w:lang w:val="en-US"/>
    </w:rPr>
  </w:style>
  <w:style w:type="character" w:customStyle="1" w:styleId="5117">
    <w:name w:val="Îñíîâíîé òåêñò (5)117"/>
    <w:uiPriority w:val="99"/>
    <w:rsid w:val="00811C95"/>
    <w:rPr>
      <w:i/>
      <w:iCs/>
      <w:spacing w:val="0"/>
      <w:sz w:val="16"/>
      <w:szCs w:val="16"/>
    </w:rPr>
  </w:style>
  <w:style w:type="character" w:customStyle="1" w:styleId="5116">
    <w:name w:val="Îñíîâíîé òåêñò (5)116"/>
    <w:uiPriority w:val="99"/>
    <w:rsid w:val="00811C95"/>
    <w:rPr>
      <w:i/>
      <w:iCs/>
      <w:spacing w:val="0"/>
      <w:sz w:val="16"/>
      <w:szCs w:val="16"/>
    </w:rPr>
  </w:style>
  <w:style w:type="character" w:customStyle="1" w:styleId="5113">
    <w:name w:val="Îñíîâíîé òåêñò (5)113"/>
    <w:uiPriority w:val="99"/>
    <w:rsid w:val="00811C95"/>
    <w:rPr>
      <w:i/>
      <w:iCs/>
      <w:spacing w:val="0"/>
      <w:sz w:val="16"/>
      <w:szCs w:val="16"/>
      <w:u w:val="single"/>
    </w:rPr>
  </w:style>
  <w:style w:type="character" w:customStyle="1" w:styleId="5106">
    <w:name w:val="Îñíîâíîé òåêñò (5)106"/>
    <w:uiPriority w:val="99"/>
    <w:rsid w:val="00811C95"/>
    <w:rPr>
      <w:i/>
      <w:iCs/>
      <w:spacing w:val="0"/>
      <w:sz w:val="16"/>
      <w:szCs w:val="16"/>
    </w:rPr>
  </w:style>
  <w:style w:type="character" w:customStyle="1" w:styleId="5105">
    <w:name w:val="Îñíîâíîé òåêñò (5)105"/>
    <w:uiPriority w:val="99"/>
    <w:rsid w:val="00811C95"/>
    <w:rPr>
      <w:rFonts w:ascii="Arial Unicode MS" w:eastAsia="Arial Unicode MS" w:cs="Arial Unicode MS"/>
      <w:i/>
      <w:iCs/>
      <w:noProof/>
      <w:spacing w:val="0"/>
      <w:sz w:val="16"/>
      <w:szCs w:val="16"/>
    </w:rPr>
  </w:style>
  <w:style w:type="character" w:customStyle="1" w:styleId="5104">
    <w:name w:val="Îñíîâíîé òåêñò (5)104"/>
    <w:uiPriority w:val="99"/>
    <w:rsid w:val="00811C95"/>
    <w:rPr>
      <w:i/>
      <w:iCs/>
      <w:spacing w:val="0"/>
      <w:sz w:val="16"/>
      <w:szCs w:val="16"/>
      <w:u w:val="single"/>
    </w:rPr>
  </w:style>
  <w:style w:type="character" w:customStyle="1" w:styleId="5103">
    <w:name w:val="Îñíîâíîé òåêñò (5)103"/>
    <w:uiPriority w:val="99"/>
    <w:rsid w:val="00811C95"/>
    <w:rPr>
      <w:rFonts w:ascii="Arial Unicode MS" w:eastAsia="Arial Unicode MS" w:cs="Arial Unicode MS"/>
      <w:i/>
      <w:iCs/>
      <w:noProof/>
      <w:spacing w:val="0"/>
      <w:sz w:val="16"/>
      <w:szCs w:val="16"/>
    </w:rPr>
  </w:style>
  <w:style w:type="character" w:customStyle="1" w:styleId="5102">
    <w:name w:val="Îñíîâíîé òåêñò (5)102"/>
    <w:uiPriority w:val="99"/>
    <w:rsid w:val="00811C95"/>
    <w:rPr>
      <w:rFonts w:ascii="Arial Unicode MS" w:eastAsia="Arial Unicode MS" w:cs="Arial Unicode MS"/>
      <w:i/>
      <w:iCs/>
      <w:noProof/>
      <w:spacing w:val="0"/>
      <w:sz w:val="16"/>
      <w:szCs w:val="16"/>
    </w:rPr>
  </w:style>
  <w:style w:type="character" w:customStyle="1" w:styleId="531">
    <w:name w:val="Çàãîëîâîê ¹53"/>
    <w:uiPriority w:val="99"/>
    <w:rsid w:val="00811C95"/>
    <w:rPr>
      <w:rFonts w:ascii="Arial Unicode MS" w:eastAsia="Arial Unicode MS" w:hAnsi="Tahoma" w:cs="Arial Unicode MS"/>
      <w:i/>
      <w:iCs/>
      <w:noProof/>
      <w:sz w:val="16"/>
      <w:szCs w:val="16"/>
    </w:rPr>
  </w:style>
  <w:style w:type="character" w:customStyle="1" w:styleId="58485pt69580pt120">
    <w:name w:val="Îñíîâíîé òåêñò (5) + 848.5 pt69.Íå êóðñèâ58.Èíòåðâàë 0 pt120"/>
    <w:uiPriority w:val="99"/>
    <w:rsid w:val="00811C95"/>
    <w:rPr>
      <w:i/>
      <w:iCs/>
      <w:spacing w:val="-10"/>
      <w:sz w:val="17"/>
      <w:szCs w:val="17"/>
    </w:rPr>
  </w:style>
  <w:style w:type="character" w:customStyle="1" w:styleId="523">
    <w:name w:val="Çàãîëîâîê ¹52"/>
    <w:uiPriority w:val="99"/>
    <w:rsid w:val="00811C95"/>
    <w:rPr>
      <w:rFonts w:ascii="Tahoma" w:hAnsi="Tahoma" w:cs="Tahoma"/>
      <w:i/>
      <w:iCs/>
      <w:sz w:val="16"/>
      <w:szCs w:val="16"/>
      <w:u w:val="single"/>
    </w:rPr>
  </w:style>
  <w:style w:type="paragraph" w:customStyle="1" w:styleId="514">
    <w:name w:val="Çàãîëîâîê ¹51"/>
    <w:basedOn w:val="a"/>
    <w:uiPriority w:val="99"/>
    <w:rsid w:val="00811C95"/>
    <w:pPr>
      <w:shd w:val="clear" w:color="auto" w:fill="FFFFFF"/>
      <w:autoSpaceDE w:val="0"/>
      <w:autoSpaceDN w:val="0"/>
      <w:adjustRightInd w:val="0"/>
      <w:spacing w:after="0" w:line="211" w:lineRule="exact"/>
      <w:jc w:val="both"/>
    </w:pPr>
    <w:rPr>
      <w:rFonts w:ascii="Times New Roman" w:hAnsi="Times New Roman"/>
      <w:i/>
      <w:iCs/>
      <w:noProof/>
      <w:sz w:val="16"/>
      <w:szCs w:val="16"/>
      <w:lang w:val="en-US"/>
    </w:rPr>
  </w:style>
  <w:style w:type="character" w:customStyle="1" w:styleId="5101">
    <w:name w:val="Îñíîâíîé òåêñò (5)101"/>
    <w:uiPriority w:val="99"/>
    <w:rsid w:val="00811C95"/>
    <w:rPr>
      <w:i/>
      <w:iCs/>
      <w:spacing w:val="0"/>
      <w:sz w:val="16"/>
      <w:szCs w:val="16"/>
    </w:rPr>
  </w:style>
  <w:style w:type="character" w:customStyle="1" w:styleId="5100">
    <w:name w:val="Îñíîâíîé òåêñò (5)100"/>
    <w:uiPriority w:val="99"/>
    <w:rsid w:val="00811C95"/>
    <w:rPr>
      <w:rFonts w:ascii="Arial Unicode MS" w:eastAsia="Arial Unicode MS" w:cs="Arial Unicode MS"/>
      <w:i/>
      <w:iCs/>
      <w:noProof/>
      <w:spacing w:val="0"/>
      <w:sz w:val="16"/>
      <w:szCs w:val="16"/>
    </w:rPr>
  </w:style>
  <w:style w:type="character" w:customStyle="1" w:styleId="599">
    <w:name w:val="Îñíîâíîé òåêñò (5)99"/>
    <w:uiPriority w:val="99"/>
    <w:rsid w:val="00811C95"/>
    <w:rPr>
      <w:rFonts w:ascii="Arial Unicode MS" w:eastAsia="Arial Unicode MS" w:cs="Arial Unicode MS"/>
      <w:i/>
      <w:iCs/>
      <w:noProof/>
      <w:spacing w:val="0"/>
      <w:sz w:val="16"/>
      <w:szCs w:val="16"/>
    </w:rPr>
  </w:style>
  <w:style w:type="character" w:customStyle="1" w:styleId="58475pt68570pt119">
    <w:name w:val="Îñíîâíîé òåêñò (5) + 847.5 pt68.Íå êóðñèâ57.Èíòåðâàë 0 pt119"/>
    <w:uiPriority w:val="99"/>
    <w:rsid w:val="00811C95"/>
    <w:rPr>
      <w:i/>
      <w:iCs/>
      <w:spacing w:val="-10"/>
      <w:sz w:val="17"/>
      <w:szCs w:val="17"/>
    </w:rPr>
  </w:style>
  <w:style w:type="character" w:customStyle="1" w:styleId="598">
    <w:name w:val="Îñíîâíîé òåêñò (5)98"/>
    <w:uiPriority w:val="99"/>
    <w:rsid w:val="00811C95"/>
    <w:rPr>
      <w:i/>
      <w:iCs/>
      <w:spacing w:val="0"/>
      <w:sz w:val="16"/>
      <w:szCs w:val="16"/>
      <w:u w:val="single"/>
    </w:rPr>
  </w:style>
  <w:style w:type="character" w:customStyle="1" w:styleId="597">
    <w:name w:val="Îñíîâíîé òåêñò (5)97"/>
    <w:uiPriority w:val="99"/>
    <w:rsid w:val="00811C95"/>
    <w:rPr>
      <w:rFonts w:ascii="Arial Unicode MS" w:eastAsia="Arial Unicode MS" w:cs="Arial Unicode MS"/>
      <w:i/>
      <w:iCs/>
      <w:noProof/>
      <w:spacing w:val="0"/>
      <w:sz w:val="16"/>
      <w:szCs w:val="16"/>
      <w:u w:val="single"/>
    </w:rPr>
  </w:style>
  <w:style w:type="character" w:customStyle="1" w:styleId="194">
    <w:name w:val="Îñíîâíîé òåêñò (19)_"/>
    <w:uiPriority w:val="99"/>
    <w:rsid w:val="00811C95"/>
    <w:rPr>
      <w:rFonts w:ascii="Arial Narrow" w:hAnsi="Arial Narrow" w:cs="Arial Narrow"/>
      <w:b/>
      <w:bCs/>
      <w:sz w:val="47"/>
      <w:szCs w:val="47"/>
    </w:rPr>
  </w:style>
  <w:style w:type="character" w:customStyle="1" w:styleId="4f3">
    <w:name w:val="Ïîäïèñü ê êàðòèíêå (4)_"/>
    <w:uiPriority w:val="99"/>
    <w:rsid w:val="00811C95"/>
    <w:rPr>
      <w:b/>
      <w:bCs/>
      <w:i/>
      <w:iCs/>
      <w:sz w:val="17"/>
      <w:szCs w:val="17"/>
    </w:rPr>
  </w:style>
  <w:style w:type="character" w:customStyle="1" w:styleId="4f4">
    <w:name w:val="Ïîäïèñü ê êàðòèíêå (4)"/>
    <w:uiPriority w:val="99"/>
    <w:rsid w:val="00811C95"/>
    <w:rPr>
      <w:b/>
      <w:bCs/>
      <w:i/>
      <w:iCs/>
      <w:sz w:val="17"/>
      <w:szCs w:val="17"/>
    </w:rPr>
  </w:style>
  <w:style w:type="character" w:customStyle="1" w:styleId="8pt35450pt1150">
    <w:name w:val="Îñíîâíîé òåêñò + 8 pt35.Êóðñèâ45.Èíòåðâàë 0 pt115"/>
    <w:uiPriority w:val="99"/>
    <w:rsid w:val="00811C95"/>
    <w:rPr>
      <w:rFonts w:ascii="Microsoft Sans Serif" w:hAnsi="Microsoft Sans Serif" w:cs="Microsoft Sans Serif"/>
      <w:i/>
      <w:iCs/>
      <w:spacing w:val="0"/>
      <w:sz w:val="16"/>
      <w:szCs w:val="16"/>
    </w:rPr>
  </w:style>
  <w:style w:type="paragraph" w:customStyle="1" w:styleId="412">
    <w:name w:val="Ïîäïèñü ê êàðòèíêå (4)1"/>
    <w:basedOn w:val="a"/>
    <w:uiPriority w:val="99"/>
    <w:rsid w:val="00811C95"/>
    <w:pPr>
      <w:shd w:val="clear" w:color="auto" w:fill="FFFFFF"/>
      <w:autoSpaceDE w:val="0"/>
      <w:autoSpaceDN w:val="0"/>
      <w:adjustRightInd w:val="0"/>
      <w:spacing w:after="0" w:line="240" w:lineRule="atLeast"/>
    </w:pPr>
    <w:rPr>
      <w:rFonts w:ascii="Times New Roman" w:hAnsi="Times New Roman"/>
      <w:b/>
      <w:bCs/>
      <w:i/>
      <w:iCs/>
      <w:noProof/>
      <w:sz w:val="17"/>
      <w:szCs w:val="17"/>
      <w:lang w:val="en-US"/>
    </w:rPr>
  </w:style>
  <w:style w:type="character" w:customStyle="1" w:styleId="8pt33430pt1130">
    <w:name w:val="Îñíîâíîé òåêñò + 8 pt33.Êóðñèâ43.Èíòåðâàë 0 pt113"/>
    <w:uiPriority w:val="99"/>
    <w:rsid w:val="00811C95"/>
    <w:rPr>
      <w:rFonts w:ascii="Microsoft Sans Serif" w:hAnsi="Microsoft Sans Serif" w:cs="Microsoft Sans Serif"/>
      <w:i/>
      <w:iCs/>
      <w:spacing w:val="0"/>
      <w:sz w:val="16"/>
      <w:szCs w:val="16"/>
    </w:rPr>
  </w:style>
  <w:style w:type="character" w:customStyle="1" w:styleId="8pt32420pt1120">
    <w:name w:val="Îñíîâíîé òåêñò + 8 pt32.Êóðñèâ42.Èíòåðâàë 0 pt112"/>
    <w:uiPriority w:val="99"/>
    <w:rsid w:val="00811C95"/>
    <w:rPr>
      <w:rFonts w:ascii="Arial Unicode MS" w:eastAsia="Arial Unicode MS" w:hAnsi="Microsoft Sans Serif" w:cs="Arial Unicode MS"/>
      <w:i/>
      <w:iCs/>
      <w:noProof/>
      <w:spacing w:val="0"/>
      <w:sz w:val="16"/>
      <w:szCs w:val="16"/>
    </w:rPr>
  </w:style>
  <w:style w:type="character" w:customStyle="1" w:styleId="8pt31410pt1110">
    <w:name w:val="Îñíîâíîé òåêñò + 8 pt31.Êóðñèâ41.Èíòåðâàë 0 pt111"/>
    <w:uiPriority w:val="99"/>
    <w:rsid w:val="00811C95"/>
    <w:rPr>
      <w:rFonts w:ascii="Arial Unicode MS" w:eastAsia="Arial Unicode MS" w:hAnsi="Microsoft Sans Serif" w:cs="Arial Unicode MS"/>
      <w:i/>
      <w:iCs/>
      <w:noProof/>
      <w:spacing w:val="0"/>
      <w:sz w:val="16"/>
      <w:szCs w:val="16"/>
    </w:rPr>
  </w:style>
  <w:style w:type="character" w:customStyle="1" w:styleId="400pt1100">
    <w:name w:val="Îñíîâíîé òåêñò + Ïîëóæèðíûé.Êóðñèâ40.Èíòåðâàë 0 pt110"/>
    <w:uiPriority w:val="99"/>
    <w:rsid w:val="00811C95"/>
    <w:rPr>
      <w:rFonts w:ascii="Microsoft Sans Serif" w:hAnsi="Microsoft Sans Serif" w:cs="Microsoft Sans Serif"/>
      <w:b/>
      <w:bCs/>
      <w:i/>
      <w:iCs/>
      <w:spacing w:val="0"/>
      <w:sz w:val="17"/>
      <w:szCs w:val="17"/>
    </w:rPr>
  </w:style>
  <w:style w:type="character" w:customStyle="1" w:styleId="3fd">
    <w:name w:val="Îñíîâíîé òåêñò (3)_"/>
    <w:uiPriority w:val="99"/>
    <w:rsid w:val="00811C95"/>
    <w:rPr>
      <w:b/>
      <w:bCs/>
      <w:i/>
      <w:iCs/>
      <w:sz w:val="17"/>
      <w:szCs w:val="17"/>
    </w:rPr>
  </w:style>
  <w:style w:type="character" w:customStyle="1" w:styleId="391">
    <w:name w:val="Îñíîâíîé òåêñò (3)9"/>
    <w:uiPriority w:val="99"/>
    <w:rsid w:val="00811C95"/>
    <w:rPr>
      <w:b/>
      <w:bCs/>
      <w:i/>
      <w:iCs/>
      <w:sz w:val="17"/>
      <w:szCs w:val="17"/>
    </w:rPr>
  </w:style>
  <w:style w:type="character" w:customStyle="1" w:styleId="8pt30390pt1090">
    <w:name w:val="Îñíîâíîé òåêñò + 8 pt30.Êóðñèâ39.Èíòåðâàë 0 pt109"/>
    <w:uiPriority w:val="99"/>
    <w:rsid w:val="00811C95"/>
    <w:rPr>
      <w:rFonts w:ascii="Microsoft Sans Serif" w:hAnsi="Microsoft Sans Serif" w:cs="Microsoft Sans Serif"/>
      <w:i/>
      <w:iCs/>
      <w:spacing w:val="0"/>
      <w:sz w:val="16"/>
      <w:szCs w:val="16"/>
    </w:rPr>
  </w:style>
  <w:style w:type="character" w:customStyle="1" w:styleId="8pt29380pt1080">
    <w:name w:val="Îñíîâíîé òåêñò + 8 pt29.Êóðñèâ38.Èíòåðâàë 0 pt108"/>
    <w:uiPriority w:val="99"/>
    <w:rsid w:val="00811C95"/>
    <w:rPr>
      <w:rFonts w:ascii="Arial Unicode MS" w:eastAsia="Arial Unicode MS" w:hAnsi="Microsoft Sans Serif" w:cs="Arial Unicode MS"/>
      <w:i/>
      <w:iCs/>
      <w:noProof/>
      <w:spacing w:val="0"/>
      <w:sz w:val="16"/>
      <w:szCs w:val="16"/>
    </w:rPr>
  </w:style>
  <w:style w:type="character" w:customStyle="1" w:styleId="8pt28370pt1070">
    <w:name w:val="Îñíîâíîé òåêñò + 8 pt28.Êóðñèâ37.Èíòåðâàë 0 pt107"/>
    <w:uiPriority w:val="99"/>
    <w:rsid w:val="00811C95"/>
    <w:rPr>
      <w:rFonts w:ascii="Arial Unicode MS" w:eastAsia="Arial Unicode MS" w:hAnsi="Microsoft Sans Serif" w:cs="Arial Unicode MS"/>
      <w:i/>
      <w:iCs/>
      <w:noProof/>
      <w:spacing w:val="0"/>
      <w:sz w:val="16"/>
      <w:szCs w:val="16"/>
    </w:rPr>
  </w:style>
  <w:style w:type="paragraph" w:customStyle="1" w:styleId="31a">
    <w:name w:val="Îñíîâíîé òåêñò (3)1"/>
    <w:basedOn w:val="a"/>
    <w:uiPriority w:val="99"/>
    <w:rsid w:val="00811C95"/>
    <w:pPr>
      <w:shd w:val="clear" w:color="auto" w:fill="FFFFFF"/>
      <w:autoSpaceDE w:val="0"/>
      <w:autoSpaceDN w:val="0"/>
      <w:adjustRightInd w:val="0"/>
      <w:spacing w:after="0" w:line="240" w:lineRule="atLeast"/>
    </w:pPr>
    <w:rPr>
      <w:rFonts w:ascii="Times New Roman" w:hAnsi="Times New Roman"/>
      <w:b/>
      <w:bCs/>
      <w:i/>
      <w:iCs/>
      <w:noProof/>
      <w:sz w:val="17"/>
      <w:szCs w:val="17"/>
      <w:lang w:val="en-US"/>
    </w:rPr>
  </w:style>
  <w:style w:type="character" w:customStyle="1" w:styleId="8pt27360pt1060">
    <w:name w:val="Îñíîâíîé òåêñò + 8 pt27.Êóðñèâ36.Èíòåðâàë 0 pt106"/>
    <w:uiPriority w:val="99"/>
    <w:rsid w:val="00811C95"/>
    <w:rPr>
      <w:rFonts w:ascii="Microsoft Sans Serif" w:hAnsi="Microsoft Sans Serif" w:cs="Microsoft Sans Serif"/>
      <w:i/>
      <w:iCs/>
      <w:spacing w:val="0"/>
      <w:sz w:val="16"/>
      <w:szCs w:val="16"/>
    </w:rPr>
  </w:style>
  <w:style w:type="character" w:customStyle="1" w:styleId="5790">
    <w:name w:val="Îñíîâíîé òåêñò (5)79"/>
    <w:uiPriority w:val="99"/>
    <w:rsid w:val="00811C95"/>
    <w:rPr>
      <w:i/>
      <w:iCs/>
      <w:spacing w:val="0"/>
      <w:sz w:val="16"/>
      <w:szCs w:val="16"/>
    </w:rPr>
  </w:style>
  <w:style w:type="character" w:customStyle="1" w:styleId="5780">
    <w:name w:val="Îñíîâíîé òåêñò (5)78"/>
    <w:uiPriority w:val="99"/>
    <w:rsid w:val="00811C95"/>
    <w:rPr>
      <w:rFonts w:ascii="Arial Unicode MS" w:eastAsia="Arial Unicode MS" w:cs="Arial Unicode MS"/>
      <w:i/>
      <w:iCs/>
      <w:noProof/>
      <w:spacing w:val="0"/>
      <w:sz w:val="16"/>
      <w:szCs w:val="16"/>
    </w:rPr>
  </w:style>
  <w:style w:type="character" w:customStyle="1" w:styleId="57pt250">
    <w:name w:val="Îñíîâíîé òåêñò (5) + 7 pt.Ïîëóæèðíûé25"/>
    <w:uiPriority w:val="99"/>
    <w:rsid w:val="00811C95"/>
    <w:rPr>
      <w:b/>
      <w:bCs/>
      <w:i/>
      <w:iCs/>
      <w:spacing w:val="0"/>
      <w:sz w:val="14"/>
      <w:szCs w:val="14"/>
    </w:rPr>
  </w:style>
  <w:style w:type="character" w:customStyle="1" w:styleId="57pt1240">
    <w:name w:val="Îñíîâíîé òåêñò (5) + 7 pt1.Ïîëóæèðíûé24"/>
    <w:uiPriority w:val="99"/>
    <w:rsid w:val="00811C95"/>
    <w:rPr>
      <w:b/>
      <w:bCs/>
      <w:i/>
      <w:iCs/>
      <w:spacing w:val="0"/>
      <w:sz w:val="14"/>
      <w:szCs w:val="14"/>
    </w:rPr>
  </w:style>
  <w:style w:type="character" w:customStyle="1" w:styleId="afffff4">
    <w:name w:val="Ñíîñêà_"/>
    <w:uiPriority w:val="99"/>
    <w:rsid w:val="00811C95"/>
    <w:rPr>
      <w:i/>
      <w:iCs/>
      <w:sz w:val="13"/>
      <w:szCs w:val="13"/>
    </w:rPr>
  </w:style>
  <w:style w:type="character" w:customStyle="1" w:styleId="134">
    <w:name w:val="Ñíîñêà13"/>
    <w:uiPriority w:val="99"/>
    <w:rsid w:val="00811C95"/>
    <w:rPr>
      <w:i/>
      <w:iCs/>
      <w:sz w:val="13"/>
      <w:szCs w:val="13"/>
    </w:rPr>
  </w:style>
  <w:style w:type="character" w:customStyle="1" w:styleId="8pt25340pt1040">
    <w:name w:val="Îñíîâíîé òåêñò + 8 pt25.Êóðñèâ34.Èíòåðâàë 0 pt104"/>
    <w:uiPriority w:val="99"/>
    <w:rsid w:val="00811C95"/>
    <w:rPr>
      <w:rFonts w:ascii="Microsoft Sans Serif" w:hAnsi="Microsoft Sans Serif" w:cs="Microsoft Sans Serif"/>
      <w:i/>
      <w:iCs/>
      <w:spacing w:val="0"/>
      <w:sz w:val="16"/>
      <w:szCs w:val="16"/>
    </w:rPr>
  </w:style>
  <w:style w:type="character" w:customStyle="1" w:styleId="8pt22310pt1010">
    <w:name w:val="Îñíîâíîé òåêñò + 8 pt22.Êóðñèâ31.Èíòåðâàë 0 pt101"/>
    <w:uiPriority w:val="99"/>
    <w:rsid w:val="00811C95"/>
    <w:rPr>
      <w:rFonts w:ascii="Arial Unicode MS" w:eastAsia="Arial Unicode MS" w:hAnsi="Microsoft Sans Serif" w:cs="Arial Unicode MS"/>
      <w:i/>
      <w:iCs/>
      <w:noProof/>
      <w:spacing w:val="0"/>
      <w:sz w:val="16"/>
      <w:szCs w:val="16"/>
    </w:rPr>
  </w:style>
  <w:style w:type="character" w:customStyle="1" w:styleId="5770">
    <w:name w:val="Îñíîâíîé òåêñò (5)77"/>
    <w:uiPriority w:val="99"/>
    <w:rsid w:val="00811C95"/>
    <w:rPr>
      <w:i/>
      <w:iCs/>
      <w:spacing w:val="0"/>
      <w:sz w:val="16"/>
      <w:szCs w:val="16"/>
    </w:rPr>
  </w:style>
  <w:style w:type="character" w:customStyle="1" w:styleId="5760">
    <w:name w:val="Îñíîâíîé òåêñò (5)76"/>
    <w:uiPriority w:val="99"/>
    <w:rsid w:val="00811C95"/>
    <w:rPr>
      <w:rFonts w:ascii="Arial Unicode MS" w:eastAsia="Arial Unicode MS" w:cs="Arial Unicode MS"/>
      <w:i/>
      <w:iCs/>
      <w:noProof/>
      <w:spacing w:val="0"/>
      <w:sz w:val="16"/>
      <w:szCs w:val="16"/>
    </w:rPr>
  </w:style>
  <w:style w:type="paragraph" w:customStyle="1" w:styleId="1fd">
    <w:name w:val="Ñíîñêà1"/>
    <w:basedOn w:val="a"/>
    <w:uiPriority w:val="99"/>
    <w:rsid w:val="00811C95"/>
    <w:pPr>
      <w:shd w:val="clear" w:color="auto" w:fill="FFFFFF"/>
      <w:autoSpaceDE w:val="0"/>
      <w:autoSpaceDN w:val="0"/>
      <w:adjustRightInd w:val="0"/>
      <w:spacing w:after="0" w:line="168" w:lineRule="exact"/>
      <w:jc w:val="both"/>
    </w:pPr>
    <w:rPr>
      <w:rFonts w:ascii="Times New Roman" w:hAnsi="Times New Roman"/>
      <w:i/>
      <w:iCs/>
      <w:noProof/>
      <w:sz w:val="13"/>
      <w:szCs w:val="13"/>
      <w:lang w:val="en-US"/>
    </w:rPr>
  </w:style>
  <w:style w:type="paragraph" w:customStyle="1" w:styleId="610">
    <w:name w:val="Çàãîëîâîê ¹61"/>
    <w:basedOn w:val="a"/>
    <w:uiPriority w:val="99"/>
    <w:rsid w:val="00811C95"/>
    <w:pPr>
      <w:shd w:val="clear" w:color="auto" w:fill="FFFFFF"/>
      <w:autoSpaceDE w:val="0"/>
      <w:autoSpaceDN w:val="0"/>
      <w:adjustRightInd w:val="0"/>
      <w:spacing w:before="180" w:after="0" w:line="211" w:lineRule="exact"/>
      <w:ind w:firstLine="280"/>
      <w:jc w:val="both"/>
    </w:pPr>
    <w:rPr>
      <w:rFonts w:ascii="Times New Roman" w:hAnsi="Times New Roman"/>
      <w:b/>
      <w:bCs/>
      <w:i/>
      <w:iCs/>
      <w:noProof/>
      <w:sz w:val="17"/>
      <w:szCs w:val="17"/>
      <w:lang w:val="en-US"/>
    </w:rPr>
  </w:style>
  <w:style w:type="character" w:customStyle="1" w:styleId="8pt21300pt980">
    <w:name w:val="Îñíîâíîé òåêñò + 8 pt21.Êóðñèâ30.Èíòåðâàë 0 pt98"/>
    <w:uiPriority w:val="99"/>
    <w:rsid w:val="00811C95"/>
    <w:rPr>
      <w:rFonts w:ascii="Microsoft Sans Serif" w:hAnsi="Microsoft Sans Serif" w:cs="Microsoft Sans Serif"/>
      <w:i/>
      <w:iCs/>
      <w:spacing w:val="0"/>
      <w:sz w:val="16"/>
      <w:szCs w:val="16"/>
    </w:rPr>
  </w:style>
  <w:style w:type="character" w:customStyle="1" w:styleId="8pt20290pt970">
    <w:name w:val="Îñíîâíîé òåêñò + 8 pt20.Êóðñèâ29.Èíòåðâàë 0 pt97"/>
    <w:uiPriority w:val="99"/>
    <w:rsid w:val="00811C95"/>
    <w:rPr>
      <w:rFonts w:ascii="Microsoft Sans Serif" w:hAnsi="Microsoft Sans Serif" w:cs="Microsoft Sans Serif"/>
      <w:i/>
      <w:iCs/>
      <w:spacing w:val="0"/>
      <w:sz w:val="16"/>
      <w:szCs w:val="16"/>
    </w:rPr>
  </w:style>
  <w:style w:type="character" w:customStyle="1" w:styleId="8pt19280pt96">
    <w:name w:val="Îñíîâíîé òåêñò + 8 pt19.Êóðñèâ28.Èíòåðâàë 0 pt96"/>
    <w:uiPriority w:val="99"/>
    <w:rsid w:val="00811C95"/>
    <w:rPr>
      <w:rFonts w:ascii="Arial Unicode MS" w:eastAsia="Arial Unicode MS" w:hAnsi="Microsoft Sans Serif" w:cs="Arial Unicode MS"/>
      <w:i/>
      <w:iCs/>
      <w:noProof/>
      <w:spacing w:val="0"/>
      <w:sz w:val="16"/>
      <w:szCs w:val="16"/>
    </w:rPr>
  </w:style>
  <w:style w:type="character" w:customStyle="1" w:styleId="8pt18270pt950">
    <w:name w:val="Îñíîâíîé òåêñò + 8 pt18.Êóðñèâ27.Èíòåðâàë 0 pt95"/>
    <w:uiPriority w:val="99"/>
    <w:rsid w:val="00811C95"/>
    <w:rPr>
      <w:rFonts w:ascii="Arial Unicode MS" w:eastAsia="Arial Unicode MS" w:hAnsi="Microsoft Sans Serif" w:cs="Arial Unicode MS"/>
      <w:i/>
      <w:iCs/>
      <w:noProof/>
      <w:spacing w:val="0"/>
      <w:sz w:val="16"/>
      <w:szCs w:val="16"/>
    </w:rPr>
  </w:style>
  <w:style w:type="character" w:customStyle="1" w:styleId="8pt17260pt94">
    <w:name w:val="Îñíîâíîé òåêñò + 8 pt17.Êóðñèâ26.Èíòåðâàë 0 pt94"/>
    <w:uiPriority w:val="99"/>
    <w:rsid w:val="00811C95"/>
    <w:rPr>
      <w:rFonts w:ascii="Microsoft Sans Serif" w:hAnsi="Microsoft Sans Serif" w:cs="Microsoft Sans Serif"/>
      <w:i/>
      <w:iCs/>
      <w:spacing w:val="0"/>
      <w:sz w:val="16"/>
      <w:szCs w:val="16"/>
    </w:rPr>
  </w:style>
  <w:style w:type="character" w:customStyle="1" w:styleId="8pt16250pt93">
    <w:name w:val="Îñíîâíîé òåêñò + 8 pt16.Êóðñèâ25.Èíòåðâàë 0 pt93"/>
    <w:uiPriority w:val="99"/>
    <w:rsid w:val="00811C95"/>
    <w:rPr>
      <w:rFonts w:ascii="Arial Unicode MS" w:eastAsia="Arial Unicode MS" w:hAnsi="Microsoft Sans Serif" w:cs="Arial Unicode MS"/>
      <w:i/>
      <w:iCs/>
      <w:noProof/>
      <w:spacing w:val="0"/>
      <w:sz w:val="16"/>
      <w:szCs w:val="16"/>
    </w:rPr>
  </w:style>
  <w:style w:type="character" w:customStyle="1" w:styleId="7pt230pt92">
    <w:name w:val="Îñíîâíîé òåêñò + 7 pt.Ïîëóæèðíûé23.Èíòåðâàë 0 pt92"/>
    <w:uiPriority w:val="99"/>
    <w:rsid w:val="00811C95"/>
    <w:rPr>
      <w:rFonts w:ascii="Arial Unicode MS" w:eastAsia="Arial Unicode MS" w:hAnsi="Microsoft Sans Serif" w:cs="Arial Unicode MS"/>
      <w:b/>
      <w:bCs/>
      <w:spacing w:val="0"/>
      <w:sz w:val="14"/>
      <w:szCs w:val="14"/>
      <w:lang w:val="en-US"/>
    </w:rPr>
  </w:style>
  <w:style w:type="character" w:customStyle="1" w:styleId="135">
    <w:name w:val="Îñíîâíîé òåêñò (13)_"/>
    <w:uiPriority w:val="99"/>
    <w:rsid w:val="00811C95"/>
    <w:rPr>
      <w:b/>
      <w:bCs/>
      <w:sz w:val="13"/>
      <w:szCs w:val="13"/>
    </w:rPr>
  </w:style>
  <w:style w:type="character" w:customStyle="1" w:styleId="1322">
    <w:name w:val="Îñíîâíîé òåêñò (13)22"/>
    <w:uiPriority w:val="99"/>
    <w:rsid w:val="00811C95"/>
    <w:rPr>
      <w:b/>
      <w:bCs/>
      <w:sz w:val="13"/>
      <w:szCs w:val="13"/>
    </w:rPr>
  </w:style>
  <w:style w:type="character" w:customStyle="1" w:styleId="575">
    <w:name w:val="Îñíîâíîé òåêñò (5)75"/>
    <w:uiPriority w:val="99"/>
    <w:rsid w:val="00811C95"/>
    <w:rPr>
      <w:i/>
      <w:iCs/>
      <w:spacing w:val="0"/>
      <w:sz w:val="16"/>
      <w:szCs w:val="16"/>
    </w:rPr>
  </w:style>
  <w:style w:type="character" w:customStyle="1" w:styleId="574">
    <w:name w:val="Îñíîâíîé òåêñò (5)74"/>
    <w:uiPriority w:val="99"/>
    <w:rsid w:val="00811C95"/>
    <w:rPr>
      <w:rFonts w:ascii="Arial Unicode MS" w:eastAsia="Arial Unicode MS" w:cs="Arial Unicode MS"/>
      <w:i/>
      <w:iCs/>
      <w:noProof/>
      <w:spacing w:val="0"/>
      <w:sz w:val="16"/>
      <w:szCs w:val="16"/>
    </w:rPr>
  </w:style>
  <w:style w:type="character" w:customStyle="1" w:styleId="58455pt61520pt91">
    <w:name w:val="Îñíîâíîé òåêñò (5) + 845.5 pt61.Íå êóðñèâ52.Èíòåðâàë 0 pt91"/>
    <w:uiPriority w:val="99"/>
    <w:rsid w:val="00811C95"/>
    <w:rPr>
      <w:i/>
      <w:iCs/>
      <w:spacing w:val="-10"/>
      <w:sz w:val="17"/>
      <w:szCs w:val="17"/>
    </w:rPr>
  </w:style>
  <w:style w:type="character" w:customStyle="1" w:styleId="58445pt60510pt90">
    <w:name w:val="Îñíîâíîé òåêñò (5) + 844.5 pt60.Íå êóðñèâ51.Èíòåðâàë 0 pt90"/>
    <w:uiPriority w:val="99"/>
    <w:rsid w:val="00811C95"/>
    <w:rPr>
      <w:rFonts w:ascii="Arial Unicode MS" w:eastAsia="Arial Unicode MS" w:cs="Arial Unicode MS"/>
      <w:i/>
      <w:iCs/>
      <w:noProof/>
      <w:spacing w:val="-10"/>
      <w:sz w:val="17"/>
      <w:szCs w:val="17"/>
    </w:rPr>
  </w:style>
  <w:style w:type="paragraph" w:customStyle="1" w:styleId="1310">
    <w:name w:val="Îñíîâíîé òåêñò (13)1"/>
    <w:basedOn w:val="a"/>
    <w:uiPriority w:val="99"/>
    <w:rsid w:val="00811C95"/>
    <w:pPr>
      <w:shd w:val="clear" w:color="auto" w:fill="FFFFFF"/>
      <w:autoSpaceDE w:val="0"/>
      <w:autoSpaceDN w:val="0"/>
      <w:adjustRightInd w:val="0"/>
      <w:spacing w:before="120" w:after="0" w:line="168" w:lineRule="exact"/>
    </w:pPr>
    <w:rPr>
      <w:rFonts w:ascii="Times New Roman" w:hAnsi="Times New Roman"/>
      <w:b/>
      <w:bCs/>
      <w:noProof/>
      <w:sz w:val="13"/>
      <w:szCs w:val="13"/>
      <w:lang w:val="en-US"/>
    </w:rPr>
  </w:style>
  <w:style w:type="character" w:customStyle="1" w:styleId="58435pt59500pt89">
    <w:name w:val="Îñíîâíîé òåêñò (5) + 843.5 pt59.Íå êóðñèâ50.Èíòåðâàë 0 pt89"/>
    <w:uiPriority w:val="99"/>
    <w:rsid w:val="00811C95"/>
    <w:rPr>
      <w:i/>
      <w:iCs/>
      <w:spacing w:val="-10"/>
      <w:sz w:val="17"/>
      <w:szCs w:val="17"/>
    </w:rPr>
  </w:style>
  <w:style w:type="character" w:customStyle="1" w:styleId="573">
    <w:name w:val="Îñíîâíîé òåêñò (5)73"/>
    <w:uiPriority w:val="99"/>
    <w:rsid w:val="00811C95"/>
    <w:rPr>
      <w:i/>
      <w:iCs/>
      <w:spacing w:val="0"/>
      <w:sz w:val="16"/>
      <w:szCs w:val="16"/>
    </w:rPr>
  </w:style>
  <w:style w:type="character" w:customStyle="1" w:styleId="572">
    <w:name w:val="Îñíîâíîé òåêñò (5)72"/>
    <w:uiPriority w:val="99"/>
    <w:rsid w:val="00811C95"/>
    <w:rPr>
      <w:rFonts w:ascii="Arial Unicode MS" w:eastAsia="Arial Unicode MS" w:cs="Arial Unicode MS"/>
      <w:i/>
      <w:iCs/>
      <w:noProof/>
      <w:spacing w:val="0"/>
      <w:sz w:val="16"/>
      <w:szCs w:val="16"/>
    </w:rPr>
  </w:style>
  <w:style w:type="character" w:customStyle="1" w:styleId="58425pt58490pt88">
    <w:name w:val="Îñíîâíîé òåêñò (5) + 842.5 pt58.Íå êóðñèâ49.Èíòåðâàë 0 pt88"/>
    <w:uiPriority w:val="99"/>
    <w:rsid w:val="00811C95"/>
    <w:rPr>
      <w:rFonts w:ascii="Arial Unicode MS" w:eastAsia="Arial Unicode MS" w:cs="Arial Unicode MS"/>
      <w:i/>
      <w:iCs/>
      <w:noProof/>
      <w:spacing w:val="-10"/>
      <w:sz w:val="17"/>
      <w:szCs w:val="17"/>
    </w:rPr>
  </w:style>
  <w:style w:type="character" w:customStyle="1" w:styleId="571">
    <w:name w:val="Îñíîâíîé òåêñò (5)71"/>
    <w:uiPriority w:val="99"/>
    <w:rsid w:val="00811C95"/>
    <w:rPr>
      <w:i/>
      <w:iCs/>
      <w:spacing w:val="0"/>
      <w:sz w:val="16"/>
      <w:szCs w:val="16"/>
    </w:rPr>
  </w:style>
  <w:style w:type="character" w:customStyle="1" w:styleId="570">
    <w:name w:val="Îñíîâíîé òåêñò (5)70"/>
    <w:uiPriority w:val="99"/>
    <w:rsid w:val="00811C95"/>
    <w:rPr>
      <w:rFonts w:ascii="Arial Unicode MS" w:eastAsia="Arial Unicode MS" w:cs="Arial Unicode MS"/>
      <w:i/>
      <w:iCs/>
      <w:noProof/>
      <w:spacing w:val="0"/>
      <w:sz w:val="16"/>
      <w:szCs w:val="16"/>
    </w:rPr>
  </w:style>
  <w:style w:type="character" w:customStyle="1" w:styleId="58415pt5722">
    <w:name w:val="Îñíîâíîé òåêñò (5) + 841.5 pt57.Ïîëóæèðíûé22"/>
    <w:uiPriority w:val="99"/>
    <w:rsid w:val="00811C95"/>
    <w:rPr>
      <w:b/>
      <w:bCs/>
      <w:i/>
      <w:iCs/>
      <w:spacing w:val="0"/>
      <w:sz w:val="17"/>
      <w:szCs w:val="17"/>
    </w:rPr>
  </w:style>
  <w:style w:type="character" w:customStyle="1" w:styleId="206">
    <w:name w:val="Îñíîâíîé òåêñò (20)_"/>
    <w:uiPriority w:val="99"/>
    <w:rsid w:val="00811C95"/>
    <w:rPr>
      <w:b/>
      <w:bCs/>
      <w:i/>
      <w:iCs/>
      <w:sz w:val="15"/>
      <w:szCs w:val="15"/>
    </w:rPr>
  </w:style>
  <w:style w:type="character" w:customStyle="1" w:styleId="207">
    <w:name w:val="Îñíîâíîé òåêñò (20)"/>
    <w:uiPriority w:val="99"/>
    <w:rsid w:val="00811C95"/>
    <w:rPr>
      <w:b/>
      <w:bCs/>
      <w:i/>
      <w:iCs/>
      <w:sz w:val="15"/>
      <w:szCs w:val="15"/>
    </w:rPr>
  </w:style>
  <w:style w:type="character" w:customStyle="1" w:styleId="2030">
    <w:name w:val="Îñíîâíîé òåêñò (20)3"/>
    <w:uiPriority w:val="99"/>
    <w:rsid w:val="00811C95"/>
    <w:rPr>
      <w:rFonts w:ascii="Arial Unicode MS" w:eastAsia="Arial Unicode MS" w:cs="Arial Unicode MS"/>
      <w:b/>
      <w:bCs/>
      <w:i/>
      <w:iCs/>
      <w:noProof/>
      <w:sz w:val="15"/>
      <w:szCs w:val="15"/>
    </w:rPr>
  </w:style>
  <w:style w:type="character" w:customStyle="1" w:styleId="208pt4">
    <w:name w:val="Îñíîâíîé òåêñò (20) + 8 pt.Íå ïîëóæèðíûé4"/>
    <w:uiPriority w:val="99"/>
    <w:rsid w:val="00811C95"/>
    <w:rPr>
      <w:rFonts w:ascii="Arial Unicode MS" w:eastAsia="Arial Unicode MS" w:cs="Arial Unicode MS"/>
      <w:b/>
      <w:bCs/>
      <w:i/>
      <w:iCs/>
      <w:noProof/>
      <w:sz w:val="16"/>
      <w:szCs w:val="16"/>
    </w:rPr>
  </w:style>
  <w:style w:type="character" w:customStyle="1" w:styleId="2020">
    <w:name w:val="Îñíîâíîé òåêñò (20)2"/>
    <w:uiPriority w:val="99"/>
    <w:rsid w:val="00811C95"/>
    <w:rPr>
      <w:b/>
      <w:bCs/>
      <w:i/>
      <w:iCs/>
      <w:sz w:val="15"/>
      <w:szCs w:val="15"/>
    </w:rPr>
  </w:style>
  <w:style w:type="character" w:customStyle="1" w:styleId="2040">
    <w:name w:val="Îñíîâíîé òåêñò (20) + Íå ïîëóæèðíûé.Ìàëûå ïðîïèñíûå4"/>
    <w:uiPriority w:val="99"/>
    <w:rsid w:val="00811C95"/>
    <w:rPr>
      <w:b/>
      <w:bCs/>
      <w:i/>
      <w:iCs/>
      <w:smallCaps/>
      <w:sz w:val="15"/>
      <w:szCs w:val="15"/>
    </w:rPr>
  </w:style>
  <w:style w:type="paragraph" w:customStyle="1" w:styleId="2011">
    <w:name w:val="Îñíîâíîé òåêñò (20)1"/>
    <w:basedOn w:val="a"/>
    <w:uiPriority w:val="99"/>
    <w:rsid w:val="00811C95"/>
    <w:pPr>
      <w:shd w:val="clear" w:color="auto" w:fill="FFFFFF"/>
      <w:autoSpaceDE w:val="0"/>
      <w:autoSpaceDN w:val="0"/>
      <w:adjustRightInd w:val="0"/>
      <w:spacing w:before="180" w:after="0" w:line="216" w:lineRule="exact"/>
      <w:jc w:val="both"/>
    </w:pPr>
    <w:rPr>
      <w:rFonts w:ascii="Times New Roman" w:hAnsi="Times New Roman"/>
      <w:b/>
      <w:bCs/>
      <w:i/>
      <w:iCs/>
      <w:noProof/>
      <w:sz w:val="15"/>
      <w:szCs w:val="15"/>
      <w:lang w:val="en-US"/>
    </w:rPr>
  </w:style>
  <w:style w:type="character" w:customStyle="1" w:styleId="431">
    <w:name w:val="Îñíîâíîé òåêñò (4) + Íå êóðñèâ3"/>
    <w:uiPriority w:val="99"/>
    <w:rsid w:val="00811C95"/>
    <w:rPr>
      <w:rFonts w:ascii="Microsoft Sans Serif" w:hAnsi="Microsoft Sans Serif" w:cs="Microsoft Sans Serif"/>
      <w:i/>
      <w:iCs/>
      <w:sz w:val="15"/>
      <w:szCs w:val="15"/>
    </w:rPr>
  </w:style>
  <w:style w:type="character" w:customStyle="1" w:styleId="490">
    <w:name w:val="Îñíîâíîé òåêñò (4)9"/>
    <w:uiPriority w:val="99"/>
    <w:rsid w:val="00811C95"/>
    <w:rPr>
      <w:rFonts w:ascii="Microsoft Sans Serif" w:hAnsi="Microsoft Sans Serif" w:cs="Microsoft Sans Serif"/>
      <w:i/>
      <w:iCs/>
      <w:sz w:val="15"/>
      <w:szCs w:val="15"/>
      <w:u w:val="single"/>
    </w:rPr>
  </w:style>
  <w:style w:type="character" w:customStyle="1" w:styleId="481">
    <w:name w:val="Îñíîâíîé òåêñò (4)8"/>
    <w:uiPriority w:val="99"/>
    <w:rsid w:val="00811C95"/>
    <w:rPr>
      <w:rFonts w:ascii="Microsoft Sans Serif" w:hAnsi="Microsoft Sans Serif" w:cs="Microsoft Sans Serif"/>
      <w:i/>
      <w:iCs/>
      <w:sz w:val="15"/>
      <w:szCs w:val="15"/>
      <w:u w:val="single"/>
    </w:rPr>
  </w:style>
  <w:style w:type="character" w:customStyle="1" w:styleId="440">
    <w:name w:val="Îñíîâíîé òåêñò (4) + Íå êóðñèâ4"/>
    <w:uiPriority w:val="99"/>
    <w:rsid w:val="00811C95"/>
    <w:rPr>
      <w:rFonts w:ascii="Microsoft Sans Serif" w:hAnsi="Microsoft Sans Serif" w:cs="Microsoft Sans Serif"/>
      <w:i/>
      <w:iCs/>
      <w:sz w:val="15"/>
      <w:szCs w:val="15"/>
    </w:rPr>
  </w:style>
  <w:style w:type="character" w:customStyle="1" w:styleId="471">
    <w:name w:val="Îñíîâíîé òåêñò (4)7"/>
    <w:uiPriority w:val="99"/>
    <w:rsid w:val="00811C95"/>
    <w:rPr>
      <w:rFonts w:ascii="Microsoft Sans Serif" w:hAnsi="Microsoft Sans Serif" w:cs="Microsoft Sans Serif"/>
      <w:i/>
      <w:iCs/>
      <w:sz w:val="15"/>
      <w:szCs w:val="15"/>
      <w:u w:val="single"/>
    </w:rPr>
  </w:style>
  <w:style w:type="character" w:customStyle="1" w:styleId="460">
    <w:name w:val="Îñíîâíîé òåêñò (4)6"/>
    <w:uiPriority w:val="99"/>
    <w:rsid w:val="00811C95"/>
    <w:rPr>
      <w:rFonts w:ascii="Microsoft Sans Serif" w:hAnsi="Microsoft Sans Serif" w:cs="Microsoft Sans Serif"/>
      <w:i/>
      <w:iCs/>
      <w:sz w:val="15"/>
      <w:szCs w:val="15"/>
      <w:u w:val="single"/>
    </w:rPr>
  </w:style>
  <w:style w:type="character" w:customStyle="1" w:styleId="420">
    <w:name w:val="Îñíîâíîé òåêñò (4) + Íå êóðñèâ2"/>
    <w:uiPriority w:val="99"/>
    <w:rsid w:val="00811C95"/>
    <w:rPr>
      <w:rFonts w:ascii="Microsoft Sans Serif" w:hAnsi="Microsoft Sans Serif" w:cs="Microsoft Sans Serif"/>
      <w:i/>
      <w:iCs/>
      <w:sz w:val="15"/>
      <w:szCs w:val="15"/>
    </w:rPr>
  </w:style>
  <w:style w:type="character" w:customStyle="1" w:styleId="450">
    <w:name w:val="Îñíîâíîé òåêñò (4)5"/>
    <w:uiPriority w:val="99"/>
    <w:rsid w:val="00811C95"/>
    <w:rPr>
      <w:rFonts w:ascii="Microsoft Sans Serif" w:hAnsi="Microsoft Sans Serif" w:cs="Microsoft Sans Serif"/>
      <w:i/>
      <w:iCs/>
      <w:sz w:val="15"/>
      <w:szCs w:val="15"/>
      <w:u w:val="single"/>
    </w:rPr>
  </w:style>
  <w:style w:type="character" w:customStyle="1" w:styleId="465pt15122">
    <w:name w:val="Îñíîâíîé òåêñò (4) + 6.5 pt15.Ïîëóæèðíûé12.Íå êóðñèâ2"/>
    <w:uiPriority w:val="99"/>
    <w:rsid w:val="00811C95"/>
    <w:rPr>
      <w:rFonts w:ascii="Microsoft Sans Serif" w:hAnsi="Microsoft Sans Serif" w:cs="Microsoft Sans Serif"/>
      <w:b/>
      <w:bCs/>
      <w:i/>
      <w:iCs/>
      <w:sz w:val="13"/>
      <w:szCs w:val="13"/>
    </w:rPr>
  </w:style>
  <w:style w:type="character" w:customStyle="1" w:styleId="441">
    <w:name w:val="Îñíîâíîé òåêñò (4)4"/>
    <w:uiPriority w:val="99"/>
    <w:rsid w:val="00811C95"/>
    <w:rPr>
      <w:rFonts w:ascii="Microsoft Sans Serif" w:hAnsi="Microsoft Sans Serif" w:cs="Microsoft Sans Serif"/>
      <w:i/>
      <w:iCs/>
      <w:sz w:val="15"/>
      <w:szCs w:val="15"/>
      <w:u w:val="single"/>
    </w:rPr>
  </w:style>
  <w:style w:type="character" w:customStyle="1" w:styleId="432">
    <w:name w:val="Îñíîâíîé òåêñò (4)3"/>
    <w:uiPriority w:val="99"/>
    <w:rsid w:val="00811C95"/>
    <w:rPr>
      <w:rFonts w:ascii="Microsoft Sans Serif" w:hAnsi="Microsoft Sans Serif" w:cs="Microsoft Sans Serif"/>
      <w:i/>
      <w:iCs/>
      <w:sz w:val="15"/>
      <w:szCs w:val="15"/>
      <w:u w:val="single"/>
    </w:rPr>
  </w:style>
  <w:style w:type="character" w:customStyle="1" w:styleId="413">
    <w:name w:val="Îñíîâíîé òåêñò (4) + Íå êóðñèâ1"/>
    <w:uiPriority w:val="99"/>
    <w:rsid w:val="00811C95"/>
    <w:rPr>
      <w:rFonts w:ascii="Microsoft Sans Serif" w:hAnsi="Microsoft Sans Serif" w:cs="Microsoft Sans Serif"/>
      <w:i/>
      <w:iCs/>
      <w:sz w:val="15"/>
      <w:szCs w:val="15"/>
    </w:rPr>
  </w:style>
  <w:style w:type="character" w:customStyle="1" w:styleId="4-1pt">
    <w:name w:val="Îñíîâíîé òåêñò (4) + Èíòåðâàë -1 pt"/>
    <w:uiPriority w:val="99"/>
    <w:rsid w:val="00811C95"/>
    <w:rPr>
      <w:rFonts w:ascii="Microsoft Sans Serif" w:hAnsi="Microsoft Sans Serif" w:cs="Microsoft Sans Serif"/>
      <w:i/>
      <w:iCs/>
      <w:spacing w:val="-20"/>
      <w:sz w:val="15"/>
      <w:szCs w:val="15"/>
    </w:rPr>
  </w:style>
  <w:style w:type="character" w:customStyle="1" w:styleId="3fe">
    <w:name w:val="Îñíîâíîé òåêñò + Êóðñèâ3"/>
    <w:uiPriority w:val="99"/>
    <w:rsid w:val="00811C95"/>
    <w:rPr>
      <w:rFonts w:ascii="Microsoft Sans Serif" w:hAnsi="Microsoft Sans Serif" w:cs="Microsoft Sans Serif"/>
      <w:i/>
      <w:iCs/>
      <w:sz w:val="15"/>
      <w:szCs w:val="15"/>
    </w:rPr>
  </w:style>
  <w:style w:type="character" w:customStyle="1" w:styleId="2ff">
    <w:name w:val="Îñíîâíîé òåêñò + Êóðñèâ2"/>
    <w:uiPriority w:val="99"/>
    <w:rsid w:val="00811C95"/>
    <w:rPr>
      <w:rFonts w:ascii="Microsoft Sans Serif" w:hAnsi="Microsoft Sans Serif" w:cs="Microsoft Sans Serif"/>
      <w:i/>
      <w:iCs/>
      <w:sz w:val="15"/>
      <w:szCs w:val="15"/>
    </w:rPr>
  </w:style>
  <w:style w:type="paragraph" w:customStyle="1" w:styleId="89">
    <w:name w:val="Çàãîëîâîê ¹8"/>
    <w:basedOn w:val="a"/>
    <w:uiPriority w:val="99"/>
    <w:rsid w:val="00811C95"/>
    <w:pPr>
      <w:shd w:val="clear" w:color="auto" w:fill="FFFFFF"/>
      <w:autoSpaceDE w:val="0"/>
      <w:autoSpaceDN w:val="0"/>
      <w:adjustRightInd w:val="0"/>
      <w:spacing w:before="180" w:after="0" w:line="211" w:lineRule="exact"/>
    </w:pPr>
    <w:rPr>
      <w:rFonts w:ascii="Microsoft Sans Serif" w:hAnsi="Microsoft Sans Serif" w:cs="Microsoft Sans Serif"/>
      <w:b/>
      <w:bCs/>
      <w:noProof/>
      <w:sz w:val="17"/>
      <w:szCs w:val="17"/>
      <w:lang w:val="en-US"/>
    </w:rPr>
  </w:style>
  <w:style w:type="paragraph" w:customStyle="1" w:styleId="218">
    <w:name w:val="Îñíîâíîé òåêñò (21)"/>
    <w:basedOn w:val="a"/>
    <w:uiPriority w:val="99"/>
    <w:rsid w:val="00811C95"/>
    <w:pPr>
      <w:shd w:val="clear" w:color="auto" w:fill="FFFFFF"/>
      <w:autoSpaceDE w:val="0"/>
      <w:autoSpaceDN w:val="0"/>
      <w:adjustRightInd w:val="0"/>
      <w:spacing w:after="120" w:line="211" w:lineRule="exact"/>
      <w:ind w:firstLine="280"/>
      <w:jc w:val="both"/>
    </w:pPr>
    <w:rPr>
      <w:rFonts w:ascii="Microsoft Sans Serif" w:hAnsi="Microsoft Sans Serif" w:cs="Microsoft Sans Serif"/>
      <w:b/>
      <w:bCs/>
      <w:i/>
      <w:iCs/>
      <w:noProof/>
      <w:sz w:val="16"/>
      <w:szCs w:val="16"/>
      <w:lang w:val="en-US"/>
    </w:rPr>
  </w:style>
  <w:style w:type="paragraph" w:customStyle="1" w:styleId="1210">
    <w:name w:val="Îñíîâíîé òåêñò (12)1"/>
    <w:basedOn w:val="a"/>
    <w:uiPriority w:val="99"/>
    <w:rsid w:val="00811C95"/>
    <w:pPr>
      <w:shd w:val="clear" w:color="auto" w:fill="FFFFFF"/>
      <w:autoSpaceDE w:val="0"/>
      <w:autoSpaceDN w:val="0"/>
      <w:adjustRightInd w:val="0"/>
      <w:spacing w:before="420" w:after="0" w:line="206" w:lineRule="exact"/>
      <w:jc w:val="both"/>
    </w:pPr>
    <w:rPr>
      <w:rFonts w:ascii="Microsoft Sans Serif" w:hAnsi="Microsoft Sans Serif" w:cs="Microsoft Sans Serif"/>
      <w:i/>
      <w:iCs/>
      <w:noProof/>
      <w:sz w:val="16"/>
      <w:szCs w:val="16"/>
      <w:lang w:val="en-US"/>
    </w:rPr>
  </w:style>
  <w:style w:type="character" w:customStyle="1" w:styleId="200pt65">
    <w:name w:val="Îñíîâíîé òåêñò (20) + Íå êóðñèâ.Èíòåðâàë 0 pt65"/>
    <w:uiPriority w:val="99"/>
    <w:rsid w:val="00811C95"/>
    <w:rPr>
      <w:rFonts w:ascii="Lucida Sans Unicode" w:hAnsi="Lucida Sans Unicode" w:cs="Lucida Sans Unicode"/>
      <w:i/>
      <w:iCs/>
      <w:spacing w:val="-10"/>
      <w:sz w:val="16"/>
      <w:szCs w:val="16"/>
    </w:rPr>
  </w:style>
  <w:style w:type="character" w:customStyle="1" w:styleId="160pt64">
    <w:name w:val="Îñíîâíîé òåêñò + Êóðñèâ16.Èíòåðâàë 0 pt64"/>
    <w:uiPriority w:val="99"/>
    <w:rsid w:val="00811C95"/>
    <w:rPr>
      <w:rFonts w:ascii="Lucida Sans Unicode" w:hAnsi="Lucida Sans Unicode" w:cs="Lucida Sans Unicode"/>
      <w:i/>
      <w:iCs/>
      <w:spacing w:val="0"/>
      <w:sz w:val="16"/>
      <w:szCs w:val="16"/>
    </w:rPr>
  </w:style>
  <w:style w:type="character" w:customStyle="1" w:styleId="20160pt63">
    <w:name w:val="Îñíîâíîé òåêñò (20) + Íå êóðñèâ16.Èíòåðâàë 0 pt63"/>
    <w:uiPriority w:val="99"/>
    <w:rsid w:val="00811C95"/>
    <w:rPr>
      <w:rFonts w:ascii="Lucida Sans Unicode" w:hAnsi="Lucida Sans Unicode" w:cs="Lucida Sans Unicode"/>
      <w:i/>
      <w:iCs/>
      <w:spacing w:val="-10"/>
      <w:sz w:val="16"/>
      <w:szCs w:val="16"/>
    </w:rPr>
  </w:style>
  <w:style w:type="character" w:customStyle="1" w:styleId="2060">
    <w:name w:val="Îñíîâíîé òåêñò (20)6"/>
    <w:uiPriority w:val="99"/>
    <w:rsid w:val="00811C95"/>
    <w:rPr>
      <w:rFonts w:ascii="Lucida Sans Unicode" w:hAnsi="Lucida Sans Unicode" w:cs="Lucida Sans Unicode"/>
      <w:b/>
      <w:bCs/>
      <w:i/>
      <w:iCs/>
      <w:sz w:val="16"/>
      <w:szCs w:val="16"/>
      <w:u w:val="single"/>
    </w:rPr>
  </w:style>
  <w:style w:type="character" w:customStyle="1" w:styleId="20140pt59">
    <w:name w:val="Îñíîâíîé òåêñò (20) + Íå êóðñèâ14.Èíòåðâàë 0 pt59"/>
    <w:uiPriority w:val="99"/>
    <w:rsid w:val="00811C95"/>
    <w:rPr>
      <w:rFonts w:ascii="Lucida Sans Unicode" w:hAnsi="Lucida Sans Unicode" w:cs="Lucida Sans Unicode"/>
      <w:b/>
      <w:bCs/>
      <w:i/>
      <w:iCs/>
      <w:spacing w:val="-10"/>
      <w:sz w:val="16"/>
      <w:szCs w:val="16"/>
    </w:rPr>
  </w:style>
  <w:style w:type="character" w:customStyle="1" w:styleId="140pt58">
    <w:name w:val="Îñíîâíîé òåêñò + Êóðñèâ14.Èíòåðâàë 0 pt58"/>
    <w:uiPriority w:val="99"/>
    <w:rsid w:val="00811C95"/>
    <w:rPr>
      <w:rFonts w:ascii="Lucida Sans Unicode" w:hAnsi="Lucida Sans Unicode" w:cs="Lucida Sans Unicode"/>
      <w:i/>
      <w:iCs/>
      <w:spacing w:val="0"/>
      <w:sz w:val="16"/>
      <w:szCs w:val="16"/>
    </w:rPr>
  </w:style>
  <w:style w:type="character" w:customStyle="1" w:styleId="MSMincho">
    <w:name w:val="Îñíîâíîé òåêñò + MS Mincho"/>
    <w:uiPriority w:val="99"/>
    <w:rsid w:val="00811C95"/>
    <w:rPr>
      <w:rFonts w:ascii="MS Mincho" w:eastAsia="MS Mincho" w:hAnsi="Microsoft Sans Serif" w:cs="MS Mincho"/>
      <w:spacing w:val="-10"/>
      <w:sz w:val="16"/>
      <w:szCs w:val="16"/>
    </w:rPr>
  </w:style>
  <w:style w:type="character" w:customStyle="1" w:styleId="20130pt57">
    <w:name w:val="Îñíîâíîé òåêñò (20) + Íå êóðñèâ13.Èíòåðâàë 0 pt57"/>
    <w:uiPriority w:val="99"/>
    <w:rsid w:val="00811C95"/>
    <w:rPr>
      <w:rFonts w:ascii="Lucida Sans Unicode" w:hAnsi="Lucida Sans Unicode" w:cs="Lucida Sans Unicode"/>
      <w:b/>
      <w:bCs/>
      <w:i/>
      <w:iCs/>
      <w:spacing w:val="-10"/>
      <w:sz w:val="16"/>
      <w:szCs w:val="16"/>
    </w:rPr>
  </w:style>
  <w:style w:type="character" w:customStyle="1" w:styleId="2050">
    <w:name w:val="Îñíîâíîé òåêñò (20)5"/>
    <w:uiPriority w:val="99"/>
    <w:rsid w:val="00811C95"/>
    <w:rPr>
      <w:rFonts w:ascii="Lucida Sans Unicode" w:hAnsi="Lucida Sans Unicode" w:cs="Lucida Sans Unicode"/>
      <w:b/>
      <w:bCs/>
      <w:i/>
      <w:iCs/>
      <w:sz w:val="16"/>
      <w:szCs w:val="16"/>
      <w:u w:val="single"/>
    </w:rPr>
  </w:style>
  <w:style w:type="character" w:customStyle="1" w:styleId="2041">
    <w:name w:val="Îñíîâíîé òåêñò (20)4"/>
    <w:uiPriority w:val="99"/>
    <w:rsid w:val="00811C95"/>
    <w:rPr>
      <w:rFonts w:ascii="Lucida Sans Unicode" w:hAnsi="Lucida Sans Unicode" w:cs="Lucida Sans Unicode"/>
      <w:b/>
      <w:bCs/>
      <w:i/>
      <w:iCs/>
      <w:sz w:val="16"/>
      <w:szCs w:val="16"/>
      <w:u w:val="single"/>
    </w:rPr>
  </w:style>
  <w:style w:type="character" w:customStyle="1" w:styleId="20120pt56">
    <w:name w:val="Îñíîâíîé òåêñò (20) + Íå êóðñèâ12.Èíòåðâàë 0 pt56"/>
    <w:uiPriority w:val="99"/>
    <w:rsid w:val="00811C95"/>
    <w:rPr>
      <w:rFonts w:ascii="Lucida Sans Unicode" w:hAnsi="Lucida Sans Unicode" w:cs="Lucida Sans Unicode"/>
      <w:b/>
      <w:bCs/>
      <w:i/>
      <w:iCs/>
      <w:spacing w:val="-10"/>
      <w:sz w:val="16"/>
      <w:szCs w:val="16"/>
    </w:rPr>
  </w:style>
  <w:style w:type="character" w:customStyle="1" w:styleId="20MSMincho30pt55">
    <w:name w:val="Îñíîâíîé òåêñò (20) + MS Mincho.Íå êóðñèâ3.Èíòåðâàë 0 pt55"/>
    <w:uiPriority w:val="99"/>
    <w:rsid w:val="00811C95"/>
    <w:rPr>
      <w:rFonts w:ascii="MS Mincho" w:eastAsia="MS Mincho" w:cs="MS Mincho"/>
      <w:b/>
      <w:bCs/>
      <w:i/>
      <w:iCs/>
      <w:spacing w:val="-10"/>
      <w:sz w:val="16"/>
      <w:szCs w:val="16"/>
    </w:rPr>
  </w:style>
  <w:style w:type="character" w:customStyle="1" w:styleId="1420">
    <w:name w:val="Îñíîâíîé òåêñò (14)2"/>
    <w:uiPriority w:val="99"/>
    <w:rsid w:val="00811C95"/>
    <w:rPr>
      <w:rFonts w:ascii="Lucida Sans Unicode" w:hAnsi="Lucida Sans Unicode" w:cs="Lucida Sans Unicode"/>
      <w:spacing w:val="-10"/>
      <w:sz w:val="13"/>
      <w:szCs w:val="13"/>
      <w:u w:val="single"/>
    </w:rPr>
  </w:style>
  <w:style w:type="character" w:customStyle="1" w:styleId="20110pt54">
    <w:name w:val="Îñíîâíîé òåêñò (20) + Íå êóðñèâ11.Èíòåðâàë 0 pt54"/>
    <w:uiPriority w:val="99"/>
    <w:rsid w:val="00811C95"/>
    <w:rPr>
      <w:rFonts w:ascii="Lucida Sans Unicode" w:hAnsi="Lucida Sans Unicode" w:cs="Lucida Sans Unicode"/>
      <w:b/>
      <w:bCs/>
      <w:i/>
      <w:iCs/>
      <w:spacing w:val="-10"/>
      <w:sz w:val="16"/>
      <w:szCs w:val="16"/>
    </w:rPr>
  </w:style>
  <w:style w:type="character" w:customStyle="1" w:styleId="720pt41">
    <w:name w:val="Îñíîâíîé òåêñò (7) + Íå êóðñèâ2.Èíòåðâàë 0 pt41"/>
    <w:uiPriority w:val="99"/>
    <w:rsid w:val="00811C95"/>
    <w:rPr>
      <w:rFonts w:ascii="Lucida Sans Unicode" w:hAnsi="Lucida Sans Unicode" w:cs="Lucida Sans Unicode"/>
      <w:i/>
      <w:iCs/>
      <w:spacing w:val="-10"/>
      <w:sz w:val="13"/>
      <w:szCs w:val="13"/>
    </w:rPr>
  </w:style>
  <w:style w:type="character" w:customStyle="1" w:styleId="2090pt380">
    <w:name w:val="Îñíîâíîé òåêñò (20) + Íå êóðñèâ9.Èíòåðâàë 0 pt38"/>
    <w:uiPriority w:val="99"/>
    <w:rsid w:val="00811C95"/>
    <w:rPr>
      <w:rFonts w:ascii="Lucida Sans Unicode" w:hAnsi="Lucida Sans Unicode" w:cs="Lucida Sans Unicode"/>
      <w:b/>
      <w:bCs/>
      <w:i/>
      <w:iCs/>
      <w:spacing w:val="-10"/>
      <w:sz w:val="16"/>
      <w:szCs w:val="16"/>
    </w:rPr>
  </w:style>
  <w:style w:type="character" w:customStyle="1" w:styleId="6pt20">
    <w:name w:val="Îñíîâíîé òåêñò + 6 pt2"/>
    <w:uiPriority w:val="99"/>
    <w:rsid w:val="00811C95"/>
    <w:rPr>
      <w:rFonts w:ascii="Lucida Sans Unicode" w:hAnsi="Lucida Sans Unicode" w:cs="Lucida Sans Unicode"/>
      <w:spacing w:val="-10"/>
      <w:sz w:val="12"/>
      <w:szCs w:val="12"/>
    </w:rPr>
  </w:style>
  <w:style w:type="character" w:customStyle="1" w:styleId="70pt370">
    <w:name w:val="Îñíîâíîé òåêñò + Êóðñèâ7.Èíòåðâàë 0 pt37"/>
    <w:uiPriority w:val="99"/>
    <w:rsid w:val="00811C95"/>
    <w:rPr>
      <w:rFonts w:ascii="Lucida Sans Unicode" w:hAnsi="Lucida Sans Unicode" w:cs="Lucida Sans Unicode"/>
      <w:i/>
      <w:iCs/>
      <w:spacing w:val="0"/>
      <w:sz w:val="16"/>
      <w:szCs w:val="16"/>
    </w:rPr>
  </w:style>
  <w:style w:type="character" w:customStyle="1" w:styleId="60pt360">
    <w:name w:val="Îñíîâíîé òåêñò + Êóðñèâ6.Èíòåðâàë 0 pt36"/>
    <w:uiPriority w:val="99"/>
    <w:rsid w:val="00811C95"/>
    <w:rPr>
      <w:rFonts w:ascii="Lucida Sans Unicode" w:hAnsi="Lucida Sans Unicode" w:cs="Lucida Sans Unicode"/>
      <w:i/>
      <w:iCs/>
      <w:spacing w:val="0"/>
      <w:sz w:val="16"/>
      <w:szCs w:val="16"/>
    </w:rPr>
  </w:style>
  <w:style w:type="character" w:customStyle="1" w:styleId="2080pt350">
    <w:name w:val="Îñíîâíîé òåêñò (20) + Íå êóðñèâ8.Èíòåðâàë 0 pt35"/>
    <w:uiPriority w:val="99"/>
    <w:rsid w:val="00811C95"/>
    <w:rPr>
      <w:rFonts w:ascii="Lucida Sans Unicode" w:hAnsi="Lucida Sans Unicode" w:cs="Lucida Sans Unicode"/>
      <w:b/>
      <w:bCs/>
      <w:i/>
      <w:iCs/>
      <w:spacing w:val="-10"/>
      <w:sz w:val="16"/>
      <w:szCs w:val="16"/>
    </w:rPr>
  </w:style>
  <w:style w:type="character" w:customStyle="1" w:styleId="50pt340">
    <w:name w:val="Îñíîâíîé òåêñò + Êóðñèâ5.Èíòåðâàë 0 pt34"/>
    <w:uiPriority w:val="99"/>
    <w:rsid w:val="00811C95"/>
    <w:rPr>
      <w:rFonts w:ascii="Lucida Sans Unicode" w:hAnsi="Lucida Sans Unicode" w:cs="Lucida Sans Unicode"/>
      <w:i/>
      <w:iCs/>
      <w:spacing w:val="0"/>
      <w:sz w:val="16"/>
      <w:szCs w:val="16"/>
    </w:rPr>
  </w:style>
  <w:style w:type="character" w:customStyle="1" w:styleId="14ArialNarrow10pt390">
    <w:name w:val="Îñíîâíîé òåêñò (14) + Arial Narrow1.Ìàëûå ïðîïèñíûå.Èíòåðâàë 0 pt39"/>
    <w:uiPriority w:val="99"/>
    <w:rsid w:val="00811C95"/>
    <w:rPr>
      <w:rFonts w:ascii="Arial Narrow" w:hAnsi="Arial Narrow" w:cs="Arial Narrow"/>
      <w:smallCaps/>
      <w:spacing w:val="0"/>
      <w:sz w:val="13"/>
      <w:szCs w:val="13"/>
    </w:rPr>
  </w:style>
  <w:style w:type="character" w:customStyle="1" w:styleId="2070pt330">
    <w:name w:val="Îñíîâíîé òåêñò (20) + Íå êóðñèâ7.Èíòåðâàë 0 pt33"/>
    <w:uiPriority w:val="99"/>
    <w:rsid w:val="00811C95"/>
    <w:rPr>
      <w:rFonts w:ascii="Lucida Sans Unicode" w:hAnsi="Lucida Sans Unicode" w:cs="Lucida Sans Unicode"/>
      <w:b/>
      <w:bCs/>
      <w:i/>
      <w:iCs/>
      <w:spacing w:val="-10"/>
      <w:sz w:val="16"/>
      <w:szCs w:val="16"/>
    </w:rPr>
  </w:style>
  <w:style w:type="character" w:customStyle="1" w:styleId="40pt320">
    <w:name w:val="Îñíîâíîé òåêñò + Êóðñèâ4.Èíòåðâàë 0 pt32"/>
    <w:uiPriority w:val="99"/>
    <w:rsid w:val="00811C95"/>
    <w:rPr>
      <w:rFonts w:ascii="Lucida Sans Unicode" w:hAnsi="Lucida Sans Unicode" w:cs="Lucida Sans Unicode"/>
      <w:i/>
      <w:iCs/>
      <w:spacing w:val="0"/>
      <w:sz w:val="16"/>
      <w:szCs w:val="16"/>
    </w:rPr>
  </w:style>
  <w:style w:type="character" w:customStyle="1" w:styleId="2060pt31">
    <w:name w:val="Îñíîâíîé òåêñò (20) + Íå êóðñèâ6.Èíòåðâàë 0 pt31"/>
    <w:uiPriority w:val="99"/>
    <w:rsid w:val="00811C95"/>
    <w:rPr>
      <w:rFonts w:ascii="Lucida Sans Unicode" w:hAnsi="Lucida Sans Unicode" w:cs="Lucida Sans Unicode"/>
      <w:b/>
      <w:bCs/>
      <w:i/>
      <w:iCs/>
      <w:spacing w:val="-10"/>
      <w:sz w:val="16"/>
      <w:szCs w:val="16"/>
    </w:rPr>
  </w:style>
  <w:style w:type="character" w:customStyle="1" w:styleId="2050pt300">
    <w:name w:val="Îñíîâíîé òåêñò (20) + Íå êóðñèâ5.Èíòåðâàë 0 pt30"/>
    <w:uiPriority w:val="99"/>
    <w:rsid w:val="00811C95"/>
    <w:rPr>
      <w:rFonts w:ascii="Lucida Sans Unicode" w:hAnsi="Lucida Sans Unicode" w:cs="Lucida Sans Unicode"/>
      <w:b/>
      <w:bCs/>
      <w:i/>
      <w:iCs/>
      <w:spacing w:val="-10"/>
      <w:sz w:val="16"/>
      <w:szCs w:val="16"/>
    </w:rPr>
  </w:style>
  <w:style w:type="character" w:customStyle="1" w:styleId="30pt290">
    <w:name w:val="Îñíîâíîé òåêñò + Êóðñèâ3.Èíòåðâàë 0 pt29"/>
    <w:uiPriority w:val="99"/>
    <w:rsid w:val="00811C95"/>
    <w:rPr>
      <w:rFonts w:ascii="Lucida Sans Unicode" w:hAnsi="Lucida Sans Unicode" w:cs="Lucida Sans Unicode"/>
      <w:i/>
      <w:iCs/>
      <w:spacing w:val="0"/>
      <w:sz w:val="16"/>
      <w:szCs w:val="16"/>
    </w:rPr>
  </w:style>
  <w:style w:type="character" w:customStyle="1" w:styleId="20pt280">
    <w:name w:val="Îñíîâíîé òåêñò + Êóðñèâ2.Èíòåðâàë 0 pt28"/>
    <w:uiPriority w:val="99"/>
    <w:rsid w:val="00811C95"/>
    <w:rPr>
      <w:rFonts w:ascii="Lucida Sans Unicode" w:hAnsi="Lucida Sans Unicode" w:cs="Lucida Sans Unicode"/>
      <w:i/>
      <w:iCs/>
      <w:spacing w:val="0"/>
      <w:sz w:val="16"/>
      <w:szCs w:val="16"/>
    </w:rPr>
  </w:style>
  <w:style w:type="character" w:customStyle="1" w:styleId="8ArialNarrow211pt215">
    <w:name w:val="Çàãîëîâîê ¹8 + Arial Narrow2.11 pt2.Ïîëóæèðíûé15"/>
    <w:uiPriority w:val="99"/>
    <w:rsid w:val="00811C95"/>
    <w:rPr>
      <w:rFonts w:ascii="Arial Narrow" w:hAnsi="Arial Narrow" w:cs="Arial Narrow"/>
      <w:b/>
      <w:bCs/>
      <w:sz w:val="22"/>
      <w:szCs w:val="22"/>
    </w:rPr>
  </w:style>
  <w:style w:type="character" w:customStyle="1" w:styleId="8ArialNarrow19pt">
    <w:name w:val="Çàãîëîâîê ¹8 + Arial Narrow1.9 pt"/>
    <w:uiPriority w:val="99"/>
    <w:rsid w:val="00811C95"/>
    <w:rPr>
      <w:rFonts w:ascii="Arial Narrow" w:hAnsi="Arial Narrow" w:cs="Arial Narrow"/>
      <w:sz w:val="18"/>
      <w:szCs w:val="18"/>
    </w:rPr>
  </w:style>
  <w:style w:type="paragraph" w:customStyle="1" w:styleId="237">
    <w:name w:val="Îñíîâíîé òåêñò (23)"/>
    <w:basedOn w:val="a"/>
    <w:uiPriority w:val="99"/>
    <w:rsid w:val="00811C95"/>
    <w:pPr>
      <w:shd w:val="clear" w:color="auto" w:fill="FFFFFF"/>
      <w:autoSpaceDE w:val="0"/>
      <w:autoSpaceDN w:val="0"/>
      <w:adjustRightInd w:val="0"/>
      <w:spacing w:after="0" w:line="240" w:lineRule="atLeast"/>
    </w:pPr>
    <w:rPr>
      <w:rFonts w:ascii="Bookman Old Style" w:hAnsi="Bookman Old Style" w:cs="Bookman Old Style"/>
      <w:noProof/>
      <w:sz w:val="8"/>
      <w:szCs w:val="8"/>
      <w:lang w:val="en-US"/>
    </w:rPr>
  </w:style>
  <w:style w:type="paragraph" w:customStyle="1" w:styleId="277">
    <w:name w:val="Îñíîâíîé òåêñò (27)"/>
    <w:basedOn w:val="a"/>
    <w:uiPriority w:val="99"/>
    <w:rsid w:val="00811C95"/>
    <w:pPr>
      <w:shd w:val="clear" w:color="auto" w:fill="FFFFFF"/>
      <w:autoSpaceDE w:val="0"/>
      <w:autoSpaceDN w:val="0"/>
      <w:adjustRightInd w:val="0"/>
      <w:spacing w:before="300" w:after="0" w:line="168" w:lineRule="exact"/>
    </w:pPr>
    <w:rPr>
      <w:rFonts w:ascii="Lucida Sans Unicode" w:hAnsi="Lucida Sans Unicode" w:cs="Lucida Sans Unicode"/>
      <w:i/>
      <w:iCs/>
      <w:noProof/>
      <w:sz w:val="13"/>
      <w:szCs w:val="13"/>
      <w:lang w:val="en-US"/>
    </w:rPr>
  </w:style>
  <w:style w:type="paragraph" w:customStyle="1" w:styleId="414">
    <w:name w:val="Îñíîâíîé òåêñò (41)"/>
    <w:basedOn w:val="a"/>
    <w:uiPriority w:val="99"/>
    <w:rsid w:val="00811C95"/>
    <w:pPr>
      <w:shd w:val="clear" w:color="auto" w:fill="FFFFFF"/>
      <w:autoSpaceDE w:val="0"/>
      <w:autoSpaceDN w:val="0"/>
      <w:adjustRightInd w:val="0"/>
      <w:spacing w:after="60" w:line="240" w:lineRule="atLeast"/>
    </w:pPr>
    <w:rPr>
      <w:rFonts w:ascii="Arial Narrow" w:hAnsi="Arial Narrow" w:cs="Arial Narrow"/>
      <w:b/>
      <w:bCs/>
      <w:noProof/>
      <w:sz w:val="34"/>
      <w:szCs w:val="34"/>
      <w:lang w:val="en-US"/>
    </w:rPr>
  </w:style>
  <w:style w:type="paragraph" w:customStyle="1" w:styleId="1020">
    <w:name w:val="Çàãîëîâîê ¹10 (2)"/>
    <w:basedOn w:val="a"/>
    <w:uiPriority w:val="99"/>
    <w:rsid w:val="00811C95"/>
    <w:pPr>
      <w:shd w:val="clear" w:color="auto" w:fill="FFFFFF"/>
      <w:autoSpaceDE w:val="0"/>
      <w:autoSpaceDN w:val="0"/>
      <w:adjustRightInd w:val="0"/>
      <w:spacing w:before="180" w:after="0" w:line="216" w:lineRule="exact"/>
      <w:jc w:val="center"/>
    </w:pPr>
    <w:rPr>
      <w:rFonts w:ascii="Lucida Sans Unicode" w:hAnsi="Lucida Sans Unicode" w:cs="Lucida Sans Unicode"/>
      <w:b/>
      <w:bCs/>
      <w:noProof/>
      <w:spacing w:val="-10"/>
      <w:sz w:val="17"/>
      <w:szCs w:val="17"/>
      <w:lang w:val="en-US"/>
    </w:rPr>
  </w:style>
  <w:style w:type="paragraph" w:customStyle="1" w:styleId="10a">
    <w:name w:val="Çàãîëîâîê ¹10"/>
    <w:basedOn w:val="a"/>
    <w:uiPriority w:val="99"/>
    <w:rsid w:val="00811C95"/>
    <w:pPr>
      <w:shd w:val="clear" w:color="auto" w:fill="FFFFFF"/>
      <w:autoSpaceDE w:val="0"/>
      <w:autoSpaceDN w:val="0"/>
      <w:adjustRightInd w:val="0"/>
      <w:spacing w:before="180" w:after="0" w:line="216" w:lineRule="exact"/>
      <w:ind w:firstLine="280"/>
      <w:jc w:val="both"/>
    </w:pPr>
    <w:rPr>
      <w:rFonts w:ascii="Lucida Sans Unicode" w:hAnsi="Lucida Sans Unicode" w:cs="Lucida Sans Unicode"/>
      <w:b/>
      <w:bCs/>
      <w:i/>
      <w:iCs/>
      <w:noProof/>
      <w:sz w:val="16"/>
      <w:szCs w:val="16"/>
      <w:lang w:val="en-US"/>
    </w:rPr>
  </w:style>
  <w:style w:type="paragraph" w:customStyle="1" w:styleId="1032">
    <w:name w:val="Çàãîëîâîê ¹10 (3)"/>
    <w:basedOn w:val="a"/>
    <w:uiPriority w:val="99"/>
    <w:rsid w:val="00811C95"/>
    <w:pPr>
      <w:shd w:val="clear" w:color="auto" w:fill="FFFFFF"/>
      <w:autoSpaceDE w:val="0"/>
      <w:autoSpaceDN w:val="0"/>
      <w:adjustRightInd w:val="0"/>
      <w:spacing w:before="180" w:after="0" w:line="216" w:lineRule="exact"/>
      <w:ind w:firstLine="280"/>
      <w:jc w:val="both"/>
    </w:pPr>
    <w:rPr>
      <w:rFonts w:ascii="Tahoma" w:hAnsi="Tahoma" w:cs="Tahoma"/>
      <w:b/>
      <w:bCs/>
      <w:noProof/>
      <w:sz w:val="17"/>
      <w:szCs w:val="17"/>
      <w:lang w:val="en-US"/>
    </w:rPr>
  </w:style>
  <w:style w:type="paragraph" w:customStyle="1" w:styleId="31b">
    <w:name w:val="Ïîäïèñü ê êàðòèíêå (3)1"/>
    <w:basedOn w:val="a"/>
    <w:uiPriority w:val="99"/>
    <w:rsid w:val="00811C95"/>
    <w:pPr>
      <w:shd w:val="clear" w:color="auto" w:fill="FFFFFF"/>
      <w:autoSpaceDE w:val="0"/>
      <w:autoSpaceDN w:val="0"/>
      <w:adjustRightInd w:val="0"/>
      <w:spacing w:after="0" w:line="240" w:lineRule="atLeast"/>
    </w:pPr>
    <w:rPr>
      <w:rFonts w:ascii="Lucida Sans Unicode" w:hAnsi="Lucida Sans Unicode" w:cs="Lucida Sans Unicode"/>
      <w:i/>
      <w:iCs/>
      <w:noProof/>
      <w:sz w:val="13"/>
      <w:szCs w:val="13"/>
      <w:lang w:val="en-US"/>
    </w:rPr>
  </w:style>
  <w:style w:type="paragraph" w:customStyle="1" w:styleId="421">
    <w:name w:val="Îñíîâíîé òåêñò (42)"/>
    <w:basedOn w:val="a"/>
    <w:uiPriority w:val="99"/>
    <w:rsid w:val="00811C95"/>
    <w:pPr>
      <w:shd w:val="clear" w:color="auto" w:fill="FFFFFF"/>
      <w:autoSpaceDE w:val="0"/>
      <w:autoSpaceDN w:val="0"/>
      <w:adjustRightInd w:val="0"/>
      <w:spacing w:after="0" w:line="240" w:lineRule="atLeast"/>
      <w:jc w:val="center"/>
    </w:pPr>
    <w:rPr>
      <w:rFonts w:ascii="Microsoft Sans Serif" w:hAnsi="Microsoft Sans Serif" w:cs="Microsoft Sans Serif"/>
      <w:noProof/>
      <w:sz w:val="8"/>
      <w:szCs w:val="8"/>
      <w:lang w:val="en-US"/>
    </w:rPr>
  </w:style>
  <w:style w:type="paragraph" w:customStyle="1" w:styleId="433">
    <w:name w:val="Îñíîâíîé òåêñò (43)"/>
    <w:basedOn w:val="a"/>
    <w:uiPriority w:val="99"/>
    <w:rsid w:val="00811C95"/>
    <w:pPr>
      <w:shd w:val="clear" w:color="auto" w:fill="FFFFFF"/>
      <w:autoSpaceDE w:val="0"/>
      <w:autoSpaceDN w:val="0"/>
      <w:adjustRightInd w:val="0"/>
      <w:spacing w:after="0" w:line="240" w:lineRule="atLeast"/>
      <w:jc w:val="center"/>
    </w:pPr>
    <w:rPr>
      <w:rFonts w:ascii="Lucida Sans Unicode" w:hAnsi="Lucida Sans Unicode" w:cs="Lucida Sans Unicode"/>
      <w:noProof/>
      <w:sz w:val="8"/>
      <w:szCs w:val="8"/>
      <w:lang w:val="en-US"/>
    </w:rPr>
  </w:style>
  <w:style w:type="paragraph" w:customStyle="1" w:styleId="442">
    <w:name w:val="Îñíîâíîé òåêñò (44)"/>
    <w:basedOn w:val="a"/>
    <w:uiPriority w:val="99"/>
    <w:rsid w:val="00811C95"/>
    <w:pPr>
      <w:shd w:val="clear" w:color="auto" w:fill="FFFFFF"/>
      <w:autoSpaceDE w:val="0"/>
      <w:autoSpaceDN w:val="0"/>
      <w:adjustRightInd w:val="0"/>
      <w:spacing w:after="0" w:line="240" w:lineRule="atLeast"/>
      <w:jc w:val="center"/>
    </w:pPr>
    <w:rPr>
      <w:rFonts w:ascii="MS Mincho" w:eastAsia="MS Mincho" w:hAnsi="Times New Roman" w:cs="MS Mincho"/>
      <w:noProof/>
      <w:sz w:val="8"/>
      <w:szCs w:val="8"/>
      <w:lang w:val="en-US"/>
    </w:rPr>
  </w:style>
  <w:style w:type="paragraph" w:customStyle="1" w:styleId="afffff5">
    <w:name w:val="Ñíîñêà"/>
    <w:basedOn w:val="a"/>
    <w:uiPriority w:val="99"/>
    <w:rsid w:val="00811C95"/>
    <w:pPr>
      <w:shd w:val="clear" w:color="auto" w:fill="FFFFFF"/>
      <w:autoSpaceDE w:val="0"/>
      <w:autoSpaceDN w:val="0"/>
      <w:adjustRightInd w:val="0"/>
      <w:spacing w:after="0" w:line="182" w:lineRule="exact"/>
      <w:jc w:val="both"/>
    </w:pPr>
    <w:rPr>
      <w:rFonts w:ascii="Lucida Sans Unicode" w:hAnsi="Lucida Sans Unicode" w:cs="Lucida Sans Unicode"/>
      <w:i/>
      <w:iCs/>
      <w:noProof/>
      <w:sz w:val="13"/>
      <w:szCs w:val="13"/>
      <w:lang w:val="en-US"/>
    </w:rPr>
  </w:style>
  <w:style w:type="paragraph" w:customStyle="1" w:styleId="afffff6">
    <w:name w:val="Ïîäïèñü ê êàðòèíêå"/>
    <w:basedOn w:val="a"/>
    <w:uiPriority w:val="99"/>
    <w:rsid w:val="00811C95"/>
    <w:pPr>
      <w:shd w:val="clear" w:color="auto" w:fill="FFFFFF"/>
      <w:autoSpaceDE w:val="0"/>
      <w:autoSpaceDN w:val="0"/>
      <w:adjustRightInd w:val="0"/>
      <w:spacing w:after="0" w:line="240" w:lineRule="atLeast"/>
      <w:ind w:hanging="820"/>
    </w:pPr>
    <w:rPr>
      <w:rFonts w:ascii="Arial" w:hAnsi="Arial" w:cs="Arial"/>
      <w:b/>
      <w:bCs/>
      <w:noProof/>
      <w:sz w:val="13"/>
      <w:szCs w:val="13"/>
      <w:lang w:val="en-US"/>
    </w:rPr>
  </w:style>
  <w:style w:type="character" w:customStyle="1" w:styleId="14-1pt0">
    <w:name w:val="Îñíîâíîé òåêñò (14) + Èíòåðâàë -1 pt"/>
    <w:uiPriority w:val="99"/>
    <w:rsid w:val="00811C95"/>
    <w:rPr>
      <w:rFonts w:ascii="Microsoft Sans Serif" w:hAnsi="Microsoft Sans Serif" w:cs="Microsoft Sans Serif"/>
      <w:spacing w:val="-20"/>
      <w:sz w:val="17"/>
      <w:szCs w:val="17"/>
      <w:u w:val="single"/>
    </w:rPr>
  </w:style>
  <w:style w:type="character" w:customStyle="1" w:styleId="7-1pt5">
    <w:name w:val="Îñíîâíîé òåêñò (7) + Èíòåðâàë -1 pt5"/>
    <w:uiPriority w:val="99"/>
    <w:rsid w:val="00811C95"/>
    <w:rPr>
      <w:rFonts w:ascii="Century Gothic" w:hAnsi="Century Gothic" w:cs="Century Gothic"/>
      <w:b/>
      <w:bCs/>
      <w:i/>
      <w:iCs/>
      <w:spacing w:val="-20"/>
      <w:sz w:val="17"/>
      <w:szCs w:val="17"/>
      <w:u w:val="single"/>
    </w:rPr>
  </w:style>
  <w:style w:type="character" w:customStyle="1" w:styleId="7pt1214">
    <w:name w:val="Îñíîâíîé òåêñò + 7 pt.Ïîëóæèðíûé12.Êóðñèâ14"/>
    <w:uiPriority w:val="99"/>
    <w:rsid w:val="00811C95"/>
    <w:rPr>
      <w:rFonts w:ascii="Century Gothic" w:hAnsi="Century Gothic" w:cs="Century Gothic"/>
      <w:b/>
      <w:bCs/>
      <w:i/>
      <w:iCs/>
      <w:spacing w:val="-10"/>
      <w:sz w:val="14"/>
      <w:szCs w:val="14"/>
    </w:rPr>
  </w:style>
  <w:style w:type="character" w:customStyle="1" w:styleId="afffff7">
    <w:name w:val="Îñíîâíîé òåêñò + Êóðñèâ"/>
    <w:uiPriority w:val="99"/>
    <w:rsid w:val="00811C95"/>
    <w:rPr>
      <w:rFonts w:ascii="Century Gothic" w:hAnsi="Century Gothic" w:cs="Century Gothic"/>
      <w:i/>
      <w:iCs/>
      <w:spacing w:val="-10"/>
      <w:sz w:val="17"/>
      <w:szCs w:val="17"/>
    </w:rPr>
  </w:style>
  <w:style w:type="character" w:customStyle="1" w:styleId="6e">
    <w:name w:val="Îñíîâíîé òåêñò (6) + Íå êóðñèâ"/>
    <w:uiPriority w:val="99"/>
    <w:rsid w:val="00811C95"/>
    <w:rPr>
      <w:rFonts w:ascii="Century Gothic" w:hAnsi="Century Gothic" w:cs="Century Gothic"/>
      <w:i/>
      <w:iCs/>
      <w:sz w:val="17"/>
      <w:szCs w:val="17"/>
    </w:rPr>
  </w:style>
  <w:style w:type="character" w:customStyle="1" w:styleId="622">
    <w:name w:val="Îñíîâíîé òåêñò (6) + Íå êóðñèâ2"/>
    <w:uiPriority w:val="99"/>
    <w:rsid w:val="00811C95"/>
    <w:rPr>
      <w:rFonts w:ascii="Century Gothic" w:hAnsi="Century Gothic" w:cs="Century Gothic"/>
      <w:i/>
      <w:iCs/>
      <w:sz w:val="17"/>
      <w:szCs w:val="17"/>
    </w:rPr>
  </w:style>
  <w:style w:type="character" w:customStyle="1" w:styleId="5f3">
    <w:name w:val="Îñíîâíîé òåêñò + Êóðñèâ5"/>
    <w:uiPriority w:val="99"/>
    <w:rsid w:val="00811C95"/>
    <w:rPr>
      <w:rFonts w:ascii="Century Gothic" w:hAnsi="Century Gothic" w:cs="Century Gothic"/>
      <w:i/>
      <w:iCs/>
      <w:spacing w:val="-10"/>
      <w:sz w:val="17"/>
      <w:szCs w:val="17"/>
    </w:rPr>
  </w:style>
  <w:style w:type="character" w:customStyle="1" w:styleId="4f5">
    <w:name w:val="Îñíîâíîé òåêñò + Êóðñèâ4"/>
    <w:uiPriority w:val="99"/>
    <w:rsid w:val="00811C95"/>
    <w:rPr>
      <w:rFonts w:ascii="Century Gothic" w:hAnsi="Century Gothic" w:cs="Century Gothic"/>
      <w:i/>
      <w:iCs/>
      <w:spacing w:val="-10"/>
      <w:sz w:val="17"/>
      <w:szCs w:val="17"/>
    </w:rPr>
  </w:style>
  <w:style w:type="paragraph" w:customStyle="1" w:styleId="6f">
    <w:name w:val="Îñíîâíîé òåêñò (6)"/>
    <w:basedOn w:val="a"/>
    <w:uiPriority w:val="99"/>
    <w:rsid w:val="00811C95"/>
    <w:pPr>
      <w:shd w:val="clear" w:color="auto" w:fill="FFFFFF"/>
      <w:autoSpaceDE w:val="0"/>
      <w:autoSpaceDN w:val="0"/>
      <w:adjustRightInd w:val="0"/>
      <w:spacing w:after="0" w:line="178" w:lineRule="exact"/>
    </w:pPr>
    <w:rPr>
      <w:rFonts w:ascii="Century Gothic" w:hAnsi="Century Gothic" w:cs="Century Gothic"/>
      <w:i/>
      <w:iCs/>
      <w:noProof/>
      <w:sz w:val="17"/>
      <w:szCs w:val="17"/>
      <w:lang w:val="en-US"/>
    </w:rPr>
  </w:style>
  <w:style w:type="paragraph" w:customStyle="1" w:styleId="136">
    <w:name w:val="Îñíîâíîé òåêñò (13)"/>
    <w:basedOn w:val="a"/>
    <w:uiPriority w:val="99"/>
    <w:rsid w:val="00811C95"/>
    <w:pPr>
      <w:shd w:val="clear" w:color="auto" w:fill="FFFFFF"/>
      <w:autoSpaceDE w:val="0"/>
      <w:autoSpaceDN w:val="0"/>
      <w:adjustRightInd w:val="0"/>
      <w:spacing w:after="0" w:line="240" w:lineRule="atLeast"/>
    </w:pPr>
    <w:rPr>
      <w:rFonts w:ascii="Segoe UI" w:hAnsi="Segoe UI" w:cs="Segoe UI"/>
      <w:b/>
      <w:bCs/>
      <w:noProof/>
      <w:sz w:val="24"/>
      <w:szCs w:val="24"/>
      <w:lang w:val="en-US"/>
    </w:rPr>
  </w:style>
  <w:style w:type="paragraph" w:customStyle="1" w:styleId="146">
    <w:name w:val="Îñíîâíîé òåêñò (14)"/>
    <w:basedOn w:val="a"/>
    <w:uiPriority w:val="99"/>
    <w:rsid w:val="00811C95"/>
    <w:pPr>
      <w:shd w:val="clear" w:color="auto" w:fill="FFFFFF"/>
      <w:autoSpaceDE w:val="0"/>
      <w:autoSpaceDN w:val="0"/>
      <w:adjustRightInd w:val="0"/>
      <w:spacing w:after="0" w:line="240" w:lineRule="atLeast"/>
    </w:pPr>
    <w:rPr>
      <w:rFonts w:ascii="Microsoft Sans Serif" w:hAnsi="Microsoft Sans Serif" w:cs="Microsoft Sans Serif"/>
      <w:noProof/>
      <w:sz w:val="17"/>
      <w:szCs w:val="17"/>
      <w:lang w:val="en-US"/>
    </w:rPr>
  </w:style>
  <w:style w:type="character" w:customStyle="1" w:styleId="650">
    <w:name w:val="Îñíîâíîé òåêñò (6)5"/>
    <w:uiPriority w:val="99"/>
    <w:rsid w:val="00811C95"/>
    <w:rPr>
      <w:rFonts w:ascii="Microsoft Sans Serif" w:hAnsi="Microsoft Sans Serif" w:cs="Microsoft Sans Serif"/>
      <w:i/>
      <w:iCs/>
      <w:sz w:val="23"/>
      <w:szCs w:val="23"/>
    </w:rPr>
  </w:style>
  <w:style w:type="character" w:customStyle="1" w:styleId="640">
    <w:name w:val="Îñíîâíîé òåêñò (6)4"/>
    <w:uiPriority w:val="99"/>
    <w:rsid w:val="00811C95"/>
    <w:rPr>
      <w:rFonts w:ascii="Microsoft Sans Serif" w:hAnsi="Microsoft Sans Serif" w:cs="Microsoft Sans Serif"/>
      <w:i/>
      <w:iCs/>
      <w:sz w:val="23"/>
      <w:szCs w:val="23"/>
      <w:lang w:val="en-US"/>
    </w:rPr>
  </w:style>
  <w:style w:type="character" w:customStyle="1" w:styleId="630">
    <w:name w:val="Îñíîâíîé òåêñò (6)3"/>
    <w:uiPriority w:val="99"/>
    <w:rsid w:val="00811C95"/>
    <w:rPr>
      <w:rFonts w:ascii="Microsoft Sans Serif" w:hAnsi="Microsoft Sans Serif" w:cs="Microsoft Sans Serif"/>
      <w:i/>
      <w:iCs/>
      <w:sz w:val="23"/>
      <w:szCs w:val="23"/>
      <w:u w:val="single"/>
    </w:rPr>
  </w:style>
  <w:style w:type="character" w:customStyle="1" w:styleId="50pt11">
    <w:name w:val="Îñíîâíîé òåêñò + Êóðñèâ5.Èíòåðâàë 0 pt11"/>
    <w:uiPriority w:val="99"/>
    <w:rsid w:val="00811C95"/>
    <w:rPr>
      <w:rFonts w:ascii="Microsoft Sans Serif" w:hAnsi="Microsoft Sans Serif" w:cs="Microsoft Sans Serif"/>
      <w:i/>
      <w:iCs/>
      <w:spacing w:val="10"/>
      <w:sz w:val="16"/>
      <w:szCs w:val="16"/>
    </w:rPr>
  </w:style>
  <w:style w:type="character" w:customStyle="1" w:styleId="830pt10">
    <w:name w:val="Îñíîâíîé òåêñò (8) + Íå êóðñèâ3.Èíòåðâàë 0 pt10"/>
    <w:uiPriority w:val="99"/>
    <w:rsid w:val="00811C95"/>
    <w:rPr>
      <w:i/>
      <w:iCs/>
      <w:spacing w:val="0"/>
      <w:sz w:val="16"/>
      <w:szCs w:val="16"/>
    </w:rPr>
  </w:style>
  <w:style w:type="character" w:customStyle="1" w:styleId="40pt9">
    <w:name w:val="Îñíîâíîé òåêñò + Êóðñèâ4.Èíòåðâàë 0 pt9"/>
    <w:uiPriority w:val="99"/>
    <w:rsid w:val="00811C95"/>
    <w:rPr>
      <w:rFonts w:ascii="Microsoft Sans Serif" w:hAnsi="Microsoft Sans Serif" w:cs="Microsoft Sans Serif"/>
      <w:i/>
      <w:iCs/>
      <w:spacing w:val="10"/>
      <w:sz w:val="16"/>
      <w:szCs w:val="16"/>
    </w:rPr>
  </w:style>
  <w:style w:type="character" w:customStyle="1" w:styleId="8BookmanOldStyle310pt330pt8">
    <w:name w:val="Îñíîâíîé òåêñò (8) + Bookman Old Style3.10 pt3.Íå êóðñèâ3.Èíòåðâàë 0 pt8"/>
    <w:uiPriority w:val="99"/>
    <w:rsid w:val="00811C95"/>
    <w:rPr>
      <w:rFonts w:ascii="Bookman Old Style" w:hAnsi="Bookman Old Style" w:cs="Bookman Old Style"/>
      <w:i/>
      <w:iCs/>
      <w:noProof/>
      <w:spacing w:val="0"/>
      <w:sz w:val="20"/>
      <w:szCs w:val="20"/>
    </w:rPr>
  </w:style>
  <w:style w:type="character" w:customStyle="1" w:styleId="840">
    <w:name w:val="Îñíîâíîé òåêñò (8)4"/>
    <w:uiPriority w:val="99"/>
    <w:rsid w:val="00811C95"/>
    <w:rPr>
      <w:rFonts w:ascii="Arial Unicode MS" w:eastAsia="Arial Unicode MS" w:cs="Arial Unicode MS"/>
      <w:i/>
      <w:iCs/>
      <w:spacing w:val="10"/>
      <w:sz w:val="16"/>
      <w:szCs w:val="16"/>
      <w:u w:val="single"/>
      <w:lang w:val="en-US"/>
    </w:rPr>
  </w:style>
  <w:style w:type="character" w:customStyle="1" w:styleId="30pt7">
    <w:name w:val="Îñíîâíîé òåêñò + Êóðñèâ3.Èíòåðâàë 0 pt7"/>
    <w:uiPriority w:val="99"/>
    <w:rsid w:val="00811C95"/>
    <w:rPr>
      <w:rFonts w:ascii="Microsoft Sans Serif" w:hAnsi="Microsoft Sans Serif" w:cs="Microsoft Sans Serif"/>
      <w:i/>
      <w:iCs/>
      <w:spacing w:val="10"/>
      <w:sz w:val="16"/>
      <w:szCs w:val="16"/>
    </w:rPr>
  </w:style>
  <w:style w:type="character" w:customStyle="1" w:styleId="820pt6">
    <w:name w:val="Îñíîâíîé òåêñò (8) + Íå êóðñèâ2.Èíòåðâàë 0 pt6"/>
    <w:uiPriority w:val="99"/>
    <w:rsid w:val="00811C95"/>
    <w:rPr>
      <w:i/>
      <w:iCs/>
      <w:spacing w:val="0"/>
      <w:sz w:val="16"/>
      <w:szCs w:val="16"/>
    </w:rPr>
  </w:style>
  <w:style w:type="character" w:customStyle="1" w:styleId="810pt5">
    <w:name w:val="Îñíîâíîé òåêñò (8) + Íå êóðñèâ1.Èíòåðâàë 0 pt5"/>
    <w:uiPriority w:val="99"/>
    <w:rsid w:val="00811C95"/>
    <w:rPr>
      <w:i/>
      <w:iCs/>
      <w:spacing w:val="0"/>
      <w:sz w:val="16"/>
      <w:szCs w:val="16"/>
    </w:rPr>
  </w:style>
  <w:style w:type="character" w:customStyle="1" w:styleId="20pt4">
    <w:name w:val="Îñíîâíîé òåêñò + Êóðñèâ2.Èíòåðâàë 0 pt4"/>
    <w:uiPriority w:val="99"/>
    <w:rsid w:val="00811C95"/>
    <w:rPr>
      <w:rFonts w:ascii="Microsoft Sans Serif" w:hAnsi="Microsoft Sans Serif" w:cs="Microsoft Sans Serif"/>
      <w:i/>
      <w:iCs/>
      <w:spacing w:val="10"/>
      <w:sz w:val="16"/>
      <w:szCs w:val="16"/>
    </w:rPr>
  </w:style>
  <w:style w:type="paragraph" w:customStyle="1" w:styleId="611">
    <w:name w:val="Îñíîâíîé òåêñò (6)1"/>
    <w:basedOn w:val="a"/>
    <w:uiPriority w:val="99"/>
    <w:rsid w:val="00811C95"/>
    <w:pPr>
      <w:shd w:val="clear" w:color="auto" w:fill="FFFFFF"/>
      <w:autoSpaceDE w:val="0"/>
      <w:autoSpaceDN w:val="0"/>
      <w:adjustRightInd w:val="0"/>
      <w:spacing w:after="0" w:line="202" w:lineRule="exact"/>
    </w:pPr>
    <w:rPr>
      <w:rFonts w:ascii="Microsoft Sans Serif" w:hAnsi="Microsoft Sans Serif" w:cs="Microsoft Sans Serif"/>
      <w:i/>
      <w:iCs/>
      <w:noProof/>
      <w:sz w:val="23"/>
      <w:szCs w:val="23"/>
      <w:lang w:val="en-US"/>
    </w:rPr>
  </w:style>
  <w:style w:type="paragraph" w:customStyle="1" w:styleId="9b">
    <w:name w:val="Îñíîâíîé òåêñò (9)"/>
    <w:basedOn w:val="a"/>
    <w:uiPriority w:val="99"/>
    <w:rsid w:val="00811C95"/>
    <w:pPr>
      <w:shd w:val="clear" w:color="auto" w:fill="FFFFFF"/>
      <w:autoSpaceDE w:val="0"/>
      <w:autoSpaceDN w:val="0"/>
      <w:adjustRightInd w:val="0"/>
      <w:spacing w:after="0" w:line="173" w:lineRule="exact"/>
      <w:ind w:hanging="200"/>
      <w:jc w:val="right"/>
    </w:pPr>
    <w:rPr>
      <w:rFonts w:ascii="Times New Roman" w:hAnsi="Times New Roman"/>
      <w:i/>
      <w:iCs/>
      <w:noProof/>
      <w:sz w:val="13"/>
      <w:szCs w:val="13"/>
      <w:lang w:val="en-US"/>
    </w:rPr>
  </w:style>
  <w:style w:type="character" w:customStyle="1" w:styleId="11111">
    <w:name w:val="Îñíîâíîé òåêñò (11) + Íå êóðñèâ11"/>
    <w:uiPriority w:val="99"/>
    <w:rsid w:val="00811C95"/>
    <w:rPr>
      <w:rFonts w:ascii="Arial" w:hAnsi="Arial" w:cs="Arial"/>
      <w:i/>
      <w:iCs/>
      <w:spacing w:val="-10"/>
      <w:sz w:val="17"/>
      <w:szCs w:val="17"/>
    </w:rPr>
  </w:style>
  <w:style w:type="character" w:customStyle="1" w:styleId="11100">
    <w:name w:val="Îñíîâíîé òåêñò (11) + Íå êóðñèâ10"/>
    <w:uiPriority w:val="99"/>
    <w:rsid w:val="00811C95"/>
    <w:rPr>
      <w:rFonts w:ascii="Arial" w:hAnsi="Arial" w:cs="Arial"/>
      <w:i/>
      <w:iCs/>
      <w:spacing w:val="-10"/>
      <w:sz w:val="17"/>
      <w:szCs w:val="17"/>
    </w:rPr>
  </w:style>
  <w:style w:type="character" w:customStyle="1" w:styleId="11d">
    <w:name w:val="Îñíîâíîé òåêñò + Êóðñèâ11"/>
    <w:uiPriority w:val="99"/>
    <w:rsid w:val="00811C95"/>
    <w:rPr>
      <w:rFonts w:ascii="Arial" w:hAnsi="Arial" w:cs="Arial"/>
      <w:i/>
      <w:iCs/>
      <w:spacing w:val="-10"/>
      <w:sz w:val="17"/>
      <w:szCs w:val="17"/>
    </w:rPr>
  </w:style>
  <w:style w:type="character" w:customStyle="1" w:styleId="4835pt2911">
    <w:name w:val="Îñíîâíîé òåêñò (4) + 83.5 pt29.Íå ïîëóæèðíûé11"/>
    <w:uiPriority w:val="99"/>
    <w:rsid w:val="00811C95"/>
    <w:rPr>
      <w:rFonts w:ascii="Arial" w:hAnsi="Arial" w:cs="Arial"/>
      <w:b/>
      <w:bCs/>
      <w:i/>
      <w:iCs/>
      <w:spacing w:val="-10"/>
      <w:sz w:val="17"/>
      <w:szCs w:val="17"/>
    </w:rPr>
  </w:style>
  <w:style w:type="character" w:customStyle="1" w:styleId="10b">
    <w:name w:val="Îñíîâíîé òåêñò + Êóðñèâ10"/>
    <w:uiPriority w:val="99"/>
    <w:rsid w:val="00811C95"/>
    <w:rPr>
      <w:rFonts w:ascii="Arial" w:hAnsi="Arial" w:cs="Arial"/>
      <w:i/>
      <w:iCs/>
      <w:spacing w:val="-10"/>
      <w:sz w:val="17"/>
      <w:szCs w:val="17"/>
    </w:rPr>
  </w:style>
  <w:style w:type="character" w:customStyle="1" w:styleId="78pt7">
    <w:name w:val="Îñíîâíîé òåêñò (7) + 8 pt.Íå êóðñèâ7"/>
    <w:uiPriority w:val="99"/>
    <w:rsid w:val="00811C95"/>
    <w:rPr>
      <w:rFonts w:ascii="Arial" w:hAnsi="Arial" w:cs="Arial"/>
      <w:i/>
      <w:iCs/>
      <w:spacing w:val="-10"/>
      <w:sz w:val="16"/>
      <w:szCs w:val="16"/>
    </w:rPr>
  </w:style>
  <w:style w:type="character" w:customStyle="1" w:styleId="9c">
    <w:name w:val="Îñíîâíîé òåêñò + Êóðñèâ9"/>
    <w:uiPriority w:val="99"/>
    <w:rsid w:val="00811C95"/>
    <w:rPr>
      <w:rFonts w:ascii="Arial" w:hAnsi="Arial" w:cs="Arial"/>
      <w:i/>
      <w:iCs/>
      <w:spacing w:val="-10"/>
      <w:sz w:val="17"/>
      <w:szCs w:val="17"/>
    </w:rPr>
  </w:style>
  <w:style w:type="character" w:customStyle="1" w:styleId="1161">
    <w:name w:val="Îñíîâíîé òåêñò (11) + Íå êóðñèâ6"/>
    <w:uiPriority w:val="99"/>
    <w:rsid w:val="00811C95"/>
    <w:rPr>
      <w:rFonts w:ascii="Arial" w:hAnsi="Arial" w:cs="Arial"/>
      <w:i/>
      <w:iCs/>
      <w:spacing w:val="-10"/>
      <w:sz w:val="17"/>
      <w:szCs w:val="17"/>
    </w:rPr>
  </w:style>
  <w:style w:type="character" w:customStyle="1" w:styleId="8a">
    <w:name w:val="Îñíîâíîé òåêñò + Êóðñèâ8"/>
    <w:uiPriority w:val="99"/>
    <w:rsid w:val="00811C95"/>
    <w:rPr>
      <w:rFonts w:ascii="Arial" w:hAnsi="Arial" w:cs="Arial"/>
      <w:i/>
      <w:iCs/>
      <w:spacing w:val="-10"/>
      <w:sz w:val="17"/>
      <w:szCs w:val="17"/>
    </w:rPr>
  </w:style>
  <w:style w:type="paragraph" w:customStyle="1" w:styleId="5f4">
    <w:name w:val="Ïîäïèñü ê êàðòèíêå (5)"/>
    <w:basedOn w:val="a"/>
    <w:uiPriority w:val="99"/>
    <w:rsid w:val="00811C95"/>
    <w:pPr>
      <w:shd w:val="clear" w:color="auto" w:fill="FFFFFF"/>
      <w:autoSpaceDE w:val="0"/>
      <w:autoSpaceDN w:val="0"/>
      <w:adjustRightInd w:val="0"/>
      <w:spacing w:after="0" w:line="216" w:lineRule="exact"/>
      <w:jc w:val="both"/>
    </w:pPr>
    <w:rPr>
      <w:rFonts w:ascii="Arial" w:hAnsi="Arial" w:cs="Arial"/>
      <w:i/>
      <w:iCs/>
      <w:noProof/>
      <w:spacing w:val="-10"/>
      <w:sz w:val="17"/>
      <w:szCs w:val="17"/>
      <w:lang w:val="en-US"/>
    </w:rPr>
  </w:style>
  <w:style w:type="paragraph" w:customStyle="1" w:styleId="2610">
    <w:name w:val="Îñíîâíîé òåêñò (26)1"/>
    <w:basedOn w:val="a"/>
    <w:uiPriority w:val="99"/>
    <w:rsid w:val="00811C95"/>
    <w:pPr>
      <w:shd w:val="clear" w:color="auto" w:fill="FFFFFF"/>
      <w:autoSpaceDE w:val="0"/>
      <w:autoSpaceDN w:val="0"/>
      <w:adjustRightInd w:val="0"/>
      <w:spacing w:after="120" w:line="240" w:lineRule="atLeast"/>
    </w:pPr>
    <w:rPr>
      <w:rFonts w:ascii="Gulim" w:eastAsia="Gulim" w:hAnsi="Times New Roman" w:cs="Gulim"/>
      <w:noProof/>
      <w:spacing w:val="-10"/>
      <w:sz w:val="20"/>
      <w:szCs w:val="20"/>
      <w:lang w:val="en-US"/>
    </w:rPr>
  </w:style>
  <w:style w:type="paragraph" w:customStyle="1" w:styleId="3ff">
    <w:name w:val="Ïîäïèñü ê êàðòèíêå (3)"/>
    <w:basedOn w:val="a"/>
    <w:uiPriority w:val="99"/>
    <w:rsid w:val="00811C95"/>
    <w:pPr>
      <w:shd w:val="clear" w:color="auto" w:fill="FFFFFF"/>
      <w:autoSpaceDE w:val="0"/>
      <w:autoSpaceDN w:val="0"/>
      <w:adjustRightInd w:val="0"/>
      <w:spacing w:after="0" w:line="168" w:lineRule="exact"/>
      <w:jc w:val="both"/>
    </w:pPr>
    <w:rPr>
      <w:rFonts w:ascii="Arial" w:hAnsi="Arial" w:cs="Arial"/>
      <w:b/>
      <w:bCs/>
      <w:i/>
      <w:iCs/>
      <w:noProof/>
      <w:spacing w:val="-10"/>
      <w:sz w:val="13"/>
      <w:szCs w:val="13"/>
      <w:lang w:val="en-US"/>
    </w:rPr>
  </w:style>
  <w:style w:type="character" w:customStyle="1" w:styleId="100pt30">
    <w:name w:val="Îñíîâíîé òåêñò + Êóðñèâ10.Èíòåðâàë 0 pt30"/>
    <w:uiPriority w:val="99"/>
    <w:rsid w:val="00811C95"/>
    <w:rPr>
      <w:rFonts w:ascii="Microsoft Sans Serif" w:hAnsi="Microsoft Sans Serif" w:cs="Microsoft Sans Serif"/>
      <w:i/>
      <w:iCs/>
      <w:spacing w:val="0"/>
      <w:sz w:val="16"/>
      <w:szCs w:val="16"/>
    </w:rPr>
  </w:style>
  <w:style w:type="character" w:customStyle="1" w:styleId="120pt29">
    <w:name w:val="Îñíîâíîé òåêñò (12) + Íå êóðñèâ.Èíòåðâàë 0 pt29"/>
    <w:uiPriority w:val="99"/>
    <w:rsid w:val="00811C95"/>
    <w:rPr>
      <w:rFonts w:ascii="Microsoft Sans Serif" w:hAnsi="Microsoft Sans Serif" w:cs="Microsoft Sans Serif"/>
      <w:i/>
      <w:iCs/>
      <w:spacing w:val="-10"/>
      <w:sz w:val="16"/>
      <w:szCs w:val="16"/>
    </w:rPr>
  </w:style>
  <w:style w:type="character" w:customStyle="1" w:styleId="12a">
    <w:name w:val="Îñíîâíîé òåêñò (12)_"/>
    <w:uiPriority w:val="99"/>
    <w:rsid w:val="00811C95"/>
    <w:rPr>
      <w:rFonts w:ascii="Microsoft Sans Serif" w:hAnsi="Microsoft Sans Serif" w:cs="Microsoft Sans Serif"/>
      <w:i/>
      <w:iCs/>
      <w:sz w:val="16"/>
      <w:szCs w:val="16"/>
    </w:rPr>
  </w:style>
  <w:style w:type="character" w:customStyle="1" w:styleId="1260pt28">
    <w:name w:val="Îñíîâíîé òåêñò (12) + Íå êóðñèâ6.Èíòåðâàë 0 pt28"/>
    <w:uiPriority w:val="99"/>
    <w:rsid w:val="00811C95"/>
    <w:rPr>
      <w:rFonts w:ascii="Microsoft Sans Serif" w:hAnsi="Microsoft Sans Serif" w:cs="Microsoft Sans Serif"/>
      <w:i/>
      <w:iCs/>
      <w:spacing w:val="-10"/>
      <w:sz w:val="16"/>
      <w:szCs w:val="16"/>
    </w:rPr>
  </w:style>
  <w:style w:type="character" w:customStyle="1" w:styleId="90pt27">
    <w:name w:val="Îñíîâíîé òåêñò + Êóðñèâ9.Èíòåðâàë 0 pt27"/>
    <w:uiPriority w:val="99"/>
    <w:rsid w:val="00811C95"/>
    <w:rPr>
      <w:rFonts w:ascii="Microsoft Sans Serif" w:hAnsi="Microsoft Sans Serif" w:cs="Microsoft Sans Serif"/>
      <w:i/>
      <w:iCs/>
      <w:spacing w:val="0"/>
      <w:sz w:val="16"/>
      <w:szCs w:val="16"/>
    </w:rPr>
  </w:style>
  <w:style w:type="character" w:customStyle="1" w:styleId="1260">
    <w:name w:val="Îñíîâíîé òåêñò (12)6"/>
    <w:uiPriority w:val="99"/>
    <w:rsid w:val="00811C95"/>
    <w:rPr>
      <w:rFonts w:ascii="Microsoft Sans Serif" w:hAnsi="Microsoft Sans Serif" w:cs="Microsoft Sans Serif"/>
      <w:i/>
      <w:iCs/>
      <w:spacing w:val="0"/>
      <w:sz w:val="16"/>
      <w:szCs w:val="16"/>
      <w:u w:val="single"/>
    </w:rPr>
  </w:style>
  <w:style w:type="character" w:customStyle="1" w:styleId="80pt26">
    <w:name w:val="Îñíîâíîé òåêñò + Êóðñèâ8.Èíòåðâàë 0 pt26"/>
    <w:uiPriority w:val="99"/>
    <w:rsid w:val="00811C95"/>
    <w:rPr>
      <w:rFonts w:ascii="Microsoft Sans Serif" w:hAnsi="Microsoft Sans Serif" w:cs="Microsoft Sans Serif"/>
      <w:i/>
      <w:iCs/>
      <w:spacing w:val="0"/>
      <w:sz w:val="16"/>
      <w:szCs w:val="16"/>
    </w:rPr>
  </w:style>
  <w:style w:type="character" w:customStyle="1" w:styleId="1250pt25">
    <w:name w:val="Îñíîâíîé òåêñò (12) + Íå êóðñèâ5.Èíòåðâàë 0 pt25"/>
    <w:uiPriority w:val="99"/>
    <w:rsid w:val="00811C95"/>
    <w:rPr>
      <w:rFonts w:ascii="Microsoft Sans Serif" w:hAnsi="Microsoft Sans Serif" w:cs="Microsoft Sans Serif"/>
      <w:i/>
      <w:iCs/>
      <w:spacing w:val="-10"/>
      <w:sz w:val="16"/>
      <w:szCs w:val="16"/>
    </w:rPr>
  </w:style>
  <w:style w:type="character" w:customStyle="1" w:styleId="20BookmanOldStyle875pt19">
    <w:name w:val="Îñíîâíîé òåêñò (20) + Bookman Old Style.87.5 pt19"/>
    <w:uiPriority w:val="99"/>
    <w:rsid w:val="00811C95"/>
    <w:rPr>
      <w:rFonts w:ascii="Bookman Old Style" w:hAnsi="Bookman Old Style" w:cs="Bookman Old Style"/>
      <w:b/>
      <w:bCs/>
      <w:i/>
      <w:iCs/>
      <w:sz w:val="17"/>
      <w:szCs w:val="17"/>
    </w:rPr>
  </w:style>
  <w:style w:type="character" w:customStyle="1" w:styleId="1250">
    <w:name w:val="Îñíîâíîé òåêñò (12)5"/>
    <w:uiPriority w:val="99"/>
    <w:rsid w:val="00811C95"/>
    <w:rPr>
      <w:rFonts w:ascii="Microsoft Sans Serif" w:hAnsi="Microsoft Sans Serif" w:cs="Microsoft Sans Serif"/>
      <w:i/>
      <w:iCs/>
      <w:spacing w:val="0"/>
      <w:sz w:val="16"/>
      <w:szCs w:val="16"/>
      <w:u w:val="single"/>
    </w:rPr>
  </w:style>
  <w:style w:type="character" w:customStyle="1" w:styleId="1240">
    <w:name w:val="Îñíîâíîé òåêñò (12)4"/>
    <w:uiPriority w:val="99"/>
    <w:rsid w:val="00811C95"/>
    <w:rPr>
      <w:rFonts w:ascii="Microsoft Sans Serif" w:hAnsi="Microsoft Sans Serif" w:cs="Microsoft Sans Serif"/>
      <w:i/>
      <w:iCs/>
      <w:spacing w:val="0"/>
      <w:sz w:val="16"/>
      <w:szCs w:val="16"/>
      <w:u w:val="single"/>
    </w:rPr>
  </w:style>
  <w:style w:type="character" w:customStyle="1" w:styleId="12SimHei7pt12">
    <w:name w:val="Îñíîâíîé òåêñò (12) + SimHei.7 pt.Íå êóðñèâ12"/>
    <w:uiPriority w:val="99"/>
    <w:rsid w:val="00811C95"/>
    <w:rPr>
      <w:rFonts w:ascii="SimHei" w:eastAsia="SimHei" w:hAnsi="Microsoft Sans Serif" w:cs="SimHei"/>
      <w:i/>
      <w:iCs/>
      <w:spacing w:val="0"/>
      <w:sz w:val="14"/>
      <w:szCs w:val="14"/>
    </w:rPr>
  </w:style>
  <w:style w:type="character" w:customStyle="1" w:styleId="1240pt24">
    <w:name w:val="Îñíîâíîé òåêñò (12) + Íå êóðñèâ4.Èíòåðâàë 0 pt24"/>
    <w:uiPriority w:val="99"/>
    <w:rsid w:val="00811C95"/>
    <w:rPr>
      <w:rFonts w:ascii="Microsoft Sans Serif" w:hAnsi="Microsoft Sans Serif" w:cs="Microsoft Sans Serif"/>
      <w:i/>
      <w:iCs/>
      <w:spacing w:val="-10"/>
      <w:sz w:val="16"/>
      <w:szCs w:val="16"/>
    </w:rPr>
  </w:style>
  <w:style w:type="character" w:customStyle="1" w:styleId="70pt23">
    <w:name w:val="Îñíîâíîé òåêñò + Êóðñèâ7.Èíòåðâàë 0 pt23"/>
    <w:uiPriority w:val="99"/>
    <w:rsid w:val="00811C95"/>
    <w:rPr>
      <w:rFonts w:ascii="Microsoft Sans Serif" w:hAnsi="Microsoft Sans Serif" w:cs="Microsoft Sans Serif"/>
      <w:i/>
      <w:iCs/>
      <w:spacing w:val="0"/>
      <w:sz w:val="16"/>
      <w:szCs w:val="16"/>
    </w:rPr>
  </w:style>
  <w:style w:type="character" w:customStyle="1" w:styleId="12BookmanOldStyle6865pt1710">
    <w:name w:val="Îñíîâíîé òåêñò (12) + Bookman Old Style6.86.5 pt17.Íå êóðñèâ10"/>
    <w:uiPriority w:val="99"/>
    <w:rsid w:val="00811C95"/>
    <w:rPr>
      <w:rFonts w:ascii="Bookman Old Style" w:hAnsi="Bookman Old Style" w:cs="Bookman Old Style"/>
      <w:i/>
      <w:iCs/>
      <w:spacing w:val="0"/>
      <w:sz w:val="17"/>
      <w:szCs w:val="17"/>
    </w:rPr>
  </w:style>
  <w:style w:type="character" w:customStyle="1" w:styleId="60pt22">
    <w:name w:val="Îñíîâíîé òåêñò + Êóðñèâ6.Èíòåðâàë 0 pt22"/>
    <w:uiPriority w:val="99"/>
    <w:rsid w:val="00811C95"/>
    <w:rPr>
      <w:rFonts w:ascii="Microsoft Sans Serif" w:hAnsi="Microsoft Sans Serif" w:cs="Microsoft Sans Serif"/>
      <w:i/>
      <w:iCs/>
      <w:spacing w:val="0"/>
      <w:sz w:val="16"/>
      <w:szCs w:val="16"/>
    </w:rPr>
  </w:style>
  <w:style w:type="character" w:customStyle="1" w:styleId="1230">
    <w:name w:val="Îñíîâíîé òåêñò (12)3"/>
    <w:uiPriority w:val="99"/>
    <w:rsid w:val="00811C95"/>
    <w:rPr>
      <w:rFonts w:ascii="Microsoft Sans Serif" w:hAnsi="Microsoft Sans Serif" w:cs="Microsoft Sans Serif"/>
      <w:i/>
      <w:iCs/>
      <w:spacing w:val="0"/>
      <w:sz w:val="16"/>
      <w:szCs w:val="16"/>
      <w:u w:val="single"/>
    </w:rPr>
  </w:style>
  <w:style w:type="character" w:customStyle="1" w:styleId="1230pt21">
    <w:name w:val="Îñíîâíîé òåêñò (12) + Íå êóðñèâ3.Èíòåðâàë 0 pt21"/>
    <w:uiPriority w:val="99"/>
    <w:rsid w:val="00811C95"/>
    <w:rPr>
      <w:rFonts w:ascii="Microsoft Sans Serif" w:hAnsi="Microsoft Sans Serif" w:cs="Microsoft Sans Serif"/>
      <w:i/>
      <w:iCs/>
      <w:spacing w:val="-10"/>
      <w:sz w:val="16"/>
      <w:szCs w:val="16"/>
    </w:rPr>
  </w:style>
  <w:style w:type="character" w:customStyle="1" w:styleId="0pt20">
    <w:name w:val="Îñíîâíîé òåêñò + Ìàëûå ïðîïèñíûå.Èíòåðâàë 0 pt20"/>
    <w:uiPriority w:val="99"/>
    <w:rsid w:val="00811C95"/>
    <w:rPr>
      <w:rFonts w:ascii="Microsoft Sans Serif" w:hAnsi="Microsoft Sans Serif" w:cs="Microsoft Sans Serif"/>
      <w:smallCaps/>
      <w:spacing w:val="0"/>
      <w:sz w:val="16"/>
      <w:szCs w:val="16"/>
    </w:rPr>
  </w:style>
  <w:style w:type="character" w:customStyle="1" w:styleId="1265pt160pt19">
    <w:name w:val="Îñíîâíîé òåêñò (12) + 6.5 pt16.Ìàëûå ïðîïèñíûå.Èíòåðâàë 0 pt19"/>
    <w:uiPriority w:val="99"/>
    <w:rsid w:val="00811C95"/>
    <w:rPr>
      <w:rFonts w:ascii="Microsoft Sans Serif" w:hAnsi="Microsoft Sans Serif" w:cs="Microsoft Sans Serif"/>
      <w:i/>
      <w:iCs/>
      <w:smallCaps/>
      <w:spacing w:val="10"/>
      <w:sz w:val="13"/>
      <w:szCs w:val="13"/>
      <w:lang w:val="en-US"/>
    </w:rPr>
  </w:style>
  <w:style w:type="character" w:customStyle="1" w:styleId="1220pt18">
    <w:name w:val="Îñíîâíîé òåêñò (12) + Íå êóðñèâ2.Èíòåðâàë 0 pt18"/>
    <w:uiPriority w:val="99"/>
    <w:rsid w:val="00811C95"/>
    <w:rPr>
      <w:rFonts w:ascii="Microsoft Sans Serif" w:hAnsi="Microsoft Sans Serif" w:cs="Microsoft Sans Serif"/>
      <w:i/>
      <w:iCs/>
      <w:spacing w:val="-10"/>
      <w:sz w:val="16"/>
      <w:szCs w:val="16"/>
    </w:rPr>
  </w:style>
  <w:style w:type="character" w:customStyle="1" w:styleId="50pt17">
    <w:name w:val="Îñíîâíîé òåêñò + Êóðñèâ5.Èíòåðâàë 0 pt17"/>
    <w:uiPriority w:val="99"/>
    <w:rsid w:val="00811C95"/>
    <w:rPr>
      <w:rFonts w:ascii="Microsoft Sans Serif" w:hAnsi="Microsoft Sans Serif" w:cs="Microsoft Sans Serif"/>
      <w:i/>
      <w:iCs/>
      <w:spacing w:val="0"/>
      <w:sz w:val="16"/>
      <w:szCs w:val="16"/>
    </w:rPr>
  </w:style>
  <w:style w:type="character" w:customStyle="1" w:styleId="150pt62">
    <w:name w:val="Îñíîâíîé òåêñò + Êóðñèâ15.Èíòåðâàë 0 pt62"/>
    <w:uiPriority w:val="99"/>
    <w:rsid w:val="00811C95"/>
    <w:rPr>
      <w:rFonts w:ascii="Lucida Sans Unicode" w:hAnsi="Lucida Sans Unicode" w:cs="Lucida Sans Unicode"/>
      <w:i/>
      <w:iCs/>
      <w:spacing w:val="0"/>
      <w:sz w:val="16"/>
      <w:szCs w:val="16"/>
    </w:rPr>
  </w:style>
  <w:style w:type="character" w:customStyle="1" w:styleId="20150pt61">
    <w:name w:val="Îñíîâíîé òåêñò (20) + Íå êóðñèâ15.Èíòåðâàë 0 pt61"/>
    <w:uiPriority w:val="99"/>
    <w:rsid w:val="00811C95"/>
    <w:rPr>
      <w:rFonts w:ascii="Lucida Sans Unicode" w:hAnsi="Lucida Sans Unicode" w:cs="Lucida Sans Unicode"/>
      <w:b/>
      <w:bCs/>
      <w:i/>
      <w:iCs/>
      <w:spacing w:val="-10"/>
      <w:sz w:val="16"/>
      <w:szCs w:val="16"/>
    </w:rPr>
  </w:style>
  <w:style w:type="character" w:customStyle="1" w:styleId="159">
    <w:name w:val="Îñíîâíîé òåêñò + Êóðñèâ15"/>
    <w:uiPriority w:val="99"/>
    <w:rsid w:val="00811C95"/>
    <w:rPr>
      <w:rFonts w:ascii="Arial" w:hAnsi="Arial" w:cs="Arial"/>
      <w:i/>
      <w:iCs/>
      <w:spacing w:val="-10"/>
      <w:sz w:val="17"/>
      <w:szCs w:val="17"/>
      <w:u w:val="single"/>
    </w:rPr>
  </w:style>
  <w:style w:type="character" w:customStyle="1" w:styleId="1190">
    <w:name w:val="Îñíîâíîé òåêñò (11) + Íå êóðñèâ9"/>
    <w:uiPriority w:val="99"/>
    <w:rsid w:val="00811C95"/>
    <w:rPr>
      <w:rFonts w:ascii="Arial" w:hAnsi="Arial" w:cs="Arial"/>
      <w:i/>
      <w:iCs/>
      <w:spacing w:val="-10"/>
      <w:sz w:val="17"/>
      <w:szCs w:val="17"/>
    </w:rPr>
  </w:style>
  <w:style w:type="character" w:customStyle="1" w:styleId="148">
    <w:name w:val="Îñíîâíîé òåêñò + Êóðñèâ14"/>
    <w:uiPriority w:val="99"/>
    <w:rsid w:val="00811C95"/>
    <w:rPr>
      <w:rFonts w:ascii="Arial" w:hAnsi="Arial" w:cs="Arial"/>
      <w:i/>
      <w:iCs/>
      <w:spacing w:val="-10"/>
      <w:sz w:val="17"/>
      <w:szCs w:val="17"/>
    </w:rPr>
  </w:style>
  <w:style w:type="character" w:customStyle="1" w:styleId="1181">
    <w:name w:val="Îñíîâíîé òåêñò (11) + Íå êóðñèâ8"/>
    <w:uiPriority w:val="99"/>
    <w:rsid w:val="00811C95"/>
    <w:rPr>
      <w:rFonts w:ascii="Arial" w:hAnsi="Arial" w:cs="Arial"/>
      <w:i/>
      <w:iCs/>
      <w:spacing w:val="-10"/>
      <w:sz w:val="17"/>
      <w:szCs w:val="17"/>
    </w:rPr>
  </w:style>
  <w:style w:type="character" w:customStyle="1" w:styleId="137">
    <w:name w:val="Îñíîâíîé òåêñò + Êóðñèâ13"/>
    <w:uiPriority w:val="99"/>
    <w:rsid w:val="00811C95"/>
    <w:rPr>
      <w:rFonts w:ascii="Arial" w:hAnsi="Arial" w:cs="Arial"/>
      <w:i/>
      <w:iCs/>
      <w:spacing w:val="-10"/>
      <w:sz w:val="17"/>
      <w:szCs w:val="17"/>
      <w:lang w:val="en-US"/>
    </w:rPr>
  </w:style>
  <w:style w:type="character" w:customStyle="1" w:styleId="8pt3100pt23">
    <w:name w:val="Îñíîâíîé òåêñò + 8 pt3.Êóðñèâ10.Ìàëûå ïðîïèñíûå.Èíòåðâàë 0 pt23"/>
    <w:uiPriority w:val="99"/>
    <w:rsid w:val="00811C95"/>
    <w:rPr>
      <w:rFonts w:ascii="Arial" w:hAnsi="Arial" w:cs="Arial"/>
      <w:i/>
      <w:iCs/>
      <w:smallCaps/>
      <w:spacing w:val="0"/>
      <w:sz w:val="16"/>
      <w:szCs w:val="16"/>
      <w:lang w:val="en-US"/>
    </w:rPr>
  </w:style>
  <w:style w:type="character" w:customStyle="1" w:styleId="11SimHei75pt3080pt22">
    <w:name w:val="Îñíîâíîé òåêñò (11) + SimHei.7.5 pt30.Íå êóðñèâ8.Èíòåðâàë 0 pt22"/>
    <w:uiPriority w:val="99"/>
    <w:rsid w:val="00811C95"/>
    <w:rPr>
      <w:rFonts w:ascii="SimHei" w:eastAsia="SimHei" w:hAnsi="Microsoft Sans Serif" w:cs="SimHei"/>
      <w:i/>
      <w:iCs/>
      <w:spacing w:val="0"/>
      <w:sz w:val="15"/>
      <w:szCs w:val="15"/>
    </w:rPr>
  </w:style>
  <w:style w:type="character" w:customStyle="1" w:styleId="12b">
    <w:name w:val="Îñíîâíîé òåêñò + Êóðñèâ12"/>
    <w:uiPriority w:val="99"/>
    <w:rsid w:val="00811C95"/>
    <w:rPr>
      <w:rFonts w:ascii="Arial" w:hAnsi="Arial" w:cs="Arial"/>
      <w:i/>
      <w:iCs/>
      <w:spacing w:val="-10"/>
      <w:sz w:val="17"/>
      <w:szCs w:val="17"/>
    </w:rPr>
  </w:style>
  <w:style w:type="character" w:customStyle="1" w:styleId="1171">
    <w:name w:val="Îñíîâíîé òåêñò (11) + Íå êóðñèâ7"/>
    <w:uiPriority w:val="99"/>
    <w:rsid w:val="00811C95"/>
    <w:rPr>
      <w:rFonts w:ascii="Arial" w:hAnsi="Arial" w:cs="Arial"/>
      <w:i/>
      <w:iCs/>
      <w:spacing w:val="-10"/>
      <w:sz w:val="17"/>
      <w:szCs w:val="17"/>
    </w:rPr>
  </w:style>
  <w:style w:type="paragraph" w:customStyle="1" w:styleId="11e">
    <w:name w:val="Çàãîëîâîê ¹11"/>
    <w:basedOn w:val="a"/>
    <w:uiPriority w:val="99"/>
    <w:rsid w:val="00811C95"/>
    <w:pPr>
      <w:shd w:val="clear" w:color="auto" w:fill="FFFFFF"/>
      <w:autoSpaceDE w:val="0"/>
      <w:autoSpaceDN w:val="0"/>
      <w:adjustRightInd w:val="0"/>
      <w:spacing w:after="180" w:line="240" w:lineRule="atLeast"/>
    </w:pPr>
    <w:rPr>
      <w:rFonts w:ascii="Arial" w:hAnsi="Arial" w:cs="Arial"/>
      <w:b/>
      <w:bCs/>
      <w:noProof/>
      <w:sz w:val="17"/>
      <w:szCs w:val="17"/>
      <w:lang w:val="en-US"/>
    </w:rPr>
  </w:style>
  <w:style w:type="character" w:customStyle="1" w:styleId="635pt54">
    <w:name w:val="Îñíîâíîé òåêñò + 63.5 pt5.Ïîëóæèðíûé4"/>
    <w:uiPriority w:val="99"/>
    <w:rsid w:val="00811C95"/>
    <w:rPr>
      <w:rFonts w:ascii="Arial" w:hAnsi="Arial" w:cs="Arial"/>
      <w:b/>
      <w:bCs/>
      <w:sz w:val="13"/>
      <w:szCs w:val="13"/>
    </w:rPr>
  </w:style>
  <w:style w:type="character" w:customStyle="1" w:styleId="1012">
    <w:name w:val="Îñíîâíîé òåêñò (10) + Íå êóðñèâ1"/>
    <w:uiPriority w:val="99"/>
    <w:rsid w:val="00811C95"/>
    <w:rPr>
      <w:rFonts w:ascii="Arial" w:hAnsi="Arial" w:cs="Arial"/>
      <w:i/>
      <w:iCs/>
      <w:sz w:val="15"/>
      <w:szCs w:val="15"/>
    </w:rPr>
  </w:style>
  <w:style w:type="paragraph" w:customStyle="1" w:styleId="10c">
    <w:name w:val="Îñíîâíîé òåêñò (10)"/>
    <w:basedOn w:val="a"/>
    <w:uiPriority w:val="99"/>
    <w:rsid w:val="00811C95"/>
    <w:pPr>
      <w:shd w:val="clear" w:color="auto" w:fill="FFFFFF"/>
      <w:autoSpaceDE w:val="0"/>
      <w:autoSpaceDN w:val="0"/>
      <w:adjustRightInd w:val="0"/>
      <w:spacing w:before="120" w:after="120" w:line="174" w:lineRule="exact"/>
      <w:jc w:val="both"/>
    </w:pPr>
    <w:rPr>
      <w:rFonts w:ascii="Arial" w:hAnsi="Arial" w:cs="Arial"/>
      <w:i/>
      <w:iCs/>
      <w:noProof/>
      <w:sz w:val="15"/>
      <w:szCs w:val="15"/>
      <w:lang w:val="en-US"/>
    </w:rPr>
  </w:style>
  <w:style w:type="character" w:customStyle="1" w:styleId="3ff0">
    <w:name w:val="Îñíîâíîé òåêñò + Ïîëóæèðíûé3"/>
    <w:uiPriority w:val="99"/>
    <w:rsid w:val="00811C95"/>
    <w:rPr>
      <w:rFonts w:ascii="Arial" w:hAnsi="Arial" w:cs="Arial"/>
      <w:b/>
      <w:bCs/>
      <w:sz w:val="16"/>
      <w:szCs w:val="16"/>
    </w:rPr>
  </w:style>
  <w:style w:type="character" w:customStyle="1" w:styleId="2ff0">
    <w:name w:val="Îñíîâíîé òåêñò + Ïîëóæèðíûé2"/>
    <w:uiPriority w:val="99"/>
    <w:rsid w:val="00811C95"/>
    <w:rPr>
      <w:rFonts w:ascii="Arial" w:hAnsi="Arial" w:cs="Arial"/>
      <w:b/>
      <w:bCs/>
      <w:sz w:val="16"/>
      <w:szCs w:val="16"/>
    </w:rPr>
  </w:style>
  <w:style w:type="character" w:customStyle="1" w:styleId="465pt7">
    <w:name w:val="Îñíîâíîé òåêñò (4) + 6.5 pt7"/>
    <w:uiPriority w:val="99"/>
    <w:rsid w:val="00811C95"/>
    <w:rPr>
      <w:rFonts w:ascii="Arial" w:hAnsi="Arial" w:cs="Arial"/>
      <w:i/>
      <w:iCs/>
      <w:noProof/>
      <w:sz w:val="13"/>
      <w:szCs w:val="13"/>
    </w:rPr>
  </w:style>
  <w:style w:type="character" w:customStyle="1" w:styleId="27Arial8pt12">
    <w:name w:val="Îñíîâíîé òåêñò (27) + Arial.8 pt1.Íå êóðñèâ2"/>
    <w:uiPriority w:val="99"/>
    <w:rsid w:val="00811C95"/>
    <w:rPr>
      <w:rFonts w:ascii="Arial" w:hAnsi="Arial" w:cs="Arial"/>
      <w:i/>
      <w:iCs/>
      <w:sz w:val="16"/>
      <w:szCs w:val="16"/>
    </w:rPr>
  </w:style>
  <w:style w:type="character" w:customStyle="1" w:styleId="278">
    <w:name w:val="Îñíîâíîé òåêñò (27) + Ïîëóæèðíûé"/>
    <w:uiPriority w:val="99"/>
    <w:rsid w:val="00811C95"/>
    <w:rPr>
      <w:rFonts w:ascii="Bookman Old Style" w:hAnsi="Bookman Old Style" w:cs="Bookman Old Style"/>
      <w:b/>
      <w:bCs/>
      <w:i/>
      <w:iCs/>
      <w:sz w:val="17"/>
      <w:szCs w:val="17"/>
    </w:rPr>
  </w:style>
  <w:style w:type="character" w:customStyle="1" w:styleId="TimesNewRoman440pt44">
    <w:name w:val="Îñíîâíîé òåêñò + Times New Roman4.40 pt4.Ïîëóæèðíûé4"/>
    <w:uiPriority w:val="99"/>
    <w:rsid w:val="00811C95"/>
    <w:rPr>
      <w:rFonts w:ascii="Times New Roman" w:hAnsi="Times New Roman" w:cs="Times New Roman"/>
      <w:b/>
      <w:bCs/>
      <w:noProof/>
      <w:sz w:val="80"/>
      <w:szCs w:val="80"/>
    </w:rPr>
  </w:style>
  <w:style w:type="character" w:customStyle="1" w:styleId="326">
    <w:name w:val="Çàãîëîâîê ¹32"/>
    <w:uiPriority w:val="99"/>
    <w:rsid w:val="00811C95"/>
    <w:rPr>
      <w:b/>
      <w:bCs/>
      <w:sz w:val="36"/>
      <w:szCs w:val="36"/>
    </w:rPr>
  </w:style>
  <w:style w:type="character" w:customStyle="1" w:styleId="TimesNewRoman140pt11">
    <w:name w:val="Îñíîâíîé òåêñò + Times New Roman1.40 pt1.Ïîëóæèðíûé1"/>
    <w:uiPriority w:val="99"/>
    <w:rsid w:val="00811C95"/>
    <w:rPr>
      <w:rFonts w:ascii="Times New Roman" w:hAnsi="Times New Roman" w:cs="Times New Roman"/>
      <w:b/>
      <w:bCs/>
      <w:noProof/>
      <w:sz w:val="80"/>
      <w:szCs w:val="80"/>
    </w:rPr>
  </w:style>
  <w:style w:type="character" w:customStyle="1" w:styleId="229">
    <w:name w:val="Ïîäïèñü ê òàáëèöå (2)2"/>
    <w:uiPriority w:val="99"/>
    <w:rsid w:val="00811C95"/>
    <w:rPr>
      <w:rFonts w:ascii="Franklin Gothic Book" w:hAnsi="Franklin Gothic Book" w:cs="Franklin Gothic Book"/>
      <w:b/>
      <w:bCs/>
      <w:color w:val="FFFFFF"/>
      <w:sz w:val="15"/>
      <w:szCs w:val="15"/>
    </w:rPr>
  </w:style>
  <w:style w:type="character" w:customStyle="1" w:styleId="422">
    <w:name w:val="Çàãîëîâîê ¹42"/>
    <w:uiPriority w:val="99"/>
    <w:rsid w:val="00811C95"/>
    <w:rPr>
      <w:b/>
      <w:bCs/>
      <w:sz w:val="22"/>
      <w:szCs w:val="22"/>
      <w:u w:val="single"/>
    </w:rPr>
  </w:style>
  <w:style w:type="paragraph" w:customStyle="1" w:styleId="31c">
    <w:name w:val="Çàãîëîâîê ¹31"/>
    <w:basedOn w:val="a"/>
    <w:uiPriority w:val="99"/>
    <w:rsid w:val="00811C95"/>
    <w:pPr>
      <w:shd w:val="clear" w:color="auto" w:fill="FFFFFF"/>
      <w:autoSpaceDE w:val="0"/>
      <w:autoSpaceDN w:val="0"/>
      <w:adjustRightInd w:val="0"/>
      <w:spacing w:after="0" w:line="240" w:lineRule="atLeast"/>
    </w:pPr>
    <w:rPr>
      <w:rFonts w:ascii="Times New Roman" w:hAnsi="Times New Roman"/>
      <w:b/>
      <w:bCs/>
      <w:noProof/>
      <w:sz w:val="36"/>
      <w:szCs w:val="36"/>
      <w:lang w:val="en-US"/>
    </w:rPr>
  </w:style>
  <w:style w:type="paragraph" w:customStyle="1" w:styleId="1710">
    <w:name w:val="Îñíîâíîé òåêñò (17)1"/>
    <w:basedOn w:val="a"/>
    <w:uiPriority w:val="99"/>
    <w:rsid w:val="00811C95"/>
    <w:pPr>
      <w:shd w:val="clear" w:color="auto" w:fill="FFFFFF"/>
      <w:autoSpaceDE w:val="0"/>
      <w:autoSpaceDN w:val="0"/>
      <w:adjustRightInd w:val="0"/>
      <w:spacing w:after="0" w:line="202" w:lineRule="exact"/>
      <w:jc w:val="center"/>
    </w:pPr>
    <w:rPr>
      <w:rFonts w:ascii="Franklin Gothic Book" w:hAnsi="Franklin Gothic Book" w:cs="Franklin Gothic Book"/>
      <w:b/>
      <w:bCs/>
      <w:noProof/>
      <w:sz w:val="15"/>
      <w:szCs w:val="15"/>
      <w:lang w:val="en-US"/>
    </w:rPr>
  </w:style>
  <w:style w:type="paragraph" w:customStyle="1" w:styleId="415">
    <w:name w:val="Çàãîëîâîê ¹41"/>
    <w:basedOn w:val="a"/>
    <w:uiPriority w:val="99"/>
    <w:rsid w:val="00811C95"/>
    <w:pPr>
      <w:shd w:val="clear" w:color="auto" w:fill="FFFFFF"/>
      <w:autoSpaceDE w:val="0"/>
      <w:autoSpaceDN w:val="0"/>
      <w:adjustRightInd w:val="0"/>
      <w:spacing w:before="180" w:after="180" w:line="240" w:lineRule="atLeast"/>
    </w:pPr>
    <w:rPr>
      <w:rFonts w:ascii="Times New Roman" w:hAnsi="Times New Roman"/>
      <w:b/>
      <w:bCs/>
      <w:noProof/>
      <w:lang w:val="en-US"/>
    </w:rPr>
  </w:style>
  <w:style w:type="paragraph" w:customStyle="1" w:styleId="afffff8">
    <w:name w:val="Êîëîíòèòóë"/>
    <w:basedOn w:val="a"/>
    <w:uiPriority w:val="99"/>
    <w:rsid w:val="00811C95"/>
    <w:pPr>
      <w:shd w:val="clear" w:color="auto" w:fill="FFFFFF"/>
      <w:autoSpaceDE w:val="0"/>
      <w:autoSpaceDN w:val="0"/>
      <w:adjustRightInd w:val="0"/>
      <w:spacing w:after="0" w:line="240" w:lineRule="auto"/>
    </w:pPr>
    <w:rPr>
      <w:rFonts w:ascii="Times New Roman" w:hAnsi="Times New Roman"/>
      <w:noProof/>
      <w:sz w:val="20"/>
      <w:szCs w:val="20"/>
      <w:lang w:val="en-US"/>
    </w:rPr>
  </w:style>
  <w:style w:type="character" w:customStyle="1" w:styleId="ArialNarrow115pt16">
    <w:name w:val="Êîëîíòèòóë + Arial Narrow.11.5 pt16.Ïîëóæèðíûé"/>
    <w:uiPriority w:val="99"/>
    <w:rsid w:val="00811C95"/>
    <w:rPr>
      <w:rFonts w:ascii="Arial Narrow" w:hAnsi="Arial Narrow" w:cs="Arial Narrow"/>
      <w:b/>
      <w:bCs/>
      <w:color w:val="FFFFFF"/>
      <w:spacing w:val="0"/>
      <w:sz w:val="23"/>
      <w:szCs w:val="23"/>
    </w:rPr>
  </w:style>
  <w:style w:type="character" w:customStyle="1" w:styleId="MicrosoftSansSerif1515pt13">
    <w:name w:val="Êîëîíòèòóë + Microsoft Sans Serif1.51.5 pt13"/>
    <w:uiPriority w:val="99"/>
    <w:rsid w:val="00811C95"/>
    <w:rPr>
      <w:rFonts w:ascii="Microsoft Sans Serif" w:hAnsi="Microsoft Sans Serif" w:cs="Microsoft Sans Serif"/>
      <w:spacing w:val="0"/>
      <w:sz w:val="11"/>
      <w:szCs w:val="11"/>
    </w:rPr>
  </w:style>
  <w:style w:type="character" w:customStyle="1" w:styleId="TimesNewRoman138pt4">
    <w:name w:val="Îñíîâíîé òåêñò + Times New Roman1.38 pt.Ïîëóæèðíûé4"/>
    <w:uiPriority w:val="99"/>
    <w:rsid w:val="00811C95"/>
    <w:rPr>
      <w:rFonts w:ascii="Times New Roman" w:hAnsi="Times New Roman" w:cs="Times New Roman"/>
      <w:b/>
      <w:bCs/>
      <w:noProof/>
      <w:sz w:val="76"/>
      <w:szCs w:val="76"/>
    </w:rPr>
  </w:style>
  <w:style w:type="character" w:customStyle="1" w:styleId="2121">
    <w:name w:val="Îñíîâíîé òåêñò (21)2"/>
    <w:uiPriority w:val="99"/>
    <w:rsid w:val="00811C95"/>
    <w:rPr>
      <w:rFonts w:ascii="MS Reference Sans Serif" w:hAnsi="MS Reference Sans Serif" w:cs="MS Reference Sans Serif"/>
      <w:color w:val="FFFFFF"/>
      <w:sz w:val="16"/>
      <w:szCs w:val="16"/>
    </w:rPr>
  </w:style>
  <w:style w:type="character" w:customStyle="1" w:styleId="MSReferenceSansSerif20">
    <w:name w:val="Îñíîâíîé òåêñò + MS Reference Sans Serif2"/>
    <w:uiPriority w:val="99"/>
    <w:rsid w:val="00811C95"/>
    <w:rPr>
      <w:rFonts w:ascii="MS Reference Sans Serif" w:hAnsi="MS Reference Sans Serif" w:cs="MS Reference Sans Serif"/>
      <w:sz w:val="13"/>
      <w:szCs w:val="13"/>
    </w:rPr>
  </w:style>
  <w:style w:type="character" w:customStyle="1" w:styleId="1113">
    <w:name w:val="Îñíîâíîé òåêñò (11)13"/>
    <w:uiPriority w:val="99"/>
    <w:rsid w:val="00811C95"/>
    <w:rPr>
      <w:rFonts w:ascii="Arial" w:hAnsi="Arial" w:cs="Arial"/>
      <w:sz w:val="12"/>
      <w:szCs w:val="12"/>
    </w:rPr>
  </w:style>
  <w:style w:type="character" w:customStyle="1" w:styleId="11120">
    <w:name w:val="Îñíîâíîé òåêñò (11)12"/>
    <w:uiPriority w:val="99"/>
    <w:rsid w:val="00811C95"/>
    <w:rPr>
      <w:rFonts w:ascii="Arial" w:hAnsi="Arial" w:cs="Arial"/>
      <w:sz w:val="12"/>
      <w:szCs w:val="12"/>
    </w:rPr>
  </w:style>
  <w:style w:type="character" w:customStyle="1" w:styleId="MSReferenceSansSerif135pt13">
    <w:name w:val="Îñíîâíîé òåêñò + MS Reference Sans Serif1.35 pt1.Ïîëóæèðíûé3"/>
    <w:uiPriority w:val="99"/>
    <w:rsid w:val="00811C95"/>
    <w:rPr>
      <w:rFonts w:ascii="MS Reference Sans Serif" w:hAnsi="MS Reference Sans Serif" w:cs="MS Reference Sans Serif"/>
      <w:b/>
      <w:bCs/>
      <w:noProof/>
      <w:sz w:val="70"/>
      <w:szCs w:val="70"/>
    </w:rPr>
  </w:style>
  <w:style w:type="paragraph" w:customStyle="1" w:styleId="15a">
    <w:name w:val="Îñíîâíîé òåêñò (15)"/>
    <w:basedOn w:val="a"/>
    <w:uiPriority w:val="99"/>
    <w:rsid w:val="00811C95"/>
    <w:pPr>
      <w:shd w:val="clear" w:color="auto" w:fill="FFFFFF"/>
      <w:autoSpaceDE w:val="0"/>
      <w:autoSpaceDN w:val="0"/>
      <w:adjustRightInd w:val="0"/>
      <w:spacing w:after="240" w:line="240" w:lineRule="atLeast"/>
      <w:jc w:val="both"/>
    </w:pPr>
    <w:rPr>
      <w:rFonts w:cs="Calibri"/>
      <w:i/>
      <w:iCs/>
      <w:noProof/>
      <w:sz w:val="16"/>
      <w:szCs w:val="16"/>
      <w:lang w:val="en-US"/>
    </w:rPr>
  </w:style>
  <w:style w:type="paragraph" w:customStyle="1" w:styleId="2111">
    <w:name w:val="Îñíîâíîé òåêñò (21)1"/>
    <w:basedOn w:val="a"/>
    <w:uiPriority w:val="99"/>
    <w:rsid w:val="00811C95"/>
    <w:pPr>
      <w:shd w:val="clear" w:color="auto" w:fill="FFFFFF"/>
      <w:autoSpaceDE w:val="0"/>
      <w:autoSpaceDN w:val="0"/>
      <w:adjustRightInd w:val="0"/>
      <w:spacing w:after="0" w:line="240" w:lineRule="atLeast"/>
    </w:pPr>
    <w:rPr>
      <w:rFonts w:ascii="MS Reference Sans Serif" w:hAnsi="MS Reference Sans Serif" w:cs="MS Reference Sans Serif"/>
      <w:noProof/>
      <w:sz w:val="16"/>
      <w:szCs w:val="16"/>
      <w:lang w:val="en-US"/>
    </w:rPr>
  </w:style>
  <w:style w:type="paragraph" w:customStyle="1" w:styleId="3111">
    <w:name w:val="Îñíîâíîé òåêñò (31)1"/>
    <w:basedOn w:val="a"/>
    <w:uiPriority w:val="99"/>
    <w:rsid w:val="00811C95"/>
    <w:pPr>
      <w:shd w:val="clear" w:color="auto" w:fill="FFFFFF"/>
      <w:autoSpaceDE w:val="0"/>
      <w:autoSpaceDN w:val="0"/>
      <w:adjustRightInd w:val="0"/>
      <w:spacing w:after="0" w:line="240" w:lineRule="atLeast"/>
    </w:pPr>
    <w:rPr>
      <w:rFonts w:ascii="Times New Roman" w:hAnsi="Times New Roman"/>
      <w:b/>
      <w:bCs/>
      <w:noProof/>
      <w:sz w:val="88"/>
      <w:szCs w:val="88"/>
      <w:lang w:val="en-US"/>
    </w:rPr>
  </w:style>
  <w:style w:type="paragraph" w:customStyle="1" w:styleId="Pa2">
    <w:name w:val="Pa2"/>
    <w:basedOn w:val="Default"/>
    <w:next w:val="Default"/>
    <w:uiPriority w:val="99"/>
    <w:rsid w:val="00811C95"/>
    <w:pPr>
      <w:spacing w:line="241" w:lineRule="atLeast"/>
    </w:pPr>
    <w:rPr>
      <w:color w:val="auto"/>
    </w:rPr>
  </w:style>
  <w:style w:type="paragraph" w:customStyle="1" w:styleId="Pa8">
    <w:name w:val="Pa8"/>
    <w:basedOn w:val="Default"/>
    <w:next w:val="Default"/>
    <w:uiPriority w:val="99"/>
    <w:rsid w:val="00811C95"/>
    <w:pPr>
      <w:spacing w:line="201" w:lineRule="atLeast"/>
    </w:pPr>
    <w:rPr>
      <w:color w:val="auto"/>
    </w:rPr>
  </w:style>
  <w:style w:type="character" w:customStyle="1" w:styleId="2ff1">
    <w:name w:val="Îñíîâíîé òåêñò (2)"/>
    <w:uiPriority w:val="99"/>
    <w:rsid w:val="00811C95"/>
    <w:rPr>
      <w:rFonts w:ascii="MS Reference Sans Serif" w:hAnsi="MS Reference Sans Serif" w:cs="MS Reference Sans Serif"/>
      <w:i/>
      <w:iCs/>
      <w:spacing w:val="-10"/>
      <w:sz w:val="22"/>
      <w:szCs w:val="22"/>
    </w:rPr>
  </w:style>
  <w:style w:type="character" w:customStyle="1" w:styleId="2ff2">
    <w:name w:val="Îñíîâíîé òåêñò (2) + Êóðñèâ"/>
    <w:uiPriority w:val="99"/>
    <w:rsid w:val="00811C95"/>
    <w:rPr>
      <w:rFonts w:ascii="MS Reference Sans Serif" w:hAnsi="MS Reference Sans Serif" w:cs="MS Reference Sans Serif"/>
      <w:i/>
      <w:iCs/>
      <w:spacing w:val="-10"/>
      <w:sz w:val="22"/>
      <w:szCs w:val="22"/>
    </w:rPr>
  </w:style>
  <w:style w:type="paragraph" w:customStyle="1" w:styleId="2ff3">
    <w:name w:val="Ïîäïèñü ê êàðòèíêå (2)"/>
    <w:basedOn w:val="a"/>
    <w:uiPriority w:val="99"/>
    <w:rsid w:val="00811C95"/>
    <w:pPr>
      <w:shd w:val="clear" w:color="auto" w:fill="FFFFFF"/>
      <w:autoSpaceDE w:val="0"/>
      <w:autoSpaceDN w:val="0"/>
      <w:adjustRightInd w:val="0"/>
      <w:spacing w:after="0" w:line="240" w:lineRule="atLeast"/>
    </w:pPr>
    <w:rPr>
      <w:rFonts w:ascii="MS Reference Sans Serif" w:hAnsi="MS Reference Sans Serif" w:cs="MS Reference Sans Serif"/>
      <w:noProof/>
      <w:spacing w:val="-10"/>
      <w:lang w:val="en-US"/>
    </w:rPr>
  </w:style>
  <w:style w:type="character" w:customStyle="1" w:styleId="105pt0pt">
    <w:name w:val="Îñíîâíîé òåêñò + 10.5 pt.Êóðñèâ.Èíòåðâàë 0 pt"/>
    <w:uiPriority w:val="99"/>
    <w:rsid w:val="00811C95"/>
    <w:rPr>
      <w:rFonts w:ascii="Microsoft Sans Serif" w:hAnsi="Microsoft Sans Serif" w:cs="Microsoft Sans Serif"/>
      <w:i/>
      <w:iCs/>
      <w:spacing w:val="0"/>
      <w:sz w:val="21"/>
      <w:szCs w:val="21"/>
    </w:rPr>
  </w:style>
  <w:style w:type="character" w:customStyle="1" w:styleId="115pt29115pt8109112SimHei2Arial12pt11ptMSMincho12pt">
    <w:name w:val="Îñíîâíîé òåêñò + 11.5 pt2.Íå êóðñèâ.Îñíîâíîé òåêñò (9) + 11.5 pt8.Îñíîâíîé òåêñò (10) + 91.Íå ìàëûå ïðîïèñíûå1.Îñíîâíîé òåêñò (2) + SimHei.Îñíîâíîé òåêñò (2) + Arial.12 pt.11 pt.Îñíîâíîé òåêñò + MS Mincho.Îñíîâíîé òåêñò + 12 pt"/>
    <w:uiPriority w:val="99"/>
    <w:rsid w:val="00811C95"/>
    <w:rPr>
      <w:rFonts w:ascii="MS Reference Sans Serif" w:hAnsi="MS Reference Sans Serif" w:cs="MS Reference Sans Serif"/>
      <w:spacing w:val="-10"/>
      <w:sz w:val="23"/>
      <w:szCs w:val="23"/>
    </w:rPr>
  </w:style>
  <w:style w:type="paragraph" w:customStyle="1" w:styleId="3ff1">
    <w:name w:val="Îñíîâíîé òåêñò (3)"/>
    <w:basedOn w:val="a"/>
    <w:uiPriority w:val="99"/>
    <w:rsid w:val="00811C95"/>
    <w:pPr>
      <w:shd w:val="clear" w:color="auto" w:fill="FFFFFF"/>
      <w:autoSpaceDE w:val="0"/>
      <w:autoSpaceDN w:val="0"/>
      <w:adjustRightInd w:val="0"/>
      <w:spacing w:after="0" w:line="310" w:lineRule="exact"/>
      <w:jc w:val="both"/>
    </w:pPr>
    <w:rPr>
      <w:rFonts w:ascii="Times New Roman" w:hAnsi="Times New Roman"/>
      <w:noProof/>
      <w:spacing w:val="-10"/>
      <w:sz w:val="24"/>
      <w:szCs w:val="24"/>
      <w:lang w:val="en-US"/>
    </w:rPr>
  </w:style>
  <w:style w:type="character" w:customStyle="1" w:styleId="1-1pt">
    <w:name w:val="Çàãîëîâîê ¹1 + Èíòåðâàë -1 pt"/>
    <w:uiPriority w:val="99"/>
    <w:rsid w:val="00811C95"/>
    <w:rPr>
      <w:rFonts w:ascii="Arial Narrow" w:hAnsi="Arial Narrow" w:cs="Arial Narrow"/>
      <w:b/>
      <w:bCs/>
      <w:spacing w:val="-20"/>
      <w:sz w:val="27"/>
      <w:szCs w:val="27"/>
    </w:rPr>
  </w:style>
  <w:style w:type="character" w:customStyle="1" w:styleId="0pt2">
    <w:name w:val="Îñíîâíîé òåêñò + Èíòåðâàë 0 pt"/>
    <w:uiPriority w:val="99"/>
    <w:rsid w:val="00811C95"/>
    <w:rPr>
      <w:rFonts w:ascii="MS Reference Sans Serif" w:hAnsi="MS Reference Sans Serif" w:cs="MS Reference Sans Serif"/>
      <w:i/>
      <w:iCs/>
      <w:spacing w:val="10"/>
      <w:sz w:val="22"/>
      <w:szCs w:val="22"/>
    </w:rPr>
  </w:style>
  <w:style w:type="character" w:customStyle="1" w:styleId="21pt0">
    <w:name w:val="Îñíîâíîé òåêñò (2) + Èíòåðâàë 1 pt"/>
    <w:uiPriority w:val="99"/>
    <w:rsid w:val="00811C95"/>
    <w:rPr>
      <w:rFonts w:ascii="Tahoma" w:hAnsi="Tahoma" w:cs="Tahoma"/>
      <w:i/>
      <w:iCs/>
      <w:noProof/>
      <w:spacing w:val="30"/>
      <w:sz w:val="24"/>
      <w:szCs w:val="24"/>
    </w:rPr>
  </w:style>
  <w:style w:type="character" w:customStyle="1" w:styleId="2pt0">
    <w:name w:val="Îñíîâíîé òåêñò + Èíòåðâàë 2 pt"/>
    <w:uiPriority w:val="99"/>
    <w:rsid w:val="00811C95"/>
    <w:rPr>
      <w:rFonts w:ascii="Tahoma" w:hAnsi="Tahoma" w:cs="Tahoma"/>
      <w:i/>
      <w:iCs/>
      <w:spacing w:val="40"/>
      <w:sz w:val="21"/>
      <w:szCs w:val="21"/>
    </w:rPr>
  </w:style>
  <w:style w:type="character" w:customStyle="1" w:styleId="2pt1">
    <w:name w:val="Îñíîâíîé òåêñò + Èíòåðâàë 2 pt1"/>
    <w:uiPriority w:val="99"/>
    <w:rsid w:val="00811C95"/>
    <w:rPr>
      <w:rFonts w:ascii="Tahoma" w:hAnsi="Tahoma" w:cs="Tahoma"/>
      <w:i/>
      <w:iCs/>
      <w:spacing w:val="40"/>
      <w:sz w:val="21"/>
      <w:szCs w:val="21"/>
    </w:rPr>
  </w:style>
  <w:style w:type="character" w:customStyle="1" w:styleId="211pt">
    <w:name w:val="Îñíîâíîé òåêñò (2) + 11 pt.Êóðñèâ"/>
    <w:uiPriority w:val="99"/>
    <w:rsid w:val="00811C95"/>
    <w:rPr>
      <w:rFonts w:ascii="MS Reference Sans Serif" w:hAnsi="MS Reference Sans Serif" w:cs="MS Reference Sans Serif"/>
      <w:i/>
      <w:iCs/>
      <w:noProof/>
      <w:spacing w:val="-10"/>
      <w:sz w:val="22"/>
      <w:szCs w:val="22"/>
    </w:rPr>
  </w:style>
  <w:style w:type="character" w:customStyle="1" w:styleId="Batang16pt-1ptGulim125pt1111101Tahoma10pt">
    <w:name w:val="Êîëîíòèòóë + Batang.16 pt.Èíòåðâàë -1 pt.Îñíîâíîé òåêñò + Gulim.12.5 pt1.Íå êóðñèâ1.Îñíîâíîé òåêñò (11) + 10.Ìàëûå ïðîïèñíûå1.Îñíîâíîé òåêñò + Tahoma.10 pt"/>
    <w:uiPriority w:val="99"/>
    <w:rsid w:val="00811C95"/>
    <w:rPr>
      <w:rFonts w:ascii="Batang" w:eastAsia="Batang" w:cs="Batang"/>
      <w:noProof/>
      <w:spacing w:val="-30"/>
      <w:sz w:val="32"/>
      <w:szCs w:val="32"/>
    </w:rPr>
  </w:style>
  <w:style w:type="character" w:customStyle="1" w:styleId="afffff9">
    <w:name w:val="Êîëîíòèòóë_"/>
    <w:uiPriority w:val="99"/>
    <w:rsid w:val="00811C95"/>
    <w:rPr>
      <w:noProof/>
    </w:rPr>
  </w:style>
  <w:style w:type="character" w:customStyle="1" w:styleId="1095pt4">
    <w:name w:val="Îñíîâíîé òåêñò (10) + 9.5 pt4.Íå ìàëûå ïðîïèñíûå"/>
    <w:uiPriority w:val="99"/>
    <w:rsid w:val="00811C95"/>
    <w:rPr>
      <w:rFonts w:ascii="Microsoft Sans Serif" w:hAnsi="Microsoft Sans Serif" w:cs="Microsoft Sans Serif"/>
      <w:smallCaps/>
      <w:noProof/>
      <w:spacing w:val="0"/>
      <w:sz w:val="19"/>
      <w:szCs w:val="19"/>
    </w:rPr>
  </w:style>
  <w:style w:type="character" w:customStyle="1" w:styleId="10d">
    <w:name w:val="Îñíîâíîé òåêñò (10)_"/>
    <w:uiPriority w:val="99"/>
    <w:rsid w:val="00811C95"/>
    <w:rPr>
      <w:rFonts w:ascii="Microsoft Sans Serif" w:hAnsi="Microsoft Sans Serif" w:cs="Microsoft Sans Serif"/>
      <w:smallCaps/>
      <w:sz w:val="17"/>
      <w:szCs w:val="17"/>
    </w:rPr>
  </w:style>
  <w:style w:type="character" w:customStyle="1" w:styleId="1185pt32">
    <w:name w:val="Îñíîâíîé òåêñò (11) + 8.5 pt3.Ìàëûå ïðîïèñíûå2"/>
    <w:uiPriority w:val="99"/>
    <w:rsid w:val="00811C95"/>
    <w:rPr>
      <w:rFonts w:ascii="Microsoft Sans Serif" w:hAnsi="Microsoft Sans Serif" w:cs="Microsoft Sans Serif"/>
      <w:i/>
      <w:iCs/>
      <w:smallCaps/>
      <w:sz w:val="17"/>
      <w:szCs w:val="17"/>
    </w:rPr>
  </w:style>
  <w:style w:type="character" w:customStyle="1" w:styleId="21pt1">
    <w:name w:val="Îñíîâíîé òåêñò (2) + Èíòåðâàë 1 pt1"/>
    <w:uiPriority w:val="99"/>
    <w:rsid w:val="00811C95"/>
    <w:rPr>
      <w:rFonts w:ascii="Microsoft Sans Serif" w:hAnsi="Microsoft Sans Serif" w:cs="Microsoft Sans Serif"/>
      <w:i/>
      <w:iCs/>
      <w:noProof/>
      <w:spacing w:val="30"/>
      <w:sz w:val="21"/>
      <w:szCs w:val="21"/>
    </w:rPr>
  </w:style>
  <w:style w:type="character" w:customStyle="1" w:styleId="2-1pt1">
    <w:name w:val="Îñíîâíîé òåêñò (2) + Èíòåðâàë -1 pt"/>
    <w:uiPriority w:val="99"/>
    <w:rsid w:val="00811C95"/>
    <w:rPr>
      <w:rFonts w:ascii="Microsoft Sans Serif" w:hAnsi="Microsoft Sans Serif" w:cs="Microsoft Sans Serif"/>
      <w:i/>
      <w:iCs/>
      <w:noProof/>
      <w:spacing w:val="-20"/>
      <w:sz w:val="21"/>
      <w:szCs w:val="21"/>
    </w:rPr>
  </w:style>
  <w:style w:type="character" w:customStyle="1" w:styleId="TrebuchetMS155ptArialNarrow17Tahoma0pt1211">
    <w:name w:val="Êîëîíòèòóë + Trebuchet MS.15.5 pt.Êîëîíòèòóë + Arial Narrow.17.Êîëîíòèòóë + Tahoma.Èíòåðâàë 0 pt1.Îñíîâíîé òåêñò (2) + 11"/>
    <w:uiPriority w:val="99"/>
    <w:rsid w:val="00811C95"/>
    <w:rPr>
      <w:rFonts w:ascii="Trebuchet MS" w:hAnsi="Trebuchet MS" w:cs="Trebuchet MS"/>
      <w:noProof/>
      <w:sz w:val="31"/>
      <w:szCs w:val="31"/>
    </w:rPr>
  </w:style>
  <w:style w:type="character" w:customStyle="1" w:styleId="22pt0">
    <w:name w:val="Îñíîâíîé òåêñò (2) + Èíòåðâàë 2 pt"/>
    <w:uiPriority w:val="99"/>
    <w:rsid w:val="00811C95"/>
    <w:rPr>
      <w:rFonts w:ascii="Tahoma" w:hAnsi="Tahoma" w:cs="Tahoma"/>
      <w:i/>
      <w:iCs/>
      <w:noProof/>
      <w:spacing w:val="40"/>
      <w:sz w:val="21"/>
      <w:szCs w:val="21"/>
    </w:rPr>
  </w:style>
  <w:style w:type="character" w:customStyle="1" w:styleId="1pt2">
    <w:name w:val="Îñíîâíîé òåêñò + Èíòåðâàë 1 pt"/>
    <w:uiPriority w:val="99"/>
    <w:rsid w:val="00811C95"/>
    <w:rPr>
      <w:rFonts w:ascii="Microsoft Sans Serif" w:hAnsi="Microsoft Sans Serif" w:cs="Microsoft Sans Serif"/>
      <w:i/>
      <w:iCs/>
      <w:spacing w:val="30"/>
      <w:sz w:val="21"/>
      <w:szCs w:val="21"/>
    </w:rPr>
  </w:style>
  <w:style w:type="character" w:customStyle="1" w:styleId="31pt">
    <w:name w:val="Îñíîâíîé òåêñò (3) + Èíòåðâàë 1 pt"/>
    <w:uiPriority w:val="99"/>
    <w:rsid w:val="00811C95"/>
    <w:rPr>
      <w:rFonts w:ascii="MS Reference Sans Serif" w:hAnsi="MS Reference Sans Serif" w:cs="MS Reference Sans Serif"/>
      <w:b/>
      <w:bCs/>
      <w:i/>
      <w:iCs/>
      <w:spacing w:val="20"/>
      <w:sz w:val="22"/>
      <w:szCs w:val="22"/>
    </w:rPr>
  </w:style>
  <w:style w:type="character" w:customStyle="1" w:styleId="3pt0">
    <w:name w:val="Îñíîâíîé òåêñò + Èíòåðâàë 3 pt"/>
    <w:uiPriority w:val="99"/>
    <w:rsid w:val="00811C95"/>
    <w:rPr>
      <w:rFonts w:ascii="Microsoft Sans Serif" w:hAnsi="Microsoft Sans Serif" w:cs="Microsoft Sans Serif"/>
      <w:i/>
      <w:iCs/>
      <w:spacing w:val="60"/>
      <w:sz w:val="21"/>
      <w:szCs w:val="21"/>
    </w:rPr>
  </w:style>
  <w:style w:type="character" w:customStyle="1" w:styleId="42pt">
    <w:name w:val="Îñíîâíîé òåêñò (4) + Èíòåðâàë 2 pt"/>
    <w:uiPriority w:val="99"/>
    <w:rsid w:val="00811C95"/>
    <w:rPr>
      <w:rFonts w:ascii="Tahoma" w:hAnsi="Tahoma" w:cs="Tahoma"/>
      <w:i/>
      <w:iCs/>
      <w:spacing w:val="50"/>
      <w:sz w:val="21"/>
      <w:szCs w:val="21"/>
    </w:rPr>
  </w:style>
  <w:style w:type="character" w:customStyle="1" w:styleId="4f6">
    <w:name w:val="Îñíîâíîé òåêñò (4)_"/>
    <w:uiPriority w:val="99"/>
    <w:rsid w:val="00811C95"/>
    <w:rPr>
      <w:rFonts w:ascii="Microsoft Sans Serif" w:hAnsi="Microsoft Sans Serif" w:cs="Microsoft Sans Serif"/>
      <w:i/>
      <w:iCs/>
      <w:sz w:val="21"/>
      <w:szCs w:val="21"/>
    </w:rPr>
  </w:style>
  <w:style w:type="character" w:customStyle="1" w:styleId="FranklinGothicHeavy">
    <w:name w:val="Îñíîâíîé òåêñò + Franklin Gothic Heavy"/>
    <w:uiPriority w:val="99"/>
    <w:rsid w:val="00811C95"/>
    <w:rPr>
      <w:rFonts w:ascii="Franklin Gothic Heavy" w:hAnsi="Franklin Gothic Heavy" w:cs="Franklin Gothic Heavy"/>
      <w:spacing w:val="-10"/>
      <w:sz w:val="12"/>
      <w:szCs w:val="12"/>
    </w:rPr>
  </w:style>
  <w:style w:type="character" w:customStyle="1" w:styleId="Tahoma0">
    <w:name w:val="Îñíîâíîé òåêñò + Tahoma.Ïîëóæèðíûé.Êóðñèâ"/>
    <w:uiPriority w:val="99"/>
    <w:rsid w:val="00811C95"/>
    <w:rPr>
      <w:rFonts w:ascii="Tahoma" w:hAnsi="Tahoma" w:cs="Tahoma"/>
      <w:b/>
      <w:bCs/>
      <w:i/>
      <w:iCs/>
      <w:spacing w:val="-10"/>
      <w:sz w:val="12"/>
      <w:szCs w:val="12"/>
      <w:lang w:val="en-US"/>
    </w:rPr>
  </w:style>
  <w:style w:type="character" w:customStyle="1" w:styleId="afffffa">
    <w:name w:val="Îñíîâíîé òåêñò + Ïîëóæèðíûé"/>
    <w:uiPriority w:val="99"/>
    <w:rsid w:val="00811C95"/>
    <w:rPr>
      <w:rFonts w:ascii="Trebuchet MS" w:hAnsi="Trebuchet MS" w:cs="Trebuchet MS"/>
      <w:b/>
      <w:bCs/>
      <w:spacing w:val="-10"/>
      <w:sz w:val="12"/>
      <w:szCs w:val="12"/>
    </w:rPr>
  </w:style>
  <w:style w:type="character" w:customStyle="1" w:styleId="CourierNew445pt">
    <w:name w:val="Îñíîâíîé òåêñò + Courier New.44.5 pt.Ïîëóæèðíûé"/>
    <w:uiPriority w:val="99"/>
    <w:rsid w:val="00811C95"/>
    <w:rPr>
      <w:rFonts w:ascii="Courier New" w:hAnsi="Courier New" w:cs="Courier New"/>
      <w:b/>
      <w:bCs/>
      <w:noProof/>
      <w:spacing w:val="-10"/>
      <w:sz w:val="89"/>
      <w:szCs w:val="89"/>
    </w:rPr>
  </w:style>
  <w:style w:type="character" w:customStyle="1" w:styleId="55pt21">
    <w:name w:val="Îñíîâíîé òåêñò + 5.5 pt2.Ïîëóæèðíûé1"/>
    <w:uiPriority w:val="99"/>
    <w:rsid w:val="00811C95"/>
    <w:rPr>
      <w:rFonts w:ascii="Tahoma" w:hAnsi="Tahoma" w:cs="Tahoma"/>
      <w:b/>
      <w:bCs/>
      <w:spacing w:val="-10"/>
      <w:sz w:val="11"/>
      <w:szCs w:val="11"/>
    </w:rPr>
  </w:style>
  <w:style w:type="character" w:customStyle="1" w:styleId="1fe">
    <w:name w:val="Îñíîâíîé òåêñò + Êóðñèâ1"/>
    <w:uiPriority w:val="99"/>
    <w:rsid w:val="00811C95"/>
    <w:rPr>
      <w:rFonts w:ascii="Arial" w:hAnsi="Arial" w:cs="Arial"/>
      <w:i/>
      <w:iCs/>
      <w:spacing w:val="-10"/>
      <w:sz w:val="17"/>
      <w:szCs w:val="17"/>
    </w:rPr>
  </w:style>
  <w:style w:type="character" w:customStyle="1" w:styleId="625pt720pt7">
    <w:name w:val="Îñíîâíîé òåêñò + 62.5 pt7.Ïîëóæèðíûé2.Èíòåðâàë 0 pt7"/>
    <w:uiPriority w:val="99"/>
    <w:rsid w:val="00811C95"/>
    <w:rPr>
      <w:rFonts w:ascii="Arial" w:hAnsi="Arial" w:cs="Arial"/>
      <w:b/>
      <w:bCs/>
      <w:spacing w:val="0"/>
      <w:sz w:val="13"/>
      <w:szCs w:val="13"/>
    </w:rPr>
  </w:style>
  <w:style w:type="character" w:customStyle="1" w:styleId="725pt6">
    <w:name w:val="Îñíîâíîé òåêñò + 72.5 pt6"/>
    <w:uiPriority w:val="99"/>
    <w:rsid w:val="00811C95"/>
    <w:rPr>
      <w:rFonts w:ascii="Arial" w:hAnsi="Arial" w:cs="Arial"/>
      <w:spacing w:val="-10"/>
      <w:sz w:val="15"/>
      <w:szCs w:val="15"/>
    </w:rPr>
  </w:style>
  <w:style w:type="character" w:customStyle="1" w:styleId="6pt0pt6">
    <w:name w:val="Îñíîâíîé òåêñò + 6 pt.Èíòåðâàë 0 pt6"/>
    <w:uiPriority w:val="99"/>
    <w:rsid w:val="00811C95"/>
    <w:rPr>
      <w:rFonts w:ascii="Arial" w:hAnsi="Arial" w:cs="Arial"/>
      <w:spacing w:val="0"/>
      <w:sz w:val="12"/>
      <w:szCs w:val="12"/>
    </w:rPr>
  </w:style>
  <w:style w:type="paragraph" w:customStyle="1" w:styleId="219">
    <w:name w:val="Ïîäïèñü ê êàðòèíêå (2)1"/>
    <w:basedOn w:val="a"/>
    <w:uiPriority w:val="99"/>
    <w:rsid w:val="00811C95"/>
    <w:pPr>
      <w:shd w:val="clear" w:color="auto" w:fill="FFFFFF"/>
      <w:autoSpaceDE w:val="0"/>
      <w:autoSpaceDN w:val="0"/>
      <w:adjustRightInd w:val="0"/>
      <w:spacing w:after="0" w:line="202" w:lineRule="exact"/>
    </w:pPr>
    <w:rPr>
      <w:rFonts w:ascii="Arial" w:hAnsi="Arial" w:cs="Arial"/>
      <w:i/>
      <w:iCs/>
      <w:noProof/>
      <w:spacing w:val="-10"/>
      <w:sz w:val="17"/>
      <w:szCs w:val="17"/>
      <w:lang w:val="en-US"/>
    </w:rPr>
  </w:style>
  <w:style w:type="paragraph" w:customStyle="1" w:styleId="1ff">
    <w:name w:val="Верхний колонтитул1"/>
    <w:basedOn w:val="a"/>
    <w:uiPriority w:val="99"/>
    <w:rsid w:val="00811C95"/>
    <w:pPr>
      <w:widowControl w:val="0"/>
      <w:tabs>
        <w:tab w:val="center" w:pos="4153"/>
        <w:tab w:val="right" w:pos="8306"/>
      </w:tabs>
      <w:autoSpaceDE w:val="0"/>
      <w:autoSpaceDN w:val="0"/>
      <w:adjustRightInd w:val="0"/>
      <w:spacing w:after="0" w:line="240" w:lineRule="auto"/>
    </w:pPr>
    <w:rPr>
      <w:rFonts w:ascii="Times New Roman" w:hAnsi="Times New Roman"/>
      <w:sz w:val="20"/>
      <w:szCs w:val="20"/>
      <w:lang w:val="en-US"/>
    </w:rPr>
  </w:style>
  <w:style w:type="paragraph" w:customStyle="1" w:styleId="1ff0">
    <w:name w:val="Нижний колонтитул1"/>
    <w:basedOn w:val="a"/>
    <w:uiPriority w:val="99"/>
    <w:rsid w:val="00811C95"/>
    <w:pPr>
      <w:widowControl w:val="0"/>
      <w:tabs>
        <w:tab w:val="center" w:pos="4153"/>
        <w:tab w:val="right" w:pos="8306"/>
      </w:tabs>
      <w:autoSpaceDE w:val="0"/>
      <w:autoSpaceDN w:val="0"/>
      <w:adjustRightInd w:val="0"/>
      <w:spacing w:after="0" w:line="240" w:lineRule="auto"/>
    </w:pPr>
    <w:rPr>
      <w:rFonts w:ascii="Times New Roman" w:hAnsi="Times New Roman"/>
      <w:sz w:val="20"/>
      <w:szCs w:val="20"/>
      <w:lang w:val="en-US"/>
    </w:rPr>
  </w:style>
  <w:style w:type="character" w:customStyle="1" w:styleId="afffffb">
    <w:name w:val="Îñíîâíîé øðèôò àáçàöà"/>
    <w:uiPriority w:val="99"/>
    <w:rsid w:val="00811C95"/>
    <w:rPr>
      <w:rFonts w:ascii="Times New Roman" w:hAnsi="Times New Roman" w:cs="Times New Roman"/>
      <w:sz w:val="20"/>
      <w:szCs w:val="20"/>
    </w:rPr>
  </w:style>
  <w:style w:type="paragraph" w:customStyle="1" w:styleId="afffffc">
    <w:name w:val="Ñîäåðæèìîå òàáëèöû"/>
    <w:basedOn w:val="a"/>
    <w:uiPriority w:val="99"/>
    <w:rsid w:val="00811C95"/>
    <w:pPr>
      <w:widowControl w:val="0"/>
      <w:suppressLineNumbers/>
      <w:suppressAutoHyphens/>
      <w:autoSpaceDE w:val="0"/>
      <w:autoSpaceDN w:val="0"/>
      <w:adjustRightInd w:val="0"/>
      <w:spacing w:after="0" w:line="240" w:lineRule="auto"/>
    </w:pPr>
    <w:rPr>
      <w:rFonts w:ascii="Arial" w:hAnsi="Arial" w:cs="Arial"/>
      <w:kern w:val="2"/>
      <w:sz w:val="20"/>
      <w:szCs w:val="20"/>
    </w:rPr>
  </w:style>
  <w:style w:type="character" w:customStyle="1" w:styleId="1ff1">
    <w:name w:val="Îñíîâíîé òåêñò + Ìàëûå ïðîïèñíûå1"/>
    <w:uiPriority w:val="99"/>
    <w:rsid w:val="00811C95"/>
    <w:rPr>
      <w:rFonts w:ascii="Microsoft Sans Serif" w:hAnsi="Microsoft Sans Serif" w:cs="Microsoft Sans Serif"/>
      <w:smallCaps/>
      <w:spacing w:val="-10"/>
      <w:sz w:val="28"/>
      <w:szCs w:val="28"/>
    </w:rPr>
  </w:style>
  <w:style w:type="character" w:customStyle="1" w:styleId="FranklinGothicBook111pt11">
    <w:name w:val="Îñíîâíîé òåêñò + Franklin Gothic Book1.11 pt1.Ìàëûå ïðîïèñíûå1"/>
    <w:uiPriority w:val="99"/>
    <w:rsid w:val="00811C95"/>
    <w:rPr>
      <w:rFonts w:ascii="Franklin Gothic Book" w:hAnsi="Franklin Gothic Book" w:cs="Franklin Gothic Book"/>
      <w:smallCaps/>
      <w:spacing w:val="-10"/>
      <w:sz w:val="22"/>
      <w:szCs w:val="22"/>
    </w:rPr>
  </w:style>
  <w:style w:type="paragraph" w:customStyle="1" w:styleId="12c">
    <w:name w:val="Çàãîëîâîê ¹12"/>
    <w:basedOn w:val="a"/>
    <w:uiPriority w:val="99"/>
    <w:rsid w:val="00811C95"/>
    <w:pPr>
      <w:shd w:val="clear" w:color="auto" w:fill="FFFFFF"/>
      <w:autoSpaceDE w:val="0"/>
      <w:autoSpaceDN w:val="0"/>
      <w:adjustRightInd w:val="0"/>
      <w:spacing w:after="0" w:line="240" w:lineRule="atLeast"/>
    </w:pPr>
    <w:rPr>
      <w:rFonts w:ascii="Microsoft Sans Serif" w:hAnsi="Microsoft Sans Serif" w:cs="Microsoft Sans Serif"/>
      <w:noProof/>
      <w:sz w:val="36"/>
      <w:szCs w:val="36"/>
      <w:lang w:val="en-US"/>
    </w:rPr>
  </w:style>
  <w:style w:type="character" w:customStyle="1" w:styleId="BookmanOldStyle">
    <w:name w:val="Основной текст + Bookman Old Style"/>
    <w:rsid w:val="00811C95"/>
    <w:rPr>
      <w:rFonts w:ascii="Bookman Old Style" w:hAnsi="Bookman Old Style"/>
      <w:spacing w:val="-10"/>
      <w:sz w:val="13"/>
    </w:rPr>
  </w:style>
  <w:style w:type="paragraph" w:customStyle="1" w:styleId="1ff2">
    <w:name w:val="Обычный (веб)1"/>
    <w:basedOn w:val="a"/>
    <w:rsid w:val="00811C95"/>
    <w:pPr>
      <w:overflowPunct w:val="0"/>
      <w:autoSpaceDE w:val="0"/>
      <w:autoSpaceDN w:val="0"/>
      <w:adjustRightInd w:val="0"/>
      <w:spacing w:before="100" w:after="100" w:line="240" w:lineRule="auto"/>
      <w:textAlignment w:val="baseline"/>
    </w:pPr>
    <w:rPr>
      <w:rFonts w:ascii="Times New Roman" w:eastAsia="Times New Roman" w:hAnsi="Times New Roman"/>
      <w:sz w:val="24"/>
      <w:szCs w:val="20"/>
      <w:lang w:eastAsia="ru-RU"/>
    </w:rPr>
  </w:style>
  <w:style w:type="character" w:customStyle="1" w:styleId="913">
    <w:name w:val="Основной текст + 913"/>
    <w:aliases w:val="5 pt59,Полужирный56,Интервал 0 pt38,Основной текст + 830"/>
    <w:uiPriority w:val="99"/>
    <w:rsid w:val="00811C95"/>
    <w:rPr>
      <w:rFonts w:ascii="Arial Narrow" w:hAnsi="Arial Narrow" w:cs="Arial Narrow"/>
      <w:b/>
      <w:bCs/>
      <w:spacing w:val="-10"/>
      <w:sz w:val="19"/>
      <w:szCs w:val="19"/>
      <w:shd w:val="clear" w:color="auto" w:fill="FFFFFF"/>
    </w:rPr>
  </w:style>
  <w:style w:type="character" w:customStyle="1" w:styleId="2pt10">
    <w:name w:val="Основной текст + Интервал 2 pt1"/>
    <w:uiPriority w:val="99"/>
    <w:rsid w:val="00811C95"/>
    <w:rPr>
      <w:rFonts w:ascii="Arial" w:hAnsi="Arial" w:cs="Arial"/>
      <w:spacing w:val="40"/>
      <w:sz w:val="18"/>
      <w:szCs w:val="18"/>
      <w:shd w:val="clear" w:color="auto" w:fill="FFFFFF"/>
    </w:rPr>
  </w:style>
  <w:style w:type="character" w:customStyle="1" w:styleId="401">
    <w:name w:val="Основной текст + Курсив40"/>
    <w:uiPriority w:val="99"/>
    <w:rsid w:val="00811C95"/>
    <w:rPr>
      <w:rFonts w:ascii="Century Gothic" w:hAnsi="Century Gothic" w:cs="Century Gothic"/>
      <w:i/>
      <w:iCs/>
      <w:spacing w:val="0"/>
      <w:sz w:val="16"/>
      <w:szCs w:val="16"/>
      <w:shd w:val="clear" w:color="auto" w:fill="FFFFFF"/>
    </w:rPr>
  </w:style>
  <w:style w:type="character" w:customStyle="1" w:styleId="2280">
    <w:name w:val="Основной текст (2) + Не курсив28"/>
    <w:uiPriority w:val="99"/>
    <w:rsid w:val="00811C95"/>
    <w:rPr>
      <w:rFonts w:ascii="Century Gothic" w:eastAsia="Times New Roman" w:hAnsi="Century Gothic" w:cs="Century Gothic"/>
      <w:b w:val="0"/>
      <w:bCs w:val="0"/>
      <w:i w:val="0"/>
      <w:iCs w:val="0"/>
      <w:smallCaps w:val="0"/>
      <w:strike w:val="0"/>
      <w:spacing w:val="0"/>
      <w:sz w:val="16"/>
      <w:szCs w:val="16"/>
      <w:shd w:val="clear" w:color="auto" w:fill="FFFFFF"/>
      <w:lang w:eastAsia="en-US"/>
    </w:rPr>
  </w:style>
  <w:style w:type="character" w:customStyle="1" w:styleId="138">
    <w:name w:val="Основной текст + Полужирный13"/>
    <w:uiPriority w:val="99"/>
    <w:rsid w:val="00811C95"/>
    <w:rPr>
      <w:rFonts w:ascii="Arial Narrow" w:hAnsi="Arial Narrow" w:cs="Arial Narrow"/>
      <w:b/>
      <w:bCs/>
      <w:spacing w:val="0"/>
      <w:sz w:val="18"/>
      <w:szCs w:val="18"/>
      <w:shd w:val="clear" w:color="auto" w:fill="FFFFFF"/>
    </w:rPr>
  </w:style>
  <w:style w:type="character" w:customStyle="1" w:styleId="95pt-1pt">
    <w:name w:val="Основной текст + 9;5 pt;Полужирный;Интервал -1 pt"/>
    <w:rsid w:val="00811C95"/>
    <w:rPr>
      <w:rFonts w:ascii="Arial Narrow" w:eastAsia="Arial Narrow" w:hAnsi="Arial Narrow" w:cs="Arial Narrow"/>
      <w:b/>
      <w:bCs/>
      <w:i w:val="0"/>
      <w:iCs w:val="0"/>
      <w:smallCaps w:val="0"/>
      <w:strike w:val="0"/>
      <w:spacing w:val="-20"/>
      <w:sz w:val="19"/>
      <w:szCs w:val="19"/>
      <w:shd w:val="clear" w:color="auto" w:fill="FFFFFF"/>
    </w:rPr>
  </w:style>
  <w:style w:type="character" w:customStyle="1" w:styleId="495pt0pt">
    <w:name w:val="Основной текст (4) + 9;5 pt;Полужирный;Интервал 0 pt"/>
    <w:rsid w:val="00811C95"/>
    <w:rPr>
      <w:rFonts w:ascii="Arial Narrow" w:eastAsia="Arial Narrow" w:hAnsi="Arial Narrow" w:cs="Arial Narrow"/>
      <w:b/>
      <w:bCs/>
      <w:i w:val="0"/>
      <w:iCs w:val="0"/>
      <w:smallCaps w:val="0"/>
      <w:strike w:val="0"/>
      <w:spacing w:val="-10"/>
      <w:sz w:val="19"/>
      <w:szCs w:val="19"/>
      <w:shd w:val="clear" w:color="auto" w:fill="FFFFFF"/>
      <w:lang w:eastAsia="en-US"/>
    </w:rPr>
  </w:style>
  <w:style w:type="character" w:customStyle="1" w:styleId="495pt">
    <w:name w:val="Основной текст (4) + 9;5 pt;Полужирный"/>
    <w:rsid w:val="00811C95"/>
    <w:rPr>
      <w:rFonts w:ascii="Arial Narrow" w:eastAsia="Arial Narrow" w:hAnsi="Arial Narrow" w:cs="Arial Narrow"/>
      <w:b/>
      <w:bCs/>
      <w:i w:val="0"/>
      <w:iCs w:val="0"/>
      <w:smallCaps w:val="0"/>
      <w:strike w:val="0"/>
      <w:spacing w:val="0"/>
      <w:sz w:val="19"/>
      <w:szCs w:val="19"/>
      <w:shd w:val="clear" w:color="auto" w:fill="FFFFFF"/>
      <w:lang w:eastAsia="en-US"/>
    </w:rPr>
  </w:style>
  <w:style w:type="character" w:customStyle="1" w:styleId="6pt0">
    <w:name w:val="Основной текст + 6 pt;Полужирный"/>
    <w:rsid w:val="00811C95"/>
    <w:rPr>
      <w:rFonts w:ascii="Arial Narrow" w:eastAsia="Arial Narrow" w:hAnsi="Arial Narrow" w:cs="Arial Narrow"/>
      <w:b/>
      <w:bCs/>
      <w:i w:val="0"/>
      <w:iCs w:val="0"/>
      <w:smallCaps w:val="0"/>
      <w:strike w:val="0"/>
      <w:spacing w:val="0"/>
      <w:sz w:val="12"/>
      <w:szCs w:val="12"/>
      <w:shd w:val="clear" w:color="auto" w:fill="FFFFFF"/>
    </w:rPr>
  </w:style>
  <w:style w:type="character" w:customStyle="1" w:styleId="524">
    <w:name w:val="Основной текст + Курсив52"/>
    <w:uiPriority w:val="99"/>
    <w:rsid w:val="00811C95"/>
    <w:rPr>
      <w:rFonts w:ascii="Century Gothic" w:hAnsi="Century Gothic" w:cs="Century Gothic"/>
      <w:i/>
      <w:iCs/>
      <w:spacing w:val="0"/>
      <w:sz w:val="16"/>
      <w:szCs w:val="16"/>
      <w:shd w:val="clear" w:color="auto" w:fill="FFFFFF"/>
    </w:rPr>
  </w:style>
  <w:style w:type="character" w:customStyle="1" w:styleId="2411">
    <w:name w:val="Основной текст (2) + Не курсив41"/>
    <w:uiPriority w:val="99"/>
    <w:rsid w:val="00811C95"/>
    <w:rPr>
      <w:rFonts w:ascii="Century Gothic" w:eastAsia="Times New Roman" w:hAnsi="Century Gothic" w:cs="Century Gothic"/>
      <w:b w:val="0"/>
      <w:bCs w:val="0"/>
      <w:i w:val="0"/>
      <w:iCs w:val="0"/>
      <w:smallCaps w:val="0"/>
      <w:strike w:val="0"/>
      <w:spacing w:val="0"/>
      <w:sz w:val="16"/>
      <w:szCs w:val="16"/>
      <w:shd w:val="clear" w:color="auto" w:fill="FFFFFF"/>
      <w:lang w:eastAsia="en-US"/>
    </w:rPr>
  </w:style>
  <w:style w:type="character" w:customStyle="1" w:styleId="2pt3">
    <w:name w:val="Основной текст + Интервал 2 pt3"/>
    <w:uiPriority w:val="99"/>
    <w:rsid w:val="00811C95"/>
    <w:rPr>
      <w:rFonts w:ascii="Century Gothic" w:hAnsi="Century Gothic" w:cs="Century Gothic"/>
      <w:spacing w:val="50"/>
      <w:sz w:val="16"/>
      <w:szCs w:val="16"/>
      <w:shd w:val="clear" w:color="auto" w:fill="FFFFFF"/>
    </w:rPr>
  </w:style>
  <w:style w:type="character" w:customStyle="1" w:styleId="Footnote2">
    <w:name w:val="Footnote (2)"/>
    <w:rsid w:val="00811C95"/>
    <w:rPr>
      <w:rFonts w:ascii="Times New Roman" w:eastAsia="Times New Roman" w:hAnsi="Times New Roman" w:cs="Times New Roman"/>
      <w:b w:val="0"/>
      <w:bCs w:val="0"/>
      <w:i w:val="0"/>
      <w:iCs w:val="0"/>
      <w:smallCaps w:val="0"/>
      <w:strike w:val="0"/>
      <w:spacing w:val="0"/>
      <w:sz w:val="22"/>
      <w:szCs w:val="22"/>
    </w:rPr>
  </w:style>
  <w:style w:type="character" w:customStyle="1" w:styleId="Bodytext9">
    <w:name w:val="Body text (9)"/>
    <w:rsid w:val="00811C95"/>
    <w:rPr>
      <w:rFonts w:ascii="Times New Roman" w:eastAsia="Times New Roman" w:hAnsi="Times New Roman" w:cs="Times New Roman"/>
      <w:b w:val="0"/>
      <w:bCs w:val="0"/>
      <w:i w:val="0"/>
      <w:iCs w:val="0"/>
      <w:smallCaps w:val="0"/>
      <w:strike w:val="0"/>
      <w:spacing w:val="0"/>
      <w:sz w:val="20"/>
      <w:szCs w:val="20"/>
    </w:rPr>
  </w:style>
  <w:style w:type="character" w:customStyle="1" w:styleId="Bodytext10ptBold">
    <w:name w:val="Body text + 10 pt;Bold"/>
    <w:rsid w:val="00811C95"/>
    <w:rPr>
      <w:rFonts w:ascii="Times New Roman" w:eastAsia="Times New Roman" w:hAnsi="Times New Roman" w:cs="Times New Roman"/>
      <w:b/>
      <w:bCs/>
      <w:sz w:val="20"/>
      <w:szCs w:val="20"/>
      <w:shd w:val="clear" w:color="auto" w:fill="FFFFFF"/>
    </w:rPr>
  </w:style>
  <w:style w:type="character" w:customStyle="1" w:styleId="Bodytext6">
    <w:name w:val="Body text (6)"/>
    <w:rsid w:val="00811C95"/>
    <w:rPr>
      <w:rFonts w:ascii="Times New Roman" w:eastAsia="Times New Roman" w:hAnsi="Times New Roman" w:cs="Times New Roman"/>
      <w:b w:val="0"/>
      <w:bCs w:val="0"/>
      <w:i w:val="0"/>
      <w:iCs w:val="0"/>
      <w:smallCaps w:val="0"/>
      <w:strike w:val="0"/>
      <w:spacing w:val="0"/>
      <w:sz w:val="17"/>
      <w:szCs w:val="17"/>
    </w:rPr>
  </w:style>
  <w:style w:type="character" w:customStyle="1" w:styleId="9d">
    <w:name w:val="Основной текст + Курсив9"/>
    <w:uiPriority w:val="99"/>
    <w:rsid w:val="00811C95"/>
    <w:rPr>
      <w:rFonts w:ascii="Arial Narrow" w:hAnsi="Arial Narrow" w:cs="Arial Narrow"/>
      <w:i/>
      <w:iCs/>
      <w:spacing w:val="0"/>
      <w:sz w:val="18"/>
      <w:szCs w:val="18"/>
      <w:shd w:val="clear" w:color="auto" w:fill="FFFFFF"/>
    </w:rPr>
  </w:style>
  <w:style w:type="character" w:customStyle="1" w:styleId="0pt3">
    <w:name w:val="Основной текст + Полужирный;Интервал 0 pt"/>
    <w:rsid w:val="00811C95"/>
    <w:rPr>
      <w:rFonts w:ascii="Times New Roman" w:eastAsia="Times New Roman" w:hAnsi="Times New Roman" w:cs="Times New Roman"/>
      <w:b/>
      <w:bCs/>
      <w:i w:val="0"/>
      <w:iCs w:val="0"/>
      <w:smallCaps w:val="0"/>
      <w:strike w:val="0"/>
      <w:spacing w:val="-10"/>
      <w:sz w:val="23"/>
      <w:szCs w:val="23"/>
      <w:shd w:val="clear" w:color="auto" w:fill="FFFFFF"/>
    </w:rPr>
  </w:style>
  <w:style w:type="character" w:customStyle="1" w:styleId="10MicrosoftSansSerif2">
    <w:name w:val="Основной текст (10) + Microsoft Sans Serif2"/>
    <w:aliases w:val="84,5 pt52,Полужирный50,Основной текст + 11 pt4,Основной текст + Segoe UI4"/>
    <w:uiPriority w:val="99"/>
    <w:rsid w:val="00811C95"/>
    <w:rPr>
      <w:rFonts w:ascii="Microsoft Sans Serif" w:eastAsia="Times New Roman" w:hAnsi="Microsoft Sans Serif" w:cs="Microsoft Sans Serif"/>
      <w:b/>
      <w:bCs/>
      <w:i/>
      <w:iCs/>
      <w:smallCaps w:val="0"/>
      <w:strike w:val="0"/>
      <w:spacing w:val="0"/>
      <w:sz w:val="17"/>
      <w:szCs w:val="17"/>
      <w:shd w:val="clear" w:color="auto" w:fill="FFFFFF"/>
    </w:rPr>
  </w:style>
  <w:style w:type="character" w:customStyle="1" w:styleId="423">
    <w:name w:val="Основной текст + Курсив42"/>
    <w:uiPriority w:val="99"/>
    <w:rsid w:val="00811C95"/>
    <w:rPr>
      <w:rFonts w:ascii="Century Gothic" w:hAnsi="Century Gothic" w:cs="Century Gothic"/>
      <w:i/>
      <w:iCs/>
      <w:spacing w:val="0"/>
      <w:sz w:val="16"/>
      <w:szCs w:val="16"/>
      <w:shd w:val="clear" w:color="auto" w:fill="FFFFFF"/>
    </w:rPr>
  </w:style>
  <w:style w:type="paragraph" w:customStyle="1" w:styleId="Pa4">
    <w:name w:val="Pa4"/>
    <w:basedOn w:val="a"/>
    <w:next w:val="a"/>
    <w:uiPriority w:val="99"/>
    <w:rsid w:val="00811C95"/>
    <w:pPr>
      <w:autoSpaceDE w:val="0"/>
      <w:autoSpaceDN w:val="0"/>
      <w:adjustRightInd w:val="0"/>
      <w:spacing w:after="0" w:line="201" w:lineRule="atLeast"/>
    </w:pPr>
    <w:rPr>
      <w:rFonts w:ascii="Minion Pro" w:hAnsi="Minion Pro"/>
      <w:sz w:val="24"/>
      <w:szCs w:val="24"/>
    </w:rPr>
  </w:style>
  <w:style w:type="paragraph" w:customStyle="1" w:styleId="Pa11">
    <w:name w:val="Pa11"/>
    <w:basedOn w:val="a"/>
    <w:next w:val="a"/>
    <w:uiPriority w:val="99"/>
    <w:rsid w:val="00811C95"/>
    <w:pPr>
      <w:autoSpaceDE w:val="0"/>
      <w:autoSpaceDN w:val="0"/>
      <w:adjustRightInd w:val="0"/>
      <w:spacing w:after="0" w:line="141" w:lineRule="atLeast"/>
    </w:pPr>
    <w:rPr>
      <w:rFonts w:ascii="Minion Pro" w:hAnsi="Minion Pro"/>
      <w:sz w:val="24"/>
      <w:szCs w:val="24"/>
    </w:rPr>
  </w:style>
  <w:style w:type="paragraph" w:customStyle="1" w:styleId="Pa1">
    <w:name w:val="Pa1"/>
    <w:basedOn w:val="a"/>
    <w:next w:val="a"/>
    <w:uiPriority w:val="99"/>
    <w:rsid w:val="00811C95"/>
    <w:pPr>
      <w:autoSpaceDE w:val="0"/>
      <w:autoSpaceDN w:val="0"/>
      <w:adjustRightInd w:val="0"/>
      <w:spacing w:after="0" w:line="161" w:lineRule="atLeast"/>
    </w:pPr>
    <w:rPr>
      <w:rFonts w:ascii="Minion Pro" w:hAnsi="Minion Pro"/>
      <w:sz w:val="24"/>
      <w:szCs w:val="24"/>
    </w:rPr>
  </w:style>
  <w:style w:type="paragraph" w:customStyle="1" w:styleId="165">
    <w:name w:val="Основной текст16"/>
    <w:basedOn w:val="a"/>
    <w:rsid w:val="00811C95"/>
    <w:pPr>
      <w:shd w:val="clear" w:color="auto" w:fill="FFFFFF"/>
      <w:spacing w:after="0" w:line="0" w:lineRule="atLeast"/>
    </w:pPr>
    <w:rPr>
      <w:rFonts w:ascii="Times New Roman" w:eastAsia="Times New Roman" w:hAnsi="Times New Roman"/>
      <w:sz w:val="21"/>
      <w:szCs w:val="21"/>
    </w:rPr>
  </w:style>
  <w:style w:type="character" w:customStyle="1" w:styleId="Bodytext8ptSmallCaps">
    <w:name w:val="Body text + 8 pt;Small Caps"/>
    <w:rsid w:val="00811C95"/>
    <w:rPr>
      <w:rFonts w:ascii="Times New Roman" w:eastAsia="Times New Roman" w:hAnsi="Times New Roman" w:cs="Times New Roman"/>
      <w:b w:val="0"/>
      <w:bCs w:val="0"/>
      <w:i w:val="0"/>
      <w:iCs w:val="0"/>
      <w:smallCaps/>
      <w:strike w:val="0"/>
      <w:spacing w:val="0"/>
      <w:sz w:val="16"/>
      <w:szCs w:val="16"/>
      <w:shd w:val="clear" w:color="auto" w:fill="FFFFFF"/>
    </w:rPr>
  </w:style>
  <w:style w:type="character" w:customStyle="1" w:styleId="Bodytext5">
    <w:name w:val="Body text (5)"/>
    <w:rsid w:val="00811C95"/>
    <w:rPr>
      <w:rFonts w:ascii="Times New Roman" w:hAnsi="Times New Roman" w:cs="Times New Roman"/>
      <w:spacing w:val="0"/>
      <w:sz w:val="15"/>
      <w:szCs w:val="15"/>
      <w:shd w:val="clear" w:color="auto" w:fill="FFFFFF"/>
    </w:rPr>
  </w:style>
  <w:style w:type="character" w:customStyle="1" w:styleId="Bodytext3">
    <w:name w:val="Body text (3)"/>
    <w:rsid w:val="00811C95"/>
  </w:style>
  <w:style w:type="character" w:customStyle="1" w:styleId="Bodytext7">
    <w:name w:val="Body text (7)"/>
    <w:rsid w:val="00811C95"/>
    <w:rPr>
      <w:rFonts w:ascii="Times New Roman" w:eastAsia="Times New Roman" w:hAnsi="Times New Roman" w:cs="Times New Roman"/>
      <w:b w:val="0"/>
      <w:bCs w:val="0"/>
      <w:i w:val="0"/>
      <w:iCs w:val="0"/>
      <w:smallCaps w:val="0"/>
      <w:strike w:val="0"/>
      <w:spacing w:val="0"/>
      <w:sz w:val="15"/>
      <w:szCs w:val="15"/>
    </w:rPr>
  </w:style>
  <w:style w:type="character" w:customStyle="1" w:styleId="Bodytext14Tahoma3">
    <w:name w:val="Body text (14) + Tahoma3"/>
    <w:aliases w:val="8 pt15,Not Italic20"/>
    <w:uiPriority w:val="99"/>
    <w:rsid w:val="00811C95"/>
    <w:rPr>
      <w:rFonts w:ascii="Tahoma" w:hAnsi="Tahoma" w:cs="Tahoma"/>
      <w:i w:val="0"/>
      <w:iCs w:val="0"/>
      <w:spacing w:val="0"/>
      <w:sz w:val="16"/>
      <w:szCs w:val="16"/>
      <w:shd w:val="clear" w:color="auto" w:fill="FFFFFF"/>
    </w:rPr>
  </w:style>
  <w:style w:type="character" w:customStyle="1" w:styleId="BodytextItalic4">
    <w:name w:val="Body text + Italic4"/>
    <w:basedOn w:val="Bodytext"/>
    <w:uiPriority w:val="99"/>
    <w:rsid w:val="00811C95"/>
    <w:rPr>
      <w:rFonts w:ascii="Arial Narrow" w:eastAsia="Times New Roman" w:hAnsi="Arial Narrow" w:cs="Arial Narrow"/>
      <w:b w:val="0"/>
      <w:bCs w:val="0"/>
      <w:i/>
      <w:iCs/>
      <w:smallCaps w:val="0"/>
      <w:strike w:val="0"/>
      <w:spacing w:val="0"/>
      <w:sz w:val="18"/>
      <w:szCs w:val="18"/>
      <w:shd w:val="clear" w:color="auto" w:fill="FFFFFF"/>
    </w:rPr>
  </w:style>
  <w:style w:type="character" w:customStyle="1" w:styleId="Bodytext20Bold2">
    <w:name w:val="Body text (20) + Bold2"/>
    <w:aliases w:val="Spacing 0 pt2"/>
    <w:basedOn w:val="a0"/>
    <w:uiPriority w:val="99"/>
    <w:rsid w:val="00811C95"/>
    <w:rPr>
      <w:rFonts w:ascii="Arial Narrow" w:hAnsi="Arial Narrow" w:cs="Arial Narrow"/>
      <w:b/>
      <w:bCs/>
      <w:i/>
      <w:iCs/>
      <w:spacing w:val="-10"/>
      <w:sz w:val="13"/>
      <w:szCs w:val="13"/>
      <w:shd w:val="clear" w:color="auto" w:fill="FFFFFF"/>
    </w:rPr>
  </w:style>
  <w:style w:type="character" w:customStyle="1" w:styleId="BodytextBold30">
    <w:name w:val="Body text + Bold30"/>
    <w:basedOn w:val="Bodytext"/>
    <w:uiPriority w:val="99"/>
    <w:rsid w:val="00811C95"/>
    <w:rPr>
      <w:rFonts w:ascii="Arial Narrow" w:eastAsia="Times New Roman" w:hAnsi="Arial Narrow" w:cs="Arial Narrow"/>
      <w:b/>
      <w:bCs/>
      <w:i w:val="0"/>
      <w:iCs w:val="0"/>
      <w:smallCaps w:val="0"/>
      <w:strike w:val="0"/>
      <w:spacing w:val="0"/>
      <w:sz w:val="18"/>
      <w:szCs w:val="18"/>
      <w:shd w:val="clear" w:color="auto" w:fill="FFFFFF"/>
    </w:rPr>
  </w:style>
  <w:style w:type="character" w:customStyle="1" w:styleId="BodytextItalic8">
    <w:name w:val="Body text + Italic8"/>
    <w:basedOn w:val="Bodytext"/>
    <w:uiPriority w:val="99"/>
    <w:rsid w:val="00811C95"/>
    <w:rPr>
      <w:rFonts w:ascii="Arial Narrow" w:eastAsia="Times New Roman" w:hAnsi="Arial Narrow" w:cs="Arial Narrow"/>
      <w:b w:val="0"/>
      <w:bCs w:val="0"/>
      <w:i/>
      <w:iCs/>
      <w:smallCaps w:val="0"/>
      <w:strike w:val="0"/>
      <w:spacing w:val="0"/>
      <w:sz w:val="18"/>
      <w:szCs w:val="18"/>
      <w:shd w:val="clear" w:color="auto" w:fill="FFFFFF"/>
    </w:rPr>
  </w:style>
  <w:style w:type="character" w:customStyle="1" w:styleId="95pt2pt">
    <w:name w:val="Основной текст + 9;5 pt;Курсив;Интервал 2 pt"/>
    <w:basedOn w:val="aff1"/>
    <w:rsid w:val="00811C95"/>
    <w:rPr>
      <w:rFonts w:ascii="Batang" w:eastAsia="Batang" w:hAnsi="Batang" w:cs="Batang"/>
      <w:b w:val="0"/>
      <w:bCs w:val="0"/>
      <w:i/>
      <w:iCs/>
      <w:smallCaps w:val="0"/>
      <w:strike w:val="0"/>
      <w:spacing w:val="40"/>
      <w:sz w:val="19"/>
      <w:szCs w:val="19"/>
      <w:shd w:val="clear" w:color="auto" w:fill="FFFFFF"/>
    </w:rPr>
  </w:style>
  <w:style w:type="character" w:customStyle="1" w:styleId="2MicrosoftSansSerif15pt">
    <w:name w:val="Заголовок №2 + Microsoft Sans Serif;15 pt"/>
    <w:basedOn w:val="a0"/>
    <w:rsid w:val="00811C95"/>
    <w:rPr>
      <w:rFonts w:ascii="Microsoft Sans Serif" w:eastAsia="Microsoft Sans Serif" w:hAnsi="Microsoft Sans Serif" w:cs="Microsoft Sans Serif"/>
      <w:b w:val="0"/>
      <w:bCs w:val="0"/>
      <w:i w:val="0"/>
      <w:iCs w:val="0"/>
      <w:smallCaps w:val="0"/>
      <w:strike w:val="0"/>
      <w:spacing w:val="-20"/>
      <w:w w:val="100"/>
      <w:sz w:val="30"/>
      <w:szCs w:val="30"/>
    </w:rPr>
  </w:style>
  <w:style w:type="character" w:customStyle="1" w:styleId="SimSun10pt-1pt">
    <w:name w:val="Подпись к картинке + SimSun;10 pt;Не курсив;Интервал -1 pt"/>
    <w:basedOn w:val="affc"/>
    <w:rsid w:val="00811C95"/>
    <w:rPr>
      <w:rFonts w:ascii="SimSun" w:eastAsia="SimSun" w:hAnsi="SimSun" w:cs="SimSun"/>
      <w:b w:val="0"/>
      <w:bCs w:val="0"/>
      <w:i/>
      <w:iCs/>
      <w:smallCaps w:val="0"/>
      <w:strike w:val="0"/>
      <w:w w:val="100"/>
      <w:sz w:val="13"/>
      <w:szCs w:val="13"/>
      <w:shd w:val="clear" w:color="auto" w:fill="FFFFFF"/>
      <w:lang w:eastAsia="en-US"/>
    </w:rPr>
  </w:style>
  <w:style w:type="character" w:customStyle="1" w:styleId="9pt0pt1">
    <w:name w:val="Оглавление + 9 pt;Интервал 0 pt"/>
    <w:basedOn w:val="afff8"/>
    <w:rsid w:val="00811C95"/>
    <w:rPr>
      <w:rFonts w:ascii="MS Mincho" w:eastAsia="MS Mincho" w:hAnsi="MS Mincho" w:cs="MS Mincho"/>
      <w:spacing w:val="0"/>
      <w:sz w:val="18"/>
      <w:szCs w:val="18"/>
      <w:shd w:val="clear" w:color="auto" w:fill="FFFFFF"/>
    </w:rPr>
  </w:style>
  <w:style w:type="character" w:customStyle="1" w:styleId="2ff4">
    <w:name w:val="Оглавление (2)_"/>
    <w:basedOn w:val="a0"/>
    <w:rsid w:val="00811C95"/>
    <w:rPr>
      <w:rFonts w:ascii="Garamond" w:eastAsia="Garamond" w:hAnsi="Garamond" w:cs="Garamond"/>
      <w:b w:val="0"/>
      <w:bCs w:val="0"/>
      <w:i w:val="0"/>
      <w:iCs w:val="0"/>
      <w:smallCaps w:val="0"/>
      <w:strike w:val="0"/>
      <w:spacing w:val="0"/>
      <w:sz w:val="18"/>
      <w:szCs w:val="18"/>
    </w:rPr>
  </w:style>
  <w:style w:type="character" w:customStyle="1" w:styleId="2ff5">
    <w:name w:val="Оглавление (2)"/>
    <w:basedOn w:val="2ff4"/>
    <w:rsid w:val="00811C95"/>
    <w:rPr>
      <w:rFonts w:ascii="Garamond" w:eastAsia="Garamond" w:hAnsi="Garamond" w:cs="Garamond"/>
      <w:b w:val="0"/>
      <w:bCs w:val="0"/>
      <w:i w:val="0"/>
      <w:iCs w:val="0"/>
      <w:smallCaps w:val="0"/>
      <w:strike w:val="0"/>
      <w:spacing w:val="0"/>
      <w:w w:val="100"/>
      <w:sz w:val="18"/>
      <w:szCs w:val="18"/>
    </w:rPr>
  </w:style>
  <w:style w:type="character" w:customStyle="1" w:styleId="Batang8pt0pt">
    <w:name w:val="Основной текст + Batang;8 pt;Интервал 0 pt"/>
    <w:basedOn w:val="aff1"/>
    <w:rsid w:val="00811C95"/>
    <w:rPr>
      <w:rFonts w:ascii="Batang" w:eastAsia="Batang" w:hAnsi="Batang" w:cs="Batang"/>
      <w:b w:val="0"/>
      <w:bCs w:val="0"/>
      <w:i w:val="0"/>
      <w:iCs w:val="0"/>
      <w:smallCaps w:val="0"/>
      <w:strike w:val="0"/>
      <w:spacing w:val="-10"/>
      <w:w w:val="100"/>
      <w:sz w:val="16"/>
      <w:szCs w:val="16"/>
      <w:shd w:val="clear" w:color="auto" w:fill="FFFFFF"/>
    </w:rPr>
  </w:style>
  <w:style w:type="character" w:customStyle="1" w:styleId="2195pt">
    <w:name w:val="Основной текст (2) + 19;5 pt;Курсив"/>
    <w:basedOn w:val="2a"/>
    <w:rsid w:val="00811C95"/>
    <w:rPr>
      <w:rFonts w:ascii="Consolas" w:eastAsia="Consolas" w:hAnsi="Consolas" w:cs="Consolas"/>
      <w:b w:val="0"/>
      <w:bCs w:val="0"/>
      <w:i/>
      <w:iCs/>
      <w:smallCaps w:val="0"/>
      <w:strike w:val="0"/>
      <w:spacing w:val="-20"/>
      <w:sz w:val="39"/>
      <w:szCs w:val="39"/>
      <w:shd w:val="clear" w:color="auto" w:fill="FFFFFF"/>
      <w:lang w:eastAsia="en-US"/>
    </w:rPr>
  </w:style>
  <w:style w:type="character" w:customStyle="1" w:styleId="10pt1pt">
    <w:name w:val="Основной текст + 10 pt;Малые прописные;Интервал 1 pt"/>
    <w:basedOn w:val="aff1"/>
    <w:rsid w:val="00811C95"/>
    <w:rPr>
      <w:rFonts w:ascii="MingLiU" w:eastAsia="MingLiU" w:hAnsi="MingLiU" w:cs="MingLiU"/>
      <w:b w:val="0"/>
      <w:bCs w:val="0"/>
      <w:i w:val="0"/>
      <w:iCs w:val="0"/>
      <w:smallCaps/>
      <w:strike w:val="0"/>
      <w:spacing w:val="30"/>
      <w:w w:val="100"/>
      <w:sz w:val="20"/>
      <w:szCs w:val="20"/>
      <w:shd w:val="clear" w:color="auto" w:fill="FFFFFF"/>
      <w:lang w:val="en-US"/>
    </w:rPr>
  </w:style>
  <w:style w:type="character" w:customStyle="1" w:styleId="Georgia">
    <w:name w:val="Основной текст + Georgia"/>
    <w:basedOn w:val="aff1"/>
    <w:rsid w:val="00811C95"/>
    <w:rPr>
      <w:rFonts w:ascii="Georgia" w:eastAsia="Georgia" w:hAnsi="Georgia" w:cs="Georgia"/>
      <w:b w:val="0"/>
      <w:bCs w:val="0"/>
      <w:i w:val="0"/>
      <w:iCs w:val="0"/>
      <w:smallCaps w:val="0"/>
      <w:strike w:val="0"/>
      <w:spacing w:val="0"/>
      <w:sz w:val="21"/>
      <w:szCs w:val="21"/>
      <w:shd w:val="clear" w:color="auto" w:fill="FFFFFF"/>
    </w:rPr>
  </w:style>
  <w:style w:type="character" w:customStyle="1" w:styleId="Georgia8pt">
    <w:name w:val="Сноска + Georgia;8 pt"/>
    <w:basedOn w:val="aff5"/>
    <w:rsid w:val="00811C95"/>
    <w:rPr>
      <w:rFonts w:ascii="Georgia" w:eastAsia="Georgia" w:hAnsi="Georgia" w:cs="Georgia"/>
      <w:i/>
      <w:iCs/>
      <w:noProof/>
      <w:sz w:val="16"/>
      <w:szCs w:val="16"/>
      <w:shd w:val="clear" w:color="auto" w:fill="FFFFFF"/>
      <w:lang w:val="en-US" w:eastAsia="en-US"/>
    </w:rPr>
  </w:style>
  <w:style w:type="character" w:customStyle="1" w:styleId="4-1pt0">
    <w:name w:val="Заголовок №4 + Интервал -1 pt"/>
    <w:basedOn w:val="4e"/>
    <w:rsid w:val="00811C95"/>
    <w:rPr>
      <w:rFonts w:ascii="Consolas" w:eastAsia="Consolas" w:hAnsi="Consolas" w:cs="Consolas"/>
      <w:b w:val="0"/>
      <w:bCs w:val="0"/>
      <w:i w:val="0"/>
      <w:iCs w:val="0"/>
      <w:smallCaps w:val="0"/>
      <w:strike w:val="0"/>
      <w:spacing w:val="-20"/>
      <w:sz w:val="21"/>
      <w:szCs w:val="21"/>
      <w:shd w:val="clear" w:color="auto" w:fill="FFFFFF"/>
    </w:rPr>
  </w:style>
  <w:style w:type="character" w:customStyle="1" w:styleId="2pt2">
    <w:name w:val="Оглавление + Интервал 2 pt"/>
    <w:basedOn w:val="afff8"/>
    <w:rsid w:val="00811C95"/>
    <w:rPr>
      <w:rFonts w:ascii="MingLiU" w:eastAsia="MingLiU" w:hAnsi="MingLiU" w:cs="MingLiU"/>
      <w:b w:val="0"/>
      <w:bCs w:val="0"/>
      <w:i w:val="0"/>
      <w:iCs w:val="0"/>
      <w:smallCaps w:val="0"/>
      <w:strike w:val="0"/>
      <w:spacing w:val="40"/>
      <w:w w:val="100"/>
      <w:sz w:val="19"/>
      <w:szCs w:val="19"/>
      <w:shd w:val="clear" w:color="auto" w:fill="FFFFFF"/>
    </w:rPr>
  </w:style>
  <w:style w:type="character" w:customStyle="1" w:styleId="Batang8pt0pt0">
    <w:name w:val="Основной текст + Batang;8 pt;Малые прописные;Интервал 0 pt"/>
    <w:basedOn w:val="aff1"/>
    <w:rsid w:val="00811C95"/>
    <w:rPr>
      <w:rFonts w:ascii="Batang" w:eastAsia="Batang" w:hAnsi="Batang" w:cs="Batang"/>
      <w:b w:val="0"/>
      <w:bCs w:val="0"/>
      <w:i w:val="0"/>
      <w:iCs w:val="0"/>
      <w:smallCaps/>
      <w:strike w:val="0"/>
      <w:spacing w:val="10"/>
      <w:sz w:val="16"/>
      <w:szCs w:val="16"/>
      <w:shd w:val="clear" w:color="auto" w:fill="FFFFFF"/>
    </w:rPr>
  </w:style>
  <w:style w:type="character" w:customStyle="1" w:styleId="9pt3">
    <w:name w:val="Основной текст + 9 pt;Полужирный"/>
    <w:rsid w:val="00811C95"/>
    <w:rPr>
      <w:rFonts w:ascii="Century Gothic" w:eastAsia="Century Gothic" w:hAnsi="Century Gothic" w:cs="Century Gothic"/>
      <w:b/>
      <w:bCs/>
      <w:i w:val="0"/>
      <w:iCs w:val="0"/>
      <w:smallCaps w:val="0"/>
      <w:strike w:val="0"/>
      <w:spacing w:val="0"/>
      <w:sz w:val="18"/>
      <w:szCs w:val="18"/>
      <w:shd w:val="clear" w:color="auto" w:fill="FFFFFF"/>
    </w:rPr>
  </w:style>
  <w:style w:type="character" w:customStyle="1" w:styleId="0pt4">
    <w:name w:val="Основной текст + Курсив;Интервал 0 pt"/>
    <w:rsid w:val="00811C95"/>
    <w:rPr>
      <w:rFonts w:ascii="Arial Narrow" w:eastAsia="Arial Narrow" w:hAnsi="Arial Narrow" w:cs="Arial Narrow"/>
      <w:b w:val="0"/>
      <w:bCs w:val="0"/>
      <w:i/>
      <w:iCs/>
      <w:smallCaps w:val="0"/>
      <w:strike w:val="0"/>
      <w:spacing w:val="-10"/>
      <w:sz w:val="18"/>
      <w:szCs w:val="18"/>
      <w:shd w:val="clear" w:color="auto" w:fill="FFFFFF"/>
    </w:rPr>
  </w:style>
  <w:style w:type="character" w:customStyle="1" w:styleId="TrebuchetMS95pt0pt">
    <w:name w:val="Основной текст + Trebuchet MS;9;5 pt;Курсив;Интервал 0 pt"/>
    <w:basedOn w:val="aff1"/>
    <w:rsid w:val="00811C95"/>
    <w:rPr>
      <w:rFonts w:ascii="Trebuchet MS" w:eastAsia="Trebuchet MS" w:hAnsi="Trebuchet MS" w:cs="Trebuchet MS"/>
      <w:b w:val="0"/>
      <w:bCs w:val="0"/>
      <w:i/>
      <w:iCs/>
      <w:smallCaps w:val="0"/>
      <w:strike w:val="0"/>
      <w:spacing w:val="10"/>
      <w:w w:val="100"/>
      <w:sz w:val="19"/>
      <w:szCs w:val="19"/>
      <w:shd w:val="clear" w:color="auto" w:fill="FFFFFF"/>
    </w:rPr>
  </w:style>
  <w:style w:type="character" w:customStyle="1" w:styleId="Gungsuh0pt">
    <w:name w:val="Основной текст + Gungsuh;Малые прописные;Интервал 0 pt"/>
    <w:basedOn w:val="aff1"/>
    <w:rsid w:val="00811C95"/>
    <w:rPr>
      <w:rFonts w:ascii="Gungsuh" w:eastAsia="Gungsuh" w:hAnsi="Gungsuh" w:cs="Gungsuh"/>
      <w:b w:val="0"/>
      <w:bCs w:val="0"/>
      <w:i w:val="0"/>
      <w:iCs w:val="0"/>
      <w:smallCaps/>
      <w:strike w:val="0"/>
      <w:spacing w:val="-10"/>
      <w:w w:val="100"/>
      <w:sz w:val="20"/>
      <w:szCs w:val="20"/>
      <w:shd w:val="clear" w:color="auto" w:fill="FFFFFF"/>
    </w:rPr>
  </w:style>
  <w:style w:type="character" w:customStyle="1" w:styleId="CenturySchoolbook85pt0pt">
    <w:name w:val="Основной текст + Century Schoolbook;8;5 pt;Малые прописные;Интервал 0 pt"/>
    <w:basedOn w:val="aff1"/>
    <w:rsid w:val="00811C95"/>
    <w:rPr>
      <w:rFonts w:ascii="Century Schoolbook" w:eastAsia="Century Schoolbook" w:hAnsi="Century Schoolbook" w:cs="Century Schoolbook"/>
      <w:b w:val="0"/>
      <w:bCs w:val="0"/>
      <w:i w:val="0"/>
      <w:iCs w:val="0"/>
      <w:smallCaps/>
      <w:strike w:val="0"/>
      <w:spacing w:val="10"/>
      <w:w w:val="100"/>
      <w:sz w:val="17"/>
      <w:szCs w:val="17"/>
      <w:shd w:val="clear" w:color="auto" w:fill="FFFFFF"/>
    </w:rPr>
  </w:style>
  <w:style w:type="character" w:customStyle="1" w:styleId="MSReferenceSansSerif9pt1pt">
    <w:name w:val="Основной текст + MS Reference Sans Serif;9 pt;Не полужирный;Интервал 1 pt"/>
    <w:basedOn w:val="aff1"/>
    <w:rsid w:val="00811C95"/>
    <w:rPr>
      <w:rFonts w:ascii="MS Reference Sans Serif" w:eastAsia="MS Reference Sans Serif" w:hAnsi="MS Reference Sans Serif" w:cs="MS Reference Sans Serif"/>
      <w:b/>
      <w:bCs/>
      <w:i w:val="0"/>
      <w:iCs w:val="0"/>
      <w:smallCaps w:val="0"/>
      <w:strike w:val="0"/>
      <w:spacing w:val="20"/>
      <w:sz w:val="18"/>
      <w:szCs w:val="18"/>
      <w:shd w:val="clear" w:color="auto" w:fill="FFFFFF"/>
    </w:rPr>
  </w:style>
  <w:style w:type="character" w:customStyle="1" w:styleId="Garamond11pt0pt">
    <w:name w:val="Основной текст + Garamond;11 pt;Курсив;Интервал 0 pt"/>
    <w:basedOn w:val="aff1"/>
    <w:rsid w:val="00811C95"/>
    <w:rPr>
      <w:rFonts w:ascii="Garamond" w:eastAsia="Garamond" w:hAnsi="Garamond" w:cs="Garamond"/>
      <w:b w:val="0"/>
      <w:bCs w:val="0"/>
      <w:i/>
      <w:iCs/>
      <w:smallCaps w:val="0"/>
      <w:strike w:val="0"/>
      <w:spacing w:val="-10"/>
      <w:sz w:val="22"/>
      <w:szCs w:val="22"/>
      <w:shd w:val="clear" w:color="auto" w:fill="FFFFFF"/>
      <w:lang w:val="en-US"/>
    </w:rPr>
  </w:style>
  <w:style w:type="character" w:customStyle="1" w:styleId="4195pt0pt">
    <w:name w:val="Основной текст (4) + 19;5 pt;Малые прописные;Интервал 0 pt"/>
    <w:basedOn w:val="46"/>
    <w:rsid w:val="00811C95"/>
    <w:rPr>
      <w:rFonts w:ascii="Franklin Gothic Book" w:eastAsia="Franklin Gothic Book" w:hAnsi="Franklin Gothic Book" w:cs="Franklin Gothic Book"/>
      <w:b w:val="0"/>
      <w:bCs w:val="0"/>
      <w:i w:val="0"/>
      <w:iCs w:val="0"/>
      <w:smallCaps/>
      <w:strike w:val="0"/>
      <w:spacing w:val="0"/>
      <w:w w:val="60"/>
      <w:sz w:val="39"/>
      <w:szCs w:val="39"/>
      <w:shd w:val="clear" w:color="auto" w:fill="FFFFFF"/>
    </w:rPr>
  </w:style>
  <w:style w:type="character" w:customStyle="1" w:styleId="6pt1">
    <w:name w:val="Основной текст + Интервал 6 pt"/>
    <w:basedOn w:val="aff1"/>
    <w:rsid w:val="00811C95"/>
    <w:rPr>
      <w:rFonts w:ascii="Gungsuh" w:eastAsia="Gungsuh" w:hAnsi="Gungsuh" w:cs="Gungsuh"/>
      <w:b w:val="0"/>
      <w:bCs w:val="0"/>
      <w:i w:val="0"/>
      <w:iCs w:val="0"/>
      <w:smallCaps w:val="0"/>
      <w:strike w:val="0"/>
      <w:spacing w:val="120"/>
      <w:sz w:val="16"/>
      <w:szCs w:val="16"/>
      <w:shd w:val="clear" w:color="auto" w:fill="FFFFFF"/>
    </w:rPr>
  </w:style>
  <w:style w:type="character" w:customStyle="1" w:styleId="MicrosoftSansSerif8pt1pt60">
    <w:name w:val="Основной текст + Microsoft Sans Serif;8 pt;Курсив;Интервал 1 pt;Масштаб 60%"/>
    <w:basedOn w:val="aff1"/>
    <w:rsid w:val="00811C95"/>
    <w:rPr>
      <w:rFonts w:ascii="Microsoft Sans Serif" w:eastAsia="Microsoft Sans Serif" w:hAnsi="Microsoft Sans Serif" w:cs="Microsoft Sans Serif"/>
      <w:b w:val="0"/>
      <w:bCs w:val="0"/>
      <w:i/>
      <w:iCs/>
      <w:smallCaps w:val="0"/>
      <w:strike w:val="0"/>
      <w:spacing w:val="20"/>
      <w:w w:val="60"/>
      <w:sz w:val="16"/>
      <w:szCs w:val="16"/>
      <w:shd w:val="clear" w:color="auto" w:fill="FFFFFF"/>
    </w:rPr>
  </w:style>
  <w:style w:type="character" w:customStyle="1" w:styleId="95pt">
    <w:name w:val="Основной текст + 9;5 pt"/>
    <w:basedOn w:val="aff1"/>
    <w:rsid w:val="00811C95"/>
    <w:rPr>
      <w:rFonts w:ascii="Consolas" w:eastAsia="Consolas" w:hAnsi="Consolas" w:cs="Consolas"/>
      <w:b w:val="0"/>
      <w:bCs w:val="0"/>
      <w:i w:val="0"/>
      <w:iCs w:val="0"/>
      <w:smallCaps w:val="0"/>
      <w:strike w:val="0"/>
      <w:spacing w:val="0"/>
      <w:sz w:val="19"/>
      <w:szCs w:val="19"/>
      <w:shd w:val="clear" w:color="auto" w:fill="FFFFFF"/>
    </w:rPr>
  </w:style>
  <w:style w:type="character" w:customStyle="1" w:styleId="0pt5">
    <w:name w:val="Основной текст + Не полужирный;Малые прописные;Интервал 0 pt"/>
    <w:basedOn w:val="aff1"/>
    <w:rsid w:val="00811C95"/>
    <w:rPr>
      <w:rFonts w:ascii="MS Mincho" w:eastAsia="MS Mincho" w:hAnsi="MS Mincho" w:cs="MS Mincho"/>
      <w:b/>
      <w:bCs/>
      <w:i w:val="0"/>
      <w:iCs w:val="0"/>
      <w:smallCaps/>
      <w:strike w:val="0"/>
      <w:spacing w:val="-10"/>
      <w:sz w:val="17"/>
      <w:szCs w:val="17"/>
      <w:shd w:val="clear" w:color="auto" w:fill="FFFFFF"/>
    </w:rPr>
  </w:style>
  <w:style w:type="character" w:customStyle="1" w:styleId="Gungsuh75pt0pt">
    <w:name w:val="Основной текст + Gungsuh;7;5 pt;Интервал 0 pt"/>
    <w:basedOn w:val="aff1"/>
    <w:rsid w:val="00811C95"/>
    <w:rPr>
      <w:rFonts w:ascii="Gungsuh" w:eastAsia="Gungsuh" w:hAnsi="Gungsuh" w:cs="Gungsuh"/>
      <w:spacing w:val="0"/>
      <w:sz w:val="15"/>
      <w:szCs w:val="15"/>
      <w:shd w:val="clear" w:color="auto" w:fill="FFFFFF"/>
    </w:rPr>
  </w:style>
  <w:style w:type="character" w:customStyle="1" w:styleId="9pt1pt">
    <w:name w:val="Основной текст + 9 pt;Курсив;Интервал 1 pt"/>
    <w:basedOn w:val="aff1"/>
    <w:rsid w:val="00811C95"/>
    <w:rPr>
      <w:rFonts w:ascii="Consolas" w:eastAsia="Consolas" w:hAnsi="Consolas" w:cs="Consolas"/>
      <w:b w:val="0"/>
      <w:bCs w:val="0"/>
      <w:i/>
      <w:iCs/>
      <w:smallCaps w:val="0"/>
      <w:strike w:val="0"/>
      <w:spacing w:val="30"/>
      <w:w w:val="100"/>
      <w:sz w:val="18"/>
      <w:szCs w:val="18"/>
      <w:shd w:val="clear" w:color="auto" w:fill="FFFFFF"/>
      <w:lang w:val="en-US"/>
    </w:rPr>
  </w:style>
  <w:style w:type="character" w:customStyle="1" w:styleId="TimesNewRoman85pt">
    <w:name w:val="Основной текст + Times New Roman;8;5 pt"/>
    <w:basedOn w:val="aff1"/>
    <w:rsid w:val="00811C95"/>
    <w:rPr>
      <w:rFonts w:ascii="Times New Roman" w:eastAsia="Times New Roman" w:hAnsi="Times New Roman" w:cs="Times New Roman"/>
      <w:b w:val="0"/>
      <w:bCs w:val="0"/>
      <w:i w:val="0"/>
      <w:iCs w:val="0"/>
      <w:smallCaps w:val="0"/>
      <w:strike w:val="0"/>
      <w:spacing w:val="0"/>
      <w:sz w:val="17"/>
      <w:szCs w:val="17"/>
      <w:shd w:val="clear" w:color="auto" w:fill="FFFFFF"/>
    </w:rPr>
  </w:style>
  <w:style w:type="character" w:customStyle="1" w:styleId="CenturyGothic85pt0pt">
    <w:name w:val="Основной текст + Century Gothic;8;5 pt;Малые прописные;Интервал 0 pt"/>
    <w:basedOn w:val="aff1"/>
    <w:rsid w:val="00811C95"/>
    <w:rPr>
      <w:rFonts w:ascii="Century Gothic" w:eastAsia="Century Gothic" w:hAnsi="Century Gothic" w:cs="Century Gothic"/>
      <w:b w:val="0"/>
      <w:bCs w:val="0"/>
      <w:i w:val="0"/>
      <w:iCs w:val="0"/>
      <w:smallCaps/>
      <w:strike w:val="0"/>
      <w:spacing w:val="10"/>
      <w:sz w:val="17"/>
      <w:szCs w:val="17"/>
      <w:shd w:val="clear" w:color="auto" w:fill="FFFFFF"/>
      <w:lang w:val="en-US"/>
    </w:rPr>
  </w:style>
  <w:style w:type="character" w:customStyle="1" w:styleId="TrebuchetMS0pt">
    <w:name w:val="Основной текст + Trebuchet MS;Курсив;Интервал 0 pt"/>
    <w:basedOn w:val="aff1"/>
    <w:rsid w:val="00811C95"/>
    <w:rPr>
      <w:rFonts w:ascii="Trebuchet MS" w:eastAsia="Trebuchet MS" w:hAnsi="Trebuchet MS" w:cs="Trebuchet MS"/>
      <w:b w:val="0"/>
      <w:bCs w:val="0"/>
      <w:i/>
      <w:iCs/>
      <w:smallCaps w:val="0"/>
      <w:strike w:val="0"/>
      <w:spacing w:val="0"/>
      <w:sz w:val="20"/>
      <w:szCs w:val="20"/>
      <w:shd w:val="clear" w:color="auto" w:fill="FFFFFF"/>
    </w:rPr>
  </w:style>
  <w:style w:type="character" w:customStyle="1" w:styleId="0pt66">
    <w:name w:val="Основной текст + Полужирный;Интервал 0 pt;Масштаб 66%"/>
    <w:basedOn w:val="aff1"/>
    <w:rsid w:val="00811C95"/>
    <w:rPr>
      <w:rFonts w:ascii="MS Mincho" w:eastAsia="MS Mincho" w:hAnsi="MS Mincho" w:cs="MS Mincho"/>
      <w:b/>
      <w:bCs/>
      <w:i w:val="0"/>
      <w:iCs w:val="0"/>
      <w:smallCaps w:val="0"/>
      <w:strike w:val="0"/>
      <w:spacing w:val="0"/>
      <w:w w:val="66"/>
      <w:sz w:val="20"/>
      <w:szCs w:val="20"/>
      <w:shd w:val="clear" w:color="auto" w:fill="FFFFFF"/>
    </w:rPr>
  </w:style>
  <w:style w:type="character" w:customStyle="1" w:styleId="CenturyGothic0pt">
    <w:name w:val="Основной текст + Century Gothic;Курсив;Интервал 0 pt"/>
    <w:basedOn w:val="aff1"/>
    <w:rsid w:val="00811C95"/>
    <w:rPr>
      <w:rFonts w:ascii="Century Gothic" w:eastAsia="Century Gothic" w:hAnsi="Century Gothic" w:cs="Century Gothic"/>
      <w:i/>
      <w:iCs/>
      <w:spacing w:val="-10"/>
      <w:w w:val="100"/>
      <w:sz w:val="16"/>
      <w:szCs w:val="16"/>
      <w:shd w:val="clear" w:color="auto" w:fill="FFFFFF"/>
    </w:rPr>
  </w:style>
  <w:style w:type="character" w:customStyle="1" w:styleId="TrebuchetMS105pt">
    <w:name w:val="Основной текст + Trebuchet MS;10;5 pt;Курсив"/>
    <w:basedOn w:val="aff1"/>
    <w:rsid w:val="00811C95"/>
    <w:rPr>
      <w:rFonts w:ascii="Trebuchet MS" w:eastAsia="Trebuchet MS" w:hAnsi="Trebuchet MS" w:cs="Trebuchet MS"/>
      <w:b w:val="0"/>
      <w:bCs w:val="0"/>
      <w:i/>
      <w:iCs/>
      <w:smallCaps w:val="0"/>
      <w:strike w:val="0"/>
      <w:spacing w:val="0"/>
      <w:sz w:val="21"/>
      <w:szCs w:val="21"/>
      <w:shd w:val="clear" w:color="auto" w:fill="FFFFFF"/>
    </w:rPr>
  </w:style>
  <w:style w:type="character" w:customStyle="1" w:styleId="FranklinGothicBook105pt-1pt">
    <w:name w:val="Основной текст + Franklin Gothic Book;10;5 pt;Курсив;Интервал -1 pt"/>
    <w:basedOn w:val="aff1"/>
    <w:rsid w:val="00811C95"/>
    <w:rPr>
      <w:rFonts w:ascii="Franklin Gothic Book" w:eastAsia="Franklin Gothic Book" w:hAnsi="Franklin Gothic Book" w:cs="Franklin Gothic Book"/>
      <w:b w:val="0"/>
      <w:bCs w:val="0"/>
      <w:i/>
      <w:iCs/>
      <w:smallCaps w:val="0"/>
      <w:strike w:val="0"/>
      <w:spacing w:val="-20"/>
      <w:sz w:val="21"/>
      <w:szCs w:val="21"/>
      <w:shd w:val="clear" w:color="auto" w:fill="FFFFFF"/>
    </w:rPr>
  </w:style>
  <w:style w:type="character" w:customStyle="1" w:styleId="385pt">
    <w:name w:val="Основной текст (3) + 8;5 pt"/>
    <w:basedOn w:val="35"/>
    <w:rsid w:val="00811C95"/>
    <w:rPr>
      <w:rFonts w:ascii="Gungsuh" w:eastAsia="Gungsuh" w:hAnsi="Gungsuh" w:cs="Gungsuh"/>
      <w:b w:val="0"/>
      <w:bCs w:val="0"/>
      <w:i w:val="0"/>
      <w:iCs w:val="0"/>
      <w:smallCaps w:val="0"/>
      <w:strike w:val="0"/>
      <w:spacing w:val="0"/>
      <w:w w:val="100"/>
      <w:sz w:val="17"/>
      <w:szCs w:val="17"/>
      <w:shd w:val="clear" w:color="auto" w:fill="FFFFFF"/>
    </w:rPr>
  </w:style>
  <w:style w:type="character" w:customStyle="1" w:styleId="95pt0">
    <w:name w:val="Основной текст + 9;5 pt;Малые прописные"/>
    <w:basedOn w:val="aff1"/>
    <w:rsid w:val="00811C95"/>
    <w:rPr>
      <w:rFonts w:ascii="Gungsuh" w:eastAsia="Gungsuh" w:hAnsi="Gungsuh" w:cs="Gungsuh"/>
      <w:b w:val="0"/>
      <w:bCs w:val="0"/>
      <w:i w:val="0"/>
      <w:iCs w:val="0"/>
      <w:smallCaps/>
      <w:strike w:val="0"/>
      <w:spacing w:val="0"/>
      <w:sz w:val="19"/>
      <w:szCs w:val="19"/>
      <w:shd w:val="clear" w:color="auto" w:fill="FFFFFF"/>
    </w:rPr>
  </w:style>
  <w:style w:type="character" w:customStyle="1" w:styleId="Candara12pt">
    <w:name w:val="Основной текст + Candara;12 pt"/>
    <w:basedOn w:val="aff1"/>
    <w:rsid w:val="00811C95"/>
    <w:rPr>
      <w:rFonts w:ascii="Candara" w:eastAsia="Candara" w:hAnsi="Candara" w:cs="Candara"/>
      <w:b w:val="0"/>
      <w:bCs w:val="0"/>
      <w:i w:val="0"/>
      <w:iCs w:val="0"/>
      <w:smallCaps w:val="0"/>
      <w:strike w:val="0"/>
      <w:spacing w:val="0"/>
      <w:sz w:val="24"/>
      <w:szCs w:val="24"/>
      <w:shd w:val="clear" w:color="auto" w:fill="FFFFFF"/>
    </w:rPr>
  </w:style>
  <w:style w:type="character" w:customStyle="1" w:styleId="TimesNewRoman105pt">
    <w:name w:val="Основной текст + Times New Roman;10;5 pt;Курсив"/>
    <w:basedOn w:val="aff1"/>
    <w:rsid w:val="00811C95"/>
    <w:rPr>
      <w:rFonts w:ascii="Times New Roman" w:eastAsia="Times New Roman" w:hAnsi="Times New Roman" w:cs="Times New Roman"/>
      <w:b w:val="0"/>
      <w:bCs w:val="0"/>
      <w:i/>
      <w:iCs/>
      <w:smallCaps w:val="0"/>
      <w:strike w:val="0"/>
      <w:spacing w:val="0"/>
      <w:sz w:val="21"/>
      <w:szCs w:val="21"/>
      <w:shd w:val="clear" w:color="auto" w:fill="FFFFFF"/>
    </w:rPr>
  </w:style>
  <w:style w:type="character" w:customStyle="1" w:styleId="75pt0pt">
    <w:name w:val="Основной текст + 7;5 pt;Полужирный;Интервал 0 pt"/>
    <w:basedOn w:val="aff1"/>
    <w:rsid w:val="00811C95"/>
    <w:rPr>
      <w:rFonts w:ascii="Gungsuh" w:eastAsia="Gungsuh" w:hAnsi="Gungsuh" w:cs="Gungsuh"/>
      <w:b/>
      <w:bCs/>
      <w:i w:val="0"/>
      <w:iCs w:val="0"/>
      <w:smallCaps w:val="0"/>
      <w:strike w:val="0"/>
      <w:spacing w:val="10"/>
      <w:sz w:val="15"/>
      <w:szCs w:val="15"/>
      <w:shd w:val="clear" w:color="auto" w:fill="FFFFFF"/>
    </w:rPr>
  </w:style>
  <w:style w:type="character" w:customStyle="1" w:styleId="20pt">
    <w:name w:val="Основной текст (2) + Интервал 0 pt"/>
    <w:basedOn w:val="2a"/>
    <w:rsid w:val="00811C95"/>
    <w:rPr>
      <w:rFonts w:ascii="MS Mincho" w:eastAsia="MS Mincho" w:hAnsi="MS Mincho" w:cs="MS Mincho"/>
      <w:spacing w:val="0"/>
      <w:sz w:val="19"/>
      <w:szCs w:val="19"/>
      <w:shd w:val="clear" w:color="auto" w:fill="FFFFFF"/>
      <w:lang w:eastAsia="en-US"/>
    </w:rPr>
  </w:style>
  <w:style w:type="character" w:customStyle="1" w:styleId="CourierNew105pt0pt">
    <w:name w:val="Основной текст + Courier New;10;5 pt;Малые прописные;Интервал 0 pt"/>
    <w:basedOn w:val="aff1"/>
    <w:rsid w:val="00811C95"/>
    <w:rPr>
      <w:rFonts w:ascii="Courier New" w:eastAsia="Courier New" w:hAnsi="Courier New" w:cs="Courier New"/>
      <w:b w:val="0"/>
      <w:bCs w:val="0"/>
      <w:i w:val="0"/>
      <w:iCs w:val="0"/>
      <w:smallCaps/>
      <w:strike w:val="0"/>
      <w:spacing w:val="0"/>
      <w:sz w:val="21"/>
      <w:szCs w:val="21"/>
      <w:shd w:val="clear" w:color="auto" w:fill="FFFFFF"/>
    </w:rPr>
  </w:style>
  <w:style w:type="character" w:customStyle="1" w:styleId="Tahoma95pt">
    <w:name w:val="Основной текст + Tahoma;9;5 pt;Малые прописные"/>
    <w:basedOn w:val="aff1"/>
    <w:rsid w:val="00811C95"/>
    <w:rPr>
      <w:rFonts w:ascii="Tahoma" w:eastAsia="Tahoma" w:hAnsi="Tahoma" w:cs="Tahoma"/>
      <w:b w:val="0"/>
      <w:bCs w:val="0"/>
      <w:i w:val="0"/>
      <w:iCs w:val="0"/>
      <w:smallCaps/>
      <w:strike w:val="0"/>
      <w:spacing w:val="0"/>
      <w:w w:val="100"/>
      <w:sz w:val="19"/>
      <w:szCs w:val="19"/>
      <w:shd w:val="clear" w:color="auto" w:fill="FFFFFF"/>
    </w:rPr>
  </w:style>
  <w:style w:type="character" w:customStyle="1" w:styleId="Tahoma9pt0pt">
    <w:name w:val="Основной текст + Tahoma;9 pt;Малые прописные;Интервал 0 pt"/>
    <w:basedOn w:val="aff1"/>
    <w:rsid w:val="00811C95"/>
    <w:rPr>
      <w:rFonts w:ascii="Tahoma" w:eastAsia="Tahoma" w:hAnsi="Tahoma" w:cs="Tahoma"/>
      <w:b w:val="0"/>
      <w:bCs w:val="0"/>
      <w:i w:val="0"/>
      <w:iCs w:val="0"/>
      <w:smallCaps/>
      <w:strike w:val="0"/>
      <w:spacing w:val="0"/>
      <w:sz w:val="18"/>
      <w:szCs w:val="18"/>
      <w:shd w:val="clear" w:color="auto" w:fill="FFFFFF"/>
    </w:rPr>
  </w:style>
  <w:style w:type="character" w:customStyle="1" w:styleId="10pt2">
    <w:name w:val="Основной текст + 10 pt;Малые прописные"/>
    <w:basedOn w:val="aff1"/>
    <w:rsid w:val="00811C95"/>
    <w:rPr>
      <w:rFonts w:ascii="Gungsuh" w:eastAsia="Gungsuh" w:hAnsi="Gungsuh" w:cs="Gungsuh"/>
      <w:b w:val="0"/>
      <w:bCs w:val="0"/>
      <w:i w:val="0"/>
      <w:iCs w:val="0"/>
      <w:smallCaps/>
      <w:strike w:val="0"/>
      <w:spacing w:val="0"/>
      <w:sz w:val="20"/>
      <w:szCs w:val="20"/>
      <w:shd w:val="clear" w:color="auto" w:fill="FFFFFF"/>
    </w:rPr>
  </w:style>
  <w:style w:type="character" w:customStyle="1" w:styleId="10pt3">
    <w:name w:val="Основной текст + 10 pt;Курсив"/>
    <w:basedOn w:val="aff1"/>
    <w:rsid w:val="00811C95"/>
    <w:rPr>
      <w:rFonts w:ascii="Batang" w:eastAsia="Batang" w:hAnsi="Batang" w:cs="Batang"/>
      <w:b w:val="0"/>
      <w:bCs w:val="0"/>
      <w:i/>
      <w:iCs/>
      <w:smallCaps w:val="0"/>
      <w:strike w:val="0"/>
      <w:spacing w:val="0"/>
      <w:sz w:val="20"/>
      <w:szCs w:val="20"/>
      <w:shd w:val="clear" w:color="auto" w:fill="FFFFFF"/>
    </w:rPr>
  </w:style>
  <w:style w:type="character" w:customStyle="1" w:styleId="MicrosoftSansSerif95pt">
    <w:name w:val="Оглавление + Microsoft Sans Serif;9;5 pt"/>
    <w:basedOn w:val="afff8"/>
    <w:rsid w:val="00811C95"/>
    <w:rPr>
      <w:rFonts w:ascii="Microsoft Sans Serif" w:eastAsia="Microsoft Sans Serif" w:hAnsi="Microsoft Sans Serif" w:cs="Microsoft Sans Serif"/>
      <w:spacing w:val="-20"/>
      <w:sz w:val="19"/>
      <w:szCs w:val="19"/>
      <w:shd w:val="clear" w:color="auto" w:fill="FFFFFF"/>
    </w:rPr>
  </w:style>
  <w:style w:type="character" w:customStyle="1" w:styleId="Candara12pt-1pt">
    <w:name w:val="Основной текст + Candara;12 pt;Интервал -1 pt"/>
    <w:basedOn w:val="aff1"/>
    <w:rsid w:val="00811C95"/>
    <w:rPr>
      <w:rFonts w:ascii="Candara" w:eastAsia="Candara" w:hAnsi="Candara" w:cs="Candara"/>
      <w:b w:val="0"/>
      <w:bCs w:val="0"/>
      <w:i w:val="0"/>
      <w:iCs w:val="0"/>
      <w:smallCaps w:val="0"/>
      <w:strike w:val="0"/>
      <w:spacing w:val="-20"/>
      <w:sz w:val="24"/>
      <w:szCs w:val="24"/>
      <w:shd w:val="clear" w:color="auto" w:fill="FFFFFF"/>
    </w:rPr>
  </w:style>
  <w:style w:type="character" w:customStyle="1" w:styleId="8pt1">
    <w:name w:val="Основной текст + Интервал 8 pt"/>
    <w:basedOn w:val="aff1"/>
    <w:rsid w:val="00811C95"/>
    <w:rPr>
      <w:rFonts w:ascii="Batang" w:eastAsia="Batang" w:hAnsi="Batang" w:cs="Batang"/>
      <w:b w:val="0"/>
      <w:bCs w:val="0"/>
      <w:i w:val="0"/>
      <w:iCs w:val="0"/>
      <w:smallCaps w:val="0"/>
      <w:strike w:val="0"/>
      <w:spacing w:val="170"/>
      <w:sz w:val="17"/>
      <w:szCs w:val="17"/>
      <w:shd w:val="clear" w:color="auto" w:fill="FFFFFF"/>
    </w:rPr>
  </w:style>
  <w:style w:type="character" w:customStyle="1" w:styleId="4Batang9pt">
    <w:name w:val="Основной текст (4) + Batang;9 pt;Не курсив"/>
    <w:basedOn w:val="46"/>
    <w:rsid w:val="00811C95"/>
    <w:rPr>
      <w:rFonts w:ascii="Batang" w:eastAsia="Batang" w:hAnsi="Batang" w:cs="Batang"/>
      <w:b w:val="0"/>
      <w:bCs w:val="0"/>
      <w:i/>
      <w:iCs/>
      <w:smallCaps w:val="0"/>
      <w:strike w:val="0"/>
      <w:spacing w:val="0"/>
      <w:w w:val="60"/>
      <w:sz w:val="18"/>
      <w:szCs w:val="18"/>
      <w:shd w:val="clear" w:color="auto" w:fill="FFFFFF"/>
    </w:rPr>
  </w:style>
  <w:style w:type="character" w:customStyle="1" w:styleId="TrebuchetMS8pt">
    <w:name w:val="Основной текст + Trebuchet MS;8 pt"/>
    <w:basedOn w:val="aff1"/>
    <w:rsid w:val="00811C95"/>
    <w:rPr>
      <w:rFonts w:ascii="Trebuchet MS" w:eastAsia="Trebuchet MS" w:hAnsi="Trebuchet MS" w:cs="Trebuchet MS"/>
      <w:b w:val="0"/>
      <w:bCs w:val="0"/>
      <w:i w:val="0"/>
      <w:iCs w:val="0"/>
      <w:smallCaps w:val="0"/>
      <w:strike w:val="0"/>
      <w:spacing w:val="0"/>
      <w:sz w:val="16"/>
      <w:szCs w:val="16"/>
      <w:shd w:val="clear" w:color="auto" w:fill="FFFFFF"/>
    </w:rPr>
  </w:style>
  <w:style w:type="character" w:customStyle="1" w:styleId="Garamond95pt">
    <w:name w:val="Основной текст + Garamond;9;5 pt;Курсив"/>
    <w:basedOn w:val="aff1"/>
    <w:rsid w:val="00811C95"/>
    <w:rPr>
      <w:rFonts w:ascii="Garamond" w:eastAsia="Garamond" w:hAnsi="Garamond" w:cs="Garamond"/>
      <w:b w:val="0"/>
      <w:bCs w:val="0"/>
      <w:i/>
      <w:iCs/>
      <w:smallCaps w:val="0"/>
      <w:strike w:val="0"/>
      <w:spacing w:val="0"/>
      <w:sz w:val="19"/>
      <w:szCs w:val="19"/>
      <w:shd w:val="clear" w:color="auto" w:fill="FFFFFF"/>
    </w:rPr>
  </w:style>
  <w:style w:type="character" w:customStyle="1" w:styleId="CordiaUPC165pt-1pt">
    <w:name w:val="Основной текст + CordiaUPC;16;5 pt;Курсив;Интервал -1 pt"/>
    <w:basedOn w:val="aff1"/>
    <w:rsid w:val="00811C95"/>
    <w:rPr>
      <w:rFonts w:ascii="CordiaUPC" w:eastAsia="CordiaUPC" w:hAnsi="CordiaUPC" w:cs="CordiaUPC"/>
      <w:b w:val="0"/>
      <w:bCs w:val="0"/>
      <w:i/>
      <w:iCs/>
      <w:smallCaps w:val="0"/>
      <w:strike w:val="0"/>
      <w:spacing w:val="-20"/>
      <w:sz w:val="33"/>
      <w:szCs w:val="33"/>
      <w:shd w:val="clear" w:color="auto" w:fill="FFFFFF"/>
    </w:rPr>
  </w:style>
  <w:style w:type="character" w:customStyle="1" w:styleId="115pt2pt">
    <w:name w:val="Основной текст + 11;5 pt;Полужирный;Интервал 2 pt"/>
    <w:basedOn w:val="aff1"/>
    <w:rsid w:val="00811C95"/>
    <w:rPr>
      <w:rFonts w:ascii="Times New Roman" w:eastAsia="Times New Roman" w:hAnsi="Times New Roman" w:cs="Times New Roman"/>
      <w:b/>
      <w:bCs/>
      <w:i w:val="0"/>
      <w:iCs w:val="0"/>
      <w:smallCaps w:val="0"/>
      <w:strike w:val="0"/>
      <w:spacing w:val="40"/>
      <w:sz w:val="23"/>
      <w:szCs w:val="23"/>
      <w:shd w:val="clear" w:color="auto" w:fill="FFFFFF"/>
    </w:rPr>
  </w:style>
  <w:style w:type="character" w:customStyle="1" w:styleId="Arial13pt-1pt">
    <w:name w:val="Основной текст + Arial;13 pt;Курсив;Интервал -1 pt"/>
    <w:basedOn w:val="aff1"/>
    <w:rsid w:val="00811C95"/>
    <w:rPr>
      <w:rFonts w:ascii="Arial" w:eastAsia="Arial" w:hAnsi="Arial" w:cs="Arial"/>
      <w:b w:val="0"/>
      <w:bCs w:val="0"/>
      <w:i/>
      <w:iCs/>
      <w:smallCaps w:val="0"/>
      <w:strike w:val="0"/>
      <w:spacing w:val="-30"/>
      <w:w w:val="100"/>
      <w:sz w:val="26"/>
      <w:szCs w:val="26"/>
      <w:shd w:val="clear" w:color="auto" w:fill="FFFFFF"/>
    </w:rPr>
  </w:style>
  <w:style w:type="character" w:customStyle="1" w:styleId="MSGothic95pt0pt">
    <w:name w:val="Основной текст + MS Gothic;9;5 pt;Курсив;Интервал 0 pt"/>
    <w:basedOn w:val="aff1"/>
    <w:rsid w:val="00811C95"/>
    <w:rPr>
      <w:rFonts w:ascii="MS Gothic" w:eastAsia="MS Gothic" w:hAnsi="MS Gothic" w:cs="MS Gothic"/>
      <w:b w:val="0"/>
      <w:bCs w:val="0"/>
      <w:i/>
      <w:iCs/>
      <w:smallCaps w:val="0"/>
      <w:strike w:val="0"/>
      <w:spacing w:val="10"/>
      <w:sz w:val="19"/>
      <w:szCs w:val="19"/>
      <w:shd w:val="clear" w:color="auto" w:fill="FFFFFF"/>
    </w:rPr>
  </w:style>
  <w:style w:type="character" w:customStyle="1" w:styleId="Tahoma115pt">
    <w:name w:val="Основной текст + Tahoma;11;5 pt;Малые прописные"/>
    <w:basedOn w:val="aff1"/>
    <w:rsid w:val="00811C95"/>
    <w:rPr>
      <w:rFonts w:ascii="Tahoma" w:eastAsia="Tahoma" w:hAnsi="Tahoma" w:cs="Tahoma"/>
      <w:b w:val="0"/>
      <w:bCs w:val="0"/>
      <w:i w:val="0"/>
      <w:iCs w:val="0"/>
      <w:smallCaps/>
      <w:strike w:val="0"/>
      <w:spacing w:val="0"/>
      <w:w w:val="100"/>
      <w:sz w:val="23"/>
      <w:szCs w:val="23"/>
      <w:shd w:val="clear" w:color="auto" w:fill="FFFFFF"/>
    </w:rPr>
  </w:style>
  <w:style w:type="character" w:customStyle="1" w:styleId="Consolas105pt0pt">
    <w:name w:val="Основной текст + Consolas;10;5 pt;Малые прописные;Интервал 0 pt"/>
    <w:basedOn w:val="aff1"/>
    <w:rsid w:val="00811C95"/>
    <w:rPr>
      <w:rFonts w:ascii="Consolas" w:eastAsia="Consolas" w:hAnsi="Consolas" w:cs="Consolas"/>
      <w:b w:val="0"/>
      <w:bCs w:val="0"/>
      <w:i w:val="0"/>
      <w:iCs w:val="0"/>
      <w:smallCaps/>
      <w:strike w:val="0"/>
      <w:spacing w:val="-10"/>
      <w:w w:val="100"/>
      <w:sz w:val="21"/>
      <w:szCs w:val="21"/>
      <w:shd w:val="clear" w:color="auto" w:fill="FFFFFF"/>
    </w:rPr>
  </w:style>
  <w:style w:type="character" w:customStyle="1" w:styleId="TimesNewRoman105pt0pt">
    <w:name w:val="Основной текст + Times New Roman;10;5 pt;Не полужирный;Интервал 0 pt"/>
    <w:basedOn w:val="aff1"/>
    <w:rsid w:val="00811C95"/>
    <w:rPr>
      <w:rFonts w:ascii="Times New Roman" w:eastAsia="Times New Roman" w:hAnsi="Times New Roman" w:cs="Times New Roman"/>
      <w:b/>
      <w:bCs/>
      <w:i w:val="0"/>
      <w:iCs w:val="0"/>
      <w:smallCaps w:val="0"/>
      <w:strike w:val="0"/>
      <w:spacing w:val="0"/>
      <w:w w:val="100"/>
      <w:sz w:val="21"/>
      <w:szCs w:val="21"/>
      <w:shd w:val="clear" w:color="auto" w:fill="FFFFFF"/>
    </w:rPr>
  </w:style>
  <w:style w:type="character" w:customStyle="1" w:styleId="95pt0pt">
    <w:name w:val="Основной текст + 9;5 pt;Полужирный;Интервал 0 pt"/>
    <w:basedOn w:val="aff1"/>
    <w:rsid w:val="00811C95"/>
    <w:rPr>
      <w:rFonts w:ascii="SimSun" w:eastAsia="SimSun" w:hAnsi="SimSun" w:cs="SimSun"/>
      <w:b/>
      <w:bCs/>
      <w:i w:val="0"/>
      <w:iCs w:val="0"/>
      <w:smallCaps w:val="0"/>
      <w:strike w:val="0"/>
      <w:spacing w:val="0"/>
      <w:w w:val="100"/>
      <w:sz w:val="19"/>
      <w:szCs w:val="19"/>
      <w:shd w:val="clear" w:color="auto" w:fill="FFFFFF"/>
    </w:rPr>
  </w:style>
  <w:style w:type="character" w:customStyle="1" w:styleId="11pt0pt">
    <w:name w:val="Основной текст + 11 pt;Курсив;Интервал 0 pt"/>
    <w:basedOn w:val="aff1"/>
    <w:rsid w:val="00811C95"/>
    <w:rPr>
      <w:rFonts w:ascii="SimSun" w:eastAsia="SimSun" w:hAnsi="SimSun" w:cs="SimSun"/>
      <w:b w:val="0"/>
      <w:bCs w:val="0"/>
      <w:i/>
      <w:iCs/>
      <w:smallCaps w:val="0"/>
      <w:strike w:val="0"/>
      <w:spacing w:val="-10"/>
      <w:sz w:val="22"/>
      <w:szCs w:val="22"/>
      <w:shd w:val="clear" w:color="auto" w:fill="FFFFFF"/>
    </w:rPr>
  </w:style>
  <w:style w:type="character" w:customStyle="1" w:styleId="MicrosoftSansSerif85pt0pt0">
    <w:name w:val="Основной текст + Microsoft Sans Serif;8;5 pt;Малые прописные;Интервал 0 pt"/>
    <w:basedOn w:val="aff1"/>
    <w:rsid w:val="00811C95"/>
    <w:rPr>
      <w:rFonts w:ascii="Microsoft Sans Serif" w:eastAsia="Microsoft Sans Serif" w:hAnsi="Microsoft Sans Serif" w:cs="Microsoft Sans Serif"/>
      <w:b w:val="0"/>
      <w:bCs w:val="0"/>
      <w:i w:val="0"/>
      <w:iCs w:val="0"/>
      <w:smallCaps/>
      <w:strike w:val="0"/>
      <w:spacing w:val="10"/>
      <w:sz w:val="17"/>
      <w:szCs w:val="17"/>
      <w:shd w:val="clear" w:color="auto" w:fill="FFFFFF"/>
    </w:rPr>
  </w:style>
  <w:style w:type="character" w:customStyle="1" w:styleId="95pt1">
    <w:name w:val="Основной текст + 9;5 pt;Не полужирный;Курсив"/>
    <w:basedOn w:val="aff1"/>
    <w:rsid w:val="00811C95"/>
    <w:rPr>
      <w:rFonts w:ascii="Batang" w:eastAsia="Batang" w:hAnsi="Batang" w:cs="Batang"/>
      <w:b/>
      <w:bCs/>
      <w:i/>
      <w:iCs/>
      <w:smallCaps w:val="0"/>
      <w:strike w:val="0"/>
      <w:spacing w:val="10"/>
      <w:sz w:val="19"/>
      <w:szCs w:val="19"/>
      <w:shd w:val="clear" w:color="auto" w:fill="FFFFFF"/>
      <w:lang w:val="en-US"/>
    </w:rPr>
  </w:style>
  <w:style w:type="character" w:customStyle="1" w:styleId="afffffd">
    <w:name w:val="Основной текст + Малые прописные"/>
    <w:basedOn w:val="aff1"/>
    <w:rsid w:val="00811C95"/>
    <w:rPr>
      <w:rFonts w:ascii="Gungsuh" w:eastAsia="Gungsuh" w:hAnsi="Gungsuh" w:cs="Gungsuh"/>
      <w:b w:val="0"/>
      <w:bCs w:val="0"/>
      <w:i w:val="0"/>
      <w:iCs w:val="0"/>
      <w:smallCaps/>
      <w:strike w:val="0"/>
      <w:spacing w:val="0"/>
      <w:sz w:val="16"/>
      <w:szCs w:val="16"/>
      <w:shd w:val="clear" w:color="auto" w:fill="FFFFFF"/>
    </w:rPr>
  </w:style>
  <w:style w:type="character" w:customStyle="1" w:styleId="12pt1pt">
    <w:name w:val="Основной текст + 12 pt;Интервал 1 pt"/>
    <w:basedOn w:val="aff1"/>
    <w:rsid w:val="00811C95"/>
    <w:rPr>
      <w:rFonts w:ascii="Gungsuh" w:eastAsia="Gungsuh" w:hAnsi="Gungsuh" w:cs="Gungsuh"/>
      <w:b w:val="0"/>
      <w:bCs w:val="0"/>
      <w:i w:val="0"/>
      <w:iCs w:val="0"/>
      <w:smallCaps w:val="0"/>
      <w:strike w:val="0"/>
      <w:spacing w:val="20"/>
      <w:sz w:val="24"/>
      <w:szCs w:val="24"/>
      <w:shd w:val="clear" w:color="auto" w:fill="FFFFFF"/>
    </w:rPr>
  </w:style>
  <w:style w:type="character" w:customStyle="1" w:styleId="Gungsuh9pt">
    <w:name w:val="Основной текст + Gungsuh;9 pt;Курсив"/>
    <w:basedOn w:val="aff1"/>
    <w:rsid w:val="00811C95"/>
    <w:rPr>
      <w:rFonts w:ascii="Gungsuh" w:eastAsia="Gungsuh" w:hAnsi="Gungsuh" w:cs="Gungsuh"/>
      <w:b w:val="0"/>
      <w:bCs w:val="0"/>
      <w:i/>
      <w:iCs/>
      <w:smallCaps w:val="0"/>
      <w:strike w:val="0"/>
      <w:spacing w:val="0"/>
      <w:sz w:val="18"/>
      <w:szCs w:val="18"/>
      <w:shd w:val="clear" w:color="auto" w:fill="FFFFFF"/>
    </w:rPr>
  </w:style>
  <w:style w:type="character" w:customStyle="1" w:styleId="2135pt-1pt">
    <w:name w:val="Основной текст (2) + 13;5 pt;Интервал -1 pt"/>
    <w:basedOn w:val="2a"/>
    <w:rsid w:val="00811C95"/>
    <w:rPr>
      <w:rFonts w:ascii="Gungsuh" w:eastAsia="Gungsuh" w:hAnsi="Gungsuh" w:cs="Gungsuh"/>
      <w:b w:val="0"/>
      <w:bCs w:val="0"/>
      <w:i w:val="0"/>
      <w:iCs w:val="0"/>
      <w:smallCaps w:val="0"/>
      <w:strike w:val="0"/>
      <w:spacing w:val="-30"/>
      <w:sz w:val="27"/>
      <w:szCs w:val="27"/>
      <w:shd w:val="clear" w:color="auto" w:fill="FFFFFF"/>
      <w:lang w:val="en-US" w:eastAsia="en-US"/>
    </w:rPr>
  </w:style>
  <w:style w:type="character" w:customStyle="1" w:styleId="1pt3">
    <w:name w:val="Основной текст + Малые прописные;Интервал 1 pt"/>
    <w:basedOn w:val="aff1"/>
    <w:rsid w:val="00811C95"/>
    <w:rPr>
      <w:rFonts w:ascii="Gungsuh" w:eastAsia="Gungsuh" w:hAnsi="Gungsuh" w:cs="Gungsuh"/>
      <w:b w:val="0"/>
      <w:bCs w:val="0"/>
      <w:i w:val="0"/>
      <w:iCs w:val="0"/>
      <w:smallCaps/>
      <w:strike w:val="0"/>
      <w:spacing w:val="20"/>
      <w:sz w:val="17"/>
      <w:szCs w:val="17"/>
      <w:shd w:val="clear" w:color="auto" w:fill="FFFFFF"/>
    </w:rPr>
  </w:style>
  <w:style w:type="character" w:customStyle="1" w:styleId="9pt1pt0">
    <w:name w:val="Основной текст + 9 pt;Малые прописные;Интервал 1 pt"/>
    <w:basedOn w:val="aff1"/>
    <w:rsid w:val="00811C95"/>
    <w:rPr>
      <w:rFonts w:ascii="MingLiU" w:eastAsia="MingLiU" w:hAnsi="MingLiU" w:cs="MingLiU"/>
      <w:b w:val="0"/>
      <w:bCs w:val="0"/>
      <w:i w:val="0"/>
      <w:iCs w:val="0"/>
      <w:smallCaps/>
      <w:strike w:val="0"/>
      <w:spacing w:val="20"/>
      <w:sz w:val="18"/>
      <w:szCs w:val="18"/>
      <w:shd w:val="clear" w:color="auto" w:fill="FFFFFF"/>
      <w:lang w:val="en-US"/>
    </w:rPr>
  </w:style>
  <w:style w:type="character" w:customStyle="1" w:styleId="95pt60">
    <w:name w:val="Основной текст + 9;5 pt;Курсив;Масштаб 60%"/>
    <w:basedOn w:val="aff1"/>
    <w:rsid w:val="00811C95"/>
    <w:rPr>
      <w:rFonts w:ascii="Gungsuh" w:eastAsia="Gungsuh" w:hAnsi="Gungsuh" w:cs="Gungsuh"/>
      <w:b w:val="0"/>
      <w:bCs w:val="0"/>
      <w:i/>
      <w:iCs/>
      <w:smallCaps w:val="0"/>
      <w:strike w:val="0"/>
      <w:spacing w:val="0"/>
      <w:w w:val="60"/>
      <w:sz w:val="19"/>
      <w:szCs w:val="19"/>
      <w:shd w:val="clear" w:color="auto" w:fill="FFFFFF"/>
    </w:rPr>
  </w:style>
  <w:style w:type="character" w:customStyle="1" w:styleId="0pt6">
    <w:name w:val="Основной текст + Малые прописные;Интервал 0 pt"/>
    <w:basedOn w:val="aff1"/>
    <w:rsid w:val="00811C95"/>
    <w:rPr>
      <w:rFonts w:ascii="Gungsuh" w:eastAsia="Gungsuh" w:hAnsi="Gungsuh" w:cs="Gungsuh"/>
      <w:b w:val="0"/>
      <w:bCs w:val="0"/>
      <w:i w:val="0"/>
      <w:iCs w:val="0"/>
      <w:smallCaps/>
      <w:strike w:val="0"/>
      <w:spacing w:val="-10"/>
      <w:sz w:val="16"/>
      <w:szCs w:val="16"/>
      <w:shd w:val="clear" w:color="auto" w:fill="FFFFFF"/>
    </w:rPr>
  </w:style>
  <w:style w:type="character" w:customStyle="1" w:styleId="TrebuchetMS95pt-1pt">
    <w:name w:val="Основной текст + Trebuchet MS;9;5 pt;Курсив;Интервал -1 pt"/>
    <w:basedOn w:val="aff1"/>
    <w:rsid w:val="00811C95"/>
    <w:rPr>
      <w:rFonts w:ascii="Trebuchet MS" w:eastAsia="Trebuchet MS" w:hAnsi="Trebuchet MS" w:cs="Trebuchet MS"/>
      <w:b w:val="0"/>
      <w:bCs w:val="0"/>
      <w:i/>
      <w:iCs/>
      <w:smallCaps w:val="0"/>
      <w:strike w:val="0"/>
      <w:spacing w:val="-20"/>
      <w:sz w:val="19"/>
      <w:szCs w:val="19"/>
      <w:shd w:val="clear" w:color="auto" w:fill="FFFFFF"/>
    </w:rPr>
  </w:style>
  <w:style w:type="character" w:customStyle="1" w:styleId="Garamond10pt">
    <w:name w:val="Основной текст + Garamond;10 pt;Малые прописные"/>
    <w:basedOn w:val="aff1"/>
    <w:rsid w:val="00811C95"/>
    <w:rPr>
      <w:rFonts w:ascii="Garamond" w:eastAsia="Garamond" w:hAnsi="Garamond" w:cs="Garamond"/>
      <w:b w:val="0"/>
      <w:bCs w:val="0"/>
      <w:i w:val="0"/>
      <w:iCs w:val="0"/>
      <w:smallCaps/>
      <w:strike w:val="0"/>
      <w:spacing w:val="0"/>
      <w:sz w:val="20"/>
      <w:szCs w:val="20"/>
      <w:shd w:val="clear" w:color="auto" w:fill="FFFFFF"/>
    </w:rPr>
  </w:style>
  <w:style w:type="character" w:customStyle="1" w:styleId="75pt-1pt50">
    <w:name w:val="Основной текст + 7;5 pt;Интервал -1 pt;Масштаб 50%"/>
    <w:basedOn w:val="aff1"/>
    <w:rsid w:val="00811C95"/>
    <w:rPr>
      <w:rFonts w:ascii="Batang" w:eastAsia="Batang" w:hAnsi="Batang" w:cs="Batang"/>
      <w:b w:val="0"/>
      <w:bCs w:val="0"/>
      <w:i w:val="0"/>
      <w:iCs w:val="0"/>
      <w:smallCaps w:val="0"/>
      <w:strike w:val="0"/>
      <w:spacing w:val="-20"/>
      <w:w w:val="50"/>
      <w:sz w:val="15"/>
      <w:szCs w:val="15"/>
      <w:shd w:val="clear" w:color="auto" w:fill="FFFFFF"/>
    </w:rPr>
  </w:style>
  <w:style w:type="character" w:customStyle="1" w:styleId="95pt0pt0">
    <w:name w:val="Основной текст + 9;5 pt;Малые прописные;Интервал 0 pt"/>
    <w:basedOn w:val="aff1"/>
    <w:rsid w:val="00811C95"/>
    <w:rPr>
      <w:rFonts w:ascii="Century Schoolbook" w:eastAsia="Century Schoolbook" w:hAnsi="Century Schoolbook" w:cs="Century Schoolbook"/>
      <w:b w:val="0"/>
      <w:bCs w:val="0"/>
      <w:i w:val="0"/>
      <w:iCs w:val="0"/>
      <w:smallCaps/>
      <w:strike w:val="0"/>
      <w:spacing w:val="0"/>
      <w:sz w:val="19"/>
      <w:szCs w:val="19"/>
      <w:shd w:val="clear" w:color="auto" w:fill="FFFFFF"/>
    </w:rPr>
  </w:style>
  <w:style w:type="character" w:customStyle="1" w:styleId="75pt0pt0">
    <w:name w:val="Основной текст + 7;5 pt;Малые прописные;Интервал 0 pt"/>
    <w:basedOn w:val="aff1"/>
    <w:rsid w:val="00811C95"/>
    <w:rPr>
      <w:rFonts w:ascii="Century Schoolbook" w:eastAsia="Century Schoolbook" w:hAnsi="Century Schoolbook" w:cs="Century Schoolbook"/>
      <w:b w:val="0"/>
      <w:bCs w:val="0"/>
      <w:i w:val="0"/>
      <w:iCs w:val="0"/>
      <w:smallCaps/>
      <w:strike w:val="0"/>
      <w:spacing w:val="0"/>
      <w:sz w:val="15"/>
      <w:szCs w:val="15"/>
      <w:shd w:val="clear" w:color="auto" w:fill="FFFFFF"/>
    </w:rPr>
  </w:style>
  <w:style w:type="character" w:customStyle="1" w:styleId="8pt0pt1">
    <w:name w:val="Основной текст + 8 pt;Малые прописные;Интервал 0 pt"/>
    <w:basedOn w:val="aff1"/>
    <w:rsid w:val="00811C95"/>
    <w:rPr>
      <w:rFonts w:ascii="Gungsuh" w:eastAsia="Gungsuh" w:hAnsi="Gungsuh" w:cs="Gungsuh"/>
      <w:b w:val="0"/>
      <w:bCs w:val="0"/>
      <w:i w:val="0"/>
      <w:iCs w:val="0"/>
      <w:smallCaps/>
      <w:strike w:val="0"/>
      <w:spacing w:val="10"/>
      <w:sz w:val="16"/>
      <w:szCs w:val="16"/>
      <w:shd w:val="clear" w:color="auto" w:fill="FFFFFF"/>
    </w:rPr>
  </w:style>
  <w:style w:type="character" w:customStyle="1" w:styleId="TrebuchetMS10pt">
    <w:name w:val="Основной текст + Trebuchet MS;10 pt;Курсив"/>
    <w:basedOn w:val="aff1"/>
    <w:rsid w:val="00811C95"/>
    <w:rPr>
      <w:rFonts w:ascii="Trebuchet MS" w:eastAsia="Trebuchet MS" w:hAnsi="Trebuchet MS" w:cs="Trebuchet MS"/>
      <w:b w:val="0"/>
      <w:bCs w:val="0"/>
      <w:i/>
      <w:iCs/>
      <w:smallCaps w:val="0"/>
      <w:strike w:val="0"/>
      <w:spacing w:val="0"/>
      <w:sz w:val="20"/>
      <w:szCs w:val="20"/>
      <w:shd w:val="clear" w:color="auto" w:fill="FFFFFF"/>
    </w:rPr>
  </w:style>
  <w:style w:type="character" w:customStyle="1" w:styleId="105pt0pt0">
    <w:name w:val="Основной текст + 10;5 pt;Интервал 0 pt"/>
    <w:basedOn w:val="aff1"/>
    <w:rsid w:val="00811C95"/>
    <w:rPr>
      <w:rFonts w:ascii="Gungsuh" w:eastAsia="Gungsuh" w:hAnsi="Gungsuh" w:cs="Gungsuh"/>
      <w:b w:val="0"/>
      <w:bCs w:val="0"/>
      <w:i w:val="0"/>
      <w:iCs w:val="0"/>
      <w:smallCaps w:val="0"/>
      <w:strike w:val="0"/>
      <w:spacing w:val="-10"/>
      <w:sz w:val="21"/>
      <w:szCs w:val="21"/>
      <w:shd w:val="clear" w:color="auto" w:fill="FFFFFF"/>
    </w:rPr>
  </w:style>
  <w:style w:type="character" w:customStyle="1" w:styleId="CenturyGothic95pt0pt">
    <w:name w:val="Основной текст + Century Gothic;9;5 pt;Курсив;Интервал 0 pt"/>
    <w:basedOn w:val="aff1"/>
    <w:rsid w:val="00811C95"/>
    <w:rPr>
      <w:rFonts w:ascii="Century Gothic" w:eastAsia="Century Gothic" w:hAnsi="Century Gothic" w:cs="Century Gothic"/>
      <w:b w:val="0"/>
      <w:bCs w:val="0"/>
      <w:i/>
      <w:iCs/>
      <w:smallCaps w:val="0"/>
      <w:strike w:val="0"/>
      <w:spacing w:val="0"/>
      <w:sz w:val="19"/>
      <w:szCs w:val="19"/>
      <w:shd w:val="clear" w:color="auto" w:fill="FFFFFF"/>
    </w:rPr>
  </w:style>
  <w:style w:type="character" w:customStyle="1" w:styleId="11pt2">
    <w:name w:val="Основной текст + 11 pt;Полужирный"/>
    <w:basedOn w:val="aff1"/>
    <w:rsid w:val="00811C95"/>
    <w:rPr>
      <w:rFonts w:ascii="Century Schoolbook" w:eastAsia="Century Schoolbook" w:hAnsi="Century Schoolbook" w:cs="Century Schoolbook"/>
      <w:b/>
      <w:bCs/>
      <w:i w:val="0"/>
      <w:iCs w:val="0"/>
      <w:smallCaps w:val="0"/>
      <w:strike w:val="0"/>
      <w:spacing w:val="0"/>
      <w:sz w:val="22"/>
      <w:szCs w:val="22"/>
      <w:shd w:val="clear" w:color="auto" w:fill="FFFFFF"/>
    </w:rPr>
  </w:style>
  <w:style w:type="character" w:customStyle="1" w:styleId="BookAntiqua75pt-1pt">
    <w:name w:val="Основной текст + Book Antiqua;7;5 pt;Курсив;Интервал -1 pt"/>
    <w:basedOn w:val="aff1"/>
    <w:rsid w:val="00811C95"/>
    <w:rPr>
      <w:rFonts w:ascii="Book Antiqua" w:eastAsia="Book Antiqua" w:hAnsi="Book Antiqua" w:cs="Book Antiqua"/>
      <w:i/>
      <w:iCs/>
      <w:spacing w:val="-20"/>
      <w:w w:val="100"/>
      <w:sz w:val="15"/>
      <w:szCs w:val="15"/>
      <w:shd w:val="clear" w:color="auto" w:fill="FFFFFF"/>
    </w:rPr>
  </w:style>
  <w:style w:type="character" w:customStyle="1" w:styleId="BookAntiqua105pt2pt">
    <w:name w:val="Основной текст + Book Antiqua;10;5 pt;Курсив;Интервал 2 pt"/>
    <w:basedOn w:val="aff1"/>
    <w:rsid w:val="00811C95"/>
    <w:rPr>
      <w:rFonts w:ascii="Book Antiqua" w:eastAsia="Book Antiqua" w:hAnsi="Book Antiqua" w:cs="Book Antiqua"/>
      <w:b w:val="0"/>
      <w:bCs w:val="0"/>
      <w:i/>
      <w:iCs/>
      <w:smallCaps w:val="0"/>
      <w:strike w:val="0"/>
      <w:spacing w:val="40"/>
      <w:sz w:val="21"/>
      <w:szCs w:val="21"/>
      <w:shd w:val="clear" w:color="auto" w:fill="FFFFFF"/>
    </w:rPr>
  </w:style>
  <w:style w:type="character" w:customStyle="1" w:styleId="afffffe">
    <w:name w:val="Основной текст + Полужирный;Малые прописные"/>
    <w:basedOn w:val="aff1"/>
    <w:rsid w:val="00811C95"/>
    <w:rPr>
      <w:rFonts w:ascii="Gungsuh" w:eastAsia="Gungsuh" w:hAnsi="Gungsuh" w:cs="Gungsuh"/>
      <w:b/>
      <w:bCs/>
      <w:i w:val="0"/>
      <w:iCs w:val="0"/>
      <w:smallCaps/>
      <w:strike w:val="0"/>
      <w:spacing w:val="0"/>
      <w:sz w:val="16"/>
      <w:szCs w:val="16"/>
      <w:shd w:val="clear" w:color="auto" w:fill="FFFFFF"/>
    </w:rPr>
  </w:style>
  <w:style w:type="character" w:customStyle="1" w:styleId="Candara10pt">
    <w:name w:val="Основной текст + Candara;10 pt"/>
    <w:basedOn w:val="aff1"/>
    <w:rsid w:val="00811C95"/>
    <w:rPr>
      <w:rFonts w:ascii="Candara" w:eastAsia="Candara" w:hAnsi="Candara" w:cs="Candara"/>
      <w:b w:val="0"/>
      <w:bCs w:val="0"/>
      <w:i w:val="0"/>
      <w:iCs w:val="0"/>
      <w:smallCaps w:val="0"/>
      <w:strike w:val="0"/>
      <w:spacing w:val="0"/>
      <w:sz w:val="20"/>
      <w:szCs w:val="20"/>
      <w:shd w:val="clear" w:color="auto" w:fill="FFFFFF"/>
    </w:rPr>
  </w:style>
  <w:style w:type="character" w:customStyle="1" w:styleId="Consolas10pt0">
    <w:name w:val="Основной текст + Consolas;10 pt"/>
    <w:basedOn w:val="aff1"/>
    <w:rsid w:val="00811C95"/>
    <w:rPr>
      <w:rFonts w:ascii="Consolas" w:eastAsia="Consolas" w:hAnsi="Consolas" w:cs="Consolas"/>
      <w:b w:val="0"/>
      <w:bCs w:val="0"/>
      <w:i w:val="0"/>
      <w:iCs w:val="0"/>
      <w:smallCaps w:val="0"/>
      <w:strike w:val="0"/>
      <w:spacing w:val="0"/>
      <w:sz w:val="20"/>
      <w:szCs w:val="20"/>
      <w:shd w:val="clear" w:color="auto" w:fill="FFFFFF"/>
    </w:rPr>
  </w:style>
  <w:style w:type="character" w:customStyle="1" w:styleId="295pt">
    <w:name w:val="Основной текст (2) + 9;5 pt"/>
    <w:basedOn w:val="2a"/>
    <w:rsid w:val="00811C95"/>
    <w:rPr>
      <w:rFonts w:ascii="MS Mincho" w:eastAsia="MS Mincho" w:hAnsi="MS Mincho" w:cs="MS Mincho"/>
      <w:spacing w:val="-20"/>
      <w:sz w:val="19"/>
      <w:szCs w:val="19"/>
      <w:shd w:val="clear" w:color="auto" w:fill="FFFFFF"/>
      <w:lang w:eastAsia="en-US"/>
    </w:rPr>
  </w:style>
  <w:style w:type="character" w:customStyle="1" w:styleId="295pt0pt">
    <w:name w:val="Основной текст (2) + 9;5 pt;Интервал 0 pt"/>
    <w:basedOn w:val="2a"/>
    <w:rsid w:val="00811C95"/>
    <w:rPr>
      <w:rFonts w:ascii="MS Mincho" w:eastAsia="MS Mincho" w:hAnsi="MS Mincho" w:cs="MS Mincho"/>
      <w:spacing w:val="0"/>
      <w:sz w:val="19"/>
      <w:szCs w:val="19"/>
      <w:shd w:val="clear" w:color="auto" w:fill="FFFFFF"/>
      <w:lang w:eastAsia="en-US"/>
    </w:rPr>
  </w:style>
  <w:style w:type="character" w:customStyle="1" w:styleId="SimHei95pt">
    <w:name w:val="Основной текст + SimHei;9;5 pt;Малые прописные"/>
    <w:basedOn w:val="aff1"/>
    <w:rsid w:val="00811C95"/>
    <w:rPr>
      <w:rFonts w:ascii="SimHei" w:eastAsia="SimHei" w:hAnsi="SimHei" w:cs="SimHei"/>
      <w:b w:val="0"/>
      <w:bCs w:val="0"/>
      <w:i w:val="0"/>
      <w:iCs w:val="0"/>
      <w:smallCaps/>
      <w:strike w:val="0"/>
      <w:spacing w:val="0"/>
      <w:sz w:val="19"/>
      <w:szCs w:val="19"/>
      <w:shd w:val="clear" w:color="auto" w:fill="FFFFFF"/>
    </w:rPr>
  </w:style>
  <w:style w:type="character" w:customStyle="1" w:styleId="Gungsuh0">
    <w:name w:val="Основной текст + Gungsuh;Малые прописные"/>
    <w:basedOn w:val="aff1"/>
    <w:rsid w:val="00811C95"/>
    <w:rPr>
      <w:rFonts w:ascii="Gungsuh" w:eastAsia="Gungsuh" w:hAnsi="Gungsuh" w:cs="Gungsuh"/>
      <w:b w:val="0"/>
      <w:bCs w:val="0"/>
      <w:i w:val="0"/>
      <w:iCs w:val="0"/>
      <w:smallCaps/>
      <w:strike w:val="0"/>
      <w:spacing w:val="0"/>
      <w:sz w:val="18"/>
      <w:szCs w:val="18"/>
      <w:shd w:val="clear" w:color="auto" w:fill="FFFFFF"/>
      <w:lang w:val="en-US"/>
    </w:rPr>
  </w:style>
  <w:style w:type="character" w:customStyle="1" w:styleId="Calibri12pt0pt">
    <w:name w:val="Основной текст + Calibri;12 pt;Полужирный;Интервал 0 pt"/>
    <w:basedOn w:val="aff1"/>
    <w:rsid w:val="00811C95"/>
    <w:rPr>
      <w:rFonts w:ascii="Calibri" w:eastAsia="Calibri" w:hAnsi="Calibri" w:cs="Calibri"/>
      <w:b/>
      <w:bCs/>
      <w:i w:val="0"/>
      <w:iCs w:val="0"/>
      <w:smallCaps w:val="0"/>
      <w:strike w:val="0"/>
      <w:spacing w:val="0"/>
      <w:sz w:val="24"/>
      <w:szCs w:val="24"/>
      <w:shd w:val="clear" w:color="auto" w:fill="FFFFFF"/>
    </w:rPr>
  </w:style>
  <w:style w:type="character" w:customStyle="1" w:styleId="TrebuchetMS9pt0pt0">
    <w:name w:val="Основной текст + Trebuchet MS;9 pt;Интервал 0 pt"/>
    <w:basedOn w:val="aff1"/>
    <w:rsid w:val="00811C95"/>
    <w:rPr>
      <w:rFonts w:ascii="Trebuchet MS" w:eastAsia="Trebuchet MS" w:hAnsi="Trebuchet MS" w:cs="Trebuchet MS"/>
      <w:b w:val="0"/>
      <w:bCs w:val="0"/>
      <w:i w:val="0"/>
      <w:iCs w:val="0"/>
      <w:smallCaps w:val="0"/>
      <w:strike w:val="0"/>
      <w:spacing w:val="10"/>
      <w:sz w:val="18"/>
      <w:szCs w:val="18"/>
      <w:shd w:val="clear" w:color="auto" w:fill="FFFFFF"/>
    </w:rPr>
  </w:style>
  <w:style w:type="character" w:customStyle="1" w:styleId="Garamond12pt">
    <w:name w:val="Основной текст + Garamond;12 pt;Курсив"/>
    <w:basedOn w:val="aff1"/>
    <w:rsid w:val="00811C95"/>
    <w:rPr>
      <w:rFonts w:ascii="Garamond" w:eastAsia="Garamond" w:hAnsi="Garamond" w:cs="Garamond"/>
      <w:b w:val="0"/>
      <w:bCs w:val="0"/>
      <w:i/>
      <w:iCs/>
      <w:smallCaps w:val="0"/>
      <w:strike w:val="0"/>
      <w:spacing w:val="0"/>
      <w:sz w:val="24"/>
      <w:szCs w:val="24"/>
      <w:shd w:val="clear" w:color="auto" w:fill="FFFFFF"/>
    </w:rPr>
  </w:style>
  <w:style w:type="character" w:customStyle="1" w:styleId="CenturySchoolbook105pt">
    <w:name w:val="Основной текст + Century Schoolbook;10;5 pt;Полужирный"/>
    <w:basedOn w:val="aff1"/>
    <w:rsid w:val="00811C95"/>
    <w:rPr>
      <w:rFonts w:ascii="Century Schoolbook" w:eastAsia="Century Schoolbook" w:hAnsi="Century Schoolbook" w:cs="Century Schoolbook"/>
      <w:b/>
      <w:bCs/>
      <w:i w:val="0"/>
      <w:iCs w:val="0"/>
      <w:smallCaps w:val="0"/>
      <w:strike w:val="0"/>
      <w:spacing w:val="0"/>
      <w:w w:val="100"/>
      <w:sz w:val="21"/>
      <w:szCs w:val="21"/>
      <w:shd w:val="clear" w:color="auto" w:fill="FFFFFF"/>
    </w:rPr>
  </w:style>
  <w:style w:type="character" w:customStyle="1" w:styleId="105pt80">
    <w:name w:val="Основной текст + 10;5 pt;Полужирный;Масштаб 80%"/>
    <w:basedOn w:val="aff1"/>
    <w:rsid w:val="00811C95"/>
    <w:rPr>
      <w:rFonts w:ascii="Gungsuh" w:eastAsia="Gungsuh" w:hAnsi="Gungsuh" w:cs="Gungsuh"/>
      <w:b/>
      <w:bCs/>
      <w:i w:val="0"/>
      <w:iCs w:val="0"/>
      <w:smallCaps w:val="0"/>
      <w:strike w:val="0"/>
      <w:spacing w:val="0"/>
      <w:w w:val="80"/>
      <w:sz w:val="21"/>
      <w:szCs w:val="21"/>
      <w:shd w:val="clear" w:color="auto" w:fill="FFFFFF"/>
    </w:rPr>
  </w:style>
  <w:style w:type="character" w:customStyle="1" w:styleId="8pt2">
    <w:name w:val="Основной текст + 8 pt;Полужирный"/>
    <w:basedOn w:val="aff1"/>
    <w:rsid w:val="00811C95"/>
    <w:rPr>
      <w:rFonts w:ascii="Batang" w:eastAsia="Batang" w:hAnsi="Batang" w:cs="Batang"/>
      <w:b/>
      <w:bCs/>
      <w:i w:val="0"/>
      <w:iCs w:val="0"/>
      <w:smallCaps w:val="0"/>
      <w:strike w:val="0"/>
      <w:spacing w:val="0"/>
      <w:sz w:val="16"/>
      <w:szCs w:val="16"/>
      <w:shd w:val="clear" w:color="auto" w:fill="FFFFFF"/>
    </w:rPr>
  </w:style>
  <w:style w:type="character" w:customStyle="1" w:styleId="CenturySchoolbook13pt75">
    <w:name w:val="Основной текст + Century Schoolbook;13 pt;Малые прописные;Масштаб 75%"/>
    <w:basedOn w:val="aff1"/>
    <w:rsid w:val="00811C95"/>
    <w:rPr>
      <w:rFonts w:ascii="Century Schoolbook" w:eastAsia="Century Schoolbook" w:hAnsi="Century Schoolbook" w:cs="Century Schoolbook"/>
      <w:b w:val="0"/>
      <w:bCs w:val="0"/>
      <w:i w:val="0"/>
      <w:iCs w:val="0"/>
      <w:smallCaps/>
      <w:strike w:val="0"/>
      <w:spacing w:val="0"/>
      <w:w w:val="75"/>
      <w:sz w:val="26"/>
      <w:szCs w:val="26"/>
      <w:shd w:val="clear" w:color="auto" w:fill="FFFFFF"/>
    </w:rPr>
  </w:style>
  <w:style w:type="character" w:customStyle="1" w:styleId="TimesNewRoman65pt0pt">
    <w:name w:val="Основной текст + Times New Roman;6;5 pt;Малые прописные;Интервал 0 pt"/>
    <w:basedOn w:val="aff1"/>
    <w:rsid w:val="00811C95"/>
    <w:rPr>
      <w:rFonts w:ascii="Times New Roman" w:eastAsia="Times New Roman" w:hAnsi="Times New Roman" w:cs="Times New Roman"/>
      <w:b w:val="0"/>
      <w:bCs w:val="0"/>
      <w:i w:val="0"/>
      <w:iCs w:val="0"/>
      <w:smallCaps/>
      <w:strike w:val="0"/>
      <w:spacing w:val="0"/>
      <w:w w:val="100"/>
      <w:sz w:val="13"/>
      <w:szCs w:val="13"/>
      <w:shd w:val="clear" w:color="auto" w:fill="FFFFFF"/>
      <w:lang w:val="en-US"/>
    </w:rPr>
  </w:style>
  <w:style w:type="character" w:customStyle="1" w:styleId="TimesNewRoman">
    <w:name w:val="Основной текст + Times New Roman;Малые прописные"/>
    <w:basedOn w:val="aff1"/>
    <w:rsid w:val="00811C95"/>
    <w:rPr>
      <w:rFonts w:ascii="Times New Roman" w:eastAsia="Times New Roman" w:hAnsi="Times New Roman" w:cs="Times New Roman"/>
      <w:b w:val="0"/>
      <w:bCs w:val="0"/>
      <w:i w:val="0"/>
      <w:iCs w:val="0"/>
      <w:smallCaps/>
      <w:strike w:val="0"/>
      <w:spacing w:val="0"/>
      <w:sz w:val="18"/>
      <w:szCs w:val="18"/>
      <w:shd w:val="clear" w:color="auto" w:fill="FFFFFF"/>
    </w:rPr>
  </w:style>
  <w:style w:type="character" w:customStyle="1" w:styleId="7pt0pt1">
    <w:name w:val="Основной текст + 7 pt;Малые прописные;Интервал 0 pt"/>
    <w:basedOn w:val="aff1"/>
    <w:rsid w:val="00811C95"/>
    <w:rPr>
      <w:rFonts w:ascii="MS Mincho" w:eastAsia="MS Mincho" w:hAnsi="MS Mincho" w:cs="MS Mincho"/>
      <w:b w:val="0"/>
      <w:bCs w:val="0"/>
      <w:i w:val="0"/>
      <w:iCs w:val="0"/>
      <w:smallCaps/>
      <w:strike w:val="0"/>
      <w:spacing w:val="0"/>
      <w:w w:val="100"/>
      <w:sz w:val="14"/>
      <w:szCs w:val="14"/>
      <w:shd w:val="clear" w:color="auto" w:fill="FFFFFF"/>
    </w:rPr>
  </w:style>
  <w:style w:type="character" w:customStyle="1" w:styleId="2TimesNewRoman9pt">
    <w:name w:val="Заголовок №2 + Times New Roman;9 pt;Не малые прописные"/>
    <w:basedOn w:val="2f0"/>
    <w:rsid w:val="00811C95"/>
    <w:rPr>
      <w:rFonts w:ascii="Times New Roman" w:eastAsia="Times New Roman" w:hAnsi="Times New Roman" w:cs="Times New Roman"/>
      <w:b w:val="0"/>
      <w:bCs w:val="0"/>
      <w:i w:val="0"/>
      <w:iCs w:val="0"/>
      <w:smallCaps/>
      <w:strike w:val="0"/>
      <w:spacing w:val="0"/>
      <w:sz w:val="18"/>
      <w:szCs w:val="18"/>
    </w:rPr>
  </w:style>
  <w:style w:type="character" w:customStyle="1" w:styleId="Consolas95pt0">
    <w:name w:val="Основной текст + Consolas;9;5 pt;Курсив"/>
    <w:basedOn w:val="aff1"/>
    <w:rsid w:val="00811C95"/>
    <w:rPr>
      <w:rFonts w:ascii="Consolas" w:eastAsia="Consolas" w:hAnsi="Consolas" w:cs="Consolas"/>
      <w:b w:val="0"/>
      <w:bCs w:val="0"/>
      <w:i/>
      <w:iCs/>
      <w:smallCaps w:val="0"/>
      <w:strike w:val="0"/>
      <w:spacing w:val="0"/>
      <w:w w:val="100"/>
      <w:sz w:val="19"/>
      <w:szCs w:val="19"/>
      <w:shd w:val="clear" w:color="auto" w:fill="FFFFFF"/>
    </w:rPr>
  </w:style>
  <w:style w:type="character" w:customStyle="1" w:styleId="MSReferenceSansSerif85pt-1pt">
    <w:name w:val="Основной текст + MS Reference Sans Serif;8;5 pt;Интервал -1 pt"/>
    <w:basedOn w:val="aff1"/>
    <w:rsid w:val="00811C95"/>
    <w:rPr>
      <w:rFonts w:ascii="MS Reference Sans Serif" w:eastAsia="MS Reference Sans Serif" w:hAnsi="MS Reference Sans Serif" w:cs="MS Reference Sans Serif"/>
      <w:b w:val="0"/>
      <w:bCs w:val="0"/>
      <w:i w:val="0"/>
      <w:iCs w:val="0"/>
      <w:smallCaps w:val="0"/>
      <w:strike w:val="0"/>
      <w:spacing w:val="-20"/>
      <w:sz w:val="17"/>
      <w:szCs w:val="17"/>
      <w:shd w:val="clear" w:color="auto" w:fill="FFFFFF"/>
    </w:rPr>
  </w:style>
  <w:style w:type="character" w:customStyle="1" w:styleId="Candara145pt">
    <w:name w:val="Основной текст + Candara;14;5 pt"/>
    <w:basedOn w:val="aff1"/>
    <w:rsid w:val="00811C95"/>
    <w:rPr>
      <w:rFonts w:ascii="Candara" w:eastAsia="Candara" w:hAnsi="Candara" w:cs="Candara"/>
      <w:b w:val="0"/>
      <w:bCs w:val="0"/>
      <w:i w:val="0"/>
      <w:iCs w:val="0"/>
      <w:smallCaps w:val="0"/>
      <w:strike w:val="0"/>
      <w:spacing w:val="0"/>
      <w:sz w:val="29"/>
      <w:szCs w:val="29"/>
      <w:shd w:val="clear" w:color="auto" w:fill="FFFFFF"/>
    </w:rPr>
  </w:style>
  <w:style w:type="character" w:customStyle="1" w:styleId="BookmanOldStyle-1pt60">
    <w:name w:val="Основной текст + Bookman Old Style;Полужирный;Курсив;Интервал -1 pt;Масштаб 60%"/>
    <w:basedOn w:val="aff1"/>
    <w:rsid w:val="00811C95"/>
    <w:rPr>
      <w:rFonts w:ascii="Bookman Old Style" w:eastAsia="Bookman Old Style" w:hAnsi="Bookman Old Style" w:cs="Bookman Old Style"/>
      <w:b/>
      <w:bCs/>
      <w:i/>
      <w:iCs/>
      <w:smallCaps w:val="0"/>
      <w:strike w:val="0"/>
      <w:spacing w:val="-20"/>
      <w:w w:val="60"/>
      <w:sz w:val="16"/>
      <w:szCs w:val="16"/>
      <w:shd w:val="clear" w:color="auto" w:fill="FFFFFF"/>
    </w:rPr>
  </w:style>
  <w:style w:type="character" w:customStyle="1" w:styleId="MSReferenceSansSerif85pt">
    <w:name w:val="Основной текст + MS Reference Sans Serif;8;5 pt"/>
    <w:basedOn w:val="aff1"/>
    <w:rsid w:val="00811C95"/>
    <w:rPr>
      <w:rFonts w:ascii="MS Reference Sans Serif" w:eastAsia="MS Reference Sans Serif" w:hAnsi="MS Reference Sans Serif" w:cs="MS Reference Sans Serif"/>
      <w:b w:val="0"/>
      <w:bCs w:val="0"/>
      <w:i w:val="0"/>
      <w:iCs w:val="0"/>
      <w:smallCaps w:val="0"/>
      <w:strike w:val="0"/>
      <w:spacing w:val="0"/>
      <w:sz w:val="17"/>
      <w:szCs w:val="17"/>
      <w:shd w:val="clear" w:color="auto" w:fill="FFFFFF"/>
    </w:rPr>
  </w:style>
  <w:style w:type="character" w:customStyle="1" w:styleId="0pt7">
    <w:name w:val="Основной текст + Не полужирный;Интервал 0 pt"/>
    <w:basedOn w:val="aff1"/>
    <w:rsid w:val="00811C95"/>
    <w:rPr>
      <w:rFonts w:ascii="Consolas" w:eastAsia="Consolas" w:hAnsi="Consolas" w:cs="Consolas"/>
      <w:b/>
      <w:bCs/>
      <w:i w:val="0"/>
      <w:iCs w:val="0"/>
      <w:smallCaps w:val="0"/>
      <w:strike w:val="0"/>
      <w:spacing w:val="-10"/>
      <w:w w:val="100"/>
      <w:sz w:val="18"/>
      <w:szCs w:val="18"/>
      <w:shd w:val="clear" w:color="auto" w:fill="FFFFFF"/>
    </w:rPr>
  </w:style>
  <w:style w:type="character" w:customStyle="1" w:styleId="Tahoma0pt">
    <w:name w:val="Основной текст + Tahoma;Интервал 0 pt"/>
    <w:basedOn w:val="aff1"/>
    <w:rsid w:val="00811C95"/>
    <w:rPr>
      <w:rFonts w:ascii="Tahoma" w:eastAsia="Tahoma" w:hAnsi="Tahoma" w:cs="Tahoma"/>
      <w:b w:val="0"/>
      <w:bCs w:val="0"/>
      <w:i w:val="0"/>
      <w:iCs w:val="0"/>
      <w:smallCaps w:val="0"/>
      <w:strike w:val="0"/>
      <w:spacing w:val="-10"/>
      <w:sz w:val="16"/>
      <w:szCs w:val="16"/>
      <w:shd w:val="clear" w:color="auto" w:fill="FFFFFF"/>
    </w:rPr>
  </w:style>
  <w:style w:type="character" w:customStyle="1" w:styleId="85pt3">
    <w:name w:val="Основной текст + 8;5 pt;Малые прописные"/>
    <w:basedOn w:val="aff1"/>
    <w:rsid w:val="00811C95"/>
    <w:rPr>
      <w:rFonts w:ascii="Gungsuh" w:eastAsia="Gungsuh" w:hAnsi="Gungsuh" w:cs="Gungsuh"/>
      <w:b w:val="0"/>
      <w:bCs w:val="0"/>
      <w:i w:val="0"/>
      <w:iCs w:val="0"/>
      <w:smallCaps/>
      <w:strike w:val="0"/>
      <w:spacing w:val="0"/>
      <w:sz w:val="17"/>
      <w:szCs w:val="17"/>
      <w:shd w:val="clear" w:color="auto" w:fill="FFFFFF"/>
    </w:rPr>
  </w:style>
  <w:style w:type="character" w:customStyle="1" w:styleId="9pt4">
    <w:name w:val="Основной текст + 9 pt;Курсив"/>
    <w:basedOn w:val="aff1"/>
    <w:rsid w:val="00811C95"/>
    <w:rPr>
      <w:rFonts w:ascii="Gungsuh" w:eastAsia="Gungsuh" w:hAnsi="Gungsuh" w:cs="Gungsuh"/>
      <w:b w:val="0"/>
      <w:bCs w:val="0"/>
      <w:i/>
      <w:iCs/>
      <w:smallCaps w:val="0"/>
      <w:strike w:val="0"/>
      <w:spacing w:val="0"/>
      <w:sz w:val="18"/>
      <w:szCs w:val="18"/>
      <w:shd w:val="clear" w:color="auto" w:fill="FFFFFF"/>
    </w:rPr>
  </w:style>
  <w:style w:type="character" w:customStyle="1" w:styleId="PalatinoLinotype11pt70">
    <w:name w:val="Основной текст + Palatino Linotype;11 pt;Курсив;Масштаб 70%"/>
    <w:basedOn w:val="aff1"/>
    <w:rsid w:val="00811C95"/>
    <w:rPr>
      <w:rFonts w:ascii="Palatino Linotype" w:eastAsia="Palatino Linotype" w:hAnsi="Palatino Linotype" w:cs="Palatino Linotype"/>
      <w:b w:val="0"/>
      <w:bCs w:val="0"/>
      <w:i/>
      <w:iCs/>
      <w:smallCaps w:val="0"/>
      <w:strike w:val="0"/>
      <w:spacing w:val="0"/>
      <w:w w:val="70"/>
      <w:sz w:val="22"/>
      <w:szCs w:val="22"/>
      <w:shd w:val="clear" w:color="auto" w:fill="FFFFFF"/>
    </w:rPr>
  </w:style>
  <w:style w:type="character" w:customStyle="1" w:styleId="ArialNarrow">
    <w:name w:val="Основной текст + Arial Narrow;Курсив"/>
    <w:basedOn w:val="aff1"/>
    <w:rsid w:val="00811C95"/>
    <w:rPr>
      <w:rFonts w:ascii="Arial Narrow" w:eastAsia="Arial Narrow" w:hAnsi="Arial Narrow" w:cs="Arial Narrow"/>
      <w:b w:val="0"/>
      <w:bCs w:val="0"/>
      <w:i/>
      <w:iCs/>
      <w:smallCaps w:val="0"/>
      <w:strike w:val="0"/>
      <w:spacing w:val="0"/>
      <w:sz w:val="20"/>
      <w:szCs w:val="20"/>
      <w:shd w:val="clear" w:color="auto" w:fill="FFFFFF"/>
    </w:rPr>
  </w:style>
  <w:style w:type="character" w:customStyle="1" w:styleId="Garamond7pt">
    <w:name w:val="Основной текст + Garamond;7 pt"/>
    <w:basedOn w:val="aff1"/>
    <w:rsid w:val="00811C95"/>
    <w:rPr>
      <w:rFonts w:ascii="Garamond" w:eastAsia="Garamond" w:hAnsi="Garamond" w:cs="Garamond"/>
      <w:spacing w:val="-10"/>
      <w:sz w:val="14"/>
      <w:szCs w:val="14"/>
      <w:shd w:val="clear" w:color="auto" w:fill="FFFFFF"/>
    </w:rPr>
  </w:style>
  <w:style w:type="character" w:customStyle="1" w:styleId="2Batang85pt0pt">
    <w:name w:val="Основной текст (2) + Batang;8;5 pt;Не курсив;Интервал 0 pt"/>
    <w:basedOn w:val="2a"/>
    <w:rsid w:val="00811C95"/>
    <w:rPr>
      <w:rFonts w:ascii="Batang" w:eastAsia="Batang" w:hAnsi="Batang" w:cs="Batang"/>
      <w:i/>
      <w:iCs/>
      <w:spacing w:val="0"/>
      <w:sz w:val="17"/>
      <w:szCs w:val="17"/>
      <w:shd w:val="clear" w:color="auto" w:fill="FFFFFF"/>
      <w:lang w:eastAsia="en-US"/>
    </w:rPr>
  </w:style>
  <w:style w:type="character" w:customStyle="1" w:styleId="FranklinGothicBook85pt0pt">
    <w:name w:val="Основной текст + Franklin Gothic Book;8;5 pt;Не полужирный;Интервал 0 pt"/>
    <w:basedOn w:val="aff1"/>
    <w:rsid w:val="00811C95"/>
    <w:rPr>
      <w:rFonts w:ascii="Franklin Gothic Book" w:eastAsia="Franklin Gothic Book" w:hAnsi="Franklin Gothic Book" w:cs="Franklin Gothic Book"/>
      <w:b/>
      <w:bCs/>
      <w:i w:val="0"/>
      <w:iCs w:val="0"/>
      <w:smallCaps w:val="0"/>
      <w:strike w:val="0"/>
      <w:spacing w:val="-10"/>
      <w:sz w:val="17"/>
      <w:szCs w:val="17"/>
      <w:shd w:val="clear" w:color="auto" w:fill="FFFFFF"/>
    </w:rPr>
  </w:style>
  <w:style w:type="character" w:customStyle="1" w:styleId="FranklinGothicBook85pt">
    <w:name w:val="Основной текст + Franklin Gothic Book;8;5 pt;Не полужирный"/>
    <w:basedOn w:val="aff1"/>
    <w:rsid w:val="00811C95"/>
    <w:rPr>
      <w:rFonts w:ascii="Franklin Gothic Book" w:eastAsia="Franklin Gothic Book" w:hAnsi="Franklin Gothic Book" w:cs="Franklin Gothic Book"/>
      <w:b/>
      <w:bCs/>
      <w:i w:val="0"/>
      <w:iCs w:val="0"/>
      <w:smallCaps w:val="0"/>
      <w:strike w:val="0"/>
      <w:spacing w:val="0"/>
      <w:sz w:val="17"/>
      <w:szCs w:val="17"/>
      <w:shd w:val="clear" w:color="auto" w:fill="FFFFFF"/>
    </w:rPr>
  </w:style>
  <w:style w:type="character" w:customStyle="1" w:styleId="copy-text">
    <w:name w:val="copy-text"/>
    <w:basedOn w:val="a0"/>
    <w:rsid w:val="00811C95"/>
  </w:style>
  <w:style w:type="character" w:customStyle="1" w:styleId="ya-share2badge">
    <w:name w:val="ya-share2__badge"/>
    <w:basedOn w:val="a0"/>
    <w:rsid w:val="00811C95"/>
  </w:style>
  <w:style w:type="character" w:customStyle="1" w:styleId="ya-share2icon">
    <w:name w:val="ya-share2__icon"/>
    <w:basedOn w:val="a0"/>
    <w:rsid w:val="00811C95"/>
  </w:style>
  <w:style w:type="paragraph" w:customStyle="1" w:styleId="s7">
    <w:name w:val="s7"/>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b-articletext">
    <w:name w:val="b-article__text"/>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885pt100">
    <w:name w:val="Основной текст (8) + 8;5 pt;Не курсив;Масштаб 100%"/>
    <w:basedOn w:val="81"/>
    <w:rsid w:val="00811C95"/>
    <w:rPr>
      <w:rFonts w:ascii="Segoe UI" w:eastAsia="Segoe UI" w:hAnsi="Segoe UI" w:cs="Segoe UI"/>
      <w:i/>
      <w:iCs/>
      <w:w w:val="100"/>
      <w:sz w:val="17"/>
      <w:szCs w:val="17"/>
      <w:shd w:val="clear" w:color="auto" w:fill="FFFFFF"/>
    </w:rPr>
  </w:style>
  <w:style w:type="character" w:customStyle="1" w:styleId="Impact7pt">
    <w:name w:val="Основной текст + Impact;7 pt"/>
    <w:basedOn w:val="aff1"/>
    <w:rsid w:val="00811C95"/>
    <w:rPr>
      <w:rFonts w:ascii="Impact" w:eastAsia="Impact" w:hAnsi="Impact" w:cs="Impact"/>
      <w:b w:val="0"/>
      <w:bCs w:val="0"/>
      <w:i w:val="0"/>
      <w:iCs w:val="0"/>
      <w:smallCaps w:val="0"/>
      <w:strike w:val="0"/>
      <w:spacing w:val="0"/>
      <w:w w:val="100"/>
      <w:sz w:val="14"/>
      <w:szCs w:val="14"/>
      <w:shd w:val="clear" w:color="auto" w:fill="FFFFFF"/>
    </w:rPr>
  </w:style>
  <w:style w:type="character" w:customStyle="1" w:styleId="affffff">
    <w:name w:val="Подпись к картинке + Не полужирный;Малые прописные"/>
    <w:basedOn w:val="affc"/>
    <w:rsid w:val="00811C95"/>
    <w:rPr>
      <w:rFonts w:ascii="Arial Narrow" w:eastAsia="Arial Narrow" w:hAnsi="Arial Narrow" w:cs="Arial Narrow"/>
      <w:b/>
      <w:bCs/>
      <w:i w:val="0"/>
      <w:iCs w:val="0"/>
      <w:smallCaps/>
      <w:strike w:val="0"/>
      <w:spacing w:val="0"/>
      <w:sz w:val="15"/>
      <w:szCs w:val="15"/>
      <w:shd w:val="clear" w:color="auto" w:fill="FFFFFF"/>
      <w:lang w:eastAsia="en-US"/>
    </w:rPr>
  </w:style>
  <w:style w:type="character" w:customStyle="1" w:styleId="1421">
    <w:name w:val="Заголовок №14 (2)_"/>
    <w:basedOn w:val="a0"/>
    <w:link w:val="1422"/>
    <w:rsid w:val="00811C95"/>
    <w:rPr>
      <w:rFonts w:ascii="Tahoma" w:eastAsia="Tahoma" w:hAnsi="Tahoma" w:cs="Tahoma"/>
      <w:sz w:val="23"/>
      <w:szCs w:val="23"/>
      <w:shd w:val="clear" w:color="auto" w:fill="FFFFFF"/>
    </w:rPr>
  </w:style>
  <w:style w:type="paragraph" w:customStyle="1" w:styleId="1422">
    <w:name w:val="Заголовок №14 (2)"/>
    <w:basedOn w:val="a"/>
    <w:link w:val="1421"/>
    <w:rsid w:val="00811C95"/>
    <w:pPr>
      <w:shd w:val="clear" w:color="auto" w:fill="FFFFFF"/>
      <w:spacing w:before="420" w:after="0" w:line="0" w:lineRule="atLeast"/>
      <w:ind w:firstLine="260"/>
    </w:pPr>
    <w:rPr>
      <w:rFonts w:ascii="Tahoma" w:eastAsia="Tahoma" w:hAnsi="Tahoma" w:cs="Tahoma"/>
      <w:sz w:val="23"/>
      <w:szCs w:val="23"/>
      <w:lang w:eastAsia="ru-RU"/>
    </w:rPr>
  </w:style>
  <w:style w:type="character" w:customStyle="1" w:styleId="1511pt">
    <w:name w:val="Заголовок №15 + 11 pt;Курсив"/>
    <w:basedOn w:val="a0"/>
    <w:rsid w:val="00811C95"/>
    <w:rPr>
      <w:rFonts w:ascii="Arial Narrow" w:eastAsia="Arial Narrow" w:hAnsi="Arial Narrow" w:cs="Arial Narrow"/>
      <w:b w:val="0"/>
      <w:bCs w:val="0"/>
      <w:i/>
      <w:iCs/>
      <w:smallCaps w:val="0"/>
      <w:strike w:val="0"/>
      <w:spacing w:val="0"/>
      <w:sz w:val="22"/>
      <w:szCs w:val="22"/>
    </w:rPr>
  </w:style>
  <w:style w:type="character" w:customStyle="1" w:styleId="3-1pt1">
    <w:name w:val="Подпись к картинке (3) + Интервал -1 pt"/>
    <w:basedOn w:val="38"/>
    <w:rsid w:val="00811C95"/>
    <w:rPr>
      <w:rFonts w:ascii="Arial Narrow" w:hAnsi="Arial Narrow" w:cs="Arial Narrow"/>
      <w:b w:val="0"/>
      <w:bCs w:val="0"/>
      <w:i w:val="0"/>
      <w:iCs w:val="0"/>
      <w:smallCaps w:val="0"/>
      <w:strike w:val="0"/>
      <w:spacing w:val="-20"/>
      <w:w w:val="100"/>
      <w:sz w:val="18"/>
      <w:szCs w:val="18"/>
      <w:shd w:val="clear" w:color="auto" w:fill="FFFFFF"/>
      <w:lang w:eastAsia="en-US"/>
    </w:rPr>
  </w:style>
  <w:style w:type="character" w:customStyle="1" w:styleId="palette-color2-3">
    <w:name w:val="palette-color2-3"/>
    <w:basedOn w:val="a0"/>
    <w:rsid w:val="00811C95"/>
  </w:style>
  <w:style w:type="paragraph" w:customStyle="1" w:styleId="name">
    <w:name w:val="name"/>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commentscount">
    <w:name w:val="comments_count"/>
    <w:basedOn w:val="a0"/>
    <w:rsid w:val="00811C95"/>
  </w:style>
  <w:style w:type="character" w:customStyle="1" w:styleId="time">
    <w:name w:val="time"/>
    <w:basedOn w:val="a0"/>
    <w:rsid w:val="00811C95"/>
  </w:style>
  <w:style w:type="character" w:customStyle="1" w:styleId="copyright">
    <w:name w:val="copyright"/>
    <w:basedOn w:val="a0"/>
    <w:rsid w:val="00811C95"/>
  </w:style>
  <w:style w:type="character" w:customStyle="1" w:styleId="affffff0">
    <w:name w:val="Текст выноски Знак"/>
    <w:basedOn w:val="a0"/>
    <w:link w:val="affffff1"/>
    <w:uiPriority w:val="99"/>
    <w:semiHidden/>
    <w:rsid w:val="00811C95"/>
    <w:rPr>
      <w:rFonts w:ascii="Tahoma" w:eastAsiaTheme="minorHAnsi" w:hAnsi="Tahoma" w:cs="Tahoma"/>
      <w:sz w:val="16"/>
      <w:szCs w:val="16"/>
      <w:lang w:eastAsia="en-US"/>
    </w:rPr>
  </w:style>
  <w:style w:type="paragraph" w:styleId="affffff1">
    <w:name w:val="Balloon Text"/>
    <w:basedOn w:val="a"/>
    <w:link w:val="affffff0"/>
    <w:uiPriority w:val="99"/>
    <w:semiHidden/>
    <w:unhideWhenUsed/>
    <w:rsid w:val="00811C95"/>
    <w:pPr>
      <w:spacing w:after="0" w:line="240" w:lineRule="auto"/>
    </w:pPr>
    <w:rPr>
      <w:rFonts w:ascii="Tahoma" w:eastAsiaTheme="minorHAnsi" w:hAnsi="Tahoma" w:cs="Tahoma"/>
      <w:sz w:val="16"/>
      <w:szCs w:val="16"/>
    </w:rPr>
  </w:style>
  <w:style w:type="paragraph" w:customStyle="1" w:styleId="article-renderblock">
    <w:name w:val="article-render__block"/>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center">
    <w:name w:val="center"/>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tgr">
    <w:name w:val="tgr"/>
    <w:basedOn w:val="a0"/>
    <w:rsid w:val="00811C95"/>
  </w:style>
  <w:style w:type="character" w:customStyle="1" w:styleId="tg">
    <w:name w:val="tg"/>
    <w:basedOn w:val="a0"/>
    <w:rsid w:val="00811C95"/>
  </w:style>
  <w:style w:type="character" w:customStyle="1" w:styleId="ljcut-brace">
    <w:name w:val="ljcut-brace"/>
    <w:basedOn w:val="a0"/>
    <w:rsid w:val="00811C95"/>
  </w:style>
  <w:style w:type="character" w:customStyle="1" w:styleId="ljcut-decor">
    <w:name w:val="ljcut-decor"/>
    <w:basedOn w:val="a0"/>
    <w:rsid w:val="00811C95"/>
  </w:style>
  <w:style w:type="character" w:customStyle="1" w:styleId="3Gungsuh115pt0pt">
    <w:name w:val="Основной текст (3) + Gungsuh;11;5 pt;Не курсив;Интервал 0 pt"/>
    <w:basedOn w:val="35"/>
    <w:rsid w:val="00811C95"/>
    <w:rPr>
      <w:rFonts w:ascii="Gungsuh" w:eastAsia="Gungsuh" w:hAnsi="Gungsuh" w:cs="Gungsuh"/>
      <w:b w:val="0"/>
      <w:bCs w:val="0"/>
      <w:i/>
      <w:iCs/>
      <w:smallCaps w:val="0"/>
      <w:strike w:val="0"/>
      <w:spacing w:val="10"/>
      <w:w w:val="100"/>
      <w:sz w:val="23"/>
      <w:szCs w:val="23"/>
      <w:shd w:val="clear" w:color="auto" w:fill="FFFFFF"/>
    </w:rPr>
  </w:style>
  <w:style w:type="character" w:customStyle="1" w:styleId="423pt1pt40">
    <w:name w:val="Основной текст (4) + 23 pt;Полужирный;Не малые прописные;Интервал 1 pt;Масштаб 40%"/>
    <w:basedOn w:val="46"/>
    <w:rsid w:val="00811C95"/>
    <w:rPr>
      <w:rFonts w:ascii="Gungsuh" w:eastAsia="Gungsuh" w:hAnsi="Gungsuh" w:cs="Gungsuh"/>
      <w:b/>
      <w:bCs/>
      <w:i w:val="0"/>
      <w:iCs w:val="0"/>
      <w:smallCaps/>
      <w:strike w:val="0"/>
      <w:spacing w:val="20"/>
      <w:w w:val="40"/>
      <w:sz w:val="46"/>
      <w:szCs w:val="46"/>
      <w:shd w:val="clear" w:color="auto" w:fill="FFFFFF"/>
    </w:rPr>
  </w:style>
  <w:style w:type="character" w:customStyle="1" w:styleId="5ArialNarrow135pt">
    <w:name w:val="Основной текст (5) + Arial Narrow;13;5 pt"/>
    <w:basedOn w:val="5a"/>
    <w:rsid w:val="00811C95"/>
    <w:rPr>
      <w:rFonts w:ascii="Arial Narrow" w:eastAsia="Arial Narrow" w:hAnsi="Arial Narrow" w:cs="Arial Narrow"/>
      <w:b w:val="0"/>
      <w:bCs w:val="0"/>
      <w:i w:val="0"/>
      <w:iCs w:val="0"/>
      <w:smallCaps w:val="0"/>
      <w:strike w:val="0"/>
      <w:spacing w:val="0"/>
      <w:sz w:val="27"/>
      <w:szCs w:val="27"/>
      <w:shd w:val="clear" w:color="auto" w:fill="FFFFFF"/>
    </w:rPr>
  </w:style>
  <w:style w:type="character" w:customStyle="1" w:styleId="36pt">
    <w:name w:val="Основной текст (3) + Интервал 6 pt"/>
    <w:basedOn w:val="35"/>
    <w:rsid w:val="00811C95"/>
    <w:rPr>
      <w:rFonts w:ascii="Arial Narrow" w:eastAsia="Arial Narrow" w:hAnsi="Arial Narrow" w:cs="Arial Narrow"/>
      <w:b w:val="0"/>
      <w:bCs w:val="0"/>
      <w:i w:val="0"/>
      <w:iCs w:val="0"/>
      <w:smallCaps w:val="0"/>
      <w:strike w:val="0"/>
      <w:spacing w:val="130"/>
      <w:w w:val="100"/>
      <w:sz w:val="27"/>
      <w:szCs w:val="27"/>
      <w:shd w:val="clear" w:color="auto" w:fill="FFFFFF"/>
      <w:lang w:val="en-US"/>
    </w:rPr>
  </w:style>
  <w:style w:type="character" w:customStyle="1" w:styleId="42pt0">
    <w:name w:val="Заголовок №4 + Интервал 2 pt"/>
    <w:basedOn w:val="4e"/>
    <w:rsid w:val="00811C95"/>
    <w:rPr>
      <w:rFonts w:ascii="Gungsuh" w:eastAsia="Gungsuh" w:hAnsi="Gungsuh" w:cs="Gungsuh"/>
      <w:b w:val="0"/>
      <w:bCs w:val="0"/>
      <w:i w:val="0"/>
      <w:iCs w:val="0"/>
      <w:smallCaps w:val="0"/>
      <w:strike w:val="0"/>
      <w:spacing w:val="40"/>
      <w:sz w:val="23"/>
      <w:szCs w:val="23"/>
    </w:rPr>
  </w:style>
  <w:style w:type="character" w:customStyle="1" w:styleId="ArialNarrow145pt0pt">
    <w:name w:val="Основной текст + Arial Narrow;14;5 pt;Курсив;Интервал 0 pt"/>
    <w:basedOn w:val="aff1"/>
    <w:rsid w:val="00811C95"/>
    <w:rPr>
      <w:rFonts w:ascii="Arial Narrow" w:eastAsia="Arial Narrow" w:hAnsi="Arial Narrow" w:cs="Arial Narrow"/>
      <w:b w:val="0"/>
      <w:bCs w:val="0"/>
      <w:i/>
      <w:iCs/>
      <w:smallCaps w:val="0"/>
      <w:strike w:val="0"/>
      <w:spacing w:val="0"/>
      <w:w w:val="100"/>
      <w:sz w:val="29"/>
      <w:szCs w:val="29"/>
      <w:shd w:val="clear" w:color="auto" w:fill="FFFFFF"/>
    </w:rPr>
  </w:style>
  <w:style w:type="character" w:customStyle="1" w:styleId="22pt1">
    <w:name w:val="Основной текст (2) + Интервал 2 pt"/>
    <w:basedOn w:val="2a"/>
    <w:rsid w:val="00811C95"/>
    <w:rPr>
      <w:rFonts w:ascii="Palatino Linotype" w:eastAsia="Palatino Linotype" w:hAnsi="Palatino Linotype" w:cs="Palatino Linotype"/>
      <w:b w:val="0"/>
      <w:bCs w:val="0"/>
      <w:i w:val="0"/>
      <w:iCs w:val="0"/>
      <w:smallCaps w:val="0"/>
      <w:strike w:val="0"/>
      <w:spacing w:val="40"/>
      <w:sz w:val="20"/>
      <w:szCs w:val="20"/>
      <w:shd w:val="clear" w:color="auto" w:fill="FFFFFF"/>
      <w:lang w:val="en-US" w:eastAsia="en-US"/>
    </w:rPr>
  </w:style>
  <w:style w:type="character" w:customStyle="1" w:styleId="13pt1">
    <w:name w:val="Основной текст + Интервал 13 pt"/>
    <w:basedOn w:val="aff1"/>
    <w:rsid w:val="00811C95"/>
    <w:rPr>
      <w:rFonts w:ascii="Gungsuh" w:eastAsia="Gungsuh" w:hAnsi="Gungsuh" w:cs="Gungsuh"/>
      <w:b w:val="0"/>
      <w:bCs w:val="0"/>
      <w:i w:val="0"/>
      <w:iCs w:val="0"/>
      <w:smallCaps w:val="0"/>
      <w:strike w:val="0"/>
      <w:spacing w:val="270"/>
      <w:sz w:val="23"/>
      <w:szCs w:val="23"/>
      <w:shd w:val="clear" w:color="auto" w:fill="FFFFFF"/>
    </w:rPr>
  </w:style>
  <w:style w:type="character" w:customStyle="1" w:styleId="125pt0pt">
    <w:name w:val="Основной текст + 12;5 pt;Малые прописные;Интервал 0 pt"/>
    <w:basedOn w:val="aff1"/>
    <w:rsid w:val="00811C95"/>
    <w:rPr>
      <w:rFonts w:ascii="Gungsuh" w:eastAsia="Gungsuh" w:hAnsi="Gungsuh" w:cs="Gungsuh"/>
      <w:b w:val="0"/>
      <w:bCs w:val="0"/>
      <w:i w:val="0"/>
      <w:iCs w:val="0"/>
      <w:smallCaps/>
      <w:strike w:val="0"/>
      <w:spacing w:val="0"/>
      <w:sz w:val="25"/>
      <w:szCs w:val="25"/>
      <w:shd w:val="clear" w:color="auto" w:fill="FFFFFF"/>
    </w:rPr>
  </w:style>
  <w:style w:type="character" w:customStyle="1" w:styleId="40pt0">
    <w:name w:val="Заголовок №4 + Интервал 0 pt"/>
    <w:basedOn w:val="4e"/>
    <w:rsid w:val="00811C95"/>
    <w:rPr>
      <w:rFonts w:ascii="Gungsuh" w:eastAsia="Gungsuh" w:hAnsi="Gungsuh" w:cs="Gungsuh"/>
      <w:b w:val="0"/>
      <w:bCs w:val="0"/>
      <w:i w:val="0"/>
      <w:iCs w:val="0"/>
      <w:smallCaps w:val="0"/>
      <w:strike w:val="0"/>
      <w:spacing w:val="-10"/>
      <w:sz w:val="23"/>
      <w:szCs w:val="23"/>
    </w:rPr>
  </w:style>
  <w:style w:type="character" w:customStyle="1" w:styleId="50pt">
    <w:name w:val="Заголовок №5 + Интервал 0 pt"/>
    <w:basedOn w:val="53"/>
    <w:rsid w:val="00811C95"/>
    <w:rPr>
      <w:rFonts w:ascii="Gungsuh" w:eastAsia="Gungsuh" w:hAnsi="Gungsuh" w:cs="Gungsuh"/>
      <w:b w:val="0"/>
      <w:bCs w:val="0"/>
      <w:i w:val="0"/>
      <w:iCs w:val="0"/>
      <w:smallCaps w:val="0"/>
      <w:strike w:val="0"/>
      <w:spacing w:val="-10"/>
      <w:sz w:val="23"/>
      <w:szCs w:val="23"/>
      <w:shd w:val="clear" w:color="auto" w:fill="FFFFFF"/>
      <w:lang w:eastAsia="en-US"/>
    </w:rPr>
  </w:style>
  <w:style w:type="character" w:customStyle="1" w:styleId="5ArialNarrow135pt0pt">
    <w:name w:val="Заголовок №5 + Arial Narrow;13;5 pt;Курсив;Интервал 0 pt"/>
    <w:basedOn w:val="53"/>
    <w:rsid w:val="00811C95"/>
    <w:rPr>
      <w:rFonts w:ascii="Arial Narrow" w:eastAsia="Arial Narrow" w:hAnsi="Arial Narrow" w:cs="Arial Narrow"/>
      <w:b w:val="0"/>
      <w:bCs w:val="0"/>
      <w:i/>
      <w:iCs/>
      <w:smallCaps w:val="0"/>
      <w:strike w:val="0"/>
      <w:spacing w:val="-10"/>
      <w:w w:val="100"/>
      <w:sz w:val="27"/>
      <w:szCs w:val="27"/>
      <w:shd w:val="clear" w:color="auto" w:fill="FFFFFF"/>
      <w:lang w:eastAsia="en-US"/>
    </w:rPr>
  </w:style>
  <w:style w:type="character" w:customStyle="1" w:styleId="12pt0pt">
    <w:name w:val="Основной текст + 12 pt;Малые прописные;Интервал 0 pt"/>
    <w:basedOn w:val="aff1"/>
    <w:rsid w:val="00811C95"/>
    <w:rPr>
      <w:rFonts w:ascii="Gungsuh" w:eastAsia="Gungsuh" w:hAnsi="Gungsuh" w:cs="Gungsuh"/>
      <w:b w:val="0"/>
      <w:bCs w:val="0"/>
      <w:i w:val="0"/>
      <w:iCs w:val="0"/>
      <w:smallCaps/>
      <w:strike w:val="0"/>
      <w:spacing w:val="0"/>
      <w:sz w:val="24"/>
      <w:szCs w:val="24"/>
      <w:shd w:val="clear" w:color="auto" w:fill="FFFFFF"/>
    </w:rPr>
  </w:style>
  <w:style w:type="character" w:customStyle="1" w:styleId="23pt1pt40">
    <w:name w:val="Основной текст + 23 pt;Полужирный;Интервал 1 pt;Масштаб 40%"/>
    <w:basedOn w:val="aff1"/>
    <w:rsid w:val="00811C95"/>
    <w:rPr>
      <w:rFonts w:ascii="Gungsuh" w:eastAsia="Gungsuh" w:hAnsi="Gungsuh" w:cs="Gungsuh"/>
      <w:b/>
      <w:bCs/>
      <w:i w:val="0"/>
      <w:iCs w:val="0"/>
      <w:smallCaps w:val="0"/>
      <w:strike w:val="0"/>
      <w:spacing w:val="20"/>
      <w:w w:val="40"/>
      <w:sz w:val="46"/>
      <w:szCs w:val="46"/>
      <w:shd w:val="clear" w:color="auto" w:fill="FFFFFF"/>
    </w:rPr>
  </w:style>
  <w:style w:type="character" w:customStyle="1" w:styleId="ArialNarrow135pt0pt">
    <w:name w:val="Основной текст + Arial Narrow;13;5 pt;Курсив;Интервал 0 pt"/>
    <w:basedOn w:val="aff1"/>
    <w:rsid w:val="00811C95"/>
    <w:rPr>
      <w:rFonts w:ascii="Arial Narrow" w:eastAsia="Arial Narrow" w:hAnsi="Arial Narrow" w:cs="Arial Narrow"/>
      <w:b w:val="0"/>
      <w:bCs w:val="0"/>
      <w:i/>
      <w:iCs/>
      <w:smallCaps w:val="0"/>
      <w:strike w:val="0"/>
      <w:spacing w:val="-10"/>
      <w:w w:val="100"/>
      <w:sz w:val="27"/>
      <w:szCs w:val="27"/>
      <w:shd w:val="clear" w:color="auto" w:fill="FFFFFF"/>
    </w:rPr>
  </w:style>
  <w:style w:type="character" w:customStyle="1" w:styleId="PalatinoLinotype18pt0pt">
    <w:name w:val="Основной текст + Palatino Linotype;18 pt;Интервал 0 pt"/>
    <w:basedOn w:val="aff1"/>
    <w:rsid w:val="00811C95"/>
    <w:rPr>
      <w:rFonts w:ascii="Palatino Linotype" w:eastAsia="Palatino Linotype" w:hAnsi="Palatino Linotype" w:cs="Palatino Linotype"/>
      <w:b w:val="0"/>
      <w:bCs w:val="0"/>
      <w:i w:val="0"/>
      <w:iCs w:val="0"/>
      <w:smallCaps w:val="0"/>
      <w:strike w:val="0"/>
      <w:spacing w:val="0"/>
      <w:sz w:val="36"/>
      <w:szCs w:val="36"/>
      <w:shd w:val="clear" w:color="auto" w:fill="FFFFFF"/>
    </w:rPr>
  </w:style>
  <w:style w:type="character" w:customStyle="1" w:styleId="PalatinoLinotype245pt-2pt">
    <w:name w:val="Колонтитул + Palatino Linotype;24;5 pt;Курсив;Интервал -2 pt"/>
    <w:basedOn w:val="aff9"/>
    <w:rsid w:val="00811C95"/>
    <w:rPr>
      <w:rFonts w:ascii="Palatino Linotype" w:eastAsia="Palatino Linotype" w:hAnsi="Palatino Linotype" w:cs="Palatino Linotype"/>
      <w:b w:val="0"/>
      <w:bCs w:val="0"/>
      <w:i/>
      <w:iCs/>
      <w:smallCaps w:val="0"/>
      <w:strike w:val="0"/>
      <w:spacing w:val="-50"/>
      <w:sz w:val="49"/>
      <w:szCs w:val="49"/>
      <w:shd w:val="clear" w:color="auto" w:fill="FFFFFF"/>
      <w:lang w:eastAsia="en-US"/>
    </w:rPr>
  </w:style>
  <w:style w:type="character" w:customStyle="1" w:styleId="TrebuchetMS18pt-1pt">
    <w:name w:val="Основной текст + Trebuchet MS;18 pt;Интервал -1 pt"/>
    <w:basedOn w:val="aff1"/>
    <w:rsid w:val="00811C95"/>
    <w:rPr>
      <w:rFonts w:ascii="Trebuchet MS" w:eastAsia="Trebuchet MS" w:hAnsi="Trebuchet MS" w:cs="Trebuchet MS"/>
      <w:b w:val="0"/>
      <w:bCs w:val="0"/>
      <w:i w:val="0"/>
      <w:iCs w:val="0"/>
      <w:smallCaps w:val="0"/>
      <w:strike w:val="0"/>
      <w:spacing w:val="-30"/>
      <w:sz w:val="36"/>
      <w:szCs w:val="36"/>
      <w:shd w:val="clear" w:color="auto" w:fill="FFFFFF"/>
    </w:rPr>
  </w:style>
  <w:style w:type="character" w:customStyle="1" w:styleId="PalatinoLinotype11pt0pt">
    <w:name w:val="Основной текст + Palatino Linotype;11 pt;Полужирный;Интервал 0 pt"/>
    <w:basedOn w:val="aff1"/>
    <w:rsid w:val="00811C95"/>
    <w:rPr>
      <w:rFonts w:ascii="Palatino Linotype" w:eastAsia="Palatino Linotype" w:hAnsi="Palatino Linotype" w:cs="Palatino Linotype"/>
      <w:b/>
      <w:bCs/>
      <w:i w:val="0"/>
      <w:iCs w:val="0"/>
      <w:smallCaps w:val="0"/>
      <w:strike w:val="0"/>
      <w:spacing w:val="0"/>
      <w:sz w:val="22"/>
      <w:szCs w:val="22"/>
      <w:shd w:val="clear" w:color="auto" w:fill="FFFFFF"/>
      <w:lang w:val="en-US"/>
    </w:rPr>
  </w:style>
  <w:style w:type="character" w:customStyle="1" w:styleId="139">
    <w:name w:val="Основной текст13"/>
    <w:basedOn w:val="aff1"/>
    <w:rsid w:val="00811C95"/>
    <w:rPr>
      <w:rFonts w:ascii="Gungsuh" w:eastAsia="Gungsuh" w:hAnsi="Gungsuh" w:cs="Gungsuh"/>
      <w:b w:val="0"/>
      <w:bCs w:val="0"/>
      <w:i w:val="0"/>
      <w:iCs w:val="0"/>
      <w:smallCaps w:val="0"/>
      <w:strike w:val="0"/>
      <w:spacing w:val="10"/>
      <w:sz w:val="23"/>
      <w:szCs w:val="23"/>
      <w:shd w:val="clear" w:color="auto" w:fill="FFFFFF"/>
    </w:rPr>
  </w:style>
  <w:style w:type="character" w:customStyle="1" w:styleId="149">
    <w:name w:val="Основной текст14"/>
    <w:basedOn w:val="aff1"/>
    <w:rsid w:val="00811C95"/>
    <w:rPr>
      <w:rFonts w:ascii="Gungsuh" w:eastAsia="Gungsuh" w:hAnsi="Gungsuh" w:cs="Gungsuh"/>
      <w:b w:val="0"/>
      <w:bCs w:val="0"/>
      <w:i w:val="0"/>
      <w:iCs w:val="0"/>
      <w:smallCaps w:val="0"/>
      <w:strike w:val="0"/>
      <w:spacing w:val="10"/>
      <w:sz w:val="23"/>
      <w:szCs w:val="23"/>
      <w:shd w:val="clear" w:color="auto" w:fill="FFFFFF"/>
    </w:rPr>
  </w:style>
  <w:style w:type="character" w:customStyle="1" w:styleId="15b">
    <w:name w:val="Основной текст15"/>
    <w:basedOn w:val="aff1"/>
    <w:rsid w:val="00811C95"/>
    <w:rPr>
      <w:rFonts w:ascii="Gungsuh" w:eastAsia="Gungsuh" w:hAnsi="Gungsuh" w:cs="Gungsuh"/>
      <w:b w:val="0"/>
      <w:bCs w:val="0"/>
      <w:i w:val="0"/>
      <w:iCs w:val="0"/>
      <w:smallCaps w:val="0"/>
      <w:strike w:val="0"/>
      <w:spacing w:val="10"/>
      <w:sz w:val="23"/>
      <w:szCs w:val="23"/>
      <w:shd w:val="clear" w:color="auto" w:fill="FFFFFF"/>
    </w:rPr>
  </w:style>
  <w:style w:type="character" w:customStyle="1" w:styleId="PalatinoLinotype10pt0pt">
    <w:name w:val="Основной текст + Palatino Linotype;10 pt;Полужирный;Курсив;Интервал 0 pt"/>
    <w:basedOn w:val="aff1"/>
    <w:rsid w:val="00811C95"/>
    <w:rPr>
      <w:rFonts w:ascii="Palatino Linotype" w:eastAsia="Palatino Linotype" w:hAnsi="Palatino Linotype" w:cs="Palatino Linotype"/>
      <w:b/>
      <w:bCs/>
      <w:i/>
      <w:iCs/>
      <w:smallCaps w:val="0"/>
      <w:strike w:val="0"/>
      <w:spacing w:val="0"/>
      <w:sz w:val="20"/>
      <w:szCs w:val="20"/>
      <w:shd w:val="clear" w:color="auto" w:fill="FFFFFF"/>
    </w:rPr>
  </w:style>
  <w:style w:type="character" w:customStyle="1" w:styleId="PalatinoLinotype13pt0pt">
    <w:name w:val="Основной текст + Palatino Linotype;13 pt;Интервал 0 pt"/>
    <w:basedOn w:val="aff1"/>
    <w:rsid w:val="00811C95"/>
    <w:rPr>
      <w:rFonts w:ascii="Palatino Linotype" w:eastAsia="Palatino Linotype" w:hAnsi="Palatino Linotype" w:cs="Palatino Linotype"/>
      <w:b w:val="0"/>
      <w:bCs w:val="0"/>
      <w:i w:val="0"/>
      <w:iCs w:val="0"/>
      <w:smallCaps w:val="0"/>
      <w:strike w:val="0"/>
      <w:spacing w:val="0"/>
      <w:sz w:val="26"/>
      <w:szCs w:val="26"/>
      <w:shd w:val="clear" w:color="auto" w:fill="FFFFFF"/>
    </w:rPr>
  </w:style>
  <w:style w:type="character" w:customStyle="1" w:styleId="8PalatinoLinotype10pt">
    <w:name w:val="Основной текст (8) + Palatino Linotype;10 pt;Полужирный;Курсив"/>
    <w:basedOn w:val="81"/>
    <w:rsid w:val="00811C95"/>
    <w:rPr>
      <w:rFonts w:ascii="Palatino Linotype" w:eastAsia="Palatino Linotype" w:hAnsi="Palatino Linotype" w:cs="Palatino Linotype"/>
      <w:b/>
      <w:bCs/>
      <w:i/>
      <w:iCs/>
      <w:smallCaps w:val="0"/>
      <w:strike w:val="0"/>
      <w:spacing w:val="0"/>
      <w:sz w:val="20"/>
      <w:szCs w:val="20"/>
      <w:shd w:val="clear" w:color="auto" w:fill="FFFFFF"/>
      <w:lang w:val="en-US"/>
    </w:rPr>
  </w:style>
  <w:style w:type="character" w:customStyle="1" w:styleId="22a">
    <w:name w:val="Основной текст22"/>
    <w:basedOn w:val="aff1"/>
    <w:rsid w:val="00811C95"/>
    <w:rPr>
      <w:rFonts w:ascii="Gungsuh" w:eastAsia="Gungsuh" w:hAnsi="Gungsuh" w:cs="Gungsuh"/>
      <w:b w:val="0"/>
      <w:bCs w:val="0"/>
      <w:i w:val="0"/>
      <w:iCs w:val="0"/>
      <w:smallCaps w:val="0"/>
      <w:strike w:val="0"/>
      <w:spacing w:val="10"/>
      <w:sz w:val="23"/>
      <w:szCs w:val="23"/>
      <w:shd w:val="clear" w:color="auto" w:fill="FFFFFF"/>
    </w:rPr>
  </w:style>
  <w:style w:type="character" w:customStyle="1" w:styleId="PalatinoLinotype21pt0pt">
    <w:name w:val="Колонтитул + Palatino Linotype;21 pt;Интервал 0 pt"/>
    <w:basedOn w:val="aff9"/>
    <w:rsid w:val="00811C95"/>
    <w:rPr>
      <w:rFonts w:ascii="Palatino Linotype" w:eastAsia="Palatino Linotype" w:hAnsi="Palatino Linotype" w:cs="Palatino Linotype"/>
      <w:b w:val="0"/>
      <w:bCs w:val="0"/>
      <w:i w:val="0"/>
      <w:iCs w:val="0"/>
      <w:smallCaps w:val="0"/>
      <w:strike w:val="0"/>
      <w:spacing w:val="-10"/>
      <w:sz w:val="42"/>
      <w:szCs w:val="42"/>
      <w:shd w:val="clear" w:color="auto" w:fill="FFFFFF"/>
      <w:lang w:eastAsia="en-US"/>
    </w:rPr>
  </w:style>
  <w:style w:type="character" w:customStyle="1" w:styleId="265">
    <w:name w:val="Основной текст26"/>
    <w:basedOn w:val="aff1"/>
    <w:rsid w:val="00811C95"/>
    <w:rPr>
      <w:rFonts w:ascii="Gungsuh" w:eastAsia="Gungsuh" w:hAnsi="Gungsuh" w:cs="Gungsuh"/>
      <w:b w:val="0"/>
      <w:bCs w:val="0"/>
      <w:i w:val="0"/>
      <w:iCs w:val="0"/>
      <w:smallCaps w:val="0"/>
      <w:strike w:val="0"/>
      <w:spacing w:val="10"/>
      <w:sz w:val="23"/>
      <w:szCs w:val="23"/>
      <w:shd w:val="clear" w:color="auto" w:fill="FFFFFF"/>
    </w:rPr>
  </w:style>
  <w:style w:type="character" w:customStyle="1" w:styleId="279">
    <w:name w:val="Основной текст27"/>
    <w:basedOn w:val="aff1"/>
    <w:rsid w:val="00811C95"/>
    <w:rPr>
      <w:rFonts w:ascii="Gungsuh" w:eastAsia="Gungsuh" w:hAnsi="Gungsuh" w:cs="Gungsuh"/>
      <w:b w:val="0"/>
      <w:bCs w:val="0"/>
      <w:i w:val="0"/>
      <w:iCs w:val="0"/>
      <w:smallCaps w:val="0"/>
      <w:strike w:val="0"/>
      <w:spacing w:val="10"/>
      <w:sz w:val="23"/>
      <w:szCs w:val="23"/>
      <w:shd w:val="clear" w:color="auto" w:fill="FFFFFF"/>
    </w:rPr>
  </w:style>
  <w:style w:type="character" w:customStyle="1" w:styleId="34pt0pt">
    <w:name w:val="Основной текст (3) + 4 pt;Не курсив;Интервал 0 pt"/>
    <w:basedOn w:val="35"/>
    <w:rsid w:val="00811C95"/>
    <w:rPr>
      <w:rFonts w:ascii="Arial Narrow" w:eastAsia="Arial Narrow" w:hAnsi="Arial Narrow" w:cs="Arial Narrow"/>
      <w:b w:val="0"/>
      <w:bCs w:val="0"/>
      <w:i/>
      <w:iCs/>
      <w:smallCaps w:val="0"/>
      <w:strike w:val="0"/>
      <w:spacing w:val="0"/>
      <w:w w:val="100"/>
      <w:sz w:val="8"/>
      <w:szCs w:val="8"/>
      <w:shd w:val="clear" w:color="auto" w:fill="FFFFFF"/>
    </w:rPr>
  </w:style>
  <w:style w:type="character" w:customStyle="1" w:styleId="286">
    <w:name w:val="Основной текст28"/>
    <w:basedOn w:val="aff1"/>
    <w:rsid w:val="00811C95"/>
    <w:rPr>
      <w:rFonts w:ascii="Gungsuh" w:eastAsia="Gungsuh" w:hAnsi="Gungsuh" w:cs="Gungsuh"/>
      <w:b w:val="0"/>
      <w:bCs w:val="0"/>
      <w:i w:val="0"/>
      <w:iCs w:val="0"/>
      <w:smallCaps w:val="0"/>
      <w:strike w:val="0"/>
      <w:spacing w:val="10"/>
      <w:sz w:val="23"/>
      <w:szCs w:val="23"/>
      <w:shd w:val="clear" w:color="auto" w:fill="FFFFFF"/>
    </w:rPr>
  </w:style>
  <w:style w:type="character" w:customStyle="1" w:styleId="ArialNarrow14pt0pt">
    <w:name w:val="Основной текст + Arial Narrow;14 pt;Полужирный;Интервал 0 pt"/>
    <w:basedOn w:val="aff1"/>
    <w:rsid w:val="00811C95"/>
    <w:rPr>
      <w:rFonts w:ascii="Arial Narrow" w:eastAsia="Arial Narrow" w:hAnsi="Arial Narrow" w:cs="Arial Narrow"/>
      <w:b/>
      <w:bCs/>
      <w:i w:val="0"/>
      <w:iCs w:val="0"/>
      <w:smallCaps w:val="0"/>
      <w:strike w:val="0"/>
      <w:spacing w:val="0"/>
      <w:sz w:val="28"/>
      <w:szCs w:val="28"/>
      <w:shd w:val="clear" w:color="auto" w:fill="FFFFFF"/>
    </w:rPr>
  </w:style>
  <w:style w:type="character" w:customStyle="1" w:styleId="294">
    <w:name w:val="Основной текст29"/>
    <w:basedOn w:val="aff1"/>
    <w:rsid w:val="00811C95"/>
    <w:rPr>
      <w:rFonts w:ascii="Gungsuh" w:eastAsia="Gungsuh" w:hAnsi="Gungsuh" w:cs="Gungsuh"/>
      <w:b w:val="0"/>
      <w:bCs w:val="0"/>
      <w:i w:val="0"/>
      <w:iCs w:val="0"/>
      <w:smallCaps w:val="0"/>
      <w:strike w:val="0"/>
      <w:spacing w:val="10"/>
      <w:sz w:val="23"/>
      <w:szCs w:val="23"/>
      <w:shd w:val="clear" w:color="auto" w:fill="FFFFFF"/>
    </w:rPr>
  </w:style>
  <w:style w:type="character" w:customStyle="1" w:styleId="3-1pt2">
    <w:name w:val="Заголовок №3 + Интервал -1 pt"/>
    <w:basedOn w:val="3c"/>
    <w:rsid w:val="00811C95"/>
    <w:rPr>
      <w:rFonts w:ascii="Arial Narrow" w:eastAsia="Arial Narrow" w:hAnsi="Arial Narrow" w:cs="Arial Narrow"/>
      <w:b w:val="0"/>
      <w:bCs w:val="0"/>
      <w:i w:val="0"/>
      <w:iCs w:val="0"/>
      <w:smallCaps w:val="0"/>
      <w:strike w:val="0"/>
      <w:spacing w:val="-30"/>
      <w:w w:val="100"/>
      <w:sz w:val="27"/>
      <w:szCs w:val="27"/>
      <w:shd w:val="clear" w:color="auto" w:fill="FFFFFF"/>
      <w:lang w:eastAsia="en-US"/>
    </w:rPr>
  </w:style>
  <w:style w:type="character" w:customStyle="1" w:styleId="15ArialNarrow14pt0pt">
    <w:name w:val="Основной текст (15) + Arial Narrow;14 pt;Полужирный;Интервал 0 pt"/>
    <w:basedOn w:val="153"/>
    <w:rsid w:val="00811C95"/>
    <w:rPr>
      <w:rFonts w:ascii="Arial Narrow" w:eastAsia="Arial Narrow" w:hAnsi="Arial Narrow" w:cs="Arial Narrow"/>
      <w:b/>
      <w:bCs/>
      <w:i w:val="0"/>
      <w:iCs w:val="0"/>
      <w:smallCaps w:val="0"/>
      <w:strike w:val="0"/>
      <w:spacing w:val="0"/>
      <w:sz w:val="28"/>
      <w:szCs w:val="28"/>
    </w:rPr>
  </w:style>
  <w:style w:type="character" w:customStyle="1" w:styleId="307">
    <w:name w:val="Основной текст30"/>
    <w:basedOn w:val="aff1"/>
    <w:rsid w:val="00811C95"/>
    <w:rPr>
      <w:rFonts w:ascii="Gungsuh" w:eastAsia="Gungsuh" w:hAnsi="Gungsuh" w:cs="Gungsuh"/>
      <w:b w:val="0"/>
      <w:bCs w:val="0"/>
      <w:i w:val="0"/>
      <w:iCs w:val="0"/>
      <w:smallCaps w:val="0"/>
      <w:strike w:val="0"/>
      <w:spacing w:val="10"/>
      <w:sz w:val="23"/>
      <w:szCs w:val="23"/>
      <w:shd w:val="clear" w:color="auto" w:fill="FFFFFF"/>
    </w:rPr>
  </w:style>
  <w:style w:type="character" w:customStyle="1" w:styleId="ArialNarrow0">
    <w:name w:val="Подпись к картинке + Arial Narrow;Не полужирный;Не курсив"/>
    <w:basedOn w:val="affc"/>
    <w:rsid w:val="00811C95"/>
    <w:rPr>
      <w:rFonts w:ascii="Arial Narrow" w:eastAsia="Arial Narrow" w:hAnsi="Arial Narrow" w:cs="Arial Narrow"/>
      <w:b/>
      <w:bCs/>
      <w:i/>
      <w:iCs/>
      <w:smallCaps w:val="0"/>
      <w:strike w:val="0"/>
      <w:spacing w:val="0"/>
      <w:sz w:val="20"/>
      <w:szCs w:val="20"/>
      <w:shd w:val="clear" w:color="auto" w:fill="FFFFFF"/>
      <w:lang w:val="en-US" w:eastAsia="en-US"/>
    </w:rPr>
  </w:style>
  <w:style w:type="character" w:customStyle="1" w:styleId="data">
    <w:name w:val="data"/>
    <w:basedOn w:val="a0"/>
    <w:rsid w:val="00811C95"/>
  </w:style>
  <w:style w:type="character" w:customStyle="1" w:styleId="b-articleintro">
    <w:name w:val="b-article__intro"/>
    <w:basedOn w:val="a0"/>
    <w:rsid w:val="00811C95"/>
  </w:style>
  <w:style w:type="paragraph" w:customStyle="1" w:styleId="b-incuttext">
    <w:name w:val="b-incut__text"/>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b-incutreadmore">
    <w:name w:val="b-incut__read_more"/>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b-incutphotogallerypicsrc">
    <w:name w:val="b-incut__photogallery__pic_src"/>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galleryphotodescriptiontext">
    <w:name w:val="gallery__photo_description_text"/>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galleryphotosrc">
    <w:name w:val="gallery__photo_src"/>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articledecorationfirst">
    <w:name w:val="article_decoration_first"/>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ri">
    <w:name w:val="ri"/>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ipsreputationcount">
    <w:name w:val="ipsreputation_count"/>
    <w:basedOn w:val="a0"/>
    <w:rsid w:val="00811C95"/>
  </w:style>
  <w:style w:type="character" w:customStyle="1" w:styleId="ipsrepbadge">
    <w:name w:val="ipsrepbadge"/>
    <w:basedOn w:val="a0"/>
    <w:rsid w:val="00811C95"/>
  </w:style>
  <w:style w:type="paragraph" w:customStyle="1" w:styleId="ipstypereset">
    <w:name w:val="ipstype_reset"/>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Pa151">
    <w:name w:val="Pa15+1"/>
    <w:basedOn w:val="Default"/>
    <w:next w:val="Default"/>
    <w:uiPriority w:val="99"/>
    <w:rsid w:val="00811C95"/>
    <w:pPr>
      <w:spacing w:line="201" w:lineRule="atLeast"/>
    </w:pPr>
    <w:rPr>
      <w:rFonts w:ascii="OfficinaSansC" w:eastAsiaTheme="minorHAnsi" w:hAnsi="OfficinaSansC" w:cstheme="minorBidi"/>
      <w:color w:val="auto"/>
    </w:rPr>
  </w:style>
  <w:style w:type="paragraph" w:customStyle="1" w:styleId="Pa351">
    <w:name w:val="Pa35+1"/>
    <w:basedOn w:val="Default"/>
    <w:next w:val="Default"/>
    <w:uiPriority w:val="99"/>
    <w:rsid w:val="00811C95"/>
    <w:pPr>
      <w:spacing w:line="441" w:lineRule="atLeast"/>
    </w:pPr>
    <w:rPr>
      <w:rFonts w:ascii="NewtonXC" w:eastAsiaTheme="minorHAnsi" w:hAnsi="NewtonXC" w:cstheme="minorBidi"/>
      <w:color w:val="auto"/>
    </w:rPr>
  </w:style>
  <w:style w:type="character" w:customStyle="1" w:styleId="A191">
    <w:name w:val="A19+1"/>
    <w:uiPriority w:val="99"/>
    <w:rsid w:val="00811C95"/>
    <w:rPr>
      <w:rFonts w:cs="NewtonXC"/>
      <w:color w:val="000000"/>
      <w:sz w:val="26"/>
      <w:szCs w:val="26"/>
    </w:rPr>
  </w:style>
  <w:style w:type="paragraph" w:customStyle="1" w:styleId="Pa361">
    <w:name w:val="Pa36+1"/>
    <w:basedOn w:val="Default"/>
    <w:next w:val="Default"/>
    <w:uiPriority w:val="99"/>
    <w:rsid w:val="00811C95"/>
    <w:pPr>
      <w:spacing w:line="441" w:lineRule="atLeast"/>
    </w:pPr>
    <w:rPr>
      <w:rFonts w:ascii="NewtonXC" w:eastAsiaTheme="minorHAnsi" w:hAnsi="NewtonXC" w:cstheme="minorBidi"/>
      <w:color w:val="auto"/>
    </w:rPr>
  </w:style>
  <w:style w:type="character" w:customStyle="1" w:styleId="A181">
    <w:name w:val="A18+1"/>
    <w:uiPriority w:val="99"/>
    <w:rsid w:val="00811C95"/>
    <w:rPr>
      <w:rFonts w:cs="NewtonXC"/>
      <w:color w:val="000000"/>
      <w:sz w:val="48"/>
      <w:szCs w:val="48"/>
    </w:rPr>
  </w:style>
  <w:style w:type="character" w:customStyle="1" w:styleId="A21">
    <w:name w:val="A2+1"/>
    <w:uiPriority w:val="99"/>
    <w:rsid w:val="00811C95"/>
    <w:rPr>
      <w:rFonts w:cs="OfficinaSansC"/>
      <w:color w:val="000000"/>
      <w:sz w:val="19"/>
      <w:szCs w:val="19"/>
    </w:rPr>
  </w:style>
  <w:style w:type="character" w:customStyle="1" w:styleId="6pt3">
    <w:name w:val="Подпись к картинке + 6 pt;Не полужирный"/>
    <w:basedOn w:val="affc"/>
    <w:rsid w:val="00811C95"/>
    <w:rPr>
      <w:rFonts w:ascii="Arial Narrow" w:eastAsia="Arial Narrow" w:hAnsi="Arial Narrow" w:cs="Arial Narrow"/>
      <w:b/>
      <w:bCs/>
      <w:i w:val="0"/>
      <w:iCs w:val="0"/>
      <w:smallCaps w:val="0"/>
      <w:strike w:val="0"/>
      <w:spacing w:val="0"/>
      <w:sz w:val="12"/>
      <w:szCs w:val="12"/>
      <w:shd w:val="clear" w:color="auto" w:fill="FFFFFF"/>
      <w:lang w:eastAsia="en-US"/>
    </w:rPr>
  </w:style>
  <w:style w:type="character" w:customStyle="1" w:styleId="Tahoma10pt">
    <w:name w:val="Основной текст + Tahoma;10 pt;Полужирный"/>
    <w:basedOn w:val="aff1"/>
    <w:rsid w:val="00811C95"/>
    <w:rPr>
      <w:rFonts w:ascii="Tahoma" w:eastAsia="Tahoma" w:hAnsi="Tahoma" w:cs="Tahoma"/>
      <w:b/>
      <w:bCs/>
      <w:i w:val="0"/>
      <w:iCs w:val="0"/>
      <w:smallCaps w:val="0"/>
      <w:strike w:val="0"/>
      <w:spacing w:val="0"/>
      <w:w w:val="100"/>
      <w:sz w:val="20"/>
      <w:szCs w:val="20"/>
      <w:shd w:val="clear" w:color="auto" w:fill="FFFFFF"/>
    </w:rPr>
  </w:style>
  <w:style w:type="character" w:customStyle="1" w:styleId="210pt">
    <w:name w:val="Основной текст (2) + 10 pt;Полужирный"/>
    <w:basedOn w:val="2a"/>
    <w:rsid w:val="00811C95"/>
    <w:rPr>
      <w:rFonts w:ascii="Arial Narrow" w:eastAsia="Arial Narrow" w:hAnsi="Arial Narrow" w:cs="Arial Narrow"/>
      <w:b/>
      <w:bCs/>
      <w:i w:val="0"/>
      <w:iCs w:val="0"/>
      <w:smallCaps w:val="0"/>
      <w:strike w:val="0"/>
      <w:spacing w:val="0"/>
      <w:w w:val="100"/>
      <w:sz w:val="20"/>
      <w:szCs w:val="20"/>
      <w:shd w:val="clear" w:color="auto" w:fill="FFFFFF"/>
      <w:lang w:eastAsia="en-US"/>
    </w:rPr>
  </w:style>
  <w:style w:type="character" w:customStyle="1" w:styleId="29pt0">
    <w:name w:val="Основной текст (2) + 9 pt;Полужирный"/>
    <w:basedOn w:val="2a"/>
    <w:rsid w:val="00811C95"/>
    <w:rPr>
      <w:rFonts w:ascii="Arial Narrow" w:eastAsia="Arial Narrow" w:hAnsi="Arial Narrow" w:cs="Arial Narrow"/>
      <w:b/>
      <w:bCs/>
      <w:i w:val="0"/>
      <w:iCs w:val="0"/>
      <w:smallCaps w:val="0"/>
      <w:strike w:val="0"/>
      <w:spacing w:val="0"/>
      <w:w w:val="100"/>
      <w:sz w:val="18"/>
      <w:szCs w:val="18"/>
      <w:shd w:val="clear" w:color="auto" w:fill="FFFFFF"/>
      <w:lang w:eastAsia="en-US"/>
    </w:rPr>
  </w:style>
  <w:style w:type="character" w:customStyle="1" w:styleId="2ff6">
    <w:name w:val="Основной текст (2) + Полужирный"/>
    <w:basedOn w:val="2a"/>
    <w:rsid w:val="00811C95"/>
    <w:rPr>
      <w:rFonts w:ascii="Arial Narrow" w:eastAsia="Arial Narrow" w:hAnsi="Arial Narrow" w:cs="Arial Narrow"/>
      <w:b/>
      <w:bCs/>
      <w:i w:val="0"/>
      <w:iCs w:val="0"/>
      <w:smallCaps w:val="0"/>
      <w:strike w:val="0"/>
      <w:spacing w:val="0"/>
      <w:w w:val="100"/>
      <w:sz w:val="19"/>
      <w:szCs w:val="19"/>
      <w:shd w:val="clear" w:color="auto" w:fill="FFFFFF"/>
      <w:lang w:eastAsia="en-US"/>
    </w:rPr>
  </w:style>
  <w:style w:type="character" w:customStyle="1" w:styleId="13-1pt">
    <w:name w:val="Основной текст (13) + Интервал -1 pt"/>
    <w:basedOn w:val="132"/>
    <w:rsid w:val="00811C95"/>
    <w:rPr>
      <w:rFonts w:ascii="Franklin Gothic Book" w:eastAsia="Franklin Gothic Book" w:hAnsi="Franklin Gothic Book" w:cs="Franklin Gothic Book"/>
      <w:b w:val="0"/>
      <w:bCs w:val="0"/>
      <w:i w:val="0"/>
      <w:iCs w:val="0"/>
      <w:smallCaps w:val="0"/>
      <w:strike w:val="0"/>
      <w:spacing w:val="-30"/>
      <w:sz w:val="25"/>
      <w:szCs w:val="25"/>
      <w:u w:val="single"/>
      <w:shd w:val="clear" w:color="auto" w:fill="FFFFFF"/>
    </w:rPr>
  </w:style>
  <w:style w:type="character" w:customStyle="1" w:styleId="61pt">
    <w:name w:val="Основной текст (6) + Интервал 1 pt"/>
    <w:basedOn w:val="67"/>
    <w:rsid w:val="00811C95"/>
    <w:rPr>
      <w:rFonts w:ascii="Arial Narrow" w:eastAsia="Arial Narrow" w:hAnsi="Arial Narrow" w:cs="Arial Narrow"/>
      <w:b w:val="0"/>
      <w:bCs w:val="0"/>
      <w:i w:val="0"/>
      <w:iCs w:val="0"/>
      <w:smallCaps w:val="0"/>
      <w:strike w:val="0"/>
      <w:spacing w:val="20"/>
      <w:sz w:val="15"/>
      <w:szCs w:val="15"/>
      <w:shd w:val="clear" w:color="auto" w:fill="FFFFFF"/>
    </w:rPr>
  </w:style>
  <w:style w:type="character" w:customStyle="1" w:styleId="285pt">
    <w:name w:val="Основной текст (2) + 8;5 pt"/>
    <w:basedOn w:val="2a"/>
    <w:rsid w:val="00811C95"/>
    <w:rPr>
      <w:rFonts w:ascii="Arial Narrow" w:eastAsia="Arial Narrow" w:hAnsi="Arial Narrow" w:cs="Arial Narrow"/>
      <w:b w:val="0"/>
      <w:bCs w:val="0"/>
      <w:i w:val="0"/>
      <w:iCs w:val="0"/>
      <w:smallCaps w:val="0"/>
      <w:strike w:val="0"/>
      <w:spacing w:val="0"/>
      <w:w w:val="100"/>
      <w:sz w:val="17"/>
      <w:szCs w:val="17"/>
      <w:shd w:val="clear" w:color="auto" w:fill="FFFFFF"/>
      <w:lang w:eastAsia="en-US"/>
    </w:rPr>
  </w:style>
  <w:style w:type="character" w:customStyle="1" w:styleId="210pt0pt">
    <w:name w:val="Основной текст (2) + 10 pt;Полужирный;Интервал 0 pt"/>
    <w:basedOn w:val="2a"/>
    <w:rsid w:val="00811C95"/>
    <w:rPr>
      <w:rFonts w:ascii="Arial Narrow" w:eastAsia="Arial Narrow" w:hAnsi="Arial Narrow" w:cs="Arial Narrow"/>
      <w:b/>
      <w:bCs/>
      <w:i w:val="0"/>
      <w:iCs w:val="0"/>
      <w:smallCaps w:val="0"/>
      <w:strike w:val="0"/>
      <w:spacing w:val="-10"/>
      <w:w w:val="100"/>
      <w:sz w:val="20"/>
      <w:szCs w:val="20"/>
      <w:shd w:val="clear" w:color="auto" w:fill="FFFFFF"/>
      <w:lang w:eastAsia="en-US"/>
    </w:rPr>
  </w:style>
  <w:style w:type="character" w:customStyle="1" w:styleId="20pt0">
    <w:name w:val="Основной текст (2) + Полужирный;Интервал 0 pt"/>
    <w:basedOn w:val="2a"/>
    <w:rsid w:val="00811C95"/>
    <w:rPr>
      <w:rFonts w:ascii="Arial Narrow" w:eastAsia="Arial Narrow" w:hAnsi="Arial Narrow" w:cs="Arial Narrow"/>
      <w:b/>
      <w:bCs/>
      <w:i w:val="0"/>
      <w:iCs w:val="0"/>
      <w:smallCaps w:val="0"/>
      <w:strike w:val="0"/>
      <w:spacing w:val="-10"/>
      <w:w w:val="100"/>
      <w:sz w:val="19"/>
      <w:szCs w:val="19"/>
      <w:shd w:val="clear" w:color="auto" w:fill="FFFFFF"/>
      <w:lang w:eastAsia="en-US"/>
    </w:rPr>
  </w:style>
  <w:style w:type="character" w:customStyle="1" w:styleId="9pt5">
    <w:name w:val="Основной текст + 9 pt;Полужирный;Курсив"/>
    <w:basedOn w:val="aff1"/>
    <w:rsid w:val="00811C95"/>
    <w:rPr>
      <w:rFonts w:ascii="Arial Narrow" w:eastAsia="Arial Narrow" w:hAnsi="Arial Narrow" w:cs="Arial Narrow"/>
      <w:b/>
      <w:bCs/>
      <w:i/>
      <w:iCs/>
      <w:smallCaps w:val="0"/>
      <w:strike w:val="0"/>
      <w:spacing w:val="0"/>
      <w:w w:val="100"/>
      <w:sz w:val="18"/>
      <w:szCs w:val="18"/>
      <w:shd w:val="clear" w:color="auto" w:fill="FFFFFF"/>
    </w:rPr>
  </w:style>
  <w:style w:type="character" w:customStyle="1" w:styleId="95pt2">
    <w:name w:val="Основной текст + 9;5 pt;Полужирный"/>
    <w:basedOn w:val="aff1"/>
    <w:rsid w:val="00811C95"/>
    <w:rPr>
      <w:rFonts w:ascii="Arial Narrow" w:eastAsia="Arial Narrow" w:hAnsi="Arial Narrow" w:cs="Arial Narrow"/>
      <w:b/>
      <w:bCs/>
      <w:i w:val="0"/>
      <w:iCs w:val="0"/>
      <w:smallCaps w:val="0"/>
      <w:strike w:val="0"/>
      <w:spacing w:val="0"/>
      <w:w w:val="100"/>
      <w:sz w:val="19"/>
      <w:szCs w:val="19"/>
      <w:shd w:val="clear" w:color="auto" w:fill="FFFFFF"/>
    </w:rPr>
  </w:style>
  <w:style w:type="character" w:customStyle="1" w:styleId="SegoeUI145pt">
    <w:name w:val="Основной текст + Segoe UI;14;5 pt"/>
    <w:basedOn w:val="aff1"/>
    <w:rsid w:val="00811C95"/>
    <w:rPr>
      <w:rFonts w:ascii="Segoe UI" w:eastAsia="Segoe UI" w:hAnsi="Segoe UI" w:cs="Segoe UI"/>
      <w:b w:val="0"/>
      <w:bCs w:val="0"/>
      <w:i w:val="0"/>
      <w:iCs w:val="0"/>
      <w:smallCaps w:val="0"/>
      <w:strike w:val="0"/>
      <w:spacing w:val="0"/>
      <w:w w:val="100"/>
      <w:sz w:val="29"/>
      <w:szCs w:val="29"/>
      <w:shd w:val="clear" w:color="auto" w:fill="FFFFFF"/>
    </w:rPr>
  </w:style>
  <w:style w:type="character" w:customStyle="1" w:styleId="14pt0">
    <w:name w:val="Основной текст + 14 pt;Полужирный;Курсив"/>
    <w:basedOn w:val="aff1"/>
    <w:rsid w:val="00811C95"/>
    <w:rPr>
      <w:rFonts w:ascii="Arial Narrow" w:eastAsia="Arial Narrow" w:hAnsi="Arial Narrow" w:cs="Arial Narrow"/>
      <w:b/>
      <w:bCs/>
      <w:i/>
      <w:iCs/>
      <w:smallCaps w:val="0"/>
      <w:strike w:val="0"/>
      <w:spacing w:val="0"/>
      <w:w w:val="100"/>
      <w:sz w:val="28"/>
      <w:szCs w:val="28"/>
      <w:shd w:val="clear" w:color="auto" w:fill="FFFFFF"/>
      <w:lang w:val="en-US"/>
    </w:rPr>
  </w:style>
  <w:style w:type="character" w:customStyle="1" w:styleId="166">
    <w:name w:val="Основной текст (16) + Не курсив"/>
    <w:basedOn w:val="162"/>
    <w:rsid w:val="00811C95"/>
    <w:rPr>
      <w:rFonts w:ascii="Arial Narrow" w:eastAsia="Arial Narrow" w:hAnsi="Arial Narrow" w:cs="Arial Narrow"/>
      <w:b w:val="0"/>
      <w:bCs w:val="0"/>
      <w:i/>
      <w:iCs/>
      <w:smallCaps w:val="0"/>
      <w:strike w:val="0"/>
      <w:spacing w:val="0"/>
      <w:w w:val="100"/>
      <w:sz w:val="17"/>
      <w:szCs w:val="17"/>
    </w:rPr>
  </w:style>
  <w:style w:type="character" w:customStyle="1" w:styleId="167">
    <w:name w:val="Основной текст (16) + Малые прописные"/>
    <w:basedOn w:val="162"/>
    <w:rsid w:val="00811C95"/>
    <w:rPr>
      <w:rFonts w:ascii="Arial Narrow" w:eastAsia="Arial Narrow" w:hAnsi="Arial Narrow" w:cs="Arial Narrow"/>
      <w:b w:val="0"/>
      <w:bCs w:val="0"/>
      <w:i w:val="0"/>
      <w:iCs w:val="0"/>
      <w:smallCaps/>
      <w:strike w:val="0"/>
      <w:spacing w:val="0"/>
      <w:w w:val="100"/>
      <w:sz w:val="17"/>
      <w:szCs w:val="17"/>
    </w:rPr>
  </w:style>
  <w:style w:type="character" w:customStyle="1" w:styleId="161pt">
    <w:name w:val="Основной текст (16) + Малые прописные;Интервал 1 pt"/>
    <w:basedOn w:val="162"/>
    <w:rsid w:val="00811C95"/>
    <w:rPr>
      <w:rFonts w:ascii="Arial Narrow" w:eastAsia="Arial Narrow" w:hAnsi="Arial Narrow" w:cs="Arial Narrow"/>
      <w:b w:val="0"/>
      <w:bCs w:val="0"/>
      <w:i w:val="0"/>
      <w:iCs w:val="0"/>
      <w:smallCaps/>
      <w:strike w:val="0"/>
      <w:spacing w:val="20"/>
      <w:w w:val="100"/>
      <w:sz w:val="17"/>
      <w:szCs w:val="17"/>
    </w:rPr>
  </w:style>
  <w:style w:type="character" w:customStyle="1" w:styleId="Tahoma105pt">
    <w:name w:val="Основной текст + Tahoma;10;5 pt;Полужирный"/>
    <w:basedOn w:val="aff1"/>
    <w:rsid w:val="00811C95"/>
    <w:rPr>
      <w:rFonts w:ascii="Tahoma" w:eastAsia="Tahoma" w:hAnsi="Tahoma" w:cs="Tahoma"/>
      <w:b/>
      <w:bCs/>
      <w:i w:val="0"/>
      <w:iCs w:val="0"/>
      <w:smallCaps w:val="0"/>
      <w:strike w:val="0"/>
      <w:spacing w:val="0"/>
      <w:w w:val="100"/>
      <w:sz w:val="21"/>
      <w:szCs w:val="21"/>
      <w:shd w:val="clear" w:color="auto" w:fill="FFFFFF"/>
      <w:lang w:val="en-US"/>
    </w:rPr>
  </w:style>
  <w:style w:type="character" w:customStyle="1" w:styleId="1695pt-1pt">
    <w:name w:val="Основной текст (16) + 9;5 pt;Полужирный;Не курсив;Интервал -1 pt"/>
    <w:basedOn w:val="162"/>
    <w:rsid w:val="00811C95"/>
    <w:rPr>
      <w:rFonts w:ascii="Arial Narrow" w:eastAsia="Arial Narrow" w:hAnsi="Arial Narrow" w:cs="Arial Narrow"/>
      <w:b/>
      <w:bCs/>
      <w:i/>
      <w:iCs/>
      <w:smallCaps w:val="0"/>
      <w:strike w:val="0"/>
      <w:spacing w:val="-20"/>
      <w:w w:val="100"/>
      <w:sz w:val="19"/>
      <w:szCs w:val="19"/>
    </w:rPr>
  </w:style>
  <w:style w:type="character" w:customStyle="1" w:styleId="165pt">
    <w:name w:val="Основной текст (16) + Интервал 5 pt"/>
    <w:basedOn w:val="162"/>
    <w:rsid w:val="00811C95"/>
    <w:rPr>
      <w:rFonts w:ascii="Arial Narrow" w:eastAsia="Arial Narrow" w:hAnsi="Arial Narrow" w:cs="Arial Narrow"/>
      <w:b w:val="0"/>
      <w:bCs w:val="0"/>
      <w:i w:val="0"/>
      <w:iCs w:val="0"/>
      <w:smallCaps w:val="0"/>
      <w:strike w:val="0"/>
      <w:spacing w:val="110"/>
      <w:w w:val="100"/>
      <w:sz w:val="17"/>
      <w:szCs w:val="17"/>
    </w:rPr>
  </w:style>
  <w:style w:type="character" w:customStyle="1" w:styleId="1636pt">
    <w:name w:val="Основной текст (16) + 36 pt;Не курсив"/>
    <w:basedOn w:val="162"/>
    <w:rsid w:val="00811C95"/>
    <w:rPr>
      <w:rFonts w:ascii="Arial Narrow" w:eastAsia="Arial Narrow" w:hAnsi="Arial Narrow" w:cs="Arial Narrow"/>
      <w:b w:val="0"/>
      <w:bCs w:val="0"/>
      <w:i/>
      <w:iCs/>
      <w:smallCaps w:val="0"/>
      <w:strike w:val="0"/>
      <w:color w:val="FFFFFF"/>
      <w:spacing w:val="0"/>
      <w:w w:val="100"/>
      <w:sz w:val="72"/>
      <w:szCs w:val="72"/>
    </w:rPr>
  </w:style>
  <w:style w:type="character" w:customStyle="1" w:styleId="95pt-1pt0">
    <w:name w:val="Оглавление + 9;5 pt;Полужирный;Интервал -1 pt"/>
    <w:basedOn w:val="afff8"/>
    <w:rsid w:val="00811C95"/>
    <w:rPr>
      <w:rFonts w:ascii="Arial Narrow" w:eastAsia="Arial Narrow" w:hAnsi="Arial Narrow" w:cs="Arial Narrow"/>
      <w:b/>
      <w:bCs/>
      <w:i w:val="0"/>
      <w:iCs w:val="0"/>
      <w:smallCaps w:val="0"/>
      <w:strike w:val="0"/>
      <w:spacing w:val="-20"/>
      <w:w w:val="100"/>
      <w:sz w:val="19"/>
      <w:szCs w:val="19"/>
      <w:shd w:val="clear" w:color="auto" w:fill="FFFFFF"/>
    </w:rPr>
  </w:style>
  <w:style w:type="character" w:customStyle="1" w:styleId="16Tahoma105pt">
    <w:name w:val="Основной текст (16) + Tahoma;10;5 pt;Полужирный;Не курсив"/>
    <w:basedOn w:val="162"/>
    <w:rsid w:val="00811C95"/>
    <w:rPr>
      <w:rFonts w:ascii="Tahoma" w:eastAsia="Tahoma" w:hAnsi="Tahoma" w:cs="Tahoma"/>
      <w:b/>
      <w:bCs/>
      <w:i/>
      <w:iCs/>
      <w:smallCaps w:val="0"/>
      <w:strike w:val="0"/>
      <w:spacing w:val="0"/>
      <w:w w:val="100"/>
      <w:sz w:val="21"/>
      <w:szCs w:val="21"/>
      <w:lang w:val="en-US"/>
    </w:rPr>
  </w:style>
  <w:style w:type="character" w:customStyle="1" w:styleId="1612pt-1pt">
    <w:name w:val="Основной текст (16) + 12 pt;Не курсив;Интервал -1 pt"/>
    <w:basedOn w:val="162"/>
    <w:rsid w:val="00811C95"/>
    <w:rPr>
      <w:rFonts w:ascii="Arial Narrow" w:eastAsia="Arial Narrow" w:hAnsi="Arial Narrow" w:cs="Arial Narrow"/>
      <w:b w:val="0"/>
      <w:bCs w:val="0"/>
      <w:i/>
      <w:iCs/>
      <w:smallCaps w:val="0"/>
      <w:strike w:val="0"/>
      <w:spacing w:val="-20"/>
      <w:w w:val="100"/>
      <w:sz w:val="24"/>
      <w:szCs w:val="24"/>
    </w:rPr>
  </w:style>
  <w:style w:type="character" w:customStyle="1" w:styleId="Gungsuh65pt0pt">
    <w:name w:val="Основной текст + Gungsuh;6;5 pt;Полужирный;Интервал 0 pt"/>
    <w:basedOn w:val="aff1"/>
    <w:rsid w:val="00811C95"/>
    <w:rPr>
      <w:rFonts w:ascii="Gungsuh" w:eastAsia="Gungsuh" w:hAnsi="Gungsuh" w:cs="Gungsuh"/>
      <w:b/>
      <w:bCs/>
      <w:i w:val="0"/>
      <w:iCs w:val="0"/>
      <w:smallCaps w:val="0"/>
      <w:strike w:val="0"/>
      <w:spacing w:val="10"/>
      <w:w w:val="100"/>
      <w:sz w:val="13"/>
      <w:szCs w:val="13"/>
      <w:shd w:val="clear" w:color="auto" w:fill="FFFFFF"/>
    </w:rPr>
  </w:style>
  <w:style w:type="character" w:customStyle="1" w:styleId="8pt3">
    <w:name w:val="Основной текст + 8 pt;Курсив"/>
    <w:basedOn w:val="aff1"/>
    <w:rsid w:val="00811C95"/>
    <w:rPr>
      <w:rFonts w:ascii="Arial Narrow" w:eastAsia="Arial Narrow" w:hAnsi="Arial Narrow" w:cs="Arial Narrow"/>
      <w:b w:val="0"/>
      <w:bCs w:val="0"/>
      <w:i/>
      <w:iCs/>
      <w:smallCaps w:val="0"/>
      <w:strike w:val="0"/>
      <w:spacing w:val="0"/>
      <w:w w:val="100"/>
      <w:sz w:val="16"/>
      <w:szCs w:val="16"/>
      <w:shd w:val="clear" w:color="auto" w:fill="FFFFFF"/>
    </w:rPr>
  </w:style>
  <w:style w:type="character" w:customStyle="1" w:styleId="1695pt">
    <w:name w:val="Основной текст (16) + 9;5 pt;Полужирный"/>
    <w:basedOn w:val="162"/>
    <w:rsid w:val="00811C95"/>
    <w:rPr>
      <w:rFonts w:ascii="Arial Narrow" w:eastAsia="Arial Narrow" w:hAnsi="Arial Narrow" w:cs="Arial Narrow"/>
      <w:b/>
      <w:bCs/>
      <w:i w:val="0"/>
      <w:iCs w:val="0"/>
      <w:smallCaps w:val="0"/>
      <w:strike w:val="0"/>
      <w:spacing w:val="0"/>
      <w:w w:val="100"/>
      <w:sz w:val="19"/>
      <w:szCs w:val="19"/>
    </w:rPr>
  </w:style>
  <w:style w:type="character" w:customStyle="1" w:styleId="161pt0">
    <w:name w:val="Основной текст (16) + Интервал 1 pt"/>
    <w:basedOn w:val="162"/>
    <w:rsid w:val="00811C95"/>
    <w:rPr>
      <w:rFonts w:ascii="Arial Narrow" w:eastAsia="Arial Narrow" w:hAnsi="Arial Narrow" w:cs="Arial Narrow"/>
      <w:b w:val="0"/>
      <w:bCs w:val="0"/>
      <w:i w:val="0"/>
      <w:iCs w:val="0"/>
      <w:smallCaps w:val="0"/>
      <w:strike w:val="0"/>
      <w:spacing w:val="20"/>
      <w:w w:val="100"/>
      <w:sz w:val="17"/>
      <w:szCs w:val="17"/>
      <w:lang w:val="en-US"/>
    </w:rPr>
  </w:style>
  <w:style w:type="character" w:customStyle="1" w:styleId="295pt0">
    <w:name w:val="Основной текст + 29;5 pt;Полужирный"/>
    <w:basedOn w:val="aff1"/>
    <w:rsid w:val="00811C95"/>
    <w:rPr>
      <w:rFonts w:ascii="Arial Narrow" w:eastAsia="Arial Narrow" w:hAnsi="Arial Narrow" w:cs="Arial Narrow"/>
      <w:b/>
      <w:bCs/>
      <w:i w:val="0"/>
      <w:iCs w:val="0"/>
      <w:smallCaps w:val="0"/>
      <w:strike w:val="0"/>
      <w:spacing w:val="0"/>
      <w:w w:val="100"/>
      <w:sz w:val="59"/>
      <w:szCs w:val="59"/>
      <w:shd w:val="clear" w:color="auto" w:fill="FFFFFF"/>
    </w:rPr>
  </w:style>
  <w:style w:type="character" w:customStyle="1" w:styleId="affffff2">
    <w:name w:val="Подпись к картинке + Не полужирный"/>
    <w:basedOn w:val="affc"/>
    <w:rsid w:val="00811C95"/>
    <w:rPr>
      <w:rFonts w:ascii="Arial Narrow" w:eastAsia="Arial Narrow" w:hAnsi="Arial Narrow" w:cs="Arial Narrow"/>
      <w:b/>
      <w:bCs/>
      <w:i w:val="0"/>
      <w:iCs w:val="0"/>
      <w:smallCaps w:val="0"/>
      <w:strike w:val="0"/>
      <w:spacing w:val="0"/>
      <w:sz w:val="15"/>
      <w:szCs w:val="15"/>
      <w:shd w:val="clear" w:color="auto" w:fill="FFFFFF"/>
      <w:lang w:eastAsia="en-US"/>
    </w:rPr>
  </w:style>
  <w:style w:type="character" w:customStyle="1" w:styleId="95pt3">
    <w:name w:val="Основной текст + 9;5 pt;Курсив"/>
    <w:basedOn w:val="aff1"/>
    <w:rsid w:val="00811C95"/>
    <w:rPr>
      <w:rFonts w:ascii="Arial Narrow" w:eastAsia="Arial Narrow" w:hAnsi="Arial Narrow" w:cs="Arial Narrow"/>
      <w:b w:val="0"/>
      <w:bCs w:val="0"/>
      <w:i/>
      <w:iCs/>
      <w:smallCaps w:val="0"/>
      <w:strike w:val="0"/>
      <w:spacing w:val="0"/>
      <w:w w:val="100"/>
      <w:sz w:val="19"/>
      <w:szCs w:val="19"/>
      <w:shd w:val="clear" w:color="auto" w:fill="FFFFFF"/>
      <w:lang w:val="en-US"/>
    </w:rPr>
  </w:style>
  <w:style w:type="character" w:customStyle="1" w:styleId="26-1pt">
    <w:name w:val="Основной текст (26) + Интервал -1 pt"/>
    <w:basedOn w:val="260"/>
    <w:rsid w:val="00811C95"/>
    <w:rPr>
      <w:rFonts w:ascii="Arial Narrow" w:eastAsia="Arial Narrow" w:hAnsi="Arial Narrow" w:cs="Arial Narrow"/>
      <w:b w:val="0"/>
      <w:bCs w:val="0"/>
      <w:i w:val="0"/>
      <w:iCs w:val="0"/>
      <w:smallCaps w:val="0"/>
      <w:strike w:val="0"/>
      <w:spacing w:val="-20"/>
      <w:sz w:val="18"/>
      <w:szCs w:val="18"/>
      <w:u w:val="single"/>
      <w:shd w:val="clear" w:color="auto" w:fill="FFFFFF"/>
    </w:rPr>
  </w:style>
  <w:style w:type="character" w:customStyle="1" w:styleId="sr-only">
    <w:name w:val="sr-only"/>
    <w:basedOn w:val="a0"/>
    <w:rsid w:val="00811C95"/>
  </w:style>
  <w:style w:type="character" w:customStyle="1" w:styleId="responsive-hide">
    <w:name w:val="responsive-hide"/>
    <w:basedOn w:val="a0"/>
    <w:rsid w:val="00811C95"/>
  </w:style>
  <w:style w:type="character" w:customStyle="1" w:styleId="affffff3">
    <w:name w:val="Текст примечания Знак"/>
    <w:basedOn w:val="a0"/>
    <w:link w:val="affffff4"/>
    <w:uiPriority w:val="99"/>
    <w:semiHidden/>
    <w:rsid w:val="00811C95"/>
    <w:rPr>
      <w:rFonts w:asciiTheme="minorHAnsi" w:eastAsiaTheme="minorHAnsi" w:hAnsiTheme="minorHAnsi" w:cstheme="minorBidi"/>
      <w:lang w:eastAsia="en-US"/>
    </w:rPr>
  </w:style>
  <w:style w:type="paragraph" w:styleId="affffff4">
    <w:name w:val="annotation text"/>
    <w:basedOn w:val="a"/>
    <w:link w:val="affffff3"/>
    <w:uiPriority w:val="99"/>
    <w:semiHidden/>
    <w:unhideWhenUsed/>
    <w:rsid w:val="00811C95"/>
    <w:pPr>
      <w:spacing w:line="240" w:lineRule="auto"/>
    </w:pPr>
    <w:rPr>
      <w:rFonts w:asciiTheme="minorHAnsi" w:eastAsiaTheme="minorHAnsi" w:hAnsiTheme="minorHAnsi" w:cstheme="minorBidi"/>
      <w:sz w:val="20"/>
      <w:szCs w:val="20"/>
    </w:rPr>
  </w:style>
  <w:style w:type="character" w:customStyle="1" w:styleId="affffff5">
    <w:name w:val="Тема примечания Знак"/>
    <w:basedOn w:val="affffff3"/>
    <w:link w:val="affffff6"/>
    <w:uiPriority w:val="99"/>
    <w:semiHidden/>
    <w:rsid w:val="00811C95"/>
    <w:rPr>
      <w:rFonts w:asciiTheme="minorHAnsi" w:eastAsiaTheme="minorHAnsi" w:hAnsiTheme="minorHAnsi" w:cstheme="minorBidi"/>
      <w:b/>
      <w:bCs/>
      <w:lang w:eastAsia="en-US"/>
    </w:rPr>
  </w:style>
  <w:style w:type="paragraph" w:styleId="affffff6">
    <w:name w:val="annotation subject"/>
    <w:basedOn w:val="affffff4"/>
    <w:next w:val="affffff4"/>
    <w:link w:val="affffff5"/>
    <w:uiPriority w:val="99"/>
    <w:semiHidden/>
    <w:unhideWhenUsed/>
    <w:rsid w:val="00811C95"/>
    <w:rPr>
      <w:b/>
      <w:bCs/>
    </w:rPr>
  </w:style>
  <w:style w:type="character" w:customStyle="1" w:styleId="Consolas65pt">
    <w:name w:val="Основной текст + Consolas;6;5 pt;Полужирный"/>
    <w:basedOn w:val="aff1"/>
    <w:rsid w:val="00811C95"/>
    <w:rPr>
      <w:rFonts w:ascii="Consolas" w:eastAsia="Consolas" w:hAnsi="Consolas" w:cs="Consolas"/>
      <w:b/>
      <w:bCs/>
      <w:i w:val="0"/>
      <w:iCs w:val="0"/>
      <w:smallCaps w:val="0"/>
      <w:strike w:val="0"/>
      <w:spacing w:val="0"/>
      <w:sz w:val="13"/>
      <w:szCs w:val="13"/>
      <w:shd w:val="clear" w:color="auto" w:fill="FFFFFF"/>
    </w:rPr>
  </w:style>
  <w:style w:type="character" w:customStyle="1" w:styleId="8Gungsuh75pt">
    <w:name w:val="Основной текст (8) + Gungsuh;7;5 pt;Не полужирный"/>
    <w:basedOn w:val="81"/>
    <w:rsid w:val="00811C95"/>
    <w:rPr>
      <w:rFonts w:ascii="Gungsuh" w:eastAsia="Gungsuh" w:hAnsi="Gungsuh" w:cs="Gungsuh"/>
      <w:b/>
      <w:bCs/>
      <w:i w:val="0"/>
      <w:iCs w:val="0"/>
      <w:smallCaps w:val="0"/>
      <w:strike w:val="0"/>
      <w:spacing w:val="0"/>
      <w:sz w:val="15"/>
      <w:szCs w:val="15"/>
      <w:shd w:val="clear" w:color="auto" w:fill="FFFFFF"/>
    </w:rPr>
  </w:style>
  <w:style w:type="character" w:customStyle="1" w:styleId="Tahoma10pt1pt">
    <w:name w:val="Основной текст + Tahoma;10 pt;Курсив;Интервал 1 pt"/>
    <w:basedOn w:val="aff1"/>
    <w:rsid w:val="00811C95"/>
    <w:rPr>
      <w:rFonts w:ascii="Tahoma" w:eastAsia="Tahoma" w:hAnsi="Tahoma" w:cs="Tahoma"/>
      <w:b w:val="0"/>
      <w:bCs w:val="0"/>
      <w:i/>
      <w:iCs/>
      <w:smallCaps w:val="0"/>
      <w:strike w:val="0"/>
      <w:spacing w:val="20"/>
      <w:w w:val="100"/>
      <w:sz w:val="20"/>
      <w:szCs w:val="20"/>
      <w:shd w:val="clear" w:color="auto" w:fill="FFFFFF"/>
    </w:rPr>
  </w:style>
  <w:style w:type="character" w:customStyle="1" w:styleId="11pt3">
    <w:name w:val="Основной текст + Интервал 11 pt"/>
    <w:basedOn w:val="aff1"/>
    <w:rsid w:val="00811C95"/>
    <w:rPr>
      <w:rFonts w:ascii="Palatino Linotype" w:eastAsia="Palatino Linotype" w:hAnsi="Palatino Linotype" w:cs="Palatino Linotype"/>
      <w:b w:val="0"/>
      <w:bCs w:val="0"/>
      <w:i w:val="0"/>
      <w:iCs w:val="0"/>
      <w:smallCaps w:val="0"/>
      <w:strike w:val="0"/>
      <w:spacing w:val="220"/>
      <w:sz w:val="18"/>
      <w:szCs w:val="18"/>
      <w:shd w:val="clear" w:color="auto" w:fill="FFFFFF"/>
    </w:rPr>
  </w:style>
  <w:style w:type="character" w:customStyle="1" w:styleId="2ArialUnicodeMS95pt-1pt">
    <w:name w:val="Основной текст (2) + Arial Unicode MS;9;5 pt;Курсив;Интервал -1 pt"/>
    <w:basedOn w:val="2a"/>
    <w:rsid w:val="00811C95"/>
    <w:rPr>
      <w:rFonts w:ascii="Arial Unicode MS" w:eastAsia="Arial Unicode MS" w:hAnsi="Arial Unicode MS" w:cs="Arial Unicode MS"/>
      <w:b w:val="0"/>
      <w:bCs w:val="0"/>
      <w:i/>
      <w:iCs/>
      <w:smallCaps w:val="0"/>
      <w:strike w:val="0"/>
      <w:spacing w:val="-20"/>
      <w:sz w:val="19"/>
      <w:szCs w:val="19"/>
      <w:shd w:val="clear" w:color="auto" w:fill="FFFFFF"/>
      <w:lang w:eastAsia="en-US"/>
    </w:rPr>
  </w:style>
  <w:style w:type="character" w:customStyle="1" w:styleId="5pt0">
    <w:name w:val="Основной текст + 5 pt;Курсив"/>
    <w:basedOn w:val="aff1"/>
    <w:rsid w:val="00811C95"/>
    <w:rPr>
      <w:rFonts w:ascii="Palatino Linotype" w:eastAsia="Palatino Linotype" w:hAnsi="Palatino Linotype" w:cs="Palatino Linotype"/>
      <w:b w:val="0"/>
      <w:bCs w:val="0"/>
      <w:i/>
      <w:iCs/>
      <w:smallCaps w:val="0"/>
      <w:strike w:val="0"/>
      <w:spacing w:val="0"/>
      <w:sz w:val="10"/>
      <w:szCs w:val="10"/>
      <w:shd w:val="clear" w:color="auto" w:fill="FFFFFF"/>
    </w:rPr>
  </w:style>
  <w:style w:type="character" w:customStyle="1" w:styleId="7pt1pt">
    <w:name w:val="Основной текст + 7 pt;Малые прописные;Интервал 1 pt"/>
    <w:basedOn w:val="aff1"/>
    <w:rsid w:val="00811C95"/>
    <w:rPr>
      <w:rFonts w:ascii="Palatino Linotype" w:eastAsia="Palatino Linotype" w:hAnsi="Palatino Linotype" w:cs="Palatino Linotype"/>
      <w:b w:val="0"/>
      <w:bCs w:val="0"/>
      <w:i w:val="0"/>
      <w:iCs w:val="0"/>
      <w:smallCaps/>
      <w:strike w:val="0"/>
      <w:spacing w:val="20"/>
      <w:sz w:val="14"/>
      <w:szCs w:val="14"/>
      <w:shd w:val="clear" w:color="auto" w:fill="FFFFFF"/>
    </w:rPr>
  </w:style>
  <w:style w:type="character" w:customStyle="1" w:styleId="8Gungsuh105pt">
    <w:name w:val="Основной текст (8) + Gungsuh;10;5 pt;Не полужирный"/>
    <w:basedOn w:val="81"/>
    <w:rsid w:val="00811C95"/>
    <w:rPr>
      <w:rFonts w:ascii="Gungsuh" w:eastAsia="Gungsuh" w:hAnsi="Gungsuh" w:cs="Gungsuh"/>
      <w:b/>
      <w:bCs/>
      <w:i w:val="0"/>
      <w:iCs w:val="0"/>
      <w:smallCaps w:val="0"/>
      <w:strike w:val="0"/>
      <w:spacing w:val="0"/>
      <w:sz w:val="21"/>
      <w:szCs w:val="21"/>
      <w:shd w:val="clear" w:color="auto" w:fill="FFFFFF"/>
    </w:rPr>
  </w:style>
  <w:style w:type="character" w:customStyle="1" w:styleId="8Gungsuh">
    <w:name w:val="Основной текст (8) + Gungsuh;Не полужирный"/>
    <w:basedOn w:val="81"/>
    <w:rsid w:val="00811C95"/>
    <w:rPr>
      <w:rFonts w:ascii="Gungsuh" w:eastAsia="Gungsuh" w:hAnsi="Gungsuh" w:cs="Gungsuh"/>
      <w:b/>
      <w:bCs/>
      <w:i w:val="0"/>
      <w:iCs w:val="0"/>
      <w:smallCaps w:val="0"/>
      <w:strike w:val="0"/>
      <w:spacing w:val="0"/>
      <w:sz w:val="13"/>
      <w:szCs w:val="13"/>
      <w:u w:val="single"/>
      <w:shd w:val="clear" w:color="auto" w:fill="FFFFFF"/>
    </w:rPr>
  </w:style>
  <w:style w:type="character" w:customStyle="1" w:styleId="2Gungsuh75pt">
    <w:name w:val="Оглавление (2) + Gungsuh;7;5 pt;Не полужирный"/>
    <w:basedOn w:val="2ff4"/>
    <w:rsid w:val="00811C95"/>
    <w:rPr>
      <w:rFonts w:ascii="Gungsuh" w:eastAsia="Gungsuh" w:hAnsi="Gungsuh" w:cs="Gungsuh"/>
      <w:b/>
      <w:bCs/>
      <w:i w:val="0"/>
      <w:iCs w:val="0"/>
      <w:smallCaps w:val="0"/>
      <w:strike w:val="0"/>
      <w:spacing w:val="0"/>
      <w:sz w:val="15"/>
      <w:szCs w:val="15"/>
    </w:rPr>
  </w:style>
  <w:style w:type="character" w:customStyle="1" w:styleId="TimesNewRoman11pt">
    <w:name w:val="Оглавление + Times New Roman;11 pt;Курсив"/>
    <w:basedOn w:val="afff8"/>
    <w:rsid w:val="00811C95"/>
    <w:rPr>
      <w:rFonts w:ascii="Times New Roman" w:eastAsia="Times New Roman" w:hAnsi="Times New Roman" w:cs="Times New Roman"/>
      <w:b w:val="0"/>
      <w:bCs w:val="0"/>
      <w:i/>
      <w:iCs/>
      <w:smallCaps w:val="0"/>
      <w:strike w:val="0"/>
      <w:spacing w:val="0"/>
      <w:sz w:val="22"/>
      <w:szCs w:val="22"/>
      <w:shd w:val="clear" w:color="auto" w:fill="FFFFFF"/>
    </w:rPr>
  </w:style>
  <w:style w:type="character" w:customStyle="1" w:styleId="21pt2">
    <w:name w:val="Оглавление (2) + Интервал 1 pt"/>
    <w:basedOn w:val="2ff4"/>
    <w:rsid w:val="00811C95"/>
    <w:rPr>
      <w:rFonts w:ascii="Consolas" w:eastAsia="Consolas" w:hAnsi="Consolas" w:cs="Consolas"/>
      <w:b w:val="0"/>
      <w:bCs w:val="0"/>
      <w:i w:val="0"/>
      <w:iCs w:val="0"/>
      <w:smallCaps w:val="0"/>
      <w:strike w:val="0"/>
      <w:spacing w:val="20"/>
      <w:sz w:val="13"/>
      <w:szCs w:val="13"/>
    </w:rPr>
  </w:style>
  <w:style w:type="character" w:customStyle="1" w:styleId="2Gungsuh0pt">
    <w:name w:val="Оглавление (2) + Gungsuh;Не полужирный;Интервал 0 pt"/>
    <w:basedOn w:val="2ff4"/>
    <w:rsid w:val="00811C95"/>
    <w:rPr>
      <w:rFonts w:ascii="Gungsuh" w:eastAsia="Gungsuh" w:hAnsi="Gungsuh" w:cs="Gungsuh"/>
      <w:b/>
      <w:bCs/>
      <w:i w:val="0"/>
      <w:iCs w:val="0"/>
      <w:smallCaps w:val="0"/>
      <w:strike w:val="0"/>
      <w:spacing w:val="10"/>
      <w:sz w:val="13"/>
      <w:szCs w:val="13"/>
    </w:rPr>
  </w:style>
  <w:style w:type="character" w:customStyle="1" w:styleId="2Gungsuh">
    <w:name w:val="Оглавление (2) + Gungsuh;Не полужирный"/>
    <w:basedOn w:val="2ff4"/>
    <w:rsid w:val="00811C95"/>
    <w:rPr>
      <w:rFonts w:ascii="Gungsuh" w:eastAsia="Gungsuh" w:hAnsi="Gungsuh" w:cs="Gungsuh"/>
      <w:b/>
      <w:bCs/>
      <w:i w:val="0"/>
      <w:iCs w:val="0"/>
      <w:smallCaps w:val="0"/>
      <w:strike w:val="0"/>
      <w:spacing w:val="0"/>
      <w:sz w:val="13"/>
      <w:szCs w:val="13"/>
    </w:rPr>
  </w:style>
  <w:style w:type="character" w:customStyle="1" w:styleId="1pt4">
    <w:name w:val="Оглавление + Интервал 1 pt"/>
    <w:basedOn w:val="afff8"/>
    <w:rsid w:val="00811C95"/>
    <w:rPr>
      <w:rFonts w:ascii="Gungsuh" w:eastAsia="Gungsuh" w:hAnsi="Gungsuh" w:cs="Gungsuh"/>
      <w:b w:val="0"/>
      <w:bCs w:val="0"/>
      <w:i w:val="0"/>
      <w:iCs w:val="0"/>
      <w:smallCaps w:val="0"/>
      <w:strike w:val="0"/>
      <w:spacing w:val="20"/>
      <w:sz w:val="15"/>
      <w:szCs w:val="15"/>
      <w:shd w:val="clear" w:color="auto" w:fill="FFFFFF"/>
    </w:rPr>
  </w:style>
  <w:style w:type="character" w:customStyle="1" w:styleId="3PalatinoLinotype165pt0pt">
    <w:name w:val="Основной текст (3) + Palatino Linotype;16;5 pt;Не курсив;Интервал 0 pt"/>
    <w:basedOn w:val="35"/>
    <w:rsid w:val="00811C95"/>
    <w:rPr>
      <w:rFonts w:ascii="Palatino Linotype" w:eastAsia="Palatino Linotype" w:hAnsi="Palatino Linotype" w:cs="Palatino Linotype"/>
      <w:b w:val="0"/>
      <w:bCs w:val="0"/>
      <w:i/>
      <w:iCs/>
      <w:smallCaps w:val="0"/>
      <w:strike w:val="0"/>
      <w:spacing w:val="0"/>
      <w:sz w:val="33"/>
      <w:szCs w:val="33"/>
      <w:shd w:val="clear" w:color="auto" w:fill="FFFFFF"/>
      <w:lang w:val="en-US"/>
    </w:rPr>
  </w:style>
  <w:style w:type="character" w:customStyle="1" w:styleId="2ArialUnicodeMS95pt">
    <w:name w:val="Основной текст (2) + Arial Unicode MS;9;5 pt;Курсив"/>
    <w:basedOn w:val="2a"/>
    <w:rsid w:val="00811C95"/>
    <w:rPr>
      <w:rFonts w:ascii="Arial Unicode MS" w:eastAsia="Arial Unicode MS" w:hAnsi="Arial Unicode MS" w:cs="Arial Unicode MS"/>
      <w:b w:val="0"/>
      <w:bCs w:val="0"/>
      <w:i/>
      <w:iCs/>
      <w:smallCaps w:val="0"/>
      <w:strike w:val="0"/>
      <w:spacing w:val="0"/>
      <w:sz w:val="19"/>
      <w:szCs w:val="19"/>
      <w:shd w:val="clear" w:color="auto" w:fill="FFFFFF"/>
      <w:lang w:eastAsia="en-US"/>
    </w:rPr>
  </w:style>
  <w:style w:type="character" w:customStyle="1" w:styleId="Candara95pt">
    <w:name w:val="Основной текст + Candara;9;5 pt;Полужирный"/>
    <w:basedOn w:val="aff1"/>
    <w:rsid w:val="00811C95"/>
    <w:rPr>
      <w:rFonts w:ascii="Candara" w:eastAsia="Candara" w:hAnsi="Candara" w:cs="Candara"/>
      <w:b/>
      <w:bCs/>
      <w:i w:val="0"/>
      <w:iCs w:val="0"/>
      <w:smallCaps w:val="0"/>
      <w:strike w:val="0"/>
      <w:spacing w:val="0"/>
      <w:sz w:val="19"/>
      <w:szCs w:val="19"/>
      <w:shd w:val="clear" w:color="auto" w:fill="FFFFFF"/>
    </w:rPr>
  </w:style>
  <w:style w:type="character" w:customStyle="1" w:styleId="Candara4pt">
    <w:name w:val="Основной текст + Candara;4 pt;Курсив"/>
    <w:basedOn w:val="aff1"/>
    <w:rsid w:val="00811C95"/>
    <w:rPr>
      <w:rFonts w:ascii="Candara" w:eastAsia="Candara" w:hAnsi="Candara" w:cs="Candara"/>
      <w:b w:val="0"/>
      <w:bCs w:val="0"/>
      <w:i/>
      <w:iCs/>
      <w:smallCaps w:val="0"/>
      <w:strike w:val="0"/>
      <w:spacing w:val="0"/>
      <w:sz w:val="8"/>
      <w:szCs w:val="8"/>
      <w:shd w:val="clear" w:color="auto" w:fill="FFFFFF"/>
    </w:rPr>
  </w:style>
  <w:style w:type="character" w:customStyle="1" w:styleId="7pt1">
    <w:name w:val="Основной текст + 7 pt;Курсив"/>
    <w:basedOn w:val="aff1"/>
    <w:rsid w:val="00811C95"/>
    <w:rPr>
      <w:rFonts w:ascii="Bookman Old Style" w:eastAsia="Bookman Old Style" w:hAnsi="Bookman Old Style" w:cs="Bookman Old Style"/>
      <w:b w:val="0"/>
      <w:bCs w:val="0"/>
      <w:i/>
      <w:iCs/>
      <w:smallCaps w:val="0"/>
      <w:strike w:val="0"/>
      <w:spacing w:val="0"/>
      <w:sz w:val="14"/>
      <w:szCs w:val="14"/>
      <w:shd w:val="clear" w:color="auto" w:fill="FFFFFF"/>
    </w:rPr>
  </w:style>
  <w:style w:type="character" w:customStyle="1" w:styleId="7pt0pt2">
    <w:name w:val="Основной текст + 7 pt;Курсив;Интервал 0 pt"/>
    <w:basedOn w:val="aff1"/>
    <w:rsid w:val="00811C95"/>
    <w:rPr>
      <w:rFonts w:ascii="Bookman Old Style" w:eastAsia="Bookman Old Style" w:hAnsi="Bookman Old Style" w:cs="Bookman Old Style"/>
      <w:b w:val="0"/>
      <w:bCs w:val="0"/>
      <w:i/>
      <w:iCs/>
      <w:smallCaps w:val="0"/>
      <w:strike w:val="0"/>
      <w:spacing w:val="-10"/>
      <w:sz w:val="14"/>
      <w:szCs w:val="14"/>
      <w:shd w:val="clear" w:color="auto" w:fill="FFFFFF"/>
    </w:rPr>
  </w:style>
  <w:style w:type="character" w:customStyle="1" w:styleId="12pt">
    <w:name w:val="Основной текст + 12 pt"/>
    <w:basedOn w:val="aff1"/>
    <w:rsid w:val="00811C95"/>
    <w:rPr>
      <w:rFonts w:ascii="Bookman Old Style" w:eastAsia="Bookman Old Style" w:hAnsi="Bookman Old Style" w:cs="Bookman Old Style"/>
      <w:b w:val="0"/>
      <w:bCs w:val="0"/>
      <w:i w:val="0"/>
      <w:iCs w:val="0"/>
      <w:smallCaps w:val="0"/>
      <w:strike w:val="0"/>
      <w:spacing w:val="0"/>
      <w:sz w:val="24"/>
      <w:szCs w:val="24"/>
      <w:shd w:val="clear" w:color="auto" w:fill="FFFFFF"/>
    </w:rPr>
  </w:style>
  <w:style w:type="character" w:customStyle="1" w:styleId="Sylfaen11pt">
    <w:name w:val="Основной текст + Sylfaen;11 pt;Полужирный"/>
    <w:basedOn w:val="aff1"/>
    <w:rsid w:val="00811C95"/>
    <w:rPr>
      <w:rFonts w:ascii="Sylfaen" w:eastAsia="Sylfaen" w:hAnsi="Sylfaen" w:cs="Sylfaen"/>
      <w:b/>
      <w:bCs/>
      <w:i w:val="0"/>
      <w:iCs w:val="0"/>
      <w:smallCaps w:val="0"/>
      <w:strike w:val="0"/>
      <w:spacing w:val="0"/>
      <w:w w:val="100"/>
      <w:sz w:val="22"/>
      <w:szCs w:val="22"/>
      <w:shd w:val="clear" w:color="auto" w:fill="FFFFFF"/>
    </w:rPr>
  </w:style>
  <w:style w:type="character" w:customStyle="1" w:styleId="55pt">
    <w:name w:val="Основной текст + 5;5 pt;Малые прописные"/>
    <w:basedOn w:val="aff1"/>
    <w:rsid w:val="00811C95"/>
    <w:rPr>
      <w:rFonts w:ascii="Bookman Old Style" w:eastAsia="Bookman Old Style" w:hAnsi="Bookman Old Style" w:cs="Bookman Old Style"/>
      <w:b w:val="0"/>
      <w:bCs w:val="0"/>
      <w:i w:val="0"/>
      <w:iCs w:val="0"/>
      <w:smallCaps/>
      <w:strike w:val="0"/>
      <w:spacing w:val="0"/>
      <w:sz w:val="11"/>
      <w:szCs w:val="11"/>
      <w:shd w:val="clear" w:color="auto" w:fill="FFFFFF"/>
    </w:rPr>
  </w:style>
  <w:style w:type="character" w:customStyle="1" w:styleId="2-1pt2">
    <w:name w:val="Оглавление (2) + Интервал -1 pt"/>
    <w:basedOn w:val="2ff4"/>
    <w:rsid w:val="00811C95"/>
    <w:rPr>
      <w:rFonts w:ascii="Bookman Old Style" w:eastAsia="Bookman Old Style" w:hAnsi="Bookman Old Style" w:cs="Bookman Old Style"/>
      <w:b w:val="0"/>
      <w:bCs w:val="0"/>
      <w:i w:val="0"/>
      <w:iCs w:val="0"/>
      <w:smallCaps w:val="0"/>
      <w:strike w:val="0"/>
      <w:spacing w:val="-20"/>
      <w:sz w:val="15"/>
      <w:szCs w:val="15"/>
    </w:rPr>
  </w:style>
  <w:style w:type="character" w:customStyle="1" w:styleId="Consolas9pt0pt">
    <w:name w:val="Колонтитул + Consolas;9 pt;Интервал 0 pt"/>
    <w:basedOn w:val="aff9"/>
    <w:rsid w:val="00811C95"/>
    <w:rPr>
      <w:rFonts w:ascii="Consolas" w:eastAsia="Consolas" w:hAnsi="Consolas" w:cs="Consolas"/>
      <w:b w:val="0"/>
      <w:bCs w:val="0"/>
      <w:i w:val="0"/>
      <w:iCs w:val="0"/>
      <w:smallCaps w:val="0"/>
      <w:strike w:val="0"/>
      <w:spacing w:val="-10"/>
      <w:sz w:val="18"/>
      <w:szCs w:val="18"/>
      <w:shd w:val="clear" w:color="auto" w:fill="FFFFFF"/>
      <w:lang w:eastAsia="en-US"/>
    </w:rPr>
  </w:style>
  <w:style w:type="character" w:customStyle="1" w:styleId="Consolas4pt0pt">
    <w:name w:val="Оглавление + Consolas;4 pt;Курсив;Интервал 0 pt"/>
    <w:basedOn w:val="afff8"/>
    <w:rsid w:val="00811C95"/>
    <w:rPr>
      <w:rFonts w:ascii="Consolas" w:eastAsia="Consolas" w:hAnsi="Consolas" w:cs="Consolas"/>
      <w:b w:val="0"/>
      <w:bCs w:val="0"/>
      <w:i/>
      <w:iCs/>
      <w:smallCaps w:val="0"/>
      <w:strike w:val="0"/>
      <w:spacing w:val="-10"/>
      <w:w w:val="100"/>
      <w:sz w:val="8"/>
      <w:szCs w:val="8"/>
      <w:shd w:val="clear" w:color="auto" w:fill="FFFFFF"/>
    </w:rPr>
  </w:style>
  <w:style w:type="character" w:customStyle="1" w:styleId="Consolas5pt">
    <w:name w:val="Основной текст + Consolas;5 pt;Курсив"/>
    <w:basedOn w:val="aff1"/>
    <w:rsid w:val="00811C95"/>
    <w:rPr>
      <w:rFonts w:ascii="Consolas" w:eastAsia="Consolas" w:hAnsi="Consolas" w:cs="Consolas"/>
      <w:b w:val="0"/>
      <w:bCs w:val="0"/>
      <w:i/>
      <w:iCs/>
      <w:smallCaps w:val="0"/>
      <w:strike w:val="0"/>
      <w:spacing w:val="0"/>
      <w:w w:val="100"/>
      <w:sz w:val="10"/>
      <w:szCs w:val="10"/>
      <w:shd w:val="clear" w:color="auto" w:fill="FFFFFF"/>
    </w:rPr>
  </w:style>
  <w:style w:type="character" w:customStyle="1" w:styleId="2Consolas5pt">
    <w:name w:val="Заголовок №2 + Consolas;5 pt;Курсив"/>
    <w:basedOn w:val="2f0"/>
    <w:rsid w:val="00811C95"/>
    <w:rPr>
      <w:rFonts w:ascii="Consolas" w:eastAsia="Consolas" w:hAnsi="Consolas" w:cs="Consolas"/>
      <w:b w:val="0"/>
      <w:bCs w:val="0"/>
      <w:i/>
      <w:iCs/>
      <w:smallCaps w:val="0"/>
      <w:strike w:val="0"/>
      <w:spacing w:val="0"/>
      <w:w w:val="100"/>
      <w:sz w:val="10"/>
      <w:szCs w:val="10"/>
    </w:rPr>
  </w:style>
  <w:style w:type="character" w:customStyle="1" w:styleId="2ArialNarrow6pt">
    <w:name w:val="Основной текст (2) + Arial Narrow;6 pt;Не курсив"/>
    <w:basedOn w:val="2a"/>
    <w:rsid w:val="00811C95"/>
    <w:rPr>
      <w:rFonts w:ascii="Arial Narrow" w:eastAsia="Arial Narrow" w:hAnsi="Arial Narrow" w:cs="Arial Narrow"/>
      <w:b w:val="0"/>
      <w:bCs w:val="0"/>
      <w:i/>
      <w:iCs/>
      <w:smallCaps w:val="0"/>
      <w:strike w:val="0"/>
      <w:spacing w:val="0"/>
      <w:w w:val="100"/>
      <w:sz w:val="12"/>
      <w:szCs w:val="12"/>
      <w:shd w:val="clear" w:color="auto" w:fill="FFFFFF"/>
      <w:lang w:eastAsia="en-US"/>
    </w:rPr>
  </w:style>
  <w:style w:type="character" w:customStyle="1" w:styleId="Tahoma10pt0pt">
    <w:name w:val="Основной текст + Tahoma;10 pt;Курсив;Интервал 0 pt"/>
    <w:basedOn w:val="aff1"/>
    <w:rsid w:val="00811C95"/>
    <w:rPr>
      <w:rFonts w:ascii="Tahoma" w:eastAsia="Tahoma" w:hAnsi="Tahoma" w:cs="Tahoma"/>
      <w:b w:val="0"/>
      <w:bCs w:val="0"/>
      <w:i/>
      <w:iCs/>
      <w:smallCaps w:val="0"/>
      <w:strike w:val="0"/>
      <w:spacing w:val="0"/>
      <w:w w:val="100"/>
      <w:sz w:val="20"/>
      <w:szCs w:val="20"/>
      <w:shd w:val="clear" w:color="auto" w:fill="FFFFFF"/>
    </w:rPr>
  </w:style>
  <w:style w:type="character" w:customStyle="1" w:styleId="comments-number">
    <w:name w:val="comments-number"/>
    <w:basedOn w:val="a0"/>
    <w:rsid w:val="00811C95"/>
  </w:style>
  <w:style w:type="character" w:customStyle="1" w:styleId="act-rehub-login-popup">
    <w:name w:val="act-rehub-login-popup"/>
    <w:basedOn w:val="a0"/>
    <w:rsid w:val="00811C95"/>
  </w:style>
  <w:style w:type="character" w:customStyle="1" w:styleId="current">
    <w:name w:val="current"/>
    <w:basedOn w:val="a0"/>
    <w:rsid w:val="00811C95"/>
  </w:style>
  <w:style w:type="character" w:customStyle="1" w:styleId="tablecellhot">
    <w:name w:val="table_cell_hot"/>
    <w:basedOn w:val="a0"/>
    <w:rsid w:val="00811C95"/>
  </w:style>
  <w:style w:type="character" w:customStyle="1" w:styleId="gradusicon">
    <w:name w:val="gradus_icon"/>
    <w:basedOn w:val="a0"/>
    <w:rsid w:val="00811C95"/>
  </w:style>
  <w:style w:type="character" w:customStyle="1" w:styleId="textinfo">
    <w:name w:val="textinfo"/>
    <w:basedOn w:val="a0"/>
    <w:rsid w:val="00811C95"/>
  </w:style>
  <w:style w:type="character" w:customStyle="1" w:styleId="flowhidden">
    <w:name w:val="flowhidden"/>
    <w:basedOn w:val="a0"/>
    <w:rsid w:val="00811C95"/>
  </w:style>
  <w:style w:type="character" w:customStyle="1" w:styleId="heartplus">
    <w:name w:val="heartplus"/>
    <w:basedOn w:val="a0"/>
    <w:rsid w:val="00811C95"/>
  </w:style>
  <w:style w:type="character" w:customStyle="1" w:styleId="tags-title-post">
    <w:name w:val="tags-title-post"/>
    <w:basedOn w:val="a0"/>
    <w:rsid w:val="00811C95"/>
  </w:style>
  <w:style w:type="character" w:customStyle="1" w:styleId="wpd-stat-threads-count">
    <w:name w:val="wpd-stat-threads-count"/>
    <w:basedOn w:val="a0"/>
    <w:rsid w:val="00811C95"/>
  </w:style>
  <w:style w:type="character" w:customStyle="1" w:styleId="wpd-stat-replies-count">
    <w:name w:val="wpd-stat-replies-count"/>
    <w:basedOn w:val="a0"/>
    <w:rsid w:val="00811C95"/>
  </w:style>
  <w:style w:type="character" w:customStyle="1" w:styleId="wpd-stat-authors-count">
    <w:name w:val="wpd-stat-authors-count"/>
    <w:basedOn w:val="a0"/>
    <w:rsid w:val="00811C95"/>
  </w:style>
  <w:style w:type="character" w:customStyle="1" w:styleId="wpdiscuz-sort-button">
    <w:name w:val="wpdiscuz-sort-button"/>
    <w:basedOn w:val="a0"/>
    <w:rsid w:val="00811C95"/>
  </w:style>
  <w:style w:type="character" w:customStyle="1" w:styleId="wc-comment-img-link-wrap">
    <w:name w:val="wc-comment-img-link-wrap"/>
    <w:basedOn w:val="a0"/>
    <w:rsid w:val="00811C95"/>
  </w:style>
  <w:style w:type="character" w:customStyle="1" w:styleId="wc-vote-link">
    <w:name w:val="wc-vote-link"/>
    <w:basedOn w:val="a0"/>
    <w:rsid w:val="00811C95"/>
  </w:style>
  <w:style w:type="character" w:customStyle="1" w:styleId="wc-vote-result">
    <w:name w:val="wc-vote-result"/>
    <w:basedOn w:val="a0"/>
    <w:rsid w:val="00811C95"/>
  </w:style>
  <w:style w:type="character" w:customStyle="1" w:styleId="wpdiscuz-hellip">
    <w:name w:val="wpdiscuz-hellip"/>
    <w:basedOn w:val="a0"/>
    <w:rsid w:val="00811C95"/>
  </w:style>
  <w:style w:type="character" w:customStyle="1" w:styleId="wpdiscuz-readmore">
    <w:name w:val="wpdiscuz-readmore"/>
    <w:basedOn w:val="a0"/>
    <w:rsid w:val="00811C95"/>
  </w:style>
  <w:style w:type="character" w:customStyle="1" w:styleId="tag-link-count">
    <w:name w:val="tag-link-count"/>
    <w:basedOn w:val="a0"/>
    <w:rsid w:val="00811C95"/>
  </w:style>
  <w:style w:type="character" w:customStyle="1" w:styleId="ftextspan">
    <w:name w:val="f_text_span"/>
    <w:basedOn w:val="a0"/>
    <w:rsid w:val="00811C95"/>
  </w:style>
  <w:style w:type="character" w:customStyle="1" w:styleId="rehubscroll">
    <w:name w:val="rehub_scroll"/>
    <w:basedOn w:val="a0"/>
    <w:rsid w:val="00811C95"/>
  </w:style>
  <w:style w:type="character" w:customStyle="1" w:styleId="advads-close-button">
    <w:name w:val="advads-close-button"/>
    <w:basedOn w:val="a0"/>
    <w:rsid w:val="00811C95"/>
  </w:style>
  <w:style w:type="character" w:customStyle="1" w:styleId="re-compare-destin">
    <w:name w:val="re-compare-destin"/>
    <w:basedOn w:val="a0"/>
    <w:rsid w:val="00811C95"/>
  </w:style>
  <w:style w:type="character" w:customStyle="1" w:styleId="at4-visually-hidden">
    <w:name w:val="at4-visually-hidden"/>
    <w:basedOn w:val="a0"/>
    <w:rsid w:val="00811C95"/>
  </w:style>
  <w:style w:type="character" w:customStyle="1" w:styleId="at-icon-wrapper">
    <w:name w:val="at-icon-wrapper"/>
    <w:basedOn w:val="a0"/>
    <w:rsid w:val="00811C95"/>
  </w:style>
  <w:style w:type="character" w:customStyle="1" w:styleId="at4-share-count">
    <w:name w:val="at4-share-count"/>
    <w:basedOn w:val="a0"/>
    <w:rsid w:val="00811C95"/>
  </w:style>
  <w:style w:type="character" w:customStyle="1" w:styleId="at4-counter">
    <w:name w:val="at4-counter"/>
    <w:basedOn w:val="a0"/>
    <w:rsid w:val="00811C95"/>
  </w:style>
  <w:style w:type="character" w:customStyle="1" w:styleId="at4-share-label">
    <w:name w:val="at4-share-label"/>
    <w:basedOn w:val="a0"/>
    <w:rsid w:val="00811C95"/>
  </w:style>
  <w:style w:type="character" w:customStyle="1" w:styleId="2TimesNewRoman0">
    <w:name w:val="Основной текст (2) + Times New Roman;Полужирный"/>
    <w:basedOn w:val="2a"/>
    <w:rsid w:val="00811C95"/>
    <w:rPr>
      <w:rFonts w:ascii="Times New Roman" w:eastAsia="Times New Roman" w:hAnsi="Times New Roman" w:cs="Times New Roman"/>
      <w:b/>
      <w:bCs/>
      <w:i w:val="0"/>
      <w:iCs w:val="0"/>
      <w:smallCaps w:val="0"/>
      <w:strike w:val="0"/>
      <w:spacing w:val="0"/>
      <w:sz w:val="27"/>
      <w:szCs w:val="27"/>
      <w:shd w:val="clear" w:color="auto" w:fill="FFFFFF"/>
      <w:lang w:eastAsia="en-US"/>
    </w:rPr>
  </w:style>
  <w:style w:type="character" w:customStyle="1" w:styleId="3ff2">
    <w:name w:val="Основной текст (3) + Курсив"/>
    <w:basedOn w:val="35"/>
    <w:rsid w:val="00811C95"/>
    <w:rPr>
      <w:rFonts w:ascii="Times New Roman" w:eastAsia="Times New Roman" w:hAnsi="Times New Roman" w:cs="Times New Roman"/>
      <w:b w:val="0"/>
      <w:bCs w:val="0"/>
      <w:i/>
      <w:iCs/>
      <w:smallCaps w:val="0"/>
      <w:strike w:val="0"/>
      <w:spacing w:val="0"/>
      <w:sz w:val="23"/>
      <w:szCs w:val="23"/>
      <w:shd w:val="clear" w:color="auto" w:fill="FFFFFF"/>
    </w:rPr>
  </w:style>
  <w:style w:type="character" w:customStyle="1" w:styleId="bbccolor">
    <w:name w:val="bbc_color"/>
    <w:basedOn w:val="a0"/>
    <w:rsid w:val="00811C95"/>
  </w:style>
  <w:style w:type="character" w:customStyle="1" w:styleId="selected1">
    <w:name w:val="selected1"/>
    <w:basedOn w:val="a0"/>
    <w:rsid w:val="00811C95"/>
    <w:rPr>
      <w:color w:val="05A505"/>
    </w:rPr>
  </w:style>
  <w:style w:type="character" w:customStyle="1" w:styleId="491">
    <w:name w:val="Основной текст + Полужирный49"/>
    <w:basedOn w:val="1c"/>
    <w:uiPriority w:val="99"/>
    <w:rsid w:val="00811C95"/>
    <w:rPr>
      <w:rFonts w:ascii="Arial Narrow" w:hAnsi="Arial Narrow" w:cs="Arial Narrow"/>
      <w:b/>
      <w:bCs/>
      <w:sz w:val="18"/>
      <w:szCs w:val="18"/>
      <w:shd w:val="clear" w:color="auto" w:fill="FFFFFF"/>
    </w:rPr>
  </w:style>
  <w:style w:type="character" w:customStyle="1" w:styleId="915">
    <w:name w:val="Основной текст + 915"/>
    <w:aliases w:val="5 pt66,Полужирный68,Интервал 0 pt46,Основной текст + 832"/>
    <w:basedOn w:val="1c"/>
    <w:uiPriority w:val="99"/>
    <w:rsid w:val="00811C95"/>
    <w:rPr>
      <w:rFonts w:ascii="Arial Narrow" w:hAnsi="Arial Narrow" w:cs="Arial Narrow"/>
      <w:b/>
      <w:bCs/>
      <w:spacing w:val="-10"/>
      <w:sz w:val="19"/>
      <w:szCs w:val="19"/>
      <w:shd w:val="clear" w:color="auto" w:fill="FFFFFF"/>
    </w:rPr>
  </w:style>
  <w:style w:type="character" w:customStyle="1" w:styleId="40pt1">
    <w:name w:val="Основной текст (4) + Полужирный;Не курсив;Интервал 0 pt"/>
    <w:basedOn w:val="46"/>
    <w:rsid w:val="00811C95"/>
    <w:rPr>
      <w:rFonts w:ascii="Arial Narrow" w:eastAsia="Arial Narrow" w:hAnsi="Arial Narrow" w:cs="Arial Narrow"/>
      <w:b/>
      <w:bCs/>
      <w:i/>
      <w:iCs/>
      <w:smallCaps w:val="0"/>
      <w:strike w:val="0"/>
      <w:spacing w:val="-10"/>
      <w:w w:val="60"/>
      <w:sz w:val="18"/>
      <w:szCs w:val="18"/>
      <w:shd w:val="clear" w:color="auto" w:fill="FFFFFF"/>
    </w:rPr>
  </w:style>
  <w:style w:type="character" w:customStyle="1" w:styleId="4f7">
    <w:name w:val="Основной текст (4) + Полужирный"/>
    <w:basedOn w:val="46"/>
    <w:rsid w:val="00811C95"/>
    <w:rPr>
      <w:rFonts w:ascii="Arial Narrow" w:eastAsia="Arial Narrow" w:hAnsi="Arial Narrow" w:cs="Arial Narrow"/>
      <w:b/>
      <w:bCs/>
      <w:i w:val="0"/>
      <w:iCs w:val="0"/>
      <w:smallCaps w:val="0"/>
      <w:strike w:val="0"/>
      <w:spacing w:val="0"/>
      <w:w w:val="60"/>
      <w:sz w:val="18"/>
      <w:szCs w:val="18"/>
      <w:shd w:val="clear" w:color="auto" w:fill="FFFFFF"/>
    </w:rPr>
  </w:style>
  <w:style w:type="character" w:customStyle="1" w:styleId="4-1pt1">
    <w:name w:val="Основной текст (4) + Полужирный;Интервал -1 pt"/>
    <w:basedOn w:val="46"/>
    <w:rsid w:val="00811C95"/>
    <w:rPr>
      <w:rFonts w:ascii="Arial Narrow" w:eastAsia="Arial Narrow" w:hAnsi="Arial Narrow" w:cs="Arial Narrow"/>
      <w:b/>
      <w:bCs/>
      <w:i w:val="0"/>
      <w:iCs w:val="0"/>
      <w:smallCaps w:val="0"/>
      <w:strike w:val="0"/>
      <w:spacing w:val="-20"/>
      <w:w w:val="60"/>
      <w:sz w:val="18"/>
      <w:szCs w:val="18"/>
      <w:shd w:val="clear" w:color="auto" w:fill="FFFFFF"/>
    </w:rPr>
  </w:style>
  <w:style w:type="character" w:customStyle="1" w:styleId="4Tahoma85pt">
    <w:name w:val="Основной текст (4) + Tahoma;8;5 pt"/>
    <w:basedOn w:val="46"/>
    <w:rsid w:val="00811C95"/>
    <w:rPr>
      <w:rFonts w:ascii="Tahoma" w:eastAsia="Tahoma" w:hAnsi="Tahoma" w:cs="Tahoma"/>
      <w:b w:val="0"/>
      <w:bCs w:val="0"/>
      <w:i w:val="0"/>
      <w:iCs w:val="0"/>
      <w:smallCaps w:val="0"/>
      <w:strike w:val="0"/>
      <w:spacing w:val="0"/>
      <w:w w:val="60"/>
      <w:sz w:val="17"/>
      <w:szCs w:val="17"/>
      <w:shd w:val="clear" w:color="auto" w:fill="FFFFFF"/>
    </w:rPr>
  </w:style>
  <w:style w:type="character" w:customStyle="1" w:styleId="75pt-1pt">
    <w:name w:val="Основной текст + 7;5 pt;Полужирный;Интервал -1 pt"/>
    <w:basedOn w:val="aff1"/>
    <w:rsid w:val="00811C95"/>
    <w:rPr>
      <w:rFonts w:ascii="Arial Narrow" w:eastAsia="Arial Narrow" w:hAnsi="Arial Narrow" w:cs="Arial Narrow"/>
      <w:b/>
      <w:bCs/>
      <w:i w:val="0"/>
      <w:iCs w:val="0"/>
      <w:smallCaps w:val="0"/>
      <w:strike w:val="0"/>
      <w:spacing w:val="-20"/>
      <w:sz w:val="15"/>
      <w:szCs w:val="15"/>
      <w:shd w:val="clear" w:color="auto" w:fill="FFFFFF"/>
    </w:rPr>
  </w:style>
  <w:style w:type="character" w:customStyle="1" w:styleId="10pt4">
    <w:name w:val="Основной текст + 10 pt;Полужирный"/>
    <w:basedOn w:val="aff1"/>
    <w:rsid w:val="00811C95"/>
    <w:rPr>
      <w:rFonts w:ascii="Arial Narrow" w:eastAsia="Arial Narrow" w:hAnsi="Arial Narrow" w:cs="Arial Narrow"/>
      <w:b/>
      <w:bCs/>
      <w:i w:val="0"/>
      <w:iCs w:val="0"/>
      <w:smallCaps w:val="0"/>
      <w:strike w:val="0"/>
      <w:spacing w:val="0"/>
      <w:sz w:val="20"/>
      <w:szCs w:val="20"/>
      <w:shd w:val="clear" w:color="auto" w:fill="FFFFFF"/>
    </w:rPr>
  </w:style>
  <w:style w:type="character" w:customStyle="1" w:styleId="115pt0pt">
    <w:name w:val="Основной текст + 11;5 pt;Полужирный;Интервал 0 pt"/>
    <w:basedOn w:val="aff1"/>
    <w:rsid w:val="00811C95"/>
    <w:rPr>
      <w:rFonts w:ascii="Arial Narrow" w:eastAsia="Arial Narrow" w:hAnsi="Arial Narrow" w:cs="Arial Narrow"/>
      <w:b/>
      <w:bCs/>
      <w:i w:val="0"/>
      <w:iCs w:val="0"/>
      <w:smallCaps w:val="0"/>
      <w:strike w:val="0"/>
      <w:spacing w:val="-10"/>
      <w:sz w:val="23"/>
      <w:szCs w:val="23"/>
      <w:shd w:val="clear" w:color="auto" w:fill="FFFFFF"/>
    </w:rPr>
  </w:style>
  <w:style w:type="character" w:customStyle="1" w:styleId="34pt0">
    <w:name w:val="Основной текст + 34 pt"/>
    <w:basedOn w:val="aff1"/>
    <w:rsid w:val="00811C95"/>
    <w:rPr>
      <w:rFonts w:ascii="Arial Narrow" w:eastAsia="Arial Narrow" w:hAnsi="Arial Narrow" w:cs="Arial Narrow"/>
      <w:b w:val="0"/>
      <w:bCs w:val="0"/>
      <w:i w:val="0"/>
      <w:iCs w:val="0"/>
      <w:smallCaps w:val="0"/>
      <w:strike w:val="0"/>
      <w:spacing w:val="0"/>
      <w:sz w:val="68"/>
      <w:szCs w:val="68"/>
      <w:shd w:val="clear" w:color="auto" w:fill="FFFFFF"/>
    </w:rPr>
  </w:style>
  <w:style w:type="character" w:customStyle="1" w:styleId="Tahoma65pt">
    <w:name w:val="Основной текст + Tahoma;6;5 pt;Полужирный"/>
    <w:basedOn w:val="aff1"/>
    <w:rsid w:val="00811C95"/>
    <w:rPr>
      <w:rFonts w:ascii="Tahoma" w:eastAsia="Tahoma" w:hAnsi="Tahoma" w:cs="Tahoma"/>
      <w:b/>
      <w:bCs/>
      <w:i w:val="0"/>
      <w:iCs w:val="0"/>
      <w:smallCaps w:val="0"/>
      <w:strike w:val="0"/>
      <w:spacing w:val="0"/>
      <w:sz w:val="13"/>
      <w:szCs w:val="13"/>
      <w:shd w:val="clear" w:color="auto" w:fill="FFFFFF"/>
    </w:rPr>
  </w:style>
  <w:style w:type="character" w:customStyle="1" w:styleId="12pt0">
    <w:name w:val="Основной текст + 12 pt;Полужирный"/>
    <w:basedOn w:val="aff1"/>
    <w:rsid w:val="00811C95"/>
    <w:rPr>
      <w:rFonts w:ascii="Arial Narrow" w:eastAsia="Arial Narrow" w:hAnsi="Arial Narrow" w:cs="Arial Narrow"/>
      <w:b/>
      <w:bCs/>
      <w:i w:val="0"/>
      <w:iCs w:val="0"/>
      <w:smallCaps w:val="0"/>
      <w:strike w:val="0"/>
      <w:spacing w:val="0"/>
      <w:w w:val="100"/>
      <w:sz w:val="24"/>
      <w:szCs w:val="24"/>
      <w:shd w:val="clear" w:color="auto" w:fill="FFFFFF"/>
    </w:rPr>
  </w:style>
  <w:style w:type="character" w:customStyle="1" w:styleId="15115pt0pt">
    <w:name w:val="Основной текст (15) + 11;5 pt;Интервал 0 pt"/>
    <w:basedOn w:val="153"/>
    <w:rsid w:val="00811C95"/>
    <w:rPr>
      <w:rFonts w:ascii="Arial Narrow" w:eastAsia="Arial Narrow" w:hAnsi="Arial Narrow" w:cs="Arial Narrow"/>
      <w:b w:val="0"/>
      <w:bCs w:val="0"/>
      <w:i w:val="0"/>
      <w:iCs w:val="0"/>
      <w:smallCaps w:val="0"/>
      <w:strike w:val="0"/>
      <w:spacing w:val="-10"/>
      <w:sz w:val="23"/>
      <w:szCs w:val="23"/>
      <w:shd w:val="clear" w:color="auto" w:fill="FFFFFF"/>
    </w:rPr>
  </w:style>
  <w:style w:type="character" w:customStyle="1" w:styleId="1575pt">
    <w:name w:val="Основной текст (15) + 7;5 pt"/>
    <w:basedOn w:val="153"/>
    <w:rsid w:val="00811C95"/>
    <w:rPr>
      <w:rFonts w:ascii="Arial Narrow" w:eastAsia="Arial Narrow" w:hAnsi="Arial Narrow" w:cs="Arial Narrow"/>
      <w:b w:val="0"/>
      <w:bCs w:val="0"/>
      <w:i w:val="0"/>
      <w:iCs w:val="0"/>
      <w:smallCaps w:val="0"/>
      <w:strike w:val="0"/>
      <w:spacing w:val="0"/>
      <w:sz w:val="15"/>
      <w:szCs w:val="15"/>
      <w:shd w:val="clear" w:color="auto" w:fill="FFFFFF"/>
    </w:rPr>
  </w:style>
  <w:style w:type="character" w:customStyle="1" w:styleId="159pt">
    <w:name w:val="Основной текст (15) + 9 pt;Не полужирный"/>
    <w:basedOn w:val="153"/>
    <w:rsid w:val="00811C95"/>
    <w:rPr>
      <w:rFonts w:ascii="Arial Narrow" w:eastAsia="Arial Narrow" w:hAnsi="Arial Narrow" w:cs="Arial Narrow"/>
      <w:b/>
      <w:bCs/>
      <w:i w:val="0"/>
      <w:iCs w:val="0"/>
      <w:smallCaps w:val="0"/>
      <w:strike/>
      <w:spacing w:val="0"/>
      <w:sz w:val="18"/>
      <w:szCs w:val="18"/>
      <w:shd w:val="clear" w:color="auto" w:fill="FFFFFF"/>
    </w:rPr>
  </w:style>
  <w:style w:type="character" w:customStyle="1" w:styleId="-1pt2">
    <w:name w:val="Основной текст + Полужирный;Интервал -1 pt"/>
    <w:basedOn w:val="aff1"/>
    <w:rsid w:val="00811C95"/>
    <w:rPr>
      <w:rFonts w:ascii="Arial" w:eastAsia="Arial" w:hAnsi="Arial" w:cs="Arial"/>
      <w:b/>
      <w:bCs/>
      <w:i w:val="0"/>
      <w:iCs w:val="0"/>
      <w:smallCaps w:val="0"/>
      <w:strike w:val="0"/>
      <w:spacing w:val="-20"/>
      <w:sz w:val="18"/>
      <w:szCs w:val="18"/>
      <w:shd w:val="clear" w:color="auto" w:fill="FFFFFF"/>
    </w:rPr>
  </w:style>
  <w:style w:type="character" w:customStyle="1" w:styleId="LucidaSansUnicode95pt">
    <w:name w:val="Основной текст + Lucida Sans Unicode;9;5 pt;Полужирный"/>
    <w:basedOn w:val="aff1"/>
    <w:rsid w:val="00811C95"/>
    <w:rPr>
      <w:rFonts w:ascii="Lucida Sans Unicode" w:eastAsia="Lucida Sans Unicode" w:hAnsi="Lucida Sans Unicode" w:cs="Lucida Sans Unicode"/>
      <w:b/>
      <w:bCs/>
      <w:i w:val="0"/>
      <w:iCs w:val="0"/>
      <w:smallCaps w:val="0"/>
      <w:strike w:val="0"/>
      <w:spacing w:val="0"/>
      <w:sz w:val="19"/>
      <w:szCs w:val="19"/>
      <w:shd w:val="clear" w:color="auto" w:fill="FFFFFF"/>
    </w:rPr>
  </w:style>
  <w:style w:type="character" w:customStyle="1" w:styleId="914">
    <w:name w:val="Основной текст + 91"/>
    <w:aliases w:val="5 pt3,Полужирный8,Интервал 0 pt6,Основной текст + 10 pt3,Интервал -1 pt15,Основной текст (5) + Не курсив1,Основной текст + 20,Основной текст (2) + 71"/>
    <w:basedOn w:val="1c"/>
    <w:uiPriority w:val="99"/>
    <w:rsid w:val="00811C95"/>
    <w:rPr>
      <w:rFonts w:ascii="Arial Narrow" w:hAnsi="Arial Narrow" w:cs="Arial Narrow"/>
      <w:b/>
      <w:bCs/>
      <w:spacing w:val="-10"/>
      <w:sz w:val="19"/>
      <w:szCs w:val="19"/>
      <w:shd w:val="clear" w:color="auto" w:fill="FFFFFF"/>
    </w:rPr>
  </w:style>
  <w:style w:type="character" w:customStyle="1" w:styleId="88pt4">
    <w:name w:val="Основной текст (8) + 8 pt4"/>
    <w:aliases w:val="Полужирный4,Основной текст + 10 pt2"/>
    <w:basedOn w:val="a0"/>
    <w:uiPriority w:val="99"/>
    <w:rsid w:val="00811C95"/>
    <w:rPr>
      <w:rFonts w:ascii="Arial Narrow" w:eastAsia="Times New Roman" w:hAnsi="Arial Narrow" w:cs="Arial Narrow"/>
      <w:b/>
      <w:bCs/>
      <w:i w:val="0"/>
      <w:iCs w:val="0"/>
      <w:smallCaps w:val="0"/>
      <w:strike w:val="0"/>
      <w:spacing w:val="0"/>
      <w:sz w:val="16"/>
      <w:szCs w:val="16"/>
    </w:rPr>
  </w:style>
  <w:style w:type="character" w:customStyle="1" w:styleId="372">
    <w:name w:val="Основной текст + Полужирный37"/>
    <w:basedOn w:val="1c"/>
    <w:uiPriority w:val="99"/>
    <w:rsid w:val="00811C95"/>
    <w:rPr>
      <w:rFonts w:ascii="Arial Narrow" w:hAnsi="Arial Narrow" w:cs="Arial Narrow"/>
      <w:b/>
      <w:bCs/>
      <w:spacing w:val="0"/>
      <w:sz w:val="18"/>
      <w:szCs w:val="18"/>
      <w:shd w:val="clear" w:color="auto" w:fill="FFFFFF"/>
    </w:rPr>
  </w:style>
  <w:style w:type="character" w:customStyle="1" w:styleId="245">
    <w:name w:val="Основной текст + 24"/>
    <w:aliases w:val="5 pt55,Полужирный53,Основной текст + 916"/>
    <w:basedOn w:val="1c"/>
    <w:uiPriority w:val="99"/>
    <w:rsid w:val="00811C95"/>
    <w:rPr>
      <w:rFonts w:ascii="Arial Narrow" w:hAnsi="Arial Narrow" w:cs="Arial Narrow"/>
      <w:b/>
      <w:bCs/>
      <w:noProof/>
      <w:spacing w:val="0"/>
      <w:sz w:val="49"/>
      <w:szCs w:val="49"/>
      <w:shd w:val="clear" w:color="auto" w:fill="FFFFFF"/>
    </w:rPr>
  </w:style>
  <w:style w:type="character" w:customStyle="1" w:styleId="362">
    <w:name w:val="Основной текст + Полужирный36"/>
    <w:basedOn w:val="1c"/>
    <w:uiPriority w:val="99"/>
    <w:rsid w:val="00811C95"/>
    <w:rPr>
      <w:rFonts w:ascii="Arial Narrow" w:hAnsi="Arial Narrow" w:cs="Arial Narrow"/>
      <w:b/>
      <w:bCs/>
      <w:spacing w:val="0"/>
      <w:sz w:val="18"/>
      <w:szCs w:val="18"/>
      <w:shd w:val="clear" w:color="auto" w:fill="FFFFFF"/>
    </w:rPr>
  </w:style>
  <w:style w:type="character" w:customStyle="1" w:styleId="1pt9">
    <w:name w:val="Основной текст + Интервал 1 pt9"/>
    <w:basedOn w:val="1c"/>
    <w:uiPriority w:val="99"/>
    <w:rsid w:val="00811C95"/>
    <w:rPr>
      <w:rFonts w:ascii="Arial" w:hAnsi="Arial" w:cs="Arial"/>
      <w:spacing w:val="20"/>
      <w:sz w:val="18"/>
      <w:szCs w:val="18"/>
      <w:shd w:val="clear" w:color="auto" w:fill="FFFFFF"/>
    </w:rPr>
  </w:style>
  <w:style w:type="character" w:customStyle="1" w:styleId="353">
    <w:name w:val="Основной текст + Полужирный35"/>
    <w:basedOn w:val="1c"/>
    <w:uiPriority w:val="99"/>
    <w:rsid w:val="00811C95"/>
    <w:rPr>
      <w:rFonts w:ascii="Arial Narrow" w:hAnsi="Arial Narrow" w:cs="Arial Narrow"/>
      <w:b/>
      <w:bCs/>
      <w:spacing w:val="0"/>
      <w:sz w:val="18"/>
      <w:szCs w:val="18"/>
      <w:shd w:val="clear" w:color="auto" w:fill="FFFFFF"/>
    </w:rPr>
  </w:style>
  <w:style w:type="character" w:customStyle="1" w:styleId="343">
    <w:name w:val="Основной текст + Полужирный34"/>
    <w:basedOn w:val="1c"/>
    <w:uiPriority w:val="99"/>
    <w:rsid w:val="00811C95"/>
    <w:rPr>
      <w:rFonts w:ascii="Arial Narrow" w:hAnsi="Arial Narrow" w:cs="Arial Narrow"/>
      <w:b/>
      <w:bCs/>
      <w:spacing w:val="0"/>
      <w:sz w:val="18"/>
      <w:szCs w:val="18"/>
      <w:shd w:val="clear" w:color="auto" w:fill="FFFFFF"/>
    </w:rPr>
  </w:style>
  <w:style w:type="character" w:customStyle="1" w:styleId="333">
    <w:name w:val="Основной текст + Полужирный33"/>
    <w:basedOn w:val="1c"/>
    <w:uiPriority w:val="99"/>
    <w:rsid w:val="00811C95"/>
    <w:rPr>
      <w:rFonts w:ascii="Arial Narrow" w:hAnsi="Arial Narrow" w:cs="Arial Narrow"/>
      <w:b/>
      <w:bCs/>
      <w:spacing w:val="0"/>
      <w:sz w:val="18"/>
      <w:szCs w:val="18"/>
      <w:shd w:val="clear" w:color="auto" w:fill="FFFFFF"/>
    </w:rPr>
  </w:style>
  <w:style w:type="character" w:customStyle="1" w:styleId="382">
    <w:name w:val="Основной текст + Полужирный38"/>
    <w:basedOn w:val="1c"/>
    <w:uiPriority w:val="99"/>
    <w:rsid w:val="00811C95"/>
    <w:rPr>
      <w:rFonts w:ascii="Arial Narrow" w:hAnsi="Arial Narrow" w:cs="Arial Narrow"/>
      <w:b/>
      <w:bCs/>
      <w:spacing w:val="0"/>
      <w:sz w:val="18"/>
      <w:szCs w:val="18"/>
      <w:shd w:val="clear" w:color="auto" w:fill="FFFFFF"/>
    </w:rPr>
  </w:style>
  <w:style w:type="character" w:customStyle="1" w:styleId="327">
    <w:name w:val="Основной текст + Полужирный32"/>
    <w:basedOn w:val="1c"/>
    <w:uiPriority w:val="99"/>
    <w:rsid w:val="00811C95"/>
    <w:rPr>
      <w:rFonts w:ascii="Arial Narrow" w:hAnsi="Arial Narrow" w:cs="Arial Narrow"/>
      <w:b/>
      <w:bCs/>
      <w:spacing w:val="0"/>
      <w:sz w:val="18"/>
      <w:szCs w:val="18"/>
      <w:shd w:val="clear" w:color="auto" w:fill="FFFFFF"/>
    </w:rPr>
  </w:style>
  <w:style w:type="character" w:customStyle="1" w:styleId="308">
    <w:name w:val="Основной текст + Полужирный30"/>
    <w:basedOn w:val="1c"/>
    <w:uiPriority w:val="99"/>
    <w:rsid w:val="00811C95"/>
    <w:rPr>
      <w:rFonts w:ascii="Arial Narrow" w:hAnsi="Arial Narrow" w:cs="Arial Narrow"/>
      <w:b/>
      <w:bCs/>
      <w:spacing w:val="0"/>
      <w:sz w:val="18"/>
      <w:szCs w:val="18"/>
      <w:shd w:val="clear" w:color="auto" w:fill="FFFFFF"/>
    </w:rPr>
  </w:style>
  <w:style w:type="character" w:customStyle="1" w:styleId="940">
    <w:name w:val="Основной текст + 94"/>
    <w:aliases w:val="5 pt28,Полужирный23,Интервал 0 pt16,5 pt14,Основной текст (5) + 91,Интервал -1 pt29,Интервал -1 pt8,Основной текст (5) + Не курсив3"/>
    <w:basedOn w:val="1c"/>
    <w:uiPriority w:val="99"/>
    <w:rsid w:val="00811C95"/>
    <w:rPr>
      <w:rFonts w:ascii="Arial Narrow" w:hAnsi="Arial Narrow" w:cs="Arial Narrow"/>
      <w:b/>
      <w:bCs/>
      <w:spacing w:val="-10"/>
      <w:sz w:val="19"/>
      <w:szCs w:val="19"/>
      <w:shd w:val="clear" w:color="auto" w:fill="FFFFFF"/>
    </w:rPr>
  </w:style>
  <w:style w:type="character" w:customStyle="1" w:styleId="50pt0">
    <w:name w:val="Основной текст (5) + Интервал 0 pt"/>
    <w:basedOn w:val="a0"/>
    <w:uiPriority w:val="99"/>
    <w:rsid w:val="00811C95"/>
    <w:rPr>
      <w:rFonts w:ascii="Arial" w:eastAsia="Times New Roman" w:hAnsi="Arial" w:cs="Arial"/>
      <w:b/>
      <w:bCs/>
      <w:i w:val="0"/>
      <w:iCs w:val="0"/>
      <w:smallCaps w:val="0"/>
      <w:strike w:val="0"/>
      <w:spacing w:val="-10"/>
      <w:sz w:val="18"/>
      <w:szCs w:val="18"/>
    </w:rPr>
  </w:style>
  <w:style w:type="character" w:customStyle="1" w:styleId="FranklinGothicBook">
    <w:name w:val="Основной текст + Franklin Gothic Book"/>
    <w:aliases w:val="8 pt6,Полужирный44,Основной текст + MS Reference Sans Serif5,Интервал -1 pt28"/>
    <w:basedOn w:val="1c"/>
    <w:uiPriority w:val="99"/>
    <w:rsid w:val="00811C95"/>
    <w:rPr>
      <w:rFonts w:ascii="Franklin Gothic Book" w:hAnsi="Franklin Gothic Book" w:cs="Franklin Gothic Book"/>
      <w:b/>
      <w:bCs/>
      <w:spacing w:val="0"/>
      <w:sz w:val="16"/>
      <w:szCs w:val="16"/>
      <w:shd w:val="clear" w:color="auto" w:fill="FFFFFF"/>
    </w:rPr>
  </w:style>
  <w:style w:type="character" w:customStyle="1" w:styleId="295">
    <w:name w:val="Основной текст + Полужирный29"/>
    <w:basedOn w:val="1c"/>
    <w:uiPriority w:val="99"/>
    <w:rsid w:val="00811C95"/>
    <w:rPr>
      <w:rFonts w:ascii="Arial Narrow" w:hAnsi="Arial Narrow" w:cs="Arial Narrow"/>
      <w:b/>
      <w:bCs/>
      <w:spacing w:val="0"/>
      <w:sz w:val="18"/>
      <w:szCs w:val="18"/>
      <w:shd w:val="clear" w:color="auto" w:fill="FFFFFF"/>
    </w:rPr>
  </w:style>
  <w:style w:type="character" w:customStyle="1" w:styleId="27a">
    <w:name w:val="Основной текст + Полужирный27"/>
    <w:basedOn w:val="1c"/>
    <w:uiPriority w:val="99"/>
    <w:rsid w:val="00811C95"/>
    <w:rPr>
      <w:rFonts w:ascii="Arial Narrow" w:hAnsi="Arial Narrow" w:cs="Arial Narrow"/>
      <w:b/>
      <w:bCs/>
      <w:spacing w:val="0"/>
      <w:sz w:val="18"/>
      <w:szCs w:val="18"/>
      <w:shd w:val="clear" w:color="auto" w:fill="FFFFFF"/>
    </w:rPr>
  </w:style>
  <w:style w:type="character" w:customStyle="1" w:styleId="266">
    <w:name w:val="Основной текст + Полужирный26"/>
    <w:aliases w:val="Курсив14"/>
    <w:basedOn w:val="1c"/>
    <w:uiPriority w:val="99"/>
    <w:rsid w:val="00811C95"/>
    <w:rPr>
      <w:rFonts w:ascii="Arial Narrow" w:hAnsi="Arial Narrow" w:cs="Arial Narrow"/>
      <w:b/>
      <w:bCs/>
      <w:i/>
      <w:iCs/>
      <w:spacing w:val="0"/>
      <w:sz w:val="18"/>
      <w:szCs w:val="18"/>
      <w:shd w:val="clear" w:color="auto" w:fill="FFFFFF"/>
    </w:rPr>
  </w:style>
  <w:style w:type="character" w:customStyle="1" w:styleId="5Arial">
    <w:name w:val="Основной текст (5) + Arial;Не полужирный;Не курсив"/>
    <w:basedOn w:val="5a"/>
    <w:rsid w:val="00811C95"/>
    <w:rPr>
      <w:rFonts w:ascii="Arial" w:eastAsia="Arial" w:hAnsi="Arial" w:cs="Arial"/>
      <w:b/>
      <w:bCs/>
      <w:i/>
      <w:iCs/>
      <w:sz w:val="15"/>
      <w:szCs w:val="15"/>
      <w:shd w:val="clear" w:color="auto" w:fill="FFFFFF"/>
    </w:rPr>
  </w:style>
  <w:style w:type="character" w:customStyle="1" w:styleId="LucidaSansUnicode8pt0pt">
    <w:name w:val="Основной текст + Lucida Sans Unicode;8 pt;Полужирный;Интервал 0 pt"/>
    <w:basedOn w:val="aff1"/>
    <w:rsid w:val="00811C95"/>
    <w:rPr>
      <w:rFonts w:ascii="Lucida Sans Unicode" w:eastAsia="Lucida Sans Unicode" w:hAnsi="Lucida Sans Unicode" w:cs="Lucida Sans Unicode"/>
      <w:b/>
      <w:bCs/>
      <w:i w:val="0"/>
      <w:iCs w:val="0"/>
      <w:smallCaps w:val="0"/>
      <w:strike w:val="0"/>
      <w:spacing w:val="-10"/>
      <w:sz w:val="16"/>
      <w:szCs w:val="16"/>
      <w:shd w:val="clear" w:color="auto" w:fill="FFFFFF"/>
    </w:rPr>
  </w:style>
  <w:style w:type="character" w:customStyle="1" w:styleId="6f0">
    <w:name w:val="Основной текст (6) + Не полужирный"/>
    <w:aliases w:val="Не курсив20"/>
    <w:basedOn w:val="67"/>
    <w:uiPriority w:val="99"/>
    <w:rsid w:val="00811C95"/>
    <w:rPr>
      <w:rFonts w:ascii="Arial Narrow" w:eastAsia="Times New Roman" w:hAnsi="Arial Narrow" w:cs="Arial Narrow"/>
      <w:sz w:val="18"/>
      <w:szCs w:val="18"/>
      <w:shd w:val="clear" w:color="auto" w:fill="FFFFFF"/>
    </w:rPr>
  </w:style>
  <w:style w:type="character" w:customStyle="1" w:styleId="8Arial85pt">
    <w:name w:val="Основной текст (8) + Arial;8;5 pt;Полужирный;Не курсив"/>
    <w:basedOn w:val="81"/>
    <w:rsid w:val="00811C95"/>
    <w:rPr>
      <w:rFonts w:ascii="Arial" w:eastAsia="Arial" w:hAnsi="Arial" w:cs="Arial"/>
      <w:b/>
      <w:bCs/>
      <w:i/>
      <w:iCs/>
      <w:sz w:val="17"/>
      <w:szCs w:val="17"/>
      <w:shd w:val="clear" w:color="auto" w:fill="FFFFFF"/>
    </w:rPr>
  </w:style>
  <w:style w:type="character" w:customStyle="1" w:styleId="3BookAntiqua8pt0pt">
    <w:name w:val="Основной текст (3) + Book Antiqua;8 pt;Полужирный;Не курсив;Интервал 0 pt"/>
    <w:basedOn w:val="35"/>
    <w:rsid w:val="00811C95"/>
    <w:rPr>
      <w:rFonts w:ascii="Book Antiqua" w:eastAsia="Book Antiqua" w:hAnsi="Book Antiqua" w:cs="Book Antiqua"/>
      <w:b/>
      <w:bCs/>
      <w:i/>
      <w:iCs/>
      <w:smallCaps w:val="0"/>
      <w:strike w:val="0"/>
      <w:spacing w:val="0"/>
      <w:sz w:val="16"/>
      <w:szCs w:val="16"/>
      <w:shd w:val="clear" w:color="auto" w:fill="FFFFFF"/>
    </w:rPr>
  </w:style>
  <w:style w:type="character" w:customStyle="1" w:styleId="30pt0">
    <w:name w:val="Основной текст (3) + Не курсив;Интервал 0 pt"/>
    <w:basedOn w:val="35"/>
    <w:rsid w:val="00811C95"/>
    <w:rPr>
      <w:rFonts w:ascii="Century Gothic" w:eastAsia="Century Gothic" w:hAnsi="Century Gothic" w:cs="Century Gothic"/>
      <w:b w:val="0"/>
      <w:bCs w:val="0"/>
      <w:i/>
      <w:iCs/>
      <w:smallCaps w:val="0"/>
      <w:strike w:val="0"/>
      <w:spacing w:val="0"/>
      <w:sz w:val="17"/>
      <w:szCs w:val="17"/>
      <w:shd w:val="clear" w:color="auto" w:fill="FFFFFF"/>
    </w:rPr>
  </w:style>
  <w:style w:type="character" w:customStyle="1" w:styleId="1ff3">
    <w:name w:val="Строгий1"/>
    <w:rsid w:val="00811C95"/>
    <w:rPr>
      <w:b/>
    </w:rPr>
  </w:style>
  <w:style w:type="character" w:customStyle="1" w:styleId="1ff4">
    <w:name w:val="Выделение1"/>
    <w:rsid w:val="00811C95"/>
    <w:rPr>
      <w:i/>
    </w:rPr>
  </w:style>
  <w:style w:type="paragraph" w:styleId="affffff7">
    <w:name w:val="No Spacing"/>
    <w:basedOn w:val="a"/>
    <w:uiPriority w:val="1"/>
    <w:qFormat/>
    <w:rsid w:val="00811C95"/>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nav-link">
    <w:name w:val="nav-link"/>
    <w:basedOn w:val="a0"/>
    <w:rsid w:val="00811C95"/>
  </w:style>
  <w:style w:type="character" w:customStyle="1" w:styleId="right-column-postslistitemtitle">
    <w:name w:val="right-column-posts_list_item__title"/>
    <w:basedOn w:val="a0"/>
    <w:rsid w:val="00811C95"/>
  </w:style>
  <w:style w:type="character" w:customStyle="1" w:styleId="right-column-postslistitemdate">
    <w:name w:val="right-column-posts_list_item__date"/>
    <w:basedOn w:val="a0"/>
    <w:rsid w:val="00811C95"/>
  </w:style>
  <w:style w:type="character" w:customStyle="1" w:styleId="right-column-comments-itempostmessage">
    <w:name w:val="right-column-comments-item__post__message"/>
    <w:basedOn w:val="a0"/>
    <w:rsid w:val="00811C95"/>
  </w:style>
  <w:style w:type="character" w:customStyle="1" w:styleId="right-column-comments-itemposttitle">
    <w:name w:val="right-column-comments-item__post__title"/>
    <w:basedOn w:val="a0"/>
    <w:rsid w:val="00811C95"/>
  </w:style>
  <w:style w:type="character" w:customStyle="1" w:styleId="neutra">
    <w:name w:val="neutra"/>
    <w:basedOn w:val="a0"/>
    <w:rsid w:val="00811C95"/>
  </w:style>
  <w:style w:type="character" w:customStyle="1" w:styleId="useroffline">
    <w:name w:val="user_offline"/>
    <w:basedOn w:val="a0"/>
    <w:rsid w:val="00811C95"/>
  </w:style>
  <w:style w:type="character" w:customStyle="1" w:styleId="680">
    <w:name w:val="Основной текст68"/>
    <w:basedOn w:val="aff1"/>
    <w:rsid w:val="00D549FB"/>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31">
    <w:name w:val="Основной текст63"/>
    <w:basedOn w:val="aff1"/>
    <w:rsid w:val="004D3DA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41">
    <w:name w:val="Основной текст64"/>
    <w:basedOn w:val="aff1"/>
    <w:rsid w:val="00986ACA"/>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328">
    <w:name w:val="Основной текст32"/>
    <w:basedOn w:val="aff1"/>
    <w:rsid w:val="00A22EFE"/>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34">
    <w:name w:val="Основной текст33"/>
    <w:basedOn w:val="aff1"/>
    <w:rsid w:val="00A22EFE"/>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09">
    <w:name w:val="Подпись к картинке (30)_"/>
    <w:basedOn w:val="a0"/>
    <w:link w:val="30a"/>
    <w:rsid w:val="000227A2"/>
    <w:rPr>
      <w:rFonts w:ascii="Arial" w:eastAsia="Arial" w:hAnsi="Arial" w:cs="Arial"/>
      <w:sz w:val="16"/>
      <w:szCs w:val="16"/>
      <w:shd w:val="clear" w:color="auto" w:fill="FFFFFF"/>
    </w:rPr>
  </w:style>
  <w:style w:type="paragraph" w:customStyle="1" w:styleId="30a">
    <w:name w:val="Подпись к картинке (30)"/>
    <w:basedOn w:val="a"/>
    <w:link w:val="309"/>
    <w:rsid w:val="000227A2"/>
    <w:pPr>
      <w:shd w:val="clear" w:color="auto" w:fill="FFFFFF"/>
      <w:spacing w:after="0" w:line="0" w:lineRule="atLeast"/>
    </w:pPr>
    <w:rPr>
      <w:rFonts w:ascii="Arial" w:eastAsia="Arial" w:hAnsi="Arial" w:cs="Arial"/>
      <w:sz w:val="16"/>
      <w:szCs w:val="16"/>
      <w:lang w:eastAsia="ru-RU"/>
    </w:rPr>
  </w:style>
  <w:style w:type="character" w:customStyle="1" w:styleId="690">
    <w:name w:val="Основной текст69"/>
    <w:basedOn w:val="aff1"/>
    <w:rsid w:val="00D1380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60">
    <w:name w:val="Основной текст66"/>
    <w:basedOn w:val="aff1"/>
    <w:rsid w:val="00D13803"/>
    <w:rPr>
      <w:rFonts w:ascii="Franklin Gothic Book" w:eastAsia="Franklin Gothic Book" w:hAnsi="Franklin Gothic Book" w:cs="Franklin Gothic Book"/>
      <w:b w:val="0"/>
      <w:bCs w:val="0"/>
      <w:i w:val="0"/>
      <w:iCs w:val="0"/>
      <w:smallCaps w:val="0"/>
      <w:strike w:val="0"/>
      <w:color w:val="FFFFFF"/>
      <w:spacing w:val="0"/>
      <w:sz w:val="15"/>
      <w:szCs w:val="15"/>
      <w:shd w:val="clear" w:color="auto" w:fill="FFFFFF"/>
      <w:lang w:val="en-US"/>
    </w:rPr>
  </w:style>
  <w:style w:type="character" w:customStyle="1" w:styleId="670">
    <w:name w:val="Основной текст67"/>
    <w:basedOn w:val="aff1"/>
    <w:rsid w:val="00A01DE5"/>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12">
    <w:name w:val="Основной текст71"/>
    <w:basedOn w:val="aff1"/>
    <w:rsid w:val="00A01DE5"/>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841">
    <w:name w:val="Основной текст84"/>
    <w:basedOn w:val="aff1"/>
    <w:rsid w:val="007249B9"/>
    <w:rPr>
      <w:rFonts w:ascii="Segoe UI" w:eastAsia="Segoe UI" w:hAnsi="Segoe UI" w:cs="Segoe UI"/>
      <w:b w:val="0"/>
      <w:bCs w:val="0"/>
      <w:i w:val="0"/>
      <w:iCs w:val="0"/>
      <w:smallCaps w:val="0"/>
      <w:strike w:val="0"/>
      <w:spacing w:val="0"/>
      <w:sz w:val="14"/>
      <w:szCs w:val="14"/>
      <w:shd w:val="clear" w:color="auto" w:fill="FFFFFF"/>
    </w:rPr>
  </w:style>
  <w:style w:type="character" w:customStyle="1" w:styleId="600">
    <w:name w:val="Основной текст60"/>
    <w:basedOn w:val="aff1"/>
    <w:rsid w:val="008B5CA2"/>
    <w:rPr>
      <w:rFonts w:ascii="Arial" w:eastAsia="Arial" w:hAnsi="Arial" w:cs="Arial"/>
      <w:b w:val="0"/>
      <w:bCs w:val="0"/>
      <w:i w:val="0"/>
      <w:iCs w:val="0"/>
      <w:smallCaps w:val="0"/>
      <w:strike w:val="0"/>
      <w:spacing w:val="0"/>
      <w:sz w:val="14"/>
      <w:szCs w:val="14"/>
      <w:shd w:val="clear" w:color="auto" w:fill="FFFFFF"/>
    </w:rPr>
  </w:style>
  <w:style w:type="paragraph" w:customStyle="1" w:styleId="1131">
    <w:name w:val="Основной текст113"/>
    <w:basedOn w:val="a"/>
    <w:rsid w:val="008B5CA2"/>
    <w:pPr>
      <w:shd w:val="clear" w:color="auto" w:fill="FFFFFF"/>
      <w:spacing w:after="0" w:line="198" w:lineRule="exact"/>
      <w:ind w:hanging="260"/>
      <w:jc w:val="both"/>
    </w:pPr>
    <w:rPr>
      <w:rFonts w:ascii="Arial" w:eastAsia="Arial" w:hAnsi="Arial" w:cs="Arial"/>
      <w:color w:val="000000"/>
      <w:sz w:val="14"/>
      <w:szCs w:val="14"/>
      <w:lang w:val="ru" w:eastAsia="ru-RU"/>
    </w:rPr>
  </w:style>
  <w:style w:type="character" w:customStyle="1" w:styleId="128pt100">
    <w:name w:val="Основной текст (12) + 8 pt;Не курсив;Масштаб 100%"/>
    <w:basedOn w:val="a0"/>
    <w:rsid w:val="00315AAD"/>
    <w:rPr>
      <w:rFonts w:ascii="Segoe UI" w:eastAsia="Segoe UI" w:hAnsi="Segoe UI" w:cs="Segoe UI"/>
      <w:b w:val="0"/>
      <w:bCs w:val="0"/>
      <w:i/>
      <w:iCs/>
      <w:smallCaps w:val="0"/>
      <w:strike w:val="0"/>
      <w:spacing w:val="0"/>
      <w:w w:val="100"/>
      <w:sz w:val="16"/>
      <w:szCs w:val="16"/>
    </w:rPr>
  </w:style>
  <w:style w:type="paragraph" w:customStyle="1" w:styleId="1151">
    <w:name w:val="Основной текст115"/>
    <w:basedOn w:val="a"/>
    <w:rsid w:val="00B05D39"/>
    <w:pPr>
      <w:shd w:val="clear" w:color="auto" w:fill="FFFFFF"/>
      <w:spacing w:before="120" w:after="0" w:line="139" w:lineRule="exact"/>
      <w:jc w:val="both"/>
    </w:pPr>
    <w:rPr>
      <w:rFonts w:ascii="Trebuchet MS" w:eastAsia="Trebuchet MS" w:hAnsi="Trebuchet MS" w:cs="Trebuchet MS"/>
      <w:color w:val="000000"/>
      <w:sz w:val="13"/>
      <w:szCs w:val="13"/>
      <w:lang w:val="ru" w:eastAsia="ru-RU"/>
    </w:rPr>
  </w:style>
  <w:style w:type="character" w:customStyle="1" w:styleId="612">
    <w:name w:val="Основной текст61"/>
    <w:basedOn w:val="aff1"/>
    <w:rsid w:val="00B05D39"/>
    <w:rPr>
      <w:rFonts w:ascii="Arial" w:eastAsia="Arial" w:hAnsi="Arial" w:cs="Arial"/>
      <w:b w:val="0"/>
      <w:bCs w:val="0"/>
      <w:i w:val="0"/>
      <w:iCs w:val="0"/>
      <w:smallCaps w:val="0"/>
      <w:strike w:val="0"/>
      <w:spacing w:val="0"/>
      <w:sz w:val="14"/>
      <w:szCs w:val="14"/>
      <w:shd w:val="clear" w:color="auto" w:fill="FFFFFF"/>
    </w:rPr>
  </w:style>
  <w:style w:type="character" w:customStyle="1" w:styleId="120pt">
    <w:name w:val="Основной текст (12) + Не курсив;Интервал 0 pt"/>
    <w:basedOn w:val="122"/>
    <w:rsid w:val="002867AB"/>
    <w:rPr>
      <w:rFonts w:ascii="Microsoft Sans Serif" w:eastAsia="Microsoft Sans Serif" w:hAnsi="Microsoft Sans Serif" w:cs="Microsoft Sans Serif"/>
      <w:b w:val="0"/>
      <w:bCs w:val="0"/>
      <w:i/>
      <w:iCs/>
      <w:smallCaps w:val="0"/>
      <w:strike w:val="0"/>
      <w:spacing w:val="0"/>
      <w:w w:val="80"/>
      <w:sz w:val="15"/>
      <w:szCs w:val="15"/>
      <w:shd w:val="clear" w:color="auto" w:fill="FFFFFF"/>
      <w:lang w:eastAsia="en-US"/>
    </w:rPr>
  </w:style>
  <w:style w:type="character" w:customStyle="1" w:styleId="723">
    <w:name w:val="Основной текст72"/>
    <w:basedOn w:val="aff1"/>
    <w:rsid w:val="007874A2"/>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1162">
    <w:name w:val="Основной текст116"/>
    <w:basedOn w:val="a"/>
    <w:rsid w:val="00411A0B"/>
    <w:pPr>
      <w:shd w:val="clear" w:color="auto" w:fill="FFFFFF"/>
      <w:spacing w:after="600" w:line="0" w:lineRule="atLeast"/>
      <w:ind w:hanging="360"/>
    </w:pPr>
    <w:rPr>
      <w:rFonts w:ascii="Franklin Gothic Book" w:eastAsia="Franklin Gothic Book" w:hAnsi="Franklin Gothic Book" w:cs="Franklin Gothic Book"/>
      <w:color w:val="000000"/>
      <w:sz w:val="15"/>
      <w:szCs w:val="15"/>
      <w:lang w:val="ru" w:eastAsia="ru-RU"/>
    </w:rPr>
  </w:style>
  <w:style w:type="character" w:customStyle="1" w:styleId="900">
    <w:name w:val="Основной текст90"/>
    <w:basedOn w:val="aff1"/>
    <w:rsid w:val="00411A0B"/>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44">
    <w:name w:val="Основной текст34"/>
    <w:basedOn w:val="aff1"/>
    <w:rsid w:val="00741660"/>
    <w:rPr>
      <w:rFonts w:ascii="Trebuchet MS" w:eastAsia="Trebuchet MS" w:hAnsi="Trebuchet MS" w:cs="Trebuchet MS"/>
      <w:b w:val="0"/>
      <w:bCs w:val="0"/>
      <w:i w:val="0"/>
      <w:iCs w:val="0"/>
      <w:smallCaps w:val="0"/>
      <w:strike w:val="0"/>
      <w:spacing w:val="0"/>
      <w:sz w:val="14"/>
      <w:szCs w:val="14"/>
      <w:shd w:val="clear" w:color="auto" w:fill="FFFFF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19540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s://warspot.ru/1837-tommi-gan-polveka-v-stroyu" TargetMode="External"/><Relationship Id="rId117" Type="http://schemas.openxmlformats.org/officeDocument/2006/relationships/hyperlink" Target="http://airspot.ru/catalogue/item/douglas-b-42-mixmaster" TargetMode="External"/><Relationship Id="rId21" Type="http://schemas.openxmlformats.org/officeDocument/2006/relationships/hyperlink" Target="http://www.airwar.ru/enc/fighter/fbrand.html" TargetMode="External"/><Relationship Id="rId42" Type="http://schemas.openxmlformats.org/officeDocument/2006/relationships/hyperlink" Target="http://www.airwar.ru/enc/cww2/nud38.html" TargetMode="External"/><Relationship Id="rId47" Type="http://schemas.openxmlformats.org/officeDocument/2006/relationships/hyperlink" Target="http://armedman.ru/samoletyi/1937-1945/bombardirovshhik-b-24-libereytor.html" TargetMode="External"/><Relationship Id="rId63" Type="http://schemas.openxmlformats.org/officeDocument/2006/relationships/hyperlink" Target="https://warspot.ru/11210-glavnyy-vrag-tridtsatchetvyorki" TargetMode="External"/><Relationship Id="rId68" Type="http://schemas.openxmlformats.org/officeDocument/2006/relationships/hyperlink" Target="https://warspot.ru/12111-modernizatsiya-na-bumage" TargetMode="External"/><Relationship Id="rId84" Type="http://schemas.openxmlformats.org/officeDocument/2006/relationships/hyperlink" Target="http://www.airwar.ru/enc/bww2/windsor.html" TargetMode="External"/><Relationship Id="rId89" Type="http://schemas.openxmlformats.org/officeDocument/2006/relationships/hyperlink" Target="http://airspot.ru/catalogue/item/fiat-g-56" TargetMode="External"/><Relationship Id="rId112" Type="http://schemas.openxmlformats.org/officeDocument/2006/relationships/hyperlink" Target="http://www.airwar.ru/enc/fww2/f7f.html" TargetMode="External"/><Relationship Id="rId133" Type="http://schemas.openxmlformats.org/officeDocument/2006/relationships/hyperlink" Target="http://www.archive.gov.tatarstan.ru/res/FCKeditor/fckeditor.php?FieldName=data_html" TargetMode="External"/><Relationship Id="rId138" Type="http://schemas.openxmlformats.org/officeDocument/2006/relationships/hyperlink" Target="http://www.testpilot.ru/germany/messer/163/s/me163s.htm" TargetMode="External"/><Relationship Id="rId154" Type="http://schemas.openxmlformats.org/officeDocument/2006/relationships/hyperlink" Target="https://warspot.ru/9911-pervoe-prishestvie-is-2" TargetMode="External"/><Relationship Id="rId159" Type="http://schemas.openxmlformats.org/officeDocument/2006/relationships/hyperlink" Target="http://www.airwiki.org/enc/fww2/i222.html" TargetMode="External"/><Relationship Id="rId175" Type="http://schemas.openxmlformats.org/officeDocument/2006/relationships/hyperlink" Target="http://www.airwar.ru/enc/sww2/tbf.html" TargetMode="External"/><Relationship Id="rId170" Type="http://schemas.openxmlformats.org/officeDocument/2006/relationships/hyperlink" Target="http://www.airwar.ru/enc/bww2/lincoln.html" TargetMode="External"/><Relationship Id="rId191" Type="http://schemas.openxmlformats.org/officeDocument/2006/relationships/fontTable" Target="fontTable.xml"/><Relationship Id="rId16" Type="http://schemas.openxmlformats.org/officeDocument/2006/relationships/hyperlink" Target="https://warspot.ru/10917-modernizatsiya-po-angliyski" TargetMode="External"/><Relationship Id="rId107" Type="http://schemas.openxmlformats.org/officeDocument/2006/relationships/hyperlink" Target="https://warspot.ru/14237-glavnyy-konstruktor" TargetMode="External"/><Relationship Id="rId11" Type="http://schemas.openxmlformats.org/officeDocument/2006/relationships/hyperlink" Target="http://warspot.ru/6287-foto-dnya-chetvyortyy-stalinskiy-udar" TargetMode="External"/><Relationship Id="rId32" Type="http://schemas.openxmlformats.org/officeDocument/2006/relationships/hyperlink" Target="http://www.airwar.ru/enc/fww2/p72.html" TargetMode="External"/><Relationship Id="rId37" Type="http://schemas.openxmlformats.org/officeDocument/2006/relationships/hyperlink" Target="http://militera.lib.ru/h/shirokorad1/10_15.html" TargetMode="External"/><Relationship Id="rId53" Type="http://schemas.openxmlformats.org/officeDocument/2006/relationships/hyperlink" Target="https://warspot.ru/11021-protivotankovyy-shershen-on-zhe-nosorog" TargetMode="External"/><Relationship Id="rId58" Type="http://schemas.openxmlformats.org/officeDocument/2006/relationships/hyperlink" Target="http://www.asisbiz.com/il2/Do-217/Dornier-Do-217.html" TargetMode="External"/><Relationship Id="rId74" Type="http://schemas.openxmlformats.org/officeDocument/2006/relationships/hyperlink" Target="http://www.airwar.ru/enc/cw1/s22.html" TargetMode="External"/><Relationship Id="rId79" Type="http://schemas.openxmlformats.org/officeDocument/2006/relationships/hyperlink" Target="http://armedman.ru/samoletyi/1937-1945/bombardirovshhik-b-24-libereytor.html" TargetMode="External"/><Relationship Id="rId102" Type="http://schemas.openxmlformats.org/officeDocument/2006/relationships/hyperlink" Target="https://warspot.ru/13151-samaya-massovaya-tyazhyolaya-samohodka-v-istorii" TargetMode="External"/><Relationship Id="rId123" Type="http://schemas.openxmlformats.org/officeDocument/2006/relationships/hyperlink" Target="https://warspot.ru/3889-rozhdyonnyy-voynoy-kak-sozdavalsya-narkomat-tankovoy-promyshlennosti" TargetMode="External"/><Relationship Id="rId128" Type="http://schemas.openxmlformats.org/officeDocument/2006/relationships/hyperlink" Target="http://airspot.ru/catalogue/item/fma-iae-22-dl" TargetMode="External"/><Relationship Id="rId144" Type="http://schemas.openxmlformats.org/officeDocument/2006/relationships/hyperlink" Target="http://airspot.ru/catalogue/item/tupolev-sdb" TargetMode="External"/><Relationship Id="rId149" Type="http://schemas.openxmlformats.org/officeDocument/2006/relationships/hyperlink" Target="https://warspot.ru/9483-predposledniy-shag" TargetMode="External"/><Relationship Id="rId5" Type="http://schemas.openxmlformats.org/officeDocument/2006/relationships/webSettings" Target="webSettings.xml"/><Relationship Id="rId90" Type="http://schemas.openxmlformats.org/officeDocument/2006/relationships/hyperlink" Target="http://www.airwar.ru/enc/aww2/il8.html" TargetMode="External"/><Relationship Id="rId95" Type="http://schemas.openxmlformats.org/officeDocument/2006/relationships/hyperlink" Target="http://forum-ru.worldofwarplanes.com/index.php?...BB%D1%8C-bell-xp-77/" TargetMode="External"/><Relationship Id="rId160" Type="http://schemas.openxmlformats.org/officeDocument/2006/relationships/hyperlink" Target="http://www.airwar.ru/enc/glider/bv40.html" TargetMode="External"/><Relationship Id="rId165" Type="http://schemas.openxmlformats.org/officeDocument/2006/relationships/hyperlink" Target="https://warspot.ru/5354-tyazhyolaya-sudba-lyogkogo-tanka" TargetMode="External"/><Relationship Id="rId181" Type="http://schemas.openxmlformats.org/officeDocument/2006/relationships/hyperlink" Target="http://www.airwar.ru/enc/fww2/i220.html" TargetMode="External"/><Relationship Id="rId186" Type="http://schemas.openxmlformats.org/officeDocument/2006/relationships/hyperlink" Target="https://warspot.ru/11907-strashnee-koshki-zverya-net" TargetMode="External"/><Relationship Id="rId22" Type="http://schemas.openxmlformats.org/officeDocument/2006/relationships/hyperlink" Target="http://www.airwar.ru/enc/fww2/la5fn.html" TargetMode="External"/><Relationship Id="rId27" Type="http://schemas.openxmlformats.org/officeDocument/2006/relationships/hyperlink" Target="https://warspot.ru/9911-pervoe-prishestvie-is-2" TargetMode="External"/><Relationship Id="rId43" Type="http://schemas.openxmlformats.org/officeDocument/2006/relationships/hyperlink" Target="http://airspot.ru/catalogue/item/bristol-buckingham" TargetMode="External"/><Relationship Id="rId48" Type="http://schemas.openxmlformats.org/officeDocument/2006/relationships/hyperlink" Target="http://armedman.ru/samoletyi/1919-1936/bombardirovshhik-boing-b-17-letayushhaya-krepost.html" TargetMode="External"/><Relationship Id="rId64" Type="http://schemas.openxmlformats.org/officeDocument/2006/relationships/hyperlink" Target="https://warspot.ru/8934-ternistyy-put-k-su-122" TargetMode="External"/><Relationship Id="rId69" Type="http://schemas.openxmlformats.org/officeDocument/2006/relationships/hyperlink" Target="http://www.airwar.ru/enc/fww2/f7f2.html" TargetMode="External"/><Relationship Id="rId113" Type="http://schemas.openxmlformats.org/officeDocument/2006/relationships/hyperlink" Target="http://www.airpages.ru/ru/ns23.shtml" TargetMode="External"/><Relationship Id="rId118" Type="http://schemas.openxmlformats.org/officeDocument/2006/relationships/hyperlink" Target="http://airspot.ru/catalogue/item/mitsubishi-a7m-reppu" TargetMode="External"/><Relationship Id="rId134" Type="http://schemas.openxmlformats.org/officeDocument/2006/relationships/hyperlink" Target="http://www.archive.gov.tatarstan.ru/res/FCKeditor/fckeditor.php?FieldName=data_html" TargetMode="External"/><Relationship Id="rId139" Type="http://schemas.openxmlformats.org/officeDocument/2006/relationships/hyperlink" Target="http://www.airwar.ru/enc/fww2/p54.html" TargetMode="External"/><Relationship Id="rId80" Type="http://schemas.openxmlformats.org/officeDocument/2006/relationships/hyperlink" Target="http://armedman.ru/samoletyi/1919-1936/bombardirovshhik-boing-b-17-letayushhaya-krepost.html" TargetMode="External"/><Relationship Id="rId85" Type="http://schemas.openxmlformats.org/officeDocument/2006/relationships/hyperlink" Target="http://www.airwar.ru/enc/fww2/p67.html" TargetMode="External"/><Relationship Id="rId150" Type="http://schemas.openxmlformats.org/officeDocument/2006/relationships/hyperlink" Target="https://warspot.ru/900-igry-s-tigrami" TargetMode="External"/><Relationship Id="rId155" Type="http://schemas.openxmlformats.org/officeDocument/2006/relationships/hyperlink" Target="https://warspot.ru/10762-sluchaynyy-raritet" TargetMode="External"/><Relationship Id="rId171" Type="http://schemas.openxmlformats.org/officeDocument/2006/relationships/hyperlink" Target="http://www.airwiki.org/enc/fighter/f80.html" TargetMode="External"/><Relationship Id="rId176" Type="http://schemas.openxmlformats.org/officeDocument/2006/relationships/hyperlink" Target="http://www.airpages.ru/uk/p47su.shtml" TargetMode="External"/><Relationship Id="rId192" Type="http://schemas.openxmlformats.org/officeDocument/2006/relationships/theme" Target="theme/theme1.xml"/><Relationship Id="rId12" Type="http://schemas.openxmlformats.org/officeDocument/2006/relationships/hyperlink" Target="http://armedman.ru/samoletyi/1937-1945/bombardirovshhik-b-24-libereytor.html" TargetMode="External"/><Relationship Id="rId17" Type="http://schemas.openxmlformats.org/officeDocument/2006/relationships/hyperlink" Target="https://warspot.ru/8537-nemetskie-koshki-pri-dvore-korolya-georga" TargetMode="External"/><Relationship Id="rId33" Type="http://schemas.openxmlformats.org/officeDocument/2006/relationships/hyperlink" Target="http://airspot.ru/catalogue/item/messerschmitt-me-410b" TargetMode="External"/><Relationship Id="rId38" Type="http://schemas.openxmlformats.org/officeDocument/2006/relationships/hyperlink" Target="http://www.airwar.ru/enc/aww2/il2-ns45.html" TargetMode="External"/><Relationship Id="rId59" Type="http://schemas.openxmlformats.org/officeDocument/2006/relationships/hyperlink" Target="http://militera.lib.ru/h/shirokorad1/10_15.html" TargetMode="External"/><Relationship Id="rId103" Type="http://schemas.openxmlformats.org/officeDocument/2006/relationships/hyperlink" Target="http://www.airwar.ru/enc/fww2/ta154.html" TargetMode="External"/><Relationship Id="rId108" Type="http://schemas.openxmlformats.org/officeDocument/2006/relationships/hyperlink" Target="https://warspot.ru/13258-finalnaya-versiya" TargetMode="External"/><Relationship Id="rId124" Type="http://schemas.openxmlformats.org/officeDocument/2006/relationships/hyperlink" Target="http://airspot.ru/catalogue/item/mikoyan-gurevich-i-231" TargetMode="External"/><Relationship Id="rId129" Type="http://schemas.openxmlformats.org/officeDocument/2006/relationships/hyperlink" Target="http://avia-museum.narod.ru/russia/il-1.html" TargetMode="External"/><Relationship Id="rId54" Type="http://schemas.openxmlformats.org/officeDocument/2006/relationships/hyperlink" Target="http://warspot.ru/9797-tyazhyolyy-trofey" TargetMode="External"/><Relationship Id="rId70" Type="http://schemas.openxmlformats.org/officeDocument/2006/relationships/hyperlink" Target="http://airspot.ru/catalogue/item/mavag-hejja-ii" TargetMode="External"/><Relationship Id="rId75" Type="http://schemas.openxmlformats.org/officeDocument/2006/relationships/hyperlink" Target="http://www.airpages.ru/ru/la5_3.shtml" TargetMode="External"/><Relationship Id="rId91" Type="http://schemas.openxmlformats.org/officeDocument/2006/relationships/hyperlink" Target="http://www.airwar.ru/enc/bww2/g4m.html" TargetMode="External"/><Relationship Id="rId96" Type="http://schemas.openxmlformats.org/officeDocument/2006/relationships/hyperlink" Target="http://www.airwar.ru/enc/bww2/sdb.html" TargetMode="External"/><Relationship Id="rId140" Type="http://schemas.openxmlformats.org/officeDocument/2006/relationships/hyperlink" Target="http://wunderwaffe.narod.ru/HistoryBook/LuftAces/Bomb/07.htm" TargetMode="External"/><Relationship Id="rId145" Type="http://schemas.openxmlformats.org/officeDocument/2006/relationships/hyperlink" Target="http://www.airwar.ru/enc/cww2/kz4.html" TargetMode="External"/><Relationship Id="rId161" Type="http://schemas.openxmlformats.org/officeDocument/2006/relationships/hyperlink" Target="http://www.airwar.ru/enc/fighter/f80.html" TargetMode="External"/><Relationship Id="rId166" Type="http://schemas.openxmlformats.org/officeDocument/2006/relationships/hyperlink" Target="https://warspot.ru/5045-stalnaya-sarancha" TargetMode="External"/><Relationship Id="rId182" Type="http://schemas.openxmlformats.org/officeDocument/2006/relationships/hyperlink" Target="http://www.airwar.ru/enc/fww2/do335.html" TargetMode="External"/><Relationship Id="rId187" Type="http://schemas.openxmlformats.org/officeDocument/2006/relationships/hyperlink" Target="https://warspot.ru/12623-lyogkie-sau-s-bolshimi-pushkami" TargetMode="Externa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http://airspot.ru/catalogue/item/savoia-marchetti-sm-93" TargetMode="External"/><Relationship Id="rId28" Type="http://schemas.openxmlformats.org/officeDocument/2006/relationships/hyperlink" Target="https://warspot.ru/8621-ogon-ochey-zverinyh" TargetMode="External"/><Relationship Id="rId49" Type="http://schemas.openxmlformats.org/officeDocument/2006/relationships/hyperlink" Target="http://armedman.ru/samoletyi/1937-1945/bombardirovshhik-b-24-libereytor.html" TargetMode="External"/><Relationship Id="rId114" Type="http://schemas.openxmlformats.org/officeDocument/2006/relationships/hyperlink" Target="http://www.airwar.ru/enc/fww2/i222.html" TargetMode="External"/><Relationship Id="rId119" Type="http://schemas.openxmlformats.org/officeDocument/2006/relationships/hyperlink" Target="http://translate.yandex.net/tr-url/pl-ru.ru/men...211;ta;254,1278.html" TargetMode="External"/><Relationship Id="rId44" Type="http://schemas.openxmlformats.org/officeDocument/2006/relationships/hyperlink" Target="http://www.airwar.ru/enc/fww2/p51f.html" TargetMode="External"/><Relationship Id="rId60" Type="http://schemas.openxmlformats.org/officeDocument/2006/relationships/hyperlink" Target="http://airspot.ru/catalogue/item/heinkel-he-277b-5" TargetMode="External"/><Relationship Id="rId65" Type="http://schemas.openxmlformats.org/officeDocument/2006/relationships/hyperlink" Target="https://warspot.ru/11457-borba-za-mesto-na-konveyere" TargetMode="External"/><Relationship Id="rId81" Type="http://schemas.openxmlformats.org/officeDocument/2006/relationships/hyperlink" Target="http://armedman.ru/samoletyi/1937-1945/bombardirovshhik-b-24-libereytor.html" TargetMode="External"/><Relationship Id="rId86" Type="http://schemas.openxmlformats.org/officeDocument/2006/relationships/hyperlink" Target="http://airspot.ru/catalogue/item/yakovlev-yak-7r" TargetMode="External"/><Relationship Id="rId130" Type="http://schemas.openxmlformats.org/officeDocument/2006/relationships/hyperlink" Target="http://www.airpages.ru/mt/do335_01.shtml" TargetMode="External"/><Relationship Id="rId135" Type="http://schemas.openxmlformats.org/officeDocument/2006/relationships/hyperlink" Target="http://avia-rest.przd.ru/p/po_nb.php" TargetMode="External"/><Relationship Id="rId151" Type="http://schemas.openxmlformats.org/officeDocument/2006/relationships/hyperlink" Target="https://warspot.ru/9829-oni-osvobozhdali-belorussiyu-hronika-bagrationa-v-proekte-frontovoy-albom" TargetMode="External"/><Relationship Id="rId156" Type="http://schemas.openxmlformats.org/officeDocument/2006/relationships/hyperlink" Target="https://warspot.ru/10487-is-kotoryy-poluchilsya" TargetMode="External"/><Relationship Id="rId177" Type="http://schemas.openxmlformats.org/officeDocument/2006/relationships/hyperlink" Target="http://www.airwar.ru/enc/bww2/me328.html" TargetMode="External"/><Relationship Id="rId172" Type="http://schemas.openxmlformats.org/officeDocument/2006/relationships/hyperlink" Target="http://www.airwar.ru/enc/bww2/saab18.html" TargetMode="External"/><Relationship Id="rId13" Type="http://schemas.openxmlformats.org/officeDocument/2006/relationships/hyperlink" Target="http://armedman.ru/samoletyi/1919-1936/bombardirovshhik-boing-b-17-letayushhaya-krepost.html" TargetMode="External"/><Relationship Id="rId18" Type="http://schemas.openxmlformats.org/officeDocument/2006/relationships/hyperlink" Target="http://www.liveinternet.ru/www.airwar.ru/enc/fighter/f80.html" TargetMode="External"/><Relationship Id="rId39" Type="http://schemas.openxmlformats.org/officeDocument/2006/relationships/hyperlink" Target="http://avia-il.ru/il_2_ns_45/" TargetMode="External"/><Relationship Id="rId109" Type="http://schemas.openxmlformats.org/officeDocument/2006/relationships/hyperlink" Target="https://warspot.ru/13151-samaya-massovaya-tyazhyolaya-samohodka-v-istorii" TargetMode="External"/><Relationship Id="rId34" Type="http://schemas.openxmlformats.org/officeDocument/2006/relationships/hyperlink" Target="http://airspot.ru/catalogue/item/focke-wulf-ta-154" TargetMode="External"/><Relationship Id="rId50" Type="http://schemas.openxmlformats.org/officeDocument/2006/relationships/hyperlink" Target="https://warspot.ru/8934-ternistyy-put-k-su-122" TargetMode="External"/><Relationship Id="rId55" Type="http://schemas.openxmlformats.org/officeDocument/2006/relationships/hyperlink" Target="http://warspot.ru/6814-vokrug-konicheskogo-stvola" TargetMode="External"/><Relationship Id="rId76" Type="http://schemas.openxmlformats.org/officeDocument/2006/relationships/hyperlink" Target="http://www.airwar.ru/enc/fww2/la7tk.html" TargetMode="External"/><Relationship Id="rId97" Type="http://schemas.openxmlformats.org/officeDocument/2006/relationships/hyperlink" Target="http://airspot.ru/catalogue/item/junkers-ju-87d-stuka" TargetMode="External"/><Relationship Id="rId104" Type="http://schemas.openxmlformats.org/officeDocument/2006/relationships/hyperlink" Target="https://warspot.ru/5000-t-34-85-zvuki-snaruzhi-i-iznutri" TargetMode="External"/><Relationship Id="rId120" Type="http://schemas.openxmlformats.org/officeDocument/2006/relationships/hyperlink" Target="http://airspot.ru/catalogue/item/mikoyan-gurevich-i-222" TargetMode="External"/><Relationship Id="rId125" Type="http://schemas.openxmlformats.org/officeDocument/2006/relationships/hyperlink" Target="http://www.airwar.ru/weapon/guns/bk5.html" TargetMode="External"/><Relationship Id="rId141" Type="http://schemas.openxmlformats.org/officeDocument/2006/relationships/hyperlink" Target="http://www.airwar.ru/enc/bww2/he277.html" TargetMode="External"/><Relationship Id="rId146" Type="http://schemas.openxmlformats.org/officeDocument/2006/relationships/hyperlink" Target="http://www.airwar.ru/enc/bww2/sdb.html" TargetMode="External"/><Relationship Id="rId167" Type="http://schemas.openxmlformats.org/officeDocument/2006/relationships/hyperlink" Target="http://arsenal-info.ru/b/book/842018072/7" TargetMode="External"/><Relationship Id="rId188" Type="http://schemas.openxmlformats.org/officeDocument/2006/relationships/hyperlink" Target="https://warspot.ru/11413-dolgozhdannyy-istrebitel" TargetMode="External"/><Relationship Id="rId7" Type="http://schemas.openxmlformats.org/officeDocument/2006/relationships/endnotes" Target="endnotes.xml"/><Relationship Id="rId71" Type="http://schemas.openxmlformats.org/officeDocument/2006/relationships/hyperlink" Target="http://koya899.narod.ru/stati/yak3.html" TargetMode="External"/><Relationship Id="rId92" Type="http://schemas.openxmlformats.org/officeDocument/2006/relationships/hyperlink" Target="http://airspot.ru/catalogue/item/north-american-na-98x" TargetMode="External"/><Relationship Id="rId162" Type="http://schemas.openxmlformats.org/officeDocument/2006/relationships/hyperlink" Target="http://www.airwar.ru/enc/cww2/c47.html" TargetMode="External"/><Relationship Id="rId183" Type="http://schemas.openxmlformats.org/officeDocument/2006/relationships/hyperlink" Target="http://www.airwar.ru/enc/fww2/spitful.html" TargetMode="External"/><Relationship Id="rId2" Type="http://schemas.openxmlformats.org/officeDocument/2006/relationships/numbering" Target="numbering.xml"/><Relationship Id="rId29" Type="http://schemas.openxmlformats.org/officeDocument/2006/relationships/hyperlink" Target="http://airspot.ru/catalogue/item/lavochkin-la-7" TargetMode="External"/><Relationship Id="rId24" Type="http://schemas.openxmlformats.org/officeDocument/2006/relationships/hyperlink" Target="https://warspot.ru/9911-pervoe-prishestvie-is-2" TargetMode="External"/><Relationship Id="rId40" Type="http://schemas.openxmlformats.org/officeDocument/2006/relationships/hyperlink" Target="http://airspot.ru/catalogue/item/lavochkin-la-5-206" TargetMode="External"/><Relationship Id="rId45" Type="http://schemas.openxmlformats.org/officeDocument/2006/relationships/hyperlink" Target="http://wunderwaffe.narod.ru/Magazine/AirWar/70/03.htm" TargetMode="External"/><Relationship Id="rId66" Type="http://schemas.openxmlformats.org/officeDocument/2006/relationships/hyperlink" Target="https://warspot.ru/11074-promezhutochnyy-is" TargetMode="External"/><Relationship Id="rId87" Type="http://schemas.openxmlformats.org/officeDocument/2006/relationships/hyperlink" Target="http://www.airwar.ru/enc/fww2/do335.html" TargetMode="External"/><Relationship Id="rId110" Type="http://schemas.openxmlformats.org/officeDocument/2006/relationships/hyperlink" Target="https://warspot.ru/6240-tyaglovaya-sila" TargetMode="External"/><Relationship Id="rId115" Type="http://schemas.openxmlformats.org/officeDocument/2006/relationships/hyperlink" Target="http://voenoboz.ru/index.php?option=com_content...emid=2&amp;limitstart=19" TargetMode="External"/><Relationship Id="rId131" Type="http://schemas.openxmlformats.org/officeDocument/2006/relationships/hyperlink" Target="http://www.airwar.ru/enc/bww2/sdb.html" TargetMode="External"/><Relationship Id="rId136" Type="http://schemas.openxmlformats.org/officeDocument/2006/relationships/hyperlink" Target="http://www.airwar.ru/enc/cww2/er2on.html" TargetMode="External"/><Relationship Id="rId157" Type="http://schemas.openxmlformats.org/officeDocument/2006/relationships/hyperlink" Target="http://warspot.ru/10682-posledniy-lyogkiy-tank-krasnoy-armii" TargetMode="External"/><Relationship Id="rId178" Type="http://schemas.openxmlformats.org/officeDocument/2006/relationships/hyperlink" Target="http://www.airwar.ru/enc/fww2/p61b.html" TargetMode="External"/><Relationship Id="rId61" Type="http://schemas.openxmlformats.org/officeDocument/2006/relationships/hyperlink" Target="https://warspot.ru/10691-kurskiy-ferdinand" TargetMode="External"/><Relationship Id="rId82" Type="http://schemas.openxmlformats.org/officeDocument/2006/relationships/hyperlink" Target="http://www.airwar.ru/enc/fww2/yak9b.html" TargetMode="External"/><Relationship Id="rId152" Type="http://schemas.openxmlformats.org/officeDocument/2006/relationships/hyperlink" Target="https://warspot.ru/11413-dolgozhdannyy-istrebitel" TargetMode="External"/><Relationship Id="rId173" Type="http://schemas.openxmlformats.org/officeDocument/2006/relationships/hyperlink" Target="http://airspot.ru/catalogue/item/polikarpov-tis" TargetMode="External"/><Relationship Id="rId19" Type="http://schemas.openxmlformats.org/officeDocument/2006/relationships/hyperlink" Target="http://www.archive.gov.tatarstan.ru/res/FCKeditor/fckeditor.php?FieldName=data_html" TargetMode="External"/><Relationship Id="rId14" Type="http://schemas.openxmlformats.org/officeDocument/2006/relationships/hyperlink" Target="http://armedman.ru/samoletyi/1937-1945/bombardirovshhik-b-24-libereytor.html" TargetMode="External"/><Relationship Id="rId30" Type="http://schemas.openxmlformats.org/officeDocument/2006/relationships/hyperlink" Target="http://www.airwar.ru/enc/fww2/me163.html" TargetMode="External"/><Relationship Id="rId35" Type="http://schemas.openxmlformats.org/officeDocument/2006/relationships/hyperlink" Target="http://www.airwar.ru/enc/fww2/yak3vk107.html" TargetMode="External"/><Relationship Id="rId56" Type="http://schemas.openxmlformats.org/officeDocument/2006/relationships/hyperlink" Target="http://www.airwar.ru/enc/fww2/ta154.html" TargetMode="External"/><Relationship Id="rId77" Type="http://schemas.openxmlformats.org/officeDocument/2006/relationships/hyperlink" Target="https://warspot.ru/6557-k-zapadu-ot-prohorovki-kak-eto-bylo" TargetMode="External"/><Relationship Id="rId100" Type="http://schemas.openxmlformats.org/officeDocument/2006/relationships/hyperlink" Target="http://www.airwar.ru/enc/fww2/pe2i.html" TargetMode="External"/><Relationship Id="rId105" Type="http://schemas.openxmlformats.org/officeDocument/2006/relationships/hyperlink" Target="https://warspot.ru/9483-predposledniy-shag" TargetMode="External"/><Relationship Id="rId126" Type="http://schemas.openxmlformats.org/officeDocument/2006/relationships/hyperlink" Target="http://www.airwar.ru/enc/heli/uh44.html" TargetMode="External"/><Relationship Id="rId147" Type="http://schemas.openxmlformats.org/officeDocument/2006/relationships/hyperlink" Target="http://www.airwar.ru/enc/bww2/sdb.html" TargetMode="External"/><Relationship Id="rId168" Type="http://schemas.openxmlformats.org/officeDocument/2006/relationships/hyperlink" Target="http://www.cartalana.ru/aircraft-04.php" TargetMode="External"/><Relationship Id="rId8" Type="http://schemas.openxmlformats.org/officeDocument/2006/relationships/hyperlink" Target="https://warspot.ru/10800-kutsak-kotina" TargetMode="External"/><Relationship Id="rId51" Type="http://schemas.openxmlformats.org/officeDocument/2006/relationships/hyperlink" Target="https://warspot.ru/11907-strashnee-koshki-zverya-net" TargetMode="External"/><Relationship Id="rId72" Type="http://schemas.openxmlformats.org/officeDocument/2006/relationships/hyperlink" Target="http://airspot.ru/catalogue/item/gloster-e-28-39-pioneer" TargetMode="External"/><Relationship Id="rId93" Type="http://schemas.openxmlformats.org/officeDocument/2006/relationships/hyperlink" Target="https://warspot.ru/11074-promezhutochnyy-is" TargetMode="External"/><Relationship Id="rId98" Type="http://schemas.openxmlformats.org/officeDocument/2006/relationships/hyperlink" Target="http://www.airwar.ru/enc/sea/p2.html" TargetMode="External"/><Relationship Id="rId121" Type="http://schemas.openxmlformats.org/officeDocument/2006/relationships/hyperlink" Target="http://www.airpages.ru/ru/ns23.shtml" TargetMode="External"/><Relationship Id="rId142" Type="http://schemas.openxmlformats.org/officeDocument/2006/relationships/hyperlink" Target="http://www.brazd.ru/il10.html" TargetMode="External"/><Relationship Id="rId163" Type="http://schemas.openxmlformats.org/officeDocument/2006/relationships/hyperlink" Target="http://www.airwar.ru/enc/fww2/la7tk.html" TargetMode="External"/><Relationship Id="rId184" Type="http://schemas.openxmlformats.org/officeDocument/2006/relationships/hyperlink" Target="http://www.airwar.ru/enc/fww2/ta154.html" TargetMode="External"/><Relationship Id="rId189" Type="http://schemas.openxmlformats.org/officeDocument/2006/relationships/hyperlink" Target="https://warspot.ru/15335-promezhutochnyy-tank" TargetMode="External"/><Relationship Id="rId3" Type="http://schemas.openxmlformats.org/officeDocument/2006/relationships/styles" Target="styles.xml"/><Relationship Id="rId25" Type="http://schemas.openxmlformats.org/officeDocument/2006/relationships/hyperlink" Target="https://warspot.ru/11413-dolgozhdannyy-istrebitel" TargetMode="External"/><Relationship Id="rId46" Type="http://schemas.openxmlformats.org/officeDocument/2006/relationships/hyperlink" Target="http://www.airwar.ru/enc/bww2/windsor.html" TargetMode="External"/><Relationship Id="rId67" Type="http://schemas.openxmlformats.org/officeDocument/2006/relationships/hyperlink" Target="https://warspot.ru/11907-strashnee-koshki-zverya-net" TargetMode="External"/><Relationship Id="rId116" Type="http://schemas.openxmlformats.org/officeDocument/2006/relationships/hyperlink" Target="http://www.airwar.ru/enc/aww2/xa38.html" TargetMode="External"/><Relationship Id="rId137" Type="http://schemas.openxmlformats.org/officeDocument/2006/relationships/hyperlink" Target="http://www.airwar.ru/enc/fww2/mb5.html" TargetMode="External"/><Relationship Id="rId158" Type="http://schemas.openxmlformats.org/officeDocument/2006/relationships/hyperlink" Target="http://www.airwar.ru/enc/fww2/tis.html" TargetMode="External"/><Relationship Id="rId20" Type="http://schemas.openxmlformats.org/officeDocument/2006/relationships/hyperlink" Target="http://wunderwaffe.narod.ru/Magazine/AirWar/111/01.htm" TargetMode="External"/><Relationship Id="rId41" Type="http://schemas.openxmlformats.org/officeDocument/2006/relationships/hyperlink" Target="http://www.airpages.ru/ru/la5fn.shtml" TargetMode="External"/><Relationship Id="rId62" Type="http://schemas.openxmlformats.org/officeDocument/2006/relationships/hyperlink" Target="https://warspot.ru/5000-t-34-85-zvuki-snaruzhi-i-iznutri" TargetMode="External"/><Relationship Id="rId83" Type="http://schemas.openxmlformats.org/officeDocument/2006/relationships/hyperlink" Target="http://www.airwar.ru/enc/fww2/f4u.html" TargetMode="External"/><Relationship Id="rId88" Type="http://schemas.openxmlformats.org/officeDocument/2006/relationships/hyperlink" Target="http://airspot.ru/catalogue/item/de-havilland-mosquito-tf-tr" TargetMode="External"/><Relationship Id="rId111" Type="http://schemas.openxmlformats.org/officeDocument/2006/relationships/hyperlink" Target="http://www.airwar.ru/enc/fww2/yak7gk.html" TargetMode="External"/><Relationship Id="rId132" Type="http://schemas.openxmlformats.org/officeDocument/2006/relationships/hyperlink" Target="http://www.archive.gov.tatarstan.ru/res/FCKeditor/fckeditor.php?FieldName=data_html" TargetMode="External"/><Relationship Id="rId153" Type="http://schemas.openxmlformats.org/officeDocument/2006/relationships/hyperlink" Target="https://warspot.ru/12034-ruchka-druzhby-dlya-korolevskogo-tigra" TargetMode="External"/><Relationship Id="rId174" Type="http://schemas.openxmlformats.org/officeDocument/2006/relationships/hyperlink" Target="http://www.airpages.ru/lw/ju88g.shtml" TargetMode="External"/><Relationship Id="rId179" Type="http://schemas.openxmlformats.org/officeDocument/2006/relationships/hyperlink" Target="http://www.airwar.ru/enc/fww2/fr.html" TargetMode="External"/><Relationship Id="rId190" Type="http://schemas.openxmlformats.org/officeDocument/2006/relationships/hyperlink" Target="https://frontline.su/history/operatsiya-bagration/" TargetMode="External"/><Relationship Id="rId15" Type="http://schemas.openxmlformats.org/officeDocument/2006/relationships/hyperlink" Target="http://teatrskazka.com/Raznoe/PostanovGKO/194401/gko_4891.html" TargetMode="External"/><Relationship Id="rId36" Type="http://schemas.openxmlformats.org/officeDocument/2006/relationships/hyperlink" Target="http://www.airwar.ru/enc/fww2/i221.html" TargetMode="External"/><Relationship Id="rId57" Type="http://schemas.openxmlformats.org/officeDocument/2006/relationships/hyperlink" Target="http://www.airwar.ru/enc/fww2/ta154.html" TargetMode="External"/><Relationship Id="rId106" Type="http://schemas.openxmlformats.org/officeDocument/2006/relationships/hyperlink" Target="https://warspot.ru/14237-glavnyy-konstruktor" TargetMode="External"/><Relationship Id="rId127" Type="http://schemas.openxmlformats.org/officeDocument/2006/relationships/hyperlink" Target="http://airspot.ru/catalogue/item/yakovlev-yak-7r" TargetMode="External"/><Relationship Id="rId10" Type="http://schemas.openxmlformats.org/officeDocument/2006/relationships/hyperlink" Target="http://warspot.ru/6610-malyy-tank-bolshoy-voyny" TargetMode="External"/><Relationship Id="rId31" Type="http://schemas.openxmlformats.org/officeDocument/2006/relationships/hyperlink" Target="http://www.liveinternet.ru/pro-samolet.ru/samolety-germany-ww2/reaktiv/210-me-163-kometa" TargetMode="External"/><Relationship Id="rId52" Type="http://schemas.openxmlformats.org/officeDocument/2006/relationships/hyperlink" Target="https://warspot.ru/10672-tyazhyolyy-trofey-s-kurskoy-dugi" TargetMode="External"/><Relationship Id="rId73" Type="http://schemas.openxmlformats.org/officeDocument/2006/relationships/hyperlink" Target="http://crimso.msk.ru/Site/Crafts/Craft20142.htm" TargetMode="External"/><Relationship Id="rId78" Type="http://schemas.openxmlformats.org/officeDocument/2006/relationships/hyperlink" Target="https://warspot.ru/11907-strashnee-koshki-zverya-net" TargetMode="External"/><Relationship Id="rId94" Type="http://schemas.openxmlformats.org/officeDocument/2006/relationships/hyperlink" Target="https://warspot.ru/11233-is-s-tyazhyolym-vooruzheniem" TargetMode="External"/><Relationship Id="rId99" Type="http://schemas.openxmlformats.org/officeDocument/2006/relationships/hyperlink" Target="http://www.airwar.ru/enc/other2/m30.html" TargetMode="External"/><Relationship Id="rId101" Type="http://schemas.openxmlformats.org/officeDocument/2006/relationships/hyperlink" Target="https://warspot.ru/13258-finalnaya-versiya" TargetMode="External"/><Relationship Id="rId122" Type="http://schemas.openxmlformats.org/officeDocument/2006/relationships/hyperlink" Target="http://www.airwar.ru/enc/fww2/i220.html" TargetMode="External"/><Relationship Id="rId143" Type="http://schemas.openxmlformats.org/officeDocument/2006/relationships/hyperlink" Target="http://www.brazd.ru/il10.html" TargetMode="External"/><Relationship Id="rId148" Type="http://schemas.openxmlformats.org/officeDocument/2006/relationships/hyperlink" Target="https://warspot.ru/4972-foto-dnya-spasitelnaya-iskra" TargetMode="External"/><Relationship Id="rId164" Type="http://schemas.openxmlformats.org/officeDocument/2006/relationships/hyperlink" Target="http://www.airwar.ru/enc/fww2/p58.html" TargetMode="External"/><Relationship Id="rId169" Type="http://schemas.openxmlformats.org/officeDocument/2006/relationships/hyperlink" Target="http://www.airwar.ru/enc/aww2/il10.html" TargetMode="External"/><Relationship Id="rId185" Type="http://schemas.openxmlformats.org/officeDocument/2006/relationships/hyperlink" Target="https://warspot.ru/15111-vsyo-eschyo-s-budkoy" TargetMode="External"/><Relationship Id="rId4" Type="http://schemas.openxmlformats.org/officeDocument/2006/relationships/settings" Target="settings.xml"/><Relationship Id="rId9" Type="http://schemas.openxmlformats.org/officeDocument/2006/relationships/hyperlink" Target="https://warspot.ru/11457-borba-za-mesto-na-konveyere" TargetMode="External"/><Relationship Id="rId180" Type="http://schemas.openxmlformats.org/officeDocument/2006/relationships/hyperlink" Target="http://www.airwar.ru/enc/fww2/p72.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FE35E4F-C663-469D-978D-2E9225DC91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515</TotalTime>
  <Pages>885</Pages>
  <Words>1074949</Words>
  <Characters>6127211</Characters>
  <Application>Microsoft Office Word</Application>
  <DocSecurity>0</DocSecurity>
  <Lines>51060</Lines>
  <Paragraphs>14375</Paragraphs>
  <ScaleCrop>false</ScaleCrop>
  <HeadingPairs>
    <vt:vector size="2" baseType="variant">
      <vt:variant>
        <vt:lpstr>Название</vt:lpstr>
      </vt:variant>
      <vt:variant>
        <vt:i4>1</vt:i4>
      </vt:variant>
    </vt:vector>
  </HeadingPairs>
  <TitlesOfParts>
    <vt:vector size="1" baseType="lpstr">
      <vt:lpstr/>
    </vt:vector>
  </TitlesOfParts>
  <Company>TOSHIBA</Company>
  <LinksUpToDate>false</LinksUpToDate>
  <CharactersWithSpaces>7187785</CharactersWithSpaces>
  <SharedDoc>false</SharedDoc>
  <HLinks>
    <vt:vector size="6" baseType="variant">
      <vt:variant>
        <vt:i4>3276915</vt:i4>
      </vt:variant>
      <vt:variant>
        <vt:i4>0</vt:i4>
      </vt:variant>
      <vt:variant>
        <vt:i4>0</vt:i4>
      </vt:variant>
      <vt:variant>
        <vt:i4>5</vt:i4>
      </vt:variant>
      <vt:variant>
        <vt:lpwstr>http://teatrskazka.com/Raznoe/PostanovGKO/194401/gko_4891.html</vt:lpwstr>
      </vt:variant>
      <vt:variant>
        <vt:lpwstr>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Ivan</dc:creator>
  <cp:lastModifiedBy>Пользователь</cp:lastModifiedBy>
  <cp:revision>97</cp:revision>
  <dcterms:created xsi:type="dcterms:W3CDTF">2022-05-03T06:11:00Z</dcterms:created>
  <dcterms:modified xsi:type="dcterms:W3CDTF">2022-05-08T08:59:00Z</dcterms:modified>
</cp:coreProperties>
</file>